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footer1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75A8" w14:textId="25CD56AC" w:rsidR="009A11BC" w:rsidRPr="0013526B" w:rsidRDefault="00CE3258" w:rsidP="0013526B">
      <w:pPr>
        <w:jc w:val="center"/>
        <w:rPr>
          <w:b/>
          <w:bCs w:val="0"/>
          <w:i/>
          <w:sz w:val="18"/>
          <w:szCs w:val="18"/>
        </w:rPr>
      </w:pPr>
      <w:r>
        <w:rPr>
          <w:b/>
          <w:bCs w:val="0"/>
          <w:sz w:val="18"/>
          <w:szCs w:val="18"/>
        </w:rPr>
        <w:t>P</w:t>
      </w:r>
      <w:r w:rsidR="009A11BC" w:rsidRPr="0013526B">
        <w:rPr>
          <w:b/>
          <w:bCs w:val="0"/>
          <w:sz w:val="18"/>
          <w:szCs w:val="18"/>
        </w:rPr>
        <w:t xml:space="preserve">T </w:t>
      </w:r>
      <w:r w:rsidR="000479B9">
        <w:rPr>
          <w:b/>
          <w:bCs w:val="0"/>
          <w:sz w:val="18"/>
          <w:szCs w:val="18"/>
        </w:rPr>
        <w:t xml:space="preserve">SEJAHTERARAYA ANUGRAHJAYA </w:t>
      </w:r>
      <w:r w:rsidR="009A11BC" w:rsidRPr="0013526B">
        <w:rPr>
          <w:b/>
          <w:bCs w:val="0"/>
          <w:sz w:val="18"/>
          <w:szCs w:val="18"/>
        </w:rPr>
        <w:t>Tbk DAN ENTITAS ANAK/</w:t>
      </w:r>
      <w:r w:rsidR="009A11BC" w:rsidRPr="0013526B">
        <w:rPr>
          <w:b/>
          <w:bCs w:val="0"/>
          <w:i/>
          <w:sz w:val="18"/>
          <w:szCs w:val="18"/>
        </w:rPr>
        <w:t>AND SUBSIDIARIES</w:t>
      </w:r>
    </w:p>
    <w:p w14:paraId="1E5E9177" w14:textId="77777777" w:rsidR="009A11BC" w:rsidRPr="0013526B" w:rsidRDefault="009A11BC" w:rsidP="0013526B">
      <w:pPr>
        <w:pStyle w:val="Default"/>
        <w:jc w:val="center"/>
        <w:rPr>
          <w:rFonts w:ascii="Times New Roman" w:hAnsi="Times New Roman" w:cs="Times New Roman"/>
          <w:b/>
          <w:bCs/>
          <w:sz w:val="18"/>
          <w:szCs w:val="18"/>
        </w:rPr>
      </w:pPr>
    </w:p>
    <w:p w14:paraId="2CFF3722" w14:textId="77777777" w:rsidR="009A11BC" w:rsidRPr="0013526B" w:rsidRDefault="009A11BC" w:rsidP="0013526B">
      <w:pPr>
        <w:pStyle w:val="Default"/>
        <w:jc w:val="center"/>
        <w:rPr>
          <w:rFonts w:ascii="Times New Roman" w:hAnsi="Times New Roman" w:cs="Times New Roman"/>
          <w:b/>
          <w:bCs/>
          <w:i/>
          <w:sz w:val="18"/>
          <w:szCs w:val="18"/>
        </w:rPr>
      </w:pPr>
      <w:r w:rsidRPr="0013526B">
        <w:rPr>
          <w:rFonts w:ascii="Times New Roman" w:hAnsi="Times New Roman" w:cs="Times New Roman"/>
          <w:b/>
          <w:bCs/>
          <w:sz w:val="18"/>
          <w:szCs w:val="18"/>
        </w:rPr>
        <w:t>DAFTAR ISI/</w:t>
      </w:r>
      <w:r w:rsidRPr="0013526B">
        <w:rPr>
          <w:rFonts w:ascii="Times New Roman" w:hAnsi="Times New Roman" w:cs="Times New Roman"/>
          <w:b/>
          <w:bCs/>
          <w:i/>
          <w:sz w:val="18"/>
          <w:szCs w:val="18"/>
        </w:rPr>
        <w:t>TABLE OF CONTENTS</w:t>
      </w:r>
    </w:p>
    <w:p w14:paraId="55F2CFF8" w14:textId="77777777" w:rsidR="009A11BC" w:rsidRPr="0013526B" w:rsidRDefault="009A11BC" w:rsidP="0013526B">
      <w:pPr>
        <w:pStyle w:val="Default"/>
        <w:jc w:val="center"/>
        <w:rPr>
          <w:rFonts w:ascii="Times New Roman" w:hAnsi="Times New Roman" w:cs="Times New Roman"/>
          <w:b/>
          <w:bCs/>
          <w:sz w:val="18"/>
          <w:szCs w:val="18"/>
        </w:rPr>
      </w:pPr>
    </w:p>
    <w:p w14:paraId="5F2134E8" w14:textId="77777777" w:rsidR="009A11BC" w:rsidRPr="0013526B" w:rsidRDefault="009A11BC" w:rsidP="0013526B">
      <w:pPr>
        <w:pStyle w:val="Default"/>
        <w:jc w:val="center"/>
        <w:rPr>
          <w:rFonts w:ascii="Times New Roman" w:hAnsi="Times New Roman" w:cs="Times New Roman"/>
          <w:b/>
          <w:bCs/>
          <w:sz w:val="18"/>
          <w:szCs w:val="18"/>
        </w:rPr>
      </w:pPr>
    </w:p>
    <w:p w14:paraId="17F7A3FE" w14:textId="77777777" w:rsidR="009A11BC" w:rsidRPr="0013526B" w:rsidRDefault="009A11BC" w:rsidP="0013526B">
      <w:pPr>
        <w:pStyle w:val="Default"/>
        <w:tabs>
          <w:tab w:val="left" w:pos="7797"/>
        </w:tabs>
        <w:ind w:right="567"/>
        <w:jc w:val="right"/>
        <w:rPr>
          <w:rFonts w:ascii="Times New Roman" w:hAnsi="Times New Roman" w:cs="Times New Roman"/>
          <w:bCs/>
          <w:sz w:val="18"/>
          <w:szCs w:val="18"/>
          <w:u w:val="single"/>
        </w:rPr>
      </w:pPr>
      <w:r w:rsidRPr="0013526B">
        <w:rPr>
          <w:rFonts w:ascii="Times New Roman" w:hAnsi="Times New Roman" w:cs="Times New Roman"/>
          <w:bCs/>
          <w:sz w:val="18"/>
          <w:szCs w:val="18"/>
          <w:u w:val="single"/>
        </w:rPr>
        <w:t>Halaman/</w:t>
      </w:r>
    </w:p>
    <w:p w14:paraId="125AF67B" w14:textId="77777777" w:rsidR="009A11BC" w:rsidRPr="0013526B" w:rsidRDefault="009A11BC" w:rsidP="0013526B">
      <w:pPr>
        <w:pStyle w:val="Default"/>
        <w:tabs>
          <w:tab w:val="left" w:pos="8364"/>
        </w:tabs>
        <w:ind w:right="567"/>
        <w:jc w:val="right"/>
        <w:rPr>
          <w:rFonts w:ascii="Times New Roman" w:hAnsi="Times New Roman" w:cs="Times New Roman"/>
          <w:bCs/>
          <w:i/>
          <w:sz w:val="18"/>
          <w:szCs w:val="18"/>
          <w:u w:val="single"/>
        </w:rPr>
      </w:pPr>
      <w:r w:rsidRPr="0013526B">
        <w:rPr>
          <w:rFonts w:ascii="Times New Roman" w:hAnsi="Times New Roman" w:cs="Times New Roman"/>
          <w:bCs/>
          <w:i/>
          <w:sz w:val="18"/>
          <w:szCs w:val="18"/>
          <w:u w:val="single"/>
        </w:rPr>
        <w:t>Page</w:t>
      </w:r>
    </w:p>
    <w:p w14:paraId="46AE90CB" w14:textId="77777777" w:rsidR="009A11BC" w:rsidRPr="0013526B" w:rsidRDefault="009A11BC" w:rsidP="0013526B">
      <w:pPr>
        <w:pStyle w:val="Default"/>
        <w:jc w:val="right"/>
        <w:rPr>
          <w:rFonts w:ascii="Times New Roman" w:hAnsi="Times New Roman" w:cs="Times New Roman"/>
          <w:b/>
          <w:bCs/>
          <w:sz w:val="18"/>
          <w:szCs w:val="18"/>
        </w:rPr>
      </w:pPr>
    </w:p>
    <w:p w14:paraId="31F599DB" w14:textId="77777777" w:rsidR="009A11BC" w:rsidRPr="0013526B" w:rsidRDefault="009A11BC" w:rsidP="0013526B">
      <w:pPr>
        <w:pStyle w:val="Default"/>
        <w:rPr>
          <w:rFonts w:ascii="Times New Roman" w:hAnsi="Times New Roman" w:cs="Times New Roman"/>
          <w:b/>
          <w:bCs/>
          <w:sz w:val="18"/>
          <w:szCs w:val="18"/>
        </w:rPr>
      </w:pPr>
    </w:p>
    <w:p w14:paraId="361C45CB" w14:textId="77777777" w:rsidR="009A11BC" w:rsidRPr="0013526B" w:rsidRDefault="009A11BC" w:rsidP="0013526B">
      <w:pPr>
        <w:pStyle w:val="Default"/>
        <w:tabs>
          <w:tab w:val="left" w:pos="8647"/>
        </w:tabs>
        <w:rPr>
          <w:rFonts w:ascii="Times New Roman" w:hAnsi="Times New Roman" w:cs="Times New Roman"/>
          <w:b/>
          <w:sz w:val="18"/>
          <w:szCs w:val="18"/>
        </w:rPr>
      </w:pPr>
      <w:r w:rsidRPr="0013526B">
        <w:rPr>
          <w:rFonts w:ascii="Times New Roman" w:hAnsi="Times New Roman" w:cs="Times New Roman"/>
          <w:b/>
          <w:sz w:val="18"/>
          <w:szCs w:val="18"/>
        </w:rPr>
        <w:t>SURAT PERNYATAAN DIREKSI/</w:t>
      </w:r>
    </w:p>
    <w:p w14:paraId="75AE516A" w14:textId="77777777" w:rsidR="009A11BC" w:rsidRPr="0013526B" w:rsidRDefault="00DB1AE9" w:rsidP="0013526B">
      <w:pPr>
        <w:pStyle w:val="Default"/>
        <w:tabs>
          <w:tab w:val="left" w:pos="8647"/>
        </w:tabs>
        <w:rPr>
          <w:rFonts w:ascii="Times New Roman" w:hAnsi="Times New Roman" w:cs="Times New Roman"/>
          <w:b/>
          <w:bCs/>
          <w:sz w:val="18"/>
          <w:szCs w:val="18"/>
        </w:rPr>
      </w:pPr>
      <w:r w:rsidRPr="0013526B">
        <w:rPr>
          <w:rFonts w:ascii="Times New Roman" w:hAnsi="Times New Roman" w:cs="Times New Roman"/>
          <w:b/>
          <w:i/>
          <w:sz w:val="18"/>
          <w:szCs w:val="18"/>
        </w:rPr>
        <w:t>BOARD OF DIRECTORS</w:t>
      </w:r>
      <w:r w:rsidR="00A9434C" w:rsidRPr="0013526B">
        <w:rPr>
          <w:rFonts w:ascii="Times New Roman" w:hAnsi="Times New Roman" w:cs="Times New Roman"/>
          <w:b/>
          <w:i/>
          <w:sz w:val="18"/>
          <w:szCs w:val="18"/>
        </w:rPr>
        <w:t xml:space="preserve">’ </w:t>
      </w:r>
      <w:r w:rsidR="008E1BC3" w:rsidRPr="0013526B">
        <w:rPr>
          <w:rFonts w:ascii="Times New Roman" w:hAnsi="Times New Roman" w:cs="Times New Roman"/>
          <w:b/>
          <w:i/>
          <w:sz w:val="18"/>
          <w:szCs w:val="18"/>
        </w:rPr>
        <w:t>STATEMENT LETTER</w:t>
      </w:r>
      <w:r w:rsidR="009A11BC" w:rsidRPr="0013526B">
        <w:rPr>
          <w:rFonts w:ascii="Times New Roman" w:hAnsi="Times New Roman" w:cs="Times New Roman"/>
          <w:b/>
          <w:sz w:val="18"/>
          <w:szCs w:val="18"/>
        </w:rPr>
        <w:tab/>
      </w:r>
    </w:p>
    <w:p w14:paraId="3B763317" w14:textId="77777777" w:rsidR="009A11BC" w:rsidRPr="0013526B" w:rsidRDefault="009A11BC" w:rsidP="0013526B">
      <w:pPr>
        <w:pStyle w:val="Default"/>
        <w:rPr>
          <w:rFonts w:ascii="Times New Roman" w:hAnsi="Times New Roman" w:cs="Times New Roman"/>
          <w:b/>
          <w:bCs/>
          <w:sz w:val="18"/>
          <w:szCs w:val="18"/>
        </w:rPr>
      </w:pPr>
    </w:p>
    <w:p w14:paraId="308DE41C" w14:textId="601F41ED" w:rsidR="002D04FD" w:rsidRPr="001C2988" w:rsidRDefault="001C2988" w:rsidP="002D04FD">
      <w:pPr>
        <w:autoSpaceDE w:val="0"/>
        <w:autoSpaceDN w:val="0"/>
        <w:adjustRightInd w:val="0"/>
        <w:rPr>
          <w:sz w:val="18"/>
          <w:szCs w:val="18"/>
        </w:rPr>
      </w:pPr>
      <w:r w:rsidRPr="001C2988">
        <w:rPr>
          <w:sz w:val="18"/>
          <w:szCs w:val="18"/>
        </w:rPr>
        <w:t>LAPORAN KEUANGAN KONSOLIDASIAN INTERIM UNTUK PERIODE 3 (TIGA) BULAN</w:t>
      </w:r>
    </w:p>
    <w:p w14:paraId="4E74D30C" w14:textId="62D28D8E" w:rsidR="002D04FD" w:rsidRPr="001C2988" w:rsidRDefault="001C2988" w:rsidP="002D04FD">
      <w:pPr>
        <w:autoSpaceDE w:val="0"/>
        <w:autoSpaceDN w:val="0"/>
        <w:adjustRightInd w:val="0"/>
        <w:rPr>
          <w:sz w:val="18"/>
          <w:szCs w:val="18"/>
        </w:rPr>
      </w:pPr>
      <w:r w:rsidRPr="001C2988">
        <w:rPr>
          <w:sz w:val="18"/>
          <w:szCs w:val="18"/>
        </w:rPr>
        <w:t>YANG BERAKHIR PADA 31 MARET 2020 DAN 2019 (TIDAK DIAUDIT)</w:t>
      </w:r>
    </w:p>
    <w:p w14:paraId="72D15B22" w14:textId="506EE142" w:rsidR="002D04FD" w:rsidRPr="001C2988" w:rsidRDefault="001C2988" w:rsidP="002D04FD">
      <w:pPr>
        <w:autoSpaceDE w:val="0"/>
        <w:autoSpaceDN w:val="0"/>
        <w:adjustRightInd w:val="0"/>
        <w:rPr>
          <w:sz w:val="18"/>
          <w:szCs w:val="18"/>
        </w:rPr>
      </w:pPr>
      <w:r w:rsidRPr="001C2988">
        <w:rPr>
          <w:sz w:val="18"/>
          <w:szCs w:val="18"/>
        </w:rPr>
        <w:t xml:space="preserve">SERTA UNTUK TAHUN YANG BERAKHIR PADA </w:t>
      </w:r>
    </w:p>
    <w:p w14:paraId="2C2238ED" w14:textId="367D0085" w:rsidR="009A11BC" w:rsidRPr="001C2988" w:rsidRDefault="001C2988" w:rsidP="002D04FD">
      <w:pPr>
        <w:pStyle w:val="Default"/>
        <w:rPr>
          <w:rFonts w:ascii="Times New Roman" w:hAnsi="Times New Roman" w:cs="Times New Roman"/>
          <w:bCs/>
          <w:sz w:val="18"/>
          <w:szCs w:val="18"/>
        </w:rPr>
      </w:pPr>
      <w:r w:rsidRPr="001C2988">
        <w:rPr>
          <w:rFonts w:ascii="Times New Roman" w:hAnsi="Times New Roman" w:cs="Times New Roman"/>
          <w:sz w:val="18"/>
          <w:szCs w:val="18"/>
        </w:rPr>
        <w:t>31 DESEMBER 2019 (DIAUDIT)</w:t>
      </w:r>
    </w:p>
    <w:p w14:paraId="1D8FB609" w14:textId="61D0FABB" w:rsidR="002D04FD" w:rsidRPr="001C2988" w:rsidRDefault="001C2988" w:rsidP="002D04FD">
      <w:pPr>
        <w:autoSpaceDE w:val="0"/>
        <w:autoSpaceDN w:val="0"/>
        <w:adjustRightInd w:val="0"/>
        <w:rPr>
          <w:i/>
          <w:iCs/>
          <w:sz w:val="18"/>
          <w:szCs w:val="18"/>
        </w:rPr>
      </w:pPr>
      <w:r w:rsidRPr="001C2988">
        <w:rPr>
          <w:i/>
          <w:iCs/>
          <w:sz w:val="18"/>
          <w:szCs w:val="18"/>
        </w:rPr>
        <w:t>INTERIM CONSOLIDATED FINANCIAL STATEMENTS FOR THE 3 (THREE) MONTHS PERIOD</w:t>
      </w:r>
    </w:p>
    <w:p w14:paraId="2D473B75" w14:textId="29A09E1D" w:rsidR="002D04FD" w:rsidRPr="001C2988" w:rsidRDefault="001C2988" w:rsidP="002D04FD">
      <w:pPr>
        <w:autoSpaceDE w:val="0"/>
        <w:autoSpaceDN w:val="0"/>
        <w:adjustRightInd w:val="0"/>
        <w:rPr>
          <w:i/>
          <w:iCs/>
          <w:sz w:val="18"/>
          <w:szCs w:val="18"/>
        </w:rPr>
      </w:pPr>
      <w:r w:rsidRPr="001C2988">
        <w:rPr>
          <w:i/>
          <w:iCs/>
          <w:sz w:val="18"/>
          <w:szCs w:val="18"/>
        </w:rPr>
        <w:t>ENDED MARCH 31, 2020 AND 2019 (UNAUDITED)</w:t>
      </w:r>
    </w:p>
    <w:p w14:paraId="47EB18BC" w14:textId="68C63A32" w:rsidR="009A11BC" w:rsidRPr="001C2988" w:rsidRDefault="001C2988" w:rsidP="002D04FD">
      <w:pPr>
        <w:pStyle w:val="Default"/>
        <w:rPr>
          <w:rFonts w:ascii="Times New Roman" w:hAnsi="Times New Roman" w:cs="Times New Roman"/>
          <w:b/>
          <w:i/>
          <w:iCs/>
          <w:sz w:val="18"/>
          <w:szCs w:val="18"/>
        </w:rPr>
      </w:pPr>
      <w:r w:rsidRPr="001C2988">
        <w:rPr>
          <w:rFonts w:ascii="Times New Roman" w:hAnsi="Times New Roman" w:cs="Times New Roman"/>
          <w:i/>
          <w:iCs/>
          <w:sz w:val="18"/>
          <w:szCs w:val="18"/>
        </w:rPr>
        <w:t>AND FOR THE YEAR ENDED DECEMBER 31, 2019 (AUDITED</w:t>
      </w:r>
      <w:r w:rsidRPr="001C2988">
        <w:rPr>
          <w:rFonts w:ascii="Times New Roman" w:hAnsi="Times New Roman" w:cs="Times New Roman"/>
          <w:b/>
          <w:i/>
          <w:iCs/>
          <w:sz w:val="18"/>
          <w:szCs w:val="18"/>
        </w:rPr>
        <w:t>)</w:t>
      </w:r>
    </w:p>
    <w:p w14:paraId="60DD268C" w14:textId="77777777" w:rsidR="002D04FD" w:rsidRDefault="002D04FD" w:rsidP="002D04FD">
      <w:pPr>
        <w:pStyle w:val="Default"/>
        <w:rPr>
          <w:rFonts w:ascii="Times New Roman" w:hAnsi="Times New Roman" w:cs="Times New Roman"/>
          <w:b/>
          <w:i/>
          <w:iCs/>
          <w:sz w:val="22"/>
          <w:szCs w:val="22"/>
        </w:rPr>
      </w:pPr>
    </w:p>
    <w:p w14:paraId="1C1B5D76" w14:textId="77777777" w:rsidR="002D04FD" w:rsidRPr="0013526B" w:rsidRDefault="002D04FD" w:rsidP="002D04FD">
      <w:pPr>
        <w:pStyle w:val="Default"/>
        <w:rPr>
          <w:rFonts w:ascii="Times New Roman" w:hAnsi="Times New Roman" w:cs="Times New Roman"/>
          <w:b/>
          <w:bCs/>
          <w:i/>
          <w:sz w:val="18"/>
          <w:szCs w:val="18"/>
        </w:rPr>
      </w:pPr>
    </w:p>
    <w:p w14:paraId="2120BA9E" w14:textId="77777777" w:rsidR="009A11BC" w:rsidRPr="0013526B" w:rsidRDefault="009A11BC" w:rsidP="0013526B">
      <w:pPr>
        <w:pStyle w:val="Default"/>
        <w:rPr>
          <w:rFonts w:ascii="Times New Roman" w:hAnsi="Times New Roman" w:cs="Times New Roman"/>
          <w:bCs/>
          <w:sz w:val="18"/>
          <w:szCs w:val="18"/>
          <w:lang w:val="id-ID"/>
        </w:rPr>
      </w:pPr>
      <w:r w:rsidRPr="0013526B">
        <w:rPr>
          <w:rFonts w:ascii="Times New Roman" w:hAnsi="Times New Roman" w:cs="Times New Roman"/>
          <w:b/>
          <w:bCs/>
          <w:sz w:val="18"/>
          <w:szCs w:val="18"/>
        </w:rPr>
        <w:tab/>
      </w:r>
      <w:r w:rsidRPr="0013526B">
        <w:rPr>
          <w:rFonts w:ascii="Times New Roman" w:hAnsi="Times New Roman" w:cs="Times New Roman"/>
          <w:bCs/>
          <w:sz w:val="18"/>
          <w:szCs w:val="18"/>
        </w:rPr>
        <w:t>LAPORAN POSISI KEUANGAN KONSOLIDASIAN</w:t>
      </w:r>
      <w:r w:rsidR="005D0BEC" w:rsidRPr="0013526B">
        <w:rPr>
          <w:rFonts w:ascii="Times New Roman" w:hAnsi="Times New Roman" w:cs="Times New Roman"/>
          <w:bCs/>
          <w:sz w:val="18"/>
          <w:szCs w:val="18"/>
          <w:lang w:val="id-ID"/>
        </w:rPr>
        <w:t>/</w:t>
      </w:r>
    </w:p>
    <w:p w14:paraId="7FA3FC76" w14:textId="77777777" w:rsidR="009A11BC" w:rsidRPr="0013526B" w:rsidRDefault="009A11BC" w:rsidP="0013526B">
      <w:pPr>
        <w:pStyle w:val="Default"/>
        <w:ind w:firstLine="720"/>
        <w:rPr>
          <w:rFonts w:ascii="Times New Roman" w:hAnsi="Times New Roman" w:cs="Times New Roman"/>
          <w:bCs/>
          <w:sz w:val="18"/>
          <w:szCs w:val="18"/>
        </w:rPr>
      </w:pPr>
      <w:r w:rsidRPr="0013526B">
        <w:rPr>
          <w:rFonts w:ascii="Times New Roman" w:hAnsi="Times New Roman" w:cs="Times New Roman"/>
          <w:bCs/>
          <w:i/>
          <w:sz w:val="18"/>
          <w:szCs w:val="18"/>
        </w:rPr>
        <w:t>CONSOLIDATED STATEMENT OF FINANCIAL POSITION</w:t>
      </w:r>
      <w:r w:rsidRPr="0013526B">
        <w:rPr>
          <w:rFonts w:ascii="Times New Roman" w:hAnsi="Times New Roman" w:cs="Times New Roman"/>
          <w:bCs/>
          <w:sz w:val="18"/>
          <w:szCs w:val="18"/>
        </w:rPr>
        <w:tab/>
      </w:r>
      <w:r w:rsidRPr="0013526B">
        <w:rPr>
          <w:rFonts w:ascii="Times New Roman" w:hAnsi="Times New Roman" w:cs="Times New Roman"/>
          <w:bCs/>
          <w:sz w:val="18"/>
          <w:szCs w:val="18"/>
        </w:rPr>
        <w:tab/>
      </w:r>
      <w:r w:rsidRPr="0013526B">
        <w:rPr>
          <w:rFonts w:ascii="Times New Roman" w:hAnsi="Times New Roman" w:cs="Times New Roman"/>
          <w:bCs/>
          <w:sz w:val="18"/>
          <w:szCs w:val="18"/>
        </w:rPr>
        <w:tab/>
      </w:r>
      <w:r w:rsidRPr="0013526B">
        <w:rPr>
          <w:rFonts w:ascii="Times New Roman" w:hAnsi="Times New Roman" w:cs="Times New Roman"/>
          <w:bCs/>
          <w:sz w:val="18"/>
          <w:szCs w:val="18"/>
        </w:rPr>
        <w:tab/>
      </w:r>
      <w:r w:rsidRPr="0013526B">
        <w:rPr>
          <w:rFonts w:ascii="Times New Roman" w:hAnsi="Times New Roman" w:cs="Times New Roman"/>
          <w:bCs/>
          <w:sz w:val="18"/>
          <w:szCs w:val="18"/>
        </w:rPr>
        <w:tab/>
      </w:r>
      <w:r w:rsidRPr="00E043F5">
        <w:rPr>
          <w:rFonts w:ascii="Times New Roman" w:hAnsi="Times New Roman" w:cs="Times New Roman"/>
          <w:bCs/>
          <w:sz w:val="18"/>
          <w:szCs w:val="18"/>
        </w:rPr>
        <w:t>1</w:t>
      </w:r>
      <w:r w:rsidR="00037369" w:rsidRPr="00E043F5">
        <w:rPr>
          <w:rFonts w:ascii="Times New Roman" w:hAnsi="Times New Roman" w:cs="Times New Roman"/>
          <w:bCs/>
          <w:sz w:val="18"/>
          <w:szCs w:val="18"/>
        </w:rPr>
        <w:t>-</w:t>
      </w:r>
      <w:r w:rsidRPr="00E043F5">
        <w:rPr>
          <w:rFonts w:ascii="Times New Roman" w:hAnsi="Times New Roman" w:cs="Times New Roman"/>
          <w:bCs/>
          <w:sz w:val="18"/>
          <w:szCs w:val="18"/>
        </w:rPr>
        <w:t>3</w:t>
      </w:r>
    </w:p>
    <w:p w14:paraId="51193C7E" w14:textId="77777777" w:rsidR="009A11BC" w:rsidRPr="0013526B" w:rsidRDefault="009A11BC" w:rsidP="0013526B">
      <w:pPr>
        <w:pStyle w:val="Default"/>
        <w:rPr>
          <w:rFonts w:ascii="Times New Roman" w:hAnsi="Times New Roman" w:cs="Times New Roman"/>
          <w:bCs/>
          <w:sz w:val="18"/>
          <w:szCs w:val="18"/>
        </w:rPr>
      </w:pPr>
      <w:r w:rsidRPr="0013526B">
        <w:rPr>
          <w:rFonts w:ascii="Times New Roman" w:hAnsi="Times New Roman" w:cs="Times New Roman"/>
          <w:bCs/>
          <w:sz w:val="18"/>
          <w:szCs w:val="18"/>
        </w:rPr>
        <w:tab/>
      </w:r>
    </w:p>
    <w:p w14:paraId="503290E7" w14:textId="77777777" w:rsidR="009A11BC" w:rsidRPr="0013526B" w:rsidRDefault="009A11BC" w:rsidP="0013526B">
      <w:pPr>
        <w:pStyle w:val="Default"/>
        <w:rPr>
          <w:rFonts w:ascii="Times New Roman" w:hAnsi="Times New Roman" w:cs="Times New Roman"/>
          <w:bCs/>
          <w:sz w:val="18"/>
          <w:szCs w:val="18"/>
        </w:rPr>
      </w:pPr>
      <w:r w:rsidRPr="0013526B">
        <w:rPr>
          <w:rFonts w:ascii="Times New Roman" w:hAnsi="Times New Roman" w:cs="Times New Roman"/>
          <w:bCs/>
          <w:sz w:val="18"/>
          <w:szCs w:val="18"/>
        </w:rPr>
        <w:tab/>
        <w:t>LAPORAN LABA RUGI</w:t>
      </w:r>
      <w:r w:rsidR="001C12BF" w:rsidRPr="0013526B">
        <w:rPr>
          <w:rFonts w:ascii="Times New Roman" w:hAnsi="Times New Roman" w:cs="Times New Roman"/>
          <w:bCs/>
          <w:sz w:val="18"/>
          <w:szCs w:val="18"/>
        </w:rPr>
        <w:t xml:space="preserve"> </w:t>
      </w:r>
      <w:r w:rsidRPr="0013526B">
        <w:rPr>
          <w:rFonts w:ascii="Times New Roman" w:hAnsi="Times New Roman" w:cs="Times New Roman"/>
          <w:bCs/>
          <w:sz w:val="18"/>
          <w:szCs w:val="18"/>
        </w:rPr>
        <w:t>DAN PENGHASILAN KOMPREHENSIF LAIN KONSOLIDASIAN /</w:t>
      </w:r>
    </w:p>
    <w:p w14:paraId="3EEDD3AC" w14:textId="77777777" w:rsidR="009A11BC" w:rsidRPr="0013526B" w:rsidRDefault="009A11BC" w:rsidP="0013526B">
      <w:pPr>
        <w:pStyle w:val="Default"/>
        <w:rPr>
          <w:rFonts w:ascii="Times New Roman" w:hAnsi="Times New Roman" w:cs="Times New Roman"/>
          <w:bCs/>
          <w:sz w:val="18"/>
          <w:szCs w:val="18"/>
        </w:rPr>
      </w:pPr>
      <w:r w:rsidRPr="0013526B">
        <w:rPr>
          <w:rFonts w:ascii="Times New Roman" w:hAnsi="Times New Roman" w:cs="Times New Roman"/>
          <w:bCs/>
          <w:sz w:val="18"/>
          <w:szCs w:val="18"/>
        </w:rPr>
        <w:tab/>
      </w:r>
      <w:r w:rsidRPr="0013526B">
        <w:rPr>
          <w:rFonts w:ascii="Times New Roman" w:hAnsi="Times New Roman" w:cs="Times New Roman"/>
          <w:bCs/>
          <w:i/>
          <w:sz w:val="18"/>
          <w:szCs w:val="18"/>
        </w:rPr>
        <w:t>CONSOLIDATED</w:t>
      </w:r>
      <w:r w:rsidRPr="0013526B">
        <w:rPr>
          <w:rFonts w:ascii="Times New Roman" w:hAnsi="Times New Roman" w:cs="Times New Roman"/>
          <w:bCs/>
          <w:sz w:val="18"/>
          <w:szCs w:val="18"/>
        </w:rPr>
        <w:t xml:space="preserve"> </w:t>
      </w:r>
      <w:r w:rsidRPr="0013526B">
        <w:rPr>
          <w:rFonts w:ascii="Times New Roman" w:hAnsi="Times New Roman" w:cs="Times New Roman"/>
          <w:bCs/>
          <w:i/>
          <w:sz w:val="18"/>
          <w:szCs w:val="18"/>
        </w:rPr>
        <w:t>STATEMENT OF PROFIT OR LOSS AND OTHER COMPREHENSIVE INCOME</w:t>
      </w:r>
      <w:r w:rsidRPr="0013526B">
        <w:rPr>
          <w:rFonts w:ascii="Times New Roman" w:hAnsi="Times New Roman" w:cs="Times New Roman"/>
          <w:bCs/>
          <w:sz w:val="18"/>
          <w:szCs w:val="18"/>
        </w:rPr>
        <w:tab/>
      </w:r>
      <w:r w:rsidRPr="003E17A9">
        <w:rPr>
          <w:rFonts w:ascii="Times New Roman" w:hAnsi="Times New Roman" w:cs="Times New Roman"/>
          <w:bCs/>
          <w:sz w:val="18"/>
          <w:szCs w:val="18"/>
        </w:rPr>
        <w:t>4</w:t>
      </w:r>
      <w:r w:rsidR="00037369" w:rsidRPr="003E17A9">
        <w:rPr>
          <w:rFonts w:ascii="Times New Roman" w:hAnsi="Times New Roman" w:cs="Times New Roman"/>
          <w:bCs/>
          <w:sz w:val="18"/>
          <w:szCs w:val="18"/>
        </w:rPr>
        <w:t>-</w:t>
      </w:r>
      <w:r w:rsidRPr="003E17A9">
        <w:rPr>
          <w:rFonts w:ascii="Times New Roman" w:hAnsi="Times New Roman" w:cs="Times New Roman"/>
          <w:bCs/>
          <w:sz w:val="18"/>
          <w:szCs w:val="18"/>
        </w:rPr>
        <w:t>5</w:t>
      </w:r>
    </w:p>
    <w:p w14:paraId="44DE3A96" w14:textId="77777777" w:rsidR="009A11BC" w:rsidRPr="0013526B" w:rsidRDefault="009A11BC" w:rsidP="0013526B">
      <w:pPr>
        <w:pStyle w:val="Default"/>
        <w:rPr>
          <w:rFonts w:ascii="Times New Roman" w:hAnsi="Times New Roman" w:cs="Times New Roman"/>
          <w:bCs/>
          <w:sz w:val="18"/>
          <w:szCs w:val="18"/>
        </w:rPr>
      </w:pPr>
      <w:r w:rsidRPr="0013526B">
        <w:rPr>
          <w:rFonts w:ascii="Times New Roman" w:hAnsi="Times New Roman" w:cs="Times New Roman"/>
          <w:bCs/>
          <w:sz w:val="18"/>
          <w:szCs w:val="18"/>
        </w:rPr>
        <w:tab/>
      </w:r>
    </w:p>
    <w:p w14:paraId="1C7A62D0" w14:textId="77777777" w:rsidR="009A11BC" w:rsidRPr="0013526B" w:rsidRDefault="009A11BC" w:rsidP="0013526B">
      <w:pPr>
        <w:pStyle w:val="Default"/>
        <w:rPr>
          <w:rFonts w:ascii="Times New Roman" w:hAnsi="Times New Roman" w:cs="Times New Roman"/>
          <w:bCs/>
          <w:sz w:val="18"/>
          <w:szCs w:val="18"/>
        </w:rPr>
      </w:pPr>
      <w:r w:rsidRPr="0013526B">
        <w:rPr>
          <w:rFonts w:ascii="Times New Roman" w:hAnsi="Times New Roman" w:cs="Times New Roman"/>
          <w:bCs/>
          <w:sz w:val="18"/>
          <w:szCs w:val="18"/>
        </w:rPr>
        <w:tab/>
        <w:t>LAPORAN PERUBAHAN EKUITAS KONSOLIDASIAN /</w:t>
      </w:r>
    </w:p>
    <w:p w14:paraId="1E2D82A2" w14:textId="77777777" w:rsidR="009A11BC" w:rsidRPr="0013526B" w:rsidRDefault="009A11BC" w:rsidP="0013526B">
      <w:pPr>
        <w:pStyle w:val="Default"/>
        <w:rPr>
          <w:rFonts w:ascii="Times New Roman" w:hAnsi="Times New Roman" w:cs="Times New Roman"/>
          <w:bCs/>
          <w:sz w:val="18"/>
          <w:szCs w:val="18"/>
        </w:rPr>
      </w:pPr>
      <w:r w:rsidRPr="0013526B">
        <w:rPr>
          <w:rFonts w:ascii="Times New Roman" w:hAnsi="Times New Roman" w:cs="Times New Roman"/>
          <w:bCs/>
          <w:sz w:val="18"/>
          <w:szCs w:val="18"/>
        </w:rPr>
        <w:tab/>
      </w:r>
      <w:r w:rsidRPr="0013526B">
        <w:rPr>
          <w:rFonts w:ascii="Times New Roman" w:hAnsi="Times New Roman" w:cs="Times New Roman"/>
          <w:bCs/>
          <w:i/>
          <w:sz w:val="18"/>
          <w:szCs w:val="18"/>
        </w:rPr>
        <w:t>CONSOLIDATED STATEMENT OF CHANGES IN EQUITY</w:t>
      </w:r>
      <w:r w:rsidR="001C12BF" w:rsidRPr="0013526B">
        <w:rPr>
          <w:rFonts w:ascii="Times New Roman" w:hAnsi="Times New Roman" w:cs="Times New Roman"/>
          <w:bCs/>
          <w:i/>
          <w:sz w:val="18"/>
          <w:szCs w:val="18"/>
        </w:rPr>
        <w:t xml:space="preserve"> </w:t>
      </w:r>
      <w:r w:rsidRPr="0013526B">
        <w:rPr>
          <w:rFonts w:ascii="Times New Roman" w:hAnsi="Times New Roman" w:cs="Times New Roman"/>
          <w:bCs/>
          <w:i/>
          <w:sz w:val="18"/>
          <w:szCs w:val="18"/>
        </w:rPr>
        <w:tab/>
      </w:r>
      <w:r w:rsidRPr="0013526B">
        <w:rPr>
          <w:rFonts w:ascii="Times New Roman" w:hAnsi="Times New Roman" w:cs="Times New Roman"/>
          <w:bCs/>
          <w:i/>
          <w:sz w:val="18"/>
          <w:szCs w:val="18"/>
        </w:rPr>
        <w:tab/>
      </w:r>
      <w:r w:rsidR="001C12BF" w:rsidRPr="0013526B">
        <w:rPr>
          <w:rFonts w:ascii="Times New Roman" w:hAnsi="Times New Roman" w:cs="Times New Roman"/>
          <w:bCs/>
          <w:i/>
          <w:sz w:val="18"/>
          <w:szCs w:val="18"/>
        </w:rPr>
        <w:tab/>
      </w:r>
      <w:r w:rsidR="001C12BF" w:rsidRPr="0013526B">
        <w:rPr>
          <w:rFonts w:ascii="Times New Roman" w:hAnsi="Times New Roman" w:cs="Times New Roman"/>
          <w:bCs/>
          <w:i/>
          <w:sz w:val="18"/>
          <w:szCs w:val="18"/>
        </w:rPr>
        <w:tab/>
      </w:r>
      <w:r w:rsidR="001C12BF" w:rsidRPr="0013526B">
        <w:rPr>
          <w:rFonts w:ascii="Times New Roman" w:hAnsi="Times New Roman" w:cs="Times New Roman"/>
          <w:bCs/>
          <w:i/>
          <w:sz w:val="18"/>
          <w:szCs w:val="18"/>
        </w:rPr>
        <w:tab/>
      </w:r>
      <w:r w:rsidRPr="002E53F3">
        <w:rPr>
          <w:rFonts w:ascii="Times New Roman" w:hAnsi="Times New Roman" w:cs="Times New Roman"/>
          <w:bCs/>
          <w:sz w:val="18"/>
          <w:szCs w:val="18"/>
        </w:rPr>
        <w:t xml:space="preserve"> 6</w:t>
      </w:r>
    </w:p>
    <w:p w14:paraId="52F935C0" w14:textId="77777777" w:rsidR="009A11BC" w:rsidRPr="0013526B" w:rsidRDefault="009A11BC" w:rsidP="0013526B">
      <w:pPr>
        <w:pStyle w:val="Default"/>
        <w:rPr>
          <w:rFonts w:ascii="Times New Roman" w:hAnsi="Times New Roman" w:cs="Times New Roman"/>
          <w:bCs/>
          <w:i/>
          <w:sz w:val="18"/>
          <w:szCs w:val="18"/>
        </w:rPr>
      </w:pPr>
    </w:p>
    <w:p w14:paraId="3D8FE9BB" w14:textId="77777777" w:rsidR="009A11BC" w:rsidRPr="0013526B" w:rsidRDefault="009A11BC" w:rsidP="0013526B">
      <w:pPr>
        <w:pStyle w:val="Default"/>
        <w:ind w:firstLine="720"/>
        <w:rPr>
          <w:rFonts w:ascii="Times New Roman" w:hAnsi="Times New Roman" w:cs="Times New Roman"/>
          <w:bCs/>
          <w:sz w:val="18"/>
          <w:szCs w:val="18"/>
        </w:rPr>
      </w:pPr>
      <w:r w:rsidRPr="0013526B">
        <w:rPr>
          <w:rFonts w:ascii="Times New Roman" w:hAnsi="Times New Roman" w:cs="Times New Roman"/>
          <w:bCs/>
          <w:sz w:val="18"/>
          <w:szCs w:val="18"/>
        </w:rPr>
        <w:t>LAPORAN ARUS KAS KONSOLIDASIAN /</w:t>
      </w:r>
    </w:p>
    <w:p w14:paraId="550682C0" w14:textId="7FC3A658" w:rsidR="009A11BC" w:rsidRPr="0013526B" w:rsidRDefault="009A11BC" w:rsidP="0013526B">
      <w:pPr>
        <w:pStyle w:val="Default"/>
        <w:ind w:firstLine="720"/>
        <w:rPr>
          <w:rFonts w:ascii="Times New Roman" w:hAnsi="Times New Roman" w:cs="Times New Roman"/>
          <w:bCs/>
          <w:sz w:val="18"/>
          <w:szCs w:val="18"/>
        </w:rPr>
      </w:pPr>
      <w:r w:rsidRPr="0013526B">
        <w:rPr>
          <w:rFonts w:ascii="Times New Roman" w:hAnsi="Times New Roman" w:cs="Times New Roman"/>
          <w:bCs/>
          <w:i/>
          <w:sz w:val="18"/>
          <w:szCs w:val="18"/>
        </w:rPr>
        <w:t>CONSOLIDATED STATEMENT OF CASH FLOWS</w:t>
      </w:r>
      <w:r w:rsidRPr="0013526B">
        <w:rPr>
          <w:rFonts w:ascii="Times New Roman" w:hAnsi="Times New Roman" w:cs="Times New Roman"/>
          <w:bCs/>
          <w:sz w:val="18"/>
          <w:szCs w:val="18"/>
        </w:rPr>
        <w:tab/>
      </w:r>
      <w:r w:rsidRPr="0013526B">
        <w:rPr>
          <w:rFonts w:ascii="Times New Roman" w:hAnsi="Times New Roman" w:cs="Times New Roman"/>
          <w:bCs/>
          <w:sz w:val="18"/>
          <w:szCs w:val="18"/>
        </w:rPr>
        <w:tab/>
      </w:r>
      <w:r w:rsidRPr="0013526B">
        <w:rPr>
          <w:rFonts w:ascii="Times New Roman" w:hAnsi="Times New Roman" w:cs="Times New Roman"/>
          <w:bCs/>
          <w:sz w:val="18"/>
          <w:szCs w:val="18"/>
        </w:rPr>
        <w:tab/>
      </w:r>
      <w:r w:rsidRPr="0013526B">
        <w:rPr>
          <w:rFonts w:ascii="Times New Roman" w:hAnsi="Times New Roman" w:cs="Times New Roman"/>
          <w:bCs/>
          <w:sz w:val="18"/>
          <w:szCs w:val="18"/>
        </w:rPr>
        <w:tab/>
      </w:r>
      <w:r w:rsidRPr="0013526B">
        <w:rPr>
          <w:rFonts w:ascii="Times New Roman" w:hAnsi="Times New Roman" w:cs="Times New Roman"/>
          <w:bCs/>
          <w:sz w:val="18"/>
          <w:szCs w:val="18"/>
        </w:rPr>
        <w:tab/>
        <w:t xml:space="preserve"> </w:t>
      </w:r>
      <w:r w:rsidRPr="0013526B">
        <w:rPr>
          <w:rFonts w:ascii="Times New Roman" w:hAnsi="Times New Roman" w:cs="Times New Roman"/>
          <w:bCs/>
          <w:sz w:val="18"/>
          <w:szCs w:val="18"/>
        </w:rPr>
        <w:tab/>
      </w:r>
      <w:r w:rsidRPr="002E53F3">
        <w:rPr>
          <w:rFonts w:ascii="Times New Roman" w:hAnsi="Times New Roman" w:cs="Times New Roman"/>
          <w:bCs/>
          <w:sz w:val="18"/>
          <w:szCs w:val="18"/>
        </w:rPr>
        <w:t>7</w:t>
      </w:r>
      <w:r w:rsidR="002E53F3" w:rsidRPr="002E53F3">
        <w:rPr>
          <w:rFonts w:ascii="Times New Roman" w:hAnsi="Times New Roman" w:cs="Times New Roman"/>
          <w:bCs/>
          <w:sz w:val="18"/>
          <w:szCs w:val="18"/>
        </w:rPr>
        <w:t>-8</w:t>
      </w:r>
    </w:p>
    <w:p w14:paraId="75D2D517" w14:textId="77777777" w:rsidR="009A11BC" w:rsidRPr="0013526B" w:rsidRDefault="009A11BC" w:rsidP="0013526B">
      <w:pPr>
        <w:pStyle w:val="Default"/>
        <w:rPr>
          <w:rFonts w:ascii="Times New Roman" w:hAnsi="Times New Roman" w:cs="Times New Roman"/>
          <w:bCs/>
          <w:sz w:val="18"/>
          <w:szCs w:val="18"/>
        </w:rPr>
      </w:pPr>
      <w:r w:rsidRPr="0013526B">
        <w:rPr>
          <w:rFonts w:ascii="Times New Roman" w:hAnsi="Times New Roman" w:cs="Times New Roman"/>
          <w:bCs/>
          <w:sz w:val="18"/>
          <w:szCs w:val="18"/>
        </w:rPr>
        <w:tab/>
      </w:r>
    </w:p>
    <w:p w14:paraId="3445CF4A" w14:textId="77777777" w:rsidR="009A11BC" w:rsidRPr="0013526B" w:rsidRDefault="009A11BC" w:rsidP="0013526B">
      <w:pPr>
        <w:pStyle w:val="Default"/>
        <w:rPr>
          <w:rFonts w:ascii="Times New Roman" w:hAnsi="Times New Roman" w:cs="Times New Roman"/>
          <w:bCs/>
          <w:sz w:val="18"/>
          <w:szCs w:val="18"/>
        </w:rPr>
      </w:pPr>
      <w:r w:rsidRPr="0013526B">
        <w:rPr>
          <w:rFonts w:ascii="Times New Roman" w:hAnsi="Times New Roman" w:cs="Times New Roman"/>
          <w:bCs/>
          <w:sz w:val="18"/>
          <w:szCs w:val="18"/>
        </w:rPr>
        <w:tab/>
        <w:t>CATATAN ATAS LAPORAN KEUANGAN KONSOLIDASIAN /</w:t>
      </w:r>
    </w:p>
    <w:p w14:paraId="752E0E24" w14:textId="5189D120" w:rsidR="009A11BC" w:rsidRDefault="009A11BC" w:rsidP="0013526B">
      <w:pPr>
        <w:pStyle w:val="Default"/>
        <w:rPr>
          <w:rFonts w:ascii="Times New Roman" w:hAnsi="Times New Roman" w:cs="Times New Roman"/>
          <w:sz w:val="18"/>
          <w:szCs w:val="18"/>
        </w:rPr>
      </w:pPr>
      <w:r w:rsidRPr="0013526B">
        <w:rPr>
          <w:rFonts w:ascii="Times New Roman" w:hAnsi="Times New Roman" w:cs="Times New Roman"/>
          <w:bCs/>
          <w:sz w:val="18"/>
          <w:szCs w:val="18"/>
        </w:rPr>
        <w:tab/>
      </w:r>
      <w:r w:rsidR="008E1BC3" w:rsidRPr="0013526B">
        <w:rPr>
          <w:rFonts w:ascii="Times New Roman" w:hAnsi="Times New Roman" w:cs="Times New Roman"/>
          <w:bCs/>
          <w:i/>
          <w:sz w:val="18"/>
          <w:szCs w:val="18"/>
        </w:rPr>
        <w:t xml:space="preserve">NOTES TO </w:t>
      </w:r>
      <w:r w:rsidRPr="0013526B">
        <w:rPr>
          <w:rFonts w:ascii="Times New Roman" w:hAnsi="Times New Roman" w:cs="Times New Roman"/>
          <w:bCs/>
          <w:i/>
          <w:sz w:val="18"/>
          <w:szCs w:val="18"/>
        </w:rPr>
        <w:t>CONSOLIDATED FINANCIAL STATEMENTS</w:t>
      </w:r>
      <w:r w:rsidR="001C12BF" w:rsidRPr="0013526B">
        <w:rPr>
          <w:rFonts w:ascii="Times New Roman" w:hAnsi="Times New Roman" w:cs="Times New Roman"/>
          <w:bCs/>
          <w:i/>
          <w:sz w:val="18"/>
          <w:szCs w:val="18"/>
        </w:rPr>
        <w:t xml:space="preserve"> </w:t>
      </w:r>
      <w:r w:rsidRPr="0013526B">
        <w:rPr>
          <w:rFonts w:ascii="Times New Roman" w:hAnsi="Times New Roman" w:cs="Times New Roman"/>
          <w:bCs/>
          <w:i/>
          <w:sz w:val="18"/>
          <w:szCs w:val="18"/>
        </w:rPr>
        <w:tab/>
      </w:r>
      <w:r w:rsidRPr="0013526B">
        <w:rPr>
          <w:rFonts w:ascii="Times New Roman" w:hAnsi="Times New Roman" w:cs="Times New Roman"/>
          <w:bCs/>
          <w:i/>
          <w:sz w:val="18"/>
          <w:szCs w:val="18"/>
        </w:rPr>
        <w:tab/>
      </w:r>
      <w:r w:rsidRPr="0013526B">
        <w:rPr>
          <w:rFonts w:ascii="Times New Roman" w:hAnsi="Times New Roman" w:cs="Times New Roman"/>
          <w:bCs/>
          <w:sz w:val="18"/>
          <w:szCs w:val="18"/>
        </w:rPr>
        <w:tab/>
      </w:r>
      <w:r w:rsidRPr="0013526B">
        <w:rPr>
          <w:rFonts w:ascii="Times New Roman" w:hAnsi="Times New Roman" w:cs="Times New Roman"/>
          <w:bCs/>
          <w:sz w:val="18"/>
          <w:szCs w:val="18"/>
        </w:rPr>
        <w:tab/>
      </w:r>
      <w:r w:rsidR="001C12BF" w:rsidRPr="0013526B">
        <w:rPr>
          <w:rFonts w:ascii="Times New Roman" w:hAnsi="Times New Roman" w:cs="Times New Roman"/>
          <w:bCs/>
          <w:sz w:val="18"/>
          <w:szCs w:val="18"/>
        </w:rPr>
        <w:tab/>
      </w:r>
      <w:r w:rsidR="002E53F3" w:rsidRPr="002E53F3">
        <w:rPr>
          <w:rFonts w:ascii="Times New Roman" w:hAnsi="Times New Roman" w:cs="Times New Roman"/>
          <w:sz w:val="18"/>
          <w:szCs w:val="18"/>
        </w:rPr>
        <w:t>9-</w:t>
      </w:r>
      <w:r w:rsidR="002E53F3">
        <w:rPr>
          <w:rFonts w:ascii="Times New Roman" w:hAnsi="Times New Roman" w:cs="Times New Roman"/>
          <w:sz w:val="18"/>
          <w:szCs w:val="18"/>
        </w:rPr>
        <w:t>10</w:t>
      </w:r>
      <w:r w:rsidR="0029284B">
        <w:rPr>
          <w:rFonts w:ascii="Times New Roman" w:hAnsi="Times New Roman" w:cs="Times New Roman"/>
          <w:sz w:val="18"/>
          <w:szCs w:val="18"/>
        </w:rPr>
        <w:t>1</w:t>
      </w:r>
    </w:p>
    <w:p w14:paraId="7DBC38F8" w14:textId="38E2873E" w:rsidR="00B666A1" w:rsidRDefault="00B666A1" w:rsidP="0013526B">
      <w:pPr>
        <w:pStyle w:val="Default"/>
        <w:rPr>
          <w:rFonts w:ascii="Times New Roman" w:hAnsi="Times New Roman" w:cs="Times New Roman"/>
          <w:sz w:val="18"/>
          <w:szCs w:val="18"/>
        </w:rPr>
      </w:pPr>
    </w:p>
    <w:p w14:paraId="24FC3E5C" w14:textId="77777777" w:rsidR="00B666A1" w:rsidRPr="002E53F3" w:rsidRDefault="00B666A1" w:rsidP="0013526B">
      <w:pPr>
        <w:pStyle w:val="Default"/>
        <w:rPr>
          <w:rFonts w:ascii="Times New Roman" w:hAnsi="Times New Roman" w:cs="Times New Roman"/>
          <w:b/>
          <w:bCs/>
          <w:sz w:val="18"/>
          <w:szCs w:val="18"/>
        </w:rPr>
      </w:pPr>
    </w:p>
    <w:p w14:paraId="11DC86AB" w14:textId="1F8142A4" w:rsidR="00B666A1" w:rsidRPr="0013526B" w:rsidRDefault="00B666A1" w:rsidP="00B666A1">
      <w:pPr>
        <w:pStyle w:val="Default"/>
        <w:ind w:left="709"/>
        <w:rPr>
          <w:rFonts w:ascii="Times New Roman" w:hAnsi="Times New Roman" w:cs="Times New Roman"/>
          <w:bCs/>
          <w:sz w:val="18"/>
          <w:szCs w:val="18"/>
        </w:rPr>
      </w:pPr>
      <w:r>
        <w:rPr>
          <w:rFonts w:ascii="Times New Roman" w:hAnsi="Times New Roman" w:cs="Times New Roman"/>
          <w:bCs/>
          <w:sz w:val="18"/>
          <w:szCs w:val="18"/>
        </w:rPr>
        <w:t>Lampiran I - V</w:t>
      </w:r>
      <w:r w:rsidR="002B1A4C">
        <w:rPr>
          <w:rFonts w:ascii="Times New Roman" w:hAnsi="Times New Roman" w:cs="Times New Roman"/>
          <w:bCs/>
          <w:sz w:val="18"/>
          <w:szCs w:val="18"/>
        </w:rPr>
        <w:t xml:space="preserve"> </w:t>
      </w:r>
    </w:p>
    <w:p w14:paraId="54270B90" w14:textId="59B176A9" w:rsidR="00B666A1" w:rsidRDefault="00B666A1" w:rsidP="00B666A1">
      <w:pPr>
        <w:pStyle w:val="Default"/>
        <w:rPr>
          <w:rFonts w:ascii="Times New Roman" w:hAnsi="Times New Roman" w:cs="Times New Roman"/>
          <w:sz w:val="18"/>
          <w:szCs w:val="18"/>
        </w:rPr>
      </w:pPr>
      <w:r w:rsidRPr="0013526B">
        <w:rPr>
          <w:rFonts w:ascii="Times New Roman" w:hAnsi="Times New Roman" w:cs="Times New Roman"/>
          <w:bCs/>
          <w:sz w:val="18"/>
          <w:szCs w:val="18"/>
        </w:rPr>
        <w:tab/>
      </w:r>
      <w:r>
        <w:rPr>
          <w:rFonts w:ascii="Times New Roman" w:hAnsi="Times New Roman" w:cs="Times New Roman"/>
          <w:bCs/>
          <w:i/>
          <w:sz w:val="18"/>
          <w:szCs w:val="18"/>
        </w:rPr>
        <w:t>Attachment I - V</w:t>
      </w:r>
      <w:r w:rsidRPr="0013526B">
        <w:rPr>
          <w:rFonts w:ascii="Times New Roman" w:hAnsi="Times New Roman" w:cs="Times New Roman"/>
          <w:bCs/>
          <w:i/>
          <w:sz w:val="18"/>
          <w:szCs w:val="18"/>
        </w:rPr>
        <w:t xml:space="preserve"> </w:t>
      </w:r>
      <w:r w:rsidRPr="0013526B">
        <w:rPr>
          <w:rFonts w:ascii="Times New Roman" w:hAnsi="Times New Roman" w:cs="Times New Roman"/>
          <w:bCs/>
          <w:i/>
          <w:sz w:val="18"/>
          <w:szCs w:val="18"/>
        </w:rPr>
        <w:tab/>
      </w:r>
      <w:r w:rsidRPr="0013526B">
        <w:rPr>
          <w:rFonts w:ascii="Times New Roman" w:hAnsi="Times New Roman" w:cs="Times New Roman"/>
          <w:bCs/>
          <w:i/>
          <w:sz w:val="18"/>
          <w:szCs w:val="18"/>
        </w:rPr>
        <w:tab/>
      </w:r>
      <w:r w:rsidRPr="0013526B">
        <w:rPr>
          <w:rFonts w:ascii="Times New Roman" w:hAnsi="Times New Roman" w:cs="Times New Roman"/>
          <w:bCs/>
          <w:sz w:val="18"/>
          <w:szCs w:val="18"/>
        </w:rPr>
        <w:tab/>
      </w:r>
      <w:r w:rsidRPr="0013526B">
        <w:rPr>
          <w:rFonts w:ascii="Times New Roman" w:hAnsi="Times New Roman" w:cs="Times New Roman"/>
          <w:bCs/>
          <w:sz w:val="18"/>
          <w:szCs w:val="18"/>
        </w:rPr>
        <w:tab/>
      </w:r>
      <w:r w:rsidRPr="0013526B">
        <w:rPr>
          <w:rFonts w:ascii="Times New Roman" w:hAnsi="Times New Roman" w:cs="Times New Roman"/>
          <w:bCs/>
          <w:sz w:val="18"/>
          <w:szCs w:val="18"/>
        </w:rPr>
        <w:tab/>
      </w:r>
      <w:r w:rsidR="00D14FB0">
        <w:rPr>
          <w:rFonts w:ascii="Times New Roman" w:hAnsi="Times New Roman" w:cs="Times New Roman"/>
          <w:bCs/>
          <w:sz w:val="18"/>
          <w:szCs w:val="18"/>
        </w:rPr>
        <w:tab/>
      </w:r>
      <w:r w:rsidR="00D14FB0">
        <w:rPr>
          <w:rFonts w:ascii="Times New Roman" w:hAnsi="Times New Roman" w:cs="Times New Roman"/>
          <w:bCs/>
          <w:sz w:val="18"/>
          <w:szCs w:val="18"/>
        </w:rPr>
        <w:tab/>
      </w:r>
      <w:r w:rsidR="00D14FB0">
        <w:rPr>
          <w:rFonts w:ascii="Times New Roman" w:hAnsi="Times New Roman" w:cs="Times New Roman"/>
          <w:bCs/>
          <w:sz w:val="18"/>
          <w:szCs w:val="18"/>
        </w:rPr>
        <w:tab/>
      </w:r>
      <w:r w:rsidR="00D14FB0">
        <w:rPr>
          <w:rFonts w:ascii="Times New Roman" w:hAnsi="Times New Roman" w:cs="Times New Roman"/>
          <w:bCs/>
          <w:sz w:val="18"/>
          <w:szCs w:val="18"/>
        </w:rPr>
        <w:tab/>
        <w:t xml:space="preserve">            </w:t>
      </w:r>
      <w:r>
        <w:rPr>
          <w:rFonts w:ascii="Times New Roman" w:hAnsi="Times New Roman" w:cs="Times New Roman"/>
          <w:sz w:val="18"/>
          <w:szCs w:val="18"/>
        </w:rPr>
        <w:t>10</w:t>
      </w:r>
      <w:r w:rsidR="00F05213">
        <w:rPr>
          <w:rFonts w:ascii="Times New Roman" w:hAnsi="Times New Roman" w:cs="Times New Roman"/>
          <w:sz w:val="18"/>
          <w:szCs w:val="18"/>
        </w:rPr>
        <w:t>3</w:t>
      </w:r>
      <w:r w:rsidRPr="002E53F3">
        <w:rPr>
          <w:rFonts w:ascii="Times New Roman" w:hAnsi="Times New Roman" w:cs="Times New Roman"/>
          <w:sz w:val="18"/>
          <w:szCs w:val="18"/>
        </w:rPr>
        <w:t>-</w:t>
      </w:r>
      <w:r>
        <w:rPr>
          <w:rFonts w:ascii="Times New Roman" w:hAnsi="Times New Roman" w:cs="Times New Roman"/>
          <w:sz w:val="18"/>
          <w:szCs w:val="18"/>
        </w:rPr>
        <w:t>1</w:t>
      </w:r>
      <w:r w:rsidR="00561D22">
        <w:rPr>
          <w:rFonts w:ascii="Times New Roman" w:hAnsi="Times New Roman" w:cs="Times New Roman"/>
          <w:sz w:val="18"/>
          <w:szCs w:val="18"/>
        </w:rPr>
        <w:t>0</w:t>
      </w:r>
      <w:r w:rsidR="002B1A4C">
        <w:rPr>
          <w:rFonts w:ascii="Times New Roman" w:hAnsi="Times New Roman" w:cs="Times New Roman"/>
          <w:sz w:val="18"/>
          <w:szCs w:val="18"/>
        </w:rPr>
        <w:t>7</w:t>
      </w:r>
    </w:p>
    <w:p w14:paraId="78F36B0D" w14:textId="77777777" w:rsidR="00B666A1" w:rsidRDefault="00B666A1" w:rsidP="00B666A1">
      <w:pPr>
        <w:pStyle w:val="Default"/>
        <w:rPr>
          <w:rFonts w:ascii="Times New Roman" w:hAnsi="Times New Roman" w:cs="Times New Roman"/>
          <w:sz w:val="18"/>
          <w:szCs w:val="18"/>
        </w:rPr>
      </w:pPr>
    </w:p>
    <w:p w14:paraId="02E16721" w14:textId="77777777" w:rsidR="009A11BC" w:rsidRPr="0013526B" w:rsidRDefault="009A11BC" w:rsidP="0013526B">
      <w:pPr>
        <w:rPr>
          <w:sz w:val="18"/>
          <w:szCs w:val="18"/>
        </w:rPr>
      </w:pPr>
    </w:p>
    <w:p w14:paraId="1C3E0DC5" w14:textId="77777777" w:rsidR="009A11BC" w:rsidRPr="0013526B" w:rsidRDefault="009A11BC" w:rsidP="0013526B">
      <w:pPr>
        <w:rPr>
          <w:sz w:val="18"/>
          <w:szCs w:val="18"/>
        </w:rPr>
      </w:pPr>
    </w:p>
    <w:p w14:paraId="13A2FB90" w14:textId="77777777" w:rsidR="009A11BC" w:rsidRPr="0013526B" w:rsidRDefault="009A11BC" w:rsidP="0013526B">
      <w:pPr>
        <w:rPr>
          <w:sz w:val="18"/>
          <w:szCs w:val="18"/>
        </w:rPr>
      </w:pPr>
    </w:p>
    <w:p w14:paraId="6E99883E" w14:textId="77777777" w:rsidR="009A11BC" w:rsidRPr="0013526B" w:rsidRDefault="009A11BC" w:rsidP="0013526B">
      <w:pPr>
        <w:rPr>
          <w:sz w:val="18"/>
          <w:szCs w:val="18"/>
        </w:rPr>
      </w:pPr>
    </w:p>
    <w:p w14:paraId="130CB6ED" w14:textId="278A9405" w:rsidR="009A11BC" w:rsidRPr="0013526B" w:rsidRDefault="00C46D91" w:rsidP="00C46D91">
      <w:pPr>
        <w:tabs>
          <w:tab w:val="left" w:pos="6426"/>
        </w:tabs>
        <w:rPr>
          <w:sz w:val="18"/>
          <w:szCs w:val="18"/>
        </w:rPr>
      </w:pPr>
      <w:r>
        <w:rPr>
          <w:sz w:val="18"/>
          <w:szCs w:val="18"/>
        </w:rPr>
        <w:tab/>
      </w:r>
    </w:p>
    <w:p w14:paraId="69D25413" w14:textId="77777777" w:rsidR="009A11BC" w:rsidRPr="0013526B" w:rsidRDefault="009A11BC" w:rsidP="0013526B">
      <w:pPr>
        <w:rPr>
          <w:sz w:val="18"/>
          <w:szCs w:val="18"/>
        </w:rPr>
      </w:pPr>
    </w:p>
    <w:p w14:paraId="12D72B35" w14:textId="77777777" w:rsidR="00561D22" w:rsidRDefault="00561D22" w:rsidP="0013526B">
      <w:pPr>
        <w:rPr>
          <w:sz w:val="18"/>
          <w:szCs w:val="18"/>
        </w:rPr>
        <w:sectPr w:rsidR="00561D22" w:rsidSect="00B71F98">
          <w:headerReference w:type="default" r:id="rId8"/>
          <w:footerReference w:type="default" r:id="rId9"/>
          <w:footerReference w:type="first" r:id="rId10"/>
          <w:type w:val="continuous"/>
          <w:pgSz w:w="11907" w:h="16840" w:code="9"/>
          <w:pgMar w:top="1701" w:right="992" w:bottom="1134" w:left="1559" w:header="567" w:footer="397" w:gutter="0"/>
          <w:cols w:space="720"/>
          <w:docGrid w:linePitch="360"/>
        </w:sectPr>
      </w:pPr>
    </w:p>
    <w:tbl>
      <w:tblPr>
        <w:tblW w:w="9244" w:type="dxa"/>
        <w:tblInd w:w="113" w:type="dxa"/>
        <w:tblLayout w:type="fixed"/>
        <w:tblCellMar>
          <w:left w:w="0" w:type="dxa"/>
          <w:right w:w="0" w:type="dxa"/>
        </w:tblCellMar>
        <w:tblLook w:val="04A0" w:firstRow="1" w:lastRow="0" w:firstColumn="1" w:lastColumn="0" w:noHBand="0" w:noVBand="1"/>
      </w:tblPr>
      <w:tblGrid>
        <w:gridCol w:w="2244"/>
        <w:gridCol w:w="1536"/>
        <w:gridCol w:w="112"/>
        <w:gridCol w:w="1524"/>
        <w:gridCol w:w="123"/>
        <w:gridCol w:w="1476"/>
        <w:gridCol w:w="2229"/>
      </w:tblGrid>
      <w:tr w:rsidR="00C92587" w:rsidRPr="00EA2E1E" w14:paraId="3F67F902" w14:textId="77777777" w:rsidTr="002A1B51">
        <w:trPr>
          <w:cantSplit/>
        </w:trPr>
        <w:tc>
          <w:tcPr>
            <w:tcW w:w="2244" w:type="dxa"/>
            <w:shd w:val="clear" w:color="auto" w:fill="auto"/>
            <w:vAlign w:val="bottom"/>
          </w:tcPr>
          <w:p w14:paraId="4F53FE7A" w14:textId="77777777" w:rsidR="00C92587" w:rsidRPr="00EA2E1E" w:rsidRDefault="00C92587" w:rsidP="00C92587">
            <w:pPr>
              <w:jc w:val="center"/>
              <w:rPr>
                <w:b/>
                <w:sz w:val="18"/>
                <w:szCs w:val="18"/>
              </w:rPr>
            </w:pPr>
          </w:p>
        </w:tc>
        <w:tc>
          <w:tcPr>
            <w:tcW w:w="1536" w:type="dxa"/>
            <w:tcBorders>
              <w:bottom w:val="single" w:sz="4" w:space="0" w:color="auto"/>
            </w:tcBorders>
            <w:shd w:val="clear" w:color="auto" w:fill="auto"/>
            <w:vAlign w:val="bottom"/>
          </w:tcPr>
          <w:p w14:paraId="64567B6A" w14:textId="77777777" w:rsidR="00C92587" w:rsidRPr="00E22A2F" w:rsidRDefault="00C92587" w:rsidP="00C92587">
            <w:pPr>
              <w:jc w:val="center"/>
              <w:rPr>
                <w:b/>
                <w:sz w:val="16"/>
                <w:szCs w:val="16"/>
              </w:rPr>
            </w:pPr>
            <w:r w:rsidRPr="00E22A2F">
              <w:rPr>
                <w:b/>
                <w:sz w:val="16"/>
                <w:szCs w:val="16"/>
              </w:rPr>
              <w:t>Catatan/</w:t>
            </w:r>
          </w:p>
          <w:p w14:paraId="64C97D54" w14:textId="77777777" w:rsidR="00C92587" w:rsidRPr="00E22A2F" w:rsidRDefault="00C92587" w:rsidP="00C92587">
            <w:pPr>
              <w:jc w:val="center"/>
              <w:rPr>
                <w:b/>
                <w:i/>
                <w:sz w:val="16"/>
                <w:szCs w:val="16"/>
              </w:rPr>
            </w:pPr>
            <w:r w:rsidRPr="00E22A2F">
              <w:rPr>
                <w:b/>
                <w:i/>
                <w:sz w:val="16"/>
                <w:szCs w:val="16"/>
              </w:rPr>
              <w:t>Notes</w:t>
            </w:r>
          </w:p>
        </w:tc>
        <w:tc>
          <w:tcPr>
            <w:tcW w:w="112" w:type="dxa"/>
          </w:tcPr>
          <w:p w14:paraId="20D9E7F8" w14:textId="77777777" w:rsidR="00C92587" w:rsidRPr="00E22A2F" w:rsidRDefault="00C92587" w:rsidP="00C92587">
            <w:pPr>
              <w:jc w:val="center"/>
              <w:rPr>
                <w:b/>
                <w:sz w:val="16"/>
                <w:szCs w:val="16"/>
              </w:rPr>
            </w:pPr>
          </w:p>
        </w:tc>
        <w:tc>
          <w:tcPr>
            <w:tcW w:w="1524" w:type="dxa"/>
            <w:tcBorders>
              <w:bottom w:val="single" w:sz="4" w:space="0" w:color="auto"/>
            </w:tcBorders>
            <w:vAlign w:val="bottom"/>
          </w:tcPr>
          <w:p w14:paraId="704D781E" w14:textId="77777777" w:rsidR="00C92587" w:rsidRDefault="00C92587" w:rsidP="00C92587">
            <w:pPr>
              <w:jc w:val="center"/>
              <w:rPr>
                <w:b/>
                <w:sz w:val="16"/>
                <w:szCs w:val="16"/>
              </w:rPr>
            </w:pPr>
            <w:r w:rsidRPr="00E22A2F">
              <w:rPr>
                <w:b/>
                <w:sz w:val="16"/>
                <w:szCs w:val="16"/>
              </w:rPr>
              <w:t xml:space="preserve">31 Maret/ </w:t>
            </w:r>
          </w:p>
          <w:p w14:paraId="62A4D083" w14:textId="67061573" w:rsidR="00C92587" w:rsidRPr="00E22A2F" w:rsidRDefault="00C92587" w:rsidP="00C92587">
            <w:pPr>
              <w:jc w:val="center"/>
              <w:rPr>
                <w:b/>
                <w:sz w:val="16"/>
                <w:szCs w:val="16"/>
              </w:rPr>
            </w:pPr>
            <w:r w:rsidRPr="00E22A2F">
              <w:rPr>
                <w:b/>
                <w:sz w:val="16"/>
                <w:szCs w:val="16"/>
              </w:rPr>
              <w:t>March 31</w:t>
            </w:r>
            <w:r>
              <w:rPr>
                <w:b/>
                <w:sz w:val="16"/>
                <w:szCs w:val="16"/>
              </w:rPr>
              <w:t xml:space="preserve">, </w:t>
            </w:r>
            <w:r w:rsidRPr="00E22A2F">
              <w:rPr>
                <w:b/>
                <w:sz w:val="16"/>
                <w:szCs w:val="16"/>
              </w:rPr>
              <w:t>2020</w:t>
            </w:r>
          </w:p>
        </w:tc>
        <w:tc>
          <w:tcPr>
            <w:tcW w:w="123" w:type="dxa"/>
            <w:shd w:val="clear" w:color="auto" w:fill="auto"/>
            <w:vAlign w:val="bottom"/>
          </w:tcPr>
          <w:p w14:paraId="67E00D00" w14:textId="77777777" w:rsidR="00C92587" w:rsidRPr="00E22A2F" w:rsidRDefault="00C92587" w:rsidP="00C92587">
            <w:pPr>
              <w:jc w:val="center"/>
              <w:rPr>
                <w:b/>
                <w:sz w:val="16"/>
                <w:szCs w:val="16"/>
              </w:rPr>
            </w:pPr>
          </w:p>
        </w:tc>
        <w:tc>
          <w:tcPr>
            <w:tcW w:w="1476" w:type="dxa"/>
            <w:tcBorders>
              <w:bottom w:val="single" w:sz="4" w:space="0" w:color="auto"/>
            </w:tcBorders>
            <w:vAlign w:val="bottom"/>
          </w:tcPr>
          <w:p w14:paraId="7D06A890" w14:textId="77777777" w:rsidR="00C92587" w:rsidRDefault="00C92587" w:rsidP="00C92587">
            <w:pPr>
              <w:jc w:val="center"/>
              <w:rPr>
                <w:b/>
                <w:sz w:val="16"/>
                <w:szCs w:val="16"/>
              </w:rPr>
            </w:pPr>
            <w:r w:rsidRPr="00E22A2F">
              <w:rPr>
                <w:b/>
                <w:sz w:val="16"/>
                <w:szCs w:val="16"/>
              </w:rPr>
              <w:t>31 Desember/</w:t>
            </w:r>
          </w:p>
          <w:p w14:paraId="195FA9EB" w14:textId="037D848B" w:rsidR="00C92587" w:rsidRPr="00E22A2F" w:rsidRDefault="00C92587" w:rsidP="00C92587">
            <w:pPr>
              <w:jc w:val="center"/>
              <w:rPr>
                <w:b/>
                <w:sz w:val="16"/>
                <w:szCs w:val="16"/>
              </w:rPr>
            </w:pPr>
            <w:r w:rsidRPr="00E22A2F">
              <w:rPr>
                <w:b/>
                <w:sz w:val="16"/>
                <w:szCs w:val="16"/>
              </w:rPr>
              <w:t>December 31</w:t>
            </w:r>
            <w:r>
              <w:rPr>
                <w:b/>
                <w:sz w:val="16"/>
                <w:szCs w:val="16"/>
              </w:rPr>
              <w:t xml:space="preserve">, </w:t>
            </w:r>
            <w:r w:rsidRPr="00E22A2F">
              <w:rPr>
                <w:b/>
                <w:sz w:val="16"/>
                <w:szCs w:val="16"/>
              </w:rPr>
              <w:t>2019</w:t>
            </w:r>
          </w:p>
        </w:tc>
        <w:tc>
          <w:tcPr>
            <w:tcW w:w="2229" w:type="dxa"/>
            <w:shd w:val="clear" w:color="auto" w:fill="auto"/>
          </w:tcPr>
          <w:p w14:paraId="06066BF3" w14:textId="77777777" w:rsidR="00C92587" w:rsidRPr="00EA2E1E" w:rsidRDefault="00C92587" w:rsidP="00C92587">
            <w:pPr>
              <w:rPr>
                <w:sz w:val="18"/>
                <w:szCs w:val="18"/>
              </w:rPr>
            </w:pPr>
          </w:p>
        </w:tc>
      </w:tr>
      <w:tr w:rsidR="00996388" w:rsidRPr="00EA2E1E" w14:paraId="09CEDF36" w14:textId="77777777" w:rsidTr="002A1B51">
        <w:trPr>
          <w:cantSplit/>
        </w:trPr>
        <w:tc>
          <w:tcPr>
            <w:tcW w:w="2244" w:type="dxa"/>
            <w:shd w:val="clear" w:color="auto" w:fill="auto"/>
          </w:tcPr>
          <w:p w14:paraId="12C89041" w14:textId="77777777" w:rsidR="00996388" w:rsidRPr="00EA2E1E" w:rsidRDefault="00996388" w:rsidP="0013526B">
            <w:pPr>
              <w:rPr>
                <w:sz w:val="18"/>
                <w:szCs w:val="18"/>
              </w:rPr>
            </w:pPr>
          </w:p>
        </w:tc>
        <w:tc>
          <w:tcPr>
            <w:tcW w:w="1536" w:type="dxa"/>
            <w:tcBorders>
              <w:top w:val="single" w:sz="4" w:space="0" w:color="auto"/>
            </w:tcBorders>
            <w:shd w:val="clear" w:color="auto" w:fill="auto"/>
          </w:tcPr>
          <w:p w14:paraId="3352CEE0" w14:textId="77777777" w:rsidR="00996388" w:rsidRPr="00EA2E1E" w:rsidRDefault="00996388" w:rsidP="0013526B">
            <w:pPr>
              <w:rPr>
                <w:sz w:val="18"/>
                <w:szCs w:val="18"/>
              </w:rPr>
            </w:pPr>
          </w:p>
        </w:tc>
        <w:tc>
          <w:tcPr>
            <w:tcW w:w="112" w:type="dxa"/>
          </w:tcPr>
          <w:p w14:paraId="0AD7493C" w14:textId="77777777" w:rsidR="00996388" w:rsidRPr="00EA2E1E" w:rsidRDefault="00996388" w:rsidP="0013526B">
            <w:pPr>
              <w:rPr>
                <w:sz w:val="18"/>
                <w:szCs w:val="18"/>
              </w:rPr>
            </w:pPr>
          </w:p>
        </w:tc>
        <w:tc>
          <w:tcPr>
            <w:tcW w:w="1524" w:type="dxa"/>
            <w:tcBorders>
              <w:top w:val="single" w:sz="4" w:space="0" w:color="auto"/>
            </w:tcBorders>
            <w:vAlign w:val="bottom"/>
          </w:tcPr>
          <w:p w14:paraId="00213ED2" w14:textId="77777777" w:rsidR="00996388" w:rsidRPr="00EA2E1E" w:rsidRDefault="00996388" w:rsidP="0013526B">
            <w:pPr>
              <w:jc w:val="right"/>
              <w:rPr>
                <w:sz w:val="18"/>
                <w:szCs w:val="18"/>
              </w:rPr>
            </w:pPr>
          </w:p>
        </w:tc>
        <w:tc>
          <w:tcPr>
            <w:tcW w:w="123" w:type="dxa"/>
            <w:shd w:val="clear" w:color="auto" w:fill="auto"/>
            <w:vAlign w:val="bottom"/>
          </w:tcPr>
          <w:p w14:paraId="16739E5C" w14:textId="77777777" w:rsidR="00996388" w:rsidRPr="00EA2E1E" w:rsidRDefault="00996388" w:rsidP="0013526B">
            <w:pPr>
              <w:jc w:val="right"/>
              <w:rPr>
                <w:sz w:val="18"/>
                <w:szCs w:val="18"/>
              </w:rPr>
            </w:pPr>
          </w:p>
        </w:tc>
        <w:tc>
          <w:tcPr>
            <w:tcW w:w="1476" w:type="dxa"/>
            <w:tcBorders>
              <w:top w:val="single" w:sz="4" w:space="0" w:color="auto"/>
            </w:tcBorders>
            <w:vAlign w:val="bottom"/>
          </w:tcPr>
          <w:p w14:paraId="6C8EFF5F" w14:textId="77777777" w:rsidR="00996388" w:rsidRPr="00EA2E1E" w:rsidRDefault="00996388" w:rsidP="0013526B">
            <w:pPr>
              <w:jc w:val="right"/>
              <w:rPr>
                <w:sz w:val="18"/>
                <w:szCs w:val="18"/>
              </w:rPr>
            </w:pPr>
          </w:p>
        </w:tc>
        <w:tc>
          <w:tcPr>
            <w:tcW w:w="2229" w:type="dxa"/>
            <w:shd w:val="clear" w:color="auto" w:fill="auto"/>
          </w:tcPr>
          <w:p w14:paraId="44E7C073" w14:textId="77777777" w:rsidR="00996388" w:rsidRPr="00EA2E1E" w:rsidRDefault="00996388" w:rsidP="0013526B">
            <w:pPr>
              <w:rPr>
                <w:sz w:val="18"/>
                <w:szCs w:val="18"/>
              </w:rPr>
            </w:pPr>
          </w:p>
        </w:tc>
      </w:tr>
      <w:tr w:rsidR="00996388" w:rsidRPr="00EA2E1E" w14:paraId="0E4A26B3" w14:textId="77777777" w:rsidTr="002A1B51">
        <w:trPr>
          <w:cantSplit/>
        </w:trPr>
        <w:tc>
          <w:tcPr>
            <w:tcW w:w="2244" w:type="dxa"/>
            <w:shd w:val="clear" w:color="auto" w:fill="auto"/>
          </w:tcPr>
          <w:p w14:paraId="6055CF84" w14:textId="77777777" w:rsidR="00996388" w:rsidRPr="00EA2E1E" w:rsidRDefault="00996388" w:rsidP="0013526B">
            <w:pPr>
              <w:ind w:left="283" w:hanging="170"/>
              <w:rPr>
                <w:b/>
                <w:caps/>
                <w:sz w:val="18"/>
                <w:szCs w:val="18"/>
              </w:rPr>
            </w:pPr>
            <w:r w:rsidRPr="00EA2E1E">
              <w:rPr>
                <w:b/>
                <w:sz w:val="18"/>
                <w:szCs w:val="18"/>
              </w:rPr>
              <w:t>ASET</w:t>
            </w:r>
          </w:p>
        </w:tc>
        <w:tc>
          <w:tcPr>
            <w:tcW w:w="1536" w:type="dxa"/>
            <w:shd w:val="clear" w:color="auto" w:fill="auto"/>
          </w:tcPr>
          <w:p w14:paraId="5706DDEF" w14:textId="77777777" w:rsidR="00996388" w:rsidRPr="00EA2E1E" w:rsidRDefault="00996388" w:rsidP="0013526B">
            <w:pPr>
              <w:rPr>
                <w:sz w:val="18"/>
                <w:szCs w:val="18"/>
              </w:rPr>
            </w:pPr>
          </w:p>
        </w:tc>
        <w:tc>
          <w:tcPr>
            <w:tcW w:w="112" w:type="dxa"/>
          </w:tcPr>
          <w:p w14:paraId="3D7CF1A4" w14:textId="77777777" w:rsidR="00996388" w:rsidRPr="00EA2E1E" w:rsidRDefault="00996388" w:rsidP="0013526B">
            <w:pPr>
              <w:rPr>
                <w:sz w:val="18"/>
                <w:szCs w:val="18"/>
              </w:rPr>
            </w:pPr>
          </w:p>
        </w:tc>
        <w:tc>
          <w:tcPr>
            <w:tcW w:w="1524" w:type="dxa"/>
            <w:vAlign w:val="bottom"/>
          </w:tcPr>
          <w:p w14:paraId="7D4EF5EB" w14:textId="77777777" w:rsidR="00996388" w:rsidRPr="00EA2E1E" w:rsidRDefault="00996388" w:rsidP="0013526B">
            <w:pPr>
              <w:jc w:val="right"/>
              <w:rPr>
                <w:sz w:val="18"/>
                <w:szCs w:val="18"/>
              </w:rPr>
            </w:pPr>
          </w:p>
        </w:tc>
        <w:tc>
          <w:tcPr>
            <w:tcW w:w="123" w:type="dxa"/>
            <w:shd w:val="clear" w:color="auto" w:fill="auto"/>
            <w:vAlign w:val="bottom"/>
          </w:tcPr>
          <w:p w14:paraId="593D344D" w14:textId="77777777" w:rsidR="00996388" w:rsidRPr="00EA2E1E" w:rsidRDefault="00996388" w:rsidP="0013526B">
            <w:pPr>
              <w:jc w:val="right"/>
              <w:rPr>
                <w:sz w:val="18"/>
                <w:szCs w:val="18"/>
              </w:rPr>
            </w:pPr>
          </w:p>
        </w:tc>
        <w:tc>
          <w:tcPr>
            <w:tcW w:w="1476" w:type="dxa"/>
            <w:vAlign w:val="bottom"/>
          </w:tcPr>
          <w:p w14:paraId="1C0C5899" w14:textId="77777777" w:rsidR="00996388" w:rsidRPr="00EA2E1E" w:rsidRDefault="00996388" w:rsidP="0013526B">
            <w:pPr>
              <w:jc w:val="right"/>
              <w:rPr>
                <w:sz w:val="18"/>
                <w:szCs w:val="18"/>
              </w:rPr>
            </w:pPr>
          </w:p>
        </w:tc>
        <w:tc>
          <w:tcPr>
            <w:tcW w:w="2229" w:type="dxa"/>
            <w:shd w:val="clear" w:color="auto" w:fill="auto"/>
          </w:tcPr>
          <w:p w14:paraId="20AFAB45" w14:textId="77777777" w:rsidR="00996388" w:rsidRPr="00EA2E1E" w:rsidRDefault="00996388" w:rsidP="0013526B">
            <w:pPr>
              <w:ind w:right="57"/>
              <w:jc w:val="right"/>
              <w:rPr>
                <w:b/>
                <w:i/>
                <w:sz w:val="18"/>
                <w:szCs w:val="18"/>
              </w:rPr>
            </w:pPr>
            <w:r w:rsidRPr="00EA2E1E">
              <w:rPr>
                <w:b/>
                <w:i/>
                <w:sz w:val="18"/>
                <w:szCs w:val="18"/>
              </w:rPr>
              <w:t>ASSETS</w:t>
            </w:r>
          </w:p>
        </w:tc>
      </w:tr>
      <w:tr w:rsidR="00996388" w:rsidRPr="00EA2E1E" w14:paraId="26451087" w14:textId="77777777" w:rsidTr="002A1B51">
        <w:trPr>
          <w:cantSplit/>
        </w:trPr>
        <w:tc>
          <w:tcPr>
            <w:tcW w:w="2244" w:type="dxa"/>
            <w:shd w:val="clear" w:color="auto" w:fill="auto"/>
          </w:tcPr>
          <w:p w14:paraId="4DBB5015" w14:textId="77777777" w:rsidR="00996388" w:rsidRPr="00EA2E1E" w:rsidRDefault="00996388" w:rsidP="0013526B">
            <w:pPr>
              <w:ind w:left="283" w:hanging="170"/>
              <w:rPr>
                <w:b/>
                <w:sz w:val="18"/>
                <w:szCs w:val="18"/>
              </w:rPr>
            </w:pPr>
          </w:p>
        </w:tc>
        <w:tc>
          <w:tcPr>
            <w:tcW w:w="1536" w:type="dxa"/>
            <w:shd w:val="clear" w:color="auto" w:fill="auto"/>
          </w:tcPr>
          <w:p w14:paraId="25FC122B" w14:textId="77777777" w:rsidR="00996388" w:rsidRPr="00EA2E1E" w:rsidRDefault="00996388" w:rsidP="0013526B">
            <w:pPr>
              <w:rPr>
                <w:sz w:val="18"/>
                <w:szCs w:val="18"/>
              </w:rPr>
            </w:pPr>
          </w:p>
        </w:tc>
        <w:tc>
          <w:tcPr>
            <w:tcW w:w="112" w:type="dxa"/>
          </w:tcPr>
          <w:p w14:paraId="5251BB9C" w14:textId="77777777" w:rsidR="00996388" w:rsidRPr="00EA2E1E" w:rsidRDefault="00996388" w:rsidP="0013526B">
            <w:pPr>
              <w:rPr>
                <w:sz w:val="18"/>
                <w:szCs w:val="18"/>
              </w:rPr>
            </w:pPr>
          </w:p>
        </w:tc>
        <w:tc>
          <w:tcPr>
            <w:tcW w:w="1524" w:type="dxa"/>
            <w:vAlign w:val="bottom"/>
          </w:tcPr>
          <w:p w14:paraId="24972E29" w14:textId="77777777" w:rsidR="00996388" w:rsidRPr="00EA2E1E" w:rsidRDefault="00996388" w:rsidP="0013526B">
            <w:pPr>
              <w:jc w:val="right"/>
              <w:rPr>
                <w:sz w:val="18"/>
                <w:szCs w:val="18"/>
              </w:rPr>
            </w:pPr>
          </w:p>
        </w:tc>
        <w:tc>
          <w:tcPr>
            <w:tcW w:w="123" w:type="dxa"/>
            <w:shd w:val="clear" w:color="auto" w:fill="auto"/>
            <w:vAlign w:val="bottom"/>
          </w:tcPr>
          <w:p w14:paraId="56D2903E" w14:textId="77777777" w:rsidR="00996388" w:rsidRPr="00EA2E1E" w:rsidRDefault="00996388" w:rsidP="0013526B">
            <w:pPr>
              <w:jc w:val="right"/>
              <w:rPr>
                <w:sz w:val="18"/>
                <w:szCs w:val="18"/>
              </w:rPr>
            </w:pPr>
          </w:p>
        </w:tc>
        <w:tc>
          <w:tcPr>
            <w:tcW w:w="1476" w:type="dxa"/>
            <w:vAlign w:val="bottom"/>
          </w:tcPr>
          <w:p w14:paraId="66F480F3" w14:textId="77777777" w:rsidR="00996388" w:rsidRPr="00EA2E1E" w:rsidRDefault="00996388" w:rsidP="0013526B">
            <w:pPr>
              <w:jc w:val="right"/>
              <w:rPr>
                <w:sz w:val="18"/>
                <w:szCs w:val="18"/>
              </w:rPr>
            </w:pPr>
          </w:p>
        </w:tc>
        <w:tc>
          <w:tcPr>
            <w:tcW w:w="2229" w:type="dxa"/>
            <w:shd w:val="clear" w:color="auto" w:fill="auto"/>
          </w:tcPr>
          <w:p w14:paraId="4D03CFBB" w14:textId="77777777" w:rsidR="00996388" w:rsidRPr="00EA2E1E" w:rsidRDefault="00996388" w:rsidP="0013526B">
            <w:pPr>
              <w:ind w:right="57"/>
              <w:jc w:val="right"/>
              <w:rPr>
                <w:b/>
                <w:i/>
                <w:sz w:val="18"/>
                <w:szCs w:val="18"/>
              </w:rPr>
            </w:pPr>
          </w:p>
        </w:tc>
      </w:tr>
      <w:tr w:rsidR="00996388" w:rsidRPr="00EA2E1E" w14:paraId="6D45B503" w14:textId="77777777" w:rsidTr="002A1B51">
        <w:trPr>
          <w:cantSplit/>
        </w:trPr>
        <w:tc>
          <w:tcPr>
            <w:tcW w:w="2244" w:type="dxa"/>
            <w:shd w:val="clear" w:color="auto" w:fill="auto"/>
          </w:tcPr>
          <w:p w14:paraId="4297CB7B" w14:textId="77777777" w:rsidR="00996388" w:rsidRPr="00EA2E1E" w:rsidRDefault="00996388" w:rsidP="002D5BC9">
            <w:pPr>
              <w:ind w:left="283" w:hanging="170"/>
              <w:rPr>
                <w:b/>
                <w:sz w:val="18"/>
                <w:szCs w:val="18"/>
              </w:rPr>
            </w:pPr>
            <w:r w:rsidRPr="00EA2E1E">
              <w:rPr>
                <w:b/>
                <w:sz w:val="18"/>
                <w:szCs w:val="18"/>
              </w:rPr>
              <w:t>ASET LANCAR</w:t>
            </w:r>
          </w:p>
        </w:tc>
        <w:tc>
          <w:tcPr>
            <w:tcW w:w="1536" w:type="dxa"/>
            <w:shd w:val="clear" w:color="auto" w:fill="auto"/>
            <w:vAlign w:val="bottom"/>
          </w:tcPr>
          <w:p w14:paraId="54660F9D" w14:textId="77777777" w:rsidR="00996388" w:rsidRPr="00EA2E1E" w:rsidRDefault="00996388" w:rsidP="0013526B">
            <w:pPr>
              <w:jc w:val="center"/>
              <w:rPr>
                <w:sz w:val="18"/>
                <w:szCs w:val="18"/>
              </w:rPr>
            </w:pPr>
          </w:p>
        </w:tc>
        <w:tc>
          <w:tcPr>
            <w:tcW w:w="112" w:type="dxa"/>
          </w:tcPr>
          <w:p w14:paraId="6A71E362" w14:textId="77777777" w:rsidR="00996388" w:rsidRPr="00EA2E1E" w:rsidRDefault="00996388" w:rsidP="0013526B">
            <w:pPr>
              <w:rPr>
                <w:sz w:val="18"/>
                <w:szCs w:val="18"/>
              </w:rPr>
            </w:pPr>
          </w:p>
        </w:tc>
        <w:tc>
          <w:tcPr>
            <w:tcW w:w="1524" w:type="dxa"/>
            <w:vAlign w:val="bottom"/>
          </w:tcPr>
          <w:p w14:paraId="2E2D0F47" w14:textId="77777777" w:rsidR="00996388" w:rsidRPr="00EA2E1E" w:rsidRDefault="00996388" w:rsidP="0013526B">
            <w:pPr>
              <w:jc w:val="right"/>
              <w:rPr>
                <w:sz w:val="18"/>
                <w:szCs w:val="18"/>
              </w:rPr>
            </w:pPr>
          </w:p>
        </w:tc>
        <w:tc>
          <w:tcPr>
            <w:tcW w:w="123" w:type="dxa"/>
            <w:shd w:val="clear" w:color="auto" w:fill="auto"/>
            <w:vAlign w:val="bottom"/>
          </w:tcPr>
          <w:p w14:paraId="11AFE71F" w14:textId="77777777" w:rsidR="00996388" w:rsidRPr="00EA2E1E" w:rsidRDefault="00996388" w:rsidP="0013526B">
            <w:pPr>
              <w:jc w:val="right"/>
              <w:rPr>
                <w:sz w:val="18"/>
                <w:szCs w:val="18"/>
              </w:rPr>
            </w:pPr>
          </w:p>
        </w:tc>
        <w:tc>
          <w:tcPr>
            <w:tcW w:w="1476" w:type="dxa"/>
            <w:vAlign w:val="bottom"/>
          </w:tcPr>
          <w:p w14:paraId="244238F3" w14:textId="77777777" w:rsidR="00996388" w:rsidRPr="00EA2E1E" w:rsidRDefault="00996388" w:rsidP="0013526B">
            <w:pPr>
              <w:jc w:val="right"/>
              <w:rPr>
                <w:sz w:val="18"/>
                <w:szCs w:val="18"/>
              </w:rPr>
            </w:pPr>
          </w:p>
        </w:tc>
        <w:tc>
          <w:tcPr>
            <w:tcW w:w="2229" w:type="dxa"/>
            <w:shd w:val="clear" w:color="auto" w:fill="auto"/>
            <w:vAlign w:val="bottom"/>
          </w:tcPr>
          <w:p w14:paraId="1B8F8DF5" w14:textId="77777777" w:rsidR="00996388" w:rsidRPr="00EA2E1E" w:rsidRDefault="00996388" w:rsidP="0013526B">
            <w:pPr>
              <w:ind w:right="57"/>
              <w:jc w:val="right"/>
              <w:rPr>
                <w:b/>
                <w:i/>
                <w:sz w:val="18"/>
                <w:szCs w:val="18"/>
              </w:rPr>
            </w:pPr>
            <w:r w:rsidRPr="00EA2E1E">
              <w:rPr>
                <w:b/>
                <w:i/>
                <w:sz w:val="18"/>
                <w:szCs w:val="18"/>
              </w:rPr>
              <w:t>CURRENT ASSETS</w:t>
            </w:r>
          </w:p>
        </w:tc>
      </w:tr>
      <w:tr w:rsidR="00996388" w:rsidRPr="00EA2E1E" w14:paraId="68736978" w14:textId="77777777" w:rsidTr="002A1B51">
        <w:trPr>
          <w:cantSplit/>
        </w:trPr>
        <w:tc>
          <w:tcPr>
            <w:tcW w:w="2244" w:type="dxa"/>
            <w:shd w:val="clear" w:color="auto" w:fill="auto"/>
          </w:tcPr>
          <w:p w14:paraId="5BF29D24" w14:textId="77777777" w:rsidR="00461026" w:rsidRPr="00EA2E1E" w:rsidRDefault="00461026" w:rsidP="0013526B">
            <w:pPr>
              <w:ind w:left="283" w:hanging="170"/>
              <w:rPr>
                <w:sz w:val="18"/>
                <w:szCs w:val="18"/>
              </w:rPr>
            </w:pPr>
          </w:p>
          <w:p w14:paraId="263E1918" w14:textId="77777777" w:rsidR="00996388" w:rsidRPr="00EA2E1E" w:rsidRDefault="00996388" w:rsidP="0013526B">
            <w:pPr>
              <w:ind w:left="283" w:hanging="170"/>
              <w:rPr>
                <w:sz w:val="18"/>
                <w:szCs w:val="18"/>
              </w:rPr>
            </w:pPr>
            <w:r w:rsidRPr="00EA2E1E">
              <w:rPr>
                <w:sz w:val="18"/>
                <w:szCs w:val="18"/>
              </w:rPr>
              <w:t>Kas dan setara kas</w:t>
            </w:r>
          </w:p>
        </w:tc>
        <w:tc>
          <w:tcPr>
            <w:tcW w:w="1536" w:type="dxa"/>
            <w:shd w:val="clear" w:color="auto" w:fill="auto"/>
            <w:vAlign w:val="bottom"/>
          </w:tcPr>
          <w:p w14:paraId="375581DD" w14:textId="1D33C2CA" w:rsidR="00996388" w:rsidRPr="00EA2E1E" w:rsidRDefault="00996388" w:rsidP="00461026">
            <w:pPr>
              <w:jc w:val="center"/>
              <w:rPr>
                <w:sz w:val="18"/>
                <w:szCs w:val="18"/>
                <w:highlight w:val="red"/>
                <w:lang w:val="id-ID"/>
              </w:rPr>
            </w:pPr>
            <w:r w:rsidRPr="00B05A10">
              <w:rPr>
                <w:sz w:val="18"/>
                <w:szCs w:val="18"/>
              </w:rPr>
              <w:t>3f,3g,3r,5</w:t>
            </w:r>
            <w:r w:rsidR="00AB138E" w:rsidRPr="00B05A10">
              <w:rPr>
                <w:sz w:val="18"/>
                <w:szCs w:val="18"/>
              </w:rPr>
              <w:t>,</w:t>
            </w:r>
            <w:r w:rsidR="00461026" w:rsidRPr="00B05A10">
              <w:rPr>
                <w:sz w:val="18"/>
                <w:szCs w:val="18"/>
              </w:rPr>
              <w:br/>
            </w:r>
            <w:r w:rsidR="00AB138E" w:rsidRPr="00B05A10">
              <w:rPr>
                <w:sz w:val="18"/>
                <w:szCs w:val="18"/>
              </w:rPr>
              <w:t>3</w:t>
            </w:r>
            <w:r w:rsidR="00D316D9">
              <w:rPr>
                <w:sz w:val="18"/>
                <w:szCs w:val="18"/>
              </w:rPr>
              <w:t>5,39</w:t>
            </w:r>
          </w:p>
        </w:tc>
        <w:tc>
          <w:tcPr>
            <w:tcW w:w="112" w:type="dxa"/>
          </w:tcPr>
          <w:p w14:paraId="6663D473" w14:textId="77777777" w:rsidR="00996388" w:rsidRPr="00EA2E1E" w:rsidRDefault="00996388" w:rsidP="0013526B">
            <w:pPr>
              <w:rPr>
                <w:sz w:val="18"/>
                <w:szCs w:val="18"/>
              </w:rPr>
            </w:pPr>
          </w:p>
        </w:tc>
        <w:tc>
          <w:tcPr>
            <w:tcW w:w="1524" w:type="dxa"/>
            <w:shd w:val="clear" w:color="auto" w:fill="auto"/>
            <w:vAlign w:val="bottom"/>
          </w:tcPr>
          <w:p w14:paraId="1EDA1F77" w14:textId="532A107B" w:rsidR="00996388" w:rsidRPr="00B078AC" w:rsidRDefault="000941E8" w:rsidP="0013526B">
            <w:pPr>
              <w:jc w:val="right"/>
              <w:rPr>
                <w:bCs w:val="0"/>
                <w:sz w:val="18"/>
                <w:szCs w:val="18"/>
              </w:rPr>
            </w:pPr>
            <w:r w:rsidRPr="00B078AC">
              <w:rPr>
                <w:bCs w:val="0"/>
                <w:sz w:val="18"/>
                <w:szCs w:val="18"/>
              </w:rPr>
              <w:t>216.662.299.289</w:t>
            </w:r>
          </w:p>
        </w:tc>
        <w:tc>
          <w:tcPr>
            <w:tcW w:w="123" w:type="dxa"/>
            <w:shd w:val="clear" w:color="auto" w:fill="auto"/>
            <w:vAlign w:val="bottom"/>
          </w:tcPr>
          <w:p w14:paraId="30F5C9FC" w14:textId="77777777" w:rsidR="00996388" w:rsidRPr="00EA2E1E" w:rsidRDefault="00996388" w:rsidP="0013526B">
            <w:pPr>
              <w:jc w:val="right"/>
              <w:rPr>
                <w:sz w:val="18"/>
                <w:szCs w:val="18"/>
              </w:rPr>
            </w:pPr>
          </w:p>
        </w:tc>
        <w:tc>
          <w:tcPr>
            <w:tcW w:w="1476" w:type="dxa"/>
            <w:vAlign w:val="bottom"/>
          </w:tcPr>
          <w:p w14:paraId="60529366" w14:textId="702A030B" w:rsidR="00996388" w:rsidRPr="00FE279F" w:rsidRDefault="00A81E7D" w:rsidP="0013526B">
            <w:pPr>
              <w:ind w:right="57"/>
              <w:jc w:val="right"/>
              <w:rPr>
                <w:sz w:val="18"/>
                <w:szCs w:val="18"/>
              </w:rPr>
            </w:pPr>
            <w:r w:rsidRPr="003E545E">
              <w:rPr>
                <w:bCs w:val="0"/>
                <w:sz w:val="18"/>
                <w:szCs w:val="18"/>
              </w:rPr>
              <w:t>232.11</w:t>
            </w:r>
            <w:r>
              <w:rPr>
                <w:bCs w:val="0"/>
                <w:sz w:val="18"/>
                <w:szCs w:val="18"/>
              </w:rPr>
              <w:t>7</w:t>
            </w:r>
            <w:r w:rsidRPr="003E545E">
              <w:rPr>
                <w:bCs w:val="0"/>
                <w:sz w:val="18"/>
                <w:szCs w:val="18"/>
              </w:rPr>
              <w:t>.189.241</w:t>
            </w:r>
          </w:p>
        </w:tc>
        <w:tc>
          <w:tcPr>
            <w:tcW w:w="2229" w:type="dxa"/>
            <w:shd w:val="clear" w:color="auto" w:fill="auto"/>
            <w:vAlign w:val="bottom"/>
          </w:tcPr>
          <w:p w14:paraId="5AED9B80" w14:textId="77777777" w:rsidR="00996388" w:rsidRPr="00EA2E1E" w:rsidRDefault="00996388" w:rsidP="0013526B">
            <w:pPr>
              <w:ind w:right="57"/>
              <w:jc w:val="right"/>
              <w:rPr>
                <w:i/>
                <w:sz w:val="18"/>
                <w:szCs w:val="18"/>
              </w:rPr>
            </w:pPr>
            <w:r w:rsidRPr="00EA2E1E">
              <w:rPr>
                <w:i/>
                <w:sz w:val="18"/>
                <w:szCs w:val="18"/>
              </w:rPr>
              <w:t>Cash and cash equivalents</w:t>
            </w:r>
          </w:p>
        </w:tc>
      </w:tr>
      <w:tr w:rsidR="00996388" w:rsidRPr="00EA2E1E" w14:paraId="16832413" w14:textId="77777777" w:rsidTr="002A1B51">
        <w:trPr>
          <w:cantSplit/>
        </w:trPr>
        <w:tc>
          <w:tcPr>
            <w:tcW w:w="2244" w:type="dxa"/>
            <w:shd w:val="clear" w:color="auto" w:fill="auto"/>
          </w:tcPr>
          <w:p w14:paraId="71CA4DD4" w14:textId="77777777" w:rsidR="00996388" w:rsidRPr="00EA2E1E" w:rsidRDefault="00996388" w:rsidP="0013526B">
            <w:pPr>
              <w:ind w:left="283" w:hanging="170"/>
              <w:rPr>
                <w:sz w:val="18"/>
                <w:szCs w:val="18"/>
              </w:rPr>
            </w:pPr>
            <w:r w:rsidRPr="00EA2E1E">
              <w:rPr>
                <w:sz w:val="18"/>
                <w:szCs w:val="18"/>
              </w:rPr>
              <w:t xml:space="preserve">Piutang usaha </w:t>
            </w:r>
          </w:p>
        </w:tc>
        <w:tc>
          <w:tcPr>
            <w:tcW w:w="1536" w:type="dxa"/>
            <w:shd w:val="clear" w:color="auto" w:fill="auto"/>
            <w:vAlign w:val="bottom"/>
          </w:tcPr>
          <w:p w14:paraId="7918B586" w14:textId="77777777" w:rsidR="00996388" w:rsidRPr="00EA2E1E" w:rsidRDefault="00996388" w:rsidP="0013526B">
            <w:pPr>
              <w:jc w:val="center"/>
              <w:rPr>
                <w:sz w:val="18"/>
                <w:szCs w:val="18"/>
                <w:highlight w:val="red"/>
              </w:rPr>
            </w:pPr>
          </w:p>
        </w:tc>
        <w:tc>
          <w:tcPr>
            <w:tcW w:w="112" w:type="dxa"/>
          </w:tcPr>
          <w:p w14:paraId="43F8CB18" w14:textId="77777777" w:rsidR="00996388" w:rsidRPr="00EA2E1E" w:rsidRDefault="00996388" w:rsidP="0013526B">
            <w:pPr>
              <w:rPr>
                <w:sz w:val="18"/>
                <w:szCs w:val="18"/>
              </w:rPr>
            </w:pPr>
          </w:p>
        </w:tc>
        <w:tc>
          <w:tcPr>
            <w:tcW w:w="1524" w:type="dxa"/>
            <w:shd w:val="clear" w:color="auto" w:fill="auto"/>
            <w:vAlign w:val="bottom"/>
          </w:tcPr>
          <w:p w14:paraId="3A942379" w14:textId="77777777" w:rsidR="00996388" w:rsidRPr="00B078AC" w:rsidRDefault="00996388" w:rsidP="0013526B">
            <w:pPr>
              <w:ind w:right="57"/>
              <w:jc w:val="right"/>
              <w:rPr>
                <w:sz w:val="18"/>
                <w:szCs w:val="18"/>
              </w:rPr>
            </w:pPr>
          </w:p>
        </w:tc>
        <w:tc>
          <w:tcPr>
            <w:tcW w:w="123" w:type="dxa"/>
            <w:shd w:val="clear" w:color="auto" w:fill="auto"/>
            <w:vAlign w:val="bottom"/>
          </w:tcPr>
          <w:p w14:paraId="6021A4EF" w14:textId="77777777" w:rsidR="00996388" w:rsidRPr="00EA2E1E" w:rsidRDefault="00996388" w:rsidP="0013526B">
            <w:pPr>
              <w:jc w:val="right"/>
              <w:rPr>
                <w:sz w:val="18"/>
                <w:szCs w:val="18"/>
              </w:rPr>
            </w:pPr>
          </w:p>
        </w:tc>
        <w:tc>
          <w:tcPr>
            <w:tcW w:w="1476" w:type="dxa"/>
            <w:vAlign w:val="bottom"/>
          </w:tcPr>
          <w:p w14:paraId="05C145B6" w14:textId="7842AA1B" w:rsidR="00996388" w:rsidRPr="00FE279F" w:rsidRDefault="00996388" w:rsidP="0013526B">
            <w:pPr>
              <w:ind w:right="57"/>
              <w:jc w:val="right"/>
              <w:rPr>
                <w:sz w:val="18"/>
                <w:szCs w:val="18"/>
              </w:rPr>
            </w:pPr>
          </w:p>
        </w:tc>
        <w:tc>
          <w:tcPr>
            <w:tcW w:w="2229" w:type="dxa"/>
            <w:shd w:val="clear" w:color="auto" w:fill="auto"/>
            <w:vAlign w:val="bottom"/>
          </w:tcPr>
          <w:p w14:paraId="629C0545" w14:textId="77777777" w:rsidR="00996388" w:rsidRPr="00EA2E1E" w:rsidRDefault="00996388" w:rsidP="0013526B">
            <w:pPr>
              <w:ind w:right="57"/>
              <w:jc w:val="right"/>
              <w:rPr>
                <w:i/>
                <w:sz w:val="18"/>
                <w:szCs w:val="18"/>
              </w:rPr>
            </w:pPr>
            <w:r w:rsidRPr="00EA2E1E">
              <w:rPr>
                <w:i/>
                <w:sz w:val="18"/>
                <w:szCs w:val="18"/>
              </w:rPr>
              <w:t xml:space="preserve">Trade receivables </w:t>
            </w:r>
          </w:p>
        </w:tc>
      </w:tr>
      <w:tr w:rsidR="00921DC2" w:rsidRPr="00EA2E1E" w14:paraId="2D67E1FA" w14:textId="77777777" w:rsidTr="002A1B51">
        <w:trPr>
          <w:cantSplit/>
        </w:trPr>
        <w:tc>
          <w:tcPr>
            <w:tcW w:w="2244" w:type="dxa"/>
            <w:shd w:val="clear" w:color="auto" w:fill="auto"/>
            <w:vAlign w:val="bottom"/>
          </w:tcPr>
          <w:p w14:paraId="2562813B" w14:textId="5100CB1D" w:rsidR="00921DC2" w:rsidRPr="00EA2E1E" w:rsidRDefault="00921DC2" w:rsidP="00134466">
            <w:pPr>
              <w:ind w:left="283" w:firstLine="5"/>
              <w:rPr>
                <w:sz w:val="18"/>
                <w:szCs w:val="18"/>
              </w:rPr>
            </w:pPr>
            <w:r w:rsidRPr="00EA2E1E">
              <w:rPr>
                <w:sz w:val="18"/>
                <w:szCs w:val="18"/>
              </w:rPr>
              <w:t>Pihak berelasi</w:t>
            </w:r>
          </w:p>
        </w:tc>
        <w:tc>
          <w:tcPr>
            <w:tcW w:w="1536" w:type="dxa"/>
            <w:shd w:val="clear" w:color="auto" w:fill="auto"/>
            <w:vAlign w:val="bottom"/>
          </w:tcPr>
          <w:p w14:paraId="4F047180" w14:textId="63774B0E" w:rsidR="00921DC2" w:rsidRPr="00215F13" w:rsidRDefault="00CD1E01" w:rsidP="00215F13">
            <w:pPr>
              <w:jc w:val="center"/>
              <w:rPr>
                <w:sz w:val="18"/>
                <w:szCs w:val="18"/>
              </w:rPr>
            </w:pPr>
            <w:r w:rsidRPr="00484FE5">
              <w:rPr>
                <w:sz w:val="18"/>
                <w:szCs w:val="18"/>
              </w:rPr>
              <w:t>3e,3f,3h,3r</w:t>
            </w:r>
            <w:r w:rsidR="00ED68BB" w:rsidRPr="00484FE5">
              <w:rPr>
                <w:sz w:val="18"/>
                <w:szCs w:val="18"/>
              </w:rPr>
              <w:t>,6</w:t>
            </w:r>
            <w:r w:rsidR="00D316D9">
              <w:rPr>
                <w:sz w:val="18"/>
                <w:szCs w:val="18"/>
              </w:rPr>
              <w:t>,39</w:t>
            </w:r>
          </w:p>
        </w:tc>
        <w:tc>
          <w:tcPr>
            <w:tcW w:w="112" w:type="dxa"/>
          </w:tcPr>
          <w:p w14:paraId="788316C2" w14:textId="77777777" w:rsidR="00921DC2" w:rsidRPr="00EA2E1E" w:rsidRDefault="00921DC2" w:rsidP="0013526B">
            <w:pPr>
              <w:rPr>
                <w:sz w:val="18"/>
                <w:szCs w:val="18"/>
              </w:rPr>
            </w:pPr>
          </w:p>
        </w:tc>
        <w:tc>
          <w:tcPr>
            <w:tcW w:w="1524" w:type="dxa"/>
            <w:shd w:val="clear" w:color="auto" w:fill="auto"/>
            <w:vAlign w:val="bottom"/>
          </w:tcPr>
          <w:p w14:paraId="580D19D2" w14:textId="0FC72184" w:rsidR="00921DC2" w:rsidRPr="00B078AC" w:rsidRDefault="000941E8" w:rsidP="0013526B">
            <w:pPr>
              <w:ind w:right="57"/>
              <w:jc w:val="right"/>
              <w:rPr>
                <w:sz w:val="18"/>
                <w:szCs w:val="18"/>
              </w:rPr>
            </w:pPr>
            <w:r w:rsidRPr="00B078AC">
              <w:rPr>
                <w:sz w:val="18"/>
                <w:szCs w:val="18"/>
              </w:rPr>
              <w:t>-</w:t>
            </w:r>
          </w:p>
        </w:tc>
        <w:tc>
          <w:tcPr>
            <w:tcW w:w="123" w:type="dxa"/>
            <w:shd w:val="clear" w:color="auto" w:fill="auto"/>
            <w:vAlign w:val="bottom"/>
          </w:tcPr>
          <w:p w14:paraId="09A4652F" w14:textId="77777777" w:rsidR="00921DC2" w:rsidRPr="00EA2E1E" w:rsidRDefault="00921DC2" w:rsidP="0013526B">
            <w:pPr>
              <w:jc w:val="right"/>
              <w:rPr>
                <w:sz w:val="18"/>
                <w:szCs w:val="18"/>
              </w:rPr>
            </w:pPr>
          </w:p>
        </w:tc>
        <w:tc>
          <w:tcPr>
            <w:tcW w:w="1476" w:type="dxa"/>
            <w:vAlign w:val="bottom"/>
          </w:tcPr>
          <w:p w14:paraId="02CA7207" w14:textId="2049D311" w:rsidR="00921DC2" w:rsidRPr="00FE279F" w:rsidRDefault="00A81E7D" w:rsidP="0013526B">
            <w:pPr>
              <w:ind w:right="57"/>
              <w:jc w:val="right"/>
              <w:rPr>
                <w:sz w:val="18"/>
                <w:szCs w:val="18"/>
              </w:rPr>
            </w:pPr>
            <w:r w:rsidRPr="00106F76">
              <w:rPr>
                <w:sz w:val="18"/>
                <w:szCs w:val="18"/>
              </w:rPr>
              <w:t>1.927.400</w:t>
            </w:r>
          </w:p>
        </w:tc>
        <w:tc>
          <w:tcPr>
            <w:tcW w:w="2229" w:type="dxa"/>
            <w:shd w:val="clear" w:color="auto" w:fill="auto"/>
            <w:vAlign w:val="bottom"/>
          </w:tcPr>
          <w:p w14:paraId="2B8521A1" w14:textId="08EEFFDE" w:rsidR="00921DC2" w:rsidRPr="00EA2E1E" w:rsidRDefault="00921DC2" w:rsidP="007A6483">
            <w:pPr>
              <w:ind w:right="282"/>
              <w:jc w:val="right"/>
              <w:rPr>
                <w:i/>
                <w:sz w:val="18"/>
                <w:szCs w:val="18"/>
              </w:rPr>
            </w:pPr>
            <w:r w:rsidRPr="00EA2E1E">
              <w:rPr>
                <w:i/>
                <w:sz w:val="18"/>
                <w:szCs w:val="18"/>
              </w:rPr>
              <w:t>Trade receivable</w:t>
            </w:r>
          </w:p>
        </w:tc>
      </w:tr>
      <w:tr w:rsidR="00996388" w:rsidRPr="00EA2E1E" w14:paraId="38BEC53C" w14:textId="77777777" w:rsidTr="002A1B51">
        <w:trPr>
          <w:cantSplit/>
          <w:trHeight w:val="63"/>
        </w:trPr>
        <w:tc>
          <w:tcPr>
            <w:tcW w:w="2244" w:type="dxa"/>
            <w:shd w:val="clear" w:color="auto" w:fill="auto"/>
          </w:tcPr>
          <w:p w14:paraId="400BB7FB" w14:textId="7374FD8A" w:rsidR="00996388" w:rsidRPr="00EA2E1E" w:rsidRDefault="00996388" w:rsidP="0013526B">
            <w:pPr>
              <w:ind w:left="284"/>
              <w:rPr>
                <w:sz w:val="18"/>
                <w:szCs w:val="18"/>
              </w:rPr>
            </w:pPr>
            <w:r w:rsidRPr="00EA2E1E">
              <w:rPr>
                <w:sz w:val="18"/>
                <w:szCs w:val="18"/>
                <w:lang w:val="id-ID"/>
              </w:rPr>
              <w:t>P</w:t>
            </w:r>
            <w:r w:rsidRPr="00EA2E1E">
              <w:rPr>
                <w:sz w:val="18"/>
                <w:szCs w:val="18"/>
              </w:rPr>
              <w:t xml:space="preserve">ihak ketiga </w:t>
            </w:r>
            <w:r w:rsidR="00921DC2" w:rsidRPr="00EA2E1E">
              <w:rPr>
                <w:sz w:val="18"/>
                <w:szCs w:val="18"/>
              </w:rPr>
              <w:t xml:space="preserve">setelah </w:t>
            </w:r>
          </w:p>
        </w:tc>
        <w:tc>
          <w:tcPr>
            <w:tcW w:w="1536" w:type="dxa"/>
            <w:shd w:val="clear" w:color="auto" w:fill="auto"/>
            <w:vAlign w:val="bottom"/>
          </w:tcPr>
          <w:p w14:paraId="1C9DF22D" w14:textId="57D253FF" w:rsidR="00996388" w:rsidRPr="00EA2E1E" w:rsidRDefault="00996388" w:rsidP="0013526B">
            <w:pPr>
              <w:jc w:val="center"/>
              <w:rPr>
                <w:sz w:val="18"/>
                <w:szCs w:val="18"/>
                <w:highlight w:val="red"/>
              </w:rPr>
            </w:pPr>
          </w:p>
        </w:tc>
        <w:tc>
          <w:tcPr>
            <w:tcW w:w="112" w:type="dxa"/>
          </w:tcPr>
          <w:p w14:paraId="72606197" w14:textId="77777777" w:rsidR="00996388" w:rsidRPr="00EA2E1E" w:rsidRDefault="00996388" w:rsidP="0013526B">
            <w:pPr>
              <w:rPr>
                <w:sz w:val="18"/>
                <w:szCs w:val="18"/>
              </w:rPr>
            </w:pPr>
          </w:p>
        </w:tc>
        <w:tc>
          <w:tcPr>
            <w:tcW w:w="1524" w:type="dxa"/>
            <w:shd w:val="clear" w:color="auto" w:fill="auto"/>
            <w:vAlign w:val="bottom"/>
          </w:tcPr>
          <w:p w14:paraId="768CD55D" w14:textId="2478FF03" w:rsidR="00996388" w:rsidRPr="00B078AC" w:rsidRDefault="00996388" w:rsidP="0013526B">
            <w:pPr>
              <w:ind w:right="57"/>
              <w:jc w:val="right"/>
              <w:rPr>
                <w:sz w:val="18"/>
                <w:szCs w:val="18"/>
              </w:rPr>
            </w:pPr>
          </w:p>
        </w:tc>
        <w:tc>
          <w:tcPr>
            <w:tcW w:w="123" w:type="dxa"/>
            <w:shd w:val="clear" w:color="auto" w:fill="auto"/>
            <w:vAlign w:val="bottom"/>
          </w:tcPr>
          <w:p w14:paraId="13E24633" w14:textId="77777777" w:rsidR="00996388" w:rsidRPr="00EA2E1E" w:rsidRDefault="00996388" w:rsidP="0013526B">
            <w:pPr>
              <w:jc w:val="right"/>
              <w:rPr>
                <w:sz w:val="18"/>
                <w:szCs w:val="18"/>
              </w:rPr>
            </w:pPr>
          </w:p>
        </w:tc>
        <w:tc>
          <w:tcPr>
            <w:tcW w:w="1476" w:type="dxa"/>
            <w:vAlign w:val="bottom"/>
          </w:tcPr>
          <w:p w14:paraId="6AABDE47" w14:textId="199CBAE5" w:rsidR="00996388" w:rsidRPr="00FE279F" w:rsidRDefault="00996388" w:rsidP="0013526B">
            <w:pPr>
              <w:ind w:right="57"/>
              <w:jc w:val="right"/>
              <w:rPr>
                <w:sz w:val="18"/>
                <w:szCs w:val="18"/>
              </w:rPr>
            </w:pPr>
          </w:p>
        </w:tc>
        <w:tc>
          <w:tcPr>
            <w:tcW w:w="2229" w:type="dxa"/>
            <w:shd w:val="clear" w:color="auto" w:fill="auto"/>
            <w:vAlign w:val="bottom"/>
          </w:tcPr>
          <w:p w14:paraId="5E7B3C22" w14:textId="3DE6967B" w:rsidR="00996388" w:rsidRPr="00EA2E1E" w:rsidRDefault="00AB53F4" w:rsidP="007A6483">
            <w:pPr>
              <w:ind w:right="282"/>
              <w:jc w:val="right"/>
              <w:rPr>
                <w:i/>
                <w:sz w:val="18"/>
                <w:szCs w:val="18"/>
              </w:rPr>
            </w:pPr>
            <w:r w:rsidRPr="00EA2E1E">
              <w:rPr>
                <w:i/>
                <w:sz w:val="18"/>
                <w:szCs w:val="18"/>
              </w:rPr>
              <w:t>Third parties-net</w:t>
            </w:r>
          </w:p>
        </w:tc>
      </w:tr>
      <w:tr w:rsidR="00996388" w:rsidRPr="00EA2E1E" w14:paraId="0E9F1A3D" w14:textId="77777777" w:rsidTr="002A1B51">
        <w:trPr>
          <w:cantSplit/>
        </w:trPr>
        <w:tc>
          <w:tcPr>
            <w:tcW w:w="2244" w:type="dxa"/>
            <w:shd w:val="clear" w:color="auto" w:fill="auto"/>
          </w:tcPr>
          <w:p w14:paraId="09A16352" w14:textId="6F5AA30F" w:rsidR="00996388" w:rsidRPr="00EA2E1E" w:rsidRDefault="00996388" w:rsidP="00546AE3">
            <w:pPr>
              <w:ind w:left="340"/>
              <w:rPr>
                <w:sz w:val="18"/>
                <w:szCs w:val="18"/>
              </w:rPr>
            </w:pPr>
            <w:r w:rsidRPr="00EA2E1E">
              <w:rPr>
                <w:sz w:val="18"/>
                <w:szCs w:val="18"/>
              </w:rPr>
              <w:t xml:space="preserve">dikurangi </w:t>
            </w:r>
            <w:r w:rsidR="00921DC2" w:rsidRPr="00EA2E1E">
              <w:rPr>
                <w:sz w:val="18"/>
                <w:szCs w:val="18"/>
              </w:rPr>
              <w:t xml:space="preserve">cadangan </w:t>
            </w:r>
          </w:p>
        </w:tc>
        <w:tc>
          <w:tcPr>
            <w:tcW w:w="1536" w:type="dxa"/>
            <w:shd w:val="clear" w:color="auto" w:fill="auto"/>
            <w:vAlign w:val="bottom"/>
          </w:tcPr>
          <w:p w14:paraId="0F6BF012" w14:textId="77777777" w:rsidR="00996388" w:rsidRPr="00EA2E1E" w:rsidRDefault="00996388" w:rsidP="0013526B">
            <w:pPr>
              <w:jc w:val="center"/>
              <w:rPr>
                <w:sz w:val="18"/>
                <w:szCs w:val="18"/>
                <w:highlight w:val="red"/>
              </w:rPr>
            </w:pPr>
          </w:p>
        </w:tc>
        <w:tc>
          <w:tcPr>
            <w:tcW w:w="112" w:type="dxa"/>
          </w:tcPr>
          <w:p w14:paraId="3AE5AD9E" w14:textId="77777777" w:rsidR="00996388" w:rsidRPr="00EA2E1E" w:rsidRDefault="00996388" w:rsidP="0013526B">
            <w:pPr>
              <w:rPr>
                <w:sz w:val="18"/>
                <w:szCs w:val="18"/>
              </w:rPr>
            </w:pPr>
          </w:p>
        </w:tc>
        <w:tc>
          <w:tcPr>
            <w:tcW w:w="1524" w:type="dxa"/>
            <w:shd w:val="clear" w:color="auto" w:fill="auto"/>
            <w:vAlign w:val="bottom"/>
          </w:tcPr>
          <w:p w14:paraId="18426064" w14:textId="2ECE1FB1" w:rsidR="00996388" w:rsidRPr="00B078AC" w:rsidRDefault="00996388" w:rsidP="0013526B">
            <w:pPr>
              <w:ind w:right="57"/>
              <w:jc w:val="right"/>
              <w:rPr>
                <w:sz w:val="18"/>
                <w:szCs w:val="18"/>
                <w:lang w:val="id-ID"/>
              </w:rPr>
            </w:pPr>
          </w:p>
        </w:tc>
        <w:tc>
          <w:tcPr>
            <w:tcW w:w="123" w:type="dxa"/>
            <w:shd w:val="clear" w:color="auto" w:fill="auto"/>
            <w:vAlign w:val="bottom"/>
          </w:tcPr>
          <w:p w14:paraId="45789593" w14:textId="77777777" w:rsidR="00996388" w:rsidRPr="00EA2E1E" w:rsidRDefault="00996388" w:rsidP="0013526B">
            <w:pPr>
              <w:jc w:val="right"/>
              <w:rPr>
                <w:sz w:val="18"/>
                <w:szCs w:val="18"/>
              </w:rPr>
            </w:pPr>
          </w:p>
        </w:tc>
        <w:tc>
          <w:tcPr>
            <w:tcW w:w="1476" w:type="dxa"/>
            <w:vAlign w:val="bottom"/>
          </w:tcPr>
          <w:p w14:paraId="3E0EF98D" w14:textId="77777777" w:rsidR="00996388" w:rsidRPr="00FE279F" w:rsidRDefault="00996388" w:rsidP="0013526B">
            <w:pPr>
              <w:ind w:right="57"/>
              <w:jc w:val="right"/>
              <w:rPr>
                <w:sz w:val="18"/>
                <w:szCs w:val="18"/>
              </w:rPr>
            </w:pPr>
          </w:p>
        </w:tc>
        <w:tc>
          <w:tcPr>
            <w:tcW w:w="2229" w:type="dxa"/>
            <w:shd w:val="clear" w:color="auto" w:fill="auto"/>
            <w:vAlign w:val="bottom"/>
          </w:tcPr>
          <w:p w14:paraId="5F886532" w14:textId="01B086A8" w:rsidR="00996388" w:rsidRPr="00EA2E1E" w:rsidRDefault="00735E03" w:rsidP="007A6483">
            <w:pPr>
              <w:ind w:right="366"/>
              <w:jc w:val="right"/>
              <w:rPr>
                <w:i/>
                <w:sz w:val="18"/>
                <w:szCs w:val="18"/>
              </w:rPr>
            </w:pPr>
            <w:r w:rsidRPr="00EA2E1E">
              <w:rPr>
                <w:i/>
                <w:sz w:val="18"/>
                <w:szCs w:val="18"/>
              </w:rPr>
              <w:t>of allowance</w:t>
            </w:r>
          </w:p>
        </w:tc>
      </w:tr>
      <w:tr w:rsidR="00996388" w:rsidRPr="00EA2E1E" w14:paraId="7377BB8D" w14:textId="77777777" w:rsidTr="002A1B51">
        <w:trPr>
          <w:cantSplit/>
        </w:trPr>
        <w:tc>
          <w:tcPr>
            <w:tcW w:w="2244" w:type="dxa"/>
            <w:shd w:val="clear" w:color="auto" w:fill="auto"/>
          </w:tcPr>
          <w:p w14:paraId="08BE5F4B" w14:textId="659D06BA" w:rsidR="00996388" w:rsidRPr="00EA2E1E" w:rsidRDefault="00921DC2" w:rsidP="00546AE3">
            <w:pPr>
              <w:ind w:left="340"/>
              <w:rPr>
                <w:sz w:val="18"/>
                <w:szCs w:val="18"/>
              </w:rPr>
            </w:pPr>
            <w:r w:rsidRPr="00EA2E1E">
              <w:rPr>
                <w:sz w:val="18"/>
                <w:szCs w:val="18"/>
              </w:rPr>
              <w:t>kerugian penurunan nilai</w:t>
            </w:r>
          </w:p>
        </w:tc>
        <w:tc>
          <w:tcPr>
            <w:tcW w:w="1536" w:type="dxa"/>
            <w:shd w:val="clear" w:color="auto" w:fill="auto"/>
            <w:vAlign w:val="bottom"/>
          </w:tcPr>
          <w:p w14:paraId="0A5A7E84" w14:textId="77777777" w:rsidR="00996388" w:rsidRPr="00EA2E1E" w:rsidRDefault="00996388" w:rsidP="0013526B">
            <w:pPr>
              <w:jc w:val="center"/>
              <w:rPr>
                <w:sz w:val="18"/>
                <w:szCs w:val="18"/>
                <w:highlight w:val="red"/>
              </w:rPr>
            </w:pPr>
          </w:p>
        </w:tc>
        <w:tc>
          <w:tcPr>
            <w:tcW w:w="112" w:type="dxa"/>
          </w:tcPr>
          <w:p w14:paraId="4CB43F41" w14:textId="77777777" w:rsidR="00996388" w:rsidRPr="00EA2E1E" w:rsidRDefault="00996388" w:rsidP="0013526B">
            <w:pPr>
              <w:rPr>
                <w:sz w:val="18"/>
                <w:szCs w:val="18"/>
              </w:rPr>
            </w:pPr>
          </w:p>
        </w:tc>
        <w:tc>
          <w:tcPr>
            <w:tcW w:w="1524" w:type="dxa"/>
            <w:shd w:val="clear" w:color="auto" w:fill="auto"/>
            <w:vAlign w:val="bottom"/>
          </w:tcPr>
          <w:p w14:paraId="39EB8E62" w14:textId="77777777" w:rsidR="00996388" w:rsidRPr="00B078AC" w:rsidRDefault="00996388" w:rsidP="0013526B">
            <w:pPr>
              <w:ind w:right="57"/>
              <w:jc w:val="right"/>
              <w:rPr>
                <w:sz w:val="18"/>
                <w:szCs w:val="18"/>
              </w:rPr>
            </w:pPr>
          </w:p>
        </w:tc>
        <w:tc>
          <w:tcPr>
            <w:tcW w:w="123" w:type="dxa"/>
            <w:shd w:val="clear" w:color="auto" w:fill="auto"/>
            <w:vAlign w:val="bottom"/>
          </w:tcPr>
          <w:p w14:paraId="1CC2236A" w14:textId="77777777" w:rsidR="00996388" w:rsidRPr="00EA2E1E" w:rsidRDefault="00996388" w:rsidP="0013526B">
            <w:pPr>
              <w:jc w:val="right"/>
              <w:rPr>
                <w:sz w:val="18"/>
                <w:szCs w:val="18"/>
              </w:rPr>
            </w:pPr>
          </w:p>
        </w:tc>
        <w:tc>
          <w:tcPr>
            <w:tcW w:w="1476" w:type="dxa"/>
            <w:vAlign w:val="bottom"/>
          </w:tcPr>
          <w:p w14:paraId="5ED55CDE" w14:textId="77777777" w:rsidR="00996388" w:rsidRPr="00FE279F" w:rsidRDefault="00996388" w:rsidP="0013526B">
            <w:pPr>
              <w:ind w:right="57"/>
              <w:jc w:val="right"/>
              <w:rPr>
                <w:sz w:val="18"/>
                <w:szCs w:val="18"/>
              </w:rPr>
            </w:pPr>
          </w:p>
        </w:tc>
        <w:tc>
          <w:tcPr>
            <w:tcW w:w="2229" w:type="dxa"/>
            <w:shd w:val="clear" w:color="auto" w:fill="auto"/>
            <w:vAlign w:val="bottom"/>
          </w:tcPr>
          <w:p w14:paraId="3A5895CD" w14:textId="161EBAA4" w:rsidR="00996388" w:rsidRPr="00EA2E1E" w:rsidRDefault="00735E03" w:rsidP="007A6483">
            <w:pPr>
              <w:ind w:right="366"/>
              <w:jc w:val="right"/>
              <w:rPr>
                <w:i/>
                <w:sz w:val="18"/>
                <w:szCs w:val="18"/>
              </w:rPr>
            </w:pPr>
            <w:r w:rsidRPr="00EA2E1E">
              <w:rPr>
                <w:i/>
                <w:sz w:val="18"/>
                <w:szCs w:val="18"/>
              </w:rPr>
              <w:t>for impairment losses</w:t>
            </w:r>
          </w:p>
        </w:tc>
      </w:tr>
      <w:tr w:rsidR="00996388" w:rsidRPr="00EA2E1E" w14:paraId="0A5BA772" w14:textId="77777777" w:rsidTr="002A1B51">
        <w:trPr>
          <w:cantSplit/>
        </w:trPr>
        <w:tc>
          <w:tcPr>
            <w:tcW w:w="2244" w:type="dxa"/>
            <w:shd w:val="clear" w:color="auto" w:fill="auto"/>
          </w:tcPr>
          <w:p w14:paraId="53630782" w14:textId="513D5EF7" w:rsidR="00996388" w:rsidRPr="00EA2E1E" w:rsidRDefault="00C43FEA" w:rsidP="00546AE3">
            <w:pPr>
              <w:ind w:left="340"/>
              <w:rPr>
                <w:sz w:val="18"/>
                <w:szCs w:val="18"/>
              </w:rPr>
            </w:pPr>
            <w:r>
              <w:rPr>
                <w:sz w:val="18"/>
                <w:szCs w:val="18"/>
              </w:rPr>
              <w:t>s</w:t>
            </w:r>
            <w:r w:rsidR="002210E9">
              <w:rPr>
                <w:sz w:val="18"/>
                <w:szCs w:val="18"/>
              </w:rPr>
              <w:t>ebesar</w:t>
            </w:r>
            <w:r w:rsidR="00546AE3">
              <w:rPr>
                <w:sz w:val="18"/>
                <w:szCs w:val="18"/>
              </w:rPr>
              <w:t xml:space="preserve"> </w:t>
            </w:r>
            <w:r w:rsidR="00EB0708">
              <w:rPr>
                <w:sz w:val="18"/>
                <w:szCs w:val="18"/>
              </w:rPr>
              <w:br/>
            </w:r>
            <w:r w:rsidR="004A1988">
              <w:rPr>
                <w:sz w:val="18"/>
                <w:szCs w:val="18"/>
                <w:lang w:val="id-ID"/>
              </w:rPr>
              <w:t>Rp</w:t>
            </w:r>
            <w:r w:rsidR="0091112E">
              <w:rPr>
                <w:sz w:val="18"/>
                <w:szCs w:val="18"/>
              </w:rPr>
              <w:t xml:space="preserve"> </w:t>
            </w:r>
            <w:r w:rsidR="000941E8">
              <w:rPr>
                <w:sz w:val="18"/>
                <w:szCs w:val="18"/>
                <w:lang w:val="id-ID"/>
              </w:rPr>
              <w:t>17.624.947.621</w:t>
            </w:r>
            <w:r w:rsidR="00996388" w:rsidRPr="00EA2E1E">
              <w:rPr>
                <w:sz w:val="18"/>
                <w:szCs w:val="18"/>
              </w:rPr>
              <w:t xml:space="preserve"> </w:t>
            </w:r>
          </w:p>
        </w:tc>
        <w:tc>
          <w:tcPr>
            <w:tcW w:w="1536" w:type="dxa"/>
            <w:shd w:val="clear" w:color="auto" w:fill="auto"/>
            <w:vAlign w:val="bottom"/>
          </w:tcPr>
          <w:p w14:paraId="1923E6A9" w14:textId="77777777" w:rsidR="00996388" w:rsidRPr="00EA2E1E" w:rsidRDefault="00996388" w:rsidP="0013526B">
            <w:pPr>
              <w:jc w:val="center"/>
              <w:rPr>
                <w:sz w:val="18"/>
                <w:szCs w:val="18"/>
                <w:highlight w:val="red"/>
              </w:rPr>
            </w:pPr>
          </w:p>
        </w:tc>
        <w:tc>
          <w:tcPr>
            <w:tcW w:w="112" w:type="dxa"/>
          </w:tcPr>
          <w:p w14:paraId="1154B278" w14:textId="77777777" w:rsidR="00996388" w:rsidRPr="00EA2E1E" w:rsidRDefault="00996388" w:rsidP="0013526B">
            <w:pPr>
              <w:rPr>
                <w:sz w:val="18"/>
                <w:szCs w:val="18"/>
              </w:rPr>
            </w:pPr>
          </w:p>
        </w:tc>
        <w:tc>
          <w:tcPr>
            <w:tcW w:w="1524" w:type="dxa"/>
            <w:shd w:val="clear" w:color="auto" w:fill="auto"/>
            <w:vAlign w:val="bottom"/>
          </w:tcPr>
          <w:p w14:paraId="794F6D99" w14:textId="7DC20EEB" w:rsidR="00996388" w:rsidRPr="00B078AC" w:rsidRDefault="00996388" w:rsidP="0013526B">
            <w:pPr>
              <w:ind w:right="57"/>
              <w:jc w:val="right"/>
              <w:rPr>
                <w:sz w:val="18"/>
                <w:szCs w:val="18"/>
              </w:rPr>
            </w:pPr>
          </w:p>
        </w:tc>
        <w:tc>
          <w:tcPr>
            <w:tcW w:w="123" w:type="dxa"/>
            <w:shd w:val="clear" w:color="auto" w:fill="auto"/>
            <w:vAlign w:val="bottom"/>
          </w:tcPr>
          <w:p w14:paraId="772C75C6" w14:textId="77777777" w:rsidR="00996388" w:rsidRPr="00EA2E1E" w:rsidRDefault="00996388" w:rsidP="0013526B">
            <w:pPr>
              <w:jc w:val="right"/>
              <w:rPr>
                <w:sz w:val="18"/>
                <w:szCs w:val="18"/>
              </w:rPr>
            </w:pPr>
          </w:p>
        </w:tc>
        <w:tc>
          <w:tcPr>
            <w:tcW w:w="1476" w:type="dxa"/>
            <w:vAlign w:val="bottom"/>
          </w:tcPr>
          <w:p w14:paraId="7FAF1C0B" w14:textId="77777777" w:rsidR="00996388" w:rsidRPr="00FE279F" w:rsidRDefault="00996388" w:rsidP="0013526B">
            <w:pPr>
              <w:ind w:right="57"/>
              <w:jc w:val="right"/>
              <w:rPr>
                <w:sz w:val="18"/>
                <w:szCs w:val="18"/>
              </w:rPr>
            </w:pPr>
          </w:p>
        </w:tc>
        <w:tc>
          <w:tcPr>
            <w:tcW w:w="2229" w:type="dxa"/>
            <w:shd w:val="clear" w:color="auto" w:fill="auto"/>
            <w:vAlign w:val="bottom"/>
          </w:tcPr>
          <w:p w14:paraId="7BD3E095" w14:textId="523827F2" w:rsidR="00996388" w:rsidRPr="000941E8" w:rsidRDefault="00735E03" w:rsidP="000941E8">
            <w:pPr>
              <w:ind w:left="344" w:right="366"/>
              <w:jc w:val="right"/>
              <w:rPr>
                <w:i/>
                <w:sz w:val="18"/>
                <w:szCs w:val="18"/>
              </w:rPr>
            </w:pPr>
            <w:r w:rsidRPr="00EA2E1E">
              <w:rPr>
                <w:i/>
                <w:sz w:val="18"/>
                <w:szCs w:val="18"/>
              </w:rPr>
              <w:t xml:space="preserve">for </w:t>
            </w:r>
            <w:r w:rsidR="00EB0708">
              <w:rPr>
                <w:i/>
                <w:sz w:val="18"/>
                <w:szCs w:val="18"/>
              </w:rPr>
              <w:br/>
            </w:r>
            <w:r w:rsidR="004A1988">
              <w:rPr>
                <w:i/>
                <w:sz w:val="18"/>
                <w:szCs w:val="18"/>
              </w:rPr>
              <w:t xml:space="preserve">Rp </w:t>
            </w:r>
            <w:r w:rsidR="00D316D9">
              <w:rPr>
                <w:i/>
                <w:iCs/>
                <w:sz w:val="18"/>
                <w:szCs w:val="18"/>
              </w:rPr>
              <w:t>17,624,947,</w:t>
            </w:r>
            <w:r w:rsidR="000941E8">
              <w:rPr>
                <w:i/>
                <w:iCs/>
                <w:sz w:val="18"/>
                <w:szCs w:val="18"/>
              </w:rPr>
              <w:t>621</w:t>
            </w:r>
          </w:p>
        </w:tc>
      </w:tr>
      <w:tr w:rsidR="00996388" w:rsidRPr="00EA2E1E" w14:paraId="4BDDB364" w14:textId="77777777" w:rsidTr="002A1B51">
        <w:trPr>
          <w:cantSplit/>
        </w:trPr>
        <w:tc>
          <w:tcPr>
            <w:tcW w:w="2244" w:type="dxa"/>
            <w:shd w:val="clear" w:color="auto" w:fill="auto"/>
          </w:tcPr>
          <w:p w14:paraId="793388DE" w14:textId="51D0DC1C" w:rsidR="00996388" w:rsidRPr="00EA2E1E" w:rsidRDefault="00C81E16" w:rsidP="00546AE3">
            <w:pPr>
              <w:ind w:left="340"/>
              <w:rPr>
                <w:sz w:val="18"/>
                <w:szCs w:val="18"/>
              </w:rPr>
            </w:pPr>
            <w:r>
              <w:rPr>
                <w:sz w:val="18"/>
                <w:szCs w:val="18"/>
              </w:rPr>
              <w:t>pada 31 Maret 2020</w:t>
            </w:r>
            <w:r w:rsidR="00AB53F4" w:rsidRPr="00EA2E1E">
              <w:rPr>
                <w:sz w:val="18"/>
                <w:szCs w:val="18"/>
              </w:rPr>
              <w:t xml:space="preserve"> dan </w:t>
            </w:r>
            <w:r w:rsidR="00996388" w:rsidRPr="00EA2E1E">
              <w:rPr>
                <w:sz w:val="18"/>
                <w:szCs w:val="18"/>
              </w:rPr>
              <w:t xml:space="preserve"> </w:t>
            </w:r>
          </w:p>
        </w:tc>
        <w:tc>
          <w:tcPr>
            <w:tcW w:w="1536" w:type="dxa"/>
            <w:shd w:val="clear" w:color="auto" w:fill="auto"/>
            <w:vAlign w:val="bottom"/>
          </w:tcPr>
          <w:p w14:paraId="49169F4A" w14:textId="77777777" w:rsidR="00996388" w:rsidRPr="00EA2E1E" w:rsidRDefault="00996388" w:rsidP="0013526B">
            <w:pPr>
              <w:jc w:val="center"/>
              <w:rPr>
                <w:sz w:val="18"/>
                <w:szCs w:val="18"/>
                <w:highlight w:val="red"/>
              </w:rPr>
            </w:pPr>
          </w:p>
        </w:tc>
        <w:tc>
          <w:tcPr>
            <w:tcW w:w="112" w:type="dxa"/>
          </w:tcPr>
          <w:p w14:paraId="03E9B06E" w14:textId="77777777" w:rsidR="00996388" w:rsidRPr="00EA2E1E" w:rsidRDefault="00996388" w:rsidP="0013526B">
            <w:pPr>
              <w:rPr>
                <w:sz w:val="18"/>
                <w:szCs w:val="18"/>
              </w:rPr>
            </w:pPr>
          </w:p>
        </w:tc>
        <w:tc>
          <w:tcPr>
            <w:tcW w:w="1524" w:type="dxa"/>
            <w:shd w:val="clear" w:color="auto" w:fill="auto"/>
            <w:vAlign w:val="bottom"/>
          </w:tcPr>
          <w:p w14:paraId="37221792" w14:textId="77777777" w:rsidR="00996388" w:rsidRPr="00B078AC" w:rsidRDefault="00996388" w:rsidP="0013526B">
            <w:pPr>
              <w:ind w:right="57"/>
              <w:jc w:val="right"/>
              <w:rPr>
                <w:sz w:val="18"/>
                <w:szCs w:val="18"/>
              </w:rPr>
            </w:pPr>
          </w:p>
        </w:tc>
        <w:tc>
          <w:tcPr>
            <w:tcW w:w="123" w:type="dxa"/>
            <w:shd w:val="clear" w:color="auto" w:fill="auto"/>
            <w:vAlign w:val="bottom"/>
          </w:tcPr>
          <w:p w14:paraId="31EF0AF1" w14:textId="77777777" w:rsidR="00996388" w:rsidRPr="00EA2E1E" w:rsidRDefault="00996388" w:rsidP="0013526B">
            <w:pPr>
              <w:jc w:val="right"/>
              <w:rPr>
                <w:sz w:val="18"/>
                <w:szCs w:val="18"/>
              </w:rPr>
            </w:pPr>
          </w:p>
        </w:tc>
        <w:tc>
          <w:tcPr>
            <w:tcW w:w="1476" w:type="dxa"/>
            <w:vAlign w:val="bottom"/>
          </w:tcPr>
          <w:p w14:paraId="3A837D4B" w14:textId="77777777" w:rsidR="00996388" w:rsidRPr="00FE279F" w:rsidRDefault="00996388" w:rsidP="0013526B">
            <w:pPr>
              <w:ind w:right="57"/>
              <w:jc w:val="right"/>
              <w:rPr>
                <w:sz w:val="18"/>
                <w:szCs w:val="18"/>
              </w:rPr>
            </w:pPr>
          </w:p>
        </w:tc>
        <w:tc>
          <w:tcPr>
            <w:tcW w:w="2229" w:type="dxa"/>
            <w:shd w:val="clear" w:color="auto" w:fill="auto"/>
            <w:vAlign w:val="bottom"/>
          </w:tcPr>
          <w:p w14:paraId="616A737F" w14:textId="01570ECC" w:rsidR="00996388" w:rsidRPr="00EA2E1E" w:rsidRDefault="00735E03" w:rsidP="007A6483">
            <w:pPr>
              <w:ind w:right="366"/>
              <w:jc w:val="right"/>
              <w:rPr>
                <w:i/>
                <w:sz w:val="18"/>
                <w:szCs w:val="18"/>
              </w:rPr>
            </w:pPr>
            <w:r w:rsidRPr="00EA2E1E">
              <w:rPr>
                <w:i/>
                <w:sz w:val="18"/>
                <w:szCs w:val="18"/>
              </w:rPr>
              <w:t xml:space="preserve">in </w:t>
            </w:r>
            <w:r w:rsidR="00445E36">
              <w:rPr>
                <w:i/>
                <w:sz w:val="18"/>
                <w:szCs w:val="18"/>
              </w:rPr>
              <w:t>March</w:t>
            </w:r>
            <w:r w:rsidR="00C81E16">
              <w:rPr>
                <w:i/>
                <w:sz w:val="18"/>
                <w:szCs w:val="18"/>
              </w:rPr>
              <w:t xml:space="preserve"> 31,</w:t>
            </w:r>
            <w:r w:rsidR="00445E36">
              <w:rPr>
                <w:i/>
                <w:sz w:val="18"/>
                <w:szCs w:val="18"/>
              </w:rPr>
              <w:t xml:space="preserve">2020 </w:t>
            </w:r>
            <w:r w:rsidRPr="00EA2E1E">
              <w:rPr>
                <w:i/>
                <w:sz w:val="18"/>
                <w:szCs w:val="18"/>
              </w:rPr>
              <w:t>and</w:t>
            </w:r>
          </w:p>
        </w:tc>
      </w:tr>
      <w:tr w:rsidR="00996388" w:rsidRPr="00EA2E1E" w14:paraId="6A5FBF8C" w14:textId="77777777" w:rsidTr="002A1B51">
        <w:trPr>
          <w:cantSplit/>
        </w:trPr>
        <w:tc>
          <w:tcPr>
            <w:tcW w:w="2244" w:type="dxa"/>
            <w:shd w:val="clear" w:color="auto" w:fill="auto"/>
          </w:tcPr>
          <w:p w14:paraId="1337DE85" w14:textId="36ADADF5" w:rsidR="00996388" w:rsidRPr="00EA2E1E" w:rsidRDefault="004A1988" w:rsidP="00546AE3">
            <w:pPr>
              <w:ind w:left="340"/>
              <w:rPr>
                <w:sz w:val="18"/>
                <w:szCs w:val="18"/>
                <w:lang w:val="id-ID"/>
              </w:rPr>
            </w:pPr>
            <w:r>
              <w:rPr>
                <w:sz w:val="18"/>
                <w:szCs w:val="18"/>
              </w:rPr>
              <w:t xml:space="preserve">Rp </w:t>
            </w:r>
            <w:r w:rsidR="00C81E16" w:rsidRPr="0048471D">
              <w:rPr>
                <w:sz w:val="18"/>
                <w:szCs w:val="18"/>
                <w:lang w:val="id-ID"/>
              </w:rPr>
              <w:t>18.639.298.120</w:t>
            </w:r>
            <w:r w:rsidR="00AB53F4" w:rsidRPr="00EA2E1E">
              <w:rPr>
                <w:sz w:val="18"/>
                <w:szCs w:val="18"/>
              </w:rPr>
              <w:t xml:space="preserve"> pada</w:t>
            </w:r>
          </w:p>
        </w:tc>
        <w:tc>
          <w:tcPr>
            <w:tcW w:w="1536" w:type="dxa"/>
            <w:shd w:val="clear" w:color="auto" w:fill="auto"/>
            <w:vAlign w:val="bottom"/>
          </w:tcPr>
          <w:p w14:paraId="616049F7" w14:textId="77777777" w:rsidR="00996388" w:rsidRPr="00EA2E1E" w:rsidRDefault="00996388" w:rsidP="0013526B">
            <w:pPr>
              <w:jc w:val="center"/>
              <w:rPr>
                <w:sz w:val="18"/>
                <w:szCs w:val="18"/>
                <w:highlight w:val="red"/>
              </w:rPr>
            </w:pPr>
          </w:p>
        </w:tc>
        <w:tc>
          <w:tcPr>
            <w:tcW w:w="112" w:type="dxa"/>
          </w:tcPr>
          <w:p w14:paraId="460264AB" w14:textId="77777777" w:rsidR="00996388" w:rsidRPr="00EA2E1E" w:rsidRDefault="00996388" w:rsidP="0013526B">
            <w:pPr>
              <w:rPr>
                <w:sz w:val="18"/>
                <w:szCs w:val="18"/>
              </w:rPr>
            </w:pPr>
          </w:p>
        </w:tc>
        <w:tc>
          <w:tcPr>
            <w:tcW w:w="1524" w:type="dxa"/>
            <w:shd w:val="clear" w:color="auto" w:fill="auto"/>
            <w:vAlign w:val="bottom"/>
          </w:tcPr>
          <w:p w14:paraId="64DCC916" w14:textId="77777777" w:rsidR="00996388" w:rsidRPr="00B078AC" w:rsidRDefault="00996388" w:rsidP="0013526B">
            <w:pPr>
              <w:ind w:right="57"/>
              <w:jc w:val="right"/>
              <w:rPr>
                <w:sz w:val="18"/>
                <w:szCs w:val="18"/>
              </w:rPr>
            </w:pPr>
          </w:p>
        </w:tc>
        <w:tc>
          <w:tcPr>
            <w:tcW w:w="123" w:type="dxa"/>
            <w:shd w:val="clear" w:color="auto" w:fill="auto"/>
            <w:vAlign w:val="bottom"/>
          </w:tcPr>
          <w:p w14:paraId="051B5073" w14:textId="77777777" w:rsidR="00996388" w:rsidRPr="00EA2E1E" w:rsidRDefault="00996388" w:rsidP="0013526B">
            <w:pPr>
              <w:jc w:val="right"/>
              <w:rPr>
                <w:sz w:val="18"/>
                <w:szCs w:val="18"/>
              </w:rPr>
            </w:pPr>
          </w:p>
        </w:tc>
        <w:tc>
          <w:tcPr>
            <w:tcW w:w="1476" w:type="dxa"/>
            <w:vAlign w:val="bottom"/>
          </w:tcPr>
          <w:p w14:paraId="03E9FE22" w14:textId="77777777" w:rsidR="00996388" w:rsidRPr="00FE279F" w:rsidRDefault="00996388" w:rsidP="0013526B">
            <w:pPr>
              <w:ind w:right="57"/>
              <w:jc w:val="right"/>
              <w:rPr>
                <w:sz w:val="18"/>
                <w:szCs w:val="18"/>
              </w:rPr>
            </w:pPr>
          </w:p>
        </w:tc>
        <w:tc>
          <w:tcPr>
            <w:tcW w:w="2229" w:type="dxa"/>
            <w:shd w:val="clear" w:color="auto" w:fill="auto"/>
          </w:tcPr>
          <w:p w14:paraId="42C7143A" w14:textId="6018F32F" w:rsidR="00996388" w:rsidRPr="00EA2E1E" w:rsidRDefault="004A1988" w:rsidP="007A6483">
            <w:pPr>
              <w:ind w:right="366"/>
              <w:jc w:val="right"/>
              <w:rPr>
                <w:i/>
                <w:sz w:val="18"/>
                <w:szCs w:val="18"/>
              </w:rPr>
            </w:pPr>
            <w:r>
              <w:rPr>
                <w:i/>
                <w:sz w:val="18"/>
                <w:szCs w:val="18"/>
              </w:rPr>
              <w:t xml:space="preserve">Rp </w:t>
            </w:r>
            <w:r w:rsidR="00C81E16" w:rsidRPr="0048471D">
              <w:rPr>
                <w:i/>
                <w:iCs/>
                <w:sz w:val="18"/>
                <w:szCs w:val="18"/>
                <w:lang w:val="id-ID"/>
              </w:rPr>
              <w:t>18</w:t>
            </w:r>
            <w:r w:rsidR="00C81E16">
              <w:rPr>
                <w:i/>
                <w:iCs/>
                <w:sz w:val="18"/>
                <w:szCs w:val="18"/>
                <w:lang w:val="id-ID"/>
              </w:rPr>
              <w:t>,</w:t>
            </w:r>
            <w:r w:rsidR="00C81E16" w:rsidRPr="0048471D">
              <w:rPr>
                <w:i/>
                <w:iCs/>
                <w:sz w:val="18"/>
                <w:szCs w:val="18"/>
                <w:lang w:val="id-ID"/>
              </w:rPr>
              <w:t>639</w:t>
            </w:r>
            <w:r w:rsidR="00C81E16">
              <w:rPr>
                <w:i/>
                <w:iCs/>
                <w:sz w:val="18"/>
                <w:szCs w:val="18"/>
                <w:lang w:val="id-ID"/>
              </w:rPr>
              <w:t>,</w:t>
            </w:r>
            <w:r w:rsidR="00C81E16" w:rsidRPr="0048471D">
              <w:rPr>
                <w:i/>
                <w:iCs/>
                <w:sz w:val="18"/>
                <w:szCs w:val="18"/>
                <w:lang w:val="id-ID"/>
              </w:rPr>
              <w:t>298</w:t>
            </w:r>
            <w:r w:rsidR="00C81E16">
              <w:rPr>
                <w:i/>
                <w:iCs/>
                <w:sz w:val="18"/>
                <w:szCs w:val="18"/>
                <w:lang w:val="id-ID"/>
              </w:rPr>
              <w:t>,</w:t>
            </w:r>
            <w:r w:rsidR="00C81E16" w:rsidRPr="0048471D">
              <w:rPr>
                <w:i/>
                <w:iCs/>
                <w:sz w:val="18"/>
                <w:szCs w:val="18"/>
                <w:lang w:val="id-ID"/>
              </w:rPr>
              <w:t>120</w:t>
            </w:r>
            <w:r w:rsidR="00735E03" w:rsidRPr="00EA2E1E">
              <w:rPr>
                <w:i/>
                <w:sz w:val="18"/>
                <w:szCs w:val="18"/>
              </w:rPr>
              <w:t xml:space="preserve"> in</w:t>
            </w:r>
          </w:p>
        </w:tc>
      </w:tr>
      <w:tr w:rsidR="00996388" w:rsidRPr="00EA2E1E" w14:paraId="4E7D7868" w14:textId="77777777" w:rsidTr="002A1B51">
        <w:trPr>
          <w:cantSplit/>
        </w:trPr>
        <w:tc>
          <w:tcPr>
            <w:tcW w:w="2244" w:type="dxa"/>
            <w:shd w:val="clear" w:color="auto" w:fill="auto"/>
          </w:tcPr>
          <w:p w14:paraId="76444CD3" w14:textId="786FE238" w:rsidR="00996388" w:rsidRPr="00EA2E1E" w:rsidRDefault="00C81E16" w:rsidP="00546AE3">
            <w:pPr>
              <w:ind w:left="340"/>
              <w:rPr>
                <w:sz w:val="18"/>
                <w:szCs w:val="18"/>
              </w:rPr>
            </w:pPr>
            <w:r>
              <w:rPr>
                <w:sz w:val="18"/>
                <w:szCs w:val="18"/>
              </w:rPr>
              <w:t>31 Desember</w:t>
            </w:r>
            <w:r w:rsidR="00AB53F4" w:rsidRPr="00EA2E1E">
              <w:rPr>
                <w:sz w:val="18"/>
                <w:szCs w:val="18"/>
              </w:rPr>
              <w:t xml:space="preserve"> 201</w:t>
            </w:r>
            <w:r>
              <w:rPr>
                <w:sz w:val="18"/>
                <w:szCs w:val="18"/>
              </w:rPr>
              <w:t>9</w:t>
            </w:r>
          </w:p>
        </w:tc>
        <w:tc>
          <w:tcPr>
            <w:tcW w:w="1536" w:type="dxa"/>
            <w:shd w:val="clear" w:color="auto" w:fill="auto"/>
            <w:vAlign w:val="bottom"/>
          </w:tcPr>
          <w:p w14:paraId="35443B3B" w14:textId="6672749C" w:rsidR="00996388" w:rsidRPr="00215F13" w:rsidRDefault="00996388" w:rsidP="00215F13">
            <w:pPr>
              <w:jc w:val="center"/>
              <w:rPr>
                <w:sz w:val="18"/>
                <w:szCs w:val="18"/>
              </w:rPr>
            </w:pPr>
            <w:r w:rsidRPr="00EB0708">
              <w:rPr>
                <w:sz w:val="18"/>
                <w:szCs w:val="18"/>
              </w:rPr>
              <w:t>3f,</w:t>
            </w:r>
            <w:r w:rsidRPr="00EB0708">
              <w:rPr>
                <w:sz w:val="18"/>
                <w:szCs w:val="18"/>
                <w:lang w:val="id-ID"/>
              </w:rPr>
              <w:t>3h,</w:t>
            </w:r>
            <w:r w:rsidRPr="00EB0708">
              <w:rPr>
                <w:sz w:val="18"/>
                <w:szCs w:val="18"/>
              </w:rPr>
              <w:t>3r,</w:t>
            </w:r>
            <w:r w:rsidR="00BE34A1" w:rsidRPr="00EB0708">
              <w:rPr>
                <w:sz w:val="18"/>
                <w:szCs w:val="18"/>
              </w:rPr>
              <w:t>6,</w:t>
            </w:r>
            <w:r w:rsidRPr="00EB0708">
              <w:rPr>
                <w:sz w:val="18"/>
                <w:szCs w:val="18"/>
              </w:rPr>
              <w:t>3</w:t>
            </w:r>
            <w:r w:rsidR="00D316D9">
              <w:rPr>
                <w:sz w:val="18"/>
                <w:szCs w:val="18"/>
              </w:rPr>
              <w:t>5</w:t>
            </w:r>
            <w:r w:rsidR="00134466">
              <w:rPr>
                <w:sz w:val="18"/>
                <w:szCs w:val="18"/>
              </w:rPr>
              <w:t>,</w:t>
            </w:r>
            <w:r w:rsidR="00D316D9">
              <w:rPr>
                <w:sz w:val="18"/>
                <w:szCs w:val="18"/>
              </w:rPr>
              <w:t>39</w:t>
            </w:r>
          </w:p>
        </w:tc>
        <w:tc>
          <w:tcPr>
            <w:tcW w:w="112" w:type="dxa"/>
          </w:tcPr>
          <w:p w14:paraId="15A11496" w14:textId="77777777" w:rsidR="00996388" w:rsidRPr="00EA2E1E" w:rsidRDefault="00996388" w:rsidP="0013526B">
            <w:pPr>
              <w:rPr>
                <w:sz w:val="18"/>
                <w:szCs w:val="18"/>
              </w:rPr>
            </w:pPr>
          </w:p>
        </w:tc>
        <w:tc>
          <w:tcPr>
            <w:tcW w:w="1524" w:type="dxa"/>
            <w:shd w:val="clear" w:color="auto" w:fill="auto"/>
            <w:vAlign w:val="bottom"/>
          </w:tcPr>
          <w:p w14:paraId="5F9F8346" w14:textId="757B9F6A" w:rsidR="009311F4" w:rsidRPr="00B078AC" w:rsidRDefault="000941E8" w:rsidP="009311F4">
            <w:pPr>
              <w:ind w:right="57"/>
              <w:jc w:val="right"/>
              <w:rPr>
                <w:sz w:val="18"/>
                <w:szCs w:val="18"/>
              </w:rPr>
            </w:pPr>
            <w:r w:rsidRPr="00B078AC">
              <w:rPr>
                <w:sz w:val="18"/>
                <w:szCs w:val="18"/>
              </w:rPr>
              <w:t>156.858.349.</w:t>
            </w:r>
            <w:r w:rsidR="009311F4">
              <w:rPr>
                <w:sz w:val="18"/>
                <w:szCs w:val="18"/>
              </w:rPr>
              <w:t>709</w:t>
            </w:r>
          </w:p>
        </w:tc>
        <w:tc>
          <w:tcPr>
            <w:tcW w:w="123" w:type="dxa"/>
            <w:shd w:val="clear" w:color="auto" w:fill="auto"/>
            <w:vAlign w:val="bottom"/>
          </w:tcPr>
          <w:p w14:paraId="057C0AE5" w14:textId="77777777" w:rsidR="00996388" w:rsidRPr="00EA2E1E" w:rsidRDefault="00996388" w:rsidP="0013526B">
            <w:pPr>
              <w:jc w:val="right"/>
              <w:rPr>
                <w:sz w:val="18"/>
                <w:szCs w:val="18"/>
              </w:rPr>
            </w:pPr>
          </w:p>
        </w:tc>
        <w:tc>
          <w:tcPr>
            <w:tcW w:w="1476" w:type="dxa"/>
            <w:vAlign w:val="bottom"/>
          </w:tcPr>
          <w:p w14:paraId="02BAAD57" w14:textId="1E02374E" w:rsidR="00996388" w:rsidRPr="00FE279F" w:rsidRDefault="00C81E16" w:rsidP="00546AE3">
            <w:pPr>
              <w:ind w:right="57"/>
              <w:jc w:val="right"/>
              <w:rPr>
                <w:sz w:val="18"/>
                <w:szCs w:val="18"/>
              </w:rPr>
            </w:pPr>
            <w:r w:rsidRPr="005A63D1">
              <w:rPr>
                <w:sz w:val="18"/>
                <w:szCs w:val="18"/>
              </w:rPr>
              <w:t>145.815.303.089</w:t>
            </w:r>
          </w:p>
        </w:tc>
        <w:tc>
          <w:tcPr>
            <w:tcW w:w="2229" w:type="dxa"/>
            <w:shd w:val="clear" w:color="auto" w:fill="auto"/>
          </w:tcPr>
          <w:p w14:paraId="4E989448" w14:textId="473E4955" w:rsidR="00996388" w:rsidRPr="00EA2E1E" w:rsidRDefault="00445E36" w:rsidP="007A6483">
            <w:pPr>
              <w:ind w:right="366"/>
              <w:jc w:val="right"/>
              <w:rPr>
                <w:i/>
                <w:sz w:val="18"/>
                <w:szCs w:val="18"/>
              </w:rPr>
            </w:pPr>
            <w:r>
              <w:rPr>
                <w:i/>
                <w:sz w:val="18"/>
                <w:szCs w:val="18"/>
              </w:rPr>
              <w:t>December 31,</w:t>
            </w:r>
            <w:r w:rsidR="00996388" w:rsidRPr="00EA2E1E">
              <w:rPr>
                <w:i/>
                <w:sz w:val="18"/>
                <w:szCs w:val="18"/>
              </w:rPr>
              <w:t>201</w:t>
            </w:r>
            <w:r>
              <w:rPr>
                <w:i/>
                <w:sz w:val="18"/>
                <w:szCs w:val="18"/>
              </w:rPr>
              <w:t>9</w:t>
            </w:r>
          </w:p>
        </w:tc>
      </w:tr>
      <w:tr w:rsidR="00A741FF" w:rsidRPr="00EA2E1E" w14:paraId="1B405C43" w14:textId="77777777" w:rsidTr="002A1B51">
        <w:trPr>
          <w:cantSplit/>
        </w:trPr>
        <w:tc>
          <w:tcPr>
            <w:tcW w:w="2244" w:type="dxa"/>
            <w:shd w:val="clear" w:color="auto" w:fill="auto"/>
          </w:tcPr>
          <w:p w14:paraId="18D3D3D0" w14:textId="63455285" w:rsidR="00A741FF" w:rsidRPr="00EA2E1E" w:rsidRDefault="00A741FF" w:rsidP="00A741FF">
            <w:pPr>
              <w:ind w:left="283" w:hanging="170"/>
              <w:rPr>
                <w:sz w:val="18"/>
                <w:szCs w:val="18"/>
              </w:rPr>
            </w:pPr>
            <w:r w:rsidRPr="00EA2E1E">
              <w:rPr>
                <w:sz w:val="18"/>
                <w:szCs w:val="18"/>
              </w:rPr>
              <w:t xml:space="preserve">Piutang lain-lain </w:t>
            </w:r>
          </w:p>
        </w:tc>
        <w:tc>
          <w:tcPr>
            <w:tcW w:w="1536" w:type="dxa"/>
            <w:shd w:val="clear" w:color="auto" w:fill="auto"/>
            <w:vAlign w:val="bottom"/>
          </w:tcPr>
          <w:p w14:paraId="11719421" w14:textId="417E9DA4" w:rsidR="00A741FF" w:rsidRPr="00EA2E1E" w:rsidRDefault="00A741FF" w:rsidP="00A741FF">
            <w:pPr>
              <w:jc w:val="center"/>
              <w:rPr>
                <w:sz w:val="18"/>
                <w:szCs w:val="18"/>
                <w:highlight w:val="red"/>
              </w:rPr>
            </w:pPr>
          </w:p>
        </w:tc>
        <w:tc>
          <w:tcPr>
            <w:tcW w:w="112" w:type="dxa"/>
          </w:tcPr>
          <w:p w14:paraId="4D4C66FE" w14:textId="77777777" w:rsidR="00A741FF" w:rsidRPr="00EA2E1E" w:rsidRDefault="00A741FF" w:rsidP="00A741FF">
            <w:pPr>
              <w:rPr>
                <w:sz w:val="18"/>
                <w:szCs w:val="18"/>
              </w:rPr>
            </w:pPr>
          </w:p>
        </w:tc>
        <w:tc>
          <w:tcPr>
            <w:tcW w:w="1524" w:type="dxa"/>
            <w:shd w:val="clear" w:color="auto" w:fill="auto"/>
            <w:vAlign w:val="bottom"/>
          </w:tcPr>
          <w:p w14:paraId="0717F02D" w14:textId="7B9D6EF7" w:rsidR="00A741FF" w:rsidRPr="00B078AC" w:rsidRDefault="00A741FF" w:rsidP="00A741FF">
            <w:pPr>
              <w:ind w:right="57"/>
              <w:jc w:val="right"/>
              <w:rPr>
                <w:sz w:val="18"/>
                <w:szCs w:val="18"/>
              </w:rPr>
            </w:pPr>
          </w:p>
        </w:tc>
        <w:tc>
          <w:tcPr>
            <w:tcW w:w="123" w:type="dxa"/>
            <w:shd w:val="clear" w:color="auto" w:fill="auto"/>
            <w:vAlign w:val="bottom"/>
          </w:tcPr>
          <w:p w14:paraId="3C658FEB" w14:textId="77777777" w:rsidR="00A741FF" w:rsidRPr="00EA2E1E" w:rsidRDefault="00A741FF" w:rsidP="00A741FF">
            <w:pPr>
              <w:jc w:val="right"/>
              <w:rPr>
                <w:sz w:val="18"/>
                <w:szCs w:val="18"/>
              </w:rPr>
            </w:pPr>
          </w:p>
        </w:tc>
        <w:tc>
          <w:tcPr>
            <w:tcW w:w="1476" w:type="dxa"/>
            <w:vAlign w:val="bottom"/>
          </w:tcPr>
          <w:p w14:paraId="1F4EEC3C" w14:textId="25CE6FA2" w:rsidR="00A741FF" w:rsidRPr="00FE279F" w:rsidRDefault="00A741FF" w:rsidP="00A741FF">
            <w:pPr>
              <w:ind w:right="57"/>
              <w:jc w:val="right"/>
              <w:rPr>
                <w:sz w:val="18"/>
                <w:szCs w:val="18"/>
              </w:rPr>
            </w:pPr>
          </w:p>
        </w:tc>
        <w:tc>
          <w:tcPr>
            <w:tcW w:w="2229" w:type="dxa"/>
            <w:shd w:val="clear" w:color="auto" w:fill="auto"/>
            <w:vAlign w:val="bottom"/>
          </w:tcPr>
          <w:p w14:paraId="31C986AD" w14:textId="77777777" w:rsidR="00A741FF" w:rsidRPr="00EA2E1E" w:rsidRDefault="00A741FF" w:rsidP="00A741FF">
            <w:pPr>
              <w:ind w:right="57"/>
              <w:jc w:val="right"/>
              <w:rPr>
                <w:i/>
                <w:sz w:val="18"/>
                <w:szCs w:val="18"/>
              </w:rPr>
            </w:pPr>
            <w:r w:rsidRPr="00EA2E1E">
              <w:rPr>
                <w:i/>
                <w:sz w:val="18"/>
                <w:szCs w:val="18"/>
              </w:rPr>
              <w:t>Other receivables</w:t>
            </w:r>
          </w:p>
        </w:tc>
      </w:tr>
      <w:tr w:rsidR="00A741FF" w:rsidRPr="00EA2E1E" w14:paraId="45E0106B" w14:textId="77777777" w:rsidTr="002A1B51">
        <w:trPr>
          <w:cantSplit/>
          <w:trHeight w:val="80"/>
        </w:trPr>
        <w:tc>
          <w:tcPr>
            <w:tcW w:w="2244" w:type="dxa"/>
            <w:shd w:val="clear" w:color="auto" w:fill="auto"/>
          </w:tcPr>
          <w:p w14:paraId="4E7835B7" w14:textId="3A9B563C" w:rsidR="00A741FF" w:rsidRPr="00EA2E1E" w:rsidRDefault="00A741FF" w:rsidP="00546AE3">
            <w:pPr>
              <w:ind w:left="340"/>
              <w:rPr>
                <w:sz w:val="18"/>
                <w:szCs w:val="18"/>
              </w:rPr>
            </w:pPr>
            <w:r w:rsidRPr="00EA2E1E">
              <w:rPr>
                <w:sz w:val="18"/>
                <w:szCs w:val="18"/>
              </w:rPr>
              <w:t xml:space="preserve">Pihak ketiga </w:t>
            </w:r>
          </w:p>
        </w:tc>
        <w:tc>
          <w:tcPr>
            <w:tcW w:w="1536" w:type="dxa"/>
            <w:shd w:val="clear" w:color="auto" w:fill="auto"/>
            <w:vAlign w:val="bottom"/>
          </w:tcPr>
          <w:p w14:paraId="74B193D4" w14:textId="69C510DB" w:rsidR="00A741FF" w:rsidRPr="00EA2E1E" w:rsidRDefault="00A741FF" w:rsidP="00A741FF">
            <w:pPr>
              <w:jc w:val="center"/>
              <w:rPr>
                <w:sz w:val="18"/>
                <w:szCs w:val="18"/>
                <w:highlight w:val="red"/>
              </w:rPr>
            </w:pPr>
            <w:r w:rsidRPr="00EB0708">
              <w:rPr>
                <w:sz w:val="18"/>
                <w:szCs w:val="18"/>
              </w:rPr>
              <w:t>3f,3r,7,</w:t>
            </w:r>
            <w:r w:rsidR="00D316D9">
              <w:rPr>
                <w:sz w:val="18"/>
                <w:szCs w:val="18"/>
              </w:rPr>
              <w:t>39</w:t>
            </w:r>
          </w:p>
        </w:tc>
        <w:tc>
          <w:tcPr>
            <w:tcW w:w="112" w:type="dxa"/>
          </w:tcPr>
          <w:p w14:paraId="5B8130DD" w14:textId="77777777" w:rsidR="00A741FF" w:rsidRPr="00EA2E1E" w:rsidRDefault="00A741FF" w:rsidP="00A741FF">
            <w:pPr>
              <w:rPr>
                <w:sz w:val="18"/>
                <w:szCs w:val="18"/>
              </w:rPr>
            </w:pPr>
          </w:p>
        </w:tc>
        <w:tc>
          <w:tcPr>
            <w:tcW w:w="1524" w:type="dxa"/>
            <w:shd w:val="clear" w:color="auto" w:fill="auto"/>
            <w:vAlign w:val="bottom"/>
          </w:tcPr>
          <w:p w14:paraId="063C6A13" w14:textId="61490D00" w:rsidR="00A741FF" w:rsidRPr="009311F4" w:rsidRDefault="000941E8" w:rsidP="009311F4">
            <w:pPr>
              <w:ind w:right="57"/>
              <w:jc w:val="right"/>
              <w:rPr>
                <w:sz w:val="18"/>
                <w:szCs w:val="18"/>
              </w:rPr>
            </w:pPr>
            <w:r w:rsidRPr="00B078AC">
              <w:rPr>
                <w:sz w:val="18"/>
                <w:szCs w:val="18"/>
              </w:rPr>
              <w:t>3.773.319.</w:t>
            </w:r>
            <w:r w:rsidR="00854EA3" w:rsidRPr="00B078AC">
              <w:rPr>
                <w:sz w:val="18"/>
                <w:szCs w:val="18"/>
              </w:rPr>
              <w:t>5</w:t>
            </w:r>
            <w:r w:rsidR="008E71AC" w:rsidRPr="00B078AC">
              <w:rPr>
                <w:sz w:val="18"/>
                <w:szCs w:val="18"/>
                <w:lang w:val="id-ID"/>
              </w:rPr>
              <w:t>4</w:t>
            </w:r>
            <w:r w:rsidR="009311F4">
              <w:rPr>
                <w:sz w:val="18"/>
                <w:szCs w:val="18"/>
              </w:rPr>
              <w:t>2</w:t>
            </w:r>
          </w:p>
        </w:tc>
        <w:tc>
          <w:tcPr>
            <w:tcW w:w="123" w:type="dxa"/>
            <w:shd w:val="clear" w:color="auto" w:fill="auto"/>
            <w:vAlign w:val="bottom"/>
          </w:tcPr>
          <w:p w14:paraId="56BE21EF" w14:textId="77777777" w:rsidR="00A741FF" w:rsidRPr="00EA2E1E" w:rsidRDefault="00A741FF" w:rsidP="00A741FF">
            <w:pPr>
              <w:jc w:val="right"/>
              <w:rPr>
                <w:sz w:val="18"/>
                <w:szCs w:val="18"/>
              </w:rPr>
            </w:pPr>
          </w:p>
        </w:tc>
        <w:tc>
          <w:tcPr>
            <w:tcW w:w="1476" w:type="dxa"/>
            <w:vAlign w:val="bottom"/>
          </w:tcPr>
          <w:p w14:paraId="5728AF28" w14:textId="05A0AD79" w:rsidR="00A741FF" w:rsidRPr="00FE279F" w:rsidRDefault="00C401D2" w:rsidP="00A741FF">
            <w:pPr>
              <w:ind w:right="57"/>
              <w:jc w:val="right"/>
              <w:rPr>
                <w:sz w:val="18"/>
                <w:szCs w:val="18"/>
              </w:rPr>
            </w:pPr>
            <w:r w:rsidRPr="00FE279F">
              <w:rPr>
                <w:sz w:val="18"/>
                <w:szCs w:val="18"/>
              </w:rPr>
              <w:t>3.918.547.531</w:t>
            </w:r>
          </w:p>
        </w:tc>
        <w:tc>
          <w:tcPr>
            <w:tcW w:w="2229" w:type="dxa"/>
            <w:shd w:val="clear" w:color="auto" w:fill="auto"/>
            <w:vAlign w:val="bottom"/>
          </w:tcPr>
          <w:p w14:paraId="4ED4697F" w14:textId="30F49B2F" w:rsidR="00A741FF" w:rsidRPr="00EA2E1E" w:rsidRDefault="00A741FF" w:rsidP="00CA71BD">
            <w:pPr>
              <w:ind w:right="361"/>
              <w:jc w:val="right"/>
              <w:rPr>
                <w:i/>
                <w:sz w:val="18"/>
                <w:szCs w:val="18"/>
              </w:rPr>
            </w:pPr>
            <w:r w:rsidRPr="00EA2E1E">
              <w:rPr>
                <w:i/>
                <w:sz w:val="18"/>
                <w:szCs w:val="18"/>
              </w:rPr>
              <w:t>Third parties</w:t>
            </w:r>
          </w:p>
        </w:tc>
      </w:tr>
      <w:tr w:rsidR="00A741FF" w:rsidRPr="00EA2E1E" w14:paraId="373F4087" w14:textId="77777777" w:rsidTr="002A1B51">
        <w:trPr>
          <w:cantSplit/>
          <w:trHeight w:val="262"/>
        </w:trPr>
        <w:tc>
          <w:tcPr>
            <w:tcW w:w="2244" w:type="dxa"/>
            <w:shd w:val="clear" w:color="auto" w:fill="auto"/>
          </w:tcPr>
          <w:p w14:paraId="1DA2130B" w14:textId="795C31CD" w:rsidR="00A741FF" w:rsidRPr="00EA2E1E" w:rsidRDefault="00A741FF" w:rsidP="00A741FF">
            <w:pPr>
              <w:ind w:left="283" w:hanging="170"/>
              <w:rPr>
                <w:sz w:val="18"/>
                <w:szCs w:val="18"/>
              </w:rPr>
            </w:pPr>
            <w:r w:rsidRPr="00EA2E1E">
              <w:rPr>
                <w:sz w:val="18"/>
                <w:szCs w:val="18"/>
              </w:rPr>
              <w:t>Pajak dibayar dimuka</w:t>
            </w:r>
          </w:p>
        </w:tc>
        <w:tc>
          <w:tcPr>
            <w:tcW w:w="1536" w:type="dxa"/>
            <w:shd w:val="clear" w:color="auto" w:fill="auto"/>
            <w:vAlign w:val="bottom"/>
          </w:tcPr>
          <w:p w14:paraId="6DC142F1" w14:textId="467EA6EE" w:rsidR="00A741FF" w:rsidRPr="006A0EF8" w:rsidRDefault="00D316D9" w:rsidP="00A741FF">
            <w:pPr>
              <w:jc w:val="center"/>
              <w:rPr>
                <w:sz w:val="18"/>
                <w:szCs w:val="18"/>
                <w:highlight w:val="red"/>
              </w:rPr>
            </w:pPr>
            <w:r>
              <w:rPr>
                <w:sz w:val="18"/>
                <w:szCs w:val="18"/>
              </w:rPr>
              <w:t>3</w:t>
            </w:r>
            <w:r w:rsidR="006A0EF8">
              <w:rPr>
                <w:sz w:val="18"/>
                <w:szCs w:val="18"/>
              </w:rPr>
              <w:t>m</w:t>
            </w:r>
            <w:r w:rsidR="006A0EF8" w:rsidRPr="00730680">
              <w:rPr>
                <w:sz w:val="18"/>
                <w:szCs w:val="18"/>
              </w:rPr>
              <w:t>,</w:t>
            </w:r>
            <w:r w:rsidR="006A0EF8">
              <w:rPr>
                <w:sz w:val="18"/>
                <w:szCs w:val="18"/>
              </w:rPr>
              <w:t>17b</w:t>
            </w:r>
          </w:p>
        </w:tc>
        <w:tc>
          <w:tcPr>
            <w:tcW w:w="112" w:type="dxa"/>
          </w:tcPr>
          <w:p w14:paraId="2A320F5D" w14:textId="77777777" w:rsidR="00A741FF" w:rsidRPr="00EA2E1E" w:rsidRDefault="00A741FF" w:rsidP="00A741FF">
            <w:pPr>
              <w:rPr>
                <w:sz w:val="18"/>
                <w:szCs w:val="18"/>
              </w:rPr>
            </w:pPr>
          </w:p>
        </w:tc>
        <w:tc>
          <w:tcPr>
            <w:tcW w:w="1524" w:type="dxa"/>
            <w:shd w:val="clear" w:color="auto" w:fill="auto"/>
            <w:vAlign w:val="bottom"/>
          </w:tcPr>
          <w:p w14:paraId="5D842758" w14:textId="07E9BDFF" w:rsidR="00A741FF" w:rsidRPr="00B078AC" w:rsidRDefault="009311F4" w:rsidP="009311F4">
            <w:pPr>
              <w:jc w:val="center"/>
              <w:rPr>
                <w:bCs w:val="0"/>
                <w:sz w:val="18"/>
                <w:szCs w:val="18"/>
              </w:rPr>
            </w:pPr>
            <w:r>
              <w:rPr>
                <w:bCs w:val="0"/>
                <w:sz w:val="18"/>
                <w:szCs w:val="18"/>
              </w:rPr>
              <w:t xml:space="preserve">             </w:t>
            </w:r>
            <w:r w:rsidR="006A0EF8" w:rsidRPr="00B078AC">
              <w:rPr>
                <w:bCs w:val="0"/>
                <w:sz w:val="18"/>
                <w:szCs w:val="18"/>
              </w:rPr>
              <w:t>41.043.281</w:t>
            </w:r>
          </w:p>
        </w:tc>
        <w:tc>
          <w:tcPr>
            <w:tcW w:w="123" w:type="dxa"/>
            <w:shd w:val="clear" w:color="auto" w:fill="auto"/>
            <w:vAlign w:val="bottom"/>
          </w:tcPr>
          <w:p w14:paraId="31E63C87" w14:textId="77777777" w:rsidR="00A741FF" w:rsidRPr="00EA2E1E" w:rsidRDefault="00A741FF" w:rsidP="00A741FF">
            <w:pPr>
              <w:jc w:val="right"/>
              <w:rPr>
                <w:sz w:val="18"/>
                <w:szCs w:val="18"/>
              </w:rPr>
            </w:pPr>
          </w:p>
        </w:tc>
        <w:tc>
          <w:tcPr>
            <w:tcW w:w="1476" w:type="dxa"/>
            <w:vAlign w:val="bottom"/>
          </w:tcPr>
          <w:p w14:paraId="68ACCD8C" w14:textId="0CCF8F95" w:rsidR="00A741FF" w:rsidRPr="00FE279F" w:rsidRDefault="006A0EF8" w:rsidP="000941E8">
            <w:pPr>
              <w:ind w:left="599" w:right="57" w:hanging="599"/>
              <w:rPr>
                <w:sz w:val="18"/>
                <w:szCs w:val="18"/>
              </w:rPr>
            </w:pPr>
            <w:r>
              <w:rPr>
                <w:sz w:val="18"/>
                <w:szCs w:val="18"/>
              </w:rPr>
              <w:t xml:space="preserve">             41.043.281</w:t>
            </w:r>
          </w:p>
        </w:tc>
        <w:tc>
          <w:tcPr>
            <w:tcW w:w="2229" w:type="dxa"/>
            <w:shd w:val="clear" w:color="auto" w:fill="auto"/>
            <w:vAlign w:val="bottom"/>
          </w:tcPr>
          <w:p w14:paraId="48567124" w14:textId="687AB010" w:rsidR="00A741FF" w:rsidRPr="00EA2E1E" w:rsidRDefault="00A741FF" w:rsidP="00A741FF">
            <w:pPr>
              <w:ind w:right="57"/>
              <w:jc w:val="right"/>
              <w:rPr>
                <w:i/>
                <w:sz w:val="18"/>
                <w:szCs w:val="18"/>
              </w:rPr>
            </w:pPr>
          </w:p>
        </w:tc>
      </w:tr>
      <w:tr w:rsidR="00A741FF" w:rsidRPr="00EA2E1E" w14:paraId="4BBDA390" w14:textId="77777777" w:rsidTr="002A1B51">
        <w:trPr>
          <w:cantSplit/>
        </w:trPr>
        <w:tc>
          <w:tcPr>
            <w:tcW w:w="2244" w:type="dxa"/>
            <w:shd w:val="clear" w:color="auto" w:fill="auto"/>
          </w:tcPr>
          <w:p w14:paraId="7C73E530" w14:textId="77777777" w:rsidR="00A741FF" w:rsidRPr="00EA2E1E" w:rsidRDefault="00A741FF" w:rsidP="00A741FF">
            <w:pPr>
              <w:ind w:left="283" w:hanging="170"/>
              <w:rPr>
                <w:sz w:val="18"/>
                <w:szCs w:val="18"/>
              </w:rPr>
            </w:pPr>
            <w:r w:rsidRPr="00EA2E1E">
              <w:rPr>
                <w:sz w:val="18"/>
                <w:szCs w:val="18"/>
              </w:rPr>
              <w:t>Persediaan</w:t>
            </w:r>
          </w:p>
        </w:tc>
        <w:tc>
          <w:tcPr>
            <w:tcW w:w="1536" w:type="dxa"/>
            <w:shd w:val="clear" w:color="auto" w:fill="auto"/>
            <w:vAlign w:val="bottom"/>
          </w:tcPr>
          <w:p w14:paraId="052C5C93" w14:textId="3DB16A4D" w:rsidR="00A741FF" w:rsidRPr="00EA2E1E" w:rsidRDefault="00A741FF" w:rsidP="00A741FF">
            <w:pPr>
              <w:jc w:val="center"/>
              <w:rPr>
                <w:sz w:val="18"/>
                <w:szCs w:val="18"/>
                <w:highlight w:val="red"/>
              </w:rPr>
            </w:pPr>
            <w:r w:rsidRPr="00730680">
              <w:rPr>
                <w:sz w:val="18"/>
                <w:szCs w:val="18"/>
              </w:rPr>
              <w:t>3i,8</w:t>
            </w:r>
          </w:p>
        </w:tc>
        <w:tc>
          <w:tcPr>
            <w:tcW w:w="112" w:type="dxa"/>
          </w:tcPr>
          <w:p w14:paraId="11E829E1" w14:textId="77777777" w:rsidR="00A741FF" w:rsidRPr="00EA2E1E" w:rsidRDefault="00A741FF" w:rsidP="00A741FF">
            <w:pPr>
              <w:rPr>
                <w:sz w:val="18"/>
                <w:szCs w:val="18"/>
              </w:rPr>
            </w:pPr>
          </w:p>
        </w:tc>
        <w:tc>
          <w:tcPr>
            <w:tcW w:w="1524" w:type="dxa"/>
            <w:shd w:val="clear" w:color="auto" w:fill="auto"/>
            <w:vAlign w:val="bottom"/>
          </w:tcPr>
          <w:p w14:paraId="129B523D" w14:textId="79E0337D" w:rsidR="00A741FF" w:rsidRPr="00B078AC" w:rsidRDefault="00193402" w:rsidP="00A741FF">
            <w:pPr>
              <w:ind w:right="57"/>
              <w:jc w:val="right"/>
              <w:rPr>
                <w:sz w:val="18"/>
                <w:szCs w:val="18"/>
              </w:rPr>
            </w:pPr>
            <w:r w:rsidRPr="00B078AC">
              <w:rPr>
                <w:sz w:val="18"/>
                <w:szCs w:val="18"/>
              </w:rPr>
              <w:t>49.937.106.165</w:t>
            </w:r>
          </w:p>
        </w:tc>
        <w:tc>
          <w:tcPr>
            <w:tcW w:w="123" w:type="dxa"/>
            <w:shd w:val="clear" w:color="auto" w:fill="auto"/>
            <w:vAlign w:val="bottom"/>
          </w:tcPr>
          <w:p w14:paraId="6BAEBC28" w14:textId="77777777" w:rsidR="00A741FF" w:rsidRPr="00EA2E1E" w:rsidRDefault="00A741FF" w:rsidP="00A741FF">
            <w:pPr>
              <w:jc w:val="right"/>
              <w:rPr>
                <w:sz w:val="18"/>
                <w:szCs w:val="18"/>
              </w:rPr>
            </w:pPr>
          </w:p>
        </w:tc>
        <w:tc>
          <w:tcPr>
            <w:tcW w:w="1476" w:type="dxa"/>
            <w:vAlign w:val="bottom"/>
          </w:tcPr>
          <w:p w14:paraId="29754E1B" w14:textId="0597B8E0" w:rsidR="00A741FF" w:rsidRPr="00FE279F" w:rsidRDefault="00C401D2" w:rsidP="00A741FF">
            <w:pPr>
              <w:ind w:right="57"/>
              <w:jc w:val="right"/>
              <w:rPr>
                <w:sz w:val="18"/>
                <w:szCs w:val="18"/>
              </w:rPr>
            </w:pPr>
            <w:r w:rsidRPr="00FE279F">
              <w:rPr>
                <w:sz w:val="18"/>
                <w:szCs w:val="18"/>
              </w:rPr>
              <w:t>39.893.394.576</w:t>
            </w:r>
          </w:p>
        </w:tc>
        <w:tc>
          <w:tcPr>
            <w:tcW w:w="2229" w:type="dxa"/>
            <w:shd w:val="clear" w:color="auto" w:fill="auto"/>
            <w:vAlign w:val="bottom"/>
          </w:tcPr>
          <w:p w14:paraId="14423A27" w14:textId="77777777" w:rsidR="00A741FF" w:rsidRPr="00EA2E1E" w:rsidRDefault="00A741FF" w:rsidP="00A741FF">
            <w:pPr>
              <w:ind w:right="57"/>
              <w:jc w:val="right"/>
              <w:rPr>
                <w:i/>
                <w:sz w:val="18"/>
                <w:szCs w:val="18"/>
              </w:rPr>
            </w:pPr>
            <w:r w:rsidRPr="00EA2E1E">
              <w:rPr>
                <w:i/>
                <w:sz w:val="18"/>
                <w:szCs w:val="18"/>
              </w:rPr>
              <w:t>Inventories</w:t>
            </w:r>
          </w:p>
        </w:tc>
      </w:tr>
      <w:tr w:rsidR="00A741FF" w:rsidRPr="00EA2E1E" w14:paraId="300D6BD4" w14:textId="77777777" w:rsidTr="002A1B51">
        <w:trPr>
          <w:cantSplit/>
        </w:trPr>
        <w:tc>
          <w:tcPr>
            <w:tcW w:w="2244" w:type="dxa"/>
            <w:shd w:val="clear" w:color="auto" w:fill="auto"/>
          </w:tcPr>
          <w:p w14:paraId="336F3437" w14:textId="69FCF277" w:rsidR="00A741FF" w:rsidRPr="00EA2E1E" w:rsidRDefault="00A741FF" w:rsidP="00A741FF">
            <w:pPr>
              <w:ind w:left="283" w:hanging="170"/>
              <w:rPr>
                <w:sz w:val="18"/>
                <w:szCs w:val="18"/>
              </w:rPr>
            </w:pPr>
            <w:r w:rsidRPr="00EA2E1E">
              <w:rPr>
                <w:sz w:val="18"/>
                <w:szCs w:val="18"/>
              </w:rPr>
              <w:t xml:space="preserve">Uang muka </w:t>
            </w:r>
          </w:p>
        </w:tc>
        <w:tc>
          <w:tcPr>
            <w:tcW w:w="1536" w:type="dxa"/>
            <w:shd w:val="clear" w:color="auto" w:fill="auto"/>
            <w:vAlign w:val="bottom"/>
          </w:tcPr>
          <w:p w14:paraId="4C32F227" w14:textId="0CB8A92E" w:rsidR="00A741FF" w:rsidRPr="00EA2E1E" w:rsidRDefault="00A741FF" w:rsidP="00A741FF">
            <w:pPr>
              <w:jc w:val="center"/>
              <w:rPr>
                <w:sz w:val="18"/>
                <w:szCs w:val="18"/>
                <w:highlight w:val="red"/>
              </w:rPr>
            </w:pPr>
            <w:r w:rsidRPr="00730680">
              <w:rPr>
                <w:sz w:val="18"/>
                <w:szCs w:val="18"/>
              </w:rPr>
              <w:t>9</w:t>
            </w:r>
          </w:p>
        </w:tc>
        <w:tc>
          <w:tcPr>
            <w:tcW w:w="112" w:type="dxa"/>
            <w:shd w:val="clear" w:color="auto" w:fill="auto"/>
          </w:tcPr>
          <w:p w14:paraId="5980A9A5" w14:textId="77777777" w:rsidR="00A741FF" w:rsidRPr="00EA2E1E" w:rsidRDefault="00A741FF" w:rsidP="00A741FF">
            <w:pPr>
              <w:rPr>
                <w:sz w:val="18"/>
                <w:szCs w:val="18"/>
              </w:rPr>
            </w:pPr>
          </w:p>
        </w:tc>
        <w:tc>
          <w:tcPr>
            <w:tcW w:w="1524" w:type="dxa"/>
            <w:shd w:val="clear" w:color="auto" w:fill="auto"/>
            <w:vAlign w:val="bottom"/>
          </w:tcPr>
          <w:p w14:paraId="37F8F2DD" w14:textId="232784D4" w:rsidR="00A741FF" w:rsidRPr="00B078AC" w:rsidRDefault="00193402" w:rsidP="00A741FF">
            <w:pPr>
              <w:ind w:right="57"/>
              <w:jc w:val="right"/>
              <w:rPr>
                <w:sz w:val="18"/>
                <w:szCs w:val="18"/>
                <w:lang w:val="id-ID"/>
              </w:rPr>
            </w:pPr>
            <w:r w:rsidRPr="00B078AC">
              <w:rPr>
                <w:sz w:val="18"/>
                <w:szCs w:val="18"/>
                <w:lang w:val="id-ID"/>
              </w:rPr>
              <w:t>205.916.645.312</w:t>
            </w:r>
          </w:p>
        </w:tc>
        <w:tc>
          <w:tcPr>
            <w:tcW w:w="123" w:type="dxa"/>
            <w:shd w:val="clear" w:color="auto" w:fill="auto"/>
            <w:vAlign w:val="bottom"/>
          </w:tcPr>
          <w:p w14:paraId="6489CC8B" w14:textId="77777777" w:rsidR="00A741FF" w:rsidRPr="00EA2E1E" w:rsidRDefault="00A741FF" w:rsidP="00A741FF">
            <w:pPr>
              <w:jc w:val="right"/>
              <w:rPr>
                <w:sz w:val="18"/>
                <w:szCs w:val="18"/>
              </w:rPr>
            </w:pPr>
          </w:p>
        </w:tc>
        <w:tc>
          <w:tcPr>
            <w:tcW w:w="1476" w:type="dxa"/>
            <w:shd w:val="clear" w:color="auto" w:fill="auto"/>
            <w:vAlign w:val="bottom"/>
          </w:tcPr>
          <w:p w14:paraId="1578DC8C" w14:textId="7C9A9AFD" w:rsidR="00A741FF" w:rsidRPr="00FE279F" w:rsidRDefault="00C401D2" w:rsidP="00A741FF">
            <w:pPr>
              <w:ind w:right="57"/>
              <w:jc w:val="right"/>
              <w:rPr>
                <w:sz w:val="18"/>
                <w:szCs w:val="18"/>
              </w:rPr>
            </w:pPr>
            <w:r w:rsidRPr="0091112E">
              <w:rPr>
                <w:sz w:val="18"/>
                <w:szCs w:val="18"/>
                <w:lang w:val="id-ID"/>
              </w:rPr>
              <w:t>201.502.098.245</w:t>
            </w:r>
          </w:p>
        </w:tc>
        <w:tc>
          <w:tcPr>
            <w:tcW w:w="2229" w:type="dxa"/>
            <w:shd w:val="clear" w:color="auto" w:fill="auto"/>
            <w:vAlign w:val="bottom"/>
          </w:tcPr>
          <w:p w14:paraId="58B1977D" w14:textId="77777777" w:rsidR="00A741FF" w:rsidRPr="00EA2E1E" w:rsidRDefault="00A741FF" w:rsidP="00A741FF">
            <w:pPr>
              <w:ind w:right="57"/>
              <w:jc w:val="right"/>
              <w:rPr>
                <w:i/>
                <w:sz w:val="18"/>
                <w:szCs w:val="18"/>
              </w:rPr>
            </w:pPr>
            <w:r w:rsidRPr="00EA2E1E">
              <w:rPr>
                <w:i/>
                <w:sz w:val="18"/>
                <w:szCs w:val="18"/>
              </w:rPr>
              <w:t xml:space="preserve">Advance for purchases </w:t>
            </w:r>
          </w:p>
        </w:tc>
      </w:tr>
      <w:tr w:rsidR="00A741FF" w:rsidRPr="00EA2E1E" w14:paraId="260B669B" w14:textId="77777777" w:rsidTr="002A1B51">
        <w:trPr>
          <w:cantSplit/>
          <w:trHeight w:val="74"/>
        </w:trPr>
        <w:tc>
          <w:tcPr>
            <w:tcW w:w="2244" w:type="dxa"/>
            <w:shd w:val="clear" w:color="auto" w:fill="auto"/>
          </w:tcPr>
          <w:p w14:paraId="0DEE808E" w14:textId="59B001E3" w:rsidR="00A741FF" w:rsidRPr="00EA2E1E" w:rsidRDefault="00A741FF" w:rsidP="00A741FF">
            <w:pPr>
              <w:ind w:left="283" w:right="146" w:hanging="170"/>
              <w:rPr>
                <w:sz w:val="18"/>
                <w:szCs w:val="18"/>
              </w:rPr>
            </w:pPr>
            <w:r w:rsidRPr="00EA2E1E">
              <w:rPr>
                <w:sz w:val="18"/>
                <w:szCs w:val="18"/>
              </w:rPr>
              <w:t>Biaya dibayar dimuka</w:t>
            </w:r>
          </w:p>
        </w:tc>
        <w:tc>
          <w:tcPr>
            <w:tcW w:w="1536" w:type="dxa"/>
            <w:shd w:val="clear" w:color="auto" w:fill="auto"/>
            <w:vAlign w:val="bottom"/>
          </w:tcPr>
          <w:p w14:paraId="11C68794" w14:textId="50045BCF" w:rsidR="00A741FF" w:rsidRPr="00EA2E1E" w:rsidRDefault="00A741FF" w:rsidP="00A741FF">
            <w:pPr>
              <w:jc w:val="center"/>
              <w:rPr>
                <w:sz w:val="18"/>
                <w:szCs w:val="18"/>
                <w:highlight w:val="red"/>
              </w:rPr>
            </w:pPr>
            <w:r w:rsidRPr="00730680">
              <w:rPr>
                <w:sz w:val="18"/>
                <w:szCs w:val="18"/>
              </w:rPr>
              <w:t>3j,10</w:t>
            </w:r>
          </w:p>
        </w:tc>
        <w:tc>
          <w:tcPr>
            <w:tcW w:w="112" w:type="dxa"/>
            <w:shd w:val="clear" w:color="auto" w:fill="auto"/>
          </w:tcPr>
          <w:p w14:paraId="084BF0E4" w14:textId="77777777" w:rsidR="00A741FF" w:rsidRPr="00EA2E1E" w:rsidRDefault="00A741FF" w:rsidP="00A741FF">
            <w:pPr>
              <w:rPr>
                <w:sz w:val="18"/>
                <w:szCs w:val="18"/>
              </w:rPr>
            </w:pPr>
          </w:p>
        </w:tc>
        <w:tc>
          <w:tcPr>
            <w:tcW w:w="1524" w:type="dxa"/>
            <w:tcBorders>
              <w:bottom w:val="single" w:sz="4" w:space="0" w:color="auto"/>
            </w:tcBorders>
            <w:shd w:val="clear" w:color="auto" w:fill="auto"/>
            <w:vAlign w:val="bottom"/>
          </w:tcPr>
          <w:p w14:paraId="6465102D" w14:textId="24DFBA59" w:rsidR="00A741FF" w:rsidRPr="00B078AC" w:rsidRDefault="00870FD0" w:rsidP="00870FD0">
            <w:pPr>
              <w:ind w:right="57"/>
              <w:jc w:val="right"/>
              <w:rPr>
                <w:sz w:val="18"/>
                <w:szCs w:val="18"/>
              </w:rPr>
            </w:pPr>
            <w:r w:rsidRPr="00B078AC">
              <w:rPr>
                <w:sz w:val="18"/>
                <w:szCs w:val="18"/>
              </w:rPr>
              <w:t>5.667.504.022</w:t>
            </w:r>
          </w:p>
        </w:tc>
        <w:tc>
          <w:tcPr>
            <w:tcW w:w="123" w:type="dxa"/>
            <w:shd w:val="clear" w:color="auto" w:fill="auto"/>
            <w:vAlign w:val="bottom"/>
          </w:tcPr>
          <w:p w14:paraId="142A74C7" w14:textId="77777777" w:rsidR="00A741FF" w:rsidRPr="00920526" w:rsidRDefault="00A741FF" w:rsidP="00A741FF">
            <w:pPr>
              <w:jc w:val="right"/>
              <w:rPr>
                <w:sz w:val="18"/>
                <w:szCs w:val="18"/>
                <w:highlight w:val="yellow"/>
              </w:rPr>
            </w:pPr>
          </w:p>
        </w:tc>
        <w:tc>
          <w:tcPr>
            <w:tcW w:w="1476" w:type="dxa"/>
            <w:tcBorders>
              <w:bottom w:val="single" w:sz="4" w:space="0" w:color="auto"/>
            </w:tcBorders>
            <w:shd w:val="clear" w:color="auto" w:fill="auto"/>
            <w:vAlign w:val="bottom"/>
          </w:tcPr>
          <w:p w14:paraId="3BCEB562" w14:textId="7A76C0E9" w:rsidR="00A741FF" w:rsidRPr="00FE279F" w:rsidRDefault="00C401D2" w:rsidP="00A741FF">
            <w:pPr>
              <w:ind w:right="57"/>
              <w:jc w:val="right"/>
              <w:rPr>
                <w:sz w:val="18"/>
                <w:szCs w:val="18"/>
              </w:rPr>
            </w:pPr>
            <w:r w:rsidRPr="00FE279F">
              <w:rPr>
                <w:sz w:val="18"/>
                <w:szCs w:val="18"/>
                <w:lang w:val="id-ID"/>
              </w:rPr>
              <w:t>3.136.941.1</w:t>
            </w:r>
            <w:r>
              <w:rPr>
                <w:sz w:val="18"/>
                <w:szCs w:val="18"/>
              </w:rPr>
              <w:t>70</w:t>
            </w:r>
          </w:p>
        </w:tc>
        <w:tc>
          <w:tcPr>
            <w:tcW w:w="2229" w:type="dxa"/>
            <w:shd w:val="clear" w:color="auto" w:fill="auto"/>
            <w:vAlign w:val="bottom"/>
          </w:tcPr>
          <w:p w14:paraId="04114832" w14:textId="77777777" w:rsidR="00A741FF" w:rsidRPr="00EA2E1E" w:rsidRDefault="00A741FF" w:rsidP="00A741FF">
            <w:pPr>
              <w:ind w:right="57"/>
              <w:jc w:val="right"/>
              <w:rPr>
                <w:i/>
                <w:sz w:val="18"/>
                <w:szCs w:val="18"/>
              </w:rPr>
            </w:pPr>
            <w:r w:rsidRPr="00EA2E1E">
              <w:rPr>
                <w:i/>
                <w:sz w:val="18"/>
                <w:szCs w:val="18"/>
              </w:rPr>
              <w:t xml:space="preserve">Others current assets </w:t>
            </w:r>
          </w:p>
        </w:tc>
      </w:tr>
      <w:tr w:rsidR="00A741FF" w:rsidRPr="00EA2E1E" w14:paraId="6B9BCF96" w14:textId="77777777" w:rsidTr="002A1B51">
        <w:trPr>
          <w:cantSplit/>
        </w:trPr>
        <w:tc>
          <w:tcPr>
            <w:tcW w:w="2244" w:type="dxa"/>
            <w:shd w:val="clear" w:color="auto" w:fill="auto"/>
          </w:tcPr>
          <w:p w14:paraId="1E6C03E1" w14:textId="77777777" w:rsidR="00A741FF" w:rsidRPr="00EA2E1E" w:rsidRDefault="00A741FF" w:rsidP="00A741FF">
            <w:pPr>
              <w:ind w:left="283" w:right="146" w:hanging="170"/>
              <w:rPr>
                <w:sz w:val="18"/>
                <w:szCs w:val="18"/>
              </w:rPr>
            </w:pPr>
          </w:p>
        </w:tc>
        <w:tc>
          <w:tcPr>
            <w:tcW w:w="1536" w:type="dxa"/>
            <w:shd w:val="clear" w:color="auto" w:fill="auto"/>
            <w:vAlign w:val="bottom"/>
          </w:tcPr>
          <w:p w14:paraId="30DD91BA" w14:textId="77777777" w:rsidR="00A741FF" w:rsidRPr="00EA2E1E" w:rsidRDefault="00A741FF" w:rsidP="00A741FF">
            <w:pPr>
              <w:jc w:val="center"/>
              <w:rPr>
                <w:sz w:val="18"/>
                <w:szCs w:val="18"/>
                <w:highlight w:val="red"/>
              </w:rPr>
            </w:pPr>
          </w:p>
        </w:tc>
        <w:tc>
          <w:tcPr>
            <w:tcW w:w="112" w:type="dxa"/>
            <w:shd w:val="clear" w:color="auto" w:fill="auto"/>
          </w:tcPr>
          <w:p w14:paraId="3F2C4EE2" w14:textId="77777777" w:rsidR="00A741FF" w:rsidRPr="00EA2E1E" w:rsidRDefault="00A741FF" w:rsidP="00A741FF">
            <w:pPr>
              <w:rPr>
                <w:sz w:val="18"/>
                <w:szCs w:val="18"/>
              </w:rPr>
            </w:pPr>
          </w:p>
        </w:tc>
        <w:tc>
          <w:tcPr>
            <w:tcW w:w="1524" w:type="dxa"/>
            <w:tcBorders>
              <w:top w:val="single" w:sz="4" w:space="0" w:color="auto"/>
            </w:tcBorders>
            <w:shd w:val="clear" w:color="auto" w:fill="auto"/>
            <w:vAlign w:val="bottom"/>
          </w:tcPr>
          <w:p w14:paraId="21DB046D" w14:textId="77777777" w:rsidR="00A741FF" w:rsidRPr="00B078AC" w:rsidRDefault="00A741FF" w:rsidP="00A741FF">
            <w:pPr>
              <w:ind w:right="57"/>
              <w:jc w:val="right"/>
              <w:rPr>
                <w:sz w:val="18"/>
                <w:szCs w:val="18"/>
              </w:rPr>
            </w:pPr>
          </w:p>
        </w:tc>
        <w:tc>
          <w:tcPr>
            <w:tcW w:w="123" w:type="dxa"/>
            <w:shd w:val="clear" w:color="auto" w:fill="auto"/>
            <w:vAlign w:val="bottom"/>
          </w:tcPr>
          <w:p w14:paraId="6A4598A5" w14:textId="77777777" w:rsidR="00A741FF" w:rsidRPr="00EA2E1E" w:rsidRDefault="00A741FF" w:rsidP="00A741FF">
            <w:pPr>
              <w:jc w:val="right"/>
              <w:rPr>
                <w:sz w:val="18"/>
                <w:szCs w:val="18"/>
              </w:rPr>
            </w:pPr>
          </w:p>
        </w:tc>
        <w:tc>
          <w:tcPr>
            <w:tcW w:w="1476" w:type="dxa"/>
            <w:tcBorders>
              <w:top w:val="single" w:sz="4" w:space="0" w:color="auto"/>
            </w:tcBorders>
            <w:shd w:val="clear" w:color="auto" w:fill="auto"/>
            <w:vAlign w:val="bottom"/>
          </w:tcPr>
          <w:p w14:paraId="0AFDE3FC" w14:textId="77777777" w:rsidR="00A741FF" w:rsidRPr="00FE279F" w:rsidRDefault="00A741FF" w:rsidP="00A741FF">
            <w:pPr>
              <w:ind w:right="57"/>
              <w:jc w:val="right"/>
              <w:rPr>
                <w:sz w:val="18"/>
                <w:szCs w:val="18"/>
              </w:rPr>
            </w:pPr>
          </w:p>
        </w:tc>
        <w:tc>
          <w:tcPr>
            <w:tcW w:w="2229" w:type="dxa"/>
            <w:shd w:val="clear" w:color="auto" w:fill="auto"/>
            <w:vAlign w:val="bottom"/>
          </w:tcPr>
          <w:p w14:paraId="491FFF8E" w14:textId="77777777" w:rsidR="00A741FF" w:rsidRPr="00EA2E1E" w:rsidRDefault="00A741FF" w:rsidP="00A741FF">
            <w:pPr>
              <w:ind w:right="57"/>
              <w:jc w:val="right"/>
              <w:rPr>
                <w:i/>
                <w:sz w:val="18"/>
                <w:szCs w:val="18"/>
              </w:rPr>
            </w:pPr>
          </w:p>
        </w:tc>
      </w:tr>
      <w:tr w:rsidR="00A741FF" w:rsidRPr="00EA2E1E" w14:paraId="2EC8C502" w14:textId="77777777" w:rsidTr="002A1B51">
        <w:tblPrEx>
          <w:tblLook w:val="01E0" w:firstRow="1" w:lastRow="1" w:firstColumn="1" w:lastColumn="1" w:noHBand="0" w:noVBand="0"/>
        </w:tblPrEx>
        <w:trPr>
          <w:cantSplit/>
        </w:trPr>
        <w:tc>
          <w:tcPr>
            <w:tcW w:w="2244" w:type="dxa"/>
            <w:shd w:val="clear" w:color="auto" w:fill="auto"/>
            <w:vAlign w:val="bottom"/>
          </w:tcPr>
          <w:p w14:paraId="5377A800" w14:textId="77777777" w:rsidR="00A741FF" w:rsidRPr="00EA2E1E" w:rsidRDefault="00A741FF" w:rsidP="00A741FF">
            <w:pPr>
              <w:ind w:left="284" w:hanging="142"/>
              <w:rPr>
                <w:sz w:val="18"/>
                <w:szCs w:val="18"/>
              </w:rPr>
            </w:pPr>
            <w:r w:rsidRPr="00EA2E1E">
              <w:rPr>
                <w:sz w:val="18"/>
                <w:szCs w:val="18"/>
              </w:rPr>
              <w:t xml:space="preserve">Jumlah Aset Lancar </w:t>
            </w:r>
          </w:p>
        </w:tc>
        <w:tc>
          <w:tcPr>
            <w:tcW w:w="1536" w:type="dxa"/>
            <w:shd w:val="clear" w:color="auto" w:fill="auto"/>
            <w:vAlign w:val="bottom"/>
          </w:tcPr>
          <w:p w14:paraId="3074E13E" w14:textId="77777777" w:rsidR="00A741FF" w:rsidRPr="00EA2E1E" w:rsidRDefault="00A741FF" w:rsidP="00A741FF">
            <w:pPr>
              <w:jc w:val="center"/>
              <w:rPr>
                <w:sz w:val="18"/>
                <w:szCs w:val="18"/>
                <w:highlight w:val="red"/>
              </w:rPr>
            </w:pPr>
          </w:p>
        </w:tc>
        <w:tc>
          <w:tcPr>
            <w:tcW w:w="112" w:type="dxa"/>
            <w:shd w:val="clear" w:color="auto" w:fill="auto"/>
            <w:tcMar>
              <w:left w:w="28" w:type="dxa"/>
              <w:right w:w="28" w:type="dxa"/>
            </w:tcMar>
          </w:tcPr>
          <w:p w14:paraId="0EF1C7D1" w14:textId="77777777" w:rsidR="00A741FF" w:rsidRPr="00EA2E1E" w:rsidRDefault="00A741FF" w:rsidP="00A741FF">
            <w:pPr>
              <w:jc w:val="center"/>
              <w:rPr>
                <w:sz w:val="18"/>
                <w:szCs w:val="18"/>
              </w:rPr>
            </w:pPr>
          </w:p>
        </w:tc>
        <w:tc>
          <w:tcPr>
            <w:tcW w:w="1524" w:type="dxa"/>
            <w:tcBorders>
              <w:bottom w:val="single" w:sz="4" w:space="0" w:color="auto"/>
            </w:tcBorders>
            <w:shd w:val="clear" w:color="auto" w:fill="auto"/>
            <w:vAlign w:val="bottom"/>
          </w:tcPr>
          <w:p w14:paraId="6C8B4A8E" w14:textId="2275BC5F" w:rsidR="00A741FF" w:rsidRPr="00B078AC" w:rsidRDefault="00854EA3" w:rsidP="00A741FF">
            <w:pPr>
              <w:ind w:left="-76" w:right="57"/>
              <w:jc w:val="right"/>
              <w:rPr>
                <w:sz w:val="18"/>
                <w:szCs w:val="18"/>
                <w:lang w:val="id-ID"/>
              </w:rPr>
            </w:pPr>
            <w:r w:rsidRPr="00B078AC">
              <w:rPr>
                <w:sz w:val="18"/>
                <w:szCs w:val="18"/>
              </w:rPr>
              <w:t>638.856.267.</w:t>
            </w:r>
            <w:r w:rsidR="008E71AC" w:rsidRPr="00B078AC">
              <w:rPr>
                <w:sz w:val="18"/>
                <w:szCs w:val="18"/>
                <w:lang w:val="id-ID"/>
              </w:rPr>
              <w:t>320</w:t>
            </w:r>
          </w:p>
        </w:tc>
        <w:tc>
          <w:tcPr>
            <w:tcW w:w="123" w:type="dxa"/>
            <w:shd w:val="clear" w:color="auto" w:fill="auto"/>
            <w:vAlign w:val="bottom"/>
          </w:tcPr>
          <w:p w14:paraId="36B81B2E" w14:textId="77777777" w:rsidR="00A741FF" w:rsidRPr="00EA2E1E" w:rsidRDefault="00A741FF" w:rsidP="00A741FF">
            <w:pPr>
              <w:ind w:left="-76" w:right="28"/>
              <w:jc w:val="right"/>
              <w:rPr>
                <w:sz w:val="18"/>
                <w:szCs w:val="18"/>
              </w:rPr>
            </w:pPr>
          </w:p>
        </w:tc>
        <w:tc>
          <w:tcPr>
            <w:tcW w:w="1476" w:type="dxa"/>
            <w:tcBorders>
              <w:bottom w:val="single" w:sz="4" w:space="0" w:color="auto"/>
            </w:tcBorders>
            <w:shd w:val="clear" w:color="auto" w:fill="auto"/>
            <w:vAlign w:val="bottom"/>
          </w:tcPr>
          <w:p w14:paraId="4FF77546" w14:textId="77842C79" w:rsidR="00A741FF" w:rsidRPr="00FE279F" w:rsidRDefault="00C401D2" w:rsidP="00A741FF">
            <w:pPr>
              <w:ind w:left="-76" w:right="57"/>
              <w:jc w:val="right"/>
              <w:rPr>
                <w:sz w:val="18"/>
                <w:szCs w:val="18"/>
              </w:rPr>
            </w:pPr>
            <w:r>
              <w:rPr>
                <w:sz w:val="18"/>
                <w:szCs w:val="18"/>
              </w:rPr>
              <w:t>626.426.444.533</w:t>
            </w:r>
          </w:p>
        </w:tc>
        <w:tc>
          <w:tcPr>
            <w:tcW w:w="2229" w:type="dxa"/>
            <w:shd w:val="clear" w:color="auto" w:fill="auto"/>
            <w:vAlign w:val="bottom"/>
          </w:tcPr>
          <w:p w14:paraId="635AD5CB" w14:textId="77777777" w:rsidR="00A741FF" w:rsidRPr="00EA2E1E" w:rsidRDefault="00A741FF" w:rsidP="00A741FF">
            <w:pPr>
              <w:ind w:right="57"/>
              <w:jc w:val="right"/>
              <w:rPr>
                <w:i/>
                <w:sz w:val="18"/>
                <w:szCs w:val="18"/>
              </w:rPr>
            </w:pPr>
            <w:r w:rsidRPr="00EA2E1E">
              <w:rPr>
                <w:i/>
                <w:sz w:val="18"/>
                <w:szCs w:val="18"/>
              </w:rPr>
              <w:t>Total Current Assets</w:t>
            </w:r>
          </w:p>
        </w:tc>
      </w:tr>
      <w:tr w:rsidR="00A741FF" w:rsidRPr="00EA2E1E" w14:paraId="5E448AAD" w14:textId="77777777" w:rsidTr="002A1B51">
        <w:tblPrEx>
          <w:tblLook w:val="01E0" w:firstRow="1" w:lastRow="1" w:firstColumn="1" w:lastColumn="1" w:noHBand="0" w:noVBand="0"/>
        </w:tblPrEx>
        <w:trPr>
          <w:cantSplit/>
        </w:trPr>
        <w:tc>
          <w:tcPr>
            <w:tcW w:w="2244" w:type="dxa"/>
            <w:shd w:val="clear" w:color="auto" w:fill="auto"/>
            <w:vAlign w:val="bottom"/>
          </w:tcPr>
          <w:p w14:paraId="673AA5A8" w14:textId="77777777" w:rsidR="00A741FF" w:rsidRPr="00EA2E1E" w:rsidRDefault="00A741FF" w:rsidP="00A741FF">
            <w:pPr>
              <w:ind w:left="142"/>
              <w:rPr>
                <w:b/>
                <w:sz w:val="18"/>
                <w:szCs w:val="18"/>
              </w:rPr>
            </w:pPr>
          </w:p>
        </w:tc>
        <w:tc>
          <w:tcPr>
            <w:tcW w:w="1536" w:type="dxa"/>
            <w:shd w:val="clear" w:color="auto" w:fill="auto"/>
            <w:vAlign w:val="bottom"/>
          </w:tcPr>
          <w:p w14:paraId="4FF20641" w14:textId="77777777" w:rsidR="00A741FF" w:rsidRPr="00EA2E1E" w:rsidRDefault="00A741FF" w:rsidP="00A741FF">
            <w:pPr>
              <w:jc w:val="center"/>
              <w:rPr>
                <w:b/>
                <w:sz w:val="18"/>
                <w:szCs w:val="18"/>
                <w:highlight w:val="red"/>
              </w:rPr>
            </w:pPr>
          </w:p>
        </w:tc>
        <w:tc>
          <w:tcPr>
            <w:tcW w:w="112" w:type="dxa"/>
            <w:shd w:val="clear" w:color="auto" w:fill="auto"/>
            <w:tcMar>
              <w:left w:w="28" w:type="dxa"/>
              <w:right w:w="28" w:type="dxa"/>
            </w:tcMar>
          </w:tcPr>
          <w:p w14:paraId="12E6DEDB" w14:textId="77777777" w:rsidR="00A741FF" w:rsidRPr="00EA2E1E" w:rsidRDefault="00A741FF" w:rsidP="00A741FF">
            <w:pPr>
              <w:jc w:val="center"/>
              <w:rPr>
                <w:b/>
                <w:sz w:val="18"/>
                <w:szCs w:val="18"/>
              </w:rPr>
            </w:pPr>
          </w:p>
        </w:tc>
        <w:tc>
          <w:tcPr>
            <w:tcW w:w="1524" w:type="dxa"/>
            <w:tcBorders>
              <w:top w:val="single" w:sz="4" w:space="0" w:color="auto"/>
            </w:tcBorders>
            <w:shd w:val="clear" w:color="auto" w:fill="auto"/>
            <w:vAlign w:val="bottom"/>
          </w:tcPr>
          <w:p w14:paraId="3E0038F9" w14:textId="77777777" w:rsidR="00A741FF" w:rsidRPr="00B078AC" w:rsidRDefault="00A741FF" w:rsidP="00A741FF">
            <w:pPr>
              <w:ind w:left="-76" w:right="57"/>
              <w:jc w:val="right"/>
              <w:rPr>
                <w:b/>
                <w:sz w:val="18"/>
                <w:szCs w:val="18"/>
              </w:rPr>
            </w:pPr>
          </w:p>
        </w:tc>
        <w:tc>
          <w:tcPr>
            <w:tcW w:w="123" w:type="dxa"/>
            <w:shd w:val="clear" w:color="auto" w:fill="auto"/>
            <w:vAlign w:val="bottom"/>
          </w:tcPr>
          <w:p w14:paraId="299671E3" w14:textId="77777777" w:rsidR="00A741FF" w:rsidRPr="00EA2E1E" w:rsidRDefault="00A741FF" w:rsidP="00A741FF">
            <w:pPr>
              <w:ind w:left="-76" w:right="28"/>
              <w:jc w:val="right"/>
              <w:rPr>
                <w:b/>
                <w:sz w:val="18"/>
                <w:szCs w:val="18"/>
              </w:rPr>
            </w:pPr>
          </w:p>
        </w:tc>
        <w:tc>
          <w:tcPr>
            <w:tcW w:w="1476" w:type="dxa"/>
            <w:tcBorders>
              <w:top w:val="single" w:sz="4" w:space="0" w:color="auto"/>
            </w:tcBorders>
            <w:shd w:val="clear" w:color="auto" w:fill="auto"/>
            <w:vAlign w:val="bottom"/>
          </w:tcPr>
          <w:p w14:paraId="0B9BEB9B" w14:textId="77777777" w:rsidR="00A741FF" w:rsidRPr="00FE279F" w:rsidRDefault="00A741FF" w:rsidP="00A741FF">
            <w:pPr>
              <w:ind w:left="-76" w:right="57"/>
              <w:jc w:val="right"/>
              <w:rPr>
                <w:b/>
                <w:sz w:val="18"/>
                <w:szCs w:val="18"/>
              </w:rPr>
            </w:pPr>
          </w:p>
        </w:tc>
        <w:tc>
          <w:tcPr>
            <w:tcW w:w="2229" w:type="dxa"/>
            <w:shd w:val="clear" w:color="auto" w:fill="auto"/>
            <w:vAlign w:val="bottom"/>
          </w:tcPr>
          <w:p w14:paraId="77AA607D" w14:textId="77777777" w:rsidR="00A741FF" w:rsidRPr="00EA2E1E" w:rsidRDefault="00A741FF" w:rsidP="00A741FF">
            <w:pPr>
              <w:ind w:right="57"/>
              <w:jc w:val="right"/>
              <w:rPr>
                <w:i/>
                <w:sz w:val="18"/>
                <w:szCs w:val="18"/>
              </w:rPr>
            </w:pPr>
          </w:p>
        </w:tc>
      </w:tr>
      <w:tr w:rsidR="00A741FF" w:rsidRPr="00EA2E1E" w14:paraId="001EE8C8" w14:textId="77777777" w:rsidTr="002A1B51">
        <w:tblPrEx>
          <w:tblLook w:val="01E0" w:firstRow="1" w:lastRow="1" w:firstColumn="1" w:lastColumn="1" w:noHBand="0" w:noVBand="0"/>
        </w:tblPrEx>
        <w:trPr>
          <w:cantSplit/>
        </w:trPr>
        <w:tc>
          <w:tcPr>
            <w:tcW w:w="2244" w:type="dxa"/>
            <w:shd w:val="clear" w:color="auto" w:fill="auto"/>
            <w:vAlign w:val="bottom"/>
          </w:tcPr>
          <w:p w14:paraId="06890503" w14:textId="77777777" w:rsidR="00A741FF" w:rsidRPr="00EA2E1E" w:rsidRDefault="00A741FF" w:rsidP="00A741FF">
            <w:pPr>
              <w:ind w:left="142"/>
              <w:rPr>
                <w:b/>
                <w:sz w:val="18"/>
                <w:szCs w:val="18"/>
              </w:rPr>
            </w:pPr>
            <w:r w:rsidRPr="00EA2E1E">
              <w:rPr>
                <w:b/>
                <w:sz w:val="18"/>
                <w:szCs w:val="18"/>
              </w:rPr>
              <w:t>ASET TIDAK LANCAR</w:t>
            </w:r>
          </w:p>
        </w:tc>
        <w:tc>
          <w:tcPr>
            <w:tcW w:w="1536" w:type="dxa"/>
            <w:shd w:val="clear" w:color="auto" w:fill="auto"/>
            <w:vAlign w:val="bottom"/>
          </w:tcPr>
          <w:p w14:paraId="519208B9" w14:textId="77777777" w:rsidR="00A741FF" w:rsidRPr="00EA2E1E" w:rsidRDefault="00A741FF" w:rsidP="00A741FF">
            <w:pPr>
              <w:jc w:val="center"/>
              <w:rPr>
                <w:b/>
                <w:sz w:val="18"/>
                <w:szCs w:val="18"/>
                <w:highlight w:val="red"/>
              </w:rPr>
            </w:pPr>
          </w:p>
        </w:tc>
        <w:tc>
          <w:tcPr>
            <w:tcW w:w="112" w:type="dxa"/>
            <w:shd w:val="clear" w:color="auto" w:fill="auto"/>
            <w:tcMar>
              <w:left w:w="28" w:type="dxa"/>
              <w:right w:w="28" w:type="dxa"/>
            </w:tcMar>
          </w:tcPr>
          <w:p w14:paraId="6A6589BB" w14:textId="77777777" w:rsidR="00A741FF" w:rsidRPr="00EA2E1E" w:rsidRDefault="00A741FF" w:rsidP="00A741FF">
            <w:pPr>
              <w:jc w:val="center"/>
              <w:rPr>
                <w:b/>
                <w:sz w:val="18"/>
                <w:szCs w:val="18"/>
              </w:rPr>
            </w:pPr>
          </w:p>
        </w:tc>
        <w:tc>
          <w:tcPr>
            <w:tcW w:w="1524" w:type="dxa"/>
            <w:shd w:val="clear" w:color="auto" w:fill="auto"/>
            <w:vAlign w:val="bottom"/>
          </w:tcPr>
          <w:p w14:paraId="5461B3AF" w14:textId="77777777" w:rsidR="00A741FF" w:rsidRPr="00B078AC" w:rsidRDefault="00A741FF" w:rsidP="00A741FF">
            <w:pPr>
              <w:ind w:right="57"/>
              <w:jc w:val="right"/>
              <w:rPr>
                <w:b/>
                <w:sz w:val="18"/>
                <w:szCs w:val="18"/>
              </w:rPr>
            </w:pPr>
          </w:p>
        </w:tc>
        <w:tc>
          <w:tcPr>
            <w:tcW w:w="123" w:type="dxa"/>
            <w:shd w:val="clear" w:color="auto" w:fill="auto"/>
            <w:vAlign w:val="bottom"/>
          </w:tcPr>
          <w:p w14:paraId="433717DE" w14:textId="77777777" w:rsidR="00A741FF" w:rsidRPr="00EA2E1E" w:rsidRDefault="00A741FF" w:rsidP="00A741FF">
            <w:pPr>
              <w:ind w:right="28"/>
              <w:jc w:val="right"/>
              <w:rPr>
                <w:b/>
                <w:sz w:val="18"/>
                <w:szCs w:val="18"/>
              </w:rPr>
            </w:pPr>
          </w:p>
        </w:tc>
        <w:tc>
          <w:tcPr>
            <w:tcW w:w="1476" w:type="dxa"/>
            <w:shd w:val="clear" w:color="auto" w:fill="auto"/>
            <w:vAlign w:val="bottom"/>
          </w:tcPr>
          <w:p w14:paraId="339B6A94" w14:textId="77777777" w:rsidR="00A741FF" w:rsidRPr="00FE279F" w:rsidRDefault="00A741FF" w:rsidP="00A741FF">
            <w:pPr>
              <w:ind w:right="57"/>
              <w:jc w:val="right"/>
              <w:rPr>
                <w:b/>
                <w:sz w:val="18"/>
                <w:szCs w:val="18"/>
              </w:rPr>
            </w:pPr>
          </w:p>
        </w:tc>
        <w:tc>
          <w:tcPr>
            <w:tcW w:w="2229" w:type="dxa"/>
            <w:shd w:val="clear" w:color="auto" w:fill="auto"/>
            <w:vAlign w:val="bottom"/>
          </w:tcPr>
          <w:p w14:paraId="6C547BD1" w14:textId="77777777" w:rsidR="00A741FF" w:rsidRPr="00EA2E1E" w:rsidRDefault="00A741FF" w:rsidP="00A741FF">
            <w:pPr>
              <w:ind w:right="57"/>
              <w:jc w:val="right"/>
              <w:rPr>
                <w:b/>
                <w:i/>
                <w:sz w:val="18"/>
                <w:szCs w:val="18"/>
              </w:rPr>
            </w:pPr>
            <w:r w:rsidRPr="00EA2E1E">
              <w:rPr>
                <w:b/>
                <w:i/>
                <w:sz w:val="18"/>
                <w:szCs w:val="18"/>
              </w:rPr>
              <w:t>NON-CURRENT ASSETS</w:t>
            </w:r>
          </w:p>
        </w:tc>
      </w:tr>
      <w:tr w:rsidR="00A741FF" w:rsidRPr="00EA2E1E" w14:paraId="02D91DC5" w14:textId="77777777" w:rsidTr="002A1B51">
        <w:tblPrEx>
          <w:tblLook w:val="01E0" w:firstRow="1" w:lastRow="1" w:firstColumn="1" w:lastColumn="1" w:noHBand="0" w:noVBand="0"/>
        </w:tblPrEx>
        <w:trPr>
          <w:cantSplit/>
        </w:trPr>
        <w:tc>
          <w:tcPr>
            <w:tcW w:w="2244" w:type="dxa"/>
            <w:shd w:val="clear" w:color="auto" w:fill="auto"/>
            <w:vAlign w:val="bottom"/>
          </w:tcPr>
          <w:p w14:paraId="3CD4EAD7" w14:textId="1290ECDA" w:rsidR="00A741FF" w:rsidRPr="00EA2E1E" w:rsidRDefault="00A741FF" w:rsidP="00A741FF">
            <w:pPr>
              <w:ind w:left="284" w:right="-57" w:hanging="142"/>
              <w:rPr>
                <w:sz w:val="18"/>
                <w:szCs w:val="18"/>
              </w:rPr>
            </w:pPr>
            <w:r w:rsidRPr="00EA2E1E">
              <w:rPr>
                <w:sz w:val="18"/>
                <w:szCs w:val="18"/>
              </w:rPr>
              <w:t>Taksiran tagihan pajak penghasilan</w:t>
            </w:r>
          </w:p>
        </w:tc>
        <w:tc>
          <w:tcPr>
            <w:tcW w:w="1536" w:type="dxa"/>
            <w:shd w:val="clear" w:color="auto" w:fill="auto"/>
            <w:vAlign w:val="bottom"/>
          </w:tcPr>
          <w:p w14:paraId="4F421E10" w14:textId="037205F4" w:rsidR="00A741FF" w:rsidRPr="00EA2E1E" w:rsidRDefault="00A741FF" w:rsidP="00A741FF">
            <w:pPr>
              <w:jc w:val="center"/>
              <w:rPr>
                <w:sz w:val="18"/>
                <w:szCs w:val="18"/>
                <w:highlight w:val="red"/>
                <w:lang w:val="id-ID"/>
              </w:rPr>
            </w:pPr>
            <w:r w:rsidRPr="00730680">
              <w:rPr>
                <w:sz w:val="18"/>
                <w:szCs w:val="18"/>
              </w:rPr>
              <w:t>17a</w:t>
            </w:r>
          </w:p>
        </w:tc>
        <w:tc>
          <w:tcPr>
            <w:tcW w:w="112" w:type="dxa"/>
            <w:shd w:val="clear" w:color="auto" w:fill="auto"/>
            <w:tcMar>
              <w:left w:w="28" w:type="dxa"/>
              <w:right w:w="28" w:type="dxa"/>
            </w:tcMar>
          </w:tcPr>
          <w:p w14:paraId="36881984" w14:textId="77777777" w:rsidR="00A741FF" w:rsidRPr="00EA2E1E" w:rsidRDefault="00A741FF" w:rsidP="00A741FF">
            <w:pPr>
              <w:jc w:val="center"/>
              <w:rPr>
                <w:sz w:val="18"/>
                <w:szCs w:val="18"/>
              </w:rPr>
            </w:pPr>
          </w:p>
        </w:tc>
        <w:tc>
          <w:tcPr>
            <w:tcW w:w="1524" w:type="dxa"/>
            <w:shd w:val="clear" w:color="auto" w:fill="auto"/>
            <w:vAlign w:val="bottom"/>
          </w:tcPr>
          <w:p w14:paraId="1E479E4B" w14:textId="27FDC5AF" w:rsidR="00A741FF" w:rsidRPr="00B078AC" w:rsidRDefault="00870FD0" w:rsidP="00A741FF">
            <w:pPr>
              <w:ind w:right="57"/>
              <w:jc w:val="right"/>
              <w:rPr>
                <w:sz w:val="18"/>
                <w:szCs w:val="18"/>
                <w:lang w:val="id-ID"/>
              </w:rPr>
            </w:pPr>
            <w:r w:rsidRPr="00B078AC">
              <w:rPr>
                <w:sz w:val="18"/>
                <w:szCs w:val="18"/>
              </w:rPr>
              <w:t>1.733.080.113</w:t>
            </w:r>
          </w:p>
        </w:tc>
        <w:tc>
          <w:tcPr>
            <w:tcW w:w="123" w:type="dxa"/>
            <w:shd w:val="clear" w:color="auto" w:fill="auto"/>
            <w:vAlign w:val="bottom"/>
          </w:tcPr>
          <w:p w14:paraId="3C9065B5" w14:textId="77777777" w:rsidR="00A741FF" w:rsidRPr="008E71AC" w:rsidRDefault="00A741FF" w:rsidP="00A741FF">
            <w:pPr>
              <w:ind w:right="28"/>
              <w:jc w:val="right"/>
              <w:rPr>
                <w:sz w:val="18"/>
                <w:szCs w:val="18"/>
                <w:highlight w:val="yellow"/>
              </w:rPr>
            </w:pPr>
          </w:p>
        </w:tc>
        <w:tc>
          <w:tcPr>
            <w:tcW w:w="1476" w:type="dxa"/>
            <w:shd w:val="clear" w:color="auto" w:fill="auto"/>
            <w:vAlign w:val="bottom"/>
          </w:tcPr>
          <w:p w14:paraId="0A9AAF04" w14:textId="0B8361B1" w:rsidR="00A741FF" w:rsidRPr="00FE279F" w:rsidRDefault="00A741FF" w:rsidP="00A741FF">
            <w:pPr>
              <w:ind w:right="57"/>
              <w:jc w:val="right"/>
              <w:rPr>
                <w:sz w:val="18"/>
                <w:szCs w:val="18"/>
              </w:rPr>
            </w:pPr>
            <w:r w:rsidRPr="00FE279F">
              <w:rPr>
                <w:sz w:val="18"/>
                <w:szCs w:val="18"/>
              </w:rPr>
              <w:t>1.733.080.113</w:t>
            </w:r>
          </w:p>
        </w:tc>
        <w:tc>
          <w:tcPr>
            <w:tcW w:w="2229" w:type="dxa"/>
            <w:shd w:val="clear" w:color="auto" w:fill="auto"/>
            <w:vAlign w:val="bottom"/>
          </w:tcPr>
          <w:p w14:paraId="5E98408E" w14:textId="77777777" w:rsidR="00CA71BD" w:rsidRDefault="00A741FF" w:rsidP="00A741FF">
            <w:pPr>
              <w:ind w:right="57"/>
              <w:jc w:val="right"/>
              <w:rPr>
                <w:i/>
                <w:sz w:val="18"/>
                <w:szCs w:val="18"/>
              </w:rPr>
            </w:pPr>
            <w:r w:rsidRPr="00EA2E1E">
              <w:rPr>
                <w:i/>
                <w:sz w:val="18"/>
                <w:szCs w:val="18"/>
              </w:rPr>
              <w:t xml:space="preserve">Estimated claim for tax </w:t>
            </w:r>
          </w:p>
          <w:p w14:paraId="6B38F342" w14:textId="52DC0AD4" w:rsidR="00A741FF" w:rsidRPr="00EA2E1E" w:rsidRDefault="00A741FF" w:rsidP="00CA71BD">
            <w:pPr>
              <w:ind w:right="361"/>
              <w:jc w:val="right"/>
              <w:rPr>
                <w:i/>
                <w:sz w:val="18"/>
                <w:szCs w:val="18"/>
              </w:rPr>
            </w:pPr>
            <w:r w:rsidRPr="00EA2E1E">
              <w:rPr>
                <w:i/>
                <w:sz w:val="18"/>
                <w:szCs w:val="18"/>
              </w:rPr>
              <w:t>refund</w:t>
            </w:r>
          </w:p>
        </w:tc>
      </w:tr>
      <w:tr w:rsidR="00A741FF" w:rsidRPr="00EA2E1E" w14:paraId="1DE5FE13" w14:textId="77777777" w:rsidTr="002A1B51">
        <w:tblPrEx>
          <w:tblLook w:val="01E0" w:firstRow="1" w:lastRow="1" w:firstColumn="1" w:lastColumn="1" w:noHBand="0" w:noVBand="0"/>
        </w:tblPrEx>
        <w:trPr>
          <w:cantSplit/>
        </w:trPr>
        <w:tc>
          <w:tcPr>
            <w:tcW w:w="2244" w:type="dxa"/>
            <w:shd w:val="clear" w:color="auto" w:fill="auto"/>
            <w:vAlign w:val="bottom"/>
          </w:tcPr>
          <w:p w14:paraId="4B8A0455" w14:textId="77777777" w:rsidR="00A741FF" w:rsidRPr="00EA2E1E" w:rsidRDefault="00A741FF" w:rsidP="00A741FF">
            <w:pPr>
              <w:ind w:left="255" w:hanging="113"/>
              <w:rPr>
                <w:sz w:val="18"/>
                <w:szCs w:val="18"/>
              </w:rPr>
            </w:pPr>
            <w:r w:rsidRPr="00EA2E1E">
              <w:rPr>
                <w:sz w:val="18"/>
                <w:szCs w:val="18"/>
              </w:rPr>
              <w:t xml:space="preserve">Aset tetap - setelah dikurangi </w:t>
            </w:r>
          </w:p>
        </w:tc>
        <w:tc>
          <w:tcPr>
            <w:tcW w:w="1536" w:type="dxa"/>
            <w:shd w:val="clear" w:color="auto" w:fill="auto"/>
            <w:vAlign w:val="bottom"/>
          </w:tcPr>
          <w:p w14:paraId="08D51F07" w14:textId="77777777" w:rsidR="00A741FF" w:rsidRPr="00EA2E1E" w:rsidRDefault="00A741FF" w:rsidP="00A741FF">
            <w:pPr>
              <w:jc w:val="center"/>
              <w:rPr>
                <w:sz w:val="18"/>
                <w:szCs w:val="18"/>
                <w:highlight w:val="yellow"/>
              </w:rPr>
            </w:pPr>
          </w:p>
        </w:tc>
        <w:tc>
          <w:tcPr>
            <w:tcW w:w="112" w:type="dxa"/>
            <w:shd w:val="clear" w:color="auto" w:fill="auto"/>
            <w:tcMar>
              <w:left w:w="28" w:type="dxa"/>
              <w:right w:w="28" w:type="dxa"/>
            </w:tcMar>
          </w:tcPr>
          <w:p w14:paraId="73140377" w14:textId="77777777" w:rsidR="00A741FF" w:rsidRPr="00EA2E1E" w:rsidRDefault="00A741FF" w:rsidP="00A741FF">
            <w:pPr>
              <w:jc w:val="center"/>
              <w:rPr>
                <w:sz w:val="18"/>
                <w:szCs w:val="18"/>
              </w:rPr>
            </w:pPr>
          </w:p>
        </w:tc>
        <w:tc>
          <w:tcPr>
            <w:tcW w:w="1524" w:type="dxa"/>
            <w:shd w:val="clear" w:color="auto" w:fill="auto"/>
            <w:vAlign w:val="bottom"/>
          </w:tcPr>
          <w:p w14:paraId="61D5E7B6" w14:textId="77777777" w:rsidR="00A741FF" w:rsidRPr="00B078AC" w:rsidRDefault="00A741FF" w:rsidP="00A741FF">
            <w:pPr>
              <w:ind w:right="57"/>
              <w:jc w:val="right"/>
              <w:rPr>
                <w:sz w:val="18"/>
                <w:szCs w:val="18"/>
              </w:rPr>
            </w:pPr>
          </w:p>
        </w:tc>
        <w:tc>
          <w:tcPr>
            <w:tcW w:w="123" w:type="dxa"/>
            <w:shd w:val="clear" w:color="auto" w:fill="auto"/>
            <w:vAlign w:val="bottom"/>
          </w:tcPr>
          <w:p w14:paraId="66271824" w14:textId="77777777" w:rsidR="00A741FF" w:rsidRPr="00EA2E1E" w:rsidRDefault="00A741FF" w:rsidP="00A741FF">
            <w:pPr>
              <w:ind w:right="28"/>
              <w:jc w:val="right"/>
              <w:rPr>
                <w:sz w:val="18"/>
                <w:szCs w:val="18"/>
              </w:rPr>
            </w:pPr>
          </w:p>
        </w:tc>
        <w:tc>
          <w:tcPr>
            <w:tcW w:w="1476" w:type="dxa"/>
            <w:shd w:val="clear" w:color="auto" w:fill="auto"/>
            <w:vAlign w:val="bottom"/>
          </w:tcPr>
          <w:p w14:paraId="04D613EB" w14:textId="77777777" w:rsidR="00A741FF" w:rsidRPr="00FE279F" w:rsidRDefault="00A741FF" w:rsidP="00A741FF">
            <w:pPr>
              <w:ind w:right="57"/>
              <w:jc w:val="right"/>
              <w:rPr>
                <w:sz w:val="18"/>
                <w:szCs w:val="18"/>
              </w:rPr>
            </w:pPr>
          </w:p>
        </w:tc>
        <w:tc>
          <w:tcPr>
            <w:tcW w:w="2229" w:type="dxa"/>
            <w:shd w:val="clear" w:color="auto" w:fill="auto"/>
            <w:vAlign w:val="bottom"/>
          </w:tcPr>
          <w:p w14:paraId="23C6D4FF" w14:textId="70652761" w:rsidR="00A741FF" w:rsidRPr="00EA2E1E" w:rsidRDefault="00FE5A97" w:rsidP="00CA71BD">
            <w:pPr>
              <w:ind w:right="81"/>
              <w:jc w:val="right"/>
              <w:rPr>
                <w:i/>
                <w:sz w:val="18"/>
                <w:szCs w:val="18"/>
              </w:rPr>
            </w:pPr>
            <w:r w:rsidRPr="00EA2E1E">
              <w:rPr>
                <w:i/>
                <w:sz w:val="18"/>
                <w:szCs w:val="18"/>
              </w:rPr>
              <w:t>Property and equipment</w:t>
            </w:r>
          </w:p>
        </w:tc>
      </w:tr>
      <w:tr w:rsidR="00A741FF" w:rsidRPr="00EA2E1E" w14:paraId="4CEE2F9A" w14:textId="77777777" w:rsidTr="002A1B51">
        <w:tblPrEx>
          <w:tblLook w:val="01E0" w:firstRow="1" w:lastRow="1" w:firstColumn="1" w:lastColumn="1" w:noHBand="0" w:noVBand="0"/>
        </w:tblPrEx>
        <w:trPr>
          <w:cantSplit/>
        </w:trPr>
        <w:tc>
          <w:tcPr>
            <w:tcW w:w="2244" w:type="dxa"/>
            <w:shd w:val="clear" w:color="auto" w:fill="auto"/>
            <w:vAlign w:val="bottom"/>
          </w:tcPr>
          <w:p w14:paraId="1B50E4AA" w14:textId="77777777" w:rsidR="00A741FF" w:rsidRPr="00EA2E1E" w:rsidRDefault="00A741FF" w:rsidP="00A741FF">
            <w:pPr>
              <w:ind w:left="284"/>
              <w:rPr>
                <w:sz w:val="18"/>
                <w:szCs w:val="18"/>
              </w:rPr>
            </w:pPr>
            <w:r w:rsidRPr="00EA2E1E">
              <w:rPr>
                <w:sz w:val="18"/>
                <w:szCs w:val="18"/>
              </w:rPr>
              <w:t xml:space="preserve">akumulasi penyusutan </w:t>
            </w:r>
          </w:p>
        </w:tc>
        <w:tc>
          <w:tcPr>
            <w:tcW w:w="1536" w:type="dxa"/>
            <w:shd w:val="clear" w:color="auto" w:fill="auto"/>
            <w:vAlign w:val="bottom"/>
          </w:tcPr>
          <w:p w14:paraId="0961055C" w14:textId="77777777" w:rsidR="00A741FF" w:rsidRPr="00EA2E1E" w:rsidRDefault="00A741FF" w:rsidP="00A741FF">
            <w:pPr>
              <w:jc w:val="center"/>
              <w:rPr>
                <w:sz w:val="18"/>
                <w:szCs w:val="18"/>
                <w:highlight w:val="yellow"/>
              </w:rPr>
            </w:pPr>
          </w:p>
        </w:tc>
        <w:tc>
          <w:tcPr>
            <w:tcW w:w="112" w:type="dxa"/>
            <w:shd w:val="clear" w:color="auto" w:fill="auto"/>
            <w:tcMar>
              <w:left w:w="28" w:type="dxa"/>
              <w:right w:w="28" w:type="dxa"/>
            </w:tcMar>
          </w:tcPr>
          <w:p w14:paraId="6A17455B" w14:textId="77777777" w:rsidR="00A741FF" w:rsidRPr="00EA2E1E" w:rsidRDefault="00A741FF" w:rsidP="00A741FF">
            <w:pPr>
              <w:jc w:val="center"/>
              <w:rPr>
                <w:sz w:val="18"/>
                <w:szCs w:val="18"/>
              </w:rPr>
            </w:pPr>
          </w:p>
        </w:tc>
        <w:tc>
          <w:tcPr>
            <w:tcW w:w="1524" w:type="dxa"/>
            <w:shd w:val="clear" w:color="auto" w:fill="auto"/>
            <w:vAlign w:val="bottom"/>
          </w:tcPr>
          <w:p w14:paraId="19CC90F9" w14:textId="77777777" w:rsidR="00A741FF" w:rsidRPr="00B078AC" w:rsidRDefault="00A741FF" w:rsidP="00A741FF">
            <w:pPr>
              <w:ind w:right="57"/>
              <w:jc w:val="right"/>
              <w:rPr>
                <w:sz w:val="18"/>
                <w:szCs w:val="18"/>
              </w:rPr>
            </w:pPr>
          </w:p>
        </w:tc>
        <w:tc>
          <w:tcPr>
            <w:tcW w:w="123" w:type="dxa"/>
            <w:shd w:val="clear" w:color="auto" w:fill="auto"/>
            <w:vAlign w:val="bottom"/>
          </w:tcPr>
          <w:p w14:paraId="57E25CEC" w14:textId="77777777" w:rsidR="00A741FF" w:rsidRPr="00EA2E1E" w:rsidRDefault="00A741FF" w:rsidP="00A741FF">
            <w:pPr>
              <w:ind w:right="28"/>
              <w:jc w:val="right"/>
              <w:rPr>
                <w:sz w:val="18"/>
                <w:szCs w:val="18"/>
              </w:rPr>
            </w:pPr>
          </w:p>
        </w:tc>
        <w:tc>
          <w:tcPr>
            <w:tcW w:w="1476" w:type="dxa"/>
            <w:shd w:val="clear" w:color="auto" w:fill="auto"/>
            <w:vAlign w:val="bottom"/>
          </w:tcPr>
          <w:p w14:paraId="2213B9FB" w14:textId="77777777" w:rsidR="00A741FF" w:rsidRPr="00FE279F" w:rsidRDefault="00A741FF" w:rsidP="00A741FF">
            <w:pPr>
              <w:ind w:right="57"/>
              <w:jc w:val="right"/>
              <w:rPr>
                <w:sz w:val="18"/>
                <w:szCs w:val="18"/>
              </w:rPr>
            </w:pPr>
          </w:p>
        </w:tc>
        <w:tc>
          <w:tcPr>
            <w:tcW w:w="2229" w:type="dxa"/>
            <w:shd w:val="clear" w:color="auto" w:fill="auto"/>
          </w:tcPr>
          <w:p w14:paraId="69D28967" w14:textId="78EB8B39" w:rsidR="00A741FF" w:rsidRPr="00EA2E1E" w:rsidRDefault="00FE5A97" w:rsidP="00CA71BD">
            <w:pPr>
              <w:ind w:right="319"/>
              <w:jc w:val="right"/>
              <w:rPr>
                <w:i/>
                <w:sz w:val="18"/>
                <w:szCs w:val="18"/>
              </w:rPr>
            </w:pPr>
            <w:r w:rsidRPr="00EA2E1E">
              <w:rPr>
                <w:i/>
                <w:sz w:val="18"/>
                <w:szCs w:val="18"/>
              </w:rPr>
              <w:t>- net of accumulated</w:t>
            </w:r>
          </w:p>
        </w:tc>
      </w:tr>
      <w:tr w:rsidR="00A741FF" w:rsidRPr="00EA2E1E" w14:paraId="7836DFF6" w14:textId="77777777" w:rsidTr="002A1B51">
        <w:tblPrEx>
          <w:tblLook w:val="01E0" w:firstRow="1" w:lastRow="1" w:firstColumn="1" w:lastColumn="1" w:noHBand="0" w:noVBand="0"/>
        </w:tblPrEx>
        <w:trPr>
          <w:cantSplit/>
        </w:trPr>
        <w:tc>
          <w:tcPr>
            <w:tcW w:w="2244" w:type="dxa"/>
            <w:shd w:val="clear" w:color="auto" w:fill="auto"/>
            <w:vAlign w:val="bottom"/>
          </w:tcPr>
          <w:p w14:paraId="68A4F219" w14:textId="41C62177" w:rsidR="00A741FF" w:rsidRPr="00EA2E1E" w:rsidRDefault="00DD5B08" w:rsidP="00A741FF">
            <w:pPr>
              <w:ind w:left="284"/>
              <w:rPr>
                <w:sz w:val="18"/>
                <w:szCs w:val="18"/>
              </w:rPr>
            </w:pPr>
            <w:r>
              <w:rPr>
                <w:sz w:val="18"/>
                <w:szCs w:val="18"/>
              </w:rPr>
              <w:t>s</w:t>
            </w:r>
            <w:r w:rsidR="00A741FF" w:rsidRPr="00EA2E1E">
              <w:rPr>
                <w:sz w:val="18"/>
                <w:szCs w:val="18"/>
              </w:rPr>
              <w:t>ebesar</w:t>
            </w:r>
          </w:p>
        </w:tc>
        <w:tc>
          <w:tcPr>
            <w:tcW w:w="1536" w:type="dxa"/>
            <w:shd w:val="clear" w:color="auto" w:fill="auto"/>
            <w:vAlign w:val="bottom"/>
          </w:tcPr>
          <w:p w14:paraId="1AE88A0B" w14:textId="77777777" w:rsidR="00A741FF" w:rsidRPr="00EA2E1E" w:rsidRDefault="00A741FF" w:rsidP="00A741FF">
            <w:pPr>
              <w:jc w:val="center"/>
              <w:rPr>
                <w:sz w:val="18"/>
                <w:szCs w:val="18"/>
                <w:highlight w:val="yellow"/>
              </w:rPr>
            </w:pPr>
          </w:p>
        </w:tc>
        <w:tc>
          <w:tcPr>
            <w:tcW w:w="112" w:type="dxa"/>
            <w:shd w:val="clear" w:color="auto" w:fill="auto"/>
            <w:tcMar>
              <w:left w:w="28" w:type="dxa"/>
              <w:right w:w="28" w:type="dxa"/>
            </w:tcMar>
          </w:tcPr>
          <w:p w14:paraId="66047D1E" w14:textId="77777777" w:rsidR="00A741FF" w:rsidRPr="00EA2E1E" w:rsidRDefault="00A741FF" w:rsidP="00A741FF">
            <w:pPr>
              <w:jc w:val="center"/>
              <w:rPr>
                <w:sz w:val="18"/>
                <w:szCs w:val="18"/>
              </w:rPr>
            </w:pPr>
          </w:p>
        </w:tc>
        <w:tc>
          <w:tcPr>
            <w:tcW w:w="1524" w:type="dxa"/>
            <w:shd w:val="clear" w:color="auto" w:fill="auto"/>
            <w:vAlign w:val="bottom"/>
          </w:tcPr>
          <w:p w14:paraId="5540DFC8" w14:textId="77777777" w:rsidR="00A741FF" w:rsidRPr="00B078AC" w:rsidRDefault="00A741FF" w:rsidP="00A741FF">
            <w:pPr>
              <w:ind w:right="57"/>
              <w:jc w:val="right"/>
              <w:rPr>
                <w:sz w:val="18"/>
                <w:szCs w:val="18"/>
              </w:rPr>
            </w:pPr>
          </w:p>
        </w:tc>
        <w:tc>
          <w:tcPr>
            <w:tcW w:w="123" w:type="dxa"/>
            <w:shd w:val="clear" w:color="auto" w:fill="auto"/>
            <w:vAlign w:val="bottom"/>
          </w:tcPr>
          <w:p w14:paraId="34D5ED79" w14:textId="77777777" w:rsidR="00A741FF" w:rsidRPr="00EA2E1E" w:rsidRDefault="00A741FF" w:rsidP="00A741FF">
            <w:pPr>
              <w:ind w:right="28"/>
              <w:jc w:val="right"/>
              <w:rPr>
                <w:sz w:val="18"/>
                <w:szCs w:val="18"/>
              </w:rPr>
            </w:pPr>
          </w:p>
        </w:tc>
        <w:tc>
          <w:tcPr>
            <w:tcW w:w="1476" w:type="dxa"/>
            <w:shd w:val="clear" w:color="auto" w:fill="auto"/>
            <w:vAlign w:val="bottom"/>
          </w:tcPr>
          <w:p w14:paraId="0E04116D" w14:textId="77777777" w:rsidR="00A741FF" w:rsidRPr="00FE279F" w:rsidRDefault="00A741FF" w:rsidP="00A741FF">
            <w:pPr>
              <w:ind w:right="57"/>
              <w:jc w:val="right"/>
              <w:rPr>
                <w:sz w:val="18"/>
                <w:szCs w:val="18"/>
              </w:rPr>
            </w:pPr>
          </w:p>
        </w:tc>
        <w:tc>
          <w:tcPr>
            <w:tcW w:w="2229" w:type="dxa"/>
            <w:shd w:val="clear" w:color="auto" w:fill="auto"/>
          </w:tcPr>
          <w:p w14:paraId="4D1D4D9A" w14:textId="66E52E99" w:rsidR="00A741FF" w:rsidRPr="00EA2E1E" w:rsidRDefault="00FE5A97" w:rsidP="00CA71BD">
            <w:pPr>
              <w:ind w:right="319"/>
              <w:jc w:val="right"/>
              <w:rPr>
                <w:i/>
                <w:sz w:val="18"/>
                <w:szCs w:val="18"/>
              </w:rPr>
            </w:pPr>
            <w:r w:rsidRPr="00EA2E1E">
              <w:rPr>
                <w:i/>
                <w:sz w:val="18"/>
                <w:szCs w:val="18"/>
              </w:rPr>
              <w:t>depreciation of</w:t>
            </w:r>
          </w:p>
        </w:tc>
      </w:tr>
      <w:tr w:rsidR="00A741FF" w:rsidRPr="00EA2E1E" w14:paraId="08A1D44C" w14:textId="77777777" w:rsidTr="002A1B51">
        <w:tblPrEx>
          <w:tblLook w:val="01E0" w:firstRow="1" w:lastRow="1" w:firstColumn="1" w:lastColumn="1" w:noHBand="0" w:noVBand="0"/>
        </w:tblPrEx>
        <w:trPr>
          <w:cantSplit/>
        </w:trPr>
        <w:tc>
          <w:tcPr>
            <w:tcW w:w="2244" w:type="dxa"/>
            <w:shd w:val="clear" w:color="auto" w:fill="auto"/>
            <w:vAlign w:val="bottom"/>
          </w:tcPr>
          <w:p w14:paraId="6C3AEA75" w14:textId="7213EF48" w:rsidR="00A741FF" w:rsidRPr="002210E9" w:rsidRDefault="00A741FF" w:rsidP="00A741FF">
            <w:pPr>
              <w:ind w:left="284"/>
              <w:rPr>
                <w:sz w:val="18"/>
                <w:szCs w:val="18"/>
              </w:rPr>
            </w:pPr>
            <w:r w:rsidRPr="002210E9">
              <w:rPr>
                <w:sz w:val="18"/>
                <w:szCs w:val="18"/>
              </w:rPr>
              <w:t xml:space="preserve">Rp </w:t>
            </w:r>
            <w:r w:rsidR="004C6F10">
              <w:rPr>
                <w:sz w:val="18"/>
                <w:szCs w:val="18"/>
              </w:rPr>
              <w:t>655.437.334.779</w:t>
            </w:r>
            <w:r w:rsidRPr="002210E9">
              <w:rPr>
                <w:sz w:val="18"/>
                <w:szCs w:val="18"/>
              </w:rPr>
              <w:t xml:space="preserve"> </w:t>
            </w:r>
            <w:r w:rsidR="00FE5A97">
              <w:rPr>
                <w:sz w:val="18"/>
                <w:szCs w:val="18"/>
              </w:rPr>
              <w:t xml:space="preserve">dan  </w:t>
            </w:r>
            <w:r w:rsidRPr="002210E9">
              <w:rPr>
                <w:sz w:val="18"/>
                <w:szCs w:val="18"/>
              </w:rPr>
              <w:t xml:space="preserve"> </w:t>
            </w:r>
          </w:p>
        </w:tc>
        <w:tc>
          <w:tcPr>
            <w:tcW w:w="1536" w:type="dxa"/>
            <w:shd w:val="clear" w:color="auto" w:fill="auto"/>
            <w:vAlign w:val="bottom"/>
          </w:tcPr>
          <w:p w14:paraId="2B4181B7" w14:textId="77777777" w:rsidR="00A741FF" w:rsidRPr="00EA2E1E" w:rsidRDefault="00A741FF" w:rsidP="00A741FF">
            <w:pPr>
              <w:jc w:val="center"/>
              <w:rPr>
                <w:sz w:val="18"/>
                <w:szCs w:val="18"/>
                <w:highlight w:val="yellow"/>
              </w:rPr>
            </w:pPr>
          </w:p>
        </w:tc>
        <w:tc>
          <w:tcPr>
            <w:tcW w:w="112" w:type="dxa"/>
            <w:shd w:val="clear" w:color="auto" w:fill="auto"/>
            <w:tcMar>
              <w:left w:w="28" w:type="dxa"/>
              <w:right w:w="28" w:type="dxa"/>
            </w:tcMar>
          </w:tcPr>
          <w:p w14:paraId="0B1A2306" w14:textId="77777777" w:rsidR="00A741FF" w:rsidRPr="00EA2E1E" w:rsidRDefault="00A741FF" w:rsidP="00A741FF">
            <w:pPr>
              <w:jc w:val="center"/>
              <w:rPr>
                <w:sz w:val="18"/>
                <w:szCs w:val="18"/>
              </w:rPr>
            </w:pPr>
          </w:p>
        </w:tc>
        <w:tc>
          <w:tcPr>
            <w:tcW w:w="1524" w:type="dxa"/>
            <w:shd w:val="clear" w:color="auto" w:fill="auto"/>
            <w:vAlign w:val="bottom"/>
          </w:tcPr>
          <w:p w14:paraId="04BE52FB" w14:textId="77777777" w:rsidR="00A741FF" w:rsidRPr="00B078AC" w:rsidRDefault="00A741FF" w:rsidP="00A741FF">
            <w:pPr>
              <w:ind w:right="57"/>
              <w:jc w:val="right"/>
              <w:rPr>
                <w:sz w:val="18"/>
                <w:szCs w:val="18"/>
              </w:rPr>
            </w:pPr>
          </w:p>
        </w:tc>
        <w:tc>
          <w:tcPr>
            <w:tcW w:w="123" w:type="dxa"/>
            <w:shd w:val="clear" w:color="auto" w:fill="auto"/>
            <w:vAlign w:val="bottom"/>
          </w:tcPr>
          <w:p w14:paraId="14822AB2" w14:textId="77777777" w:rsidR="00A741FF" w:rsidRPr="00EA2E1E" w:rsidRDefault="00A741FF" w:rsidP="00A741FF">
            <w:pPr>
              <w:ind w:right="28"/>
              <w:jc w:val="right"/>
              <w:rPr>
                <w:sz w:val="18"/>
                <w:szCs w:val="18"/>
              </w:rPr>
            </w:pPr>
          </w:p>
        </w:tc>
        <w:tc>
          <w:tcPr>
            <w:tcW w:w="1476" w:type="dxa"/>
            <w:shd w:val="clear" w:color="auto" w:fill="auto"/>
            <w:vAlign w:val="bottom"/>
          </w:tcPr>
          <w:p w14:paraId="60ACBB64" w14:textId="77777777" w:rsidR="00A741FF" w:rsidRPr="00FE279F" w:rsidRDefault="00A741FF" w:rsidP="00A741FF">
            <w:pPr>
              <w:ind w:right="57"/>
              <w:jc w:val="right"/>
              <w:rPr>
                <w:sz w:val="18"/>
                <w:szCs w:val="18"/>
              </w:rPr>
            </w:pPr>
          </w:p>
        </w:tc>
        <w:tc>
          <w:tcPr>
            <w:tcW w:w="2229" w:type="dxa"/>
            <w:shd w:val="clear" w:color="auto" w:fill="auto"/>
          </w:tcPr>
          <w:p w14:paraId="5D9DC52A" w14:textId="52E84188" w:rsidR="00A741FF" w:rsidRPr="00FE5A97" w:rsidRDefault="00FE5A97" w:rsidP="004C6F10">
            <w:pPr>
              <w:ind w:right="319"/>
              <w:jc w:val="right"/>
              <w:rPr>
                <w:i/>
                <w:sz w:val="18"/>
                <w:szCs w:val="18"/>
              </w:rPr>
            </w:pPr>
            <w:r w:rsidRPr="002210E9">
              <w:rPr>
                <w:i/>
                <w:sz w:val="18"/>
                <w:szCs w:val="18"/>
              </w:rPr>
              <w:t>Rp</w:t>
            </w:r>
            <w:r w:rsidR="003E200D">
              <w:rPr>
                <w:i/>
                <w:sz w:val="18"/>
                <w:szCs w:val="18"/>
              </w:rPr>
              <w:t>655,437,334,</w:t>
            </w:r>
            <w:r w:rsidR="004C6F10">
              <w:rPr>
                <w:i/>
                <w:sz w:val="18"/>
                <w:szCs w:val="18"/>
              </w:rPr>
              <w:t>779</w:t>
            </w:r>
            <w:r w:rsidRPr="00FE5A97">
              <w:rPr>
                <w:i/>
                <w:sz w:val="18"/>
                <w:szCs w:val="18"/>
              </w:rPr>
              <w:t xml:space="preserve"> and</w:t>
            </w:r>
          </w:p>
        </w:tc>
      </w:tr>
      <w:tr w:rsidR="00A741FF" w:rsidRPr="00EA2E1E" w14:paraId="03F2FA0B" w14:textId="77777777" w:rsidTr="002A1B51">
        <w:tblPrEx>
          <w:tblLook w:val="01E0" w:firstRow="1" w:lastRow="1" w:firstColumn="1" w:lastColumn="1" w:noHBand="0" w:noVBand="0"/>
        </w:tblPrEx>
        <w:trPr>
          <w:cantSplit/>
        </w:trPr>
        <w:tc>
          <w:tcPr>
            <w:tcW w:w="2244" w:type="dxa"/>
            <w:shd w:val="clear" w:color="auto" w:fill="auto"/>
            <w:vAlign w:val="bottom"/>
          </w:tcPr>
          <w:p w14:paraId="435A1AA3" w14:textId="40530CE0" w:rsidR="00A741FF" w:rsidRPr="002210E9" w:rsidRDefault="00FE5A97" w:rsidP="003E200D">
            <w:pPr>
              <w:ind w:left="284"/>
              <w:rPr>
                <w:sz w:val="18"/>
                <w:szCs w:val="18"/>
                <w:lang w:val="id-ID"/>
              </w:rPr>
            </w:pPr>
            <w:r w:rsidRPr="002210E9">
              <w:rPr>
                <w:sz w:val="18"/>
                <w:szCs w:val="18"/>
              </w:rPr>
              <w:t xml:space="preserve">Rp </w:t>
            </w:r>
            <w:r w:rsidR="003E200D">
              <w:rPr>
                <w:sz w:val="18"/>
                <w:szCs w:val="18"/>
              </w:rPr>
              <w:t>629.006.272.888</w:t>
            </w:r>
          </w:p>
        </w:tc>
        <w:tc>
          <w:tcPr>
            <w:tcW w:w="1536" w:type="dxa"/>
            <w:shd w:val="clear" w:color="auto" w:fill="auto"/>
            <w:vAlign w:val="bottom"/>
          </w:tcPr>
          <w:p w14:paraId="72BCAD70" w14:textId="77777777" w:rsidR="00A741FF" w:rsidRPr="00EA2E1E" w:rsidRDefault="00A741FF" w:rsidP="00A741FF">
            <w:pPr>
              <w:jc w:val="center"/>
              <w:rPr>
                <w:sz w:val="18"/>
                <w:szCs w:val="18"/>
                <w:highlight w:val="yellow"/>
              </w:rPr>
            </w:pPr>
          </w:p>
        </w:tc>
        <w:tc>
          <w:tcPr>
            <w:tcW w:w="112" w:type="dxa"/>
            <w:shd w:val="clear" w:color="auto" w:fill="auto"/>
            <w:tcMar>
              <w:left w:w="28" w:type="dxa"/>
              <w:right w:w="28" w:type="dxa"/>
            </w:tcMar>
          </w:tcPr>
          <w:p w14:paraId="4B5693CE" w14:textId="77777777" w:rsidR="00A741FF" w:rsidRPr="00EA2E1E" w:rsidRDefault="00A741FF" w:rsidP="00A741FF">
            <w:pPr>
              <w:jc w:val="center"/>
              <w:rPr>
                <w:sz w:val="18"/>
                <w:szCs w:val="18"/>
              </w:rPr>
            </w:pPr>
          </w:p>
        </w:tc>
        <w:tc>
          <w:tcPr>
            <w:tcW w:w="1524" w:type="dxa"/>
            <w:shd w:val="clear" w:color="auto" w:fill="auto"/>
            <w:vAlign w:val="bottom"/>
          </w:tcPr>
          <w:p w14:paraId="537111E3" w14:textId="77777777" w:rsidR="00A741FF" w:rsidRPr="00B078AC" w:rsidRDefault="00A741FF" w:rsidP="00A741FF">
            <w:pPr>
              <w:ind w:right="57"/>
              <w:jc w:val="right"/>
              <w:rPr>
                <w:sz w:val="18"/>
                <w:szCs w:val="18"/>
              </w:rPr>
            </w:pPr>
          </w:p>
        </w:tc>
        <w:tc>
          <w:tcPr>
            <w:tcW w:w="123" w:type="dxa"/>
            <w:shd w:val="clear" w:color="auto" w:fill="auto"/>
            <w:vAlign w:val="bottom"/>
          </w:tcPr>
          <w:p w14:paraId="33C81951" w14:textId="77777777" w:rsidR="00A741FF" w:rsidRPr="00EA2E1E" w:rsidRDefault="00A741FF" w:rsidP="00A741FF">
            <w:pPr>
              <w:ind w:right="28"/>
              <w:jc w:val="right"/>
              <w:rPr>
                <w:sz w:val="18"/>
                <w:szCs w:val="18"/>
              </w:rPr>
            </w:pPr>
          </w:p>
        </w:tc>
        <w:tc>
          <w:tcPr>
            <w:tcW w:w="1476" w:type="dxa"/>
            <w:shd w:val="clear" w:color="auto" w:fill="auto"/>
            <w:vAlign w:val="bottom"/>
          </w:tcPr>
          <w:p w14:paraId="1E8008D4" w14:textId="77777777" w:rsidR="00A741FF" w:rsidRPr="00FE279F" w:rsidRDefault="00A741FF" w:rsidP="00A741FF">
            <w:pPr>
              <w:ind w:right="57"/>
              <w:jc w:val="right"/>
              <w:rPr>
                <w:sz w:val="18"/>
                <w:szCs w:val="18"/>
              </w:rPr>
            </w:pPr>
          </w:p>
        </w:tc>
        <w:tc>
          <w:tcPr>
            <w:tcW w:w="2229" w:type="dxa"/>
            <w:shd w:val="clear" w:color="auto" w:fill="auto"/>
          </w:tcPr>
          <w:p w14:paraId="30DF5CAC" w14:textId="0A3C5DD4" w:rsidR="00A741FF" w:rsidRPr="00FE5A97" w:rsidRDefault="00FE5A97" w:rsidP="003E200D">
            <w:pPr>
              <w:ind w:right="319"/>
              <w:jc w:val="right"/>
              <w:rPr>
                <w:i/>
                <w:sz w:val="18"/>
                <w:szCs w:val="18"/>
              </w:rPr>
            </w:pPr>
            <w:r w:rsidRPr="002210E9">
              <w:rPr>
                <w:i/>
                <w:sz w:val="18"/>
                <w:szCs w:val="18"/>
              </w:rPr>
              <w:t xml:space="preserve">Rp </w:t>
            </w:r>
            <w:r w:rsidR="003E200D">
              <w:rPr>
                <w:i/>
                <w:sz w:val="18"/>
                <w:szCs w:val="18"/>
              </w:rPr>
              <w:t>629,006,272,888</w:t>
            </w:r>
            <w:r w:rsidRPr="002210E9">
              <w:rPr>
                <w:i/>
                <w:sz w:val="18"/>
                <w:szCs w:val="18"/>
              </w:rPr>
              <w:t xml:space="preserve"> </w:t>
            </w:r>
          </w:p>
        </w:tc>
      </w:tr>
      <w:tr w:rsidR="00A741FF" w:rsidRPr="00EA2E1E" w14:paraId="199E65D4" w14:textId="77777777" w:rsidTr="002A1B51">
        <w:tblPrEx>
          <w:tblLook w:val="01E0" w:firstRow="1" w:lastRow="1" w:firstColumn="1" w:lastColumn="1" w:noHBand="0" w:noVBand="0"/>
        </w:tblPrEx>
        <w:trPr>
          <w:cantSplit/>
        </w:trPr>
        <w:tc>
          <w:tcPr>
            <w:tcW w:w="2244" w:type="dxa"/>
            <w:shd w:val="clear" w:color="auto" w:fill="auto"/>
            <w:vAlign w:val="bottom"/>
          </w:tcPr>
          <w:p w14:paraId="1B6F3D62" w14:textId="478CF141" w:rsidR="00A741FF" w:rsidRPr="00FE5A97" w:rsidRDefault="00A741FF" w:rsidP="003E200D">
            <w:pPr>
              <w:ind w:left="284"/>
              <w:rPr>
                <w:sz w:val="18"/>
                <w:szCs w:val="18"/>
              </w:rPr>
            </w:pPr>
            <w:r w:rsidRPr="00FE5A97">
              <w:rPr>
                <w:sz w:val="18"/>
                <w:szCs w:val="18"/>
              </w:rPr>
              <w:t xml:space="preserve">pada tanggal 31 </w:t>
            </w:r>
            <w:r w:rsidR="003E200D">
              <w:rPr>
                <w:sz w:val="18"/>
                <w:szCs w:val="18"/>
              </w:rPr>
              <w:t>Maret</w:t>
            </w:r>
            <w:r w:rsidRPr="00FE5A97">
              <w:rPr>
                <w:sz w:val="18"/>
                <w:szCs w:val="18"/>
              </w:rPr>
              <w:t xml:space="preserve"> </w:t>
            </w:r>
            <w:r w:rsidR="003E200D">
              <w:rPr>
                <w:sz w:val="18"/>
                <w:szCs w:val="18"/>
              </w:rPr>
              <w:t>2020</w:t>
            </w:r>
            <w:r w:rsidR="00FE5A97" w:rsidRPr="00FE5A97">
              <w:rPr>
                <w:sz w:val="18"/>
                <w:szCs w:val="18"/>
              </w:rPr>
              <w:t xml:space="preserve"> dan </w:t>
            </w:r>
            <w:r w:rsidR="003E200D">
              <w:rPr>
                <w:sz w:val="18"/>
                <w:szCs w:val="18"/>
              </w:rPr>
              <w:t xml:space="preserve">31 Desember </w:t>
            </w:r>
            <w:r w:rsidRPr="00FE5A97">
              <w:rPr>
                <w:sz w:val="18"/>
                <w:szCs w:val="18"/>
              </w:rPr>
              <w:t>201</w:t>
            </w:r>
            <w:r w:rsidR="003E200D">
              <w:rPr>
                <w:sz w:val="18"/>
                <w:szCs w:val="18"/>
              </w:rPr>
              <w:t>9</w:t>
            </w:r>
          </w:p>
        </w:tc>
        <w:tc>
          <w:tcPr>
            <w:tcW w:w="1536" w:type="dxa"/>
            <w:shd w:val="clear" w:color="auto" w:fill="auto"/>
            <w:vAlign w:val="bottom"/>
          </w:tcPr>
          <w:p w14:paraId="159293B9" w14:textId="5CEBB134" w:rsidR="00A741FF" w:rsidRPr="00FE5A97" w:rsidRDefault="00A741FF" w:rsidP="00C92587">
            <w:pPr>
              <w:jc w:val="center"/>
              <w:rPr>
                <w:sz w:val="18"/>
                <w:szCs w:val="18"/>
              </w:rPr>
            </w:pPr>
            <w:r w:rsidRPr="00FE5A97">
              <w:rPr>
                <w:sz w:val="18"/>
                <w:szCs w:val="18"/>
              </w:rPr>
              <w:t>3k</w:t>
            </w:r>
            <w:r w:rsidR="00C92587">
              <w:rPr>
                <w:sz w:val="18"/>
                <w:szCs w:val="18"/>
              </w:rPr>
              <w:t>,</w:t>
            </w:r>
            <w:r w:rsidRPr="00FE5A97">
              <w:rPr>
                <w:sz w:val="18"/>
                <w:szCs w:val="18"/>
              </w:rPr>
              <w:t>11</w:t>
            </w:r>
          </w:p>
        </w:tc>
        <w:tc>
          <w:tcPr>
            <w:tcW w:w="112" w:type="dxa"/>
            <w:shd w:val="clear" w:color="auto" w:fill="auto"/>
            <w:tcMar>
              <w:left w:w="28" w:type="dxa"/>
              <w:right w:w="28" w:type="dxa"/>
            </w:tcMar>
          </w:tcPr>
          <w:p w14:paraId="3339DFBF" w14:textId="77777777" w:rsidR="00A741FF" w:rsidRPr="00FE5A97" w:rsidRDefault="00A741FF" w:rsidP="00A741FF">
            <w:pPr>
              <w:jc w:val="center"/>
              <w:rPr>
                <w:sz w:val="18"/>
                <w:szCs w:val="18"/>
              </w:rPr>
            </w:pPr>
          </w:p>
        </w:tc>
        <w:tc>
          <w:tcPr>
            <w:tcW w:w="1524" w:type="dxa"/>
            <w:shd w:val="clear" w:color="auto" w:fill="auto"/>
            <w:vAlign w:val="bottom"/>
          </w:tcPr>
          <w:p w14:paraId="4E497D6D" w14:textId="2706689D" w:rsidR="00A741FF" w:rsidRPr="00B078AC" w:rsidRDefault="00B2316E" w:rsidP="00A741FF">
            <w:pPr>
              <w:ind w:left="-5" w:right="57" w:hanging="142"/>
              <w:jc w:val="right"/>
              <w:rPr>
                <w:sz w:val="18"/>
                <w:szCs w:val="18"/>
                <w:lang w:val="id-ID"/>
              </w:rPr>
            </w:pPr>
            <w:r w:rsidRPr="00B078AC">
              <w:rPr>
                <w:sz w:val="18"/>
                <w:szCs w:val="18"/>
              </w:rPr>
              <w:t>2.</w:t>
            </w:r>
            <w:r w:rsidR="000F5A5D" w:rsidRPr="00B078AC">
              <w:rPr>
                <w:sz w:val="18"/>
                <w:szCs w:val="18"/>
                <w:lang w:val="id-ID"/>
              </w:rPr>
              <w:t>404</w:t>
            </w:r>
            <w:r w:rsidRPr="00B078AC">
              <w:rPr>
                <w:sz w:val="18"/>
                <w:szCs w:val="18"/>
              </w:rPr>
              <w:t>.</w:t>
            </w:r>
            <w:r w:rsidR="000F5A5D" w:rsidRPr="00B078AC">
              <w:rPr>
                <w:sz w:val="18"/>
                <w:szCs w:val="18"/>
                <w:lang w:val="id-ID"/>
              </w:rPr>
              <w:t>755</w:t>
            </w:r>
            <w:r w:rsidRPr="00B078AC">
              <w:rPr>
                <w:sz w:val="18"/>
                <w:szCs w:val="18"/>
              </w:rPr>
              <w:t>.</w:t>
            </w:r>
            <w:r w:rsidR="000F5A5D" w:rsidRPr="00B078AC">
              <w:rPr>
                <w:sz w:val="18"/>
                <w:szCs w:val="18"/>
                <w:lang w:val="id-ID"/>
              </w:rPr>
              <w:t>680</w:t>
            </w:r>
            <w:r w:rsidR="00870FD0" w:rsidRPr="00B078AC">
              <w:rPr>
                <w:sz w:val="18"/>
                <w:szCs w:val="18"/>
              </w:rPr>
              <w:t>.</w:t>
            </w:r>
            <w:r w:rsidR="000F5A5D" w:rsidRPr="00B078AC">
              <w:rPr>
                <w:sz w:val="18"/>
                <w:szCs w:val="18"/>
                <w:lang w:val="id-ID"/>
              </w:rPr>
              <w:t>351</w:t>
            </w:r>
          </w:p>
        </w:tc>
        <w:tc>
          <w:tcPr>
            <w:tcW w:w="123" w:type="dxa"/>
            <w:shd w:val="clear" w:color="auto" w:fill="auto"/>
            <w:vAlign w:val="bottom"/>
          </w:tcPr>
          <w:p w14:paraId="745D8CAC" w14:textId="77777777" w:rsidR="00A741FF" w:rsidRPr="00FE5A97" w:rsidRDefault="00A741FF" w:rsidP="00A741FF">
            <w:pPr>
              <w:ind w:right="28"/>
              <w:jc w:val="right"/>
              <w:rPr>
                <w:sz w:val="18"/>
                <w:szCs w:val="18"/>
              </w:rPr>
            </w:pPr>
          </w:p>
        </w:tc>
        <w:tc>
          <w:tcPr>
            <w:tcW w:w="1476" w:type="dxa"/>
            <w:shd w:val="clear" w:color="auto" w:fill="auto"/>
            <w:vAlign w:val="bottom"/>
          </w:tcPr>
          <w:p w14:paraId="43EA86AA" w14:textId="5251F035" w:rsidR="00A741FF" w:rsidRPr="00FE5A97" w:rsidRDefault="00C401D2" w:rsidP="00A741FF">
            <w:pPr>
              <w:ind w:right="57"/>
              <w:jc w:val="right"/>
              <w:rPr>
                <w:sz w:val="18"/>
                <w:szCs w:val="18"/>
              </w:rPr>
            </w:pPr>
            <w:r w:rsidRPr="003016AC">
              <w:rPr>
                <w:sz w:val="18"/>
                <w:szCs w:val="18"/>
              </w:rPr>
              <w:t>2.056.</w:t>
            </w:r>
            <w:r>
              <w:rPr>
                <w:sz w:val="18"/>
                <w:szCs w:val="18"/>
              </w:rPr>
              <w:t>342.191.327</w:t>
            </w:r>
          </w:p>
        </w:tc>
        <w:tc>
          <w:tcPr>
            <w:tcW w:w="2229" w:type="dxa"/>
            <w:shd w:val="clear" w:color="auto" w:fill="auto"/>
          </w:tcPr>
          <w:p w14:paraId="669EC9AC" w14:textId="25302040" w:rsidR="00FE5A97" w:rsidRPr="00FE5A97" w:rsidRDefault="00A741FF" w:rsidP="00CA71BD">
            <w:pPr>
              <w:ind w:right="319"/>
              <w:jc w:val="right"/>
              <w:rPr>
                <w:i/>
                <w:sz w:val="18"/>
                <w:szCs w:val="18"/>
              </w:rPr>
            </w:pPr>
            <w:proofErr w:type="gramStart"/>
            <w:r w:rsidRPr="00FE5A97">
              <w:rPr>
                <w:i/>
                <w:sz w:val="18"/>
                <w:szCs w:val="18"/>
              </w:rPr>
              <w:t>as</w:t>
            </w:r>
            <w:proofErr w:type="gramEnd"/>
            <w:r w:rsidRPr="00FE5A97">
              <w:rPr>
                <w:i/>
                <w:sz w:val="18"/>
                <w:szCs w:val="18"/>
              </w:rPr>
              <w:t xml:space="preserve"> of </w:t>
            </w:r>
            <w:r w:rsidR="003E200D">
              <w:rPr>
                <w:i/>
                <w:sz w:val="18"/>
                <w:szCs w:val="18"/>
              </w:rPr>
              <w:t>March</w:t>
            </w:r>
            <w:r w:rsidRPr="00FE5A97">
              <w:rPr>
                <w:i/>
                <w:sz w:val="18"/>
                <w:szCs w:val="18"/>
              </w:rPr>
              <w:t xml:space="preserve"> 31</w:t>
            </w:r>
            <w:r w:rsidR="00870FD0">
              <w:rPr>
                <w:i/>
                <w:sz w:val="18"/>
                <w:szCs w:val="18"/>
              </w:rPr>
              <w:t>.</w:t>
            </w:r>
          </w:p>
          <w:p w14:paraId="173CFC0E" w14:textId="1C860D5D" w:rsidR="00A741FF" w:rsidRPr="002210E9" w:rsidRDefault="003E200D" w:rsidP="00CA71BD">
            <w:pPr>
              <w:ind w:right="319"/>
              <w:jc w:val="right"/>
              <w:rPr>
                <w:i/>
                <w:sz w:val="18"/>
                <w:szCs w:val="18"/>
              </w:rPr>
            </w:pPr>
            <w:r>
              <w:rPr>
                <w:i/>
                <w:sz w:val="18"/>
                <w:szCs w:val="18"/>
              </w:rPr>
              <w:t xml:space="preserve"> 2020</w:t>
            </w:r>
            <w:r w:rsidR="00FE5A97" w:rsidRPr="00FE5A97">
              <w:rPr>
                <w:i/>
                <w:sz w:val="18"/>
                <w:szCs w:val="18"/>
              </w:rPr>
              <w:t xml:space="preserve"> and</w:t>
            </w:r>
            <w:r>
              <w:rPr>
                <w:i/>
                <w:sz w:val="18"/>
                <w:szCs w:val="18"/>
              </w:rPr>
              <w:t xml:space="preserve"> December 31,</w:t>
            </w:r>
            <w:r w:rsidR="00FE5A97" w:rsidRPr="00FE5A97">
              <w:rPr>
                <w:i/>
                <w:sz w:val="18"/>
                <w:szCs w:val="18"/>
              </w:rPr>
              <w:t xml:space="preserve"> 201</w:t>
            </w:r>
            <w:r>
              <w:rPr>
                <w:i/>
                <w:sz w:val="18"/>
                <w:szCs w:val="18"/>
              </w:rPr>
              <w:t>9</w:t>
            </w:r>
          </w:p>
        </w:tc>
      </w:tr>
      <w:tr w:rsidR="00A741FF" w:rsidRPr="00EA2E1E" w14:paraId="25EC55EF" w14:textId="77777777" w:rsidTr="002A1B51">
        <w:tblPrEx>
          <w:tblLook w:val="01E0" w:firstRow="1" w:lastRow="1" w:firstColumn="1" w:lastColumn="1" w:noHBand="0" w:noVBand="0"/>
        </w:tblPrEx>
        <w:trPr>
          <w:cantSplit/>
        </w:trPr>
        <w:tc>
          <w:tcPr>
            <w:tcW w:w="2244" w:type="dxa"/>
            <w:vAlign w:val="bottom"/>
          </w:tcPr>
          <w:p w14:paraId="22F5016F" w14:textId="515239BF" w:rsidR="00A741FF" w:rsidRPr="00FE5A97" w:rsidRDefault="00A741FF" w:rsidP="00A741FF">
            <w:pPr>
              <w:ind w:left="284" w:hanging="142"/>
              <w:rPr>
                <w:sz w:val="18"/>
                <w:szCs w:val="18"/>
              </w:rPr>
            </w:pPr>
            <w:r w:rsidRPr="00FE5A97">
              <w:rPr>
                <w:sz w:val="18"/>
                <w:szCs w:val="18"/>
              </w:rPr>
              <w:t>Properti investasi</w:t>
            </w:r>
          </w:p>
        </w:tc>
        <w:tc>
          <w:tcPr>
            <w:tcW w:w="1536" w:type="dxa"/>
            <w:shd w:val="clear" w:color="auto" w:fill="auto"/>
            <w:vAlign w:val="bottom"/>
          </w:tcPr>
          <w:p w14:paraId="2C44D591" w14:textId="6E4F9C69" w:rsidR="00A741FF" w:rsidRPr="00FE5A97" w:rsidRDefault="00A741FF" w:rsidP="00A741FF">
            <w:pPr>
              <w:jc w:val="center"/>
              <w:rPr>
                <w:sz w:val="18"/>
                <w:szCs w:val="18"/>
              </w:rPr>
            </w:pPr>
            <w:r w:rsidRPr="00FE5A97">
              <w:rPr>
                <w:sz w:val="18"/>
                <w:szCs w:val="18"/>
              </w:rPr>
              <w:t>12</w:t>
            </w:r>
          </w:p>
        </w:tc>
        <w:tc>
          <w:tcPr>
            <w:tcW w:w="112" w:type="dxa"/>
            <w:tcMar>
              <w:left w:w="28" w:type="dxa"/>
              <w:right w:w="28" w:type="dxa"/>
            </w:tcMar>
          </w:tcPr>
          <w:p w14:paraId="67C1F823" w14:textId="77777777" w:rsidR="00A741FF" w:rsidRPr="00FE5A97" w:rsidRDefault="00A741FF" w:rsidP="00A741FF">
            <w:pPr>
              <w:jc w:val="center"/>
              <w:rPr>
                <w:b/>
                <w:sz w:val="18"/>
                <w:szCs w:val="18"/>
              </w:rPr>
            </w:pPr>
          </w:p>
        </w:tc>
        <w:tc>
          <w:tcPr>
            <w:tcW w:w="1524" w:type="dxa"/>
            <w:shd w:val="clear" w:color="auto" w:fill="auto"/>
            <w:vAlign w:val="bottom"/>
          </w:tcPr>
          <w:p w14:paraId="1759361A" w14:textId="24A2BC60" w:rsidR="00A741FF" w:rsidRPr="00B078AC" w:rsidRDefault="00870FD0" w:rsidP="00A741FF">
            <w:pPr>
              <w:ind w:left="-76" w:right="57"/>
              <w:jc w:val="right"/>
              <w:rPr>
                <w:sz w:val="18"/>
                <w:szCs w:val="18"/>
              </w:rPr>
            </w:pPr>
            <w:r w:rsidRPr="00B078AC">
              <w:rPr>
                <w:sz w:val="18"/>
                <w:szCs w:val="18"/>
              </w:rPr>
              <w:t>40.010.000.000</w:t>
            </w:r>
          </w:p>
        </w:tc>
        <w:tc>
          <w:tcPr>
            <w:tcW w:w="123" w:type="dxa"/>
            <w:vAlign w:val="bottom"/>
          </w:tcPr>
          <w:p w14:paraId="547D3FB0" w14:textId="77777777" w:rsidR="00A741FF" w:rsidRPr="00FE5A97" w:rsidRDefault="00A741FF" w:rsidP="00A741FF">
            <w:pPr>
              <w:ind w:left="-76" w:right="28"/>
              <w:jc w:val="right"/>
              <w:rPr>
                <w:b/>
                <w:sz w:val="18"/>
                <w:szCs w:val="18"/>
              </w:rPr>
            </w:pPr>
          </w:p>
        </w:tc>
        <w:tc>
          <w:tcPr>
            <w:tcW w:w="1476" w:type="dxa"/>
            <w:vAlign w:val="bottom"/>
          </w:tcPr>
          <w:p w14:paraId="64011E46" w14:textId="7047CBAB" w:rsidR="00A741FF" w:rsidRPr="00FE5A97" w:rsidRDefault="00A741FF" w:rsidP="00A741FF">
            <w:pPr>
              <w:ind w:left="-76" w:right="57"/>
              <w:jc w:val="right"/>
              <w:rPr>
                <w:sz w:val="18"/>
                <w:szCs w:val="18"/>
              </w:rPr>
            </w:pPr>
            <w:r w:rsidRPr="00FE5A97">
              <w:rPr>
                <w:sz w:val="18"/>
                <w:szCs w:val="18"/>
              </w:rPr>
              <w:t>40.010.000.000</w:t>
            </w:r>
          </w:p>
        </w:tc>
        <w:tc>
          <w:tcPr>
            <w:tcW w:w="2229" w:type="dxa"/>
            <w:shd w:val="clear" w:color="auto" w:fill="auto"/>
          </w:tcPr>
          <w:p w14:paraId="19F34D62" w14:textId="628703C0" w:rsidR="00A741FF" w:rsidRPr="00EA2E1E" w:rsidRDefault="00A741FF" w:rsidP="00CA71BD">
            <w:pPr>
              <w:ind w:right="53"/>
              <w:jc w:val="right"/>
              <w:rPr>
                <w:i/>
                <w:sz w:val="18"/>
                <w:szCs w:val="18"/>
              </w:rPr>
            </w:pPr>
            <w:r w:rsidRPr="00FE5A97">
              <w:rPr>
                <w:i/>
                <w:sz w:val="18"/>
                <w:szCs w:val="18"/>
              </w:rPr>
              <w:t>Investment property</w:t>
            </w:r>
          </w:p>
        </w:tc>
      </w:tr>
      <w:tr w:rsidR="00A741FF" w:rsidRPr="00EA2E1E" w14:paraId="1B4FB460" w14:textId="77777777" w:rsidTr="002A1B51">
        <w:tblPrEx>
          <w:tblLook w:val="01E0" w:firstRow="1" w:lastRow="1" w:firstColumn="1" w:lastColumn="1" w:noHBand="0" w:noVBand="0"/>
        </w:tblPrEx>
        <w:trPr>
          <w:cantSplit/>
        </w:trPr>
        <w:tc>
          <w:tcPr>
            <w:tcW w:w="2244" w:type="dxa"/>
            <w:vAlign w:val="bottom"/>
          </w:tcPr>
          <w:p w14:paraId="08BD365B" w14:textId="1F00E315" w:rsidR="00A741FF" w:rsidRPr="00EA2E1E" w:rsidRDefault="00A741FF" w:rsidP="00A741FF">
            <w:pPr>
              <w:ind w:left="284" w:hanging="142"/>
              <w:rPr>
                <w:sz w:val="18"/>
                <w:szCs w:val="18"/>
              </w:rPr>
            </w:pPr>
            <w:r w:rsidRPr="00EA2E1E">
              <w:rPr>
                <w:sz w:val="18"/>
                <w:szCs w:val="18"/>
              </w:rPr>
              <w:t>Aset takberwujud - setelah</w:t>
            </w:r>
          </w:p>
        </w:tc>
        <w:tc>
          <w:tcPr>
            <w:tcW w:w="1536" w:type="dxa"/>
            <w:shd w:val="clear" w:color="auto" w:fill="auto"/>
            <w:vAlign w:val="bottom"/>
          </w:tcPr>
          <w:p w14:paraId="5DDAF1FC" w14:textId="77777777" w:rsidR="00A741FF" w:rsidRPr="00EA2E1E" w:rsidRDefault="00A741FF" w:rsidP="00A741FF">
            <w:pPr>
              <w:jc w:val="center"/>
              <w:rPr>
                <w:sz w:val="18"/>
                <w:szCs w:val="18"/>
                <w:highlight w:val="red"/>
              </w:rPr>
            </w:pPr>
          </w:p>
        </w:tc>
        <w:tc>
          <w:tcPr>
            <w:tcW w:w="112" w:type="dxa"/>
            <w:tcMar>
              <w:left w:w="28" w:type="dxa"/>
              <w:right w:w="28" w:type="dxa"/>
            </w:tcMar>
          </w:tcPr>
          <w:p w14:paraId="338241D7" w14:textId="77777777" w:rsidR="00A741FF" w:rsidRPr="00EA2E1E" w:rsidRDefault="00A741FF" w:rsidP="00A741FF">
            <w:pPr>
              <w:jc w:val="center"/>
              <w:rPr>
                <w:b/>
                <w:sz w:val="18"/>
                <w:szCs w:val="18"/>
              </w:rPr>
            </w:pPr>
          </w:p>
        </w:tc>
        <w:tc>
          <w:tcPr>
            <w:tcW w:w="1524" w:type="dxa"/>
            <w:shd w:val="clear" w:color="auto" w:fill="auto"/>
            <w:vAlign w:val="bottom"/>
          </w:tcPr>
          <w:p w14:paraId="2724A129" w14:textId="77777777" w:rsidR="00A741FF" w:rsidRPr="00B078AC" w:rsidRDefault="00A741FF" w:rsidP="00A741FF">
            <w:pPr>
              <w:ind w:left="-76" w:right="57"/>
              <w:jc w:val="right"/>
              <w:rPr>
                <w:sz w:val="18"/>
                <w:szCs w:val="18"/>
              </w:rPr>
            </w:pPr>
          </w:p>
        </w:tc>
        <w:tc>
          <w:tcPr>
            <w:tcW w:w="123" w:type="dxa"/>
            <w:vAlign w:val="bottom"/>
          </w:tcPr>
          <w:p w14:paraId="43476362" w14:textId="77777777" w:rsidR="00A741FF" w:rsidRPr="00EA2E1E" w:rsidRDefault="00A741FF" w:rsidP="00A741FF">
            <w:pPr>
              <w:ind w:left="-76" w:right="28"/>
              <w:jc w:val="right"/>
              <w:rPr>
                <w:b/>
                <w:sz w:val="18"/>
                <w:szCs w:val="18"/>
              </w:rPr>
            </w:pPr>
          </w:p>
        </w:tc>
        <w:tc>
          <w:tcPr>
            <w:tcW w:w="1476" w:type="dxa"/>
            <w:vAlign w:val="bottom"/>
          </w:tcPr>
          <w:p w14:paraId="24BC7700" w14:textId="77777777" w:rsidR="00A741FF" w:rsidRPr="00FE279F" w:rsidRDefault="00A741FF" w:rsidP="00A741FF">
            <w:pPr>
              <w:ind w:left="-76" w:right="57"/>
              <w:jc w:val="right"/>
              <w:rPr>
                <w:sz w:val="18"/>
                <w:szCs w:val="18"/>
              </w:rPr>
            </w:pPr>
          </w:p>
        </w:tc>
        <w:tc>
          <w:tcPr>
            <w:tcW w:w="2229" w:type="dxa"/>
            <w:shd w:val="clear" w:color="auto" w:fill="auto"/>
          </w:tcPr>
          <w:p w14:paraId="6D2E1104" w14:textId="77777777" w:rsidR="00A741FF" w:rsidRPr="00EA2E1E" w:rsidRDefault="00A741FF" w:rsidP="00A741FF">
            <w:pPr>
              <w:ind w:right="284"/>
              <w:jc w:val="right"/>
              <w:rPr>
                <w:i/>
                <w:sz w:val="18"/>
                <w:szCs w:val="18"/>
              </w:rPr>
            </w:pPr>
            <w:r w:rsidRPr="00EA2E1E">
              <w:rPr>
                <w:i/>
                <w:sz w:val="18"/>
                <w:szCs w:val="18"/>
              </w:rPr>
              <w:t>Intangible asset</w:t>
            </w:r>
          </w:p>
        </w:tc>
      </w:tr>
      <w:tr w:rsidR="00A741FF" w:rsidRPr="00EA2E1E" w14:paraId="65C6DA13" w14:textId="77777777" w:rsidTr="002A1B51">
        <w:tblPrEx>
          <w:tblLook w:val="01E0" w:firstRow="1" w:lastRow="1" w:firstColumn="1" w:lastColumn="1" w:noHBand="0" w:noVBand="0"/>
        </w:tblPrEx>
        <w:trPr>
          <w:cantSplit/>
        </w:trPr>
        <w:tc>
          <w:tcPr>
            <w:tcW w:w="2244" w:type="dxa"/>
            <w:shd w:val="clear" w:color="auto" w:fill="auto"/>
            <w:vAlign w:val="bottom"/>
          </w:tcPr>
          <w:p w14:paraId="5BC78C55" w14:textId="51001BE9" w:rsidR="00A741FF" w:rsidRPr="00EA2E1E" w:rsidRDefault="00DD5B08" w:rsidP="00A741FF">
            <w:pPr>
              <w:ind w:left="284"/>
              <w:rPr>
                <w:sz w:val="18"/>
                <w:szCs w:val="18"/>
              </w:rPr>
            </w:pPr>
            <w:r>
              <w:rPr>
                <w:sz w:val="18"/>
                <w:szCs w:val="18"/>
              </w:rPr>
              <w:t>d</w:t>
            </w:r>
            <w:r w:rsidR="00A741FF" w:rsidRPr="00EA2E1E">
              <w:rPr>
                <w:sz w:val="18"/>
                <w:szCs w:val="18"/>
              </w:rPr>
              <w:t xml:space="preserve">ikurangi akumulasi </w:t>
            </w:r>
          </w:p>
        </w:tc>
        <w:tc>
          <w:tcPr>
            <w:tcW w:w="1536" w:type="dxa"/>
            <w:shd w:val="clear" w:color="auto" w:fill="auto"/>
            <w:vAlign w:val="bottom"/>
          </w:tcPr>
          <w:p w14:paraId="115F8155" w14:textId="77777777" w:rsidR="00A741FF" w:rsidRPr="00EA2E1E" w:rsidRDefault="00A741FF" w:rsidP="00A741FF">
            <w:pPr>
              <w:jc w:val="center"/>
              <w:rPr>
                <w:sz w:val="18"/>
                <w:szCs w:val="18"/>
                <w:highlight w:val="red"/>
              </w:rPr>
            </w:pPr>
          </w:p>
        </w:tc>
        <w:tc>
          <w:tcPr>
            <w:tcW w:w="112" w:type="dxa"/>
            <w:shd w:val="clear" w:color="auto" w:fill="auto"/>
            <w:tcMar>
              <w:left w:w="28" w:type="dxa"/>
              <w:right w:w="28" w:type="dxa"/>
            </w:tcMar>
          </w:tcPr>
          <w:p w14:paraId="17F1554D" w14:textId="77777777" w:rsidR="00A741FF" w:rsidRPr="00EA2E1E" w:rsidRDefault="00A741FF" w:rsidP="00A741FF">
            <w:pPr>
              <w:jc w:val="center"/>
              <w:rPr>
                <w:b/>
                <w:sz w:val="18"/>
                <w:szCs w:val="18"/>
              </w:rPr>
            </w:pPr>
          </w:p>
        </w:tc>
        <w:tc>
          <w:tcPr>
            <w:tcW w:w="1524" w:type="dxa"/>
            <w:shd w:val="clear" w:color="auto" w:fill="auto"/>
            <w:vAlign w:val="bottom"/>
          </w:tcPr>
          <w:p w14:paraId="20622006" w14:textId="77777777" w:rsidR="00A741FF" w:rsidRPr="00B078AC" w:rsidRDefault="00A741FF" w:rsidP="00A741FF">
            <w:pPr>
              <w:ind w:left="-76" w:right="57"/>
              <w:jc w:val="right"/>
              <w:rPr>
                <w:sz w:val="18"/>
                <w:szCs w:val="18"/>
              </w:rPr>
            </w:pPr>
          </w:p>
        </w:tc>
        <w:tc>
          <w:tcPr>
            <w:tcW w:w="123" w:type="dxa"/>
            <w:shd w:val="clear" w:color="auto" w:fill="auto"/>
            <w:vAlign w:val="bottom"/>
          </w:tcPr>
          <w:p w14:paraId="6F7350BB" w14:textId="77777777" w:rsidR="00A741FF" w:rsidRPr="00EA2E1E" w:rsidRDefault="00A741FF" w:rsidP="00A741FF">
            <w:pPr>
              <w:ind w:left="-76" w:right="28"/>
              <w:jc w:val="right"/>
              <w:rPr>
                <w:b/>
                <w:sz w:val="18"/>
                <w:szCs w:val="18"/>
              </w:rPr>
            </w:pPr>
          </w:p>
        </w:tc>
        <w:tc>
          <w:tcPr>
            <w:tcW w:w="1476" w:type="dxa"/>
            <w:shd w:val="clear" w:color="auto" w:fill="auto"/>
            <w:vAlign w:val="bottom"/>
          </w:tcPr>
          <w:p w14:paraId="35ED0BDF" w14:textId="77777777" w:rsidR="00A741FF" w:rsidRPr="00FE279F" w:rsidRDefault="00A741FF" w:rsidP="00A741FF">
            <w:pPr>
              <w:ind w:left="-76" w:right="57"/>
              <w:jc w:val="right"/>
              <w:rPr>
                <w:sz w:val="18"/>
                <w:szCs w:val="18"/>
              </w:rPr>
            </w:pPr>
          </w:p>
        </w:tc>
        <w:tc>
          <w:tcPr>
            <w:tcW w:w="2229" w:type="dxa"/>
            <w:shd w:val="clear" w:color="auto" w:fill="auto"/>
          </w:tcPr>
          <w:p w14:paraId="61ED4041" w14:textId="77777777" w:rsidR="00A741FF" w:rsidRPr="00EA2E1E" w:rsidRDefault="00A741FF" w:rsidP="00CA71BD">
            <w:pPr>
              <w:ind w:right="277"/>
              <w:jc w:val="right"/>
              <w:rPr>
                <w:i/>
                <w:sz w:val="18"/>
                <w:szCs w:val="18"/>
              </w:rPr>
            </w:pPr>
            <w:r w:rsidRPr="00EA2E1E">
              <w:rPr>
                <w:i/>
                <w:sz w:val="18"/>
                <w:szCs w:val="18"/>
              </w:rPr>
              <w:t>- net of accumulated</w:t>
            </w:r>
          </w:p>
        </w:tc>
      </w:tr>
      <w:tr w:rsidR="00A741FF" w:rsidRPr="00EA2E1E" w14:paraId="7DE98F4C" w14:textId="77777777" w:rsidTr="002A1B51">
        <w:tblPrEx>
          <w:tblLook w:val="01E0" w:firstRow="1" w:lastRow="1" w:firstColumn="1" w:lastColumn="1" w:noHBand="0" w:noVBand="0"/>
        </w:tblPrEx>
        <w:trPr>
          <w:cantSplit/>
        </w:trPr>
        <w:tc>
          <w:tcPr>
            <w:tcW w:w="2244" w:type="dxa"/>
            <w:shd w:val="clear" w:color="auto" w:fill="auto"/>
            <w:vAlign w:val="bottom"/>
          </w:tcPr>
          <w:p w14:paraId="18A8EA4A" w14:textId="63F1F517" w:rsidR="00A741FF" w:rsidRPr="00EA2E1E" w:rsidRDefault="00DD5B08" w:rsidP="00A741FF">
            <w:pPr>
              <w:ind w:left="284"/>
              <w:rPr>
                <w:sz w:val="18"/>
                <w:szCs w:val="18"/>
              </w:rPr>
            </w:pPr>
            <w:r>
              <w:rPr>
                <w:sz w:val="18"/>
                <w:szCs w:val="18"/>
              </w:rPr>
              <w:t>a</w:t>
            </w:r>
            <w:r w:rsidR="00A741FF" w:rsidRPr="00EA2E1E">
              <w:rPr>
                <w:sz w:val="18"/>
                <w:szCs w:val="18"/>
              </w:rPr>
              <w:t>mortisasi sebesar</w:t>
            </w:r>
          </w:p>
        </w:tc>
        <w:tc>
          <w:tcPr>
            <w:tcW w:w="1536" w:type="dxa"/>
            <w:shd w:val="clear" w:color="auto" w:fill="auto"/>
            <w:vAlign w:val="bottom"/>
          </w:tcPr>
          <w:p w14:paraId="2330D521" w14:textId="77777777" w:rsidR="00A741FF" w:rsidRPr="00EA2E1E" w:rsidRDefault="00A741FF" w:rsidP="00A741FF">
            <w:pPr>
              <w:jc w:val="center"/>
              <w:rPr>
                <w:sz w:val="18"/>
                <w:szCs w:val="18"/>
                <w:highlight w:val="red"/>
              </w:rPr>
            </w:pPr>
          </w:p>
        </w:tc>
        <w:tc>
          <w:tcPr>
            <w:tcW w:w="112" w:type="dxa"/>
            <w:shd w:val="clear" w:color="auto" w:fill="auto"/>
            <w:tcMar>
              <w:left w:w="28" w:type="dxa"/>
              <w:right w:w="28" w:type="dxa"/>
            </w:tcMar>
          </w:tcPr>
          <w:p w14:paraId="236D07F7" w14:textId="77777777" w:rsidR="00A741FF" w:rsidRPr="00EA2E1E" w:rsidRDefault="00A741FF" w:rsidP="00A741FF">
            <w:pPr>
              <w:jc w:val="center"/>
              <w:rPr>
                <w:b/>
                <w:sz w:val="18"/>
                <w:szCs w:val="18"/>
              </w:rPr>
            </w:pPr>
          </w:p>
        </w:tc>
        <w:tc>
          <w:tcPr>
            <w:tcW w:w="1524" w:type="dxa"/>
            <w:shd w:val="clear" w:color="auto" w:fill="auto"/>
            <w:vAlign w:val="bottom"/>
          </w:tcPr>
          <w:p w14:paraId="28D75251" w14:textId="77777777" w:rsidR="00A741FF" w:rsidRPr="00B078AC" w:rsidRDefault="00A741FF" w:rsidP="00A741FF">
            <w:pPr>
              <w:ind w:left="-76" w:right="57"/>
              <w:jc w:val="right"/>
              <w:rPr>
                <w:sz w:val="18"/>
                <w:szCs w:val="18"/>
              </w:rPr>
            </w:pPr>
          </w:p>
        </w:tc>
        <w:tc>
          <w:tcPr>
            <w:tcW w:w="123" w:type="dxa"/>
            <w:shd w:val="clear" w:color="auto" w:fill="auto"/>
            <w:vAlign w:val="bottom"/>
          </w:tcPr>
          <w:p w14:paraId="677DC11E" w14:textId="77777777" w:rsidR="00A741FF" w:rsidRPr="00EA2E1E" w:rsidRDefault="00A741FF" w:rsidP="00A741FF">
            <w:pPr>
              <w:ind w:left="-76" w:right="28"/>
              <w:jc w:val="right"/>
              <w:rPr>
                <w:b/>
                <w:sz w:val="18"/>
                <w:szCs w:val="18"/>
              </w:rPr>
            </w:pPr>
          </w:p>
        </w:tc>
        <w:tc>
          <w:tcPr>
            <w:tcW w:w="1476" w:type="dxa"/>
            <w:shd w:val="clear" w:color="auto" w:fill="auto"/>
            <w:vAlign w:val="bottom"/>
          </w:tcPr>
          <w:p w14:paraId="5E6697FA" w14:textId="77777777" w:rsidR="00A741FF" w:rsidRPr="00FE279F" w:rsidRDefault="00A741FF" w:rsidP="00A741FF">
            <w:pPr>
              <w:ind w:left="-76" w:right="57"/>
              <w:jc w:val="right"/>
              <w:rPr>
                <w:sz w:val="18"/>
                <w:szCs w:val="18"/>
              </w:rPr>
            </w:pPr>
          </w:p>
        </w:tc>
        <w:tc>
          <w:tcPr>
            <w:tcW w:w="2229" w:type="dxa"/>
            <w:shd w:val="clear" w:color="auto" w:fill="auto"/>
          </w:tcPr>
          <w:p w14:paraId="20E14A3B" w14:textId="77777777" w:rsidR="00A741FF" w:rsidRPr="00EA2E1E" w:rsidRDefault="00A741FF" w:rsidP="00CA71BD">
            <w:pPr>
              <w:ind w:right="277"/>
              <w:jc w:val="right"/>
              <w:rPr>
                <w:i/>
                <w:sz w:val="18"/>
                <w:szCs w:val="18"/>
              </w:rPr>
            </w:pPr>
            <w:r w:rsidRPr="00EA2E1E">
              <w:rPr>
                <w:i/>
                <w:sz w:val="18"/>
                <w:szCs w:val="18"/>
              </w:rPr>
              <w:t>Amortization of</w:t>
            </w:r>
          </w:p>
        </w:tc>
      </w:tr>
      <w:tr w:rsidR="00A741FF" w:rsidRPr="00EA2E1E" w14:paraId="4F62A051" w14:textId="77777777" w:rsidTr="002A1B51">
        <w:tblPrEx>
          <w:tblLook w:val="01E0" w:firstRow="1" w:lastRow="1" w:firstColumn="1" w:lastColumn="1" w:noHBand="0" w:noVBand="0"/>
        </w:tblPrEx>
        <w:trPr>
          <w:cantSplit/>
        </w:trPr>
        <w:tc>
          <w:tcPr>
            <w:tcW w:w="2244" w:type="dxa"/>
            <w:shd w:val="clear" w:color="auto" w:fill="auto"/>
            <w:vAlign w:val="bottom"/>
          </w:tcPr>
          <w:p w14:paraId="042B5CF6" w14:textId="1015C07E" w:rsidR="00A741FF" w:rsidRPr="00EA2E1E" w:rsidRDefault="008E6933" w:rsidP="00A741FF">
            <w:pPr>
              <w:ind w:left="284"/>
              <w:rPr>
                <w:sz w:val="18"/>
                <w:szCs w:val="18"/>
              </w:rPr>
            </w:pPr>
            <w:r>
              <w:rPr>
                <w:sz w:val="18"/>
                <w:szCs w:val="18"/>
              </w:rPr>
              <w:t>Rp 10.881.808.270</w:t>
            </w:r>
            <w:r w:rsidR="00870FD0">
              <w:rPr>
                <w:sz w:val="18"/>
                <w:szCs w:val="18"/>
              </w:rPr>
              <w:t>.</w:t>
            </w:r>
            <w:r w:rsidR="00A741FF" w:rsidRPr="00EA2E1E">
              <w:rPr>
                <w:sz w:val="18"/>
                <w:szCs w:val="18"/>
              </w:rPr>
              <w:t xml:space="preserve"> </w:t>
            </w:r>
            <w:r w:rsidR="00DD5B08">
              <w:rPr>
                <w:sz w:val="18"/>
                <w:szCs w:val="18"/>
              </w:rPr>
              <w:t>dan</w:t>
            </w:r>
            <w:r w:rsidR="00494611">
              <w:rPr>
                <w:sz w:val="18"/>
                <w:szCs w:val="18"/>
              </w:rPr>
              <w:br/>
              <w:t>Rp 10.374.012.937</w:t>
            </w:r>
          </w:p>
        </w:tc>
        <w:tc>
          <w:tcPr>
            <w:tcW w:w="1536" w:type="dxa"/>
            <w:shd w:val="clear" w:color="auto" w:fill="auto"/>
            <w:vAlign w:val="bottom"/>
          </w:tcPr>
          <w:p w14:paraId="0E99F0B5" w14:textId="77777777" w:rsidR="00A741FF" w:rsidRPr="00EA2E1E" w:rsidRDefault="00A741FF" w:rsidP="00A741FF">
            <w:pPr>
              <w:jc w:val="center"/>
              <w:rPr>
                <w:sz w:val="18"/>
                <w:szCs w:val="18"/>
                <w:highlight w:val="red"/>
              </w:rPr>
            </w:pPr>
          </w:p>
        </w:tc>
        <w:tc>
          <w:tcPr>
            <w:tcW w:w="112" w:type="dxa"/>
            <w:shd w:val="clear" w:color="auto" w:fill="auto"/>
            <w:tcMar>
              <w:left w:w="28" w:type="dxa"/>
              <w:right w:w="28" w:type="dxa"/>
            </w:tcMar>
          </w:tcPr>
          <w:p w14:paraId="42B41117" w14:textId="77777777" w:rsidR="00A741FF" w:rsidRPr="00EA2E1E" w:rsidRDefault="00A741FF" w:rsidP="00A741FF">
            <w:pPr>
              <w:jc w:val="center"/>
              <w:rPr>
                <w:b/>
                <w:sz w:val="18"/>
                <w:szCs w:val="18"/>
              </w:rPr>
            </w:pPr>
          </w:p>
        </w:tc>
        <w:tc>
          <w:tcPr>
            <w:tcW w:w="1524" w:type="dxa"/>
            <w:shd w:val="clear" w:color="auto" w:fill="auto"/>
            <w:vAlign w:val="bottom"/>
          </w:tcPr>
          <w:p w14:paraId="1100882F" w14:textId="77777777" w:rsidR="00A741FF" w:rsidRPr="00B078AC" w:rsidRDefault="00A741FF" w:rsidP="00A741FF">
            <w:pPr>
              <w:ind w:left="-76" w:right="57"/>
              <w:jc w:val="right"/>
              <w:rPr>
                <w:sz w:val="18"/>
                <w:szCs w:val="18"/>
              </w:rPr>
            </w:pPr>
          </w:p>
        </w:tc>
        <w:tc>
          <w:tcPr>
            <w:tcW w:w="123" w:type="dxa"/>
            <w:shd w:val="clear" w:color="auto" w:fill="auto"/>
            <w:vAlign w:val="bottom"/>
          </w:tcPr>
          <w:p w14:paraId="5C752AF8" w14:textId="77777777" w:rsidR="00A741FF" w:rsidRPr="00EA2E1E" w:rsidRDefault="00A741FF" w:rsidP="00A741FF">
            <w:pPr>
              <w:ind w:left="-76" w:right="28"/>
              <w:jc w:val="right"/>
              <w:rPr>
                <w:b/>
                <w:sz w:val="18"/>
                <w:szCs w:val="18"/>
              </w:rPr>
            </w:pPr>
          </w:p>
        </w:tc>
        <w:tc>
          <w:tcPr>
            <w:tcW w:w="1476" w:type="dxa"/>
            <w:shd w:val="clear" w:color="auto" w:fill="auto"/>
            <w:vAlign w:val="bottom"/>
          </w:tcPr>
          <w:p w14:paraId="15FE5944" w14:textId="77777777" w:rsidR="00A741FF" w:rsidRPr="00FE279F" w:rsidRDefault="00A741FF" w:rsidP="00A741FF">
            <w:pPr>
              <w:ind w:left="-76" w:right="57"/>
              <w:jc w:val="right"/>
              <w:rPr>
                <w:sz w:val="18"/>
                <w:szCs w:val="18"/>
              </w:rPr>
            </w:pPr>
          </w:p>
        </w:tc>
        <w:tc>
          <w:tcPr>
            <w:tcW w:w="2229" w:type="dxa"/>
            <w:shd w:val="clear" w:color="auto" w:fill="auto"/>
          </w:tcPr>
          <w:p w14:paraId="59B35221" w14:textId="089A144B" w:rsidR="00A741FF" w:rsidRPr="00EA2E1E" w:rsidRDefault="00A741FF" w:rsidP="00494611">
            <w:pPr>
              <w:ind w:right="277"/>
              <w:jc w:val="right"/>
              <w:rPr>
                <w:i/>
                <w:sz w:val="18"/>
                <w:szCs w:val="18"/>
              </w:rPr>
            </w:pPr>
            <w:r w:rsidRPr="00EA2E1E">
              <w:rPr>
                <w:i/>
                <w:sz w:val="18"/>
                <w:szCs w:val="18"/>
              </w:rPr>
              <w:t xml:space="preserve">Rp </w:t>
            </w:r>
            <w:r w:rsidR="008E6933">
              <w:rPr>
                <w:i/>
                <w:iCs/>
                <w:sz w:val="18"/>
                <w:szCs w:val="18"/>
              </w:rPr>
              <w:t>10,881,808,270</w:t>
            </w:r>
            <w:r w:rsidRPr="00EA2E1E">
              <w:rPr>
                <w:i/>
                <w:sz w:val="18"/>
                <w:szCs w:val="18"/>
                <w:lang w:val="id-ID"/>
              </w:rPr>
              <w:t xml:space="preserve"> and </w:t>
            </w:r>
            <w:r w:rsidRPr="00EA2E1E">
              <w:rPr>
                <w:i/>
                <w:sz w:val="18"/>
                <w:szCs w:val="18"/>
              </w:rPr>
              <w:br/>
              <w:t xml:space="preserve">Rp </w:t>
            </w:r>
            <w:r w:rsidR="00494611">
              <w:rPr>
                <w:i/>
                <w:iCs/>
                <w:sz w:val="18"/>
                <w:szCs w:val="18"/>
              </w:rPr>
              <w:t>10,374,012,937</w:t>
            </w:r>
          </w:p>
        </w:tc>
      </w:tr>
      <w:tr w:rsidR="00A741FF" w:rsidRPr="00EA2E1E" w14:paraId="1EF78A73" w14:textId="77777777" w:rsidTr="002A1B51">
        <w:tblPrEx>
          <w:tblLook w:val="01E0" w:firstRow="1" w:lastRow="1" w:firstColumn="1" w:lastColumn="1" w:noHBand="0" w:noVBand="0"/>
        </w:tblPrEx>
        <w:trPr>
          <w:cantSplit/>
        </w:trPr>
        <w:tc>
          <w:tcPr>
            <w:tcW w:w="2244" w:type="dxa"/>
            <w:shd w:val="clear" w:color="auto" w:fill="auto"/>
            <w:vAlign w:val="bottom"/>
          </w:tcPr>
          <w:p w14:paraId="15AD2596" w14:textId="101EF2ED" w:rsidR="00A741FF" w:rsidRPr="00EA2E1E" w:rsidRDefault="00A741FF" w:rsidP="00494611">
            <w:pPr>
              <w:ind w:left="284"/>
              <w:rPr>
                <w:sz w:val="18"/>
                <w:szCs w:val="18"/>
              </w:rPr>
            </w:pPr>
            <w:r w:rsidRPr="00EA2E1E">
              <w:rPr>
                <w:sz w:val="18"/>
                <w:szCs w:val="18"/>
              </w:rPr>
              <w:t xml:space="preserve">pada tanggal 31 </w:t>
            </w:r>
            <w:r w:rsidR="00494611">
              <w:rPr>
                <w:sz w:val="18"/>
                <w:szCs w:val="18"/>
              </w:rPr>
              <w:t>Maret 2020</w:t>
            </w:r>
            <w:r w:rsidRPr="00EA2E1E">
              <w:rPr>
                <w:sz w:val="18"/>
                <w:szCs w:val="18"/>
              </w:rPr>
              <w:t xml:space="preserve"> dan </w:t>
            </w:r>
            <w:r w:rsidR="00494611">
              <w:rPr>
                <w:sz w:val="18"/>
                <w:szCs w:val="18"/>
              </w:rPr>
              <w:t xml:space="preserve">31 Desember </w:t>
            </w:r>
            <w:r w:rsidRPr="00EA2E1E">
              <w:rPr>
                <w:sz w:val="18"/>
                <w:szCs w:val="18"/>
              </w:rPr>
              <w:t>201</w:t>
            </w:r>
            <w:r w:rsidR="00494611">
              <w:rPr>
                <w:sz w:val="18"/>
                <w:szCs w:val="18"/>
              </w:rPr>
              <w:t>9</w:t>
            </w:r>
          </w:p>
        </w:tc>
        <w:tc>
          <w:tcPr>
            <w:tcW w:w="1536" w:type="dxa"/>
            <w:shd w:val="clear" w:color="auto" w:fill="auto"/>
            <w:vAlign w:val="bottom"/>
          </w:tcPr>
          <w:p w14:paraId="2E879D05" w14:textId="71A2F567" w:rsidR="00A741FF" w:rsidRPr="00EA2E1E" w:rsidRDefault="00A741FF" w:rsidP="00A741FF">
            <w:pPr>
              <w:jc w:val="center"/>
              <w:rPr>
                <w:sz w:val="18"/>
                <w:szCs w:val="18"/>
                <w:highlight w:val="red"/>
              </w:rPr>
            </w:pPr>
            <w:r w:rsidRPr="00D306CA">
              <w:rPr>
                <w:sz w:val="18"/>
                <w:szCs w:val="18"/>
              </w:rPr>
              <w:t>3l</w:t>
            </w:r>
            <w:r w:rsidR="00C92587">
              <w:rPr>
                <w:sz w:val="18"/>
                <w:szCs w:val="18"/>
              </w:rPr>
              <w:t>,</w:t>
            </w:r>
            <w:r w:rsidRPr="00D306CA">
              <w:rPr>
                <w:sz w:val="18"/>
                <w:szCs w:val="18"/>
              </w:rPr>
              <w:t>13</w:t>
            </w:r>
          </w:p>
        </w:tc>
        <w:tc>
          <w:tcPr>
            <w:tcW w:w="112" w:type="dxa"/>
            <w:shd w:val="clear" w:color="auto" w:fill="auto"/>
            <w:tcMar>
              <w:left w:w="28" w:type="dxa"/>
              <w:right w:w="28" w:type="dxa"/>
            </w:tcMar>
          </w:tcPr>
          <w:p w14:paraId="239FA521" w14:textId="77777777" w:rsidR="00A741FF" w:rsidRPr="00EA2E1E" w:rsidRDefault="00A741FF" w:rsidP="00A741FF">
            <w:pPr>
              <w:jc w:val="center"/>
              <w:rPr>
                <w:b/>
                <w:sz w:val="18"/>
                <w:szCs w:val="18"/>
              </w:rPr>
            </w:pPr>
          </w:p>
        </w:tc>
        <w:tc>
          <w:tcPr>
            <w:tcW w:w="1524" w:type="dxa"/>
            <w:shd w:val="clear" w:color="auto" w:fill="auto"/>
            <w:vAlign w:val="bottom"/>
          </w:tcPr>
          <w:p w14:paraId="555530BD" w14:textId="55CFCF2C" w:rsidR="00212B6C" w:rsidRPr="00B078AC" w:rsidRDefault="00212B6C" w:rsidP="00212B6C">
            <w:pPr>
              <w:jc w:val="right"/>
              <w:rPr>
                <w:bCs w:val="0"/>
                <w:sz w:val="18"/>
                <w:szCs w:val="18"/>
              </w:rPr>
            </w:pPr>
            <w:r w:rsidRPr="00B078AC">
              <w:rPr>
                <w:sz w:val="18"/>
                <w:szCs w:val="18"/>
              </w:rPr>
              <w:t xml:space="preserve">              </w:t>
            </w:r>
          </w:p>
          <w:p w14:paraId="3E8EB470" w14:textId="407B4098" w:rsidR="00A741FF" w:rsidRPr="00B078AC" w:rsidRDefault="008E6933" w:rsidP="008E6933">
            <w:pPr>
              <w:ind w:right="57"/>
              <w:rPr>
                <w:sz w:val="18"/>
                <w:szCs w:val="18"/>
              </w:rPr>
            </w:pPr>
            <w:r w:rsidRPr="00B078AC">
              <w:rPr>
                <w:sz w:val="18"/>
                <w:szCs w:val="18"/>
              </w:rPr>
              <w:t xml:space="preserve">        6.793.347.515</w:t>
            </w:r>
          </w:p>
        </w:tc>
        <w:tc>
          <w:tcPr>
            <w:tcW w:w="123" w:type="dxa"/>
            <w:shd w:val="clear" w:color="auto" w:fill="auto"/>
            <w:vAlign w:val="bottom"/>
          </w:tcPr>
          <w:p w14:paraId="03ACF12D" w14:textId="77777777" w:rsidR="00A741FF" w:rsidRPr="00EA2E1E" w:rsidRDefault="00A741FF" w:rsidP="00A741FF">
            <w:pPr>
              <w:ind w:left="-76" w:right="28"/>
              <w:jc w:val="right"/>
              <w:rPr>
                <w:b/>
                <w:sz w:val="18"/>
                <w:szCs w:val="18"/>
              </w:rPr>
            </w:pPr>
          </w:p>
        </w:tc>
        <w:tc>
          <w:tcPr>
            <w:tcW w:w="1476" w:type="dxa"/>
            <w:shd w:val="clear" w:color="auto" w:fill="auto"/>
            <w:vAlign w:val="bottom"/>
          </w:tcPr>
          <w:p w14:paraId="1CACFF93" w14:textId="293570D7" w:rsidR="00A741FF" w:rsidRPr="00FE279F" w:rsidRDefault="00C401D2" w:rsidP="00A741FF">
            <w:pPr>
              <w:ind w:left="-76" w:right="57"/>
              <w:jc w:val="right"/>
              <w:rPr>
                <w:sz w:val="18"/>
                <w:szCs w:val="18"/>
              </w:rPr>
            </w:pPr>
            <w:r w:rsidRPr="003016AC">
              <w:rPr>
                <w:sz w:val="18"/>
                <w:szCs w:val="18"/>
              </w:rPr>
              <w:t>5.773.322.848</w:t>
            </w:r>
          </w:p>
        </w:tc>
        <w:tc>
          <w:tcPr>
            <w:tcW w:w="2229" w:type="dxa"/>
            <w:shd w:val="clear" w:color="auto" w:fill="auto"/>
          </w:tcPr>
          <w:p w14:paraId="33D57508" w14:textId="666777FB" w:rsidR="00A741FF" w:rsidRPr="00EA2E1E" w:rsidRDefault="00494611" w:rsidP="00494611">
            <w:pPr>
              <w:ind w:right="277"/>
              <w:jc w:val="right"/>
              <w:rPr>
                <w:i/>
                <w:sz w:val="18"/>
                <w:szCs w:val="18"/>
              </w:rPr>
            </w:pPr>
            <w:proofErr w:type="gramStart"/>
            <w:r>
              <w:rPr>
                <w:i/>
                <w:sz w:val="18"/>
                <w:szCs w:val="18"/>
              </w:rPr>
              <w:t>as</w:t>
            </w:r>
            <w:proofErr w:type="gramEnd"/>
            <w:r>
              <w:rPr>
                <w:i/>
                <w:sz w:val="18"/>
                <w:szCs w:val="18"/>
              </w:rPr>
              <w:t xml:space="preserve"> of March</w:t>
            </w:r>
            <w:r w:rsidR="00A741FF" w:rsidRPr="00EA2E1E">
              <w:rPr>
                <w:i/>
                <w:sz w:val="18"/>
                <w:szCs w:val="18"/>
              </w:rPr>
              <w:t xml:space="preserve"> 31</w:t>
            </w:r>
            <w:r w:rsidR="00870FD0">
              <w:rPr>
                <w:i/>
                <w:sz w:val="18"/>
                <w:szCs w:val="18"/>
              </w:rPr>
              <w:t>.</w:t>
            </w:r>
            <w:r w:rsidR="00A741FF" w:rsidRPr="00EA2E1E">
              <w:rPr>
                <w:i/>
                <w:sz w:val="18"/>
                <w:szCs w:val="18"/>
              </w:rPr>
              <w:t xml:space="preserve"> 20</w:t>
            </w:r>
            <w:r>
              <w:rPr>
                <w:i/>
                <w:sz w:val="18"/>
                <w:szCs w:val="18"/>
              </w:rPr>
              <w:t>20</w:t>
            </w:r>
            <w:r w:rsidR="00A741FF" w:rsidRPr="00EA2E1E">
              <w:rPr>
                <w:i/>
                <w:sz w:val="18"/>
                <w:szCs w:val="18"/>
              </w:rPr>
              <w:t xml:space="preserve"> and </w:t>
            </w:r>
            <w:r>
              <w:rPr>
                <w:i/>
                <w:sz w:val="18"/>
                <w:szCs w:val="18"/>
              </w:rPr>
              <w:t xml:space="preserve">December 31, </w:t>
            </w:r>
            <w:r w:rsidR="00A741FF" w:rsidRPr="00EA2E1E">
              <w:rPr>
                <w:i/>
                <w:sz w:val="18"/>
                <w:szCs w:val="18"/>
              </w:rPr>
              <w:t>201</w:t>
            </w:r>
            <w:r>
              <w:rPr>
                <w:i/>
                <w:sz w:val="18"/>
                <w:szCs w:val="18"/>
              </w:rPr>
              <w:t>9</w:t>
            </w:r>
          </w:p>
        </w:tc>
      </w:tr>
      <w:tr w:rsidR="00A741FF" w:rsidRPr="00EA2E1E" w14:paraId="7F20A6AE" w14:textId="77777777" w:rsidTr="002A1B51">
        <w:tblPrEx>
          <w:tblLook w:val="01E0" w:firstRow="1" w:lastRow="1" w:firstColumn="1" w:lastColumn="1" w:noHBand="0" w:noVBand="0"/>
        </w:tblPrEx>
        <w:trPr>
          <w:cantSplit/>
        </w:trPr>
        <w:tc>
          <w:tcPr>
            <w:tcW w:w="2244" w:type="dxa"/>
            <w:vAlign w:val="bottom"/>
          </w:tcPr>
          <w:p w14:paraId="37B2E9FB" w14:textId="77777777" w:rsidR="00A741FF" w:rsidRPr="00EA2E1E" w:rsidRDefault="00A741FF" w:rsidP="00A741FF">
            <w:pPr>
              <w:ind w:left="284" w:hanging="142"/>
              <w:rPr>
                <w:sz w:val="18"/>
                <w:szCs w:val="18"/>
              </w:rPr>
            </w:pPr>
            <w:r w:rsidRPr="00EA2E1E">
              <w:rPr>
                <w:sz w:val="18"/>
                <w:szCs w:val="18"/>
              </w:rPr>
              <w:t>Aset pajak tangguhan - bersih</w:t>
            </w:r>
          </w:p>
        </w:tc>
        <w:tc>
          <w:tcPr>
            <w:tcW w:w="1536" w:type="dxa"/>
            <w:shd w:val="clear" w:color="auto" w:fill="auto"/>
            <w:vAlign w:val="bottom"/>
          </w:tcPr>
          <w:p w14:paraId="65C71CEB" w14:textId="1385B10B" w:rsidR="00A741FF" w:rsidRPr="00EA2E1E" w:rsidRDefault="00A741FF" w:rsidP="00A741FF">
            <w:pPr>
              <w:jc w:val="center"/>
              <w:rPr>
                <w:sz w:val="18"/>
                <w:szCs w:val="18"/>
                <w:highlight w:val="red"/>
                <w:lang w:val="id-ID"/>
              </w:rPr>
            </w:pPr>
            <w:r w:rsidRPr="00D306CA">
              <w:rPr>
                <w:sz w:val="18"/>
                <w:szCs w:val="18"/>
              </w:rPr>
              <w:t>3m</w:t>
            </w:r>
            <w:r w:rsidR="00C92587">
              <w:rPr>
                <w:sz w:val="18"/>
                <w:szCs w:val="18"/>
              </w:rPr>
              <w:t>,</w:t>
            </w:r>
            <w:r w:rsidR="00D306CA" w:rsidRPr="00D306CA">
              <w:rPr>
                <w:sz w:val="18"/>
                <w:szCs w:val="18"/>
              </w:rPr>
              <w:t>17f</w:t>
            </w:r>
          </w:p>
        </w:tc>
        <w:tc>
          <w:tcPr>
            <w:tcW w:w="112" w:type="dxa"/>
            <w:tcMar>
              <w:left w:w="28" w:type="dxa"/>
              <w:right w:w="28" w:type="dxa"/>
            </w:tcMar>
          </w:tcPr>
          <w:p w14:paraId="22AD624D" w14:textId="77777777" w:rsidR="00A741FF" w:rsidRPr="00EA2E1E" w:rsidRDefault="00A741FF" w:rsidP="00A741FF">
            <w:pPr>
              <w:jc w:val="center"/>
              <w:rPr>
                <w:b/>
                <w:sz w:val="18"/>
                <w:szCs w:val="18"/>
              </w:rPr>
            </w:pPr>
          </w:p>
        </w:tc>
        <w:tc>
          <w:tcPr>
            <w:tcW w:w="1524" w:type="dxa"/>
            <w:shd w:val="clear" w:color="auto" w:fill="auto"/>
            <w:vAlign w:val="bottom"/>
          </w:tcPr>
          <w:p w14:paraId="70A0F245" w14:textId="6114C182" w:rsidR="00A741FF" w:rsidRPr="00B078AC" w:rsidRDefault="000F5A5D" w:rsidP="00A741FF">
            <w:pPr>
              <w:ind w:left="-76" w:right="57"/>
              <w:jc w:val="right"/>
              <w:rPr>
                <w:sz w:val="18"/>
                <w:szCs w:val="18"/>
                <w:lang w:val="id-ID"/>
              </w:rPr>
            </w:pPr>
            <w:r w:rsidRPr="00B078AC">
              <w:rPr>
                <w:sz w:val="18"/>
                <w:szCs w:val="18"/>
              </w:rPr>
              <w:t>59.</w:t>
            </w:r>
            <w:r w:rsidRPr="00B078AC">
              <w:rPr>
                <w:sz w:val="18"/>
                <w:szCs w:val="18"/>
                <w:lang w:val="id-ID"/>
              </w:rPr>
              <w:t>693</w:t>
            </w:r>
            <w:r w:rsidRPr="00B078AC">
              <w:rPr>
                <w:sz w:val="18"/>
                <w:szCs w:val="18"/>
              </w:rPr>
              <w:t>.</w:t>
            </w:r>
            <w:r w:rsidRPr="00B078AC">
              <w:rPr>
                <w:sz w:val="18"/>
                <w:szCs w:val="18"/>
                <w:lang w:val="id-ID"/>
              </w:rPr>
              <w:t>413</w:t>
            </w:r>
            <w:r w:rsidRPr="00B078AC">
              <w:rPr>
                <w:sz w:val="18"/>
                <w:szCs w:val="18"/>
              </w:rPr>
              <w:t>.</w:t>
            </w:r>
            <w:r w:rsidRPr="00B078AC">
              <w:rPr>
                <w:sz w:val="18"/>
                <w:szCs w:val="18"/>
                <w:lang w:val="id-ID"/>
              </w:rPr>
              <w:t>823</w:t>
            </w:r>
          </w:p>
        </w:tc>
        <w:tc>
          <w:tcPr>
            <w:tcW w:w="123" w:type="dxa"/>
            <w:vAlign w:val="bottom"/>
          </w:tcPr>
          <w:p w14:paraId="697B3A26" w14:textId="77777777" w:rsidR="00A741FF" w:rsidRPr="00EA2E1E" w:rsidRDefault="00A741FF" w:rsidP="00A741FF">
            <w:pPr>
              <w:ind w:left="-76" w:right="28"/>
              <w:jc w:val="right"/>
              <w:rPr>
                <w:b/>
                <w:sz w:val="18"/>
                <w:szCs w:val="18"/>
              </w:rPr>
            </w:pPr>
          </w:p>
        </w:tc>
        <w:tc>
          <w:tcPr>
            <w:tcW w:w="1476" w:type="dxa"/>
            <w:vAlign w:val="bottom"/>
          </w:tcPr>
          <w:p w14:paraId="3772B206" w14:textId="7FACD736" w:rsidR="00A741FF" w:rsidRPr="00FE279F" w:rsidRDefault="00C401D2" w:rsidP="00A741FF">
            <w:pPr>
              <w:ind w:left="-76" w:right="57"/>
              <w:jc w:val="right"/>
              <w:rPr>
                <w:sz w:val="18"/>
                <w:szCs w:val="18"/>
              </w:rPr>
            </w:pPr>
            <w:r w:rsidRPr="00147D69">
              <w:rPr>
                <w:sz w:val="18"/>
                <w:szCs w:val="18"/>
              </w:rPr>
              <w:t>60.440.184.33</w:t>
            </w:r>
            <w:r>
              <w:rPr>
                <w:sz w:val="18"/>
                <w:szCs w:val="18"/>
              </w:rPr>
              <w:t>2</w:t>
            </w:r>
          </w:p>
        </w:tc>
        <w:tc>
          <w:tcPr>
            <w:tcW w:w="2229" w:type="dxa"/>
            <w:vAlign w:val="bottom"/>
          </w:tcPr>
          <w:p w14:paraId="46247170" w14:textId="77777777" w:rsidR="00A741FF" w:rsidRPr="00EA2E1E" w:rsidRDefault="00A741FF" w:rsidP="00CA71BD">
            <w:pPr>
              <w:ind w:right="57"/>
              <w:jc w:val="right"/>
              <w:rPr>
                <w:i/>
                <w:sz w:val="18"/>
                <w:szCs w:val="18"/>
              </w:rPr>
            </w:pPr>
            <w:r w:rsidRPr="00EA2E1E">
              <w:rPr>
                <w:i/>
                <w:sz w:val="18"/>
                <w:szCs w:val="18"/>
              </w:rPr>
              <w:t>Deferred tax assets - net</w:t>
            </w:r>
          </w:p>
        </w:tc>
      </w:tr>
      <w:tr w:rsidR="00A741FF" w:rsidRPr="00EA2E1E" w14:paraId="7A21E19A" w14:textId="77777777" w:rsidTr="002A1B51">
        <w:tblPrEx>
          <w:tblLook w:val="01E0" w:firstRow="1" w:lastRow="1" w:firstColumn="1" w:lastColumn="1" w:noHBand="0" w:noVBand="0"/>
        </w:tblPrEx>
        <w:trPr>
          <w:cantSplit/>
        </w:trPr>
        <w:tc>
          <w:tcPr>
            <w:tcW w:w="2244" w:type="dxa"/>
            <w:vAlign w:val="bottom"/>
          </w:tcPr>
          <w:p w14:paraId="2F25677C" w14:textId="77777777" w:rsidR="00A741FF" w:rsidRPr="00EA2E1E" w:rsidRDefault="00A741FF" w:rsidP="00A741FF">
            <w:pPr>
              <w:ind w:left="284" w:hanging="142"/>
              <w:rPr>
                <w:sz w:val="18"/>
                <w:szCs w:val="18"/>
              </w:rPr>
            </w:pPr>
            <w:r w:rsidRPr="00EA2E1E">
              <w:rPr>
                <w:sz w:val="18"/>
                <w:szCs w:val="18"/>
              </w:rPr>
              <w:t>Aset tidak lancar lain-lain</w:t>
            </w:r>
          </w:p>
        </w:tc>
        <w:tc>
          <w:tcPr>
            <w:tcW w:w="1536" w:type="dxa"/>
            <w:shd w:val="clear" w:color="auto" w:fill="auto"/>
            <w:vAlign w:val="bottom"/>
          </w:tcPr>
          <w:p w14:paraId="48FFCB6D" w14:textId="2D3AC1BC" w:rsidR="00A741FF" w:rsidRPr="00EA2E1E" w:rsidRDefault="00274B16" w:rsidP="00A741FF">
            <w:pPr>
              <w:jc w:val="center"/>
              <w:rPr>
                <w:sz w:val="18"/>
                <w:szCs w:val="18"/>
                <w:highlight w:val="red"/>
              </w:rPr>
            </w:pPr>
            <w:r>
              <w:rPr>
                <w:sz w:val="18"/>
                <w:szCs w:val="18"/>
              </w:rPr>
              <w:t>3</w:t>
            </w:r>
            <w:r w:rsidR="00D316D9">
              <w:rPr>
                <w:sz w:val="18"/>
                <w:szCs w:val="18"/>
              </w:rPr>
              <w:t>7</w:t>
            </w:r>
          </w:p>
        </w:tc>
        <w:tc>
          <w:tcPr>
            <w:tcW w:w="112" w:type="dxa"/>
            <w:tcMar>
              <w:left w:w="28" w:type="dxa"/>
              <w:right w:w="28" w:type="dxa"/>
            </w:tcMar>
          </w:tcPr>
          <w:p w14:paraId="182BE419" w14:textId="77777777" w:rsidR="00A741FF" w:rsidRPr="00EA2E1E" w:rsidRDefault="00A741FF" w:rsidP="00A741FF">
            <w:pPr>
              <w:jc w:val="center"/>
              <w:rPr>
                <w:sz w:val="18"/>
                <w:szCs w:val="18"/>
              </w:rPr>
            </w:pPr>
          </w:p>
        </w:tc>
        <w:tc>
          <w:tcPr>
            <w:tcW w:w="1524" w:type="dxa"/>
            <w:shd w:val="clear" w:color="auto" w:fill="auto"/>
            <w:vAlign w:val="bottom"/>
          </w:tcPr>
          <w:p w14:paraId="66DA6234" w14:textId="34E8F19B" w:rsidR="00A741FF" w:rsidRPr="00B078AC" w:rsidRDefault="008E6933" w:rsidP="00A741FF">
            <w:pPr>
              <w:ind w:left="-76" w:right="57"/>
              <w:jc w:val="right"/>
              <w:rPr>
                <w:sz w:val="18"/>
                <w:szCs w:val="18"/>
                <w:lang w:val="id-ID"/>
              </w:rPr>
            </w:pPr>
            <w:r w:rsidRPr="00B078AC">
              <w:rPr>
                <w:sz w:val="18"/>
                <w:szCs w:val="18"/>
                <w:lang w:val="id-ID"/>
              </w:rPr>
              <w:t>81.085.153.235</w:t>
            </w:r>
          </w:p>
        </w:tc>
        <w:tc>
          <w:tcPr>
            <w:tcW w:w="123" w:type="dxa"/>
            <w:vAlign w:val="bottom"/>
          </w:tcPr>
          <w:p w14:paraId="62F65DE6" w14:textId="77777777" w:rsidR="00A741FF" w:rsidRPr="00EA2E1E" w:rsidRDefault="00A741FF" w:rsidP="00A741FF">
            <w:pPr>
              <w:ind w:left="-76" w:right="28"/>
              <w:jc w:val="right"/>
              <w:rPr>
                <w:sz w:val="18"/>
                <w:szCs w:val="18"/>
              </w:rPr>
            </w:pPr>
          </w:p>
        </w:tc>
        <w:tc>
          <w:tcPr>
            <w:tcW w:w="1476" w:type="dxa"/>
            <w:vAlign w:val="bottom"/>
          </w:tcPr>
          <w:p w14:paraId="207D27CF" w14:textId="1AAE11AA" w:rsidR="00A741FF" w:rsidRPr="00FE279F" w:rsidRDefault="00C401D2" w:rsidP="00A741FF">
            <w:pPr>
              <w:ind w:left="-76" w:right="57"/>
              <w:jc w:val="right"/>
              <w:rPr>
                <w:sz w:val="18"/>
                <w:szCs w:val="18"/>
              </w:rPr>
            </w:pPr>
            <w:r w:rsidRPr="00FE279F">
              <w:rPr>
                <w:sz w:val="18"/>
                <w:szCs w:val="18"/>
                <w:lang w:val="id-ID"/>
              </w:rPr>
              <w:t>81.085.153.235</w:t>
            </w:r>
          </w:p>
        </w:tc>
        <w:tc>
          <w:tcPr>
            <w:tcW w:w="2229" w:type="dxa"/>
            <w:vAlign w:val="bottom"/>
          </w:tcPr>
          <w:p w14:paraId="7C6CEF36" w14:textId="77777777" w:rsidR="00A741FF" w:rsidRPr="00EA2E1E" w:rsidRDefault="00A741FF" w:rsidP="00A741FF">
            <w:pPr>
              <w:ind w:right="57"/>
              <w:jc w:val="right"/>
              <w:rPr>
                <w:i/>
                <w:sz w:val="18"/>
                <w:szCs w:val="18"/>
              </w:rPr>
            </w:pPr>
            <w:r w:rsidRPr="00EA2E1E">
              <w:rPr>
                <w:i/>
                <w:sz w:val="18"/>
                <w:szCs w:val="18"/>
              </w:rPr>
              <w:t>Other non-current assets</w:t>
            </w:r>
          </w:p>
        </w:tc>
      </w:tr>
      <w:tr w:rsidR="00A741FF" w:rsidRPr="00EA2E1E" w14:paraId="1403ACAD" w14:textId="77777777" w:rsidTr="002A1B51">
        <w:tblPrEx>
          <w:tblLook w:val="01E0" w:firstRow="1" w:lastRow="1" w:firstColumn="1" w:lastColumn="1" w:noHBand="0" w:noVBand="0"/>
        </w:tblPrEx>
        <w:trPr>
          <w:cantSplit/>
        </w:trPr>
        <w:tc>
          <w:tcPr>
            <w:tcW w:w="2244" w:type="dxa"/>
            <w:vAlign w:val="bottom"/>
          </w:tcPr>
          <w:p w14:paraId="74B60051" w14:textId="054CB484" w:rsidR="00A741FF" w:rsidRPr="00EA2E1E" w:rsidRDefault="00A741FF" w:rsidP="00A741FF">
            <w:pPr>
              <w:ind w:left="284" w:hanging="142"/>
              <w:rPr>
                <w:i/>
                <w:sz w:val="18"/>
                <w:szCs w:val="18"/>
              </w:rPr>
            </w:pPr>
            <w:r w:rsidRPr="00EA2E1E">
              <w:rPr>
                <w:i/>
                <w:sz w:val="18"/>
                <w:szCs w:val="18"/>
              </w:rPr>
              <w:t>Goodwill</w:t>
            </w:r>
          </w:p>
        </w:tc>
        <w:tc>
          <w:tcPr>
            <w:tcW w:w="1536" w:type="dxa"/>
            <w:shd w:val="clear" w:color="auto" w:fill="auto"/>
            <w:vAlign w:val="bottom"/>
          </w:tcPr>
          <w:p w14:paraId="05370B21" w14:textId="089AF3BA" w:rsidR="00A741FF" w:rsidRPr="00EA2E1E" w:rsidRDefault="00A741FF" w:rsidP="00A741FF">
            <w:pPr>
              <w:jc w:val="center"/>
              <w:rPr>
                <w:sz w:val="18"/>
                <w:szCs w:val="18"/>
                <w:highlight w:val="red"/>
              </w:rPr>
            </w:pPr>
            <w:r w:rsidRPr="005B0F02">
              <w:rPr>
                <w:sz w:val="18"/>
                <w:szCs w:val="18"/>
              </w:rPr>
              <w:t>3l</w:t>
            </w:r>
            <w:r w:rsidR="00C92587">
              <w:rPr>
                <w:sz w:val="18"/>
                <w:szCs w:val="18"/>
              </w:rPr>
              <w:t>,</w:t>
            </w:r>
            <w:r w:rsidR="00274B16">
              <w:rPr>
                <w:sz w:val="18"/>
                <w:szCs w:val="18"/>
              </w:rPr>
              <w:t>3</w:t>
            </w:r>
            <w:r w:rsidR="00D316D9">
              <w:rPr>
                <w:sz w:val="18"/>
                <w:szCs w:val="18"/>
              </w:rPr>
              <w:t>8</w:t>
            </w:r>
          </w:p>
        </w:tc>
        <w:tc>
          <w:tcPr>
            <w:tcW w:w="112" w:type="dxa"/>
            <w:tcMar>
              <w:left w:w="28" w:type="dxa"/>
              <w:right w:w="28" w:type="dxa"/>
            </w:tcMar>
          </w:tcPr>
          <w:p w14:paraId="2BB2B374" w14:textId="77777777" w:rsidR="00A741FF" w:rsidRPr="00EA2E1E" w:rsidRDefault="00A741FF" w:rsidP="00A741FF">
            <w:pPr>
              <w:jc w:val="center"/>
              <w:rPr>
                <w:sz w:val="18"/>
                <w:szCs w:val="18"/>
              </w:rPr>
            </w:pPr>
          </w:p>
        </w:tc>
        <w:tc>
          <w:tcPr>
            <w:tcW w:w="1524" w:type="dxa"/>
            <w:tcBorders>
              <w:bottom w:val="single" w:sz="4" w:space="0" w:color="auto"/>
            </w:tcBorders>
            <w:shd w:val="clear" w:color="auto" w:fill="auto"/>
            <w:vAlign w:val="bottom"/>
          </w:tcPr>
          <w:p w14:paraId="019B210B" w14:textId="4C3AF460" w:rsidR="00A741FF" w:rsidRPr="00B078AC" w:rsidRDefault="008E6933" w:rsidP="00A741FF">
            <w:pPr>
              <w:ind w:left="-76" w:right="57"/>
              <w:jc w:val="right"/>
              <w:rPr>
                <w:sz w:val="18"/>
                <w:szCs w:val="18"/>
              </w:rPr>
            </w:pPr>
            <w:r w:rsidRPr="00B078AC">
              <w:rPr>
                <w:sz w:val="18"/>
                <w:szCs w:val="18"/>
              </w:rPr>
              <w:t>237.770.574.237</w:t>
            </w:r>
          </w:p>
        </w:tc>
        <w:tc>
          <w:tcPr>
            <w:tcW w:w="123" w:type="dxa"/>
            <w:vAlign w:val="bottom"/>
          </w:tcPr>
          <w:p w14:paraId="374F4371" w14:textId="77777777" w:rsidR="00A741FF" w:rsidRPr="00EA2E1E" w:rsidRDefault="00A741FF" w:rsidP="00A741FF">
            <w:pPr>
              <w:ind w:left="-76" w:right="28"/>
              <w:jc w:val="right"/>
              <w:rPr>
                <w:sz w:val="18"/>
                <w:szCs w:val="18"/>
              </w:rPr>
            </w:pPr>
          </w:p>
        </w:tc>
        <w:tc>
          <w:tcPr>
            <w:tcW w:w="1476" w:type="dxa"/>
            <w:tcBorders>
              <w:bottom w:val="single" w:sz="4" w:space="0" w:color="auto"/>
            </w:tcBorders>
            <w:vAlign w:val="bottom"/>
          </w:tcPr>
          <w:p w14:paraId="76DB127A" w14:textId="06745ABD" w:rsidR="00A741FF" w:rsidRPr="00FE279F" w:rsidRDefault="00A741FF" w:rsidP="00A741FF">
            <w:pPr>
              <w:ind w:left="-76" w:right="57"/>
              <w:jc w:val="right"/>
              <w:rPr>
                <w:sz w:val="18"/>
                <w:szCs w:val="18"/>
              </w:rPr>
            </w:pPr>
            <w:r w:rsidRPr="00FE279F">
              <w:rPr>
                <w:sz w:val="18"/>
                <w:szCs w:val="18"/>
              </w:rPr>
              <w:t>237.770.574.237</w:t>
            </w:r>
          </w:p>
        </w:tc>
        <w:tc>
          <w:tcPr>
            <w:tcW w:w="2229" w:type="dxa"/>
            <w:vAlign w:val="bottom"/>
          </w:tcPr>
          <w:p w14:paraId="4D60C21D" w14:textId="0FF6E111" w:rsidR="00A741FF" w:rsidRPr="00EA2E1E" w:rsidRDefault="00A741FF" w:rsidP="00A741FF">
            <w:pPr>
              <w:ind w:right="57"/>
              <w:jc w:val="right"/>
              <w:rPr>
                <w:i/>
                <w:sz w:val="18"/>
                <w:szCs w:val="18"/>
              </w:rPr>
            </w:pPr>
            <w:r w:rsidRPr="00EA2E1E">
              <w:rPr>
                <w:i/>
                <w:sz w:val="18"/>
                <w:szCs w:val="18"/>
              </w:rPr>
              <w:t>Goodwill</w:t>
            </w:r>
          </w:p>
        </w:tc>
      </w:tr>
      <w:tr w:rsidR="00A741FF" w:rsidRPr="00EA2E1E" w14:paraId="2C6A6C78" w14:textId="77777777" w:rsidTr="002A1B51">
        <w:tblPrEx>
          <w:tblLook w:val="01E0" w:firstRow="1" w:lastRow="1" w:firstColumn="1" w:lastColumn="1" w:noHBand="0" w:noVBand="0"/>
        </w:tblPrEx>
        <w:trPr>
          <w:cantSplit/>
          <w:trHeight w:val="64"/>
        </w:trPr>
        <w:tc>
          <w:tcPr>
            <w:tcW w:w="2244" w:type="dxa"/>
            <w:vAlign w:val="bottom"/>
          </w:tcPr>
          <w:p w14:paraId="00D8BBDF" w14:textId="77777777" w:rsidR="00A741FF" w:rsidRPr="00EA2E1E" w:rsidRDefault="00A741FF" w:rsidP="00A741FF">
            <w:pPr>
              <w:ind w:left="284" w:hanging="142"/>
              <w:rPr>
                <w:b/>
                <w:sz w:val="18"/>
                <w:szCs w:val="18"/>
              </w:rPr>
            </w:pPr>
          </w:p>
        </w:tc>
        <w:tc>
          <w:tcPr>
            <w:tcW w:w="1536" w:type="dxa"/>
            <w:shd w:val="clear" w:color="auto" w:fill="auto"/>
            <w:vAlign w:val="bottom"/>
          </w:tcPr>
          <w:p w14:paraId="15AC1548" w14:textId="77777777" w:rsidR="00A741FF" w:rsidRPr="00EA2E1E" w:rsidRDefault="00A741FF" w:rsidP="00A741FF">
            <w:pPr>
              <w:jc w:val="center"/>
              <w:rPr>
                <w:sz w:val="18"/>
                <w:szCs w:val="18"/>
                <w:highlight w:val="red"/>
              </w:rPr>
            </w:pPr>
          </w:p>
        </w:tc>
        <w:tc>
          <w:tcPr>
            <w:tcW w:w="112" w:type="dxa"/>
            <w:tcMar>
              <w:left w:w="28" w:type="dxa"/>
              <w:right w:w="28" w:type="dxa"/>
            </w:tcMar>
            <w:vAlign w:val="bottom"/>
          </w:tcPr>
          <w:p w14:paraId="05B938A3" w14:textId="77777777" w:rsidR="00A741FF" w:rsidRPr="00EA2E1E" w:rsidRDefault="00A741FF" w:rsidP="00A741FF">
            <w:pPr>
              <w:rPr>
                <w:sz w:val="18"/>
                <w:szCs w:val="18"/>
              </w:rPr>
            </w:pPr>
          </w:p>
        </w:tc>
        <w:tc>
          <w:tcPr>
            <w:tcW w:w="1524" w:type="dxa"/>
            <w:tcBorders>
              <w:top w:val="single" w:sz="4" w:space="0" w:color="auto"/>
            </w:tcBorders>
            <w:shd w:val="clear" w:color="auto" w:fill="auto"/>
            <w:vAlign w:val="bottom"/>
          </w:tcPr>
          <w:p w14:paraId="2DBE7D26" w14:textId="13C004B7" w:rsidR="00A741FF" w:rsidRPr="00B078AC" w:rsidRDefault="00A741FF" w:rsidP="00A741FF">
            <w:pPr>
              <w:ind w:left="-76" w:right="57"/>
              <w:jc w:val="right"/>
              <w:rPr>
                <w:sz w:val="18"/>
                <w:szCs w:val="18"/>
              </w:rPr>
            </w:pPr>
          </w:p>
        </w:tc>
        <w:tc>
          <w:tcPr>
            <w:tcW w:w="123" w:type="dxa"/>
            <w:vAlign w:val="bottom"/>
          </w:tcPr>
          <w:p w14:paraId="7FD3F846" w14:textId="77777777" w:rsidR="00A741FF" w:rsidRPr="00EA2E1E" w:rsidRDefault="00A741FF" w:rsidP="00A741FF">
            <w:pPr>
              <w:ind w:left="-76" w:right="28"/>
              <w:jc w:val="right"/>
              <w:rPr>
                <w:sz w:val="18"/>
                <w:szCs w:val="18"/>
              </w:rPr>
            </w:pPr>
          </w:p>
        </w:tc>
        <w:tc>
          <w:tcPr>
            <w:tcW w:w="1476" w:type="dxa"/>
            <w:tcBorders>
              <w:top w:val="single" w:sz="4" w:space="0" w:color="auto"/>
            </w:tcBorders>
            <w:vAlign w:val="bottom"/>
          </w:tcPr>
          <w:p w14:paraId="01E89958" w14:textId="77777777" w:rsidR="00A741FF" w:rsidRPr="00FE279F" w:rsidRDefault="00A741FF" w:rsidP="00A741FF">
            <w:pPr>
              <w:ind w:left="-76" w:right="57"/>
              <w:jc w:val="right"/>
              <w:rPr>
                <w:sz w:val="18"/>
                <w:szCs w:val="18"/>
              </w:rPr>
            </w:pPr>
          </w:p>
        </w:tc>
        <w:tc>
          <w:tcPr>
            <w:tcW w:w="2229" w:type="dxa"/>
            <w:vAlign w:val="bottom"/>
          </w:tcPr>
          <w:p w14:paraId="534F833C" w14:textId="77777777" w:rsidR="00A741FF" w:rsidRPr="00EA2E1E" w:rsidRDefault="00A741FF" w:rsidP="00A741FF">
            <w:pPr>
              <w:ind w:right="57"/>
              <w:jc w:val="right"/>
              <w:rPr>
                <w:i/>
                <w:sz w:val="18"/>
                <w:szCs w:val="18"/>
              </w:rPr>
            </w:pPr>
          </w:p>
        </w:tc>
      </w:tr>
      <w:tr w:rsidR="00A741FF" w:rsidRPr="00EA2E1E" w14:paraId="1F481811" w14:textId="77777777" w:rsidTr="002A1B51">
        <w:tblPrEx>
          <w:tblLook w:val="01E0" w:firstRow="1" w:lastRow="1" w:firstColumn="1" w:lastColumn="1" w:noHBand="0" w:noVBand="0"/>
        </w:tblPrEx>
        <w:trPr>
          <w:cantSplit/>
        </w:trPr>
        <w:tc>
          <w:tcPr>
            <w:tcW w:w="2244" w:type="dxa"/>
            <w:vAlign w:val="bottom"/>
          </w:tcPr>
          <w:p w14:paraId="09CFEFA5" w14:textId="77777777" w:rsidR="00A741FF" w:rsidRPr="00EA2E1E" w:rsidRDefault="00A741FF" w:rsidP="00A741FF">
            <w:pPr>
              <w:ind w:left="284" w:right="99" w:hanging="142"/>
              <w:rPr>
                <w:sz w:val="18"/>
                <w:szCs w:val="18"/>
              </w:rPr>
            </w:pPr>
            <w:r w:rsidRPr="00EA2E1E">
              <w:rPr>
                <w:sz w:val="18"/>
                <w:szCs w:val="18"/>
              </w:rPr>
              <w:t>Jumlah Aset Tidak Lancar</w:t>
            </w:r>
          </w:p>
        </w:tc>
        <w:tc>
          <w:tcPr>
            <w:tcW w:w="1536" w:type="dxa"/>
            <w:shd w:val="clear" w:color="auto" w:fill="auto"/>
            <w:vAlign w:val="bottom"/>
          </w:tcPr>
          <w:p w14:paraId="09293B53" w14:textId="77777777" w:rsidR="00A741FF" w:rsidRPr="00EA2E1E" w:rsidRDefault="00A741FF" w:rsidP="00A741FF">
            <w:pPr>
              <w:jc w:val="center"/>
              <w:rPr>
                <w:sz w:val="18"/>
                <w:szCs w:val="18"/>
              </w:rPr>
            </w:pPr>
          </w:p>
        </w:tc>
        <w:tc>
          <w:tcPr>
            <w:tcW w:w="112" w:type="dxa"/>
            <w:tcMar>
              <w:left w:w="28" w:type="dxa"/>
              <w:right w:w="28" w:type="dxa"/>
            </w:tcMar>
          </w:tcPr>
          <w:p w14:paraId="0DD5A357" w14:textId="77777777" w:rsidR="00A741FF" w:rsidRPr="00EA2E1E" w:rsidRDefault="00A741FF" w:rsidP="00A741FF">
            <w:pPr>
              <w:jc w:val="center"/>
              <w:rPr>
                <w:sz w:val="18"/>
                <w:szCs w:val="18"/>
              </w:rPr>
            </w:pPr>
          </w:p>
        </w:tc>
        <w:tc>
          <w:tcPr>
            <w:tcW w:w="1524" w:type="dxa"/>
            <w:tcBorders>
              <w:bottom w:val="single" w:sz="4" w:space="0" w:color="auto"/>
            </w:tcBorders>
            <w:shd w:val="clear" w:color="auto" w:fill="auto"/>
            <w:vAlign w:val="bottom"/>
          </w:tcPr>
          <w:p w14:paraId="57E7FF52" w14:textId="1DD03E95" w:rsidR="00A741FF" w:rsidRPr="00B078AC" w:rsidRDefault="008E71AC" w:rsidP="00A741FF">
            <w:pPr>
              <w:ind w:left="-76" w:right="57"/>
              <w:jc w:val="right"/>
              <w:rPr>
                <w:sz w:val="18"/>
                <w:szCs w:val="18"/>
                <w:lang w:val="id-ID"/>
              </w:rPr>
            </w:pPr>
            <w:r w:rsidRPr="00B078AC">
              <w:rPr>
                <w:sz w:val="18"/>
                <w:szCs w:val="18"/>
              </w:rPr>
              <w:t>2.</w:t>
            </w:r>
            <w:r w:rsidR="002B6559" w:rsidRPr="00B078AC">
              <w:rPr>
                <w:sz w:val="18"/>
                <w:szCs w:val="18"/>
              </w:rPr>
              <w:t>83</w:t>
            </w:r>
            <w:r w:rsidR="000F5A5D" w:rsidRPr="00B078AC">
              <w:rPr>
                <w:sz w:val="18"/>
                <w:szCs w:val="18"/>
                <w:lang w:val="id-ID"/>
              </w:rPr>
              <w:t>1</w:t>
            </w:r>
            <w:r w:rsidRPr="00B078AC">
              <w:rPr>
                <w:sz w:val="18"/>
                <w:szCs w:val="18"/>
              </w:rPr>
              <w:t>.</w:t>
            </w:r>
            <w:r w:rsidR="000F5A5D" w:rsidRPr="00B078AC">
              <w:rPr>
                <w:sz w:val="18"/>
                <w:szCs w:val="18"/>
                <w:lang w:val="id-ID"/>
              </w:rPr>
              <w:t>841</w:t>
            </w:r>
            <w:r w:rsidRPr="00B078AC">
              <w:rPr>
                <w:sz w:val="18"/>
                <w:szCs w:val="18"/>
              </w:rPr>
              <w:t>.</w:t>
            </w:r>
            <w:r w:rsidR="000F5A5D" w:rsidRPr="00B078AC">
              <w:rPr>
                <w:sz w:val="18"/>
                <w:szCs w:val="18"/>
                <w:lang w:val="id-ID"/>
              </w:rPr>
              <w:t>249</w:t>
            </w:r>
            <w:r w:rsidRPr="00B078AC">
              <w:rPr>
                <w:sz w:val="18"/>
                <w:szCs w:val="18"/>
              </w:rPr>
              <w:t>.</w:t>
            </w:r>
            <w:r w:rsidR="000F5A5D" w:rsidRPr="00B078AC">
              <w:rPr>
                <w:sz w:val="18"/>
                <w:szCs w:val="18"/>
                <w:lang w:val="id-ID"/>
              </w:rPr>
              <w:t>274</w:t>
            </w:r>
          </w:p>
        </w:tc>
        <w:tc>
          <w:tcPr>
            <w:tcW w:w="123" w:type="dxa"/>
            <w:vAlign w:val="bottom"/>
          </w:tcPr>
          <w:p w14:paraId="7A3AC7E6" w14:textId="77777777" w:rsidR="00A741FF" w:rsidRPr="008E71AC" w:rsidRDefault="00A741FF" w:rsidP="00A741FF">
            <w:pPr>
              <w:ind w:left="-76" w:right="28"/>
              <w:jc w:val="right"/>
              <w:rPr>
                <w:sz w:val="18"/>
                <w:szCs w:val="18"/>
                <w:highlight w:val="green"/>
              </w:rPr>
            </w:pPr>
          </w:p>
        </w:tc>
        <w:tc>
          <w:tcPr>
            <w:tcW w:w="1476" w:type="dxa"/>
            <w:tcBorders>
              <w:bottom w:val="single" w:sz="4" w:space="0" w:color="auto"/>
            </w:tcBorders>
            <w:vAlign w:val="bottom"/>
          </w:tcPr>
          <w:p w14:paraId="3C13BDF6" w14:textId="24D41D2C" w:rsidR="00A741FF" w:rsidRPr="00FE279F" w:rsidRDefault="00C401D2" w:rsidP="00A741FF">
            <w:pPr>
              <w:ind w:left="-76" w:right="57"/>
              <w:jc w:val="right"/>
              <w:rPr>
                <w:sz w:val="18"/>
                <w:szCs w:val="18"/>
              </w:rPr>
            </w:pPr>
            <w:r>
              <w:rPr>
                <w:sz w:val="18"/>
                <w:szCs w:val="18"/>
              </w:rPr>
              <w:t>2.483.154.506.092</w:t>
            </w:r>
          </w:p>
        </w:tc>
        <w:tc>
          <w:tcPr>
            <w:tcW w:w="2229" w:type="dxa"/>
            <w:vAlign w:val="bottom"/>
          </w:tcPr>
          <w:p w14:paraId="5C6B6680" w14:textId="77777777" w:rsidR="00A741FF" w:rsidRPr="00EA2E1E" w:rsidRDefault="00A741FF" w:rsidP="00A741FF">
            <w:pPr>
              <w:ind w:right="57"/>
              <w:jc w:val="right"/>
              <w:rPr>
                <w:i/>
                <w:sz w:val="18"/>
                <w:szCs w:val="18"/>
              </w:rPr>
            </w:pPr>
            <w:r w:rsidRPr="00EA2E1E">
              <w:rPr>
                <w:i/>
                <w:sz w:val="18"/>
                <w:szCs w:val="18"/>
              </w:rPr>
              <w:t>Total Non-Current Assets</w:t>
            </w:r>
          </w:p>
        </w:tc>
      </w:tr>
      <w:tr w:rsidR="00A741FF" w:rsidRPr="00EA2E1E" w14:paraId="6AD1DE7D" w14:textId="77777777" w:rsidTr="002A1B51">
        <w:tblPrEx>
          <w:tblLook w:val="01E0" w:firstRow="1" w:lastRow="1" w:firstColumn="1" w:lastColumn="1" w:noHBand="0" w:noVBand="0"/>
        </w:tblPrEx>
        <w:trPr>
          <w:cantSplit/>
        </w:trPr>
        <w:tc>
          <w:tcPr>
            <w:tcW w:w="2244" w:type="dxa"/>
            <w:vAlign w:val="bottom"/>
          </w:tcPr>
          <w:p w14:paraId="2BCFF64E" w14:textId="77777777" w:rsidR="00A741FF" w:rsidRPr="00EA2E1E" w:rsidRDefault="00A741FF" w:rsidP="00A741FF">
            <w:pPr>
              <w:ind w:left="142" w:right="99"/>
              <w:rPr>
                <w:sz w:val="18"/>
                <w:szCs w:val="18"/>
              </w:rPr>
            </w:pPr>
          </w:p>
        </w:tc>
        <w:tc>
          <w:tcPr>
            <w:tcW w:w="1536" w:type="dxa"/>
            <w:shd w:val="clear" w:color="auto" w:fill="auto"/>
            <w:vAlign w:val="bottom"/>
          </w:tcPr>
          <w:p w14:paraId="6428D5AA" w14:textId="77777777" w:rsidR="00A741FF" w:rsidRPr="00EA2E1E" w:rsidRDefault="00A741FF" w:rsidP="00A741FF">
            <w:pPr>
              <w:jc w:val="center"/>
              <w:rPr>
                <w:sz w:val="18"/>
                <w:szCs w:val="18"/>
              </w:rPr>
            </w:pPr>
          </w:p>
        </w:tc>
        <w:tc>
          <w:tcPr>
            <w:tcW w:w="112" w:type="dxa"/>
            <w:tcMar>
              <w:left w:w="28" w:type="dxa"/>
              <w:right w:w="28" w:type="dxa"/>
            </w:tcMar>
          </w:tcPr>
          <w:p w14:paraId="0D99D7F7" w14:textId="77777777" w:rsidR="00A741FF" w:rsidRPr="00EA2E1E" w:rsidRDefault="00A741FF" w:rsidP="00A741FF">
            <w:pPr>
              <w:jc w:val="center"/>
              <w:rPr>
                <w:sz w:val="18"/>
                <w:szCs w:val="18"/>
              </w:rPr>
            </w:pPr>
          </w:p>
        </w:tc>
        <w:tc>
          <w:tcPr>
            <w:tcW w:w="1524" w:type="dxa"/>
            <w:tcBorders>
              <w:top w:val="single" w:sz="4" w:space="0" w:color="auto"/>
            </w:tcBorders>
            <w:shd w:val="clear" w:color="auto" w:fill="auto"/>
            <w:vAlign w:val="bottom"/>
          </w:tcPr>
          <w:p w14:paraId="61FEE636" w14:textId="77777777" w:rsidR="00A741FF" w:rsidRPr="00B078AC" w:rsidRDefault="00A741FF" w:rsidP="00A741FF">
            <w:pPr>
              <w:ind w:left="-76" w:right="57"/>
              <w:jc w:val="right"/>
              <w:rPr>
                <w:sz w:val="18"/>
                <w:szCs w:val="18"/>
              </w:rPr>
            </w:pPr>
          </w:p>
        </w:tc>
        <w:tc>
          <w:tcPr>
            <w:tcW w:w="123" w:type="dxa"/>
            <w:vAlign w:val="bottom"/>
          </w:tcPr>
          <w:p w14:paraId="0AD28A66" w14:textId="77777777" w:rsidR="00A741FF" w:rsidRPr="00EA2E1E" w:rsidRDefault="00A741FF" w:rsidP="00A741FF">
            <w:pPr>
              <w:ind w:left="-76" w:right="28"/>
              <w:jc w:val="right"/>
              <w:rPr>
                <w:sz w:val="18"/>
                <w:szCs w:val="18"/>
              </w:rPr>
            </w:pPr>
          </w:p>
        </w:tc>
        <w:tc>
          <w:tcPr>
            <w:tcW w:w="1476" w:type="dxa"/>
            <w:tcBorders>
              <w:top w:val="single" w:sz="4" w:space="0" w:color="auto"/>
            </w:tcBorders>
            <w:vAlign w:val="bottom"/>
          </w:tcPr>
          <w:p w14:paraId="4A142A4B" w14:textId="77777777" w:rsidR="00A741FF" w:rsidRPr="00FE279F" w:rsidRDefault="00A741FF" w:rsidP="00A741FF">
            <w:pPr>
              <w:ind w:left="-76" w:right="57"/>
              <w:jc w:val="right"/>
              <w:rPr>
                <w:sz w:val="18"/>
                <w:szCs w:val="18"/>
              </w:rPr>
            </w:pPr>
          </w:p>
        </w:tc>
        <w:tc>
          <w:tcPr>
            <w:tcW w:w="2229" w:type="dxa"/>
            <w:vAlign w:val="bottom"/>
          </w:tcPr>
          <w:p w14:paraId="02A764C7" w14:textId="77777777" w:rsidR="00A741FF" w:rsidRPr="00EA2E1E" w:rsidRDefault="00A741FF" w:rsidP="00A741FF">
            <w:pPr>
              <w:ind w:right="57"/>
              <w:jc w:val="right"/>
              <w:rPr>
                <w:i/>
                <w:sz w:val="18"/>
                <w:szCs w:val="18"/>
              </w:rPr>
            </w:pPr>
          </w:p>
        </w:tc>
      </w:tr>
      <w:tr w:rsidR="00A741FF" w:rsidRPr="00EA2E1E" w14:paraId="584B3E47" w14:textId="77777777" w:rsidTr="002A1B51">
        <w:tblPrEx>
          <w:tblLook w:val="01E0" w:firstRow="1" w:lastRow="1" w:firstColumn="1" w:lastColumn="1" w:noHBand="0" w:noVBand="0"/>
        </w:tblPrEx>
        <w:trPr>
          <w:cantSplit/>
        </w:trPr>
        <w:tc>
          <w:tcPr>
            <w:tcW w:w="2244" w:type="dxa"/>
            <w:vAlign w:val="bottom"/>
          </w:tcPr>
          <w:p w14:paraId="10514419" w14:textId="77777777" w:rsidR="00A741FF" w:rsidRPr="00EA2E1E" w:rsidRDefault="00A741FF" w:rsidP="00A741FF">
            <w:pPr>
              <w:ind w:left="142" w:right="99"/>
              <w:rPr>
                <w:b/>
                <w:sz w:val="18"/>
                <w:szCs w:val="18"/>
              </w:rPr>
            </w:pPr>
            <w:r w:rsidRPr="00EA2E1E">
              <w:rPr>
                <w:b/>
                <w:sz w:val="18"/>
                <w:szCs w:val="18"/>
              </w:rPr>
              <w:t>JUMLAH ASET</w:t>
            </w:r>
          </w:p>
        </w:tc>
        <w:tc>
          <w:tcPr>
            <w:tcW w:w="1536" w:type="dxa"/>
            <w:shd w:val="clear" w:color="auto" w:fill="auto"/>
            <w:vAlign w:val="bottom"/>
          </w:tcPr>
          <w:p w14:paraId="18AE1FAB" w14:textId="77777777" w:rsidR="00A741FF" w:rsidRPr="00EA2E1E" w:rsidRDefault="00A741FF" w:rsidP="00A741FF">
            <w:pPr>
              <w:jc w:val="center"/>
              <w:rPr>
                <w:b/>
                <w:sz w:val="18"/>
                <w:szCs w:val="18"/>
              </w:rPr>
            </w:pPr>
          </w:p>
        </w:tc>
        <w:tc>
          <w:tcPr>
            <w:tcW w:w="112" w:type="dxa"/>
            <w:tcMar>
              <w:left w:w="28" w:type="dxa"/>
              <w:right w:w="28" w:type="dxa"/>
            </w:tcMar>
          </w:tcPr>
          <w:p w14:paraId="6B019984" w14:textId="77777777" w:rsidR="00A741FF" w:rsidRPr="00EA2E1E" w:rsidRDefault="00A741FF" w:rsidP="00A741FF">
            <w:pPr>
              <w:jc w:val="center"/>
              <w:rPr>
                <w:b/>
                <w:sz w:val="18"/>
                <w:szCs w:val="18"/>
              </w:rPr>
            </w:pPr>
          </w:p>
        </w:tc>
        <w:tc>
          <w:tcPr>
            <w:tcW w:w="1524" w:type="dxa"/>
            <w:tcBorders>
              <w:bottom w:val="double" w:sz="4" w:space="0" w:color="auto"/>
            </w:tcBorders>
            <w:shd w:val="clear" w:color="auto" w:fill="auto"/>
            <w:vAlign w:val="bottom"/>
          </w:tcPr>
          <w:p w14:paraId="376B5836" w14:textId="12AF64FE" w:rsidR="00A741FF" w:rsidRPr="00B078AC" w:rsidRDefault="002B6559" w:rsidP="0041444A">
            <w:pPr>
              <w:ind w:left="-76" w:right="57"/>
              <w:jc w:val="right"/>
              <w:rPr>
                <w:b/>
                <w:bCs w:val="0"/>
                <w:sz w:val="18"/>
                <w:szCs w:val="18"/>
                <w:lang w:val="id-ID"/>
              </w:rPr>
            </w:pPr>
            <w:r w:rsidRPr="00B078AC">
              <w:rPr>
                <w:b/>
                <w:bCs w:val="0"/>
                <w:sz w:val="18"/>
                <w:szCs w:val="18"/>
              </w:rPr>
              <w:t>3.</w:t>
            </w:r>
            <w:r w:rsidR="000F5A5D" w:rsidRPr="00B078AC">
              <w:rPr>
                <w:b/>
                <w:bCs w:val="0"/>
                <w:sz w:val="18"/>
                <w:szCs w:val="18"/>
                <w:lang w:val="id-ID"/>
              </w:rPr>
              <w:t>470</w:t>
            </w:r>
            <w:r w:rsidR="008E71AC" w:rsidRPr="00B078AC">
              <w:rPr>
                <w:b/>
                <w:bCs w:val="0"/>
                <w:sz w:val="18"/>
                <w:szCs w:val="18"/>
              </w:rPr>
              <w:t>.</w:t>
            </w:r>
            <w:r w:rsidR="000F5A5D" w:rsidRPr="00B078AC">
              <w:rPr>
                <w:b/>
                <w:bCs w:val="0"/>
                <w:sz w:val="18"/>
                <w:szCs w:val="18"/>
                <w:lang w:val="id-ID"/>
              </w:rPr>
              <w:t>697</w:t>
            </w:r>
            <w:r w:rsidR="008E71AC" w:rsidRPr="00B078AC">
              <w:rPr>
                <w:b/>
                <w:bCs w:val="0"/>
                <w:sz w:val="18"/>
                <w:szCs w:val="18"/>
              </w:rPr>
              <w:t>.</w:t>
            </w:r>
            <w:r w:rsidR="000F5A5D" w:rsidRPr="00B078AC">
              <w:rPr>
                <w:b/>
                <w:bCs w:val="0"/>
                <w:sz w:val="18"/>
                <w:szCs w:val="18"/>
                <w:lang w:val="id-ID"/>
              </w:rPr>
              <w:t>519</w:t>
            </w:r>
            <w:r w:rsidR="008E71AC" w:rsidRPr="00B078AC">
              <w:rPr>
                <w:b/>
                <w:bCs w:val="0"/>
                <w:sz w:val="18"/>
                <w:szCs w:val="18"/>
              </w:rPr>
              <w:t>.</w:t>
            </w:r>
            <w:r w:rsidR="000F5A5D" w:rsidRPr="00B078AC">
              <w:rPr>
                <w:b/>
                <w:bCs w:val="0"/>
                <w:sz w:val="18"/>
                <w:szCs w:val="18"/>
                <w:lang w:val="id-ID"/>
              </w:rPr>
              <w:t>594</w:t>
            </w:r>
          </w:p>
        </w:tc>
        <w:tc>
          <w:tcPr>
            <w:tcW w:w="123" w:type="dxa"/>
            <w:vAlign w:val="bottom"/>
          </w:tcPr>
          <w:p w14:paraId="2C23E1D1" w14:textId="77777777" w:rsidR="00A741FF" w:rsidRPr="00EA2E1E" w:rsidRDefault="00A741FF" w:rsidP="00A741FF">
            <w:pPr>
              <w:ind w:left="-76" w:right="28"/>
              <w:jc w:val="right"/>
              <w:rPr>
                <w:b/>
                <w:sz w:val="18"/>
                <w:szCs w:val="18"/>
              </w:rPr>
            </w:pPr>
          </w:p>
        </w:tc>
        <w:tc>
          <w:tcPr>
            <w:tcW w:w="1476" w:type="dxa"/>
            <w:tcBorders>
              <w:bottom w:val="double" w:sz="4" w:space="0" w:color="auto"/>
            </w:tcBorders>
            <w:vAlign w:val="bottom"/>
          </w:tcPr>
          <w:p w14:paraId="779ACC5D" w14:textId="7633EDD0" w:rsidR="00A741FF" w:rsidRPr="00FE279F" w:rsidRDefault="00C401D2" w:rsidP="00A741FF">
            <w:pPr>
              <w:ind w:left="-76" w:right="57"/>
              <w:jc w:val="right"/>
              <w:rPr>
                <w:b/>
                <w:sz w:val="18"/>
                <w:szCs w:val="18"/>
              </w:rPr>
            </w:pPr>
            <w:r w:rsidRPr="00147D69">
              <w:rPr>
                <w:b/>
                <w:bCs w:val="0"/>
                <w:sz w:val="18"/>
                <w:szCs w:val="18"/>
              </w:rPr>
              <w:t>3.109.580.950.625</w:t>
            </w:r>
          </w:p>
        </w:tc>
        <w:tc>
          <w:tcPr>
            <w:tcW w:w="2229" w:type="dxa"/>
            <w:vAlign w:val="bottom"/>
          </w:tcPr>
          <w:p w14:paraId="089F09E5" w14:textId="77777777" w:rsidR="00A741FF" w:rsidRPr="00EA2E1E" w:rsidRDefault="00A741FF" w:rsidP="00A741FF">
            <w:pPr>
              <w:ind w:right="57"/>
              <w:jc w:val="right"/>
              <w:rPr>
                <w:b/>
                <w:i/>
                <w:sz w:val="18"/>
                <w:szCs w:val="18"/>
              </w:rPr>
            </w:pPr>
            <w:r w:rsidRPr="00EA2E1E">
              <w:rPr>
                <w:b/>
                <w:i/>
                <w:sz w:val="18"/>
                <w:szCs w:val="18"/>
              </w:rPr>
              <w:t>TOTAL ASSETS</w:t>
            </w:r>
          </w:p>
        </w:tc>
      </w:tr>
    </w:tbl>
    <w:p w14:paraId="59A10A73" w14:textId="77777777" w:rsidR="00157565" w:rsidRPr="0013526B" w:rsidRDefault="00157565" w:rsidP="0013526B">
      <w:pPr>
        <w:rPr>
          <w:sz w:val="18"/>
          <w:szCs w:val="18"/>
        </w:rPr>
        <w:sectPr w:rsidR="00157565" w:rsidRPr="0013526B" w:rsidSect="008D2CD6">
          <w:headerReference w:type="even" r:id="rId11"/>
          <w:headerReference w:type="default" r:id="rId12"/>
          <w:footerReference w:type="default" r:id="rId13"/>
          <w:headerReference w:type="first" r:id="rId14"/>
          <w:pgSz w:w="11907" w:h="16840" w:code="9"/>
          <w:pgMar w:top="1701" w:right="992" w:bottom="1134" w:left="1559" w:header="851" w:footer="425" w:gutter="0"/>
          <w:pgNumType w:start="1"/>
          <w:cols w:space="720"/>
          <w:docGrid w:linePitch="360"/>
        </w:sectPr>
      </w:pPr>
    </w:p>
    <w:tbl>
      <w:tblPr>
        <w:tblW w:w="9196" w:type="dxa"/>
        <w:tblInd w:w="113" w:type="dxa"/>
        <w:tblBorders>
          <w:bottom w:val="single" w:sz="4" w:space="0" w:color="auto"/>
        </w:tblBorders>
        <w:tblCellMar>
          <w:left w:w="0" w:type="dxa"/>
          <w:right w:w="0" w:type="dxa"/>
        </w:tblCellMar>
        <w:tblLook w:val="04A0" w:firstRow="1" w:lastRow="0" w:firstColumn="1" w:lastColumn="0" w:noHBand="0" w:noVBand="1"/>
      </w:tblPr>
      <w:tblGrid>
        <w:gridCol w:w="2237"/>
        <w:gridCol w:w="1540"/>
        <w:gridCol w:w="93"/>
        <w:gridCol w:w="1497"/>
        <w:gridCol w:w="104"/>
        <w:gridCol w:w="1504"/>
        <w:gridCol w:w="2221"/>
      </w:tblGrid>
      <w:tr w:rsidR="00C92587" w:rsidRPr="00EA2E1E" w14:paraId="3E7FD9E9" w14:textId="77777777" w:rsidTr="000A435F">
        <w:tc>
          <w:tcPr>
            <w:tcW w:w="2237" w:type="dxa"/>
            <w:shd w:val="clear" w:color="auto" w:fill="auto"/>
          </w:tcPr>
          <w:p w14:paraId="121AC3C2" w14:textId="77777777" w:rsidR="00C92587" w:rsidRPr="00EA2E1E" w:rsidRDefault="00C92587" w:rsidP="00C92587">
            <w:pPr>
              <w:rPr>
                <w:sz w:val="18"/>
                <w:szCs w:val="18"/>
              </w:rPr>
            </w:pPr>
          </w:p>
        </w:tc>
        <w:tc>
          <w:tcPr>
            <w:tcW w:w="1540" w:type="dxa"/>
            <w:shd w:val="clear" w:color="auto" w:fill="auto"/>
            <w:vAlign w:val="bottom"/>
          </w:tcPr>
          <w:p w14:paraId="27D4A51F" w14:textId="77777777" w:rsidR="00C92587" w:rsidRPr="00EA2E1E" w:rsidRDefault="00C92587" w:rsidP="00C92587">
            <w:pPr>
              <w:jc w:val="center"/>
              <w:rPr>
                <w:b/>
                <w:sz w:val="18"/>
                <w:szCs w:val="18"/>
              </w:rPr>
            </w:pPr>
            <w:r w:rsidRPr="00EA2E1E">
              <w:rPr>
                <w:b/>
                <w:sz w:val="18"/>
                <w:szCs w:val="18"/>
              </w:rPr>
              <w:t>Catatan/</w:t>
            </w:r>
          </w:p>
          <w:p w14:paraId="23CF6038" w14:textId="77777777" w:rsidR="00C92587" w:rsidRPr="00EA2E1E" w:rsidRDefault="00C92587" w:rsidP="00C92587">
            <w:pPr>
              <w:jc w:val="center"/>
              <w:rPr>
                <w:b/>
                <w:i/>
                <w:sz w:val="18"/>
                <w:szCs w:val="18"/>
              </w:rPr>
            </w:pPr>
            <w:r w:rsidRPr="00EA2E1E">
              <w:rPr>
                <w:b/>
                <w:i/>
                <w:sz w:val="18"/>
                <w:szCs w:val="18"/>
              </w:rPr>
              <w:t>Notes</w:t>
            </w:r>
          </w:p>
        </w:tc>
        <w:tc>
          <w:tcPr>
            <w:tcW w:w="93" w:type="dxa"/>
            <w:shd w:val="clear" w:color="auto" w:fill="auto"/>
          </w:tcPr>
          <w:p w14:paraId="65AB0288" w14:textId="77777777" w:rsidR="00C92587" w:rsidRPr="00EA2E1E" w:rsidRDefault="00C92587" w:rsidP="00C92587">
            <w:pPr>
              <w:jc w:val="center"/>
              <w:rPr>
                <w:b/>
                <w:sz w:val="18"/>
                <w:szCs w:val="18"/>
              </w:rPr>
            </w:pPr>
          </w:p>
        </w:tc>
        <w:tc>
          <w:tcPr>
            <w:tcW w:w="1497" w:type="dxa"/>
            <w:tcBorders>
              <w:bottom w:val="single" w:sz="4" w:space="0" w:color="auto"/>
            </w:tcBorders>
            <w:shd w:val="clear" w:color="auto" w:fill="auto"/>
            <w:vAlign w:val="bottom"/>
          </w:tcPr>
          <w:p w14:paraId="243F247F" w14:textId="77777777" w:rsidR="00C92587" w:rsidRDefault="00C92587" w:rsidP="00C92587">
            <w:pPr>
              <w:jc w:val="center"/>
              <w:rPr>
                <w:b/>
                <w:sz w:val="16"/>
                <w:szCs w:val="16"/>
              </w:rPr>
            </w:pPr>
            <w:r w:rsidRPr="00E22A2F">
              <w:rPr>
                <w:b/>
                <w:sz w:val="16"/>
                <w:szCs w:val="16"/>
              </w:rPr>
              <w:t xml:space="preserve">31 Maret/ </w:t>
            </w:r>
          </w:p>
          <w:p w14:paraId="6C8D1277" w14:textId="2567EC29" w:rsidR="00C92587" w:rsidRPr="00EA2E1E" w:rsidRDefault="00C92587" w:rsidP="00C92587">
            <w:pPr>
              <w:jc w:val="center"/>
              <w:rPr>
                <w:b/>
                <w:sz w:val="18"/>
                <w:szCs w:val="18"/>
              </w:rPr>
            </w:pPr>
            <w:r w:rsidRPr="00E22A2F">
              <w:rPr>
                <w:b/>
                <w:sz w:val="16"/>
                <w:szCs w:val="16"/>
              </w:rPr>
              <w:t>March 31</w:t>
            </w:r>
            <w:r>
              <w:rPr>
                <w:b/>
                <w:sz w:val="16"/>
                <w:szCs w:val="16"/>
              </w:rPr>
              <w:t xml:space="preserve">, </w:t>
            </w:r>
            <w:r w:rsidRPr="00E22A2F">
              <w:rPr>
                <w:b/>
                <w:sz w:val="16"/>
                <w:szCs w:val="16"/>
              </w:rPr>
              <w:t>2020</w:t>
            </w:r>
          </w:p>
        </w:tc>
        <w:tc>
          <w:tcPr>
            <w:tcW w:w="104" w:type="dxa"/>
            <w:shd w:val="clear" w:color="auto" w:fill="auto"/>
            <w:vAlign w:val="bottom"/>
          </w:tcPr>
          <w:p w14:paraId="7B0A511E" w14:textId="77777777" w:rsidR="00C92587" w:rsidRPr="00EA2E1E" w:rsidRDefault="00C92587" w:rsidP="00C92587">
            <w:pPr>
              <w:jc w:val="center"/>
              <w:rPr>
                <w:b/>
                <w:sz w:val="18"/>
                <w:szCs w:val="18"/>
              </w:rPr>
            </w:pPr>
          </w:p>
        </w:tc>
        <w:tc>
          <w:tcPr>
            <w:tcW w:w="1504" w:type="dxa"/>
            <w:tcBorders>
              <w:bottom w:val="single" w:sz="4" w:space="0" w:color="auto"/>
            </w:tcBorders>
            <w:vAlign w:val="bottom"/>
          </w:tcPr>
          <w:p w14:paraId="6E8C107C" w14:textId="77777777" w:rsidR="00C92587" w:rsidRDefault="00C92587" w:rsidP="00C92587">
            <w:pPr>
              <w:jc w:val="center"/>
              <w:rPr>
                <w:b/>
                <w:sz w:val="16"/>
                <w:szCs w:val="16"/>
              </w:rPr>
            </w:pPr>
            <w:r w:rsidRPr="00E22A2F">
              <w:rPr>
                <w:b/>
                <w:sz w:val="16"/>
                <w:szCs w:val="16"/>
              </w:rPr>
              <w:t>31 Desember/</w:t>
            </w:r>
          </w:p>
          <w:p w14:paraId="55D6EFB2" w14:textId="0E614EED" w:rsidR="00C92587" w:rsidRPr="00EA2E1E" w:rsidRDefault="00C92587" w:rsidP="00C92587">
            <w:pPr>
              <w:jc w:val="center"/>
              <w:rPr>
                <w:b/>
                <w:sz w:val="18"/>
                <w:szCs w:val="18"/>
              </w:rPr>
            </w:pPr>
            <w:r w:rsidRPr="00E22A2F">
              <w:rPr>
                <w:b/>
                <w:sz w:val="16"/>
                <w:szCs w:val="16"/>
              </w:rPr>
              <w:t>December 31</w:t>
            </w:r>
            <w:r>
              <w:rPr>
                <w:b/>
                <w:sz w:val="16"/>
                <w:szCs w:val="16"/>
              </w:rPr>
              <w:t xml:space="preserve">, </w:t>
            </w:r>
            <w:r w:rsidRPr="00E22A2F">
              <w:rPr>
                <w:b/>
                <w:sz w:val="16"/>
                <w:szCs w:val="16"/>
              </w:rPr>
              <w:t>2019</w:t>
            </w:r>
          </w:p>
        </w:tc>
        <w:tc>
          <w:tcPr>
            <w:tcW w:w="2221" w:type="dxa"/>
            <w:shd w:val="clear" w:color="auto" w:fill="auto"/>
          </w:tcPr>
          <w:p w14:paraId="31B66CFC" w14:textId="77777777" w:rsidR="00C92587" w:rsidRPr="00EA2E1E" w:rsidRDefault="00C92587" w:rsidP="00C92587">
            <w:pPr>
              <w:rPr>
                <w:sz w:val="18"/>
                <w:szCs w:val="18"/>
              </w:rPr>
            </w:pPr>
          </w:p>
        </w:tc>
      </w:tr>
      <w:tr w:rsidR="0042342B" w:rsidRPr="00EA2E1E" w14:paraId="3A03D74B" w14:textId="77777777" w:rsidTr="000A435F">
        <w:tc>
          <w:tcPr>
            <w:tcW w:w="2237" w:type="dxa"/>
            <w:shd w:val="clear" w:color="auto" w:fill="auto"/>
          </w:tcPr>
          <w:p w14:paraId="49D79BBB" w14:textId="77777777" w:rsidR="0042342B" w:rsidRPr="00EA2E1E" w:rsidRDefault="0042342B" w:rsidP="0013526B">
            <w:pPr>
              <w:rPr>
                <w:sz w:val="18"/>
                <w:szCs w:val="18"/>
              </w:rPr>
            </w:pPr>
          </w:p>
        </w:tc>
        <w:tc>
          <w:tcPr>
            <w:tcW w:w="1540" w:type="dxa"/>
            <w:shd w:val="clear" w:color="auto" w:fill="auto"/>
            <w:vAlign w:val="bottom"/>
          </w:tcPr>
          <w:p w14:paraId="6F7E37D6" w14:textId="77777777" w:rsidR="0042342B" w:rsidRPr="00EA2E1E" w:rsidRDefault="0042342B" w:rsidP="0013526B">
            <w:pPr>
              <w:jc w:val="center"/>
              <w:rPr>
                <w:sz w:val="18"/>
                <w:szCs w:val="18"/>
              </w:rPr>
            </w:pPr>
          </w:p>
        </w:tc>
        <w:tc>
          <w:tcPr>
            <w:tcW w:w="93" w:type="dxa"/>
            <w:shd w:val="clear" w:color="auto" w:fill="auto"/>
          </w:tcPr>
          <w:p w14:paraId="583103F4" w14:textId="77777777" w:rsidR="0042342B" w:rsidRPr="00EA2E1E" w:rsidRDefault="0042342B" w:rsidP="0013526B">
            <w:pPr>
              <w:rPr>
                <w:sz w:val="18"/>
                <w:szCs w:val="18"/>
              </w:rPr>
            </w:pPr>
          </w:p>
        </w:tc>
        <w:tc>
          <w:tcPr>
            <w:tcW w:w="1497" w:type="dxa"/>
            <w:tcBorders>
              <w:top w:val="single" w:sz="4" w:space="0" w:color="auto"/>
            </w:tcBorders>
            <w:shd w:val="clear" w:color="auto" w:fill="auto"/>
            <w:vAlign w:val="bottom"/>
          </w:tcPr>
          <w:p w14:paraId="6B71812D" w14:textId="77777777" w:rsidR="0042342B" w:rsidRPr="00EA2E1E" w:rsidRDefault="0042342B" w:rsidP="0013526B">
            <w:pPr>
              <w:jc w:val="right"/>
              <w:rPr>
                <w:sz w:val="18"/>
                <w:szCs w:val="18"/>
              </w:rPr>
            </w:pPr>
          </w:p>
        </w:tc>
        <w:tc>
          <w:tcPr>
            <w:tcW w:w="104" w:type="dxa"/>
            <w:shd w:val="clear" w:color="auto" w:fill="auto"/>
            <w:vAlign w:val="bottom"/>
          </w:tcPr>
          <w:p w14:paraId="7C759DDF" w14:textId="77777777" w:rsidR="0042342B" w:rsidRPr="00EA2E1E" w:rsidRDefault="0042342B" w:rsidP="0013526B">
            <w:pPr>
              <w:jc w:val="right"/>
              <w:rPr>
                <w:sz w:val="18"/>
                <w:szCs w:val="18"/>
              </w:rPr>
            </w:pPr>
          </w:p>
        </w:tc>
        <w:tc>
          <w:tcPr>
            <w:tcW w:w="1504" w:type="dxa"/>
            <w:tcBorders>
              <w:top w:val="single" w:sz="4" w:space="0" w:color="auto"/>
            </w:tcBorders>
            <w:vAlign w:val="bottom"/>
          </w:tcPr>
          <w:p w14:paraId="47365E09" w14:textId="77777777" w:rsidR="0042342B" w:rsidRPr="00EA2E1E" w:rsidRDefault="0042342B" w:rsidP="0013526B">
            <w:pPr>
              <w:jc w:val="right"/>
              <w:rPr>
                <w:sz w:val="18"/>
                <w:szCs w:val="18"/>
              </w:rPr>
            </w:pPr>
          </w:p>
        </w:tc>
        <w:tc>
          <w:tcPr>
            <w:tcW w:w="2221" w:type="dxa"/>
            <w:shd w:val="clear" w:color="auto" w:fill="auto"/>
          </w:tcPr>
          <w:p w14:paraId="0BC25A03" w14:textId="77777777" w:rsidR="0042342B" w:rsidRPr="00EA2E1E" w:rsidRDefault="0042342B" w:rsidP="0013526B">
            <w:pPr>
              <w:rPr>
                <w:sz w:val="18"/>
                <w:szCs w:val="18"/>
              </w:rPr>
            </w:pPr>
          </w:p>
        </w:tc>
      </w:tr>
      <w:tr w:rsidR="0042342B" w:rsidRPr="00EA2E1E" w14:paraId="646E0D0D" w14:textId="77777777" w:rsidTr="000A435F">
        <w:tc>
          <w:tcPr>
            <w:tcW w:w="2237" w:type="dxa"/>
            <w:shd w:val="clear" w:color="auto" w:fill="auto"/>
          </w:tcPr>
          <w:p w14:paraId="4067268C" w14:textId="77777777" w:rsidR="0042342B" w:rsidRPr="00EA2E1E" w:rsidRDefault="0042342B" w:rsidP="00E41CA9">
            <w:pPr>
              <w:ind w:left="283" w:hanging="170"/>
              <w:rPr>
                <w:b/>
                <w:sz w:val="18"/>
                <w:szCs w:val="18"/>
              </w:rPr>
            </w:pPr>
            <w:r w:rsidRPr="00EA2E1E">
              <w:rPr>
                <w:b/>
                <w:sz w:val="18"/>
                <w:szCs w:val="18"/>
              </w:rPr>
              <w:t xml:space="preserve">LIABILITAS DAN EKUITAS </w:t>
            </w:r>
          </w:p>
        </w:tc>
        <w:tc>
          <w:tcPr>
            <w:tcW w:w="1540" w:type="dxa"/>
            <w:shd w:val="clear" w:color="auto" w:fill="auto"/>
            <w:vAlign w:val="bottom"/>
          </w:tcPr>
          <w:p w14:paraId="503E9B94" w14:textId="77777777" w:rsidR="0042342B" w:rsidRPr="00EA2E1E" w:rsidRDefault="0042342B" w:rsidP="0013526B">
            <w:pPr>
              <w:jc w:val="center"/>
              <w:rPr>
                <w:b/>
                <w:sz w:val="18"/>
                <w:szCs w:val="18"/>
              </w:rPr>
            </w:pPr>
          </w:p>
        </w:tc>
        <w:tc>
          <w:tcPr>
            <w:tcW w:w="93" w:type="dxa"/>
            <w:shd w:val="clear" w:color="auto" w:fill="auto"/>
          </w:tcPr>
          <w:p w14:paraId="0CE36AFD" w14:textId="77777777" w:rsidR="0042342B" w:rsidRPr="00EA2E1E" w:rsidRDefault="0042342B" w:rsidP="0013526B">
            <w:pPr>
              <w:rPr>
                <w:b/>
                <w:sz w:val="18"/>
                <w:szCs w:val="18"/>
              </w:rPr>
            </w:pPr>
          </w:p>
        </w:tc>
        <w:tc>
          <w:tcPr>
            <w:tcW w:w="1497" w:type="dxa"/>
            <w:shd w:val="clear" w:color="auto" w:fill="auto"/>
            <w:vAlign w:val="bottom"/>
          </w:tcPr>
          <w:p w14:paraId="0B8C26CF" w14:textId="77777777" w:rsidR="0042342B" w:rsidRPr="00EA2E1E" w:rsidRDefault="0042342B" w:rsidP="0013526B">
            <w:pPr>
              <w:jc w:val="right"/>
              <w:rPr>
                <w:b/>
                <w:sz w:val="18"/>
                <w:szCs w:val="18"/>
              </w:rPr>
            </w:pPr>
          </w:p>
        </w:tc>
        <w:tc>
          <w:tcPr>
            <w:tcW w:w="104" w:type="dxa"/>
            <w:shd w:val="clear" w:color="auto" w:fill="auto"/>
            <w:vAlign w:val="bottom"/>
          </w:tcPr>
          <w:p w14:paraId="1AB97DD6" w14:textId="77777777" w:rsidR="0042342B" w:rsidRPr="00EA2E1E" w:rsidRDefault="0042342B" w:rsidP="0013526B">
            <w:pPr>
              <w:jc w:val="right"/>
              <w:rPr>
                <w:b/>
                <w:sz w:val="18"/>
                <w:szCs w:val="18"/>
              </w:rPr>
            </w:pPr>
          </w:p>
        </w:tc>
        <w:tc>
          <w:tcPr>
            <w:tcW w:w="1504" w:type="dxa"/>
            <w:vAlign w:val="bottom"/>
          </w:tcPr>
          <w:p w14:paraId="591D3BC7" w14:textId="77777777" w:rsidR="0042342B" w:rsidRPr="00EA2E1E" w:rsidRDefault="0042342B" w:rsidP="0013526B">
            <w:pPr>
              <w:jc w:val="right"/>
              <w:rPr>
                <w:b/>
                <w:sz w:val="18"/>
                <w:szCs w:val="18"/>
              </w:rPr>
            </w:pPr>
          </w:p>
        </w:tc>
        <w:tc>
          <w:tcPr>
            <w:tcW w:w="2221" w:type="dxa"/>
            <w:shd w:val="clear" w:color="auto" w:fill="auto"/>
            <w:vAlign w:val="bottom"/>
          </w:tcPr>
          <w:p w14:paraId="7FF9FE18" w14:textId="77777777" w:rsidR="00706B78" w:rsidRDefault="0042342B" w:rsidP="0013526B">
            <w:pPr>
              <w:ind w:right="57"/>
              <w:jc w:val="right"/>
              <w:rPr>
                <w:b/>
                <w:i/>
                <w:sz w:val="18"/>
                <w:szCs w:val="18"/>
              </w:rPr>
            </w:pPr>
            <w:r w:rsidRPr="00EA2E1E">
              <w:rPr>
                <w:b/>
                <w:i/>
                <w:sz w:val="18"/>
                <w:szCs w:val="18"/>
              </w:rPr>
              <w:t>LIABILITIES AND</w:t>
            </w:r>
          </w:p>
          <w:p w14:paraId="518B349B" w14:textId="476B71CF" w:rsidR="0042342B" w:rsidRPr="00EA2E1E" w:rsidRDefault="0042342B" w:rsidP="00706B78">
            <w:pPr>
              <w:ind w:right="257"/>
              <w:jc w:val="right"/>
              <w:rPr>
                <w:b/>
                <w:i/>
                <w:sz w:val="18"/>
                <w:szCs w:val="18"/>
              </w:rPr>
            </w:pPr>
            <w:r w:rsidRPr="00EA2E1E">
              <w:rPr>
                <w:b/>
                <w:i/>
                <w:sz w:val="18"/>
                <w:szCs w:val="18"/>
              </w:rPr>
              <w:t xml:space="preserve">EQUITY </w:t>
            </w:r>
          </w:p>
        </w:tc>
      </w:tr>
      <w:tr w:rsidR="0042342B" w:rsidRPr="00EA2E1E" w14:paraId="53A92D49" w14:textId="77777777" w:rsidTr="000A435F">
        <w:tc>
          <w:tcPr>
            <w:tcW w:w="2237" w:type="dxa"/>
            <w:shd w:val="clear" w:color="auto" w:fill="auto"/>
          </w:tcPr>
          <w:p w14:paraId="6CF79764" w14:textId="77777777" w:rsidR="0042342B" w:rsidRPr="00EA2E1E" w:rsidRDefault="0042342B" w:rsidP="0013526B">
            <w:pPr>
              <w:ind w:left="283" w:hanging="170"/>
              <w:rPr>
                <w:sz w:val="18"/>
                <w:szCs w:val="18"/>
              </w:rPr>
            </w:pPr>
          </w:p>
        </w:tc>
        <w:tc>
          <w:tcPr>
            <w:tcW w:w="1540" w:type="dxa"/>
            <w:shd w:val="clear" w:color="auto" w:fill="auto"/>
            <w:vAlign w:val="bottom"/>
          </w:tcPr>
          <w:p w14:paraId="7177D834" w14:textId="77777777" w:rsidR="0042342B" w:rsidRPr="00EA2E1E" w:rsidRDefault="0042342B" w:rsidP="0013526B">
            <w:pPr>
              <w:jc w:val="center"/>
              <w:rPr>
                <w:sz w:val="18"/>
                <w:szCs w:val="18"/>
              </w:rPr>
            </w:pPr>
          </w:p>
        </w:tc>
        <w:tc>
          <w:tcPr>
            <w:tcW w:w="93" w:type="dxa"/>
            <w:shd w:val="clear" w:color="auto" w:fill="auto"/>
          </w:tcPr>
          <w:p w14:paraId="1DAE2CEB" w14:textId="77777777" w:rsidR="0042342B" w:rsidRPr="00EA2E1E" w:rsidRDefault="0042342B" w:rsidP="0013526B">
            <w:pPr>
              <w:rPr>
                <w:sz w:val="18"/>
                <w:szCs w:val="18"/>
              </w:rPr>
            </w:pPr>
          </w:p>
        </w:tc>
        <w:tc>
          <w:tcPr>
            <w:tcW w:w="1497" w:type="dxa"/>
            <w:shd w:val="clear" w:color="auto" w:fill="auto"/>
            <w:vAlign w:val="bottom"/>
          </w:tcPr>
          <w:p w14:paraId="3DFDE7BF" w14:textId="77777777" w:rsidR="0042342B" w:rsidRPr="00EA2E1E" w:rsidRDefault="0042342B" w:rsidP="0013526B">
            <w:pPr>
              <w:jc w:val="right"/>
              <w:rPr>
                <w:sz w:val="18"/>
                <w:szCs w:val="18"/>
              </w:rPr>
            </w:pPr>
          </w:p>
        </w:tc>
        <w:tc>
          <w:tcPr>
            <w:tcW w:w="104" w:type="dxa"/>
            <w:shd w:val="clear" w:color="auto" w:fill="auto"/>
            <w:vAlign w:val="bottom"/>
          </w:tcPr>
          <w:p w14:paraId="50B062F4" w14:textId="77777777" w:rsidR="0042342B" w:rsidRPr="00EA2E1E" w:rsidRDefault="0042342B" w:rsidP="0013526B">
            <w:pPr>
              <w:jc w:val="right"/>
              <w:rPr>
                <w:sz w:val="18"/>
                <w:szCs w:val="18"/>
              </w:rPr>
            </w:pPr>
          </w:p>
        </w:tc>
        <w:tc>
          <w:tcPr>
            <w:tcW w:w="1504" w:type="dxa"/>
            <w:vAlign w:val="bottom"/>
          </w:tcPr>
          <w:p w14:paraId="19D0F8F1" w14:textId="77777777" w:rsidR="0042342B" w:rsidRPr="00EA2E1E" w:rsidRDefault="0042342B" w:rsidP="0013526B">
            <w:pPr>
              <w:jc w:val="right"/>
              <w:rPr>
                <w:sz w:val="18"/>
                <w:szCs w:val="18"/>
              </w:rPr>
            </w:pPr>
          </w:p>
        </w:tc>
        <w:tc>
          <w:tcPr>
            <w:tcW w:w="2221" w:type="dxa"/>
            <w:shd w:val="clear" w:color="auto" w:fill="auto"/>
            <w:vAlign w:val="bottom"/>
          </w:tcPr>
          <w:p w14:paraId="00EB0847" w14:textId="77777777" w:rsidR="0042342B" w:rsidRPr="00EA2E1E" w:rsidRDefault="0042342B" w:rsidP="0013526B">
            <w:pPr>
              <w:ind w:right="57"/>
              <w:jc w:val="right"/>
              <w:rPr>
                <w:i/>
                <w:sz w:val="18"/>
                <w:szCs w:val="18"/>
              </w:rPr>
            </w:pPr>
          </w:p>
        </w:tc>
      </w:tr>
      <w:tr w:rsidR="0042342B" w:rsidRPr="00EA2E1E" w14:paraId="6B2A2EF8" w14:textId="77777777" w:rsidTr="000A435F">
        <w:tc>
          <w:tcPr>
            <w:tcW w:w="2237" w:type="dxa"/>
            <w:shd w:val="clear" w:color="auto" w:fill="auto"/>
          </w:tcPr>
          <w:p w14:paraId="1C3B2AC8" w14:textId="77777777" w:rsidR="0042342B" w:rsidRPr="00EA2E1E" w:rsidRDefault="0042342B" w:rsidP="0013526B">
            <w:pPr>
              <w:ind w:left="283" w:hanging="170"/>
              <w:rPr>
                <w:b/>
                <w:sz w:val="18"/>
                <w:szCs w:val="18"/>
              </w:rPr>
            </w:pPr>
            <w:r w:rsidRPr="00EA2E1E">
              <w:rPr>
                <w:b/>
                <w:sz w:val="18"/>
                <w:szCs w:val="18"/>
              </w:rPr>
              <w:t xml:space="preserve">LIABILITAS </w:t>
            </w:r>
          </w:p>
        </w:tc>
        <w:tc>
          <w:tcPr>
            <w:tcW w:w="1540" w:type="dxa"/>
            <w:shd w:val="clear" w:color="auto" w:fill="auto"/>
            <w:vAlign w:val="bottom"/>
          </w:tcPr>
          <w:p w14:paraId="24E4F0C2" w14:textId="77777777" w:rsidR="0042342B" w:rsidRPr="00EA2E1E" w:rsidRDefault="0042342B" w:rsidP="0013526B">
            <w:pPr>
              <w:jc w:val="center"/>
              <w:rPr>
                <w:b/>
                <w:sz w:val="18"/>
                <w:szCs w:val="18"/>
              </w:rPr>
            </w:pPr>
          </w:p>
        </w:tc>
        <w:tc>
          <w:tcPr>
            <w:tcW w:w="93" w:type="dxa"/>
            <w:shd w:val="clear" w:color="auto" w:fill="auto"/>
          </w:tcPr>
          <w:p w14:paraId="7DF4FB7E" w14:textId="77777777" w:rsidR="0042342B" w:rsidRPr="00EA2E1E" w:rsidRDefault="0042342B" w:rsidP="0013526B">
            <w:pPr>
              <w:rPr>
                <w:b/>
                <w:sz w:val="18"/>
                <w:szCs w:val="18"/>
              </w:rPr>
            </w:pPr>
          </w:p>
        </w:tc>
        <w:tc>
          <w:tcPr>
            <w:tcW w:w="1497" w:type="dxa"/>
            <w:shd w:val="clear" w:color="auto" w:fill="auto"/>
            <w:vAlign w:val="bottom"/>
          </w:tcPr>
          <w:p w14:paraId="3A6119BE" w14:textId="77777777" w:rsidR="0042342B" w:rsidRPr="00EA2E1E" w:rsidRDefault="0042342B" w:rsidP="0013526B">
            <w:pPr>
              <w:jc w:val="right"/>
              <w:rPr>
                <w:b/>
                <w:sz w:val="18"/>
                <w:szCs w:val="18"/>
              </w:rPr>
            </w:pPr>
          </w:p>
        </w:tc>
        <w:tc>
          <w:tcPr>
            <w:tcW w:w="104" w:type="dxa"/>
            <w:shd w:val="clear" w:color="auto" w:fill="auto"/>
            <w:vAlign w:val="bottom"/>
          </w:tcPr>
          <w:p w14:paraId="3A25695D" w14:textId="77777777" w:rsidR="0042342B" w:rsidRPr="00EA2E1E" w:rsidRDefault="0042342B" w:rsidP="0013526B">
            <w:pPr>
              <w:jc w:val="right"/>
              <w:rPr>
                <w:b/>
                <w:sz w:val="18"/>
                <w:szCs w:val="18"/>
              </w:rPr>
            </w:pPr>
          </w:p>
        </w:tc>
        <w:tc>
          <w:tcPr>
            <w:tcW w:w="1504" w:type="dxa"/>
            <w:vAlign w:val="bottom"/>
          </w:tcPr>
          <w:p w14:paraId="4847D85F" w14:textId="77777777" w:rsidR="0042342B" w:rsidRPr="00EA2E1E" w:rsidRDefault="0042342B" w:rsidP="0013526B">
            <w:pPr>
              <w:jc w:val="right"/>
              <w:rPr>
                <w:b/>
                <w:sz w:val="18"/>
                <w:szCs w:val="18"/>
              </w:rPr>
            </w:pPr>
          </w:p>
        </w:tc>
        <w:tc>
          <w:tcPr>
            <w:tcW w:w="2221" w:type="dxa"/>
            <w:shd w:val="clear" w:color="auto" w:fill="auto"/>
            <w:vAlign w:val="bottom"/>
          </w:tcPr>
          <w:p w14:paraId="07448836" w14:textId="77777777" w:rsidR="0042342B" w:rsidRPr="00EA2E1E" w:rsidRDefault="0042342B" w:rsidP="0013526B">
            <w:pPr>
              <w:ind w:right="57"/>
              <w:jc w:val="right"/>
              <w:rPr>
                <w:b/>
                <w:i/>
                <w:sz w:val="18"/>
                <w:szCs w:val="18"/>
              </w:rPr>
            </w:pPr>
            <w:r w:rsidRPr="00EA2E1E">
              <w:rPr>
                <w:b/>
                <w:i/>
                <w:sz w:val="18"/>
                <w:szCs w:val="18"/>
              </w:rPr>
              <w:t>LIABILITIES</w:t>
            </w:r>
          </w:p>
        </w:tc>
      </w:tr>
      <w:tr w:rsidR="0042342B" w:rsidRPr="00EA2E1E" w14:paraId="5C74D7FE" w14:textId="77777777" w:rsidTr="000A435F">
        <w:tc>
          <w:tcPr>
            <w:tcW w:w="2237" w:type="dxa"/>
            <w:shd w:val="clear" w:color="auto" w:fill="auto"/>
          </w:tcPr>
          <w:p w14:paraId="4C58D881" w14:textId="77777777" w:rsidR="0042342B" w:rsidRPr="00EA2E1E" w:rsidRDefault="0042342B" w:rsidP="0013526B">
            <w:pPr>
              <w:ind w:left="283" w:hanging="170"/>
              <w:rPr>
                <w:sz w:val="18"/>
                <w:szCs w:val="18"/>
              </w:rPr>
            </w:pPr>
          </w:p>
        </w:tc>
        <w:tc>
          <w:tcPr>
            <w:tcW w:w="1540" w:type="dxa"/>
            <w:shd w:val="clear" w:color="auto" w:fill="auto"/>
            <w:vAlign w:val="bottom"/>
          </w:tcPr>
          <w:p w14:paraId="0776A2CF" w14:textId="77777777" w:rsidR="0042342B" w:rsidRPr="00EA2E1E" w:rsidRDefault="0042342B" w:rsidP="0013526B">
            <w:pPr>
              <w:jc w:val="center"/>
              <w:rPr>
                <w:sz w:val="18"/>
                <w:szCs w:val="18"/>
              </w:rPr>
            </w:pPr>
          </w:p>
        </w:tc>
        <w:tc>
          <w:tcPr>
            <w:tcW w:w="93" w:type="dxa"/>
            <w:shd w:val="clear" w:color="auto" w:fill="auto"/>
          </w:tcPr>
          <w:p w14:paraId="6D509FC9" w14:textId="77777777" w:rsidR="0042342B" w:rsidRPr="00EA2E1E" w:rsidRDefault="0042342B" w:rsidP="0013526B">
            <w:pPr>
              <w:rPr>
                <w:sz w:val="18"/>
                <w:szCs w:val="18"/>
              </w:rPr>
            </w:pPr>
          </w:p>
        </w:tc>
        <w:tc>
          <w:tcPr>
            <w:tcW w:w="1497" w:type="dxa"/>
            <w:shd w:val="clear" w:color="auto" w:fill="auto"/>
            <w:vAlign w:val="bottom"/>
          </w:tcPr>
          <w:p w14:paraId="490ED1E3" w14:textId="77777777" w:rsidR="0042342B" w:rsidRPr="00EA2E1E" w:rsidRDefault="0042342B" w:rsidP="0013526B">
            <w:pPr>
              <w:jc w:val="right"/>
              <w:rPr>
                <w:sz w:val="18"/>
                <w:szCs w:val="18"/>
              </w:rPr>
            </w:pPr>
          </w:p>
        </w:tc>
        <w:tc>
          <w:tcPr>
            <w:tcW w:w="104" w:type="dxa"/>
            <w:shd w:val="clear" w:color="auto" w:fill="auto"/>
            <w:vAlign w:val="bottom"/>
          </w:tcPr>
          <w:p w14:paraId="5896D2A5" w14:textId="77777777" w:rsidR="0042342B" w:rsidRPr="00EA2E1E" w:rsidRDefault="0042342B" w:rsidP="0013526B">
            <w:pPr>
              <w:jc w:val="right"/>
              <w:rPr>
                <w:sz w:val="18"/>
                <w:szCs w:val="18"/>
              </w:rPr>
            </w:pPr>
          </w:p>
        </w:tc>
        <w:tc>
          <w:tcPr>
            <w:tcW w:w="1504" w:type="dxa"/>
            <w:vAlign w:val="bottom"/>
          </w:tcPr>
          <w:p w14:paraId="2D1BF456" w14:textId="77777777" w:rsidR="0042342B" w:rsidRPr="00EA2E1E" w:rsidRDefault="0042342B" w:rsidP="0013526B">
            <w:pPr>
              <w:jc w:val="right"/>
              <w:rPr>
                <w:sz w:val="18"/>
                <w:szCs w:val="18"/>
              </w:rPr>
            </w:pPr>
          </w:p>
        </w:tc>
        <w:tc>
          <w:tcPr>
            <w:tcW w:w="2221" w:type="dxa"/>
            <w:shd w:val="clear" w:color="auto" w:fill="auto"/>
            <w:vAlign w:val="bottom"/>
          </w:tcPr>
          <w:p w14:paraId="24794C67" w14:textId="77777777" w:rsidR="0042342B" w:rsidRPr="00EA2E1E" w:rsidRDefault="0042342B" w:rsidP="0013526B">
            <w:pPr>
              <w:ind w:right="57"/>
              <w:jc w:val="right"/>
              <w:rPr>
                <w:i/>
                <w:sz w:val="18"/>
                <w:szCs w:val="18"/>
              </w:rPr>
            </w:pPr>
          </w:p>
        </w:tc>
      </w:tr>
      <w:tr w:rsidR="0042342B" w:rsidRPr="00EA2E1E" w14:paraId="0EB5C0B8" w14:textId="77777777" w:rsidTr="000A435F">
        <w:tc>
          <w:tcPr>
            <w:tcW w:w="2237" w:type="dxa"/>
            <w:shd w:val="clear" w:color="auto" w:fill="auto"/>
          </w:tcPr>
          <w:p w14:paraId="098F1D8B" w14:textId="77777777" w:rsidR="0042342B" w:rsidRPr="00EA2E1E" w:rsidRDefault="0042342B" w:rsidP="0013526B">
            <w:pPr>
              <w:ind w:left="283" w:hanging="170"/>
              <w:rPr>
                <w:b/>
                <w:sz w:val="18"/>
                <w:szCs w:val="18"/>
              </w:rPr>
            </w:pPr>
            <w:r w:rsidRPr="00EA2E1E">
              <w:rPr>
                <w:b/>
                <w:sz w:val="18"/>
                <w:szCs w:val="18"/>
              </w:rPr>
              <w:t xml:space="preserve">LIABILITAS JANGKA PENDEK </w:t>
            </w:r>
          </w:p>
        </w:tc>
        <w:tc>
          <w:tcPr>
            <w:tcW w:w="1540" w:type="dxa"/>
            <w:shd w:val="clear" w:color="auto" w:fill="auto"/>
            <w:vAlign w:val="bottom"/>
          </w:tcPr>
          <w:p w14:paraId="526D110C" w14:textId="77777777" w:rsidR="0042342B" w:rsidRPr="00EA2E1E" w:rsidRDefault="0042342B" w:rsidP="0013526B">
            <w:pPr>
              <w:jc w:val="center"/>
              <w:rPr>
                <w:b/>
                <w:sz w:val="18"/>
                <w:szCs w:val="18"/>
              </w:rPr>
            </w:pPr>
          </w:p>
        </w:tc>
        <w:tc>
          <w:tcPr>
            <w:tcW w:w="93" w:type="dxa"/>
            <w:shd w:val="clear" w:color="auto" w:fill="auto"/>
          </w:tcPr>
          <w:p w14:paraId="3D33D200" w14:textId="77777777" w:rsidR="0042342B" w:rsidRPr="00EA2E1E" w:rsidRDefault="0042342B" w:rsidP="0013526B">
            <w:pPr>
              <w:rPr>
                <w:b/>
                <w:sz w:val="18"/>
                <w:szCs w:val="18"/>
              </w:rPr>
            </w:pPr>
          </w:p>
        </w:tc>
        <w:tc>
          <w:tcPr>
            <w:tcW w:w="1497" w:type="dxa"/>
            <w:shd w:val="clear" w:color="auto" w:fill="auto"/>
            <w:vAlign w:val="bottom"/>
          </w:tcPr>
          <w:p w14:paraId="080C1F46" w14:textId="77777777" w:rsidR="0042342B" w:rsidRPr="00EA2E1E" w:rsidRDefault="0042342B" w:rsidP="0013526B">
            <w:pPr>
              <w:jc w:val="right"/>
              <w:rPr>
                <w:b/>
                <w:sz w:val="18"/>
                <w:szCs w:val="18"/>
              </w:rPr>
            </w:pPr>
          </w:p>
        </w:tc>
        <w:tc>
          <w:tcPr>
            <w:tcW w:w="104" w:type="dxa"/>
            <w:shd w:val="clear" w:color="auto" w:fill="auto"/>
            <w:vAlign w:val="bottom"/>
          </w:tcPr>
          <w:p w14:paraId="541868AA" w14:textId="77777777" w:rsidR="0042342B" w:rsidRPr="00EA2E1E" w:rsidRDefault="0042342B" w:rsidP="0013526B">
            <w:pPr>
              <w:jc w:val="right"/>
              <w:rPr>
                <w:b/>
                <w:sz w:val="18"/>
                <w:szCs w:val="18"/>
              </w:rPr>
            </w:pPr>
          </w:p>
        </w:tc>
        <w:tc>
          <w:tcPr>
            <w:tcW w:w="1504" w:type="dxa"/>
            <w:vAlign w:val="bottom"/>
          </w:tcPr>
          <w:p w14:paraId="4774305A" w14:textId="77777777" w:rsidR="0042342B" w:rsidRPr="00EA2E1E" w:rsidRDefault="0042342B" w:rsidP="0013526B">
            <w:pPr>
              <w:jc w:val="right"/>
              <w:rPr>
                <w:b/>
                <w:sz w:val="18"/>
                <w:szCs w:val="18"/>
                <w:highlight w:val="green"/>
              </w:rPr>
            </w:pPr>
          </w:p>
        </w:tc>
        <w:tc>
          <w:tcPr>
            <w:tcW w:w="2221" w:type="dxa"/>
            <w:shd w:val="clear" w:color="auto" w:fill="auto"/>
            <w:vAlign w:val="bottom"/>
          </w:tcPr>
          <w:p w14:paraId="4F6FCA6E" w14:textId="77777777" w:rsidR="0042342B" w:rsidRPr="00EA2E1E" w:rsidRDefault="0042342B" w:rsidP="0013526B">
            <w:pPr>
              <w:ind w:right="57"/>
              <w:jc w:val="right"/>
              <w:rPr>
                <w:b/>
                <w:i/>
                <w:sz w:val="18"/>
                <w:szCs w:val="18"/>
              </w:rPr>
            </w:pPr>
            <w:r w:rsidRPr="00EA2E1E">
              <w:rPr>
                <w:b/>
                <w:i/>
                <w:sz w:val="18"/>
                <w:szCs w:val="18"/>
              </w:rPr>
              <w:t xml:space="preserve">CURRENT </w:t>
            </w:r>
            <w:r w:rsidRPr="00EA2E1E">
              <w:rPr>
                <w:b/>
                <w:bCs w:val="0"/>
                <w:i/>
                <w:sz w:val="18"/>
                <w:szCs w:val="18"/>
              </w:rPr>
              <w:t>LIABILITIES</w:t>
            </w:r>
          </w:p>
        </w:tc>
      </w:tr>
      <w:tr w:rsidR="008B76AD" w:rsidRPr="00EA2E1E" w14:paraId="7109D170" w14:textId="77777777" w:rsidTr="000A435F">
        <w:tc>
          <w:tcPr>
            <w:tcW w:w="2237" w:type="dxa"/>
            <w:shd w:val="clear" w:color="auto" w:fill="auto"/>
          </w:tcPr>
          <w:p w14:paraId="6DAF15C1" w14:textId="77777777" w:rsidR="008B76AD" w:rsidRPr="00EA2E1E" w:rsidRDefault="008B76AD" w:rsidP="008B76AD">
            <w:pPr>
              <w:ind w:left="283" w:hanging="170"/>
              <w:rPr>
                <w:sz w:val="18"/>
                <w:szCs w:val="18"/>
              </w:rPr>
            </w:pPr>
            <w:r w:rsidRPr="00EA2E1E">
              <w:rPr>
                <w:sz w:val="18"/>
                <w:szCs w:val="18"/>
              </w:rPr>
              <w:t>Utang bank jangka pendek</w:t>
            </w:r>
          </w:p>
        </w:tc>
        <w:tc>
          <w:tcPr>
            <w:tcW w:w="1540" w:type="dxa"/>
            <w:shd w:val="clear" w:color="auto" w:fill="auto"/>
            <w:vAlign w:val="bottom"/>
          </w:tcPr>
          <w:p w14:paraId="70E26ED1" w14:textId="29412C1B" w:rsidR="008B76AD" w:rsidRPr="00EA2E1E" w:rsidRDefault="008B76AD" w:rsidP="008B76AD">
            <w:pPr>
              <w:jc w:val="center"/>
              <w:rPr>
                <w:sz w:val="18"/>
                <w:szCs w:val="18"/>
                <w:highlight w:val="red"/>
                <w:lang w:val="id-ID"/>
              </w:rPr>
            </w:pPr>
            <w:r w:rsidRPr="00D306CA">
              <w:rPr>
                <w:sz w:val="18"/>
                <w:szCs w:val="18"/>
              </w:rPr>
              <w:t>3f</w:t>
            </w:r>
            <w:r w:rsidR="00C92587">
              <w:rPr>
                <w:sz w:val="18"/>
                <w:szCs w:val="18"/>
              </w:rPr>
              <w:t>,</w:t>
            </w:r>
            <w:r w:rsidRPr="00D306CA">
              <w:rPr>
                <w:sz w:val="18"/>
                <w:szCs w:val="18"/>
              </w:rPr>
              <w:t>3r</w:t>
            </w:r>
            <w:r w:rsidR="00C92587">
              <w:rPr>
                <w:sz w:val="18"/>
                <w:szCs w:val="18"/>
              </w:rPr>
              <w:t>,</w:t>
            </w:r>
            <w:r w:rsidR="00B60CAB" w:rsidRPr="00D306CA">
              <w:rPr>
                <w:sz w:val="18"/>
                <w:szCs w:val="18"/>
              </w:rPr>
              <w:t>14</w:t>
            </w:r>
            <w:r w:rsidR="00C92587">
              <w:rPr>
                <w:sz w:val="18"/>
                <w:szCs w:val="18"/>
              </w:rPr>
              <w:t>,</w:t>
            </w:r>
            <w:r w:rsidRPr="00D306CA">
              <w:rPr>
                <w:sz w:val="18"/>
                <w:szCs w:val="18"/>
              </w:rPr>
              <w:t>19</w:t>
            </w:r>
            <w:r w:rsidR="00C92587">
              <w:rPr>
                <w:sz w:val="18"/>
                <w:szCs w:val="18"/>
              </w:rPr>
              <w:t>,</w:t>
            </w:r>
            <w:r w:rsidR="00D316D9">
              <w:rPr>
                <w:sz w:val="18"/>
                <w:szCs w:val="18"/>
              </w:rPr>
              <w:t>39</w:t>
            </w:r>
          </w:p>
        </w:tc>
        <w:tc>
          <w:tcPr>
            <w:tcW w:w="93" w:type="dxa"/>
            <w:shd w:val="clear" w:color="auto" w:fill="auto"/>
          </w:tcPr>
          <w:p w14:paraId="39C242BC" w14:textId="77777777" w:rsidR="008B76AD" w:rsidRPr="00EA2E1E" w:rsidRDefault="008B76AD" w:rsidP="008B76AD">
            <w:pPr>
              <w:rPr>
                <w:sz w:val="18"/>
                <w:szCs w:val="18"/>
              </w:rPr>
            </w:pPr>
          </w:p>
        </w:tc>
        <w:tc>
          <w:tcPr>
            <w:tcW w:w="1497" w:type="dxa"/>
            <w:shd w:val="clear" w:color="auto" w:fill="auto"/>
            <w:vAlign w:val="bottom"/>
          </w:tcPr>
          <w:p w14:paraId="6C86F50B" w14:textId="071E7943" w:rsidR="008B76AD" w:rsidRPr="00B078AC" w:rsidRDefault="00311CBB" w:rsidP="008B76AD">
            <w:pPr>
              <w:ind w:right="57"/>
              <w:jc w:val="right"/>
              <w:rPr>
                <w:sz w:val="18"/>
                <w:szCs w:val="18"/>
              </w:rPr>
            </w:pPr>
            <w:r w:rsidRPr="00B078AC">
              <w:rPr>
                <w:sz w:val="18"/>
                <w:szCs w:val="18"/>
              </w:rPr>
              <w:t xml:space="preserve">25.007.256.836 </w:t>
            </w:r>
            <w:r w:rsidR="004F0DF2" w:rsidRPr="00B078AC">
              <w:rPr>
                <w:sz w:val="18"/>
                <w:szCs w:val="18"/>
              </w:rPr>
              <w:t xml:space="preserve"> </w:t>
            </w:r>
            <w:r w:rsidR="00AF64B1" w:rsidRPr="00B078AC">
              <w:rPr>
                <w:sz w:val="18"/>
                <w:szCs w:val="18"/>
              </w:rPr>
              <w:t xml:space="preserve">   </w:t>
            </w:r>
          </w:p>
        </w:tc>
        <w:tc>
          <w:tcPr>
            <w:tcW w:w="104" w:type="dxa"/>
            <w:shd w:val="clear" w:color="auto" w:fill="auto"/>
            <w:vAlign w:val="bottom"/>
          </w:tcPr>
          <w:p w14:paraId="1073A388" w14:textId="77777777" w:rsidR="008B76AD" w:rsidRPr="00FE279F" w:rsidRDefault="008B76AD" w:rsidP="008B76AD">
            <w:pPr>
              <w:ind w:left="-76" w:right="28"/>
              <w:jc w:val="right"/>
              <w:rPr>
                <w:sz w:val="18"/>
                <w:szCs w:val="18"/>
              </w:rPr>
            </w:pPr>
          </w:p>
        </w:tc>
        <w:tc>
          <w:tcPr>
            <w:tcW w:w="1504" w:type="dxa"/>
            <w:vAlign w:val="bottom"/>
          </w:tcPr>
          <w:p w14:paraId="3F5547B0" w14:textId="4419AFB8" w:rsidR="008B76AD" w:rsidRPr="00FE279F" w:rsidRDefault="007317ED" w:rsidP="008B76AD">
            <w:pPr>
              <w:ind w:left="-76" w:right="57"/>
              <w:jc w:val="right"/>
              <w:rPr>
                <w:sz w:val="18"/>
                <w:szCs w:val="18"/>
              </w:rPr>
            </w:pPr>
            <w:r w:rsidRPr="00FE279F">
              <w:rPr>
                <w:sz w:val="18"/>
                <w:szCs w:val="18"/>
              </w:rPr>
              <w:t>24.678.569.749</w:t>
            </w:r>
          </w:p>
        </w:tc>
        <w:tc>
          <w:tcPr>
            <w:tcW w:w="2221" w:type="dxa"/>
            <w:shd w:val="clear" w:color="auto" w:fill="auto"/>
            <w:vAlign w:val="bottom"/>
          </w:tcPr>
          <w:p w14:paraId="45ABF604" w14:textId="77777777" w:rsidR="008B76AD" w:rsidRPr="00EA2E1E" w:rsidRDefault="008B76AD" w:rsidP="008B76AD">
            <w:pPr>
              <w:ind w:right="57"/>
              <w:jc w:val="right"/>
              <w:rPr>
                <w:i/>
                <w:sz w:val="18"/>
                <w:szCs w:val="18"/>
              </w:rPr>
            </w:pPr>
            <w:r w:rsidRPr="00EA2E1E">
              <w:rPr>
                <w:i/>
                <w:sz w:val="18"/>
                <w:szCs w:val="18"/>
              </w:rPr>
              <w:t>Short-term bank loans</w:t>
            </w:r>
          </w:p>
        </w:tc>
      </w:tr>
      <w:tr w:rsidR="008B76AD" w:rsidRPr="00EA2E1E" w14:paraId="569B7830" w14:textId="77777777" w:rsidTr="000A435F">
        <w:tc>
          <w:tcPr>
            <w:tcW w:w="2237" w:type="dxa"/>
            <w:shd w:val="clear" w:color="auto" w:fill="auto"/>
          </w:tcPr>
          <w:p w14:paraId="20B4BBA9" w14:textId="77777777" w:rsidR="008B76AD" w:rsidRPr="00EA2E1E" w:rsidRDefault="008B76AD" w:rsidP="008B76AD">
            <w:pPr>
              <w:ind w:left="283" w:hanging="170"/>
              <w:rPr>
                <w:sz w:val="18"/>
                <w:szCs w:val="18"/>
              </w:rPr>
            </w:pPr>
            <w:r w:rsidRPr="00EA2E1E">
              <w:rPr>
                <w:sz w:val="18"/>
                <w:szCs w:val="18"/>
              </w:rPr>
              <w:t xml:space="preserve">Utang usaha </w:t>
            </w:r>
          </w:p>
        </w:tc>
        <w:tc>
          <w:tcPr>
            <w:tcW w:w="1540" w:type="dxa"/>
            <w:shd w:val="clear" w:color="auto" w:fill="auto"/>
            <w:vAlign w:val="bottom"/>
          </w:tcPr>
          <w:p w14:paraId="5090138B" w14:textId="6DD5ED60" w:rsidR="008B76AD" w:rsidRPr="00EA2E1E" w:rsidRDefault="00FE3D5D" w:rsidP="008B76AD">
            <w:pPr>
              <w:jc w:val="center"/>
              <w:rPr>
                <w:sz w:val="18"/>
                <w:szCs w:val="18"/>
                <w:highlight w:val="red"/>
              </w:rPr>
            </w:pPr>
            <w:r w:rsidRPr="00D306CA">
              <w:rPr>
                <w:sz w:val="18"/>
                <w:szCs w:val="18"/>
              </w:rPr>
              <w:t>3r</w:t>
            </w:r>
            <w:r w:rsidR="00C92587">
              <w:rPr>
                <w:sz w:val="18"/>
                <w:szCs w:val="18"/>
              </w:rPr>
              <w:t>,</w:t>
            </w:r>
            <w:r w:rsidR="008B76AD" w:rsidRPr="00D306CA">
              <w:rPr>
                <w:sz w:val="18"/>
                <w:szCs w:val="18"/>
              </w:rPr>
              <w:t>15</w:t>
            </w:r>
            <w:r w:rsidR="00C92587">
              <w:rPr>
                <w:sz w:val="18"/>
                <w:szCs w:val="18"/>
              </w:rPr>
              <w:t>,</w:t>
            </w:r>
            <w:r w:rsidR="00D316D9">
              <w:rPr>
                <w:sz w:val="18"/>
                <w:szCs w:val="18"/>
              </w:rPr>
              <w:t>39</w:t>
            </w:r>
          </w:p>
        </w:tc>
        <w:tc>
          <w:tcPr>
            <w:tcW w:w="93" w:type="dxa"/>
            <w:shd w:val="clear" w:color="auto" w:fill="auto"/>
          </w:tcPr>
          <w:p w14:paraId="424A8A78" w14:textId="77777777" w:rsidR="008B76AD" w:rsidRPr="00EA2E1E" w:rsidRDefault="008B76AD" w:rsidP="008B76AD">
            <w:pPr>
              <w:rPr>
                <w:sz w:val="18"/>
                <w:szCs w:val="18"/>
              </w:rPr>
            </w:pPr>
          </w:p>
        </w:tc>
        <w:tc>
          <w:tcPr>
            <w:tcW w:w="1497" w:type="dxa"/>
            <w:shd w:val="clear" w:color="auto" w:fill="auto"/>
            <w:vAlign w:val="bottom"/>
          </w:tcPr>
          <w:p w14:paraId="40AF08AB" w14:textId="2C09E547" w:rsidR="008B76AD" w:rsidRPr="00B078AC" w:rsidRDefault="00311CBB" w:rsidP="008B76AD">
            <w:pPr>
              <w:ind w:right="57"/>
              <w:jc w:val="right"/>
              <w:rPr>
                <w:sz w:val="18"/>
                <w:szCs w:val="18"/>
              </w:rPr>
            </w:pPr>
            <w:r w:rsidRPr="00B078AC">
              <w:rPr>
                <w:sz w:val="18"/>
                <w:szCs w:val="18"/>
              </w:rPr>
              <w:t>110.499.274.270</w:t>
            </w:r>
          </w:p>
        </w:tc>
        <w:tc>
          <w:tcPr>
            <w:tcW w:w="104" w:type="dxa"/>
            <w:shd w:val="clear" w:color="auto" w:fill="auto"/>
            <w:vAlign w:val="bottom"/>
          </w:tcPr>
          <w:p w14:paraId="15EC5141" w14:textId="77777777" w:rsidR="008B76AD" w:rsidRPr="00FE279F" w:rsidRDefault="008B76AD" w:rsidP="008B76AD">
            <w:pPr>
              <w:ind w:left="-76" w:right="28"/>
              <w:jc w:val="right"/>
              <w:rPr>
                <w:sz w:val="18"/>
                <w:szCs w:val="18"/>
              </w:rPr>
            </w:pPr>
          </w:p>
        </w:tc>
        <w:tc>
          <w:tcPr>
            <w:tcW w:w="1504" w:type="dxa"/>
            <w:vAlign w:val="bottom"/>
          </w:tcPr>
          <w:p w14:paraId="25F5E8E1" w14:textId="5F3E175D" w:rsidR="008B76AD" w:rsidRPr="00FE279F" w:rsidRDefault="007317ED" w:rsidP="008B76AD">
            <w:pPr>
              <w:ind w:left="-76" w:right="57"/>
              <w:jc w:val="right"/>
              <w:rPr>
                <w:sz w:val="18"/>
                <w:szCs w:val="18"/>
              </w:rPr>
            </w:pPr>
            <w:r w:rsidRPr="00FE279F">
              <w:rPr>
                <w:sz w:val="18"/>
                <w:szCs w:val="18"/>
              </w:rPr>
              <w:t>101.039.665.233</w:t>
            </w:r>
          </w:p>
        </w:tc>
        <w:tc>
          <w:tcPr>
            <w:tcW w:w="2221" w:type="dxa"/>
            <w:shd w:val="clear" w:color="auto" w:fill="auto"/>
            <w:vAlign w:val="bottom"/>
          </w:tcPr>
          <w:p w14:paraId="65F3D767" w14:textId="77777777" w:rsidR="008B76AD" w:rsidRPr="00EA2E1E" w:rsidRDefault="008B76AD" w:rsidP="008B76AD">
            <w:pPr>
              <w:ind w:right="57"/>
              <w:jc w:val="right"/>
              <w:rPr>
                <w:i/>
                <w:sz w:val="18"/>
                <w:szCs w:val="18"/>
              </w:rPr>
            </w:pPr>
            <w:r w:rsidRPr="00EA2E1E">
              <w:rPr>
                <w:i/>
                <w:sz w:val="18"/>
                <w:szCs w:val="18"/>
              </w:rPr>
              <w:t>Trade payables</w:t>
            </w:r>
          </w:p>
        </w:tc>
      </w:tr>
      <w:tr w:rsidR="008B76AD" w:rsidRPr="00EA2E1E" w14:paraId="2BD5484E" w14:textId="77777777" w:rsidTr="000A435F">
        <w:tc>
          <w:tcPr>
            <w:tcW w:w="2237" w:type="dxa"/>
            <w:shd w:val="clear" w:color="auto" w:fill="auto"/>
          </w:tcPr>
          <w:p w14:paraId="255EA740" w14:textId="09DB6A1A" w:rsidR="008B76AD" w:rsidRPr="00EA2E1E" w:rsidRDefault="008B76AD" w:rsidP="008B76AD">
            <w:pPr>
              <w:ind w:left="283" w:hanging="170"/>
              <w:rPr>
                <w:sz w:val="18"/>
                <w:szCs w:val="18"/>
              </w:rPr>
            </w:pPr>
            <w:r w:rsidRPr="00EA2E1E">
              <w:rPr>
                <w:sz w:val="18"/>
                <w:szCs w:val="18"/>
              </w:rPr>
              <w:t>Utang kontraktor</w:t>
            </w:r>
          </w:p>
        </w:tc>
        <w:tc>
          <w:tcPr>
            <w:tcW w:w="1540" w:type="dxa"/>
            <w:shd w:val="clear" w:color="auto" w:fill="auto"/>
            <w:vAlign w:val="bottom"/>
          </w:tcPr>
          <w:p w14:paraId="3B43059C" w14:textId="011C4644" w:rsidR="008B76AD" w:rsidRPr="00EA2E1E" w:rsidRDefault="00C92587" w:rsidP="008B76AD">
            <w:pPr>
              <w:jc w:val="center"/>
              <w:rPr>
                <w:sz w:val="18"/>
                <w:szCs w:val="18"/>
                <w:highlight w:val="red"/>
                <w:lang w:val="id-ID"/>
              </w:rPr>
            </w:pPr>
            <w:r>
              <w:rPr>
                <w:sz w:val="18"/>
                <w:szCs w:val="18"/>
              </w:rPr>
              <w:t>3f,</w:t>
            </w:r>
            <w:r w:rsidR="008B76AD" w:rsidRPr="00AF5982">
              <w:rPr>
                <w:sz w:val="18"/>
                <w:szCs w:val="18"/>
              </w:rPr>
              <w:t>3r</w:t>
            </w:r>
            <w:r>
              <w:rPr>
                <w:sz w:val="18"/>
                <w:szCs w:val="18"/>
              </w:rPr>
              <w:t>,</w:t>
            </w:r>
            <w:r w:rsidR="00BE0C5E" w:rsidRPr="00AF5982">
              <w:rPr>
                <w:sz w:val="18"/>
                <w:szCs w:val="18"/>
              </w:rPr>
              <w:t>16</w:t>
            </w:r>
            <w:r>
              <w:rPr>
                <w:sz w:val="18"/>
                <w:szCs w:val="18"/>
              </w:rPr>
              <w:t>,</w:t>
            </w:r>
            <w:r w:rsidR="00D316D9">
              <w:rPr>
                <w:sz w:val="18"/>
                <w:szCs w:val="18"/>
              </w:rPr>
              <w:t>39</w:t>
            </w:r>
          </w:p>
        </w:tc>
        <w:tc>
          <w:tcPr>
            <w:tcW w:w="93" w:type="dxa"/>
            <w:shd w:val="clear" w:color="auto" w:fill="auto"/>
          </w:tcPr>
          <w:p w14:paraId="153B16D4" w14:textId="77777777" w:rsidR="008B76AD" w:rsidRPr="00EA2E1E" w:rsidRDefault="008B76AD" w:rsidP="008B76AD">
            <w:pPr>
              <w:rPr>
                <w:sz w:val="18"/>
                <w:szCs w:val="18"/>
              </w:rPr>
            </w:pPr>
          </w:p>
        </w:tc>
        <w:tc>
          <w:tcPr>
            <w:tcW w:w="1497" w:type="dxa"/>
            <w:shd w:val="clear" w:color="auto" w:fill="auto"/>
            <w:vAlign w:val="bottom"/>
          </w:tcPr>
          <w:p w14:paraId="16E77EBC" w14:textId="25CFB2FD" w:rsidR="008B76AD" w:rsidRPr="00B078AC" w:rsidRDefault="000F5A5D" w:rsidP="008B76AD">
            <w:pPr>
              <w:ind w:right="57"/>
              <w:jc w:val="right"/>
              <w:rPr>
                <w:sz w:val="18"/>
                <w:szCs w:val="18"/>
                <w:lang w:val="id-ID"/>
              </w:rPr>
            </w:pPr>
            <w:r w:rsidRPr="00B078AC">
              <w:rPr>
                <w:sz w:val="18"/>
                <w:szCs w:val="18"/>
                <w:lang w:val="id-ID"/>
              </w:rPr>
              <w:t>27</w:t>
            </w:r>
            <w:r w:rsidR="00311CBB" w:rsidRPr="00B078AC">
              <w:rPr>
                <w:sz w:val="18"/>
                <w:szCs w:val="18"/>
              </w:rPr>
              <w:t>.</w:t>
            </w:r>
            <w:r w:rsidRPr="00B078AC">
              <w:rPr>
                <w:sz w:val="18"/>
                <w:szCs w:val="18"/>
                <w:lang w:val="id-ID"/>
              </w:rPr>
              <w:t>468</w:t>
            </w:r>
            <w:r w:rsidR="00311CBB" w:rsidRPr="00B078AC">
              <w:rPr>
                <w:sz w:val="18"/>
                <w:szCs w:val="18"/>
              </w:rPr>
              <w:t>.</w:t>
            </w:r>
            <w:r w:rsidRPr="00B078AC">
              <w:rPr>
                <w:sz w:val="18"/>
                <w:szCs w:val="18"/>
                <w:lang w:val="id-ID"/>
              </w:rPr>
              <w:t>494</w:t>
            </w:r>
            <w:r w:rsidR="00311CBB" w:rsidRPr="00B078AC">
              <w:rPr>
                <w:sz w:val="18"/>
                <w:szCs w:val="18"/>
              </w:rPr>
              <w:t>.</w:t>
            </w:r>
            <w:r w:rsidRPr="00B078AC">
              <w:rPr>
                <w:sz w:val="18"/>
                <w:szCs w:val="18"/>
                <w:lang w:val="id-ID"/>
              </w:rPr>
              <w:t>698</w:t>
            </w:r>
          </w:p>
        </w:tc>
        <w:tc>
          <w:tcPr>
            <w:tcW w:w="104" w:type="dxa"/>
            <w:shd w:val="clear" w:color="auto" w:fill="auto"/>
            <w:vAlign w:val="bottom"/>
          </w:tcPr>
          <w:p w14:paraId="49F5C338" w14:textId="77777777" w:rsidR="008B76AD" w:rsidRPr="00FE279F" w:rsidRDefault="008B76AD" w:rsidP="008B76AD">
            <w:pPr>
              <w:ind w:left="-76" w:right="28"/>
              <w:jc w:val="right"/>
              <w:rPr>
                <w:sz w:val="18"/>
                <w:szCs w:val="18"/>
              </w:rPr>
            </w:pPr>
          </w:p>
        </w:tc>
        <w:tc>
          <w:tcPr>
            <w:tcW w:w="1504" w:type="dxa"/>
            <w:vAlign w:val="bottom"/>
          </w:tcPr>
          <w:p w14:paraId="744F1BC6" w14:textId="69556F00" w:rsidR="008B76AD" w:rsidRPr="00FE279F" w:rsidRDefault="007317ED" w:rsidP="008B76AD">
            <w:pPr>
              <w:ind w:left="-76" w:right="57"/>
              <w:jc w:val="right"/>
              <w:rPr>
                <w:sz w:val="18"/>
                <w:szCs w:val="18"/>
              </w:rPr>
            </w:pPr>
            <w:r w:rsidRPr="00FE279F">
              <w:rPr>
                <w:sz w:val="18"/>
                <w:szCs w:val="18"/>
              </w:rPr>
              <w:t>88.419.683.936</w:t>
            </w:r>
          </w:p>
        </w:tc>
        <w:tc>
          <w:tcPr>
            <w:tcW w:w="2221" w:type="dxa"/>
            <w:shd w:val="clear" w:color="auto" w:fill="auto"/>
            <w:vAlign w:val="bottom"/>
          </w:tcPr>
          <w:p w14:paraId="19E9725E" w14:textId="2850BE62" w:rsidR="008B76AD" w:rsidRPr="00EA2E1E" w:rsidRDefault="008B76AD" w:rsidP="008B76AD">
            <w:pPr>
              <w:ind w:right="57"/>
              <w:jc w:val="right"/>
              <w:rPr>
                <w:i/>
                <w:sz w:val="18"/>
                <w:szCs w:val="18"/>
              </w:rPr>
            </w:pPr>
            <w:r w:rsidRPr="00EA2E1E">
              <w:rPr>
                <w:i/>
                <w:sz w:val="18"/>
                <w:szCs w:val="18"/>
              </w:rPr>
              <w:t>Contractor payables</w:t>
            </w:r>
          </w:p>
        </w:tc>
      </w:tr>
      <w:tr w:rsidR="008B76AD" w:rsidRPr="00EA2E1E" w14:paraId="7976FC3F" w14:textId="77777777" w:rsidTr="000A435F">
        <w:tc>
          <w:tcPr>
            <w:tcW w:w="2237" w:type="dxa"/>
            <w:shd w:val="clear" w:color="auto" w:fill="auto"/>
          </w:tcPr>
          <w:p w14:paraId="3043AF1B" w14:textId="4D9E0B91" w:rsidR="008B76AD" w:rsidRPr="00EA2E1E" w:rsidRDefault="008B76AD" w:rsidP="008B76AD">
            <w:pPr>
              <w:ind w:left="283" w:hanging="170"/>
              <w:rPr>
                <w:sz w:val="18"/>
                <w:szCs w:val="18"/>
              </w:rPr>
            </w:pPr>
            <w:r w:rsidRPr="00EA2E1E">
              <w:rPr>
                <w:sz w:val="18"/>
                <w:szCs w:val="18"/>
              </w:rPr>
              <w:t>Utang lain-lain</w:t>
            </w:r>
          </w:p>
        </w:tc>
        <w:tc>
          <w:tcPr>
            <w:tcW w:w="1540" w:type="dxa"/>
            <w:shd w:val="clear" w:color="auto" w:fill="auto"/>
            <w:vAlign w:val="bottom"/>
          </w:tcPr>
          <w:p w14:paraId="2FA15F53" w14:textId="6EFBF244" w:rsidR="008B76AD" w:rsidRPr="00EA2E1E" w:rsidRDefault="008B76AD" w:rsidP="008B76AD">
            <w:pPr>
              <w:jc w:val="center"/>
              <w:rPr>
                <w:sz w:val="18"/>
                <w:szCs w:val="18"/>
                <w:highlight w:val="red"/>
                <w:lang w:val="id-ID"/>
              </w:rPr>
            </w:pPr>
            <w:r w:rsidRPr="00AF5982">
              <w:rPr>
                <w:sz w:val="18"/>
                <w:szCs w:val="18"/>
              </w:rPr>
              <w:t>3e</w:t>
            </w:r>
            <w:r w:rsidR="00C92587">
              <w:rPr>
                <w:sz w:val="18"/>
                <w:szCs w:val="18"/>
              </w:rPr>
              <w:t>,</w:t>
            </w:r>
            <w:r w:rsidRPr="00AF5982">
              <w:rPr>
                <w:sz w:val="18"/>
                <w:szCs w:val="18"/>
              </w:rPr>
              <w:t>3r</w:t>
            </w:r>
            <w:r w:rsidR="00C92587">
              <w:rPr>
                <w:sz w:val="18"/>
                <w:szCs w:val="18"/>
              </w:rPr>
              <w:t>,</w:t>
            </w:r>
            <w:r w:rsidR="00D316D9">
              <w:rPr>
                <w:sz w:val="18"/>
                <w:szCs w:val="18"/>
              </w:rPr>
              <w:t>20</w:t>
            </w:r>
            <w:r w:rsidR="00C92587">
              <w:rPr>
                <w:sz w:val="18"/>
                <w:szCs w:val="18"/>
              </w:rPr>
              <w:t>,</w:t>
            </w:r>
            <w:r w:rsidR="00D316D9">
              <w:rPr>
                <w:sz w:val="18"/>
                <w:szCs w:val="18"/>
              </w:rPr>
              <w:t>39</w:t>
            </w:r>
          </w:p>
        </w:tc>
        <w:tc>
          <w:tcPr>
            <w:tcW w:w="93" w:type="dxa"/>
            <w:shd w:val="clear" w:color="auto" w:fill="auto"/>
          </w:tcPr>
          <w:p w14:paraId="5CD2B5B0" w14:textId="77777777" w:rsidR="008B76AD" w:rsidRPr="00EA2E1E" w:rsidRDefault="008B76AD" w:rsidP="008B76AD">
            <w:pPr>
              <w:rPr>
                <w:sz w:val="18"/>
                <w:szCs w:val="18"/>
              </w:rPr>
            </w:pPr>
          </w:p>
        </w:tc>
        <w:tc>
          <w:tcPr>
            <w:tcW w:w="1497" w:type="dxa"/>
            <w:shd w:val="clear" w:color="auto" w:fill="auto"/>
            <w:vAlign w:val="bottom"/>
          </w:tcPr>
          <w:p w14:paraId="1A91062B" w14:textId="21C9837D" w:rsidR="008B76AD" w:rsidRPr="00B078AC" w:rsidRDefault="008B76AD" w:rsidP="008B76AD">
            <w:pPr>
              <w:ind w:right="57"/>
              <w:jc w:val="right"/>
              <w:rPr>
                <w:sz w:val="18"/>
                <w:szCs w:val="18"/>
              </w:rPr>
            </w:pPr>
          </w:p>
        </w:tc>
        <w:tc>
          <w:tcPr>
            <w:tcW w:w="104" w:type="dxa"/>
            <w:shd w:val="clear" w:color="auto" w:fill="auto"/>
            <w:vAlign w:val="bottom"/>
          </w:tcPr>
          <w:p w14:paraId="48A6624F" w14:textId="77777777" w:rsidR="008B76AD" w:rsidRPr="00FE279F" w:rsidRDefault="008B76AD" w:rsidP="008B76AD">
            <w:pPr>
              <w:ind w:left="-76" w:right="28"/>
              <w:jc w:val="right"/>
              <w:rPr>
                <w:sz w:val="18"/>
                <w:szCs w:val="18"/>
              </w:rPr>
            </w:pPr>
          </w:p>
        </w:tc>
        <w:tc>
          <w:tcPr>
            <w:tcW w:w="1504" w:type="dxa"/>
            <w:vAlign w:val="bottom"/>
          </w:tcPr>
          <w:p w14:paraId="32163D80" w14:textId="0499F7F1" w:rsidR="008B76AD" w:rsidRPr="00FE279F" w:rsidRDefault="008B76AD" w:rsidP="008B76AD">
            <w:pPr>
              <w:ind w:left="-76" w:right="57"/>
              <w:jc w:val="right"/>
              <w:rPr>
                <w:sz w:val="18"/>
                <w:szCs w:val="18"/>
              </w:rPr>
            </w:pPr>
          </w:p>
        </w:tc>
        <w:tc>
          <w:tcPr>
            <w:tcW w:w="2221" w:type="dxa"/>
            <w:shd w:val="clear" w:color="auto" w:fill="auto"/>
            <w:vAlign w:val="bottom"/>
          </w:tcPr>
          <w:p w14:paraId="1A42384F" w14:textId="6C55B6D0" w:rsidR="008B76AD" w:rsidRPr="00EA2E1E" w:rsidRDefault="008B76AD" w:rsidP="008B76AD">
            <w:pPr>
              <w:ind w:right="57"/>
              <w:jc w:val="right"/>
              <w:rPr>
                <w:i/>
                <w:sz w:val="18"/>
                <w:szCs w:val="18"/>
              </w:rPr>
            </w:pPr>
            <w:r w:rsidRPr="00EA2E1E">
              <w:rPr>
                <w:i/>
                <w:sz w:val="18"/>
                <w:szCs w:val="18"/>
              </w:rPr>
              <w:t>Other payables</w:t>
            </w:r>
          </w:p>
        </w:tc>
      </w:tr>
      <w:tr w:rsidR="008B76AD" w:rsidRPr="00EA2E1E" w14:paraId="32B615E3" w14:textId="77777777" w:rsidTr="000A435F">
        <w:tc>
          <w:tcPr>
            <w:tcW w:w="2237" w:type="dxa"/>
            <w:shd w:val="clear" w:color="auto" w:fill="auto"/>
          </w:tcPr>
          <w:p w14:paraId="452FA318" w14:textId="251ED854" w:rsidR="008B76AD" w:rsidRPr="00EA2E1E" w:rsidRDefault="008B76AD" w:rsidP="008B76AD">
            <w:pPr>
              <w:ind w:left="283" w:firstLine="1"/>
              <w:rPr>
                <w:sz w:val="18"/>
                <w:szCs w:val="18"/>
              </w:rPr>
            </w:pPr>
            <w:r w:rsidRPr="00EA2E1E">
              <w:rPr>
                <w:sz w:val="18"/>
                <w:szCs w:val="18"/>
              </w:rPr>
              <w:t xml:space="preserve">Pihak ketiga </w:t>
            </w:r>
          </w:p>
        </w:tc>
        <w:tc>
          <w:tcPr>
            <w:tcW w:w="1540" w:type="dxa"/>
            <w:shd w:val="clear" w:color="auto" w:fill="auto"/>
            <w:vAlign w:val="bottom"/>
          </w:tcPr>
          <w:p w14:paraId="4F90B0AD" w14:textId="77777777" w:rsidR="008B76AD" w:rsidRPr="00EA2E1E" w:rsidRDefault="008B76AD" w:rsidP="008B76AD">
            <w:pPr>
              <w:jc w:val="center"/>
              <w:rPr>
                <w:sz w:val="18"/>
                <w:szCs w:val="18"/>
                <w:highlight w:val="red"/>
              </w:rPr>
            </w:pPr>
          </w:p>
        </w:tc>
        <w:tc>
          <w:tcPr>
            <w:tcW w:w="93" w:type="dxa"/>
            <w:shd w:val="clear" w:color="auto" w:fill="auto"/>
          </w:tcPr>
          <w:p w14:paraId="7CD6B855" w14:textId="77777777" w:rsidR="008B76AD" w:rsidRPr="00EA2E1E" w:rsidRDefault="008B76AD" w:rsidP="008B76AD">
            <w:pPr>
              <w:rPr>
                <w:sz w:val="18"/>
                <w:szCs w:val="18"/>
              </w:rPr>
            </w:pPr>
          </w:p>
        </w:tc>
        <w:tc>
          <w:tcPr>
            <w:tcW w:w="1497" w:type="dxa"/>
            <w:shd w:val="clear" w:color="auto" w:fill="auto"/>
            <w:vAlign w:val="bottom"/>
          </w:tcPr>
          <w:p w14:paraId="546A8CC3" w14:textId="1A7C80C3" w:rsidR="008B76AD" w:rsidRPr="00B078AC" w:rsidRDefault="00311CBB" w:rsidP="008B76AD">
            <w:pPr>
              <w:ind w:right="57"/>
              <w:jc w:val="right"/>
              <w:rPr>
                <w:sz w:val="18"/>
                <w:szCs w:val="18"/>
              </w:rPr>
            </w:pPr>
            <w:r w:rsidRPr="00B078AC">
              <w:rPr>
                <w:sz w:val="18"/>
                <w:szCs w:val="18"/>
              </w:rPr>
              <w:t>65.747.782</w:t>
            </w:r>
          </w:p>
        </w:tc>
        <w:tc>
          <w:tcPr>
            <w:tcW w:w="104" w:type="dxa"/>
            <w:shd w:val="clear" w:color="auto" w:fill="auto"/>
            <w:vAlign w:val="bottom"/>
          </w:tcPr>
          <w:p w14:paraId="16A706A9" w14:textId="77777777" w:rsidR="008B76AD" w:rsidRPr="00B5079C" w:rsidRDefault="008B76AD" w:rsidP="008B76AD">
            <w:pPr>
              <w:ind w:left="-76" w:right="28"/>
              <w:jc w:val="right"/>
              <w:rPr>
                <w:sz w:val="18"/>
                <w:szCs w:val="18"/>
                <w:highlight w:val="yellow"/>
              </w:rPr>
            </w:pPr>
          </w:p>
        </w:tc>
        <w:tc>
          <w:tcPr>
            <w:tcW w:w="1504" w:type="dxa"/>
            <w:vAlign w:val="bottom"/>
          </w:tcPr>
          <w:p w14:paraId="20B73180" w14:textId="0E9EBFAD" w:rsidR="008B76AD" w:rsidRPr="00FE279F" w:rsidRDefault="007317ED" w:rsidP="008B76AD">
            <w:pPr>
              <w:ind w:left="-76" w:right="57"/>
              <w:jc w:val="right"/>
              <w:rPr>
                <w:sz w:val="18"/>
                <w:szCs w:val="18"/>
              </w:rPr>
            </w:pPr>
            <w:r w:rsidRPr="00FE279F">
              <w:rPr>
                <w:sz w:val="18"/>
                <w:szCs w:val="18"/>
              </w:rPr>
              <w:t>7.345.979.636</w:t>
            </w:r>
          </w:p>
        </w:tc>
        <w:tc>
          <w:tcPr>
            <w:tcW w:w="2221" w:type="dxa"/>
            <w:shd w:val="clear" w:color="auto" w:fill="auto"/>
            <w:vAlign w:val="bottom"/>
          </w:tcPr>
          <w:p w14:paraId="2EF2C681" w14:textId="6E53D6D6" w:rsidR="008B76AD" w:rsidRPr="00EA2E1E" w:rsidRDefault="008B76AD" w:rsidP="008B76AD">
            <w:pPr>
              <w:ind w:right="284"/>
              <w:jc w:val="right"/>
              <w:rPr>
                <w:i/>
                <w:sz w:val="18"/>
                <w:szCs w:val="18"/>
              </w:rPr>
            </w:pPr>
            <w:r w:rsidRPr="00EA2E1E">
              <w:rPr>
                <w:i/>
                <w:sz w:val="18"/>
                <w:szCs w:val="18"/>
              </w:rPr>
              <w:t>Third party</w:t>
            </w:r>
          </w:p>
        </w:tc>
      </w:tr>
      <w:tr w:rsidR="008B76AD" w:rsidRPr="00EA2E1E" w14:paraId="463C223E" w14:textId="77777777" w:rsidTr="000A435F">
        <w:tc>
          <w:tcPr>
            <w:tcW w:w="2237" w:type="dxa"/>
            <w:shd w:val="clear" w:color="auto" w:fill="auto"/>
          </w:tcPr>
          <w:p w14:paraId="18590207" w14:textId="2B5DD21A" w:rsidR="008B76AD" w:rsidRPr="00EA2E1E" w:rsidRDefault="008B76AD" w:rsidP="008B76AD">
            <w:pPr>
              <w:ind w:left="283" w:firstLine="1"/>
              <w:rPr>
                <w:sz w:val="18"/>
                <w:szCs w:val="18"/>
              </w:rPr>
            </w:pPr>
            <w:r w:rsidRPr="00EA2E1E">
              <w:rPr>
                <w:sz w:val="18"/>
                <w:szCs w:val="18"/>
              </w:rPr>
              <w:t>Pihak berelasi</w:t>
            </w:r>
          </w:p>
        </w:tc>
        <w:tc>
          <w:tcPr>
            <w:tcW w:w="1540" w:type="dxa"/>
            <w:shd w:val="clear" w:color="auto" w:fill="auto"/>
            <w:vAlign w:val="bottom"/>
          </w:tcPr>
          <w:p w14:paraId="29AF894E" w14:textId="77777777" w:rsidR="008B76AD" w:rsidRPr="00EA2E1E" w:rsidRDefault="008B76AD" w:rsidP="008B76AD">
            <w:pPr>
              <w:jc w:val="center"/>
              <w:rPr>
                <w:sz w:val="18"/>
                <w:szCs w:val="18"/>
                <w:highlight w:val="red"/>
              </w:rPr>
            </w:pPr>
          </w:p>
        </w:tc>
        <w:tc>
          <w:tcPr>
            <w:tcW w:w="93" w:type="dxa"/>
            <w:shd w:val="clear" w:color="auto" w:fill="auto"/>
          </w:tcPr>
          <w:p w14:paraId="4E33491B" w14:textId="77777777" w:rsidR="008B76AD" w:rsidRPr="00EA2E1E" w:rsidRDefault="008B76AD" w:rsidP="008B76AD">
            <w:pPr>
              <w:rPr>
                <w:sz w:val="18"/>
                <w:szCs w:val="18"/>
              </w:rPr>
            </w:pPr>
          </w:p>
        </w:tc>
        <w:tc>
          <w:tcPr>
            <w:tcW w:w="1497" w:type="dxa"/>
            <w:shd w:val="clear" w:color="auto" w:fill="auto"/>
            <w:vAlign w:val="bottom"/>
          </w:tcPr>
          <w:p w14:paraId="20886D7F" w14:textId="15F01DAA" w:rsidR="008B76AD" w:rsidRPr="00B078AC" w:rsidRDefault="00324742" w:rsidP="00D14FB0">
            <w:pPr>
              <w:ind w:right="57"/>
              <w:jc w:val="right"/>
              <w:rPr>
                <w:sz w:val="18"/>
                <w:szCs w:val="18"/>
                <w:lang w:val="id-ID"/>
              </w:rPr>
            </w:pPr>
            <w:r w:rsidRPr="00B078AC">
              <w:rPr>
                <w:sz w:val="18"/>
                <w:szCs w:val="18"/>
                <w:lang w:val="id-ID"/>
              </w:rPr>
              <w:t>971.345.117</w:t>
            </w:r>
            <w:r w:rsidR="00311CBB" w:rsidRPr="00B078AC">
              <w:rPr>
                <w:sz w:val="18"/>
                <w:szCs w:val="18"/>
                <w:lang w:val="id-ID"/>
              </w:rPr>
              <w:t>.</w:t>
            </w:r>
            <w:r w:rsidRPr="00B078AC">
              <w:rPr>
                <w:sz w:val="18"/>
                <w:szCs w:val="18"/>
                <w:lang w:val="id-ID"/>
              </w:rPr>
              <w:t>213</w:t>
            </w:r>
          </w:p>
        </w:tc>
        <w:tc>
          <w:tcPr>
            <w:tcW w:w="104" w:type="dxa"/>
            <w:shd w:val="clear" w:color="auto" w:fill="auto"/>
            <w:vAlign w:val="bottom"/>
          </w:tcPr>
          <w:p w14:paraId="2CDD6F10" w14:textId="77777777" w:rsidR="008B76AD" w:rsidRPr="00FE279F" w:rsidRDefault="008B76AD" w:rsidP="008B76AD">
            <w:pPr>
              <w:ind w:left="-76" w:right="28"/>
              <w:jc w:val="right"/>
              <w:rPr>
                <w:sz w:val="18"/>
                <w:szCs w:val="18"/>
              </w:rPr>
            </w:pPr>
          </w:p>
        </w:tc>
        <w:tc>
          <w:tcPr>
            <w:tcW w:w="1504" w:type="dxa"/>
            <w:vAlign w:val="bottom"/>
          </w:tcPr>
          <w:p w14:paraId="45FA8F0E" w14:textId="2AF7D2AD" w:rsidR="008B76AD" w:rsidRPr="00FE279F" w:rsidRDefault="007317ED" w:rsidP="008B76AD">
            <w:pPr>
              <w:ind w:left="-76" w:right="57"/>
              <w:jc w:val="right"/>
              <w:rPr>
                <w:sz w:val="18"/>
                <w:szCs w:val="18"/>
              </w:rPr>
            </w:pPr>
            <w:r w:rsidRPr="00FE279F">
              <w:rPr>
                <w:sz w:val="18"/>
                <w:szCs w:val="18"/>
                <w:lang w:val="id-ID"/>
              </w:rPr>
              <w:t>742.910.378.334</w:t>
            </w:r>
          </w:p>
        </w:tc>
        <w:tc>
          <w:tcPr>
            <w:tcW w:w="2221" w:type="dxa"/>
            <w:shd w:val="clear" w:color="auto" w:fill="auto"/>
            <w:vAlign w:val="bottom"/>
          </w:tcPr>
          <w:p w14:paraId="384EE88C" w14:textId="564F720B" w:rsidR="008B76AD" w:rsidRPr="00EA2E1E" w:rsidRDefault="008B76AD" w:rsidP="008B76AD">
            <w:pPr>
              <w:ind w:right="284"/>
              <w:jc w:val="right"/>
              <w:rPr>
                <w:i/>
                <w:sz w:val="18"/>
                <w:szCs w:val="18"/>
              </w:rPr>
            </w:pPr>
            <w:r w:rsidRPr="00EA2E1E">
              <w:rPr>
                <w:i/>
                <w:sz w:val="18"/>
                <w:szCs w:val="18"/>
              </w:rPr>
              <w:t>Related party</w:t>
            </w:r>
          </w:p>
        </w:tc>
      </w:tr>
      <w:tr w:rsidR="008B76AD" w:rsidRPr="00EA2E1E" w14:paraId="03FF63BE" w14:textId="77777777" w:rsidTr="000A435F">
        <w:tc>
          <w:tcPr>
            <w:tcW w:w="2237" w:type="dxa"/>
            <w:shd w:val="clear" w:color="auto" w:fill="auto"/>
          </w:tcPr>
          <w:p w14:paraId="64B7FD03" w14:textId="77777777" w:rsidR="008B76AD" w:rsidRPr="00EA2E1E" w:rsidRDefault="008B76AD" w:rsidP="008B76AD">
            <w:pPr>
              <w:ind w:left="283" w:hanging="170"/>
              <w:rPr>
                <w:sz w:val="18"/>
                <w:szCs w:val="18"/>
              </w:rPr>
            </w:pPr>
            <w:r w:rsidRPr="00EA2E1E">
              <w:rPr>
                <w:sz w:val="18"/>
                <w:szCs w:val="18"/>
              </w:rPr>
              <w:t xml:space="preserve">Utang pajak </w:t>
            </w:r>
          </w:p>
        </w:tc>
        <w:tc>
          <w:tcPr>
            <w:tcW w:w="1540" w:type="dxa"/>
            <w:shd w:val="clear" w:color="auto" w:fill="auto"/>
            <w:vAlign w:val="bottom"/>
          </w:tcPr>
          <w:p w14:paraId="01724D50" w14:textId="169152BC" w:rsidR="008B76AD" w:rsidRPr="00EA2E1E" w:rsidRDefault="008B76AD" w:rsidP="008B76AD">
            <w:pPr>
              <w:jc w:val="center"/>
              <w:rPr>
                <w:sz w:val="18"/>
                <w:szCs w:val="18"/>
                <w:highlight w:val="red"/>
                <w:lang w:val="id-ID"/>
              </w:rPr>
            </w:pPr>
            <w:r w:rsidRPr="00AF5982">
              <w:rPr>
                <w:sz w:val="18"/>
                <w:szCs w:val="18"/>
              </w:rPr>
              <w:t>3m</w:t>
            </w:r>
            <w:r w:rsidR="00C92587">
              <w:rPr>
                <w:sz w:val="18"/>
                <w:szCs w:val="18"/>
              </w:rPr>
              <w:t>,</w:t>
            </w:r>
            <w:r w:rsidR="00FF1A32" w:rsidRPr="00AF5982">
              <w:rPr>
                <w:sz w:val="18"/>
                <w:szCs w:val="18"/>
              </w:rPr>
              <w:t>17</w:t>
            </w:r>
            <w:r w:rsidR="00EF60ED" w:rsidRPr="00AF5982">
              <w:rPr>
                <w:sz w:val="18"/>
                <w:szCs w:val="18"/>
              </w:rPr>
              <w:t>c</w:t>
            </w:r>
          </w:p>
        </w:tc>
        <w:tc>
          <w:tcPr>
            <w:tcW w:w="93" w:type="dxa"/>
            <w:shd w:val="clear" w:color="auto" w:fill="auto"/>
          </w:tcPr>
          <w:p w14:paraId="190C94C9" w14:textId="77777777" w:rsidR="008B76AD" w:rsidRPr="00EA2E1E" w:rsidRDefault="008B76AD" w:rsidP="008B76AD">
            <w:pPr>
              <w:rPr>
                <w:sz w:val="18"/>
                <w:szCs w:val="18"/>
              </w:rPr>
            </w:pPr>
          </w:p>
        </w:tc>
        <w:tc>
          <w:tcPr>
            <w:tcW w:w="1497" w:type="dxa"/>
            <w:shd w:val="clear" w:color="auto" w:fill="auto"/>
            <w:vAlign w:val="bottom"/>
          </w:tcPr>
          <w:p w14:paraId="12B4A8A2" w14:textId="0F6C24E2" w:rsidR="008B76AD" w:rsidRPr="00B078AC" w:rsidRDefault="006E1A46" w:rsidP="008B76AD">
            <w:pPr>
              <w:ind w:right="57"/>
              <w:jc w:val="right"/>
              <w:rPr>
                <w:sz w:val="18"/>
                <w:szCs w:val="18"/>
              </w:rPr>
            </w:pPr>
            <w:r w:rsidRPr="00B078AC">
              <w:rPr>
                <w:sz w:val="18"/>
                <w:szCs w:val="18"/>
              </w:rPr>
              <w:t>5.639.790.088</w:t>
            </w:r>
          </w:p>
        </w:tc>
        <w:tc>
          <w:tcPr>
            <w:tcW w:w="104" w:type="dxa"/>
            <w:shd w:val="clear" w:color="auto" w:fill="auto"/>
            <w:vAlign w:val="bottom"/>
          </w:tcPr>
          <w:p w14:paraId="37B60404" w14:textId="77777777" w:rsidR="008B76AD" w:rsidRPr="00AF5982" w:rsidRDefault="008B76AD" w:rsidP="008B76AD">
            <w:pPr>
              <w:ind w:left="-76" w:right="28"/>
              <w:jc w:val="right"/>
              <w:rPr>
                <w:sz w:val="18"/>
                <w:szCs w:val="18"/>
              </w:rPr>
            </w:pPr>
          </w:p>
        </w:tc>
        <w:tc>
          <w:tcPr>
            <w:tcW w:w="1504" w:type="dxa"/>
            <w:vAlign w:val="bottom"/>
          </w:tcPr>
          <w:p w14:paraId="5CC4CF47" w14:textId="390BA707" w:rsidR="008B76AD" w:rsidRPr="00FE279F" w:rsidRDefault="007317ED" w:rsidP="008B76AD">
            <w:pPr>
              <w:ind w:left="-76" w:right="57"/>
              <w:jc w:val="right"/>
              <w:rPr>
                <w:sz w:val="18"/>
                <w:szCs w:val="18"/>
              </w:rPr>
            </w:pPr>
            <w:r w:rsidRPr="00F0131A">
              <w:rPr>
                <w:sz w:val="18"/>
                <w:szCs w:val="18"/>
              </w:rPr>
              <w:t>6.070.920.982</w:t>
            </w:r>
          </w:p>
        </w:tc>
        <w:tc>
          <w:tcPr>
            <w:tcW w:w="2221" w:type="dxa"/>
            <w:shd w:val="clear" w:color="auto" w:fill="auto"/>
            <w:vAlign w:val="bottom"/>
          </w:tcPr>
          <w:p w14:paraId="0550B369" w14:textId="77777777" w:rsidR="008B76AD" w:rsidRPr="00EA2E1E" w:rsidRDefault="008B76AD" w:rsidP="008B76AD">
            <w:pPr>
              <w:ind w:right="57"/>
              <w:jc w:val="right"/>
              <w:rPr>
                <w:i/>
                <w:sz w:val="18"/>
                <w:szCs w:val="18"/>
              </w:rPr>
            </w:pPr>
            <w:r w:rsidRPr="00EA2E1E">
              <w:rPr>
                <w:i/>
                <w:sz w:val="18"/>
                <w:szCs w:val="18"/>
              </w:rPr>
              <w:t>Taxes payable</w:t>
            </w:r>
          </w:p>
        </w:tc>
      </w:tr>
      <w:tr w:rsidR="008B76AD" w:rsidRPr="00EA2E1E" w14:paraId="7FEE82E5" w14:textId="77777777" w:rsidTr="000A435F">
        <w:tc>
          <w:tcPr>
            <w:tcW w:w="2237" w:type="dxa"/>
            <w:shd w:val="clear" w:color="auto" w:fill="auto"/>
          </w:tcPr>
          <w:p w14:paraId="23EED4E2" w14:textId="25E6FEB9" w:rsidR="008B76AD" w:rsidRPr="00EA2E1E" w:rsidRDefault="008B76AD" w:rsidP="008B76AD">
            <w:pPr>
              <w:ind w:left="283" w:hanging="170"/>
              <w:rPr>
                <w:sz w:val="18"/>
                <w:szCs w:val="18"/>
              </w:rPr>
            </w:pPr>
            <w:r w:rsidRPr="00EA2E1E">
              <w:rPr>
                <w:sz w:val="18"/>
                <w:szCs w:val="18"/>
              </w:rPr>
              <w:t>Pendapatan sewa diterima di muka</w:t>
            </w:r>
          </w:p>
        </w:tc>
        <w:tc>
          <w:tcPr>
            <w:tcW w:w="1540" w:type="dxa"/>
            <w:shd w:val="clear" w:color="auto" w:fill="auto"/>
            <w:vAlign w:val="bottom"/>
          </w:tcPr>
          <w:p w14:paraId="1C69A4B7" w14:textId="77777777" w:rsidR="008B76AD" w:rsidRPr="00EA2E1E" w:rsidRDefault="008B76AD" w:rsidP="008B76AD">
            <w:pPr>
              <w:jc w:val="center"/>
              <w:rPr>
                <w:sz w:val="18"/>
                <w:szCs w:val="18"/>
                <w:highlight w:val="red"/>
              </w:rPr>
            </w:pPr>
          </w:p>
        </w:tc>
        <w:tc>
          <w:tcPr>
            <w:tcW w:w="93" w:type="dxa"/>
            <w:shd w:val="clear" w:color="auto" w:fill="auto"/>
          </w:tcPr>
          <w:p w14:paraId="1BE0C651" w14:textId="77777777" w:rsidR="008B76AD" w:rsidRPr="00EA2E1E" w:rsidRDefault="008B76AD" w:rsidP="008B76AD">
            <w:pPr>
              <w:rPr>
                <w:sz w:val="18"/>
                <w:szCs w:val="18"/>
              </w:rPr>
            </w:pPr>
          </w:p>
        </w:tc>
        <w:tc>
          <w:tcPr>
            <w:tcW w:w="1497" w:type="dxa"/>
            <w:shd w:val="clear" w:color="auto" w:fill="auto"/>
            <w:vAlign w:val="bottom"/>
          </w:tcPr>
          <w:p w14:paraId="1924CFFE" w14:textId="77777777" w:rsidR="008B76AD" w:rsidRPr="00B078AC" w:rsidRDefault="008B76AD" w:rsidP="008B76AD">
            <w:pPr>
              <w:ind w:right="57"/>
              <w:jc w:val="right"/>
              <w:rPr>
                <w:sz w:val="18"/>
                <w:szCs w:val="18"/>
              </w:rPr>
            </w:pPr>
          </w:p>
        </w:tc>
        <w:tc>
          <w:tcPr>
            <w:tcW w:w="104" w:type="dxa"/>
            <w:shd w:val="clear" w:color="auto" w:fill="auto"/>
            <w:vAlign w:val="bottom"/>
          </w:tcPr>
          <w:p w14:paraId="344C1073" w14:textId="77777777" w:rsidR="008B76AD" w:rsidRPr="00FE279F" w:rsidRDefault="008B76AD" w:rsidP="008B76AD">
            <w:pPr>
              <w:ind w:left="-76" w:right="28"/>
              <w:jc w:val="right"/>
              <w:rPr>
                <w:sz w:val="18"/>
                <w:szCs w:val="18"/>
              </w:rPr>
            </w:pPr>
          </w:p>
        </w:tc>
        <w:tc>
          <w:tcPr>
            <w:tcW w:w="1504" w:type="dxa"/>
            <w:vAlign w:val="bottom"/>
          </w:tcPr>
          <w:p w14:paraId="651FE910" w14:textId="77777777" w:rsidR="008B76AD" w:rsidRPr="00FE279F" w:rsidRDefault="008B76AD" w:rsidP="008B76AD">
            <w:pPr>
              <w:ind w:right="57"/>
              <w:jc w:val="right"/>
              <w:rPr>
                <w:rFonts w:ascii="Arial" w:hAnsi="Arial" w:cs="Arial"/>
                <w:bCs w:val="0"/>
                <w:sz w:val="18"/>
                <w:szCs w:val="18"/>
              </w:rPr>
            </w:pPr>
          </w:p>
        </w:tc>
        <w:tc>
          <w:tcPr>
            <w:tcW w:w="2221" w:type="dxa"/>
            <w:shd w:val="clear" w:color="auto" w:fill="auto"/>
            <w:vAlign w:val="bottom"/>
          </w:tcPr>
          <w:p w14:paraId="143CEA20" w14:textId="3C6400AB" w:rsidR="008B76AD" w:rsidRPr="00EA2E1E" w:rsidRDefault="008B76AD" w:rsidP="008B76AD">
            <w:pPr>
              <w:ind w:right="57"/>
              <w:jc w:val="right"/>
              <w:rPr>
                <w:i/>
                <w:sz w:val="18"/>
                <w:szCs w:val="18"/>
              </w:rPr>
            </w:pPr>
            <w:r w:rsidRPr="00EA2E1E">
              <w:rPr>
                <w:i/>
                <w:sz w:val="18"/>
                <w:szCs w:val="18"/>
              </w:rPr>
              <w:t>Unearned rent</w:t>
            </w:r>
          </w:p>
        </w:tc>
      </w:tr>
      <w:tr w:rsidR="008B76AD" w:rsidRPr="00EA2E1E" w14:paraId="2FE195C7" w14:textId="77777777" w:rsidTr="000A435F">
        <w:tc>
          <w:tcPr>
            <w:tcW w:w="2237" w:type="dxa"/>
            <w:shd w:val="clear" w:color="auto" w:fill="auto"/>
          </w:tcPr>
          <w:p w14:paraId="2F473424" w14:textId="5092FD58" w:rsidR="008B76AD" w:rsidRPr="00EA2E1E" w:rsidRDefault="008B76AD" w:rsidP="008B76AD">
            <w:pPr>
              <w:ind w:left="283" w:firstLine="1"/>
              <w:rPr>
                <w:sz w:val="18"/>
                <w:szCs w:val="18"/>
              </w:rPr>
            </w:pPr>
            <w:r w:rsidRPr="00EA2E1E">
              <w:rPr>
                <w:sz w:val="18"/>
                <w:szCs w:val="18"/>
              </w:rPr>
              <w:t xml:space="preserve">Pihak ketiga </w:t>
            </w:r>
          </w:p>
        </w:tc>
        <w:tc>
          <w:tcPr>
            <w:tcW w:w="1540" w:type="dxa"/>
            <w:shd w:val="clear" w:color="auto" w:fill="auto"/>
            <w:vAlign w:val="bottom"/>
          </w:tcPr>
          <w:p w14:paraId="59A813C8" w14:textId="77777777" w:rsidR="008B76AD" w:rsidRPr="00EA2E1E" w:rsidRDefault="008B76AD" w:rsidP="008B76AD">
            <w:pPr>
              <w:jc w:val="center"/>
              <w:rPr>
                <w:sz w:val="18"/>
                <w:szCs w:val="18"/>
                <w:highlight w:val="red"/>
              </w:rPr>
            </w:pPr>
          </w:p>
        </w:tc>
        <w:tc>
          <w:tcPr>
            <w:tcW w:w="93" w:type="dxa"/>
            <w:shd w:val="clear" w:color="auto" w:fill="auto"/>
          </w:tcPr>
          <w:p w14:paraId="200BBD2B" w14:textId="77777777" w:rsidR="008B76AD" w:rsidRPr="00EA2E1E" w:rsidRDefault="008B76AD" w:rsidP="008B76AD">
            <w:pPr>
              <w:rPr>
                <w:sz w:val="18"/>
                <w:szCs w:val="18"/>
              </w:rPr>
            </w:pPr>
          </w:p>
        </w:tc>
        <w:tc>
          <w:tcPr>
            <w:tcW w:w="1497" w:type="dxa"/>
            <w:shd w:val="clear" w:color="auto" w:fill="auto"/>
            <w:vAlign w:val="bottom"/>
          </w:tcPr>
          <w:p w14:paraId="7D64E878" w14:textId="29CC2BF4" w:rsidR="008B76AD" w:rsidRPr="00B078AC" w:rsidRDefault="00311CBB" w:rsidP="008B76AD">
            <w:pPr>
              <w:ind w:right="57"/>
              <w:jc w:val="right"/>
              <w:rPr>
                <w:sz w:val="18"/>
                <w:szCs w:val="18"/>
              </w:rPr>
            </w:pPr>
            <w:r w:rsidRPr="00B078AC">
              <w:rPr>
                <w:sz w:val="18"/>
                <w:szCs w:val="18"/>
              </w:rPr>
              <w:t>3.330.551.798</w:t>
            </w:r>
          </w:p>
        </w:tc>
        <w:tc>
          <w:tcPr>
            <w:tcW w:w="104" w:type="dxa"/>
            <w:shd w:val="clear" w:color="auto" w:fill="auto"/>
            <w:vAlign w:val="bottom"/>
          </w:tcPr>
          <w:p w14:paraId="2337393C" w14:textId="77777777" w:rsidR="008B76AD" w:rsidRPr="00DF79EC" w:rsidRDefault="008B76AD" w:rsidP="008B76AD">
            <w:pPr>
              <w:ind w:left="-76" w:right="28"/>
              <w:jc w:val="right"/>
              <w:rPr>
                <w:sz w:val="18"/>
                <w:szCs w:val="18"/>
                <w:highlight w:val="yellow"/>
              </w:rPr>
            </w:pPr>
          </w:p>
        </w:tc>
        <w:tc>
          <w:tcPr>
            <w:tcW w:w="1504" w:type="dxa"/>
            <w:vAlign w:val="bottom"/>
          </w:tcPr>
          <w:p w14:paraId="189B6D2B" w14:textId="277CCFF0" w:rsidR="008B76AD" w:rsidRPr="00FE279F" w:rsidRDefault="007317ED" w:rsidP="008B76AD">
            <w:pPr>
              <w:ind w:left="-76" w:right="57"/>
              <w:jc w:val="right"/>
              <w:rPr>
                <w:sz w:val="18"/>
                <w:szCs w:val="18"/>
              </w:rPr>
            </w:pPr>
            <w:r>
              <w:rPr>
                <w:sz w:val="18"/>
                <w:szCs w:val="18"/>
              </w:rPr>
              <w:t>1.697.842.470</w:t>
            </w:r>
          </w:p>
        </w:tc>
        <w:tc>
          <w:tcPr>
            <w:tcW w:w="2221" w:type="dxa"/>
            <w:shd w:val="clear" w:color="auto" w:fill="auto"/>
            <w:vAlign w:val="bottom"/>
          </w:tcPr>
          <w:p w14:paraId="1DB7D135" w14:textId="10B95BB1" w:rsidR="008B76AD" w:rsidRPr="00EA2E1E" w:rsidRDefault="008B76AD" w:rsidP="008B76AD">
            <w:pPr>
              <w:ind w:right="284"/>
              <w:jc w:val="right"/>
              <w:rPr>
                <w:i/>
                <w:sz w:val="18"/>
                <w:szCs w:val="18"/>
              </w:rPr>
            </w:pPr>
            <w:r w:rsidRPr="00EA2E1E">
              <w:rPr>
                <w:i/>
                <w:sz w:val="18"/>
                <w:szCs w:val="18"/>
              </w:rPr>
              <w:t>Third party</w:t>
            </w:r>
          </w:p>
        </w:tc>
      </w:tr>
      <w:tr w:rsidR="008B76AD" w:rsidRPr="00EA2E1E" w14:paraId="0ADB6528" w14:textId="77777777" w:rsidTr="000A435F">
        <w:tc>
          <w:tcPr>
            <w:tcW w:w="2237" w:type="dxa"/>
            <w:shd w:val="clear" w:color="auto" w:fill="auto"/>
          </w:tcPr>
          <w:p w14:paraId="072558EA" w14:textId="320E0BD6" w:rsidR="008B76AD" w:rsidRPr="00EA2E1E" w:rsidRDefault="008B76AD" w:rsidP="008B76AD">
            <w:pPr>
              <w:ind w:left="283" w:firstLine="1"/>
              <w:rPr>
                <w:sz w:val="18"/>
                <w:szCs w:val="18"/>
              </w:rPr>
            </w:pPr>
            <w:r w:rsidRPr="00EA2E1E">
              <w:rPr>
                <w:sz w:val="18"/>
                <w:szCs w:val="18"/>
              </w:rPr>
              <w:t>Pihak berelasi</w:t>
            </w:r>
          </w:p>
        </w:tc>
        <w:tc>
          <w:tcPr>
            <w:tcW w:w="1540" w:type="dxa"/>
            <w:shd w:val="clear" w:color="auto" w:fill="auto"/>
            <w:vAlign w:val="bottom"/>
          </w:tcPr>
          <w:p w14:paraId="3ED0B704" w14:textId="77777777" w:rsidR="008B76AD" w:rsidRPr="00EA2E1E" w:rsidRDefault="008B76AD" w:rsidP="008B76AD">
            <w:pPr>
              <w:jc w:val="center"/>
              <w:rPr>
                <w:sz w:val="18"/>
                <w:szCs w:val="18"/>
                <w:highlight w:val="red"/>
              </w:rPr>
            </w:pPr>
          </w:p>
        </w:tc>
        <w:tc>
          <w:tcPr>
            <w:tcW w:w="93" w:type="dxa"/>
            <w:shd w:val="clear" w:color="auto" w:fill="auto"/>
          </w:tcPr>
          <w:p w14:paraId="6809DC28" w14:textId="77777777" w:rsidR="008B76AD" w:rsidRPr="00EA2E1E" w:rsidRDefault="008B76AD" w:rsidP="008B76AD">
            <w:pPr>
              <w:rPr>
                <w:sz w:val="18"/>
                <w:szCs w:val="18"/>
              </w:rPr>
            </w:pPr>
          </w:p>
        </w:tc>
        <w:tc>
          <w:tcPr>
            <w:tcW w:w="1497" w:type="dxa"/>
            <w:shd w:val="clear" w:color="auto" w:fill="auto"/>
            <w:vAlign w:val="bottom"/>
          </w:tcPr>
          <w:p w14:paraId="5D4FE437" w14:textId="2A57FAD9" w:rsidR="008B76AD" w:rsidRPr="00B078AC" w:rsidRDefault="00311CBB" w:rsidP="008B76AD">
            <w:pPr>
              <w:ind w:right="57"/>
              <w:jc w:val="right"/>
              <w:rPr>
                <w:sz w:val="18"/>
                <w:szCs w:val="18"/>
              </w:rPr>
            </w:pPr>
            <w:r w:rsidRPr="00B078AC">
              <w:rPr>
                <w:sz w:val="18"/>
                <w:szCs w:val="18"/>
              </w:rPr>
              <w:t>-</w:t>
            </w:r>
          </w:p>
        </w:tc>
        <w:tc>
          <w:tcPr>
            <w:tcW w:w="104" w:type="dxa"/>
            <w:shd w:val="clear" w:color="auto" w:fill="auto"/>
            <w:vAlign w:val="bottom"/>
          </w:tcPr>
          <w:p w14:paraId="5CF2EB38" w14:textId="77777777" w:rsidR="008B76AD" w:rsidRPr="00FE279F" w:rsidRDefault="008B76AD" w:rsidP="008B76AD">
            <w:pPr>
              <w:ind w:left="-76" w:right="28"/>
              <w:jc w:val="right"/>
              <w:rPr>
                <w:sz w:val="18"/>
                <w:szCs w:val="18"/>
              </w:rPr>
            </w:pPr>
          </w:p>
        </w:tc>
        <w:tc>
          <w:tcPr>
            <w:tcW w:w="1504" w:type="dxa"/>
            <w:vAlign w:val="bottom"/>
          </w:tcPr>
          <w:p w14:paraId="6E36A9FE" w14:textId="1069EAC3" w:rsidR="008B76AD" w:rsidRPr="00FE279F" w:rsidRDefault="007317ED" w:rsidP="008B76AD">
            <w:pPr>
              <w:ind w:left="-76" w:right="57"/>
              <w:jc w:val="right"/>
              <w:rPr>
                <w:sz w:val="18"/>
                <w:szCs w:val="18"/>
              </w:rPr>
            </w:pPr>
            <w:r>
              <w:rPr>
                <w:sz w:val="18"/>
                <w:szCs w:val="18"/>
              </w:rPr>
              <w:t>1.701.750.000</w:t>
            </w:r>
          </w:p>
        </w:tc>
        <w:tc>
          <w:tcPr>
            <w:tcW w:w="2221" w:type="dxa"/>
            <w:shd w:val="clear" w:color="auto" w:fill="auto"/>
            <w:vAlign w:val="bottom"/>
          </w:tcPr>
          <w:p w14:paraId="42246FA2" w14:textId="0CCEF089" w:rsidR="008B76AD" w:rsidRPr="00EA2E1E" w:rsidRDefault="008B76AD" w:rsidP="008B76AD">
            <w:pPr>
              <w:ind w:right="284"/>
              <w:jc w:val="right"/>
              <w:rPr>
                <w:i/>
                <w:sz w:val="18"/>
                <w:szCs w:val="18"/>
              </w:rPr>
            </w:pPr>
            <w:r w:rsidRPr="00EA2E1E">
              <w:rPr>
                <w:i/>
                <w:sz w:val="18"/>
                <w:szCs w:val="18"/>
              </w:rPr>
              <w:t>Related party</w:t>
            </w:r>
          </w:p>
        </w:tc>
      </w:tr>
      <w:tr w:rsidR="008B76AD" w:rsidRPr="00EA2E1E" w14:paraId="7F3B44B8" w14:textId="77777777" w:rsidTr="000A435F">
        <w:tc>
          <w:tcPr>
            <w:tcW w:w="2237" w:type="dxa"/>
            <w:shd w:val="clear" w:color="auto" w:fill="auto"/>
          </w:tcPr>
          <w:p w14:paraId="49EFEE6D" w14:textId="77777777" w:rsidR="008B76AD" w:rsidRPr="00EA2E1E" w:rsidRDefault="008B76AD" w:rsidP="008B76AD">
            <w:pPr>
              <w:ind w:left="283" w:hanging="170"/>
              <w:rPr>
                <w:sz w:val="18"/>
                <w:szCs w:val="18"/>
              </w:rPr>
            </w:pPr>
            <w:r w:rsidRPr="00EA2E1E">
              <w:rPr>
                <w:sz w:val="18"/>
                <w:szCs w:val="18"/>
              </w:rPr>
              <w:t>Beban yang masih harus dibayar</w:t>
            </w:r>
          </w:p>
        </w:tc>
        <w:tc>
          <w:tcPr>
            <w:tcW w:w="1540" w:type="dxa"/>
            <w:shd w:val="clear" w:color="auto" w:fill="auto"/>
            <w:vAlign w:val="bottom"/>
          </w:tcPr>
          <w:p w14:paraId="149AAF55" w14:textId="05172E68" w:rsidR="008B76AD" w:rsidRPr="00EA2E1E" w:rsidRDefault="008B76AD" w:rsidP="008B76AD">
            <w:pPr>
              <w:jc w:val="center"/>
              <w:rPr>
                <w:sz w:val="18"/>
                <w:szCs w:val="18"/>
                <w:highlight w:val="red"/>
                <w:lang w:val="id-ID"/>
              </w:rPr>
            </w:pPr>
            <w:r w:rsidRPr="00954B3B">
              <w:rPr>
                <w:sz w:val="18"/>
                <w:szCs w:val="18"/>
              </w:rPr>
              <w:t>3r</w:t>
            </w:r>
            <w:r w:rsidR="00C92587">
              <w:rPr>
                <w:sz w:val="18"/>
                <w:szCs w:val="18"/>
              </w:rPr>
              <w:t>,</w:t>
            </w:r>
            <w:r w:rsidR="00375966" w:rsidRPr="00954B3B">
              <w:rPr>
                <w:sz w:val="18"/>
                <w:szCs w:val="18"/>
              </w:rPr>
              <w:t>18</w:t>
            </w:r>
            <w:r w:rsidR="00C92587">
              <w:rPr>
                <w:sz w:val="18"/>
                <w:szCs w:val="18"/>
              </w:rPr>
              <w:t>,</w:t>
            </w:r>
            <w:r w:rsidR="00D316D9">
              <w:rPr>
                <w:sz w:val="18"/>
                <w:szCs w:val="18"/>
              </w:rPr>
              <w:t>39</w:t>
            </w:r>
          </w:p>
        </w:tc>
        <w:tc>
          <w:tcPr>
            <w:tcW w:w="93" w:type="dxa"/>
            <w:shd w:val="clear" w:color="auto" w:fill="auto"/>
          </w:tcPr>
          <w:p w14:paraId="0D44FA4B" w14:textId="77777777" w:rsidR="008B76AD" w:rsidRPr="00EA2E1E" w:rsidRDefault="008B76AD" w:rsidP="008B76AD">
            <w:pPr>
              <w:rPr>
                <w:sz w:val="18"/>
                <w:szCs w:val="18"/>
              </w:rPr>
            </w:pPr>
          </w:p>
        </w:tc>
        <w:tc>
          <w:tcPr>
            <w:tcW w:w="1497" w:type="dxa"/>
            <w:shd w:val="clear" w:color="auto" w:fill="auto"/>
            <w:vAlign w:val="bottom"/>
          </w:tcPr>
          <w:p w14:paraId="2A42BB61" w14:textId="70EA8A67" w:rsidR="008B76AD" w:rsidRPr="00B078AC" w:rsidRDefault="00311CBB" w:rsidP="006E1A46">
            <w:pPr>
              <w:ind w:right="57"/>
              <w:jc w:val="right"/>
              <w:rPr>
                <w:sz w:val="18"/>
                <w:szCs w:val="18"/>
                <w:lang w:val="id-ID"/>
              </w:rPr>
            </w:pPr>
            <w:r w:rsidRPr="00B078AC">
              <w:rPr>
                <w:sz w:val="18"/>
                <w:szCs w:val="18"/>
              </w:rPr>
              <w:t>59.478.812.</w:t>
            </w:r>
            <w:r w:rsidR="009D4E6C" w:rsidRPr="00B078AC">
              <w:rPr>
                <w:sz w:val="18"/>
                <w:szCs w:val="18"/>
              </w:rPr>
              <w:t>6</w:t>
            </w:r>
            <w:r w:rsidR="00324742" w:rsidRPr="00B078AC">
              <w:rPr>
                <w:sz w:val="18"/>
                <w:szCs w:val="18"/>
                <w:lang w:val="id-ID"/>
              </w:rPr>
              <w:t>85</w:t>
            </w:r>
          </w:p>
        </w:tc>
        <w:tc>
          <w:tcPr>
            <w:tcW w:w="104" w:type="dxa"/>
            <w:shd w:val="clear" w:color="auto" w:fill="auto"/>
            <w:vAlign w:val="bottom"/>
          </w:tcPr>
          <w:p w14:paraId="5D1B518D" w14:textId="77777777" w:rsidR="008B76AD" w:rsidRPr="00DF79EC" w:rsidRDefault="008B76AD" w:rsidP="008B76AD">
            <w:pPr>
              <w:ind w:left="-76" w:right="28"/>
              <w:jc w:val="right"/>
              <w:rPr>
                <w:sz w:val="18"/>
                <w:szCs w:val="18"/>
                <w:highlight w:val="yellow"/>
              </w:rPr>
            </w:pPr>
          </w:p>
        </w:tc>
        <w:tc>
          <w:tcPr>
            <w:tcW w:w="1504" w:type="dxa"/>
            <w:vAlign w:val="bottom"/>
          </w:tcPr>
          <w:p w14:paraId="7C147BD7" w14:textId="11E28C70" w:rsidR="008B76AD" w:rsidRPr="00FE279F" w:rsidRDefault="007317ED" w:rsidP="008B76AD">
            <w:pPr>
              <w:ind w:left="-76" w:right="57"/>
              <w:jc w:val="right"/>
              <w:rPr>
                <w:sz w:val="18"/>
                <w:szCs w:val="18"/>
              </w:rPr>
            </w:pPr>
            <w:r w:rsidRPr="003016AC">
              <w:rPr>
                <w:sz w:val="18"/>
                <w:szCs w:val="18"/>
              </w:rPr>
              <w:t>62.016.194.35</w:t>
            </w:r>
            <w:r>
              <w:rPr>
                <w:sz w:val="18"/>
                <w:szCs w:val="18"/>
              </w:rPr>
              <w:t>6</w:t>
            </w:r>
          </w:p>
        </w:tc>
        <w:tc>
          <w:tcPr>
            <w:tcW w:w="2221" w:type="dxa"/>
            <w:shd w:val="clear" w:color="auto" w:fill="auto"/>
            <w:vAlign w:val="bottom"/>
          </w:tcPr>
          <w:p w14:paraId="38DFDD58" w14:textId="77777777" w:rsidR="008B76AD" w:rsidRPr="00EA2E1E" w:rsidRDefault="008B76AD" w:rsidP="008B76AD">
            <w:pPr>
              <w:ind w:right="57"/>
              <w:jc w:val="right"/>
              <w:rPr>
                <w:i/>
                <w:sz w:val="18"/>
                <w:szCs w:val="18"/>
              </w:rPr>
            </w:pPr>
            <w:r w:rsidRPr="00EA2E1E">
              <w:rPr>
                <w:i/>
                <w:sz w:val="18"/>
                <w:szCs w:val="18"/>
              </w:rPr>
              <w:t>Accrued expenses</w:t>
            </w:r>
          </w:p>
        </w:tc>
      </w:tr>
      <w:tr w:rsidR="008B76AD" w:rsidRPr="00EA2E1E" w14:paraId="72CAF1BF" w14:textId="77777777" w:rsidTr="000A435F">
        <w:tc>
          <w:tcPr>
            <w:tcW w:w="2237" w:type="dxa"/>
            <w:shd w:val="clear" w:color="auto" w:fill="auto"/>
          </w:tcPr>
          <w:p w14:paraId="38E5B8DF" w14:textId="52E83FB9" w:rsidR="008B76AD" w:rsidRPr="00EA2E1E" w:rsidRDefault="008B76AD" w:rsidP="008B76AD">
            <w:pPr>
              <w:ind w:left="283" w:hanging="170"/>
              <w:rPr>
                <w:sz w:val="18"/>
                <w:szCs w:val="18"/>
              </w:rPr>
            </w:pPr>
            <w:r w:rsidRPr="00EA2E1E">
              <w:rPr>
                <w:sz w:val="18"/>
                <w:szCs w:val="18"/>
              </w:rPr>
              <w:t xml:space="preserve">Bagian lancar atas utang </w:t>
            </w:r>
          </w:p>
        </w:tc>
        <w:tc>
          <w:tcPr>
            <w:tcW w:w="1540" w:type="dxa"/>
            <w:shd w:val="clear" w:color="auto" w:fill="auto"/>
            <w:vAlign w:val="bottom"/>
          </w:tcPr>
          <w:p w14:paraId="5FF2161C" w14:textId="77777777" w:rsidR="008B76AD" w:rsidRPr="00EA2E1E" w:rsidRDefault="008B76AD" w:rsidP="008B76AD">
            <w:pPr>
              <w:jc w:val="center"/>
              <w:rPr>
                <w:sz w:val="18"/>
                <w:szCs w:val="18"/>
                <w:highlight w:val="red"/>
              </w:rPr>
            </w:pPr>
          </w:p>
        </w:tc>
        <w:tc>
          <w:tcPr>
            <w:tcW w:w="93" w:type="dxa"/>
            <w:shd w:val="clear" w:color="auto" w:fill="auto"/>
          </w:tcPr>
          <w:p w14:paraId="65470B82" w14:textId="77777777" w:rsidR="008B76AD" w:rsidRPr="00EA2E1E" w:rsidRDefault="008B76AD" w:rsidP="008B76AD">
            <w:pPr>
              <w:rPr>
                <w:sz w:val="18"/>
                <w:szCs w:val="18"/>
              </w:rPr>
            </w:pPr>
          </w:p>
        </w:tc>
        <w:tc>
          <w:tcPr>
            <w:tcW w:w="1497" w:type="dxa"/>
            <w:shd w:val="clear" w:color="auto" w:fill="auto"/>
            <w:vAlign w:val="bottom"/>
          </w:tcPr>
          <w:p w14:paraId="7191642C" w14:textId="77777777" w:rsidR="008B76AD" w:rsidRPr="00B078AC" w:rsidRDefault="008B76AD" w:rsidP="008B76AD">
            <w:pPr>
              <w:ind w:right="57"/>
              <w:jc w:val="right"/>
              <w:rPr>
                <w:sz w:val="18"/>
                <w:szCs w:val="18"/>
              </w:rPr>
            </w:pPr>
          </w:p>
        </w:tc>
        <w:tc>
          <w:tcPr>
            <w:tcW w:w="104" w:type="dxa"/>
            <w:shd w:val="clear" w:color="auto" w:fill="auto"/>
            <w:vAlign w:val="bottom"/>
          </w:tcPr>
          <w:p w14:paraId="71BCE60A" w14:textId="77777777" w:rsidR="008B76AD" w:rsidRPr="00FE279F" w:rsidRDefault="008B76AD" w:rsidP="008B76AD">
            <w:pPr>
              <w:ind w:left="-76" w:right="28"/>
              <w:jc w:val="right"/>
              <w:rPr>
                <w:sz w:val="18"/>
                <w:szCs w:val="18"/>
              </w:rPr>
            </w:pPr>
          </w:p>
        </w:tc>
        <w:tc>
          <w:tcPr>
            <w:tcW w:w="1504" w:type="dxa"/>
            <w:vAlign w:val="bottom"/>
          </w:tcPr>
          <w:p w14:paraId="76D209C9" w14:textId="77777777" w:rsidR="008B76AD" w:rsidRPr="00FE279F" w:rsidRDefault="008B76AD" w:rsidP="008B76AD">
            <w:pPr>
              <w:ind w:right="57"/>
              <w:jc w:val="right"/>
              <w:rPr>
                <w:sz w:val="18"/>
                <w:szCs w:val="18"/>
              </w:rPr>
            </w:pPr>
          </w:p>
        </w:tc>
        <w:tc>
          <w:tcPr>
            <w:tcW w:w="2221" w:type="dxa"/>
            <w:shd w:val="clear" w:color="auto" w:fill="auto"/>
            <w:vAlign w:val="bottom"/>
          </w:tcPr>
          <w:p w14:paraId="72CE6378" w14:textId="0483270D" w:rsidR="008B76AD" w:rsidRPr="00EA2E1E" w:rsidRDefault="008B76AD" w:rsidP="008B76AD">
            <w:pPr>
              <w:ind w:right="57"/>
              <w:jc w:val="right"/>
              <w:rPr>
                <w:i/>
                <w:sz w:val="18"/>
                <w:szCs w:val="18"/>
              </w:rPr>
            </w:pPr>
            <w:r w:rsidRPr="00EA2E1E">
              <w:rPr>
                <w:i/>
                <w:sz w:val="18"/>
                <w:szCs w:val="18"/>
              </w:rPr>
              <w:t xml:space="preserve">Current portion of </w:t>
            </w:r>
          </w:p>
        </w:tc>
      </w:tr>
      <w:tr w:rsidR="008B76AD" w:rsidRPr="00EA2E1E" w14:paraId="2132366E" w14:textId="77777777" w:rsidTr="000A435F">
        <w:tc>
          <w:tcPr>
            <w:tcW w:w="2237" w:type="dxa"/>
            <w:shd w:val="clear" w:color="auto" w:fill="auto"/>
          </w:tcPr>
          <w:p w14:paraId="6EA90FAA" w14:textId="1168C8AB" w:rsidR="008B76AD" w:rsidRPr="00EA2E1E" w:rsidRDefault="008B76AD" w:rsidP="008B76AD">
            <w:pPr>
              <w:ind w:left="283" w:firstLine="1"/>
              <w:rPr>
                <w:sz w:val="18"/>
                <w:szCs w:val="18"/>
              </w:rPr>
            </w:pPr>
            <w:r w:rsidRPr="00EA2E1E">
              <w:rPr>
                <w:sz w:val="18"/>
                <w:szCs w:val="18"/>
              </w:rPr>
              <w:t>jangka panjang</w:t>
            </w:r>
          </w:p>
        </w:tc>
        <w:tc>
          <w:tcPr>
            <w:tcW w:w="1540" w:type="dxa"/>
            <w:shd w:val="clear" w:color="auto" w:fill="auto"/>
            <w:vAlign w:val="bottom"/>
          </w:tcPr>
          <w:p w14:paraId="66CAE085" w14:textId="77777777" w:rsidR="008B76AD" w:rsidRPr="00EA2E1E" w:rsidRDefault="008B76AD" w:rsidP="008B76AD">
            <w:pPr>
              <w:jc w:val="center"/>
              <w:rPr>
                <w:sz w:val="18"/>
                <w:szCs w:val="18"/>
                <w:highlight w:val="red"/>
              </w:rPr>
            </w:pPr>
          </w:p>
        </w:tc>
        <w:tc>
          <w:tcPr>
            <w:tcW w:w="93" w:type="dxa"/>
            <w:shd w:val="clear" w:color="auto" w:fill="auto"/>
          </w:tcPr>
          <w:p w14:paraId="10144096" w14:textId="77777777" w:rsidR="008B76AD" w:rsidRPr="00EA2E1E" w:rsidRDefault="008B76AD" w:rsidP="008B76AD">
            <w:pPr>
              <w:rPr>
                <w:sz w:val="18"/>
                <w:szCs w:val="18"/>
              </w:rPr>
            </w:pPr>
          </w:p>
        </w:tc>
        <w:tc>
          <w:tcPr>
            <w:tcW w:w="1497" w:type="dxa"/>
            <w:shd w:val="clear" w:color="auto" w:fill="auto"/>
            <w:vAlign w:val="bottom"/>
          </w:tcPr>
          <w:p w14:paraId="73FE6E0A" w14:textId="77777777" w:rsidR="008B76AD" w:rsidRPr="00B078AC" w:rsidRDefault="008B76AD" w:rsidP="008B76AD">
            <w:pPr>
              <w:ind w:right="57"/>
              <w:jc w:val="right"/>
              <w:rPr>
                <w:sz w:val="18"/>
                <w:szCs w:val="18"/>
              </w:rPr>
            </w:pPr>
          </w:p>
        </w:tc>
        <w:tc>
          <w:tcPr>
            <w:tcW w:w="104" w:type="dxa"/>
            <w:shd w:val="clear" w:color="auto" w:fill="auto"/>
            <w:vAlign w:val="bottom"/>
          </w:tcPr>
          <w:p w14:paraId="02D074A4" w14:textId="77777777" w:rsidR="008B76AD" w:rsidRPr="00FE279F" w:rsidRDefault="008B76AD" w:rsidP="008B76AD">
            <w:pPr>
              <w:ind w:left="-76" w:right="28"/>
              <w:jc w:val="right"/>
              <w:rPr>
                <w:sz w:val="18"/>
                <w:szCs w:val="18"/>
              </w:rPr>
            </w:pPr>
          </w:p>
        </w:tc>
        <w:tc>
          <w:tcPr>
            <w:tcW w:w="1504" w:type="dxa"/>
            <w:vAlign w:val="bottom"/>
          </w:tcPr>
          <w:p w14:paraId="12176690" w14:textId="77777777" w:rsidR="008B76AD" w:rsidRPr="00FE279F" w:rsidRDefault="008B76AD" w:rsidP="008B76AD">
            <w:pPr>
              <w:ind w:right="57"/>
              <w:jc w:val="right"/>
              <w:rPr>
                <w:sz w:val="18"/>
                <w:szCs w:val="18"/>
              </w:rPr>
            </w:pPr>
          </w:p>
        </w:tc>
        <w:tc>
          <w:tcPr>
            <w:tcW w:w="2221" w:type="dxa"/>
            <w:shd w:val="clear" w:color="auto" w:fill="auto"/>
            <w:vAlign w:val="bottom"/>
          </w:tcPr>
          <w:p w14:paraId="26C65186" w14:textId="77777777" w:rsidR="008B76AD" w:rsidRPr="00EA2E1E" w:rsidRDefault="008B76AD" w:rsidP="008B76AD">
            <w:pPr>
              <w:ind w:right="284"/>
              <w:jc w:val="right"/>
              <w:rPr>
                <w:i/>
                <w:sz w:val="18"/>
                <w:szCs w:val="18"/>
              </w:rPr>
            </w:pPr>
            <w:r w:rsidRPr="00EA2E1E">
              <w:rPr>
                <w:i/>
                <w:sz w:val="18"/>
                <w:szCs w:val="18"/>
              </w:rPr>
              <w:t>long-term debts</w:t>
            </w:r>
          </w:p>
        </w:tc>
      </w:tr>
      <w:tr w:rsidR="008B76AD" w:rsidRPr="00EA2E1E" w14:paraId="1C8B3525" w14:textId="77777777" w:rsidTr="000A435F">
        <w:tc>
          <w:tcPr>
            <w:tcW w:w="2237" w:type="dxa"/>
            <w:shd w:val="clear" w:color="auto" w:fill="auto"/>
          </w:tcPr>
          <w:p w14:paraId="1E5EEF02" w14:textId="77777777" w:rsidR="008B76AD" w:rsidRPr="00EA2E1E" w:rsidRDefault="008B76AD" w:rsidP="008B76AD">
            <w:pPr>
              <w:ind w:left="283" w:firstLine="1"/>
              <w:rPr>
                <w:sz w:val="18"/>
                <w:szCs w:val="18"/>
              </w:rPr>
            </w:pPr>
            <w:r w:rsidRPr="00EA2E1E">
              <w:rPr>
                <w:sz w:val="18"/>
                <w:szCs w:val="18"/>
              </w:rPr>
              <w:t>Utang bank</w:t>
            </w:r>
          </w:p>
        </w:tc>
        <w:tc>
          <w:tcPr>
            <w:tcW w:w="1540" w:type="dxa"/>
            <w:shd w:val="clear" w:color="auto" w:fill="auto"/>
            <w:vAlign w:val="bottom"/>
          </w:tcPr>
          <w:p w14:paraId="3B03D96C" w14:textId="49DE466A" w:rsidR="008B76AD" w:rsidRPr="00EA2E1E" w:rsidRDefault="008B76AD" w:rsidP="008B76AD">
            <w:pPr>
              <w:jc w:val="center"/>
              <w:rPr>
                <w:sz w:val="18"/>
                <w:szCs w:val="18"/>
                <w:highlight w:val="red"/>
                <w:lang w:val="id-ID"/>
              </w:rPr>
            </w:pPr>
          </w:p>
        </w:tc>
        <w:tc>
          <w:tcPr>
            <w:tcW w:w="93" w:type="dxa"/>
            <w:shd w:val="clear" w:color="auto" w:fill="auto"/>
          </w:tcPr>
          <w:p w14:paraId="1DB8D8D5" w14:textId="77777777" w:rsidR="008B76AD" w:rsidRPr="00EA2E1E" w:rsidRDefault="008B76AD" w:rsidP="008B76AD">
            <w:pPr>
              <w:rPr>
                <w:sz w:val="18"/>
                <w:szCs w:val="18"/>
              </w:rPr>
            </w:pPr>
          </w:p>
        </w:tc>
        <w:tc>
          <w:tcPr>
            <w:tcW w:w="1497" w:type="dxa"/>
            <w:shd w:val="clear" w:color="auto" w:fill="auto"/>
            <w:vAlign w:val="bottom"/>
          </w:tcPr>
          <w:p w14:paraId="576319A0" w14:textId="09807C0B" w:rsidR="008B76AD" w:rsidRPr="00B078AC" w:rsidRDefault="008B76AD" w:rsidP="008B76AD">
            <w:pPr>
              <w:ind w:right="57"/>
              <w:jc w:val="right"/>
              <w:rPr>
                <w:sz w:val="18"/>
                <w:szCs w:val="18"/>
                <w:lang w:val="id-ID"/>
              </w:rPr>
            </w:pPr>
          </w:p>
        </w:tc>
        <w:tc>
          <w:tcPr>
            <w:tcW w:w="104" w:type="dxa"/>
            <w:shd w:val="clear" w:color="auto" w:fill="auto"/>
            <w:vAlign w:val="bottom"/>
          </w:tcPr>
          <w:p w14:paraId="0FDAFC73" w14:textId="77777777" w:rsidR="008B76AD" w:rsidRPr="00FE279F" w:rsidRDefault="008B76AD" w:rsidP="008B76AD">
            <w:pPr>
              <w:ind w:left="-76" w:right="28"/>
              <w:jc w:val="right"/>
              <w:rPr>
                <w:sz w:val="18"/>
                <w:szCs w:val="18"/>
              </w:rPr>
            </w:pPr>
          </w:p>
        </w:tc>
        <w:tc>
          <w:tcPr>
            <w:tcW w:w="1504" w:type="dxa"/>
            <w:vAlign w:val="bottom"/>
          </w:tcPr>
          <w:p w14:paraId="5F137BC7" w14:textId="0A736F46" w:rsidR="008B76AD" w:rsidRPr="00FE279F" w:rsidRDefault="008B76AD" w:rsidP="008B76AD">
            <w:pPr>
              <w:ind w:right="57"/>
              <w:jc w:val="right"/>
              <w:rPr>
                <w:sz w:val="18"/>
                <w:szCs w:val="18"/>
              </w:rPr>
            </w:pPr>
          </w:p>
        </w:tc>
        <w:tc>
          <w:tcPr>
            <w:tcW w:w="2221" w:type="dxa"/>
            <w:shd w:val="clear" w:color="auto" w:fill="auto"/>
            <w:vAlign w:val="bottom"/>
          </w:tcPr>
          <w:p w14:paraId="09805D62" w14:textId="77777777" w:rsidR="008B76AD" w:rsidRPr="00EA2E1E" w:rsidRDefault="008B76AD" w:rsidP="00CA71BD">
            <w:pPr>
              <w:ind w:right="271"/>
              <w:jc w:val="right"/>
              <w:rPr>
                <w:i/>
                <w:sz w:val="18"/>
                <w:szCs w:val="18"/>
              </w:rPr>
            </w:pPr>
            <w:r w:rsidRPr="00EA2E1E">
              <w:rPr>
                <w:i/>
                <w:sz w:val="18"/>
                <w:szCs w:val="18"/>
              </w:rPr>
              <w:t>Bank loans</w:t>
            </w:r>
          </w:p>
        </w:tc>
      </w:tr>
      <w:tr w:rsidR="008B76AD" w:rsidRPr="00EA2E1E" w14:paraId="3B54FD8A" w14:textId="77777777" w:rsidTr="000A435F">
        <w:tc>
          <w:tcPr>
            <w:tcW w:w="2237" w:type="dxa"/>
            <w:shd w:val="clear" w:color="auto" w:fill="auto"/>
          </w:tcPr>
          <w:p w14:paraId="653569C4" w14:textId="28D7158D" w:rsidR="008B76AD" w:rsidRPr="00EA2E1E" w:rsidRDefault="008B76AD" w:rsidP="008B76AD">
            <w:pPr>
              <w:ind w:left="426"/>
              <w:rPr>
                <w:sz w:val="18"/>
                <w:szCs w:val="18"/>
              </w:rPr>
            </w:pPr>
            <w:r w:rsidRPr="00EA2E1E">
              <w:rPr>
                <w:sz w:val="18"/>
                <w:szCs w:val="18"/>
              </w:rPr>
              <w:t>Pihak berelasi</w:t>
            </w:r>
          </w:p>
        </w:tc>
        <w:tc>
          <w:tcPr>
            <w:tcW w:w="1540" w:type="dxa"/>
            <w:shd w:val="clear" w:color="auto" w:fill="auto"/>
            <w:vAlign w:val="bottom"/>
          </w:tcPr>
          <w:p w14:paraId="4D27738C" w14:textId="0EB19C13" w:rsidR="008B76AD" w:rsidRPr="00EA2E1E" w:rsidRDefault="00D76805" w:rsidP="008B76AD">
            <w:pPr>
              <w:jc w:val="center"/>
              <w:rPr>
                <w:sz w:val="18"/>
                <w:szCs w:val="18"/>
                <w:highlight w:val="red"/>
              </w:rPr>
            </w:pPr>
            <w:r w:rsidRPr="00954B3B">
              <w:rPr>
                <w:sz w:val="18"/>
                <w:szCs w:val="18"/>
              </w:rPr>
              <w:t>3f</w:t>
            </w:r>
            <w:r w:rsidR="00C92587">
              <w:rPr>
                <w:sz w:val="18"/>
                <w:szCs w:val="18"/>
              </w:rPr>
              <w:t>,</w:t>
            </w:r>
            <w:r w:rsidRPr="00954B3B">
              <w:rPr>
                <w:sz w:val="18"/>
                <w:szCs w:val="18"/>
              </w:rPr>
              <w:t>3r</w:t>
            </w:r>
            <w:r w:rsidR="00C92587">
              <w:rPr>
                <w:sz w:val="18"/>
                <w:szCs w:val="18"/>
              </w:rPr>
              <w:t>,</w:t>
            </w:r>
            <w:r w:rsidRPr="00954B3B">
              <w:rPr>
                <w:sz w:val="18"/>
                <w:szCs w:val="18"/>
              </w:rPr>
              <w:t>19</w:t>
            </w:r>
          </w:p>
        </w:tc>
        <w:tc>
          <w:tcPr>
            <w:tcW w:w="93" w:type="dxa"/>
            <w:shd w:val="clear" w:color="auto" w:fill="auto"/>
          </w:tcPr>
          <w:p w14:paraId="7D88988C" w14:textId="77777777" w:rsidR="008B76AD" w:rsidRPr="00EA2E1E" w:rsidRDefault="008B76AD" w:rsidP="008B76AD">
            <w:pPr>
              <w:rPr>
                <w:sz w:val="18"/>
                <w:szCs w:val="18"/>
              </w:rPr>
            </w:pPr>
          </w:p>
        </w:tc>
        <w:tc>
          <w:tcPr>
            <w:tcW w:w="1497" w:type="dxa"/>
            <w:shd w:val="clear" w:color="auto" w:fill="auto"/>
            <w:vAlign w:val="bottom"/>
          </w:tcPr>
          <w:p w14:paraId="7C513921" w14:textId="42C408B5" w:rsidR="008B76AD" w:rsidRPr="00B078AC" w:rsidRDefault="00311CBB" w:rsidP="008B76AD">
            <w:pPr>
              <w:ind w:right="57"/>
              <w:jc w:val="right"/>
              <w:rPr>
                <w:sz w:val="18"/>
                <w:szCs w:val="18"/>
                <w:lang w:val="id-ID"/>
              </w:rPr>
            </w:pPr>
            <w:r w:rsidRPr="00B078AC">
              <w:rPr>
                <w:sz w:val="18"/>
                <w:szCs w:val="18"/>
                <w:lang w:val="id-ID"/>
              </w:rPr>
              <w:t>98.664.153.860</w:t>
            </w:r>
          </w:p>
        </w:tc>
        <w:tc>
          <w:tcPr>
            <w:tcW w:w="104" w:type="dxa"/>
            <w:shd w:val="clear" w:color="auto" w:fill="auto"/>
            <w:vAlign w:val="bottom"/>
          </w:tcPr>
          <w:p w14:paraId="53099402" w14:textId="77777777" w:rsidR="008B76AD" w:rsidRPr="00FE279F" w:rsidRDefault="008B76AD" w:rsidP="008B76AD">
            <w:pPr>
              <w:ind w:left="-76" w:right="28"/>
              <w:jc w:val="right"/>
              <w:rPr>
                <w:sz w:val="18"/>
                <w:szCs w:val="18"/>
              </w:rPr>
            </w:pPr>
          </w:p>
        </w:tc>
        <w:tc>
          <w:tcPr>
            <w:tcW w:w="1504" w:type="dxa"/>
            <w:vAlign w:val="bottom"/>
          </w:tcPr>
          <w:p w14:paraId="317FF5A8" w14:textId="619EE083" w:rsidR="008B76AD" w:rsidRPr="00FE279F" w:rsidRDefault="008B76AD" w:rsidP="008B76AD">
            <w:pPr>
              <w:ind w:left="-76" w:right="57"/>
              <w:jc w:val="right"/>
              <w:rPr>
                <w:sz w:val="18"/>
                <w:szCs w:val="18"/>
              </w:rPr>
            </w:pPr>
            <w:r w:rsidRPr="00FE279F">
              <w:rPr>
                <w:sz w:val="18"/>
                <w:szCs w:val="18"/>
              </w:rPr>
              <w:t>50.000.000.000</w:t>
            </w:r>
          </w:p>
        </w:tc>
        <w:tc>
          <w:tcPr>
            <w:tcW w:w="2221" w:type="dxa"/>
            <w:shd w:val="clear" w:color="auto" w:fill="auto"/>
            <w:vAlign w:val="bottom"/>
          </w:tcPr>
          <w:p w14:paraId="14FFFB36" w14:textId="348D11AC" w:rsidR="008B76AD" w:rsidRPr="00EA2E1E" w:rsidRDefault="008B76AD" w:rsidP="00CA71BD">
            <w:pPr>
              <w:ind w:right="467"/>
              <w:jc w:val="right"/>
              <w:rPr>
                <w:i/>
                <w:sz w:val="18"/>
                <w:szCs w:val="18"/>
              </w:rPr>
            </w:pPr>
            <w:r w:rsidRPr="00EA2E1E">
              <w:rPr>
                <w:i/>
                <w:sz w:val="18"/>
                <w:szCs w:val="18"/>
              </w:rPr>
              <w:t>Related party</w:t>
            </w:r>
          </w:p>
        </w:tc>
      </w:tr>
      <w:tr w:rsidR="008B76AD" w:rsidRPr="00EA2E1E" w14:paraId="7FE5646D" w14:textId="77777777" w:rsidTr="000A435F">
        <w:tc>
          <w:tcPr>
            <w:tcW w:w="2237" w:type="dxa"/>
            <w:shd w:val="clear" w:color="auto" w:fill="auto"/>
          </w:tcPr>
          <w:p w14:paraId="41515D96" w14:textId="77777777" w:rsidR="00CA71BD" w:rsidRDefault="008B76AD" w:rsidP="008B76AD">
            <w:pPr>
              <w:ind w:left="142"/>
              <w:rPr>
                <w:sz w:val="18"/>
                <w:szCs w:val="18"/>
              </w:rPr>
            </w:pPr>
            <w:r w:rsidRPr="00EA2E1E">
              <w:rPr>
                <w:sz w:val="18"/>
                <w:szCs w:val="18"/>
              </w:rPr>
              <w:t xml:space="preserve">Utang lainnya jangka </w:t>
            </w:r>
          </w:p>
          <w:p w14:paraId="23829D4B" w14:textId="18BFEEA7" w:rsidR="008B76AD" w:rsidRPr="00EA2E1E" w:rsidRDefault="007317ED" w:rsidP="00CA71BD">
            <w:pPr>
              <w:ind w:left="288"/>
              <w:rPr>
                <w:sz w:val="18"/>
                <w:szCs w:val="18"/>
              </w:rPr>
            </w:pPr>
            <w:r w:rsidRPr="00EA2E1E">
              <w:rPr>
                <w:sz w:val="18"/>
                <w:szCs w:val="18"/>
              </w:rPr>
              <w:t>P</w:t>
            </w:r>
            <w:r w:rsidR="008B76AD" w:rsidRPr="00EA2E1E">
              <w:rPr>
                <w:sz w:val="18"/>
                <w:szCs w:val="18"/>
              </w:rPr>
              <w:t>endek</w:t>
            </w:r>
          </w:p>
        </w:tc>
        <w:tc>
          <w:tcPr>
            <w:tcW w:w="1540" w:type="dxa"/>
            <w:shd w:val="clear" w:color="auto" w:fill="auto"/>
            <w:vAlign w:val="bottom"/>
          </w:tcPr>
          <w:p w14:paraId="64D8F958" w14:textId="649E50F1" w:rsidR="008B76AD" w:rsidRPr="00EA2E1E" w:rsidRDefault="008B76AD" w:rsidP="008B76AD">
            <w:pPr>
              <w:jc w:val="center"/>
              <w:rPr>
                <w:sz w:val="18"/>
                <w:szCs w:val="18"/>
                <w:highlight w:val="red"/>
                <w:lang w:val="id-ID"/>
              </w:rPr>
            </w:pPr>
            <w:r w:rsidRPr="00954B3B">
              <w:rPr>
                <w:sz w:val="18"/>
                <w:szCs w:val="18"/>
              </w:rPr>
              <w:t>3r</w:t>
            </w:r>
            <w:r w:rsidR="00C92587">
              <w:rPr>
                <w:sz w:val="18"/>
                <w:szCs w:val="18"/>
              </w:rPr>
              <w:t>,</w:t>
            </w:r>
            <w:r w:rsidRPr="00954B3B">
              <w:rPr>
                <w:sz w:val="18"/>
                <w:szCs w:val="18"/>
              </w:rPr>
              <w:t>2</w:t>
            </w:r>
            <w:r w:rsidR="00D316D9">
              <w:rPr>
                <w:sz w:val="18"/>
                <w:szCs w:val="18"/>
              </w:rPr>
              <w:t>0</w:t>
            </w:r>
            <w:r w:rsidR="00C92587">
              <w:rPr>
                <w:sz w:val="18"/>
                <w:szCs w:val="18"/>
              </w:rPr>
              <w:t>,</w:t>
            </w:r>
            <w:r w:rsidR="00D316D9">
              <w:rPr>
                <w:sz w:val="18"/>
                <w:szCs w:val="18"/>
              </w:rPr>
              <w:t>39</w:t>
            </w:r>
          </w:p>
        </w:tc>
        <w:tc>
          <w:tcPr>
            <w:tcW w:w="93" w:type="dxa"/>
            <w:shd w:val="clear" w:color="auto" w:fill="auto"/>
          </w:tcPr>
          <w:p w14:paraId="72E2A086" w14:textId="77777777" w:rsidR="008B76AD" w:rsidRPr="00EA2E1E" w:rsidRDefault="008B76AD" w:rsidP="008B76AD">
            <w:pPr>
              <w:rPr>
                <w:sz w:val="18"/>
                <w:szCs w:val="18"/>
              </w:rPr>
            </w:pPr>
          </w:p>
        </w:tc>
        <w:tc>
          <w:tcPr>
            <w:tcW w:w="1497" w:type="dxa"/>
            <w:tcBorders>
              <w:bottom w:val="single" w:sz="4" w:space="0" w:color="auto"/>
            </w:tcBorders>
            <w:shd w:val="clear" w:color="auto" w:fill="auto"/>
            <w:vAlign w:val="bottom"/>
          </w:tcPr>
          <w:p w14:paraId="7B3522AC" w14:textId="580D029D" w:rsidR="008B76AD" w:rsidRPr="00B078AC" w:rsidRDefault="00311CBB" w:rsidP="008B76AD">
            <w:pPr>
              <w:ind w:right="57"/>
              <w:jc w:val="right"/>
              <w:rPr>
                <w:sz w:val="18"/>
                <w:szCs w:val="18"/>
              </w:rPr>
            </w:pPr>
            <w:r w:rsidRPr="00B078AC">
              <w:rPr>
                <w:sz w:val="18"/>
                <w:szCs w:val="18"/>
              </w:rPr>
              <w:t>1.524.564.029</w:t>
            </w:r>
          </w:p>
        </w:tc>
        <w:tc>
          <w:tcPr>
            <w:tcW w:w="104" w:type="dxa"/>
            <w:shd w:val="clear" w:color="auto" w:fill="auto"/>
            <w:vAlign w:val="bottom"/>
          </w:tcPr>
          <w:p w14:paraId="40801333" w14:textId="77777777" w:rsidR="008B76AD" w:rsidRPr="00FE279F" w:rsidRDefault="008B76AD" w:rsidP="008B76AD">
            <w:pPr>
              <w:ind w:left="-76" w:right="28"/>
              <w:jc w:val="right"/>
              <w:rPr>
                <w:sz w:val="18"/>
                <w:szCs w:val="18"/>
              </w:rPr>
            </w:pPr>
          </w:p>
        </w:tc>
        <w:tc>
          <w:tcPr>
            <w:tcW w:w="1504" w:type="dxa"/>
            <w:tcBorders>
              <w:bottom w:val="single" w:sz="4" w:space="0" w:color="auto"/>
            </w:tcBorders>
            <w:vAlign w:val="bottom"/>
          </w:tcPr>
          <w:p w14:paraId="0C6D68F7" w14:textId="074F9E28" w:rsidR="008B76AD" w:rsidRPr="00FE279F" w:rsidRDefault="008B76AD" w:rsidP="008B76AD">
            <w:pPr>
              <w:ind w:left="-76" w:right="57"/>
              <w:jc w:val="right"/>
              <w:rPr>
                <w:sz w:val="18"/>
                <w:szCs w:val="18"/>
              </w:rPr>
            </w:pPr>
            <w:r w:rsidRPr="00FE279F">
              <w:rPr>
                <w:sz w:val="18"/>
                <w:szCs w:val="18"/>
              </w:rPr>
              <w:t>1.524.564.029</w:t>
            </w:r>
          </w:p>
        </w:tc>
        <w:tc>
          <w:tcPr>
            <w:tcW w:w="2221" w:type="dxa"/>
            <w:shd w:val="clear" w:color="auto" w:fill="auto"/>
            <w:vAlign w:val="bottom"/>
          </w:tcPr>
          <w:p w14:paraId="5C60929C" w14:textId="320F71F2" w:rsidR="008B76AD" w:rsidRPr="00EA2E1E" w:rsidRDefault="008B76AD" w:rsidP="008B76AD">
            <w:pPr>
              <w:ind w:right="57"/>
              <w:jc w:val="right"/>
              <w:rPr>
                <w:i/>
                <w:sz w:val="18"/>
                <w:szCs w:val="18"/>
              </w:rPr>
            </w:pPr>
            <w:r w:rsidRPr="00EA2E1E">
              <w:rPr>
                <w:i/>
                <w:sz w:val="18"/>
                <w:szCs w:val="18"/>
              </w:rPr>
              <w:t xml:space="preserve">Other current payables </w:t>
            </w:r>
          </w:p>
        </w:tc>
      </w:tr>
      <w:tr w:rsidR="008B76AD" w:rsidRPr="00EA2E1E" w14:paraId="082DA88F" w14:textId="77777777" w:rsidTr="000A435F">
        <w:tc>
          <w:tcPr>
            <w:tcW w:w="2237" w:type="dxa"/>
            <w:shd w:val="clear" w:color="auto" w:fill="auto"/>
          </w:tcPr>
          <w:p w14:paraId="1E4AB02C" w14:textId="77777777" w:rsidR="008B76AD" w:rsidRPr="00EA2E1E" w:rsidRDefault="008B76AD" w:rsidP="008B76AD">
            <w:pPr>
              <w:ind w:left="283" w:firstLine="1"/>
              <w:rPr>
                <w:sz w:val="18"/>
                <w:szCs w:val="18"/>
              </w:rPr>
            </w:pPr>
          </w:p>
        </w:tc>
        <w:tc>
          <w:tcPr>
            <w:tcW w:w="1540" w:type="dxa"/>
            <w:shd w:val="clear" w:color="auto" w:fill="auto"/>
            <w:vAlign w:val="bottom"/>
          </w:tcPr>
          <w:p w14:paraId="32554427" w14:textId="77777777" w:rsidR="008B76AD" w:rsidRPr="00EA2E1E" w:rsidRDefault="008B76AD" w:rsidP="008B76AD">
            <w:pPr>
              <w:jc w:val="center"/>
              <w:rPr>
                <w:sz w:val="18"/>
                <w:szCs w:val="18"/>
                <w:highlight w:val="red"/>
              </w:rPr>
            </w:pPr>
          </w:p>
        </w:tc>
        <w:tc>
          <w:tcPr>
            <w:tcW w:w="93" w:type="dxa"/>
            <w:shd w:val="clear" w:color="auto" w:fill="auto"/>
          </w:tcPr>
          <w:p w14:paraId="0C24608A" w14:textId="77777777" w:rsidR="008B76AD" w:rsidRPr="00EA2E1E" w:rsidRDefault="008B76AD" w:rsidP="008B76AD">
            <w:pPr>
              <w:rPr>
                <w:sz w:val="18"/>
                <w:szCs w:val="18"/>
              </w:rPr>
            </w:pPr>
          </w:p>
        </w:tc>
        <w:tc>
          <w:tcPr>
            <w:tcW w:w="1497" w:type="dxa"/>
            <w:tcBorders>
              <w:top w:val="single" w:sz="4" w:space="0" w:color="auto"/>
              <w:bottom w:val="nil"/>
            </w:tcBorders>
            <w:shd w:val="clear" w:color="auto" w:fill="auto"/>
            <w:vAlign w:val="bottom"/>
          </w:tcPr>
          <w:p w14:paraId="6A9855D6" w14:textId="77777777" w:rsidR="008B76AD" w:rsidRPr="00B078AC" w:rsidRDefault="008B76AD" w:rsidP="008B76AD">
            <w:pPr>
              <w:ind w:right="57"/>
              <w:jc w:val="right"/>
              <w:rPr>
                <w:sz w:val="18"/>
                <w:szCs w:val="18"/>
              </w:rPr>
            </w:pPr>
          </w:p>
        </w:tc>
        <w:tc>
          <w:tcPr>
            <w:tcW w:w="104" w:type="dxa"/>
            <w:shd w:val="clear" w:color="auto" w:fill="auto"/>
            <w:vAlign w:val="bottom"/>
          </w:tcPr>
          <w:p w14:paraId="7121EC6C" w14:textId="77777777" w:rsidR="008B76AD" w:rsidRPr="00FE279F" w:rsidRDefault="008B76AD" w:rsidP="008B76AD">
            <w:pPr>
              <w:ind w:left="-76" w:right="28"/>
              <w:jc w:val="right"/>
              <w:rPr>
                <w:sz w:val="18"/>
                <w:szCs w:val="18"/>
              </w:rPr>
            </w:pPr>
          </w:p>
        </w:tc>
        <w:tc>
          <w:tcPr>
            <w:tcW w:w="1504" w:type="dxa"/>
            <w:tcBorders>
              <w:top w:val="single" w:sz="4" w:space="0" w:color="auto"/>
              <w:bottom w:val="nil"/>
            </w:tcBorders>
            <w:vAlign w:val="bottom"/>
          </w:tcPr>
          <w:p w14:paraId="3D77EAD6" w14:textId="77777777" w:rsidR="008B76AD" w:rsidRPr="00FE279F" w:rsidRDefault="008B76AD" w:rsidP="008B76AD">
            <w:pPr>
              <w:ind w:right="57"/>
              <w:jc w:val="right"/>
              <w:rPr>
                <w:sz w:val="18"/>
                <w:szCs w:val="18"/>
              </w:rPr>
            </w:pPr>
          </w:p>
        </w:tc>
        <w:tc>
          <w:tcPr>
            <w:tcW w:w="2221" w:type="dxa"/>
            <w:shd w:val="clear" w:color="auto" w:fill="auto"/>
            <w:vAlign w:val="bottom"/>
          </w:tcPr>
          <w:p w14:paraId="3C78FA78" w14:textId="77777777" w:rsidR="008B76AD" w:rsidRPr="00EA2E1E" w:rsidRDefault="008B76AD" w:rsidP="008B76AD">
            <w:pPr>
              <w:ind w:right="196"/>
              <w:jc w:val="right"/>
              <w:rPr>
                <w:i/>
                <w:sz w:val="18"/>
                <w:szCs w:val="18"/>
              </w:rPr>
            </w:pPr>
          </w:p>
        </w:tc>
      </w:tr>
      <w:tr w:rsidR="008B76AD" w:rsidRPr="00EA2E1E" w14:paraId="20935E74" w14:textId="77777777" w:rsidTr="000A435F">
        <w:tc>
          <w:tcPr>
            <w:tcW w:w="2237" w:type="dxa"/>
            <w:shd w:val="clear" w:color="auto" w:fill="auto"/>
          </w:tcPr>
          <w:p w14:paraId="3F06CDF0" w14:textId="77777777" w:rsidR="00706B78" w:rsidRDefault="008B76AD" w:rsidP="008B76AD">
            <w:pPr>
              <w:ind w:left="113" w:right="-77"/>
              <w:rPr>
                <w:sz w:val="18"/>
                <w:szCs w:val="18"/>
              </w:rPr>
            </w:pPr>
            <w:r w:rsidRPr="00EA2E1E">
              <w:rPr>
                <w:sz w:val="18"/>
                <w:szCs w:val="18"/>
              </w:rPr>
              <w:t>Jumlah Liabilitas Jangka</w:t>
            </w:r>
          </w:p>
          <w:p w14:paraId="5AA83D0E" w14:textId="322D27CA" w:rsidR="008B76AD" w:rsidRPr="00EA2E1E" w:rsidRDefault="00CA71BD" w:rsidP="00706B78">
            <w:pPr>
              <w:ind w:left="265" w:right="-77"/>
              <w:rPr>
                <w:sz w:val="18"/>
                <w:szCs w:val="18"/>
              </w:rPr>
            </w:pPr>
            <w:r>
              <w:rPr>
                <w:sz w:val="18"/>
                <w:szCs w:val="18"/>
              </w:rPr>
              <w:t>p</w:t>
            </w:r>
            <w:r w:rsidR="008B76AD" w:rsidRPr="00EA2E1E">
              <w:rPr>
                <w:sz w:val="18"/>
                <w:szCs w:val="18"/>
              </w:rPr>
              <w:t>endek</w:t>
            </w:r>
          </w:p>
        </w:tc>
        <w:tc>
          <w:tcPr>
            <w:tcW w:w="1540" w:type="dxa"/>
            <w:shd w:val="clear" w:color="auto" w:fill="auto"/>
            <w:vAlign w:val="bottom"/>
          </w:tcPr>
          <w:p w14:paraId="033B2A64" w14:textId="77777777" w:rsidR="008B76AD" w:rsidRPr="00EA2E1E" w:rsidRDefault="008B76AD" w:rsidP="008B76AD">
            <w:pPr>
              <w:jc w:val="center"/>
              <w:rPr>
                <w:sz w:val="18"/>
                <w:szCs w:val="18"/>
                <w:highlight w:val="red"/>
              </w:rPr>
            </w:pPr>
          </w:p>
        </w:tc>
        <w:tc>
          <w:tcPr>
            <w:tcW w:w="93" w:type="dxa"/>
            <w:shd w:val="clear" w:color="auto" w:fill="auto"/>
          </w:tcPr>
          <w:p w14:paraId="0FD5EBD0" w14:textId="77777777" w:rsidR="008B76AD" w:rsidRPr="00EA2E1E" w:rsidRDefault="008B76AD" w:rsidP="008B76AD">
            <w:pPr>
              <w:rPr>
                <w:sz w:val="18"/>
                <w:szCs w:val="18"/>
              </w:rPr>
            </w:pPr>
          </w:p>
        </w:tc>
        <w:tc>
          <w:tcPr>
            <w:tcW w:w="1497" w:type="dxa"/>
            <w:tcBorders>
              <w:bottom w:val="single" w:sz="4" w:space="0" w:color="auto"/>
            </w:tcBorders>
            <w:shd w:val="clear" w:color="auto" w:fill="auto"/>
            <w:vAlign w:val="bottom"/>
          </w:tcPr>
          <w:p w14:paraId="1CC447DC" w14:textId="01931780" w:rsidR="008B76AD" w:rsidRPr="00B078AC" w:rsidRDefault="00DF79EC" w:rsidP="00D14FB0">
            <w:pPr>
              <w:ind w:right="57"/>
              <w:jc w:val="right"/>
              <w:rPr>
                <w:sz w:val="18"/>
                <w:szCs w:val="18"/>
                <w:lang w:val="id-ID"/>
              </w:rPr>
            </w:pPr>
            <w:r w:rsidRPr="00B078AC">
              <w:rPr>
                <w:sz w:val="18"/>
                <w:szCs w:val="18"/>
              </w:rPr>
              <w:t>1.</w:t>
            </w:r>
            <w:r w:rsidR="00324742" w:rsidRPr="00B078AC">
              <w:rPr>
                <w:sz w:val="18"/>
                <w:szCs w:val="18"/>
                <w:lang w:val="id-ID"/>
              </w:rPr>
              <w:t>303</w:t>
            </w:r>
            <w:r w:rsidR="00311CBB" w:rsidRPr="00B078AC">
              <w:rPr>
                <w:sz w:val="18"/>
                <w:szCs w:val="18"/>
              </w:rPr>
              <w:t>.</w:t>
            </w:r>
            <w:r w:rsidRPr="00B078AC">
              <w:rPr>
                <w:sz w:val="18"/>
                <w:szCs w:val="18"/>
                <w:lang w:val="id-ID"/>
              </w:rPr>
              <w:t>0</w:t>
            </w:r>
            <w:r w:rsidR="00324742" w:rsidRPr="00B078AC">
              <w:rPr>
                <w:sz w:val="18"/>
                <w:szCs w:val="18"/>
                <w:lang w:val="id-ID"/>
              </w:rPr>
              <w:t>23</w:t>
            </w:r>
            <w:r w:rsidRPr="00B078AC">
              <w:rPr>
                <w:sz w:val="18"/>
                <w:szCs w:val="18"/>
              </w:rPr>
              <w:t>.</w:t>
            </w:r>
            <w:r w:rsidRPr="00B078AC">
              <w:rPr>
                <w:sz w:val="18"/>
                <w:szCs w:val="18"/>
                <w:lang w:val="id-ID"/>
              </w:rPr>
              <w:t>7</w:t>
            </w:r>
            <w:r w:rsidR="00324742" w:rsidRPr="00B078AC">
              <w:rPr>
                <w:sz w:val="18"/>
                <w:szCs w:val="18"/>
                <w:lang w:val="id-ID"/>
              </w:rPr>
              <w:t>63</w:t>
            </w:r>
            <w:r w:rsidR="006E1A46" w:rsidRPr="00B078AC">
              <w:rPr>
                <w:sz w:val="18"/>
                <w:szCs w:val="18"/>
              </w:rPr>
              <w:t>.</w:t>
            </w:r>
            <w:r w:rsidR="00324742" w:rsidRPr="00B078AC">
              <w:rPr>
                <w:sz w:val="18"/>
                <w:szCs w:val="18"/>
                <w:lang w:val="id-ID"/>
              </w:rPr>
              <w:t>259</w:t>
            </w:r>
          </w:p>
        </w:tc>
        <w:tc>
          <w:tcPr>
            <w:tcW w:w="104" w:type="dxa"/>
            <w:shd w:val="clear" w:color="auto" w:fill="auto"/>
            <w:vAlign w:val="bottom"/>
          </w:tcPr>
          <w:p w14:paraId="31057D5E" w14:textId="77777777" w:rsidR="008B76AD" w:rsidRPr="00FE279F" w:rsidRDefault="008B76AD" w:rsidP="008B76AD">
            <w:pPr>
              <w:ind w:left="-76" w:right="28"/>
              <w:jc w:val="right"/>
              <w:rPr>
                <w:sz w:val="18"/>
                <w:szCs w:val="18"/>
              </w:rPr>
            </w:pPr>
          </w:p>
        </w:tc>
        <w:tc>
          <w:tcPr>
            <w:tcW w:w="1504" w:type="dxa"/>
            <w:tcBorders>
              <w:bottom w:val="single" w:sz="4" w:space="0" w:color="auto"/>
            </w:tcBorders>
            <w:vAlign w:val="bottom"/>
          </w:tcPr>
          <w:p w14:paraId="3AA74CB3" w14:textId="5766502A" w:rsidR="008B76AD" w:rsidRPr="00FE279F" w:rsidRDefault="007317ED" w:rsidP="008B76AD">
            <w:pPr>
              <w:ind w:right="57"/>
              <w:jc w:val="right"/>
              <w:rPr>
                <w:sz w:val="18"/>
                <w:szCs w:val="18"/>
              </w:rPr>
            </w:pPr>
            <w:r>
              <w:rPr>
                <w:sz w:val="18"/>
                <w:szCs w:val="18"/>
              </w:rPr>
              <w:t>1.087.405.548.725</w:t>
            </w:r>
          </w:p>
        </w:tc>
        <w:tc>
          <w:tcPr>
            <w:tcW w:w="2221" w:type="dxa"/>
            <w:shd w:val="clear" w:color="auto" w:fill="auto"/>
            <w:vAlign w:val="bottom"/>
          </w:tcPr>
          <w:p w14:paraId="3F3648CB" w14:textId="77777777" w:rsidR="008B76AD" w:rsidRPr="00EA2E1E" w:rsidRDefault="008B76AD" w:rsidP="008B76AD">
            <w:pPr>
              <w:ind w:right="57"/>
              <w:jc w:val="right"/>
              <w:rPr>
                <w:i/>
                <w:sz w:val="18"/>
                <w:szCs w:val="18"/>
              </w:rPr>
            </w:pPr>
            <w:r w:rsidRPr="00EA2E1E">
              <w:rPr>
                <w:i/>
                <w:sz w:val="18"/>
                <w:szCs w:val="18"/>
              </w:rPr>
              <w:t>Total Current Liabilities</w:t>
            </w:r>
          </w:p>
        </w:tc>
      </w:tr>
      <w:tr w:rsidR="008B76AD" w:rsidRPr="00EA2E1E" w14:paraId="66539B56" w14:textId="77777777" w:rsidTr="000A435F">
        <w:tc>
          <w:tcPr>
            <w:tcW w:w="2237" w:type="dxa"/>
            <w:shd w:val="clear" w:color="auto" w:fill="auto"/>
          </w:tcPr>
          <w:p w14:paraId="509B3F4A" w14:textId="77777777" w:rsidR="008B76AD" w:rsidRPr="00EA2E1E" w:rsidRDefault="008B76AD" w:rsidP="008B76AD">
            <w:pPr>
              <w:ind w:left="283" w:hanging="170"/>
              <w:rPr>
                <w:sz w:val="18"/>
                <w:szCs w:val="18"/>
              </w:rPr>
            </w:pPr>
          </w:p>
        </w:tc>
        <w:tc>
          <w:tcPr>
            <w:tcW w:w="1540" w:type="dxa"/>
            <w:shd w:val="clear" w:color="auto" w:fill="auto"/>
            <w:vAlign w:val="bottom"/>
          </w:tcPr>
          <w:p w14:paraId="6ED7C7BB" w14:textId="77777777" w:rsidR="008B76AD" w:rsidRPr="00EA2E1E" w:rsidRDefault="008B76AD" w:rsidP="008B76AD">
            <w:pPr>
              <w:jc w:val="center"/>
              <w:rPr>
                <w:sz w:val="18"/>
                <w:szCs w:val="18"/>
                <w:highlight w:val="red"/>
              </w:rPr>
            </w:pPr>
          </w:p>
        </w:tc>
        <w:tc>
          <w:tcPr>
            <w:tcW w:w="93" w:type="dxa"/>
            <w:shd w:val="clear" w:color="auto" w:fill="auto"/>
          </w:tcPr>
          <w:p w14:paraId="67164692" w14:textId="77777777" w:rsidR="008B76AD" w:rsidRPr="00EA2E1E" w:rsidRDefault="008B76AD" w:rsidP="008B76AD">
            <w:pPr>
              <w:rPr>
                <w:sz w:val="18"/>
                <w:szCs w:val="18"/>
              </w:rPr>
            </w:pPr>
          </w:p>
        </w:tc>
        <w:tc>
          <w:tcPr>
            <w:tcW w:w="1497" w:type="dxa"/>
            <w:tcBorders>
              <w:top w:val="single" w:sz="4" w:space="0" w:color="auto"/>
            </w:tcBorders>
            <w:shd w:val="clear" w:color="auto" w:fill="auto"/>
            <w:vAlign w:val="bottom"/>
          </w:tcPr>
          <w:p w14:paraId="5C9E2FC5" w14:textId="77777777" w:rsidR="008B76AD" w:rsidRPr="00FE279F" w:rsidRDefault="008B76AD" w:rsidP="008B76AD">
            <w:pPr>
              <w:ind w:right="57"/>
              <w:jc w:val="right"/>
              <w:rPr>
                <w:sz w:val="18"/>
                <w:szCs w:val="18"/>
              </w:rPr>
            </w:pPr>
          </w:p>
        </w:tc>
        <w:tc>
          <w:tcPr>
            <w:tcW w:w="104" w:type="dxa"/>
            <w:shd w:val="clear" w:color="auto" w:fill="auto"/>
            <w:vAlign w:val="bottom"/>
          </w:tcPr>
          <w:p w14:paraId="3B9B8583" w14:textId="77777777" w:rsidR="008B76AD" w:rsidRPr="00FE279F" w:rsidRDefault="008B76AD" w:rsidP="008B76AD">
            <w:pPr>
              <w:ind w:left="-76" w:right="28"/>
              <w:jc w:val="right"/>
              <w:rPr>
                <w:sz w:val="18"/>
                <w:szCs w:val="18"/>
              </w:rPr>
            </w:pPr>
          </w:p>
        </w:tc>
        <w:tc>
          <w:tcPr>
            <w:tcW w:w="1504" w:type="dxa"/>
            <w:tcBorders>
              <w:top w:val="single" w:sz="4" w:space="0" w:color="auto"/>
            </w:tcBorders>
            <w:vAlign w:val="bottom"/>
          </w:tcPr>
          <w:p w14:paraId="585DD079" w14:textId="77777777" w:rsidR="008B76AD" w:rsidRPr="00FE279F" w:rsidRDefault="008B76AD" w:rsidP="008B76AD">
            <w:pPr>
              <w:ind w:right="57"/>
              <w:jc w:val="right"/>
              <w:rPr>
                <w:sz w:val="18"/>
                <w:szCs w:val="18"/>
              </w:rPr>
            </w:pPr>
          </w:p>
        </w:tc>
        <w:tc>
          <w:tcPr>
            <w:tcW w:w="2221" w:type="dxa"/>
            <w:shd w:val="clear" w:color="auto" w:fill="auto"/>
            <w:vAlign w:val="bottom"/>
          </w:tcPr>
          <w:p w14:paraId="2213A2A7" w14:textId="77777777" w:rsidR="008B76AD" w:rsidRPr="00EA2E1E" w:rsidRDefault="008B76AD" w:rsidP="008B76AD">
            <w:pPr>
              <w:ind w:right="57"/>
              <w:jc w:val="right"/>
              <w:rPr>
                <w:i/>
                <w:sz w:val="18"/>
                <w:szCs w:val="18"/>
              </w:rPr>
            </w:pPr>
          </w:p>
        </w:tc>
      </w:tr>
      <w:tr w:rsidR="008B76AD" w:rsidRPr="00EA2E1E" w14:paraId="6C4D5448" w14:textId="77777777" w:rsidTr="000A435F">
        <w:tc>
          <w:tcPr>
            <w:tcW w:w="2237" w:type="dxa"/>
            <w:shd w:val="clear" w:color="auto" w:fill="auto"/>
          </w:tcPr>
          <w:p w14:paraId="307B14B3" w14:textId="77777777" w:rsidR="008B76AD" w:rsidRPr="00EA2E1E" w:rsidRDefault="008B76AD" w:rsidP="008B76AD">
            <w:pPr>
              <w:ind w:left="283" w:hanging="170"/>
              <w:rPr>
                <w:b/>
                <w:sz w:val="18"/>
                <w:szCs w:val="18"/>
              </w:rPr>
            </w:pPr>
            <w:r w:rsidRPr="00EA2E1E">
              <w:rPr>
                <w:b/>
                <w:sz w:val="18"/>
                <w:szCs w:val="18"/>
              </w:rPr>
              <w:t>LIABILITAS JANGKA PANJANG</w:t>
            </w:r>
          </w:p>
        </w:tc>
        <w:tc>
          <w:tcPr>
            <w:tcW w:w="1540" w:type="dxa"/>
            <w:shd w:val="clear" w:color="auto" w:fill="auto"/>
            <w:vAlign w:val="bottom"/>
          </w:tcPr>
          <w:p w14:paraId="7CD5E46D" w14:textId="77777777" w:rsidR="008B76AD" w:rsidRPr="00EA2E1E" w:rsidRDefault="008B76AD" w:rsidP="008B76AD">
            <w:pPr>
              <w:jc w:val="center"/>
              <w:rPr>
                <w:b/>
                <w:sz w:val="18"/>
                <w:szCs w:val="18"/>
                <w:highlight w:val="red"/>
              </w:rPr>
            </w:pPr>
          </w:p>
        </w:tc>
        <w:tc>
          <w:tcPr>
            <w:tcW w:w="93" w:type="dxa"/>
            <w:shd w:val="clear" w:color="auto" w:fill="auto"/>
          </w:tcPr>
          <w:p w14:paraId="34A91BCA" w14:textId="77777777" w:rsidR="008B76AD" w:rsidRPr="00EA2E1E" w:rsidRDefault="008B76AD" w:rsidP="008B76AD">
            <w:pPr>
              <w:rPr>
                <w:b/>
                <w:sz w:val="18"/>
                <w:szCs w:val="18"/>
              </w:rPr>
            </w:pPr>
          </w:p>
        </w:tc>
        <w:tc>
          <w:tcPr>
            <w:tcW w:w="1497" w:type="dxa"/>
            <w:shd w:val="clear" w:color="auto" w:fill="auto"/>
            <w:vAlign w:val="bottom"/>
          </w:tcPr>
          <w:p w14:paraId="569BE754" w14:textId="77777777" w:rsidR="008B76AD" w:rsidRPr="00FE279F" w:rsidRDefault="008B76AD" w:rsidP="008B76AD">
            <w:pPr>
              <w:ind w:right="57"/>
              <w:jc w:val="right"/>
              <w:rPr>
                <w:sz w:val="18"/>
                <w:szCs w:val="18"/>
              </w:rPr>
            </w:pPr>
          </w:p>
        </w:tc>
        <w:tc>
          <w:tcPr>
            <w:tcW w:w="104" w:type="dxa"/>
            <w:shd w:val="clear" w:color="auto" w:fill="auto"/>
            <w:vAlign w:val="bottom"/>
          </w:tcPr>
          <w:p w14:paraId="36065E47" w14:textId="77777777" w:rsidR="008B76AD" w:rsidRPr="00FE279F" w:rsidRDefault="008B76AD" w:rsidP="008B76AD">
            <w:pPr>
              <w:ind w:left="-76" w:right="28"/>
              <w:jc w:val="right"/>
              <w:rPr>
                <w:sz w:val="18"/>
                <w:szCs w:val="18"/>
              </w:rPr>
            </w:pPr>
          </w:p>
        </w:tc>
        <w:tc>
          <w:tcPr>
            <w:tcW w:w="1504" w:type="dxa"/>
            <w:vAlign w:val="bottom"/>
          </w:tcPr>
          <w:p w14:paraId="2D5B9EB0" w14:textId="77777777" w:rsidR="008B76AD" w:rsidRPr="00FE279F" w:rsidRDefault="008B76AD" w:rsidP="008B76AD">
            <w:pPr>
              <w:ind w:right="57"/>
              <w:jc w:val="right"/>
              <w:rPr>
                <w:sz w:val="18"/>
                <w:szCs w:val="18"/>
              </w:rPr>
            </w:pPr>
          </w:p>
        </w:tc>
        <w:tc>
          <w:tcPr>
            <w:tcW w:w="2221" w:type="dxa"/>
            <w:shd w:val="clear" w:color="auto" w:fill="auto"/>
            <w:vAlign w:val="bottom"/>
          </w:tcPr>
          <w:p w14:paraId="18632BF9" w14:textId="77777777" w:rsidR="00706B78" w:rsidRDefault="008B76AD" w:rsidP="008B76AD">
            <w:pPr>
              <w:ind w:right="57"/>
              <w:jc w:val="right"/>
              <w:rPr>
                <w:b/>
                <w:i/>
                <w:sz w:val="18"/>
                <w:szCs w:val="18"/>
              </w:rPr>
            </w:pPr>
            <w:r w:rsidRPr="00EA2E1E">
              <w:rPr>
                <w:b/>
                <w:i/>
                <w:sz w:val="18"/>
                <w:szCs w:val="18"/>
              </w:rPr>
              <w:t>NON-CURRENT</w:t>
            </w:r>
          </w:p>
          <w:p w14:paraId="2EE3980F" w14:textId="155C7E3A" w:rsidR="008B76AD" w:rsidRPr="00EA2E1E" w:rsidRDefault="008B76AD" w:rsidP="008B76AD">
            <w:pPr>
              <w:ind w:right="272"/>
              <w:jc w:val="right"/>
              <w:rPr>
                <w:b/>
                <w:i/>
                <w:sz w:val="18"/>
                <w:szCs w:val="18"/>
              </w:rPr>
            </w:pPr>
            <w:r w:rsidRPr="00EA2E1E">
              <w:rPr>
                <w:b/>
                <w:i/>
                <w:sz w:val="18"/>
                <w:szCs w:val="18"/>
              </w:rPr>
              <w:t>LIABILITIES</w:t>
            </w:r>
          </w:p>
        </w:tc>
      </w:tr>
      <w:tr w:rsidR="008B76AD" w:rsidRPr="00EA2E1E" w14:paraId="135D02D4" w14:textId="77777777" w:rsidTr="000A435F">
        <w:tc>
          <w:tcPr>
            <w:tcW w:w="2237" w:type="dxa"/>
            <w:shd w:val="clear" w:color="auto" w:fill="auto"/>
          </w:tcPr>
          <w:p w14:paraId="6DA75061" w14:textId="410C3613" w:rsidR="008B76AD" w:rsidRPr="00F10AA0" w:rsidRDefault="008B76AD" w:rsidP="008B76AD">
            <w:pPr>
              <w:ind w:left="283" w:hanging="170"/>
              <w:rPr>
                <w:sz w:val="18"/>
                <w:szCs w:val="18"/>
              </w:rPr>
            </w:pPr>
            <w:r w:rsidRPr="00F10AA0">
              <w:rPr>
                <w:sz w:val="18"/>
                <w:szCs w:val="18"/>
              </w:rPr>
              <w:t>Utang jangka panjang - setelah dikurangi bagian jangka pendek</w:t>
            </w:r>
          </w:p>
        </w:tc>
        <w:tc>
          <w:tcPr>
            <w:tcW w:w="1540" w:type="dxa"/>
            <w:shd w:val="clear" w:color="auto" w:fill="auto"/>
            <w:vAlign w:val="bottom"/>
          </w:tcPr>
          <w:p w14:paraId="46C38DC0" w14:textId="77777777" w:rsidR="008B76AD" w:rsidRPr="00EA2E1E" w:rsidRDefault="008B76AD" w:rsidP="008B76AD">
            <w:pPr>
              <w:jc w:val="center"/>
              <w:rPr>
                <w:sz w:val="18"/>
                <w:szCs w:val="18"/>
                <w:highlight w:val="red"/>
              </w:rPr>
            </w:pPr>
          </w:p>
        </w:tc>
        <w:tc>
          <w:tcPr>
            <w:tcW w:w="93" w:type="dxa"/>
            <w:shd w:val="clear" w:color="auto" w:fill="auto"/>
          </w:tcPr>
          <w:p w14:paraId="5721E9F9" w14:textId="77777777" w:rsidR="008B76AD" w:rsidRPr="00EA2E1E" w:rsidRDefault="008B76AD" w:rsidP="008B76AD">
            <w:pPr>
              <w:rPr>
                <w:sz w:val="18"/>
                <w:szCs w:val="18"/>
              </w:rPr>
            </w:pPr>
          </w:p>
        </w:tc>
        <w:tc>
          <w:tcPr>
            <w:tcW w:w="1497" w:type="dxa"/>
            <w:shd w:val="clear" w:color="auto" w:fill="auto"/>
            <w:vAlign w:val="bottom"/>
          </w:tcPr>
          <w:p w14:paraId="4B19CC86" w14:textId="77777777" w:rsidR="008B76AD" w:rsidRPr="00FE279F" w:rsidRDefault="008B76AD" w:rsidP="008B76AD">
            <w:pPr>
              <w:ind w:right="57"/>
              <w:jc w:val="right"/>
              <w:rPr>
                <w:sz w:val="18"/>
                <w:szCs w:val="18"/>
              </w:rPr>
            </w:pPr>
          </w:p>
        </w:tc>
        <w:tc>
          <w:tcPr>
            <w:tcW w:w="104" w:type="dxa"/>
            <w:shd w:val="clear" w:color="auto" w:fill="auto"/>
            <w:vAlign w:val="bottom"/>
          </w:tcPr>
          <w:p w14:paraId="37C80D11" w14:textId="77777777" w:rsidR="008B76AD" w:rsidRPr="00FE279F" w:rsidRDefault="008B76AD" w:rsidP="008B76AD">
            <w:pPr>
              <w:ind w:left="-76" w:right="28"/>
              <w:jc w:val="right"/>
              <w:rPr>
                <w:sz w:val="18"/>
                <w:szCs w:val="18"/>
              </w:rPr>
            </w:pPr>
          </w:p>
        </w:tc>
        <w:tc>
          <w:tcPr>
            <w:tcW w:w="1504" w:type="dxa"/>
            <w:vAlign w:val="bottom"/>
          </w:tcPr>
          <w:p w14:paraId="10AA1D98" w14:textId="77777777" w:rsidR="008B76AD" w:rsidRPr="00FE279F" w:rsidRDefault="008B76AD" w:rsidP="008B76AD">
            <w:pPr>
              <w:ind w:right="57"/>
              <w:jc w:val="right"/>
              <w:rPr>
                <w:sz w:val="18"/>
                <w:szCs w:val="18"/>
              </w:rPr>
            </w:pPr>
          </w:p>
        </w:tc>
        <w:tc>
          <w:tcPr>
            <w:tcW w:w="2221" w:type="dxa"/>
            <w:shd w:val="clear" w:color="auto" w:fill="auto"/>
            <w:vAlign w:val="bottom"/>
          </w:tcPr>
          <w:p w14:paraId="693E1094" w14:textId="31189FB3" w:rsidR="008B76AD" w:rsidRPr="00EA2E1E" w:rsidRDefault="008B76AD" w:rsidP="008B76AD">
            <w:pPr>
              <w:ind w:right="57"/>
              <w:jc w:val="right"/>
              <w:rPr>
                <w:i/>
                <w:sz w:val="18"/>
                <w:szCs w:val="18"/>
              </w:rPr>
            </w:pPr>
            <w:r w:rsidRPr="00EA2E1E">
              <w:rPr>
                <w:i/>
                <w:sz w:val="18"/>
                <w:szCs w:val="18"/>
              </w:rPr>
              <w:t xml:space="preserve">Long-term debts - net of </w:t>
            </w:r>
          </w:p>
          <w:p w14:paraId="0D0EFF18" w14:textId="37028762" w:rsidR="008B76AD" w:rsidRPr="00EA2E1E" w:rsidRDefault="008B76AD" w:rsidP="008B76AD">
            <w:pPr>
              <w:ind w:right="284"/>
              <w:jc w:val="right"/>
              <w:rPr>
                <w:i/>
                <w:sz w:val="18"/>
                <w:szCs w:val="18"/>
              </w:rPr>
            </w:pPr>
            <w:r w:rsidRPr="00EA2E1E">
              <w:rPr>
                <w:i/>
                <w:sz w:val="18"/>
                <w:szCs w:val="18"/>
              </w:rPr>
              <w:t xml:space="preserve">current maturities </w:t>
            </w:r>
          </w:p>
        </w:tc>
      </w:tr>
      <w:tr w:rsidR="00E7484D" w:rsidRPr="00B078AC" w14:paraId="30385D3D" w14:textId="77777777" w:rsidTr="000A435F">
        <w:tc>
          <w:tcPr>
            <w:tcW w:w="2237" w:type="dxa"/>
            <w:shd w:val="clear" w:color="auto" w:fill="auto"/>
          </w:tcPr>
          <w:p w14:paraId="29E8192D" w14:textId="7079B2DB" w:rsidR="00E7484D" w:rsidRPr="00B078AC" w:rsidRDefault="00E7484D" w:rsidP="00E7484D">
            <w:pPr>
              <w:rPr>
                <w:sz w:val="18"/>
                <w:szCs w:val="18"/>
                <w:lang w:val="id-ID"/>
              </w:rPr>
            </w:pPr>
            <w:r w:rsidRPr="00F10AA0">
              <w:rPr>
                <w:sz w:val="18"/>
                <w:szCs w:val="18"/>
                <w:lang w:val="id-ID"/>
              </w:rPr>
              <w:t xml:space="preserve"> </w:t>
            </w:r>
            <w:r w:rsidRPr="00B078AC">
              <w:rPr>
                <w:sz w:val="18"/>
                <w:szCs w:val="18"/>
                <w:lang w:val="id-ID"/>
              </w:rPr>
              <w:t>Liabilitas Sewa</w:t>
            </w:r>
          </w:p>
        </w:tc>
        <w:tc>
          <w:tcPr>
            <w:tcW w:w="1540" w:type="dxa"/>
            <w:shd w:val="clear" w:color="auto" w:fill="auto"/>
            <w:vAlign w:val="bottom"/>
          </w:tcPr>
          <w:p w14:paraId="481AA325" w14:textId="77777777" w:rsidR="00E7484D" w:rsidRPr="00B078AC" w:rsidRDefault="00E7484D" w:rsidP="00D316D9">
            <w:pPr>
              <w:jc w:val="center"/>
              <w:rPr>
                <w:sz w:val="18"/>
                <w:szCs w:val="18"/>
              </w:rPr>
            </w:pPr>
          </w:p>
        </w:tc>
        <w:tc>
          <w:tcPr>
            <w:tcW w:w="93" w:type="dxa"/>
            <w:shd w:val="clear" w:color="auto" w:fill="auto"/>
          </w:tcPr>
          <w:p w14:paraId="40F1AD70" w14:textId="77777777" w:rsidR="00E7484D" w:rsidRPr="00B078AC" w:rsidRDefault="00E7484D" w:rsidP="008B76AD">
            <w:pPr>
              <w:rPr>
                <w:sz w:val="18"/>
                <w:szCs w:val="18"/>
              </w:rPr>
            </w:pPr>
          </w:p>
        </w:tc>
        <w:tc>
          <w:tcPr>
            <w:tcW w:w="1497" w:type="dxa"/>
            <w:tcBorders>
              <w:bottom w:val="nil"/>
            </w:tcBorders>
            <w:shd w:val="clear" w:color="auto" w:fill="auto"/>
            <w:vAlign w:val="bottom"/>
          </w:tcPr>
          <w:p w14:paraId="12978A37" w14:textId="7D2768D8" w:rsidR="00E7484D" w:rsidRPr="00B078AC" w:rsidRDefault="00E7484D" w:rsidP="00392752">
            <w:pPr>
              <w:ind w:right="57"/>
              <w:rPr>
                <w:sz w:val="18"/>
                <w:szCs w:val="18"/>
                <w:lang w:val="id-ID"/>
              </w:rPr>
            </w:pPr>
            <w:r w:rsidRPr="00B078AC">
              <w:rPr>
                <w:sz w:val="18"/>
                <w:szCs w:val="18"/>
                <w:lang w:val="id-ID"/>
              </w:rPr>
              <w:t xml:space="preserve">  </w:t>
            </w:r>
            <w:r w:rsidR="00636C05" w:rsidRPr="00B078AC">
              <w:rPr>
                <w:sz w:val="18"/>
                <w:szCs w:val="18"/>
                <w:lang w:val="id-ID"/>
              </w:rPr>
              <w:t xml:space="preserve"> </w:t>
            </w:r>
            <w:r w:rsidR="006829C5" w:rsidRPr="00B078AC">
              <w:rPr>
                <w:sz w:val="18"/>
                <w:szCs w:val="18"/>
              </w:rPr>
              <w:t xml:space="preserve">  </w:t>
            </w:r>
            <w:r w:rsidRPr="00B078AC">
              <w:rPr>
                <w:sz w:val="18"/>
                <w:szCs w:val="18"/>
                <w:lang w:val="id-ID"/>
              </w:rPr>
              <w:t>180.257.</w:t>
            </w:r>
            <w:r w:rsidR="00314CC5" w:rsidRPr="00B078AC">
              <w:rPr>
                <w:sz w:val="18"/>
                <w:szCs w:val="18"/>
                <w:lang w:val="id-ID"/>
              </w:rPr>
              <w:t>62</w:t>
            </w:r>
            <w:r w:rsidR="00392752" w:rsidRPr="00B078AC">
              <w:rPr>
                <w:sz w:val="18"/>
                <w:szCs w:val="18"/>
              </w:rPr>
              <w:t>8</w:t>
            </w:r>
            <w:r w:rsidR="00392752" w:rsidRPr="00B078AC">
              <w:rPr>
                <w:sz w:val="18"/>
                <w:szCs w:val="18"/>
                <w:lang w:val="id-ID"/>
              </w:rPr>
              <w:t>.9</w:t>
            </w:r>
            <w:r w:rsidR="00314CC5" w:rsidRPr="00B078AC">
              <w:rPr>
                <w:sz w:val="18"/>
                <w:szCs w:val="18"/>
                <w:lang w:val="id-ID"/>
              </w:rPr>
              <w:t xml:space="preserve">37       </w:t>
            </w:r>
          </w:p>
        </w:tc>
        <w:tc>
          <w:tcPr>
            <w:tcW w:w="104" w:type="dxa"/>
            <w:shd w:val="clear" w:color="auto" w:fill="auto"/>
            <w:vAlign w:val="bottom"/>
          </w:tcPr>
          <w:p w14:paraId="5A9E225E" w14:textId="77777777" w:rsidR="00E7484D" w:rsidRPr="00B078AC" w:rsidRDefault="00E7484D" w:rsidP="008B76AD">
            <w:pPr>
              <w:ind w:left="-76" w:right="28"/>
              <w:jc w:val="right"/>
              <w:rPr>
                <w:sz w:val="18"/>
                <w:szCs w:val="18"/>
              </w:rPr>
            </w:pPr>
          </w:p>
        </w:tc>
        <w:tc>
          <w:tcPr>
            <w:tcW w:w="1504" w:type="dxa"/>
            <w:tcBorders>
              <w:bottom w:val="nil"/>
            </w:tcBorders>
            <w:vAlign w:val="bottom"/>
          </w:tcPr>
          <w:p w14:paraId="7F994770" w14:textId="66FBC907" w:rsidR="00E7484D" w:rsidRPr="00B078AC" w:rsidRDefault="00F10AA0" w:rsidP="00314CC5">
            <w:pPr>
              <w:ind w:right="57"/>
              <w:jc w:val="right"/>
              <w:rPr>
                <w:sz w:val="18"/>
                <w:szCs w:val="18"/>
                <w:lang w:val="id-ID"/>
              </w:rPr>
            </w:pPr>
            <w:r w:rsidRPr="00B078AC">
              <w:rPr>
                <w:sz w:val="18"/>
                <w:szCs w:val="18"/>
              </w:rPr>
              <w:t>-</w:t>
            </w:r>
            <w:r w:rsidR="00314CC5" w:rsidRPr="00B078AC">
              <w:rPr>
                <w:sz w:val="18"/>
                <w:szCs w:val="18"/>
                <w:lang w:val="id-ID"/>
              </w:rPr>
              <w:t xml:space="preserve">             </w:t>
            </w:r>
          </w:p>
        </w:tc>
        <w:tc>
          <w:tcPr>
            <w:tcW w:w="2221" w:type="dxa"/>
            <w:shd w:val="clear" w:color="auto" w:fill="auto"/>
            <w:vAlign w:val="bottom"/>
          </w:tcPr>
          <w:p w14:paraId="365684FB" w14:textId="0B656E16" w:rsidR="00E7484D" w:rsidRPr="00B078AC" w:rsidRDefault="00314CC5" w:rsidP="008B76AD">
            <w:pPr>
              <w:ind w:right="284"/>
              <w:jc w:val="right"/>
              <w:rPr>
                <w:i/>
                <w:sz w:val="18"/>
                <w:szCs w:val="18"/>
                <w:lang w:val="id-ID"/>
              </w:rPr>
            </w:pPr>
            <w:r w:rsidRPr="00B078AC">
              <w:rPr>
                <w:i/>
                <w:sz w:val="18"/>
                <w:szCs w:val="18"/>
                <w:lang w:val="id-ID"/>
              </w:rPr>
              <w:t>Lease Li</w:t>
            </w:r>
            <w:r w:rsidR="00DF79EC" w:rsidRPr="00B078AC">
              <w:rPr>
                <w:i/>
                <w:sz w:val="18"/>
                <w:szCs w:val="18"/>
                <w:lang w:val="id-ID"/>
              </w:rPr>
              <w:t>a</w:t>
            </w:r>
            <w:r w:rsidRPr="00B078AC">
              <w:rPr>
                <w:i/>
                <w:sz w:val="18"/>
                <w:szCs w:val="18"/>
                <w:lang w:val="id-ID"/>
              </w:rPr>
              <w:t>bilities</w:t>
            </w:r>
          </w:p>
        </w:tc>
      </w:tr>
      <w:tr w:rsidR="008B76AD" w:rsidRPr="00B078AC" w14:paraId="79CBAC2C" w14:textId="77777777" w:rsidTr="000A435F">
        <w:tc>
          <w:tcPr>
            <w:tcW w:w="2237" w:type="dxa"/>
            <w:shd w:val="clear" w:color="auto" w:fill="auto"/>
          </w:tcPr>
          <w:p w14:paraId="724240F3" w14:textId="07CF7C10" w:rsidR="008B76AD" w:rsidRPr="00B078AC" w:rsidRDefault="00EC3B0D" w:rsidP="00EC3B0D">
            <w:pPr>
              <w:rPr>
                <w:sz w:val="18"/>
                <w:szCs w:val="18"/>
              </w:rPr>
            </w:pPr>
            <w:r w:rsidRPr="00B078AC">
              <w:rPr>
                <w:sz w:val="18"/>
                <w:szCs w:val="18"/>
                <w:lang w:val="id-ID"/>
              </w:rPr>
              <w:t xml:space="preserve">  </w:t>
            </w:r>
            <w:r w:rsidR="008B76AD" w:rsidRPr="00B078AC">
              <w:rPr>
                <w:sz w:val="18"/>
                <w:szCs w:val="18"/>
              </w:rPr>
              <w:t>Utang bank</w:t>
            </w:r>
          </w:p>
        </w:tc>
        <w:tc>
          <w:tcPr>
            <w:tcW w:w="1540" w:type="dxa"/>
            <w:shd w:val="clear" w:color="auto" w:fill="auto"/>
            <w:vAlign w:val="bottom"/>
          </w:tcPr>
          <w:p w14:paraId="72C2A47C" w14:textId="6D603110" w:rsidR="008B76AD" w:rsidRPr="00B078AC" w:rsidRDefault="008B76AD" w:rsidP="00D316D9">
            <w:pPr>
              <w:jc w:val="center"/>
              <w:rPr>
                <w:sz w:val="18"/>
                <w:szCs w:val="18"/>
                <w:lang w:val="id-ID"/>
              </w:rPr>
            </w:pPr>
            <w:r w:rsidRPr="00B078AC">
              <w:rPr>
                <w:sz w:val="18"/>
                <w:szCs w:val="18"/>
              </w:rPr>
              <w:t>3f</w:t>
            </w:r>
            <w:r w:rsidR="00C92587" w:rsidRPr="00B078AC">
              <w:rPr>
                <w:sz w:val="18"/>
                <w:szCs w:val="18"/>
              </w:rPr>
              <w:t>,</w:t>
            </w:r>
            <w:r w:rsidRPr="00B078AC">
              <w:rPr>
                <w:sz w:val="18"/>
                <w:szCs w:val="18"/>
              </w:rPr>
              <w:t>3r</w:t>
            </w:r>
            <w:r w:rsidR="00C92587" w:rsidRPr="00B078AC">
              <w:rPr>
                <w:sz w:val="18"/>
                <w:szCs w:val="18"/>
              </w:rPr>
              <w:t>,</w:t>
            </w:r>
            <w:r w:rsidRPr="00B078AC">
              <w:rPr>
                <w:sz w:val="18"/>
                <w:szCs w:val="18"/>
              </w:rPr>
              <w:t>19</w:t>
            </w:r>
            <w:r w:rsidR="00C92587" w:rsidRPr="00B078AC">
              <w:rPr>
                <w:sz w:val="18"/>
                <w:szCs w:val="18"/>
              </w:rPr>
              <w:t>,</w:t>
            </w:r>
            <w:r w:rsidR="00D316D9" w:rsidRPr="00B078AC">
              <w:rPr>
                <w:sz w:val="18"/>
                <w:szCs w:val="18"/>
              </w:rPr>
              <w:t>39</w:t>
            </w:r>
          </w:p>
        </w:tc>
        <w:tc>
          <w:tcPr>
            <w:tcW w:w="93" w:type="dxa"/>
            <w:shd w:val="clear" w:color="auto" w:fill="auto"/>
          </w:tcPr>
          <w:p w14:paraId="302D0CC7" w14:textId="77777777" w:rsidR="008B76AD" w:rsidRPr="00B078AC" w:rsidRDefault="008B76AD" w:rsidP="008B76AD">
            <w:pPr>
              <w:rPr>
                <w:sz w:val="18"/>
                <w:szCs w:val="18"/>
              </w:rPr>
            </w:pPr>
          </w:p>
        </w:tc>
        <w:tc>
          <w:tcPr>
            <w:tcW w:w="1497" w:type="dxa"/>
            <w:tcBorders>
              <w:bottom w:val="nil"/>
            </w:tcBorders>
            <w:shd w:val="clear" w:color="auto" w:fill="auto"/>
            <w:vAlign w:val="bottom"/>
          </w:tcPr>
          <w:p w14:paraId="4B4FFF24" w14:textId="709199AE" w:rsidR="008B76AD" w:rsidRPr="00B078AC" w:rsidRDefault="008B76AD" w:rsidP="008B76AD">
            <w:pPr>
              <w:ind w:right="57"/>
              <w:jc w:val="right"/>
              <w:rPr>
                <w:sz w:val="18"/>
                <w:szCs w:val="18"/>
              </w:rPr>
            </w:pPr>
          </w:p>
        </w:tc>
        <w:tc>
          <w:tcPr>
            <w:tcW w:w="104" w:type="dxa"/>
            <w:shd w:val="clear" w:color="auto" w:fill="auto"/>
            <w:vAlign w:val="bottom"/>
          </w:tcPr>
          <w:p w14:paraId="56FBE18B" w14:textId="77777777" w:rsidR="008B76AD" w:rsidRPr="00B078AC" w:rsidRDefault="008B76AD" w:rsidP="008B76AD">
            <w:pPr>
              <w:ind w:left="-76" w:right="28"/>
              <w:jc w:val="right"/>
              <w:rPr>
                <w:sz w:val="18"/>
                <w:szCs w:val="18"/>
              </w:rPr>
            </w:pPr>
          </w:p>
        </w:tc>
        <w:tc>
          <w:tcPr>
            <w:tcW w:w="1504" w:type="dxa"/>
            <w:tcBorders>
              <w:bottom w:val="nil"/>
            </w:tcBorders>
            <w:vAlign w:val="bottom"/>
          </w:tcPr>
          <w:p w14:paraId="180866B1" w14:textId="67F3019C" w:rsidR="008B76AD" w:rsidRPr="00B078AC" w:rsidRDefault="008B76AD" w:rsidP="008B76AD">
            <w:pPr>
              <w:ind w:right="57"/>
              <w:jc w:val="right"/>
              <w:rPr>
                <w:sz w:val="18"/>
                <w:szCs w:val="18"/>
              </w:rPr>
            </w:pPr>
          </w:p>
        </w:tc>
        <w:tc>
          <w:tcPr>
            <w:tcW w:w="2221" w:type="dxa"/>
            <w:shd w:val="clear" w:color="auto" w:fill="auto"/>
            <w:vAlign w:val="bottom"/>
          </w:tcPr>
          <w:p w14:paraId="15585BEF" w14:textId="77777777" w:rsidR="008B76AD" w:rsidRPr="00B078AC" w:rsidRDefault="008B76AD" w:rsidP="008B76AD">
            <w:pPr>
              <w:ind w:right="284"/>
              <w:jc w:val="right"/>
              <w:rPr>
                <w:i/>
                <w:sz w:val="18"/>
                <w:szCs w:val="18"/>
              </w:rPr>
            </w:pPr>
            <w:r w:rsidRPr="00B078AC">
              <w:rPr>
                <w:i/>
                <w:sz w:val="18"/>
                <w:szCs w:val="18"/>
              </w:rPr>
              <w:t>Bank loans</w:t>
            </w:r>
          </w:p>
        </w:tc>
      </w:tr>
      <w:tr w:rsidR="008B76AD" w:rsidRPr="00B078AC" w14:paraId="1F186329" w14:textId="77777777" w:rsidTr="000A435F">
        <w:tc>
          <w:tcPr>
            <w:tcW w:w="2237" w:type="dxa"/>
            <w:shd w:val="clear" w:color="auto" w:fill="auto"/>
          </w:tcPr>
          <w:p w14:paraId="3D1F3E05" w14:textId="08DF477B" w:rsidR="008B76AD" w:rsidRPr="00B078AC" w:rsidRDefault="008B76AD" w:rsidP="008B76AD">
            <w:pPr>
              <w:ind w:left="426" w:firstLine="1"/>
              <w:rPr>
                <w:sz w:val="18"/>
                <w:szCs w:val="18"/>
              </w:rPr>
            </w:pPr>
            <w:r w:rsidRPr="00B078AC">
              <w:rPr>
                <w:sz w:val="18"/>
                <w:szCs w:val="18"/>
              </w:rPr>
              <w:t>Pihak berelasi</w:t>
            </w:r>
          </w:p>
        </w:tc>
        <w:tc>
          <w:tcPr>
            <w:tcW w:w="1540" w:type="dxa"/>
            <w:shd w:val="clear" w:color="auto" w:fill="auto"/>
            <w:vAlign w:val="bottom"/>
          </w:tcPr>
          <w:p w14:paraId="729B2426" w14:textId="77777777" w:rsidR="008B76AD" w:rsidRPr="00B078AC" w:rsidRDefault="008B76AD" w:rsidP="008B76AD">
            <w:pPr>
              <w:jc w:val="center"/>
              <w:rPr>
                <w:sz w:val="18"/>
                <w:szCs w:val="18"/>
              </w:rPr>
            </w:pPr>
          </w:p>
        </w:tc>
        <w:tc>
          <w:tcPr>
            <w:tcW w:w="93" w:type="dxa"/>
            <w:shd w:val="clear" w:color="auto" w:fill="auto"/>
          </w:tcPr>
          <w:p w14:paraId="44C6B9F2" w14:textId="655C1739" w:rsidR="008B76AD" w:rsidRPr="00B078AC" w:rsidRDefault="008B76AD" w:rsidP="008B76AD">
            <w:pPr>
              <w:rPr>
                <w:sz w:val="18"/>
                <w:szCs w:val="18"/>
              </w:rPr>
            </w:pPr>
          </w:p>
        </w:tc>
        <w:tc>
          <w:tcPr>
            <w:tcW w:w="1497" w:type="dxa"/>
            <w:tcBorders>
              <w:bottom w:val="nil"/>
            </w:tcBorders>
            <w:shd w:val="clear" w:color="auto" w:fill="auto"/>
            <w:vAlign w:val="bottom"/>
          </w:tcPr>
          <w:p w14:paraId="16D8415F" w14:textId="09AA5CBD" w:rsidR="008B76AD" w:rsidRPr="00B078AC" w:rsidRDefault="00562742" w:rsidP="008B76AD">
            <w:pPr>
              <w:ind w:right="57"/>
              <w:jc w:val="right"/>
              <w:rPr>
                <w:sz w:val="18"/>
                <w:szCs w:val="18"/>
              </w:rPr>
            </w:pPr>
            <w:r w:rsidRPr="00B078AC">
              <w:rPr>
                <w:sz w:val="18"/>
                <w:szCs w:val="18"/>
              </w:rPr>
              <w:t>150.000.000.000</w:t>
            </w:r>
          </w:p>
        </w:tc>
        <w:tc>
          <w:tcPr>
            <w:tcW w:w="104" w:type="dxa"/>
            <w:shd w:val="clear" w:color="auto" w:fill="auto"/>
            <w:vAlign w:val="bottom"/>
          </w:tcPr>
          <w:p w14:paraId="0150A5CB" w14:textId="77777777" w:rsidR="008B76AD" w:rsidRPr="00B078AC" w:rsidRDefault="008B76AD" w:rsidP="008B76AD">
            <w:pPr>
              <w:ind w:left="-76" w:right="28"/>
              <w:jc w:val="right"/>
              <w:rPr>
                <w:sz w:val="18"/>
                <w:szCs w:val="18"/>
              </w:rPr>
            </w:pPr>
          </w:p>
        </w:tc>
        <w:tc>
          <w:tcPr>
            <w:tcW w:w="1504" w:type="dxa"/>
            <w:tcBorders>
              <w:bottom w:val="nil"/>
            </w:tcBorders>
            <w:vAlign w:val="bottom"/>
          </w:tcPr>
          <w:p w14:paraId="0DF50CC7" w14:textId="181B3CE8" w:rsidR="008B76AD" w:rsidRPr="00B078AC" w:rsidRDefault="007317ED" w:rsidP="008B76AD">
            <w:pPr>
              <w:ind w:left="-76" w:right="57"/>
              <w:jc w:val="right"/>
              <w:rPr>
                <w:sz w:val="18"/>
                <w:szCs w:val="18"/>
              </w:rPr>
            </w:pPr>
            <w:r w:rsidRPr="00B078AC">
              <w:rPr>
                <w:sz w:val="18"/>
                <w:szCs w:val="18"/>
              </w:rPr>
              <w:t>176.879.793.470</w:t>
            </w:r>
          </w:p>
        </w:tc>
        <w:tc>
          <w:tcPr>
            <w:tcW w:w="2221" w:type="dxa"/>
            <w:shd w:val="clear" w:color="auto" w:fill="auto"/>
            <w:vAlign w:val="bottom"/>
          </w:tcPr>
          <w:p w14:paraId="0CF7F255" w14:textId="490C24DF" w:rsidR="008B76AD" w:rsidRPr="00B078AC" w:rsidRDefault="008B76AD" w:rsidP="008B76AD">
            <w:pPr>
              <w:ind w:right="479"/>
              <w:jc w:val="right"/>
              <w:rPr>
                <w:i/>
                <w:sz w:val="18"/>
                <w:szCs w:val="18"/>
              </w:rPr>
            </w:pPr>
            <w:r w:rsidRPr="00B078AC">
              <w:rPr>
                <w:i/>
                <w:sz w:val="18"/>
                <w:szCs w:val="18"/>
              </w:rPr>
              <w:t>Related party</w:t>
            </w:r>
          </w:p>
        </w:tc>
      </w:tr>
      <w:tr w:rsidR="008B76AD" w:rsidRPr="00B078AC" w14:paraId="103680F6" w14:textId="77777777" w:rsidTr="000A435F">
        <w:tc>
          <w:tcPr>
            <w:tcW w:w="2237" w:type="dxa"/>
            <w:shd w:val="clear" w:color="auto" w:fill="auto"/>
          </w:tcPr>
          <w:p w14:paraId="159917B6" w14:textId="7128B4BF" w:rsidR="008B76AD" w:rsidRPr="00B078AC" w:rsidRDefault="008B76AD" w:rsidP="008B76AD">
            <w:pPr>
              <w:ind w:left="283" w:hanging="170"/>
              <w:rPr>
                <w:sz w:val="18"/>
                <w:szCs w:val="18"/>
                <w:lang w:val="id-ID"/>
              </w:rPr>
            </w:pPr>
            <w:r w:rsidRPr="00B078AC">
              <w:rPr>
                <w:sz w:val="18"/>
                <w:szCs w:val="18"/>
              </w:rPr>
              <w:t>Liabilitas imbalan</w:t>
            </w:r>
            <w:r w:rsidRPr="00B078AC">
              <w:rPr>
                <w:sz w:val="18"/>
                <w:szCs w:val="18"/>
                <w:lang w:val="id-ID"/>
              </w:rPr>
              <w:br/>
            </w:r>
            <w:r w:rsidRPr="00B078AC">
              <w:rPr>
                <w:sz w:val="18"/>
                <w:szCs w:val="18"/>
              </w:rPr>
              <w:t>pasca kerja</w:t>
            </w:r>
            <w:r w:rsidRPr="00B078AC">
              <w:rPr>
                <w:sz w:val="18"/>
                <w:szCs w:val="18"/>
                <w:lang w:val="id-ID"/>
              </w:rPr>
              <w:t xml:space="preserve"> </w:t>
            </w:r>
          </w:p>
        </w:tc>
        <w:tc>
          <w:tcPr>
            <w:tcW w:w="1540" w:type="dxa"/>
            <w:shd w:val="clear" w:color="auto" w:fill="auto"/>
            <w:vAlign w:val="bottom"/>
          </w:tcPr>
          <w:p w14:paraId="2D2F612F" w14:textId="38FCC95B" w:rsidR="008B76AD" w:rsidRPr="00B078AC" w:rsidRDefault="008B76AD" w:rsidP="00D316D9">
            <w:pPr>
              <w:jc w:val="center"/>
              <w:rPr>
                <w:sz w:val="18"/>
                <w:szCs w:val="18"/>
                <w:lang w:val="id-ID"/>
              </w:rPr>
            </w:pPr>
            <w:r w:rsidRPr="00B078AC">
              <w:rPr>
                <w:sz w:val="18"/>
                <w:szCs w:val="18"/>
              </w:rPr>
              <w:t>3n</w:t>
            </w:r>
            <w:r w:rsidR="00C92587" w:rsidRPr="00B078AC">
              <w:rPr>
                <w:sz w:val="18"/>
                <w:szCs w:val="18"/>
              </w:rPr>
              <w:t>,</w:t>
            </w:r>
            <w:r w:rsidR="00806B98" w:rsidRPr="00B078AC">
              <w:rPr>
                <w:sz w:val="18"/>
                <w:szCs w:val="18"/>
              </w:rPr>
              <w:t>2</w:t>
            </w:r>
            <w:r w:rsidR="00D316D9" w:rsidRPr="00B078AC">
              <w:rPr>
                <w:sz w:val="18"/>
                <w:szCs w:val="18"/>
              </w:rPr>
              <w:t>1</w:t>
            </w:r>
          </w:p>
        </w:tc>
        <w:tc>
          <w:tcPr>
            <w:tcW w:w="93" w:type="dxa"/>
            <w:shd w:val="clear" w:color="auto" w:fill="auto"/>
          </w:tcPr>
          <w:p w14:paraId="0DB0072B" w14:textId="77777777" w:rsidR="008B76AD" w:rsidRPr="00B078AC" w:rsidRDefault="008B76AD" w:rsidP="008B76AD">
            <w:pPr>
              <w:rPr>
                <w:sz w:val="18"/>
                <w:szCs w:val="18"/>
              </w:rPr>
            </w:pPr>
          </w:p>
        </w:tc>
        <w:tc>
          <w:tcPr>
            <w:tcW w:w="1497" w:type="dxa"/>
            <w:tcBorders>
              <w:bottom w:val="single" w:sz="4" w:space="0" w:color="auto"/>
            </w:tcBorders>
            <w:shd w:val="clear" w:color="auto" w:fill="auto"/>
            <w:vAlign w:val="bottom"/>
          </w:tcPr>
          <w:p w14:paraId="350FADDA" w14:textId="7760FC9B" w:rsidR="008B76AD" w:rsidRPr="00B078AC" w:rsidRDefault="00324742" w:rsidP="006E1A46">
            <w:pPr>
              <w:ind w:right="57"/>
              <w:jc w:val="right"/>
              <w:rPr>
                <w:sz w:val="18"/>
                <w:szCs w:val="18"/>
                <w:lang w:val="id-ID"/>
              </w:rPr>
            </w:pPr>
            <w:r w:rsidRPr="00B078AC">
              <w:rPr>
                <w:sz w:val="18"/>
                <w:szCs w:val="18"/>
              </w:rPr>
              <w:t>7</w:t>
            </w:r>
            <w:r w:rsidRPr="00B078AC">
              <w:rPr>
                <w:sz w:val="18"/>
                <w:szCs w:val="18"/>
                <w:lang w:val="id-ID"/>
              </w:rPr>
              <w:t>0</w:t>
            </w:r>
            <w:r w:rsidRPr="00B078AC">
              <w:rPr>
                <w:sz w:val="18"/>
                <w:szCs w:val="18"/>
              </w:rPr>
              <w:t>.</w:t>
            </w:r>
            <w:r w:rsidRPr="00B078AC">
              <w:rPr>
                <w:sz w:val="18"/>
                <w:szCs w:val="18"/>
                <w:lang w:val="id-ID"/>
              </w:rPr>
              <w:t>455</w:t>
            </w:r>
            <w:r w:rsidRPr="00B078AC">
              <w:rPr>
                <w:sz w:val="18"/>
                <w:szCs w:val="18"/>
              </w:rPr>
              <w:t>.</w:t>
            </w:r>
            <w:r w:rsidR="00B67D5C" w:rsidRPr="00B078AC">
              <w:rPr>
                <w:sz w:val="18"/>
                <w:szCs w:val="18"/>
              </w:rPr>
              <w:t>9</w:t>
            </w:r>
            <w:r w:rsidRPr="00B078AC">
              <w:rPr>
                <w:sz w:val="18"/>
                <w:szCs w:val="18"/>
                <w:lang w:val="id-ID"/>
              </w:rPr>
              <w:t>69</w:t>
            </w:r>
            <w:r w:rsidR="00B67D5C" w:rsidRPr="00B078AC">
              <w:rPr>
                <w:sz w:val="18"/>
                <w:szCs w:val="18"/>
              </w:rPr>
              <w:t>.</w:t>
            </w:r>
            <w:r w:rsidRPr="00B078AC">
              <w:rPr>
                <w:sz w:val="18"/>
                <w:szCs w:val="18"/>
                <w:lang w:val="id-ID"/>
              </w:rPr>
              <w:t>35</w:t>
            </w:r>
            <w:r w:rsidR="00B67D5C" w:rsidRPr="00B078AC">
              <w:rPr>
                <w:sz w:val="18"/>
                <w:szCs w:val="18"/>
              </w:rPr>
              <w:t>5</w:t>
            </w:r>
          </w:p>
        </w:tc>
        <w:tc>
          <w:tcPr>
            <w:tcW w:w="104" w:type="dxa"/>
            <w:shd w:val="clear" w:color="auto" w:fill="auto"/>
            <w:vAlign w:val="bottom"/>
          </w:tcPr>
          <w:p w14:paraId="358D44A2" w14:textId="77777777" w:rsidR="008B76AD" w:rsidRPr="00B078AC" w:rsidRDefault="008B76AD" w:rsidP="008B76AD">
            <w:pPr>
              <w:ind w:left="-76" w:right="28"/>
              <w:jc w:val="right"/>
              <w:rPr>
                <w:sz w:val="18"/>
                <w:szCs w:val="18"/>
              </w:rPr>
            </w:pPr>
          </w:p>
        </w:tc>
        <w:tc>
          <w:tcPr>
            <w:tcW w:w="1504" w:type="dxa"/>
            <w:tcBorders>
              <w:bottom w:val="single" w:sz="4" w:space="0" w:color="auto"/>
            </w:tcBorders>
            <w:vAlign w:val="bottom"/>
          </w:tcPr>
          <w:p w14:paraId="078EDCC9" w14:textId="0213EF76" w:rsidR="008B76AD" w:rsidRPr="00B078AC" w:rsidRDefault="007317ED" w:rsidP="008B76AD">
            <w:pPr>
              <w:ind w:left="-76" w:right="57"/>
              <w:jc w:val="right"/>
              <w:rPr>
                <w:sz w:val="18"/>
                <w:szCs w:val="18"/>
              </w:rPr>
            </w:pPr>
            <w:r w:rsidRPr="00B078AC">
              <w:rPr>
                <w:sz w:val="18"/>
                <w:szCs w:val="18"/>
              </w:rPr>
              <w:t>68.670.506.868</w:t>
            </w:r>
          </w:p>
        </w:tc>
        <w:tc>
          <w:tcPr>
            <w:tcW w:w="2221" w:type="dxa"/>
            <w:shd w:val="clear" w:color="auto" w:fill="auto"/>
            <w:vAlign w:val="bottom"/>
          </w:tcPr>
          <w:p w14:paraId="094AA645" w14:textId="77777777" w:rsidR="00706B78" w:rsidRPr="00B078AC" w:rsidRDefault="008B76AD" w:rsidP="00D37622">
            <w:pPr>
              <w:ind w:right="48"/>
              <w:jc w:val="right"/>
              <w:rPr>
                <w:i/>
                <w:sz w:val="18"/>
                <w:szCs w:val="18"/>
              </w:rPr>
            </w:pPr>
            <w:r w:rsidRPr="00B078AC">
              <w:rPr>
                <w:i/>
                <w:sz w:val="18"/>
                <w:szCs w:val="18"/>
              </w:rPr>
              <w:t>Post-employment benefits</w:t>
            </w:r>
          </w:p>
          <w:p w14:paraId="62C3E509" w14:textId="4F26FBC3" w:rsidR="008B76AD" w:rsidRPr="00B078AC" w:rsidRDefault="008B76AD" w:rsidP="00D37622">
            <w:pPr>
              <w:ind w:right="286"/>
              <w:jc w:val="right"/>
              <w:rPr>
                <w:i/>
                <w:sz w:val="18"/>
                <w:szCs w:val="18"/>
              </w:rPr>
            </w:pPr>
            <w:r w:rsidRPr="00B078AC">
              <w:rPr>
                <w:i/>
                <w:sz w:val="18"/>
                <w:szCs w:val="18"/>
              </w:rPr>
              <w:t>liabilitie</w:t>
            </w:r>
            <w:r w:rsidR="00D37622" w:rsidRPr="00B078AC">
              <w:rPr>
                <w:i/>
                <w:sz w:val="18"/>
                <w:szCs w:val="18"/>
              </w:rPr>
              <w:t>s</w:t>
            </w:r>
            <w:r w:rsidRPr="00B078AC">
              <w:rPr>
                <w:i/>
                <w:sz w:val="18"/>
                <w:szCs w:val="18"/>
              </w:rPr>
              <w:t xml:space="preserve"> </w:t>
            </w:r>
          </w:p>
        </w:tc>
      </w:tr>
      <w:tr w:rsidR="008B76AD" w:rsidRPr="00B078AC" w14:paraId="5A28F232" w14:textId="77777777" w:rsidTr="000A435F">
        <w:tc>
          <w:tcPr>
            <w:tcW w:w="2237" w:type="dxa"/>
            <w:shd w:val="clear" w:color="auto" w:fill="auto"/>
          </w:tcPr>
          <w:p w14:paraId="15FE060E" w14:textId="77777777" w:rsidR="008B76AD" w:rsidRPr="00B078AC" w:rsidRDefault="008B76AD" w:rsidP="008B76AD">
            <w:pPr>
              <w:ind w:left="283" w:hanging="170"/>
              <w:rPr>
                <w:sz w:val="18"/>
                <w:szCs w:val="18"/>
              </w:rPr>
            </w:pPr>
          </w:p>
        </w:tc>
        <w:tc>
          <w:tcPr>
            <w:tcW w:w="1540" w:type="dxa"/>
            <w:shd w:val="clear" w:color="auto" w:fill="auto"/>
            <w:vAlign w:val="bottom"/>
          </w:tcPr>
          <w:p w14:paraId="4D3B12C3" w14:textId="77777777" w:rsidR="008B76AD" w:rsidRPr="00B078AC" w:rsidRDefault="008B76AD" w:rsidP="008B76AD">
            <w:pPr>
              <w:jc w:val="center"/>
              <w:rPr>
                <w:sz w:val="18"/>
                <w:szCs w:val="18"/>
              </w:rPr>
            </w:pPr>
          </w:p>
        </w:tc>
        <w:tc>
          <w:tcPr>
            <w:tcW w:w="93" w:type="dxa"/>
            <w:shd w:val="clear" w:color="auto" w:fill="auto"/>
          </w:tcPr>
          <w:p w14:paraId="6E4BAE36" w14:textId="77777777" w:rsidR="008B76AD" w:rsidRPr="00B078AC" w:rsidRDefault="008B76AD" w:rsidP="008B76AD">
            <w:pPr>
              <w:rPr>
                <w:sz w:val="18"/>
                <w:szCs w:val="18"/>
              </w:rPr>
            </w:pPr>
          </w:p>
        </w:tc>
        <w:tc>
          <w:tcPr>
            <w:tcW w:w="1497" w:type="dxa"/>
            <w:tcBorders>
              <w:top w:val="single" w:sz="4" w:space="0" w:color="auto"/>
              <w:bottom w:val="nil"/>
            </w:tcBorders>
            <w:shd w:val="clear" w:color="auto" w:fill="auto"/>
            <w:vAlign w:val="bottom"/>
          </w:tcPr>
          <w:p w14:paraId="6867329E" w14:textId="572CA370" w:rsidR="008B76AD" w:rsidRPr="00B078AC" w:rsidRDefault="008B76AD" w:rsidP="008B76AD">
            <w:pPr>
              <w:ind w:right="57"/>
              <w:jc w:val="right"/>
              <w:rPr>
                <w:sz w:val="18"/>
                <w:szCs w:val="18"/>
              </w:rPr>
            </w:pPr>
          </w:p>
        </w:tc>
        <w:tc>
          <w:tcPr>
            <w:tcW w:w="104" w:type="dxa"/>
            <w:shd w:val="clear" w:color="auto" w:fill="auto"/>
            <w:vAlign w:val="bottom"/>
          </w:tcPr>
          <w:p w14:paraId="5A0DD1E8" w14:textId="77777777" w:rsidR="008B76AD" w:rsidRPr="00B078AC" w:rsidRDefault="008B76AD" w:rsidP="008B76AD">
            <w:pPr>
              <w:ind w:left="-76" w:right="28"/>
              <w:jc w:val="right"/>
              <w:rPr>
                <w:sz w:val="18"/>
                <w:szCs w:val="18"/>
              </w:rPr>
            </w:pPr>
          </w:p>
        </w:tc>
        <w:tc>
          <w:tcPr>
            <w:tcW w:w="1504" w:type="dxa"/>
            <w:tcBorders>
              <w:top w:val="single" w:sz="4" w:space="0" w:color="auto"/>
              <w:bottom w:val="nil"/>
            </w:tcBorders>
            <w:vAlign w:val="bottom"/>
          </w:tcPr>
          <w:p w14:paraId="5F3A8A72" w14:textId="77777777" w:rsidR="008B76AD" w:rsidRPr="00B078AC" w:rsidRDefault="008B76AD" w:rsidP="008B76AD">
            <w:pPr>
              <w:ind w:right="57"/>
              <w:jc w:val="right"/>
              <w:rPr>
                <w:sz w:val="18"/>
                <w:szCs w:val="18"/>
              </w:rPr>
            </w:pPr>
          </w:p>
        </w:tc>
        <w:tc>
          <w:tcPr>
            <w:tcW w:w="2221" w:type="dxa"/>
            <w:shd w:val="clear" w:color="auto" w:fill="auto"/>
            <w:vAlign w:val="bottom"/>
          </w:tcPr>
          <w:p w14:paraId="63DE1718" w14:textId="77777777" w:rsidR="008B76AD" w:rsidRPr="00B078AC" w:rsidRDefault="008B76AD" w:rsidP="008B76AD">
            <w:pPr>
              <w:ind w:right="57"/>
              <w:jc w:val="right"/>
              <w:rPr>
                <w:i/>
                <w:sz w:val="18"/>
                <w:szCs w:val="18"/>
              </w:rPr>
            </w:pPr>
          </w:p>
        </w:tc>
      </w:tr>
      <w:tr w:rsidR="008B76AD" w:rsidRPr="00B078AC" w14:paraId="711B2C4F" w14:textId="77777777" w:rsidTr="000A435F">
        <w:tc>
          <w:tcPr>
            <w:tcW w:w="2237" w:type="dxa"/>
            <w:shd w:val="clear" w:color="auto" w:fill="auto"/>
          </w:tcPr>
          <w:p w14:paraId="6FE05961" w14:textId="311A469A" w:rsidR="008B76AD" w:rsidRPr="00B078AC" w:rsidRDefault="008B76AD" w:rsidP="008B76AD">
            <w:pPr>
              <w:ind w:left="283" w:hanging="170"/>
              <w:rPr>
                <w:sz w:val="18"/>
                <w:szCs w:val="18"/>
              </w:rPr>
            </w:pPr>
            <w:r w:rsidRPr="00B078AC">
              <w:rPr>
                <w:sz w:val="18"/>
                <w:szCs w:val="18"/>
              </w:rPr>
              <w:t xml:space="preserve">Jumlah Liabilitas Jangka </w:t>
            </w:r>
            <w:r w:rsidR="00CA71BD" w:rsidRPr="00B078AC">
              <w:rPr>
                <w:sz w:val="18"/>
                <w:szCs w:val="18"/>
              </w:rPr>
              <w:t>P</w:t>
            </w:r>
            <w:r w:rsidRPr="00B078AC">
              <w:rPr>
                <w:sz w:val="18"/>
                <w:szCs w:val="18"/>
              </w:rPr>
              <w:t>anjang</w:t>
            </w:r>
          </w:p>
        </w:tc>
        <w:tc>
          <w:tcPr>
            <w:tcW w:w="1540" w:type="dxa"/>
            <w:shd w:val="clear" w:color="auto" w:fill="auto"/>
            <w:vAlign w:val="bottom"/>
          </w:tcPr>
          <w:p w14:paraId="0CD1C9B0" w14:textId="77777777" w:rsidR="008B76AD" w:rsidRPr="00B078AC" w:rsidRDefault="008B76AD" w:rsidP="008B76AD">
            <w:pPr>
              <w:jc w:val="center"/>
              <w:rPr>
                <w:sz w:val="18"/>
                <w:szCs w:val="18"/>
              </w:rPr>
            </w:pPr>
          </w:p>
        </w:tc>
        <w:tc>
          <w:tcPr>
            <w:tcW w:w="93" w:type="dxa"/>
            <w:shd w:val="clear" w:color="auto" w:fill="auto"/>
          </w:tcPr>
          <w:p w14:paraId="67332AB2" w14:textId="77777777" w:rsidR="008B76AD" w:rsidRPr="00B078AC" w:rsidRDefault="008B76AD" w:rsidP="008B76AD">
            <w:pPr>
              <w:rPr>
                <w:sz w:val="18"/>
                <w:szCs w:val="18"/>
              </w:rPr>
            </w:pPr>
          </w:p>
        </w:tc>
        <w:tc>
          <w:tcPr>
            <w:tcW w:w="1497" w:type="dxa"/>
            <w:tcBorders>
              <w:bottom w:val="single" w:sz="4" w:space="0" w:color="auto"/>
            </w:tcBorders>
            <w:shd w:val="clear" w:color="auto" w:fill="auto"/>
            <w:vAlign w:val="bottom"/>
          </w:tcPr>
          <w:p w14:paraId="30F9CCA0" w14:textId="33EC4836" w:rsidR="008B76AD" w:rsidRPr="00B078AC" w:rsidRDefault="002B6559" w:rsidP="00392752">
            <w:pPr>
              <w:ind w:right="57"/>
              <w:jc w:val="right"/>
              <w:rPr>
                <w:sz w:val="18"/>
                <w:szCs w:val="18"/>
                <w:lang w:val="id-ID"/>
              </w:rPr>
            </w:pPr>
            <w:r w:rsidRPr="00B078AC">
              <w:rPr>
                <w:sz w:val="18"/>
                <w:szCs w:val="18"/>
              </w:rPr>
              <w:t xml:space="preserve">     </w:t>
            </w:r>
            <w:r w:rsidR="00324742" w:rsidRPr="00B078AC">
              <w:rPr>
                <w:sz w:val="18"/>
                <w:szCs w:val="18"/>
              </w:rPr>
              <w:t>40</w:t>
            </w:r>
            <w:r w:rsidR="00324742" w:rsidRPr="00B078AC">
              <w:rPr>
                <w:sz w:val="18"/>
                <w:szCs w:val="18"/>
                <w:lang w:val="id-ID"/>
              </w:rPr>
              <w:t>0</w:t>
            </w:r>
            <w:r w:rsidR="00324742" w:rsidRPr="00B078AC">
              <w:rPr>
                <w:sz w:val="18"/>
                <w:szCs w:val="18"/>
              </w:rPr>
              <w:t>.</w:t>
            </w:r>
            <w:r w:rsidR="00324742" w:rsidRPr="00B078AC">
              <w:rPr>
                <w:sz w:val="18"/>
                <w:szCs w:val="18"/>
                <w:lang w:val="id-ID"/>
              </w:rPr>
              <w:t>713</w:t>
            </w:r>
            <w:r w:rsidR="00324742" w:rsidRPr="00B078AC">
              <w:rPr>
                <w:sz w:val="18"/>
                <w:szCs w:val="18"/>
              </w:rPr>
              <w:t>.</w:t>
            </w:r>
            <w:r w:rsidR="00324742" w:rsidRPr="00B078AC">
              <w:rPr>
                <w:sz w:val="18"/>
                <w:szCs w:val="18"/>
                <w:lang w:val="id-ID"/>
              </w:rPr>
              <w:t>59</w:t>
            </w:r>
            <w:r w:rsidR="00324742" w:rsidRPr="00B078AC">
              <w:rPr>
                <w:sz w:val="18"/>
                <w:szCs w:val="18"/>
              </w:rPr>
              <w:t>8.</w:t>
            </w:r>
            <w:r w:rsidR="00324742" w:rsidRPr="00B078AC">
              <w:rPr>
                <w:sz w:val="18"/>
                <w:szCs w:val="18"/>
                <w:lang w:val="id-ID"/>
              </w:rPr>
              <w:t>292</w:t>
            </w:r>
          </w:p>
        </w:tc>
        <w:tc>
          <w:tcPr>
            <w:tcW w:w="104" w:type="dxa"/>
            <w:shd w:val="clear" w:color="auto" w:fill="auto"/>
            <w:vAlign w:val="bottom"/>
          </w:tcPr>
          <w:p w14:paraId="7A2BE76B" w14:textId="77777777" w:rsidR="008B76AD" w:rsidRPr="00B078AC" w:rsidRDefault="008B76AD" w:rsidP="008B76AD">
            <w:pPr>
              <w:ind w:left="-76" w:right="28"/>
              <w:jc w:val="right"/>
              <w:rPr>
                <w:sz w:val="18"/>
                <w:szCs w:val="18"/>
              </w:rPr>
            </w:pPr>
          </w:p>
        </w:tc>
        <w:tc>
          <w:tcPr>
            <w:tcW w:w="1504" w:type="dxa"/>
            <w:tcBorders>
              <w:bottom w:val="single" w:sz="4" w:space="0" w:color="auto"/>
            </w:tcBorders>
            <w:vAlign w:val="bottom"/>
          </w:tcPr>
          <w:p w14:paraId="0159F726" w14:textId="25CE8A03" w:rsidR="008B76AD" w:rsidRPr="00B078AC" w:rsidRDefault="007317ED" w:rsidP="008B76AD">
            <w:pPr>
              <w:ind w:right="57"/>
              <w:jc w:val="right"/>
              <w:rPr>
                <w:sz w:val="18"/>
                <w:szCs w:val="18"/>
              </w:rPr>
            </w:pPr>
            <w:r w:rsidRPr="00B078AC">
              <w:rPr>
                <w:sz w:val="18"/>
                <w:szCs w:val="18"/>
              </w:rPr>
              <w:t>245.550.300.338</w:t>
            </w:r>
          </w:p>
        </w:tc>
        <w:tc>
          <w:tcPr>
            <w:tcW w:w="2221" w:type="dxa"/>
            <w:shd w:val="clear" w:color="auto" w:fill="auto"/>
            <w:vAlign w:val="bottom"/>
          </w:tcPr>
          <w:p w14:paraId="409ED9E0" w14:textId="77777777" w:rsidR="00D37622" w:rsidRPr="00B078AC" w:rsidRDefault="008B76AD" w:rsidP="008B76AD">
            <w:pPr>
              <w:ind w:right="57"/>
              <w:jc w:val="right"/>
              <w:rPr>
                <w:i/>
                <w:sz w:val="18"/>
                <w:szCs w:val="18"/>
              </w:rPr>
            </w:pPr>
            <w:r w:rsidRPr="00B078AC">
              <w:rPr>
                <w:i/>
                <w:sz w:val="18"/>
                <w:szCs w:val="18"/>
              </w:rPr>
              <w:t xml:space="preserve">Total Non-current </w:t>
            </w:r>
          </w:p>
          <w:p w14:paraId="736B2945" w14:textId="555F35C6" w:rsidR="008B76AD" w:rsidRPr="00B078AC" w:rsidRDefault="008B76AD" w:rsidP="00D37622">
            <w:pPr>
              <w:ind w:right="286"/>
              <w:jc w:val="right"/>
              <w:rPr>
                <w:i/>
                <w:sz w:val="18"/>
                <w:szCs w:val="18"/>
              </w:rPr>
            </w:pPr>
            <w:r w:rsidRPr="00B078AC">
              <w:rPr>
                <w:i/>
                <w:sz w:val="18"/>
                <w:szCs w:val="18"/>
              </w:rPr>
              <w:t>Liabilities</w:t>
            </w:r>
          </w:p>
        </w:tc>
      </w:tr>
      <w:tr w:rsidR="008B76AD" w:rsidRPr="00B078AC" w14:paraId="373A7732" w14:textId="77777777" w:rsidTr="000A435F">
        <w:tc>
          <w:tcPr>
            <w:tcW w:w="2237" w:type="dxa"/>
            <w:shd w:val="clear" w:color="auto" w:fill="auto"/>
          </w:tcPr>
          <w:p w14:paraId="3A7FBBD3" w14:textId="77777777" w:rsidR="008B76AD" w:rsidRPr="00B078AC" w:rsidRDefault="008B76AD" w:rsidP="008B76AD">
            <w:pPr>
              <w:ind w:left="283" w:hanging="170"/>
              <w:rPr>
                <w:sz w:val="18"/>
                <w:szCs w:val="18"/>
              </w:rPr>
            </w:pPr>
          </w:p>
        </w:tc>
        <w:tc>
          <w:tcPr>
            <w:tcW w:w="1540" w:type="dxa"/>
            <w:shd w:val="clear" w:color="auto" w:fill="auto"/>
            <w:vAlign w:val="bottom"/>
          </w:tcPr>
          <w:p w14:paraId="5155617F" w14:textId="77777777" w:rsidR="008B76AD" w:rsidRPr="00B078AC" w:rsidRDefault="008B76AD" w:rsidP="008B76AD">
            <w:pPr>
              <w:jc w:val="center"/>
              <w:rPr>
                <w:sz w:val="18"/>
                <w:szCs w:val="18"/>
              </w:rPr>
            </w:pPr>
          </w:p>
        </w:tc>
        <w:tc>
          <w:tcPr>
            <w:tcW w:w="93" w:type="dxa"/>
            <w:shd w:val="clear" w:color="auto" w:fill="auto"/>
          </w:tcPr>
          <w:p w14:paraId="538A28CA" w14:textId="77777777" w:rsidR="008B76AD" w:rsidRPr="00B078AC" w:rsidRDefault="008B76AD" w:rsidP="008B76AD">
            <w:pPr>
              <w:rPr>
                <w:sz w:val="18"/>
                <w:szCs w:val="18"/>
              </w:rPr>
            </w:pPr>
          </w:p>
        </w:tc>
        <w:tc>
          <w:tcPr>
            <w:tcW w:w="1497" w:type="dxa"/>
            <w:tcBorders>
              <w:top w:val="single" w:sz="4" w:space="0" w:color="auto"/>
              <w:bottom w:val="nil"/>
            </w:tcBorders>
            <w:shd w:val="clear" w:color="auto" w:fill="auto"/>
            <w:vAlign w:val="bottom"/>
          </w:tcPr>
          <w:p w14:paraId="764BBD8C" w14:textId="77777777" w:rsidR="008B76AD" w:rsidRPr="00B078AC" w:rsidRDefault="008B76AD" w:rsidP="008B76AD">
            <w:pPr>
              <w:ind w:right="57"/>
              <w:jc w:val="right"/>
              <w:rPr>
                <w:sz w:val="18"/>
                <w:szCs w:val="18"/>
              </w:rPr>
            </w:pPr>
          </w:p>
        </w:tc>
        <w:tc>
          <w:tcPr>
            <w:tcW w:w="104" w:type="dxa"/>
            <w:shd w:val="clear" w:color="auto" w:fill="auto"/>
            <w:vAlign w:val="bottom"/>
          </w:tcPr>
          <w:p w14:paraId="52B3A0D7" w14:textId="77777777" w:rsidR="008B76AD" w:rsidRPr="00B078AC" w:rsidRDefault="008B76AD" w:rsidP="008B76AD">
            <w:pPr>
              <w:ind w:left="-76" w:right="28"/>
              <w:jc w:val="right"/>
              <w:rPr>
                <w:sz w:val="18"/>
                <w:szCs w:val="18"/>
              </w:rPr>
            </w:pPr>
          </w:p>
        </w:tc>
        <w:tc>
          <w:tcPr>
            <w:tcW w:w="1504" w:type="dxa"/>
            <w:tcBorders>
              <w:top w:val="single" w:sz="4" w:space="0" w:color="auto"/>
              <w:bottom w:val="nil"/>
            </w:tcBorders>
            <w:vAlign w:val="bottom"/>
          </w:tcPr>
          <w:p w14:paraId="502E310B" w14:textId="77777777" w:rsidR="008B76AD" w:rsidRPr="00B078AC" w:rsidRDefault="008B76AD" w:rsidP="008B76AD">
            <w:pPr>
              <w:ind w:right="57"/>
              <w:jc w:val="right"/>
              <w:rPr>
                <w:sz w:val="18"/>
                <w:szCs w:val="18"/>
              </w:rPr>
            </w:pPr>
          </w:p>
        </w:tc>
        <w:tc>
          <w:tcPr>
            <w:tcW w:w="2221" w:type="dxa"/>
            <w:shd w:val="clear" w:color="auto" w:fill="auto"/>
            <w:vAlign w:val="bottom"/>
          </w:tcPr>
          <w:p w14:paraId="171C6424" w14:textId="77777777" w:rsidR="008B76AD" w:rsidRPr="00B078AC" w:rsidRDefault="008B76AD" w:rsidP="008B76AD">
            <w:pPr>
              <w:ind w:right="57"/>
              <w:jc w:val="right"/>
              <w:rPr>
                <w:i/>
                <w:sz w:val="18"/>
                <w:szCs w:val="18"/>
              </w:rPr>
            </w:pPr>
          </w:p>
        </w:tc>
      </w:tr>
      <w:tr w:rsidR="008B76AD" w:rsidRPr="00EA2E1E" w14:paraId="68465105" w14:textId="77777777" w:rsidTr="000A435F">
        <w:tc>
          <w:tcPr>
            <w:tcW w:w="2237" w:type="dxa"/>
            <w:tcBorders>
              <w:bottom w:val="nil"/>
            </w:tcBorders>
            <w:shd w:val="clear" w:color="auto" w:fill="auto"/>
          </w:tcPr>
          <w:p w14:paraId="58FB82E4" w14:textId="77777777" w:rsidR="008B76AD" w:rsidRPr="00B078AC" w:rsidRDefault="008B76AD" w:rsidP="008B76AD">
            <w:pPr>
              <w:tabs>
                <w:tab w:val="right" w:pos="2381"/>
              </w:tabs>
              <w:ind w:left="283" w:hanging="170"/>
              <w:rPr>
                <w:b/>
                <w:sz w:val="18"/>
                <w:szCs w:val="18"/>
              </w:rPr>
            </w:pPr>
            <w:r w:rsidRPr="00B078AC">
              <w:rPr>
                <w:b/>
                <w:sz w:val="18"/>
                <w:szCs w:val="18"/>
              </w:rPr>
              <w:t xml:space="preserve">JUMLAH LIABILITAS </w:t>
            </w:r>
            <w:r w:rsidRPr="00B078AC">
              <w:rPr>
                <w:b/>
                <w:sz w:val="18"/>
                <w:szCs w:val="18"/>
              </w:rPr>
              <w:tab/>
            </w:r>
          </w:p>
        </w:tc>
        <w:tc>
          <w:tcPr>
            <w:tcW w:w="1540" w:type="dxa"/>
            <w:tcBorders>
              <w:bottom w:val="nil"/>
            </w:tcBorders>
            <w:shd w:val="clear" w:color="auto" w:fill="auto"/>
            <w:vAlign w:val="bottom"/>
          </w:tcPr>
          <w:p w14:paraId="43D95AD7" w14:textId="77777777" w:rsidR="008B76AD" w:rsidRPr="00B078AC" w:rsidRDefault="008B76AD" w:rsidP="008B76AD">
            <w:pPr>
              <w:jc w:val="center"/>
              <w:rPr>
                <w:b/>
                <w:sz w:val="18"/>
                <w:szCs w:val="18"/>
              </w:rPr>
            </w:pPr>
          </w:p>
        </w:tc>
        <w:tc>
          <w:tcPr>
            <w:tcW w:w="93" w:type="dxa"/>
            <w:tcBorders>
              <w:bottom w:val="nil"/>
            </w:tcBorders>
            <w:shd w:val="clear" w:color="auto" w:fill="auto"/>
          </w:tcPr>
          <w:p w14:paraId="047EC72C" w14:textId="77777777" w:rsidR="008B76AD" w:rsidRPr="00B078AC" w:rsidRDefault="008B76AD" w:rsidP="008B76AD">
            <w:pPr>
              <w:rPr>
                <w:b/>
                <w:sz w:val="18"/>
                <w:szCs w:val="18"/>
              </w:rPr>
            </w:pPr>
          </w:p>
        </w:tc>
        <w:tc>
          <w:tcPr>
            <w:tcW w:w="1497" w:type="dxa"/>
            <w:tcBorders>
              <w:bottom w:val="single" w:sz="4" w:space="0" w:color="auto"/>
            </w:tcBorders>
            <w:shd w:val="clear" w:color="auto" w:fill="auto"/>
            <w:vAlign w:val="bottom"/>
          </w:tcPr>
          <w:p w14:paraId="0EAB8707" w14:textId="1488EF25" w:rsidR="008B76AD" w:rsidRPr="009311F4" w:rsidRDefault="0074271F" w:rsidP="009311F4">
            <w:pPr>
              <w:ind w:right="57"/>
              <w:jc w:val="right"/>
              <w:rPr>
                <w:b/>
                <w:bCs w:val="0"/>
                <w:sz w:val="18"/>
                <w:szCs w:val="18"/>
              </w:rPr>
            </w:pPr>
            <w:r w:rsidRPr="00B078AC">
              <w:rPr>
                <w:b/>
                <w:sz w:val="18"/>
                <w:szCs w:val="18"/>
              </w:rPr>
              <w:t>1.</w:t>
            </w:r>
            <w:r w:rsidRPr="00B078AC">
              <w:rPr>
                <w:b/>
                <w:sz w:val="18"/>
                <w:szCs w:val="18"/>
                <w:lang w:val="id-ID"/>
              </w:rPr>
              <w:t>703</w:t>
            </w:r>
            <w:r w:rsidRPr="00B078AC">
              <w:rPr>
                <w:b/>
                <w:sz w:val="18"/>
                <w:szCs w:val="18"/>
              </w:rPr>
              <w:t>.</w:t>
            </w:r>
            <w:r w:rsidR="00324742" w:rsidRPr="00B078AC">
              <w:rPr>
                <w:b/>
                <w:sz w:val="18"/>
                <w:szCs w:val="18"/>
                <w:lang w:val="id-ID"/>
              </w:rPr>
              <w:t>737</w:t>
            </w:r>
            <w:r w:rsidR="00324742" w:rsidRPr="00B078AC">
              <w:rPr>
                <w:b/>
                <w:sz w:val="18"/>
                <w:szCs w:val="18"/>
              </w:rPr>
              <w:t>.</w:t>
            </w:r>
            <w:r w:rsidR="00324742" w:rsidRPr="00B078AC">
              <w:rPr>
                <w:b/>
                <w:sz w:val="18"/>
                <w:szCs w:val="18"/>
                <w:lang w:val="id-ID"/>
              </w:rPr>
              <w:t>3</w:t>
            </w:r>
            <w:r w:rsidRPr="00B078AC">
              <w:rPr>
                <w:b/>
                <w:sz w:val="18"/>
                <w:szCs w:val="18"/>
                <w:lang w:val="id-ID"/>
              </w:rPr>
              <w:t>6</w:t>
            </w:r>
            <w:r w:rsidR="00324742" w:rsidRPr="00B078AC">
              <w:rPr>
                <w:b/>
                <w:sz w:val="18"/>
                <w:szCs w:val="18"/>
                <w:lang w:val="id-ID"/>
              </w:rPr>
              <w:t>1</w:t>
            </w:r>
            <w:r w:rsidRPr="00B078AC">
              <w:rPr>
                <w:b/>
                <w:sz w:val="18"/>
                <w:szCs w:val="18"/>
              </w:rPr>
              <w:t>.</w:t>
            </w:r>
            <w:r w:rsidR="00324742" w:rsidRPr="00B078AC">
              <w:rPr>
                <w:b/>
                <w:sz w:val="18"/>
                <w:szCs w:val="18"/>
                <w:lang w:val="id-ID"/>
              </w:rPr>
              <w:t>55</w:t>
            </w:r>
            <w:r w:rsidR="009311F4">
              <w:rPr>
                <w:b/>
                <w:sz w:val="18"/>
                <w:szCs w:val="18"/>
              </w:rPr>
              <w:t>1</w:t>
            </w:r>
          </w:p>
        </w:tc>
        <w:tc>
          <w:tcPr>
            <w:tcW w:w="104" w:type="dxa"/>
            <w:tcBorders>
              <w:bottom w:val="nil"/>
            </w:tcBorders>
            <w:shd w:val="clear" w:color="auto" w:fill="auto"/>
            <w:vAlign w:val="bottom"/>
          </w:tcPr>
          <w:p w14:paraId="6567D92E" w14:textId="77777777" w:rsidR="008B76AD" w:rsidRPr="00B078AC" w:rsidRDefault="008B76AD" w:rsidP="008B76AD">
            <w:pPr>
              <w:ind w:left="-76" w:right="28"/>
              <w:jc w:val="right"/>
              <w:rPr>
                <w:b/>
                <w:bCs w:val="0"/>
                <w:sz w:val="18"/>
                <w:szCs w:val="18"/>
              </w:rPr>
            </w:pPr>
          </w:p>
        </w:tc>
        <w:tc>
          <w:tcPr>
            <w:tcW w:w="1504" w:type="dxa"/>
            <w:tcBorders>
              <w:bottom w:val="single" w:sz="4" w:space="0" w:color="auto"/>
            </w:tcBorders>
            <w:vAlign w:val="bottom"/>
          </w:tcPr>
          <w:p w14:paraId="5C03980B" w14:textId="0401CFA7" w:rsidR="008B76AD" w:rsidRPr="00B078AC" w:rsidRDefault="007317ED" w:rsidP="008B76AD">
            <w:pPr>
              <w:ind w:right="57"/>
              <w:jc w:val="right"/>
              <w:rPr>
                <w:b/>
                <w:bCs w:val="0"/>
                <w:sz w:val="18"/>
                <w:szCs w:val="18"/>
              </w:rPr>
            </w:pPr>
            <w:r w:rsidRPr="00B078AC">
              <w:rPr>
                <w:b/>
                <w:bCs w:val="0"/>
                <w:sz w:val="18"/>
                <w:szCs w:val="18"/>
              </w:rPr>
              <w:t>1.332.955.849.063</w:t>
            </w:r>
          </w:p>
        </w:tc>
        <w:tc>
          <w:tcPr>
            <w:tcW w:w="2221" w:type="dxa"/>
            <w:tcBorders>
              <w:bottom w:val="nil"/>
            </w:tcBorders>
            <w:shd w:val="clear" w:color="auto" w:fill="auto"/>
            <w:vAlign w:val="bottom"/>
          </w:tcPr>
          <w:p w14:paraId="10ECD223" w14:textId="77777777" w:rsidR="008B76AD" w:rsidRPr="00EA2E1E" w:rsidRDefault="008B76AD" w:rsidP="008B76AD">
            <w:pPr>
              <w:ind w:right="57"/>
              <w:jc w:val="right"/>
              <w:rPr>
                <w:b/>
                <w:i/>
                <w:sz w:val="18"/>
                <w:szCs w:val="18"/>
              </w:rPr>
            </w:pPr>
            <w:r w:rsidRPr="00B078AC">
              <w:rPr>
                <w:b/>
                <w:i/>
                <w:sz w:val="18"/>
                <w:szCs w:val="18"/>
              </w:rPr>
              <w:t>TOTAL LIABILITIES</w:t>
            </w:r>
          </w:p>
        </w:tc>
      </w:tr>
    </w:tbl>
    <w:p w14:paraId="6C9F1185" w14:textId="77777777" w:rsidR="006657E6" w:rsidRPr="0013526B" w:rsidRDefault="006657E6" w:rsidP="0013526B">
      <w:pPr>
        <w:rPr>
          <w:sz w:val="18"/>
          <w:szCs w:val="18"/>
        </w:rPr>
      </w:pPr>
    </w:p>
    <w:p w14:paraId="2D6FF9F4" w14:textId="77777777" w:rsidR="00002CCA" w:rsidRPr="0013526B" w:rsidRDefault="00002CCA" w:rsidP="0013526B">
      <w:pPr>
        <w:rPr>
          <w:sz w:val="18"/>
          <w:szCs w:val="18"/>
        </w:rPr>
      </w:pPr>
    </w:p>
    <w:p w14:paraId="3BD4C900" w14:textId="77777777" w:rsidR="00002CCA" w:rsidRPr="0013526B" w:rsidRDefault="00002CCA" w:rsidP="0013526B">
      <w:pPr>
        <w:rPr>
          <w:sz w:val="18"/>
          <w:szCs w:val="18"/>
        </w:rPr>
      </w:pPr>
    </w:p>
    <w:p w14:paraId="6D2FEA27" w14:textId="77777777" w:rsidR="00002CCA" w:rsidRPr="0013526B" w:rsidRDefault="00002CCA" w:rsidP="0013526B">
      <w:pPr>
        <w:rPr>
          <w:sz w:val="18"/>
          <w:szCs w:val="18"/>
        </w:rPr>
      </w:pPr>
    </w:p>
    <w:p w14:paraId="6236BC3F" w14:textId="7CF30D0F" w:rsidR="00002CCA" w:rsidRDefault="00002CCA" w:rsidP="0013526B">
      <w:pPr>
        <w:rPr>
          <w:sz w:val="18"/>
          <w:szCs w:val="18"/>
        </w:rPr>
      </w:pPr>
    </w:p>
    <w:p w14:paraId="65AEA433" w14:textId="77777777" w:rsidR="00856398" w:rsidRPr="00460FB4" w:rsidRDefault="00856398" w:rsidP="0013526B">
      <w:pPr>
        <w:rPr>
          <w:sz w:val="18"/>
          <w:szCs w:val="18"/>
        </w:rPr>
      </w:pPr>
    </w:p>
    <w:p w14:paraId="10696FBE" w14:textId="77777777" w:rsidR="005275A8" w:rsidRDefault="005275A8" w:rsidP="008B76AD">
      <w:pPr>
        <w:ind w:left="142"/>
        <w:rPr>
          <w:sz w:val="18"/>
          <w:szCs w:val="18"/>
        </w:rPr>
        <w:sectPr w:rsidR="005275A8" w:rsidSect="001521B0">
          <w:headerReference w:type="even" r:id="rId15"/>
          <w:headerReference w:type="default" r:id="rId16"/>
          <w:footerReference w:type="default" r:id="rId17"/>
          <w:headerReference w:type="first" r:id="rId18"/>
          <w:pgSz w:w="11907" w:h="16840" w:code="9"/>
          <w:pgMar w:top="1701" w:right="992" w:bottom="1134" w:left="1559" w:header="850" w:footer="397" w:gutter="0"/>
          <w:pgNumType w:start="2"/>
          <w:cols w:space="720"/>
          <w:docGrid w:linePitch="360"/>
        </w:sectPr>
      </w:pPr>
    </w:p>
    <w:tbl>
      <w:tblPr>
        <w:tblW w:w="9214" w:type="dxa"/>
        <w:tblInd w:w="113" w:type="dxa"/>
        <w:tblCellMar>
          <w:left w:w="0" w:type="dxa"/>
          <w:right w:w="0" w:type="dxa"/>
        </w:tblCellMar>
        <w:tblLook w:val="04A0" w:firstRow="1" w:lastRow="0" w:firstColumn="1" w:lastColumn="0" w:noHBand="0" w:noVBand="1"/>
      </w:tblPr>
      <w:tblGrid>
        <w:gridCol w:w="2253"/>
        <w:gridCol w:w="1502"/>
        <w:gridCol w:w="103"/>
        <w:gridCol w:w="1514"/>
        <w:gridCol w:w="103"/>
        <w:gridCol w:w="1514"/>
        <w:gridCol w:w="2225"/>
      </w:tblGrid>
      <w:tr w:rsidR="00895892" w:rsidRPr="00EA2E1E" w14:paraId="0815D18D" w14:textId="77777777" w:rsidTr="007D4DDD">
        <w:tc>
          <w:tcPr>
            <w:tcW w:w="2253" w:type="dxa"/>
            <w:shd w:val="clear" w:color="auto" w:fill="auto"/>
          </w:tcPr>
          <w:p w14:paraId="77DE185C" w14:textId="31C93E57" w:rsidR="00895892" w:rsidRPr="00EA2E1E" w:rsidRDefault="00895892" w:rsidP="00895892">
            <w:pPr>
              <w:ind w:left="142"/>
              <w:rPr>
                <w:sz w:val="18"/>
                <w:szCs w:val="18"/>
              </w:rPr>
            </w:pPr>
            <w:r w:rsidRPr="00EA2E1E">
              <w:rPr>
                <w:sz w:val="18"/>
                <w:szCs w:val="18"/>
              </w:rPr>
              <w:lastRenderedPageBreak/>
              <w:br w:type="page"/>
            </w:r>
          </w:p>
        </w:tc>
        <w:tc>
          <w:tcPr>
            <w:tcW w:w="1502" w:type="dxa"/>
            <w:tcBorders>
              <w:bottom w:val="single" w:sz="4" w:space="0" w:color="auto"/>
            </w:tcBorders>
            <w:shd w:val="clear" w:color="auto" w:fill="auto"/>
            <w:vAlign w:val="bottom"/>
          </w:tcPr>
          <w:p w14:paraId="1E59677A" w14:textId="77777777" w:rsidR="00895892" w:rsidRPr="00EA2E1E" w:rsidRDefault="00895892" w:rsidP="00895892">
            <w:pPr>
              <w:jc w:val="center"/>
              <w:rPr>
                <w:b/>
                <w:sz w:val="18"/>
                <w:szCs w:val="18"/>
              </w:rPr>
            </w:pPr>
            <w:r w:rsidRPr="00EA2E1E">
              <w:rPr>
                <w:b/>
                <w:sz w:val="18"/>
                <w:szCs w:val="18"/>
              </w:rPr>
              <w:t>Catatan/</w:t>
            </w:r>
          </w:p>
          <w:p w14:paraId="66E37614" w14:textId="77777777" w:rsidR="00895892" w:rsidRPr="00EA2E1E" w:rsidRDefault="00895892" w:rsidP="00895892">
            <w:pPr>
              <w:jc w:val="center"/>
              <w:rPr>
                <w:b/>
                <w:i/>
                <w:sz w:val="18"/>
                <w:szCs w:val="18"/>
              </w:rPr>
            </w:pPr>
            <w:r w:rsidRPr="00EA2E1E">
              <w:rPr>
                <w:b/>
                <w:i/>
                <w:sz w:val="18"/>
                <w:szCs w:val="18"/>
              </w:rPr>
              <w:t>Notes</w:t>
            </w:r>
          </w:p>
        </w:tc>
        <w:tc>
          <w:tcPr>
            <w:tcW w:w="103" w:type="dxa"/>
            <w:shd w:val="clear" w:color="auto" w:fill="auto"/>
          </w:tcPr>
          <w:p w14:paraId="3F35D766" w14:textId="77777777" w:rsidR="00895892" w:rsidRPr="00EA2E1E" w:rsidRDefault="00895892" w:rsidP="00895892">
            <w:pPr>
              <w:jc w:val="center"/>
              <w:rPr>
                <w:b/>
                <w:sz w:val="18"/>
                <w:szCs w:val="18"/>
              </w:rPr>
            </w:pPr>
          </w:p>
        </w:tc>
        <w:tc>
          <w:tcPr>
            <w:tcW w:w="1514" w:type="dxa"/>
            <w:tcBorders>
              <w:bottom w:val="single" w:sz="4" w:space="0" w:color="auto"/>
            </w:tcBorders>
            <w:shd w:val="clear" w:color="auto" w:fill="auto"/>
            <w:vAlign w:val="bottom"/>
          </w:tcPr>
          <w:p w14:paraId="03F3B015" w14:textId="77777777" w:rsidR="00895892" w:rsidRDefault="00895892" w:rsidP="00895892">
            <w:pPr>
              <w:jc w:val="center"/>
              <w:rPr>
                <w:b/>
                <w:sz w:val="16"/>
                <w:szCs w:val="16"/>
              </w:rPr>
            </w:pPr>
            <w:r w:rsidRPr="00E22A2F">
              <w:rPr>
                <w:b/>
                <w:sz w:val="16"/>
                <w:szCs w:val="16"/>
              </w:rPr>
              <w:t xml:space="preserve">31 Maret/ </w:t>
            </w:r>
          </w:p>
          <w:p w14:paraId="0F9540BF" w14:textId="6C697B2F" w:rsidR="00895892" w:rsidRPr="00EA2E1E" w:rsidRDefault="00895892" w:rsidP="00C92587">
            <w:pPr>
              <w:jc w:val="center"/>
              <w:rPr>
                <w:b/>
                <w:sz w:val="18"/>
                <w:szCs w:val="18"/>
              </w:rPr>
            </w:pPr>
            <w:r w:rsidRPr="00E22A2F">
              <w:rPr>
                <w:b/>
                <w:sz w:val="16"/>
                <w:szCs w:val="16"/>
              </w:rPr>
              <w:t>March 31</w:t>
            </w:r>
            <w:r w:rsidR="00C92587">
              <w:rPr>
                <w:b/>
                <w:sz w:val="16"/>
                <w:szCs w:val="16"/>
              </w:rPr>
              <w:t>,</w:t>
            </w:r>
            <w:r>
              <w:rPr>
                <w:b/>
                <w:sz w:val="16"/>
                <w:szCs w:val="16"/>
              </w:rPr>
              <w:t xml:space="preserve"> </w:t>
            </w:r>
            <w:r w:rsidRPr="00E22A2F">
              <w:rPr>
                <w:b/>
                <w:sz w:val="16"/>
                <w:szCs w:val="16"/>
              </w:rPr>
              <w:t>2020</w:t>
            </w:r>
          </w:p>
        </w:tc>
        <w:tc>
          <w:tcPr>
            <w:tcW w:w="103" w:type="dxa"/>
            <w:shd w:val="clear" w:color="auto" w:fill="auto"/>
            <w:vAlign w:val="bottom"/>
          </w:tcPr>
          <w:p w14:paraId="6BE186F2" w14:textId="77777777" w:rsidR="00895892" w:rsidRPr="00EA2E1E" w:rsidRDefault="00895892" w:rsidP="00895892">
            <w:pPr>
              <w:jc w:val="center"/>
              <w:rPr>
                <w:b/>
                <w:sz w:val="18"/>
                <w:szCs w:val="18"/>
              </w:rPr>
            </w:pPr>
          </w:p>
        </w:tc>
        <w:tc>
          <w:tcPr>
            <w:tcW w:w="1514" w:type="dxa"/>
            <w:tcBorders>
              <w:bottom w:val="single" w:sz="4" w:space="0" w:color="auto"/>
            </w:tcBorders>
            <w:vAlign w:val="bottom"/>
          </w:tcPr>
          <w:p w14:paraId="7ED2E6AC" w14:textId="77777777" w:rsidR="00895892" w:rsidRDefault="00895892" w:rsidP="00895892">
            <w:pPr>
              <w:jc w:val="center"/>
              <w:rPr>
                <w:b/>
                <w:sz w:val="16"/>
                <w:szCs w:val="16"/>
              </w:rPr>
            </w:pPr>
            <w:r w:rsidRPr="00E22A2F">
              <w:rPr>
                <w:b/>
                <w:sz w:val="16"/>
                <w:szCs w:val="16"/>
              </w:rPr>
              <w:t>31 Desember/</w:t>
            </w:r>
          </w:p>
          <w:p w14:paraId="4602EE85" w14:textId="23381E0D" w:rsidR="00895892" w:rsidRPr="00EA2E1E" w:rsidRDefault="00895892" w:rsidP="00C92587">
            <w:pPr>
              <w:jc w:val="center"/>
              <w:rPr>
                <w:b/>
                <w:sz w:val="18"/>
                <w:szCs w:val="18"/>
              </w:rPr>
            </w:pPr>
            <w:r w:rsidRPr="00E22A2F">
              <w:rPr>
                <w:b/>
                <w:sz w:val="16"/>
                <w:szCs w:val="16"/>
              </w:rPr>
              <w:t>December 31</w:t>
            </w:r>
            <w:r w:rsidR="00C92587">
              <w:rPr>
                <w:b/>
                <w:sz w:val="16"/>
                <w:szCs w:val="16"/>
              </w:rPr>
              <w:t xml:space="preserve">, </w:t>
            </w:r>
            <w:r w:rsidRPr="00E22A2F">
              <w:rPr>
                <w:b/>
                <w:sz w:val="16"/>
                <w:szCs w:val="16"/>
              </w:rPr>
              <w:t>2019</w:t>
            </w:r>
          </w:p>
        </w:tc>
        <w:tc>
          <w:tcPr>
            <w:tcW w:w="2225" w:type="dxa"/>
            <w:shd w:val="clear" w:color="auto" w:fill="auto"/>
          </w:tcPr>
          <w:p w14:paraId="798540DA" w14:textId="77777777" w:rsidR="00895892" w:rsidRPr="00EA2E1E" w:rsidRDefault="00895892" w:rsidP="00895892">
            <w:pPr>
              <w:rPr>
                <w:sz w:val="18"/>
                <w:szCs w:val="18"/>
              </w:rPr>
            </w:pPr>
          </w:p>
        </w:tc>
      </w:tr>
      <w:tr w:rsidR="00882FF8" w:rsidRPr="00EA2E1E" w14:paraId="73D5892A" w14:textId="77777777" w:rsidTr="007D4DDD">
        <w:tc>
          <w:tcPr>
            <w:tcW w:w="2253" w:type="dxa"/>
            <w:shd w:val="clear" w:color="auto" w:fill="auto"/>
          </w:tcPr>
          <w:p w14:paraId="4814C67E" w14:textId="77777777" w:rsidR="00882FF8" w:rsidRPr="00EA2E1E" w:rsidRDefault="00882FF8" w:rsidP="0013526B">
            <w:pPr>
              <w:rPr>
                <w:sz w:val="18"/>
                <w:szCs w:val="18"/>
              </w:rPr>
            </w:pPr>
          </w:p>
        </w:tc>
        <w:tc>
          <w:tcPr>
            <w:tcW w:w="1502" w:type="dxa"/>
            <w:tcBorders>
              <w:top w:val="single" w:sz="4" w:space="0" w:color="auto"/>
            </w:tcBorders>
            <w:shd w:val="clear" w:color="auto" w:fill="auto"/>
          </w:tcPr>
          <w:p w14:paraId="600FB96C" w14:textId="77777777" w:rsidR="00882FF8" w:rsidRPr="00EA2E1E" w:rsidRDefault="00882FF8" w:rsidP="0013526B">
            <w:pPr>
              <w:rPr>
                <w:sz w:val="18"/>
                <w:szCs w:val="18"/>
              </w:rPr>
            </w:pPr>
          </w:p>
        </w:tc>
        <w:tc>
          <w:tcPr>
            <w:tcW w:w="103" w:type="dxa"/>
            <w:shd w:val="clear" w:color="auto" w:fill="auto"/>
          </w:tcPr>
          <w:p w14:paraId="5649426B" w14:textId="77777777" w:rsidR="00882FF8" w:rsidRPr="00EA2E1E" w:rsidRDefault="00882FF8" w:rsidP="0013526B">
            <w:pPr>
              <w:rPr>
                <w:sz w:val="18"/>
                <w:szCs w:val="18"/>
              </w:rPr>
            </w:pPr>
          </w:p>
        </w:tc>
        <w:tc>
          <w:tcPr>
            <w:tcW w:w="1514" w:type="dxa"/>
            <w:tcBorders>
              <w:top w:val="single" w:sz="4" w:space="0" w:color="auto"/>
            </w:tcBorders>
            <w:shd w:val="clear" w:color="auto" w:fill="auto"/>
            <w:vAlign w:val="bottom"/>
          </w:tcPr>
          <w:p w14:paraId="5385E913" w14:textId="77777777" w:rsidR="00882FF8" w:rsidRPr="00EA2E1E" w:rsidRDefault="00882FF8" w:rsidP="0013526B">
            <w:pPr>
              <w:jc w:val="right"/>
              <w:rPr>
                <w:sz w:val="18"/>
                <w:szCs w:val="18"/>
              </w:rPr>
            </w:pPr>
          </w:p>
        </w:tc>
        <w:tc>
          <w:tcPr>
            <w:tcW w:w="103" w:type="dxa"/>
            <w:shd w:val="clear" w:color="auto" w:fill="auto"/>
            <w:vAlign w:val="bottom"/>
          </w:tcPr>
          <w:p w14:paraId="534B4E73" w14:textId="77777777" w:rsidR="00882FF8" w:rsidRPr="00EA2E1E" w:rsidRDefault="00882FF8" w:rsidP="0013526B">
            <w:pPr>
              <w:jc w:val="right"/>
              <w:rPr>
                <w:sz w:val="18"/>
                <w:szCs w:val="18"/>
              </w:rPr>
            </w:pPr>
          </w:p>
        </w:tc>
        <w:tc>
          <w:tcPr>
            <w:tcW w:w="1514" w:type="dxa"/>
            <w:tcBorders>
              <w:top w:val="single" w:sz="4" w:space="0" w:color="auto"/>
            </w:tcBorders>
            <w:vAlign w:val="bottom"/>
          </w:tcPr>
          <w:p w14:paraId="0B0D75BC" w14:textId="77777777" w:rsidR="00882FF8" w:rsidRPr="00EA2E1E" w:rsidRDefault="00882FF8" w:rsidP="0013526B">
            <w:pPr>
              <w:jc w:val="right"/>
              <w:rPr>
                <w:sz w:val="18"/>
                <w:szCs w:val="18"/>
              </w:rPr>
            </w:pPr>
          </w:p>
        </w:tc>
        <w:tc>
          <w:tcPr>
            <w:tcW w:w="2225" w:type="dxa"/>
            <w:shd w:val="clear" w:color="auto" w:fill="auto"/>
          </w:tcPr>
          <w:p w14:paraId="1E6A6C9D" w14:textId="77777777" w:rsidR="00882FF8" w:rsidRPr="00EA2E1E" w:rsidRDefault="00882FF8" w:rsidP="0013526B">
            <w:pPr>
              <w:rPr>
                <w:sz w:val="18"/>
                <w:szCs w:val="18"/>
              </w:rPr>
            </w:pPr>
          </w:p>
        </w:tc>
      </w:tr>
      <w:tr w:rsidR="00882FF8" w:rsidRPr="00EA2E1E" w14:paraId="214418A1" w14:textId="77777777" w:rsidTr="007D4DDD">
        <w:tc>
          <w:tcPr>
            <w:tcW w:w="2253" w:type="dxa"/>
            <w:shd w:val="clear" w:color="auto" w:fill="auto"/>
          </w:tcPr>
          <w:p w14:paraId="61FC110F" w14:textId="77777777" w:rsidR="00882FF8" w:rsidRPr="00EA2E1E" w:rsidRDefault="00882FF8" w:rsidP="0013526B">
            <w:pPr>
              <w:ind w:left="283" w:hanging="170"/>
              <w:rPr>
                <w:b/>
                <w:sz w:val="18"/>
                <w:szCs w:val="18"/>
              </w:rPr>
            </w:pPr>
            <w:r w:rsidRPr="00EA2E1E">
              <w:rPr>
                <w:b/>
                <w:sz w:val="18"/>
                <w:szCs w:val="18"/>
              </w:rPr>
              <w:t xml:space="preserve">EKUITAS </w:t>
            </w:r>
          </w:p>
        </w:tc>
        <w:tc>
          <w:tcPr>
            <w:tcW w:w="1502" w:type="dxa"/>
            <w:shd w:val="clear" w:color="auto" w:fill="auto"/>
          </w:tcPr>
          <w:p w14:paraId="1E274F95" w14:textId="77777777" w:rsidR="00882FF8" w:rsidRPr="00EA2E1E" w:rsidRDefault="00882FF8" w:rsidP="0013526B">
            <w:pPr>
              <w:rPr>
                <w:b/>
                <w:sz w:val="18"/>
                <w:szCs w:val="18"/>
              </w:rPr>
            </w:pPr>
          </w:p>
        </w:tc>
        <w:tc>
          <w:tcPr>
            <w:tcW w:w="103" w:type="dxa"/>
            <w:shd w:val="clear" w:color="auto" w:fill="auto"/>
          </w:tcPr>
          <w:p w14:paraId="6524C684" w14:textId="77777777" w:rsidR="00882FF8" w:rsidRPr="00EA2E1E" w:rsidRDefault="00882FF8" w:rsidP="0013526B">
            <w:pPr>
              <w:rPr>
                <w:b/>
                <w:sz w:val="18"/>
                <w:szCs w:val="18"/>
              </w:rPr>
            </w:pPr>
          </w:p>
        </w:tc>
        <w:tc>
          <w:tcPr>
            <w:tcW w:w="1514" w:type="dxa"/>
            <w:shd w:val="clear" w:color="auto" w:fill="auto"/>
            <w:vAlign w:val="bottom"/>
          </w:tcPr>
          <w:p w14:paraId="4EE0A96B" w14:textId="77777777" w:rsidR="00882FF8" w:rsidRPr="00BC356C" w:rsidRDefault="00882FF8" w:rsidP="0013526B">
            <w:pPr>
              <w:jc w:val="right"/>
              <w:rPr>
                <w:b/>
                <w:sz w:val="18"/>
                <w:szCs w:val="18"/>
                <w:highlight w:val="cyan"/>
              </w:rPr>
            </w:pPr>
          </w:p>
        </w:tc>
        <w:tc>
          <w:tcPr>
            <w:tcW w:w="103" w:type="dxa"/>
            <w:shd w:val="clear" w:color="auto" w:fill="auto"/>
            <w:vAlign w:val="bottom"/>
          </w:tcPr>
          <w:p w14:paraId="1BD04431" w14:textId="77777777" w:rsidR="00882FF8" w:rsidRPr="00EA2E1E" w:rsidRDefault="00882FF8" w:rsidP="0013526B">
            <w:pPr>
              <w:jc w:val="right"/>
              <w:rPr>
                <w:b/>
                <w:sz w:val="18"/>
                <w:szCs w:val="18"/>
              </w:rPr>
            </w:pPr>
          </w:p>
        </w:tc>
        <w:tc>
          <w:tcPr>
            <w:tcW w:w="1514" w:type="dxa"/>
            <w:vAlign w:val="bottom"/>
          </w:tcPr>
          <w:p w14:paraId="1FD4C8DF" w14:textId="77777777" w:rsidR="00882FF8" w:rsidRPr="00EA2E1E" w:rsidRDefault="00882FF8" w:rsidP="0013526B">
            <w:pPr>
              <w:jc w:val="right"/>
              <w:rPr>
                <w:b/>
                <w:sz w:val="18"/>
                <w:szCs w:val="18"/>
              </w:rPr>
            </w:pPr>
          </w:p>
        </w:tc>
        <w:tc>
          <w:tcPr>
            <w:tcW w:w="2225" w:type="dxa"/>
            <w:shd w:val="clear" w:color="auto" w:fill="auto"/>
            <w:vAlign w:val="bottom"/>
          </w:tcPr>
          <w:p w14:paraId="412AC7E9" w14:textId="77777777" w:rsidR="00882FF8" w:rsidRPr="00EA2E1E" w:rsidRDefault="00882FF8" w:rsidP="0013526B">
            <w:pPr>
              <w:ind w:right="57"/>
              <w:jc w:val="right"/>
              <w:rPr>
                <w:b/>
                <w:i/>
                <w:sz w:val="18"/>
                <w:szCs w:val="18"/>
              </w:rPr>
            </w:pPr>
            <w:r w:rsidRPr="00EA2E1E">
              <w:rPr>
                <w:b/>
                <w:i/>
                <w:sz w:val="18"/>
                <w:szCs w:val="18"/>
              </w:rPr>
              <w:t xml:space="preserve">EQUITY </w:t>
            </w:r>
          </w:p>
        </w:tc>
      </w:tr>
      <w:tr w:rsidR="00882FF8" w:rsidRPr="00EA2E1E" w14:paraId="205BA351" w14:textId="77777777" w:rsidTr="007D4DDD">
        <w:tc>
          <w:tcPr>
            <w:tcW w:w="2253" w:type="dxa"/>
            <w:shd w:val="clear" w:color="auto" w:fill="auto"/>
          </w:tcPr>
          <w:p w14:paraId="4C7189F1" w14:textId="77777777" w:rsidR="00882FF8" w:rsidRPr="00EA2E1E" w:rsidRDefault="00882FF8" w:rsidP="0013526B">
            <w:pPr>
              <w:ind w:left="283" w:hanging="170"/>
              <w:rPr>
                <w:b/>
                <w:sz w:val="18"/>
                <w:szCs w:val="18"/>
              </w:rPr>
            </w:pPr>
            <w:r w:rsidRPr="00EA2E1E">
              <w:rPr>
                <w:b/>
                <w:sz w:val="18"/>
                <w:szCs w:val="18"/>
              </w:rPr>
              <w:t xml:space="preserve">Ekuitas yang Dapat Diatribusikan Kepada Pemilik Entitas Induk </w:t>
            </w:r>
          </w:p>
        </w:tc>
        <w:tc>
          <w:tcPr>
            <w:tcW w:w="1502" w:type="dxa"/>
            <w:shd w:val="clear" w:color="auto" w:fill="auto"/>
          </w:tcPr>
          <w:p w14:paraId="3AC5B7E5" w14:textId="77777777" w:rsidR="00882FF8" w:rsidRPr="00EA2E1E" w:rsidRDefault="00882FF8" w:rsidP="0013526B">
            <w:pPr>
              <w:rPr>
                <w:b/>
                <w:sz w:val="18"/>
                <w:szCs w:val="18"/>
              </w:rPr>
            </w:pPr>
          </w:p>
          <w:p w14:paraId="4E2CA1C2" w14:textId="77777777" w:rsidR="00882FF8" w:rsidRPr="00EA2E1E" w:rsidRDefault="00882FF8" w:rsidP="0013526B">
            <w:pPr>
              <w:jc w:val="center"/>
              <w:rPr>
                <w:sz w:val="18"/>
                <w:szCs w:val="18"/>
              </w:rPr>
            </w:pPr>
          </w:p>
        </w:tc>
        <w:tc>
          <w:tcPr>
            <w:tcW w:w="103" w:type="dxa"/>
            <w:shd w:val="clear" w:color="auto" w:fill="auto"/>
          </w:tcPr>
          <w:p w14:paraId="214679F4" w14:textId="77777777" w:rsidR="00882FF8" w:rsidRPr="00EA2E1E" w:rsidRDefault="00882FF8" w:rsidP="0013526B">
            <w:pPr>
              <w:rPr>
                <w:b/>
                <w:sz w:val="18"/>
                <w:szCs w:val="18"/>
              </w:rPr>
            </w:pPr>
          </w:p>
        </w:tc>
        <w:tc>
          <w:tcPr>
            <w:tcW w:w="1514" w:type="dxa"/>
            <w:shd w:val="clear" w:color="auto" w:fill="auto"/>
            <w:vAlign w:val="bottom"/>
          </w:tcPr>
          <w:p w14:paraId="27C13D64" w14:textId="43D83057" w:rsidR="00882FF8" w:rsidRPr="00BC356C" w:rsidRDefault="00882FF8" w:rsidP="0013526B">
            <w:pPr>
              <w:ind w:left="-76" w:right="28"/>
              <w:jc w:val="right"/>
              <w:rPr>
                <w:sz w:val="18"/>
                <w:szCs w:val="18"/>
                <w:highlight w:val="cyan"/>
              </w:rPr>
            </w:pPr>
          </w:p>
        </w:tc>
        <w:tc>
          <w:tcPr>
            <w:tcW w:w="103" w:type="dxa"/>
            <w:shd w:val="clear" w:color="auto" w:fill="auto"/>
            <w:vAlign w:val="bottom"/>
          </w:tcPr>
          <w:p w14:paraId="3B5CDE33" w14:textId="77777777" w:rsidR="00882FF8" w:rsidRPr="00EA2E1E" w:rsidRDefault="00882FF8" w:rsidP="0013526B">
            <w:pPr>
              <w:ind w:left="-76" w:right="28"/>
              <w:jc w:val="right"/>
              <w:rPr>
                <w:sz w:val="18"/>
                <w:szCs w:val="18"/>
              </w:rPr>
            </w:pPr>
          </w:p>
        </w:tc>
        <w:tc>
          <w:tcPr>
            <w:tcW w:w="1514" w:type="dxa"/>
            <w:vAlign w:val="bottom"/>
          </w:tcPr>
          <w:p w14:paraId="74C51F32" w14:textId="77777777" w:rsidR="00882FF8" w:rsidRPr="00EA2E1E" w:rsidRDefault="00882FF8" w:rsidP="0013526B">
            <w:pPr>
              <w:ind w:left="-76" w:right="28"/>
              <w:jc w:val="right"/>
              <w:rPr>
                <w:sz w:val="18"/>
                <w:szCs w:val="18"/>
                <w:highlight w:val="green"/>
              </w:rPr>
            </w:pPr>
          </w:p>
        </w:tc>
        <w:tc>
          <w:tcPr>
            <w:tcW w:w="2225" w:type="dxa"/>
            <w:shd w:val="clear" w:color="auto" w:fill="auto"/>
            <w:vAlign w:val="bottom"/>
          </w:tcPr>
          <w:p w14:paraId="494AA4BE" w14:textId="77777777" w:rsidR="00882FF8" w:rsidRPr="00EA2E1E" w:rsidRDefault="00882FF8" w:rsidP="0013526B">
            <w:pPr>
              <w:ind w:right="57"/>
              <w:jc w:val="right"/>
              <w:rPr>
                <w:b/>
                <w:i/>
                <w:sz w:val="18"/>
                <w:szCs w:val="18"/>
              </w:rPr>
            </w:pPr>
            <w:r w:rsidRPr="00EA2E1E">
              <w:rPr>
                <w:b/>
                <w:i/>
                <w:sz w:val="18"/>
                <w:szCs w:val="18"/>
              </w:rPr>
              <w:t xml:space="preserve">Equity Attributable to the </w:t>
            </w:r>
          </w:p>
          <w:p w14:paraId="4F9EF64C" w14:textId="77777777" w:rsidR="00882FF8" w:rsidRPr="00EA2E1E" w:rsidRDefault="00882FF8" w:rsidP="0013526B">
            <w:pPr>
              <w:ind w:right="284"/>
              <w:jc w:val="right"/>
              <w:rPr>
                <w:b/>
                <w:i/>
                <w:sz w:val="18"/>
                <w:szCs w:val="18"/>
              </w:rPr>
            </w:pPr>
            <w:r w:rsidRPr="00EA2E1E">
              <w:rPr>
                <w:b/>
                <w:i/>
                <w:sz w:val="18"/>
                <w:szCs w:val="18"/>
              </w:rPr>
              <w:t>Equity Holders of the Parent Entity</w:t>
            </w:r>
          </w:p>
        </w:tc>
      </w:tr>
      <w:tr w:rsidR="00882FF8" w:rsidRPr="00EA2E1E" w14:paraId="6D195A5A" w14:textId="77777777" w:rsidTr="007D4DDD">
        <w:tc>
          <w:tcPr>
            <w:tcW w:w="2253" w:type="dxa"/>
            <w:shd w:val="clear" w:color="auto" w:fill="auto"/>
          </w:tcPr>
          <w:p w14:paraId="76952EDE" w14:textId="3422080D" w:rsidR="00882FF8" w:rsidRPr="00EA2E1E" w:rsidRDefault="00882FF8" w:rsidP="0013526B">
            <w:pPr>
              <w:ind w:left="283" w:hanging="170"/>
              <w:rPr>
                <w:sz w:val="18"/>
                <w:szCs w:val="18"/>
              </w:rPr>
            </w:pPr>
            <w:r w:rsidRPr="00EA2E1E">
              <w:rPr>
                <w:sz w:val="18"/>
                <w:szCs w:val="18"/>
              </w:rPr>
              <w:t>M</w:t>
            </w:r>
            <w:r w:rsidR="00A72E06" w:rsidRPr="00EA2E1E">
              <w:rPr>
                <w:sz w:val="18"/>
                <w:szCs w:val="18"/>
              </w:rPr>
              <w:t xml:space="preserve">odal saham - nilai nominal </w:t>
            </w:r>
            <w:r w:rsidR="00A72E06" w:rsidRPr="00EA2E1E">
              <w:rPr>
                <w:sz w:val="18"/>
                <w:szCs w:val="18"/>
              </w:rPr>
              <w:br/>
              <w:t>Rp 10</w:t>
            </w:r>
            <w:r w:rsidRPr="00EA2E1E">
              <w:rPr>
                <w:sz w:val="18"/>
                <w:szCs w:val="18"/>
              </w:rPr>
              <w:t xml:space="preserve">0 per saham </w:t>
            </w:r>
          </w:p>
        </w:tc>
        <w:tc>
          <w:tcPr>
            <w:tcW w:w="1502" w:type="dxa"/>
            <w:shd w:val="clear" w:color="auto" w:fill="auto"/>
          </w:tcPr>
          <w:p w14:paraId="5433EFAF" w14:textId="72867388" w:rsidR="00882FF8" w:rsidRPr="00EA2E1E" w:rsidRDefault="00882FF8" w:rsidP="00A86683">
            <w:pPr>
              <w:jc w:val="center"/>
              <w:rPr>
                <w:sz w:val="18"/>
                <w:szCs w:val="18"/>
              </w:rPr>
            </w:pPr>
          </w:p>
        </w:tc>
        <w:tc>
          <w:tcPr>
            <w:tcW w:w="103" w:type="dxa"/>
            <w:shd w:val="clear" w:color="auto" w:fill="auto"/>
          </w:tcPr>
          <w:p w14:paraId="677F0249" w14:textId="77777777" w:rsidR="00882FF8" w:rsidRPr="00EA2E1E" w:rsidRDefault="00882FF8" w:rsidP="0013526B">
            <w:pPr>
              <w:rPr>
                <w:sz w:val="18"/>
                <w:szCs w:val="18"/>
              </w:rPr>
            </w:pPr>
          </w:p>
        </w:tc>
        <w:tc>
          <w:tcPr>
            <w:tcW w:w="1514" w:type="dxa"/>
            <w:shd w:val="clear" w:color="auto" w:fill="auto"/>
            <w:vAlign w:val="bottom"/>
          </w:tcPr>
          <w:p w14:paraId="0E879213" w14:textId="77777777" w:rsidR="00882FF8" w:rsidRPr="00BC356C" w:rsidRDefault="00882FF8" w:rsidP="0013526B">
            <w:pPr>
              <w:ind w:left="-76" w:right="28"/>
              <w:jc w:val="right"/>
              <w:rPr>
                <w:sz w:val="18"/>
                <w:szCs w:val="18"/>
                <w:highlight w:val="cyan"/>
              </w:rPr>
            </w:pPr>
          </w:p>
        </w:tc>
        <w:tc>
          <w:tcPr>
            <w:tcW w:w="103" w:type="dxa"/>
            <w:shd w:val="clear" w:color="auto" w:fill="auto"/>
            <w:vAlign w:val="bottom"/>
          </w:tcPr>
          <w:p w14:paraId="01FB976E" w14:textId="77777777" w:rsidR="00882FF8" w:rsidRPr="00EA2E1E" w:rsidRDefault="00882FF8" w:rsidP="0013526B">
            <w:pPr>
              <w:ind w:left="-76" w:right="28"/>
              <w:jc w:val="right"/>
              <w:rPr>
                <w:sz w:val="18"/>
                <w:szCs w:val="18"/>
              </w:rPr>
            </w:pPr>
          </w:p>
        </w:tc>
        <w:tc>
          <w:tcPr>
            <w:tcW w:w="1514" w:type="dxa"/>
            <w:vAlign w:val="bottom"/>
          </w:tcPr>
          <w:p w14:paraId="2BED171A" w14:textId="77777777" w:rsidR="00882FF8" w:rsidRPr="00EA2E1E" w:rsidRDefault="00882FF8" w:rsidP="0013526B">
            <w:pPr>
              <w:ind w:left="-76" w:right="28"/>
              <w:jc w:val="right"/>
              <w:rPr>
                <w:sz w:val="18"/>
                <w:szCs w:val="18"/>
                <w:highlight w:val="green"/>
              </w:rPr>
            </w:pPr>
          </w:p>
        </w:tc>
        <w:tc>
          <w:tcPr>
            <w:tcW w:w="2225" w:type="dxa"/>
            <w:shd w:val="clear" w:color="auto" w:fill="auto"/>
            <w:vAlign w:val="bottom"/>
          </w:tcPr>
          <w:p w14:paraId="1C17B810" w14:textId="77777777" w:rsidR="00973634" w:rsidRDefault="00882FF8" w:rsidP="00973634">
            <w:pPr>
              <w:ind w:right="76"/>
              <w:jc w:val="right"/>
              <w:rPr>
                <w:i/>
                <w:sz w:val="18"/>
                <w:szCs w:val="18"/>
              </w:rPr>
            </w:pPr>
            <w:r w:rsidRPr="00EA2E1E">
              <w:rPr>
                <w:i/>
                <w:sz w:val="18"/>
                <w:szCs w:val="18"/>
              </w:rPr>
              <w:t xml:space="preserve">Capital stock - Rp </w:t>
            </w:r>
            <w:r w:rsidR="00973634">
              <w:rPr>
                <w:i/>
                <w:sz w:val="18"/>
                <w:szCs w:val="18"/>
              </w:rPr>
              <w:t>100</w:t>
            </w:r>
            <w:r w:rsidRPr="00EA2E1E">
              <w:rPr>
                <w:i/>
                <w:sz w:val="18"/>
                <w:szCs w:val="18"/>
              </w:rPr>
              <w:t xml:space="preserve"> par</w:t>
            </w:r>
          </w:p>
          <w:p w14:paraId="19B26D57" w14:textId="3F3CD72D" w:rsidR="00882FF8" w:rsidRPr="00EA2E1E" w:rsidRDefault="00882FF8" w:rsidP="00973634">
            <w:pPr>
              <w:ind w:right="258"/>
              <w:jc w:val="right"/>
              <w:rPr>
                <w:i/>
                <w:sz w:val="18"/>
                <w:szCs w:val="18"/>
              </w:rPr>
            </w:pPr>
            <w:r w:rsidRPr="00EA2E1E">
              <w:rPr>
                <w:i/>
                <w:sz w:val="18"/>
                <w:szCs w:val="18"/>
              </w:rPr>
              <w:t xml:space="preserve">value per share </w:t>
            </w:r>
          </w:p>
        </w:tc>
      </w:tr>
      <w:tr w:rsidR="00882FF8" w:rsidRPr="00EA2E1E" w14:paraId="642D8827" w14:textId="77777777" w:rsidTr="007D4DDD">
        <w:tc>
          <w:tcPr>
            <w:tcW w:w="2253" w:type="dxa"/>
            <w:shd w:val="clear" w:color="auto" w:fill="auto"/>
          </w:tcPr>
          <w:p w14:paraId="00AC0DEF" w14:textId="1833E149" w:rsidR="00882FF8" w:rsidRPr="00EA2E1E" w:rsidRDefault="00A72E06" w:rsidP="0099020A">
            <w:pPr>
              <w:ind w:left="282" w:hanging="142"/>
              <w:rPr>
                <w:sz w:val="18"/>
                <w:szCs w:val="18"/>
              </w:rPr>
            </w:pPr>
            <w:r w:rsidRPr="00EA2E1E">
              <w:rPr>
                <w:sz w:val="18"/>
                <w:szCs w:val="18"/>
              </w:rPr>
              <w:t>Modal dasar</w:t>
            </w:r>
            <w:r w:rsidR="00CC64EC" w:rsidRPr="00EA2E1E">
              <w:rPr>
                <w:sz w:val="18"/>
                <w:szCs w:val="18"/>
              </w:rPr>
              <w:t xml:space="preserve"> </w:t>
            </w:r>
            <w:r w:rsidRPr="00EA2E1E">
              <w:rPr>
                <w:sz w:val="18"/>
                <w:szCs w:val="18"/>
              </w:rPr>
              <w:t>20.000.000.000</w:t>
            </w:r>
            <w:r w:rsidR="00CC64EC" w:rsidRPr="00EA2E1E">
              <w:rPr>
                <w:sz w:val="18"/>
                <w:szCs w:val="18"/>
              </w:rPr>
              <w:t xml:space="preserve"> </w:t>
            </w:r>
            <w:r w:rsidRPr="00EA2E1E">
              <w:rPr>
                <w:sz w:val="18"/>
                <w:szCs w:val="18"/>
              </w:rPr>
              <w:t>saham</w:t>
            </w:r>
            <w:r w:rsidR="00882FF8" w:rsidRPr="00EA2E1E">
              <w:rPr>
                <w:sz w:val="18"/>
                <w:szCs w:val="18"/>
              </w:rPr>
              <w:t xml:space="preserve"> </w:t>
            </w:r>
          </w:p>
        </w:tc>
        <w:tc>
          <w:tcPr>
            <w:tcW w:w="1502" w:type="dxa"/>
            <w:shd w:val="clear" w:color="auto" w:fill="auto"/>
          </w:tcPr>
          <w:p w14:paraId="639F3834" w14:textId="77777777" w:rsidR="00882FF8" w:rsidRPr="00EA2E1E" w:rsidRDefault="00882FF8" w:rsidP="0013526B">
            <w:pPr>
              <w:rPr>
                <w:sz w:val="18"/>
                <w:szCs w:val="18"/>
              </w:rPr>
            </w:pPr>
          </w:p>
        </w:tc>
        <w:tc>
          <w:tcPr>
            <w:tcW w:w="103" w:type="dxa"/>
            <w:shd w:val="clear" w:color="auto" w:fill="auto"/>
          </w:tcPr>
          <w:p w14:paraId="6E3C0D70" w14:textId="77777777" w:rsidR="00882FF8" w:rsidRPr="00EA2E1E" w:rsidRDefault="00882FF8" w:rsidP="0013526B">
            <w:pPr>
              <w:rPr>
                <w:sz w:val="18"/>
                <w:szCs w:val="18"/>
              </w:rPr>
            </w:pPr>
          </w:p>
        </w:tc>
        <w:tc>
          <w:tcPr>
            <w:tcW w:w="1514" w:type="dxa"/>
            <w:shd w:val="clear" w:color="auto" w:fill="auto"/>
            <w:vAlign w:val="bottom"/>
          </w:tcPr>
          <w:p w14:paraId="10DC723C" w14:textId="4677E644" w:rsidR="00882FF8" w:rsidRPr="00BC356C" w:rsidRDefault="00882FF8" w:rsidP="0013526B">
            <w:pPr>
              <w:ind w:left="-76" w:right="28"/>
              <w:jc w:val="right"/>
              <w:rPr>
                <w:sz w:val="18"/>
                <w:szCs w:val="18"/>
                <w:highlight w:val="cyan"/>
              </w:rPr>
            </w:pPr>
          </w:p>
        </w:tc>
        <w:tc>
          <w:tcPr>
            <w:tcW w:w="103" w:type="dxa"/>
            <w:shd w:val="clear" w:color="auto" w:fill="auto"/>
            <w:vAlign w:val="bottom"/>
          </w:tcPr>
          <w:p w14:paraId="741714AD" w14:textId="77777777" w:rsidR="00882FF8" w:rsidRPr="00EA2E1E" w:rsidRDefault="00882FF8" w:rsidP="0013526B">
            <w:pPr>
              <w:ind w:left="-76" w:right="28"/>
              <w:jc w:val="right"/>
              <w:rPr>
                <w:sz w:val="18"/>
                <w:szCs w:val="18"/>
              </w:rPr>
            </w:pPr>
          </w:p>
        </w:tc>
        <w:tc>
          <w:tcPr>
            <w:tcW w:w="1514" w:type="dxa"/>
            <w:vAlign w:val="bottom"/>
          </w:tcPr>
          <w:p w14:paraId="3481297C" w14:textId="77777777" w:rsidR="00882FF8" w:rsidRPr="00EA2E1E" w:rsidRDefault="00882FF8" w:rsidP="0013526B">
            <w:pPr>
              <w:ind w:left="-76" w:right="28"/>
              <w:jc w:val="right"/>
              <w:rPr>
                <w:sz w:val="18"/>
                <w:szCs w:val="18"/>
                <w:highlight w:val="green"/>
              </w:rPr>
            </w:pPr>
          </w:p>
        </w:tc>
        <w:tc>
          <w:tcPr>
            <w:tcW w:w="2225" w:type="dxa"/>
            <w:shd w:val="clear" w:color="auto" w:fill="auto"/>
            <w:vAlign w:val="bottom"/>
          </w:tcPr>
          <w:p w14:paraId="27B8DC77" w14:textId="48FE3B2A" w:rsidR="006D4E49" w:rsidRPr="00EA2E1E" w:rsidRDefault="006D4E49" w:rsidP="006D4E49">
            <w:pPr>
              <w:ind w:right="57"/>
              <w:jc w:val="right"/>
              <w:rPr>
                <w:i/>
                <w:sz w:val="18"/>
                <w:szCs w:val="18"/>
              </w:rPr>
            </w:pPr>
            <w:r w:rsidRPr="00EA2E1E">
              <w:rPr>
                <w:i/>
                <w:sz w:val="18"/>
                <w:szCs w:val="18"/>
              </w:rPr>
              <w:t>Authorized capital</w:t>
            </w:r>
          </w:p>
          <w:p w14:paraId="486BA1DD" w14:textId="34D73971" w:rsidR="00882FF8" w:rsidRPr="00EA2E1E" w:rsidRDefault="006D4E49" w:rsidP="00D316D9">
            <w:pPr>
              <w:ind w:right="288"/>
              <w:jc w:val="right"/>
              <w:rPr>
                <w:i/>
                <w:sz w:val="18"/>
                <w:szCs w:val="18"/>
              </w:rPr>
            </w:pPr>
            <w:r w:rsidRPr="00EA2E1E">
              <w:rPr>
                <w:i/>
                <w:sz w:val="18"/>
                <w:szCs w:val="18"/>
              </w:rPr>
              <w:t>20</w:t>
            </w:r>
            <w:r w:rsidR="00D316D9">
              <w:rPr>
                <w:i/>
                <w:sz w:val="18"/>
                <w:szCs w:val="18"/>
              </w:rPr>
              <w:t>,</w:t>
            </w:r>
            <w:r w:rsidRPr="00EA2E1E">
              <w:rPr>
                <w:i/>
                <w:sz w:val="18"/>
                <w:szCs w:val="18"/>
              </w:rPr>
              <w:t>000</w:t>
            </w:r>
            <w:r w:rsidR="00D316D9">
              <w:rPr>
                <w:i/>
                <w:sz w:val="18"/>
                <w:szCs w:val="18"/>
              </w:rPr>
              <w:t>,</w:t>
            </w:r>
            <w:r w:rsidRPr="00EA2E1E">
              <w:rPr>
                <w:i/>
                <w:sz w:val="18"/>
                <w:szCs w:val="18"/>
              </w:rPr>
              <w:t>000</w:t>
            </w:r>
            <w:r w:rsidR="00D316D9">
              <w:rPr>
                <w:i/>
                <w:sz w:val="18"/>
                <w:szCs w:val="18"/>
              </w:rPr>
              <w:t>,</w:t>
            </w:r>
            <w:r w:rsidRPr="00EA2E1E">
              <w:rPr>
                <w:i/>
                <w:sz w:val="18"/>
                <w:szCs w:val="18"/>
              </w:rPr>
              <w:t>000 shares</w:t>
            </w:r>
            <w:r w:rsidR="00882FF8" w:rsidRPr="00EA2E1E">
              <w:rPr>
                <w:i/>
                <w:sz w:val="18"/>
                <w:szCs w:val="18"/>
              </w:rPr>
              <w:t xml:space="preserve"> </w:t>
            </w:r>
          </w:p>
        </w:tc>
      </w:tr>
      <w:tr w:rsidR="00A72E06" w:rsidRPr="00EA2E1E" w14:paraId="35D9A699" w14:textId="77777777" w:rsidTr="007D4DDD">
        <w:tc>
          <w:tcPr>
            <w:tcW w:w="2253" w:type="dxa"/>
            <w:shd w:val="clear" w:color="auto" w:fill="auto"/>
          </w:tcPr>
          <w:p w14:paraId="6BE2245E" w14:textId="5A678C68" w:rsidR="00A72E06" w:rsidRPr="00EA2E1E" w:rsidRDefault="00CC64EC" w:rsidP="006D4E49">
            <w:pPr>
              <w:ind w:left="284" w:hanging="142"/>
              <w:rPr>
                <w:sz w:val="18"/>
                <w:szCs w:val="18"/>
              </w:rPr>
            </w:pPr>
            <w:r w:rsidRPr="00EA2E1E">
              <w:rPr>
                <w:sz w:val="18"/>
                <w:szCs w:val="18"/>
              </w:rPr>
              <w:t>Modal ditempatkan dan disetor</w:t>
            </w:r>
            <w:r w:rsidR="00D043CB">
              <w:rPr>
                <w:sz w:val="18"/>
                <w:szCs w:val="18"/>
              </w:rPr>
              <w:t xml:space="preserve"> </w:t>
            </w:r>
            <w:r w:rsidRPr="00EA2E1E">
              <w:rPr>
                <w:sz w:val="18"/>
                <w:szCs w:val="18"/>
              </w:rPr>
              <w:t>- 12.000</w:t>
            </w:r>
            <w:r w:rsidR="00E022E0">
              <w:rPr>
                <w:sz w:val="18"/>
                <w:szCs w:val="18"/>
              </w:rPr>
              <w:t>.705.445 saham  pada periode</w:t>
            </w:r>
            <w:r w:rsidR="00562742">
              <w:rPr>
                <w:sz w:val="18"/>
                <w:szCs w:val="18"/>
              </w:rPr>
              <w:t xml:space="preserve"> 31 Maret</w:t>
            </w:r>
            <w:r w:rsidR="00E022E0">
              <w:rPr>
                <w:sz w:val="18"/>
                <w:szCs w:val="18"/>
              </w:rPr>
              <w:t xml:space="preserve"> 2020</w:t>
            </w:r>
            <w:r w:rsidRPr="00EA2E1E">
              <w:rPr>
                <w:sz w:val="18"/>
                <w:szCs w:val="18"/>
              </w:rPr>
              <w:t xml:space="preserve"> </w:t>
            </w:r>
            <w:r w:rsidR="006D4E49" w:rsidRPr="00EA2E1E">
              <w:rPr>
                <w:sz w:val="18"/>
                <w:szCs w:val="18"/>
              </w:rPr>
              <w:t xml:space="preserve">dan </w:t>
            </w:r>
            <w:r w:rsidR="00562742">
              <w:rPr>
                <w:sz w:val="18"/>
                <w:szCs w:val="18"/>
              </w:rPr>
              <w:t xml:space="preserve">31 Desember </w:t>
            </w:r>
            <w:r w:rsidR="006D4E49" w:rsidRPr="00EA2E1E">
              <w:rPr>
                <w:sz w:val="18"/>
                <w:szCs w:val="18"/>
              </w:rPr>
              <w:t>201</w:t>
            </w:r>
            <w:r w:rsidR="00E022E0">
              <w:rPr>
                <w:sz w:val="18"/>
                <w:szCs w:val="18"/>
              </w:rPr>
              <w:t>9</w:t>
            </w:r>
            <w:r w:rsidR="006D4E49" w:rsidRPr="00EA2E1E">
              <w:rPr>
                <w:sz w:val="18"/>
                <w:szCs w:val="18"/>
              </w:rPr>
              <w:t xml:space="preserve"> </w:t>
            </w:r>
          </w:p>
        </w:tc>
        <w:tc>
          <w:tcPr>
            <w:tcW w:w="1502" w:type="dxa"/>
            <w:shd w:val="clear" w:color="auto" w:fill="auto"/>
            <w:vAlign w:val="bottom"/>
          </w:tcPr>
          <w:p w14:paraId="5D9A252E" w14:textId="5DB79A13" w:rsidR="00A72E06" w:rsidRPr="00EA2E1E" w:rsidRDefault="00806B98" w:rsidP="00D316D9">
            <w:pPr>
              <w:jc w:val="center"/>
              <w:rPr>
                <w:sz w:val="18"/>
                <w:szCs w:val="18"/>
                <w:highlight w:val="red"/>
              </w:rPr>
            </w:pPr>
            <w:r w:rsidRPr="0092013A">
              <w:rPr>
                <w:sz w:val="18"/>
                <w:szCs w:val="18"/>
              </w:rPr>
              <w:t>2</w:t>
            </w:r>
            <w:r w:rsidR="00D316D9">
              <w:rPr>
                <w:sz w:val="18"/>
                <w:szCs w:val="18"/>
              </w:rPr>
              <w:t>2</w:t>
            </w:r>
          </w:p>
        </w:tc>
        <w:tc>
          <w:tcPr>
            <w:tcW w:w="103" w:type="dxa"/>
            <w:shd w:val="clear" w:color="auto" w:fill="auto"/>
          </w:tcPr>
          <w:p w14:paraId="7D913970" w14:textId="77777777" w:rsidR="00A72E06" w:rsidRPr="00EA2E1E" w:rsidRDefault="00A72E06" w:rsidP="0013526B">
            <w:pPr>
              <w:rPr>
                <w:sz w:val="18"/>
                <w:szCs w:val="18"/>
              </w:rPr>
            </w:pPr>
          </w:p>
        </w:tc>
        <w:tc>
          <w:tcPr>
            <w:tcW w:w="1514" w:type="dxa"/>
            <w:shd w:val="clear" w:color="auto" w:fill="auto"/>
            <w:vAlign w:val="bottom"/>
          </w:tcPr>
          <w:p w14:paraId="475574D3" w14:textId="210DC89D" w:rsidR="00A72E06" w:rsidRPr="00FE279F" w:rsidRDefault="00E55CD3" w:rsidP="0013526B">
            <w:pPr>
              <w:ind w:left="-76" w:right="28"/>
              <w:jc w:val="right"/>
              <w:rPr>
                <w:sz w:val="18"/>
                <w:szCs w:val="18"/>
              </w:rPr>
            </w:pPr>
            <w:r w:rsidRPr="00FE279F">
              <w:rPr>
                <w:sz w:val="18"/>
                <w:szCs w:val="18"/>
              </w:rPr>
              <w:t>1.200.070.544.500</w:t>
            </w:r>
          </w:p>
        </w:tc>
        <w:tc>
          <w:tcPr>
            <w:tcW w:w="103" w:type="dxa"/>
            <w:shd w:val="clear" w:color="auto" w:fill="auto"/>
            <w:vAlign w:val="bottom"/>
          </w:tcPr>
          <w:p w14:paraId="346F954D" w14:textId="77777777" w:rsidR="00A72E06" w:rsidRPr="00FE279F" w:rsidRDefault="00A72E06" w:rsidP="0013526B">
            <w:pPr>
              <w:ind w:left="-76" w:right="28"/>
              <w:jc w:val="right"/>
              <w:rPr>
                <w:sz w:val="18"/>
                <w:szCs w:val="18"/>
              </w:rPr>
            </w:pPr>
          </w:p>
        </w:tc>
        <w:tc>
          <w:tcPr>
            <w:tcW w:w="1514" w:type="dxa"/>
            <w:vAlign w:val="bottom"/>
          </w:tcPr>
          <w:p w14:paraId="37BF6BDD" w14:textId="55C2E38E" w:rsidR="00A72E06" w:rsidRPr="00FE279F" w:rsidRDefault="006D4E49" w:rsidP="006D4E49">
            <w:pPr>
              <w:ind w:left="-76" w:right="57"/>
              <w:jc w:val="right"/>
              <w:rPr>
                <w:sz w:val="18"/>
                <w:szCs w:val="18"/>
              </w:rPr>
            </w:pPr>
            <w:r w:rsidRPr="00FE279F">
              <w:rPr>
                <w:sz w:val="18"/>
                <w:szCs w:val="18"/>
              </w:rPr>
              <w:t>1.200.070.544.500</w:t>
            </w:r>
          </w:p>
        </w:tc>
        <w:tc>
          <w:tcPr>
            <w:tcW w:w="2225" w:type="dxa"/>
            <w:shd w:val="clear" w:color="auto" w:fill="auto"/>
            <w:vAlign w:val="bottom"/>
          </w:tcPr>
          <w:p w14:paraId="46CC04C3" w14:textId="77777777" w:rsidR="006D4E49" w:rsidRPr="00EA2E1E" w:rsidRDefault="006D4E49" w:rsidP="006D4E49">
            <w:pPr>
              <w:ind w:right="57"/>
              <w:jc w:val="right"/>
              <w:rPr>
                <w:i/>
                <w:sz w:val="18"/>
                <w:szCs w:val="18"/>
              </w:rPr>
            </w:pPr>
            <w:r w:rsidRPr="00EA2E1E">
              <w:rPr>
                <w:i/>
                <w:sz w:val="18"/>
                <w:szCs w:val="18"/>
              </w:rPr>
              <w:t>Issued and paid up capital -</w:t>
            </w:r>
          </w:p>
          <w:p w14:paraId="1BDF8149" w14:textId="582E9AEB" w:rsidR="006D4E49" w:rsidRPr="00EA2E1E" w:rsidRDefault="006D4E49" w:rsidP="0099020A">
            <w:pPr>
              <w:ind w:right="288"/>
              <w:jc w:val="right"/>
              <w:rPr>
                <w:i/>
                <w:sz w:val="18"/>
                <w:szCs w:val="18"/>
              </w:rPr>
            </w:pPr>
            <w:r w:rsidRPr="00EA2E1E">
              <w:rPr>
                <w:i/>
                <w:sz w:val="18"/>
                <w:szCs w:val="18"/>
              </w:rPr>
              <w:t>12</w:t>
            </w:r>
            <w:r w:rsidR="00D316D9">
              <w:rPr>
                <w:i/>
                <w:sz w:val="18"/>
                <w:szCs w:val="18"/>
              </w:rPr>
              <w:t>,</w:t>
            </w:r>
            <w:r w:rsidRPr="00EA2E1E">
              <w:rPr>
                <w:i/>
                <w:sz w:val="18"/>
                <w:szCs w:val="18"/>
              </w:rPr>
              <w:t>000</w:t>
            </w:r>
            <w:r w:rsidR="00D316D9">
              <w:rPr>
                <w:i/>
                <w:sz w:val="18"/>
                <w:szCs w:val="18"/>
              </w:rPr>
              <w:t>,</w:t>
            </w:r>
            <w:r w:rsidRPr="00EA2E1E">
              <w:rPr>
                <w:i/>
                <w:sz w:val="18"/>
                <w:szCs w:val="18"/>
              </w:rPr>
              <w:t>705</w:t>
            </w:r>
            <w:r w:rsidR="00D316D9">
              <w:rPr>
                <w:i/>
                <w:sz w:val="18"/>
                <w:szCs w:val="18"/>
              </w:rPr>
              <w:t>,</w:t>
            </w:r>
            <w:r w:rsidRPr="00EA2E1E">
              <w:rPr>
                <w:i/>
                <w:sz w:val="18"/>
                <w:szCs w:val="18"/>
              </w:rPr>
              <w:t>445 shares</w:t>
            </w:r>
          </w:p>
          <w:p w14:paraId="4599BC4D" w14:textId="1D0E5A80" w:rsidR="00A72E06" w:rsidRPr="00EA2E1E" w:rsidRDefault="00E022E0" w:rsidP="0099020A">
            <w:pPr>
              <w:ind w:right="288"/>
              <w:jc w:val="right"/>
              <w:rPr>
                <w:i/>
                <w:sz w:val="18"/>
                <w:szCs w:val="18"/>
              </w:rPr>
            </w:pPr>
            <w:r>
              <w:rPr>
                <w:i/>
                <w:sz w:val="18"/>
                <w:szCs w:val="18"/>
              </w:rPr>
              <w:t xml:space="preserve">in </w:t>
            </w:r>
            <w:r w:rsidR="00562742">
              <w:rPr>
                <w:i/>
                <w:sz w:val="18"/>
                <w:szCs w:val="18"/>
              </w:rPr>
              <w:t xml:space="preserve">March 31, </w:t>
            </w:r>
            <w:r>
              <w:rPr>
                <w:i/>
                <w:sz w:val="18"/>
                <w:szCs w:val="18"/>
              </w:rPr>
              <w:t>2020</w:t>
            </w:r>
            <w:r w:rsidR="006D4E49" w:rsidRPr="00EA2E1E">
              <w:rPr>
                <w:i/>
                <w:sz w:val="18"/>
                <w:szCs w:val="18"/>
              </w:rPr>
              <w:t xml:space="preserve"> and</w:t>
            </w:r>
            <w:r w:rsidR="00562742">
              <w:rPr>
                <w:i/>
                <w:sz w:val="18"/>
                <w:szCs w:val="18"/>
              </w:rPr>
              <w:t xml:space="preserve"> December 31,</w:t>
            </w:r>
            <w:r w:rsidR="006D4E49" w:rsidRPr="00EA2E1E">
              <w:rPr>
                <w:i/>
                <w:sz w:val="18"/>
                <w:szCs w:val="18"/>
              </w:rPr>
              <w:t xml:space="preserve"> 201</w:t>
            </w:r>
            <w:r>
              <w:rPr>
                <w:i/>
                <w:sz w:val="18"/>
                <w:szCs w:val="18"/>
              </w:rPr>
              <w:t>9</w:t>
            </w:r>
          </w:p>
        </w:tc>
      </w:tr>
      <w:tr w:rsidR="008343DE" w:rsidRPr="00EA2E1E" w14:paraId="68FF49E5" w14:textId="77777777" w:rsidTr="007D4DDD">
        <w:tc>
          <w:tcPr>
            <w:tcW w:w="2253" w:type="dxa"/>
            <w:shd w:val="clear" w:color="auto" w:fill="auto"/>
          </w:tcPr>
          <w:p w14:paraId="6CD33391" w14:textId="5E32F63E" w:rsidR="008343DE" w:rsidRPr="00EA2E1E" w:rsidRDefault="008343DE" w:rsidP="008343DE">
            <w:pPr>
              <w:ind w:left="283" w:hanging="170"/>
              <w:rPr>
                <w:sz w:val="18"/>
                <w:szCs w:val="18"/>
              </w:rPr>
            </w:pPr>
            <w:r w:rsidRPr="00EA2E1E">
              <w:rPr>
                <w:sz w:val="18"/>
                <w:szCs w:val="18"/>
              </w:rPr>
              <w:t xml:space="preserve">Tambahan modal disetor </w:t>
            </w:r>
            <w:r w:rsidR="00973634">
              <w:rPr>
                <w:sz w:val="18"/>
                <w:szCs w:val="18"/>
              </w:rPr>
              <w:t>-</w:t>
            </w:r>
            <w:r w:rsidRPr="00EA2E1E">
              <w:rPr>
                <w:sz w:val="18"/>
                <w:szCs w:val="18"/>
              </w:rPr>
              <w:t xml:space="preserve"> bersih</w:t>
            </w:r>
          </w:p>
        </w:tc>
        <w:tc>
          <w:tcPr>
            <w:tcW w:w="1502" w:type="dxa"/>
            <w:shd w:val="clear" w:color="auto" w:fill="auto"/>
            <w:vAlign w:val="bottom"/>
          </w:tcPr>
          <w:p w14:paraId="7D6E2F38" w14:textId="79B7DFD0" w:rsidR="008343DE" w:rsidRPr="00EA2E1E" w:rsidRDefault="00806B98" w:rsidP="00D316D9">
            <w:pPr>
              <w:jc w:val="center"/>
              <w:rPr>
                <w:sz w:val="18"/>
                <w:szCs w:val="18"/>
                <w:highlight w:val="red"/>
              </w:rPr>
            </w:pPr>
            <w:r w:rsidRPr="0092013A">
              <w:rPr>
                <w:sz w:val="18"/>
                <w:szCs w:val="18"/>
              </w:rPr>
              <w:t>2</w:t>
            </w:r>
            <w:r w:rsidR="00D316D9">
              <w:rPr>
                <w:sz w:val="18"/>
                <w:szCs w:val="18"/>
              </w:rPr>
              <w:t>3</w:t>
            </w:r>
          </w:p>
        </w:tc>
        <w:tc>
          <w:tcPr>
            <w:tcW w:w="103" w:type="dxa"/>
            <w:shd w:val="clear" w:color="auto" w:fill="auto"/>
          </w:tcPr>
          <w:p w14:paraId="071666C4" w14:textId="77777777" w:rsidR="008343DE" w:rsidRPr="00EA2E1E" w:rsidRDefault="008343DE" w:rsidP="008343DE">
            <w:pPr>
              <w:rPr>
                <w:sz w:val="18"/>
                <w:szCs w:val="18"/>
              </w:rPr>
            </w:pPr>
          </w:p>
        </w:tc>
        <w:tc>
          <w:tcPr>
            <w:tcW w:w="1514" w:type="dxa"/>
            <w:shd w:val="clear" w:color="auto" w:fill="auto"/>
            <w:vAlign w:val="bottom"/>
          </w:tcPr>
          <w:p w14:paraId="01712494" w14:textId="3110CEB9" w:rsidR="008343DE" w:rsidRPr="00D14FB0" w:rsidRDefault="00E55CD3" w:rsidP="008343DE">
            <w:pPr>
              <w:ind w:left="-76" w:right="28"/>
              <w:jc w:val="right"/>
              <w:rPr>
                <w:sz w:val="18"/>
                <w:szCs w:val="18"/>
              </w:rPr>
            </w:pPr>
            <w:r w:rsidRPr="00D14FB0">
              <w:rPr>
                <w:sz w:val="18"/>
                <w:szCs w:val="18"/>
              </w:rPr>
              <w:t>1.124.816.856.453</w:t>
            </w:r>
          </w:p>
        </w:tc>
        <w:tc>
          <w:tcPr>
            <w:tcW w:w="103" w:type="dxa"/>
            <w:shd w:val="clear" w:color="auto" w:fill="auto"/>
            <w:vAlign w:val="bottom"/>
          </w:tcPr>
          <w:p w14:paraId="6C94FE28" w14:textId="77777777" w:rsidR="008343DE" w:rsidRPr="00FE279F" w:rsidRDefault="008343DE" w:rsidP="008343DE">
            <w:pPr>
              <w:ind w:left="-76" w:right="28"/>
              <w:jc w:val="right"/>
              <w:rPr>
                <w:sz w:val="18"/>
                <w:szCs w:val="18"/>
              </w:rPr>
            </w:pPr>
          </w:p>
        </w:tc>
        <w:tc>
          <w:tcPr>
            <w:tcW w:w="1514" w:type="dxa"/>
            <w:vAlign w:val="bottom"/>
          </w:tcPr>
          <w:p w14:paraId="2AE72DCF" w14:textId="0D7DB5C3" w:rsidR="008343DE" w:rsidRPr="00FE279F" w:rsidRDefault="008343DE" w:rsidP="008343DE">
            <w:pPr>
              <w:ind w:left="-76" w:right="57"/>
              <w:jc w:val="right"/>
              <w:rPr>
                <w:sz w:val="18"/>
                <w:szCs w:val="18"/>
              </w:rPr>
            </w:pPr>
            <w:r w:rsidRPr="00FE279F">
              <w:rPr>
                <w:sz w:val="18"/>
                <w:szCs w:val="18"/>
              </w:rPr>
              <w:t>1.124.816.856.453</w:t>
            </w:r>
          </w:p>
        </w:tc>
        <w:tc>
          <w:tcPr>
            <w:tcW w:w="2225" w:type="dxa"/>
            <w:shd w:val="clear" w:color="auto" w:fill="auto"/>
            <w:vAlign w:val="bottom"/>
          </w:tcPr>
          <w:p w14:paraId="2B8AE3C1" w14:textId="010DA36A" w:rsidR="00973634" w:rsidRDefault="008343DE" w:rsidP="008343DE">
            <w:pPr>
              <w:ind w:right="57"/>
              <w:jc w:val="right"/>
              <w:rPr>
                <w:i/>
                <w:sz w:val="18"/>
                <w:szCs w:val="18"/>
              </w:rPr>
            </w:pPr>
            <w:r w:rsidRPr="00EA2E1E">
              <w:rPr>
                <w:i/>
                <w:sz w:val="18"/>
                <w:szCs w:val="18"/>
              </w:rPr>
              <w:t>Additional paid-in capital</w:t>
            </w:r>
            <w:r w:rsidR="00973634">
              <w:rPr>
                <w:i/>
                <w:sz w:val="18"/>
                <w:szCs w:val="18"/>
              </w:rPr>
              <w:t>-</w:t>
            </w:r>
            <w:r w:rsidRPr="00EA2E1E">
              <w:rPr>
                <w:i/>
                <w:sz w:val="18"/>
                <w:szCs w:val="18"/>
              </w:rPr>
              <w:t xml:space="preserve"> </w:t>
            </w:r>
          </w:p>
          <w:p w14:paraId="01D52529" w14:textId="0D1CF90B" w:rsidR="008343DE" w:rsidRPr="00EA2E1E" w:rsidRDefault="008343DE" w:rsidP="00973634">
            <w:pPr>
              <w:ind w:right="258"/>
              <w:jc w:val="right"/>
              <w:rPr>
                <w:i/>
                <w:sz w:val="18"/>
                <w:szCs w:val="18"/>
              </w:rPr>
            </w:pPr>
            <w:r w:rsidRPr="00EA2E1E">
              <w:rPr>
                <w:i/>
                <w:sz w:val="18"/>
                <w:szCs w:val="18"/>
              </w:rPr>
              <w:t xml:space="preserve">net </w:t>
            </w:r>
          </w:p>
        </w:tc>
      </w:tr>
      <w:tr w:rsidR="008343DE" w:rsidRPr="00EA2E1E" w14:paraId="0A2270CE" w14:textId="77777777" w:rsidTr="007D4DDD">
        <w:tc>
          <w:tcPr>
            <w:tcW w:w="2253" w:type="dxa"/>
            <w:shd w:val="clear" w:color="auto" w:fill="auto"/>
          </w:tcPr>
          <w:p w14:paraId="7176FDC4" w14:textId="63080C18" w:rsidR="008343DE" w:rsidRPr="00EA2E1E" w:rsidRDefault="008343DE" w:rsidP="008343DE">
            <w:pPr>
              <w:ind w:left="283" w:hanging="170"/>
              <w:rPr>
                <w:sz w:val="18"/>
                <w:szCs w:val="18"/>
              </w:rPr>
            </w:pPr>
            <w:r w:rsidRPr="00EA2E1E">
              <w:rPr>
                <w:sz w:val="18"/>
                <w:szCs w:val="18"/>
              </w:rPr>
              <w:t>Keuntungan aktuaria</w:t>
            </w:r>
          </w:p>
        </w:tc>
        <w:tc>
          <w:tcPr>
            <w:tcW w:w="1502" w:type="dxa"/>
            <w:shd w:val="clear" w:color="auto" w:fill="auto"/>
            <w:vAlign w:val="bottom"/>
          </w:tcPr>
          <w:p w14:paraId="7CF23EA9" w14:textId="77777777" w:rsidR="008343DE" w:rsidRPr="00EA2E1E" w:rsidRDefault="008343DE" w:rsidP="008343DE">
            <w:pPr>
              <w:jc w:val="center"/>
              <w:rPr>
                <w:sz w:val="18"/>
                <w:szCs w:val="18"/>
                <w:highlight w:val="red"/>
              </w:rPr>
            </w:pPr>
          </w:p>
        </w:tc>
        <w:tc>
          <w:tcPr>
            <w:tcW w:w="103" w:type="dxa"/>
            <w:shd w:val="clear" w:color="auto" w:fill="auto"/>
          </w:tcPr>
          <w:p w14:paraId="745AE056" w14:textId="77777777" w:rsidR="008343DE" w:rsidRPr="00EA2E1E" w:rsidRDefault="008343DE" w:rsidP="008343DE">
            <w:pPr>
              <w:rPr>
                <w:sz w:val="18"/>
                <w:szCs w:val="18"/>
              </w:rPr>
            </w:pPr>
          </w:p>
        </w:tc>
        <w:tc>
          <w:tcPr>
            <w:tcW w:w="1514" w:type="dxa"/>
            <w:shd w:val="clear" w:color="auto" w:fill="auto"/>
            <w:vAlign w:val="bottom"/>
          </w:tcPr>
          <w:p w14:paraId="5D5D48B0" w14:textId="34242D1E" w:rsidR="008343DE" w:rsidRPr="00B43831" w:rsidRDefault="00324742" w:rsidP="00A8560C">
            <w:pPr>
              <w:ind w:right="57"/>
              <w:jc w:val="right"/>
              <w:rPr>
                <w:sz w:val="18"/>
                <w:szCs w:val="18"/>
                <w:lang w:val="id-ID"/>
              </w:rPr>
            </w:pPr>
            <w:r>
              <w:rPr>
                <w:sz w:val="18"/>
                <w:szCs w:val="18"/>
              </w:rPr>
              <w:t xml:space="preserve">       2</w:t>
            </w:r>
            <w:r>
              <w:rPr>
                <w:sz w:val="18"/>
                <w:szCs w:val="18"/>
                <w:lang w:val="id-ID"/>
              </w:rPr>
              <w:t>4</w:t>
            </w:r>
            <w:r w:rsidR="00B43831">
              <w:rPr>
                <w:sz w:val="18"/>
                <w:szCs w:val="18"/>
              </w:rPr>
              <w:t>.</w:t>
            </w:r>
            <w:r>
              <w:rPr>
                <w:sz w:val="18"/>
                <w:szCs w:val="18"/>
                <w:lang w:val="id-ID"/>
              </w:rPr>
              <w:t>520</w:t>
            </w:r>
            <w:r w:rsidR="00B43831">
              <w:rPr>
                <w:sz w:val="18"/>
                <w:szCs w:val="18"/>
              </w:rPr>
              <w:t>.</w:t>
            </w:r>
            <w:r>
              <w:rPr>
                <w:sz w:val="18"/>
                <w:szCs w:val="18"/>
                <w:lang w:val="id-ID"/>
              </w:rPr>
              <w:t>46</w:t>
            </w:r>
            <w:r w:rsidR="00B43831">
              <w:rPr>
                <w:sz w:val="18"/>
                <w:szCs w:val="18"/>
              </w:rPr>
              <w:t>1.</w:t>
            </w:r>
            <w:r>
              <w:rPr>
                <w:sz w:val="18"/>
                <w:szCs w:val="18"/>
                <w:lang w:val="id-ID"/>
              </w:rPr>
              <w:t>602</w:t>
            </w:r>
          </w:p>
        </w:tc>
        <w:tc>
          <w:tcPr>
            <w:tcW w:w="103" w:type="dxa"/>
            <w:shd w:val="clear" w:color="auto" w:fill="auto"/>
            <w:vAlign w:val="bottom"/>
          </w:tcPr>
          <w:p w14:paraId="5EBA751B" w14:textId="77777777" w:rsidR="008343DE" w:rsidRPr="00FE279F" w:rsidRDefault="008343DE" w:rsidP="008343DE">
            <w:pPr>
              <w:ind w:left="-76" w:right="28"/>
              <w:jc w:val="right"/>
              <w:rPr>
                <w:sz w:val="18"/>
                <w:szCs w:val="18"/>
              </w:rPr>
            </w:pPr>
          </w:p>
        </w:tc>
        <w:tc>
          <w:tcPr>
            <w:tcW w:w="1514" w:type="dxa"/>
            <w:vAlign w:val="bottom"/>
          </w:tcPr>
          <w:p w14:paraId="322B7F9A" w14:textId="4601F097" w:rsidR="008343DE" w:rsidRPr="00FE279F" w:rsidRDefault="00895892" w:rsidP="008343DE">
            <w:pPr>
              <w:ind w:left="-76" w:right="57"/>
              <w:jc w:val="right"/>
              <w:rPr>
                <w:sz w:val="18"/>
                <w:szCs w:val="18"/>
              </w:rPr>
            </w:pPr>
            <w:r w:rsidRPr="003016AC">
              <w:rPr>
                <w:sz w:val="18"/>
                <w:szCs w:val="18"/>
              </w:rPr>
              <w:t>24.755.499.14</w:t>
            </w:r>
            <w:r>
              <w:rPr>
                <w:sz w:val="18"/>
                <w:szCs w:val="18"/>
              </w:rPr>
              <w:t>8</w:t>
            </w:r>
          </w:p>
        </w:tc>
        <w:tc>
          <w:tcPr>
            <w:tcW w:w="2225" w:type="dxa"/>
            <w:shd w:val="clear" w:color="auto" w:fill="auto"/>
            <w:vAlign w:val="bottom"/>
          </w:tcPr>
          <w:p w14:paraId="49CAF4E9" w14:textId="0BB2E1E5" w:rsidR="008343DE" w:rsidRPr="00EA2E1E" w:rsidRDefault="008343DE" w:rsidP="008343DE">
            <w:pPr>
              <w:ind w:right="57"/>
              <w:jc w:val="right"/>
              <w:rPr>
                <w:i/>
                <w:sz w:val="18"/>
                <w:szCs w:val="18"/>
              </w:rPr>
            </w:pPr>
            <w:r w:rsidRPr="00EA2E1E">
              <w:rPr>
                <w:i/>
                <w:sz w:val="18"/>
                <w:szCs w:val="18"/>
              </w:rPr>
              <w:t>Gain on actuarial</w:t>
            </w:r>
          </w:p>
        </w:tc>
      </w:tr>
      <w:tr w:rsidR="008343DE" w:rsidRPr="00EA2E1E" w14:paraId="6F1CF05B" w14:textId="77777777" w:rsidTr="007D4DDD">
        <w:tc>
          <w:tcPr>
            <w:tcW w:w="2253" w:type="dxa"/>
            <w:shd w:val="clear" w:color="auto" w:fill="auto"/>
          </w:tcPr>
          <w:p w14:paraId="6630542C" w14:textId="47D1A8C0" w:rsidR="008343DE" w:rsidRPr="00EA2E1E" w:rsidRDefault="008343DE" w:rsidP="008343DE">
            <w:pPr>
              <w:ind w:left="283" w:hanging="170"/>
              <w:rPr>
                <w:sz w:val="18"/>
                <w:szCs w:val="18"/>
              </w:rPr>
            </w:pPr>
            <w:r w:rsidRPr="00EA2E1E">
              <w:rPr>
                <w:sz w:val="18"/>
                <w:szCs w:val="18"/>
              </w:rPr>
              <w:t xml:space="preserve">Saldo laba </w:t>
            </w:r>
          </w:p>
        </w:tc>
        <w:tc>
          <w:tcPr>
            <w:tcW w:w="1502" w:type="dxa"/>
            <w:shd w:val="clear" w:color="auto" w:fill="auto"/>
            <w:vAlign w:val="bottom"/>
          </w:tcPr>
          <w:p w14:paraId="671A0867" w14:textId="77777777" w:rsidR="008343DE" w:rsidRPr="00EA2E1E" w:rsidRDefault="008343DE" w:rsidP="008343DE">
            <w:pPr>
              <w:jc w:val="center"/>
              <w:rPr>
                <w:sz w:val="18"/>
                <w:szCs w:val="18"/>
                <w:highlight w:val="red"/>
              </w:rPr>
            </w:pPr>
          </w:p>
        </w:tc>
        <w:tc>
          <w:tcPr>
            <w:tcW w:w="103" w:type="dxa"/>
            <w:shd w:val="clear" w:color="auto" w:fill="auto"/>
          </w:tcPr>
          <w:p w14:paraId="6CC15140" w14:textId="77777777" w:rsidR="008343DE" w:rsidRPr="00EA2E1E" w:rsidRDefault="008343DE" w:rsidP="008343DE">
            <w:pPr>
              <w:rPr>
                <w:sz w:val="18"/>
                <w:szCs w:val="18"/>
              </w:rPr>
            </w:pPr>
          </w:p>
        </w:tc>
        <w:tc>
          <w:tcPr>
            <w:tcW w:w="1514" w:type="dxa"/>
            <w:shd w:val="clear" w:color="auto" w:fill="auto"/>
            <w:vAlign w:val="bottom"/>
          </w:tcPr>
          <w:p w14:paraId="4F56EB6D" w14:textId="196E937F" w:rsidR="008343DE" w:rsidRPr="00D14FB0" w:rsidRDefault="008343DE" w:rsidP="008343DE">
            <w:pPr>
              <w:ind w:right="57"/>
              <w:jc w:val="center"/>
              <w:rPr>
                <w:sz w:val="18"/>
                <w:szCs w:val="18"/>
              </w:rPr>
            </w:pPr>
          </w:p>
        </w:tc>
        <w:tc>
          <w:tcPr>
            <w:tcW w:w="103" w:type="dxa"/>
            <w:shd w:val="clear" w:color="auto" w:fill="auto"/>
            <w:vAlign w:val="bottom"/>
          </w:tcPr>
          <w:p w14:paraId="54929315" w14:textId="77777777" w:rsidR="008343DE" w:rsidRPr="00FE279F" w:rsidRDefault="008343DE" w:rsidP="008343DE">
            <w:pPr>
              <w:ind w:left="-76" w:right="28"/>
              <w:jc w:val="right"/>
              <w:rPr>
                <w:sz w:val="18"/>
                <w:szCs w:val="18"/>
              </w:rPr>
            </w:pPr>
          </w:p>
        </w:tc>
        <w:tc>
          <w:tcPr>
            <w:tcW w:w="1514" w:type="dxa"/>
            <w:vAlign w:val="bottom"/>
          </w:tcPr>
          <w:p w14:paraId="16216858" w14:textId="77777777" w:rsidR="008343DE" w:rsidRPr="00FE279F" w:rsidRDefault="008343DE" w:rsidP="008343DE">
            <w:pPr>
              <w:ind w:right="57"/>
              <w:jc w:val="right"/>
              <w:rPr>
                <w:sz w:val="18"/>
                <w:szCs w:val="18"/>
              </w:rPr>
            </w:pPr>
          </w:p>
        </w:tc>
        <w:tc>
          <w:tcPr>
            <w:tcW w:w="2225" w:type="dxa"/>
            <w:shd w:val="clear" w:color="auto" w:fill="auto"/>
            <w:vAlign w:val="bottom"/>
          </w:tcPr>
          <w:p w14:paraId="1AACB809" w14:textId="5895B4A7" w:rsidR="008343DE" w:rsidRPr="00EA2E1E" w:rsidRDefault="008343DE" w:rsidP="00DB6422">
            <w:pPr>
              <w:ind w:right="57"/>
              <w:jc w:val="right"/>
              <w:rPr>
                <w:i/>
                <w:sz w:val="18"/>
                <w:szCs w:val="18"/>
              </w:rPr>
            </w:pPr>
            <w:r w:rsidRPr="00EA2E1E">
              <w:rPr>
                <w:i/>
                <w:sz w:val="18"/>
                <w:szCs w:val="18"/>
              </w:rPr>
              <w:t xml:space="preserve">Retained earnings </w:t>
            </w:r>
          </w:p>
        </w:tc>
      </w:tr>
      <w:tr w:rsidR="008343DE" w:rsidRPr="00EA2E1E" w14:paraId="12F2AB5E" w14:textId="77777777" w:rsidTr="007D4DDD">
        <w:tc>
          <w:tcPr>
            <w:tcW w:w="2253" w:type="dxa"/>
            <w:shd w:val="clear" w:color="auto" w:fill="auto"/>
          </w:tcPr>
          <w:p w14:paraId="443DD103" w14:textId="643BB19C" w:rsidR="008343DE" w:rsidRPr="00EA2E1E" w:rsidRDefault="008343DE" w:rsidP="008343DE">
            <w:pPr>
              <w:ind w:left="426" w:hanging="142"/>
              <w:rPr>
                <w:sz w:val="18"/>
                <w:szCs w:val="18"/>
              </w:rPr>
            </w:pPr>
            <w:r w:rsidRPr="00EA2E1E">
              <w:rPr>
                <w:sz w:val="18"/>
                <w:szCs w:val="18"/>
              </w:rPr>
              <w:t xml:space="preserve">Ditentukan penggunaanya </w:t>
            </w:r>
          </w:p>
        </w:tc>
        <w:tc>
          <w:tcPr>
            <w:tcW w:w="1502" w:type="dxa"/>
            <w:shd w:val="clear" w:color="auto" w:fill="auto"/>
            <w:vAlign w:val="bottom"/>
          </w:tcPr>
          <w:p w14:paraId="128846F8" w14:textId="2A72B2A0" w:rsidR="008343DE" w:rsidRPr="00494611" w:rsidRDefault="00494611" w:rsidP="008343DE">
            <w:pPr>
              <w:jc w:val="center"/>
              <w:rPr>
                <w:sz w:val="18"/>
                <w:szCs w:val="18"/>
              </w:rPr>
            </w:pPr>
            <w:r w:rsidRPr="00494611">
              <w:rPr>
                <w:sz w:val="18"/>
                <w:szCs w:val="18"/>
              </w:rPr>
              <w:t>24</w:t>
            </w:r>
          </w:p>
        </w:tc>
        <w:tc>
          <w:tcPr>
            <w:tcW w:w="103" w:type="dxa"/>
            <w:shd w:val="clear" w:color="auto" w:fill="auto"/>
          </w:tcPr>
          <w:p w14:paraId="11175AA2" w14:textId="77777777" w:rsidR="008343DE" w:rsidRPr="00EA2E1E" w:rsidRDefault="008343DE" w:rsidP="008343DE">
            <w:pPr>
              <w:rPr>
                <w:sz w:val="18"/>
                <w:szCs w:val="18"/>
              </w:rPr>
            </w:pPr>
          </w:p>
        </w:tc>
        <w:tc>
          <w:tcPr>
            <w:tcW w:w="1514" w:type="dxa"/>
            <w:shd w:val="clear" w:color="auto" w:fill="auto"/>
            <w:vAlign w:val="bottom"/>
          </w:tcPr>
          <w:p w14:paraId="47FCB7B7" w14:textId="78501CAD" w:rsidR="008343DE" w:rsidRPr="00D14FB0" w:rsidRDefault="000D5911" w:rsidP="008343DE">
            <w:pPr>
              <w:ind w:right="57"/>
              <w:jc w:val="right"/>
              <w:rPr>
                <w:sz w:val="18"/>
                <w:szCs w:val="18"/>
                <w:lang w:val="en-ID"/>
              </w:rPr>
            </w:pPr>
            <w:r w:rsidRPr="00D14FB0">
              <w:rPr>
                <w:sz w:val="18"/>
                <w:szCs w:val="18"/>
                <w:lang w:val="en-ID"/>
              </w:rPr>
              <w:t>2.000.000.000</w:t>
            </w:r>
          </w:p>
        </w:tc>
        <w:tc>
          <w:tcPr>
            <w:tcW w:w="103" w:type="dxa"/>
            <w:shd w:val="clear" w:color="auto" w:fill="auto"/>
            <w:vAlign w:val="bottom"/>
          </w:tcPr>
          <w:p w14:paraId="4520D088" w14:textId="77777777" w:rsidR="008343DE" w:rsidRPr="00FE279F" w:rsidRDefault="008343DE" w:rsidP="008343DE">
            <w:pPr>
              <w:ind w:left="-76" w:right="28"/>
              <w:jc w:val="right"/>
              <w:rPr>
                <w:sz w:val="18"/>
                <w:szCs w:val="18"/>
              </w:rPr>
            </w:pPr>
          </w:p>
        </w:tc>
        <w:tc>
          <w:tcPr>
            <w:tcW w:w="1514" w:type="dxa"/>
            <w:vAlign w:val="bottom"/>
          </w:tcPr>
          <w:p w14:paraId="16ECBE36" w14:textId="22BDE5C6" w:rsidR="008343DE" w:rsidRPr="00FE279F" w:rsidRDefault="008C4065" w:rsidP="008343DE">
            <w:pPr>
              <w:ind w:left="-76" w:right="57"/>
              <w:jc w:val="right"/>
              <w:rPr>
                <w:sz w:val="18"/>
                <w:szCs w:val="18"/>
              </w:rPr>
            </w:pPr>
            <w:r w:rsidRPr="00FE279F">
              <w:rPr>
                <w:sz w:val="18"/>
                <w:szCs w:val="18"/>
              </w:rPr>
              <w:t>2.000.000.000</w:t>
            </w:r>
          </w:p>
        </w:tc>
        <w:tc>
          <w:tcPr>
            <w:tcW w:w="2225" w:type="dxa"/>
            <w:shd w:val="clear" w:color="auto" w:fill="auto"/>
            <w:vAlign w:val="bottom"/>
          </w:tcPr>
          <w:p w14:paraId="1349D810" w14:textId="3A864596" w:rsidR="008343DE" w:rsidRPr="00EA2E1E" w:rsidRDefault="008343DE" w:rsidP="00973634">
            <w:pPr>
              <w:ind w:right="258"/>
              <w:jc w:val="right"/>
              <w:rPr>
                <w:i/>
                <w:sz w:val="18"/>
                <w:szCs w:val="18"/>
              </w:rPr>
            </w:pPr>
            <w:r w:rsidRPr="00EA2E1E">
              <w:rPr>
                <w:i/>
                <w:sz w:val="18"/>
                <w:szCs w:val="18"/>
              </w:rPr>
              <w:t>Appropriated</w:t>
            </w:r>
          </w:p>
        </w:tc>
      </w:tr>
      <w:tr w:rsidR="008343DE" w:rsidRPr="00EA2E1E" w14:paraId="6DB09E9A" w14:textId="77777777" w:rsidTr="007D4DDD">
        <w:tc>
          <w:tcPr>
            <w:tcW w:w="2253" w:type="dxa"/>
            <w:shd w:val="clear" w:color="auto" w:fill="auto"/>
          </w:tcPr>
          <w:p w14:paraId="02A4E88E" w14:textId="77B4F29F" w:rsidR="008343DE" w:rsidRPr="00EA2E1E" w:rsidRDefault="008343DE" w:rsidP="008343DE">
            <w:pPr>
              <w:ind w:left="426" w:hanging="142"/>
              <w:rPr>
                <w:sz w:val="18"/>
                <w:szCs w:val="18"/>
              </w:rPr>
            </w:pPr>
            <w:r w:rsidRPr="00EA2E1E">
              <w:rPr>
                <w:sz w:val="18"/>
                <w:szCs w:val="18"/>
              </w:rPr>
              <w:t>Belum ditentukan penggunaannya</w:t>
            </w:r>
          </w:p>
        </w:tc>
        <w:tc>
          <w:tcPr>
            <w:tcW w:w="1502" w:type="dxa"/>
            <w:shd w:val="clear" w:color="auto" w:fill="auto"/>
            <w:vAlign w:val="bottom"/>
          </w:tcPr>
          <w:p w14:paraId="0B7A33EE" w14:textId="68545B5D" w:rsidR="008343DE" w:rsidRPr="00DB6422" w:rsidRDefault="00DB6422" w:rsidP="00D316D9">
            <w:pPr>
              <w:jc w:val="center"/>
              <w:rPr>
                <w:sz w:val="18"/>
                <w:szCs w:val="18"/>
                <w:highlight w:val="red"/>
              </w:rPr>
            </w:pPr>
            <w:r w:rsidRPr="00DB6422">
              <w:rPr>
                <w:sz w:val="18"/>
                <w:szCs w:val="18"/>
              </w:rPr>
              <w:t>2</w:t>
            </w:r>
            <w:r w:rsidR="00D316D9">
              <w:rPr>
                <w:sz w:val="18"/>
                <w:szCs w:val="18"/>
              </w:rPr>
              <w:t>4</w:t>
            </w:r>
          </w:p>
        </w:tc>
        <w:tc>
          <w:tcPr>
            <w:tcW w:w="103" w:type="dxa"/>
            <w:shd w:val="clear" w:color="auto" w:fill="auto"/>
          </w:tcPr>
          <w:p w14:paraId="6A26E89C" w14:textId="77777777" w:rsidR="008343DE" w:rsidRPr="00EA2E1E" w:rsidRDefault="008343DE" w:rsidP="008343DE">
            <w:pPr>
              <w:rPr>
                <w:sz w:val="18"/>
                <w:szCs w:val="18"/>
              </w:rPr>
            </w:pPr>
          </w:p>
        </w:tc>
        <w:tc>
          <w:tcPr>
            <w:tcW w:w="1514" w:type="dxa"/>
            <w:tcBorders>
              <w:bottom w:val="single" w:sz="4" w:space="0" w:color="auto"/>
            </w:tcBorders>
            <w:shd w:val="clear" w:color="auto" w:fill="auto"/>
            <w:vAlign w:val="bottom"/>
          </w:tcPr>
          <w:p w14:paraId="71B68D83" w14:textId="1A08C51A" w:rsidR="008343DE" w:rsidRPr="007D4DDD" w:rsidRDefault="00E9475E" w:rsidP="00B078AC">
            <w:pPr>
              <w:ind w:right="57"/>
              <w:jc w:val="right"/>
              <w:rPr>
                <w:sz w:val="18"/>
                <w:szCs w:val="18"/>
                <w:lang w:val="id-ID"/>
              </w:rPr>
            </w:pPr>
            <w:r w:rsidRPr="007D4DDD">
              <w:rPr>
                <w:sz w:val="18"/>
                <w:szCs w:val="18"/>
              </w:rPr>
              <w:t>(585.351.</w:t>
            </w:r>
            <w:r w:rsidRPr="007D4DDD">
              <w:rPr>
                <w:sz w:val="18"/>
                <w:szCs w:val="18"/>
                <w:lang w:val="id-ID"/>
              </w:rPr>
              <w:t>522</w:t>
            </w:r>
            <w:r w:rsidRPr="007D4DDD">
              <w:rPr>
                <w:sz w:val="18"/>
                <w:szCs w:val="18"/>
              </w:rPr>
              <w:t>.</w:t>
            </w:r>
            <w:r w:rsidRPr="007D4DDD">
              <w:rPr>
                <w:sz w:val="18"/>
                <w:szCs w:val="18"/>
                <w:lang w:val="id-ID"/>
              </w:rPr>
              <w:t>9</w:t>
            </w:r>
            <w:r w:rsidR="00B078AC" w:rsidRPr="007D4DDD">
              <w:rPr>
                <w:sz w:val="18"/>
                <w:szCs w:val="18"/>
              </w:rPr>
              <w:t>51</w:t>
            </w:r>
            <w:r w:rsidR="002B6559" w:rsidRPr="007D4DDD">
              <w:rPr>
                <w:sz w:val="18"/>
                <w:szCs w:val="18"/>
              </w:rPr>
              <w:t>)</w:t>
            </w:r>
          </w:p>
        </w:tc>
        <w:tc>
          <w:tcPr>
            <w:tcW w:w="103" w:type="dxa"/>
            <w:shd w:val="clear" w:color="auto" w:fill="auto"/>
            <w:vAlign w:val="bottom"/>
          </w:tcPr>
          <w:p w14:paraId="035FDE3E" w14:textId="77777777" w:rsidR="008343DE" w:rsidRPr="00FE279F" w:rsidRDefault="008343DE" w:rsidP="008343DE">
            <w:pPr>
              <w:ind w:left="-76" w:right="28"/>
              <w:jc w:val="right"/>
              <w:rPr>
                <w:sz w:val="18"/>
                <w:szCs w:val="18"/>
              </w:rPr>
            </w:pPr>
          </w:p>
        </w:tc>
        <w:tc>
          <w:tcPr>
            <w:tcW w:w="1514" w:type="dxa"/>
            <w:tcBorders>
              <w:bottom w:val="single" w:sz="4" w:space="0" w:color="auto"/>
            </w:tcBorders>
            <w:vAlign w:val="bottom"/>
          </w:tcPr>
          <w:p w14:paraId="0FDDA98C" w14:textId="07049272" w:rsidR="008343DE" w:rsidRPr="00FE279F" w:rsidRDefault="00895892" w:rsidP="008343DE">
            <w:pPr>
              <w:ind w:left="-76" w:right="57"/>
              <w:jc w:val="right"/>
              <w:rPr>
                <w:sz w:val="18"/>
                <w:szCs w:val="18"/>
              </w:rPr>
            </w:pPr>
            <w:bookmarkStart w:id="0" w:name="OLE_LINK5"/>
            <w:r w:rsidRPr="00147D69">
              <w:rPr>
                <w:sz w:val="18"/>
                <w:szCs w:val="18"/>
              </w:rPr>
              <w:t>(575.930.831.44</w:t>
            </w:r>
            <w:r>
              <w:rPr>
                <w:sz w:val="18"/>
                <w:szCs w:val="18"/>
              </w:rPr>
              <w:t>8</w:t>
            </w:r>
            <w:r w:rsidRPr="00147D69">
              <w:rPr>
                <w:sz w:val="18"/>
                <w:szCs w:val="18"/>
              </w:rPr>
              <w:t>)</w:t>
            </w:r>
            <w:bookmarkEnd w:id="0"/>
          </w:p>
        </w:tc>
        <w:tc>
          <w:tcPr>
            <w:tcW w:w="2225" w:type="dxa"/>
            <w:shd w:val="clear" w:color="auto" w:fill="auto"/>
            <w:vAlign w:val="bottom"/>
          </w:tcPr>
          <w:p w14:paraId="2948ECC9" w14:textId="79A000EF" w:rsidR="008343DE" w:rsidRPr="00EA2E1E" w:rsidRDefault="008343DE" w:rsidP="00973634">
            <w:pPr>
              <w:ind w:right="258"/>
              <w:jc w:val="right"/>
              <w:rPr>
                <w:i/>
                <w:sz w:val="18"/>
                <w:szCs w:val="18"/>
              </w:rPr>
            </w:pPr>
            <w:r w:rsidRPr="00EA2E1E">
              <w:rPr>
                <w:i/>
                <w:sz w:val="18"/>
                <w:szCs w:val="18"/>
              </w:rPr>
              <w:t>Unappropriated</w:t>
            </w:r>
          </w:p>
        </w:tc>
      </w:tr>
      <w:tr w:rsidR="008343DE" w:rsidRPr="00EA2E1E" w14:paraId="3E9328EE" w14:textId="77777777" w:rsidTr="007D4DDD">
        <w:tc>
          <w:tcPr>
            <w:tcW w:w="2253" w:type="dxa"/>
            <w:shd w:val="clear" w:color="auto" w:fill="auto"/>
          </w:tcPr>
          <w:p w14:paraId="2BC17401" w14:textId="73B8D335" w:rsidR="008343DE" w:rsidRPr="00EA2E1E" w:rsidRDefault="008343DE" w:rsidP="008343DE">
            <w:pPr>
              <w:ind w:left="283" w:hanging="170"/>
              <w:rPr>
                <w:sz w:val="18"/>
                <w:szCs w:val="18"/>
              </w:rPr>
            </w:pPr>
          </w:p>
        </w:tc>
        <w:tc>
          <w:tcPr>
            <w:tcW w:w="1502" w:type="dxa"/>
            <w:shd w:val="clear" w:color="auto" w:fill="auto"/>
            <w:vAlign w:val="bottom"/>
          </w:tcPr>
          <w:p w14:paraId="378C2028" w14:textId="77777777" w:rsidR="008343DE" w:rsidRPr="00EA2E1E" w:rsidRDefault="008343DE" w:rsidP="008343DE">
            <w:pPr>
              <w:jc w:val="center"/>
              <w:rPr>
                <w:sz w:val="18"/>
                <w:szCs w:val="18"/>
                <w:highlight w:val="red"/>
              </w:rPr>
            </w:pPr>
          </w:p>
        </w:tc>
        <w:tc>
          <w:tcPr>
            <w:tcW w:w="103" w:type="dxa"/>
            <w:shd w:val="clear" w:color="auto" w:fill="auto"/>
          </w:tcPr>
          <w:p w14:paraId="15BA778D" w14:textId="77777777" w:rsidR="008343DE" w:rsidRPr="00EA2E1E" w:rsidRDefault="008343DE" w:rsidP="008343DE">
            <w:pPr>
              <w:rPr>
                <w:sz w:val="18"/>
                <w:szCs w:val="18"/>
              </w:rPr>
            </w:pPr>
          </w:p>
        </w:tc>
        <w:tc>
          <w:tcPr>
            <w:tcW w:w="1514" w:type="dxa"/>
            <w:tcBorders>
              <w:top w:val="single" w:sz="4" w:space="0" w:color="auto"/>
            </w:tcBorders>
            <w:shd w:val="clear" w:color="auto" w:fill="auto"/>
            <w:vAlign w:val="bottom"/>
          </w:tcPr>
          <w:p w14:paraId="2D89079C" w14:textId="77777777" w:rsidR="008343DE" w:rsidRPr="007D4DDD" w:rsidRDefault="008343DE" w:rsidP="008343DE">
            <w:pPr>
              <w:ind w:right="57"/>
              <w:jc w:val="right"/>
              <w:rPr>
                <w:sz w:val="18"/>
                <w:szCs w:val="18"/>
              </w:rPr>
            </w:pPr>
          </w:p>
        </w:tc>
        <w:tc>
          <w:tcPr>
            <w:tcW w:w="103" w:type="dxa"/>
            <w:shd w:val="clear" w:color="auto" w:fill="auto"/>
            <w:vAlign w:val="bottom"/>
          </w:tcPr>
          <w:p w14:paraId="7CF5A5AA" w14:textId="77777777" w:rsidR="008343DE" w:rsidRPr="00FE279F" w:rsidRDefault="008343DE" w:rsidP="008343DE">
            <w:pPr>
              <w:ind w:left="-76" w:right="28"/>
              <w:jc w:val="right"/>
              <w:rPr>
                <w:sz w:val="18"/>
                <w:szCs w:val="18"/>
              </w:rPr>
            </w:pPr>
          </w:p>
        </w:tc>
        <w:tc>
          <w:tcPr>
            <w:tcW w:w="1514" w:type="dxa"/>
            <w:tcBorders>
              <w:top w:val="single" w:sz="4" w:space="0" w:color="auto"/>
            </w:tcBorders>
            <w:vAlign w:val="bottom"/>
          </w:tcPr>
          <w:p w14:paraId="76E15B39" w14:textId="77777777" w:rsidR="008343DE" w:rsidRPr="00FE279F" w:rsidRDefault="008343DE" w:rsidP="008343DE">
            <w:pPr>
              <w:ind w:right="57"/>
              <w:jc w:val="right"/>
              <w:rPr>
                <w:sz w:val="18"/>
                <w:szCs w:val="18"/>
              </w:rPr>
            </w:pPr>
          </w:p>
        </w:tc>
        <w:tc>
          <w:tcPr>
            <w:tcW w:w="2225" w:type="dxa"/>
            <w:shd w:val="clear" w:color="auto" w:fill="auto"/>
            <w:vAlign w:val="bottom"/>
          </w:tcPr>
          <w:p w14:paraId="3E758C46" w14:textId="77777777" w:rsidR="008343DE" w:rsidRPr="00EA2E1E" w:rsidRDefault="008343DE" w:rsidP="008343DE">
            <w:pPr>
              <w:ind w:right="57"/>
              <w:jc w:val="right"/>
              <w:rPr>
                <w:i/>
                <w:sz w:val="18"/>
                <w:szCs w:val="18"/>
              </w:rPr>
            </w:pPr>
          </w:p>
        </w:tc>
      </w:tr>
      <w:tr w:rsidR="008343DE" w:rsidRPr="00EA2E1E" w14:paraId="07C95AB9" w14:textId="77777777" w:rsidTr="007D4DDD">
        <w:tc>
          <w:tcPr>
            <w:tcW w:w="2253" w:type="dxa"/>
            <w:shd w:val="clear" w:color="auto" w:fill="auto"/>
          </w:tcPr>
          <w:p w14:paraId="2E960196" w14:textId="77777777" w:rsidR="008343DE" w:rsidRPr="00EA2E1E" w:rsidRDefault="008343DE" w:rsidP="008343DE">
            <w:pPr>
              <w:ind w:left="283" w:hanging="170"/>
              <w:rPr>
                <w:sz w:val="18"/>
                <w:szCs w:val="18"/>
              </w:rPr>
            </w:pPr>
            <w:r w:rsidRPr="00EA2E1E">
              <w:rPr>
                <w:sz w:val="18"/>
                <w:szCs w:val="18"/>
              </w:rPr>
              <w:t xml:space="preserve">Sub - jumlah </w:t>
            </w:r>
          </w:p>
        </w:tc>
        <w:tc>
          <w:tcPr>
            <w:tcW w:w="1502" w:type="dxa"/>
            <w:shd w:val="clear" w:color="auto" w:fill="auto"/>
            <w:vAlign w:val="bottom"/>
          </w:tcPr>
          <w:p w14:paraId="4BC7AA23" w14:textId="77777777" w:rsidR="008343DE" w:rsidRPr="00EA2E1E" w:rsidRDefault="008343DE" w:rsidP="008343DE">
            <w:pPr>
              <w:jc w:val="center"/>
              <w:rPr>
                <w:sz w:val="18"/>
                <w:szCs w:val="18"/>
                <w:highlight w:val="red"/>
              </w:rPr>
            </w:pPr>
          </w:p>
        </w:tc>
        <w:tc>
          <w:tcPr>
            <w:tcW w:w="103" w:type="dxa"/>
            <w:shd w:val="clear" w:color="auto" w:fill="auto"/>
          </w:tcPr>
          <w:p w14:paraId="45D6E7F7" w14:textId="77777777" w:rsidR="008343DE" w:rsidRPr="00EA2E1E" w:rsidRDefault="008343DE" w:rsidP="008343DE">
            <w:pPr>
              <w:rPr>
                <w:sz w:val="18"/>
                <w:szCs w:val="18"/>
              </w:rPr>
            </w:pPr>
          </w:p>
        </w:tc>
        <w:tc>
          <w:tcPr>
            <w:tcW w:w="1514" w:type="dxa"/>
            <w:shd w:val="clear" w:color="auto" w:fill="auto"/>
            <w:vAlign w:val="bottom"/>
          </w:tcPr>
          <w:p w14:paraId="608DD41B" w14:textId="090D6E57" w:rsidR="008343DE" w:rsidRPr="007D4DDD" w:rsidRDefault="002B6559" w:rsidP="00E85965">
            <w:pPr>
              <w:ind w:right="57"/>
              <w:jc w:val="right"/>
              <w:rPr>
                <w:sz w:val="18"/>
                <w:szCs w:val="18"/>
                <w:lang w:val="id-ID"/>
              </w:rPr>
            </w:pPr>
            <w:r w:rsidRPr="007D4DDD">
              <w:rPr>
                <w:sz w:val="18"/>
                <w:szCs w:val="18"/>
              </w:rPr>
              <w:t xml:space="preserve">  1.76</w:t>
            </w:r>
            <w:r w:rsidR="00E9475E" w:rsidRPr="007D4DDD">
              <w:rPr>
                <w:sz w:val="18"/>
                <w:szCs w:val="18"/>
                <w:lang w:val="id-ID"/>
              </w:rPr>
              <w:t>6</w:t>
            </w:r>
            <w:r w:rsidR="00E9475E" w:rsidRPr="007D4DDD">
              <w:rPr>
                <w:sz w:val="18"/>
                <w:szCs w:val="18"/>
              </w:rPr>
              <w:t>.</w:t>
            </w:r>
            <w:r w:rsidR="00E9475E" w:rsidRPr="007D4DDD">
              <w:rPr>
                <w:sz w:val="18"/>
                <w:szCs w:val="18"/>
                <w:lang w:val="id-ID"/>
              </w:rPr>
              <w:t>056</w:t>
            </w:r>
            <w:r w:rsidR="00E9475E" w:rsidRPr="007D4DDD">
              <w:rPr>
                <w:sz w:val="18"/>
                <w:szCs w:val="18"/>
              </w:rPr>
              <w:t>.3</w:t>
            </w:r>
            <w:r w:rsidR="00E9475E" w:rsidRPr="007D4DDD">
              <w:rPr>
                <w:sz w:val="18"/>
                <w:szCs w:val="18"/>
                <w:lang w:val="id-ID"/>
              </w:rPr>
              <w:t>39</w:t>
            </w:r>
            <w:r w:rsidR="00E9475E" w:rsidRPr="007D4DDD">
              <w:rPr>
                <w:sz w:val="18"/>
                <w:szCs w:val="18"/>
              </w:rPr>
              <w:t>.</w:t>
            </w:r>
            <w:r w:rsidR="00E85965" w:rsidRPr="007D4DDD">
              <w:rPr>
                <w:sz w:val="18"/>
                <w:szCs w:val="18"/>
              </w:rPr>
              <w:t>6</w:t>
            </w:r>
            <w:r w:rsidR="00E9475E" w:rsidRPr="007D4DDD">
              <w:rPr>
                <w:sz w:val="18"/>
                <w:szCs w:val="18"/>
                <w:lang w:val="id-ID"/>
              </w:rPr>
              <w:t>04</w:t>
            </w:r>
          </w:p>
        </w:tc>
        <w:tc>
          <w:tcPr>
            <w:tcW w:w="103" w:type="dxa"/>
            <w:shd w:val="clear" w:color="auto" w:fill="auto"/>
            <w:vAlign w:val="bottom"/>
          </w:tcPr>
          <w:p w14:paraId="3C0F06CC" w14:textId="77777777" w:rsidR="008343DE" w:rsidRPr="00157731" w:rsidRDefault="008343DE" w:rsidP="008343DE">
            <w:pPr>
              <w:ind w:left="-76" w:right="28"/>
              <w:jc w:val="right"/>
              <w:rPr>
                <w:sz w:val="18"/>
                <w:szCs w:val="18"/>
                <w:highlight w:val="cyan"/>
              </w:rPr>
            </w:pPr>
          </w:p>
        </w:tc>
        <w:tc>
          <w:tcPr>
            <w:tcW w:w="1514" w:type="dxa"/>
            <w:vAlign w:val="bottom"/>
          </w:tcPr>
          <w:p w14:paraId="278484AC" w14:textId="11F1601A" w:rsidR="008343DE" w:rsidRPr="00FE279F" w:rsidRDefault="00895892" w:rsidP="008343DE">
            <w:pPr>
              <w:ind w:right="57"/>
              <w:jc w:val="right"/>
              <w:rPr>
                <w:sz w:val="18"/>
                <w:szCs w:val="18"/>
              </w:rPr>
            </w:pPr>
            <w:r>
              <w:rPr>
                <w:sz w:val="18"/>
                <w:szCs w:val="18"/>
              </w:rPr>
              <w:t>1.775.712.068.653</w:t>
            </w:r>
          </w:p>
        </w:tc>
        <w:tc>
          <w:tcPr>
            <w:tcW w:w="2225" w:type="dxa"/>
            <w:shd w:val="clear" w:color="auto" w:fill="auto"/>
            <w:vAlign w:val="bottom"/>
          </w:tcPr>
          <w:p w14:paraId="21E275AE" w14:textId="77777777" w:rsidR="008343DE" w:rsidRPr="00EA2E1E" w:rsidRDefault="008343DE" w:rsidP="008343DE">
            <w:pPr>
              <w:ind w:right="57"/>
              <w:jc w:val="right"/>
              <w:rPr>
                <w:i/>
                <w:sz w:val="18"/>
                <w:szCs w:val="18"/>
              </w:rPr>
            </w:pPr>
            <w:r w:rsidRPr="00EA2E1E">
              <w:rPr>
                <w:i/>
                <w:sz w:val="18"/>
                <w:szCs w:val="18"/>
              </w:rPr>
              <w:t xml:space="preserve">Sub - total </w:t>
            </w:r>
          </w:p>
        </w:tc>
      </w:tr>
      <w:tr w:rsidR="008343DE" w:rsidRPr="00EA2E1E" w14:paraId="10795AC3" w14:textId="77777777" w:rsidTr="007D4DDD">
        <w:tc>
          <w:tcPr>
            <w:tcW w:w="2253" w:type="dxa"/>
            <w:shd w:val="clear" w:color="auto" w:fill="auto"/>
          </w:tcPr>
          <w:p w14:paraId="52AA1BC2" w14:textId="77777777" w:rsidR="008343DE" w:rsidRPr="00EA2E1E" w:rsidRDefault="008343DE" w:rsidP="008343DE">
            <w:pPr>
              <w:ind w:left="283" w:hanging="170"/>
              <w:rPr>
                <w:sz w:val="18"/>
                <w:szCs w:val="18"/>
              </w:rPr>
            </w:pPr>
          </w:p>
        </w:tc>
        <w:tc>
          <w:tcPr>
            <w:tcW w:w="1502" w:type="dxa"/>
            <w:shd w:val="clear" w:color="auto" w:fill="auto"/>
            <w:vAlign w:val="bottom"/>
          </w:tcPr>
          <w:p w14:paraId="62F7D64A" w14:textId="77777777" w:rsidR="008343DE" w:rsidRPr="00EA2E1E" w:rsidRDefault="008343DE" w:rsidP="008343DE">
            <w:pPr>
              <w:jc w:val="center"/>
              <w:rPr>
                <w:sz w:val="18"/>
                <w:szCs w:val="18"/>
                <w:highlight w:val="red"/>
              </w:rPr>
            </w:pPr>
          </w:p>
        </w:tc>
        <w:tc>
          <w:tcPr>
            <w:tcW w:w="103" w:type="dxa"/>
            <w:shd w:val="clear" w:color="auto" w:fill="auto"/>
          </w:tcPr>
          <w:p w14:paraId="58E4B58A" w14:textId="77777777" w:rsidR="008343DE" w:rsidRPr="00EA2E1E" w:rsidRDefault="008343DE" w:rsidP="008343DE">
            <w:pPr>
              <w:rPr>
                <w:sz w:val="18"/>
                <w:szCs w:val="18"/>
              </w:rPr>
            </w:pPr>
          </w:p>
        </w:tc>
        <w:tc>
          <w:tcPr>
            <w:tcW w:w="1514" w:type="dxa"/>
            <w:shd w:val="clear" w:color="auto" w:fill="auto"/>
            <w:vAlign w:val="bottom"/>
          </w:tcPr>
          <w:p w14:paraId="5915551C" w14:textId="77777777" w:rsidR="008343DE" w:rsidRPr="007D4DDD" w:rsidRDefault="008343DE" w:rsidP="008343DE">
            <w:pPr>
              <w:ind w:right="57"/>
              <w:jc w:val="right"/>
              <w:rPr>
                <w:sz w:val="18"/>
                <w:szCs w:val="18"/>
              </w:rPr>
            </w:pPr>
          </w:p>
        </w:tc>
        <w:tc>
          <w:tcPr>
            <w:tcW w:w="103" w:type="dxa"/>
            <w:shd w:val="clear" w:color="auto" w:fill="auto"/>
            <w:vAlign w:val="bottom"/>
          </w:tcPr>
          <w:p w14:paraId="226EF52E" w14:textId="77777777" w:rsidR="008343DE" w:rsidRPr="00FE279F" w:rsidRDefault="008343DE" w:rsidP="008343DE">
            <w:pPr>
              <w:ind w:left="-76" w:right="28"/>
              <w:jc w:val="right"/>
              <w:rPr>
                <w:sz w:val="18"/>
                <w:szCs w:val="18"/>
              </w:rPr>
            </w:pPr>
          </w:p>
        </w:tc>
        <w:tc>
          <w:tcPr>
            <w:tcW w:w="1514" w:type="dxa"/>
            <w:vAlign w:val="bottom"/>
          </w:tcPr>
          <w:p w14:paraId="15C0AFAB" w14:textId="77777777" w:rsidR="008343DE" w:rsidRPr="00FE279F" w:rsidRDefault="008343DE" w:rsidP="008343DE">
            <w:pPr>
              <w:ind w:right="57"/>
              <w:jc w:val="right"/>
              <w:rPr>
                <w:sz w:val="18"/>
                <w:szCs w:val="18"/>
              </w:rPr>
            </w:pPr>
          </w:p>
        </w:tc>
        <w:tc>
          <w:tcPr>
            <w:tcW w:w="2225" w:type="dxa"/>
            <w:shd w:val="clear" w:color="auto" w:fill="auto"/>
            <w:vAlign w:val="bottom"/>
          </w:tcPr>
          <w:p w14:paraId="1C1FF150" w14:textId="77777777" w:rsidR="008343DE" w:rsidRPr="00EA2E1E" w:rsidRDefault="008343DE" w:rsidP="008343DE">
            <w:pPr>
              <w:ind w:right="57"/>
              <w:jc w:val="right"/>
              <w:rPr>
                <w:i/>
                <w:sz w:val="18"/>
                <w:szCs w:val="18"/>
              </w:rPr>
            </w:pPr>
          </w:p>
        </w:tc>
      </w:tr>
      <w:tr w:rsidR="008343DE" w:rsidRPr="00EA2E1E" w14:paraId="4EB6FD5E" w14:textId="77777777" w:rsidTr="007D4DDD">
        <w:tc>
          <w:tcPr>
            <w:tcW w:w="2253" w:type="dxa"/>
            <w:shd w:val="clear" w:color="auto" w:fill="auto"/>
          </w:tcPr>
          <w:p w14:paraId="1A9BB65F" w14:textId="77777777" w:rsidR="008343DE" w:rsidRPr="00EA2E1E" w:rsidRDefault="008343DE" w:rsidP="008343DE">
            <w:pPr>
              <w:ind w:left="283" w:hanging="170"/>
              <w:rPr>
                <w:sz w:val="18"/>
                <w:szCs w:val="18"/>
              </w:rPr>
            </w:pPr>
            <w:r w:rsidRPr="00EA2E1E">
              <w:rPr>
                <w:sz w:val="18"/>
                <w:szCs w:val="18"/>
              </w:rPr>
              <w:t>Kepentingan Non-Pengendali</w:t>
            </w:r>
          </w:p>
        </w:tc>
        <w:tc>
          <w:tcPr>
            <w:tcW w:w="1502" w:type="dxa"/>
            <w:shd w:val="clear" w:color="auto" w:fill="auto"/>
            <w:vAlign w:val="bottom"/>
          </w:tcPr>
          <w:p w14:paraId="62B01195" w14:textId="39FE10B6" w:rsidR="008343DE" w:rsidRPr="00EA2E1E" w:rsidRDefault="008343DE" w:rsidP="00D316D9">
            <w:pPr>
              <w:jc w:val="center"/>
              <w:rPr>
                <w:sz w:val="18"/>
                <w:szCs w:val="18"/>
                <w:highlight w:val="red"/>
              </w:rPr>
            </w:pPr>
            <w:r w:rsidRPr="0069165D">
              <w:rPr>
                <w:sz w:val="18"/>
                <w:szCs w:val="18"/>
              </w:rPr>
              <w:t>3c</w:t>
            </w:r>
            <w:r w:rsidR="00C92587">
              <w:rPr>
                <w:sz w:val="18"/>
                <w:szCs w:val="18"/>
              </w:rPr>
              <w:t>,</w:t>
            </w:r>
            <w:r w:rsidR="00806B98" w:rsidRPr="0069165D">
              <w:rPr>
                <w:sz w:val="18"/>
                <w:szCs w:val="18"/>
              </w:rPr>
              <w:t>2</w:t>
            </w:r>
            <w:r w:rsidR="00494611">
              <w:rPr>
                <w:sz w:val="18"/>
                <w:szCs w:val="18"/>
              </w:rPr>
              <w:t>4</w:t>
            </w:r>
          </w:p>
        </w:tc>
        <w:tc>
          <w:tcPr>
            <w:tcW w:w="103" w:type="dxa"/>
            <w:shd w:val="clear" w:color="auto" w:fill="auto"/>
          </w:tcPr>
          <w:p w14:paraId="179F6E61" w14:textId="77777777" w:rsidR="008343DE" w:rsidRPr="00EA2E1E" w:rsidRDefault="008343DE" w:rsidP="008343DE">
            <w:pPr>
              <w:rPr>
                <w:sz w:val="18"/>
                <w:szCs w:val="18"/>
              </w:rPr>
            </w:pPr>
          </w:p>
        </w:tc>
        <w:tc>
          <w:tcPr>
            <w:tcW w:w="1514" w:type="dxa"/>
            <w:tcBorders>
              <w:bottom w:val="single" w:sz="4" w:space="0" w:color="auto"/>
            </w:tcBorders>
            <w:shd w:val="clear" w:color="auto" w:fill="auto"/>
            <w:vAlign w:val="bottom"/>
          </w:tcPr>
          <w:p w14:paraId="5A5A2C45" w14:textId="5DB59D0B" w:rsidR="008343DE" w:rsidRPr="007D4DDD" w:rsidRDefault="00E85965" w:rsidP="007D4DDD">
            <w:pPr>
              <w:ind w:right="57"/>
              <w:jc w:val="right"/>
              <w:rPr>
                <w:sz w:val="18"/>
                <w:szCs w:val="18"/>
                <w:lang w:val="en-ID"/>
              </w:rPr>
            </w:pPr>
            <w:r w:rsidRPr="007D4DDD">
              <w:rPr>
                <w:sz w:val="18"/>
                <w:szCs w:val="18"/>
              </w:rPr>
              <w:t>903.815.</w:t>
            </w:r>
            <w:r w:rsidR="001721C2" w:rsidRPr="007D4DDD">
              <w:rPr>
                <w:sz w:val="18"/>
                <w:szCs w:val="18"/>
              </w:rPr>
              <w:t>4</w:t>
            </w:r>
            <w:r w:rsidR="007D4DDD" w:rsidRPr="007D4DDD">
              <w:rPr>
                <w:sz w:val="18"/>
                <w:szCs w:val="18"/>
              </w:rPr>
              <w:t>39</w:t>
            </w:r>
          </w:p>
        </w:tc>
        <w:tc>
          <w:tcPr>
            <w:tcW w:w="103" w:type="dxa"/>
            <w:shd w:val="clear" w:color="auto" w:fill="auto"/>
            <w:vAlign w:val="bottom"/>
          </w:tcPr>
          <w:p w14:paraId="50613346" w14:textId="77777777" w:rsidR="008343DE" w:rsidRPr="00FE279F" w:rsidRDefault="008343DE" w:rsidP="008343DE">
            <w:pPr>
              <w:ind w:left="-76" w:right="28"/>
              <w:jc w:val="right"/>
              <w:rPr>
                <w:sz w:val="18"/>
                <w:szCs w:val="18"/>
              </w:rPr>
            </w:pPr>
          </w:p>
        </w:tc>
        <w:tc>
          <w:tcPr>
            <w:tcW w:w="1514" w:type="dxa"/>
            <w:tcBorders>
              <w:bottom w:val="single" w:sz="4" w:space="0" w:color="auto"/>
            </w:tcBorders>
            <w:vAlign w:val="bottom"/>
          </w:tcPr>
          <w:p w14:paraId="3BF8E6F6" w14:textId="399F1FB2" w:rsidR="008343DE" w:rsidRPr="00FE279F" w:rsidRDefault="00895892" w:rsidP="008343DE">
            <w:pPr>
              <w:ind w:right="57"/>
              <w:jc w:val="right"/>
              <w:rPr>
                <w:sz w:val="18"/>
                <w:szCs w:val="18"/>
                <w:lang w:val="id-ID"/>
              </w:rPr>
            </w:pPr>
            <w:r w:rsidRPr="00147D69">
              <w:rPr>
                <w:sz w:val="18"/>
                <w:szCs w:val="18"/>
                <w:lang w:val="en-ID"/>
              </w:rPr>
              <w:t>913.032.909</w:t>
            </w:r>
          </w:p>
        </w:tc>
        <w:tc>
          <w:tcPr>
            <w:tcW w:w="2225" w:type="dxa"/>
            <w:shd w:val="clear" w:color="auto" w:fill="auto"/>
            <w:vAlign w:val="bottom"/>
          </w:tcPr>
          <w:p w14:paraId="56C13FBC" w14:textId="77777777" w:rsidR="008343DE" w:rsidRPr="00EA2E1E" w:rsidRDefault="008343DE" w:rsidP="008343DE">
            <w:pPr>
              <w:ind w:right="57"/>
              <w:jc w:val="right"/>
              <w:rPr>
                <w:i/>
                <w:sz w:val="18"/>
                <w:szCs w:val="18"/>
              </w:rPr>
            </w:pPr>
            <w:r w:rsidRPr="00EA2E1E">
              <w:rPr>
                <w:i/>
                <w:sz w:val="18"/>
                <w:szCs w:val="18"/>
              </w:rPr>
              <w:t xml:space="preserve">Non-Controlling Interest </w:t>
            </w:r>
          </w:p>
        </w:tc>
      </w:tr>
      <w:tr w:rsidR="008343DE" w:rsidRPr="00EA2E1E" w14:paraId="3FEE48DA" w14:textId="77777777" w:rsidTr="007D4DDD">
        <w:tc>
          <w:tcPr>
            <w:tcW w:w="2253" w:type="dxa"/>
            <w:shd w:val="clear" w:color="auto" w:fill="auto"/>
          </w:tcPr>
          <w:p w14:paraId="5D22D278" w14:textId="77777777" w:rsidR="008343DE" w:rsidRPr="00EA2E1E" w:rsidRDefault="008343DE" w:rsidP="008343DE">
            <w:pPr>
              <w:ind w:left="283" w:hanging="170"/>
              <w:rPr>
                <w:sz w:val="18"/>
                <w:szCs w:val="18"/>
              </w:rPr>
            </w:pPr>
          </w:p>
        </w:tc>
        <w:tc>
          <w:tcPr>
            <w:tcW w:w="1502" w:type="dxa"/>
            <w:shd w:val="clear" w:color="auto" w:fill="auto"/>
            <w:vAlign w:val="bottom"/>
          </w:tcPr>
          <w:p w14:paraId="1BF11ED6" w14:textId="77777777" w:rsidR="008343DE" w:rsidRPr="00EA2E1E" w:rsidRDefault="008343DE" w:rsidP="008343DE">
            <w:pPr>
              <w:jc w:val="center"/>
              <w:rPr>
                <w:sz w:val="18"/>
                <w:szCs w:val="18"/>
                <w:highlight w:val="red"/>
              </w:rPr>
            </w:pPr>
          </w:p>
        </w:tc>
        <w:tc>
          <w:tcPr>
            <w:tcW w:w="103" w:type="dxa"/>
            <w:shd w:val="clear" w:color="auto" w:fill="auto"/>
          </w:tcPr>
          <w:p w14:paraId="0C38B809" w14:textId="77777777" w:rsidR="008343DE" w:rsidRPr="00EA2E1E" w:rsidRDefault="008343DE" w:rsidP="008343DE">
            <w:pPr>
              <w:rPr>
                <w:sz w:val="18"/>
                <w:szCs w:val="18"/>
              </w:rPr>
            </w:pPr>
          </w:p>
        </w:tc>
        <w:tc>
          <w:tcPr>
            <w:tcW w:w="1514" w:type="dxa"/>
            <w:tcBorders>
              <w:top w:val="single" w:sz="4" w:space="0" w:color="auto"/>
            </w:tcBorders>
            <w:shd w:val="clear" w:color="auto" w:fill="auto"/>
            <w:vAlign w:val="bottom"/>
          </w:tcPr>
          <w:p w14:paraId="76F8DEE6" w14:textId="46363AE8" w:rsidR="008343DE" w:rsidRPr="007D4DDD" w:rsidRDefault="008343DE" w:rsidP="008343DE">
            <w:pPr>
              <w:ind w:right="57"/>
              <w:jc w:val="right"/>
              <w:rPr>
                <w:sz w:val="18"/>
                <w:szCs w:val="18"/>
              </w:rPr>
            </w:pPr>
          </w:p>
        </w:tc>
        <w:tc>
          <w:tcPr>
            <w:tcW w:w="103" w:type="dxa"/>
            <w:shd w:val="clear" w:color="auto" w:fill="auto"/>
            <w:vAlign w:val="bottom"/>
          </w:tcPr>
          <w:p w14:paraId="448C0F25" w14:textId="77777777" w:rsidR="008343DE" w:rsidRPr="00FE279F" w:rsidRDefault="008343DE" w:rsidP="008343DE">
            <w:pPr>
              <w:ind w:left="-76" w:right="28"/>
              <w:jc w:val="right"/>
              <w:rPr>
                <w:sz w:val="18"/>
                <w:szCs w:val="18"/>
              </w:rPr>
            </w:pPr>
          </w:p>
        </w:tc>
        <w:tc>
          <w:tcPr>
            <w:tcW w:w="1514" w:type="dxa"/>
            <w:tcBorders>
              <w:top w:val="single" w:sz="4" w:space="0" w:color="auto"/>
            </w:tcBorders>
            <w:vAlign w:val="bottom"/>
          </w:tcPr>
          <w:p w14:paraId="4C2DE65E" w14:textId="77777777" w:rsidR="008343DE" w:rsidRPr="00FE279F" w:rsidRDefault="008343DE" w:rsidP="008343DE">
            <w:pPr>
              <w:ind w:right="57"/>
              <w:jc w:val="right"/>
              <w:rPr>
                <w:sz w:val="18"/>
                <w:szCs w:val="18"/>
              </w:rPr>
            </w:pPr>
          </w:p>
        </w:tc>
        <w:tc>
          <w:tcPr>
            <w:tcW w:w="2225" w:type="dxa"/>
            <w:shd w:val="clear" w:color="auto" w:fill="auto"/>
            <w:vAlign w:val="bottom"/>
          </w:tcPr>
          <w:p w14:paraId="17EB7B85" w14:textId="77777777" w:rsidR="008343DE" w:rsidRPr="00EA2E1E" w:rsidRDefault="008343DE" w:rsidP="008343DE">
            <w:pPr>
              <w:ind w:right="57"/>
              <w:jc w:val="right"/>
              <w:rPr>
                <w:i/>
                <w:sz w:val="18"/>
                <w:szCs w:val="18"/>
              </w:rPr>
            </w:pPr>
          </w:p>
        </w:tc>
      </w:tr>
      <w:tr w:rsidR="008343DE" w:rsidRPr="00EA2E1E" w14:paraId="78EA1BD8" w14:textId="77777777" w:rsidTr="007D4DDD">
        <w:tc>
          <w:tcPr>
            <w:tcW w:w="2253" w:type="dxa"/>
            <w:shd w:val="clear" w:color="auto" w:fill="auto"/>
          </w:tcPr>
          <w:p w14:paraId="336D9B21" w14:textId="77777777" w:rsidR="008343DE" w:rsidRPr="00EA2E1E" w:rsidRDefault="008343DE" w:rsidP="008343DE">
            <w:pPr>
              <w:ind w:left="283" w:hanging="170"/>
              <w:rPr>
                <w:b/>
                <w:sz w:val="18"/>
                <w:szCs w:val="18"/>
              </w:rPr>
            </w:pPr>
            <w:r w:rsidRPr="00EA2E1E">
              <w:rPr>
                <w:b/>
                <w:sz w:val="18"/>
                <w:szCs w:val="18"/>
              </w:rPr>
              <w:t>JUMLAH EKUITAS</w:t>
            </w:r>
          </w:p>
        </w:tc>
        <w:tc>
          <w:tcPr>
            <w:tcW w:w="1502" w:type="dxa"/>
            <w:shd w:val="clear" w:color="auto" w:fill="auto"/>
            <w:vAlign w:val="bottom"/>
          </w:tcPr>
          <w:p w14:paraId="0EE502DB" w14:textId="77777777" w:rsidR="008343DE" w:rsidRPr="00EA2E1E" w:rsidRDefault="008343DE" w:rsidP="008343DE">
            <w:pPr>
              <w:jc w:val="center"/>
              <w:rPr>
                <w:b/>
                <w:sz w:val="18"/>
                <w:szCs w:val="18"/>
              </w:rPr>
            </w:pPr>
          </w:p>
        </w:tc>
        <w:tc>
          <w:tcPr>
            <w:tcW w:w="103" w:type="dxa"/>
            <w:shd w:val="clear" w:color="auto" w:fill="auto"/>
          </w:tcPr>
          <w:p w14:paraId="02AB3213" w14:textId="77777777" w:rsidR="008343DE" w:rsidRPr="00EA2E1E" w:rsidRDefault="008343DE" w:rsidP="008343DE">
            <w:pPr>
              <w:rPr>
                <w:b/>
                <w:sz w:val="18"/>
                <w:szCs w:val="18"/>
              </w:rPr>
            </w:pPr>
          </w:p>
        </w:tc>
        <w:tc>
          <w:tcPr>
            <w:tcW w:w="1514" w:type="dxa"/>
            <w:tcBorders>
              <w:bottom w:val="single" w:sz="4" w:space="0" w:color="auto"/>
            </w:tcBorders>
            <w:shd w:val="clear" w:color="auto" w:fill="auto"/>
            <w:vAlign w:val="bottom"/>
          </w:tcPr>
          <w:p w14:paraId="7CACC450" w14:textId="63111CCC" w:rsidR="008343DE" w:rsidRPr="007D4DDD" w:rsidRDefault="00D14FB0" w:rsidP="007D4DDD">
            <w:pPr>
              <w:ind w:right="57"/>
              <w:jc w:val="right"/>
              <w:rPr>
                <w:sz w:val="18"/>
                <w:szCs w:val="18"/>
                <w:lang w:val="id-ID"/>
              </w:rPr>
            </w:pPr>
            <w:r w:rsidRPr="007D4DDD">
              <w:rPr>
                <w:bCs w:val="0"/>
                <w:sz w:val="18"/>
                <w:szCs w:val="18"/>
              </w:rPr>
              <w:t>1.76</w:t>
            </w:r>
            <w:r w:rsidR="00E9475E" w:rsidRPr="007D4DDD">
              <w:rPr>
                <w:bCs w:val="0"/>
                <w:sz w:val="18"/>
                <w:szCs w:val="18"/>
              </w:rPr>
              <w:t>5.</w:t>
            </w:r>
            <w:r w:rsidR="00E9475E" w:rsidRPr="007D4DDD">
              <w:rPr>
                <w:bCs w:val="0"/>
                <w:sz w:val="18"/>
                <w:szCs w:val="18"/>
                <w:lang w:val="id-ID"/>
              </w:rPr>
              <w:t>960</w:t>
            </w:r>
            <w:r w:rsidR="00E9475E" w:rsidRPr="007D4DDD">
              <w:rPr>
                <w:bCs w:val="0"/>
                <w:sz w:val="18"/>
                <w:szCs w:val="18"/>
              </w:rPr>
              <w:t>.1</w:t>
            </w:r>
            <w:r w:rsidR="00E9475E" w:rsidRPr="007D4DDD">
              <w:rPr>
                <w:bCs w:val="0"/>
                <w:sz w:val="18"/>
                <w:szCs w:val="18"/>
                <w:lang w:val="id-ID"/>
              </w:rPr>
              <w:t>55</w:t>
            </w:r>
            <w:r w:rsidR="00E9475E" w:rsidRPr="007D4DDD">
              <w:rPr>
                <w:bCs w:val="0"/>
                <w:sz w:val="18"/>
                <w:szCs w:val="18"/>
              </w:rPr>
              <w:t>.</w:t>
            </w:r>
            <w:r w:rsidR="00E9475E" w:rsidRPr="007D4DDD">
              <w:rPr>
                <w:bCs w:val="0"/>
                <w:sz w:val="18"/>
                <w:szCs w:val="18"/>
                <w:lang w:val="id-ID"/>
              </w:rPr>
              <w:t>04</w:t>
            </w:r>
            <w:r w:rsidR="007D4DDD" w:rsidRPr="007D4DDD">
              <w:rPr>
                <w:bCs w:val="0"/>
                <w:sz w:val="18"/>
                <w:szCs w:val="18"/>
              </w:rPr>
              <w:t>3</w:t>
            </w:r>
          </w:p>
        </w:tc>
        <w:tc>
          <w:tcPr>
            <w:tcW w:w="103" w:type="dxa"/>
            <w:shd w:val="clear" w:color="auto" w:fill="auto"/>
            <w:vAlign w:val="bottom"/>
          </w:tcPr>
          <w:p w14:paraId="0AF420DD" w14:textId="77777777" w:rsidR="008343DE" w:rsidRPr="00FE279F" w:rsidRDefault="008343DE" w:rsidP="008343DE">
            <w:pPr>
              <w:ind w:left="-76" w:right="28"/>
              <w:jc w:val="right"/>
              <w:rPr>
                <w:sz w:val="18"/>
                <w:szCs w:val="18"/>
              </w:rPr>
            </w:pPr>
          </w:p>
        </w:tc>
        <w:tc>
          <w:tcPr>
            <w:tcW w:w="1514" w:type="dxa"/>
            <w:tcBorders>
              <w:bottom w:val="single" w:sz="4" w:space="0" w:color="auto"/>
            </w:tcBorders>
            <w:vAlign w:val="bottom"/>
          </w:tcPr>
          <w:p w14:paraId="529D62C6" w14:textId="4E17D781" w:rsidR="008343DE" w:rsidRPr="00FE279F" w:rsidRDefault="00895892" w:rsidP="008343DE">
            <w:pPr>
              <w:ind w:right="57"/>
              <w:jc w:val="right"/>
              <w:rPr>
                <w:sz w:val="18"/>
                <w:szCs w:val="18"/>
              </w:rPr>
            </w:pPr>
            <w:r>
              <w:rPr>
                <w:sz w:val="18"/>
                <w:szCs w:val="18"/>
              </w:rPr>
              <w:t>1.776.625.101.562</w:t>
            </w:r>
          </w:p>
        </w:tc>
        <w:tc>
          <w:tcPr>
            <w:tcW w:w="2225" w:type="dxa"/>
            <w:shd w:val="clear" w:color="auto" w:fill="auto"/>
            <w:vAlign w:val="bottom"/>
          </w:tcPr>
          <w:p w14:paraId="7AE33160" w14:textId="77777777" w:rsidR="008343DE" w:rsidRPr="00EA2E1E" w:rsidRDefault="008343DE" w:rsidP="008343DE">
            <w:pPr>
              <w:ind w:right="57"/>
              <w:jc w:val="right"/>
              <w:rPr>
                <w:b/>
                <w:i/>
                <w:sz w:val="18"/>
                <w:szCs w:val="18"/>
              </w:rPr>
            </w:pPr>
            <w:r w:rsidRPr="00EA2E1E">
              <w:rPr>
                <w:b/>
                <w:i/>
                <w:sz w:val="18"/>
                <w:szCs w:val="18"/>
              </w:rPr>
              <w:t xml:space="preserve">TOTAL EQUITY </w:t>
            </w:r>
          </w:p>
        </w:tc>
      </w:tr>
      <w:tr w:rsidR="008343DE" w:rsidRPr="00EA2E1E" w14:paraId="258EC473" w14:textId="77777777" w:rsidTr="007D4DDD">
        <w:tc>
          <w:tcPr>
            <w:tcW w:w="2253" w:type="dxa"/>
            <w:shd w:val="clear" w:color="auto" w:fill="auto"/>
          </w:tcPr>
          <w:p w14:paraId="483B23EE" w14:textId="1BE6CFEE" w:rsidR="008343DE" w:rsidRPr="00EA2E1E" w:rsidRDefault="008343DE" w:rsidP="008343DE">
            <w:pPr>
              <w:ind w:left="283" w:hanging="170"/>
              <w:rPr>
                <w:sz w:val="18"/>
                <w:szCs w:val="18"/>
              </w:rPr>
            </w:pPr>
          </w:p>
        </w:tc>
        <w:tc>
          <w:tcPr>
            <w:tcW w:w="1502" w:type="dxa"/>
            <w:shd w:val="clear" w:color="auto" w:fill="auto"/>
            <w:vAlign w:val="bottom"/>
          </w:tcPr>
          <w:p w14:paraId="1FDE420C" w14:textId="77777777" w:rsidR="008343DE" w:rsidRPr="00EA2E1E" w:rsidRDefault="008343DE" w:rsidP="008343DE">
            <w:pPr>
              <w:jc w:val="center"/>
              <w:rPr>
                <w:sz w:val="18"/>
                <w:szCs w:val="18"/>
              </w:rPr>
            </w:pPr>
          </w:p>
        </w:tc>
        <w:tc>
          <w:tcPr>
            <w:tcW w:w="103" w:type="dxa"/>
            <w:shd w:val="clear" w:color="auto" w:fill="auto"/>
          </w:tcPr>
          <w:p w14:paraId="2C987F02" w14:textId="77777777" w:rsidR="008343DE" w:rsidRPr="00EA2E1E" w:rsidRDefault="008343DE" w:rsidP="008343DE">
            <w:pPr>
              <w:rPr>
                <w:sz w:val="18"/>
                <w:szCs w:val="18"/>
              </w:rPr>
            </w:pPr>
          </w:p>
        </w:tc>
        <w:tc>
          <w:tcPr>
            <w:tcW w:w="1514" w:type="dxa"/>
            <w:tcBorders>
              <w:top w:val="single" w:sz="4" w:space="0" w:color="auto"/>
            </w:tcBorders>
            <w:shd w:val="clear" w:color="auto" w:fill="auto"/>
            <w:vAlign w:val="bottom"/>
          </w:tcPr>
          <w:p w14:paraId="714D2F7D" w14:textId="4C91C7A5" w:rsidR="008343DE" w:rsidRPr="007D4DDD" w:rsidRDefault="008343DE" w:rsidP="008343DE">
            <w:pPr>
              <w:ind w:right="57"/>
              <w:jc w:val="right"/>
              <w:rPr>
                <w:sz w:val="18"/>
                <w:szCs w:val="18"/>
              </w:rPr>
            </w:pPr>
          </w:p>
        </w:tc>
        <w:tc>
          <w:tcPr>
            <w:tcW w:w="103" w:type="dxa"/>
            <w:shd w:val="clear" w:color="auto" w:fill="auto"/>
            <w:vAlign w:val="bottom"/>
          </w:tcPr>
          <w:p w14:paraId="3923BE5B" w14:textId="77777777" w:rsidR="008343DE" w:rsidRPr="00FE279F" w:rsidRDefault="008343DE" w:rsidP="008343DE">
            <w:pPr>
              <w:ind w:left="-76" w:right="28"/>
              <w:jc w:val="right"/>
              <w:rPr>
                <w:sz w:val="18"/>
                <w:szCs w:val="18"/>
              </w:rPr>
            </w:pPr>
          </w:p>
        </w:tc>
        <w:tc>
          <w:tcPr>
            <w:tcW w:w="1514" w:type="dxa"/>
            <w:tcBorders>
              <w:top w:val="single" w:sz="4" w:space="0" w:color="auto"/>
            </w:tcBorders>
            <w:vAlign w:val="bottom"/>
          </w:tcPr>
          <w:p w14:paraId="2B4A6AEC" w14:textId="77777777" w:rsidR="008343DE" w:rsidRPr="00FE279F" w:rsidRDefault="008343DE" w:rsidP="008343DE">
            <w:pPr>
              <w:ind w:right="57"/>
              <w:jc w:val="right"/>
              <w:rPr>
                <w:sz w:val="18"/>
                <w:szCs w:val="18"/>
              </w:rPr>
            </w:pPr>
          </w:p>
        </w:tc>
        <w:tc>
          <w:tcPr>
            <w:tcW w:w="2225" w:type="dxa"/>
            <w:shd w:val="clear" w:color="auto" w:fill="auto"/>
            <w:vAlign w:val="bottom"/>
          </w:tcPr>
          <w:p w14:paraId="60F4AC9C" w14:textId="77777777" w:rsidR="008343DE" w:rsidRPr="00EA2E1E" w:rsidRDefault="008343DE" w:rsidP="008343DE">
            <w:pPr>
              <w:ind w:right="57"/>
              <w:jc w:val="right"/>
              <w:rPr>
                <w:i/>
                <w:sz w:val="18"/>
                <w:szCs w:val="18"/>
              </w:rPr>
            </w:pPr>
          </w:p>
        </w:tc>
      </w:tr>
      <w:tr w:rsidR="008343DE" w:rsidRPr="00EA2E1E" w14:paraId="2ED66B18" w14:textId="77777777" w:rsidTr="007D4DDD">
        <w:tc>
          <w:tcPr>
            <w:tcW w:w="2253" w:type="dxa"/>
            <w:shd w:val="clear" w:color="auto" w:fill="auto"/>
          </w:tcPr>
          <w:p w14:paraId="71133934" w14:textId="77777777" w:rsidR="008343DE" w:rsidRPr="00EA2E1E" w:rsidRDefault="008343DE" w:rsidP="008343DE">
            <w:pPr>
              <w:ind w:left="283" w:hanging="170"/>
              <w:rPr>
                <w:b/>
                <w:sz w:val="18"/>
                <w:szCs w:val="18"/>
              </w:rPr>
            </w:pPr>
            <w:r w:rsidRPr="00EA2E1E">
              <w:rPr>
                <w:b/>
                <w:sz w:val="18"/>
                <w:szCs w:val="18"/>
              </w:rPr>
              <w:t>JUMLAH LIABILITAS DAN EKUITAS</w:t>
            </w:r>
          </w:p>
        </w:tc>
        <w:tc>
          <w:tcPr>
            <w:tcW w:w="1502" w:type="dxa"/>
            <w:shd w:val="clear" w:color="auto" w:fill="auto"/>
            <w:vAlign w:val="bottom"/>
          </w:tcPr>
          <w:p w14:paraId="09868065" w14:textId="77777777" w:rsidR="008343DE" w:rsidRPr="00EA2E1E" w:rsidRDefault="008343DE" w:rsidP="008343DE">
            <w:pPr>
              <w:jc w:val="center"/>
              <w:rPr>
                <w:b/>
                <w:sz w:val="18"/>
                <w:szCs w:val="18"/>
              </w:rPr>
            </w:pPr>
          </w:p>
        </w:tc>
        <w:tc>
          <w:tcPr>
            <w:tcW w:w="103" w:type="dxa"/>
            <w:shd w:val="clear" w:color="auto" w:fill="auto"/>
          </w:tcPr>
          <w:p w14:paraId="07F869F4" w14:textId="77777777" w:rsidR="008343DE" w:rsidRPr="00EA2E1E" w:rsidRDefault="008343DE" w:rsidP="008343DE">
            <w:pPr>
              <w:rPr>
                <w:b/>
                <w:sz w:val="18"/>
                <w:szCs w:val="18"/>
              </w:rPr>
            </w:pPr>
          </w:p>
        </w:tc>
        <w:tc>
          <w:tcPr>
            <w:tcW w:w="1514" w:type="dxa"/>
            <w:tcBorders>
              <w:bottom w:val="double" w:sz="4" w:space="0" w:color="auto"/>
            </w:tcBorders>
            <w:shd w:val="clear" w:color="auto" w:fill="auto"/>
            <w:vAlign w:val="bottom"/>
          </w:tcPr>
          <w:p w14:paraId="60055F26" w14:textId="328D4CEB" w:rsidR="008343DE" w:rsidRPr="009311F4" w:rsidRDefault="00B60824" w:rsidP="009311F4">
            <w:pPr>
              <w:ind w:right="57"/>
              <w:jc w:val="right"/>
              <w:rPr>
                <w:b/>
                <w:bCs w:val="0"/>
                <w:sz w:val="18"/>
                <w:szCs w:val="18"/>
              </w:rPr>
            </w:pPr>
            <w:r w:rsidRPr="007D4DDD">
              <w:rPr>
                <w:b/>
                <w:bCs w:val="0"/>
                <w:sz w:val="18"/>
                <w:szCs w:val="18"/>
              </w:rPr>
              <w:t>3.</w:t>
            </w:r>
            <w:r w:rsidR="00E9475E" w:rsidRPr="007D4DDD">
              <w:rPr>
                <w:b/>
                <w:bCs w:val="0"/>
                <w:sz w:val="18"/>
                <w:szCs w:val="18"/>
                <w:lang w:val="id-ID"/>
              </w:rPr>
              <w:t>470</w:t>
            </w:r>
            <w:r w:rsidRPr="007D4DDD">
              <w:rPr>
                <w:b/>
                <w:bCs w:val="0"/>
                <w:sz w:val="18"/>
                <w:szCs w:val="18"/>
              </w:rPr>
              <w:t>.</w:t>
            </w:r>
            <w:r w:rsidR="00E9475E" w:rsidRPr="007D4DDD">
              <w:rPr>
                <w:b/>
                <w:bCs w:val="0"/>
                <w:sz w:val="18"/>
                <w:szCs w:val="18"/>
                <w:lang w:val="id-ID"/>
              </w:rPr>
              <w:t>697</w:t>
            </w:r>
            <w:r w:rsidRPr="007D4DDD">
              <w:rPr>
                <w:b/>
                <w:bCs w:val="0"/>
                <w:sz w:val="18"/>
                <w:szCs w:val="18"/>
              </w:rPr>
              <w:t>.</w:t>
            </w:r>
            <w:r w:rsidR="00E9475E" w:rsidRPr="007D4DDD">
              <w:rPr>
                <w:b/>
                <w:bCs w:val="0"/>
                <w:sz w:val="18"/>
                <w:szCs w:val="18"/>
                <w:lang w:val="id-ID"/>
              </w:rPr>
              <w:t>5</w:t>
            </w:r>
            <w:r w:rsidRPr="007D4DDD">
              <w:rPr>
                <w:b/>
                <w:bCs w:val="0"/>
                <w:sz w:val="18"/>
                <w:szCs w:val="18"/>
                <w:lang w:val="id-ID"/>
              </w:rPr>
              <w:t>1</w:t>
            </w:r>
            <w:r w:rsidR="00E9475E" w:rsidRPr="007D4DDD">
              <w:rPr>
                <w:b/>
                <w:bCs w:val="0"/>
                <w:sz w:val="18"/>
                <w:szCs w:val="18"/>
                <w:lang w:val="id-ID"/>
              </w:rPr>
              <w:t>6</w:t>
            </w:r>
            <w:r w:rsidRPr="007D4DDD">
              <w:rPr>
                <w:b/>
                <w:bCs w:val="0"/>
                <w:sz w:val="18"/>
                <w:szCs w:val="18"/>
              </w:rPr>
              <w:t>.</w:t>
            </w:r>
            <w:r w:rsidR="00E9475E" w:rsidRPr="007D4DDD">
              <w:rPr>
                <w:b/>
                <w:bCs w:val="0"/>
                <w:sz w:val="18"/>
                <w:szCs w:val="18"/>
                <w:lang w:val="id-ID"/>
              </w:rPr>
              <w:t>59</w:t>
            </w:r>
            <w:r w:rsidR="009311F4">
              <w:rPr>
                <w:b/>
                <w:bCs w:val="0"/>
                <w:sz w:val="18"/>
                <w:szCs w:val="18"/>
              </w:rPr>
              <w:t>4</w:t>
            </w:r>
          </w:p>
        </w:tc>
        <w:tc>
          <w:tcPr>
            <w:tcW w:w="103" w:type="dxa"/>
            <w:shd w:val="clear" w:color="auto" w:fill="auto"/>
            <w:vAlign w:val="bottom"/>
          </w:tcPr>
          <w:p w14:paraId="492026C5" w14:textId="77777777" w:rsidR="008343DE" w:rsidRPr="00FE279F" w:rsidRDefault="008343DE" w:rsidP="008343DE">
            <w:pPr>
              <w:ind w:left="-76" w:right="28"/>
              <w:jc w:val="right"/>
              <w:rPr>
                <w:b/>
                <w:sz w:val="18"/>
                <w:szCs w:val="18"/>
              </w:rPr>
            </w:pPr>
          </w:p>
        </w:tc>
        <w:tc>
          <w:tcPr>
            <w:tcW w:w="1514" w:type="dxa"/>
            <w:tcBorders>
              <w:bottom w:val="double" w:sz="4" w:space="0" w:color="auto"/>
            </w:tcBorders>
            <w:vAlign w:val="bottom"/>
          </w:tcPr>
          <w:p w14:paraId="717C37F8" w14:textId="4269EC98" w:rsidR="008343DE" w:rsidRPr="00FE279F" w:rsidRDefault="00895892" w:rsidP="008343DE">
            <w:pPr>
              <w:ind w:right="57"/>
              <w:jc w:val="right"/>
              <w:rPr>
                <w:b/>
                <w:sz w:val="18"/>
                <w:szCs w:val="18"/>
              </w:rPr>
            </w:pPr>
            <w:r w:rsidRPr="00147D69">
              <w:rPr>
                <w:b/>
                <w:bCs w:val="0"/>
                <w:sz w:val="18"/>
                <w:szCs w:val="18"/>
              </w:rPr>
              <w:t>3.109.580.950.625</w:t>
            </w:r>
          </w:p>
        </w:tc>
        <w:tc>
          <w:tcPr>
            <w:tcW w:w="2225" w:type="dxa"/>
            <w:shd w:val="clear" w:color="auto" w:fill="auto"/>
            <w:vAlign w:val="bottom"/>
          </w:tcPr>
          <w:p w14:paraId="457C0E38" w14:textId="77777777" w:rsidR="008343DE" w:rsidRPr="00EA2E1E" w:rsidRDefault="008343DE" w:rsidP="008343DE">
            <w:pPr>
              <w:ind w:right="57"/>
              <w:jc w:val="right"/>
              <w:rPr>
                <w:b/>
                <w:i/>
                <w:sz w:val="18"/>
                <w:szCs w:val="18"/>
              </w:rPr>
            </w:pPr>
            <w:r w:rsidRPr="00EA2E1E">
              <w:rPr>
                <w:b/>
                <w:i/>
                <w:sz w:val="18"/>
                <w:szCs w:val="18"/>
              </w:rPr>
              <w:t xml:space="preserve">TOTAL LIABILITIES AND </w:t>
            </w:r>
          </w:p>
          <w:p w14:paraId="433A4E30" w14:textId="77777777" w:rsidR="008343DE" w:rsidRPr="00EA2E1E" w:rsidRDefault="008343DE" w:rsidP="008343DE">
            <w:pPr>
              <w:ind w:right="284"/>
              <w:jc w:val="right"/>
              <w:rPr>
                <w:b/>
                <w:i/>
                <w:sz w:val="18"/>
                <w:szCs w:val="18"/>
              </w:rPr>
            </w:pPr>
            <w:r w:rsidRPr="00EA2E1E">
              <w:rPr>
                <w:b/>
                <w:i/>
                <w:sz w:val="18"/>
                <w:szCs w:val="18"/>
              </w:rPr>
              <w:t>EQUITY</w:t>
            </w:r>
          </w:p>
        </w:tc>
      </w:tr>
    </w:tbl>
    <w:p w14:paraId="772B8000" w14:textId="77777777" w:rsidR="00C2752C" w:rsidRPr="0013526B" w:rsidRDefault="00C2752C" w:rsidP="0013526B">
      <w:pPr>
        <w:rPr>
          <w:sz w:val="18"/>
          <w:szCs w:val="18"/>
        </w:rPr>
        <w:sectPr w:rsidR="00C2752C" w:rsidRPr="0013526B" w:rsidSect="0087455A">
          <w:footerReference w:type="default" r:id="rId19"/>
          <w:pgSz w:w="11907" w:h="16840" w:code="9"/>
          <w:pgMar w:top="1701" w:right="992" w:bottom="1134" w:left="1559" w:header="850" w:footer="397" w:gutter="0"/>
          <w:pgNumType w:start="3"/>
          <w:cols w:space="720"/>
          <w:docGrid w:linePitch="360"/>
        </w:sectPr>
      </w:pPr>
    </w:p>
    <w:tbl>
      <w:tblPr>
        <w:tblW w:w="9197" w:type="dxa"/>
        <w:tblInd w:w="113" w:type="dxa"/>
        <w:tblCellMar>
          <w:left w:w="0" w:type="dxa"/>
          <w:right w:w="0" w:type="dxa"/>
        </w:tblCellMar>
        <w:tblLook w:val="01E0" w:firstRow="1" w:lastRow="1" w:firstColumn="1" w:lastColumn="1" w:noHBand="0" w:noVBand="0"/>
      </w:tblPr>
      <w:tblGrid>
        <w:gridCol w:w="2245"/>
        <w:gridCol w:w="1486"/>
        <w:gridCol w:w="108"/>
        <w:gridCol w:w="1507"/>
        <w:gridCol w:w="108"/>
        <w:gridCol w:w="1507"/>
        <w:gridCol w:w="2236"/>
      </w:tblGrid>
      <w:tr w:rsidR="00C92587" w:rsidRPr="00EA2E1E" w14:paraId="113A9C87" w14:textId="77777777" w:rsidTr="00C92587">
        <w:trPr>
          <w:trHeight w:val="20"/>
        </w:trPr>
        <w:tc>
          <w:tcPr>
            <w:tcW w:w="2245" w:type="dxa"/>
          </w:tcPr>
          <w:p w14:paraId="5ADA64A1" w14:textId="67F5140B" w:rsidR="00C92587" w:rsidRPr="00EA2E1E" w:rsidRDefault="00C92587" w:rsidP="00C92587">
            <w:pPr>
              <w:rPr>
                <w:bCs w:val="0"/>
                <w:sz w:val="18"/>
                <w:szCs w:val="18"/>
              </w:rPr>
            </w:pPr>
            <w:r w:rsidRPr="0013526B">
              <w:rPr>
                <w:sz w:val="18"/>
                <w:szCs w:val="18"/>
              </w:rPr>
              <w:lastRenderedPageBreak/>
              <w:br w:type="page"/>
            </w:r>
          </w:p>
        </w:tc>
        <w:tc>
          <w:tcPr>
            <w:tcW w:w="1486" w:type="dxa"/>
            <w:tcBorders>
              <w:bottom w:val="single" w:sz="4" w:space="0" w:color="auto"/>
            </w:tcBorders>
            <w:vAlign w:val="bottom"/>
          </w:tcPr>
          <w:p w14:paraId="07534C3C" w14:textId="169A7F72" w:rsidR="00C92587" w:rsidRPr="007F71EA" w:rsidRDefault="00C92587" w:rsidP="00C92587">
            <w:pPr>
              <w:jc w:val="center"/>
              <w:rPr>
                <w:b/>
                <w:bCs w:val="0"/>
                <w:i/>
                <w:sz w:val="16"/>
                <w:szCs w:val="16"/>
              </w:rPr>
            </w:pPr>
            <w:r w:rsidRPr="00BA69BD">
              <w:rPr>
                <w:b/>
                <w:sz w:val="16"/>
                <w:szCs w:val="16"/>
              </w:rPr>
              <w:t>Catatan /</w:t>
            </w:r>
            <w:r w:rsidRPr="00BA69BD">
              <w:rPr>
                <w:b/>
                <w:sz w:val="16"/>
                <w:szCs w:val="16"/>
              </w:rPr>
              <w:br/>
            </w:r>
            <w:r w:rsidRPr="00BA69BD">
              <w:rPr>
                <w:b/>
                <w:i/>
                <w:sz w:val="16"/>
                <w:szCs w:val="16"/>
              </w:rPr>
              <w:t>Notes</w:t>
            </w:r>
          </w:p>
        </w:tc>
        <w:tc>
          <w:tcPr>
            <w:tcW w:w="108" w:type="dxa"/>
            <w:tcMar>
              <w:left w:w="28" w:type="dxa"/>
              <w:right w:w="28" w:type="dxa"/>
            </w:tcMar>
          </w:tcPr>
          <w:p w14:paraId="21A041D0" w14:textId="77777777" w:rsidR="00C92587" w:rsidRPr="007F71EA" w:rsidRDefault="00C92587" w:rsidP="00C92587">
            <w:pPr>
              <w:jc w:val="center"/>
              <w:rPr>
                <w:b/>
                <w:bCs w:val="0"/>
                <w:sz w:val="16"/>
                <w:szCs w:val="16"/>
              </w:rPr>
            </w:pPr>
          </w:p>
        </w:tc>
        <w:tc>
          <w:tcPr>
            <w:tcW w:w="1507" w:type="dxa"/>
            <w:tcBorders>
              <w:bottom w:val="single" w:sz="4" w:space="0" w:color="auto"/>
            </w:tcBorders>
            <w:tcMar>
              <w:left w:w="28" w:type="dxa"/>
              <w:right w:w="28" w:type="dxa"/>
            </w:tcMar>
            <w:vAlign w:val="bottom"/>
          </w:tcPr>
          <w:p w14:paraId="70C71B3D" w14:textId="77777777" w:rsidR="00C92587" w:rsidRDefault="00C92587" w:rsidP="00C92587">
            <w:pPr>
              <w:ind w:left="-90"/>
              <w:jc w:val="center"/>
              <w:rPr>
                <w:b/>
                <w:sz w:val="16"/>
                <w:szCs w:val="16"/>
              </w:rPr>
            </w:pPr>
            <w:r>
              <w:rPr>
                <w:b/>
                <w:sz w:val="16"/>
                <w:szCs w:val="16"/>
              </w:rPr>
              <w:t>31 Maret/</w:t>
            </w:r>
          </w:p>
          <w:p w14:paraId="1C097BE4" w14:textId="216CEAAC" w:rsidR="00C92587" w:rsidRPr="007F71EA" w:rsidRDefault="00C92587" w:rsidP="00C92587">
            <w:pPr>
              <w:ind w:left="-90"/>
              <w:jc w:val="center"/>
              <w:rPr>
                <w:b/>
                <w:bCs w:val="0"/>
                <w:sz w:val="16"/>
                <w:szCs w:val="16"/>
              </w:rPr>
            </w:pPr>
            <w:r>
              <w:rPr>
                <w:b/>
                <w:sz w:val="16"/>
                <w:szCs w:val="16"/>
              </w:rPr>
              <w:t xml:space="preserve">March 31, </w:t>
            </w:r>
            <w:r w:rsidRPr="00BA69BD">
              <w:rPr>
                <w:b/>
                <w:sz w:val="16"/>
                <w:szCs w:val="16"/>
              </w:rPr>
              <w:t>20</w:t>
            </w:r>
            <w:r>
              <w:rPr>
                <w:b/>
                <w:sz w:val="16"/>
                <w:szCs w:val="16"/>
              </w:rPr>
              <w:t>20</w:t>
            </w:r>
          </w:p>
        </w:tc>
        <w:tc>
          <w:tcPr>
            <w:tcW w:w="108" w:type="dxa"/>
            <w:tcMar>
              <w:left w:w="28" w:type="dxa"/>
              <w:right w:w="28" w:type="dxa"/>
            </w:tcMar>
            <w:vAlign w:val="bottom"/>
          </w:tcPr>
          <w:p w14:paraId="32E29D90" w14:textId="77777777" w:rsidR="00C92587" w:rsidRPr="007F71EA" w:rsidRDefault="00C92587" w:rsidP="00C92587">
            <w:pPr>
              <w:jc w:val="center"/>
              <w:rPr>
                <w:b/>
                <w:bCs w:val="0"/>
                <w:sz w:val="16"/>
                <w:szCs w:val="16"/>
              </w:rPr>
            </w:pPr>
          </w:p>
        </w:tc>
        <w:tc>
          <w:tcPr>
            <w:tcW w:w="1507" w:type="dxa"/>
            <w:tcBorders>
              <w:bottom w:val="single" w:sz="4" w:space="0" w:color="auto"/>
            </w:tcBorders>
            <w:vAlign w:val="bottom"/>
          </w:tcPr>
          <w:p w14:paraId="6F892E72" w14:textId="77777777" w:rsidR="00C92587" w:rsidRDefault="00C92587" w:rsidP="00C92587">
            <w:pPr>
              <w:ind w:left="-90"/>
              <w:jc w:val="center"/>
              <w:rPr>
                <w:b/>
                <w:sz w:val="16"/>
                <w:szCs w:val="16"/>
              </w:rPr>
            </w:pPr>
            <w:r>
              <w:rPr>
                <w:b/>
                <w:sz w:val="16"/>
                <w:szCs w:val="16"/>
              </w:rPr>
              <w:t>31 Maret/</w:t>
            </w:r>
          </w:p>
          <w:p w14:paraId="3AC37EF2" w14:textId="7CC7B6C8" w:rsidR="00C92587" w:rsidRPr="007F71EA" w:rsidRDefault="00C92587" w:rsidP="00C92587">
            <w:pPr>
              <w:ind w:left="-90"/>
              <w:jc w:val="center"/>
              <w:rPr>
                <w:b/>
                <w:bCs w:val="0"/>
                <w:sz w:val="16"/>
                <w:szCs w:val="16"/>
              </w:rPr>
            </w:pPr>
            <w:r>
              <w:rPr>
                <w:b/>
                <w:sz w:val="16"/>
                <w:szCs w:val="16"/>
              </w:rPr>
              <w:t xml:space="preserve">March 31, </w:t>
            </w:r>
            <w:r w:rsidRPr="00BA69BD">
              <w:rPr>
                <w:b/>
                <w:sz w:val="16"/>
                <w:szCs w:val="16"/>
              </w:rPr>
              <w:t>2019</w:t>
            </w:r>
          </w:p>
        </w:tc>
        <w:tc>
          <w:tcPr>
            <w:tcW w:w="2236" w:type="dxa"/>
            <w:vAlign w:val="bottom"/>
          </w:tcPr>
          <w:p w14:paraId="14BC221A" w14:textId="77777777" w:rsidR="00C92587" w:rsidRPr="0013526B" w:rsidRDefault="00C92587" w:rsidP="00C92587">
            <w:pPr>
              <w:ind w:right="57"/>
              <w:jc w:val="right"/>
              <w:rPr>
                <w:bCs w:val="0"/>
                <w:i/>
                <w:sz w:val="18"/>
                <w:szCs w:val="18"/>
              </w:rPr>
            </w:pPr>
          </w:p>
          <w:p w14:paraId="3DF8EA20" w14:textId="77777777" w:rsidR="00C92587" w:rsidRPr="00EA2E1E" w:rsidRDefault="00C92587" w:rsidP="00C92587">
            <w:pPr>
              <w:ind w:right="57"/>
              <w:jc w:val="center"/>
              <w:rPr>
                <w:bCs w:val="0"/>
                <w:i/>
                <w:sz w:val="18"/>
                <w:szCs w:val="18"/>
              </w:rPr>
            </w:pPr>
          </w:p>
        </w:tc>
      </w:tr>
      <w:tr w:rsidR="00882FF8" w:rsidRPr="00EA2E1E" w14:paraId="7D9E6FC7" w14:textId="77777777" w:rsidTr="00C92587">
        <w:trPr>
          <w:trHeight w:val="20"/>
        </w:trPr>
        <w:tc>
          <w:tcPr>
            <w:tcW w:w="2245" w:type="dxa"/>
            <w:vAlign w:val="bottom"/>
          </w:tcPr>
          <w:p w14:paraId="1093A4C9" w14:textId="77777777" w:rsidR="00882FF8" w:rsidRPr="00EA2E1E" w:rsidRDefault="00882FF8" w:rsidP="0013526B">
            <w:pPr>
              <w:ind w:left="283" w:hanging="170"/>
              <w:rPr>
                <w:bCs w:val="0"/>
                <w:sz w:val="18"/>
                <w:szCs w:val="18"/>
              </w:rPr>
            </w:pPr>
          </w:p>
        </w:tc>
        <w:tc>
          <w:tcPr>
            <w:tcW w:w="1486" w:type="dxa"/>
            <w:tcBorders>
              <w:top w:val="single" w:sz="4" w:space="0" w:color="auto"/>
            </w:tcBorders>
          </w:tcPr>
          <w:p w14:paraId="0B258046" w14:textId="77777777" w:rsidR="00882FF8" w:rsidRPr="00EA2E1E" w:rsidRDefault="00882FF8" w:rsidP="0013526B">
            <w:pPr>
              <w:jc w:val="center"/>
              <w:rPr>
                <w:b/>
                <w:bCs w:val="0"/>
                <w:sz w:val="18"/>
                <w:szCs w:val="18"/>
              </w:rPr>
            </w:pPr>
          </w:p>
        </w:tc>
        <w:tc>
          <w:tcPr>
            <w:tcW w:w="108" w:type="dxa"/>
            <w:tcMar>
              <w:left w:w="28" w:type="dxa"/>
              <w:right w:w="28" w:type="dxa"/>
            </w:tcMar>
          </w:tcPr>
          <w:p w14:paraId="38B6BB52" w14:textId="77777777" w:rsidR="00882FF8" w:rsidRPr="00EA2E1E" w:rsidRDefault="00882FF8" w:rsidP="0013526B">
            <w:pPr>
              <w:jc w:val="center"/>
              <w:rPr>
                <w:b/>
                <w:bCs w:val="0"/>
                <w:sz w:val="18"/>
                <w:szCs w:val="18"/>
              </w:rPr>
            </w:pPr>
          </w:p>
        </w:tc>
        <w:tc>
          <w:tcPr>
            <w:tcW w:w="1507" w:type="dxa"/>
            <w:tcBorders>
              <w:top w:val="single" w:sz="4" w:space="0" w:color="auto"/>
            </w:tcBorders>
            <w:tcMar>
              <w:left w:w="28" w:type="dxa"/>
              <w:right w:w="28" w:type="dxa"/>
            </w:tcMar>
            <w:vAlign w:val="bottom"/>
          </w:tcPr>
          <w:p w14:paraId="553D13FA" w14:textId="77777777" w:rsidR="00882FF8" w:rsidRPr="00EA2E1E" w:rsidRDefault="00882FF8" w:rsidP="0013526B">
            <w:pPr>
              <w:ind w:left="-90"/>
              <w:jc w:val="right"/>
              <w:rPr>
                <w:b/>
                <w:bCs w:val="0"/>
                <w:sz w:val="18"/>
                <w:szCs w:val="18"/>
              </w:rPr>
            </w:pPr>
          </w:p>
        </w:tc>
        <w:tc>
          <w:tcPr>
            <w:tcW w:w="108" w:type="dxa"/>
            <w:tcMar>
              <w:left w:w="28" w:type="dxa"/>
              <w:right w:w="28" w:type="dxa"/>
            </w:tcMar>
            <w:vAlign w:val="bottom"/>
          </w:tcPr>
          <w:p w14:paraId="233439D6" w14:textId="77777777" w:rsidR="00882FF8" w:rsidRPr="00EA2E1E" w:rsidRDefault="00882FF8" w:rsidP="0013526B">
            <w:pPr>
              <w:ind w:left="-90"/>
              <w:jc w:val="right"/>
              <w:rPr>
                <w:b/>
                <w:bCs w:val="0"/>
                <w:sz w:val="18"/>
                <w:szCs w:val="18"/>
              </w:rPr>
            </w:pPr>
          </w:p>
        </w:tc>
        <w:tc>
          <w:tcPr>
            <w:tcW w:w="1507" w:type="dxa"/>
            <w:tcBorders>
              <w:top w:val="single" w:sz="4" w:space="0" w:color="auto"/>
            </w:tcBorders>
            <w:vAlign w:val="bottom"/>
          </w:tcPr>
          <w:p w14:paraId="259B7C51" w14:textId="77777777" w:rsidR="00882FF8" w:rsidRPr="00EA2E1E" w:rsidRDefault="00882FF8" w:rsidP="0013526B">
            <w:pPr>
              <w:ind w:left="-90"/>
              <w:jc w:val="right"/>
              <w:rPr>
                <w:b/>
                <w:bCs w:val="0"/>
                <w:sz w:val="18"/>
                <w:szCs w:val="18"/>
              </w:rPr>
            </w:pPr>
          </w:p>
        </w:tc>
        <w:tc>
          <w:tcPr>
            <w:tcW w:w="2236" w:type="dxa"/>
          </w:tcPr>
          <w:p w14:paraId="58FD0465" w14:textId="77777777" w:rsidR="00882FF8" w:rsidRPr="00EA2E1E" w:rsidRDefault="00882FF8" w:rsidP="0013526B">
            <w:pPr>
              <w:ind w:right="57"/>
              <w:jc w:val="right"/>
              <w:rPr>
                <w:bCs w:val="0"/>
                <w:i/>
                <w:sz w:val="18"/>
                <w:szCs w:val="18"/>
              </w:rPr>
            </w:pPr>
          </w:p>
        </w:tc>
      </w:tr>
      <w:tr w:rsidR="00B04A37" w:rsidRPr="00EA2E1E" w14:paraId="41494FFA" w14:textId="77777777" w:rsidTr="00C92587">
        <w:trPr>
          <w:trHeight w:val="20"/>
        </w:trPr>
        <w:tc>
          <w:tcPr>
            <w:tcW w:w="2245" w:type="dxa"/>
            <w:vAlign w:val="bottom"/>
          </w:tcPr>
          <w:p w14:paraId="4233245F" w14:textId="3CA711A1" w:rsidR="00B04A37" w:rsidRPr="00EA2E1E" w:rsidRDefault="005305D9" w:rsidP="0013526B">
            <w:pPr>
              <w:ind w:left="283" w:hanging="170"/>
              <w:rPr>
                <w:bCs w:val="0"/>
                <w:color w:val="FF0000"/>
                <w:sz w:val="18"/>
                <w:szCs w:val="18"/>
                <w:vertAlign w:val="superscript"/>
              </w:rPr>
            </w:pPr>
            <w:r w:rsidRPr="00EA2E1E">
              <w:rPr>
                <w:sz w:val="18"/>
                <w:szCs w:val="18"/>
              </w:rPr>
              <w:t>Pendapatan</w:t>
            </w:r>
          </w:p>
        </w:tc>
        <w:tc>
          <w:tcPr>
            <w:tcW w:w="1486" w:type="dxa"/>
            <w:vAlign w:val="bottom"/>
          </w:tcPr>
          <w:p w14:paraId="3F072CC0" w14:textId="765ECA8C" w:rsidR="00B04A37" w:rsidRPr="008927B5" w:rsidRDefault="00B04A37" w:rsidP="00C92587">
            <w:pPr>
              <w:jc w:val="center"/>
              <w:rPr>
                <w:b/>
                <w:sz w:val="18"/>
                <w:szCs w:val="18"/>
                <w:highlight w:val="red"/>
                <w:lang w:val="id-ID"/>
              </w:rPr>
            </w:pPr>
            <w:r w:rsidRPr="00190A3B">
              <w:rPr>
                <w:sz w:val="18"/>
                <w:szCs w:val="18"/>
              </w:rPr>
              <w:t>3p</w:t>
            </w:r>
            <w:r w:rsidR="00C92587">
              <w:rPr>
                <w:sz w:val="18"/>
                <w:szCs w:val="18"/>
              </w:rPr>
              <w:t>,</w:t>
            </w:r>
            <w:r w:rsidR="00806B98" w:rsidRPr="00190A3B">
              <w:rPr>
                <w:sz w:val="18"/>
                <w:szCs w:val="18"/>
              </w:rPr>
              <w:t>2</w:t>
            </w:r>
            <w:r w:rsidR="00494611">
              <w:rPr>
                <w:sz w:val="18"/>
                <w:szCs w:val="18"/>
              </w:rPr>
              <w:t>5</w:t>
            </w:r>
          </w:p>
        </w:tc>
        <w:tc>
          <w:tcPr>
            <w:tcW w:w="108" w:type="dxa"/>
            <w:tcMar>
              <w:left w:w="28" w:type="dxa"/>
              <w:right w:w="28" w:type="dxa"/>
            </w:tcMar>
          </w:tcPr>
          <w:p w14:paraId="114C8C3B" w14:textId="77777777" w:rsidR="00B04A37" w:rsidRPr="00EA2E1E" w:rsidRDefault="00B04A37" w:rsidP="0013526B">
            <w:pPr>
              <w:jc w:val="center"/>
              <w:rPr>
                <w:b/>
                <w:bCs w:val="0"/>
                <w:sz w:val="18"/>
                <w:szCs w:val="18"/>
              </w:rPr>
            </w:pPr>
          </w:p>
        </w:tc>
        <w:tc>
          <w:tcPr>
            <w:tcW w:w="1507" w:type="dxa"/>
            <w:shd w:val="clear" w:color="auto" w:fill="auto"/>
            <w:tcMar>
              <w:left w:w="28" w:type="dxa"/>
              <w:right w:w="28" w:type="dxa"/>
            </w:tcMar>
            <w:vAlign w:val="bottom"/>
          </w:tcPr>
          <w:p w14:paraId="40AC7C0A" w14:textId="6F812FD7" w:rsidR="00B04A37" w:rsidRPr="00D204CA" w:rsidRDefault="00AA59C7" w:rsidP="00F5292F">
            <w:pPr>
              <w:jc w:val="right"/>
              <w:rPr>
                <w:bCs w:val="0"/>
                <w:sz w:val="18"/>
                <w:szCs w:val="18"/>
                <w:lang w:val="id-ID"/>
              </w:rPr>
            </w:pPr>
            <w:r w:rsidRPr="00AA59C7">
              <w:rPr>
                <w:bCs w:val="0"/>
                <w:sz w:val="18"/>
                <w:szCs w:val="18"/>
                <w:lang w:val="id-ID"/>
              </w:rPr>
              <w:t>282</w:t>
            </w:r>
            <w:r>
              <w:rPr>
                <w:bCs w:val="0"/>
                <w:sz w:val="18"/>
                <w:szCs w:val="18"/>
                <w:lang w:val="id-ID"/>
              </w:rPr>
              <w:t>.</w:t>
            </w:r>
            <w:r w:rsidRPr="00AA59C7">
              <w:rPr>
                <w:bCs w:val="0"/>
                <w:sz w:val="18"/>
                <w:szCs w:val="18"/>
                <w:lang w:val="id-ID"/>
              </w:rPr>
              <w:t>123</w:t>
            </w:r>
            <w:r>
              <w:rPr>
                <w:bCs w:val="0"/>
                <w:sz w:val="18"/>
                <w:szCs w:val="18"/>
                <w:lang w:val="id-ID"/>
              </w:rPr>
              <w:t>.</w:t>
            </w:r>
            <w:r w:rsidRPr="00AA59C7">
              <w:rPr>
                <w:bCs w:val="0"/>
                <w:sz w:val="18"/>
                <w:szCs w:val="18"/>
                <w:lang w:val="id-ID"/>
              </w:rPr>
              <w:t>088</w:t>
            </w:r>
            <w:r>
              <w:rPr>
                <w:bCs w:val="0"/>
                <w:sz w:val="18"/>
                <w:szCs w:val="18"/>
                <w:lang w:val="id-ID"/>
              </w:rPr>
              <w:t>.</w:t>
            </w:r>
            <w:r w:rsidRPr="00AA59C7">
              <w:rPr>
                <w:bCs w:val="0"/>
                <w:sz w:val="18"/>
                <w:szCs w:val="18"/>
                <w:lang w:val="id-ID"/>
              </w:rPr>
              <w:t>531</w:t>
            </w:r>
          </w:p>
        </w:tc>
        <w:tc>
          <w:tcPr>
            <w:tcW w:w="108" w:type="dxa"/>
            <w:tcMar>
              <w:left w:w="28" w:type="dxa"/>
              <w:right w:w="28" w:type="dxa"/>
            </w:tcMar>
            <w:vAlign w:val="bottom"/>
          </w:tcPr>
          <w:p w14:paraId="341F65D9" w14:textId="77777777" w:rsidR="00B04A37" w:rsidRPr="00D204CA" w:rsidRDefault="00B04A37" w:rsidP="0013526B">
            <w:pPr>
              <w:ind w:left="-90"/>
              <w:jc w:val="right"/>
              <w:rPr>
                <w:b/>
                <w:sz w:val="18"/>
                <w:szCs w:val="18"/>
              </w:rPr>
            </w:pPr>
          </w:p>
        </w:tc>
        <w:tc>
          <w:tcPr>
            <w:tcW w:w="1507" w:type="dxa"/>
            <w:vAlign w:val="bottom"/>
          </w:tcPr>
          <w:p w14:paraId="339303FC" w14:textId="730587BA" w:rsidR="00B04A37" w:rsidRPr="00E022E0" w:rsidRDefault="008074AC" w:rsidP="0013526B">
            <w:pPr>
              <w:ind w:right="57"/>
              <w:jc w:val="right"/>
              <w:rPr>
                <w:sz w:val="18"/>
                <w:szCs w:val="18"/>
              </w:rPr>
            </w:pPr>
            <w:r w:rsidRPr="00E022E0">
              <w:rPr>
                <w:bCs w:val="0"/>
                <w:sz w:val="18"/>
                <w:szCs w:val="18"/>
              </w:rPr>
              <w:t>259</w:t>
            </w:r>
            <w:r w:rsidR="00936BA3" w:rsidRPr="00E022E0">
              <w:rPr>
                <w:bCs w:val="0"/>
                <w:sz w:val="18"/>
                <w:szCs w:val="18"/>
              </w:rPr>
              <w:t>.</w:t>
            </w:r>
            <w:r w:rsidRPr="00E022E0">
              <w:rPr>
                <w:bCs w:val="0"/>
                <w:sz w:val="18"/>
                <w:szCs w:val="18"/>
              </w:rPr>
              <w:t>141</w:t>
            </w:r>
            <w:r w:rsidR="00936BA3" w:rsidRPr="00E022E0">
              <w:rPr>
                <w:bCs w:val="0"/>
                <w:sz w:val="18"/>
                <w:szCs w:val="18"/>
              </w:rPr>
              <w:t>.</w:t>
            </w:r>
            <w:r w:rsidRPr="00E022E0">
              <w:rPr>
                <w:bCs w:val="0"/>
                <w:sz w:val="18"/>
                <w:szCs w:val="18"/>
              </w:rPr>
              <w:t>263</w:t>
            </w:r>
            <w:r w:rsidR="00936BA3" w:rsidRPr="00E022E0">
              <w:rPr>
                <w:bCs w:val="0"/>
                <w:sz w:val="18"/>
                <w:szCs w:val="18"/>
              </w:rPr>
              <w:t>.</w:t>
            </w:r>
            <w:r w:rsidRPr="00E022E0">
              <w:rPr>
                <w:bCs w:val="0"/>
                <w:sz w:val="18"/>
                <w:szCs w:val="18"/>
              </w:rPr>
              <w:t>712</w:t>
            </w:r>
          </w:p>
        </w:tc>
        <w:tc>
          <w:tcPr>
            <w:tcW w:w="2236" w:type="dxa"/>
            <w:vAlign w:val="bottom"/>
          </w:tcPr>
          <w:p w14:paraId="2A0C9F55" w14:textId="61D0178F" w:rsidR="00B04A37" w:rsidRPr="00EA2E1E" w:rsidRDefault="002602EA" w:rsidP="0013526B">
            <w:pPr>
              <w:ind w:right="57"/>
              <w:jc w:val="right"/>
              <w:rPr>
                <w:bCs w:val="0"/>
                <w:i/>
                <w:sz w:val="18"/>
                <w:szCs w:val="18"/>
              </w:rPr>
            </w:pPr>
            <w:r>
              <w:rPr>
                <w:i/>
                <w:sz w:val="18"/>
                <w:szCs w:val="18"/>
              </w:rPr>
              <w:t>Revenue</w:t>
            </w:r>
            <w:r w:rsidR="00B04A37" w:rsidRPr="00EA2E1E">
              <w:rPr>
                <w:i/>
                <w:sz w:val="18"/>
                <w:szCs w:val="18"/>
              </w:rPr>
              <w:t xml:space="preserve"> </w:t>
            </w:r>
          </w:p>
        </w:tc>
      </w:tr>
      <w:tr w:rsidR="00B04A37" w:rsidRPr="00EA2E1E" w14:paraId="7AAABF6C" w14:textId="77777777" w:rsidTr="00C92587">
        <w:trPr>
          <w:trHeight w:val="20"/>
        </w:trPr>
        <w:tc>
          <w:tcPr>
            <w:tcW w:w="2245" w:type="dxa"/>
            <w:vAlign w:val="bottom"/>
          </w:tcPr>
          <w:p w14:paraId="348E0A54" w14:textId="2817AEF0" w:rsidR="00B04A37" w:rsidRPr="00EA2E1E" w:rsidRDefault="005305D9" w:rsidP="005305D9">
            <w:pPr>
              <w:ind w:left="283" w:hanging="170"/>
              <w:rPr>
                <w:bCs w:val="0"/>
                <w:caps/>
                <w:color w:val="FF0000"/>
                <w:sz w:val="18"/>
                <w:szCs w:val="18"/>
                <w:vertAlign w:val="superscript"/>
              </w:rPr>
            </w:pPr>
            <w:r w:rsidRPr="00EA2E1E">
              <w:rPr>
                <w:sz w:val="18"/>
                <w:szCs w:val="18"/>
              </w:rPr>
              <w:t>Beban langsung</w:t>
            </w:r>
          </w:p>
        </w:tc>
        <w:tc>
          <w:tcPr>
            <w:tcW w:w="1486" w:type="dxa"/>
            <w:vAlign w:val="bottom"/>
          </w:tcPr>
          <w:p w14:paraId="482F108E" w14:textId="1F6F4C38" w:rsidR="00B04A37" w:rsidRPr="008927B5" w:rsidRDefault="00B04A37" w:rsidP="0013526B">
            <w:pPr>
              <w:jc w:val="center"/>
              <w:rPr>
                <w:b/>
                <w:sz w:val="18"/>
                <w:szCs w:val="18"/>
                <w:highlight w:val="red"/>
                <w:lang w:val="id-ID"/>
              </w:rPr>
            </w:pPr>
            <w:r w:rsidRPr="00190A3B">
              <w:rPr>
                <w:sz w:val="18"/>
                <w:szCs w:val="18"/>
              </w:rPr>
              <w:t>3p</w:t>
            </w:r>
            <w:r w:rsidR="00C92587">
              <w:rPr>
                <w:sz w:val="18"/>
                <w:szCs w:val="18"/>
              </w:rPr>
              <w:t>,</w:t>
            </w:r>
            <w:r w:rsidR="00806B98" w:rsidRPr="00190A3B">
              <w:rPr>
                <w:sz w:val="18"/>
                <w:szCs w:val="18"/>
              </w:rPr>
              <w:t>2</w:t>
            </w:r>
            <w:r w:rsidR="00494611">
              <w:rPr>
                <w:sz w:val="18"/>
                <w:szCs w:val="18"/>
              </w:rPr>
              <w:t>6</w:t>
            </w:r>
          </w:p>
        </w:tc>
        <w:tc>
          <w:tcPr>
            <w:tcW w:w="108" w:type="dxa"/>
            <w:tcMar>
              <w:left w:w="28" w:type="dxa"/>
              <w:right w:w="28" w:type="dxa"/>
            </w:tcMar>
          </w:tcPr>
          <w:p w14:paraId="509B01D5" w14:textId="77777777" w:rsidR="00B04A37" w:rsidRPr="00EA2E1E" w:rsidRDefault="00B04A37" w:rsidP="0013526B">
            <w:pPr>
              <w:jc w:val="center"/>
              <w:rPr>
                <w:b/>
                <w:bCs w:val="0"/>
                <w:sz w:val="18"/>
                <w:szCs w:val="18"/>
              </w:rPr>
            </w:pPr>
          </w:p>
        </w:tc>
        <w:tc>
          <w:tcPr>
            <w:tcW w:w="1507" w:type="dxa"/>
            <w:shd w:val="clear" w:color="auto" w:fill="auto"/>
            <w:tcMar>
              <w:left w:w="28" w:type="dxa"/>
              <w:right w:w="28" w:type="dxa"/>
            </w:tcMar>
            <w:vAlign w:val="bottom"/>
          </w:tcPr>
          <w:p w14:paraId="65A237F2" w14:textId="48B63AD0" w:rsidR="00B04A37" w:rsidRPr="00D204CA" w:rsidRDefault="00AA59C7" w:rsidP="00F5292F">
            <w:pPr>
              <w:jc w:val="right"/>
              <w:rPr>
                <w:bCs w:val="0"/>
                <w:sz w:val="18"/>
                <w:szCs w:val="18"/>
                <w:lang w:val="id-ID"/>
              </w:rPr>
            </w:pPr>
            <w:r w:rsidRPr="00AA59C7">
              <w:rPr>
                <w:bCs w:val="0"/>
                <w:sz w:val="18"/>
                <w:szCs w:val="18"/>
                <w:lang w:val="id-ID"/>
              </w:rPr>
              <w:t>(195</w:t>
            </w:r>
            <w:r>
              <w:rPr>
                <w:bCs w:val="0"/>
                <w:sz w:val="18"/>
                <w:szCs w:val="18"/>
                <w:lang w:val="id-ID"/>
              </w:rPr>
              <w:t>.</w:t>
            </w:r>
            <w:r w:rsidRPr="00AA59C7">
              <w:rPr>
                <w:bCs w:val="0"/>
                <w:sz w:val="18"/>
                <w:szCs w:val="18"/>
                <w:lang w:val="id-ID"/>
              </w:rPr>
              <w:t>411</w:t>
            </w:r>
            <w:r>
              <w:rPr>
                <w:bCs w:val="0"/>
                <w:sz w:val="18"/>
                <w:szCs w:val="18"/>
                <w:lang w:val="id-ID"/>
              </w:rPr>
              <w:t>.</w:t>
            </w:r>
            <w:r w:rsidRPr="00AA59C7">
              <w:rPr>
                <w:bCs w:val="0"/>
                <w:sz w:val="18"/>
                <w:szCs w:val="18"/>
                <w:lang w:val="id-ID"/>
              </w:rPr>
              <w:t>971</w:t>
            </w:r>
            <w:r>
              <w:rPr>
                <w:bCs w:val="0"/>
                <w:sz w:val="18"/>
                <w:szCs w:val="18"/>
                <w:lang w:val="id-ID"/>
              </w:rPr>
              <w:t>.</w:t>
            </w:r>
            <w:r w:rsidRPr="00AA59C7">
              <w:rPr>
                <w:bCs w:val="0"/>
                <w:sz w:val="18"/>
                <w:szCs w:val="18"/>
                <w:lang w:val="id-ID"/>
              </w:rPr>
              <w:t>457)</w:t>
            </w:r>
          </w:p>
        </w:tc>
        <w:tc>
          <w:tcPr>
            <w:tcW w:w="108" w:type="dxa"/>
            <w:tcMar>
              <w:left w:w="28" w:type="dxa"/>
              <w:right w:w="28" w:type="dxa"/>
            </w:tcMar>
            <w:vAlign w:val="bottom"/>
          </w:tcPr>
          <w:p w14:paraId="1B492A83" w14:textId="77777777" w:rsidR="00B04A37" w:rsidRPr="00D204CA" w:rsidRDefault="00B04A37" w:rsidP="0013526B">
            <w:pPr>
              <w:ind w:left="-90"/>
              <w:jc w:val="right"/>
              <w:rPr>
                <w:b/>
                <w:sz w:val="18"/>
                <w:szCs w:val="18"/>
              </w:rPr>
            </w:pPr>
          </w:p>
        </w:tc>
        <w:tc>
          <w:tcPr>
            <w:tcW w:w="1507" w:type="dxa"/>
            <w:tcBorders>
              <w:bottom w:val="single" w:sz="4" w:space="0" w:color="auto"/>
            </w:tcBorders>
            <w:vAlign w:val="bottom"/>
          </w:tcPr>
          <w:p w14:paraId="60F0B722" w14:textId="47FA6DA0" w:rsidR="00B04A37" w:rsidRPr="00E022E0" w:rsidRDefault="008074AC" w:rsidP="0088012E">
            <w:pPr>
              <w:ind w:right="57"/>
              <w:jc w:val="right"/>
              <w:rPr>
                <w:sz w:val="18"/>
                <w:szCs w:val="18"/>
              </w:rPr>
            </w:pPr>
            <w:r w:rsidRPr="00E022E0">
              <w:rPr>
                <w:sz w:val="18"/>
                <w:szCs w:val="18"/>
              </w:rPr>
              <w:t xml:space="preserve"> </w:t>
            </w:r>
            <w:r w:rsidR="005305D9" w:rsidRPr="00E022E0">
              <w:rPr>
                <w:sz w:val="18"/>
                <w:szCs w:val="18"/>
              </w:rPr>
              <w:t>(</w:t>
            </w:r>
            <w:r w:rsidRPr="00E022E0">
              <w:rPr>
                <w:bCs w:val="0"/>
                <w:sz w:val="18"/>
                <w:szCs w:val="18"/>
              </w:rPr>
              <w:t>180</w:t>
            </w:r>
            <w:r w:rsidR="00936BA3" w:rsidRPr="00E022E0">
              <w:rPr>
                <w:bCs w:val="0"/>
                <w:sz w:val="18"/>
                <w:szCs w:val="18"/>
              </w:rPr>
              <w:t>.</w:t>
            </w:r>
            <w:r w:rsidRPr="00E022E0">
              <w:rPr>
                <w:bCs w:val="0"/>
                <w:sz w:val="18"/>
                <w:szCs w:val="18"/>
              </w:rPr>
              <w:t>659</w:t>
            </w:r>
            <w:r w:rsidR="00936BA3" w:rsidRPr="00E022E0">
              <w:rPr>
                <w:bCs w:val="0"/>
                <w:sz w:val="18"/>
                <w:szCs w:val="18"/>
              </w:rPr>
              <w:t>.</w:t>
            </w:r>
            <w:r w:rsidRPr="00E022E0">
              <w:rPr>
                <w:bCs w:val="0"/>
                <w:sz w:val="18"/>
                <w:szCs w:val="18"/>
              </w:rPr>
              <w:t>792</w:t>
            </w:r>
            <w:r w:rsidR="00936BA3" w:rsidRPr="00E022E0">
              <w:rPr>
                <w:bCs w:val="0"/>
                <w:sz w:val="18"/>
                <w:szCs w:val="18"/>
              </w:rPr>
              <w:t>.</w:t>
            </w:r>
            <w:r w:rsidRPr="00E022E0">
              <w:rPr>
                <w:bCs w:val="0"/>
                <w:sz w:val="18"/>
                <w:szCs w:val="18"/>
              </w:rPr>
              <w:t>826</w:t>
            </w:r>
            <w:r w:rsidR="005305D9" w:rsidRPr="00E022E0">
              <w:rPr>
                <w:sz w:val="18"/>
                <w:szCs w:val="18"/>
              </w:rPr>
              <w:t>)</w:t>
            </w:r>
          </w:p>
        </w:tc>
        <w:tc>
          <w:tcPr>
            <w:tcW w:w="2236" w:type="dxa"/>
            <w:vAlign w:val="bottom"/>
          </w:tcPr>
          <w:p w14:paraId="0DAE8180" w14:textId="0724A9E9" w:rsidR="00B04A37" w:rsidRPr="00EA2E1E" w:rsidRDefault="005305D9" w:rsidP="0013526B">
            <w:pPr>
              <w:ind w:right="57"/>
              <w:jc w:val="right"/>
              <w:rPr>
                <w:bCs w:val="0"/>
                <w:i/>
                <w:sz w:val="18"/>
                <w:szCs w:val="18"/>
              </w:rPr>
            </w:pPr>
            <w:r w:rsidRPr="00EA2E1E">
              <w:rPr>
                <w:i/>
                <w:sz w:val="18"/>
                <w:szCs w:val="18"/>
              </w:rPr>
              <w:t xml:space="preserve">Direct Cost </w:t>
            </w:r>
          </w:p>
        </w:tc>
      </w:tr>
      <w:tr w:rsidR="00B04A37" w:rsidRPr="00EA2E1E" w14:paraId="61A73270" w14:textId="77777777" w:rsidTr="00C92587">
        <w:trPr>
          <w:trHeight w:val="20"/>
        </w:trPr>
        <w:tc>
          <w:tcPr>
            <w:tcW w:w="2245" w:type="dxa"/>
            <w:vAlign w:val="bottom"/>
          </w:tcPr>
          <w:p w14:paraId="037E8DB8" w14:textId="77777777" w:rsidR="00B04A37" w:rsidRPr="00EA2E1E" w:rsidRDefault="00B04A37" w:rsidP="0013526B">
            <w:pPr>
              <w:ind w:left="283" w:hanging="170"/>
              <w:rPr>
                <w:bCs w:val="0"/>
                <w:sz w:val="18"/>
                <w:szCs w:val="18"/>
              </w:rPr>
            </w:pPr>
          </w:p>
        </w:tc>
        <w:tc>
          <w:tcPr>
            <w:tcW w:w="1486" w:type="dxa"/>
          </w:tcPr>
          <w:p w14:paraId="290F8C82" w14:textId="77777777" w:rsidR="00B04A37" w:rsidRPr="00EA2E1E" w:rsidRDefault="00B04A37" w:rsidP="0013526B">
            <w:pPr>
              <w:pStyle w:val="Default"/>
              <w:tabs>
                <w:tab w:val="left" w:pos="1380"/>
              </w:tabs>
              <w:rPr>
                <w:rFonts w:ascii="Times New Roman" w:hAnsi="Times New Roman" w:cs="Times New Roman"/>
                <w:sz w:val="18"/>
                <w:szCs w:val="18"/>
                <w:highlight w:val="red"/>
              </w:rPr>
            </w:pPr>
          </w:p>
        </w:tc>
        <w:tc>
          <w:tcPr>
            <w:tcW w:w="108" w:type="dxa"/>
            <w:tcMar>
              <w:left w:w="28" w:type="dxa"/>
              <w:right w:w="28" w:type="dxa"/>
            </w:tcMar>
          </w:tcPr>
          <w:p w14:paraId="548E27B3" w14:textId="77777777" w:rsidR="00B04A37" w:rsidRPr="00EA2E1E" w:rsidRDefault="00B04A37" w:rsidP="0013526B">
            <w:pPr>
              <w:jc w:val="center"/>
              <w:rPr>
                <w:b/>
                <w:bCs w:val="0"/>
                <w:sz w:val="18"/>
                <w:szCs w:val="18"/>
              </w:rPr>
            </w:pPr>
          </w:p>
        </w:tc>
        <w:tc>
          <w:tcPr>
            <w:tcW w:w="1507" w:type="dxa"/>
            <w:tcBorders>
              <w:top w:val="single" w:sz="4" w:space="0" w:color="auto"/>
            </w:tcBorders>
            <w:shd w:val="clear" w:color="auto" w:fill="auto"/>
            <w:tcMar>
              <w:left w:w="28" w:type="dxa"/>
              <w:right w:w="28" w:type="dxa"/>
            </w:tcMar>
            <w:vAlign w:val="bottom"/>
          </w:tcPr>
          <w:p w14:paraId="6C95DB03" w14:textId="77777777" w:rsidR="00B04A37" w:rsidRPr="00D204CA" w:rsidRDefault="00B04A37" w:rsidP="00F5292F">
            <w:pPr>
              <w:jc w:val="right"/>
              <w:rPr>
                <w:bCs w:val="0"/>
                <w:sz w:val="18"/>
                <w:szCs w:val="18"/>
                <w:lang w:val="id-ID"/>
              </w:rPr>
            </w:pPr>
          </w:p>
        </w:tc>
        <w:tc>
          <w:tcPr>
            <w:tcW w:w="108" w:type="dxa"/>
            <w:tcMar>
              <w:left w:w="28" w:type="dxa"/>
              <w:right w:w="28" w:type="dxa"/>
            </w:tcMar>
            <w:vAlign w:val="bottom"/>
          </w:tcPr>
          <w:p w14:paraId="4BFFEBE3" w14:textId="77777777" w:rsidR="00B04A37" w:rsidRPr="00D204CA" w:rsidRDefault="00B04A37" w:rsidP="0013526B">
            <w:pPr>
              <w:ind w:left="-90"/>
              <w:jc w:val="right"/>
              <w:rPr>
                <w:b/>
                <w:bCs w:val="0"/>
                <w:sz w:val="18"/>
                <w:szCs w:val="18"/>
              </w:rPr>
            </w:pPr>
          </w:p>
        </w:tc>
        <w:tc>
          <w:tcPr>
            <w:tcW w:w="1507" w:type="dxa"/>
            <w:tcBorders>
              <w:top w:val="single" w:sz="4" w:space="0" w:color="auto"/>
            </w:tcBorders>
            <w:vAlign w:val="bottom"/>
          </w:tcPr>
          <w:p w14:paraId="34094F96" w14:textId="77777777" w:rsidR="00B04A37" w:rsidRPr="00E022E0" w:rsidRDefault="00B04A37" w:rsidP="0013526B">
            <w:pPr>
              <w:tabs>
                <w:tab w:val="left" w:pos="1392"/>
              </w:tabs>
              <w:ind w:right="57"/>
              <w:jc w:val="right"/>
              <w:rPr>
                <w:bCs w:val="0"/>
                <w:sz w:val="18"/>
                <w:szCs w:val="18"/>
              </w:rPr>
            </w:pPr>
          </w:p>
        </w:tc>
        <w:tc>
          <w:tcPr>
            <w:tcW w:w="2236" w:type="dxa"/>
            <w:vAlign w:val="bottom"/>
          </w:tcPr>
          <w:p w14:paraId="643F0B73" w14:textId="77777777" w:rsidR="00B04A37" w:rsidRPr="00EA2E1E" w:rsidRDefault="00B04A37" w:rsidP="0013526B">
            <w:pPr>
              <w:ind w:right="57"/>
              <w:jc w:val="right"/>
              <w:rPr>
                <w:bCs w:val="0"/>
                <w:i/>
                <w:sz w:val="18"/>
                <w:szCs w:val="18"/>
              </w:rPr>
            </w:pPr>
          </w:p>
        </w:tc>
      </w:tr>
      <w:tr w:rsidR="00B04A37" w:rsidRPr="00EA2E1E" w14:paraId="7EDF4F79" w14:textId="77777777" w:rsidTr="00C92587">
        <w:trPr>
          <w:trHeight w:val="20"/>
        </w:trPr>
        <w:tc>
          <w:tcPr>
            <w:tcW w:w="2245" w:type="dxa"/>
            <w:vAlign w:val="bottom"/>
          </w:tcPr>
          <w:p w14:paraId="6646CF99" w14:textId="77777777" w:rsidR="00B04A37" w:rsidRPr="00EA2E1E" w:rsidRDefault="00B04A37" w:rsidP="0013526B">
            <w:pPr>
              <w:ind w:left="283" w:hanging="170"/>
              <w:rPr>
                <w:b/>
                <w:bCs w:val="0"/>
                <w:sz w:val="18"/>
                <w:szCs w:val="18"/>
              </w:rPr>
            </w:pPr>
            <w:r w:rsidRPr="00EA2E1E">
              <w:rPr>
                <w:b/>
                <w:sz w:val="18"/>
                <w:szCs w:val="18"/>
              </w:rPr>
              <w:t>LABA BRUTO</w:t>
            </w:r>
          </w:p>
        </w:tc>
        <w:tc>
          <w:tcPr>
            <w:tcW w:w="1486" w:type="dxa"/>
          </w:tcPr>
          <w:p w14:paraId="4597036A" w14:textId="77777777" w:rsidR="00B04A37" w:rsidRPr="00EA2E1E" w:rsidRDefault="00B04A37" w:rsidP="0013526B">
            <w:pPr>
              <w:pStyle w:val="Default"/>
              <w:tabs>
                <w:tab w:val="left" w:pos="1380"/>
              </w:tabs>
              <w:rPr>
                <w:rFonts w:ascii="Times New Roman" w:hAnsi="Times New Roman" w:cs="Times New Roman"/>
                <w:sz w:val="18"/>
                <w:szCs w:val="18"/>
                <w:highlight w:val="red"/>
              </w:rPr>
            </w:pPr>
          </w:p>
        </w:tc>
        <w:tc>
          <w:tcPr>
            <w:tcW w:w="108" w:type="dxa"/>
            <w:tcMar>
              <w:left w:w="28" w:type="dxa"/>
              <w:right w:w="28" w:type="dxa"/>
            </w:tcMar>
          </w:tcPr>
          <w:p w14:paraId="4D6AC363" w14:textId="77777777" w:rsidR="00B04A37" w:rsidRPr="00EA2E1E" w:rsidRDefault="00B04A37" w:rsidP="0013526B">
            <w:pPr>
              <w:jc w:val="center"/>
              <w:rPr>
                <w:b/>
                <w:bCs w:val="0"/>
                <w:sz w:val="18"/>
                <w:szCs w:val="18"/>
              </w:rPr>
            </w:pPr>
          </w:p>
        </w:tc>
        <w:tc>
          <w:tcPr>
            <w:tcW w:w="1507" w:type="dxa"/>
            <w:tcBorders>
              <w:bottom w:val="single" w:sz="4" w:space="0" w:color="auto"/>
            </w:tcBorders>
            <w:shd w:val="clear" w:color="auto" w:fill="auto"/>
            <w:tcMar>
              <w:left w:w="28" w:type="dxa"/>
              <w:right w:w="28" w:type="dxa"/>
            </w:tcMar>
            <w:vAlign w:val="bottom"/>
          </w:tcPr>
          <w:p w14:paraId="13D68A8E" w14:textId="724A7DEC" w:rsidR="00B04A37" w:rsidRPr="00AA59C7" w:rsidRDefault="00AA59C7" w:rsidP="00F5292F">
            <w:pPr>
              <w:jc w:val="right"/>
              <w:rPr>
                <w:b/>
                <w:bCs w:val="0"/>
                <w:sz w:val="18"/>
                <w:szCs w:val="18"/>
              </w:rPr>
            </w:pPr>
            <w:r>
              <w:rPr>
                <w:b/>
                <w:bCs w:val="0"/>
                <w:sz w:val="18"/>
                <w:szCs w:val="18"/>
              </w:rPr>
              <w:t>86.711.117.074</w:t>
            </w:r>
          </w:p>
        </w:tc>
        <w:tc>
          <w:tcPr>
            <w:tcW w:w="108" w:type="dxa"/>
            <w:tcMar>
              <w:left w:w="28" w:type="dxa"/>
              <w:right w:w="28" w:type="dxa"/>
            </w:tcMar>
            <w:vAlign w:val="bottom"/>
          </w:tcPr>
          <w:p w14:paraId="288E180B" w14:textId="77777777" w:rsidR="00B04A37" w:rsidRPr="00D204CA" w:rsidRDefault="00B04A37" w:rsidP="0013526B">
            <w:pPr>
              <w:ind w:left="-90"/>
              <w:jc w:val="right"/>
              <w:rPr>
                <w:b/>
                <w:sz w:val="18"/>
                <w:szCs w:val="18"/>
              </w:rPr>
            </w:pPr>
          </w:p>
        </w:tc>
        <w:tc>
          <w:tcPr>
            <w:tcW w:w="1507" w:type="dxa"/>
            <w:tcBorders>
              <w:bottom w:val="single" w:sz="4" w:space="0" w:color="auto"/>
            </w:tcBorders>
            <w:vAlign w:val="bottom"/>
          </w:tcPr>
          <w:p w14:paraId="6E3D2926" w14:textId="4B4B1CF5" w:rsidR="00B04A37" w:rsidRPr="00E022E0" w:rsidRDefault="008074AC" w:rsidP="0013526B">
            <w:pPr>
              <w:ind w:right="57"/>
              <w:jc w:val="right"/>
              <w:rPr>
                <w:b/>
                <w:sz w:val="18"/>
                <w:szCs w:val="18"/>
              </w:rPr>
            </w:pPr>
            <w:r w:rsidRPr="00E022E0">
              <w:rPr>
                <w:b/>
                <w:sz w:val="18"/>
                <w:szCs w:val="18"/>
              </w:rPr>
              <w:t>78</w:t>
            </w:r>
            <w:r w:rsidR="00936BA3" w:rsidRPr="00E022E0">
              <w:rPr>
                <w:b/>
                <w:sz w:val="18"/>
                <w:szCs w:val="18"/>
              </w:rPr>
              <w:t>.</w:t>
            </w:r>
            <w:r w:rsidRPr="00E022E0">
              <w:rPr>
                <w:b/>
                <w:sz w:val="18"/>
                <w:szCs w:val="18"/>
              </w:rPr>
              <w:t>481</w:t>
            </w:r>
            <w:r w:rsidR="00936BA3" w:rsidRPr="00E022E0">
              <w:rPr>
                <w:b/>
                <w:sz w:val="18"/>
                <w:szCs w:val="18"/>
              </w:rPr>
              <w:t>.</w:t>
            </w:r>
            <w:r w:rsidRPr="00E022E0">
              <w:rPr>
                <w:b/>
                <w:sz w:val="18"/>
                <w:szCs w:val="18"/>
              </w:rPr>
              <w:t>470</w:t>
            </w:r>
            <w:r w:rsidR="00936BA3" w:rsidRPr="00E022E0">
              <w:rPr>
                <w:b/>
                <w:sz w:val="18"/>
                <w:szCs w:val="18"/>
              </w:rPr>
              <w:t>.</w:t>
            </w:r>
            <w:r w:rsidRPr="00E022E0">
              <w:rPr>
                <w:b/>
                <w:sz w:val="18"/>
                <w:szCs w:val="18"/>
              </w:rPr>
              <w:t>886</w:t>
            </w:r>
          </w:p>
        </w:tc>
        <w:tc>
          <w:tcPr>
            <w:tcW w:w="2236" w:type="dxa"/>
            <w:vAlign w:val="bottom"/>
          </w:tcPr>
          <w:p w14:paraId="3B6077C3" w14:textId="77777777" w:rsidR="00B04A37" w:rsidRPr="00EA2E1E" w:rsidRDefault="00B04A37" w:rsidP="0013526B">
            <w:pPr>
              <w:ind w:right="57"/>
              <w:jc w:val="right"/>
              <w:rPr>
                <w:b/>
                <w:bCs w:val="0"/>
                <w:i/>
                <w:sz w:val="18"/>
                <w:szCs w:val="18"/>
              </w:rPr>
            </w:pPr>
            <w:r w:rsidRPr="00EA2E1E">
              <w:rPr>
                <w:b/>
                <w:i/>
                <w:sz w:val="18"/>
                <w:szCs w:val="18"/>
              </w:rPr>
              <w:t>GROSS PROFIT</w:t>
            </w:r>
          </w:p>
        </w:tc>
      </w:tr>
      <w:tr w:rsidR="00B04A37" w:rsidRPr="00EA2E1E" w14:paraId="6CFE6955" w14:textId="77777777" w:rsidTr="00C92587">
        <w:trPr>
          <w:trHeight w:val="20"/>
        </w:trPr>
        <w:tc>
          <w:tcPr>
            <w:tcW w:w="2245" w:type="dxa"/>
            <w:vAlign w:val="bottom"/>
          </w:tcPr>
          <w:p w14:paraId="57F8DAC7" w14:textId="77777777" w:rsidR="00B04A37" w:rsidRPr="00EA2E1E" w:rsidRDefault="00B04A37" w:rsidP="0013526B">
            <w:pPr>
              <w:ind w:left="283" w:hanging="170"/>
              <w:rPr>
                <w:bCs w:val="0"/>
                <w:sz w:val="18"/>
                <w:szCs w:val="18"/>
              </w:rPr>
            </w:pPr>
          </w:p>
        </w:tc>
        <w:tc>
          <w:tcPr>
            <w:tcW w:w="1486" w:type="dxa"/>
          </w:tcPr>
          <w:p w14:paraId="00EDEE05" w14:textId="77777777" w:rsidR="00B04A37" w:rsidRPr="00EA2E1E" w:rsidRDefault="00B04A37" w:rsidP="0013526B">
            <w:pPr>
              <w:pStyle w:val="Default"/>
              <w:rPr>
                <w:rFonts w:ascii="Times New Roman" w:hAnsi="Times New Roman" w:cs="Times New Roman"/>
                <w:sz w:val="18"/>
                <w:szCs w:val="18"/>
                <w:highlight w:val="red"/>
              </w:rPr>
            </w:pPr>
          </w:p>
        </w:tc>
        <w:tc>
          <w:tcPr>
            <w:tcW w:w="108" w:type="dxa"/>
            <w:tcMar>
              <w:left w:w="28" w:type="dxa"/>
              <w:right w:w="28" w:type="dxa"/>
            </w:tcMar>
          </w:tcPr>
          <w:p w14:paraId="42D0F49B" w14:textId="77777777" w:rsidR="00B04A37" w:rsidRPr="00EA2E1E" w:rsidRDefault="00B04A37" w:rsidP="0013526B">
            <w:pPr>
              <w:jc w:val="center"/>
              <w:rPr>
                <w:b/>
                <w:bCs w:val="0"/>
                <w:sz w:val="18"/>
                <w:szCs w:val="18"/>
              </w:rPr>
            </w:pPr>
          </w:p>
        </w:tc>
        <w:tc>
          <w:tcPr>
            <w:tcW w:w="1507" w:type="dxa"/>
            <w:tcBorders>
              <w:top w:val="single" w:sz="4" w:space="0" w:color="auto"/>
            </w:tcBorders>
            <w:shd w:val="clear" w:color="auto" w:fill="auto"/>
            <w:tcMar>
              <w:left w:w="28" w:type="dxa"/>
              <w:right w:w="28" w:type="dxa"/>
            </w:tcMar>
            <w:vAlign w:val="bottom"/>
          </w:tcPr>
          <w:p w14:paraId="6544C064" w14:textId="77777777" w:rsidR="00B04A37" w:rsidRPr="00D204CA" w:rsidRDefault="00B04A37" w:rsidP="00F5292F">
            <w:pPr>
              <w:jc w:val="right"/>
              <w:rPr>
                <w:bCs w:val="0"/>
                <w:sz w:val="18"/>
                <w:szCs w:val="18"/>
                <w:lang w:val="id-ID"/>
              </w:rPr>
            </w:pPr>
          </w:p>
        </w:tc>
        <w:tc>
          <w:tcPr>
            <w:tcW w:w="108" w:type="dxa"/>
            <w:tcMar>
              <w:left w:w="28" w:type="dxa"/>
              <w:right w:w="28" w:type="dxa"/>
            </w:tcMar>
            <w:vAlign w:val="bottom"/>
          </w:tcPr>
          <w:p w14:paraId="199598B8" w14:textId="77777777" w:rsidR="00B04A37" w:rsidRPr="00D204CA" w:rsidRDefault="00B04A37" w:rsidP="0013526B">
            <w:pPr>
              <w:ind w:left="-90"/>
              <w:jc w:val="right"/>
              <w:rPr>
                <w:b/>
                <w:bCs w:val="0"/>
                <w:sz w:val="18"/>
                <w:szCs w:val="18"/>
              </w:rPr>
            </w:pPr>
          </w:p>
        </w:tc>
        <w:tc>
          <w:tcPr>
            <w:tcW w:w="1507" w:type="dxa"/>
            <w:tcBorders>
              <w:top w:val="single" w:sz="4" w:space="0" w:color="auto"/>
            </w:tcBorders>
            <w:vAlign w:val="bottom"/>
          </w:tcPr>
          <w:p w14:paraId="1B107CE6" w14:textId="77777777" w:rsidR="00B04A37" w:rsidRPr="00E022E0" w:rsidRDefault="00B04A37" w:rsidP="0013526B">
            <w:pPr>
              <w:tabs>
                <w:tab w:val="left" w:pos="1392"/>
              </w:tabs>
              <w:ind w:right="57"/>
              <w:jc w:val="right"/>
              <w:rPr>
                <w:bCs w:val="0"/>
                <w:sz w:val="18"/>
                <w:szCs w:val="18"/>
              </w:rPr>
            </w:pPr>
          </w:p>
        </w:tc>
        <w:tc>
          <w:tcPr>
            <w:tcW w:w="2236" w:type="dxa"/>
            <w:vAlign w:val="bottom"/>
          </w:tcPr>
          <w:p w14:paraId="629443EB" w14:textId="77777777" w:rsidR="00B04A37" w:rsidRPr="00EA2E1E" w:rsidRDefault="00B04A37" w:rsidP="0013526B">
            <w:pPr>
              <w:ind w:right="57"/>
              <w:jc w:val="right"/>
              <w:rPr>
                <w:bCs w:val="0"/>
                <w:i/>
                <w:sz w:val="18"/>
                <w:szCs w:val="18"/>
              </w:rPr>
            </w:pPr>
          </w:p>
        </w:tc>
      </w:tr>
      <w:tr w:rsidR="00B04A37" w:rsidRPr="00EA2E1E" w14:paraId="10464797" w14:textId="77777777" w:rsidTr="00C92587">
        <w:trPr>
          <w:trHeight w:val="20"/>
        </w:trPr>
        <w:tc>
          <w:tcPr>
            <w:tcW w:w="2245" w:type="dxa"/>
            <w:vAlign w:val="bottom"/>
          </w:tcPr>
          <w:p w14:paraId="771BCF59" w14:textId="4CC4BFFD" w:rsidR="00B04A37" w:rsidRPr="00EA2E1E" w:rsidRDefault="00B04A37" w:rsidP="005305D9">
            <w:pPr>
              <w:ind w:left="283" w:hanging="170"/>
              <w:rPr>
                <w:sz w:val="18"/>
                <w:szCs w:val="18"/>
              </w:rPr>
            </w:pPr>
            <w:r w:rsidRPr="00EA2E1E">
              <w:rPr>
                <w:sz w:val="18"/>
                <w:szCs w:val="18"/>
              </w:rPr>
              <w:t xml:space="preserve">Beban </w:t>
            </w:r>
            <w:r w:rsidR="005305D9" w:rsidRPr="00EA2E1E">
              <w:rPr>
                <w:sz w:val="18"/>
                <w:szCs w:val="18"/>
              </w:rPr>
              <w:t>penjualan</w:t>
            </w:r>
          </w:p>
        </w:tc>
        <w:tc>
          <w:tcPr>
            <w:tcW w:w="1486" w:type="dxa"/>
            <w:vAlign w:val="bottom"/>
          </w:tcPr>
          <w:p w14:paraId="00EE71B6" w14:textId="29AC9E28" w:rsidR="00B04A37" w:rsidRPr="00EA2E1E" w:rsidRDefault="00B04A37" w:rsidP="0013526B">
            <w:pPr>
              <w:pStyle w:val="Default"/>
              <w:jc w:val="center"/>
              <w:rPr>
                <w:rFonts w:ascii="Times New Roman" w:hAnsi="Times New Roman" w:cs="Times New Roman"/>
                <w:sz w:val="18"/>
                <w:szCs w:val="18"/>
                <w:highlight w:val="red"/>
                <w:lang w:val="id-ID"/>
              </w:rPr>
            </w:pPr>
            <w:r w:rsidRPr="00190A3B">
              <w:rPr>
                <w:rFonts w:ascii="Times New Roman" w:hAnsi="Times New Roman" w:cs="Times New Roman"/>
                <w:sz w:val="18"/>
                <w:szCs w:val="18"/>
              </w:rPr>
              <w:t>3p</w:t>
            </w:r>
            <w:r w:rsidR="00C92587">
              <w:rPr>
                <w:rFonts w:ascii="Times New Roman" w:hAnsi="Times New Roman" w:cs="Times New Roman"/>
                <w:sz w:val="18"/>
                <w:szCs w:val="18"/>
              </w:rPr>
              <w:t>,</w:t>
            </w:r>
            <w:r w:rsidR="005621E7" w:rsidRPr="00190A3B">
              <w:rPr>
                <w:rFonts w:ascii="Times New Roman" w:hAnsi="Times New Roman" w:cs="Times New Roman"/>
                <w:sz w:val="18"/>
                <w:szCs w:val="18"/>
              </w:rPr>
              <w:t>2</w:t>
            </w:r>
            <w:r w:rsidR="00844CCF">
              <w:rPr>
                <w:rFonts w:ascii="Times New Roman" w:hAnsi="Times New Roman" w:cs="Times New Roman"/>
                <w:sz w:val="18"/>
                <w:szCs w:val="18"/>
              </w:rPr>
              <w:t>7</w:t>
            </w:r>
          </w:p>
        </w:tc>
        <w:tc>
          <w:tcPr>
            <w:tcW w:w="108" w:type="dxa"/>
            <w:tcMar>
              <w:left w:w="28" w:type="dxa"/>
              <w:right w:w="28" w:type="dxa"/>
            </w:tcMar>
          </w:tcPr>
          <w:p w14:paraId="568D07A4" w14:textId="77777777" w:rsidR="00B04A37" w:rsidRPr="00EA2E1E" w:rsidRDefault="00B04A37" w:rsidP="0013526B">
            <w:pPr>
              <w:jc w:val="center"/>
              <w:rPr>
                <w:b/>
                <w:bCs w:val="0"/>
                <w:sz w:val="18"/>
                <w:szCs w:val="18"/>
              </w:rPr>
            </w:pPr>
          </w:p>
        </w:tc>
        <w:tc>
          <w:tcPr>
            <w:tcW w:w="1507" w:type="dxa"/>
            <w:shd w:val="clear" w:color="auto" w:fill="auto"/>
            <w:tcMar>
              <w:left w:w="28" w:type="dxa"/>
              <w:right w:w="28" w:type="dxa"/>
            </w:tcMar>
            <w:vAlign w:val="bottom"/>
          </w:tcPr>
          <w:p w14:paraId="7B6B0514" w14:textId="1B4D7D07" w:rsidR="00B04A37" w:rsidRPr="00D204CA" w:rsidRDefault="00AA59C7" w:rsidP="00E3299B">
            <w:pPr>
              <w:jc w:val="right"/>
              <w:rPr>
                <w:bCs w:val="0"/>
                <w:sz w:val="18"/>
                <w:szCs w:val="18"/>
                <w:lang w:val="id-ID"/>
              </w:rPr>
            </w:pPr>
            <w:r w:rsidRPr="00AA59C7">
              <w:rPr>
                <w:bCs w:val="0"/>
                <w:sz w:val="18"/>
                <w:szCs w:val="18"/>
                <w:lang w:val="id-ID"/>
              </w:rPr>
              <w:t>(2</w:t>
            </w:r>
            <w:r>
              <w:rPr>
                <w:bCs w:val="0"/>
                <w:sz w:val="18"/>
                <w:szCs w:val="18"/>
                <w:lang w:val="id-ID"/>
              </w:rPr>
              <w:t>.</w:t>
            </w:r>
            <w:r w:rsidRPr="00AA59C7">
              <w:rPr>
                <w:bCs w:val="0"/>
                <w:sz w:val="18"/>
                <w:szCs w:val="18"/>
                <w:lang w:val="id-ID"/>
              </w:rPr>
              <w:t>908</w:t>
            </w:r>
            <w:r>
              <w:rPr>
                <w:bCs w:val="0"/>
                <w:sz w:val="18"/>
                <w:szCs w:val="18"/>
                <w:lang w:val="id-ID"/>
              </w:rPr>
              <w:t>.</w:t>
            </w:r>
            <w:r w:rsidRPr="00AA59C7">
              <w:rPr>
                <w:bCs w:val="0"/>
                <w:sz w:val="18"/>
                <w:szCs w:val="18"/>
                <w:lang w:val="id-ID"/>
              </w:rPr>
              <w:t>833</w:t>
            </w:r>
            <w:r>
              <w:rPr>
                <w:bCs w:val="0"/>
                <w:sz w:val="18"/>
                <w:szCs w:val="18"/>
                <w:lang w:val="id-ID"/>
              </w:rPr>
              <w:t>.</w:t>
            </w:r>
            <w:r w:rsidRPr="00AA59C7">
              <w:rPr>
                <w:bCs w:val="0"/>
                <w:sz w:val="18"/>
                <w:szCs w:val="18"/>
                <w:lang w:val="id-ID"/>
              </w:rPr>
              <w:t>601)</w:t>
            </w:r>
          </w:p>
        </w:tc>
        <w:tc>
          <w:tcPr>
            <w:tcW w:w="108" w:type="dxa"/>
            <w:tcMar>
              <w:left w:w="28" w:type="dxa"/>
              <w:right w:w="28" w:type="dxa"/>
            </w:tcMar>
            <w:vAlign w:val="bottom"/>
          </w:tcPr>
          <w:p w14:paraId="53AEC826" w14:textId="77777777" w:rsidR="00B04A37" w:rsidRPr="00D204CA" w:rsidRDefault="00B04A37" w:rsidP="0013526B">
            <w:pPr>
              <w:ind w:left="-90"/>
              <w:jc w:val="right"/>
              <w:rPr>
                <w:sz w:val="18"/>
                <w:szCs w:val="18"/>
              </w:rPr>
            </w:pPr>
          </w:p>
        </w:tc>
        <w:tc>
          <w:tcPr>
            <w:tcW w:w="1507" w:type="dxa"/>
            <w:vAlign w:val="bottom"/>
          </w:tcPr>
          <w:p w14:paraId="73414B9E" w14:textId="5BA4DD12" w:rsidR="00B04A37" w:rsidRPr="00E022E0" w:rsidRDefault="005305D9" w:rsidP="0088012E">
            <w:pPr>
              <w:ind w:right="57"/>
              <w:jc w:val="right"/>
              <w:rPr>
                <w:sz w:val="18"/>
                <w:szCs w:val="18"/>
              </w:rPr>
            </w:pPr>
            <w:r w:rsidRPr="00E022E0">
              <w:rPr>
                <w:sz w:val="18"/>
                <w:szCs w:val="18"/>
              </w:rPr>
              <w:t>(</w:t>
            </w:r>
            <w:r w:rsidR="008074AC" w:rsidRPr="00E022E0">
              <w:rPr>
                <w:bCs w:val="0"/>
                <w:sz w:val="18"/>
                <w:szCs w:val="18"/>
              </w:rPr>
              <w:t>2</w:t>
            </w:r>
            <w:r w:rsidR="00936BA3" w:rsidRPr="00E022E0">
              <w:rPr>
                <w:bCs w:val="0"/>
                <w:sz w:val="18"/>
                <w:szCs w:val="18"/>
              </w:rPr>
              <w:t>.</w:t>
            </w:r>
            <w:r w:rsidR="008074AC" w:rsidRPr="00E022E0">
              <w:rPr>
                <w:bCs w:val="0"/>
                <w:sz w:val="18"/>
                <w:szCs w:val="18"/>
              </w:rPr>
              <w:t>320</w:t>
            </w:r>
            <w:r w:rsidR="00936BA3" w:rsidRPr="00E022E0">
              <w:rPr>
                <w:bCs w:val="0"/>
                <w:sz w:val="18"/>
                <w:szCs w:val="18"/>
              </w:rPr>
              <w:t>.</w:t>
            </w:r>
            <w:r w:rsidR="008074AC" w:rsidRPr="00E022E0">
              <w:rPr>
                <w:bCs w:val="0"/>
                <w:sz w:val="18"/>
                <w:szCs w:val="18"/>
              </w:rPr>
              <w:t>998</w:t>
            </w:r>
            <w:r w:rsidR="00936BA3" w:rsidRPr="00E022E0">
              <w:rPr>
                <w:bCs w:val="0"/>
                <w:sz w:val="18"/>
                <w:szCs w:val="18"/>
              </w:rPr>
              <w:t>.</w:t>
            </w:r>
            <w:r w:rsidR="008074AC" w:rsidRPr="00E022E0">
              <w:rPr>
                <w:bCs w:val="0"/>
                <w:sz w:val="18"/>
                <w:szCs w:val="18"/>
              </w:rPr>
              <w:t>474</w:t>
            </w:r>
            <w:r w:rsidRPr="00E022E0">
              <w:rPr>
                <w:sz w:val="18"/>
                <w:szCs w:val="18"/>
              </w:rPr>
              <w:t>)</w:t>
            </w:r>
          </w:p>
        </w:tc>
        <w:tc>
          <w:tcPr>
            <w:tcW w:w="2236" w:type="dxa"/>
            <w:vAlign w:val="bottom"/>
          </w:tcPr>
          <w:p w14:paraId="2AFEE93B" w14:textId="0F739521" w:rsidR="00B04A37" w:rsidRPr="00EA2E1E" w:rsidRDefault="00B04A37" w:rsidP="005305D9">
            <w:pPr>
              <w:pStyle w:val="Default"/>
              <w:ind w:right="57"/>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 xml:space="preserve"> </w:t>
            </w:r>
            <w:r w:rsidR="005305D9" w:rsidRPr="00EA2E1E">
              <w:rPr>
                <w:rFonts w:ascii="Times New Roman" w:eastAsia="Times New Roman" w:hAnsi="Times New Roman" w:cs="Times New Roman"/>
                <w:bCs/>
                <w:i/>
                <w:color w:val="auto"/>
                <w:sz w:val="18"/>
                <w:szCs w:val="18"/>
              </w:rPr>
              <w:t>Selling</w:t>
            </w:r>
            <w:r w:rsidRPr="00EA2E1E">
              <w:rPr>
                <w:rFonts w:ascii="Times New Roman" w:eastAsia="Times New Roman" w:hAnsi="Times New Roman" w:cs="Times New Roman"/>
                <w:bCs/>
                <w:i/>
                <w:color w:val="auto"/>
                <w:sz w:val="18"/>
                <w:szCs w:val="18"/>
              </w:rPr>
              <w:t xml:space="preserve"> expenses</w:t>
            </w:r>
          </w:p>
        </w:tc>
      </w:tr>
      <w:tr w:rsidR="00B04A37" w:rsidRPr="00EA2E1E" w14:paraId="1CB428B9" w14:textId="77777777" w:rsidTr="00C92587">
        <w:trPr>
          <w:trHeight w:val="20"/>
        </w:trPr>
        <w:tc>
          <w:tcPr>
            <w:tcW w:w="2245" w:type="dxa"/>
            <w:vAlign w:val="bottom"/>
          </w:tcPr>
          <w:p w14:paraId="73352672" w14:textId="320C106F" w:rsidR="00B04A37" w:rsidRPr="00EA2E1E" w:rsidRDefault="005305D9" w:rsidP="0013526B">
            <w:pPr>
              <w:ind w:left="283" w:hanging="170"/>
              <w:rPr>
                <w:sz w:val="18"/>
                <w:szCs w:val="18"/>
              </w:rPr>
            </w:pPr>
            <w:r w:rsidRPr="00EA2E1E">
              <w:rPr>
                <w:sz w:val="18"/>
                <w:szCs w:val="18"/>
              </w:rPr>
              <w:t>Beban umum dan administrasi</w:t>
            </w:r>
          </w:p>
        </w:tc>
        <w:tc>
          <w:tcPr>
            <w:tcW w:w="1486" w:type="dxa"/>
            <w:vAlign w:val="bottom"/>
          </w:tcPr>
          <w:p w14:paraId="5910E543" w14:textId="459C71EE" w:rsidR="00B04A37" w:rsidRPr="00EA2E1E" w:rsidRDefault="00B04A37" w:rsidP="0013526B">
            <w:pPr>
              <w:pStyle w:val="Default"/>
              <w:jc w:val="center"/>
              <w:rPr>
                <w:rFonts w:ascii="Times New Roman" w:hAnsi="Times New Roman" w:cs="Times New Roman"/>
                <w:sz w:val="18"/>
                <w:szCs w:val="18"/>
                <w:highlight w:val="red"/>
              </w:rPr>
            </w:pPr>
            <w:r w:rsidRPr="00190A3B">
              <w:rPr>
                <w:rFonts w:ascii="Times New Roman" w:hAnsi="Times New Roman" w:cs="Times New Roman"/>
                <w:sz w:val="18"/>
                <w:szCs w:val="18"/>
              </w:rPr>
              <w:t>3p</w:t>
            </w:r>
            <w:r w:rsidR="00C92587">
              <w:rPr>
                <w:rFonts w:ascii="Times New Roman" w:hAnsi="Times New Roman" w:cs="Times New Roman"/>
                <w:sz w:val="18"/>
                <w:szCs w:val="18"/>
              </w:rPr>
              <w:t>,</w:t>
            </w:r>
            <w:r w:rsidR="00D316D9">
              <w:rPr>
                <w:rFonts w:ascii="Times New Roman" w:hAnsi="Times New Roman" w:cs="Times New Roman"/>
                <w:sz w:val="18"/>
                <w:szCs w:val="18"/>
              </w:rPr>
              <w:t>2</w:t>
            </w:r>
            <w:r w:rsidR="00844CCF">
              <w:rPr>
                <w:rFonts w:ascii="Times New Roman" w:hAnsi="Times New Roman" w:cs="Times New Roman"/>
                <w:sz w:val="18"/>
                <w:szCs w:val="18"/>
              </w:rPr>
              <w:t>8</w:t>
            </w:r>
          </w:p>
        </w:tc>
        <w:tc>
          <w:tcPr>
            <w:tcW w:w="108" w:type="dxa"/>
            <w:tcMar>
              <w:left w:w="28" w:type="dxa"/>
              <w:right w:w="28" w:type="dxa"/>
            </w:tcMar>
          </w:tcPr>
          <w:p w14:paraId="7838334C" w14:textId="77777777" w:rsidR="00B04A37" w:rsidRPr="00EA2E1E" w:rsidRDefault="00B04A37" w:rsidP="0013526B">
            <w:pPr>
              <w:jc w:val="center"/>
              <w:rPr>
                <w:b/>
                <w:bCs w:val="0"/>
                <w:sz w:val="18"/>
                <w:szCs w:val="18"/>
              </w:rPr>
            </w:pPr>
          </w:p>
        </w:tc>
        <w:tc>
          <w:tcPr>
            <w:tcW w:w="1507" w:type="dxa"/>
            <w:shd w:val="clear" w:color="auto" w:fill="auto"/>
            <w:tcMar>
              <w:left w:w="28" w:type="dxa"/>
              <w:right w:w="28" w:type="dxa"/>
            </w:tcMar>
            <w:vAlign w:val="bottom"/>
          </w:tcPr>
          <w:p w14:paraId="1F14E365" w14:textId="5320CDAB" w:rsidR="00B04A37" w:rsidRPr="00F10AA0" w:rsidRDefault="001721C2" w:rsidP="009311F4">
            <w:pPr>
              <w:jc w:val="right"/>
              <w:rPr>
                <w:bCs w:val="0"/>
                <w:sz w:val="18"/>
                <w:szCs w:val="18"/>
                <w:lang w:val="id-ID"/>
              </w:rPr>
            </w:pPr>
            <w:r w:rsidRPr="00D85DCB">
              <w:rPr>
                <w:bCs w:val="0"/>
                <w:sz w:val="18"/>
                <w:szCs w:val="18"/>
                <w:lang w:val="id-ID"/>
              </w:rPr>
              <w:t>(91.639.342</w:t>
            </w:r>
            <w:r w:rsidRPr="00D85DCB">
              <w:rPr>
                <w:bCs w:val="0"/>
                <w:sz w:val="18"/>
                <w:szCs w:val="18"/>
              </w:rPr>
              <w:t>.</w:t>
            </w:r>
            <w:r w:rsidRPr="00D85DCB">
              <w:rPr>
                <w:bCs w:val="0"/>
                <w:sz w:val="18"/>
                <w:szCs w:val="18"/>
                <w:lang w:val="id-ID"/>
              </w:rPr>
              <w:t>58</w:t>
            </w:r>
            <w:r w:rsidR="009311F4">
              <w:rPr>
                <w:bCs w:val="0"/>
                <w:sz w:val="18"/>
                <w:szCs w:val="18"/>
              </w:rPr>
              <w:t>3</w:t>
            </w:r>
            <w:r w:rsidRPr="00D85DCB">
              <w:rPr>
                <w:bCs w:val="0"/>
                <w:sz w:val="18"/>
                <w:szCs w:val="18"/>
                <w:lang w:val="id-ID"/>
              </w:rPr>
              <w:t>)</w:t>
            </w:r>
          </w:p>
        </w:tc>
        <w:tc>
          <w:tcPr>
            <w:tcW w:w="108" w:type="dxa"/>
            <w:tcMar>
              <w:left w:w="28" w:type="dxa"/>
              <w:right w:w="28" w:type="dxa"/>
            </w:tcMar>
            <w:vAlign w:val="bottom"/>
          </w:tcPr>
          <w:p w14:paraId="7F646C09" w14:textId="77777777" w:rsidR="00B04A37" w:rsidRPr="00D204CA" w:rsidRDefault="00B04A37" w:rsidP="0013526B">
            <w:pPr>
              <w:ind w:left="-90"/>
              <w:jc w:val="right"/>
              <w:rPr>
                <w:sz w:val="18"/>
                <w:szCs w:val="18"/>
              </w:rPr>
            </w:pPr>
          </w:p>
        </w:tc>
        <w:tc>
          <w:tcPr>
            <w:tcW w:w="1507" w:type="dxa"/>
            <w:vAlign w:val="bottom"/>
          </w:tcPr>
          <w:p w14:paraId="4A918703" w14:textId="2E440F56" w:rsidR="00B04A37" w:rsidRPr="00E022E0" w:rsidRDefault="00AF79A9" w:rsidP="0088012E">
            <w:pPr>
              <w:ind w:right="57"/>
              <w:jc w:val="right"/>
              <w:rPr>
                <w:sz w:val="18"/>
                <w:szCs w:val="18"/>
              </w:rPr>
            </w:pPr>
            <w:r w:rsidRPr="00E022E0">
              <w:rPr>
                <w:sz w:val="18"/>
                <w:szCs w:val="18"/>
              </w:rPr>
              <w:t>(</w:t>
            </w:r>
            <w:r w:rsidR="008074AC" w:rsidRPr="00E022E0">
              <w:rPr>
                <w:bCs w:val="0"/>
                <w:sz w:val="18"/>
                <w:szCs w:val="18"/>
              </w:rPr>
              <w:t>69</w:t>
            </w:r>
            <w:r w:rsidR="00936BA3" w:rsidRPr="00E022E0">
              <w:rPr>
                <w:bCs w:val="0"/>
                <w:sz w:val="18"/>
                <w:szCs w:val="18"/>
              </w:rPr>
              <w:t>.</w:t>
            </w:r>
            <w:r w:rsidR="008074AC" w:rsidRPr="00E022E0">
              <w:rPr>
                <w:bCs w:val="0"/>
                <w:sz w:val="18"/>
                <w:szCs w:val="18"/>
              </w:rPr>
              <w:t>611</w:t>
            </w:r>
            <w:r w:rsidR="00936BA3" w:rsidRPr="00E022E0">
              <w:rPr>
                <w:bCs w:val="0"/>
                <w:sz w:val="18"/>
                <w:szCs w:val="18"/>
              </w:rPr>
              <w:t>.</w:t>
            </w:r>
            <w:r w:rsidR="008074AC" w:rsidRPr="00E022E0">
              <w:rPr>
                <w:bCs w:val="0"/>
                <w:sz w:val="18"/>
                <w:szCs w:val="18"/>
              </w:rPr>
              <w:t>654</w:t>
            </w:r>
            <w:r w:rsidR="00936BA3" w:rsidRPr="00E022E0">
              <w:rPr>
                <w:bCs w:val="0"/>
                <w:sz w:val="18"/>
                <w:szCs w:val="18"/>
              </w:rPr>
              <w:t>.</w:t>
            </w:r>
            <w:r w:rsidR="008074AC" w:rsidRPr="00E022E0">
              <w:rPr>
                <w:bCs w:val="0"/>
                <w:sz w:val="18"/>
                <w:szCs w:val="18"/>
              </w:rPr>
              <w:t>010)</w:t>
            </w:r>
            <w:r w:rsidRPr="00E022E0">
              <w:rPr>
                <w:sz w:val="18"/>
                <w:szCs w:val="18"/>
              </w:rPr>
              <w:t>)</w:t>
            </w:r>
          </w:p>
        </w:tc>
        <w:tc>
          <w:tcPr>
            <w:tcW w:w="2236" w:type="dxa"/>
            <w:vAlign w:val="bottom"/>
          </w:tcPr>
          <w:p w14:paraId="6BC2A32F" w14:textId="77777777" w:rsidR="00F66C0F" w:rsidRDefault="005305D9" w:rsidP="0013526B">
            <w:pPr>
              <w:pStyle w:val="Default"/>
              <w:ind w:right="57"/>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General and administrative</w:t>
            </w:r>
          </w:p>
          <w:p w14:paraId="4BF54DBD" w14:textId="1727C524" w:rsidR="00B04A37" w:rsidRPr="00EA2E1E" w:rsidRDefault="005305D9" w:rsidP="00F66C0F">
            <w:pPr>
              <w:pStyle w:val="Default"/>
              <w:ind w:right="217"/>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expenses</w:t>
            </w:r>
          </w:p>
        </w:tc>
      </w:tr>
      <w:tr w:rsidR="005305D9" w:rsidRPr="00EA2E1E" w14:paraId="36AB643E" w14:textId="77777777" w:rsidTr="00C92587">
        <w:trPr>
          <w:trHeight w:val="20"/>
        </w:trPr>
        <w:tc>
          <w:tcPr>
            <w:tcW w:w="2245" w:type="dxa"/>
            <w:vAlign w:val="bottom"/>
          </w:tcPr>
          <w:p w14:paraId="71D15C8B" w14:textId="09A3A642" w:rsidR="005305D9" w:rsidRPr="00EA2E1E" w:rsidRDefault="005305D9" w:rsidP="0013526B">
            <w:pPr>
              <w:ind w:left="283" w:hanging="170"/>
              <w:rPr>
                <w:sz w:val="18"/>
                <w:szCs w:val="18"/>
              </w:rPr>
            </w:pPr>
            <w:r w:rsidRPr="00EA2E1E">
              <w:rPr>
                <w:sz w:val="18"/>
                <w:szCs w:val="18"/>
              </w:rPr>
              <w:t>Beban bunga</w:t>
            </w:r>
          </w:p>
        </w:tc>
        <w:tc>
          <w:tcPr>
            <w:tcW w:w="1486" w:type="dxa"/>
            <w:vAlign w:val="bottom"/>
          </w:tcPr>
          <w:p w14:paraId="07D82D12" w14:textId="77777777" w:rsidR="005305D9" w:rsidRPr="00EA2E1E" w:rsidRDefault="005305D9" w:rsidP="0013526B">
            <w:pPr>
              <w:pStyle w:val="Default"/>
              <w:jc w:val="center"/>
              <w:rPr>
                <w:rFonts w:ascii="Times New Roman" w:hAnsi="Times New Roman" w:cs="Times New Roman"/>
                <w:sz w:val="18"/>
                <w:szCs w:val="18"/>
                <w:highlight w:val="red"/>
              </w:rPr>
            </w:pPr>
          </w:p>
        </w:tc>
        <w:tc>
          <w:tcPr>
            <w:tcW w:w="108" w:type="dxa"/>
            <w:tcMar>
              <w:left w:w="28" w:type="dxa"/>
              <w:right w:w="28" w:type="dxa"/>
            </w:tcMar>
          </w:tcPr>
          <w:p w14:paraId="0B45C6A9" w14:textId="77777777" w:rsidR="005305D9" w:rsidRPr="00EA2E1E" w:rsidRDefault="005305D9" w:rsidP="0013526B">
            <w:pPr>
              <w:jc w:val="center"/>
              <w:rPr>
                <w:b/>
                <w:bCs w:val="0"/>
                <w:sz w:val="18"/>
                <w:szCs w:val="18"/>
              </w:rPr>
            </w:pPr>
          </w:p>
        </w:tc>
        <w:tc>
          <w:tcPr>
            <w:tcW w:w="1507" w:type="dxa"/>
            <w:shd w:val="clear" w:color="auto" w:fill="auto"/>
            <w:tcMar>
              <w:left w:w="28" w:type="dxa"/>
              <w:right w:w="28" w:type="dxa"/>
            </w:tcMar>
            <w:vAlign w:val="bottom"/>
          </w:tcPr>
          <w:p w14:paraId="0EE300F0" w14:textId="46666B20" w:rsidR="005305D9" w:rsidRPr="00F10AA0" w:rsidRDefault="00AA59C7" w:rsidP="00E3299B">
            <w:pPr>
              <w:jc w:val="right"/>
              <w:rPr>
                <w:bCs w:val="0"/>
                <w:sz w:val="18"/>
                <w:szCs w:val="18"/>
                <w:lang w:val="id-ID"/>
              </w:rPr>
            </w:pPr>
            <w:r w:rsidRPr="00F10AA0">
              <w:rPr>
                <w:bCs w:val="0"/>
                <w:sz w:val="18"/>
                <w:szCs w:val="18"/>
                <w:lang w:val="id-ID"/>
              </w:rPr>
              <w:t>(3.681.610.447)</w:t>
            </w:r>
          </w:p>
        </w:tc>
        <w:tc>
          <w:tcPr>
            <w:tcW w:w="108" w:type="dxa"/>
            <w:tcMar>
              <w:left w:w="28" w:type="dxa"/>
              <w:right w:w="28" w:type="dxa"/>
            </w:tcMar>
            <w:vAlign w:val="bottom"/>
          </w:tcPr>
          <w:p w14:paraId="35A7ABDD" w14:textId="77777777" w:rsidR="005305D9" w:rsidRPr="00D204CA" w:rsidRDefault="005305D9" w:rsidP="0013526B">
            <w:pPr>
              <w:ind w:left="-90"/>
              <w:jc w:val="right"/>
              <w:rPr>
                <w:sz w:val="18"/>
                <w:szCs w:val="18"/>
              </w:rPr>
            </w:pPr>
          </w:p>
        </w:tc>
        <w:tc>
          <w:tcPr>
            <w:tcW w:w="1507" w:type="dxa"/>
            <w:vAlign w:val="bottom"/>
          </w:tcPr>
          <w:p w14:paraId="7C790B5B" w14:textId="3F157C41" w:rsidR="005305D9" w:rsidRPr="00E022E0" w:rsidRDefault="00AF79A9" w:rsidP="0088012E">
            <w:pPr>
              <w:ind w:right="57"/>
              <w:jc w:val="right"/>
              <w:rPr>
                <w:sz w:val="18"/>
                <w:szCs w:val="18"/>
              </w:rPr>
            </w:pPr>
            <w:r w:rsidRPr="00E022E0">
              <w:rPr>
                <w:sz w:val="18"/>
                <w:szCs w:val="18"/>
              </w:rPr>
              <w:t>(</w:t>
            </w:r>
            <w:r w:rsidR="008074AC" w:rsidRPr="00E022E0">
              <w:rPr>
                <w:sz w:val="18"/>
                <w:szCs w:val="18"/>
              </w:rPr>
              <w:t>3</w:t>
            </w:r>
            <w:r w:rsidR="00936BA3" w:rsidRPr="00E022E0">
              <w:rPr>
                <w:sz w:val="18"/>
                <w:szCs w:val="18"/>
              </w:rPr>
              <w:t>.</w:t>
            </w:r>
            <w:r w:rsidR="008074AC" w:rsidRPr="00E022E0">
              <w:rPr>
                <w:sz w:val="18"/>
                <w:szCs w:val="18"/>
              </w:rPr>
              <w:t>675</w:t>
            </w:r>
            <w:r w:rsidR="00936BA3" w:rsidRPr="00E022E0">
              <w:rPr>
                <w:sz w:val="18"/>
                <w:szCs w:val="18"/>
              </w:rPr>
              <w:t>.</w:t>
            </w:r>
            <w:r w:rsidR="008074AC" w:rsidRPr="00E022E0">
              <w:rPr>
                <w:sz w:val="18"/>
                <w:szCs w:val="18"/>
              </w:rPr>
              <w:t>660</w:t>
            </w:r>
            <w:r w:rsidR="00936BA3" w:rsidRPr="00E022E0">
              <w:rPr>
                <w:sz w:val="18"/>
                <w:szCs w:val="18"/>
              </w:rPr>
              <w:t>.</w:t>
            </w:r>
            <w:r w:rsidR="008074AC" w:rsidRPr="00E022E0">
              <w:rPr>
                <w:sz w:val="18"/>
                <w:szCs w:val="18"/>
              </w:rPr>
              <w:t>809</w:t>
            </w:r>
            <w:r w:rsidRPr="00E022E0">
              <w:rPr>
                <w:sz w:val="18"/>
                <w:szCs w:val="18"/>
              </w:rPr>
              <w:t>)</w:t>
            </w:r>
          </w:p>
        </w:tc>
        <w:tc>
          <w:tcPr>
            <w:tcW w:w="2236" w:type="dxa"/>
            <w:vAlign w:val="bottom"/>
          </w:tcPr>
          <w:p w14:paraId="4AB5AC9A" w14:textId="145E34C0" w:rsidR="005305D9" w:rsidRPr="00EA2E1E" w:rsidRDefault="005305D9" w:rsidP="0013526B">
            <w:pPr>
              <w:pStyle w:val="Default"/>
              <w:ind w:right="57"/>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In</w:t>
            </w:r>
            <w:r w:rsidR="00AF79A9" w:rsidRPr="00EA2E1E">
              <w:rPr>
                <w:rFonts w:ascii="Times New Roman" w:eastAsia="Times New Roman" w:hAnsi="Times New Roman" w:cs="Times New Roman"/>
                <w:bCs/>
                <w:i/>
                <w:color w:val="auto"/>
                <w:sz w:val="18"/>
                <w:szCs w:val="18"/>
              </w:rPr>
              <w:t>terest expense</w:t>
            </w:r>
          </w:p>
        </w:tc>
      </w:tr>
      <w:tr w:rsidR="005305D9" w:rsidRPr="00EA2E1E" w14:paraId="49DEF682" w14:textId="77777777" w:rsidTr="00C92587">
        <w:trPr>
          <w:trHeight w:val="20"/>
        </w:trPr>
        <w:tc>
          <w:tcPr>
            <w:tcW w:w="2245" w:type="dxa"/>
            <w:vAlign w:val="bottom"/>
          </w:tcPr>
          <w:p w14:paraId="076CC700" w14:textId="6B7D381F" w:rsidR="005305D9" w:rsidRPr="00EA2E1E" w:rsidRDefault="00AF79A9" w:rsidP="0013526B">
            <w:pPr>
              <w:ind w:left="283" w:hanging="170"/>
              <w:rPr>
                <w:sz w:val="18"/>
                <w:szCs w:val="18"/>
              </w:rPr>
            </w:pPr>
            <w:r w:rsidRPr="00EA2E1E">
              <w:rPr>
                <w:sz w:val="18"/>
                <w:szCs w:val="18"/>
              </w:rPr>
              <w:t>Keuntungan (kerugian) selisih kurs</w:t>
            </w:r>
          </w:p>
        </w:tc>
        <w:tc>
          <w:tcPr>
            <w:tcW w:w="1486" w:type="dxa"/>
            <w:vAlign w:val="bottom"/>
          </w:tcPr>
          <w:p w14:paraId="731B1002" w14:textId="5DB371CE" w:rsidR="005305D9" w:rsidRPr="00EA2E1E" w:rsidRDefault="00A742F0" w:rsidP="0013526B">
            <w:pPr>
              <w:pStyle w:val="Default"/>
              <w:jc w:val="center"/>
              <w:rPr>
                <w:rFonts w:ascii="Times New Roman" w:hAnsi="Times New Roman" w:cs="Times New Roman"/>
                <w:sz w:val="18"/>
                <w:szCs w:val="18"/>
                <w:highlight w:val="red"/>
              </w:rPr>
            </w:pPr>
            <w:r w:rsidRPr="00190A3B">
              <w:rPr>
                <w:rFonts w:ascii="Times New Roman" w:hAnsi="Times New Roman" w:cs="Times New Roman"/>
                <w:sz w:val="18"/>
                <w:szCs w:val="18"/>
              </w:rPr>
              <w:t>3f</w:t>
            </w:r>
          </w:p>
        </w:tc>
        <w:tc>
          <w:tcPr>
            <w:tcW w:w="108" w:type="dxa"/>
            <w:tcMar>
              <w:left w:w="28" w:type="dxa"/>
              <w:right w:w="28" w:type="dxa"/>
            </w:tcMar>
          </w:tcPr>
          <w:p w14:paraId="704201BA" w14:textId="77777777" w:rsidR="005305D9" w:rsidRPr="00EA2E1E" w:rsidRDefault="005305D9" w:rsidP="0013526B">
            <w:pPr>
              <w:jc w:val="center"/>
              <w:rPr>
                <w:b/>
                <w:bCs w:val="0"/>
                <w:sz w:val="18"/>
                <w:szCs w:val="18"/>
              </w:rPr>
            </w:pPr>
          </w:p>
        </w:tc>
        <w:tc>
          <w:tcPr>
            <w:tcW w:w="1507" w:type="dxa"/>
            <w:shd w:val="clear" w:color="auto" w:fill="auto"/>
            <w:tcMar>
              <w:left w:w="28" w:type="dxa"/>
              <w:right w:w="28" w:type="dxa"/>
            </w:tcMar>
            <w:vAlign w:val="bottom"/>
          </w:tcPr>
          <w:p w14:paraId="2F493714" w14:textId="69D3F5AF" w:rsidR="005305D9" w:rsidRPr="00F10AA0" w:rsidRDefault="00AA59C7" w:rsidP="00E3299B">
            <w:pPr>
              <w:jc w:val="right"/>
              <w:rPr>
                <w:bCs w:val="0"/>
                <w:sz w:val="18"/>
                <w:szCs w:val="18"/>
                <w:lang w:val="id-ID"/>
              </w:rPr>
            </w:pPr>
            <w:r w:rsidRPr="00F10AA0">
              <w:rPr>
                <w:bCs w:val="0"/>
                <w:sz w:val="18"/>
                <w:szCs w:val="18"/>
                <w:lang w:val="id-ID"/>
              </w:rPr>
              <w:t>390.333.828</w:t>
            </w:r>
          </w:p>
        </w:tc>
        <w:tc>
          <w:tcPr>
            <w:tcW w:w="108" w:type="dxa"/>
            <w:tcMar>
              <w:left w:w="28" w:type="dxa"/>
              <w:right w:w="28" w:type="dxa"/>
            </w:tcMar>
            <w:vAlign w:val="bottom"/>
          </w:tcPr>
          <w:p w14:paraId="26D2D382" w14:textId="77777777" w:rsidR="005305D9" w:rsidRPr="00D204CA" w:rsidRDefault="005305D9" w:rsidP="0013526B">
            <w:pPr>
              <w:ind w:left="-90"/>
              <w:jc w:val="right"/>
              <w:rPr>
                <w:sz w:val="18"/>
                <w:szCs w:val="18"/>
              </w:rPr>
            </w:pPr>
          </w:p>
        </w:tc>
        <w:tc>
          <w:tcPr>
            <w:tcW w:w="1507" w:type="dxa"/>
            <w:vAlign w:val="bottom"/>
          </w:tcPr>
          <w:p w14:paraId="0108E285" w14:textId="609E9364" w:rsidR="005305D9" w:rsidRPr="00E022E0" w:rsidRDefault="008074AC" w:rsidP="0013526B">
            <w:pPr>
              <w:ind w:right="57"/>
              <w:jc w:val="right"/>
              <w:rPr>
                <w:sz w:val="18"/>
                <w:szCs w:val="18"/>
              </w:rPr>
            </w:pPr>
            <w:r w:rsidRPr="00E022E0">
              <w:rPr>
                <w:bCs w:val="0"/>
                <w:sz w:val="18"/>
                <w:szCs w:val="18"/>
              </w:rPr>
              <w:t>306</w:t>
            </w:r>
            <w:r w:rsidR="00936BA3" w:rsidRPr="00E022E0">
              <w:rPr>
                <w:bCs w:val="0"/>
                <w:sz w:val="18"/>
                <w:szCs w:val="18"/>
              </w:rPr>
              <w:t>.</w:t>
            </w:r>
            <w:r w:rsidRPr="00E022E0">
              <w:rPr>
                <w:bCs w:val="0"/>
                <w:sz w:val="18"/>
                <w:szCs w:val="18"/>
              </w:rPr>
              <w:t>274</w:t>
            </w:r>
            <w:r w:rsidR="00936BA3" w:rsidRPr="00E022E0">
              <w:rPr>
                <w:bCs w:val="0"/>
                <w:sz w:val="18"/>
                <w:szCs w:val="18"/>
              </w:rPr>
              <w:t>.</w:t>
            </w:r>
            <w:r w:rsidRPr="00E022E0">
              <w:rPr>
                <w:bCs w:val="0"/>
                <w:sz w:val="18"/>
                <w:szCs w:val="18"/>
              </w:rPr>
              <w:t>456</w:t>
            </w:r>
          </w:p>
        </w:tc>
        <w:tc>
          <w:tcPr>
            <w:tcW w:w="2236" w:type="dxa"/>
            <w:vAlign w:val="bottom"/>
          </w:tcPr>
          <w:p w14:paraId="62664B9D" w14:textId="77777777" w:rsidR="00F66C0F" w:rsidRDefault="00AF79A9" w:rsidP="0013526B">
            <w:pPr>
              <w:pStyle w:val="Default"/>
              <w:ind w:right="57"/>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 xml:space="preserve">Gain (loss) foreign </w:t>
            </w:r>
          </w:p>
          <w:p w14:paraId="4CE6B5F3" w14:textId="4F35EA31" w:rsidR="005305D9" w:rsidRPr="00EA2E1E" w:rsidRDefault="00AF79A9" w:rsidP="00F66C0F">
            <w:pPr>
              <w:pStyle w:val="Default"/>
              <w:ind w:right="217"/>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 xml:space="preserve">exchange </w:t>
            </w:r>
          </w:p>
        </w:tc>
      </w:tr>
      <w:tr w:rsidR="00AF79A9" w:rsidRPr="00EA2E1E" w14:paraId="767EC49D" w14:textId="77777777" w:rsidTr="00C92587">
        <w:trPr>
          <w:trHeight w:val="74"/>
        </w:trPr>
        <w:tc>
          <w:tcPr>
            <w:tcW w:w="2245" w:type="dxa"/>
            <w:vAlign w:val="bottom"/>
          </w:tcPr>
          <w:p w14:paraId="229EA4F6" w14:textId="5B4719D2" w:rsidR="00AF79A9" w:rsidRPr="00EA2E1E" w:rsidRDefault="00AF79A9" w:rsidP="0013526B">
            <w:pPr>
              <w:ind w:left="283" w:hanging="170"/>
              <w:rPr>
                <w:sz w:val="18"/>
                <w:szCs w:val="18"/>
              </w:rPr>
            </w:pPr>
            <w:r w:rsidRPr="00EA2E1E">
              <w:rPr>
                <w:sz w:val="18"/>
                <w:szCs w:val="18"/>
              </w:rPr>
              <w:t xml:space="preserve">Beban cadangan kerugian penurunan nilai piutang </w:t>
            </w:r>
          </w:p>
        </w:tc>
        <w:tc>
          <w:tcPr>
            <w:tcW w:w="1486" w:type="dxa"/>
            <w:vAlign w:val="bottom"/>
          </w:tcPr>
          <w:p w14:paraId="3B2B3088" w14:textId="77777777" w:rsidR="00AF79A9" w:rsidRPr="00EA2E1E" w:rsidRDefault="00AF79A9" w:rsidP="0013526B">
            <w:pPr>
              <w:pStyle w:val="Default"/>
              <w:jc w:val="center"/>
              <w:rPr>
                <w:rFonts w:ascii="Times New Roman" w:hAnsi="Times New Roman" w:cs="Times New Roman"/>
                <w:sz w:val="18"/>
                <w:szCs w:val="18"/>
                <w:highlight w:val="red"/>
              </w:rPr>
            </w:pPr>
          </w:p>
        </w:tc>
        <w:tc>
          <w:tcPr>
            <w:tcW w:w="108" w:type="dxa"/>
            <w:tcMar>
              <w:left w:w="28" w:type="dxa"/>
              <w:right w:w="28" w:type="dxa"/>
            </w:tcMar>
          </w:tcPr>
          <w:p w14:paraId="02F1AFF8" w14:textId="77777777" w:rsidR="00AF79A9" w:rsidRPr="00EA2E1E" w:rsidRDefault="00AF79A9" w:rsidP="0013526B">
            <w:pPr>
              <w:jc w:val="center"/>
              <w:rPr>
                <w:b/>
                <w:bCs w:val="0"/>
                <w:sz w:val="18"/>
                <w:szCs w:val="18"/>
              </w:rPr>
            </w:pPr>
          </w:p>
        </w:tc>
        <w:tc>
          <w:tcPr>
            <w:tcW w:w="1507" w:type="dxa"/>
            <w:shd w:val="clear" w:color="auto" w:fill="auto"/>
            <w:tcMar>
              <w:left w:w="28" w:type="dxa"/>
              <w:right w:w="28" w:type="dxa"/>
            </w:tcMar>
            <w:vAlign w:val="bottom"/>
          </w:tcPr>
          <w:p w14:paraId="0CF8796A" w14:textId="3AC9921D" w:rsidR="00AF79A9" w:rsidRPr="00F10AA0" w:rsidRDefault="00AA59C7" w:rsidP="00E3299B">
            <w:pPr>
              <w:jc w:val="right"/>
              <w:rPr>
                <w:bCs w:val="0"/>
                <w:sz w:val="18"/>
                <w:szCs w:val="18"/>
                <w:lang w:val="id-ID"/>
              </w:rPr>
            </w:pPr>
            <w:r w:rsidRPr="00F10AA0">
              <w:rPr>
                <w:bCs w:val="0"/>
                <w:sz w:val="18"/>
                <w:szCs w:val="18"/>
                <w:lang w:val="id-ID"/>
              </w:rPr>
              <w:t>(428.096.113)</w:t>
            </w:r>
          </w:p>
        </w:tc>
        <w:tc>
          <w:tcPr>
            <w:tcW w:w="108" w:type="dxa"/>
            <w:tcMar>
              <w:left w:w="28" w:type="dxa"/>
              <w:right w:w="28" w:type="dxa"/>
            </w:tcMar>
            <w:vAlign w:val="bottom"/>
          </w:tcPr>
          <w:p w14:paraId="33569374" w14:textId="77777777" w:rsidR="00AF79A9" w:rsidRPr="00D204CA" w:rsidRDefault="00AF79A9" w:rsidP="0013526B">
            <w:pPr>
              <w:ind w:left="-90"/>
              <w:jc w:val="right"/>
              <w:rPr>
                <w:sz w:val="18"/>
                <w:szCs w:val="18"/>
              </w:rPr>
            </w:pPr>
          </w:p>
        </w:tc>
        <w:tc>
          <w:tcPr>
            <w:tcW w:w="1507" w:type="dxa"/>
            <w:vAlign w:val="bottom"/>
          </w:tcPr>
          <w:p w14:paraId="1B639F9A" w14:textId="784CB94F" w:rsidR="00AF79A9" w:rsidRPr="00E022E0" w:rsidRDefault="00AF79A9" w:rsidP="0088012E">
            <w:pPr>
              <w:ind w:right="57"/>
              <w:jc w:val="right"/>
              <w:rPr>
                <w:sz w:val="18"/>
                <w:szCs w:val="18"/>
              </w:rPr>
            </w:pPr>
            <w:r w:rsidRPr="00E022E0">
              <w:rPr>
                <w:sz w:val="18"/>
                <w:szCs w:val="18"/>
              </w:rPr>
              <w:t>(</w:t>
            </w:r>
            <w:r w:rsidR="008074AC" w:rsidRPr="00E022E0">
              <w:rPr>
                <w:sz w:val="18"/>
                <w:szCs w:val="18"/>
              </w:rPr>
              <w:t>173</w:t>
            </w:r>
            <w:r w:rsidR="00936BA3" w:rsidRPr="00E022E0">
              <w:rPr>
                <w:sz w:val="18"/>
                <w:szCs w:val="18"/>
              </w:rPr>
              <w:t>.</w:t>
            </w:r>
            <w:r w:rsidR="008074AC" w:rsidRPr="00E022E0">
              <w:rPr>
                <w:sz w:val="18"/>
                <w:szCs w:val="18"/>
              </w:rPr>
              <w:t>570</w:t>
            </w:r>
            <w:r w:rsidR="00936BA3" w:rsidRPr="00E022E0">
              <w:rPr>
                <w:sz w:val="18"/>
                <w:szCs w:val="18"/>
              </w:rPr>
              <w:t>.</w:t>
            </w:r>
            <w:r w:rsidR="008074AC" w:rsidRPr="00E022E0">
              <w:rPr>
                <w:sz w:val="18"/>
                <w:szCs w:val="18"/>
              </w:rPr>
              <w:t>001</w:t>
            </w:r>
            <w:r w:rsidRPr="00E022E0">
              <w:rPr>
                <w:sz w:val="18"/>
                <w:szCs w:val="18"/>
              </w:rPr>
              <w:t>)</w:t>
            </w:r>
          </w:p>
        </w:tc>
        <w:tc>
          <w:tcPr>
            <w:tcW w:w="2236" w:type="dxa"/>
            <w:vAlign w:val="bottom"/>
          </w:tcPr>
          <w:p w14:paraId="52A8298A" w14:textId="77777777" w:rsidR="00AF79A9" w:rsidRPr="00EA2E1E" w:rsidRDefault="00AF79A9" w:rsidP="0013526B">
            <w:pPr>
              <w:pStyle w:val="Default"/>
              <w:ind w:right="57"/>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Impairment losses for</w:t>
            </w:r>
          </w:p>
          <w:p w14:paraId="57EE92B3" w14:textId="184E6A6D" w:rsidR="00AF79A9" w:rsidRPr="00EA2E1E" w:rsidRDefault="00AF79A9" w:rsidP="00AF79A9">
            <w:pPr>
              <w:pStyle w:val="Default"/>
              <w:ind w:right="198"/>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 xml:space="preserve"> receivables</w:t>
            </w:r>
          </w:p>
        </w:tc>
      </w:tr>
      <w:tr w:rsidR="00AF79A9" w:rsidRPr="00EA2E1E" w14:paraId="14624E9E" w14:textId="77777777" w:rsidTr="00C92587">
        <w:trPr>
          <w:trHeight w:val="20"/>
        </w:trPr>
        <w:tc>
          <w:tcPr>
            <w:tcW w:w="2245" w:type="dxa"/>
            <w:vAlign w:val="bottom"/>
          </w:tcPr>
          <w:p w14:paraId="24DB2977" w14:textId="20D43969" w:rsidR="00AF79A9" w:rsidRPr="00EA2E1E" w:rsidRDefault="00AF79A9" w:rsidP="0013526B">
            <w:pPr>
              <w:ind w:left="283" w:hanging="170"/>
              <w:rPr>
                <w:sz w:val="18"/>
                <w:szCs w:val="18"/>
              </w:rPr>
            </w:pPr>
            <w:r w:rsidRPr="00EA2E1E">
              <w:rPr>
                <w:sz w:val="18"/>
                <w:szCs w:val="18"/>
              </w:rPr>
              <w:t xml:space="preserve">Pendapatan bunga </w:t>
            </w:r>
          </w:p>
        </w:tc>
        <w:tc>
          <w:tcPr>
            <w:tcW w:w="1486" w:type="dxa"/>
            <w:vAlign w:val="bottom"/>
          </w:tcPr>
          <w:p w14:paraId="06D26D8F" w14:textId="1D8DF855" w:rsidR="00AF79A9" w:rsidRPr="00EA2E1E" w:rsidRDefault="008927B5" w:rsidP="0013526B">
            <w:pPr>
              <w:pStyle w:val="Default"/>
              <w:jc w:val="center"/>
              <w:rPr>
                <w:rFonts w:ascii="Times New Roman" w:hAnsi="Times New Roman" w:cs="Times New Roman"/>
                <w:sz w:val="18"/>
                <w:szCs w:val="18"/>
                <w:highlight w:val="red"/>
              </w:rPr>
            </w:pPr>
            <w:r w:rsidRPr="00190A3B">
              <w:rPr>
                <w:rFonts w:ascii="Times New Roman" w:hAnsi="Times New Roman" w:cs="Times New Roman"/>
                <w:sz w:val="18"/>
                <w:szCs w:val="18"/>
              </w:rPr>
              <w:t>3p</w:t>
            </w:r>
          </w:p>
        </w:tc>
        <w:tc>
          <w:tcPr>
            <w:tcW w:w="108" w:type="dxa"/>
            <w:tcMar>
              <w:left w:w="28" w:type="dxa"/>
              <w:right w:w="28" w:type="dxa"/>
            </w:tcMar>
          </w:tcPr>
          <w:p w14:paraId="51C1CAAF" w14:textId="77777777" w:rsidR="00AF79A9" w:rsidRPr="00EA2E1E" w:rsidRDefault="00AF79A9" w:rsidP="0013526B">
            <w:pPr>
              <w:jc w:val="center"/>
              <w:rPr>
                <w:b/>
                <w:bCs w:val="0"/>
                <w:sz w:val="18"/>
                <w:szCs w:val="18"/>
              </w:rPr>
            </w:pPr>
          </w:p>
        </w:tc>
        <w:tc>
          <w:tcPr>
            <w:tcW w:w="1507" w:type="dxa"/>
            <w:shd w:val="clear" w:color="auto" w:fill="auto"/>
            <w:tcMar>
              <w:left w:w="28" w:type="dxa"/>
              <w:right w:w="28" w:type="dxa"/>
            </w:tcMar>
            <w:vAlign w:val="bottom"/>
          </w:tcPr>
          <w:p w14:paraId="12897D35" w14:textId="1DA60880" w:rsidR="00AF79A9" w:rsidRPr="00F10AA0" w:rsidRDefault="00AA59C7" w:rsidP="00F5292F">
            <w:pPr>
              <w:jc w:val="right"/>
              <w:rPr>
                <w:bCs w:val="0"/>
                <w:sz w:val="18"/>
                <w:szCs w:val="18"/>
                <w:lang w:val="id-ID"/>
              </w:rPr>
            </w:pPr>
            <w:r w:rsidRPr="00F10AA0">
              <w:rPr>
                <w:bCs w:val="0"/>
                <w:sz w:val="18"/>
                <w:szCs w:val="18"/>
                <w:lang w:val="id-ID"/>
              </w:rPr>
              <w:t>2.227.529.346</w:t>
            </w:r>
          </w:p>
        </w:tc>
        <w:tc>
          <w:tcPr>
            <w:tcW w:w="108" w:type="dxa"/>
            <w:tcMar>
              <w:left w:w="28" w:type="dxa"/>
              <w:right w:w="28" w:type="dxa"/>
            </w:tcMar>
            <w:vAlign w:val="bottom"/>
          </w:tcPr>
          <w:p w14:paraId="3F9527BB" w14:textId="77777777" w:rsidR="00AF79A9" w:rsidRPr="00D204CA" w:rsidRDefault="00AF79A9" w:rsidP="0013526B">
            <w:pPr>
              <w:ind w:left="-90"/>
              <w:jc w:val="right"/>
              <w:rPr>
                <w:sz w:val="18"/>
                <w:szCs w:val="18"/>
              </w:rPr>
            </w:pPr>
          </w:p>
        </w:tc>
        <w:tc>
          <w:tcPr>
            <w:tcW w:w="1507" w:type="dxa"/>
            <w:vAlign w:val="bottom"/>
          </w:tcPr>
          <w:p w14:paraId="582203BA" w14:textId="76751827" w:rsidR="00AF79A9" w:rsidRPr="00E022E0" w:rsidRDefault="008074AC" w:rsidP="0013526B">
            <w:pPr>
              <w:ind w:right="57"/>
              <w:jc w:val="right"/>
              <w:rPr>
                <w:sz w:val="18"/>
                <w:szCs w:val="18"/>
              </w:rPr>
            </w:pPr>
            <w:r w:rsidRPr="00E022E0">
              <w:rPr>
                <w:sz w:val="18"/>
                <w:szCs w:val="18"/>
              </w:rPr>
              <w:t>2</w:t>
            </w:r>
            <w:r w:rsidR="00936BA3" w:rsidRPr="00E022E0">
              <w:rPr>
                <w:sz w:val="18"/>
                <w:szCs w:val="18"/>
              </w:rPr>
              <w:t>.</w:t>
            </w:r>
            <w:r w:rsidRPr="00E022E0">
              <w:rPr>
                <w:sz w:val="18"/>
                <w:szCs w:val="18"/>
              </w:rPr>
              <w:t>420</w:t>
            </w:r>
            <w:r w:rsidR="00936BA3" w:rsidRPr="00E022E0">
              <w:rPr>
                <w:sz w:val="18"/>
                <w:szCs w:val="18"/>
              </w:rPr>
              <w:t>.</w:t>
            </w:r>
            <w:r w:rsidRPr="00E022E0">
              <w:rPr>
                <w:sz w:val="18"/>
                <w:szCs w:val="18"/>
              </w:rPr>
              <w:t>619</w:t>
            </w:r>
            <w:r w:rsidR="00936BA3" w:rsidRPr="00E022E0">
              <w:rPr>
                <w:sz w:val="18"/>
                <w:szCs w:val="18"/>
              </w:rPr>
              <w:t>.</w:t>
            </w:r>
            <w:r w:rsidRPr="00E022E0">
              <w:rPr>
                <w:sz w:val="18"/>
                <w:szCs w:val="18"/>
              </w:rPr>
              <w:t>566</w:t>
            </w:r>
          </w:p>
        </w:tc>
        <w:tc>
          <w:tcPr>
            <w:tcW w:w="2236" w:type="dxa"/>
            <w:vAlign w:val="bottom"/>
          </w:tcPr>
          <w:p w14:paraId="2BF5EBC2" w14:textId="57974990" w:rsidR="00AF79A9" w:rsidRPr="00EA2E1E" w:rsidRDefault="00AF79A9" w:rsidP="0013526B">
            <w:pPr>
              <w:pStyle w:val="Default"/>
              <w:ind w:right="57"/>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Interest income</w:t>
            </w:r>
          </w:p>
        </w:tc>
      </w:tr>
      <w:tr w:rsidR="00AF79A9" w:rsidRPr="00EA2E1E" w14:paraId="439E9678" w14:textId="77777777" w:rsidTr="00C92587">
        <w:trPr>
          <w:trHeight w:val="20"/>
        </w:trPr>
        <w:tc>
          <w:tcPr>
            <w:tcW w:w="2245" w:type="dxa"/>
            <w:vAlign w:val="bottom"/>
          </w:tcPr>
          <w:p w14:paraId="66005133" w14:textId="125B4605" w:rsidR="00AF79A9" w:rsidRPr="00EA2E1E" w:rsidRDefault="00AF79A9" w:rsidP="0013526B">
            <w:pPr>
              <w:ind w:left="283" w:hanging="170"/>
              <w:rPr>
                <w:sz w:val="18"/>
                <w:szCs w:val="18"/>
              </w:rPr>
            </w:pPr>
            <w:r w:rsidRPr="00EA2E1E">
              <w:rPr>
                <w:sz w:val="18"/>
                <w:szCs w:val="18"/>
              </w:rPr>
              <w:t>Pendapatan sewa</w:t>
            </w:r>
          </w:p>
        </w:tc>
        <w:tc>
          <w:tcPr>
            <w:tcW w:w="1486" w:type="dxa"/>
            <w:vAlign w:val="bottom"/>
          </w:tcPr>
          <w:p w14:paraId="353803A5" w14:textId="46B5DAA9" w:rsidR="00AF79A9" w:rsidRPr="00EA2E1E" w:rsidRDefault="008927B5" w:rsidP="0013526B">
            <w:pPr>
              <w:pStyle w:val="Default"/>
              <w:jc w:val="center"/>
              <w:rPr>
                <w:rFonts w:ascii="Times New Roman" w:hAnsi="Times New Roman" w:cs="Times New Roman"/>
                <w:sz w:val="18"/>
                <w:szCs w:val="18"/>
                <w:highlight w:val="red"/>
              </w:rPr>
            </w:pPr>
            <w:r w:rsidRPr="00190A3B">
              <w:rPr>
                <w:rFonts w:ascii="Times New Roman" w:hAnsi="Times New Roman" w:cs="Times New Roman"/>
                <w:sz w:val="18"/>
                <w:szCs w:val="18"/>
              </w:rPr>
              <w:t>3p</w:t>
            </w:r>
          </w:p>
        </w:tc>
        <w:tc>
          <w:tcPr>
            <w:tcW w:w="108" w:type="dxa"/>
            <w:tcMar>
              <w:left w:w="28" w:type="dxa"/>
              <w:right w:w="28" w:type="dxa"/>
            </w:tcMar>
          </w:tcPr>
          <w:p w14:paraId="40F09CEB" w14:textId="77777777" w:rsidR="00AF79A9" w:rsidRPr="00EA2E1E" w:rsidRDefault="00AF79A9" w:rsidP="0013526B">
            <w:pPr>
              <w:jc w:val="center"/>
              <w:rPr>
                <w:b/>
                <w:bCs w:val="0"/>
                <w:sz w:val="18"/>
                <w:szCs w:val="18"/>
              </w:rPr>
            </w:pPr>
          </w:p>
        </w:tc>
        <w:tc>
          <w:tcPr>
            <w:tcW w:w="1507" w:type="dxa"/>
            <w:shd w:val="clear" w:color="auto" w:fill="auto"/>
            <w:tcMar>
              <w:left w:w="28" w:type="dxa"/>
              <w:right w:w="28" w:type="dxa"/>
            </w:tcMar>
            <w:vAlign w:val="bottom"/>
          </w:tcPr>
          <w:p w14:paraId="69C0C440" w14:textId="23C5723E" w:rsidR="00AF79A9" w:rsidRPr="00F10AA0" w:rsidRDefault="00AA59C7" w:rsidP="00F5292F">
            <w:pPr>
              <w:jc w:val="right"/>
              <w:rPr>
                <w:bCs w:val="0"/>
                <w:sz w:val="18"/>
                <w:szCs w:val="18"/>
                <w:lang w:val="id-ID"/>
              </w:rPr>
            </w:pPr>
            <w:r w:rsidRPr="00F10AA0">
              <w:rPr>
                <w:bCs w:val="0"/>
                <w:sz w:val="18"/>
                <w:szCs w:val="18"/>
                <w:lang w:val="id-ID"/>
              </w:rPr>
              <w:t>787.790.978</w:t>
            </w:r>
          </w:p>
        </w:tc>
        <w:tc>
          <w:tcPr>
            <w:tcW w:w="108" w:type="dxa"/>
            <w:tcMar>
              <w:left w:w="28" w:type="dxa"/>
              <w:right w:w="28" w:type="dxa"/>
            </w:tcMar>
            <w:vAlign w:val="bottom"/>
          </w:tcPr>
          <w:p w14:paraId="2335C622" w14:textId="77777777" w:rsidR="00AF79A9" w:rsidRPr="00D204CA" w:rsidRDefault="00AF79A9" w:rsidP="0013526B">
            <w:pPr>
              <w:ind w:left="-90"/>
              <w:jc w:val="right"/>
              <w:rPr>
                <w:sz w:val="18"/>
                <w:szCs w:val="18"/>
              </w:rPr>
            </w:pPr>
          </w:p>
        </w:tc>
        <w:tc>
          <w:tcPr>
            <w:tcW w:w="1507" w:type="dxa"/>
            <w:vAlign w:val="bottom"/>
          </w:tcPr>
          <w:p w14:paraId="60FEDBFE" w14:textId="5DCC90BE" w:rsidR="00AF79A9" w:rsidRPr="00E022E0" w:rsidRDefault="00936BA3" w:rsidP="0013526B">
            <w:pPr>
              <w:ind w:right="57"/>
              <w:jc w:val="right"/>
              <w:rPr>
                <w:sz w:val="18"/>
                <w:szCs w:val="18"/>
              </w:rPr>
            </w:pPr>
            <w:r w:rsidRPr="00E022E0">
              <w:rPr>
                <w:bCs w:val="0"/>
                <w:sz w:val="18"/>
                <w:szCs w:val="18"/>
              </w:rPr>
              <w:t>1.558.875.</w:t>
            </w:r>
            <w:r w:rsidR="008074AC" w:rsidRPr="00E022E0">
              <w:rPr>
                <w:bCs w:val="0"/>
                <w:sz w:val="18"/>
                <w:szCs w:val="18"/>
              </w:rPr>
              <w:t>408</w:t>
            </w:r>
          </w:p>
        </w:tc>
        <w:tc>
          <w:tcPr>
            <w:tcW w:w="2236" w:type="dxa"/>
            <w:vAlign w:val="bottom"/>
          </w:tcPr>
          <w:p w14:paraId="2C4A90B7" w14:textId="56E0F4DE" w:rsidR="00AF79A9" w:rsidRPr="00EA2E1E" w:rsidRDefault="00AF79A9" w:rsidP="0013526B">
            <w:pPr>
              <w:pStyle w:val="Default"/>
              <w:ind w:right="57"/>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Rent income</w:t>
            </w:r>
          </w:p>
        </w:tc>
      </w:tr>
      <w:tr w:rsidR="00B04A37" w:rsidRPr="00EA2E1E" w14:paraId="1C14F34F" w14:textId="77777777" w:rsidTr="00C92587">
        <w:trPr>
          <w:trHeight w:val="20"/>
        </w:trPr>
        <w:tc>
          <w:tcPr>
            <w:tcW w:w="2245" w:type="dxa"/>
            <w:vAlign w:val="bottom"/>
          </w:tcPr>
          <w:p w14:paraId="468B0B9C" w14:textId="4B98EA8D" w:rsidR="00B04A37" w:rsidRPr="00EA2E1E" w:rsidRDefault="00AF79A9" w:rsidP="0013526B">
            <w:pPr>
              <w:ind w:left="283" w:hanging="170"/>
              <w:rPr>
                <w:sz w:val="18"/>
                <w:szCs w:val="18"/>
              </w:rPr>
            </w:pPr>
            <w:r w:rsidRPr="00EA2E1E">
              <w:rPr>
                <w:sz w:val="18"/>
                <w:szCs w:val="18"/>
              </w:rPr>
              <w:t>Lain-lain - bersih</w:t>
            </w:r>
          </w:p>
        </w:tc>
        <w:tc>
          <w:tcPr>
            <w:tcW w:w="1486" w:type="dxa"/>
            <w:vAlign w:val="bottom"/>
          </w:tcPr>
          <w:p w14:paraId="5F4947AC" w14:textId="1AE26090" w:rsidR="00B04A37" w:rsidRPr="00EA2E1E" w:rsidRDefault="00B04A37" w:rsidP="0013526B">
            <w:pPr>
              <w:pStyle w:val="Default"/>
              <w:jc w:val="center"/>
              <w:rPr>
                <w:rFonts w:ascii="Times New Roman" w:hAnsi="Times New Roman" w:cs="Times New Roman"/>
                <w:sz w:val="18"/>
                <w:szCs w:val="18"/>
                <w:highlight w:val="red"/>
                <w:lang w:val="id-ID"/>
              </w:rPr>
            </w:pPr>
            <w:r w:rsidRPr="00190A3B">
              <w:rPr>
                <w:rFonts w:ascii="Times New Roman" w:hAnsi="Times New Roman" w:cs="Times New Roman"/>
                <w:sz w:val="18"/>
                <w:szCs w:val="18"/>
              </w:rPr>
              <w:t>3p</w:t>
            </w:r>
          </w:p>
        </w:tc>
        <w:tc>
          <w:tcPr>
            <w:tcW w:w="108" w:type="dxa"/>
            <w:tcMar>
              <w:left w:w="28" w:type="dxa"/>
              <w:right w:w="28" w:type="dxa"/>
            </w:tcMar>
          </w:tcPr>
          <w:p w14:paraId="194F6FD2" w14:textId="77777777" w:rsidR="00B04A37" w:rsidRPr="00EA2E1E" w:rsidRDefault="00B04A37" w:rsidP="0013526B">
            <w:pPr>
              <w:jc w:val="center"/>
              <w:rPr>
                <w:b/>
                <w:bCs w:val="0"/>
                <w:sz w:val="18"/>
                <w:szCs w:val="18"/>
              </w:rPr>
            </w:pPr>
          </w:p>
        </w:tc>
        <w:tc>
          <w:tcPr>
            <w:tcW w:w="1507" w:type="dxa"/>
            <w:tcBorders>
              <w:bottom w:val="single" w:sz="4" w:space="0" w:color="auto"/>
            </w:tcBorders>
            <w:shd w:val="clear" w:color="auto" w:fill="auto"/>
            <w:tcMar>
              <w:left w:w="28" w:type="dxa"/>
              <w:right w:w="28" w:type="dxa"/>
            </w:tcMar>
            <w:vAlign w:val="bottom"/>
          </w:tcPr>
          <w:p w14:paraId="17819911" w14:textId="4B71F532" w:rsidR="00B04A37" w:rsidRPr="003D5688" w:rsidRDefault="002B6559" w:rsidP="0041444A">
            <w:pPr>
              <w:jc w:val="right"/>
              <w:rPr>
                <w:bCs w:val="0"/>
                <w:sz w:val="18"/>
                <w:szCs w:val="18"/>
              </w:rPr>
            </w:pPr>
            <w:r w:rsidRPr="003D5688">
              <w:rPr>
                <w:sz w:val="18"/>
                <w:szCs w:val="18"/>
              </w:rPr>
              <w:t xml:space="preserve">            513.023.672</w:t>
            </w:r>
          </w:p>
        </w:tc>
        <w:tc>
          <w:tcPr>
            <w:tcW w:w="108" w:type="dxa"/>
            <w:tcMar>
              <w:left w:w="28" w:type="dxa"/>
              <w:right w:w="28" w:type="dxa"/>
            </w:tcMar>
            <w:vAlign w:val="bottom"/>
          </w:tcPr>
          <w:p w14:paraId="61D9E97B" w14:textId="77777777" w:rsidR="00B04A37" w:rsidRPr="00D204CA" w:rsidRDefault="00B04A37" w:rsidP="0013526B">
            <w:pPr>
              <w:ind w:left="-90"/>
              <w:jc w:val="right"/>
              <w:rPr>
                <w:sz w:val="18"/>
                <w:szCs w:val="18"/>
              </w:rPr>
            </w:pPr>
          </w:p>
        </w:tc>
        <w:tc>
          <w:tcPr>
            <w:tcW w:w="1507" w:type="dxa"/>
            <w:tcBorders>
              <w:bottom w:val="single" w:sz="4" w:space="0" w:color="auto"/>
            </w:tcBorders>
            <w:vAlign w:val="bottom"/>
          </w:tcPr>
          <w:p w14:paraId="7FDEF862" w14:textId="22EB0D7C" w:rsidR="00B04A37" w:rsidRPr="00E022E0" w:rsidRDefault="000D207C" w:rsidP="008074AC">
            <w:pPr>
              <w:ind w:right="57"/>
              <w:jc w:val="right"/>
              <w:rPr>
                <w:sz w:val="18"/>
                <w:szCs w:val="18"/>
              </w:rPr>
            </w:pPr>
            <w:r w:rsidRPr="00E022E0">
              <w:rPr>
                <w:sz w:val="18"/>
                <w:szCs w:val="18"/>
              </w:rPr>
              <w:t>268.004.671</w:t>
            </w:r>
          </w:p>
        </w:tc>
        <w:tc>
          <w:tcPr>
            <w:tcW w:w="2236" w:type="dxa"/>
            <w:vAlign w:val="bottom"/>
          </w:tcPr>
          <w:p w14:paraId="27EBCC9A" w14:textId="663F4A34" w:rsidR="00B04A37" w:rsidRPr="00EA2E1E" w:rsidRDefault="00B04A37" w:rsidP="00AF79A9">
            <w:pPr>
              <w:pStyle w:val="Default"/>
              <w:ind w:right="57"/>
              <w:jc w:val="right"/>
              <w:rPr>
                <w:rFonts w:ascii="Times New Roman" w:eastAsia="Times New Roman" w:hAnsi="Times New Roman" w:cs="Times New Roman"/>
                <w:bCs/>
                <w:i/>
                <w:color w:val="auto"/>
                <w:sz w:val="18"/>
                <w:szCs w:val="18"/>
              </w:rPr>
            </w:pPr>
            <w:r w:rsidRPr="00EA2E1E">
              <w:rPr>
                <w:rFonts w:ascii="Times New Roman" w:eastAsia="Times New Roman" w:hAnsi="Times New Roman" w:cs="Times New Roman"/>
                <w:bCs/>
                <w:i/>
                <w:color w:val="auto"/>
                <w:sz w:val="18"/>
                <w:szCs w:val="18"/>
              </w:rPr>
              <w:t xml:space="preserve"> Other </w:t>
            </w:r>
            <w:r w:rsidR="00AF79A9" w:rsidRPr="00EA2E1E">
              <w:rPr>
                <w:rFonts w:ascii="Times New Roman" w:eastAsia="Times New Roman" w:hAnsi="Times New Roman" w:cs="Times New Roman"/>
                <w:bCs/>
                <w:i/>
                <w:color w:val="auto"/>
                <w:sz w:val="18"/>
                <w:szCs w:val="18"/>
              </w:rPr>
              <w:t>- net</w:t>
            </w:r>
          </w:p>
        </w:tc>
      </w:tr>
      <w:tr w:rsidR="00B04A37" w:rsidRPr="00EA2E1E" w14:paraId="50F17B64" w14:textId="77777777" w:rsidTr="00C92587">
        <w:trPr>
          <w:trHeight w:val="82"/>
        </w:trPr>
        <w:tc>
          <w:tcPr>
            <w:tcW w:w="2245" w:type="dxa"/>
            <w:vAlign w:val="bottom"/>
          </w:tcPr>
          <w:p w14:paraId="6AC6DC7D" w14:textId="77777777" w:rsidR="00B04A37" w:rsidRPr="00EA2E1E" w:rsidRDefault="00B04A37" w:rsidP="0013526B">
            <w:pPr>
              <w:ind w:left="283" w:hanging="170"/>
              <w:rPr>
                <w:bCs w:val="0"/>
                <w:sz w:val="18"/>
                <w:szCs w:val="18"/>
              </w:rPr>
            </w:pPr>
          </w:p>
        </w:tc>
        <w:tc>
          <w:tcPr>
            <w:tcW w:w="1486" w:type="dxa"/>
            <w:vAlign w:val="bottom"/>
          </w:tcPr>
          <w:p w14:paraId="6A05897D" w14:textId="77777777" w:rsidR="00B04A37" w:rsidRPr="00EA2E1E" w:rsidRDefault="00B04A37" w:rsidP="0013526B">
            <w:pPr>
              <w:jc w:val="center"/>
              <w:rPr>
                <w:bCs w:val="0"/>
                <w:sz w:val="18"/>
                <w:szCs w:val="18"/>
                <w:highlight w:val="red"/>
              </w:rPr>
            </w:pPr>
          </w:p>
        </w:tc>
        <w:tc>
          <w:tcPr>
            <w:tcW w:w="108" w:type="dxa"/>
            <w:tcMar>
              <w:left w:w="28" w:type="dxa"/>
              <w:right w:w="28" w:type="dxa"/>
            </w:tcMar>
          </w:tcPr>
          <w:p w14:paraId="717877C5" w14:textId="77777777" w:rsidR="00B04A37" w:rsidRPr="00EA2E1E" w:rsidRDefault="00B04A37" w:rsidP="0013526B">
            <w:pPr>
              <w:jc w:val="center"/>
              <w:rPr>
                <w:b/>
                <w:bCs w:val="0"/>
                <w:sz w:val="18"/>
                <w:szCs w:val="18"/>
              </w:rPr>
            </w:pPr>
          </w:p>
        </w:tc>
        <w:tc>
          <w:tcPr>
            <w:tcW w:w="1507" w:type="dxa"/>
            <w:tcBorders>
              <w:top w:val="single" w:sz="4" w:space="0" w:color="auto"/>
            </w:tcBorders>
            <w:shd w:val="clear" w:color="auto" w:fill="auto"/>
            <w:tcMar>
              <w:left w:w="28" w:type="dxa"/>
              <w:right w:w="28" w:type="dxa"/>
            </w:tcMar>
            <w:vAlign w:val="bottom"/>
          </w:tcPr>
          <w:p w14:paraId="3597A7F8" w14:textId="77777777" w:rsidR="00B04A37" w:rsidRPr="003D5688" w:rsidRDefault="00B04A37" w:rsidP="00F5292F">
            <w:pPr>
              <w:jc w:val="right"/>
              <w:rPr>
                <w:bCs w:val="0"/>
                <w:sz w:val="18"/>
                <w:szCs w:val="18"/>
                <w:lang w:val="id-ID"/>
              </w:rPr>
            </w:pPr>
          </w:p>
        </w:tc>
        <w:tc>
          <w:tcPr>
            <w:tcW w:w="108" w:type="dxa"/>
            <w:tcMar>
              <w:left w:w="28" w:type="dxa"/>
              <w:right w:w="28" w:type="dxa"/>
            </w:tcMar>
            <w:vAlign w:val="bottom"/>
          </w:tcPr>
          <w:p w14:paraId="1613A20C" w14:textId="77777777" w:rsidR="00B04A37" w:rsidRPr="00D204CA" w:rsidRDefault="00B04A37" w:rsidP="0013526B">
            <w:pPr>
              <w:ind w:left="-90"/>
              <w:jc w:val="right"/>
              <w:rPr>
                <w:b/>
                <w:bCs w:val="0"/>
                <w:sz w:val="18"/>
                <w:szCs w:val="18"/>
              </w:rPr>
            </w:pPr>
          </w:p>
        </w:tc>
        <w:tc>
          <w:tcPr>
            <w:tcW w:w="1507" w:type="dxa"/>
            <w:tcBorders>
              <w:top w:val="single" w:sz="4" w:space="0" w:color="auto"/>
            </w:tcBorders>
            <w:vAlign w:val="bottom"/>
          </w:tcPr>
          <w:p w14:paraId="0A3C6EBE" w14:textId="77777777" w:rsidR="00B04A37" w:rsidRPr="00E022E0" w:rsidRDefault="00B04A37" w:rsidP="0013526B">
            <w:pPr>
              <w:tabs>
                <w:tab w:val="left" w:pos="1392"/>
              </w:tabs>
              <w:ind w:right="57"/>
              <w:jc w:val="right"/>
              <w:rPr>
                <w:bCs w:val="0"/>
                <w:sz w:val="18"/>
                <w:szCs w:val="18"/>
              </w:rPr>
            </w:pPr>
          </w:p>
        </w:tc>
        <w:tc>
          <w:tcPr>
            <w:tcW w:w="2236" w:type="dxa"/>
            <w:vAlign w:val="bottom"/>
          </w:tcPr>
          <w:p w14:paraId="4B713455" w14:textId="77777777" w:rsidR="00B04A37" w:rsidRPr="00EA2E1E" w:rsidRDefault="00B04A37" w:rsidP="0013526B">
            <w:pPr>
              <w:ind w:right="57"/>
              <w:jc w:val="right"/>
              <w:rPr>
                <w:bCs w:val="0"/>
                <w:i/>
                <w:sz w:val="18"/>
                <w:szCs w:val="18"/>
              </w:rPr>
            </w:pPr>
          </w:p>
        </w:tc>
      </w:tr>
      <w:tr w:rsidR="00B04A37" w:rsidRPr="00EA2E1E" w14:paraId="62B04666" w14:textId="77777777" w:rsidTr="00C92587">
        <w:trPr>
          <w:trHeight w:val="20"/>
        </w:trPr>
        <w:tc>
          <w:tcPr>
            <w:tcW w:w="2245" w:type="dxa"/>
            <w:vAlign w:val="bottom"/>
          </w:tcPr>
          <w:p w14:paraId="5B17955A" w14:textId="407C0B23" w:rsidR="00B04A37" w:rsidRPr="00EA2E1E" w:rsidRDefault="008074AC" w:rsidP="008074AC">
            <w:pPr>
              <w:ind w:left="113"/>
              <w:rPr>
                <w:b/>
                <w:bCs w:val="0"/>
                <w:sz w:val="18"/>
                <w:szCs w:val="18"/>
              </w:rPr>
            </w:pPr>
            <w:r>
              <w:rPr>
                <w:b/>
                <w:sz w:val="18"/>
                <w:szCs w:val="18"/>
              </w:rPr>
              <w:t>LABA (RUGI)</w:t>
            </w:r>
            <w:r w:rsidR="00AF79A9" w:rsidRPr="00EA2E1E">
              <w:rPr>
                <w:b/>
                <w:sz w:val="18"/>
                <w:szCs w:val="18"/>
              </w:rPr>
              <w:t xml:space="preserve"> SEBELUM PAJAK PENGHASILAN</w:t>
            </w:r>
          </w:p>
        </w:tc>
        <w:tc>
          <w:tcPr>
            <w:tcW w:w="1486" w:type="dxa"/>
            <w:vAlign w:val="bottom"/>
          </w:tcPr>
          <w:p w14:paraId="32C9785C" w14:textId="77777777" w:rsidR="00B04A37" w:rsidRPr="00EA2E1E" w:rsidRDefault="00B04A37" w:rsidP="0013526B">
            <w:pPr>
              <w:jc w:val="center"/>
              <w:rPr>
                <w:b/>
                <w:bCs w:val="0"/>
                <w:sz w:val="18"/>
                <w:szCs w:val="18"/>
                <w:highlight w:val="red"/>
              </w:rPr>
            </w:pPr>
          </w:p>
        </w:tc>
        <w:tc>
          <w:tcPr>
            <w:tcW w:w="108" w:type="dxa"/>
            <w:tcMar>
              <w:left w:w="28" w:type="dxa"/>
              <w:right w:w="28" w:type="dxa"/>
            </w:tcMar>
          </w:tcPr>
          <w:p w14:paraId="761B3304" w14:textId="77777777" w:rsidR="00B04A37" w:rsidRPr="00EA2E1E" w:rsidRDefault="00B04A37" w:rsidP="0013526B">
            <w:pPr>
              <w:jc w:val="center"/>
              <w:rPr>
                <w:b/>
                <w:bCs w:val="0"/>
                <w:sz w:val="18"/>
                <w:szCs w:val="18"/>
              </w:rPr>
            </w:pPr>
          </w:p>
        </w:tc>
        <w:tc>
          <w:tcPr>
            <w:tcW w:w="1507" w:type="dxa"/>
            <w:tcBorders>
              <w:bottom w:val="single" w:sz="4" w:space="0" w:color="auto"/>
            </w:tcBorders>
            <w:shd w:val="clear" w:color="auto" w:fill="auto"/>
            <w:tcMar>
              <w:left w:w="28" w:type="dxa"/>
              <w:right w:w="28" w:type="dxa"/>
            </w:tcMar>
            <w:vAlign w:val="bottom"/>
          </w:tcPr>
          <w:p w14:paraId="0C81193E" w14:textId="2C67C7A9" w:rsidR="00B04A37" w:rsidRPr="00D85DCB" w:rsidRDefault="002B6559" w:rsidP="001721C2">
            <w:pPr>
              <w:jc w:val="right"/>
              <w:rPr>
                <w:b/>
                <w:bCs w:val="0"/>
                <w:sz w:val="18"/>
                <w:szCs w:val="18"/>
                <w:lang w:val="id-ID"/>
              </w:rPr>
            </w:pPr>
            <w:r w:rsidRPr="00D85DCB">
              <w:rPr>
                <w:b/>
                <w:bCs w:val="0"/>
                <w:sz w:val="18"/>
                <w:szCs w:val="18"/>
              </w:rPr>
              <w:t>(</w:t>
            </w:r>
            <w:r w:rsidR="001721C2" w:rsidRPr="00D85DCB">
              <w:rPr>
                <w:b/>
                <w:bCs w:val="0"/>
                <w:sz w:val="18"/>
                <w:szCs w:val="18"/>
              </w:rPr>
              <w:t>8.028.087.847</w:t>
            </w:r>
            <w:r w:rsidRPr="00D85DCB">
              <w:rPr>
                <w:b/>
                <w:bCs w:val="0"/>
                <w:sz w:val="18"/>
                <w:szCs w:val="18"/>
              </w:rPr>
              <w:t>)</w:t>
            </w:r>
          </w:p>
        </w:tc>
        <w:tc>
          <w:tcPr>
            <w:tcW w:w="108" w:type="dxa"/>
            <w:tcMar>
              <w:left w:w="28" w:type="dxa"/>
              <w:right w:w="28" w:type="dxa"/>
            </w:tcMar>
            <w:vAlign w:val="bottom"/>
          </w:tcPr>
          <w:p w14:paraId="4FB20B81" w14:textId="77777777" w:rsidR="00B04A37" w:rsidRPr="00D85DCB" w:rsidRDefault="00B04A37" w:rsidP="0013526B">
            <w:pPr>
              <w:ind w:left="-90"/>
              <w:jc w:val="right"/>
              <w:rPr>
                <w:b/>
                <w:bCs w:val="0"/>
                <w:sz w:val="18"/>
                <w:szCs w:val="18"/>
              </w:rPr>
            </w:pPr>
          </w:p>
        </w:tc>
        <w:tc>
          <w:tcPr>
            <w:tcW w:w="1507" w:type="dxa"/>
            <w:tcBorders>
              <w:bottom w:val="single" w:sz="4" w:space="0" w:color="auto"/>
            </w:tcBorders>
            <w:vAlign w:val="bottom"/>
          </w:tcPr>
          <w:p w14:paraId="7C70459A" w14:textId="6F9BD36B" w:rsidR="00B04A37" w:rsidRPr="00E022E0" w:rsidRDefault="00936BA3" w:rsidP="00CD5953">
            <w:pPr>
              <w:ind w:right="57"/>
              <w:jc w:val="right"/>
              <w:rPr>
                <w:b/>
                <w:bCs w:val="0"/>
                <w:sz w:val="18"/>
                <w:szCs w:val="18"/>
              </w:rPr>
            </w:pPr>
            <w:r w:rsidRPr="00E022E0">
              <w:rPr>
                <w:b/>
                <w:sz w:val="18"/>
                <w:szCs w:val="18"/>
              </w:rPr>
              <w:t>6</w:t>
            </w:r>
            <w:r w:rsidR="00870FD0">
              <w:rPr>
                <w:b/>
                <w:sz w:val="18"/>
                <w:szCs w:val="18"/>
              </w:rPr>
              <w:t>.</w:t>
            </w:r>
            <w:r w:rsidRPr="00E022E0">
              <w:rPr>
                <w:b/>
                <w:sz w:val="18"/>
                <w:szCs w:val="18"/>
              </w:rPr>
              <w:t>604</w:t>
            </w:r>
            <w:r w:rsidR="00870FD0">
              <w:rPr>
                <w:b/>
                <w:sz w:val="18"/>
                <w:szCs w:val="18"/>
              </w:rPr>
              <w:t>.</w:t>
            </w:r>
            <w:r w:rsidRPr="00E022E0">
              <w:rPr>
                <w:b/>
                <w:sz w:val="18"/>
                <w:szCs w:val="18"/>
              </w:rPr>
              <w:t>895</w:t>
            </w:r>
            <w:r w:rsidR="00870FD0">
              <w:rPr>
                <w:b/>
                <w:sz w:val="18"/>
                <w:szCs w:val="18"/>
              </w:rPr>
              <w:t>.</w:t>
            </w:r>
            <w:r w:rsidRPr="00E022E0">
              <w:rPr>
                <w:b/>
                <w:sz w:val="18"/>
                <w:szCs w:val="18"/>
              </w:rPr>
              <w:t>280</w:t>
            </w:r>
          </w:p>
        </w:tc>
        <w:tc>
          <w:tcPr>
            <w:tcW w:w="2236" w:type="dxa"/>
            <w:vAlign w:val="bottom"/>
          </w:tcPr>
          <w:p w14:paraId="7A2B1ACE" w14:textId="430D2BAB" w:rsidR="00B04A37" w:rsidRPr="00EA2E1E" w:rsidRDefault="008074AC" w:rsidP="008074AC">
            <w:pPr>
              <w:ind w:right="57"/>
              <w:jc w:val="right"/>
              <w:rPr>
                <w:b/>
                <w:bCs w:val="0"/>
                <w:i/>
                <w:sz w:val="18"/>
                <w:szCs w:val="18"/>
              </w:rPr>
            </w:pPr>
            <w:r>
              <w:rPr>
                <w:b/>
                <w:i/>
                <w:sz w:val="18"/>
                <w:szCs w:val="18"/>
              </w:rPr>
              <w:t>INCOME (LOSS) BEFORE TAX</w:t>
            </w:r>
          </w:p>
        </w:tc>
      </w:tr>
      <w:tr w:rsidR="00B04A37" w:rsidRPr="00EA2E1E" w14:paraId="73F138B6" w14:textId="77777777" w:rsidTr="00C92587">
        <w:trPr>
          <w:trHeight w:val="20"/>
        </w:trPr>
        <w:tc>
          <w:tcPr>
            <w:tcW w:w="2245" w:type="dxa"/>
            <w:vAlign w:val="bottom"/>
          </w:tcPr>
          <w:p w14:paraId="1F8990BF" w14:textId="77777777" w:rsidR="00B04A37" w:rsidRPr="00EA2E1E" w:rsidRDefault="00B04A37" w:rsidP="0013526B">
            <w:pPr>
              <w:ind w:left="283" w:hanging="170"/>
              <w:rPr>
                <w:bCs w:val="0"/>
                <w:sz w:val="18"/>
                <w:szCs w:val="18"/>
              </w:rPr>
            </w:pPr>
          </w:p>
        </w:tc>
        <w:tc>
          <w:tcPr>
            <w:tcW w:w="1486" w:type="dxa"/>
            <w:vAlign w:val="bottom"/>
          </w:tcPr>
          <w:p w14:paraId="7B82B31E" w14:textId="77777777" w:rsidR="00B04A37" w:rsidRPr="00EA2E1E" w:rsidRDefault="00B04A37" w:rsidP="0013526B">
            <w:pPr>
              <w:jc w:val="center"/>
              <w:rPr>
                <w:bCs w:val="0"/>
                <w:sz w:val="18"/>
                <w:szCs w:val="18"/>
                <w:highlight w:val="red"/>
              </w:rPr>
            </w:pPr>
          </w:p>
        </w:tc>
        <w:tc>
          <w:tcPr>
            <w:tcW w:w="108" w:type="dxa"/>
            <w:tcMar>
              <w:left w:w="28" w:type="dxa"/>
              <w:right w:w="28" w:type="dxa"/>
            </w:tcMar>
          </w:tcPr>
          <w:p w14:paraId="601E8DE4" w14:textId="77777777" w:rsidR="00B04A37" w:rsidRPr="00EA2E1E" w:rsidRDefault="00B04A37" w:rsidP="0013526B">
            <w:pPr>
              <w:jc w:val="center"/>
              <w:rPr>
                <w:b/>
                <w:bCs w:val="0"/>
                <w:sz w:val="18"/>
                <w:szCs w:val="18"/>
              </w:rPr>
            </w:pPr>
          </w:p>
        </w:tc>
        <w:tc>
          <w:tcPr>
            <w:tcW w:w="1507" w:type="dxa"/>
            <w:tcBorders>
              <w:top w:val="single" w:sz="4" w:space="0" w:color="auto"/>
            </w:tcBorders>
            <w:shd w:val="clear" w:color="auto" w:fill="auto"/>
            <w:tcMar>
              <w:left w:w="28" w:type="dxa"/>
              <w:right w:w="28" w:type="dxa"/>
            </w:tcMar>
            <w:vAlign w:val="bottom"/>
          </w:tcPr>
          <w:p w14:paraId="0F3657BF" w14:textId="77777777" w:rsidR="00B04A37" w:rsidRPr="00D85DCB" w:rsidRDefault="00B04A37" w:rsidP="00F5292F">
            <w:pPr>
              <w:jc w:val="right"/>
              <w:rPr>
                <w:bCs w:val="0"/>
                <w:sz w:val="18"/>
                <w:szCs w:val="18"/>
                <w:lang w:val="id-ID"/>
              </w:rPr>
            </w:pPr>
          </w:p>
        </w:tc>
        <w:tc>
          <w:tcPr>
            <w:tcW w:w="108" w:type="dxa"/>
            <w:tcMar>
              <w:left w:w="28" w:type="dxa"/>
              <w:right w:w="28" w:type="dxa"/>
            </w:tcMar>
            <w:vAlign w:val="bottom"/>
          </w:tcPr>
          <w:p w14:paraId="32D0EDCA" w14:textId="77777777" w:rsidR="00B04A37" w:rsidRPr="00D85DCB" w:rsidRDefault="00B04A37" w:rsidP="0013526B">
            <w:pPr>
              <w:ind w:left="-90"/>
              <w:jc w:val="right"/>
              <w:rPr>
                <w:b/>
                <w:bCs w:val="0"/>
                <w:sz w:val="18"/>
                <w:szCs w:val="18"/>
              </w:rPr>
            </w:pPr>
          </w:p>
        </w:tc>
        <w:tc>
          <w:tcPr>
            <w:tcW w:w="1507" w:type="dxa"/>
            <w:tcBorders>
              <w:top w:val="single" w:sz="4" w:space="0" w:color="auto"/>
            </w:tcBorders>
            <w:vAlign w:val="bottom"/>
          </w:tcPr>
          <w:p w14:paraId="143F2917" w14:textId="77777777" w:rsidR="00B04A37" w:rsidRPr="00E022E0" w:rsidRDefault="00B04A37" w:rsidP="0013526B">
            <w:pPr>
              <w:tabs>
                <w:tab w:val="left" w:pos="1392"/>
              </w:tabs>
              <w:ind w:right="57"/>
              <w:jc w:val="right"/>
              <w:rPr>
                <w:bCs w:val="0"/>
                <w:sz w:val="18"/>
                <w:szCs w:val="18"/>
              </w:rPr>
            </w:pPr>
          </w:p>
        </w:tc>
        <w:tc>
          <w:tcPr>
            <w:tcW w:w="2236" w:type="dxa"/>
            <w:vAlign w:val="bottom"/>
          </w:tcPr>
          <w:p w14:paraId="56180E80" w14:textId="77777777" w:rsidR="00B04A37" w:rsidRPr="00EA2E1E" w:rsidRDefault="00B04A37" w:rsidP="0013526B">
            <w:pPr>
              <w:ind w:right="57"/>
              <w:jc w:val="right"/>
              <w:rPr>
                <w:bCs w:val="0"/>
                <w:i/>
                <w:sz w:val="18"/>
                <w:szCs w:val="18"/>
              </w:rPr>
            </w:pPr>
          </w:p>
        </w:tc>
      </w:tr>
      <w:tr w:rsidR="00B04A37" w:rsidRPr="00EA2E1E" w14:paraId="556CBA48" w14:textId="77777777" w:rsidTr="00C92587">
        <w:trPr>
          <w:trHeight w:val="20"/>
        </w:trPr>
        <w:tc>
          <w:tcPr>
            <w:tcW w:w="2245" w:type="dxa"/>
            <w:vAlign w:val="bottom"/>
          </w:tcPr>
          <w:p w14:paraId="081993C2" w14:textId="3E930EB3" w:rsidR="00B04A37" w:rsidRPr="00EA2E1E" w:rsidRDefault="002F5015" w:rsidP="002F5015">
            <w:pPr>
              <w:ind w:left="283" w:hanging="170"/>
              <w:rPr>
                <w:bCs w:val="0"/>
                <w:sz w:val="18"/>
                <w:szCs w:val="18"/>
              </w:rPr>
            </w:pPr>
            <w:r w:rsidRPr="00EA2E1E">
              <w:rPr>
                <w:b/>
                <w:sz w:val="18"/>
                <w:szCs w:val="18"/>
              </w:rPr>
              <w:t>MANFAAT (BEBAN) PAJAK PENGHASILAN</w:t>
            </w:r>
          </w:p>
        </w:tc>
        <w:tc>
          <w:tcPr>
            <w:tcW w:w="1486" w:type="dxa"/>
            <w:vAlign w:val="bottom"/>
          </w:tcPr>
          <w:p w14:paraId="584633D8" w14:textId="61C7E687" w:rsidR="00B04A37" w:rsidRPr="00EA2E1E" w:rsidRDefault="00B04A37" w:rsidP="0013526B">
            <w:pPr>
              <w:jc w:val="center"/>
              <w:rPr>
                <w:bCs w:val="0"/>
                <w:sz w:val="18"/>
                <w:szCs w:val="18"/>
                <w:highlight w:val="red"/>
                <w:lang w:val="id-ID"/>
              </w:rPr>
            </w:pPr>
          </w:p>
        </w:tc>
        <w:tc>
          <w:tcPr>
            <w:tcW w:w="108" w:type="dxa"/>
            <w:tcMar>
              <w:left w:w="28" w:type="dxa"/>
              <w:right w:w="28" w:type="dxa"/>
            </w:tcMar>
          </w:tcPr>
          <w:p w14:paraId="183FD26B" w14:textId="77777777" w:rsidR="00B04A37" w:rsidRPr="00EA2E1E" w:rsidRDefault="00B04A37" w:rsidP="0013526B">
            <w:pPr>
              <w:jc w:val="center"/>
              <w:rPr>
                <w:b/>
                <w:bCs w:val="0"/>
                <w:sz w:val="18"/>
                <w:szCs w:val="18"/>
              </w:rPr>
            </w:pPr>
          </w:p>
        </w:tc>
        <w:tc>
          <w:tcPr>
            <w:tcW w:w="1507" w:type="dxa"/>
            <w:shd w:val="clear" w:color="auto" w:fill="auto"/>
            <w:tcMar>
              <w:left w:w="28" w:type="dxa"/>
              <w:right w:w="28" w:type="dxa"/>
            </w:tcMar>
            <w:vAlign w:val="bottom"/>
          </w:tcPr>
          <w:p w14:paraId="63780A64" w14:textId="16EE5004" w:rsidR="00B04A37" w:rsidRPr="003D5688" w:rsidRDefault="00B04A37" w:rsidP="00F5292F">
            <w:pPr>
              <w:jc w:val="right"/>
              <w:rPr>
                <w:bCs w:val="0"/>
                <w:sz w:val="18"/>
                <w:szCs w:val="18"/>
                <w:lang w:val="id-ID"/>
              </w:rPr>
            </w:pPr>
          </w:p>
        </w:tc>
        <w:tc>
          <w:tcPr>
            <w:tcW w:w="108" w:type="dxa"/>
            <w:tcMar>
              <w:left w:w="28" w:type="dxa"/>
              <w:right w:w="28" w:type="dxa"/>
            </w:tcMar>
            <w:vAlign w:val="bottom"/>
          </w:tcPr>
          <w:p w14:paraId="0F338F06" w14:textId="77777777" w:rsidR="00B04A37" w:rsidRPr="00D204CA" w:rsidRDefault="00B04A37" w:rsidP="0013526B">
            <w:pPr>
              <w:ind w:left="-90"/>
              <w:jc w:val="right"/>
              <w:rPr>
                <w:b/>
                <w:bCs w:val="0"/>
                <w:sz w:val="18"/>
                <w:szCs w:val="18"/>
              </w:rPr>
            </w:pPr>
          </w:p>
        </w:tc>
        <w:tc>
          <w:tcPr>
            <w:tcW w:w="1507" w:type="dxa"/>
            <w:vAlign w:val="bottom"/>
          </w:tcPr>
          <w:p w14:paraId="480293D9" w14:textId="15CDE59C" w:rsidR="00B04A37" w:rsidRPr="00E022E0" w:rsidRDefault="00B04A37" w:rsidP="0013526B">
            <w:pPr>
              <w:tabs>
                <w:tab w:val="left" w:pos="1392"/>
              </w:tabs>
              <w:ind w:right="57"/>
              <w:jc w:val="right"/>
              <w:rPr>
                <w:sz w:val="18"/>
                <w:szCs w:val="18"/>
                <w:lang w:val="id-ID"/>
              </w:rPr>
            </w:pPr>
          </w:p>
        </w:tc>
        <w:tc>
          <w:tcPr>
            <w:tcW w:w="2236" w:type="dxa"/>
            <w:vAlign w:val="bottom"/>
          </w:tcPr>
          <w:p w14:paraId="5B4542BA" w14:textId="77777777" w:rsidR="00F66C0F" w:rsidRDefault="002F5015" w:rsidP="00F66C0F">
            <w:pPr>
              <w:ind w:right="35"/>
              <w:jc w:val="right"/>
              <w:rPr>
                <w:b/>
                <w:i/>
                <w:sz w:val="18"/>
                <w:szCs w:val="18"/>
              </w:rPr>
            </w:pPr>
            <w:r w:rsidRPr="00EA2E1E">
              <w:rPr>
                <w:b/>
                <w:i/>
                <w:sz w:val="18"/>
                <w:szCs w:val="18"/>
              </w:rPr>
              <w:t>INCOME TAX BENEFIT</w:t>
            </w:r>
          </w:p>
          <w:p w14:paraId="25EECE4A" w14:textId="7BCBFA10" w:rsidR="00B04A37" w:rsidRPr="00EA2E1E" w:rsidRDefault="002F5015" w:rsidP="00F66C0F">
            <w:pPr>
              <w:ind w:right="189"/>
              <w:jc w:val="right"/>
              <w:rPr>
                <w:bCs w:val="0"/>
                <w:i/>
                <w:sz w:val="18"/>
                <w:szCs w:val="18"/>
              </w:rPr>
            </w:pPr>
            <w:r w:rsidRPr="00EA2E1E">
              <w:rPr>
                <w:b/>
                <w:i/>
                <w:sz w:val="18"/>
                <w:szCs w:val="18"/>
              </w:rPr>
              <w:t>(EXPENSES)</w:t>
            </w:r>
          </w:p>
        </w:tc>
      </w:tr>
      <w:tr w:rsidR="00467A49" w:rsidRPr="00EA2E1E" w14:paraId="2036B435" w14:textId="77777777" w:rsidTr="00C92587">
        <w:trPr>
          <w:trHeight w:val="20"/>
        </w:trPr>
        <w:tc>
          <w:tcPr>
            <w:tcW w:w="2245" w:type="dxa"/>
            <w:vAlign w:val="bottom"/>
          </w:tcPr>
          <w:p w14:paraId="47334E59" w14:textId="2E132847" w:rsidR="00467A49" w:rsidRPr="00EA2E1E" w:rsidRDefault="00467A49" w:rsidP="00467A49">
            <w:pPr>
              <w:pStyle w:val="Default"/>
              <w:ind w:left="284"/>
              <w:rPr>
                <w:rFonts w:ascii="Times New Roman" w:eastAsia="Times New Roman" w:hAnsi="Times New Roman" w:cs="Times New Roman"/>
                <w:bCs/>
                <w:color w:val="auto"/>
                <w:sz w:val="18"/>
                <w:szCs w:val="18"/>
              </w:rPr>
            </w:pPr>
            <w:r w:rsidRPr="00EA2E1E">
              <w:rPr>
                <w:rFonts w:ascii="Times New Roman" w:eastAsia="Times New Roman" w:hAnsi="Times New Roman" w:cs="Times New Roman"/>
                <w:bCs/>
                <w:color w:val="auto"/>
                <w:sz w:val="18"/>
                <w:szCs w:val="18"/>
              </w:rPr>
              <w:t>Pajak kini</w:t>
            </w:r>
          </w:p>
        </w:tc>
        <w:tc>
          <w:tcPr>
            <w:tcW w:w="1486" w:type="dxa"/>
            <w:vAlign w:val="bottom"/>
          </w:tcPr>
          <w:p w14:paraId="16517F48" w14:textId="7F586EFA" w:rsidR="00467A49" w:rsidRPr="00EA2E1E" w:rsidRDefault="00467A49" w:rsidP="00467A49">
            <w:pPr>
              <w:jc w:val="center"/>
              <w:rPr>
                <w:bCs w:val="0"/>
                <w:sz w:val="18"/>
                <w:szCs w:val="18"/>
                <w:highlight w:val="red"/>
              </w:rPr>
            </w:pPr>
            <w:r w:rsidRPr="008327EB">
              <w:rPr>
                <w:bCs w:val="0"/>
                <w:sz w:val="18"/>
                <w:szCs w:val="18"/>
              </w:rPr>
              <w:t>3m</w:t>
            </w:r>
            <w:r w:rsidR="00C92587">
              <w:rPr>
                <w:bCs w:val="0"/>
                <w:sz w:val="18"/>
                <w:szCs w:val="18"/>
              </w:rPr>
              <w:t>,</w:t>
            </w:r>
            <w:r w:rsidRPr="008327EB">
              <w:rPr>
                <w:bCs w:val="0"/>
                <w:sz w:val="18"/>
                <w:szCs w:val="18"/>
              </w:rPr>
              <w:t>17e</w:t>
            </w:r>
          </w:p>
        </w:tc>
        <w:tc>
          <w:tcPr>
            <w:tcW w:w="108" w:type="dxa"/>
            <w:tcMar>
              <w:left w:w="28" w:type="dxa"/>
              <w:right w:w="28" w:type="dxa"/>
            </w:tcMar>
          </w:tcPr>
          <w:p w14:paraId="4F8CA38E" w14:textId="77777777" w:rsidR="00467A49" w:rsidRPr="00EA2E1E" w:rsidRDefault="00467A49" w:rsidP="00467A49">
            <w:pPr>
              <w:jc w:val="center"/>
              <w:rPr>
                <w:b/>
                <w:bCs w:val="0"/>
                <w:sz w:val="18"/>
                <w:szCs w:val="18"/>
              </w:rPr>
            </w:pPr>
          </w:p>
        </w:tc>
        <w:tc>
          <w:tcPr>
            <w:tcW w:w="1507" w:type="dxa"/>
            <w:shd w:val="clear" w:color="auto" w:fill="auto"/>
            <w:tcMar>
              <w:left w:w="28" w:type="dxa"/>
              <w:right w:w="28" w:type="dxa"/>
            </w:tcMar>
            <w:vAlign w:val="center"/>
          </w:tcPr>
          <w:p w14:paraId="616B537A" w14:textId="7D7CA373" w:rsidR="00467A49" w:rsidRPr="003D5688" w:rsidRDefault="002B6559" w:rsidP="00392752">
            <w:pPr>
              <w:jc w:val="right"/>
              <w:rPr>
                <w:bCs w:val="0"/>
                <w:sz w:val="18"/>
                <w:szCs w:val="18"/>
              </w:rPr>
            </w:pPr>
            <w:r w:rsidRPr="003D5688">
              <w:rPr>
                <w:sz w:val="18"/>
                <w:szCs w:val="18"/>
              </w:rPr>
              <w:t>(655.050.621)</w:t>
            </w:r>
          </w:p>
        </w:tc>
        <w:tc>
          <w:tcPr>
            <w:tcW w:w="108" w:type="dxa"/>
            <w:tcMar>
              <w:left w:w="28" w:type="dxa"/>
              <w:right w:w="28" w:type="dxa"/>
            </w:tcMar>
            <w:vAlign w:val="bottom"/>
          </w:tcPr>
          <w:p w14:paraId="6D6E67CD" w14:textId="77777777" w:rsidR="00467A49" w:rsidRPr="00D204CA" w:rsidRDefault="00467A49" w:rsidP="00467A49">
            <w:pPr>
              <w:ind w:left="-90"/>
              <w:jc w:val="right"/>
              <w:rPr>
                <w:b/>
                <w:bCs w:val="0"/>
                <w:sz w:val="18"/>
                <w:szCs w:val="18"/>
              </w:rPr>
            </w:pPr>
          </w:p>
        </w:tc>
        <w:tc>
          <w:tcPr>
            <w:tcW w:w="1507" w:type="dxa"/>
            <w:vAlign w:val="bottom"/>
          </w:tcPr>
          <w:p w14:paraId="3F9126AC" w14:textId="7A50A7CB" w:rsidR="00467A49" w:rsidRPr="00E022E0" w:rsidRDefault="00467A49" w:rsidP="00467A49">
            <w:pPr>
              <w:ind w:right="57"/>
              <w:jc w:val="right"/>
              <w:rPr>
                <w:bCs w:val="0"/>
                <w:sz w:val="18"/>
                <w:szCs w:val="18"/>
              </w:rPr>
            </w:pPr>
          </w:p>
        </w:tc>
        <w:tc>
          <w:tcPr>
            <w:tcW w:w="2236" w:type="dxa"/>
            <w:vAlign w:val="bottom"/>
          </w:tcPr>
          <w:p w14:paraId="3E85706C" w14:textId="59B6FB88" w:rsidR="00467A49" w:rsidRPr="00EA2E1E" w:rsidRDefault="00467A49" w:rsidP="00F66C0F">
            <w:pPr>
              <w:pStyle w:val="Default"/>
              <w:ind w:right="189"/>
              <w:jc w:val="right"/>
              <w:rPr>
                <w:rFonts w:ascii="Times New Roman" w:eastAsia="Times New Roman" w:hAnsi="Times New Roman" w:cs="Times New Roman"/>
                <w:bCs/>
                <w:i/>
                <w:sz w:val="18"/>
                <w:szCs w:val="18"/>
              </w:rPr>
            </w:pPr>
            <w:r w:rsidRPr="00EA2E1E">
              <w:rPr>
                <w:rFonts w:ascii="Times New Roman" w:eastAsia="Times New Roman" w:hAnsi="Times New Roman" w:cs="Times New Roman"/>
                <w:bCs/>
                <w:i/>
                <w:sz w:val="18"/>
                <w:szCs w:val="18"/>
              </w:rPr>
              <w:t>Current tax</w:t>
            </w:r>
          </w:p>
        </w:tc>
      </w:tr>
      <w:tr w:rsidR="00467A49" w:rsidRPr="00A57A39" w14:paraId="116252F6" w14:textId="77777777" w:rsidTr="00C92587">
        <w:trPr>
          <w:trHeight w:val="20"/>
        </w:trPr>
        <w:tc>
          <w:tcPr>
            <w:tcW w:w="2245" w:type="dxa"/>
            <w:vAlign w:val="bottom"/>
          </w:tcPr>
          <w:p w14:paraId="6DAC07FA" w14:textId="16A3227C" w:rsidR="00467A49" w:rsidRPr="00A57A39" w:rsidRDefault="00467A49" w:rsidP="00467A49">
            <w:pPr>
              <w:pStyle w:val="Default"/>
              <w:ind w:left="284"/>
              <w:rPr>
                <w:rFonts w:ascii="Times New Roman" w:eastAsia="Times New Roman" w:hAnsi="Times New Roman" w:cs="Times New Roman"/>
                <w:bCs/>
                <w:color w:val="auto"/>
                <w:sz w:val="18"/>
                <w:szCs w:val="18"/>
              </w:rPr>
            </w:pPr>
            <w:r w:rsidRPr="00A57A39">
              <w:rPr>
                <w:rFonts w:ascii="Times New Roman" w:eastAsia="Times New Roman" w:hAnsi="Times New Roman" w:cs="Times New Roman"/>
                <w:bCs/>
                <w:color w:val="auto"/>
                <w:sz w:val="18"/>
                <w:szCs w:val="18"/>
              </w:rPr>
              <w:t>Pajak tangguhan</w:t>
            </w:r>
          </w:p>
        </w:tc>
        <w:tc>
          <w:tcPr>
            <w:tcW w:w="1486" w:type="dxa"/>
            <w:vAlign w:val="bottom"/>
          </w:tcPr>
          <w:p w14:paraId="7BBB00E5" w14:textId="21D32ADA" w:rsidR="00467A49" w:rsidRPr="00A57A39" w:rsidRDefault="00467A49" w:rsidP="00467A49">
            <w:pPr>
              <w:jc w:val="center"/>
              <w:rPr>
                <w:bCs w:val="0"/>
                <w:sz w:val="18"/>
                <w:szCs w:val="18"/>
              </w:rPr>
            </w:pPr>
            <w:r w:rsidRPr="00A57A39">
              <w:rPr>
                <w:bCs w:val="0"/>
                <w:sz w:val="18"/>
                <w:szCs w:val="18"/>
                <w:lang w:val="id-ID"/>
              </w:rPr>
              <w:t>3</w:t>
            </w:r>
            <w:r w:rsidRPr="00A57A39">
              <w:rPr>
                <w:bCs w:val="0"/>
                <w:sz w:val="18"/>
                <w:szCs w:val="18"/>
              </w:rPr>
              <w:t>m</w:t>
            </w:r>
            <w:r w:rsidR="00C92587">
              <w:rPr>
                <w:bCs w:val="0"/>
                <w:sz w:val="18"/>
                <w:szCs w:val="18"/>
              </w:rPr>
              <w:t>,</w:t>
            </w:r>
            <w:r w:rsidR="00D316D9">
              <w:rPr>
                <w:bCs w:val="0"/>
                <w:sz w:val="18"/>
                <w:szCs w:val="18"/>
              </w:rPr>
              <w:t>13</w:t>
            </w:r>
            <w:r w:rsidR="00C92587">
              <w:rPr>
                <w:bCs w:val="0"/>
                <w:sz w:val="18"/>
                <w:szCs w:val="18"/>
              </w:rPr>
              <w:t>,</w:t>
            </w:r>
            <w:r w:rsidRPr="00A57A39">
              <w:rPr>
                <w:bCs w:val="0"/>
                <w:sz w:val="18"/>
                <w:szCs w:val="18"/>
              </w:rPr>
              <w:t>17f</w:t>
            </w:r>
          </w:p>
        </w:tc>
        <w:tc>
          <w:tcPr>
            <w:tcW w:w="108" w:type="dxa"/>
            <w:tcMar>
              <w:left w:w="28" w:type="dxa"/>
              <w:right w:w="28" w:type="dxa"/>
            </w:tcMar>
          </w:tcPr>
          <w:p w14:paraId="501E53CA" w14:textId="77777777" w:rsidR="00467A49" w:rsidRPr="00A57A39" w:rsidRDefault="00467A49" w:rsidP="00467A49">
            <w:pPr>
              <w:jc w:val="center"/>
              <w:rPr>
                <w:b/>
                <w:bCs w:val="0"/>
                <w:sz w:val="18"/>
                <w:szCs w:val="18"/>
              </w:rPr>
            </w:pPr>
          </w:p>
        </w:tc>
        <w:tc>
          <w:tcPr>
            <w:tcW w:w="1507" w:type="dxa"/>
            <w:shd w:val="clear" w:color="auto" w:fill="auto"/>
            <w:tcMar>
              <w:left w:w="28" w:type="dxa"/>
              <w:right w:w="28" w:type="dxa"/>
            </w:tcMar>
            <w:vAlign w:val="center"/>
          </w:tcPr>
          <w:p w14:paraId="36815D4D" w14:textId="4C3DDBAF" w:rsidR="00467A49" w:rsidRPr="003D5688" w:rsidRDefault="002B6559" w:rsidP="00E3299B">
            <w:pPr>
              <w:jc w:val="right"/>
              <w:rPr>
                <w:bCs w:val="0"/>
                <w:sz w:val="18"/>
                <w:szCs w:val="18"/>
              </w:rPr>
            </w:pPr>
            <w:r w:rsidRPr="003D5688">
              <w:rPr>
                <w:sz w:val="18"/>
                <w:szCs w:val="18"/>
              </w:rPr>
              <w:t xml:space="preserve">         (746.770.505)</w:t>
            </w:r>
          </w:p>
        </w:tc>
        <w:tc>
          <w:tcPr>
            <w:tcW w:w="108" w:type="dxa"/>
            <w:tcMar>
              <w:left w:w="28" w:type="dxa"/>
              <w:right w:w="28" w:type="dxa"/>
            </w:tcMar>
            <w:vAlign w:val="bottom"/>
          </w:tcPr>
          <w:p w14:paraId="1BE5228D" w14:textId="77777777" w:rsidR="00467A49" w:rsidRPr="00A57A39" w:rsidRDefault="00467A49" w:rsidP="00467A49">
            <w:pPr>
              <w:ind w:left="-90"/>
              <w:jc w:val="right"/>
              <w:rPr>
                <w:b/>
                <w:bCs w:val="0"/>
                <w:sz w:val="18"/>
                <w:szCs w:val="18"/>
              </w:rPr>
            </w:pPr>
          </w:p>
        </w:tc>
        <w:tc>
          <w:tcPr>
            <w:tcW w:w="1507" w:type="dxa"/>
            <w:tcBorders>
              <w:bottom w:val="single" w:sz="4" w:space="0" w:color="auto"/>
            </w:tcBorders>
            <w:vAlign w:val="bottom"/>
          </w:tcPr>
          <w:p w14:paraId="406B2AF4" w14:textId="3D268221" w:rsidR="00467A49" w:rsidRPr="00E022E0" w:rsidRDefault="00936BA3" w:rsidP="00467A49">
            <w:pPr>
              <w:ind w:right="57"/>
              <w:jc w:val="right"/>
              <w:rPr>
                <w:sz w:val="18"/>
                <w:szCs w:val="18"/>
              </w:rPr>
            </w:pPr>
            <w:r w:rsidRPr="00E022E0">
              <w:rPr>
                <w:bCs w:val="0"/>
                <w:sz w:val="18"/>
                <w:szCs w:val="18"/>
              </w:rPr>
              <w:t>( 2</w:t>
            </w:r>
            <w:r w:rsidR="00870FD0">
              <w:rPr>
                <w:bCs w:val="0"/>
                <w:sz w:val="18"/>
                <w:szCs w:val="18"/>
              </w:rPr>
              <w:t>.</w:t>
            </w:r>
            <w:r w:rsidRPr="00E022E0">
              <w:rPr>
                <w:bCs w:val="0"/>
                <w:sz w:val="18"/>
                <w:szCs w:val="18"/>
              </w:rPr>
              <w:t>615</w:t>
            </w:r>
            <w:r w:rsidR="00870FD0">
              <w:rPr>
                <w:bCs w:val="0"/>
                <w:sz w:val="18"/>
                <w:szCs w:val="18"/>
              </w:rPr>
              <w:t>.</w:t>
            </w:r>
            <w:r w:rsidRPr="00E022E0">
              <w:rPr>
                <w:bCs w:val="0"/>
                <w:sz w:val="18"/>
                <w:szCs w:val="18"/>
              </w:rPr>
              <w:t>815</w:t>
            </w:r>
            <w:r w:rsidR="00870FD0">
              <w:rPr>
                <w:bCs w:val="0"/>
                <w:sz w:val="18"/>
                <w:szCs w:val="18"/>
              </w:rPr>
              <w:t>.</w:t>
            </w:r>
            <w:r w:rsidRPr="00E022E0">
              <w:rPr>
                <w:bCs w:val="0"/>
                <w:sz w:val="18"/>
                <w:szCs w:val="18"/>
              </w:rPr>
              <w:t>896)</w:t>
            </w:r>
          </w:p>
        </w:tc>
        <w:tc>
          <w:tcPr>
            <w:tcW w:w="2236" w:type="dxa"/>
            <w:vAlign w:val="bottom"/>
          </w:tcPr>
          <w:p w14:paraId="5842AFE2" w14:textId="389C5DD1" w:rsidR="00467A49" w:rsidRPr="00A57A39" w:rsidRDefault="00467A49" w:rsidP="00F66C0F">
            <w:pPr>
              <w:pStyle w:val="Default"/>
              <w:ind w:right="175"/>
              <w:jc w:val="right"/>
              <w:rPr>
                <w:rFonts w:ascii="Times New Roman" w:eastAsia="Times New Roman" w:hAnsi="Times New Roman" w:cs="Times New Roman"/>
                <w:bCs/>
                <w:i/>
                <w:color w:val="auto"/>
                <w:sz w:val="18"/>
                <w:szCs w:val="18"/>
              </w:rPr>
            </w:pPr>
            <w:r w:rsidRPr="00A57A39">
              <w:rPr>
                <w:rFonts w:ascii="Times New Roman" w:eastAsia="Times New Roman" w:hAnsi="Times New Roman" w:cs="Times New Roman"/>
                <w:bCs/>
                <w:i/>
                <w:color w:val="auto"/>
                <w:sz w:val="18"/>
                <w:szCs w:val="18"/>
              </w:rPr>
              <w:t xml:space="preserve">Deferred tax </w:t>
            </w:r>
          </w:p>
        </w:tc>
      </w:tr>
      <w:tr w:rsidR="00B04A37" w:rsidRPr="00EA2E1E" w14:paraId="37B44A5C" w14:textId="77777777" w:rsidTr="00C92587">
        <w:trPr>
          <w:trHeight w:val="20"/>
        </w:trPr>
        <w:tc>
          <w:tcPr>
            <w:tcW w:w="2245" w:type="dxa"/>
            <w:vAlign w:val="bottom"/>
          </w:tcPr>
          <w:p w14:paraId="04156364" w14:textId="77777777" w:rsidR="00B04A37" w:rsidRPr="00EA2E1E" w:rsidRDefault="00B04A37" w:rsidP="002F5015">
            <w:pPr>
              <w:pStyle w:val="Default"/>
              <w:ind w:left="284"/>
              <w:rPr>
                <w:rFonts w:ascii="Times New Roman" w:eastAsia="Times New Roman" w:hAnsi="Times New Roman" w:cs="Times New Roman"/>
                <w:bCs/>
                <w:color w:val="auto"/>
                <w:sz w:val="18"/>
                <w:szCs w:val="18"/>
              </w:rPr>
            </w:pPr>
          </w:p>
        </w:tc>
        <w:tc>
          <w:tcPr>
            <w:tcW w:w="1486" w:type="dxa"/>
            <w:vAlign w:val="bottom"/>
          </w:tcPr>
          <w:p w14:paraId="43929366" w14:textId="77777777" w:rsidR="00B04A37" w:rsidRPr="00EA2E1E" w:rsidRDefault="00B04A37" w:rsidP="0013526B">
            <w:pPr>
              <w:jc w:val="center"/>
              <w:rPr>
                <w:bCs w:val="0"/>
                <w:sz w:val="18"/>
                <w:szCs w:val="18"/>
                <w:highlight w:val="red"/>
              </w:rPr>
            </w:pPr>
          </w:p>
        </w:tc>
        <w:tc>
          <w:tcPr>
            <w:tcW w:w="108" w:type="dxa"/>
            <w:tcMar>
              <w:left w:w="28" w:type="dxa"/>
              <w:right w:w="28" w:type="dxa"/>
            </w:tcMar>
          </w:tcPr>
          <w:p w14:paraId="692D8000" w14:textId="77777777" w:rsidR="00B04A37" w:rsidRPr="00EA2E1E" w:rsidRDefault="00B04A37" w:rsidP="0013526B">
            <w:pPr>
              <w:jc w:val="center"/>
              <w:rPr>
                <w:b/>
                <w:bCs w:val="0"/>
                <w:sz w:val="18"/>
                <w:szCs w:val="18"/>
              </w:rPr>
            </w:pPr>
          </w:p>
        </w:tc>
        <w:tc>
          <w:tcPr>
            <w:tcW w:w="1507" w:type="dxa"/>
            <w:tcBorders>
              <w:top w:val="single" w:sz="4" w:space="0" w:color="auto"/>
            </w:tcBorders>
            <w:shd w:val="clear" w:color="auto" w:fill="auto"/>
            <w:tcMar>
              <w:left w:w="28" w:type="dxa"/>
              <w:right w:w="28" w:type="dxa"/>
            </w:tcMar>
            <w:vAlign w:val="bottom"/>
          </w:tcPr>
          <w:p w14:paraId="119478F0" w14:textId="77777777" w:rsidR="00B04A37" w:rsidRPr="003D5688" w:rsidRDefault="00B04A37" w:rsidP="00F5292F">
            <w:pPr>
              <w:jc w:val="right"/>
              <w:rPr>
                <w:bCs w:val="0"/>
                <w:sz w:val="18"/>
                <w:szCs w:val="18"/>
                <w:lang w:val="id-ID"/>
              </w:rPr>
            </w:pPr>
          </w:p>
        </w:tc>
        <w:tc>
          <w:tcPr>
            <w:tcW w:w="108" w:type="dxa"/>
            <w:tcMar>
              <w:left w:w="28" w:type="dxa"/>
              <w:right w:w="28" w:type="dxa"/>
            </w:tcMar>
            <w:vAlign w:val="bottom"/>
          </w:tcPr>
          <w:p w14:paraId="07F0491C" w14:textId="77777777" w:rsidR="00B04A37" w:rsidRPr="00D204CA" w:rsidRDefault="00B04A37" w:rsidP="0013526B">
            <w:pPr>
              <w:ind w:left="-90"/>
              <w:jc w:val="right"/>
              <w:rPr>
                <w:b/>
                <w:bCs w:val="0"/>
                <w:sz w:val="18"/>
                <w:szCs w:val="18"/>
              </w:rPr>
            </w:pPr>
          </w:p>
        </w:tc>
        <w:tc>
          <w:tcPr>
            <w:tcW w:w="1507" w:type="dxa"/>
            <w:tcBorders>
              <w:top w:val="single" w:sz="4" w:space="0" w:color="auto"/>
            </w:tcBorders>
            <w:vAlign w:val="bottom"/>
          </w:tcPr>
          <w:p w14:paraId="28317A4F" w14:textId="77777777" w:rsidR="00B04A37" w:rsidRPr="00E022E0" w:rsidRDefault="00B04A37" w:rsidP="0013526B">
            <w:pPr>
              <w:ind w:right="57"/>
              <w:jc w:val="right"/>
              <w:rPr>
                <w:bCs w:val="0"/>
                <w:sz w:val="18"/>
                <w:szCs w:val="18"/>
              </w:rPr>
            </w:pPr>
          </w:p>
        </w:tc>
        <w:tc>
          <w:tcPr>
            <w:tcW w:w="2236" w:type="dxa"/>
            <w:vAlign w:val="bottom"/>
          </w:tcPr>
          <w:p w14:paraId="0D2DF8F3" w14:textId="77777777" w:rsidR="00B04A37" w:rsidRPr="00EA2E1E" w:rsidRDefault="00B04A37" w:rsidP="0013526B">
            <w:pPr>
              <w:ind w:right="57"/>
              <w:jc w:val="right"/>
              <w:rPr>
                <w:bCs w:val="0"/>
                <w:i/>
                <w:sz w:val="18"/>
                <w:szCs w:val="18"/>
              </w:rPr>
            </w:pPr>
          </w:p>
        </w:tc>
      </w:tr>
      <w:tr w:rsidR="002F5015" w:rsidRPr="00EA2E1E" w14:paraId="28269932" w14:textId="77777777" w:rsidTr="00C92587">
        <w:trPr>
          <w:trHeight w:val="20"/>
        </w:trPr>
        <w:tc>
          <w:tcPr>
            <w:tcW w:w="2245" w:type="dxa"/>
            <w:vAlign w:val="bottom"/>
          </w:tcPr>
          <w:p w14:paraId="492C1E1E" w14:textId="2C4888FC" w:rsidR="002F5015" w:rsidRPr="00EA2E1E" w:rsidRDefault="002F5015" w:rsidP="002F5015">
            <w:pPr>
              <w:pStyle w:val="Default"/>
              <w:ind w:left="426" w:hanging="142"/>
              <w:rPr>
                <w:rFonts w:ascii="Times New Roman" w:eastAsia="Times New Roman" w:hAnsi="Times New Roman" w:cs="Times New Roman"/>
                <w:bCs/>
                <w:color w:val="auto"/>
                <w:sz w:val="18"/>
                <w:szCs w:val="18"/>
              </w:rPr>
            </w:pPr>
            <w:r w:rsidRPr="00EA2E1E">
              <w:rPr>
                <w:rFonts w:ascii="Times New Roman" w:eastAsia="Times New Roman" w:hAnsi="Times New Roman" w:cs="Times New Roman"/>
                <w:bCs/>
                <w:color w:val="auto"/>
                <w:sz w:val="18"/>
                <w:szCs w:val="18"/>
              </w:rPr>
              <w:t>Jumlah manfaat (beban) Pajak Penghasilan</w:t>
            </w:r>
          </w:p>
        </w:tc>
        <w:tc>
          <w:tcPr>
            <w:tcW w:w="1486" w:type="dxa"/>
            <w:vAlign w:val="bottom"/>
          </w:tcPr>
          <w:p w14:paraId="3C8C2F74" w14:textId="77777777" w:rsidR="002F5015" w:rsidRPr="00EA2E1E" w:rsidRDefault="002F5015" w:rsidP="0013526B">
            <w:pPr>
              <w:jc w:val="center"/>
              <w:rPr>
                <w:bCs w:val="0"/>
                <w:sz w:val="18"/>
                <w:szCs w:val="18"/>
                <w:highlight w:val="red"/>
              </w:rPr>
            </w:pPr>
          </w:p>
        </w:tc>
        <w:tc>
          <w:tcPr>
            <w:tcW w:w="108" w:type="dxa"/>
            <w:tcMar>
              <w:left w:w="28" w:type="dxa"/>
              <w:right w:w="28" w:type="dxa"/>
            </w:tcMar>
          </w:tcPr>
          <w:p w14:paraId="690544B6" w14:textId="77777777" w:rsidR="002F5015" w:rsidRPr="00EA2E1E" w:rsidRDefault="002F5015" w:rsidP="0013526B">
            <w:pPr>
              <w:jc w:val="center"/>
              <w:rPr>
                <w:b/>
                <w:bCs w:val="0"/>
                <w:sz w:val="18"/>
                <w:szCs w:val="18"/>
              </w:rPr>
            </w:pPr>
          </w:p>
        </w:tc>
        <w:tc>
          <w:tcPr>
            <w:tcW w:w="1507" w:type="dxa"/>
            <w:tcBorders>
              <w:bottom w:val="single" w:sz="4" w:space="0" w:color="auto"/>
            </w:tcBorders>
            <w:shd w:val="clear" w:color="auto" w:fill="auto"/>
            <w:tcMar>
              <w:left w:w="28" w:type="dxa"/>
              <w:right w:w="28" w:type="dxa"/>
            </w:tcMar>
            <w:vAlign w:val="bottom"/>
          </w:tcPr>
          <w:p w14:paraId="0A29F694" w14:textId="11D23A67" w:rsidR="002F5015" w:rsidRPr="003D5688" w:rsidRDefault="002B6559" w:rsidP="00A8560C">
            <w:pPr>
              <w:jc w:val="right"/>
              <w:rPr>
                <w:bCs w:val="0"/>
                <w:sz w:val="18"/>
                <w:szCs w:val="18"/>
                <w:lang w:val="id-ID"/>
              </w:rPr>
            </w:pPr>
            <w:r w:rsidRPr="003D5688">
              <w:rPr>
                <w:sz w:val="18"/>
                <w:szCs w:val="18"/>
              </w:rPr>
              <w:t>(1.401.821.126)</w:t>
            </w:r>
          </w:p>
        </w:tc>
        <w:tc>
          <w:tcPr>
            <w:tcW w:w="108" w:type="dxa"/>
            <w:tcMar>
              <w:left w:w="28" w:type="dxa"/>
              <w:right w:w="28" w:type="dxa"/>
            </w:tcMar>
            <w:vAlign w:val="bottom"/>
          </w:tcPr>
          <w:p w14:paraId="06E533EE" w14:textId="77777777" w:rsidR="002F5015" w:rsidRPr="00D204CA" w:rsidRDefault="002F5015" w:rsidP="0013526B">
            <w:pPr>
              <w:ind w:left="-90"/>
              <w:jc w:val="right"/>
              <w:rPr>
                <w:b/>
                <w:bCs w:val="0"/>
                <w:sz w:val="18"/>
                <w:szCs w:val="18"/>
              </w:rPr>
            </w:pPr>
          </w:p>
        </w:tc>
        <w:tc>
          <w:tcPr>
            <w:tcW w:w="1507" w:type="dxa"/>
            <w:tcBorders>
              <w:bottom w:val="single" w:sz="4" w:space="0" w:color="auto"/>
            </w:tcBorders>
            <w:vAlign w:val="bottom"/>
          </w:tcPr>
          <w:p w14:paraId="2205F2BA" w14:textId="7CFEA755" w:rsidR="002F5015" w:rsidRPr="00E022E0" w:rsidRDefault="00936BA3" w:rsidP="0013526B">
            <w:pPr>
              <w:ind w:right="57"/>
              <w:jc w:val="right"/>
              <w:rPr>
                <w:bCs w:val="0"/>
                <w:sz w:val="18"/>
                <w:szCs w:val="18"/>
              </w:rPr>
            </w:pPr>
            <w:r w:rsidRPr="00E022E0">
              <w:rPr>
                <w:bCs w:val="0"/>
                <w:sz w:val="18"/>
                <w:szCs w:val="18"/>
              </w:rPr>
              <w:t>( 2</w:t>
            </w:r>
            <w:r w:rsidR="00870FD0">
              <w:rPr>
                <w:bCs w:val="0"/>
                <w:sz w:val="18"/>
                <w:szCs w:val="18"/>
              </w:rPr>
              <w:t>.</w:t>
            </w:r>
            <w:r w:rsidRPr="00E022E0">
              <w:rPr>
                <w:bCs w:val="0"/>
                <w:sz w:val="18"/>
                <w:szCs w:val="18"/>
              </w:rPr>
              <w:t>615</w:t>
            </w:r>
            <w:r w:rsidR="00870FD0">
              <w:rPr>
                <w:bCs w:val="0"/>
                <w:sz w:val="18"/>
                <w:szCs w:val="18"/>
              </w:rPr>
              <w:t>.</w:t>
            </w:r>
            <w:r w:rsidRPr="00E022E0">
              <w:rPr>
                <w:bCs w:val="0"/>
                <w:sz w:val="18"/>
                <w:szCs w:val="18"/>
              </w:rPr>
              <w:t>815</w:t>
            </w:r>
            <w:r w:rsidR="00870FD0">
              <w:rPr>
                <w:bCs w:val="0"/>
                <w:sz w:val="18"/>
                <w:szCs w:val="18"/>
              </w:rPr>
              <w:t>.</w:t>
            </w:r>
            <w:r w:rsidRPr="00E022E0">
              <w:rPr>
                <w:bCs w:val="0"/>
                <w:sz w:val="18"/>
                <w:szCs w:val="18"/>
              </w:rPr>
              <w:t>896)</w:t>
            </w:r>
          </w:p>
        </w:tc>
        <w:tc>
          <w:tcPr>
            <w:tcW w:w="2236" w:type="dxa"/>
            <w:vAlign w:val="bottom"/>
          </w:tcPr>
          <w:p w14:paraId="695B1E9A" w14:textId="77777777" w:rsidR="00F66C0F" w:rsidRDefault="002F5015" w:rsidP="00CA71BD">
            <w:pPr>
              <w:ind w:right="193"/>
              <w:jc w:val="right"/>
              <w:rPr>
                <w:bCs w:val="0"/>
                <w:i/>
                <w:sz w:val="18"/>
                <w:szCs w:val="18"/>
              </w:rPr>
            </w:pPr>
            <w:r w:rsidRPr="00EA2E1E">
              <w:rPr>
                <w:bCs w:val="0"/>
                <w:i/>
                <w:sz w:val="18"/>
                <w:szCs w:val="18"/>
              </w:rPr>
              <w:t>Total income Tax Benefit</w:t>
            </w:r>
          </w:p>
          <w:p w14:paraId="593D8510" w14:textId="6DD04104" w:rsidR="002F5015" w:rsidRPr="00EA2E1E" w:rsidRDefault="002F5015" w:rsidP="00CA71BD">
            <w:pPr>
              <w:ind w:right="375"/>
              <w:jc w:val="right"/>
              <w:rPr>
                <w:bCs w:val="0"/>
                <w:i/>
                <w:sz w:val="18"/>
                <w:szCs w:val="18"/>
              </w:rPr>
            </w:pPr>
            <w:r w:rsidRPr="00EA2E1E">
              <w:rPr>
                <w:bCs w:val="0"/>
                <w:i/>
                <w:sz w:val="18"/>
                <w:szCs w:val="18"/>
              </w:rPr>
              <w:t>(Expense)</w:t>
            </w:r>
          </w:p>
        </w:tc>
      </w:tr>
      <w:tr w:rsidR="002F5015" w:rsidRPr="00EA2E1E" w14:paraId="1E44DA6F" w14:textId="77777777" w:rsidTr="00C92587">
        <w:trPr>
          <w:trHeight w:val="20"/>
        </w:trPr>
        <w:tc>
          <w:tcPr>
            <w:tcW w:w="2245" w:type="dxa"/>
            <w:vAlign w:val="bottom"/>
          </w:tcPr>
          <w:p w14:paraId="4B72A733" w14:textId="77777777" w:rsidR="002F5015" w:rsidRPr="00EA2E1E" w:rsidRDefault="002F5015" w:rsidP="0013526B">
            <w:pPr>
              <w:ind w:left="283" w:hanging="170"/>
              <w:rPr>
                <w:bCs w:val="0"/>
                <w:sz w:val="18"/>
                <w:szCs w:val="18"/>
              </w:rPr>
            </w:pPr>
          </w:p>
        </w:tc>
        <w:tc>
          <w:tcPr>
            <w:tcW w:w="1486" w:type="dxa"/>
            <w:vAlign w:val="bottom"/>
          </w:tcPr>
          <w:p w14:paraId="08853CC7" w14:textId="77777777" w:rsidR="002F5015" w:rsidRPr="00EA2E1E" w:rsidRDefault="002F5015" w:rsidP="0013526B">
            <w:pPr>
              <w:jc w:val="center"/>
              <w:rPr>
                <w:bCs w:val="0"/>
                <w:sz w:val="18"/>
                <w:szCs w:val="18"/>
                <w:highlight w:val="red"/>
              </w:rPr>
            </w:pPr>
          </w:p>
        </w:tc>
        <w:tc>
          <w:tcPr>
            <w:tcW w:w="108" w:type="dxa"/>
            <w:tcMar>
              <w:left w:w="28" w:type="dxa"/>
              <w:right w:w="28" w:type="dxa"/>
            </w:tcMar>
          </w:tcPr>
          <w:p w14:paraId="7A794B52" w14:textId="77777777" w:rsidR="002F5015" w:rsidRPr="00EA2E1E" w:rsidRDefault="002F5015" w:rsidP="0013526B">
            <w:pPr>
              <w:jc w:val="center"/>
              <w:rPr>
                <w:b/>
                <w:bCs w:val="0"/>
                <w:sz w:val="18"/>
                <w:szCs w:val="18"/>
              </w:rPr>
            </w:pPr>
          </w:p>
        </w:tc>
        <w:tc>
          <w:tcPr>
            <w:tcW w:w="1507" w:type="dxa"/>
            <w:tcBorders>
              <w:top w:val="single" w:sz="4" w:space="0" w:color="auto"/>
            </w:tcBorders>
            <w:shd w:val="clear" w:color="auto" w:fill="auto"/>
            <w:tcMar>
              <w:left w:w="28" w:type="dxa"/>
              <w:right w:w="28" w:type="dxa"/>
            </w:tcMar>
            <w:vAlign w:val="bottom"/>
          </w:tcPr>
          <w:p w14:paraId="1A4B8F5D" w14:textId="77777777" w:rsidR="002F5015" w:rsidRPr="003D5688" w:rsidRDefault="002F5015" w:rsidP="00F5292F">
            <w:pPr>
              <w:jc w:val="right"/>
              <w:rPr>
                <w:bCs w:val="0"/>
                <w:sz w:val="18"/>
                <w:szCs w:val="18"/>
                <w:lang w:val="id-ID"/>
              </w:rPr>
            </w:pPr>
          </w:p>
        </w:tc>
        <w:tc>
          <w:tcPr>
            <w:tcW w:w="108" w:type="dxa"/>
            <w:tcMar>
              <w:left w:w="28" w:type="dxa"/>
              <w:right w:w="28" w:type="dxa"/>
            </w:tcMar>
            <w:vAlign w:val="bottom"/>
          </w:tcPr>
          <w:p w14:paraId="5FC79EF3" w14:textId="77777777" w:rsidR="002F5015" w:rsidRPr="00D204CA" w:rsidRDefault="002F5015" w:rsidP="0013526B">
            <w:pPr>
              <w:ind w:left="-90"/>
              <w:jc w:val="right"/>
              <w:rPr>
                <w:b/>
                <w:bCs w:val="0"/>
                <w:sz w:val="18"/>
                <w:szCs w:val="18"/>
              </w:rPr>
            </w:pPr>
          </w:p>
        </w:tc>
        <w:tc>
          <w:tcPr>
            <w:tcW w:w="1507" w:type="dxa"/>
            <w:tcBorders>
              <w:top w:val="single" w:sz="4" w:space="0" w:color="auto"/>
            </w:tcBorders>
            <w:vAlign w:val="bottom"/>
          </w:tcPr>
          <w:p w14:paraId="0829CB03" w14:textId="77777777" w:rsidR="002F5015" w:rsidRPr="00E022E0" w:rsidRDefault="002F5015" w:rsidP="0013526B">
            <w:pPr>
              <w:ind w:right="57"/>
              <w:jc w:val="right"/>
              <w:rPr>
                <w:bCs w:val="0"/>
                <w:sz w:val="18"/>
                <w:szCs w:val="18"/>
              </w:rPr>
            </w:pPr>
          </w:p>
        </w:tc>
        <w:tc>
          <w:tcPr>
            <w:tcW w:w="2236" w:type="dxa"/>
            <w:vAlign w:val="bottom"/>
          </w:tcPr>
          <w:p w14:paraId="465DF9CC" w14:textId="77777777" w:rsidR="002F5015" w:rsidRPr="00EA2E1E" w:rsidRDefault="002F5015" w:rsidP="0013526B">
            <w:pPr>
              <w:ind w:right="57"/>
              <w:jc w:val="right"/>
              <w:rPr>
                <w:bCs w:val="0"/>
                <w:i/>
                <w:sz w:val="18"/>
                <w:szCs w:val="18"/>
              </w:rPr>
            </w:pPr>
          </w:p>
        </w:tc>
      </w:tr>
      <w:tr w:rsidR="00B04A37" w:rsidRPr="00EA2E1E" w14:paraId="21CCF05C" w14:textId="77777777" w:rsidTr="00C92587">
        <w:trPr>
          <w:trHeight w:val="20"/>
        </w:trPr>
        <w:tc>
          <w:tcPr>
            <w:tcW w:w="2245" w:type="dxa"/>
            <w:vAlign w:val="bottom"/>
          </w:tcPr>
          <w:p w14:paraId="1A957B39" w14:textId="665D04D5" w:rsidR="00B04A37" w:rsidRPr="00EA2E1E" w:rsidRDefault="00E022E0" w:rsidP="0013526B">
            <w:pPr>
              <w:ind w:left="283" w:hanging="170"/>
              <w:rPr>
                <w:b/>
                <w:bCs w:val="0"/>
                <w:sz w:val="18"/>
                <w:szCs w:val="18"/>
              </w:rPr>
            </w:pPr>
            <w:r>
              <w:rPr>
                <w:b/>
                <w:sz w:val="18"/>
                <w:szCs w:val="18"/>
              </w:rPr>
              <w:t>LABA (</w:t>
            </w:r>
            <w:r w:rsidR="001A0F63" w:rsidRPr="00EA2E1E">
              <w:rPr>
                <w:b/>
                <w:sz w:val="18"/>
                <w:szCs w:val="18"/>
              </w:rPr>
              <w:t>RUGI</w:t>
            </w:r>
            <w:r>
              <w:rPr>
                <w:b/>
                <w:sz w:val="18"/>
                <w:szCs w:val="18"/>
              </w:rPr>
              <w:t>) BERSIH PERIODE</w:t>
            </w:r>
            <w:r w:rsidR="001A0F63" w:rsidRPr="00EA2E1E">
              <w:rPr>
                <w:b/>
                <w:sz w:val="18"/>
                <w:szCs w:val="18"/>
              </w:rPr>
              <w:t xml:space="preserve"> BERJALAN</w:t>
            </w:r>
          </w:p>
        </w:tc>
        <w:tc>
          <w:tcPr>
            <w:tcW w:w="1486" w:type="dxa"/>
            <w:vAlign w:val="bottom"/>
          </w:tcPr>
          <w:p w14:paraId="73A4FE57" w14:textId="77777777" w:rsidR="00B04A37" w:rsidRPr="00EA2E1E" w:rsidRDefault="00B04A37" w:rsidP="0013526B">
            <w:pPr>
              <w:jc w:val="center"/>
              <w:rPr>
                <w:bCs w:val="0"/>
                <w:sz w:val="18"/>
                <w:szCs w:val="18"/>
                <w:highlight w:val="red"/>
              </w:rPr>
            </w:pPr>
          </w:p>
        </w:tc>
        <w:tc>
          <w:tcPr>
            <w:tcW w:w="108" w:type="dxa"/>
            <w:tcMar>
              <w:left w:w="28" w:type="dxa"/>
              <w:right w:w="28" w:type="dxa"/>
            </w:tcMar>
          </w:tcPr>
          <w:p w14:paraId="1BBE3822" w14:textId="77777777" w:rsidR="00B04A37" w:rsidRPr="00EA2E1E" w:rsidRDefault="00B04A37" w:rsidP="0013526B">
            <w:pPr>
              <w:jc w:val="center"/>
              <w:rPr>
                <w:b/>
                <w:bCs w:val="0"/>
                <w:sz w:val="18"/>
                <w:szCs w:val="18"/>
              </w:rPr>
            </w:pPr>
          </w:p>
        </w:tc>
        <w:tc>
          <w:tcPr>
            <w:tcW w:w="1507" w:type="dxa"/>
            <w:tcBorders>
              <w:bottom w:val="double" w:sz="4" w:space="0" w:color="auto"/>
            </w:tcBorders>
            <w:shd w:val="clear" w:color="auto" w:fill="auto"/>
            <w:tcMar>
              <w:left w:w="28" w:type="dxa"/>
              <w:right w:w="28" w:type="dxa"/>
            </w:tcMar>
            <w:vAlign w:val="bottom"/>
          </w:tcPr>
          <w:p w14:paraId="6B7C32D0" w14:textId="0780B6FB" w:rsidR="00B04A37" w:rsidRPr="003D5688" w:rsidRDefault="002B6559" w:rsidP="001721C2">
            <w:pPr>
              <w:jc w:val="right"/>
              <w:rPr>
                <w:b/>
                <w:sz w:val="18"/>
                <w:szCs w:val="18"/>
                <w:lang w:val="id-ID"/>
              </w:rPr>
            </w:pPr>
            <w:r w:rsidRPr="00D85DCB">
              <w:rPr>
                <w:b/>
                <w:bCs w:val="0"/>
                <w:sz w:val="18"/>
                <w:szCs w:val="18"/>
              </w:rPr>
              <w:t>(</w:t>
            </w:r>
            <w:r w:rsidR="001721C2" w:rsidRPr="00D85DCB">
              <w:rPr>
                <w:b/>
                <w:bCs w:val="0"/>
                <w:sz w:val="18"/>
                <w:szCs w:val="18"/>
              </w:rPr>
              <w:t>9.429.908.973</w:t>
            </w:r>
            <w:r w:rsidRPr="00D85DCB">
              <w:rPr>
                <w:b/>
                <w:bCs w:val="0"/>
                <w:sz w:val="18"/>
                <w:szCs w:val="18"/>
              </w:rPr>
              <w:t>)</w:t>
            </w:r>
          </w:p>
        </w:tc>
        <w:tc>
          <w:tcPr>
            <w:tcW w:w="108" w:type="dxa"/>
            <w:tcBorders>
              <w:bottom w:val="double" w:sz="4" w:space="0" w:color="auto"/>
            </w:tcBorders>
            <w:tcMar>
              <w:left w:w="28" w:type="dxa"/>
              <w:right w:w="28" w:type="dxa"/>
            </w:tcMar>
            <w:vAlign w:val="bottom"/>
          </w:tcPr>
          <w:p w14:paraId="16B633D3" w14:textId="77777777" w:rsidR="00B04A37" w:rsidRPr="00D204CA" w:rsidRDefault="00B04A37" w:rsidP="0013526B">
            <w:pPr>
              <w:ind w:left="-90"/>
              <w:jc w:val="right"/>
              <w:rPr>
                <w:b/>
                <w:bCs w:val="0"/>
                <w:sz w:val="18"/>
                <w:szCs w:val="18"/>
              </w:rPr>
            </w:pPr>
          </w:p>
        </w:tc>
        <w:tc>
          <w:tcPr>
            <w:tcW w:w="1507" w:type="dxa"/>
            <w:tcBorders>
              <w:bottom w:val="double" w:sz="4" w:space="0" w:color="auto"/>
            </w:tcBorders>
            <w:vAlign w:val="bottom"/>
          </w:tcPr>
          <w:p w14:paraId="66EEEC9B" w14:textId="6419B983" w:rsidR="00B04A37" w:rsidRPr="00E022E0" w:rsidRDefault="00936BA3" w:rsidP="00CD5953">
            <w:pPr>
              <w:ind w:right="57"/>
              <w:jc w:val="right"/>
              <w:rPr>
                <w:b/>
                <w:bCs w:val="0"/>
                <w:sz w:val="18"/>
                <w:szCs w:val="18"/>
                <w:lang w:val="id-ID"/>
              </w:rPr>
            </w:pPr>
            <w:r w:rsidRPr="00E022E0">
              <w:rPr>
                <w:b/>
                <w:sz w:val="18"/>
                <w:szCs w:val="18"/>
              </w:rPr>
              <w:t>3</w:t>
            </w:r>
            <w:r w:rsidR="00870FD0">
              <w:rPr>
                <w:b/>
                <w:sz w:val="18"/>
                <w:szCs w:val="18"/>
              </w:rPr>
              <w:t>.</w:t>
            </w:r>
            <w:r w:rsidRPr="00E022E0">
              <w:rPr>
                <w:b/>
                <w:sz w:val="18"/>
                <w:szCs w:val="18"/>
              </w:rPr>
              <w:t>989</w:t>
            </w:r>
            <w:r w:rsidR="00870FD0">
              <w:rPr>
                <w:b/>
                <w:sz w:val="18"/>
                <w:szCs w:val="18"/>
              </w:rPr>
              <w:t>.</w:t>
            </w:r>
            <w:r w:rsidRPr="00E022E0">
              <w:rPr>
                <w:b/>
                <w:sz w:val="18"/>
                <w:szCs w:val="18"/>
              </w:rPr>
              <w:t>079</w:t>
            </w:r>
            <w:r w:rsidR="00870FD0">
              <w:rPr>
                <w:b/>
                <w:sz w:val="18"/>
                <w:szCs w:val="18"/>
              </w:rPr>
              <w:t>.</w:t>
            </w:r>
            <w:r w:rsidRPr="00E022E0">
              <w:rPr>
                <w:b/>
                <w:sz w:val="18"/>
                <w:szCs w:val="18"/>
              </w:rPr>
              <w:t>384</w:t>
            </w:r>
          </w:p>
        </w:tc>
        <w:tc>
          <w:tcPr>
            <w:tcW w:w="2236" w:type="dxa"/>
            <w:vAlign w:val="bottom"/>
          </w:tcPr>
          <w:p w14:paraId="76F7F708" w14:textId="27B3CBF0" w:rsidR="00B04A37" w:rsidRPr="00EA2E1E" w:rsidRDefault="00E022E0" w:rsidP="00E022E0">
            <w:pPr>
              <w:ind w:right="57"/>
              <w:jc w:val="right"/>
              <w:rPr>
                <w:b/>
                <w:i/>
                <w:sz w:val="18"/>
                <w:szCs w:val="18"/>
              </w:rPr>
            </w:pPr>
            <w:r>
              <w:rPr>
                <w:b/>
                <w:i/>
                <w:sz w:val="18"/>
                <w:szCs w:val="18"/>
              </w:rPr>
              <w:t>INCOME (</w:t>
            </w:r>
            <w:r w:rsidR="00B04A37" w:rsidRPr="00EA2E1E">
              <w:rPr>
                <w:b/>
                <w:i/>
                <w:sz w:val="18"/>
                <w:szCs w:val="18"/>
              </w:rPr>
              <w:t xml:space="preserve"> </w:t>
            </w:r>
            <w:r w:rsidR="001A0F63" w:rsidRPr="00EA2E1E">
              <w:rPr>
                <w:b/>
                <w:i/>
                <w:sz w:val="18"/>
                <w:szCs w:val="18"/>
              </w:rPr>
              <w:t>LOSS</w:t>
            </w:r>
            <w:r>
              <w:rPr>
                <w:b/>
                <w:i/>
                <w:sz w:val="18"/>
                <w:szCs w:val="18"/>
              </w:rPr>
              <w:t>)</w:t>
            </w:r>
            <w:r w:rsidR="001A0F63" w:rsidRPr="00EA2E1E">
              <w:rPr>
                <w:b/>
                <w:i/>
                <w:sz w:val="18"/>
                <w:szCs w:val="18"/>
              </w:rPr>
              <w:t xml:space="preserve"> FOR THE </w:t>
            </w:r>
            <w:r>
              <w:rPr>
                <w:b/>
                <w:i/>
                <w:sz w:val="18"/>
                <w:szCs w:val="18"/>
              </w:rPr>
              <w:t>PERIOD</w:t>
            </w:r>
          </w:p>
        </w:tc>
      </w:tr>
      <w:tr w:rsidR="00B04A37" w:rsidRPr="00EA2E1E" w14:paraId="2EF90570" w14:textId="77777777" w:rsidTr="00C92587">
        <w:trPr>
          <w:trHeight w:val="20"/>
        </w:trPr>
        <w:tc>
          <w:tcPr>
            <w:tcW w:w="2245" w:type="dxa"/>
          </w:tcPr>
          <w:p w14:paraId="07344767" w14:textId="77777777" w:rsidR="00B04A37" w:rsidRPr="00EA2E1E" w:rsidRDefault="00B04A37" w:rsidP="0013526B">
            <w:pPr>
              <w:ind w:left="426" w:hanging="284"/>
              <w:rPr>
                <w:bCs w:val="0"/>
                <w:sz w:val="18"/>
                <w:szCs w:val="18"/>
              </w:rPr>
            </w:pPr>
          </w:p>
        </w:tc>
        <w:tc>
          <w:tcPr>
            <w:tcW w:w="1486" w:type="dxa"/>
          </w:tcPr>
          <w:p w14:paraId="7BA3EF64" w14:textId="77777777" w:rsidR="00B04A37" w:rsidRPr="00EA2E1E" w:rsidRDefault="00B04A37" w:rsidP="0013526B">
            <w:pPr>
              <w:jc w:val="center"/>
              <w:rPr>
                <w:b/>
                <w:bCs w:val="0"/>
                <w:sz w:val="18"/>
                <w:szCs w:val="18"/>
                <w:highlight w:val="red"/>
              </w:rPr>
            </w:pPr>
          </w:p>
        </w:tc>
        <w:tc>
          <w:tcPr>
            <w:tcW w:w="108" w:type="dxa"/>
            <w:tcMar>
              <w:left w:w="28" w:type="dxa"/>
              <w:right w:w="28" w:type="dxa"/>
            </w:tcMar>
          </w:tcPr>
          <w:p w14:paraId="5B23B947" w14:textId="77777777" w:rsidR="00B04A37" w:rsidRPr="00EA2E1E" w:rsidRDefault="00B04A37" w:rsidP="0013526B">
            <w:pPr>
              <w:jc w:val="center"/>
              <w:rPr>
                <w:b/>
                <w:bCs w:val="0"/>
                <w:sz w:val="18"/>
                <w:szCs w:val="18"/>
              </w:rPr>
            </w:pPr>
          </w:p>
        </w:tc>
        <w:tc>
          <w:tcPr>
            <w:tcW w:w="1507" w:type="dxa"/>
            <w:tcBorders>
              <w:top w:val="single" w:sz="4" w:space="0" w:color="auto"/>
            </w:tcBorders>
            <w:shd w:val="clear" w:color="auto" w:fill="auto"/>
            <w:tcMar>
              <w:left w:w="28" w:type="dxa"/>
              <w:right w:w="28" w:type="dxa"/>
            </w:tcMar>
            <w:vAlign w:val="bottom"/>
          </w:tcPr>
          <w:p w14:paraId="0487ACA4" w14:textId="77777777" w:rsidR="00B04A37" w:rsidRPr="003D5688" w:rsidRDefault="00B04A37" w:rsidP="00F5292F">
            <w:pPr>
              <w:jc w:val="right"/>
              <w:rPr>
                <w:bCs w:val="0"/>
                <w:sz w:val="18"/>
                <w:szCs w:val="18"/>
                <w:lang w:val="id-ID"/>
              </w:rPr>
            </w:pPr>
          </w:p>
        </w:tc>
        <w:tc>
          <w:tcPr>
            <w:tcW w:w="108" w:type="dxa"/>
            <w:tcMar>
              <w:left w:w="28" w:type="dxa"/>
              <w:right w:w="28" w:type="dxa"/>
            </w:tcMar>
            <w:vAlign w:val="bottom"/>
          </w:tcPr>
          <w:p w14:paraId="63F6CCDE" w14:textId="77777777" w:rsidR="00B04A37" w:rsidRPr="00D204CA" w:rsidRDefault="00B04A37" w:rsidP="0013526B">
            <w:pPr>
              <w:ind w:left="-90"/>
              <w:jc w:val="right"/>
              <w:rPr>
                <w:b/>
                <w:bCs w:val="0"/>
                <w:sz w:val="18"/>
                <w:szCs w:val="18"/>
              </w:rPr>
            </w:pPr>
          </w:p>
        </w:tc>
        <w:tc>
          <w:tcPr>
            <w:tcW w:w="1507" w:type="dxa"/>
            <w:tcBorders>
              <w:top w:val="double" w:sz="4" w:space="0" w:color="auto"/>
            </w:tcBorders>
            <w:vAlign w:val="bottom"/>
          </w:tcPr>
          <w:p w14:paraId="0E1E50D2" w14:textId="77777777" w:rsidR="00B04A37" w:rsidRPr="00E022E0" w:rsidRDefault="00B04A37" w:rsidP="0013526B">
            <w:pPr>
              <w:ind w:left="-90"/>
              <w:jc w:val="right"/>
              <w:rPr>
                <w:b/>
                <w:bCs w:val="0"/>
                <w:sz w:val="18"/>
                <w:szCs w:val="18"/>
              </w:rPr>
            </w:pPr>
          </w:p>
        </w:tc>
        <w:tc>
          <w:tcPr>
            <w:tcW w:w="2236" w:type="dxa"/>
            <w:vAlign w:val="bottom"/>
          </w:tcPr>
          <w:p w14:paraId="3C0F388B" w14:textId="77777777" w:rsidR="00B04A37" w:rsidRPr="00EA2E1E" w:rsidRDefault="00B04A37" w:rsidP="0013526B">
            <w:pPr>
              <w:ind w:right="57"/>
              <w:jc w:val="right"/>
              <w:rPr>
                <w:bCs w:val="0"/>
                <w:i/>
                <w:sz w:val="18"/>
                <w:szCs w:val="18"/>
              </w:rPr>
            </w:pPr>
          </w:p>
        </w:tc>
      </w:tr>
      <w:tr w:rsidR="00B04A37" w:rsidRPr="00EA2E1E" w14:paraId="65A450DA" w14:textId="77777777" w:rsidTr="00C92587">
        <w:trPr>
          <w:trHeight w:val="20"/>
        </w:trPr>
        <w:tc>
          <w:tcPr>
            <w:tcW w:w="2245" w:type="dxa"/>
          </w:tcPr>
          <w:p w14:paraId="22526478" w14:textId="77777777" w:rsidR="00B04A37" w:rsidRPr="00EA2E1E" w:rsidRDefault="00B04A37" w:rsidP="0013526B">
            <w:pPr>
              <w:ind w:left="283" w:hanging="170"/>
              <w:rPr>
                <w:b/>
                <w:bCs w:val="0"/>
                <w:color w:val="FF0000"/>
                <w:sz w:val="18"/>
                <w:szCs w:val="18"/>
                <w:vertAlign w:val="superscript"/>
              </w:rPr>
            </w:pPr>
            <w:r w:rsidRPr="00EA2E1E">
              <w:rPr>
                <w:b/>
                <w:color w:val="000000"/>
                <w:sz w:val="18"/>
                <w:szCs w:val="18"/>
              </w:rPr>
              <w:t>PENGHASILAN KOMPREHENSIF LAIN</w:t>
            </w:r>
          </w:p>
        </w:tc>
        <w:tc>
          <w:tcPr>
            <w:tcW w:w="1486" w:type="dxa"/>
            <w:vAlign w:val="bottom"/>
          </w:tcPr>
          <w:p w14:paraId="4DE50DB5" w14:textId="77777777" w:rsidR="00B04A37" w:rsidRPr="00EA2E1E" w:rsidRDefault="00B04A37" w:rsidP="0013526B">
            <w:pPr>
              <w:jc w:val="center"/>
              <w:rPr>
                <w:bCs w:val="0"/>
                <w:sz w:val="18"/>
                <w:szCs w:val="18"/>
                <w:highlight w:val="red"/>
              </w:rPr>
            </w:pPr>
          </w:p>
        </w:tc>
        <w:tc>
          <w:tcPr>
            <w:tcW w:w="108" w:type="dxa"/>
            <w:tcMar>
              <w:left w:w="28" w:type="dxa"/>
              <w:right w:w="28" w:type="dxa"/>
            </w:tcMar>
          </w:tcPr>
          <w:p w14:paraId="674BC8D8" w14:textId="77777777" w:rsidR="00B04A37" w:rsidRPr="00EA2E1E" w:rsidRDefault="00B04A37" w:rsidP="0013526B">
            <w:pPr>
              <w:jc w:val="center"/>
              <w:rPr>
                <w:b/>
                <w:bCs w:val="0"/>
                <w:sz w:val="18"/>
                <w:szCs w:val="18"/>
              </w:rPr>
            </w:pPr>
          </w:p>
        </w:tc>
        <w:tc>
          <w:tcPr>
            <w:tcW w:w="1507" w:type="dxa"/>
            <w:shd w:val="clear" w:color="auto" w:fill="auto"/>
            <w:tcMar>
              <w:left w:w="28" w:type="dxa"/>
              <w:right w:w="28" w:type="dxa"/>
            </w:tcMar>
            <w:vAlign w:val="bottom"/>
          </w:tcPr>
          <w:p w14:paraId="6164FC7B" w14:textId="77777777" w:rsidR="00B04A37" w:rsidRPr="003D5688" w:rsidRDefault="00B04A37" w:rsidP="00F5292F">
            <w:pPr>
              <w:jc w:val="right"/>
              <w:rPr>
                <w:bCs w:val="0"/>
                <w:sz w:val="18"/>
                <w:szCs w:val="18"/>
                <w:lang w:val="id-ID"/>
              </w:rPr>
            </w:pPr>
          </w:p>
        </w:tc>
        <w:tc>
          <w:tcPr>
            <w:tcW w:w="108" w:type="dxa"/>
            <w:tcMar>
              <w:left w:w="28" w:type="dxa"/>
              <w:right w:w="28" w:type="dxa"/>
            </w:tcMar>
            <w:vAlign w:val="bottom"/>
          </w:tcPr>
          <w:p w14:paraId="7A36D7BE" w14:textId="77777777" w:rsidR="00B04A37" w:rsidRPr="00D204CA" w:rsidRDefault="00B04A37" w:rsidP="0013526B">
            <w:pPr>
              <w:ind w:left="-90"/>
              <w:jc w:val="right"/>
              <w:rPr>
                <w:b/>
                <w:bCs w:val="0"/>
                <w:sz w:val="18"/>
                <w:szCs w:val="18"/>
              </w:rPr>
            </w:pPr>
          </w:p>
        </w:tc>
        <w:tc>
          <w:tcPr>
            <w:tcW w:w="1507" w:type="dxa"/>
            <w:vAlign w:val="bottom"/>
          </w:tcPr>
          <w:p w14:paraId="24FF84CB" w14:textId="77777777" w:rsidR="00B04A37" w:rsidRPr="00E022E0" w:rsidRDefault="00B04A37" w:rsidP="0013526B">
            <w:pPr>
              <w:ind w:left="-90"/>
              <w:jc w:val="right"/>
              <w:rPr>
                <w:bCs w:val="0"/>
                <w:sz w:val="18"/>
                <w:szCs w:val="18"/>
              </w:rPr>
            </w:pPr>
          </w:p>
        </w:tc>
        <w:tc>
          <w:tcPr>
            <w:tcW w:w="2236" w:type="dxa"/>
            <w:vAlign w:val="bottom"/>
          </w:tcPr>
          <w:p w14:paraId="0FCD493E" w14:textId="77777777" w:rsidR="00CA71BD" w:rsidRDefault="00B04A37" w:rsidP="0013526B">
            <w:pPr>
              <w:ind w:right="57"/>
              <w:jc w:val="right"/>
              <w:rPr>
                <w:b/>
                <w:i/>
                <w:sz w:val="18"/>
                <w:szCs w:val="18"/>
              </w:rPr>
            </w:pPr>
            <w:r w:rsidRPr="00EA2E1E">
              <w:rPr>
                <w:b/>
                <w:i/>
                <w:sz w:val="18"/>
                <w:szCs w:val="18"/>
              </w:rPr>
              <w:t xml:space="preserve">OTHER </w:t>
            </w:r>
          </w:p>
          <w:p w14:paraId="79962174" w14:textId="5C504E00" w:rsidR="00B04A37" w:rsidRPr="00EA2E1E" w:rsidRDefault="00B04A37" w:rsidP="0013526B">
            <w:pPr>
              <w:ind w:right="221"/>
              <w:jc w:val="right"/>
              <w:rPr>
                <w:b/>
                <w:i/>
                <w:sz w:val="18"/>
                <w:szCs w:val="18"/>
              </w:rPr>
            </w:pPr>
            <w:r w:rsidRPr="00EA2E1E">
              <w:rPr>
                <w:b/>
                <w:i/>
                <w:sz w:val="18"/>
                <w:szCs w:val="18"/>
              </w:rPr>
              <w:t xml:space="preserve">COMPREHENSIVE </w:t>
            </w:r>
          </w:p>
          <w:p w14:paraId="0F8E6ACF" w14:textId="77777777" w:rsidR="00B04A37" w:rsidRPr="00EA2E1E" w:rsidRDefault="00B04A37" w:rsidP="00CA71BD">
            <w:pPr>
              <w:ind w:right="221"/>
              <w:jc w:val="right"/>
              <w:rPr>
                <w:b/>
                <w:bCs w:val="0"/>
                <w:i/>
                <w:color w:val="000000"/>
                <w:sz w:val="18"/>
                <w:szCs w:val="18"/>
              </w:rPr>
            </w:pPr>
            <w:r w:rsidRPr="00EA2E1E">
              <w:rPr>
                <w:b/>
                <w:i/>
                <w:sz w:val="18"/>
                <w:szCs w:val="18"/>
              </w:rPr>
              <w:t xml:space="preserve">INCOME </w:t>
            </w:r>
          </w:p>
        </w:tc>
      </w:tr>
      <w:tr w:rsidR="00B04A37" w:rsidRPr="00EA2E1E" w14:paraId="4F8DE006" w14:textId="77777777" w:rsidTr="00C92587">
        <w:trPr>
          <w:trHeight w:val="20"/>
        </w:trPr>
        <w:tc>
          <w:tcPr>
            <w:tcW w:w="2245" w:type="dxa"/>
          </w:tcPr>
          <w:p w14:paraId="6BBEAA3D" w14:textId="77777777" w:rsidR="00B04A37" w:rsidRPr="00EA2E1E" w:rsidRDefault="00B04A37" w:rsidP="0013526B">
            <w:pPr>
              <w:ind w:left="283" w:hanging="170"/>
              <w:rPr>
                <w:b/>
                <w:bCs w:val="0"/>
                <w:sz w:val="18"/>
                <w:szCs w:val="18"/>
              </w:rPr>
            </w:pPr>
            <w:r w:rsidRPr="00EA2E1E">
              <w:rPr>
                <w:b/>
                <w:sz w:val="18"/>
                <w:szCs w:val="18"/>
              </w:rPr>
              <w:t>Pos yang tidak akan direklasifikasi ke laba rugi</w:t>
            </w:r>
            <w:r w:rsidRPr="00EA2E1E">
              <w:rPr>
                <w:sz w:val="18"/>
                <w:szCs w:val="18"/>
              </w:rPr>
              <w:t xml:space="preserve"> </w:t>
            </w:r>
            <w:r w:rsidRPr="00EA2E1E">
              <w:rPr>
                <w:b/>
                <w:sz w:val="18"/>
                <w:szCs w:val="18"/>
              </w:rPr>
              <w:t>dalam periode berikutnya</w:t>
            </w:r>
          </w:p>
        </w:tc>
        <w:tc>
          <w:tcPr>
            <w:tcW w:w="1486" w:type="dxa"/>
            <w:vAlign w:val="bottom"/>
          </w:tcPr>
          <w:p w14:paraId="0C95C758" w14:textId="77777777" w:rsidR="00B04A37" w:rsidRPr="00EA2E1E" w:rsidRDefault="00B04A37" w:rsidP="0013526B">
            <w:pPr>
              <w:pStyle w:val="Default"/>
              <w:tabs>
                <w:tab w:val="left" w:pos="1380"/>
              </w:tabs>
              <w:jc w:val="center"/>
              <w:rPr>
                <w:rFonts w:ascii="Times New Roman" w:hAnsi="Times New Roman" w:cs="Times New Roman"/>
                <w:sz w:val="18"/>
                <w:szCs w:val="18"/>
                <w:highlight w:val="red"/>
              </w:rPr>
            </w:pPr>
          </w:p>
        </w:tc>
        <w:tc>
          <w:tcPr>
            <w:tcW w:w="108" w:type="dxa"/>
            <w:tcMar>
              <w:left w:w="28" w:type="dxa"/>
              <w:right w:w="28" w:type="dxa"/>
            </w:tcMar>
          </w:tcPr>
          <w:p w14:paraId="690D4512" w14:textId="77777777" w:rsidR="00B04A37" w:rsidRPr="00EA2E1E" w:rsidRDefault="00B04A37" w:rsidP="0013526B">
            <w:pPr>
              <w:jc w:val="center"/>
              <w:rPr>
                <w:b/>
                <w:bCs w:val="0"/>
                <w:sz w:val="18"/>
                <w:szCs w:val="18"/>
              </w:rPr>
            </w:pPr>
          </w:p>
        </w:tc>
        <w:tc>
          <w:tcPr>
            <w:tcW w:w="1507" w:type="dxa"/>
            <w:shd w:val="clear" w:color="auto" w:fill="auto"/>
            <w:tcMar>
              <w:left w:w="28" w:type="dxa"/>
              <w:right w:w="28" w:type="dxa"/>
            </w:tcMar>
            <w:vAlign w:val="bottom"/>
          </w:tcPr>
          <w:p w14:paraId="3D1FB608" w14:textId="77777777" w:rsidR="00B04A37" w:rsidRPr="003D5688" w:rsidRDefault="00B04A37" w:rsidP="00F5292F">
            <w:pPr>
              <w:jc w:val="right"/>
              <w:rPr>
                <w:bCs w:val="0"/>
                <w:sz w:val="18"/>
                <w:szCs w:val="18"/>
                <w:lang w:val="id-ID"/>
              </w:rPr>
            </w:pPr>
          </w:p>
        </w:tc>
        <w:tc>
          <w:tcPr>
            <w:tcW w:w="108" w:type="dxa"/>
            <w:tcMar>
              <w:left w:w="28" w:type="dxa"/>
              <w:right w:w="28" w:type="dxa"/>
            </w:tcMar>
            <w:vAlign w:val="bottom"/>
          </w:tcPr>
          <w:p w14:paraId="0497195E" w14:textId="77777777" w:rsidR="00B04A37" w:rsidRPr="00D204CA" w:rsidRDefault="00B04A37" w:rsidP="0013526B">
            <w:pPr>
              <w:ind w:left="-90"/>
              <w:jc w:val="right"/>
              <w:rPr>
                <w:b/>
                <w:bCs w:val="0"/>
                <w:sz w:val="18"/>
                <w:szCs w:val="18"/>
              </w:rPr>
            </w:pPr>
          </w:p>
        </w:tc>
        <w:tc>
          <w:tcPr>
            <w:tcW w:w="1507" w:type="dxa"/>
            <w:vAlign w:val="bottom"/>
          </w:tcPr>
          <w:p w14:paraId="33B4D110" w14:textId="73F691F2" w:rsidR="00B04A37" w:rsidRPr="00E022E0" w:rsidRDefault="00B04A37" w:rsidP="0013526B">
            <w:pPr>
              <w:ind w:left="-90"/>
              <w:jc w:val="right"/>
              <w:rPr>
                <w:bCs w:val="0"/>
                <w:sz w:val="18"/>
                <w:szCs w:val="18"/>
              </w:rPr>
            </w:pPr>
          </w:p>
        </w:tc>
        <w:tc>
          <w:tcPr>
            <w:tcW w:w="2236" w:type="dxa"/>
            <w:vAlign w:val="bottom"/>
          </w:tcPr>
          <w:p w14:paraId="2089C757" w14:textId="77777777" w:rsidR="00CA71BD" w:rsidRDefault="00B04A37" w:rsidP="00CA71BD">
            <w:pPr>
              <w:ind w:right="57"/>
              <w:jc w:val="right"/>
              <w:rPr>
                <w:b/>
                <w:i/>
                <w:sz w:val="18"/>
                <w:szCs w:val="18"/>
              </w:rPr>
            </w:pPr>
            <w:r w:rsidRPr="00EA2E1E">
              <w:rPr>
                <w:b/>
                <w:i/>
                <w:sz w:val="18"/>
                <w:szCs w:val="18"/>
              </w:rPr>
              <w:t xml:space="preserve">Items Not to be Reclassified </w:t>
            </w:r>
          </w:p>
          <w:p w14:paraId="38CA9A4A" w14:textId="62A9A0C6" w:rsidR="00B04A37" w:rsidRPr="00EA2E1E" w:rsidRDefault="00B04A37" w:rsidP="00CA71BD">
            <w:pPr>
              <w:ind w:right="221"/>
              <w:jc w:val="right"/>
              <w:rPr>
                <w:b/>
                <w:i/>
                <w:sz w:val="18"/>
                <w:szCs w:val="18"/>
              </w:rPr>
            </w:pPr>
            <w:r w:rsidRPr="00EA2E1E">
              <w:rPr>
                <w:b/>
                <w:i/>
                <w:sz w:val="18"/>
                <w:szCs w:val="18"/>
              </w:rPr>
              <w:t>to Profit or Loss in Subsequent Periods:</w:t>
            </w:r>
          </w:p>
        </w:tc>
      </w:tr>
      <w:tr w:rsidR="00467A49" w:rsidRPr="00EA2E1E" w14:paraId="42411367" w14:textId="77777777" w:rsidTr="00C92587">
        <w:trPr>
          <w:trHeight w:val="20"/>
        </w:trPr>
        <w:tc>
          <w:tcPr>
            <w:tcW w:w="2245" w:type="dxa"/>
          </w:tcPr>
          <w:p w14:paraId="74241368" w14:textId="77777777" w:rsidR="00467A49" w:rsidRPr="00EA2E1E" w:rsidRDefault="00467A49" w:rsidP="00467A49">
            <w:pPr>
              <w:ind w:left="283" w:hanging="170"/>
              <w:rPr>
                <w:bCs w:val="0"/>
                <w:caps/>
                <w:color w:val="FF0000"/>
                <w:sz w:val="18"/>
                <w:szCs w:val="18"/>
                <w:vertAlign w:val="superscript"/>
              </w:rPr>
            </w:pPr>
            <w:r w:rsidRPr="00EA2E1E">
              <w:rPr>
                <w:sz w:val="18"/>
                <w:szCs w:val="18"/>
              </w:rPr>
              <w:t>Pengukuran kembali program imbalan pasti</w:t>
            </w:r>
          </w:p>
        </w:tc>
        <w:tc>
          <w:tcPr>
            <w:tcW w:w="1486" w:type="dxa"/>
            <w:vAlign w:val="bottom"/>
          </w:tcPr>
          <w:p w14:paraId="27096E26" w14:textId="69DDCD1A" w:rsidR="00467A49" w:rsidRPr="008927B5" w:rsidRDefault="00467A49" w:rsidP="00467A49">
            <w:pPr>
              <w:pStyle w:val="Default"/>
              <w:tabs>
                <w:tab w:val="left" w:pos="1380"/>
              </w:tabs>
              <w:jc w:val="center"/>
              <w:rPr>
                <w:rFonts w:ascii="Times New Roman" w:hAnsi="Times New Roman" w:cs="Times New Roman"/>
                <w:color w:val="auto"/>
                <w:sz w:val="18"/>
                <w:szCs w:val="18"/>
                <w:highlight w:val="red"/>
              </w:rPr>
            </w:pPr>
            <w:r w:rsidRPr="008327EB">
              <w:rPr>
                <w:rFonts w:ascii="Times New Roman" w:hAnsi="Times New Roman" w:cs="Times New Roman"/>
                <w:color w:val="auto"/>
                <w:sz w:val="18"/>
                <w:szCs w:val="18"/>
              </w:rPr>
              <w:t>3n</w:t>
            </w:r>
          </w:p>
        </w:tc>
        <w:tc>
          <w:tcPr>
            <w:tcW w:w="108" w:type="dxa"/>
            <w:tcMar>
              <w:left w:w="28" w:type="dxa"/>
              <w:right w:w="28" w:type="dxa"/>
            </w:tcMar>
          </w:tcPr>
          <w:p w14:paraId="2FD37AE7" w14:textId="77777777" w:rsidR="00467A49" w:rsidRPr="00EA2E1E" w:rsidRDefault="00467A49" w:rsidP="00467A49">
            <w:pPr>
              <w:jc w:val="center"/>
              <w:rPr>
                <w:b/>
                <w:bCs w:val="0"/>
                <w:sz w:val="18"/>
                <w:szCs w:val="18"/>
              </w:rPr>
            </w:pPr>
          </w:p>
        </w:tc>
        <w:tc>
          <w:tcPr>
            <w:tcW w:w="1507" w:type="dxa"/>
            <w:shd w:val="clear" w:color="auto" w:fill="auto"/>
            <w:tcMar>
              <w:left w:w="28" w:type="dxa"/>
              <w:right w:w="28" w:type="dxa"/>
            </w:tcMar>
            <w:vAlign w:val="bottom"/>
          </w:tcPr>
          <w:p w14:paraId="5F1EB440" w14:textId="5F006DCC" w:rsidR="00467A49" w:rsidRPr="003D5688" w:rsidRDefault="00B60824" w:rsidP="00E3299B">
            <w:pPr>
              <w:jc w:val="right"/>
              <w:rPr>
                <w:bCs w:val="0"/>
                <w:sz w:val="18"/>
                <w:szCs w:val="18"/>
                <w:lang w:val="id-ID"/>
              </w:rPr>
            </w:pPr>
            <w:r>
              <w:rPr>
                <w:sz w:val="18"/>
                <w:szCs w:val="18"/>
              </w:rPr>
              <w:t>(</w:t>
            </w:r>
            <w:r>
              <w:rPr>
                <w:sz w:val="18"/>
                <w:szCs w:val="18"/>
                <w:lang w:val="id-ID"/>
              </w:rPr>
              <w:t>235</w:t>
            </w:r>
            <w:r>
              <w:rPr>
                <w:sz w:val="18"/>
                <w:szCs w:val="18"/>
              </w:rPr>
              <w:t>.</w:t>
            </w:r>
            <w:r>
              <w:rPr>
                <w:sz w:val="18"/>
                <w:szCs w:val="18"/>
                <w:lang w:val="id-ID"/>
              </w:rPr>
              <w:t>037</w:t>
            </w:r>
            <w:r>
              <w:rPr>
                <w:sz w:val="18"/>
                <w:szCs w:val="18"/>
              </w:rPr>
              <w:t>.</w:t>
            </w:r>
            <w:r>
              <w:rPr>
                <w:sz w:val="18"/>
                <w:szCs w:val="18"/>
                <w:lang w:val="id-ID"/>
              </w:rPr>
              <w:t>546</w:t>
            </w:r>
            <w:r w:rsidR="00392752" w:rsidRPr="003D5688">
              <w:rPr>
                <w:sz w:val="18"/>
                <w:szCs w:val="18"/>
              </w:rPr>
              <w:t>)</w:t>
            </w:r>
            <w:r w:rsidR="00467A49" w:rsidRPr="003D5688">
              <w:rPr>
                <w:sz w:val="18"/>
                <w:szCs w:val="18"/>
              </w:rPr>
              <w:t xml:space="preserve">      </w:t>
            </w:r>
          </w:p>
        </w:tc>
        <w:tc>
          <w:tcPr>
            <w:tcW w:w="108" w:type="dxa"/>
            <w:tcMar>
              <w:left w:w="28" w:type="dxa"/>
              <w:right w:w="28" w:type="dxa"/>
            </w:tcMar>
            <w:vAlign w:val="bottom"/>
          </w:tcPr>
          <w:p w14:paraId="37F5EE44" w14:textId="77777777" w:rsidR="00467A49" w:rsidRPr="00D204CA" w:rsidRDefault="00467A49" w:rsidP="00467A49">
            <w:pPr>
              <w:ind w:left="-90"/>
              <w:jc w:val="right"/>
              <w:rPr>
                <w:b/>
                <w:bCs w:val="0"/>
                <w:sz w:val="18"/>
                <w:szCs w:val="18"/>
              </w:rPr>
            </w:pPr>
          </w:p>
        </w:tc>
        <w:tc>
          <w:tcPr>
            <w:tcW w:w="1507" w:type="dxa"/>
            <w:vAlign w:val="bottom"/>
          </w:tcPr>
          <w:p w14:paraId="70C27992" w14:textId="3791CA6A" w:rsidR="00467A49" w:rsidRPr="00E022E0" w:rsidRDefault="00936BA3" w:rsidP="00467A49">
            <w:pPr>
              <w:ind w:right="57"/>
              <w:jc w:val="right"/>
              <w:rPr>
                <w:sz w:val="18"/>
                <w:szCs w:val="18"/>
              </w:rPr>
            </w:pPr>
            <w:r w:rsidRPr="00E022E0">
              <w:rPr>
                <w:bCs w:val="0"/>
                <w:sz w:val="18"/>
                <w:szCs w:val="18"/>
              </w:rPr>
              <w:t>702</w:t>
            </w:r>
            <w:r w:rsidR="00870FD0">
              <w:rPr>
                <w:bCs w:val="0"/>
                <w:sz w:val="18"/>
                <w:szCs w:val="18"/>
              </w:rPr>
              <w:t>.</w:t>
            </w:r>
            <w:r w:rsidRPr="00E022E0">
              <w:rPr>
                <w:bCs w:val="0"/>
                <w:sz w:val="18"/>
                <w:szCs w:val="18"/>
              </w:rPr>
              <w:t>938</w:t>
            </w:r>
            <w:r w:rsidR="00870FD0">
              <w:rPr>
                <w:bCs w:val="0"/>
                <w:sz w:val="18"/>
                <w:szCs w:val="18"/>
              </w:rPr>
              <w:t>.</w:t>
            </w:r>
            <w:r w:rsidRPr="00E022E0">
              <w:rPr>
                <w:bCs w:val="0"/>
                <w:sz w:val="18"/>
                <w:szCs w:val="18"/>
              </w:rPr>
              <w:t>182</w:t>
            </w:r>
          </w:p>
        </w:tc>
        <w:tc>
          <w:tcPr>
            <w:tcW w:w="2236" w:type="dxa"/>
            <w:vAlign w:val="bottom"/>
          </w:tcPr>
          <w:p w14:paraId="6FBED231" w14:textId="77777777" w:rsidR="00467A49" w:rsidRPr="00EA2E1E" w:rsidRDefault="00467A49" w:rsidP="00467A49">
            <w:pPr>
              <w:ind w:right="57"/>
              <w:jc w:val="right"/>
              <w:rPr>
                <w:i/>
                <w:sz w:val="18"/>
                <w:szCs w:val="18"/>
              </w:rPr>
            </w:pPr>
            <w:r w:rsidRPr="00EA2E1E">
              <w:rPr>
                <w:i/>
                <w:sz w:val="18"/>
                <w:szCs w:val="18"/>
              </w:rPr>
              <w:t xml:space="preserve">Remeasurement on defined </w:t>
            </w:r>
          </w:p>
          <w:p w14:paraId="0692A142" w14:textId="77777777" w:rsidR="00467A49" w:rsidRPr="00EA2E1E" w:rsidRDefault="00467A49" w:rsidP="00467A49">
            <w:pPr>
              <w:ind w:right="284"/>
              <w:jc w:val="right"/>
              <w:rPr>
                <w:i/>
                <w:sz w:val="18"/>
                <w:szCs w:val="18"/>
              </w:rPr>
            </w:pPr>
            <w:r w:rsidRPr="00EA2E1E">
              <w:rPr>
                <w:i/>
                <w:sz w:val="18"/>
                <w:szCs w:val="18"/>
              </w:rPr>
              <w:t>benefit program</w:t>
            </w:r>
          </w:p>
        </w:tc>
      </w:tr>
      <w:tr w:rsidR="00467A49" w:rsidRPr="00EA2E1E" w14:paraId="5579F035" w14:textId="77777777" w:rsidTr="00C92587">
        <w:trPr>
          <w:trHeight w:val="20"/>
        </w:trPr>
        <w:tc>
          <w:tcPr>
            <w:tcW w:w="2245" w:type="dxa"/>
            <w:vAlign w:val="bottom"/>
          </w:tcPr>
          <w:p w14:paraId="5592399F" w14:textId="77777777" w:rsidR="00467A49" w:rsidRPr="00A57A39" w:rsidRDefault="00467A49" w:rsidP="00467A49">
            <w:pPr>
              <w:ind w:left="426" w:hanging="284"/>
              <w:rPr>
                <w:bCs w:val="0"/>
                <w:color w:val="FF0000"/>
                <w:sz w:val="18"/>
                <w:szCs w:val="18"/>
                <w:vertAlign w:val="superscript"/>
              </w:rPr>
            </w:pPr>
            <w:r w:rsidRPr="00A57A39">
              <w:rPr>
                <w:sz w:val="18"/>
                <w:szCs w:val="18"/>
              </w:rPr>
              <w:t>Pajak penghasilan terkait</w:t>
            </w:r>
          </w:p>
        </w:tc>
        <w:tc>
          <w:tcPr>
            <w:tcW w:w="1486" w:type="dxa"/>
            <w:vAlign w:val="center"/>
          </w:tcPr>
          <w:p w14:paraId="65B9757B" w14:textId="4213F704" w:rsidR="00467A49" w:rsidRPr="00A57A39" w:rsidRDefault="00467A49" w:rsidP="00467A49">
            <w:pPr>
              <w:pStyle w:val="Default"/>
              <w:tabs>
                <w:tab w:val="left" w:pos="1380"/>
              </w:tabs>
              <w:jc w:val="center"/>
              <w:rPr>
                <w:rFonts w:ascii="Times New Roman" w:hAnsi="Times New Roman" w:cs="Times New Roman"/>
                <w:color w:val="auto"/>
                <w:sz w:val="18"/>
                <w:szCs w:val="18"/>
                <w:lang w:val="en-ID"/>
              </w:rPr>
            </w:pPr>
            <w:r w:rsidRPr="00A57A39">
              <w:rPr>
                <w:rFonts w:ascii="Times New Roman" w:hAnsi="Times New Roman" w:cs="Times New Roman"/>
                <w:color w:val="auto"/>
                <w:sz w:val="18"/>
                <w:szCs w:val="18"/>
              </w:rPr>
              <w:t>3m</w:t>
            </w:r>
          </w:p>
        </w:tc>
        <w:tc>
          <w:tcPr>
            <w:tcW w:w="108" w:type="dxa"/>
            <w:tcMar>
              <w:left w:w="28" w:type="dxa"/>
              <w:right w:w="28" w:type="dxa"/>
            </w:tcMar>
          </w:tcPr>
          <w:p w14:paraId="16DCDF08" w14:textId="77777777" w:rsidR="00467A49" w:rsidRPr="00A57A39" w:rsidRDefault="00467A49" w:rsidP="00467A49">
            <w:pPr>
              <w:jc w:val="center"/>
              <w:rPr>
                <w:b/>
                <w:bCs w:val="0"/>
                <w:sz w:val="18"/>
                <w:szCs w:val="18"/>
              </w:rPr>
            </w:pPr>
          </w:p>
        </w:tc>
        <w:tc>
          <w:tcPr>
            <w:tcW w:w="1507" w:type="dxa"/>
            <w:tcBorders>
              <w:bottom w:val="single" w:sz="4" w:space="0" w:color="auto"/>
            </w:tcBorders>
            <w:shd w:val="clear" w:color="auto" w:fill="auto"/>
            <w:tcMar>
              <w:left w:w="28" w:type="dxa"/>
              <w:right w:w="28" w:type="dxa"/>
            </w:tcMar>
            <w:vAlign w:val="bottom"/>
          </w:tcPr>
          <w:p w14:paraId="3264E63C" w14:textId="363045A4" w:rsidR="00467A49" w:rsidRPr="003D5688" w:rsidRDefault="00392752" w:rsidP="00392752">
            <w:pPr>
              <w:jc w:val="right"/>
              <w:rPr>
                <w:bCs w:val="0"/>
                <w:sz w:val="18"/>
                <w:szCs w:val="18"/>
              </w:rPr>
            </w:pPr>
            <w:r w:rsidRPr="003D5688">
              <w:rPr>
                <w:sz w:val="18"/>
                <w:szCs w:val="18"/>
                <w:lang w:val="id-ID"/>
              </w:rPr>
              <w:t>-</w:t>
            </w:r>
            <w:r w:rsidR="00467A49" w:rsidRPr="003D5688">
              <w:rPr>
                <w:sz w:val="18"/>
                <w:szCs w:val="18"/>
              </w:rPr>
              <w:t xml:space="preserve">       </w:t>
            </w:r>
          </w:p>
        </w:tc>
        <w:tc>
          <w:tcPr>
            <w:tcW w:w="108" w:type="dxa"/>
            <w:tcMar>
              <w:left w:w="28" w:type="dxa"/>
              <w:right w:w="28" w:type="dxa"/>
            </w:tcMar>
            <w:vAlign w:val="bottom"/>
          </w:tcPr>
          <w:p w14:paraId="63E16BB4" w14:textId="77777777" w:rsidR="00467A49" w:rsidRPr="00A57A39" w:rsidRDefault="00467A49" w:rsidP="00467A49">
            <w:pPr>
              <w:ind w:left="-90"/>
              <w:jc w:val="right"/>
              <w:rPr>
                <w:b/>
                <w:bCs w:val="0"/>
                <w:sz w:val="18"/>
                <w:szCs w:val="18"/>
              </w:rPr>
            </w:pPr>
          </w:p>
        </w:tc>
        <w:tc>
          <w:tcPr>
            <w:tcW w:w="1507" w:type="dxa"/>
            <w:tcBorders>
              <w:bottom w:val="single" w:sz="4" w:space="0" w:color="auto"/>
            </w:tcBorders>
            <w:vAlign w:val="bottom"/>
          </w:tcPr>
          <w:p w14:paraId="59EDC569" w14:textId="66F52A28" w:rsidR="00467A49" w:rsidRPr="00E022E0" w:rsidRDefault="00936BA3" w:rsidP="00CD5953">
            <w:pPr>
              <w:ind w:right="57"/>
              <w:jc w:val="right"/>
              <w:rPr>
                <w:sz w:val="18"/>
                <w:szCs w:val="18"/>
              </w:rPr>
            </w:pPr>
            <w:r w:rsidRPr="00E022E0">
              <w:rPr>
                <w:bCs w:val="0"/>
                <w:sz w:val="18"/>
                <w:szCs w:val="18"/>
              </w:rPr>
              <w:t>( 175</w:t>
            </w:r>
            <w:r w:rsidR="00870FD0">
              <w:rPr>
                <w:bCs w:val="0"/>
                <w:sz w:val="18"/>
                <w:szCs w:val="18"/>
              </w:rPr>
              <w:t>.</w:t>
            </w:r>
            <w:r w:rsidRPr="00E022E0">
              <w:rPr>
                <w:bCs w:val="0"/>
                <w:sz w:val="18"/>
                <w:szCs w:val="18"/>
              </w:rPr>
              <w:t>734</w:t>
            </w:r>
            <w:r w:rsidR="00870FD0">
              <w:rPr>
                <w:bCs w:val="0"/>
                <w:sz w:val="18"/>
                <w:szCs w:val="18"/>
              </w:rPr>
              <w:t>.</w:t>
            </w:r>
            <w:r w:rsidRPr="00E022E0">
              <w:rPr>
                <w:bCs w:val="0"/>
                <w:sz w:val="18"/>
                <w:szCs w:val="18"/>
              </w:rPr>
              <w:t>546)</w:t>
            </w:r>
          </w:p>
        </w:tc>
        <w:tc>
          <w:tcPr>
            <w:tcW w:w="2236" w:type="dxa"/>
            <w:vAlign w:val="bottom"/>
          </w:tcPr>
          <w:p w14:paraId="11BB3200" w14:textId="77777777" w:rsidR="00467A49" w:rsidRPr="00EA2E1E" w:rsidRDefault="00467A49" w:rsidP="00467A49">
            <w:pPr>
              <w:ind w:right="57"/>
              <w:jc w:val="right"/>
              <w:rPr>
                <w:bCs w:val="0"/>
                <w:i/>
                <w:sz w:val="18"/>
                <w:szCs w:val="18"/>
              </w:rPr>
            </w:pPr>
            <w:r w:rsidRPr="00A57A39">
              <w:rPr>
                <w:i/>
                <w:sz w:val="18"/>
                <w:szCs w:val="18"/>
              </w:rPr>
              <w:t>Related income tax</w:t>
            </w:r>
          </w:p>
        </w:tc>
      </w:tr>
      <w:tr w:rsidR="00B04A37" w:rsidRPr="00EA2E1E" w14:paraId="12B0679D" w14:textId="77777777" w:rsidTr="00C92587">
        <w:trPr>
          <w:trHeight w:val="20"/>
        </w:trPr>
        <w:tc>
          <w:tcPr>
            <w:tcW w:w="2245" w:type="dxa"/>
          </w:tcPr>
          <w:p w14:paraId="420102A9" w14:textId="77777777" w:rsidR="00B04A37" w:rsidRPr="00EA2E1E" w:rsidRDefault="00B04A37" w:rsidP="0013526B">
            <w:pPr>
              <w:ind w:left="426" w:hanging="284"/>
              <w:rPr>
                <w:sz w:val="18"/>
                <w:szCs w:val="18"/>
              </w:rPr>
            </w:pPr>
          </w:p>
        </w:tc>
        <w:tc>
          <w:tcPr>
            <w:tcW w:w="1486" w:type="dxa"/>
            <w:vAlign w:val="center"/>
          </w:tcPr>
          <w:p w14:paraId="3BCFEC54" w14:textId="77777777" w:rsidR="00B04A37" w:rsidRPr="00EA2E1E" w:rsidRDefault="00B04A37" w:rsidP="0013526B">
            <w:pPr>
              <w:pStyle w:val="Default"/>
              <w:tabs>
                <w:tab w:val="left" w:pos="1380"/>
              </w:tabs>
              <w:jc w:val="center"/>
              <w:rPr>
                <w:rFonts w:ascii="Times New Roman" w:hAnsi="Times New Roman" w:cs="Times New Roman"/>
                <w:sz w:val="18"/>
                <w:szCs w:val="18"/>
                <w:highlight w:val="red"/>
              </w:rPr>
            </w:pPr>
          </w:p>
        </w:tc>
        <w:tc>
          <w:tcPr>
            <w:tcW w:w="108" w:type="dxa"/>
            <w:tcMar>
              <w:left w:w="28" w:type="dxa"/>
              <w:right w:w="28" w:type="dxa"/>
            </w:tcMar>
          </w:tcPr>
          <w:p w14:paraId="32AA31AD" w14:textId="77777777" w:rsidR="00B04A37" w:rsidRPr="00EA2E1E" w:rsidRDefault="00B04A37" w:rsidP="0013526B">
            <w:pPr>
              <w:jc w:val="center"/>
              <w:rPr>
                <w:b/>
                <w:bCs w:val="0"/>
                <w:sz w:val="18"/>
                <w:szCs w:val="18"/>
              </w:rPr>
            </w:pPr>
          </w:p>
        </w:tc>
        <w:tc>
          <w:tcPr>
            <w:tcW w:w="1507" w:type="dxa"/>
            <w:tcBorders>
              <w:top w:val="single" w:sz="4" w:space="0" w:color="auto"/>
            </w:tcBorders>
            <w:shd w:val="clear" w:color="auto" w:fill="auto"/>
            <w:tcMar>
              <w:left w:w="28" w:type="dxa"/>
              <w:right w:w="28" w:type="dxa"/>
            </w:tcMar>
            <w:vAlign w:val="bottom"/>
          </w:tcPr>
          <w:p w14:paraId="4640878C" w14:textId="77777777" w:rsidR="00B04A37" w:rsidRPr="003D5688" w:rsidRDefault="00B04A37" w:rsidP="00F5292F">
            <w:pPr>
              <w:jc w:val="right"/>
              <w:rPr>
                <w:bCs w:val="0"/>
                <w:sz w:val="18"/>
                <w:szCs w:val="18"/>
                <w:lang w:val="id-ID"/>
              </w:rPr>
            </w:pPr>
          </w:p>
        </w:tc>
        <w:tc>
          <w:tcPr>
            <w:tcW w:w="108" w:type="dxa"/>
            <w:tcMar>
              <w:left w:w="28" w:type="dxa"/>
              <w:right w:w="28" w:type="dxa"/>
            </w:tcMar>
            <w:vAlign w:val="bottom"/>
          </w:tcPr>
          <w:p w14:paraId="349CED90" w14:textId="77777777" w:rsidR="00B04A37" w:rsidRPr="00D204CA" w:rsidRDefault="00B04A37" w:rsidP="0013526B">
            <w:pPr>
              <w:ind w:left="-90"/>
              <w:jc w:val="right"/>
              <w:rPr>
                <w:b/>
                <w:bCs w:val="0"/>
                <w:sz w:val="18"/>
                <w:szCs w:val="18"/>
              </w:rPr>
            </w:pPr>
          </w:p>
        </w:tc>
        <w:tc>
          <w:tcPr>
            <w:tcW w:w="1507" w:type="dxa"/>
            <w:tcBorders>
              <w:top w:val="single" w:sz="4" w:space="0" w:color="auto"/>
            </w:tcBorders>
            <w:vAlign w:val="bottom"/>
          </w:tcPr>
          <w:p w14:paraId="03526FC7" w14:textId="77777777" w:rsidR="00B04A37" w:rsidRPr="00E022E0" w:rsidRDefault="00B04A37" w:rsidP="0013526B">
            <w:pPr>
              <w:ind w:right="57"/>
              <w:jc w:val="right"/>
              <w:rPr>
                <w:bCs w:val="0"/>
                <w:sz w:val="18"/>
                <w:szCs w:val="18"/>
              </w:rPr>
            </w:pPr>
          </w:p>
        </w:tc>
        <w:tc>
          <w:tcPr>
            <w:tcW w:w="2236" w:type="dxa"/>
            <w:vAlign w:val="bottom"/>
          </w:tcPr>
          <w:p w14:paraId="0C96DD31" w14:textId="77777777" w:rsidR="00B04A37" w:rsidRPr="00EA2E1E" w:rsidRDefault="00B04A37" w:rsidP="0013526B">
            <w:pPr>
              <w:ind w:right="57"/>
              <w:jc w:val="right"/>
              <w:rPr>
                <w:i/>
                <w:sz w:val="18"/>
                <w:szCs w:val="18"/>
              </w:rPr>
            </w:pPr>
          </w:p>
        </w:tc>
      </w:tr>
      <w:tr w:rsidR="00B04A37" w:rsidRPr="00EA2E1E" w14:paraId="04CD6ED2" w14:textId="77777777" w:rsidTr="00C92587">
        <w:trPr>
          <w:trHeight w:val="20"/>
        </w:trPr>
        <w:tc>
          <w:tcPr>
            <w:tcW w:w="2245" w:type="dxa"/>
          </w:tcPr>
          <w:p w14:paraId="1483AF18" w14:textId="61F151E0" w:rsidR="00B04A37" w:rsidRPr="00EA2E1E" w:rsidRDefault="00261A7F" w:rsidP="0013526B">
            <w:pPr>
              <w:ind w:left="283" w:hanging="170"/>
              <w:rPr>
                <w:bCs w:val="0"/>
                <w:sz w:val="18"/>
                <w:szCs w:val="18"/>
              </w:rPr>
            </w:pPr>
            <w:r w:rsidRPr="00EA2E1E">
              <w:rPr>
                <w:sz w:val="18"/>
                <w:szCs w:val="18"/>
              </w:rPr>
              <w:t>Penghasilan komprehensif lain tahun berjalan setelah pajak</w:t>
            </w:r>
          </w:p>
        </w:tc>
        <w:tc>
          <w:tcPr>
            <w:tcW w:w="1486" w:type="dxa"/>
            <w:vAlign w:val="bottom"/>
          </w:tcPr>
          <w:p w14:paraId="1AE0F7BC" w14:textId="77777777" w:rsidR="00B04A37" w:rsidRPr="00EA2E1E" w:rsidRDefault="00B04A37" w:rsidP="0013526B">
            <w:pPr>
              <w:jc w:val="center"/>
              <w:rPr>
                <w:bCs w:val="0"/>
                <w:sz w:val="18"/>
                <w:szCs w:val="18"/>
                <w:highlight w:val="red"/>
              </w:rPr>
            </w:pPr>
          </w:p>
        </w:tc>
        <w:tc>
          <w:tcPr>
            <w:tcW w:w="108" w:type="dxa"/>
            <w:tcMar>
              <w:left w:w="28" w:type="dxa"/>
              <w:right w:w="28" w:type="dxa"/>
            </w:tcMar>
          </w:tcPr>
          <w:p w14:paraId="438CB87B" w14:textId="77777777" w:rsidR="00B04A37" w:rsidRPr="00EA2E1E" w:rsidRDefault="00B04A37" w:rsidP="0013526B">
            <w:pPr>
              <w:jc w:val="center"/>
              <w:rPr>
                <w:b/>
                <w:bCs w:val="0"/>
                <w:sz w:val="18"/>
                <w:szCs w:val="18"/>
              </w:rPr>
            </w:pPr>
          </w:p>
        </w:tc>
        <w:tc>
          <w:tcPr>
            <w:tcW w:w="1507" w:type="dxa"/>
            <w:tcBorders>
              <w:bottom w:val="single" w:sz="4" w:space="0" w:color="auto"/>
            </w:tcBorders>
            <w:shd w:val="clear" w:color="auto" w:fill="auto"/>
            <w:tcMar>
              <w:left w:w="28" w:type="dxa"/>
              <w:right w:w="28" w:type="dxa"/>
            </w:tcMar>
            <w:vAlign w:val="bottom"/>
          </w:tcPr>
          <w:p w14:paraId="088E2C54" w14:textId="6DE8666F" w:rsidR="00B04A37" w:rsidRPr="003D5688" w:rsidRDefault="00B60824" w:rsidP="00B84C22">
            <w:pPr>
              <w:jc w:val="right"/>
              <w:rPr>
                <w:bCs w:val="0"/>
                <w:sz w:val="18"/>
                <w:szCs w:val="18"/>
              </w:rPr>
            </w:pPr>
            <w:r>
              <w:rPr>
                <w:sz w:val="18"/>
                <w:szCs w:val="18"/>
              </w:rPr>
              <w:t>(</w:t>
            </w:r>
            <w:r>
              <w:rPr>
                <w:sz w:val="18"/>
                <w:szCs w:val="18"/>
                <w:lang w:val="id-ID"/>
              </w:rPr>
              <w:t>235</w:t>
            </w:r>
            <w:r>
              <w:rPr>
                <w:sz w:val="18"/>
                <w:szCs w:val="18"/>
              </w:rPr>
              <w:t>.</w:t>
            </w:r>
            <w:r>
              <w:rPr>
                <w:sz w:val="18"/>
                <w:szCs w:val="18"/>
                <w:lang w:val="id-ID"/>
              </w:rPr>
              <w:t>037</w:t>
            </w:r>
            <w:r>
              <w:rPr>
                <w:sz w:val="18"/>
                <w:szCs w:val="18"/>
              </w:rPr>
              <w:t>.</w:t>
            </w:r>
            <w:r>
              <w:rPr>
                <w:sz w:val="18"/>
                <w:szCs w:val="18"/>
                <w:lang w:val="id-ID"/>
              </w:rPr>
              <w:t>546</w:t>
            </w:r>
            <w:r w:rsidR="00392752" w:rsidRPr="003D5688">
              <w:rPr>
                <w:sz w:val="18"/>
                <w:szCs w:val="18"/>
              </w:rPr>
              <w:t xml:space="preserve">)      </w:t>
            </w:r>
          </w:p>
        </w:tc>
        <w:tc>
          <w:tcPr>
            <w:tcW w:w="108" w:type="dxa"/>
            <w:tcMar>
              <w:left w:w="28" w:type="dxa"/>
              <w:right w:w="28" w:type="dxa"/>
            </w:tcMar>
            <w:vAlign w:val="bottom"/>
          </w:tcPr>
          <w:p w14:paraId="51474205" w14:textId="77777777" w:rsidR="00B04A37" w:rsidRPr="00D204CA" w:rsidRDefault="00B04A37" w:rsidP="0013526B">
            <w:pPr>
              <w:ind w:left="-90"/>
              <w:jc w:val="right"/>
              <w:rPr>
                <w:b/>
                <w:sz w:val="18"/>
                <w:szCs w:val="18"/>
              </w:rPr>
            </w:pPr>
          </w:p>
        </w:tc>
        <w:tc>
          <w:tcPr>
            <w:tcW w:w="1507" w:type="dxa"/>
            <w:tcBorders>
              <w:bottom w:val="single" w:sz="4" w:space="0" w:color="auto"/>
            </w:tcBorders>
            <w:vAlign w:val="bottom"/>
          </w:tcPr>
          <w:p w14:paraId="35BC99CD" w14:textId="0B764A3A" w:rsidR="00B04A37" w:rsidRPr="00E022E0" w:rsidRDefault="00936BA3" w:rsidP="0013526B">
            <w:pPr>
              <w:ind w:right="57"/>
              <w:jc w:val="right"/>
              <w:rPr>
                <w:sz w:val="18"/>
                <w:szCs w:val="18"/>
              </w:rPr>
            </w:pPr>
            <w:r w:rsidRPr="00E022E0">
              <w:rPr>
                <w:bCs w:val="0"/>
                <w:sz w:val="18"/>
                <w:szCs w:val="18"/>
              </w:rPr>
              <w:t>527</w:t>
            </w:r>
            <w:r w:rsidR="00870FD0">
              <w:rPr>
                <w:bCs w:val="0"/>
                <w:sz w:val="18"/>
                <w:szCs w:val="18"/>
              </w:rPr>
              <w:t>.</w:t>
            </w:r>
            <w:r w:rsidRPr="00E022E0">
              <w:rPr>
                <w:bCs w:val="0"/>
                <w:sz w:val="18"/>
                <w:szCs w:val="18"/>
              </w:rPr>
              <w:t>203</w:t>
            </w:r>
            <w:r w:rsidR="00870FD0">
              <w:rPr>
                <w:bCs w:val="0"/>
                <w:sz w:val="18"/>
                <w:szCs w:val="18"/>
              </w:rPr>
              <w:t>.</w:t>
            </w:r>
            <w:r w:rsidRPr="00E022E0">
              <w:rPr>
                <w:bCs w:val="0"/>
                <w:sz w:val="18"/>
                <w:szCs w:val="18"/>
              </w:rPr>
              <w:t>636</w:t>
            </w:r>
          </w:p>
        </w:tc>
        <w:tc>
          <w:tcPr>
            <w:tcW w:w="2236" w:type="dxa"/>
            <w:vAlign w:val="bottom"/>
          </w:tcPr>
          <w:p w14:paraId="10427258" w14:textId="77777777" w:rsidR="00F66C0F" w:rsidRDefault="00261A7F" w:rsidP="0013526B">
            <w:pPr>
              <w:ind w:right="57"/>
              <w:jc w:val="right"/>
              <w:rPr>
                <w:i/>
                <w:sz w:val="18"/>
                <w:szCs w:val="18"/>
              </w:rPr>
            </w:pPr>
            <w:r w:rsidRPr="00EA2E1E">
              <w:rPr>
                <w:i/>
                <w:sz w:val="18"/>
                <w:szCs w:val="18"/>
              </w:rPr>
              <w:t xml:space="preserve">Other comprehensive </w:t>
            </w:r>
          </w:p>
          <w:p w14:paraId="4F6C24B7" w14:textId="77777777" w:rsidR="00F66C0F" w:rsidRDefault="00261A7F" w:rsidP="00F66C0F">
            <w:pPr>
              <w:ind w:right="287"/>
              <w:jc w:val="right"/>
              <w:rPr>
                <w:i/>
                <w:sz w:val="18"/>
                <w:szCs w:val="18"/>
              </w:rPr>
            </w:pPr>
            <w:r w:rsidRPr="00EA2E1E">
              <w:rPr>
                <w:i/>
                <w:sz w:val="18"/>
                <w:szCs w:val="18"/>
              </w:rPr>
              <w:t xml:space="preserve">income for the </w:t>
            </w:r>
            <w:r w:rsidR="00F66C0F">
              <w:rPr>
                <w:i/>
                <w:sz w:val="18"/>
                <w:szCs w:val="18"/>
              </w:rPr>
              <w:t xml:space="preserve"> </w:t>
            </w:r>
            <w:r w:rsidRPr="00EA2E1E">
              <w:rPr>
                <w:i/>
                <w:sz w:val="18"/>
                <w:szCs w:val="18"/>
              </w:rPr>
              <w:t xml:space="preserve">year </w:t>
            </w:r>
          </w:p>
          <w:p w14:paraId="1F651B1A" w14:textId="28C2ACCE" w:rsidR="00B04A37" w:rsidRPr="00EA2E1E" w:rsidRDefault="00261A7F" w:rsidP="00F66C0F">
            <w:pPr>
              <w:ind w:right="244"/>
              <w:jc w:val="right"/>
              <w:rPr>
                <w:i/>
                <w:sz w:val="18"/>
                <w:szCs w:val="18"/>
              </w:rPr>
            </w:pPr>
            <w:r w:rsidRPr="00EA2E1E">
              <w:rPr>
                <w:i/>
                <w:sz w:val="18"/>
                <w:szCs w:val="18"/>
              </w:rPr>
              <w:t>net of tax</w:t>
            </w:r>
          </w:p>
        </w:tc>
      </w:tr>
      <w:tr w:rsidR="00B04A37" w:rsidRPr="00EA2E1E" w14:paraId="3956D53F" w14:textId="77777777" w:rsidTr="00C92587">
        <w:trPr>
          <w:trHeight w:val="20"/>
        </w:trPr>
        <w:tc>
          <w:tcPr>
            <w:tcW w:w="2245" w:type="dxa"/>
          </w:tcPr>
          <w:p w14:paraId="58210E82" w14:textId="77777777" w:rsidR="00B04A37" w:rsidRPr="00EA2E1E" w:rsidRDefault="00B04A37" w:rsidP="0013526B">
            <w:pPr>
              <w:ind w:left="426" w:hanging="284"/>
              <w:rPr>
                <w:b/>
                <w:bCs w:val="0"/>
                <w:sz w:val="18"/>
                <w:szCs w:val="18"/>
              </w:rPr>
            </w:pPr>
          </w:p>
        </w:tc>
        <w:tc>
          <w:tcPr>
            <w:tcW w:w="1486" w:type="dxa"/>
            <w:vAlign w:val="bottom"/>
          </w:tcPr>
          <w:p w14:paraId="07366F1E" w14:textId="77777777" w:rsidR="00B04A37" w:rsidRPr="00EA2E1E" w:rsidRDefault="00B04A37" w:rsidP="0013526B">
            <w:pPr>
              <w:jc w:val="center"/>
              <w:rPr>
                <w:b/>
                <w:bCs w:val="0"/>
                <w:sz w:val="18"/>
                <w:szCs w:val="18"/>
              </w:rPr>
            </w:pPr>
          </w:p>
        </w:tc>
        <w:tc>
          <w:tcPr>
            <w:tcW w:w="108" w:type="dxa"/>
            <w:tcMar>
              <w:left w:w="28" w:type="dxa"/>
              <w:right w:w="28" w:type="dxa"/>
            </w:tcMar>
          </w:tcPr>
          <w:p w14:paraId="4E5175DD" w14:textId="77777777" w:rsidR="00B04A37" w:rsidRPr="00EA2E1E" w:rsidRDefault="00B04A37" w:rsidP="0013526B">
            <w:pPr>
              <w:jc w:val="center"/>
              <w:rPr>
                <w:b/>
                <w:bCs w:val="0"/>
                <w:sz w:val="18"/>
                <w:szCs w:val="18"/>
              </w:rPr>
            </w:pPr>
          </w:p>
        </w:tc>
        <w:tc>
          <w:tcPr>
            <w:tcW w:w="1507" w:type="dxa"/>
            <w:tcBorders>
              <w:top w:val="single" w:sz="4" w:space="0" w:color="auto"/>
            </w:tcBorders>
            <w:shd w:val="clear" w:color="auto" w:fill="auto"/>
            <w:tcMar>
              <w:left w:w="28" w:type="dxa"/>
              <w:right w:w="28" w:type="dxa"/>
            </w:tcMar>
            <w:vAlign w:val="bottom"/>
          </w:tcPr>
          <w:p w14:paraId="26238052" w14:textId="77777777" w:rsidR="00B04A37" w:rsidRPr="003D5688" w:rsidRDefault="00B04A37" w:rsidP="00F5292F">
            <w:pPr>
              <w:jc w:val="right"/>
              <w:rPr>
                <w:bCs w:val="0"/>
                <w:sz w:val="18"/>
                <w:szCs w:val="18"/>
                <w:lang w:val="id-ID"/>
              </w:rPr>
            </w:pPr>
          </w:p>
        </w:tc>
        <w:tc>
          <w:tcPr>
            <w:tcW w:w="108" w:type="dxa"/>
            <w:tcMar>
              <w:left w:w="28" w:type="dxa"/>
              <w:right w:w="28" w:type="dxa"/>
            </w:tcMar>
            <w:vAlign w:val="bottom"/>
          </w:tcPr>
          <w:p w14:paraId="3AFE85E2" w14:textId="77777777" w:rsidR="00B04A37" w:rsidRPr="00D204CA" w:rsidRDefault="00B04A37" w:rsidP="0013526B">
            <w:pPr>
              <w:ind w:left="-90"/>
              <w:jc w:val="right"/>
              <w:rPr>
                <w:b/>
                <w:bCs w:val="0"/>
                <w:sz w:val="18"/>
                <w:szCs w:val="18"/>
              </w:rPr>
            </w:pPr>
          </w:p>
        </w:tc>
        <w:tc>
          <w:tcPr>
            <w:tcW w:w="1507" w:type="dxa"/>
            <w:tcBorders>
              <w:top w:val="single" w:sz="4" w:space="0" w:color="auto"/>
            </w:tcBorders>
            <w:vAlign w:val="bottom"/>
          </w:tcPr>
          <w:p w14:paraId="5162FC80" w14:textId="77777777" w:rsidR="00B04A37" w:rsidRPr="00E022E0" w:rsidRDefault="00B04A37" w:rsidP="0013526B">
            <w:pPr>
              <w:ind w:right="57"/>
              <w:jc w:val="right"/>
              <w:rPr>
                <w:b/>
                <w:bCs w:val="0"/>
                <w:sz w:val="18"/>
                <w:szCs w:val="18"/>
              </w:rPr>
            </w:pPr>
          </w:p>
        </w:tc>
        <w:tc>
          <w:tcPr>
            <w:tcW w:w="2236" w:type="dxa"/>
            <w:vAlign w:val="bottom"/>
          </w:tcPr>
          <w:p w14:paraId="5D7DACB0" w14:textId="77777777" w:rsidR="00B04A37" w:rsidRPr="00EA2E1E" w:rsidRDefault="00B04A37" w:rsidP="0013526B">
            <w:pPr>
              <w:ind w:right="57"/>
              <w:jc w:val="right"/>
              <w:rPr>
                <w:b/>
                <w:bCs w:val="0"/>
                <w:i/>
                <w:sz w:val="18"/>
                <w:szCs w:val="18"/>
              </w:rPr>
            </w:pPr>
          </w:p>
        </w:tc>
      </w:tr>
      <w:tr w:rsidR="002B6559" w:rsidRPr="00EA2E1E" w14:paraId="4A40F7F8" w14:textId="77777777" w:rsidTr="00C92587">
        <w:trPr>
          <w:trHeight w:val="20"/>
        </w:trPr>
        <w:tc>
          <w:tcPr>
            <w:tcW w:w="2245" w:type="dxa"/>
          </w:tcPr>
          <w:p w14:paraId="433ABA0B" w14:textId="5F630C6D" w:rsidR="002B6559" w:rsidRPr="00EA2E1E" w:rsidRDefault="002B6559" w:rsidP="002B6559">
            <w:pPr>
              <w:ind w:left="284" w:hanging="142"/>
              <w:rPr>
                <w:b/>
                <w:bCs w:val="0"/>
                <w:sz w:val="18"/>
                <w:szCs w:val="18"/>
              </w:rPr>
            </w:pPr>
            <w:r w:rsidRPr="00EA2E1E">
              <w:rPr>
                <w:b/>
                <w:sz w:val="18"/>
                <w:szCs w:val="18"/>
              </w:rPr>
              <w:t xml:space="preserve">JUMLAH </w:t>
            </w:r>
            <w:r>
              <w:rPr>
                <w:b/>
                <w:sz w:val="18"/>
                <w:szCs w:val="18"/>
              </w:rPr>
              <w:t>LABA (</w:t>
            </w:r>
            <w:r w:rsidRPr="00EA2E1E">
              <w:rPr>
                <w:b/>
                <w:sz w:val="18"/>
                <w:szCs w:val="18"/>
              </w:rPr>
              <w:t>RUGI</w:t>
            </w:r>
            <w:r>
              <w:rPr>
                <w:b/>
                <w:sz w:val="18"/>
                <w:szCs w:val="18"/>
              </w:rPr>
              <w:t>)</w:t>
            </w:r>
            <w:r w:rsidRPr="00EA2E1E">
              <w:rPr>
                <w:b/>
                <w:sz w:val="18"/>
                <w:szCs w:val="18"/>
              </w:rPr>
              <w:t xml:space="preserve"> </w:t>
            </w:r>
            <w:r w:rsidRPr="00EA2E1E">
              <w:rPr>
                <w:b/>
                <w:color w:val="000000"/>
                <w:sz w:val="18"/>
                <w:szCs w:val="18"/>
              </w:rPr>
              <w:t>KOMPREHENSIF TAHUN BERJALAN</w:t>
            </w:r>
          </w:p>
        </w:tc>
        <w:tc>
          <w:tcPr>
            <w:tcW w:w="1486" w:type="dxa"/>
            <w:vAlign w:val="bottom"/>
          </w:tcPr>
          <w:p w14:paraId="3F0013B5" w14:textId="77777777" w:rsidR="002B6559" w:rsidRPr="00EA2E1E" w:rsidRDefault="002B6559" w:rsidP="002B6559">
            <w:pPr>
              <w:jc w:val="center"/>
              <w:rPr>
                <w:b/>
                <w:bCs w:val="0"/>
                <w:sz w:val="18"/>
                <w:szCs w:val="18"/>
              </w:rPr>
            </w:pPr>
          </w:p>
        </w:tc>
        <w:tc>
          <w:tcPr>
            <w:tcW w:w="108" w:type="dxa"/>
            <w:tcMar>
              <w:left w:w="28" w:type="dxa"/>
              <w:right w:w="28" w:type="dxa"/>
            </w:tcMar>
          </w:tcPr>
          <w:p w14:paraId="0100ED2F" w14:textId="77777777" w:rsidR="002B6559" w:rsidRPr="00EA2E1E" w:rsidRDefault="002B6559" w:rsidP="002B6559">
            <w:pPr>
              <w:jc w:val="center"/>
              <w:rPr>
                <w:b/>
                <w:bCs w:val="0"/>
                <w:sz w:val="18"/>
                <w:szCs w:val="18"/>
              </w:rPr>
            </w:pPr>
          </w:p>
        </w:tc>
        <w:tc>
          <w:tcPr>
            <w:tcW w:w="1507" w:type="dxa"/>
            <w:tcBorders>
              <w:bottom w:val="double" w:sz="4" w:space="0" w:color="auto"/>
            </w:tcBorders>
            <w:shd w:val="clear" w:color="auto" w:fill="auto"/>
            <w:tcMar>
              <w:left w:w="28" w:type="dxa"/>
              <w:right w:w="28" w:type="dxa"/>
            </w:tcMar>
            <w:vAlign w:val="bottom"/>
          </w:tcPr>
          <w:p w14:paraId="1B97E32B" w14:textId="2095BAA4" w:rsidR="002B6559" w:rsidRPr="00D85DCB" w:rsidRDefault="002B6559" w:rsidP="001721C2">
            <w:pPr>
              <w:jc w:val="right"/>
              <w:rPr>
                <w:bCs w:val="0"/>
                <w:sz w:val="18"/>
                <w:szCs w:val="18"/>
                <w:lang w:val="id-ID"/>
              </w:rPr>
            </w:pPr>
            <w:r w:rsidRPr="00D85DCB">
              <w:rPr>
                <w:b/>
                <w:bCs w:val="0"/>
                <w:sz w:val="18"/>
                <w:szCs w:val="18"/>
              </w:rPr>
              <w:t xml:space="preserve">     (</w:t>
            </w:r>
            <w:r w:rsidR="00B60824" w:rsidRPr="00D85DCB">
              <w:rPr>
                <w:b/>
                <w:bCs w:val="0"/>
                <w:sz w:val="18"/>
                <w:szCs w:val="18"/>
                <w:lang w:val="id-ID"/>
              </w:rPr>
              <w:t>9</w:t>
            </w:r>
            <w:r w:rsidR="00B60824" w:rsidRPr="00D85DCB">
              <w:rPr>
                <w:b/>
                <w:bCs w:val="0"/>
                <w:sz w:val="18"/>
                <w:szCs w:val="18"/>
              </w:rPr>
              <w:t>.</w:t>
            </w:r>
            <w:r w:rsidR="00B60824" w:rsidRPr="00D85DCB">
              <w:rPr>
                <w:b/>
                <w:bCs w:val="0"/>
                <w:sz w:val="18"/>
                <w:szCs w:val="18"/>
                <w:lang w:val="id-ID"/>
              </w:rPr>
              <w:t>6</w:t>
            </w:r>
            <w:r w:rsidR="001721C2" w:rsidRPr="00D85DCB">
              <w:rPr>
                <w:b/>
                <w:bCs w:val="0"/>
                <w:sz w:val="18"/>
                <w:szCs w:val="18"/>
              </w:rPr>
              <w:t>6</w:t>
            </w:r>
            <w:r w:rsidR="00B60824" w:rsidRPr="00D85DCB">
              <w:rPr>
                <w:b/>
                <w:bCs w:val="0"/>
                <w:sz w:val="18"/>
                <w:szCs w:val="18"/>
                <w:lang w:val="id-ID"/>
              </w:rPr>
              <w:t>4</w:t>
            </w:r>
            <w:r w:rsidR="00B60824" w:rsidRPr="00D85DCB">
              <w:rPr>
                <w:b/>
                <w:bCs w:val="0"/>
                <w:sz w:val="18"/>
                <w:szCs w:val="18"/>
              </w:rPr>
              <w:t>.</w:t>
            </w:r>
            <w:r w:rsidR="00B60824" w:rsidRPr="00D85DCB">
              <w:rPr>
                <w:b/>
                <w:bCs w:val="0"/>
                <w:sz w:val="18"/>
                <w:szCs w:val="18"/>
                <w:lang w:val="id-ID"/>
              </w:rPr>
              <w:t>946</w:t>
            </w:r>
            <w:r w:rsidR="00B60824" w:rsidRPr="00D85DCB">
              <w:rPr>
                <w:b/>
                <w:bCs w:val="0"/>
                <w:sz w:val="18"/>
                <w:szCs w:val="18"/>
              </w:rPr>
              <w:t>.</w:t>
            </w:r>
            <w:r w:rsidR="00B60824" w:rsidRPr="00D85DCB">
              <w:rPr>
                <w:b/>
                <w:bCs w:val="0"/>
                <w:sz w:val="18"/>
                <w:szCs w:val="18"/>
                <w:lang w:val="id-ID"/>
              </w:rPr>
              <w:t>5</w:t>
            </w:r>
            <w:r w:rsidR="001721C2" w:rsidRPr="00D85DCB">
              <w:rPr>
                <w:b/>
                <w:bCs w:val="0"/>
                <w:sz w:val="18"/>
                <w:szCs w:val="18"/>
              </w:rPr>
              <w:t>1</w:t>
            </w:r>
            <w:r w:rsidR="00B60824" w:rsidRPr="00D85DCB">
              <w:rPr>
                <w:b/>
                <w:bCs w:val="0"/>
                <w:sz w:val="18"/>
                <w:szCs w:val="18"/>
                <w:lang w:val="id-ID"/>
              </w:rPr>
              <w:t>9</w:t>
            </w:r>
            <w:r w:rsidRPr="00D85DCB">
              <w:rPr>
                <w:b/>
                <w:bCs w:val="0"/>
                <w:sz w:val="18"/>
                <w:szCs w:val="18"/>
              </w:rPr>
              <w:t>)</w:t>
            </w:r>
          </w:p>
        </w:tc>
        <w:tc>
          <w:tcPr>
            <w:tcW w:w="108" w:type="dxa"/>
            <w:tcMar>
              <w:left w:w="28" w:type="dxa"/>
              <w:right w:w="28" w:type="dxa"/>
            </w:tcMar>
            <w:vAlign w:val="bottom"/>
          </w:tcPr>
          <w:p w14:paraId="2CF299DA" w14:textId="77777777" w:rsidR="002B6559" w:rsidRPr="00D85DCB" w:rsidRDefault="002B6559" w:rsidP="002B6559">
            <w:pPr>
              <w:ind w:left="-90"/>
              <w:jc w:val="right"/>
              <w:rPr>
                <w:b/>
                <w:sz w:val="18"/>
                <w:szCs w:val="18"/>
              </w:rPr>
            </w:pPr>
          </w:p>
        </w:tc>
        <w:tc>
          <w:tcPr>
            <w:tcW w:w="1507" w:type="dxa"/>
            <w:tcBorders>
              <w:bottom w:val="double" w:sz="4" w:space="0" w:color="auto"/>
            </w:tcBorders>
            <w:vAlign w:val="bottom"/>
          </w:tcPr>
          <w:p w14:paraId="72050C22" w14:textId="32460C12" w:rsidR="002B6559" w:rsidRPr="00D85DCB" w:rsidRDefault="002B6559" w:rsidP="002B6559">
            <w:pPr>
              <w:ind w:right="57"/>
              <w:jc w:val="right"/>
              <w:rPr>
                <w:b/>
                <w:sz w:val="18"/>
                <w:szCs w:val="18"/>
              </w:rPr>
            </w:pPr>
            <w:r w:rsidRPr="00D85DCB">
              <w:rPr>
                <w:b/>
                <w:sz w:val="18"/>
                <w:szCs w:val="18"/>
              </w:rPr>
              <w:t>4.516.283.020</w:t>
            </w:r>
          </w:p>
        </w:tc>
        <w:tc>
          <w:tcPr>
            <w:tcW w:w="2236" w:type="dxa"/>
            <w:vAlign w:val="bottom"/>
          </w:tcPr>
          <w:p w14:paraId="3179BB7E" w14:textId="77777777" w:rsidR="002B6559" w:rsidRDefault="002B6559" w:rsidP="002B6559">
            <w:pPr>
              <w:ind w:right="57"/>
              <w:jc w:val="right"/>
              <w:rPr>
                <w:b/>
                <w:i/>
                <w:sz w:val="18"/>
                <w:szCs w:val="18"/>
              </w:rPr>
            </w:pPr>
            <w:r w:rsidRPr="00EA2E1E">
              <w:rPr>
                <w:b/>
                <w:i/>
                <w:sz w:val="18"/>
                <w:szCs w:val="18"/>
              </w:rPr>
              <w:t xml:space="preserve">TOTAL </w:t>
            </w:r>
          </w:p>
          <w:p w14:paraId="46AF64EE" w14:textId="23348908" w:rsidR="002B6559" w:rsidRPr="00EA2E1E" w:rsidRDefault="002B6559" w:rsidP="002B6559">
            <w:pPr>
              <w:ind w:right="249"/>
              <w:jc w:val="right"/>
              <w:rPr>
                <w:b/>
                <w:i/>
                <w:sz w:val="18"/>
                <w:szCs w:val="18"/>
              </w:rPr>
            </w:pPr>
            <w:r w:rsidRPr="00EA2E1E">
              <w:rPr>
                <w:b/>
                <w:i/>
                <w:sz w:val="18"/>
                <w:szCs w:val="18"/>
              </w:rPr>
              <w:t xml:space="preserve">COMPREHENSIVE </w:t>
            </w:r>
          </w:p>
          <w:p w14:paraId="51BFE855" w14:textId="4DD251F1" w:rsidR="002B6559" w:rsidRPr="00EA2E1E" w:rsidRDefault="002B6559" w:rsidP="002B6559">
            <w:pPr>
              <w:ind w:right="235"/>
              <w:jc w:val="right"/>
              <w:rPr>
                <w:b/>
                <w:bCs w:val="0"/>
                <w:i/>
                <w:sz w:val="18"/>
                <w:szCs w:val="18"/>
              </w:rPr>
            </w:pPr>
            <w:r>
              <w:rPr>
                <w:b/>
                <w:i/>
                <w:sz w:val="18"/>
                <w:szCs w:val="18"/>
              </w:rPr>
              <w:t>INCOME (</w:t>
            </w:r>
            <w:r w:rsidRPr="00EA2E1E">
              <w:rPr>
                <w:b/>
                <w:i/>
                <w:sz w:val="18"/>
                <w:szCs w:val="18"/>
              </w:rPr>
              <w:t>LOSS</w:t>
            </w:r>
            <w:r>
              <w:rPr>
                <w:b/>
                <w:i/>
                <w:sz w:val="18"/>
                <w:szCs w:val="18"/>
              </w:rPr>
              <w:t>)</w:t>
            </w:r>
            <w:r w:rsidRPr="00EA2E1E">
              <w:rPr>
                <w:b/>
                <w:i/>
                <w:sz w:val="18"/>
                <w:szCs w:val="18"/>
              </w:rPr>
              <w:t xml:space="preserve"> FOR THE YEAR</w:t>
            </w:r>
          </w:p>
        </w:tc>
      </w:tr>
    </w:tbl>
    <w:p w14:paraId="5134C96D" w14:textId="7B2CA9CB" w:rsidR="003E17A9" w:rsidRDefault="003E17A9" w:rsidP="0013526B">
      <w:pPr>
        <w:rPr>
          <w:sz w:val="18"/>
          <w:szCs w:val="18"/>
        </w:rPr>
        <w:sectPr w:rsidR="003E17A9" w:rsidSect="003E17A9">
          <w:headerReference w:type="even" r:id="rId20"/>
          <w:headerReference w:type="default" r:id="rId21"/>
          <w:footerReference w:type="default" r:id="rId22"/>
          <w:headerReference w:type="first" r:id="rId23"/>
          <w:pgSz w:w="11907" w:h="16840" w:code="9"/>
          <w:pgMar w:top="1701" w:right="992" w:bottom="1134" w:left="1559" w:header="850" w:footer="397" w:gutter="0"/>
          <w:cols w:space="720"/>
          <w:docGrid w:linePitch="360"/>
        </w:sectPr>
      </w:pPr>
    </w:p>
    <w:p w14:paraId="05B2327F" w14:textId="77777777" w:rsidR="003E17A9" w:rsidRDefault="003E17A9" w:rsidP="003E17A9">
      <w:pPr>
        <w:rPr>
          <w:sz w:val="18"/>
          <w:szCs w:val="18"/>
        </w:rPr>
      </w:pPr>
    </w:p>
    <w:tbl>
      <w:tblPr>
        <w:tblW w:w="9185" w:type="dxa"/>
        <w:tblInd w:w="113" w:type="dxa"/>
        <w:tblCellMar>
          <w:left w:w="0" w:type="dxa"/>
          <w:right w:w="0" w:type="dxa"/>
        </w:tblCellMar>
        <w:tblLook w:val="01E0" w:firstRow="1" w:lastRow="1" w:firstColumn="1" w:lastColumn="1" w:noHBand="0" w:noVBand="0"/>
      </w:tblPr>
      <w:tblGrid>
        <w:gridCol w:w="2244"/>
        <w:gridCol w:w="1501"/>
        <w:gridCol w:w="109"/>
        <w:gridCol w:w="1510"/>
        <w:gridCol w:w="110"/>
        <w:gridCol w:w="1505"/>
        <w:gridCol w:w="2206"/>
      </w:tblGrid>
      <w:tr w:rsidR="001434A7" w:rsidRPr="0013526B" w14:paraId="0720331F" w14:textId="77777777" w:rsidTr="00C5343D">
        <w:trPr>
          <w:trHeight w:val="20"/>
        </w:trPr>
        <w:tc>
          <w:tcPr>
            <w:tcW w:w="2244" w:type="dxa"/>
          </w:tcPr>
          <w:p w14:paraId="752AA87E" w14:textId="26A90251" w:rsidR="001434A7" w:rsidRPr="0013526B" w:rsidRDefault="001434A7" w:rsidP="0013526B">
            <w:pPr>
              <w:ind w:left="426" w:hanging="284"/>
              <w:rPr>
                <w:bCs w:val="0"/>
                <w:sz w:val="18"/>
                <w:szCs w:val="18"/>
              </w:rPr>
            </w:pPr>
            <w:r w:rsidRPr="0013526B">
              <w:rPr>
                <w:sz w:val="18"/>
                <w:szCs w:val="18"/>
              </w:rPr>
              <w:br w:type="page"/>
            </w:r>
          </w:p>
        </w:tc>
        <w:tc>
          <w:tcPr>
            <w:tcW w:w="1501" w:type="dxa"/>
            <w:tcBorders>
              <w:bottom w:val="single" w:sz="4" w:space="0" w:color="auto"/>
            </w:tcBorders>
            <w:vAlign w:val="bottom"/>
          </w:tcPr>
          <w:p w14:paraId="008EE988" w14:textId="77777777" w:rsidR="001434A7" w:rsidRPr="00BA69BD" w:rsidRDefault="001434A7" w:rsidP="0013526B">
            <w:pPr>
              <w:jc w:val="center"/>
              <w:rPr>
                <w:b/>
                <w:bCs w:val="0"/>
                <w:i/>
                <w:sz w:val="16"/>
                <w:szCs w:val="16"/>
              </w:rPr>
            </w:pPr>
            <w:r w:rsidRPr="00BA69BD">
              <w:rPr>
                <w:b/>
                <w:sz w:val="16"/>
                <w:szCs w:val="16"/>
              </w:rPr>
              <w:t>Catatan /</w:t>
            </w:r>
            <w:r w:rsidRPr="00BA69BD">
              <w:rPr>
                <w:b/>
                <w:sz w:val="16"/>
                <w:szCs w:val="16"/>
              </w:rPr>
              <w:br/>
            </w:r>
            <w:r w:rsidRPr="00BA69BD">
              <w:rPr>
                <w:b/>
                <w:i/>
                <w:sz w:val="16"/>
                <w:szCs w:val="16"/>
              </w:rPr>
              <w:t>Notes</w:t>
            </w:r>
          </w:p>
        </w:tc>
        <w:tc>
          <w:tcPr>
            <w:tcW w:w="109" w:type="dxa"/>
            <w:tcMar>
              <w:left w:w="28" w:type="dxa"/>
              <w:right w:w="28" w:type="dxa"/>
            </w:tcMar>
          </w:tcPr>
          <w:p w14:paraId="05A1AE59" w14:textId="77777777" w:rsidR="001434A7" w:rsidRPr="00BA69BD" w:rsidRDefault="001434A7" w:rsidP="0013526B">
            <w:pPr>
              <w:jc w:val="center"/>
              <w:rPr>
                <w:b/>
                <w:bCs w:val="0"/>
                <w:sz w:val="16"/>
                <w:szCs w:val="16"/>
              </w:rPr>
            </w:pPr>
          </w:p>
        </w:tc>
        <w:tc>
          <w:tcPr>
            <w:tcW w:w="1510" w:type="dxa"/>
            <w:tcBorders>
              <w:bottom w:val="single" w:sz="4" w:space="0" w:color="auto"/>
            </w:tcBorders>
            <w:shd w:val="clear" w:color="auto" w:fill="auto"/>
            <w:tcMar>
              <w:left w:w="28" w:type="dxa"/>
              <w:right w:w="28" w:type="dxa"/>
            </w:tcMar>
            <w:vAlign w:val="bottom"/>
          </w:tcPr>
          <w:p w14:paraId="75C4C4AD" w14:textId="77777777" w:rsidR="00BA69BD" w:rsidRDefault="00BA69BD" w:rsidP="0013526B">
            <w:pPr>
              <w:ind w:left="-90"/>
              <w:jc w:val="center"/>
              <w:rPr>
                <w:b/>
                <w:sz w:val="16"/>
                <w:szCs w:val="16"/>
              </w:rPr>
            </w:pPr>
            <w:r>
              <w:rPr>
                <w:b/>
                <w:sz w:val="16"/>
                <w:szCs w:val="16"/>
              </w:rPr>
              <w:t>31 Maret/</w:t>
            </w:r>
          </w:p>
          <w:p w14:paraId="26AA38B1" w14:textId="0F0CE7B7" w:rsidR="001434A7" w:rsidRPr="00BA69BD" w:rsidRDefault="00BA69BD" w:rsidP="0013526B">
            <w:pPr>
              <w:ind w:left="-90"/>
              <w:jc w:val="center"/>
              <w:rPr>
                <w:b/>
                <w:bCs w:val="0"/>
                <w:sz w:val="16"/>
                <w:szCs w:val="16"/>
              </w:rPr>
            </w:pPr>
            <w:r>
              <w:rPr>
                <w:b/>
                <w:sz w:val="16"/>
                <w:szCs w:val="16"/>
              </w:rPr>
              <w:t>March 31</w:t>
            </w:r>
            <w:r w:rsidR="00C92587">
              <w:rPr>
                <w:b/>
                <w:sz w:val="16"/>
                <w:szCs w:val="16"/>
              </w:rPr>
              <w:t>,</w:t>
            </w:r>
            <w:r>
              <w:rPr>
                <w:b/>
                <w:sz w:val="16"/>
                <w:szCs w:val="16"/>
              </w:rPr>
              <w:t xml:space="preserve"> </w:t>
            </w:r>
            <w:r w:rsidR="001434A7" w:rsidRPr="00BA69BD">
              <w:rPr>
                <w:b/>
                <w:sz w:val="16"/>
                <w:szCs w:val="16"/>
              </w:rPr>
              <w:t>20</w:t>
            </w:r>
            <w:r>
              <w:rPr>
                <w:b/>
                <w:sz w:val="16"/>
                <w:szCs w:val="16"/>
              </w:rPr>
              <w:t>20</w:t>
            </w:r>
          </w:p>
        </w:tc>
        <w:tc>
          <w:tcPr>
            <w:tcW w:w="110" w:type="dxa"/>
            <w:tcMar>
              <w:left w:w="28" w:type="dxa"/>
              <w:right w:w="28" w:type="dxa"/>
            </w:tcMar>
            <w:vAlign w:val="bottom"/>
          </w:tcPr>
          <w:p w14:paraId="6B4DB1A7" w14:textId="77777777" w:rsidR="001434A7" w:rsidRPr="00BA69BD" w:rsidRDefault="001434A7" w:rsidP="0013526B">
            <w:pPr>
              <w:jc w:val="center"/>
              <w:rPr>
                <w:b/>
                <w:bCs w:val="0"/>
                <w:sz w:val="16"/>
                <w:szCs w:val="16"/>
              </w:rPr>
            </w:pPr>
          </w:p>
        </w:tc>
        <w:tc>
          <w:tcPr>
            <w:tcW w:w="1505" w:type="dxa"/>
            <w:tcBorders>
              <w:bottom w:val="single" w:sz="4" w:space="0" w:color="auto"/>
            </w:tcBorders>
            <w:vAlign w:val="bottom"/>
          </w:tcPr>
          <w:p w14:paraId="3D744564" w14:textId="77777777" w:rsidR="00BA69BD" w:rsidRDefault="00BA69BD" w:rsidP="00BA69BD">
            <w:pPr>
              <w:ind w:left="-90"/>
              <w:jc w:val="center"/>
              <w:rPr>
                <w:b/>
                <w:sz w:val="16"/>
                <w:szCs w:val="16"/>
              </w:rPr>
            </w:pPr>
            <w:r>
              <w:rPr>
                <w:b/>
                <w:sz w:val="16"/>
                <w:szCs w:val="16"/>
              </w:rPr>
              <w:t>31 Maret/</w:t>
            </w:r>
          </w:p>
          <w:p w14:paraId="1EA53BEF" w14:textId="7B5F632A" w:rsidR="001434A7" w:rsidRPr="00BA69BD" w:rsidRDefault="00BA69BD" w:rsidP="00BA69BD">
            <w:pPr>
              <w:ind w:left="-90"/>
              <w:jc w:val="center"/>
              <w:rPr>
                <w:b/>
                <w:bCs w:val="0"/>
                <w:sz w:val="16"/>
                <w:szCs w:val="16"/>
              </w:rPr>
            </w:pPr>
            <w:r>
              <w:rPr>
                <w:b/>
                <w:sz w:val="16"/>
                <w:szCs w:val="16"/>
              </w:rPr>
              <w:t>March 31</w:t>
            </w:r>
            <w:r w:rsidR="00C92587">
              <w:rPr>
                <w:b/>
                <w:sz w:val="16"/>
                <w:szCs w:val="16"/>
              </w:rPr>
              <w:t>,</w:t>
            </w:r>
            <w:r>
              <w:rPr>
                <w:b/>
                <w:sz w:val="16"/>
                <w:szCs w:val="16"/>
              </w:rPr>
              <w:t xml:space="preserve"> </w:t>
            </w:r>
            <w:r w:rsidRPr="00BA69BD">
              <w:rPr>
                <w:b/>
                <w:sz w:val="16"/>
                <w:szCs w:val="16"/>
              </w:rPr>
              <w:t>2019</w:t>
            </w:r>
          </w:p>
        </w:tc>
        <w:tc>
          <w:tcPr>
            <w:tcW w:w="2206" w:type="dxa"/>
            <w:vAlign w:val="bottom"/>
          </w:tcPr>
          <w:p w14:paraId="43F8FD0A" w14:textId="77777777" w:rsidR="001434A7" w:rsidRPr="0013526B" w:rsidRDefault="001434A7" w:rsidP="0013526B">
            <w:pPr>
              <w:ind w:right="57"/>
              <w:jc w:val="right"/>
              <w:rPr>
                <w:bCs w:val="0"/>
                <w:i/>
                <w:sz w:val="18"/>
                <w:szCs w:val="18"/>
              </w:rPr>
            </w:pPr>
          </w:p>
          <w:p w14:paraId="421051D5" w14:textId="77777777" w:rsidR="001434A7" w:rsidRPr="0013526B" w:rsidRDefault="001434A7" w:rsidP="0013526B">
            <w:pPr>
              <w:ind w:right="57"/>
              <w:jc w:val="right"/>
              <w:rPr>
                <w:bCs w:val="0"/>
                <w:i/>
                <w:sz w:val="18"/>
                <w:szCs w:val="18"/>
              </w:rPr>
            </w:pPr>
          </w:p>
        </w:tc>
      </w:tr>
      <w:tr w:rsidR="00954BED" w:rsidRPr="0013526B" w14:paraId="448379A4" w14:textId="77777777" w:rsidTr="00C5343D">
        <w:trPr>
          <w:trHeight w:val="20"/>
        </w:trPr>
        <w:tc>
          <w:tcPr>
            <w:tcW w:w="2244" w:type="dxa"/>
          </w:tcPr>
          <w:p w14:paraId="7955DE76" w14:textId="18BA0CD2" w:rsidR="00954BED" w:rsidRPr="0013526B" w:rsidRDefault="00954BED" w:rsidP="0013526B">
            <w:pPr>
              <w:ind w:left="426" w:hanging="284"/>
              <w:rPr>
                <w:b/>
                <w:bCs w:val="0"/>
                <w:sz w:val="18"/>
                <w:szCs w:val="18"/>
              </w:rPr>
            </w:pPr>
          </w:p>
        </w:tc>
        <w:tc>
          <w:tcPr>
            <w:tcW w:w="1501" w:type="dxa"/>
            <w:vAlign w:val="bottom"/>
          </w:tcPr>
          <w:p w14:paraId="6E444987" w14:textId="77777777" w:rsidR="00954BED" w:rsidRPr="0013526B" w:rsidRDefault="00954BED" w:rsidP="0013526B">
            <w:pPr>
              <w:jc w:val="center"/>
              <w:rPr>
                <w:b/>
                <w:bCs w:val="0"/>
                <w:sz w:val="18"/>
                <w:szCs w:val="18"/>
              </w:rPr>
            </w:pPr>
          </w:p>
        </w:tc>
        <w:tc>
          <w:tcPr>
            <w:tcW w:w="109" w:type="dxa"/>
            <w:tcMar>
              <w:left w:w="28" w:type="dxa"/>
              <w:right w:w="28" w:type="dxa"/>
            </w:tcMar>
          </w:tcPr>
          <w:p w14:paraId="4CC5B934" w14:textId="77777777" w:rsidR="00954BED" w:rsidRPr="0013526B" w:rsidRDefault="00954BED" w:rsidP="0013526B">
            <w:pPr>
              <w:jc w:val="center"/>
              <w:rPr>
                <w:b/>
                <w:bCs w:val="0"/>
                <w:sz w:val="18"/>
                <w:szCs w:val="18"/>
              </w:rPr>
            </w:pPr>
          </w:p>
        </w:tc>
        <w:tc>
          <w:tcPr>
            <w:tcW w:w="1510" w:type="dxa"/>
            <w:tcBorders>
              <w:top w:val="single" w:sz="4" w:space="0" w:color="auto"/>
            </w:tcBorders>
            <w:shd w:val="clear" w:color="auto" w:fill="auto"/>
            <w:tcMar>
              <w:left w:w="28" w:type="dxa"/>
              <w:right w:w="28" w:type="dxa"/>
            </w:tcMar>
            <w:vAlign w:val="bottom"/>
          </w:tcPr>
          <w:p w14:paraId="585ECECA" w14:textId="77777777" w:rsidR="00954BED" w:rsidRPr="0013526B" w:rsidRDefault="00954BED" w:rsidP="0013526B">
            <w:pPr>
              <w:ind w:right="57"/>
              <w:jc w:val="right"/>
              <w:rPr>
                <w:b/>
                <w:bCs w:val="0"/>
                <w:sz w:val="18"/>
                <w:szCs w:val="18"/>
              </w:rPr>
            </w:pPr>
          </w:p>
        </w:tc>
        <w:tc>
          <w:tcPr>
            <w:tcW w:w="110" w:type="dxa"/>
            <w:tcMar>
              <w:left w:w="28" w:type="dxa"/>
              <w:right w:w="28" w:type="dxa"/>
            </w:tcMar>
            <w:vAlign w:val="bottom"/>
          </w:tcPr>
          <w:p w14:paraId="482FFF7D" w14:textId="77777777" w:rsidR="00954BED" w:rsidRPr="0013526B" w:rsidRDefault="00954BED" w:rsidP="0013526B">
            <w:pPr>
              <w:ind w:left="-90"/>
              <w:jc w:val="right"/>
              <w:rPr>
                <w:b/>
                <w:bCs w:val="0"/>
                <w:sz w:val="18"/>
                <w:szCs w:val="18"/>
              </w:rPr>
            </w:pPr>
          </w:p>
        </w:tc>
        <w:tc>
          <w:tcPr>
            <w:tcW w:w="1505" w:type="dxa"/>
            <w:tcBorders>
              <w:top w:val="single" w:sz="4" w:space="0" w:color="auto"/>
            </w:tcBorders>
            <w:vAlign w:val="bottom"/>
          </w:tcPr>
          <w:p w14:paraId="74692BA9" w14:textId="77777777" w:rsidR="00954BED" w:rsidRPr="0013526B" w:rsidRDefault="00954BED" w:rsidP="0013526B">
            <w:pPr>
              <w:ind w:right="57"/>
              <w:jc w:val="right"/>
              <w:rPr>
                <w:b/>
                <w:bCs w:val="0"/>
                <w:sz w:val="18"/>
                <w:szCs w:val="18"/>
              </w:rPr>
            </w:pPr>
          </w:p>
        </w:tc>
        <w:tc>
          <w:tcPr>
            <w:tcW w:w="2206" w:type="dxa"/>
            <w:vAlign w:val="bottom"/>
          </w:tcPr>
          <w:p w14:paraId="01BCD6A7" w14:textId="77777777" w:rsidR="00954BED" w:rsidRPr="0013526B" w:rsidRDefault="00954BED" w:rsidP="0013526B">
            <w:pPr>
              <w:ind w:right="57"/>
              <w:jc w:val="right"/>
              <w:rPr>
                <w:b/>
                <w:bCs w:val="0"/>
                <w:i/>
                <w:sz w:val="18"/>
                <w:szCs w:val="18"/>
              </w:rPr>
            </w:pPr>
          </w:p>
        </w:tc>
      </w:tr>
      <w:tr w:rsidR="00954BED" w:rsidRPr="0013526B" w14:paraId="57978BEB" w14:textId="77777777" w:rsidTr="00C5343D">
        <w:trPr>
          <w:trHeight w:val="223"/>
        </w:trPr>
        <w:tc>
          <w:tcPr>
            <w:tcW w:w="2244" w:type="dxa"/>
          </w:tcPr>
          <w:p w14:paraId="02DE7288" w14:textId="409B9434" w:rsidR="00954BED" w:rsidRPr="0013526B" w:rsidRDefault="00E022E0" w:rsidP="0013526B">
            <w:pPr>
              <w:ind w:left="283" w:hanging="170"/>
              <w:rPr>
                <w:b/>
                <w:bCs w:val="0"/>
                <w:sz w:val="18"/>
                <w:szCs w:val="18"/>
              </w:rPr>
            </w:pPr>
            <w:r>
              <w:rPr>
                <w:b/>
                <w:sz w:val="18"/>
                <w:szCs w:val="18"/>
              </w:rPr>
              <w:t>Laba (</w:t>
            </w:r>
            <w:r w:rsidR="00A10658">
              <w:rPr>
                <w:b/>
                <w:sz w:val="18"/>
                <w:szCs w:val="18"/>
              </w:rPr>
              <w:t>Rugi</w:t>
            </w:r>
            <w:r>
              <w:rPr>
                <w:b/>
                <w:sz w:val="18"/>
                <w:szCs w:val="18"/>
              </w:rPr>
              <w:t>)</w:t>
            </w:r>
            <w:r w:rsidR="00954BED" w:rsidRPr="0013526B">
              <w:rPr>
                <w:b/>
                <w:sz w:val="18"/>
                <w:szCs w:val="18"/>
              </w:rPr>
              <w:t xml:space="preserve"> tahun berjalan yang dapat diatribusikan kepada:</w:t>
            </w:r>
          </w:p>
        </w:tc>
        <w:tc>
          <w:tcPr>
            <w:tcW w:w="1501" w:type="dxa"/>
            <w:vAlign w:val="bottom"/>
          </w:tcPr>
          <w:p w14:paraId="2ADC8FBE" w14:textId="77777777" w:rsidR="00954BED" w:rsidRPr="004E6E2E" w:rsidRDefault="00954BED" w:rsidP="0013526B">
            <w:pPr>
              <w:jc w:val="center"/>
              <w:rPr>
                <w:b/>
                <w:bCs w:val="0"/>
                <w:sz w:val="18"/>
                <w:szCs w:val="18"/>
              </w:rPr>
            </w:pPr>
          </w:p>
        </w:tc>
        <w:tc>
          <w:tcPr>
            <w:tcW w:w="109" w:type="dxa"/>
            <w:tcMar>
              <w:left w:w="28" w:type="dxa"/>
              <w:right w:w="28" w:type="dxa"/>
            </w:tcMar>
          </w:tcPr>
          <w:p w14:paraId="6A8338AD" w14:textId="77777777" w:rsidR="00954BED" w:rsidRPr="0013526B" w:rsidRDefault="00954BED" w:rsidP="0013526B">
            <w:pPr>
              <w:jc w:val="center"/>
              <w:rPr>
                <w:b/>
                <w:bCs w:val="0"/>
                <w:sz w:val="18"/>
                <w:szCs w:val="18"/>
              </w:rPr>
            </w:pPr>
          </w:p>
        </w:tc>
        <w:tc>
          <w:tcPr>
            <w:tcW w:w="1510" w:type="dxa"/>
            <w:shd w:val="clear" w:color="auto" w:fill="auto"/>
            <w:tcMar>
              <w:left w:w="28" w:type="dxa"/>
              <w:right w:w="28" w:type="dxa"/>
            </w:tcMar>
            <w:vAlign w:val="bottom"/>
          </w:tcPr>
          <w:p w14:paraId="47222EB9" w14:textId="1525E8CC" w:rsidR="00954BED" w:rsidRPr="005D57EA" w:rsidRDefault="00954BED" w:rsidP="0013526B">
            <w:pPr>
              <w:ind w:right="57"/>
              <w:jc w:val="right"/>
              <w:rPr>
                <w:b/>
                <w:bCs w:val="0"/>
                <w:sz w:val="18"/>
                <w:szCs w:val="18"/>
                <w:highlight w:val="cyan"/>
              </w:rPr>
            </w:pPr>
          </w:p>
        </w:tc>
        <w:tc>
          <w:tcPr>
            <w:tcW w:w="110" w:type="dxa"/>
            <w:tcMar>
              <w:left w:w="28" w:type="dxa"/>
              <w:right w:w="28" w:type="dxa"/>
            </w:tcMar>
            <w:vAlign w:val="bottom"/>
          </w:tcPr>
          <w:p w14:paraId="05673BF0" w14:textId="77777777" w:rsidR="00954BED" w:rsidRPr="0013526B" w:rsidRDefault="00954BED" w:rsidP="0013526B">
            <w:pPr>
              <w:ind w:left="-90"/>
              <w:jc w:val="right"/>
              <w:rPr>
                <w:b/>
                <w:bCs w:val="0"/>
                <w:sz w:val="18"/>
                <w:szCs w:val="18"/>
              </w:rPr>
            </w:pPr>
          </w:p>
        </w:tc>
        <w:tc>
          <w:tcPr>
            <w:tcW w:w="1505" w:type="dxa"/>
            <w:vAlign w:val="bottom"/>
          </w:tcPr>
          <w:p w14:paraId="647319A9" w14:textId="77777777" w:rsidR="00954BED" w:rsidRPr="00B4568E" w:rsidRDefault="00954BED" w:rsidP="0013526B">
            <w:pPr>
              <w:ind w:right="57"/>
              <w:jc w:val="right"/>
              <w:rPr>
                <w:b/>
                <w:bCs w:val="0"/>
                <w:sz w:val="18"/>
                <w:szCs w:val="18"/>
                <w:highlight w:val="green"/>
              </w:rPr>
            </w:pPr>
          </w:p>
        </w:tc>
        <w:tc>
          <w:tcPr>
            <w:tcW w:w="2206" w:type="dxa"/>
            <w:vAlign w:val="bottom"/>
          </w:tcPr>
          <w:p w14:paraId="2EAC606E" w14:textId="0685E98D" w:rsidR="00954BED" w:rsidRPr="0013526B" w:rsidRDefault="00954BED" w:rsidP="0013526B">
            <w:pPr>
              <w:ind w:right="57"/>
              <w:jc w:val="right"/>
              <w:rPr>
                <w:b/>
                <w:i/>
                <w:sz w:val="18"/>
                <w:szCs w:val="18"/>
              </w:rPr>
            </w:pPr>
            <w:r w:rsidRPr="0013526B">
              <w:rPr>
                <w:b/>
                <w:i/>
                <w:sz w:val="18"/>
                <w:szCs w:val="18"/>
              </w:rPr>
              <w:t>Net</w:t>
            </w:r>
            <w:r w:rsidR="00E022E0">
              <w:rPr>
                <w:b/>
                <w:i/>
                <w:sz w:val="18"/>
                <w:szCs w:val="18"/>
              </w:rPr>
              <w:t xml:space="preserve"> Income</w:t>
            </w:r>
            <w:r w:rsidRPr="0013526B">
              <w:rPr>
                <w:b/>
                <w:i/>
                <w:sz w:val="18"/>
                <w:szCs w:val="18"/>
              </w:rPr>
              <w:t xml:space="preserve"> </w:t>
            </w:r>
            <w:r w:rsidR="00E022E0">
              <w:rPr>
                <w:b/>
                <w:i/>
                <w:sz w:val="18"/>
                <w:szCs w:val="18"/>
              </w:rPr>
              <w:t>(</w:t>
            </w:r>
            <w:r w:rsidR="00A10658">
              <w:rPr>
                <w:b/>
                <w:i/>
                <w:sz w:val="18"/>
                <w:szCs w:val="18"/>
              </w:rPr>
              <w:t>loss</w:t>
            </w:r>
            <w:r w:rsidR="00E022E0">
              <w:rPr>
                <w:b/>
                <w:i/>
                <w:sz w:val="18"/>
                <w:szCs w:val="18"/>
              </w:rPr>
              <w:t>)</w:t>
            </w:r>
          </w:p>
          <w:p w14:paraId="25FC355A" w14:textId="77777777" w:rsidR="00954BED" w:rsidRPr="0013526B" w:rsidRDefault="00954BED" w:rsidP="0013526B">
            <w:pPr>
              <w:ind w:right="284"/>
              <w:jc w:val="right"/>
              <w:rPr>
                <w:b/>
                <w:bCs w:val="0"/>
                <w:i/>
                <w:sz w:val="18"/>
                <w:szCs w:val="18"/>
              </w:rPr>
            </w:pPr>
            <w:r w:rsidRPr="0013526B">
              <w:rPr>
                <w:b/>
                <w:i/>
                <w:sz w:val="18"/>
                <w:szCs w:val="18"/>
              </w:rPr>
              <w:t>attributable to:</w:t>
            </w:r>
          </w:p>
        </w:tc>
      </w:tr>
      <w:tr w:rsidR="00467A49" w:rsidRPr="0013526B" w14:paraId="090BE41B" w14:textId="77777777" w:rsidTr="00C5343D">
        <w:trPr>
          <w:trHeight w:val="20"/>
        </w:trPr>
        <w:tc>
          <w:tcPr>
            <w:tcW w:w="2244" w:type="dxa"/>
          </w:tcPr>
          <w:p w14:paraId="20A80B0C" w14:textId="69BC9BFB" w:rsidR="00467A49" w:rsidRPr="00936730" w:rsidRDefault="00467A49" w:rsidP="00936730">
            <w:pPr>
              <w:ind w:left="113"/>
              <w:rPr>
                <w:bCs w:val="0"/>
                <w:sz w:val="18"/>
                <w:szCs w:val="18"/>
              </w:rPr>
            </w:pPr>
            <w:r w:rsidRPr="0013526B">
              <w:rPr>
                <w:sz w:val="18"/>
                <w:szCs w:val="18"/>
              </w:rPr>
              <w:t>Pemilik Entitas Induk</w:t>
            </w:r>
          </w:p>
        </w:tc>
        <w:tc>
          <w:tcPr>
            <w:tcW w:w="1501" w:type="dxa"/>
            <w:vAlign w:val="bottom"/>
          </w:tcPr>
          <w:p w14:paraId="7E4F8F62" w14:textId="77777777" w:rsidR="00467A49" w:rsidRPr="00EA2E1E" w:rsidRDefault="00467A49" w:rsidP="00467A49">
            <w:pPr>
              <w:jc w:val="center"/>
              <w:rPr>
                <w:b/>
                <w:bCs w:val="0"/>
                <w:sz w:val="18"/>
                <w:szCs w:val="18"/>
                <w:highlight w:val="red"/>
              </w:rPr>
            </w:pPr>
          </w:p>
        </w:tc>
        <w:tc>
          <w:tcPr>
            <w:tcW w:w="109" w:type="dxa"/>
            <w:tcMar>
              <w:left w:w="28" w:type="dxa"/>
              <w:right w:w="28" w:type="dxa"/>
            </w:tcMar>
          </w:tcPr>
          <w:p w14:paraId="4D3CA9FF" w14:textId="77777777" w:rsidR="00467A49" w:rsidRPr="0013526B" w:rsidRDefault="00467A49" w:rsidP="00467A49">
            <w:pPr>
              <w:jc w:val="center"/>
              <w:rPr>
                <w:b/>
                <w:bCs w:val="0"/>
                <w:sz w:val="18"/>
                <w:szCs w:val="18"/>
              </w:rPr>
            </w:pPr>
          </w:p>
        </w:tc>
        <w:tc>
          <w:tcPr>
            <w:tcW w:w="1510" w:type="dxa"/>
            <w:shd w:val="clear" w:color="auto" w:fill="auto"/>
            <w:tcMar>
              <w:left w:w="28" w:type="dxa"/>
              <w:right w:w="28" w:type="dxa"/>
            </w:tcMar>
            <w:vAlign w:val="bottom"/>
          </w:tcPr>
          <w:p w14:paraId="2B527E2B" w14:textId="2F6ECAB9" w:rsidR="00467A49" w:rsidRPr="00D85DCB" w:rsidRDefault="002B6559" w:rsidP="001721C2">
            <w:pPr>
              <w:ind w:right="57"/>
              <w:jc w:val="right"/>
              <w:rPr>
                <w:bCs w:val="0"/>
                <w:sz w:val="18"/>
                <w:szCs w:val="18"/>
              </w:rPr>
            </w:pPr>
            <w:r w:rsidRPr="00D85DCB">
              <w:rPr>
                <w:sz w:val="18"/>
                <w:szCs w:val="18"/>
              </w:rPr>
              <w:t xml:space="preserve">    (</w:t>
            </w:r>
            <w:r w:rsidR="00B60824" w:rsidRPr="00D85DCB">
              <w:rPr>
                <w:sz w:val="18"/>
                <w:szCs w:val="18"/>
              </w:rPr>
              <w:t>9.42</w:t>
            </w:r>
            <w:r w:rsidR="00B60824" w:rsidRPr="00D85DCB">
              <w:rPr>
                <w:sz w:val="18"/>
                <w:szCs w:val="18"/>
                <w:lang w:val="id-ID"/>
              </w:rPr>
              <w:t>0</w:t>
            </w:r>
            <w:r w:rsidR="00B60824" w:rsidRPr="00D85DCB">
              <w:rPr>
                <w:sz w:val="18"/>
                <w:szCs w:val="18"/>
              </w:rPr>
              <w:t>.</w:t>
            </w:r>
            <w:r w:rsidR="00B60824" w:rsidRPr="00D85DCB">
              <w:rPr>
                <w:sz w:val="18"/>
                <w:szCs w:val="18"/>
                <w:lang w:val="id-ID"/>
              </w:rPr>
              <w:t>691</w:t>
            </w:r>
            <w:r w:rsidR="00B60824" w:rsidRPr="00D85DCB">
              <w:rPr>
                <w:sz w:val="18"/>
                <w:szCs w:val="18"/>
              </w:rPr>
              <w:t>.</w:t>
            </w:r>
            <w:r w:rsidR="00B60824" w:rsidRPr="00D85DCB">
              <w:rPr>
                <w:sz w:val="18"/>
                <w:szCs w:val="18"/>
                <w:lang w:val="id-ID"/>
              </w:rPr>
              <w:t>503</w:t>
            </w:r>
            <w:r w:rsidRPr="00D85DCB">
              <w:rPr>
                <w:sz w:val="18"/>
                <w:szCs w:val="18"/>
              </w:rPr>
              <w:t>)</w:t>
            </w:r>
          </w:p>
        </w:tc>
        <w:tc>
          <w:tcPr>
            <w:tcW w:w="110" w:type="dxa"/>
            <w:shd w:val="clear" w:color="auto" w:fill="auto"/>
            <w:tcMar>
              <w:left w:w="28" w:type="dxa"/>
              <w:right w:w="28" w:type="dxa"/>
            </w:tcMar>
            <w:vAlign w:val="bottom"/>
          </w:tcPr>
          <w:p w14:paraId="16BF0BFE" w14:textId="77777777" w:rsidR="00467A49" w:rsidRPr="00CD0969" w:rsidRDefault="00467A49" w:rsidP="00467A49">
            <w:pPr>
              <w:ind w:left="-90"/>
              <w:jc w:val="right"/>
              <w:rPr>
                <w:b/>
                <w:bCs w:val="0"/>
                <w:sz w:val="18"/>
                <w:szCs w:val="18"/>
              </w:rPr>
            </w:pPr>
          </w:p>
        </w:tc>
        <w:tc>
          <w:tcPr>
            <w:tcW w:w="1505" w:type="dxa"/>
            <w:shd w:val="clear" w:color="auto" w:fill="auto"/>
            <w:vAlign w:val="bottom"/>
          </w:tcPr>
          <w:p w14:paraId="3A3BD6FB" w14:textId="7AD4D313" w:rsidR="00467A49" w:rsidRPr="00E022E0" w:rsidRDefault="00936BA3" w:rsidP="00CD5953">
            <w:pPr>
              <w:ind w:right="57"/>
              <w:jc w:val="right"/>
              <w:rPr>
                <w:bCs w:val="0"/>
                <w:sz w:val="18"/>
                <w:szCs w:val="18"/>
              </w:rPr>
            </w:pPr>
            <w:r w:rsidRPr="00E022E0">
              <w:rPr>
                <w:bCs w:val="0"/>
                <w:sz w:val="18"/>
                <w:szCs w:val="18"/>
              </w:rPr>
              <w:t>4</w:t>
            </w:r>
            <w:r w:rsidR="00870FD0">
              <w:rPr>
                <w:bCs w:val="0"/>
                <w:sz w:val="18"/>
                <w:szCs w:val="18"/>
              </w:rPr>
              <w:t>.</w:t>
            </w:r>
            <w:r w:rsidRPr="00E022E0">
              <w:rPr>
                <w:bCs w:val="0"/>
                <w:sz w:val="18"/>
                <w:szCs w:val="18"/>
              </w:rPr>
              <w:t>006</w:t>
            </w:r>
            <w:r w:rsidR="00870FD0">
              <w:rPr>
                <w:bCs w:val="0"/>
                <w:sz w:val="18"/>
                <w:szCs w:val="18"/>
              </w:rPr>
              <w:t>.</w:t>
            </w:r>
            <w:r w:rsidRPr="00E022E0">
              <w:rPr>
                <w:bCs w:val="0"/>
                <w:sz w:val="18"/>
                <w:szCs w:val="18"/>
              </w:rPr>
              <w:t>403</w:t>
            </w:r>
            <w:r w:rsidR="00870FD0">
              <w:rPr>
                <w:bCs w:val="0"/>
                <w:sz w:val="18"/>
                <w:szCs w:val="18"/>
              </w:rPr>
              <w:t>.</w:t>
            </w:r>
            <w:r w:rsidRPr="00E022E0">
              <w:rPr>
                <w:bCs w:val="0"/>
                <w:sz w:val="18"/>
                <w:szCs w:val="18"/>
              </w:rPr>
              <w:t>562</w:t>
            </w:r>
          </w:p>
        </w:tc>
        <w:tc>
          <w:tcPr>
            <w:tcW w:w="2206" w:type="dxa"/>
            <w:vAlign w:val="bottom"/>
          </w:tcPr>
          <w:p w14:paraId="24B32E81" w14:textId="77777777" w:rsidR="00467A49" w:rsidRPr="0013526B" w:rsidRDefault="00467A49" w:rsidP="00467A49">
            <w:pPr>
              <w:ind w:right="57"/>
              <w:jc w:val="right"/>
              <w:rPr>
                <w:bCs w:val="0"/>
                <w:i/>
                <w:sz w:val="18"/>
                <w:szCs w:val="18"/>
              </w:rPr>
            </w:pPr>
            <w:r w:rsidRPr="0013526B">
              <w:rPr>
                <w:i/>
                <w:sz w:val="18"/>
                <w:szCs w:val="18"/>
              </w:rPr>
              <w:t xml:space="preserve"> Owner of the Parent Entity</w:t>
            </w:r>
          </w:p>
        </w:tc>
      </w:tr>
      <w:tr w:rsidR="00467A49" w:rsidRPr="0013526B" w14:paraId="332A4B3F" w14:textId="77777777" w:rsidTr="00C5343D">
        <w:trPr>
          <w:trHeight w:val="20"/>
        </w:trPr>
        <w:tc>
          <w:tcPr>
            <w:tcW w:w="2244" w:type="dxa"/>
          </w:tcPr>
          <w:p w14:paraId="283AA019" w14:textId="77777777" w:rsidR="00467A49" w:rsidRPr="0013526B" w:rsidRDefault="00467A49" w:rsidP="00467A49">
            <w:pPr>
              <w:ind w:left="113"/>
              <w:rPr>
                <w:bCs w:val="0"/>
                <w:sz w:val="18"/>
                <w:szCs w:val="18"/>
              </w:rPr>
            </w:pPr>
            <w:r w:rsidRPr="0013526B">
              <w:rPr>
                <w:sz w:val="18"/>
                <w:szCs w:val="18"/>
              </w:rPr>
              <w:t>Kepentingan non-pengendali</w:t>
            </w:r>
          </w:p>
        </w:tc>
        <w:tc>
          <w:tcPr>
            <w:tcW w:w="1501" w:type="dxa"/>
            <w:vAlign w:val="bottom"/>
          </w:tcPr>
          <w:p w14:paraId="6C1CB313" w14:textId="26928AC3" w:rsidR="00467A49" w:rsidRPr="002602EA" w:rsidRDefault="00467A49" w:rsidP="00467A49">
            <w:pPr>
              <w:jc w:val="center"/>
              <w:rPr>
                <w:sz w:val="18"/>
                <w:szCs w:val="18"/>
                <w:highlight w:val="red"/>
                <w:lang w:val="id-ID"/>
              </w:rPr>
            </w:pPr>
            <w:r w:rsidRPr="00D85DCB">
              <w:rPr>
                <w:sz w:val="18"/>
                <w:szCs w:val="18"/>
              </w:rPr>
              <w:t>2</w:t>
            </w:r>
            <w:r w:rsidR="000C7D4A" w:rsidRPr="00D85DCB">
              <w:rPr>
                <w:sz w:val="18"/>
                <w:szCs w:val="18"/>
              </w:rPr>
              <w:t>4</w:t>
            </w:r>
          </w:p>
        </w:tc>
        <w:tc>
          <w:tcPr>
            <w:tcW w:w="109" w:type="dxa"/>
            <w:tcMar>
              <w:left w:w="28" w:type="dxa"/>
              <w:right w:w="28" w:type="dxa"/>
            </w:tcMar>
          </w:tcPr>
          <w:p w14:paraId="240ED17F" w14:textId="77777777" w:rsidR="00467A49" w:rsidRPr="0013526B" w:rsidRDefault="00467A49" w:rsidP="00467A49">
            <w:pPr>
              <w:jc w:val="center"/>
              <w:rPr>
                <w:b/>
                <w:bCs w:val="0"/>
                <w:sz w:val="18"/>
                <w:szCs w:val="18"/>
              </w:rPr>
            </w:pPr>
          </w:p>
        </w:tc>
        <w:tc>
          <w:tcPr>
            <w:tcW w:w="1510" w:type="dxa"/>
            <w:tcBorders>
              <w:bottom w:val="single" w:sz="4" w:space="0" w:color="auto"/>
            </w:tcBorders>
            <w:shd w:val="clear" w:color="auto" w:fill="auto"/>
            <w:tcMar>
              <w:left w:w="28" w:type="dxa"/>
              <w:right w:w="28" w:type="dxa"/>
            </w:tcMar>
            <w:vAlign w:val="bottom"/>
          </w:tcPr>
          <w:p w14:paraId="6787B6B2" w14:textId="3E2E739A" w:rsidR="00467A49" w:rsidRPr="00D85DCB" w:rsidRDefault="002B6559" w:rsidP="001721C2">
            <w:pPr>
              <w:ind w:right="57"/>
              <w:jc w:val="right"/>
              <w:rPr>
                <w:bCs w:val="0"/>
                <w:sz w:val="18"/>
                <w:szCs w:val="18"/>
              </w:rPr>
            </w:pPr>
            <w:r w:rsidRPr="00D85DCB">
              <w:rPr>
                <w:sz w:val="18"/>
                <w:szCs w:val="18"/>
              </w:rPr>
              <w:t xml:space="preserve">           (</w:t>
            </w:r>
            <w:r w:rsidR="00B60824" w:rsidRPr="00D85DCB">
              <w:rPr>
                <w:sz w:val="18"/>
                <w:szCs w:val="18"/>
                <w:lang w:val="id-ID"/>
              </w:rPr>
              <w:t>9</w:t>
            </w:r>
            <w:r w:rsidR="00B60824" w:rsidRPr="00D85DCB">
              <w:rPr>
                <w:sz w:val="18"/>
                <w:szCs w:val="18"/>
              </w:rPr>
              <w:t>.</w:t>
            </w:r>
            <w:r w:rsidR="00B60824" w:rsidRPr="00D85DCB">
              <w:rPr>
                <w:sz w:val="18"/>
                <w:szCs w:val="18"/>
                <w:lang w:val="id-ID"/>
              </w:rPr>
              <w:t>217</w:t>
            </w:r>
            <w:r w:rsidR="00B60824" w:rsidRPr="00D85DCB">
              <w:rPr>
                <w:sz w:val="18"/>
                <w:szCs w:val="18"/>
              </w:rPr>
              <w:t>.</w:t>
            </w:r>
            <w:r w:rsidR="00B60824" w:rsidRPr="00D85DCB">
              <w:rPr>
                <w:sz w:val="18"/>
                <w:szCs w:val="18"/>
                <w:lang w:val="id-ID"/>
              </w:rPr>
              <w:t>470</w:t>
            </w:r>
            <w:r w:rsidR="001721C2" w:rsidRPr="00D85DCB">
              <w:rPr>
                <w:sz w:val="18"/>
                <w:szCs w:val="18"/>
              </w:rPr>
              <w:t>)</w:t>
            </w:r>
          </w:p>
        </w:tc>
        <w:tc>
          <w:tcPr>
            <w:tcW w:w="110" w:type="dxa"/>
            <w:shd w:val="clear" w:color="auto" w:fill="auto"/>
            <w:tcMar>
              <w:left w:w="28" w:type="dxa"/>
              <w:right w:w="28" w:type="dxa"/>
            </w:tcMar>
            <w:vAlign w:val="bottom"/>
          </w:tcPr>
          <w:p w14:paraId="5C78C864" w14:textId="77777777" w:rsidR="00467A49" w:rsidRPr="00CD0969" w:rsidRDefault="00467A49" w:rsidP="00467A49">
            <w:pPr>
              <w:ind w:left="-90"/>
              <w:jc w:val="right"/>
              <w:rPr>
                <w:b/>
                <w:bCs w:val="0"/>
                <w:sz w:val="18"/>
                <w:szCs w:val="18"/>
              </w:rPr>
            </w:pPr>
          </w:p>
        </w:tc>
        <w:tc>
          <w:tcPr>
            <w:tcW w:w="1505" w:type="dxa"/>
            <w:tcBorders>
              <w:bottom w:val="single" w:sz="4" w:space="0" w:color="auto"/>
            </w:tcBorders>
            <w:shd w:val="clear" w:color="auto" w:fill="auto"/>
            <w:vAlign w:val="bottom"/>
          </w:tcPr>
          <w:p w14:paraId="20AC9C97" w14:textId="348AF6B8" w:rsidR="00467A49" w:rsidRPr="00E022E0" w:rsidRDefault="00936BA3" w:rsidP="00CD5953">
            <w:pPr>
              <w:ind w:right="57"/>
              <w:jc w:val="right"/>
              <w:rPr>
                <w:bCs w:val="0"/>
                <w:sz w:val="18"/>
                <w:szCs w:val="18"/>
              </w:rPr>
            </w:pPr>
            <w:r w:rsidRPr="00E022E0">
              <w:rPr>
                <w:bCs w:val="0"/>
                <w:sz w:val="18"/>
                <w:szCs w:val="18"/>
              </w:rPr>
              <w:t>( 17</w:t>
            </w:r>
            <w:r w:rsidR="00870FD0">
              <w:rPr>
                <w:bCs w:val="0"/>
                <w:sz w:val="18"/>
                <w:szCs w:val="18"/>
              </w:rPr>
              <w:t>.</w:t>
            </w:r>
            <w:r w:rsidRPr="00E022E0">
              <w:rPr>
                <w:bCs w:val="0"/>
                <w:sz w:val="18"/>
                <w:szCs w:val="18"/>
              </w:rPr>
              <w:t>324</w:t>
            </w:r>
            <w:r w:rsidR="00870FD0">
              <w:rPr>
                <w:bCs w:val="0"/>
                <w:sz w:val="18"/>
                <w:szCs w:val="18"/>
              </w:rPr>
              <w:t>.</w:t>
            </w:r>
            <w:r w:rsidRPr="00E022E0">
              <w:rPr>
                <w:bCs w:val="0"/>
                <w:sz w:val="18"/>
                <w:szCs w:val="18"/>
              </w:rPr>
              <w:t>178)</w:t>
            </w:r>
          </w:p>
        </w:tc>
        <w:tc>
          <w:tcPr>
            <w:tcW w:w="2206" w:type="dxa"/>
            <w:vAlign w:val="bottom"/>
          </w:tcPr>
          <w:p w14:paraId="190014CA" w14:textId="77777777" w:rsidR="00467A49" w:rsidRPr="0013526B" w:rsidRDefault="00467A49" w:rsidP="00467A49">
            <w:pPr>
              <w:ind w:right="57"/>
              <w:jc w:val="right"/>
              <w:rPr>
                <w:bCs w:val="0"/>
                <w:i/>
                <w:sz w:val="18"/>
                <w:szCs w:val="18"/>
              </w:rPr>
            </w:pPr>
            <w:r w:rsidRPr="0013526B">
              <w:rPr>
                <w:i/>
                <w:sz w:val="18"/>
                <w:szCs w:val="18"/>
              </w:rPr>
              <w:t xml:space="preserve"> Non-controlling interest</w:t>
            </w:r>
          </w:p>
        </w:tc>
      </w:tr>
      <w:tr w:rsidR="00B04A37" w:rsidRPr="0013526B" w14:paraId="198346E0" w14:textId="77777777" w:rsidTr="00C5343D">
        <w:trPr>
          <w:trHeight w:val="20"/>
        </w:trPr>
        <w:tc>
          <w:tcPr>
            <w:tcW w:w="2244" w:type="dxa"/>
          </w:tcPr>
          <w:p w14:paraId="78957CC3" w14:textId="77777777" w:rsidR="00B04A37" w:rsidRPr="0013526B" w:rsidRDefault="00B04A37" w:rsidP="0013526B">
            <w:pPr>
              <w:ind w:left="426" w:hanging="284"/>
              <w:rPr>
                <w:b/>
                <w:bCs w:val="0"/>
                <w:sz w:val="18"/>
                <w:szCs w:val="18"/>
              </w:rPr>
            </w:pPr>
          </w:p>
        </w:tc>
        <w:tc>
          <w:tcPr>
            <w:tcW w:w="1501" w:type="dxa"/>
            <w:vAlign w:val="bottom"/>
          </w:tcPr>
          <w:p w14:paraId="19E02C9E" w14:textId="77777777" w:rsidR="00B04A37" w:rsidRPr="00EA2E1E" w:rsidRDefault="00B04A37" w:rsidP="0013526B">
            <w:pPr>
              <w:jc w:val="center"/>
              <w:rPr>
                <w:b/>
                <w:bCs w:val="0"/>
                <w:sz w:val="18"/>
                <w:szCs w:val="18"/>
                <w:highlight w:val="red"/>
              </w:rPr>
            </w:pPr>
          </w:p>
        </w:tc>
        <w:tc>
          <w:tcPr>
            <w:tcW w:w="109" w:type="dxa"/>
            <w:tcMar>
              <w:left w:w="28" w:type="dxa"/>
              <w:right w:w="28" w:type="dxa"/>
            </w:tcMar>
          </w:tcPr>
          <w:p w14:paraId="481C72E7" w14:textId="77777777" w:rsidR="00B04A37" w:rsidRPr="0013526B" w:rsidRDefault="00B04A37" w:rsidP="0013526B">
            <w:pPr>
              <w:jc w:val="center"/>
              <w:rPr>
                <w:b/>
                <w:bCs w:val="0"/>
                <w:sz w:val="18"/>
                <w:szCs w:val="18"/>
              </w:rPr>
            </w:pPr>
          </w:p>
        </w:tc>
        <w:tc>
          <w:tcPr>
            <w:tcW w:w="1510" w:type="dxa"/>
            <w:tcBorders>
              <w:top w:val="single" w:sz="4" w:space="0" w:color="auto"/>
            </w:tcBorders>
            <w:shd w:val="clear" w:color="auto" w:fill="auto"/>
            <w:tcMar>
              <w:left w:w="28" w:type="dxa"/>
              <w:right w:w="28" w:type="dxa"/>
            </w:tcMar>
            <w:vAlign w:val="bottom"/>
          </w:tcPr>
          <w:p w14:paraId="0670E907" w14:textId="2DF7C3F9" w:rsidR="00B04A37" w:rsidRPr="00D85DCB" w:rsidRDefault="00B04A37" w:rsidP="0013526B">
            <w:pPr>
              <w:ind w:right="57"/>
              <w:jc w:val="right"/>
              <w:rPr>
                <w:b/>
                <w:bCs w:val="0"/>
                <w:sz w:val="18"/>
                <w:szCs w:val="18"/>
              </w:rPr>
            </w:pPr>
          </w:p>
        </w:tc>
        <w:tc>
          <w:tcPr>
            <w:tcW w:w="110" w:type="dxa"/>
            <w:shd w:val="clear" w:color="auto" w:fill="auto"/>
            <w:tcMar>
              <w:left w:w="28" w:type="dxa"/>
              <w:right w:w="28" w:type="dxa"/>
            </w:tcMar>
            <w:vAlign w:val="bottom"/>
          </w:tcPr>
          <w:p w14:paraId="34A8749B" w14:textId="77777777" w:rsidR="00B04A37" w:rsidRPr="00CD0969" w:rsidRDefault="00B04A37" w:rsidP="0013526B">
            <w:pPr>
              <w:ind w:left="-90"/>
              <w:jc w:val="right"/>
              <w:rPr>
                <w:b/>
                <w:bCs w:val="0"/>
                <w:sz w:val="18"/>
                <w:szCs w:val="18"/>
              </w:rPr>
            </w:pPr>
          </w:p>
        </w:tc>
        <w:tc>
          <w:tcPr>
            <w:tcW w:w="1505" w:type="dxa"/>
            <w:tcBorders>
              <w:top w:val="single" w:sz="4" w:space="0" w:color="auto"/>
            </w:tcBorders>
            <w:shd w:val="clear" w:color="auto" w:fill="auto"/>
            <w:vAlign w:val="bottom"/>
          </w:tcPr>
          <w:p w14:paraId="3D8E2797" w14:textId="77777777" w:rsidR="00B04A37" w:rsidRPr="00E022E0" w:rsidRDefault="00B04A37" w:rsidP="0013526B">
            <w:pPr>
              <w:ind w:right="57"/>
              <w:jc w:val="right"/>
              <w:rPr>
                <w:bCs w:val="0"/>
                <w:sz w:val="18"/>
                <w:szCs w:val="18"/>
              </w:rPr>
            </w:pPr>
          </w:p>
        </w:tc>
        <w:tc>
          <w:tcPr>
            <w:tcW w:w="2206" w:type="dxa"/>
            <w:vAlign w:val="bottom"/>
          </w:tcPr>
          <w:p w14:paraId="11919810" w14:textId="77777777" w:rsidR="00B04A37" w:rsidRPr="0013526B" w:rsidRDefault="00B04A37" w:rsidP="0013526B">
            <w:pPr>
              <w:ind w:right="57"/>
              <w:jc w:val="right"/>
              <w:rPr>
                <w:b/>
                <w:bCs w:val="0"/>
                <w:i/>
                <w:sz w:val="18"/>
                <w:szCs w:val="18"/>
              </w:rPr>
            </w:pPr>
          </w:p>
        </w:tc>
      </w:tr>
      <w:tr w:rsidR="00147D69" w:rsidRPr="003903E3" w14:paraId="32C6F7F5" w14:textId="77777777" w:rsidTr="00C5343D">
        <w:trPr>
          <w:trHeight w:val="20"/>
        </w:trPr>
        <w:tc>
          <w:tcPr>
            <w:tcW w:w="2244" w:type="dxa"/>
          </w:tcPr>
          <w:p w14:paraId="5C42C788" w14:textId="77777777" w:rsidR="00147D69" w:rsidRPr="003903E3" w:rsidRDefault="00147D69" w:rsidP="00147D69">
            <w:pPr>
              <w:ind w:left="426" w:hanging="284"/>
              <w:rPr>
                <w:b/>
                <w:bCs w:val="0"/>
                <w:sz w:val="18"/>
                <w:szCs w:val="18"/>
              </w:rPr>
            </w:pPr>
          </w:p>
        </w:tc>
        <w:tc>
          <w:tcPr>
            <w:tcW w:w="1501" w:type="dxa"/>
            <w:vAlign w:val="bottom"/>
          </w:tcPr>
          <w:p w14:paraId="08ED832D" w14:textId="77777777" w:rsidR="00147D69" w:rsidRPr="00EA2E1E" w:rsidRDefault="00147D69" w:rsidP="00147D69">
            <w:pPr>
              <w:jc w:val="center"/>
              <w:rPr>
                <w:b/>
                <w:bCs w:val="0"/>
                <w:sz w:val="18"/>
                <w:szCs w:val="18"/>
                <w:highlight w:val="red"/>
              </w:rPr>
            </w:pPr>
          </w:p>
        </w:tc>
        <w:tc>
          <w:tcPr>
            <w:tcW w:w="109" w:type="dxa"/>
            <w:tcMar>
              <w:left w:w="28" w:type="dxa"/>
              <w:right w:w="28" w:type="dxa"/>
            </w:tcMar>
          </w:tcPr>
          <w:p w14:paraId="1ACE15DD" w14:textId="77777777" w:rsidR="00147D69" w:rsidRPr="003903E3" w:rsidRDefault="00147D69" w:rsidP="00147D69">
            <w:pPr>
              <w:jc w:val="center"/>
              <w:rPr>
                <w:b/>
                <w:bCs w:val="0"/>
                <w:sz w:val="18"/>
                <w:szCs w:val="18"/>
              </w:rPr>
            </w:pPr>
          </w:p>
        </w:tc>
        <w:tc>
          <w:tcPr>
            <w:tcW w:w="1510" w:type="dxa"/>
            <w:tcBorders>
              <w:bottom w:val="double" w:sz="4" w:space="0" w:color="auto"/>
            </w:tcBorders>
            <w:shd w:val="clear" w:color="auto" w:fill="auto"/>
            <w:tcMar>
              <w:left w:w="28" w:type="dxa"/>
              <w:right w:w="28" w:type="dxa"/>
            </w:tcMar>
            <w:vAlign w:val="bottom"/>
          </w:tcPr>
          <w:p w14:paraId="6F2981D2" w14:textId="0F78B0A3" w:rsidR="00147D69" w:rsidRPr="00D85DCB" w:rsidRDefault="002B6559" w:rsidP="001721C2">
            <w:pPr>
              <w:ind w:right="57"/>
              <w:jc w:val="right"/>
              <w:rPr>
                <w:b/>
                <w:bCs w:val="0"/>
                <w:sz w:val="18"/>
                <w:szCs w:val="18"/>
              </w:rPr>
            </w:pPr>
            <w:r w:rsidRPr="00D85DCB">
              <w:rPr>
                <w:b/>
                <w:bCs w:val="0"/>
                <w:sz w:val="18"/>
                <w:szCs w:val="18"/>
              </w:rPr>
              <w:t xml:space="preserve">    (</w:t>
            </w:r>
            <w:r w:rsidR="001721C2" w:rsidRPr="00D85DCB">
              <w:rPr>
                <w:b/>
                <w:bCs w:val="0"/>
                <w:sz w:val="18"/>
                <w:szCs w:val="18"/>
              </w:rPr>
              <w:t>9.429.908.973</w:t>
            </w:r>
            <w:r w:rsidRPr="00D85DCB">
              <w:rPr>
                <w:b/>
                <w:bCs w:val="0"/>
                <w:sz w:val="18"/>
                <w:szCs w:val="18"/>
              </w:rPr>
              <w:t>)</w:t>
            </w:r>
          </w:p>
        </w:tc>
        <w:tc>
          <w:tcPr>
            <w:tcW w:w="110" w:type="dxa"/>
            <w:shd w:val="clear" w:color="auto" w:fill="auto"/>
            <w:tcMar>
              <w:left w:w="28" w:type="dxa"/>
              <w:right w:w="28" w:type="dxa"/>
            </w:tcMar>
            <w:vAlign w:val="bottom"/>
          </w:tcPr>
          <w:p w14:paraId="26663A85" w14:textId="77777777" w:rsidR="00147D69" w:rsidRPr="00CD0969" w:rsidRDefault="00147D69" w:rsidP="00147D69">
            <w:pPr>
              <w:ind w:left="-90"/>
              <w:jc w:val="right"/>
              <w:rPr>
                <w:b/>
                <w:bCs w:val="0"/>
                <w:sz w:val="18"/>
                <w:szCs w:val="18"/>
              </w:rPr>
            </w:pPr>
          </w:p>
        </w:tc>
        <w:tc>
          <w:tcPr>
            <w:tcW w:w="1505" w:type="dxa"/>
            <w:tcBorders>
              <w:bottom w:val="double" w:sz="4" w:space="0" w:color="auto"/>
            </w:tcBorders>
            <w:shd w:val="clear" w:color="auto" w:fill="auto"/>
            <w:vAlign w:val="bottom"/>
          </w:tcPr>
          <w:p w14:paraId="3ADFC314" w14:textId="34340E8B" w:rsidR="00147D69" w:rsidRPr="00E022E0" w:rsidRDefault="00936BA3" w:rsidP="00CD5953">
            <w:pPr>
              <w:ind w:right="57"/>
              <w:jc w:val="right"/>
              <w:rPr>
                <w:b/>
                <w:bCs w:val="0"/>
                <w:sz w:val="18"/>
                <w:szCs w:val="18"/>
              </w:rPr>
            </w:pPr>
            <w:r w:rsidRPr="00E022E0">
              <w:rPr>
                <w:b/>
                <w:sz w:val="18"/>
                <w:szCs w:val="18"/>
              </w:rPr>
              <w:t>3</w:t>
            </w:r>
            <w:r w:rsidR="00870FD0">
              <w:rPr>
                <w:b/>
                <w:sz w:val="18"/>
                <w:szCs w:val="18"/>
              </w:rPr>
              <w:t>.</w:t>
            </w:r>
            <w:r w:rsidRPr="00E022E0">
              <w:rPr>
                <w:b/>
                <w:sz w:val="18"/>
                <w:szCs w:val="18"/>
              </w:rPr>
              <w:t>989</w:t>
            </w:r>
            <w:r w:rsidR="00870FD0">
              <w:rPr>
                <w:b/>
                <w:sz w:val="18"/>
                <w:szCs w:val="18"/>
              </w:rPr>
              <w:t>.</w:t>
            </w:r>
            <w:r w:rsidRPr="00E022E0">
              <w:rPr>
                <w:b/>
                <w:sz w:val="18"/>
                <w:szCs w:val="18"/>
              </w:rPr>
              <w:t>079</w:t>
            </w:r>
            <w:r w:rsidR="00870FD0">
              <w:rPr>
                <w:b/>
                <w:sz w:val="18"/>
                <w:szCs w:val="18"/>
              </w:rPr>
              <w:t>.</w:t>
            </w:r>
            <w:r w:rsidRPr="00E022E0">
              <w:rPr>
                <w:b/>
                <w:sz w:val="18"/>
                <w:szCs w:val="18"/>
              </w:rPr>
              <w:t>384</w:t>
            </w:r>
          </w:p>
        </w:tc>
        <w:tc>
          <w:tcPr>
            <w:tcW w:w="2206" w:type="dxa"/>
            <w:vAlign w:val="bottom"/>
          </w:tcPr>
          <w:p w14:paraId="354BAA09" w14:textId="77777777" w:rsidR="00147D69" w:rsidRPr="003903E3" w:rsidRDefault="00147D69" w:rsidP="00147D69">
            <w:pPr>
              <w:ind w:right="57"/>
              <w:jc w:val="right"/>
              <w:rPr>
                <w:b/>
                <w:bCs w:val="0"/>
                <w:i/>
                <w:sz w:val="18"/>
                <w:szCs w:val="18"/>
              </w:rPr>
            </w:pPr>
          </w:p>
        </w:tc>
      </w:tr>
      <w:tr w:rsidR="00147D69" w:rsidRPr="0013526B" w14:paraId="74E7674D" w14:textId="77777777" w:rsidTr="00C5343D">
        <w:trPr>
          <w:trHeight w:val="20"/>
        </w:trPr>
        <w:tc>
          <w:tcPr>
            <w:tcW w:w="2244" w:type="dxa"/>
          </w:tcPr>
          <w:p w14:paraId="16233FEF" w14:textId="78FAAE8A" w:rsidR="00147D69" w:rsidRPr="0013526B" w:rsidRDefault="00147D69" w:rsidP="00147D69">
            <w:pPr>
              <w:ind w:left="283" w:hanging="170"/>
              <w:rPr>
                <w:b/>
                <w:bCs w:val="0"/>
                <w:sz w:val="18"/>
                <w:szCs w:val="18"/>
              </w:rPr>
            </w:pPr>
            <w:r>
              <w:rPr>
                <w:b/>
                <w:sz w:val="18"/>
                <w:szCs w:val="18"/>
              </w:rPr>
              <w:t>P</w:t>
            </w:r>
            <w:r w:rsidRPr="0013526B">
              <w:rPr>
                <w:b/>
                <w:sz w:val="18"/>
                <w:szCs w:val="18"/>
              </w:rPr>
              <w:t>enghasilan komprehensif tahun berjalan yang dapat diatribusikan kepada:</w:t>
            </w:r>
          </w:p>
        </w:tc>
        <w:tc>
          <w:tcPr>
            <w:tcW w:w="1501" w:type="dxa"/>
            <w:vAlign w:val="bottom"/>
          </w:tcPr>
          <w:p w14:paraId="615863B4" w14:textId="77777777" w:rsidR="00147D69" w:rsidRPr="00EA2E1E" w:rsidRDefault="00147D69" w:rsidP="00147D69">
            <w:pPr>
              <w:jc w:val="center"/>
              <w:rPr>
                <w:b/>
                <w:bCs w:val="0"/>
                <w:sz w:val="18"/>
                <w:szCs w:val="18"/>
                <w:highlight w:val="red"/>
              </w:rPr>
            </w:pPr>
          </w:p>
        </w:tc>
        <w:tc>
          <w:tcPr>
            <w:tcW w:w="109" w:type="dxa"/>
            <w:tcMar>
              <w:left w:w="28" w:type="dxa"/>
              <w:right w:w="28" w:type="dxa"/>
            </w:tcMar>
          </w:tcPr>
          <w:p w14:paraId="16F5CCDB" w14:textId="77777777" w:rsidR="00147D69" w:rsidRPr="0013526B" w:rsidRDefault="00147D69" w:rsidP="00147D69">
            <w:pPr>
              <w:jc w:val="center"/>
              <w:rPr>
                <w:b/>
                <w:bCs w:val="0"/>
                <w:sz w:val="18"/>
                <w:szCs w:val="18"/>
              </w:rPr>
            </w:pPr>
          </w:p>
        </w:tc>
        <w:tc>
          <w:tcPr>
            <w:tcW w:w="1510" w:type="dxa"/>
            <w:shd w:val="clear" w:color="auto" w:fill="auto"/>
            <w:tcMar>
              <w:left w:w="28" w:type="dxa"/>
              <w:right w:w="28" w:type="dxa"/>
            </w:tcMar>
            <w:vAlign w:val="bottom"/>
          </w:tcPr>
          <w:p w14:paraId="6EC0A694" w14:textId="40949BB0" w:rsidR="00147D69" w:rsidRPr="00F62F86" w:rsidRDefault="00147D69" w:rsidP="00147D69">
            <w:pPr>
              <w:ind w:right="57"/>
              <w:jc w:val="right"/>
              <w:rPr>
                <w:b/>
                <w:bCs w:val="0"/>
                <w:sz w:val="18"/>
                <w:szCs w:val="18"/>
              </w:rPr>
            </w:pPr>
          </w:p>
        </w:tc>
        <w:tc>
          <w:tcPr>
            <w:tcW w:w="110" w:type="dxa"/>
            <w:shd w:val="clear" w:color="auto" w:fill="auto"/>
            <w:tcMar>
              <w:left w:w="28" w:type="dxa"/>
              <w:right w:w="28" w:type="dxa"/>
            </w:tcMar>
            <w:vAlign w:val="bottom"/>
          </w:tcPr>
          <w:p w14:paraId="6FC35E5E" w14:textId="77777777" w:rsidR="00147D69" w:rsidRPr="00CD0969" w:rsidRDefault="00147D69" w:rsidP="00147D69">
            <w:pPr>
              <w:ind w:left="-90"/>
              <w:jc w:val="right"/>
              <w:rPr>
                <w:b/>
                <w:bCs w:val="0"/>
                <w:sz w:val="18"/>
                <w:szCs w:val="18"/>
              </w:rPr>
            </w:pPr>
          </w:p>
        </w:tc>
        <w:tc>
          <w:tcPr>
            <w:tcW w:w="1505" w:type="dxa"/>
            <w:tcBorders>
              <w:top w:val="double" w:sz="4" w:space="0" w:color="auto"/>
            </w:tcBorders>
            <w:shd w:val="clear" w:color="auto" w:fill="auto"/>
            <w:vAlign w:val="bottom"/>
          </w:tcPr>
          <w:p w14:paraId="35083DDA" w14:textId="77777777" w:rsidR="00147D69" w:rsidRPr="00E022E0" w:rsidRDefault="00147D69" w:rsidP="00147D69">
            <w:pPr>
              <w:ind w:right="57"/>
              <w:jc w:val="right"/>
              <w:rPr>
                <w:b/>
                <w:bCs w:val="0"/>
                <w:sz w:val="18"/>
                <w:szCs w:val="18"/>
              </w:rPr>
            </w:pPr>
          </w:p>
        </w:tc>
        <w:tc>
          <w:tcPr>
            <w:tcW w:w="2206" w:type="dxa"/>
            <w:vAlign w:val="bottom"/>
          </w:tcPr>
          <w:p w14:paraId="5BA76EC3" w14:textId="77777777" w:rsidR="00147D69" w:rsidRDefault="00147D69" w:rsidP="00147D69">
            <w:pPr>
              <w:ind w:right="57"/>
              <w:jc w:val="right"/>
              <w:rPr>
                <w:b/>
                <w:bCs w:val="0"/>
                <w:i/>
                <w:sz w:val="18"/>
                <w:szCs w:val="18"/>
              </w:rPr>
            </w:pPr>
            <w:r w:rsidRPr="0013526B">
              <w:rPr>
                <w:b/>
                <w:bCs w:val="0"/>
                <w:i/>
                <w:sz w:val="18"/>
                <w:szCs w:val="18"/>
              </w:rPr>
              <w:t xml:space="preserve">Total comprehensive </w:t>
            </w:r>
          </w:p>
          <w:p w14:paraId="03A94939" w14:textId="77777777" w:rsidR="00147D69" w:rsidRDefault="00147D69" w:rsidP="00147D69">
            <w:pPr>
              <w:ind w:right="373"/>
              <w:jc w:val="right"/>
              <w:rPr>
                <w:b/>
                <w:bCs w:val="0"/>
                <w:i/>
                <w:sz w:val="18"/>
                <w:szCs w:val="18"/>
              </w:rPr>
            </w:pPr>
            <w:r w:rsidRPr="0013526B">
              <w:rPr>
                <w:b/>
                <w:bCs w:val="0"/>
                <w:i/>
                <w:sz w:val="18"/>
                <w:szCs w:val="18"/>
              </w:rPr>
              <w:t>Income</w:t>
            </w:r>
            <w:r>
              <w:rPr>
                <w:b/>
                <w:bCs w:val="0"/>
                <w:i/>
                <w:sz w:val="18"/>
                <w:szCs w:val="18"/>
              </w:rPr>
              <w:t xml:space="preserve"> </w:t>
            </w:r>
            <w:r w:rsidRPr="0013526B">
              <w:rPr>
                <w:b/>
                <w:bCs w:val="0"/>
                <w:i/>
                <w:sz w:val="18"/>
                <w:szCs w:val="18"/>
              </w:rPr>
              <w:t xml:space="preserve">for the year </w:t>
            </w:r>
          </w:p>
          <w:p w14:paraId="74838738" w14:textId="33BD63C5" w:rsidR="00147D69" w:rsidRPr="0013526B" w:rsidRDefault="00147D69" w:rsidP="00147D69">
            <w:pPr>
              <w:ind w:right="373"/>
              <w:jc w:val="right"/>
              <w:rPr>
                <w:b/>
                <w:bCs w:val="0"/>
                <w:i/>
                <w:sz w:val="18"/>
                <w:szCs w:val="18"/>
              </w:rPr>
            </w:pPr>
            <w:r w:rsidRPr="0013526B">
              <w:rPr>
                <w:b/>
                <w:bCs w:val="0"/>
                <w:i/>
                <w:sz w:val="18"/>
                <w:szCs w:val="18"/>
              </w:rPr>
              <w:t>attributable to:</w:t>
            </w:r>
          </w:p>
        </w:tc>
      </w:tr>
      <w:tr w:rsidR="008E69F7" w:rsidRPr="0013526B" w14:paraId="0C01FDB3" w14:textId="77777777" w:rsidTr="00C5343D">
        <w:trPr>
          <w:trHeight w:val="20"/>
        </w:trPr>
        <w:tc>
          <w:tcPr>
            <w:tcW w:w="2244" w:type="dxa"/>
            <w:vAlign w:val="bottom"/>
          </w:tcPr>
          <w:p w14:paraId="6C72EDD4" w14:textId="77777777" w:rsidR="008E69F7" w:rsidRPr="0013526B" w:rsidRDefault="008E69F7" w:rsidP="008E69F7">
            <w:pPr>
              <w:ind w:left="113"/>
              <w:rPr>
                <w:bCs w:val="0"/>
                <w:sz w:val="18"/>
                <w:szCs w:val="18"/>
              </w:rPr>
            </w:pPr>
            <w:r w:rsidRPr="0013526B">
              <w:rPr>
                <w:sz w:val="18"/>
                <w:szCs w:val="18"/>
              </w:rPr>
              <w:t>Pemilik Entitas Induk</w:t>
            </w:r>
          </w:p>
        </w:tc>
        <w:tc>
          <w:tcPr>
            <w:tcW w:w="1501" w:type="dxa"/>
            <w:vAlign w:val="bottom"/>
          </w:tcPr>
          <w:p w14:paraId="101ADDC6" w14:textId="15CAE009" w:rsidR="008E69F7" w:rsidRPr="00EA2E1E" w:rsidRDefault="008E69F7" w:rsidP="008E69F7">
            <w:pPr>
              <w:jc w:val="center"/>
              <w:rPr>
                <w:bCs w:val="0"/>
                <w:sz w:val="18"/>
                <w:szCs w:val="18"/>
                <w:highlight w:val="red"/>
              </w:rPr>
            </w:pPr>
          </w:p>
        </w:tc>
        <w:tc>
          <w:tcPr>
            <w:tcW w:w="109" w:type="dxa"/>
            <w:tcMar>
              <w:left w:w="28" w:type="dxa"/>
              <w:right w:w="28" w:type="dxa"/>
            </w:tcMar>
          </w:tcPr>
          <w:p w14:paraId="71BA9CDD" w14:textId="77777777" w:rsidR="008E69F7" w:rsidRPr="0013526B" w:rsidRDefault="008E69F7" w:rsidP="008E69F7">
            <w:pPr>
              <w:jc w:val="center"/>
              <w:rPr>
                <w:b/>
                <w:bCs w:val="0"/>
                <w:sz w:val="18"/>
                <w:szCs w:val="18"/>
              </w:rPr>
            </w:pPr>
          </w:p>
        </w:tc>
        <w:tc>
          <w:tcPr>
            <w:tcW w:w="1510" w:type="dxa"/>
            <w:shd w:val="clear" w:color="auto" w:fill="auto"/>
            <w:tcMar>
              <w:left w:w="28" w:type="dxa"/>
              <w:right w:w="28" w:type="dxa"/>
            </w:tcMar>
            <w:vAlign w:val="bottom"/>
          </w:tcPr>
          <w:p w14:paraId="1F20C35F" w14:textId="0ED14114" w:rsidR="008E69F7" w:rsidRPr="00F62F86" w:rsidRDefault="001403E9" w:rsidP="00392752">
            <w:pPr>
              <w:ind w:right="57"/>
              <w:jc w:val="right"/>
              <w:rPr>
                <w:bCs w:val="0"/>
                <w:sz w:val="18"/>
                <w:szCs w:val="18"/>
                <w:lang w:val="id-ID"/>
              </w:rPr>
            </w:pPr>
            <w:r w:rsidRPr="00F62F86">
              <w:rPr>
                <w:bCs w:val="0"/>
                <w:sz w:val="18"/>
                <w:szCs w:val="18"/>
                <w:lang w:val="id-ID"/>
              </w:rPr>
              <w:t>(</w:t>
            </w:r>
            <w:r w:rsidR="00B60824">
              <w:rPr>
                <w:bCs w:val="0"/>
                <w:sz w:val="18"/>
                <w:szCs w:val="18"/>
                <w:lang w:val="id-ID"/>
              </w:rPr>
              <w:t>235</w:t>
            </w:r>
            <w:r w:rsidR="00B60824">
              <w:rPr>
                <w:bCs w:val="0"/>
                <w:sz w:val="18"/>
                <w:szCs w:val="18"/>
              </w:rPr>
              <w:t>.</w:t>
            </w:r>
            <w:r w:rsidR="00392752" w:rsidRPr="00F62F86">
              <w:rPr>
                <w:bCs w:val="0"/>
                <w:sz w:val="18"/>
                <w:szCs w:val="18"/>
              </w:rPr>
              <w:t>0</w:t>
            </w:r>
            <w:r w:rsidR="00B60824">
              <w:rPr>
                <w:bCs w:val="0"/>
                <w:sz w:val="18"/>
                <w:szCs w:val="18"/>
                <w:lang w:val="id-ID"/>
              </w:rPr>
              <w:t>3</w:t>
            </w:r>
            <w:r w:rsidR="00B60824">
              <w:rPr>
                <w:bCs w:val="0"/>
                <w:sz w:val="18"/>
                <w:szCs w:val="18"/>
              </w:rPr>
              <w:t>7.</w:t>
            </w:r>
            <w:r w:rsidR="00B60824">
              <w:rPr>
                <w:bCs w:val="0"/>
                <w:sz w:val="18"/>
                <w:szCs w:val="18"/>
                <w:lang w:val="id-ID"/>
              </w:rPr>
              <w:t>546</w:t>
            </w:r>
            <w:r w:rsidRPr="00F62F86">
              <w:rPr>
                <w:bCs w:val="0"/>
                <w:sz w:val="18"/>
                <w:szCs w:val="18"/>
                <w:lang w:val="id-ID"/>
              </w:rPr>
              <w:t>)</w:t>
            </w:r>
          </w:p>
        </w:tc>
        <w:tc>
          <w:tcPr>
            <w:tcW w:w="110" w:type="dxa"/>
            <w:shd w:val="clear" w:color="auto" w:fill="auto"/>
            <w:tcMar>
              <w:left w:w="28" w:type="dxa"/>
              <w:right w:w="28" w:type="dxa"/>
            </w:tcMar>
            <w:vAlign w:val="bottom"/>
          </w:tcPr>
          <w:p w14:paraId="46F3DB5E" w14:textId="77777777" w:rsidR="008E69F7" w:rsidRPr="00CD0969" w:rsidRDefault="008E69F7" w:rsidP="008E69F7">
            <w:pPr>
              <w:ind w:left="-90"/>
              <w:jc w:val="right"/>
              <w:rPr>
                <w:b/>
                <w:bCs w:val="0"/>
                <w:sz w:val="18"/>
                <w:szCs w:val="18"/>
              </w:rPr>
            </w:pPr>
          </w:p>
        </w:tc>
        <w:tc>
          <w:tcPr>
            <w:tcW w:w="1505" w:type="dxa"/>
            <w:shd w:val="clear" w:color="auto" w:fill="auto"/>
            <w:vAlign w:val="bottom"/>
          </w:tcPr>
          <w:p w14:paraId="14338669" w14:textId="537AA34A" w:rsidR="008E69F7" w:rsidRPr="00E022E0" w:rsidRDefault="008E69F7" w:rsidP="008E69F7">
            <w:pPr>
              <w:ind w:right="57"/>
              <w:jc w:val="right"/>
              <w:rPr>
                <w:bCs w:val="0"/>
                <w:sz w:val="18"/>
                <w:szCs w:val="18"/>
              </w:rPr>
            </w:pPr>
            <w:r w:rsidRPr="00E022E0">
              <w:rPr>
                <w:bCs w:val="0"/>
                <w:sz w:val="18"/>
                <w:szCs w:val="18"/>
              </w:rPr>
              <w:t>527</w:t>
            </w:r>
            <w:r>
              <w:rPr>
                <w:bCs w:val="0"/>
                <w:sz w:val="18"/>
                <w:szCs w:val="18"/>
              </w:rPr>
              <w:t>.</w:t>
            </w:r>
            <w:r w:rsidRPr="00E022E0">
              <w:rPr>
                <w:bCs w:val="0"/>
                <w:sz w:val="18"/>
                <w:szCs w:val="18"/>
              </w:rPr>
              <w:t>231</w:t>
            </w:r>
            <w:r>
              <w:rPr>
                <w:bCs w:val="0"/>
                <w:sz w:val="18"/>
                <w:szCs w:val="18"/>
              </w:rPr>
              <w:t>.</w:t>
            </w:r>
            <w:r w:rsidRPr="00E022E0">
              <w:rPr>
                <w:bCs w:val="0"/>
                <w:sz w:val="18"/>
                <w:szCs w:val="18"/>
              </w:rPr>
              <w:t>271</w:t>
            </w:r>
          </w:p>
        </w:tc>
        <w:tc>
          <w:tcPr>
            <w:tcW w:w="2206" w:type="dxa"/>
            <w:vAlign w:val="bottom"/>
          </w:tcPr>
          <w:p w14:paraId="17B814C8" w14:textId="77777777" w:rsidR="008E69F7" w:rsidRPr="0013526B" w:rsidRDefault="008E69F7" w:rsidP="008E69F7">
            <w:pPr>
              <w:ind w:right="57"/>
              <w:jc w:val="right"/>
              <w:rPr>
                <w:bCs w:val="0"/>
                <w:i/>
                <w:sz w:val="18"/>
                <w:szCs w:val="18"/>
              </w:rPr>
            </w:pPr>
            <w:r w:rsidRPr="0013526B">
              <w:rPr>
                <w:i/>
                <w:sz w:val="18"/>
                <w:szCs w:val="18"/>
              </w:rPr>
              <w:t xml:space="preserve"> Owner of the Parent Entity</w:t>
            </w:r>
          </w:p>
        </w:tc>
      </w:tr>
      <w:tr w:rsidR="008E69F7" w:rsidRPr="0013526B" w14:paraId="7B4D1AC8" w14:textId="77777777" w:rsidTr="00C5343D">
        <w:trPr>
          <w:trHeight w:val="20"/>
        </w:trPr>
        <w:tc>
          <w:tcPr>
            <w:tcW w:w="2244" w:type="dxa"/>
            <w:vAlign w:val="bottom"/>
          </w:tcPr>
          <w:p w14:paraId="436E629E" w14:textId="77777777" w:rsidR="008E69F7" w:rsidRPr="0013526B" w:rsidRDefault="008E69F7" w:rsidP="008E69F7">
            <w:pPr>
              <w:ind w:left="92"/>
              <w:rPr>
                <w:bCs w:val="0"/>
                <w:sz w:val="18"/>
                <w:szCs w:val="18"/>
              </w:rPr>
            </w:pPr>
            <w:r w:rsidRPr="0013526B">
              <w:rPr>
                <w:sz w:val="18"/>
                <w:szCs w:val="18"/>
              </w:rPr>
              <w:t>Kepentingan non-pengendali</w:t>
            </w:r>
          </w:p>
        </w:tc>
        <w:tc>
          <w:tcPr>
            <w:tcW w:w="1501" w:type="dxa"/>
            <w:vAlign w:val="bottom"/>
          </w:tcPr>
          <w:p w14:paraId="7CCA0FC7" w14:textId="22519F55" w:rsidR="008E69F7" w:rsidRPr="002602EA" w:rsidRDefault="008E69F7" w:rsidP="008E69F7">
            <w:pPr>
              <w:jc w:val="center"/>
              <w:rPr>
                <w:sz w:val="18"/>
                <w:szCs w:val="18"/>
                <w:highlight w:val="red"/>
                <w:lang w:val="id-ID"/>
              </w:rPr>
            </w:pPr>
            <w:r w:rsidRPr="00D85DCB">
              <w:rPr>
                <w:sz w:val="18"/>
                <w:szCs w:val="18"/>
              </w:rPr>
              <w:t>2</w:t>
            </w:r>
            <w:r w:rsidR="000C7D4A" w:rsidRPr="00D85DCB">
              <w:rPr>
                <w:sz w:val="18"/>
                <w:szCs w:val="18"/>
              </w:rPr>
              <w:t>4</w:t>
            </w:r>
          </w:p>
        </w:tc>
        <w:tc>
          <w:tcPr>
            <w:tcW w:w="109" w:type="dxa"/>
            <w:tcMar>
              <w:left w:w="28" w:type="dxa"/>
              <w:right w:w="28" w:type="dxa"/>
            </w:tcMar>
          </w:tcPr>
          <w:p w14:paraId="6ECC30F6" w14:textId="77777777" w:rsidR="008E69F7" w:rsidRPr="0013526B" w:rsidRDefault="008E69F7" w:rsidP="008E69F7">
            <w:pPr>
              <w:jc w:val="center"/>
              <w:rPr>
                <w:b/>
                <w:bCs w:val="0"/>
                <w:sz w:val="18"/>
                <w:szCs w:val="18"/>
              </w:rPr>
            </w:pPr>
          </w:p>
        </w:tc>
        <w:tc>
          <w:tcPr>
            <w:tcW w:w="1510" w:type="dxa"/>
            <w:tcBorders>
              <w:bottom w:val="single" w:sz="4" w:space="0" w:color="auto"/>
            </w:tcBorders>
            <w:shd w:val="clear" w:color="auto" w:fill="auto"/>
            <w:tcMar>
              <w:left w:w="28" w:type="dxa"/>
              <w:right w:w="28" w:type="dxa"/>
            </w:tcMar>
            <w:vAlign w:val="bottom"/>
          </w:tcPr>
          <w:p w14:paraId="2A7F4E52" w14:textId="07F20C47" w:rsidR="008E69F7" w:rsidRPr="00D85DCB" w:rsidRDefault="008E69F7" w:rsidP="00070D1F">
            <w:pPr>
              <w:pStyle w:val="ListParagraph"/>
              <w:numPr>
                <w:ilvl w:val="0"/>
                <w:numId w:val="383"/>
              </w:numPr>
              <w:ind w:right="57"/>
              <w:jc w:val="right"/>
              <w:rPr>
                <w:bCs w:val="0"/>
                <w:sz w:val="18"/>
                <w:szCs w:val="18"/>
              </w:rPr>
            </w:pPr>
          </w:p>
        </w:tc>
        <w:tc>
          <w:tcPr>
            <w:tcW w:w="110" w:type="dxa"/>
            <w:shd w:val="clear" w:color="auto" w:fill="auto"/>
            <w:tcMar>
              <w:left w:w="28" w:type="dxa"/>
              <w:right w:w="28" w:type="dxa"/>
            </w:tcMar>
            <w:vAlign w:val="bottom"/>
          </w:tcPr>
          <w:p w14:paraId="70EC6A7D" w14:textId="77777777" w:rsidR="008E69F7" w:rsidRPr="00CD0969" w:rsidRDefault="008E69F7" w:rsidP="008E69F7">
            <w:pPr>
              <w:ind w:left="-90"/>
              <w:jc w:val="right"/>
              <w:rPr>
                <w:b/>
                <w:bCs w:val="0"/>
                <w:sz w:val="18"/>
                <w:szCs w:val="18"/>
              </w:rPr>
            </w:pPr>
          </w:p>
        </w:tc>
        <w:tc>
          <w:tcPr>
            <w:tcW w:w="1505" w:type="dxa"/>
            <w:tcBorders>
              <w:bottom w:val="single" w:sz="4" w:space="0" w:color="auto"/>
            </w:tcBorders>
            <w:shd w:val="clear" w:color="auto" w:fill="auto"/>
            <w:vAlign w:val="bottom"/>
          </w:tcPr>
          <w:p w14:paraId="38BE4149" w14:textId="32EAD814" w:rsidR="008E69F7" w:rsidRPr="00E022E0" w:rsidRDefault="008E69F7" w:rsidP="008E69F7">
            <w:pPr>
              <w:ind w:right="57"/>
              <w:jc w:val="right"/>
              <w:rPr>
                <w:bCs w:val="0"/>
                <w:sz w:val="18"/>
                <w:szCs w:val="18"/>
              </w:rPr>
            </w:pPr>
            <w:r w:rsidRPr="00E022E0">
              <w:rPr>
                <w:bCs w:val="0"/>
                <w:sz w:val="18"/>
                <w:szCs w:val="18"/>
              </w:rPr>
              <w:t>( 27</w:t>
            </w:r>
            <w:r>
              <w:rPr>
                <w:bCs w:val="0"/>
                <w:sz w:val="18"/>
                <w:szCs w:val="18"/>
              </w:rPr>
              <w:t>.</w:t>
            </w:r>
            <w:r w:rsidRPr="00E022E0">
              <w:rPr>
                <w:bCs w:val="0"/>
                <w:sz w:val="18"/>
                <w:szCs w:val="18"/>
              </w:rPr>
              <w:t>635)</w:t>
            </w:r>
          </w:p>
        </w:tc>
        <w:tc>
          <w:tcPr>
            <w:tcW w:w="2206" w:type="dxa"/>
            <w:vAlign w:val="bottom"/>
          </w:tcPr>
          <w:p w14:paraId="75DB5B5E" w14:textId="77777777" w:rsidR="008E69F7" w:rsidRPr="0013526B" w:rsidRDefault="008E69F7" w:rsidP="008E69F7">
            <w:pPr>
              <w:ind w:right="57"/>
              <w:jc w:val="right"/>
              <w:rPr>
                <w:bCs w:val="0"/>
                <w:i/>
                <w:sz w:val="18"/>
                <w:szCs w:val="18"/>
              </w:rPr>
            </w:pPr>
            <w:r w:rsidRPr="0013526B">
              <w:rPr>
                <w:i/>
                <w:sz w:val="18"/>
                <w:szCs w:val="18"/>
              </w:rPr>
              <w:t xml:space="preserve"> Non-controlling interest</w:t>
            </w:r>
          </w:p>
        </w:tc>
      </w:tr>
      <w:tr w:rsidR="008E69F7" w:rsidRPr="0013526B" w14:paraId="03353D0E" w14:textId="77777777" w:rsidTr="00C5343D">
        <w:trPr>
          <w:trHeight w:val="20"/>
        </w:trPr>
        <w:tc>
          <w:tcPr>
            <w:tcW w:w="2244" w:type="dxa"/>
          </w:tcPr>
          <w:p w14:paraId="580971C0" w14:textId="77777777" w:rsidR="008E69F7" w:rsidRPr="0013526B" w:rsidRDefault="008E69F7" w:rsidP="008E69F7">
            <w:pPr>
              <w:ind w:left="426" w:hanging="284"/>
              <w:rPr>
                <w:b/>
                <w:bCs w:val="0"/>
                <w:sz w:val="18"/>
                <w:szCs w:val="18"/>
              </w:rPr>
            </w:pPr>
          </w:p>
        </w:tc>
        <w:tc>
          <w:tcPr>
            <w:tcW w:w="1501" w:type="dxa"/>
            <w:vAlign w:val="bottom"/>
          </w:tcPr>
          <w:p w14:paraId="7D5DBFC4" w14:textId="77777777" w:rsidR="008E69F7" w:rsidRPr="00EA2E1E" w:rsidRDefault="008E69F7" w:rsidP="008E69F7">
            <w:pPr>
              <w:jc w:val="center"/>
              <w:rPr>
                <w:b/>
                <w:bCs w:val="0"/>
                <w:sz w:val="18"/>
                <w:szCs w:val="18"/>
                <w:highlight w:val="red"/>
              </w:rPr>
            </w:pPr>
          </w:p>
        </w:tc>
        <w:tc>
          <w:tcPr>
            <w:tcW w:w="109" w:type="dxa"/>
            <w:tcMar>
              <w:left w:w="28" w:type="dxa"/>
              <w:right w:w="28" w:type="dxa"/>
            </w:tcMar>
          </w:tcPr>
          <w:p w14:paraId="1092CD6C" w14:textId="77777777" w:rsidR="008E69F7" w:rsidRPr="0013526B" w:rsidRDefault="008E69F7" w:rsidP="008E69F7">
            <w:pPr>
              <w:jc w:val="center"/>
              <w:rPr>
                <w:b/>
                <w:bCs w:val="0"/>
                <w:sz w:val="18"/>
                <w:szCs w:val="18"/>
              </w:rPr>
            </w:pPr>
          </w:p>
        </w:tc>
        <w:tc>
          <w:tcPr>
            <w:tcW w:w="1510" w:type="dxa"/>
            <w:tcBorders>
              <w:top w:val="single" w:sz="4" w:space="0" w:color="auto"/>
            </w:tcBorders>
            <w:shd w:val="clear" w:color="auto" w:fill="auto"/>
            <w:tcMar>
              <w:left w:w="28" w:type="dxa"/>
              <w:right w:w="28" w:type="dxa"/>
            </w:tcMar>
            <w:vAlign w:val="bottom"/>
          </w:tcPr>
          <w:p w14:paraId="6ADF6E97" w14:textId="13F2255F" w:rsidR="008E69F7" w:rsidRPr="00F62F86" w:rsidRDefault="008E69F7" w:rsidP="008E69F7">
            <w:pPr>
              <w:ind w:right="57"/>
              <w:jc w:val="right"/>
              <w:rPr>
                <w:b/>
                <w:bCs w:val="0"/>
                <w:sz w:val="18"/>
                <w:szCs w:val="18"/>
                <w:lang w:val="id-ID"/>
              </w:rPr>
            </w:pPr>
          </w:p>
        </w:tc>
        <w:tc>
          <w:tcPr>
            <w:tcW w:w="110" w:type="dxa"/>
            <w:shd w:val="clear" w:color="auto" w:fill="auto"/>
            <w:tcMar>
              <w:left w:w="28" w:type="dxa"/>
              <w:right w:w="28" w:type="dxa"/>
            </w:tcMar>
            <w:vAlign w:val="bottom"/>
          </w:tcPr>
          <w:p w14:paraId="18A28634" w14:textId="77777777" w:rsidR="008E69F7" w:rsidRPr="00CD0969" w:rsidRDefault="008E69F7" w:rsidP="008E69F7">
            <w:pPr>
              <w:ind w:left="-90"/>
              <w:jc w:val="right"/>
              <w:rPr>
                <w:b/>
                <w:bCs w:val="0"/>
                <w:sz w:val="18"/>
                <w:szCs w:val="18"/>
              </w:rPr>
            </w:pPr>
          </w:p>
        </w:tc>
        <w:tc>
          <w:tcPr>
            <w:tcW w:w="1505" w:type="dxa"/>
            <w:tcBorders>
              <w:top w:val="single" w:sz="4" w:space="0" w:color="auto"/>
            </w:tcBorders>
            <w:shd w:val="clear" w:color="auto" w:fill="auto"/>
            <w:vAlign w:val="bottom"/>
          </w:tcPr>
          <w:p w14:paraId="2E03295F" w14:textId="77777777" w:rsidR="008E69F7" w:rsidRPr="00E022E0" w:rsidRDefault="008E69F7" w:rsidP="008E69F7">
            <w:pPr>
              <w:ind w:right="57"/>
              <w:jc w:val="right"/>
              <w:rPr>
                <w:b/>
                <w:bCs w:val="0"/>
                <w:sz w:val="18"/>
                <w:szCs w:val="18"/>
              </w:rPr>
            </w:pPr>
          </w:p>
        </w:tc>
        <w:tc>
          <w:tcPr>
            <w:tcW w:w="2206" w:type="dxa"/>
            <w:vAlign w:val="bottom"/>
          </w:tcPr>
          <w:p w14:paraId="4A56E8FE" w14:textId="77777777" w:rsidR="008E69F7" w:rsidRPr="0013526B" w:rsidRDefault="008E69F7" w:rsidP="008E69F7">
            <w:pPr>
              <w:ind w:right="57"/>
              <w:jc w:val="right"/>
              <w:rPr>
                <w:b/>
                <w:bCs w:val="0"/>
                <w:i/>
                <w:sz w:val="18"/>
                <w:szCs w:val="18"/>
              </w:rPr>
            </w:pPr>
          </w:p>
        </w:tc>
      </w:tr>
      <w:tr w:rsidR="003060BD" w:rsidRPr="003903E3" w14:paraId="587695F4" w14:textId="77777777" w:rsidTr="00C5343D">
        <w:trPr>
          <w:trHeight w:val="20"/>
        </w:trPr>
        <w:tc>
          <w:tcPr>
            <w:tcW w:w="2244" w:type="dxa"/>
          </w:tcPr>
          <w:p w14:paraId="2C740154" w14:textId="77777777" w:rsidR="003060BD" w:rsidRPr="003903E3" w:rsidRDefault="003060BD" w:rsidP="00920CAC">
            <w:pPr>
              <w:ind w:left="426" w:right="-53" w:hanging="284"/>
              <w:rPr>
                <w:b/>
                <w:bCs w:val="0"/>
                <w:sz w:val="18"/>
                <w:szCs w:val="18"/>
              </w:rPr>
            </w:pPr>
          </w:p>
        </w:tc>
        <w:tc>
          <w:tcPr>
            <w:tcW w:w="1501" w:type="dxa"/>
            <w:vAlign w:val="bottom"/>
          </w:tcPr>
          <w:p w14:paraId="7963B2AE" w14:textId="77777777" w:rsidR="003060BD" w:rsidRPr="00EA2E1E" w:rsidRDefault="003060BD" w:rsidP="003060BD">
            <w:pPr>
              <w:jc w:val="center"/>
              <w:rPr>
                <w:b/>
                <w:bCs w:val="0"/>
                <w:sz w:val="18"/>
                <w:szCs w:val="18"/>
                <w:highlight w:val="red"/>
              </w:rPr>
            </w:pPr>
          </w:p>
        </w:tc>
        <w:tc>
          <w:tcPr>
            <w:tcW w:w="109" w:type="dxa"/>
            <w:tcMar>
              <w:left w:w="28" w:type="dxa"/>
              <w:right w:w="28" w:type="dxa"/>
            </w:tcMar>
          </w:tcPr>
          <w:p w14:paraId="00CAB2C7" w14:textId="77777777" w:rsidR="003060BD" w:rsidRPr="003903E3" w:rsidRDefault="003060BD" w:rsidP="003060BD">
            <w:pPr>
              <w:jc w:val="center"/>
              <w:rPr>
                <w:b/>
                <w:bCs w:val="0"/>
                <w:sz w:val="18"/>
                <w:szCs w:val="18"/>
              </w:rPr>
            </w:pPr>
          </w:p>
        </w:tc>
        <w:tc>
          <w:tcPr>
            <w:tcW w:w="1510" w:type="dxa"/>
            <w:tcBorders>
              <w:bottom w:val="double" w:sz="4" w:space="0" w:color="auto"/>
            </w:tcBorders>
            <w:shd w:val="clear" w:color="auto" w:fill="auto"/>
            <w:tcMar>
              <w:left w:w="28" w:type="dxa"/>
              <w:right w:w="28" w:type="dxa"/>
            </w:tcMar>
            <w:vAlign w:val="bottom"/>
          </w:tcPr>
          <w:p w14:paraId="7B392F9E" w14:textId="2FE782F3" w:rsidR="003060BD" w:rsidRPr="00F62F86" w:rsidRDefault="001403E9" w:rsidP="003060BD">
            <w:pPr>
              <w:ind w:right="57"/>
              <w:jc w:val="right"/>
              <w:rPr>
                <w:b/>
                <w:bCs w:val="0"/>
                <w:sz w:val="18"/>
                <w:szCs w:val="18"/>
              </w:rPr>
            </w:pPr>
            <w:r w:rsidRPr="00F62F86">
              <w:rPr>
                <w:b/>
                <w:bCs w:val="0"/>
                <w:sz w:val="18"/>
                <w:szCs w:val="18"/>
                <w:lang w:val="id-ID"/>
              </w:rPr>
              <w:t>(</w:t>
            </w:r>
            <w:r w:rsidR="00B60824">
              <w:rPr>
                <w:b/>
                <w:sz w:val="18"/>
                <w:szCs w:val="18"/>
                <w:lang w:val="id-ID"/>
              </w:rPr>
              <w:t>235.037.546</w:t>
            </w:r>
            <w:r w:rsidRPr="00F62F86">
              <w:rPr>
                <w:b/>
                <w:bCs w:val="0"/>
                <w:sz w:val="18"/>
                <w:szCs w:val="18"/>
                <w:lang w:val="id-ID"/>
              </w:rPr>
              <w:t>)</w:t>
            </w:r>
          </w:p>
        </w:tc>
        <w:tc>
          <w:tcPr>
            <w:tcW w:w="110" w:type="dxa"/>
            <w:shd w:val="clear" w:color="auto" w:fill="auto"/>
            <w:tcMar>
              <w:left w:w="28" w:type="dxa"/>
              <w:right w:w="28" w:type="dxa"/>
            </w:tcMar>
            <w:vAlign w:val="bottom"/>
          </w:tcPr>
          <w:p w14:paraId="5BE4AA7F" w14:textId="77777777" w:rsidR="003060BD" w:rsidRPr="00CD0969" w:rsidRDefault="003060BD" w:rsidP="003060BD">
            <w:pPr>
              <w:ind w:left="-90"/>
              <w:jc w:val="right"/>
              <w:rPr>
                <w:b/>
                <w:bCs w:val="0"/>
                <w:sz w:val="18"/>
                <w:szCs w:val="18"/>
              </w:rPr>
            </w:pPr>
          </w:p>
        </w:tc>
        <w:tc>
          <w:tcPr>
            <w:tcW w:w="1505" w:type="dxa"/>
            <w:tcBorders>
              <w:bottom w:val="double" w:sz="4" w:space="0" w:color="auto"/>
            </w:tcBorders>
            <w:shd w:val="clear" w:color="auto" w:fill="auto"/>
            <w:vAlign w:val="bottom"/>
          </w:tcPr>
          <w:p w14:paraId="6E6DB74E" w14:textId="49AE05BC" w:rsidR="003060BD" w:rsidRPr="00E022E0" w:rsidRDefault="003060BD" w:rsidP="003060BD">
            <w:pPr>
              <w:ind w:right="57"/>
              <w:jc w:val="right"/>
              <w:rPr>
                <w:b/>
                <w:bCs w:val="0"/>
                <w:sz w:val="18"/>
                <w:szCs w:val="18"/>
                <w:lang w:val="id-ID"/>
              </w:rPr>
            </w:pPr>
            <w:r w:rsidRPr="00E022E0">
              <w:rPr>
                <w:b/>
                <w:bCs w:val="0"/>
                <w:sz w:val="18"/>
                <w:szCs w:val="18"/>
                <w:lang w:val="id-ID"/>
              </w:rPr>
              <w:t>527</w:t>
            </w:r>
            <w:r>
              <w:rPr>
                <w:b/>
                <w:bCs w:val="0"/>
                <w:sz w:val="18"/>
                <w:szCs w:val="18"/>
                <w:lang w:val="id-ID"/>
              </w:rPr>
              <w:t>.</w:t>
            </w:r>
            <w:r w:rsidRPr="00E022E0">
              <w:rPr>
                <w:b/>
                <w:bCs w:val="0"/>
                <w:sz w:val="18"/>
                <w:szCs w:val="18"/>
                <w:lang w:val="id-ID"/>
              </w:rPr>
              <w:t>203</w:t>
            </w:r>
            <w:r>
              <w:rPr>
                <w:b/>
                <w:bCs w:val="0"/>
                <w:sz w:val="18"/>
                <w:szCs w:val="18"/>
                <w:lang w:val="id-ID"/>
              </w:rPr>
              <w:t>.</w:t>
            </w:r>
            <w:r w:rsidRPr="00E022E0">
              <w:rPr>
                <w:b/>
                <w:bCs w:val="0"/>
                <w:sz w:val="18"/>
                <w:szCs w:val="18"/>
                <w:lang w:val="id-ID"/>
              </w:rPr>
              <w:t>636</w:t>
            </w:r>
          </w:p>
        </w:tc>
        <w:tc>
          <w:tcPr>
            <w:tcW w:w="2206" w:type="dxa"/>
            <w:vAlign w:val="bottom"/>
          </w:tcPr>
          <w:p w14:paraId="021E1E21" w14:textId="77777777" w:rsidR="003060BD" w:rsidRPr="003903E3" w:rsidRDefault="003060BD" w:rsidP="003060BD">
            <w:pPr>
              <w:ind w:right="57"/>
              <w:jc w:val="right"/>
              <w:rPr>
                <w:b/>
                <w:bCs w:val="0"/>
                <w:i/>
                <w:sz w:val="18"/>
                <w:szCs w:val="18"/>
              </w:rPr>
            </w:pPr>
          </w:p>
        </w:tc>
      </w:tr>
      <w:tr w:rsidR="003060BD" w:rsidRPr="0013526B" w14:paraId="6EF4D4BF" w14:textId="77777777" w:rsidTr="00C5343D">
        <w:trPr>
          <w:trHeight w:val="20"/>
        </w:trPr>
        <w:tc>
          <w:tcPr>
            <w:tcW w:w="2244" w:type="dxa"/>
          </w:tcPr>
          <w:p w14:paraId="586393CC" w14:textId="77777777" w:rsidR="003060BD" w:rsidRPr="0013526B" w:rsidRDefault="003060BD" w:rsidP="003060BD">
            <w:pPr>
              <w:ind w:left="426" w:hanging="284"/>
              <w:rPr>
                <w:b/>
                <w:bCs w:val="0"/>
                <w:sz w:val="18"/>
                <w:szCs w:val="18"/>
              </w:rPr>
            </w:pPr>
          </w:p>
        </w:tc>
        <w:tc>
          <w:tcPr>
            <w:tcW w:w="1501" w:type="dxa"/>
            <w:vAlign w:val="bottom"/>
          </w:tcPr>
          <w:p w14:paraId="7F29E800" w14:textId="77777777" w:rsidR="003060BD" w:rsidRPr="00EA2E1E" w:rsidRDefault="003060BD" w:rsidP="003060BD">
            <w:pPr>
              <w:jc w:val="center"/>
              <w:rPr>
                <w:b/>
                <w:bCs w:val="0"/>
                <w:sz w:val="18"/>
                <w:szCs w:val="18"/>
                <w:highlight w:val="red"/>
              </w:rPr>
            </w:pPr>
          </w:p>
        </w:tc>
        <w:tc>
          <w:tcPr>
            <w:tcW w:w="109" w:type="dxa"/>
            <w:tcMar>
              <w:left w:w="28" w:type="dxa"/>
              <w:right w:w="28" w:type="dxa"/>
            </w:tcMar>
          </w:tcPr>
          <w:p w14:paraId="05B6419D" w14:textId="77777777" w:rsidR="003060BD" w:rsidRPr="0013526B" w:rsidRDefault="003060BD" w:rsidP="003060BD">
            <w:pPr>
              <w:jc w:val="center"/>
              <w:rPr>
                <w:b/>
                <w:bCs w:val="0"/>
                <w:sz w:val="18"/>
                <w:szCs w:val="18"/>
              </w:rPr>
            </w:pPr>
          </w:p>
        </w:tc>
        <w:tc>
          <w:tcPr>
            <w:tcW w:w="1510" w:type="dxa"/>
            <w:shd w:val="clear" w:color="auto" w:fill="auto"/>
            <w:tcMar>
              <w:left w:w="28" w:type="dxa"/>
              <w:right w:w="28" w:type="dxa"/>
            </w:tcMar>
            <w:vAlign w:val="bottom"/>
          </w:tcPr>
          <w:p w14:paraId="3BFFD005" w14:textId="77777777" w:rsidR="003060BD" w:rsidRPr="00CD0969" w:rsidRDefault="003060BD" w:rsidP="003060BD">
            <w:pPr>
              <w:ind w:right="57"/>
              <w:jc w:val="right"/>
              <w:rPr>
                <w:b/>
                <w:bCs w:val="0"/>
                <w:sz w:val="18"/>
                <w:szCs w:val="18"/>
              </w:rPr>
            </w:pPr>
          </w:p>
        </w:tc>
        <w:tc>
          <w:tcPr>
            <w:tcW w:w="110" w:type="dxa"/>
            <w:shd w:val="clear" w:color="auto" w:fill="auto"/>
            <w:tcMar>
              <w:left w:w="28" w:type="dxa"/>
              <w:right w:w="28" w:type="dxa"/>
            </w:tcMar>
            <w:vAlign w:val="bottom"/>
          </w:tcPr>
          <w:p w14:paraId="5FDC1B31" w14:textId="77777777" w:rsidR="003060BD" w:rsidRPr="00CD0969" w:rsidRDefault="003060BD" w:rsidP="003060BD">
            <w:pPr>
              <w:ind w:left="-90"/>
              <w:jc w:val="right"/>
              <w:rPr>
                <w:b/>
                <w:bCs w:val="0"/>
                <w:sz w:val="18"/>
                <w:szCs w:val="18"/>
              </w:rPr>
            </w:pPr>
          </w:p>
        </w:tc>
        <w:tc>
          <w:tcPr>
            <w:tcW w:w="1505" w:type="dxa"/>
            <w:tcBorders>
              <w:top w:val="double" w:sz="4" w:space="0" w:color="auto"/>
            </w:tcBorders>
            <w:shd w:val="clear" w:color="auto" w:fill="auto"/>
            <w:vAlign w:val="bottom"/>
          </w:tcPr>
          <w:p w14:paraId="1A0C1CAA" w14:textId="77777777" w:rsidR="003060BD" w:rsidRPr="00E022E0" w:rsidRDefault="003060BD" w:rsidP="003060BD">
            <w:pPr>
              <w:ind w:right="57"/>
              <w:jc w:val="right"/>
              <w:rPr>
                <w:b/>
                <w:bCs w:val="0"/>
                <w:sz w:val="18"/>
                <w:szCs w:val="18"/>
              </w:rPr>
            </w:pPr>
          </w:p>
        </w:tc>
        <w:tc>
          <w:tcPr>
            <w:tcW w:w="2206" w:type="dxa"/>
            <w:vAlign w:val="bottom"/>
          </w:tcPr>
          <w:p w14:paraId="5DB474E1" w14:textId="77777777" w:rsidR="003060BD" w:rsidRPr="0013526B" w:rsidRDefault="003060BD" w:rsidP="003060BD">
            <w:pPr>
              <w:ind w:right="57"/>
              <w:jc w:val="right"/>
              <w:rPr>
                <w:b/>
                <w:bCs w:val="0"/>
                <w:i/>
                <w:sz w:val="18"/>
                <w:szCs w:val="18"/>
              </w:rPr>
            </w:pPr>
          </w:p>
        </w:tc>
      </w:tr>
      <w:tr w:rsidR="003060BD" w:rsidRPr="0013526B" w14:paraId="532E579D" w14:textId="77777777" w:rsidTr="00C5343D">
        <w:trPr>
          <w:trHeight w:val="20"/>
        </w:trPr>
        <w:tc>
          <w:tcPr>
            <w:tcW w:w="2244" w:type="dxa"/>
          </w:tcPr>
          <w:p w14:paraId="4DA6CFF3" w14:textId="473398C6" w:rsidR="003060BD" w:rsidRPr="0013526B" w:rsidRDefault="003060BD" w:rsidP="003060BD">
            <w:pPr>
              <w:ind w:left="426" w:hanging="284"/>
              <w:rPr>
                <w:b/>
                <w:bCs w:val="0"/>
                <w:sz w:val="18"/>
                <w:szCs w:val="18"/>
              </w:rPr>
            </w:pPr>
            <w:r>
              <w:rPr>
                <w:b/>
                <w:sz w:val="18"/>
                <w:szCs w:val="18"/>
              </w:rPr>
              <w:t>Jumlah laba (rugi)</w:t>
            </w:r>
            <w:r w:rsidRPr="0013526B">
              <w:rPr>
                <w:b/>
                <w:sz w:val="18"/>
                <w:szCs w:val="18"/>
              </w:rPr>
              <w:t xml:space="preserve"> komprehensif tahun berjalan yang dapat diatribusikan kepada:</w:t>
            </w:r>
          </w:p>
        </w:tc>
        <w:tc>
          <w:tcPr>
            <w:tcW w:w="1501" w:type="dxa"/>
            <w:vAlign w:val="bottom"/>
          </w:tcPr>
          <w:p w14:paraId="13847DA3" w14:textId="77777777" w:rsidR="003060BD" w:rsidRPr="00EA2E1E" w:rsidRDefault="003060BD" w:rsidP="003060BD">
            <w:pPr>
              <w:jc w:val="center"/>
              <w:rPr>
                <w:b/>
                <w:bCs w:val="0"/>
                <w:sz w:val="18"/>
                <w:szCs w:val="18"/>
                <w:highlight w:val="red"/>
              </w:rPr>
            </w:pPr>
          </w:p>
        </w:tc>
        <w:tc>
          <w:tcPr>
            <w:tcW w:w="109" w:type="dxa"/>
            <w:tcMar>
              <w:left w:w="28" w:type="dxa"/>
              <w:right w:w="28" w:type="dxa"/>
            </w:tcMar>
          </w:tcPr>
          <w:p w14:paraId="5CD4A051" w14:textId="77777777" w:rsidR="003060BD" w:rsidRPr="0013526B" w:rsidRDefault="003060BD" w:rsidP="003060BD">
            <w:pPr>
              <w:jc w:val="center"/>
              <w:rPr>
                <w:b/>
                <w:bCs w:val="0"/>
                <w:sz w:val="18"/>
                <w:szCs w:val="18"/>
              </w:rPr>
            </w:pPr>
          </w:p>
        </w:tc>
        <w:tc>
          <w:tcPr>
            <w:tcW w:w="1510" w:type="dxa"/>
            <w:shd w:val="clear" w:color="auto" w:fill="auto"/>
            <w:tcMar>
              <w:left w:w="28" w:type="dxa"/>
              <w:right w:w="28" w:type="dxa"/>
            </w:tcMar>
            <w:vAlign w:val="bottom"/>
          </w:tcPr>
          <w:p w14:paraId="641735EA" w14:textId="77777777" w:rsidR="003060BD" w:rsidRPr="00CD0969" w:rsidRDefault="003060BD" w:rsidP="003060BD">
            <w:pPr>
              <w:ind w:right="57"/>
              <w:jc w:val="right"/>
              <w:rPr>
                <w:b/>
                <w:bCs w:val="0"/>
                <w:sz w:val="18"/>
                <w:szCs w:val="18"/>
              </w:rPr>
            </w:pPr>
          </w:p>
        </w:tc>
        <w:tc>
          <w:tcPr>
            <w:tcW w:w="110" w:type="dxa"/>
            <w:shd w:val="clear" w:color="auto" w:fill="auto"/>
            <w:tcMar>
              <w:left w:w="28" w:type="dxa"/>
              <w:right w:w="28" w:type="dxa"/>
            </w:tcMar>
            <w:vAlign w:val="bottom"/>
          </w:tcPr>
          <w:p w14:paraId="697C40D3" w14:textId="77777777" w:rsidR="003060BD" w:rsidRPr="00CD0969" w:rsidRDefault="003060BD" w:rsidP="003060BD">
            <w:pPr>
              <w:ind w:left="-90"/>
              <w:jc w:val="right"/>
              <w:rPr>
                <w:b/>
                <w:bCs w:val="0"/>
                <w:sz w:val="18"/>
                <w:szCs w:val="18"/>
              </w:rPr>
            </w:pPr>
          </w:p>
        </w:tc>
        <w:tc>
          <w:tcPr>
            <w:tcW w:w="1505" w:type="dxa"/>
            <w:shd w:val="clear" w:color="auto" w:fill="auto"/>
            <w:vAlign w:val="bottom"/>
          </w:tcPr>
          <w:p w14:paraId="5ECFD14B" w14:textId="77777777" w:rsidR="003060BD" w:rsidRPr="00E022E0" w:rsidRDefault="003060BD" w:rsidP="003060BD">
            <w:pPr>
              <w:ind w:right="57"/>
              <w:jc w:val="right"/>
              <w:rPr>
                <w:b/>
                <w:bCs w:val="0"/>
                <w:sz w:val="18"/>
                <w:szCs w:val="18"/>
              </w:rPr>
            </w:pPr>
          </w:p>
        </w:tc>
        <w:tc>
          <w:tcPr>
            <w:tcW w:w="2206" w:type="dxa"/>
            <w:vAlign w:val="bottom"/>
          </w:tcPr>
          <w:p w14:paraId="457534DC" w14:textId="77777777" w:rsidR="003060BD" w:rsidRDefault="003060BD" w:rsidP="003060BD">
            <w:pPr>
              <w:ind w:right="57"/>
              <w:jc w:val="right"/>
              <w:rPr>
                <w:b/>
                <w:bCs w:val="0"/>
                <w:i/>
                <w:sz w:val="18"/>
                <w:szCs w:val="18"/>
              </w:rPr>
            </w:pPr>
            <w:r w:rsidRPr="0013526B">
              <w:rPr>
                <w:b/>
                <w:bCs w:val="0"/>
                <w:i/>
                <w:sz w:val="18"/>
                <w:szCs w:val="18"/>
              </w:rPr>
              <w:t xml:space="preserve">Total comprehensive </w:t>
            </w:r>
          </w:p>
          <w:p w14:paraId="4AD24092" w14:textId="06860567" w:rsidR="003060BD" w:rsidRDefault="003060BD" w:rsidP="003060BD">
            <w:pPr>
              <w:ind w:right="373"/>
              <w:jc w:val="right"/>
              <w:rPr>
                <w:b/>
                <w:bCs w:val="0"/>
                <w:i/>
                <w:sz w:val="18"/>
                <w:szCs w:val="18"/>
              </w:rPr>
            </w:pPr>
            <w:r>
              <w:rPr>
                <w:b/>
                <w:bCs w:val="0"/>
                <w:i/>
                <w:sz w:val="18"/>
                <w:szCs w:val="18"/>
              </w:rPr>
              <w:t>income (loss)</w:t>
            </w:r>
            <w:r w:rsidRPr="0013526B">
              <w:rPr>
                <w:b/>
                <w:bCs w:val="0"/>
                <w:i/>
                <w:sz w:val="18"/>
                <w:szCs w:val="18"/>
              </w:rPr>
              <w:t xml:space="preserve"> for the year </w:t>
            </w:r>
          </w:p>
          <w:p w14:paraId="659D00A3" w14:textId="05A29F9F" w:rsidR="003060BD" w:rsidRPr="0013526B" w:rsidRDefault="003060BD" w:rsidP="003060BD">
            <w:pPr>
              <w:ind w:right="373"/>
              <w:jc w:val="right"/>
              <w:rPr>
                <w:b/>
                <w:bCs w:val="0"/>
                <w:i/>
                <w:sz w:val="18"/>
                <w:szCs w:val="18"/>
              </w:rPr>
            </w:pPr>
            <w:r w:rsidRPr="0013526B">
              <w:rPr>
                <w:b/>
                <w:bCs w:val="0"/>
                <w:i/>
                <w:sz w:val="18"/>
                <w:szCs w:val="18"/>
              </w:rPr>
              <w:t>attributable to:</w:t>
            </w:r>
          </w:p>
        </w:tc>
      </w:tr>
      <w:tr w:rsidR="003060BD" w:rsidRPr="0013526B" w14:paraId="3829A58D" w14:textId="77777777" w:rsidTr="00C5343D">
        <w:trPr>
          <w:trHeight w:val="20"/>
        </w:trPr>
        <w:tc>
          <w:tcPr>
            <w:tcW w:w="2244" w:type="dxa"/>
          </w:tcPr>
          <w:p w14:paraId="33E3F92E" w14:textId="469CA011" w:rsidR="003060BD" w:rsidRPr="0013526B" w:rsidRDefault="003060BD" w:rsidP="003060BD">
            <w:pPr>
              <w:ind w:left="426" w:hanging="284"/>
              <w:rPr>
                <w:b/>
                <w:bCs w:val="0"/>
                <w:sz w:val="18"/>
                <w:szCs w:val="18"/>
              </w:rPr>
            </w:pPr>
            <w:r w:rsidRPr="0013526B">
              <w:rPr>
                <w:sz w:val="18"/>
                <w:szCs w:val="18"/>
              </w:rPr>
              <w:t>Pemilik Entitas Induk</w:t>
            </w:r>
          </w:p>
        </w:tc>
        <w:tc>
          <w:tcPr>
            <w:tcW w:w="1501" w:type="dxa"/>
            <w:vAlign w:val="bottom"/>
          </w:tcPr>
          <w:p w14:paraId="4BDB16B4" w14:textId="77777777" w:rsidR="003060BD" w:rsidRPr="00EA2E1E" w:rsidRDefault="003060BD" w:rsidP="003060BD">
            <w:pPr>
              <w:jc w:val="center"/>
              <w:rPr>
                <w:b/>
                <w:bCs w:val="0"/>
                <w:sz w:val="18"/>
                <w:szCs w:val="18"/>
                <w:highlight w:val="red"/>
              </w:rPr>
            </w:pPr>
          </w:p>
        </w:tc>
        <w:tc>
          <w:tcPr>
            <w:tcW w:w="109" w:type="dxa"/>
            <w:tcMar>
              <w:left w:w="28" w:type="dxa"/>
              <w:right w:w="28" w:type="dxa"/>
            </w:tcMar>
          </w:tcPr>
          <w:p w14:paraId="2F02CBB0" w14:textId="77777777" w:rsidR="003060BD" w:rsidRPr="0013526B" w:rsidRDefault="003060BD" w:rsidP="003060BD">
            <w:pPr>
              <w:jc w:val="center"/>
              <w:rPr>
                <w:b/>
                <w:bCs w:val="0"/>
                <w:sz w:val="18"/>
                <w:szCs w:val="18"/>
              </w:rPr>
            </w:pPr>
          </w:p>
        </w:tc>
        <w:tc>
          <w:tcPr>
            <w:tcW w:w="1510" w:type="dxa"/>
            <w:shd w:val="clear" w:color="auto" w:fill="auto"/>
            <w:tcMar>
              <w:left w:w="28" w:type="dxa"/>
              <w:right w:w="28" w:type="dxa"/>
            </w:tcMar>
            <w:vAlign w:val="bottom"/>
          </w:tcPr>
          <w:p w14:paraId="194CDFAE" w14:textId="506A47C5" w:rsidR="003060BD" w:rsidRPr="00D85DCB" w:rsidRDefault="002B6559" w:rsidP="001721C2">
            <w:pPr>
              <w:ind w:right="57"/>
              <w:jc w:val="right"/>
              <w:rPr>
                <w:bCs w:val="0"/>
                <w:sz w:val="18"/>
                <w:szCs w:val="18"/>
                <w:lang w:val="id-ID"/>
              </w:rPr>
            </w:pPr>
            <w:r w:rsidRPr="00D85DCB">
              <w:rPr>
                <w:sz w:val="18"/>
                <w:szCs w:val="18"/>
              </w:rPr>
              <w:t xml:space="preserve">    </w:t>
            </w:r>
            <w:r w:rsidR="003D5688" w:rsidRPr="00D85DCB">
              <w:rPr>
                <w:sz w:val="18"/>
                <w:szCs w:val="18"/>
              </w:rPr>
              <w:t>(</w:t>
            </w:r>
            <w:r w:rsidR="00B60824" w:rsidRPr="00D85DCB">
              <w:rPr>
                <w:sz w:val="18"/>
                <w:szCs w:val="18"/>
                <w:lang w:val="id-ID"/>
              </w:rPr>
              <w:t>9</w:t>
            </w:r>
            <w:r w:rsidR="00B60824" w:rsidRPr="00D85DCB">
              <w:rPr>
                <w:sz w:val="18"/>
                <w:szCs w:val="18"/>
              </w:rPr>
              <w:t>.</w:t>
            </w:r>
            <w:r w:rsidR="00B60824" w:rsidRPr="00D85DCB">
              <w:rPr>
                <w:sz w:val="18"/>
                <w:szCs w:val="18"/>
                <w:lang w:val="id-ID"/>
              </w:rPr>
              <w:t>655</w:t>
            </w:r>
            <w:r w:rsidR="00B60824" w:rsidRPr="00D85DCB">
              <w:rPr>
                <w:sz w:val="18"/>
                <w:szCs w:val="18"/>
              </w:rPr>
              <w:t>.</w:t>
            </w:r>
            <w:r w:rsidR="00B60824" w:rsidRPr="00D85DCB">
              <w:rPr>
                <w:sz w:val="18"/>
                <w:szCs w:val="18"/>
                <w:lang w:val="id-ID"/>
              </w:rPr>
              <w:t>729</w:t>
            </w:r>
            <w:r w:rsidR="00B60824" w:rsidRPr="00D85DCB">
              <w:rPr>
                <w:sz w:val="18"/>
                <w:szCs w:val="18"/>
              </w:rPr>
              <w:t>.</w:t>
            </w:r>
            <w:r w:rsidR="00B60824" w:rsidRPr="00D85DCB">
              <w:rPr>
                <w:sz w:val="18"/>
                <w:szCs w:val="18"/>
                <w:lang w:val="id-ID"/>
              </w:rPr>
              <w:t>049</w:t>
            </w:r>
            <w:r w:rsidRPr="00D85DCB">
              <w:rPr>
                <w:sz w:val="18"/>
                <w:szCs w:val="18"/>
              </w:rPr>
              <w:t>)</w:t>
            </w:r>
          </w:p>
        </w:tc>
        <w:tc>
          <w:tcPr>
            <w:tcW w:w="110" w:type="dxa"/>
            <w:shd w:val="clear" w:color="auto" w:fill="auto"/>
            <w:tcMar>
              <w:left w:w="28" w:type="dxa"/>
              <w:right w:w="28" w:type="dxa"/>
            </w:tcMar>
            <w:vAlign w:val="bottom"/>
          </w:tcPr>
          <w:p w14:paraId="352DC74A" w14:textId="77777777" w:rsidR="003060BD" w:rsidRPr="00D85DCB" w:rsidRDefault="003060BD" w:rsidP="003060BD">
            <w:pPr>
              <w:ind w:left="-90"/>
              <w:jc w:val="right"/>
              <w:rPr>
                <w:b/>
                <w:bCs w:val="0"/>
                <w:sz w:val="18"/>
                <w:szCs w:val="18"/>
              </w:rPr>
            </w:pPr>
          </w:p>
        </w:tc>
        <w:tc>
          <w:tcPr>
            <w:tcW w:w="1505" w:type="dxa"/>
            <w:shd w:val="clear" w:color="auto" w:fill="auto"/>
            <w:vAlign w:val="bottom"/>
          </w:tcPr>
          <w:p w14:paraId="38433AC0" w14:textId="030B825D" w:rsidR="003060BD" w:rsidRPr="00E022E0" w:rsidRDefault="003060BD" w:rsidP="003060BD">
            <w:pPr>
              <w:ind w:right="57"/>
              <w:jc w:val="right"/>
              <w:rPr>
                <w:bCs w:val="0"/>
                <w:sz w:val="18"/>
                <w:szCs w:val="18"/>
              </w:rPr>
            </w:pPr>
            <w:r w:rsidRPr="00E022E0">
              <w:rPr>
                <w:bCs w:val="0"/>
                <w:sz w:val="18"/>
                <w:szCs w:val="18"/>
              </w:rPr>
              <w:t>4</w:t>
            </w:r>
            <w:r>
              <w:rPr>
                <w:bCs w:val="0"/>
                <w:sz w:val="18"/>
                <w:szCs w:val="18"/>
              </w:rPr>
              <w:t>.</w:t>
            </w:r>
            <w:r w:rsidRPr="00E022E0">
              <w:rPr>
                <w:bCs w:val="0"/>
                <w:sz w:val="18"/>
                <w:szCs w:val="18"/>
              </w:rPr>
              <w:t>533</w:t>
            </w:r>
            <w:r>
              <w:rPr>
                <w:bCs w:val="0"/>
                <w:sz w:val="18"/>
                <w:szCs w:val="18"/>
              </w:rPr>
              <w:t>.</w:t>
            </w:r>
            <w:r w:rsidRPr="00E022E0">
              <w:rPr>
                <w:bCs w:val="0"/>
                <w:sz w:val="18"/>
                <w:szCs w:val="18"/>
              </w:rPr>
              <w:t>634</w:t>
            </w:r>
            <w:r>
              <w:rPr>
                <w:bCs w:val="0"/>
                <w:sz w:val="18"/>
                <w:szCs w:val="18"/>
              </w:rPr>
              <w:t>.</w:t>
            </w:r>
            <w:r w:rsidRPr="00E022E0">
              <w:rPr>
                <w:bCs w:val="0"/>
                <w:sz w:val="18"/>
                <w:szCs w:val="18"/>
              </w:rPr>
              <w:t>833</w:t>
            </w:r>
          </w:p>
        </w:tc>
        <w:tc>
          <w:tcPr>
            <w:tcW w:w="2206" w:type="dxa"/>
            <w:vAlign w:val="bottom"/>
          </w:tcPr>
          <w:p w14:paraId="06319B90" w14:textId="4ABF3CDB" w:rsidR="003060BD" w:rsidRPr="0013526B" w:rsidRDefault="003060BD" w:rsidP="003060BD">
            <w:pPr>
              <w:ind w:right="57"/>
              <w:jc w:val="right"/>
              <w:rPr>
                <w:b/>
                <w:bCs w:val="0"/>
                <w:i/>
                <w:sz w:val="18"/>
                <w:szCs w:val="18"/>
              </w:rPr>
            </w:pPr>
            <w:r w:rsidRPr="0013526B">
              <w:rPr>
                <w:i/>
                <w:sz w:val="18"/>
                <w:szCs w:val="18"/>
              </w:rPr>
              <w:t xml:space="preserve"> Owner of the Parent Entity</w:t>
            </w:r>
          </w:p>
        </w:tc>
      </w:tr>
      <w:tr w:rsidR="003060BD" w:rsidRPr="0013526B" w14:paraId="43526EB1" w14:textId="77777777" w:rsidTr="00C5343D">
        <w:trPr>
          <w:trHeight w:val="20"/>
        </w:trPr>
        <w:tc>
          <w:tcPr>
            <w:tcW w:w="2244" w:type="dxa"/>
          </w:tcPr>
          <w:p w14:paraId="1CE52191" w14:textId="262E9964" w:rsidR="003060BD" w:rsidRPr="0013526B" w:rsidRDefault="003060BD" w:rsidP="003060BD">
            <w:pPr>
              <w:ind w:left="426" w:hanging="284"/>
              <w:rPr>
                <w:b/>
                <w:bCs w:val="0"/>
                <w:sz w:val="18"/>
                <w:szCs w:val="18"/>
              </w:rPr>
            </w:pPr>
            <w:r w:rsidRPr="0013526B">
              <w:rPr>
                <w:sz w:val="18"/>
                <w:szCs w:val="18"/>
              </w:rPr>
              <w:t>Kepentingan non-pengendali</w:t>
            </w:r>
          </w:p>
        </w:tc>
        <w:tc>
          <w:tcPr>
            <w:tcW w:w="1501" w:type="dxa"/>
            <w:vAlign w:val="bottom"/>
          </w:tcPr>
          <w:p w14:paraId="1D458A06" w14:textId="77777777" w:rsidR="003060BD" w:rsidRPr="00EA2E1E" w:rsidRDefault="003060BD" w:rsidP="003060BD">
            <w:pPr>
              <w:jc w:val="center"/>
              <w:rPr>
                <w:b/>
                <w:bCs w:val="0"/>
                <w:sz w:val="18"/>
                <w:szCs w:val="18"/>
                <w:highlight w:val="red"/>
              </w:rPr>
            </w:pPr>
          </w:p>
        </w:tc>
        <w:tc>
          <w:tcPr>
            <w:tcW w:w="109" w:type="dxa"/>
            <w:tcMar>
              <w:left w:w="28" w:type="dxa"/>
              <w:right w:w="28" w:type="dxa"/>
            </w:tcMar>
          </w:tcPr>
          <w:p w14:paraId="0FCCD390" w14:textId="77777777" w:rsidR="003060BD" w:rsidRPr="0013526B" w:rsidRDefault="003060BD" w:rsidP="003060BD">
            <w:pPr>
              <w:jc w:val="center"/>
              <w:rPr>
                <w:b/>
                <w:bCs w:val="0"/>
                <w:sz w:val="18"/>
                <w:szCs w:val="18"/>
              </w:rPr>
            </w:pPr>
          </w:p>
        </w:tc>
        <w:tc>
          <w:tcPr>
            <w:tcW w:w="1510" w:type="dxa"/>
            <w:tcBorders>
              <w:bottom w:val="single" w:sz="4" w:space="0" w:color="auto"/>
            </w:tcBorders>
            <w:shd w:val="clear" w:color="auto" w:fill="auto"/>
            <w:tcMar>
              <w:left w:w="28" w:type="dxa"/>
              <w:right w:w="28" w:type="dxa"/>
            </w:tcMar>
            <w:vAlign w:val="bottom"/>
          </w:tcPr>
          <w:p w14:paraId="3FDCE473" w14:textId="54174CEA" w:rsidR="003060BD" w:rsidRPr="00D85DCB" w:rsidRDefault="002B6559" w:rsidP="001721C2">
            <w:pPr>
              <w:ind w:right="57"/>
              <w:jc w:val="right"/>
              <w:rPr>
                <w:sz w:val="18"/>
                <w:szCs w:val="18"/>
              </w:rPr>
            </w:pPr>
            <w:r w:rsidRPr="00D85DCB">
              <w:rPr>
                <w:sz w:val="18"/>
                <w:szCs w:val="18"/>
              </w:rPr>
              <w:t>(</w:t>
            </w:r>
            <w:r w:rsidR="001721C2" w:rsidRPr="00D85DCB">
              <w:rPr>
                <w:sz w:val="18"/>
                <w:szCs w:val="18"/>
              </w:rPr>
              <w:t>9.217.470</w:t>
            </w:r>
            <w:r w:rsidR="00392752" w:rsidRPr="00D85DCB">
              <w:rPr>
                <w:sz w:val="18"/>
                <w:szCs w:val="18"/>
              </w:rPr>
              <w:t>)</w:t>
            </w:r>
          </w:p>
        </w:tc>
        <w:tc>
          <w:tcPr>
            <w:tcW w:w="110" w:type="dxa"/>
            <w:shd w:val="clear" w:color="auto" w:fill="auto"/>
            <w:tcMar>
              <w:left w:w="28" w:type="dxa"/>
              <w:right w:w="28" w:type="dxa"/>
            </w:tcMar>
            <w:vAlign w:val="bottom"/>
          </w:tcPr>
          <w:p w14:paraId="1834DEE8" w14:textId="77777777" w:rsidR="003060BD" w:rsidRPr="00D85DCB" w:rsidRDefault="003060BD" w:rsidP="003060BD">
            <w:pPr>
              <w:ind w:left="-90"/>
              <w:jc w:val="right"/>
              <w:rPr>
                <w:b/>
                <w:bCs w:val="0"/>
                <w:sz w:val="18"/>
                <w:szCs w:val="18"/>
              </w:rPr>
            </w:pPr>
          </w:p>
        </w:tc>
        <w:tc>
          <w:tcPr>
            <w:tcW w:w="1505" w:type="dxa"/>
            <w:tcBorders>
              <w:bottom w:val="single" w:sz="4" w:space="0" w:color="auto"/>
            </w:tcBorders>
            <w:shd w:val="clear" w:color="auto" w:fill="auto"/>
            <w:vAlign w:val="bottom"/>
          </w:tcPr>
          <w:p w14:paraId="3F581690" w14:textId="0F1BAAA7" w:rsidR="003060BD" w:rsidRPr="00E022E0" w:rsidRDefault="003060BD" w:rsidP="003060BD">
            <w:pPr>
              <w:ind w:right="57"/>
              <w:jc w:val="right"/>
              <w:rPr>
                <w:bCs w:val="0"/>
                <w:sz w:val="18"/>
                <w:szCs w:val="18"/>
              </w:rPr>
            </w:pPr>
            <w:r w:rsidRPr="00E022E0">
              <w:rPr>
                <w:bCs w:val="0"/>
                <w:sz w:val="18"/>
                <w:szCs w:val="18"/>
              </w:rPr>
              <w:t>( 17</w:t>
            </w:r>
            <w:r>
              <w:rPr>
                <w:bCs w:val="0"/>
                <w:sz w:val="18"/>
                <w:szCs w:val="18"/>
              </w:rPr>
              <w:t>.</w:t>
            </w:r>
            <w:r w:rsidRPr="00E022E0">
              <w:rPr>
                <w:bCs w:val="0"/>
                <w:sz w:val="18"/>
                <w:szCs w:val="18"/>
              </w:rPr>
              <w:t>351</w:t>
            </w:r>
            <w:r>
              <w:rPr>
                <w:bCs w:val="0"/>
                <w:sz w:val="18"/>
                <w:szCs w:val="18"/>
              </w:rPr>
              <w:t>.</w:t>
            </w:r>
            <w:r w:rsidRPr="00E022E0">
              <w:rPr>
                <w:bCs w:val="0"/>
                <w:sz w:val="18"/>
                <w:szCs w:val="18"/>
              </w:rPr>
              <w:t>813)</w:t>
            </w:r>
          </w:p>
        </w:tc>
        <w:tc>
          <w:tcPr>
            <w:tcW w:w="2206" w:type="dxa"/>
            <w:vAlign w:val="bottom"/>
          </w:tcPr>
          <w:p w14:paraId="31667991" w14:textId="258E69EA" w:rsidR="003060BD" w:rsidRPr="0013526B" w:rsidRDefault="003060BD" w:rsidP="003060BD">
            <w:pPr>
              <w:ind w:right="57"/>
              <w:jc w:val="right"/>
              <w:rPr>
                <w:b/>
                <w:bCs w:val="0"/>
                <w:i/>
                <w:sz w:val="18"/>
                <w:szCs w:val="18"/>
              </w:rPr>
            </w:pPr>
            <w:r w:rsidRPr="0013526B">
              <w:rPr>
                <w:i/>
                <w:sz w:val="18"/>
                <w:szCs w:val="18"/>
              </w:rPr>
              <w:t xml:space="preserve"> Non-controlling interest</w:t>
            </w:r>
          </w:p>
        </w:tc>
      </w:tr>
      <w:tr w:rsidR="003060BD" w:rsidRPr="0013526B" w14:paraId="21F544D2" w14:textId="77777777" w:rsidTr="00C5343D">
        <w:trPr>
          <w:trHeight w:val="20"/>
        </w:trPr>
        <w:tc>
          <w:tcPr>
            <w:tcW w:w="2244" w:type="dxa"/>
          </w:tcPr>
          <w:p w14:paraId="4C6D4CEC" w14:textId="77777777" w:rsidR="003060BD" w:rsidRPr="0013526B" w:rsidRDefault="003060BD" w:rsidP="003060BD">
            <w:pPr>
              <w:ind w:left="426" w:hanging="284"/>
              <w:rPr>
                <w:b/>
                <w:bCs w:val="0"/>
                <w:sz w:val="18"/>
                <w:szCs w:val="18"/>
              </w:rPr>
            </w:pPr>
          </w:p>
        </w:tc>
        <w:tc>
          <w:tcPr>
            <w:tcW w:w="1501" w:type="dxa"/>
            <w:vAlign w:val="bottom"/>
          </w:tcPr>
          <w:p w14:paraId="182CE4A9" w14:textId="77777777" w:rsidR="003060BD" w:rsidRPr="00EA2E1E" w:rsidRDefault="003060BD" w:rsidP="003060BD">
            <w:pPr>
              <w:jc w:val="center"/>
              <w:rPr>
                <w:b/>
                <w:bCs w:val="0"/>
                <w:sz w:val="18"/>
                <w:szCs w:val="18"/>
                <w:highlight w:val="red"/>
              </w:rPr>
            </w:pPr>
          </w:p>
        </w:tc>
        <w:tc>
          <w:tcPr>
            <w:tcW w:w="109" w:type="dxa"/>
            <w:tcMar>
              <w:left w:w="28" w:type="dxa"/>
              <w:right w:w="28" w:type="dxa"/>
            </w:tcMar>
          </w:tcPr>
          <w:p w14:paraId="0D4CE297" w14:textId="77777777" w:rsidR="003060BD" w:rsidRPr="0013526B" w:rsidRDefault="003060BD" w:rsidP="003060BD">
            <w:pPr>
              <w:jc w:val="center"/>
              <w:rPr>
                <w:b/>
                <w:bCs w:val="0"/>
                <w:sz w:val="18"/>
                <w:szCs w:val="18"/>
              </w:rPr>
            </w:pPr>
          </w:p>
        </w:tc>
        <w:tc>
          <w:tcPr>
            <w:tcW w:w="1510" w:type="dxa"/>
            <w:tcBorders>
              <w:top w:val="single" w:sz="4" w:space="0" w:color="auto"/>
            </w:tcBorders>
            <w:shd w:val="clear" w:color="auto" w:fill="auto"/>
            <w:tcMar>
              <w:left w:w="28" w:type="dxa"/>
              <w:right w:w="28" w:type="dxa"/>
            </w:tcMar>
            <w:vAlign w:val="bottom"/>
          </w:tcPr>
          <w:p w14:paraId="599D815D" w14:textId="77777777" w:rsidR="003060BD" w:rsidRPr="00D85DCB" w:rsidRDefault="003060BD" w:rsidP="003060BD">
            <w:pPr>
              <w:ind w:right="57"/>
              <w:jc w:val="right"/>
              <w:rPr>
                <w:b/>
                <w:bCs w:val="0"/>
                <w:sz w:val="18"/>
                <w:szCs w:val="18"/>
              </w:rPr>
            </w:pPr>
          </w:p>
        </w:tc>
        <w:tc>
          <w:tcPr>
            <w:tcW w:w="110" w:type="dxa"/>
            <w:shd w:val="clear" w:color="auto" w:fill="auto"/>
            <w:tcMar>
              <w:left w:w="28" w:type="dxa"/>
              <w:right w:w="28" w:type="dxa"/>
            </w:tcMar>
            <w:vAlign w:val="bottom"/>
          </w:tcPr>
          <w:p w14:paraId="0A78A3B5" w14:textId="77777777" w:rsidR="003060BD" w:rsidRPr="00D85DCB" w:rsidRDefault="003060BD" w:rsidP="003060BD">
            <w:pPr>
              <w:ind w:left="-90"/>
              <w:jc w:val="right"/>
              <w:rPr>
                <w:b/>
                <w:bCs w:val="0"/>
                <w:sz w:val="18"/>
                <w:szCs w:val="18"/>
              </w:rPr>
            </w:pPr>
          </w:p>
        </w:tc>
        <w:tc>
          <w:tcPr>
            <w:tcW w:w="1505" w:type="dxa"/>
            <w:tcBorders>
              <w:top w:val="single" w:sz="4" w:space="0" w:color="auto"/>
            </w:tcBorders>
            <w:shd w:val="clear" w:color="auto" w:fill="auto"/>
            <w:vAlign w:val="bottom"/>
          </w:tcPr>
          <w:p w14:paraId="512CFED7" w14:textId="77777777" w:rsidR="003060BD" w:rsidRPr="00E022E0" w:rsidRDefault="003060BD" w:rsidP="003060BD">
            <w:pPr>
              <w:ind w:right="57"/>
              <w:jc w:val="right"/>
              <w:rPr>
                <w:b/>
                <w:bCs w:val="0"/>
                <w:sz w:val="18"/>
                <w:szCs w:val="18"/>
              </w:rPr>
            </w:pPr>
          </w:p>
        </w:tc>
        <w:tc>
          <w:tcPr>
            <w:tcW w:w="2206" w:type="dxa"/>
            <w:vAlign w:val="bottom"/>
          </w:tcPr>
          <w:p w14:paraId="46395EC3" w14:textId="77777777" w:rsidR="003060BD" w:rsidRPr="0013526B" w:rsidRDefault="003060BD" w:rsidP="003060BD">
            <w:pPr>
              <w:ind w:right="57"/>
              <w:jc w:val="right"/>
              <w:rPr>
                <w:b/>
                <w:bCs w:val="0"/>
                <w:i/>
                <w:sz w:val="18"/>
                <w:szCs w:val="18"/>
              </w:rPr>
            </w:pPr>
          </w:p>
        </w:tc>
      </w:tr>
      <w:tr w:rsidR="003060BD" w:rsidRPr="0013526B" w14:paraId="7FC4B700" w14:textId="77777777" w:rsidTr="00C5343D">
        <w:trPr>
          <w:trHeight w:val="20"/>
        </w:trPr>
        <w:tc>
          <w:tcPr>
            <w:tcW w:w="2244" w:type="dxa"/>
          </w:tcPr>
          <w:p w14:paraId="30C0DB94" w14:textId="77777777" w:rsidR="003060BD" w:rsidRPr="0013526B" w:rsidRDefault="003060BD" w:rsidP="003060BD">
            <w:pPr>
              <w:ind w:left="426" w:hanging="284"/>
              <w:rPr>
                <w:b/>
                <w:bCs w:val="0"/>
                <w:sz w:val="18"/>
                <w:szCs w:val="18"/>
              </w:rPr>
            </w:pPr>
          </w:p>
        </w:tc>
        <w:tc>
          <w:tcPr>
            <w:tcW w:w="1501" w:type="dxa"/>
            <w:vAlign w:val="bottom"/>
          </w:tcPr>
          <w:p w14:paraId="71B48FEF" w14:textId="77777777" w:rsidR="003060BD" w:rsidRPr="00EA2E1E" w:rsidRDefault="003060BD" w:rsidP="003060BD">
            <w:pPr>
              <w:jc w:val="center"/>
              <w:rPr>
                <w:b/>
                <w:bCs w:val="0"/>
                <w:sz w:val="18"/>
                <w:szCs w:val="18"/>
                <w:highlight w:val="red"/>
              </w:rPr>
            </w:pPr>
          </w:p>
        </w:tc>
        <w:tc>
          <w:tcPr>
            <w:tcW w:w="109" w:type="dxa"/>
            <w:tcMar>
              <w:left w:w="28" w:type="dxa"/>
              <w:right w:w="28" w:type="dxa"/>
            </w:tcMar>
          </w:tcPr>
          <w:p w14:paraId="3702B57E" w14:textId="77777777" w:rsidR="003060BD" w:rsidRPr="0013526B" w:rsidRDefault="003060BD" w:rsidP="003060BD">
            <w:pPr>
              <w:jc w:val="center"/>
              <w:rPr>
                <w:b/>
                <w:bCs w:val="0"/>
                <w:sz w:val="18"/>
                <w:szCs w:val="18"/>
              </w:rPr>
            </w:pPr>
          </w:p>
        </w:tc>
        <w:tc>
          <w:tcPr>
            <w:tcW w:w="1510" w:type="dxa"/>
            <w:tcBorders>
              <w:bottom w:val="double" w:sz="4" w:space="0" w:color="auto"/>
            </w:tcBorders>
            <w:shd w:val="clear" w:color="auto" w:fill="auto"/>
            <w:tcMar>
              <w:left w:w="28" w:type="dxa"/>
              <w:right w:w="28" w:type="dxa"/>
            </w:tcMar>
            <w:vAlign w:val="bottom"/>
          </w:tcPr>
          <w:p w14:paraId="7DF96B60" w14:textId="0D0D247D" w:rsidR="003060BD" w:rsidRPr="00D85DCB" w:rsidRDefault="00B60824" w:rsidP="001721C2">
            <w:pPr>
              <w:ind w:right="57"/>
              <w:jc w:val="right"/>
              <w:rPr>
                <w:b/>
                <w:bCs w:val="0"/>
                <w:sz w:val="18"/>
                <w:szCs w:val="18"/>
              </w:rPr>
            </w:pPr>
            <w:r w:rsidRPr="00D85DCB">
              <w:rPr>
                <w:b/>
                <w:sz w:val="18"/>
                <w:szCs w:val="18"/>
              </w:rPr>
              <w:t>(</w:t>
            </w:r>
            <w:r w:rsidRPr="00D85DCB">
              <w:rPr>
                <w:b/>
                <w:sz w:val="18"/>
                <w:szCs w:val="18"/>
                <w:lang w:val="id-ID"/>
              </w:rPr>
              <w:t>9</w:t>
            </w:r>
            <w:r w:rsidRPr="00D85DCB">
              <w:rPr>
                <w:b/>
                <w:sz w:val="18"/>
                <w:szCs w:val="18"/>
              </w:rPr>
              <w:t>.</w:t>
            </w:r>
            <w:r w:rsidR="001721C2" w:rsidRPr="00D85DCB">
              <w:rPr>
                <w:b/>
                <w:sz w:val="18"/>
                <w:szCs w:val="18"/>
              </w:rPr>
              <w:t>6</w:t>
            </w:r>
            <w:r w:rsidRPr="00D85DCB">
              <w:rPr>
                <w:b/>
                <w:sz w:val="18"/>
                <w:szCs w:val="18"/>
                <w:lang w:val="id-ID"/>
              </w:rPr>
              <w:t>64</w:t>
            </w:r>
            <w:r w:rsidRPr="00D85DCB">
              <w:rPr>
                <w:b/>
                <w:sz w:val="18"/>
                <w:szCs w:val="18"/>
              </w:rPr>
              <w:t>.</w:t>
            </w:r>
            <w:r w:rsidRPr="00D85DCB">
              <w:rPr>
                <w:b/>
                <w:sz w:val="18"/>
                <w:szCs w:val="18"/>
                <w:lang w:val="id-ID"/>
              </w:rPr>
              <w:t>946</w:t>
            </w:r>
            <w:r w:rsidRPr="00D85DCB">
              <w:rPr>
                <w:b/>
                <w:sz w:val="18"/>
                <w:szCs w:val="18"/>
              </w:rPr>
              <w:t>.</w:t>
            </w:r>
            <w:r w:rsidRPr="00D85DCB">
              <w:rPr>
                <w:b/>
                <w:sz w:val="18"/>
                <w:szCs w:val="18"/>
                <w:lang w:val="id-ID"/>
              </w:rPr>
              <w:t>5</w:t>
            </w:r>
            <w:r w:rsidR="001721C2" w:rsidRPr="00D85DCB">
              <w:rPr>
                <w:b/>
                <w:sz w:val="18"/>
                <w:szCs w:val="18"/>
              </w:rPr>
              <w:t>1</w:t>
            </w:r>
            <w:r w:rsidRPr="00D85DCB">
              <w:rPr>
                <w:b/>
                <w:sz w:val="18"/>
                <w:szCs w:val="18"/>
                <w:lang w:val="id-ID"/>
              </w:rPr>
              <w:t>9</w:t>
            </w:r>
            <w:r w:rsidR="002B6559" w:rsidRPr="00D85DCB">
              <w:rPr>
                <w:b/>
                <w:sz w:val="18"/>
                <w:szCs w:val="18"/>
              </w:rPr>
              <w:t>)</w:t>
            </w:r>
          </w:p>
        </w:tc>
        <w:tc>
          <w:tcPr>
            <w:tcW w:w="110" w:type="dxa"/>
            <w:shd w:val="clear" w:color="auto" w:fill="auto"/>
            <w:tcMar>
              <w:left w:w="28" w:type="dxa"/>
              <w:right w:w="28" w:type="dxa"/>
            </w:tcMar>
            <w:vAlign w:val="bottom"/>
          </w:tcPr>
          <w:p w14:paraId="64994273" w14:textId="77777777" w:rsidR="003060BD" w:rsidRPr="00D85DCB" w:rsidRDefault="003060BD" w:rsidP="003060BD">
            <w:pPr>
              <w:ind w:left="-90"/>
              <w:jc w:val="right"/>
              <w:rPr>
                <w:b/>
                <w:bCs w:val="0"/>
                <w:sz w:val="18"/>
                <w:szCs w:val="18"/>
              </w:rPr>
            </w:pPr>
          </w:p>
        </w:tc>
        <w:tc>
          <w:tcPr>
            <w:tcW w:w="1505" w:type="dxa"/>
            <w:tcBorders>
              <w:bottom w:val="double" w:sz="4" w:space="0" w:color="auto"/>
            </w:tcBorders>
            <w:shd w:val="clear" w:color="auto" w:fill="auto"/>
            <w:vAlign w:val="bottom"/>
          </w:tcPr>
          <w:p w14:paraId="66972A4A" w14:textId="7666B82E" w:rsidR="003060BD" w:rsidRPr="00E022E0" w:rsidRDefault="003060BD" w:rsidP="003060BD">
            <w:pPr>
              <w:ind w:right="57"/>
              <w:jc w:val="right"/>
              <w:rPr>
                <w:b/>
                <w:bCs w:val="0"/>
                <w:sz w:val="18"/>
                <w:szCs w:val="18"/>
              </w:rPr>
            </w:pPr>
            <w:r w:rsidRPr="00E022E0">
              <w:rPr>
                <w:b/>
                <w:sz w:val="18"/>
                <w:szCs w:val="18"/>
              </w:rPr>
              <w:t>4</w:t>
            </w:r>
            <w:r>
              <w:rPr>
                <w:b/>
                <w:sz w:val="18"/>
                <w:szCs w:val="18"/>
              </w:rPr>
              <w:t>.</w:t>
            </w:r>
            <w:r w:rsidRPr="00E022E0">
              <w:rPr>
                <w:b/>
                <w:sz w:val="18"/>
                <w:szCs w:val="18"/>
              </w:rPr>
              <w:t>516</w:t>
            </w:r>
            <w:r>
              <w:rPr>
                <w:b/>
                <w:sz w:val="18"/>
                <w:szCs w:val="18"/>
              </w:rPr>
              <w:t>.</w:t>
            </w:r>
            <w:r w:rsidRPr="00E022E0">
              <w:rPr>
                <w:b/>
                <w:sz w:val="18"/>
                <w:szCs w:val="18"/>
              </w:rPr>
              <w:t>283</w:t>
            </w:r>
            <w:r>
              <w:rPr>
                <w:b/>
                <w:sz w:val="18"/>
                <w:szCs w:val="18"/>
              </w:rPr>
              <w:t>.</w:t>
            </w:r>
            <w:r w:rsidRPr="00E022E0">
              <w:rPr>
                <w:b/>
                <w:sz w:val="18"/>
                <w:szCs w:val="18"/>
              </w:rPr>
              <w:t>020</w:t>
            </w:r>
          </w:p>
        </w:tc>
        <w:tc>
          <w:tcPr>
            <w:tcW w:w="2206" w:type="dxa"/>
            <w:tcBorders>
              <w:left w:val="nil"/>
            </w:tcBorders>
            <w:vAlign w:val="bottom"/>
          </w:tcPr>
          <w:p w14:paraId="503E4408" w14:textId="77777777" w:rsidR="003060BD" w:rsidRPr="0013526B" w:rsidRDefault="003060BD" w:rsidP="003060BD">
            <w:pPr>
              <w:ind w:right="57"/>
              <w:jc w:val="right"/>
              <w:rPr>
                <w:b/>
                <w:bCs w:val="0"/>
                <w:i/>
                <w:sz w:val="18"/>
                <w:szCs w:val="18"/>
              </w:rPr>
            </w:pPr>
          </w:p>
        </w:tc>
      </w:tr>
      <w:tr w:rsidR="003060BD" w:rsidRPr="0013526B" w14:paraId="73D72AC3" w14:textId="77777777" w:rsidTr="00C5343D">
        <w:trPr>
          <w:trHeight w:val="20"/>
        </w:trPr>
        <w:tc>
          <w:tcPr>
            <w:tcW w:w="2244" w:type="dxa"/>
          </w:tcPr>
          <w:p w14:paraId="789DDF64" w14:textId="77777777" w:rsidR="003060BD" w:rsidRPr="0013526B" w:rsidRDefault="003060BD" w:rsidP="003060BD">
            <w:pPr>
              <w:ind w:left="426" w:hanging="284"/>
              <w:rPr>
                <w:b/>
                <w:bCs w:val="0"/>
                <w:sz w:val="18"/>
                <w:szCs w:val="18"/>
              </w:rPr>
            </w:pPr>
          </w:p>
        </w:tc>
        <w:tc>
          <w:tcPr>
            <w:tcW w:w="1501" w:type="dxa"/>
            <w:vAlign w:val="bottom"/>
          </w:tcPr>
          <w:p w14:paraId="5B8FF6EA" w14:textId="77777777" w:rsidR="003060BD" w:rsidRPr="00EA2E1E" w:rsidRDefault="003060BD" w:rsidP="003060BD">
            <w:pPr>
              <w:jc w:val="center"/>
              <w:rPr>
                <w:b/>
                <w:bCs w:val="0"/>
                <w:sz w:val="18"/>
                <w:szCs w:val="18"/>
                <w:highlight w:val="red"/>
              </w:rPr>
            </w:pPr>
          </w:p>
        </w:tc>
        <w:tc>
          <w:tcPr>
            <w:tcW w:w="109" w:type="dxa"/>
            <w:tcMar>
              <w:left w:w="28" w:type="dxa"/>
              <w:right w:w="28" w:type="dxa"/>
            </w:tcMar>
          </w:tcPr>
          <w:p w14:paraId="3D0044F3" w14:textId="77777777" w:rsidR="003060BD" w:rsidRPr="0013526B" w:rsidRDefault="003060BD" w:rsidP="003060BD">
            <w:pPr>
              <w:jc w:val="center"/>
              <w:rPr>
                <w:b/>
                <w:bCs w:val="0"/>
                <w:sz w:val="18"/>
                <w:szCs w:val="18"/>
              </w:rPr>
            </w:pPr>
          </w:p>
        </w:tc>
        <w:tc>
          <w:tcPr>
            <w:tcW w:w="1510" w:type="dxa"/>
            <w:tcBorders>
              <w:top w:val="double" w:sz="4" w:space="0" w:color="auto"/>
            </w:tcBorders>
            <w:shd w:val="clear" w:color="auto" w:fill="auto"/>
            <w:tcMar>
              <w:left w:w="28" w:type="dxa"/>
              <w:right w:w="28" w:type="dxa"/>
            </w:tcMar>
            <w:vAlign w:val="bottom"/>
          </w:tcPr>
          <w:p w14:paraId="4E62053A" w14:textId="77777777" w:rsidR="003060BD" w:rsidRPr="00D85DCB" w:rsidRDefault="003060BD" w:rsidP="003060BD">
            <w:pPr>
              <w:ind w:right="57"/>
              <w:jc w:val="right"/>
              <w:rPr>
                <w:b/>
                <w:bCs w:val="0"/>
                <w:sz w:val="18"/>
                <w:szCs w:val="18"/>
              </w:rPr>
            </w:pPr>
          </w:p>
        </w:tc>
        <w:tc>
          <w:tcPr>
            <w:tcW w:w="110" w:type="dxa"/>
            <w:shd w:val="clear" w:color="auto" w:fill="auto"/>
            <w:tcMar>
              <w:left w:w="28" w:type="dxa"/>
              <w:right w:w="28" w:type="dxa"/>
            </w:tcMar>
            <w:vAlign w:val="bottom"/>
          </w:tcPr>
          <w:p w14:paraId="216F71F1" w14:textId="77777777" w:rsidR="003060BD" w:rsidRPr="00D85DCB" w:rsidRDefault="003060BD" w:rsidP="003060BD">
            <w:pPr>
              <w:ind w:left="-90"/>
              <w:jc w:val="right"/>
              <w:rPr>
                <w:b/>
                <w:bCs w:val="0"/>
                <w:sz w:val="18"/>
                <w:szCs w:val="18"/>
              </w:rPr>
            </w:pPr>
          </w:p>
        </w:tc>
        <w:tc>
          <w:tcPr>
            <w:tcW w:w="1505" w:type="dxa"/>
            <w:tcBorders>
              <w:top w:val="double" w:sz="4" w:space="0" w:color="auto"/>
            </w:tcBorders>
            <w:shd w:val="clear" w:color="auto" w:fill="auto"/>
            <w:vAlign w:val="bottom"/>
          </w:tcPr>
          <w:p w14:paraId="4B72E54B" w14:textId="77777777" w:rsidR="003060BD" w:rsidRPr="00E022E0" w:rsidRDefault="003060BD" w:rsidP="003060BD">
            <w:pPr>
              <w:ind w:right="57"/>
              <w:jc w:val="right"/>
              <w:rPr>
                <w:sz w:val="18"/>
                <w:szCs w:val="18"/>
              </w:rPr>
            </w:pPr>
          </w:p>
        </w:tc>
        <w:tc>
          <w:tcPr>
            <w:tcW w:w="2206" w:type="dxa"/>
            <w:vAlign w:val="bottom"/>
          </w:tcPr>
          <w:p w14:paraId="11D357AC" w14:textId="77777777" w:rsidR="003060BD" w:rsidRPr="0013526B" w:rsidRDefault="003060BD" w:rsidP="003060BD">
            <w:pPr>
              <w:ind w:right="57"/>
              <w:jc w:val="right"/>
              <w:rPr>
                <w:b/>
                <w:bCs w:val="0"/>
                <w:i/>
                <w:sz w:val="18"/>
                <w:szCs w:val="18"/>
              </w:rPr>
            </w:pPr>
          </w:p>
        </w:tc>
      </w:tr>
      <w:tr w:rsidR="003060BD" w:rsidRPr="0013526B" w14:paraId="2AB40D48" w14:textId="77777777" w:rsidTr="00C5343D">
        <w:trPr>
          <w:trHeight w:val="20"/>
        </w:trPr>
        <w:tc>
          <w:tcPr>
            <w:tcW w:w="2244" w:type="dxa"/>
            <w:vAlign w:val="bottom"/>
          </w:tcPr>
          <w:p w14:paraId="41928AA3" w14:textId="684CF8B6" w:rsidR="003060BD" w:rsidRPr="0013526B" w:rsidRDefault="003060BD" w:rsidP="003060BD">
            <w:pPr>
              <w:ind w:left="283" w:hanging="170"/>
              <w:rPr>
                <w:b/>
                <w:bCs w:val="0"/>
                <w:sz w:val="18"/>
                <w:szCs w:val="18"/>
              </w:rPr>
            </w:pPr>
            <w:r>
              <w:rPr>
                <w:b/>
                <w:bCs w:val="0"/>
                <w:sz w:val="18"/>
                <w:szCs w:val="18"/>
              </w:rPr>
              <w:t>Laba (Rugi)</w:t>
            </w:r>
            <w:r w:rsidRPr="0013526B">
              <w:rPr>
                <w:b/>
                <w:bCs w:val="0"/>
                <w:sz w:val="18"/>
                <w:szCs w:val="18"/>
              </w:rPr>
              <w:t xml:space="preserve"> per saham yang dapat </w:t>
            </w:r>
            <w:r w:rsidRPr="0013526B">
              <w:rPr>
                <w:b/>
                <w:sz w:val="18"/>
                <w:szCs w:val="18"/>
              </w:rPr>
              <w:t>diatribusikan</w:t>
            </w:r>
            <w:r w:rsidRPr="0013526B">
              <w:rPr>
                <w:b/>
                <w:bCs w:val="0"/>
                <w:sz w:val="18"/>
                <w:szCs w:val="18"/>
              </w:rPr>
              <w:t xml:space="preserve"> kepada pemilik Entitas Induk</w:t>
            </w:r>
          </w:p>
        </w:tc>
        <w:tc>
          <w:tcPr>
            <w:tcW w:w="1501" w:type="dxa"/>
            <w:vAlign w:val="bottom"/>
          </w:tcPr>
          <w:p w14:paraId="2DDD74BE" w14:textId="33C90D30" w:rsidR="003060BD" w:rsidRPr="00EA2E1E" w:rsidRDefault="003060BD" w:rsidP="00D316D9">
            <w:pPr>
              <w:jc w:val="center"/>
              <w:rPr>
                <w:sz w:val="18"/>
                <w:szCs w:val="18"/>
                <w:highlight w:val="red"/>
                <w:lang w:val="id-ID"/>
              </w:rPr>
            </w:pPr>
            <w:r w:rsidRPr="00DE4C1B">
              <w:rPr>
                <w:sz w:val="18"/>
                <w:szCs w:val="18"/>
              </w:rPr>
              <w:t>3</w:t>
            </w:r>
            <w:r w:rsidRPr="00DE4C1B">
              <w:rPr>
                <w:sz w:val="18"/>
                <w:szCs w:val="18"/>
                <w:lang w:val="id-ID"/>
              </w:rPr>
              <w:t>o</w:t>
            </w:r>
            <w:r w:rsidR="00C92587">
              <w:rPr>
                <w:sz w:val="18"/>
                <w:szCs w:val="18"/>
              </w:rPr>
              <w:t>,</w:t>
            </w:r>
            <w:r w:rsidRPr="00DE4C1B">
              <w:rPr>
                <w:sz w:val="18"/>
                <w:szCs w:val="18"/>
              </w:rPr>
              <w:t>3</w:t>
            </w:r>
            <w:r w:rsidR="00D316D9">
              <w:rPr>
                <w:sz w:val="18"/>
                <w:szCs w:val="18"/>
              </w:rPr>
              <w:t>0</w:t>
            </w:r>
          </w:p>
        </w:tc>
        <w:tc>
          <w:tcPr>
            <w:tcW w:w="109" w:type="dxa"/>
            <w:tcMar>
              <w:left w:w="28" w:type="dxa"/>
              <w:right w:w="28" w:type="dxa"/>
            </w:tcMar>
          </w:tcPr>
          <w:p w14:paraId="23D47B96" w14:textId="77777777" w:rsidR="003060BD" w:rsidRPr="0013526B" w:rsidRDefault="003060BD" w:rsidP="003060BD">
            <w:pPr>
              <w:jc w:val="center"/>
              <w:rPr>
                <w:b/>
                <w:bCs w:val="0"/>
                <w:sz w:val="18"/>
                <w:szCs w:val="18"/>
              </w:rPr>
            </w:pPr>
          </w:p>
        </w:tc>
        <w:tc>
          <w:tcPr>
            <w:tcW w:w="1510" w:type="dxa"/>
            <w:tcBorders>
              <w:bottom w:val="double" w:sz="4" w:space="0" w:color="auto"/>
            </w:tcBorders>
            <w:shd w:val="clear" w:color="auto" w:fill="auto"/>
            <w:tcMar>
              <w:left w:w="28" w:type="dxa"/>
              <w:right w:w="28" w:type="dxa"/>
            </w:tcMar>
            <w:vAlign w:val="bottom"/>
          </w:tcPr>
          <w:p w14:paraId="2995E5D0" w14:textId="1E5026F8" w:rsidR="003060BD" w:rsidRPr="00F62F86" w:rsidRDefault="00172AC8" w:rsidP="001721C2">
            <w:pPr>
              <w:ind w:right="57"/>
              <w:jc w:val="right"/>
              <w:rPr>
                <w:b/>
                <w:bCs w:val="0"/>
                <w:sz w:val="18"/>
                <w:szCs w:val="18"/>
              </w:rPr>
            </w:pPr>
            <w:r w:rsidRPr="00D85DCB">
              <w:rPr>
                <w:b/>
                <w:sz w:val="18"/>
                <w:szCs w:val="18"/>
              </w:rPr>
              <w:t>(</w:t>
            </w:r>
            <w:r w:rsidR="001721C2" w:rsidRPr="00D85DCB">
              <w:rPr>
                <w:b/>
                <w:sz w:val="18"/>
                <w:szCs w:val="18"/>
              </w:rPr>
              <w:t>0.79</w:t>
            </w:r>
            <w:r w:rsidR="003060BD" w:rsidRPr="00D85DCB">
              <w:rPr>
                <w:b/>
                <w:sz w:val="18"/>
                <w:szCs w:val="18"/>
              </w:rPr>
              <w:t>)</w:t>
            </w:r>
          </w:p>
        </w:tc>
        <w:tc>
          <w:tcPr>
            <w:tcW w:w="110" w:type="dxa"/>
            <w:shd w:val="clear" w:color="auto" w:fill="auto"/>
            <w:tcMar>
              <w:left w:w="28" w:type="dxa"/>
              <w:right w:w="28" w:type="dxa"/>
            </w:tcMar>
            <w:vAlign w:val="bottom"/>
          </w:tcPr>
          <w:p w14:paraId="769E1881" w14:textId="77777777" w:rsidR="003060BD" w:rsidRPr="00CD0969" w:rsidRDefault="003060BD" w:rsidP="003060BD">
            <w:pPr>
              <w:ind w:left="-90"/>
              <w:jc w:val="right"/>
              <w:rPr>
                <w:b/>
                <w:bCs w:val="0"/>
                <w:sz w:val="18"/>
                <w:szCs w:val="18"/>
              </w:rPr>
            </w:pPr>
          </w:p>
        </w:tc>
        <w:tc>
          <w:tcPr>
            <w:tcW w:w="1505" w:type="dxa"/>
            <w:tcBorders>
              <w:bottom w:val="double" w:sz="4" w:space="0" w:color="auto"/>
            </w:tcBorders>
            <w:shd w:val="clear" w:color="auto" w:fill="auto"/>
            <w:vAlign w:val="bottom"/>
          </w:tcPr>
          <w:p w14:paraId="2A1EF2B1" w14:textId="55F6D806" w:rsidR="003060BD" w:rsidRPr="00E022E0" w:rsidRDefault="003060BD" w:rsidP="003060BD">
            <w:pPr>
              <w:ind w:right="57"/>
              <w:jc w:val="right"/>
              <w:rPr>
                <w:b/>
                <w:bCs w:val="0"/>
                <w:sz w:val="18"/>
                <w:szCs w:val="18"/>
              </w:rPr>
            </w:pPr>
            <w:r w:rsidRPr="00E022E0">
              <w:rPr>
                <w:b/>
                <w:sz w:val="18"/>
                <w:szCs w:val="18"/>
              </w:rPr>
              <w:t>0 .33</w:t>
            </w:r>
          </w:p>
        </w:tc>
        <w:tc>
          <w:tcPr>
            <w:tcW w:w="2206" w:type="dxa"/>
            <w:vAlign w:val="bottom"/>
          </w:tcPr>
          <w:p w14:paraId="00514473" w14:textId="120A819E" w:rsidR="003060BD" w:rsidRPr="0013526B" w:rsidRDefault="003060BD" w:rsidP="003060BD">
            <w:pPr>
              <w:ind w:right="57"/>
              <w:jc w:val="right"/>
              <w:rPr>
                <w:b/>
                <w:bCs w:val="0"/>
                <w:i/>
                <w:sz w:val="18"/>
                <w:szCs w:val="18"/>
              </w:rPr>
            </w:pPr>
            <w:r>
              <w:rPr>
                <w:b/>
                <w:bCs w:val="0"/>
                <w:i/>
                <w:sz w:val="18"/>
                <w:szCs w:val="18"/>
              </w:rPr>
              <w:t>Income (Loss)</w:t>
            </w:r>
            <w:r w:rsidRPr="0013526B">
              <w:rPr>
                <w:b/>
                <w:bCs w:val="0"/>
                <w:i/>
                <w:sz w:val="18"/>
                <w:szCs w:val="18"/>
              </w:rPr>
              <w:t xml:space="preserve"> per share</w:t>
            </w:r>
          </w:p>
          <w:p w14:paraId="6158E773" w14:textId="76A6D94F" w:rsidR="003060BD" w:rsidRPr="0013526B" w:rsidRDefault="003060BD" w:rsidP="003060BD">
            <w:pPr>
              <w:ind w:right="284"/>
              <w:jc w:val="right"/>
              <w:rPr>
                <w:b/>
                <w:bCs w:val="0"/>
                <w:i/>
                <w:sz w:val="18"/>
                <w:szCs w:val="18"/>
              </w:rPr>
            </w:pPr>
            <w:r w:rsidRPr="0013526B">
              <w:rPr>
                <w:b/>
                <w:bCs w:val="0"/>
                <w:i/>
                <w:sz w:val="18"/>
                <w:szCs w:val="18"/>
              </w:rPr>
              <w:t>attributable to owner of the</w:t>
            </w:r>
            <w:r>
              <w:rPr>
                <w:b/>
                <w:bCs w:val="0"/>
                <w:i/>
                <w:sz w:val="18"/>
                <w:szCs w:val="18"/>
              </w:rPr>
              <w:t xml:space="preserve"> </w:t>
            </w:r>
            <w:r w:rsidRPr="0013526B">
              <w:rPr>
                <w:b/>
                <w:bCs w:val="0"/>
                <w:i/>
                <w:sz w:val="18"/>
                <w:szCs w:val="18"/>
              </w:rPr>
              <w:t>Parent Entity</w:t>
            </w:r>
          </w:p>
        </w:tc>
      </w:tr>
    </w:tbl>
    <w:p w14:paraId="586E4937" w14:textId="77777777" w:rsidR="00867476" w:rsidRPr="0013526B" w:rsidRDefault="00867476" w:rsidP="0013526B">
      <w:pPr>
        <w:rPr>
          <w:sz w:val="18"/>
          <w:szCs w:val="18"/>
        </w:rPr>
      </w:pPr>
    </w:p>
    <w:p w14:paraId="19FB9674" w14:textId="77777777" w:rsidR="00867476" w:rsidRPr="0013526B" w:rsidRDefault="00867476" w:rsidP="0013526B">
      <w:pPr>
        <w:rPr>
          <w:sz w:val="18"/>
          <w:szCs w:val="18"/>
        </w:rPr>
      </w:pPr>
    </w:p>
    <w:p w14:paraId="63C7A0F4" w14:textId="77777777" w:rsidR="00867476" w:rsidRPr="0013526B" w:rsidRDefault="00867476" w:rsidP="0013526B">
      <w:pPr>
        <w:rPr>
          <w:sz w:val="18"/>
          <w:szCs w:val="18"/>
        </w:rPr>
      </w:pPr>
    </w:p>
    <w:p w14:paraId="12B051DB" w14:textId="77777777" w:rsidR="00867476" w:rsidRPr="0013526B" w:rsidRDefault="00867476" w:rsidP="0013526B">
      <w:pPr>
        <w:rPr>
          <w:sz w:val="18"/>
          <w:szCs w:val="18"/>
        </w:rPr>
      </w:pPr>
    </w:p>
    <w:p w14:paraId="11410452" w14:textId="77777777" w:rsidR="00867476" w:rsidRPr="0013526B" w:rsidRDefault="00867476" w:rsidP="0013526B">
      <w:pPr>
        <w:jc w:val="center"/>
        <w:rPr>
          <w:sz w:val="18"/>
          <w:szCs w:val="18"/>
        </w:rPr>
      </w:pPr>
    </w:p>
    <w:p w14:paraId="064F7564" w14:textId="77777777" w:rsidR="00867476" w:rsidRPr="0013526B" w:rsidRDefault="00867476" w:rsidP="0013526B">
      <w:pPr>
        <w:rPr>
          <w:sz w:val="18"/>
          <w:szCs w:val="18"/>
        </w:rPr>
      </w:pPr>
    </w:p>
    <w:p w14:paraId="31572843" w14:textId="77777777" w:rsidR="00687275" w:rsidRPr="0013526B" w:rsidRDefault="00687275" w:rsidP="0013526B">
      <w:pPr>
        <w:rPr>
          <w:sz w:val="18"/>
          <w:szCs w:val="18"/>
        </w:rPr>
        <w:sectPr w:rsidR="00687275" w:rsidRPr="0013526B" w:rsidSect="00E835C5">
          <w:headerReference w:type="default" r:id="rId24"/>
          <w:footerReference w:type="default" r:id="rId25"/>
          <w:pgSz w:w="11907" w:h="16840" w:code="9"/>
          <w:pgMar w:top="1701" w:right="992" w:bottom="1134" w:left="1559" w:header="850" w:footer="397" w:gutter="0"/>
          <w:pgNumType w:start="5"/>
          <w:cols w:space="720"/>
          <w:docGrid w:linePitch="360"/>
        </w:sectPr>
      </w:pPr>
    </w:p>
    <w:tbl>
      <w:tblPr>
        <w:tblW w:w="14742" w:type="dxa"/>
        <w:tblInd w:w="113" w:type="dxa"/>
        <w:tblLayout w:type="fixed"/>
        <w:tblCellMar>
          <w:left w:w="0" w:type="dxa"/>
          <w:right w:w="0" w:type="dxa"/>
        </w:tblCellMar>
        <w:tblLook w:val="0600" w:firstRow="0" w:lastRow="0" w:firstColumn="0" w:lastColumn="0" w:noHBand="1" w:noVBand="1"/>
      </w:tblPr>
      <w:tblGrid>
        <w:gridCol w:w="1901"/>
        <w:gridCol w:w="205"/>
        <w:gridCol w:w="1122"/>
        <w:gridCol w:w="139"/>
        <w:gridCol w:w="1123"/>
        <w:gridCol w:w="142"/>
        <w:gridCol w:w="1262"/>
        <w:gridCol w:w="142"/>
        <w:gridCol w:w="1684"/>
        <w:gridCol w:w="142"/>
        <w:gridCol w:w="1403"/>
        <w:gridCol w:w="142"/>
        <w:gridCol w:w="1542"/>
        <w:gridCol w:w="142"/>
        <w:gridCol w:w="1684"/>
        <w:gridCol w:w="142"/>
        <w:gridCol w:w="1825"/>
      </w:tblGrid>
      <w:tr w:rsidR="00726705" w:rsidRPr="007202C3" w14:paraId="5E2AD4A8" w14:textId="77777777" w:rsidTr="0021012F">
        <w:trPr>
          <w:cantSplit/>
          <w:trHeight w:val="1134"/>
        </w:trPr>
        <w:tc>
          <w:tcPr>
            <w:tcW w:w="645" w:type="pct"/>
            <w:vMerge w:val="restart"/>
          </w:tcPr>
          <w:p w14:paraId="1FCD94E2" w14:textId="77777777" w:rsidR="006A1C72" w:rsidRPr="0095069B" w:rsidRDefault="006A1C72" w:rsidP="00E66765">
            <w:pPr>
              <w:ind w:left="283" w:hanging="170"/>
              <w:rPr>
                <w:sz w:val="14"/>
                <w:szCs w:val="14"/>
              </w:rPr>
            </w:pPr>
          </w:p>
        </w:tc>
        <w:tc>
          <w:tcPr>
            <w:tcW w:w="70" w:type="pct"/>
          </w:tcPr>
          <w:p w14:paraId="12F295E4" w14:textId="77777777" w:rsidR="006A1C72" w:rsidRPr="0095069B" w:rsidRDefault="006A1C72" w:rsidP="00E66765">
            <w:pPr>
              <w:ind w:right="57"/>
              <w:jc w:val="right"/>
              <w:rPr>
                <w:sz w:val="14"/>
                <w:szCs w:val="14"/>
              </w:rPr>
            </w:pPr>
          </w:p>
        </w:tc>
        <w:tc>
          <w:tcPr>
            <w:tcW w:w="381" w:type="pct"/>
            <w:vMerge w:val="restart"/>
            <w:vAlign w:val="bottom"/>
          </w:tcPr>
          <w:p w14:paraId="7F6D181A" w14:textId="77777777" w:rsidR="006A1C72" w:rsidRPr="007202C3" w:rsidRDefault="006A1C72" w:rsidP="00E66765">
            <w:pPr>
              <w:jc w:val="center"/>
              <w:rPr>
                <w:b/>
                <w:sz w:val="14"/>
                <w:szCs w:val="14"/>
              </w:rPr>
            </w:pPr>
            <w:r w:rsidRPr="007202C3">
              <w:rPr>
                <w:b/>
                <w:sz w:val="14"/>
                <w:szCs w:val="14"/>
              </w:rPr>
              <w:t>Modal Saham/</w:t>
            </w:r>
          </w:p>
          <w:p w14:paraId="17429A34" w14:textId="77777777" w:rsidR="006A1C72" w:rsidRPr="007202C3" w:rsidRDefault="006A1C72" w:rsidP="00E66765">
            <w:pPr>
              <w:ind w:right="57"/>
              <w:jc w:val="center"/>
              <w:rPr>
                <w:sz w:val="14"/>
                <w:szCs w:val="14"/>
              </w:rPr>
            </w:pPr>
            <w:r w:rsidRPr="007202C3">
              <w:rPr>
                <w:b/>
                <w:i/>
                <w:sz w:val="14"/>
                <w:szCs w:val="14"/>
              </w:rPr>
              <w:t>Capital Stock</w:t>
            </w:r>
          </w:p>
        </w:tc>
        <w:tc>
          <w:tcPr>
            <w:tcW w:w="47" w:type="pct"/>
            <w:vAlign w:val="bottom"/>
          </w:tcPr>
          <w:p w14:paraId="712280FF" w14:textId="77777777" w:rsidR="006A1C72" w:rsidRPr="007202C3" w:rsidRDefault="006A1C72" w:rsidP="00E66765">
            <w:pPr>
              <w:ind w:right="57"/>
              <w:jc w:val="right"/>
              <w:rPr>
                <w:sz w:val="14"/>
                <w:szCs w:val="14"/>
              </w:rPr>
            </w:pPr>
          </w:p>
        </w:tc>
        <w:tc>
          <w:tcPr>
            <w:tcW w:w="381" w:type="pct"/>
            <w:vMerge w:val="restart"/>
            <w:vAlign w:val="bottom"/>
          </w:tcPr>
          <w:p w14:paraId="53BBBB1C" w14:textId="77777777" w:rsidR="006A1C72" w:rsidRPr="007202C3" w:rsidRDefault="006A1C72" w:rsidP="00E66765">
            <w:pPr>
              <w:ind w:right="28"/>
              <w:jc w:val="center"/>
              <w:rPr>
                <w:sz w:val="14"/>
                <w:szCs w:val="14"/>
              </w:rPr>
            </w:pPr>
            <w:r w:rsidRPr="007202C3">
              <w:rPr>
                <w:b/>
                <w:sz w:val="14"/>
                <w:szCs w:val="14"/>
              </w:rPr>
              <w:t>Tambahan</w:t>
            </w:r>
            <w:r w:rsidRPr="007202C3">
              <w:rPr>
                <w:b/>
                <w:sz w:val="14"/>
                <w:szCs w:val="14"/>
              </w:rPr>
              <w:br/>
              <w:t xml:space="preserve">Modal </w:t>
            </w:r>
            <w:r w:rsidRPr="007202C3">
              <w:rPr>
                <w:b/>
                <w:sz w:val="14"/>
                <w:szCs w:val="14"/>
              </w:rPr>
              <w:br/>
              <w:t>Disetor/</w:t>
            </w:r>
            <w:r w:rsidRPr="007202C3">
              <w:rPr>
                <w:b/>
                <w:sz w:val="14"/>
                <w:szCs w:val="14"/>
              </w:rPr>
              <w:br/>
            </w:r>
            <w:r w:rsidRPr="007202C3">
              <w:rPr>
                <w:b/>
                <w:i/>
                <w:sz w:val="14"/>
                <w:szCs w:val="14"/>
              </w:rPr>
              <w:t xml:space="preserve">Additional </w:t>
            </w:r>
            <w:r w:rsidRPr="007202C3">
              <w:rPr>
                <w:b/>
                <w:i/>
                <w:sz w:val="14"/>
                <w:szCs w:val="14"/>
              </w:rPr>
              <w:br/>
              <w:t>Paid-in Capital</w:t>
            </w:r>
          </w:p>
        </w:tc>
        <w:tc>
          <w:tcPr>
            <w:tcW w:w="48" w:type="pct"/>
            <w:vAlign w:val="bottom"/>
          </w:tcPr>
          <w:p w14:paraId="64060067" w14:textId="77777777" w:rsidR="006A1C72" w:rsidRPr="007202C3" w:rsidRDefault="006A1C72" w:rsidP="00E66765">
            <w:pPr>
              <w:ind w:right="57"/>
              <w:jc w:val="right"/>
              <w:rPr>
                <w:sz w:val="14"/>
                <w:szCs w:val="14"/>
              </w:rPr>
            </w:pPr>
          </w:p>
        </w:tc>
        <w:tc>
          <w:tcPr>
            <w:tcW w:w="428" w:type="pct"/>
            <w:vMerge w:val="restart"/>
            <w:vAlign w:val="bottom"/>
          </w:tcPr>
          <w:p w14:paraId="6E12BE01" w14:textId="77777777" w:rsidR="006A1C72" w:rsidRPr="007202C3" w:rsidRDefault="006A1C72" w:rsidP="00E66765">
            <w:pPr>
              <w:jc w:val="center"/>
              <w:rPr>
                <w:sz w:val="14"/>
                <w:szCs w:val="14"/>
              </w:rPr>
            </w:pPr>
            <w:r w:rsidRPr="007202C3">
              <w:rPr>
                <w:b/>
                <w:sz w:val="14"/>
                <w:szCs w:val="14"/>
              </w:rPr>
              <w:t>Pengukuran Kembali Program Imbalan Pasti/</w:t>
            </w:r>
            <w:r w:rsidRPr="007202C3">
              <w:rPr>
                <w:b/>
                <w:sz w:val="14"/>
                <w:szCs w:val="14"/>
              </w:rPr>
              <w:br/>
            </w:r>
            <w:r w:rsidRPr="007202C3">
              <w:rPr>
                <w:b/>
                <w:i/>
                <w:sz w:val="14"/>
                <w:szCs w:val="14"/>
              </w:rPr>
              <w:t>Remeasurement on Defined Benefit Program</w:t>
            </w:r>
          </w:p>
        </w:tc>
        <w:tc>
          <w:tcPr>
            <w:tcW w:w="48" w:type="pct"/>
            <w:vAlign w:val="bottom"/>
          </w:tcPr>
          <w:p w14:paraId="0DFA636B" w14:textId="77777777" w:rsidR="006A1C72" w:rsidRPr="007202C3" w:rsidRDefault="006A1C72" w:rsidP="00E66765">
            <w:pPr>
              <w:ind w:right="57"/>
              <w:jc w:val="right"/>
              <w:rPr>
                <w:sz w:val="14"/>
                <w:szCs w:val="14"/>
              </w:rPr>
            </w:pPr>
          </w:p>
        </w:tc>
        <w:tc>
          <w:tcPr>
            <w:tcW w:w="1666" w:type="pct"/>
            <w:gridSpan w:val="5"/>
            <w:tcBorders>
              <w:bottom w:val="single" w:sz="4" w:space="0" w:color="auto"/>
            </w:tcBorders>
            <w:vAlign w:val="bottom"/>
          </w:tcPr>
          <w:p w14:paraId="59C4C2C8" w14:textId="77777777" w:rsidR="006A1C72" w:rsidRPr="007202C3" w:rsidRDefault="006A1C72" w:rsidP="00E66765">
            <w:pPr>
              <w:ind w:right="28"/>
              <w:jc w:val="center"/>
              <w:rPr>
                <w:b/>
                <w:sz w:val="14"/>
                <w:szCs w:val="14"/>
              </w:rPr>
            </w:pPr>
            <w:r w:rsidRPr="007202C3">
              <w:rPr>
                <w:b/>
                <w:sz w:val="14"/>
                <w:szCs w:val="14"/>
              </w:rPr>
              <w:t>Saldo Laba/</w:t>
            </w:r>
          </w:p>
          <w:p w14:paraId="6C71545C" w14:textId="77777777" w:rsidR="006A1C72" w:rsidRPr="007202C3" w:rsidRDefault="006A1C72" w:rsidP="00E66765">
            <w:pPr>
              <w:ind w:right="28"/>
              <w:jc w:val="center"/>
              <w:rPr>
                <w:b/>
                <w:i/>
                <w:sz w:val="14"/>
                <w:szCs w:val="14"/>
              </w:rPr>
            </w:pPr>
            <w:r w:rsidRPr="007202C3">
              <w:rPr>
                <w:b/>
                <w:i/>
                <w:sz w:val="14"/>
                <w:szCs w:val="14"/>
              </w:rPr>
              <w:t>Retained Earnings</w:t>
            </w:r>
          </w:p>
        </w:tc>
        <w:tc>
          <w:tcPr>
            <w:tcW w:w="48" w:type="pct"/>
            <w:vAlign w:val="bottom"/>
          </w:tcPr>
          <w:p w14:paraId="52BE483B" w14:textId="77777777" w:rsidR="006A1C72" w:rsidRPr="007202C3" w:rsidRDefault="006A1C72" w:rsidP="00E66765">
            <w:pPr>
              <w:ind w:right="57"/>
              <w:jc w:val="right"/>
              <w:rPr>
                <w:sz w:val="14"/>
                <w:szCs w:val="14"/>
              </w:rPr>
            </w:pPr>
          </w:p>
        </w:tc>
        <w:tc>
          <w:tcPr>
            <w:tcW w:w="571" w:type="pct"/>
            <w:vMerge w:val="restart"/>
            <w:vAlign w:val="bottom"/>
          </w:tcPr>
          <w:p w14:paraId="1C399B05" w14:textId="77777777" w:rsidR="006A1C72" w:rsidRPr="007202C3" w:rsidRDefault="006A1C72" w:rsidP="00E66765">
            <w:pPr>
              <w:ind w:right="1"/>
              <w:jc w:val="center"/>
              <w:rPr>
                <w:sz w:val="14"/>
                <w:szCs w:val="14"/>
              </w:rPr>
            </w:pPr>
            <w:r w:rsidRPr="007202C3">
              <w:rPr>
                <w:b/>
                <w:sz w:val="14"/>
                <w:szCs w:val="14"/>
              </w:rPr>
              <w:t>Kepentingan Non-</w:t>
            </w:r>
            <w:r w:rsidRPr="007202C3">
              <w:rPr>
                <w:b/>
                <w:sz w:val="14"/>
                <w:szCs w:val="14"/>
              </w:rPr>
              <w:br/>
              <w:t>Pengendali/</w:t>
            </w:r>
            <w:r w:rsidRPr="007202C3">
              <w:rPr>
                <w:b/>
                <w:sz w:val="14"/>
                <w:szCs w:val="14"/>
              </w:rPr>
              <w:br/>
            </w:r>
            <w:r w:rsidRPr="007202C3">
              <w:rPr>
                <w:b/>
                <w:i/>
                <w:sz w:val="14"/>
                <w:szCs w:val="14"/>
              </w:rPr>
              <w:t>Non-</w:t>
            </w:r>
            <w:r w:rsidRPr="007202C3">
              <w:rPr>
                <w:b/>
                <w:i/>
                <w:sz w:val="14"/>
                <w:szCs w:val="14"/>
              </w:rPr>
              <w:br/>
              <w:t>Controlling Interest</w:t>
            </w:r>
          </w:p>
        </w:tc>
        <w:tc>
          <w:tcPr>
            <w:tcW w:w="48" w:type="pct"/>
            <w:vAlign w:val="bottom"/>
          </w:tcPr>
          <w:p w14:paraId="68FCCBF5" w14:textId="77777777" w:rsidR="006A1C72" w:rsidRPr="007202C3" w:rsidRDefault="006A1C72" w:rsidP="00E66765">
            <w:pPr>
              <w:ind w:left="-67" w:right="1"/>
              <w:jc w:val="right"/>
              <w:rPr>
                <w:sz w:val="14"/>
                <w:szCs w:val="14"/>
              </w:rPr>
            </w:pPr>
          </w:p>
        </w:tc>
        <w:tc>
          <w:tcPr>
            <w:tcW w:w="619" w:type="pct"/>
            <w:vMerge w:val="restart"/>
            <w:vAlign w:val="bottom"/>
          </w:tcPr>
          <w:p w14:paraId="4529583C" w14:textId="77777777" w:rsidR="006A1C72" w:rsidRPr="007202C3" w:rsidRDefault="006A1C72" w:rsidP="00E66765">
            <w:pPr>
              <w:jc w:val="center"/>
              <w:rPr>
                <w:sz w:val="14"/>
                <w:szCs w:val="14"/>
              </w:rPr>
            </w:pPr>
            <w:r w:rsidRPr="007202C3">
              <w:rPr>
                <w:b/>
                <w:sz w:val="14"/>
                <w:szCs w:val="14"/>
              </w:rPr>
              <w:t>Jumlah Ekuitas/</w:t>
            </w:r>
            <w:r w:rsidRPr="007202C3">
              <w:rPr>
                <w:b/>
                <w:sz w:val="14"/>
                <w:szCs w:val="14"/>
              </w:rPr>
              <w:br/>
            </w:r>
            <w:r w:rsidRPr="007202C3">
              <w:rPr>
                <w:b/>
                <w:i/>
                <w:sz w:val="14"/>
                <w:szCs w:val="14"/>
              </w:rPr>
              <w:t>Total Equity</w:t>
            </w:r>
          </w:p>
        </w:tc>
      </w:tr>
      <w:tr w:rsidR="00726705" w:rsidRPr="007202C3" w14:paraId="2E01837C" w14:textId="77777777" w:rsidTr="0021012F">
        <w:trPr>
          <w:cantSplit/>
          <w:trHeight w:val="20"/>
        </w:trPr>
        <w:tc>
          <w:tcPr>
            <w:tcW w:w="645" w:type="pct"/>
            <w:vMerge/>
          </w:tcPr>
          <w:p w14:paraId="2C2D0939" w14:textId="77777777" w:rsidR="006A1C72" w:rsidRPr="007202C3" w:rsidRDefault="006A1C72" w:rsidP="00E66765">
            <w:pPr>
              <w:ind w:left="283" w:hanging="170"/>
              <w:jc w:val="center"/>
              <w:rPr>
                <w:sz w:val="14"/>
                <w:szCs w:val="14"/>
              </w:rPr>
            </w:pPr>
          </w:p>
        </w:tc>
        <w:tc>
          <w:tcPr>
            <w:tcW w:w="70" w:type="pct"/>
          </w:tcPr>
          <w:p w14:paraId="438C9F5F" w14:textId="77777777" w:rsidR="006A1C72" w:rsidRPr="007202C3" w:rsidRDefault="006A1C72" w:rsidP="00E66765">
            <w:pPr>
              <w:ind w:right="57"/>
              <w:jc w:val="center"/>
              <w:rPr>
                <w:sz w:val="14"/>
                <w:szCs w:val="14"/>
              </w:rPr>
            </w:pPr>
          </w:p>
        </w:tc>
        <w:tc>
          <w:tcPr>
            <w:tcW w:w="381" w:type="pct"/>
            <w:vMerge/>
            <w:tcBorders>
              <w:bottom w:val="single" w:sz="4" w:space="0" w:color="auto"/>
            </w:tcBorders>
            <w:vAlign w:val="bottom"/>
          </w:tcPr>
          <w:p w14:paraId="04CAC580" w14:textId="77777777" w:rsidR="006A1C72" w:rsidRPr="007202C3" w:rsidRDefault="006A1C72" w:rsidP="00E66765">
            <w:pPr>
              <w:ind w:right="57"/>
              <w:jc w:val="center"/>
              <w:rPr>
                <w:sz w:val="14"/>
                <w:szCs w:val="14"/>
              </w:rPr>
            </w:pPr>
          </w:p>
        </w:tc>
        <w:tc>
          <w:tcPr>
            <w:tcW w:w="47" w:type="pct"/>
            <w:vAlign w:val="bottom"/>
          </w:tcPr>
          <w:p w14:paraId="720765A3" w14:textId="77777777" w:rsidR="006A1C72" w:rsidRPr="007202C3" w:rsidRDefault="006A1C72" w:rsidP="00E66765">
            <w:pPr>
              <w:ind w:right="57"/>
              <w:jc w:val="center"/>
              <w:rPr>
                <w:sz w:val="14"/>
                <w:szCs w:val="14"/>
              </w:rPr>
            </w:pPr>
          </w:p>
        </w:tc>
        <w:tc>
          <w:tcPr>
            <w:tcW w:w="381" w:type="pct"/>
            <w:vMerge/>
            <w:tcBorders>
              <w:bottom w:val="single" w:sz="4" w:space="0" w:color="auto"/>
            </w:tcBorders>
            <w:vAlign w:val="bottom"/>
          </w:tcPr>
          <w:p w14:paraId="20D30984" w14:textId="77777777" w:rsidR="006A1C72" w:rsidRPr="007202C3" w:rsidRDefault="006A1C72" w:rsidP="00E66765">
            <w:pPr>
              <w:ind w:right="28"/>
              <w:jc w:val="center"/>
              <w:rPr>
                <w:sz w:val="14"/>
                <w:szCs w:val="14"/>
              </w:rPr>
            </w:pPr>
          </w:p>
        </w:tc>
        <w:tc>
          <w:tcPr>
            <w:tcW w:w="48" w:type="pct"/>
            <w:vAlign w:val="bottom"/>
          </w:tcPr>
          <w:p w14:paraId="5B20C4A0" w14:textId="77777777" w:rsidR="006A1C72" w:rsidRPr="007202C3" w:rsidRDefault="006A1C72" w:rsidP="00E66765">
            <w:pPr>
              <w:ind w:right="57"/>
              <w:jc w:val="center"/>
              <w:rPr>
                <w:sz w:val="14"/>
                <w:szCs w:val="14"/>
              </w:rPr>
            </w:pPr>
          </w:p>
        </w:tc>
        <w:tc>
          <w:tcPr>
            <w:tcW w:w="428" w:type="pct"/>
            <w:vMerge/>
            <w:tcBorders>
              <w:top w:val="single" w:sz="4" w:space="0" w:color="auto"/>
              <w:bottom w:val="single" w:sz="4" w:space="0" w:color="auto"/>
            </w:tcBorders>
            <w:vAlign w:val="bottom"/>
          </w:tcPr>
          <w:p w14:paraId="2F6FBC20" w14:textId="77777777" w:rsidR="006A1C72" w:rsidRPr="007202C3" w:rsidRDefault="006A1C72" w:rsidP="00E66765">
            <w:pPr>
              <w:jc w:val="center"/>
              <w:rPr>
                <w:sz w:val="14"/>
                <w:szCs w:val="14"/>
              </w:rPr>
            </w:pPr>
          </w:p>
        </w:tc>
        <w:tc>
          <w:tcPr>
            <w:tcW w:w="48" w:type="pct"/>
            <w:vAlign w:val="bottom"/>
          </w:tcPr>
          <w:p w14:paraId="4A461A72" w14:textId="77777777" w:rsidR="006A1C72" w:rsidRPr="007202C3" w:rsidRDefault="006A1C72" w:rsidP="00E66765">
            <w:pPr>
              <w:ind w:right="57"/>
              <w:jc w:val="center"/>
              <w:rPr>
                <w:sz w:val="14"/>
                <w:szCs w:val="14"/>
              </w:rPr>
            </w:pPr>
          </w:p>
        </w:tc>
        <w:tc>
          <w:tcPr>
            <w:tcW w:w="571" w:type="pct"/>
            <w:tcBorders>
              <w:top w:val="single" w:sz="4" w:space="0" w:color="auto"/>
              <w:bottom w:val="single" w:sz="4" w:space="0" w:color="auto"/>
            </w:tcBorders>
            <w:vAlign w:val="bottom"/>
          </w:tcPr>
          <w:p w14:paraId="7E7176C1" w14:textId="09E815B1" w:rsidR="006A1C72" w:rsidRPr="007202C3" w:rsidRDefault="006A1C72" w:rsidP="00E66765">
            <w:pPr>
              <w:jc w:val="center"/>
              <w:rPr>
                <w:sz w:val="14"/>
                <w:szCs w:val="14"/>
              </w:rPr>
            </w:pPr>
            <w:r w:rsidRPr="007202C3">
              <w:rPr>
                <w:b/>
                <w:sz w:val="14"/>
                <w:szCs w:val="14"/>
              </w:rPr>
              <w:t>Ditentukan penggunaannya/</w:t>
            </w:r>
            <w:r w:rsidRPr="007202C3">
              <w:rPr>
                <w:b/>
                <w:sz w:val="14"/>
                <w:szCs w:val="14"/>
              </w:rPr>
              <w:br/>
            </w:r>
            <w:r w:rsidRPr="007202C3">
              <w:rPr>
                <w:b/>
                <w:i/>
                <w:sz w:val="14"/>
                <w:szCs w:val="14"/>
              </w:rPr>
              <w:t>Appropriated</w:t>
            </w:r>
          </w:p>
        </w:tc>
        <w:tc>
          <w:tcPr>
            <w:tcW w:w="48" w:type="pct"/>
            <w:tcBorders>
              <w:top w:val="single" w:sz="4" w:space="0" w:color="auto"/>
            </w:tcBorders>
            <w:vAlign w:val="bottom"/>
          </w:tcPr>
          <w:p w14:paraId="61E5C72B" w14:textId="77777777" w:rsidR="006A1C72" w:rsidRPr="007202C3" w:rsidRDefault="006A1C72" w:rsidP="00E66765">
            <w:pPr>
              <w:ind w:right="57"/>
              <w:jc w:val="center"/>
              <w:rPr>
                <w:sz w:val="14"/>
                <w:szCs w:val="14"/>
              </w:rPr>
            </w:pPr>
          </w:p>
        </w:tc>
        <w:tc>
          <w:tcPr>
            <w:tcW w:w="476" w:type="pct"/>
            <w:tcBorders>
              <w:top w:val="single" w:sz="4" w:space="0" w:color="auto"/>
              <w:bottom w:val="single" w:sz="4" w:space="0" w:color="auto"/>
            </w:tcBorders>
            <w:vAlign w:val="bottom"/>
          </w:tcPr>
          <w:p w14:paraId="47169C9B" w14:textId="3ECF6447" w:rsidR="006A1C72" w:rsidRPr="007202C3" w:rsidRDefault="006A1C72" w:rsidP="00E66765">
            <w:pPr>
              <w:jc w:val="center"/>
              <w:rPr>
                <w:b/>
                <w:sz w:val="14"/>
                <w:szCs w:val="14"/>
                <w:lang w:val="id-ID"/>
              </w:rPr>
            </w:pPr>
            <w:r w:rsidRPr="007202C3">
              <w:rPr>
                <w:b/>
                <w:sz w:val="14"/>
                <w:szCs w:val="14"/>
              </w:rPr>
              <w:t>Belum ditentukan Penggunaannya/</w:t>
            </w:r>
          </w:p>
          <w:p w14:paraId="4982B3EF" w14:textId="61EC0E19" w:rsidR="006A1C72" w:rsidRPr="007202C3" w:rsidRDefault="006A1C72" w:rsidP="00E66765">
            <w:pPr>
              <w:jc w:val="center"/>
              <w:rPr>
                <w:sz w:val="14"/>
                <w:szCs w:val="14"/>
              </w:rPr>
            </w:pPr>
            <w:r w:rsidRPr="007202C3">
              <w:rPr>
                <w:b/>
                <w:i/>
                <w:iCs/>
                <w:sz w:val="14"/>
                <w:szCs w:val="14"/>
              </w:rPr>
              <w:t>Unappropriated</w:t>
            </w:r>
          </w:p>
        </w:tc>
        <w:tc>
          <w:tcPr>
            <w:tcW w:w="48" w:type="pct"/>
            <w:tcBorders>
              <w:top w:val="single" w:sz="4" w:space="0" w:color="auto"/>
            </w:tcBorders>
            <w:vAlign w:val="bottom"/>
          </w:tcPr>
          <w:p w14:paraId="363DB88F" w14:textId="77777777" w:rsidR="006A1C72" w:rsidRPr="007202C3" w:rsidRDefault="006A1C72" w:rsidP="00E66765">
            <w:pPr>
              <w:ind w:right="57"/>
              <w:jc w:val="center"/>
              <w:rPr>
                <w:sz w:val="14"/>
                <w:szCs w:val="14"/>
              </w:rPr>
            </w:pPr>
          </w:p>
        </w:tc>
        <w:tc>
          <w:tcPr>
            <w:tcW w:w="523" w:type="pct"/>
            <w:tcBorders>
              <w:top w:val="single" w:sz="4" w:space="0" w:color="auto"/>
              <w:bottom w:val="single" w:sz="4" w:space="0" w:color="auto"/>
            </w:tcBorders>
            <w:vAlign w:val="bottom"/>
          </w:tcPr>
          <w:p w14:paraId="78DE0C87" w14:textId="77777777" w:rsidR="006A1C72" w:rsidRPr="007202C3" w:rsidRDefault="006A1C72" w:rsidP="00E66765">
            <w:pPr>
              <w:jc w:val="center"/>
              <w:rPr>
                <w:b/>
                <w:sz w:val="14"/>
                <w:szCs w:val="14"/>
              </w:rPr>
            </w:pPr>
            <w:r w:rsidRPr="007202C3">
              <w:rPr>
                <w:b/>
                <w:sz w:val="14"/>
                <w:szCs w:val="14"/>
              </w:rPr>
              <w:t>Jumlah/</w:t>
            </w:r>
          </w:p>
          <w:p w14:paraId="79939B4A" w14:textId="77777777" w:rsidR="006A1C72" w:rsidRPr="007202C3" w:rsidRDefault="006A1C72" w:rsidP="00E66765">
            <w:pPr>
              <w:jc w:val="center"/>
              <w:rPr>
                <w:sz w:val="14"/>
                <w:szCs w:val="14"/>
              </w:rPr>
            </w:pPr>
            <w:r w:rsidRPr="007202C3">
              <w:rPr>
                <w:b/>
                <w:i/>
                <w:sz w:val="14"/>
                <w:szCs w:val="14"/>
              </w:rPr>
              <w:t>Total</w:t>
            </w:r>
          </w:p>
        </w:tc>
        <w:tc>
          <w:tcPr>
            <w:tcW w:w="48" w:type="pct"/>
            <w:vAlign w:val="bottom"/>
          </w:tcPr>
          <w:p w14:paraId="2EB956A7" w14:textId="77777777" w:rsidR="006A1C72" w:rsidRPr="007202C3" w:rsidRDefault="006A1C72" w:rsidP="00E66765">
            <w:pPr>
              <w:ind w:right="57"/>
              <w:jc w:val="center"/>
              <w:rPr>
                <w:sz w:val="14"/>
                <w:szCs w:val="14"/>
              </w:rPr>
            </w:pPr>
          </w:p>
        </w:tc>
        <w:tc>
          <w:tcPr>
            <w:tcW w:w="571" w:type="pct"/>
            <w:vMerge/>
            <w:tcBorders>
              <w:bottom w:val="single" w:sz="4" w:space="0" w:color="auto"/>
            </w:tcBorders>
            <w:vAlign w:val="bottom"/>
          </w:tcPr>
          <w:p w14:paraId="0A8D4A27" w14:textId="77777777" w:rsidR="006A1C72" w:rsidRPr="007202C3" w:rsidRDefault="006A1C72" w:rsidP="00E66765">
            <w:pPr>
              <w:ind w:right="1"/>
              <w:jc w:val="center"/>
              <w:rPr>
                <w:sz w:val="14"/>
                <w:szCs w:val="14"/>
              </w:rPr>
            </w:pPr>
          </w:p>
        </w:tc>
        <w:tc>
          <w:tcPr>
            <w:tcW w:w="48" w:type="pct"/>
            <w:vAlign w:val="bottom"/>
          </w:tcPr>
          <w:p w14:paraId="696282D9" w14:textId="77777777" w:rsidR="006A1C72" w:rsidRPr="007202C3" w:rsidRDefault="006A1C72" w:rsidP="00E66765">
            <w:pPr>
              <w:ind w:right="1"/>
              <w:jc w:val="center"/>
              <w:rPr>
                <w:sz w:val="14"/>
                <w:szCs w:val="14"/>
              </w:rPr>
            </w:pPr>
          </w:p>
        </w:tc>
        <w:tc>
          <w:tcPr>
            <w:tcW w:w="619" w:type="pct"/>
            <w:vMerge/>
            <w:tcBorders>
              <w:bottom w:val="single" w:sz="4" w:space="0" w:color="auto"/>
            </w:tcBorders>
            <w:vAlign w:val="bottom"/>
          </w:tcPr>
          <w:p w14:paraId="0342A005" w14:textId="77777777" w:rsidR="006A1C72" w:rsidRPr="007202C3" w:rsidRDefault="006A1C72" w:rsidP="00E66765">
            <w:pPr>
              <w:jc w:val="center"/>
              <w:rPr>
                <w:sz w:val="14"/>
                <w:szCs w:val="14"/>
              </w:rPr>
            </w:pPr>
          </w:p>
        </w:tc>
      </w:tr>
      <w:tr w:rsidR="00726705" w:rsidRPr="007202C3" w14:paraId="234B7540" w14:textId="77777777" w:rsidTr="00B40A4B">
        <w:trPr>
          <w:cantSplit/>
          <w:trHeight w:val="20"/>
        </w:trPr>
        <w:tc>
          <w:tcPr>
            <w:tcW w:w="645" w:type="pct"/>
          </w:tcPr>
          <w:p w14:paraId="0B1DF136" w14:textId="77777777" w:rsidR="006A1C72" w:rsidRPr="007202C3" w:rsidRDefault="006A1C72" w:rsidP="00E66765">
            <w:pPr>
              <w:ind w:left="258" w:right="1" w:hanging="116"/>
              <w:rPr>
                <w:sz w:val="14"/>
                <w:szCs w:val="14"/>
              </w:rPr>
            </w:pPr>
          </w:p>
        </w:tc>
        <w:tc>
          <w:tcPr>
            <w:tcW w:w="70" w:type="pct"/>
          </w:tcPr>
          <w:p w14:paraId="2DA51194" w14:textId="77777777" w:rsidR="006A1C72" w:rsidRPr="007202C3" w:rsidRDefault="006A1C72" w:rsidP="00E66765">
            <w:pPr>
              <w:ind w:right="57"/>
              <w:jc w:val="right"/>
              <w:rPr>
                <w:sz w:val="14"/>
                <w:szCs w:val="14"/>
              </w:rPr>
            </w:pPr>
          </w:p>
        </w:tc>
        <w:tc>
          <w:tcPr>
            <w:tcW w:w="381" w:type="pct"/>
            <w:tcBorders>
              <w:top w:val="single" w:sz="4" w:space="0" w:color="auto"/>
            </w:tcBorders>
            <w:vAlign w:val="bottom"/>
          </w:tcPr>
          <w:p w14:paraId="30A03581" w14:textId="77777777" w:rsidR="006A1C72" w:rsidRPr="007202C3" w:rsidRDefault="006A1C72" w:rsidP="00E66765">
            <w:pPr>
              <w:ind w:right="57"/>
              <w:jc w:val="right"/>
              <w:rPr>
                <w:sz w:val="14"/>
                <w:szCs w:val="14"/>
              </w:rPr>
            </w:pPr>
          </w:p>
        </w:tc>
        <w:tc>
          <w:tcPr>
            <w:tcW w:w="47" w:type="pct"/>
            <w:vAlign w:val="bottom"/>
          </w:tcPr>
          <w:p w14:paraId="0D316E6F" w14:textId="77777777" w:rsidR="006A1C72" w:rsidRPr="007202C3" w:rsidRDefault="006A1C72" w:rsidP="00E66765">
            <w:pPr>
              <w:ind w:right="57"/>
              <w:jc w:val="right"/>
              <w:rPr>
                <w:sz w:val="14"/>
                <w:szCs w:val="14"/>
              </w:rPr>
            </w:pPr>
          </w:p>
        </w:tc>
        <w:tc>
          <w:tcPr>
            <w:tcW w:w="381" w:type="pct"/>
            <w:tcBorders>
              <w:top w:val="single" w:sz="4" w:space="0" w:color="auto"/>
            </w:tcBorders>
            <w:vAlign w:val="bottom"/>
          </w:tcPr>
          <w:p w14:paraId="3C664043" w14:textId="77777777" w:rsidR="006A1C72" w:rsidRPr="007202C3" w:rsidRDefault="006A1C72" w:rsidP="00E66765">
            <w:pPr>
              <w:ind w:right="28"/>
              <w:jc w:val="right"/>
              <w:rPr>
                <w:sz w:val="14"/>
                <w:szCs w:val="14"/>
              </w:rPr>
            </w:pPr>
          </w:p>
        </w:tc>
        <w:tc>
          <w:tcPr>
            <w:tcW w:w="48" w:type="pct"/>
            <w:vAlign w:val="bottom"/>
          </w:tcPr>
          <w:p w14:paraId="39BC1D10" w14:textId="77777777" w:rsidR="006A1C72" w:rsidRPr="007202C3" w:rsidRDefault="006A1C72" w:rsidP="00E66765">
            <w:pPr>
              <w:ind w:right="57"/>
              <w:jc w:val="right"/>
              <w:rPr>
                <w:sz w:val="14"/>
                <w:szCs w:val="14"/>
              </w:rPr>
            </w:pPr>
          </w:p>
        </w:tc>
        <w:tc>
          <w:tcPr>
            <w:tcW w:w="428" w:type="pct"/>
            <w:tcBorders>
              <w:top w:val="single" w:sz="4" w:space="0" w:color="auto"/>
            </w:tcBorders>
            <w:vAlign w:val="bottom"/>
          </w:tcPr>
          <w:p w14:paraId="79FE9269" w14:textId="77777777" w:rsidR="006A1C72" w:rsidRPr="007202C3" w:rsidRDefault="006A1C72" w:rsidP="00E66765">
            <w:pPr>
              <w:ind w:right="57"/>
              <w:jc w:val="right"/>
              <w:rPr>
                <w:sz w:val="14"/>
                <w:szCs w:val="14"/>
              </w:rPr>
            </w:pPr>
          </w:p>
        </w:tc>
        <w:tc>
          <w:tcPr>
            <w:tcW w:w="48" w:type="pct"/>
            <w:vAlign w:val="bottom"/>
          </w:tcPr>
          <w:p w14:paraId="494D1EC1" w14:textId="77777777" w:rsidR="006A1C72" w:rsidRPr="007202C3" w:rsidRDefault="006A1C72" w:rsidP="00E66765">
            <w:pPr>
              <w:ind w:right="57"/>
              <w:jc w:val="right"/>
              <w:rPr>
                <w:sz w:val="14"/>
                <w:szCs w:val="14"/>
              </w:rPr>
            </w:pPr>
          </w:p>
        </w:tc>
        <w:tc>
          <w:tcPr>
            <w:tcW w:w="571" w:type="pct"/>
            <w:tcBorders>
              <w:top w:val="single" w:sz="4" w:space="0" w:color="auto"/>
            </w:tcBorders>
            <w:vAlign w:val="bottom"/>
          </w:tcPr>
          <w:p w14:paraId="2EA1A8CF" w14:textId="77777777" w:rsidR="006A1C72" w:rsidRPr="007202C3" w:rsidRDefault="006A1C72" w:rsidP="00E66765">
            <w:pPr>
              <w:ind w:right="57"/>
              <w:jc w:val="right"/>
              <w:rPr>
                <w:sz w:val="14"/>
                <w:szCs w:val="14"/>
              </w:rPr>
            </w:pPr>
          </w:p>
        </w:tc>
        <w:tc>
          <w:tcPr>
            <w:tcW w:w="48" w:type="pct"/>
            <w:vAlign w:val="bottom"/>
          </w:tcPr>
          <w:p w14:paraId="0AD5C6BF" w14:textId="77777777" w:rsidR="006A1C72" w:rsidRPr="007202C3" w:rsidRDefault="006A1C72" w:rsidP="00E66765">
            <w:pPr>
              <w:ind w:right="57"/>
              <w:jc w:val="right"/>
              <w:rPr>
                <w:sz w:val="14"/>
                <w:szCs w:val="14"/>
              </w:rPr>
            </w:pPr>
          </w:p>
        </w:tc>
        <w:tc>
          <w:tcPr>
            <w:tcW w:w="476" w:type="pct"/>
            <w:tcBorders>
              <w:top w:val="single" w:sz="4" w:space="0" w:color="auto"/>
            </w:tcBorders>
            <w:vAlign w:val="bottom"/>
          </w:tcPr>
          <w:p w14:paraId="4636540B" w14:textId="77777777" w:rsidR="006A1C72" w:rsidRPr="007202C3" w:rsidRDefault="006A1C72" w:rsidP="00E66765">
            <w:pPr>
              <w:ind w:right="57"/>
              <w:jc w:val="right"/>
              <w:rPr>
                <w:sz w:val="14"/>
                <w:szCs w:val="14"/>
              </w:rPr>
            </w:pPr>
          </w:p>
        </w:tc>
        <w:tc>
          <w:tcPr>
            <w:tcW w:w="48" w:type="pct"/>
            <w:vAlign w:val="bottom"/>
          </w:tcPr>
          <w:p w14:paraId="2D430EDA" w14:textId="77777777" w:rsidR="006A1C72" w:rsidRPr="007202C3" w:rsidRDefault="006A1C72" w:rsidP="00E66765">
            <w:pPr>
              <w:ind w:right="57"/>
              <w:jc w:val="right"/>
              <w:rPr>
                <w:sz w:val="14"/>
                <w:szCs w:val="14"/>
              </w:rPr>
            </w:pPr>
          </w:p>
        </w:tc>
        <w:tc>
          <w:tcPr>
            <w:tcW w:w="523" w:type="pct"/>
            <w:tcBorders>
              <w:top w:val="single" w:sz="4" w:space="0" w:color="auto"/>
            </w:tcBorders>
            <w:vAlign w:val="bottom"/>
          </w:tcPr>
          <w:p w14:paraId="009D8768" w14:textId="77777777" w:rsidR="006A1C72" w:rsidRPr="007202C3" w:rsidRDefault="006A1C72" w:rsidP="00E66765">
            <w:pPr>
              <w:ind w:right="57"/>
              <w:jc w:val="right"/>
              <w:rPr>
                <w:sz w:val="14"/>
                <w:szCs w:val="14"/>
              </w:rPr>
            </w:pPr>
          </w:p>
        </w:tc>
        <w:tc>
          <w:tcPr>
            <w:tcW w:w="48" w:type="pct"/>
            <w:vAlign w:val="bottom"/>
          </w:tcPr>
          <w:p w14:paraId="36605BD3" w14:textId="77777777" w:rsidR="006A1C72" w:rsidRPr="007202C3" w:rsidRDefault="006A1C72" w:rsidP="00E66765">
            <w:pPr>
              <w:ind w:right="57"/>
              <w:jc w:val="right"/>
              <w:rPr>
                <w:sz w:val="14"/>
                <w:szCs w:val="14"/>
              </w:rPr>
            </w:pPr>
          </w:p>
        </w:tc>
        <w:tc>
          <w:tcPr>
            <w:tcW w:w="571" w:type="pct"/>
            <w:tcBorders>
              <w:top w:val="single" w:sz="4" w:space="0" w:color="auto"/>
            </w:tcBorders>
            <w:vAlign w:val="bottom"/>
          </w:tcPr>
          <w:p w14:paraId="011BE196" w14:textId="77777777" w:rsidR="006A1C72" w:rsidRPr="007202C3" w:rsidRDefault="006A1C72" w:rsidP="00E66765">
            <w:pPr>
              <w:ind w:left="-67" w:right="1"/>
              <w:jc w:val="right"/>
              <w:rPr>
                <w:sz w:val="14"/>
                <w:szCs w:val="14"/>
              </w:rPr>
            </w:pPr>
          </w:p>
        </w:tc>
        <w:tc>
          <w:tcPr>
            <w:tcW w:w="48" w:type="pct"/>
            <w:vAlign w:val="bottom"/>
          </w:tcPr>
          <w:p w14:paraId="25A9E81F" w14:textId="77777777" w:rsidR="006A1C72" w:rsidRPr="007202C3" w:rsidRDefault="006A1C72" w:rsidP="00E66765">
            <w:pPr>
              <w:ind w:left="-67" w:right="1"/>
              <w:jc w:val="right"/>
              <w:rPr>
                <w:sz w:val="14"/>
                <w:szCs w:val="14"/>
              </w:rPr>
            </w:pPr>
          </w:p>
        </w:tc>
        <w:tc>
          <w:tcPr>
            <w:tcW w:w="619" w:type="pct"/>
            <w:tcBorders>
              <w:top w:val="single" w:sz="4" w:space="0" w:color="auto"/>
            </w:tcBorders>
            <w:vAlign w:val="bottom"/>
          </w:tcPr>
          <w:p w14:paraId="023AC2AF" w14:textId="77777777" w:rsidR="006A1C72" w:rsidRPr="007202C3" w:rsidRDefault="006A1C72" w:rsidP="00E66765">
            <w:pPr>
              <w:ind w:left="-113" w:right="57"/>
              <w:jc w:val="right"/>
              <w:rPr>
                <w:sz w:val="14"/>
                <w:szCs w:val="14"/>
              </w:rPr>
            </w:pPr>
          </w:p>
        </w:tc>
      </w:tr>
      <w:tr w:rsidR="00726705" w:rsidRPr="007202C3" w14:paraId="553D3201" w14:textId="77777777" w:rsidTr="00B40A4B">
        <w:trPr>
          <w:cantSplit/>
          <w:trHeight w:val="20"/>
        </w:trPr>
        <w:tc>
          <w:tcPr>
            <w:tcW w:w="645" w:type="pct"/>
            <w:vAlign w:val="bottom"/>
          </w:tcPr>
          <w:p w14:paraId="20DDE6E4" w14:textId="7F55F198" w:rsidR="006A1C72" w:rsidRPr="007202C3" w:rsidRDefault="00D903F7" w:rsidP="00E66765">
            <w:pPr>
              <w:ind w:left="283" w:hanging="170"/>
              <w:rPr>
                <w:b/>
                <w:sz w:val="14"/>
                <w:szCs w:val="14"/>
              </w:rPr>
            </w:pPr>
            <w:r>
              <w:rPr>
                <w:b/>
                <w:sz w:val="14"/>
                <w:szCs w:val="14"/>
              </w:rPr>
              <w:t>Saldo 31 Desember</w:t>
            </w:r>
            <w:r w:rsidR="006A1C72" w:rsidRPr="007202C3">
              <w:rPr>
                <w:b/>
                <w:sz w:val="14"/>
                <w:szCs w:val="14"/>
              </w:rPr>
              <w:t xml:space="preserve"> 2018/</w:t>
            </w:r>
          </w:p>
          <w:p w14:paraId="7BEF885C" w14:textId="7F962DE3" w:rsidR="006A1C72" w:rsidRPr="007202C3" w:rsidRDefault="00D903F7" w:rsidP="00E66765">
            <w:pPr>
              <w:ind w:left="283" w:hanging="170"/>
              <w:rPr>
                <w:b/>
                <w:sz w:val="14"/>
                <w:szCs w:val="14"/>
              </w:rPr>
            </w:pPr>
            <w:r>
              <w:rPr>
                <w:b/>
                <w:i/>
                <w:sz w:val="14"/>
                <w:szCs w:val="14"/>
              </w:rPr>
              <w:t>Balance as of December</w:t>
            </w:r>
            <w:r w:rsidR="006A1C72" w:rsidRPr="007202C3">
              <w:rPr>
                <w:b/>
                <w:i/>
                <w:sz w:val="14"/>
                <w:szCs w:val="14"/>
              </w:rPr>
              <w:t xml:space="preserve"> </w:t>
            </w:r>
            <w:r>
              <w:rPr>
                <w:b/>
                <w:i/>
                <w:sz w:val="14"/>
                <w:szCs w:val="14"/>
              </w:rPr>
              <w:t>3</w:t>
            </w:r>
            <w:r w:rsidR="00C92587">
              <w:rPr>
                <w:b/>
                <w:i/>
                <w:sz w:val="14"/>
                <w:szCs w:val="14"/>
              </w:rPr>
              <w:t>1,</w:t>
            </w:r>
            <w:r w:rsidR="006A1C72" w:rsidRPr="007202C3">
              <w:rPr>
                <w:b/>
                <w:i/>
                <w:sz w:val="14"/>
                <w:szCs w:val="14"/>
              </w:rPr>
              <w:t xml:space="preserve"> 2018</w:t>
            </w:r>
          </w:p>
        </w:tc>
        <w:tc>
          <w:tcPr>
            <w:tcW w:w="70" w:type="pct"/>
          </w:tcPr>
          <w:p w14:paraId="0DFA1449" w14:textId="77777777" w:rsidR="006A1C72" w:rsidRPr="007202C3" w:rsidRDefault="006A1C72" w:rsidP="00E66765">
            <w:pPr>
              <w:ind w:right="57"/>
              <w:jc w:val="right"/>
              <w:rPr>
                <w:b/>
                <w:sz w:val="14"/>
                <w:szCs w:val="14"/>
              </w:rPr>
            </w:pPr>
          </w:p>
        </w:tc>
        <w:tc>
          <w:tcPr>
            <w:tcW w:w="381" w:type="pct"/>
            <w:vAlign w:val="bottom"/>
          </w:tcPr>
          <w:p w14:paraId="4DE8ECDD" w14:textId="6276B24A" w:rsidR="006A1C72" w:rsidRPr="007202C3" w:rsidRDefault="00EE1C00" w:rsidP="00E66765">
            <w:pPr>
              <w:ind w:right="28"/>
              <w:jc w:val="right"/>
              <w:rPr>
                <w:b/>
                <w:sz w:val="14"/>
                <w:szCs w:val="14"/>
              </w:rPr>
            </w:pPr>
            <w:r>
              <w:rPr>
                <w:b/>
                <w:sz w:val="14"/>
                <w:szCs w:val="14"/>
              </w:rPr>
              <w:t>1.200.070.544.500</w:t>
            </w:r>
          </w:p>
        </w:tc>
        <w:tc>
          <w:tcPr>
            <w:tcW w:w="47" w:type="pct"/>
            <w:vAlign w:val="bottom"/>
          </w:tcPr>
          <w:p w14:paraId="7BD3CAE6" w14:textId="77777777" w:rsidR="006A1C72" w:rsidRPr="007202C3" w:rsidRDefault="006A1C72" w:rsidP="00E66765">
            <w:pPr>
              <w:ind w:right="57"/>
              <w:jc w:val="right"/>
              <w:rPr>
                <w:b/>
                <w:sz w:val="14"/>
                <w:szCs w:val="14"/>
              </w:rPr>
            </w:pPr>
          </w:p>
        </w:tc>
        <w:tc>
          <w:tcPr>
            <w:tcW w:w="381" w:type="pct"/>
            <w:vAlign w:val="bottom"/>
          </w:tcPr>
          <w:p w14:paraId="071BD9FC" w14:textId="2B848914" w:rsidR="006A1C72" w:rsidRPr="007202C3" w:rsidRDefault="00EE1C00" w:rsidP="00E66765">
            <w:pPr>
              <w:ind w:right="28"/>
              <w:jc w:val="right"/>
              <w:rPr>
                <w:b/>
                <w:sz w:val="14"/>
                <w:szCs w:val="14"/>
              </w:rPr>
            </w:pPr>
            <w:r>
              <w:rPr>
                <w:b/>
                <w:sz w:val="14"/>
                <w:szCs w:val="14"/>
              </w:rPr>
              <w:t>1.124.816.856.453</w:t>
            </w:r>
          </w:p>
        </w:tc>
        <w:tc>
          <w:tcPr>
            <w:tcW w:w="48" w:type="pct"/>
            <w:vAlign w:val="bottom"/>
          </w:tcPr>
          <w:p w14:paraId="528658E9" w14:textId="77777777" w:rsidR="006A1C72" w:rsidRPr="007202C3" w:rsidRDefault="006A1C72" w:rsidP="00E66765">
            <w:pPr>
              <w:ind w:right="57"/>
              <w:jc w:val="right"/>
              <w:rPr>
                <w:b/>
                <w:sz w:val="14"/>
                <w:szCs w:val="14"/>
              </w:rPr>
            </w:pPr>
          </w:p>
        </w:tc>
        <w:tc>
          <w:tcPr>
            <w:tcW w:w="428" w:type="pct"/>
            <w:vAlign w:val="bottom"/>
          </w:tcPr>
          <w:p w14:paraId="77F272AB" w14:textId="4FE96127" w:rsidR="006A1C72" w:rsidRPr="007202C3" w:rsidRDefault="00EE1C00" w:rsidP="00E66765">
            <w:pPr>
              <w:ind w:right="28"/>
              <w:jc w:val="right"/>
              <w:rPr>
                <w:b/>
                <w:sz w:val="14"/>
                <w:szCs w:val="14"/>
              </w:rPr>
            </w:pPr>
            <w:r>
              <w:rPr>
                <w:b/>
                <w:sz w:val="14"/>
                <w:szCs w:val="14"/>
              </w:rPr>
              <w:t>15.089.406.851</w:t>
            </w:r>
          </w:p>
        </w:tc>
        <w:tc>
          <w:tcPr>
            <w:tcW w:w="48" w:type="pct"/>
            <w:vAlign w:val="bottom"/>
          </w:tcPr>
          <w:p w14:paraId="73F4D839" w14:textId="77777777" w:rsidR="006A1C72" w:rsidRPr="007202C3" w:rsidRDefault="006A1C72" w:rsidP="00E66765">
            <w:pPr>
              <w:ind w:right="57"/>
              <w:jc w:val="right"/>
              <w:rPr>
                <w:b/>
                <w:sz w:val="14"/>
                <w:szCs w:val="14"/>
              </w:rPr>
            </w:pPr>
          </w:p>
        </w:tc>
        <w:tc>
          <w:tcPr>
            <w:tcW w:w="571" w:type="pct"/>
            <w:vAlign w:val="bottom"/>
          </w:tcPr>
          <w:p w14:paraId="1317EED5" w14:textId="07FA884C" w:rsidR="006A1C72" w:rsidRPr="007202C3" w:rsidRDefault="006A1C72" w:rsidP="00E66765">
            <w:pPr>
              <w:ind w:right="28"/>
              <w:jc w:val="right"/>
              <w:rPr>
                <w:b/>
                <w:sz w:val="14"/>
                <w:szCs w:val="14"/>
              </w:rPr>
            </w:pPr>
            <w:r w:rsidRPr="007202C3">
              <w:rPr>
                <w:b/>
                <w:sz w:val="14"/>
                <w:szCs w:val="14"/>
              </w:rPr>
              <w:t>2.000.000.000</w:t>
            </w:r>
          </w:p>
        </w:tc>
        <w:tc>
          <w:tcPr>
            <w:tcW w:w="48" w:type="pct"/>
            <w:vAlign w:val="bottom"/>
          </w:tcPr>
          <w:p w14:paraId="1832190E" w14:textId="77777777" w:rsidR="006A1C72" w:rsidRPr="007202C3" w:rsidRDefault="006A1C72" w:rsidP="00E66765">
            <w:pPr>
              <w:ind w:right="57"/>
              <w:jc w:val="right"/>
              <w:rPr>
                <w:b/>
                <w:sz w:val="14"/>
                <w:szCs w:val="14"/>
              </w:rPr>
            </w:pPr>
          </w:p>
        </w:tc>
        <w:tc>
          <w:tcPr>
            <w:tcW w:w="476" w:type="pct"/>
            <w:vAlign w:val="bottom"/>
          </w:tcPr>
          <w:p w14:paraId="54F7DFFD" w14:textId="39FDD97B" w:rsidR="006A1C72" w:rsidRPr="007202C3" w:rsidRDefault="00EE1C00" w:rsidP="00E66765">
            <w:pPr>
              <w:ind w:right="28"/>
              <w:jc w:val="right"/>
              <w:rPr>
                <w:b/>
                <w:sz w:val="14"/>
                <w:szCs w:val="14"/>
              </w:rPr>
            </w:pPr>
            <w:r>
              <w:rPr>
                <w:b/>
                <w:sz w:val="14"/>
                <w:szCs w:val="14"/>
              </w:rPr>
              <w:t>(500.261.030.389)</w:t>
            </w:r>
          </w:p>
        </w:tc>
        <w:tc>
          <w:tcPr>
            <w:tcW w:w="48" w:type="pct"/>
            <w:vAlign w:val="bottom"/>
          </w:tcPr>
          <w:p w14:paraId="4458C5B3" w14:textId="77777777" w:rsidR="006A1C72" w:rsidRPr="007202C3" w:rsidRDefault="006A1C72" w:rsidP="00E66765">
            <w:pPr>
              <w:ind w:right="57"/>
              <w:jc w:val="right"/>
              <w:rPr>
                <w:b/>
                <w:sz w:val="14"/>
                <w:szCs w:val="14"/>
              </w:rPr>
            </w:pPr>
          </w:p>
        </w:tc>
        <w:tc>
          <w:tcPr>
            <w:tcW w:w="523" w:type="pct"/>
            <w:vAlign w:val="bottom"/>
          </w:tcPr>
          <w:p w14:paraId="1CA5473C" w14:textId="6288819A" w:rsidR="006A1C72" w:rsidRPr="007202C3" w:rsidRDefault="00EE1C00" w:rsidP="00E66765">
            <w:pPr>
              <w:ind w:right="28"/>
              <w:jc w:val="right"/>
              <w:rPr>
                <w:b/>
                <w:sz w:val="14"/>
                <w:szCs w:val="14"/>
              </w:rPr>
            </w:pPr>
            <w:r>
              <w:rPr>
                <w:b/>
                <w:sz w:val="14"/>
                <w:szCs w:val="14"/>
              </w:rPr>
              <w:t>1.841.715.777.415</w:t>
            </w:r>
          </w:p>
        </w:tc>
        <w:tc>
          <w:tcPr>
            <w:tcW w:w="48" w:type="pct"/>
            <w:vAlign w:val="bottom"/>
          </w:tcPr>
          <w:p w14:paraId="0BAA8F28" w14:textId="77777777" w:rsidR="006A1C72" w:rsidRPr="007202C3" w:rsidRDefault="006A1C72" w:rsidP="00E66765">
            <w:pPr>
              <w:ind w:right="57"/>
              <w:jc w:val="right"/>
              <w:rPr>
                <w:b/>
                <w:sz w:val="14"/>
                <w:szCs w:val="14"/>
              </w:rPr>
            </w:pPr>
          </w:p>
        </w:tc>
        <w:tc>
          <w:tcPr>
            <w:tcW w:w="571" w:type="pct"/>
            <w:vAlign w:val="bottom"/>
          </w:tcPr>
          <w:p w14:paraId="36694C11" w14:textId="639DD132" w:rsidR="006A1C72" w:rsidRPr="007202C3" w:rsidRDefault="00EE1C00" w:rsidP="00E66765">
            <w:pPr>
              <w:ind w:right="28"/>
              <w:jc w:val="right"/>
              <w:rPr>
                <w:b/>
                <w:sz w:val="14"/>
                <w:szCs w:val="14"/>
              </w:rPr>
            </w:pPr>
            <w:r>
              <w:rPr>
                <w:b/>
                <w:sz w:val="14"/>
                <w:szCs w:val="14"/>
              </w:rPr>
              <w:t>1.004.310.726</w:t>
            </w:r>
          </w:p>
        </w:tc>
        <w:tc>
          <w:tcPr>
            <w:tcW w:w="48" w:type="pct"/>
            <w:vAlign w:val="bottom"/>
          </w:tcPr>
          <w:p w14:paraId="0097EED6" w14:textId="77777777" w:rsidR="006A1C72" w:rsidRPr="007202C3" w:rsidRDefault="006A1C72" w:rsidP="00E66765">
            <w:pPr>
              <w:ind w:left="-67" w:right="1"/>
              <w:jc w:val="right"/>
              <w:rPr>
                <w:b/>
                <w:sz w:val="14"/>
                <w:szCs w:val="14"/>
              </w:rPr>
            </w:pPr>
          </w:p>
        </w:tc>
        <w:tc>
          <w:tcPr>
            <w:tcW w:w="619" w:type="pct"/>
            <w:vAlign w:val="bottom"/>
          </w:tcPr>
          <w:p w14:paraId="5FB2463B" w14:textId="6E7BD820" w:rsidR="006A1C72" w:rsidRPr="007202C3" w:rsidRDefault="00EE1C00" w:rsidP="00E66765">
            <w:pPr>
              <w:ind w:right="28"/>
              <w:jc w:val="right"/>
              <w:rPr>
                <w:b/>
                <w:sz w:val="14"/>
                <w:szCs w:val="14"/>
              </w:rPr>
            </w:pPr>
            <w:r>
              <w:rPr>
                <w:b/>
                <w:sz w:val="14"/>
                <w:szCs w:val="14"/>
              </w:rPr>
              <w:t>1.842.720.088.141</w:t>
            </w:r>
          </w:p>
        </w:tc>
      </w:tr>
      <w:tr w:rsidR="00726705" w:rsidRPr="007202C3" w14:paraId="77A38CE4" w14:textId="77777777" w:rsidTr="00B40A4B">
        <w:trPr>
          <w:cantSplit/>
          <w:trHeight w:val="70"/>
        </w:trPr>
        <w:tc>
          <w:tcPr>
            <w:tcW w:w="645" w:type="pct"/>
          </w:tcPr>
          <w:p w14:paraId="27B43D3C" w14:textId="77777777" w:rsidR="006A1C72" w:rsidRPr="007202C3" w:rsidRDefault="006A1C72" w:rsidP="00E66765">
            <w:pPr>
              <w:ind w:left="283" w:hanging="170"/>
              <w:rPr>
                <w:sz w:val="14"/>
                <w:szCs w:val="14"/>
              </w:rPr>
            </w:pPr>
          </w:p>
        </w:tc>
        <w:tc>
          <w:tcPr>
            <w:tcW w:w="70" w:type="pct"/>
          </w:tcPr>
          <w:p w14:paraId="701B23EE" w14:textId="77777777" w:rsidR="006A1C72" w:rsidRPr="007202C3" w:rsidRDefault="006A1C72" w:rsidP="00E66765">
            <w:pPr>
              <w:ind w:right="57"/>
              <w:jc w:val="right"/>
              <w:rPr>
                <w:sz w:val="14"/>
                <w:szCs w:val="14"/>
              </w:rPr>
            </w:pPr>
          </w:p>
        </w:tc>
        <w:tc>
          <w:tcPr>
            <w:tcW w:w="381" w:type="pct"/>
            <w:vAlign w:val="bottom"/>
          </w:tcPr>
          <w:p w14:paraId="5C3E421E" w14:textId="77777777" w:rsidR="006A1C72" w:rsidRPr="007202C3" w:rsidRDefault="006A1C72" w:rsidP="00E66765">
            <w:pPr>
              <w:ind w:right="28"/>
              <w:jc w:val="right"/>
              <w:rPr>
                <w:sz w:val="14"/>
                <w:szCs w:val="14"/>
              </w:rPr>
            </w:pPr>
          </w:p>
        </w:tc>
        <w:tc>
          <w:tcPr>
            <w:tcW w:w="47" w:type="pct"/>
            <w:vAlign w:val="bottom"/>
          </w:tcPr>
          <w:p w14:paraId="5B7B5F06" w14:textId="77777777" w:rsidR="006A1C72" w:rsidRPr="007202C3" w:rsidRDefault="006A1C72" w:rsidP="00E66765">
            <w:pPr>
              <w:ind w:right="57"/>
              <w:jc w:val="right"/>
              <w:rPr>
                <w:sz w:val="14"/>
                <w:szCs w:val="14"/>
              </w:rPr>
            </w:pPr>
          </w:p>
        </w:tc>
        <w:tc>
          <w:tcPr>
            <w:tcW w:w="381" w:type="pct"/>
            <w:vAlign w:val="bottom"/>
          </w:tcPr>
          <w:p w14:paraId="26F95920" w14:textId="77777777" w:rsidR="006A1C72" w:rsidRPr="007202C3" w:rsidRDefault="006A1C72" w:rsidP="00E66765">
            <w:pPr>
              <w:ind w:right="28"/>
              <w:jc w:val="right"/>
              <w:rPr>
                <w:sz w:val="14"/>
                <w:szCs w:val="14"/>
              </w:rPr>
            </w:pPr>
          </w:p>
        </w:tc>
        <w:tc>
          <w:tcPr>
            <w:tcW w:w="48" w:type="pct"/>
            <w:vAlign w:val="bottom"/>
          </w:tcPr>
          <w:p w14:paraId="46DCE256" w14:textId="77777777" w:rsidR="006A1C72" w:rsidRPr="007202C3" w:rsidRDefault="006A1C72" w:rsidP="00E66765">
            <w:pPr>
              <w:ind w:right="57"/>
              <w:jc w:val="right"/>
              <w:rPr>
                <w:sz w:val="14"/>
                <w:szCs w:val="14"/>
              </w:rPr>
            </w:pPr>
          </w:p>
        </w:tc>
        <w:tc>
          <w:tcPr>
            <w:tcW w:w="428" w:type="pct"/>
            <w:vAlign w:val="bottom"/>
          </w:tcPr>
          <w:p w14:paraId="3C23F0EE" w14:textId="77777777" w:rsidR="006A1C72" w:rsidRPr="007202C3" w:rsidRDefault="006A1C72" w:rsidP="00E66765">
            <w:pPr>
              <w:ind w:right="28"/>
              <w:jc w:val="right"/>
              <w:rPr>
                <w:sz w:val="14"/>
                <w:szCs w:val="14"/>
              </w:rPr>
            </w:pPr>
          </w:p>
        </w:tc>
        <w:tc>
          <w:tcPr>
            <w:tcW w:w="48" w:type="pct"/>
            <w:vAlign w:val="bottom"/>
          </w:tcPr>
          <w:p w14:paraId="281706AB" w14:textId="77777777" w:rsidR="006A1C72" w:rsidRPr="007202C3" w:rsidRDefault="006A1C72" w:rsidP="00E66765">
            <w:pPr>
              <w:ind w:right="57"/>
              <w:jc w:val="right"/>
              <w:rPr>
                <w:sz w:val="14"/>
                <w:szCs w:val="14"/>
              </w:rPr>
            </w:pPr>
          </w:p>
        </w:tc>
        <w:tc>
          <w:tcPr>
            <w:tcW w:w="571" w:type="pct"/>
            <w:vAlign w:val="bottom"/>
          </w:tcPr>
          <w:p w14:paraId="1667A378" w14:textId="77777777" w:rsidR="006A1C72" w:rsidRPr="007202C3" w:rsidRDefault="006A1C72" w:rsidP="00E66765">
            <w:pPr>
              <w:ind w:right="28"/>
              <w:jc w:val="right"/>
              <w:rPr>
                <w:sz w:val="14"/>
                <w:szCs w:val="14"/>
              </w:rPr>
            </w:pPr>
          </w:p>
        </w:tc>
        <w:tc>
          <w:tcPr>
            <w:tcW w:w="48" w:type="pct"/>
            <w:vAlign w:val="bottom"/>
          </w:tcPr>
          <w:p w14:paraId="20F6E1CD" w14:textId="77777777" w:rsidR="006A1C72" w:rsidRPr="007202C3" w:rsidRDefault="006A1C72" w:rsidP="00E66765">
            <w:pPr>
              <w:ind w:right="57"/>
              <w:jc w:val="right"/>
              <w:rPr>
                <w:sz w:val="14"/>
                <w:szCs w:val="14"/>
              </w:rPr>
            </w:pPr>
          </w:p>
        </w:tc>
        <w:tc>
          <w:tcPr>
            <w:tcW w:w="476" w:type="pct"/>
            <w:vAlign w:val="bottom"/>
          </w:tcPr>
          <w:p w14:paraId="3A413995" w14:textId="77777777" w:rsidR="006A1C72" w:rsidRPr="007202C3" w:rsidRDefault="006A1C72" w:rsidP="00E66765">
            <w:pPr>
              <w:ind w:right="28"/>
              <w:jc w:val="right"/>
              <w:rPr>
                <w:sz w:val="14"/>
                <w:szCs w:val="14"/>
              </w:rPr>
            </w:pPr>
          </w:p>
        </w:tc>
        <w:tc>
          <w:tcPr>
            <w:tcW w:w="48" w:type="pct"/>
            <w:vAlign w:val="bottom"/>
          </w:tcPr>
          <w:p w14:paraId="734AE73C" w14:textId="77777777" w:rsidR="006A1C72" w:rsidRPr="007202C3" w:rsidRDefault="006A1C72" w:rsidP="00E66765">
            <w:pPr>
              <w:ind w:right="57"/>
              <w:jc w:val="right"/>
              <w:rPr>
                <w:sz w:val="14"/>
                <w:szCs w:val="14"/>
              </w:rPr>
            </w:pPr>
          </w:p>
        </w:tc>
        <w:tc>
          <w:tcPr>
            <w:tcW w:w="523" w:type="pct"/>
            <w:vAlign w:val="bottom"/>
          </w:tcPr>
          <w:p w14:paraId="1B95EE66" w14:textId="77777777" w:rsidR="006A1C72" w:rsidRPr="007202C3" w:rsidRDefault="006A1C72" w:rsidP="00E66765">
            <w:pPr>
              <w:ind w:right="28"/>
              <w:jc w:val="right"/>
              <w:rPr>
                <w:sz w:val="14"/>
                <w:szCs w:val="14"/>
              </w:rPr>
            </w:pPr>
          </w:p>
        </w:tc>
        <w:tc>
          <w:tcPr>
            <w:tcW w:w="48" w:type="pct"/>
            <w:vAlign w:val="bottom"/>
          </w:tcPr>
          <w:p w14:paraId="61E76D6F" w14:textId="77777777" w:rsidR="006A1C72" w:rsidRPr="007202C3" w:rsidRDefault="006A1C72" w:rsidP="00E66765">
            <w:pPr>
              <w:ind w:right="57"/>
              <w:jc w:val="right"/>
              <w:rPr>
                <w:sz w:val="14"/>
                <w:szCs w:val="14"/>
              </w:rPr>
            </w:pPr>
          </w:p>
        </w:tc>
        <w:tc>
          <w:tcPr>
            <w:tcW w:w="571" w:type="pct"/>
            <w:vAlign w:val="bottom"/>
          </w:tcPr>
          <w:p w14:paraId="76FF6A77" w14:textId="77777777" w:rsidR="006A1C72" w:rsidRPr="007202C3" w:rsidRDefault="006A1C72" w:rsidP="00E66765">
            <w:pPr>
              <w:ind w:right="28"/>
              <w:jc w:val="right"/>
              <w:rPr>
                <w:sz w:val="14"/>
                <w:szCs w:val="14"/>
              </w:rPr>
            </w:pPr>
          </w:p>
        </w:tc>
        <w:tc>
          <w:tcPr>
            <w:tcW w:w="48" w:type="pct"/>
            <w:vAlign w:val="bottom"/>
          </w:tcPr>
          <w:p w14:paraId="3FA452A3" w14:textId="77777777" w:rsidR="006A1C72" w:rsidRPr="007202C3" w:rsidRDefault="006A1C72" w:rsidP="00E66765">
            <w:pPr>
              <w:ind w:left="-67" w:right="1"/>
              <w:jc w:val="right"/>
              <w:rPr>
                <w:sz w:val="14"/>
                <w:szCs w:val="14"/>
              </w:rPr>
            </w:pPr>
          </w:p>
        </w:tc>
        <w:tc>
          <w:tcPr>
            <w:tcW w:w="619" w:type="pct"/>
            <w:vAlign w:val="bottom"/>
          </w:tcPr>
          <w:p w14:paraId="1E03175A" w14:textId="77777777" w:rsidR="006A1C72" w:rsidRPr="007202C3" w:rsidRDefault="006A1C72" w:rsidP="00E66765">
            <w:pPr>
              <w:ind w:right="28"/>
              <w:jc w:val="right"/>
              <w:rPr>
                <w:sz w:val="14"/>
                <w:szCs w:val="14"/>
              </w:rPr>
            </w:pPr>
          </w:p>
        </w:tc>
      </w:tr>
      <w:tr w:rsidR="00726705" w:rsidRPr="007202C3" w14:paraId="68812E1F" w14:textId="77777777" w:rsidTr="0021012F">
        <w:trPr>
          <w:cantSplit/>
          <w:trHeight w:val="70"/>
        </w:trPr>
        <w:tc>
          <w:tcPr>
            <w:tcW w:w="645" w:type="pct"/>
          </w:tcPr>
          <w:p w14:paraId="0EE4E20E" w14:textId="03E81BAB" w:rsidR="006A1C72" w:rsidRPr="007202C3" w:rsidRDefault="00015C51" w:rsidP="00015C51">
            <w:pPr>
              <w:ind w:left="283" w:hanging="170"/>
              <w:rPr>
                <w:sz w:val="14"/>
                <w:szCs w:val="14"/>
              </w:rPr>
            </w:pPr>
            <w:r>
              <w:rPr>
                <w:sz w:val="14"/>
                <w:szCs w:val="14"/>
              </w:rPr>
              <w:t xml:space="preserve">Rugi Komprehensif Periode Berjalan/ </w:t>
            </w:r>
            <w:r w:rsidRPr="00015C51">
              <w:rPr>
                <w:i/>
                <w:sz w:val="14"/>
                <w:szCs w:val="14"/>
              </w:rPr>
              <w:t>Comprehensive loss</w:t>
            </w:r>
            <w:r>
              <w:rPr>
                <w:i/>
                <w:sz w:val="14"/>
                <w:szCs w:val="14"/>
              </w:rPr>
              <w:t xml:space="preserve"> </w:t>
            </w:r>
            <w:r w:rsidRPr="00015C51">
              <w:rPr>
                <w:i/>
                <w:sz w:val="14"/>
                <w:szCs w:val="14"/>
              </w:rPr>
              <w:t>for the Period</w:t>
            </w:r>
          </w:p>
        </w:tc>
        <w:tc>
          <w:tcPr>
            <w:tcW w:w="70" w:type="pct"/>
          </w:tcPr>
          <w:p w14:paraId="6DBE63F2" w14:textId="77777777" w:rsidR="006A1C72" w:rsidRPr="007202C3" w:rsidRDefault="006A1C72" w:rsidP="00EA0957">
            <w:pPr>
              <w:ind w:right="57"/>
              <w:jc w:val="right"/>
              <w:rPr>
                <w:sz w:val="14"/>
                <w:szCs w:val="14"/>
              </w:rPr>
            </w:pPr>
          </w:p>
        </w:tc>
        <w:tc>
          <w:tcPr>
            <w:tcW w:w="381" w:type="pct"/>
            <w:tcBorders>
              <w:bottom w:val="single" w:sz="4" w:space="0" w:color="auto"/>
            </w:tcBorders>
            <w:vAlign w:val="bottom"/>
          </w:tcPr>
          <w:p w14:paraId="3C0D2E87" w14:textId="42F03E9B" w:rsidR="006A1C72" w:rsidRPr="007202C3" w:rsidRDefault="00015C51" w:rsidP="00EA0957">
            <w:pPr>
              <w:ind w:right="28"/>
              <w:jc w:val="right"/>
              <w:rPr>
                <w:sz w:val="14"/>
                <w:szCs w:val="14"/>
              </w:rPr>
            </w:pPr>
            <w:r>
              <w:rPr>
                <w:sz w:val="14"/>
                <w:szCs w:val="14"/>
              </w:rPr>
              <w:t>-</w:t>
            </w:r>
          </w:p>
        </w:tc>
        <w:tc>
          <w:tcPr>
            <w:tcW w:w="47" w:type="pct"/>
            <w:vAlign w:val="bottom"/>
          </w:tcPr>
          <w:p w14:paraId="60BED55F" w14:textId="77777777" w:rsidR="006A1C72" w:rsidRPr="007202C3" w:rsidRDefault="006A1C72" w:rsidP="00EA0957">
            <w:pPr>
              <w:ind w:right="57"/>
              <w:jc w:val="right"/>
              <w:rPr>
                <w:sz w:val="14"/>
                <w:szCs w:val="14"/>
              </w:rPr>
            </w:pPr>
          </w:p>
        </w:tc>
        <w:tc>
          <w:tcPr>
            <w:tcW w:w="381" w:type="pct"/>
            <w:tcBorders>
              <w:bottom w:val="single" w:sz="4" w:space="0" w:color="auto"/>
            </w:tcBorders>
            <w:vAlign w:val="bottom"/>
          </w:tcPr>
          <w:p w14:paraId="140C7FAC" w14:textId="7EA98B33" w:rsidR="006A1C72" w:rsidRPr="007202C3" w:rsidRDefault="00015C51" w:rsidP="00EA0957">
            <w:pPr>
              <w:ind w:right="28"/>
              <w:jc w:val="right"/>
              <w:rPr>
                <w:sz w:val="14"/>
                <w:szCs w:val="14"/>
              </w:rPr>
            </w:pPr>
            <w:r>
              <w:rPr>
                <w:sz w:val="14"/>
                <w:szCs w:val="14"/>
              </w:rPr>
              <w:t>-</w:t>
            </w:r>
          </w:p>
        </w:tc>
        <w:tc>
          <w:tcPr>
            <w:tcW w:w="48" w:type="pct"/>
            <w:vAlign w:val="bottom"/>
          </w:tcPr>
          <w:p w14:paraId="3E8A9B03" w14:textId="77777777" w:rsidR="006A1C72" w:rsidRPr="007202C3" w:rsidRDefault="006A1C72" w:rsidP="00EA0957">
            <w:pPr>
              <w:ind w:right="57"/>
              <w:jc w:val="right"/>
              <w:rPr>
                <w:sz w:val="14"/>
                <w:szCs w:val="14"/>
              </w:rPr>
            </w:pPr>
          </w:p>
        </w:tc>
        <w:tc>
          <w:tcPr>
            <w:tcW w:w="428" w:type="pct"/>
            <w:tcBorders>
              <w:bottom w:val="single" w:sz="4" w:space="0" w:color="auto"/>
            </w:tcBorders>
            <w:vAlign w:val="bottom"/>
          </w:tcPr>
          <w:p w14:paraId="66699E66" w14:textId="2F73E6EA" w:rsidR="006A1C72" w:rsidRPr="007202C3" w:rsidRDefault="000D64E4" w:rsidP="00EA0957">
            <w:pPr>
              <w:ind w:right="28"/>
              <w:jc w:val="right"/>
              <w:rPr>
                <w:sz w:val="14"/>
                <w:szCs w:val="14"/>
              </w:rPr>
            </w:pPr>
            <w:r>
              <w:rPr>
                <w:sz w:val="14"/>
                <w:szCs w:val="14"/>
              </w:rPr>
              <w:t>527.231.271</w:t>
            </w:r>
          </w:p>
        </w:tc>
        <w:tc>
          <w:tcPr>
            <w:tcW w:w="48" w:type="pct"/>
            <w:vAlign w:val="bottom"/>
          </w:tcPr>
          <w:p w14:paraId="7CEEA6DD" w14:textId="77777777" w:rsidR="006A1C72" w:rsidRPr="007202C3" w:rsidRDefault="006A1C72" w:rsidP="00EA0957">
            <w:pPr>
              <w:ind w:right="57"/>
              <w:jc w:val="right"/>
              <w:rPr>
                <w:sz w:val="14"/>
                <w:szCs w:val="14"/>
              </w:rPr>
            </w:pPr>
          </w:p>
        </w:tc>
        <w:tc>
          <w:tcPr>
            <w:tcW w:w="571" w:type="pct"/>
            <w:tcBorders>
              <w:bottom w:val="single" w:sz="4" w:space="0" w:color="auto"/>
            </w:tcBorders>
            <w:vAlign w:val="bottom"/>
          </w:tcPr>
          <w:p w14:paraId="6A845721" w14:textId="4983DCFE" w:rsidR="006A1C72" w:rsidRPr="007202C3" w:rsidRDefault="006A1C72" w:rsidP="00EA0957">
            <w:pPr>
              <w:ind w:right="28"/>
              <w:jc w:val="right"/>
              <w:rPr>
                <w:sz w:val="14"/>
                <w:szCs w:val="14"/>
              </w:rPr>
            </w:pPr>
            <w:r w:rsidRPr="007202C3">
              <w:rPr>
                <w:sz w:val="14"/>
                <w:szCs w:val="14"/>
              </w:rPr>
              <w:t>-</w:t>
            </w:r>
          </w:p>
        </w:tc>
        <w:tc>
          <w:tcPr>
            <w:tcW w:w="48" w:type="pct"/>
            <w:vAlign w:val="bottom"/>
          </w:tcPr>
          <w:p w14:paraId="720F8E16" w14:textId="77777777" w:rsidR="006A1C72" w:rsidRPr="007202C3" w:rsidRDefault="006A1C72" w:rsidP="00EA0957">
            <w:pPr>
              <w:ind w:right="57"/>
              <w:jc w:val="right"/>
              <w:rPr>
                <w:sz w:val="14"/>
                <w:szCs w:val="14"/>
              </w:rPr>
            </w:pPr>
          </w:p>
        </w:tc>
        <w:tc>
          <w:tcPr>
            <w:tcW w:w="476" w:type="pct"/>
            <w:tcBorders>
              <w:bottom w:val="single" w:sz="4" w:space="0" w:color="auto"/>
            </w:tcBorders>
            <w:vAlign w:val="bottom"/>
          </w:tcPr>
          <w:p w14:paraId="59CAE0EB" w14:textId="5FD4DC3E" w:rsidR="006A1C72" w:rsidRPr="007202C3" w:rsidRDefault="00015C51" w:rsidP="00EA0957">
            <w:pPr>
              <w:ind w:right="28"/>
              <w:jc w:val="right"/>
              <w:rPr>
                <w:sz w:val="14"/>
                <w:szCs w:val="14"/>
              </w:rPr>
            </w:pPr>
            <w:r>
              <w:rPr>
                <w:sz w:val="14"/>
                <w:szCs w:val="14"/>
              </w:rPr>
              <w:t>4.006.403.562</w:t>
            </w:r>
          </w:p>
        </w:tc>
        <w:tc>
          <w:tcPr>
            <w:tcW w:w="48" w:type="pct"/>
            <w:vAlign w:val="bottom"/>
          </w:tcPr>
          <w:p w14:paraId="57238C2F" w14:textId="77777777" w:rsidR="006A1C72" w:rsidRPr="007202C3" w:rsidRDefault="006A1C72" w:rsidP="00EA0957">
            <w:pPr>
              <w:ind w:right="57"/>
              <w:jc w:val="right"/>
              <w:rPr>
                <w:sz w:val="14"/>
                <w:szCs w:val="14"/>
              </w:rPr>
            </w:pPr>
          </w:p>
        </w:tc>
        <w:tc>
          <w:tcPr>
            <w:tcW w:w="523" w:type="pct"/>
            <w:tcBorders>
              <w:bottom w:val="single" w:sz="4" w:space="0" w:color="auto"/>
            </w:tcBorders>
            <w:vAlign w:val="bottom"/>
          </w:tcPr>
          <w:p w14:paraId="09C5C7BC" w14:textId="75F66AC9" w:rsidR="006A1C72" w:rsidRPr="007202C3" w:rsidRDefault="00015C51" w:rsidP="00EA0957">
            <w:pPr>
              <w:ind w:right="28"/>
              <w:jc w:val="right"/>
              <w:rPr>
                <w:sz w:val="14"/>
                <w:szCs w:val="14"/>
              </w:rPr>
            </w:pPr>
            <w:r>
              <w:rPr>
                <w:sz w:val="14"/>
                <w:szCs w:val="14"/>
              </w:rPr>
              <w:t>4.533.634.833</w:t>
            </w:r>
          </w:p>
        </w:tc>
        <w:tc>
          <w:tcPr>
            <w:tcW w:w="48" w:type="pct"/>
            <w:vAlign w:val="bottom"/>
          </w:tcPr>
          <w:p w14:paraId="038C36EA" w14:textId="77777777" w:rsidR="006A1C72" w:rsidRPr="007202C3" w:rsidRDefault="006A1C72" w:rsidP="00EA0957">
            <w:pPr>
              <w:ind w:right="57"/>
              <w:jc w:val="right"/>
              <w:rPr>
                <w:sz w:val="14"/>
                <w:szCs w:val="14"/>
              </w:rPr>
            </w:pPr>
          </w:p>
        </w:tc>
        <w:tc>
          <w:tcPr>
            <w:tcW w:w="571" w:type="pct"/>
            <w:tcBorders>
              <w:bottom w:val="single" w:sz="4" w:space="0" w:color="auto"/>
            </w:tcBorders>
            <w:vAlign w:val="bottom"/>
          </w:tcPr>
          <w:p w14:paraId="35236AA7" w14:textId="4EEE6F25" w:rsidR="006A1C72" w:rsidRPr="007202C3" w:rsidRDefault="00015C51" w:rsidP="00EA0957">
            <w:pPr>
              <w:ind w:right="28"/>
              <w:jc w:val="right"/>
              <w:rPr>
                <w:sz w:val="14"/>
                <w:szCs w:val="14"/>
              </w:rPr>
            </w:pPr>
            <w:r>
              <w:rPr>
                <w:sz w:val="14"/>
                <w:szCs w:val="14"/>
              </w:rPr>
              <w:t>(17.351.813)</w:t>
            </w:r>
          </w:p>
        </w:tc>
        <w:tc>
          <w:tcPr>
            <w:tcW w:w="48" w:type="pct"/>
            <w:vAlign w:val="bottom"/>
          </w:tcPr>
          <w:p w14:paraId="2ABF52A0" w14:textId="77777777" w:rsidR="006A1C72" w:rsidRPr="007202C3" w:rsidRDefault="006A1C72" w:rsidP="00EA0957">
            <w:pPr>
              <w:ind w:left="-67" w:right="1"/>
              <w:jc w:val="right"/>
              <w:rPr>
                <w:sz w:val="14"/>
                <w:szCs w:val="14"/>
              </w:rPr>
            </w:pPr>
          </w:p>
        </w:tc>
        <w:tc>
          <w:tcPr>
            <w:tcW w:w="619" w:type="pct"/>
            <w:tcBorders>
              <w:bottom w:val="single" w:sz="4" w:space="0" w:color="auto"/>
            </w:tcBorders>
            <w:vAlign w:val="bottom"/>
          </w:tcPr>
          <w:p w14:paraId="08D18252" w14:textId="0CC5E49B" w:rsidR="006A1C72" w:rsidRPr="007202C3" w:rsidRDefault="00015C51" w:rsidP="00EA0957">
            <w:pPr>
              <w:ind w:right="28"/>
              <w:jc w:val="right"/>
              <w:rPr>
                <w:sz w:val="14"/>
                <w:szCs w:val="14"/>
              </w:rPr>
            </w:pPr>
            <w:r>
              <w:rPr>
                <w:sz w:val="14"/>
                <w:szCs w:val="14"/>
              </w:rPr>
              <w:t>4.516.283.020</w:t>
            </w:r>
          </w:p>
        </w:tc>
      </w:tr>
      <w:tr w:rsidR="00726705" w:rsidRPr="007202C3" w14:paraId="14FFE102" w14:textId="77777777" w:rsidTr="00555083">
        <w:trPr>
          <w:cantSplit/>
          <w:trHeight w:val="70"/>
        </w:trPr>
        <w:tc>
          <w:tcPr>
            <w:tcW w:w="645" w:type="pct"/>
          </w:tcPr>
          <w:p w14:paraId="0B666EFF" w14:textId="77777777" w:rsidR="006A1C72" w:rsidRPr="007202C3" w:rsidRDefault="006A1C72" w:rsidP="00E66765">
            <w:pPr>
              <w:ind w:left="283" w:hanging="170"/>
              <w:rPr>
                <w:sz w:val="14"/>
                <w:szCs w:val="14"/>
              </w:rPr>
            </w:pPr>
          </w:p>
        </w:tc>
        <w:tc>
          <w:tcPr>
            <w:tcW w:w="70" w:type="pct"/>
          </w:tcPr>
          <w:p w14:paraId="2DCC62C8" w14:textId="77777777" w:rsidR="006A1C72" w:rsidRPr="007202C3" w:rsidRDefault="006A1C72" w:rsidP="00E66765">
            <w:pPr>
              <w:ind w:right="57"/>
              <w:jc w:val="right"/>
              <w:rPr>
                <w:sz w:val="14"/>
                <w:szCs w:val="14"/>
              </w:rPr>
            </w:pPr>
          </w:p>
        </w:tc>
        <w:tc>
          <w:tcPr>
            <w:tcW w:w="381" w:type="pct"/>
            <w:vAlign w:val="bottom"/>
          </w:tcPr>
          <w:p w14:paraId="14F6556C" w14:textId="77777777" w:rsidR="006A1C72" w:rsidRPr="007202C3" w:rsidRDefault="006A1C72" w:rsidP="00E66765">
            <w:pPr>
              <w:ind w:right="28"/>
              <w:jc w:val="right"/>
              <w:rPr>
                <w:sz w:val="14"/>
                <w:szCs w:val="14"/>
              </w:rPr>
            </w:pPr>
          </w:p>
        </w:tc>
        <w:tc>
          <w:tcPr>
            <w:tcW w:w="47" w:type="pct"/>
            <w:vAlign w:val="bottom"/>
          </w:tcPr>
          <w:p w14:paraId="4937BDA4" w14:textId="77777777" w:rsidR="006A1C72" w:rsidRPr="007202C3" w:rsidRDefault="006A1C72" w:rsidP="00E66765">
            <w:pPr>
              <w:ind w:right="57"/>
              <w:jc w:val="right"/>
              <w:rPr>
                <w:sz w:val="14"/>
                <w:szCs w:val="14"/>
              </w:rPr>
            </w:pPr>
          </w:p>
        </w:tc>
        <w:tc>
          <w:tcPr>
            <w:tcW w:w="381" w:type="pct"/>
            <w:vAlign w:val="bottom"/>
          </w:tcPr>
          <w:p w14:paraId="7A731943" w14:textId="77777777" w:rsidR="006A1C72" w:rsidRPr="007202C3" w:rsidRDefault="006A1C72" w:rsidP="00E66765">
            <w:pPr>
              <w:ind w:right="28"/>
              <w:jc w:val="right"/>
              <w:rPr>
                <w:sz w:val="14"/>
                <w:szCs w:val="14"/>
              </w:rPr>
            </w:pPr>
          </w:p>
        </w:tc>
        <w:tc>
          <w:tcPr>
            <w:tcW w:w="48" w:type="pct"/>
            <w:vAlign w:val="bottom"/>
          </w:tcPr>
          <w:p w14:paraId="2C9D13A1" w14:textId="77777777" w:rsidR="006A1C72" w:rsidRPr="007202C3" w:rsidRDefault="006A1C72" w:rsidP="00E66765">
            <w:pPr>
              <w:ind w:right="57"/>
              <w:jc w:val="right"/>
              <w:rPr>
                <w:sz w:val="14"/>
                <w:szCs w:val="14"/>
              </w:rPr>
            </w:pPr>
          </w:p>
        </w:tc>
        <w:tc>
          <w:tcPr>
            <w:tcW w:w="428" w:type="pct"/>
            <w:vAlign w:val="bottom"/>
          </w:tcPr>
          <w:p w14:paraId="2106DDBC" w14:textId="77777777" w:rsidR="006A1C72" w:rsidRPr="007202C3" w:rsidRDefault="006A1C72" w:rsidP="00E66765">
            <w:pPr>
              <w:ind w:right="28"/>
              <w:jc w:val="right"/>
              <w:rPr>
                <w:sz w:val="14"/>
                <w:szCs w:val="14"/>
              </w:rPr>
            </w:pPr>
          </w:p>
        </w:tc>
        <w:tc>
          <w:tcPr>
            <w:tcW w:w="48" w:type="pct"/>
            <w:vAlign w:val="bottom"/>
          </w:tcPr>
          <w:p w14:paraId="1F752B66" w14:textId="77777777" w:rsidR="006A1C72" w:rsidRPr="007202C3" w:rsidRDefault="006A1C72" w:rsidP="00E66765">
            <w:pPr>
              <w:ind w:right="57"/>
              <w:jc w:val="right"/>
              <w:rPr>
                <w:sz w:val="14"/>
                <w:szCs w:val="14"/>
              </w:rPr>
            </w:pPr>
          </w:p>
        </w:tc>
        <w:tc>
          <w:tcPr>
            <w:tcW w:w="571" w:type="pct"/>
            <w:vAlign w:val="bottom"/>
          </w:tcPr>
          <w:p w14:paraId="6D0EA113" w14:textId="77777777" w:rsidR="006A1C72" w:rsidRPr="007202C3" w:rsidRDefault="006A1C72" w:rsidP="00E66765">
            <w:pPr>
              <w:ind w:right="28"/>
              <w:jc w:val="right"/>
              <w:rPr>
                <w:sz w:val="14"/>
                <w:szCs w:val="14"/>
                <w:lang w:val="id-ID"/>
              </w:rPr>
            </w:pPr>
          </w:p>
        </w:tc>
        <w:tc>
          <w:tcPr>
            <w:tcW w:w="48" w:type="pct"/>
            <w:vAlign w:val="bottom"/>
          </w:tcPr>
          <w:p w14:paraId="65463882" w14:textId="77777777" w:rsidR="006A1C72" w:rsidRPr="007202C3" w:rsidRDefault="006A1C72" w:rsidP="00E66765">
            <w:pPr>
              <w:ind w:right="57"/>
              <w:jc w:val="right"/>
              <w:rPr>
                <w:sz w:val="14"/>
                <w:szCs w:val="14"/>
              </w:rPr>
            </w:pPr>
          </w:p>
        </w:tc>
        <w:tc>
          <w:tcPr>
            <w:tcW w:w="476" w:type="pct"/>
            <w:vAlign w:val="bottom"/>
          </w:tcPr>
          <w:p w14:paraId="51F2AE90" w14:textId="77777777" w:rsidR="006A1C72" w:rsidRPr="007202C3" w:rsidRDefault="006A1C72" w:rsidP="00E66765">
            <w:pPr>
              <w:ind w:right="28"/>
              <w:jc w:val="right"/>
              <w:rPr>
                <w:sz w:val="14"/>
                <w:szCs w:val="14"/>
                <w:lang w:val="id-ID"/>
              </w:rPr>
            </w:pPr>
          </w:p>
        </w:tc>
        <w:tc>
          <w:tcPr>
            <w:tcW w:w="48" w:type="pct"/>
            <w:vAlign w:val="bottom"/>
          </w:tcPr>
          <w:p w14:paraId="661FB442" w14:textId="77777777" w:rsidR="006A1C72" w:rsidRPr="007202C3" w:rsidRDefault="006A1C72" w:rsidP="00E66765">
            <w:pPr>
              <w:ind w:right="57"/>
              <w:jc w:val="right"/>
              <w:rPr>
                <w:sz w:val="14"/>
                <w:szCs w:val="14"/>
              </w:rPr>
            </w:pPr>
          </w:p>
        </w:tc>
        <w:tc>
          <w:tcPr>
            <w:tcW w:w="523" w:type="pct"/>
            <w:vAlign w:val="bottom"/>
          </w:tcPr>
          <w:p w14:paraId="69534208" w14:textId="77777777" w:rsidR="006A1C72" w:rsidRPr="007202C3" w:rsidRDefault="006A1C72" w:rsidP="00E66765">
            <w:pPr>
              <w:ind w:right="28"/>
              <w:jc w:val="right"/>
              <w:rPr>
                <w:sz w:val="14"/>
                <w:szCs w:val="14"/>
                <w:lang w:val="id-ID"/>
              </w:rPr>
            </w:pPr>
          </w:p>
        </w:tc>
        <w:tc>
          <w:tcPr>
            <w:tcW w:w="48" w:type="pct"/>
            <w:vAlign w:val="bottom"/>
          </w:tcPr>
          <w:p w14:paraId="3A1928FD" w14:textId="77777777" w:rsidR="006A1C72" w:rsidRPr="007202C3" w:rsidRDefault="006A1C72" w:rsidP="00E66765">
            <w:pPr>
              <w:ind w:right="57"/>
              <w:jc w:val="center"/>
              <w:rPr>
                <w:sz w:val="14"/>
                <w:szCs w:val="14"/>
              </w:rPr>
            </w:pPr>
          </w:p>
        </w:tc>
        <w:tc>
          <w:tcPr>
            <w:tcW w:w="571" w:type="pct"/>
            <w:vAlign w:val="bottom"/>
          </w:tcPr>
          <w:p w14:paraId="724643F4" w14:textId="77777777" w:rsidR="006A1C72" w:rsidRPr="007202C3" w:rsidRDefault="006A1C72" w:rsidP="00E66765">
            <w:pPr>
              <w:ind w:right="28"/>
              <w:jc w:val="right"/>
              <w:rPr>
                <w:sz w:val="14"/>
                <w:szCs w:val="14"/>
                <w:lang w:val="id-ID"/>
              </w:rPr>
            </w:pPr>
          </w:p>
        </w:tc>
        <w:tc>
          <w:tcPr>
            <w:tcW w:w="48" w:type="pct"/>
            <w:vAlign w:val="bottom"/>
          </w:tcPr>
          <w:p w14:paraId="0CA9E3E0" w14:textId="77777777" w:rsidR="006A1C72" w:rsidRPr="007202C3" w:rsidRDefault="006A1C72" w:rsidP="00E66765">
            <w:pPr>
              <w:ind w:left="-67" w:right="1"/>
              <w:jc w:val="right"/>
              <w:rPr>
                <w:sz w:val="14"/>
                <w:szCs w:val="14"/>
              </w:rPr>
            </w:pPr>
          </w:p>
        </w:tc>
        <w:tc>
          <w:tcPr>
            <w:tcW w:w="619" w:type="pct"/>
            <w:vAlign w:val="bottom"/>
          </w:tcPr>
          <w:p w14:paraId="6C97C224" w14:textId="77777777" w:rsidR="006A1C72" w:rsidRPr="007202C3" w:rsidRDefault="006A1C72" w:rsidP="00E66765">
            <w:pPr>
              <w:ind w:right="28"/>
              <w:jc w:val="right"/>
              <w:rPr>
                <w:sz w:val="14"/>
                <w:szCs w:val="14"/>
              </w:rPr>
            </w:pPr>
          </w:p>
        </w:tc>
      </w:tr>
      <w:tr w:rsidR="00726705" w:rsidRPr="007202C3" w14:paraId="1D5E570F" w14:textId="77777777" w:rsidTr="00555083">
        <w:trPr>
          <w:cantSplit/>
          <w:trHeight w:val="70"/>
        </w:trPr>
        <w:tc>
          <w:tcPr>
            <w:tcW w:w="645" w:type="pct"/>
            <w:vAlign w:val="bottom"/>
          </w:tcPr>
          <w:p w14:paraId="4B9A8AB4" w14:textId="11385519" w:rsidR="006A1C72" w:rsidRPr="007202C3" w:rsidRDefault="00015C51" w:rsidP="00E66765">
            <w:pPr>
              <w:ind w:left="283" w:hanging="170"/>
              <w:rPr>
                <w:b/>
                <w:sz w:val="14"/>
                <w:szCs w:val="14"/>
              </w:rPr>
            </w:pPr>
            <w:r>
              <w:rPr>
                <w:b/>
                <w:sz w:val="14"/>
                <w:szCs w:val="14"/>
              </w:rPr>
              <w:t>Saldo 31 Maret 2019</w:t>
            </w:r>
            <w:r w:rsidR="006A1C72" w:rsidRPr="007202C3">
              <w:rPr>
                <w:b/>
                <w:sz w:val="14"/>
                <w:szCs w:val="14"/>
              </w:rPr>
              <w:t>/</w:t>
            </w:r>
          </w:p>
          <w:p w14:paraId="02C7EBDE" w14:textId="2F3B4DDC" w:rsidR="006A1C72" w:rsidRPr="007202C3" w:rsidRDefault="00015C51" w:rsidP="00E66765">
            <w:pPr>
              <w:ind w:left="283" w:hanging="170"/>
              <w:rPr>
                <w:b/>
                <w:sz w:val="14"/>
                <w:szCs w:val="14"/>
              </w:rPr>
            </w:pPr>
            <w:r>
              <w:rPr>
                <w:b/>
                <w:i/>
                <w:sz w:val="14"/>
                <w:szCs w:val="14"/>
              </w:rPr>
              <w:t>Balance as of March</w:t>
            </w:r>
            <w:r w:rsidR="00C92587">
              <w:rPr>
                <w:b/>
                <w:i/>
                <w:sz w:val="14"/>
                <w:szCs w:val="14"/>
              </w:rPr>
              <w:t xml:space="preserve"> 31,</w:t>
            </w:r>
            <w:r w:rsidR="006A1C72" w:rsidRPr="007202C3">
              <w:rPr>
                <w:b/>
                <w:i/>
                <w:sz w:val="14"/>
                <w:szCs w:val="14"/>
              </w:rPr>
              <w:t xml:space="preserve"> 201</w:t>
            </w:r>
            <w:r>
              <w:rPr>
                <w:b/>
                <w:i/>
                <w:sz w:val="14"/>
                <w:szCs w:val="14"/>
              </w:rPr>
              <w:t>9</w:t>
            </w:r>
          </w:p>
        </w:tc>
        <w:tc>
          <w:tcPr>
            <w:tcW w:w="70" w:type="pct"/>
          </w:tcPr>
          <w:p w14:paraId="6A83F2DD" w14:textId="77777777" w:rsidR="006A1C72" w:rsidRPr="007202C3" w:rsidRDefault="006A1C72" w:rsidP="00E66765">
            <w:pPr>
              <w:ind w:right="57"/>
              <w:jc w:val="right"/>
              <w:rPr>
                <w:b/>
                <w:sz w:val="14"/>
                <w:szCs w:val="14"/>
              </w:rPr>
            </w:pPr>
          </w:p>
        </w:tc>
        <w:tc>
          <w:tcPr>
            <w:tcW w:w="381" w:type="pct"/>
            <w:tcBorders>
              <w:bottom w:val="double" w:sz="4" w:space="0" w:color="auto"/>
            </w:tcBorders>
            <w:vAlign w:val="bottom"/>
          </w:tcPr>
          <w:p w14:paraId="63090B68" w14:textId="2C0632C0" w:rsidR="006A1C72" w:rsidRPr="007202C3" w:rsidRDefault="00B64D71" w:rsidP="00E66765">
            <w:pPr>
              <w:ind w:right="28"/>
              <w:jc w:val="right"/>
              <w:rPr>
                <w:b/>
                <w:sz w:val="14"/>
                <w:szCs w:val="14"/>
              </w:rPr>
            </w:pPr>
            <w:r w:rsidRPr="007202C3">
              <w:rPr>
                <w:b/>
                <w:sz w:val="14"/>
                <w:szCs w:val="14"/>
              </w:rPr>
              <w:t>1.200.070.544.500</w:t>
            </w:r>
          </w:p>
        </w:tc>
        <w:tc>
          <w:tcPr>
            <w:tcW w:w="47" w:type="pct"/>
            <w:vAlign w:val="bottom"/>
          </w:tcPr>
          <w:p w14:paraId="6D079009" w14:textId="77777777" w:rsidR="006A1C72" w:rsidRPr="007202C3" w:rsidRDefault="006A1C72" w:rsidP="00E66765">
            <w:pPr>
              <w:ind w:right="57"/>
              <w:jc w:val="right"/>
              <w:rPr>
                <w:b/>
                <w:sz w:val="14"/>
                <w:szCs w:val="14"/>
              </w:rPr>
            </w:pPr>
          </w:p>
        </w:tc>
        <w:tc>
          <w:tcPr>
            <w:tcW w:w="381" w:type="pct"/>
            <w:tcBorders>
              <w:bottom w:val="double" w:sz="4" w:space="0" w:color="auto"/>
            </w:tcBorders>
            <w:vAlign w:val="bottom"/>
          </w:tcPr>
          <w:p w14:paraId="562DA1C1" w14:textId="4D3CA1AE" w:rsidR="006A1C72" w:rsidRPr="007202C3" w:rsidRDefault="00B64D71" w:rsidP="00E66765">
            <w:pPr>
              <w:ind w:right="28"/>
              <w:jc w:val="right"/>
              <w:rPr>
                <w:b/>
                <w:sz w:val="14"/>
                <w:szCs w:val="14"/>
              </w:rPr>
            </w:pPr>
            <w:r w:rsidRPr="007202C3">
              <w:rPr>
                <w:b/>
                <w:sz w:val="14"/>
                <w:szCs w:val="14"/>
              </w:rPr>
              <w:t>1.124.816.856.453</w:t>
            </w:r>
          </w:p>
        </w:tc>
        <w:tc>
          <w:tcPr>
            <w:tcW w:w="48" w:type="pct"/>
            <w:vAlign w:val="bottom"/>
          </w:tcPr>
          <w:p w14:paraId="2FA345F3" w14:textId="77777777" w:rsidR="006A1C72" w:rsidRPr="007202C3" w:rsidRDefault="006A1C72" w:rsidP="00E66765">
            <w:pPr>
              <w:ind w:right="57"/>
              <w:jc w:val="right"/>
              <w:rPr>
                <w:b/>
                <w:sz w:val="14"/>
                <w:szCs w:val="14"/>
              </w:rPr>
            </w:pPr>
          </w:p>
        </w:tc>
        <w:tc>
          <w:tcPr>
            <w:tcW w:w="428" w:type="pct"/>
            <w:tcBorders>
              <w:bottom w:val="double" w:sz="4" w:space="0" w:color="auto"/>
            </w:tcBorders>
            <w:vAlign w:val="bottom"/>
          </w:tcPr>
          <w:p w14:paraId="5ABA461B" w14:textId="1A004427" w:rsidR="006A1C72" w:rsidRPr="007202C3" w:rsidRDefault="00015C51" w:rsidP="00E66765">
            <w:pPr>
              <w:ind w:right="28"/>
              <w:jc w:val="right"/>
              <w:rPr>
                <w:b/>
                <w:sz w:val="14"/>
                <w:szCs w:val="14"/>
              </w:rPr>
            </w:pPr>
            <w:r>
              <w:rPr>
                <w:b/>
                <w:sz w:val="14"/>
                <w:szCs w:val="14"/>
              </w:rPr>
              <w:t>15.616.638.122</w:t>
            </w:r>
          </w:p>
        </w:tc>
        <w:tc>
          <w:tcPr>
            <w:tcW w:w="48" w:type="pct"/>
            <w:vAlign w:val="bottom"/>
          </w:tcPr>
          <w:p w14:paraId="57A13337" w14:textId="77777777" w:rsidR="006A1C72" w:rsidRPr="007202C3" w:rsidRDefault="006A1C72" w:rsidP="00E66765">
            <w:pPr>
              <w:ind w:right="57"/>
              <w:jc w:val="right"/>
              <w:rPr>
                <w:b/>
                <w:sz w:val="14"/>
                <w:szCs w:val="14"/>
              </w:rPr>
            </w:pPr>
          </w:p>
        </w:tc>
        <w:tc>
          <w:tcPr>
            <w:tcW w:w="571" w:type="pct"/>
            <w:tcBorders>
              <w:bottom w:val="double" w:sz="4" w:space="0" w:color="auto"/>
            </w:tcBorders>
            <w:vAlign w:val="bottom"/>
          </w:tcPr>
          <w:p w14:paraId="5E36B4D9" w14:textId="1E7ED101" w:rsidR="006A1C72" w:rsidRPr="007202C3" w:rsidRDefault="00B64D71" w:rsidP="00E66765">
            <w:pPr>
              <w:ind w:right="28"/>
              <w:jc w:val="right"/>
              <w:rPr>
                <w:b/>
                <w:sz w:val="14"/>
                <w:szCs w:val="14"/>
              </w:rPr>
            </w:pPr>
            <w:r w:rsidRPr="007202C3">
              <w:rPr>
                <w:b/>
                <w:sz w:val="14"/>
                <w:szCs w:val="14"/>
              </w:rPr>
              <w:t>2.000.000.000</w:t>
            </w:r>
          </w:p>
        </w:tc>
        <w:tc>
          <w:tcPr>
            <w:tcW w:w="48" w:type="pct"/>
            <w:vAlign w:val="bottom"/>
          </w:tcPr>
          <w:p w14:paraId="73C4C9F0" w14:textId="77777777" w:rsidR="006A1C72" w:rsidRPr="007202C3" w:rsidRDefault="006A1C72" w:rsidP="00E66765">
            <w:pPr>
              <w:ind w:right="57"/>
              <w:jc w:val="right"/>
              <w:rPr>
                <w:b/>
                <w:sz w:val="14"/>
                <w:szCs w:val="14"/>
              </w:rPr>
            </w:pPr>
          </w:p>
        </w:tc>
        <w:tc>
          <w:tcPr>
            <w:tcW w:w="476" w:type="pct"/>
            <w:tcBorders>
              <w:bottom w:val="double" w:sz="4" w:space="0" w:color="auto"/>
            </w:tcBorders>
            <w:vAlign w:val="bottom"/>
          </w:tcPr>
          <w:p w14:paraId="5F83E59C" w14:textId="241980EB" w:rsidR="006A1C72" w:rsidRPr="007202C3" w:rsidRDefault="00015C51" w:rsidP="00E66765">
            <w:pPr>
              <w:ind w:right="28"/>
              <w:jc w:val="right"/>
              <w:rPr>
                <w:b/>
                <w:sz w:val="14"/>
                <w:szCs w:val="14"/>
              </w:rPr>
            </w:pPr>
            <w:r>
              <w:rPr>
                <w:b/>
                <w:sz w:val="14"/>
                <w:szCs w:val="14"/>
              </w:rPr>
              <w:t>(496.254.626.827)</w:t>
            </w:r>
          </w:p>
        </w:tc>
        <w:tc>
          <w:tcPr>
            <w:tcW w:w="48" w:type="pct"/>
            <w:vAlign w:val="bottom"/>
          </w:tcPr>
          <w:p w14:paraId="620C8163" w14:textId="77777777" w:rsidR="006A1C72" w:rsidRPr="007202C3" w:rsidRDefault="006A1C72" w:rsidP="00E66765">
            <w:pPr>
              <w:ind w:right="57"/>
              <w:jc w:val="right"/>
              <w:rPr>
                <w:b/>
                <w:sz w:val="14"/>
                <w:szCs w:val="14"/>
              </w:rPr>
            </w:pPr>
          </w:p>
        </w:tc>
        <w:tc>
          <w:tcPr>
            <w:tcW w:w="523" w:type="pct"/>
            <w:tcBorders>
              <w:bottom w:val="double" w:sz="4" w:space="0" w:color="auto"/>
            </w:tcBorders>
            <w:vAlign w:val="bottom"/>
          </w:tcPr>
          <w:p w14:paraId="14CCAC80" w14:textId="6737A60E" w:rsidR="006A1C72" w:rsidRPr="007202C3" w:rsidRDefault="00015C51" w:rsidP="00E66765">
            <w:pPr>
              <w:ind w:right="28"/>
              <w:jc w:val="right"/>
              <w:rPr>
                <w:b/>
                <w:sz w:val="14"/>
                <w:szCs w:val="14"/>
              </w:rPr>
            </w:pPr>
            <w:r>
              <w:rPr>
                <w:b/>
                <w:sz w:val="14"/>
                <w:szCs w:val="14"/>
              </w:rPr>
              <w:t>1.846.249.412.248</w:t>
            </w:r>
          </w:p>
        </w:tc>
        <w:tc>
          <w:tcPr>
            <w:tcW w:w="48" w:type="pct"/>
            <w:vAlign w:val="bottom"/>
          </w:tcPr>
          <w:p w14:paraId="0B0275CE" w14:textId="77777777" w:rsidR="006A1C72" w:rsidRPr="007202C3" w:rsidRDefault="006A1C72" w:rsidP="00E66765">
            <w:pPr>
              <w:ind w:right="57"/>
              <w:jc w:val="right"/>
              <w:rPr>
                <w:b/>
                <w:sz w:val="14"/>
                <w:szCs w:val="14"/>
              </w:rPr>
            </w:pPr>
          </w:p>
        </w:tc>
        <w:tc>
          <w:tcPr>
            <w:tcW w:w="571" w:type="pct"/>
            <w:tcBorders>
              <w:bottom w:val="double" w:sz="4" w:space="0" w:color="auto"/>
            </w:tcBorders>
            <w:vAlign w:val="bottom"/>
          </w:tcPr>
          <w:p w14:paraId="2C7E020A" w14:textId="3E99768B" w:rsidR="006A1C72" w:rsidRPr="007202C3" w:rsidRDefault="00B40A4B" w:rsidP="00E66765">
            <w:pPr>
              <w:ind w:right="28"/>
              <w:jc w:val="right"/>
              <w:rPr>
                <w:b/>
                <w:sz w:val="14"/>
                <w:szCs w:val="14"/>
              </w:rPr>
            </w:pPr>
            <w:r>
              <w:rPr>
                <w:b/>
                <w:sz w:val="14"/>
                <w:szCs w:val="14"/>
              </w:rPr>
              <w:t>986.958.913</w:t>
            </w:r>
          </w:p>
        </w:tc>
        <w:tc>
          <w:tcPr>
            <w:tcW w:w="48" w:type="pct"/>
            <w:vAlign w:val="bottom"/>
          </w:tcPr>
          <w:p w14:paraId="79210502" w14:textId="77777777" w:rsidR="006A1C72" w:rsidRPr="007202C3" w:rsidRDefault="006A1C72" w:rsidP="00E66765">
            <w:pPr>
              <w:ind w:left="-67" w:right="1"/>
              <w:jc w:val="right"/>
              <w:rPr>
                <w:b/>
                <w:sz w:val="14"/>
                <w:szCs w:val="14"/>
              </w:rPr>
            </w:pPr>
          </w:p>
        </w:tc>
        <w:tc>
          <w:tcPr>
            <w:tcW w:w="619" w:type="pct"/>
            <w:tcBorders>
              <w:bottom w:val="double" w:sz="4" w:space="0" w:color="auto"/>
            </w:tcBorders>
            <w:vAlign w:val="bottom"/>
          </w:tcPr>
          <w:p w14:paraId="02CA1398" w14:textId="638CE7D0" w:rsidR="006A1C72" w:rsidRPr="007202C3" w:rsidRDefault="00B40A4B" w:rsidP="00E66765">
            <w:pPr>
              <w:ind w:right="28"/>
              <w:jc w:val="right"/>
              <w:rPr>
                <w:b/>
                <w:sz w:val="14"/>
                <w:szCs w:val="14"/>
              </w:rPr>
            </w:pPr>
            <w:r>
              <w:rPr>
                <w:b/>
                <w:sz w:val="14"/>
                <w:szCs w:val="14"/>
              </w:rPr>
              <w:t>1.847.236.371.161</w:t>
            </w:r>
          </w:p>
        </w:tc>
      </w:tr>
      <w:tr w:rsidR="00726705" w:rsidRPr="007202C3" w14:paraId="664E752F" w14:textId="77777777" w:rsidTr="00555083">
        <w:trPr>
          <w:cantSplit/>
          <w:trHeight w:val="70"/>
        </w:trPr>
        <w:tc>
          <w:tcPr>
            <w:tcW w:w="645" w:type="pct"/>
          </w:tcPr>
          <w:p w14:paraId="473E8DB4" w14:textId="77777777" w:rsidR="006A1C72" w:rsidRPr="007202C3" w:rsidRDefault="006A1C72" w:rsidP="00E66765">
            <w:pPr>
              <w:ind w:left="283" w:hanging="170"/>
              <w:rPr>
                <w:sz w:val="14"/>
                <w:szCs w:val="14"/>
              </w:rPr>
            </w:pPr>
          </w:p>
        </w:tc>
        <w:tc>
          <w:tcPr>
            <w:tcW w:w="70" w:type="pct"/>
          </w:tcPr>
          <w:p w14:paraId="322C2F95" w14:textId="77777777" w:rsidR="006A1C72" w:rsidRPr="007202C3" w:rsidRDefault="006A1C72" w:rsidP="00E66765">
            <w:pPr>
              <w:ind w:right="57"/>
              <w:jc w:val="right"/>
              <w:rPr>
                <w:sz w:val="14"/>
                <w:szCs w:val="14"/>
              </w:rPr>
            </w:pPr>
          </w:p>
        </w:tc>
        <w:tc>
          <w:tcPr>
            <w:tcW w:w="381" w:type="pct"/>
            <w:tcBorders>
              <w:top w:val="double" w:sz="4" w:space="0" w:color="auto"/>
            </w:tcBorders>
            <w:vAlign w:val="bottom"/>
          </w:tcPr>
          <w:p w14:paraId="642A350D" w14:textId="77777777" w:rsidR="006A1C72" w:rsidRPr="007202C3" w:rsidRDefault="006A1C72" w:rsidP="00E66765">
            <w:pPr>
              <w:ind w:right="28"/>
              <w:jc w:val="right"/>
              <w:rPr>
                <w:sz w:val="14"/>
                <w:szCs w:val="14"/>
              </w:rPr>
            </w:pPr>
          </w:p>
        </w:tc>
        <w:tc>
          <w:tcPr>
            <w:tcW w:w="47" w:type="pct"/>
            <w:vAlign w:val="bottom"/>
          </w:tcPr>
          <w:p w14:paraId="42423054" w14:textId="77777777" w:rsidR="006A1C72" w:rsidRPr="007202C3" w:rsidRDefault="006A1C72" w:rsidP="00E66765">
            <w:pPr>
              <w:ind w:right="57"/>
              <w:jc w:val="right"/>
              <w:rPr>
                <w:sz w:val="14"/>
                <w:szCs w:val="14"/>
              </w:rPr>
            </w:pPr>
          </w:p>
        </w:tc>
        <w:tc>
          <w:tcPr>
            <w:tcW w:w="381" w:type="pct"/>
            <w:tcBorders>
              <w:top w:val="double" w:sz="4" w:space="0" w:color="auto"/>
            </w:tcBorders>
            <w:vAlign w:val="bottom"/>
          </w:tcPr>
          <w:p w14:paraId="0044E2FB" w14:textId="77777777" w:rsidR="006A1C72" w:rsidRPr="007202C3" w:rsidRDefault="006A1C72" w:rsidP="00E66765">
            <w:pPr>
              <w:ind w:right="28"/>
              <w:jc w:val="right"/>
              <w:rPr>
                <w:sz w:val="14"/>
                <w:szCs w:val="14"/>
              </w:rPr>
            </w:pPr>
          </w:p>
        </w:tc>
        <w:tc>
          <w:tcPr>
            <w:tcW w:w="48" w:type="pct"/>
            <w:vAlign w:val="bottom"/>
          </w:tcPr>
          <w:p w14:paraId="6DC47034" w14:textId="77777777" w:rsidR="006A1C72" w:rsidRPr="007202C3" w:rsidRDefault="006A1C72" w:rsidP="00E66765">
            <w:pPr>
              <w:ind w:right="57"/>
              <w:jc w:val="right"/>
              <w:rPr>
                <w:sz w:val="14"/>
                <w:szCs w:val="14"/>
              </w:rPr>
            </w:pPr>
          </w:p>
        </w:tc>
        <w:tc>
          <w:tcPr>
            <w:tcW w:w="428" w:type="pct"/>
            <w:tcBorders>
              <w:top w:val="double" w:sz="4" w:space="0" w:color="auto"/>
            </w:tcBorders>
            <w:vAlign w:val="bottom"/>
          </w:tcPr>
          <w:p w14:paraId="5CB13E9D" w14:textId="77777777" w:rsidR="006A1C72" w:rsidRPr="007202C3" w:rsidRDefault="006A1C72" w:rsidP="00E66765">
            <w:pPr>
              <w:ind w:right="28"/>
              <w:jc w:val="right"/>
              <w:rPr>
                <w:sz w:val="14"/>
                <w:szCs w:val="14"/>
              </w:rPr>
            </w:pPr>
          </w:p>
        </w:tc>
        <w:tc>
          <w:tcPr>
            <w:tcW w:w="48" w:type="pct"/>
            <w:vAlign w:val="bottom"/>
          </w:tcPr>
          <w:p w14:paraId="114D88CB" w14:textId="77777777" w:rsidR="006A1C72" w:rsidRPr="007202C3" w:rsidRDefault="006A1C72" w:rsidP="00E66765">
            <w:pPr>
              <w:ind w:right="57"/>
              <w:jc w:val="right"/>
              <w:rPr>
                <w:sz w:val="14"/>
                <w:szCs w:val="14"/>
              </w:rPr>
            </w:pPr>
          </w:p>
        </w:tc>
        <w:tc>
          <w:tcPr>
            <w:tcW w:w="571" w:type="pct"/>
            <w:tcBorders>
              <w:top w:val="double" w:sz="4" w:space="0" w:color="auto"/>
            </w:tcBorders>
            <w:vAlign w:val="bottom"/>
          </w:tcPr>
          <w:p w14:paraId="66859588" w14:textId="77777777" w:rsidR="006A1C72" w:rsidRPr="007202C3" w:rsidRDefault="006A1C72" w:rsidP="00E66765">
            <w:pPr>
              <w:ind w:right="28"/>
              <w:jc w:val="right"/>
              <w:rPr>
                <w:sz w:val="14"/>
                <w:szCs w:val="14"/>
              </w:rPr>
            </w:pPr>
          </w:p>
        </w:tc>
        <w:tc>
          <w:tcPr>
            <w:tcW w:w="48" w:type="pct"/>
            <w:vAlign w:val="bottom"/>
          </w:tcPr>
          <w:p w14:paraId="2DC66EAE" w14:textId="77777777" w:rsidR="006A1C72" w:rsidRPr="007202C3" w:rsidRDefault="006A1C72" w:rsidP="00E66765">
            <w:pPr>
              <w:ind w:right="57"/>
              <w:jc w:val="right"/>
              <w:rPr>
                <w:sz w:val="14"/>
                <w:szCs w:val="14"/>
              </w:rPr>
            </w:pPr>
          </w:p>
        </w:tc>
        <w:tc>
          <w:tcPr>
            <w:tcW w:w="476" w:type="pct"/>
            <w:tcBorders>
              <w:top w:val="double" w:sz="4" w:space="0" w:color="auto"/>
            </w:tcBorders>
            <w:vAlign w:val="bottom"/>
          </w:tcPr>
          <w:p w14:paraId="3090CEBF" w14:textId="77777777" w:rsidR="006A1C72" w:rsidRPr="007202C3" w:rsidRDefault="006A1C72" w:rsidP="00E66765">
            <w:pPr>
              <w:ind w:right="28"/>
              <w:jc w:val="right"/>
              <w:rPr>
                <w:sz w:val="14"/>
                <w:szCs w:val="14"/>
              </w:rPr>
            </w:pPr>
          </w:p>
        </w:tc>
        <w:tc>
          <w:tcPr>
            <w:tcW w:w="48" w:type="pct"/>
            <w:vAlign w:val="bottom"/>
          </w:tcPr>
          <w:p w14:paraId="3E583E71" w14:textId="77777777" w:rsidR="006A1C72" w:rsidRPr="007202C3" w:rsidRDefault="006A1C72" w:rsidP="00E66765">
            <w:pPr>
              <w:ind w:right="57"/>
              <w:jc w:val="right"/>
              <w:rPr>
                <w:sz w:val="14"/>
                <w:szCs w:val="14"/>
              </w:rPr>
            </w:pPr>
          </w:p>
        </w:tc>
        <w:tc>
          <w:tcPr>
            <w:tcW w:w="523" w:type="pct"/>
            <w:tcBorders>
              <w:top w:val="double" w:sz="4" w:space="0" w:color="auto"/>
            </w:tcBorders>
            <w:vAlign w:val="bottom"/>
          </w:tcPr>
          <w:p w14:paraId="5A6052B6" w14:textId="77777777" w:rsidR="006A1C72" w:rsidRPr="007202C3" w:rsidRDefault="006A1C72" w:rsidP="00E66765">
            <w:pPr>
              <w:ind w:right="28"/>
              <w:jc w:val="right"/>
              <w:rPr>
                <w:sz w:val="14"/>
                <w:szCs w:val="14"/>
              </w:rPr>
            </w:pPr>
          </w:p>
        </w:tc>
        <w:tc>
          <w:tcPr>
            <w:tcW w:w="48" w:type="pct"/>
            <w:vAlign w:val="bottom"/>
          </w:tcPr>
          <w:p w14:paraId="3C51EBE8" w14:textId="77777777" w:rsidR="006A1C72" w:rsidRPr="007202C3" w:rsidRDefault="006A1C72" w:rsidP="00E66765">
            <w:pPr>
              <w:ind w:right="57"/>
              <w:jc w:val="right"/>
              <w:rPr>
                <w:sz w:val="14"/>
                <w:szCs w:val="14"/>
              </w:rPr>
            </w:pPr>
          </w:p>
        </w:tc>
        <w:tc>
          <w:tcPr>
            <w:tcW w:w="571" w:type="pct"/>
            <w:tcBorders>
              <w:top w:val="double" w:sz="4" w:space="0" w:color="auto"/>
            </w:tcBorders>
            <w:vAlign w:val="bottom"/>
          </w:tcPr>
          <w:p w14:paraId="293D5AA9" w14:textId="77777777" w:rsidR="006A1C72" w:rsidRPr="007202C3" w:rsidRDefault="006A1C72" w:rsidP="00E66765">
            <w:pPr>
              <w:ind w:right="28"/>
              <w:jc w:val="right"/>
              <w:rPr>
                <w:sz w:val="14"/>
                <w:szCs w:val="14"/>
              </w:rPr>
            </w:pPr>
          </w:p>
        </w:tc>
        <w:tc>
          <w:tcPr>
            <w:tcW w:w="48" w:type="pct"/>
            <w:vAlign w:val="bottom"/>
          </w:tcPr>
          <w:p w14:paraId="31CBC250" w14:textId="77777777" w:rsidR="006A1C72" w:rsidRPr="007202C3" w:rsidRDefault="006A1C72" w:rsidP="00E66765">
            <w:pPr>
              <w:ind w:left="-67" w:right="1"/>
              <w:jc w:val="right"/>
              <w:rPr>
                <w:sz w:val="14"/>
                <w:szCs w:val="14"/>
              </w:rPr>
            </w:pPr>
          </w:p>
        </w:tc>
        <w:tc>
          <w:tcPr>
            <w:tcW w:w="619" w:type="pct"/>
            <w:tcBorders>
              <w:top w:val="double" w:sz="4" w:space="0" w:color="auto"/>
            </w:tcBorders>
            <w:vAlign w:val="bottom"/>
          </w:tcPr>
          <w:p w14:paraId="70EA4463" w14:textId="77777777" w:rsidR="006A1C72" w:rsidRPr="007202C3" w:rsidRDefault="006A1C72" w:rsidP="00E66765">
            <w:pPr>
              <w:ind w:right="28"/>
              <w:jc w:val="right"/>
              <w:rPr>
                <w:sz w:val="14"/>
                <w:szCs w:val="14"/>
              </w:rPr>
            </w:pPr>
          </w:p>
        </w:tc>
      </w:tr>
      <w:tr w:rsidR="00726705" w:rsidRPr="007202C3" w14:paraId="3AD1D859" w14:textId="77777777" w:rsidTr="00B40A4B">
        <w:trPr>
          <w:cantSplit/>
          <w:trHeight w:val="70"/>
        </w:trPr>
        <w:tc>
          <w:tcPr>
            <w:tcW w:w="645" w:type="pct"/>
          </w:tcPr>
          <w:p w14:paraId="28230974" w14:textId="77777777" w:rsidR="006A1C72" w:rsidRPr="007202C3" w:rsidRDefault="006A1C72" w:rsidP="00E66765">
            <w:pPr>
              <w:ind w:left="283" w:hanging="170"/>
              <w:rPr>
                <w:sz w:val="14"/>
                <w:szCs w:val="14"/>
              </w:rPr>
            </w:pPr>
          </w:p>
        </w:tc>
        <w:tc>
          <w:tcPr>
            <w:tcW w:w="70" w:type="pct"/>
          </w:tcPr>
          <w:p w14:paraId="07C109C2" w14:textId="77777777" w:rsidR="006A1C72" w:rsidRPr="007202C3" w:rsidRDefault="006A1C72" w:rsidP="00E66765">
            <w:pPr>
              <w:ind w:right="57"/>
              <w:jc w:val="right"/>
              <w:rPr>
                <w:sz w:val="14"/>
                <w:szCs w:val="14"/>
              </w:rPr>
            </w:pPr>
          </w:p>
        </w:tc>
        <w:tc>
          <w:tcPr>
            <w:tcW w:w="381" w:type="pct"/>
            <w:vAlign w:val="bottom"/>
          </w:tcPr>
          <w:p w14:paraId="13A017B1" w14:textId="77777777" w:rsidR="006A1C72" w:rsidRPr="007202C3" w:rsidRDefault="006A1C72" w:rsidP="00E66765">
            <w:pPr>
              <w:ind w:right="28"/>
              <w:jc w:val="right"/>
              <w:rPr>
                <w:sz w:val="14"/>
                <w:szCs w:val="14"/>
              </w:rPr>
            </w:pPr>
          </w:p>
        </w:tc>
        <w:tc>
          <w:tcPr>
            <w:tcW w:w="47" w:type="pct"/>
            <w:vAlign w:val="bottom"/>
          </w:tcPr>
          <w:p w14:paraId="7FB9AE53" w14:textId="77777777" w:rsidR="006A1C72" w:rsidRPr="007202C3" w:rsidRDefault="006A1C72" w:rsidP="00E66765">
            <w:pPr>
              <w:ind w:right="57"/>
              <w:jc w:val="right"/>
              <w:rPr>
                <w:sz w:val="14"/>
                <w:szCs w:val="14"/>
              </w:rPr>
            </w:pPr>
          </w:p>
        </w:tc>
        <w:tc>
          <w:tcPr>
            <w:tcW w:w="381" w:type="pct"/>
            <w:vAlign w:val="bottom"/>
          </w:tcPr>
          <w:p w14:paraId="11619BDE" w14:textId="77777777" w:rsidR="006A1C72" w:rsidRPr="007202C3" w:rsidRDefault="006A1C72" w:rsidP="00E66765">
            <w:pPr>
              <w:ind w:right="28"/>
              <w:jc w:val="right"/>
              <w:rPr>
                <w:sz w:val="14"/>
                <w:szCs w:val="14"/>
              </w:rPr>
            </w:pPr>
          </w:p>
        </w:tc>
        <w:tc>
          <w:tcPr>
            <w:tcW w:w="48" w:type="pct"/>
            <w:vAlign w:val="bottom"/>
          </w:tcPr>
          <w:p w14:paraId="68A554E9" w14:textId="77777777" w:rsidR="006A1C72" w:rsidRPr="007202C3" w:rsidRDefault="006A1C72" w:rsidP="00E66765">
            <w:pPr>
              <w:ind w:right="57"/>
              <w:jc w:val="right"/>
              <w:rPr>
                <w:sz w:val="14"/>
                <w:szCs w:val="14"/>
              </w:rPr>
            </w:pPr>
          </w:p>
        </w:tc>
        <w:tc>
          <w:tcPr>
            <w:tcW w:w="428" w:type="pct"/>
            <w:vAlign w:val="bottom"/>
          </w:tcPr>
          <w:p w14:paraId="01FC96C7" w14:textId="77777777" w:rsidR="006A1C72" w:rsidRPr="007202C3" w:rsidRDefault="006A1C72" w:rsidP="00E66765">
            <w:pPr>
              <w:ind w:right="28"/>
              <w:jc w:val="right"/>
              <w:rPr>
                <w:sz w:val="14"/>
                <w:szCs w:val="14"/>
              </w:rPr>
            </w:pPr>
          </w:p>
        </w:tc>
        <w:tc>
          <w:tcPr>
            <w:tcW w:w="48" w:type="pct"/>
            <w:vAlign w:val="bottom"/>
          </w:tcPr>
          <w:p w14:paraId="3B3F2A00" w14:textId="77777777" w:rsidR="006A1C72" w:rsidRPr="007202C3" w:rsidRDefault="006A1C72" w:rsidP="00E66765">
            <w:pPr>
              <w:ind w:right="57"/>
              <w:jc w:val="right"/>
              <w:rPr>
                <w:sz w:val="14"/>
                <w:szCs w:val="14"/>
              </w:rPr>
            </w:pPr>
          </w:p>
        </w:tc>
        <w:tc>
          <w:tcPr>
            <w:tcW w:w="571" w:type="pct"/>
            <w:vAlign w:val="bottom"/>
          </w:tcPr>
          <w:p w14:paraId="013B25CF" w14:textId="77777777" w:rsidR="006A1C72" w:rsidRPr="007202C3" w:rsidRDefault="006A1C72" w:rsidP="00E66765">
            <w:pPr>
              <w:ind w:right="28"/>
              <w:jc w:val="right"/>
              <w:rPr>
                <w:sz w:val="14"/>
                <w:szCs w:val="14"/>
              </w:rPr>
            </w:pPr>
          </w:p>
        </w:tc>
        <w:tc>
          <w:tcPr>
            <w:tcW w:w="48" w:type="pct"/>
            <w:vAlign w:val="bottom"/>
          </w:tcPr>
          <w:p w14:paraId="55262793" w14:textId="77777777" w:rsidR="006A1C72" w:rsidRPr="007202C3" w:rsidRDefault="006A1C72" w:rsidP="00E66765">
            <w:pPr>
              <w:ind w:right="57"/>
              <w:jc w:val="right"/>
              <w:rPr>
                <w:sz w:val="14"/>
                <w:szCs w:val="14"/>
              </w:rPr>
            </w:pPr>
          </w:p>
        </w:tc>
        <w:tc>
          <w:tcPr>
            <w:tcW w:w="476" w:type="pct"/>
            <w:vAlign w:val="bottom"/>
          </w:tcPr>
          <w:p w14:paraId="33C92725" w14:textId="77777777" w:rsidR="006A1C72" w:rsidRPr="007202C3" w:rsidRDefault="006A1C72" w:rsidP="00E66765">
            <w:pPr>
              <w:ind w:right="28"/>
              <w:jc w:val="right"/>
              <w:rPr>
                <w:sz w:val="14"/>
                <w:szCs w:val="14"/>
              </w:rPr>
            </w:pPr>
          </w:p>
        </w:tc>
        <w:tc>
          <w:tcPr>
            <w:tcW w:w="48" w:type="pct"/>
            <w:vAlign w:val="bottom"/>
          </w:tcPr>
          <w:p w14:paraId="46EF753B" w14:textId="77777777" w:rsidR="006A1C72" w:rsidRPr="007202C3" w:rsidRDefault="006A1C72" w:rsidP="00E66765">
            <w:pPr>
              <w:ind w:right="57"/>
              <w:jc w:val="right"/>
              <w:rPr>
                <w:sz w:val="14"/>
                <w:szCs w:val="14"/>
              </w:rPr>
            </w:pPr>
          </w:p>
        </w:tc>
        <w:tc>
          <w:tcPr>
            <w:tcW w:w="523" w:type="pct"/>
            <w:vAlign w:val="bottom"/>
          </w:tcPr>
          <w:p w14:paraId="6B713A83" w14:textId="77777777" w:rsidR="006A1C72" w:rsidRPr="007202C3" w:rsidRDefault="006A1C72" w:rsidP="00E66765">
            <w:pPr>
              <w:ind w:right="28"/>
              <w:jc w:val="right"/>
              <w:rPr>
                <w:sz w:val="14"/>
                <w:szCs w:val="14"/>
              </w:rPr>
            </w:pPr>
          </w:p>
        </w:tc>
        <w:tc>
          <w:tcPr>
            <w:tcW w:w="48" w:type="pct"/>
            <w:vAlign w:val="bottom"/>
          </w:tcPr>
          <w:p w14:paraId="71DEAADF" w14:textId="77777777" w:rsidR="006A1C72" w:rsidRPr="007202C3" w:rsidRDefault="006A1C72" w:rsidP="00E66765">
            <w:pPr>
              <w:ind w:right="57"/>
              <w:jc w:val="right"/>
              <w:rPr>
                <w:sz w:val="14"/>
                <w:szCs w:val="14"/>
              </w:rPr>
            </w:pPr>
          </w:p>
        </w:tc>
        <w:tc>
          <w:tcPr>
            <w:tcW w:w="571" w:type="pct"/>
            <w:vAlign w:val="bottom"/>
          </w:tcPr>
          <w:p w14:paraId="37D7EE4F" w14:textId="77777777" w:rsidR="006A1C72" w:rsidRPr="007202C3" w:rsidRDefault="006A1C72" w:rsidP="00E66765">
            <w:pPr>
              <w:ind w:right="28"/>
              <w:jc w:val="right"/>
              <w:rPr>
                <w:sz w:val="14"/>
                <w:szCs w:val="14"/>
              </w:rPr>
            </w:pPr>
          </w:p>
        </w:tc>
        <w:tc>
          <w:tcPr>
            <w:tcW w:w="48" w:type="pct"/>
            <w:vAlign w:val="bottom"/>
          </w:tcPr>
          <w:p w14:paraId="71DE1168" w14:textId="77777777" w:rsidR="006A1C72" w:rsidRPr="007202C3" w:rsidRDefault="006A1C72" w:rsidP="00E66765">
            <w:pPr>
              <w:ind w:left="-67" w:right="1"/>
              <w:jc w:val="right"/>
              <w:rPr>
                <w:sz w:val="14"/>
                <w:szCs w:val="14"/>
              </w:rPr>
            </w:pPr>
          </w:p>
        </w:tc>
        <w:tc>
          <w:tcPr>
            <w:tcW w:w="619" w:type="pct"/>
            <w:vAlign w:val="bottom"/>
          </w:tcPr>
          <w:p w14:paraId="6F4EBDBC" w14:textId="77777777" w:rsidR="006A1C72" w:rsidRPr="007202C3" w:rsidRDefault="006A1C72" w:rsidP="00E66765">
            <w:pPr>
              <w:ind w:right="28"/>
              <w:jc w:val="right"/>
              <w:rPr>
                <w:sz w:val="14"/>
                <w:szCs w:val="14"/>
              </w:rPr>
            </w:pPr>
          </w:p>
        </w:tc>
      </w:tr>
      <w:tr w:rsidR="00F32CF6" w:rsidRPr="00A528B6" w14:paraId="4BD7E7D5" w14:textId="77777777" w:rsidTr="00A8560C">
        <w:trPr>
          <w:cantSplit/>
          <w:trHeight w:val="70"/>
        </w:trPr>
        <w:tc>
          <w:tcPr>
            <w:tcW w:w="645" w:type="pct"/>
            <w:vAlign w:val="bottom"/>
          </w:tcPr>
          <w:p w14:paraId="1F659C56" w14:textId="2BA87973" w:rsidR="00F32CF6" w:rsidRPr="007202C3" w:rsidRDefault="00F32CF6" w:rsidP="00F32CF6">
            <w:pPr>
              <w:ind w:left="283" w:hanging="170"/>
              <w:rPr>
                <w:b/>
                <w:sz w:val="14"/>
                <w:szCs w:val="14"/>
              </w:rPr>
            </w:pPr>
            <w:r w:rsidRPr="007202C3">
              <w:rPr>
                <w:b/>
                <w:sz w:val="14"/>
                <w:szCs w:val="14"/>
              </w:rPr>
              <w:t>Saldo 31 Desember 2019/</w:t>
            </w:r>
          </w:p>
          <w:p w14:paraId="182B4618" w14:textId="57645E98" w:rsidR="00F32CF6" w:rsidRPr="007202C3" w:rsidRDefault="00C92587" w:rsidP="00F32CF6">
            <w:pPr>
              <w:ind w:left="283" w:hanging="170"/>
              <w:rPr>
                <w:b/>
                <w:sz w:val="14"/>
                <w:szCs w:val="14"/>
              </w:rPr>
            </w:pPr>
            <w:r>
              <w:rPr>
                <w:b/>
                <w:i/>
                <w:sz w:val="14"/>
                <w:szCs w:val="14"/>
              </w:rPr>
              <w:t>Balance as of December 31,</w:t>
            </w:r>
            <w:r w:rsidR="00F32CF6" w:rsidRPr="007202C3">
              <w:rPr>
                <w:b/>
                <w:i/>
                <w:sz w:val="14"/>
                <w:szCs w:val="14"/>
              </w:rPr>
              <w:t xml:space="preserve"> 2019</w:t>
            </w:r>
          </w:p>
        </w:tc>
        <w:tc>
          <w:tcPr>
            <w:tcW w:w="70" w:type="pct"/>
          </w:tcPr>
          <w:p w14:paraId="01B6646D" w14:textId="77777777" w:rsidR="00F32CF6" w:rsidRPr="007202C3" w:rsidRDefault="00F32CF6" w:rsidP="00F32CF6">
            <w:pPr>
              <w:ind w:right="57"/>
              <w:jc w:val="right"/>
              <w:rPr>
                <w:b/>
                <w:sz w:val="14"/>
                <w:szCs w:val="14"/>
              </w:rPr>
            </w:pPr>
          </w:p>
        </w:tc>
        <w:tc>
          <w:tcPr>
            <w:tcW w:w="381" w:type="pct"/>
            <w:shd w:val="clear" w:color="auto" w:fill="auto"/>
            <w:vAlign w:val="bottom"/>
          </w:tcPr>
          <w:p w14:paraId="4D376251" w14:textId="0D4BBECC" w:rsidR="00F32CF6" w:rsidRPr="007202C3" w:rsidRDefault="00F32CF6" w:rsidP="00F32CF6">
            <w:pPr>
              <w:ind w:right="28"/>
              <w:jc w:val="right"/>
              <w:rPr>
                <w:b/>
                <w:sz w:val="14"/>
                <w:szCs w:val="14"/>
              </w:rPr>
            </w:pPr>
            <w:r w:rsidRPr="007202C3">
              <w:rPr>
                <w:b/>
                <w:sz w:val="14"/>
                <w:szCs w:val="14"/>
              </w:rPr>
              <w:t>1.200.070.544.500</w:t>
            </w:r>
          </w:p>
        </w:tc>
        <w:tc>
          <w:tcPr>
            <w:tcW w:w="47" w:type="pct"/>
            <w:shd w:val="clear" w:color="auto" w:fill="auto"/>
            <w:vAlign w:val="bottom"/>
          </w:tcPr>
          <w:p w14:paraId="60C3AA86" w14:textId="77777777" w:rsidR="00F32CF6" w:rsidRPr="007202C3" w:rsidRDefault="00F32CF6" w:rsidP="00F32CF6">
            <w:pPr>
              <w:ind w:right="57"/>
              <w:jc w:val="right"/>
              <w:rPr>
                <w:b/>
                <w:sz w:val="14"/>
                <w:szCs w:val="14"/>
              </w:rPr>
            </w:pPr>
          </w:p>
        </w:tc>
        <w:tc>
          <w:tcPr>
            <w:tcW w:w="381" w:type="pct"/>
            <w:shd w:val="clear" w:color="auto" w:fill="auto"/>
            <w:vAlign w:val="bottom"/>
          </w:tcPr>
          <w:p w14:paraId="4D71B324" w14:textId="05363B64" w:rsidR="00F32CF6" w:rsidRPr="007202C3" w:rsidRDefault="00F32CF6" w:rsidP="00F32CF6">
            <w:pPr>
              <w:ind w:right="28"/>
              <w:jc w:val="right"/>
              <w:rPr>
                <w:b/>
                <w:sz w:val="14"/>
                <w:szCs w:val="14"/>
              </w:rPr>
            </w:pPr>
            <w:r w:rsidRPr="007202C3">
              <w:rPr>
                <w:b/>
                <w:sz w:val="14"/>
                <w:szCs w:val="14"/>
              </w:rPr>
              <w:t>1.124.816.856.453</w:t>
            </w:r>
          </w:p>
        </w:tc>
        <w:tc>
          <w:tcPr>
            <w:tcW w:w="48" w:type="pct"/>
            <w:shd w:val="clear" w:color="auto" w:fill="auto"/>
            <w:vAlign w:val="bottom"/>
          </w:tcPr>
          <w:p w14:paraId="1DF24B77" w14:textId="77777777" w:rsidR="00F32CF6" w:rsidRPr="007202C3" w:rsidRDefault="00F32CF6" w:rsidP="00F32CF6">
            <w:pPr>
              <w:ind w:right="57"/>
              <w:jc w:val="right"/>
              <w:rPr>
                <w:b/>
                <w:sz w:val="14"/>
                <w:szCs w:val="14"/>
              </w:rPr>
            </w:pPr>
          </w:p>
        </w:tc>
        <w:tc>
          <w:tcPr>
            <w:tcW w:w="428" w:type="pct"/>
            <w:shd w:val="clear" w:color="auto" w:fill="auto"/>
            <w:vAlign w:val="bottom"/>
          </w:tcPr>
          <w:p w14:paraId="640C425C" w14:textId="5A4BF7F2" w:rsidR="00F32CF6" w:rsidRPr="007202C3" w:rsidRDefault="000D64E4" w:rsidP="00F32CF6">
            <w:pPr>
              <w:ind w:right="28"/>
              <w:jc w:val="right"/>
              <w:rPr>
                <w:b/>
                <w:sz w:val="14"/>
                <w:szCs w:val="14"/>
              </w:rPr>
            </w:pPr>
            <w:r w:rsidRPr="000D64E4">
              <w:rPr>
                <w:b/>
                <w:sz w:val="14"/>
                <w:szCs w:val="14"/>
              </w:rPr>
              <w:t>24.755.499.148</w:t>
            </w:r>
          </w:p>
        </w:tc>
        <w:tc>
          <w:tcPr>
            <w:tcW w:w="48" w:type="pct"/>
            <w:shd w:val="clear" w:color="auto" w:fill="auto"/>
            <w:vAlign w:val="bottom"/>
          </w:tcPr>
          <w:p w14:paraId="3DCF709A" w14:textId="77777777" w:rsidR="00F32CF6" w:rsidRPr="007202C3" w:rsidRDefault="00F32CF6" w:rsidP="00F32CF6">
            <w:pPr>
              <w:ind w:right="57"/>
              <w:jc w:val="right"/>
              <w:rPr>
                <w:b/>
                <w:sz w:val="14"/>
                <w:szCs w:val="14"/>
              </w:rPr>
            </w:pPr>
          </w:p>
        </w:tc>
        <w:tc>
          <w:tcPr>
            <w:tcW w:w="571" w:type="pct"/>
            <w:shd w:val="clear" w:color="auto" w:fill="auto"/>
            <w:vAlign w:val="bottom"/>
          </w:tcPr>
          <w:p w14:paraId="5A1F9697" w14:textId="3AFAF975" w:rsidR="00F32CF6" w:rsidRPr="007202C3" w:rsidRDefault="00F32CF6" w:rsidP="00F32CF6">
            <w:pPr>
              <w:ind w:right="28"/>
              <w:jc w:val="right"/>
              <w:rPr>
                <w:b/>
                <w:sz w:val="14"/>
                <w:szCs w:val="14"/>
              </w:rPr>
            </w:pPr>
            <w:r w:rsidRPr="007202C3">
              <w:rPr>
                <w:b/>
                <w:sz w:val="14"/>
                <w:szCs w:val="14"/>
              </w:rPr>
              <w:t>2.000.000.000</w:t>
            </w:r>
          </w:p>
        </w:tc>
        <w:tc>
          <w:tcPr>
            <w:tcW w:w="48" w:type="pct"/>
            <w:shd w:val="clear" w:color="auto" w:fill="auto"/>
            <w:vAlign w:val="bottom"/>
          </w:tcPr>
          <w:p w14:paraId="08E1061C" w14:textId="77777777" w:rsidR="00F32CF6" w:rsidRPr="007202C3" w:rsidRDefault="00F32CF6" w:rsidP="00F32CF6">
            <w:pPr>
              <w:ind w:right="57"/>
              <w:jc w:val="right"/>
              <w:rPr>
                <w:b/>
                <w:sz w:val="14"/>
                <w:szCs w:val="14"/>
              </w:rPr>
            </w:pPr>
          </w:p>
        </w:tc>
        <w:tc>
          <w:tcPr>
            <w:tcW w:w="476" w:type="pct"/>
            <w:shd w:val="clear" w:color="auto" w:fill="auto"/>
            <w:vAlign w:val="bottom"/>
          </w:tcPr>
          <w:p w14:paraId="3BB41F30" w14:textId="58611ECB" w:rsidR="00F32CF6" w:rsidRPr="00A528B6" w:rsidRDefault="00F32CF6" w:rsidP="00F32CF6">
            <w:pPr>
              <w:ind w:right="28"/>
              <w:jc w:val="right"/>
              <w:rPr>
                <w:b/>
                <w:sz w:val="14"/>
                <w:szCs w:val="14"/>
              </w:rPr>
            </w:pPr>
            <w:r w:rsidRPr="00A528B6">
              <w:rPr>
                <w:b/>
                <w:sz w:val="14"/>
                <w:szCs w:val="14"/>
              </w:rPr>
              <w:t>(575.930.831.448)</w:t>
            </w:r>
          </w:p>
        </w:tc>
        <w:tc>
          <w:tcPr>
            <w:tcW w:w="48" w:type="pct"/>
            <w:shd w:val="clear" w:color="auto" w:fill="auto"/>
            <w:vAlign w:val="bottom"/>
          </w:tcPr>
          <w:p w14:paraId="081D4510" w14:textId="77777777" w:rsidR="00F32CF6" w:rsidRPr="00A528B6" w:rsidRDefault="00F32CF6" w:rsidP="00F32CF6">
            <w:pPr>
              <w:ind w:right="57"/>
              <w:jc w:val="right"/>
              <w:rPr>
                <w:b/>
                <w:sz w:val="14"/>
                <w:szCs w:val="14"/>
              </w:rPr>
            </w:pPr>
          </w:p>
        </w:tc>
        <w:tc>
          <w:tcPr>
            <w:tcW w:w="523" w:type="pct"/>
            <w:shd w:val="clear" w:color="auto" w:fill="auto"/>
            <w:vAlign w:val="bottom"/>
          </w:tcPr>
          <w:p w14:paraId="65EF3B5F" w14:textId="5FC20830" w:rsidR="00F32CF6" w:rsidRPr="00A528B6" w:rsidRDefault="00F32CF6" w:rsidP="00F32CF6">
            <w:pPr>
              <w:ind w:right="28"/>
              <w:jc w:val="right"/>
              <w:rPr>
                <w:b/>
                <w:sz w:val="14"/>
                <w:szCs w:val="14"/>
              </w:rPr>
            </w:pPr>
            <w:r w:rsidRPr="00A528B6">
              <w:rPr>
                <w:b/>
                <w:sz w:val="14"/>
                <w:szCs w:val="14"/>
              </w:rPr>
              <w:t>1.775.712.068.653</w:t>
            </w:r>
          </w:p>
        </w:tc>
        <w:tc>
          <w:tcPr>
            <w:tcW w:w="48" w:type="pct"/>
            <w:shd w:val="clear" w:color="auto" w:fill="auto"/>
            <w:vAlign w:val="bottom"/>
          </w:tcPr>
          <w:p w14:paraId="25C58D12" w14:textId="77777777" w:rsidR="00F32CF6" w:rsidRPr="00A528B6" w:rsidRDefault="00F32CF6" w:rsidP="00F32CF6">
            <w:pPr>
              <w:ind w:right="57"/>
              <w:jc w:val="right"/>
              <w:rPr>
                <w:b/>
                <w:sz w:val="14"/>
                <w:szCs w:val="14"/>
              </w:rPr>
            </w:pPr>
          </w:p>
        </w:tc>
        <w:tc>
          <w:tcPr>
            <w:tcW w:w="571" w:type="pct"/>
            <w:shd w:val="clear" w:color="auto" w:fill="auto"/>
            <w:vAlign w:val="bottom"/>
          </w:tcPr>
          <w:p w14:paraId="58196B3E" w14:textId="553B7A31" w:rsidR="00F32CF6" w:rsidRPr="00A528B6" w:rsidRDefault="00F32CF6" w:rsidP="00F32CF6">
            <w:pPr>
              <w:ind w:right="28"/>
              <w:jc w:val="right"/>
              <w:rPr>
                <w:b/>
                <w:sz w:val="14"/>
                <w:szCs w:val="14"/>
              </w:rPr>
            </w:pPr>
            <w:r w:rsidRPr="00A528B6">
              <w:rPr>
                <w:b/>
                <w:sz w:val="14"/>
                <w:szCs w:val="14"/>
              </w:rPr>
              <w:t>913.032.909</w:t>
            </w:r>
          </w:p>
        </w:tc>
        <w:tc>
          <w:tcPr>
            <w:tcW w:w="48" w:type="pct"/>
            <w:shd w:val="clear" w:color="auto" w:fill="auto"/>
            <w:vAlign w:val="bottom"/>
          </w:tcPr>
          <w:p w14:paraId="62340A41" w14:textId="77777777" w:rsidR="00F32CF6" w:rsidRPr="00A528B6" w:rsidRDefault="00F32CF6" w:rsidP="00F32CF6">
            <w:pPr>
              <w:ind w:left="-67" w:right="1"/>
              <w:jc w:val="right"/>
              <w:rPr>
                <w:b/>
                <w:sz w:val="14"/>
                <w:szCs w:val="14"/>
              </w:rPr>
            </w:pPr>
          </w:p>
        </w:tc>
        <w:tc>
          <w:tcPr>
            <w:tcW w:w="619" w:type="pct"/>
            <w:shd w:val="clear" w:color="auto" w:fill="auto"/>
            <w:vAlign w:val="bottom"/>
          </w:tcPr>
          <w:p w14:paraId="017A4C90" w14:textId="4E8579B8" w:rsidR="00F32CF6" w:rsidRPr="00A528B6" w:rsidRDefault="00F32CF6" w:rsidP="00F32CF6">
            <w:pPr>
              <w:ind w:right="28"/>
              <w:jc w:val="right"/>
              <w:rPr>
                <w:b/>
                <w:sz w:val="14"/>
                <w:szCs w:val="14"/>
              </w:rPr>
            </w:pPr>
            <w:r w:rsidRPr="00A528B6">
              <w:rPr>
                <w:b/>
                <w:sz w:val="14"/>
                <w:szCs w:val="14"/>
              </w:rPr>
              <w:t>1.776.625.101.562</w:t>
            </w:r>
          </w:p>
        </w:tc>
      </w:tr>
      <w:tr w:rsidR="00AD79B5" w:rsidRPr="00A528B6" w14:paraId="14ECBFBC" w14:textId="77777777" w:rsidTr="00555083">
        <w:trPr>
          <w:cantSplit/>
          <w:trHeight w:val="70"/>
        </w:trPr>
        <w:tc>
          <w:tcPr>
            <w:tcW w:w="645" w:type="pct"/>
            <w:vAlign w:val="bottom"/>
          </w:tcPr>
          <w:p w14:paraId="102730E0" w14:textId="77777777" w:rsidR="00AD79B5" w:rsidRPr="007202C3" w:rsidRDefault="00AD79B5" w:rsidP="00E66765">
            <w:pPr>
              <w:ind w:left="283" w:hanging="170"/>
              <w:rPr>
                <w:b/>
                <w:sz w:val="14"/>
                <w:szCs w:val="14"/>
              </w:rPr>
            </w:pPr>
          </w:p>
        </w:tc>
        <w:tc>
          <w:tcPr>
            <w:tcW w:w="70" w:type="pct"/>
          </w:tcPr>
          <w:p w14:paraId="4A8AC46F" w14:textId="77777777" w:rsidR="00AD79B5" w:rsidRPr="007202C3" w:rsidRDefault="00AD79B5" w:rsidP="00E66765">
            <w:pPr>
              <w:ind w:right="57"/>
              <w:jc w:val="right"/>
              <w:rPr>
                <w:b/>
                <w:sz w:val="14"/>
                <w:szCs w:val="14"/>
              </w:rPr>
            </w:pPr>
          </w:p>
        </w:tc>
        <w:tc>
          <w:tcPr>
            <w:tcW w:w="381" w:type="pct"/>
            <w:shd w:val="clear" w:color="auto" w:fill="auto"/>
            <w:vAlign w:val="bottom"/>
          </w:tcPr>
          <w:p w14:paraId="489EC5F8" w14:textId="77777777" w:rsidR="00AD79B5" w:rsidRPr="007202C3" w:rsidRDefault="00AD79B5" w:rsidP="00E66765">
            <w:pPr>
              <w:ind w:right="28"/>
              <w:jc w:val="right"/>
              <w:rPr>
                <w:b/>
                <w:sz w:val="14"/>
                <w:szCs w:val="14"/>
              </w:rPr>
            </w:pPr>
          </w:p>
        </w:tc>
        <w:tc>
          <w:tcPr>
            <w:tcW w:w="47" w:type="pct"/>
            <w:shd w:val="clear" w:color="auto" w:fill="auto"/>
            <w:vAlign w:val="bottom"/>
          </w:tcPr>
          <w:p w14:paraId="0E1D874D" w14:textId="77777777" w:rsidR="00AD79B5" w:rsidRPr="007202C3" w:rsidRDefault="00AD79B5" w:rsidP="00E66765">
            <w:pPr>
              <w:ind w:right="57"/>
              <w:jc w:val="right"/>
              <w:rPr>
                <w:b/>
                <w:sz w:val="14"/>
                <w:szCs w:val="14"/>
              </w:rPr>
            </w:pPr>
          </w:p>
        </w:tc>
        <w:tc>
          <w:tcPr>
            <w:tcW w:w="381" w:type="pct"/>
            <w:shd w:val="clear" w:color="auto" w:fill="auto"/>
            <w:vAlign w:val="bottom"/>
          </w:tcPr>
          <w:p w14:paraId="1DDC3E09" w14:textId="77777777" w:rsidR="00AD79B5" w:rsidRPr="007202C3" w:rsidRDefault="00AD79B5" w:rsidP="00E66765">
            <w:pPr>
              <w:ind w:right="28"/>
              <w:jc w:val="right"/>
              <w:rPr>
                <w:b/>
                <w:sz w:val="14"/>
                <w:szCs w:val="14"/>
              </w:rPr>
            </w:pPr>
          </w:p>
        </w:tc>
        <w:tc>
          <w:tcPr>
            <w:tcW w:w="48" w:type="pct"/>
            <w:shd w:val="clear" w:color="auto" w:fill="auto"/>
            <w:vAlign w:val="bottom"/>
          </w:tcPr>
          <w:p w14:paraId="2544A76D" w14:textId="77777777" w:rsidR="00AD79B5" w:rsidRPr="007202C3" w:rsidRDefault="00AD79B5" w:rsidP="00E66765">
            <w:pPr>
              <w:ind w:right="57"/>
              <w:jc w:val="right"/>
              <w:rPr>
                <w:b/>
                <w:sz w:val="14"/>
                <w:szCs w:val="14"/>
              </w:rPr>
            </w:pPr>
          </w:p>
        </w:tc>
        <w:tc>
          <w:tcPr>
            <w:tcW w:w="428" w:type="pct"/>
            <w:shd w:val="clear" w:color="auto" w:fill="auto"/>
            <w:vAlign w:val="bottom"/>
          </w:tcPr>
          <w:p w14:paraId="55D7D75D" w14:textId="77777777" w:rsidR="00AD79B5" w:rsidRPr="007202C3" w:rsidRDefault="00AD79B5" w:rsidP="00E66765">
            <w:pPr>
              <w:ind w:right="28"/>
              <w:jc w:val="right"/>
              <w:rPr>
                <w:b/>
                <w:sz w:val="14"/>
                <w:szCs w:val="14"/>
              </w:rPr>
            </w:pPr>
          </w:p>
        </w:tc>
        <w:tc>
          <w:tcPr>
            <w:tcW w:w="48" w:type="pct"/>
            <w:shd w:val="clear" w:color="auto" w:fill="auto"/>
            <w:vAlign w:val="bottom"/>
          </w:tcPr>
          <w:p w14:paraId="546DF1A9" w14:textId="77777777" w:rsidR="00AD79B5" w:rsidRPr="007202C3" w:rsidRDefault="00AD79B5" w:rsidP="00E66765">
            <w:pPr>
              <w:ind w:right="57"/>
              <w:jc w:val="right"/>
              <w:rPr>
                <w:b/>
                <w:sz w:val="14"/>
                <w:szCs w:val="14"/>
              </w:rPr>
            </w:pPr>
          </w:p>
        </w:tc>
        <w:tc>
          <w:tcPr>
            <w:tcW w:w="571" w:type="pct"/>
            <w:shd w:val="clear" w:color="auto" w:fill="auto"/>
            <w:vAlign w:val="bottom"/>
          </w:tcPr>
          <w:p w14:paraId="18DCC94C" w14:textId="77777777" w:rsidR="00AD79B5" w:rsidRPr="007202C3" w:rsidRDefault="00AD79B5" w:rsidP="00E66765">
            <w:pPr>
              <w:ind w:right="28"/>
              <w:jc w:val="right"/>
              <w:rPr>
                <w:b/>
                <w:sz w:val="14"/>
                <w:szCs w:val="14"/>
              </w:rPr>
            </w:pPr>
          </w:p>
        </w:tc>
        <w:tc>
          <w:tcPr>
            <w:tcW w:w="48" w:type="pct"/>
            <w:shd w:val="clear" w:color="auto" w:fill="auto"/>
            <w:vAlign w:val="bottom"/>
          </w:tcPr>
          <w:p w14:paraId="69232779" w14:textId="77777777" w:rsidR="00AD79B5" w:rsidRPr="007202C3" w:rsidRDefault="00AD79B5" w:rsidP="00E66765">
            <w:pPr>
              <w:ind w:right="57"/>
              <w:jc w:val="right"/>
              <w:rPr>
                <w:b/>
                <w:sz w:val="14"/>
                <w:szCs w:val="14"/>
              </w:rPr>
            </w:pPr>
          </w:p>
        </w:tc>
        <w:tc>
          <w:tcPr>
            <w:tcW w:w="476" w:type="pct"/>
            <w:shd w:val="clear" w:color="auto" w:fill="auto"/>
            <w:vAlign w:val="bottom"/>
          </w:tcPr>
          <w:p w14:paraId="04AE3603" w14:textId="77777777" w:rsidR="00AD79B5" w:rsidRPr="00A528B6" w:rsidRDefault="00AD79B5" w:rsidP="00E66765">
            <w:pPr>
              <w:ind w:right="28"/>
              <w:jc w:val="right"/>
              <w:rPr>
                <w:b/>
                <w:sz w:val="14"/>
                <w:szCs w:val="14"/>
              </w:rPr>
            </w:pPr>
          </w:p>
        </w:tc>
        <w:tc>
          <w:tcPr>
            <w:tcW w:w="48" w:type="pct"/>
            <w:shd w:val="clear" w:color="auto" w:fill="auto"/>
            <w:vAlign w:val="bottom"/>
          </w:tcPr>
          <w:p w14:paraId="2A5AB788" w14:textId="77777777" w:rsidR="00AD79B5" w:rsidRPr="00A528B6" w:rsidRDefault="00AD79B5" w:rsidP="00E66765">
            <w:pPr>
              <w:ind w:right="57"/>
              <w:jc w:val="right"/>
              <w:rPr>
                <w:b/>
                <w:sz w:val="14"/>
                <w:szCs w:val="14"/>
              </w:rPr>
            </w:pPr>
          </w:p>
        </w:tc>
        <w:tc>
          <w:tcPr>
            <w:tcW w:w="523" w:type="pct"/>
            <w:shd w:val="clear" w:color="auto" w:fill="auto"/>
            <w:vAlign w:val="bottom"/>
          </w:tcPr>
          <w:p w14:paraId="753F96D9" w14:textId="77777777" w:rsidR="00AD79B5" w:rsidRPr="00A528B6" w:rsidRDefault="00AD79B5" w:rsidP="00E66765">
            <w:pPr>
              <w:ind w:right="28"/>
              <w:jc w:val="right"/>
              <w:rPr>
                <w:b/>
                <w:sz w:val="14"/>
                <w:szCs w:val="14"/>
              </w:rPr>
            </w:pPr>
          </w:p>
        </w:tc>
        <w:tc>
          <w:tcPr>
            <w:tcW w:w="48" w:type="pct"/>
            <w:shd w:val="clear" w:color="auto" w:fill="auto"/>
            <w:vAlign w:val="bottom"/>
          </w:tcPr>
          <w:p w14:paraId="238AF6C0" w14:textId="77777777" w:rsidR="00AD79B5" w:rsidRPr="00A528B6" w:rsidRDefault="00AD79B5" w:rsidP="00E66765">
            <w:pPr>
              <w:ind w:right="57"/>
              <w:jc w:val="right"/>
              <w:rPr>
                <w:b/>
                <w:sz w:val="14"/>
                <w:szCs w:val="14"/>
              </w:rPr>
            </w:pPr>
          </w:p>
        </w:tc>
        <w:tc>
          <w:tcPr>
            <w:tcW w:w="571" w:type="pct"/>
            <w:shd w:val="clear" w:color="auto" w:fill="auto"/>
            <w:vAlign w:val="bottom"/>
          </w:tcPr>
          <w:p w14:paraId="2528D73A" w14:textId="77777777" w:rsidR="00AD79B5" w:rsidRPr="00A528B6" w:rsidRDefault="00AD79B5" w:rsidP="00E66765">
            <w:pPr>
              <w:ind w:right="28"/>
              <w:jc w:val="right"/>
              <w:rPr>
                <w:b/>
                <w:sz w:val="14"/>
                <w:szCs w:val="14"/>
              </w:rPr>
            </w:pPr>
          </w:p>
        </w:tc>
        <w:tc>
          <w:tcPr>
            <w:tcW w:w="48" w:type="pct"/>
            <w:shd w:val="clear" w:color="auto" w:fill="auto"/>
            <w:vAlign w:val="bottom"/>
          </w:tcPr>
          <w:p w14:paraId="2AD59DBE" w14:textId="77777777" w:rsidR="00AD79B5" w:rsidRPr="00A528B6" w:rsidRDefault="00AD79B5" w:rsidP="00E66765">
            <w:pPr>
              <w:ind w:left="-67" w:right="1"/>
              <w:jc w:val="right"/>
              <w:rPr>
                <w:b/>
                <w:sz w:val="14"/>
                <w:szCs w:val="14"/>
              </w:rPr>
            </w:pPr>
          </w:p>
        </w:tc>
        <w:tc>
          <w:tcPr>
            <w:tcW w:w="619" w:type="pct"/>
            <w:shd w:val="clear" w:color="auto" w:fill="auto"/>
            <w:vAlign w:val="bottom"/>
          </w:tcPr>
          <w:p w14:paraId="60115B69" w14:textId="77777777" w:rsidR="00AD79B5" w:rsidRPr="00A528B6" w:rsidRDefault="00AD79B5" w:rsidP="00E66765">
            <w:pPr>
              <w:ind w:right="28"/>
              <w:jc w:val="right"/>
              <w:rPr>
                <w:b/>
                <w:sz w:val="14"/>
                <w:szCs w:val="14"/>
              </w:rPr>
            </w:pPr>
          </w:p>
        </w:tc>
      </w:tr>
      <w:tr w:rsidR="00367BD3" w:rsidRPr="00A528B6" w14:paraId="1F48CE46" w14:textId="77777777" w:rsidTr="00555083">
        <w:trPr>
          <w:cantSplit/>
          <w:trHeight w:val="70"/>
        </w:trPr>
        <w:tc>
          <w:tcPr>
            <w:tcW w:w="645" w:type="pct"/>
          </w:tcPr>
          <w:p w14:paraId="75E4DFCF" w14:textId="1A8A2ED7" w:rsidR="00367BD3" w:rsidRPr="007202C3" w:rsidRDefault="00367BD3" w:rsidP="00367BD3">
            <w:pPr>
              <w:ind w:left="283" w:hanging="170"/>
              <w:rPr>
                <w:b/>
                <w:sz w:val="14"/>
                <w:szCs w:val="14"/>
              </w:rPr>
            </w:pPr>
            <w:r>
              <w:rPr>
                <w:sz w:val="14"/>
                <w:szCs w:val="14"/>
              </w:rPr>
              <w:t xml:space="preserve">Rugi Komprehensif Periode Berjalan/ </w:t>
            </w:r>
            <w:r w:rsidRPr="00015C51">
              <w:rPr>
                <w:i/>
                <w:sz w:val="14"/>
                <w:szCs w:val="14"/>
              </w:rPr>
              <w:t>Comprehensive loss</w:t>
            </w:r>
            <w:r>
              <w:rPr>
                <w:i/>
                <w:sz w:val="14"/>
                <w:szCs w:val="14"/>
              </w:rPr>
              <w:t xml:space="preserve"> </w:t>
            </w:r>
            <w:r w:rsidRPr="00015C51">
              <w:rPr>
                <w:i/>
                <w:sz w:val="14"/>
                <w:szCs w:val="14"/>
              </w:rPr>
              <w:t>for the Period</w:t>
            </w:r>
          </w:p>
        </w:tc>
        <w:tc>
          <w:tcPr>
            <w:tcW w:w="70" w:type="pct"/>
          </w:tcPr>
          <w:p w14:paraId="686AF54B" w14:textId="77777777" w:rsidR="00367BD3" w:rsidRPr="007202C3" w:rsidRDefault="00367BD3" w:rsidP="00367BD3">
            <w:pPr>
              <w:ind w:right="57"/>
              <w:jc w:val="right"/>
              <w:rPr>
                <w:b/>
                <w:sz w:val="14"/>
                <w:szCs w:val="14"/>
              </w:rPr>
            </w:pPr>
          </w:p>
        </w:tc>
        <w:tc>
          <w:tcPr>
            <w:tcW w:w="381" w:type="pct"/>
            <w:tcBorders>
              <w:bottom w:val="single" w:sz="4" w:space="0" w:color="auto"/>
            </w:tcBorders>
            <w:shd w:val="clear" w:color="auto" w:fill="auto"/>
            <w:vAlign w:val="bottom"/>
          </w:tcPr>
          <w:p w14:paraId="6A512A11" w14:textId="4233C074" w:rsidR="00367BD3" w:rsidRPr="007202C3" w:rsidRDefault="00367BD3" w:rsidP="00367BD3">
            <w:pPr>
              <w:ind w:right="28"/>
              <w:jc w:val="right"/>
              <w:rPr>
                <w:b/>
                <w:sz w:val="14"/>
                <w:szCs w:val="14"/>
              </w:rPr>
            </w:pPr>
            <w:r>
              <w:rPr>
                <w:sz w:val="14"/>
                <w:szCs w:val="14"/>
              </w:rPr>
              <w:t>-</w:t>
            </w:r>
          </w:p>
        </w:tc>
        <w:tc>
          <w:tcPr>
            <w:tcW w:w="47" w:type="pct"/>
            <w:shd w:val="clear" w:color="auto" w:fill="auto"/>
            <w:vAlign w:val="bottom"/>
          </w:tcPr>
          <w:p w14:paraId="46C7B6A0" w14:textId="77777777" w:rsidR="00367BD3" w:rsidRPr="007202C3" w:rsidRDefault="00367BD3" w:rsidP="00367BD3">
            <w:pPr>
              <w:ind w:right="57"/>
              <w:jc w:val="right"/>
              <w:rPr>
                <w:b/>
                <w:sz w:val="14"/>
                <w:szCs w:val="14"/>
              </w:rPr>
            </w:pPr>
          </w:p>
        </w:tc>
        <w:tc>
          <w:tcPr>
            <w:tcW w:w="381" w:type="pct"/>
            <w:tcBorders>
              <w:bottom w:val="single" w:sz="4" w:space="0" w:color="auto"/>
            </w:tcBorders>
            <w:shd w:val="clear" w:color="auto" w:fill="auto"/>
            <w:vAlign w:val="bottom"/>
          </w:tcPr>
          <w:p w14:paraId="76B5F9E7" w14:textId="566AED84" w:rsidR="00367BD3" w:rsidRPr="007202C3" w:rsidRDefault="00367BD3" w:rsidP="00367BD3">
            <w:pPr>
              <w:ind w:right="28"/>
              <w:jc w:val="right"/>
              <w:rPr>
                <w:b/>
                <w:sz w:val="14"/>
                <w:szCs w:val="14"/>
              </w:rPr>
            </w:pPr>
            <w:r>
              <w:rPr>
                <w:sz w:val="14"/>
                <w:szCs w:val="14"/>
              </w:rPr>
              <w:t>-</w:t>
            </w:r>
          </w:p>
        </w:tc>
        <w:tc>
          <w:tcPr>
            <w:tcW w:w="48" w:type="pct"/>
            <w:shd w:val="clear" w:color="auto" w:fill="auto"/>
            <w:vAlign w:val="bottom"/>
          </w:tcPr>
          <w:p w14:paraId="3E4114B2" w14:textId="77777777" w:rsidR="00367BD3" w:rsidRPr="007202C3" w:rsidRDefault="00367BD3" w:rsidP="00367BD3">
            <w:pPr>
              <w:ind w:right="57"/>
              <w:jc w:val="right"/>
              <w:rPr>
                <w:b/>
                <w:sz w:val="14"/>
                <w:szCs w:val="14"/>
              </w:rPr>
            </w:pPr>
          </w:p>
        </w:tc>
        <w:tc>
          <w:tcPr>
            <w:tcW w:w="428" w:type="pct"/>
            <w:tcBorders>
              <w:bottom w:val="single" w:sz="4" w:space="0" w:color="auto"/>
            </w:tcBorders>
            <w:shd w:val="clear" w:color="auto" w:fill="auto"/>
            <w:vAlign w:val="bottom"/>
          </w:tcPr>
          <w:p w14:paraId="61C3BB37" w14:textId="4D967FD3" w:rsidR="00367BD3" w:rsidRPr="00AE4BB6" w:rsidRDefault="00525342" w:rsidP="000E6DD9">
            <w:pPr>
              <w:ind w:right="28"/>
              <w:jc w:val="right"/>
              <w:rPr>
                <w:sz w:val="14"/>
                <w:szCs w:val="14"/>
              </w:rPr>
            </w:pPr>
            <w:r>
              <w:rPr>
                <w:sz w:val="14"/>
                <w:szCs w:val="14"/>
              </w:rPr>
              <w:t>(</w:t>
            </w:r>
            <w:r>
              <w:rPr>
                <w:sz w:val="14"/>
                <w:szCs w:val="14"/>
                <w:lang w:val="id-ID"/>
              </w:rPr>
              <w:t>235</w:t>
            </w:r>
            <w:r>
              <w:rPr>
                <w:sz w:val="14"/>
                <w:szCs w:val="14"/>
              </w:rPr>
              <w:t>.</w:t>
            </w:r>
            <w:r>
              <w:rPr>
                <w:sz w:val="14"/>
                <w:szCs w:val="14"/>
                <w:lang w:val="id-ID"/>
              </w:rPr>
              <w:t>03</w:t>
            </w:r>
            <w:r>
              <w:rPr>
                <w:sz w:val="14"/>
                <w:szCs w:val="14"/>
              </w:rPr>
              <w:t>7.</w:t>
            </w:r>
            <w:r>
              <w:rPr>
                <w:sz w:val="14"/>
                <w:szCs w:val="14"/>
                <w:lang w:val="id-ID"/>
              </w:rPr>
              <w:t>546</w:t>
            </w:r>
            <w:r w:rsidR="002B6559" w:rsidRPr="00AE4BB6">
              <w:rPr>
                <w:sz w:val="14"/>
                <w:szCs w:val="14"/>
              </w:rPr>
              <w:t>)</w:t>
            </w:r>
          </w:p>
        </w:tc>
        <w:tc>
          <w:tcPr>
            <w:tcW w:w="48" w:type="pct"/>
            <w:shd w:val="clear" w:color="auto" w:fill="auto"/>
            <w:vAlign w:val="bottom"/>
          </w:tcPr>
          <w:p w14:paraId="2CF222EB" w14:textId="77777777" w:rsidR="00367BD3" w:rsidRPr="00AE4BB6" w:rsidRDefault="00367BD3" w:rsidP="00367BD3">
            <w:pPr>
              <w:ind w:right="57"/>
              <w:jc w:val="right"/>
              <w:rPr>
                <w:b/>
                <w:sz w:val="14"/>
                <w:szCs w:val="14"/>
              </w:rPr>
            </w:pPr>
          </w:p>
        </w:tc>
        <w:tc>
          <w:tcPr>
            <w:tcW w:w="571" w:type="pct"/>
            <w:tcBorders>
              <w:bottom w:val="single" w:sz="4" w:space="0" w:color="auto"/>
            </w:tcBorders>
            <w:shd w:val="clear" w:color="auto" w:fill="auto"/>
            <w:vAlign w:val="bottom"/>
          </w:tcPr>
          <w:p w14:paraId="60326776" w14:textId="700BDF0C" w:rsidR="00367BD3" w:rsidRPr="00AE4BB6" w:rsidRDefault="00367BD3" w:rsidP="00367BD3">
            <w:pPr>
              <w:ind w:right="28"/>
              <w:jc w:val="right"/>
              <w:rPr>
                <w:b/>
                <w:sz w:val="14"/>
                <w:szCs w:val="14"/>
              </w:rPr>
            </w:pPr>
            <w:r w:rsidRPr="00AE4BB6">
              <w:rPr>
                <w:sz w:val="14"/>
                <w:szCs w:val="14"/>
              </w:rPr>
              <w:t>-</w:t>
            </w:r>
          </w:p>
        </w:tc>
        <w:tc>
          <w:tcPr>
            <w:tcW w:w="48" w:type="pct"/>
            <w:shd w:val="clear" w:color="auto" w:fill="auto"/>
            <w:vAlign w:val="bottom"/>
          </w:tcPr>
          <w:p w14:paraId="08B80EC2" w14:textId="77777777" w:rsidR="00367BD3" w:rsidRPr="00AE4BB6" w:rsidRDefault="00367BD3" w:rsidP="00367BD3">
            <w:pPr>
              <w:ind w:right="57"/>
              <w:jc w:val="right"/>
              <w:rPr>
                <w:b/>
                <w:sz w:val="14"/>
                <w:szCs w:val="14"/>
              </w:rPr>
            </w:pPr>
          </w:p>
        </w:tc>
        <w:tc>
          <w:tcPr>
            <w:tcW w:w="476" w:type="pct"/>
            <w:tcBorders>
              <w:bottom w:val="single" w:sz="4" w:space="0" w:color="auto"/>
            </w:tcBorders>
            <w:shd w:val="clear" w:color="auto" w:fill="auto"/>
            <w:vAlign w:val="bottom"/>
          </w:tcPr>
          <w:p w14:paraId="181AE9BE" w14:textId="037CF88A" w:rsidR="00367BD3" w:rsidRPr="00A528B6" w:rsidRDefault="002B6559" w:rsidP="00C0312B">
            <w:pPr>
              <w:ind w:right="28"/>
              <w:jc w:val="right"/>
              <w:rPr>
                <w:sz w:val="14"/>
                <w:szCs w:val="14"/>
              </w:rPr>
            </w:pPr>
            <w:r w:rsidRPr="00A528B6">
              <w:rPr>
                <w:b/>
                <w:bCs w:val="0"/>
                <w:sz w:val="14"/>
                <w:szCs w:val="18"/>
              </w:rPr>
              <w:t>(</w:t>
            </w:r>
            <w:r w:rsidR="00525342" w:rsidRPr="00A528B6">
              <w:rPr>
                <w:b/>
                <w:bCs w:val="0"/>
                <w:sz w:val="14"/>
                <w:szCs w:val="18"/>
              </w:rPr>
              <w:t>9.42</w:t>
            </w:r>
            <w:r w:rsidR="00525342" w:rsidRPr="00A528B6">
              <w:rPr>
                <w:b/>
                <w:bCs w:val="0"/>
                <w:sz w:val="14"/>
                <w:szCs w:val="18"/>
                <w:lang w:val="id-ID"/>
              </w:rPr>
              <w:t>0</w:t>
            </w:r>
            <w:r w:rsidR="00525342" w:rsidRPr="00A528B6">
              <w:rPr>
                <w:b/>
                <w:bCs w:val="0"/>
                <w:sz w:val="14"/>
                <w:szCs w:val="18"/>
              </w:rPr>
              <w:t>.</w:t>
            </w:r>
            <w:r w:rsidR="00525342" w:rsidRPr="00A528B6">
              <w:rPr>
                <w:b/>
                <w:bCs w:val="0"/>
                <w:sz w:val="14"/>
                <w:szCs w:val="18"/>
                <w:lang w:val="id-ID"/>
              </w:rPr>
              <w:t>691</w:t>
            </w:r>
            <w:r w:rsidR="00525342" w:rsidRPr="00A528B6">
              <w:rPr>
                <w:b/>
                <w:bCs w:val="0"/>
                <w:sz w:val="14"/>
                <w:szCs w:val="18"/>
              </w:rPr>
              <w:t>.</w:t>
            </w:r>
            <w:r w:rsidR="00525342" w:rsidRPr="00A528B6">
              <w:rPr>
                <w:b/>
                <w:bCs w:val="0"/>
                <w:sz w:val="14"/>
                <w:szCs w:val="18"/>
                <w:lang w:val="id-ID"/>
              </w:rPr>
              <w:t>503</w:t>
            </w:r>
            <w:r w:rsidRPr="00A528B6">
              <w:rPr>
                <w:b/>
                <w:bCs w:val="0"/>
                <w:sz w:val="14"/>
                <w:szCs w:val="18"/>
              </w:rPr>
              <w:t>)</w:t>
            </w:r>
          </w:p>
        </w:tc>
        <w:tc>
          <w:tcPr>
            <w:tcW w:w="48" w:type="pct"/>
            <w:shd w:val="clear" w:color="auto" w:fill="auto"/>
            <w:vAlign w:val="bottom"/>
          </w:tcPr>
          <w:p w14:paraId="5B85D984" w14:textId="77777777" w:rsidR="00367BD3" w:rsidRPr="00A528B6" w:rsidRDefault="00367BD3" w:rsidP="00367BD3">
            <w:pPr>
              <w:ind w:right="57"/>
              <w:jc w:val="right"/>
              <w:rPr>
                <w:b/>
                <w:sz w:val="14"/>
                <w:szCs w:val="14"/>
              </w:rPr>
            </w:pPr>
          </w:p>
        </w:tc>
        <w:tc>
          <w:tcPr>
            <w:tcW w:w="523" w:type="pct"/>
            <w:tcBorders>
              <w:bottom w:val="single" w:sz="4" w:space="0" w:color="auto"/>
            </w:tcBorders>
            <w:shd w:val="clear" w:color="auto" w:fill="auto"/>
            <w:vAlign w:val="bottom"/>
          </w:tcPr>
          <w:p w14:paraId="38F67F56" w14:textId="593599D3" w:rsidR="00367BD3" w:rsidRPr="00A528B6" w:rsidRDefault="002B6559" w:rsidP="00C0312B">
            <w:pPr>
              <w:ind w:right="28"/>
              <w:jc w:val="right"/>
              <w:rPr>
                <w:b/>
                <w:sz w:val="14"/>
                <w:szCs w:val="14"/>
              </w:rPr>
            </w:pPr>
            <w:r w:rsidRPr="00A528B6">
              <w:rPr>
                <w:b/>
                <w:bCs w:val="0"/>
                <w:sz w:val="14"/>
                <w:szCs w:val="18"/>
              </w:rPr>
              <w:t>(</w:t>
            </w:r>
            <w:r w:rsidR="00525342" w:rsidRPr="00A528B6">
              <w:rPr>
                <w:b/>
                <w:bCs w:val="0"/>
                <w:sz w:val="14"/>
                <w:szCs w:val="18"/>
                <w:lang w:val="id-ID"/>
              </w:rPr>
              <w:t>9</w:t>
            </w:r>
            <w:r w:rsidR="00525342" w:rsidRPr="00A528B6">
              <w:rPr>
                <w:b/>
                <w:bCs w:val="0"/>
                <w:sz w:val="14"/>
                <w:szCs w:val="18"/>
              </w:rPr>
              <w:t>.</w:t>
            </w:r>
            <w:r w:rsidR="00525342" w:rsidRPr="00A528B6">
              <w:rPr>
                <w:b/>
                <w:bCs w:val="0"/>
                <w:sz w:val="14"/>
                <w:szCs w:val="18"/>
                <w:lang w:val="id-ID"/>
              </w:rPr>
              <w:t>655</w:t>
            </w:r>
            <w:r w:rsidR="00525342" w:rsidRPr="00A528B6">
              <w:rPr>
                <w:b/>
                <w:bCs w:val="0"/>
                <w:sz w:val="14"/>
                <w:szCs w:val="18"/>
              </w:rPr>
              <w:t>.7</w:t>
            </w:r>
            <w:r w:rsidR="00525342" w:rsidRPr="00A528B6">
              <w:rPr>
                <w:b/>
                <w:bCs w:val="0"/>
                <w:sz w:val="14"/>
                <w:szCs w:val="18"/>
                <w:lang w:val="id-ID"/>
              </w:rPr>
              <w:t>29</w:t>
            </w:r>
            <w:r w:rsidR="00525342" w:rsidRPr="00A528B6">
              <w:rPr>
                <w:b/>
                <w:bCs w:val="0"/>
                <w:sz w:val="14"/>
                <w:szCs w:val="18"/>
              </w:rPr>
              <w:t>.</w:t>
            </w:r>
            <w:r w:rsidR="00525342" w:rsidRPr="00A528B6">
              <w:rPr>
                <w:b/>
                <w:bCs w:val="0"/>
                <w:sz w:val="14"/>
                <w:szCs w:val="18"/>
                <w:lang w:val="id-ID"/>
              </w:rPr>
              <w:t>049</w:t>
            </w:r>
            <w:r w:rsidRPr="00A528B6">
              <w:rPr>
                <w:b/>
                <w:bCs w:val="0"/>
                <w:sz w:val="14"/>
                <w:szCs w:val="18"/>
              </w:rPr>
              <w:t>)</w:t>
            </w:r>
          </w:p>
        </w:tc>
        <w:tc>
          <w:tcPr>
            <w:tcW w:w="48" w:type="pct"/>
            <w:shd w:val="clear" w:color="auto" w:fill="auto"/>
            <w:vAlign w:val="bottom"/>
          </w:tcPr>
          <w:p w14:paraId="637FCCAC" w14:textId="77777777" w:rsidR="00367BD3" w:rsidRPr="00A528B6" w:rsidRDefault="00367BD3" w:rsidP="00367BD3">
            <w:pPr>
              <w:ind w:right="57"/>
              <w:jc w:val="right"/>
              <w:rPr>
                <w:b/>
                <w:sz w:val="14"/>
                <w:szCs w:val="14"/>
              </w:rPr>
            </w:pPr>
          </w:p>
        </w:tc>
        <w:tc>
          <w:tcPr>
            <w:tcW w:w="571" w:type="pct"/>
            <w:tcBorders>
              <w:bottom w:val="single" w:sz="4" w:space="0" w:color="auto"/>
            </w:tcBorders>
            <w:shd w:val="clear" w:color="auto" w:fill="auto"/>
            <w:vAlign w:val="bottom"/>
          </w:tcPr>
          <w:p w14:paraId="38DBD8CC" w14:textId="7CFEAF93" w:rsidR="00367BD3" w:rsidRPr="00A528B6" w:rsidRDefault="002B6559" w:rsidP="00BC20C0">
            <w:pPr>
              <w:ind w:right="28"/>
              <w:jc w:val="right"/>
              <w:rPr>
                <w:sz w:val="14"/>
                <w:szCs w:val="14"/>
              </w:rPr>
            </w:pPr>
            <w:r w:rsidRPr="00A528B6">
              <w:rPr>
                <w:sz w:val="14"/>
                <w:szCs w:val="18"/>
              </w:rPr>
              <w:t>(</w:t>
            </w:r>
            <w:r w:rsidR="00C0312B" w:rsidRPr="00A528B6">
              <w:rPr>
                <w:sz w:val="14"/>
                <w:szCs w:val="18"/>
              </w:rPr>
              <w:t>9.217.</w:t>
            </w:r>
            <w:r w:rsidR="00BC20C0" w:rsidRPr="00A528B6">
              <w:rPr>
                <w:sz w:val="14"/>
                <w:szCs w:val="18"/>
              </w:rPr>
              <w:t>470)</w:t>
            </w:r>
          </w:p>
        </w:tc>
        <w:tc>
          <w:tcPr>
            <w:tcW w:w="48" w:type="pct"/>
            <w:shd w:val="clear" w:color="auto" w:fill="auto"/>
            <w:vAlign w:val="bottom"/>
          </w:tcPr>
          <w:p w14:paraId="6518DCAE" w14:textId="77777777" w:rsidR="00367BD3" w:rsidRPr="00A528B6" w:rsidRDefault="00367BD3" w:rsidP="00367BD3">
            <w:pPr>
              <w:ind w:left="-67" w:right="1"/>
              <w:jc w:val="right"/>
              <w:rPr>
                <w:b/>
                <w:sz w:val="14"/>
                <w:szCs w:val="14"/>
              </w:rPr>
            </w:pPr>
          </w:p>
        </w:tc>
        <w:tc>
          <w:tcPr>
            <w:tcW w:w="619" w:type="pct"/>
            <w:tcBorders>
              <w:bottom w:val="single" w:sz="4" w:space="0" w:color="auto"/>
            </w:tcBorders>
            <w:shd w:val="clear" w:color="auto" w:fill="auto"/>
            <w:vAlign w:val="bottom"/>
          </w:tcPr>
          <w:p w14:paraId="05D6DF7F" w14:textId="0477130E" w:rsidR="00367BD3" w:rsidRPr="00A528B6" w:rsidRDefault="00525342" w:rsidP="00BC20C0">
            <w:pPr>
              <w:ind w:right="28"/>
              <w:jc w:val="right"/>
              <w:rPr>
                <w:b/>
                <w:sz w:val="14"/>
                <w:szCs w:val="14"/>
              </w:rPr>
            </w:pPr>
            <w:r w:rsidRPr="00A528B6">
              <w:rPr>
                <w:b/>
                <w:sz w:val="14"/>
                <w:szCs w:val="18"/>
              </w:rPr>
              <w:t>(</w:t>
            </w:r>
            <w:r w:rsidRPr="00A528B6">
              <w:rPr>
                <w:b/>
                <w:sz w:val="14"/>
                <w:szCs w:val="18"/>
                <w:lang w:val="id-ID"/>
              </w:rPr>
              <w:t>9</w:t>
            </w:r>
            <w:r w:rsidRPr="00A528B6">
              <w:rPr>
                <w:b/>
                <w:sz w:val="14"/>
                <w:szCs w:val="18"/>
              </w:rPr>
              <w:t>.</w:t>
            </w:r>
            <w:r w:rsidR="00C0312B" w:rsidRPr="00A528B6">
              <w:rPr>
                <w:b/>
                <w:sz w:val="14"/>
                <w:szCs w:val="18"/>
              </w:rPr>
              <w:t>6</w:t>
            </w:r>
            <w:r w:rsidRPr="00A528B6">
              <w:rPr>
                <w:b/>
                <w:sz w:val="14"/>
                <w:szCs w:val="18"/>
                <w:lang w:val="id-ID"/>
              </w:rPr>
              <w:t>64</w:t>
            </w:r>
            <w:r w:rsidRPr="00A528B6">
              <w:rPr>
                <w:b/>
                <w:sz w:val="14"/>
                <w:szCs w:val="18"/>
              </w:rPr>
              <w:t>.9</w:t>
            </w:r>
            <w:r w:rsidRPr="00A528B6">
              <w:rPr>
                <w:b/>
                <w:sz w:val="14"/>
                <w:szCs w:val="18"/>
                <w:lang w:val="id-ID"/>
              </w:rPr>
              <w:t>46</w:t>
            </w:r>
            <w:r w:rsidR="00BC20C0" w:rsidRPr="00A528B6">
              <w:rPr>
                <w:b/>
                <w:sz w:val="14"/>
                <w:szCs w:val="18"/>
              </w:rPr>
              <w:t>.5</w:t>
            </w:r>
            <w:r w:rsidRPr="00A528B6">
              <w:rPr>
                <w:b/>
                <w:sz w:val="14"/>
                <w:szCs w:val="18"/>
                <w:lang w:val="id-ID"/>
              </w:rPr>
              <w:t>19</w:t>
            </w:r>
            <w:r w:rsidR="002B6559" w:rsidRPr="00A528B6">
              <w:rPr>
                <w:b/>
                <w:sz w:val="14"/>
                <w:szCs w:val="18"/>
              </w:rPr>
              <w:t>)</w:t>
            </w:r>
          </w:p>
        </w:tc>
      </w:tr>
      <w:tr w:rsidR="00367BD3" w:rsidRPr="00A528B6" w14:paraId="72063D3B" w14:textId="77777777" w:rsidTr="00555083">
        <w:trPr>
          <w:cantSplit/>
          <w:trHeight w:val="70"/>
        </w:trPr>
        <w:tc>
          <w:tcPr>
            <w:tcW w:w="645" w:type="pct"/>
          </w:tcPr>
          <w:p w14:paraId="6E14BF1F" w14:textId="77777777" w:rsidR="00367BD3" w:rsidRDefault="00367BD3" w:rsidP="00367BD3">
            <w:pPr>
              <w:ind w:left="283" w:hanging="170"/>
              <w:rPr>
                <w:sz w:val="14"/>
                <w:szCs w:val="14"/>
              </w:rPr>
            </w:pPr>
          </w:p>
        </w:tc>
        <w:tc>
          <w:tcPr>
            <w:tcW w:w="70" w:type="pct"/>
          </w:tcPr>
          <w:p w14:paraId="2CF4E9BF" w14:textId="77777777" w:rsidR="00367BD3" w:rsidRPr="007202C3" w:rsidRDefault="00367BD3" w:rsidP="00367BD3">
            <w:pPr>
              <w:ind w:right="57"/>
              <w:jc w:val="right"/>
              <w:rPr>
                <w:b/>
                <w:sz w:val="14"/>
                <w:szCs w:val="14"/>
              </w:rPr>
            </w:pPr>
          </w:p>
        </w:tc>
        <w:tc>
          <w:tcPr>
            <w:tcW w:w="381" w:type="pct"/>
            <w:tcBorders>
              <w:top w:val="single" w:sz="4" w:space="0" w:color="auto"/>
            </w:tcBorders>
            <w:shd w:val="clear" w:color="auto" w:fill="auto"/>
            <w:vAlign w:val="bottom"/>
          </w:tcPr>
          <w:p w14:paraId="4AB80400" w14:textId="77777777" w:rsidR="00367BD3" w:rsidRDefault="00367BD3" w:rsidP="00367BD3">
            <w:pPr>
              <w:ind w:right="28"/>
              <w:jc w:val="right"/>
              <w:rPr>
                <w:sz w:val="14"/>
                <w:szCs w:val="14"/>
              </w:rPr>
            </w:pPr>
          </w:p>
        </w:tc>
        <w:tc>
          <w:tcPr>
            <w:tcW w:w="47" w:type="pct"/>
            <w:shd w:val="clear" w:color="auto" w:fill="auto"/>
            <w:vAlign w:val="bottom"/>
          </w:tcPr>
          <w:p w14:paraId="107E5602" w14:textId="77777777" w:rsidR="00367BD3" w:rsidRPr="007202C3" w:rsidRDefault="00367BD3" w:rsidP="00367BD3">
            <w:pPr>
              <w:ind w:right="57"/>
              <w:jc w:val="right"/>
              <w:rPr>
                <w:b/>
                <w:sz w:val="14"/>
                <w:szCs w:val="14"/>
              </w:rPr>
            </w:pPr>
          </w:p>
        </w:tc>
        <w:tc>
          <w:tcPr>
            <w:tcW w:w="381" w:type="pct"/>
            <w:tcBorders>
              <w:top w:val="single" w:sz="4" w:space="0" w:color="auto"/>
            </w:tcBorders>
            <w:shd w:val="clear" w:color="auto" w:fill="auto"/>
            <w:vAlign w:val="bottom"/>
          </w:tcPr>
          <w:p w14:paraId="59B654AE" w14:textId="77777777" w:rsidR="00367BD3" w:rsidRDefault="00367BD3" w:rsidP="00367BD3">
            <w:pPr>
              <w:ind w:right="28"/>
              <w:jc w:val="right"/>
              <w:rPr>
                <w:sz w:val="14"/>
                <w:szCs w:val="14"/>
              </w:rPr>
            </w:pPr>
          </w:p>
        </w:tc>
        <w:tc>
          <w:tcPr>
            <w:tcW w:w="48" w:type="pct"/>
            <w:shd w:val="clear" w:color="auto" w:fill="auto"/>
            <w:vAlign w:val="bottom"/>
          </w:tcPr>
          <w:p w14:paraId="42DB7BC4" w14:textId="77777777" w:rsidR="00367BD3" w:rsidRPr="007202C3" w:rsidRDefault="00367BD3" w:rsidP="00367BD3">
            <w:pPr>
              <w:ind w:right="57"/>
              <w:jc w:val="right"/>
              <w:rPr>
                <w:b/>
                <w:sz w:val="14"/>
                <w:szCs w:val="14"/>
              </w:rPr>
            </w:pPr>
          </w:p>
        </w:tc>
        <w:tc>
          <w:tcPr>
            <w:tcW w:w="428" w:type="pct"/>
            <w:tcBorders>
              <w:top w:val="single" w:sz="4" w:space="0" w:color="auto"/>
            </w:tcBorders>
            <w:shd w:val="clear" w:color="auto" w:fill="auto"/>
            <w:vAlign w:val="bottom"/>
          </w:tcPr>
          <w:p w14:paraId="7927DEE6" w14:textId="77777777" w:rsidR="00367BD3" w:rsidRPr="00AE4BB6" w:rsidRDefault="00367BD3" w:rsidP="00367BD3">
            <w:pPr>
              <w:ind w:right="28"/>
              <w:jc w:val="right"/>
              <w:rPr>
                <w:sz w:val="14"/>
                <w:szCs w:val="14"/>
              </w:rPr>
            </w:pPr>
          </w:p>
        </w:tc>
        <w:tc>
          <w:tcPr>
            <w:tcW w:w="48" w:type="pct"/>
            <w:shd w:val="clear" w:color="auto" w:fill="auto"/>
            <w:vAlign w:val="bottom"/>
          </w:tcPr>
          <w:p w14:paraId="099F0F73" w14:textId="77777777" w:rsidR="00367BD3" w:rsidRPr="00AE4BB6" w:rsidRDefault="00367BD3" w:rsidP="00367BD3">
            <w:pPr>
              <w:ind w:right="57"/>
              <w:jc w:val="right"/>
              <w:rPr>
                <w:b/>
                <w:sz w:val="14"/>
                <w:szCs w:val="14"/>
              </w:rPr>
            </w:pPr>
          </w:p>
        </w:tc>
        <w:tc>
          <w:tcPr>
            <w:tcW w:w="571" w:type="pct"/>
            <w:tcBorders>
              <w:top w:val="single" w:sz="4" w:space="0" w:color="auto"/>
            </w:tcBorders>
            <w:shd w:val="clear" w:color="auto" w:fill="auto"/>
            <w:vAlign w:val="bottom"/>
          </w:tcPr>
          <w:p w14:paraId="362065DA" w14:textId="77777777" w:rsidR="00367BD3" w:rsidRPr="00AE4BB6" w:rsidRDefault="00367BD3" w:rsidP="00367BD3">
            <w:pPr>
              <w:ind w:right="28"/>
              <w:jc w:val="right"/>
              <w:rPr>
                <w:sz w:val="14"/>
                <w:szCs w:val="14"/>
              </w:rPr>
            </w:pPr>
          </w:p>
        </w:tc>
        <w:tc>
          <w:tcPr>
            <w:tcW w:w="48" w:type="pct"/>
            <w:shd w:val="clear" w:color="auto" w:fill="auto"/>
            <w:vAlign w:val="bottom"/>
          </w:tcPr>
          <w:p w14:paraId="13F02315" w14:textId="77777777" w:rsidR="00367BD3" w:rsidRPr="00AE4BB6" w:rsidRDefault="00367BD3" w:rsidP="00367BD3">
            <w:pPr>
              <w:ind w:right="57"/>
              <w:jc w:val="right"/>
              <w:rPr>
                <w:b/>
                <w:sz w:val="14"/>
                <w:szCs w:val="14"/>
              </w:rPr>
            </w:pPr>
          </w:p>
        </w:tc>
        <w:tc>
          <w:tcPr>
            <w:tcW w:w="476" w:type="pct"/>
            <w:tcBorders>
              <w:top w:val="single" w:sz="4" w:space="0" w:color="auto"/>
            </w:tcBorders>
            <w:shd w:val="clear" w:color="auto" w:fill="auto"/>
            <w:vAlign w:val="bottom"/>
          </w:tcPr>
          <w:p w14:paraId="7E7E89A8" w14:textId="77777777" w:rsidR="00367BD3" w:rsidRPr="00A528B6" w:rsidRDefault="00367BD3" w:rsidP="00367BD3">
            <w:pPr>
              <w:ind w:right="28"/>
              <w:jc w:val="right"/>
              <w:rPr>
                <w:sz w:val="14"/>
                <w:szCs w:val="14"/>
              </w:rPr>
            </w:pPr>
          </w:p>
        </w:tc>
        <w:tc>
          <w:tcPr>
            <w:tcW w:w="48" w:type="pct"/>
            <w:shd w:val="clear" w:color="auto" w:fill="auto"/>
            <w:vAlign w:val="bottom"/>
          </w:tcPr>
          <w:p w14:paraId="5773F89A" w14:textId="77777777" w:rsidR="00367BD3" w:rsidRPr="00A528B6" w:rsidRDefault="00367BD3" w:rsidP="00367BD3">
            <w:pPr>
              <w:ind w:right="57"/>
              <w:jc w:val="right"/>
              <w:rPr>
                <w:b/>
                <w:sz w:val="14"/>
                <w:szCs w:val="14"/>
              </w:rPr>
            </w:pPr>
          </w:p>
        </w:tc>
        <w:tc>
          <w:tcPr>
            <w:tcW w:w="523" w:type="pct"/>
            <w:tcBorders>
              <w:top w:val="single" w:sz="4" w:space="0" w:color="auto"/>
            </w:tcBorders>
            <w:shd w:val="clear" w:color="auto" w:fill="auto"/>
            <w:vAlign w:val="bottom"/>
          </w:tcPr>
          <w:p w14:paraId="17150E7B" w14:textId="77777777" w:rsidR="00367BD3" w:rsidRPr="00A528B6" w:rsidRDefault="00367BD3" w:rsidP="00367BD3">
            <w:pPr>
              <w:ind w:right="28"/>
              <w:jc w:val="right"/>
              <w:rPr>
                <w:sz w:val="14"/>
                <w:szCs w:val="14"/>
              </w:rPr>
            </w:pPr>
          </w:p>
        </w:tc>
        <w:tc>
          <w:tcPr>
            <w:tcW w:w="48" w:type="pct"/>
            <w:shd w:val="clear" w:color="auto" w:fill="auto"/>
            <w:vAlign w:val="bottom"/>
          </w:tcPr>
          <w:p w14:paraId="1DD932B1" w14:textId="77777777" w:rsidR="00367BD3" w:rsidRPr="00A528B6" w:rsidRDefault="00367BD3" w:rsidP="00367BD3">
            <w:pPr>
              <w:ind w:right="57"/>
              <w:jc w:val="right"/>
              <w:rPr>
                <w:b/>
                <w:sz w:val="14"/>
                <w:szCs w:val="14"/>
              </w:rPr>
            </w:pPr>
          </w:p>
        </w:tc>
        <w:tc>
          <w:tcPr>
            <w:tcW w:w="571" w:type="pct"/>
            <w:tcBorders>
              <w:top w:val="single" w:sz="4" w:space="0" w:color="auto"/>
            </w:tcBorders>
            <w:shd w:val="clear" w:color="auto" w:fill="auto"/>
            <w:vAlign w:val="bottom"/>
          </w:tcPr>
          <w:p w14:paraId="307A7802" w14:textId="77777777" w:rsidR="00367BD3" w:rsidRPr="00A528B6" w:rsidRDefault="00367BD3" w:rsidP="00367BD3">
            <w:pPr>
              <w:ind w:right="28"/>
              <w:jc w:val="right"/>
              <w:rPr>
                <w:sz w:val="14"/>
                <w:szCs w:val="14"/>
              </w:rPr>
            </w:pPr>
          </w:p>
        </w:tc>
        <w:tc>
          <w:tcPr>
            <w:tcW w:w="48" w:type="pct"/>
            <w:shd w:val="clear" w:color="auto" w:fill="auto"/>
            <w:vAlign w:val="bottom"/>
          </w:tcPr>
          <w:p w14:paraId="655AB80B" w14:textId="77777777" w:rsidR="00367BD3" w:rsidRPr="00A528B6" w:rsidRDefault="00367BD3" w:rsidP="00367BD3">
            <w:pPr>
              <w:ind w:left="-67" w:right="1"/>
              <w:jc w:val="right"/>
              <w:rPr>
                <w:b/>
                <w:sz w:val="14"/>
                <w:szCs w:val="14"/>
              </w:rPr>
            </w:pPr>
          </w:p>
        </w:tc>
        <w:tc>
          <w:tcPr>
            <w:tcW w:w="619" w:type="pct"/>
            <w:tcBorders>
              <w:top w:val="single" w:sz="4" w:space="0" w:color="auto"/>
            </w:tcBorders>
            <w:shd w:val="clear" w:color="auto" w:fill="auto"/>
            <w:vAlign w:val="bottom"/>
          </w:tcPr>
          <w:p w14:paraId="64537D99" w14:textId="77777777" w:rsidR="00367BD3" w:rsidRPr="00A528B6" w:rsidRDefault="00367BD3" w:rsidP="00367BD3">
            <w:pPr>
              <w:ind w:right="28"/>
              <w:jc w:val="right"/>
              <w:rPr>
                <w:sz w:val="14"/>
                <w:szCs w:val="14"/>
              </w:rPr>
            </w:pPr>
          </w:p>
        </w:tc>
      </w:tr>
      <w:tr w:rsidR="002B6559" w:rsidRPr="00A528B6" w14:paraId="14B708FF" w14:textId="77777777" w:rsidTr="00555083">
        <w:trPr>
          <w:cantSplit/>
          <w:trHeight w:val="70"/>
        </w:trPr>
        <w:tc>
          <w:tcPr>
            <w:tcW w:w="645" w:type="pct"/>
            <w:vAlign w:val="bottom"/>
          </w:tcPr>
          <w:p w14:paraId="4CE0E751" w14:textId="45A5CDB3" w:rsidR="002B6559" w:rsidRPr="007202C3" w:rsidRDefault="002B6559" w:rsidP="002B6559">
            <w:pPr>
              <w:ind w:left="283" w:hanging="170"/>
              <w:rPr>
                <w:b/>
                <w:sz w:val="14"/>
                <w:szCs w:val="14"/>
              </w:rPr>
            </w:pPr>
            <w:r>
              <w:rPr>
                <w:b/>
                <w:sz w:val="14"/>
                <w:szCs w:val="14"/>
              </w:rPr>
              <w:t>Saldo 31 Maret 2020</w:t>
            </w:r>
            <w:r w:rsidRPr="007202C3">
              <w:rPr>
                <w:b/>
                <w:sz w:val="14"/>
                <w:szCs w:val="14"/>
              </w:rPr>
              <w:t>/</w:t>
            </w:r>
          </w:p>
          <w:p w14:paraId="19DEEBEA" w14:textId="3A222BBF" w:rsidR="002B6559" w:rsidRDefault="002B6559" w:rsidP="002B6559">
            <w:pPr>
              <w:ind w:left="283" w:hanging="170"/>
              <w:rPr>
                <w:sz w:val="14"/>
                <w:szCs w:val="14"/>
              </w:rPr>
            </w:pPr>
            <w:r>
              <w:rPr>
                <w:b/>
                <w:i/>
                <w:sz w:val="14"/>
                <w:szCs w:val="14"/>
              </w:rPr>
              <w:t>Balance as of March 31, 2020</w:t>
            </w:r>
          </w:p>
        </w:tc>
        <w:tc>
          <w:tcPr>
            <w:tcW w:w="70" w:type="pct"/>
          </w:tcPr>
          <w:p w14:paraId="180D3ACA" w14:textId="77777777" w:rsidR="002B6559" w:rsidRPr="007202C3" w:rsidRDefault="002B6559" w:rsidP="002B6559">
            <w:pPr>
              <w:ind w:right="57"/>
              <w:jc w:val="right"/>
              <w:rPr>
                <w:b/>
                <w:sz w:val="14"/>
                <w:szCs w:val="14"/>
              </w:rPr>
            </w:pPr>
          </w:p>
        </w:tc>
        <w:tc>
          <w:tcPr>
            <w:tcW w:w="381" w:type="pct"/>
            <w:tcBorders>
              <w:bottom w:val="double" w:sz="4" w:space="0" w:color="auto"/>
            </w:tcBorders>
            <w:shd w:val="clear" w:color="auto" w:fill="auto"/>
            <w:vAlign w:val="bottom"/>
          </w:tcPr>
          <w:p w14:paraId="4E95157F" w14:textId="25D1E7CA" w:rsidR="002B6559" w:rsidRDefault="002B6559" w:rsidP="002B6559">
            <w:pPr>
              <w:ind w:right="28"/>
              <w:jc w:val="right"/>
              <w:rPr>
                <w:sz w:val="14"/>
                <w:szCs w:val="14"/>
              </w:rPr>
            </w:pPr>
            <w:r w:rsidRPr="007202C3">
              <w:rPr>
                <w:b/>
                <w:sz w:val="14"/>
                <w:szCs w:val="14"/>
              </w:rPr>
              <w:t>1.200.070.544.500</w:t>
            </w:r>
          </w:p>
        </w:tc>
        <w:tc>
          <w:tcPr>
            <w:tcW w:w="47" w:type="pct"/>
            <w:shd w:val="clear" w:color="auto" w:fill="auto"/>
            <w:vAlign w:val="bottom"/>
          </w:tcPr>
          <w:p w14:paraId="4866993B" w14:textId="77777777" w:rsidR="002B6559" w:rsidRPr="007202C3" w:rsidRDefault="002B6559" w:rsidP="002B6559">
            <w:pPr>
              <w:ind w:right="57"/>
              <w:jc w:val="right"/>
              <w:rPr>
                <w:b/>
                <w:sz w:val="14"/>
                <w:szCs w:val="14"/>
              </w:rPr>
            </w:pPr>
          </w:p>
        </w:tc>
        <w:tc>
          <w:tcPr>
            <w:tcW w:w="381" w:type="pct"/>
            <w:tcBorders>
              <w:bottom w:val="double" w:sz="4" w:space="0" w:color="auto"/>
            </w:tcBorders>
            <w:shd w:val="clear" w:color="auto" w:fill="auto"/>
            <w:vAlign w:val="bottom"/>
          </w:tcPr>
          <w:p w14:paraId="23113C16" w14:textId="3BF552A4" w:rsidR="002B6559" w:rsidRDefault="002B6559" w:rsidP="002B6559">
            <w:pPr>
              <w:ind w:right="28"/>
              <w:jc w:val="right"/>
              <w:rPr>
                <w:sz w:val="14"/>
                <w:szCs w:val="14"/>
              </w:rPr>
            </w:pPr>
            <w:r w:rsidRPr="007202C3">
              <w:rPr>
                <w:b/>
                <w:sz w:val="14"/>
                <w:szCs w:val="14"/>
              </w:rPr>
              <w:t>1.124.816.856.453</w:t>
            </w:r>
          </w:p>
        </w:tc>
        <w:tc>
          <w:tcPr>
            <w:tcW w:w="48" w:type="pct"/>
            <w:shd w:val="clear" w:color="auto" w:fill="auto"/>
            <w:vAlign w:val="bottom"/>
          </w:tcPr>
          <w:p w14:paraId="673ACEB0" w14:textId="77777777" w:rsidR="002B6559" w:rsidRPr="007202C3" w:rsidRDefault="002B6559" w:rsidP="002B6559">
            <w:pPr>
              <w:ind w:right="57"/>
              <w:jc w:val="right"/>
              <w:rPr>
                <w:b/>
                <w:sz w:val="14"/>
                <w:szCs w:val="14"/>
              </w:rPr>
            </w:pPr>
          </w:p>
        </w:tc>
        <w:tc>
          <w:tcPr>
            <w:tcW w:w="428" w:type="pct"/>
            <w:tcBorders>
              <w:bottom w:val="double" w:sz="4" w:space="0" w:color="auto"/>
            </w:tcBorders>
            <w:shd w:val="clear" w:color="auto" w:fill="auto"/>
            <w:vAlign w:val="bottom"/>
          </w:tcPr>
          <w:p w14:paraId="561826B4" w14:textId="1B3198A3" w:rsidR="002B6559" w:rsidRPr="00AE4BB6" w:rsidRDefault="00525342" w:rsidP="007E1FCA">
            <w:pPr>
              <w:ind w:right="28"/>
              <w:jc w:val="right"/>
              <w:rPr>
                <w:b/>
                <w:sz w:val="14"/>
                <w:szCs w:val="14"/>
              </w:rPr>
            </w:pPr>
            <w:r>
              <w:rPr>
                <w:b/>
                <w:sz w:val="14"/>
                <w:szCs w:val="14"/>
              </w:rPr>
              <w:t>2</w:t>
            </w:r>
            <w:r>
              <w:rPr>
                <w:b/>
                <w:sz w:val="14"/>
                <w:szCs w:val="14"/>
                <w:lang w:val="id-ID"/>
              </w:rPr>
              <w:t>4</w:t>
            </w:r>
            <w:r>
              <w:rPr>
                <w:b/>
                <w:sz w:val="14"/>
                <w:szCs w:val="14"/>
              </w:rPr>
              <w:t>.</w:t>
            </w:r>
            <w:r>
              <w:rPr>
                <w:b/>
                <w:sz w:val="14"/>
                <w:szCs w:val="14"/>
                <w:lang w:val="id-ID"/>
              </w:rPr>
              <w:t>520</w:t>
            </w:r>
            <w:r w:rsidR="002B6559" w:rsidRPr="00AE4BB6">
              <w:rPr>
                <w:b/>
                <w:sz w:val="14"/>
                <w:szCs w:val="14"/>
              </w:rPr>
              <w:t>.521.</w:t>
            </w:r>
            <w:r w:rsidR="007E1FCA">
              <w:rPr>
                <w:b/>
                <w:sz w:val="14"/>
                <w:szCs w:val="14"/>
              </w:rPr>
              <w:t>602</w:t>
            </w:r>
          </w:p>
        </w:tc>
        <w:tc>
          <w:tcPr>
            <w:tcW w:w="48" w:type="pct"/>
            <w:shd w:val="clear" w:color="auto" w:fill="auto"/>
            <w:vAlign w:val="bottom"/>
          </w:tcPr>
          <w:p w14:paraId="7791AF63" w14:textId="77777777" w:rsidR="002B6559" w:rsidRPr="00AE4BB6" w:rsidRDefault="002B6559" w:rsidP="002B6559">
            <w:pPr>
              <w:ind w:right="57"/>
              <w:jc w:val="right"/>
              <w:rPr>
                <w:b/>
                <w:sz w:val="14"/>
                <w:szCs w:val="14"/>
              </w:rPr>
            </w:pPr>
          </w:p>
        </w:tc>
        <w:tc>
          <w:tcPr>
            <w:tcW w:w="571" w:type="pct"/>
            <w:tcBorders>
              <w:bottom w:val="double" w:sz="4" w:space="0" w:color="auto"/>
            </w:tcBorders>
            <w:shd w:val="clear" w:color="auto" w:fill="auto"/>
            <w:vAlign w:val="bottom"/>
          </w:tcPr>
          <w:p w14:paraId="2B026DAA" w14:textId="2B8E7C7C" w:rsidR="002B6559" w:rsidRPr="00AE4BB6" w:rsidRDefault="002B6559" w:rsidP="002B6559">
            <w:pPr>
              <w:ind w:right="28"/>
              <w:jc w:val="right"/>
              <w:rPr>
                <w:sz w:val="14"/>
                <w:szCs w:val="14"/>
              </w:rPr>
            </w:pPr>
            <w:r w:rsidRPr="00AE4BB6">
              <w:rPr>
                <w:b/>
                <w:sz w:val="14"/>
                <w:szCs w:val="14"/>
              </w:rPr>
              <w:t>2.000.000.000</w:t>
            </w:r>
          </w:p>
        </w:tc>
        <w:tc>
          <w:tcPr>
            <w:tcW w:w="48" w:type="pct"/>
            <w:shd w:val="clear" w:color="auto" w:fill="auto"/>
            <w:vAlign w:val="bottom"/>
          </w:tcPr>
          <w:p w14:paraId="1735E09C" w14:textId="77777777" w:rsidR="002B6559" w:rsidRPr="00AE4BB6" w:rsidRDefault="002B6559" w:rsidP="002B6559">
            <w:pPr>
              <w:ind w:right="57"/>
              <w:jc w:val="right"/>
              <w:rPr>
                <w:b/>
                <w:sz w:val="14"/>
                <w:szCs w:val="14"/>
              </w:rPr>
            </w:pPr>
          </w:p>
        </w:tc>
        <w:tc>
          <w:tcPr>
            <w:tcW w:w="476" w:type="pct"/>
            <w:tcBorders>
              <w:bottom w:val="double" w:sz="4" w:space="0" w:color="auto"/>
            </w:tcBorders>
            <w:shd w:val="clear" w:color="auto" w:fill="auto"/>
            <w:vAlign w:val="bottom"/>
          </w:tcPr>
          <w:p w14:paraId="08F68FF3" w14:textId="5D97216A" w:rsidR="002B6559" w:rsidRPr="00A528B6" w:rsidRDefault="00C0312B" w:rsidP="007E1FCA">
            <w:pPr>
              <w:ind w:right="28"/>
              <w:jc w:val="right"/>
              <w:rPr>
                <w:b/>
                <w:sz w:val="14"/>
                <w:szCs w:val="14"/>
              </w:rPr>
            </w:pPr>
            <w:r w:rsidRPr="00A528B6">
              <w:rPr>
                <w:sz w:val="14"/>
                <w:szCs w:val="14"/>
              </w:rPr>
              <w:t>(585.</w:t>
            </w:r>
            <w:r w:rsidR="007E1FCA">
              <w:rPr>
                <w:sz w:val="14"/>
                <w:szCs w:val="14"/>
              </w:rPr>
              <w:t>351.522.951</w:t>
            </w:r>
            <w:r w:rsidR="002B6559" w:rsidRPr="00A528B6">
              <w:rPr>
                <w:b/>
                <w:sz w:val="14"/>
                <w:szCs w:val="18"/>
                <w:lang w:val="id-ID"/>
              </w:rPr>
              <w:t>)</w:t>
            </w:r>
          </w:p>
        </w:tc>
        <w:tc>
          <w:tcPr>
            <w:tcW w:w="48" w:type="pct"/>
            <w:shd w:val="clear" w:color="auto" w:fill="auto"/>
            <w:vAlign w:val="bottom"/>
          </w:tcPr>
          <w:p w14:paraId="75FD177E" w14:textId="77777777" w:rsidR="002B6559" w:rsidRPr="00A528B6" w:rsidRDefault="002B6559" w:rsidP="002B6559">
            <w:pPr>
              <w:ind w:right="57"/>
              <w:rPr>
                <w:b/>
                <w:sz w:val="14"/>
                <w:szCs w:val="14"/>
              </w:rPr>
            </w:pPr>
          </w:p>
        </w:tc>
        <w:tc>
          <w:tcPr>
            <w:tcW w:w="523" w:type="pct"/>
            <w:tcBorders>
              <w:bottom w:val="double" w:sz="4" w:space="0" w:color="auto"/>
            </w:tcBorders>
            <w:shd w:val="clear" w:color="auto" w:fill="auto"/>
            <w:vAlign w:val="bottom"/>
          </w:tcPr>
          <w:p w14:paraId="097B4226" w14:textId="6553CD3D" w:rsidR="002B6559" w:rsidRPr="00A528B6" w:rsidRDefault="00355574" w:rsidP="000E6DD9">
            <w:pPr>
              <w:ind w:right="28"/>
              <w:jc w:val="right"/>
              <w:rPr>
                <w:b/>
                <w:sz w:val="14"/>
                <w:szCs w:val="14"/>
                <w:lang w:val="id-ID"/>
              </w:rPr>
            </w:pPr>
            <w:r w:rsidRPr="00A528B6">
              <w:rPr>
                <w:b/>
                <w:sz w:val="14"/>
                <w:szCs w:val="18"/>
              </w:rPr>
              <w:t>1.76</w:t>
            </w:r>
            <w:r w:rsidRPr="00A528B6">
              <w:rPr>
                <w:b/>
                <w:sz w:val="14"/>
                <w:szCs w:val="18"/>
                <w:lang w:val="id-ID"/>
              </w:rPr>
              <w:t>6</w:t>
            </w:r>
            <w:r w:rsidRPr="00A528B6">
              <w:rPr>
                <w:b/>
                <w:sz w:val="14"/>
                <w:szCs w:val="18"/>
              </w:rPr>
              <w:t>.</w:t>
            </w:r>
            <w:r w:rsidRPr="00A528B6">
              <w:rPr>
                <w:b/>
                <w:sz w:val="14"/>
                <w:szCs w:val="18"/>
                <w:lang w:val="id-ID"/>
              </w:rPr>
              <w:t>056</w:t>
            </w:r>
            <w:r w:rsidRPr="00A528B6">
              <w:rPr>
                <w:b/>
                <w:sz w:val="14"/>
                <w:szCs w:val="18"/>
              </w:rPr>
              <w:t>.3</w:t>
            </w:r>
            <w:r w:rsidRPr="00A528B6">
              <w:rPr>
                <w:b/>
                <w:sz w:val="14"/>
                <w:szCs w:val="18"/>
                <w:lang w:val="id-ID"/>
              </w:rPr>
              <w:t>39</w:t>
            </w:r>
            <w:r w:rsidRPr="00A528B6">
              <w:rPr>
                <w:b/>
                <w:sz w:val="14"/>
                <w:szCs w:val="18"/>
              </w:rPr>
              <w:t>.</w:t>
            </w:r>
            <w:r w:rsidR="00C0312B" w:rsidRPr="00A528B6">
              <w:rPr>
                <w:b/>
                <w:sz w:val="14"/>
                <w:szCs w:val="18"/>
              </w:rPr>
              <w:t>6</w:t>
            </w:r>
            <w:r w:rsidRPr="00A528B6">
              <w:rPr>
                <w:b/>
                <w:sz w:val="14"/>
                <w:szCs w:val="18"/>
                <w:lang w:val="id-ID"/>
              </w:rPr>
              <w:t>04</w:t>
            </w:r>
          </w:p>
        </w:tc>
        <w:tc>
          <w:tcPr>
            <w:tcW w:w="48" w:type="pct"/>
            <w:shd w:val="clear" w:color="auto" w:fill="auto"/>
            <w:vAlign w:val="bottom"/>
          </w:tcPr>
          <w:p w14:paraId="58A56B91" w14:textId="77777777" w:rsidR="002B6559" w:rsidRPr="00A528B6" w:rsidRDefault="002B6559" w:rsidP="002B6559">
            <w:pPr>
              <w:ind w:right="57"/>
              <w:jc w:val="right"/>
              <w:rPr>
                <w:b/>
                <w:sz w:val="14"/>
                <w:szCs w:val="14"/>
              </w:rPr>
            </w:pPr>
          </w:p>
        </w:tc>
        <w:tc>
          <w:tcPr>
            <w:tcW w:w="571" w:type="pct"/>
            <w:tcBorders>
              <w:bottom w:val="double" w:sz="4" w:space="0" w:color="auto"/>
            </w:tcBorders>
            <w:shd w:val="clear" w:color="auto" w:fill="auto"/>
            <w:vAlign w:val="bottom"/>
          </w:tcPr>
          <w:p w14:paraId="5D1C899E" w14:textId="63885B48" w:rsidR="002B6559" w:rsidRPr="00A528B6" w:rsidRDefault="00C0312B" w:rsidP="00BC20C0">
            <w:pPr>
              <w:ind w:right="28"/>
              <w:jc w:val="right"/>
              <w:rPr>
                <w:b/>
                <w:sz w:val="14"/>
                <w:szCs w:val="14"/>
              </w:rPr>
            </w:pPr>
            <w:r w:rsidRPr="00A528B6">
              <w:rPr>
                <w:b/>
                <w:sz w:val="14"/>
                <w:szCs w:val="18"/>
                <w:lang w:val="en-ID"/>
              </w:rPr>
              <w:t>903.815.4</w:t>
            </w:r>
            <w:r w:rsidR="00BC20C0" w:rsidRPr="00A528B6">
              <w:rPr>
                <w:b/>
                <w:sz w:val="14"/>
                <w:szCs w:val="18"/>
                <w:lang w:val="en-ID"/>
              </w:rPr>
              <w:t>39</w:t>
            </w:r>
          </w:p>
        </w:tc>
        <w:tc>
          <w:tcPr>
            <w:tcW w:w="48" w:type="pct"/>
            <w:shd w:val="clear" w:color="auto" w:fill="auto"/>
            <w:vAlign w:val="bottom"/>
          </w:tcPr>
          <w:p w14:paraId="2AD85A7A" w14:textId="77777777" w:rsidR="002B6559" w:rsidRPr="00A528B6" w:rsidRDefault="002B6559" w:rsidP="002B6559">
            <w:pPr>
              <w:ind w:left="-67" w:right="1"/>
              <w:jc w:val="right"/>
              <w:rPr>
                <w:b/>
                <w:sz w:val="14"/>
                <w:szCs w:val="14"/>
              </w:rPr>
            </w:pPr>
          </w:p>
        </w:tc>
        <w:tc>
          <w:tcPr>
            <w:tcW w:w="619" w:type="pct"/>
            <w:tcBorders>
              <w:bottom w:val="double" w:sz="4" w:space="0" w:color="auto"/>
            </w:tcBorders>
            <w:shd w:val="clear" w:color="auto" w:fill="auto"/>
            <w:vAlign w:val="bottom"/>
          </w:tcPr>
          <w:p w14:paraId="4913B943" w14:textId="61F1E202" w:rsidR="002B6559" w:rsidRPr="00A528B6" w:rsidRDefault="00355574" w:rsidP="000E6DD9">
            <w:pPr>
              <w:ind w:right="28"/>
              <w:jc w:val="right"/>
              <w:rPr>
                <w:b/>
                <w:sz w:val="14"/>
                <w:szCs w:val="14"/>
                <w:lang w:val="id-ID"/>
              </w:rPr>
            </w:pPr>
            <w:r w:rsidRPr="00A528B6">
              <w:rPr>
                <w:b/>
                <w:sz w:val="14"/>
                <w:szCs w:val="18"/>
              </w:rPr>
              <w:t>1.76</w:t>
            </w:r>
            <w:r w:rsidRPr="00A528B6">
              <w:rPr>
                <w:b/>
                <w:sz w:val="14"/>
                <w:szCs w:val="18"/>
                <w:lang w:val="id-ID"/>
              </w:rPr>
              <w:t>6</w:t>
            </w:r>
            <w:r w:rsidRPr="00A528B6">
              <w:rPr>
                <w:b/>
                <w:sz w:val="14"/>
                <w:szCs w:val="18"/>
              </w:rPr>
              <w:t>.</w:t>
            </w:r>
            <w:r w:rsidRPr="00A528B6">
              <w:rPr>
                <w:b/>
                <w:sz w:val="14"/>
                <w:szCs w:val="18"/>
                <w:lang w:val="id-ID"/>
              </w:rPr>
              <w:t>960</w:t>
            </w:r>
            <w:r w:rsidRPr="00A528B6">
              <w:rPr>
                <w:b/>
                <w:sz w:val="14"/>
                <w:szCs w:val="18"/>
              </w:rPr>
              <w:t>.1</w:t>
            </w:r>
            <w:r w:rsidRPr="00A528B6">
              <w:rPr>
                <w:b/>
                <w:sz w:val="14"/>
                <w:szCs w:val="18"/>
                <w:lang w:val="id-ID"/>
              </w:rPr>
              <w:t>55</w:t>
            </w:r>
            <w:r w:rsidRPr="00A528B6">
              <w:rPr>
                <w:b/>
                <w:sz w:val="14"/>
                <w:szCs w:val="18"/>
              </w:rPr>
              <w:t>.</w:t>
            </w:r>
            <w:r w:rsidRPr="00A528B6">
              <w:rPr>
                <w:b/>
                <w:sz w:val="14"/>
                <w:szCs w:val="18"/>
                <w:lang w:val="id-ID"/>
              </w:rPr>
              <w:t>043</w:t>
            </w:r>
          </w:p>
        </w:tc>
      </w:tr>
    </w:tbl>
    <w:p w14:paraId="0BD5DCAD" w14:textId="77777777" w:rsidR="00DB58DA" w:rsidRPr="0013526B" w:rsidRDefault="00DB58DA" w:rsidP="0013526B">
      <w:pPr>
        <w:rPr>
          <w:sz w:val="18"/>
          <w:szCs w:val="18"/>
        </w:rPr>
        <w:sectPr w:rsidR="00DB58DA" w:rsidRPr="0013526B" w:rsidSect="00E043F5">
          <w:headerReference w:type="even" r:id="rId26"/>
          <w:headerReference w:type="default" r:id="rId27"/>
          <w:footerReference w:type="default" r:id="rId28"/>
          <w:headerReference w:type="first" r:id="rId29"/>
          <w:pgSz w:w="16840" w:h="11907" w:orient="landscape" w:code="9"/>
          <w:pgMar w:top="567" w:right="1701" w:bottom="567" w:left="1134" w:header="567" w:footer="283" w:gutter="0"/>
          <w:pgNumType w:start="6"/>
          <w:cols w:space="720"/>
          <w:docGrid w:linePitch="360"/>
        </w:sectPr>
      </w:pPr>
    </w:p>
    <w:tbl>
      <w:tblPr>
        <w:tblW w:w="9214" w:type="dxa"/>
        <w:tblInd w:w="-57" w:type="dxa"/>
        <w:tblCellMar>
          <w:left w:w="0" w:type="dxa"/>
          <w:right w:w="0" w:type="dxa"/>
        </w:tblCellMar>
        <w:tblLook w:val="01E0" w:firstRow="1" w:lastRow="1" w:firstColumn="1" w:lastColumn="1" w:noHBand="0" w:noVBand="0"/>
      </w:tblPr>
      <w:tblGrid>
        <w:gridCol w:w="2688"/>
        <w:gridCol w:w="1841"/>
        <w:gridCol w:w="162"/>
        <w:gridCol w:w="1841"/>
        <w:gridCol w:w="2682"/>
      </w:tblGrid>
      <w:tr w:rsidR="00B55818" w:rsidRPr="000C53ED" w14:paraId="2563BFD3" w14:textId="77777777" w:rsidTr="009D110D">
        <w:trPr>
          <w:trHeight w:val="20"/>
        </w:trPr>
        <w:tc>
          <w:tcPr>
            <w:tcW w:w="2688" w:type="dxa"/>
            <w:vAlign w:val="bottom"/>
          </w:tcPr>
          <w:p w14:paraId="267F9C5C" w14:textId="77777777" w:rsidR="00B55818" w:rsidRPr="000C53ED" w:rsidRDefault="00B55818" w:rsidP="00B55818">
            <w:pPr>
              <w:ind w:left="90"/>
              <w:jc w:val="center"/>
              <w:rPr>
                <w:sz w:val="18"/>
                <w:szCs w:val="18"/>
              </w:rPr>
            </w:pPr>
            <w:bookmarkStart w:id="1" w:name="OLE_LINK2"/>
          </w:p>
        </w:tc>
        <w:tc>
          <w:tcPr>
            <w:tcW w:w="1841" w:type="dxa"/>
            <w:tcBorders>
              <w:bottom w:val="single" w:sz="4" w:space="0" w:color="auto"/>
            </w:tcBorders>
            <w:shd w:val="clear" w:color="auto" w:fill="auto"/>
            <w:vAlign w:val="bottom"/>
          </w:tcPr>
          <w:p w14:paraId="11FB7671" w14:textId="77777777" w:rsidR="00B55818" w:rsidRDefault="00B55818" w:rsidP="00B55818">
            <w:pPr>
              <w:ind w:left="-90"/>
              <w:jc w:val="center"/>
              <w:rPr>
                <w:b/>
                <w:sz w:val="16"/>
                <w:szCs w:val="16"/>
              </w:rPr>
            </w:pPr>
            <w:r>
              <w:rPr>
                <w:b/>
                <w:sz w:val="16"/>
                <w:szCs w:val="16"/>
              </w:rPr>
              <w:t>31 Maret/</w:t>
            </w:r>
          </w:p>
          <w:p w14:paraId="089E4227" w14:textId="2808DFB1" w:rsidR="00B55818" w:rsidRPr="000C53ED" w:rsidRDefault="00B55818" w:rsidP="00C92587">
            <w:pPr>
              <w:jc w:val="center"/>
              <w:rPr>
                <w:b/>
                <w:caps/>
                <w:sz w:val="18"/>
                <w:szCs w:val="18"/>
              </w:rPr>
            </w:pPr>
            <w:r>
              <w:rPr>
                <w:b/>
                <w:sz w:val="16"/>
                <w:szCs w:val="16"/>
              </w:rPr>
              <w:t>March 31</w:t>
            </w:r>
            <w:r w:rsidR="00C92587">
              <w:rPr>
                <w:b/>
                <w:sz w:val="16"/>
                <w:szCs w:val="16"/>
              </w:rPr>
              <w:t>,</w:t>
            </w:r>
            <w:r>
              <w:rPr>
                <w:b/>
                <w:sz w:val="16"/>
                <w:szCs w:val="16"/>
              </w:rPr>
              <w:t xml:space="preserve"> </w:t>
            </w:r>
            <w:r w:rsidRPr="00BA69BD">
              <w:rPr>
                <w:b/>
                <w:sz w:val="16"/>
                <w:szCs w:val="16"/>
              </w:rPr>
              <w:t>20</w:t>
            </w:r>
            <w:r>
              <w:rPr>
                <w:b/>
                <w:sz w:val="16"/>
                <w:szCs w:val="16"/>
              </w:rPr>
              <w:t>20</w:t>
            </w:r>
          </w:p>
        </w:tc>
        <w:tc>
          <w:tcPr>
            <w:tcW w:w="162" w:type="dxa"/>
            <w:tcMar>
              <w:left w:w="28" w:type="dxa"/>
              <w:right w:w="28" w:type="dxa"/>
            </w:tcMar>
            <w:vAlign w:val="bottom"/>
          </w:tcPr>
          <w:p w14:paraId="3A5C85A5" w14:textId="77777777" w:rsidR="00B55818" w:rsidRPr="000C53ED" w:rsidRDefault="00B55818" w:rsidP="00B55818">
            <w:pPr>
              <w:jc w:val="center"/>
              <w:rPr>
                <w:b/>
                <w:caps/>
                <w:sz w:val="18"/>
                <w:szCs w:val="18"/>
              </w:rPr>
            </w:pPr>
          </w:p>
        </w:tc>
        <w:tc>
          <w:tcPr>
            <w:tcW w:w="1841" w:type="dxa"/>
            <w:tcBorders>
              <w:bottom w:val="single" w:sz="4" w:space="0" w:color="auto"/>
            </w:tcBorders>
            <w:vAlign w:val="bottom"/>
          </w:tcPr>
          <w:p w14:paraId="067D99C8" w14:textId="77777777" w:rsidR="00B55818" w:rsidRDefault="00B55818" w:rsidP="00B55818">
            <w:pPr>
              <w:ind w:left="-90"/>
              <w:jc w:val="center"/>
              <w:rPr>
                <w:b/>
                <w:sz w:val="16"/>
                <w:szCs w:val="16"/>
              </w:rPr>
            </w:pPr>
            <w:r>
              <w:rPr>
                <w:b/>
                <w:sz w:val="16"/>
                <w:szCs w:val="16"/>
              </w:rPr>
              <w:t>31 Maret/</w:t>
            </w:r>
          </w:p>
          <w:p w14:paraId="0A7FDC9E" w14:textId="21F32233" w:rsidR="00B55818" w:rsidRPr="000C53ED" w:rsidRDefault="00B55818" w:rsidP="00B55818">
            <w:pPr>
              <w:jc w:val="center"/>
              <w:rPr>
                <w:b/>
                <w:caps/>
                <w:sz w:val="18"/>
                <w:szCs w:val="18"/>
              </w:rPr>
            </w:pPr>
            <w:r>
              <w:rPr>
                <w:b/>
                <w:sz w:val="16"/>
                <w:szCs w:val="16"/>
              </w:rPr>
              <w:t>March 31</w:t>
            </w:r>
            <w:r w:rsidR="00C92587">
              <w:rPr>
                <w:b/>
                <w:sz w:val="16"/>
                <w:szCs w:val="16"/>
              </w:rPr>
              <w:t>,</w:t>
            </w:r>
            <w:r>
              <w:rPr>
                <w:b/>
                <w:sz w:val="16"/>
                <w:szCs w:val="16"/>
              </w:rPr>
              <w:t xml:space="preserve"> </w:t>
            </w:r>
            <w:r w:rsidRPr="00BA69BD">
              <w:rPr>
                <w:b/>
                <w:sz w:val="16"/>
                <w:szCs w:val="16"/>
              </w:rPr>
              <w:t>2019</w:t>
            </w:r>
          </w:p>
        </w:tc>
        <w:tc>
          <w:tcPr>
            <w:tcW w:w="2682" w:type="dxa"/>
            <w:vAlign w:val="bottom"/>
          </w:tcPr>
          <w:p w14:paraId="663F4C6C" w14:textId="77777777" w:rsidR="00B55818" w:rsidRPr="000C53ED" w:rsidRDefault="00B55818" w:rsidP="00B55818">
            <w:pPr>
              <w:ind w:right="34"/>
              <w:jc w:val="center"/>
              <w:rPr>
                <w:i/>
                <w:sz w:val="18"/>
                <w:szCs w:val="18"/>
              </w:rPr>
            </w:pPr>
          </w:p>
        </w:tc>
      </w:tr>
      <w:tr w:rsidR="00D574F0" w:rsidRPr="000C53ED" w14:paraId="5A1AEE76" w14:textId="77777777" w:rsidTr="009D110D">
        <w:trPr>
          <w:trHeight w:val="20"/>
        </w:trPr>
        <w:tc>
          <w:tcPr>
            <w:tcW w:w="2688" w:type="dxa"/>
          </w:tcPr>
          <w:p w14:paraId="7EC2CD67" w14:textId="77777777" w:rsidR="00D574F0" w:rsidRPr="000C53ED" w:rsidRDefault="00D574F0" w:rsidP="0013526B">
            <w:pPr>
              <w:ind w:left="113"/>
              <w:rPr>
                <w:sz w:val="18"/>
                <w:szCs w:val="18"/>
              </w:rPr>
            </w:pPr>
          </w:p>
        </w:tc>
        <w:tc>
          <w:tcPr>
            <w:tcW w:w="1841" w:type="dxa"/>
            <w:tcBorders>
              <w:top w:val="single" w:sz="4" w:space="0" w:color="auto"/>
            </w:tcBorders>
            <w:shd w:val="clear" w:color="auto" w:fill="auto"/>
            <w:vAlign w:val="bottom"/>
          </w:tcPr>
          <w:p w14:paraId="124EDAC3" w14:textId="77777777" w:rsidR="00D574F0" w:rsidRPr="000C53ED" w:rsidRDefault="00D574F0" w:rsidP="0013526B">
            <w:pPr>
              <w:jc w:val="right"/>
              <w:rPr>
                <w:b/>
                <w:caps/>
                <w:sz w:val="18"/>
                <w:szCs w:val="18"/>
              </w:rPr>
            </w:pPr>
          </w:p>
        </w:tc>
        <w:tc>
          <w:tcPr>
            <w:tcW w:w="162" w:type="dxa"/>
            <w:tcMar>
              <w:left w:w="28" w:type="dxa"/>
              <w:right w:w="28" w:type="dxa"/>
            </w:tcMar>
            <w:vAlign w:val="bottom"/>
          </w:tcPr>
          <w:p w14:paraId="762B2581" w14:textId="77777777" w:rsidR="00D574F0" w:rsidRPr="000C53ED" w:rsidRDefault="00D574F0" w:rsidP="0013526B">
            <w:pPr>
              <w:jc w:val="right"/>
              <w:rPr>
                <w:b/>
                <w:caps/>
                <w:sz w:val="18"/>
                <w:szCs w:val="18"/>
              </w:rPr>
            </w:pPr>
          </w:p>
        </w:tc>
        <w:tc>
          <w:tcPr>
            <w:tcW w:w="1841" w:type="dxa"/>
            <w:tcBorders>
              <w:top w:val="single" w:sz="4" w:space="0" w:color="auto"/>
            </w:tcBorders>
            <w:vAlign w:val="bottom"/>
          </w:tcPr>
          <w:p w14:paraId="704ACEAE" w14:textId="77777777" w:rsidR="00D574F0" w:rsidRPr="000C53ED" w:rsidRDefault="00D574F0" w:rsidP="0013526B">
            <w:pPr>
              <w:jc w:val="right"/>
              <w:rPr>
                <w:b/>
                <w:caps/>
                <w:sz w:val="18"/>
                <w:szCs w:val="18"/>
              </w:rPr>
            </w:pPr>
          </w:p>
        </w:tc>
        <w:tc>
          <w:tcPr>
            <w:tcW w:w="2682" w:type="dxa"/>
          </w:tcPr>
          <w:p w14:paraId="00E7DD21" w14:textId="77777777" w:rsidR="00D574F0" w:rsidRPr="000C53ED" w:rsidRDefault="00D574F0" w:rsidP="0013526B">
            <w:pPr>
              <w:ind w:right="34"/>
              <w:jc w:val="right"/>
              <w:rPr>
                <w:i/>
                <w:sz w:val="18"/>
                <w:szCs w:val="18"/>
              </w:rPr>
            </w:pPr>
          </w:p>
        </w:tc>
      </w:tr>
      <w:tr w:rsidR="00D574F0" w:rsidRPr="000C53ED" w14:paraId="1D5A72DB" w14:textId="77777777" w:rsidTr="009D110D">
        <w:trPr>
          <w:trHeight w:val="20"/>
        </w:trPr>
        <w:tc>
          <w:tcPr>
            <w:tcW w:w="2688" w:type="dxa"/>
            <w:vAlign w:val="bottom"/>
          </w:tcPr>
          <w:p w14:paraId="563B1CE7" w14:textId="77777777" w:rsidR="00D574F0" w:rsidRPr="000C53ED" w:rsidRDefault="00D574F0" w:rsidP="0013526B">
            <w:pPr>
              <w:ind w:left="284" w:hanging="142"/>
              <w:rPr>
                <w:b/>
                <w:caps/>
                <w:sz w:val="18"/>
                <w:szCs w:val="18"/>
              </w:rPr>
            </w:pPr>
            <w:r w:rsidRPr="000C53ED">
              <w:rPr>
                <w:b/>
                <w:sz w:val="18"/>
                <w:szCs w:val="18"/>
              </w:rPr>
              <w:t>ARUS</w:t>
            </w:r>
            <w:r w:rsidRPr="000C53ED">
              <w:rPr>
                <w:b/>
                <w:caps/>
                <w:sz w:val="18"/>
                <w:szCs w:val="18"/>
              </w:rPr>
              <w:t xml:space="preserve"> kas dari aktivitas operasi</w:t>
            </w:r>
          </w:p>
        </w:tc>
        <w:tc>
          <w:tcPr>
            <w:tcW w:w="1841" w:type="dxa"/>
            <w:shd w:val="clear" w:color="auto" w:fill="auto"/>
            <w:vAlign w:val="bottom"/>
          </w:tcPr>
          <w:p w14:paraId="34D0AEC6" w14:textId="77777777" w:rsidR="00D574F0" w:rsidRPr="000C53ED" w:rsidRDefault="00D574F0" w:rsidP="0013526B">
            <w:pPr>
              <w:jc w:val="right"/>
              <w:rPr>
                <w:b/>
                <w:caps/>
                <w:sz w:val="18"/>
                <w:szCs w:val="18"/>
              </w:rPr>
            </w:pPr>
          </w:p>
        </w:tc>
        <w:tc>
          <w:tcPr>
            <w:tcW w:w="162" w:type="dxa"/>
            <w:tcMar>
              <w:left w:w="28" w:type="dxa"/>
              <w:right w:w="28" w:type="dxa"/>
            </w:tcMar>
            <w:vAlign w:val="bottom"/>
          </w:tcPr>
          <w:p w14:paraId="44CDA823" w14:textId="77777777" w:rsidR="00D574F0" w:rsidRPr="000C53ED" w:rsidRDefault="00D574F0" w:rsidP="0013526B">
            <w:pPr>
              <w:jc w:val="right"/>
              <w:rPr>
                <w:b/>
                <w:caps/>
                <w:sz w:val="18"/>
                <w:szCs w:val="18"/>
              </w:rPr>
            </w:pPr>
          </w:p>
        </w:tc>
        <w:tc>
          <w:tcPr>
            <w:tcW w:w="1841" w:type="dxa"/>
            <w:vAlign w:val="bottom"/>
          </w:tcPr>
          <w:p w14:paraId="20B82820" w14:textId="77777777" w:rsidR="00D574F0" w:rsidRPr="000C53ED" w:rsidRDefault="00D574F0" w:rsidP="0013526B">
            <w:pPr>
              <w:jc w:val="right"/>
              <w:rPr>
                <w:b/>
                <w:caps/>
                <w:sz w:val="18"/>
                <w:szCs w:val="18"/>
                <w:highlight w:val="green"/>
              </w:rPr>
            </w:pPr>
          </w:p>
        </w:tc>
        <w:tc>
          <w:tcPr>
            <w:tcW w:w="2682" w:type="dxa"/>
            <w:vAlign w:val="bottom"/>
          </w:tcPr>
          <w:p w14:paraId="53E80C32" w14:textId="77777777" w:rsidR="00D574F0" w:rsidRPr="000C53ED" w:rsidRDefault="00D574F0" w:rsidP="0013526B">
            <w:pPr>
              <w:ind w:right="57"/>
              <w:jc w:val="right"/>
              <w:rPr>
                <w:b/>
                <w:i/>
                <w:sz w:val="18"/>
                <w:szCs w:val="18"/>
              </w:rPr>
            </w:pPr>
            <w:r w:rsidRPr="000C53ED">
              <w:rPr>
                <w:b/>
                <w:i/>
                <w:sz w:val="18"/>
                <w:szCs w:val="18"/>
              </w:rPr>
              <w:t>CASH FLOWS FROM</w:t>
            </w:r>
          </w:p>
          <w:p w14:paraId="0828B954" w14:textId="77777777" w:rsidR="00D574F0" w:rsidRPr="000C53ED" w:rsidRDefault="00D574F0" w:rsidP="0013526B">
            <w:pPr>
              <w:ind w:right="288"/>
              <w:jc w:val="right"/>
              <w:rPr>
                <w:b/>
                <w:i/>
                <w:sz w:val="18"/>
                <w:szCs w:val="18"/>
              </w:rPr>
            </w:pPr>
            <w:r w:rsidRPr="000C53ED">
              <w:rPr>
                <w:b/>
                <w:i/>
                <w:sz w:val="18"/>
                <w:szCs w:val="18"/>
              </w:rPr>
              <w:t>OPERATING ACTIVITIES</w:t>
            </w:r>
          </w:p>
        </w:tc>
      </w:tr>
      <w:tr w:rsidR="00D574F0" w:rsidRPr="000C53ED" w14:paraId="0FAC3608" w14:textId="77777777" w:rsidTr="009D110D">
        <w:trPr>
          <w:trHeight w:val="20"/>
        </w:trPr>
        <w:tc>
          <w:tcPr>
            <w:tcW w:w="2688" w:type="dxa"/>
            <w:vAlign w:val="bottom"/>
          </w:tcPr>
          <w:p w14:paraId="31F4FCE6" w14:textId="7635EE6D" w:rsidR="00D574F0" w:rsidRPr="000C53ED" w:rsidRDefault="00D574F0" w:rsidP="00BB7644">
            <w:pPr>
              <w:ind w:left="284" w:hanging="142"/>
              <w:rPr>
                <w:sz w:val="18"/>
                <w:szCs w:val="18"/>
              </w:rPr>
            </w:pPr>
            <w:r w:rsidRPr="000C53ED">
              <w:rPr>
                <w:sz w:val="18"/>
                <w:szCs w:val="18"/>
              </w:rPr>
              <w:t xml:space="preserve">Penerimaan </w:t>
            </w:r>
            <w:r w:rsidR="00BB7644" w:rsidRPr="000C53ED">
              <w:rPr>
                <w:sz w:val="18"/>
                <w:szCs w:val="18"/>
              </w:rPr>
              <w:t>dari pasien</w:t>
            </w:r>
            <w:r w:rsidRPr="000C53ED">
              <w:rPr>
                <w:sz w:val="18"/>
                <w:szCs w:val="18"/>
              </w:rPr>
              <w:t xml:space="preserve"> </w:t>
            </w:r>
          </w:p>
        </w:tc>
        <w:tc>
          <w:tcPr>
            <w:tcW w:w="1841" w:type="dxa"/>
            <w:shd w:val="clear" w:color="auto" w:fill="auto"/>
            <w:vAlign w:val="bottom"/>
          </w:tcPr>
          <w:p w14:paraId="1E96C605" w14:textId="002C0362" w:rsidR="00D574F0" w:rsidRPr="000B3E3D" w:rsidRDefault="000B3E3D" w:rsidP="0013526B">
            <w:pPr>
              <w:ind w:right="57"/>
              <w:jc w:val="right"/>
              <w:rPr>
                <w:caps/>
                <w:sz w:val="18"/>
                <w:szCs w:val="18"/>
                <w:lang w:val="id-ID"/>
              </w:rPr>
            </w:pPr>
            <w:r>
              <w:rPr>
                <w:caps/>
                <w:sz w:val="18"/>
                <w:szCs w:val="18"/>
              </w:rPr>
              <w:t>2</w:t>
            </w:r>
            <w:r>
              <w:rPr>
                <w:caps/>
                <w:sz w:val="18"/>
                <w:szCs w:val="18"/>
                <w:lang w:val="id-ID"/>
              </w:rPr>
              <w:t>72</w:t>
            </w:r>
            <w:r>
              <w:rPr>
                <w:caps/>
                <w:sz w:val="18"/>
                <w:szCs w:val="18"/>
              </w:rPr>
              <w:t>.</w:t>
            </w:r>
            <w:r>
              <w:rPr>
                <w:caps/>
                <w:sz w:val="18"/>
                <w:szCs w:val="18"/>
                <w:lang w:val="id-ID"/>
              </w:rPr>
              <w:t>129</w:t>
            </w:r>
            <w:r>
              <w:rPr>
                <w:caps/>
                <w:sz w:val="18"/>
                <w:szCs w:val="18"/>
              </w:rPr>
              <w:t>.</w:t>
            </w:r>
            <w:r>
              <w:rPr>
                <w:caps/>
                <w:sz w:val="18"/>
                <w:szCs w:val="18"/>
                <w:lang w:val="id-ID"/>
              </w:rPr>
              <w:t>249</w:t>
            </w:r>
            <w:r w:rsidR="00A36BB2">
              <w:rPr>
                <w:caps/>
                <w:sz w:val="18"/>
                <w:szCs w:val="18"/>
              </w:rPr>
              <w:t>.</w:t>
            </w:r>
            <w:r>
              <w:rPr>
                <w:caps/>
                <w:sz w:val="18"/>
                <w:szCs w:val="18"/>
                <w:lang w:val="id-ID"/>
              </w:rPr>
              <w:t>6</w:t>
            </w:r>
            <w:r w:rsidR="00EA4361" w:rsidRPr="00EA4361">
              <w:rPr>
                <w:caps/>
                <w:sz w:val="18"/>
                <w:szCs w:val="18"/>
              </w:rPr>
              <w:t>9</w:t>
            </w:r>
            <w:r>
              <w:rPr>
                <w:caps/>
                <w:sz w:val="18"/>
                <w:szCs w:val="18"/>
                <w:lang w:val="id-ID"/>
              </w:rPr>
              <w:t>5</w:t>
            </w:r>
          </w:p>
        </w:tc>
        <w:tc>
          <w:tcPr>
            <w:tcW w:w="162" w:type="dxa"/>
            <w:tcMar>
              <w:left w:w="28" w:type="dxa"/>
              <w:right w:w="28" w:type="dxa"/>
            </w:tcMar>
            <w:vAlign w:val="bottom"/>
          </w:tcPr>
          <w:p w14:paraId="193765B7" w14:textId="77777777" w:rsidR="00D574F0" w:rsidRPr="000C53ED" w:rsidRDefault="00D574F0" w:rsidP="0013526B">
            <w:pPr>
              <w:ind w:right="57"/>
              <w:jc w:val="right"/>
              <w:rPr>
                <w:b/>
                <w:caps/>
                <w:sz w:val="18"/>
                <w:szCs w:val="18"/>
              </w:rPr>
            </w:pPr>
          </w:p>
        </w:tc>
        <w:tc>
          <w:tcPr>
            <w:tcW w:w="1841" w:type="dxa"/>
            <w:vAlign w:val="bottom"/>
          </w:tcPr>
          <w:p w14:paraId="7D45E449" w14:textId="33DE754B" w:rsidR="00D574F0" w:rsidRPr="009205D6" w:rsidRDefault="009E18F9" w:rsidP="0013526B">
            <w:pPr>
              <w:ind w:right="57"/>
              <w:jc w:val="right"/>
              <w:rPr>
                <w:bCs w:val="0"/>
                <w:sz w:val="18"/>
                <w:szCs w:val="18"/>
              </w:rPr>
            </w:pPr>
            <w:r w:rsidRPr="009205D6">
              <w:rPr>
                <w:bCs w:val="0"/>
                <w:sz w:val="18"/>
                <w:szCs w:val="18"/>
              </w:rPr>
              <w:t>227</w:t>
            </w:r>
            <w:r w:rsidR="00870FD0">
              <w:rPr>
                <w:bCs w:val="0"/>
                <w:sz w:val="18"/>
                <w:szCs w:val="18"/>
              </w:rPr>
              <w:t>.</w:t>
            </w:r>
            <w:r w:rsidRPr="009205D6">
              <w:rPr>
                <w:bCs w:val="0"/>
                <w:sz w:val="18"/>
                <w:szCs w:val="18"/>
              </w:rPr>
              <w:t>558</w:t>
            </w:r>
            <w:r w:rsidR="00870FD0">
              <w:rPr>
                <w:bCs w:val="0"/>
                <w:sz w:val="18"/>
                <w:szCs w:val="18"/>
              </w:rPr>
              <w:t>.</w:t>
            </w:r>
            <w:r w:rsidRPr="009205D6">
              <w:rPr>
                <w:bCs w:val="0"/>
                <w:sz w:val="18"/>
                <w:szCs w:val="18"/>
              </w:rPr>
              <w:t>335</w:t>
            </w:r>
            <w:r w:rsidR="00870FD0">
              <w:rPr>
                <w:bCs w:val="0"/>
                <w:sz w:val="18"/>
                <w:szCs w:val="18"/>
              </w:rPr>
              <w:t>.</w:t>
            </w:r>
            <w:r w:rsidRPr="009205D6">
              <w:rPr>
                <w:bCs w:val="0"/>
                <w:sz w:val="18"/>
                <w:szCs w:val="18"/>
              </w:rPr>
              <w:t>619</w:t>
            </w:r>
          </w:p>
        </w:tc>
        <w:tc>
          <w:tcPr>
            <w:tcW w:w="2682" w:type="dxa"/>
            <w:vAlign w:val="bottom"/>
          </w:tcPr>
          <w:p w14:paraId="7D53B74E" w14:textId="00126528" w:rsidR="00D574F0" w:rsidRPr="000C53ED" w:rsidRDefault="00D574F0" w:rsidP="00BB7644">
            <w:pPr>
              <w:ind w:right="57"/>
              <w:jc w:val="right"/>
              <w:rPr>
                <w:i/>
                <w:sz w:val="18"/>
                <w:szCs w:val="18"/>
              </w:rPr>
            </w:pPr>
            <w:r w:rsidRPr="000C53ED">
              <w:rPr>
                <w:i/>
                <w:sz w:val="18"/>
                <w:szCs w:val="18"/>
              </w:rPr>
              <w:t xml:space="preserve">Cash received from </w:t>
            </w:r>
            <w:r w:rsidR="00BB7644" w:rsidRPr="000C53ED">
              <w:rPr>
                <w:i/>
                <w:sz w:val="18"/>
                <w:szCs w:val="18"/>
              </w:rPr>
              <w:t>patients</w:t>
            </w:r>
            <w:r w:rsidRPr="000C53ED">
              <w:rPr>
                <w:i/>
                <w:sz w:val="18"/>
                <w:szCs w:val="18"/>
              </w:rPr>
              <w:t xml:space="preserve"> </w:t>
            </w:r>
          </w:p>
        </w:tc>
      </w:tr>
      <w:tr w:rsidR="00D574F0" w:rsidRPr="000C53ED" w14:paraId="4574C154" w14:textId="77777777" w:rsidTr="009D110D">
        <w:trPr>
          <w:trHeight w:val="20"/>
        </w:trPr>
        <w:tc>
          <w:tcPr>
            <w:tcW w:w="2688" w:type="dxa"/>
            <w:vAlign w:val="bottom"/>
          </w:tcPr>
          <w:p w14:paraId="5CA18CC6" w14:textId="376B1CB3" w:rsidR="00D574F0" w:rsidRPr="000C53ED" w:rsidRDefault="00D574F0" w:rsidP="0013526B">
            <w:pPr>
              <w:ind w:left="284" w:hanging="142"/>
              <w:rPr>
                <w:sz w:val="18"/>
                <w:szCs w:val="18"/>
              </w:rPr>
            </w:pPr>
            <w:r w:rsidRPr="000C53ED">
              <w:rPr>
                <w:sz w:val="18"/>
                <w:szCs w:val="18"/>
              </w:rPr>
              <w:t>Pembayaran kas kepada pemasok</w:t>
            </w:r>
            <w:r w:rsidR="00BB7644" w:rsidRPr="000C53ED">
              <w:rPr>
                <w:sz w:val="18"/>
                <w:szCs w:val="18"/>
              </w:rPr>
              <w:t xml:space="preserve"> dan kontraktor</w:t>
            </w:r>
          </w:p>
        </w:tc>
        <w:tc>
          <w:tcPr>
            <w:tcW w:w="1841" w:type="dxa"/>
            <w:shd w:val="clear" w:color="auto" w:fill="auto"/>
            <w:vAlign w:val="bottom"/>
          </w:tcPr>
          <w:p w14:paraId="3CA266CA" w14:textId="5A093A2D" w:rsidR="00D574F0" w:rsidRPr="000C53ED" w:rsidRDefault="000B3E3D" w:rsidP="00B55818">
            <w:pPr>
              <w:ind w:right="57"/>
              <w:jc w:val="right"/>
              <w:rPr>
                <w:caps/>
                <w:sz w:val="18"/>
                <w:szCs w:val="18"/>
              </w:rPr>
            </w:pPr>
            <w:r>
              <w:rPr>
                <w:caps/>
                <w:sz w:val="18"/>
                <w:szCs w:val="18"/>
              </w:rPr>
              <w:t>(</w:t>
            </w:r>
            <w:r>
              <w:rPr>
                <w:caps/>
                <w:sz w:val="18"/>
                <w:szCs w:val="18"/>
                <w:lang w:val="id-ID"/>
              </w:rPr>
              <w:t>69</w:t>
            </w:r>
            <w:r>
              <w:rPr>
                <w:caps/>
                <w:sz w:val="18"/>
                <w:szCs w:val="18"/>
              </w:rPr>
              <w:t>.</w:t>
            </w:r>
            <w:r w:rsidR="00A36BB2">
              <w:rPr>
                <w:caps/>
                <w:sz w:val="18"/>
                <w:szCs w:val="18"/>
              </w:rPr>
              <w:t>62</w:t>
            </w:r>
            <w:r>
              <w:rPr>
                <w:caps/>
                <w:sz w:val="18"/>
                <w:szCs w:val="18"/>
                <w:lang w:val="id-ID"/>
              </w:rPr>
              <w:t>5</w:t>
            </w:r>
            <w:r>
              <w:rPr>
                <w:caps/>
                <w:sz w:val="18"/>
                <w:szCs w:val="18"/>
              </w:rPr>
              <w:t>.</w:t>
            </w:r>
            <w:r>
              <w:rPr>
                <w:caps/>
                <w:sz w:val="18"/>
                <w:szCs w:val="18"/>
                <w:lang w:val="id-ID"/>
              </w:rPr>
              <w:t>3</w:t>
            </w:r>
            <w:r w:rsidR="00A36BB2">
              <w:rPr>
                <w:caps/>
                <w:sz w:val="18"/>
                <w:szCs w:val="18"/>
              </w:rPr>
              <w:t>6</w:t>
            </w:r>
            <w:r>
              <w:rPr>
                <w:caps/>
                <w:sz w:val="18"/>
                <w:szCs w:val="18"/>
                <w:lang w:val="id-ID"/>
              </w:rPr>
              <w:t>1</w:t>
            </w:r>
            <w:r w:rsidR="00A36BB2">
              <w:rPr>
                <w:caps/>
                <w:sz w:val="18"/>
                <w:szCs w:val="18"/>
              </w:rPr>
              <w:t>.</w:t>
            </w:r>
            <w:r>
              <w:rPr>
                <w:caps/>
                <w:sz w:val="18"/>
                <w:szCs w:val="18"/>
                <w:lang w:val="id-ID"/>
              </w:rPr>
              <w:t>285</w:t>
            </w:r>
            <w:r w:rsidR="00EA4361" w:rsidRPr="00EA4361">
              <w:rPr>
                <w:caps/>
                <w:sz w:val="18"/>
                <w:szCs w:val="18"/>
              </w:rPr>
              <w:t>)</w:t>
            </w:r>
          </w:p>
        </w:tc>
        <w:tc>
          <w:tcPr>
            <w:tcW w:w="162" w:type="dxa"/>
            <w:tcMar>
              <w:left w:w="28" w:type="dxa"/>
              <w:right w:w="28" w:type="dxa"/>
            </w:tcMar>
            <w:vAlign w:val="bottom"/>
          </w:tcPr>
          <w:p w14:paraId="3D4E2B93" w14:textId="77777777" w:rsidR="00D574F0" w:rsidRPr="000C53ED" w:rsidRDefault="00D574F0" w:rsidP="0013526B">
            <w:pPr>
              <w:ind w:right="57"/>
              <w:jc w:val="right"/>
              <w:rPr>
                <w:b/>
                <w:caps/>
                <w:sz w:val="18"/>
                <w:szCs w:val="18"/>
              </w:rPr>
            </w:pPr>
          </w:p>
        </w:tc>
        <w:tc>
          <w:tcPr>
            <w:tcW w:w="1841" w:type="dxa"/>
            <w:vAlign w:val="bottom"/>
          </w:tcPr>
          <w:p w14:paraId="7AEA7839" w14:textId="543D9E27" w:rsidR="00D574F0" w:rsidRPr="009205D6" w:rsidRDefault="009E18F9" w:rsidP="0013526B">
            <w:pPr>
              <w:ind w:right="57"/>
              <w:jc w:val="right"/>
              <w:rPr>
                <w:bCs w:val="0"/>
                <w:sz w:val="18"/>
                <w:szCs w:val="18"/>
              </w:rPr>
            </w:pPr>
            <w:r w:rsidRPr="009205D6">
              <w:rPr>
                <w:bCs w:val="0"/>
                <w:sz w:val="18"/>
                <w:szCs w:val="18"/>
              </w:rPr>
              <w:t>(26</w:t>
            </w:r>
            <w:r w:rsidR="00870FD0">
              <w:rPr>
                <w:bCs w:val="0"/>
                <w:sz w:val="18"/>
                <w:szCs w:val="18"/>
              </w:rPr>
              <w:t>.</w:t>
            </w:r>
            <w:r w:rsidRPr="009205D6">
              <w:rPr>
                <w:bCs w:val="0"/>
                <w:sz w:val="18"/>
                <w:szCs w:val="18"/>
              </w:rPr>
              <w:t>579</w:t>
            </w:r>
            <w:r w:rsidR="00870FD0">
              <w:rPr>
                <w:bCs w:val="0"/>
                <w:sz w:val="18"/>
                <w:szCs w:val="18"/>
              </w:rPr>
              <w:t>.</w:t>
            </w:r>
            <w:r w:rsidRPr="009205D6">
              <w:rPr>
                <w:bCs w:val="0"/>
                <w:sz w:val="18"/>
                <w:szCs w:val="18"/>
              </w:rPr>
              <w:t>905</w:t>
            </w:r>
            <w:r w:rsidR="00870FD0">
              <w:rPr>
                <w:bCs w:val="0"/>
                <w:sz w:val="18"/>
                <w:szCs w:val="18"/>
              </w:rPr>
              <w:t>.</w:t>
            </w:r>
            <w:r w:rsidRPr="009205D6">
              <w:rPr>
                <w:bCs w:val="0"/>
                <w:sz w:val="18"/>
                <w:szCs w:val="18"/>
              </w:rPr>
              <w:t>393)</w:t>
            </w:r>
          </w:p>
        </w:tc>
        <w:tc>
          <w:tcPr>
            <w:tcW w:w="2682" w:type="dxa"/>
            <w:vAlign w:val="bottom"/>
          </w:tcPr>
          <w:p w14:paraId="6EE3C766" w14:textId="77777777" w:rsidR="00706B78" w:rsidRDefault="00D574F0" w:rsidP="00BB7644">
            <w:pPr>
              <w:ind w:right="61"/>
              <w:jc w:val="right"/>
              <w:rPr>
                <w:i/>
                <w:sz w:val="18"/>
                <w:szCs w:val="18"/>
              </w:rPr>
            </w:pPr>
            <w:r w:rsidRPr="000C53ED">
              <w:rPr>
                <w:i/>
                <w:sz w:val="18"/>
                <w:szCs w:val="18"/>
              </w:rPr>
              <w:t>Cash paid to suppliers</w:t>
            </w:r>
            <w:r w:rsidR="00BB7644" w:rsidRPr="000C53ED">
              <w:rPr>
                <w:i/>
                <w:sz w:val="18"/>
                <w:szCs w:val="18"/>
              </w:rPr>
              <w:t xml:space="preserve"> and</w:t>
            </w:r>
          </w:p>
          <w:p w14:paraId="10130A09" w14:textId="4767A9A4" w:rsidR="00D574F0" w:rsidRPr="000C53ED" w:rsidRDefault="00BB7644" w:rsidP="00706B78">
            <w:pPr>
              <w:ind w:right="292"/>
              <w:jc w:val="right"/>
              <w:rPr>
                <w:i/>
                <w:sz w:val="18"/>
                <w:szCs w:val="18"/>
              </w:rPr>
            </w:pPr>
            <w:r w:rsidRPr="000C53ED">
              <w:rPr>
                <w:i/>
                <w:sz w:val="18"/>
                <w:szCs w:val="18"/>
              </w:rPr>
              <w:t>contractors</w:t>
            </w:r>
          </w:p>
        </w:tc>
      </w:tr>
      <w:tr w:rsidR="00D574F0" w:rsidRPr="000C53ED" w14:paraId="7B886F33" w14:textId="77777777" w:rsidTr="009D110D">
        <w:trPr>
          <w:trHeight w:val="20"/>
        </w:trPr>
        <w:tc>
          <w:tcPr>
            <w:tcW w:w="2688" w:type="dxa"/>
            <w:vAlign w:val="bottom"/>
          </w:tcPr>
          <w:p w14:paraId="2B2986FD" w14:textId="61413470" w:rsidR="00D574F0" w:rsidRPr="000C53ED" w:rsidRDefault="00D574F0" w:rsidP="0013526B">
            <w:pPr>
              <w:ind w:left="284" w:hanging="142"/>
              <w:rPr>
                <w:sz w:val="18"/>
                <w:szCs w:val="18"/>
              </w:rPr>
            </w:pPr>
            <w:r w:rsidRPr="000C53ED">
              <w:rPr>
                <w:sz w:val="18"/>
                <w:szCs w:val="18"/>
              </w:rPr>
              <w:t>Pembayaran kas kepada</w:t>
            </w:r>
            <w:r w:rsidR="00BB7644" w:rsidRPr="000C53ED">
              <w:rPr>
                <w:sz w:val="18"/>
                <w:szCs w:val="18"/>
              </w:rPr>
              <w:t xml:space="preserve"> direksi dan</w:t>
            </w:r>
            <w:r w:rsidRPr="000C53ED">
              <w:rPr>
                <w:sz w:val="18"/>
                <w:szCs w:val="18"/>
              </w:rPr>
              <w:t xml:space="preserve"> karyawan </w:t>
            </w:r>
          </w:p>
        </w:tc>
        <w:tc>
          <w:tcPr>
            <w:tcW w:w="1841" w:type="dxa"/>
            <w:shd w:val="clear" w:color="auto" w:fill="auto"/>
            <w:vAlign w:val="bottom"/>
          </w:tcPr>
          <w:p w14:paraId="732C58B8" w14:textId="43D0AE41" w:rsidR="00D574F0" w:rsidRPr="000C53ED" w:rsidRDefault="000B3E3D" w:rsidP="00B55818">
            <w:pPr>
              <w:ind w:right="57"/>
              <w:jc w:val="right"/>
              <w:rPr>
                <w:sz w:val="18"/>
                <w:szCs w:val="18"/>
              </w:rPr>
            </w:pPr>
            <w:r>
              <w:rPr>
                <w:sz w:val="18"/>
                <w:szCs w:val="18"/>
              </w:rPr>
              <w:t>(129</w:t>
            </w:r>
            <w:r>
              <w:rPr>
                <w:sz w:val="18"/>
                <w:szCs w:val="18"/>
                <w:lang w:val="id-ID"/>
              </w:rPr>
              <w:t>.</w:t>
            </w:r>
            <w:r w:rsidR="00A36BB2">
              <w:rPr>
                <w:sz w:val="18"/>
                <w:szCs w:val="18"/>
              </w:rPr>
              <w:t>7</w:t>
            </w:r>
            <w:r>
              <w:rPr>
                <w:sz w:val="18"/>
                <w:szCs w:val="18"/>
                <w:lang w:val="id-ID"/>
              </w:rPr>
              <w:t>17</w:t>
            </w:r>
            <w:r>
              <w:rPr>
                <w:sz w:val="18"/>
                <w:szCs w:val="18"/>
              </w:rPr>
              <w:t>.</w:t>
            </w:r>
            <w:r>
              <w:rPr>
                <w:sz w:val="18"/>
                <w:szCs w:val="18"/>
                <w:lang w:val="id-ID"/>
              </w:rPr>
              <w:t>290</w:t>
            </w:r>
            <w:r w:rsidR="00A36BB2">
              <w:rPr>
                <w:sz w:val="18"/>
                <w:szCs w:val="18"/>
              </w:rPr>
              <w:t>.</w:t>
            </w:r>
            <w:r>
              <w:rPr>
                <w:sz w:val="18"/>
                <w:szCs w:val="18"/>
                <w:lang w:val="id-ID"/>
              </w:rPr>
              <w:t>57</w:t>
            </w:r>
            <w:r>
              <w:rPr>
                <w:sz w:val="18"/>
                <w:szCs w:val="18"/>
              </w:rPr>
              <w:t>9</w:t>
            </w:r>
            <w:r w:rsidR="00EA4361" w:rsidRPr="00EA4361">
              <w:rPr>
                <w:sz w:val="18"/>
                <w:szCs w:val="18"/>
              </w:rPr>
              <w:t>)</w:t>
            </w:r>
          </w:p>
        </w:tc>
        <w:tc>
          <w:tcPr>
            <w:tcW w:w="162" w:type="dxa"/>
            <w:tcMar>
              <w:left w:w="28" w:type="dxa"/>
              <w:right w:w="28" w:type="dxa"/>
            </w:tcMar>
            <w:vAlign w:val="bottom"/>
          </w:tcPr>
          <w:p w14:paraId="07548F9F" w14:textId="77777777" w:rsidR="00D574F0" w:rsidRPr="000C53ED" w:rsidRDefault="00D574F0" w:rsidP="0013526B">
            <w:pPr>
              <w:ind w:right="57"/>
              <w:jc w:val="right"/>
              <w:rPr>
                <w:b/>
                <w:sz w:val="18"/>
                <w:szCs w:val="18"/>
              </w:rPr>
            </w:pPr>
          </w:p>
        </w:tc>
        <w:tc>
          <w:tcPr>
            <w:tcW w:w="1841" w:type="dxa"/>
            <w:vAlign w:val="bottom"/>
          </w:tcPr>
          <w:p w14:paraId="52167524" w14:textId="68036066" w:rsidR="00D574F0" w:rsidRPr="009205D6" w:rsidRDefault="009E18F9" w:rsidP="0013526B">
            <w:pPr>
              <w:ind w:right="57"/>
              <w:jc w:val="right"/>
              <w:rPr>
                <w:bCs w:val="0"/>
                <w:sz w:val="18"/>
                <w:szCs w:val="18"/>
              </w:rPr>
            </w:pPr>
            <w:r w:rsidRPr="009205D6">
              <w:rPr>
                <w:bCs w:val="0"/>
                <w:sz w:val="18"/>
                <w:szCs w:val="18"/>
              </w:rPr>
              <w:t>(123</w:t>
            </w:r>
            <w:r w:rsidR="00870FD0">
              <w:rPr>
                <w:bCs w:val="0"/>
                <w:sz w:val="18"/>
                <w:szCs w:val="18"/>
              </w:rPr>
              <w:t>.</w:t>
            </w:r>
            <w:r w:rsidRPr="009205D6">
              <w:rPr>
                <w:bCs w:val="0"/>
                <w:sz w:val="18"/>
                <w:szCs w:val="18"/>
              </w:rPr>
              <w:t>052</w:t>
            </w:r>
            <w:r w:rsidR="00870FD0">
              <w:rPr>
                <w:bCs w:val="0"/>
                <w:sz w:val="18"/>
                <w:szCs w:val="18"/>
              </w:rPr>
              <w:t>.</w:t>
            </w:r>
            <w:r w:rsidRPr="009205D6">
              <w:rPr>
                <w:bCs w:val="0"/>
                <w:sz w:val="18"/>
                <w:szCs w:val="18"/>
              </w:rPr>
              <w:t>464</w:t>
            </w:r>
            <w:r w:rsidR="00870FD0">
              <w:rPr>
                <w:bCs w:val="0"/>
                <w:sz w:val="18"/>
                <w:szCs w:val="18"/>
              </w:rPr>
              <w:t>.</w:t>
            </w:r>
            <w:r w:rsidRPr="009205D6">
              <w:rPr>
                <w:bCs w:val="0"/>
                <w:sz w:val="18"/>
                <w:szCs w:val="18"/>
              </w:rPr>
              <w:t>252)</w:t>
            </w:r>
          </w:p>
        </w:tc>
        <w:tc>
          <w:tcPr>
            <w:tcW w:w="2682" w:type="dxa"/>
            <w:vAlign w:val="bottom"/>
          </w:tcPr>
          <w:p w14:paraId="61C3B9B0" w14:textId="77777777" w:rsidR="00706B78" w:rsidRDefault="00D574F0" w:rsidP="00BB7644">
            <w:pPr>
              <w:ind w:right="61"/>
              <w:jc w:val="right"/>
              <w:rPr>
                <w:i/>
                <w:sz w:val="18"/>
                <w:szCs w:val="18"/>
              </w:rPr>
            </w:pPr>
            <w:r w:rsidRPr="000C53ED">
              <w:rPr>
                <w:i/>
                <w:sz w:val="18"/>
                <w:szCs w:val="18"/>
              </w:rPr>
              <w:t>Cash paid to</w:t>
            </w:r>
            <w:r w:rsidR="00BB7644" w:rsidRPr="000C53ED">
              <w:rPr>
                <w:i/>
                <w:sz w:val="18"/>
                <w:szCs w:val="18"/>
              </w:rPr>
              <w:t xml:space="preserve"> directors and</w:t>
            </w:r>
          </w:p>
          <w:p w14:paraId="4298D0A0" w14:textId="1AF2701D" w:rsidR="00D574F0" w:rsidRPr="000C53ED" w:rsidRDefault="00D574F0" w:rsidP="00706B78">
            <w:pPr>
              <w:ind w:right="278"/>
              <w:jc w:val="right"/>
              <w:rPr>
                <w:i/>
                <w:sz w:val="18"/>
                <w:szCs w:val="18"/>
              </w:rPr>
            </w:pPr>
            <w:r w:rsidRPr="000C53ED">
              <w:rPr>
                <w:i/>
                <w:sz w:val="18"/>
                <w:szCs w:val="18"/>
              </w:rPr>
              <w:t xml:space="preserve">employees </w:t>
            </w:r>
          </w:p>
        </w:tc>
      </w:tr>
      <w:tr w:rsidR="00D574F0" w:rsidRPr="000C53ED" w14:paraId="6ED91288" w14:textId="77777777" w:rsidTr="009D110D">
        <w:trPr>
          <w:trHeight w:val="20"/>
        </w:trPr>
        <w:tc>
          <w:tcPr>
            <w:tcW w:w="2688" w:type="dxa"/>
            <w:vAlign w:val="bottom"/>
          </w:tcPr>
          <w:p w14:paraId="3C1EF901" w14:textId="546FB349" w:rsidR="00D574F0" w:rsidRPr="000C53ED" w:rsidRDefault="00D574F0" w:rsidP="00BB7644">
            <w:pPr>
              <w:ind w:left="284" w:hanging="142"/>
              <w:rPr>
                <w:sz w:val="18"/>
                <w:szCs w:val="18"/>
              </w:rPr>
            </w:pPr>
            <w:r w:rsidRPr="000C53ED">
              <w:rPr>
                <w:sz w:val="18"/>
                <w:szCs w:val="18"/>
              </w:rPr>
              <w:t xml:space="preserve">Pembayaran </w:t>
            </w:r>
            <w:r w:rsidR="00BB7644" w:rsidRPr="000C53ED">
              <w:rPr>
                <w:sz w:val="18"/>
                <w:szCs w:val="18"/>
              </w:rPr>
              <w:t xml:space="preserve">untuk operasional </w:t>
            </w:r>
            <w:r w:rsidR="00BB7644" w:rsidRPr="000C53ED">
              <w:rPr>
                <w:sz w:val="18"/>
                <w:szCs w:val="18"/>
              </w:rPr>
              <w:br/>
              <w:t>lainya</w:t>
            </w:r>
          </w:p>
        </w:tc>
        <w:tc>
          <w:tcPr>
            <w:tcW w:w="1841" w:type="dxa"/>
            <w:tcBorders>
              <w:bottom w:val="single" w:sz="4" w:space="0" w:color="auto"/>
            </w:tcBorders>
            <w:shd w:val="clear" w:color="auto" w:fill="auto"/>
            <w:vAlign w:val="bottom"/>
          </w:tcPr>
          <w:p w14:paraId="0B437069" w14:textId="2D17F959" w:rsidR="00D574F0" w:rsidRPr="000C53ED" w:rsidRDefault="000B3E3D" w:rsidP="00B55818">
            <w:pPr>
              <w:ind w:right="57"/>
              <w:jc w:val="right"/>
              <w:rPr>
                <w:sz w:val="18"/>
                <w:szCs w:val="18"/>
              </w:rPr>
            </w:pPr>
            <w:r>
              <w:rPr>
                <w:sz w:val="18"/>
                <w:szCs w:val="18"/>
              </w:rPr>
              <w:t>(</w:t>
            </w:r>
            <w:r w:rsidR="00A36BB2">
              <w:rPr>
                <w:sz w:val="18"/>
                <w:szCs w:val="18"/>
              </w:rPr>
              <w:t>6</w:t>
            </w:r>
            <w:r>
              <w:rPr>
                <w:sz w:val="18"/>
                <w:szCs w:val="18"/>
                <w:lang w:val="id-ID"/>
              </w:rPr>
              <w:t>4</w:t>
            </w:r>
            <w:r>
              <w:rPr>
                <w:sz w:val="18"/>
                <w:szCs w:val="18"/>
              </w:rPr>
              <w:t>.</w:t>
            </w:r>
            <w:r>
              <w:rPr>
                <w:sz w:val="18"/>
                <w:szCs w:val="18"/>
                <w:lang w:val="id-ID"/>
              </w:rPr>
              <w:t>642</w:t>
            </w:r>
            <w:r>
              <w:rPr>
                <w:sz w:val="18"/>
                <w:szCs w:val="18"/>
              </w:rPr>
              <w:t>.</w:t>
            </w:r>
            <w:r>
              <w:rPr>
                <w:sz w:val="18"/>
                <w:szCs w:val="18"/>
                <w:lang w:val="id-ID"/>
              </w:rPr>
              <w:t>380</w:t>
            </w:r>
            <w:r w:rsidR="00A36BB2">
              <w:rPr>
                <w:sz w:val="18"/>
                <w:szCs w:val="18"/>
              </w:rPr>
              <w:t>.</w:t>
            </w:r>
            <w:r>
              <w:rPr>
                <w:sz w:val="18"/>
                <w:szCs w:val="18"/>
                <w:lang w:val="id-ID"/>
              </w:rPr>
              <w:t>117</w:t>
            </w:r>
            <w:r w:rsidR="00EA4361" w:rsidRPr="00EA4361">
              <w:rPr>
                <w:sz w:val="18"/>
                <w:szCs w:val="18"/>
              </w:rPr>
              <w:t>)</w:t>
            </w:r>
          </w:p>
        </w:tc>
        <w:tc>
          <w:tcPr>
            <w:tcW w:w="162" w:type="dxa"/>
            <w:tcMar>
              <w:left w:w="28" w:type="dxa"/>
              <w:right w:w="28" w:type="dxa"/>
            </w:tcMar>
            <w:vAlign w:val="bottom"/>
          </w:tcPr>
          <w:p w14:paraId="353C25D7" w14:textId="77777777" w:rsidR="00D574F0" w:rsidRPr="000C53ED" w:rsidRDefault="00D574F0" w:rsidP="0013526B">
            <w:pPr>
              <w:ind w:right="57"/>
              <w:jc w:val="right"/>
              <w:rPr>
                <w:b/>
                <w:sz w:val="18"/>
                <w:szCs w:val="18"/>
              </w:rPr>
            </w:pPr>
          </w:p>
        </w:tc>
        <w:tc>
          <w:tcPr>
            <w:tcW w:w="1841" w:type="dxa"/>
            <w:tcBorders>
              <w:bottom w:val="single" w:sz="4" w:space="0" w:color="auto"/>
            </w:tcBorders>
            <w:vAlign w:val="bottom"/>
          </w:tcPr>
          <w:p w14:paraId="5F847DB3" w14:textId="59D5F7AC" w:rsidR="00D574F0" w:rsidRPr="009205D6" w:rsidRDefault="009E18F9" w:rsidP="0013526B">
            <w:pPr>
              <w:ind w:right="57"/>
              <w:jc w:val="right"/>
              <w:rPr>
                <w:bCs w:val="0"/>
                <w:sz w:val="18"/>
                <w:szCs w:val="18"/>
              </w:rPr>
            </w:pPr>
            <w:r w:rsidRPr="009205D6">
              <w:rPr>
                <w:bCs w:val="0"/>
                <w:sz w:val="18"/>
                <w:szCs w:val="18"/>
              </w:rPr>
              <w:t>(56</w:t>
            </w:r>
            <w:r w:rsidR="00870FD0">
              <w:rPr>
                <w:bCs w:val="0"/>
                <w:sz w:val="18"/>
                <w:szCs w:val="18"/>
              </w:rPr>
              <w:t>.</w:t>
            </w:r>
            <w:r w:rsidRPr="009205D6">
              <w:rPr>
                <w:bCs w:val="0"/>
                <w:sz w:val="18"/>
                <w:szCs w:val="18"/>
              </w:rPr>
              <w:t>970</w:t>
            </w:r>
            <w:r w:rsidR="00870FD0">
              <w:rPr>
                <w:bCs w:val="0"/>
                <w:sz w:val="18"/>
                <w:szCs w:val="18"/>
              </w:rPr>
              <w:t>.</w:t>
            </w:r>
            <w:r w:rsidRPr="009205D6">
              <w:rPr>
                <w:bCs w:val="0"/>
                <w:sz w:val="18"/>
                <w:szCs w:val="18"/>
              </w:rPr>
              <w:t>498</w:t>
            </w:r>
            <w:r w:rsidR="00870FD0">
              <w:rPr>
                <w:bCs w:val="0"/>
                <w:sz w:val="18"/>
                <w:szCs w:val="18"/>
              </w:rPr>
              <w:t>.</w:t>
            </w:r>
            <w:r w:rsidRPr="009205D6">
              <w:rPr>
                <w:bCs w:val="0"/>
                <w:sz w:val="18"/>
                <w:szCs w:val="18"/>
              </w:rPr>
              <w:t>885)</w:t>
            </w:r>
          </w:p>
        </w:tc>
        <w:tc>
          <w:tcPr>
            <w:tcW w:w="2682" w:type="dxa"/>
            <w:vAlign w:val="bottom"/>
          </w:tcPr>
          <w:p w14:paraId="583A4B21" w14:textId="77777777" w:rsidR="00706B78" w:rsidRDefault="00D574F0" w:rsidP="00BB7644">
            <w:pPr>
              <w:ind w:right="61"/>
              <w:jc w:val="right"/>
              <w:rPr>
                <w:i/>
                <w:sz w:val="18"/>
                <w:szCs w:val="18"/>
              </w:rPr>
            </w:pPr>
            <w:r w:rsidRPr="000C53ED">
              <w:rPr>
                <w:i/>
                <w:sz w:val="18"/>
                <w:szCs w:val="18"/>
              </w:rPr>
              <w:t xml:space="preserve">Payments </w:t>
            </w:r>
            <w:r w:rsidR="00BB7644" w:rsidRPr="000C53ED">
              <w:rPr>
                <w:i/>
                <w:sz w:val="18"/>
                <w:szCs w:val="18"/>
              </w:rPr>
              <w:t>for other operating</w:t>
            </w:r>
          </w:p>
          <w:p w14:paraId="78D718A3" w14:textId="583A862D" w:rsidR="00D574F0" w:rsidRPr="000C53ED" w:rsidRDefault="00BB7644" w:rsidP="00706B78">
            <w:pPr>
              <w:ind w:right="306"/>
              <w:jc w:val="right"/>
              <w:rPr>
                <w:i/>
                <w:sz w:val="18"/>
                <w:szCs w:val="18"/>
              </w:rPr>
            </w:pPr>
            <w:r w:rsidRPr="000C53ED">
              <w:rPr>
                <w:i/>
                <w:sz w:val="18"/>
                <w:szCs w:val="18"/>
              </w:rPr>
              <w:t>activities</w:t>
            </w:r>
          </w:p>
        </w:tc>
      </w:tr>
      <w:tr w:rsidR="00D574F0" w:rsidRPr="000C53ED" w14:paraId="489F930C" w14:textId="77777777" w:rsidTr="009D110D">
        <w:trPr>
          <w:trHeight w:val="20"/>
        </w:trPr>
        <w:tc>
          <w:tcPr>
            <w:tcW w:w="2688" w:type="dxa"/>
            <w:vAlign w:val="bottom"/>
          </w:tcPr>
          <w:p w14:paraId="18A8EC36" w14:textId="77777777" w:rsidR="00D574F0" w:rsidRPr="000C53ED" w:rsidRDefault="00D574F0" w:rsidP="0013526B">
            <w:pPr>
              <w:ind w:left="284" w:hanging="142"/>
              <w:rPr>
                <w:sz w:val="18"/>
                <w:szCs w:val="18"/>
              </w:rPr>
            </w:pPr>
          </w:p>
        </w:tc>
        <w:tc>
          <w:tcPr>
            <w:tcW w:w="1841" w:type="dxa"/>
            <w:tcBorders>
              <w:top w:val="single" w:sz="4" w:space="0" w:color="auto"/>
            </w:tcBorders>
            <w:shd w:val="clear" w:color="auto" w:fill="auto"/>
            <w:vAlign w:val="bottom"/>
          </w:tcPr>
          <w:p w14:paraId="237A9063" w14:textId="77777777" w:rsidR="00D574F0" w:rsidRPr="000C53ED" w:rsidRDefault="00D574F0" w:rsidP="0013526B">
            <w:pPr>
              <w:ind w:right="57"/>
              <w:jc w:val="right"/>
              <w:rPr>
                <w:sz w:val="18"/>
                <w:szCs w:val="18"/>
              </w:rPr>
            </w:pPr>
          </w:p>
        </w:tc>
        <w:tc>
          <w:tcPr>
            <w:tcW w:w="162" w:type="dxa"/>
            <w:tcMar>
              <w:left w:w="28" w:type="dxa"/>
              <w:right w:w="28" w:type="dxa"/>
            </w:tcMar>
            <w:vAlign w:val="bottom"/>
          </w:tcPr>
          <w:p w14:paraId="3001E55B" w14:textId="77777777" w:rsidR="00D574F0" w:rsidRPr="000C53ED" w:rsidRDefault="00D574F0" w:rsidP="0013526B">
            <w:pPr>
              <w:ind w:right="57"/>
              <w:jc w:val="right"/>
              <w:rPr>
                <w:b/>
                <w:sz w:val="18"/>
                <w:szCs w:val="18"/>
              </w:rPr>
            </w:pPr>
          </w:p>
        </w:tc>
        <w:tc>
          <w:tcPr>
            <w:tcW w:w="1841" w:type="dxa"/>
            <w:tcBorders>
              <w:top w:val="single" w:sz="4" w:space="0" w:color="auto"/>
            </w:tcBorders>
            <w:vAlign w:val="bottom"/>
          </w:tcPr>
          <w:p w14:paraId="53C8A129" w14:textId="77777777" w:rsidR="00D574F0" w:rsidRPr="009205D6" w:rsidRDefault="00D574F0" w:rsidP="0013526B">
            <w:pPr>
              <w:ind w:right="57"/>
              <w:jc w:val="right"/>
              <w:rPr>
                <w:sz w:val="18"/>
                <w:szCs w:val="18"/>
              </w:rPr>
            </w:pPr>
          </w:p>
        </w:tc>
        <w:tc>
          <w:tcPr>
            <w:tcW w:w="2682" w:type="dxa"/>
            <w:vAlign w:val="bottom"/>
          </w:tcPr>
          <w:p w14:paraId="52DB7836" w14:textId="77777777" w:rsidR="00D574F0" w:rsidRPr="000C53ED" w:rsidRDefault="00D574F0" w:rsidP="0013526B">
            <w:pPr>
              <w:ind w:right="57"/>
              <w:jc w:val="right"/>
              <w:rPr>
                <w:i/>
                <w:sz w:val="18"/>
                <w:szCs w:val="18"/>
              </w:rPr>
            </w:pPr>
          </w:p>
        </w:tc>
      </w:tr>
      <w:tr w:rsidR="00D574F0" w:rsidRPr="000C53ED" w14:paraId="133F9872" w14:textId="77777777" w:rsidTr="009D110D">
        <w:trPr>
          <w:trHeight w:val="20"/>
        </w:trPr>
        <w:tc>
          <w:tcPr>
            <w:tcW w:w="2688" w:type="dxa"/>
            <w:vAlign w:val="bottom"/>
          </w:tcPr>
          <w:p w14:paraId="2CD90EA0" w14:textId="77777777" w:rsidR="00D574F0" w:rsidRPr="000C53ED" w:rsidRDefault="00D574F0" w:rsidP="0013526B">
            <w:pPr>
              <w:ind w:left="284" w:hanging="142"/>
              <w:rPr>
                <w:sz w:val="18"/>
                <w:szCs w:val="18"/>
              </w:rPr>
            </w:pPr>
            <w:r w:rsidRPr="000C53ED">
              <w:rPr>
                <w:sz w:val="18"/>
                <w:szCs w:val="18"/>
              </w:rPr>
              <w:t xml:space="preserve">Kas yang dihasilkan dari operasi </w:t>
            </w:r>
          </w:p>
        </w:tc>
        <w:tc>
          <w:tcPr>
            <w:tcW w:w="1841" w:type="dxa"/>
            <w:shd w:val="clear" w:color="auto" w:fill="auto"/>
            <w:vAlign w:val="bottom"/>
          </w:tcPr>
          <w:p w14:paraId="1E12CCBF" w14:textId="0BA8DF83" w:rsidR="00D574F0" w:rsidRPr="00383488" w:rsidRDefault="00383488" w:rsidP="00B55818">
            <w:pPr>
              <w:ind w:right="57"/>
              <w:jc w:val="right"/>
              <w:rPr>
                <w:sz w:val="18"/>
                <w:szCs w:val="18"/>
                <w:lang w:val="id-ID"/>
              </w:rPr>
            </w:pPr>
            <w:r>
              <w:rPr>
                <w:sz w:val="18"/>
                <w:szCs w:val="18"/>
                <w:lang w:val="id-ID"/>
              </w:rPr>
              <w:t>8</w:t>
            </w:r>
            <w:r>
              <w:rPr>
                <w:sz w:val="18"/>
                <w:szCs w:val="18"/>
              </w:rPr>
              <w:t>.</w:t>
            </w:r>
            <w:r>
              <w:rPr>
                <w:sz w:val="18"/>
                <w:szCs w:val="18"/>
                <w:lang w:val="id-ID"/>
              </w:rPr>
              <w:t>144</w:t>
            </w:r>
            <w:r>
              <w:rPr>
                <w:sz w:val="18"/>
                <w:szCs w:val="18"/>
              </w:rPr>
              <w:t>.</w:t>
            </w:r>
            <w:r>
              <w:rPr>
                <w:sz w:val="18"/>
                <w:szCs w:val="18"/>
                <w:lang w:val="id-ID"/>
              </w:rPr>
              <w:t>217</w:t>
            </w:r>
            <w:r>
              <w:rPr>
                <w:sz w:val="18"/>
                <w:szCs w:val="18"/>
              </w:rPr>
              <w:t>.7</w:t>
            </w:r>
            <w:r>
              <w:rPr>
                <w:sz w:val="18"/>
                <w:szCs w:val="18"/>
                <w:lang w:val="id-ID"/>
              </w:rPr>
              <w:t>14</w:t>
            </w:r>
          </w:p>
        </w:tc>
        <w:tc>
          <w:tcPr>
            <w:tcW w:w="162" w:type="dxa"/>
            <w:tcMar>
              <w:left w:w="28" w:type="dxa"/>
              <w:right w:w="28" w:type="dxa"/>
            </w:tcMar>
            <w:vAlign w:val="bottom"/>
          </w:tcPr>
          <w:p w14:paraId="52456CD7" w14:textId="77777777" w:rsidR="00D574F0" w:rsidRPr="000C53ED" w:rsidRDefault="00D574F0" w:rsidP="0013526B">
            <w:pPr>
              <w:ind w:right="57"/>
              <w:jc w:val="right"/>
              <w:rPr>
                <w:b/>
                <w:sz w:val="18"/>
                <w:szCs w:val="18"/>
              </w:rPr>
            </w:pPr>
          </w:p>
        </w:tc>
        <w:tc>
          <w:tcPr>
            <w:tcW w:w="1841" w:type="dxa"/>
            <w:vAlign w:val="bottom"/>
          </w:tcPr>
          <w:p w14:paraId="4C6D4973" w14:textId="586C89AE" w:rsidR="00D574F0" w:rsidRPr="009205D6" w:rsidRDefault="009E18F9" w:rsidP="0013526B">
            <w:pPr>
              <w:ind w:right="57"/>
              <w:jc w:val="right"/>
              <w:rPr>
                <w:sz w:val="18"/>
                <w:szCs w:val="18"/>
              </w:rPr>
            </w:pPr>
            <w:r w:rsidRPr="009205D6">
              <w:rPr>
                <w:sz w:val="18"/>
                <w:szCs w:val="18"/>
              </w:rPr>
              <w:t>20</w:t>
            </w:r>
            <w:r w:rsidR="00870FD0">
              <w:rPr>
                <w:sz w:val="18"/>
                <w:szCs w:val="18"/>
              </w:rPr>
              <w:t>.</w:t>
            </w:r>
            <w:r w:rsidRPr="009205D6">
              <w:rPr>
                <w:sz w:val="18"/>
                <w:szCs w:val="18"/>
              </w:rPr>
              <w:t>955</w:t>
            </w:r>
            <w:r w:rsidR="00870FD0">
              <w:rPr>
                <w:sz w:val="18"/>
                <w:szCs w:val="18"/>
              </w:rPr>
              <w:t>.</w:t>
            </w:r>
            <w:r w:rsidRPr="009205D6">
              <w:rPr>
                <w:sz w:val="18"/>
                <w:szCs w:val="18"/>
              </w:rPr>
              <w:t>467</w:t>
            </w:r>
            <w:r w:rsidR="00870FD0">
              <w:rPr>
                <w:sz w:val="18"/>
                <w:szCs w:val="18"/>
              </w:rPr>
              <w:t>.</w:t>
            </w:r>
            <w:r w:rsidRPr="009205D6">
              <w:rPr>
                <w:sz w:val="18"/>
                <w:szCs w:val="18"/>
              </w:rPr>
              <w:t>089</w:t>
            </w:r>
          </w:p>
        </w:tc>
        <w:tc>
          <w:tcPr>
            <w:tcW w:w="2682" w:type="dxa"/>
            <w:vAlign w:val="bottom"/>
          </w:tcPr>
          <w:p w14:paraId="17A79659" w14:textId="77777777" w:rsidR="00D574F0" w:rsidRPr="000C53ED" w:rsidRDefault="00D574F0" w:rsidP="0013526B">
            <w:pPr>
              <w:ind w:right="57"/>
              <w:jc w:val="right"/>
              <w:rPr>
                <w:i/>
                <w:sz w:val="18"/>
                <w:szCs w:val="18"/>
              </w:rPr>
            </w:pPr>
            <w:r w:rsidRPr="000C53ED">
              <w:rPr>
                <w:i/>
                <w:sz w:val="18"/>
                <w:szCs w:val="18"/>
              </w:rPr>
              <w:t xml:space="preserve">Cash provided by operations </w:t>
            </w:r>
          </w:p>
        </w:tc>
      </w:tr>
      <w:tr w:rsidR="00D574F0" w:rsidRPr="000C53ED" w14:paraId="69E91DBF" w14:textId="77777777" w:rsidTr="009D110D">
        <w:trPr>
          <w:trHeight w:val="20"/>
        </w:trPr>
        <w:tc>
          <w:tcPr>
            <w:tcW w:w="2688" w:type="dxa"/>
            <w:vAlign w:val="bottom"/>
          </w:tcPr>
          <w:p w14:paraId="09C8052A" w14:textId="41DB3526" w:rsidR="00D574F0" w:rsidRPr="000C53ED" w:rsidRDefault="00D574F0" w:rsidP="00213EF5">
            <w:pPr>
              <w:ind w:left="284" w:hanging="142"/>
              <w:rPr>
                <w:sz w:val="18"/>
                <w:szCs w:val="18"/>
              </w:rPr>
            </w:pPr>
            <w:r w:rsidRPr="000C53ED">
              <w:rPr>
                <w:sz w:val="18"/>
                <w:szCs w:val="18"/>
              </w:rPr>
              <w:t>Pe</w:t>
            </w:r>
            <w:r w:rsidR="002C0184">
              <w:rPr>
                <w:sz w:val="18"/>
                <w:szCs w:val="18"/>
              </w:rPr>
              <w:t>mbayaran</w:t>
            </w:r>
            <w:r w:rsidRPr="000C53ED">
              <w:rPr>
                <w:sz w:val="18"/>
                <w:szCs w:val="18"/>
              </w:rPr>
              <w:t xml:space="preserve"> </w:t>
            </w:r>
            <w:r w:rsidR="00213EF5" w:rsidRPr="000C53ED">
              <w:rPr>
                <w:sz w:val="18"/>
                <w:szCs w:val="18"/>
              </w:rPr>
              <w:t xml:space="preserve">kas </w:t>
            </w:r>
            <w:r w:rsidR="00C941AC">
              <w:rPr>
                <w:sz w:val="18"/>
                <w:szCs w:val="18"/>
              </w:rPr>
              <w:t>untuk perpajakan</w:t>
            </w:r>
          </w:p>
        </w:tc>
        <w:tc>
          <w:tcPr>
            <w:tcW w:w="1841" w:type="dxa"/>
            <w:shd w:val="clear" w:color="auto" w:fill="auto"/>
            <w:vAlign w:val="bottom"/>
          </w:tcPr>
          <w:p w14:paraId="597AD521" w14:textId="55D2D595" w:rsidR="00D574F0" w:rsidRPr="000C53ED" w:rsidRDefault="00383488" w:rsidP="00B55818">
            <w:pPr>
              <w:ind w:right="57"/>
              <w:jc w:val="right"/>
              <w:rPr>
                <w:sz w:val="18"/>
                <w:szCs w:val="18"/>
              </w:rPr>
            </w:pPr>
            <w:r>
              <w:rPr>
                <w:sz w:val="18"/>
                <w:szCs w:val="18"/>
              </w:rPr>
              <w:t>(13.1</w:t>
            </w:r>
            <w:r>
              <w:rPr>
                <w:sz w:val="18"/>
                <w:szCs w:val="18"/>
                <w:lang w:val="id-ID"/>
              </w:rPr>
              <w:t>1</w:t>
            </w:r>
            <w:r>
              <w:rPr>
                <w:sz w:val="18"/>
                <w:szCs w:val="18"/>
              </w:rPr>
              <w:t>0.70</w:t>
            </w:r>
            <w:r>
              <w:rPr>
                <w:sz w:val="18"/>
                <w:szCs w:val="18"/>
                <w:lang w:val="id-ID"/>
              </w:rPr>
              <w:t>0</w:t>
            </w:r>
            <w:r w:rsidR="00A36BB2">
              <w:rPr>
                <w:sz w:val="18"/>
                <w:szCs w:val="18"/>
              </w:rPr>
              <w:t>.</w:t>
            </w:r>
            <w:r>
              <w:rPr>
                <w:sz w:val="18"/>
                <w:szCs w:val="18"/>
              </w:rPr>
              <w:t>6</w:t>
            </w:r>
            <w:r>
              <w:rPr>
                <w:sz w:val="18"/>
                <w:szCs w:val="18"/>
                <w:lang w:val="id-ID"/>
              </w:rPr>
              <w:t>05</w:t>
            </w:r>
            <w:r w:rsidR="00EA4361" w:rsidRPr="00EA4361">
              <w:rPr>
                <w:sz w:val="18"/>
                <w:szCs w:val="18"/>
              </w:rPr>
              <w:t>)</w:t>
            </w:r>
          </w:p>
        </w:tc>
        <w:tc>
          <w:tcPr>
            <w:tcW w:w="162" w:type="dxa"/>
            <w:tcMar>
              <w:left w:w="28" w:type="dxa"/>
              <w:right w:w="28" w:type="dxa"/>
            </w:tcMar>
            <w:vAlign w:val="bottom"/>
          </w:tcPr>
          <w:p w14:paraId="584F27A8" w14:textId="77777777" w:rsidR="00D574F0" w:rsidRPr="000C53ED" w:rsidRDefault="00D574F0" w:rsidP="0013526B">
            <w:pPr>
              <w:ind w:right="57"/>
              <w:jc w:val="right"/>
              <w:rPr>
                <w:b/>
                <w:sz w:val="18"/>
                <w:szCs w:val="18"/>
              </w:rPr>
            </w:pPr>
          </w:p>
        </w:tc>
        <w:tc>
          <w:tcPr>
            <w:tcW w:w="1841" w:type="dxa"/>
            <w:vAlign w:val="bottom"/>
          </w:tcPr>
          <w:p w14:paraId="6FB13B9C" w14:textId="6E0DCB87" w:rsidR="00D574F0" w:rsidRPr="009205D6" w:rsidRDefault="009E18F9" w:rsidP="0013526B">
            <w:pPr>
              <w:ind w:right="57"/>
              <w:jc w:val="right"/>
              <w:rPr>
                <w:sz w:val="18"/>
                <w:szCs w:val="18"/>
              </w:rPr>
            </w:pPr>
            <w:r w:rsidRPr="009205D6">
              <w:rPr>
                <w:bCs w:val="0"/>
                <w:sz w:val="18"/>
                <w:szCs w:val="18"/>
              </w:rPr>
              <w:t>(43</w:t>
            </w:r>
            <w:r w:rsidR="00870FD0">
              <w:rPr>
                <w:bCs w:val="0"/>
                <w:sz w:val="18"/>
                <w:szCs w:val="18"/>
              </w:rPr>
              <w:t>.</w:t>
            </w:r>
            <w:r w:rsidRPr="009205D6">
              <w:rPr>
                <w:bCs w:val="0"/>
                <w:sz w:val="18"/>
                <w:szCs w:val="18"/>
              </w:rPr>
              <w:t>128</w:t>
            </w:r>
            <w:r w:rsidR="00870FD0">
              <w:rPr>
                <w:bCs w:val="0"/>
                <w:sz w:val="18"/>
                <w:szCs w:val="18"/>
              </w:rPr>
              <w:t>.</w:t>
            </w:r>
            <w:r w:rsidRPr="009205D6">
              <w:rPr>
                <w:bCs w:val="0"/>
                <w:sz w:val="18"/>
                <w:szCs w:val="18"/>
              </w:rPr>
              <w:t>353</w:t>
            </w:r>
            <w:r w:rsidR="00870FD0">
              <w:rPr>
                <w:bCs w:val="0"/>
                <w:sz w:val="18"/>
                <w:szCs w:val="18"/>
              </w:rPr>
              <w:t>.</w:t>
            </w:r>
            <w:r w:rsidRPr="009205D6">
              <w:rPr>
                <w:bCs w:val="0"/>
                <w:sz w:val="18"/>
                <w:szCs w:val="18"/>
              </w:rPr>
              <w:t>037)</w:t>
            </w:r>
          </w:p>
        </w:tc>
        <w:tc>
          <w:tcPr>
            <w:tcW w:w="2682" w:type="dxa"/>
            <w:vAlign w:val="bottom"/>
          </w:tcPr>
          <w:p w14:paraId="7D48B8DE" w14:textId="144A3964" w:rsidR="00D574F0" w:rsidRPr="000C53ED" w:rsidRDefault="00C941AC" w:rsidP="00C941AC">
            <w:pPr>
              <w:ind w:right="57"/>
              <w:jc w:val="right"/>
              <w:rPr>
                <w:i/>
                <w:sz w:val="18"/>
                <w:szCs w:val="18"/>
              </w:rPr>
            </w:pPr>
            <w:r>
              <w:rPr>
                <w:i/>
                <w:sz w:val="18"/>
                <w:szCs w:val="18"/>
              </w:rPr>
              <w:t>Payments for taxes</w:t>
            </w:r>
          </w:p>
        </w:tc>
      </w:tr>
      <w:tr w:rsidR="00213EF5" w:rsidRPr="000C53ED" w14:paraId="7B1EB2E3" w14:textId="77777777" w:rsidTr="009D110D">
        <w:trPr>
          <w:trHeight w:val="20"/>
        </w:trPr>
        <w:tc>
          <w:tcPr>
            <w:tcW w:w="2688" w:type="dxa"/>
            <w:vAlign w:val="bottom"/>
          </w:tcPr>
          <w:p w14:paraId="643D5F85" w14:textId="27918083" w:rsidR="00213EF5" w:rsidRPr="000C53ED" w:rsidRDefault="00213EF5" w:rsidP="0013526B">
            <w:pPr>
              <w:ind w:left="284" w:hanging="142"/>
              <w:rPr>
                <w:sz w:val="18"/>
                <w:szCs w:val="18"/>
              </w:rPr>
            </w:pPr>
            <w:r w:rsidRPr="000C53ED">
              <w:rPr>
                <w:sz w:val="18"/>
                <w:szCs w:val="18"/>
              </w:rPr>
              <w:t>Penghasilan bunga yang diterima</w:t>
            </w:r>
          </w:p>
        </w:tc>
        <w:tc>
          <w:tcPr>
            <w:tcW w:w="1841" w:type="dxa"/>
            <w:tcBorders>
              <w:bottom w:val="single" w:sz="4" w:space="0" w:color="auto"/>
            </w:tcBorders>
            <w:shd w:val="clear" w:color="auto" w:fill="auto"/>
            <w:vAlign w:val="bottom"/>
          </w:tcPr>
          <w:p w14:paraId="21865A4B" w14:textId="6AE34AD5" w:rsidR="00213EF5" w:rsidRPr="00383488" w:rsidRDefault="00383488" w:rsidP="00B55818">
            <w:pPr>
              <w:ind w:right="57"/>
              <w:jc w:val="right"/>
              <w:rPr>
                <w:sz w:val="18"/>
                <w:szCs w:val="18"/>
                <w:lang w:val="id-ID"/>
              </w:rPr>
            </w:pPr>
            <w:r>
              <w:rPr>
                <w:sz w:val="18"/>
                <w:szCs w:val="18"/>
                <w:lang w:val="id-ID"/>
              </w:rPr>
              <w:t>1</w:t>
            </w:r>
            <w:r>
              <w:rPr>
                <w:sz w:val="18"/>
                <w:szCs w:val="18"/>
              </w:rPr>
              <w:t>.2</w:t>
            </w:r>
            <w:r>
              <w:rPr>
                <w:sz w:val="18"/>
                <w:szCs w:val="18"/>
                <w:lang w:val="id-ID"/>
              </w:rPr>
              <w:t>86</w:t>
            </w:r>
            <w:r>
              <w:rPr>
                <w:sz w:val="18"/>
                <w:szCs w:val="18"/>
              </w:rPr>
              <w:t>.7</w:t>
            </w:r>
            <w:r>
              <w:rPr>
                <w:sz w:val="18"/>
                <w:szCs w:val="18"/>
                <w:lang w:val="id-ID"/>
              </w:rPr>
              <w:t>51</w:t>
            </w:r>
            <w:r w:rsidR="00A36BB2">
              <w:rPr>
                <w:sz w:val="18"/>
                <w:szCs w:val="18"/>
              </w:rPr>
              <w:t>.</w:t>
            </w:r>
            <w:r>
              <w:rPr>
                <w:sz w:val="18"/>
                <w:szCs w:val="18"/>
                <w:lang w:val="id-ID"/>
              </w:rPr>
              <w:t>412</w:t>
            </w:r>
          </w:p>
        </w:tc>
        <w:tc>
          <w:tcPr>
            <w:tcW w:w="162" w:type="dxa"/>
            <w:tcMar>
              <w:left w:w="28" w:type="dxa"/>
              <w:right w:w="28" w:type="dxa"/>
            </w:tcMar>
            <w:vAlign w:val="bottom"/>
          </w:tcPr>
          <w:p w14:paraId="3A42B514" w14:textId="77777777" w:rsidR="00213EF5" w:rsidRPr="000C53ED" w:rsidRDefault="00213EF5" w:rsidP="0013526B">
            <w:pPr>
              <w:ind w:right="57"/>
              <w:jc w:val="right"/>
              <w:rPr>
                <w:b/>
                <w:sz w:val="18"/>
                <w:szCs w:val="18"/>
              </w:rPr>
            </w:pPr>
          </w:p>
        </w:tc>
        <w:tc>
          <w:tcPr>
            <w:tcW w:w="1841" w:type="dxa"/>
            <w:tcBorders>
              <w:bottom w:val="single" w:sz="4" w:space="0" w:color="auto"/>
            </w:tcBorders>
            <w:vAlign w:val="bottom"/>
          </w:tcPr>
          <w:p w14:paraId="2C29A532" w14:textId="679C4E5E" w:rsidR="00213EF5" w:rsidRPr="009205D6" w:rsidRDefault="009E18F9" w:rsidP="0013526B">
            <w:pPr>
              <w:ind w:right="57"/>
              <w:jc w:val="right"/>
              <w:rPr>
                <w:sz w:val="18"/>
                <w:szCs w:val="18"/>
              </w:rPr>
            </w:pPr>
            <w:r w:rsidRPr="009205D6">
              <w:rPr>
                <w:bCs w:val="0"/>
                <w:sz w:val="18"/>
                <w:szCs w:val="18"/>
              </w:rPr>
              <w:t>2</w:t>
            </w:r>
            <w:r w:rsidR="00870FD0">
              <w:rPr>
                <w:bCs w:val="0"/>
                <w:sz w:val="18"/>
                <w:szCs w:val="18"/>
              </w:rPr>
              <w:t>.</w:t>
            </w:r>
            <w:r w:rsidRPr="009205D6">
              <w:rPr>
                <w:bCs w:val="0"/>
                <w:sz w:val="18"/>
                <w:szCs w:val="18"/>
              </w:rPr>
              <w:t>441</w:t>
            </w:r>
            <w:r w:rsidR="00870FD0">
              <w:rPr>
                <w:bCs w:val="0"/>
                <w:sz w:val="18"/>
                <w:szCs w:val="18"/>
              </w:rPr>
              <w:t>.</w:t>
            </w:r>
            <w:r w:rsidRPr="009205D6">
              <w:rPr>
                <w:bCs w:val="0"/>
                <w:sz w:val="18"/>
                <w:szCs w:val="18"/>
              </w:rPr>
              <w:t>691</w:t>
            </w:r>
            <w:r w:rsidR="00870FD0">
              <w:rPr>
                <w:bCs w:val="0"/>
                <w:sz w:val="18"/>
                <w:szCs w:val="18"/>
              </w:rPr>
              <w:t>.</w:t>
            </w:r>
            <w:r w:rsidRPr="009205D6">
              <w:rPr>
                <w:bCs w:val="0"/>
                <w:sz w:val="18"/>
                <w:szCs w:val="18"/>
              </w:rPr>
              <w:t>009</w:t>
            </w:r>
          </w:p>
        </w:tc>
        <w:tc>
          <w:tcPr>
            <w:tcW w:w="2682" w:type="dxa"/>
            <w:vAlign w:val="bottom"/>
          </w:tcPr>
          <w:p w14:paraId="54B33C57" w14:textId="4030F49A" w:rsidR="00213EF5" w:rsidRPr="000C53ED" w:rsidRDefault="00213EF5" w:rsidP="0013526B">
            <w:pPr>
              <w:ind w:right="57"/>
              <w:jc w:val="right"/>
              <w:rPr>
                <w:i/>
                <w:sz w:val="18"/>
                <w:szCs w:val="18"/>
                <w:lang w:val="id-ID"/>
              </w:rPr>
            </w:pPr>
            <w:r w:rsidRPr="000C53ED">
              <w:rPr>
                <w:i/>
                <w:sz w:val="18"/>
                <w:szCs w:val="18"/>
              </w:rPr>
              <w:t xml:space="preserve">Interest income received </w:t>
            </w:r>
          </w:p>
        </w:tc>
      </w:tr>
      <w:tr w:rsidR="00D574F0" w:rsidRPr="000C53ED" w14:paraId="3C53517C" w14:textId="77777777" w:rsidTr="009D110D">
        <w:trPr>
          <w:trHeight w:val="20"/>
        </w:trPr>
        <w:tc>
          <w:tcPr>
            <w:tcW w:w="2688" w:type="dxa"/>
            <w:vAlign w:val="bottom"/>
          </w:tcPr>
          <w:p w14:paraId="63C1B423" w14:textId="77777777" w:rsidR="00D574F0" w:rsidRPr="000C53ED" w:rsidRDefault="00D574F0" w:rsidP="0013526B">
            <w:pPr>
              <w:ind w:left="284" w:hanging="142"/>
              <w:rPr>
                <w:sz w:val="18"/>
                <w:szCs w:val="18"/>
              </w:rPr>
            </w:pPr>
          </w:p>
        </w:tc>
        <w:tc>
          <w:tcPr>
            <w:tcW w:w="1841" w:type="dxa"/>
            <w:tcBorders>
              <w:top w:val="single" w:sz="4" w:space="0" w:color="auto"/>
            </w:tcBorders>
            <w:shd w:val="clear" w:color="auto" w:fill="auto"/>
            <w:vAlign w:val="bottom"/>
          </w:tcPr>
          <w:p w14:paraId="19287E5B" w14:textId="77777777" w:rsidR="00D574F0" w:rsidRPr="000C53ED" w:rsidRDefault="00D574F0" w:rsidP="0013526B">
            <w:pPr>
              <w:ind w:right="57"/>
              <w:jc w:val="right"/>
              <w:rPr>
                <w:sz w:val="18"/>
                <w:szCs w:val="18"/>
              </w:rPr>
            </w:pPr>
          </w:p>
        </w:tc>
        <w:tc>
          <w:tcPr>
            <w:tcW w:w="162" w:type="dxa"/>
            <w:tcMar>
              <w:left w:w="28" w:type="dxa"/>
              <w:right w:w="28" w:type="dxa"/>
            </w:tcMar>
            <w:vAlign w:val="bottom"/>
          </w:tcPr>
          <w:p w14:paraId="41842227" w14:textId="77777777" w:rsidR="00D574F0" w:rsidRPr="000C53ED" w:rsidRDefault="00D574F0" w:rsidP="0013526B">
            <w:pPr>
              <w:ind w:right="57"/>
              <w:jc w:val="right"/>
              <w:rPr>
                <w:b/>
                <w:sz w:val="18"/>
                <w:szCs w:val="18"/>
              </w:rPr>
            </w:pPr>
          </w:p>
        </w:tc>
        <w:tc>
          <w:tcPr>
            <w:tcW w:w="1841" w:type="dxa"/>
            <w:tcBorders>
              <w:top w:val="single" w:sz="4" w:space="0" w:color="auto"/>
            </w:tcBorders>
            <w:vAlign w:val="bottom"/>
          </w:tcPr>
          <w:p w14:paraId="051F1BBF" w14:textId="77777777" w:rsidR="00D574F0" w:rsidRPr="009205D6" w:rsidRDefault="00D574F0" w:rsidP="0013526B">
            <w:pPr>
              <w:ind w:right="57"/>
              <w:jc w:val="right"/>
              <w:rPr>
                <w:sz w:val="18"/>
                <w:szCs w:val="18"/>
              </w:rPr>
            </w:pPr>
          </w:p>
        </w:tc>
        <w:tc>
          <w:tcPr>
            <w:tcW w:w="2682" w:type="dxa"/>
            <w:vAlign w:val="bottom"/>
          </w:tcPr>
          <w:p w14:paraId="15781F3E" w14:textId="77777777" w:rsidR="00D574F0" w:rsidRPr="000C53ED" w:rsidRDefault="00D574F0" w:rsidP="0013526B">
            <w:pPr>
              <w:ind w:right="195"/>
              <w:jc w:val="right"/>
              <w:rPr>
                <w:i/>
                <w:sz w:val="18"/>
                <w:szCs w:val="18"/>
              </w:rPr>
            </w:pPr>
          </w:p>
        </w:tc>
      </w:tr>
      <w:tr w:rsidR="00D574F0" w:rsidRPr="000C53ED" w14:paraId="6D928760" w14:textId="77777777" w:rsidTr="009D110D">
        <w:trPr>
          <w:trHeight w:val="20"/>
        </w:trPr>
        <w:tc>
          <w:tcPr>
            <w:tcW w:w="2688" w:type="dxa"/>
            <w:vAlign w:val="bottom"/>
          </w:tcPr>
          <w:p w14:paraId="6369D238" w14:textId="77777777" w:rsidR="00D574F0" w:rsidRPr="000C53ED" w:rsidRDefault="00D574F0" w:rsidP="0013526B">
            <w:pPr>
              <w:ind w:left="284" w:hanging="142"/>
              <w:rPr>
                <w:sz w:val="18"/>
                <w:szCs w:val="18"/>
              </w:rPr>
            </w:pPr>
            <w:r w:rsidRPr="000C53ED">
              <w:rPr>
                <w:sz w:val="18"/>
                <w:szCs w:val="18"/>
              </w:rPr>
              <w:t>Kas Bersih yang Diperoleh dari Aktivitas Operasi</w:t>
            </w:r>
          </w:p>
        </w:tc>
        <w:tc>
          <w:tcPr>
            <w:tcW w:w="1841" w:type="dxa"/>
            <w:tcBorders>
              <w:bottom w:val="single" w:sz="4" w:space="0" w:color="auto"/>
            </w:tcBorders>
            <w:shd w:val="clear" w:color="auto" w:fill="auto"/>
            <w:vAlign w:val="bottom"/>
          </w:tcPr>
          <w:p w14:paraId="6DB295D1" w14:textId="1AA98430" w:rsidR="00D574F0" w:rsidRPr="00383488" w:rsidRDefault="00383488" w:rsidP="0013526B">
            <w:pPr>
              <w:ind w:right="57"/>
              <w:jc w:val="right"/>
              <w:rPr>
                <w:b/>
                <w:sz w:val="18"/>
                <w:szCs w:val="18"/>
                <w:lang w:val="id-ID"/>
              </w:rPr>
            </w:pPr>
            <w:r>
              <w:rPr>
                <w:b/>
                <w:sz w:val="18"/>
                <w:szCs w:val="18"/>
                <w:lang w:val="id-ID"/>
              </w:rPr>
              <w:t>(3</w:t>
            </w:r>
            <w:r>
              <w:rPr>
                <w:b/>
                <w:sz w:val="18"/>
                <w:szCs w:val="18"/>
              </w:rPr>
              <w:t>.</w:t>
            </w:r>
            <w:r>
              <w:rPr>
                <w:b/>
                <w:sz w:val="18"/>
                <w:szCs w:val="18"/>
                <w:lang w:val="id-ID"/>
              </w:rPr>
              <w:t>679</w:t>
            </w:r>
            <w:r>
              <w:rPr>
                <w:b/>
                <w:sz w:val="18"/>
                <w:szCs w:val="18"/>
              </w:rPr>
              <w:t>.</w:t>
            </w:r>
            <w:r>
              <w:rPr>
                <w:b/>
                <w:sz w:val="18"/>
                <w:szCs w:val="18"/>
                <w:lang w:val="id-ID"/>
              </w:rPr>
              <w:t>731</w:t>
            </w:r>
            <w:r w:rsidR="00A36BB2">
              <w:rPr>
                <w:b/>
                <w:sz w:val="18"/>
                <w:szCs w:val="18"/>
              </w:rPr>
              <w:t>.</w:t>
            </w:r>
            <w:r>
              <w:rPr>
                <w:b/>
                <w:sz w:val="18"/>
                <w:szCs w:val="18"/>
                <w:lang w:val="id-ID"/>
              </w:rPr>
              <w:t>47</w:t>
            </w:r>
            <w:r w:rsidR="00EA4361" w:rsidRPr="00233B4E">
              <w:rPr>
                <w:b/>
                <w:sz w:val="18"/>
                <w:szCs w:val="18"/>
              </w:rPr>
              <w:t>8</w:t>
            </w:r>
            <w:r>
              <w:rPr>
                <w:b/>
                <w:sz w:val="18"/>
                <w:szCs w:val="18"/>
                <w:lang w:val="id-ID"/>
              </w:rPr>
              <w:t>)</w:t>
            </w:r>
          </w:p>
        </w:tc>
        <w:tc>
          <w:tcPr>
            <w:tcW w:w="162" w:type="dxa"/>
            <w:tcMar>
              <w:left w:w="28" w:type="dxa"/>
              <w:right w:w="28" w:type="dxa"/>
            </w:tcMar>
            <w:vAlign w:val="bottom"/>
          </w:tcPr>
          <w:p w14:paraId="772A6D35" w14:textId="77777777" w:rsidR="00D574F0" w:rsidRPr="000C53ED" w:rsidRDefault="00D574F0" w:rsidP="0013526B">
            <w:pPr>
              <w:ind w:right="57"/>
              <w:jc w:val="right"/>
              <w:rPr>
                <w:b/>
                <w:sz w:val="18"/>
                <w:szCs w:val="18"/>
              </w:rPr>
            </w:pPr>
          </w:p>
        </w:tc>
        <w:tc>
          <w:tcPr>
            <w:tcW w:w="1841" w:type="dxa"/>
            <w:tcBorders>
              <w:bottom w:val="single" w:sz="4" w:space="0" w:color="auto"/>
            </w:tcBorders>
            <w:vAlign w:val="bottom"/>
          </w:tcPr>
          <w:p w14:paraId="31AC74E1" w14:textId="0FF5CB5B" w:rsidR="00D574F0" w:rsidRPr="009205D6" w:rsidRDefault="009E18F9" w:rsidP="0013526B">
            <w:pPr>
              <w:ind w:right="57"/>
              <w:jc w:val="right"/>
              <w:rPr>
                <w:sz w:val="18"/>
                <w:szCs w:val="18"/>
              </w:rPr>
            </w:pPr>
            <w:r w:rsidRPr="009205D6">
              <w:rPr>
                <w:b/>
                <w:sz w:val="18"/>
                <w:szCs w:val="18"/>
              </w:rPr>
              <w:t>(19</w:t>
            </w:r>
            <w:r w:rsidR="00870FD0">
              <w:rPr>
                <w:b/>
                <w:sz w:val="18"/>
                <w:szCs w:val="18"/>
              </w:rPr>
              <w:t>.</w:t>
            </w:r>
            <w:r w:rsidRPr="009205D6">
              <w:rPr>
                <w:b/>
                <w:sz w:val="18"/>
                <w:szCs w:val="18"/>
              </w:rPr>
              <w:t>731</w:t>
            </w:r>
            <w:r w:rsidR="00870FD0">
              <w:rPr>
                <w:b/>
                <w:sz w:val="18"/>
                <w:szCs w:val="18"/>
              </w:rPr>
              <w:t>.</w:t>
            </w:r>
            <w:r w:rsidRPr="009205D6">
              <w:rPr>
                <w:b/>
                <w:sz w:val="18"/>
                <w:szCs w:val="18"/>
              </w:rPr>
              <w:t>194</w:t>
            </w:r>
            <w:r w:rsidR="00870FD0">
              <w:rPr>
                <w:b/>
                <w:sz w:val="18"/>
                <w:szCs w:val="18"/>
              </w:rPr>
              <w:t>.</w:t>
            </w:r>
            <w:r w:rsidRPr="009205D6">
              <w:rPr>
                <w:b/>
                <w:sz w:val="18"/>
                <w:szCs w:val="18"/>
              </w:rPr>
              <w:t>939)</w:t>
            </w:r>
          </w:p>
        </w:tc>
        <w:tc>
          <w:tcPr>
            <w:tcW w:w="2682" w:type="dxa"/>
            <w:vAlign w:val="bottom"/>
          </w:tcPr>
          <w:p w14:paraId="400CA17F" w14:textId="77777777" w:rsidR="00D574F0" w:rsidRPr="000C53ED" w:rsidRDefault="00D574F0" w:rsidP="0013526B">
            <w:pPr>
              <w:ind w:right="57"/>
              <w:jc w:val="right"/>
              <w:rPr>
                <w:i/>
                <w:sz w:val="18"/>
                <w:szCs w:val="18"/>
              </w:rPr>
            </w:pPr>
            <w:r w:rsidRPr="000C53ED">
              <w:rPr>
                <w:i/>
                <w:sz w:val="18"/>
                <w:szCs w:val="18"/>
              </w:rPr>
              <w:t>Net Cash Flows Provided by</w:t>
            </w:r>
          </w:p>
          <w:p w14:paraId="3F9C6319" w14:textId="77777777" w:rsidR="00D574F0" w:rsidRPr="000C53ED" w:rsidRDefault="00D574F0" w:rsidP="00B72B39">
            <w:pPr>
              <w:ind w:right="264"/>
              <w:jc w:val="right"/>
              <w:rPr>
                <w:i/>
                <w:sz w:val="18"/>
                <w:szCs w:val="18"/>
              </w:rPr>
            </w:pPr>
            <w:r w:rsidRPr="000C53ED">
              <w:rPr>
                <w:i/>
                <w:sz w:val="18"/>
                <w:szCs w:val="18"/>
              </w:rPr>
              <w:t>Operating Activities</w:t>
            </w:r>
          </w:p>
        </w:tc>
      </w:tr>
      <w:tr w:rsidR="00D574F0" w:rsidRPr="000C53ED" w14:paraId="56FE1877" w14:textId="77777777" w:rsidTr="009D110D">
        <w:trPr>
          <w:trHeight w:val="20"/>
        </w:trPr>
        <w:tc>
          <w:tcPr>
            <w:tcW w:w="2688" w:type="dxa"/>
            <w:vAlign w:val="bottom"/>
          </w:tcPr>
          <w:p w14:paraId="29607127" w14:textId="77777777" w:rsidR="00D574F0" w:rsidRPr="000C53ED" w:rsidRDefault="00D574F0" w:rsidP="0013526B">
            <w:pPr>
              <w:ind w:left="284" w:right="45" w:hanging="142"/>
              <w:rPr>
                <w:sz w:val="18"/>
                <w:szCs w:val="18"/>
              </w:rPr>
            </w:pPr>
          </w:p>
        </w:tc>
        <w:tc>
          <w:tcPr>
            <w:tcW w:w="1841" w:type="dxa"/>
            <w:tcBorders>
              <w:top w:val="single" w:sz="4" w:space="0" w:color="auto"/>
            </w:tcBorders>
            <w:shd w:val="clear" w:color="auto" w:fill="auto"/>
            <w:vAlign w:val="bottom"/>
          </w:tcPr>
          <w:p w14:paraId="73E1A1A2" w14:textId="77777777" w:rsidR="00D574F0" w:rsidRPr="000C53ED" w:rsidRDefault="00D574F0" w:rsidP="0013526B">
            <w:pPr>
              <w:ind w:right="57"/>
              <w:jc w:val="right"/>
              <w:rPr>
                <w:sz w:val="18"/>
                <w:szCs w:val="18"/>
              </w:rPr>
            </w:pPr>
          </w:p>
        </w:tc>
        <w:tc>
          <w:tcPr>
            <w:tcW w:w="162" w:type="dxa"/>
            <w:tcMar>
              <w:left w:w="28" w:type="dxa"/>
              <w:right w:w="28" w:type="dxa"/>
            </w:tcMar>
            <w:vAlign w:val="bottom"/>
          </w:tcPr>
          <w:p w14:paraId="3202B418" w14:textId="77777777" w:rsidR="00D574F0" w:rsidRPr="000C53ED" w:rsidRDefault="00D574F0" w:rsidP="0013526B">
            <w:pPr>
              <w:ind w:right="57"/>
              <w:jc w:val="right"/>
              <w:rPr>
                <w:sz w:val="18"/>
                <w:szCs w:val="18"/>
              </w:rPr>
            </w:pPr>
          </w:p>
        </w:tc>
        <w:tc>
          <w:tcPr>
            <w:tcW w:w="1841" w:type="dxa"/>
            <w:tcBorders>
              <w:top w:val="single" w:sz="4" w:space="0" w:color="auto"/>
            </w:tcBorders>
            <w:vAlign w:val="bottom"/>
          </w:tcPr>
          <w:p w14:paraId="2CC3DA75" w14:textId="77777777" w:rsidR="00D574F0" w:rsidRPr="009205D6" w:rsidRDefault="00D574F0" w:rsidP="0013526B">
            <w:pPr>
              <w:ind w:right="57"/>
              <w:jc w:val="right"/>
              <w:rPr>
                <w:sz w:val="18"/>
                <w:szCs w:val="18"/>
              </w:rPr>
            </w:pPr>
          </w:p>
        </w:tc>
        <w:tc>
          <w:tcPr>
            <w:tcW w:w="2682" w:type="dxa"/>
            <w:vAlign w:val="bottom"/>
          </w:tcPr>
          <w:p w14:paraId="70A076E5" w14:textId="77777777" w:rsidR="00D574F0" w:rsidRPr="000C53ED" w:rsidRDefault="00D574F0" w:rsidP="0013526B">
            <w:pPr>
              <w:ind w:right="195"/>
              <w:jc w:val="right"/>
              <w:rPr>
                <w:i/>
                <w:sz w:val="18"/>
                <w:szCs w:val="18"/>
              </w:rPr>
            </w:pPr>
          </w:p>
        </w:tc>
      </w:tr>
      <w:tr w:rsidR="00D574F0" w:rsidRPr="000C53ED" w14:paraId="0F424961" w14:textId="77777777" w:rsidTr="009D110D">
        <w:trPr>
          <w:trHeight w:val="20"/>
        </w:trPr>
        <w:tc>
          <w:tcPr>
            <w:tcW w:w="2688" w:type="dxa"/>
            <w:vAlign w:val="bottom"/>
          </w:tcPr>
          <w:p w14:paraId="6CFD6F02" w14:textId="77777777" w:rsidR="00D574F0" w:rsidRPr="000C53ED" w:rsidRDefault="00D574F0" w:rsidP="0013526B">
            <w:pPr>
              <w:ind w:left="284" w:hanging="142"/>
              <w:rPr>
                <w:b/>
                <w:bCs w:val="0"/>
                <w:sz w:val="18"/>
                <w:szCs w:val="18"/>
              </w:rPr>
            </w:pPr>
            <w:r w:rsidRPr="000C53ED">
              <w:rPr>
                <w:b/>
                <w:bCs w:val="0"/>
                <w:sz w:val="18"/>
                <w:szCs w:val="18"/>
              </w:rPr>
              <w:t>ARUS KAS DARI AKTIVITAS INVESTASI</w:t>
            </w:r>
          </w:p>
        </w:tc>
        <w:tc>
          <w:tcPr>
            <w:tcW w:w="1841" w:type="dxa"/>
            <w:shd w:val="clear" w:color="auto" w:fill="auto"/>
            <w:vAlign w:val="bottom"/>
          </w:tcPr>
          <w:p w14:paraId="5198A180" w14:textId="77777777" w:rsidR="00D574F0" w:rsidRPr="000C53ED" w:rsidRDefault="00D574F0" w:rsidP="0013526B">
            <w:pPr>
              <w:ind w:right="57"/>
              <w:jc w:val="right"/>
              <w:rPr>
                <w:b/>
                <w:bCs w:val="0"/>
                <w:sz w:val="18"/>
                <w:szCs w:val="18"/>
              </w:rPr>
            </w:pPr>
          </w:p>
        </w:tc>
        <w:tc>
          <w:tcPr>
            <w:tcW w:w="162" w:type="dxa"/>
            <w:tcMar>
              <w:left w:w="28" w:type="dxa"/>
              <w:right w:w="28" w:type="dxa"/>
            </w:tcMar>
            <w:vAlign w:val="bottom"/>
          </w:tcPr>
          <w:p w14:paraId="67789C6A" w14:textId="77777777" w:rsidR="00D574F0" w:rsidRPr="000C53ED" w:rsidRDefault="00D574F0" w:rsidP="0013526B">
            <w:pPr>
              <w:ind w:right="57"/>
              <w:jc w:val="right"/>
              <w:rPr>
                <w:b/>
                <w:bCs w:val="0"/>
                <w:sz w:val="18"/>
                <w:szCs w:val="18"/>
              </w:rPr>
            </w:pPr>
          </w:p>
        </w:tc>
        <w:tc>
          <w:tcPr>
            <w:tcW w:w="1841" w:type="dxa"/>
            <w:vAlign w:val="bottom"/>
          </w:tcPr>
          <w:p w14:paraId="19158473" w14:textId="77777777" w:rsidR="00D574F0" w:rsidRPr="009205D6" w:rsidRDefault="00D574F0" w:rsidP="0013526B">
            <w:pPr>
              <w:ind w:right="57"/>
              <w:jc w:val="right"/>
              <w:rPr>
                <w:b/>
                <w:bCs w:val="0"/>
                <w:sz w:val="18"/>
                <w:szCs w:val="18"/>
              </w:rPr>
            </w:pPr>
          </w:p>
        </w:tc>
        <w:tc>
          <w:tcPr>
            <w:tcW w:w="2682" w:type="dxa"/>
            <w:vAlign w:val="bottom"/>
          </w:tcPr>
          <w:p w14:paraId="65EFC1D4" w14:textId="77777777" w:rsidR="00706B78" w:rsidRDefault="00D574F0" w:rsidP="0013526B">
            <w:pPr>
              <w:ind w:right="57"/>
              <w:jc w:val="right"/>
              <w:rPr>
                <w:b/>
                <w:i/>
                <w:sz w:val="18"/>
                <w:szCs w:val="18"/>
              </w:rPr>
            </w:pPr>
            <w:r w:rsidRPr="000C53ED">
              <w:rPr>
                <w:b/>
                <w:i/>
                <w:sz w:val="18"/>
                <w:szCs w:val="18"/>
              </w:rPr>
              <w:t>CASH FLOWS FROM</w:t>
            </w:r>
          </w:p>
          <w:p w14:paraId="76394CC0" w14:textId="13642AC8" w:rsidR="00D574F0" w:rsidRPr="000C53ED" w:rsidRDefault="00D574F0" w:rsidP="00B72B39">
            <w:pPr>
              <w:ind w:right="194"/>
              <w:jc w:val="right"/>
              <w:rPr>
                <w:b/>
                <w:i/>
                <w:sz w:val="18"/>
                <w:szCs w:val="18"/>
              </w:rPr>
            </w:pPr>
            <w:r w:rsidRPr="000C53ED">
              <w:rPr>
                <w:b/>
                <w:i/>
                <w:sz w:val="18"/>
                <w:szCs w:val="18"/>
              </w:rPr>
              <w:t>INVESTING ACTIVITIES</w:t>
            </w:r>
          </w:p>
        </w:tc>
      </w:tr>
      <w:tr w:rsidR="00D574F0" w:rsidRPr="000C53ED" w14:paraId="091189BA" w14:textId="77777777" w:rsidTr="009D110D">
        <w:trPr>
          <w:trHeight w:val="20"/>
        </w:trPr>
        <w:tc>
          <w:tcPr>
            <w:tcW w:w="2688" w:type="dxa"/>
            <w:vAlign w:val="bottom"/>
          </w:tcPr>
          <w:p w14:paraId="7D05C9CE" w14:textId="77777777" w:rsidR="00D574F0" w:rsidRPr="000C53ED" w:rsidRDefault="00D574F0" w:rsidP="0013526B">
            <w:pPr>
              <w:ind w:left="284" w:right="45" w:hanging="142"/>
              <w:rPr>
                <w:sz w:val="18"/>
                <w:szCs w:val="18"/>
              </w:rPr>
            </w:pPr>
          </w:p>
        </w:tc>
        <w:tc>
          <w:tcPr>
            <w:tcW w:w="1841" w:type="dxa"/>
            <w:shd w:val="clear" w:color="auto" w:fill="auto"/>
            <w:vAlign w:val="bottom"/>
          </w:tcPr>
          <w:p w14:paraId="621BCD2F" w14:textId="77777777" w:rsidR="00D574F0" w:rsidRPr="000C53ED" w:rsidRDefault="00D574F0" w:rsidP="0013526B">
            <w:pPr>
              <w:ind w:right="57"/>
              <w:jc w:val="right"/>
              <w:rPr>
                <w:sz w:val="18"/>
                <w:szCs w:val="18"/>
              </w:rPr>
            </w:pPr>
          </w:p>
        </w:tc>
        <w:tc>
          <w:tcPr>
            <w:tcW w:w="162" w:type="dxa"/>
            <w:tcMar>
              <w:left w:w="28" w:type="dxa"/>
              <w:right w:w="28" w:type="dxa"/>
            </w:tcMar>
            <w:vAlign w:val="bottom"/>
          </w:tcPr>
          <w:p w14:paraId="5F9B6CE6" w14:textId="77777777" w:rsidR="00D574F0" w:rsidRPr="000C53ED" w:rsidRDefault="00D574F0" w:rsidP="0013526B">
            <w:pPr>
              <w:ind w:right="57"/>
              <w:jc w:val="right"/>
              <w:rPr>
                <w:sz w:val="18"/>
                <w:szCs w:val="18"/>
              </w:rPr>
            </w:pPr>
          </w:p>
        </w:tc>
        <w:tc>
          <w:tcPr>
            <w:tcW w:w="1841" w:type="dxa"/>
            <w:vAlign w:val="bottom"/>
          </w:tcPr>
          <w:p w14:paraId="68AD91D0" w14:textId="77777777" w:rsidR="00D574F0" w:rsidRPr="009205D6" w:rsidRDefault="00D574F0" w:rsidP="0013526B">
            <w:pPr>
              <w:ind w:right="57"/>
              <w:jc w:val="right"/>
              <w:rPr>
                <w:sz w:val="18"/>
                <w:szCs w:val="18"/>
              </w:rPr>
            </w:pPr>
          </w:p>
        </w:tc>
        <w:tc>
          <w:tcPr>
            <w:tcW w:w="2682" w:type="dxa"/>
            <w:vAlign w:val="bottom"/>
          </w:tcPr>
          <w:p w14:paraId="65BFC5BB" w14:textId="77777777" w:rsidR="00D574F0" w:rsidRPr="000C53ED" w:rsidRDefault="00D574F0" w:rsidP="0013526B">
            <w:pPr>
              <w:ind w:right="288"/>
              <w:jc w:val="right"/>
              <w:rPr>
                <w:i/>
                <w:sz w:val="18"/>
                <w:szCs w:val="18"/>
              </w:rPr>
            </w:pPr>
          </w:p>
        </w:tc>
      </w:tr>
      <w:tr w:rsidR="00213EF5" w:rsidRPr="000C53ED" w14:paraId="212DBBFF" w14:textId="77777777" w:rsidTr="009D110D">
        <w:trPr>
          <w:trHeight w:val="20"/>
        </w:trPr>
        <w:tc>
          <w:tcPr>
            <w:tcW w:w="2688" w:type="dxa"/>
            <w:vAlign w:val="bottom"/>
          </w:tcPr>
          <w:p w14:paraId="7AC0F373" w14:textId="23D6D52B" w:rsidR="00213EF5" w:rsidRPr="000C53ED" w:rsidRDefault="00213EF5" w:rsidP="0013526B">
            <w:pPr>
              <w:ind w:left="284" w:right="45" w:hanging="142"/>
              <w:rPr>
                <w:sz w:val="18"/>
                <w:szCs w:val="18"/>
              </w:rPr>
            </w:pPr>
            <w:r w:rsidRPr="000C53ED">
              <w:rPr>
                <w:sz w:val="18"/>
                <w:szCs w:val="18"/>
              </w:rPr>
              <w:t>Hasil penjualan aset tetap</w:t>
            </w:r>
          </w:p>
        </w:tc>
        <w:tc>
          <w:tcPr>
            <w:tcW w:w="1841" w:type="dxa"/>
            <w:shd w:val="clear" w:color="auto" w:fill="auto"/>
            <w:vAlign w:val="bottom"/>
          </w:tcPr>
          <w:p w14:paraId="57487677" w14:textId="6F71ABBB" w:rsidR="00213EF5" w:rsidRPr="00383488" w:rsidRDefault="00383488" w:rsidP="0013526B">
            <w:pPr>
              <w:ind w:right="57"/>
              <w:jc w:val="right"/>
              <w:rPr>
                <w:sz w:val="18"/>
                <w:szCs w:val="18"/>
                <w:lang w:val="id-ID"/>
              </w:rPr>
            </w:pPr>
            <w:r>
              <w:rPr>
                <w:sz w:val="18"/>
                <w:szCs w:val="18"/>
                <w:lang w:val="id-ID"/>
              </w:rPr>
              <w:t>-</w:t>
            </w:r>
          </w:p>
        </w:tc>
        <w:tc>
          <w:tcPr>
            <w:tcW w:w="162" w:type="dxa"/>
            <w:tcMar>
              <w:left w:w="28" w:type="dxa"/>
              <w:right w:w="28" w:type="dxa"/>
            </w:tcMar>
            <w:vAlign w:val="bottom"/>
          </w:tcPr>
          <w:p w14:paraId="11F59E75" w14:textId="77777777" w:rsidR="00213EF5" w:rsidRPr="000C53ED" w:rsidRDefault="00213EF5" w:rsidP="0013526B">
            <w:pPr>
              <w:ind w:right="57"/>
              <w:jc w:val="right"/>
              <w:rPr>
                <w:sz w:val="18"/>
                <w:szCs w:val="18"/>
              </w:rPr>
            </w:pPr>
          </w:p>
        </w:tc>
        <w:tc>
          <w:tcPr>
            <w:tcW w:w="1841" w:type="dxa"/>
            <w:vAlign w:val="bottom"/>
          </w:tcPr>
          <w:p w14:paraId="16CC9F36" w14:textId="2F4EB9A8" w:rsidR="00213EF5" w:rsidRPr="009205D6" w:rsidRDefault="009E18F9" w:rsidP="0013526B">
            <w:pPr>
              <w:ind w:right="57"/>
              <w:jc w:val="right"/>
              <w:rPr>
                <w:sz w:val="18"/>
                <w:szCs w:val="18"/>
              </w:rPr>
            </w:pPr>
            <w:r w:rsidRPr="009205D6">
              <w:rPr>
                <w:sz w:val="18"/>
                <w:szCs w:val="18"/>
              </w:rPr>
              <w:t>-</w:t>
            </w:r>
          </w:p>
        </w:tc>
        <w:tc>
          <w:tcPr>
            <w:tcW w:w="2682" w:type="dxa"/>
            <w:vAlign w:val="bottom"/>
          </w:tcPr>
          <w:p w14:paraId="430490A4" w14:textId="6925A839" w:rsidR="00213EF5" w:rsidRPr="000C53ED" w:rsidRDefault="00213EF5" w:rsidP="0013526B">
            <w:pPr>
              <w:ind w:right="57"/>
              <w:jc w:val="right"/>
              <w:rPr>
                <w:i/>
                <w:sz w:val="18"/>
                <w:szCs w:val="18"/>
              </w:rPr>
            </w:pPr>
            <w:r w:rsidRPr="000C53ED">
              <w:rPr>
                <w:i/>
                <w:sz w:val="18"/>
                <w:szCs w:val="18"/>
              </w:rPr>
              <w:t xml:space="preserve">Proceeds from sale of fixed assets </w:t>
            </w:r>
          </w:p>
        </w:tc>
      </w:tr>
      <w:tr w:rsidR="00D574F0" w:rsidRPr="000C53ED" w14:paraId="2F2B6611" w14:textId="77777777" w:rsidTr="009D110D">
        <w:trPr>
          <w:trHeight w:val="20"/>
        </w:trPr>
        <w:tc>
          <w:tcPr>
            <w:tcW w:w="2688" w:type="dxa"/>
            <w:vAlign w:val="bottom"/>
          </w:tcPr>
          <w:p w14:paraId="00DD628A" w14:textId="77777777" w:rsidR="00D574F0" w:rsidRPr="000C53ED" w:rsidRDefault="00D574F0" w:rsidP="0013526B">
            <w:pPr>
              <w:ind w:left="284" w:right="45" w:hanging="142"/>
              <w:rPr>
                <w:sz w:val="18"/>
                <w:szCs w:val="18"/>
              </w:rPr>
            </w:pPr>
            <w:r w:rsidRPr="000C53ED">
              <w:rPr>
                <w:sz w:val="18"/>
                <w:szCs w:val="18"/>
              </w:rPr>
              <w:t xml:space="preserve">Perolehan aset tetap </w:t>
            </w:r>
          </w:p>
        </w:tc>
        <w:tc>
          <w:tcPr>
            <w:tcW w:w="1841" w:type="dxa"/>
            <w:shd w:val="clear" w:color="auto" w:fill="auto"/>
            <w:vAlign w:val="bottom"/>
          </w:tcPr>
          <w:p w14:paraId="481A03ED" w14:textId="08D21EE3" w:rsidR="00D574F0" w:rsidRPr="000C53ED" w:rsidRDefault="001B3BE4" w:rsidP="00B55818">
            <w:pPr>
              <w:ind w:right="57"/>
              <w:jc w:val="right"/>
              <w:rPr>
                <w:sz w:val="18"/>
                <w:szCs w:val="18"/>
              </w:rPr>
            </w:pPr>
            <w:r>
              <w:rPr>
                <w:sz w:val="18"/>
                <w:szCs w:val="18"/>
              </w:rPr>
              <w:t>(3</w:t>
            </w:r>
            <w:r w:rsidR="00383488">
              <w:rPr>
                <w:sz w:val="18"/>
                <w:szCs w:val="18"/>
                <w:lang w:val="id-ID"/>
              </w:rPr>
              <w:t>8</w:t>
            </w:r>
            <w:r w:rsidR="00383488">
              <w:rPr>
                <w:sz w:val="18"/>
                <w:szCs w:val="18"/>
              </w:rPr>
              <w:t>.</w:t>
            </w:r>
            <w:r w:rsidR="00383488">
              <w:rPr>
                <w:sz w:val="18"/>
                <w:szCs w:val="18"/>
                <w:lang w:val="id-ID"/>
              </w:rPr>
              <w:t>574</w:t>
            </w:r>
            <w:r>
              <w:rPr>
                <w:sz w:val="18"/>
                <w:szCs w:val="18"/>
              </w:rPr>
              <w:t>.</w:t>
            </w:r>
            <w:r w:rsidR="00383488">
              <w:rPr>
                <w:sz w:val="18"/>
                <w:szCs w:val="18"/>
                <w:lang w:val="id-ID"/>
              </w:rPr>
              <w:t>20</w:t>
            </w:r>
            <w:r w:rsidR="00383488">
              <w:rPr>
                <w:sz w:val="18"/>
                <w:szCs w:val="18"/>
              </w:rPr>
              <w:t>8</w:t>
            </w:r>
            <w:r>
              <w:rPr>
                <w:sz w:val="18"/>
                <w:szCs w:val="18"/>
              </w:rPr>
              <w:t>.</w:t>
            </w:r>
            <w:r w:rsidR="00383488">
              <w:rPr>
                <w:sz w:val="18"/>
                <w:szCs w:val="18"/>
                <w:lang w:val="id-ID"/>
              </w:rPr>
              <w:t>604</w:t>
            </w:r>
            <w:r w:rsidR="00EA4361" w:rsidRPr="00EA4361">
              <w:rPr>
                <w:sz w:val="18"/>
                <w:szCs w:val="18"/>
              </w:rPr>
              <w:t>)</w:t>
            </w:r>
          </w:p>
        </w:tc>
        <w:tc>
          <w:tcPr>
            <w:tcW w:w="162" w:type="dxa"/>
            <w:tcMar>
              <w:left w:w="28" w:type="dxa"/>
              <w:right w:w="28" w:type="dxa"/>
            </w:tcMar>
            <w:vAlign w:val="bottom"/>
          </w:tcPr>
          <w:p w14:paraId="291572FE" w14:textId="77777777" w:rsidR="00D574F0" w:rsidRPr="000C53ED" w:rsidRDefault="00D574F0" w:rsidP="0013526B">
            <w:pPr>
              <w:ind w:right="57"/>
              <w:jc w:val="right"/>
              <w:rPr>
                <w:sz w:val="18"/>
                <w:szCs w:val="18"/>
              </w:rPr>
            </w:pPr>
          </w:p>
        </w:tc>
        <w:tc>
          <w:tcPr>
            <w:tcW w:w="1841" w:type="dxa"/>
            <w:vAlign w:val="bottom"/>
          </w:tcPr>
          <w:p w14:paraId="36E93BB0" w14:textId="1E113AB1" w:rsidR="00D574F0" w:rsidRPr="009205D6" w:rsidRDefault="009E18F9" w:rsidP="0013526B">
            <w:pPr>
              <w:ind w:right="57"/>
              <w:jc w:val="right"/>
              <w:rPr>
                <w:sz w:val="18"/>
                <w:szCs w:val="18"/>
              </w:rPr>
            </w:pPr>
            <w:r w:rsidRPr="009205D6">
              <w:rPr>
                <w:bCs w:val="0"/>
                <w:sz w:val="18"/>
                <w:szCs w:val="18"/>
              </w:rPr>
              <w:t>( 60</w:t>
            </w:r>
            <w:r w:rsidR="00870FD0">
              <w:rPr>
                <w:bCs w:val="0"/>
                <w:sz w:val="18"/>
                <w:szCs w:val="18"/>
              </w:rPr>
              <w:t>.</w:t>
            </w:r>
            <w:r w:rsidRPr="009205D6">
              <w:rPr>
                <w:bCs w:val="0"/>
                <w:sz w:val="18"/>
                <w:szCs w:val="18"/>
              </w:rPr>
              <w:t>987</w:t>
            </w:r>
            <w:r w:rsidR="00870FD0">
              <w:rPr>
                <w:bCs w:val="0"/>
                <w:sz w:val="18"/>
                <w:szCs w:val="18"/>
              </w:rPr>
              <w:t>.</w:t>
            </w:r>
            <w:r w:rsidRPr="009205D6">
              <w:rPr>
                <w:bCs w:val="0"/>
                <w:sz w:val="18"/>
                <w:szCs w:val="18"/>
              </w:rPr>
              <w:t>520</w:t>
            </w:r>
            <w:r w:rsidR="00870FD0">
              <w:rPr>
                <w:bCs w:val="0"/>
                <w:sz w:val="18"/>
                <w:szCs w:val="18"/>
              </w:rPr>
              <w:t>.</w:t>
            </w:r>
            <w:r w:rsidRPr="009205D6">
              <w:rPr>
                <w:bCs w:val="0"/>
                <w:sz w:val="18"/>
                <w:szCs w:val="18"/>
              </w:rPr>
              <w:t>624)</w:t>
            </w:r>
          </w:p>
        </w:tc>
        <w:tc>
          <w:tcPr>
            <w:tcW w:w="2682" w:type="dxa"/>
            <w:vAlign w:val="bottom"/>
          </w:tcPr>
          <w:p w14:paraId="2CA3985E" w14:textId="359D998A" w:rsidR="00D574F0" w:rsidRPr="000C53ED" w:rsidRDefault="00D574F0" w:rsidP="0013526B">
            <w:pPr>
              <w:ind w:right="57"/>
              <w:jc w:val="right"/>
              <w:rPr>
                <w:i/>
                <w:sz w:val="18"/>
                <w:szCs w:val="18"/>
              </w:rPr>
            </w:pPr>
            <w:r w:rsidRPr="000C53ED">
              <w:rPr>
                <w:i/>
                <w:sz w:val="18"/>
                <w:szCs w:val="18"/>
              </w:rPr>
              <w:t>Acquisitions of property</w:t>
            </w:r>
            <w:r w:rsidR="00205208">
              <w:rPr>
                <w:i/>
                <w:sz w:val="18"/>
                <w:szCs w:val="18"/>
              </w:rPr>
              <w:t xml:space="preserve"> </w:t>
            </w:r>
            <w:r w:rsidRPr="000C53ED">
              <w:rPr>
                <w:i/>
                <w:sz w:val="18"/>
                <w:szCs w:val="18"/>
              </w:rPr>
              <w:t xml:space="preserve">and </w:t>
            </w:r>
          </w:p>
          <w:p w14:paraId="1B19284A" w14:textId="77777777" w:rsidR="00D574F0" w:rsidRPr="000C53ED" w:rsidRDefault="00D574F0" w:rsidP="00B72B39">
            <w:pPr>
              <w:ind w:right="264"/>
              <w:jc w:val="right"/>
              <w:rPr>
                <w:i/>
                <w:sz w:val="18"/>
                <w:szCs w:val="18"/>
              </w:rPr>
            </w:pPr>
            <w:r w:rsidRPr="000C53ED">
              <w:rPr>
                <w:i/>
                <w:sz w:val="18"/>
                <w:szCs w:val="18"/>
              </w:rPr>
              <w:t xml:space="preserve">equipment </w:t>
            </w:r>
          </w:p>
        </w:tc>
      </w:tr>
      <w:tr w:rsidR="00D574F0" w:rsidRPr="000C53ED" w14:paraId="1E05D99A" w14:textId="77777777" w:rsidTr="009D110D">
        <w:trPr>
          <w:trHeight w:val="20"/>
        </w:trPr>
        <w:tc>
          <w:tcPr>
            <w:tcW w:w="2688" w:type="dxa"/>
            <w:vAlign w:val="bottom"/>
          </w:tcPr>
          <w:p w14:paraId="2EF76315" w14:textId="77777777" w:rsidR="00D574F0" w:rsidRPr="000C53ED" w:rsidRDefault="00D574F0" w:rsidP="0013526B">
            <w:pPr>
              <w:ind w:left="284" w:hanging="142"/>
              <w:rPr>
                <w:sz w:val="18"/>
                <w:szCs w:val="18"/>
              </w:rPr>
            </w:pPr>
            <w:r w:rsidRPr="000C53ED">
              <w:rPr>
                <w:sz w:val="18"/>
                <w:szCs w:val="18"/>
              </w:rPr>
              <w:t xml:space="preserve">Pembayaran uang muka pembelian aset tetap </w:t>
            </w:r>
          </w:p>
        </w:tc>
        <w:tc>
          <w:tcPr>
            <w:tcW w:w="1841" w:type="dxa"/>
            <w:shd w:val="clear" w:color="auto" w:fill="auto"/>
            <w:vAlign w:val="bottom"/>
          </w:tcPr>
          <w:p w14:paraId="63A0EC5A" w14:textId="37850545" w:rsidR="00D574F0" w:rsidRPr="000C53ED" w:rsidRDefault="00383488" w:rsidP="00B55818">
            <w:pPr>
              <w:ind w:right="57"/>
              <w:jc w:val="right"/>
              <w:rPr>
                <w:sz w:val="18"/>
                <w:szCs w:val="18"/>
              </w:rPr>
            </w:pPr>
            <w:r>
              <w:rPr>
                <w:sz w:val="18"/>
                <w:szCs w:val="18"/>
              </w:rPr>
              <w:t>(</w:t>
            </w:r>
            <w:r>
              <w:rPr>
                <w:sz w:val="18"/>
                <w:szCs w:val="18"/>
                <w:lang w:val="id-ID"/>
              </w:rPr>
              <w:t>12</w:t>
            </w:r>
            <w:r>
              <w:rPr>
                <w:sz w:val="18"/>
                <w:szCs w:val="18"/>
              </w:rPr>
              <w:t>.5</w:t>
            </w:r>
            <w:r>
              <w:rPr>
                <w:sz w:val="18"/>
                <w:szCs w:val="18"/>
                <w:lang w:val="id-ID"/>
              </w:rPr>
              <w:t>97</w:t>
            </w:r>
            <w:r w:rsidR="001B3BE4">
              <w:rPr>
                <w:sz w:val="18"/>
                <w:szCs w:val="18"/>
              </w:rPr>
              <w:t>.</w:t>
            </w:r>
            <w:r>
              <w:rPr>
                <w:sz w:val="18"/>
                <w:szCs w:val="18"/>
                <w:lang w:val="id-ID"/>
              </w:rPr>
              <w:t>8</w:t>
            </w:r>
            <w:r>
              <w:rPr>
                <w:sz w:val="18"/>
                <w:szCs w:val="18"/>
              </w:rPr>
              <w:t>2</w:t>
            </w:r>
            <w:r>
              <w:rPr>
                <w:sz w:val="18"/>
                <w:szCs w:val="18"/>
                <w:lang w:val="id-ID"/>
              </w:rPr>
              <w:t>4</w:t>
            </w:r>
            <w:r w:rsidR="001B3BE4">
              <w:rPr>
                <w:sz w:val="18"/>
                <w:szCs w:val="18"/>
              </w:rPr>
              <w:t>.</w:t>
            </w:r>
            <w:r>
              <w:rPr>
                <w:sz w:val="18"/>
                <w:szCs w:val="18"/>
                <w:lang w:val="id-ID"/>
              </w:rPr>
              <w:t>61</w:t>
            </w:r>
            <w:r>
              <w:rPr>
                <w:sz w:val="18"/>
                <w:szCs w:val="18"/>
              </w:rPr>
              <w:t>3</w:t>
            </w:r>
            <w:r w:rsidR="00EA4361" w:rsidRPr="00EA4361">
              <w:rPr>
                <w:sz w:val="18"/>
                <w:szCs w:val="18"/>
              </w:rPr>
              <w:t>)</w:t>
            </w:r>
          </w:p>
        </w:tc>
        <w:tc>
          <w:tcPr>
            <w:tcW w:w="162" w:type="dxa"/>
            <w:tcMar>
              <w:left w:w="28" w:type="dxa"/>
              <w:right w:w="28" w:type="dxa"/>
            </w:tcMar>
            <w:vAlign w:val="bottom"/>
          </w:tcPr>
          <w:p w14:paraId="2F981CBA" w14:textId="77777777" w:rsidR="00D574F0" w:rsidRPr="000C53ED" w:rsidRDefault="00D574F0" w:rsidP="0013526B">
            <w:pPr>
              <w:ind w:right="57"/>
              <w:jc w:val="right"/>
              <w:rPr>
                <w:sz w:val="18"/>
                <w:szCs w:val="18"/>
              </w:rPr>
            </w:pPr>
          </w:p>
        </w:tc>
        <w:tc>
          <w:tcPr>
            <w:tcW w:w="1841" w:type="dxa"/>
            <w:vAlign w:val="bottom"/>
          </w:tcPr>
          <w:p w14:paraId="7992D1DA" w14:textId="6D8CD66F" w:rsidR="00D574F0" w:rsidRPr="009205D6" w:rsidRDefault="009E18F9" w:rsidP="0013526B">
            <w:pPr>
              <w:ind w:right="57"/>
              <w:jc w:val="right"/>
              <w:rPr>
                <w:sz w:val="18"/>
                <w:szCs w:val="18"/>
              </w:rPr>
            </w:pPr>
            <w:r w:rsidRPr="009205D6">
              <w:rPr>
                <w:sz w:val="18"/>
                <w:szCs w:val="18"/>
              </w:rPr>
              <w:t>( 54</w:t>
            </w:r>
            <w:r w:rsidR="00870FD0">
              <w:rPr>
                <w:sz w:val="18"/>
                <w:szCs w:val="18"/>
              </w:rPr>
              <w:t>.</w:t>
            </w:r>
            <w:r w:rsidRPr="009205D6">
              <w:rPr>
                <w:sz w:val="18"/>
                <w:szCs w:val="18"/>
              </w:rPr>
              <w:t>431</w:t>
            </w:r>
            <w:r w:rsidR="00870FD0">
              <w:rPr>
                <w:sz w:val="18"/>
                <w:szCs w:val="18"/>
              </w:rPr>
              <w:t>.</w:t>
            </w:r>
            <w:r w:rsidRPr="009205D6">
              <w:rPr>
                <w:sz w:val="18"/>
                <w:szCs w:val="18"/>
              </w:rPr>
              <w:t>066</w:t>
            </w:r>
            <w:r w:rsidR="00870FD0">
              <w:rPr>
                <w:sz w:val="18"/>
                <w:szCs w:val="18"/>
              </w:rPr>
              <w:t>.</w:t>
            </w:r>
            <w:r w:rsidRPr="009205D6">
              <w:rPr>
                <w:sz w:val="18"/>
                <w:szCs w:val="18"/>
              </w:rPr>
              <w:t>848)</w:t>
            </w:r>
          </w:p>
        </w:tc>
        <w:tc>
          <w:tcPr>
            <w:tcW w:w="2682" w:type="dxa"/>
            <w:vAlign w:val="bottom"/>
          </w:tcPr>
          <w:p w14:paraId="3B0CE7FB" w14:textId="77777777" w:rsidR="00706B78" w:rsidRDefault="00D574F0" w:rsidP="0013526B">
            <w:pPr>
              <w:ind w:right="57"/>
              <w:jc w:val="right"/>
              <w:rPr>
                <w:i/>
                <w:sz w:val="18"/>
                <w:szCs w:val="18"/>
              </w:rPr>
            </w:pPr>
            <w:r w:rsidRPr="000C53ED">
              <w:rPr>
                <w:i/>
                <w:sz w:val="18"/>
                <w:szCs w:val="18"/>
              </w:rPr>
              <w:t>Payments of advances for</w:t>
            </w:r>
          </w:p>
          <w:p w14:paraId="10898093" w14:textId="099BDA28" w:rsidR="00D574F0" w:rsidRPr="000C53ED" w:rsidRDefault="00D574F0" w:rsidP="00B72B39">
            <w:pPr>
              <w:ind w:right="264"/>
              <w:jc w:val="right"/>
              <w:rPr>
                <w:i/>
                <w:sz w:val="18"/>
                <w:szCs w:val="18"/>
              </w:rPr>
            </w:pPr>
            <w:r w:rsidRPr="000C53ED">
              <w:rPr>
                <w:i/>
                <w:sz w:val="18"/>
                <w:szCs w:val="18"/>
              </w:rPr>
              <w:t xml:space="preserve">purchases of </w:t>
            </w:r>
          </w:p>
          <w:p w14:paraId="06163BEE" w14:textId="514D5743" w:rsidR="00D574F0" w:rsidRPr="000C53ED" w:rsidRDefault="00D574F0" w:rsidP="00B72B39">
            <w:pPr>
              <w:ind w:right="264"/>
              <w:jc w:val="right"/>
              <w:rPr>
                <w:i/>
                <w:sz w:val="18"/>
                <w:szCs w:val="18"/>
              </w:rPr>
            </w:pPr>
            <w:r w:rsidRPr="000C53ED">
              <w:rPr>
                <w:i/>
                <w:sz w:val="18"/>
                <w:szCs w:val="18"/>
              </w:rPr>
              <w:t>property and equipment</w:t>
            </w:r>
          </w:p>
        </w:tc>
      </w:tr>
      <w:tr w:rsidR="008352D9" w:rsidRPr="000C53ED" w14:paraId="44621051" w14:textId="77777777" w:rsidTr="009D110D">
        <w:trPr>
          <w:trHeight w:val="20"/>
        </w:trPr>
        <w:tc>
          <w:tcPr>
            <w:tcW w:w="2688" w:type="dxa"/>
            <w:vAlign w:val="bottom"/>
          </w:tcPr>
          <w:p w14:paraId="21DE3A2B" w14:textId="120B1758" w:rsidR="008352D9" w:rsidRPr="008352D9" w:rsidRDefault="008352D9" w:rsidP="0013526B">
            <w:pPr>
              <w:ind w:left="284" w:hanging="142"/>
              <w:rPr>
                <w:sz w:val="18"/>
                <w:szCs w:val="18"/>
                <w:lang w:val="id-ID"/>
              </w:rPr>
            </w:pPr>
            <w:r w:rsidRPr="008352D9">
              <w:rPr>
                <w:sz w:val="18"/>
                <w:szCs w:val="18"/>
              </w:rPr>
              <w:t xml:space="preserve">Perolehan </w:t>
            </w:r>
            <w:r>
              <w:rPr>
                <w:sz w:val="18"/>
                <w:szCs w:val="18"/>
                <w:lang w:val="id-ID"/>
              </w:rPr>
              <w:t>perangkat lunak</w:t>
            </w:r>
          </w:p>
        </w:tc>
        <w:tc>
          <w:tcPr>
            <w:tcW w:w="1841" w:type="dxa"/>
            <w:shd w:val="clear" w:color="auto" w:fill="auto"/>
            <w:vAlign w:val="bottom"/>
          </w:tcPr>
          <w:p w14:paraId="656A3DD7" w14:textId="5CE69486" w:rsidR="008352D9" w:rsidRPr="00EA4361" w:rsidRDefault="00EA4361" w:rsidP="00B55818">
            <w:pPr>
              <w:ind w:right="57"/>
              <w:jc w:val="right"/>
              <w:rPr>
                <w:sz w:val="18"/>
                <w:szCs w:val="18"/>
              </w:rPr>
            </w:pPr>
            <w:r>
              <w:rPr>
                <w:sz w:val="18"/>
                <w:szCs w:val="18"/>
              </w:rPr>
              <w:t>-</w:t>
            </w:r>
          </w:p>
        </w:tc>
        <w:tc>
          <w:tcPr>
            <w:tcW w:w="162" w:type="dxa"/>
            <w:tcMar>
              <w:left w:w="28" w:type="dxa"/>
              <w:right w:w="28" w:type="dxa"/>
            </w:tcMar>
            <w:vAlign w:val="bottom"/>
          </w:tcPr>
          <w:p w14:paraId="37D3401E" w14:textId="77777777" w:rsidR="008352D9" w:rsidRPr="000C53ED" w:rsidRDefault="008352D9" w:rsidP="0013526B">
            <w:pPr>
              <w:ind w:right="57"/>
              <w:jc w:val="right"/>
              <w:rPr>
                <w:b/>
                <w:sz w:val="18"/>
                <w:szCs w:val="18"/>
              </w:rPr>
            </w:pPr>
          </w:p>
        </w:tc>
        <w:tc>
          <w:tcPr>
            <w:tcW w:w="1841" w:type="dxa"/>
            <w:vAlign w:val="bottom"/>
          </w:tcPr>
          <w:p w14:paraId="3E4F7EAA" w14:textId="07739A2A" w:rsidR="008352D9" w:rsidRPr="009205D6" w:rsidRDefault="008352D9" w:rsidP="0013526B">
            <w:pPr>
              <w:ind w:right="57"/>
              <w:jc w:val="right"/>
              <w:rPr>
                <w:sz w:val="18"/>
                <w:szCs w:val="18"/>
                <w:lang w:val="id-ID"/>
              </w:rPr>
            </w:pPr>
            <w:r w:rsidRPr="009205D6">
              <w:rPr>
                <w:sz w:val="18"/>
                <w:szCs w:val="18"/>
                <w:lang w:val="id-ID"/>
              </w:rPr>
              <w:t>-</w:t>
            </w:r>
          </w:p>
        </w:tc>
        <w:tc>
          <w:tcPr>
            <w:tcW w:w="2682" w:type="dxa"/>
            <w:vAlign w:val="bottom"/>
          </w:tcPr>
          <w:p w14:paraId="0ABB0957" w14:textId="5532194C" w:rsidR="008352D9" w:rsidRPr="008352D9" w:rsidRDefault="008352D9" w:rsidP="00706B78">
            <w:pPr>
              <w:ind w:right="82"/>
              <w:jc w:val="right"/>
              <w:rPr>
                <w:i/>
                <w:sz w:val="18"/>
                <w:szCs w:val="18"/>
                <w:lang w:val="id-ID"/>
              </w:rPr>
            </w:pPr>
            <w:r w:rsidRPr="008352D9">
              <w:rPr>
                <w:i/>
                <w:sz w:val="18"/>
                <w:szCs w:val="18"/>
              </w:rPr>
              <w:t xml:space="preserve">Acquisitions of </w:t>
            </w:r>
            <w:r>
              <w:rPr>
                <w:i/>
                <w:sz w:val="18"/>
                <w:szCs w:val="18"/>
                <w:lang w:val="id-ID"/>
              </w:rPr>
              <w:t>software</w:t>
            </w:r>
          </w:p>
        </w:tc>
      </w:tr>
      <w:tr w:rsidR="00D574F0" w:rsidRPr="000C53ED" w14:paraId="1004150C" w14:textId="77777777" w:rsidTr="009D110D">
        <w:trPr>
          <w:trHeight w:val="20"/>
        </w:trPr>
        <w:tc>
          <w:tcPr>
            <w:tcW w:w="2688" w:type="dxa"/>
            <w:vAlign w:val="bottom"/>
          </w:tcPr>
          <w:p w14:paraId="6179AF00" w14:textId="6CD9028C" w:rsidR="00D574F0" w:rsidRPr="000C53ED" w:rsidRDefault="00213EF5" w:rsidP="0013526B">
            <w:pPr>
              <w:ind w:left="284" w:hanging="142"/>
              <w:rPr>
                <w:sz w:val="18"/>
                <w:szCs w:val="18"/>
              </w:rPr>
            </w:pPr>
            <w:r w:rsidRPr="000C53ED">
              <w:rPr>
                <w:sz w:val="18"/>
                <w:szCs w:val="18"/>
              </w:rPr>
              <w:t>Dampak dari penggabungan usaha</w:t>
            </w:r>
          </w:p>
        </w:tc>
        <w:tc>
          <w:tcPr>
            <w:tcW w:w="1841" w:type="dxa"/>
            <w:shd w:val="clear" w:color="auto" w:fill="auto"/>
            <w:vAlign w:val="bottom"/>
          </w:tcPr>
          <w:p w14:paraId="143B8CD6" w14:textId="03A2A0B7" w:rsidR="00D574F0" w:rsidRPr="008352D9" w:rsidRDefault="008352D9" w:rsidP="0013526B">
            <w:pPr>
              <w:ind w:right="57"/>
              <w:jc w:val="right"/>
              <w:rPr>
                <w:sz w:val="18"/>
                <w:szCs w:val="18"/>
                <w:lang w:val="id-ID"/>
              </w:rPr>
            </w:pPr>
            <w:r>
              <w:rPr>
                <w:sz w:val="18"/>
                <w:szCs w:val="18"/>
                <w:lang w:val="id-ID"/>
              </w:rPr>
              <w:t>-</w:t>
            </w:r>
          </w:p>
        </w:tc>
        <w:tc>
          <w:tcPr>
            <w:tcW w:w="162" w:type="dxa"/>
            <w:tcMar>
              <w:left w:w="28" w:type="dxa"/>
              <w:right w:w="28" w:type="dxa"/>
            </w:tcMar>
            <w:vAlign w:val="bottom"/>
          </w:tcPr>
          <w:p w14:paraId="4B96AE8E" w14:textId="77777777" w:rsidR="00D574F0" w:rsidRPr="000C53ED" w:rsidRDefault="00D574F0" w:rsidP="0013526B">
            <w:pPr>
              <w:ind w:right="57"/>
              <w:jc w:val="right"/>
              <w:rPr>
                <w:b/>
                <w:sz w:val="18"/>
                <w:szCs w:val="18"/>
              </w:rPr>
            </w:pPr>
          </w:p>
        </w:tc>
        <w:tc>
          <w:tcPr>
            <w:tcW w:w="1841" w:type="dxa"/>
            <w:vAlign w:val="bottom"/>
          </w:tcPr>
          <w:p w14:paraId="6EB35BFE" w14:textId="77F77598" w:rsidR="00D574F0" w:rsidRPr="009205D6" w:rsidRDefault="009E18F9" w:rsidP="0013526B">
            <w:pPr>
              <w:ind w:right="57"/>
              <w:jc w:val="right"/>
              <w:rPr>
                <w:sz w:val="18"/>
                <w:szCs w:val="18"/>
              </w:rPr>
            </w:pPr>
            <w:r w:rsidRPr="009205D6">
              <w:rPr>
                <w:sz w:val="18"/>
                <w:szCs w:val="18"/>
              </w:rPr>
              <w:t>-</w:t>
            </w:r>
          </w:p>
        </w:tc>
        <w:tc>
          <w:tcPr>
            <w:tcW w:w="2682" w:type="dxa"/>
            <w:vAlign w:val="bottom"/>
          </w:tcPr>
          <w:p w14:paraId="4A49E5DC" w14:textId="1924EA49" w:rsidR="00D574F0" w:rsidRPr="000C53ED" w:rsidRDefault="00213EF5" w:rsidP="00706B78">
            <w:pPr>
              <w:ind w:right="82"/>
              <w:jc w:val="right"/>
              <w:rPr>
                <w:i/>
                <w:sz w:val="18"/>
                <w:szCs w:val="18"/>
              </w:rPr>
            </w:pPr>
            <w:r w:rsidRPr="000C53ED">
              <w:rPr>
                <w:i/>
                <w:sz w:val="18"/>
                <w:szCs w:val="18"/>
              </w:rPr>
              <w:t>Impact from merger</w:t>
            </w:r>
          </w:p>
        </w:tc>
      </w:tr>
      <w:tr w:rsidR="00D574F0" w:rsidRPr="000C53ED" w14:paraId="218BE2FA" w14:textId="77777777" w:rsidTr="009D110D">
        <w:trPr>
          <w:trHeight w:val="20"/>
        </w:trPr>
        <w:tc>
          <w:tcPr>
            <w:tcW w:w="2688" w:type="dxa"/>
            <w:vAlign w:val="bottom"/>
          </w:tcPr>
          <w:p w14:paraId="414346AA" w14:textId="77777777" w:rsidR="000F2F6E" w:rsidRDefault="00213EF5" w:rsidP="0013526B">
            <w:pPr>
              <w:ind w:left="284" w:hanging="142"/>
              <w:rPr>
                <w:sz w:val="18"/>
                <w:szCs w:val="18"/>
              </w:rPr>
            </w:pPr>
            <w:r w:rsidRPr="000C53ED">
              <w:rPr>
                <w:sz w:val="18"/>
                <w:szCs w:val="18"/>
              </w:rPr>
              <w:t xml:space="preserve">Perolehan aset dalam </w:t>
            </w:r>
          </w:p>
          <w:p w14:paraId="07A824F6" w14:textId="13FBE315" w:rsidR="00D574F0" w:rsidRPr="000C53ED" w:rsidRDefault="00213EF5" w:rsidP="000F2F6E">
            <w:pPr>
              <w:ind w:left="413" w:hanging="142"/>
              <w:rPr>
                <w:sz w:val="18"/>
                <w:szCs w:val="18"/>
              </w:rPr>
            </w:pPr>
            <w:r w:rsidRPr="000C53ED">
              <w:rPr>
                <w:sz w:val="18"/>
                <w:szCs w:val="18"/>
              </w:rPr>
              <w:t>penyelesaian</w:t>
            </w:r>
          </w:p>
        </w:tc>
        <w:tc>
          <w:tcPr>
            <w:tcW w:w="1841" w:type="dxa"/>
            <w:tcBorders>
              <w:bottom w:val="single" w:sz="4" w:space="0" w:color="auto"/>
            </w:tcBorders>
            <w:shd w:val="clear" w:color="auto" w:fill="auto"/>
            <w:vAlign w:val="bottom"/>
          </w:tcPr>
          <w:p w14:paraId="589E9C4D" w14:textId="684A080D" w:rsidR="00D574F0" w:rsidRPr="000C53ED" w:rsidRDefault="00383488" w:rsidP="007E1FCA">
            <w:pPr>
              <w:ind w:right="57"/>
              <w:jc w:val="right"/>
              <w:rPr>
                <w:sz w:val="18"/>
                <w:szCs w:val="18"/>
              </w:rPr>
            </w:pPr>
            <w:r>
              <w:rPr>
                <w:sz w:val="18"/>
                <w:szCs w:val="18"/>
              </w:rPr>
              <w:t>(</w:t>
            </w:r>
            <w:r w:rsidR="007E1FCA">
              <w:rPr>
                <w:sz w:val="18"/>
                <w:szCs w:val="18"/>
              </w:rPr>
              <w:t>1.811.813.939</w:t>
            </w:r>
            <w:r w:rsidR="00EA4361" w:rsidRPr="00EA4361">
              <w:rPr>
                <w:sz w:val="18"/>
                <w:szCs w:val="18"/>
              </w:rPr>
              <w:t>)</w:t>
            </w:r>
          </w:p>
        </w:tc>
        <w:tc>
          <w:tcPr>
            <w:tcW w:w="162" w:type="dxa"/>
            <w:tcMar>
              <w:left w:w="28" w:type="dxa"/>
              <w:right w:w="28" w:type="dxa"/>
            </w:tcMar>
            <w:vAlign w:val="bottom"/>
          </w:tcPr>
          <w:p w14:paraId="57DF12E2" w14:textId="77777777" w:rsidR="00D574F0" w:rsidRPr="000C53ED" w:rsidRDefault="00D574F0" w:rsidP="0013526B">
            <w:pPr>
              <w:ind w:right="57"/>
              <w:jc w:val="right"/>
              <w:rPr>
                <w:b/>
                <w:sz w:val="18"/>
                <w:szCs w:val="18"/>
              </w:rPr>
            </w:pPr>
          </w:p>
        </w:tc>
        <w:tc>
          <w:tcPr>
            <w:tcW w:w="1841" w:type="dxa"/>
            <w:tcBorders>
              <w:bottom w:val="single" w:sz="4" w:space="0" w:color="auto"/>
            </w:tcBorders>
            <w:vAlign w:val="bottom"/>
          </w:tcPr>
          <w:p w14:paraId="23E44AEF" w14:textId="503CC007" w:rsidR="00D574F0" w:rsidRPr="009205D6" w:rsidRDefault="009E18F9" w:rsidP="0013526B">
            <w:pPr>
              <w:ind w:right="57"/>
              <w:jc w:val="right"/>
              <w:rPr>
                <w:sz w:val="18"/>
                <w:szCs w:val="18"/>
              </w:rPr>
            </w:pPr>
            <w:r w:rsidRPr="009205D6">
              <w:rPr>
                <w:sz w:val="18"/>
                <w:szCs w:val="18"/>
              </w:rPr>
              <w:t>(9</w:t>
            </w:r>
            <w:r w:rsidR="00870FD0">
              <w:rPr>
                <w:sz w:val="18"/>
                <w:szCs w:val="18"/>
              </w:rPr>
              <w:t>.</w:t>
            </w:r>
            <w:r w:rsidRPr="009205D6">
              <w:rPr>
                <w:sz w:val="18"/>
                <w:szCs w:val="18"/>
              </w:rPr>
              <w:t>697</w:t>
            </w:r>
            <w:r w:rsidR="00870FD0">
              <w:rPr>
                <w:sz w:val="18"/>
                <w:szCs w:val="18"/>
              </w:rPr>
              <w:t>.</w:t>
            </w:r>
            <w:r w:rsidRPr="009205D6">
              <w:rPr>
                <w:sz w:val="18"/>
                <w:szCs w:val="18"/>
              </w:rPr>
              <w:t>906</w:t>
            </w:r>
            <w:r w:rsidR="00870FD0">
              <w:rPr>
                <w:sz w:val="18"/>
                <w:szCs w:val="18"/>
              </w:rPr>
              <w:t>.</w:t>
            </w:r>
            <w:r w:rsidRPr="009205D6">
              <w:rPr>
                <w:sz w:val="18"/>
                <w:szCs w:val="18"/>
              </w:rPr>
              <w:t>799)</w:t>
            </w:r>
          </w:p>
        </w:tc>
        <w:tc>
          <w:tcPr>
            <w:tcW w:w="2682" w:type="dxa"/>
            <w:vAlign w:val="bottom"/>
          </w:tcPr>
          <w:p w14:paraId="6F3954D4" w14:textId="77777777" w:rsidR="00706B78" w:rsidRDefault="003C40EF" w:rsidP="0013526B">
            <w:pPr>
              <w:ind w:right="57"/>
              <w:jc w:val="right"/>
              <w:rPr>
                <w:i/>
                <w:sz w:val="18"/>
                <w:szCs w:val="18"/>
              </w:rPr>
            </w:pPr>
            <w:r w:rsidRPr="000C53ED">
              <w:rPr>
                <w:i/>
                <w:sz w:val="18"/>
                <w:szCs w:val="18"/>
              </w:rPr>
              <w:t>Acquisition of asset under</w:t>
            </w:r>
          </w:p>
          <w:p w14:paraId="081B7CB5" w14:textId="7B9A72F7" w:rsidR="00D574F0" w:rsidRPr="000C53ED" w:rsidRDefault="003C40EF" w:rsidP="00B72B39">
            <w:pPr>
              <w:ind w:right="236"/>
              <w:jc w:val="right"/>
              <w:rPr>
                <w:i/>
                <w:sz w:val="18"/>
                <w:szCs w:val="18"/>
              </w:rPr>
            </w:pPr>
            <w:r w:rsidRPr="000C53ED">
              <w:rPr>
                <w:i/>
                <w:sz w:val="18"/>
                <w:szCs w:val="18"/>
              </w:rPr>
              <w:t>construction</w:t>
            </w:r>
            <w:r w:rsidR="00D574F0" w:rsidRPr="000C53ED">
              <w:rPr>
                <w:i/>
                <w:sz w:val="18"/>
                <w:szCs w:val="18"/>
              </w:rPr>
              <w:t xml:space="preserve"> </w:t>
            </w:r>
          </w:p>
        </w:tc>
      </w:tr>
      <w:tr w:rsidR="00D574F0" w:rsidRPr="000C53ED" w14:paraId="1F904CBC" w14:textId="77777777" w:rsidTr="009D110D">
        <w:trPr>
          <w:trHeight w:val="20"/>
        </w:trPr>
        <w:tc>
          <w:tcPr>
            <w:tcW w:w="2688" w:type="dxa"/>
            <w:vAlign w:val="bottom"/>
          </w:tcPr>
          <w:p w14:paraId="0E8F65A4" w14:textId="77777777" w:rsidR="00D574F0" w:rsidRPr="000C53ED" w:rsidRDefault="00D574F0" w:rsidP="0013526B">
            <w:pPr>
              <w:ind w:left="284" w:hanging="142"/>
              <w:rPr>
                <w:sz w:val="18"/>
                <w:szCs w:val="18"/>
              </w:rPr>
            </w:pPr>
          </w:p>
        </w:tc>
        <w:tc>
          <w:tcPr>
            <w:tcW w:w="1841" w:type="dxa"/>
            <w:tcBorders>
              <w:top w:val="single" w:sz="4" w:space="0" w:color="auto"/>
            </w:tcBorders>
            <w:shd w:val="clear" w:color="auto" w:fill="auto"/>
            <w:vAlign w:val="bottom"/>
          </w:tcPr>
          <w:p w14:paraId="2E3B0FBC" w14:textId="77777777" w:rsidR="00D574F0" w:rsidRPr="000C53ED" w:rsidRDefault="00D574F0" w:rsidP="0013526B">
            <w:pPr>
              <w:ind w:right="57"/>
              <w:jc w:val="right"/>
              <w:rPr>
                <w:sz w:val="18"/>
                <w:szCs w:val="18"/>
              </w:rPr>
            </w:pPr>
          </w:p>
        </w:tc>
        <w:tc>
          <w:tcPr>
            <w:tcW w:w="162" w:type="dxa"/>
            <w:tcMar>
              <w:left w:w="28" w:type="dxa"/>
              <w:right w:w="28" w:type="dxa"/>
            </w:tcMar>
            <w:vAlign w:val="bottom"/>
          </w:tcPr>
          <w:p w14:paraId="2AD759E4" w14:textId="77777777" w:rsidR="00D574F0" w:rsidRPr="000C53ED" w:rsidRDefault="00D574F0" w:rsidP="0013526B">
            <w:pPr>
              <w:ind w:right="57"/>
              <w:jc w:val="right"/>
              <w:rPr>
                <w:b/>
                <w:sz w:val="18"/>
                <w:szCs w:val="18"/>
              </w:rPr>
            </w:pPr>
          </w:p>
        </w:tc>
        <w:tc>
          <w:tcPr>
            <w:tcW w:w="1841" w:type="dxa"/>
            <w:tcBorders>
              <w:top w:val="single" w:sz="4" w:space="0" w:color="auto"/>
            </w:tcBorders>
            <w:vAlign w:val="bottom"/>
          </w:tcPr>
          <w:p w14:paraId="22A05B51" w14:textId="77777777" w:rsidR="00D574F0" w:rsidRPr="009205D6" w:rsidRDefault="00D574F0" w:rsidP="0013526B">
            <w:pPr>
              <w:ind w:right="57"/>
              <w:jc w:val="right"/>
              <w:rPr>
                <w:sz w:val="18"/>
                <w:szCs w:val="18"/>
              </w:rPr>
            </w:pPr>
          </w:p>
        </w:tc>
        <w:tc>
          <w:tcPr>
            <w:tcW w:w="2682" w:type="dxa"/>
            <w:vAlign w:val="bottom"/>
          </w:tcPr>
          <w:p w14:paraId="7CDC03F2" w14:textId="77777777" w:rsidR="00D574F0" w:rsidRPr="000C53ED" w:rsidRDefault="00D574F0" w:rsidP="0013526B">
            <w:pPr>
              <w:ind w:right="57"/>
              <w:jc w:val="right"/>
              <w:rPr>
                <w:i/>
                <w:sz w:val="18"/>
                <w:szCs w:val="18"/>
              </w:rPr>
            </w:pPr>
          </w:p>
        </w:tc>
      </w:tr>
      <w:tr w:rsidR="00D574F0" w:rsidRPr="000C53ED" w14:paraId="167AA687" w14:textId="77777777" w:rsidTr="009D110D">
        <w:trPr>
          <w:trHeight w:val="20"/>
        </w:trPr>
        <w:tc>
          <w:tcPr>
            <w:tcW w:w="2688" w:type="dxa"/>
            <w:vAlign w:val="bottom"/>
          </w:tcPr>
          <w:p w14:paraId="7DDC7879" w14:textId="77777777" w:rsidR="00D574F0" w:rsidRPr="000C53ED" w:rsidRDefault="00D574F0" w:rsidP="0013526B">
            <w:pPr>
              <w:ind w:left="284" w:right="45" w:hanging="142"/>
              <w:rPr>
                <w:sz w:val="18"/>
                <w:szCs w:val="18"/>
              </w:rPr>
            </w:pPr>
            <w:r w:rsidRPr="000C53ED">
              <w:rPr>
                <w:sz w:val="18"/>
                <w:szCs w:val="18"/>
              </w:rPr>
              <w:t xml:space="preserve">Kas Bersih yang Digunakan untuk Aktivitas Investasi </w:t>
            </w:r>
          </w:p>
        </w:tc>
        <w:tc>
          <w:tcPr>
            <w:tcW w:w="1841" w:type="dxa"/>
            <w:tcBorders>
              <w:bottom w:val="single" w:sz="4" w:space="0" w:color="auto"/>
            </w:tcBorders>
            <w:shd w:val="clear" w:color="auto" w:fill="auto"/>
            <w:vAlign w:val="bottom"/>
          </w:tcPr>
          <w:p w14:paraId="0E06B24C" w14:textId="0CD67D9E" w:rsidR="00D574F0" w:rsidRPr="000C53ED" w:rsidRDefault="00383488" w:rsidP="00B55818">
            <w:pPr>
              <w:ind w:right="57"/>
              <w:jc w:val="right"/>
              <w:rPr>
                <w:sz w:val="18"/>
                <w:szCs w:val="18"/>
              </w:rPr>
            </w:pPr>
            <w:r>
              <w:rPr>
                <w:sz w:val="18"/>
                <w:szCs w:val="18"/>
              </w:rPr>
              <w:t>(</w:t>
            </w:r>
            <w:r>
              <w:rPr>
                <w:sz w:val="18"/>
                <w:szCs w:val="18"/>
                <w:lang w:val="id-ID"/>
              </w:rPr>
              <w:t>5</w:t>
            </w:r>
            <w:r>
              <w:rPr>
                <w:sz w:val="18"/>
                <w:szCs w:val="18"/>
              </w:rPr>
              <w:t>2.</w:t>
            </w:r>
            <w:r>
              <w:rPr>
                <w:sz w:val="18"/>
                <w:szCs w:val="18"/>
                <w:lang w:val="id-ID"/>
              </w:rPr>
              <w:t>983</w:t>
            </w:r>
            <w:r>
              <w:rPr>
                <w:sz w:val="18"/>
                <w:szCs w:val="18"/>
              </w:rPr>
              <w:t>.</w:t>
            </w:r>
            <w:r w:rsidR="001B3BE4">
              <w:rPr>
                <w:sz w:val="18"/>
                <w:szCs w:val="18"/>
              </w:rPr>
              <w:t>8</w:t>
            </w:r>
            <w:r>
              <w:rPr>
                <w:sz w:val="18"/>
                <w:szCs w:val="18"/>
                <w:lang w:val="id-ID"/>
              </w:rPr>
              <w:t>47</w:t>
            </w:r>
            <w:r w:rsidR="001B3BE4">
              <w:rPr>
                <w:sz w:val="18"/>
                <w:szCs w:val="18"/>
              </w:rPr>
              <w:t>.</w:t>
            </w:r>
            <w:r>
              <w:rPr>
                <w:sz w:val="18"/>
                <w:szCs w:val="18"/>
                <w:lang w:val="id-ID"/>
              </w:rPr>
              <w:t>155</w:t>
            </w:r>
            <w:r w:rsidR="00EA4361" w:rsidRPr="00EA4361">
              <w:rPr>
                <w:sz w:val="18"/>
                <w:szCs w:val="18"/>
              </w:rPr>
              <w:t>)</w:t>
            </w:r>
          </w:p>
        </w:tc>
        <w:tc>
          <w:tcPr>
            <w:tcW w:w="162" w:type="dxa"/>
            <w:tcMar>
              <w:left w:w="28" w:type="dxa"/>
              <w:right w:w="28" w:type="dxa"/>
            </w:tcMar>
            <w:vAlign w:val="bottom"/>
          </w:tcPr>
          <w:p w14:paraId="31F2B64C" w14:textId="77777777" w:rsidR="00D574F0" w:rsidRPr="000C53ED" w:rsidRDefault="00D574F0" w:rsidP="0013526B">
            <w:pPr>
              <w:ind w:right="57"/>
              <w:jc w:val="right"/>
              <w:rPr>
                <w:sz w:val="18"/>
                <w:szCs w:val="18"/>
              </w:rPr>
            </w:pPr>
          </w:p>
        </w:tc>
        <w:tc>
          <w:tcPr>
            <w:tcW w:w="1841" w:type="dxa"/>
            <w:tcBorders>
              <w:bottom w:val="single" w:sz="4" w:space="0" w:color="auto"/>
            </w:tcBorders>
            <w:vAlign w:val="bottom"/>
          </w:tcPr>
          <w:p w14:paraId="47484D49" w14:textId="6C63B7D2" w:rsidR="00D574F0" w:rsidRPr="009205D6" w:rsidRDefault="009E18F9" w:rsidP="0013526B">
            <w:pPr>
              <w:ind w:right="57"/>
              <w:jc w:val="right"/>
              <w:rPr>
                <w:sz w:val="18"/>
                <w:szCs w:val="18"/>
              </w:rPr>
            </w:pPr>
            <w:r w:rsidRPr="009205D6">
              <w:rPr>
                <w:sz w:val="18"/>
                <w:szCs w:val="18"/>
              </w:rPr>
              <w:t>(125</w:t>
            </w:r>
            <w:r w:rsidR="00870FD0">
              <w:rPr>
                <w:sz w:val="18"/>
                <w:szCs w:val="18"/>
              </w:rPr>
              <w:t>.</w:t>
            </w:r>
            <w:r w:rsidRPr="009205D6">
              <w:rPr>
                <w:sz w:val="18"/>
                <w:szCs w:val="18"/>
              </w:rPr>
              <w:t>116</w:t>
            </w:r>
            <w:r w:rsidR="00870FD0">
              <w:rPr>
                <w:sz w:val="18"/>
                <w:szCs w:val="18"/>
              </w:rPr>
              <w:t>.</w:t>
            </w:r>
            <w:r w:rsidRPr="009205D6">
              <w:rPr>
                <w:sz w:val="18"/>
                <w:szCs w:val="18"/>
              </w:rPr>
              <w:t>494</w:t>
            </w:r>
            <w:r w:rsidR="00870FD0">
              <w:rPr>
                <w:sz w:val="18"/>
                <w:szCs w:val="18"/>
              </w:rPr>
              <w:t>.</w:t>
            </w:r>
            <w:r w:rsidRPr="009205D6">
              <w:rPr>
                <w:sz w:val="18"/>
                <w:szCs w:val="18"/>
              </w:rPr>
              <w:t>271)</w:t>
            </w:r>
          </w:p>
        </w:tc>
        <w:tc>
          <w:tcPr>
            <w:tcW w:w="2682" w:type="dxa"/>
            <w:vAlign w:val="bottom"/>
          </w:tcPr>
          <w:p w14:paraId="07ADAA17" w14:textId="77777777" w:rsidR="00706B78" w:rsidRDefault="00D574F0" w:rsidP="00706B78">
            <w:pPr>
              <w:ind w:right="57"/>
              <w:jc w:val="right"/>
              <w:rPr>
                <w:i/>
                <w:sz w:val="18"/>
                <w:szCs w:val="18"/>
              </w:rPr>
            </w:pPr>
            <w:r w:rsidRPr="000C53ED">
              <w:rPr>
                <w:i/>
                <w:sz w:val="18"/>
                <w:szCs w:val="18"/>
              </w:rPr>
              <w:t xml:space="preserve">Net Cash Flows Used in Investing </w:t>
            </w:r>
          </w:p>
          <w:p w14:paraId="48F913D5" w14:textId="3B27F9F9" w:rsidR="00D574F0" w:rsidRPr="000C53ED" w:rsidRDefault="00D574F0" w:rsidP="00B72B39">
            <w:pPr>
              <w:ind w:right="236"/>
              <w:jc w:val="right"/>
              <w:rPr>
                <w:i/>
                <w:sz w:val="18"/>
                <w:szCs w:val="18"/>
              </w:rPr>
            </w:pPr>
            <w:r w:rsidRPr="000C53ED">
              <w:rPr>
                <w:i/>
                <w:sz w:val="18"/>
                <w:szCs w:val="18"/>
              </w:rPr>
              <w:t xml:space="preserve">Activities </w:t>
            </w:r>
          </w:p>
        </w:tc>
      </w:tr>
      <w:tr w:rsidR="00D574F0" w:rsidRPr="000C53ED" w14:paraId="1BF69E2E" w14:textId="77777777" w:rsidTr="009D110D">
        <w:trPr>
          <w:trHeight w:val="20"/>
        </w:trPr>
        <w:tc>
          <w:tcPr>
            <w:tcW w:w="2688" w:type="dxa"/>
            <w:vAlign w:val="bottom"/>
          </w:tcPr>
          <w:p w14:paraId="7A533BD7" w14:textId="77777777" w:rsidR="00D574F0" w:rsidRPr="000C53ED" w:rsidRDefault="00D574F0" w:rsidP="0013526B">
            <w:pPr>
              <w:ind w:left="284" w:right="45" w:hanging="142"/>
              <w:rPr>
                <w:sz w:val="18"/>
                <w:szCs w:val="18"/>
              </w:rPr>
            </w:pPr>
          </w:p>
        </w:tc>
        <w:tc>
          <w:tcPr>
            <w:tcW w:w="1841" w:type="dxa"/>
            <w:tcBorders>
              <w:top w:val="single" w:sz="4" w:space="0" w:color="auto"/>
            </w:tcBorders>
            <w:shd w:val="clear" w:color="auto" w:fill="auto"/>
            <w:vAlign w:val="bottom"/>
          </w:tcPr>
          <w:p w14:paraId="662BAD26" w14:textId="77777777" w:rsidR="00D574F0" w:rsidRPr="000C53ED" w:rsidRDefault="00D574F0" w:rsidP="0013526B">
            <w:pPr>
              <w:ind w:right="57"/>
              <w:jc w:val="right"/>
              <w:rPr>
                <w:sz w:val="18"/>
                <w:szCs w:val="18"/>
              </w:rPr>
            </w:pPr>
          </w:p>
        </w:tc>
        <w:tc>
          <w:tcPr>
            <w:tcW w:w="162" w:type="dxa"/>
            <w:tcMar>
              <w:left w:w="28" w:type="dxa"/>
              <w:right w:w="28" w:type="dxa"/>
            </w:tcMar>
            <w:vAlign w:val="bottom"/>
          </w:tcPr>
          <w:p w14:paraId="349E895C" w14:textId="77777777" w:rsidR="00D574F0" w:rsidRPr="000C53ED" w:rsidRDefault="00D574F0" w:rsidP="0013526B">
            <w:pPr>
              <w:ind w:right="57"/>
              <w:jc w:val="right"/>
              <w:rPr>
                <w:sz w:val="18"/>
                <w:szCs w:val="18"/>
              </w:rPr>
            </w:pPr>
          </w:p>
        </w:tc>
        <w:tc>
          <w:tcPr>
            <w:tcW w:w="1841" w:type="dxa"/>
            <w:tcBorders>
              <w:top w:val="single" w:sz="4" w:space="0" w:color="auto"/>
            </w:tcBorders>
            <w:vAlign w:val="bottom"/>
          </w:tcPr>
          <w:p w14:paraId="4108603E" w14:textId="77777777" w:rsidR="00D574F0" w:rsidRPr="009205D6" w:rsidRDefault="00D574F0" w:rsidP="0013526B">
            <w:pPr>
              <w:ind w:right="57"/>
              <w:jc w:val="right"/>
              <w:rPr>
                <w:sz w:val="18"/>
                <w:szCs w:val="18"/>
              </w:rPr>
            </w:pPr>
          </w:p>
        </w:tc>
        <w:tc>
          <w:tcPr>
            <w:tcW w:w="2682" w:type="dxa"/>
            <w:vAlign w:val="bottom"/>
          </w:tcPr>
          <w:p w14:paraId="796111D9" w14:textId="77777777" w:rsidR="00D574F0" w:rsidRPr="000C53ED" w:rsidRDefault="00D574F0" w:rsidP="0013526B">
            <w:pPr>
              <w:ind w:right="57"/>
              <w:jc w:val="right"/>
              <w:rPr>
                <w:i/>
                <w:sz w:val="18"/>
                <w:szCs w:val="18"/>
              </w:rPr>
            </w:pPr>
          </w:p>
        </w:tc>
      </w:tr>
      <w:tr w:rsidR="00D574F0" w:rsidRPr="000C53ED" w14:paraId="7E8FEEB3" w14:textId="77777777" w:rsidTr="009D110D">
        <w:trPr>
          <w:trHeight w:val="20"/>
        </w:trPr>
        <w:tc>
          <w:tcPr>
            <w:tcW w:w="2688" w:type="dxa"/>
            <w:vAlign w:val="bottom"/>
          </w:tcPr>
          <w:p w14:paraId="5F1F175C" w14:textId="77777777" w:rsidR="00D574F0" w:rsidRPr="000C53ED" w:rsidRDefault="00D574F0" w:rsidP="0013526B">
            <w:pPr>
              <w:ind w:left="284" w:right="45" w:hanging="142"/>
              <w:rPr>
                <w:b/>
                <w:bCs w:val="0"/>
                <w:sz w:val="18"/>
                <w:szCs w:val="18"/>
              </w:rPr>
            </w:pPr>
            <w:r w:rsidRPr="000C53ED">
              <w:rPr>
                <w:b/>
                <w:bCs w:val="0"/>
                <w:sz w:val="18"/>
                <w:szCs w:val="18"/>
              </w:rPr>
              <w:t xml:space="preserve">ARUS KAS DARI AKTIVITAS PENDANAAN </w:t>
            </w:r>
          </w:p>
        </w:tc>
        <w:tc>
          <w:tcPr>
            <w:tcW w:w="1841" w:type="dxa"/>
            <w:shd w:val="clear" w:color="auto" w:fill="auto"/>
            <w:vAlign w:val="bottom"/>
          </w:tcPr>
          <w:p w14:paraId="46D01DA8" w14:textId="77777777" w:rsidR="00D574F0" w:rsidRPr="000C53ED" w:rsidRDefault="00D574F0" w:rsidP="0013526B">
            <w:pPr>
              <w:ind w:right="57"/>
              <w:jc w:val="right"/>
              <w:rPr>
                <w:sz w:val="18"/>
                <w:szCs w:val="18"/>
              </w:rPr>
            </w:pPr>
          </w:p>
        </w:tc>
        <w:tc>
          <w:tcPr>
            <w:tcW w:w="162" w:type="dxa"/>
            <w:tcMar>
              <w:left w:w="28" w:type="dxa"/>
              <w:right w:w="28" w:type="dxa"/>
            </w:tcMar>
            <w:vAlign w:val="bottom"/>
          </w:tcPr>
          <w:p w14:paraId="390E8BD3" w14:textId="77777777" w:rsidR="00D574F0" w:rsidRPr="000C53ED" w:rsidRDefault="00D574F0" w:rsidP="0013526B">
            <w:pPr>
              <w:ind w:right="57"/>
              <w:jc w:val="right"/>
              <w:rPr>
                <w:sz w:val="18"/>
                <w:szCs w:val="18"/>
              </w:rPr>
            </w:pPr>
          </w:p>
        </w:tc>
        <w:tc>
          <w:tcPr>
            <w:tcW w:w="1841" w:type="dxa"/>
            <w:vAlign w:val="bottom"/>
          </w:tcPr>
          <w:p w14:paraId="7E16F6AA" w14:textId="77777777" w:rsidR="00D574F0" w:rsidRPr="009205D6" w:rsidRDefault="00D574F0" w:rsidP="0013526B">
            <w:pPr>
              <w:ind w:right="57"/>
              <w:jc w:val="right"/>
              <w:rPr>
                <w:sz w:val="18"/>
                <w:szCs w:val="18"/>
              </w:rPr>
            </w:pPr>
          </w:p>
        </w:tc>
        <w:tc>
          <w:tcPr>
            <w:tcW w:w="2682" w:type="dxa"/>
            <w:vAlign w:val="bottom"/>
          </w:tcPr>
          <w:p w14:paraId="1CC49DD7" w14:textId="77777777" w:rsidR="00B72B39" w:rsidRDefault="00D574F0" w:rsidP="00B72B39">
            <w:pPr>
              <w:ind w:right="54"/>
              <w:jc w:val="right"/>
              <w:rPr>
                <w:b/>
                <w:bCs w:val="0"/>
                <w:i/>
                <w:sz w:val="18"/>
                <w:szCs w:val="18"/>
              </w:rPr>
            </w:pPr>
            <w:r w:rsidRPr="000C53ED">
              <w:rPr>
                <w:b/>
                <w:bCs w:val="0"/>
                <w:i/>
                <w:sz w:val="18"/>
                <w:szCs w:val="18"/>
              </w:rPr>
              <w:t xml:space="preserve">CASH </w:t>
            </w:r>
            <w:r w:rsidRPr="000C53ED">
              <w:rPr>
                <w:b/>
                <w:i/>
                <w:sz w:val="18"/>
                <w:szCs w:val="18"/>
              </w:rPr>
              <w:t>FLOWS</w:t>
            </w:r>
            <w:r w:rsidRPr="000C53ED">
              <w:rPr>
                <w:b/>
                <w:bCs w:val="0"/>
                <w:i/>
                <w:sz w:val="18"/>
                <w:szCs w:val="18"/>
              </w:rPr>
              <w:t xml:space="preserve"> FROM </w:t>
            </w:r>
          </w:p>
          <w:p w14:paraId="2A905815" w14:textId="62DB93DE" w:rsidR="00D574F0" w:rsidRPr="000C53ED" w:rsidRDefault="00D574F0" w:rsidP="00B72B39">
            <w:pPr>
              <w:ind w:right="208"/>
              <w:jc w:val="right"/>
              <w:rPr>
                <w:b/>
                <w:bCs w:val="0"/>
                <w:i/>
                <w:sz w:val="18"/>
                <w:szCs w:val="18"/>
              </w:rPr>
            </w:pPr>
            <w:r w:rsidRPr="000C53ED">
              <w:rPr>
                <w:b/>
                <w:bCs w:val="0"/>
                <w:i/>
                <w:sz w:val="18"/>
                <w:szCs w:val="18"/>
              </w:rPr>
              <w:t>FINANCING ACTIVITIES</w:t>
            </w:r>
          </w:p>
        </w:tc>
      </w:tr>
      <w:tr w:rsidR="00D574F0" w:rsidRPr="000C53ED" w14:paraId="7BBD0876" w14:textId="77777777" w:rsidTr="009D110D">
        <w:trPr>
          <w:trHeight w:val="20"/>
        </w:trPr>
        <w:tc>
          <w:tcPr>
            <w:tcW w:w="2688" w:type="dxa"/>
            <w:vAlign w:val="bottom"/>
          </w:tcPr>
          <w:p w14:paraId="72C53765" w14:textId="7830BB8C" w:rsidR="00D574F0" w:rsidRPr="000C53ED" w:rsidRDefault="00D574F0" w:rsidP="003C40EF">
            <w:pPr>
              <w:ind w:left="284" w:right="45" w:hanging="142"/>
              <w:rPr>
                <w:sz w:val="18"/>
                <w:szCs w:val="18"/>
              </w:rPr>
            </w:pPr>
            <w:r w:rsidRPr="000C53ED">
              <w:rPr>
                <w:sz w:val="18"/>
                <w:szCs w:val="18"/>
              </w:rPr>
              <w:t>Pe</w:t>
            </w:r>
            <w:r w:rsidR="003C40EF" w:rsidRPr="000C53ED">
              <w:rPr>
                <w:sz w:val="18"/>
                <w:szCs w:val="18"/>
              </w:rPr>
              <w:t xml:space="preserve">mbayaran </w:t>
            </w:r>
            <w:r w:rsidR="009E18F9">
              <w:rPr>
                <w:sz w:val="18"/>
                <w:szCs w:val="18"/>
              </w:rPr>
              <w:t xml:space="preserve">utang jangka panjang  </w:t>
            </w:r>
          </w:p>
        </w:tc>
        <w:tc>
          <w:tcPr>
            <w:tcW w:w="1841" w:type="dxa"/>
            <w:shd w:val="clear" w:color="auto" w:fill="auto"/>
            <w:vAlign w:val="bottom"/>
          </w:tcPr>
          <w:p w14:paraId="12EB0CF7" w14:textId="73B908CC" w:rsidR="00D574F0" w:rsidRPr="00F671B3" w:rsidRDefault="00D574F0" w:rsidP="0013526B">
            <w:pPr>
              <w:ind w:right="57"/>
              <w:jc w:val="right"/>
              <w:rPr>
                <w:sz w:val="18"/>
                <w:szCs w:val="18"/>
                <w:lang w:val="id-ID"/>
              </w:rPr>
            </w:pPr>
          </w:p>
        </w:tc>
        <w:tc>
          <w:tcPr>
            <w:tcW w:w="162" w:type="dxa"/>
            <w:tcMar>
              <w:left w:w="28" w:type="dxa"/>
              <w:right w:w="28" w:type="dxa"/>
            </w:tcMar>
            <w:vAlign w:val="bottom"/>
          </w:tcPr>
          <w:p w14:paraId="5E5D092A" w14:textId="77777777" w:rsidR="00D574F0" w:rsidRPr="0050709A" w:rsidRDefault="00D574F0" w:rsidP="0050709A">
            <w:pPr>
              <w:ind w:right="57"/>
              <w:rPr>
                <w:sz w:val="18"/>
                <w:szCs w:val="18"/>
                <w:lang w:val="id-ID"/>
              </w:rPr>
            </w:pPr>
          </w:p>
        </w:tc>
        <w:tc>
          <w:tcPr>
            <w:tcW w:w="1841" w:type="dxa"/>
            <w:vAlign w:val="bottom"/>
          </w:tcPr>
          <w:p w14:paraId="32357B42" w14:textId="4D9E85DC" w:rsidR="00D574F0" w:rsidRPr="009205D6" w:rsidRDefault="00D574F0" w:rsidP="0013526B">
            <w:pPr>
              <w:ind w:right="57"/>
              <w:jc w:val="right"/>
              <w:rPr>
                <w:sz w:val="18"/>
                <w:szCs w:val="18"/>
              </w:rPr>
            </w:pPr>
          </w:p>
        </w:tc>
        <w:tc>
          <w:tcPr>
            <w:tcW w:w="2682" w:type="dxa"/>
            <w:vAlign w:val="bottom"/>
          </w:tcPr>
          <w:p w14:paraId="6734BEFD" w14:textId="77777777" w:rsidR="00B72B39" w:rsidRDefault="003C40EF" w:rsidP="0013526B">
            <w:pPr>
              <w:ind w:right="57"/>
              <w:jc w:val="right"/>
              <w:rPr>
                <w:i/>
                <w:sz w:val="18"/>
                <w:szCs w:val="18"/>
              </w:rPr>
            </w:pPr>
            <w:r w:rsidRPr="000C53ED">
              <w:rPr>
                <w:i/>
                <w:sz w:val="18"/>
                <w:szCs w:val="18"/>
              </w:rPr>
              <w:t xml:space="preserve">Payment of long-term loans </w:t>
            </w:r>
          </w:p>
          <w:p w14:paraId="48C65523" w14:textId="2E2BD403" w:rsidR="00D574F0" w:rsidRPr="000C53ED" w:rsidRDefault="00B72B39" w:rsidP="00B72B39">
            <w:pPr>
              <w:ind w:right="222"/>
              <w:jc w:val="right"/>
              <w:rPr>
                <w:i/>
                <w:sz w:val="18"/>
                <w:szCs w:val="18"/>
              </w:rPr>
            </w:pPr>
            <w:r>
              <w:rPr>
                <w:i/>
                <w:sz w:val="18"/>
                <w:szCs w:val="18"/>
              </w:rPr>
              <w:t>t</w:t>
            </w:r>
            <w:r w:rsidR="003C40EF" w:rsidRPr="000C53ED">
              <w:rPr>
                <w:i/>
                <w:sz w:val="18"/>
                <w:szCs w:val="18"/>
              </w:rPr>
              <w:t>hird</w:t>
            </w:r>
            <w:r>
              <w:rPr>
                <w:i/>
                <w:sz w:val="18"/>
                <w:szCs w:val="18"/>
              </w:rPr>
              <w:t xml:space="preserve"> </w:t>
            </w:r>
            <w:r w:rsidR="003C40EF" w:rsidRPr="000C53ED">
              <w:rPr>
                <w:i/>
                <w:sz w:val="18"/>
                <w:szCs w:val="18"/>
              </w:rPr>
              <w:t>parties</w:t>
            </w:r>
          </w:p>
        </w:tc>
      </w:tr>
      <w:tr w:rsidR="009E18F9" w:rsidRPr="000C53ED" w14:paraId="543DCBFA" w14:textId="77777777" w:rsidTr="009D110D">
        <w:trPr>
          <w:trHeight w:val="20"/>
        </w:trPr>
        <w:tc>
          <w:tcPr>
            <w:tcW w:w="2688" w:type="dxa"/>
            <w:vAlign w:val="bottom"/>
          </w:tcPr>
          <w:p w14:paraId="2D4C2E1D" w14:textId="034953C8" w:rsidR="009E18F9" w:rsidRPr="000C53ED" w:rsidRDefault="009E18F9" w:rsidP="003C40EF">
            <w:pPr>
              <w:ind w:left="284" w:right="45" w:hanging="142"/>
              <w:rPr>
                <w:sz w:val="18"/>
                <w:szCs w:val="18"/>
              </w:rPr>
            </w:pPr>
            <w:r>
              <w:rPr>
                <w:sz w:val="18"/>
                <w:szCs w:val="18"/>
              </w:rPr>
              <w:t xml:space="preserve">    Pihak ketiga</w:t>
            </w:r>
          </w:p>
        </w:tc>
        <w:tc>
          <w:tcPr>
            <w:tcW w:w="1841" w:type="dxa"/>
            <w:shd w:val="clear" w:color="auto" w:fill="auto"/>
            <w:vAlign w:val="bottom"/>
          </w:tcPr>
          <w:p w14:paraId="5E91C741" w14:textId="2C982961" w:rsidR="009E18F9" w:rsidRPr="0050709A" w:rsidRDefault="0050709A" w:rsidP="0013526B">
            <w:pPr>
              <w:ind w:right="57"/>
              <w:jc w:val="right"/>
              <w:rPr>
                <w:sz w:val="18"/>
                <w:szCs w:val="18"/>
                <w:lang w:val="id-ID"/>
              </w:rPr>
            </w:pPr>
            <w:r>
              <w:rPr>
                <w:sz w:val="18"/>
                <w:szCs w:val="18"/>
                <w:lang w:val="id-ID"/>
              </w:rPr>
              <w:t>20.093.096,054</w:t>
            </w:r>
          </w:p>
        </w:tc>
        <w:tc>
          <w:tcPr>
            <w:tcW w:w="162" w:type="dxa"/>
            <w:tcMar>
              <w:left w:w="28" w:type="dxa"/>
              <w:right w:w="28" w:type="dxa"/>
            </w:tcMar>
            <w:vAlign w:val="bottom"/>
          </w:tcPr>
          <w:p w14:paraId="1995F5B6" w14:textId="77777777" w:rsidR="009E18F9" w:rsidRPr="000C53ED" w:rsidRDefault="009E18F9" w:rsidP="0013526B">
            <w:pPr>
              <w:ind w:right="57"/>
              <w:jc w:val="right"/>
              <w:rPr>
                <w:sz w:val="18"/>
                <w:szCs w:val="18"/>
              </w:rPr>
            </w:pPr>
          </w:p>
        </w:tc>
        <w:tc>
          <w:tcPr>
            <w:tcW w:w="1841" w:type="dxa"/>
            <w:vAlign w:val="bottom"/>
          </w:tcPr>
          <w:p w14:paraId="29000C94" w14:textId="5E6D6536" w:rsidR="009E18F9" w:rsidRPr="009205D6" w:rsidRDefault="009E18F9" w:rsidP="0013526B">
            <w:pPr>
              <w:ind w:right="57"/>
              <w:jc w:val="right"/>
              <w:rPr>
                <w:bCs w:val="0"/>
                <w:sz w:val="18"/>
                <w:szCs w:val="18"/>
              </w:rPr>
            </w:pPr>
            <w:r w:rsidRPr="009205D6">
              <w:rPr>
                <w:bCs w:val="0"/>
                <w:sz w:val="18"/>
                <w:szCs w:val="18"/>
              </w:rPr>
              <w:t>443</w:t>
            </w:r>
            <w:r w:rsidR="00870FD0">
              <w:rPr>
                <w:bCs w:val="0"/>
                <w:sz w:val="18"/>
                <w:szCs w:val="18"/>
              </w:rPr>
              <w:t>.</w:t>
            </w:r>
            <w:r w:rsidRPr="009205D6">
              <w:rPr>
                <w:bCs w:val="0"/>
                <w:sz w:val="18"/>
                <w:szCs w:val="18"/>
              </w:rPr>
              <w:t>706</w:t>
            </w:r>
            <w:r w:rsidR="00870FD0">
              <w:rPr>
                <w:bCs w:val="0"/>
                <w:sz w:val="18"/>
                <w:szCs w:val="18"/>
              </w:rPr>
              <w:t>.</w:t>
            </w:r>
            <w:r w:rsidRPr="009205D6">
              <w:rPr>
                <w:bCs w:val="0"/>
                <w:sz w:val="18"/>
                <w:szCs w:val="18"/>
              </w:rPr>
              <w:t>136</w:t>
            </w:r>
          </w:p>
        </w:tc>
        <w:tc>
          <w:tcPr>
            <w:tcW w:w="2682" w:type="dxa"/>
            <w:vAlign w:val="bottom"/>
          </w:tcPr>
          <w:p w14:paraId="01EF4BDB" w14:textId="77777777" w:rsidR="009E18F9" w:rsidRPr="000C53ED" w:rsidRDefault="009E18F9" w:rsidP="0013526B">
            <w:pPr>
              <w:ind w:right="57"/>
              <w:jc w:val="right"/>
              <w:rPr>
                <w:i/>
                <w:sz w:val="18"/>
                <w:szCs w:val="18"/>
              </w:rPr>
            </w:pPr>
          </w:p>
        </w:tc>
      </w:tr>
      <w:tr w:rsidR="009E18F9" w:rsidRPr="000C53ED" w14:paraId="5462EDE6" w14:textId="77777777" w:rsidTr="009D110D">
        <w:trPr>
          <w:trHeight w:val="20"/>
        </w:trPr>
        <w:tc>
          <w:tcPr>
            <w:tcW w:w="2688" w:type="dxa"/>
            <w:vAlign w:val="bottom"/>
          </w:tcPr>
          <w:p w14:paraId="08C7DEB3" w14:textId="42543146" w:rsidR="009E18F9" w:rsidRPr="000C53ED" w:rsidRDefault="009E18F9" w:rsidP="009E18F9">
            <w:pPr>
              <w:ind w:left="284" w:right="45" w:hanging="142"/>
              <w:rPr>
                <w:sz w:val="18"/>
                <w:szCs w:val="18"/>
              </w:rPr>
            </w:pPr>
            <w:r>
              <w:rPr>
                <w:sz w:val="18"/>
                <w:szCs w:val="18"/>
              </w:rPr>
              <w:t xml:space="preserve">    Pihak berelasi</w:t>
            </w:r>
          </w:p>
        </w:tc>
        <w:tc>
          <w:tcPr>
            <w:tcW w:w="1841" w:type="dxa"/>
            <w:shd w:val="clear" w:color="auto" w:fill="auto"/>
            <w:vAlign w:val="bottom"/>
          </w:tcPr>
          <w:p w14:paraId="76B73617" w14:textId="63AD6A18" w:rsidR="009E18F9" w:rsidRPr="0050709A" w:rsidRDefault="0050709A" w:rsidP="0013526B">
            <w:pPr>
              <w:ind w:right="57"/>
              <w:jc w:val="right"/>
              <w:rPr>
                <w:sz w:val="18"/>
                <w:szCs w:val="18"/>
                <w:lang w:val="id-ID"/>
              </w:rPr>
            </w:pPr>
            <w:r>
              <w:rPr>
                <w:sz w:val="18"/>
                <w:szCs w:val="18"/>
                <w:lang w:val="id-ID"/>
              </w:rPr>
              <w:t>2.365.523.944</w:t>
            </w:r>
          </w:p>
        </w:tc>
        <w:tc>
          <w:tcPr>
            <w:tcW w:w="162" w:type="dxa"/>
            <w:tcMar>
              <w:left w:w="28" w:type="dxa"/>
              <w:right w:w="28" w:type="dxa"/>
            </w:tcMar>
            <w:vAlign w:val="bottom"/>
          </w:tcPr>
          <w:p w14:paraId="6DA311FB" w14:textId="77777777" w:rsidR="009E18F9" w:rsidRPr="000C53ED" w:rsidRDefault="009E18F9" w:rsidP="0013526B">
            <w:pPr>
              <w:ind w:right="57"/>
              <w:jc w:val="right"/>
              <w:rPr>
                <w:sz w:val="18"/>
                <w:szCs w:val="18"/>
              </w:rPr>
            </w:pPr>
          </w:p>
        </w:tc>
        <w:tc>
          <w:tcPr>
            <w:tcW w:w="1841" w:type="dxa"/>
            <w:vAlign w:val="bottom"/>
          </w:tcPr>
          <w:p w14:paraId="23F5AD51" w14:textId="7408EC5A" w:rsidR="009E18F9" w:rsidRPr="009205D6" w:rsidRDefault="009E18F9" w:rsidP="0013526B">
            <w:pPr>
              <w:ind w:right="57"/>
              <w:jc w:val="right"/>
              <w:rPr>
                <w:bCs w:val="0"/>
                <w:sz w:val="18"/>
                <w:szCs w:val="18"/>
              </w:rPr>
            </w:pPr>
            <w:r w:rsidRPr="009205D6">
              <w:rPr>
                <w:bCs w:val="0"/>
                <w:sz w:val="18"/>
                <w:szCs w:val="18"/>
              </w:rPr>
              <w:t>60.000.000.000</w:t>
            </w:r>
          </w:p>
        </w:tc>
        <w:tc>
          <w:tcPr>
            <w:tcW w:w="2682" w:type="dxa"/>
            <w:vAlign w:val="bottom"/>
          </w:tcPr>
          <w:p w14:paraId="2306BBE4" w14:textId="77777777" w:rsidR="009E18F9" w:rsidRPr="000C53ED" w:rsidRDefault="009E18F9" w:rsidP="0013526B">
            <w:pPr>
              <w:ind w:right="57"/>
              <w:jc w:val="right"/>
              <w:rPr>
                <w:i/>
                <w:sz w:val="18"/>
                <w:szCs w:val="18"/>
              </w:rPr>
            </w:pPr>
          </w:p>
        </w:tc>
      </w:tr>
      <w:tr w:rsidR="00D574F0" w:rsidRPr="000C53ED" w14:paraId="4E92FD38" w14:textId="77777777" w:rsidTr="009D110D">
        <w:trPr>
          <w:trHeight w:val="20"/>
        </w:trPr>
        <w:tc>
          <w:tcPr>
            <w:tcW w:w="2688" w:type="dxa"/>
            <w:vAlign w:val="bottom"/>
          </w:tcPr>
          <w:p w14:paraId="1DFA9486" w14:textId="52BE9D5A" w:rsidR="00D574F0" w:rsidRPr="000C53ED" w:rsidRDefault="00D574F0" w:rsidP="003C40EF">
            <w:pPr>
              <w:ind w:left="284" w:right="45" w:hanging="142"/>
              <w:rPr>
                <w:sz w:val="18"/>
                <w:szCs w:val="18"/>
              </w:rPr>
            </w:pPr>
            <w:r w:rsidRPr="000C53ED">
              <w:rPr>
                <w:sz w:val="18"/>
                <w:szCs w:val="18"/>
              </w:rPr>
              <w:t xml:space="preserve">Pembayaran </w:t>
            </w:r>
            <w:r w:rsidR="003C40EF" w:rsidRPr="000C53ED">
              <w:rPr>
                <w:sz w:val="18"/>
                <w:szCs w:val="18"/>
              </w:rPr>
              <w:t>bunga</w:t>
            </w:r>
          </w:p>
        </w:tc>
        <w:tc>
          <w:tcPr>
            <w:tcW w:w="1841" w:type="dxa"/>
            <w:shd w:val="clear" w:color="auto" w:fill="auto"/>
            <w:vAlign w:val="bottom"/>
          </w:tcPr>
          <w:p w14:paraId="3120A3AF" w14:textId="27312330" w:rsidR="00D574F0" w:rsidRPr="0050709A" w:rsidRDefault="0050709A" w:rsidP="007E1FCA">
            <w:pPr>
              <w:ind w:right="57"/>
              <w:jc w:val="right"/>
              <w:rPr>
                <w:sz w:val="18"/>
                <w:szCs w:val="18"/>
                <w:lang w:val="id-ID"/>
              </w:rPr>
            </w:pPr>
            <w:r>
              <w:rPr>
                <w:sz w:val="18"/>
                <w:szCs w:val="18"/>
                <w:lang w:val="id-ID"/>
              </w:rPr>
              <w:t>(2.698.386.</w:t>
            </w:r>
            <w:r w:rsidR="007E1FCA">
              <w:rPr>
                <w:sz w:val="18"/>
                <w:szCs w:val="18"/>
              </w:rPr>
              <w:t>5</w:t>
            </w:r>
            <w:r>
              <w:rPr>
                <w:sz w:val="18"/>
                <w:szCs w:val="18"/>
                <w:lang w:val="id-ID"/>
              </w:rPr>
              <w:t>49)</w:t>
            </w:r>
          </w:p>
        </w:tc>
        <w:tc>
          <w:tcPr>
            <w:tcW w:w="162" w:type="dxa"/>
            <w:tcMar>
              <w:left w:w="28" w:type="dxa"/>
              <w:right w:w="28" w:type="dxa"/>
            </w:tcMar>
            <w:vAlign w:val="bottom"/>
          </w:tcPr>
          <w:p w14:paraId="4C344398" w14:textId="77777777" w:rsidR="00D574F0" w:rsidRPr="000C53ED" w:rsidRDefault="00D574F0" w:rsidP="0013526B">
            <w:pPr>
              <w:ind w:right="57"/>
              <w:jc w:val="right"/>
              <w:rPr>
                <w:b/>
                <w:sz w:val="18"/>
                <w:szCs w:val="18"/>
              </w:rPr>
            </w:pPr>
          </w:p>
        </w:tc>
        <w:tc>
          <w:tcPr>
            <w:tcW w:w="1841" w:type="dxa"/>
            <w:vAlign w:val="bottom"/>
          </w:tcPr>
          <w:p w14:paraId="0C1201F4" w14:textId="295DE778" w:rsidR="00D574F0" w:rsidRPr="009205D6" w:rsidRDefault="009E18F9" w:rsidP="009E18F9">
            <w:pPr>
              <w:ind w:right="57"/>
              <w:jc w:val="right"/>
              <w:rPr>
                <w:sz w:val="18"/>
                <w:szCs w:val="18"/>
              </w:rPr>
            </w:pPr>
            <w:r w:rsidRPr="009205D6">
              <w:rPr>
                <w:sz w:val="18"/>
                <w:szCs w:val="18"/>
              </w:rPr>
              <w:t>(3</w:t>
            </w:r>
            <w:r w:rsidR="00870FD0">
              <w:rPr>
                <w:sz w:val="18"/>
                <w:szCs w:val="18"/>
              </w:rPr>
              <w:t>.</w:t>
            </w:r>
            <w:r w:rsidRPr="009205D6">
              <w:rPr>
                <w:sz w:val="18"/>
                <w:szCs w:val="18"/>
              </w:rPr>
              <w:t>322</w:t>
            </w:r>
            <w:r w:rsidR="00870FD0">
              <w:rPr>
                <w:sz w:val="18"/>
                <w:szCs w:val="18"/>
              </w:rPr>
              <w:t>.</w:t>
            </w:r>
            <w:r w:rsidRPr="009205D6">
              <w:rPr>
                <w:sz w:val="18"/>
                <w:szCs w:val="18"/>
              </w:rPr>
              <w:t>406</w:t>
            </w:r>
            <w:r w:rsidR="00870FD0">
              <w:rPr>
                <w:sz w:val="18"/>
                <w:szCs w:val="18"/>
              </w:rPr>
              <w:t>.</w:t>
            </w:r>
            <w:r w:rsidRPr="009205D6">
              <w:rPr>
                <w:sz w:val="18"/>
                <w:szCs w:val="18"/>
              </w:rPr>
              <w:t>656)</w:t>
            </w:r>
          </w:p>
        </w:tc>
        <w:tc>
          <w:tcPr>
            <w:tcW w:w="2682" w:type="dxa"/>
            <w:vAlign w:val="bottom"/>
          </w:tcPr>
          <w:p w14:paraId="29E1980D" w14:textId="153D658F" w:rsidR="00D574F0" w:rsidRPr="000C53ED" w:rsidRDefault="003C40EF" w:rsidP="003C40EF">
            <w:pPr>
              <w:ind w:right="57"/>
              <w:jc w:val="right"/>
              <w:rPr>
                <w:i/>
                <w:sz w:val="18"/>
                <w:szCs w:val="18"/>
              </w:rPr>
            </w:pPr>
            <w:r w:rsidRPr="000C53ED">
              <w:rPr>
                <w:i/>
                <w:sz w:val="18"/>
                <w:szCs w:val="18"/>
              </w:rPr>
              <w:t>Interest p</w:t>
            </w:r>
            <w:r w:rsidR="00D574F0" w:rsidRPr="000C53ED">
              <w:rPr>
                <w:i/>
                <w:sz w:val="18"/>
                <w:szCs w:val="18"/>
              </w:rPr>
              <w:t xml:space="preserve">ayments </w:t>
            </w:r>
          </w:p>
        </w:tc>
      </w:tr>
      <w:tr w:rsidR="003C40EF" w:rsidRPr="000C53ED" w14:paraId="47EABBB1" w14:textId="77777777" w:rsidTr="009D110D">
        <w:trPr>
          <w:trHeight w:val="20"/>
        </w:trPr>
        <w:tc>
          <w:tcPr>
            <w:tcW w:w="2688" w:type="dxa"/>
            <w:vAlign w:val="bottom"/>
          </w:tcPr>
          <w:p w14:paraId="38A71251" w14:textId="157492BB" w:rsidR="003C40EF" w:rsidRPr="000C53ED" w:rsidRDefault="003C40EF" w:rsidP="009E18F9">
            <w:pPr>
              <w:ind w:left="284" w:right="45" w:hanging="142"/>
              <w:rPr>
                <w:sz w:val="18"/>
                <w:szCs w:val="18"/>
              </w:rPr>
            </w:pPr>
            <w:r w:rsidRPr="000C53ED">
              <w:rPr>
                <w:sz w:val="18"/>
                <w:szCs w:val="18"/>
              </w:rPr>
              <w:t xml:space="preserve">Pembayaran utang </w:t>
            </w:r>
            <w:r w:rsidR="009E18F9">
              <w:rPr>
                <w:sz w:val="18"/>
                <w:szCs w:val="18"/>
              </w:rPr>
              <w:t xml:space="preserve">Jangka Pendek </w:t>
            </w:r>
            <w:r w:rsidRPr="000C53ED">
              <w:rPr>
                <w:sz w:val="18"/>
                <w:szCs w:val="18"/>
              </w:rPr>
              <w:t>kepada pihak ketiga</w:t>
            </w:r>
          </w:p>
        </w:tc>
        <w:tc>
          <w:tcPr>
            <w:tcW w:w="1841" w:type="dxa"/>
            <w:shd w:val="clear" w:color="auto" w:fill="auto"/>
            <w:vAlign w:val="bottom"/>
          </w:tcPr>
          <w:p w14:paraId="7C76817E" w14:textId="64784B99" w:rsidR="003C40EF" w:rsidRPr="0050709A" w:rsidRDefault="003C40EF" w:rsidP="00B55818">
            <w:pPr>
              <w:ind w:right="57"/>
              <w:jc w:val="right"/>
              <w:rPr>
                <w:sz w:val="18"/>
                <w:szCs w:val="18"/>
                <w:lang w:val="id-ID"/>
              </w:rPr>
            </w:pPr>
          </w:p>
        </w:tc>
        <w:tc>
          <w:tcPr>
            <w:tcW w:w="162" w:type="dxa"/>
            <w:tcMar>
              <w:left w:w="28" w:type="dxa"/>
              <w:right w:w="28" w:type="dxa"/>
            </w:tcMar>
            <w:vAlign w:val="bottom"/>
          </w:tcPr>
          <w:p w14:paraId="6952B755" w14:textId="77777777" w:rsidR="003C40EF" w:rsidRPr="000C53ED" w:rsidRDefault="003C40EF" w:rsidP="0013526B">
            <w:pPr>
              <w:ind w:right="57"/>
              <w:jc w:val="right"/>
              <w:rPr>
                <w:sz w:val="18"/>
                <w:szCs w:val="18"/>
              </w:rPr>
            </w:pPr>
          </w:p>
        </w:tc>
        <w:tc>
          <w:tcPr>
            <w:tcW w:w="1841" w:type="dxa"/>
            <w:vAlign w:val="bottom"/>
          </w:tcPr>
          <w:p w14:paraId="25501BC3" w14:textId="310131A9" w:rsidR="003C40EF" w:rsidRPr="009205D6" w:rsidRDefault="009E18F9" w:rsidP="0013526B">
            <w:pPr>
              <w:ind w:right="57"/>
              <w:jc w:val="right"/>
              <w:rPr>
                <w:sz w:val="18"/>
                <w:szCs w:val="18"/>
              </w:rPr>
            </w:pPr>
            <w:r w:rsidRPr="009205D6">
              <w:rPr>
                <w:bCs w:val="0"/>
                <w:sz w:val="18"/>
                <w:szCs w:val="18"/>
              </w:rPr>
              <w:t>(136</w:t>
            </w:r>
            <w:r w:rsidR="00870FD0">
              <w:rPr>
                <w:bCs w:val="0"/>
                <w:sz w:val="18"/>
                <w:szCs w:val="18"/>
              </w:rPr>
              <w:t>.</w:t>
            </w:r>
            <w:r w:rsidRPr="009205D6">
              <w:rPr>
                <w:bCs w:val="0"/>
                <w:sz w:val="18"/>
                <w:szCs w:val="18"/>
              </w:rPr>
              <w:t>656</w:t>
            </w:r>
            <w:r w:rsidR="00870FD0">
              <w:rPr>
                <w:bCs w:val="0"/>
                <w:sz w:val="18"/>
                <w:szCs w:val="18"/>
              </w:rPr>
              <w:t>.</w:t>
            </w:r>
            <w:r w:rsidRPr="009205D6">
              <w:rPr>
                <w:bCs w:val="0"/>
                <w:sz w:val="18"/>
                <w:szCs w:val="18"/>
              </w:rPr>
              <w:t>000)</w:t>
            </w:r>
          </w:p>
        </w:tc>
        <w:tc>
          <w:tcPr>
            <w:tcW w:w="2682" w:type="dxa"/>
            <w:vAlign w:val="bottom"/>
          </w:tcPr>
          <w:p w14:paraId="34B1ADEE" w14:textId="77777777" w:rsidR="00B72B39" w:rsidRDefault="003C40EF" w:rsidP="003C40EF">
            <w:pPr>
              <w:ind w:right="57"/>
              <w:jc w:val="right"/>
              <w:rPr>
                <w:i/>
                <w:sz w:val="18"/>
                <w:szCs w:val="18"/>
              </w:rPr>
            </w:pPr>
            <w:r w:rsidRPr="000C53ED">
              <w:rPr>
                <w:i/>
                <w:sz w:val="18"/>
                <w:szCs w:val="18"/>
              </w:rPr>
              <w:t xml:space="preserve">Payment of lease payble to </w:t>
            </w:r>
          </w:p>
          <w:p w14:paraId="0D45C030" w14:textId="6B7A042A" w:rsidR="003C40EF" w:rsidRPr="000C53ED" w:rsidRDefault="00B72B39" w:rsidP="00B72B39">
            <w:pPr>
              <w:ind w:right="236"/>
              <w:jc w:val="right"/>
              <w:rPr>
                <w:i/>
                <w:sz w:val="18"/>
                <w:szCs w:val="18"/>
              </w:rPr>
            </w:pPr>
            <w:r>
              <w:rPr>
                <w:i/>
                <w:sz w:val="18"/>
                <w:szCs w:val="18"/>
              </w:rPr>
              <w:t>t</w:t>
            </w:r>
            <w:r w:rsidR="003C40EF" w:rsidRPr="000C53ED">
              <w:rPr>
                <w:i/>
                <w:sz w:val="18"/>
                <w:szCs w:val="18"/>
              </w:rPr>
              <w:t>hird</w:t>
            </w:r>
            <w:r>
              <w:rPr>
                <w:i/>
                <w:sz w:val="18"/>
                <w:szCs w:val="18"/>
              </w:rPr>
              <w:t xml:space="preserve"> </w:t>
            </w:r>
            <w:r w:rsidR="003C40EF" w:rsidRPr="000C53ED">
              <w:rPr>
                <w:i/>
                <w:sz w:val="18"/>
                <w:szCs w:val="18"/>
              </w:rPr>
              <w:t>parties</w:t>
            </w:r>
          </w:p>
        </w:tc>
      </w:tr>
      <w:tr w:rsidR="003C40EF" w:rsidRPr="000C53ED" w14:paraId="5223F79F" w14:textId="77777777" w:rsidTr="009D110D">
        <w:trPr>
          <w:trHeight w:val="20"/>
        </w:trPr>
        <w:tc>
          <w:tcPr>
            <w:tcW w:w="2688" w:type="dxa"/>
            <w:vAlign w:val="bottom"/>
          </w:tcPr>
          <w:p w14:paraId="25F1720E" w14:textId="69430F9C" w:rsidR="003C40EF" w:rsidRPr="000C53ED" w:rsidRDefault="009E18F9" w:rsidP="009E18F9">
            <w:pPr>
              <w:ind w:left="284" w:right="45" w:hanging="142"/>
              <w:rPr>
                <w:sz w:val="18"/>
                <w:szCs w:val="18"/>
              </w:rPr>
            </w:pPr>
            <w:r>
              <w:rPr>
                <w:sz w:val="18"/>
                <w:szCs w:val="18"/>
              </w:rPr>
              <w:t>Penerimaan</w:t>
            </w:r>
            <w:r w:rsidR="003C40EF" w:rsidRPr="000C53ED">
              <w:rPr>
                <w:sz w:val="18"/>
                <w:szCs w:val="18"/>
              </w:rPr>
              <w:t xml:space="preserve"> utang kepada pihak berelasi</w:t>
            </w:r>
          </w:p>
        </w:tc>
        <w:tc>
          <w:tcPr>
            <w:tcW w:w="1841" w:type="dxa"/>
            <w:tcBorders>
              <w:bottom w:val="single" w:sz="4" w:space="0" w:color="auto"/>
            </w:tcBorders>
            <w:shd w:val="clear" w:color="auto" w:fill="auto"/>
            <w:vAlign w:val="bottom"/>
          </w:tcPr>
          <w:p w14:paraId="3AB1433A" w14:textId="06A49A1D" w:rsidR="003C40EF" w:rsidRPr="00F671B3" w:rsidRDefault="0050709A" w:rsidP="0050709A">
            <w:pPr>
              <w:ind w:right="57"/>
              <w:jc w:val="right"/>
              <w:rPr>
                <w:sz w:val="18"/>
                <w:szCs w:val="18"/>
                <w:lang w:val="id-ID"/>
              </w:rPr>
            </w:pPr>
            <w:r>
              <w:rPr>
                <w:sz w:val="18"/>
                <w:szCs w:val="18"/>
                <w:lang w:val="id-ID"/>
              </w:rPr>
              <w:t>21.448.455</w:t>
            </w:r>
            <w:r w:rsidR="001B3BE4">
              <w:rPr>
                <w:sz w:val="18"/>
                <w:szCs w:val="18"/>
                <w:lang w:val="id-ID"/>
              </w:rPr>
              <w:t>.</w:t>
            </w:r>
            <w:r>
              <w:rPr>
                <w:sz w:val="18"/>
                <w:szCs w:val="18"/>
                <w:lang w:val="id-ID"/>
              </w:rPr>
              <w:t>232</w:t>
            </w:r>
          </w:p>
        </w:tc>
        <w:tc>
          <w:tcPr>
            <w:tcW w:w="162" w:type="dxa"/>
            <w:tcMar>
              <w:left w:w="28" w:type="dxa"/>
              <w:right w:w="28" w:type="dxa"/>
            </w:tcMar>
            <w:vAlign w:val="bottom"/>
          </w:tcPr>
          <w:p w14:paraId="3D6CCE21" w14:textId="77777777" w:rsidR="003C40EF" w:rsidRPr="000C53ED" w:rsidRDefault="003C40EF" w:rsidP="0013526B">
            <w:pPr>
              <w:ind w:right="57"/>
              <w:jc w:val="right"/>
              <w:rPr>
                <w:sz w:val="18"/>
                <w:szCs w:val="18"/>
              </w:rPr>
            </w:pPr>
          </w:p>
        </w:tc>
        <w:tc>
          <w:tcPr>
            <w:tcW w:w="1841" w:type="dxa"/>
            <w:tcBorders>
              <w:bottom w:val="single" w:sz="4" w:space="0" w:color="auto"/>
            </w:tcBorders>
            <w:vAlign w:val="bottom"/>
          </w:tcPr>
          <w:p w14:paraId="122C9B76" w14:textId="730BECB1" w:rsidR="003C40EF" w:rsidRPr="009205D6" w:rsidRDefault="009E18F9" w:rsidP="0013526B">
            <w:pPr>
              <w:ind w:right="57"/>
              <w:jc w:val="right"/>
              <w:rPr>
                <w:sz w:val="18"/>
                <w:szCs w:val="18"/>
              </w:rPr>
            </w:pPr>
            <w:r w:rsidRPr="009205D6">
              <w:rPr>
                <w:sz w:val="18"/>
                <w:szCs w:val="18"/>
              </w:rPr>
              <w:t>81</w:t>
            </w:r>
            <w:r w:rsidR="00870FD0">
              <w:rPr>
                <w:sz w:val="18"/>
                <w:szCs w:val="18"/>
              </w:rPr>
              <w:t>.</w:t>
            </w:r>
            <w:r w:rsidRPr="009205D6">
              <w:rPr>
                <w:sz w:val="18"/>
                <w:szCs w:val="18"/>
              </w:rPr>
              <w:t>594</w:t>
            </w:r>
            <w:r w:rsidR="00870FD0">
              <w:rPr>
                <w:sz w:val="18"/>
                <w:szCs w:val="18"/>
              </w:rPr>
              <w:t>.</w:t>
            </w:r>
            <w:r w:rsidRPr="009205D6">
              <w:rPr>
                <w:sz w:val="18"/>
                <w:szCs w:val="18"/>
              </w:rPr>
              <w:t>501</w:t>
            </w:r>
            <w:r w:rsidR="00870FD0">
              <w:rPr>
                <w:sz w:val="18"/>
                <w:szCs w:val="18"/>
              </w:rPr>
              <w:t>.</w:t>
            </w:r>
            <w:r w:rsidRPr="009205D6">
              <w:rPr>
                <w:sz w:val="18"/>
                <w:szCs w:val="18"/>
              </w:rPr>
              <w:t>301</w:t>
            </w:r>
          </w:p>
        </w:tc>
        <w:tc>
          <w:tcPr>
            <w:tcW w:w="2682" w:type="dxa"/>
            <w:vAlign w:val="bottom"/>
          </w:tcPr>
          <w:p w14:paraId="446DFA6B" w14:textId="77777777" w:rsidR="00B72B39" w:rsidRDefault="003C40EF" w:rsidP="003C40EF">
            <w:pPr>
              <w:ind w:right="57"/>
              <w:jc w:val="right"/>
              <w:rPr>
                <w:i/>
                <w:sz w:val="18"/>
                <w:szCs w:val="18"/>
              </w:rPr>
            </w:pPr>
            <w:r w:rsidRPr="000C53ED">
              <w:rPr>
                <w:i/>
                <w:sz w:val="18"/>
                <w:szCs w:val="18"/>
              </w:rPr>
              <w:t xml:space="preserve">Payment of lease payble to </w:t>
            </w:r>
          </w:p>
          <w:p w14:paraId="5454BEAE" w14:textId="00B9A384" w:rsidR="003C40EF" w:rsidRPr="000C53ED" w:rsidRDefault="00B72B39" w:rsidP="00B72B39">
            <w:pPr>
              <w:ind w:right="236"/>
              <w:jc w:val="right"/>
              <w:rPr>
                <w:i/>
                <w:sz w:val="18"/>
                <w:szCs w:val="18"/>
              </w:rPr>
            </w:pPr>
            <w:r>
              <w:rPr>
                <w:i/>
                <w:sz w:val="18"/>
                <w:szCs w:val="18"/>
              </w:rPr>
              <w:t>r</w:t>
            </w:r>
            <w:r w:rsidR="003C40EF" w:rsidRPr="000C53ED">
              <w:rPr>
                <w:i/>
                <w:sz w:val="18"/>
                <w:szCs w:val="18"/>
              </w:rPr>
              <w:t>elated</w:t>
            </w:r>
            <w:r>
              <w:rPr>
                <w:i/>
                <w:sz w:val="18"/>
                <w:szCs w:val="18"/>
              </w:rPr>
              <w:t xml:space="preserve"> </w:t>
            </w:r>
            <w:r w:rsidR="003C40EF" w:rsidRPr="000C53ED">
              <w:rPr>
                <w:i/>
                <w:sz w:val="18"/>
                <w:szCs w:val="18"/>
              </w:rPr>
              <w:t xml:space="preserve">parties </w:t>
            </w:r>
          </w:p>
        </w:tc>
      </w:tr>
      <w:tr w:rsidR="00D574F0" w:rsidRPr="000C53ED" w14:paraId="2DA9BD0F" w14:textId="77777777" w:rsidTr="009D110D">
        <w:trPr>
          <w:trHeight w:val="20"/>
        </w:trPr>
        <w:tc>
          <w:tcPr>
            <w:tcW w:w="2688" w:type="dxa"/>
            <w:vAlign w:val="bottom"/>
          </w:tcPr>
          <w:p w14:paraId="2995760E" w14:textId="77777777" w:rsidR="00D574F0" w:rsidRPr="000C53ED" w:rsidRDefault="00D574F0" w:rsidP="0013526B">
            <w:pPr>
              <w:ind w:left="284" w:right="45" w:hanging="142"/>
              <w:rPr>
                <w:sz w:val="18"/>
                <w:szCs w:val="18"/>
              </w:rPr>
            </w:pPr>
          </w:p>
        </w:tc>
        <w:tc>
          <w:tcPr>
            <w:tcW w:w="1841" w:type="dxa"/>
            <w:tcBorders>
              <w:top w:val="single" w:sz="4" w:space="0" w:color="auto"/>
            </w:tcBorders>
            <w:shd w:val="clear" w:color="auto" w:fill="auto"/>
            <w:vAlign w:val="bottom"/>
          </w:tcPr>
          <w:p w14:paraId="65DECDDA" w14:textId="77777777" w:rsidR="00D574F0" w:rsidRPr="000C53ED" w:rsidRDefault="00D574F0" w:rsidP="0013526B">
            <w:pPr>
              <w:ind w:right="57"/>
              <w:jc w:val="right"/>
              <w:rPr>
                <w:sz w:val="18"/>
                <w:szCs w:val="18"/>
              </w:rPr>
            </w:pPr>
          </w:p>
        </w:tc>
        <w:tc>
          <w:tcPr>
            <w:tcW w:w="162" w:type="dxa"/>
            <w:tcMar>
              <w:left w:w="28" w:type="dxa"/>
              <w:right w:w="28" w:type="dxa"/>
            </w:tcMar>
            <w:vAlign w:val="bottom"/>
          </w:tcPr>
          <w:p w14:paraId="2F8C0B13" w14:textId="77777777" w:rsidR="00D574F0" w:rsidRPr="000C53ED" w:rsidRDefault="00D574F0" w:rsidP="0013526B">
            <w:pPr>
              <w:ind w:right="57"/>
              <w:jc w:val="right"/>
              <w:rPr>
                <w:sz w:val="18"/>
                <w:szCs w:val="18"/>
              </w:rPr>
            </w:pPr>
          </w:p>
        </w:tc>
        <w:tc>
          <w:tcPr>
            <w:tcW w:w="1841" w:type="dxa"/>
            <w:tcBorders>
              <w:top w:val="single" w:sz="4" w:space="0" w:color="auto"/>
            </w:tcBorders>
            <w:vAlign w:val="bottom"/>
          </w:tcPr>
          <w:p w14:paraId="2A919A71" w14:textId="77777777" w:rsidR="00D574F0" w:rsidRPr="009205D6" w:rsidRDefault="00D574F0" w:rsidP="0013526B">
            <w:pPr>
              <w:ind w:right="57"/>
              <w:jc w:val="right"/>
              <w:rPr>
                <w:sz w:val="18"/>
                <w:szCs w:val="18"/>
              </w:rPr>
            </w:pPr>
          </w:p>
        </w:tc>
        <w:tc>
          <w:tcPr>
            <w:tcW w:w="2682" w:type="dxa"/>
            <w:vAlign w:val="bottom"/>
          </w:tcPr>
          <w:p w14:paraId="2EDE9FEB" w14:textId="77777777" w:rsidR="00D574F0" w:rsidRPr="000C53ED" w:rsidRDefault="00D574F0" w:rsidP="0013526B">
            <w:pPr>
              <w:ind w:right="195"/>
              <w:jc w:val="right"/>
              <w:rPr>
                <w:i/>
                <w:sz w:val="18"/>
                <w:szCs w:val="18"/>
              </w:rPr>
            </w:pPr>
          </w:p>
        </w:tc>
      </w:tr>
      <w:tr w:rsidR="00D574F0" w:rsidRPr="000C53ED" w14:paraId="28726678" w14:textId="77777777" w:rsidTr="009D110D">
        <w:trPr>
          <w:trHeight w:val="20"/>
        </w:trPr>
        <w:tc>
          <w:tcPr>
            <w:tcW w:w="2688" w:type="dxa"/>
            <w:vAlign w:val="bottom"/>
          </w:tcPr>
          <w:p w14:paraId="63C6B540" w14:textId="2FF82056" w:rsidR="00D574F0" w:rsidRPr="000C53ED" w:rsidRDefault="00D574F0" w:rsidP="0013526B">
            <w:pPr>
              <w:ind w:left="284" w:right="45" w:hanging="142"/>
              <w:rPr>
                <w:sz w:val="18"/>
                <w:szCs w:val="18"/>
              </w:rPr>
            </w:pPr>
            <w:r w:rsidRPr="000C53ED">
              <w:rPr>
                <w:sz w:val="18"/>
                <w:szCs w:val="18"/>
              </w:rPr>
              <w:t xml:space="preserve">Kas Bersih yang </w:t>
            </w:r>
            <w:r w:rsidR="005E4C90" w:rsidRPr="000C53ED">
              <w:rPr>
                <w:sz w:val="18"/>
                <w:szCs w:val="18"/>
              </w:rPr>
              <w:t>d</w:t>
            </w:r>
            <w:r w:rsidRPr="000C53ED">
              <w:rPr>
                <w:sz w:val="18"/>
                <w:szCs w:val="18"/>
              </w:rPr>
              <w:t>igunakan untuk</w:t>
            </w:r>
            <w:r w:rsidRPr="000C53ED">
              <w:rPr>
                <w:sz w:val="18"/>
                <w:szCs w:val="18"/>
              </w:rPr>
              <w:br/>
            </w:r>
            <w:r w:rsidRPr="000C53ED">
              <w:rPr>
                <w:bCs w:val="0"/>
                <w:sz w:val="18"/>
                <w:szCs w:val="18"/>
              </w:rPr>
              <w:t>Aktivitas Pendanaan</w:t>
            </w:r>
          </w:p>
        </w:tc>
        <w:tc>
          <w:tcPr>
            <w:tcW w:w="1841" w:type="dxa"/>
            <w:tcBorders>
              <w:bottom w:val="single" w:sz="4" w:space="0" w:color="auto"/>
            </w:tcBorders>
            <w:shd w:val="clear" w:color="auto" w:fill="auto"/>
            <w:vAlign w:val="bottom"/>
          </w:tcPr>
          <w:p w14:paraId="5924390E" w14:textId="71F5B99E" w:rsidR="00D574F0" w:rsidRPr="0050709A" w:rsidRDefault="0050709A" w:rsidP="0013526B">
            <w:pPr>
              <w:ind w:right="57"/>
              <w:jc w:val="right"/>
              <w:rPr>
                <w:b/>
                <w:sz w:val="18"/>
                <w:szCs w:val="18"/>
                <w:lang w:val="id-ID"/>
              </w:rPr>
            </w:pPr>
            <w:r>
              <w:rPr>
                <w:b/>
                <w:sz w:val="18"/>
                <w:szCs w:val="18"/>
                <w:lang w:val="id-ID"/>
              </w:rPr>
              <w:t>41</w:t>
            </w:r>
            <w:r>
              <w:rPr>
                <w:b/>
                <w:sz w:val="18"/>
                <w:szCs w:val="18"/>
              </w:rPr>
              <w:t>.</w:t>
            </w:r>
            <w:r>
              <w:rPr>
                <w:b/>
                <w:sz w:val="18"/>
                <w:szCs w:val="18"/>
                <w:lang w:val="id-ID"/>
              </w:rPr>
              <w:t>20</w:t>
            </w:r>
            <w:r>
              <w:rPr>
                <w:b/>
                <w:sz w:val="18"/>
                <w:szCs w:val="18"/>
              </w:rPr>
              <w:t>8.6</w:t>
            </w:r>
            <w:r>
              <w:rPr>
                <w:b/>
                <w:sz w:val="18"/>
                <w:szCs w:val="18"/>
                <w:lang w:val="id-ID"/>
              </w:rPr>
              <w:t>88</w:t>
            </w:r>
            <w:r w:rsidR="001B3BE4">
              <w:rPr>
                <w:b/>
                <w:sz w:val="18"/>
                <w:szCs w:val="18"/>
              </w:rPr>
              <w:t>.</w:t>
            </w:r>
            <w:r>
              <w:rPr>
                <w:b/>
                <w:sz w:val="18"/>
                <w:szCs w:val="18"/>
              </w:rPr>
              <w:t>6</w:t>
            </w:r>
            <w:r>
              <w:rPr>
                <w:b/>
                <w:sz w:val="18"/>
                <w:szCs w:val="18"/>
                <w:lang w:val="id-ID"/>
              </w:rPr>
              <w:t>82</w:t>
            </w:r>
          </w:p>
        </w:tc>
        <w:tc>
          <w:tcPr>
            <w:tcW w:w="162" w:type="dxa"/>
            <w:tcMar>
              <w:left w:w="28" w:type="dxa"/>
              <w:right w:w="28" w:type="dxa"/>
            </w:tcMar>
            <w:vAlign w:val="bottom"/>
          </w:tcPr>
          <w:p w14:paraId="5DADC200" w14:textId="77777777" w:rsidR="00D574F0" w:rsidRPr="000C53ED" w:rsidRDefault="00D574F0" w:rsidP="0013526B">
            <w:pPr>
              <w:ind w:right="57"/>
              <w:jc w:val="right"/>
              <w:rPr>
                <w:sz w:val="18"/>
                <w:szCs w:val="18"/>
              </w:rPr>
            </w:pPr>
          </w:p>
        </w:tc>
        <w:tc>
          <w:tcPr>
            <w:tcW w:w="1841" w:type="dxa"/>
            <w:tcBorders>
              <w:bottom w:val="single" w:sz="4" w:space="0" w:color="auto"/>
            </w:tcBorders>
            <w:vAlign w:val="bottom"/>
          </w:tcPr>
          <w:p w14:paraId="6DF853C3" w14:textId="1B2D5712" w:rsidR="00D574F0" w:rsidRPr="009205D6" w:rsidRDefault="009E18F9" w:rsidP="0013526B">
            <w:pPr>
              <w:ind w:right="57"/>
              <w:jc w:val="right"/>
              <w:rPr>
                <w:sz w:val="18"/>
                <w:szCs w:val="18"/>
              </w:rPr>
            </w:pPr>
            <w:r w:rsidRPr="009205D6">
              <w:rPr>
                <w:b/>
                <w:sz w:val="18"/>
                <w:szCs w:val="18"/>
              </w:rPr>
              <w:t>138</w:t>
            </w:r>
            <w:r w:rsidR="00870FD0">
              <w:rPr>
                <w:b/>
                <w:sz w:val="18"/>
                <w:szCs w:val="18"/>
              </w:rPr>
              <w:t>.</w:t>
            </w:r>
            <w:r w:rsidRPr="009205D6">
              <w:rPr>
                <w:b/>
                <w:sz w:val="18"/>
                <w:szCs w:val="18"/>
              </w:rPr>
              <w:t>579</w:t>
            </w:r>
            <w:r w:rsidR="00870FD0">
              <w:rPr>
                <w:b/>
                <w:sz w:val="18"/>
                <w:szCs w:val="18"/>
              </w:rPr>
              <w:t>.</w:t>
            </w:r>
            <w:r w:rsidRPr="009205D6">
              <w:rPr>
                <w:b/>
                <w:sz w:val="18"/>
                <w:szCs w:val="18"/>
              </w:rPr>
              <w:t>144</w:t>
            </w:r>
            <w:r w:rsidR="00870FD0">
              <w:rPr>
                <w:b/>
                <w:sz w:val="18"/>
                <w:szCs w:val="18"/>
              </w:rPr>
              <w:t>.</w:t>
            </w:r>
            <w:r w:rsidRPr="009205D6">
              <w:rPr>
                <w:b/>
                <w:sz w:val="18"/>
                <w:szCs w:val="18"/>
              </w:rPr>
              <w:t>781</w:t>
            </w:r>
          </w:p>
        </w:tc>
        <w:tc>
          <w:tcPr>
            <w:tcW w:w="2682" w:type="dxa"/>
            <w:vAlign w:val="bottom"/>
          </w:tcPr>
          <w:p w14:paraId="69C6062A" w14:textId="77777777" w:rsidR="00706B78" w:rsidRDefault="00D574F0" w:rsidP="005E4C90">
            <w:pPr>
              <w:ind w:right="57"/>
              <w:jc w:val="right"/>
              <w:rPr>
                <w:i/>
                <w:sz w:val="18"/>
                <w:szCs w:val="18"/>
              </w:rPr>
            </w:pPr>
            <w:r w:rsidRPr="000C53ED">
              <w:rPr>
                <w:i/>
                <w:sz w:val="18"/>
                <w:szCs w:val="18"/>
              </w:rPr>
              <w:t>Net Cash Flows Used in</w:t>
            </w:r>
          </w:p>
          <w:p w14:paraId="55D6B1DE" w14:textId="50B27882" w:rsidR="00D574F0" w:rsidRPr="000C53ED" w:rsidRDefault="00D574F0" w:rsidP="00B72B39">
            <w:pPr>
              <w:ind w:right="250"/>
              <w:jc w:val="right"/>
              <w:rPr>
                <w:i/>
                <w:sz w:val="18"/>
                <w:szCs w:val="18"/>
              </w:rPr>
            </w:pPr>
            <w:r w:rsidRPr="000C53ED">
              <w:rPr>
                <w:i/>
                <w:sz w:val="18"/>
                <w:szCs w:val="18"/>
              </w:rPr>
              <w:t>Financing Activities</w:t>
            </w:r>
          </w:p>
        </w:tc>
      </w:tr>
      <w:tr w:rsidR="00D574F0" w:rsidRPr="000C53ED" w14:paraId="53D7CD1A" w14:textId="77777777" w:rsidTr="009D110D">
        <w:trPr>
          <w:trHeight w:val="20"/>
        </w:trPr>
        <w:tc>
          <w:tcPr>
            <w:tcW w:w="2688" w:type="dxa"/>
            <w:vAlign w:val="bottom"/>
          </w:tcPr>
          <w:p w14:paraId="47D1D4BF" w14:textId="77777777" w:rsidR="00D574F0" w:rsidRPr="000C53ED" w:rsidRDefault="00D574F0" w:rsidP="0013526B">
            <w:pPr>
              <w:ind w:left="284" w:right="45" w:hanging="142"/>
              <w:rPr>
                <w:bCs w:val="0"/>
                <w:sz w:val="18"/>
                <w:szCs w:val="18"/>
              </w:rPr>
            </w:pPr>
          </w:p>
        </w:tc>
        <w:tc>
          <w:tcPr>
            <w:tcW w:w="1841" w:type="dxa"/>
            <w:tcBorders>
              <w:top w:val="single" w:sz="4" w:space="0" w:color="auto"/>
            </w:tcBorders>
            <w:shd w:val="clear" w:color="auto" w:fill="auto"/>
            <w:vAlign w:val="bottom"/>
          </w:tcPr>
          <w:p w14:paraId="57DB8458" w14:textId="77777777" w:rsidR="00D574F0" w:rsidRPr="000C53ED" w:rsidRDefault="00D574F0" w:rsidP="0013526B">
            <w:pPr>
              <w:ind w:left="283" w:right="57" w:firstLine="1"/>
              <w:jc w:val="right"/>
              <w:rPr>
                <w:bCs w:val="0"/>
                <w:sz w:val="18"/>
                <w:szCs w:val="18"/>
              </w:rPr>
            </w:pPr>
          </w:p>
        </w:tc>
        <w:tc>
          <w:tcPr>
            <w:tcW w:w="162" w:type="dxa"/>
            <w:tcMar>
              <w:left w:w="28" w:type="dxa"/>
              <w:right w:w="28" w:type="dxa"/>
            </w:tcMar>
            <w:vAlign w:val="bottom"/>
          </w:tcPr>
          <w:p w14:paraId="1B70FF75" w14:textId="77777777" w:rsidR="00D574F0" w:rsidRPr="000C53ED" w:rsidRDefault="00D574F0" w:rsidP="0013526B">
            <w:pPr>
              <w:ind w:left="283" w:right="57" w:firstLine="1"/>
              <w:jc w:val="right"/>
              <w:rPr>
                <w:bCs w:val="0"/>
                <w:sz w:val="18"/>
                <w:szCs w:val="18"/>
              </w:rPr>
            </w:pPr>
          </w:p>
        </w:tc>
        <w:tc>
          <w:tcPr>
            <w:tcW w:w="1841" w:type="dxa"/>
            <w:tcBorders>
              <w:top w:val="single" w:sz="4" w:space="0" w:color="auto"/>
            </w:tcBorders>
            <w:vAlign w:val="bottom"/>
          </w:tcPr>
          <w:p w14:paraId="5904FD06" w14:textId="77777777" w:rsidR="00D574F0" w:rsidRPr="00050613" w:rsidRDefault="00D574F0" w:rsidP="0013526B">
            <w:pPr>
              <w:ind w:left="283" w:right="57" w:firstLine="1"/>
              <w:jc w:val="right"/>
              <w:rPr>
                <w:bCs w:val="0"/>
                <w:sz w:val="18"/>
                <w:szCs w:val="18"/>
              </w:rPr>
            </w:pPr>
          </w:p>
        </w:tc>
        <w:tc>
          <w:tcPr>
            <w:tcW w:w="2682" w:type="dxa"/>
            <w:vAlign w:val="bottom"/>
          </w:tcPr>
          <w:p w14:paraId="2F6BC0FF" w14:textId="77777777" w:rsidR="00D574F0" w:rsidRPr="000C53ED" w:rsidRDefault="00D574F0" w:rsidP="0013526B">
            <w:pPr>
              <w:ind w:left="283" w:right="195" w:firstLine="1"/>
              <w:jc w:val="right"/>
              <w:rPr>
                <w:bCs w:val="0"/>
                <w:i/>
                <w:sz w:val="18"/>
                <w:szCs w:val="18"/>
              </w:rPr>
            </w:pPr>
          </w:p>
        </w:tc>
      </w:tr>
    </w:tbl>
    <w:p w14:paraId="237D1112" w14:textId="77777777" w:rsidR="00FF3645" w:rsidRDefault="00FF3645"/>
    <w:p w14:paraId="5C91E04E" w14:textId="77777777" w:rsidR="000B54B5" w:rsidRDefault="000B54B5">
      <w:pPr>
        <w:sectPr w:rsidR="000B54B5" w:rsidSect="00FF3645">
          <w:headerReference w:type="even" r:id="rId30"/>
          <w:headerReference w:type="default" r:id="rId31"/>
          <w:footerReference w:type="default" r:id="rId32"/>
          <w:headerReference w:type="first" r:id="rId33"/>
          <w:pgSz w:w="11907" w:h="16840" w:code="9"/>
          <w:pgMar w:top="907" w:right="994" w:bottom="1138" w:left="1699" w:header="850" w:footer="397" w:gutter="0"/>
          <w:cols w:space="720"/>
          <w:docGrid w:linePitch="360"/>
        </w:sectPr>
      </w:pPr>
    </w:p>
    <w:p w14:paraId="2D4F76D4" w14:textId="77777777" w:rsidR="004D7FF0" w:rsidRPr="000B54B5" w:rsidRDefault="004D7FF0">
      <w:pPr>
        <w:rPr>
          <w:sz w:val="2"/>
          <w:szCs w:val="2"/>
        </w:rPr>
      </w:pPr>
    </w:p>
    <w:tbl>
      <w:tblPr>
        <w:tblW w:w="9197" w:type="dxa"/>
        <w:tblInd w:w="-57" w:type="dxa"/>
        <w:tblBorders>
          <w:bottom w:val="double" w:sz="4" w:space="0" w:color="auto"/>
        </w:tblBorders>
        <w:tblCellMar>
          <w:left w:w="0" w:type="dxa"/>
          <w:right w:w="0" w:type="dxa"/>
        </w:tblCellMar>
        <w:tblLook w:val="01E0" w:firstRow="1" w:lastRow="1" w:firstColumn="1" w:lastColumn="1" w:noHBand="0" w:noVBand="0"/>
      </w:tblPr>
      <w:tblGrid>
        <w:gridCol w:w="2653"/>
        <w:gridCol w:w="1857"/>
        <w:gridCol w:w="178"/>
        <w:gridCol w:w="1857"/>
        <w:gridCol w:w="2652"/>
      </w:tblGrid>
      <w:tr w:rsidR="00FA4394" w:rsidRPr="0013526B" w14:paraId="6CBFD2C9" w14:textId="77777777" w:rsidTr="009D110D">
        <w:trPr>
          <w:trHeight w:val="20"/>
        </w:trPr>
        <w:tc>
          <w:tcPr>
            <w:tcW w:w="2653" w:type="dxa"/>
            <w:vAlign w:val="bottom"/>
          </w:tcPr>
          <w:p w14:paraId="7F37270A" w14:textId="77777777" w:rsidR="00FA4394" w:rsidRDefault="00FA4394" w:rsidP="00FA4394">
            <w:pPr>
              <w:ind w:left="284" w:right="45" w:hanging="142"/>
              <w:rPr>
                <w:b/>
                <w:bCs w:val="0"/>
                <w:sz w:val="18"/>
                <w:szCs w:val="18"/>
              </w:rPr>
            </w:pPr>
          </w:p>
        </w:tc>
        <w:tc>
          <w:tcPr>
            <w:tcW w:w="1857" w:type="dxa"/>
            <w:tcBorders>
              <w:bottom w:val="single" w:sz="4" w:space="0" w:color="auto"/>
            </w:tcBorders>
            <w:shd w:val="clear" w:color="auto" w:fill="auto"/>
            <w:vAlign w:val="bottom"/>
          </w:tcPr>
          <w:p w14:paraId="2D156E5B" w14:textId="77777777" w:rsidR="00FA4394" w:rsidRDefault="00FA4394" w:rsidP="00FA4394">
            <w:pPr>
              <w:ind w:left="-90"/>
              <w:jc w:val="center"/>
              <w:rPr>
                <w:b/>
                <w:sz w:val="16"/>
                <w:szCs w:val="16"/>
              </w:rPr>
            </w:pPr>
            <w:r>
              <w:rPr>
                <w:b/>
                <w:sz w:val="16"/>
                <w:szCs w:val="16"/>
              </w:rPr>
              <w:t>31 Maret/</w:t>
            </w:r>
          </w:p>
          <w:p w14:paraId="01E1AF7C" w14:textId="525AC756" w:rsidR="00FA4394" w:rsidRPr="0013526B" w:rsidRDefault="00FA4394" w:rsidP="00FA4394">
            <w:pPr>
              <w:ind w:right="57"/>
              <w:jc w:val="center"/>
              <w:rPr>
                <w:b/>
                <w:bCs w:val="0"/>
                <w:sz w:val="18"/>
                <w:szCs w:val="18"/>
              </w:rPr>
            </w:pPr>
            <w:r>
              <w:rPr>
                <w:b/>
                <w:sz w:val="16"/>
                <w:szCs w:val="16"/>
              </w:rPr>
              <w:t>March 31</w:t>
            </w:r>
            <w:r w:rsidR="00C92587">
              <w:rPr>
                <w:b/>
                <w:sz w:val="16"/>
                <w:szCs w:val="16"/>
              </w:rPr>
              <w:t>,</w:t>
            </w:r>
            <w:r>
              <w:rPr>
                <w:b/>
                <w:sz w:val="16"/>
                <w:szCs w:val="16"/>
              </w:rPr>
              <w:t xml:space="preserve"> </w:t>
            </w:r>
            <w:r w:rsidRPr="00BA69BD">
              <w:rPr>
                <w:b/>
                <w:sz w:val="16"/>
                <w:szCs w:val="16"/>
              </w:rPr>
              <w:t>20</w:t>
            </w:r>
            <w:r>
              <w:rPr>
                <w:b/>
                <w:sz w:val="16"/>
                <w:szCs w:val="16"/>
              </w:rPr>
              <w:t>20</w:t>
            </w:r>
          </w:p>
        </w:tc>
        <w:tc>
          <w:tcPr>
            <w:tcW w:w="178" w:type="dxa"/>
            <w:tcBorders>
              <w:bottom w:val="nil"/>
            </w:tcBorders>
            <w:tcMar>
              <w:left w:w="28" w:type="dxa"/>
              <w:right w:w="28" w:type="dxa"/>
            </w:tcMar>
            <w:vAlign w:val="bottom"/>
          </w:tcPr>
          <w:p w14:paraId="4A15DD78" w14:textId="77777777" w:rsidR="00FA4394" w:rsidRPr="0013526B" w:rsidRDefault="00FA4394" w:rsidP="00FA4394">
            <w:pPr>
              <w:ind w:right="57"/>
              <w:jc w:val="center"/>
              <w:rPr>
                <w:b/>
                <w:bCs w:val="0"/>
                <w:sz w:val="18"/>
                <w:szCs w:val="18"/>
              </w:rPr>
            </w:pPr>
          </w:p>
        </w:tc>
        <w:tc>
          <w:tcPr>
            <w:tcW w:w="1857" w:type="dxa"/>
            <w:tcBorders>
              <w:bottom w:val="single" w:sz="4" w:space="0" w:color="auto"/>
            </w:tcBorders>
            <w:vAlign w:val="bottom"/>
          </w:tcPr>
          <w:p w14:paraId="40E768CF" w14:textId="77777777" w:rsidR="00FA4394" w:rsidRDefault="00FA4394" w:rsidP="00FA4394">
            <w:pPr>
              <w:ind w:left="-90"/>
              <w:jc w:val="center"/>
              <w:rPr>
                <w:b/>
                <w:sz w:val="16"/>
                <w:szCs w:val="16"/>
              </w:rPr>
            </w:pPr>
            <w:r>
              <w:rPr>
                <w:b/>
                <w:sz w:val="16"/>
                <w:szCs w:val="16"/>
              </w:rPr>
              <w:t>31 Maret/</w:t>
            </w:r>
          </w:p>
          <w:p w14:paraId="43DE31FE" w14:textId="0FFE156A" w:rsidR="00FA4394" w:rsidRPr="005D3946" w:rsidRDefault="00FA4394" w:rsidP="00FA4394">
            <w:pPr>
              <w:ind w:right="57"/>
              <w:jc w:val="center"/>
              <w:rPr>
                <w:b/>
                <w:bCs w:val="0"/>
                <w:sz w:val="18"/>
                <w:szCs w:val="18"/>
              </w:rPr>
            </w:pPr>
            <w:r>
              <w:rPr>
                <w:b/>
                <w:sz w:val="16"/>
                <w:szCs w:val="16"/>
              </w:rPr>
              <w:t>March 31</w:t>
            </w:r>
            <w:r w:rsidR="00C92587">
              <w:rPr>
                <w:b/>
                <w:sz w:val="16"/>
                <w:szCs w:val="16"/>
              </w:rPr>
              <w:t>,</w:t>
            </w:r>
            <w:r>
              <w:rPr>
                <w:b/>
                <w:sz w:val="16"/>
                <w:szCs w:val="16"/>
              </w:rPr>
              <w:t xml:space="preserve"> </w:t>
            </w:r>
            <w:r w:rsidRPr="00BA69BD">
              <w:rPr>
                <w:b/>
                <w:sz w:val="16"/>
                <w:szCs w:val="16"/>
              </w:rPr>
              <w:t>2019</w:t>
            </w:r>
          </w:p>
        </w:tc>
        <w:tc>
          <w:tcPr>
            <w:tcW w:w="2652" w:type="dxa"/>
            <w:vAlign w:val="bottom"/>
          </w:tcPr>
          <w:p w14:paraId="3E30AF3F" w14:textId="6379A9AF" w:rsidR="00FA4394" w:rsidRDefault="00FA4394" w:rsidP="00FA4394">
            <w:pPr>
              <w:ind w:right="61"/>
              <w:jc w:val="right"/>
              <w:rPr>
                <w:b/>
                <w:bCs w:val="0"/>
                <w:i/>
                <w:sz w:val="18"/>
                <w:szCs w:val="18"/>
              </w:rPr>
            </w:pPr>
          </w:p>
        </w:tc>
      </w:tr>
      <w:tr w:rsidR="004D7FF0" w:rsidRPr="0013526B" w14:paraId="45E0C1D5" w14:textId="77777777" w:rsidTr="009D110D">
        <w:trPr>
          <w:trHeight w:val="20"/>
        </w:trPr>
        <w:tc>
          <w:tcPr>
            <w:tcW w:w="2653" w:type="dxa"/>
            <w:vAlign w:val="bottom"/>
          </w:tcPr>
          <w:p w14:paraId="6246F3E9" w14:textId="77777777" w:rsidR="004D7FF0" w:rsidRDefault="004D7FF0" w:rsidP="0013526B">
            <w:pPr>
              <w:ind w:left="284" w:right="45" w:hanging="142"/>
              <w:rPr>
                <w:b/>
                <w:bCs w:val="0"/>
                <w:sz w:val="18"/>
                <w:szCs w:val="18"/>
              </w:rPr>
            </w:pPr>
          </w:p>
        </w:tc>
        <w:tc>
          <w:tcPr>
            <w:tcW w:w="1857" w:type="dxa"/>
            <w:tcBorders>
              <w:top w:val="single" w:sz="4" w:space="0" w:color="auto"/>
            </w:tcBorders>
            <w:shd w:val="clear" w:color="auto" w:fill="auto"/>
            <w:vAlign w:val="bottom"/>
          </w:tcPr>
          <w:p w14:paraId="57082722" w14:textId="77777777" w:rsidR="004D7FF0" w:rsidRDefault="004D7FF0" w:rsidP="0013526B">
            <w:pPr>
              <w:ind w:right="57"/>
              <w:jc w:val="right"/>
              <w:rPr>
                <w:b/>
                <w:caps/>
                <w:sz w:val="18"/>
                <w:szCs w:val="18"/>
              </w:rPr>
            </w:pPr>
          </w:p>
        </w:tc>
        <w:tc>
          <w:tcPr>
            <w:tcW w:w="178" w:type="dxa"/>
            <w:tcBorders>
              <w:top w:val="nil"/>
            </w:tcBorders>
            <w:tcMar>
              <w:left w:w="28" w:type="dxa"/>
              <w:right w:w="28" w:type="dxa"/>
            </w:tcMar>
            <w:vAlign w:val="bottom"/>
          </w:tcPr>
          <w:p w14:paraId="6ED215FF" w14:textId="77777777" w:rsidR="004D7FF0" w:rsidRPr="0013526B" w:rsidRDefault="004D7FF0" w:rsidP="0013526B">
            <w:pPr>
              <w:ind w:right="57"/>
              <w:jc w:val="right"/>
              <w:rPr>
                <w:b/>
                <w:bCs w:val="0"/>
                <w:sz w:val="18"/>
                <w:szCs w:val="18"/>
              </w:rPr>
            </w:pPr>
          </w:p>
        </w:tc>
        <w:tc>
          <w:tcPr>
            <w:tcW w:w="1857" w:type="dxa"/>
            <w:tcBorders>
              <w:top w:val="single" w:sz="4" w:space="0" w:color="auto"/>
            </w:tcBorders>
            <w:vAlign w:val="bottom"/>
          </w:tcPr>
          <w:p w14:paraId="0CA2BEE4" w14:textId="77777777" w:rsidR="004D7FF0" w:rsidRDefault="004D7FF0" w:rsidP="0013526B">
            <w:pPr>
              <w:ind w:right="57"/>
              <w:jc w:val="right"/>
              <w:rPr>
                <w:b/>
                <w:caps/>
                <w:sz w:val="18"/>
                <w:szCs w:val="18"/>
              </w:rPr>
            </w:pPr>
          </w:p>
        </w:tc>
        <w:tc>
          <w:tcPr>
            <w:tcW w:w="2652" w:type="dxa"/>
            <w:vAlign w:val="bottom"/>
          </w:tcPr>
          <w:p w14:paraId="5A81EFFE" w14:textId="4B2B8C7F" w:rsidR="004D7FF0" w:rsidRDefault="004D7FF0" w:rsidP="00557FA4">
            <w:pPr>
              <w:ind w:right="61"/>
              <w:jc w:val="right"/>
              <w:rPr>
                <w:b/>
                <w:bCs w:val="0"/>
                <w:i/>
                <w:sz w:val="18"/>
                <w:szCs w:val="18"/>
              </w:rPr>
            </w:pPr>
          </w:p>
        </w:tc>
      </w:tr>
      <w:tr w:rsidR="004D7FF0" w:rsidRPr="0013526B" w14:paraId="74AC7471" w14:textId="77777777" w:rsidTr="009D110D">
        <w:trPr>
          <w:trHeight w:val="20"/>
        </w:trPr>
        <w:tc>
          <w:tcPr>
            <w:tcW w:w="2653" w:type="dxa"/>
            <w:vAlign w:val="bottom"/>
          </w:tcPr>
          <w:p w14:paraId="693B67D1" w14:textId="1CEC7B78" w:rsidR="004D7FF0" w:rsidRPr="0013526B" w:rsidRDefault="004D7FF0" w:rsidP="0013526B">
            <w:pPr>
              <w:ind w:left="284" w:right="45" w:hanging="142"/>
              <w:rPr>
                <w:b/>
                <w:bCs w:val="0"/>
                <w:sz w:val="18"/>
                <w:szCs w:val="18"/>
              </w:rPr>
            </w:pPr>
            <w:r>
              <w:rPr>
                <w:b/>
                <w:bCs w:val="0"/>
                <w:sz w:val="18"/>
                <w:szCs w:val="18"/>
              </w:rPr>
              <w:t>PENURUNAN BERSIH KAS</w:t>
            </w:r>
            <w:r w:rsidR="00870FD0">
              <w:rPr>
                <w:b/>
                <w:bCs w:val="0"/>
                <w:sz w:val="18"/>
                <w:szCs w:val="18"/>
              </w:rPr>
              <w:t>.</w:t>
            </w:r>
            <w:r>
              <w:rPr>
                <w:b/>
                <w:bCs w:val="0"/>
                <w:sz w:val="18"/>
                <w:szCs w:val="18"/>
              </w:rPr>
              <w:t xml:space="preserve"> SETARA KAS DAN CERUKAN</w:t>
            </w:r>
          </w:p>
        </w:tc>
        <w:tc>
          <w:tcPr>
            <w:tcW w:w="1857" w:type="dxa"/>
            <w:shd w:val="clear" w:color="auto" w:fill="auto"/>
            <w:vAlign w:val="bottom"/>
          </w:tcPr>
          <w:p w14:paraId="270AB603" w14:textId="2F9D4BEB" w:rsidR="004D7FF0" w:rsidRPr="00DE4C1B" w:rsidRDefault="0050709A" w:rsidP="0013526B">
            <w:pPr>
              <w:ind w:right="57"/>
              <w:jc w:val="right"/>
              <w:rPr>
                <w:b/>
                <w:bCs w:val="0"/>
                <w:sz w:val="18"/>
                <w:szCs w:val="18"/>
              </w:rPr>
            </w:pPr>
            <w:r>
              <w:rPr>
                <w:b/>
                <w:bCs w:val="0"/>
                <w:sz w:val="18"/>
                <w:szCs w:val="18"/>
              </w:rPr>
              <w:t>(1</w:t>
            </w:r>
            <w:r>
              <w:rPr>
                <w:b/>
                <w:bCs w:val="0"/>
                <w:sz w:val="18"/>
                <w:szCs w:val="18"/>
                <w:lang w:val="id-ID"/>
              </w:rPr>
              <w:t>5.454</w:t>
            </w:r>
            <w:r>
              <w:rPr>
                <w:b/>
                <w:bCs w:val="0"/>
                <w:sz w:val="18"/>
                <w:szCs w:val="18"/>
              </w:rPr>
              <w:t>.</w:t>
            </w:r>
            <w:r>
              <w:rPr>
                <w:b/>
                <w:bCs w:val="0"/>
                <w:sz w:val="18"/>
                <w:szCs w:val="18"/>
                <w:lang w:val="id-ID"/>
              </w:rPr>
              <w:t>88</w:t>
            </w:r>
            <w:r w:rsidR="001B3BE4">
              <w:rPr>
                <w:b/>
                <w:bCs w:val="0"/>
                <w:sz w:val="18"/>
                <w:szCs w:val="18"/>
              </w:rPr>
              <w:t>9.</w:t>
            </w:r>
            <w:r>
              <w:rPr>
                <w:b/>
                <w:bCs w:val="0"/>
                <w:sz w:val="18"/>
                <w:szCs w:val="18"/>
                <w:lang w:val="id-ID"/>
              </w:rPr>
              <w:t>952</w:t>
            </w:r>
            <w:r w:rsidR="00B332F1" w:rsidRPr="00B332F1">
              <w:rPr>
                <w:b/>
                <w:bCs w:val="0"/>
                <w:sz w:val="18"/>
                <w:szCs w:val="18"/>
              </w:rPr>
              <w:t>)</w:t>
            </w:r>
          </w:p>
        </w:tc>
        <w:tc>
          <w:tcPr>
            <w:tcW w:w="178" w:type="dxa"/>
            <w:tcMar>
              <w:left w:w="28" w:type="dxa"/>
              <w:right w:w="28" w:type="dxa"/>
            </w:tcMar>
            <w:vAlign w:val="bottom"/>
          </w:tcPr>
          <w:p w14:paraId="60F558F2" w14:textId="77777777" w:rsidR="004D7FF0" w:rsidRPr="00DE4C1B" w:rsidRDefault="004D7FF0" w:rsidP="0013526B">
            <w:pPr>
              <w:ind w:right="57"/>
              <w:jc w:val="right"/>
              <w:rPr>
                <w:b/>
                <w:bCs w:val="0"/>
                <w:sz w:val="18"/>
                <w:szCs w:val="18"/>
              </w:rPr>
            </w:pPr>
          </w:p>
        </w:tc>
        <w:tc>
          <w:tcPr>
            <w:tcW w:w="1857" w:type="dxa"/>
            <w:vAlign w:val="bottom"/>
          </w:tcPr>
          <w:p w14:paraId="3F621D2C" w14:textId="7A495D4C" w:rsidR="004D7FF0" w:rsidRPr="00EE40A3" w:rsidRDefault="009E18F9" w:rsidP="0013526B">
            <w:pPr>
              <w:ind w:right="57"/>
              <w:jc w:val="right"/>
              <w:rPr>
                <w:b/>
                <w:bCs w:val="0"/>
                <w:sz w:val="18"/>
                <w:szCs w:val="18"/>
              </w:rPr>
            </w:pPr>
            <w:r w:rsidRPr="00EE40A3">
              <w:rPr>
                <w:b/>
                <w:bCs w:val="0"/>
                <w:sz w:val="18"/>
                <w:szCs w:val="18"/>
              </w:rPr>
              <w:t>(6</w:t>
            </w:r>
            <w:r w:rsidR="00870FD0">
              <w:rPr>
                <w:b/>
                <w:bCs w:val="0"/>
                <w:sz w:val="18"/>
                <w:szCs w:val="18"/>
              </w:rPr>
              <w:t>.</w:t>
            </w:r>
            <w:r w:rsidRPr="00EE40A3">
              <w:rPr>
                <w:b/>
                <w:bCs w:val="0"/>
                <w:sz w:val="18"/>
                <w:szCs w:val="18"/>
              </w:rPr>
              <w:t>268</w:t>
            </w:r>
            <w:r w:rsidR="00870FD0">
              <w:rPr>
                <w:b/>
                <w:bCs w:val="0"/>
                <w:sz w:val="18"/>
                <w:szCs w:val="18"/>
              </w:rPr>
              <w:t>.</w:t>
            </w:r>
            <w:r w:rsidRPr="00EE40A3">
              <w:rPr>
                <w:b/>
                <w:bCs w:val="0"/>
                <w:sz w:val="18"/>
                <w:szCs w:val="18"/>
              </w:rPr>
              <w:t>544</w:t>
            </w:r>
            <w:r w:rsidR="00870FD0">
              <w:rPr>
                <w:b/>
                <w:bCs w:val="0"/>
                <w:sz w:val="18"/>
                <w:szCs w:val="18"/>
              </w:rPr>
              <w:t>.</w:t>
            </w:r>
            <w:r w:rsidRPr="00EE40A3">
              <w:rPr>
                <w:b/>
                <w:bCs w:val="0"/>
                <w:sz w:val="18"/>
                <w:szCs w:val="18"/>
              </w:rPr>
              <w:t>429)</w:t>
            </w:r>
          </w:p>
        </w:tc>
        <w:tc>
          <w:tcPr>
            <w:tcW w:w="2652" w:type="dxa"/>
            <w:vAlign w:val="bottom"/>
          </w:tcPr>
          <w:p w14:paraId="189872AF" w14:textId="23A945F8" w:rsidR="00706B78" w:rsidRDefault="004D7FF0" w:rsidP="00651B02">
            <w:pPr>
              <w:ind w:right="57"/>
              <w:jc w:val="right"/>
              <w:rPr>
                <w:b/>
                <w:bCs w:val="0"/>
                <w:i/>
                <w:sz w:val="18"/>
                <w:szCs w:val="18"/>
              </w:rPr>
            </w:pPr>
            <w:r>
              <w:rPr>
                <w:b/>
                <w:bCs w:val="0"/>
                <w:i/>
                <w:sz w:val="18"/>
                <w:szCs w:val="18"/>
              </w:rPr>
              <w:t>NET DECREASE IN CASH</w:t>
            </w:r>
            <w:r w:rsidR="00870FD0">
              <w:rPr>
                <w:b/>
                <w:bCs w:val="0"/>
                <w:i/>
                <w:sz w:val="18"/>
                <w:szCs w:val="18"/>
              </w:rPr>
              <w:t>.</w:t>
            </w:r>
          </w:p>
          <w:p w14:paraId="29211196" w14:textId="591BBFC3" w:rsidR="004D7FF0" w:rsidRPr="0013526B" w:rsidRDefault="004D7FF0" w:rsidP="00706B78">
            <w:pPr>
              <w:ind w:right="196"/>
              <w:jc w:val="right"/>
              <w:rPr>
                <w:b/>
                <w:bCs w:val="0"/>
                <w:i/>
                <w:sz w:val="18"/>
                <w:szCs w:val="18"/>
              </w:rPr>
            </w:pPr>
            <w:r>
              <w:rPr>
                <w:b/>
                <w:bCs w:val="0"/>
                <w:i/>
                <w:sz w:val="18"/>
                <w:szCs w:val="18"/>
              </w:rPr>
              <w:t>CASH EQUIVALENTS AND BANK OVERDRAFT</w:t>
            </w:r>
            <w:r w:rsidRPr="0013526B">
              <w:rPr>
                <w:b/>
                <w:bCs w:val="0"/>
                <w:i/>
                <w:sz w:val="18"/>
                <w:szCs w:val="18"/>
              </w:rPr>
              <w:t xml:space="preserve"> </w:t>
            </w:r>
          </w:p>
        </w:tc>
      </w:tr>
      <w:tr w:rsidR="004D7FF0" w:rsidRPr="0013526B" w14:paraId="023A4DB9" w14:textId="77777777" w:rsidTr="009D110D">
        <w:trPr>
          <w:trHeight w:val="20"/>
        </w:trPr>
        <w:tc>
          <w:tcPr>
            <w:tcW w:w="2653" w:type="dxa"/>
            <w:vAlign w:val="bottom"/>
          </w:tcPr>
          <w:p w14:paraId="16FC01CC" w14:textId="77777777" w:rsidR="004D7FF0" w:rsidRPr="0013526B" w:rsidRDefault="004D7FF0" w:rsidP="0013526B">
            <w:pPr>
              <w:ind w:left="284" w:right="45" w:hanging="142"/>
              <w:rPr>
                <w:b/>
                <w:bCs w:val="0"/>
                <w:sz w:val="18"/>
                <w:szCs w:val="18"/>
              </w:rPr>
            </w:pPr>
          </w:p>
        </w:tc>
        <w:tc>
          <w:tcPr>
            <w:tcW w:w="1857" w:type="dxa"/>
            <w:tcBorders>
              <w:bottom w:val="nil"/>
            </w:tcBorders>
            <w:shd w:val="clear" w:color="auto" w:fill="auto"/>
            <w:vAlign w:val="bottom"/>
          </w:tcPr>
          <w:p w14:paraId="5CDDB491" w14:textId="77777777" w:rsidR="004D7FF0" w:rsidRPr="00DE4C1B" w:rsidRDefault="004D7FF0" w:rsidP="0013526B">
            <w:pPr>
              <w:ind w:right="57"/>
              <w:jc w:val="right"/>
              <w:rPr>
                <w:bCs w:val="0"/>
                <w:sz w:val="18"/>
                <w:szCs w:val="18"/>
              </w:rPr>
            </w:pPr>
          </w:p>
        </w:tc>
        <w:tc>
          <w:tcPr>
            <w:tcW w:w="178" w:type="dxa"/>
            <w:tcBorders>
              <w:bottom w:val="nil"/>
            </w:tcBorders>
            <w:tcMar>
              <w:left w:w="28" w:type="dxa"/>
              <w:right w:w="28" w:type="dxa"/>
            </w:tcMar>
            <w:vAlign w:val="bottom"/>
          </w:tcPr>
          <w:p w14:paraId="40650720" w14:textId="77777777" w:rsidR="004D7FF0" w:rsidRPr="00DE4C1B" w:rsidRDefault="004D7FF0" w:rsidP="0013526B">
            <w:pPr>
              <w:ind w:right="57"/>
              <w:jc w:val="right"/>
              <w:rPr>
                <w:b/>
                <w:bCs w:val="0"/>
                <w:sz w:val="18"/>
                <w:szCs w:val="18"/>
              </w:rPr>
            </w:pPr>
          </w:p>
        </w:tc>
        <w:tc>
          <w:tcPr>
            <w:tcW w:w="1857" w:type="dxa"/>
            <w:tcBorders>
              <w:bottom w:val="nil"/>
            </w:tcBorders>
            <w:vAlign w:val="bottom"/>
          </w:tcPr>
          <w:p w14:paraId="7ECF3867" w14:textId="77777777" w:rsidR="004D7FF0" w:rsidRPr="00EE40A3" w:rsidRDefault="004D7FF0" w:rsidP="0013526B">
            <w:pPr>
              <w:ind w:right="57"/>
              <w:jc w:val="right"/>
              <w:rPr>
                <w:b/>
                <w:bCs w:val="0"/>
                <w:sz w:val="18"/>
                <w:szCs w:val="18"/>
              </w:rPr>
            </w:pPr>
          </w:p>
        </w:tc>
        <w:tc>
          <w:tcPr>
            <w:tcW w:w="2652" w:type="dxa"/>
            <w:vAlign w:val="bottom"/>
          </w:tcPr>
          <w:p w14:paraId="6EB3C931" w14:textId="75E64F36" w:rsidR="004D7FF0" w:rsidRPr="0013526B" w:rsidRDefault="004D7FF0" w:rsidP="0013526B">
            <w:pPr>
              <w:ind w:right="57"/>
              <w:jc w:val="right"/>
              <w:rPr>
                <w:b/>
                <w:bCs w:val="0"/>
                <w:i/>
                <w:sz w:val="18"/>
                <w:szCs w:val="18"/>
              </w:rPr>
            </w:pPr>
          </w:p>
        </w:tc>
      </w:tr>
      <w:tr w:rsidR="004D7FF0" w:rsidRPr="0013526B" w14:paraId="40ACC180" w14:textId="77777777" w:rsidTr="009D110D">
        <w:trPr>
          <w:trHeight w:val="20"/>
        </w:trPr>
        <w:tc>
          <w:tcPr>
            <w:tcW w:w="2653" w:type="dxa"/>
            <w:vAlign w:val="bottom"/>
          </w:tcPr>
          <w:p w14:paraId="11C45B7F" w14:textId="380E7044" w:rsidR="004D7FF0" w:rsidRPr="0013526B" w:rsidRDefault="004D7FF0" w:rsidP="009E18F9">
            <w:pPr>
              <w:ind w:left="284" w:right="45" w:hanging="142"/>
              <w:rPr>
                <w:b/>
                <w:bCs w:val="0"/>
                <w:sz w:val="18"/>
                <w:szCs w:val="18"/>
              </w:rPr>
            </w:pPr>
            <w:r>
              <w:rPr>
                <w:b/>
                <w:bCs w:val="0"/>
                <w:sz w:val="18"/>
                <w:szCs w:val="18"/>
              </w:rPr>
              <w:t>KAS</w:t>
            </w:r>
            <w:r w:rsidR="00C92587">
              <w:rPr>
                <w:b/>
                <w:bCs w:val="0"/>
                <w:sz w:val="18"/>
                <w:szCs w:val="18"/>
              </w:rPr>
              <w:t>,</w:t>
            </w:r>
            <w:r>
              <w:rPr>
                <w:b/>
                <w:bCs w:val="0"/>
                <w:sz w:val="18"/>
                <w:szCs w:val="18"/>
              </w:rPr>
              <w:t xml:space="preserve"> SETARA KAS DAN CERUKAN AWAL </w:t>
            </w:r>
            <w:r w:rsidR="009E18F9">
              <w:rPr>
                <w:b/>
                <w:bCs w:val="0"/>
                <w:sz w:val="18"/>
                <w:szCs w:val="18"/>
              </w:rPr>
              <w:t>PERIODE</w:t>
            </w:r>
            <w:r>
              <w:rPr>
                <w:b/>
                <w:bCs w:val="0"/>
                <w:sz w:val="18"/>
                <w:szCs w:val="18"/>
              </w:rPr>
              <w:t xml:space="preserve"> </w:t>
            </w:r>
          </w:p>
        </w:tc>
        <w:tc>
          <w:tcPr>
            <w:tcW w:w="1857" w:type="dxa"/>
            <w:tcBorders>
              <w:bottom w:val="double" w:sz="4" w:space="0" w:color="auto"/>
            </w:tcBorders>
            <w:shd w:val="clear" w:color="auto" w:fill="auto"/>
            <w:vAlign w:val="bottom"/>
          </w:tcPr>
          <w:p w14:paraId="34F6CDD6" w14:textId="6B9CD100" w:rsidR="004D7FF0" w:rsidRPr="0050709A" w:rsidRDefault="0050709A" w:rsidP="0013526B">
            <w:pPr>
              <w:ind w:right="57"/>
              <w:jc w:val="right"/>
              <w:rPr>
                <w:bCs w:val="0"/>
                <w:sz w:val="18"/>
                <w:szCs w:val="18"/>
                <w:lang w:val="id-ID"/>
              </w:rPr>
            </w:pPr>
            <w:r>
              <w:rPr>
                <w:bCs w:val="0"/>
                <w:sz w:val="18"/>
                <w:szCs w:val="18"/>
              </w:rPr>
              <w:t>2</w:t>
            </w:r>
            <w:r>
              <w:rPr>
                <w:bCs w:val="0"/>
                <w:sz w:val="18"/>
                <w:szCs w:val="18"/>
                <w:lang w:val="id-ID"/>
              </w:rPr>
              <w:t>32</w:t>
            </w:r>
            <w:r>
              <w:rPr>
                <w:bCs w:val="0"/>
                <w:sz w:val="18"/>
                <w:szCs w:val="18"/>
              </w:rPr>
              <w:t>.</w:t>
            </w:r>
            <w:r>
              <w:rPr>
                <w:bCs w:val="0"/>
                <w:sz w:val="18"/>
                <w:szCs w:val="18"/>
                <w:lang w:val="id-ID"/>
              </w:rPr>
              <w:t>117</w:t>
            </w:r>
            <w:r>
              <w:rPr>
                <w:bCs w:val="0"/>
                <w:sz w:val="18"/>
                <w:szCs w:val="18"/>
              </w:rPr>
              <w:t>.</w:t>
            </w:r>
            <w:r>
              <w:rPr>
                <w:bCs w:val="0"/>
                <w:sz w:val="18"/>
                <w:szCs w:val="18"/>
                <w:lang w:val="id-ID"/>
              </w:rPr>
              <w:t>1</w:t>
            </w:r>
            <w:r w:rsidR="001B3BE4">
              <w:rPr>
                <w:bCs w:val="0"/>
                <w:sz w:val="18"/>
                <w:szCs w:val="18"/>
              </w:rPr>
              <w:t>8</w:t>
            </w:r>
            <w:r>
              <w:rPr>
                <w:bCs w:val="0"/>
                <w:sz w:val="18"/>
                <w:szCs w:val="18"/>
                <w:lang w:val="id-ID"/>
              </w:rPr>
              <w:t>9</w:t>
            </w:r>
            <w:r w:rsidR="001B3BE4">
              <w:rPr>
                <w:bCs w:val="0"/>
                <w:sz w:val="18"/>
                <w:szCs w:val="18"/>
              </w:rPr>
              <w:t>.</w:t>
            </w:r>
            <w:r>
              <w:rPr>
                <w:bCs w:val="0"/>
                <w:sz w:val="18"/>
                <w:szCs w:val="18"/>
                <w:lang w:val="id-ID"/>
              </w:rPr>
              <w:t>241</w:t>
            </w:r>
          </w:p>
        </w:tc>
        <w:tc>
          <w:tcPr>
            <w:tcW w:w="178" w:type="dxa"/>
            <w:tcBorders>
              <w:bottom w:val="nil"/>
            </w:tcBorders>
            <w:tcMar>
              <w:left w:w="28" w:type="dxa"/>
              <w:right w:w="28" w:type="dxa"/>
            </w:tcMar>
            <w:vAlign w:val="bottom"/>
          </w:tcPr>
          <w:p w14:paraId="7B436C25" w14:textId="77777777" w:rsidR="004D7FF0" w:rsidRPr="00DE4C1B" w:rsidRDefault="004D7FF0" w:rsidP="00607CC8">
            <w:pPr>
              <w:ind w:right="57"/>
              <w:jc w:val="center"/>
              <w:rPr>
                <w:b/>
                <w:bCs w:val="0"/>
                <w:sz w:val="18"/>
                <w:szCs w:val="18"/>
              </w:rPr>
            </w:pPr>
          </w:p>
        </w:tc>
        <w:tc>
          <w:tcPr>
            <w:tcW w:w="1857" w:type="dxa"/>
            <w:tcBorders>
              <w:bottom w:val="double" w:sz="4" w:space="0" w:color="auto"/>
            </w:tcBorders>
            <w:vAlign w:val="bottom"/>
          </w:tcPr>
          <w:p w14:paraId="6498CCBD" w14:textId="07966614" w:rsidR="004D7FF0" w:rsidRPr="00EE40A3" w:rsidRDefault="009E18F9" w:rsidP="0013526B">
            <w:pPr>
              <w:ind w:right="57"/>
              <w:jc w:val="right"/>
              <w:rPr>
                <w:b/>
                <w:bCs w:val="0"/>
                <w:sz w:val="18"/>
                <w:szCs w:val="18"/>
              </w:rPr>
            </w:pPr>
            <w:r w:rsidRPr="00EE40A3">
              <w:rPr>
                <w:bCs w:val="0"/>
                <w:sz w:val="18"/>
                <w:szCs w:val="18"/>
              </w:rPr>
              <w:t>224</w:t>
            </w:r>
            <w:r w:rsidR="00870FD0">
              <w:rPr>
                <w:bCs w:val="0"/>
                <w:sz w:val="18"/>
                <w:szCs w:val="18"/>
              </w:rPr>
              <w:t>.</w:t>
            </w:r>
            <w:r w:rsidRPr="00EE40A3">
              <w:rPr>
                <w:bCs w:val="0"/>
                <w:sz w:val="18"/>
                <w:szCs w:val="18"/>
              </w:rPr>
              <w:t>622</w:t>
            </w:r>
            <w:r w:rsidR="00870FD0">
              <w:rPr>
                <w:bCs w:val="0"/>
                <w:sz w:val="18"/>
                <w:szCs w:val="18"/>
              </w:rPr>
              <w:t>.</w:t>
            </w:r>
            <w:r w:rsidRPr="00EE40A3">
              <w:rPr>
                <w:bCs w:val="0"/>
                <w:sz w:val="18"/>
                <w:szCs w:val="18"/>
              </w:rPr>
              <w:t>127</w:t>
            </w:r>
            <w:r w:rsidR="00870FD0">
              <w:rPr>
                <w:bCs w:val="0"/>
                <w:sz w:val="18"/>
                <w:szCs w:val="18"/>
              </w:rPr>
              <w:t>.</w:t>
            </w:r>
            <w:r w:rsidRPr="00EE40A3">
              <w:rPr>
                <w:bCs w:val="0"/>
                <w:sz w:val="18"/>
                <w:szCs w:val="18"/>
              </w:rPr>
              <w:t>737</w:t>
            </w:r>
          </w:p>
        </w:tc>
        <w:tc>
          <w:tcPr>
            <w:tcW w:w="2652" w:type="dxa"/>
            <w:vAlign w:val="bottom"/>
          </w:tcPr>
          <w:p w14:paraId="54F34DE5" w14:textId="51C5F34C" w:rsidR="004D7FF0" w:rsidRPr="0013526B" w:rsidRDefault="004D7FF0" w:rsidP="0013526B">
            <w:pPr>
              <w:ind w:right="57"/>
              <w:jc w:val="right"/>
              <w:rPr>
                <w:b/>
                <w:bCs w:val="0"/>
                <w:i/>
                <w:sz w:val="18"/>
                <w:szCs w:val="18"/>
              </w:rPr>
            </w:pPr>
            <w:r>
              <w:rPr>
                <w:b/>
                <w:bCs w:val="0"/>
                <w:i/>
                <w:sz w:val="18"/>
                <w:szCs w:val="18"/>
              </w:rPr>
              <w:t>CASH</w:t>
            </w:r>
            <w:r w:rsidR="00870FD0">
              <w:rPr>
                <w:b/>
                <w:bCs w:val="0"/>
                <w:i/>
                <w:sz w:val="18"/>
                <w:szCs w:val="18"/>
              </w:rPr>
              <w:t>.</w:t>
            </w:r>
            <w:r>
              <w:rPr>
                <w:b/>
                <w:bCs w:val="0"/>
                <w:i/>
                <w:sz w:val="18"/>
                <w:szCs w:val="18"/>
              </w:rPr>
              <w:t xml:space="preserve"> CASH EQUIVALENTS</w:t>
            </w:r>
            <w:r w:rsidRPr="0013526B">
              <w:rPr>
                <w:b/>
                <w:bCs w:val="0"/>
                <w:i/>
                <w:sz w:val="18"/>
                <w:szCs w:val="18"/>
              </w:rPr>
              <w:t xml:space="preserve"> </w:t>
            </w:r>
          </w:p>
          <w:p w14:paraId="15001EDD" w14:textId="2DDFCED7" w:rsidR="004D7FF0" w:rsidRPr="0013526B" w:rsidRDefault="004D7FF0" w:rsidP="009E18F9">
            <w:pPr>
              <w:ind w:right="201"/>
              <w:jc w:val="right"/>
              <w:rPr>
                <w:b/>
                <w:bCs w:val="0"/>
                <w:i/>
                <w:sz w:val="18"/>
                <w:szCs w:val="18"/>
              </w:rPr>
            </w:pPr>
            <w:r>
              <w:rPr>
                <w:b/>
                <w:bCs w:val="0"/>
                <w:i/>
                <w:sz w:val="18"/>
                <w:szCs w:val="18"/>
              </w:rPr>
              <w:t xml:space="preserve">AND BANK OVERDRAFT AT BEGINNING OF </w:t>
            </w:r>
            <w:r w:rsidR="009E18F9">
              <w:rPr>
                <w:b/>
                <w:bCs w:val="0"/>
                <w:i/>
                <w:sz w:val="18"/>
                <w:szCs w:val="18"/>
              </w:rPr>
              <w:t>PERIOD</w:t>
            </w:r>
            <w:r>
              <w:rPr>
                <w:b/>
                <w:bCs w:val="0"/>
                <w:i/>
                <w:sz w:val="18"/>
                <w:szCs w:val="18"/>
              </w:rPr>
              <w:t xml:space="preserve"> </w:t>
            </w:r>
          </w:p>
        </w:tc>
      </w:tr>
      <w:tr w:rsidR="004D7FF0" w:rsidRPr="0013526B" w14:paraId="2ED7FE5F" w14:textId="77777777" w:rsidTr="009D110D">
        <w:trPr>
          <w:trHeight w:val="20"/>
        </w:trPr>
        <w:tc>
          <w:tcPr>
            <w:tcW w:w="2653" w:type="dxa"/>
            <w:vAlign w:val="bottom"/>
          </w:tcPr>
          <w:p w14:paraId="3E8834B3" w14:textId="77777777" w:rsidR="004D7FF0" w:rsidRPr="0013526B" w:rsidRDefault="004D7FF0" w:rsidP="0013526B">
            <w:pPr>
              <w:ind w:left="284" w:right="45" w:hanging="142"/>
              <w:rPr>
                <w:b/>
                <w:bCs w:val="0"/>
                <w:sz w:val="18"/>
                <w:szCs w:val="18"/>
              </w:rPr>
            </w:pPr>
          </w:p>
        </w:tc>
        <w:tc>
          <w:tcPr>
            <w:tcW w:w="1857" w:type="dxa"/>
            <w:tcBorders>
              <w:top w:val="double" w:sz="4" w:space="0" w:color="auto"/>
              <w:bottom w:val="nil"/>
            </w:tcBorders>
            <w:shd w:val="clear" w:color="auto" w:fill="auto"/>
            <w:vAlign w:val="bottom"/>
          </w:tcPr>
          <w:p w14:paraId="0A5A91C5" w14:textId="77777777" w:rsidR="004D7FF0" w:rsidRPr="00DE4C1B" w:rsidRDefault="004D7FF0" w:rsidP="0013526B">
            <w:pPr>
              <w:ind w:right="57"/>
              <w:jc w:val="right"/>
              <w:rPr>
                <w:b/>
                <w:bCs w:val="0"/>
                <w:sz w:val="18"/>
                <w:szCs w:val="18"/>
              </w:rPr>
            </w:pPr>
          </w:p>
        </w:tc>
        <w:tc>
          <w:tcPr>
            <w:tcW w:w="178" w:type="dxa"/>
            <w:tcBorders>
              <w:top w:val="nil"/>
            </w:tcBorders>
            <w:tcMar>
              <w:left w:w="28" w:type="dxa"/>
              <w:right w:w="28" w:type="dxa"/>
            </w:tcMar>
            <w:vAlign w:val="bottom"/>
          </w:tcPr>
          <w:p w14:paraId="4F96E4C5" w14:textId="77777777" w:rsidR="004D7FF0" w:rsidRPr="00DE4C1B" w:rsidRDefault="004D7FF0" w:rsidP="0013526B">
            <w:pPr>
              <w:ind w:right="57"/>
              <w:jc w:val="right"/>
              <w:rPr>
                <w:b/>
                <w:bCs w:val="0"/>
                <w:sz w:val="18"/>
                <w:szCs w:val="18"/>
              </w:rPr>
            </w:pPr>
          </w:p>
        </w:tc>
        <w:tc>
          <w:tcPr>
            <w:tcW w:w="1857" w:type="dxa"/>
            <w:tcBorders>
              <w:top w:val="double" w:sz="4" w:space="0" w:color="auto"/>
              <w:bottom w:val="nil"/>
            </w:tcBorders>
            <w:vAlign w:val="bottom"/>
          </w:tcPr>
          <w:p w14:paraId="6AD327DD" w14:textId="77777777" w:rsidR="004D7FF0" w:rsidRPr="00EE40A3" w:rsidRDefault="004D7FF0" w:rsidP="0013526B">
            <w:pPr>
              <w:ind w:right="57"/>
              <w:jc w:val="right"/>
              <w:rPr>
                <w:b/>
                <w:bCs w:val="0"/>
                <w:sz w:val="18"/>
                <w:szCs w:val="18"/>
              </w:rPr>
            </w:pPr>
          </w:p>
        </w:tc>
        <w:tc>
          <w:tcPr>
            <w:tcW w:w="2652" w:type="dxa"/>
            <w:vAlign w:val="bottom"/>
          </w:tcPr>
          <w:p w14:paraId="41AD425F" w14:textId="710094B0" w:rsidR="004D7FF0" w:rsidRPr="0013526B" w:rsidRDefault="004D7FF0" w:rsidP="0013526B">
            <w:pPr>
              <w:ind w:right="57"/>
              <w:jc w:val="right"/>
              <w:rPr>
                <w:b/>
                <w:bCs w:val="0"/>
                <w:i/>
                <w:sz w:val="18"/>
                <w:szCs w:val="18"/>
              </w:rPr>
            </w:pPr>
          </w:p>
        </w:tc>
      </w:tr>
      <w:tr w:rsidR="004D7FF0" w:rsidRPr="0013526B" w14:paraId="17032D52" w14:textId="77777777" w:rsidTr="009D110D">
        <w:trPr>
          <w:trHeight w:val="20"/>
        </w:trPr>
        <w:tc>
          <w:tcPr>
            <w:tcW w:w="2653" w:type="dxa"/>
            <w:vAlign w:val="bottom"/>
          </w:tcPr>
          <w:p w14:paraId="2F463D68" w14:textId="0B98CAA1" w:rsidR="004D7FF0" w:rsidRPr="0013526B" w:rsidRDefault="004D7FF0" w:rsidP="00C92587">
            <w:pPr>
              <w:ind w:left="284" w:right="45" w:hanging="142"/>
              <w:rPr>
                <w:b/>
                <w:bCs w:val="0"/>
                <w:sz w:val="18"/>
                <w:szCs w:val="18"/>
              </w:rPr>
            </w:pPr>
            <w:r w:rsidRPr="0013526B">
              <w:rPr>
                <w:b/>
                <w:bCs w:val="0"/>
                <w:sz w:val="18"/>
                <w:szCs w:val="18"/>
              </w:rPr>
              <w:t>KAS</w:t>
            </w:r>
            <w:r w:rsidR="00C92587">
              <w:rPr>
                <w:b/>
                <w:bCs w:val="0"/>
                <w:sz w:val="18"/>
                <w:szCs w:val="18"/>
              </w:rPr>
              <w:t>,</w:t>
            </w:r>
            <w:r w:rsidRPr="0013526B">
              <w:rPr>
                <w:b/>
                <w:bCs w:val="0"/>
                <w:sz w:val="18"/>
                <w:szCs w:val="18"/>
              </w:rPr>
              <w:t xml:space="preserve"> SETARA KAS</w:t>
            </w:r>
            <w:r>
              <w:rPr>
                <w:b/>
                <w:bCs w:val="0"/>
                <w:sz w:val="18"/>
                <w:szCs w:val="18"/>
              </w:rPr>
              <w:t xml:space="preserve"> DAN CERUKAN </w:t>
            </w:r>
            <w:r w:rsidRPr="0013526B">
              <w:rPr>
                <w:b/>
                <w:bCs w:val="0"/>
                <w:sz w:val="18"/>
                <w:szCs w:val="18"/>
              </w:rPr>
              <w:t xml:space="preserve">AKHIR </w:t>
            </w:r>
            <w:r w:rsidR="009E18F9">
              <w:rPr>
                <w:b/>
                <w:bCs w:val="0"/>
                <w:sz w:val="18"/>
                <w:szCs w:val="18"/>
              </w:rPr>
              <w:t>PERIODE</w:t>
            </w:r>
          </w:p>
        </w:tc>
        <w:tc>
          <w:tcPr>
            <w:tcW w:w="1857" w:type="dxa"/>
            <w:tcBorders>
              <w:bottom w:val="double" w:sz="4" w:space="0" w:color="auto"/>
            </w:tcBorders>
            <w:shd w:val="clear" w:color="auto" w:fill="auto"/>
            <w:vAlign w:val="bottom"/>
          </w:tcPr>
          <w:p w14:paraId="34AE8FC8" w14:textId="0FC4DB05" w:rsidR="004D7FF0" w:rsidRPr="0050709A" w:rsidRDefault="001B3BE4" w:rsidP="0013526B">
            <w:pPr>
              <w:ind w:right="57"/>
              <w:jc w:val="right"/>
              <w:rPr>
                <w:b/>
                <w:bCs w:val="0"/>
                <w:sz w:val="18"/>
                <w:szCs w:val="18"/>
                <w:lang w:val="id-ID"/>
              </w:rPr>
            </w:pPr>
            <w:r>
              <w:rPr>
                <w:b/>
                <w:bCs w:val="0"/>
                <w:sz w:val="18"/>
                <w:szCs w:val="18"/>
              </w:rPr>
              <w:t>216.662.299.</w:t>
            </w:r>
            <w:r w:rsidR="00B332F1" w:rsidRPr="00B332F1">
              <w:rPr>
                <w:b/>
                <w:bCs w:val="0"/>
                <w:sz w:val="18"/>
                <w:szCs w:val="18"/>
              </w:rPr>
              <w:t>2</w:t>
            </w:r>
            <w:r w:rsidR="0050709A">
              <w:rPr>
                <w:b/>
                <w:bCs w:val="0"/>
                <w:sz w:val="18"/>
                <w:szCs w:val="18"/>
                <w:lang w:val="id-ID"/>
              </w:rPr>
              <w:t>8</w:t>
            </w:r>
            <w:r w:rsidR="00B332F1" w:rsidRPr="00B332F1">
              <w:rPr>
                <w:b/>
                <w:bCs w:val="0"/>
                <w:sz w:val="18"/>
                <w:szCs w:val="18"/>
              </w:rPr>
              <w:t>9</w:t>
            </w:r>
          </w:p>
        </w:tc>
        <w:tc>
          <w:tcPr>
            <w:tcW w:w="178" w:type="dxa"/>
            <w:tcMar>
              <w:left w:w="28" w:type="dxa"/>
              <w:right w:w="28" w:type="dxa"/>
            </w:tcMar>
            <w:vAlign w:val="bottom"/>
          </w:tcPr>
          <w:p w14:paraId="27CEACB2" w14:textId="77777777" w:rsidR="004D7FF0" w:rsidRPr="00DE4C1B" w:rsidRDefault="004D7FF0" w:rsidP="0013526B">
            <w:pPr>
              <w:ind w:right="57"/>
              <w:jc w:val="right"/>
              <w:rPr>
                <w:b/>
                <w:bCs w:val="0"/>
                <w:sz w:val="18"/>
                <w:szCs w:val="18"/>
              </w:rPr>
            </w:pPr>
          </w:p>
        </w:tc>
        <w:tc>
          <w:tcPr>
            <w:tcW w:w="1857" w:type="dxa"/>
            <w:tcBorders>
              <w:bottom w:val="double" w:sz="4" w:space="0" w:color="auto"/>
            </w:tcBorders>
            <w:vAlign w:val="bottom"/>
          </w:tcPr>
          <w:p w14:paraId="3EC3F59E" w14:textId="687B41BB" w:rsidR="004D7FF0" w:rsidRPr="00EE40A3" w:rsidRDefault="009E18F9" w:rsidP="0013526B">
            <w:pPr>
              <w:ind w:right="57"/>
              <w:jc w:val="right"/>
              <w:rPr>
                <w:b/>
                <w:bCs w:val="0"/>
                <w:sz w:val="18"/>
                <w:szCs w:val="18"/>
              </w:rPr>
            </w:pPr>
            <w:r w:rsidRPr="00EE40A3">
              <w:rPr>
                <w:b/>
                <w:sz w:val="18"/>
                <w:szCs w:val="18"/>
              </w:rPr>
              <w:t>218</w:t>
            </w:r>
            <w:r w:rsidR="00870FD0">
              <w:rPr>
                <w:b/>
                <w:sz w:val="18"/>
                <w:szCs w:val="18"/>
              </w:rPr>
              <w:t>.</w:t>
            </w:r>
            <w:r w:rsidRPr="00EE40A3">
              <w:rPr>
                <w:b/>
                <w:sz w:val="18"/>
                <w:szCs w:val="18"/>
              </w:rPr>
              <w:t>353</w:t>
            </w:r>
            <w:r w:rsidR="00870FD0">
              <w:rPr>
                <w:b/>
                <w:sz w:val="18"/>
                <w:szCs w:val="18"/>
              </w:rPr>
              <w:t>.</w:t>
            </w:r>
            <w:r w:rsidRPr="00EE40A3">
              <w:rPr>
                <w:b/>
                <w:sz w:val="18"/>
                <w:szCs w:val="18"/>
              </w:rPr>
              <w:t>583</w:t>
            </w:r>
            <w:r w:rsidR="00870FD0">
              <w:rPr>
                <w:b/>
                <w:sz w:val="18"/>
                <w:szCs w:val="18"/>
              </w:rPr>
              <w:t>.</w:t>
            </w:r>
            <w:r w:rsidRPr="00EE40A3">
              <w:rPr>
                <w:b/>
                <w:sz w:val="18"/>
                <w:szCs w:val="18"/>
              </w:rPr>
              <w:t>308</w:t>
            </w:r>
          </w:p>
        </w:tc>
        <w:tc>
          <w:tcPr>
            <w:tcW w:w="2652" w:type="dxa"/>
            <w:vAlign w:val="bottom"/>
          </w:tcPr>
          <w:p w14:paraId="7EB276C7" w14:textId="4F3EE493" w:rsidR="004D7FF0" w:rsidRPr="0013526B" w:rsidRDefault="004D7FF0" w:rsidP="0013526B">
            <w:pPr>
              <w:ind w:right="57"/>
              <w:jc w:val="right"/>
              <w:rPr>
                <w:b/>
                <w:bCs w:val="0"/>
                <w:i/>
                <w:sz w:val="18"/>
                <w:szCs w:val="18"/>
              </w:rPr>
            </w:pPr>
            <w:r>
              <w:rPr>
                <w:b/>
                <w:bCs w:val="0"/>
                <w:i/>
                <w:sz w:val="18"/>
                <w:szCs w:val="18"/>
              </w:rPr>
              <w:t>CASH</w:t>
            </w:r>
            <w:r w:rsidR="00C92587">
              <w:rPr>
                <w:b/>
                <w:bCs w:val="0"/>
                <w:i/>
                <w:sz w:val="18"/>
                <w:szCs w:val="18"/>
              </w:rPr>
              <w:t>,</w:t>
            </w:r>
            <w:r>
              <w:rPr>
                <w:b/>
                <w:bCs w:val="0"/>
                <w:i/>
                <w:sz w:val="18"/>
                <w:szCs w:val="18"/>
              </w:rPr>
              <w:t xml:space="preserve"> </w:t>
            </w:r>
            <w:r w:rsidRPr="0013526B">
              <w:rPr>
                <w:b/>
                <w:bCs w:val="0"/>
                <w:i/>
                <w:sz w:val="18"/>
                <w:szCs w:val="18"/>
              </w:rPr>
              <w:t xml:space="preserve">CASH EQUIVALENTS </w:t>
            </w:r>
          </w:p>
          <w:p w14:paraId="1F839BF8" w14:textId="7C6BD124" w:rsidR="004D7FF0" w:rsidRPr="0013526B" w:rsidRDefault="004D7FF0" w:rsidP="00831D67">
            <w:pPr>
              <w:ind w:right="201"/>
              <w:jc w:val="right"/>
              <w:rPr>
                <w:b/>
                <w:bCs w:val="0"/>
                <w:i/>
                <w:sz w:val="18"/>
                <w:szCs w:val="18"/>
              </w:rPr>
            </w:pPr>
            <w:r>
              <w:rPr>
                <w:b/>
                <w:bCs w:val="0"/>
                <w:i/>
                <w:sz w:val="18"/>
                <w:szCs w:val="18"/>
              </w:rPr>
              <w:t>AND BANK OVERDRAFT</w:t>
            </w:r>
            <w:r w:rsidRPr="0013526B">
              <w:rPr>
                <w:b/>
                <w:bCs w:val="0"/>
                <w:i/>
                <w:sz w:val="18"/>
                <w:szCs w:val="18"/>
              </w:rPr>
              <w:t xml:space="preserve"> AT END OF</w:t>
            </w:r>
            <w:r w:rsidR="00831D67">
              <w:rPr>
                <w:b/>
                <w:bCs w:val="0"/>
                <w:i/>
                <w:sz w:val="18"/>
                <w:szCs w:val="18"/>
              </w:rPr>
              <w:t xml:space="preserve"> PERIOD</w:t>
            </w:r>
          </w:p>
        </w:tc>
      </w:tr>
      <w:tr w:rsidR="004D7FF0" w:rsidRPr="0013526B" w14:paraId="51549411" w14:textId="77777777" w:rsidTr="009D110D">
        <w:trPr>
          <w:trHeight w:val="20"/>
        </w:trPr>
        <w:tc>
          <w:tcPr>
            <w:tcW w:w="2653" w:type="dxa"/>
            <w:vAlign w:val="bottom"/>
          </w:tcPr>
          <w:p w14:paraId="6FEE6D6A" w14:textId="77777777" w:rsidR="004D7FF0" w:rsidRPr="0013526B" w:rsidRDefault="004D7FF0" w:rsidP="0013526B">
            <w:pPr>
              <w:ind w:left="284" w:right="45" w:hanging="142"/>
              <w:rPr>
                <w:b/>
                <w:bCs w:val="0"/>
                <w:sz w:val="18"/>
                <w:szCs w:val="18"/>
              </w:rPr>
            </w:pPr>
          </w:p>
        </w:tc>
        <w:tc>
          <w:tcPr>
            <w:tcW w:w="1857" w:type="dxa"/>
            <w:tcBorders>
              <w:top w:val="double" w:sz="4" w:space="0" w:color="auto"/>
            </w:tcBorders>
            <w:shd w:val="clear" w:color="auto" w:fill="auto"/>
            <w:vAlign w:val="bottom"/>
          </w:tcPr>
          <w:p w14:paraId="28E8786A" w14:textId="77777777" w:rsidR="004D7FF0" w:rsidRPr="00DE4C1B" w:rsidRDefault="004D7FF0" w:rsidP="0013526B">
            <w:pPr>
              <w:ind w:right="57"/>
              <w:jc w:val="right"/>
              <w:rPr>
                <w:b/>
                <w:bCs w:val="0"/>
                <w:sz w:val="18"/>
                <w:szCs w:val="18"/>
              </w:rPr>
            </w:pPr>
          </w:p>
        </w:tc>
        <w:tc>
          <w:tcPr>
            <w:tcW w:w="178" w:type="dxa"/>
            <w:tcMar>
              <w:left w:w="28" w:type="dxa"/>
              <w:right w:w="28" w:type="dxa"/>
            </w:tcMar>
            <w:vAlign w:val="bottom"/>
          </w:tcPr>
          <w:p w14:paraId="79604C8D" w14:textId="77777777" w:rsidR="004D7FF0" w:rsidRPr="00DE4C1B" w:rsidRDefault="004D7FF0" w:rsidP="0013526B">
            <w:pPr>
              <w:ind w:right="57"/>
              <w:jc w:val="right"/>
              <w:rPr>
                <w:b/>
                <w:bCs w:val="0"/>
                <w:sz w:val="18"/>
                <w:szCs w:val="18"/>
              </w:rPr>
            </w:pPr>
          </w:p>
        </w:tc>
        <w:tc>
          <w:tcPr>
            <w:tcW w:w="1857" w:type="dxa"/>
            <w:tcBorders>
              <w:top w:val="double" w:sz="4" w:space="0" w:color="auto"/>
            </w:tcBorders>
            <w:vAlign w:val="bottom"/>
          </w:tcPr>
          <w:p w14:paraId="7E65B973" w14:textId="77777777" w:rsidR="004D7FF0" w:rsidRPr="00DE4C1B" w:rsidRDefault="004D7FF0" w:rsidP="0013526B">
            <w:pPr>
              <w:ind w:right="57"/>
              <w:jc w:val="right"/>
              <w:rPr>
                <w:b/>
                <w:bCs w:val="0"/>
                <w:sz w:val="18"/>
                <w:szCs w:val="18"/>
              </w:rPr>
            </w:pPr>
          </w:p>
        </w:tc>
        <w:tc>
          <w:tcPr>
            <w:tcW w:w="2652" w:type="dxa"/>
            <w:vAlign w:val="bottom"/>
          </w:tcPr>
          <w:p w14:paraId="1F887747" w14:textId="0345C82E" w:rsidR="004D7FF0" w:rsidRPr="0013526B" w:rsidRDefault="004D7FF0" w:rsidP="0013526B">
            <w:pPr>
              <w:ind w:right="57"/>
              <w:jc w:val="right"/>
              <w:rPr>
                <w:b/>
                <w:bCs w:val="0"/>
                <w:i/>
                <w:sz w:val="18"/>
                <w:szCs w:val="18"/>
              </w:rPr>
            </w:pPr>
          </w:p>
        </w:tc>
      </w:tr>
      <w:tr w:rsidR="004D7FF0" w:rsidRPr="0013526B" w14:paraId="7FDCE3F9" w14:textId="77777777" w:rsidTr="009D110D">
        <w:trPr>
          <w:trHeight w:val="20"/>
        </w:trPr>
        <w:tc>
          <w:tcPr>
            <w:tcW w:w="2653" w:type="dxa"/>
            <w:vAlign w:val="bottom"/>
          </w:tcPr>
          <w:p w14:paraId="64503558" w14:textId="4155A230" w:rsidR="004D7FF0" w:rsidRPr="00FF3645" w:rsidRDefault="004D7FF0" w:rsidP="0013526B">
            <w:pPr>
              <w:ind w:left="284" w:right="45" w:hanging="142"/>
              <w:rPr>
                <w:bCs w:val="0"/>
                <w:sz w:val="18"/>
                <w:szCs w:val="18"/>
              </w:rPr>
            </w:pPr>
          </w:p>
        </w:tc>
        <w:tc>
          <w:tcPr>
            <w:tcW w:w="1857" w:type="dxa"/>
            <w:shd w:val="clear" w:color="auto" w:fill="auto"/>
            <w:vAlign w:val="bottom"/>
          </w:tcPr>
          <w:p w14:paraId="741B4DBA" w14:textId="77777777" w:rsidR="004D7FF0" w:rsidRPr="00DE4C1B" w:rsidRDefault="004D7FF0" w:rsidP="0013526B">
            <w:pPr>
              <w:ind w:right="57"/>
              <w:jc w:val="right"/>
              <w:rPr>
                <w:b/>
                <w:bCs w:val="0"/>
                <w:sz w:val="18"/>
                <w:szCs w:val="18"/>
              </w:rPr>
            </w:pPr>
          </w:p>
        </w:tc>
        <w:tc>
          <w:tcPr>
            <w:tcW w:w="178" w:type="dxa"/>
            <w:tcMar>
              <w:left w:w="28" w:type="dxa"/>
              <w:right w:w="28" w:type="dxa"/>
            </w:tcMar>
            <w:vAlign w:val="bottom"/>
          </w:tcPr>
          <w:p w14:paraId="5681D3D4" w14:textId="77777777" w:rsidR="004D7FF0" w:rsidRPr="00DE4C1B" w:rsidRDefault="004D7FF0" w:rsidP="0013526B">
            <w:pPr>
              <w:ind w:right="57"/>
              <w:jc w:val="right"/>
              <w:rPr>
                <w:b/>
                <w:bCs w:val="0"/>
                <w:sz w:val="18"/>
                <w:szCs w:val="18"/>
              </w:rPr>
            </w:pPr>
          </w:p>
        </w:tc>
        <w:tc>
          <w:tcPr>
            <w:tcW w:w="1857" w:type="dxa"/>
            <w:vAlign w:val="bottom"/>
          </w:tcPr>
          <w:p w14:paraId="4DA83E36" w14:textId="77777777" w:rsidR="004D7FF0" w:rsidRPr="00DE4C1B" w:rsidRDefault="004D7FF0" w:rsidP="0013526B">
            <w:pPr>
              <w:ind w:right="57"/>
              <w:jc w:val="right"/>
              <w:rPr>
                <w:b/>
                <w:bCs w:val="0"/>
                <w:sz w:val="18"/>
                <w:szCs w:val="18"/>
              </w:rPr>
            </w:pPr>
          </w:p>
        </w:tc>
        <w:tc>
          <w:tcPr>
            <w:tcW w:w="2652" w:type="dxa"/>
            <w:vAlign w:val="bottom"/>
          </w:tcPr>
          <w:p w14:paraId="4A67816C" w14:textId="20CBB118" w:rsidR="004D7FF0" w:rsidRPr="005D3946" w:rsidRDefault="004D7FF0" w:rsidP="00706B78">
            <w:pPr>
              <w:ind w:right="182"/>
              <w:jc w:val="right"/>
              <w:rPr>
                <w:bCs w:val="0"/>
                <w:i/>
                <w:sz w:val="18"/>
                <w:szCs w:val="18"/>
              </w:rPr>
            </w:pPr>
          </w:p>
        </w:tc>
      </w:tr>
      <w:tr w:rsidR="009D110D" w:rsidRPr="0013526B" w14:paraId="2A126B0E" w14:textId="77777777" w:rsidTr="00B8233A">
        <w:trPr>
          <w:trHeight w:val="20"/>
        </w:trPr>
        <w:tc>
          <w:tcPr>
            <w:tcW w:w="2653" w:type="dxa"/>
            <w:vAlign w:val="bottom"/>
          </w:tcPr>
          <w:p w14:paraId="66309A83" w14:textId="727E72CB" w:rsidR="009D110D" w:rsidRPr="00FF3645" w:rsidRDefault="009D110D" w:rsidP="009D110D">
            <w:pPr>
              <w:ind w:left="284" w:right="45"/>
              <w:rPr>
                <w:bCs w:val="0"/>
                <w:sz w:val="18"/>
                <w:szCs w:val="18"/>
              </w:rPr>
            </w:pPr>
          </w:p>
        </w:tc>
        <w:tc>
          <w:tcPr>
            <w:tcW w:w="1857" w:type="dxa"/>
            <w:tcBorders>
              <w:bottom w:val="nil"/>
            </w:tcBorders>
            <w:shd w:val="clear" w:color="auto" w:fill="auto"/>
            <w:vAlign w:val="center"/>
          </w:tcPr>
          <w:p w14:paraId="71A485ED" w14:textId="2483E1E9" w:rsidR="009D110D" w:rsidRPr="00DE4C1B" w:rsidRDefault="009D110D" w:rsidP="00B55818">
            <w:pPr>
              <w:ind w:right="57"/>
              <w:jc w:val="right"/>
              <w:rPr>
                <w:bCs w:val="0"/>
                <w:sz w:val="18"/>
                <w:szCs w:val="18"/>
              </w:rPr>
            </w:pPr>
          </w:p>
        </w:tc>
        <w:tc>
          <w:tcPr>
            <w:tcW w:w="178" w:type="dxa"/>
            <w:tcBorders>
              <w:bottom w:val="nil"/>
            </w:tcBorders>
            <w:tcMar>
              <w:left w:w="28" w:type="dxa"/>
              <w:right w:w="28" w:type="dxa"/>
            </w:tcMar>
            <w:vAlign w:val="bottom"/>
          </w:tcPr>
          <w:p w14:paraId="4FB2DC58" w14:textId="77777777" w:rsidR="009D110D" w:rsidRPr="00DE4C1B" w:rsidRDefault="009D110D" w:rsidP="009D110D">
            <w:pPr>
              <w:ind w:right="57"/>
              <w:jc w:val="right"/>
              <w:rPr>
                <w:b/>
                <w:bCs w:val="0"/>
                <w:sz w:val="18"/>
                <w:szCs w:val="18"/>
              </w:rPr>
            </w:pPr>
          </w:p>
        </w:tc>
        <w:tc>
          <w:tcPr>
            <w:tcW w:w="1857" w:type="dxa"/>
            <w:tcBorders>
              <w:bottom w:val="nil"/>
            </w:tcBorders>
            <w:vAlign w:val="bottom"/>
          </w:tcPr>
          <w:p w14:paraId="1BBBF091" w14:textId="4B736203" w:rsidR="009D110D" w:rsidRPr="00DE4C1B" w:rsidRDefault="009D110D" w:rsidP="009D110D">
            <w:pPr>
              <w:ind w:right="57"/>
              <w:jc w:val="right"/>
              <w:rPr>
                <w:bCs w:val="0"/>
                <w:sz w:val="18"/>
                <w:szCs w:val="18"/>
              </w:rPr>
            </w:pPr>
          </w:p>
        </w:tc>
        <w:tc>
          <w:tcPr>
            <w:tcW w:w="2652" w:type="dxa"/>
            <w:vAlign w:val="bottom"/>
          </w:tcPr>
          <w:p w14:paraId="1408A0ED" w14:textId="0D3BD552" w:rsidR="009D110D" w:rsidRPr="005D3946" w:rsidRDefault="009D110D" w:rsidP="00974D37">
            <w:pPr>
              <w:ind w:right="200"/>
              <w:jc w:val="right"/>
              <w:rPr>
                <w:bCs w:val="0"/>
                <w:i/>
                <w:sz w:val="18"/>
                <w:szCs w:val="18"/>
              </w:rPr>
            </w:pPr>
          </w:p>
        </w:tc>
      </w:tr>
      <w:tr w:rsidR="009D110D" w:rsidRPr="0013526B" w14:paraId="2AB322B7" w14:textId="77777777" w:rsidTr="00B8233A">
        <w:trPr>
          <w:trHeight w:val="20"/>
        </w:trPr>
        <w:tc>
          <w:tcPr>
            <w:tcW w:w="2653" w:type="dxa"/>
            <w:vAlign w:val="bottom"/>
          </w:tcPr>
          <w:p w14:paraId="662CEAD3" w14:textId="569FB843" w:rsidR="009D110D" w:rsidRPr="00FF3645" w:rsidRDefault="009D110D" w:rsidP="009D110D">
            <w:pPr>
              <w:ind w:left="284" w:right="45"/>
              <w:rPr>
                <w:bCs w:val="0"/>
                <w:sz w:val="18"/>
                <w:szCs w:val="18"/>
              </w:rPr>
            </w:pPr>
          </w:p>
        </w:tc>
        <w:tc>
          <w:tcPr>
            <w:tcW w:w="1857" w:type="dxa"/>
            <w:tcBorders>
              <w:bottom w:val="nil"/>
            </w:tcBorders>
            <w:shd w:val="clear" w:color="auto" w:fill="auto"/>
            <w:vAlign w:val="center"/>
          </w:tcPr>
          <w:p w14:paraId="643986B4" w14:textId="6A9AFB18" w:rsidR="009D110D" w:rsidRPr="00DE4C1B" w:rsidRDefault="009D110D" w:rsidP="00B55818">
            <w:pPr>
              <w:ind w:right="57"/>
              <w:jc w:val="right"/>
              <w:rPr>
                <w:sz w:val="18"/>
                <w:szCs w:val="18"/>
              </w:rPr>
            </w:pPr>
          </w:p>
        </w:tc>
        <w:tc>
          <w:tcPr>
            <w:tcW w:w="178" w:type="dxa"/>
            <w:tcBorders>
              <w:bottom w:val="nil"/>
            </w:tcBorders>
            <w:tcMar>
              <w:left w:w="28" w:type="dxa"/>
              <w:right w:w="28" w:type="dxa"/>
            </w:tcMar>
            <w:vAlign w:val="bottom"/>
          </w:tcPr>
          <w:p w14:paraId="0DF1905E" w14:textId="77777777" w:rsidR="009D110D" w:rsidRPr="00DE4C1B" w:rsidRDefault="009D110D" w:rsidP="009D110D">
            <w:pPr>
              <w:ind w:right="57"/>
              <w:jc w:val="right"/>
              <w:rPr>
                <w:b/>
                <w:bCs w:val="0"/>
                <w:sz w:val="18"/>
                <w:szCs w:val="18"/>
              </w:rPr>
            </w:pPr>
          </w:p>
        </w:tc>
        <w:tc>
          <w:tcPr>
            <w:tcW w:w="1857" w:type="dxa"/>
            <w:tcBorders>
              <w:bottom w:val="nil"/>
            </w:tcBorders>
            <w:vAlign w:val="bottom"/>
          </w:tcPr>
          <w:p w14:paraId="073C2BFC" w14:textId="3A5BB0D0" w:rsidR="009D110D" w:rsidRPr="00DE4C1B" w:rsidRDefault="009D110D" w:rsidP="009D110D">
            <w:pPr>
              <w:ind w:right="57"/>
              <w:jc w:val="right"/>
              <w:rPr>
                <w:bCs w:val="0"/>
                <w:sz w:val="18"/>
                <w:szCs w:val="18"/>
              </w:rPr>
            </w:pPr>
          </w:p>
        </w:tc>
        <w:tc>
          <w:tcPr>
            <w:tcW w:w="2652" w:type="dxa"/>
            <w:vAlign w:val="bottom"/>
          </w:tcPr>
          <w:p w14:paraId="2A70211D" w14:textId="7806DD10" w:rsidR="009D110D" w:rsidRPr="005D3946" w:rsidRDefault="009D110D" w:rsidP="00974D37">
            <w:pPr>
              <w:ind w:right="214"/>
              <w:jc w:val="right"/>
              <w:rPr>
                <w:bCs w:val="0"/>
                <w:i/>
                <w:sz w:val="18"/>
                <w:szCs w:val="18"/>
              </w:rPr>
            </w:pPr>
          </w:p>
        </w:tc>
      </w:tr>
      <w:tr w:rsidR="004D7FF0" w:rsidRPr="0013526B" w14:paraId="276CBD7B" w14:textId="77777777" w:rsidTr="00B8233A">
        <w:trPr>
          <w:trHeight w:val="20"/>
        </w:trPr>
        <w:tc>
          <w:tcPr>
            <w:tcW w:w="2653" w:type="dxa"/>
            <w:tcBorders>
              <w:bottom w:val="nil"/>
            </w:tcBorders>
            <w:vAlign w:val="bottom"/>
          </w:tcPr>
          <w:p w14:paraId="49FDCE84" w14:textId="77777777" w:rsidR="004D7FF0" w:rsidRPr="0013526B" w:rsidRDefault="004D7FF0" w:rsidP="0013526B">
            <w:pPr>
              <w:ind w:left="284" w:right="45" w:hanging="142"/>
              <w:rPr>
                <w:b/>
                <w:bCs w:val="0"/>
                <w:sz w:val="18"/>
                <w:szCs w:val="18"/>
              </w:rPr>
            </w:pPr>
          </w:p>
        </w:tc>
        <w:tc>
          <w:tcPr>
            <w:tcW w:w="1857" w:type="dxa"/>
            <w:tcBorders>
              <w:top w:val="nil"/>
              <w:bottom w:val="nil"/>
            </w:tcBorders>
            <w:shd w:val="clear" w:color="auto" w:fill="auto"/>
            <w:vAlign w:val="bottom"/>
          </w:tcPr>
          <w:p w14:paraId="28E88847" w14:textId="77777777" w:rsidR="004D7FF0" w:rsidRPr="00DE4C1B" w:rsidRDefault="004D7FF0" w:rsidP="0013526B">
            <w:pPr>
              <w:ind w:right="57"/>
              <w:jc w:val="right"/>
              <w:rPr>
                <w:b/>
                <w:bCs w:val="0"/>
                <w:sz w:val="18"/>
                <w:szCs w:val="18"/>
              </w:rPr>
            </w:pPr>
          </w:p>
        </w:tc>
        <w:tc>
          <w:tcPr>
            <w:tcW w:w="178" w:type="dxa"/>
            <w:tcBorders>
              <w:top w:val="nil"/>
              <w:bottom w:val="nil"/>
            </w:tcBorders>
            <w:tcMar>
              <w:left w:w="28" w:type="dxa"/>
              <w:right w:w="28" w:type="dxa"/>
            </w:tcMar>
            <w:vAlign w:val="bottom"/>
          </w:tcPr>
          <w:p w14:paraId="7BC0DBF7" w14:textId="77777777" w:rsidR="004D7FF0" w:rsidRPr="00DE4C1B" w:rsidRDefault="004D7FF0" w:rsidP="0013526B">
            <w:pPr>
              <w:ind w:right="57"/>
              <w:jc w:val="right"/>
              <w:rPr>
                <w:b/>
                <w:bCs w:val="0"/>
                <w:sz w:val="18"/>
                <w:szCs w:val="18"/>
              </w:rPr>
            </w:pPr>
          </w:p>
        </w:tc>
        <w:tc>
          <w:tcPr>
            <w:tcW w:w="1857" w:type="dxa"/>
            <w:tcBorders>
              <w:top w:val="nil"/>
              <w:bottom w:val="nil"/>
            </w:tcBorders>
            <w:vAlign w:val="bottom"/>
          </w:tcPr>
          <w:p w14:paraId="30C37A35" w14:textId="77777777" w:rsidR="004D7FF0" w:rsidRPr="00DE4C1B" w:rsidRDefault="004D7FF0" w:rsidP="0013526B">
            <w:pPr>
              <w:ind w:right="57"/>
              <w:jc w:val="right"/>
              <w:rPr>
                <w:b/>
                <w:bCs w:val="0"/>
                <w:sz w:val="18"/>
                <w:szCs w:val="18"/>
              </w:rPr>
            </w:pPr>
          </w:p>
        </w:tc>
        <w:tc>
          <w:tcPr>
            <w:tcW w:w="2652" w:type="dxa"/>
            <w:tcBorders>
              <w:bottom w:val="nil"/>
            </w:tcBorders>
            <w:vAlign w:val="bottom"/>
          </w:tcPr>
          <w:p w14:paraId="5634173F" w14:textId="21E12814" w:rsidR="004D7FF0" w:rsidRPr="0013526B" w:rsidRDefault="004D7FF0" w:rsidP="0013526B">
            <w:pPr>
              <w:ind w:right="57"/>
              <w:jc w:val="right"/>
              <w:rPr>
                <w:b/>
                <w:bCs w:val="0"/>
                <w:i/>
                <w:sz w:val="18"/>
                <w:szCs w:val="18"/>
              </w:rPr>
            </w:pPr>
          </w:p>
        </w:tc>
      </w:tr>
      <w:tr w:rsidR="004D7FF0" w:rsidRPr="0013526B" w14:paraId="57FBAE4B" w14:textId="77777777" w:rsidTr="00B8233A">
        <w:trPr>
          <w:trHeight w:val="20"/>
        </w:trPr>
        <w:tc>
          <w:tcPr>
            <w:tcW w:w="2653" w:type="dxa"/>
            <w:tcBorders>
              <w:bottom w:val="nil"/>
            </w:tcBorders>
            <w:vAlign w:val="bottom"/>
          </w:tcPr>
          <w:p w14:paraId="34C12FA3" w14:textId="01B308D6" w:rsidR="004D7FF0" w:rsidRPr="0013526B" w:rsidRDefault="004D7FF0" w:rsidP="0013526B">
            <w:pPr>
              <w:ind w:left="284" w:right="45" w:hanging="142"/>
              <w:rPr>
                <w:b/>
                <w:bCs w:val="0"/>
                <w:sz w:val="18"/>
                <w:szCs w:val="18"/>
              </w:rPr>
            </w:pPr>
          </w:p>
        </w:tc>
        <w:tc>
          <w:tcPr>
            <w:tcW w:w="1857" w:type="dxa"/>
            <w:tcBorders>
              <w:bottom w:val="nil"/>
            </w:tcBorders>
            <w:shd w:val="clear" w:color="auto" w:fill="auto"/>
            <w:vAlign w:val="bottom"/>
          </w:tcPr>
          <w:p w14:paraId="724D436C" w14:textId="03847FC7" w:rsidR="004D7FF0" w:rsidRPr="009D110D" w:rsidRDefault="004D7FF0" w:rsidP="0013526B">
            <w:pPr>
              <w:ind w:right="57"/>
              <w:jc w:val="right"/>
              <w:rPr>
                <w:b/>
                <w:sz w:val="18"/>
                <w:szCs w:val="18"/>
              </w:rPr>
            </w:pPr>
          </w:p>
        </w:tc>
        <w:tc>
          <w:tcPr>
            <w:tcW w:w="178" w:type="dxa"/>
            <w:tcBorders>
              <w:bottom w:val="nil"/>
            </w:tcBorders>
            <w:tcMar>
              <w:left w:w="28" w:type="dxa"/>
              <w:right w:w="28" w:type="dxa"/>
            </w:tcMar>
            <w:vAlign w:val="bottom"/>
          </w:tcPr>
          <w:p w14:paraId="192083D1" w14:textId="77777777" w:rsidR="004D7FF0" w:rsidRPr="00DE4C1B" w:rsidRDefault="004D7FF0" w:rsidP="0013526B">
            <w:pPr>
              <w:ind w:right="57"/>
              <w:jc w:val="right"/>
              <w:rPr>
                <w:b/>
                <w:sz w:val="18"/>
                <w:szCs w:val="18"/>
              </w:rPr>
            </w:pPr>
          </w:p>
        </w:tc>
        <w:tc>
          <w:tcPr>
            <w:tcW w:w="1857" w:type="dxa"/>
            <w:tcBorders>
              <w:bottom w:val="nil"/>
            </w:tcBorders>
            <w:vAlign w:val="bottom"/>
          </w:tcPr>
          <w:p w14:paraId="0F6DACE4" w14:textId="0D794E07" w:rsidR="004D7FF0" w:rsidRPr="00DE4C1B" w:rsidRDefault="004D7FF0" w:rsidP="0013526B">
            <w:pPr>
              <w:ind w:right="57"/>
              <w:jc w:val="right"/>
              <w:rPr>
                <w:b/>
                <w:bCs w:val="0"/>
                <w:sz w:val="18"/>
                <w:szCs w:val="18"/>
              </w:rPr>
            </w:pPr>
          </w:p>
        </w:tc>
        <w:tc>
          <w:tcPr>
            <w:tcW w:w="2652" w:type="dxa"/>
            <w:tcBorders>
              <w:bottom w:val="nil"/>
            </w:tcBorders>
            <w:vAlign w:val="bottom"/>
          </w:tcPr>
          <w:p w14:paraId="57B864B1" w14:textId="486CB56F" w:rsidR="004D7FF0" w:rsidRPr="0013526B" w:rsidRDefault="004D7FF0" w:rsidP="00831D67">
            <w:pPr>
              <w:tabs>
                <w:tab w:val="left" w:pos="2384"/>
              </w:tabs>
              <w:ind w:right="168"/>
              <w:jc w:val="right"/>
              <w:rPr>
                <w:b/>
                <w:bCs w:val="0"/>
                <w:i/>
                <w:sz w:val="18"/>
                <w:szCs w:val="18"/>
              </w:rPr>
            </w:pPr>
          </w:p>
        </w:tc>
      </w:tr>
      <w:bookmarkEnd w:id="1"/>
    </w:tbl>
    <w:p w14:paraId="6D5A64D6" w14:textId="77777777" w:rsidR="0092151C" w:rsidRPr="0013526B" w:rsidRDefault="0092151C" w:rsidP="0013526B">
      <w:pPr>
        <w:rPr>
          <w:sz w:val="18"/>
          <w:szCs w:val="18"/>
        </w:rPr>
        <w:sectPr w:rsidR="0092151C" w:rsidRPr="0013526B" w:rsidSect="00FF3645">
          <w:pgSz w:w="11907" w:h="16840" w:code="9"/>
          <w:pgMar w:top="907" w:right="994" w:bottom="1138" w:left="1699" w:header="850" w:footer="397" w:gutter="0"/>
          <w:cols w:space="720"/>
          <w:docGrid w:linePitch="360"/>
        </w:sectPr>
      </w:pPr>
    </w:p>
    <w:tbl>
      <w:tblPr>
        <w:tblW w:w="9197" w:type="dxa"/>
        <w:tblInd w:w="392" w:type="dxa"/>
        <w:tblLayout w:type="fixed"/>
        <w:tblLook w:val="0000" w:firstRow="0" w:lastRow="0" w:firstColumn="0" w:lastColumn="0" w:noHBand="0" w:noVBand="0"/>
      </w:tblPr>
      <w:tblGrid>
        <w:gridCol w:w="4598"/>
        <w:gridCol w:w="4599"/>
      </w:tblGrid>
      <w:tr w:rsidR="007A35C3" w:rsidRPr="00F73213" w14:paraId="2BCE1D2E" w14:textId="77777777" w:rsidTr="00AD0892">
        <w:tc>
          <w:tcPr>
            <w:tcW w:w="4598" w:type="dxa"/>
          </w:tcPr>
          <w:p w14:paraId="3FDB4DAB" w14:textId="77777777" w:rsidR="007A35C3" w:rsidRPr="00F73213" w:rsidRDefault="007A35C3" w:rsidP="007874BB">
            <w:pPr>
              <w:pStyle w:val="ListParagraph"/>
              <w:numPr>
                <w:ilvl w:val="0"/>
                <w:numId w:val="1"/>
              </w:numPr>
              <w:ind w:left="369" w:hanging="369"/>
              <w:contextualSpacing/>
              <w:jc w:val="both"/>
              <w:rPr>
                <w:rStyle w:val="hps"/>
                <w:b/>
                <w:sz w:val="18"/>
                <w:szCs w:val="18"/>
              </w:rPr>
            </w:pPr>
            <w:r w:rsidRPr="00F73213">
              <w:rPr>
                <w:rStyle w:val="hps"/>
                <w:b/>
                <w:sz w:val="18"/>
                <w:szCs w:val="18"/>
              </w:rPr>
              <w:lastRenderedPageBreak/>
              <w:t>UMUM</w:t>
            </w:r>
          </w:p>
        </w:tc>
        <w:tc>
          <w:tcPr>
            <w:tcW w:w="4598" w:type="dxa"/>
          </w:tcPr>
          <w:p w14:paraId="5B3F7090" w14:textId="77777777" w:rsidR="007A35C3" w:rsidRPr="00F73213" w:rsidRDefault="007A35C3" w:rsidP="007874BB">
            <w:pPr>
              <w:pStyle w:val="ListParagraph"/>
              <w:numPr>
                <w:ilvl w:val="0"/>
                <w:numId w:val="2"/>
              </w:numPr>
              <w:ind w:left="369" w:hanging="369"/>
              <w:contextualSpacing/>
              <w:jc w:val="both"/>
              <w:rPr>
                <w:b/>
                <w:bCs w:val="0"/>
                <w:i/>
                <w:sz w:val="18"/>
                <w:szCs w:val="18"/>
              </w:rPr>
            </w:pPr>
            <w:r w:rsidRPr="00F73213">
              <w:rPr>
                <w:b/>
                <w:i/>
                <w:sz w:val="18"/>
                <w:szCs w:val="18"/>
              </w:rPr>
              <w:t>GENERAL</w:t>
            </w:r>
          </w:p>
        </w:tc>
      </w:tr>
      <w:tr w:rsidR="007A35C3" w:rsidRPr="00F73213" w14:paraId="3C0737BA" w14:textId="77777777" w:rsidTr="00AD0892">
        <w:tc>
          <w:tcPr>
            <w:tcW w:w="4598" w:type="dxa"/>
          </w:tcPr>
          <w:p w14:paraId="1D423186" w14:textId="77777777" w:rsidR="007A35C3" w:rsidRPr="00F73213" w:rsidRDefault="007A35C3" w:rsidP="0013526B">
            <w:pPr>
              <w:jc w:val="both"/>
              <w:rPr>
                <w:rStyle w:val="hps"/>
                <w:sz w:val="18"/>
                <w:szCs w:val="18"/>
              </w:rPr>
            </w:pPr>
          </w:p>
        </w:tc>
        <w:tc>
          <w:tcPr>
            <w:tcW w:w="4598" w:type="dxa"/>
          </w:tcPr>
          <w:p w14:paraId="0F72A3EB" w14:textId="77777777" w:rsidR="007A35C3" w:rsidRPr="00F73213" w:rsidRDefault="007A35C3" w:rsidP="0013526B">
            <w:pPr>
              <w:ind w:left="426"/>
              <w:jc w:val="both"/>
              <w:rPr>
                <w:bCs w:val="0"/>
                <w:i/>
                <w:sz w:val="18"/>
                <w:szCs w:val="18"/>
              </w:rPr>
            </w:pPr>
          </w:p>
        </w:tc>
      </w:tr>
      <w:tr w:rsidR="007A35C3" w:rsidRPr="00F73213" w14:paraId="69A8E81E" w14:textId="77777777" w:rsidTr="00AD0892">
        <w:tc>
          <w:tcPr>
            <w:tcW w:w="4598" w:type="dxa"/>
          </w:tcPr>
          <w:p w14:paraId="7BF1ADBD" w14:textId="77777777" w:rsidR="007A35C3" w:rsidRPr="00F73213" w:rsidRDefault="007A35C3" w:rsidP="00A84908">
            <w:pPr>
              <w:pStyle w:val="ListParagraph"/>
              <w:numPr>
                <w:ilvl w:val="0"/>
                <w:numId w:val="3"/>
              </w:numPr>
              <w:ind w:left="653" w:hanging="284"/>
              <w:contextualSpacing/>
              <w:jc w:val="both"/>
              <w:rPr>
                <w:rStyle w:val="hps"/>
                <w:b/>
                <w:sz w:val="18"/>
                <w:szCs w:val="18"/>
              </w:rPr>
            </w:pPr>
            <w:r w:rsidRPr="00F73213">
              <w:rPr>
                <w:rStyle w:val="hps"/>
                <w:b/>
                <w:sz w:val="18"/>
                <w:szCs w:val="18"/>
              </w:rPr>
              <w:t xml:space="preserve">Pendirian dan Informasi Umum </w:t>
            </w:r>
          </w:p>
        </w:tc>
        <w:tc>
          <w:tcPr>
            <w:tcW w:w="4598" w:type="dxa"/>
          </w:tcPr>
          <w:p w14:paraId="01A31D55" w14:textId="77777777" w:rsidR="007A35C3" w:rsidRPr="00F73213" w:rsidRDefault="007A35C3" w:rsidP="00A84908">
            <w:pPr>
              <w:pStyle w:val="ListParagraph"/>
              <w:numPr>
                <w:ilvl w:val="0"/>
                <w:numId w:val="4"/>
              </w:numPr>
              <w:ind w:left="653" w:hanging="284"/>
              <w:contextualSpacing/>
              <w:jc w:val="both"/>
              <w:rPr>
                <w:b/>
                <w:bCs w:val="0"/>
                <w:i/>
                <w:sz w:val="18"/>
                <w:szCs w:val="18"/>
              </w:rPr>
            </w:pPr>
            <w:r w:rsidRPr="00F73213">
              <w:rPr>
                <w:b/>
                <w:i/>
                <w:sz w:val="18"/>
                <w:szCs w:val="18"/>
              </w:rPr>
              <w:t xml:space="preserve">Establishment and General information </w:t>
            </w:r>
          </w:p>
        </w:tc>
      </w:tr>
      <w:tr w:rsidR="007A35C3" w:rsidRPr="00F73213" w14:paraId="3E71EFF4" w14:textId="77777777" w:rsidTr="00AD0892">
        <w:tc>
          <w:tcPr>
            <w:tcW w:w="4598" w:type="dxa"/>
          </w:tcPr>
          <w:p w14:paraId="0FDDC77B" w14:textId="77777777" w:rsidR="007A35C3" w:rsidRPr="00F73213" w:rsidRDefault="007A35C3" w:rsidP="0013526B">
            <w:pPr>
              <w:jc w:val="both"/>
              <w:rPr>
                <w:rStyle w:val="hps"/>
                <w:sz w:val="18"/>
                <w:szCs w:val="18"/>
              </w:rPr>
            </w:pPr>
          </w:p>
        </w:tc>
        <w:tc>
          <w:tcPr>
            <w:tcW w:w="4598" w:type="dxa"/>
          </w:tcPr>
          <w:p w14:paraId="4A3A6CEF" w14:textId="77777777" w:rsidR="007A35C3" w:rsidRPr="00F73213" w:rsidRDefault="007A35C3" w:rsidP="0013526B">
            <w:pPr>
              <w:ind w:left="426"/>
              <w:jc w:val="both"/>
              <w:rPr>
                <w:bCs w:val="0"/>
                <w:i/>
                <w:sz w:val="18"/>
                <w:szCs w:val="18"/>
              </w:rPr>
            </w:pPr>
          </w:p>
        </w:tc>
      </w:tr>
      <w:tr w:rsidR="007A35C3" w:rsidRPr="00593332" w14:paraId="39B06610" w14:textId="77777777" w:rsidTr="00AD0892">
        <w:tc>
          <w:tcPr>
            <w:tcW w:w="4598" w:type="dxa"/>
          </w:tcPr>
          <w:p w14:paraId="340F4965" w14:textId="2644F70E" w:rsidR="007A35C3" w:rsidRPr="00F73213" w:rsidRDefault="000862F1" w:rsidP="00A84908">
            <w:pPr>
              <w:ind w:left="652"/>
              <w:jc w:val="both"/>
              <w:rPr>
                <w:rStyle w:val="hps"/>
                <w:sz w:val="18"/>
                <w:szCs w:val="18"/>
                <w:lang w:val="id-ID"/>
              </w:rPr>
            </w:pPr>
            <w:r w:rsidRPr="00F73213">
              <w:rPr>
                <w:rStyle w:val="hps"/>
                <w:sz w:val="18"/>
                <w:szCs w:val="18"/>
              </w:rPr>
              <w:t>PT Sejahteraraya Anugrahjaya</w:t>
            </w:r>
            <w:r w:rsidR="00DC5021">
              <w:rPr>
                <w:rStyle w:val="hps"/>
                <w:sz w:val="18"/>
                <w:szCs w:val="18"/>
              </w:rPr>
              <w:t xml:space="preserve"> Tbk</w:t>
            </w:r>
            <w:r w:rsidRPr="00F73213">
              <w:rPr>
                <w:rStyle w:val="hps"/>
                <w:sz w:val="18"/>
                <w:szCs w:val="18"/>
              </w:rPr>
              <w:t xml:space="preserve"> (Perusahaan</w:t>
            </w:r>
            <w:r w:rsidR="00F73213">
              <w:rPr>
                <w:rStyle w:val="hps"/>
                <w:sz w:val="18"/>
                <w:szCs w:val="18"/>
              </w:rPr>
              <w:t xml:space="preserve">) </w:t>
            </w:r>
            <w:r w:rsidRPr="00F73213">
              <w:rPr>
                <w:rStyle w:val="hps"/>
                <w:sz w:val="18"/>
                <w:szCs w:val="18"/>
              </w:rPr>
              <w:t xml:space="preserve">didirikan berdasarkan Akta </w:t>
            </w:r>
            <w:proofErr w:type="gramStart"/>
            <w:r w:rsidRPr="00F73213">
              <w:rPr>
                <w:rStyle w:val="hps"/>
                <w:sz w:val="18"/>
                <w:szCs w:val="18"/>
              </w:rPr>
              <w:t>Pendirian  No</w:t>
            </w:r>
            <w:proofErr w:type="gramEnd"/>
            <w:r w:rsidRPr="00F73213">
              <w:rPr>
                <w:rStyle w:val="hps"/>
                <w:sz w:val="18"/>
                <w:szCs w:val="18"/>
              </w:rPr>
              <w:t xml:space="preserve">.  210 </w:t>
            </w:r>
            <w:proofErr w:type="gramStart"/>
            <w:r w:rsidRPr="00F73213">
              <w:rPr>
                <w:rStyle w:val="hps"/>
                <w:sz w:val="18"/>
                <w:szCs w:val="18"/>
              </w:rPr>
              <w:t>tanggal  20</w:t>
            </w:r>
            <w:proofErr w:type="gramEnd"/>
            <w:r w:rsidRPr="00F73213">
              <w:rPr>
                <w:rStyle w:val="hps"/>
                <w:sz w:val="18"/>
                <w:szCs w:val="18"/>
              </w:rPr>
              <w:t xml:space="preserve">  Mei  1991 dari Notaris Misahardi Wilamarta S.H.</w:t>
            </w:r>
            <w:r w:rsidR="00C92587">
              <w:rPr>
                <w:rStyle w:val="hps"/>
                <w:sz w:val="18"/>
                <w:szCs w:val="18"/>
              </w:rPr>
              <w:t>,</w:t>
            </w:r>
            <w:r w:rsidRPr="00F73213">
              <w:rPr>
                <w:rStyle w:val="hps"/>
                <w:sz w:val="18"/>
                <w:szCs w:val="18"/>
              </w:rPr>
              <w:t xml:space="preserve"> Notaris di Jakarta dengan nama PT Sejahtera Raya Anugrah.  </w:t>
            </w:r>
            <w:proofErr w:type="gramStart"/>
            <w:r w:rsidRPr="00F73213">
              <w:rPr>
                <w:rStyle w:val="hps"/>
                <w:sz w:val="18"/>
                <w:szCs w:val="18"/>
              </w:rPr>
              <w:t>Akta  pendiria</w:t>
            </w:r>
            <w:r w:rsidR="004907E9" w:rsidRPr="00F73213">
              <w:rPr>
                <w:rStyle w:val="hps"/>
                <w:sz w:val="18"/>
                <w:szCs w:val="18"/>
              </w:rPr>
              <w:t>n</w:t>
            </w:r>
            <w:proofErr w:type="gramEnd"/>
            <w:r w:rsidR="004907E9" w:rsidRPr="00F73213">
              <w:rPr>
                <w:rStyle w:val="hps"/>
                <w:sz w:val="18"/>
                <w:szCs w:val="18"/>
              </w:rPr>
              <w:t xml:space="preserve">  tersebut  telah disahkan oleh Kementerian </w:t>
            </w:r>
            <w:r w:rsidRPr="00F73213">
              <w:rPr>
                <w:rStyle w:val="hps"/>
                <w:sz w:val="18"/>
                <w:szCs w:val="18"/>
              </w:rPr>
              <w:t>Kehakiman</w:t>
            </w:r>
            <w:r w:rsidRPr="00F73213">
              <w:rPr>
                <w:rStyle w:val="hps"/>
                <w:sz w:val="18"/>
                <w:szCs w:val="18"/>
                <w:lang w:val="id-ID"/>
              </w:rPr>
              <w:t xml:space="preserve"> Republik  Indonesia  dengan  surat  keputusan </w:t>
            </w:r>
            <w:r w:rsidR="004907E9" w:rsidRPr="00F73213">
              <w:rPr>
                <w:rStyle w:val="hps"/>
                <w:sz w:val="18"/>
                <w:szCs w:val="18"/>
                <w:lang w:val="id-ID"/>
              </w:rPr>
              <w:t xml:space="preserve">No. C2-HT01.01-A </w:t>
            </w:r>
            <w:r w:rsidRPr="00F73213">
              <w:rPr>
                <w:rStyle w:val="hps"/>
                <w:sz w:val="18"/>
                <w:szCs w:val="18"/>
                <w:lang w:val="id-ID"/>
              </w:rPr>
              <w:t>9205 tanggal 28 Nopember 19</w:t>
            </w:r>
            <w:r w:rsidR="004907E9" w:rsidRPr="00F73213">
              <w:rPr>
                <w:rStyle w:val="hps"/>
                <w:sz w:val="18"/>
                <w:szCs w:val="18"/>
                <w:lang w:val="id-ID"/>
              </w:rPr>
              <w:t xml:space="preserve">92 serta telah diumumkan dalam </w:t>
            </w:r>
            <w:r w:rsidRPr="00F73213">
              <w:rPr>
                <w:rStyle w:val="hps"/>
                <w:sz w:val="18"/>
                <w:szCs w:val="18"/>
                <w:lang w:val="id-ID"/>
              </w:rPr>
              <w:t xml:space="preserve">Berita </w:t>
            </w:r>
            <w:r w:rsidR="004907E9" w:rsidRPr="00F73213">
              <w:rPr>
                <w:rStyle w:val="hps"/>
                <w:sz w:val="18"/>
                <w:szCs w:val="18"/>
                <w:lang w:val="id-ID"/>
              </w:rPr>
              <w:t xml:space="preserve">Negara  Republik  Indonesia No. 104 </w:t>
            </w:r>
            <w:r w:rsidRPr="00F73213">
              <w:rPr>
                <w:rStyle w:val="hps"/>
                <w:sz w:val="18"/>
                <w:szCs w:val="18"/>
                <w:lang w:val="id-ID"/>
              </w:rPr>
              <w:t xml:space="preserve">tanggal 31  </w:t>
            </w:r>
            <w:r w:rsidR="004907E9" w:rsidRPr="00F73213">
              <w:rPr>
                <w:rStyle w:val="hps"/>
                <w:sz w:val="18"/>
                <w:szCs w:val="18"/>
                <w:lang w:val="id-ID"/>
              </w:rPr>
              <w:t>Desember  1994</w:t>
            </w:r>
            <w:r w:rsidR="00870FD0">
              <w:rPr>
                <w:rStyle w:val="hps"/>
                <w:sz w:val="18"/>
                <w:szCs w:val="18"/>
                <w:lang w:val="id-ID"/>
              </w:rPr>
              <w:t>.</w:t>
            </w:r>
            <w:r w:rsidR="004907E9" w:rsidRPr="00F73213">
              <w:rPr>
                <w:rStyle w:val="hps"/>
                <w:sz w:val="18"/>
                <w:szCs w:val="18"/>
                <w:lang w:val="id-ID"/>
              </w:rPr>
              <w:t xml:space="preserve">  Tambahan No. </w:t>
            </w:r>
            <w:r w:rsidRPr="00F73213">
              <w:rPr>
                <w:rStyle w:val="hps"/>
                <w:sz w:val="18"/>
                <w:szCs w:val="18"/>
                <w:lang w:val="id-ID"/>
              </w:rPr>
              <w:t xml:space="preserve">10967. </w:t>
            </w:r>
            <w:r w:rsidR="004907E9" w:rsidRPr="00F73213">
              <w:rPr>
                <w:rStyle w:val="hps"/>
                <w:sz w:val="18"/>
                <w:szCs w:val="18"/>
                <w:lang w:val="id-ID"/>
              </w:rPr>
              <w:t xml:space="preserve">Nama </w:t>
            </w:r>
            <w:r w:rsidRPr="00F73213">
              <w:rPr>
                <w:rStyle w:val="hps"/>
                <w:sz w:val="18"/>
                <w:szCs w:val="18"/>
                <w:lang w:val="id-ID"/>
              </w:rPr>
              <w:t>P</w:t>
            </w:r>
            <w:r w:rsidR="004907E9" w:rsidRPr="00F73213">
              <w:rPr>
                <w:rStyle w:val="hps"/>
                <w:sz w:val="18"/>
                <w:szCs w:val="18"/>
                <w:lang w:val="id-ID"/>
              </w:rPr>
              <w:t xml:space="preserve">erusahaan telah diubah </w:t>
            </w:r>
            <w:r w:rsidRPr="00F73213">
              <w:rPr>
                <w:rStyle w:val="hps"/>
                <w:sz w:val="18"/>
                <w:szCs w:val="18"/>
                <w:lang w:val="id-ID"/>
              </w:rPr>
              <w:t xml:space="preserve">menjadi </w:t>
            </w:r>
            <w:r w:rsidR="004907E9" w:rsidRPr="00F73213">
              <w:rPr>
                <w:rStyle w:val="hps"/>
                <w:sz w:val="18"/>
                <w:szCs w:val="18"/>
                <w:lang w:val="id-ID"/>
              </w:rPr>
              <w:t xml:space="preserve">PT Sejahteraraya </w:t>
            </w:r>
            <w:r w:rsidRPr="00F73213">
              <w:rPr>
                <w:rStyle w:val="hps"/>
                <w:sz w:val="18"/>
                <w:szCs w:val="18"/>
                <w:lang w:val="id-ID"/>
              </w:rPr>
              <w:t>Anugrahjay</w:t>
            </w:r>
            <w:r w:rsidR="008851B8">
              <w:rPr>
                <w:rStyle w:val="hps"/>
                <w:sz w:val="18"/>
                <w:szCs w:val="18"/>
              </w:rPr>
              <w:t xml:space="preserve">a </w:t>
            </w:r>
            <w:r w:rsidRPr="00F73213">
              <w:rPr>
                <w:rStyle w:val="hps"/>
                <w:sz w:val="18"/>
                <w:szCs w:val="18"/>
                <w:lang w:val="id-ID"/>
              </w:rPr>
              <w:t>berdasarkan Akta No. 200 tanggal 11 Desember 1992 dari Notaris  Misahardi  Wilamarta  S.H.</w:t>
            </w:r>
            <w:r w:rsidR="00C92587">
              <w:rPr>
                <w:rStyle w:val="hps"/>
                <w:sz w:val="18"/>
                <w:szCs w:val="18"/>
                <w:lang w:val="id-ID"/>
              </w:rPr>
              <w:t>,</w:t>
            </w:r>
            <w:r w:rsidRPr="00F73213">
              <w:rPr>
                <w:rStyle w:val="hps"/>
                <w:sz w:val="18"/>
                <w:szCs w:val="18"/>
                <w:lang w:val="id-ID"/>
              </w:rPr>
              <w:t xml:space="preserve">  Notaris  di Jakarta. Akta perubahan nama tersebut telah disahk</w:t>
            </w:r>
            <w:r w:rsidR="004907E9" w:rsidRPr="00F73213">
              <w:rPr>
                <w:rStyle w:val="hps"/>
                <w:sz w:val="18"/>
                <w:szCs w:val="18"/>
                <w:lang w:val="id-ID"/>
              </w:rPr>
              <w:t xml:space="preserve">an </w:t>
            </w:r>
            <w:r w:rsidRPr="00F73213">
              <w:rPr>
                <w:rStyle w:val="hps"/>
                <w:sz w:val="18"/>
                <w:szCs w:val="18"/>
                <w:lang w:val="id-ID"/>
              </w:rPr>
              <w:t xml:space="preserve">oleh Kementerian Kehakiman </w:t>
            </w:r>
            <w:r w:rsidR="004907E9" w:rsidRPr="00F73213">
              <w:rPr>
                <w:rStyle w:val="hps"/>
                <w:sz w:val="18"/>
                <w:szCs w:val="18"/>
                <w:lang w:val="id-ID"/>
              </w:rPr>
              <w:t xml:space="preserve">Republik Indonesia </w:t>
            </w:r>
            <w:r w:rsidRPr="00F73213">
              <w:rPr>
                <w:rStyle w:val="hps"/>
                <w:sz w:val="18"/>
                <w:szCs w:val="18"/>
                <w:lang w:val="id-ID"/>
              </w:rPr>
              <w:t>dengan surat</w:t>
            </w:r>
            <w:r w:rsidR="00D07AA2">
              <w:rPr>
                <w:rStyle w:val="hps"/>
                <w:sz w:val="18"/>
                <w:szCs w:val="18"/>
              </w:rPr>
              <w:t xml:space="preserve"> </w:t>
            </w:r>
            <w:r w:rsidRPr="00F73213">
              <w:rPr>
                <w:rStyle w:val="hps"/>
                <w:sz w:val="18"/>
                <w:szCs w:val="18"/>
                <w:lang w:val="id-ID"/>
              </w:rPr>
              <w:t>keputusan No.C2</w:t>
            </w:r>
            <w:r w:rsidR="00672DB5">
              <w:rPr>
                <w:rStyle w:val="hps"/>
                <w:sz w:val="18"/>
                <w:szCs w:val="18"/>
              </w:rPr>
              <w:t>-</w:t>
            </w:r>
            <w:r w:rsidRPr="00F73213">
              <w:rPr>
                <w:rStyle w:val="hps"/>
                <w:sz w:val="18"/>
                <w:szCs w:val="18"/>
                <w:lang w:val="id-ID"/>
              </w:rPr>
              <w:t>3786.HT.01.01.TH.93  tanggal 26 Mei 1993 serta telah diumumkan dalam Berita Negara Republik Indonesia Berita Negara Republik Indonesia No.104 tanggal 31 Desember 1994</w:t>
            </w:r>
            <w:r w:rsidR="00C92587">
              <w:rPr>
                <w:rStyle w:val="hps"/>
                <w:sz w:val="18"/>
                <w:szCs w:val="18"/>
                <w:lang w:val="id-ID"/>
              </w:rPr>
              <w:t>,</w:t>
            </w:r>
            <w:r w:rsidR="00D07AA2">
              <w:rPr>
                <w:rStyle w:val="hps"/>
                <w:sz w:val="18"/>
                <w:szCs w:val="18"/>
              </w:rPr>
              <w:t xml:space="preserve"> </w:t>
            </w:r>
            <w:r w:rsidRPr="00F73213">
              <w:rPr>
                <w:rStyle w:val="hps"/>
                <w:sz w:val="18"/>
                <w:szCs w:val="18"/>
                <w:lang w:val="id-ID"/>
              </w:rPr>
              <w:t>Tambahan No. 10967.</w:t>
            </w:r>
          </w:p>
        </w:tc>
        <w:tc>
          <w:tcPr>
            <w:tcW w:w="4598" w:type="dxa"/>
          </w:tcPr>
          <w:p w14:paraId="497F74CB" w14:textId="412D0586" w:rsidR="007A35C3" w:rsidRPr="00F73213" w:rsidRDefault="000862F1" w:rsidP="00A84908">
            <w:pPr>
              <w:ind w:left="652"/>
              <w:jc w:val="both"/>
              <w:rPr>
                <w:bCs w:val="0"/>
                <w:i/>
                <w:sz w:val="18"/>
                <w:szCs w:val="18"/>
              </w:rPr>
            </w:pPr>
            <w:r w:rsidRPr="00F73213">
              <w:rPr>
                <w:bCs w:val="0"/>
                <w:i/>
                <w:sz w:val="18"/>
                <w:szCs w:val="18"/>
              </w:rPr>
              <w:t>PT Sejahteraraya Anugrahjaya</w:t>
            </w:r>
            <w:r w:rsidR="00DC5021">
              <w:rPr>
                <w:bCs w:val="0"/>
                <w:i/>
                <w:sz w:val="18"/>
                <w:szCs w:val="18"/>
              </w:rPr>
              <w:t xml:space="preserve"> Tbk</w:t>
            </w:r>
            <w:r w:rsidRPr="00F73213">
              <w:rPr>
                <w:bCs w:val="0"/>
                <w:i/>
                <w:sz w:val="18"/>
                <w:szCs w:val="18"/>
              </w:rPr>
              <w:t xml:space="preserve"> (the Company) was established based on Deed No. 210 dated May 20</w:t>
            </w:r>
            <w:r w:rsidR="00C92587">
              <w:rPr>
                <w:bCs w:val="0"/>
                <w:i/>
                <w:sz w:val="18"/>
                <w:szCs w:val="18"/>
              </w:rPr>
              <w:t>,</w:t>
            </w:r>
            <w:r w:rsidRPr="00F73213">
              <w:rPr>
                <w:bCs w:val="0"/>
                <w:i/>
                <w:sz w:val="18"/>
                <w:szCs w:val="18"/>
              </w:rPr>
              <w:t xml:space="preserve"> 1991 of Misahardi Wilamarta S.H.</w:t>
            </w:r>
            <w:r w:rsidR="00C92587">
              <w:rPr>
                <w:bCs w:val="0"/>
                <w:i/>
                <w:sz w:val="18"/>
                <w:szCs w:val="18"/>
              </w:rPr>
              <w:t>,</w:t>
            </w:r>
            <w:r w:rsidRPr="00F73213">
              <w:rPr>
                <w:bCs w:val="0"/>
                <w:i/>
                <w:sz w:val="18"/>
                <w:szCs w:val="18"/>
              </w:rPr>
              <w:t xml:space="preserve"> Notary in Jakarta under the name PT Sejahtera Raya Anugrah. The Deed of establishment was approved by Minister of </w:t>
            </w:r>
            <w:proofErr w:type="gramStart"/>
            <w:r w:rsidRPr="00F73213">
              <w:rPr>
                <w:bCs w:val="0"/>
                <w:i/>
                <w:sz w:val="18"/>
                <w:szCs w:val="18"/>
              </w:rPr>
              <w:t>Justice  of</w:t>
            </w:r>
            <w:proofErr w:type="gramEnd"/>
            <w:r w:rsidRPr="00F73213">
              <w:rPr>
                <w:bCs w:val="0"/>
                <w:i/>
                <w:sz w:val="18"/>
                <w:szCs w:val="18"/>
              </w:rPr>
              <w:t xml:space="preserve">  the  Republic  of  Indonesia  in  hisDecision Letter No. C2-HT01.01-A 9205 dated</w:t>
            </w:r>
            <w:r w:rsidRPr="00F73213">
              <w:rPr>
                <w:bCs w:val="0"/>
                <w:i/>
                <w:sz w:val="18"/>
                <w:szCs w:val="18"/>
                <w:lang w:val="id-ID"/>
              </w:rPr>
              <w:t xml:space="preserve"> </w:t>
            </w:r>
            <w:r w:rsidRPr="00F73213">
              <w:rPr>
                <w:bCs w:val="0"/>
                <w:i/>
                <w:sz w:val="18"/>
                <w:szCs w:val="18"/>
              </w:rPr>
              <w:t>November 28</w:t>
            </w:r>
            <w:r w:rsidR="00C92587">
              <w:rPr>
                <w:bCs w:val="0"/>
                <w:i/>
                <w:sz w:val="18"/>
                <w:szCs w:val="18"/>
              </w:rPr>
              <w:t>,</w:t>
            </w:r>
            <w:r w:rsidRPr="00F73213">
              <w:rPr>
                <w:bCs w:val="0"/>
                <w:i/>
                <w:sz w:val="18"/>
                <w:szCs w:val="18"/>
              </w:rPr>
              <w:t xml:space="preserve"> 1992 and was published in the</w:t>
            </w:r>
            <w:r w:rsidRPr="00F73213">
              <w:rPr>
                <w:bCs w:val="0"/>
                <w:i/>
                <w:sz w:val="18"/>
                <w:szCs w:val="18"/>
                <w:lang w:val="id-ID"/>
              </w:rPr>
              <w:t xml:space="preserve"> </w:t>
            </w:r>
            <w:r w:rsidRPr="00F73213">
              <w:rPr>
                <w:bCs w:val="0"/>
                <w:i/>
                <w:sz w:val="18"/>
                <w:szCs w:val="18"/>
              </w:rPr>
              <w:t>State Gazette of Republic of Indonesia No. 104</w:t>
            </w:r>
            <w:r w:rsidRPr="00F73213">
              <w:rPr>
                <w:bCs w:val="0"/>
                <w:i/>
                <w:sz w:val="18"/>
                <w:szCs w:val="18"/>
                <w:lang w:val="id-ID"/>
              </w:rPr>
              <w:t xml:space="preserve"> </w:t>
            </w:r>
            <w:r w:rsidRPr="00F73213">
              <w:rPr>
                <w:bCs w:val="0"/>
                <w:i/>
                <w:sz w:val="18"/>
                <w:szCs w:val="18"/>
              </w:rPr>
              <w:t>dated    December    31</w:t>
            </w:r>
            <w:r w:rsidR="00C92587">
              <w:rPr>
                <w:bCs w:val="0"/>
                <w:i/>
                <w:sz w:val="18"/>
                <w:szCs w:val="18"/>
              </w:rPr>
              <w:t>,</w:t>
            </w:r>
            <w:r w:rsidRPr="00F73213">
              <w:rPr>
                <w:bCs w:val="0"/>
                <w:i/>
                <w:sz w:val="18"/>
                <w:szCs w:val="18"/>
              </w:rPr>
              <w:t xml:space="preserve">    1994    Supplement</w:t>
            </w:r>
            <w:r w:rsidRPr="00F73213">
              <w:rPr>
                <w:bCs w:val="0"/>
                <w:i/>
                <w:sz w:val="18"/>
                <w:szCs w:val="18"/>
                <w:lang w:val="id-ID"/>
              </w:rPr>
              <w:t xml:space="preserve"> </w:t>
            </w:r>
            <w:r w:rsidRPr="00F73213">
              <w:rPr>
                <w:bCs w:val="0"/>
                <w:i/>
                <w:sz w:val="18"/>
                <w:szCs w:val="18"/>
              </w:rPr>
              <w:t xml:space="preserve">No.  10967.  </w:t>
            </w:r>
            <w:proofErr w:type="gramStart"/>
            <w:r w:rsidRPr="00F73213">
              <w:rPr>
                <w:bCs w:val="0"/>
                <w:i/>
                <w:sz w:val="18"/>
                <w:szCs w:val="18"/>
              </w:rPr>
              <w:t>The  Company’s</w:t>
            </w:r>
            <w:proofErr w:type="gramEnd"/>
            <w:r w:rsidRPr="00F73213">
              <w:rPr>
                <w:bCs w:val="0"/>
                <w:i/>
                <w:sz w:val="18"/>
                <w:szCs w:val="18"/>
              </w:rPr>
              <w:t xml:space="preserve">  name  had been</w:t>
            </w:r>
            <w:r w:rsidR="008851B8">
              <w:rPr>
                <w:bCs w:val="0"/>
                <w:i/>
                <w:sz w:val="18"/>
                <w:szCs w:val="18"/>
              </w:rPr>
              <w:t xml:space="preserve"> </w:t>
            </w:r>
            <w:r w:rsidRPr="00F73213">
              <w:rPr>
                <w:bCs w:val="0"/>
                <w:i/>
                <w:sz w:val="18"/>
                <w:szCs w:val="18"/>
              </w:rPr>
              <w:t>changed</w:t>
            </w:r>
            <w:r w:rsidR="008851B8">
              <w:rPr>
                <w:bCs w:val="0"/>
                <w:i/>
                <w:sz w:val="18"/>
                <w:szCs w:val="18"/>
              </w:rPr>
              <w:t xml:space="preserve"> </w:t>
            </w:r>
            <w:r w:rsidRPr="00F73213">
              <w:rPr>
                <w:bCs w:val="0"/>
                <w:i/>
                <w:sz w:val="18"/>
                <w:szCs w:val="18"/>
              </w:rPr>
              <w:t>to</w:t>
            </w:r>
            <w:r w:rsidR="008851B8">
              <w:rPr>
                <w:bCs w:val="0"/>
                <w:i/>
                <w:sz w:val="18"/>
                <w:szCs w:val="18"/>
              </w:rPr>
              <w:t xml:space="preserve"> </w:t>
            </w:r>
            <w:r w:rsidRPr="00F73213">
              <w:rPr>
                <w:bCs w:val="0"/>
                <w:i/>
                <w:sz w:val="18"/>
                <w:szCs w:val="18"/>
              </w:rPr>
              <w:t>PT   Sejahteraraya   Anugrahjaya</w:t>
            </w:r>
            <w:r w:rsidR="00DC5021">
              <w:rPr>
                <w:bCs w:val="0"/>
                <w:i/>
                <w:sz w:val="18"/>
                <w:szCs w:val="18"/>
              </w:rPr>
              <w:t xml:space="preserve"> </w:t>
            </w:r>
            <w:r w:rsidR="00C92587">
              <w:rPr>
                <w:bCs w:val="0"/>
                <w:i/>
                <w:sz w:val="18"/>
                <w:szCs w:val="18"/>
              </w:rPr>
              <w:t>based on Deed,</w:t>
            </w:r>
            <w:r w:rsidRPr="00F73213">
              <w:rPr>
                <w:bCs w:val="0"/>
                <w:i/>
                <w:sz w:val="18"/>
                <w:szCs w:val="18"/>
              </w:rPr>
              <w:t xml:space="preserve"> No. 200 dated December 11</w:t>
            </w:r>
            <w:r w:rsidR="00C92587">
              <w:rPr>
                <w:bCs w:val="0"/>
                <w:i/>
                <w:sz w:val="18"/>
                <w:szCs w:val="18"/>
              </w:rPr>
              <w:t>,</w:t>
            </w:r>
            <w:r w:rsidRPr="00F73213">
              <w:rPr>
                <w:bCs w:val="0"/>
                <w:i/>
                <w:sz w:val="18"/>
                <w:szCs w:val="18"/>
                <w:lang w:val="id-ID"/>
              </w:rPr>
              <w:t xml:space="preserve"> </w:t>
            </w:r>
            <w:r w:rsidRPr="00F73213">
              <w:rPr>
                <w:bCs w:val="0"/>
                <w:i/>
                <w:sz w:val="18"/>
                <w:szCs w:val="18"/>
              </w:rPr>
              <w:t>1992  of  Misahardi  Wilamarta  SH.</w:t>
            </w:r>
            <w:r w:rsidR="00C92587">
              <w:rPr>
                <w:bCs w:val="0"/>
                <w:i/>
                <w:sz w:val="18"/>
                <w:szCs w:val="18"/>
              </w:rPr>
              <w:t>,</w:t>
            </w:r>
            <w:r w:rsidRPr="00F73213">
              <w:rPr>
                <w:bCs w:val="0"/>
                <w:i/>
                <w:sz w:val="18"/>
                <w:szCs w:val="18"/>
              </w:rPr>
              <w:t xml:space="preserve">  Notary  in</w:t>
            </w:r>
            <w:r w:rsidRPr="00F73213">
              <w:rPr>
                <w:bCs w:val="0"/>
                <w:i/>
                <w:sz w:val="18"/>
                <w:szCs w:val="18"/>
                <w:lang w:val="id-ID"/>
              </w:rPr>
              <w:t xml:space="preserve"> </w:t>
            </w:r>
            <w:r w:rsidRPr="00F73213">
              <w:rPr>
                <w:bCs w:val="0"/>
                <w:i/>
                <w:sz w:val="18"/>
                <w:szCs w:val="18"/>
              </w:rPr>
              <w:t>Jakarta. The change of the Company’s name</w:t>
            </w:r>
            <w:r w:rsidRPr="00F73213">
              <w:rPr>
                <w:bCs w:val="0"/>
                <w:i/>
                <w:sz w:val="18"/>
                <w:szCs w:val="18"/>
                <w:lang w:val="id-ID"/>
              </w:rPr>
              <w:t xml:space="preserve"> </w:t>
            </w:r>
            <w:r w:rsidRPr="00F73213">
              <w:rPr>
                <w:bCs w:val="0"/>
                <w:i/>
                <w:sz w:val="18"/>
                <w:szCs w:val="18"/>
              </w:rPr>
              <w:t>was approved by the Minister of Justice of the</w:t>
            </w:r>
            <w:r w:rsidRPr="00F73213">
              <w:rPr>
                <w:bCs w:val="0"/>
                <w:i/>
                <w:sz w:val="18"/>
                <w:szCs w:val="18"/>
                <w:lang w:val="id-ID"/>
              </w:rPr>
              <w:t xml:space="preserve"> </w:t>
            </w:r>
            <w:r w:rsidRPr="00F73213">
              <w:rPr>
                <w:bCs w:val="0"/>
                <w:i/>
                <w:sz w:val="18"/>
                <w:szCs w:val="18"/>
              </w:rPr>
              <w:t xml:space="preserve">Republic     Indonesia    his    </w:t>
            </w:r>
            <w:proofErr w:type="gramStart"/>
            <w:r w:rsidRPr="00F73213">
              <w:rPr>
                <w:bCs w:val="0"/>
                <w:i/>
                <w:sz w:val="18"/>
                <w:szCs w:val="18"/>
              </w:rPr>
              <w:t>Decision  Letter</w:t>
            </w:r>
            <w:proofErr w:type="gramEnd"/>
            <w:r w:rsidRPr="00F73213">
              <w:t xml:space="preserve"> </w:t>
            </w:r>
            <w:r w:rsidRPr="00F73213">
              <w:rPr>
                <w:bCs w:val="0"/>
                <w:i/>
                <w:sz w:val="18"/>
                <w:szCs w:val="18"/>
              </w:rPr>
              <w:t>No.  C2-</w:t>
            </w:r>
            <w:proofErr w:type="gramStart"/>
            <w:r w:rsidRPr="00F73213">
              <w:rPr>
                <w:bCs w:val="0"/>
                <w:i/>
                <w:sz w:val="18"/>
                <w:szCs w:val="18"/>
              </w:rPr>
              <w:t>3786.HT.01.01.TH.93  dated</w:t>
            </w:r>
            <w:proofErr w:type="gramEnd"/>
            <w:r w:rsidRPr="00F73213">
              <w:rPr>
                <w:bCs w:val="0"/>
                <w:i/>
                <w:sz w:val="18"/>
                <w:szCs w:val="18"/>
              </w:rPr>
              <w:t xml:space="preserve">  May  26</w:t>
            </w:r>
            <w:r w:rsidR="00C92587">
              <w:rPr>
                <w:bCs w:val="0"/>
                <w:i/>
                <w:sz w:val="18"/>
                <w:szCs w:val="18"/>
              </w:rPr>
              <w:t>,</w:t>
            </w:r>
            <w:r w:rsidRPr="00F73213">
              <w:rPr>
                <w:bCs w:val="0"/>
                <w:i/>
                <w:sz w:val="18"/>
                <w:szCs w:val="18"/>
                <w:lang w:val="id-ID"/>
              </w:rPr>
              <w:t xml:space="preserve"> </w:t>
            </w:r>
            <w:r w:rsidRPr="00F73213">
              <w:rPr>
                <w:bCs w:val="0"/>
                <w:i/>
                <w:sz w:val="18"/>
                <w:szCs w:val="18"/>
              </w:rPr>
              <w:t>1993 and has been published in the of State</w:t>
            </w:r>
            <w:r w:rsidRPr="00F73213">
              <w:rPr>
                <w:bCs w:val="0"/>
                <w:i/>
                <w:sz w:val="18"/>
                <w:szCs w:val="18"/>
                <w:lang w:val="id-ID"/>
              </w:rPr>
              <w:t xml:space="preserve"> </w:t>
            </w:r>
            <w:r w:rsidRPr="00F73213">
              <w:rPr>
                <w:bCs w:val="0"/>
                <w:i/>
                <w:sz w:val="18"/>
                <w:szCs w:val="18"/>
              </w:rPr>
              <w:t>Gazette No. 104 Supplement No. 10967 dated</w:t>
            </w:r>
            <w:r w:rsidRPr="00F73213">
              <w:rPr>
                <w:bCs w:val="0"/>
                <w:i/>
                <w:sz w:val="18"/>
                <w:szCs w:val="18"/>
                <w:lang w:val="id-ID"/>
              </w:rPr>
              <w:t xml:space="preserve"> </w:t>
            </w:r>
            <w:r w:rsidRPr="00F73213">
              <w:rPr>
                <w:bCs w:val="0"/>
                <w:i/>
                <w:sz w:val="18"/>
                <w:szCs w:val="18"/>
              </w:rPr>
              <w:t>December 31</w:t>
            </w:r>
            <w:r w:rsidR="00C92587">
              <w:rPr>
                <w:bCs w:val="0"/>
                <w:i/>
                <w:sz w:val="18"/>
                <w:szCs w:val="18"/>
              </w:rPr>
              <w:t>,</w:t>
            </w:r>
            <w:r w:rsidRPr="00F73213">
              <w:rPr>
                <w:bCs w:val="0"/>
                <w:i/>
                <w:sz w:val="18"/>
                <w:szCs w:val="18"/>
              </w:rPr>
              <w:t xml:space="preserve"> 1994.</w:t>
            </w:r>
          </w:p>
        </w:tc>
      </w:tr>
      <w:tr w:rsidR="007A35C3" w:rsidRPr="00593332" w14:paraId="3CBBC200" w14:textId="77777777" w:rsidTr="00AD0892">
        <w:tc>
          <w:tcPr>
            <w:tcW w:w="4598" w:type="dxa"/>
          </w:tcPr>
          <w:p w14:paraId="3F48573E" w14:textId="77777777" w:rsidR="007A35C3" w:rsidRPr="00593332" w:rsidRDefault="007A35C3" w:rsidP="0013526B">
            <w:pPr>
              <w:ind w:left="624"/>
              <w:jc w:val="both"/>
              <w:rPr>
                <w:rStyle w:val="hps"/>
                <w:sz w:val="12"/>
                <w:szCs w:val="18"/>
                <w:highlight w:val="cyan"/>
              </w:rPr>
            </w:pPr>
          </w:p>
        </w:tc>
        <w:tc>
          <w:tcPr>
            <w:tcW w:w="4598" w:type="dxa"/>
          </w:tcPr>
          <w:p w14:paraId="5547C0C9" w14:textId="77777777" w:rsidR="007A35C3" w:rsidRPr="00593332" w:rsidRDefault="007A35C3" w:rsidP="0013526B">
            <w:pPr>
              <w:ind w:left="624"/>
              <w:jc w:val="both"/>
              <w:rPr>
                <w:bCs w:val="0"/>
                <w:i/>
                <w:sz w:val="12"/>
                <w:szCs w:val="18"/>
                <w:highlight w:val="cyan"/>
              </w:rPr>
            </w:pPr>
          </w:p>
        </w:tc>
      </w:tr>
      <w:tr w:rsidR="007A35C3" w:rsidRPr="00F73213" w14:paraId="6DF5F0A2" w14:textId="77777777" w:rsidTr="00AD0892">
        <w:tc>
          <w:tcPr>
            <w:tcW w:w="4598" w:type="dxa"/>
          </w:tcPr>
          <w:p w14:paraId="0A0E51D2" w14:textId="397E9BF4" w:rsidR="007A35C3" w:rsidRPr="00F73213" w:rsidRDefault="003F572B" w:rsidP="00C92587">
            <w:pPr>
              <w:ind w:left="652"/>
              <w:jc w:val="both"/>
              <w:rPr>
                <w:rStyle w:val="hps"/>
                <w:sz w:val="18"/>
                <w:szCs w:val="18"/>
              </w:rPr>
            </w:pPr>
            <w:r w:rsidRPr="00F73213">
              <w:rPr>
                <w:rStyle w:val="hps"/>
                <w:sz w:val="18"/>
                <w:szCs w:val="18"/>
              </w:rPr>
              <w:t>Anggaran Dasar Perusahaan telah beberapa kali mengalami perubahan</w:t>
            </w:r>
            <w:r w:rsidR="00C92587">
              <w:rPr>
                <w:rStyle w:val="hps"/>
                <w:sz w:val="18"/>
                <w:szCs w:val="18"/>
              </w:rPr>
              <w:t>,</w:t>
            </w:r>
            <w:r w:rsidRPr="00F73213">
              <w:rPr>
                <w:rStyle w:val="hps"/>
                <w:sz w:val="18"/>
                <w:szCs w:val="18"/>
              </w:rPr>
              <w:t xml:space="preserve"> terakhir dituangkan dalam     Akta Notaris</w:t>
            </w:r>
            <w:r w:rsidRPr="00F73213">
              <w:rPr>
                <w:rStyle w:val="hps"/>
                <w:sz w:val="18"/>
                <w:szCs w:val="18"/>
                <w:lang w:val="id-ID"/>
              </w:rPr>
              <w:t xml:space="preserve"> </w:t>
            </w:r>
            <w:r w:rsidRPr="00F73213">
              <w:rPr>
                <w:rStyle w:val="hps"/>
                <w:sz w:val="18"/>
                <w:szCs w:val="18"/>
              </w:rPr>
              <w:t>No.</w:t>
            </w:r>
            <w:r w:rsidRPr="00F73213">
              <w:rPr>
                <w:rStyle w:val="hps"/>
                <w:sz w:val="18"/>
                <w:szCs w:val="18"/>
                <w:lang w:val="id-ID"/>
              </w:rPr>
              <w:t xml:space="preserve"> </w:t>
            </w:r>
            <w:r w:rsidRPr="00F73213">
              <w:rPr>
                <w:rStyle w:val="hps"/>
                <w:sz w:val="18"/>
                <w:szCs w:val="18"/>
              </w:rPr>
              <w:t>1</w:t>
            </w:r>
            <w:r w:rsidR="006633E1">
              <w:rPr>
                <w:rStyle w:val="hps"/>
                <w:sz w:val="18"/>
                <w:szCs w:val="18"/>
              </w:rPr>
              <w:t>54</w:t>
            </w:r>
            <w:r w:rsidRPr="00F73213">
              <w:rPr>
                <w:rStyle w:val="hps"/>
                <w:sz w:val="18"/>
                <w:szCs w:val="18"/>
                <w:lang w:val="id-ID"/>
              </w:rPr>
              <w:t xml:space="preserve"> </w:t>
            </w:r>
            <w:r w:rsidRPr="00F73213">
              <w:rPr>
                <w:rStyle w:val="hps"/>
                <w:sz w:val="18"/>
                <w:szCs w:val="18"/>
              </w:rPr>
              <w:t>tanggal</w:t>
            </w:r>
            <w:r w:rsidRPr="00F73213">
              <w:rPr>
                <w:rStyle w:val="hps"/>
                <w:sz w:val="18"/>
                <w:szCs w:val="18"/>
                <w:lang w:val="id-ID"/>
              </w:rPr>
              <w:t xml:space="preserve"> </w:t>
            </w:r>
            <w:r w:rsidR="006633E1">
              <w:rPr>
                <w:rStyle w:val="hps"/>
                <w:sz w:val="18"/>
                <w:szCs w:val="18"/>
              </w:rPr>
              <w:t xml:space="preserve">20 Juli </w:t>
            </w:r>
            <w:r w:rsidRPr="00F73213">
              <w:rPr>
                <w:rStyle w:val="hps"/>
                <w:sz w:val="18"/>
                <w:szCs w:val="18"/>
              </w:rPr>
              <w:t>2018 dari Notaris Buntario Tigris Darmawa Ng</w:t>
            </w:r>
            <w:r w:rsidR="00870FD0">
              <w:rPr>
                <w:rStyle w:val="hps"/>
                <w:sz w:val="18"/>
                <w:szCs w:val="18"/>
              </w:rPr>
              <w:t>.</w:t>
            </w:r>
            <w:r w:rsidRPr="00F73213">
              <w:rPr>
                <w:rStyle w:val="hps"/>
                <w:sz w:val="18"/>
                <w:szCs w:val="18"/>
              </w:rPr>
              <w:t xml:space="preserve"> S.H.</w:t>
            </w:r>
            <w:r w:rsidR="00C92587">
              <w:rPr>
                <w:rStyle w:val="hps"/>
                <w:sz w:val="18"/>
                <w:szCs w:val="18"/>
              </w:rPr>
              <w:t>,</w:t>
            </w:r>
            <w:r w:rsidRPr="00F73213">
              <w:rPr>
                <w:rStyle w:val="hps"/>
                <w:sz w:val="18"/>
                <w:szCs w:val="18"/>
              </w:rPr>
              <w:t xml:space="preserve"> S.E.</w:t>
            </w:r>
            <w:r w:rsidR="00C92587">
              <w:rPr>
                <w:rStyle w:val="hps"/>
                <w:sz w:val="18"/>
                <w:szCs w:val="18"/>
              </w:rPr>
              <w:t>,</w:t>
            </w:r>
            <w:r w:rsidRPr="00F73213">
              <w:rPr>
                <w:rStyle w:val="hps"/>
                <w:sz w:val="18"/>
                <w:szCs w:val="18"/>
              </w:rPr>
              <w:t xml:space="preserve"> M.H.</w:t>
            </w:r>
            <w:r w:rsidR="00C92587">
              <w:rPr>
                <w:rStyle w:val="hps"/>
                <w:sz w:val="18"/>
                <w:szCs w:val="18"/>
              </w:rPr>
              <w:t>,</w:t>
            </w:r>
            <w:r w:rsidRPr="00F73213">
              <w:rPr>
                <w:rStyle w:val="hps"/>
                <w:sz w:val="18"/>
                <w:szCs w:val="18"/>
              </w:rPr>
              <w:t xml:space="preserve"> Notaris di Jakarta</w:t>
            </w:r>
            <w:r w:rsidR="00870FD0">
              <w:rPr>
                <w:rStyle w:val="hps"/>
                <w:sz w:val="18"/>
                <w:szCs w:val="18"/>
              </w:rPr>
              <w:t>.</w:t>
            </w:r>
            <w:r w:rsidRPr="00F73213">
              <w:rPr>
                <w:rStyle w:val="hps"/>
                <w:sz w:val="18"/>
                <w:szCs w:val="18"/>
                <w:lang w:val="id-ID"/>
              </w:rPr>
              <w:t xml:space="preserve"> </w:t>
            </w:r>
            <w:proofErr w:type="gramStart"/>
            <w:r w:rsidRPr="00F73213">
              <w:rPr>
                <w:rStyle w:val="hps"/>
                <w:sz w:val="18"/>
                <w:szCs w:val="18"/>
              </w:rPr>
              <w:t>sehubungan</w:t>
            </w:r>
            <w:proofErr w:type="gramEnd"/>
            <w:r w:rsidRPr="00F73213">
              <w:rPr>
                <w:rStyle w:val="hps"/>
                <w:sz w:val="18"/>
                <w:szCs w:val="18"/>
              </w:rPr>
              <w:t xml:space="preserve"> dengan  peningkatan modal ditempatkan dan disetor. Perubahan ini </w:t>
            </w:r>
            <w:proofErr w:type="gramStart"/>
            <w:r w:rsidRPr="00F73213">
              <w:rPr>
                <w:rStyle w:val="hps"/>
                <w:sz w:val="18"/>
                <w:szCs w:val="18"/>
              </w:rPr>
              <w:t>telah  disahkan</w:t>
            </w:r>
            <w:proofErr w:type="gramEnd"/>
            <w:r w:rsidRPr="00F73213">
              <w:rPr>
                <w:rStyle w:val="hps"/>
                <w:sz w:val="18"/>
                <w:szCs w:val="18"/>
              </w:rPr>
              <w:t xml:space="preserve"> oleh Menteri  Hukum  dan</w:t>
            </w:r>
            <w:r w:rsidRPr="00F73213">
              <w:rPr>
                <w:rStyle w:val="hps"/>
                <w:sz w:val="18"/>
                <w:szCs w:val="18"/>
                <w:lang w:val="id-ID"/>
              </w:rPr>
              <w:t xml:space="preserve"> </w:t>
            </w:r>
            <w:r w:rsidRPr="00F73213">
              <w:rPr>
                <w:rStyle w:val="hps"/>
                <w:sz w:val="18"/>
                <w:szCs w:val="18"/>
              </w:rPr>
              <w:t>Hak Asasi Manusia</w:t>
            </w:r>
            <w:r w:rsidRPr="00F73213">
              <w:rPr>
                <w:rStyle w:val="hps"/>
                <w:sz w:val="18"/>
                <w:szCs w:val="18"/>
                <w:lang w:val="id-ID"/>
              </w:rPr>
              <w:t xml:space="preserve"> </w:t>
            </w:r>
            <w:r w:rsidRPr="00F73213">
              <w:rPr>
                <w:rStyle w:val="hps"/>
                <w:sz w:val="18"/>
                <w:szCs w:val="18"/>
              </w:rPr>
              <w:t>Republik Indonesia dengan Surat Keputusan No. AHU-AH.01.03-</w:t>
            </w:r>
            <w:r w:rsidR="006633E1">
              <w:rPr>
                <w:rStyle w:val="hps"/>
                <w:sz w:val="18"/>
                <w:szCs w:val="18"/>
              </w:rPr>
              <w:t xml:space="preserve">0227614 </w:t>
            </w:r>
            <w:r w:rsidRPr="00F73213">
              <w:rPr>
                <w:rStyle w:val="hps"/>
                <w:sz w:val="18"/>
                <w:szCs w:val="18"/>
              </w:rPr>
              <w:t xml:space="preserve">tahun 2018 tanggal 31 </w:t>
            </w:r>
            <w:r w:rsidR="006633E1">
              <w:rPr>
                <w:rStyle w:val="hps"/>
                <w:sz w:val="18"/>
                <w:szCs w:val="18"/>
              </w:rPr>
              <w:t xml:space="preserve">Juli </w:t>
            </w:r>
            <w:r w:rsidRPr="00F73213">
              <w:rPr>
                <w:rStyle w:val="hps"/>
                <w:sz w:val="18"/>
                <w:szCs w:val="18"/>
              </w:rPr>
              <w:t>2018.</w:t>
            </w:r>
            <w:r w:rsidR="007A35C3" w:rsidRPr="00F73213">
              <w:rPr>
                <w:rStyle w:val="hps"/>
                <w:sz w:val="18"/>
                <w:szCs w:val="18"/>
              </w:rPr>
              <w:t xml:space="preserve"> </w:t>
            </w:r>
          </w:p>
        </w:tc>
        <w:tc>
          <w:tcPr>
            <w:tcW w:w="4598" w:type="dxa"/>
          </w:tcPr>
          <w:p w14:paraId="62659444" w14:textId="4B1FD136" w:rsidR="007A35C3" w:rsidRPr="00A84908" w:rsidRDefault="003F572B" w:rsidP="00A84908">
            <w:pPr>
              <w:ind w:left="652"/>
              <w:jc w:val="both"/>
              <w:rPr>
                <w:bCs w:val="0"/>
                <w:i/>
                <w:sz w:val="18"/>
                <w:szCs w:val="18"/>
              </w:rPr>
            </w:pPr>
            <w:r w:rsidRPr="00A84908">
              <w:rPr>
                <w:bCs w:val="0"/>
                <w:i/>
                <w:sz w:val="18"/>
                <w:szCs w:val="18"/>
              </w:rPr>
              <w:t>The Company’s Articles of Association have been amended several times</w:t>
            </w:r>
            <w:r w:rsidR="00870FD0">
              <w:rPr>
                <w:bCs w:val="0"/>
                <w:i/>
                <w:sz w:val="18"/>
                <w:szCs w:val="18"/>
              </w:rPr>
              <w:t>.</w:t>
            </w:r>
            <w:r w:rsidRPr="00A84908">
              <w:rPr>
                <w:bCs w:val="0"/>
                <w:i/>
                <w:sz w:val="18"/>
                <w:szCs w:val="18"/>
              </w:rPr>
              <w:t xml:space="preserve"> </w:t>
            </w:r>
            <w:proofErr w:type="gramStart"/>
            <w:r w:rsidRPr="00A84908">
              <w:rPr>
                <w:bCs w:val="0"/>
                <w:i/>
                <w:sz w:val="18"/>
                <w:szCs w:val="18"/>
              </w:rPr>
              <w:t>most</w:t>
            </w:r>
            <w:proofErr w:type="gramEnd"/>
            <w:r w:rsidRPr="00A84908">
              <w:rPr>
                <w:bCs w:val="0"/>
                <w:i/>
                <w:sz w:val="18"/>
                <w:szCs w:val="18"/>
              </w:rPr>
              <w:t xml:space="preserve"> recently by Notarial Deed No. </w:t>
            </w:r>
            <w:r w:rsidR="006633E1">
              <w:rPr>
                <w:bCs w:val="0"/>
                <w:i/>
                <w:sz w:val="18"/>
                <w:szCs w:val="18"/>
              </w:rPr>
              <w:t xml:space="preserve">154 </w:t>
            </w:r>
            <w:r w:rsidRPr="00A84908">
              <w:rPr>
                <w:bCs w:val="0"/>
                <w:i/>
                <w:sz w:val="18"/>
                <w:szCs w:val="18"/>
              </w:rPr>
              <w:t xml:space="preserve">dated </w:t>
            </w:r>
            <w:r w:rsidR="006633E1">
              <w:rPr>
                <w:bCs w:val="0"/>
                <w:i/>
                <w:sz w:val="18"/>
                <w:szCs w:val="18"/>
              </w:rPr>
              <w:t>July 20</w:t>
            </w:r>
            <w:r w:rsidR="00F216EB">
              <w:rPr>
                <w:bCs w:val="0"/>
                <w:i/>
                <w:sz w:val="18"/>
                <w:szCs w:val="18"/>
              </w:rPr>
              <w:t>,</w:t>
            </w:r>
            <w:r w:rsidRPr="00A84908">
              <w:rPr>
                <w:bCs w:val="0"/>
                <w:i/>
                <w:sz w:val="18"/>
                <w:szCs w:val="18"/>
              </w:rPr>
              <w:t xml:space="preserve"> 2018 of Notary Buntario Tigris Darmawa NG</w:t>
            </w:r>
            <w:r w:rsidR="00870FD0">
              <w:rPr>
                <w:bCs w:val="0"/>
                <w:i/>
                <w:sz w:val="18"/>
                <w:szCs w:val="18"/>
              </w:rPr>
              <w:t>.</w:t>
            </w:r>
            <w:r w:rsidRPr="00A84908">
              <w:rPr>
                <w:bCs w:val="0"/>
                <w:i/>
                <w:sz w:val="18"/>
                <w:szCs w:val="18"/>
              </w:rPr>
              <w:t xml:space="preserve"> S.H.</w:t>
            </w:r>
            <w:proofErr w:type="gramStart"/>
            <w:r w:rsidR="00F216EB">
              <w:rPr>
                <w:bCs w:val="0"/>
                <w:i/>
                <w:sz w:val="18"/>
                <w:szCs w:val="18"/>
              </w:rPr>
              <w:t>,</w:t>
            </w:r>
            <w:r w:rsidRPr="00A84908">
              <w:rPr>
                <w:bCs w:val="0"/>
                <w:i/>
                <w:sz w:val="18"/>
                <w:szCs w:val="18"/>
              </w:rPr>
              <w:t>S.E</w:t>
            </w:r>
            <w:proofErr w:type="gramEnd"/>
            <w:r w:rsidRPr="00A84908">
              <w:rPr>
                <w:bCs w:val="0"/>
                <w:i/>
                <w:sz w:val="18"/>
                <w:szCs w:val="18"/>
              </w:rPr>
              <w:t>.</w:t>
            </w:r>
            <w:r w:rsidR="00F216EB">
              <w:rPr>
                <w:bCs w:val="0"/>
                <w:i/>
                <w:sz w:val="18"/>
                <w:szCs w:val="18"/>
              </w:rPr>
              <w:t>,</w:t>
            </w:r>
            <w:r w:rsidRPr="00A84908">
              <w:rPr>
                <w:bCs w:val="0"/>
                <w:i/>
                <w:sz w:val="18"/>
                <w:szCs w:val="18"/>
              </w:rPr>
              <w:t xml:space="preserve"> M.H.</w:t>
            </w:r>
            <w:r w:rsidR="00F216EB">
              <w:rPr>
                <w:bCs w:val="0"/>
                <w:i/>
                <w:sz w:val="18"/>
                <w:szCs w:val="18"/>
              </w:rPr>
              <w:t>,</w:t>
            </w:r>
            <w:r w:rsidRPr="00A84908">
              <w:rPr>
                <w:bCs w:val="0"/>
                <w:i/>
                <w:sz w:val="18"/>
                <w:szCs w:val="18"/>
              </w:rPr>
              <w:t xml:space="preserve"> Notary in Jakarta</w:t>
            </w:r>
            <w:r w:rsidR="00870FD0">
              <w:rPr>
                <w:bCs w:val="0"/>
                <w:i/>
                <w:sz w:val="18"/>
                <w:szCs w:val="18"/>
              </w:rPr>
              <w:t>.</w:t>
            </w:r>
            <w:r w:rsidRPr="00A84908">
              <w:rPr>
                <w:bCs w:val="0"/>
                <w:i/>
                <w:sz w:val="18"/>
                <w:szCs w:val="18"/>
              </w:rPr>
              <w:t xml:space="preserve"> </w:t>
            </w:r>
            <w:proofErr w:type="gramStart"/>
            <w:r w:rsidRPr="00A84908">
              <w:rPr>
                <w:bCs w:val="0"/>
                <w:i/>
                <w:sz w:val="18"/>
                <w:szCs w:val="18"/>
              </w:rPr>
              <w:t>in</w:t>
            </w:r>
            <w:proofErr w:type="gramEnd"/>
            <w:r w:rsidRPr="00A84908">
              <w:rPr>
                <w:bCs w:val="0"/>
                <w:i/>
                <w:sz w:val="18"/>
                <w:szCs w:val="18"/>
              </w:rPr>
              <w:t xml:space="preserve"> regards to changes in authorized and additional paid in capital. This change was approved by the Minister of Law and Human Rights of the Republic of Indonesia by his Decision Letter No.  AHU-AH.01.03-</w:t>
            </w:r>
            <w:r w:rsidR="006633E1">
              <w:rPr>
                <w:bCs w:val="0"/>
                <w:i/>
                <w:sz w:val="18"/>
                <w:szCs w:val="18"/>
              </w:rPr>
              <w:t xml:space="preserve">0227614 </w:t>
            </w:r>
            <w:r w:rsidRPr="00A84908">
              <w:rPr>
                <w:bCs w:val="0"/>
                <w:i/>
                <w:sz w:val="18"/>
                <w:szCs w:val="18"/>
              </w:rPr>
              <w:t xml:space="preserve">year 2018 dated </w:t>
            </w:r>
            <w:r w:rsidR="006633E1">
              <w:rPr>
                <w:bCs w:val="0"/>
                <w:i/>
                <w:sz w:val="18"/>
                <w:szCs w:val="18"/>
              </w:rPr>
              <w:t>July</w:t>
            </w:r>
            <w:r w:rsidRPr="00A84908">
              <w:rPr>
                <w:bCs w:val="0"/>
                <w:i/>
                <w:sz w:val="18"/>
                <w:szCs w:val="18"/>
              </w:rPr>
              <w:t xml:space="preserve"> 31</w:t>
            </w:r>
            <w:r w:rsidR="00F216EB">
              <w:rPr>
                <w:bCs w:val="0"/>
                <w:i/>
                <w:sz w:val="18"/>
                <w:szCs w:val="18"/>
              </w:rPr>
              <w:t>,</w:t>
            </w:r>
            <w:r w:rsidRPr="00A84908">
              <w:rPr>
                <w:bCs w:val="0"/>
                <w:i/>
                <w:sz w:val="18"/>
                <w:szCs w:val="18"/>
              </w:rPr>
              <w:t xml:space="preserve"> 2018.</w:t>
            </w:r>
          </w:p>
        </w:tc>
      </w:tr>
      <w:tr w:rsidR="007A35C3" w:rsidRPr="00F73213" w14:paraId="228D4872" w14:textId="77777777" w:rsidTr="00AD0892">
        <w:tc>
          <w:tcPr>
            <w:tcW w:w="4598" w:type="dxa"/>
          </w:tcPr>
          <w:p w14:paraId="0F1D6154" w14:textId="77777777" w:rsidR="007A35C3" w:rsidRPr="00F73213" w:rsidRDefault="007A35C3" w:rsidP="0013526B">
            <w:pPr>
              <w:ind w:left="624"/>
              <w:jc w:val="both"/>
              <w:rPr>
                <w:rStyle w:val="hps"/>
                <w:sz w:val="12"/>
                <w:szCs w:val="18"/>
              </w:rPr>
            </w:pPr>
          </w:p>
        </w:tc>
        <w:tc>
          <w:tcPr>
            <w:tcW w:w="4598" w:type="dxa"/>
          </w:tcPr>
          <w:p w14:paraId="752B8B56" w14:textId="77777777" w:rsidR="007A35C3" w:rsidRPr="00A84908" w:rsidRDefault="007A35C3" w:rsidP="00A84908">
            <w:pPr>
              <w:ind w:left="652"/>
              <w:jc w:val="both"/>
              <w:rPr>
                <w:bCs w:val="0"/>
                <w:i/>
                <w:sz w:val="18"/>
                <w:szCs w:val="18"/>
              </w:rPr>
            </w:pPr>
          </w:p>
        </w:tc>
      </w:tr>
      <w:tr w:rsidR="007A35C3" w:rsidRPr="00070E2F" w14:paraId="7B5E8177" w14:textId="77777777" w:rsidTr="00AD0892">
        <w:tc>
          <w:tcPr>
            <w:tcW w:w="4598" w:type="dxa"/>
          </w:tcPr>
          <w:p w14:paraId="21210DF7" w14:textId="6CD32FE1" w:rsidR="007A35C3" w:rsidRPr="00F73213" w:rsidRDefault="003F572B" w:rsidP="003C1A26">
            <w:pPr>
              <w:ind w:left="652"/>
              <w:jc w:val="both"/>
              <w:rPr>
                <w:rStyle w:val="hps"/>
                <w:sz w:val="18"/>
                <w:szCs w:val="18"/>
              </w:rPr>
            </w:pPr>
            <w:r w:rsidRPr="00F73213">
              <w:rPr>
                <w:rStyle w:val="hps"/>
                <w:sz w:val="18"/>
                <w:szCs w:val="18"/>
              </w:rPr>
              <w:t xml:space="preserve">Sesuai dengan Pasal 3 Anggaran Dasar Perusahaan yang telah disesuaikan dengan Peraturan Kepala Badan Pusat Statistik </w:t>
            </w:r>
            <w:r w:rsidR="00D07AA2">
              <w:rPr>
                <w:rStyle w:val="hps"/>
                <w:sz w:val="18"/>
                <w:szCs w:val="18"/>
              </w:rPr>
              <w:t>N</w:t>
            </w:r>
            <w:r w:rsidRPr="00F73213">
              <w:rPr>
                <w:rStyle w:val="hps"/>
                <w:sz w:val="18"/>
                <w:szCs w:val="18"/>
              </w:rPr>
              <w:t>o</w:t>
            </w:r>
            <w:r w:rsidR="00566DA5">
              <w:rPr>
                <w:rStyle w:val="hps"/>
                <w:sz w:val="18"/>
                <w:szCs w:val="18"/>
              </w:rPr>
              <w:t>.</w:t>
            </w:r>
            <w:r w:rsidRPr="00F73213">
              <w:rPr>
                <w:rStyle w:val="hps"/>
                <w:sz w:val="18"/>
                <w:szCs w:val="18"/>
              </w:rPr>
              <w:t xml:space="preserve"> 19 tahun  2017  yang  dituangkan  dalam  akta  No</w:t>
            </w:r>
            <w:r w:rsidRPr="00A84908">
              <w:rPr>
                <w:rStyle w:val="hps"/>
                <w:sz w:val="18"/>
                <w:szCs w:val="18"/>
              </w:rPr>
              <w:t xml:space="preserve">. </w:t>
            </w:r>
            <w:r w:rsidRPr="00F73213">
              <w:rPr>
                <w:rStyle w:val="hps"/>
                <w:sz w:val="18"/>
                <w:szCs w:val="18"/>
              </w:rPr>
              <w:t xml:space="preserve">2540 tanggal 27 Juni 2019 oleh Notaris di Jakarta </w:t>
            </w:r>
            <w:r w:rsidR="00D07AA2">
              <w:rPr>
                <w:rStyle w:val="hps"/>
                <w:sz w:val="18"/>
                <w:szCs w:val="18"/>
              </w:rPr>
              <w:br/>
            </w:r>
            <w:r w:rsidRPr="00F73213">
              <w:rPr>
                <w:rStyle w:val="hps"/>
                <w:sz w:val="18"/>
                <w:szCs w:val="18"/>
              </w:rPr>
              <w:t>Recky Francky Limpele</w:t>
            </w:r>
            <w:r w:rsidR="003C1A26">
              <w:rPr>
                <w:rStyle w:val="hps"/>
                <w:sz w:val="18"/>
                <w:szCs w:val="18"/>
              </w:rPr>
              <w:t>,</w:t>
            </w:r>
            <w:r w:rsidRPr="00F73213">
              <w:rPr>
                <w:rStyle w:val="hps"/>
                <w:sz w:val="18"/>
                <w:szCs w:val="18"/>
              </w:rPr>
              <w:t xml:space="preserve"> S.H</w:t>
            </w:r>
            <w:r w:rsidR="00870FD0">
              <w:rPr>
                <w:rStyle w:val="hps"/>
                <w:sz w:val="18"/>
                <w:szCs w:val="18"/>
              </w:rPr>
              <w:t>.</w:t>
            </w:r>
            <w:r w:rsidRPr="00F73213">
              <w:rPr>
                <w:rStyle w:val="hps"/>
                <w:sz w:val="18"/>
                <w:szCs w:val="18"/>
              </w:rPr>
              <w:t xml:space="preserve"> </w:t>
            </w:r>
            <w:r w:rsidR="00566DA5">
              <w:rPr>
                <w:rStyle w:val="hps"/>
                <w:sz w:val="18"/>
                <w:szCs w:val="18"/>
              </w:rPr>
              <w:t xml:space="preserve">dan mendapatkan pengesahan No. AHU-0036352.AH.01.02 tahun 2019 tanggal 11 Juli 2019 dengan </w:t>
            </w:r>
            <w:r w:rsidRPr="00F73213">
              <w:rPr>
                <w:rStyle w:val="hps"/>
                <w:sz w:val="18"/>
                <w:szCs w:val="18"/>
              </w:rPr>
              <w:t>kegiatan usaha yang dilaksanakan oleh Perusahaan adalah memberikan jasa pelayanan medik.</w:t>
            </w:r>
          </w:p>
        </w:tc>
        <w:tc>
          <w:tcPr>
            <w:tcW w:w="4598" w:type="dxa"/>
          </w:tcPr>
          <w:p w14:paraId="0C217A53" w14:textId="16FF09B3" w:rsidR="007A35C3" w:rsidRPr="00F73213" w:rsidRDefault="00566DA5" w:rsidP="003C1A26">
            <w:pPr>
              <w:ind w:left="652"/>
              <w:jc w:val="both"/>
              <w:rPr>
                <w:bCs w:val="0"/>
                <w:i/>
                <w:sz w:val="18"/>
                <w:szCs w:val="18"/>
              </w:rPr>
            </w:pPr>
            <w:r w:rsidRPr="00566DA5">
              <w:rPr>
                <w:bCs w:val="0"/>
                <w:i/>
                <w:sz w:val="18"/>
                <w:szCs w:val="18"/>
              </w:rPr>
              <w:t xml:space="preserve">In accordance with Article 3 of the Company's Articles of Association which have been adapted to the Head of the Central Statistics Agency No. 19 of 2017 as outlined in deed No. 2540 dated </w:t>
            </w:r>
            <w:r w:rsidR="00E73CC0">
              <w:rPr>
                <w:bCs w:val="0"/>
                <w:i/>
                <w:sz w:val="18"/>
                <w:szCs w:val="18"/>
              </w:rPr>
              <w:br/>
            </w:r>
            <w:r w:rsidRPr="00566DA5">
              <w:rPr>
                <w:bCs w:val="0"/>
                <w:i/>
                <w:sz w:val="18"/>
                <w:szCs w:val="18"/>
              </w:rPr>
              <w:t>June 27</w:t>
            </w:r>
            <w:r w:rsidR="00F216EB">
              <w:rPr>
                <w:bCs w:val="0"/>
                <w:i/>
                <w:sz w:val="18"/>
                <w:szCs w:val="18"/>
              </w:rPr>
              <w:t>,</w:t>
            </w:r>
            <w:r w:rsidRPr="00566DA5">
              <w:rPr>
                <w:bCs w:val="0"/>
                <w:i/>
                <w:sz w:val="18"/>
                <w:szCs w:val="18"/>
              </w:rPr>
              <w:t xml:space="preserve"> 2019 by a Notary in Jakarta</w:t>
            </w:r>
            <w:r>
              <w:rPr>
                <w:bCs w:val="0"/>
                <w:i/>
                <w:sz w:val="18"/>
                <w:szCs w:val="18"/>
              </w:rPr>
              <w:t xml:space="preserve"> </w:t>
            </w:r>
            <w:r>
              <w:rPr>
                <w:bCs w:val="0"/>
                <w:i/>
                <w:sz w:val="18"/>
                <w:szCs w:val="18"/>
              </w:rPr>
              <w:br/>
            </w:r>
            <w:r w:rsidRPr="00566DA5">
              <w:rPr>
                <w:bCs w:val="0"/>
                <w:i/>
                <w:sz w:val="18"/>
                <w:szCs w:val="18"/>
              </w:rPr>
              <w:t>Recky Francky Limpele</w:t>
            </w:r>
            <w:r w:rsidR="003C1A26">
              <w:rPr>
                <w:bCs w:val="0"/>
                <w:i/>
                <w:sz w:val="18"/>
                <w:szCs w:val="18"/>
              </w:rPr>
              <w:t>,</w:t>
            </w:r>
            <w:r w:rsidRPr="00566DA5">
              <w:rPr>
                <w:bCs w:val="0"/>
                <w:i/>
                <w:sz w:val="18"/>
                <w:szCs w:val="18"/>
              </w:rPr>
              <w:t xml:space="preserve"> S.H</w:t>
            </w:r>
            <w:r w:rsidR="00870FD0">
              <w:rPr>
                <w:bCs w:val="0"/>
                <w:i/>
                <w:sz w:val="18"/>
                <w:szCs w:val="18"/>
              </w:rPr>
              <w:t>.</w:t>
            </w:r>
            <w:r w:rsidRPr="00566DA5">
              <w:rPr>
                <w:bCs w:val="0"/>
                <w:i/>
                <w:sz w:val="18"/>
                <w:szCs w:val="18"/>
              </w:rPr>
              <w:t xml:space="preserve"> and received approval No. AHU-0036352.AH.01.02 of 2019 dated </w:t>
            </w:r>
            <w:r>
              <w:rPr>
                <w:bCs w:val="0"/>
                <w:i/>
                <w:sz w:val="18"/>
                <w:szCs w:val="18"/>
              </w:rPr>
              <w:br/>
            </w:r>
            <w:r w:rsidRPr="00566DA5">
              <w:rPr>
                <w:bCs w:val="0"/>
                <w:i/>
                <w:sz w:val="18"/>
                <w:szCs w:val="18"/>
              </w:rPr>
              <w:t>July 11</w:t>
            </w:r>
            <w:r w:rsidR="00F216EB">
              <w:rPr>
                <w:bCs w:val="0"/>
                <w:i/>
                <w:sz w:val="18"/>
                <w:szCs w:val="18"/>
              </w:rPr>
              <w:t>,</w:t>
            </w:r>
            <w:r w:rsidRPr="00566DA5">
              <w:rPr>
                <w:bCs w:val="0"/>
                <w:i/>
                <w:sz w:val="18"/>
                <w:szCs w:val="18"/>
              </w:rPr>
              <w:t xml:space="preserve"> 2019 with business activities carried out by the Company to provide medical services.</w:t>
            </w:r>
          </w:p>
        </w:tc>
      </w:tr>
      <w:tr w:rsidR="007A35C3" w:rsidRPr="00070E2F" w14:paraId="13B7CFDC" w14:textId="77777777" w:rsidTr="00AD0892">
        <w:tc>
          <w:tcPr>
            <w:tcW w:w="4598" w:type="dxa"/>
          </w:tcPr>
          <w:p w14:paraId="73999EB9" w14:textId="77777777" w:rsidR="007A35C3" w:rsidRPr="00A84908" w:rsidRDefault="007A35C3" w:rsidP="00A84908">
            <w:pPr>
              <w:ind w:left="652"/>
              <w:jc w:val="both"/>
              <w:rPr>
                <w:rStyle w:val="hps"/>
                <w:sz w:val="18"/>
                <w:szCs w:val="18"/>
              </w:rPr>
            </w:pPr>
          </w:p>
        </w:tc>
        <w:tc>
          <w:tcPr>
            <w:tcW w:w="4598" w:type="dxa"/>
          </w:tcPr>
          <w:p w14:paraId="676B2002" w14:textId="77777777" w:rsidR="007A35C3" w:rsidRPr="00070E2F" w:rsidRDefault="007A35C3" w:rsidP="0013526B">
            <w:pPr>
              <w:ind w:left="624"/>
              <w:jc w:val="both"/>
              <w:rPr>
                <w:bCs w:val="0"/>
                <w:i/>
                <w:sz w:val="12"/>
                <w:szCs w:val="18"/>
                <w:highlight w:val="green"/>
              </w:rPr>
            </w:pPr>
          </w:p>
        </w:tc>
      </w:tr>
      <w:tr w:rsidR="007A35C3" w:rsidRPr="00070E2F" w14:paraId="5A5F3D93" w14:textId="77777777" w:rsidTr="00AD0892">
        <w:tc>
          <w:tcPr>
            <w:tcW w:w="4598" w:type="dxa"/>
          </w:tcPr>
          <w:p w14:paraId="0DADEA51" w14:textId="4F7241B3" w:rsidR="007A35C3" w:rsidRPr="00A84908" w:rsidRDefault="00D76295" w:rsidP="00F216EB">
            <w:pPr>
              <w:ind w:left="652"/>
              <w:jc w:val="both"/>
              <w:rPr>
                <w:rStyle w:val="hps"/>
                <w:sz w:val="18"/>
                <w:szCs w:val="18"/>
              </w:rPr>
            </w:pPr>
            <w:proofErr w:type="gramStart"/>
            <w:r w:rsidRPr="00A84908">
              <w:rPr>
                <w:rStyle w:val="hps"/>
                <w:sz w:val="18"/>
                <w:szCs w:val="18"/>
              </w:rPr>
              <w:t>Perusahaan  memperoleh</w:t>
            </w:r>
            <w:proofErr w:type="gramEnd"/>
            <w:r w:rsidRPr="00A84908">
              <w:rPr>
                <w:rStyle w:val="hps"/>
                <w:sz w:val="18"/>
                <w:szCs w:val="18"/>
              </w:rPr>
              <w:t xml:space="preserve">  izin  operasional rumah sakit dari Departemen Kesehatan Republik Indonesia dalam Surat Keputusannya No. YM.02.04.3.5.02690 tanggal 14 Juni 1995 yang berlaku sampai 14 Juni 2000. Izin operasi ini telah diperpanjang beberapa kali</w:t>
            </w:r>
            <w:r w:rsidR="00F216EB">
              <w:rPr>
                <w:rStyle w:val="hps"/>
                <w:sz w:val="18"/>
                <w:szCs w:val="18"/>
              </w:rPr>
              <w:t>,</w:t>
            </w:r>
            <w:r w:rsidRPr="00A84908">
              <w:rPr>
                <w:rStyle w:val="hps"/>
                <w:sz w:val="18"/>
                <w:szCs w:val="18"/>
              </w:rPr>
              <w:t xml:space="preserve"> terakhir melalui Keputusan Kepala Badan Koordinasi Penanaman Modal dan Pelayanan Terpadu Provinsi  </w:t>
            </w:r>
            <w:r w:rsidR="00E3194F">
              <w:rPr>
                <w:rStyle w:val="hps"/>
                <w:sz w:val="18"/>
                <w:szCs w:val="18"/>
              </w:rPr>
              <w:br/>
            </w:r>
            <w:r w:rsidRPr="00A84908">
              <w:rPr>
                <w:rStyle w:val="hps"/>
                <w:sz w:val="18"/>
                <w:szCs w:val="18"/>
              </w:rPr>
              <w:t xml:space="preserve">Banten atas nama Gubernur Banten </w:t>
            </w:r>
            <w:r w:rsidR="00E3194F">
              <w:rPr>
                <w:rStyle w:val="hps"/>
                <w:sz w:val="18"/>
                <w:szCs w:val="18"/>
              </w:rPr>
              <w:br/>
            </w:r>
            <w:r w:rsidRPr="00A84908">
              <w:rPr>
                <w:rStyle w:val="hps"/>
                <w:sz w:val="18"/>
                <w:szCs w:val="18"/>
              </w:rPr>
              <w:t>No. 06/36/IOT/Kes/BKPMPT/2015 tertanggal</w:t>
            </w:r>
            <w:r w:rsidR="00E3194F">
              <w:rPr>
                <w:rStyle w:val="hps"/>
                <w:sz w:val="18"/>
                <w:szCs w:val="18"/>
              </w:rPr>
              <w:t xml:space="preserve"> </w:t>
            </w:r>
            <w:r w:rsidRPr="00A84908">
              <w:rPr>
                <w:rStyle w:val="hps"/>
                <w:sz w:val="18"/>
                <w:szCs w:val="18"/>
              </w:rPr>
              <w:t>9 Juli 2015</w:t>
            </w:r>
            <w:r w:rsidR="00F216EB">
              <w:rPr>
                <w:rStyle w:val="hps"/>
                <w:sz w:val="18"/>
                <w:szCs w:val="18"/>
              </w:rPr>
              <w:t>,</w:t>
            </w:r>
            <w:r w:rsidRPr="00A84908">
              <w:rPr>
                <w:rStyle w:val="hps"/>
                <w:sz w:val="18"/>
                <w:szCs w:val="18"/>
              </w:rPr>
              <w:t xml:space="preserve"> dan berlaku selama lima tahun yang berakhir pada tanggal 9 Juli 2020.</w:t>
            </w:r>
          </w:p>
        </w:tc>
        <w:tc>
          <w:tcPr>
            <w:tcW w:w="4598" w:type="dxa"/>
          </w:tcPr>
          <w:p w14:paraId="6402CC29" w14:textId="1C94D421" w:rsidR="007A35C3" w:rsidRPr="00D07AA2" w:rsidRDefault="00D76295" w:rsidP="003C1A26">
            <w:pPr>
              <w:ind w:left="652"/>
              <w:jc w:val="both"/>
              <w:rPr>
                <w:i/>
                <w:sz w:val="18"/>
                <w:szCs w:val="18"/>
              </w:rPr>
            </w:pPr>
            <w:r w:rsidRPr="00D07AA2">
              <w:rPr>
                <w:i/>
                <w:sz w:val="18"/>
                <w:szCs w:val="18"/>
              </w:rPr>
              <w:t>The Company obtained permit from Ministry of health of the Republic Indonesia in his decision letter No. YM.02.04.3.5.02690 dated June 14</w:t>
            </w:r>
            <w:r w:rsidR="00F216EB">
              <w:rPr>
                <w:i/>
                <w:sz w:val="18"/>
                <w:szCs w:val="18"/>
              </w:rPr>
              <w:t>,</w:t>
            </w:r>
            <w:r w:rsidRPr="00A84908">
              <w:rPr>
                <w:i/>
                <w:sz w:val="18"/>
                <w:szCs w:val="18"/>
              </w:rPr>
              <w:t xml:space="preserve"> </w:t>
            </w:r>
            <w:r w:rsidRPr="00D07AA2">
              <w:rPr>
                <w:i/>
                <w:sz w:val="18"/>
                <w:szCs w:val="18"/>
              </w:rPr>
              <w:t>1995 for the period until June 14</w:t>
            </w:r>
            <w:r w:rsidR="00870FD0">
              <w:rPr>
                <w:i/>
                <w:sz w:val="18"/>
                <w:szCs w:val="18"/>
              </w:rPr>
              <w:t>.</w:t>
            </w:r>
            <w:r w:rsidRPr="00D07AA2">
              <w:rPr>
                <w:i/>
                <w:sz w:val="18"/>
                <w:szCs w:val="18"/>
              </w:rPr>
              <w:t xml:space="preserve"> 2000.</w:t>
            </w:r>
            <w:r w:rsidRPr="00A84908">
              <w:rPr>
                <w:i/>
                <w:sz w:val="18"/>
                <w:szCs w:val="18"/>
              </w:rPr>
              <w:t xml:space="preserve"> </w:t>
            </w:r>
            <w:r w:rsidRPr="00D07AA2">
              <w:rPr>
                <w:i/>
                <w:sz w:val="18"/>
                <w:szCs w:val="18"/>
              </w:rPr>
              <w:t>This permit have been extended several times</w:t>
            </w:r>
            <w:r w:rsidR="00870FD0">
              <w:rPr>
                <w:i/>
                <w:sz w:val="18"/>
                <w:szCs w:val="18"/>
              </w:rPr>
              <w:t>.</w:t>
            </w:r>
            <w:r w:rsidRPr="00A84908">
              <w:rPr>
                <w:i/>
                <w:sz w:val="18"/>
                <w:szCs w:val="18"/>
              </w:rPr>
              <w:t xml:space="preserve"> </w:t>
            </w:r>
            <w:r w:rsidRPr="00D07AA2">
              <w:rPr>
                <w:i/>
                <w:sz w:val="18"/>
                <w:szCs w:val="18"/>
              </w:rPr>
              <w:t xml:space="preserve">most recently by Decree of Head of </w:t>
            </w:r>
            <w:r w:rsidRPr="00A84908">
              <w:rPr>
                <w:i/>
                <w:sz w:val="18"/>
                <w:szCs w:val="18"/>
              </w:rPr>
              <w:t>Investmen</w:t>
            </w:r>
            <w:r w:rsidRPr="00D07AA2">
              <w:rPr>
                <w:i/>
                <w:sz w:val="18"/>
                <w:szCs w:val="18"/>
              </w:rPr>
              <w:t xml:space="preserve"> Coordinating Board and Integrated Service</w:t>
            </w:r>
            <w:r w:rsidRPr="00A84908">
              <w:rPr>
                <w:i/>
                <w:sz w:val="18"/>
                <w:szCs w:val="18"/>
              </w:rPr>
              <w:t xml:space="preserve"> </w:t>
            </w:r>
            <w:r w:rsidRPr="00D07AA2">
              <w:rPr>
                <w:i/>
                <w:sz w:val="18"/>
                <w:szCs w:val="18"/>
              </w:rPr>
              <w:t xml:space="preserve">sof Banten Province </w:t>
            </w:r>
            <w:r w:rsidR="00D07AA2">
              <w:rPr>
                <w:i/>
                <w:sz w:val="18"/>
                <w:szCs w:val="18"/>
              </w:rPr>
              <w:br/>
            </w:r>
            <w:r w:rsidRPr="00D07AA2">
              <w:rPr>
                <w:i/>
                <w:sz w:val="18"/>
                <w:szCs w:val="18"/>
              </w:rPr>
              <w:t xml:space="preserve">on behalf of Governor of Banten </w:t>
            </w:r>
            <w:r w:rsidR="00D07AA2">
              <w:rPr>
                <w:i/>
                <w:sz w:val="18"/>
                <w:szCs w:val="18"/>
              </w:rPr>
              <w:br/>
            </w:r>
            <w:r w:rsidRPr="00D07AA2">
              <w:rPr>
                <w:i/>
                <w:sz w:val="18"/>
                <w:szCs w:val="18"/>
              </w:rPr>
              <w:t>No.</w:t>
            </w:r>
            <w:r w:rsidR="00D07AA2">
              <w:rPr>
                <w:i/>
                <w:sz w:val="18"/>
                <w:szCs w:val="18"/>
              </w:rPr>
              <w:t xml:space="preserve"> </w:t>
            </w:r>
            <w:r w:rsidRPr="00D07AA2">
              <w:rPr>
                <w:i/>
                <w:sz w:val="18"/>
                <w:szCs w:val="18"/>
              </w:rPr>
              <w:t xml:space="preserve">06/36/IOT/Kes/BKPMPT/2015 dated  </w:t>
            </w:r>
            <w:r w:rsidR="00D07AA2" w:rsidRPr="00A84908">
              <w:rPr>
                <w:i/>
                <w:sz w:val="18"/>
                <w:szCs w:val="18"/>
              </w:rPr>
              <w:br/>
            </w:r>
            <w:r w:rsidRPr="00D07AA2">
              <w:rPr>
                <w:i/>
                <w:sz w:val="18"/>
                <w:szCs w:val="18"/>
              </w:rPr>
              <w:t>July  9</w:t>
            </w:r>
            <w:r w:rsidR="00F216EB">
              <w:rPr>
                <w:i/>
                <w:sz w:val="18"/>
                <w:szCs w:val="18"/>
              </w:rPr>
              <w:t>,</w:t>
            </w:r>
            <w:r w:rsidRPr="00D07AA2">
              <w:rPr>
                <w:i/>
                <w:sz w:val="18"/>
                <w:szCs w:val="18"/>
              </w:rPr>
              <w:t xml:space="preserve">  2015</w:t>
            </w:r>
            <w:r w:rsidR="003C1A26">
              <w:rPr>
                <w:i/>
                <w:sz w:val="18"/>
                <w:szCs w:val="18"/>
              </w:rPr>
              <w:t>,</w:t>
            </w:r>
            <w:r w:rsidRPr="00D07AA2">
              <w:rPr>
                <w:i/>
                <w:sz w:val="18"/>
                <w:szCs w:val="18"/>
              </w:rPr>
              <w:t xml:space="preserve">  and  valid for  five  years period until July 9</w:t>
            </w:r>
            <w:r w:rsidR="00F216EB">
              <w:rPr>
                <w:i/>
                <w:sz w:val="18"/>
                <w:szCs w:val="18"/>
              </w:rPr>
              <w:t>,</w:t>
            </w:r>
            <w:r w:rsidRPr="00D07AA2">
              <w:rPr>
                <w:i/>
                <w:sz w:val="18"/>
                <w:szCs w:val="18"/>
              </w:rPr>
              <w:t xml:space="preserve"> 2020</w:t>
            </w:r>
            <w:r w:rsidR="007A35C3" w:rsidRPr="00D07AA2">
              <w:rPr>
                <w:i/>
                <w:sz w:val="18"/>
                <w:szCs w:val="18"/>
              </w:rPr>
              <w:t xml:space="preserve">. </w:t>
            </w:r>
          </w:p>
        </w:tc>
      </w:tr>
      <w:tr w:rsidR="007A35C3" w:rsidRPr="00070E2F" w14:paraId="3D7D4F8F" w14:textId="77777777" w:rsidTr="00AD0892">
        <w:tc>
          <w:tcPr>
            <w:tcW w:w="4598" w:type="dxa"/>
          </w:tcPr>
          <w:p w14:paraId="12CA13D6" w14:textId="77777777" w:rsidR="007A35C3" w:rsidRPr="00070E2F" w:rsidRDefault="007A35C3" w:rsidP="0013526B">
            <w:pPr>
              <w:ind w:left="624"/>
              <w:jc w:val="both"/>
              <w:rPr>
                <w:rStyle w:val="hps"/>
                <w:sz w:val="12"/>
                <w:szCs w:val="18"/>
                <w:highlight w:val="green"/>
              </w:rPr>
            </w:pPr>
          </w:p>
        </w:tc>
        <w:tc>
          <w:tcPr>
            <w:tcW w:w="4598" w:type="dxa"/>
          </w:tcPr>
          <w:p w14:paraId="6D67ADA4" w14:textId="77777777" w:rsidR="007A35C3" w:rsidRPr="00070E2F" w:rsidRDefault="007A35C3" w:rsidP="0013526B">
            <w:pPr>
              <w:ind w:left="624"/>
              <w:jc w:val="both"/>
              <w:rPr>
                <w:bCs w:val="0"/>
                <w:i/>
                <w:sz w:val="12"/>
                <w:szCs w:val="18"/>
                <w:highlight w:val="green"/>
              </w:rPr>
            </w:pPr>
          </w:p>
        </w:tc>
      </w:tr>
    </w:tbl>
    <w:p w14:paraId="77691922" w14:textId="7F2912B7" w:rsidR="00AF2889" w:rsidRDefault="00AF2889" w:rsidP="00AF2889">
      <w:pPr>
        <w:tabs>
          <w:tab w:val="left" w:pos="1302"/>
        </w:tabs>
        <w:rPr>
          <w:rStyle w:val="hps"/>
          <w:sz w:val="18"/>
          <w:szCs w:val="18"/>
          <w:highlight w:val="green"/>
        </w:rPr>
        <w:sectPr w:rsidR="00AF2889" w:rsidSect="002574B3">
          <w:headerReference w:type="even" r:id="rId34"/>
          <w:headerReference w:type="default" r:id="rId35"/>
          <w:footerReference w:type="default" r:id="rId36"/>
          <w:headerReference w:type="first" r:id="rId37"/>
          <w:pgSz w:w="11907" w:h="16839" w:code="9"/>
          <w:pgMar w:top="1543" w:right="1100" w:bottom="278" w:left="1281" w:header="850" w:footer="397" w:gutter="0"/>
          <w:cols w:space="708"/>
          <w:noEndnote/>
          <w:docGrid w:linePitch="326"/>
        </w:sectPr>
      </w:pPr>
    </w:p>
    <w:tbl>
      <w:tblPr>
        <w:tblW w:w="9197" w:type="dxa"/>
        <w:tblInd w:w="392" w:type="dxa"/>
        <w:tblLayout w:type="fixed"/>
        <w:tblLook w:val="0000" w:firstRow="0" w:lastRow="0" w:firstColumn="0" w:lastColumn="0" w:noHBand="0" w:noVBand="0"/>
      </w:tblPr>
      <w:tblGrid>
        <w:gridCol w:w="4598"/>
        <w:gridCol w:w="4599"/>
      </w:tblGrid>
      <w:tr w:rsidR="007A35C3" w:rsidRPr="00D07AA2" w14:paraId="26DC967E" w14:textId="77777777" w:rsidTr="00A02344">
        <w:tc>
          <w:tcPr>
            <w:tcW w:w="4598" w:type="dxa"/>
          </w:tcPr>
          <w:p w14:paraId="7C7CFC7B" w14:textId="31EE8F31" w:rsidR="007A35C3" w:rsidRPr="00D07AA2" w:rsidRDefault="007A35C3" w:rsidP="000B1099">
            <w:pPr>
              <w:pStyle w:val="ListParagraph"/>
              <w:numPr>
                <w:ilvl w:val="0"/>
                <w:numId w:val="5"/>
              </w:numPr>
              <w:ind w:left="284" w:hanging="284"/>
              <w:contextualSpacing/>
              <w:jc w:val="both"/>
              <w:rPr>
                <w:rStyle w:val="hps"/>
                <w:b/>
                <w:sz w:val="18"/>
                <w:szCs w:val="18"/>
              </w:rPr>
            </w:pPr>
            <w:r w:rsidRPr="00D07AA2">
              <w:rPr>
                <w:rStyle w:val="hps"/>
                <w:b/>
                <w:sz w:val="18"/>
                <w:szCs w:val="18"/>
              </w:rPr>
              <w:lastRenderedPageBreak/>
              <w:t xml:space="preserve">UMUM </w:t>
            </w:r>
            <w:r w:rsidR="00AD0892" w:rsidRPr="00D07AA2">
              <w:rPr>
                <w:rStyle w:val="hps"/>
                <w:b/>
                <w:sz w:val="18"/>
                <w:szCs w:val="18"/>
              </w:rPr>
              <w:t>-</w:t>
            </w:r>
            <w:r w:rsidRPr="00D07AA2">
              <w:rPr>
                <w:rStyle w:val="hps"/>
                <w:b/>
                <w:sz w:val="18"/>
                <w:szCs w:val="18"/>
              </w:rPr>
              <w:t xml:space="preserve"> Lanjutan</w:t>
            </w:r>
          </w:p>
        </w:tc>
        <w:tc>
          <w:tcPr>
            <w:tcW w:w="4598" w:type="dxa"/>
          </w:tcPr>
          <w:p w14:paraId="61EEF291" w14:textId="7501807D" w:rsidR="007A35C3" w:rsidRPr="00D07AA2" w:rsidRDefault="007A35C3" w:rsidP="000B1099">
            <w:pPr>
              <w:pStyle w:val="ListParagraph"/>
              <w:numPr>
                <w:ilvl w:val="0"/>
                <w:numId w:val="6"/>
              </w:numPr>
              <w:ind w:left="284" w:hanging="284"/>
              <w:contextualSpacing/>
              <w:jc w:val="both"/>
              <w:rPr>
                <w:b/>
                <w:bCs w:val="0"/>
                <w:i/>
                <w:sz w:val="18"/>
                <w:szCs w:val="18"/>
              </w:rPr>
            </w:pPr>
            <w:r w:rsidRPr="00D07AA2">
              <w:rPr>
                <w:b/>
                <w:i/>
                <w:sz w:val="18"/>
                <w:szCs w:val="18"/>
              </w:rPr>
              <w:t xml:space="preserve">GENERAL </w:t>
            </w:r>
            <w:r w:rsidR="00AD0892" w:rsidRPr="00D07AA2">
              <w:rPr>
                <w:b/>
                <w:i/>
                <w:sz w:val="18"/>
                <w:szCs w:val="18"/>
              </w:rPr>
              <w:t>-</w:t>
            </w:r>
            <w:r w:rsidRPr="00D07AA2">
              <w:rPr>
                <w:b/>
                <w:i/>
                <w:sz w:val="18"/>
                <w:szCs w:val="18"/>
              </w:rPr>
              <w:t xml:space="preserve"> Continued</w:t>
            </w:r>
          </w:p>
        </w:tc>
      </w:tr>
      <w:tr w:rsidR="007A35C3" w:rsidRPr="00D07AA2" w14:paraId="71831523" w14:textId="77777777" w:rsidTr="00A02344">
        <w:tc>
          <w:tcPr>
            <w:tcW w:w="4598" w:type="dxa"/>
          </w:tcPr>
          <w:p w14:paraId="7786363D" w14:textId="77777777" w:rsidR="007A35C3" w:rsidRPr="00D07AA2" w:rsidRDefault="007A35C3" w:rsidP="0013526B">
            <w:pPr>
              <w:jc w:val="both"/>
              <w:rPr>
                <w:rStyle w:val="hps"/>
                <w:sz w:val="18"/>
                <w:szCs w:val="10"/>
              </w:rPr>
            </w:pPr>
          </w:p>
        </w:tc>
        <w:tc>
          <w:tcPr>
            <w:tcW w:w="4598" w:type="dxa"/>
          </w:tcPr>
          <w:p w14:paraId="72DBB386" w14:textId="77777777" w:rsidR="007A35C3" w:rsidRPr="00D07AA2" w:rsidRDefault="007A35C3" w:rsidP="0013526B">
            <w:pPr>
              <w:ind w:left="426"/>
              <w:jc w:val="both"/>
              <w:rPr>
                <w:bCs w:val="0"/>
                <w:i/>
                <w:sz w:val="18"/>
                <w:szCs w:val="10"/>
              </w:rPr>
            </w:pPr>
          </w:p>
        </w:tc>
      </w:tr>
      <w:tr w:rsidR="007A35C3" w:rsidRPr="00D07AA2" w14:paraId="54406E87" w14:textId="77777777" w:rsidTr="00A02344">
        <w:tc>
          <w:tcPr>
            <w:tcW w:w="4598" w:type="dxa"/>
          </w:tcPr>
          <w:p w14:paraId="4CCECA7D" w14:textId="3C5E17F7" w:rsidR="007A35C3" w:rsidRPr="00D07AA2" w:rsidRDefault="00D76295" w:rsidP="00070D1F">
            <w:pPr>
              <w:pStyle w:val="ListParagraph"/>
              <w:numPr>
                <w:ilvl w:val="0"/>
                <w:numId w:val="274"/>
              </w:numPr>
              <w:ind w:left="653" w:hanging="318"/>
              <w:contextualSpacing/>
              <w:jc w:val="both"/>
              <w:rPr>
                <w:rStyle w:val="hps"/>
                <w:b/>
                <w:sz w:val="18"/>
                <w:szCs w:val="18"/>
              </w:rPr>
            </w:pPr>
            <w:r w:rsidRPr="00D07AA2">
              <w:rPr>
                <w:rStyle w:val="hps"/>
                <w:b/>
                <w:sz w:val="18"/>
                <w:szCs w:val="18"/>
                <w:lang w:val="id-ID"/>
              </w:rPr>
              <w:t xml:space="preserve">Pendirian dan Informasi Umum </w:t>
            </w:r>
            <w:r w:rsidR="00AD0892" w:rsidRPr="00D07AA2">
              <w:rPr>
                <w:rStyle w:val="hps"/>
                <w:b/>
                <w:sz w:val="18"/>
                <w:szCs w:val="18"/>
              </w:rPr>
              <w:t>- L</w:t>
            </w:r>
            <w:r w:rsidRPr="00D07AA2">
              <w:rPr>
                <w:rStyle w:val="hps"/>
                <w:b/>
                <w:sz w:val="18"/>
                <w:szCs w:val="18"/>
                <w:lang w:val="id-ID"/>
              </w:rPr>
              <w:t>anjutan</w:t>
            </w:r>
          </w:p>
        </w:tc>
        <w:tc>
          <w:tcPr>
            <w:tcW w:w="4598" w:type="dxa"/>
          </w:tcPr>
          <w:p w14:paraId="343AF11B" w14:textId="4061F9F4" w:rsidR="007A35C3" w:rsidRPr="00D07AA2" w:rsidRDefault="00D76295" w:rsidP="00070D1F">
            <w:pPr>
              <w:pStyle w:val="ListParagraph"/>
              <w:numPr>
                <w:ilvl w:val="0"/>
                <w:numId w:val="275"/>
              </w:numPr>
              <w:ind w:left="653" w:hanging="314"/>
              <w:contextualSpacing/>
              <w:jc w:val="both"/>
              <w:rPr>
                <w:b/>
                <w:bCs w:val="0"/>
                <w:i/>
                <w:sz w:val="18"/>
                <w:szCs w:val="18"/>
              </w:rPr>
            </w:pPr>
            <w:r w:rsidRPr="00D07AA2">
              <w:rPr>
                <w:b/>
                <w:i/>
                <w:sz w:val="18"/>
                <w:szCs w:val="18"/>
                <w:lang w:val="id-ID"/>
              </w:rPr>
              <w:t xml:space="preserve">Establishment and General Information </w:t>
            </w:r>
            <w:r w:rsidR="00AD0892" w:rsidRPr="00D07AA2">
              <w:rPr>
                <w:b/>
                <w:i/>
                <w:sz w:val="18"/>
                <w:szCs w:val="18"/>
              </w:rPr>
              <w:t xml:space="preserve">- </w:t>
            </w:r>
            <w:r w:rsidRPr="00D07AA2">
              <w:rPr>
                <w:b/>
                <w:i/>
                <w:sz w:val="18"/>
                <w:szCs w:val="18"/>
                <w:lang w:val="id-ID"/>
              </w:rPr>
              <w:t>Continued</w:t>
            </w:r>
          </w:p>
        </w:tc>
      </w:tr>
      <w:tr w:rsidR="00D76295" w:rsidRPr="00D07AA2" w14:paraId="6CC68ED2" w14:textId="77777777" w:rsidTr="00A02344">
        <w:tc>
          <w:tcPr>
            <w:tcW w:w="4598" w:type="dxa"/>
          </w:tcPr>
          <w:p w14:paraId="5840CF6F" w14:textId="77777777" w:rsidR="00D76295" w:rsidRPr="00D07AA2" w:rsidRDefault="00D76295" w:rsidP="0013526B">
            <w:pPr>
              <w:jc w:val="both"/>
              <w:rPr>
                <w:rStyle w:val="hps"/>
                <w:sz w:val="18"/>
                <w:szCs w:val="10"/>
              </w:rPr>
            </w:pPr>
          </w:p>
        </w:tc>
        <w:tc>
          <w:tcPr>
            <w:tcW w:w="4598" w:type="dxa"/>
          </w:tcPr>
          <w:p w14:paraId="4962C258" w14:textId="77777777" w:rsidR="00D76295" w:rsidRPr="00D07AA2" w:rsidRDefault="00D76295" w:rsidP="0013526B">
            <w:pPr>
              <w:ind w:left="426"/>
              <w:jc w:val="both"/>
              <w:rPr>
                <w:bCs w:val="0"/>
                <w:i/>
                <w:sz w:val="18"/>
                <w:szCs w:val="10"/>
              </w:rPr>
            </w:pPr>
          </w:p>
        </w:tc>
      </w:tr>
      <w:tr w:rsidR="007A35C3" w:rsidRPr="00D07AA2" w14:paraId="666DEDB0" w14:textId="77777777" w:rsidTr="00A02344">
        <w:tc>
          <w:tcPr>
            <w:tcW w:w="4598" w:type="dxa"/>
          </w:tcPr>
          <w:p w14:paraId="46DD0317" w14:textId="341D63A3" w:rsidR="007A35C3" w:rsidRPr="00D07AA2" w:rsidRDefault="00D76295" w:rsidP="00A84908">
            <w:pPr>
              <w:ind w:left="652"/>
              <w:jc w:val="both"/>
              <w:rPr>
                <w:rStyle w:val="hps"/>
                <w:sz w:val="18"/>
                <w:szCs w:val="18"/>
              </w:rPr>
            </w:pPr>
            <w:r w:rsidRPr="00D07AA2">
              <w:rPr>
                <w:rStyle w:val="hps"/>
                <w:sz w:val="18"/>
                <w:szCs w:val="18"/>
              </w:rPr>
              <w:t>Perusahaan</w:t>
            </w:r>
            <w:r w:rsidRPr="00D07AA2">
              <w:rPr>
                <w:rStyle w:val="hps"/>
                <w:sz w:val="18"/>
                <w:szCs w:val="18"/>
                <w:lang w:val="id-ID"/>
              </w:rPr>
              <w:t xml:space="preserve"> </w:t>
            </w:r>
            <w:r w:rsidRPr="00D07AA2">
              <w:rPr>
                <w:rStyle w:val="hps"/>
                <w:sz w:val="18"/>
                <w:szCs w:val="18"/>
              </w:rPr>
              <w:t>mulai</w:t>
            </w:r>
            <w:r w:rsidRPr="00D07AA2">
              <w:rPr>
                <w:rStyle w:val="hps"/>
                <w:sz w:val="18"/>
                <w:szCs w:val="18"/>
                <w:lang w:val="id-ID"/>
              </w:rPr>
              <w:t xml:space="preserve"> </w:t>
            </w:r>
            <w:r w:rsidRPr="00D07AA2">
              <w:rPr>
                <w:rStyle w:val="hps"/>
                <w:sz w:val="18"/>
                <w:szCs w:val="18"/>
              </w:rPr>
              <w:t>melakukan</w:t>
            </w:r>
            <w:r w:rsidRPr="00D07AA2">
              <w:rPr>
                <w:rStyle w:val="hps"/>
                <w:sz w:val="18"/>
                <w:szCs w:val="18"/>
                <w:lang w:val="id-ID"/>
              </w:rPr>
              <w:t xml:space="preserve"> </w:t>
            </w:r>
            <w:r w:rsidRPr="00D07AA2">
              <w:rPr>
                <w:rStyle w:val="hps"/>
                <w:sz w:val="18"/>
                <w:szCs w:val="18"/>
              </w:rPr>
              <w:t>kegiatan operasional pada bulan Juli 1995.</w:t>
            </w:r>
          </w:p>
        </w:tc>
        <w:tc>
          <w:tcPr>
            <w:tcW w:w="4598" w:type="dxa"/>
          </w:tcPr>
          <w:p w14:paraId="27CC5F3A" w14:textId="14368175" w:rsidR="007A35C3" w:rsidRPr="00D07AA2" w:rsidRDefault="004728DF" w:rsidP="00A84908">
            <w:pPr>
              <w:ind w:left="652"/>
              <w:jc w:val="both"/>
              <w:rPr>
                <w:i/>
                <w:sz w:val="18"/>
                <w:szCs w:val="18"/>
              </w:rPr>
            </w:pPr>
            <w:proofErr w:type="gramStart"/>
            <w:r w:rsidRPr="00D07AA2">
              <w:rPr>
                <w:i/>
                <w:sz w:val="18"/>
                <w:szCs w:val="18"/>
              </w:rPr>
              <w:t>The  Company</w:t>
            </w:r>
            <w:proofErr w:type="gramEnd"/>
            <w:r w:rsidRPr="00D07AA2">
              <w:rPr>
                <w:i/>
                <w:sz w:val="18"/>
                <w:szCs w:val="18"/>
              </w:rPr>
              <w:t xml:space="preserve">  commenced  its  operations  on</w:t>
            </w:r>
            <w:r w:rsidRPr="00D07AA2">
              <w:rPr>
                <w:i/>
                <w:sz w:val="18"/>
                <w:szCs w:val="18"/>
                <w:lang w:val="id-ID"/>
              </w:rPr>
              <w:t xml:space="preserve"> </w:t>
            </w:r>
            <w:r w:rsidRPr="00D07AA2">
              <w:rPr>
                <w:i/>
                <w:sz w:val="18"/>
                <w:szCs w:val="18"/>
                <w:lang w:val="id-ID"/>
              </w:rPr>
              <w:br/>
            </w:r>
            <w:r w:rsidRPr="00D07AA2">
              <w:rPr>
                <w:i/>
                <w:sz w:val="18"/>
                <w:szCs w:val="18"/>
              </w:rPr>
              <w:t>July 1995.</w:t>
            </w:r>
          </w:p>
        </w:tc>
      </w:tr>
      <w:tr w:rsidR="00D76295" w:rsidRPr="00D07AA2" w14:paraId="15A6D219" w14:textId="77777777" w:rsidTr="00A02344">
        <w:tc>
          <w:tcPr>
            <w:tcW w:w="4598" w:type="dxa"/>
          </w:tcPr>
          <w:p w14:paraId="49797452" w14:textId="77777777" w:rsidR="00D76295" w:rsidRPr="00D07AA2" w:rsidRDefault="00D76295" w:rsidP="00D76295">
            <w:pPr>
              <w:ind w:left="567" w:right="-57"/>
              <w:jc w:val="both"/>
              <w:rPr>
                <w:rStyle w:val="hps"/>
                <w:sz w:val="18"/>
                <w:szCs w:val="18"/>
              </w:rPr>
            </w:pPr>
          </w:p>
        </w:tc>
        <w:tc>
          <w:tcPr>
            <w:tcW w:w="4598" w:type="dxa"/>
          </w:tcPr>
          <w:p w14:paraId="537048D4" w14:textId="77777777" w:rsidR="00D76295" w:rsidRPr="00D07AA2" w:rsidRDefault="00D76295" w:rsidP="004728DF">
            <w:pPr>
              <w:ind w:left="567" w:right="-57"/>
              <w:jc w:val="both"/>
              <w:rPr>
                <w:i/>
                <w:sz w:val="18"/>
                <w:szCs w:val="18"/>
              </w:rPr>
            </w:pPr>
          </w:p>
        </w:tc>
      </w:tr>
      <w:tr w:rsidR="00D76295" w:rsidRPr="00D07AA2" w14:paraId="2702344B" w14:textId="77777777" w:rsidTr="00A02344">
        <w:tc>
          <w:tcPr>
            <w:tcW w:w="4598" w:type="dxa"/>
          </w:tcPr>
          <w:p w14:paraId="3BD6BDD5" w14:textId="591C8B53" w:rsidR="00D76295" w:rsidRPr="00D07AA2" w:rsidRDefault="00D76295" w:rsidP="003C1A26">
            <w:pPr>
              <w:ind w:left="652"/>
              <w:jc w:val="both"/>
              <w:rPr>
                <w:rStyle w:val="hps"/>
                <w:sz w:val="18"/>
                <w:szCs w:val="18"/>
              </w:rPr>
            </w:pPr>
            <w:r w:rsidRPr="00D07AA2">
              <w:rPr>
                <w:rStyle w:val="hps"/>
                <w:sz w:val="18"/>
                <w:szCs w:val="18"/>
              </w:rPr>
              <w:t>Perusahaan Berkedudukan di Jalan Honoris</w:t>
            </w:r>
            <w:r w:rsidRPr="00A84908">
              <w:rPr>
                <w:rStyle w:val="hps"/>
                <w:sz w:val="18"/>
                <w:szCs w:val="18"/>
              </w:rPr>
              <w:t xml:space="preserve"> </w:t>
            </w:r>
            <w:r w:rsidRPr="00D07AA2">
              <w:rPr>
                <w:rStyle w:val="hps"/>
                <w:sz w:val="18"/>
                <w:szCs w:val="18"/>
              </w:rPr>
              <w:t>Raya</w:t>
            </w:r>
            <w:r w:rsidR="00870FD0">
              <w:rPr>
                <w:rStyle w:val="hps"/>
                <w:sz w:val="18"/>
                <w:szCs w:val="18"/>
              </w:rPr>
              <w:t>.</w:t>
            </w:r>
            <w:r w:rsidRPr="00D07AA2">
              <w:rPr>
                <w:rStyle w:val="hps"/>
                <w:sz w:val="18"/>
                <w:szCs w:val="18"/>
              </w:rPr>
              <w:t xml:space="preserve"> Perumahan Modern</w:t>
            </w:r>
            <w:r w:rsidR="003C1A26">
              <w:rPr>
                <w:rStyle w:val="hps"/>
                <w:sz w:val="18"/>
                <w:szCs w:val="18"/>
              </w:rPr>
              <w:t>,</w:t>
            </w:r>
            <w:r w:rsidRPr="00D07AA2">
              <w:rPr>
                <w:rStyle w:val="hps"/>
                <w:sz w:val="18"/>
                <w:szCs w:val="18"/>
              </w:rPr>
              <w:t xml:space="preserve"> Tangerang.</w:t>
            </w:r>
          </w:p>
        </w:tc>
        <w:tc>
          <w:tcPr>
            <w:tcW w:w="4598" w:type="dxa"/>
          </w:tcPr>
          <w:p w14:paraId="383D696C" w14:textId="6794CF9D" w:rsidR="00D76295" w:rsidRPr="00D07AA2" w:rsidRDefault="004728DF" w:rsidP="00A84908">
            <w:pPr>
              <w:ind w:left="652"/>
              <w:jc w:val="both"/>
              <w:rPr>
                <w:i/>
                <w:sz w:val="18"/>
                <w:szCs w:val="18"/>
              </w:rPr>
            </w:pPr>
            <w:r w:rsidRPr="00D07AA2">
              <w:rPr>
                <w:i/>
                <w:sz w:val="18"/>
                <w:szCs w:val="18"/>
              </w:rPr>
              <w:t>The Company is located at Jalan Honoris Raya</w:t>
            </w:r>
            <w:r w:rsidR="00870FD0">
              <w:rPr>
                <w:i/>
                <w:sz w:val="18"/>
                <w:szCs w:val="18"/>
              </w:rPr>
              <w:t>.</w:t>
            </w:r>
            <w:r w:rsidRPr="00A84908">
              <w:rPr>
                <w:i/>
                <w:sz w:val="18"/>
                <w:szCs w:val="18"/>
              </w:rPr>
              <w:t xml:space="preserve"> </w:t>
            </w:r>
            <w:r w:rsidRPr="00D07AA2">
              <w:rPr>
                <w:i/>
                <w:sz w:val="18"/>
                <w:szCs w:val="18"/>
              </w:rPr>
              <w:t>Perumahan Modern</w:t>
            </w:r>
            <w:r w:rsidR="00F216EB">
              <w:rPr>
                <w:i/>
                <w:sz w:val="18"/>
                <w:szCs w:val="18"/>
              </w:rPr>
              <w:t>,</w:t>
            </w:r>
            <w:r w:rsidRPr="00D07AA2">
              <w:rPr>
                <w:i/>
                <w:sz w:val="18"/>
                <w:szCs w:val="18"/>
              </w:rPr>
              <w:t xml:space="preserve"> Tangerang.</w:t>
            </w:r>
          </w:p>
        </w:tc>
      </w:tr>
      <w:tr w:rsidR="00D76295" w:rsidRPr="00D07AA2" w14:paraId="314841D5" w14:textId="77777777" w:rsidTr="00A02344">
        <w:tc>
          <w:tcPr>
            <w:tcW w:w="4598" w:type="dxa"/>
          </w:tcPr>
          <w:p w14:paraId="3C9DFACD" w14:textId="77777777" w:rsidR="00D76295" w:rsidRPr="00D07AA2" w:rsidRDefault="00D76295" w:rsidP="00A84908">
            <w:pPr>
              <w:ind w:left="652"/>
              <w:jc w:val="both"/>
              <w:rPr>
                <w:rStyle w:val="hps"/>
                <w:sz w:val="18"/>
                <w:szCs w:val="18"/>
              </w:rPr>
            </w:pPr>
          </w:p>
        </w:tc>
        <w:tc>
          <w:tcPr>
            <w:tcW w:w="4598" w:type="dxa"/>
          </w:tcPr>
          <w:p w14:paraId="13AB64D7" w14:textId="77777777" w:rsidR="00D76295" w:rsidRPr="00D07AA2" w:rsidRDefault="00D76295" w:rsidP="00A84908">
            <w:pPr>
              <w:ind w:left="652"/>
              <w:jc w:val="both"/>
              <w:rPr>
                <w:i/>
                <w:sz w:val="18"/>
                <w:szCs w:val="18"/>
              </w:rPr>
            </w:pPr>
          </w:p>
        </w:tc>
      </w:tr>
      <w:tr w:rsidR="00D76295" w:rsidRPr="00070E2F" w14:paraId="05034799" w14:textId="77777777" w:rsidTr="00A02344">
        <w:tc>
          <w:tcPr>
            <w:tcW w:w="4598" w:type="dxa"/>
          </w:tcPr>
          <w:p w14:paraId="3C1244EC" w14:textId="10DCFD7D" w:rsidR="00D76295" w:rsidRPr="00D07AA2" w:rsidRDefault="004728DF" w:rsidP="00A84908">
            <w:pPr>
              <w:ind w:left="652"/>
              <w:jc w:val="both"/>
              <w:rPr>
                <w:rStyle w:val="hps"/>
                <w:sz w:val="18"/>
                <w:szCs w:val="18"/>
              </w:rPr>
            </w:pPr>
            <w:r w:rsidRPr="00D07AA2">
              <w:rPr>
                <w:rStyle w:val="hps"/>
                <w:sz w:val="18"/>
                <w:szCs w:val="18"/>
              </w:rPr>
              <w:t>PT Mayapada Healthcare Group adalah entitas induk</w:t>
            </w:r>
            <w:r w:rsidRPr="00A84908">
              <w:rPr>
                <w:rStyle w:val="hps"/>
                <w:sz w:val="18"/>
                <w:szCs w:val="18"/>
              </w:rPr>
              <w:t xml:space="preserve"> </w:t>
            </w:r>
            <w:r w:rsidRPr="00D07AA2">
              <w:rPr>
                <w:rStyle w:val="hps"/>
                <w:sz w:val="18"/>
                <w:szCs w:val="18"/>
              </w:rPr>
              <w:t>terakhir Perusahaan.</w:t>
            </w:r>
          </w:p>
        </w:tc>
        <w:tc>
          <w:tcPr>
            <w:tcW w:w="4598" w:type="dxa"/>
          </w:tcPr>
          <w:p w14:paraId="23EAE296" w14:textId="73034757" w:rsidR="00D76295" w:rsidRPr="00D07AA2" w:rsidRDefault="004728DF" w:rsidP="00A84908">
            <w:pPr>
              <w:ind w:left="652"/>
              <w:jc w:val="both"/>
              <w:rPr>
                <w:i/>
                <w:sz w:val="18"/>
                <w:szCs w:val="18"/>
              </w:rPr>
            </w:pPr>
            <w:r w:rsidRPr="00D07AA2">
              <w:rPr>
                <w:i/>
                <w:sz w:val="18"/>
                <w:szCs w:val="18"/>
              </w:rPr>
              <w:t>PT Mayapada Healthcare Group is the ultimate parent</w:t>
            </w:r>
            <w:r w:rsidRPr="00A84908">
              <w:rPr>
                <w:i/>
                <w:sz w:val="18"/>
                <w:szCs w:val="18"/>
              </w:rPr>
              <w:t xml:space="preserve"> </w:t>
            </w:r>
            <w:r w:rsidRPr="00D07AA2">
              <w:rPr>
                <w:i/>
                <w:sz w:val="18"/>
                <w:szCs w:val="18"/>
              </w:rPr>
              <w:t>entity of the Company.</w:t>
            </w:r>
          </w:p>
        </w:tc>
      </w:tr>
      <w:tr w:rsidR="00D76295" w:rsidRPr="00070E2F" w14:paraId="62D06710" w14:textId="77777777" w:rsidTr="00A02344">
        <w:tc>
          <w:tcPr>
            <w:tcW w:w="4598" w:type="dxa"/>
          </w:tcPr>
          <w:p w14:paraId="6061D26E" w14:textId="77777777" w:rsidR="00D76295" w:rsidRPr="00070E2F" w:rsidRDefault="00D76295" w:rsidP="00D76295">
            <w:pPr>
              <w:ind w:left="567" w:right="-57"/>
              <w:jc w:val="both"/>
              <w:rPr>
                <w:rStyle w:val="hps"/>
                <w:sz w:val="18"/>
                <w:szCs w:val="18"/>
                <w:highlight w:val="green"/>
              </w:rPr>
            </w:pPr>
          </w:p>
        </w:tc>
        <w:tc>
          <w:tcPr>
            <w:tcW w:w="4598" w:type="dxa"/>
          </w:tcPr>
          <w:p w14:paraId="23D2A353" w14:textId="77777777" w:rsidR="00D76295" w:rsidRPr="00070E2F" w:rsidRDefault="00D76295" w:rsidP="004728DF">
            <w:pPr>
              <w:ind w:left="567" w:right="-57"/>
              <w:jc w:val="both"/>
              <w:rPr>
                <w:i/>
                <w:sz w:val="18"/>
                <w:szCs w:val="18"/>
                <w:highlight w:val="green"/>
              </w:rPr>
            </w:pPr>
          </w:p>
        </w:tc>
      </w:tr>
      <w:tr w:rsidR="00D76295" w:rsidRPr="00D07AA2" w14:paraId="6D3BCA7A" w14:textId="77777777" w:rsidTr="00A02344">
        <w:tc>
          <w:tcPr>
            <w:tcW w:w="4598" w:type="dxa"/>
          </w:tcPr>
          <w:p w14:paraId="700ECEB0" w14:textId="654F88D9" w:rsidR="00D76295" w:rsidRPr="00D07AA2" w:rsidRDefault="00210623" w:rsidP="00070D1F">
            <w:pPr>
              <w:pStyle w:val="ListParagraph"/>
              <w:numPr>
                <w:ilvl w:val="0"/>
                <w:numId w:val="274"/>
              </w:numPr>
              <w:ind w:left="653" w:hanging="318"/>
              <w:contextualSpacing/>
              <w:jc w:val="both"/>
              <w:rPr>
                <w:rStyle w:val="hps"/>
                <w:sz w:val="18"/>
                <w:szCs w:val="18"/>
              </w:rPr>
            </w:pPr>
            <w:r w:rsidRPr="00D07AA2">
              <w:rPr>
                <w:rStyle w:val="hps"/>
                <w:b/>
                <w:sz w:val="18"/>
                <w:szCs w:val="18"/>
                <w:lang w:val="id-ID"/>
              </w:rPr>
              <w:t>Penawaran Umum Saham Perusahaan</w:t>
            </w:r>
          </w:p>
        </w:tc>
        <w:tc>
          <w:tcPr>
            <w:tcW w:w="4598" w:type="dxa"/>
          </w:tcPr>
          <w:p w14:paraId="031C3C23" w14:textId="3741DB0D" w:rsidR="00D76295" w:rsidRPr="00D07AA2" w:rsidRDefault="00210623" w:rsidP="00070D1F">
            <w:pPr>
              <w:pStyle w:val="ListParagraph"/>
              <w:numPr>
                <w:ilvl w:val="0"/>
                <w:numId w:val="275"/>
              </w:numPr>
              <w:ind w:left="653" w:hanging="314"/>
              <w:contextualSpacing/>
              <w:jc w:val="both"/>
              <w:rPr>
                <w:i/>
                <w:sz w:val="18"/>
                <w:szCs w:val="18"/>
              </w:rPr>
            </w:pPr>
            <w:r w:rsidRPr="00D07AA2">
              <w:rPr>
                <w:b/>
                <w:i/>
                <w:sz w:val="18"/>
                <w:szCs w:val="18"/>
                <w:lang w:val="id-ID"/>
              </w:rPr>
              <w:t>The Company’s Public Offerings</w:t>
            </w:r>
          </w:p>
        </w:tc>
      </w:tr>
      <w:tr w:rsidR="00D76295" w:rsidRPr="00D07AA2" w14:paraId="53A4343C" w14:textId="77777777" w:rsidTr="00A02344">
        <w:tc>
          <w:tcPr>
            <w:tcW w:w="4598" w:type="dxa"/>
          </w:tcPr>
          <w:p w14:paraId="29D39A44" w14:textId="77777777" w:rsidR="00D76295" w:rsidRPr="00D07AA2" w:rsidRDefault="00D76295" w:rsidP="00D76295">
            <w:pPr>
              <w:ind w:left="567" w:right="-57"/>
              <w:jc w:val="both"/>
              <w:rPr>
                <w:rStyle w:val="hps"/>
                <w:sz w:val="18"/>
                <w:szCs w:val="18"/>
              </w:rPr>
            </w:pPr>
          </w:p>
        </w:tc>
        <w:tc>
          <w:tcPr>
            <w:tcW w:w="4598" w:type="dxa"/>
          </w:tcPr>
          <w:p w14:paraId="35D1FB58" w14:textId="77777777" w:rsidR="00D76295" w:rsidRPr="00D07AA2" w:rsidRDefault="00D76295" w:rsidP="004728DF">
            <w:pPr>
              <w:ind w:left="567" w:right="-57"/>
              <w:jc w:val="both"/>
              <w:rPr>
                <w:i/>
                <w:sz w:val="18"/>
                <w:szCs w:val="18"/>
              </w:rPr>
            </w:pPr>
          </w:p>
        </w:tc>
      </w:tr>
      <w:tr w:rsidR="00D76295" w:rsidRPr="00AD0892" w14:paraId="0231F347" w14:textId="77777777" w:rsidTr="00A02344">
        <w:tc>
          <w:tcPr>
            <w:tcW w:w="4598" w:type="dxa"/>
          </w:tcPr>
          <w:p w14:paraId="5D74D6C2" w14:textId="7B771BB3" w:rsidR="00D76295" w:rsidRPr="00D07AA2" w:rsidRDefault="00210623" w:rsidP="00F216EB">
            <w:pPr>
              <w:ind w:left="652"/>
              <w:jc w:val="both"/>
              <w:rPr>
                <w:rStyle w:val="hps"/>
                <w:sz w:val="18"/>
                <w:szCs w:val="18"/>
              </w:rPr>
            </w:pPr>
            <w:r w:rsidRPr="00D07AA2">
              <w:rPr>
                <w:rStyle w:val="hps"/>
                <w:sz w:val="18"/>
                <w:szCs w:val="18"/>
              </w:rPr>
              <w:t>Pada tanggal 31 Maret 2011</w:t>
            </w:r>
            <w:r w:rsidR="00F216EB">
              <w:rPr>
                <w:rStyle w:val="hps"/>
                <w:sz w:val="18"/>
                <w:szCs w:val="18"/>
              </w:rPr>
              <w:t>,</w:t>
            </w:r>
            <w:r w:rsidRPr="00D07AA2">
              <w:rPr>
                <w:rStyle w:val="hps"/>
                <w:sz w:val="18"/>
                <w:szCs w:val="18"/>
              </w:rPr>
              <w:t xml:space="preserve"> Perusahaan memperoleh   pernyataan</w:t>
            </w:r>
            <w:r w:rsidRPr="00A84908">
              <w:rPr>
                <w:rStyle w:val="hps"/>
                <w:sz w:val="18"/>
                <w:szCs w:val="18"/>
              </w:rPr>
              <w:t xml:space="preserve"> </w:t>
            </w:r>
            <w:r w:rsidRPr="00D07AA2">
              <w:rPr>
                <w:rStyle w:val="hps"/>
                <w:sz w:val="18"/>
                <w:szCs w:val="18"/>
              </w:rPr>
              <w:t>efektif dari</w:t>
            </w:r>
            <w:r w:rsidRPr="00A84908">
              <w:rPr>
                <w:rStyle w:val="hps"/>
                <w:sz w:val="18"/>
                <w:szCs w:val="18"/>
              </w:rPr>
              <w:t xml:space="preserve"> </w:t>
            </w:r>
            <w:r w:rsidRPr="00D07AA2">
              <w:rPr>
                <w:rStyle w:val="hps"/>
                <w:sz w:val="18"/>
                <w:szCs w:val="18"/>
              </w:rPr>
              <w:t>Ketua Badan Pengawas Pasar modal dan Lembaga Keuangan (BAPEPAM-LK)   dengan suratnya No. S-02238/BEI.PPJ/04-2011 untuk melakuan penawaran umum sebanyak 750 juta lembar saham biasa dengan nilai nominal Rp 100 dengan harga penawaran perdana Rp 120 per lembar saham.</w:t>
            </w:r>
            <w:r w:rsidRPr="00A84908">
              <w:rPr>
                <w:rStyle w:val="hps"/>
                <w:sz w:val="18"/>
                <w:szCs w:val="18"/>
              </w:rPr>
              <w:t xml:space="preserve"> </w:t>
            </w:r>
            <w:r w:rsidRPr="00D07AA2">
              <w:rPr>
                <w:rStyle w:val="hps"/>
                <w:sz w:val="18"/>
                <w:szCs w:val="18"/>
              </w:rPr>
              <w:t>Berdasarkan</w:t>
            </w:r>
            <w:r w:rsidRPr="00A84908">
              <w:rPr>
                <w:rStyle w:val="hps"/>
                <w:sz w:val="18"/>
                <w:szCs w:val="18"/>
              </w:rPr>
              <w:t xml:space="preserve"> </w:t>
            </w:r>
            <w:r w:rsidRPr="00D07AA2">
              <w:rPr>
                <w:rStyle w:val="hps"/>
                <w:sz w:val="18"/>
                <w:szCs w:val="18"/>
              </w:rPr>
              <w:t>surat No.</w:t>
            </w:r>
            <w:r w:rsidRPr="00A84908">
              <w:rPr>
                <w:rStyle w:val="hps"/>
                <w:sz w:val="18"/>
                <w:szCs w:val="18"/>
              </w:rPr>
              <w:t xml:space="preserve"> </w:t>
            </w:r>
            <w:r w:rsidRPr="00D07AA2">
              <w:rPr>
                <w:rStyle w:val="hps"/>
                <w:sz w:val="18"/>
                <w:szCs w:val="18"/>
              </w:rPr>
              <w:t>S-02238/BEI.PPJ/04-2011</w:t>
            </w:r>
            <w:r w:rsidRPr="00A84908">
              <w:rPr>
                <w:rStyle w:val="hps"/>
                <w:sz w:val="18"/>
                <w:szCs w:val="18"/>
              </w:rPr>
              <w:t xml:space="preserve"> </w:t>
            </w:r>
            <w:r w:rsidRPr="00D07AA2">
              <w:rPr>
                <w:rStyle w:val="hps"/>
                <w:sz w:val="18"/>
                <w:szCs w:val="18"/>
              </w:rPr>
              <w:t>tanggal</w:t>
            </w:r>
            <w:r w:rsidRPr="00A84908">
              <w:rPr>
                <w:rStyle w:val="hps"/>
                <w:sz w:val="18"/>
                <w:szCs w:val="18"/>
              </w:rPr>
              <w:t xml:space="preserve"> </w:t>
            </w:r>
            <w:r w:rsidRPr="00D07AA2">
              <w:rPr>
                <w:rStyle w:val="hps"/>
                <w:sz w:val="18"/>
                <w:szCs w:val="18"/>
              </w:rPr>
              <w:t>6 April 2011</w:t>
            </w:r>
            <w:r w:rsidR="00F216EB">
              <w:rPr>
                <w:rStyle w:val="hps"/>
                <w:sz w:val="18"/>
                <w:szCs w:val="18"/>
              </w:rPr>
              <w:t>,</w:t>
            </w:r>
            <w:r w:rsidRPr="00D07AA2">
              <w:rPr>
                <w:rStyle w:val="hps"/>
                <w:sz w:val="18"/>
                <w:szCs w:val="18"/>
              </w:rPr>
              <w:t xml:space="preserve"> Bursa Efek Indonesia telah menyetujui Pencatatan Efek Perusahaan di Bursa Efek Indonesia.</w:t>
            </w:r>
          </w:p>
        </w:tc>
        <w:tc>
          <w:tcPr>
            <w:tcW w:w="4598" w:type="dxa"/>
          </w:tcPr>
          <w:p w14:paraId="665FBF12" w14:textId="638E9CD5" w:rsidR="00D76295" w:rsidRPr="00D07AA2" w:rsidRDefault="0012169F" w:rsidP="00A84908">
            <w:pPr>
              <w:ind w:left="652"/>
              <w:jc w:val="both"/>
              <w:rPr>
                <w:i/>
                <w:sz w:val="18"/>
                <w:szCs w:val="18"/>
              </w:rPr>
            </w:pPr>
            <w:r w:rsidRPr="00D07AA2">
              <w:rPr>
                <w:i/>
                <w:sz w:val="18"/>
                <w:szCs w:val="18"/>
              </w:rPr>
              <w:t>On March 31</w:t>
            </w:r>
            <w:r w:rsidR="00F216EB">
              <w:rPr>
                <w:i/>
                <w:sz w:val="18"/>
                <w:szCs w:val="18"/>
              </w:rPr>
              <w:t>,</w:t>
            </w:r>
            <w:r w:rsidRPr="00D07AA2">
              <w:rPr>
                <w:i/>
                <w:sz w:val="18"/>
                <w:szCs w:val="18"/>
              </w:rPr>
              <w:t xml:space="preserve"> 2011</w:t>
            </w:r>
            <w:r w:rsidR="00870FD0">
              <w:rPr>
                <w:i/>
                <w:sz w:val="18"/>
                <w:szCs w:val="18"/>
              </w:rPr>
              <w:t>.</w:t>
            </w:r>
            <w:r w:rsidRPr="00D07AA2">
              <w:rPr>
                <w:i/>
                <w:sz w:val="18"/>
                <w:szCs w:val="18"/>
              </w:rPr>
              <w:t xml:space="preserve"> </w:t>
            </w:r>
            <w:proofErr w:type="gramStart"/>
            <w:r w:rsidRPr="00D07AA2">
              <w:rPr>
                <w:i/>
                <w:sz w:val="18"/>
                <w:szCs w:val="18"/>
              </w:rPr>
              <w:t>the</w:t>
            </w:r>
            <w:proofErr w:type="gramEnd"/>
            <w:r w:rsidRPr="00D07AA2">
              <w:rPr>
                <w:i/>
                <w:sz w:val="18"/>
                <w:szCs w:val="18"/>
              </w:rPr>
              <w:t xml:space="preserve"> Company received an</w:t>
            </w:r>
            <w:r w:rsidRPr="00A84908">
              <w:rPr>
                <w:i/>
                <w:sz w:val="18"/>
                <w:szCs w:val="18"/>
              </w:rPr>
              <w:t xml:space="preserve"> </w:t>
            </w:r>
            <w:r w:rsidRPr="00D07AA2">
              <w:rPr>
                <w:i/>
                <w:sz w:val="18"/>
                <w:szCs w:val="18"/>
              </w:rPr>
              <w:t>effective statement from the Chairman of the Capital</w:t>
            </w:r>
            <w:r w:rsidRPr="00A84908">
              <w:rPr>
                <w:i/>
                <w:sz w:val="18"/>
                <w:szCs w:val="18"/>
              </w:rPr>
              <w:t xml:space="preserve"> </w:t>
            </w:r>
            <w:r w:rsidRPr="00D07AA2">
              <w:rPr>
                <w:i/>
                <w:sz w:val="18"/>
                <w:szCs w:val="18"/>
              </w:rPr>
              <w:t>Market and Financial Institution Supervisory</w:t>
            </w:r>
            <w:r w:rsidRPr="00A84908">
              <w:rPr>
                <w:i/>
                <w:sz w:val="18"/>
                <w:szCs w:val="18"/>
              </w:rPr>
              <w:t xml:space="preserve"> </w:t>
            </w:r>
            <w:r w:rsidRPr="00A84908">
              <w:rPr>
                <w:i/>
                <w:sz w:val="18"/>
                <w:szCs w:val="18"/>
              </w:rPr>
              <w:br/>
            </w:r>
            <w:r w:rsidRPr="00D07AA2">
              <w:rPr>
                <w:i/>
                <w:sz w:val="18"/>
                <w:szCs w:val="18"/>
              </w:rPr>
              <w:t>Agency in his Decision</w:t>
            </w:r>
            <w:r w:rsidRPr="00A84908">
              <w:rPr>
                <w:i/>
                <w:sz w:val="18"/>
                <w:szCs w:val="18"/>
              </w:rPr>
              <w:t xml:space="preserve"> </w:t>
            </w:r>
            <w:r w:rsidRPr="00D07AA2">
              <w:rPr>
                <w:i/>
                <w:sz w:val="18"/>
                <w:szCs w:val="18"/>
              </w:rPr>
              <w:t xml:space="preserve">Letter </w:t>
            </w:r>
            <w:r w:rsidR="00D07AA2">
              <w:rPr>
                <w:i/>
                <w:sz w:val="18"/>
                <w:szCs w:val="18"/>
              </w:rPr>
              <w:br/>
            </w:r>
            <w:r w:rsidRPr="00D07AA2">
              <w:rPr>
                <w:i/>
                <w:sz w:val="18"/>
                <w:szCs w:val="18"/>
              </w:rPr>
              <w:t>No.      S/02238/BEI.PPJ/04/2011 to</w:t>
            </w:r>
            <w:r w:rsidRPr="00A84908">
              <w:rPr>
                <w:i/>
                <w:sz w:val="18"/>
                <w:szCs w:val="18"/>
              </w:rPr>
              <w:t xml:space="preserve"> </w:t>
            </w:r>
            <w:r w:rsidRPr="00D07AA2">
              <w:rPr>
                <w:i/>
                <w:sz w:val="18"/>
                <w:szCs w:val="18"/>
              </w:rPr>
              <w:t>offer</w:t>
            </w:r>
            <w:r w:rsidRPr="00A84908">
              <w:rPr>
                <w:i/>
                <w:sz w:val="18"/>
                <w:szCs w:val="18"/>
              </w:rPr>
              <w:t xml:space="preserve"> </w:t>
            </w:r>
            <w:r w:rsidRPr="00D07AA2">
              <w:rPr>
                <w:i/>
                <w:sz w:val="18"/>
                <w:szCs w:val="18"/>
              </w:rPr>
              <w:t xml:space="preserve">750 millions shares to the public with par value </w:t>
            </w:r>
            <w:proofErr w:type="gramStart"/>
            <w:r w:rsidRPr="00D07AA2">
              <w:rPr>
                <w:i/>
                <w:sz w:val="18"/>
                <w:szCs w:val="18"/>
              </w:rPr>
              <w:t xml:space="preserve">of  </w:t>
            </w:r>
            <w:proofErr w:type="gramEnd"/>
            <w:r w:rsidR="00E14B43">
              <w:rPr>
                <w:i/>
                <w:sz w:val="18"/>
                <w:szCs w:val="18"/>
              </w:rPr>
              <w:br/>
            </w:r>
            <w:r w:rsidRPr="00D07AA2">
              <w:rPr>
                <w:i/>
                <w:sz w:val="18"/>
                <w:szCs w:val="18"/>
              </w:rPr>
              <w:t>Rp 100  per  share</w:t>
            </w:r>
            <w:r w:rsidR="00870FD0">
              <w:rPr>
                <w:i/>
                <w:sz w:val="18"/>
                <w:szCs w:val="18"/>
              </w:rPr>
              <w:t>.</w:t>
            </w:r>
            <w:r w:rsidRPr="00D07AA2">
              <w:rPr>
                <w:i/>
                <w:sz w:val="18"/>
                <w:szCs w:val="18"/>
              </w:rPr>
              <w:t xml:space="preserve">   </w:t>
            </w:r>
            <w:proofErr w:type="gramStart"/>
            <w:r w:rsidRPr="00D07AA2">
              <w:rPr>
                <w:i/>
                <w:sz w:val="18"/>
                <w:szCs w:val="18"/>
              </w:rPr>
              <w:t>at</w:t>
            </w:r>
            <w:proofErr w:type="gramEnd"/>
            <w:r w:rsidRPr="00D07AA2">
              <w:rPr>
                <w:i/>
                <w:sz w:val="18"/>
                <w:szCs w:val="18"/>
              </w:rPr>
              <w:t xml:space="preserve"> initial offering price  Rp</w:t>
            </w:r>
            <w:r w:rsidRPr="00A84908">
              <w:rPr>
                <w:i/>
                <w:sz w:val="18"/>
                <w:szCs w:val="18"/>
              </w:rPr>
              <w:t xml:space="preserve"> </w:t>
            </w:r>
            <w:r w:rsidRPr="00D07AA2">
              <w:rPr>
                <w:i/>
                <w:sz w:val="18"/>
                <w:szCs w:val="18"/>
              </w:rPr>
              <w:t>120  per  share.  Based   Letter No.  S-02238/BEI.PPJ/04-</w:t>
            </w:r>
            <w:proofErr w:type="gramStart"/>
            <w:r w:rsidRPr="00D07AA2">
              <w:rPr>
                <w:i/>
                <w:sz w:val="18"/>
                <w:szCs w:val="18"/>
              </w:rPr>
              <w:t>2011  dated</w:t>
            </w:r>
            <w:proofErr w:type="gramEnd"/>
            <w:r w:rsidRPr="00D07AA2">
              <w:rPr>
                <w:i/>
                <w:sz w:val="18"/>
                <w:szCs w:val="18"/>
              </w:rPr>
              <w:t xml:space="preserve">  April  6</w:t>
            </w:r>
            <w:r w:rsidR="00F216EB">
              <w:rPr>
                <w:i/>
                <w:sz w:val="18"/>
                <w:szCs w:val="18"/>
              </w:rPr>
              <w:t>,</w:t>
            </w:r>
            <w:r w:rsidRPr="00A84908">
              <w:rPr>
                <w:i/>
                <w:sz w:val="18"/>
                <w:szCs w:val="18"/>
              </w:rPr>
              <w:t xml:space="preserve"> </w:t>
            </w:r>
            <w:r w:rsidRPr="00D07AA2">
              <w:rPr>
                <w:i/>
                <w:sz w:val="18"/>
                <w:szCs w:val="18"/>
              </w:rPr>
              <w:t>2011</w:t>
            </w:r>
            <w:r w:rsidR="00F216EB">
              <w:rPr>
                <w:i/>
                <w:sz w:val="18"/>
                <w:szCs w:val="18"/>
              </w:rPr>
              <w:t>,</w:t>
            </w:r>
            <w:r w:rsidRPr="00D07AA2">
              <w:rPr>
                <w:i/>
                <w:sz w:val="18"/>
                <w:szCs w:val="18"/>
              </w:rPr>
              <w:t xml:space="preserve"> the Indonesia Stock Exchange has approved  the  Listing  of  the  Company’s securities in Indonesia Stock Exchange.</w:t>
            </w:r>
          </w:p>
        </w:tc>
      </w:tr>
      <w:tr w:rsidR="00D76295" w:rsidRPr="00AD0892" w14:paraId="689E120A" w14:textId="77777777" w:rsidTr="00A02344">
        <w:tc>
          <w:tcPr>
            <w:tcW w:w="4598" w:type="dxa"/>
          </w:tcPr>
          <w:p w14:paraId="514EA72F" w14:textId="77777777" w:rsidR="00D76295" w:rsidRPr="00A84908" w:rsidRDefault="00D76295" w:rsidP="00A84908">
            <w:pPr>
              <w:ind w:left="652"/>
              <w:jc w:val="both"/>
              <w:rPr>
                <w:rStyle w:val="hps"/>
                <w:sz w:val="18"/>
                <w:szCs w:val="18"/>
              </w:rPr>
            </w:pPr>
          </w:p>
        </w:tc>
        <w:tc>
          <w:tcPr>
            <w:tcW w:w="4598" w:type="dxa"/>
          </w:tcPr>
          <w:p w14:paraId="51709F5A" w14:textId="77777777" w:rsidR="00D76295" w:rsidRPr="00A84908" w:rsidRDefault="00D76295" w:rsidP="00A84908">
            <w:pPr>
              <w:ind w:left="652"/>
              <w:jc w:val="both"/>
              <w:rPr>
                <w:i/>
                <w:sz w:val="18"/>
                <w:szCs w:val="18"/>
              </w:rPr>
            </w:pPr>
          </w:p>
        </w:tc>
      </w:tr>
      <w:tr w:rsidR="00D76295" w:rsidRPr="00AD0892" w14:paraId="13526F01" w14:textId="77777777" w:rsidTr="00A02344">
        <w:tc>
          <w:tcPr>
            <w:tcW w:w="4598" w:type="dxa"/>
          </w:tcPr>
          <w:p w14:paraId="1326FB61" w14:textId="31C7C989" w:rsidR="00D76295" w:rsidRPr="00D07AA2" w:rsidRDefault="0007764A" w:rsidP="00F216EB">
            <w:pPr>
              <w:ind w:left="652"/>
              <w:jc w:val="both"/>
              <w:rPr>
                <w:rStyle w:val="hps"/>
                <w:sz w:val="18"/>
                <w:szCs w:val="18"/>
              </w:rPr>
            </w:pPr>
            <w:r w:rsidRPr="00D07AA2">
              <w:rPr>
                <w:rStyle w:val="hps"/>
                <w:sz w:val="18"/>
                <w:szCs w:val="18"/>
              </w:rPr>
              <w:t>Pada tanggal 11 Desember 2012</w:t>
            </w:r>
            <w:r w:rsidR="00F216EB">
              <w:rPr>
                <w:rStyle w:val="hps"/>
                <w:sz w:val="18"/>
                <w:szCs w:val="18"/>
              </w:rPr>
              <w:t>,</w:t>
            </w:r>
            <w:r w:rsidRPr="00D07AA2">
              <w:rPr>
                <w:rStyle w:val="hps"/>
                <w:sz w:val="18"/>
                <w:szCs w:val="18"/>
              </w:rPr>
              <w:t xml:space="preserve"> Perusahaan memperoleh   pernyataan   efektif   dari   Ketua </w:t>
            </w:r>
            <w:proofErr w:type="gramStart"/>
            <w:r w:rsidRPr="00D07AA2">
              <w:rPr>
                <w:rStyle w:val="hps"/>
                <w:sz w:val="18"/>
                <w:szCs w:val="18"/>
              </w:rPr>
              <w:t>Badan  Pengawas</w:t>
            </w:r>
            <w:proofErr w:type="gramEnd"/>
            <w:r w:rsidRPr="00D07AA2">
              <w:rPr>
                <w:rStyle w:val="hps"/>
                <w:sz w:val="18"/>
                <w:szCs w:val="18"/>
              </w:rPr>
              <w:t xml:space="preserve">  Pasar modal dan Lembaga Keuangan   (BAPEPAM-LK) dengan suratnya </w:t>
            </w:r>
            <w:r w:rsidR="00830DE2">
              <w:rPr>
                <w:rStyle w:val="hps"/>
                <w:sz w:val="18"/>
                <w:szCs w:val="18"/>
              </w:rPr>
              <w:br/>
            </w:r>
            <w:r w:rsidRPr="00D07AA2">
              <w:rPr>
                <w:rStyle w:val="hps"/>
                <w:sz w:val="18"/>
                <w:szCs w:val="18"/>
              </w:rPr>
              <w:t xml:space="preserve">No. S-14122/BL/2012 untuk melakuan Penawaran Umum Terbatas I (“PUT I”) dengan </w:t>
            </w:r>
            <w:proofErr w:type="gramStart"/>
            <w:r w:rsidRPr="00D07AA2">
              <w:rPr>
                <w:rStyle w:val="hps"/>
                <w:sz w:val="18"/>
                <w:szCs w:val="18"/>
              </w:rPr>
              <w:t>Hak  Memesan</w:t>
            </w:r>
            <w:proofErr w:type="gramEnd"/>
            <w:r w:rsidRPr="00D07AA2">
              <w:rPr>
                <w:rStyle w:val="hps"/>
                <w:sz w:val="18"/>
                <w:szCs w:val="18"/>
              </w:rPr>
              <w:t xml:space="preserve">  Efek  Terlebih  Dahulu (“HMETD”). Dalam penawaran ini dikeluarkan saham baru Perusahaan sebanyak</w:t>
            </w:r>
            <w:r w:rsidRPr="00A84908">
              <w:rPr>
                <w:rStyle w:val="hps"/>
                <w:sz w:val="18"/>
                <w:szCs w:val="18"/>
              </w:rPr>
              <w:t xml:space="preserve"> </w:t>
            </w:r>
            <w:r w:rsidRPr="00D07AA2">
              <w:rPr>
                <w:rStyle w:val="hps"/>
                <w:sz w:val="18"/>
                <w:szCs w:val="18"/>
              </w:rPr>
              <w:t>2.495.233.593 lembar saham biasa dengan nilai nominal Rp 100 dengan harga penawaran sebesar Rp 260 per lembar saham.</w:t>
            </w:r>
          </w:p>
        </w:tc>
        <w:tc>
          <w:tcPr>
            <w:tcW w:w="4598" w:type="dxa"/>
          </w:tcPr>
          <w:p w14:paraId="5986615F" w14:textId="0709D2BF" w:rsidR="00D76295" w:rsidRPr="00D07AA2" w:rsidRDefault="0007764A" w:rsidP="00A84908">
            <w:pPr>
              <w:ind w:left="652"/>
              <w:jc w:val="both"/>
              <w:rPr>
                <w:i/>
                <w:sz w:val="18"/>
                <w:szCs w:val="18"/>
              </w:rPr>
            </w:pPr>
            <w:r w:rsidRPr="00D07AA2">
              <w:rPr>
                <w:i/>
                <w:sz w:val="18"/>
                <w:szCs w:val="18"/>
              </w:rPr>
              <w:t>On December 11</w:t>
            </w:r>
            <w:r w:rsidR="00F216EB">
              <w:rPr>
                <w:i/>
                <w:sz w:val="18"/>
                <w:szCs w:val="18"/>
              </w:rPr>
              <w:t>,</w:t>
            </w:r>
            <w:r w:rsidRPr="00D07AA2">
              <w:rPr>
                <w:i/>
                <w:sz w:val="18"/>
                <w:szCs w:val="18"/>
              </w:rPr>
              <w:t xml:space="preserve"> 2012</w:t>
            </w:r>
            <w:r w:rsidR="00870FD0">
              <w:rPr>
                <w:i/>
                <w:sz w:val="18"/>
                <w:szCs w:val="18"/>
              </w:rPr>
              <w:t>.</w:t>
            </w:r>
            <w:r w:rsidRPr="00D07AA2">
              <w:rPr>
                <w:i/>
                <w:sz w:val="18"/>
                <w:szCs w:val="18"/>
              </w:rPr>
              <w:t xml:space="preserve"> </w:t>
            </w:r>
            <w:proofErr w:type="gramStart"/>
            <w:r w:rsidRPr="00D07AA2">
              <w:rPr>
                <w:i/>
                <w:sz w:val="18"/>
                <w:szCs w:val="18"/>
              </w:rPr>
              <w:t>the</w:t>
            </w:r>
            <w:proofErr w:type="gramEnd"/>
            <w:r w:rsidRPr="00D07AA2">
              <w:rPr>
                <w:i/>
                <w:sz w:val="18"/>
                <w:szCs w:val="18"/>
              </w:rPr>
              <w:t xml:space="preserve"> Company received an effective statement from the Chairman of the Capital Market and Financial Institution Supervisory   Agency   in his Decsion Letter No. S-14122/BL/2012 through Pre-emptive Rights Issue I ("PUT I").  In </w:t>
            </w:r>
            <w:proofErr w:type="gramStart"/>
            <w:r w:rsidRPr="00D07AA2">
              <w:rPr>
                <w:i/>
                <w:sz w:val="18"/>
                <w:szCs w:val="18"/>
              </w:rPr>
              <w:t>this  offering</w:t>
            </w:r>
            <w:proofErr w:type="gramEnd"/>
            <w:r w:rsidR="00870FD0">
              <w:rPr>
                <w:i/>
                <w:sz w:val="18"/>
                <w:szCs w:val="18"/>
              </w:rPr>
              <w:t>.</w:t>
            </w:r>
            <w:r w:rsidRPr="00D07AA2">
              <w:rPr>
                <w:i/>
                <w:sz w:val="18"/>
                <w:szCs w:val="18"/>
              </w:rPr>
              <w:t xml:space="preserve">  </w:t>
            </w:r>
            <w:proofErr w:type="gramStart"/>
            <w:r w:rsidRPr="00D07AA2">
              <w:rPr>
                <w:i/>
                <w:sz w:val="18"/>
                <w:szCs w:val="18"/>
              </w:rPr>
              <w:t>the</w:t>
            </w:r>
            <w:proofErr w:type="gramEnd"/>
            <w:r w:rsidRPr="00D07AA2">
              <w:rPr>
                <w:i/>
                <w:sz w:val="18"/>
                <w:szCs w:val="18"/>
              </w:rPr>
              <w:t xml:space="preserve"> Company issued 2</w:t>
            </w:r>
            <w:r w:rsidR="00F216EB">
              <w:rPr>
                <w:i/>
                <w:sz w:val="18"/>
                <w:szCs w:val="18"/>
              </w:rPr>
              <w:t>,</w:t>
            </w:r>
            <w:r w:rsidRPr="00D07AA2">
              <w:rPr>
                <w:i/>
                <w:sz w:val="18"/>
                <w:szCs w:val="18"/>
              </w:rPr>
              <w:t>495</w:t>
            </w:r>
            <w:r w:rsidR="00F216EB">
              <w:rPr>
                <w:i/>
                <w:sz w:val="18"/>
                <w:szCs w:val="18"/>
              </w:rPr>
              <w:t>,</w:t>
            </w:r>
            <w:r w:rsidRPr="00D07AA2">
              <w:rPr>
                <w:i/>
                <w:sz w:val="18"/>
                <w:szCs w:val="18"/>
              </w:rPr>
              <w:t>233</w:t>
            </w:r>
            <w:r w:rsidR="00F216EB">
              <w:rPr>
                <w:i/>
                <w:sz w:val="18"/>
                <w:szCs w:val="18"/>
              </w:rPr>
              <w:t>,</w:t>
            </w:r>
            <w:r w:rsidRPr="00D07AA2">
              <w:rPr>
                <w:i/>
                <w:sz w:val="18"/>
                <w:szCs w:val="18"/>
              </w:rPr>
              <w:t>593 ordinary shares at of nominal value of Rp 100 with offering price of Rp 260 per share.</w:t>
            </w:r>
          </w:p>
        </w:tc>
      </w:tr>
      <w:tr w:rsidR="00D76295" w:rsidRPr="00AD0892" w14:paraId="125BA7CE" w14:textId="77777777" w:rsidTr="00A02344">
        <w:tc>
          <w:tcPr>
            <w:tcW w:w="4598" w:type="dxa"/>
          </w:tcPr>
          <w:p w14:paraId="3414C72E" w14:textId="77777777" w:rsidR="00D76295" w:rsidRPr="002028F8" w:rsidRDefault="00D76295" w:rsidP="00D76295">
            <w:pPr>
              <w:ind w:left="567" w:right="-57"/>
              <w:jc w:val="both"/>
              <w:rPr>
                <w:rStyle w:val="hps"/>
                <w:sz w:val="18"/>
                <w:szCs w:val="18"/>
              </w:rPr>
            </w:pPr>
          </w:p>
        </w:tc>
        <w:tc>
          <w:tcPr>
            <w:tcW w:w="4598" w:type="dxa"/>
          </w:tcPr>
          <w:p w14:paraId="1C2A0056" w14:textId="77777777" w:rsidR="00D76295" w:rsidRPr="00AD0892" w:rsidRDefault="00D76295" w:rsidP="004728DF">
            <w:pPr>
              <w:ind w:left="567" w:right="-57"/>
              <w:jc w:val="both"/>
              <w:rPr>
                <w:i/>
                <w:sz w:val="18"/>
                <w:szCs w:val="18"/>
                <w:highlight w:val="cyan"/>
              </w:rPr>
            </w:pPr>
          </w:p>
        </w:tc>
      </w:tr>
      <w:tr w:rsidR="00D76295" w:rsidRPr="00AD0892" w14:paraId="09565B6E" w14:textId="77777777" w:rsidTr="00A02344">
        <w:tc>
          <w:tcPr>
            <w:tcW w:w="4598" w:type="dxa"/>
          </w:tcPr>
          <w:p w14:paraId="61414507" w14:textId="7C01B7A5" w:rsidR="00D76295" w:rsidRPr="00830DE2" w:rsidRDefault="0007764A" w:rsidP="000B1099">
            <w:pPr>
              <w:ind w:left="652"/>
              <w:jc w:val="both"/>
              <w:rPr>
                <w:rStyle w:val="hps"/>
                <w:sz w:val="18"/>
                <w:szCs w:val="18"/>
              </w:rPr>
            </w:pPr>
            <w:r w:rsidRPr="00830DE2">
              <w:rPr>
                <w:rStyle w:val="hps"/>
                <w:sz w:val="18"/>
                <w:szCs w:val="18"/>
              </w:rPr>
              <w:t>Pada tanggal 26 Oktober 2016</w:t>
            </w:r>
            <w:r w:rsidR="00F216EB">
              <w:rPr>
                <w:rStyle w:val="hps"/>
                <w:sz w:val="18"/>
                <w:szCs w:val="18"/>
              </w:rPr>
              <w:t>,</w:t>
            </w:r>
            <w:r w:rsidRPr="00830DE2">
              <w:rPr>
                <w:rStyle w:val="hps"/>
                <w:sz w:val="18"/>
                <w:szCs w:val="18"/>
              </w:rPr>
              <w:t xml:space="preserve"> Perusahaan memperoleh</w:t>
            </w:r>
            <w:r w:rsidRPr="002028F8">
              <w:rPr>
                <w:rStyle w:val="hps"/>
                <w:sz w:val="18"/>
                <w:szCs w:val="18"/>
              </w:rPr>
              <w:t xml:space="preserve"> </w:t>
            </w:r>
            <w:r w:rsidRPr="00830DE2">
              <w:rPr>
                <w:rStyle w:val="hps"/>
                <w:sz w:val="18"/>
                <w:szCs w:val="18"/>
              </w:rPr>
              <w:t>pernyataan</w:t>
            </w:r>
            <w:r w:rsidRPr="002028F8">
              <w:rPr>
                <w:rStyle w:val="hps"/>
                <w:sz w:val="18"/>
                <w:szCs w:val="18"/>
              </w:rPr>
              <w:t xml:space="preserve"> </w:t>
            </w:r>
            <w:r w:rsidRPr="00830DE2">
              <w:rPr>
                <w:rStyle w:val="hps"/>
                <w:sz w:val="18"/>
                <w:szCs w:val="18"/>
              </w:rPr>
              <w:t xml:space="preserve">efektif dari Otoritas Jasa Keuangan (OJK) dengan suratnya </w:t>
            </w:r>
            <w:r w:rsidR="00830DE2">
              <w:rPr>
                <w:rStyle w:val="hps"/>
                <w:sz w:val="18"/>
                <w:szCs w:val="18"/>
              </w:rPr>
              <w:br/>
            </w:r>
            <w:r w:rsidRPr="00830DE2">
              <w:rPr>
                <w:rStyle w:val="hps"/>
                <w:sz w:val="18"/>
                <w:szCs w:val="18"/>
              </w:rPr>
              <w:t>No.</w:t>
            </w:r>
            <w:r w:rsidR="00830DE2">
              <w:rPr>
                <w:rStyle w:val="hps"/>
                <w:sz w:val="18"/>
                <w:szCs w:val="18"/>
              </w:rPr>
              <w:t xml:space="preserve"> </w:t>
            </w:r>
            <w:r w:rsidRPr="00830DE2">
              <w:rPr>
                <w:rStyle w:val="hps"/>
                <w:sz w:val="18"/>
                <w:szCs w:val="18"/>
              </w:rPr>
              <w:t xml:space="preserve">S-614/D.04/2016 untuk melakukan Penawaran Umum Terbatas II (“PUT II”) dengan Hak Memesan Efek Terlebih Dahulu (“HMETD”). </w:t>
            </w:r>
            <w:proofErr w:type="gramStart"/>
            <w:r w:rsidRPr="00830DE2">
              <w:rPr>
                <w:rStyle w:val="hps"/>
                <w:sz w:val="18"/>
                <w:szCs w:val="18"/>
              </w:rPr>
              <w:t>Dalam  penawaran</w:t>
            </w:r>
            <w:proofErr w:type="gramEnd"/>
            <w:r w:rsidRPr="00830DE2">
              <w:rPr>
                <w:rStyle w:val="hps"/>
                <w:sz w:val="18"/>
                <w:szCs w:val="18"/>
              </w:rPr>
              <w:t xml:space="preserve">  ini</w:t>
            </w:r>
            <w:r w:rsidR="00F216EB">
              <w:rPr>
                <w:rStyle w:val="hps"/>
                <w:sz w:val="18"/>
                <w:szCs w:val="18"/>
              </w:rPr>
              <w:t>,</w:t>
            </w:r>
            <w:r w:rsidRPr="00830DE2">
              <w:rPr>
                <w:rStyle w:val="hps"/>
                <w:sz w:val="18"/>
                <w:szCs w:val="18"/>
              </w:rPr>
              <w:t xml:space="preserve">  Perusahaan mengeluarkan saham baru sebanyak</w:t>
            </w:r>
            <w:r w:rsidRPr="002028F8">
              <w:rPr>
                <w:rStyle w:val="hps"/>
                <w:sz w:val="18"/>
                <w:szCs w:val="18"/>
              </w:rPr>
              <w:t xml:space="preserve"> </w:t>
            </w:r>
            <w:r w:rsidRPr="00830DE2">
              <w:rPr>
                <w:rStyle w:val="hps"/>
                <w:sz w:val="18"/>
                <w:szCs w:val="18"/>
              </w:rPr>
              <w:t xml:space="preserve">2.887.300.388 lembar saham biasa dengan nilai nominal </w:t>
            </w:r>
            <w:r w:rsidR="004A1988">
              <w:rPr>
                <w:rStyle w:val="hps"/>
                <w:sz w:val="18"/>
                <w:szCs w:val="18"/>
              </w:rPr>
              <w:t>Rp 1</w:t>
            </w:r>
            <w:r w:rsidRPr="00830DE2">
              <w:rPr>
                <w:rStyle w:val="hps"/>
                <w:sz w:val="18"/>
                <w:szCs w:val="18"/>
              </w:rPr>
              <w:t xml:space="preserve">00 per lembar saham dengan harga penawaran sebesar </w:t>
            </w:r>
            <w:r w:rsidR="004A1988">
              <w:rPr>
                <w:rStyle w:val="hps"/>
                <w:sz w:val="18"/>
                <w:szCs w:val="18"/>
              </w:rPr>
              <w:t>Rp 2</w:t>
            </w:r>
            <w:r w:rsidRPr="00830DE2">
              <w:rPr>
                <w:rStyle w:val="hps"/>
                <w:sz w:val="18"/>
                <w:szCs w:val="18"/>
              </w:rPr>
              <w:t>80 per lembar saham.</w:t>
            </w:r>
          </w:p>
        </w:tc>
        <w:tc>
          <w:tcPr>
            <w:tcW w:w="4598" w:type="dxa"/>
          </w:tcPr>
          <w:p w14:paraId="20020A6B" w14:textId="7B834730" w:rsidR="00D76295" w:rsidRPr="00830DE2" w:rsidRDefault="0007764A" w:rsidP="00F216EB">
            <w:pPr>
              <w:ind w:left="652"/>
              <w:jc w:val="both"/>
              <w:rPr>
                <w:i/>
                <w:sz w:val="18"/>
                <w:szCs w:val="18"/>
              </w:rPr>
            </w:pPr>
            <w:r w:rsidRPr="00830DE2">
              <w:rPr>
                <w:i/>
                <w:sz w:val="18"/>
                <w:szCs w:val="18"/>
              </w:rPr>
              <w:t>On October 26</w:t>
            </w:r>
            <w:r w:rsidR="00F216EB">
              <w:rPr>
                <w:i/>
                <w:sz w:val="18"/>
                <w:szCs w:val="18"/>
              </w:rPr>
              <w:t>,</w:t>
            </w:r>
            <w:r w:rsidRPr="00830DE2">
              <w:rPr>
                <w:i/>
                <w:sz w:val="18"/>
                <w:szCs w:val="18"/>
              </w:rPr>
              <w:t xml:space="preserve"> 2016</w:t>
            </w:r>
            <w:r w:rsidR="00870FD0">
              <w:rPr>
                <w:i/>
                <w:sz w:val="18"/>
                <w:szCs w:val="18"/>
              </w:rPr>
              <w:t>.</w:t>
            </w:r>
            <w:r w:rsidRPr="00830DE2">
              <w:rPr>
                <w:i/>
                <w:sz w:val="18"/>
                <w:szCs w:val="18"/>
              </w:rPr>
              <w:t xml:space="preserve"> </w:t>
            </w:r>
            <w:proofErr w:type="gramStart"/>
            <w:r w:rsidRPr="00830DE2">
              <w:rPr>
                <w:i/>
                <w:sz w:val="18"/>
                <w:szCs w:val="18"/>
              </w:rPr>
              <w:t>the</w:t>
            </w:r>
            <w:proofErr w:type="gramEnd"/>
            <w:r w:rsidRPr="00830DE2">
              <w:rPr>
                <w:i/>
                <w:sz w:val="18"/>
                <w:szCs w:val="18"/>
              </w:rPr>
              <w:t xml:space="preserve"> Company received an effective statement from Financial Service Authority/Otoritas Jasa Keuangan (OJK) in its letter No. S-614/D.04/2016 for Limited Public Offering II (“PUT II”) through Pre-emptive Rights Issue ("HMETD"). In this offering</w:t>
            </w:r>
            <w:r w:rsidR="00F216EB">
              <w:rPr>
                <w:i/>
                <w:sz w:val="18"/>
                <w:szCs w:val="18"/>
              </w:rPr>
              <w:t>,</w:t>
            </w:r>
            <w:r w:rsidRPr="00830DE2">
              <w:rPr>
                <w:i/>
                <w:sz w:val="18"/>
                <w:szCs w:val="18"/>
              </w:rPr>
              <w:t xml:space="preserve"> the Company issued 2</w:t>
            </w:r>
            <w:r w:rsidR="00F216EB">
              <w:rPr>
                <w:i/>
                <w:sz w:val="18"/>
                <w:szCs w:val="18"/>
              </w:rPr>
              <w:t>,</w:t>
            </w:r>
            <w:r w:rsidRPr="00830DE2">
              <w:rPr>
                <w:i/>
                <w:sz w:val="18"/>
                <w:szCs w:val="18"/>
              </w:rPr>
              <w:t>887</w:t>
            </w:r>
            <w:r w:rsidR="00F216EB">
              <w:rPr>
                <w:i/>
                <w:sz w:val="18"/>
                <w:szCs w:val="18"/>
              </w:rPr>
              <w:t>,</w:t>
            </w:r>
            <w:r w:rsidRPr="00830DE2">
              <w:rPr>
                <w:i/>
                <w:sz w:val="18"/>
                <w:szCs w:val="18"/>
              </w:rPr>
              <w:t>300</w:t>
            </w:r>
            <w:r w:rsidR="00F216EB">
              <w:rPr>
                <w:i/>
                <w:sz w:val="18"/>
                <w:szCs w:val="18"/>
              </w:rPr>
              <w:t>,</w:t>
            </w:r>
            <w:r w:rsidRPr="00830DE2">
              <w:rPr>
                <w:i/>
                <w:sz w:val="18"/>
                <w:szCs w:val="18"/>
              </w:rPr>
              <w:t xml:space="preserve">388 ordinary shares at a nominal value of </w:t>
            </w:r>
            <w:r w:rsidR="004A1988">
              <w:rPr>
                <w:i/>
                <w:sz w:val="18"/>
                <w:szCs w:val="18"/>
              </w:rPr>
              <w:t>Rp 1</w:t>
            </w:r>
            <w:r w:rsidRPr="00830DE2">
              <w:rPr>
                <w:i/>
                <w:sz w:val="18"/>
                <w:szCs w:val="18"/>
              </w:rPr>
              <w:t xml:space="preserve">00 per share with offering price of </w:t>
            </w:r>
            <w:r w:rsidR="00F216EB">
              <w:rPr>
                <w:i/>
                <w:sz w:val="18"/>
                <w:szCs w:val="18"/>
              </w:rPr>
              <w:t xml:space="preserve">       </w:t>
            </w:r>
            <w:r w:rsidR="004A1988">
              <w:rPr>
                <w:i/>
                <w:sz w:val="18"/>
                <w:szCs w:val="18"/>
              </w:rPr>
              <w:t>Rp 2</w:t>
            </w:r>
            <w:r w:rsidRPr="00830DE2">
              <w:rPr>
                <w:i/>
                <w:sz w:val="18"/>
                <w:szCs w:val="18"/>
              </w:rPr>
              <w:t>80 per share.</w:t>
            </w:r>
          </w:p>
        </w:tc>
      </w:tr>
      <w:tr w:rsidR="00D76295" w:rsidRPr="00AD0892" w14:paraId="6D4D636E" w14:textId="77777777" w:rsidTr="00A02344">
        <w:tc>
          <w:tcPr>
            <w:tcW w:w="4598" w:type="dxa"/>
          </w:tcPr>
          <w:p w14:paraId="50FE330C" w14:textId="77777777" w:rsidR="00D76295" w:rsidRPr="00AD0892" w:rsidRDefault="00D76295" w:rsidP="00D76295">
            <w:pPr>
              <w:ind w:left="567" w:right="-57"/>
              <w:jc w:val="both"/>
              <w:rPr>
                <w:rStyle w:val="hps"/>
                <w:sz w:val="18"/>
                <w:szCs w:val="18"/>
                <w:highlight w:val="cyan"/>
              </w:rPr>
            </w:pPr>
          </w:p>
        </w:tc>
        <w:tc>
          <w:tcPr>
            <w:tcW w:w="4598" w:type="dxa"/>
          </w:tcPr>
          <w:p w14:paraId="42F93404" w14:textId="77777777" w:rsidR="00D76295" w:rsidRPr="00AD0892" w:rsidRDefault="00D76295" w:rsidP="004728DF">
            <w:pPr>
              <w:ind w:left="567" w:right="-57"/>
              <w:jc w:val="both"/>
              <w:rPr>
                <w:i/>
                <w:sz w:val="18"/>
                <w:szCs w:val="18"/>
                <w:highlight w:val="cyan"/>
              </w:rPr>
            </w:pPr>
          </w:p>
        </w:tc>
      </w:tr>
      <w:tr w:rsidR="00D76295" w:rsidRPr="00E43E08" w14:paraId="71FE48E9" w14:textId="77777777" w:rsidTr="00A02344">
        <w:tc>
          <w:tcPr>
            <w:tcW w:w="4598" w:type="dxa"/>
          </w:tcPr>
          <w:p w14:paraId="4CEC54F7" w14:textId="55E3EEF3" w:rsidR="00D76295" w:rsidRPr="00830DE2" w:rsidRDefault="0007764A" w:rsidP="000B1099">
            <w:pPr>
              <w:ind w:left="652"/>
              <w:jc w:val="both"/>
              <w:rPr>
                <w:rStyle w:val="hps"/>
                <w:sz w:val="18"/>
                <w:szCs w:val="18"/>
              </w:rPr>
            </w:pPr>
            <w:r w:rsidRPr="00830DE2">
              <w:rPr>
                <w:rStyle w:val="hps"/>
                <w:sz w:val="18"/>
                <w:szCs w:val="18"/>
              </w:rPr>
              <w:t>Jumlah saham Perusahaan yang tercatat di Bursa Efek Indonesia sebanyak 12.00</w:t>
            </w:r>
            <w:r w:rsidR="00F216EB">
              <w:rPr>
                <w:rStyle w:val="hps"/>
                <w:sz w:val="18"/>
                <w:szCs w:val="18"/>
              </w:rPr>
              <w:t>0</w:t>
            </w:r>
            <w:r w:rsidRPr="00830DE2">
              <w:rPr>
                <w:rStyle w:val="hps"/>
                <w:sz w:val="18"/>
                <w:szCs w:val="18"/>
              </w:rPr>
              <w:t>.075.445</w:t>
            </w:r>
            <w:r w:rsidR="002F5AC6" w:rsidRPr="00830DE2">
              <w:rPr>
                <w:rStyle w:val="hps"/>
                <w:sz w:val="18"/>
                <w:szCs w:val="18"/>
              </w:rPr>
              <w:t xml:space="preserve"> lembar saham  pada  tanggal  31</w:t>
            </w:r>
            <w:r w:rsidR="00CA70A7">
              <w:rPr>
                <w:rStyle w:val="hps"/>
                <w:sz w:val="18"/>
                <w:szCs w:val="18"/>
              </w:rPr>
              <w:t xml:space="preserve"> Maret</w:t>
            </w:r>
            <w:r w:rsidRPr="00830DE2">
              <w:rPr>
                <w:rStyle w:val="hps"/>
                <w:sz w:val="18"/>
                <w:szCs w:val="18"/>
                <w:lang w:val="id-ID"/>
              </w:rPr>
              <w:t xml:space="preserve"> </w:t>
            </w:r>
            <w:r w:rsidR="00CA70A7">
              <w:rPr>
                <w:rStyle w:val="hps"/>
                <w:sz w:val="18"/>
                <w:szCs w:val="18"/>
              </w:rPr>
              <w:t>2020</w:t>
            </w:r>
            <w:r w:rsidRPr="00830DE2">
              <w:rPr>
                <w:rStyle w:val="hps"/>
                <w:sz w:val="18"/>
                <w:szCs w:val="18"/>
              </w:rPr>
              <w:t xml:space="preserve"> dan </w:t>
            </w:r>
            <w:r w:rsidR="00830DE2">
              <w:rPr>
                <w:rStyle w:val="hps"/>
                <w:sz w:val="18"/>
                <w:szCs w:val="18"/>
              </w:rPr>
              <w:br/>
            </w:r>
            <w:r w:rsidR="00CA70A7">
              <w:rPr>
                <w:rStyle w:val="hps"/>
                <w:sz w:val="18"/>
                <w:szCs w:val="18"/>
              </w:rPr>
              <w:t>31 Desember 2019</w:t>
            </w:r>
            <w:r w:rsidRPr="00830DE2">
              <w:rPr>
                <w:rStyle w:val="hps"/>
                <w:sz w:val="18"/>
                <w:szCs w:val="18"/>
              </w:rPr>
              <w:t>.</w:t>
            </w:r>
          </w:p>
        </w:tc>
        <w:tc>
          <w:tcPr>
            <w:tcW w:w="4598" w:type="dxa"/>
          </w:tcPr>
          <w:p w14:paraId="2184780D" w14:textId="4914E012" w:rsidR="00D76295" w:rsidRPr="004728DF" w:rsidRDefault="0007764A" w:rsidP="002028F8">
            <w:pPr>
              <w:ind w:left="567" w:right="-57"/>
              <w:jc w:val="both"/>
              <w:rPr>
                <w:i/>
                <w:sz w:val="18"/>
                <w:szCs w:val="18"/>
              </w:rPr>
            </w:pPr>
            <w:proofErr w:type="gramStart"/>
            <w:r w:rsidRPr="00830DE2">
              <w:rPr>
                <w:i/>
                <w:sz w:val="18"/>
                <w:szCs w:val="18"/>
              </w:rPr>
              <w:t>Total  shares</w:t>
            </w:r>
            <w:proofErr w:type="gramEnd"/>
            <w:r w:rsidRPr="00830DE2">
              <w:rPr>
                <w:i/>
                <w:sz w:val="18"/>
                <w:szCs w:val="18"/>
              </w:rPr>
              <w:t xml:space="preserve"> of the Company  listed  on  the</w:t>
            </w:r>
            <w:r w:rsidRPr="00830DE2">
              <w:rPr>
                <w:i/>
                <w:sz w:val="18"/>
                <w:szCs w:val="18"/>
                <w:lang w:val="id-ID"/>
              </w:rPr>
              <w:t xml:space="preserve"> </w:t>
            </w:r>
            <w:r w:rsidRPr="00830DE2">
              <w:rPr>
                <w:i/>
                <w:sz w:val="18"/>
                <w:szCs w:val="18"/>
              </w:rPr>
              <w:t xml:space="preserve">Indonesia Stock Exchange as of </w:t>
            </w:r>
            <w:r w:rsidR="00CA70A7">
              <w:rPr>
                <w:i/>
                <w:sz w:val="18"/>
                <w:szCs w:val="18"/>
              </w:rPr>
              <w:t>March</w:t>
            </w:r>
            <w:r w:rsidR="002F5AC6" w:rsidRPr="00830DE2">
              <w:rPr>
                <w:i/>
                <w:sz w:val="18"/>
                <w:szCs w:val="18"/>
              </w:rPr>
              <w:t xml:space="preserve"> 31</w:t>
            </w:r>
            <w:r w:rsidR="00F216EB">
              <w:rPr>
                <w:i/>
                <w:sz w:val="18"/>
                <w:szCs w:val="18"/>
              </w:rPr>
              <w:t>,</w:t>
            </w:r>
            <w:r w:rsidR="00C17EDA" w:rsidRPr="00830DE2">
              <w:rPr>
                <w:i/>
                <w:sz w:val="18"/>
                <w:szCs w:val="18"/>
                <w:lang w:val="id-ID"/>
              </w:rPr>
              <w:t xml:space="preserve"> </w:t>
            </w:r>
            <w:r w:rsidR="00CA70A7">
              <w:rPr>
                <w:i/>
                <w:sz w:val="18"/>
                <w:szCs w:val="18"/>
              </w:rPr>
              <w:t>2020 and December 31</w:t>
            </w:r>
            <w:r w:rsidR="00F216EB">
              <w:rPr>
                <w:i/>
                <w:sz w:val="18"/>
                <w:szCs w:val="18"/>
              </w:rPr>
              <w:t>,</w:t>
            </w:r>
            <w:r w:rsidR="00CA70A7">
              <w:rPr>
                <w:i/>
                <w:sz w:val="18"/>
                <w:szCs w:val="18"/>
              </w:rPr>
              <w:t xml:space="preserve"> 2019</w:t>
            </w:r>
            <w:r w:rsidR="00F216EB">
              <w:rPr>
                <w:i/>
                <w:sz w:val="18"/>
                <w:szCs w:val="18"/>
              </w:rPr>
              <w:t>,</w:t>
            </w:r>
            <w:r w:rsidRPr="00830DE2">
              <w:rPr>
                <w:i/>
                <w:sz w:val="18"/>
                <w:szCs w:val="18"/>
              </w:rPr>
              <w:t xml:space="preserve"> are</w:t>
            </w:r>
            <w:r w:rsidR="00C17EDA" w:rsidRPr="00830DE2">
              <w:rPr>
                <w:i/>
                <w:sz w:val="18"/>
                <w:szCs w:val="18"/>
                <w:lang w:val="id-ID"/>
              </w:rPr>
              <w:t xml:space="preserve"> </w:t>
            </w:r>
            <w:r w:rsidR="00C17EDA" w:rsidRPr="00830DE2">
              <w:rPr>
                <w:i/>
                <w:sz w:val="18"/>
                <w:szCs w:val="18"/>
              </w:rPr>
              <w:t>12</w:t>
            </w:r>
            <w:r w:rsidR="00F216EB">
              <w:rPr>
                <w:i/>
                <w:sz w:val="18"/>
                <w:szCs w:val="18"/>
              </w:rPr>
              <w:t>,</w:t>
            </w:r>
            <w:r w:rsidR="00C17EDA" w:rsidRPr="00830DE2">
              <w:rPr>
                <w:i/>
                <w:sz w:val="18"/>
                <w:szCs w:val="18"/>
              </w:rPr>
              <w:t>0</w:t>
            </w:r>
            <w:r w:rsidR="00F216EB">
              <w:rPr>
                <w:i/>
                <w:sz w:val="18"/>
                <w:szCs w:val="18"/>
              </w:rPr>
              <w:t>0</w:t>
            </w:r>
            <w:r w:rsidR="00C17EDA" w:rsidRPr="00830DE2">
              <w:rPr>
                <w:i/>
                <w:sz w:val="18"/>
                <w:szCs w:val="18"/>
              </w:rPr>
              <w:t>0</w:t>
            </w:r>
            <w:r w:rsidR="00F216EB">
              <w:rPr>
                <w:i/>
                <w:sz w:val="18"/>
                <w:szCs w:val="18"/>
              </w:rPr>
              <w:t>,</w:t>
            </w:r>
            <w:r w:rsidR="00C17EDA" w:rsidRPr="00830DE2">
              <w:rPr>
                <w:i/>
                <w:sz w:val="18"/>
                <w:szCs w:val="18"/>
              </w:rPr>
              <w:t>075</w:t>
            </w:r>
            <w:r w:rsidR="00F216EB">
              <w:rPr>
                <w:i/>
                <w:sz w:val="18"/>
                <w:szCs w:val="18"/>
              </w:rPr>
              <w:t>,</w:t>
            </w:r>
            <w:r w:rsidR="00C17EDA" w:rsidRPr="00830DE2">
              <w:rPr>
                <w:i/>
                <w:sz w:val="18"/>
                <w:szCs w:val="18"/>
              </w:rPr>
              <w:t>445</w:t>
            </w:r>
            <w:r w:rsidR="00C17EDA" w:rsidRPr="00830DE2">
              <w:rPr>
                <w:i/>
                <w:sz w:val="18"/>
                <w:szCs w:val="18"/>
                <w:lang w:val="id-ID"/>
              </w:rPr>
              <w:t xml:space="preserve"> </w:t>
            </w:r>
            <w:r w:rsidRPr="00830DE2">
              <w:rPr>
                <w:i/>
                <w:sz w:val="18"/>
                <w:szCs w:val="18"/>
              </w:rPr>
              <w:t>shares</w:t>
            </w:r>
            <w:r w:rsidR="00870FD0">
              <w:rPr>
                <w:i/>
                <w:sz w:val="18"/>
                <w:szCs w:val="18"/>
              </w:rPr>
              <w:t>.</w:t>
            </w:r>
            <w:r w:rsidRPr="00830DE2">
              <w:rPr>
                <w:i/>
                <w:sz w:val="18"/>
                <w:szCs w:val="18"/>
              </w:rPr>
              <w:t xml:space="preserve"> </w:t>
            </w:r>
            <w:proofErr w:type="gramStart"/>
            <w:r w:rsidRPr="00830DE2">
              <w:rPr>
                <w:i/>
                <w:sz w:val="18"/>
                <w:szCs w:val="18"/>
              </w:rPr>
              <w:t>respectively</w:t>
            </w:r>
            <w:proofErr w:type="gramEnd"/>
            <w:r w:rsidRPr="00830DE2">
              <w:rPr>
                <w:i/>
                <w:sz w:val="18"/>
                <w:szCs w:val="18"/>
              </w:rPr>
              <w:t>.</w:t>
            </w:r>
          </w:p>
        </w:tc>
      </w:tr>
    </w:tbl>
    <w:p w14:paraId="32355E95" w14:textId="77777777" w:rsidR="00BC327D" w:rsidRDefault="00BC327D" w:rsidP="0013526B">
      <w:pPr>
        <w:rPr>
          <w:sz w:val="18"/>
          <w:lang w:val="id-ID"/>
        </w:rPr>
      </w:pPr>
    </w:p>
    <w:p w14:paraId="2E27809E" w14:textId="77777777" w:rsidR="00070E2F" w:rsidRDefault="00070E2F" w:rsidP="0013526B">
      <w:pPr>
        <w:rPr>
          <w:sz w:val="18"/>
          <w:lang w:val="id-ID"/>
        </w:rPr>
      </w:pPr>
    </w:p>
    <w:p w14:paraId="4A6CBAE2" w14:textId="77777777" w:rsidR="00070E2F" w:rsidRDefault="00070E2F" w:rsidP="0013526B">
      <w:pPr>
        <w:rPr>
          <w:sz w:val="18"/>
          <w:lang w:val="id-ID"/>
        </w:rPr>
      </w:pPr>
    </w:p>
    <w:p w14:paraId="484A4BBD" w14:textId="77777777" w:rsidR="00070E2F" w:rsidRDefault="00070E2F" w:rsidP="0013526B">
      <w:pPr>
        <w:rPr>
          <w:sz w:val="18"/>
          <w:lang w:val="id-ID"/>
        </w:rPr>
      </w:pPr>
    </w:p>
    <w:p w14:paraId="6548711E" w14:textId="77777777" w:rsidR="00070E2F" w:rsidRDefault="00070E2F" w:rsidP="0013526B">
      <w:pPr>
        <w:rPr>
          <w:sz w:val="18"/>
          <w:lang w:val="id-ID"/>
        </w:rPr>
      </w:pPr>
    </w:p>
    <w:p w14:paraId="4FD1D354" w14:textId="49870B7B" w:rsidR="002028F8" w:rsidRDefault="002028F8">
      <w:pPr>
        <w:rPr>
          <w:sz w:val="18"/>
          <w:lang w:val="id-ID"/>
        </w:rPr>
      </w:pPr>
      <w:r>
        <w:rPr>
          <w:sz w:val="18"/>
          <w:lang w:val="id-ID"/>
        </w:rPr>
        <w:br w:type="page"/>
      </w:r>
    </w:p>
    <w:p w14:paraId="5CD0469F" w14:textId="77777777" w:rsidR="00070E2F" w:rsidRPr="002028F8" w:rsidRDefault="00070E2F" w:rsidP="0013526B">
      <w:pPr>
        <w:rPr>
          <w:sz w:val="2"/>
          <w:szCs w:val="2"/>
          <w:lang w:val="id-ID"/>
        </w:rPr>
      </w:pPr>
    </w:p>
    <w:tbl>
      <w:tblPr>
        <w:tblW w:w="9197" w:type="dxa"/>
        <w:tblInd w:w="392" w:type="dxa"/>
        <w:tblLayout w:type="fixed"/>
        <w:tblLook w:val="0000" w:firstRow="0" w:lastRow="0" w:firstColumn="0" w:lastColumn="0" w:noHBand="0" w:noVBand="0"/>
      </w:tblPr>
      <w:tblGrid>
        <w:gridCol w:w="4598"/>
        <w:gridCol w:w="4599"/>
      </w:tblGrid>
      <w:tr w:rsidR="00070E2F" w:rsidRPr="0013526B" w14:paraId="1F5F870F" w14:textId="77777777" w:rsidTr="00AD0892">
        <w:tc>
          <w:tcPr>
            <w:tcW w:w="4598" w:type="dxa"/>
          </w:tcPr>
          <w:p w14:paraId="2868F3BF" w14:textId="35A5C7D3" w:rsidR="00070E2F" w:rsidRPr="00830DE2" w:rsidRDefault="00070E2F" w:rsidP="00070D1F">
            <w:pPr>
              <w:pStyle w:val="ListParagraph"/>
              <w:numPr>
                <w:ilvl w:val="0"/>
                <w:numId w:val="278"/>
              </w:numPr>
              <w:ind w:left="317" w:hanging="283"/>
              <w:contextualSpacing/>
              <w:jc w:val="both"/>
              <w:rPr>
                <w:rStyle w:val="hps"/>
                <w:b/>
                <w:sz w:val="18"/>
                <w:szCs w:val="18"/>
              </w:rPr>
            </w:pPr>
            <w:r w:rsidRPr="00830DE2">
              <w:rPr>
                <w:rStyle w:val="hps"/>
                <w:b/>
                <w:sz w:val="18"/>
                <w:szCs w:val="18"/>
              </w:rPr>
              <w:t xml:space="preserve">UMUM </w:t>
            </w:r>
            <w:r w:rsidR="00284C7C" w:rsidRPr="00830DE2">
              <w:rPr>
                <w:rStyle w:val="hps"/>
                <w:b/>
                <w:sz w:val="18"/>
                <w:szCs w:val="18"/>
                <w:lang w:val="id-ID"/>
              </w:rPr>
              <w:t>-</w:t>
            </w:r>
            <w:r w:rsidRPr="00830DE2">
              <w:rPr>
                <w:rStyle w:val="hps"/>
                <w:b/>
                <w:sz w:val="18"/>
                <w:szCs w:val="18"/>
              </w:rPr>
              <w:t xml:space="preserve"> Lanjutan</w:t>
            </w:r>
          </w:p>
        </w:tc>
        <w:tc>
          <w:tcPr>
            <w:tcW w:w="4598" w:type="dxa"/>
          </w:tcPr>
          <w:p w14:paraId="5D5BA1EA" w14:textId="77777777" w:rsidR="00070E2F" w:rsidRPr="00830DE2" w:rsidRDefault="00070E2F" w:rsidP="00070D1F">
            <w:pPr>
              <w:pStyle w:val="ListParagraph"/>
              <w:numPr>
                <w:ilvl w:val="0"/>
                <w:numId w:val="279"/>
              </w:numPr>
              <w:ind w:left="289" w:hanging="289"/>
              <w:contextualSpacing/>
              <w:jc w:val="both"/>
              <w:rPr>
                <w:b/>
                <w:bCs w:val="0"/>
                <w:i/>
                <w:sz w:val="18"/>
                <w:szCs w:val="18"/>
              </w:rPr>
            </w:pPr>
            <w:r w:rsidRPr="00830DE2">
              <w:rPr>
                <w:b/>
                <w:i/>
                <w:sz w:val="18"/>
                <w:szCs w:val="18"/>
              </w:rPr>
              <w:t>GENERAL - Continued</w:t>
            </w:r>
          </w:p>
        </w:tc>
      </w:tr>
      <w:tr w:rsidR="00070E2F" w:rsidRPr="00830DE2" w14:paraId="14D27C3D" w14:textId="77777777" w:rsidTr="00AD0892">
        <w:tc>
          <w:tcPr>
            <w:tcW w:w="4598" w:type="dxa"/>
          </w:tcPr>
          <w:p w14:paraId="2ECCFBAE" w14:textId="77777777" w:rsidR="00070E2F" w:rsidRPr="00830DE2" w:rsidRDefault="00070E2F" w:rsidP="00C0406D">
            <w:pPr>
              <w:jc w:val="both"/>
              <w:rPr>
                <w:rStyle w:val="hps"/>
                <w:sz w:val="18"/>
                <w:szCs w:val="10"/>
              </w:rPr>
            </w:pPr>
          </w:p>
        </w:tc>
        <w:tc>
          <w:tcPr>
            <w:tcW w:w="4598" w:type="dxa"/>
          </w:tcPr>
          <w:p w14:paraId="08E002A7" w14:textId="77777777" w:rsidR="00070E2F" w:rsidRPr="00830DE2" w:rsidRDefault="00070E2F" w:rsidP="00C0406D">
            <w:pPr>
              <w:ind w:left="426"/>
              <w:jc w:val="both"/>
              <w:rPr>
                <w:bCs w:val="0"/>
                <w:i/>
                <w:sz w:val="18"/>
                <w:szCs w:val="10"/>
              </w:rPr>
            </w:pPr>
          </w:p>
        </w:tc>
      </w:tr>
      <w:tr w:rsidR="00070E2F" w:rsidRPr="00830DE2" w14:paraId="03B73E3A" w14:textId="77777777" w:rsidTr="00AD0892">
        <w:tc>
          <w:tcPr>
            <w:tcW w:w="4598" w:type="dxa"/>
          </w:tcPr>
          <w:p w14:paraId="69F4F325" w14:textId="2CEC9B09" w:rsidR="00070E2F" w:rsidRPr="00830DE2" w:rsidRDefault="00070E2F" w:rsidP="00070D1F">
            <w:pPr>
              <w:pStyle w:val="ListParagraph"/>
              <w:numPr>
                <w:ilvl w:val="0"/>
                <w:numId w:val="274"/>
              </w:numPr>
              <w:ind w:left="601" w:right="-57" w:hanging="280"/>
              <w:contextualSpacing/>
              <w:jc w:val="both"/>
              <w:rPr>
                <w:rStyle w:val="hps"/>
                <w:b/>
                <w:sz w:val="18"/>
                <w:szCs w:val="18"/>
              </w:rPr>
            </w:pPr>
            <w:r w:rsidRPr="00830DE2">
              <w:rPr>
                <w:rStyle w:val="hps"/>
                <w:b/>
                <w:sz w:val="18"/>
                <w:szCs w:val="18"/>
                <w:lang w:val="id-ID"/>
              </w:rPr>
              <w:t>Transaksi Penggabungan Usaha</w:t>
            </w:r>
          </w:p>
        </w:tc>
        <w:tc>
          <w:tcPr>
            <w:tcW w:w="4598" w:type="dxa"/>
          </w:tcPr>
          <w:p w14:paraId="7520BB1D" w14:textId="3D8D69A8" w:rsidR="00070E2F" w:rsidRPr="00830DE2" w:rsidRDefault="00070E2F" w:rsidP="00070D1F">
            <w:pPr>
              <w:pStyle w:val="ListParagraph"/>
              <w:numPr>
                <w:ilvl w:val="0"/>
                <w:numId w:val="275"/>
              </w:numPr>
              <w:ind w:left="572" w:right="-57" w:hanging="261"/>
              <w:contextualSpacing/>
              <w:jc w:val="both"/>
              <w:rPr>
                <w:b/>
                <w:bCs w:val="0"/>
                <w:i/>
                <w:sz w:val="18"/>
                <w:szCs w:val="18"/>
              </w:rPr>
            </w:pPr>
            <w:r w:rsidRPr="00830DE2">
              <w:rPr>
                <w:b/>
                <w:i/>
                <w:sz w:val="18"/>
                <w:szCs w:val="18"/>
                <w:lang w:val="id-ID"/>
              </w:rPr>
              <w:t>Merger Transaction</w:t>
            </w:r>
          </w:p>
        </w:tc>
      </w:tr>
      <w:tr w:rsidR="00070E2F" w:rsidRPr="00830DE2" w14:paraId="72B8808A" w14:textId="77777777" w:rsidTr="00AD0892">
        <w:tc>
          <w:tcPr>
            <w:tcW w:w="4598" w:type="dxa"/>
          </w:tcPr>
          <w:p w14:paraId="27DADFC2" w14:textId="77777777" w:rsidR="00070E2F" w:rsidRPr="00830DE2" w:rsidRDefault="00070E2F" w:rsidP="00C0406D">
            <w:pPr>
              <w:jc w:val="both"/>
              <w:rPr>
                <w:rStyle w:val="hps"/>
                <w:sz w:val="18"/>
                <w:szCs w:val="10"/>
              </w:rPr>
            </w:pPr>
          </w:p>
        </w:tc>
        <w:tc>
          <w:tcPr>
            <w:tcW w:w="4598" w:type="dxa"/>
          </w:tcPr>
          <w:p w14:paraId="12C6E128" w14:textId="77777777" w:rsidR="00070E2F" w:rsidRPr="00830DE2" w:rsidRDefault="00070E2F" w:rsidP="00C0406D">
            <w:pPr>
              <w:ind w:left="426"/>
              <w:jc w:val="both"/>
              <w:rPr>
                <w:bCs w:val="0"/>
                <w:i/>
                <w:sz w:val="18"/>
                <w:szCs w:val="10"/>
              </w:rPr>
            </w:pPr>
          </w:p>
        </w:tc>
      </w:tr>
      <w:tr w:rsidR="00070E2F" w:rsidRPr="00E43E08" w14:paraId="44E84616" w14:textId="77777777" w:rsidTr="00AD0892">
        <w:tc>
          <w:tcPr>
            <w:tcW w:w="4598" w:type="dxa"/>
          </w:tcPr>
          <w:p w14:paraId="2B281323" w14:textId="10B1622B" w:rsidR="00070E2F" w:rsidRPr="00830DE2" w:rsidRDefault="00070E2F" w:rsidP="004F4870">
            <w:pPr>
              <w:ind w:left="629" w:right="-57"/>
              <w:jc w:val="both"/>
              <w:rPr>
                <w:rStyle w:val="hps"/>
                <w:sz w:val="18"/>
                <w:szCs w:val="18"/>
              </w:rPr>
            </w:pPr>
            <w:r w:rsidRPr="00830DE2">
              <w:rPr>
                <w:rStyle w:val="hps"/>
                <w:sz w:val="18"/>
                <w:szCs w:val="18"/>
              </w:rPr>
              <w:t>Pada bulan Mei 2018</w:t>
            </w:r>
            <w:r w:rsidR="00F216EB">
              <w:rPr>
                <w:rStyle w:val="hps"/>
                <w:sz w:val="18"/>
                <w:szCs w:val="18"/>
              </w:rPr>
              <w:t>,</w:t>
            </w:r>
            <w:r w:rsidRPr="00830DE2">
              <w:rPr>
                <w:rStyle w:val="hps"/>
                <w:sz w:val="18"/>
                <w:szCs w:val="18"/>
              </w:rPr>
              <w:t xml:space="preserve"> Perusahaan </w:t>
            </w:r>
            <w:r w:rsidR="00373B4C">
              <w:rPr>
                <w:rStyle w:val="hps"/>
                <w:sz w:val="18"/>
                <w:szCs w:val="18"/>
              </w:rPr>
              <w:t xml:space="preserve">bersama </w:t>
            </w:r>
            <w:r w:rsidRPr="00830DE2">
              <w:rPr>
                <w:rStyle w:val="hps"/>
                <w:sz w:val="18"/>
                <w:szCs w:val="18"/>
              </w:rPr>
              <w:t>- sama</w:t>
            </w:r>
            <w:r w:rsidRPr="00830DE2">
              <w:rPr>
                <w:rStyle w:val="hps"/>
                <w:sz w:val="18"/>
                <w:szCs w:val="18"/>
                <w:lang w:val="id-ID"/>
              </w:rPr>
              <w:t xml:space="preserve"> </w:t>
            </w:r>
            <w:r w:rsidRPr="00830DE2">
              <w:rPr>
                <w:rStyle w:val="hps"/>
                <w:sz w:val="18"/>
                <w:szCs w:val="18"/>
              </w:rPr>
              <w:t>dengan PT Bogor Medical Center (BMC)</w:t>
            </w:r>
            <w:r w:rsidR="00870FD0">
              <w:rPr>
                <w:rStyle w:val="hps"/>
                <w:sz w:val="18"/>
                <w:szCs w:val="18"/>
              </w:rPr>
              <w:t>.</w:t>
            </w:r>
            <w:r w:rsidRPr="00830DE2">
              <w:rPr>
                <w:rStyle w:val="hps"/>
                <w:sz w:val="18"/>
                <w:szCs w:val="18"/>
                <w:lang w:val="id-ID"/>
              </w:rPr>
              <w:t xml:space="preserve"> </w:t>
            </w:r>
            <w:proofErr w:type="gramStart"/>
            <w:r w:rsidRPr="00830DE2">
              <w:rPr>
                <w:rStyle w:val="hps"/>
                <w:sz w:val="18"/>
                <w:szCs w:val="18"/>
              </w:rPr>
              <w:t>menyampaikan  surat</w:t>
            </w:r>
            <w:proofErr w:type="gramEnd"/>
            <w:r w:rsidRPr="00830DE2">
              <w:rPr>
                <w:rStyle w:val="hps"/>
                <w:sz w:val="18"/>
                <w:szCs w:val="18"/>
              </w:rPr>
              <w:t xml:space="preserve">  ke  Otoritas  Jasa Keuangan</w:t>
            </w:r>
            <w:r w:rsidRPr="00830DE2">
              <w:rPr>
                <w:rStyle w:val="hps"/>
                <w:sz w:val="18"/>
                <w:szCs w:val="18"/>
                <w:lang w:val="id-ID"/>
              </w:rPr>
              <w:t xml:space="preserve"> </w:t>
            </w:r>
            <w:r w:rsidRPr="00830DE2">
              <w:rPr>
                <w:rStyle w:val="hps"/>
                <w:sz w:val="18"/>
                <w:szCs w:val="18"/>
              </w:rPr>
              <w:t>(OJK) sehubungan dengan rencana penggabungan</w:t>
            </w:r>
            <w:r w:rsidRPr="00830DE2">
              <w:rPr>
                <w:rStyle w:val="hps"/>
                <w:sz w:val="18"/>
                <w:szCs w:val="18"/>
                <w:lang w:val="id-ID"/>
              </w:rPr>
              <w:t xml:space="preserve"> </w:t>
            </w:r>
            <w:r w:rsidRPr="00830DE2">
              <w:rPr>
                <w:rStyle w:val="hps"/>
                <w:sz w:val="18"/>
                <w:szCs w:val="18"/>
              </w:rPr>
              <w:t>usaha BMC (Perusahaan yang Bergabung) ke dalam</w:t>
            </w:r>
            <w:r w:rsidRPr="00830DE2">
              <w:rPr>
                <w:rStyle w:val="hps"/>
                <w:sz w:val="18"/>
                <w:szCs w:val="18"/>
                <w:lang w:val="id-ID"/>
              </w:rPr>
              <w:t xml:space="preserve"> </w:t>
            </w:r>
            <w:r w:rsidRPr="00830DE2">
              <w:rPr>
                <w:rStyle w:val="hps"/>
                <w:sz w:val="18"/>
                <w:szCs w:val="18"/>
              </w:rPr>
              <w:t>Perusahaan (secara kolektif disebut Peserta</w:t>
            </w:r>
            <w:r w:rsidRPr="00830DE2">
              <w:rPr>
                <w:rStyle w:val="hps"/>
                <w:sz w:val="18"/>
                <w:szCs w:val="18"/>
                <w:lang w:val="id-ID"/>
              </w:rPr>
              <w:t xml:space="preserve"> </w:t>
            </w:r>
            <w:r w:rsidRPr="00830DE2">
              <w:rPr>
                <w:rStyle w:val="hps"/>
                <w:sz w:val="18"/>
                <w:szCs w:val="18"/>
              </w:rPr>
              <w:t>Penggabungan).</w:t>
            </w:r>
          </w:p>
        </w:tc>
        <w:tc>
          <w:tcPr>
            <w:tcW w:w="4598" w:type="dxa"/>
          </w:tcPr>
          <w:p w14:paraId="3B72F9DC" w14:textId="67BE78B1" w:rsidR="00070E2F" w:rsidRPr="00830DE2" w:rsidRDefault="00070E2F" w:rsidP="00F216EB">
            <w:pPr>
              <w:ind w:left="567" w:right="-57"/>
              <w:jc w:val="both"/>
              <w:rPr>
                <w:i/>
                <w:sz w:val="18"/>
                <w:szCs w:val="18"/>
              </w:rPr>
            </w:pPr>
            <w:r w:rsidRPr="00830DE2">
              <w:rPr>
                <w:i/>
                <w:sz w:val="18"/>
                <w:szCs w:val="18"/>
              </w:rPr>
              <w:t>In May 2018</w:t>
            </w:r>
            <w:r w:rsidR="00F216EB">
              <w:rPr>
                <w:i/>
                <w:sz w:val="18"/>
                <w:szCs w:val="18"/>
              </w:rPr>
              <w:t>,</w:t>
            </w:r>
            <w:r w:rsidRPr="00830DE2">
              <w:rPr>
                <w:i/>
                <w:sz w:val="18"/>
                <w:szCs w:val="18"/>
              </w:rPr>
              <w:t xml:space="preserve"> the Company has together with</w:t>
            </w:r>
            <w:r w:rsidRPr="00830DE2">
              <w:rPr>
                <w:i/>
                <w:sz w:val="18"/>
                <w:szCs w:val="18"/>
                <w:lang w:val="id-ID"/>
              </w:rPr>
              <w:t xml:space="preserve"> </w:t>
            </w:r>
            <w:r w:rsidRPr="00830DE2">
              <w:rPr>
                <w:i/>
                <w:sz w:val="18"/>
                <w:szCs w:val="18"/>
                <w:lang w:val="id-ID"/>
              </w:rPr>
              <w:br/>
            </w:r>
            <w:proofErr w:type="gramStart"/>
            <w:r w:rsidRPr="00830DE2">
              <w:rPr>
                <w:i/>
                <w:sz w:val="18"/>
                <w:szCs w:val="18"/>
              </w:rPr>
              <w:t>PT  Bogor</w:t>
            </w:r>
            <w:proofErr w:type="gramEnd"/>
            <w:r w:rsidRPr="00830DE2">
              <w:rPr>
                <w:i/>
                <w:sz w:val="18"/>
                <w:szCs w:val="18"/>
              </w:rPr>
              <w:t xml:space="preserve">  Medical  Center  (BMC)</w:t>
            </w:r>
            <w:r w:rsidR="00870FD0">
              <w:rPr>
                <w:i/>
                <w:sz w:val="18"/>
                <w:szCs w:val="18"/>
              </w:rPr>
              <w:t>.</w:t>
            </w:r>
            <w:r w:rsidRPr="00830DE2">
              <w:rPr>
                <w:i/>
                <w:sz w:val="18"/>
                <w:szCs w:val="18"/>
              </w:rPr>
              <w:t xml:space="preserve">  </w:t>
            </w:r>
            <w:proofErr w:type="gramStart"/>
            <w:r w:rsidRPr="00830DE2">
              <w:rPr>
                <w:i/>
                <w:sz w:val="18"/>
                <w:szCs w:val="18"/>
              </w:rPr>
              <w:t>submitted</w:t>
            </w:r>
            <w:proofErr w:type="gramEnd"/>
            <w:r w:rsidRPr="00830DE2">
              <w:rPr>
                <w:i/>
                <w:sz w:val="18"/>
                <w:szCs w:val="18"/>
                <w:lang w:val="id-ID"/>
              </w:rPr>
              <w:t xml:space="preserve"> </w:t>
            </w:r>
            <w:r w:rsidRPr="00830DE2">
              <w:rPr>
                <w:i/>
                <w:sz w:val="18"/>
                <w:szCs w:val="18"/>
              </w:rPr>
              <w:t>letters to Financial Service Authority (OJK) in</w:t>
            </w:r>
            <w:r w:rsidRPr="00830DE2">
              <w:rPr>
                <w:i/>
                <w:sz w:val="18"/>
                <w:szCs w:val="18"/>
                <w:lang w:val="id-ID"/>
              </w:rPr>
              <w:t xml:space="preserve"> </w:t>
            </w:r>
            <w:r w:rsidRPr="00830DE2">
              <w:rPr>
                <w:i/>
                <w:sz w:val="18"/>
                <w:szCs w:val="18"/>
              </w:rPr>
              <w:t>connection with the merger plan between BMC (the</w:t>
            </w:r>
            <w:r w:rsidRPr="00830DE2">
              <w:rPr>
                <w:i/>
                <w:sz w:val="18"/>
                <w:szCs w:val="18"/>
                <w:lang w:val="id-ID"/>
              </w:rPr>
              <w:t xml:space="preserve"> </w:t>
            </w:r>
            <w:r w:rsidRPr="00830DE2">
              <w:rPr>
                <w:i/>
                <w:sz w:val="18"/>
                <w:szCs w:val="18"/>
              </w:rPr>
              <w:t>Merging Company) into the Company (collectively</w:t>
            </w:r>
            <w:r w:rsidRPr="00830DE2">
              <w:rPr>
                <w:i/>
                <w:sz w:val="18"/>
                <w:szCs w:val="18"/>
                <w:lang w:val="id-ID"/>
              </w:rPr>
              <w:t xml:space="preserve"> </w:t>
            </w:r>
            <w:r w:rsidRPr="00830DE2">
              <w:rPr>
                <w:i/>
                <w:sz w:val="18"/>
                <w:szCs w:val="18"/>
              </w:rPr>
              <w:t>called as Merging Parties).</w:t>
            </w:r>
          </w:p>
        </w:tc>
      </w:tr>
      <w:tr w:rsidR="00070E2F" w:rsidRPr="00E43E08" w14:paraId="7F092395" w14:textId="77777777" w:rsidTr="00AD0892">
        <w:tc>
          <w:tcPr>
            <w:tcW w:w="4598" w:type="dxa"/>
          </w:tcPr>
          <w:p w14:paraId="1DD599AE" w14:textId="77777777" w:rsidR="00070E2F" w:rsidRPr="00AD0892" w:rsidRDefault="00070E2F" w:rsidP="00C0406D">
            <w:pPr>
              <w:ind w:left="567" w:right="-57"/>
              <w:jc w:val="both"/>
              <w:rPr>
                <w:rStyle w:val="hps"/>
                <w:sz w:val="18"/>
                <w:szCs w:val="18"/>
                <w:highlight w:val="cyan"/>
              </w:rPr>
            </w:pPr>
          </w:p>
        </w:tc>
        <w:tc>
          <w:tcPr>
            <w:tcW w:w="4598" w:type="dxa"/>
          </w:tcPr>
          <w:p w14:paraId="267559F7" w14:textId="77777777" w:rsidR="00070E2F" w:rsidRPr="00AD0892" w:rsidRDefault="00070E2F" w:rsidP="00C0406D">
            <w:pPr>
              <w:ind w:left="567" w:right="-57"/>
              <w:jc w:val="both"/>
              <w:rPr>
                <w:i/>
                <w:sz w:val="18"/>
                <w:szCs w:val="18"/>
                <w:highlight w:val="cyan"/>
              </w:rPr>
            </w:pPr>
          </w:p>
        </w:tc>
      </w:tr>
      <w:tr w:rsidR="00070E2F" w:rsidRPr="00830DE2" w14:paraId="73949FE5" w14:textId="77777777" w:rsidTr="00AD0892">
        <w:tc>
          <w:tcPr>
            <w:tcW w:w="4598" w:type="dxa"/>
          </w:tcPr>
          <w:p w14:paraId="1CA6F694" w14:textId="18FD80F8" w:rsidR="00070E2F" w:rsidRPr="00830DE2" w:rsidRDefault="00070E2F" w:rsidP="00F216EB">
            <w:pPr>
              <w:ind w:left="629" w:right="-57"/>
              <w:jc w:val="both"/>
              <w:rPr>
                <w:rStyle w:val="hps"/>
                <w:sz w:val="18"/>
                <w:szCs w:val="18"/>
              </w:rPr>
            </w:pPr>
            <w:r w:rsidRPr="00830DE2">
              <w:rPr>
                <w:rStyle w:val="hps"/>
                <w:sz w:val="18"/>
                <w:szCs w:val="18"/>
              </w:rPr>
              <w:t>Setelah proses Penggabungan Usaha ini terlaksana</w:t>
            </w:r>
            <w:r w:rsidR="00F216EB">
              <w:rPr>
                <w:rStyle w:val="hps"/>
                <w:sz w:val="18"/>
                <w:szCs w:val="18"/>
              </w:rPr>
              <w:t>,</w:t>
            </w:r>
            <w:r w:rsidRPr="00830DE2">
              <w:rPr>
                <w:rStyle w:val="hps"/>
                <w:sz w:val="18"/>
                <w:szCs w:val="18"/>
                <w:lang w:val="id-ID"/>
              </w:rPr>
              <w:t xml:space="preserve"> </w:t>
            </w:r>
            <w:r w:rsidRPr="00830DE2">
              <w:rPr>
                <w:rStyle w:val="hps"/>
                <w:sz w:val="18"/>
                <w:szCs w:val="18"/>
              </w:rPr>
              <w:t>maka kepemilikan para pemegang saham Peserta</w:t>
            </w:r>
            <w:r w:rsidRPr="00830DE2">
              <w:rPr>
                <w:rStyle w:val="hps"/>
                <w:sz w:val="18"/>
                <w:szCs w:val="18"/>
                <w:lang w:val="id-ID"/>
              </w:rPr>
              <w:t xml:space="preserve"> </w:t>
            </w:r>
            <w:r w:rsidRPr="00830DE2">
              <w:rPr>
                <w:rStyle w:val="hps"/>
                <w:sz w:val="18"/>
                <w:szCs w:val="18"/>
              </w:rPr>
              <w:t>Penggabungan dalam Perusahaan Hasil Penggabungan   sebagian akan  terdilusi  dan  sebagian</w:t>
            </w:r>
            <w:r w:rsidRPr="00830DE2">
              <w:rPr>
                <w:rStyle w:val="hps"/>
                <w:sz w:val="18"/>
                <w:szCs w:val="18"/>
                <w:lang w:val="id-ID"/>
              </w:rPr>
              <w:t xml:space="preserve"> </w:t>
            </w:r>
            <w:r w:rsidRPr="00830DE2">
              <w:rPr>
                <w:rStyle w:val="hps"/>
                <w:sz w:val="18"/>
                <w:szCs w:val="18"/>
              </w:rPr>
              <w:t>lagi  akan mengalami peningkatan secara proporsional</w:t>
            </w:r>
            <w:r w:rsidRPr="00830DE2">
              <w:rPr>
                <w:rStyle w:val="hps"/>
                <w:sz w:val="18"/>
                <w:szCs w:val="18"/>
                <w:lang w:val="id-ID"/>
              </w:rPr>
              <w:t xml:space="preserve"> </w:t>
            </w:r>
            <w:r w:rsidRPr="00830DE2">
              <w:rPr>
                <w:rStyle w:val="hps"/>
                <w:sz w:val="18"/>
                <w:szCs w:val="18"/>
              </w:rPr>
              <w:t>sesuai dengan persentase kepemilikan mereka dalam masing-masing Peserta Penggabungan sebagai akibat</w:t>
            </w:r>
            <w:r w:rsidRPr="00830DE2">
              <w:rPr>
                <w:rStyle w:val="hps"/>
                <w:sz w:val="18"/>
                <w:szCs w:val="18"/>
                <w:lang w:val="id-ID"/>
              </w:rPr>
              <w:t xml:space="preserve"> </w:t>
            </w:r>
            <w:r w:rsidRPr="00830DE2">
              <w:rPr>
                <w:rStyle w:val="hps"/>
                <w:sz w:val="18"/>
                <w:szCs w:val="18"/>
              </w:rPr>
              <w:t xml:space="preserve">dari konversi saham sesuai dengan     faktor    </w:t>
            </w:r>
            <w:r w:rsidRPr="00830DE2">
              <w:rPr>
                <w:rStyle w:val="hps"/>
                <w:sz w:val="18"/>
                <w:szCs w:val="18"/>
                <w:lang w:val="id-ID"/>
              </w:rPr>
              <w:t xml:space="preserve"> </w:t>
            </w:r>
            <w:r w:rsidRPr="00830DE2">
              <w:rPr>
                <w:rStyle w:val="hps"/>
                <w:sz w:val="18"/>
                <w:szCs w:val="18"/>
              </w:rPr>
              <w:t>konversi     saham     yakni pada tanggal efektifnya</w:t>
            </w:r>
            <w:r w:rsidRPr="00830DE2">
              <w:rPr>
                <w:rStyle w:val="hps"/>
                <w:sz w:val="18"/>
                <w:szCs w:val="18"/>
                <w:lang w:val="id-ID"/>
              </w:rPr>
              <w:t xml:space="preserve"> </w:t>
            </w:r>
            <w:r w:rsidRPr="00830DE2">
              <w:rPr>
                <w:rStyle w:val="hps"/>
                <w:sz w:val="18"/>
                <w:szCs w:val="18"/>
              </w:rPr>
              <w:t>Penggabungan Usaha</w:t>
            </w:r>
            <w:r w:rsidR="00870FD0">
              <w:rPr>
                <w:rStyle w:val="hps"/>
                <w:sz w:val="18"/>
                <w:szCs w:val="18"/>
              </w:rPr>
              <w:t>.</w:t>
            </w:r>
            <w:r w:rsidRPr="00830DE2">
              <w:rPr>
                <w:rStyle w:val="hps"/>
                <w:sz w:val="18"/>
                <w:szCs w:val="18"/>
              </w:rPr>
              <w:t xml:space="preserve"> </w:t>
            </w:r>
            <w:proofErr w:type="gramStart"/>
            <w:r w:rsidRPr="00830DE2">
              <w:rPr>
                <w:rStyle w:val="hps"/>
                <w:sz w:val="18"/>
                <w:szCs w:val="18"/>
              </w:rPr>
              <w:t>pemegang</w:t>
            </w:r>
            <w:proofErr w:type="gramEnd"/>
            <w:r w:rsidRPr="00830DE2">
              <w:rPr>
                <w:rStyle w:val="hps"/>
                <w:sz w:val="18"/>
                <w:szCs w:val="18"/>
              </w:rPr>
              <w:t xml:space="preserve"> saham BMC akan</w:t>
            </w:r>
            <w:r w:rsidRPr="00830DE2">
              <w:rPr>
                <w:rStyle w:val="hps"/>
                <w:sz w:val="18"/>
                <w:szCs w:val="18"/>
                <w:lang w:val="id-ID"/>
              </w:rPr>
              <w:t xml:space="preserve"> </w:t>
            </w:r>
            <w:r w:rsidRPr="00830DE2">
              <w:rPr>
                <w:rStyle w:val="hps"/>
                <w:sz w:val="18"/>
                <w:szCs w:val="18"/>
              </w:rPr>
              <w:t>menerima saham</w:t>
            </w:r>
            <w:r w:rsidRPr="00830DE2">
              <w:rPr>
                <w:rStyle w:val="hps"/>
                <w:sz w:val="18"/>
                <w:szCs w:val="18"/>
                <w:lang w:val="id-ID"/>
              </w:rPr>
              <w:t xml:space="preserve"> </w:t>
            </w:r>
            <w:r w:rsidR="002F5AC6" w:rsidRPr="00830DE2">
              <w:rPr>
                <w:rStyle w:val="hps"/>
                <w:sz w:val="18"/>
                <w:szCs w:val="18"/>
              </w:rPr>
              <w:t>71.315</w:t>
            </w:r>
            <w:r w:rsidR="00F216EB">
              <w:rPr>
                <w:rStyle w:val="hps"/>
                <w:sz w:val="18"/>
                <w:szCs w:val="18"/>
              </w:rPr>
              <w:t>,</w:t>
            </w:r>
            <w:r w:rsidRPr="00830DE2">
              <w:rPr>
                <w:rStyle w:val="hps"/>
                <w:sz w:val="18"/>
                <w:szCs w:val="18"/>
              </w:rPr>
              <w:t>21 lembar saham SRAJ untuk setiap 1 saham BMC.</w:t>
            </w:r>
          </w:p>
        </w:tc>
        <w:tc>
          <w:tcPr>
            <w:tcW w:w="4598" w:type="dxa"/>
          </w:tcPr>
          <w:p w14:paraId="4C4E5160" w14:textId="497115D5" w:rsidR="00070E2F" w:rsidRPr="00830DE2" w:rsidRDefault="00986359" w:rsidP="00F216EB">
            <w:pPr>
              <w:ind w:left="567" w:right="-57"/>
              <w:jc w:val="both"/>
              <w:rPr>
                <w:i/>
                <w:sz w:val="18"/>
                <w:szCs w:val="18"/>
              </w:rPr>
            </w:pPr>
            <w:r w:rsidRPr="00830DE2">
              <w:rPr>
                <w:i/>
                <w:sz w:val="18"/>
                <w:szCs w:val="18"/>
              </w:rPr>
              <w:t>Once the Merger is implemented</w:t>
            </w:r>
            <w:r w:rsidR="00F216EB">
              <w:rPr>
                <w:i/>
                <w:sz w:val="18"/>
                <w:szCs w:val="18"/>
              </w:rPr>
              <w:t>,</w:t>
            </w:r>
            <w:r w:rsidRPr="00830DE2">
              <w:rPr>
                <w:i/>
                <w:sz w:val="18"/>
                <w:szCs w:val="18"/>
              </w:rPr>
              <w:t xml:space="preserve"> the ownership of the shareholders of the Merging Parties in the Surviving Company shall be partly diluted or partly increased in proportion to their shareholdings in each of the Merging Parties as a result of the conversion of shares in </w:t>
            </w:r>
            <w:proofErr w:type="gramStart"/>
            <w:r w:rsidRPr="00830DE2">
              <w:rPr>
                <w:i/>
                <w:sz w:val="18"/>
                <w:szCs w:val="18"/>
              </w:rPr>
              <w:t>accordance  with</w:t>
            </w:r>
            <w:proofErr w:type="gramEnd"/>
            <w:r w:rsidRPr="00830DE2">
              <w:rPr>
                <w:i/>
                <w:sz w:val="18"/>
                <w:szCs w:val="18"/>
              </w:rPr>
              <w:t xml:space="preserve">  the  respective  share conversion factorsOn the effective date of the Merger</w:t>
            </w:r>
            <w:r w:rsidR="00870FD0">
              <w:rPr>
                <w:i/>
                <w:sz w:val="18"/>
                <w:szCs w:val="18"/>
              </w:rPr>
              <w:t>.</w:t>
            </w:r>
            <w:r w:rsidRPr="00830DE2">
              <w:rPr>
                <w:i/>
                <w:sz w:val="18"/>
                <w:szCs w:val="18"/>
              </w:rPr>
              <w:t xml:space="preserve"> BMC’s    shareholders will receive</w:t>
            </w:r>
            <w:r w:rsidRPr="00830DE2">
              <w:rPr>
                <w:i/>
                <w:sz w:val="18"/>
                <w:szCs w:val="18"/>
                <w:lang w:val="id-ID"/>
              </w:rPr>
              <w:t xml:space="preserve"> </w:t>
            </w:r>
            <w:proofErr w:type="gramStart"/>
            <w:r w:rsidRPr="00F216EB">
              <w:rPr>
                <w:i/>
                <w:sz w:val="18"/>
                <w:szCs w:val="18"/>
              </w:rPr>
              <w:t>71</w:t>
            </w:r>
            <w:r w:rsidR="00F216EB" w:rsidRPr="00F216EB">
              <w:rPr>
                <w:i/>
                <w:sz w:val="18"/>
                <w:szCs w:val="18"/>
              </w:rPr>
              <w:t>,315.</w:t>
            </w:r>
            <w:r w:rsidRPr="00F216EB">
              <w:rPr>
                <w:i/>
                <w:sz w:val="18"/>
                <w:szCs w:val="18"/>
              </w:rPr>
              <w:t>21</w:t>
            </w:r>
            <w:r w:rsidRPr="00830DE2">
              <w:rPr>
                <w:i/>
                <w:sz w:val="18"/>
                <w:szCs w:val="18"/>
              </w:rPr>
              <w:t xml:space="preserve">  shares</w:t>
            </w:r>
            <w:proofErr w:type="gramEnd"/>
            <w:r w:rsidRPr="00830DE2">
              <w:rPr>
                <w:i/>
                <w:sz w:val="18"/>
                <w:szCs w:val="18"/>
              </w:rPr>
              <w:t xml:space="preserve">  in  SRAJ  for  every  1  BMC</w:t>
            </w:r>
            <w:r w:rsidRPr="00830DE2">
              <w:rPr>
                <w:i/>
                <w:sz w:val="18"/>
                <w:szCs w:val="18"/>
                <w:lang w:val="id-ID"/>
              </w:rPr>
              <w:t xml:space="preserve"> </w:t>
            </w:r>
            <w:r w:rsidRPr="00830DE2">
              <w:rPr>
                <w:i/>
                <w:sz w:val="18"/>
                <w:szCs w:val="18"/>
              </w:rPr>
              <w:t>shares.</w:t>
            </w:r>
          </w:p>
        </w:tc>
      </w:tr>
      <w:tr w:rsidR="00070E2F" w:rsidRPr="00830DE2" w14:paraId="0276597D" w14:textId="77777777" w:rsidTr="00AD0892">
        <w:tc>
          <w:tcPr>
            <w:tcW w:w="4598" w:type="dxa"/>
          </w:tcPr>
          <w:p w14:paraId="27C71419" w14:textId="77777777" w:rsidR="00070E2F" w:rsidRPr="00830DE2" w:rsidRDefault="00070E2F" w:rsidP="00C0406D">
            <w:pPr>
              <w:ind w:left="567" w:right="-57"/>
              <w:jc w:val="both"/>
              <w:rPr>
                <w:rStyle w:val="hps"/>
                <w:sz w:val="18"/>
                <w:szCs w:val="18"/>
              </w:rPr>
            </w:pPr>
          </w:p>
        </w:tc>
        <w:tc>
          <w:tcPr>
            <w:tcW w:w="4598" w:type="dxa"/>
          </w:tcPr>
          <w:p w14:paraId="1B5AB8F5" w14:textId="77777777" w:rsidR="00070E2F" w:rsidRPr="00830DE2" w:rsidRDefault="00070E2F" w:rsidP="00C0406D">
            <w:pPr>
              <w:ind w:left="567" w:right="-57"/>
              <w:jc w:val="both"/>
              <w:rPr>
                <w:i/>
                <w:sz w:val="18"/>
                <w:szCs w:val="18"/>
              </w:rPr>
            </w:pPr>
          </w:p>
        </w:tc>
      </w:tr>
      <w:tr w:rsidR="00070E2F" w:rsidRPr="00830DE2" w14:paraId="4A51E541" w14:textId="77777777" w:rsidTr="00AD0892">
        <w:tc>
          <w:tcPr>
            <w:tcW w:w="4598" w:type="dxa"/>
          </w:tcPr>
          <w:p w14:paraId="1153B2A8" w14:textId="3257B855" w:rsidR="00070E2F" w:rsidRPr="00830DE2" w:rsidRDefault="00986359" w:rsidP="004F4870">
            <w:pPr>
              <w:ind w:left="629" w:right="-57"/>
              <w:jc w:val="both"/>
              <w:rPr>
                <w:rStyle w:val="hps"/>
                <w:sz w:val="18"/>
                <w:szCs w:val="18"/>
              </w:rPr>
            </w:pPr>
            <w:r w:rsidRPr="00830DE2">
              <w:rPr>
                <w:rStyle w:val="hps"/>
                <w:sz w:val="18"/>
                <w:szCs w:val="18"/>
              </w:rPr>
              <w:t>Perusahaan telah memperoleh Pemberitahuan</w:t>
            </w:r>
            <w:r w:rsidRPr="00830DE2">
              <w:rPr>
                <w:rStyle w:val="hps"/>
                <w:sz w:val="18"/>
                <w:szCs w:val="18"/>
                <w:lang w:val="id-ID"/>
              </w:rPr>
              <w:t xml:space="preserve"> </w:t>
            </w:r>
            <w:r w:rsidRPr="00830DE2">
              <w:rPr>
                <w:rStyle w:val="hps"/>
                <w:sz w:val="18"/>
                <w:szCs w:val="18"/>
              </w:rPr>
              <w:t>Efektifnya Pernyataan Penggabungan Usaha dari OJK</w:t>
            </w:r>
            <w:r w:rsidR="00870FD0">
              <w:rPr>
                <w:rStyle w:val="hps"/>
                <w:sz w:val="18"/>
                <w:szCs w:val="18"/>
              </w:rPr>
              <w:t>.</w:t>
            </w:r>
            <w:r w:rsidRPr="00830DE2">
              <w:rPr>
                <w:rStyle w:val="hps"/>
                <w:sz w:val="18"/>
                <w:szCs w:val="18"/>
                <w:lang w:val="id-ID"/>
              </w:rPr>
              <w:t xml:space="preserve"> </w:t>
            </w:r>
            <w:proofErr w:type="gramStart"/>
            <w:r w:rsidRPr="00830DE2">
              <w:rPr>
                <w:rStyle w:val="hps"/>
                <w:sz w:val="18"/>
                <w:szCs w:val="18"/>
              </w:rPr>
              <w:t>dalam</w:t>
            </w:r>
            <w:proofErr w:type="gramEnd"/>
            <w:r w:rsidRPr="00830DE2">
              <w:rPr>
                <w:rStyle w:val="hps"/>
                <w:sz w:val="18"/>
                <w:szCs w:val="18"/>
              </w:rPr>
              <w:t xml:space="preserve"> suratnya No. S-40/D.04/2018 tanggal </w:t>
            </w:r>
            <w:r w:rsidRPr="00830DE2">
              <w:rPr>
                <w:rStyle w:val="hps"/>
                <w:sz w:val="18"/>
                <w:szCs w:val="18"/>
                <w:lang w:val="id-ID"/>
              </w:rPr>
              <w:br/>
            </w:r>
            <w:r w:rsidRPr="00830DE2">
              <w:rPr>
                <w:rStyle w:val="hps"/>
                <w:sz w:val="18"/>
                <w:szCs w:val="18"/>
              </w:rPr>
              <w:t>3 Mei</w:t>
            </w:r>
            <w:r w:rsidRPr="00830DE2">
              <w:rPr>
                <w:rStyle w:val="hps"/>
                <w:sz w:val="18"/>
                <w:szCs w:val="18"/>
                <w:lang w:val="id-ID"/>
              </w:rPr>
              <w:t xml:space="preserve"> </w:t>
            </w:r>
            <w:r w:rsidRPr="00830DE2">
              <w:rPr>
                <w:rStyle w:val="hps"/>
                <w:sz w:val="18"/>
                <w:szCs w:val="18"/>
              </w:rPr>
              <w:t>2018.</w:t>
            </w:r>
          </w:p>
        </w:tc>
        <w:tc>
          <w:tcPr>
            <w:tcW w:w="4598" w:type="dxa"/>
          </w:tcPr>
          <w:p w14:paraId="52F98AE2" w14:textId="5B2E2C11" w:rsidR="00070E2F" w:rsidRPr="00830DE2" w:rsidRDefault="00986359" w:rsidP="001B2BCD">
            <w:pPr>
              <w:ind w:left="567" w:right="-57"/>
              <w:jc w:val="both"/>
              <w:rPr>
                <w:i/>
                <w:sz w:val="18"/>
                <w:szCs w:val="18"/>
              </w:rPr>
            </w:pPr>
            <w:r w:rsidRPr="00830DE2">
              <w:rPr>
                <w:i/>
                <w:sz w:val="18"/>
                <w:szCs w:val="18"/>
              </w:rPr>
              <w:t xml:space="preserve">The Company has received Notice of </w:t>
            </w:r>
            <w:proofErr w:type="gramStart"/>
            <w:r w:rsidRPr="00830DE2">
              <w:rPr>
                <w:i/>
                <w:sz w:val="18"/>
                <w:szCs w:val="18"/>
              </w:rPr>
              <w:t>Effectiveness  of</w:t>
            </w:r>
            <w:proofErr w:type="gramEnd"/>
            <w:r w:rsidRPr="00830DE2">
              <w:rPr>
                <w:i/>
                <w:sz w:val="18"/>
                <w:szCs w:val="18"/>
              </w:rPr>
              <w:t xml:space="preserve">  the  Merger  Statement  from OJK in its letter </w:t>
            </w:r>
            <w:r w:rsidRPr="00830DE2">
              <w:rPr>
                <w:i/>
                <w:sz w:val="18"/>
                <w:szCs w:val="18"/>
                <w:lang w:val="id-ID"/>
              </w:rPr>
              <w:br/>
            </w:r>
            <w:r w:rsidRPr="00830DE2">
              <w:rPr>
                <w:i/>
                <w:sz w:val="18"/>
                <w:szCs w:val="18"/>
              </w:rPr>
              <w:t>No. S-40/D.04/2018 dated</w:t>
            </w:r>
            <w:r w:rsidRPr="00830DE2">
              <w:rPr>
                <w:i/>
                <w:sz w:val="18"/>
                <w:szCs w:val="18"/>
                <w:lang w:val="id-ID"/>
              </w:rPr>
              <w:t xml:space="preserve"> </w:t>
            </w:r>
            <w:r w:rsidRPr="00830DE2">
              <w:rPr>
                <w:i/>
                <w:sz w:val="18"/>
                <w:szCs w:val="18"/>
              </w:rPr>
              <w:t>May 3</w:t>
            </w:r>
            <w:r w:rsidR="001B2BCD">
              <w:rPr>
                <w:i/>
                <w:sz w:val="18"/>
                <w:szCs w:val="18"/>
              </w:rPr>
              <w:t>,</w:t>
            </w:r>
            <w:r w:rsidRPr="00830DE2">
              <w:rPr>
                <w:i/>
                <w:sz w:val="18"/>
                <w:szCs w:val="18"/>
              </w:rPr>
              <w:t xml:space="preserve"> 2018.</w:t>
            </w:r>
          </w:p>
        </w:tc>
      </w:tr>
      <w:tr w:rsidR="00070E2F" w:rsidRPr="00830DE2" w14:paraId="1BB113ED" w14:textId="77777777" w:rsidTr="00AD0892">
        <w:tc>
          <w:tcPr>
            <w:tcW w:w="4598" w:type="dxa"/>
          </w:tcPr>
          <w:p w14:paraId="42D4D0B2" w14:textId="77777777" w:rsidR="00070E2F" w:rsidRPr="00830DE2" w:rsidRDefault="00070E2F" w:rsidP="00C0406D">
            <w:pPr>
              <w:ind w:left="567" w:right="-57"/>
              <w:jc w:val="both"/>
              <w:rPr>
                <w:rStyle w:val="hps"/>
                <w:sz w:val="18"/>
                <w:szCs w:val="18"/>
              </w:rPr>
            </w:pPr>
          </w:p>
        </w:tc>
        <w:tc>
          <w:tcPr>
            <w:tcW w:w="4598" w:type="dxa"/>
          </w:tcPr>
          <w:p w14:paraId="79570D95" w14:textId="77777777" w:rsidR="00070E2F" w:rsidRPr="00830DE2" w:rsidRDefault="00070E2F" w:rsidP="00C0406D">
            <w:pPr>
              <w:ind w:left="567" w:right="-57"/>
              <w:jc w:val="both"/>
              <w:rPr>
                <w:i/>
                <w:sz w:val="18"/>
                <w:szCs w:val="18"/>
              </w:rPr>
            </w:pPr>
          </w:p>
        </w:tc>
      </w:tr>
      <w:tr w:rsidR="00070E2F" w:rsidRPr="00830DE2" w14:paraId="3ED15EAF" w14:textId="77777777" w:rsidTr="00AD0892">
        <w:tc>
          <w:tcPr>
            <w:tcW w:w="4598" w:type="dxa"/>
          </w:tcPr>
          <w:p w14:paraId="528BB1C4" w14:textId="565B9AC8" w:rsidR="00070E2F" w:rsidRPr="00830DE2" w:rsidRDefault="00986359" w:rsidP="001B2BCD">
            <w:pPr>
              <w:ind w:left="629" w:right="-57"/>
              <w:jc w:val="both"/>
              <w:rPr>
                <w:rStyle w:val="hps"/>
                <w:sz w:val="18"/>
                <w:szCs w:val="18"/>
              </w:rPr>
            </w:pPr>
            <w:r w:rsidRPr="00830DE2">
              <w:rPr>
                <w:rStyle w:val="hps"/>
                <w:sz w:val="18"/>
                <w:szCs w:val="18"/>
              </w:rPr>
              <w:t>Selanjutnya</w:t>
            </w:r>
            <w:r w:rsidR="001B2BCD">
              <w:rPr>
                <w:rStyle w:val="hps"/>
                <w:sz w:val="18"/>
                <w:szCs w:val="18"/>
              </w:rPr>
              <w:t>,</w:t>
            </w:r>
            <w:r w:rsidRPr="00830DE2">
              <w:rPr>
                <w:rStyle w:val="hps"/>
                <w:sz w:val="18"/>
                <w:szCs w:val="18"/>
              </w:rPr>
              <w:t xml:space="preserve"> berdasarkan Akta </w:t>
            </w:r>
            <w:proofErr w:type="gramStart"/>
            <w:r w:rsidRPr="00830DE2">
              <w:rPr>
                <w:rStyle w:val="hps"/>
                <w:sz w:val="18"/>
                <w:szCs w:val="18"/>
              </w:rPr>
              <w:t>Rapat  Umum</w:t>
            </w:r>
            <w:proofErr w:type="gramEnd"/>
            <w:r w:rsidR="001B2BCD">
              <w:rPr>
                <w:rStyle w:val="hps"/>
                <w:sz w:val="18"/>
                <w:szCs w:val="18"/>
              </w:rPr>
              <w:t xml:space="preserve"> </w:t>
            </w:r>
            <w:r w:rsidRPr="00830DE2">
              <w:rPr>
                <w:rStyle w:val="hps"/>
                <w:sz w:val="18"/>
                <w:szCs w:val="18"/>
              </w:rPr>
              <w:t>Pemegang Saham Luar Biasa (“RUPSLB”)</w:t>
            </w:r>
            <w:r w:rsidRPr="00830DE2">
              <w:rPr>
                <w:rStyle w:val="hps"/>
                <w:sz w:val="18"/>
                <w:szCs w:val="18"/>
                <w:lang w:val="id-ID"/>
              </w:rPr>
              <w:t xml:space="preserve"> </w:t>
            </w:r>
            <w:r w:rsidRPr="00830DE2">
              <w:rPr>
                <w:rStyle w:val="hps"/>
                <w:sz w:val="18"/>
                <w:szCs w:val="18"/>
                <w:lang w:val="id-ID"/>
              </w:rPr>
              <w:br/>
            </w:r>
            <w:r w:rsidRPr="00830DE2">
              <w:rPr>
                <w:rStyle w:val="hps"/>
                <w:sz w:val="18"/>
                <w:szCs w:val="18"/>
              </w:rPr>
              <w:t xml:space="preserve">No. 17 tanggal 4 Mei 2018 dari </w:t>
            </w:r>
            <w:r w:rsidR="00373B4C">
              <w:rPr>
                <w:rStyle w:val="hps"/>
                <w:sz w:val="18"/>
                <w:szCs w:val="18"/>
              </w:rPr>
              <w:br/>
            </w:r>
            <w:r w:rsidRPr="00830DE2">
              <w:rPr>
                <w:rStyle w:val="hps"/>
                <w:sz w:val="18"/>
                <w:szCs w:val="18"/>
              </w:rPr>
              <w:t>Notaris</w:t>
            </w:r>
            <w:r w:rsidR="00373B4C">
              <w:rPr>
                <w:rStyle w:val="hps"/>
                <w:sz w:val="18"/>
                <w:szCs w:val="18"/>
              </w:rPr>
              <w:t xml:space="preserve"> </w:t>
            </w:r>
            <w:r w:rsidRPr="00830DE2">
              <w:rPr>
                <w:rStyle w:val="hps"/>
                <w:sz w:val="18"/>
                <w:szCs w:val="18"/>
              </w:rPr>
              <w:t>Buntario Tigris</w:t>
            </w:r>
            <w:r w:rsidR="00870FD0">
              <w:rPr>
                <w:rStyle w:val="hps"/>
                <w:sz w:val="18"/>
                <w:szCs w:val="18"/>
              </w:rPr>
              <w:t>.</w:t>
            </w:r>
            <w:r w:rsidRPr="00830DE2">
              <w:rPr>
                <w:rStyle w:val="hps"/>
                <w:sz w:val="18"/>
                <w:szCs w:val="18"/>
              </w:rPr>
              <w:t xml:space="preserve"> S.H.</w:t>
            </w:r>
            <w:r w:rsidR="001B2BCD">
              <w:rPr>
                <w:rStyle w:val="hps"/>
                <w:sz w:val="18"/>
                <w:szCs w:val="18"/>
              </w:rPr>
              <w:t>,</w:t>
            </w:r>
            <w:r w:rsidRPr="00830DE2">
              <w:rPr>
                <w:rStyle w:val="hps"/>
                <w:sz w:val="18"/>
                <w:szCs w:val="18"/>
              </w:rPr>
              <w:t xml:space="preserve"> S.E.</w:t>
            </w:r>
            <w:r w:rsidR="001B2BCD">
              <w:rPr>
                <w:rStyle w:val="hps"/>
                <w:sz w:val="18"/>
                <w:szCs w:val="18"/>
              </w:rPr>
              <w:t>,</w:t>
            </w:r>
            <w:r w:rsidRPr="00830DE2">
              <w:rPr>
                <w:rStyle w:val="hps"/>
                <w:sz w:val="18"/>
                <w:szCs w:val="18"/>
              </w:rPr>
              <w:t xml:space="preserve"> M.H.</w:t>
            </w:r>
            <w:r w:rsidR="001B2BCD">
              <w:rPr>
                <w:rStyle w:val="hps"/>
                <w:sz w:val="18"/>
                <w:szCs w:val="18"/>
              </w:rPr>
              <w:t>,</w:t>
            </w:r>
            <w:r w:rsidRPr="00830DE2">
              <w:rPr>
                <w:rStyle w:val="hps"/>
                <w:sz w:val="18"/>
                <w:szCs w:val="18"/>
              </w:rPr>
              <w:t xml:space="preserve"> Notaris di Jakarta</w:t>
            </w:r>
            <w:r w:rsidR="00870FD0">
              <w:rPr>
                <w:rStyle w:val="hps"/>
                <w:sz w:val="18"/>
                <w:szCs w:val="18"/>
              </w:rPr>
              <w:t>.</w:t>
            </w:r>
            <w:r w:rsidRPr="00830DE2">
              <w:rPr>
                <w:rStyle w:val="hps"/>
                <w:sz w:val="18"/>
                <w:szCs w:val="18"/>
              </w:rPr>
              <w:t xml:space="preserve"> </w:t>
            </w:r>
            <w:proofErr w:type="gramStart"/>
            <w:r w:rsidRPr="00830DE2">
              <w:rPr>
                <w:rStyle w:val="hps"/>
                <w:sz w:val="18"/>
                <w:szCs w:val="18"/>
              </w:rPr>
              <w:t>para</w:t>
            </w:r>
            <w:proofErr w:type="gramEnd"/>
            <w:r w:rsidRPr="00830DE2">
              <w:rPr>
                <w:rStyle w:val="hps"/>
                <w:sz w:val="18"/>
                <w:szCs w:val="18"/>
              </w:rPr>
              <w:t xml:space="preserve"> pemegang saham menyetujui peningkatan modal ditempatkan dan disetor Perusahaan yang dilakukan dalam rangka penggabungan usaha SRAJ dan BMC serta menyetujui perubahan Anggaran Dasar Perusahaan yang dilaksanakan terkait dengan rencana penggabungan.</w:t>
            </w:r>
          </w:p>
        </w:tc>
        <w:tc>
          <w:tcPr>
            <w:tcW w:w="4598" w:type="dxa"/>
          </w:tcPr>
          <w:p w14:paraId="542F8A16" w14:textId="32804701" w:rsidR="00070E2F" w:rsidRPr="00830DE2" w:rsidRDefault="00986359" w:rsidP="001B2BCD">
            <w:pPr>
              <w:ind w:left="567" w:right="-57"/>
              <w:jc w:val="both"/>
              <w:rPr>
                <w:i/>
                <w:sz w:val="18"/>
                <w:szCs w:val="18"/>
              </w:rPr>
            </w:pPr>
            <w:r w:rsidRPr="00830DE2">
              <w:rPr>
                <w:i/>
                <w:sz w:val="18"/>
                <w:szCs w:val="18"/>
              </w:rPr>
              <w:t>Furthermore</w:t>
            </w:r>
            <w:proofErr w:type="gramStart"/>
            <w:r w:rsidR="001B2BCD">
              <w:rPr>
                <w:i/>
                <w:sz w:val="18"/>
                <w:szCs w:val="18"/>
              </w:rPr>
              <w:t>,</w:t>
            </w:r>
            <w:r w:rsidRPr="00830DE2">
              <w:rPr>
                <w:i/>
                <w:sz w:val="18"/>
                <w:szCs w:val="18"/>
              </w:rPr>
              <w:t xml:space="preserve">  based</w:t>
            </w:r>
            <w:proofErr w:type="gramEnd"/>
            <w:r w:rsidRPr="00830DE2">
              <w:rPr>
                <w:i/>
                <w:sz w:val="18"/>
                <w:szCs w:val="18"/>
              </w:rPr>
              <w:t xml:space="preserve"> on Extraordinary  General Shareholders’  Meeting (“EGSM”) as  stated in Notarial  Deed  No.  </w:t>
            </w:r>
            <w:proofErr w:type="gramStart"/>
            <w:r w:rsidRPr="00830DE2">
              <w:rPr>
                <w:i/>
                <w:sz w:val="18"/>
                <w:szCs w:val="18"/>
              </w:rPr>
              <w:t>17  dated</w:t>
            </w:r>
            <w:proofErr w:type="gramEnd"/>
            <w:r w:rsidRPr="00830DE2">
              <w:rPr>
                <w:i/>
                <w:sz w:val="18"/>
                <w:szCs w:val="18"/>
              </w:rPr>
              <w:t xml:space="preserve"> May  4</w:t>
            </w:r>
            <w:r w:rsidR="001B2BCD">
              <w:rPr>
                <w:i/>
                <w:sz w:val="18"/>
                <w:szCs w:val="18"/>
              </w:rPr>
              <w:t>,</w:t>
            </w:r>
            <w:r w:rsidRPr="00830DE2">
              <w:rPr>
                <w:i/>
                <w:sz w:val="18"/>
                <w:szCs w:val="18"/>
              </w:rPr>
              <w:t xml:space="preserve">  2018  </w:t>
            </w:r>
            <w:r w:rsidR="00373B4C">
              <w:rPr>
                <w:i/>
                <w:sz w:val="18"/>
                <w:szCs w:val="18"/>
              </w:rPr>
              <w:br/>
            </w:r>
            <w:r w:rsidRPr="00830DE2">
              <w:rPr>
                <w:i/>
                <w:sz w:val="18"/>
                <w:szCs w:val="18"/>
              </w:rPr>
              <w:t>of</w:t>
            </w:r>
            <w:r w:rsidR="00373B4C">
              <w:rPr>
                <w:i/>
                <w:sz w:val="18"/>
                <w:szCs w:val="18"/>
              </w:rPr>
              <w:t xml:space="preserve">  </w:t>
            </w:r>
            <w:r w:rsidRPr="00830DE2">
              <w:rPr>
                <w:i/>
                <w:sz w:val="18"/>
                <w:szCs w:val="18"/>
              </w:rPr>
              <w:t>Notary Buntario Tigris</w:t>
            </w:r>
            <w:r w:rsidR="00870FD0">
              <w:rPr>
                <w:i/>
                <w:sz w:val="18"/>
                <w:szCs w:val="18"/>
              </w:rPr>
              <w:t>.</w:t>
            </w:r>
            <w:r w:rsidRPr="00830DE2">
              <w:rPr>
                <w:i/>
                <w:sz w:val="18"/>
                <w:szCs w:val="18"/>
              </w:rPr>
              <w:t xml:space="preserve"> S.H.</w:t>
            </w:r>
            <w:r w:rsidR="001B2BCD">
              <w:rPr>
                <w:i/>
                <w:sz w:val="18"/>
                <w:szCs w:val="18"/>
              </w:rPr>
              <w:t>,</w:t>
            </w:r>
            <w:r w:rsidRPr="00830DE2">
              <w:rPr>
                <w:i/>
                <w:sz w:val="18"/>
                <w:szCs w:val="18"/>
              </w:rPr>
              <w:t xml:space="preserve"> S.E.</w:t>
            </w:r>
            <w:r w:rsidR="001B2BCD">
              <w:rPr>
                <w:i/>
                <w:sz w:val="18"/>
                <w:szCs w:val="18"/>
              </w:rPr>
              <w:t>,</w:t>
            </w:r>
            <w:r w:rsidRPr="00830DE2">
              <w:rPr>
                <w:i/>
                <w:sz w:val="18"/>
                <w:szCs w:val="18"/>
              </w:rPr>
              <w:t xml:space="preserve"> M.H.</w:t>
            </w:r>
            <w:r w:rsidR="001B2BCD">
              <w:rPr>
                <w:i/>
                <w:sz w:val="18"/>
                <w:szCs w:val="18"/>
              </w:rPr>
              <w:t>,</w:t>
            </w:r>
            <w:r w:rsidRPr="00830DE2">
              <w:rPr>
                <w:i/>
                <w:sz w:val="18"/>
                <w:szCs w:val="18"/>
              </w:rPr>
              <w:t xml:space="preserve"> Notary in   Jakarta</w:t>
            </w:r>
            <w:r w:rsidR="00870FD0">
              <w:rPr>
                <w:i/>
                <w:sz w:val="18"/>
                <w:szCs w:val="18"/>
              </w:rPr>
              <w:t>.</w:t>
            </w:r>
            <w:r w:rsidRPr="00830DE2">
              <w:rPr>
                <w:i/>
                <w:sz w:val="18"/>
                <w:szCs w:val="18"/>
              </w:rPr>
              <w:t xml:space="preserve">   </w:t>
            </w:r>
            <w:proofErr w:type="gramStart"/>
            <w:r w:rsidRPr="00830DE2">
              <w:rPr>
                <w:i/>
                <w:sz w:val="18"/>
                <w:szCs w:val="18"/>
              </w:rPr>
              <w:t>shareholders</w:t>
            </w:r>
            <w:proofErr w:type="gramEnd"/>
            <w:r w:rsidRPr="00830DE2">
              <w:rPr>
                <w:i/>
                <w:sz w:val="18"/>
                <w:szCs w:val="18"/>
              </w:rPr>
              <w:t xml:space="preserve">   have   agreed   to increase issued and fully paid share capital in order  to  SRAJ  and  BMC  merger  and  also agreed the change of Company’s Articles of Association related to merger plan.</w:t>
            </w:r>
          </w:p>
        </w:tc>
      </w:tr>
      <w:tr w:rsidR="00070E2F" w:rsidRPr="00830DE2" w14:paraId="2EDC989B" w14:textId="77777777" w:rsidTr="00AD0892">
        <w:tc>
          <w:tcPr>
            <w:tcW w:w="4598" w:type="dxa"/>
          </w:tcPr>
          <w:p w14:paraId="012A409C" w14:textId="77777777" w:rsidR="00070E2F" w:rsidRPr="00830DE2" w:rsidRDefault="00070E2F" w:rsidP="00C0406D">
            <w:pPr>
              <w:ind w:left="567" w:right="-57"/>
              <w:jc w:val="both"/>
              <w:rPr>
                <w:rStyle w:val="hps"/>
                <w:sz w:val="18"/>
                <w:szCs w:val="18"/>
              </w:rPr>
            </w:pPr>
          </w:p>
        </w:tc>
        <w:tc>
          <w:tcPr>
            <w:tcW w:w="4598" w:type="dxa"/>
          </w:tcPr>
          <w:p w14:paraId="4CFD5CC4" w14:textId="77777777" w:rsidR="00070E2F" w:rsidRPr="00830DE2" w:rsidRDefault="00070E2F" w:rsidP="00C0406D">
            <w:pPr>
              <w:ind w:left="567" w:right="-57"/>
              <w:jc w:val="both"/>
              <w:rPr>
                <w:i/>
                <w:sz w:val="18"/>
                <w:szCs w:val="18"/>
              </w:rPr>
            </w:pPr>
          </w:p>
        </w:tc>
      </w:tr>
      <w:tr w:rsidR="00070E2F" w:rsidRPr="00830DE2" w14:paraId="7217546D" w14:textId="77777777" w:rsidTr="00AD0892">
        <w:tc>
          <w:tcPr>
            <w:tcW w:w="4598" w:type="dxa"/>
          </w:tcPr>
          <w:p w14:paraId="5FD74999" w14:textId="1360BE44" w:rsidR="00070E2F" w:rsidRPr="00373B4C" w:rsidRDefault="00986359" w:rsidP="001B2BCD">
            <w:pPr>
              <w:ind w:left="629" w:right="-57"/>
              <w:jc w:val="both"/>
              <w:rPr>
                <w:rStyle w:val="hps"/>
                <w:sz w:val="18"/>
                <w:szCs w:val="18"/>
              </w:rPr>
            </w:pPr>
            <w:r w:rsidRPr="00373B4C">
              <w:rPr>
                <w:rStyle w:val="hps"/>
                <w:sz w:val="18"/>
                <w:szCs w:val="18"/>
              </w:rPr>
              <w:t>Pada tanggal 17 Mei 2018</w:t>
            </w:r>
            <w:r w:rsidR="001B2BCD">
              <w:rPr>
                <w:rStyle w:val="hps"/>
                <w:sz w:val="18"/>
                <w:szCs w:val="18"/>
              </w:rPr>
              <w:t>,</w:t>
            </w:r>
            <w:r w:rsidRPr="00373B4C">
              <w:rPr>
                <w:rStyle w:val="hps"/>
                <w:sz w:val="18"/>
                <w:szCs w:val="18"/>
              </w:rPr>
              <w:t xml:space="preserve"> Perusahaan dan BMC  telah  menandatangani  Akta Penggabungan Usaha</w:t>
            </w:r>
            <w:r w:rsidR="001B2BCD">
              <w:rPr>
                <w:rStyle w:val="hps"/>
                <w:sz w:val="18"/>
                <w:szCs w:val="18"/>
              </w:rPr>
              <w:t>,</w:t>
            </w:r>
            <w:r w:rsidRPr="00373B4C">
              <w:rPr>
                <w:rStyle w:val="hps"/>
                <w:sz w:val="18"/>
                <w:szCs w:val="18"/>
              </w:rPr>
              <w:t xml:space="preserve"> yang diaktakan dalam Akta Notaris dari Notary Buntario Tigris</w:t>
            </w:r>
            <w:r w:rsidR="001B2BCD">
              <w:rPr>
                <w:rStyle w:val="hps"/>
                <w:sz w:val="18"/>
                <w:szCs w:val="18"/>
              </w:rPr>
              <w:t>,</w:t>
            </w:r>
            <w:r w:rsidRPr="00373B4C">
              <w:rPr>
                <w:rStyle w:val="hps"/>
                <w:sz w:val="18"/>
                <w:szCs w:val="18"/>
              </w:rPr>
              <w:t xml:space="preserve"> S.H.</w:t>
            </w:r>
            <w:r w:rsidR="001B2BCD">
              <w:rPr>
                <w:rStyle w:val="hps"/>
                <w:sz w:val="18"/>
                <w:szCs w:val="18"/>
              </w:rPr>
              <w:t>,</w:t>
            </w:r>
            <w:r w:rsidRPr="00373B4C">
              <w:rPr>
                <w:rStyle w:val="hps"/>
                <w:sz w:val="18"/>
                <w:szCs w:val="18"/>
              </w:rPr>
              <w:t xml:space="preserve"> S.E.</w:t>
            </w:r>
            <w:r w:rsidR="001B2BCD">
              <w:rPr>
                <w:rStyle w:val="hps"/>
                <w:sz w:val="18"/>
                <w:szCs w:val="18"/>
              </w:rPr>
              <w:t>,</w:t>
            </w:r>
            <w:r w:rsidRPr="00373B4C">
              <w:rPr>
                <w:rStyle w:val="hps"/>
                <w:sz w:val="18"/>
                <w:szCs w:val="18"/>
              </w:rPr>
              <w:t xml:space="preserve"> M.H.</w:t>
            </w:r>
            <w:r w:rsidR="001B2BCD">
              <w:rPr>
                <w:rStyle w:val="hps"/>
                <w:sz w:val="18"/>
                <w:szCs w:val="18"/>
              </w:rPr>
              <w:t>,</w:t>
            </w:r>
            <w:r w:rsidRPr="00373B4C">
              <w:rPr>
                <w:rStyle w:val="hps"/>
                <w:sz w:val="18"/>
                <w:szCs w:val="18"/>
              </w:rPr>
              <w:t xml:space="preserve"> No.61 </w:t>
            </w:r>
            <w:r w:rsidR="00373B4C" w:rsidRPr="00373B4C">
              <w:rPr>
                <w:rStyle w:val="hps"/>
                <w:sz w:val="18"/>
                <w:szCs w:val="18"/>
              </w:rPr>
              <w:br/>
            </w:r>
            <w:r w:rsidRPr="00373B4C">
              <w:rPr>
                <w:rStyle w:val="hps"/>
                <w:sz w:val="18"/>
                <w:szCs w:val="18"/>
              </w:rPr>
              <w:t>tanggal 17 Mei 2018 (selanjutnya  disebut  dengan  Akta Penggabungan Usaha). Akta Penggabungan Usaha tersebut memuat</w:t>
            </w:r>
            <w:r w:rsidR="00870FD0">
              <w:rPr>
                <w:rStyle w:val="hps"/>
                <w:sz w:val="18"/>
                <w:szCs w:val="18"/>
              </w:rPr>
              <w:t>.</w:t>
            </w:r>
            <w:r w:rsidRPr="00373B4C">
              <w:rPr>
                <w:rStyle w:val="hps"/>
                <w:sz w:val="18"/>
                <w:szCs w:val="18"/>
              </w:rPr>
              <w:t xml:space="preserve"> </w:t>
            </w:r>
            <w:proofErr w:type="gramStart"/>
            <w:r w:rsidRPr="00373B4C">
              <w:rPr>
                <w:rStyle w:val="hps"/>
                <w:sz w:val="18"/>
                <w:szCs w:val="18"/>
              </w:rPr>
              <w:t>antara</w:t>
            </w:r>
            <w:proofErr w:type="gramEnd"/>
            <w:r w:rsidRPr="00373B4C">
              <w:rPr>
                <w:rStyle w:val="hps"/>
                <w:sz w:val="18"/>
                <w:szCs w:val="18"/>
              </w:rPr>
              <w:t xml:space="preserve"> lain</w:t>
            </w:r>
            <w:r w:rsidR="00870FD0">
              <w:rPr>
                <w:rStyle w:val="hps"/>
                <w:sz w:val="18"/>
                <w:szCs w:val="18"/>
              </w:rPr>
              <w:t>.</w:t>
            </w:r>
            <w:r w:rsidRPr="00373B4C">
              <w:rPr>
                <w:rStyle w:val="hps"/>
                <w:sz w:val="18"/>
                <w:szCs w:val="18"/>
              </w:rPr>
              <w:t xml:space="preserve"> </w:t>
            </w:r>
            <w:proofErr w:type="gramStart"/>
            <w:r w:rsidRPr="00373B4C">
              <w:rPr>
                <w:rStyle w:val="hps"/>
                <w:sz w:val="18"/>
                <w:szCs w:val="18"/>
              </w:rPr>
              <w:t>tanggal</w:t>
            </w:r>
            <w:proofErr w:type="gramEnd"/>
            <w:r w:rsidRPr="00373B4C">
              <w:rPr>
                <w:rStyle w:val="hps"/>
                <w:sz w:val="18"/>
                <w:szCs w:val="18"/>
              </w:rPr>
              <w:t xml:space="preserve"> efektif penggabungan usaha</w:t>
            </w:r>
            <w:r w:rsidR="00870FD0">
              <w:rPr>
                <w:rStyle w:val="hps"/>
                <w:sz w:val="18"/>
                <w:szCs w:val="18"/>
              </w:rPr>
              <w:t>.</w:t>
            </w:r>
            <w:r w:rsidRPr="00373B4C">
              <w:rPr>
                <w:rStyle w:val="hps"/>
                <w:sz w:val="18"/>
                <w:szCs w:val="18"/>
              </w:rPr>
              <w:t xml:space="preserve"> </w:t>
            </w:r>
            <w:proofErr w:type="gramStart"/>
            <w:r w:rsidRPr="00373B4C">
              <w:rPr>
                <w:rStyle w:val="hps"/>
                <w:sz w:val="18"/>
                <w:szCs w:val="18"/>
              </w:rPr>
              <w:t>yaitu</w:t>
            </w:r>
            <w:proofErr w:type="gramEnd"/>
            <w:r w:rsidRPr="00373B4C">
              <w:rPr>
                <w:rStyle w:val="hps"/>
                <w:sz w:val="18"/>
                <w:szCs w:val="18"/>
              </w:rPr>
              <w:t xml:space="preserve"> tanggal persetujuan perubahan Anggaran Dasar Perusahaan oleh Menteri Hukum dan Hak Asasi Manusia</w:t>
            </w:r>
            <w:r w:rsidR="00870FD0">
              <w:rPr>
                <w:rStyle w:val="hps"/>
                <w:sz w:val="18"/>
                <w:szCs w:val="18"/>
              </w:rPr>
              <w:t>.</w:t>
            </w:r>
            <w:r w:rsidRPr="00373B4C">
              <w:rPr>
                <w:rStyle w:val="hps"/>
                <w:sz w:val="18"/>
                <w:szCs w:val="18"/>
              </w:rPr>
              <w:t xml:space="preserve"> </w:t>
            </w:r>
            <w:proofErr w:type="gramStart"/>
            <w:r w:rsidRPr="00373B4C">
              <w:rPr>
                <w:rStyle w:val="hps"/>
                <w:sz w:val="18"/>
                <w:szCs w:val="18"/>
              </w:rPr>
              <w:t>dan</w:t>
            </w:r>
            <w:proofErr w:type="gramEnd"/>
            <w:r w:rsidRPr="00373B4C">
              <w:rPr>
                <w:rStyle w:val="hps"/>
                <w:sz w:val="18"/>
                <w:szCs w:val="18"/>
              </w:rPr>
              <w:t xml:space="preserve"> susunan permodalan Perusahaan selaku</w:t>
            </w:r>
            <w:r w:rsidR="00373B4C">
              <w:rPr>
                <w:rStyle w:val="hps"/>
                <w:sz w:val="18"/>
                <w:szCs w:val="18"/>
              </w:rPr>
              <w:t xml:space="preserve"> </w:t>
            </w:r>
            <w:r w:rsidRPr="00373B4C">
              <w:rPr>
                <w:rStyle w:val="hps"/>
                <w:sz w:val="18"/>
                <w:szCs w:val="18"/>
              </w:rPr>
              <w:t>perusahaan hasil penggabungan sejak tanggal  efektif  Penggabungan  Usaha menjadi</w:t>
            </w:r>
            <w:r w:rsidR="00373B4C" w:rsidRPr="00373B4C">
              <w:rPr>
                <w:rStyle w:val="hps"/>
                <w:sz w:val="18"/>
                <w:szCs w:val="18"/>
              </w:rPr>
              <w:t xml:space="preserve"> sebagai  berikut:  modal  dasar  sebesar  </w:t>
            </w:r>
            <w:r w:rsidR="004A1988">
              <w:rPr>
                <w:rStyle w:val="hps"/>
                <w:sz w:val="18"/>
                <w:szCs w:val="18"/>
              </w:rPr>
              <w:t>Rp 2</w:t>
            </w:r>
            <w:r w:rsidR="00373B4C" w:rsidRPr="00373B4C">
              <w:rPr>
                <w:rStyle w:val="hps"/>
                <w:sz w:val="18"/>
                <w:szCs w:val="18"/>
              </w:rPr>
              <w:t xml:space="preserve"> triliun</w:t>
            </w:r>
            <w:r w:rsidR="00870FD0">
              <w:rPr>
                <w:rStyle w:val="hps"/>
                <w:sz w:val="18"/>
                <w:szCs w:val="18"/>
              </w:rPr>
              <w:t>.</w:t>
            </w:r>
            <w:r w:rsidR="00373B4C" w:rsidRPr="00373B4C">
              <w:rPr>
                <w:rStyle w:val="hps"/>
                <w:sz w:val="18"/>
                <w:szCs w:val="18"/>
                <w:lang w:val="id-ID"/>
              </w:rPr>
              <w:t xml:space="preserve"> </w:t>
            </w:r>
            <w:proofErr w:type="gramStart"/>
            <w:r w:rsidR="00373B4C" w:rsidRPr="00373B4C">
              <w:rPr>
                <w:rStyle w:val="hps"/>
                <w:sz w:val="18"/>
                <w:szCs w:val="18"/>
              </w:rPr>
              <w:t>modal</w:t>
            </w:r>
            <w:proofErr w:type="gramEnd"/>
            <w:r w:rsidR="00373B4C" w:rsidRPr="00373B4C">
              <w:rPr>
                <w:rStyle w:val="hps"/>
                <w:sz w:val="18"/>
                <w:szCs w:val="18"/>
              </w:rPr>
              <w:t xml:space="preserve"> ditempatkan dan disetor sebesar</w:t>
            </w:r>
            <w:r w:rsidR="00373B4C" w:rsidRPr="00373B4C">
              <w:rPr>
                <w:rStyle w:val="hps"/>
                <w:sz w:val="18"/>
                <w:szCs w:val="18"/>
                <w:lang w:val="id-ID"/>
              </w:rPr>
              <w:t xml:space="preserve"> </w:t>
            </w:r>
            <w:r w:rsidR="004A1988">
              <w:rPr>
                <w:rStyle w:val="hps"/>
                <w:sz w:val="18"/>
                <w:szCs w:val="18"/>
              </w:rPr>
              <w:t>Rp 1</w:t>
            </w:r>
            <w:r w:rsidR="00373B4C" w:rsidRPr="00373B4C">
              <w:rPr>
                <w:rStyle w:val="hps"/>
                <w:sz w:val="18"/>
                <w:szCs w:val="18"/>
              </w:rPr>
              <w:t>.200.070.555.500 (angka penuh) yang terbagi ke</w:t>
            </w:r>
            <w:r w:rsidR="00373B4C" w:rsidRPr="00373B4C">
              <w:rPr>
                <w:rStyle w:val="hps"/>
                <w:sz w:val="18"/>
                <w:szCs w:val="18"/>
                <w:lang w:val="id-ID"/>
              </w:rPr>
              <w:t xml:space="preserve"> </w:t>
            </w:r>
            <w:r w:rsidR="00373B4C" w:rsidRPr="00373B4C">
              <w:rPr>
                <w:rStyle w:val="hps"/>
                <w:sz w:val="18"/>
                <w:szCs w:val="18"/>
              </w:rPr>
              <w:t>dalam 12.000.705.455 saham yang memiliki nilai</w:t>
            </w:r>
            <w:r w:rsidR="00373B4C" w:rsidRPr="00373B4C">
              <w:rPr>
                <w:rStyle w:val="hps"/>
                <w:sz w:val="18"/>
                <w:szCs w:val="18"/>
                <w:lang w:val="id-ID"/>
              </w:rPr>
              <w:t xml:space="preserve"> </w:t>
            </w:r>
            <w:r w:rsidR="00373B4C" w:rsidRPr="00373B4C">
              <w:rPr>
                <w:rStyle w:val="hps"/>
                <w:sz w:val="18"/>
                <w:szCs w:val="18"/>
              </w:rPr>
              <w:t xml:space="preserve">nominal sebesar </w:t>
            </w:r>
            <w:r w:rsidR="004A1988">
              <w:rPr>
                <w:rStyle w:val="hps"/>
                <w:sz w:val="18"/>
                <w:szCs w:val="18"/>
              </w:rPr>
              <w:t>Rp 1</w:t>
            </w:r>
            <w:r w:rsidR="00373B4C" w:rsidRPr="00373B4C">
              <w:rPr>
                <w:rStyle w:val="hps"/>
                <w:sz w:val="18"/>
                <w:szCs w:val="18"/>
              </w:rPr>
              <w:t>00 (angka penuh) per saham.</w:t>
            </w:r>
          </w:p>
        </w:tc>
        <w:tc>
          <w:tcPr>
            <w:tcW w:w="4598" w:type="dxa"/>
          </w:tcPr>
          <w:p w14:paraId="612F63DF" w14:textId="382E66CE" w:rsidR="00070E2F" w:rsidRPr="00830DE2" w:rsidRDefault="00986359" w:rsidP="001B2BCD">
            <w:pPr>
              <w:ind w:left="567" w:right="-57"/>
              <w:jc w:val="both"/>
              <w:rPr>
                <w:i/>
                <w:sz w:val="18"/>
                <w:szCs w:val="18"/>
              </w:rPr>
            </w:pPr>
            <w:proofErr w:type="gramStart"/>
            <w:r w:rsidRPr="00373B4C">
              <w:rPr>
                <w:i/>
                <w:sz w:val="18"/>
                <w:szCs w:val="18"/>
              </w:rPr>
              <w:t>On  May</w:t>
            </w:r>
            <w:proofErr w:type="gramEnd"/>
            <w:r w:rsidRPr="00373B4C">
              <w:rPr>
                <w:i/>
                <w:sz w:val="18"/>
                <w:szCs w:val="18"/>
              </w:rPr>
              <w:t xml:space="preserve">  17</w:t>
            </w:r>
            <w:r w:rsidR="001B2BCD">
              <w:rPr>
                <w:i/>
                <w:sz w:val="18"/>
                <w:szCs w:val="18"/>
              </w:rPr>
              <w:t>,</w:t>
            </w:r>
            <w:r w:rsidRPr="00373B4C">
              <w:rPr>
                <w:i/>
                <w:sz w:val="18"/>
                <w:szCs w:val="18"/>
              </w:rPr>
              <w:t xml:space="preserve">  2018</w:t>
            </w:r>
            <w:r w:rsidR="00870FD0">
              <w:rPr>
                <w:i/>
                <w:sz w:val="18"/>
                <w:szCs w:val="18"/>
              </w:rPr>
              <w:t>.</w:t>
            </w:r>
            <w:r w:rsidRPr="00373B4C">
              <w:rPr>
                <w:i/>
                <w:sz w:val="18"/>
                <w:szCs w:val="18"/>
              </w:rPr>
              <w:t xml:space="preserve">  </w:t>
            </w:r>
            <w:proofErr w:type="gramStart"/>
            <w:r w:rsidRPr="00373B4C">
              <w:rPr>
                <w:i/>
                <w:sz w:val="18"/>
                <w:szCs w:val="18"/>
              </w:rPr>
              <w:t>Company  and</w:t>
            </w:r>
            <w:proofErr w:type="gramEnd"/>
            <w:r w:rsidRPr="00373B4C">
              <w:rPr>
                <w:i/>
                <w:sz w:val="18"/>
                <w:szCs w:val="18"/>
              </w:rPr>
              <w:t xml:space="preserve"> BMC have signed the Merger Deed</w:t>
            </w:r>
            <w:r w:rsidR="00870FD0">
              <w:rPr>
                <w:i/>
                <w:sz w:val="18"/>
                <w:szCs w:val="18"/>
              </w:rPr>
              <w:t>.</w:t>
            </w:r>
            <w:r w:rsidRPr="00373B4C">
              <w:rPr>
                <w:i/>
                <w:sz w:val="18"/>
                <w:szCs w:val="18"/>
              </w:rPr>
              <w:t xml:space="preserve"> </w:t>
            </w:r>
            <w:proofErr w:type="gramStart"/>
            <w:r w:rsidRPr="00373B4C">
              <w:rPr>
                <w:i/>
                <w:sz w:val="18"/>
                <w:szCs w:val="18"/>
              </w:rPr>
              <w:t>as</w:t>
            </w:r>
            <w:proofErr w:type="gramEnd"/>
            <w:r w:rsidRPr="00373B4C">
              <w:rPr>
                <w:i/>
                <w:sz w:val="18"/>
                <w:szCs w:val="18"/>
              </w:rPr>
              <w:t xml:space="preserve"> notarized under Notarial Deed No. 61 dated May 17</w:t>
            </w:r>
            <w:r w:rsidR="001B2BCD">
              <w:rPr>
                <w:i/>
                <w:sz w:val="18"/>
                <w:szCs w:val="18"/>
              </w:rPr>
              <w:t>,</w:t>
            </w:r>
            <w:r w:rsidRPr="00373B4C">
              <w:rPr>
                <w:i/>
                <w:sz w:val="18"/>
                <w:szCs w:val="18"/>
              </w:rPr>
              <w:t xml:space="preserve"> 2018 of Notary Buntario Tigris</w:t>
            </w:r>
            <w:r w:rsidR="001B2BCD">
              <w:rPr>
                <w:i/>
                <w:sz w:val="18"/>
                <w:szCs w:val="18"/>
              </w:rPr>
              <w:t>,</w:t>
            </w:r>
            <w:r w:rsidRPr="00373B4C">
              <w:rPr>
                <w:i/>
                <w:sz w:val="18"/>
                <w:szCs w:val="18"/>
              </w:rPr>
              <w:t xml:space="preserve"> S.H.</w:t>
            </w:r>
            <w:r w:rsidR="001B2BCD">
              <w:rPr>
                <w:i/>
                <w:sz w:val="18"/>
                <w:szCs w:val="18"/>
              </w:rPr>
              <w:t>,</w:t>
            </w:r>
            <w:r w:rsidRPr="00373B4C">
              <w:rPr>
                <w:i/>
                <w:sz w:val="18"/>
                <w:szCs w:val="18"/>
              </w:rPr>
              <w:t xml:space="preserve"> S.E.</w:t>
            </w:r>
            <w:r w:rsidR="001B2BCD">
              <w:rPr>
                <w:i/>
                <w:sz w:val="18"/>
                <w:szCs w:val="18"/>
              </w:rPr>
              <w:t>,</w:t>
            </w:r>
            <w:r w:rsidRPr="00373B4C">
              <w:rPr>
                <w:i/>
                <w:sz w:val="18"/>
                <w:szCs w:val="18"/>
              </w:rPr>
              <w:t xml:space="preserve"> M.H. (hereinafter referred as Merger Deed). The Merger Deed contains</w:t>
            </w:r>
            <w:r w:rsidR="001B2BCD">
              <w:rPr>
                <w:i/>
                <w:sz w:val="18"/>
                <w:szCs w:val="18"/>
              </w:rPr>
              <w:t>,</w:t>
            </w:r>
            <w:r w:rsidRPr="00373B4C">
              <w:rPr>
                <w:i/>
                <w:sz w:val="18"/>
                <w:szCs w:val="18"/>
              </w:rPr>
              <w:t xml:space="preserve"> the effective date of the merger  by  the  approval  date  on  the amendments on the Company’s Articles of Association by the the Ministry of Law and Human Rights</w:t>
            </w:r>
            <w:r w:rsidR="001B2BCD">
              <w:rPr>
                <w:i/>
                <w:sz w:val="18"/>
                <w:szCs w:val="18"/>
              </w:rPr>
              <w:t>,</w:t>
            </w:r>
            <w:r w:rsidRPr="00373B4C">
              <w:rPr>
                <w:i/>
                <w:sz w:val="18"/>
                <w:szCs w:val="18"/>
              </w:rPr>
              <w:t xml:space="preserve"> and the capital structure of the Company</w:t>
            </w:r>
            <w:r w:rsidR="001B2BCD">
              <w:rPr>
                <w:i/>
                <w:sz w:val="18"/>
                <w:szCs w:val="18"/>
              </w:rPr>
              <w:t>,</w:t>
            </w:r>
            <w:r w:rsidRPr="00373B4C">
              <w:rPr>
                <w:i/>
                <w:sz w:val="18"/>
                <w:szCs w:val="18"/>
              </w:rPr>
              <w:t xml:space="preserve"> as the capital structure of the Company</w:t>
            </w:r>
            <w:r w:rsidR="001B2BCD">
              <w:rPr>
                <w:i/>
                <w:sz w:val="18"/>
                <w:szCs w:val="18"/>
              </w:rPr>
              <w:t>,</w:t>
            </w:r>
            <w:r w:rsidRPr="00373B4C">
              <w:rPr>
                <w:i/>
                <w:sz w:val="18"/>
                <w:szCs w:val="18"/>
              </w:rPr>
              <w:t xml:space="preserve">  as  the surviving entity</w:t>
            </w:r>
            <w:r w:rsidR="001B2BCD">
              <w:rPr>
                <w:i/>
                <w:sz w:val="18"/>
                <w:szCs w:val="18"/>
              </w:rPr>
              <w:t>,</w:t>
            </w:r>
            <w:r w:rsidRPr="00373B4C">
              <w:rPr>
                <w:i/>
                <w:sz w:val="18"/>
                <w:szCs w:val="18"/>
              </w:rPr>
              <w:t xml:space="preserve"> begin from the effective date of Merger onwards is as follows: share capital  of  </w:t>
            </w:r>
            <w:r w:rsidR="004A1988">
              <w:rPr>
                <w:i/>
                <w:sz w:val="18"/>
                <w:szCs w:val="18"/>
              </w:rPr>
              <w:t>Rp 2</w:t>
            </w:r>
            <w:r w:rsidRPr="00373B4C">
              <w:rPr>
                <w:i/>
                <w:sz w:val="18"/>
                <w:szCs w:val="18"/>
              </w:rPr>
              <w:t xml:space="preserve"> trillion</w:t>
            </w:r>
            <w:r w:rsidR="001B2BCD">
              <w:rPr>
                <w:i/>
                <w:sz w:val="18"/>
                <w:szCs w:val="18"/>
              </w:rPr>
              <w:t>,</w:t>
            </w:r>
            <w:r w:rsidRPr="00373B4C">
              <w:rPr>
                <w:i/>
                <w:sz w:val="18"/>
                <w:szCs w:val="18"/>
              </w:rPr>
              <w:t xml:space="preserve"> issued and</w:t>
            </w:r>
            <w:r w:rsidR="00373B4C" w:rsidRPr="00373B4C">
              <w:rPr>
                <w:i/>
                <w:sz w:val="18"/>
                <w:szCs w:val="18"/>
              </w:rPr>
              <w:t xml:space="preserve"> fully paid share of </w:t>
            </w:r>
            <w:r w:rsidR="004A1988">
              <w:rPr>
                <w:i/>
                <w:sz w:val="18"/>
                <w:szCs w:val="18"/>
              </w:rPr>
              <w:t>Rp 1</w:t>
            </w:r>
            <w:r w:rsidR="001B2BCD">
              <w:rPr>
                <w:i/>
                <w:sz w:val="18"/>
                <w:szCs w:val="18"/>
              </w:rPr>
              <w:t>,</w:t>
            </w:r>
            <w:r w:rsidR="00373B4C" w:rsidRPr="00373B4C">
              <w:rPr>
                <w:i/>
                <w:sz w:val="18"/>
                <w:szCs w:val="18"/>
              </w:rPr>
              <w:t>200</w:t>
            </w:r>
            <w:r w:rsidR="001B2BCD">
              <w:rPr>
                <w:i/>
                <w:sz w:val="18"/>
                <w:szCs w:val="18"/>
              </w:rPr>
              <w:t>,</w:t>
            </w:r>
            <w:r w:rsidR="00373B4C" w:rsidRPr="00373B4C">
              <w:rPr>
                <w:i/>
                <w:sz w:val="18"/>
                <w:szCs w:val="18"/>
              </w:rPr>
              <w:t>070</w:t>
            </w:r>
            <w:r w:rsidR="001B2BCD">
              <w:rPr>
                <w:i/>
                <w:sz w:val="18"/>
                <w:szCs w:val="18"/>
              </w:rPr>
              <w:t>,</w:t>
            </w:r>
            <w:r w:rsidR="00373B4C" w:rsidRPr="00373B4C">
              <w:rPr>
                <w:i/>
                <w:sz w:val="18"/>
                <w:szCs w:val="18"/>
              </w:rPr>
              <w:t>555</w:t>
            </w:r>
            <w:r w:rsidR="001B2BCD">
              <w:rPr>
                <w:i/>
                <w:sz w:val="18"/>
                <w:szCs w:val="18"/>
              </w:rPr>
              <w:t>,</w:t>
            </w:r>
            <w:r w:rsidR="00373B4C" w:rsidRPr="00373B4C">
              <w:rPr>
                <w:i/>
                <w:sz w:val="18"/>
                <w:szCs w:val="18"/>
              </w:rPr>
              <w:t>500 (full amount)</w:t>
            </w:r>
            <w:r w:rsidR="00373B4C" w:rsidRPr="00373B4C">
              <w:rPr>
                <w:i/>
                <w:sz w:val="18"/>
                <w:szCs w:val="18"/>
                <w:lang w:val="id-ID"/>
              </w:rPr>
              <w:t xml:space="preserve"> </w:t>
            </w:r>
            <w:r w:rsidR="00373B4C" w:rsidRPr="00373B4C">
              <w:rPr>
                <w:i/>
                <w:sz w:val="18"/>
                <w:szCs w:val="18"/>
              </w:rPr>
              <w:t>divided  into  12</w:t>
            </w:r>
            <w:r w:rsidR="001B2BCD">
              <w:rPr>
                <w:i/>
                <w:sz w:val="18"/>
                <w:szCs w:val="18"/>
              </w:rPr>
              <w:t>,</w:t>
            </w:r>
            <w:r w:rsidR="00373B4C" w:rsidRPr="00373B4C">
              <w:rPr>
                <w:i/>
                <w:sz w:val="18"/>
                <w:szCs w:val="18"/>
              </w:rPr>
              <w:t>000</w:t>
            </w:r>
            <w:r w:rsidR="001B2BCD">
              <w:rPr>
                <w:i/>
                <w:sz w:val="18"/>
                <w:szCs w:val="18"/>
              </w:rPr>
              <w:t>,</w:t>
            </w:r>
            <w:r w:rsidR="00373B4C" w:rsidRPr="00373B4C">
              <w:rPr>
                <w:i/>
                <w:sz w:val="18"/>
                <w:szCs w:val="18"/>
              </w:rPr>
              <w:t>705</w:t>
            </w:r>
            <w:r w:rsidR="001B2BCD">
              <w:rPr>
                <w:i/>
                <w:sz w:val="18"/>
                <w:szCs w:val="18"/>
              </w:rPr>
              <w:t>,</w:t>
            </w:r>
            <w:r w:rsidR="00373B4C" w:rsidRPr="00373B4C">
              <w:rPr>
                <w:i/>
                <w:sz w:val="18"/>
                <w:szCs w:val="18"/>
              </w:rPr>
              <w:t xml:space="preserve">455  shares with </w:t>
            </w:r>
            <w:r w:rsidR="004A1988">
              <w:rPr>
                <w:i/>
                <w:sz w:val="18"/>
                <w:szCs w:val="18"/>
              </w:rPr>
              <w:t>Rp 1</w:t>
            </w:r>
            <w:r w:rsidR="00373B4C" w:rsidRPr="00373B4C">
              <w:rPr>
                <w:i/>
                <w:sz w:val="18"/>
                <w:szCs w:val="18"/>
              </w:rPr>
              <w:t>00 (full</w:t>
            </w:r>
            <w:r w:rsidR="00373B4C" w:rsidRPr="00373B4C">
              <w:rPr>
                <w:i/>
                <w:sz w:val="18"/>
                <w:szCs w:val="18"/>
                <w:lang w:val="id-ID"/>
              </w:rPr>
              <w:t xml:space="preserve"> </w:t>
            </w:r>
            <w:r w:rsidR="00373B4C" w:rsidRPr="00373B4C">
              <w:rPr>
                <w:i/>
                <w:sz w:val="18"/>
                <w:szCs w:val="18"/>
              </w:rPr>
              <w:t>amount) par value per share.</w:t>
            </w:r>
          </w:p>
        </w:tc>
      </w:tr>
      <w:tr w:rsidR="00070E2F" w:rsidRPr="00830DE2" w14:paraId="7DD8795D" w14:textId="77777777" w:rsidTr="00AD0892">
        <w:tc>
          <w:tcPr>
            <w:tcW w:w="4598" w:type="dxa"/>
          </w:tcPr>
          <w:p w14:paraId="040EC174" w14:textId="77777777" w:rsidR="00070E2F" w:rsidRPr="00830DE2" w:rsidRDefault="00070E2F" w:rsidP="00C0406D">
            <w:pPr>
              <w:ind w:left="567" w:right="-57"/>
              <w:jc w:val="both"/>
              <w:rPr>
                <w:rStyle w:val="hps"/>
                <w:sz w:val="18"/>
                <w:szCs w:val="18"/>
              </w:rPr>
            </w:pPr>
          </w:p>
        </w:tc>
        <w:tc>
          <w:tcPr>
            <w:tcW w:w="4598" w:type="dxa"/>
          </w:tcPr>
          <w:p w14:paraId="4520292D" w14:textId="77777777" w:rsidR="00070E2F" w:rsidRPr="00830DE2" w:rsidRDefault="00070E2F" w:rsidP="00C0406D">
            <w:pPr>
              <w:ind w:left="567" w:right="-57"/>
              <w:jc w:val="both"/>
              <w:rPr>
                <w:i/>
                <w:sz w:val="18"/>
                <w:szCs w:val="18"/>
              </w:rPr>
            </w:pPr>
          </w:p>
        </w:tc>
      </w:tr>
    </w:tbl>
    <w:p w14:paraId="3C7E0AAF" w14:textId="3FB3C575" w:rsidR="00070E2F" w:rsidRPr="00830DE2" w:rsidRDefault="00070E2F" w:rsidP="0013526B">
      <w:pPr>
        <w:rPr>
          <w:sz w:val="18"/>
          <w:lang w:val="id-ID"/>
        </w:rPr>
      </w:pPr>
      <w:r w:rsidRPr="00830DE2">
        <w:rPr>
          <w:sz w:val="18"/>
          <w:lang w:val="id-ID"/>
        </w:rPr>
        <w:br/>
      </w:r>
    </w:p>
    <w:p w14:paraId="037923E2" w14:textId="77777777" w:rsidR="00DC6CA6" w:rsidRPr="00FC3E0B" w:rsidRDefault="00DC6CA6" w:rsidP="0013526B">
      <w:pPr>
        <w:rPr>
          <w:sz w:val="18"/>
          <w:highlight w:val="green"/>
          <w:lang w:val="id-ID"/>
        </w:rPr>
      </w:pPr>
    </w:p>
    <w:p w14:paraId="59625949" w14:textId="77777777" w:rsidR="00DC6CA6" w:rsidRPr="00FC3E0B" w:rsidRDefault="00DC6CA6" w:rsidP="0013526B">
      <w:pPr>
        <w:rPr>
          <w:sz w:val="18"/>
          <w:highlight w:val="green"/>
          <w:lang w:val="id-ID"/>
        </w:rPr>
      </w:pPr>
    </w:p>
    <w:tbl>
      <w:tblPr>
        <w:tblW w:w="9197" w:type="dxa"/>
        <w:tblInd w:w="392" w:type="dxa"/>
        <w:tblLayout w:type="fixed"/>
        <w:tblLook w:val="0000" w:firstRow="0" w:lastRow="0" w:firstColumn="0" w:lastColumn="0" w:noHBand="0" w:noVBand="0"/>
      </w:tblPr>
      <w:tblGrid>
        <w:gridCol w:w="4599"/>
        <w:gridCol w:w="4598"/>
      </w:tblGrid>
      <w:tr w:rsidR="00DC6CA6" w:rsidRPr="00373B4C" w14:paraId="65758270" w14:textId="77777777" w:rsidTr="00373B4C">
        <w:tc>
          <w:tcPr>
            <w:tcW w:w="4599" w:type="dxa"/>
          </w:tcPr>
          <w:p w14:paraId="6C06C2F5" w14:textId="19F355A2" w:rsidR="00DC6CA6" w:rsidRPr="00373B4C" w:rsidRDefault="004F4870" w:rsidP="00070D1F">
            <w:pPr>
              <w:pStyle w:val="ListParagraph"/>
              <w:numPr>
                <w:ilvl w:val="0"/>
                <w:numId w:val="280"/>
              </w:numPr>
              <w:ind w:left="317" w:hanging="317"/>
              <w:contextualSpacing/>
              <w:jc w:val="both"/>
              <w:rPr>
                <w:rStyle w:val="hps"/>
                <w:b/>
                <w:sz w:val="18"/>
                <w:szCs w:val="18"/>
              </w:rPr>
            </w:pPr>
            <w:r>
              <w:rPr>
                <w:rStyle w:val="hps"/>
                <w:b/>
                <w:sz w:val="18"/>
                <w:szCs w:val="18"/>
              </w:rPr>
              <w:lastRenderedPageBreak/>
              <w:t>U</w:t>
            </w:r>
            <w:r w:rsidR="00DC6CA6" w:rsidRPr="00373B4C">
              <w:rPr>
                <w:rStyle w:val="hps"/>
                <w:b/>
                <w:sz w:val="18"/>
                <w:szCs w:val="18"/>
              </w:rPr>
              <w:t xml:space="preserve">MUM </w:t>
            </w:r>
            <w:r w:rsidR="00284C7C" w:rsidRPr="00373B4C">
              <w:rPr>
                <w:rStyle w:val="hps"/>
                <w:b/>
                <w:sz w:val="18"/>
                <w:szCs w:val="18"/>
                <w:lang w:val="id-ID"/>
              </w:rPr>
              <w:t xml:space="preserve">- </w:t>
            </w:r>
            <w:r w:rsidR="00DC6CA6" w:rsidRPr="00373B4C">
              <w:rPr>
                <w:rStyle w:val="hps"/>
                <w:b/>
                <w:sz w:val="18"/>
                <w:szCs w:val="18"/>
              </w:rPr>
              <w:t>Lanjutan</w:t>
            </w:r>
          </w:p>
        </w:tc>
        <w:tc>
          <w:tcPr>
            <w:tcW w:w="4598" w:type="dxa"/>
          </w:tcPr>
          <w:p w14:paraId="5A7213FC" w14:textId="77777777" w:rsidR="00DC6CA6" w:rsidRPr="00373B4C" w:rsidRDefault="00DC6CA6" w:rsidP="00070D1F">
            <w:pPr>
              <w:pStyle w:val="ListParagraph"/>
              <w:numPr>
                <w:ilvl w:val="0"/>
                <w:numId w:val="281"/>
              </w:numPr>
              <w:ind w:left="318" w:hanging="318"/>
              <w:contextualSpacing/>
              <w:jc w:val="both"/>
              <w:rPr>
                <w:b/>
                <w:bCs w:val="0"/>
                <w:i/>
                <w:sz w:val="18"/>
                <w:szCs w:val="18"/>
              </w:rPr>
            </w:pPr>
            <w:r w:rsidRPr="00373B4C">
              <w:rPr>
                <w:b/>
                <w:i/>
                <w:sz w:val="18"/>
                <w:szCs w:val="18"/>
              </w:rPr>
              <w:t>GENERAL - Continued</w:t>
            </w:r>
          </w:p>
        </w:tc>
      </w:tr>
      <w:tr w:rsidR="00DC6CA6" w:rsidRPr="00373B4C" w14:paraId="0CBF0444" w14:textId="77777777" w:rsidTr="00373B4C">
        <w:tc>
          <w:tcPr>
            <w:tcW w:w="4599" w:type="dxa"/>
          </w:tcPr>
          <w:p w14:paraId="6819DEFF" w14:textId="77777777" w:rsidR="00DC6CA6" w:rsidRPr="00373B4C" w:rsidRDefault="00DC6CA6" w:rsidP="00C0406D">
            <w:pPr>
              <w:jc w:val="both"/>
              <w:rPr>
                <w:rStyle w:val="hps"/>
                <w:sz w:val="18"/>
                <w:szCs w:val="10"/>
              </w:rPr>
            </w:pPr>
          </w:p>
        </w:tc>
        <w:tc>
          <w:tcPr>
            <w:tcW w:w="4598" w:type="dxa"/>
          </w:tcPr>
          <w:p w14:paraId="438CD472" w14:textId="77777777" w:rsidR="00DC6CA6" w:rsidRPr="00373B4C" w:rsidRDefault="00DC6CA6" w:rsidP="00C0406D">
            <w:pPr>
              <w:ind w:left="426"/>
              <w:jc w:val="both"/>
              <w:rPr>
                <w:bCs w:val="0"/>
                <w:i/>
                <w:sz w:val="18"/>
                <w:szCs w:val="10"/>
              </w:rPr>
            </w:pPr>
          </w:p>
        </w:tc>
      </w:tr>
      <w:tr w:rsidR="00DC6CA6" w:rsidRPr="00373B4C" w14:paraId="3B30E1E6" w14:textId="77777777" w:rsidTr="00373B4C">
        <w:tc>
          <w:tcPr>
            <w:tcW w:w="4599" w:type="dxa"/>
          </w:tcPr>
          <w:p w14:paraId="171358EE" w14:textId="399D08FD" w:rsidR="00DC6CA6" w:rsidRPr="00373B4C" w:rsidRDefault="00DC6CA6" w:rsidP="00070D1F">
            <w:pPr>
              <w:pStyle w:val="ListParagraph"/>
              <w:numPr>
                <w:ilvl w:val="0"/>
                <w:numId w:val="276"/>
              </w:numPr>
              <w:ind w:left="596" w:right="-57" w:hanging="261"/>
              <w:contextualSpacing/>
              <w:jc w:val="both"/>
              <w:rPr>
                <w:rStyle w:val="hps"/>
                <w:b/>
                <w:sz w:val="18"/>
                <w:szCs w:val="18"/>
              </w:rPr>
            </w:pPr>
            <w:r w:rsidRPr="00373B4C">
              <w:rPr>
                <w:rStyle w:val="hps"/>
                <w:b/>
                <w:sz w:val="18"/>
                <w:szCs w:val="18"/>
                <w:lang w:val="id-ID"/>
              </w:rPr>
              <w:t xml:space="preserve">Transaksi Penggabungan Usaha </w:t>
            </w:r>
            <w:r w:rsidR="00AD0892" w:rsidRPr="00373B4C">
              <w:rPr>
                <w:rStyle w:val="hps"/>
                <w:b/>
                <w:sz w:val="18"/>
                <w:szCs w:val="18"/>
              </w:rPr>
              <w:t>- La</w:t>
            </w:r>
            <w:r w:rsidRPr="00373B4C">
              <w:rPr>
                <w:rStyle w:val="hps"/>
                <w:b/>
                <w:sz w:val="18"/>
                <w:szCs w:val="18"/>
                <w:lang w:val="id-ID"/>
              </w:rPr>
              <w:t>njutan</w:t>
            </w:r>
          </w:p>
        </w:tc>
        <w:tc>
          <w:tcPr>
            <w:tcW w:w="4598" w:type="dxa"/>
          </w:tcPr>
          <w:p w14:paraId="5C476D17" w14:textId="638072BC" w:rsidR="00DC6CA6" w:rsidRPr="00373B4C" w:rsidRDefault="00DC6CA6" w:rsidP="00070D1F">
            <w:pPr>
              <w:pStyle w:val="ListParagraph"/>
              <w:numPr>
                <w:ilvl w:val="0"/>
                <w:numId w:val="277"/>
              </w:numPr>
              <w:ind w:left="572" w:right="-57" w:hanging="233"/>
              <w:contextualSpacing/>
              <w:jc w:val="both"/>
              <w:rPr>
                <w:b/>
                <w:bCs w:val="0"/>
                <w:i/>
                <w:sz w:val="18"/>
                <w:szCs w:val="18"/>
              </w:rPr>
            </w:pPr>
            <w:r w:rsidRPr="00373B4C">
              <w:rPr>
                <w:b/>
                <w:i/>
                <w:sz w:val="18"/>
                <w:szCs w:val="18"/>
                <w:lang w:val="id-ID"/>
              </w:rPr>
              <w:t xml:space="preserve">Merger Transaction </w:t>
            </w:r>
            <w:r w:rsidR="00AD0892" w:rsidRPr="00373B4C">
              <w:rPr>
                <w:b/>
                <w:i/>
                <w:sz w:val="18"/>
                <w:szCs w:val="18"/>
              </w:rPr>
              <w:t xml:space="preserve">- </w:t>
            </w:r>
            <w:r w:rsidRPr="00373B4C">
              <w:rPr>
                <w:b/>
                <w:i/>
                <w:sz w:val="18"/>
                <w:szCs w:val="18"/>
                <w:lang w:val="id-ID"/>
              </w:rPr>
              <w:t>Continued</w:t>
            </w:r>
          </w:p>
        </w:tc>
      </w:tr>
      <w:tr w:rsidR="00DC6CA6" w:rsidRPr="00373B4C" w14:paraId="6048FCA7" w14:textId="77777777" w:rsidTr="00373B4C">
        <w:tc>
          <w:tcPr>
            <w:tcW w:w="4599" w:type="dxa"/>
          </w:tcPr>
          <w:p w14:paraId="5D570686" w14:textId="77777777" w:rsidR="00DC6CA6" w:rsidRPr="00373B4C" w:rsidRDefault="00DC6CA6" w:rsidP="00C0406D">
            <w:pPr>
              <w:jc w:val="both"/>
              <w:rPr>
                <w:rStyle w:val="hps"/>
                <w:sz w:val="18"/>
                <w:szCs w:val="10"/>
              </w:rPr>
            </w:pPr>
          </w:p>
        </w:tc>
        <w:tc>
          <w:tcPr>
            <w:tcW w:w="4598" w:type="dxa"/>
          </w:tcPr>
          <w:p w14:paraId="6EA237F1" w14:textId="77777777" w:rsidR="00DC6CA6" w:rsidRPr="00373B4C" w:rsidRDefault="00DC6CA6" w:rsidP="00C0406D">
            <w:pPr>
              <w:ind w:left="426"/>
              <w:jc w:val="both"/>
              <w:rPr>
                <w:bCs w:val="0"/>
                <w:i/>
                <w:sz w:val="18"/>
                <w:szCs w:val="10"/>
              </w:rPr>
            </w:pPr>
          </w:p>
        </w:tc>
      </w:tr>
      <w:tr w:rsidR="00DC6CA6" w:rsidRPr="00FC3E0B" w14:paraId="1D2736BB" w14:textId="77777777" w:rsidTr="00373B4C">
        <w:tc>
          <w:tcPr>
            <w:tcW w:w="4599" w:type="dxa"/>
          </w:tcPr>
          <w:p w14:paraId="241F5606" w14:textId="4CF1E5B3" w:rsidR="00DC6CA6" w:rsidRPr="00373B4C" w:rsidRDefault="00FB26E8" w:rsidP="004F4870">
            <w:pPr>
              <w:ind w:left="629" w:right="-57"/>
              <w:jc w:val="both"/>
              <w:rPr>
                <w:rStyle w:val="hps"/>
                <w:sz w:val="18"/>
                <w:szCs w:val="18"/>
              </w:rPr>
            </w:pPr>
            <w:r w:rsidRPr="00373B4C">
              <w:rPr>
                <w:rStyle w:val="hps"/>
                <w:sz w:val="18"/>
                <w:szCs w:val="18"/>
              </w:rPr>
              <w:t>Pada tanggal 31 Mei 2018</w:t>
            </w:r>
            <w:r w:rsidR="001B2BCD">
              <w:rPr>
                <w:rStyle w:val="hps"/>
                <w:sz w:val="18"/>
                <w:szCs w:val="18"/>
              </w:rPr>
              <w:t>,</w:t>
            </w:r>
            <w:r w:rsidRPr="00373B4C">
              <w:rPr>
                <w:rStyle w:val="hps"/>
                <w:sz w:val="18"/>
                <w:szCs w:val="18"/>
              </w:rPr>
              <w:t xml:space="preserve"> berdasarkan Akta Pernyataan Keputusan Rapat Umum Pemegang Saham Luar Biasa (RUPSLB) No. 160 tanggal</w:t>
            </w:r>
            <w:r w:rsidRPr="00373B4C">
              <w:rPr>
                <w:rStyle w:val="hps"/>
                <w:sz w:val="18"/>
                <w:szCs w:val="18"/>
                <w:lang w:val="id-ID"/>
              </w:rPr>
              <w:t xml:space="preserve"> </w:t>
            </w:r>
            <w:r w:rsidR="00F21352">
              <w:rPr>
                <w:rStyle w:val="hps"/>
                <w:sz w:val="18"/>
                <w:szCs w:val="18"/>
                <w:lang w:val="id-ID"/>
              </w:rPr>
              <w:br/>
            </w:r>
            <w:r w:rsidRPr="00373B4C">
              <w:rPr>
                <w:rStyle w:val="hps"/>
                <w:sz w:val="18"/>
                <w:szCs w:val="18"/>
              </w:rPr>
              <w:t>31  Mei  2018</w:t>
            </w:r>
            <w:r w:rsidR="001B2BCD">
              <w:rPr>
                <w:rStyle w:val="hps"/>
                <w:sz w:val="18"/>
                <w:szCs w:val="18"/>
              </w:rPr>
              <w:t>,</w:t>
            </w:r>
            <w:r w:rsidRPr="00373B4C">
              <w:rPr>
                <w:rStyle w:val="hps"/>
                <w:sz w:val="18"/>
                <w:szCs w:val="18"/>
              </w:rPr>
              <w:t xml:space="preserve">  Perusahaan  melakukan perubahan modal dan susunan pemegang saham dari Notaris Buntario Tigris</w:t>
            </w:r>
            <w:r w:rsidR="001B2BCD">
              <w:rPr>
                <w:rStyle w:val="hps"/>
                <w:sz w:val="18"/>
                <w:szCs w:val="18"/>
              </w:rPr>
              <w:t>,</w:t>
            </w:r>
            <w:r w:rsidRPr="00373B4C">
              <w:rPr>
                <w:rStyle w:val="hps"/>
                <w:sz w:val="18"/>
                <w:szCs w:val="18"/>
              </w:rPr>
              <w:t xml:space="preserve"> S.H.</w:t>
            </w:r>
            <w:r w:rsidR="001B2BCD">
              <w:rPr>
                <w:rStyle w:val="hps"/>
                <w:sz w:val="18"/>
                <w:szCs w:val="18"/>
              </w:rPr>
              <w:t>,</w:t>
            </w:r>
            <w:r w:rsidRPr="00373B4C">
              <w:rPr>
                <w:rStyle w:val="hps"/>
                <w:sz w:val="18"/>
                <w:szCs w:val="18"/>
              </w:rPr>
              <w:t xml:space="preserve"> S.E.</w:t>
            </w:r>
            <w:r w:rsidR="001B2BCD">
              <w:rPr>
                <w:rStyle w:val="hps"/>
                <w:sz w:val="18"/>
                <w:szCs w:val="18"/>
              </w:rPr>
              <w:t>,</w:t>
            </w:r>
            <w:r w:rsidRPr="00373B4C">
              <w:rPr>
                <w:rStyle w:val="hps"/>
                <w:sz w:val="18"/>
                <w:szCs w:val="18"/>
              </w:rPr>
              <w:t xml:space="preserve"> M.H.</w:t>
            </w:r>
            <w:r w:rsidR="001B2BCD">
              <w:rPr>
                <w:rStyle w:val="hps"/>
                <w:sz w:val="18"/>
                <w:szCs w:val="18"/>
              </w:rPr>
              <w:t>,</w:t>
            </w:r>
            <w:r w:rsidRPr="00373B4C">
              <w:rPr>
                <w:rStyle w:val="hps"/>
                <w:sz w:val="18"/>
                <w:szCs w:val="18"/>
              </w:rPr>
              <w:t xml:space="preserve"> Notaris di Jakarta. Perubahan ini telah disahkan oleh Menteri Hukum dan Hak Asasi Manusia Republik Indonesia dengan Surat Penerimaan Pemberitahuan Perubahan Anggaran Dasar No. AHU-AH.01.10-0006357 tanggal</w:t>
            </w:r>
            <w:r w:rsidR="004F4870">
              <w:rPr>
                <w:rStyle w:val="hps"/>
                <w:sz w:val="18"/>
                <w:szCs w:val="18"/>
              </w:rPr>
              <w:t xml:space="preserve"> </w:t>
            </w:r>
            <w:r w:rsidRPr="00373B4C">
              <w:rPr>
                <w:rStyle w:val="hps"/>
                <w:sz w:val="18"/>
                <w:szCs w:val="18"/>
              </w:rPr>
              <w:t>31 Mei 2018.</w:t>
            </w:r>
          </w:p>
        </w:tc>
        <w:tc>
          <w:tcPr>
            <w:tcW w:w="4598" w:type="dxa"/>
          </w:tcPr>
          <w:p w14:paraId="6133D961" w14:textId="29538586" w:rsidR="00DC6CA6" w:rsidRPr="00373B4C" w:rsidRDefault="00FB26E8" w:rsidP="001B2BCD">
            <w:pPr>
              <w:ind w:left="567" w:right="-57"/>
              <w:jc w:val="both"/>
              <w:rPr>
                <w:i/>
                <w:sz w:val="18"/>
                <w:szCs w:val="18"/>
              </w:rPr>
            </w:pPr>
            <w:r w:rsidRPr="00373B4C">
              <w:rPr>
                <w:i/>
                <w:sz w:val="18"/>
                <w:szCs w:val="18"/>
              </w:rPr>
              <w:t xml:space="preserve">Based on Extraordinary General Shareholders’ </w:t>
            </w:r>
            <w:proofErr w:type="gramStart"/>
            <w:r w:rsidRPr="00373B4C">
              <w:rPr>
                <w:i/>
                <w:sz w:val="18"/>
                <w:szCs w:val="18"/>
              </w:rPr>
              <w:t>Meeting  (</w:t>
            </w:r>
            <w:proofErr w:type="gramEnd"/>
            <w:r w:rsidRPr="00373B4C">
              <w:rPr>
                <w:i/>
                <w:sz w:val="18"/>
                <w:szCs w:val="18"/>
              </w:rPr>
              <w:t xml:space="preserve">“EGSM”)  No.  </w:t>
            </w:r>
            <w:proofErr w:type="gramStart"/>
            <w:r w:rsidRPr="00373B4C">
              <w:rPr>
                <w:i/>
                <w:sz w:val="18"/>
                <w:szCs w:val="18"/>
              </w:rPr>
              <w:t>160  dated</w:t>
            </w:r>
            <w:proofErr w:type="gramEnd"/>
            <w:r w:rsidRPr="00373B4C">
              <w:rPr>
                <w:i/>
                <w:sz w:val="18"/>
                <w:szCs w:val="18"/>
              </w:rPr>
              <w:t xml:space="preserve">  May  31</w:t>
            </w:r>
            <w:r w:rsidR="001B2BCD">
              <w:rPr>
                <w:i/>
                <w:sz w:val="18"/>
                <w:szCs w:val="18"/>
              </w:rPr>
              <w:t>,</w:t>
            </w:r>
            <w:r w:rsidRPr="00373B4C">
              <w:rPr>
                <w:i/>
                <w:sz w:val="18"/>
                <w:szCs w:val="18"/>
                <w:lang w:val="id-ID"/>
              </w:rPr>
              <w:t xml:space="preserve">  </w:t>
            </w:r>
            <w:r w:rsidRPr="00373B4C">
              <w:rPr>
                <w:i/>
                <w:sz w:val="18"/>
                <w:szCs w:val="18"/>
              </w:rPr>
              <w:t>2018</w:t>
            </w:r>
            <w:r w:rsidR="00870FD0">
              <w:rPr>
                <w:i/>
                <w:sz w:val="18"/>
                <w:szCs w:val="18"/>
              </w:rPr>
              <w:t>.</w:t>
            </w:r>
            <w:r w:rsidRPr="00373B4C">
              <w:rPr>
                <w:i/>
                <w:sz w:val="18"/>
                <w:szCs w:val="18"/>
              </w:rPr>
              <w:t xml:space="preserve">  </w:t>
            </w:r>
            <w:proofErr w:type="gramStart"/>
            <w:r w:rsidRPr="00373B4C">
              <w:rPr>
                <w:i/>
                <w:sz w:val="18"/>
                <w:szCs w:val="18"/>
              </w:rPr>
              <w:t>the  Company</w:t>
            </w:r>
            <w:proofErr w:type="gramEnd"/>
            <w:r w:rsidRPr="00373B4C">
              <w:rPr>
                <w:i/>
                <w:sz w:val="18"/>
                <w:szCs w:val="18"/>
              </w:rPr>
              <w:t xml:space="preserve">  changes  its  number  of</w:t>
            </w:r>
            <w:r w:rsidRPr="00373B4C">
              <w:rPr>
                <w:i/>
                <w:sz w:val="18"/>
                <w:szCs w:val="18"/>
                <w:lang w:val="id-ID"/>
              </w:rPr>
              <w:t xml:space="preserve"> </w:t>
            </w:r>
            <w:r w:rsidRPr="00373B4C">
              <w:rPr>
                <w:i/>
                <w:sz w:val="18"/>
                <w:szCs w:val="18"/>
              </w:rPr>
              <w:t>capital stock and structure of shareholders by Notary Buntario Tigris</w:t>
            </w:r>
            <w:r w:rsidR="001B2BCD">
              <w:rPr>
                <w:i/>
                <w:sz w:val="18"/>
                <w:szCs w:val="18"/>
              </w:rPr>
              <w:t>,</w:t>
            </w:r>
            <w:r w:rsidRPr="00373B4C">
              <w:rPr>
                <w:i/>
                <w:sz w:val="18"/>
                <w:szCs w:val="18"/>
              </w:rPr>
              <w:t xml:space="preserve"> S.H.</w:t>
            </w:r>
            <w:r w:rsidR="001B2BCD">
              <w:rPr>
                <w:i/>
                <w:sz w:val="18"/>
                <w:szCs w:val="18"/>
              </w:rPr>
              <w:t>,</w:t>
            </w:r>
            <w:r w:rsidRPr="00373B4C">
              <w:rPr>
                <w:i/>
                <w:sz w:val="18"/>
                <w:szCs w:val="18"/>
              </w:rPr>
              <w:t xml:space="preserve"> S.E.</w:t>
            </w:r>
            <w:r w:rsidR="001B2BCD">
              <w:rPr>
                <w:i/>
                <w:sz w:val="18"/>
                <w:szCs w:val="18"/>
              </w:rPr>
              <w:t>,</w:t>
            </w:r>
            <w:r w:rsidRPr="00373B4C">
              <w:rPr>
                <w:i/>
                <w:sz w:val="18"/>
                <w:szCs w:val="18"/>
              </w:rPr>
              <w:t xml:space="preserve"> M.H.</w:t>
            </w:r>
            <w:r w:rsidR="001B2BCD">
              <w:rPr>
                <w:i/>
                <w:sz w:val="18"/>
                <w:szCs w:val="18"/>
              </w:rPr>
              <w:t>,</w:t>
            </w:r>
            <w:r w:rsidRPr="00373B4C">
              <w:rPr>
                <w:i/>
                <w:sz w:val="18"/>
                <w:szCs w:val="18"/>
              </w:rPr>
              <w:t xml:space="preserve"> Notary in Jakarta. This modification was approved by Minister of Law and Human Rights of the </w:t>
            </w:r>
            <w:proofErr w:type="gramStart"/>
            <w:r w:rsidRPr="00373B4C">
              <w:rPr>
                <w:i/>
                <w:sz w:val="18"/>
                <w:szCs w:val="18"/>
              </w:rPr>
              <w:t>Republic  of</w:t>
            </w:r>
            <w:proofErr w:type="gramEnd"/>
            <w:r w:rsidRPr="00373B4C">
              <w:rPr>
                <w:i/>
                <w:sz w:val="18"/>
                <w:szCs w:val="18"/>
              </w:rPr>
              <w:t xml:space="preserve">  Indonesia  in his  Letter of Acceptance of Notification of </w:t>
            </w:r>
            <w:r w:rsidR="00F21352">
              <w:rPr>
                <w:i/>
                <w:sz w:val="18"/>
                <w:szCs w:val="18"/>
              </w:rPr>
              <w:br/>
            </w:r>
            <w:r w:rsidRPr="00373B4C">
              <w:rPr>
                <w:i/>
                <w:sz w:val="18"/>
                <w:szCs w:val="18"/>
              </w:rPr>
              <w:t xml:space="preserve">Amendment of Articles   of   Association   </w:t>
            </w:r>
            <w:r w:rsidR="00F21352">
              <w:rPr>
                <w:i/>
                <w:sz w:val="18"/>
                <w:szCs w:val="18"/>
              </w:rPr>
              <w:br/>
            </w:r>
            <w:r w:rsidRPr="00373B4C">
              <w:rPr>
                <w:i/>
                <w:sz w:val="18"/>
                <w:szCs w:val="18"/>
              </w:rPr>
              <w:t>No.   AHU-AH.01.10-0006357 dated May 31</w:t>
            </w:r>
            <w:r w:rsidR="001B2BCD">
              <w:rPr>
                <w:i/>
                <w:sz w:val="18"/>
                <w:szCs w:val="18"/>
              </w:rPr>
              <w:t>,</w:t>
            </w:r>
            <w:r w:rsidRPr="00373B4C">
              <w:rPr>
                <w:i/>
                <w:sz w:val="18"/>
                <w:szCs w:val="18"/>
              </w:rPr>
              <w:t xml:space="preserve"> 2018.</w:t>
            </w:r>
          </w:p>
        </w:tc>
      </w:tr>
      <w:tr w:rsidR="00DC6CA6" w:rsidRPr="00FC3E0B" w14:paraId="78DF5056" w14:textId="77777777" w:rsidTr="00373B4C">
        <w:tc>
          <w:tcPr>
            <w:tcW w:w="4599" w:type="dxa"/>
          </w:tcPr>
          <w:p w14:paraId="046B6B45" w14:textId="77777777" w:rsidR="00DC6CA6" w:rsidRPr="00FC3E0B" w:rsidRDefault="00DC6CA6" w:rsidP="00C0406D">
            <w:pPr>
              <w:ind w:left="567" w:right="-57"/>
              <w:jc w:val="both"/>
              <w:rPr>
                <w:rStyle w:val="hps"/>
                <w:sz w:val="18"/>
                <w:szCs w:val="18"/>
                <w:highlight w:val="green"/>
              </w:rPr>
            </w:pPr>
          </w:p>
        </w:tc>
        <w:tc>
          <w:tcPr>
            <w:tcW w:w="4598" w:type="dxa"/>
          </w:tcPr>
          <w:p w14:paraId="27FEE68C" w14:textId="77777777" w:rsidR="00DC6CA6" w:rsidRPr="00FC3E0B" w:rsidRDefault="00DC6CA6" w:rsidP="00C0406D">
            <w:pPr>
              <w:ind w:left="567" w:right="-57"/>
              <w:jc w:val="both"/>
              <w:rPr>
                <w:i/>
                <w:sz w:val="18"/>
                <w:szCs w:val="18"/>
                <w:highlight w:val="green"/>
              </w:rPr>
            </w:pPr>
          </w:p>
        </w:tc>
      </w:tr>
      <w:tr w:rsidR="00FB26E8" w:rsidRPr="00F21352" w14:paraId="4D291F4A" w14:textId="77777777" w:rsidTr="00373B4C">
        <w:tc>
          <w:tcPr>
            <w:tcW w:w="4599" w:type="dxa"/>
          </w:tcPr>
          <w:p w14:paraId="2A19FE63" w14:textId="328084EF" w:rsidR="00FB26E8" w:rsidRPr="00F21352" w:rsidRDefault="00FB26E8" w:rsidP="00070D1F">
            <w:pPr>
              <w:pStyle w:val="ListParagraph"/>
              <w:numPr>
                <w:ilvl w:val="0"/>
                <w:numId w:val="276"/>
              </w:numPr>
              <w:ind w:left="629" w:right="-57" w:hanging="280"/>
              <w:contextualSpacing/>
              <w:jc w:val="both"/>
              <w:rPr>
                <w:rStyle w:val="hps"/>
                <w:sz w:val="18"/>
                <w:szCs w:val="18"/>
              </w:rPr>
            </w:pPr>
            <w:r w:rsidRPr="00F21352">
              <w:rPr>
                <w:rStyle w:val="hps"/>
                <w:b/>
                <w:sz w:val="18"/>
                <w:szCs w:val="18"/>
                <w:lang w:val="id-ID"/>
              </w:rPr>
              <w:t>Susunan Pengurus dan Informasi Lain</w:t>
            </w:r>
          </w:p>
        </w:tc>
        <w:tc>
          <w:tcPr>
            <w:tcW w:w="4598" w:type="dxa"/>
          </w:tcPr>
          <w:p w14:paraId="4240DB48" w14:textId="68F53B9E" w:rsidR="00FB26E8" w:rsidRPr="00F21352" w:rsidRDefault="00FB26E8" w:rsidP="00070D1F">
            <w:pPr>
              <w:pStyle w:val="ListParagraph"/>
              <w:numPr>
                <w:ilvl w:val="0"/>
                <w:numId w:val="277"/>
              </w:numPr>
              <w:ind w:left="567" w:right="-57" w:hanging="228"/>
              <w:contextualSpacing/>
              <w:jc w:val="both"/>
              <w:rPr>
                <w:i/>
                <w:sz w:val="18"/>
                <w:szCs w:val="18"/>
              </w:rPr>
            </w:pPr>
            <w:r w:rsidRPr="00F21352">
              <w:rPr>
                <w:b/>
                <w:i/>
                <w:sz w:val="18"/>
                <w:szCs w:val="18"/>
                <w:lang w:val="id-ID"/>
              </w:rPr>
              <w:t>Management and Other Information</w:t>
            </w:r>
          </w:p>
        </w:tc>
      </w:tr>
      <w:tr w:rsidR="00FB26E8" w:rsidRPr="00F21352" w14:paraId="20990D41" w14:textId="77777777" w:rsidTr="00373B4C">
        <w:trPr>
          <w:trHeight w:val="172"/>
        </w:trPr>
        <w:tc>
          <w:tcPr>
            <w:tcW w:w="4599" w:type="dxa"/>
          </w:tcPr>
          <w:p w14:paraId="3DA23452" w14:textId="3C6EFBF6" w:rsidR="00FB26E8" w:rsidRPr="00F21352" w:rsidRDefault="00FB26E8" w:rsidP="00C0406D">
            <w:pPr>
              <w:ind w:left="567" w:right="-57"/>
              <w:jc w:val="both"/>
              <w:rPr>
                <w:rStyle w:val="hps"/>
                <w:sz w:val="18"/>
                <w:szCs w:val="18"/>
              </w:rPr>
            </w:pPr>
          </w:p>
        </w:tc>
        <w:tc>
          <w:tcPr>
            <w:tcW w:w="4598" w:type="dxa"/>
          </w:tcPr>
          <w:p w14:paraId="12BE10D9" w14:textId="77777777" w:rsidR="00FB26E8" w:rsidRPr="00F21352" w:rsidRDefault="00FB26E8" w:rsidP="00C0406D">
            <w:pPr>
              <w:ind w:left="567" w:right="-57"/>
              <w:jc w:val="both"/>
              <w:rPr>
                <w:i/>
                <w:sz w:val="18"/>
                <w:szCs w:val="18"/>
              </w:rPr>
            </w:pPr>
          </w:p>
        </w:tc>
      </w:tr>
      <w:tr w:rsidR="008B7F99" w:rsidRPr="00F21352" w14:paraId="6B86EAE5" w14:textId="77777777" w:rsidTr="00373B4C">
        <w:tc>
          <w:tcPr>
            <w:tcW w:w="4599" w:type="dxa"/>
          </w:tcPr>
          <w:p w14:paraId="7AC32F9C" w14:textId="79F723F6" w:rsidR="008B7F99" w:rsidRPr="00E259B2" w:rsidRDefault="001D3A4C" w:rsidP="001B2BCD">
            <w:pPr>
              <w:ind w:left="601" w:right="-57"/>
              <w:jc w:val="both"/>
              <w:rPr>
                <w:rStyle w:val="hps"/>
                <w:sz w:val="18"/>
                <w:szCs w:val="18"/>
                <w:highlight w:val="yellow"/>
              </w:rPr>
            </w:pPr>
            <w:r w:rsidRPr="007D05E1">
              <w:rPr>
                <w:rStyle w:val="hps"/>
                <w:sz w:val="18"/>
                <w:szCs w:val="18"/>
              </w:rPr>
              <w:t xml:space="preserve">Berdasarkan Pernyataan Keputusan Rapat pada tanggal 20 Februari 2020 yang tercantum dalam Akta Notaris No. 931 dari notaris Recky Francky Limpele, S.H. </w:t>
            </w:r>
            <w:r w:rsidRPr="00F73213">
              <w:rPr>
                <w:rStyle w:val="hps"/>
                <w:sz w:val="18"/>
                <w:szCs w:val="18"/>
              </w:rPr>
              <w:t>Perubahan ini telah  disahkan oleh Menteri  Hukum  dan</w:t>
            </w:r>
            <w:r w:rsidRPr="00F73213">
              <w:rPr>
                <w:rStyle w:val="hps"/>
                <w:sz w:val="18"/>
                <w:szCs w:val="18"/>
                <w:lang w:val="id-ID"/>
              </w:rPr>
              <w:t xml:space="preserve"> </w:t>
            </w:r>
            <w:r w:rsidRPr="00F73213">
              <w:rPr>
                <w:rStyle w:val="hps"/>
                <w:sz w:val="18"/>
                <w:szCs w:val="18"/>
              </w:rPr>
              <w:t>Hak Asasi Manusia</w:t>
            </w:r>
            <w:r w:rsidRPr="00F73213">
              <w:rPr>
                <w:rStyle w:val="hps"/>
                <w:sz w:val="18"/>
                <w:szCs w:val="18"/>
                <w:lang w:val="id-ID"/>
              </w:rPr>
              <w:t xml:space="preserve"> </w:t>
            </w:r>
            <w:r w:rsidRPr="00F73213">
              <w:rPr>
                <w:rStyle w:val="hps"/>
                <w:sz w:val="18"/>
                <w:szCs w:val="18"/>
              </w:rPr>
              <w:t>Republik Indonesia dengan Surat Keputusan No. AHU-AH.01.03-</w:t>
            </w:r>
            <w:r>
              <w:rPr>
                <w:rStyle w:val="hps"/>
                <w:sz w:val="18"/>
                <w:szCs w:val="18"/>
              </w:rPr>
              <w:t xml:space="preserve">0131225 </w:t>
            </w:r>
            <w:r w:rsidRPr="00F73213">
              <w:rPr>
                <w:rStyle w:val="hps"/>
                <w:sz w:val="18"/>
                <w:szCs w:val="18"/>
              </w:rPr>
              <w:t>tahun 20</w:t>
            </w:r>
            <w:r>
              <w:rPr>
                <w:rStyle w:val="hps"/>
                <w:sz w:val="18"/>
                <w:szCs w:val="18"/>
              </w:rPr>
              <w:t>20</w:t>
            </w:r>
            <w:r w:rsidRPr="00F73213">
              <w:rPr>
                <w:rStyle w:val="hps"/>
                <w:sz w:val="18"/>
                <w:szCs w:val="18"/>
              </w:rPr>
              <w:t xml:space="preserve"> tanggal </w:t>
            </w:r>
            <w:r>
              <w:rPr>
                <w:rStyle w:val="hps"/>
                <w:sz w:val="18"/>
                <w:szCs w:val="18"/>
              </w:rPr>
              <w:t>9 Maret</w:t>
            </w:r>
            <w:r w:rsidRPr="00F73213">
              <w:rPr>
                <w:rStyle w:val="hps"/>
                <w:sz w:val="18"/>
                <w:szCs w:val="18"/>
              </w:rPr>
              <w:t xml:space="preserve"> 20</w:t>
            </w:r>
            <w:r>
              <w:rPr>
                <w:rStyle w:val="hps"/>
                <w:sz w:val="18"/>
                <w:szCs w:val="18"/>
              </w:rPr>
              <w:t>20. S</w:t>
            </w:r>
            <w:r w:rsidRPr="007D05E1">
              <w:rPr>
                <w:rStyle w:val="hps"/>
                <w:sz w:val="18"/>
                <w:szCs w:val="18"/>
              </w:rPr>
              <w:t>usunan Dewan Komisaris dan Direksi Perusahaan adalah sebagai berikut:</w:t>
            </w:r>
          </w:p>
        </w:tc>
        <w:tc>
          <w:tcPr>
            <w:tcW w:w="4598" w:type="dxa"/>
          </w:tcPr>
          <w:p w14:paraId="2D06736D" w14:textId="56036955" w:rsidR="008B7F99" w:rsidRPr="00F21352" w:rsidRDefault="001D3A4C" w:rsidP="00E222DB">
            <w:pPr>
              <w:ind w:left="567" w:right="-57"/>
              <w:jc w:val="both"/>
              <w:rPr>
                <w:i/>
                <w:sz w:val="18"/>
                <w:szCs w:val="18"/>
              </w:rPr>
            </w:pPr>
            <w:r w:rsidRPr="007D05E1">
              <w:rPr>
                <w:i/>
                <w:sz w:val="18"/>
                <w:szCs w:val="18"/>
              </w:rPr>
              <w:t xml:space="preserve">Based on the Statement of General Meeting Shareholders’ Decision on February 20, 2020 as </w:t>
            </w:r>
            <w:proofErr w:type="gramStart"/>
            <w:r w:rsidRPr="007D05E1">
              <w:rPr>
                <w:i/>
                <w:sz w:val="18"/>
                <w:szCs w:val="18"/>
              </w:rPr>
              <w:t>stated  in</w:t>
            </w:r>
            <w:proofErr w:type="gramEnd"/>
            <w:r w:rsidRPr="007D05E1">
              <w:rPr>
                <w:i/>
                <w:sz w:val="18"/>
                <w:szCs w:val="18"/>
              </w:rPr>
              <w:t xml:space="preserve">  Notarial   Deed  No. 931 of notary Recky Francky Limpele, S.H.</w:t>
            </w:r>
            <w:r>
              <w:rPr>
                <w:i/>
                <w:sz w:val="18"/>
                <w:szCs w:val="18"/>
              </w:rPr>
              <w:t xml:space="preserve"> </w:t>
            </w:r>
            <w:r w:rsidRPr="00A84908">
              <w:rPr>
                <w:bCs w:val="0"/>
                <w:i/>
                <w:sz w:val="18"/>
                <w:szCs w:val="18"/>
              </w:rPr>
              <w:t xml:space="preserve">This change was approved by the Minister of Law and Human Rights of the Republic of Indonesia by his Decision Letter No.  </w:t>
            </w:r>
            <w:r w:rsidRPr="0072535E">
              <w:rPr>
                <w:bCs w:val="0"/>
                <w:i/>
                <w:sz w:val="18"/>
                <w:szCs w:val="18"/>
              </w:rPr>
              <w:t xml:space="preserve">AHU-AH.01.03-0131225 </w:t>
            </w:r>
            <w:r w:rsidRPr="00A84908">
              <w:rPr>
                <w:bCs w:val="0"/>
                <w:i/>
                <w:sz w:val="18"/>
                <w:szCs w:val="18"/>
              </w:rPr>
              <w:t>year 20</w:t>
            </w:r>
            <w:r>
              <w:rPr>
                <w:bCs w:val="0"/>
                <w:i/>
                <w:sz w:val="18"/>
                <w:szCs w:val="18"/>
              </w:rPr>
              <w:t>20</w:t>
            </w:r>
            <w:r w:rsidRPr="00A84908">
              <w:rPr>
                <w:bCs w:val="0"/>
                <w:i/>
                <w:sz w:val="18"/>
                <w:szCs w:val="18"/>
              </w:rPr>
              <w:t xml:space="preserve"> dated </w:t>
            </w:r>
            <w:r>
              <w:rPr>
                <w:bCs w:val="0"/>
                <w:i/>
                <w:sz w:val="18"/>
                <w:szCs w:val="18"/>
              </w:rPr>
              <w:t>March 9</w:t>
            </w:r>
            <w:proofErr w:type="gramStart"/>
            <w:r>
              <w:rPr>
                <w:bCs w:val="0"/>
                <w:i/>
                <w:sz w:val="18"/>
                <w:szCs w:val="18"/>
              </w:rPr>
              <w:t>,2020</w:t>
            </w:r>
            <w:proofErr w:type="gramEnd"/>
            <w:r w:rsidRPr="00A84908">
              <w:rPr>
                <w:bCs w:val="0"/>
                <w:i/>
                <w:sz w:val="18"/>
                <w:szCs w:val="18"/>
              </w:rPr>
              <w:t>.</w:t>
            </w:r>
            <w:r w:rsidRPr="007D05E1">
              <w:rPr>
                <w:i/>
                <w:sz w:val="18"/>
                <w:szCs w:val="18"/>
              </w:rPr>
              <w:t xml:space="preserve"> </w:t>
            </w:r>
            <w:r>
              <w:rPr>
                <w:i/>
                <w:sz w:val="18"/>
                <w:szCs w:val="18"/>
              </w:rPr>
              <w:t>T</w:t>
            </w:r>
            <w:r w:rsidRPr="007D05E1">
              <w:rPr>
                <w:i/>
                <w:sz w:val="18"/>
                <w:szCs w:val="18"/>
              </w:rPr>
              <w:t>he compositions of the Company’s Boards of Commissioners  and  Directors are as follows:</w:t>
            </w:r>
          </w:p>
        </w:tc>
      </w:tr>
    </w:tbl>
    <w:p w14:paraId="7162D775" w14:textId="77777777" w:rsidR="005E6FB5" w:rsidRPr="00BC4132" w:rsidRDefault="005E6FB5">
      <w:pPr>
        <w:rPr>
          <w:sz w:val="12"/>
        </w:rPr>
      </w:pPr>
    </w:p>
    <w:p w14:paraId="640D6F66" w14:textId="77777777" w:rsidR="00DC6CA6" w:rsidRPr="00FC3E0B" w:rsidRDefault="00DC6CA6" w:rsidP="0013526B">
      <w:pPr>
        <w:rPr>
          <w:sz w:val="18"/>
          <w:highlight w:val="green"/>
          <w:lang w:val="id-ID"/>
        </w:rPr>
      </w:pPr>
    </w:p>
    <w:tbl>
      <w:tblPr>
        <w:tblW w:w="9214" w:type="dxa"/>
        <w:tblInd w:w="397" w:type="dxa"/>
        <w:tblLayout w:type="fixed"/>
        <w:tblCellMar>
          <w:left w:w="0" w:type="dxa"/>
          <w:right w:w="0" w:type="dxa"/>
        </w:tblCellMar>
        <w:tblLook w:val="0000" w:firstRow="0" w:lastRow="0" w:firstColumn="0" w:lastColumn="0" w:noHBand="0" w:noVBand="0"/>
      </w:tblPr>
      <w:tblGrid>
        <w:gridCol w:w="2928"/>
        <w:gridCol w:w="20"/>
        <w:gridCol w:w="3308"/>
        <w:gridCol w:w="6"/>
        <w:gridCol w:w="14"/>
        <w:gridCol w:w="6"/>
        <w:gridCol w:w="2916"/>
        <w:gridCol w:w="16"/>
      </w:tblGrid>
      <w:tr w:rsidR="00FC3E0B" w:rsidRPr="005E6FB5" w14:paraId="27C804BD" w14:textId="77777777" w:rsidTr="00E222DB">
        <w:trPr>
          <w:gridAfter w:val="1"/>
          <w:wAfter w:w="16" w:type="dxa"/>
        </w:trPr>
        <w:tc>
          <w:tcPr>
            <w:tcW w:w="2923" w:type="dxa"/>
          </w:tcPr>
          <w:p w14:paraId="231A17E4" w14:textId="77777777" w:rsidR="00FB26E8" w:rsidRPr="005E6FB5" w:rsidRDefault="00FB26E8" w:rsidP="00C0406D">
            <w:pPr>
              <w:ind w:left="702"/>
              <w:jc w:val="both"/>
              <w:rPr>
                <w:rStyle w:val="hps"/>
                <w:b/>
                <w:bCs w:val="0"/>
                <w:sz w:val="18"/>
                <w:szCs w:val="18"/>
                <w:u w:val="single"/>
              </w:rPr>
            </w:pPr>
            <w:r w:rsidRPr="005E6FB5">
              <w:rPr>
                <w:rStyle w:val="hps"/>
                <w:b/>
                <w:bCs w:val="0"/>
                <w:sz w:val="18"/>
                <w:szCs w:val="18"/>
                <w:u w:val="single"/>
              </w:rPr>
              <w:t>Dewan Komisaris</w:t>
            </w:r>
          </w:p>
        </w:tc>
        <w:tc>
          <w:tcPr>
            <w:tcW w:w="20" w:type="dxa"/>
          </w:tcPr>
          <w:p w14:paraId="3B13490A" w14:textId="77777777" w:rsidR="00FB26E8" w:rsidRPr="005E6FB5" w:rsidRDefault="00FB26E8" w:rsidP="00C0406D">
            <w:pPr>
              <w:jc w:val="center"/>
              <w:rPr>
                <w:b/>
                <w:bCs w:val="0"/>
                <w:sz w:val="18"/>
                <w:szCs w:val="18"/>
              </w:rPr>
            </w:pPr>
          </w:p>
        </w:tc>
        <w:tc>
          <w:tcPr>
            <w:tcW w:w="3310" w:type="dxa"/>
          </w:tcPr>
          <w:p w14:paraId="6DE5DBD9" w14:textId="77777777" w:rsidR="00FB26E8" w:rsidRPr="005E6FB5" w:rsidRDefault="00FB26E8" w:rsidP="00C0406D">
            <w:pPr>
              <w:jc w:val="center"/>
              <w:rPr>
                <w:b/>
                <w:bCs w:val="0"/>
                <w:sz w:val="18"/>
                <w:szCs w:val="18"/>
              </w:rPr>
            </w:pPr>
          </w:p>
        </w:tc>
        <w:tc>
          <w:tcPr>
            <w:tcW w:w="20" w:type="dxa"/>
            <w:gridSpan w:val="2"/>
          </w:tcPr>
          <w:p w14:paraId="262FFE28" w14:textId="77777777" w:rsidR="00FB26E8" w:rsidRPr="005E6FB5" w:rsidRDefault="00FB26E8" w:rsidP="00C0406D">
            <w:pPr>
              <w:jc w:val="center"/>
              <w:rPr>
                <w:b/>
                <w:bCs w:val="0"/>
                <w:i/>
                <w:sz w:val="18"/>
                <w:szCs w:val="18"/>
              </w:rPr>
            </w:pPr>
          </w:p>
        </w:tc>
        <w:tc>
          <w:tcPr>
            <w:tcW w:w="2924" w:type="dxa"/>
            <w:gridSpan w:val="2"/>
          </w:tcPr>
          <w:p w14:paraId="1A3614C8" w14:textId="77777777" w:rsidR="00FB26E8" w:rsidRPr="005E6FB5" w:rsidRDefault="00FB26E8" w:rsidP="00C0406D">
            <w:pPr>
              <w:ind w:left="425" w:right="57"/>
              <w:jc w:val="right"/>
              <w:rPr>
                <w:b/>
                <w:bCs w:val="0"/>
                <w:i/>
                <w:sz w:val="18"/>
                <w:szCs w:val="18"/>
                <w:u w:val="single"/>
              </w:rPr>
            </w:pPr>
            <w:r w:rsidRPr="005E6FB5">
              <w:rPr>
                <w:b/>
                <w:bCs w:val="0"/>
                <w:i/>
                <w:sz w:val="18"/>
                <w:szCs w:val="18"/>
                <w:u w:val="single"/>
              </w:rPr>
              <w:t>Board of Commissioners</w:t>
            </w:r>
          </w:p>
        </w:tc>
      </w:tr>
      <w:tr w:rsidR="00FC3E0B" w:rsidRPr="005E6FB5" w14:paraId="71A32B94" w14:textId="77777777" w:rsidTr="00E222DB">
        <w:trPr>
          <w:gridAfter w:val="1"/>
          <w:wAfter w:w="16" w:type="dxa"/>
        </w:trPr>
        <w:tc>
          <w:tcPr>
            <w:tcW w:w="2923" w:type="dxa"/>
          </w:tcPr>
          <w:p w14:paraId="771AF180" w14:textId="333A6EC1" w:rsidR="00FB26E8" w:rsidRPr="005E6FB5" w:rsidRDefault="00FB26E8" w:rsidP="00FC3E0B">
            <w:pPr>
              <w:ind w:left="702"/>
              <w:jc w:val="both"/>
              <w:rPr>
                <w:rStyle w:val="hps"/>
                <w:sz w:val="18"/>
                <w:szCs w:val="18"/>
                <w:lang w:val="id-ID"/>
              </w:rPr>
            </w:pPr>
            <w:r w:rsidRPr="005E6FB5">
              <w:rPr>
                <w:rStyle w:val="hps"/>
                <w:sz w:val="18"/>
                <w:szCs w:val="18"/>
              </w:rPr>
              <w:t>Komisaris Utama</w:t>
            </w:r>
          </w:p>
        </w:tc>
        <w:tc>
          <w:tcPr>
            <w:tcW w:w="20" w:type="dxa"/>
            <w:vAlign w:val="bottom"/>
          </w:tcPr>
          <w:p w14:paraId="5FAFA406" w14:textId="77777777" w:rsidR="00FB26E8" w:rsidRPr="005E6FB5" w:rsidRDefault="00FB26E8" w:rsidP="00C0406D">
            <w:pPr>
              <w:jc w:val="center"/>
              <w:rPr>
                <w:sz w:val="18"/>
                <w:szCs w:val="18"/>
              </w:rPr>
            </w:pPr>
          </w:p>
        </w:tc>
        <w:tc>
          <w:tcPr>
            <w:tcW w:w="3310" w:type="dxa"/>
            <w:vAlign w:val="bottom"/>
          </w:tcPr>
          <w:p w14:paraId="70346300" w14:textId="6D9FFBD6" w:rsidR="00FB26E8" w:rsidRPr="005E6FB5" w:rsidRDefault="00A85455" w:rsidP="00C0406D">
            <w:pPr>
              <w:jc w:val="center"/>
              <w:rPr>
                <w:sz w:val="18"/>
                <w:szCs w:val="18"/>
              </w:rPr>
            </w:pPr>
            <w:r>
              <w:rPr>
                <w:sz w:val="18"/>
                <w:szCs w:val="18"/>
              </w:rPr>
              <w:t xml:space="preserve">Tn. </w:t>
            </w:r>
            <w:r w:rsidR="00FC3E0B" w:rsidRPr="005E6FB5">
              <w:rPr>
                <w:sz w:val="18"/>
                <w:szCs w:val="18"/>
              </w:rPr>
              <w:t>Jonathan Tahir</w:t>
            </w:r>
          </w:p>
        </w:tc>
        <w:tc>
          <w:tcPr>
            <w:tcW w:w="20" w:type="dxa"/>
            <w:gridSpan w:val="2"/>
            <w:vAlign w:val="bottom"/>
          </w:tcPr>
          <w:p w14:paraId="24C6FBA0" w14:textId="77777777" w:rsidR="00FB26E8" w:rsidRPr="005E6FB5" w:rsidRDefault="00FB26E8" w:rsidP="00C0406D">
            <w:pPr>
              <w:jc w:val="center"/>
              <w:rPr>
                <w:bCs w:val="0"/>
                <w:i/>
                <w:sz w:val="18"/>
                <w:szCs w:val="18"/>
              </w:rPr>
            </w:pPr>
          </w:p>
        </w:tc>
        <w:tc>
          <w:tcPr>
            <w:tcW w:w="2924" w:type="dxa"/>
            <w:gridSpan w:val="2"/>
          </w:tcPr>
          <w:p w14:paraId="7894703F" w14:textId="621B36BC" w:rsidR="00FB26E8" w:rsidRPr="005E6FB5" w:rsidRDefault="00FB26E8" w:rsidP="00FC3E0B">
            <w:pPr>
              <w:ind w:right="57"/>
              <w:jc w:val="right"/>
              <w:rPr>
                <w:i/>
                <w:sz w:val="18"/>
                <w:szCs w:val="18"/>
                <w:lang w:val="id-ID"/>
              </w:rPr>
            </w:pPr>
            <w:r w:rsidRPr="005E6FB5">
              <w:rPr>
                <w:i/>
                <w:sz w:val="18"/>
                <w:szCs w:val="18"/>
              </w:rPr>
              <w:t>President Commissioner</w:t>
            </w:r>
          </w:p>
        </w:tc>
      </w:tr>
      <w:tr w:rsidR="00FC3E0B" w:rsidRPr="005E6FB5" w14:paraId="6FAEDD2B" w14:textId="77777777" w:rsidTr="00E222DB">
        <w:trPr>
          <w:gridAfter w:val="1"/>
          <w:wAfter w:w="16" w:type="dxa"/>
        </w:trPr>
        <w:tc>
          <w:tcPr>
            <w:tcW w:w="2923" w:type="dxa"/>
          </w:tcPr>
          <w:p w14:paraId="1BCBBA63" w14:textId="1C1A78F7" w:rsidR="00FB26E8" w:rsidRPr="005E6FB5" w:rsidRDefault="00FC3E0B" w:rsidP="00C0406D">
            <w:pPr>
              <w:ind w:left="702"/>
              <w:jc w:val="both"/>
              <w:rPr>
                <w:rStyle w:val="hps"/>
                <w:sz w:val="18"/>
                <w:szCs w:val="18"/>
                <w:lang w:val="id-ID"/>
              </w:rPr>
            </w:pPr>
            <w:r w:rsidRPr="005E6FB5">
              <w:rPr>
                <w:rStyle w:val="hps"/>
                <w:sz w:val="18"/>
                <w:szCs w:val="18"/>
                <w:lang w:val="id-ID"/>
              </w:rPr>
              <w:t xml:space="preserve">Wakil </w:t>
            </w:r>
            <w:r w:rsidR="00FB26E8" w:rsidRPr="005E6FB5">
              <w:rPr>
                <w:rStyle w:val="hps"/>
                <w:sz w:val="18"/>
                <w:szCs w:val="18"/>
              </w:rPr>
              <w:t>Komisaris</w:t>
            </w:r>
            <w:r w:rsidRPr="005E6FB5">
              <w:rPr>
                <w:rStyle w:val="hps"/>
                <w:sz w:val="18"/>
                <w:szCs w:val="18"/>
                <w:lang w:val="id-ID"/>
              </w:rPr>
              <w:t xml:space="preserve"> Utama</w:t>
            </w:r>
          </w:p>
        </w:tc>
        <w:tc>
          <w:tcPr>
            <w:tcW w:w="20" w:type="dxa"/>
          </w:tcPr>
          <w:p w14:paraId="71BA37E9" w14:textId="77777777" w:rsidR="00FB26E8" w:rsidRPr="005E6FB5" w:rsidRDefault="00FB26E8" w:rsidP="00C0406D">
            <w:pPr>
              <w:jc w:val="center"/>
              <w:rPr>
                <w:sz w:val="18"/>
                <w:szCs w:val="18"/>
              </w:rPr>
            </w:pPr>
          </w:p>
        </w:tc>
        <w:tc>
          <w:tcPr>
            <w:tcW w:w="3310" w:type="dxa"/>
            <w:vAlign w:val="bottom"/>
          </w:tcPr>
          <w:p w14:paraId="0FFFDE95" w14:textId="39E4CF53" w:rsidR="00FB26E8" w:rsidRPr="005E6FB5" w:rsidRDefault="00A85455" w:rsidP="00C0406D">
            <w:pPr>
              <w:jc w:val="center"/>
              <w:rPr>
                <w:sz w:val="18"/>
                <w:szCs w:val="18"/>
              </w:rPr>
            </w:pPr>
            <w:r>
              <w:rPr>
                <w:sz w:val="18"/>
                <w:szCs w:val="18"/>
              </w:rPr>
              <w:t xml:space="preserve">Tn. </w:t>
            </w:r>
            <w:r w:rsidRPr="00F21352">
              <w:rPr>
                <w:sz w:val="18"/>
                <w:szCs w:val="18"/>
              </w:rPr>
              <w:t>Dato’ Sri Prof. DR. Tahir M</w:t>
            </w:r>
            <w:r>
              <w:rPr>
                <w:sz w:val="18"/>
                <w:szCs w:val="18"/>
              </w:rPr>
              <w:t>.</w:t>
            </w:r>
            <w:r w:rsidRPr="00F21352">
              <w:rPr>
                <w:sz w:val="18"/>
                <w:szCs w:val="18"/>
              </w:rPr>
              <w:t>B</w:t>
            </w:r>
            <w:r>
              <w:rPr>
                <w:sz w:val="18"/>
                <w:szCs w:val="18"/>
              </w:rPr>
              <w:t>.</w:t>
            </w:r>
            <w:r w:rsidRPr="00F21352">
              <w:rPr>
                <w:sz w:val="18"/>
                <w:szCs w:val="18"/>
              </w:rPr>
              <w:t>A</w:t>
            </w:r>
            <w:r>
              <w:rPr>
                <w:sz w:val="18"/>
                <w:szCs w:val="18"/>
              </w:rPr>
              <w:t>.</w:t>
            </w:r>
          </w:p>
        </w:tc>
        <w:tc>
          <w:tcPr>
            <w:tcW w:w="20" w:type="dxa"/>
            <w:gridSpan w:val="2"/>
          </w:tcPr>
          <w:p w14:paraId="660AB40C" w14:textId="77777777" w:rsidR="00FB26E8" w:rsidRPr="005E6FB5" w:rsidRDefault="00FB26E8" w:rsidP="00C0406D">
            <w:pPr>
              <w:jc w:val="center"/>
              <w:rPr>
                <w:bCs w:val="0"/>
                <w:i/>
                <w:sz w:val="18"/>
                <w:szCs w:val="18"/>
              </w:rPr>
            </w:pPr>
          </w:p>
        </w:tc>
        <w:tc>
          <w:tcPr>
            <w:tcW w:w="2924" w:type="dxa"/>
            <w:gridSpan w:val="2"/>
          </w:tcPr>
          <w:p w14:paraId="43AA19DC" w14:textId="59D2B576" w:rsidR="00FB26E8" w:rsidRPr="005E6FB5" w:rsidRDefault="00FC3E0B" w:rsidP="00C0406D">
            <w:pPr>
              <w:ind w:left="-136" w:right="57"/>
              <w:jc w:val="right"/>
              <w:rPr>
                <w:bCs w:val="0"/>
                <w:i/>
                <w:sz w:val="18"/>
                <w:szCs w:val="18"/>
              </w:rPr>
            </w:pPr>
            <w:r w:rsidRPr="005E6FB5">
              <w:rPr>
                <w:i/>
                <w:sz w:val="18"/>
                <w:szCs w:val="18"/>
                <w:lang w:val="id-ID"/>
              </w:rPr>
              <w:t xml:space="preserve">Vice President </w:t>
            </w:r>
            <w:r w:rsidR="00FB26E8" w:rsidRPr="005E6FB5">
              <w:rPr>
                <w:i/>
                <w:sz w:val="18"/>
                <w:szCs w:val="18"/>
              </w:rPr>
              <w:t>Commissioner</w:t>
            </w:r>
          </w:p>
        </w:tc>
      </w:tr>
      <w:tr w:rsidR="00FC3E0B" w:rsidRPr="005E6FB5" w14:paraId="672CFC27" w14:textId="77777777" w:rsidTr="00E222DB">
        <w:trPr>
          <w:gridAfter w:val="1"/>
          <w:wAfter w:w="16" w:type="dxa"/>
        </w:trPr>
        <w:tc>
          <w:tcPr>
            <w:tcW w:w="2923" w:type="dxa"/>
          </w:tcPr>
          <w:p w14:paraId="0CF6475B" w14:textId="038862E3" w:rsidR="00FC3E0B" w:rsidRPr="005E6FB5" w:rsidRDefault="00FC3E0B" w:rsidP="00C0406D">
            <w:pPr>
              <w:ind w:left="702"/>
              <w:jc w:val="both"/>
              <w:rPr>
                <w:rStyle w:val="hps"/>
                <w:sz w:val="18"/>
                <w:szCs w:val="18"/>
                <w:lang w:val="id-ID"/>
              </w:rPr>
            </w:pPr>
            <w:r w:rsidRPr="005E6FB5">
              <w:rPr>
                <w:rStyle w:val="hps"/>
                <w:sz w:val="18"/>
                <w:szCs w:val="18"/>
                <w:lang w:val="id-ID"/>
              </w:rPr>
              <w:t>Komisaris</w:t>
            </w:r>
          </w:p>
        </w:tc>
        <w:tc>
          <w:tcPr>
            <w:tcW w:w="20" w:type="dxa"/>
          </w:tcPr>
          <w:p w14:paraId="5F1C32EB" w14:textId="77777777" w:rsidR="00FC3E0B" w:rsidRPr="005E6FB5" w:rsidRDefault="00FC3E0B" w:rsidP="00C0406D">
            <w:pPr>
              <w:jc w:val="center"/>
              <w:rPr>
                <w:sz w:val="18"/>
                <w:szCs w:val="18"/>
              </w:rPr>
            </w:pPr>
          </w:p>
        </w:tc>
        <w:tc>
          <w:tcPr>
            <w:tcW w:w="3310" w:type="dxa"/>
            <w:vAlign w:val="bottom"/>
          </w:tcPr>
          <w:p w14:paraId="57DA3870" w14:textId="21CBAF0D" w:rsidR="00FC3E0B" w:rsidRPr="00433039" w:rsidRDefault="00A85455" w:rsidP="007D1A0C">
            <w:pPr>
              <w:jc w:val="center"/>
              <w:rPr>
                <w:sz w:val="18"/>
                <w:szCs w:val="18"/>
              </w:rPr>
            </w:pPr>
            <w:r>
              <w:rPr>
                <w:sz w:val="18"/>
                <w:szCs w:val="18"/>
              </w:rPr>
              <w:t xml:space="preserve">Tn. </w:t>
            </w:r>
            <w:r w:rsidR="00433039">
              <w:rPr>
                <w:sz w:val="18"/>
                <w:szCs w:val="18"/>
              </w:rPr>
              <w:t>dr. Daniel Tjen</w:t>
            </w:r>
            <w:r w:rsidR="00870FD0">
              <w:rPr>
                <w:sz w:val="18"/>
                <w:szCs w:val="18"/>
              </w:rPr>
              <w:t>.</w:t>
            </w:r>
            <w:r w:rsidR="00433039">
              <w:rPr>
                <w:sz w:val="18"/>
                <w:szCs w:val="18"/>
              </w:rPr>
              <w:t xml:space="preserve"> Sp.S</w:t>
            </w:r>
          </w:p>
        </w:tc>
        <w:tc>
          <w:tcPr>
            <w:tcW w:w="20" w:type="dxa"/>
            <w:gridSpan w:val="2"/>
          </w:tcPr>
          <w:p w14:paraId="69B3FD12" w14:textId="77777777" w:rsidR="00FC3E0B" w:rsidRPr="005E6FB5" w:rsidRDefault="00FC3E0B" w:rsidP="00C0406D">
            <w:pPr>
              <w:jc w:val="center"/>
              <w:rPr>
                <w:bCs w:val="0"/>
                <w:i/>
                <w:sz w:val="18"/>
                <w:szCs w:val="18"/>
              </w:rPr>
            </w:pPr>
          </w:p>
        </w:tc>
        <w:tc>
          <w:tcPr>
            <w:tcW w:w="2924" w:type="dxa"/>
            <w:gridSpan w:val="2"/>
          </w:tcPr>
          <w:p w14:paraId="39009A52" w14:textId="4FA36D57" w:rsidR="00FC3E0B" w:rsidRPr="005E6FB5" w:rsidRDefault="00FC3E0B" w:rsidP="00C0406D">
            <w:pPr>
              <w:ind w:left="-136" w:right="57"/>
              <w:jc w:val="right"/>
              <w:rPr>
                <w:i/>
                <w:sz w:val="18"/>
                <w:szCs w:val="18"/>
              </w:rPr>
            </w:pPr>
            <w:r w:rsidRPr="005E6FB5">
              <w:rPr>
                <w:i/>
                <w:sz w:val="18"/>
                <w:szCs w:val="18"/>
              </w:rPr>
              <w:t>Commissioner</w:t>
            </w:r>
          </w:p>
        </w:tc>
      </w:tr>
      <w:tr w:rsidR="00554E9D" w:rsidRPr="005E6FB5" w14:paraId="5DC16B5A" w14:textId="77777777" w:rsidTr="00E222DB">
        <w:trPr>
          <w:gridAfter w:val="1"/>
          <w:wAfter w:w="16" w:type="dxa"/>
        </w:trPr>
        <w:tc>
          <w:tcPr>
            <w:tcW w:w="2923" w:type="dxa"/>
          </w:tcPr>
          <w:p w14:paraId="7CED4430" w14:textId="77777777" w:rsidR="00554E9D" w:rsidRPr="005E6FB5" w:rsidRDefault="00554E9D" w:rsidP="00C0406D">
            <w:pPr>
              <w:ind w:left="702"/>
              <w:jc w:val="both"/>
              <w:rPr>
                <w:rStyle w:val="hps"/>
                <w:sz w:val="18"/>
                <w:szCs w:val="18"/>
                <w:lang w:val="id-ID"/>
              </w:rPr>
            </w:pPr>
          </w:p>
        </w:tc>
        <w:tc>
          <w:tcPr>
            <w:tcW w:w="20" w:type="dxa"/>
          </w:tcPr>
          <w:p w14:paraId="355DDB73" w14:textId="77777777" w:rsidR="00554E9D" w:rsidRPr="005E6FB5" w:rsidRDefault="00554E9D" w:rsidP="00C0406D">
            <w:pPr>
              <w:jc w:val="center"/>
              <w:rPr>
                <w:sz w:val="18"/>
                <w:szCs w:val="18"/>
              </w:rPr>
            </w:pPr>
          </w:p>
        </w:tc>
        <w:tc>
          <w:tcPr>
            <w:tcW w:w="3310" w:type="dxa"/>
            <w:vAlign w:val="bottom"/>
          </w:tcPr>
          <w:p w14:paraId="6CB8A7E9" w14:textId="1A32FBDE" w:rsidR="00554E9D" w:rsidRDefault="00554E9D" w:rsidP="00C0406D">
            <w:pPr>
              <w:jc w:val="center"/>
              <w:rPr>
                <w:sz w:val="18"/>
                <w:szCs w:val="18"/>
              </w:rPr>
            </w:pPr>
            <w:r>
              <w:rPr>
                <w:sz w:val="18"/>
                <w:szCs w:val="18"/>
              </w:rPr>
              <w:t>Raymond</w:t>
            </w:r>
          </w:p>
        </w:tc>
        <w:tc>
          <w:tcPr>
            <w:tcW w:w="20" w:type="dxa"/>
            <w:gridSpan w:val="2"/>
          </w:tcPr>
          <w:p w14:paraId="030E8D62" w14:textId="77777777" w:rsidR="00554E9D" w:rsidRPr="005E6FB5" w:rsidRDefault="00554E9D" w:rsidP="00C0406D">
            <w:pPr>
              <w:jc w:val="center"/>
              <w:rPr>
                <w:bCs w:val="0"/>
                <w:i/>
                <w:sz w:val="18"/>
                <w:szCs w:val="18"/>
              </w:rPr>
            </w:pPr>
          </w:p>
        </w:tc>
        <w:tc>
          <w:tcPr>
            <w:tcW w:w="2924" w:type="dxa"/>
            <w:gridSpan w:val="2"/>
          </w:tcPr>
          <w:p w14:paraId="6052A644" w14:textId="77777777" w:rsidR="00554E9D" w:rsidRPr="005E6FB5" w:rsidRDefault="00554E9D" w:rsidP="00C0406D">
            <w:pPr>
              <w:ind w:left="-136" w:right="57"/>
              <w:jc w:val="right"/>
              <w:rPr>
                <w:i/>
                <w:sz w:val="18"/>
                <w:szCs w:val="18"/>
              </w:rPr>
            </w:pPr>
          </w:p>
        </w:tc>
      </w:tr>
      <w:tr w:rsidR="00FC3E0B" w:rsidRPr="005E6FB5" w14:paraId="49ECD6C0" w14:textId="77777777" w:rsidTr="00E222DB">
        <w:trPr>
          <w:gridAfter w:val="1"/>
          <w:wAfter w:w="16" w:type="dxa"/>
        </w:trPr>
        <w:tc>
          <w:tcPr>
            <w:tcW w:w="2923" w:type="dxa"/>
          </w:tcPr>
          <w:p w14:paraId="71E2C073" w14:textId="22464AF9" w:rsidR="00FC3E0B" w:rsidRPr="005E6FB5" w:rsidRDefault="00FC3E0B" w:rsidP="00C0406D">
            <w:pPr>
              <w:ind w:left="702"/>
              <w:jc w:val="both"/>
              <w:rPr>
                <w:rStyle w:val="hps"/>
                <w:sz w:val="18"/>
                <w:szCs w:val="18"/>
                <w:lang w:val="id-ID"/>
              </w:rPr>
            </w:pPr>
            <w:r w:rsidRPr="005E6FB5">
              <w:rPr>
                <w:rStyle w:val="hps"/>
                <w:sz w:val="18"/>
                <w:szCs w:val="18"/>
                <w:lang w:val="id-ID"/>
              </w:rPr>
              <w:t>Komisaris Independen</w:t>
            </w:r>
          </w:p>
        </w:tc>
        <w:tc>
          <w:tcPr>
            <w:tcW w:w="20" w:type="dxa"/>
          </w:tcPr>
          <w:p w14:paraId="22FDF8C3" w14:textId="77777777" w:rsidR="00FC3E0B" w:rsidRPr="005E6FB5" w:rsidRDefault="00FC3E0B" w:rsidP="00C0406D">
            <w:pPr>
              <w:jc w:val="center"/>
              <w:rPr>
                <w:sz w:val="18"/>
                <w:szCs w:val="18"/>
              </w:rPr>
            </w:pPr>
          </w:p>
        </w:tc>
        <w:tc>
          <w:tcPr>
            <w:tcW w:w="3310" w:type="dxa"/>
            <w:vAlign w:val="bottom"/>
          </w:tcPr>
          <w:p w14:paraId="043D036C" w14:textId="0F806178" w:rsidR="00FC3E0B" w:rsidRPr="005E6FB5" w:rsidRDefault="00A85455" w:rsidP="00C0406D">
            <w:pPr>
              <w:jc w:val="center"/>
              <w:rPr>
                <w:sz w:val="18"/>
                <w:szCs w:val="18"/>
              </w:rPr>
            </w:pPr>
            <w:r>
              <w:rPr>
                <w:sz w:val="18"/>
                <w:szCs w:val="18"/>
              </w:rPr>
              <w:t xml:space="preserve">Ny. </w:t>
            </w:r>
            <w:r w:rsidRPr="00F21352">
              <w:rPr>
                <w:sz w:val="18"/>
                <w:szCs w:val="18"/>
              </w:rPr>
              <w:t xml:space="preserve">Prof. DR. </w:t>
            </w:r>
            <w:r>
              <w:rPr>
                <w:sz w:val="18"/>
                <w:szCs w:val="18"/>
              </w:rPr>
              <w:t>d</w:t>
            </w:r>
            <w:r w:rsidRPr="00F21352">
              <w:rPr>
                <w:sz w:val="18"/>
                <w:szCs w:val="18"/>
              </w:rPr>
              <w:t>rg. Melani Hendriaty Sadono</w:t>
            </w:r>
          </w:p>
        </w:tc>
        <w:tc>
          <w:tcPr>
            <w:tcW w:w="20" w:type="dxa"/>
            <w:gridSpan w:val="2"/>
          </w:tcPr>
          <w:p w14:paraId="33B8EAA7" w14:textId="77777777" w:rsidR="00FC3E0B" w:rsidRPr="005E6FB5" w:rsidRDefault="00FC3E0B" w:rsidP="00C0406D">
            <w:pPr>
              <w:jc w:val="center"/>
              <w:rPr>
                <w:bCs w:val="0"/>
                <w:i/>
                <w:sz w:val="18"/>
                <w:szCs w:val="18"/>
              </w:rPr>
            </w:pPr>
          </w:p>
        </w:tc>
        <w:tc>
          <w:tcPr>
            <w:tcW w:w="2924" w:type="dxa"/>
            <w:gridSpan w:val="2"/>
          </w:tcPr>
          <w:p w14:paraId="580EC6C8" w14:textId="268CBD01" w:rsidR="00FC3E0B" w:rsidRPr="005E6FB5" w:rsidRDefault="00FC3E0B" w:rsidP="00C0406D">
            <w:pPr>
              <w:ind w:left="-136" w:right="57"/>
              <w:jc w:val="right"/>
              <w:rPr>
                <w:i/>
                <w:sz w:val="18"/>
                <w:szCs w:val="18"/>
              </w:rPr>
            </w:pPr>
            <w:r w:rsidRPr="005E6FB5">
              <w:rPr>
                <w:i/>
                <w:sz w:val="18"/>
                <w:szCs w:val="18"/>
              </w:rPr>
              <w:t>Independent Commissioners</w:t>
            </w:r>
          </w:p>
        </w:tc>
      </w:tr>
      <w:tr w:rsidR="00A85455" w:rsidRPr="00A937E7" w14:paraId="0DA7CA6F" w14:textId="77777777" w:rsidTr="00E222DB">
        <w:trPr>
          <w:gridAfter w:val="1"/>
          <w:wAfter w:w="16" w:type="dxa"/>
        </w:trPr>
        <w:tc>
          <w:tcPr>
            <w:tcW w:w="2923" w:type="dxa"/>
          </w:tcPr>
          <w:p w14:paraId="56488DAD" w14:textId="05DBABBD" w:rsidR="00A85455" w:rsidRPr="005E6FB5" w:rsidRDefault="00A85455" w:rsidP="00A85455">
            <w:pPr>
              <w:ind w:left="702"/>
              <w:jc w:val="both"/>
              <w:rPr>
                <w:rStyle w:val="hps"/>
                <w:sz w:val="18"/>
                <w:szCs w:val="18"/>
              </w:rPr>
            </w:pPr>
          </w:p>
        </w:tc>
        <w:tc>
          <w:tcPr>
            <w:tcW w:w="20" w:type="dxa"/>
          </w:tcPr>
          <w:p w14:paraId="387019B0" w14:textId="77777777" w:rsidR="00A85455" w:rsidRPr="005E6FB5" w:rsidRDefault="00A85455" w:rsidP="00A85455">
            <w:pPr>
              <w:jc w:val="center"/>
              <w:rPr>
                <w:sz w:val="18"/>
                <w:szCs w:val="18"/>
              </w:rPr>
            </w:pPr>
          </w:p>
        </w:tc>
        <w:tc>
          <w:tcPr>
            <w:tcW w:w="3310" w:type="dxa"/>
            <w:vAlign w:val="bottom"/>
          </w:tcPr>
          <w:p w14:paraId="3F9647BC" w14:textId="15FF0D24" w:rsidR="00A85455" w:rsidRPr="005E6FB5" w:rsidRDefault="00A85455" w:rsidP="00A85455">
            <w:pPr>
              <w:jc w:val="center"/>
              <w:rPr>
                <w:sz w:val="18"/>
                <w:szCs w:val="18"/>
              </w:rPr>
            </w:pPr>
            <w:r>
              <w:rPr>
                <w:sz w:val="18"/>
                <w:szCs w:val="18"/>
              </w:rPr>
              <w:t>Tn. d</w:t>
            </w:r>
            <w:r w:rsidRPr="00F21352">
              <w:rPr>
                <w:sz w:val="18"/>
                <w:szCs w:val="18"/>
                <w:lang w:val="id-ID"/>
              </w:rPr>
              <w:t>r. Antonius Indrajana Soediono</w:t>
            </w:r>
            <w:r w:rsidR="00870FD0">
              <w:rPr>
                <w:sz w:val="18"/>
                <w:szCs w:val="18"/>
                <w:lang w:val="id-ID"/>
              </w:rPr>
              <w:t>.</w:t>
            </w:r>
            <w:r w:rsidRPr="00F21352">
              <w:rPr>
                <w:sz w:val="18"/>
                <w:szCs w:val="18"/>
                <w:lang w:val="id-ID"/>
              </w:rPr>
              <w:t xml:space="preserve"> S</w:t>
            </w:r>
            <w:r>
              <w:rPr>
                <w:sz w:val="18"/>
                <w:szCs w:val="18"/>
              </w:rPr>
              <w:t>p</w:t>
            </w:r>
            <w:r w:rsidRPr="00F21352">
              <w:rPr>
                <w:sz w:val="18"/>
                <w:szCs w:val="18"/>
                <w:lang w:val="id-ID"/>
              </w:rPr>
              <w:t>.S</w:t>
            </w:r>
            <w:r>
              <w:rPr>
                <w:sz w:val="18"/>
                <w:szCs w:val="18"/>
              </w:rPr>
              <w:t>.</w:t>
            </w:r>
          </w:p>
        </w:tc>
        <w:tc>
          <w:tcPr>
            <w:tcW w:w="20" w:type="dxa"/>
            <w:gridSpan w:val="2"/>
          </w:tcPr>
          <w:p w14:paraId="034AC620" w14:textId="77777777" w:rsidR="00A85455" w:rsidRPr="005E6FB5" w:rsidRDefault="00A85455" w:rsidP="00A85455">
            <w:pPr>
              <w:jc w:val="center"/>
              <w:rPr>
                <w:bCs w:val="0"/>
                <w:i/>
                <w:sz w:val="18"/>
                <w:szCs w:val="18"/>
              </w:rPr>
            </w:pPr>
          </w:p>
        </w:tc>
        <w:tc>
          <w:tcPr>
            <w:tcW w:w="2924" w:type="dxa"/>
            <w:gridSpan w:val="2"/>
          </w:tcPr>
          <w:p w14:paraId="669F7065" w14:textId="57583073" w:rsidR="00A85455" w:rsidRPr="005E6FB5" w:rsidRDefault="00A85455" w:rsidP="00A85455">
            <w:pPr>
              <w:ind w:left="-136" w:right="57"/>
              <w:jc w:val="right"/>
              <w:rPr>
                <w:i/>
                <w:sz w:val="18"/>
                <w:szCs w:val="18"/>
              </w:rPr>
            </w:pPr>
          </w:p>
        </w:tc>
      </w:tr>
      <w:tr w:rsidR="00A85455" w:rsidRPr="00A937E7" w14:paraId="71DECB7B" w14:textId="77777777" w:rsidTr="00E222DB">
        <w:trPr>
          <w:gridAfter w:val="1"/>
          <w:wAfter w:w="16" w:type="dxa"/>
        </w:trPr>
        <w:tc>
          <w:tcPr>
            <w:tcW w:w="2923" w:type="dxa"/>
          </w:tcPr>
          <w:p w14:paraId="6B4F6BA2" w14:textId="77777777" w:rsidR="00A85455" w:rsidRPr="00A937E7" w:rsidRDefault="00A85455" w:rsidP="00A85455">
            <w:pPr>
              <w:ind w:left="702"/>
              <w:jc w:val="both"/>
              <w:rPr>
                <w:rStyle w:val="hps"/>
                <w:sz w:val="18"/>
                <w:szCs w:val="18"/>
                <w:highlight w:val="green"/>
              </w:rPr>
            </w:pPr>
          </w:p>
        </w:tc>
        <w:tc>
          <w:tcPr>
            <w:tcW w:w="20" w:type="dxa"/>
          </w:tcPr>
          <w:p w14:paraId="60E117AA" w14:textId="77777777" w:rsidR="00A85455" w:rsidRPr="00A937E7" w:rsidRDefault="00A85455" w:rsidP="00A85455">
            <w:pPr>
              <w:jc w:val="center"/>
              <w:rPr>
                <w:sz w:val="18"/>
                <w:szCs w:val="18"/>
                <w:highlight w:val="green"/>
              </w:rPr>
            </w:pPr>
          </w:p>
        </w:tc>
        <w:tc>
          <w:tcPr>
            <w:tcW w:w="3310" w:type="dxa"/>
            <w:vAlign w:val="bottom"/>
          </w:tcPr>
          <w:p w14:paraId="3655D1AA" w14:textId="77777777" w:rsidR="00A85455" w:rsidRPr="00A937E7" w:rsidRDefault="00A85455" w:rsidP="00A85455">
            <w:pPr>
              <w:jc w:val="center"/>
              <w:rPr>
                <w:sz w:val="18"/>
                <w:szCs w:val="18"/>
                <w:highlight w:val="green"/>
                <w:lang w:val="id-ID"/>
              </w:rPr>
            </w:pPr>
          </w:p>
        </w:tc>
        <w:tc>
          <w:tcPr>
            <w:tcW w:w="20" w:type="dxa"/>
            <w:gridSpan w:val="2"/>
          </w:tcPr>
          <w:p w14:paraId="155938BB" w14:textId="77777777" w:rsidR="00A85455" w:rsidRPr="00A937E7" w:rsidRDefault="00A85455" w:rsidP="00A85455">
            <w:pPr>
              <w:jc w:val="center"/>
              <w:rPr>
                <w:bCs w:val="0"/>
                <w:i/>
                <w:sz w:val="18"/>
                <w:szCs w:val="18"/>
                <w:highlight w:val="green"/>
              </w:rPr>
            </w:pPr>
          </w:p>
        </w:tc>
        <w:tc>
          <w:tcPr>
            <w:tcW w:w="2924" w:type="dxa"/>
            <w:gridSpan w:val="2"/>
          </w:tcPr>
          <w:p w14:paraId="1AE22CD6" w14:textId="77777777" w:rsidR="00A85455" w:rsidRPr="00A937E7" w:rsidRDefault="00A85455" w:rsidP="00A85455">
            <w:pPr>
              <w:ind w:left="-136" w:right="57"/>
              <w:jc w:val="right"/>
              <w:rPr>
                <w:i/>
                <w:sz w:val="18"/>
                <w:szCs w:val="18"/>
                <w:highlight w:val="green"/>
              </w:rPr>
            </w:pPr>
          </w:p>
        </w:tc>
      </w:tr>
      <w:tr w:rsidR="006C4C7F" w:rsidRPr="005E6FB5" w14:paraId="34EA9BD4" w14:textId="77777777" w:rsidTr="00E222DB">
        <w:tc>
          <w:tcPr>
            <w:tcW w:w="2929" w:type="dxa"/>
          </w:tcPr>
          <w:p w14:paraId="27E5D8ED" w14:textId="77777777" w:rsidR="006C4C7F" w:rsidRPr="005E6FB5" w:rsidRDefault="006C4C7F" w:rsidP="00672DB5">
            <w:pPr>
              <w:ind w:left="702"/>
              <w:jc w:val="both"/>
              <w:rPr>
                <w:rStyle w:val="hps"/>
                <w:sz w:val="18"/>
                <w:szCs w:val="18"/>
              </w:rPr>
            </w:pPr>
          </w:p>
        </w:tc>
        <w:tc>
          <w:tcPr>
            <w:tcW w:w="20" w:type="dxa"/>
          </w:tcPr>
          <w:p w14:paraId="37BFD38A" w14:textId="77777777" w:rsidR="006C4C7F" w:rsidRPr="005E6FB5" w:rsidRDefault="006C4C7F" w:rsidP="00672DB5">
            <w:pPr>
              <w:jc w:val="center"/>
              <w:rPr>
                <w:sz w:val="6"/>
                <w:szCs w:val="18"/>
              </w:rPr>
            </w:pPr>
          </w:p>
        </w:tc>
        <w:tc>
          <w:tcPr>
            <w:tcW w:w="3316" w:type="dxa"/>
            <w:gridSpan w:val="2"/>
            <w:vAlign w:val="bottom"/>
          </w:tcPr>
          <w:p w14:paraId="55232DFF" w14:textId="77777777" w:rsidR="006C4C7F" w:rsidRPr="005E6FB5" w:rsidRDefault="006C4C7F" w:rsidP="00672DB5">
            <w:pPr>
              <w:jc w:val="center"/>
              <w:rPr>
                <w:sz w:val="6"/>
                <w:szCs w:val="18"/>
              </w:rPr>
            </w:pPr>
          </w:p>
        </w:tc>
        <w:tc>
          <w:tcPr>
            <w:tcW w:w="20" w:type="dxa"/>
            <w:gridSpan w:val="2"/>
          </w:tcPr>
          <w:p w14:paraId="41A879CF" w14:textId="77777777" w:rsidR="006C4C7F" w:rsidRPr="005E6FB5" w:rsidRDefault="006C4C7F" w:rsidP="00672DB5">
            <w:pPr>
              <w:jc w:val="center"/>
              <w:rPr>
                <w:bCs w:val="0"/>
                <w:i/>
                <w:sz w:val="6"/>
                <w:szCs w:val="18"/>
              </w:rPr>
            </w:pPr>
          </w:p>
        </w:tc>
        <w:tc>
          <w:tcPr>
            <w:tcW w:w="2929" w:type="dxa"/>
            <w:gridSpan w:val="2"/>
          </w:tcPr>
          <w:p w14:paraId="7755E2CC" w14:textId="77777777" w:rsidR="006C4C7F" w:rsidRPr="005E6FB5" w:rsidRDefault="006C4C7F" w:rsidP="00672DB5">
            <w:pPr>
              <w:ind w:left="426"/>
              <w:jc w:val="both"/>
              <w:rPr>
                <w:bCs w:val="0"/>
                <w:i/>
                <w:sz w:val="6"/>
                <w:szCs w:val="18"/>
              </w:rPr>
            </w:pPr>
          </w:p>
        </w:tc>
      </w:tr>
      <w:tr w:rsidR="006C4C7F" w:rsidRPr="005E6FB5" w14:paraId="392666E0" w14:textId="77777777" w:rsidTr="00E222DB">
        <w:tc>
          <w:tcPr>
            <w:tcW w:w="2929" w:type="dxa"/>
          </w:tcPr>
          <w:p w14:paraId="2768E743" w14:textId="77777777" w:rsidR="006C4C7F" w:rsidRPr="005E6FB5" w:rsidRDefault="006C4C7F" w:rsidP="00672DB5">
            <w:pPr>
              <w:ind w:left="702"/>
              <w:jc w:val="both"/>
              <w:rPr>
                <w:rStyle w:val="hps"/>
                <w:b/>
                <w:bCs w:val="0"/>
                <w:sz w:val="18"/>
                <w:szCs w:val="18"/>
                <w:u w:val="single"/>
              </w:rPr>
            </w:pPr>
            <w:r w:rsidRPr="005E6FB5">
              <w:rPr>
                <w:rStyle w:val="hps"/>
                <w:b/>
                <w:bCs w:val="0"/>
                <w:sz w:val="18"/>
                <w:szCs w:val="18"/>
                <w:u w:val="single"/>
              </w:rPr>
              <w:t>Dewan Direksi</w:t>
            </w:r>
          </w:p>
        </w:tc>
        <w:tc>
          <w:tcPr>
            <w:tcW w:w="20" w:type="dxa"/>
          </w:tcPr>
          <w:p w14:paraId="7E7CC79C" w14:textId="77777777" w:rsidR="006C4C7F" w:rsidRPr="005E6FB5" w:rsidRDefault="006C4C7F" w:rsidP="00672DB5">
            <w:pPr>
              <w:jc w:val="center"/>
              <w:rPr>
                <w:b/>
                <w:bCs w:val="0"/>
                <w:sz w:val="18"/>
                <w:szCs w:val="18"/>
              </w:rPr>
            </w:pPr>
          </w:p>
        </w:tc>
        <w:tc>
          <w:tcPr>
            <w:tcW w:w="3316" w:type="dxa"/>
            <w:gridSpan w:val="2"/>
            <w:vAlign w:val="bottom"/>
          </w:tcPr>
          <w:p w14:paraId="14029673" w14:textId="77777777" w:rsidR="006C4C7F" w:rsidRPr="005E6FB5" w:rsidRDefault="006C4C7F" w:rsidP="00672DB5">
            <w:pPr>
              <w:jc w:val="center"/>
              <w:rPr>
                <w:b/>
                <w:bCs w:val="0"/>
                <w:sz w:val="18"/>
                <w:szCs w:val="18"/>
              </w:rPr>
            </w:pPr>
          </w:p>
        </w:tc>
        <w:tc>
          <w:tcPr>
            <w:tcW w:w="20" w:type="dxa"/>
            <w:gridSpan w:val="2"/>
          </w:tcPr>
          <w:p w14:paraId="4252671C" w14:textId="77777777" w:rsidR="006C4C7F" w:rsidRPr="005E6FB5" w:rsidRDefault="006C4C7F" w:rsidP="00672DB5">
            <w:pPr>
              <w:jc w:val="center"/>
              <w:rPr>
                <w:b/>
                <w:bCs w:val="0"/>
                <w:i/>
                <w:sz w:val="18"/>
                <w:szCs w:val="18"/>
              </w:rPr>
            </w:pPr>
          </w:p>
        </w:tc>
        <w:tc>
          <w:tcPr>
            <w:tcW w:w="2929" w:type="dxa"/>
            <w:gridSpan w:val="2"/>
          </w:tcPr>
          <w:p w14:paraId="6E4A72E3" w14:textId="77777777" w:rsidR="006C4C7F" w:rsidRPr="005E6FB5" w:rsidRDefault="006C4C7F" w:rsidP="00672DB5">
            <w:pPr>
              <w:ind w:left="426" w:right="57"/>
              <w:jc w:val="right"/>
              <w:rPr>
                <w:b/>
                <w:bCs w:val="0"/>
                <w:i/>
                <w:sz w:val="18"/>
                <w:szCs w:val="18"/>
                <w:u w:val="single"/>
              </w:rPr>
            </w:pPr>
            <w:r w:rsidRPr="005E6FB5">
              <w:rPr>
                <w:b/>
                <w:bCs w:val="0"/>
                <w:i/>
                <w:sz w:val="18"/>
                <w:szCs w:val="18"/>
                <w:u w:val="single"/>
              </w:rPr>
              <w:t>Board of Directors</w:t>
            </w:r>
          </w:p>
        </w:tc>
      </w:tr>
      <w:tr w:rsidR="006C4C7F" w:rsidRPr="005E6FB5" w14:paraId="054DF9CB" w14:textId="77777777" w:rsidTr="00E222DB">
        <w:tc>
          <w:tcPr>
            <w:tcW w:w="2929" w:type="dxa"/>
          </w:tcPr>
          <w:p w14:paraId="11457552" w14:textId="77777777" w:rsidR="006C4C7F" w:rsidRPr="005E6FB5" w:rsidRDefault="006C4C7F" w:rsidP="00672DB5">
            <w:pPr>
              <w:ind w:left="702"/>
              <w:jc w:val="both"/>
              <w:rPr>
                <w:rStyle w:val="hps"/>
                <w:sz w:val="18"/>
                <w:szCs w:val="18"/>
              </w:rPr>
            </w:pPr>
            <w:r w:rsidRPr="005E6FB5">
              <w:rPr>
                <w:rStyle w:val="hps"/>
                <w:sz w:val="18"/>
                <w:szCs w:val="18"/>
              </w:rPr>
              <w:t>Direktur Utama</w:t>
            </w:r>
          </w:p>
        </w:tc>
        <w:tc>
          <w:tcPr>
            <w:tcW w:w="20" w:type="dxa"/>
          </w:tcPr>
          <w:p w14:paraId="30B28B61" w14:textId="77777777" w:rsidR="006C4C7F" w:rsidRPr="005E6FB5" w:rsidRDefault="006C4C7F" w:rsidP="00672DB5">
            <w:pPr>
              <w:jc w:val="center"/>
              <w:rPr>
                <w:sz w:val="18"/>
                <w:szCs w:val="18"/>
              </w:rPr>
            </w:pPr>
          </w:p>
        </w:tc>
        <w:tc>
          <w:tcPr>
            <w:tcW w:w="3316" w:type="dxa"/>
            <w:gridSpan w:val="2"/>
            <w:vAlign w:val="bottom"/>
          </w:tcPr>
          <w:p w14:paraId="4C99D1BE" w14:textId="77777777" w:rsidR="006C4C7F" w:rsidRPr="005E6FB5" w:rsidRDefault="006C4C7F" w:rsidP="00672DB5">
            <w:pPr>
              <w:jc w:val="center"/>
              <w:rPr>
                <w:sz w:val="18"/>
                <w:szCs w:val="18"/>
              </w:rPr>
            </w:pPr>
            <w:r>
              <w:rPr>
                <w:sz w:val="18"/>
                <w:szCs w:val="18"/>
              </w:rPr>
              <w:t xml:space="preserve">Ny. </w:t>
            </w:r>
            <w:r w:rsidRPr="005E6FB5">
              <w:rPr>
                <w:sz w:val="18"/>
                <w:szCs w:val="18"/>
              </w:rPr>
              <w:t>Grace Dewi Riady</w:t>
            </w:r>
          </w:p>
        </w:tc>
        <w:tc>
          <w:tcPr>
            <w:tcW w:w="20" w:type="dxa"/>
            <w:gridSpan w:val="2"/>
          </w:tcPr>
          <w:p w14:paraId="44104721" w14:textId="77777777" w:rsidR="006C4C7F" w:rsidRPr="005E6FB5" w:rsidRDefault="006C4C7F" w:rsidP="00672DB5">
            <w:pPr>
              <w:jc w:val="center"/>
              <w:rPr>
                <w:bCs w:val="0"/>
                <w:i/>
                <w:sz w:val="18"/>
                <w:szCs w:val="18"/>
              </w:rPr>
            </w:pPr>
          </w:p>
        </w:tc>
        <w:tc>
          <w:tcPr>
            <w:tcW w:w="2929" w:type="dxa"/>
            <w:gridSpan w:val="2"/>
          </w:tcPr>
          <w:p w14:paraId="3F85A66A" w14:textId="77777777" w:rsidR="006C4C7F" w:rsidRPr="005E6FB5" w:rsidRDefault="006C4C7F" w:rsidP="00672DB5">
            <w:pPr>
              <w:ind w:right="57"/>
              <w:jc w:val="right"/>
              <w:rPr>
                <w:bCs w:val="0"/>
                <w:i/>
                <w:sz w:val="18"/>
                <w:szCs w:val="18"/>
              </w:rPr>
            </w:pPr>
            <w:r w:rsidRPr="005E6FB5">
              <w:rPr>
                <w:i/>
                <w:sz w:val="18"/>
                <w:szCs w:val="18"/>
              </w:rPr>
              <w:t>President Director</w:t>
            </w:r>
          </w:p>
        </w:tc>
      </w:tr>
      <w:tr w:rsidR="006C4C7F" w:rsidRPr="005E6FB5" w14:paraId="242D78E1" w14:textId="77777777" w:rsidTr="00E222DB">
        <w:tc>
          <w:tcPr>
            <w:tcW w:w="2929" w:type="dxa"/>
          </w:tcPr>
          <w:p w14:paraId="1B748696" w14:textId="77777777" w:rsidR="006C4C7F" w:rsidRPr="005E6FB5" w:rsidRDefault="006C4C7F" w:rsidP="00672DB5">
            <w:pPr>
              <w:ind w:left="702"/>
              <w:jc w:val="both"/>
              <w:rPr>
                <w:rStyle w:val="hps"/>
                <w:sz w:val="18"/>
                <w:szCs w:val="18"/>
              </w:rPr>
            </w:pPr>
            <w:r w:rsidRPr="005E6FB5">
              <w:rPr>
                <w:rStyle w:val="hps"/>
                <w:sz w:val="18"/>
                <w:szCs w:val="18"/>
              </w:rPr>
              <w:t>Direktur</w:t>
            </w:r>
          </w:p>
        </w:tc>
        <w:tc>
          <w:tcPr>
            <w:tcW w:w="20" w:type="dxa"/>
          </w:tcPr>
          <w:p w14:paraId="605BF7EA" w14:textId="77777777" w:rsidR="006C4C7F" w:rsidRPr="005E6FB5" w:rsidRDefault="006C4C7F" w:rsidP="00672DB5">
            <w:pPr>
              <w:jc w:val="center"/>
              <w:rPr>
                <w:sz w:val="18"/>
                <w:szCs w:val="18"/>
              </w:rPr>
            </w:pPr>
          </w:p>
        </w:tc>
        <w:tc>
          <w:tcPr>
            <w:tcW w:w="3316" w:type="dxa"/>
            <w:gridSpan w:val="2"/>
            <w:vAlign w:val="bottom"/>
          </w:tcPr>
          <w:p w14:paraId="4342BA87" w14:textId="77777777" w:rsidR="006C4C7F" w:rsidRPr="005E6FB5" w:rsidRDefault="006C4C7F" w:rsidP="00672DB5">
            <w:pPr>
              <w:jc w:val="center"/>
              <w:rPr>
                <w:sz w:val="18"/>
                <w:szCs w:val="18"/>
              </w:rPr>
            </w:pPr>
            <w:r>
              <w:rPr>
                <w:sz w:val="18"/>
                <w:szCs w:val="18"/>
              </w:rPr>
              <w:t xml:space="preserve">Tn. </w:t>
            </w:r>
            <w:r w:rsidRPr="005E6FB5">
              <w:rPr>
                <w:sz w:val="18"/>
                <w:szCs w:val="18"/>
              </w:rPr>
              <w:t>Arif Mualim</w:t>
            </w:r>
          </w:p>
        </w:tc>
        <w:tc>
          <w:tcPr>
            <w:tcW w:w="20" w:type="dxa"/>
            <w:gridSpan w:val="2"/>
          </w:tcPr>
          <w:p w14:paraId="71FAA3CF" w14:textId="77777777" w:rsidR="006C4C7F" w:rsidRPr="005E6FB5" w:rsidRDefault="006C4C7F" w:rsidP="00672DB5">
            <w:pPr>
              <w:jc w:val="center"/>
              <w:rPr>
                <w:bCs w:val="0"/>
                <w:i/>
                <w:sz w:val="18"/>
                <w:szCs w:val="18"/>
              </w:rPr>
            </w:pPr>
          </w:p>
        </w:tc>
        <w:tc>
          <w:tcPr>
            <w:tcW w:w="2929" w:type="dxa"/>
            <w:gridSpan w:val="2"/>
          </w:tcPr>
          <w:p w14:paraId="376B2314" w14:textId="5C30A52E" w:rsidR="006C4C7F" w:rsidRPr="005E6FB5" w:rsidRDefault="006C4C7F" w:rsidP="00672DB5">
            <w:pPr>
              <w:ind w:right="57"/>
              <w:jc w:val="right"/>
              <w:rPr>
                <w:bCs w:val="0"/>
                <w:i/>
                <w:sz w:val="18"/>
                <w:szCs w:val="18"/>
              </w:rPr>
            </w:pPr>
            <w:r w:rsidRPr="005E6FB5">
              <w:rPr>
                <w:i/>
                <w:sz w:val="18"/>
                <w:szCs w:val="18"/>
              </w:rPr>
              <w:t>Director</w:t>
            </w:r>
            <w:r w:rsidR="00A21227">
              <w:rPr>
                <w:i/>
                <w:sz w:val="18"/>
                <w:szCs w:val="18"/>
              </w:rPr>
              <w:t>s</w:t>
            </w:r>
          </w:p>
        </w:tc>
      </w:tr>
      <w:tr w:rsidR="006C4C7F" w:rsidRPr="005E6FB5" w14:paraId="138EAB35" w14:textId="77777777" w:rsidTr="00E222DB">
        <w:tc>
          <w:tcPr>
            <w:tcW w:w="2929" w:type="dxa"/>
          </w:tcPr>
          <w:p w14:paraId="7F831591" w14:textId="77777777" w:rsidR="006C4C7F" w:rsidRPr="005E6FB5" w:rsidRDefault="006C4C7F" w:rsidP="00672DB5">
            <w:pPr>
              <w:ind w:left="702"/>
              <w:jc w:val="both"/>
              <w:rPr>
                <w:rStyle w:val="hps"/>
                <w:sz w:val="18"/>
                <w:szCs w:val="18"/>
              </w:rPr>
            </w:pPr>
          </w:p>
        </w:tc>
        <w:tc>
          <w:tcPr>
            <w:tcW w:w="20" w:type="dxa"/>
          </w:tcPr>
          <w:p w14:paraId="62DF66F7" w14:textId="77777777" w:rsidR="006C4C7F" w:rsidRPr="005E6FB5" w:rsidRDefault="006C4C7F" w:rsidP="00672DB5">
            <w:pPr>
              <w:jc w:val="center"/>
              <w:rPr>
                <w:sz w:val="18"/>
                <w:szCs w:val="18"/>
              </w:rPr>
            </w:pPr>
          </w:p>
        </w:tc>
        <w:tc>
          <w:tcPr>
            <w:tcW w:w="3316" w:type="dxa"/>
            <w:gridSpan w:val="2"/>
            <w:vAlign w:val="bottom"/>
          </w:tcPr>
          <w:p w14:paraId="2F7E0559" w14:textId="76C5D8FA" w:rsidR="006C4C7F" w:rsidRPr="005E6FB5" w:rsidRDefault="006C4C7F" w:rsidP="00672DB5">
            <w:pPr>
              <w:jc w:val="center"/>
              <w:rPr>
                <w:sz w:val="18"/>
                <w:szCs w:val="18"/>
              </w:rPr>
            </w:pPr>
            <w:r>
              <w:rPr>
                <w:sz w:val="18"/>
                <w:szCs w:val="18"/>
              </w:rPr>
              <w:t xml:space="preserve">Ny. </w:t>
            </w:r>
            <w:r w:rsidR="004E2390">
              <w:rPr>
                <w:sz w:val="18"/>
                <w:szCs w:val="18"/>
              </w:rPr>
              <w:t>Victoria Tahir</w:t>
            </w:r>
          </w:p>
        </w:tc>
        <w:tc>
          <w:tcPr>
            <w:tcW w:w="20" w:type="dxa"/>
            <w:gridSpan w:val="2"/>
          </w:tcPr>
          <w:p w14:paraId="109FE53A" w14:textId="77777777" w:rsidR="006C4C7F" w:rsidRPr="005E6FB5" w:rsidRDefault="006C4C7F" w:rsidP="00672DB5">
            <w:pPr>
              <w:jc w:val="center"/>
              <w:rPr>
                <w:bCs w:val="0"/>
                <w:i/>
                <w:sz w:val="18"/>
                <w:szCs w:val="18"/>
              </w:rPr>
            </w:pPr>
          </w:p>
        </w:tc>
        <w:tc>
          <w:tcPr>
            <w:tcW w:w="2929" w:type="dxa"/>
            <w:gridSpan w:val="2"/>
          </w:tcPr>
          <w:p w14:paraId="612996E5" w14:textId="77777777" w:rsidR="006C4C7F" w:rsidRPr="005E6FB5" w:rsidRDefault="006C4C7F" w:rsidP="00672DB5">
            <w:pPr>
              <w:ind w:right="57"/>
              <w:jc w:val="right"/>
              <w:rPr>
                <w:i/>
                <w:sz w:val="18"/>
                <w:szCs w:val="18"/>
              </w:rPr>
            </w:pPr>
          </w:p>
        </w:tc>
      </w:tr>
      <w:tr w:rsidR="006C4C7F" w:rsidRPr="00A937E7" w14:paraId="2099CE82" w14:textId="77777777" w:rsidTr="00E222DB">
        <w:trPr>
          <w:trHeight w:val="80"/>
        </w:trPr>
        <w:tc>
          <w:tcPr>
            <w:tcW w:w="2929" w:type="dxa"/>
          </w:tcPr>
          <w:p w14:paraId="634AC5D3" w14:textId="77777777" w:rsidR="006C4C7F" w:rsidRPr="005E6FB5" w:rsidRDefault="006C4C7F" w:rsidP="00672DB5">
            <w:pPr>
              <w:ind w:left="702"/>
              <w:jc w:val="both"/>
              <w:rPr>
                <w:rStyle w:val="hps"/>
                <w:sz w:val="18"/>
                <w:szCs w:val="18"/>
              </w:rPr>
            </w:pPr>
            <w:r w:rsidRPr="005E6FB5">
              <w:rPr>
                <w:rStyle w:val="hps"/>
                <w:sz w:val="18"/>
                <w:szCs w:val="18"/>
              </w:rPr>
              <w:t xml:space="preserve">Direktur Independen </w:t>
            </w:r>
          </w:p>
        </w:tc>
        <w:tc>
          <w:tcPr>
            <w:tcW w:w="20" w:type="dxa"/>
          </w:tcPr>
          <w:p w14:paraId="46942AFC" w14:textId="77777777" w:rsidR="006C4C7F" w:rsidRPr="005E6FB5" w:rsidRDefault="006C4C7F" w:rsidP="00672DB5">
            <w:pPr>
              <w:jc w:val="center"/>
              <w:rPr>
                <w:sz w:val="18"/>
                <w:szCs w:val="18"/>
              </w:rPr>
            </w:pPr>
          </w:p>
        </w:tc>
        <w:tc>
          <w:tcPr>
            <w:tcW w:w="3316" w:type="dxa"/>
            <w:gridSpan w:val="2"/>
            <w:vAlign w:val="bottom"/>
          </w:tcPr>
          <w:p w14:paraId="3D41DEA3" w14:textId="77777777" w:rsidR="006C4C7F" w:rsidRPr="005E6FB5" w:rsidRDefault="006C4C7F" w:rsidP="00672DB5">
            <w:pPr>
              <w:jc w:val="center"/>
              <w:rPr>
                <w:sz w:val="18"/>
                <w:szCs w:val="18"/>
              </w:rPr>
            </w:pPr>
            <w:r>
              <w:rPr>
                <w:sz w:val="18"/>
                <w:szCs w:val="18"/>
              </w:rPr>
              <w:t xml:space="preserve">Tn. </w:t>
            </w:r>
            <w:r w:rsidRPr="005E6FB5">
              <w:rPr>
                <w:sz w:val="18"/>
                <w:szCs w:val="18"/>
              </w:rPr>
              <w:t>Charlie Salim</w:t>
            </w:r>
          </w:p>
        </w:tc>
        <w:tc>
          <w:tcPr>
            <w:tcW w:w="20" w:type="dxa"/>
            <w:gridSpan w:val="2"/>
          </w:tcPr>
          <w:p w14:paraId="2306EBEF" w14:textId="77777777" w:rsidR="006C4C7F" w:rsidRPr="005E6FB5" w:rsidRDefault="006C4C7F" w:rsidP="00672DB5">
            <w:pPr>
              <w:jc w:val="center"/>
              <w:rPr>
                <w:bCs w:val="0"/>
                <w:i/>
                <w:sz w:val="18"/>
                <w:szCs w:val="18"/>
              </w:rPr>
            </w:pPr>
          </w:p>
        </w:tc>
        <w:tc>
          <w:tcPr>
            <w:tcW w:w="2929" w:type="dxa"/>
            <w:gridSpan w:val="2"/>
          </w:tcPr>
          <w:p w14:paraId="5B95E5B2" w14:textId="77777777" w:rsidR="006C4C7F" w:rsidRPr="005E6FB5" w:rsidRDefault="006C4C7F" w:rsidP="00672DB5">
            <w:pPr>
              <w:ind w:right="57"/>
              <w:jc w:val="right"/>
              <w:rPr>
                <w:bCs w:val="0"/>
                <w:i/>
                <w:sz w:val="18"/>
                <w:szCs w:val="18"/>
              </w:rPr>
            </w:pPr>
            <w:r w:rsidRPr="005E6FB5">
              <w:rPr>
                <w:i/>
                <w:sz w:val="18"/>
                <w:szCs w:val="18"/>
              </w:rPr>
              <w:t>Independent Director</w:t>
            </w:r>
          </w:p>
        </w:tc>
      </w:tr>
    </w:tbl>
    <w:p w14:paraId="17D18108" w14:textId="2E5F4D43" w:rsidR="0094472D" w:rsidRDefault="0094472D"/>
    <w:tbl>
      <w:tblPr>
        <w:tblW w:w="9197" w:type="dxa"/>
        <w:tblInd w:w="392" w:type="dxa"/>
        <w:tblLayout w:type="fixed"/>
        <w:tblLook w:val="0000" w:firstRow="0" w:lastRow="0" w:firstColumn="0" w:lastColumn="0" w:noHBand="0" w:noVBand="0"/>
      </w:tblPr>
      <w:tblGrid>
        <w:gridCol w:w="4599"/>
        <w:gridCol w:w="4598"/>
      </w:tblGrid>
      <w:tr w:rsidR="00E222DB" w:rsidRPr="00F21352" w14:paraId="4EA0E656" w14:textId="77777777" w:rsidTr="009E1937">
        <w:tc>
          <w:tcPr>
            <w:tcW w:w="4599" w:type="dxa"/>
          </w:tcPr>
          <w:p w14:paraId="30429200" w14:textId="538683DF" w:rsidR="00E222DB" w:rsidRPr="00E222DB" w:rsidRDefault="00E222DB" w:rsidP="00E222DB">
            <w:pPr>
              <w:ind w:left="601" w:right="-57"/>
              <w:jc w:val="both"/>
              <w:rPr>
                <w:rStyle w:val="hps"/>
                <w:sz w:val="18"/>
                <w:szCs w:val="18"/>
              </w:rPr>
            </w:pPr>
            <w:r w:rsidRPr="00E222DB">
              <w:rPr>
                <w:rStyle w:val="hps"/>
                <w:sz w:val="18"/>
                <w:szCs w:val="18"/>
              </w:rPr>
              <w:t xml:space="preserve">Berdasarkan Pernyataan Keputusan Pemegang Saham pada tanggal    16 Mei 2018 yang tercantum dalam Akta Notaris No. 60 dari notaris </w:t>
            </w:r>
            <w:r w:rsidRPr="00E222DB">
              <w:rPr>
                <w:rStyle w:val="hps"/>
                <w:sz w:val="18"/>
                <w:szCs w:val="18"/>
              </w:rPr>
              <w:br/>
              <w:t xml:space="preserve">Buntario Tigris, S.H. S.E. M.H., susunan Dewan Komisaris dan Direksi Perusahaan pada tanggal </w:t>
            </w:r>
            <w:r w:rsidRPr="00E222DB">
              <w:rPr>
                <w:rStyle w:val="hps"/>
                <w:sz w:val="18"/>
                <w:szCs w:val="18"/>
              </w:rPr>
              <w:br/>
              <w:t xml:space="preserve">31 </w:t>
            </w:r>
            <w:r>
              <w:rPr>
                <w:rStyle w:val="hps"/>
                <w:sz w:val="18"/>
                <w:szCs w:val="18"/>
              </w:rPr>
              <w:t>Desember</w:t>
            </w:r>
            <w:r w:rsidRPr="00E222DB">
              <w:rPr>
                <w:rStyle w:val="hps"/>
                <w:sz w:val="18"/>
                <w:szCs w:val="18"/>
              </w:rPr>
              <w:t xml:space="preserve"> 20</w:t>
            </w:r>
            <w:r>
              <w:rPr>
                <w:rStyle w:val="hps"/>
                <w:sz w:val="18"/>
                <w:szCs w:val="18"/>
              </w:rPr>
              <w:t>19</w:t>
            </w:r>
            <w:r w:rsidRPr="00E222DB">
              <w:rPr>
                <w:rStyle w:val="hps"/>
                <w:sz w:val="18"/>
                <w:szCs w:val="18"/>
              </w:rPr>
              <w:t xml:space="preserve"> adalah sebagai berikut:</w:t>
            </w:r>
          </w:p>
        </w:tc>
        <w:tc>
          <w:tcPr>
            <w:tcW w:w="4598" w:type="dxa"/>
          </w:tcPr>
          <w:p w14:paraId="04E7E09F" w14:textId="40C5DCB0" w:rsidR="00E222DB" w:rsidRPr="00E222DB" w:rsidRDefault="00E222DB" w:rsidP="00E222DB">
            <w:pPr>
              <w:ind w:left="567" w:right="-57"/>
              <w:jc w:val="both"/>
              <w:rPr>
                <w:i/>
                <w:sz w:val="18"/>
                <w:szCs w:val="18"/>
              </w:rPr>
            </w:pPr>
            <w:r w:rsidRPr="00E222DB">
              <w:rPr>
                <w:i/>
                <w:sz w:val="18"/>
                <w:szCs w:val="18"/>
              </w:rPr>
              <w:t xml:space="preserve">Based on the Statement of Shareholders’ Decision on May 16, 2018 as stated in Notarial Deed No. 60 of notary Buntario Tigris, S.H S.E. M.H., the compositions of the Company’s Boards of Commissioners and Directors as of </w:t>
            </w:r>
            <w:r w:rsidRPr="00E222DB">
              <w:rPr>
                <w:i/>
                <w:sz w:val="18"/>
                <w:szCs w:val="18"/>
              </w:rPr>
              <w:br/>
            </w:r>
            <w:r>
              <w:rPr>
                <w:i/>
                <w:sz w:val="18"/>
                <w:szCs w:val="18"/>
              </w:rPr>
              <w:t>December</w:t>
            </w:r>
            <w:r w:rsidRPr="00E222DB">
              <w:rPr>
                <w:i/>
                <w:sz w:val="18"/>
                <w:szCs w:val="18"/>
              </w:rPr>
              <w:t xml:space="preserve"> 31</w:t>
            </w:r>
            <w:r>
              <w:rPr>
                <w:i/>
                <w:sz w:val="18"/>
                <w:szCs w:val="18"/>
              </w:rPr>
              <w:t>,</w:t>
            </w:r>
            <w:r w:rsidRPr="00E222DB">
              <w:rPr>
                <w:i/>
                <w:sz w:val="18"/>
                <w:szCs w:val="18"/>
              </w:rPr>
              <w:t xml:space="preserve"> 20</w:t>
            </w:r>
            <w:r>
              <w:rPr>
                <w:i/>
                <w:sz w:val="18"/>
                <w:szCs w:val="18"/>
              </w:rPr>
              <w:t>19</w:t>
            </w:r>
            <w:r w:rsidRPr="00E222DB">
              <w:rPr>
                <w:i/>
                <w:sz w:val="18"/>
                <w:szCs w:val="18"/>
              </w:rPr>
              <w:t xml:space="preserve"> are as follows:</w:t>
            </w:r>
          </w:p>
        </w:tc>
      </w:tr>
    </w:tbl>
    <w:p w14:paraId="0DB16263" w14:textId="77777777" w:rsidR="00E222DB" w:rsidRPr="00BC4132" w:rsidRDefault="00E222DB" w:rsidP="00E222DB">
      <w:pPr>
        <w:rPr>
          <w:sz w:val="12"/>
        </w:rPr>
      </w:pPr>
    </w:p>
    <w:p w14:paraId="69182E14" w14:textId="77777777" w:rsidR="00E222DB" w:rsidRPr="00FC3E0B" w:rsidRDefault="00E222DB" w:rsidP="00E222DB">
      <w:pPr>
        <w:rPr>
          <w:sz w:val="18"/>
          <w:highlight w:val="green"/>
          <w:lang w:val="id-ID"/>
        </w:rPr>
      </w:pPr>
    </w:p>
    <w:tbl>
      <w:tblPr>
        <w:tblW w:w="9219" w:type="dxa"/>
        <w:tblInd w:w="392" w:type="dxa"/>
        <w:tblLayout w:type="fixed"/>
        <w:tblCellMar>
          <w:left w:w="0" w:type="dxa"/>
          <w:right w:w="0" w:type="dxa"/>
        </w:tblCellMar>
        <w:tblLook w:val="0000" w:firstRow="0" w:lastRow="0" w:firstColumn="0" w:lastColumn="0" w:noHBand="0" w:noVBand="0"/>
      </w:tblPr>
      <w:tblGrid>
        <w:gridCol w:w="2927"/>
        <w:gridCol w:w="20"/>
        <w:gridCol w:w="1651"/>
        <w:gridCol w:w="1657"/>
        <w:gridCol w:w="6"/>
        <w:gridCol w:w="14"/>
        <w:gridCol w:w="6"/>
        <w:gridCol w:w="2916"/>
        <w:gridCol w:w="22"/>
      </w:tblGrid>
      <w:tr w:rsidR="00E222DB" w:rsidRPr="005E6FB5" w14:paraId="23BEB7FF" w14:textId="77777777" w:rsidTr="00554E9D">
        <w:trPr>
          <w:gridAfter w:val="1"/>
          <w:wAfter w:w="16" w:type="dxa"/>
        </w:trPr>
        <w:tc>
          <w:tcPr>
            <w:tcW w:w="2928" w:type="dxa"/>
          </w:tcPr>
          <w:p w14:paraId="5FACA55B" w14:textId="77777777" w:rsidR="00E222DB" w:rsidRPr="005E6FB5" w:rsidRDefault="00E222DB" w:rsidP="009E1937">
            <w:pPr>
              <w:ind w:left="702"/>
              <w:jc w:val="both"/>
              <w:rPr>
                <w:rStyle w:val="hps"/>
                <w:b/>
                <w:bCs w:val="0"/>
                <w:sz w:val="18"/>
                <w:szCs w:val="18"/>
                <w:u w:val="single"/>
              </w:rPr>
            </w:pPr>
            <w:r w:rsidRPr="005E6FB5">
              <w:rPr>
                <w:rStyle w:val="hps"/>
                <w:b/>
                <w:bCs w:val="0"/>
                <w:sz w:val="18"/>
                <w:szCs w:val="18"/>
                <w:u w:val="single"/>
              </w:rPr>
              <w:t>Dewan Komisaris</w:t>
            </w:r>
          </w:p>
        </w:tc>
        <w:tc>
          <w:tcPr>
            <w:tcW w:w="20" w:type="dxa"/>
          </w:tcPr>
          <w:p w14:paraId="7D508A11" w14:textId="77777777" w:rsidR="00E222DB" w:rsidRPr="005E6FB5" w:rsidRDefault="00E222DB" w:rsidP="009E1937">
            <w:pPr>
              <w:jc w:val="center"/>
              <w:rPr>
                <w:b/>
                <w:bCs w:val="0"/>
                <w:sz w:val="18"/>
                <w:szCs w:val="18"/>
              </w:rPr>
            </w:pPr>
          </w:p>
        </w:tc>
        <w:tc>
          <w:tcPr>
            <w:tcW w:w="3308" w:type="dxa"/>
            <w:gridSpan w:val="2"/>
          </w:tcPr>
          <w:p w14:paraId="15CDB19A" w14:textId="77777777" w:rsidR="00E222DB" w:rsidRPr="005E6FB5" w:rsidRDefault="00E222DB" w:rsidP="009E1937">
            <w:pPr>
              <w:jc w:val="center"/>
              <w:rPr>
                <w:b/>
                <w:bCs w:val="0"/>
                <w:sz w:val="18"/>
                <w:szCs w:val="18"/>
              </w:rPr>
            </w:pPr>
          </w:p>
        </w:tc>
        <w:tc>
          <w:tcPr>
            <w:tcW w:w="20" w:type="dxa"/>
            <w:gridSpan w:val="2"/>
          </w:tcPr>
          <w:p w14:paraId="0F232B81" w14:textId="77777777" w:rsidR="00E222DB" w:rsidRPr="005E6FB5" w:rsidRDefault="00E222DB" w:rsidP="009E1937">
            <w:pPr>
              <w:jc w:val="center"/>
              <w:rPr>
                <w:b/>
                <w:bCs w:val="0"/>
                <w:i/>
                <w:sz w:val="18"/>
                <w:szCs w:val="18"/>
              </w:rPr>
            </w:pPr>
          </w:p>
        </w:tc>
        <w:tc>
          <w:tcPr>
            <w:tcW w:w="2922" w:type="dxa"/>
            <w:gridSpan w:val="2"/>
          </w:tcPr>
          <w:p w14:paraId="53489D13" w14:textId="77777777" w:rsidR="00E222DB" w:rsidRPr="005E6FB5" w:rsidRDefault="00E222DB" w:rsidP="009E1937">
            <w:pPr>
              <w:ind w:left="425" w:right="57"/>
              <w:jc w:val="right"/>
              <w:rPr>
                <w:b/>
                <w:bCs w:val="0"/>
                <w:i/>
                <w:sz w:val="18"/>
                <w:szCs w:val="18"/>
                <w:u w:val="single"/>
              </w:rPr>
            </w:pPr>
            <w:r w:rsidRPr="005E6FB5">
              <w:rPr>
                <w:b/>
                <w:bCs w:val="0"/>
                <w:i/>
                <w:sz w:val="18"/>
                <w:szCs w:val="18"/>
                <w:u w:val="single"/>
              </w:rPr>
              <w:t>Board of Commissioners</w:t>
            </w:r>
          </w:p>
        </w:tc>
      </w:tr>
      <w:tr w:rsidR="00E222DB" w:rsidRPr="005E6FB5" w14:paraId="663309DB" w14:textId="77777777" w:rsidTr="00554E9D">
        <w:trPr>
          <w:gridAfter w:val="1"/>
          <w:wAfter w:w="16" w:type="dxa"/>
        </w:trPr>
        <w:tc>
          <w:tcPr>
            <w:tcW w:w="2928" w:type="dxa"/>
          </w:tcPr>
          <w:p w14:paraId="66A58029" w14:textId="77777777" w:rsidR="00E222DB" w:rsidRPr="005E6FB5" w:rsidRDefault="00E222DB" w:rsidP="009E1937">
            <w:pPr>
              <w:ind w:left="702"/>
              <w:jc w:val="both"/>
              <w:rPr>
                <w:rStyle w:val="hps"/>
                <w:sz w:val="18"/>
                <w:szCs w:val="18"/>
                <w:lang w:val="id-ID"/>
              </w:rPr>
            </w:pPr>
            <w:r w:rsidRPr="005E6FB5">
              <w:rPr>
                <w:rStyle w:val="hps"/>
                <w:sz w:val="18"/>
                <w:szCs w:val="18"/>
              </w:rPr>
              <w:t>Komisaris Utama</w:t>
            </w:r>
          </w:p>
        </w:tc>
        <w:tc>
          <w:tcPr>
            <w:tcW w:w="20" w:type="dxa"/>
            <w:vAlign w:val="bottom"/>
          </w:tcPr>
          <w:p w14:paraId="76328C84" w14:textId="77777777" w:rsidR="00E222DB" w:rsidRPr="005E6FB5" w:rsidRDefault="00E222DB" w:rsidP="009E1937">
            <w:pPr>
              <w:jc w:val="center"/>
              <w:rPr>
                <w:sz w:val="18"/>
                <w:szCs w:val="18"/>
              </w:rPr>
            </w:pPr>
          </w:p>
        </w:tc>
        <w:tc>
          <w:tcPr>
            <w:tcW w:w="3308" w:type="dxa"/>
            <w:gridSpan w:val="2"/>
            <w:vAlign w:val="bottom"/>
          </w:tcPr>
          <w:p w14:paraId="0C45AC2D" w14:textId="77777777" w:rsidR="00E222DB" w:rsidRPr="005E6FB5" w:rsidRDefault="00E222DB" w:rsidP="009E1937">
            <w:pPr>
              <w:jc w:val="center"/>
              <w:rPr>
                <w:sz w:val="18"/>
                <w:szCs w:val="18"/>
              </w:rPr>
            </w:pPr>
            <w:r>
              <w:rPr>
                <w:sz w:val="18"/>
                <w:szCs w:val="18"/>
              </w:rPr>
              <w:t xml:space="preserve">Tn. </w:t>
            </w:r>
            <w:r w:rsidRPr="005E6FB5">
              <w:rPr>
                <w:sz w:val="18"/>
                <w:szCs w:val="18"/>
              </w:rPr>
              <w:t>Jonathan Tahir</w:t>
            </w:r>
          </w:p>
        </w:tc>
        <w:tc>
          <w:tcPr>
            <w:tcW w:w="20" w:type="dxa"/>
            <w:gridSpan w:val="2"/>
            <w:vAlign w:val="bottom"/>
          </w:tcPr>
          <w:p w14:paraId="67EAF683" w14:textId="77777777" w:rsidR="00E222DB" w:rsidRPr="005E6FB5" w:rsidRDefault="00E222DB" w:rsidP="009E1937">
            <w:pPr>
              <w:jc w:val="center"/>
              <w:rPr>
                <w:bCs w:val="0"/>
                <w:i/>
                <w:sz w:val="18"/>
                <w:szCs w:val="18"/>
              </w:rPr>
            </w:pPr>
          </w:p>
        </w:tc>
        <w:tc>
          <w:tcPr>
            <w:tcW w:w="2922" w:type="dxa"/>
            <w:gridSpan w:val="2"/>
          </w:tcPr>
          <w:p w14:paraId="3BFFFA53" w14:textId="77777777" w:rsidR="00E222DB" w:rsidRPr="005E6FB5" w:rsidRDefault="00E222DB" w:rsidP="009E1937">
            <w:pPr>
              <w:ind w:right="57"/>
              <w:jc w:val="right"/>
              <w:rPr>
                <w:i/>
                <w:sz w:val="18"/>
                <w:szCs w:val="18"/>
                <w:lang w:val="id-ID"/>
              </w:rPr>
            </w:pPr>
            <w:r w:rsidRPr="005E6FB5">
              <w:rPr>
                <w:i/>
                <w:sz w:val="18"/>
                <w:szCs w:val="18"/>
              </w:rPr>
              <w:t>President Commissioner</w:t>
            </w:r>
          </w:p>
        </w:tc>
      </w:tr>
      <w:tr w:rsidR="00E222DB" w:rsidRPr="005E6FB5" w14:paraId="46E77EAC" w14:textId="77777777" w:rsidTr="00554E9D">
        <w:trPr>
          <w:gridAfter w:val="1"/>
          <w:wAfter w:w="16" w:type="dxa"/>
        </w:trPr>
        <w:tc>
          <w:tcPr>
            <w:tcW w:w="2928" w:type="dxa"/>
          </w:tcPr>
          <w:p w14:paraId="4F0E103E" w14:textId="77777777" w:rsidR="00E222DB" w:rsidRPr="005E6FB5" w:rsidRDefault="00E222DB" w:rsidP="009E1937">
            <w:pPr>
              <w:ind w:left="702"/>
              <w:jc w:val="both"/>
              <w:rPr>
                <w:rStyle w:val="hps"/>
                <w:sz w:val="18"/>
                <w:szCs w:val="18"/>
                <w:lang w:val="id-ID"/>
              </w:rPr>
            </w:pPr>
            <w:r w:rsidRPr="005E6FB5">
              <w:rPr>
                <w:rStyle w:val="hps"/>
                <w:sz w:val="18"/>
                <w:szCs w:val="18"/>
                <w:lang w:val="id-ID"/>
              </w:rPr>
              <w:t xml:space="preserve">Wakil </w:t>
            </w:r>
            <w:r w:rsidRPr="005E6FB5">
              <w:rPr>
                <w:rStyle w:val="hps"/>
                <w:sz w:val="18"/>
                <w:szCs w:val="18"/>
              </w:rPr>
              <w:t>Komisaris</w:t>
            </w:r>
            <w:r w:rsidRPr="005E6FB5">
              <w:rPr>
                <w:rStyle w:val="hps"/>
                <w:sz w:val="18"/>
                <w:szCs w:val="18"/>
                <w:lang w:val="id-ID"/>
              </w:rPr>
              <w:t xml:space="preserve"> Utama</w:t>
            </w:r>
          </w:p>
        </w:tc>
        <w:tc>
          <w:tcPr>
            <w:tcW w:w="20" w:type="dxa"/>
          </w:tcPr>
          <w:p w14:paraId="6991F3C3" w14:textId="77777777" w:rsidR="00E222DB" w:rsidRPr="005E6FB5" w:rsidRDefault="00E222DB" w:rsidP="009E1937">
            <w:pPr>
              <w:jc w:val="center"/>
              <w:rPr>
                <w:sz w:val="18"/>
                <w:szCs w:val="18"/>
              </w:rPr>
            </w:pPr>
          </w:p>
        </w:tc>
        <w:tc>
          <w:tcPr>
            <w:tcW w:w="3308" w:type="dxa"/>
            <w:gridSpan w:val="2"/>
            <w:vAlign w:val="bottom"/>
          </w:tcPr>
          <w:p w14:paraId="1F41667E" w14:textId="77777777" w:rsidR="00E222DB" w:rsidRPr="005E6FB5" w:rsidRDefault="00E222DB" w:rsidP="009E1937">
            <w:pPr>
              <w:jc w:val="center"/>
              <w:rPr>
                <w:sz w:val="18"/>
                <w:szCs w:val="18"/>
              </w:rPr>
            </w:pPr>
            <w:r>
              <w:rPr>
                <w:sz w:val="18"/>
                <w:szCs w:val="18"/>
              </w:rPr>
              <w:t xml:space="preserve">Tn. </w:t>
            </w:r>
            <w:r w:rsidRPr="00F21352">
              <w:rPr>
                <w:sz w:val="18"/>
                <w:szCs w:val="18"/>
              </w:rPr>
              <w:t>Dato’ Sri Prof. DR. Tahir M</w:t>
            </w:r>
            <w:r>
              <w:rPr>
                <w:sz w:val="18"/>
                <w:szCs w:val="18"/>
              </w:rPr>
              <w:t>.</w:t>
            </w:r>
            <w:r w:rsidRPr="00F21352">
              <w:rPr>
                <w:sz w:val="18"/>
                <w:szCs w:val="18"/>
              </w:rPr>
              <w:t>B</w:t>
            </w:r>
            <w:r>
              <w:rPr>
                <w:sz w:val="18"/>
                <w:szCs w:val="18"/>
              </w:rPr>
              <w:t>.</w:t>
            </w:r>
            <w:r w:rsidRPr="00F21352">
              <w:rPr>
                <w:sz w:val="18"/>
                <w:szCs w:val="18"/>
              </w:rPr>
              <w:t>A</w:t>
            </w:r>
            <w:r>
              <w:rPr>
                <w:sz w:val="18"/>
                <w:szCs w:val="18"/>
              </w:rPr>
              <w:t>.</w:t>
            </w:r>
          </w:p>
        </w:tc>
        <w:tc>
          <w:tcPr>
            <w:tcW w:w="20" w:type="dxa"/>
            <w:gridSpan w:val="2"/>
          </w:tcPr>
          <w:p w14:paraId="2B05C3C5" w14:textId="77777777" w:rsidR="00E222DB" w:rsidRPr="005E6FB5" w:rsidRDefault="00E222DB" w:rsidP="009E1937">
            <w:pPr>
              <w:jc w:val="center"/>
              <w:rPr>
                <w:bCs w:val="0"/>
                <w:i/>
                <w:sz w:val="18"/>
                <w:szCs w:val="18"/>
              </w:rPr>
            </w:pPr>
          </w:p>
        </w:tc>
        <w:tc>
          <w:tcPr>
            <w:tcW w:w="2922" w:type="dxa"/>
            <w:gridSpan w:val="2"/>
          </w:tcPr>
          <w:p w14:paraId="173427CC" w14:textId="77777777" w:rsidR="00E222DB" w:rsidRPr="005E6FB5" w:rsidRDefault="00E222DB" w:rsidP="009E1937">
            <w:pPr>
              <w:ind w:left="-136" w:right="57"/>
              <w:jc w:val="right"/>
              <w:rPr>
                <w:bCs w:val="0"/>
                <w:i/>
                <w:sz w:val="18"/>
                <w:szCs w:val="18"/>
              </w:rPr>
            </w:pPr>
            <w:r w:rsidRPr="005E6FB5">
              <w:rPr>
                <w:i/>
                <w:sz w:val="18"/>
                <w:szCs w:val="18"/>
                <w:lang w:val="id-ID"/>
              </w:rPr>
              <w:t xml:space="preserve">Vice President </w:t>
            </w:r>
            <w:r w:rsidRPr="005E6FB5">
              <w:rPr>
                <w:i/>
                <w:sz w:val="18"/>
                <w:szCs w:val="18"/>
              </w:rPr>
              <w:t>Commissioner</w:t>
            </w:r>
          </w:p>
        </w:tc>
      </w:tr>
      <w:tr w:rsidR="00E222DB" w:rsidRPr="005E6FB5" w14:paraId="0D120416" w14:textId="77777777" w:rsidTr="00554E9D">
        <w:trPr>
          <w:gridAfter w:val="1"/>
          <w:wAfter w:w="16" w:type="dxa"/>
        </w:trPr>
        <w:tc>
          <w:tcPr>
            <w:tcW w:w="2928" w:type="dxa"/>
          </w:tcPr>
          <w:p w14:paraId="39F363DA" w14:textId="77777777" w:rsidR="00E222DB" w:rsidRPr="005E6FB5" w:rsidRDefault="00E222DB" w:rsidP="009E1937">
            <w:pPr>
              <w:ind w:left="702"/>
              <w:jc w:val="both"/>
              <w:rPr>
                <w:rStyle w:val="hps"/>
                <w:sz w:val="18"/>
                <w:szCs w:val="18"/>
                <w:lang w:val="id-ID"/>
              </w:rPr>
            </w:pPr>
            <w:r w:rsidRPr="005E6FB5">
              <w:rPr>
                <w:rStyle w:val="hps"/>
                <w:sz w:val="18"/>
                <w:szCs w:val="18"/>
                <w:lang w:val="id-ID"/>
              </w:rPr>
              <w:t>Komisaris</w:t>
            </w:r>
          </w:p>
        </w:tc>
        <w:tc>
          <w:tcPr>
            <w:tcW w:w="20" w:type="dxa"/>
          </w:tcPr>
          <w:p w14:paraId="494A7417" w14:textId="77777777" w:rsidR="00E222DB" w:rsidRPr="005E6FB5" w:rsidRDefault="00E222DB" w:rsidP="009E1937">
            <w:pPr>
              <w:jc w:val="center"/>
              <w:rPr>
                <w:sz w:val="18"/>
                <w:szCs w:val="18"/>
              </w:rPr>
            </w:pPr>
          </w:p>
        </w:tc>
        <w:tc>
          <w:tcPr>
            <w:tcW w:w="3308" w:type="dxa"/>
            <w:gridSpan w:val="2"/>
            <w:vAlign w:val="bottom"/>
          </w:tcPr>
          <w:p w14:paraId="485484A6" w14:textId="79C8022B" w:rsidR="00E222DB" w:rsidRPr="00433039" w:rsidRDefault="00E222DB" w:rsidP="00E222DB">
            <w:pPr>
              <w:jc w:val="center"/>
              <w:rPr>
                <w:sz w:val="18"/>
                <w:szCs w:val="18"/>
              </w:rPr>
            </w:pPr>
            <w:r>
              <w:rPr>
                <w:sz w:val="18"/>
                <w:szCs w:val="18"/>
              </w:rPr>
              <w:t>Tn. Raymond</w:t>
            </w:r>
          </w:p>
        </w:tc>
        <w:tc>
          <w:tcPr>
            <w:tcW w:w="20" w:type="dxa"/>
            <w:gridSpan w:val="2"/>
          </w:tcPr>
          <w:p w14:paraId="6D71BC87" w14:textId="77777777" w:rsidR="00E222DB" w:rsidRPr="005E6FB5" w:rsidRDefault="00E222DB" w:rsidP="009E1937">
            <w:pPr>
              <w:jc w:val="center"/>
              <w:rPr>
                <w:bCs w:val="0"/>
                <w:i/>
                <w:sz w:val="18"/>
                <w:szCs w:val="18"/>
              </w:rPr>
            </w:pPr>
          </w:p>
        </w:tc>
        <w:tc>
          <w:tcPr>
            <w:tcW w:w="2922" w:type="dxa"/>
            <w:gridSpan w:val="2"/>
          </w:tcPr>
          <w:p w14:paraId="3F5A7A48" w14:textId="77777777" w:rsidR="00E222DB" w:rsidRPr="005E6FB5" w:rsidRDefault="00E222DB" w:rsidP="009E1937">
            <w:pPr>
              <w:ind w:left="-136" w:right="57"/>
              <w:jc w:val="right"/>
              <w:rPr>
                <w:i/>
                <w:sz w:val="18"/>
                <w:szCs w:val="18"/>
              </w:rPr>
            </w:pPr>
            <w:r w:rsidRPr="005E6FB5">
              <w:rPr>
                <w:i/>
                <w:sz w:val="18"/>
                <w:szCs w:val="18"/>
              </w:rPr>
              <w:t>Commissioner</w:t>
            </w:r>
          </w:p>
        </w:tc>
      </w:tr>
      <w:tr w:rsidR="00E222DB" w:rsidRPr="005E6FB5" w14:paraId="6F2B5B2F" w14:textId="77777777" w:rsidTr="00554E9D">
        <w:trPr>
          <w:gridAfter w:val="1"/>
          <w:wAfter w:w="16" w:type="dxa"/>
        </w:trPr>
        <w:tc>
          <w:tcPr>
            <w:tcW w:w="2928" w:type="dxa"/>
          </w:tcPr>
          <w:p w14:paraId="07337100" w14:textId="77777777" w:rsidR="00E222DB" w:rsidRPr="005E6FB5" w:rsidRDefault="00E222DB" w:rsidP="009E1937">
            <w:pPr>
              <w:ind w:left="702"/>
              <w:jc w:val="both"/>
              <w:rPr>
                <w:rStyle w:val="hps"/>
                <w:sz w:val="18"/>
                <w:szCs w:val="18"/>
                <w:lang w:val="id-ID"/>
              </w:rPr>
            </w:pPr>
            <w:r w:rsidRPr="005E6FB5">
              <w:rPr>
                <w:rStyle w:val="hps"/>
                <w:sz w:val="18"/>
                <w:szCs w:val="18"/>
                <w:lang w:val="id-ID"/>
              </w:rPr>
              <w:t>Komisaris Independen</w:t>
            </w:r>
          </w:p>
        </w:tc>
        <w:tc>
          <w:tcPr>
            <w:tcW w:w="20" w:type="dxa"/>
          </w:tcPr>
          <w:p w14:paraId="5B82B888" w14:textId="77777777" w:rsidR="00E222DB" w:rsidRPr="005E6FB5" w:rsidRDefault="00E222DB" w:rsidP="009E1937">
            <w:pPr>
              <w:jc w:val="center"/>
              <w:rPr>
                <w:sz w:val="18"/>
                <w:szCs w:val="18"/>
              </w:rPr>
            </w:pPr>
          </w:p>
        </w:tc>
        <w:tc>
          <w:tcPr>
            <w:tcW w:w="3308" w:type="dxa"/>
            <w:gridSpan w:val="2"/>
            <w:vAlign w:val="bottom"/>
          </w:tcPr>
          <w:p w14:paraId="40EE27B3" w14:textId="77777777" w:rsidR="00E222DB" w:rsidRPr="005E6FB5" w:rsidRDefault="00E222DB" w:rsidP="009E1937">
            <w:pPr>
              <w:jc w:val="center"/>
              <w:rPr>
                <w:sz w:val="18"/>
                <w:szCs w:val="18"/>
              </w:rPr>
            </w:pPr>
            <w:r>
              <w:rPr>
                <w:sz w:val="18"/>
                <w:szCs w:val="18"/>
              </w:rPr>
              <w:t xml:space="preserve">Ny. </w:t>
            </w:r>
            <w:r w:rsidRPr="00F21352">
              <w:rPr>
                <w:sz w:val="18"/>
                <w:szCs w:val="18"/>
              </w:rPr>
              <w:t xml:space="preserve">Prof. DR. </w:t>
            </w:r>
            <w:r>
              <w:rPr>
                <w:sz w:val="18"/>
                <w:szCs w:val="18"/>
              </w:rPr>
              <w:t>d</w:t>
            </w:r>
            <w:r w:rsidRPr="00F21352">
              <w:rPr>
                <w:sz w:val="18"/>
                <w:szCs w:val="18"/>
              </w:rPr>
              <w:t>rg. Melani Hendriaty Sadono</w:t>
            </w:r>
          </w:p>
        </w:tc>
        <w:tc>
          <w:tcPr>
            <w:tcW w:w="20" w:type="dxa"/>
            <w:gridSpan w:val="2"/>
          </w:tcPr>
          <w:p w14:paraId="0B75E642" w14:textId="77777777" w:rsidR="00E222DB" w:rsidRPr="005E6FB5" w:rsidRDefault="00E222DB" w:rsidP="009E1937">
            <w:pPr>
              <w:jc w:val="center"/>
              <w:rPr>
                <w:bCs w:val="0"/>
                <w:i/>
                <w:sz w:val="18"/>
                <w:szCs w:val="18"/>
              </w:rPr>
            </w:pPr>
          </w:p>
        </w:tc>
        <w:tc>
          <w:tcPr>
            <w:tcW w:w="2922" w:type="dxa"/>
            <w:gridSpan w:val="2"/>
          </w:tcPr>
          <w:p w14:paraId="450F187D" w14:textId="77777777" w:rsidR="00E222DB" w:rsidRPr="005E6FB5" w:rsidRDefault="00E222DB" w:rsidP="009E1937">
            <w:pPr>
              <w:ind w:left="-136" w:right="57"/>
              <w:jc w:val="right"/>
              <w:rPr>
                <w:i/>
                <w:sz w:val="18"/>
                <w:szCs w:val="18"/>
              </w:rPr>
            </w:pPr>
            <w:r w:rsidRPr="005E6FB5">
              <w:rPr>
                <w:i/>
                <w:sz w:val="18"/>
                <w:szCs w:val="18"/>
              </w:rPr>
              <w:t>Independent Commissioners</w:t>
            </w:r>
          </w:p>
        </w:tc>
      </w:tr>
      <w:tr w:rsidR="00E222DB" w:rsidRPr="005E6FB5" w14:paraId="6A4E89D9" w14:textId="77777777" w:rsidTr="00554E9D">
        <w:trPr>
          <w:gridAfter w:val="1"/>
          <w:wAfter w:w="16" w:type="dxa"/>
        </w:trPr>
        <w:tc>
          <w:tcPr>
            <w:tcW w:w="2928" w:type="dxa"/>
          </w:tcPr>
          <w:p w14:paraId="39A345D3" w14:textId="77777777" w:rsidR="00E222DB" w:rsidRPr="005E6FB5" w:rsidRDefault="00E222DB" w:rsidP="009E1937">
            <w:pPr>
              <w:ind w:left="702"/>
              <w:jc w:val="both"/>
              <w:rPr>
                <w:rStyle w:val="hps"/>
                <w:sz w:val="18"/>
                <w:szCs w:val="18"/>
                <w:lang w:val="id-ID"/>
              </w:rPr>
            </w:pPr>
          </w:p>
        </w:tc>
        <w:tc>
          <w:tcPr>
            <w:tcW w:w="20" w:type="dxa"/>
          </w:tcPr>
          <w:p w14:paraId="47BA8C30" w14:textId="77777777" w:rsidR="00E222DB" w:rsidRPr="005E6FB5" w:rsidRDefault="00E222DB" w:rsidP="009E1937">
            <w:pPr>
              <w:jc w:val="center"/>
              <w:rPr>
                <w:sz w:val="18"/>
                <w:szCs w:val="18"/>
              </w:rPr>
            </w:pPr>
          </w:p>
        </w:tc>
        <w:tc>
          <w:tcPr>
            <w:tcW w:w="3308" w:type="dxa"/>
            <w:gridSpan w:val="2"/>
            <w:vAlign w:val="bottom"/>
          </w:tcPr>
          <w:p w14:paraId="5AA0F3CA" w14:textId="6A88DBD7" w:rsidR="00E222DB" w:rsidRDefault="00E222DB" w:rsidP="009E1937">
            <w:pPr>
              <w:jc w:val="center"/>
              <w:rPr>
                <w:sz w:val="18"/>
                <w:szCs w:val="18"/>
              </w:rPr>
            </w:pPr>
            <w:r>
              <w:rPr>
                <w:sz w:val="18"/>
                <w:szCs w:val="18"/>
              </w:rPr>
              <w:t>Tn. Djamil, M Biomed, Ph.D</w:t>
            </w:r>
          </w:p>
        </w:tc>
        <w:tc>
          <w:tcPr>
            <w:tcW w:w="20" w:type="dxa"/>
            <w:gridSpan w:val="2"/>
          </w:tcPr>
          <w:p w14:paraId="6BB56ADD" w14:textId="77777777" w:rsidR="00E222DB" w:rsidRPr="005E6FB5" w:rsidRDefault="00E222DB" w:rsidP="009E1937">
            <w:pPr>
              <w:jc w:val="center"/>
              <w:rPr>
                <w:bCs w:val="0"/>
                <w:i/>
                <w:sz w:val="18"/>
                <w:szCs w:val="18"/>
              </w:rPr>
            </w:pPr>
          </w:p>
        </w:tc>
        <w:tc>
          <w:tcPr>
            <w:tcW w:w="2922" w:type="dxa"/>
            <w:gridSpan w:val="2"/>
          </w:tcPr>
          <w:p w14:paraId="29D1A25D" w14:textId="77777777" w:rsidR="00E222DB" w:rsidRPr="005E6FB5" w:rsidRDefault="00E222DB" w:rsidP="009E1937">
            <w:pPr>
              <w:ind w:left="-136" w:right="57"/>
              <w:jc w:val="right"/>
              <w:rPr>
                <w:i/>
                <w:sz w:val="18"/>
                <w:szCs w:val="18"/>
              </w:rPr>
            </w:pPr>
          </w:p>
        </w:tc>
      </w:tr>
      <w:tr w:rsidR="00E222DB" w:rsidRPr="00A937E7" w14:paraId="4871806D" w14:textId="77777777" w:rsidTr="00554E9D">
        <w:trPr>
          <w:gridAfter w:val="1"/>
          <w:wAfter w:w="16" w:type="dxa"/>
        </w:trPr>
        <w:tc>
          <w:tcPr>
            <w:tcW w:w="2928" w:type="dxa"/>
          </w:tcPr>
          <w:p w14:paraId="6D5609DD" w14:textId="77777777" w:rsidR="00E222DB" w:rsidRPr="005E6FB5" w:rsidRDefault="00E222DB" w:rsidP="009E1937">
            <w:pPr>
              <w:ind w:left="702"/>
              <w:jc w:val="both"/>
              <w:rPr>
                <w:rStyle w:val="hps"/>
                <w:sz w:val="18"/>
                <w:szCs w:val="18"/>
              </w:rPr>
            </w:pPr>
          </w:p>
        </w:tc>
        <w:tc>
          <w:tcPr>
            <w:tcW w:w="20" w:type="dxa"/>
          </w:tcPr>
          <w:p w14:paraId="18C563CA" w14:textId="77777777" w:rsidR="00E222DB" w:rsidRPr="005E6FB5" w:rsidRDefault="00E222DB" w:rsidP="009E1937">
            <w:pPr>
              <w:jc w:val="center"/>
              <w:rPr>
                <w:sz w:val="18"/>
                <w:szCs w:val="18"/>
              </w:rPr>
            </w:pPr>
          </w:p>
        </w:tc>
        <w:tc>
          <w:tcPr>
            <w:tcW w:w="3308" w:type="dxa"/>
            <w:gridSpan w:val="2"/>
            <w:vAlign w:val="bottom"/>
          </w:tcPr>
          <w:p w14:paraId="679203A3" w14:textId="77777777" w:rsidR="00E222DB" w:rsidRPr="005E6FB5" w:rsidRDefault="00E222DB" w:rsidP="009E1937">
            <w:pPr>
              <w:jc w:val="center"/>
              <w:rPr>
                <w:sz w:val="18"/>
                <w:szCs w:val="18"/>
              </w:rPr>
            </w:pPr>
            <w:r>
              <w:rPr>
                <w:sz w:val="18"/>
                <w:szCs w:val="18"/>
              </w:rPr>
              <w:t>Tn. d</w:t>
            </w:r>
            <w:r w:rsidRPr="00F21352">
              <w:rPr>
                <w:sz w:val="18"/>
                <w:szCs w:val="18"/>
                <w:lang w:val="id-ID"/>
              </w:rPr>
              <w:t>r. Antonius Indrajana Soediono</w:t>
            </w:r>
            <w:r>
              <w:rPr>
                <w:sz w:val="18"/>
                <w:szCs w:val="18"/>
                <w:lang w:val="id-ID"/>
              </w:rPr>
              <w:t>.</w:t>
            </w:r>
            <w:r w:rsidRPr="00F21352">
              <w:rPr>
                <w:sz w:val="18"/>
                <w:szCs w:val="18"/>
                <w:lang w:val="id-ID"/>
              </w:rPr>
              <w:t xml:space="preserve"> S</w:t>
            </w:r>
            <w:r>
              <w:rPr>
                <w:sz w:val="18"/>
                <w:szCs w:val="18"/>
              </w:rPr>
              <w:t>p</w:t>
            </w:r>
            <w:r w:rsidRPr="00F21352">
              <w:rPr>
                <w:sz w:val="18"/>
                <w:szCs w:val="18"/>
                <w:lang w:val="id-ID"/>
              </w:rPr>
              <w:t>.S</w:t>
            </w:r>
            <w:r>
              <w:rPr>
                <w:sz w:val="18"/>
                <w:szCs w:val="18"/>
              </w:rPr>
              <w:t>.</w:t>
            </w:r>
          </w:p>
        </w:tc>
        <w:tc>
          <w:tcPr>
            <w:tcW w:w="20" w:type="dxa"/>
            <w:gridSpan w:val="2"/>
          </w:tcPr>
          <w:p w14:paraId="67A27A73" w14:textId="77777777" w:rsidR="00E222DB" w:rsidRPr="005E6FB5" w:rsidRDefault="00E222DB" w:rsidP="009E1937">
            <w:pPr>
              <w:jc w:val="center"/>
              <w:rPr>
                <w:bCs w:val="0"/>
                <w:i/>
                <w:sz w:val="18"/>
                <w:szCs w:val="18"/>
              </w:rPr>
            </w:pPr>
          </w:p>
        </w:tc>
        <w:tc>
          <w:tcPr>
            <w:tcW w:w="2922" w:type="dxa"/>
            <w:gridSpan w:val="2"/>
          </w:tcPr>
          <w:p w14:paraId="5F407FBE" w14:textId="77777777" w:rsidR="00E222DB" w:rsidRPr="005E6FB5" w:rsidRDefault="00E222DB" w:rsidP="009E1937">
            <w:pPr>
              <w:ind w:left="-136" w:right="57"/>
              <w:jc w:val="right"/>
              <w:rPr>
                <w:i/>
                <w:sz w:val="18"/>
                <w:szCs w:val="18"/>
              </w:rPr>
            </w:pPr>
          </w:p>
        </w:tc>
      </w:tr>
      <w:tr w:rsidR="00E222DB" w:rsidRPr="005E6FB5" w14:paraId="45FF450B" w14:textId="77777777" w:rsidTr="00554E9D">
        <w:tc>
          <w:tcPr>
            <w:tcW w:w="2928" w:type="dxa"/>
          </w:tcPr>
          <w:p w14:paraId="6778C56C" w14:textId="77777777" w:rsidR="00E222DB" w:rsidRPr="005E6FB5" w:rsidRDefault="00E222DB" w:rsidP="009E1937">
            <w:pPr>
              <w:ind w:left="702"/>
              <w:jc w:val="both"/>
              <w:rPr>
                <w:rStyle w:val="hps"/>
                <w:sz w:val="18"/>
                <w:szCs w:val="18"/>
              </w:rPr>
            </w:pPr>
          </w:p>
        </w:tc>
        <w:tc>
          <w:tcPr>
            <w:tcW w:w="20" w:type="dxa"/>
          </w:tcPr>
          <w:p w14:paraId="1F3ABB58" w14:textId="77777777" w:rsidR="00E222DB" w:rsidRPr="005E6FB5" w:rsidRDefault="00E222DB" w:rsidP="009E1937">
            <w:pPr>
              <w:jc w:val="center"/>
              <w:rPr>
                <w:sz w:val="6"/>
                <w:szCs w:val="18"/>
              </w:rPr>
            </w:pPr>
          </w:p>
        </w:tc>
        <w:tc>
          <w:tcPr>
            <w:tcW w:w="3314" w:type="dxa"/>
            <w:gridSpan w:val="3"/>
            <w:vAlign w:val="bottom"/>
          </w:tcPr>
          <w:p w14:paraId="2B31E328" w14:textId="77777777" w:rsidR="00E222DB" w:rsidRPr="005E6FB5" w:rsidRDefault="00E222DB" w:rsidP="009E1937">
            <w:pPr>
              <w:jc w:val="center"/>
              <w:rPr>
                <w:sz w:val="6"/>
                <w:szCs w:val="18"/>
              </w:rPr>
            </w:pPr>
          </w:p>
        </w:tc>
        <w:tc>
          <w:tcPr>
            <w:tcW w:w="20" w:type="dxa"/>
            <w:gridSpan w:val="2"/>
          </w:tcPr>
          <w:p w14:paraId="33E4343F" w14:textId="77777777" w:rsidR="00E222DB" w:rsidRPr="005E6FB5" w:rsidRDefault="00E222DB" w:rsidP="009E1937">
            <w:pPr>
              <w:jc w:val="center"/>
              <w:rPr>
                <w:bCs w:val="0"/>
                <w:i/>
                <w:sz w:val="6"/>
                <w:szCs w:val="18"/>
              </w:rPr>
            </w:pPr>
          </w:p>
        </w:tc>
        <w:tc>
          <w:tcPr>
            <w:tcW w:w="2932" w:type="dxa"/>
            <w:gridSpan w:val="2"/>
          </w:tcPr>
          <w:p w14:paraId="54B53000" w14:textId="77777777" w:rsidR="00E222DB" w:rsidRPr="005E6FB5" w:rsidRDefault="00E222DB" w:rsidP="009E1937">
            <w:pPr>
              <w:ind w:left="426"/>
              <w:jc w:val="both"/>
              <w:rPr>
                <w:bCs w:val="0"/>
                <w:i/>
                <w:sz w:val="6"/>
                <w:szCs w:val="18"/>
              </w:rPr>
            </w:pPr>
          </w:p>
        </w:tc>
      </w:tr>
      <w:tr w:rsidR="00E222DB" w:rsidRPr="005E6FB5" w14:paraId="4AD59E73" w14:textId="77777777" w:rsidTr="00554E9D">
        <w:tc>
          <w:tcPr>
            <w:tcW w:w="2928" w:type="dxa"/>
          </w:tcPr>
          <w:p w14:paraId="6D08970D" w14:textId="77777777" w:rsidR="00E222DB" w:rsidRPr="005E6FB5" w:rsidRDefault="00E222DB" w:rsidP="009E1937">
            <w:pPr>
              <w:ind w:left="702"/>
              <w:jc w:val="both"/>
              <w:rPr>
                <w:rStyle w:val="hps"/>
                <w:b/>
                <w:bCs w:val="0"/>
                <w:sz w:val="18"/>
                <w:szCs w:val="18"/>
                <w:u w:val="single"/>
              </w:rPr>
            </w:pPr>
            <w:r w:rsidRPr="005E6FB5">
              <w:rPr>
                <w:rStyle w:val="hps"/>
                <w:b/>
                <w:bCs w:val="0"/>
                <w:sz w:val="18"/>
                <w:szCs w:val="18"/>
                <w:u w:val="single"/>
              </w:rPr>
              <w:t>Dewan Direksi</w:t>
            </w:r>
          </w:p>
        </w:tc>
        <w:tc>
          <w:tcPr>
            <w:tcW w:w="20" w:type="dxa"/>
          </w:tcPr>
          <w:p w14:paraId="7D97C8AD" w14:textId="77777777" w:rsidR="00E222DB" w:rsidRPr="005E6FB5" w:rsidRDefault="00E222DB" w:rsidP="009E1937">
            <w:pPr>
              <w:jc w:val="center"/>
              <w:rPr>
                <w:b/>
                <w:bCs w:val="0"/>
                <w:sz w:val="18"/>
                <w:szCs w:val="18"/>
              </w:rPr>
            </w:pPr>
          </w:p>
        </w:tc>
        <w:tc>
          <w:tcPr>
            <w:tcW w:w="3314" w:type="dxa"/>
            <w:gridSpan w:val="3"/>
            <w:vAlign w:val="bottom"/>
          </w:tcPr>
          <w:p w14:paraId="42FA97E6" w14:textId="77777777" w:rsidR="00E222DB" w:rsidRPr="005E6FB5" w:rsidRDefault="00E222DB" w:rsidP="009E1937">
            <w:pPr>
              <w:jc w:val="center"/>
              <w:rPr>
                <w:b/>
                <w:bCs w:val="0"/>
                <w:sz w:val="18"/>
                <w:szCs w:val="18"/>
              </w:rPr>
            </w:pPr>
          </w:p>
        </w:tc>
        <w:tc>
          <w:tcPr>
            <w:tcW w:w="20" w:type="dxa"/>
            <w:gridSpan w:val="2"/>
          </w:tcPr>
          <w:p w14:paraId="22A2208F" w14:textId="77777777" w:rsidR="00E222DB" w:rsidRPr="005E6FB5" w:rsidRDefault="00E222DB" w:rsidP="009E1937">
            <w:pPr>
              <w:jc w:val="center"/>
              <w:rPr>
                <w:b/>
                <w:bCs w:val="0"/>
                <w:i/>
                <w:sz w:val="18"/>
                <w:szCs w:val="18"/>
              </w:rPr>
            </w:pPr>
          </w:p>
        </w:tc>
        <w:tc>
          <w:tcPr>
            <w:tcW w:w="2932" w:type="dxa"/>
            <w:gridSpan w:val="2"/>
          </w:tcPr>
          <w:p w14:paraId="40C7C4CC" w14:textId="77777777" w:rsidR="00E222DB" w:rsidRPr="005E6FB5" w:rsidRDefault="00E222DB" w:rsidP="009E1937">
            <w:pPr>
              <w:ind w:left="426" w:right="57"/>
              <w:jc w:val="right"/>
              <w:rPr>
                <w:b/>
                <w:bCs w:val="0"/>
                <w:i/>
                <w:sz w:val="18"/>
                <w:szCs w:val="18"/>
                <w:u w:val="single"/>
              </w:rPr>
            </w:pPr>
            <w:r w:rsidRPr="005E6FB5">
              <w:rPr>
                <w:b/>
                <w:bCs w:val="0"/>
                <w:i/>
                <w:sz w:val="18"/>
                <w:szCs w:val="18"/>
                <w:u w:val="single"/>
              </w:rPr>
              <w:t>Board of Directors</w:t>
            </w:r>
          </w:p>
        </w:tc>
      </w:tr>
      <w:tr w:rsidR="00E222DB" w:rsidRPr="005E6FB5" w14:paraId="61147EE4" w14:textId="77777777" w:rsidTr="00554E9D">
        <w:tc>
          <w:tcPr>
            <w:tcW w:w="2928" w:type="dxa"/>
          </w:tcPr>
          <w:p w14:paraId="002C818A" w14:textId="77777777" w:rsidR="00E222DB" w:rsidRPr="005E6FB5" w:rsidRDefault="00E222DB" w:rsidP="009E1937">
            <w:pPr>
              <w:ind w:left="702"/>
              <w:jc w:val="both"/>
              <w:rPr>
                <w:rStyle w:val="hps"/>
                <w:sz w:val="18"/>
                <w:szCs w:val="18"/>
              </w:rPr>
            </w:pPr>
            <w:r w:rsidRPr="005E6FB5">
              <w:rPr>
                <w:rStyle w:val="hps"/>
                <w:sz w:val="18"/>
                <w:szCs w:val="18"/>
              </w:rPr>
              <w:t>Direktur Utama</w:t>
            </w:r>
          </w:p>
        </w:tc>
        <w:tc>
          <w:tcPr>
            <w:tcW w:w="20" w:type="dxa"/>
          </w:tcPr>
          <w:p w14:paraId="467243DA" w14:textId="77777777" w:rsidR="00E222DB" w:rsidRPr="005E6FB5" w:rsidRDefault="00E222DB" w:rsidP="009E1937">
            <w:pPr>
              <w:jc w:val="center"/>
              <w:rPr>
                <w:sz w:val="18"/>
                <w:szCs w:val="18"/>
              </w:rPr>
            </w:pPr>
          </w:p>
        </w:tc>
        <w:tc>
          <w:tcPr>
            <w:tcW w:w="3314" w:type="dxa"/>
            <w:gridSpan w:val="3"/>
            <w:vAlign w:val="bottom"/>
          </w:tcPr>
          <w:p w14:paraId="28A1EF4B" w14:textId="77777777" w:rsidR="00E222DB" w:rsidRPr="005E6FB5" w:rsidRDefault="00E222DB" w:rsidP="009E1937">
            <w:pPr>
              <w:jc w:val="center"/>
              <w:rPr>
                <w:sz w:val="18"/>
                <w:szCs w:val="18"/>
              </w:rPr>
            </w:pPr>
            <w:r>
              <w:rPr>
                <w:sz w:val="18"/>
                <w:szCs w:val="18"/>
              </w:rPr>
              <w:t xml:space="preserve">Ny. </w:t>
            </w:r>
            <w:r w:rsidRPr="005E6FB5">
              <w:rPr>
                <w:sz w:val="18"/>
                <w:szCs w:val="18"/>
              </w:rPr>
              <w:t>Grace Dewi Riady</w:t>
            </w:r>
          </w:p>
        </w:tc>
        <w:tc>
          <w:tcPr>
            <w:tcW w:w="20" w:type="dxa"/>
            <w:gridSpan w:val="2"/>
          </w:tcPr>
          <w:p w14:paraId="6765E417" w14:textId="77777777" w:rsidR="00E222DB" w:rsidRPr="005E6FB5" w:rsidRDefault="00E222DB" w:rsidP="009E1937">
            <w:pPr>
              <w:jc w:val="center"/>
              <w:rPr>
                <w:bCs w:val="0"/>
                <w:i/>
                <w:sz w:val="18"/>
                <w:szCs w:val="18"/>
              </w:rPr>
            </w:pPr>
          </w:p>
        </w:tc>
        <w:tc>
          <w:tcPr>
            <w:tcW w:w="2932" w:type="dxa"/>
            <w:gridSpan w:val="2"/>
          </w:tcPr>
          <w:p w14:paraId="4AEC2A02" w14:textId="77777777" w:rsidR="00E222DB" w:rsidRPr="005E6FB5" w:rsidRDefault="00E222DB" w:rsidP="009E1937">
            <w:pPr>
              <w:ind w:right="57"/>
              <w:jc w:val="right"/>
              <w:rPr>
                <w:bCs w:val="0"/>
                <w:i/>
                <w:sz w:val="18"/>
                <w:szCs w:val="18"/>
              </w:rPr>
            </w:pPr>
            <w:r w:rsidRPr="005E6FB5">
              <w:rPr>
                <w:i/>
                <w:sz w:val="18"/>
                <w:szCs w:val="18"/>
              </w:rPr>
              <w:t>President Director</w:t>
            </w:r>
          </w:p>
        </w:tc>
      </w:tr>
      <w:tr w:rsidR="00E222DB" w:rsidRPr="005E6FB5" w14:paraId="61469C4E" w14:textId="77777777" w:rsidTr="00554E9D">
        <w:tc>
          <w:tcPr>
            <w:tcW w:w="2928" w:type="dxa"/>
          </w:tcPr>
          <w:p w14:paraId="6A54EDCE" w14:textId="77777777" w:rsidR="00E222DB" w:rsidRPr="005E6FB5" w:rsidRDefault="00E222DB" w:rsidP="009E1937">
            <w:pPr>
              <w:ind w:left="702"/>
              <w:jc w:val="both"/>
              <w:rPr>
                <w:rStyle w:val="hps"/>
                <w:sz w:val="18"/>
                <w:szCs w:val="18"/>
              </w:rPr>
            </w:pPr>
            <w:r w:rsidRPr="005E6FB5">
              <w:rPr>
                <w:rStyle w:val="hps"/>
                <w:sz w:val="18"/>
                <w:szCs w:val="18"/>
              </w:rPr>
              <w:t>Direktur</w:t>
            </w:r>
          </w:p>
        </w:tc>
        <w:tc>
          <w:tcPr>
            <w:tcW w:w="20" w:type="dxa"/>
          </w:tcPr>
          <w:p w14:paraId="5733F723" w14:textId="77777777" w:rsidR="00E222DB" w:rsidRPr="005E6FB5" w:rsidRDefault="00E222DB" w:rsidP="009E1937">
            <w:pPr>
              <w:jc w:val="center"/>
              <w:rPr>
                <w:sz w:val="18"/>
                <w:szCs w:val="18"/>
              </w:rPr>
            </w:pPr>
          </w:p>
        </w:tc>
        <w:tc>
          <w:tcPr>
            <w:tcW w:w="3314" w:type="dxa"/>
            <w:gridSpan w:val="3"/>
            <w:vAlign w:val="bottom"/>
          </w:tcPr>
          <w:p w14:paraId="7F9CEADA" w14:textId="77777777" w:rsidR="00E222DB" w:rsidRPr="005E6FB5" w:rsidRDefault="00E222DB" w:rsidP="009E1937">
            <w:pPr>
              <w:jc w:val="center"/>
              <w:rPr>
                <w:sz w:val="18"/>
                <w:szCs w:val="18"/>
              </w:rPr>
            </w:pPr>
            <w:r>
              <w:rPr>
                <w:sz w:val="18"/>
                <w:szCs w:val="18"/>
              </w:rPr>
              <w:t xml:space="preserve">Tn. </w:t>
            </w:r>
            <w:r w:rsidRPr="005E6FB5">
              <w:rPr>
                <w:sz w:val="18"/>
                <w:szCs w:val="18"/>
              </w:rPr>
              <w:t>Arif Mualim</w:t>
            </w:r>
          </w:p>
        </w:tc>
        <w:tc>
          <w:tcPr>
            <w:tcW w:w="20" w:type="dxa"/>
            <w:gridSpan w:val="2"/>
          </w:tcPr>
          <w:p w14:paraId="41EAB80A" w14:textId="77777777" w:rsidR="00E222DB" w:rsidRPr="005E6FB5" w:rsidRDefault="00E222DB" w:rsidP="009E1937">
            <w:pPr>
              <w:jc w:val="center"/>
              <w:rPr>
                <w:bCs w:val="0"/>
                <w:i/>
                <w:sz w:val="18"/>
                <w:szCs w:val="18"/>
              </w:rPr>
            </w:pPr>
          </w:p>
        </w:tc>
        <w:tc>
          <w:tcPr>
            <w:tcW w:w="2932" w:type="dxa"/>
            <w:gridSpan w:val="2"/>
          </w:tcPr>
          <w:p w14:paraId="64A3216F" w14:textId="77777777" w:rsidR="00E222DB" w:rsidRPr="005E6FB5" w:rsidRDefault="00E222DB" w:rsidP="009E1937">
            <w:pPr>
              <w:ind w:right="57"/>
              <w:jc w:val="right"/>
              <w:rPr>
                <w:bCs w:val="0"/>
                <w:i/>
                <w:sz w:val="18"/>
                <w:szCs w:val="18"/>
              </w:rPr>
            </w:pPr>
            <w:r w:rsidRPr="005E6FB5">
              <w:rPr>
                <w:i/>
                <w:sz w:val="18"/>
                <w:szCs w:val="18"/>
              </w:rPr>
              <w:t>Director</w:t>
            </w:r>
            <w:r>
              <w:rPr>
                <w:i/>
                <w:sz w:val="18"/>
                <w:szCs w:val="18"/>
              </w:rPr>
              <w:t>s</w:t>
            </w:r>
          </w:p>
        </w:tc>
      </w:tr>
      <w:tr w:rsidR="00E222DB" w:rsidRPr="005E6FB5" w14:paraId="4ADC1015" w14:textId="77777777" w:rsidTr="00554E9D">
        <w:tc>
          <w:tcPr>
            <w:tcW w:w="2928" w:type="dxa"/>
          </w:tcPr>
          <w:p w14:paraId="6CE73546" w14:textId="77777777" w:rsidR="00E222DB" w:rsidRPr="005E6FB5" w:rsidRDefault="00E222DB" w:rsidP="009E1937">
            <w:pPr>
              <w:ind w:left="702"/>
              <w:jc w:val="both"/>
              <w:rPr>
                <w:rStyle w:val="hps"/>
                <w:sz w:val="18"/>
                <w:szCs w:val="18"/>
              </w:rPr>
            </w:pPr>
          </w:p>
        </w:tc>
        <w:tc>
          <w:tcPr>
            <w:tcW w:w="20" w:type="dxa"/>
          </w:tcPr>
          <w:p w14:paraId="7CF3AF91" w14:textId="77777777" w:rsidR="00E222DB" w:rsidRPr="005E6FB5" w:rsidRDefault="00E222DB" w:rsidP="009E1937">
            <w:pPr>
              <w:jc w:val="center"/>
              <w:rPr>
                <w:sz w:val="18"/>
                <w:szCs w:val="18"/>
              </w:rPr>
            </w:pPr>
          </w:p>
        </w:tc>
        <w:tc>
          <w:tcPr>
            <w:tcW w:w="3314" w:type="dxa"/>
            <w:gridSpan w:val="3"/>
            <w:vAlign w:val="bottom"/>
          </w:tcPr>
          <w:p w14:paraId="2BA358AB" w14:textId="77777777" w:rsidR="00E222DB" w:rsidRPr="005E6FB5" w:rsidRDefault="00E222DB" w:rsidP="009E1937">
            <w:pPr>
              <w:jc w:val="center"/>
              <w:rPr>
                <w:sz w:val="18"/>
                <w:szCs w:val="18"/>
              </w:rPr>
            </w:pPr>
            <w:r>
              <w:rPr>
                <w:sz w:val="18"/>
                <w:szCs w:val="18"/>
              </w:rPr>
              <w:t>Ny. Victoria Tahir</w:t>
            </w:r>
          </w:p>
        </w:tc>
        <w:tc>
          <w:tcPr>
            <w:tcW w:w="20" w:type="dxa"/>
            <w:gridSpan w:val="2"/>
          </w:tcPr>
          <w:p w14:paraId="348D6FDD" w14:textId="77777777" w:rsidR="00E222DB" w:rsidRPr="005E6FB5" w:rsidRDefault="00E222DB" w:rsidP="009E1937">
            <w:pPr>
              <w:jc w:val="center"/>
              <w:rPr>
                <w:bCs w:val="0"/>
                <w:i/>
                <w:sz w:val="18"/>
                <w:szCs w:val="18"/>
              </w:rPr>
            </w:pPr>
          </w:p>
        </w:tc>
        <w:tc>
          <w:tcPr>
            <w:tcW w:w="2932" w:type="dxa"/>
            <w:gridSpan w:val="2"/>
          </w:tcPr>
          <w:p w14:paraId="31093FA9" w14:textId="77777777" w:rsidR="00E222DB" w:rsidRPr="005E6FB5" w:rsidRDefault="00E222DB" w:rsidP="009E1937">
            <w:pPr>
              <w:ind w:right="57"/>
              <w:jc w:val="right"/>
              <w:rPr>
                <w:i/>
                <w:sz w:val="18"/>
                <w:szCs w:val="18"/>
              </w:rPr>
            </w:pPr>
          </w:p>
        </w:tc>
      </w:tr>
      <w:tr w:rsidR="00E222DB" w:rsidRPr="00A937E7" w14:paraId="1687FA37" w14:textId="77777777" w:rsidTr="00554E9D">
        <w:trPr>
          <w:trHeight w:val="80"/>
        </w:trPr>
        <w:tc>
          <w:tcPr>
            <w:tcW w:w="2928" w:type="dxa"/>
          </w:tcPr>
          <w:p w14:paraId="7761DFB9" w14:textId="77777777" w:rsidR="00E222DB" w:rsidRPr="005E6FB5" w:rsidRDefault="00E222DB" w:rsidP="009E1937">
            <w:pPr>
              <w:ind w:left="702"/>
              <w:jc w:val="both"/>
              <w:rPr>
                <w:rStyle w:val="hps"/>
                <w:sz w:val="18"/>
                <w:szCs w:val="18"/>
              </w:rPr>
            </w:pPr>
            <w:r w:rsidRPr="005E6FB5">
              <w:rPr>
                <w:rStyle w:val="hps"/>
                <w:sz w:val="18"/>
                <w:szCs w:val="18"/>
              </w:rPr>
              <w:t xml:space="preserve">Direktur Independen </w:t>
            </w:r>
          </w:p>
        </w:tc>
        <w:tc>
          <w:tcPr>
            <w:tcW w:w="20" w:type="dxa"/>
          </w:tcPr>
          <w:p w14:paraId="00D0C435" w14:textId="77777777" w:rsidR="00E222DB" w:rsidRPr="005E6FB5" w:rsidRDefault="00E222DB" w:rsidP="009E1937">
            <w:pPr>
              <w:jc w:val="center"/>
              <w:rPr>
                <w:sz w:val="18"/>
                <w:szCs w:val="18"/>
              </w:rPr>
            </w:pPr>
          </w:p>
        </w:tc>
        <w:tc>
          <w:tcPr>
            <w:tcW w:w="3314" w:type="dxa"/>
            <w:gridSpan w:val="3"/>
            <w:vAlign w:val="bottom"/>
          </w:tcPr>
          <w:p w14:paraId="6403CC71" w14:textId="77777777" w:rsidR="00E222DB" w:rsidRPr="005E6FB5" w:rsidRDefault="00E222DB" w:rsidP="009E1937">
            <w:pPr>
              <w:jc w:val="center"/>
              <w:rPr>
                <w:sz w:val="18"/>
                <w:szCs w:val="18"/>
              </w:rPr>
            </w:pPr>
            <w:r>
              <w:rPr>
                <w:sz w:val="18"/>
                <w:szCs w:val="18"/>
              </w:rPr>
              <w:t xml:space="preserve">Tn. </w:t>
            </w:r>
            <w:r w:rsidRPr="005E6FB5">
              <w:rPr>
                <w:sz w:val="18"/>
                <w:szCs w:val="18"/>
              </w:rPr>
              <w:t>Charlie Salim</w:t>
            </w:r>
          </w:p>
        </w:tc>
        <w:tc>
          <w:tcPr>
            <w:tcW w:w="20" w:type="dxa"/>
            <w:gridSpan w:val="2"/>
          </w:tcPr>
          <w:p w14:paraId="00C6E4D2" w14:textId="77777777" w:rsidR="00E222DB" w:rsidRPr="005E6FB5" w:rsidRDefault="00E222DB" w:rsidP="009E1937">
            <w:pPr>
              <w:jc w:val="center"/>
              <w:rPr>
                <w:bCs w:val="0"/>
                <w:i/>
                <w:sz w:val="18"/>
                <w:szCs w:val="18"/>
              </w:rPr>
            </w:pPr>
          </w:p>
        </w:tc>
        <w:tc>
          <w:tcPr>
            <w:tcW w:w="2932" w:type="dxa"/>
            <w:gridSpan w:val="2"/>
          </w:tcPr>
          <w:p w14:paraId="6944FC17" w14:textId="77777777" w:rsidR="00E222DB" w:rsidRPr="005E6FB5" w:rsidRDefault="00E222DB" w:rsidP="009E1937">
            <w:pPr>
              <w:ind w:right="57"/>
              <w:jc w:val="right"/>
              <w:rPr>
                <w:bCs w:val="0"/>
                <w:i/>
                <w:sz w:val="18"/>
                <w:szCs w:val="18"/>
              </w:rPr>
            </w:pPr>
            <w:r w:rsidRPr="005E6FB5">
              <w:rPr>
                <w:i/>
                <w:sz w:val="18"/>
                <w:szCs w:val="18"/>
              </w:rPr>
              <w:t>Independent Director</w:t>
            </w:r>
          </w:p>
        </w:tc>
      </w:tr>
      <w:tr w:rsidR="00E222DB" w:rsidRPr="00E222DB" w14:paraId="2FBEFD54" w14:textId="77777777" w:rsidTr="00554E9D">
        <w:tblPrEx>
          <w:tblCellMar>
            <w:left w:w="108" w:type="dxa"/>
            <w:right w:w="108" w:type="dxa"/>
          </w:tblCellMar>
        </w:tblPrEx>
        <w:trPr>
          <w:gridAfter w:val="1"/>
          <w:wAfter w:w="22" w:type="dxa"/>
        </w:trPr>
        <w:tc>
          <w:tcPr>
            <w:tcW w:w="4599" w:type="dxa"/>
            <w:gridSpan w:val="3"/>
          </w:tcPr>
          <w:p w14:paraId="5708B692" w14:textId="77777777" w:rsidR="00E222DB" w:rsidRPr="00E222DB" w:rsidRDefault="00E222DB" w:rsidP="00070D1F">
            <w:pPr>
              <w:pStyle w:val="ListParagraph"/>
              <w:numPr>
                <w:ilvl w:val="0"/>
                <w:numId w:val="280"/>
              </w:numPr>
              <w:ind w:left="317" w:hanging="317"/>
              <w:contextualSpacing/>
              <w:jc w:val="both"/>
              <w:rPr>
                <w:rStyle w:val="hps"/>
                <w:b/>
                <w:sz w:val="18"/>
                <w:szCs w:val="18"/>
              </w:rPr>
            </w:pPr>
            <w:r w:rsidRPr="00E222DB">
              <w:rPr>
                <w:rStyle w:val="hps"/>
                <w:b/>
                <w:sz w:val="18"/>
                <w:szCs w:val="18"/>
              </w:rPr>
              <w:lastRenderedPageBreak/>
              <w:t>UMUM - Lanjutan</w:t>
            </w:r>
          </w:p>
        </w:tc>
        <w:tc>
          <w:tcPr>
            <w:tcW w:w="4598" w:type="dxa"/>
            <w:gridSpan w:val="5"/>
          </w:tcPr>
          <w:p w14:paraId="0450EDC9" w14:textId="77777777" w:rsidR="00E222DB" w:rsidRPr="00E222DB" w:rsidRDefault="00E222DB" w:rsidP="00070D1F">
            <w:pPr>
              <w:pStyle w:val="ListParagraph"/>
              <w:numPr>
                <w:ilvl w:val="0"/>
                <w:numId w:val="281"/>
              </w:numPr>
              <w:ind w:left="318" w:hanging="318"/>
              <w:contextualSpacing/>
              <w:jc w:val="both"/>
              <w:rPr>
                <w:b/>
                <w:i/>
                <w:sz w:val="18"/>
                <w:szCs w:val="18"/>
              </w:rPr>
            </w:pPr>
            <w:r w:rsidRPr="00E222DB">
              <w:rPr>
                <w:b/>
                <w:i/>
                <w:sz w:val="18"/>
                <w:szCs w:val="18"/>
              </w:rPr>
              <w:t>GENERAL - Continued</w:t>
            </w:r>
          </w:p>
        </w:tc>
      </w:tr>
      <w:tr w:rsidR="00E222DB" w:rsidRPr="00E222DB" w14:paraId="6BDFECAF" w14:textId="77777777" w:rsidTr="00554E9D">
        <w:tblPrEx>
          <w:tblCellMar>
            <w:left w:w="108" w:type="dxa"/>
            <w:right w:w="108" w:type="dxa"/>
          </w:tblCellMar>
        </w:tblPrEx>
        <w:trPr>
          <w:gridAfter w:val="1"/>
          <w:wAfter w:w="22" w:type="dxa"/>
        </w:trPr>
        <w:tc>
          <w:tcPr>
            <w:tcW w:w="4599" w:type="dxa"/>
            <w:gridSpan w:val="3"/>
          </w:tcPr>
          <w:p w14:paraId="2F53A2AA" w14:textId="77777777" w:rsidR="00E222DB" w:rsidRPr="00E222DB" w:rsidRDefault="00E222DB" w:rsidP="00E222DB">
            <w:pPr>
              <w:pStyle w:val="ListParagraph"/>
              <w:ind w:left="317"/>
              <w:contextualSpacing/>
              <w:jc w:val="both"/>
              <w:rPr>
                <w:rStyle w:val="hps"/>
                <w:b/>
                <w:sz w:val="18"/>
                <w:szCs w:val="18"/>
              </w:rPr>
            </w:pPr>
          </w:p>
        </w:tc>
        <w:tc>
          <w:tcPr>
            <w:tcW w:w="4598" w:type="dxa"/>
            <w:gridSpan w:val="5"/>
          </w:tcPr>
          <w:p w14:paraId="369421C2" w14:textId="77777777" w:rsidR="00E222DB" w:rsidRPr="00E222DB" w:rsidRDefault="00E222DB" w:rsidP="00E222DB">
            <w:pPr>
              <w:pStyle w:val="ListParagraph"/>
              <w:ind w:left="318"/>
              <w:contextualSpacing/>
              <w:jc w:val="both"/>
              <w:rPr>
                <w:b/>
                <w:i/>
                <w:sz w:val="18"/>
                <w:szCs w:val="18"/>
              </w:rPr>
            </w:pPr>
          </w:p>
        </w:tc>
      </w:tr>
      <w:tr w:rsidR="00E222DB" w:rsidRPr="00F21352" w14:paraId="314EA09A" w14:textId="77777777" w:rsidTr="00554E9D">
        <w:tblPrEx>
          <w:tblCellMar>
            <w:left w:w="108" w:type="dxa"/>
            <w:right w:w="108" w:type="dxa"/>
          </w:tblCellMar>
        </w:tblPrEx>
        <w:trPr>
          <w:gridAfter w:val="1"/>
          <w:wAfter w:w="22" w:type="dxa"/>
        </w:trPr>
        <w:tc>
          <w:tcPr>
            <w:tcW w:w="4599" w:type="dxa"/>
            <w:gridSpan w:val="3"/>
          </w:tcPr>
          <w:p w14:paraId="50D54C09" w14:textId="54A50DEB" w:rsidR="00E222DB" w:rsidRPr="00E222DB" w:rsidRDefault="00E222DB" w:rsidP="00E222DB">
            <w:pPr>
              <w:ind w:left="360" w:right="-57"/>
              <w:contextualSpacing/>
              <w:jc w:val="both"/>
              <w:rPr>
                <w:rStyle w:val="hps"/>
                <w:sz w:val="18"/>
                <w:szCs w:val="18"/>
              </w:rPr>
            </w:pPr>
            <w:r>
              <w:rPr>
                <w:rStyle w:val="hps"/>
                <w:b/>
                <w:sz w:val="18"/>
                <w:szCs w:val="18"/>
              </w:rPr>
              <w:t xml:space="preserve">d.  </w:t>
            </w:r>
            <w:r w:rsidRPr="00E222DB">
              <w:rPr>
                <w:rStyle w:val="hps"/>
                <w:b/>
                <w:sz w:val="18"/>
                <w:szCs w:val="18"/>
                <w:lang w:val="id-ID"/>
              </w:rPr>
              <w:t>Susunan Pengurus dan Informasi Lain</w:t>
            </w:r>
            <w:r>
              <w:rPr>
                <w:rStyle w:val="hps"/>
                <w:b/>
                <w:sz w:val="18"/>
                <w:szCs w:val="18"/>
              </w:rPr>
              <w:t xml:space="preserve"> - Lanjutan</w:t>
            </w:r>
          </w:p>
        </w:tc>
        <w:tc>
          <w:tcPr>
            <w:tcW w:w="4598" w:type="dxa"/>
            <w:gridSpan w:val="5"/>
          </w:tcPr>
          <w:p w14:paraId="21D2DC00" w14:textId="7BDF0A45" w:rsidR="00E222DB" w:rsidRPr="00E222DB" w:rsidRDefault="00E222DB" w:rsidP="00E222DB">
            <w:pPr>
              <w:pStyle w:val="ListParagraph"/>
              <w:ind w:left="567" w:right="-57" w:hanging="283"/>
              <w:contextualSpacing/>
              <w:jc w:val="both"/>
              <w:rPr>
                <w:i/>
                <w:sz w:val="18"/>
                <w:szCs w:val="18"/>
              </w:rPr>
            </w:pPr>
            <w:r>
              <w:rPr>
                <w:b/>
                <w:i/>
                <w:sz w:val="18"/>
                <w:szCs w:val="18"/>
              </w:rPr>
              <w:t xml:space="preserve">d.   </w:t>
            </w:r>
            <w:r w:rsidRPr="00F21352">
              <w:rPr>
                <w:b/>
                <w:i/>
                <w:sz w:val="18"/>
                <w:szCs w:val="18"/>
                <w:lang w:val="id-ID"/>
              </w:rPr>
              <w:t>Management and Other Information</w:t>
            </w:r>
            <w:r>
              <w:rPr>
                <w:b/>
                <w:i/>
                <w:sz w:val="18"/>
                <w:szCs w:val="18"/>
              </w:rPr>
              <w:t xml:space="preserve"> - Continued</w:t>
            </w:r>
          </w:p>
        </w:tc>
      </w:tr>
      <w:tr w:rsidR="00E222DB" w:rsidRPr="00373B4C" w14:paraId="5AE093DA" w14:textId="77777777" w:rsidTr="00554E9D">
        <w:tblPrEx>
          <w:tblCellMar>
            <w:left w:w="108" w:type="dxa"/>
            <w:right w:w="108" w:type="dxa"/>
          </w:tblCellMar>
        </w:tblPrEx>
        <w:trPr>
          <w:gridAfter w:val="1"/>
          <w:wAfter w:w="22" w:type="dxa"/>
        </w:trPr>
        <w:tc>
          <w:tcPr>
            <w:tcW w:w="4599" w:type="dxa"/>
            <w:gridSpan w:val="3"/>
          </w:tcPr>
          <w:p w14:paraId="3F2B01DB" w14:textId="77777777" w:rsidR="00E222DB" w:rsidRDefault="00E222DB" w:rsidP="00E222DB">
            <w:pPr>
              <w:ind w:left="629" w:right="-57"/>
              <w:jc w:val="both"/>
              <w:rPr>
                <w:rStyle w:val="hps"/>
                <w:sz w:val="18"/>
                <w:szCs w:val="18"/>
              </w:rPr>
            </w:pPr>
          </w:p>
        </w:tc>
        <w:tc>
          <w:tcPr>
            <w:tcW w:w="4598" w:type="dxa"/>
            <w:gridSpan w:val="5"/>
          </w:tcPr>
          <w:p w14:paraId="6FF31103" w14:textId="77777777" w:rsidR="00E222DB" w:rsidRPr="00E222DB" w:rsidRDefault="00E222DB" w:rsidP="00E222DB">
            <w:pPr>
              <w:ind w:left="567" w:right="-57"/>
              <w:jc w:val="both"/>
              <w:rPr>
                <w:i/>
                <w:sz w:val="18"/>
                <w:szCs w:val="18"/>
              </w:rPr>
            </w:pPr>
          </w:p>
        </w:tc>
      </w:tr>
      <w:tr w:rsidR="0094472D" w:rsidRPr="00A937E7" w14:paraId="70A9D007" w14:textId="77777777" w:rsidTr="00554E9D">
        <w:tblPrEx>
          <w:tblCellMar>
            <w:left w:w="108" w:type="dxa"/>
            <w:right w:w="108" w:type="dxa"/>
          </w:tblCellMar>
        </w:tblPrEx>
        <w:trPr>
          <w:gridAfter w:val="1"/>
          <w:wAfter w:w="22" w:type="dxa"/>
        </w:trPr>
        <w:tc>
          <w:tcPr>
            <w:tcW w:w="4599" w:type="dxa"/>
            <w:gridSpan w:val="3"/>
          </w:tcPr>
          <w:p w14:paraId="337008B4" w14:textId="73C09590" w:rsidR="0094472D" w:rsidRPr="005E6FB5" w:rsidRDefault="0094472D" w:rsidP="001B2BCD">
            <w:pPr>
              <w:ind w:left="629" w:right="-57"/>
              <w:jc w:val="both"/>
              <w:rPr>
                <w:rStyle w:val="hps"/>
                <w:sz w:val="18"/>
                <w:szCs w:val="18"/>
              </w:rPr>
            </w:pPr>
            <w:r w:rsidRPr="005E6FB5">
              <w:rPr>
                <w:rStyle w:val="hps"/>
                <w:sz w:val="18"/>
                <w:szCs w:val="18"/>
              </w:rPr>
              <w:t>Berdasarkan Surat Keputusan Dewan Komisaris</w:t>
            </w:r>
            <w:r w:rsidRPr="005E6FB5">
              <w:rPr>
                <w:rStyle w:val="hps"/>
                <w:sz w:val="18"/>
                <w:szCs w:val="18"/>
                <w:lang w:val="id-ID"/>
              </w:rPr>
              <w:t xml:space="preserve"> </w:t>
            </w:r>
            <w:proofErr w:type="gramStart"/>
            <w:r w:rsidRPr="005E6FB5">
              <w:rPr>
                <w:rStyle w:val="hps"/>
                <w:sz w:val="18"/>
                <w:szCs w:val="18"/>
              </w:rPr>
              <w:t>Perusahaan  No</w:t>
            </w:r>
            <w:proofErr w:type="gramEnd"/>
            <w:r w:rsidRPr="005E6FB5">
              <w:rPr>
                <w:rStyle w:val="hps"/>
                <w:sz w:val="18"/>
                <w:szCs w:val="18"/>
              </w:rPr>
              <w:t xml:space="preserve">.  </w:t>
            </w:r>
            <w:r>
              <w:rPr>
                <w:rStyle w:val="hps"/>
                <w:sz w:val="18"/>
                <w:szCs w:val="18"/>
              </w:rPr>
              <w:t>001/SK/BOC-SRAJ/IV/2019</w:t>
            </w:r>
            <w:r w:rsidRPr="005E6FB5">
              <w:rPr>
                <w:rStyle w:val="hps"/>
                <w:sz w:val="18"/>
                <w:szCs w:val="18"/>
              </w:rPr>
              <w:t xml:space="preserve">  tanggal</w:t>
            </w:r>
            <w:r w:rsidRPr="005E6FB5">
              <w:rPr>
                <w:rStyle w:val="hps"/>
                <w:sz w:val="18"/>
                <w:szCs w:val="18"/>
                <w:lang w:val="id-ID"/>
              </w:rPr>
              <w:t xml:space="preserve"> </w:t>
            </w:r>
            <w:r>
              <w:rPr>
                <w:rStyle w:val="hps"/>
                <w:sz w:val="18"/>
                <w:szCs w:val="18"/>
              </w:rPr>
              <w:t>22 April 2019</w:t>
            </w:r>
            <w:r w:rsidR="001B2BCD">
              <w:rPr>
                <w:rStyle w:val="hps"/>
                <w:sz w:val="18"/>
                <w:szCs w:val="18"/>
              </w:rPr>
              <w:t>,</w:t>
            </w:r>
            <w:r w:rsidRPr="005E6FB5">
              <w:rPr>
                <w:rStyle w:val="hps"/>
                <w:sz w:val="18"/>
                <w:szCs w:val="18"/>
              </w:rPr>
              <w:t xml:space="preserve"> susunan Komite Audit Perusahaan   masing  - masing   pada  tanggal </w:t>
            </w:r>
            <w:r w:rsidR="00E73CC0">
              <w:rPr>
                <w:rStyle w:val="hps"/>
                <w:sz w:val="18"/>
                <w:szCs w:val="18"/>
              </w:rPr>
              <w:br/>
            </w:r>
            <w:r w:rsidR="001B2BCD">
              <w:rPr>
                <w:rStyle w:val="hps"/>
                <w:sz w:val="18"/>
                <w:szCs w:val="18"/>
              </w:rPr>
              <w:t xml:space="preserve">31 Maret 2020 dan </w:t>
            </w:r>
            <w:r w:rsidRPr="005E6FB5">
              <w:rPr>
                <w:rStyle w:val="hps"/>
                <w:sz w:val="18"/>
                <w:szCs w:val="18"/>
              </w:rPr>
              <w:t>31 Desember 2019 adalah sebagai berikut:</w:t>
            </w:r>
          </w:p>
        </w:tc>
        <w:tc>
          <w:tcPr>
            <w:tcW w:w="4598" w:type="dxa"/>
            <w:gridSpan w:val="5"/>
          </w:tcPr>
          <w:p w14:paraId="6C0AAD5E" w14:textId="591AF929" w:rsidR="0094472D" w:rsidRPr="005E6FB5" w:rsidRDefault="0094472D" w:rsidP="001B2BCD">
            <w:pPr>
              <w:ind w:left="567" w:right="-57"/>
              <w:jc w:val="both"/>
              <w:rPr>
                <w:i/>
                <w:sz w:val="18"/>
                <w:szCs w:val="18"/>
              </w:rPr>
            </w:pPr>
            <w:r w:rsidRPr="005E6FB5">
              <w:rPr>
                <w:i/>
                <w:sz w:val="18"/>
                <w:szCs w:val="18"/>
              </w:rPr>
              <w:t xml:space="preserve">Based  on  the  Commisioners  Decision  Letter </w:t>
            </w:r>
            <w:r>
              <w:rPr>
                <w:i/>
                <w:sz w:val="18"/>
                <w:szCs w:val="18"/>
              </w:rPr>
              <w:br/>
            </w:r>
            <w:r w:rsidRPr="005E6FB5">
              <w:rPr>
                <w:i/>
                <w:sz w:val="18"/>
                <w:szCs w:val="18"/>
              </w:rPr>
              <w:t>No.</w:t>
            </w:r>
            <w:r w:rsidRPr="005E6FB5">
              <w:rPr>
                <w:i/>
                <w:sz w:val="18"/>
                <w:szCs w:val="18"/>
                <w:lang w:val="id-ID"/>
              </w:rPr>
              <w:t xml:space="preserve"> </w:t>
            </w:r>
            <w:r w:rsidRPr="00B52026">
              <w:rPr>
                <w:i/>
                <w:sz w:val="18"/>
                <w:szCs w:val="18"/>
              </w:rPr>
              <w:t>001/SK/BOC-SRAJ/IV/2019</w:t>
            </w:r>
            <w:r>
              <w:rPr>
                <w:i/>
                <w:sz w:val="18"/>
                <w:szCs w:val="18"/>
              </w:rPr>
              <w:t xml:space="preserve"> </w:t>
            </w:r>
            <w:r w:rsidRPr="005E6FB5">
              <w:rPr>
                <w:i/>
                <w:sz w:val="18"/>
                <w:szCs w:val="18"/>
              </w:rPr>
              <w:t xml:space="preserve">dated </w:t>
            </w:r>
            <w:r>
              <w:rPr>
                <w:i/>
                <w:sz w:val="18"/>
                <w:szCs w:val="18"/>
              </w:rPr>
              <w:t>April</w:t>
            </w:r>
            <w:r w:rsidRPr="005E6FB5">
              <w:rPr>
                <w:i/>
                <w:sz w:val="18"/>
                <w:szCs w:val="18"/>
              </w:rPr>
              <w:t xml:space="preserve"> </w:t>
            </w:r>
            <w:r w:rsidR="00146D95">
              <w:rPr>
                <w:i/>
                <w:sz w:val="18"/>
                <w:szCs w:val="18"/>
              </w:rPr>
              <w:t>2</w:t>
            </w:r>
            <w:r>
              <w:rPr>
                <w:i/>
                <w:sz w:val="18"/>
                <w:szCs w:val="18"/>
              </w:rPr>
              <w:t>2</w:t>
            </w:r>
            <w:r w:rsidR="001B2BCD">
              <w:rPr>
                <w:i/>
                <w:sz w:val="18"/>
                <w:szCs w:val="18"/>
              </w:rPr>
              <w:t>,</w:t>
            </w:r>
            <w:r w:rsidRPr="005E6FB5">
              <w:rPr>
                <w:i/>
                <w:sz w:val="18"/>
                <w:szCs w:val="18"/>
              </w:rPr>
              <w:t xml:space="preserve"> 201</w:t>
            </w:r>
            <w:r>
              <w:rPr>
                <w:i/>
                <w:sz w:val="18"/>
                <w:szCs w:val="18"/>
              </w:rPr>
              <w:t>9</w:t>
            </w:r>
            <w:r w:rsidR="001B2BCD">
              <w:rPr>
                <w:i/>
                <w:sz w:val="18"/>
                <w:szCs w:val="18"/>
              </w:rPr>
              <w:t>,</w:t>
            </w:r>
            <w:r w:rsidRPr="005E6FB5">
              <w:rPr>
                <w:i/>
                <w:sz w:val="18"/>
                <w:szCs w:val="18"/>
              </w:rPr>
              <w:t xml:space="preserve"> the composition of the Company's  Audit</w:t>
            </w:r>
            <w:r w:rsidRPr="005E6FB5">
              <w:rPr>
                <w:i/>
                <w:sz w:val="18"/>
                <w:szCs w:val="18"/>
                <w:lang w:val="id-ID"/>
              </w:rPr>
              <w:t xml:space="preserve"> </w:t>
            </w:r>
            <w:r w:rsidRPr="005E6FB5">
              <w:rPr>
                <w:i/>
                <w:sz w:val="18"/>
                <w:szCs w:val="18"/>
              </w:rPr>
              <w:t xml:space="preserve">Committee  as  of </w:t>
            </w:r>
            <w:r w:rsidR="001B2BCD">
              <w:rPr>
                <w:i/>
                <w:sz w:val="18"/>
                <w:szCs w:val="18"/>
              </w:rPr>
              <w:t>March 31, 2020 and</w:t>
            </w:r>
            <w:r w:rsidRPr="005E6FB5">
              <w:rPr>
                <w:i/>
                <w:sz w:val="18"/>
                <w:szCs w:val="18"/>
              </w:rPr>
              <w:t xml:space="preserve"> December 31</w:t>
            </w:r>
            <w:r w:rsidR="001B2BCD">
              <w:rPr>
                <w:i/>
                <w:sz w:val="18"/>
                <w:szCs w:val="18"/>
              </w:rPr>
              <w:t>,</w:t>
            </w:r>
            <w:r w:rsidRPr="005E6FB5">
              <w:rPr>
                <w:i/>
                <w:sz w:val="18"/>
                <w:szCs w:val="18"/>
              </w:rPr>
              <w:t xml:space="preserve"> 2019 are as follows:</w:t>
            </w:r>
          </w:p>
        </w:tc>
      </w:tr>
    </w:tbl>
    <w:p w14:paraId="510B610F" w14:textId="77777777" w:rsidR="0094472D" w:rsidRDefault="0094472D"/>
    <w:tbl>
      <w:tblPr>
        <w:tblW w:w="9219" w:type="dxa"/>
        <w:tblInd w:w="392" w:type="dxa"/>
        <w:tblLayout w:type="fixed"/>
        <w:tblCellMar>
          <w:left w:w="0" w:type="dxa"/>
          <w:right w:w="0" w:type="dxa"/>
        </w:tblCellMar>
        <w:tblLook w:val="0000" w:firstRow="0" w:lastRow="0" w:firstColumn="0" w:lastColumn="0" w:noHBand="0" w:noVBand="0"/>
      </w:tblPr>
      <w:tblGrid>
        <w:gridCol w:w="2929"/>
        <w:gridCol w:w="20"/>
        <w:gridCol w:w="1650"/>
        <w:gridCol w:w="8"/>
        <w:gridCol w:w="1658"/>
        <w:gridCol w:w="20"/>
        <w:gridCol w:w="2912"/>
        <w:gridCol w:w="22"/>
      </w:tblGrid>
      <w:tr w:rsidR="0094472D" w:rsidRPr="005E6FB5" w14:paraId="29523B7A" w14:textId="77777777" w:rsidTr="00E222DB">
        <w:tc>
          <w:tcPr>
            <w:tcW w:w="2929" w:type="dxa"/>
          </w:tcPr>
          <w:p w14:paraId="3AC55642" w14:textId="77777777" w:rsidR="0094472D" w:rsidRPr="005E6FB5" w:rsidRDefault="0094472D" w:rsidP="00672DB5">
            <w:pPr>
              <w:ind w:left="702"/>
              <w:jc w:val="both"/>
              <w:rPr>
                <w:rStyle w:val="hps"/>
                <w:sz w:val="18"/>
                <w:szCs w:val="18"/>
                <w:lang w:val="id-ID"/>
              </w:rPr>
            </w:pPr>
            <w:r w:rsidRPr="005E6FB5">
              <w:rPr>
                <w:rStyle w:val="hps"/>
                <w:sz w:val="18"/>
                <w:szCs w:val="18"/>
                <w:lang w:val="id-ID"/>
              </w:rPr>
              <w:t>Ketua</w:t>
            </w:r>
          </w:p>
        </w:tc>
        <w:tc>
          <w:tcPr>
            <w:tcW w:w="20" w:type="dxa"/>
            <w:vAlign w:val="bottom"/>
          </w:tcPr>
          <w:p w14:paraId="3F8AE9C2" w14:textId="77777777" w:rsidR="0094472D" w:rsidRPr="005E6FB5" w:rsidRDefault="0094472D" w:rsidP="00672DB5">
            <w:pPr>
              <w:jc w:val="center"/>
              <w:rPr>
                <w:sz w:val="18"/>
                <w:szCs w:val="18"/>
              </w:rPr>
            </w:pPr>
          </w:p>
        </w:tc>
        <w:tc>
          <w:tcPr>
            <w:tcW w:w="3316" w:type="dxa"/>
            <w:gridSpan w:val="3"/>
            <w:vAlign w:val="bottom"/>
          </w:tcPr>
          <w:p w14:paraId="4F3691C4" w14:textId="4C0243C7" w:rsidR="0094472D" w:rsidRPr="005E6FB5" w:rsidRDefault="0094472D" w:rsidP="00672DB5">
            <w:pPr>
              <w:jc w:val="center"/>
              <w:rPr>
                <w:sz w:val="18"/>
                <w:szCs w:val="18"/>
              </w:rPr>
            </w:pPr>
            <w:r>
              <w:rPr>
                <w:sz w:val="18"/>
                <w:szCs w:val="18"/>
              </w:rPr>
              <w:t>Tn. d</w:t>
            </w:r>
            <w:r w:rsidRPr="005E6FB5">
              <w:rPr>
                <w:sz w:val="18"/>
                <w:szCs w:val="18"/>
              </w:rPr>
              <w:t>r. Antonius Indrajana Soediono</w:t>
            </w:r>
            <w:r w:rsidR="00870FD0">
              <w:rPr>
                <w:sz w:val="18"/>
                <w:szCs w:val="18"/>
              </w:rPr>
              <w:t>.</w:t>
            </w:r>
            <w:r w:rsidRPr="005E6FB5">
              <w:rPr>
                <w:sz w:val="18"/>
                <w:szCs w:val="18"/>
              </w:rPr>
              <w:t xml:space="preserve"> S</w:t>
            </w:r>
            <w:r>
              <w:rPr>
                <w:sz w:val="18"/>
                <w:szCs w:val="18"/>
              </w:rPr>
              <w:t>p</w:t>
            </w:r>
            <w:r w:rsidRPr="005E6FB5">
              <w:rPr>
                <w:sz w:val="18"/>
                <w:szCs w:val="18"/>
              </w:rPr>
              <w:t>.S</w:t>
            </w:r>
            <w:r>
              <w:rPr>
                <w:sz w:val="18"/>
                <w:szCs w:val="18"/>
              </w:rPr>
              <w:t>.</w:t>
            </w:r>
          </w:p>
        </w:tc>
        <w:tc>
          <w:tcPr>
            <w:tcW w:w="20" w:type="dxa"/>
            <w:vAlign w:val="bottom"/>
          </w:tcPr>
          <w:p w14:paraId="7B82E151" w14:textId="77777777" w:rsidR="0094472D" w:rsidRPr="005E6FB5" w:rsidRDefault="0094472D" w:rsidP="00672DB5">
            <w:pPr>
              <w:jc w:val="center"/>
              <w:rPr>
                <w:bCs w:val="0"/>
                <w:i/>
                <w:sz w:val="18"/>
                <w:szCs w:val="18"/>
              </w:rPr>
            </w:pPr>
          </w:p>
        </w:tc>
        <w:tc>
          <w:tcPr>
            <w:tcW w:w="2934" w:type="dxa"/>
            <w:gridSpan w:val="2"/>
          </w:tcPr>
          <w:p w14:paraId="670AEDD0" w14:textId="77777777" w:rsidR="0094472D" w:rsidRPr="005E6FB5" w:rsidRDefault="0094472D" w:rsidP="00672DB5">
            <w:pPr>
              <w:ind w:right="57"/>
              <w:jc w:val="right"/>
              <w:rPr>
                <w:i/>
                <w:sz w:val="18"/>
                <w:szCs w:val="18"/>
                <w:lang w:val="id-ID"/>
              </w:rPr>
            </w:pPr>
            <w:r w:rsidRPr="005E6FB5">
              <w:rPr>
                <w:i/>
                <w:sz w:val="18"/>
                <w:szCs w:val="18"/>
                <w:lang w:val="id-ID"/>
              </w:rPr>
              <w:t>Chairman</w:t>
            </w:r>
          </w:p>
        </w:tc>
      </w:tr>
      <w:tr w:rsidR="0094472D" w:rsidRPr="005E6FB5" w14:paraId="5881EC3B" w14:textId="77777777" w:rsidTr="00E222DB">
        <w:tc>
          <w:tcPr>
            <w:tcW w:w="2929" w:type="dxa"/>
          </w:tcPr>
          <w:p w14:paraId="52C074E9" w14:textId="77777777" w:rsidR="0094472D" w:rsidRPr="005E6FB5" w:rsidRDefault="0094472D" w:rsidP="00672DB5">
            <w:pPr>
              <w:ind w:left="702"/>
              <w:jc w:val="both"/>
              <w:rPr>
                <w:rStyle w:val="hps"/>
                <w:sz w:val="18"/>
                <w:szCs w:val="18"/>
                <w:lang w:val="id-ID"/>
              </w:rPr>
            </w:pPr>
            <w:r w:rsidRPr="005E6FB5">
              <w:rPr>
                <w:rStyle w:val="hps"/>
                <w:sz w:val="18"/>
                <w:szCs w:val="18"/>
                <w:lang w:val="id-ID"/>
              </w:rPr>
              <w:t>Anggota</w:t>
            </w:r>
          </w:p>
        </w:tc>
        <w:tc>
          <w:tcPr>
            <w:tcW w:w="20" w:type="dxa"/>
          </w:tcPr>
          <w:p w14:paraId="3C51F453" w14:textId="77777777" w:rsidR="0094472D" w:rsidRPr="005E6FB5" w:rsidRDefault="0094472D" w:rsidP="00672DB5">
            <w:pPr>
              <w:jc w:val="center"/>
              <w:rPr>
                <w:sz w:val="18"/>
                <w:szCs w:val="18"/>
              </w:rPr>
            </w:pPr>
          </w:p>
        </w:tc>
        <w:tc>
          <w:tcPr>
            <w:tcW w:w="3316" w:type="dxa"/>
            <w:gridSpan w:val="3"/>
            <w:vAlign w:val="bottom"/>
          </w:tcPr>
          <w:p w14:paraId="2F16DA49" w14:textId="77777777" w:rsidR="0094472D" w:rsidRPr="005E6FB5" w:rsidRDefault="0094472D" w:rsidP="00672DB5">
            <w:pPr>
              <w:jc w:val="center"/>
              <w:rPr>
                <w:sz w:val="18"/>
                <w:szCs w:val="18"/>
              </w:rPr>
            </w:pPr>
            <w:r>
              <w:rPr>
                <w:sz w:val="18"/>
                <w:szCs w:val="18"/>
              </w:rPr>
              <w:t xml:space="preserve">Tn. </w:t>
            </w:r>
            <w:r w:rsidRPr="005E6FB5">
              <w:rPr>
                <w:sz w:val="18"/>
                <w:szCs w:val="18"/>
              </w:rPr>
              <w:t>Harry Wangidjaja</w:t>
            </w:r>
          </w:p>
        </w:tc>
        <w:tc>
          <w:tcPr>
            <w:tcW w:w="20" w:type="dxa"/>
          </w:tcPr>
          <w:p w14:paraId="1AC0FCF6" w14:textId="77777777" w:rsidR="0094472D" w:rsidRPr="005E6FB5" w:rsidRDefault="0094472D" w:rsidP="00672DB5">
            <w:pPr>
              <w:jc w:val="center"/>
              <w:rPr>
                <w:bCs w:val="0"/>
                <w:i/>
                <w:sz w:val="18"/>
                <w:szCs w:val="18"/>
              </w:rPr>
            </w:pPr>
          </w:p>
        </w:tc>
        <w:tc>
          <w:tcPr>
            <w:tcW w:w="2934" w:type="dxa"/>
            <w:gridSpan w:val="2"/>
          </w:tcPr>
          <w:p w14:paraId="78B5260E" w14:textId="77777777" w:rsidR="0094472D" w:rsidRPr="005E6FB5" w:rsidRDefault="0094472D" w:rsidP="00672DB5">
            <w:pPr>
              <w:ind w:left="-136" w:right="57"/>
              <w:jc w:val="right"/>
              <w:rPr>
                <w:bCs w:val="0"/>
                <w:i/>
                <w:sz w:val="18"/>
                <w:szCs w:val="18"/>
                <w:lang w:val="id-ID"/>
              </w:rPr>
            </w:pPr>
            <w:r w:rsidRPr="005E6FB5">
              <w:rPr>
                <w:bCs w:val="0"/>
                <w:i/>
                <w:sz w:val="18"/>
                <w:szCs w:val="18"/>
                <w:lang w:val="id-ID"/>
              </w:rPr>
              <w:t>Members</w:t>
            </w:r>
          </w:p>
        </w:tc>
      </w:tr>
      <w:tr w:rsidR="0094472D" w:rsidRPr="005E6FB5" w14:paraId="01A64B51" w14:textId="77777777" w:rsidTr="00E222DB">
        <w:tc>
          <w:tcPr>
            <w:tcW w:w="2929" w:type="dxa"/>
          </w:tcPr>
          <w:p w14:paraId="0B508B19" w14:textId="77777777" w:rsidR="0094472D" w:rsidRPr="005E6FB5" w:rsidRDefault="0094472D" w:rsidP="00672DB5">
            <w:pPr>
              <w:ind w:left="702"/>
              <w:jc w:val="both"/>
              <w:rPr>
                <w:rStyle w:val="hps"/>
                <w:sz w:val="18"/>
                <w:szCs w:val="18"/>
                <w:lang w:val="id-ID"/>
              </w:rPr>
            </w:pPr>
          </w:p>
        </w:tc>
        <w:tc>
          <w:tcPr>
            <w:tcW w:w="20" w:type="dxa"/>
          </w:tcPr>
          <w:p w14:paraId="2BF4F4A2" w14:textId="77777777" w:rsidR="0094472D" w:rsidRPr="005E6FB5" w:rsidRDefault="0094472D" w:rsidP="00672DB5">
            <w:pPr>
              <w:jc w:val="center"/>
              <w:rPr>
                <w:sz w:val="18"/>
                <w:szCs w:val="18"/>
              </w:rPr>
            </w:pPr>
          </w:p>
        </w:tc>
        <w:tc>
          <w:tcPr>
            <w:tcW w:w="3316" w:type="dxa"/>
            <w:gridSpan w:val="3"/>
            <w:vAlign w:val="bottom"/>
          </w:tcPr>
          <w:p w14:paraId="6F59A751" w14:textId="77777777" w:rsidR="0094472D" w:rsidRPr="005E6FB5" w:rsidRDefault="0094472D" w:rsidP="00672DB5">
            <w:pPr>
              <w:jc w:val="center"/>
              <w:rPr>
                <w:sz w:val="18"/>
                <w:szCs w:val="18"/>
                <w:lang w:val="id-ID"/>
              </w:rPr>
            </w:pPr>
            <w:r>
              <w:rPr>
                <w:sz w:val="18"/>
                <w:szCs w:val="18"/>
              </w:rPr>
              <w:t xml:space="preserve">Tn. </w:t>
            </w:r>
            <w:r w:rsidRPr="005E6FB5">
              <w:rPr>
                <w:sz w:val="18"/>
                <w:szCs w:val="18"/>
                <w:lang w:val="id-ID"/>
              </w:rPr>
              <w:t>Handoko Gunawan</w:t>
            </w:r>
          </w:p>
        </w:tc>
        <w:tc>
          <w:tcPr>
            <w:tcW w:w="20" w:type="dxa"/>
          </w:tcPr>
          <w:p w14:paraId="5D74BEAB" w14:textId="77777777" w:rsidR="0094472D" w:rsidRPr="005E6FB5" w:rsidRDefault="0094472D" w:rsidP="00672DB5">
            <w:pPr>
              <w:jc w:val="center"/>
              <w:rPr>
                <w:bCs w:val="0"/>
                <w:i/>
                <w:sz w:val="18"/>
                <w:szCs w:val="18"/>
              </w:rPr>
            </w:pPr>
          </w:p>
        </w:tc>
        <w:tc>
          <w:tcPr>
            <w:tcW w:w="2934" w:type="dxa"/>
            <w:gridSpan w:val="2"/>
          </w:tcPr>
          <w:p w14:paraId="62C383DB" w14:textId="77777777" w:rsidR="0094472D" w:rsidRPr="005E6FB5" w:rsidRDefault="0094472D" w:rsidP="00672DB5">
            <w:pPr>
              <w:ind w:left="-136" w:right="57"/>
              <w:jc w:val="right"/>
              <w:rPr>
                <w:i/>
                <w:sz w:val="18"/>
                <w:szCs w:val="18"/>
              </w:rPr>
            </w:pPr>
          </w:p>
        </w:tc>
      </w:tr>
      <w:tr w:rsidR="00147D86" w:rsidRPr="005E6FB5" w14:paraId="3C8765F5" w14:textId="77777777" w:rsidTr="00E222DB">
        <w:tblPrEx>
          <w:tblCellMar>
            <w:left w:w="108" w:type="dxa"/>
            <w:right w:w="108" w:type="dxa"/>
          </w:tblCellMar>
        </w:tblPrEx>
        <w:trPr>
          <w:gridAfter w:val="1"/>
          <w:wAfter w:w="22" w:type="dxa"/>
        </w:trPr>
        <w:tc>
          <w:tcPr>
            <w:tcW w:w="4599" w:type="dxa"/>
            <w:gridSpan w:val="3"/>
          </w:tcPr>
          <w:p w14:paraId="2B82C779" w14:textId="77777777" w:rsidR="00147D86" w:rsidRPr="005E6FB5" w:rsidRDefault="00147D86" w:rsidP="00147D86">
            <w:pPr>
              <w:contextualSpacing/>
              <w:jc w:val="both"/>
              <w:rPr>
                <w:rStyle w:val="hps"/>
                <w:b/>
                <w:sz w:val="18"/>
                <w:szCs w:val="18"/>
              </w:rPr>
            </w:pPr>
          </w:p>
        </w:tc>
        <w:tc>
          <w:tcPr>
            <w:tcW w:w="4598" w:type="dxa"/>
            <w:gridSpan w:val="4"/>
          </w:tcPr>
          <w:p w14:paraId="532B3B1B" w14:textId="77777777" w:rsidR="00147D86" w:rsidRPr="005E6FB5" w:rsidRDefault="00147D86" w:rsidP="00147D86">
            <w:pPr>
              <w:contextualSpacing/>
              <w:jc w:val="both"/>
              <w:rPr>
                <w:b/>
                <w:i/>
                <w:sz w:val="18"/>
                <w:szCs w:val="18"/>
              </w:rPr>
            </w:pPr>
          </w:p>
        </w:tc>
      </w:tr>
      <w:tr w:rsidR="00284C7C" w:rsidRPr="005E6FB5" w14:paraId="4B620AFB" w14:textId="77777777" w:rsidTr="00E222DB">
        <w:tblPrEx>
          <w:tblCellMar>
            <w:left w:w="108" w:type="dxa"/>
            <w:right w:w="108" w:type="dxa"/>
          </w:tblCellMar>
        </w:tblPrEx>
        <w:tc>
          <w:tcPr>
            <w:tcW w:w="4607" w:type="dxa"/>
            <w:gridSpan w:val="4"/>
          </w:tcPr>
          <w:p w14:paraId="2325E0EB" w14:textId="77777777" w:rsidR="00284C7C" w:rsidRPr="005E6FB5" w:rsidRDefault="00284C7C" w:rsidP="00C0406D">
            <w:pPr>
              <w:ind w:left="567" w:right="-57"/>
              <w:jc w:val="both"/>
              <w:rPr>
                <w:rStyle w:val="hps"/>
                <w:sz w:val="18"/>
                <w:szCs w:val="18"/>
              </w:rPr>
            </w:pPr>
          </w:p>
        </w:tc>
        <w:tc>
          <w:tcPr>
            <w:tcW w:w="4612" w:type="dxa"/>
            <w:gridSpan w:val="4"/>
          </w:tcPr>
          <w:p w14:paraId="7F326538" w14:textId="77777777" w:rsidR="00284C7C" w:rsidRPr="005E6FB5" w:rsidRDefault="00284C7C" w:rsidP="00C0406D">
            <w:pPr>
              <w:ind w:left="567" w:right="-57"/>
              <w:jc w:val="both"/>
              <w:rPr>
                <w:i/>
                <w:sz w:val="18"/>
                <w:szCs w:val="18"/>
              </w:rPr>
            </w:pPr>
          </w:p>
        </w:tc>
      </w:tr>
      <w:tr w:rsidR="00CB0F6D" w:rsidRPr="00A937E7" w14:paraId="36C14E3F" w14:textId="77777777" w:rsidTr="00E222DB">
        <w:tblPrEx>
          <w:tblCellMar>
            <w:left w:w="108" w:type="dxa"/>
            <w:right w:w="108" w:type="dxa"/>
          </w:tblCellMar>
        </w:tblPrEx>
        <w:tc>
          <w:tcPr>
            <w:tcW w:w="4607" w:type="dxa"/>
            <w:gridSpan w:val="4"/>
          </w:tcPr>
          <w:p w14:paraId="15346BFE" w14:textId="241EAF1F" w:rsidR="00CB0F6D" w:rsidRPr="005E6FB5" w:rsidRDefault="001668D4" w:rsidP="00E05D5D">
            <w:pPr>
              <w:ind w:left="629" w:right="-57"/>
              <w:jc w:val="both"/>
              <w:rPr>
                <w:rStyle w:val="hps"/>
                <w:sz w:val="18"/>
                <w:szCs w:val="18"/>
              </w:rPr>
            </w:pPr>
            <w:r>
              <w:rPr>
                <w:rStyle w:val="hps"/>
                <w:sz w:val="18"/>
                <w:szCs w:val="18"/>
              </w:rPr>
              <w:t>Pada tanggal 31 Maret 2020</w:t>
            </w:r>
            <w:r w:rsidR="00703A00" w:rsidRPr="005E6FB5">
              <w:rPr>
                <w:rStyle w:val="hps"/>
                <w:sz w:val="18"/>
                <w:szCs w:val="18"/>
              </w:rPr>
              <w:t xml:space="preserve"> dan </w:t>
            </w:r>
            <w:r>
              <w:rPr>
                <w:rStyle w:val="hps"/>
                <w:sz w:val="18"/>
                <w:szCs w:val="18"/>
              </w:rPr>
              <w:t>31 Desember 2019</w:t>
            </w:r>
            <w:r w:rsidR="00870FD0">
              <w:rPr>
                <w:rStyle w:val="hps"/>
                <w:sz w:val="18"/>
                <w:szCs w:val="18"/>
              </w:rPr>
              <w:t>.</w:t>
            </w:r>
            <w:r w:rsidR="00231070" w:rsidRPr="005E6FB5">
              <w:rPr>
                <w:rStyle w:val="hps"/>
                <w:sz w:val="18"/>
                <w:szCs w:val="18"/>
              </w:rPr>
              <w:t xml:space="preserve"> Sekretaris Perusahaan adalah Arif Mualim.</w:t>
            </w:r>
          </w:p>
        </w:tc>
        <w:tc>
          <w:tcPr>
            <w:tcW w:w="4612" w:type="dxa"/>
            <w:gridSpan w:val="4"/>
          </w:tcPr>
          <w:p w14:paraId="171FB722" w14:textId="2CED6C13" w:rsidR="00CB0F6D" w:rsidRPr="005E6FB5" w:rsidRDefault="00CB0F6D" w:rsidP="00703A00">
            <w:pPr>
              <w:ind w:left="567" w:right="-57"/>
              <w:jc w:val="both"/>
              <w:rPr>
                <w:i/>
                <w:sz w:val="18"/>
                <w:szCs w:val="18"/>
              </w:rPr>
            </w:pPr>
            <w:r w:rsidRPr="005E6FB5">
              <w:rPr>
                <w:i/>
                <w:sz w:val="18"/>
                <w:szCs w:val="18"/>
              </w:rPr>
              <w:t xml:space="preserve">As of </w:t>
            </w:r>
            <w:r w:rsidR="001668D4">
              <w:rPr>
                <w:i/>
                <w:sz w:val="18"/>
                <w:szCs w:val="18"/>
              </w:rPr>
              <w:t>March 31</w:t>
            </w:r>
            <w:r w:rsidR="001B2BCD">
              <w:rPr>
                <w:i/>
                <w:sz w:val="18"/>
                <w:szCs w:val="18"/>
              </w:rPr>
              <w:t xml:space="preserve">, </w:t>
            </w:r>
            <w:r w:rsidR="001668D4">
              <w:rPr>
                <w:i/>
                <w:sz w:val="18"/>
                <w:szCs w:val="18"/>
              </w:rPr>
              <w:t>2020</w:t>
            </w:r>
            <w:r w:rsidRPr="005E6FB5">
              <w:rPr>
                <w:i/>
                <w:sz w:val="18"/>
                <w:szCs w:val="18"/>
              </w:rPr>
              <w:t xml:space="preserve"> and</w:t>
            </w:r>
            <w:r w:rsidRPr="005E6FB5">
              <w:rPr>
                <w:i/>
                <w:sz w:val="18"/>
                <w:szCs w:val="18"/>
                <w:lang w:val="id-ID"/>
              </w:rPr>
              <w:t xml:space="preserve"> </w:t>
            </w:r>
            <w:r w:rsidR="001668D4">
              <w:rPr>
                <w:i/>
                <w:sz w:val="18"/>
                <w:szCs w:val="18"/>
              </w:rPr>
              <w:t>December 31</w:t>
            </w:r>
            <w:r w:rsidR="001B2BCD">
              <w:rPr>
                <w:i/>
                <w:sz w:val="18"/>
                <w:szCs w:val="18"/>
              </w:rPr>
              <w:t>,</w:t>
            </w:r>
            <w:r w:rsidR="001668D4">
              <w:rPr>
                <w:i/>
                <w:sz w:val="18"/>
                <w:szCs w:val="18"/>
              </w:rPr>
              <w:t xml:space="preserve"> 2019</w:t>
            </w:r>
            <w:r w:rsidR="001B2BCD">
              <w:rPr>
                <w:i/>
                <w:sz w:val="18"/>
                <w:szCs w:val="18"/>
              </w:rPr>
              <w:t>,</w:t>
            </w:r>
            <w:r w:rsidRPr="005E6FB5">
              <w:rPr>
                <w:i/>
                <w:sz w:val="18"/>
                <w:szCs w:val="18"/>
              </w:rPr>
              <w:t xml:space="preserve"> the Corporate Secretary of the Company is Arif</w:t>
            </w:r>
            <w:r w:rsidRPr="005E6FB5">
              <w:rPr>
                <w:i/>
                <w:sz w:val="18"/>
                <w:szCs w:val="18"/>
                <w:lang w:val="id-ID"/>
              </w:rPr>
              <w:t xml:space="preserve"> </w:t>
            </w:r>
            <w:r w:rsidRPr="005E6FB5">
              <w:rPr>
                <w:i/>
                <w:sz w:val="18"/>
                <w:szCs w:val="18"/>
              </w:rPr>
              <w:t>Mualim.</w:t>
            </w:r>
          </w:p>
        </w:tc>
      </w:tr>
      <w:tr w:rsidR="00CB0F6D" w:rsidRPr="00A937E7" w14:paraId="75F21701" w14:textId="77777777" w:rsidTr="00E222DB">
        <w:tblPrEx>
          <w:tblCellMar>
            <w:left w:w="108" w:type="dxa"/>
            <w:right w:w="108" w:type="dxa"/>
          </w:tblCellMar>
        </w:tblPrEx>
        <w:tc>
          <w:tcPr>
            <w:tcW w:w="4607" w:type="dxa"/>
            <w:gridSpan w:val="4"/>
          </w:tcPr>
          <w:p w14:paraId="7E8841D0" w14:textId="77777777" w:rsidR="00CB0F6D" w:rsidRPr="00A937E7" w:rsidRDefault="00CB0F6D" w:rsidP="00C0406D">
            <w:pPr>
              <w:ind w:left="567" w:right="-57"/>
              <w:jc w:val="both"/>
              <w:rPr>
                <w:rStyle w:val="hps"/>
                <w:sz w:val="18"/>
                <w:szCs w:val="18"/>
                <w:highlight w:val="green"/>
              </w:rPr>
            </w:pPr>
          </w:p>
        </w:tc>
        <w:tc>
          <w:tcPr>
            <w:tcW w:w="4612" w:type="dxa"/>
            <w:gridSpan w:val="4"/>
          </w:tcPr>
          <w:p w14:paraId="4C51B74E" w14:textId="77777777" w:rsidR="00CB0F6D" w:rsidRPr="00A937E7" w:rsidRDefault="00CB0F6D" w:rsidP="00C0406D">
            <w:pPr>
              <w:ind w:left="567" w:right="-57"/>
              <w:jc w:val="both"/>
              <w:rPr>
                <w:i/>
                <w:sz w:val="18"/>
                <w:szCs w:val="18"/>
                <w:highlight w:val="green"/>
              </w:rPr>
            </w:pPr>
          </w:p>
        </w:tc>
      </w:tr>
      <w:tr w:rsidR="00284C7C" w:rsidRPr="00A937E7" w14:paraId="7148DABE" w14:textId="77777777" w:rsidTr="00E222DB">
        <w:tblPrEx>
          <w:tblCellMar>
            <w:left w:w="108" w:type="dxa"/>
            <w:right w:w="108" w:type="dxa"/>
          </w:tblCellMar>
        </w:tblPrEx>
        <w:tc>
          <w:tcPr>
            <w:tcW w:w="4607" w:type="dxa"/>
            <w:gridSpan w:val="4"/>
          </w:tcPr>
          <w:p w14:paraId="0B4C1FC5" w14:textId="23DF065C" w:rsidR="00284C7C" w:rsidRPr="00E86A5C" w:rsidRDefault="00CB0F6D" w:rsidP="00D312ED">
            <w:pPr>
              <w:ind w:left="643" w:right="-57"/>
              <w:jc w:val="both"/>
              <w:rPr>
                <w:rStyle w:val="hps"/>
                <w:sz w:val="18"/>
                <w:szCs w:val="18"/>
              </w:rPr>
            </w:pPr>
            <w:r w:rsidRPr="00E86A5C">
              <w:rPr>
                <w:rStyle w:val="hps"/>
                <w:sz w:val="18"/>
                <w:szCs w:val="18"/>
              </w:rPr>
              <w:t xml:space="preserve">Jumlah karyawan Perusahaan dan entitas anak (secara bersama-sama disebut sebagai “Grup”) pada    tanggal   </w:t>
            </w:r>
            <w:r w:rsidR="00A770E7">
              <w:rPr>
                <w:rStyle w:val="hps"/>
                <w:sz w:val="18"/>
                <w:szCs w:val="18"/>
              </w:rPr>
              <w:t>31 Maret 2020</w:t>
            </w:r>
            <w:r w:rsidR="005970C0" w:rsidRPr="00E86A5C">
              <w:rPr>
                <w:rStyle w:val="hps"/>
                <w:sz w:val="18"/>
                <w:szCs w:val="18"/>
              </w:rPr>
              <w:t xml:space="preserve"> dan </w:t>
            </w:r>
            <w:r w:rsidR="00A770E7">
              <w:rPr>
                <w:rStyle w:val="hps"/>
                <w:sz w:val="18"/>
                <w:szCs w:val="18"/>
              </w:rPr>
              <w:t>31 Desember 2019</w:t>
            </w:r>
            <w:r w:rsidRPr="00E86A5C">
              <w:rPr>
                <w:rStyle w:val="hps"/>
                <w:sz w:val="18"/>
                <w:szCs w:val="18"/>
              </w:rPr>
              <w:t xml:space="preserve"> masing-masing adalah </w:t>
            </w:r>
            <w:r w:rsidR="00CE6CB7" w:rsidRPr="000B5146">
              <w:rPr>
                <w:rStyle w:val="hps"/>
                <w:sz w:val="18"/>
                <w:szCs w:val="18"/>
              </w:rPr>
              <w:t>2.</w:t>
            </w:r>
            <w:r w:rsidR="00D312ED">
              <w:rPr>
                <w:rStyle w:val="hps"/>
                <w:sz w:val="18"/>
                <w:szCs w:val="18"/>
              </w:rPr>
              <w:t>119</w:t>
            </w:r>
            <w:r w:rsidR="00CA166A">
              <w:rPr>
                <w:rStyle w:val="hps"/>
                <w:sz w:val="18"/>
                <w:szCs w:val="18"/>
              </w:rPr>
              <w:t xml:space="preserve"> </w:t>
            </w:r>
            <w:r w:rsidR="005970C0" w:rsidRPr="00E86A5C">
              <w:rPr>
                <w:rStyle w:val="hps"/>
                <w:sz w:val="18"/>
                <w:szCs w:val="18"/>
              </w:rPr>
              <w:t xml:space="preserve">dan  </w:t>
            </w:r>
            <w:r w:rsidR="00A770E7">
              <w:rPr>
                <w:rStyle w:val="hps"/>
                <w:sz w:val="18"/>
                <w:szCs w:val="18"/>
              </w:rPr>
              <w:t>2.044</w:t>
            </w:r>
            <w:r w:rsidRPr="00E86A5C">
              <w:rPr>
                <w:rStyle w:val="hps"/>
                <w:sz w:val="18"/>
                <w:szCs w:val="18"/>
              </w:rPr>
              <w:t xml:space="preserve"> </w:t>
            </w:r>
          </w:p>
        </w:tc>
        <w:tc>
          <w:tcPr>
            <w:tcW w:w="4612" w:type="dxa"/>
            <w:gridSpan w:val="4"/>
          </w:tcPr>
          <w:p w14:paraId="026B8137" w14:textId="2F247B31" w:rsidR="00284C7C" w:rsidRPr="00E86A5C" w:rsidRDefault="00B829A2" w:rsidP="00D312ED">
            <w:pPr>
              <w:ind w:left="567" w:right="-57"/>
              <w:jc w:val="both"/>
              <w:rPr>
                <w:i/>
                <w:sz w:val="18"/>
                <w:szCs w:val="18"/>
              </w:rPr>
            </w:pPr>
            <w:r>
              <w:rPr>
                <w:i/>
                <w:sz w:val="18"/>
                <w:szCs w:val="18"/>
              </w:rPr>
              <w:t>As of March</w:t>
            </w:r>
            <w:r w:rsidR="00E222DB">
              <w:rPr>
                <w:i/>
                <w:sz w:val="18"/>
                <w:szCs w:val="18"/>
              </w:rPr>
              <w:t>31</w:t>
            </w:r>
            <w:proofErr w:type="gramStart"/>
            <w:r w:rsidR="00E222DB">
              <w:rPr>
                <w:i/>
                <w:sz w:val="18"/>
                <w:szCs w:val="18"/>
              </w:rPr>
              <w:t xml:space="preserve">, </w:t>
            </w:r>
            <w:r>
              <w:rPr>
                <w:i/>
                <w:sz w:val="18"/>
                <w:szCs w:val="18"/>
              </w:rPr>
              <w:t xml:space="preserve"> 2020</w:t>
            </w:r>
            <w:proofErr w:type="gramEnd"/>
            <w:r w:rsidR="005970C0" w:rsidRPr="00E86A5C">
              <w:rPr>
                <w:i/>
                <w:sz w:val="18"/>
                <w:szCs w:val="18"/>
              </w:rPr>
              <w:t xml:space="preserve"> and </w:t>
            </w:r>
            <w:r w:rsidR="00E222DB">
              <w:rPr>
                <w:i/>
                <w:sz w:val="18"/>
                <w:szCs w:val="18"/>
              </w:rPr>
              <w:t xml:space="preserve">December 31, </w:t>
            </w:r>
            <w:r>
              <w:rPr>
                <w:i/>
                <w:sz w:val="18"/>
                <w:szCs w:val="18"/>
              </w:rPr>
              <w:t>2019</w:t>
            </w:r>
            <w:r w:rsidR="00E222DB">
              <w:rPr>
                <w:i/>
                <w:sz w:val="18"/>
                <w:szCs w:val="18"/>
              </w:rPr>
              <w:t>,</w:t>
            </w:r>
            <w:r w:rsidR="00CB0F6D" w:rsidRPr="00E86A5C">
              <w:rPr>
                <w:i/>
                <w:sz w:val="18"/>
                <w:szCs w:val="18"/>
              </w:rPr>
              <w:t xml:space="preserve"> The Company and its subsidiaries (collectively referred to as the “Group”) has a total  of </w:t>
            </w:r>
            <w:r w:rsidR="00CE6CB7" w:rsidRPr="000B5146">
              <w:rPr>
                <w:i/>
                <w:sz w:val="18"/>
                <w:szCs w:val="18"/>
              </w:rPr>
              <w:t>2</w:t>
            </w:r>
            <w:r w:rsidR="00870FD0" w:rsidRPr="000B5146">
              <w:rPr>
                <w:i/>
                <w:sz w:val="18"/>
                <w:szCs w:val="18"/>
              </w:rPr>
              <w:t>.</w:t>
            </w:r>
            <w:r w:rsidR="00D312ED">
              <w:rPr>
                <w:i/>
                <w:sz w:val="18"/>
                <w:szCs w:val="18"/>
              </w:rPr>
              <w:t>119</w:t>
            </w:r>
            <w:r w:rsidR="00CB0F6D" w:rsidRPr="00E86A5C">
              <w:rPr>
                <w:i/>
                <w:sz w:val="18"/>
                <w:szCs w:val="18"/>
              </w:rPr>
              <w:t xml:space="preserve"> and  </w:t>
            </w:r>
            <w:r w:rsidR="00A770E7">
              <w:rPr>
                <w:i/>
                <w:sz w:val="18"/>
                <w:szCs w:val="18"/>
              </w:rPr>
              <w:t>2</w:t>
            </w:r>
            <w:r w:rsidR="00E222DB">
              <w:rPr>
                <w:i/>
                <w:sz w:val="18"/>
                <w:szCs w:val="18"/>
              </w:rPr>
              <w:t>,</w:t>
            </w:r>
            <w:r w:rsidR="00A770E7">
              <w:rPr>
                <w:i/>
                <w:sz w:val="18"/>
                <w:szCs w:val="18"/>
              </w:rPr>
              <w:t>044</w:t>
            </w:r>
            <w:r w:rsidR="00CB0F6D" w:rsidRPr="00E86A5C">
              <w:rPr>
                <w:i/>
                <w:sz w:val="18"/>
                <w:szCs w:val="18"/>
              </w:rPr>
              <w:t xml:space="preserve">  employee</w:t>
            </w:r>
            <w:r w:rsidR="005970C0" w:rsidRPr="00E86A5C">
              <w:rPr>
                <w:i/>
                <w:sz w:val="18"/>
                <w:szCs w:val="18"/>
              </w:rPr>
              <w:t>s</w:t>
            </w:r>
            <w:r w:rsidR="00870FD0">
              <w:rPr>
                <w:i/>
                <w:sz w:val="18"/>
                <w:szCs w:val="18"/>
              </w:rPr>
              <w:t>.</w:t>
            </w:r>
            <w:r w:rsidR="005970C0" w:rsidRPr="00E86A5C">
              <w:rPr>
                <w:i/>
                <w:sz w:val="18"/>
                <w:szCs w:val="18"/>
              </w:rPr>
              <w:t xml:space="preserve"> </w:t>
            </w:r>
            <w:proofErr w:type="gramStart"/>
            <w:r w:rsidR="005970C0" w:rsidRPr="00E86A5C">
              <w:rPr>
                <w:i/>
                <w:sz w:val="18"/>
                <w:szCs w:val="18"/>
              </w:rPr>
              <w:t>respectively</w:t>
            </w:r>
            <w:proofErr w:type="gramEnd"/>
            <w:r w:rsidR="005970C0" w:rsidRPr="00E86A5C">
              <w:rPr>
                <w:i/>
                <w:sz w:val="18"/>
                <w:szCs w:val="18"/>
              </w:rPr>
              <w:t xml:space="preserve"> (unaudited). </w:t>
            </w:r>
          </w:p>
        </w:tc>
      </w:tr>
      <w:tr w:rsidR="009D5523" w:rsidRPr="00A937E7" w14:paraId="26B7132F" w14:textId="77777777" w:rsidTr="00E222DB">
        <w:tblPrEx>
          <w:tblCellMar>
            <w:left w:w="108" w:type="dxa"/>
            <w:right w:w="108" w:type="dxa"/>
          </w:tblCellMar>
        </w:tblPrEx>
        <w:tc>
          <w:tcPr>
            <w:tcW w:w="4607" w:type="dxa"/>
            <w:gridSpan w:val="4"/>
          </w:tcPr>
          <w:p w14:paraId="45FADE2E" w14:textId="77777777" w:rsidR="009D5523" w:rsidRPr="00E27365" w:rsidRDefault="009D5523" w:rsidP="005970C0">
            <w:pPr>
              <w:ind w:left="567" w:right="-57"/>
              <w:jc w:val="both"/>
              <w:rPr>
                <w:rStyle w:val="hps"/>
                <w:sz w:val="18"/>
                <w:szCs w:val="18"/>
                <w:highlight w:val="cyan"/>
              </w:rPr>
            </w:pPr>
          </w:p>
        </w:tc>
        <w:tc>
          <w:tcPr>
            <w:tcW w:w="4612" w:type="dxa"/>
            <w:gridSpan w:val="4"/>
          </w:tcPr>
          <w:p w14:paraId="442A52CB" w14:textId="77777777" w:rsidR="009D5523" w:rsidRDefault="009D5523" w:rsidP="005970C0">
            <w:pPr>
              <w:ind w:left="567" w:right="-57"/>
              <w:jc w:val="both"/>
              <w:rPr>
                <w:i/>
                <w:sz w:val="18"/>
                <w:szCs w:val="18"/>
                <w:highlight w:val="cyan"/>
              </w:rPr>
            </w:pPr>
          </w:p>
        </w:tc>
      </w:tr>
      <w:tr w:rsidR="005970C0" w:rsidRPr="00A937E7" w14:paraId="7B96C655" w14:textId="77777777" w:rsidTr="00E222DB">
        <w:tblPrEx>
          <w:tblCellMar>
            <w:left w:w="108" w:type="dxa"/>
            <w:right w:w="108" w:type="dxa"/>
          </w:tblCellMar>
        </w:tblPrEx>
        <w:tc>
          <w:tcPr>
            <w:tcW w:w="4607" w:type="dxa"/>
            <w:gridSpan w:val="4"/>
          </w:tcPr>
          <w:p w14:paraId="018934C3" w14:textId="386B7DA8" w:rsidR="005970C0" w:rsidRPr="00E90037" w:rsidRDefault="009D5523" w:rsidP="005450AA">
            <w:pPr>
              <w:ind w:left="657" w:right="-57"/>
              <w:jc w:val="both"/>
              <w:rPr>
                <w:rStyle w:val="hps"/>
                <w:sz w:val="18"/>
                <w:szCs w:val="18"/>
              </w:rPr>
            </w:pPr>
            <w:r w:rsidRPr="00E90037">
              <w:rPr>
                <w:rStyle w:val="hps"/>
                <w:sz w:val="18"/>
                <w:szCs w:val="18"/>
              </w:rPr>
              <w:t>J</w:t>
            </w:r>
            <w:r w:rsidR="005970C0" w:rsidRPr="00E90037">
              <w:rPr>
                <w:rStyle w:val="hps"/>
                <w:sz w:val="18"/>
                <w:szCs w:val="18"/>
              </w:rPr>
              <w:t xml:space="preserve">umlah remunerasi  yang dibayar untuk Dewan Direksi Perusahaan adalah sebesar </w:t>
            </w:r>
            <w:r w:rsidR="005970C0" w:rsidRPr="00550D0F">
              <w:rPr>
                <w:rStyle w:val="hps"/>
                <w:sz w:val="18"/>
                <w:szCs w:val="18"/>
              </w:rPr>
              <w:t>R</w:t>
            </w:r>
            <w:r w:rsidR="00550D0F">
              <w:rPr>
                <w:rStyle w:val="hps"/>
                <w:sz w:val="18"/>
                <w:szCs w:val="18"/>
              </w:rPr>
              <w:t xml:space="preserve">p </w:t>
            </w:r>
            <w:r w:rsidR="005450AA">
              <w:rPr>
                <w:rStyle w:val="hps"/>
                <w:sz w:val="18"/>
                <w:szCs w:val="18"/>
              </w:rPr>
              <w:t>661.722.115</w:t>
            </w:r>
            <w:r w:rsidR="005970C0" w:rsidRPr="00E90037">
              <w:rPr>
                <w:rStyle w:val="hps"/>
                <w:sz w:val="18"/>
                <w:szCs w:val="18"/>
              </w:rPr>
              <w:t xml:space="preserve"> dan Rp</w:t>
            </w:r>
            <w:r w:rsidR="00550D0F">
              <w:rPr>
                <w:rStyle w:val="hps"/>
                <w:sz w:val="18"/>
                <w:szCs w:val="18"/>
              </w:rPr>
              <w:t xml:space="preserve"> </w:t>
            </w:r>
            <w:r w:rsidR="00B829A2">
              <w:rPr>
                <w:rStyle w:val="hps"/>
                <w:sz w:val="18"/>
                <w:szCs w:val="18"/>
              </w:rPr>
              <w:t>3.115.998.402</w:t>
            </w:r>
            <w:r w:rsidRPr="00E90037">
              <w:rPr>
                <w:rStyle w:val="hps"/>
                <w:sz w:val="18"/>
                <w:szCs w:val="18"/>
              </w:rPr>
              <w:t xml:space="preserve"> untuk tahun yang b</w:t>
            </w:r>
            <w:r w:rsidR="00B829A2">
              <w:rPr>
                <w:rStyle w:val="hps"/>
                <w:sz w:val="18"/>
                <w:szCs w:val="18"/>
              </w:rPr>
              <w:t>erakhir pada tanggal 31 Maret 2020</w:t>
            </w:r>
            <w:r w:rsidRPr="00E90037">
              <w:rPr>
                <w:rStyle w:val="hps"/>
                <w:sz w:val="18"/>
                <w:szCs w:val="18"/>
              </w:rPr>
              <w:t xml:space="preserve"> dan </w:t>
            </w:r>
            <w:r w:rsidR="00B829A2">
              <w:rPr>
                <w:rStyle w:val="hps"/>
                <w:sz w:val="18"/>
                <w:szCs w:val="18"/>
              </w:rPr>
              <w:t>31 Desember 2019</w:t>
            </w:r>
            <w:r w:rsidRPr="00E90037">
              <w:rPr>
                <w:rStyle w:val="hps"/>
                <w:sz w:val="18"/>
                <w:szCs w:val="18"/>
              </w:rPr>
              <w:t>.</w:t>
            </w:r>
          </w:p>
        </w:tc>
        <w:tc>
          <w:tcPr>
            <w:tcW w:w="4612" w:type="dxa"/>
            <w:gridSpan w:val="4"/>
          </w:tcPr>
          <w:p w14:paraId="07B9BD10" w14:textId="2A3BAF5C" w:rsidR="005970C0" w:rsidRPr="00E90037" w:rsidRDefault="005970C0" w:rsidP="005450AA">
            <w:pPr>
              <w:ind w:left="567" w:right="-57"/>
              <w:jc w:val="both"/>
              <w:rPr>
                <w:i/>
                <w:sz w:val="18"/>
                <w:szCs w:val="18"/>
              </w:rPr>
            </w:pPr>
            <w:proofErr w:type="gramStart"/>
            <w:r w:rsidRPr="00E90037">
              <w:rPr>
                <w:i/>
                <w:sz w:val="18"/>
                <w:szCs w:val="18"/>
              </w:rPr>
              <w:t>total</w:t>
            </w:r>
            <w:proofErr w:type="gramEnd"/>
            <w:r w:rsidRPr="00E90037">
              <w:rPr>
                <w:i/>
                <w:sz w:val="18"/>
                <w:szCs w:val="18"/>
              </w:rPr>
              <w:t xml:space="preserve"> remuneration paid to Company’s Board of Directors amounted </w:t>
            </w:r>
            <w:r w:rsidR="00E90037" w:rsidRPr="00550D0F">
              <w:rPr>
                <w:i/>
                <w:sz w:val="18"/>
                <w:szCs w:val="18"/>
              </w:rPr>
              <w:t>Rp</w:t>
            </w:r>
            <w:r w:rsidR="00550D0F">
              <w:rPr>
                <w:i/>
                <w:sz w:val="18"/>
                <w:szCs w:val="18"/>
              </w:rPr>
              <w:t xml:space="preserve"> </w:t>
            </w:r>
            <w:r w:rsidR="005450AA">
              <w:rPr>
                <w:i/>
                <w:sz w:val="18"/>
                <w:szCs w:val="18"/>
              </w:rPr>
              <w:t>661.722.115</w:t>
            </w:r>
            <w:r w:rsidR="00550D0F">
              <w:rPr>
                <w:i/>
                <w:sz w:val="18"/>
                <w:szCs w:val="18"/>
              </w:rPr>
              <w:t xml:space="preserve"> </w:t>
            </w:r>
            <w:r w:rsidRPr="00E90037">
              <w:rPr>
                <w:i/>
                <w:sz w:val="18"/>
                <w:szCs w:val="18"/>
              </w:rPr>
              <w:t xml:space="preserve">and </w:t>
            </w:r>
            <w:r w:rsidR="00550D0F">
              <w:rPr>
                <w:i/>
                <w:sz w:val="18"/>
                <w:szCs w:val="18"/>
              </w:rPr>
              <w:br/>
            </w:r>
            <w:r w:rsidRPr="00E90037">
              <w:rPr>
                <w:i/>
                <w:sz w:val="18"/>
                <w:szCs w:val="18"/>
              </w:rPr>
              <w:t>Rp</w:t>
            </w:r>
            <w:r w:rsidR="00550D0F">
              <w:rPr>
                <w:i/>
                <w:sz w:val="18"/>
                <w:szCs w:val="18"/>
              </w:rPr>
              <w:t xml:space="preserve"> </w:t>
            </w:r>
            <w:r w:rsidR="00B829A2">
              <w:rPr>
                <w:i/>
                <w:sz w:val="18"/>
                <w:szCs w:val="18"/>
              </w:rPr>
              <w:t>3</w:t>
            </w:r>
            <w:r w:rsidR="00E347DC">
              <w:rPr>
                <w:i/>
                <w:sz w:val="18"/>
                <w:szCs w:val="18"/>
              </w:rPr>
              <w:t>,</w:t>
            </w:r>
            <w:r w:rsidR="00B829A2">
              <w:rPr>
                <w:i/>
                <w:sz w:val="18"/>
                <w:szCs w:val="18"/>
              </w:rPr>
              <w:t>115</w:t>
            </w:r>
            <w:r w:rsidR="00E347DC">
              <w:rPr>
                <w:i/>
                <w:sz w:val="18"/>
                <w:szCs w:val="18"/>
              </w:rPr>
              <w:t>,</w:t>
            </w:r>
            <w:r w:rsidR="00B829A2">
              <w:rPr>
                <w:i/>
                <w:sz w:val="18"/>
                <w:szCs w:val="18"/>
              </w:rPr>
              <w:t>998</w:t>
            </w:r>
            <w:r w:rsidR="00E347DC">
              <w:rPr>
                <w:i/>
                <w:sz w:val="18"/>
                <w:szCs w:val="18"/>
              </w:rPr>
              <w:t>,</w:t>
            </w:r>
            <w:r w:rsidR="00B829A2">
              <w:rPr>
                <w:i/>
                <w:sz w:val="18"/>
                <w:szCs w:val="18"/>
              </w:rPr>
              <w:t>402</w:t>
            </w:r>
            <w:r w:rsidR="009D5523" w:rsidRPr="00E90037">
              <w:rPr>
                <w:i/>
                <w:sz w:val="18"/>
                <w:szCs w:val="18"/>
              </w:rPr>
              <w:t xml:space="preserve"> for the year ended </w:t>
            </w:r>
            <w:r w:rsidR="00A21227">
              <w:rPr>
                <w:i/>
                <w:sz w:val="18"/>
                <w:szCs w:val="18"/>
              </w:rPr>
              <w:br/>
            </w:r>
            <w:r w:rsidR="00B829A2">
              <w:rPr>
                <w:i/>
                <w:sz w:val="18"/>
                <w:szCs w:val="18"/>
              </w:rPr>
              <w:t>March 31</w:t>
            </w:r>
            <w:r w:rsidR="00E347DC">
              <w:rPr>
                <w:i/>
                <w:sz w:val="18"/>
                <w:szCs w:val="18"/>
              </w:rPr>
              <w:t>,</w:t>
            </w:r>
            <w:r w:rsidR="00B829A2">
              <w:rPr>
                <w:i/>
                <w:sz w:val="18"/>
                <w:szCs w:val="18"/>
              </w:rPr>
              <w:t xml:space="preserve"> 2020 and December 31</w:t>
            </w:r>
            <w:r w:rsidR="00E347DC">
              <w:rPr>
                <w:i/>
                <w:sz w:val="18"/>
                <w:szCs w:val="18"/>
              </w:rPr>
              <w:t>,</w:t>
            </w:r>
            <w:r w:rsidR="00B829A2">
              <w:rPr>
                <w:i/>
                <w:sz w:val="18"/>
                <w:szCs w:val="18"/>
              </w:rPr>
              <w:t xml:space="preserve"> 2019</w:t>
            </w:r>
            <w:r w:rsidR="009D5523" w:rsidRPr="00E90037">
              <w:rPr>
                <w:i/>
                <w:sz w:val="18"/>
                <w:szCs w:val="18"/>
              </w:rPr>
              <w:t>.</w:t>
            </w:r>
          </w:p>
        </w:tc>
      </w:tr>
    </w:tbl>
    <w:p w14:paraId="0A075B3F" w14:textId="77777777" w:rsidR="00FC3E0B" w:rsidRPr="00A937E7" w:rsidRDefault="00FC3E0B" w:rsidP="0013526B">
      <w:pPr>
        <w:rPr>
          <w:sz w:val="18"/>
          <w:highlight w:val="green"/>
          <w:lang w:val="id-ID"/>
        </w:rPr>
      </w:pPr>
    </w:p>
    <w:tbl>
      <w:tblPr>
        <w:tblW w:w="9209" w:type="dxa"/>
        <w:tblInd w:w="397" w:type="dxa"/>
        <w:tblLayout w:type="fixed"/>
        <w:tblLook w:val="0000" w:firstRow="0" w:lastRow="0" w:firstColumn="0" w:lastColumn="0" w:noHBand="0" w:noVBand="0"/>
      </w:tblPr>
      <w:tblGrid>
        <w:gridCol w:w="4604"/>
        <w:gridCol w:w="4605"/>
      </w:tblGrid>
      <w:tr w:rsidR="00CB0F6D" w:rsidRPr="00A937E7" w14:paraId="587C89AB" w14:textId="77777777" w:rsidTr="00307F1F">
        <w:tc>
          <w:tcPr>
            <w:tcW w:w="4598" w:type="dxa"/>
          </w:tcPr>
          <w:p w14:paraId="201D1D08" w14:textId="32EC8FAB" w:rsidR="00CB0F6D" w:rsidRPr="00D07AA2" w:rsidRDefault="00CB0F6D" w:rsidP="00070D1F">
            <w:pPr>
              <w:pStyle w:val="ListParagraph"/>
              <w:numPr>
                <w:ilvl w:val="0"/>
                <w:numId w:val="312"/>
              </w:numPr>
              <w:ind w:left="615" w:hanging="266"/>
              <w:contextualSpacing/>
              <w:jc w:val="both"/>
              <w:rPr>
                <w:rStyle w:val="hps"/>
                <w:b/>
                <w:sz w:val="18"/>
                <w:szCs w:val="18"/>
              </w:rPr>
            </w:pPr>
            <w:r w:rsidRPr="00D07AA2">
              <w:rPr>
                <w:rStyle w:val="hps"/>
                <w:b/>
                <w:sz w:val="18"/>
                <w:szCs w:val="18"/>
              </w:rPr>
              <w:t>Struktur</w:t>
            </w:r>
            <w:r w:rsidR="009B0A73" w:rsidRPr="00D07AA2">
              <w:rPr>
                <w:rStyle w:val="hps"/>
                <w:b/>
                <w:sz w:val="18"/>
                <w:szCs w:val="18"/>
                <w:lang w:val="id-ID"/>
              </w:rPr>
              <w:t xml:space="preserve"> Perusahaan dan</w:t>
            </w:r>
            <w:r w:rsidRPr="00D07AA2">
              <w:rPr>
                <w:rStyle w:val="hps"/>
                <w:b/>
                <w:sz w:val="18"/>
                <w:szCs w:val="18"/>
              </w:rPr>
              <w:t xml:space="preserve"> Entitas Anak</w:t>
            </w:r>
          </w:p>
        </w:tc>
        <w:tc>
          <w:tcPr>
            <w:tcW w:w="4598" w:type="dxa"/>
          </w:tcPr>
          <w:p w14:paraId="17EF7587" w14:textId="4D6840A4" w:rsidR="00CB0F6D" w:rsidRPr="00D07AA2" w:rsidRDefault="009B0A73" w:rsidP="00070D1F">
            <w:pPr>
              <w:pStyle w:val="ListParagraph"/>
              <w:numPr>
                <w:ilvl w:val="0"/>
                <w:numId w:val="369"/>
              </w:numPr>
              <w:ind w:left="533" w:hanging="205"/>
              <w:contextualSpacing/>
              <w:jc w:val="both"/>
              <w:rPr>
                <w:b/>
                <w:bCs w:val="0"/>
                <w:i/>
                <w:sz w:val="18"/>
                <w:szCs w:val="18"/>
              </w:rPr>
            </w:pPr>
            <w:r w:rsidRPr="00D07AA2">
              <w:rPr>
                <w:b/>
                <w:i/>
                <w:sz w:val="18"/>
                <w:szCs w:val="18"/>
                <w:lang w:val="id-ID"/>
              </w:rPr>
              <w:t xml:space="preserve">The </w:t>
            </w:r>
            <w:r w:rsidR="00CB0F6D" w:rsidRPr="00D07AA2">
              <w:rPr>
                <w:b/>
                <w:i/>
                <w:sz w:val="18"/>
                <w:szCs w:val="18"/>
              </w:rPr>
              <w:t xml:space="preserve">Structure of </w:t>
            </w:r>
            <w:r w:rsidRPr="00D07AA2">
              <w:rPr>
                <w:b/>
                <w:i/>
                <w:sz w:val="18"/>
                <w:szCs w:val="18"/>
                <w:lang w:val="id-ID"/>
              </w:rPr>
              <w:t>Group</w:t>
            </w:r>
          </w:p>
        </w:tc>
      </w:tr>
      <w:tr w:rsidR="00CB0F6D" w:rsidRPr="00A937E7" w14:paraId="6D63A7F6" w14:textId="77777777" w:rsidTr="00307F1F">
        <w:tc>
          <w:tcPr>
            <w:tcW w:w="4598" w:type="dxa"/>
          </w:tcPr>
          <w:p w14:paraId="3CBA45DB" w14:textId="77777777" w:rsidR="00CB0F6D" w:rsidRPr="00A937E7" w:rsidRDefault="00CB0F6D" w:rsidP="00C0406D">
            <w:pPr>
              <w:jc w:val="both"/>
              <w:rPr>
                <w:rStyle w:val="hps"/>
                <w:sz w:val="12"/>
                <w:szCs w:val="18"/>
                <w:highlight w:val="green"/>
              </w:rPr>
            </w:pPr>
          </w:p>
        </w:tc>
        <w:tc>
          <w:tcPr>
            <w:tcW w:w="4598" w:type="dxa"/>
          </w:tcPr>
          <w:p w14:paraId="5116A924" w14:textId="77777777" w:rsidR="00CB0F6D" w:rsidRPr="00A937E7" w:rsidRDefault="00CB0F6D" w:rsidP="00C0406D">
            <w:pPr>
              <w:ind w:left="426"/>
              <w:jc w:val="both"/>
              <w:rPr>
                <w:bCs w:val="0"/>
                <w:i/>
                <w:sz w:val="12"/>
                <w:szCs w:val="18"/>
                <w:highlight w:val="green"/>
              </w:rPr>
            </w:pPr>
          </w:p>
        </w:tc>
      </w:tr>
      <w:tr w:rsidR="00CB0F6D" w:rsidRPr="00D07AA2" w14:paraId="21F8F224" w14:textId="77777777" w:rsidTr="00307F1F">
        <w:tc>
          <w:tcPr>
            <w:tcW w:w="4598" w:type="dxa"/>
          </w:tcPr>
          <w:p w14:paraId="232F7910" w14:textId="69684C1F" w:rsidR="00CB0F6D" w:rsidRPr="00D07AA2" w:rsidRDefault="00ED54A6" w:rsidP="00E347DC">
            <w:pPr>
              <w:ind w:left="629" w:right="-57"/>
              <w:jc w:val="both"/>
              <w:rPr>
                <w:rStyle w:val="hps"/>
                <w:sz w:val="18"/>
                <w:szCs w:val="18"/>
              </w:rPr>
            </w:pPr>
            <w:r>
              <w:rPr>
                <w:sz w:val="18"/>
                <w:szCs w:val="18"/>
              </w:rPr>
              <w:t>Pada tanggal 31 Maret 2020</w:t>
            </w:r>
            <w:r w:rsidR="006F6D3D" w:rsidRPr="00D07AA2">
              <w:rPr>
                <w:sz w:val="18"/>
                <w:szCs w:val="18"/>
              </w:rPr>
              <w:t xml:space="preserve"> dan </w:t>
            </w:r>
            <w:r>
              <w:rPr>
                <w:sz w:val="18"/>
                <w:szCs w:val="18"/>
              </w:rPr>
              <w:t>31 Desember 2019</w:t>
            </w:r>
            <w:r w:rsidR="00870FD0">
              <w:rPr>
                <w:sz w:val="18"/>
                <w:szCs w:val="18"/>
              </w:rPr>
              <w:t>.</w:t>
            </w:r>
            <w:r w:rsidR="00CB0F6D" w:rsidRPr="00D07AA2">
              <w:rPr>
                <w:sz w:val="18"/>
                <w:szCs w:val="18"/>
              </w:rPr>
              <w:t xml:space="preserve"> Entitas mempunyai Entitas Anak berikut ini (selanjutnya secara bersama-sama dengan Entitas disebut “Kelompok Usaha”):</w:t>
            </w:r>
          </w:p>
        </w:tc>
        <w:tc>
          <w:tcPr>
            <w:tcW w:w="4598" w:type="dxa"/>
          </w:tcPr>
          <w:p w14:paraId="6F44157B" w14:textId="48F9BF77" w:rsidR="00CB0F6D" w:rsidRPr="00D07AA2" w:rsidRDefault="00CB0F6D" w:rsidP="00E347DC">
            <w:pPr>
              <w:ind w:left="567" w:right="-57"/>
              <w:jc w:val="both"/>
              <w:rPr>
                <w:bCs w:val="0"/>
                <w:i/>
                <w:sz w:val="18"/>
                <w:szCs w:val="18"/>
              </w:rPr>
            </w:pPr>
            <w:r w:rsidRPr="00D07AA2">
              <w:rPr>
                <w:i/>
                <w:sz w:val="18"/>
                <w:szCs w:val="18"/>
                <w:lang w:val="id-ID"/>
              </w:rPr>
              <w:t xml:space="preserve">As of </w:t>
            </w:r>
            <w:r w:rsidR="00ED54A6">
              <w:rPr>
                <w:i/>
                <w:sz w:val="18"/>
                <w:szCs w:val="18"/>
              </w:rPr>
              <w:t>March 31</w:t>
            </w:r>
            <w:r w:rsidR="00E347DC">
              <w:rPr>
                <w:i/>
                <w:sz w:val="18"/>
                <w:szCs w:val="18"/>
              </w:rPr>
              <w:t>,</w:t>
            </w:r>
            <w:r w:rsidR="00ED54A6">
              <w:rPr>
                <w:i/>
                <w:sz w:val="18"/>
                <w:szCs w:val="18"/>
              </w:rPr>
              <w:t xml:space="preserve"> 2020</w:t>
            </w:r>
            <w:r w:rsidR="006F6D3D" w:rsidRPr="00D07AA2">
              <w:rPr>
                <w:i/>
                <w:sz w:val="18"/>
                <w:szCs w:val="18"/>
              </w:rPr>
              <w:t xml:space="preserve"> and </w:t>
            </w:r>
            <w:r w:rsidR="00ED54A6">
              <w:rPr>
                <w:i/>
                <w:sz w:val="18"/>
                <w:szCs w:val="18"/>
              </w:rPr>
              <w:t>December 31</w:t>
            </w:r>
            <w:r w:rsidR="00E347DC">
              <w:rPr>
                <w:i/>
                <w:sz w:val="18"/>
                <w:szCs w:val="18"/>
              </w:rPr>
              <w:t>,</w:t>
            </w:r>
            <w:r w:rsidR="00ED54A6">
              <w:rPr>
                <w:i/>
                <w:sz w:val="18"/>
                <w:szCs w:val="18"/>
              </w:rPr>
              <w:t xml:space="preserve"> 2019</w:t>
            </w:r>
            <w:r w:rsidR="00E347DC">
              <w:rPr>
                <w:i/>
                <w:sz w:val="18"/>
                <w:szCs w:val="18"/>
              </w:rPr>
              <w:t>,</w:t>
            </w:r>
            <w:r w:rsidRPr="00D07AA2">
              <w:rPr>
                <w:i/>
                <w:sz w:val="18"/>
                <w:szCs w:val="18"/>
              </w:rPr>
              <w:t xml:space="preserve"> the Entity has the following Subsidiaries (together with the Entity</w:t>
            </w:r>
            <w:r w:rsidR="00E347DC">
              <w:rPr>
                <w:i/>
                <w:sz w:val="18"/>
                <w:szCs w:val="18"/>
              </w:rPr>
              <w:t>,</w:t>
            </w:r>
            <w:r w:rsidRPr="00D07AA2">
              <w:rPr>
                <w:i/>
                <w:sz w:val="18"/>
                <w:szCs w:val="18"/>
              </w:rPr>
              <w:t xml:space="preserve"> hereinafter referred to as the “Group”):</w:t>
            </w:r>
          </w:p>
        </w:tc>
      </w:tr>
    </w:tbl>
    <w:p w14:paraId="57442FD7" w14:textId="77777777" w:rsidR="00FC3E0B" w:rsidRPr="00D07AA2" w:rsidRDefault="00FC3E0B" w:rsidP="0013526B">
      <w:pPr>
        <w:rPr>
          <w:sz w:val="18"/>
          <w:lang w:val="id-ID"/>
        </w:rPr>
      </w:pPr>
    </w:p>
    <w:tbl>
      <w:tblPr>
        <w:tblW w:w="9214" w:type="dxa"/>
        <w:tblInd w:w="392" w:type="dxa"/>
        <w:tblLayout w:type="fixed"/>
        <w:tblCellMar>
          <w:left w:w="0" w:type="dxa"/>
          <w:right w:w="0" w:type="dxa"/>
        </w:tblCellMar>
        <w:tblLook w:val="0000" w:firstRow="0" w:lastRow="0" w:firstColumn="0" w:lastColumn="0" w:noHBand="0" w:noVBand="0"/>
      </w:tblPr>
      <w:tblGrid>
        <w:gridCol w:w="2030"/>
        <w:gridCol w:w="20"/>
        <w:gridCol w:w="574"/>
        <w:gridCol w:w="20"/>
        <w:gridCol w:w="1073"/>
        <w:gridCol w:w="20"/>
        <w:gridCol w:w="1073"/>
        <w:gridCol w:w="20"/>
        <w:gridCol w:w="20"/>
        <w:gridCol w:w="1073"/>
        <w:gridCol w:w="24"/>
        <w:gridCol w:w="1073"/>
        <w:gridCol w:w="24"/>
        <w:gridCol w:w="1073"/>
        <w:gridCol w:w="24"/>
        <w:gridCol w:w="1073"/>
      </w:tblGrid>
      <w:tr w:rsidR="0042797B" w:rsidRPr="0042797B" w14:paraId="7A263D44" w14:textId="77777777" w:rsidTr="00CC2E72">
        <w:tc>
          <w:tcPr>
            <w:tcW w:w="2030" w:type="dxa"/>
            <w:vAlign w:val="bottom"/>
          </w:tcPr>
          <w:p w14:paraId="63103C29" w14:textId="77777777" w:rsidR="00C0406D" w:rsidRPr="0042797B" w:rsidRDefault="00C0406D" w:rsidP="00C0406D">
            <w:pPr>
              <w:jc w:val="center"/>
              <w:rPr>
                <w:b/>
                <w:sz w:val="12"/>
                <w:szCs w:val="12"/>
              </w:rPr>
            </w:pPr>
          </w:p>
        </w:tc>
        <w:tc>
          <w:tcPr>
            <w:tcW w:w="20" w:type="dxa"/>
            <w:vAlign w:val="bottom"/>
          </w:tcPr>
          <w:p w14:paraId="00E0E650" w14:textId="77777777" w:rsidR="00C0406D" w:rsidRPr="0042797B" w:rsidRDefault="00C0406D" w:rsidP="00C0406D">
            <w:pPr>
              <w:ind w:left="340"/>
              <w:jc w:val="center"/>
              <w:rPr>
                <w:sz w:val="12"/>
                <w:szCs w:val="12"/>
              </w:rPr>
            </w:pPr>
          </w:p>
        </w:tc>
        <w:tc>
          <w:tcPr>
            <w:tcW w:w="574" w:type="dxa"/>
          </w:tcPr>
          <w:p w14:paraId="091353AC" w14:textId="77777777" w:rsidR="00C0406D" w:rsidRPr="0042797B" w:rsidRDefault="00C0406D" w:rsidP="00C0406D">
            <w:pPr>
              <w:ind w:left="-4" w:right="-56" w:firstLine="4"/>
              <w:jc w:val="center"/>
              <w:rPr>
                <w:b/>
                <w:sz w:val="12"/>
                <w:szCs w:val="12"/>
              </w:rPr>
            </w:pPr>
          </w:p>
        </w:tc>
        <w:tc>
          <w:tcPr>
            <w:tcW w:w="20" w:type="dxa"/>
          </w:tcPr>
          <w:p w14:paraId="1B4E2273" w14:textId="77777777" w:rsidR="00C0406D" w:rsidRPr="0042797B" w:rsidRDefault="00C0406D" w:rsidP="00C0406D">
            <w:pPr>
              <w:ind w:left="-4" w:right="-56" w:firstLine="4"/>
              <w:jc w:val="center"/>
              <w:rPr>
                <w:b/>
                <w:sz w:val="12"/>
                <w:szCs w:val="12"/>
              </w:rPr>
            </w:pPr>
          </w:p>
        </w:tc>
        <w:tc>
          <w:tcPr>
            <w:tcW w:w="1073" w:type="dxa"/>
            <w:vAlign w:val="bottom"/>
          </w:tcPr>
          <w:p w14:paraId="4EF03060" w14:textId="64E0B35F" w:rsidR="00C0406D" w:rsidRPr="0042797B" w:rsidRDefault="00C0406D" w:rsidP="00C0406D">
            <w:pPr>
              <w:ind w:left="-4" w:right="-56" w:firstLine="4"/>
              <w:jc w:val="center"/>
              <w:rPr>
                <w:b/>
                <w:sz w:val="12"/>
                <w:szCs w:val="12"/>
              </w:rPr>
            </w:pPr>
          </w:p>
        </w:tc>
        <w:tc>
          <w:tcPr>
            <w:tcW w:w="20" w:type="dxa"/>
            <w:vAlign w:val="bottom"/>
          </w:tcPr>
          <w:p w14:paraId="6F7CBE3F" w14:textId="77777777" w:rsidR="00C0406D" w:rsidRPr="0042797B" w:rsidRDefault="00C0406D" w:rsidP="00C0406D">
            <w:pPr>
              <w:ind w:left="426"/>
              <w:jc w:val="center"/>
              <w:rPr>
                <w:bCs w:val="0"/>
                <w:i/>
                <w:sz w:val="12"/>
                <w:szCs w:val="12"/>
              </w:rPr>
            </w:pPr>
          </w:p>
        </w:tc>
        <w:tc>
          <w:tcPr>
            <w:tcW w:w="1073" w:type="dxa"/>
            <w:vAlign w:val="bottom"/>
          </w:tcPr>
          <w:p w14:paraId="1F9B675B" w14:textId="77777777" w:rsidR="00C0406D" w:rsidRPr="0042797B" w:rsidRDefault="00C0406D" w:rsidP="00C0406D">
            <w:pPr>
              <w:jc w:val="center"/>
              <w:rPr>
                <w:b/>
                <w:sz w:val="12"/>
                <w:szCs w:val="12"/>
              </w:rPr>
            </w:pPr>
          </w:p>
        </w:tc>
        <w:tc>
          <w:tcPr>
            <w:tcW w:w="20" w:type="dxa"/>
            <w:vAlign w:val="bottom"/>
          </w:tcPr>
          <w:p w14:paraId="27D8DA43" w14:textId="77777777" w:rsidR="00C0406D" w:rsidRPr="0042797B" w:rsidRDefault="00C0406D" w:rsidP="00C0406D">
            <w:pPr>
              <w:ind w:left="426"/>
              <w:jc w:val="center"/>
              <w:rPr>
                <w:bCs w:val="0"/>
                <w:i/>
                <w:sz w:val="12"/>
                <w:szCs w:val="12"/>
              </w:rPr>
            </w:pPr>
          </w:p>
        </w:tc>
        <w:tc>
          <w:tcPr>
            <w:tcW w:w="20" w:type="dxa"/>
            <w:vAlign w:val="bottom"/>
          </w:tcPr>
          <w:p w14:paraId="073FC9E3" w14:textId="77777777" w:rsidR="00C0406D" w:rsidRPr="0042797B" w:rsidRDefault="00C0406D" w:rsidP="00C0406D">
            <w:pPr>
              <w:ind w:left="426"/>
              <w:jc w:val="center"/>
              <w:rPr>
                <w:bCs w:val="0"/>
                <w:i/>
                <w:sz w:val="12"/>
                <w:szCs w:val="12"/>
                <w:lang w:val="id-ID"/>
              </w:rPr>
            </w:pPr>
          </w:p>
          <w:p w14:paraId="5EE2265C" w14:textId="77777777" w:rsidR="00C0406D" w:rsidRPr="0042797B" w:rsidRDefault="00C0406D" w:rsidP="00C0406D">
            <w:pPr>
              <w:ind w:left="426"/>
              <w:jc w:val="center"/>
              <w:rPr>
                <w:bCs w:val="0"/>
                <w:i/>
                <w:sz w:val="12"/>
                <w:szCs w:val="12"/>
                <w:lang w:val="id-ID"/>
              </w:rPr>
            </w:pPr>
          </w:p>
        </w:tc>
        <w:tc>
          <w:tcPr>
            <w:tcW w:w="2170" w:type="dxa"/>
            <w:gridSpan w:val="3"/>
            <w:tcBorders>
              <w:bottom w:val="single" w:sz="4" w:space="0" w:color="auto"/>
            </w:tcBorders>
            <w:vAlign w:val="bottom"/>
          </w:tcPr>
          <w:p w14:paraId="24E66E31" w14:textId="0153BE34" w:rsidR="00C0406D" w:rsidRPr="0042797B" w:rsidRDefault="00C0406D" w:rsidP="00EC49A4">
            <w:pPr>
              <w:jc w:val="center"/>
              <w:rPr>
                <w:b/>
                <w:sz w:val="12"/>
                <w:szCs w:val="12"/>
              </w:rPr>
            </w:pPr>
            <w:r w:rsidRPr="0042797B">
              <w:rPr>
                <w:b/>
                <w:sz w:val="12"/>
                <w:szCs w:val="12"/>
              </w:rPr>
              <w:t>Persentase Kepemilikan /</w:t>
            </w:r>
            <w:r w:rsidRPr="0042797B">
              <w:rPr>
                <w:sz w:val="12"/>
                <w:szCs w:val="12"/>
              </w:rPr>
              <w:t xml:space="preserve"> </w:t>
            </w:r>
            <w:r w:rsidRPr="0042797B">
              <w:rPr>
                <w:b/>
                <w:i/>
                <w:sz w:val="12"/>
                <w:szCs w:val="12"/>
              </w:rPr>
              <w:t xml:space="preserve">Percentage of Ownership </w:t>
            </w:r>
          </w:p>
        </w:tc>
        <w:tc>
          <w:tcPr>
            <w:tcW w:w="24" w:type="dxa"/>
            <w:vAlign w:val="bottom"/>
          </w:tcPr>
          <w:p w14:paraId="371E0E51" w14:textId="77777777" w:rsidR="00C0406D" w:rsidRPr="0042797B" w:rsidRDefault="00C0406D" w:rsidP="00C0406D">
            <w:pPr>
              <w:jc w:val="center"/>
              <w:rPr>
                <w:bCs w:val="0"/>
                <w:sz w:val="12"/>
                <w:szCs w:val="12"/>
              </w:rPr>
            </w:pPr>
          </w:p>
        </w:tc>
        <w:tc>
          <w:tcPr>
            <w:tcW w:w="2170" w:type="dxa"/>
            <w:gridSpan w:val="3"/>
            <w:tcBorders>
              <w:bottom w:val="single" w:sz="4" w:space="0" w:color="auto"/>
            </w:tcBorders>
            <w:vAlign w:val="bottom"/>
          </w:tcPr>
          <w:p w14:paraId="1717FBF7" w14:textId="2425AF51" w:rsidR="00C0406D" w:rsidRPr="0042797B" w:rsidRDefault="00EC49A4" w:rsidP="00C0406D">
            <w:pPr>
              <w:ind w:left="-68" w:right="-37"/>
              <w:jc w:val="center"/>
              <w:rPr>
                <w:b/>
                <w:sz w:val="12"/>
                <w:szCs w:val="12"/>
              </w:rPr>
            </w:pPr>
            <w:r w:rsidRPr="0042797B">
              <w:rPr>
                <w:b/>
                <w:sz w:val="12"/>
                <w:szCs w:val="12"/>
              </w:rPr>
              <w:t xml:space="preserve">Jumlah Aset Sebelum </w:t>
            </w:r>
            <w:r w:rsidR="00C0406D" w:rsidRPr="0042797B">
              <w:rPr>
                <w:b/>
                <w:sz w:val="12"/>
                <w:szCs w:val="12"/>
              </w:rPr>
              <w:t>Eliminasi/</w:t>
            </w:r>
          </w:p>
          <w:p w14:paraId="0E29F199" w14:textId="27134382" w:rsidR="00C0406D" w:rsidRPr="0042797B" w:rsidRDefault="00C0406D" w:rsidP="00EC49A4">
            <w:pPr>
              <w:jc w:val="center"/>
              <w:rPr>
                <w:b/>
                <w:sz w:val="12"/>
                <w:szCs w:val="12"/>
              </w:rPr>
            </w:pPr>
            <w:r w:rsidRPr="0042797B">
              <w:rPr>
                <w:b/>
                <w:i/>
                <w:sz w:val="12"/>
                <w:szCs w:val="12"/>
              </w:rPr>
              <w:t>Total Assets Before Elimination</w:t>
            </w:r>
          </w:p>
        </w:tc>
      </w:tr>
      <w:tr w:rsidR="00C5137D" w:rsidRPr="0042797B" w14:paraId="7C2586AB" w14:textId="77777777" w:rsidTr="00CC2E72">
        <w:tc>
          <w:tcPr>
            <w:tcW w:w="2030" w:type="dxa"/>
            <w:tcBorders>
              <w:bottom w:val="single" w:sz="4" w:space="0" w:color="auto"/>
            </w:tcBorders>
            <w:vAlign w:val="bottom"/>
          </w:tcPr>
          <w:p w14:paraId="28094CDF" w14:textId="77777777" w:rsidR="00C5137D" w:rsidRPr="0042797B" w:rsidRDefault="00C5137D" w:rsidP="00C5137D">
            <w:pPr>
              <w:jc w:val="center"/>
              <w:rPr>
                <w:rStyle w:val="hps"/>
                <w:sz w:val="12"/>
                <w:szCs w:val="12"/>
              </w:rPr>
            </w:pPr>
            <w:r w:rsidRPr="0042797B">
              <w:rPr>
                <w:b/>
                <w:sz w:val="12"/>
                <w:szCs w:val="12"/>
              </w:rPr>
              <w:t>Entitas Anak/</w:t>
            </w:r>
            <w:r w:rsidRPr="0042797B">
              <w:rPr>
                <w:sz w:val="12"/>
                <w:szCs w:val="12"/>
              </w:rPr>
              <w:t xml:space="preserve"> </w:t>
            </w:r>
            <w:r w:rsidRPr="0042797B">
              <w:rPr>
                <w:b/>
                <w:i/>
                <w:sz w:val="12"/>
                <w:szCs w:val="12"/>
              </w:rPr>
              <w:t>Subsidiaries</w:t>
            </w:r>
          </w:p>
        </w:tc>
        <w:tc>
          <w:tcPr>
            <w:tcW w:w="20" w:type="dxa"/>
            <w:vAlign w:val="bottom"/>
          </w:tcPr>
          <w:p w14:paraId="07D6C189" w14:textId="77777777" w:rsidR="00C5137D" w:rsidRPr="0042797B" w:rsidRDefault="00C5137D" w:rsidP="00C5137D">
            <w:pPr>
              <w:ind w:left="340"/>
              <w:jc w:val="center"/>
              <w:rPr>
                <w:sz w:val="12"/>
                <w:szCs w:val="12"/>
              </w:rPr>
            </w:pPr>
          </w:p>
        </w:tc>
        <w:tc>
          <w:tcPr>
            <w:tcW w:w="574" w:type="dxa"/>
            <w:tcBorders>
              <w:bottom w:val="single" w:sz="4" w:space="0" w:color="auto"/>
            </w:tcBorders>
            <w:vAlign w:val="bottom"/>
          </w:tcPr>
          <w:p w14:paraId="1BAC06CC" w14:textId="77777777" w:rsidR="00C5137D" w:rsidRPr="0042797B" w:rsidRDefault="00C5137D" w:rsidP="00C5137D">
            <w:pPr>
              <w:ind w:left="-4" w:right="-56" w:firstLine="4"/>
              <w:rPr>
                <w:b/>
                <w:sz w:val="12"/>
                <w:szCs w:val="12"/>
                <w:lang w:val="id-ID"/>
              </w:rPr>
            </w:pPr>
          </w:p>
          <w:p w14:paraId="45820AA6" w14:textId="77777777" w:rsidR="00C5137D" w:rsidRPr="0042797B" w:rsidRDefault="00C5137D" w:rsidP="00C5137D">
            <w:pPr>
              <w:ind w:right="-56"/>
              <w:jc w:val="center"/>
              <w:rPr>
                <w:sz w:val="12"/>
                <w:szCs w:val="12"/>
                <w:lang w:val="id-ID"/>
              </w:rPr>
            </w:pPr>
            <w:r w:rsidRPr="0042797B">
              <w:rPr>
                <w:b/>
                <w:sz w:val="12"/>
                <w:szCs w:val="12"/>
                <w:lang w:val="id-ID"/>
              </w:rPr>
              <w:t>Lokasi</w:t>
            </w:r>
            <w:r w:rsidRPr="0042797B">
              <w:rPr>
                <w:b/>
                <w:sz w:val="12"/>
                <w:szCs w:val="12"/>
              </w:rPr>
              <w:t>/</w:t>
            </w:r>
            <w:r w:rsidRPr="0042797B">
              <w:rPr>
                <w:sz w:val="12"/>
                <w:szCs w:val="12"/>
              </w:rPr>
              <w:t xml:space="preserve"> </w:t>
            </w:r>
          </w:p>
          <w:p w14:paraId="01AB76FD" w14:textId="28DF4FA2" w:rsidR="00C5137D" w:rsidRPr="0042797B" w:rsidRDefault="00C5137D" w:rsidP="00C5137D">
            <w:pPr>
              <w:ind w:right="-56"/>
              <w:jc w:val="center"/>
              <w:rPr>
                <w:b/>
                <w:sz w:val="12"/>
                <w:szCs w:val="12"/>
                <w:lang w:val="id-ID"/>
              </w:rPr>
            </w:pPr>
            <w:r w:rsidRPr="0042797B">
              <w:rPr>
                <w:b/>
                <w:i/>
                <w:sz w:val="12"/>
                <w:szCs w:val="12"/>
                <w:lang w:val="id-ID"/>
              </w:rPr>
              <w:t>Location</w:t>
            </w:r>
          </w:p>
        </w:tc>
        <w:tc>
          <w:tcPr>
            <w:tcW w:w="20" w:type="dxa"/>
          </w:tcPr>
          <w:p w14:paraId="64AF2B1A" w14:textId="77777777" w:rsidR="00C5137D" w:rsidRPr="0042797B" w:rsidRDefault="00C5137D" w:rsidP="00C5137D">
            <w:pPr>
              <w:ind w:left="-4" w:right="-56" w:firstLine="4"/>
              <w:jc w:val="center"/>
              <w:rPr>
                <w:b/>
                <w:sz w:val="12"/>
                <w:szCs w:val="12"/>
              </w:rPr>
            </w:pPr>
          </w:p>
        </w:tc>
        <w:tc>
          <w:tcPr>
            <w:tcW w:w="1073" w:type="dxa"/>
            <w:tcBorders>
              <w:bottom w:val="single" w:sz="4" w:space="0" w:color="auto"/>
            </w:tcBorders>
            <w:vAlign w:val="bottom"/>
          </w:tcPr>
          <w:p w14:paraId="173923BE" w14:textId="354C1E53" w:rsidR="00C5137D" w:rsidRPr="0042797B" w:rsidRDefault="00C5137D" w:rsidP="00C5137D">
            <w:pPr>
              <w:ind w:left="-4" w:right="-56" w:firstLine="4"/>
              <w:jc w:val="center"/>
              <w:rPr>
                <w:b/>
                <w:sz w:val="12"/>
                <w:szCs w:val="12"/>
                <w:lang w:val="id-ID"/>
              </w:rPr>
            </w:pPr>
            <w:r w:rsidRPr="0042797B">
              <w:rPr>
                <w:b/>
                <w:sz w:val="12"/>
                <w:szCs w:val="12"/>
                <w:lang w:val="id-ID"/>
              </w:rPr>
              <w:t xml:space="preserve">Jenis </w:t>
            </w:r>
            <w:r w:rsidRPr="0042797B">
              <w:rPr>
                <w:b/>
                <w:sz w:val="12"/>
                <w:szCs w:val="12"/>
              </w:rPr>
              <w:t>Usaha/</w:t>
            </w:r>
          </w:p>
          <w:p w14:paraId="061CFB1B" w14:textId="0C2AA5BD" w:rsidR="00C5137D" w:rsidRPr="0042797B" w:rsidRDefault="00C5137D" w:rsidP="00C5137D">
            <w:pPr>
              <w:jc w:val="center"/>
              <w:rPr>
                <w:i/>
                <w:sz w:val="12"/>
                <w:szCs w:val="12"/>
                <w:lang w:val="id-ID"/>
              </w:rPr>
            </w:pPr>
            <w:r w:rsidRPr="0042797B">
              <w:rPr>
                <w:b/>
                <w:i/>
                <w:sz w:val="12"/>
                <w:szCs w:val="12"/>
                <w:lang w:val="id-ID"/>
              </w:rPr>
              <w:t>Nature of Business</w:t>
            </w:r>
          </w:p>
        </w:tc>
        <w:tc>
          <w:tcPr>
            <w:tcW w:w="20" w:type="dxa"/>
            <w:vAlign w:val="bottom"/>
          </w:tcPr>
          <w:p w14:paraId="20D9EE70" w14:textId="77777777" w:rsidR="00C5137D" w:rsidRPr="0042797B" w:rsidRDefault="00C5137D" w:rsidP="00C5137D">
            <w:pPr>
              <w:ind w:left="426"/>
              <w:jc w:val="center"/>
              <w:rPr>
                <w:bCs w:val="0"/>
                <w:i/>
                <w:sz w:val="12"/>
                <w:szCs w:val="12"/>
              </w:rPr>
            </w:pPr>
          </w:p>
        </w:tc>
        <w:tc>
          <w:tcPr>
            <w:tcW w:w="1073" w:type="dxa"/>
            <w:tcBorders>
              <w:bottom w:val="single" w:sz="4" w:space="0" w:color="auto"/>
            </w:tcBorders>
            <w:vAlign w:val="bottom"/>
          </w:tcPr>
          <w:p w14:paraId="639CF7EE" w14:textId="77777777" w:rsidR="00C5137D" w:rsidRPr="0042797B" w:rsidRDefault="00C5137D" w:rsidP="00C5137D">
            <w:pPr>
              <w:jc w:val="center"/>
              <w:rPr>
                <w:b/>
                <w:sz w:val="12"/>
                <w:szCs w:val="12"/>
              </w:rPr>
            </w:pPr>
            <w:r w:rsidRPr="0042797B">
              <w:rPr>
                <w:b/>
                <w:sz w:val="12"/>
                <w:szCs w:val="12"/>
              </w:rPr>
              <w:t>Tahun Operasi</w:t>
            </w:r>
          </w:p>
          <w:p w14:paraId="0B6354A8" w14:textId="09C499A9" w:rsidR="00C5137D" w:rsidRPr="0042797B" w:rsidRDefault="00C5137D" w:rsidP="00C5137D">
            <w:pPr>
              <w:jc w:val="center"/>
              <w:rPr>
                <w:b/>
                <w:i/>
                <w:sz w:val="12"/>
                <w:szCs w:val="12"/>
                <w:lang w:val="id-ID"/>
              </w:rPr>
            </w:pPr>
            <w:r w:rsidRPr="0042797B">
              <w:rPr>
                <w:b/>
                <w:sz w:val="12"/>
                <w:szCs w:val="12"/>
              </w:rPr>
              <w:t>Komersial/</w:t>
            </w:r>
            <w:r w:rsidRPr="0042797B">
              <w:rPr>
                <w:sz w:val="12"/>
                <w:szCs w:val="12"/>
              </w:rPr>
              <w:t xml:space="preserve"> </w:t>
            </w:r>
            <w:r w:rsidRPr="0042797B">
              <w:rPr>
                <w:b/>
                <w:i/>
                <w:sz w:val="12"/>
                <w:szCs w:val="12"/>
                <w:lang w:val="id-ID"/>
              </w:rPr>
              <w:t>Start</w:t>
            </w:r>
            <w:r w:rsidRPr="0042797B">
              <w:rPr>
                <w:b/>
                <w:i/>
                <w:sz w:val="12"/>
                <w:szCs w:val="12"/>
              </w:rPr>
              <w:t xml:space="preserve"> of </w:t>
            </w:r>
          </w:p>
          <w:p w14:paraId="17E05CF9" w14:textId="7CB368B3" w:rsidR="00C5137D" w:rsidRPr="0042797B" w:rsidRDefault="00C5137D" w:rsidP="00C5137D">
            <w:pPr>
              <w:jc w:val="center"/>
              <w:rPr>
                <w:bCs w:val="0"/>
                <w:i/>
                <w:sz w:val="12"/>
                <w:szCs w:val="12"/>
              </w:rPr>
            </w:pPr>
            <w:r w:rsidRPr="0042797B">
              <w:rPr>
                <w:b/>
                <w:i/>
                <w:sz w:val="12"/>
                <w:szCs w:val="12"/>
              </w:rPr>
              <w:t>Commercial Operations</w:t>
            </w:r>
          </w:p>
        </w:tc>
        <w:tc>
          <w:tcPr>
            <w:tcW w:w="20" w:type="dxa"/>
            <w:vAlign w:val="bottom"/>
          </w:tcPr>
          <w:p w14:paraId="155B8B6F" w14:textId="77777777" w:rsidR="00C5137D" w:rsidRPr="0042797B" w:rsidRDefault="00C5137D" w:rsidP="00C5137D">
            <w:pPr>
              <w:ind w:left="426"/>
              <w:jc w:val="center"/>
              <w:rPr>
                <w:bCs w:val="0"/>
                <w:i/>
                <w:sz w:val="12"/>
                <w:szCs w:val="12"/>
              </w:rPr>
            </w:pPr>
          </w:p>
        </w:tc>
        <w:tc>
          <w:tcPr>
            <w:tcW w:w="20" w:type="dxa"/>
            <w:vAlign w:val="bottom"/>
          </w:tcPr>
          <w:p w14:paraId="6185B066" w14:textId="77777777" w:rsidR="00C5137D" w:rsidRPr="0042797B" w:rsidRDefault="00C5137D" w:rsidP="00C5137D">
            <w:pPr>
              <w:ind w:left="426"/>
              <w:jc w:val="center"/>
              <w:rPr>
                <w:bCs w:val="0"/>
                <w:i/>
                <w:sz w:val="12"/>
                <w:szCs w:val="12"/>
              </w:rPr>
            </w:pPr>
          </w:p>
        </w:tc>
        <w:tc>
          <w:tcPr>
            <w:tcW w:w="1073" w:type="dxa"/>
            <w:tcBorders>
              <w:top w:val="single" w:sz="4" w:space="0" w:color="auto"/>
              <w:bottom w:val="single" w:sz="4" w:space="0" w:color="auto"/>
            </w:tcBorders>
            <w:vAlign w:val="bottom"/>
          </w:tcPr>
          <w:p w14:paraId="67B89A1B" w14:textId="758B3220" w:rsidR="00C5137D" w:rsidRPr="0042797B" w:rsidRDefault="00C5137D" w:rsidP="00C5137D">
            <w:pPr>
              <w:jc w:val="center"/>
              <w:rPr>
                <w:b/>
                <w:i/>
                <w:sz w:val="12"/>
                <w:szCs w:val="12"/>
              </w:rPr>
            </w:pPr>
            <w:r>
              <w:rPr>
                <w:b/>
                <w:sz w:val="12"/>
                <w:szCs w:val="12"/>
              </w:rPr>
              <w:t>31 Maret</w:t>
            </w:r>
            <w:r w:rsidRPr="0042797B">
              <w:rPr>
                <w:b/>
                <w:sz w:val="12"/>
                <w:szCs w:val="12"/>
              </w:rPr>
              <w:t>/</w:t>
            </w:r>
            <w:r w:rsidRPr="0042797B">
              <w:rPr>
                <w:sz w:val="12"/>
                <w:szCs w:val="12"/>
              </w:rPr>
              <w:t xml:space="preserve"> </w:t>
            </w:r>
            <w:r>
              <w:rPr>
                <w:b/>
                <w:i/>
                <w:sz w:val="12"/>
                <w:szCs w:val="12"/>
              </w:rPr>
              <w:t>March</w:t>
            </w:r>
            <w:r w:rsidRPr="0042797B">
              <w:rPr>
                <w:b/>
                <w:i/>
                <w:sz w:val="12"/>
                <w:szCs w:val="12"/>
              </w:rPr>
              <w:t xml:space="preserve"> 31</w:t>
            </w:r>
            <w:r w:rsidR="00E347DC">
              <w:rPr>
                <w:b/>
                <w:i/>
                <w:sz w:val="12"/>
                <w:szCs w:val="12"/>
              </w:rPr>
              <w:t>,</w:t>
            </w:r>
          </w:p>
          <w:p w14:paraId="574203EE" w14:textId="68CEEA9A" w:rsidR="00C5137D" w:rsidRPr="0042797B" w:rsidRDefault="00C5137D" w:rsidP="00C5137D">
            <w:pPr>
              <w:jc w:val="center"/>
              <w:rPr>
                <w:b/>
                <w:sz w:val="12"/>
                <w:szCs w:val="12"/>
              </w:rPr>
            </w:pPr>
            <w:r>
              <w:rPr>
                <w:b/>
                <w:sz w:val="12"/>
                <w:szCs w:val="12"/>
              </w:rPr>
              <w:t>2020</w:t>
            </w:r>
          </w:p>
        </w:tc>
        <w:tc>
          <w:tcPr>
            <w:tcW w:w="24" w:type="dxa"/>
            <w:vAlign w:val="bottom"/>
          </w:tcPr>
          <w:p w14:paraId="1A9D9F46" w14:textId="77777777" w:rsidR="00C5137D" w:rsidRPr="0042797B" w:rsidRDefault="00C5137D" w:rsidP="00C5137D">
            <w:pPr>
              <w:jc w:val="center"/>
              <w:rPr>
                <w:bCs w:val="0"/>
                <w:sz w:val="12"/>
                <w:szCs w:val="12"/>
              </w:rPr>
            </w:pPr>
          </w:p>
        </w:tc>
        <w:tc>
          <w:tcPr>
            <w:tcW w:w="1073" w:type="dxa"/>
            <w:tcBorders>
              <w:top w:val="single" w:sz="4" w:space="0" w:color="auto"/>
              <w:bottom w:val="single" w:sz="4" w:space="0" w:color="auto"/>
            </w:tcBorders>
            <w:vAlign w:val="bottom"/>
          </w:tcPr>
          <w:p w14:paraId="5AB8A40A" w14:textId="47AFC9B9" w:rsidR="00C5137D" w:rsidRPr="0042797B" w:rsidRDefault="00C5137D" w:rsidP="00C5137D">
            <w:pPr>
              <w:jc w:val="center"/>
              <w:rPr>
                <w:b/>
                <w:i/>
                <w:sz w:val="12"/>
                <w:szCs w:val="12"/>
              </w:rPr>
            </w:pPr>
            <w:r w:rsidRPr="0042797B">
              <w:rPr>
                <w:b/>
                <w:sz w:val="12"/>
                <w:szCs w:val="12"/>
              </w:rPr>
              <w:t>31</w:t>
            </w:r>
            <w:r>
              <w:rPr>
                <w:b/>
                <w:sz w:val="12"/>
                <w:szCs w:val="12"/>
              </w:rPr>
              <w:t xml:space="preserve"> Desember</w:t>
            </w:r>
            <w:r w:rsidRPr="0042797B">
              <w:rPr>
                <w:b/>
                <w:sz w:val="12"/>
                <w:szCs w:val="12"/>
              </w:rPr>
              <w:t>/</w:t>
            </w:r>
            <w:r w:rsidRPr="0042797B">
              <w:rPr>
                <w:sz w:val="12"/>
                <w:szCs w:val="12"/>
              </w:rPr>
              <w:t xml:space="preserve"> </w:t>
            </w:r>
            <w:r>
              <w:rPr>
                <w:b/>
                <w:i/>
                <w:sz w:val="12"/>
                <w:szCs w:val="12"/>
              </w:rPr>
              <w:t>December</w:t>
            </w:r>
            <w:r w:rsidRPr="0042797B">
              <w:rPr>
                <w:b/>
                <w:i/>
                <w:sz w:val="12"/>
                <w:szCs w:val="12"/>
              </w:rPr>
              <w:t xml:space="preserve"> 31</w:t>
            </w:r>
            <w:r w:rsidR="00E347DC">
              <w:rPr>
                <w:b/>
                <w:i/>
                <w:sz w:val="12"/>
                <w:szCs w:val="12"/>
              </w:rPr>
              <w:t>,</w:t>
            </w:r>
          </w:p>
          <w:p w14:paraId="4B424189" w14:textId="10301D1E" w:rsidR="00C5137D" w:rsidRPr="0042797B" w:rsidRDefault="00C5137D" w:rsidP="00C5137D">
            <w:pPr>
              <w:jc w:val="center"/>
              <w:rPr>
                <w:b/>
                <w:sz w:val="12"/>
                <w:szCs w:val="12"/>
              </w:rPr>
            </w:pPr>
            <w:r w:rsidRPr="0042797B">
              <w:rPr>
                <w:b/>
                <w:sz w:val="12"/>
                <w:szCs w:val="12"/>
              </w:rPr>
              <w:t>201</w:t>
            </w:r>
            <w:r>
              <w:rPr>
                <w:b/>
                <w:sz w:val="12"/>
                <w:szCs w:val="12"/>
                <w:lang w:val="id-ID"/>
              </w:rPr>
              <w:t>9</w:t>
            </w:r>
          </w:p>
        </w:tc>
        <w:tc>
          <w:tcPr>
            <w:tcW w:w="24" w:type="dxa"/>
            <w:vAlign w:val="bottom"/>
          </w:tcPr>
          <w:p w14:paraId="47D906DA" w14:textId="77777777" w:rsidR="00C5137D" w:rsidRPr="0042797B" w:rsidRDefault="00C5137D" w:rsidP="00C5137D">
            <w:pPr>
              <w:jc w:val="center"/>
              <w:rPr>
                <w:bCs w:val="0"/>
                <w:sz w:val="12"/>
                <w:szCs w:val="12"/>
              </w:rPr>
            </w:pPr>
          </w:p>
        </w:tc>
        <w:tc>
          <w:tcPr>
            <w:tcW w:w="1073" w:type="dxa"/>
            <w:tcBorders>
              <w:top w:val="single" w:sz="4" w:space="0" w:color="auto"/>
              <w:bottom w:val="single" w:sz="4" w:space="0" w:color="auto"/>
            </w:tcBorders>
            <w:vAlign w:val="bottom"/>
          </w:tcPr>
          <w:p w14:paraId="7AC14E57" w14:textId="56EC5241" w:rsidR="00C5137D" w:rsidRPr="0042797B" w:rsidRDefault="00C5137D" w:rsidP="00C5137D">
            <w:pPr>
              <w:jc w:val="center"/>
              <w:rPr>
                <w:b/>
                <w:i/>
                <w:sz w:val="12"/>
                <w:szCs w:val="12"/>
              </w:rPr>
            </w:pPr>
            <w:r>
              <w:rPr>
                <w:b/>
                <w:sz w:val="12"/>
                <w:szCs w:val="12"/>
              </w:rPr>
              <w:t>31 Maret</w:t>
            </w:r>
            <w:r w:rsidRPr="0042797B">
              <w:rPr>
                <w:b/>
                <w:sz w:val="12"/>
                <w:szCs w:val="12"/>
              </w:rPr>
              <w:t>/</w:t>
            </w:r>
            <w:r w:rsidRPr="0042797B">
              <w:rPr>
                <w:sz w:val="12"/>
                <w:szCs w:val="12"/>
              </w:rPr>
              <w:t xml:space="preserve"> </w:t>
            </w:r>
            <w:r>
              <w:rPr>
                <w:b/>
                <w:i/>
                <w:sz w:val="12"/>
                <w:szCs w:val="12"/>
              </w:rPr>
              <w:t>March</w:t>
            </w:r>
            <w:r w:rsidRPr="0042797B">
              <w:rPr>
                <w:b/>
                <w:i/>
                <w:sz w:val="12"/>
                <w:szCs w:val="12"/>
              </w:rPr>
              <w:t xml:space="preserve"> 31</w:t>
            </w:r>
            <w:r w:rsidR="00E347DC">
              <w:rPr>
                <w:b/>
                <w:i/>
                <w:sz w:val="12"/>
                <w:szCs w:val="12"/>
              </w:rPr>
              <w:t>,</w:t>
            </w:r>
          </w:p>
          <w:p w14:paraId="59B28B06" w14:textId="64E75AA3" w:rsidR="00C5137D" w:rsidRPr="0042797B" w:rsidRDefault="00C5137D" w:rsidP="00C5137D">
            <w:pPr>
              <w:jc w:val="center"/>
              <w:rPr>
                <w:b/>
                <w:sz w:val="12"/>
                <w:szCs w:val="12"/>
              </w:rPr>
            </w:pPr>
            <w:r>
              <w:rPr>
                <w:b/>
                <w:sz w:val="12"/>
                <w:szCs w:val="12"/>
              </w:rPr>
              <w:t>2020</w:t>
            </w:r>
          </w:p>
        </w:tc>
        <w:tc>
          <w:tcPr>
            <w:tcW w:w="24" w:type="dxa"/>
            <w:tcBorders>
              <w:top w:val="single" w:sz="4" w:space="0" w:color="auto"/>
            </w:tcBorders>
            <w:vAlign w:val="bottom"/>
          </w:tcPr>
          <w:p w14:paraId="318C5A85" w14:textId="77777777" w:rsidR="00C5137D" w:rsidRPr="0042797B" w:rsidRDefault="00C5137D" w:rsidP="00C5137D">
            <w:pPr>
              <w:jc w:val="center"/>
              <w:rPr>
                <w:bCs w:val="0"/>
                <w:sz w:val="12"/>
                <w:szCs w:val="12"/>
              </w:rPr>
            </w:pPr>
          </w:p>
        </w:tc>
        <w:tc>
          <w:tcPr>
            <w:tcW w:w="1073" w:type="dxa"/>
            <w:tcBorders>
              <w:top w:val="single" w:sz="4" w:space="0" w:color="auto"/>
              <w:bottom w:val="single" w:sz="4" w:space="0" w:color="auto"/>
            </w:tcBorders>
            <w:vAlign w:val="bottom"/>
          </w:tcPr>
          <w:p w14:paraId="2EB6CEB0" w14:textId="323A3BA7" w:rsidR="00C5137D" w:rsidRPr="0042797B" w:rsidRDefault="00C5137D" w:rsidP="00C5137D">
            <w:pPr>
              <w:jc w:val="center"/>
              <w:rPr>
                <w:b/>
                <w:i/>
                <w:sz w:val="12"/>
                <w:szCs w:val="12"/>
              </w:rPr>
            </w:pPr>
            <w:r w:rsidRPr="0042797B">
              <w:rPr>
                <w:b/>
                <w:sz w:val="12"/>
                <w:szCs w:val="12"/>
              </w:rPr>
              <w:t>31</w:t>
            </w:r>
            <w:r>
              <w:rPr>
                <w:b/>
                <w:sz w:val="12"/>
                <w:szCs w:val="12"/>
              </w:rPr>
              <w:t xml:space="preserve"> Desember</w:t>
            </w:r>
            <w:r w:rsidRPr="0042797B">
              <w:rPr>
                <w:b/>
                <w:sz w:val="12"/>
                <w:szCs w:val="12"/>
              </w:rPr>
              <w:t>/</w:t>
            </w:r>
            <w:r w:rsidRPr="0042797B">
              <w:rPr>
                <w:sz w:val="12"/>
                <w:szCs w:val="12"/>
              </w:rPr>
              <w:t xml:space="preserve"> </w:t>
            </w:r>
            <w:r>
              <w:rPr>
                <w:b/>
                <w:i/>
                <w:sz w:val="12"/>
                <w:szCs w:val="12"/>
              </w:rPr>
              <w:t>December</w:t>
            </w:r>
            <w:r w:rsidRPr="0042797B">
              <w:rPr>
                <w:b/>
                <w:i/>
                <w:sz w:val="12"/>
                <w:szCs w:val="12"/>
              </w:rPr>
              <w:t xml:space="preserve"> 31</w:t>
            </w:r>
            <w:r w:rsidR="00E347DC">
              <w:rPr>
                <w:b/>
                <w:i/>
                <w:sz w:val="12"/>
                <w:szCs w:val="12"/>
              </w:rPr>
              <w:t>,</w:t>
            </w:r>
          </w:p>
          <w:p w14:paraId="70796506" w14:textId="3624086F" w:rsidR="00C5137D" w:rsidRPr="0042797B" w:rsidRDefault="00C5137D" w:rsidP="00C5137D">
            <w:pPr>
              <w:jc w:val="center"/>
              <w:rPr>
                <w:bCs w:val="0"/>
                <w:sz w:val="12"/>
                <w:szCs w:val="12"/>
                <w:lang w:val="id-ID"/>
              </w:rPr>
            </w:pPr>
            <w:r w:rsidRPr="0042797B">
              <w:rPr>
                <w:b/>
                <w:sz w:val="12"/>
                <w:szCs w:val="12"/>
              </w:rPr>
              <w:t>201</w:t>
            </w:r>
            <w:r>
              <w:rPr>
                <w:b/>
                <w:sz w:val="12"/>
                <w:szCs w:val="12"/>
                <w:lang w:val="id-ID"/>
              </w:rPr>
              <w:t>9</w:t>
            </w:r>
          </w:p>
        </w:tc>
      </w:tr>
      <w:tr w:rsidR="0042797B" w:rsidRPr="0042797B" w14:paraId="6E719238" w14:textId="77777777" w:rsidTr="00CC2E72">
        <w:tc>
          <w:tcPr>
            <w:tcW w:w="2030" w:type="dxa"/>
            <w:tcBorders>
              <w:top w:val="single" w:sz="4" w:space="0" w:color="auto"/>
            </w:tcBorders>
          </w:tcPr>
          <w:p w14:paraId="46AC591D" w14:textId="15FB7A40" w:rsidR="00C0406D" w:rsidRPr="0042797B" w:rsidRDefault="00C0406D" w:rsidP="00C0406D">
            <w:pPr>
              <w:jc w:val="both"/>
              <w:rPr>
                <w:rStyle w:val="hps"/>
                <w:sz w:val="12"/>
                <w:szCs w:val="12"/>
              </w:rPr>
            </w:pPr>
          </w:p>
        </w:tc>
        <w:tc>
          <w:tcPr>
            <w:tcW w:w="20" w:type="dxa"/>
          </w:tcPr>
          <w:p w14:paraId="5CE38546" w14:textId="77777777" w:rsidR="00C0406D" w:rsidRPr="0042797B" w:rsidRDefault="00C0406D" w:rsidP="00C0406D">
            <w:pPr>
              <w:ind w:left="340"/>
              <w:jc w:val="both"/>
              <w:rPr>
                <w:sz w:val="12"/>
                <w:szCs w:val="12"/>
              </w:rPr>
            </w:pPr>
          </w:p>
        </w:tc>
        <w:tc>
          <w:tcPr>
            <w:tcW w:w="574" w:type="dxa"/>
            <w:tcBorders>
              <w:top w:val="single" w:sz="4" w:space="0" w:color="auto"/>
            </w:tcBorders>
          </w:tcPr>
          <w:p w14:paraId="6F95D61F" w14:textId="77777777" w:rsidR="00C0406D" w:rsidRPr="0042797B" w:rsidRDefault="00C0406D" w:rsidP="00C0406D">
            <w:pPr>
              <w:ind w:left="340"/>
              <w:jc w:val="both"/>
              <w:rPr>
                <w:sz w:val="12"/>
                <w:szCs w:val="12"/>
              </w:rPr>
            </w:pPr>
          </w:p>
        </w:tc>
        <w:tc>
          <w:tcPr>
            <w:tcW w:w="20" w:type="dxa"/>
          </w:tcPr>
          <w:p w14:paraId="63E2B044" w14:textId="77777777" w:rsidR="00C0406D" w:rsidRPr="0042797B" w:rsidRDefault="00C0406D" w:rsidP="00C0406D">
            <w:pPr>
              <w:ind w:left="340"/>
              <w:jc w:val="both"/>
              <w:rPr>
                <w:sz w:val="12"/>
                <w:szCs w:val="12"/>
              </w:rPr>
            </w:pPr>
          </w:p>
        </w:tc>
        <w:tc>
          <w:tcPr>
            <w:tcW w:w="1073" w:type="dxa"/>
            <w:tcBorders>
              <w:top w:val="single" w:sz="4" w:space="0" w:color="auto"/>
            </w:tcBorders>
          </w:tcPr>
          <w:p w14:paraId="1F7CC32C" w14:textId="2F156C26" w:rsidR="00C0406D" w:rsidRPr="0042797B" w:rsidRDefault="00C0406D" w:rsidP="00C0406D">
            <w:pPr>
              <w:ind w:left="340"/>
              <w:jc w:val="both"/>
              <w:rPr>
                <w:sz w:val="12"/>
                <w:szCs w:val="12"/>
              </w:rPr>
            </w:pPr>
          </w:p>
        </w:tc>
        <w:tc>
          <w:tcPr>
            <w:tcW w:w="20" w:type="dxa"/>
          </w:tcPr>
          <w:p w14:paraId="10582250" w14:textId="77777777" w:rsidR="00C0406D" w:rsidRPr="0042797B" w:rsidRDefault="00C0406D" w:rsidP="00C0406D">
            <w:pPr>
              <w:ind w:left="426"/>
              <w:jc w:val="both"/>
              <w:rPr>
                <w:bCs w:val="0"/>
                <w:i/>
                <w:sz w:val="12"/>
                <w:szCs w:val="12"/>
              </w:rPr>
            </w:pPr>
          </w:p>
        </w:tc>
        <w:tc>
          <w:tcPr>
            <w:tcW w:w="1073" w:type="dxa"/>
            <w:tcBorders>
              <w:top w:val="single" w:sz="4" w:space="0" w:color="auto"/>
            </w:tcBorders>
          </w:tcPr>
          <w:p w14:paraId="20291ACD" w14:textId="77777777" w:rsidR="00C0406D" w:rsidRPr="0042797B" w:rsidRDefault="00C0406D" w:rsidP="00C0406D">
            <w:pPr>
              <w:ind w:left="426"/>
              <w:jc w:val="center"/>
              <w:rPr>
                <w:bCs w:val="0"/>
                <w:i/>
                <w:sz w:val="12"/>
                <w:szCs w:val="12"/>
              </w:rPr>
            </w:pPr>
          </w:p>
        </w:tc>
        <w:tc>
          <w:tcPr>
            <w:tcW w:w="20" w:type="dxa"/>
          </w:tcPr>
          <w:p w14:paraId="63F5E5BD" w14:textId="77777777" w:rsidR="00C0406D" w:rsidRPr="0042797B" w:rsidRDefault="00C0406D" w:rsidP="00C0406D">
            <w:pPr>
              <w:ind w:left="426"/>
              <w:jc w:val="both"/>
              <w:rPr>
                <w:bCs w:val="0"/>
                <w:i/>
                <w:sz w:val="12"/>
                <w:szCs w:val="12"/>
              </w:rPr>
            </w:pPr>
          </w:p>
        </w:tc>
        <w:tc>
          <w:tcPr>
            <w:tcW w:w="20" w:type="dxa"/>
          </w:tcPr>
          <w:p w14:paraId="7AA43C4B" w14:textId="77777777" w:rsidR="00C0406D" w:rsidRPr="0042797B" w:rsidRDefault="00C0406D" w:rsidP="00C0406D">
            <w:pPr>
              <w:ind w:left="426"/>
              <w:jc w:val="both"/>
              <w:rPr>
                <w:bCs w:val="0"/>
                <w:i/>
                <w:sz w:val="12"/>
                <w:szCs w:val="12"/>
              </w:rPr>
            </w:pPr>
          </w:p>
        </w:tc>
        <w:tc>
          <w:tcPr>
            <w:tcW w:w="1073" w:type="dxa"/>
            <w:tcBorders>
              <w:top w:val="single" w:sz="4" w:space="0" w:color="auto"/>
            </w:tcBorders>
          </w:tcPr>
          <w:p w14:paraId="09A9FE83" w14:textId="77777777" w:rsidR="00C0406D" w:rsidRPr="0042797B" w:rsidRDefault="00C0406D" w:rsidP="00C0406D">
            <w:pPr>
              <w:jc w:val="center"/>
              <w:rPr>
                <w:bCs w:val="0"/>
                <w:i/>
                <w:sz w:val="12"/>
                <w:szCs w:val="12"/>
              </w:rPr>
            </w:pPr>
          </w:p>
        </w:tc>
        <w:tc>
          <w:tcPr>
            <w:tcW w:w="24" w:type="dxa"/>
          </w:tcPr>
          <w:p w14:paraId="5995A568" w14:textId="77777777" w:rsidR="00C0406D" w:rsidRPr="0042797B" w:rsidRDefault="00C0406D" w:rsidP="00C0406D">
            <w:pPr>
              <w:jc w:val="center"/>
              <w:rPr>
                <w:bCs w:val="0"/>
                <w:i/>
                <w:sz w:val="12"/>
                <w:szCs w:val="12"/>
              </w:rPr>
            </w:pPr>
          </w:p>
        </w:tc>
        <w:tc>
          <w:tcPr>
            <w:tcW w:w="1073" w:type="dxa"/>
            <w:tcBorders>
              <w:top w:val="single" w:sz="4" w:space="0" w:color="auto"/>
            </w:tcBorders>
          </w:tcPr>
          <w:p w14:paraId="5CF75B00" w14:textId="77777777" w:rsidR="00C0406D" w:rsidRPr="0042797B" w:rsidRDefault="00C0406D" w:rsidP="00C0406D">
            <w:pPr>
              <w:jc w:val="center"/>
              <w:rPr>
                <w:bCs w:val="0"/>
                <w:i/>
                <w:sz w:val="12"/>
                <w:szCs w:val="12"/>
              </w:rPr>
            </w:pPr>
          </w:p>
        </w:tc>
        <w:tc>
          <w:tcPr>
            <w:tcW w:w="24" w:type="dxa"/>
          </w:tcPr>
          <w:p w14:paraId="186AEF23" w14:textId="77777777" w:rsidR="00C0406D" w:rsidRPr="0042797B" w:rsidRDefault="00C0406D" w:rsidP="00C0406D">
            <w:pPr>
              <w:jc w:val="center"/>
              <w:rPr>
                <w:bCs w:val="0"/>
                <w:i/>
                <w:sz w:val="12"/>
                <w:szCs w:val="12"/>
              </w:rPr>
            </w:pPr>
          </w:p>
        </w:tc>
        <w:tc>
          <w:tcPr>
            <w:tcW w:w="1073" w:type="dxa"/>
            <w:tcBorders>
              <w:top w:val="single" w:sz="4" w:space="0" w:color="auto"/>
            </w:tcBorders>
          </w:tcPr>
          <w:p w14:paraId="5964C6EA" w14:textId="77777777" w:rsidR="00C0406D" w:rsidRPr="0042797B" w:rsidRDefault="00C0406D" w:rsidP="00C0406D">
            <w:pPr>
              <w:jc w:val="center"/>
              <w:rPr>
                <w:bCs w:val="0"/>
                <w:i/>
                <w:sz w:val="12"/>
                <w:szCs w:val="12"/>
              </w:rPr>
            </w:pPr>
          </w:p>
        </w:tc>
        <w:tc>
          <w:tcPr>
            <w:tcW w:w="24" w:type="dxa"/>
          </w:tcPr>
          <w:p w14:paraId="0A2FD780" w14:textId="77777777" w:rsidR="00C0406D" w:rsidRPr="0042797B" w:rsidRDefault="00C0406D" w:rsidP="00C0406D">
            <w:pPr>
              <w:jc w:val="center"/>
              <w:rPr>
                <w:bCs w:val="0"/>
                <w:i/>
                <w:sz w:val="12"/>
                <w:szCs w:val="12"/>
              </w:rPr>
            </w:pPr>
          </w:p>
        </w:tc>
        <w:tc>
          <w:tcPr>
            <w:tcW w:w="1073" w:type="dxa"/>
          </w:tcPr>
          <w:p w14:paraId="686B10D4" w14:textId="77777777" w:rsidR="00C0406D" w:rsidRPr="0042797B" w:rsidRDefault="00C0406D" w:rsidP="00C0406D">
            <w:pPr>
              <w:jc w:val="center"/>
              <w:rPr>
                <w:bCs w:val="0"/>
                <w:i/>
                <w:sz w:val="12"/>
                <w:szCs w:val="12"/>
              </w:rPr>
            </w:pPr>
          </w:p>
        </w:tc>
      </w:tr>
      <w:tr w:rsidR="0042797B" w:rsidRPr="0042797B" w14:paraId="28ED4E4A" w14:textId="77777777" w:rsidTr="00CC2E72">
        <w:trPr>
          <w:trHeight w:val="88"/>
        </w:trPr>
        <w:tc>
          <w:tcPr>
            <w:tcW w:w="2030" w:type="dxa"/>
            <w:vAlign w:val="bottom"/>
          </w:tcPr>
          <w:p w14:paraId="54345D95" w14:textId="0FBC8125" w:rsidR="00EC49A4" w:rsidRPr="0042797B" w:rsidRDefault="00EC49A4" w:rsidP="00C0406D">
            <w:pPr>
              <w:ind w:left="283" w:hanging="142"/>
              <w:rPr>
                <w:rStyle w:val="hps"/>
                <w:sz w:val="12"/>
                <w:szCs w:val="12"/>
              </w:rPr>
            </w:pPr>
            <w:r w:rsidRPr="0042797B">
              <w:rPr>
                <w:rStyle w:val="hps"/>
                <w:sz w:val="12"/>
                <w:szCs w:val="12"/>
              </w:rPr>
              <w:t>PT Nirmala Kencana Mas (NKM)</w:t>
            </w:r>
          </w:p>
        </w:tc>
        <w:tc>
          <w:tcPr>
            <w:tcW w:w="20" w:type="dxa"/>
          </w:tcPr>
          <w:p w14:paraId="77F702A7" w14:textId="77777777" w:rsidR="00EC49A4" w:rsidRPr="0042797B" w:rsidRDefault="00EC49A4" w:rsidP="00C0406D">
            <w:pPr>
              <w:rPr>
                <w:sz w:val="12"/>
                <w:szCs w:val="12"/>
              </w:rPr>
            </w:pPr>
          </w:p>
        </w:tc>
        <w:tc>
          <w:tcPr>
            <w:tcW w:w="574" w:type="dxa"/>
            <w:vAlign w:val="bottom"/>
          </w:tcPr>
          <w:p w14:paraId="6FD1B5A4" w14:textId="59AB4FE4" w:rsidR="00EC49A4" w:rsidRPr="0042797B" w:rsidRDefault="00EC49A4" w:rsidP="00261DF6">
            <w:pPr>
              <w:jc w:val="center"/>
              <w:rPr>
                <w:sz w:val="12"/>
                <w:szCs w:val="12"/>
              </w:rPr>
            </w:pPr>
            <w:r w:rsidRPr="0042797B">
              <w:rPr>
                <w:sz w:val="12"/>
                <w:szCs w:val="12"/>
              </w:rPr>
              <w:t>Jakarta</w:t>
            </w:r>
          </w:p>
        </w:tc>
        <w:tc>
          <w:tcPr>
            <w:tcW w:w="20" w:type="dxa"/>
          </w:tcPr>
          <w:p w14:paraId="77921089" w14:textId="77777777" w:rsidR="00EC49A4" w:rsidRPr="0042797B" w:rsidRDefault="00EC49A4" w:rsidP="00C0406D">
            <w:pPr>
              <w:jc w:val="center"/>
              <w:rPr>
                <w:sz w:val="12"/>
                <w:szCs w:val="12"/>
              </w:rPr>
            </w:pPr>
          </w:p>
        </w:tc>
        <w:tc>
          <w:tcPr>
            <w:tcW w:w="1073" w:type="dxa"/>
            <w:vAlign w:val="bottom"/>
          </w:tcPr>
          <w:p w14:paraId="61CD6242" w14:textId="77777777" w:rsidR="00EC49A4" w:rsidRPr="0042797B" w:rsidRDefault="00EC49A4" w:rsidP="00C0406D">
            <w:pPr>
              <w:jc w:val="center"/>
              <w:rPr>
                <w:sz w:val="12"/>
                <w:szCs w:val="12"/>
                <w:lang w:val="id-ID"/>
              </w:rPr>
            </w:pPr>
            <w:r w:rsidRPr="0042797B">
              <w:rPr>
                <w:sz w:val="12"/>
                <w:szCs w:val="12"/>
                <w:lang w:val="id-ID"/>
              </w:rPr>
              <w:t>Rumah sakit./</w:t>
            </w:r>
          </w:p>
          <w:p w14:paraId="4FDAAE13" w14:textId="1F3F6AB3" w:rsidR="00EC49A4" w:rsidRPr="0042797B" w:rsidRDefault="00EC49A4" w:rsidP="00C0406D">
            <w:pPr>
              <w:jc w:val="center"/>
              <w:rPr>
                <w:sz w:val="12"/>
                <w:szCs w:val="12"/>
                <w:lang w:val="id-ID"/>
              </w:rPr>
            </w:pPr>
            <w:r w:rsidRPr="0042797B">
              <w:rPr>
                <w:i/>
                <w:sz w:val="12"/>
                <w:szCs w:val="12"/>
                <w:lang w:val="id-ID"/>
              </w:rPr>
              <w:t>Hospital</w:t>
            </w:r>
          </w:p>
        </w:tc>
        <w:tc>
          <w:tcPr>
            <w:tcW w:w="20" w:type="dxa"/>
          </w:tcPr>
          <w:p w14:paraId="1354F4BC" w14:textId="77777777" w:rsidR="00EC49A4" w:rsidRPr="0042797B" w:rsidRDefault="00EC49A4" w:rsidP="00C0406D">
            <w:pPr>
              <w:rPr>
                <w:bCs w:val="0"/>
                <w:i/>
                <w:sz w:val="12"/>
                <w:szCs w:val="12"/>
              </w:rPr>
            </w:pPr>
          </w:p>
        </w:tc>
        <w:tc>
          <w:tcPr>
            <w:tcW w:w="1073" w:type="dxa"/>
            <w:vAlign w:val="bottom"/>
          </w:tcPr>
          <w:p w14:paraId="7B17BE8E" w14:textId="56479AD2" w:rsidR="00EC49A4" w:rsidRPr="0042797B" w:rsidRDefault="00EC49A4" w:rsidP="00C0406D">
            <w:pPr>
              <w:jc w:val="center"/>
              <w:rPr>
                <w:bCs w:val="0"/>
                <w:sz w:val="12"/>
                <w:szCs w:val="12"/>
                <w:lang w:val="id-ID"/>
              </w:rPr>
            </w:pPr>
            <w:r w:rsidRPr="0042797B">
              <w:rPr>
                <w:bCs w:val="0"/>
                <w:sz w:val="12"/>
                <w:szCs w:val="12"/>
                <w:lang w:val="id-ID"/>
              </w:rPr>
              <w:t>2013</w:t>
            </w:r>
          </w:p>
        </w:tc>
        <w:tc>
          <w:tcPr>
            <w:tcW w:w="20" w:type="dxa"/>
            <w:vAlign w:val="bottom"/>
          </w:tcPr>
          <w:p w14:paraId="58F657C1" w14:textId="77777777" w:rsidR="00EC49A4" w:rsidRPr="0042797B" w:rsidRDefault="00EC49A4" w:rsidP="00C0406D">
            <w:pPr>
              <w:jc w:val="center"/>
              <w:rPr>
                <w:bCs w:val="0"/>
                <w:i/>
                <w:sz w:val="12"/>
                <w:szCs w:val="12"/>
              </w:rPr>
            </w:pPr>
          </w:p>
        </w:tc>
        <w:tc>
          <w:tcPr>
            <w:tcW w:w="20" w:type="dxa"/>
            <w:vAlign w:val="bottom"/>
          </w:tcPr>
          <w:p w14:paraId="4BE63B83" w14:textId="77777777" w:rsidR="00EC49A4" w:rsidRPr="0042797B" w:rsidRDefault="00EC49A4" w:rsidP="00C0406D">
            <w:pPr>
              <w:jc w:val="center"/>
              <w:rPr>
                <w:bCs w:val="0"/>
                <w:sz w:val="12"/>
                <w:szCs w:val="12"/>
              </w:rPr>
            </w:pPr>
          </w:p>
        </w:tc>
        <w:tc>
          <w:tcPr>
            <w:tcW w:w="1073" w:type="dxa"/>
            <w:vAlign w:val="bottom"/>
          </w:tcPr>
          <w:p w14:paraId="60EF1391" w14:textId="6B8C5C68" w:rsidR="00EC49A4" w:rsidRPr="0042797B" w:rsidRDefault="00EC49A4" w:rsidP="00C0406D">
            <w:pPr>
              <w:jc w:val="center"/>
              <w:rPr>
                <w:bCs w:val="0"/>
                <w:sz w:val="12"/>
                <w:szCs w:val="12"/>
                <w:lang w:val="id-ID"/>
              </w:rPr>
            </w:pPr>
            <w:r w:rsidRPr="0042797B">
              <w:rPr>
                <w:bCs w:val="0"/>
                <w:sz w:val="12"/>
                <w:szCs w:val="12"/>
                <w:lang w:val="id-ID"/>
              </w:rPr>
              <w:t>99</w:t>
            </w:r>
            <w:r w:rsidR="00E347DC">
              <w:rPr>
                <w:bCs w:val="0"/>
                <w:sz w:val="12"/>
                <w:szCs w:val="12"/>
                <w:lang w:val="id-ID"/>
              </w:rPr>
              <w:t>.</w:t>
            </w:r>
            <w:r w:rsidRPr="0042797B">
              <w:rPr>
                <w:bCs w:val="0"/>
                <w:sz w:val="12"/>
                <w:szCs w:val="12"/>
                <w:lang w:val="id-ID"/>
              </w:rPr>
              <w:t>81%</w:t>
            </w:r>
          </w:p>
        </w:tc>
        <w:tc>
          <w:tcPr>
            <w:tcW w:w="24" w:type="dxa"/>
            <w:vAlign w:val="bottom"/>
          </w:tcPr>
          <w:p w14:paraId="4ECE9584" w14:textId="77777777" w:rsidR="00EC49A4" w:rsidRPr="0042797B" w:rsidRDefault="00EC49A4" w:rsidP="00C0406D">
            <w:pPr>
              <w:jc w:val="center"/>
              <w:rPr>
                <w:bCs w:val="0"/>
                <w:sz w:val="12"/>
                <w:szCs w:val="12"/>
              </w:rPr>
            </w:pPr>
          </w:p>
        </w:tc>
        <w:tc>
          <w:tcPr>
            <w:tcW w:w="1073" w:type="dxa"/>
            <w:vAlign w:val="bottom"/>
          </w:tcPr>
          <w:p w14:paraId="5C118393" w14:textId="551FCDFA"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81%</w:t>
            </w:r>
          </w:p>
        </w:tc>
        <w:tc>
          <w:tcPr>
            <w:tcW w:w="24" w:type="dxa"/>
            <w:vAlign w:val="bottom"/>
          </w:tcPr>
          <w:p w14:paraId="26F17B8A" w14:textId="77777777" w:rsidR="00EC49A4" w:rsidRPr="0042797B" w:rsidRDefault="00EC49A4" w:rsidP="00C0406D">
            <w:pPr>
              <w:jc w:val="center"/>
              <w:rPr>
                <w:bCs w:val="0"/>
                <w:sz w:val="12"/>
                <w:szCs w:val="12"/>
              </w:rPr>
            </w:pPr>
          </w:p>
        </w:tc>
        <w:tc>
          <w:tcPr>
            <w:tcW w:w="1073" w:type="dxa"/>
            <w:shd w:val="clear" w:color="auto" w:fill="auto"/>
            <w:vAlign w:val="bottom"/>
          </w:tcPr>
          <w:p w14:paraId="191D2E82" w14:textId="4DF73568" w:rsidR="00EC49A4" w:rsidRPr="0042797B" w:rsidRDefault="00656D0F" w:rsidP="00C0406D">
            <w:pPr>
              <w:ind w:right="57"/>
              <w:jc w:val="right"/>
              <w:rPr>
                <w:bCs w:val="0"/>
                <w:sz w:val="12"/>
                <w:szCs w:val="12"/>
              </w:rPr>
            </w:pPr>
            <w:r w:rsidRPr="00656D0F">
              <w:rPr>
                <w:bCs w:val="0"/>
                <w:sz w:val="12"/>
                <w:szCs w:val="12"/>
              </w:rPr>
              <w:t>1</w:t>
            </w:r>
            <w:r>
              <w:rPr>
                <w:bCs w:val="0"/>
                <w:sz w:val="12"/>
                <w:szCs w:val="12"/>
              </w:rPr>
              <w:t>.</w:t>
            </w:r>
            <w:r w:rsidRPr="00656D0F">
              <w:rPr>
                <w:bCs w:val="0"/>
                <w:sz w:val="12"/>
                <w:szCs w:val="12"/>
              </w:rPr>
              <w:t>270</w:t>
            </w:r>
            <w:r>
              <w:rPr>
                <w:bCs w:val="0"/>
                <w:sz w:val="12"/>
                <w:szCs w:val="12"/>
              </w:rPr>
              <w:t>.</w:t>
            </w:r>
            <w:r w:rsidRPr="00656D0F">
              <w:rPr>
                <w:bCs w:val="0"/>
                <w:sz w:val="12"/>
                <w:szCs w:val="12"/>
              </w:rPr>
              <w:t>362</w:t>
            </w:r>
            <w:r>
              <w:rPr>
                <w:bCs w:val="0"/>
                <w:sz w:val="12"/>
                <w:szCs w:val="12"/>
              </w:rPr>
              <w:t>.</w:t>
            </w:r>
            <w:r w:rsidRPr="00656D0F">
              <w:rPr>
                <w:bCs w:val="0"/>
                <w:sz w:val="12"/>
                <w:szCs w:val="12"/>
              </w:rPr>
              <w:t>014</w:t>
            </w:r>
            <w:r>
              <w:rPr>
                <w:bCs w:val="0"/>
                <w:sz w:val="12"/>
                <w:szCs w:val="12"/>
              </w:rPr>
              <w:t>.</w:t>
            </w:r>
            <w:r w:rsidRPr="00656D0F">
              <w:rPr>
                <w:bCs w:val="0"/>
                <w:sz w:val="12"/>
                <w:szCs w:val="12"/>
              </w:rPr>
              <w:t>021</w:t>
            </w:r>
          </w:p>
        </w:tc>
        <w:tc>
          <w:tcPr>
            <w:tcW w:w="24" w:type="dxa"/>
            <w:vAlign w:val="bottom"/>
          </w:tcPr>
          <w:p w14:paraId="0F8DEEBF" w14:textId="77777777" w:rsidR="00EC49A4" w:rsidRPr="0042797B" w:rsidRDefault="00EC49A4" w:rsidP="00C0406D">
            <w:pPr>
              <w:jc w:val="center"/>
              <w:rPr>
                <w:bCs w:val="0"/>
                <w:sz w:val="12"/>
                <w:szCs w:val="12"/>
              </w:rPr>
            </w:pPr>
          </w:p>
        </w:tc>
        <w:tc>
          <w:tcPr>
            <w:tcW w:w="1073" w:type="dxa"/>
            <w:vAlign w:val="bottom"/>
          </w:tcPr>
          <w:p w14:paraId="2D3D6F8D" w14:textId="50EBCF00" w:rsidR="00EC49A4" w:rsidRPr="0042797B" w:rsidRDefault="00C5137D" w:rsidP="00C0406D">
            <w:pPr>
              <w:ind w:right="57"/>
              <w:jc w:val="right"/>
              <w:rPr>
                <w:bCs w:val="0"/>
                <w:sz w:val="12"/>
                <w:szCs w:val="12"/>
              </w:rPr>
            </w:pPr>
            <w:r w:rsidRPr="0042797B">
              <w:rPr>
                <w:bCs w:val="0"/>
                <w:sz w:val="12"/>
                <w:szCs w:val="12"/>
              </w:rPr>
              <w:t>1.27</w:t>
            </w:r>
            <w:r>
              <w:rPr>
                <w:bCs w:val="0"/>
                <w:sz w:val="12"/>
                <w:szCs w:val="12"/>
              </w:rPr>
              <w:t>1</w:t>
            </w:r>
            <w:r w:rsidRPr="0042797B">
              <w:rPr>
                <w:bCs w:val="0"/>
                <w:sz w:val="12"/>
                <w:szCs w:val="12"/>
              </w:rPr>
              <w:t>.</w:t>
            </w:r>
            <w:r>
              <w:rPr>
                <w:bCs w:val="0"/>
                <w:sz w:val="12"/>
                <w:szCs w:val="12"/>
              </w:rPr>
              <w:t>358</w:t>
            </w:r>
            <w:r w:rsidRPr="0042797B">
              <w:rPr>
                <w:bCs w:val="0"/>
                <w:sz w:val="12"/>
                <w:szCs w:val="12"/>
              </w:rPr>
              <w:t>.</w:t>
            </w:r>
            <w:r>
              <w:rPr>
                <w:bCs w:val="0"/>
                <w:sz w:val="12"/>
                <w:szCs w:val="12"/>
              </w:rPr>
              <w:t>655</w:t>
            </w:r>
            <w:r w:rsidRPr="0042797B">
              <w:rPr>
                <w:bCs w:val="0"/>
                <w:sz w:val="12"/>
                <w:szCs w:val="12"/>
              </w:rPr>
              <w:t>.</w:t>
            </w:r>
            <w:r>
              <w:rPr>
                <w:bCs w:val="0"/>
                <w:sz w:val="12"/>
                <w:szCs w:val="12"/>
              </w:rPr>
              <w:t>030</w:t>
            </w:r>
          </w:p>
        </w:tc>
      </w:tr>
      <w:tr w:rsidR="0042797B" w:rsidRPr="0042797B" w14:paraId="0C8233DD" w14:textId="77777777" w:rsidTr="00CC2E72">
        <w:trPr>
          <w:trHeight w:val="80"/>
        </w:trPr>
        <w:tc>
          <w:tcPr>
            <w:tcW w:w="2030" w:type="dxa"/>
            <w:vAlign w:val="bottom"/>
          </w:tcPr>
          <w:p w14:paraId="32E12D19" w14:textId="77777777" w:rsidR="00EC49A4" w:rsidRPr="0042797B" w:rsidRDefault="00EC49A4" w:rsidP="00C0406D">
            <w:pPr>
              <w:rPr>
                <w:rStyle w:val="hps"/>
                <w:sz w:val="12"/>
                <w:szCs w:val="12"/>
              </w:rPr>
            </w:pPr>
          </w:p>
        </w:tc>
        <w:tc>
          <w:tcPr>
            <w:tcW w:w="20" w:type="dxa"/>
          </w:tcPr>
          <w:p w14:paraId="038BE51D" w14:textId="77777777" w:rsidR="00EC49A4" w:rsidRPr="0042797B" w:rsidRDefault="00EC49A4" w:rsidP="00C0406D">
            <w:pPr>
              <w:rPr>
                <w:sz w:val="12"/>
                <w:szCs w:val="12"/>
              </w:rPr>
            </w:pPr>
          </w:p>
        </w:tc>
        <w:tc>
          <w:tcPr>
            <w:tcW w:w="574" w:type="dxa"/>
            <w:vAlign w:val="bottom"/>
          </w:tcPr>
          <w:p w14:paraId="30D21D89" w14:textId="77777777" w:rsidR="00EC49A4" w:rsidRPr="0042797B" w:rsidRDefault="00EC49A4" w:rsidP="00261DF6">
            <w:pPr>
              <w:jc w:val="center"/>
              <w:rPr>
                <w:sz w:val="12"/>
                <w:szCs w:val="12"/>
              </w:rPr>
            </w:pPr>
          </w:p>
        </w:tc>
        <w:tc>
          <w:tcPr>
            <w:tcW w:w="20" w:type="dxa"/>
          </w:tcPr>
          <w:p w14:paraId="15E63448" w14:textId="77777777" w:rsidR="00EC49A4" w:rsidRPr="0042797B" w:rsidRDefault="00EC49A4" w:rsidP="00C0406D">
            <w:pPr>
              <w:jc w:val="center"/>
              <w:rPr>
                <w:sz w:val="12"/>
                <w:szCs w:val="12"/>
              </w:rPr>
            </w:pPr>
          </w:p>
        </w:tc>
        <w:tc>
          <w:tcPr>
            <w:tcW w:w="1073" w:type="dxa"/>
            <w:vAlign w:val="bottom"/>
          </w:tcPr>
          <w:p w14:paraId="28E13286" w14:textId="39914A8F" w:rsidR="00EC49A4" w:rsidRPr="0042797B" w:rsidRDefault="00EC49A4" w:rsidP="00C0406D">
            <w:pPr>
              <w:jc w:val="center"/>
              <w:rPr>
                <w:sz w:val="12"/>
                <w:szCs w:val="12"/>
              </w:rPr>
            </w:pPr>
          </w:p>
        </w:tc>
        <w:tc>
          <w:tcPr>
            <w:tcW w:w="20" w:type="dxa"/>
          </w:tcPr>
          <w:p w14:paraId="625BFFDE" w14:textId="77777777" w:rsidR="00EC49A4" w:rsidRPr="0042797B" w:rsidRDefault="00EC49A4" w:rsidP="00C0406D">
            <w:pPr>
              <w:rPr>
                <w:bCs w:val="0"/>
                <w:i/>
                <w:sz w:val="12"/>
                <w:szCs w:val="12"/>
              </w:rPr>
            </w:pPr>
          </w:p>
        </w:tc>
        <w:tc>
          <w:tcPr>
            <w:tcW w:w="1073" w:type="dxa"/>
            <w:vAlign w:val="bottom"/>
          </w:tcPr>
          <w:p w14:paraId="7E73C288" w14:textId="77777777" w:rsidR="00EC49A4" w:rsidRPr="0042797B" w:rsidRDefault="00EC49A4" w:rsidP="00C0406D">
            <w:pPr>
              <w:jc w:val="center"/>
              <w:rPr>
                <w:bCs w:val="0"/>
                <w:sz w:val="12"/>
                <w:szCs w:val="12"/>
              </w:rPr>
            </w:pPr>
          </w:p>
        </w:tc>
        <w:tc>
          <w:tcPr>
            <w:tcW w:w="20" w:type="dxa"/>
            <w:vAlign w:val="bottom"/>
          </w:tcPr>
          <w:p w14:paraId="39FAE846" w14:textId="77777777" w:rsidR="00EC49A4" w:rsidRPr="0042797B" w:rsidRDefault="00EC49A4" w:rsidP="00C0406D">
            <w:pPr>
              <w:jc w:val="center"/>
              <w:rPr>
                <w:bCs w:val="0"/>
                <w:i/>
                <w:sz w:val="12"/>
                <w:szCs w:val="12"/>
              </w:rPr>
            </w:pPr>
          </w:p>
        </w:tc>
        <w:tc>
          <w:tcPr>
            <w:tcW w:w="20" w:type="dxa"/>
            <w:vAlign w:val="bottom"/>
          </w:tcPr>
          <w:p w14:paraId="41CD0DE1" w14:textId="77777777" w:rsidR="00EC49A4" w:rsidRPr="0042797B" w:rsidRDefault="00EC49A4" w:rsidP="00C0406D">
            <w:pPr>
              <w:jc w:val="center"/>
              <w:rPr>
                <w:bCs w:val="0"/>
                <w:sz w:val="12"/>
                <w:szCs w:val="12"/>
              </w:rPr>
            </w:pPr>
          </w:p>
        </w:tc>
        <w:tc>
          <w:tcPr>
            <w:tcW w:w="1073" w:type="dxa"/>
            <w:vAlign w:val="bottom"/>
          </w:tcPr>
          <w:p w14:paraId="729A57E9" w14:textId="77777777" w:rsidR="00EC49A4" w:rsidRPr="0042797B" w:rsidRDefault="00EC49A4" w:rsidP="00C0406D">
            <w:pPr>
              <w:jc w:val="center"/>
              <w:rPr>
                <w:bCs w:val="0"/>
                <w:sz w:val="12"/>
                <w:szCs w:val="12"/>
              </w:rPr>
            </w:pPr>
          </w:p>
        </w:tc>
        <w:tc>
          <w:tcPr>
            <w:tcW w:w="24" w:type="dxa"/>
            <w:vAlign w:val="bottom"/>
          </w:tcPr>
          <w:p w14:paraId="262B8A6B" w14:textId="77777777" w:rsidR="00EC49A4" w:rsidRPr="0042797B" w:rsidRDefault="00EC49A4" w:rsidP="00C0406D">
            <w:pPr>
              <w:jc w:val="center"/>
              <w:rPr>
                <w:bCs w:val="0"/>
                <w:sz w:val="12"/>
                <w:szCs w:val="12"/>
              </w:rPr>
            </w:pPr>
          </w:p>
        </w:tc>
        <w:tc>
          <w:tcPr>
            <w:tcW w:w="1073" w:type="dxa"/>
            <w:vAlign w:val="bottom"/>
          </w:tcPr>
          <w:p w14:paraId="6F69FF9D" w14:textId="77777777" w:rsidR="00EC49A4" w:rsidRPr="0042797B" w:rsidRDefault="00EC49A4" w:rsidP="00C0406D">
            <w:pPr>
              <w:jc w:val="center"/>
              <w:rPr>
                <w:bCs w:val="0"/>
                <w:sz w:val="12"/>
                <w:szCs w:val="12"/>
              </w:rPr>
            </w:pPr>
          </w:p>
        </w:tc>
        <w:tc>
          <w:tcPr>
            <w:tcW w:w="24" w:type="dxa"/>
            <w:vAlign w:val="bottom"/>
          </w:tcPr>
          <w:p w14:paraId="50801495" w14:textId="77777777" w:rsidR="00EC49A4" w:rsidRPr="0042797B" w:rsidRDefault="00EC49A4" w:rsidP="00C0406D">
            <w:pPr>
              <w:jc w:val="center"/>
              <w:rPr>
                <w:bCs w:val="0"/>
                <w:sz w:val="12"/>
                <w:szCs w:val="12"/>
              </w:rPr>
            </w:pPr>
          </w:p>
        </w:tc>
        <w:tc>
          <w:tcPr>
            <w:tcW w:w="1073" w:type="dxa"/>
            <w:vAlign w:val="bottom"/>
          </w:tcPr>
          <w:p w14:paraId="5CA27D35" w14:textId="77777777" w:rsidR="00EC49A4" w:rsidRPr="0042797B" w:rsidRDefault="00EC49A4" w:rsidP="00C0406D">
            <w:pPr>
              <w:ind w:right="57"/>
              <w:jc w:val="right"/>
              <w:rPr>
                <w:bCs w:val="0"/>
                <w:sz w:val="12"/>
                <w:szCs w:val="12"/>
              </w:rPr>
            </w:pPr>
          </w:p>
        </w:tc>
        <w:tc>
          <w:tcPr>
            <w:tcW w:w="24" w:type="dxa"/>
            <w:vAlign w:val="bottom"/>
          </w:tcPr>
          <w:p w14:paraId="60AA355D" w14:textId="77777777" w:rsidR="00EC49A4" w:rsidRPr="0042797B" w:rsidRDefault="00EC49A4" w:rsidP="00C0406D">
            <w:pPr>
              <w:jc w:val="center"/>
              <w:rPr>
                <w:bCs w:val="0"/>
                <w:sz w:val="12"/>
                <w:szCs w:val="12"/>
              </w:rPr>
            </w:pPr>
          </w:p>
        </w:tc>
        <w:tc>
          <w:tcPr>
            <w:tcW w:w="1073" w:type="dxa"/>
            <w:vAlign w:val="bottom"/>
          </w:tcPr>
          <w:p w14:paraId="7CCE2C30" w14:textId="77777777" w:rsidR="00EC49A4" w:rsidRPr="0042797B" w:rsidRDefault="00EC49A4" w:rsidP="00C0406D">
            <w:pPr>
              <w:ind w:right="57"/>
              <w:jc w:val="right"/>
              <w:rPr>
                <w:bCs w:val="0"/>
                <w:sz w:val="12"/>
                <w:szCs w:val="12"/>
              </w:rPr>
            </w:pPr>
          </w:p>
        </w:tc>
      </w:tr>
      <w:tr w:rsidR="0042797B" w:rsidRPr="0042797B" w14:paraId="2701991B" w14:textId="77777777" w:rsidTr="00CC2E72">
        <w:tc>
          <w:tcPr>
            <w:tcW w:w="2030" w:type="dxa"/>
          </w:tcPr>
          <w:p w14:paraId="284A40A2" w14:textId="32BC4539" w:rsidR="00EC49A4" w:rsidRPr="0042797B" w:rsidRDefault="00EC49A4" w:rsidP="0042797B">
            <w:pPr>
              <w:ind w:left="283" w:hanging="142"/>
              <w:rPr>
                <w:rStyle w:val="hps"/>
                <w:sz w:val="12"/>
                <w:szCs w:val="12"/>
                <w:lang w:val="id-ID"/>
              </w:rPr>
            </w:pPr>
            <w:r w:rsidRPr="0042797B">
              <w:rPr>
                <w:rStyle w:val="hps"/>
                <w:sz w:val="12"/>
                <w:szCs w:val="12"/>
                <w:lang w:val="id-ID"/>
              </w:rPr>
              <w:t>PT Fajar Kharisma Nusantara</w:t>
            </w:r>
            <w:r w:rsidR="0042797B">
              <w:rPr>
                <w:rStyle w:val="hps"/>
                <w:sz w:val="12"/>
                <w:szCs w:val="12"/>
              </w:rPr>
              <w:t xml:space="preserve"> </w:t>
            </w:r>
            <w:r w:rsidRPr="0042797B">
              <w:rPr>
                <w:rStyle w:val="hps"/>
                <w:sz w:val="12"/>
                <w:szCs w:val="12"/>
                <w:lang w:val="id-ID"/>
              </w:rPr>
              <w:t>(FKN)</w:t>
            </w:r>
          </w:p>
        </w:tc>
        <w:tc>
          <w:tcPr>
            <w:tcW w:w="20" w:type="dxa"/>
          </w:tcPr>
          <w:p w14:paraId="439E6137" w14:textId="77777777" w:rsidR="00EC49A4" w:rsidRPr="0042797B" w:rsidRDefault="00EC49A4" w:rsidP="00C0406D">
            <w:pPr>
              <w:ind w:left="340"/>
              <w:jc w:val="both"/>
              <w:rPr>
                <w:sz w:val="12"/>
                <w:szCs w:val="12"/>
              </w:rPr>
            </w:pPr>
          </w:p>
        </w:tc>
        <w:tc>
          <w:tcPr>
            <w:tcW w:w="574" w:type="dxa"/>
            <w:vAlign w:val="bottom"/>
          </w:tcPr>
          <w:p w14:paraId="7D6EC97E" w14:textId="4440C235" w:rsidR="00EC49A4" w:rsidRPr="0042797B" w:rsidRDefault="00EC49A4" w:rsidP="00261DF6">
            <w:pPr>
              <w:jc w:val="center"/>
              <w:rPr>
                <w:sz w:val="12"/>
                <w:szCs w:val="12"/>
              </w:rPr>
            </w:pPr>
            <w:r w:rsidRPr="0042797B">
              <w:rPr>
                <w:sz w:val="12"/>
                <w:szCs w:val="12"/>
              </w:rPr>
              <w:t>Jakarta</w:t>
            </w:r>
          </w:p>
        </w:tc>
        <w:tc>
          <w:tcPr>
            <w:tcW w:w="20" w:type="dxa"/>
          </w:tcPr>
          <w:p w14:paraId="629D672B" w14:textId="77777777" w:rsidR="00EC49A4" w:rsidRPr="0042797B" w:rsidRDefault="00EC49A4" w:rsidP="00C0406D">
            <w:pPr>
              <w:jc w:val="center"/>
              <w:rPr>
                <w:sz w:val="12"/>
                <w:szCs w:val="12"/>
              </w:rPr>
            </w:pPr>
          </w:p>
        </w:tc>
        <w:tc>
          <w:tcPr>
            <w:tcW w:w="1073" w:type="dxa"/>
            <w:vAlign w:val="bottom"/>
          </w:tcPr>
          <w:p w14:paraId="2E045712" w14:textId="6C683808" w:rsidR="00EC49A4" w:rsidRPr="0042797B" w:rsidRDefault="00EC49A4" w:rsidP="00C0406D">
            <w:pPr>
              <w:jc w:val="center"/>
              <w:rPr>
                <w:sz w:val="12"/>
                <w:szCs w:val="12"/>
                <w:lang w:val="id-ID"/>
              </w:rPr>
            </w:pPr>
            <w:r w:rsidRPr="0042797B">
              <w:rPr>
                <w:sz w:val="12"/>
                <w:szCs w:val="12"/>
                <w:lang w:val="id-ID"/>
              </w:rPr>
              <w:t>-</w:t>
            </w:r>
          </w:p>
        </w:tc>
        <w:tc>
          <w:tcPr>
            <w:tcW w:w="20" w:type="dxa"/>
          </w:tcPr>
          <w:p w14:paraId="778D0A14" w14:textId="77777777" w:rsidR="00EC49A4" w:rsidRPr="0042797B" w:rsidRDefault="00EC49A4" w:rsidP="00C0406D">
            <w:pPr>
              <w:ind w:left="426"/>
              <w:jc w:val="both"/>
              <w:rPr>
                <w:bCs w:val="0"/>
                <w:i/>
                <w:sz w:val="12"/>
                <w:szCs w:val="12"/>
              </w:rPr>
            </w:pPr>
          </w:p>
        </w:tc>
        <w:tc>
          <w:tcPr>
            <w:tcW w:w="1073" w:type="dxa"/>
            <w:vAlign w:val="bottom"/>
          </w:tcPr>
          <w:p w14:paraId="78C89879" w14:textId="140B4D7F" w:rsidR="00EC49A4" w:rsidRPr="0042797B" w:rsidRDefault="00EC49A4" w:rsidP="00C0406D">
            <w:pPr>
              <w:jc w:val="center"/>
              <w:rPr>
                <w:bCs w:val="0"/>
                <w:i/>
                <w:sz w:val="12"/>
                <w:szCs w:val="12"/>
                <w:lang w:val="id-ID"/>
              </w:rPr>
            </w:pPr>
            <w:r w:rsidRPr="0042797B">
              <w:rPr>
                <w:bCs w:val="0"/>
                <w:i/>
                <w:sz w:val="12"/>
                <w:szCs w:val="12"/>
                <w:lang w:val="id-ID"/>
              </w:rPr>
              <w:t>*)</w:t>
            </w:r>
          </w:p>
        </w:tc>
        <w:tc>
          <w:tcPr>
            <w:tcW w:w="20" w:type="dxa"/>
            <w:vAlign w:val="bottom"/>
          </w:tcPr>
          <w:p w14:paraId="428E59DC" w14:textId="77777777" w:rsidR="00EC49A4" w:rsidRPr="0042797B" w:rsidRDefault="00EC49A4" w:rsidP="00C0406D">
            <w:pPr>
              <w:jc w:val="center"/>
              <w:rPr>
                <w:bCs w:val="0"/>
                <w:i/>
                <w:sz w:val="12"/>
                <w:szCs w:val="12"/>
              </w:rPr>
            </w:pPr>
          </w:p>
        </w:tc>
        <w:tc>
          <w:tcPr>
            <w:tcW w:w="20" w:type="dxa"/>
            <w:vAlign w:val="bottom"/>
          </w:tcPr>
          <w:p w14:paraId="08A9D461" w14:textId="77777777" w:rsidR="00EC49A4" w:rsidRPr="0042797B" w:rsidRDefault="00EC49A4" w:rsidP="00C0406D">
            <w:pPr>
              <w:jc w:val="center"/>
              <w:rPr>
                <w:bCs w:val="0"/>
                <w:sz w:val="12"/>
                <w:szCs w:val="12"/>
              </w:rPr>
            </w:pPr>
          </w:p>
        </w:tc>
        <w:tc>
          <w:tcPr>
            <w:tcW w:w="1073" w:type="dxa"/>
            <w:vAlign w:val="bottom"/>
          </w:tcPr>
          <w:p w14:paraId="76452F7A" w14:textId="16B84689" w:rsidR="00EC49A4" w:rsidRPr="0042797B" w:rsidRDefault="00EC49A4" w:rsidP="00C0406D">
            <w:pPr>
              <w:jc w:val="center"/>
              <w:rPr>
                <w:bCs w:val="0"/>
                <w:sz w:val="12"/>
                <w:szCs w:val="12"/>
              </w:rPr>
            </w:pPr>
            <w:r w:rsidRPr="0042797B">
              <w:rPr>
                <w:bCs w:val="0"/>
                <w:sz w:val="12"/>
                <w:szCs w:val="12"/>
                <w:lang w:val="id-ID"/>
              </w:rPr>
              <w:t>95</w:t>
            </w:r>
            <w:r w:rsidR="00E347DC">
              <w:rPr>
                <w:bCs w:val="0"/>
                <w:sz w:val="12"/>
                <w:szCs w:val="12"/>
                <w:lang w:val="id-ID"/>
              </w:rPr>
              <w:t>.</w:t>
            </w:r>
            <w:r w:rsidRPr="0042797B">
              <w:rPr>
                <w:bCs w:val="0"/>
                <w:sz w:val="12"/>
                <w:szCs w:val="12"/>
                <w:lang w:val="id-ID"/>
              </w:rPr>
              <w:t>00%</w:t>
            </w:r>
          </w:p>
        </w:tc>
        <w:tc>
          <w:tcPr>
            <w:tcW w:w="24" w:type="dxa"/>
            <w:vAlign w:val="bottom"/>
          </w:tcPr>
          <w:p w14:paraId="573B5BE5" w14:textId="77777777" w:rsidR="00EC49A4" w:rsidRPr="0042797B" w:rsidRDefault="00EC49A4" w:rsidP="00C0406D">
            <w:pPr>
              <w:jc w:val="center"/>
              <w:rPr>
                <w:bCs w:val="0"/>
                <w:sz w:val="12"/>
                <w:szCs w:val="12"/>
              </w:rPr>
            </w:pPr>
          </w:p>
        </w:tc>
        <w:tc>
          <w:tcPr>
            <w:tcW w:w="1073" w:type="dxa"/>
            <w:vAlign w:val="bottom"/>
          </w:tcPr>
          <w:p w14:paraId="1B4154B5" w14:textId="43E31957" w:rsidR="00EC49A4" w:rsidRPr="0042797B" w:rsidRDefault="00EC49A4" w:rsidP="00C0406D">
            <w:pPr>
              <w:jc w:val="center"/>
              <w:rPr>
                <w:bCs w:val="0"/>
                <w:sz w:val="12"/>
                <w:szCs w:val="12"/>
              </w:rPr>
            </w:pPr>
            <w:r w:rsidRPr="0042797B">
              <w:rPr>
                <w:bCs w:val="0"/>
                <w:sz w:val="12"/>
                <w:szCs w:val="12"/>
                <w:lang w:val="id-ID"/>
              </w:rPr>
              <w:t>95</w:t>
            </w:r>
            <w:r w:rsidR="00E347DC">
              <w:rPr>
                <w:bCs w:val="0"/>
                <w:sz w:val="12"/>
                <w:szCs w:val="12"/>
                <w:lang w:val="id-ID"/>
              </w:rPr>
              <w:t>.</w:t>
            </w:r>
            <w:r w:rsidRPr="0042797B">
              <w:rPr>
                <w:bCs w:val="0"/>
                <w:sz w:val="12"/>
                <w:szCs w:val="12"/>
                <w:lang w:val="id-ID"/>
              </w:rPr>
              <w:t>00%</w:t>
            </w:r>
          </w:p>
        </w:tc>
        <w:tc>
          <w:tcPr>
            <w:tcW w:w="24" w:type="dxa"/>
            <w:vAlign w:val="bottom"/>
          </w:tcPr>
          <w:p w14:paraId="345B688A" w14:textId="77777777" w:rsidR="00EC49A4" w:rsidRPr="0042797B" w:rsidRDefault="00EC49A4" w:rsidP="00C0406D">
            <w:pPr>
              <w:jc w:val="center"/>
              <w:rPr>
                <w:bCs w:val="0"/>
                <w:sz w:val="12"/>
                <w:szCs w:val="12"/>
              </w:rPr>
            </w:pPr>
          </w:p>
        </w:tc>
        <w:tc>
          <w:tcPr>
            <w:tcW w:w="1073" w:type="dxa"/>
            <w:shd w:val="clear" w:color="auto" w:fill="auto"/>
            <w:vAlign w:val="bottom"/>
          </w:tcPr>
          <w:p w14:paraId="31C6463B" w14:textId="42028ED8" w:rsidR="00EC49A4" w:rsidRPr="0042797B" w:rsidRDefault="00656D0F" w:rsidP="00C0406D">
            <w:pPr>
              <w:ind w:right="57"/>
              <w:jc w:val="right"/>
              <w:rPr>
                <w:bCs w:val="0"/>
                <w:sz w:val="12"/>
                <w:szCs w:val="12"/>
              </w:rPr>
            </w:pPr>
            <w:r w:rsidRPr="00656D0F">
              <w:rPr>
                <w:bCs w:val="0"/>
                <w:sz w:val="12"/>
                <w:szCs w:val="12"/>
              </w:rPr>
              <w:t>40</w:t>
            </w:r>
            <w:r>
              <w:rPr>
                <w:bCs w:val="0"/>
                <w:sz w:val="12"/>
                <w:szCs w:val="12"/>
              </w:rPr>
              <w:t>.</w:t>
            </w:r>
            <w:r w:rsidRPr="00656D0F">
              <w:rPr>
                <w:bCs w:val="0"/>
                <w:sz w:val="12"/>
                <w:szCs w:val="12"/>
              </w:rPr>
              <w:t>198</w:t>
            </w:r>
            <w:r>
              <w:rPr>
                <w:bCs w:val="0"/>
                <w:sz w:val="12"/>
                <w:szCs w:val="12"/>
              </w:rPr>
              <w:t>.</w:t>
            </w:r>
            <w:r w:rsidRPr="00656D0F">
              <w:rPr>
                <w:bCs w:val="0"/>
                <w:sz w:val="12"/>
                <w:szCs w:val="12"/>
              </w:rPr>
              <w:t>640</w:t>
            </w:r>
            <w:r>
              <w:rPr>
                <w:bCs w:val="0"/>
                <w:sz w:val="12"/>
                <w:szCs w:val="12"/>
              </w:rPr>
              <w:t>.</w:t>
            </w:r>
            <w:r w:rsidRPr="00656D0F">
              <w:rPr>
                <w:bCs w:val="0"/>
                <w:sz w:val="12"/>
                <w:szCs w:val="12"/>
              </w:rPr>
              <w:t>477</w:t>
            </w:r>
          </w:p>
        </w:tc>
        <w:tc>
          <w:tcPr>
            <w:tcW w:w="24" w:type="dxa"/>
            <w:vAlign w:val="bottom"/>
          </w:tcPr>
          <w:p w14:paraId="1E8125F2" w14:textId="77777777" w:rsidR="00EC49A4" w:rsidRPr="0042797B" w:rsidRDefault="00EC49A4" w:rsidP="00C0406D">
            <w:pPr>
              <w:jc w:val="center"/>
              <w:rPr>
                <w:bCs w:val="0"/>
                <w:sz w:val="12"/>
                <w:szCs w:val="12"/>
              </w:rPr>
            </w:pPr>
          </w:p>
        </w:tc>
        <w:tc>
          <w:tcPr>
            <w:tcW w:w="1073" w:type="dxa"/>
            <w:vAlign w:val="bottom"/>
          </w:tcPr>
          <w:p w14:paraId="5B996697" w14:textId="2078B69E" w:rsidR="00EC49A4" w:rsidRPr="0042797B" w:rsidRDefault="00C5137D" w:rsidP="00C0406D">
            <w:pPr>
              <w:ind w:right="57"/>
              <w:jc w:val="right"/>
              <w:rPr>
                <w:bCs w:val="0"/>
                <w:sz w:val="12"/>
                <w:szCs w:val="12"/>
              </w:rPr>
            </w:pPr>
            <w:r w:rsidRPr="00566DA5">
              <w:rPr>
                <w:bCs w:val="0"/>
                <w:sz w:val="12"/>
                <w:szCs w:val="12"/>
              </w:rPr>
              <w:t>40.188.416.115</w:t>
            </w:r>
          </w:p>
        </w:tc>
      </w:tr>
      <w:tr w:rsidR="0042797B" w:rsidRPr="0042797B" w14:paraId="7EF03ECB" w14:textId="77777777" w:rsidTr="00CC2E72">
        <w:tc>
          <w:tcPr>
            <w:tcW w:w="2030" w:type="dxa"/>
            <w:vAlign w:val="bottom"/>
          </w:tcPr>
          <w:p w14:paraId="035B6A04" w14:textId="77777777" w:rsidR="00EC49A4" w:rsidRPr="0042797B" w:rsidRDefault="00EC49A4" w:rsidP="00C0406D">
            <w:pPr>
              <w:rPr>
                <w:rStyle w:val="hps"/>
                <w:sz w:val="12"/>
                <w:szCs w:val="12"/>
              </w:rPr>
            </w:pPr>
          </w:p>
        </w:tc>
        <w:tc>
          <w:tcPr>
            <w:tcW w:w="20" w:type="dxa"/>
          </w:tcPr>
          <w:p w14:paraId="64FEE0AF" w14:textId="77777777" w:rsidR="00EC49A4" w:rsidRPr="0042797B" w:rsidRDefault="00EC49A4" w:rsidP="00C0406D">
            <w:pPr>
              <w:ind w:left="340"/>
              <w:jc w:val="both"/>
              <w:rPr>
                <w:sz w:val="12"/>
                <w:szCs w:val="12"/>
              </w:rPr>
            </w:pPr>
          </w:p>
        </w:tc>
        <w:tc>
          <w:tcPr>
            <w:tcW w:w="574" w:type="dxa"/>
            <w:vAlign w:val="bottom"/>
          </w:tcPr>
          <w:p w14:paraId="6F59ED4F" w14:textId="77777777" w:rsidR="00EC49A4" w:rsidRPr="0042797B" w:rsidRDefault="00EC49A4" w:rsidP="00261DF6">
            <w:pPr>
              <w:jc w:val="center"/>
              <w:rPr>
                <w:sz w:val="12"/>
                <w:szCs w:val="12"/>
              </w:rPr>
            </w:pPr>
          </w:p>
        </w:tc>
        <w:tc>
          <w:tcPr>
            <w:tcW w:w="20" w:type="dxa"/>
          </w:tcPr>
          <w:p w14:paraId="4A427A45" w14:textId="77777777" w:rsidR="00EC49A4" w:rsidRPr="0042797B" w:rsidRDefault="00EC49A4" w:rsidP="00C0406D">
            <w:pPr>
              <w:jc w:val="center"/>
              <w:rPr>
                <w:sz w:val="12"/>
                <w:szCs w:val="12"/>
              </w:rPr>
            </w:pPr>
          </w:p>
        </w:tc>
        <w:tc>
          <w:tcPr>
            <w:tcW w:w="1073" w:type="dxa"/>
            <w:vAlign w:val="bottom"/>
          </w:tcPr>
          <w:p w14:paraId="20FE937C" w14:textId="4B8BB8EF" w:rsidR="00EC49A4" w:rsidRPr="0042797B" w:rsidRDefault="00EC49A4" w:rsidP="00C0406D">
            <w:pPr>
              <w:jc w:val="center"/>
              <w:rPr>
                <w:sz w:val="12"/>
                <w:szCs w:val="12"/>
              </w:rPr>
            </w:pPr>
          </w:p>
        </w:tc>
        <w:tc>
          <w:tcPr>
            <w:tcW w:w="20" w:type="dxa"/>
          </w:tcPr>
          <w:p w14:paraId="616CC3D4" w14:textId="77777777" w:rsidR="00EC49A4" w:rsidRPr="0042797B" w:rsidRDefault="00EC49A4" w:rsidP="00C0406D">
            <w:pPr>
              <w:ind w:left="426"/>
              <w:jc w:val="both"/>
              <w:rPr>
                <w:bCs w:val="0"/>
                <w:i/>
                <w:sz w:val="12"/>
                <w:szCs w:val="12"/>
              </w:rPr>
            </w:pPr>
          </w:p>
        </w:tc>
        <w:tc>
          <w:tcPr>
            <w:tcW w:w="1073" w:type="dxa"/>
            <w:vAlign w:val="bottom"/>
          </w:tcPr>
          <w:p w14:paraId="24A1764E" w14:textId="77777777" w:rsidR="00EC49A4" w:rsidRPr="0042797B" w:rsidRDefault="00EC49A4" w:rsidP="00C0406D">
            <w:pPr>
              <w:jc w:val="center"/>
              <w:rPr>
                <w:bCs w:val="0"/>
                <w:i/>
                <w:sz w:val="12"/>
                <w:szCs w:val="12"/>
              </w:rPr>
            </w:pPr>
          </w:p>
        </w:tc>
        <w:tc>
          <w:tcPr>
            <w:tcW w:w="20" w:type="dxa"/>
            <w:vAlign w:val="bottom"/>
          </w:tcPr>
          <w:p w14:paraId="61446374" w14:textId="77777777" w:rsidR="00EC49A4" w:rsidRPr="0042797B" w:rsidRDefault="00EC49A4" w:rsidP="00C0406D">
            <w:pPr>
              <w:jc w:val="center"/>
              <w:rPr>
                <w:bCs w:val="0"/>
                <w:i/>
                <w:sz w:val="12"/>
                <w:szCs w:val="12"/>
              </w:rPr>
            </w:pPr>
          </w:p>
        </w:tc>
        <w:tc>
          <w:tcPr>
            <w:tcW w:w="20" w:type="dxa"/>
            <w:vAlign w:val="bottom"/>
          </w:tcPr>
          <w:p w14:paraId="2CB28218" w14:textId="77777777" w:rsidR="00EC49A4" w:rsidRPr="0042797B" w:rsidRDefault="00EC49A4" w:rsidP="00C0406D">
            <w:pPr>
              <w:jc w:val="center"/>
              <w:rPr>
                <w:bCs w:val="0"/>
                <w:i/>
                <w:sz w:val="12"/>
                <w:szCs w:val="12"/>
              </w:rPr>
            </w:pPr>
          </w:p>
        </w:tc>
        <w:tc>
          <w:tcPr>
            <w:tcW w:w="1073" w:type="dxa"/>
            <w:vAlign w:val="bottom"/>
          </w:tcPr>
          <w:p w14:paraId="5735AFB4" w14:textId="77777777" w:rsidR="00EC49A4" w:rsidRPr="0042797B" w:rsidRDefault="00EC49A4" w:rsidP="00C0406D">
            <w:pPr>
              <w:jc w:val="center"/>
              <w:rPr>
                <w:bCs w:val="0"/>
                <w:sz w:val="12"/>
                <w:szCs w:val="12"/>
              </w:rPr>
            </w:pPr>
          </w:p>
        </w:tc>
        <w:tc>
          <w:tcPr>
            <w:tcW w:w="24" w:type="dxa"/>
            <w:vAlign w:val="bottom"/>
          </w:tcPr>
          <w:p w14:paraId="41A27631" w14:textId="77777777" w:rsidR="00EC49A4" w:rsidRPr="0042797B" w:rsidRDefault="00EC49A4" w:rsidP="00C0406D">
            <w:pPr>
              <w:jc w:val="center"/>
              <w:rPr>
                <w:bCs w:val="0"/>
                <w:i/>
                <w:sz w:val="12"/>
                <w:szCs w:val="12"/>
              </w:rPr>
            </w:pPr>
          </w:p>
        </w:tc>
        <w:tc>
          <w:tcPr>
            <w:tcW w:w="1073" w:type="dxa"/>
            <w:vAlign w:val="bottom"/>
          </w:tcPr>
          <w:p w14:paraId="109CFB90" w14:textId="77777777" w:rsidR="00EC49A4" w:rsidRPr="0042797B" w:rsidRDefault="00EC49A4" w:rsidP="00C0406D">
            <w:pPr>
              <w:jc w:val="center"/>
              <w:rPr>
                <w:bCs w:val="0"/>
                <w:sz w:val="12"/>
                <w:szCs w:val="12"/>
              </w:rPr>
            </w:pPr>
          </w:p>
        </w:tc>
        <w:tc>
          <w:tcPr>
            <w:tcW w:w="24" w:type="dxa"/>
            <w:vAlign w:val="bottom"/>
          </w:tcPr>
          <w:p w14:paraId="716B7AE8" w14:textId="77777777" w:rsidR="00EC49A4" w:rsidRPr="0042797B" w:rsidRDefault="00EC49A4" w:rsidP="00C0406D">
            <w:pPr>
              <w:jc w:val="center"/>
              <w:rPr>
                <w:bCs w:val="0"/>
                <w:i/>
                <w:sz w:val="12"/>
                <w:szCs w:val="12"/>
              </w:rPr>
            </w:pPr>
          </w:p>
        </w:tc>
        <w:tc>
          <w:tcPr>
            <w:tcW w:w="1073" w:type="dxa"/>
            <w:vAlign w:val="bottom"/>
          </w:tcPr>
          <w:p w14:paraId="43570DF1" w14:textId="77777777" w:rsidR="00EC49A4" w:rsidRPr="0042797B" w:rsidRDefault="00EC49A4" w:rsidP="00C0406D">
            <w:pPr>
              <w:ind w:right="57"/>
              <w:rPr>
                <w:bCs w:val="0"/>
                <w:i/>
                <w:sz w:val="12"/>
                <w:szCs w:val="12"/>
              </w:rPr>
            </w:pPr>
          </w:p>
        </w:tc>
        <w:tc>
          <w:tcPr>
            <w:tcW w:w="24" w:type="dxa"/>
            <w:vAlign w:val="bottom"/>
          </w:tcPr>
          <w:p w14:paraId="7DBEB389" w14:textId="77777777" w:rsidR="00EC49A4" w:rsidRPr="0042797B" w:rsidRDefault="00EC49A4" w:rsidP="00C0406D">
            <w:pPr>
              <w:jc w:val="center"/>
              <w:rPr>
                <w:bCs w:val="0"/>
                <w:i/>
                <w:sz w:val="12"/>
                <w:szCs w:val="12"/>
              </w:rPr>
            </w:pPr>
          </w:p>
        </w:tc>
        <w:tc>
          <w:tcPr>
            <w:tcW w:w="1073" w:type="dxa"/>
            <w:vAlign w:val="bottom"/>
          </w:tcPr>
          <w:p w14:paraId="17FA7892" w14:textId="77777777" w:rsidR="00EC49A4" w:rsidRPr="0042797B" w:rsidRDefault="00EC49A4" w:rsidP="00C0406D">
            <w:pPr>
              <w:ind w:right="57"/>
              <w:jc w:val="right"/>
              <w:rPr>
                <w:bCs w:val="0"/>
                <w:i/>
                <w:sz w:val="12"/>
                <w:szCs w:val="12"/>
              </w:rPr>
            </w:pPr>
          </w:p>
        </w:tc>
      </w:tr>
      <w:tr w:rsidR="0042797B" w:rsidRPr="0042797B" w14:paraId="6A1E1DE1" w14:textId="77777777" w:rsidTr="00CC2E72">
        <w:tc>
          <w:tcPr>
            <w:tcW w:w="2030" w:type="dxa"/>
            <w:vAlign w:val="bottom"/>
          </w:tcPr>
          <w:p w14:paraId="792DABA6" w14:textId="5DFF6E28" w:rsidR="00EC49A4" w:rsidRPr="0042797B" w:rsidRDefault="00EC49A4" w:rsidP="00EC49A4">
            <w:pPr>
              <w:ind w:left="141"/>
              <w:rPr>
                <w:rStyle w:val="hps"/>
                <w:sz w:val="12"/>
                <w:szCs w:val="12"/>
              </w:rPr>
            </w:pPr>
            <w:r w:rsidRPr="0042797B">
              <w:rPr>
                <w:rStyle w:val="hps"/>
                <w:sz w:val="12"/>
                <w:szCs w:val="12"/>
              </w:rPr>
              <w:t>PT Sejahtera Inti Sentosa (SIS)</w:t>
            </w:r>
          </w:p>
        </w:tc>
        <w:tc>
          <w:tcPr>
            <w:tcW w:w="20" w:type="dxa"/>
          </w:tcPr>
          <w:p w14:paraId="681F087F" w14:textId="77777777" w:rsidR="00EC49A4" w:rsidRPr="0042797B" w:rsidRDefault="00EC49A4" w:rsidP="00C0406D">
            <w:pPr>
              <w:ind w:left="340"/>
              <w:jc w:val="both"/>
              <w:rPr>
                <w:sz w:val="12"/>
                <w:szCs w:val="12"/>
              </w:rPr>
            </w:pPr>
          </w:p>
        </w:tc>
        <w:tc>
          <w:tcPr>
            <w:tcW w:w="574" w:type="dxa"/>
            <w:vAlign w:val="bottom"/>
          </w:tcPr>
          <w:p w14:paraId="43E14CE1" w14:textId="4281F074" w:rsidR="00EC49A4" w:rsidRPr="0042797B" w:rsidRDefault="00EC49A4" w:rsidP="00261DF6">
            <w:pPr>
              <w:jc w:val="center"/>
              <w:rPr>
                <w:sz w:val="12"/>
                <w:szCs w:val="12"/>
              </w:rPr>
            </w:pPr>
            <w:r w:rsidRPr="0042797B">
              <w:rPr>
                <w:sz w:val="12"/>
                <w:szCs w:val="12"/>
              </w:rPr>
              <w:t>Jakarta</w:t>
            </w:r>
          </w:p>
        </w:tc>
        <w:tc>
          <w:tcPr>
            <w:tcW w:w="20" w:type="dxa"/>
          </w:tcPr>
          <w:p w14:paraId="4E8C5298" w14:textId="77777777" w:rsidR="00EC49A4" w:rsidRPr="0042797B" w:rsidRDefault="00EC49A4" w:rsidP="00C0406D">
            <w:pPr>
              <w:jc w:val="center"/>
              <w:rPr>
                <w:i/>
                <w:sz w:val="12"/>
                <w:szCs w:val="12"/>
              </w:rPr>
            </w:pPr>
          </w:p>
        </w:tc>
        <w:tc>
          <w:tcPr>
            <w:tcW w:w="1073" w:type="dxa"/>
            <w:vAlign w:val="bottom"/>
          </w:tcPr>
          <w:p w14:paraId="55D0A6B2" w14:textId="753A7E85" w:rsidR="00EC49A4" w:rsidRPr="0042797B" w:rsidRDefault="00EC49A4" w:rsidP="00C0406D">
            <w:pPr>
              <w:jc w:val="center"/>
              <w:rPr>
                <w:i/>
                <w:sz w:val="12"/>
                <w:szCs w:val="12"/>
                <w:lang w:val="id-ID"/>
              </w:rPr>
            </w:pPr>
            <w:r w:rsidRPr="0042797B">
              <w:rPr>
                <w:i/>
                <w:sz w:val="12"/>
                <w:szCs w:val="12"/>
                <w:lang w:val="id-ID"/>
              </w:rPr>
              <w:t>-</w:t>
            </w:r>
          </w:p>
        </w:tc>
        <w:tc>
          <w:tcPr>
            <w:tcW w:w="20" w:type="dxa"/>
          </w:tcPr>
          <w:p w14:paraId="4097CB5D" w14:textId="77777777" w:rsidR="00EC49A4" w:rsidRPr="0042797B" w:rsidRDefault="00EC49A4" w:rsidP="00C0406D">
            <w:pPr>
              <w:ind w:left="426"/>
              <w:jc w:val="both"/>
              <w:rPr>
                <w:bCs w:val="0"/>
                <w:i/>
                <w:sz w:val="12"/>
                <w:szCs w:val="12"/>
              </w:rPr>
            </w:pPr>
          </w:p>
        </w:tc>
        <w:tc>
          <w:tcPr>
            <w:tcW w:w="1073" w:type="dxa"/>
            <w:vAlign w:val="bottom"/>
          </w:tcPr>
          <w:p w14:paraId="1A617A51" w14:textId="57158197" w:rsidR="00EC49A4" w:rsidRPr="0042797B" w:rsidRDefault="00EC49A4" w:rsidP="00C0406D">
            <w:pPr>
              <w:jc w:val="center"/>
              <w:rPr>
                <w:bCs w:val="0"/>
                <w:sz w:val="12"/>
                <w:szCs w:val="12"/>
              </w:rPr>
            </w:pPr>
            <w:r w:rsidRPr="0042797B">
              <w:rPr>
                <w:bCs w:val="0"/>
                <w:i/>
                <w:sz w:val="12"/>
                <w:szCs w:val="12"/>
                <w:lang w:val="id-ID"/>
              </w:rPr>
              <w:t>*)</w:t>
            </w:r>
          </w:p>
        </w:tc>
        <w:tc>
          <w:tcPr>
            <w:tcW w:w="20" w:type="dxa"/>
            <w:vAlign w:val="bottom"/>
          </w:tcPr>
          <w:p w14:paraId="289E2C80" w14:textId="77777777" w:rsidR="00EC49A4" w:rsidRPr="0042797B" w:rsidRDefault="00EC49A4" w:rsidP="00C0406D">
            <w:pPr>
              <w:jc w:val="center"/>
              <w:rPr>
                <w:bCs w:val="0"/>
                <w:i/>
                <w:sz w:val="12"/>
                <w:szCs w:val="12"/>
              </w:rPr>
            </w:pPr>
          </w:p>
        </w:tc>
        <w:tc>
          <w:tcPr>
            <w:tcW w:w="20" w:type="dxa"/>
            <w:vAlign w:val="bottom"/>
          </w:tcPr>
          <w:p w14:paraId="32C20FFF" w14:textId="77777777" w:rsidR="00EC49A4" w:rsidRPr="0042797B" w:rsidRDefault="00EC49A4" w:rsidP="00C0406D">
            <w:pPr>
              <w:jc w:val="center"/>
              <w:rPr>
                <w:bCs w:val="0"/>
                <w:i/>
                <w:sz w:val="12"/>
                <w:szCs w:val="12"/>
              </w:rPr>
            </w:pPr>
          </w:p>
        </w:tc>
        <w:tc>
          <w:tcPr>
            <w:tcW w:w="1073" w:type="dxa"/>
            <w:vAlign w:val="bottom"/>
          </w:tcPr>
          <w:p w14:paraId="59EC89D8" w14:textId="117927E8"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98%</w:t>
            </w:r>
          </w:p>
        </w:tc>
        <w:tc>
          <w:tcPr>
            <w:tcW w:w="24" w:type="dxa"/>
            <w:vAlign w:val="bottom"/>
          </w:tcPr>
          <w:p w14:paraId="627105FF" w14:textId="77777777" w:rsidR="00EC49A4" w:rsidRPr="0042797B" w:rsidRDefault="00EC49A4" w:rsidP="00C0406D">
            <w:pPr>
              <w:jc w:val="center"/>
              <w:rPr>
                <w:bCs w:val="0"/>
                <w:i/>
                <w:sz w:val="12"/>
                <w:szCs w:val="12"/>
              </w:rPr>
            </w:pPr>
          </w:p>
        </w:tc>
        <w:tc>
          <w:tcPr>
            <w:tcW w:w="1073" w:type="dxa"/>
            <w:vAlign w:val="bottom"/>
          </w:tcPr>
          <w:p w14:paraId="2500025F" w14:textId="4CB7E81E"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98%</w:t>
            </w:r>
          </w:p>
        </w:tc>
        <w:tc>
          <w:tcPr>
            <w:tcW w:w="24" w:type="dxa"/>
            <w:vAlign w:val="bottom"/>
          </w:tcPr>
          <w:p w14:paraId="0C67BE39" w14:textId="77777777" w:rsidR="00EC49A4" w:rsidRPr="0042797B" w:rsidRDefault="00EC49A4" w:rsidP="00C0406D">
            <w:pPr>
              <w:jc w:val="center"/>
              <w:rPr>
                <w:bCs w:val="0"/>
                <w:i/>
                <w:sz w:val="12"/>
                <w:szCs w:val="12"/>
              </w:rPr>
            </w:pPr>
          </w:p>
        </w:tc>
        <w:tc>
          <w:tcPr>
            <w:tcW w:w="1073" w:type="dxa"/>
            <w:shd w:val="clear" w:color="auto" w:fill="auto"/>
            <w:vAlign w:val="bottom"/>
          </w:tcPr>
          <w:p w14:paraId="02F93DAB" w14:textId="2D56B9E7" w:rsidR="00EC49A4" w:rsidRPr="0042797B" w:rsidRDefault="003D5EA5" w:rsidP="00C0406D">
            <w:pPr>
              <w:ind w:right="57"/>
              <w:jc w:val="right"/>
              <w:rPr>
                <w:bCs w:val="0"/>
                <w:sz w:val="12"/>
                <w:szCs w:val="12"/>
              </w:rPr>
            </w:pPr>
            <w:r>
              <w:rPr>
                <w:bCs w:val="0"/>
                <w:sz w:val="12"/>
                <w:szCs w:val="12"/>
              </w:rPr>
              <w:t>404.245.388.443</w:t>
            </w:r>
          </w:p>
        </w:tc>
        <w:tc>
          <w:tcPr>
            <w:tcW w:w="24" w:type="dxa"/>
            <w:vAlign w:val="bottom"/>
          </w:tcPr>
          <w:p w14:paraId="2EBF7C00" w14:textId="77777777" w:rsidR="00EC49A4" w:rsidRPr="0042797B" w:rsidRDefault="00EC49A4" w:rsidP="00C0406D">
            <w:pPr>
              <w:jc w:val="center"/>
              <w:rPr>
                <w:bCs w:val="0"/>
                <w:sz w:val="12"/>
                <w:szCs w:val="12"/>
              </w:rPr>
            </w:pPr>
          </w:p>
        </w:tc>
        <w:tc>
          <w:tcPr>
            <w:tcW w:w="1073" w:type="dxa"/>
            <w:vAlign w:val="bottom"/>
          </w:tcPr>
          <w:p w14:paraId="0304CC4B" w14:textId="6FB13E22" w:rsidR="00EC49A4" w:rsidRPr="0042797B" w:rsidRDefault="00C5137D" w:rsidP="00C0406D">
            <w:pPr>
              <w:ind w:right="57"/>
              <w:jc w:val="right"/>
              <w:rPr>
                <w:bCs w:val="0"/>
                <w:sz w:val="12"/>
                <w:szCs w:val="12"/>
              </w:rPr>
            </w:pPr>
            <w:r w:rsidRPr="00566DA5">
              <w:rPr>
                <w:bCs w:val="0"/>
                <w:sz w:val="12"/>
                <w:szCs w:val="12"/>
              </w:rPr>
              <w:t>170.108.333.104</w:t>
            </w:r>
          </w:p>
        </w:tc>
      </w:tr>
      <w:tr w:rsidR="0042797B" w:rsidRPr="0042797B" w14:paraId="526AE0B9" w14:textId="77777777" w:rsidTr="00CC2E72">
        <w:tc>
          <w:tcPr>
            <w:tcW w:w="2030" w:type="dxa"/>
            <w:vAlign w:val="bottom"/>
          </w:tcPr>
          <w:p w14:paraId="6E38A0D8" w14:textId="77777777" w:rsidR="00EC49A4" w:rsidRPr="0042797B" w:rsidRDefault="00EC49A4" w:rsidP="00EC49A4">
            <w:pPr>
              <w:ind w:left="141"/>
              <w:rPr>
                <w:rStyle w:val="hps"/>
                <w:sz w:val="12"/>
                <w:szCs w:val="12"/>
              </w:rPr>
            </w:pPr>
          </w:p>
        </w:tc>
        <w:tc>
          <w:tcPr>
            <w:tcW w:w="20" w:type="dxa"/>
          </w:tcPr>
          <w:p w14:paraId="0D7F7E13" w14:textId="77777777" w:rsidR="00EC49A4" w:rsidRPr="0042797B" w:rsidRDefault="00EC49A4" w:rsidP="00C0406D">
            <w:pPr>
              <w:ind w:left="340"/>
              <w:jc w:val="both"/>
              <w:rPr>
                <w:sz w:val="12"/>
                <w:szCs w:val="12"/>
              </w:rPr>
            </w:pPr>
          </w:p>
        </w:tc>
        <w:tc>
          <w:tcPr>
            <w:tcW w:w="574" w:type="dxa"/>
            <w:vAlign w:val="bottom"/>
          </w:tcPr>
          <w:p w14:paraId="6F145F43" w14:textId="77777777" w:rsidR="00EC49A4" w:rsidRPr="0042797B" w:rsidRDefault="00EC49A4" w:rsidP="00261DF6">
            <w:pPr>
              <w:jc w:val="center"/>
              <w:rPr>
                <w:sz w:val="12"/>
                <w:szCs w:val="12"/>
              </w:rPr>
            </w:pPr>
          </w:p>
        </w:tc>
        <w:tc>
          <w:tcPr>
            <w:tcW w:w="20" w:type="dxa"/>
          </w:tcPr>
          <w:p w14:paraId="7B978EAA" w14:textId="77777777" w:rsidR="00EC49A4" w:rsidRPr="0042797B" w:rsidRDefault="00EC49A4" w:rsidP="00C0406D">
            <w:pPr>
              <w:jc w:val="center"/>
              <w:rPr>
                <w:i/>
                <w:sz w:val="12"/>
                <w:szCs w:val="12"/>
              </w:rPr>
            </w:pPr>
          </w:p>
        </w:tc>
        <w:tc>
          <w:tcPr>
            <w:tcW w:w="1073" w:type="dxa"/>
            <w:vAlign w:val="bottom"/>
          </w:tcPr>
          <w:p w14:paraId="0048FD3B" w14:textId="77777777" w:rsidR="00EC49A4" w:rsidRPr="0042797B" w:rsidRDefault="00EC49A4" w:rsidP="00C0406D">
            <w:pPr>
              <w:jc w:val="center"/>
              <w:rPr>
                <w:i/>
                <w:sz w:val="12"/>
                <w:szCs w:val="12"/>
              </w:rPr>
            </w:pPr>
          </w:p>
        </w:tc>
        <w:tc>
          <w:tcPr>
            <w:tcW w:w="20" w:type="dxa"/>
          </w:tcPr>
          <w:p w14:paraId="0B278273" w14:textId="77777777" w:rsidR="00EC49A4" w:rsidRPr="0042797B" w:rsidRDefault="00EC49A4" w:rsidP="00C0406D">
            <w:pPr>
              <w:ind w:left="426"/>
              <w:jc w:val="both"/>
              <w:rPr>
                <w:bCs w:val="0"/>
                <w:i/>
                <w:sz w:val="12"/>
                <w:szCs w:val="12"/>
              </w:rPr>
            </w:pPr>
          </w:p>
        </w:tc>
        <w:tc>
          <w:tcPr>
            <w:tcW w:w="1073" w:type="dxa"/>
            <w:vAlign w:val="bottom"/>
          </w:tcPr>
          <w:p w14:paraId="05C42A3C" w14:textId="77777777" w:rsidR="00EC49A4" w:rsidRPr="0042797B" w:rsidRDefault="00EC49A4" w:rsidP="00C0406D">
            <w:pPr>
              <w:jc w:val="center"/>
              <w:rPr>
                <w:bCs w:val="0"/>
                <w:sz w:val="12"/>
                <w:szCs w:val="12"/>
              </w:rPr>
            </w:pPr>
          </w:p>
        </w:tc>
        <w:tc>
          <w:tcPr>
            <w:tcW w:w="20" w:type="dxa"/>
            <w:vAlign w:val="bottom"/>
          </w:tcPr>
          <w:p w14:paraId="5194E0FB" w14:textId="77777777" w:rsidR="00EC49A4" w:rsidRPr="0042797B" w:rsidRDefault="00EC49A4" w:rsidP="00C0406D">
            <w:pPr>
              <w:jc w:val="center"/>
              <w:rPr>
                <w:bCs w:val="0"/>
                <w:i/>
                <w:sz w:val="12"/>
                <w:szCs w:val="12"/>
              </w:rPr>
            </w:pPr>
          </w:p>
        </w:tc>
        <w:tc>
          <w:tcPr>
            <w:tcW w:w="20" w:type="dxa"/>
            <w:vAlign w:val="bottom"/>
          </w:tcPr>
          <w:p w14:paraId="11B6824A" w14:textId="77777777" w:rsidR="00EC49A4" w:rsidRPr="0042797B" w:rsidRDefault="00EC49A4" w:rsidP="00C0406D">
            <w:pPr>
              <w:jc w:val="center"/>
              <w:rPr>
                <w:bCs w:val="0"/>
                <w:i/>
                <w:sz w:val="12"/>
                <w:szCs w:val="12"/>
              </w:rPr>
            </w:pPr>
          </w:p>
        </w:tc>
        <w:tc>
          <w:tcPr>
            <w:tcW w:w="1073" w:type="dxa"/>
            <w:vAlign w:val="bottom"/>
          </w:tcPr>
          <w:p w14:paraId="21B10C74" w14:textId="77777777" w:rsidR="00EC49A4" w:rsidRPr="0042797B" w:rsidRDefault="00EC49A4" w:rsidP="00C0406D">
            <w:pPr>
              <w:jc w:val="center"/>
              <w:rPr>
                <w:bCs w:val="0"/>
                <w:sz w:val="12"/>
                <w:szCs w:val="12"/>
              </w:rPr>
            </w:pPr>
          </w:p>
        </w:tc>
        <w:tc>
          <w:tcPr>
            <w:tcW w:w="24" w:type="dxa"/>
            <w:vAlign w:val="bottom"/>
          </w:tcPr>
          <w:p w14:paraId="20378121" w14:textId="77777777" w:rsidR="00EC49A4" w:rsidRPr="0042797B" w:rsidRDefault="00EC49A4" w:rsidP="00C0406D">
            <w:pPr>
              <w:jc w:val="center"/>
              <w:rPr>
                <w:bCs w:val="0"/>
                <w:i/>
                <w:sz w:val="12"/>
                <w:szCs w:val="12"/>
              </w:rPr>
            </w:pPr>
          </w:p>
        </w:tc>
        <w:tc>
          <w:tcPr>
            <w:tcW w:w="1073" w:type="dxa"/>
            <w:vAlign w:val="bottom"/>
          </w:tcPr>
          <w:p w14:paraId="0C61914E" w14:textId="77777777" w:rsidR="00EC49A4" w:rsidRPr="0042797B" w:rsidRDefault="00EC49A4" w:rsidP="00C0406D">
            <w:pPr>
              <w:jc w:val="center"/>
              <w:rPr>
                <w:bCs w:val="0"/>
                <w:sz w:val="12"/>
                <w:szCs w:val="12"/>
              </w:rPr>
            </w:pPr>
          </w:p>
        </w:tc>
        <w:tc>
          <w:tcPr>
            <w:tcW w:w="24" w:type="dxa"/>
            <w:vAlign w:val="bottom"/>
          </w:tcPr>
          <w:p w14:paraId="1610074C" w14:textId="77777777" w:rsidR="00EC49A4" w:rsidRPr="0042797B" w:rsidRDefault="00EC49A4" w:rsidP="00C0406D">
            <w:pPr>
              <w:jc w:val="center"/>
              <w:rPr>
                <w:bCs w:val="0"/>
                <w:i/>
                <w:sz w:val="12"/>
                <w:szCs w:val="12"/>
              </w:rPr>
            </w:pPr>
          </w:p>
        </w:tc>
        <w:tc>
          <w:tcPr>
            <w:tcW w:w="1073" w:type="dxa"/>
            <w:shd w:val="clear" w:color="auto" w:fill="auto"/>
            <w:vAlign w:val="bottom"/>
          </w:tcPr>
          <w:p w14:paraId="7FF4BDA8" w14:textId="77777777" w:rsidR="00EC49A4" w:rsidRPr="0042797B" w:rsidRDefault="00EC49A4" w:rsidP="00C0406D">
            <w:pPr>
              <w:ind w:right="57"/>
              <w:jc w:val="right"/>
              <w:rPr>
                <w:bCs w:val="0"/>
                <w:sz w:val="12"/>
                <w:szCs w:val="12"/>
              </w:rPr>
            </w:pPr>
          </w:p>
        </w:tc>
        <w:tc>
          <w:tcPr>
            <w:tcW w:w="24" w:type="dxa"/>
            <w:vAlign w:val="bottom"/>
          </w:tcPr>
          <w:p w14:paraId="6B1CC812" w14:textId="77777777" w:rsidR="00EC49A4" w:rsidRPr="0042797B" w:rsidRDefault="00EC49A4" w:rsidP="00C0406D">
            <w:pPr>
              <w:jc w:val="center"/>
              <w:rPr>
                <w:bCs w:val="0"/>
                <w:sz w:val="12"/>
                <w:szCs w:val="12"/>
              </w:rPr>
            </w:pPr>
          </w:p>
        </w:tc>
        <w:tc>
          <w:tcPr>
            <w:tcW w:w="1073" w:type="dxa"/>
            <w:vAlign w:val="bottom"/>
          </w:tcPr>
          <w:p w14:paraId="4A3445E9" w14:textId="77777777" w:rsidR="00EC49A4" w:rsidRPr="0042797B" w:rsidRDefault="00EC49A4" w:rsidP="00C0406D">
            <w:pPr>
              <w:ind w:right="57"/>
              <w:jc w:val="right"/>
              <w:rPr>
                <w:bCs w:val="0"/>
                <w:sz w:val="12"/>
                <w:szCs w:val="12"/>
              </w:rPr>
            </w:pPr>
          </w:p>
        </w:tc>
      </w:tr>
      <w:tr w:rsidR="0042797B" w:rsidRPr="0042797B" w14:paraId="1CE23998" w14:textId="77777777" w:rsidTr="00CC2E72">
        <w:tc>
          <w:tcPr>
            <w:tcW w:w="2030" w:type="dxa"/>
            <w:vAlign w:val="bottom"/>
          </w:tcPr>
          <w:p w14:paraId="693BF451" w14:textId="4A9B6308" w:rsidR="00EC49A4" w:rsidRPr="0042797B" w:rsidRDefault="00EC49A4" w:rsidP="00EC49A4">
            <w:pPr>
              <w:ind w:left="141"/>
              <w:rPr>
                <w:rStyle w:val="hps"/>
                <w:sz w:val="12"/>
                <w:szCs w:val="12"/>
              </w:rPr>
            </w:pPr>
            <w:r w:rsidRPr="0042797B">
              <w:rPr>
                <w:rStyle w:val="hps"/>
                <w:sz w:val="12"/>
                <w:szCs w:val="12"/>
              </w:rPr>
              <w:t>PT Sejahtera Abadi Solusi (SAS)</w:t>
            </w:r>
          </w:p>
        </w:tc>
        <w:tc>
          <w:tcPr>
            <w:tcW w:w="20" w:type="dxa"/>
          </w:tcPr>
          <w:p w14:paraId="3C18C2D5" w14:textId="77777777" w:rsidR="00EC49A4" w:rsidRPr="0042797B" w:rsidRDefault="00EC49A4" w:rsidP="00C0406D">
            <w:pPr>
              <w:ind w:left="340"/>
              <w:jc w:val="both"/>
              <w:rPr>
                <w:sz w:val="12"/>
                <w:szCs w:val="12"/>
              </w:rPr>
            </w:pPr>
          </w:p>
        </w:tc>
        <w:tc>
          <w:tcPr>
            <w:tcW w:w="574" w:type="dxa"/>
            <w:vAlign w:val="bottom"/>
          </w:tcPr>
          <w:p w14:paraId="1CF74570" w14:textId="19A20C25" w:rsidR="00EC49A4" w:rsidRPr="0042797B" w:rsidRDefault="00EC49A4" w:rsidP="00261DF6">
            <w:pPr>
              <w:jc w:val="center"/>
              <w:rPr>
                <w:sz w:val="12"/>
                <w:szCs w:val="12"/>
                <w:lang w:val="id-ID"/>
              </w:rPr>
            </w:pPr>
            <w:r w:rsidRPr="0042797B">
              <w:rPr>
                <w:sz w:val="12"/>
                <w:szCs w:val="12"/>
                <w:lang w:val="id-ID"/>
              </w:rPr>
              <w:t>Surabaya</w:t>
            </w:r>
          </w:p>
        </w:tc>
        <w:tc>
          <w:tcPr>
            <w:tcW w:w="20" w:type="dxa"/>
          </w:tcPr>
          <w:p w14:paraId="552FAE48" w14:textId="77777777" w:rsidR="00EC49A4" w:rsidRPr="0042797B" w:rsidRDefault="00EC49A4" w:rsidP="00C0406D">
            <w:pPr>
              <w:jc w:val="center"/>
              <w:rPr>
                <w:i/>
                <w:sz w:val="12"/>
                <w:szCs w:val="12"/>
              </w:rPr>
            </w:pPr>
          </w:p>
        </w:tc>
        <w:tc>
          <w:tcPr>
            <w:tcW w:w="1073" w:type="dxa"/>
            <w:vAlign w:val="bottom"/>
          </w:tcPr>
          <w:p w14:paraId="213DDCC5" w14:textId="601498A5" w:rsidR="00EC49A4" w:rsidRPr="0042797B" w:rsidRDefault="00EC49A4" w:rsidP="00C0406D">
            <w:pPr>
              <w:jc w:val="center"/>
              <w:rPr>
                <w:i/>
                <w:sz w:val="12"/>
                <w:szCs w:val="12"/>
                <w:lang w:val="id-ID"/>
              </w:rPr>
            </w:pPr>
            <w:r w:rsidRPr="0042797B">
              <w:rPr>
                <w:i/>
                <w:sz w:val="12"/>
                <w:szCs w:val="12"/>
                <w:lang w:val="id-ID"/>
              </w:rPr>
              <w:t>-</w:t>
            </w:r>
          </w:p>
        </w:tc>
        <w:tc>
          <w:tcPr>
            <w:tcW w:w="20" w:type="dxa"/>
          </w:tcPr>
          <w:p w14:paraId="5D4B3886" w14:textId="77777777" w:rsidR="00EC49A4" w:rsidRPr="0042797B" w:rsidRDefault="00EC49A4" w:rsidP="00C0406D">
            <w:pPr>
              <w:ind w:left="426"/>
              <w:jc w:val="both"/>
              <w:rPr>
                <w:bCs w:val="0"/>
                <w:i/>
                <w:sz w:val="12"/>
                <w:szCs w:val="12"/>
              </w:rPr>
            </w:pPr>
          </w:p>
        </w:tc>
        <w:tc>
          <w:tcPr>
            <w:tcW w:w="1073" w:type="dxa"/>
            <w:vAlign w:val="bottom"/>
          </w:tcPr>
          <w:p w14:paraId="29C4470B" w14:textId="6F195DC3" w:rsidR="00EC49A4" w:rsidRPr="0042797B" w:rsidRDefault="00EC49A4" w:rsidP="00C0406D">
            <w:pPr>
              <w:jc w:val="center"/>
              <w:rPr>
                <w:bCs w:val="0"/>
                <w:sz w:val="12"/>
                <w:szCs w:val="12"/>
              </w:rPr>
            </w:pPr>
            <w:r w:rsidRPr="0042797B">
              <w:rPr>
                <w:bCs w:val="0"/>
                <w:i/>
                <w:sz w:val="12"/>
                <w:szCs w:val="12"/>
                <w:lang w:val="id-ID"/>
              </w:rPr>
              <w:t>*)</w:t>
            </w:r>
          </w:p>
        </w:tc>
        <w:tc>
          <w:tcPr>
            <w:tcW w:w="20" w:type="dxa"/>
            <w:vAlign w:val="bottom"/>
          </w:tcPr>
          <w:p w14:paraId="69E64D15" w14:textId="77777777" w:rsidR="00EC49A4" w:rsidRPr="0042797B" w:rsidRDefault="00EC49A4" w:rsidP="00C0406D">
            <w:pPr>
              <w:jc w:val="center"/>
              <w:rPr>
                <w:bCs w:val="0"/>
                <w:i/>
                <w:sz w:val="12"/>
                <w:szCs w:val="12"/>
              </w:rPr>
            </w:pPr>
          </w:p>
        </w:tc>
        <w:tc>
          <w:tcPr>
            <w:tcW w:w="20" w:type="dxa"/>
            <w:vAlign w:val="bottom"/>
          </w:tcPr>
          <w:p w14:paraId="70CFB59D" w14:textId="77777777" w:rsidR="00EC49A4" w:rsidRPr="0042797B" w:rsidRDefault="00EC49A4" w:rsidP="00C0406D">
            <w:pPr>
              <w:jc w:val="center"/>
              <w:rPr>
                <w:bCs w:val="0"/>
                <w:i/>
                <w:sz w:val="12"/>
                <w:szCs w:val="12"/>
              </w:rPr>
            </w:pPr>
          </w:p>
        </w:tc>
        <w:tc>
          <w:tcPr>
            <w:tcW w:w="1073" w:type="dxa"/>
            <w:vAlign w:val="bottom"/>
          </w:tcPr>
          <w:p w14:paraId="6B7747DC" w14:textId="34ECA2BA"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99%</w:t>
            </w:r>
          </w:p>
        </w:tc>
        <w:tc>
          <w:tcPr>
            <w:tcW w:w="24" w:type="dxa"/>
            <w:vAlign w:val="bottom"/>
          </w:tcPr>
          <w:p w14:paraId="5A0CBE7A" w14:textId="77777777" w:rsidR="00EC49A4" w:rsidRPr="0042797B" w:rsidRDefault="00EC49A4" w:rsidP="00C0406D">
            <w:pPr>
              <w:jc w:val="center"/>
              <w:rPr>
                <w:bCs w:val="0"/>
                <w:i/>
                <w:sz w:val="12"/>
                <w:szCs w:val="12"/>
              </w:rPr>
            </w:pPr>
          </w:p>
        </w:tc>
        <w:tc>
          <w:tcPr>
            <w:tcW w:w="1073" w:type="dxa"/>
            <w:vAlign w:val="bottom"/>
          </w:tcPr>
          <w:p w14:paraId="35F43C64" w14:textId="645A30DC"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99%</w:t>
            </w:r>
          </w:p>
        </w:tc>
        <w:tc>
          <w:tcPr>
            <w:tcW w:w="24" w:type="dxa"/>
            <w:vAlign w:val="bottom"/>
          </w:tcPr>
          <w:p w14:paraId="75BD9BA5" w14:textId="77777777" w:rsidR="00EC49A4" w:rsidRPr="0042797B" w:rsidRDefault="00EC49A4" w:rsidP="00C0406D">
            <w:pPr>
              <w:jc w:val="center"/>
              <w:rPr>
                <w:bCs w:val="0"/>
                <w:i/>
                <w:sz w:val="12"/>
                <w:szCs w:val="12"/>
              </w:rPr>
            </w:pPr>
          </w:p>
        </w:tc>
        <w:tc>
          <w:tcPr>
            <w:tcW w:w="1073" w:type="dxa"/>
            <w:shd w:val="clear" w:color="auto" w:fill="auto"/>
            <w:vAlign w:val="bottom"/>
          </w:tcPr>
          <w:p w14:paraId="0609088C" w14:textId="6ACA4B5D" w:rsidR="00EC49A4" w:rsidRPr="0042797B" w:rsidRDefault="00720651" w:rsidP="00C0406D">
            <w:pPr>
              <w:ind w:right="57"/>
              <w:jc w:val="right"/>
              <w:rPr>
                <w:bCs w:val="0"/>
                <w:sz w:val="12"/>
                <w:szCs w:val="12"/>
              </w:rPr>
            </w:pPr>
            <w:r>
              <w:rPr>
                <w:bCs w:val="0"/>
                <w:sz w:val="12"/>
                <w:szCs w:val="12"/>
              </w:rPr>
              <w:t>303.734.961.757</w:t>
            </w:r>
          </w:p>
        </w:tc>
        <w:tc>
          <w:tcPr>
            <w:tcW w:w="24" w:type="dxa"/>
            <w:vAlign w:val="bottom"/>
          </w:tcPr>
          <w:p w14:paraId="2399A33A" w14:textId="77777777" w:rsidR="00EC49A4" w:rsidRPr="0042797B" w:rsidRDefault="00EC49A4" w:rsidP="00C0406D">
            <w:pPr>
              <w:jc w:val="center"/>
              <w:rPr>
                <w:bCs w:val="0"/>
                <w:sz w:val="12"/>
                <w:szCs w:val="12"/>
              </w:rPr>
            </w:pPr>
          </w:p>
        </w:tc>
        <w:tc>
          <w:tcPr>
            <w:tcW w:w="1073" w:type="dxa"/>
            <w:vAlign w:val="bottom"/>
          </w:tcPr>
          <w:p w14:paraId="58179CAB" w14:textId="0727D6CE" w:rsidR="00EC49A4" w:rsidRPr="0042797B" w:rsidRDefault="00C5137D" w:rsidP="00C0406D">
            <w:pPr>
              <w:ind w:right="57"/>
              <w:jc w:val="right"/>
              <w:rPr>
                <w:bCs w:val="0"/>
                <w:sz w:val="12"/>
                <w:szCs w:val="12"/>
              </w:rPr>
            </w:pPr>
            <w:r w:rsidRPr="00566DA5">
              <w:rPr>
                <w:bCs w:val="0"/>
                <w:sz w:val="12"/>
                <w:szCs w:val="12"/>
              </w:rPr>
              <w:t>255.291.185.472</w:t>
            </w:r>
          </w:p>
        </w:tc>
      </w:tr>
      <w:tr w:rsidR="0042797B" w:rsidRPr="0042797B" w14:paraId="48601E14" w14:textId="77777777" w:rsidTr="00CC2E72">
        <w:tc>
          <w:tcPr>
            <w:tcW w:w="2030" w:type="dxa"/>
            <w:vAlign w:val="bottom"/>
          </w:tcPr>
          <w:p w14:paraId="2DC83E28" w14:textId="77777777" w:rsidR="00EC49A4" w:rsidRPr="0042797B" w:rsidRDefault="00EC49A4" w:rsidP="00EC49A4">
            <w:pPr>
              <w:ind w:left="141"/>
              <w:rPr>
                <w:rStyle w:val="hps"/>
                <w:sz w:val="12"/>
                <w:szCs w:val="12"/>
              </w:rPr>
            </w:pPr>
          </w:p>
        </w:tc>
        <w:tc>
          <w:tcPr>
            <w:tcW w:w="20" w:type="dxa"/>
          </w:tcPr>
          <w:p w14:paraId="7605585F" w14:textId="77777777" w:rsidR="00EC49A4" w:rsidRPr="0042797B" w:rsidRDefault="00EC49A4" w:rsidP="00C0406D">
            <w:pPr>
              <w:ind w:left="340"/>
              <w:jc w:val="both"/>
              <w:rPr>
                <w:sz w:val="12"/>
                <w:szCs w:val="12"/>
              </w:rPr>
            </w:pPr>
          </w:p>
        </w:tc>
        <w:tc>
          <w:tcPr>
            <w:tcW w:w="574" w:type="dxa"/>
            <w:vAlign w:val="bottom"/>
          </w:tcPr>
          <w:p w14:paraId="461C3E88" w14:textId="77777777" w:rsidR="00EC49A4" w:rsidRPr="0042797B" w:rsidRDefault="00EC49A4" w:rsidP="00261DF6">
            <w:pPr>
              <w:jc w:val="center"/>
              <w:rPr>
                <w:sz w:val="12"/>
                <w:szCs w:val="12"/>
              </w:rPr>
            </w:pPr>
          </w:p>
        </w:tc>
        <w:tc>
          <w:tcPr>
            <w:tcW w:w="20" w:type="dxa"/>
          </w:tcPr>
          <w:p w14:paraId="4497B136" w14:textId="77777777" w:rsidR="00EC49A4" w:rsidRPr="0042797B" w:rsidRDefault="00EC49A4" w:rsidP="00C0406D">
            <w:pPr>
              <w:jc w:val="center"/>
              <w:rPr>
                <w:i/>
                <w:sz w:val="12"/>
                <w:szCs w:val="12"/>
              </w:rPr>
            </w:pPr>
          </w:p>
        </w:tc>
        <w:tc>
          <w:tcPr>
            <w:tcW w:w="1073" w:type="dxa"/>
            <w:vAlign w:val="bottom"/>
          </w:tcPr>
          <w:p w14:paraId="0A763B3D" w14:textId="77777777" w:rsidR="00EC49A4" w:rsidRPr="0042797B" w:rsidRDefault="00EC49A4" w:rsidP="00C0406D">
            <w:pPr>
              <w:jc w:val="center"/>
              <w:rPr>
                <w:i/>
                <w:sz w:val="12"/>
                <w:szCs w:val="12"/>
              </w:rPr>
            </w:pPr>
          </w:p>
        </w:tc>
        <w:tc>
          <w:tcPr>
            <w:tcW w:w="20" w:type="dxa"/>
          </w:tcPr>
          <w:p w14:paraId="74CB45BC" w14:textId="77777777" w:rsidR="00EC49A4" w:rsidRPr="0042797B" w:rsidRDefault="00EC49A4" w:rsidP="00C0406D">
            <w:pPr>
              <w:ind w:left="426"/>
              <w:jc w:val="both"/>
              <w:rPr>
                <w:bCs w:val="0"/>
                <w:i/>
                <w:sz w:val="12"/>
                <w:szCs w:val="12"/>
              </w:rPr>
            </w:pPr>
          </w:p>
        </w:tc>
        <w:tc>
          <w:tcPr>
            <w:tcW w:w="1073" w:type="dxa"/>
            <w:vAlign w:val="bottom"/>
          </w:tcPr>
          <w:p w14:paraId="353F2E71" w14:textId="77777777" w:rsidR="00EC49A4" w:rsidRPr="0042797B" w:rsidRDefault="00EC49A4" w:rsidP="00C0406D">
            <w:pPr>
              <w:jc w:val="center"/>
              <w:rPr>
                <w:bCs w:val="0"/>
                <w:sz w:val="12"/>
                <w:szCs w:val="12"/>
              </w:rPr>
            </w:pPr>
          </w:p>
        </w:tc>
        <w:tc>
          <w:tcPr>
            <w:tcW w:w="20" w:type="dxa"/>
            <w:vAlign w:val="bottom"/>
          </w:tcPr>
          <w:p w14:paraId="53E5632A" w14:textId="77777777" w:rsidR="00EC49A4" w:rsidRPr="0042797B" w:rsidRDefault="00EC49A4" w:rsidP="00C0406D">
            <w:pPr>
              <w:jc w:val="center"/>
              <w:rPr>
                <w:bCs w:val="0"/>
                <w:i/>
                <w:sz w:val="12"/>
                <w:szCs w:val="12"/>
              </w:rPr>
            </w:pPr>
          </w:p>
        </w:tc>
        <w:tc>
          <w:tcPr>
            <w:tcW w:w="20" w:type="dxa"/>
            <w:vAlign w:val="bottom"/>
          </w:tcPr>
          <w:p w14:paraId="620A7658" w14:textId="77777777" w:rsidR="00EC49A4" w:rsidRPr="0042797B" w:rsidRDefault="00EC49A4" w:rsidP="00C0406D">
            <w:pPr>
              <w:jc w:val="center"/>
              <w:rPr>
                <w:bCs w:val="0"/>
                <w:i/>
                <w:sz w:val="12"/>
                <w:szCs w:val="12"/>
              </w:rPr>
            </w:pPr>
          </w:p>
        </w:tc>
        <w:tc>
          <w:tcPr>
            <w:tcW w:w="1073" w:type="dxa"/>
            <w:vAlign w:val="bottom"/>
          </w:tcPr>
          <w:p w14:paraId="466AEB08" w14:textId="77777777" w:rsidR="00EC49A4" w:rsidRPr="0042797B" w:rsidRDefault="00EC49A4" w:rsidP="00C0406D">
            <w:pPr>
              <w:jc w:val="center"/>
              <w:rPr>
                <w:bCs w:val="0"/>
                <w:sz w:val="12"/>
                <w:szCs w:val="12"/>
              </w:rPr>
            </w:pPr>
          </w:p>
        </w:tc>
        <w:tc>
          <w:tcPr>
            <w:tcW w:w="24" w:type="dxa"/>
            <w:vAlign w:val="bottom"/>
          </w:tcPr>
          <w:p w14:paraId="0EC75C50" w14:textId="77777777" w:rsidR="00EC49A4" w:rsidRPr="0042797B" w:rsidRDefault="00EC49A4" w:rsidP="00C0406D">
            <w:pPr>
              <w:jc w:val="center"/>
              <w:rPr>
                <w:bCs w:val="0"/>
                <w:i/>
                <w:sz w:val="12"/>
                <w:szCs w:val="12"/>
              </w:rPr>
            </w:pPr>
          </w:p>
        </w:tc>
        <w:tc>
          <w:tcPr>
            <w:tcW w:w="1073" w:type="dxa"/>
            <w:vAlign w:val="bottom"/>
          </w:tcPr>
          <w:p w14:paraId="112D2AB4" w14:textId="77777777" w:rsidR="00EC49A4" w:rsidRPr="0042797B" w:rsidRDefault="00EC49A4" w:rsidP="00C0406D">
            <w:pPr>
              <w:jc w:val="center"/>
              <w:rPr>
                <w:bCs w:val="0"/>
                <w:sz w:val="12"/>
                <w:szCs w:val="12"/>
              </w:rPr>
            </w:pPr>
          </w:p>
        </w:tc>
        <w:tc>
          <w:tcPr>
            <w:tcW w:w="24" w:type="dxa"/>
            <w:vAlign w:val="bottom"/>
          </w:tcPr>
          <w:p w14:paraId="0CCBF35E" w14:textId="77777777" w:rsidR="00EC49A4" w:rsidRPr="0042797B" w:rsidRDefault="00EC49A4" w:rsidP="00C0406D">
            <w:pPr>
              <w:jc w:val="center"/>
              <w:rPr>
                <w:bCs w:val="0"/>
                <w:i/>
                <w:sz w:val="12"/>
                <w:szCs w:val="12"/>
              </w:rPr>
            </w:pPr>
          </w:p>
        </w:tc>
        <w:tc>
          <w:tcPr>
            <w:tcW w:w="1073" w:type="dxa"/>
            <w:shd w:val="clear" w:color="auto" w:fill="auto"/>
            <w:vAlign w:val="bottom"/>
          </w:tcPr>
          <w:p w14:paraId="07440491" w14:textId="77777777" w:rsidR="00EC49A4" w:rsidRPr="0042797B" w:rsidRDefault="00EC49A4" w:rsidP="00C0406D">
            <w:pPr>
              <w:ind w:right="57"/>
              <w:jc w:val="right"/>
              <w:rPr>
                <w:bCs w:val="0"/>
                <w:sz w:val="12"/>
                <w:szCs w:val="12"/>
              </w:rPr>
            </w:pPr>
          </w:p>
        </w:tc>
        <w:tc>
          <w:tcPr>
            <w:tcW w:w="24" w:type="dxa"/>
            <w:vAlign w:val="bottom"/>
          </w:tcPr>
          <w:p w14:paraId="576FD09E" w14:textId="77777777" w:rsidR="00EC49A4" w:rsidRPr="0042797B" w:rsidRDefault="00EC49A4" w:rsidP="00C0406D">
            <w:pPr>
              <w:jc w:val="center"/>
              <w:rPr>
                <w:bCs w:val="0"/>
                <w:sz w:val="12"/>
                <w:szCs w:val="12"/>
              </w:rPr>
            </w:pPr>
          </w:p>
        </w:tc>
        <w:tc>
          <w:tcPr>
            <w:tcW w:w="1073" w:type="dxa"/>
            <w:vAlign w:val="bottom"/>
          </w:tcPr>
          <w:p w14:paraId="77A32219" w14:textId="77777777" w:rsidR="00EC49A4" w:rsidRPr="0042797B" w:rsidRDefault="00EC49A4" w:rsidP="00C0406D">
            <w:pPr>
              <w:ind w:right="57"/>
              <w:jc w:val="right"/>
              <w:rPr>
                <w:bCs w:val="0"/>
                <w:sz w:val="12"/>
                <w:szCs w:val="12"/>
              </w:rPr>
            </w:pPr>
          </w:p>
        </w:tc>
      </w:tr>
      <w:tr w:rsidR="0042797B" w:rsidRPr="0042797B" w14:paraId="549C654D" w14:textId="77777777" w:rsidTr="00CC2E72">
        <w:tc>
          <w:tcPr>
            <w:tcW w:w="2030" w:type="dxa"/>
            <w:vAlign w:val="bottom"/>
          </w:tcPr>
          <w:p w14:paraId="5253B8A0" w14:textId="361C2072" w:rsidR="00EC49A4" w:rsidRPr="0042797B" w:rsidRDefault="00EC49A4" w:rsidP="00EC49A4">
            <w:pPr>
              <w:ind w:left="141"/>
              <w:rPr>
                <w:rStyle w:val="hps"/>
                <w:sz w:val="12"/>
                <w:szCs w:val="12"/>
              </w:rPr>
            </w:pPr>
            <w:r w:rsidRPr="0042797B">
              <w:rPr>
                <w:rStyle w:val="hps"/>
                <w:sz w:val="12"/>
                <w:szCs w:val="12"/>
              </w:rPr>
              <w:t>PT Karya Kharisma Sentosa (KKS)</w:t>
            </w:r>
          </w:p>
        </w:tc>
        <w:tc>
          <w:tcPr>
            <w:tcW w:w="20" w:type="dxa"/>
          </w:tcPr>
          <w:p w14:paraId="70DEA1A9" w14:textId="77777777" w:rsidR="00EC49A4" w:rsidRPr="0042797B" w:rsidRDefault="00EC49A4" w:rsidP="00C0406D">
            <w:pPr>
              <w:ind w:left="340"/>
              <w:jc w:val="both"/>
              <w:rPr>
                <w:sz w:val="12"/>
                <w:szCs w:val="12"/>
              </w:rPr>
            </w:pPr>
          </w:p>
        </w:tc>
        <w:tc>
          <w:tcPr>
            <w:tcW w:w="574" w:type="dxa"/>
            <w:vAlign w:val="bottom"/>
          </w:tcPr>
          <w:p w14:paraId="27ECB639" w14:textId="78B8A9F9" w:rsidR="00EC49A4" w:rsidRPr="0042797B" w:rsidRDefault="00EC49A4" w:rsidP="00261DF6">
            <w:pPr>
              <w:jc w:val="center"/>
              <w:rPr>
                <w:sz w:val="12"/>
                <w:szCs w:val="12"/>
                <w:lang w:val="id-ID"/>
              </w:rPr>
            </w:pPr>
            <w:r w:rsidRPr="0042797B">
              <w:rPr>
                <w:sz w:val="12"/>
                <w:szCs w:val="12"/>
                <w:lang w:val="id-ID"/>
              </w:rPr>
              <w:t>Jakarta</w:t>
            </w:r>
          </w:p>
        </w:tc>
        <w:tc>
          <w:tcPr>
            <w:tcW w:w="20" w:type="dxa"/>
          </w:tcPr>
          <w:p w14:paraId="3F177CDA" w14:textId="77777777" w:rsidR="00EC49A4" w:rsidRPr="0042797B" w:rsidRDefault="00EC49A4" w:rsidP="00C0406D">
            <w:pPr>
              <w:jc w:val="center"/>
              <w:rPr>
                <w:i/>
                <w:sz w:val="12"/>
                <w:szCs w:val="12"/>
              </w:rPr>
            </w:pPr>
          </w:p>
        </w:tc>
        <w:tc>
          <w:tcPr>
            <w:tcW w:w="1073" w:type="dxa"/>
            <w:vAlign w:val="bottom"/>
          </w:tcPr>
          <w:p w14:paraId="031D905D" w14:textId="1130D42D" w:rsidR="00EC49A4" w:rsidRPr="0042797B" w:rsidRDefault="00EC49A4" w:rsidP="00C0406D">
            <w:pPr>
              <w:jc w:val="center"/>
              <w:rPr>
                <w:i/>
                <w:sz w:val="12"/>
                <w:szCs w:val="12"/>
                <w:lang w:val="id-ID"/>
              </w:rPr>
            </w:pPr>
            <w:r w:rsidRPr="0042797B">
              <w:rPr>
                <w:i/>
                <w:sz w:val="12"/>
                <w:szCs w:val="12"/>
                <w:lang w:val="id-ID"/>
              </w:rPr>
              <w:t>-</w:t>
            </w:r>
          </w:p>
        </w:tc>
        <w:tc>
          <w:tcPr>
            <w:tcW w:w="20" w:type="dxa"/>
          </w:tcPr>
          <w:p w14:paraId="2037F91C" w14:textId="77777777" w:rsidR="00EC49A4" w:rsidRPr="0042797B" w:rsidRDefault="00EC49A4" w:rsidP="00C0406D">
            <w:pPr>
              <w:ind w:left="426"/>
              <w:jc w:val="both"/>
              <w:rPr>
                <w:bCs w:val="0"/>
                <w:i/>
                <w:sz w:val="12"/>
                <w:szCs w:val="12"/>
              </w:rPr>
            </w:pPr>
          </w:p>
        </w:tc>
        <w:tc>
          <w:tcPr>
            <w:tcW w:w="1073" w:type="dxa"/>
            <w:vAlign w:val="bottom"/>
          </w:tcPr>
          <w:p w14:paraId="1E5C58EE" w14:textId="3B2EEEDC" w:rsidR="00EC49A4" w:rsidRPr="0042797B" w:rsidRDefault="00EC49A4" w:rsidP="00C0406D">
            <w:pPr>
              <w:jc w:val="center"/>
              <w:rPr>
                <w:bCs w:val="0"/>
                <w:sz w:val="12"/>
                <w:szCs w:val="12"/>
              </w:rPr>
            </w:pPr>
            <w:r w:rsidRPr="0042797B">
              <w:rPr>
                <w:bCs w:val="0"/>
                <w:i/>
                <w:sz w:val="12"/>
                <w:szCs w:val="12"/>
                <w:lang w:val="id-ID"/>
              </w:rPr>
              <w:t>*)</w:t>
            </w:r>
          </w:p>
        </w:tc>
        <w:tc>
          <w:tcPr>
            <w:tcW w:w="20" w:type="dxa"/>
            <w:vAlign w:val="bottom"/>
          </w:tcPr>
          <w:p w14:paraId="57CC5DF4" w14:textId="77777777" w:rsidR="00EC49A4" w:rsidRPr="0042797B" w:rsidRDefault="00EC49A4" w:rsidP="00C0406D">
            <w:pPr>
              <w:jc w:val="center"/>
              <w:rPr>
                <w:bCs w:val="0"/>
                <w:i/>
                <w:sz w:val="12"/>
                <w:szCs w:val="12"/>
              </w:rPr>
            </w:pPr>
          </w:p>
        </w:tc>
        <w:tc>
          <w:tcPr>
            <w:tcW w:w="20" w:type="dxa"/>
            <w:vAlign w:val="bottom"/>
          </w:tcPr>
          <w:p w14:paraId="0634789E" w14:textId="77777777" w:rsidR="00EC49A4" w:rsidRPr="0042797B" w:rsidRDefault="00EC49A4" w:rsidP="00C0406D">
            <w:pPr>
              <w:jc w:val="center"/>
              <w:rPr>
                <w:bCs w:val="0"/>
                <w:i/>
                <w:sz w:val="12"/>
                <w:szCs w:val="12"/>
              </w:rPr>
            </w:pPr>
          </w:p>
        </w:tc>
        <w:tc>
          <w:tcPr>
            <w:tcW w:w="1073" w:type="dxa"/>
            <w:vAlign w:val="bottom"/>
          </w:tcPr>
          <w:p w14:paraId="2603EEFC" w14:textId="49C032C5"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99%</w:t>
            </w:r>
          </w:p>
        </w:tc>
        <w:tc>
          <w:tcPr>
            <w:tcW w:w="24" w:type="dxa"/>
            <w:vAlign w:val="bottom"/>
          </w:tcPr>
          <w:p w14:paraId="7FF40C1D" w14:textId="77777777" w:rsidR="00EC49A4" w:rsidRPr="0042797B" w:rsidRDefault="00EC49A4" w:rsidP="00C0406D">
            <w:pPr>
              <w:jc w:val="center"/>
              <w:rPr>
                <w:bCs w:val="0"/>
                <w:i/>
                <w:sz w:val="12"/>
                <w:szCs w:val="12"/>
              </w:rPr>
            </w:pPr>
          </w:p>
        </w:tc>
        <w:tc>
          <w:tcPr>
            <w:tcW w:w="1073" w:type="dxa"/>
            <w:vAlign w:val="bottom"/>
          </w:tcPr>
          <w:p w14:paraId="5081BB2E" w14:textId="2CC1681D"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99%</w:t>
            </w:r>
          </w:p>
        </w:tc>
        <w:tc>
          <w:tcPr>
            <w:tcW w:w="24" w:type="dxa"/>
            <w:vAlign w:val="bottom"/>
          </w:tcPr>
          <w:p w14:paraId="1BF6BD4A" w14:textId="77777777" w:rsidR="00EC49A4" w:rsidRPr="0042797B" w:rsidRDefault="00EC49A4" w:rsidP="00C0406D">
            <w:pPr>
              <w:jc w:val="center"/>
              <w:rPr>
                <w:bCs w:val="0"/>
                <w:i/>
                <w:sz w:val="12"/>
                <w:szCs w:val="12"/>
              </w:rPr>
            </w:pPr>
          </w:p>
        </w:tc>
        <w:tc>
          <w:tcPr>
            <w:tcW w:w="1073" w:type="dxa"/>
            <w:shd w:val="clear" w:color="auto" w:fill="auto"/>
            <w:vAlign w:val="bottom"/>
          </w:tcPr>
          <w:p w14:paraId="63C870BC" w14:textId="789688C6" w:rsidR="00EC49A4" w:rsidRPr="0042797B" w:rsidRDefault="00656D0F" w:rsidP="00095D41">
            <w:pPr>
              <w:ind w:right="57"/>
              <w:jc w:val="right"/>
              <w:rPr>
                <w:bCs w:val="0"/>
                <w:sz w:val="12"/>
                <w:szCs w:val="12"/>
              </w:rPr>
            </w:pPr>
            <w:r w:rsidRPr="00656D0F">
              <w:rPr>
                <w:bCs w:val="0"/>
                <w:sz w:val="12"/>
                <w:szCs w:val="12"/>
              </w:rPr>
              <w:t>129</w:t>
            </w:r>
            <w:r>
              <w:rPr>
                <w:bCs w:val="0"/>
                <w:sz w:val="12"/>
                <w:szCs w:val="12"/>
              </w:rPr>
              <w:t>.</w:t>
            </w:r>
            <w:r w:rsidRPr="00656D0F">
              <w:rPr>
                <w:bCs w:val="0"/>
                <w:sz w:val="12"/>
                <w:szCs w:val="12"/>
              </w:rPr>
              <w:t>465</w:t>
            </w:r>
            <w:r>
              <w:rPr>
                <w:bCs w:val="0"/>
                <w:sz w:val="12"/>
                <w:szCs w:val="12"/>
              </w:rPr>
              <w:t>.</w:t>
            </w:r>
            <w:r w:rsidRPr="00656D0F">
              <w:rPr>
                <w:bCs w:val="0"/>
                <w:sz w:val="12"/>
                <w:szCs w:val="12"/>
              </w:rPr>
              <w:t>727</w:t>
            </w:r>
            <w:r>
              <w:rPr>
                <w:bCs w:val="0"/>
                <w:sz w:val="12"/>
                <w:szCs w:val="12"/>
              </w:rPr>
              <w:t>.</w:t>
            </w:r>
            <w:r w:rsidRPr="00656D0F">
              <w:rPr>
                <w:bCs w:val="0"/>
                <w:sz w:val="12"/>
                <w:szCs w:val="12"/>
              </w:rPr>
              <w:t>38</w:t>
            </w:r>
            <w:r w:rsidR="00095D41">
              <w:rPr>
                <w:bCs w:val="0"/>
                <w:sz w:val="12"/>
                <w:szCs w:val="12"/>
              </w:rPr>
              <w:t>8</w:t>
            </w:r>
          </w:p>
        </w:tc>
        <w:tc>
          <w:tcPr>
            <w:tcW w:w="24" w:type="dxa"/>
            <w:vAlign w:val="bottom"/>
          </w:tcPr>
          <w:p w14:paraId="1B99C69F" w14:textId="77777777" w:rsidR="00EC49A4" w:rsidRPr="0042797B" w:rsidRDefault="00EC49A4" w:rsidP="00C0406D">
            <w:pPr>
              <w:jc w:val="center"/>
              <w:rPr>
                <w:bCs w:val="0"/>
                <w:sz w:val="12"/>
                <w:szCs w:val="12"/>
              </w:rPr>
            </w:pPr>
          </w:p>
        </w:tc>
        <w:tc>
          <w:tcPr>
            <w:tcW w:w="1073" w:type="dxa"/>
            <w:vAlign w:val="bottom"/>
          </w:tcPr>
          <w:p w14:paraId="756591EF" w14:textId="02FDDC28" w:rsidR="00EC49A4" w:rsidRPr="0042797B" w:rsidRDefault="00C5137D" w:rsidP="00C0406D">
            <w:pPr>
              <w:ind w:right="57"/>
              <w:jc w:val="right"/>
              <w:rPr>
                <w:bCs w:val="0"/>
                <w:sz w:val="12"/>
                <w:szCs w:val="12"/>
              </w:rPr>
            </w:pPr>
            <w:r w:rsidRPr="00566DA5">
              <w:rPr>
                <w:bCs w:val="0"/>
                <w:sz w:val="12"/>
                <w:szCs w:val="12"/>
              </w:rPr>
              <w:t>129.492.817.693</w:t>
            </w:r>
          </w:p>
        </w:tc>
      </w:tr>
      <w:tr w:rsidR="0042797B" w:rsidRPr="0042797B" w14:paraId="7DCD42E3" w14:textId="77777777" w:rsidTr="00CC2E72">
        <w:tc>
          <w:tcPr>
            <w:tcW w:w="2030" w:type="dxa"/>
            <w:vAlign w:val="bottom"/>
          </w:tcPr>
          <w:p w14:paraId="0EE70EF8" w14:textId="77777777" w:rsidR="00EC49A4" w:rsidRPr="0042797B" w:rsidRDefault="00EC49A4" w:rsidP="00EC49A4">
            <w:pPr>
              <w:ind w:left="141"/>
              <w:rPr>
                <w:rStyle w:val="hps"/>
                <w:sz w:val="12"/>
                <w:szCs w:val="12"/>
              </w:rPr>
            </w:pPr>
          </w:p>
        </w:tc>
        <w:tc>
          <w:tcPr>
            <w:tcW w:w="20" w:type="dxa"/>
          </w:tcPr>
          <w:p w14:paraId="51360B52" w14:textId="77777777" w:rsidR="00EC49A4" w:rsidRPr="0042797B" w:rsidRDefault="00EC49A4" w:rsidP="00C0406D">
            <w:pPr>
              <w:ind w:left="340"/>
              <w:jc w:val="both"/>
              <w:rPr>
                <w:sz w:val="12"/>
                <w:szCs w:val="12"/>
              </w:rPr>
            </w:pPr>
          </w:p>
        </w:tc>
        <w:tc>
          <w:tcPr>
            <w:tcW w:w="574" w:type="dxa"/>
            <w:vAlign w:val="bottom"/>
          </w:tcPr>
          <w:p w14:paraId="215D30B8" w14:textId="77777777" w:rsidR="00EC49A4" w:rsidRPr="0042797B" w:rsidRDefault="00EC49A4" w:rsidP="00261DF6">
            <w:pPr>
              <w:jc w:val="center"/>
              <w:rPr>
                <w:sz w:val="12"/>
                <w:szCs w:val="12"/>
              </w:rPr>
            </w:pPr>
          </w:p>
        </w:tc>
        <w:tc>
          <w:tcPr>
            <w:tcW w:w="20" w:type="dxa"/>
          </w:tcPr>
          <w:p w14:paraId="0F22B3DA" w14:textId="77777777" w:rsidR="00EC49A4" w:rsidRPr="0042797B" w:rsidRDefault="00EC49A4" w:rsidP="00C0406D">
            <w:pPr>
              <w:jc w:val="center"/>
              <w:rPr>
                <w:i/>
                <w:sz w:val="12"/>
                <w:szCs w:val="12"/>
              </w:rPr>
            </w:pPr>
          </w:p>
        </w:tc>
        <w:tc>
          <w:tcPr>
            <w:tcW w:w="1073" w:type="dxa"/>
            <w:vAlign w:val="bottom"/>
          </w:tcPr>
          <w:p w14:paraId="415A5DBB" w14:textId="77777777" w:rsidR="00EC49A4" w:rsidRPr="0042797B" w:rsidRDefault="00EC49A4" w:rsidP="00C0406D">
            <w:pPr>
              <w:jc w:val="center"/>
              <w:rPr>
                <w:i/>
                <w:sz w:val="12"/>
                <w:szCs w:val="12"/>
              </w:rPr>
            </w:pPr>
          </w:p>
        </w:tc>
        <w:tc>
          <w:tcPr>
            <w:tcW w:w="20" w:type="dxa"/>
          </w:tcPr>
          <w:p w14:paraId="42CA96DD" w14:textId="77777777" w:rsidR="00EC49A4" w:rsidRPr="0042797B" w:rsidRDefault="00EC49A4" w:rsidP="00C0406D">
            <w:pPr>
              <w:ind w:left="426"/>
              <w:jc w:val="both"/>
              <w:rPr>
                <w:bCs w:val="0"/>
                <w:i/>
                <w:sz w:val="12"/>
                <w:szCs w:val="12"/>
              </w:rPr>
            </w:pPr>
          </w:p>
        </w:tc>
        <w:tc>
          <w:tcPr>
            <w:tcW w:w="1073" w:type="dxa"/>
            <w:vAlign w:val="bottom"/>
          </w:tcPr>
          <w:p w14:paraId="710A8482" w14:textId="0CB813CD" w:rsidR="00EC49A4" w:rsidRPr="0042797B" w:rsidRDefault="00EC49A4" w:rsidP="00C0406D">
            <w:pPr>
              <w:jc w:val="center"/>
              <w:rPr>
                <w:bCs w:val="0"/>
                <w:sz w:val="12"/>
                <w:szCs w:val="12"/>
              </w:rPr>
            </w:pPr>
          </w:p>
        </w:tc>
        <w:tc>
          <w:tcPr>
            <w:tcW w:w="20" w:type="dxa"/>
            <w:vAlign w:val="bottom"/>
          </w:tcPr>
          <w:p w14:paraId="3B8A6278" w14:textId="77777777" w:rsidR="00EC49A4" w:rsidRPr="0042797B" w:rsidRDefault="00EC49A4" w:rsidP="00C0406D">
            <w:pPr>
              <w:jc w:val="center"/>
              <w:rPr>
                <w:bCs w:val="0"/>
                <w:i/>
                <w:sz w:val="12"/>
                <w:szCs w:val="12"/>
              </w:rPr>
            </w:pPr>
          </w:p>
        </w:tc>
        <w:tc>
          <w:tcPr>
            <w:tcW w:w="20" w:type="dxa"/>
            <w:vAlign w:val="bottom"/>
          </w:tcPr>
          <w:p w14:paraId="0D46B129" w14:textId="77777777" w:rsidR="00EC49A4" w:rsidRPr="0042797B" w:rsidRDefault="00EC49A4" w:rsidP="00C0406D">
            <w:pPr>
              <w:jc w:val="center"/>
              <w:rPr>
                <w:bCs w:val="0"/>
                <w:i/>
                <w:sz w:val="12"/>
                <w:szCs w:val="12"/>
              </w:rPr>
            </w:pPr>
          </w:p>
        </w:tc>
        <w:tc>
          <w:tcPr>
            <w:tcW w:w="1073" w:type="dxa"/>
            <w:vAlign w:val="bottom"/>
          </w:tcPr>
          <w:p w14:paraId="6C0725AB" w14:textId="77777777" w:rsidR="00EC49A4" w:rsidRPr="0042797B" w:rsidRDefault="00EC49A4" w:rsidP="00C0406D">
            <w:pPr>
              <w:jc w:val="center"/>
              <w:rPr>
                <w:bCs w:val="0"/>
                <w:sz w:val="12"/>
                <w:szCs w:val="12"/>
              </w:rPr>
            </w:pPr>
          </w:p>
        </w:tc>
        <w:tc>
          <w:tcPr>
            <w:tcW w:w="24" w:type="dxa"/>
            <w:vAlign w:val="bottom"/>
          </w:tcPr>
          <w:p w14:paraId="693CFEAA" w14:textId="77777777" w:rsidR="00EC49A4" w:rsidRPr="0042797B" w:rsidRDefault="00EC49A4" w:rsidP="00C0406D">
            <w:pPr>
              <w:jc w:val="center"/>
              <w:rPr>
                <w:bCs w:val="0"/>
                <w:i/>
                <w:sz w:val="12"/>
                <w:szCs w:val="12"/>
              </w:rPr>
            </w:pPr>
          </w:p>
        </w:tc>
        <w:tc>
          <w:tcPr>
            <w:tcW w:w="1073" w:type="dxa"/>
            <w:vAlign w:val="bottom"/>
          </w:tcPr>
          <w:p w14:paraId="6402AF06" w14:textId="77777777" w:rsidR="00EC49A4" w:rsidRPr="0042797B" w:rsidRDefault="00EC49A4" w:rsidP="00C0406D">
            <w:pPr>
              <w:jc w:val="center"/>
              <w:rPr>
                <w:bCs w:val="0"/>
                <w:sz w:val="12"/>
                <w:szCs w:val="12"/>
              </w:rPr>
            </w:pPr>
          </w:p>
        </w:tc>
        <w:tc>
          <w:tcPr>
            <w:tcW w:w="24" w:type="dxa"/>
            <w:vAlign w:val="bottom"/>
          </w:tcPr>
          <w:p w14:paraId="56016F44" w14:textId="77777777" w:rsidR="00EC49A4" w:rsidRPr="0042797B" w:rsidRDefault="00EC49A4" w:rsidP="00C0406D">
            <w:pPr>
              <w:jc w:val="center"/>
              <w:rPr>
                <w:bCs w:val="0"/>
                <w:i/>
                <w:sz w:val="12"/>
                <w:szCs w:val="12"/>
              </w:rPr>
            </w:pPr>
          </w:p>
        </w:tc>
        <w:tc>
          <w:tcPr>
            <w:tcW w:w="1073" w:type="dxa"/>
            <w:shd w:val="clear" w:color="auto" w:fill="auto"/>
            <w:vAlign w:val="bottom"/>
          </w:tcPr>
          <w:p w14:paraId="101667BC" w14:textId="77777777" w:rsidR="00EC49A4" w:rsidRPr="0042797B" w:rsidRDefault="00EC49A4" w:rsidP="00C0406D">
            <w:pPr>
              <w:ind w:right="57"/>
              <w:jc w:val="right"/>
              <w:rPr>
                <w:bCs w:val="0"/>
                <w:sz w:val="12"/>
                <w:szCs w:val="12"/>
              </w:rPr>
            </w:pPr>
          </w:p>
        </w:tc>
        <w:tc>
          <w:tcPr>
            <w:tcW w:w="24" w:type="dxa"/>
            <w:vAlign w:val="bottom"/>
          </w:tcPr>
          <w:p w14:paraId="46965D94" w14:textId="77777777" w:rsidR="00EC49A4" w:rsidRPr="0042797B" w:rsidRDefault="00EC49A4" w:rsidP="00C0406D">
            <w:pPr>
              <w:jc w:val="center"/>
              <w:rPr>
                <w:bCs w:val="0"/>
                <w:sz w:val="12"/>
                <w:szCs w:val="12"/>
              </w:rPr>
            </w:pPr>
          </w:p>
        </w:tc>
        <w:tc>
          <w:tcPr>
            <w:tcW w:w="1073" w:type="dxa"/>
            <w:vAlign w:val="bottom"/>
          </w:tcPr>
          <w:p w14:paraId="1190DF25" w14:textId="77777777" w:rsidR="00EC49A4" w:rsidRPr="0042797B" w:rsidRDefault="00EC49A4" w:rsidP="00C0406D">
            <w:pPr>
              <w:ind w:right="57"/>
              <w:jc w:val="right"/>
              <w:rPr>
                <w:bCs w:val="0"/>
                <w:sz w:val="12"/>
                <w:szCs w:val="12"/>
              </w:rPr>
            </w:pPr>
          </w:p>
        </w:tc>
      </w:tr>
      <w:tr w:rsidR="0042797B" w:rsidRPr="0042797B" w14:paraId="50937119" w14:textId="77777777" w:rsidTr="00CC2E72">
        <w:tc>
          <w:tcPr>
            <w:tcW w:w="2030" w:type="dxa"/>
            <w:vAlign w:val="bottom"/>
          </w:tcPr>
          <w:p w14:paraId="468C045D" w14:textId="3D856DF2" w:rsidR="00EC49A4" w:rsidRPr="0042797B" w:rsidRDefault="00EC49A4" w:rsidP="00EC49A4">
            <w:pPr>
              <w:ind w:left="141"/>
              <w:rPr>
                <w:rStyle w:val="hps"/>
                <w:sz w:val="12"/>
                <w:szCs w:val="12"/>
              </w:rPr>
            </w:pPr>
            <w:r w:rsidRPr="0042797B">
              <w:rPr>
                <w:rStyle w:val="hps"/>
                <w:sz w:val="12"/>
                <w:szCs w:val="12"/>
              </w:rPr>
              <w:t>PT Anugrah Inti Karya (AIK)</w:t>
            </w:r>
          </w:p>
        </w:tc>
        <w:tc>
          <w:tcPr>
            <w:tcW w:w="20" w:type="dxa"/>
          </w:tcPr>
          <w:p w14:paraId="04902E0B" w14:textId="77777777" w:rsidR="00EC49A4" w:rsidRPr="0042797B" w:rsidRDefault="00EC49A4" w:rsidP="00C0406D">
            <w:pPr>
              <w:ind w:left="340"/>
              <w:jc w:val="both"/>
              <w:rPr>
                <w:sz w:val="12"/>
                <w:szCs w:val="12"/>
              </w:rPr>
            </w:pPr>
          </w:p>
        </w:tc>
        <w:tc>
          <w:tcPr>
            <w:tcW w:w="574" w:type="dxa"/>
            <w:vAlign w:val="bottom"/>
          </w:tcPr>
          <w:p w14:paraId="2A430FB3" w14:textId="0992A7BD" w:rsidR="00EC49A4" w:rsidRPr="0042797B" w:rsidRDefault="00EC49A4" w:rsidP="00261DF6">
            <w:pPr>
              <w:jc w:val="center"/>
              <w:rPr>
                <w:sz w:val="12"/>
                <w:szCs w:val="12"/>
              </w:rPr>
            </w:pPr>
            <w:r w:rsidRPr="0042797B">
              <w:rPr>
                <w:sz w:val="12"/>
                <w:szCs w:val="12"/>
              </w:rPr>
              <w:t>Jakarta</w:t>
            </w:r>
          </w:p>
        </w:tc>
        <w:tc>
          <w:tcPr>
            <w:tcW w:w="20" w:type="dxa"/>
          </w:tcPr>
          <w:p w14:paraId="69BE063D" w14:textId="77777777" w:rsidR="00EC49A4" w:rsidRPr="0042797B" w:rsidRDefault="00EC49A4" w:rsidP="00C0406D">
            <w:pPr>
              <w:jc w:val="center"/>
              <w:rPr>
                <w:i/>
                <w:sz w:val="12"/>
                <w:szCs w:val="12"/>
              </w:rPr>
            </w:pPr>
          </w:p>
        </w:tc>
        <w:tc>
          <w:tcPr>
            <w:tcW w:w="1073" w:type="dxa"/>
            <w:vAlign w:val="bottom"/>
          </w:tcPr>
          <w:p w14:paraId="3A02458D" w14:textId="19487AD9" w:rsidR="00EC49A4" w:rsidRPr="0042797B" w:rsidRDefault="00EC49A4" w:rsidP="00C0406D">
            <w:pPr>
              <w:jc w:val="center"/>
              <w:rPr>
                <w:i/>
                <w:sz w:val="12"/>
                <w:szCs w:val="12"/>
                <w:lang w:val="id-ID"/>
              </w:rPr>
            </w:pPr>
            <w:r w:rsidRPr="0042797B">
              <w:rPr>
                <w:i/>
                <w:sz w:val="12"/>
                <w:szCs w:val="12"/>
                <w:lang w:val="id-ID"/>
              </w:rPr>
              <w:t>-</w:t>
            </w:r>
          </w:p>
        </w:tc>
        <w:tc>
          <w:tcPr>
            <w:tcW w:w="20" w:type="dxa"/>
          </w:tcPr>
          <w:p w14:paraId="04330193" w14:textId="77777777" w:rsidR="00EC49A4" w:rsidRPr="0042797B" w:rsidRDefault="00EC49A4" w:rsidP="00C0406D">
            <w:pPr>
              <w:ind w:left="426"/>
              <w:jc w:val="both"/>
              <w:rPr>
                <w:bCs w:val="0"/>
                <w:i/>
                <w:sz w:val="12"/>
                <w:szCs w:val="12"/>
              </w:rPr>
            </w:pPr>
          </w:p>
        </w:tc>
        <w:tc>
          <w:tcPr>
            <w:tcW w:w="1073" w:type="dxa"/>
            <w:vAlign w:val="bottom"/>
          </w:tcPr>
          <w:p w14:paraId="33D02597" w14:textId="0CDC587F" w:rsidR="00EC49A4" w:rsidRPr="0042797B" w:rsidRDefault="00EC49A4" w:rsidP="00C0406D">
            <w:pPr>
              <w:jc w:val="center"/>
              <w:rPr>
                <w:bCs w:val="0"/>
                <w:sz w:val="12"/>
                <w:szCs w:val="12"/>
              </w:rPr>
            </w:pPr>
            <w:r w:rsidRPr="0042797B">
              <w:rPr>
                <w:bCs w:val="0"/>
                <w:i/>
                <w:sz w:val="12"/>
                <w:szCs w:val="12"/>
                <w:lang w:val="id-ID"/>
              </w:rPr>
              <w:t>*)</w:t>
            </w:r>
          </w:p>
        </w:tc>
        <w:tc>
          <w:tcPr>
            <w:tcW w:w="20" w:type="dxa"/>
            <w:vAlign w:val="bottom"/>
          </w:tcPr>
          <w:p w14:paraId="533EECBE" w14:textId="77777777" w:rsidR="00EC49A4" w:rsidRPr="0042797B" w:rsidRDefault="00EC49A4" w:rsidP="00C0406D">
            <w:pPr>
              <w:jc w:val="center"/>
              <w:rPr>
                <w:bCs w:val="0"/>
                <w:i/>
                <w:sz w:val="12"/>
                <w:szCs w:val="12"/>
              </w:rPr>
            </w:pPr>
          </w:p>
        </w:tc>
        <w:tc>
          <w:tcPr>
            <w:tcW w:w="20" w:type="dxa"/>
            <w:vAlign w:val="bottom"/>
          </w:tcPr>
          <w:p w14:paraId="01E5D01B" w14:textId="77777777" w:rsidR="00EC49A4" w:rsidRPr="0042797B" w:rsidRDefault="00EC49A4" w:rsidP="00C0406D">
            <w:pPr>
              <w:jc w:val="center"/>
              <w:rPr>
                <w:bCs w:val="0"/>
                <w:i/>
                <w:sz w:val="12"/>
                <w:szCs w:val="12"/>
              </w:rPr>
            </w:pPr>
          </w:p>
        </w:tc>
        <w:tc>
          <w:tcPr>
            <w:tcW w:w="1073" w:type="dxa"/>
            <w:vAlign w:val="bottom"/>
          </w:tcPr>
          <w:p w14:paraId="686D48EA" w14:textId="3066C2A5"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00%</w:t>
            </w:r>
          </w:p>
        </w:tc>
        <w:tc>
          <w:tcPr>
            <w:tcW w:w="24" w:type="dxa"/>
            <w:vAlign w:val="bottom"/>
          </w:tcPr>
          <w:p w14:paraId="43932030" w14:textId="77777777" w:rsidR="00EC49A4" w:rsidRPr="0042797B" w:rsidRDefault="00EC49A4" w:rsidP="00C0406D">
            <w:pPr>
              <w:jc w:val="center"/>
              <w:rPr>
                <w:bCs w:val="0"/>
                <w:i/>
                <w:sz w:val="12"/>
                <w:szCs w:val="12"/>
              </w:rPr>
            </w:pPr>
          </w:p>
        </w:tc>
        <w:tc>
          <w:tcPr>
            <w:tcW w:w="1073" w:type="dxa"/>
            <w:vAlign w:val="bottom"/>
          </w:tcPr>
          <w:p w14:paraId="7E46A07C" w14:textId="30516A08"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00%</w:t>
            </w:r>
          </w:p>
        </w:tc>
        <w:tc>
          <w:tcPr>
            <w:tcW w:w="24" w:type="dxa"/>
            <w:vAlign w:val="bottom"/>
          </w:tcPr>
          <w:p w14:paraId="7687A716" w14:textId="77777777" w:rsidR="00EC49A4" w:rsidRPr="0042797B" w:rsidRDefault="00EC49A4" w:rsidP="00C0406D">
            <w:pPr>
              <w:jc w:val="center"/>
              <w:rPr>
                <w:bCs w:val="0"/>
                <w:i/>
                <w:sz w:val="12"/>
                <w:szCs w:val="12"/>
              </w:rPr>
            </w:pPr>
          </w:p>
        </w:tc>
        <w:tc>
          <w:tcPr>
            <w:tcW w:w="1073" w:type="dxa"/>
            <w:shd w:val="clear" w:color="auto" w:fill="auto"/>
            <w:vAlign w:val="bottom"/>
          </w:tcPr>
          <w:p w14:paraId="4D21E25D" w14:textId="16DB96BB" w:rsidR="00EC49A4" w:rsidRPr="0042797B" w:rsidRDefault="00656D0F" w:rsidP="00C0406D">
            <w:pPr>
              <w:ind w:right="57"/>
              <w:jc w:val="right"/>
              <w:rPr>
                <w:bCs w:val="0"/>
                <w:sz w:val="12"/>
                <w:szCs w:val="12"/>
              </w:rPr>
            </w:pPr>
            <w:r w:rsidRPr="00656D0F">
              <w:rPr>
                <w:bCs w:val="0"/>
                <w:sz w:val="12"/>
                <w:szCs w:val="12"/>
              </w:rPr>
              <w:t>24</w:t>
            </w:r>
            <w:r>
              <w:rPr>
                <w:bCs w:val="0"/>
                <w:sz w:val="12"/>
                <w:szCs w:val="12"/>
              </w:rPr>
              <w:t>.</w:t>
            </w:r>
            <w:r w:rsidRPr="00656D0F">
              <w:rPr>
                <w:bCs w:val="0"/>
                <w:sz w:val="12"/>
                <w:szCs w:val="12"/>
              </w:rPr>
              <w:t>355</w:t>
            </w:r>
            <w:r>
              <w:rPr>
                <w:bCs w:val="0"/>
                <w:sz w:val="12"/>
                <w:szCs w:val="12"/>
              </w:rPr>
              <w:t>.</w:t>
            </w:r>
            <w:r w:rsidRPr="00656D0F">
              <w:rPr>
                <w:bCs w:val="0"/>
                <w:sz w:val="12"/>
                <w:szCs w:val="12"/>
              </w:rPr>
              <w:t>455</w:t>
            </w:r>
            <w:r>
              <w:rPr>
                <w:bCs w:val="0"/>
                <w:sz w:val="12"/>
                <w:szCs w:val="12"/>
              </w:rPr>
              <w:t>.</w:t>
            </w:r>
            <w:r w:rsidRPr="00656D0F">
              <w:rPr>
                <w:bCs w:val="0"/>
                <w:sz w:val="12"/>
                <w:szCs w:val="12"/>
              </w:rPr>
              <w:t>007</w:t>
            </w:r>
          </w:p>
        </w:tc>
        <w:tc>
          <w:tcPr>
            <w:tcW w:w="24" w:type="dxa"/>
            <w:vAlign w:val="bottom"/>
          </w:tcPr>
          <w:p w14:paraId="27F5EEDD" w14:textId="77777777" w:rsidR="00EC49A4" w:rsidRPr="0042797B" w:rsidRDefault="00EC49A4" w:rsidP="00C0406D">
            <w:pPr>
              <w:jc w:val="center"/>
              <w:rPr>
                <w:bCs w:val="0"/>
                <w:sz w:val="12"/>
                <w:szCs w:val="12"/>
              </w:rPr>
            </w:pPr>
          </w:p>
        </w:tc>
        <w:tc>
          <w:tcPr>
            <w:tcW w:w="1073" w:type="dxa"/>
            <w:vAlign w:val="bottom"/>
          </w:tcPr>
          <w:p w14:paraId="20D96F66" w14:textId="4DB051AC" w:rsidR="00EC49A4" w:rsidRPr="0042797B" w:rsidRDefault="00C5137D" w:rsidP="00C0406D">
            <w:pPr>
              <w:ind w:right="57"/>
              <w:jc w:val="right"/>
              <w:rPr>
                <w:bCs w:val="0"/>
                <w:sz w:val="12"/>
                <w:szCs w:val="12"/>
              </w:rPr>
            </w:pPr>
            <w:r w:rsidRPr="00566DA5">
              <w:rPr>
                <w:bCs w:val="0"/>
                <w:sz w:val="12"/>
                <w:szCs w:val="12"/>
              </w:rPr>
              <w:t>24.474.690.590</w:t>
            </w:r>
          </w:p>
        </w:tc>
      </w:tr>
      <w:tr w:rsidR="0042797B" w:rsidRPr="0042797B" w14:paraId="296321B0" w14:textId="77777777" w:rsidTr="00CC2E72">
        <w:tc>
          <w:tcPr>
            <w:tcW w:w="2030" w:type="dxa"/>
            <w:vAlign w:val="bottom"/>
          </w:tcPr>
          <w:p w14:paraId="0E0E79CC" w14:textId="77777777" w:rsidR="00EC49A4" w:rsidRPr="0042797B" w:rsidRDefault="00EC49A4" w:rsidP="00EC49A4">
            <w:pPr>
              <w:ind w:left="141"/>
              <w:rPr>
                <w:rStyle w:val="hps"/>
                <w:sz w:val="12"/>
                <w:szCs w:val="12"/>
                <w:lang w:val="id-ID"/>
              </w:rPr>
            </w:pPr>
          </w:p>
        </w:tc>
        <w:tc>
          <w:tcPr>
            <w:tcW w:w="20" w:type="dxa"/>
          </w:tcPr>
          <w:p w14:paraId="5C632F0B" w14:textId="77777777" w:rsidR="00EC49A4" w:rsidRPr="0042797B" w:rsidRDefault="00EC49A4" w:rsidP="00C0406D">
            <w:pPr>
              <w:ind w:left="340"/>
              <w:jc w:val="both"/>
              <w:rPr>
                <w:sz w:val="12"/>
                <w:szCs w:val="12"/>
              </w:rPr>
            </w:pPr>
          </w:p>
        </w:tc>
        <w:tc>
          <w:tcPr>
            <w:tcW w:w="574" w:type="dxa"/>
            <w:vAlign w:val="bottom"/>
          </w:tcPr>
          <w:p w14:paraId="6410B214" w14:textId="77777777" w:rsidR="00EC49A4" w:rsidRPr="0042797B" w:rsidRDefault="00EC49A4" w:rsidP="00261DF6">
            <w:pPr>
              <w:jc w:val="center"/>
              <w:rPr>
                <w:sz w:val="12"/>
                <w:szCs w:val="12"/>
              </w:rPr>
            </w:pPr>
          </w:p>
        </w:tc>
        <w:tc>
          <w:tcPr>
            <w:tcW w:w="20" w:type="dxa"/>
          </w:tcPr>
          <w:p w14:paraId="6F8C977C" w14:textId="77777777" w:rsidR="00EC49A4" w:rsidRPr="0042797B" w:rsidRDefault="00EC49A4" w:rsidP="00C0406D">
            <w:pPr>
              <w:jc w:val="center"/>
              <w:rPr>
                <w:i/>
                <w:sz w:val="12"/>
                <w:szCs w:val="12"/>
              </w:rPr>
            </w:pPr>
          </w:p>
        </w:tc>
        <w:tc>
          <w:tcPr>
            <w:tcW w:w="1073" w:type="dxa"/>
            <w:vAlign w:val="bottom"/>
          </w:tcPr>
          <w:p w14:paraId="7F9C514D" w14:textId="77777777" w:rsidR="00EC49A4" w:rsidRPr="0042797B" w:rsidRDefault="00EC49A4" w:rsidP="00C0406D">
            <w:pPr>
              <w:jc w:val="center"/>
              <w:rPr>
                <w:i/>
                <w:sz w:val="12"/>
                <w:szCs w:val="12"/>
              </w:rPr>
            </w:pPr>
          </w:p>
        </w:tc>
        <w:tc>
          <w:tcPr>
            <w:tcW w:w="20" w:type="dxa"/>
          </w:tcPr>
          <w:p w14:paraId="2AE7EE56" w14:textId="77777777" w:rsidR="00EC49A4" w:rsidRPr="0042797B" w:rsidRDefault="00EC49A4" w:rsidP="00C0406D">
            <w:pPr>
              <w:ind w:left="426"/>
              <w:jc w:val="both"/>
              <w:rPr>
                <w:bCs w:val="0"/>
                <w:i/>
                <w:sz w:val="12"/>
                <w:szCs w:val="12"/>
              </w:rPr>
            </w:pPr>
          </w:p>
        </w:tc>
        <w:tc>
          <w:tcPr>
            <w:tcW w:w="1073" w:type="dxa"/>
            <w:vAlign w:val="bottom"/>
          </w:tcPr>
          <w:p w14:paraId="1EAF1A5B" w14:textId="77777777" w:rsidR="00EC49A4" w:rsidRPr="0042797B" w:rsidRDefault="00EC49A4" w:rsidP="00C0406D">
            <w:pPr>
              <w:jc w:val="center"/>
              <w:rPr>
                <w:bCs w:val="0"/>
                <w:sz w:val="12"/>
                <w:szCs w:val="12"/>
              </w:rPr>
            </w:pPr>
          </w:p>
        </w:tc>
        <w:tc>
          <w:tcPr>
            <w:tcW w:w="20" w:type="dxa"/>
            <w:vAlign w:val="bottom"/>
          </w:tcPr>
          <w:p w14:paraId="3E92E8FB" w14:textId="77777777" w:rsidR="00EC49A4" w:rsidRPr="0042797B" w:rsidRDefault="00EC49A4" w:rsidP="00C0406D">
            <w:pPr>
              <w:jc w:val="center"/>
              <w:rPr>
                <w:bCs w:val="0"/>
                <w:i/>
                <w:sz w:val="12"/>
                <w:szCs w:val="12"/>
              </w:rPr>
            </w:pPr>
          </w:p>
        </w:tc>
        <w:tc>
          <w:tcPr>
            <w:tcW w:w="20" w:type="dxa"/>
            <w:vAlign w:val="bottom"/>
          </w:tcPr>
          <w:p w14:paraId="25714019" w14:textId="77777777" w:rsidR="00EC49A4" w:rsidRPr="0042797B" w:rsidRDefault="00EC49A4" w:rsidP="00C0406D">
            <w:pPr>
              <w:jc w:val="center"/>
              <w:rPr>
                <w:bCs w:val="0"/>
                <w:i/>
                <w:sz w:val="12"/>
                <w:szCs w:val="12"/>
              </w:rPr>
            </w:pPr>
          </w:p>
        </w:tc>
        <w:tc>
          <w:tcPr>
            <w:tcW w:w="1073" w:type="dxa"/>
            <w:vAlign w:val="bottom"/>
          </w:tcPr>
          <w:p w14:paraId="04B4D614" w14:textId="77777777" w:rsidR="00EC49A4" w:rsidRPr="0042797B" w:rsidRDefault="00EC49A4" w:rsidP="00C0406D">
            <w:pPr>
              <w:jc w:val="center"/>
              <w:rPr>
                <w:bCs w:val="0"/>
                <w:sz w:val="12"/>
                <w:szCs w:val="12"/>
              </w:rPr>
            </w:pPr>
          </w:p>
        </w:tc>
        <w:tc>
          <w:tcPr>
            <w:tcW w:w="24" w:type="dxa"/>
            <w:vAlign w:val="bottom"/>
          </w:tcPr>
          <w:p w14:paraId="28856C53" w14:textId="77777777" w:rsidR="00EC49A4" w:rsidRPr="0042797B" w:rsidRDefault="00EC49A4" w:rsidP="00C0406D">
            <w:pPr>
              <w:jc w:val="center"/>
              <w:rPr>
                <w:bCs w:val="0"/>
                <w:i/>
                <w:sz w:val="12"/>
                <w:szCs w:val="12"/>
              </w:rPr>
            </w:pPr>
          </w:p>
        </w:tc>
        <w:tc>
          <w:tcPr>
            <w:tcW w:w="1073" w:type="dxa"/>
            <w:vAlign w:val="bottom"/>
          </w:tcPr>
          <w:p w14:paraId="21996254" w14:textId="77777777" w:rsidR="00EC49A4" w:rsidRPr="0042797B" w:rsidRDefault="00EC49A4" w:rsidP="00C0406D">
            <w:pPr>
              <w:jc w:val="center"/>
              <w:rPr>
                <w:bCs w:val="0"/>
                <w:sz w:val="12"/>
                <w:szCs w:val="12"/>
              </w:rPr>
            </w:pPr>
          </w:p>
        </w:tc>
        <w:tc>
          <w:tcPr>
            <w:tcW w:w="24" w:type="dxa"/>
            <w:vAlign w:val="bottom"/>
          </w:tcPr>
          <w:p w14:paraId="145DF082" w14:textId="77777777" w:rsidR="00EC49A4" w:rsidRPr="0042797B" w:rsidRDefault="00EC49A4" w:rsidP="00C0406D">
            <w:pPr>
              <w:jc w:val="center"/>
              <w:rPr>
                <w:bCs w:val="0"/>
                <w:i/>
                <w:sz w:val="12"/>
                <w:szCs w:val="12"/>
              </w:rPr>
            </w:pPr>
          </w:p>
        </w:tc>
        <w:tc>
          <w:tcPr>
            <w:tcW w:w="1073" w:type="dxa"/>
            <w:shd w:val="clear" w:color="auto" w:fill="auto"/>
            <w:vAlign w:val="bottom"/>
          </w:tcPr>
          <w:p w14:paraId="72E06358" w14:textId="77777777" w:rsidR="00EC49A4" w:rsidRPr="0042797B" w:rsidRDefault="00EC49A4" w:rsidP="00C0406D">
            <w:pPr>
              <w:ind w:right="57"/>
              <w:jc w:val="right"/>
              <w:rPr>
                <w:bCs w:val="0"/>
                <w:sz w:val="12"/>
                <w:szCs w:val="12"/>
              </w:rPr>
            </w:pPr>
          </w:p>
        </w:tc>
        <w:tc>
          <w:tcPr>
            <w:tcW w:w="24" w:type="dxa"/>
            <w:vAlign w:val="bottom"/>
          </w:tcPr>
          <w:p w14:paraId="2550290C" w14:textId="77777777" w:rsidR="00EC49A4" w:rsidRPr="0042797B" w:rsidRDefault="00EC49A4" w:rsidP="00C0406D">
            <w:pPr>
              <w:jc w:val="center"/>
              <w:rPr>
                <w:bCs w:val="0"/>
                <w:sz w:val="12"/>
                <w:szCs w:val="12"/>
              </w:rPr>
            </w:pPr>
          </w:p>
        </w:tc>
        <w:tc>
          <w:tcPr>
            <w:tcW w:w="1073" w:type="dxa"/>
            <w:vAlign w:val="bottom"/>
          </w:tcPr>
          <w:p w14:paraId="0F43716D" w14:textId="77777777" w:rsidR="00EC49A4" w:rsidRPr="0042797B" w:rsidRDefault="00EC49A4" w:rsidP="00C0406D">
            <w:pPr>
              <w:ind w:right="57"/>
              <w:jc w:val="right"/>
              <w:rPr>
                <w:bCs w:val="0"/>
                <w:sz w:val="12"/>
                <w:szCs w:val="12"/>
              </w:rPr>
            </w:pPr>
          </w:p>
        </w:tc>
      </w:tr>
      <w:tr w:rsidR="0042797B" w:rsidRPr="0042797B" w14:paraId="32988998" w14:textId="77777777" w:rsidTr="00CC2E72">
        <w:tc>
          <w:tcPr>
            <w:tcW w:w="2030" w:type="dxa"/>
            <w:vAlign w:val="bottom"/>
          </w:tcPr>
          <w:p w14:paraId="5B103487" w14:textId="641487B4" w:rsidR="00EC49A4" w:rsidRPr="0042797B" w:rsidRDefault="00EC49A4" w:rsidP="0042797B">
            <w:pPr>
              <w:ind w:left="141"/>
              <w:rPr>
                <w:rStyle w:val="hps"/>
                <w:sz w:val="12"/>
                <w:szCs w:val="12"/>
              </w:rPr>
            </w:pPr>
            <w:r w:rsidRPr="0042797B">
              <w:rPr>
                <w:rStyle w:val="hps"/>
                <w:sz w:val="12"/>
                <w:szCs w:val="12"/>
              </w:rPr>
              <w:t>PT Nusa Sejahtera Kharisma</w:t>
            </w:r>
            <w:r w:rsidR="0042797B">
              <w:rPr>
                <w:rStyle w:val="hps"/>
                <w:sz w:val="12"/>
                <w:szCs w:val="12"/>
              </w:rPr>
              <w:t xml:space="preserve"> </w:t>
            </w:r>
            <w:r w:rsidRPr="0042797B">
              <w:rPr>
                <w:rStyle w:val="hps"/>
                <w:sz w:val="12"/>
                <w:szCs w:val="12"/>
              </w:rPr>
              <w:t>(NSK)</w:t>
            </w:r>
          </w:p>
        </w:tc>
        <w:tc>
          <w:tcPr>
            <w:tcW w:w="20" w:type="dxa"/>
          </w:tcPr>
          <w:p w14:paraId="17BC05D9" w14:textId="77777777" w:rsidR="00EC49A4" w:rsidRPr="0042797B" w:rsidRDefault="00EC49A4" w:rsidP="00C0406D">
            <w:pPr>
              <w:ind w:left="340"/>
              <w:jc w:val="both"/>
              <w:rPr>
                <w:sz w:val="12"/>
                <w:szCs w:val="12"/>
              </w:rPr>
            </w:pPr>
          </w:p>
        </w:tc>
        <w:tc>
          <w:tcPr>
            <w:tcW w:w="574" w:type="dxa"/>
            <w:vAlign w:val="bottom"/>
          </w:tcPr>
          <w:p w14:paraId="23391167" w14:textId="5A39B9E7" w:rsidR="00EC49A4" w:rsidRPr="0042797B" w:rsidRDefault="00EC49A4" w:rsidP="00261DF6">
            <w:pPr>
              <w:jc w:val="center"/>
              <w:rPr>
                <w:sz w:val="12"/>
                <w:szCs w:val="12"/>
                <w:lang w:val="id-ID"/>
              </w:rPr>
            </w:pPr>
            <w:r w:rsidRPr="0042797B">
              <w:rPr>
                <w:sz w:val="12"/>
                <w:szCs w:val="12"/>
                <w:lang w:val="id-ID"/>
              </w:rPr>
              <w:t>Bandung</w:t>
            </w:r>
          </w:p>
        </w:tc>
        <w:tc>
          <w:tcPr>
            <w:tcW w:w="20" w:type="dxa"/>
          </w:tcPr>
          <w:p w14:paraId="5F5D5F67" w14:textId="77777777" w:rsidR="00EC49A4" w:rsidRPr="0042797B" w:rsidRDefault="00EC49A4" w:rsidP="00C0406D">
            <w:pPr>
              <w:jc w:val="center"/>
              <w:rPr>
                <w:i/>
                <w:sz w:val="12"/>
                <w:szCs w:val="12"/>
              </w:rPr>
            </w:pPr>
          </w:p>
        </w:tc>
        <w:tc>
          <w:tcPr>
            <w:tcW w:w="1073" w:type="dxa"/>
            <w:vAlign w:val="bottom"/>
          </w:tcPr>
          <w:p w14:paraId="1C21DB18" w14:textId="0C9D88AA" w:rsidR="00EC49A4" w:rsidRPr="0042797B" w:rsidRDefault="00EC49A4" w:rsidP="00C0406D">
            <w:pPr>
              <w:jc w:val="center"/>
              <w:rPr>
                <w:i/>
                <w:sz w:val="12"/>
                <w:szCs w:val="12"/>
                <w:lang w:val="id-ID"/>
              </w:rPr>
            </w:pPr>
            <w:r w:rsidRPr="0042797B">
              <w:rPr>
                <w:i/>
                <w:sz w:val="12"/>
                <w:szCs w:val="12"/>
                <w:lang w:val="id-ID"/>
              </w:rPr>
              <w:t>-</w:t>
            </w:r>
          </w:p>
        </w:tc>
        <w:tc>
          <w:tcPr>
            <w:tcW w:w="20" w:type="dxa"/>
          </w:tcPr>
          <w:p w14:paraId="59DEF80A" w14:textId="77777777" w:rsidR="00EC49A4" w:rsidRPr="0042797B" w:rsidRDefault="00EC49A4" w:rsidP="00C0406D">
            <w:pPr>
              <w:ind w:left="426"/>
              <w:jc w:val="both"/>
              <w:rPr>
                <w:bCs w:val="0"/>
                <w:i/>
                <w:sz w:val="12"/>
                <w:szCs w:val="12"/>
              </w:rPr>
            </w:pPr>
          </w:p>
        </w:tc>
        <w:tc>
          <w:tcPr>
            <w:tcW w:w="1073" w:type="dxa"/>
            <w:vAlign w:val="bottom"/>
          </w:tcPr>
          <w:p w14:paraId="59DE8D0B" w14:textId="7C3BBC60" w:rsidR="00EC49A4" w:rsidRPr="0042797B" w:rsidRDefault="00EC49A4" w:rsidP="00C0406D">
            <w:pPr>
              <w:jc w:val="center"/>
              <w:rPr>
                <w:bCs w:val="0"/>
                <w:sz w:val="12"/>
                <w:szCs w:val="12"/>
              </w:rPr>
            </w:pPr>
            <w:r w:rsidRPr="0042797B">
              <w:rPr>
                <w:bCs w:val="0"/>
                <w:i/>
                <w:sz w:val="12"/>
                <w:szCs w:val="12"/>
                <w:lang w:val="id-ID"/>
              </w:rPr>
              <w:t>*)</w:t>
            </w:r>
          </w:p>
        </w:tc>
        <w:tc>
          <w:tcPr>
            <w:tcW w:w="20" w:type="dxa"/>
            <w:vAlign w:val="bottom"/>
          </w:tcPr>
          <w:p w14:paraId="49D5D109" w14:textId="77777777" w:rsidR="00EC49A4" w:rsidRPr="0042797B" w:rsidRDefault="00EC49A4" w:rsidP="00C0406D">
            <w:pPr>
              <w:jc w:val="center"/>
              <w:rPr>
                <w:bCs w:val="0"/>
                <w:i/>
                <w:sz w:val="12"/>
                <w:szCs w:val="12"/>
              </w:rPr>
            </w:pPr>
          </w:p>
        </w:tc>
        <w:tc>
          <w:tcPr>
            <w:tcW w:w="20" w:type="dxa"/>
            <w:vAlign w:val="bottom"/>
          </w:tcPr>
          <w:p w14:paraId="509A4595" w14:textId="77777777" w:rsidR="00EC49A4" w:rsidRPr="0042797B" w:rsidRDefault="00EC49A4" w:rsidP="00C0406D">
            <w:pPr>
              <w:jc w:val="center"/>
              <w:rPr>
                <w:bCs w:val="0"/>
                <w:i/>
                <w:sz w:val="12"/>
                <w:szCs w:val="12"/>
              </w:rPr>
            </w:pPr>
          </w:p>
        </w:tc>
        <w:tc>
          <w:tcPr>
            <w:tcW w:w="1073" w:type="dxa"/>
            <w:vAlign w:val="bottom"/>
          </w:tcPr>
          <w:p w14:paraId="496C3946" w14:textId="764E0EB6"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99%</w:t>
            </w:r>
          </w:p>
        </w:tc>
        <w:tc>
          <w:tcPr>
            <w:tcW w:w="24" w:type="dxa"/>
            <w:vAlign w:val="bottom"/>
          </w:tcPr>
          <w:p w14:paraId="57DE0B98" w14:textId="77777777" w:rsidR="00EC49A4" w:rsidRPr="0042797B" w:rsidRDefault="00EC49A4" w:rsidP="00C0406D">
            <w:pPr>
              <w:jc w:val="center"/>
              <w:rPr>
                <w:bCs w:val="0"/>
                <w:i/>
                <w:sz w:val="12"/>
                <w:szCs w:val="12"/>
              </w:rPr>
            </w:pPr>
          </w:p>
        </w:tc>
        <w:tc>
          <w:tcPr>
            <w:tcW w:w="1073" w:type="dxa"/>
            <w:vAlign w:val="bottom"/>
          </w:tcPr>
          <w:p w14:paraId="7C6FA5E6" w14:textId="3087D5C5"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99%</w:t>
            </w:r>
          </w:p>
        </w:tc>
        <w:tc>
          <w:tcPr>
            <w:tcW w:w="24" w:type="dxa"/>
            <w:vAlign w:val="bottom"/>
          </w:tcPr>
          <w:p w14:paraId="623C6708" w14:textId="77777777" w:rsidR="00EC49A4" w:rsidRPr="0042797B" w:rsidRDefault="00EC49A4" w:rsidP="00C0406D">
            <w:pPr>
              <w:jc w:val="center"/>
              <w:rPr>
                <w:bCs w:val="0"/>
                <w:i/>
                <w:sz w:val="12"/>
                <w:szCs w:val="12"/>
              </w:rPr>
            </w:pPr>
          </w:p>
        </w:tc>
        <w:tc>
          <w:tcPr>
            <w:tcW w:w="1073" w:type="dxa"/>
            <w:shd w:val="clear" w:color="auto" w:fill="auto"/>
            <w:vAlign w:val="bottom"/>
          </w:tcPr>
          <w:p w14:paraId="42498F20" w14:textId="0BE746CB" w:rsidR="00EC49A4" w:rsidRPr="0042797B" w:rsidRDefault="00720651" w:rsidP="00C0406D">
            <w:pPr>
              <w:ind w:right="57"/>
              <w:jc w:val="right"/>
              <w:rPr>
                <w:bCs w:val="0"/>
                <w:sz w:val="12"/>
                <w:szCs w:val="12"/>
              </w:rPr>
            </w:pPr>
            <w:r>
              <w:rPr>
                <w:bCs w:val="0"/>
                <w:sz w:val="12"/>
                <w:szCs w:val="12"/>
              </w:rPr>
              <w:t>251.961.706.765</w:t>
            </w:r>
          </w:p>
        </w:tc>
        <w:tc>
          <w:tcPr>
            <w:tcW w:w="24" w:type="dxa"/>
            <w:vAlign w:val="bottom"/>
          </w:tcPr>
          <w:p w14:paraId="1B0483B6" w14:textId="77777777" w:rsidR="00EC49A4" w:rsidRPr="0042797B" w:rsidRDefault="00EC49A4" w:rsidP="00C0406D">
            <w:pPr>
              <w:jc w:val="center"/>
              <w:rPr>
                <w:bCs w:val="0"/>
                <w:sz w:val="12"/>
                <w:szCs w:val="12"/>
              </w:rPr>
            </w:pPr>
          </w:p>
        </w:tc>
        <w:tc>
          <w:tcPr>
            <w:tcW w:w="1073" w:type="dxa"/>
            <w:vAlign w:val="bottom"/>
          </w:tcPr>
          <w:p w14:paraId="173DA2BA" w14:textId="43CF068A" w:rsidR="00EC49A4" w:rsidRPr="0042797B" w:rsidRDefault="00C5137D" w:rsidP="00C0406D">
            <w:pPr>
              <w:ind w:right="57"/>
              <w:jc w:val="right"/>
              <w:rPr>
                <w:bCs w:val="0"/>
                <w:sz w:val="12"/>
                <w:szCs w:val="12"/>
              </w:rPr>
            </w:pPr>
            <w:r w:rsidRPr="00566DA5">
              <w:rPr>
                <w:bCs w:val="0"/>
                <w:sz w:val="12"/>
                <w:szCs w:val="12"/>
              </w:rPr>
              <w:t>208.656.023.385</w:t>
            </w:r>
          </w:p>
        </w:tc>
      </w:tr>
      <w:tr w:rsidR="0042797B" w:rsidRPr="0042797B" w14:paraId="6980B134" w14:textId="77777777" w:rsidTr="00CC2E72">
        <w:tc>
          <w:tcPr>
            <w:tcW w:w="2030" w:type="dxa"/>
            <w:vAlign w:val="bottom"/>
          </w:tcPr>
          <w:p w14:paraId="20E365C3" w14:textId="77777777" w:rsidR="00EC49A4" w:rsidRPr="0042797B" w:rsidRDefault="00EC49A4" w:rsidP="00EC49A4">
            <w:pPr>
              <w:ind w:left="141"/>
              <w:rPr>
                <w:rStyle w:val="hps"/>
                <w:sz w:val="12"/>
                <w:szCs w:val="12"/>
              </w:rPr>
            </w:pPr>
          </w:p>
        </w:tc>
        <w:tc>
          <w:tcPr>
            <w:tcW w:w="20" w:type="dxa"/>
          </w:tcPr>
          <w:p w14:paraId="4EC39FA3" w14:textId="77777777" w:rsidR="00EC49A4" w:rsidRPr="0042797B" w:rsidRDefault="00EC49A4" w:rsidP="00C0406D">
            <w:pPr>
              <w:ind w:left="340"/>
              <w:jc w:val="both"/>
              <w:rPr>
                <w:sz w:val="12"/>
                <w:szCs w:val="12"/>
              </w:rPr>
            </w:pPr>
          </w:p>
        </w:tc>
        <w:tc>
          <w:tcPr>
            <w:tcW w:w="574" w:type="dxa"/>
            <w:vAlign w:val="bottom"/>
          </w:tcPr>
          <w:p w14:paraId="41D01A17" w14:textId="77777777" w:rsidR="00EC49A4" w:rsidRPr="0042797B" w:rsidRDefault="00EC49A4" w:rsidP="00261DF6">
            <w:pPr>
              <w:jc w:val="center"/>
              <w:rPr>
                <w:sz w:val="12"/>
                <w:szCs w:val="12"/>
              </w:rPr>
            </w:pPr>
          </w:p>
        </w:tc>
        <w:tc>
          <w:tcPr>
            <w:tcW w:w="20" w:type="dxa"/>
          </w:tcPr>
          <w:p w14:paraId="6785B114" w14:textId="77777777" w:rsidR="00EC49A4" w:rsidRPr="0042797B" w:rsidRDefault="00EC49A4" w:rsidP="00C0406D">
            <w:pPr>
              <w:jc w:val="center"/>
              <w:rPr>
                <w:i/>
                <w:sz w:val="12"/>
                <w:szCs w:val="12"/>
              </w:rPr>
            </w:pPr>
          </w:p>
        </w:tc>
        <w:tc>
          <w:tcPr>
            <w:tcW w:w="1073" w:type="dxa"/>
            <w:vAlign w:val="bottom"/>
          </w:tcPr>
          <w:p w14:paraId="0EE74C79" w14:textId="77777777" w:rsidR="00EC49A4" w:rsidRPr="0042797B" w:rsidRDefault="00EC49A4" w:rsidP="00C0406D">
            <w:pPr>
              <w:jc w:val="center"/>
              <w:rPr>
                <w:i/>
                <w:sz w:val="12"/>
                <w:szCs w:val="12"/>
              </w:rPr>
            </w:pPr>
          </w:p>
        </w:tc>
        <w:tc>
          <w:tcPr>
            <w:tcW w:w="20" w:type="dxa"/>
          </w:tcPr>
          <w:p w14:paraId="5A6D6944" w14:textId="77777777" w:rsidR="00EC49A4" w:rsidRPr="0042797B" w:rsidRDefault="00EC49A4" w:rsidP="00C0406D">
            <w:pPr>
              <w:ind w:left="426"/>
              <w:jc w:val="both"/>
              <w:rPr>
                <w:bCs w:val="0"/>
                <w:i/>
                <w:sz w:val="12"/>
                <w:szCs w:val="12"/>
              </w:rPr>
            </w:pPr>
          </w:p>
        </w:tc>
        <w:tc>
          <w:tcPr>
            <w:tcW w:w="1073" w:type="dxa"/>
            <w:vAlign w:val="bottom"/>
          </w:tcPr>
          <w:p w14:paraId="326C2F18" w14:textId="77777777" w:rsidR="00EC49A4" w:rsidRPr="0042797B" w:rsidRDefault="00EC49A4" w:rsidP="00C0406D">
            <w:pPr>
              <w:jc w:val="center"/>
              <w:rPr>
                <w:bCs w:val="0"/>
                <w:sz w:val="12"/>
                <w:szCs w:val="12"/>
              </w:rPr>
            </w:pPr>
          </w:p>
        </w:tc>
        <w:tc>
          <w:tcPr>
            <w:tcW w:w="20" w:type="dxa"/>
            <w:vAlign w:val="bottom"/>
          </w:tcPr>
          <w:p w14:paraId="7B5779F1" w14:textId="77777777" w:rsidR="00EC49A4" w:rsidRPr="0042797B" w:rsidRDefault="00EC49A4" w:rsidP="00C0406D">
            <w:pPr>
              <w:jc w:val="center"/>
              <w:rPr>
                <w:bCs w:val="0"/>
                <w:i/>
                <w:sz w:val="12"/>
                <w:szCs w:val="12"/>
              </w:rPr>
            </w:pPr>
          </w:p>
        </w:tc>
        <w:tc>
          <w:tcPr>
            <w:tcW w:w="20" w:type="dxa"/>
            <w:vAlign w:val="bottom"/>
          </w:tcPr>
          <w:p w14:paraId="7735E02C" w14:textId="77777777" w:rsidR="00EC49A4" w:rsidRPr="0042797B" w:rsidRDefault="00EC49A4" w:rsidP="00C0406D">
            <w:pPr>
              <w:jc w:val="center"/>
              <w:rPr>
                <w:bCs w:val="0"/>
                <w:i/>
                <w:sz w:val="12"/>
                <w:szCs w:val="12"/>
              </w:rPr>
            </w:pPr>
          </w:p>
        </w:tc>
        <w:tc>
          <w:tcPr>
            <w:tcW w:w="1073" w:type="dxa"/>
            <w:vAlign w:val="bottom"/>
          </w:tcPr>
          <w:p w14:paraId="68E5DFD5" w14:textId="77777777" w:rsidR="00EC49A4" w:rsidRPr="0042797B" w:rsidRDefault="00EC49A4" w:rsidP="00C0406D">
            <w:pPr>
              <w:jc w:val="center"/>
              <w:rPr>
                <w:bCs w:val="0"/>
                <w:sz w:val="12"/>
                <w:szCs w:val="12"/>
              </w:rPr>
            </w:pPr>
          </w:p>
        </w:tc>
        <w:tc>
          <w:tcPr>
            <w:tcW w:w="24" w:type="dxa"/>
            <w:vAlign w:val="bottom"/>
          </w:tcPr>
          <w:p w14:paraId="55C8E524" w14:textId="77777777" w:rsidR="00EC49A4" w:rsidRPr="0042797B" w:rsidRDefault="00EC49A4" w:rsidP="00C0406D">
            <w:pPr>
              <w:jc w:val="center"/>
              <w:rPr>
                <w:bCs w:val="0"/>
                <w:i/>
                <w:sz w:val="12"/>
                <w:szCs w:val="12"/>
              </w:rPr>
            </w:pPr>
          </w:p>
        </w:tc>
        <w:tc>
          <w:tcPr>
            <w:tcW w:w="1073" w:type="dxa"/>
            <w:vAlign w:val="bottom"/>
          </w:tcPr>
          <w:p w14:paraId="170B6C19" w14:textId="77777777" w:rsidR="00EC49A4" w:rsidRPr="0042797B" w:rsidRDefault="00EC49A4" w:rsidP="00C0406D">
            <w:pPr>
              <w:jc w:val="center"/>
              <w:rPr>
                <w:bCs w:val="0"/>
                <w:sz w:val="12"/>
                <w:szCs w:val="12"/>
              </w:rPr>
            </w:pPr>
          </w:p>
        </w:tc>
        <w:tc>
          <w:tcPr>
            <w:tcW w:w="24" w:type="dxa"/>
            <w:vAlign w:val="bottom"/>
          </w:tcPr>
          <w:p w14:paraId="2C3EC2A4" w14:textId="77777777" w:rsidR="00EC49A4" w:rsidRPr="0042797B" w:rsidRDefault="00EC49A4" w:rsidP="00C0406D">
            <w:pPr>
              <w:jc w:val="center"/>
              <w:rPr>
                <w:bCs w:val="0"/>
                <w:i/>
                <w:sz w:val="12"/>
                <w:szCs w:val="12"/>
              </w:rPr>
            </w:pPr>
          </w:p>
        </w:tc>
        <w:tc>
          <w:tcPr>
            <w:tcW w:w="1073" w:type="dxa"/>
            <w:shd w:val="clear" w:color="auto" w:fill="auto"/>
            <w:vAlign w:val="bottom"/>
          </w:tcPr>
          <w:p w14:paraId="7EBDD2F5" w14:textId="77777777" w:rsidR="00EC49A4" w:rsidRPr="0042797B" w:rsidRDefault="00EC49A4" w:rsidP="00C0406D">
            <w:pPr>
              <w:ind w:right="57"/>
              <w:jc w:val="right"/>
              <w:rPr>
                <w:bCs w:val="0"/>
                <w:sz w:val="12"/>
                <w:szCs w:val="12"/>
              </w:rPr>
            </w:pPr>
          </w:p>
        </w:tc>
        <w:tc>
          <w:tcPr>
            <w:tcW w:w="24" w:type="dxa"/>
            <w:vAlign w:val="bottom"/>
          </w:tcPr>
          <w:p w14:paraId="535308D9" w14:textId="77777777" w:rsidR="00EC49A4" w:rsidRPr="0042797B" w:rsidRDefault="00EC49A4" w:rsidP="00C0406D">
            <w:pPr>
              <w:jc w:val="center"/>
              <w:rPr>
                <w:bCs w:val="0"/>
                <w:sz w:val="12"/>
                <w:szCs w:val="12"/>
              </w:rPr>
            </w:pPr>
          </w:p>
        </w:tc>
        <w:tc>
          <w:tcPr>
            <w:tcW w:w="1073" w:type="dxa"/>
            <w:vAlign w:val="bottom"/>
          </w:tcPr>
          <w:p w14:paraId="338752CF" w14:textId="77777777" w:rsidR="00EC49A4" w:rsidRPr="0042797B" w:rsidRDefault="00EC49A4" w:rsidP="00C0406D">
            <w:pPr>
              <w:ind w:right="57"/>
              <w:jc w:val="right"/>
              <w:rPr>
                <w:bCs w:val="0"/>
                <w:sz w:val="12"/>
                <w:szCs w:val="12"/>
              </w:rPr>
            </w:pPr>
          </w:p>
        </w:tc>
      </w:tr>
      <w:tr w:rsidR="0042797B" w:rsidRPr="0042797B" w14:paraId="40B28E16" w14:textId="77777777" w:rsidTr="00CC2E72">
        <w:tc>
          <w:tcPr>
            <w:tcW w:w="2030" w:type="dxa"/>
            <w:vAlign w:val="bottom"/>
          </w:tcPr>
          <w:p w14:paraId="0678A1C3" w14:textId="77777777" w:rsidR="0042797B" w:rsidRDefault="00EC49A4" w:rsidP="0042797B">
            <w:pPr>
              <w:ind w:left="141"/>
              <w:rPr>
                <w:rStyle w:val="hps"/>
                <w:sz w:val="12"/>
                <w:szCs w:val="12"/>
              </w:rPr>
            </w:pPr>
            <w:r w:rsidRPr="0042797B">
              <w:rPr>
                <w:rStyle w:val="hps"/>
                <w:sz w:val="12"/>
                <w:szCs w:val="12"/>
              </w:rPr>
              <w:t>PT Mayapada Surabaya Pratama</w:t>
            </w:r>
          </w:p>
          <w:p w14:paraId="7B735F97" w14:textId="3A7DC844" w:rsidR="00EC49A4" w:rsidRPr="0042797B" w:rsidRDefault="00EC49A4" w:rsidP="0042797B">
            <w:pPr>
              <w:ind w:left="227"/>
              <w:rPr>
                <w:rStyle w:val="hps"/>
                <w:sz w:val="12"/>
                <w:szCs w:val="12"/>
              </w:rPr>
            </w:pPr>
            <w:r w:rsidRPr="0042797B">
              <w:rPr>
                <w:rStyle w:val="hps"/>
                <w:sz w:val="12"/>
                <w:szCs w:val="12"/>
              </w:rPr>
              <w:t>(MSP</w:t>
            </w:r>
            <w:r w:rsidRPr="0042797B">
              <w:rPr>
                <w:rStyle w:val="hps"/>
                <w:sz w:val="12"/>
                <w:szCs w:val="12"/>
                <w:lang w:val="id-ID"/>
              </w:rPr>
              <w:t>)</w:t>
            </w:r>
          </w:p>
        </w:tc>
        <w:tc>
          <w:tcPr>
            <w:tcW w:w="20" w:type="dxa"/>
          </w:tcPr>
          <w:p w14:paraId="14271048" w14:textId="77777777" w:rsidR="00EC49A4" w:rsidRPr="0042797B" w:rsidRDefault="00EC49A4" w:rsidP="00C0406D">
            <w:pPr>
              <w:ind w:left="340"/>
              <w:jc w:val="both"/>
              <w:rPr>
                <w:sz w:val="12"/>
                <w:szCs w:val="12"/>
              </w:rPr>
            </w:pPr>
          </w:p>
        </w:tc>
        <w:tc>
          <w:tcPr>
            <w:tcW w:w="574" w:type="dxa"/>
            <w:vAlign w:val="bottom"/>
          </w:tcPr>
          <w:p w14:paraId="39A84757" w14:textId="2209C8C7" w:rsidR="00EC49A4" w:rsidRPr="0042797B" w:rsidRDefault="00EC49A4" w:rsidP="00720651">
            <w:pPr>
              <w:jc w:val="center"/>
              <w:rPr>
                <w:i/>
                <w:sz w:val="12"/>
                <w:szCs w:val="12"/>
              </w:rPr>
            </w:pPr>
            <w:r w:rsidRPr="0042797B">
              <w:rPr>
                <w:sz w:val="12"/>
                <w:szCs w:val="12"/>
                <w:lang w:val="id-ID"/>
              </w:rPr>
              <w:t>Surabaya</w:t>
            </w:r>
          </w:p>
        </w:tc>
        <w:tc>
          <w:tcPr>
            <w:tcW w:w="20" w:type="dxa"/>
          </w:tcPr>
          <w:p w14:paraId="07C59C64" w14:textId="77777777" w:rsidR="00EC49A4" w:rsidRPr="0042797B" w:rsidRDefault="00EC49A4" w:rsidP="00C0406D">
            <w:pPr>
              <w:jc w:val="center"/>
              <w:rPr>
                <w:i/>
                <w:sz w:val="12"/>
                <w:szCs w:val="12"/>
              </w:rPr>
            </w:pPr>
          </w:p>
        </w:tc>
        <w:tc>
          <w:tcPr>
            <w:tcW w:w="1073" w:type="dxa"/>
            <w:vAlign w:val="bottom"/>
          </w:tcPr>
          <w:p w14:paraId="430D5C41" w14:textId="12908D38" w:rsidR="00EC49A4" w:rsidRPr="0042797B" w:rsidRDefault="00EC49A4" w:rsidP="00C0406D">
            <w:pPr>
              <w:jc w:val="center"/>
              <w:rPr>
                <w:i/>
                <w:sz w:val="12"/>
                <w:szCs w:val="12"/>
                <w:lang w:val="id-ID"/>
              </w:rPr>
            </w:pPr>
            <w:r w:rsidRPr="0042797B">
              <w:rPr>
                <w:i/>
                <w:sz w:val="12"/>
                <w:szCs w:val="12"/>
                <w:lang w:val="id-ID"/>
              </w:rPr>
              <w:t>-</w:t>
            </w:r>
          </w:p>
        </w:tc>
        <w:tc>
          <w:tcPr>
            <w:tcW w:w="20" w:type="dxa"/>
          </w:tcPr>
          <w:p w14:paraId="7298FEBB" w14:textId="77777777" w:rsidR="00EC49A4" w:rsidRPr="0042797B" w:rsidRDefault="00EC49A4" w:rsidP="00C0406D">
            <w:pPr>
              <w:ind w:left="426"/>
              <w:jc w:val="both"/>
              <w:rPr>
                <w:bCs w:val="0"/>
                <w:i/>
                <w:sz w:val="12"/>
                <w:szCs w:val="12"/>
              </w:rPr>
            </w:pPr>
          </w:p>
        </w:tc>
        <w:tc>
          <w:tcPr>
            <w:tcW w:w="1073" w:type="dxa"/>
            <w:vAlign w:val="bottom"/>
          </w:tcPr>
          <w:p w14:paraId="727132F5" w14:textId="1AB6B094" w:rsidR="00EC49A4" w:rsidRPr="0042797B" w:rsidRDefault="00EC49A4" w:rsidP="00C0406D">
            <w:pPr>
              <w:jc w:val="center"/>
              <w:rPr>
                <w:bCs w:val="0"/>
                <w:sz w:val="12"/>
                <w:szCs w:val="12"/>
              </w:rPr>
            </w:pPr>
            <w:r w:rsidRPr="0042797B">
              <w:rPr>
                <w:bCs w:val="0"/>
                <w:i/>
                <w:sz w:val="12"/>
                <w:szCs w:val="12"/>
                <w:lang w:val="id-ID"/>
              </w:rPr>
              <w:t>*)</w:t>
            </w:r>
          </w:p>
        </w:tc>
        <w:tc>
          <w:tcPr>
            <w:tcW w:w="20" w:type="dxa"/>
            <w:vAlign w:val="bottom"/>
          </w:tcPr>
          <w:p w14:paraId="7BBCD7E9" w14:textId="77777777" w:rsidR="00EC49A4" w:rsidRPr="0042797B" w:rsidRDefault="00EC49A4" w:rsidP="00C0406D">
            <w:pPr>
              <w:jc w:val="center"/>
              <w:rPr>
                <w:bCs w:val="0"/>
                <w:i/>
                <w:sz w:val="12"/>
                <w:szCs w:val="12"/>
              </w:rPr>
            </w:pPr>
          </w:p>
        </w:tc>
        <w:tc>
          <w:tcPr>
            <w:tcW w:w="20" w:type="dxa"/>
            <w:vAlign w:val="bottom"/>
          </w:tcPr>
          <w:p w14:paraId="14D815FE" w14:textId="77777777" w:rsidR="00EC49A4" w:rsidRPr="0042797B" w:rsidRDefault="00EC49A4" w:rsidP="00C0406D">
            <w:pPr>
              <w:jc w:val="center"/>
              <w:rPr>
                <w:bCs w:val="0"/>
                <w:i/>
                <w:sz w:val="12"/>
                <w:szCs w:val="12"/>
              </w:rPr>
            </w:pPr>
          </w:p>
        </w:tc>
        <w:tc>
          <w:tcPr>
            <w:tcW w:w="1073" w:type="dxa"/>
            <w:vAlign w:val="bottom"/>
          </w:tcPr>
          <w:p w14:paraId="40D07A41" w14:textId="61E059A1"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00%</w:t>
            </w:r>
          </w:p>
        </w:tc>
        <w:tc>
          <w:tcPr>
            <w:tcW w:w="24" w:type="dxa"/>
            <w:vAlign w:val="bottom"/>
          </w:tcPr>
          <w:p w14:paraId="18EEE64F" w14:textId="77777777" w:rsidR="00EC49A4" w:rsidRPr="0042797B" w:rsidRDefault="00EC49A4" w:rsidP="00C0406D">
            <w:pPr>
              <w:jc w:val="center"/>
              <w:rPr>
                <w:bCs w:val="0"/>
                <w:i/>
                <w:sz w:val="12"/>
                <w:szCs w:val="12"/>
              </w:rPr>
            </w:pPr>
          </w:p>
        </w:tc>
        <w:tc>
          <w:tcPr>
            <w:tcW w:w="1073" w:type="dxa"/>
            <w:vAlign w:val="bottom"/>
          </w:tcPr>
          <w:p w14:paraId="20061E3F" w14:textId="18710331" w:rsidR="00EC49A4" w:rsidRPr="0042797B" w:rsidRDefault="00EC49A4" w:rsidP="00C0406D">
            <w:pPr>
              <w:jc w:val="center"/>
              <w:rPr>
                <w:bCs w:val="0"/>
                <w:sz w:val="12"/>
                <w:szCs w:val="12"/>
              </w:rPr>
            </w:pPr>
            <w:r w:rsidRPr="0042797B">
              <w:rPr>
                <w:bCs w:val="0"/>
                <w:sz w:val="12"/>
                <w:szCs w:val="12"/>
                <w:lang w:val="id-ID"/>
              </w:rPr>
              <w:t>99</w:t>
            </w:r>
            <w:r w:rsidR="00E347DC">
              <w:rPr>
                <w:bCs w:val="0"/>
                <w:sz w:val="12"/>
                <w:szCs w:val="12"/>
                <w:lang w:val="id-ID"/>
              </w:rPr>
              <w:t>.</w:t>
            </w:r>
            <w:r w:rsidRPr="0042797B">
              <w:rPr>
                <w:bCs w:val="0"/>
                <w:sz w:val="12"/>
                <w:szCs w:val="12"/>
                <w:lang w:val="id-ID"/>
              </w:rPr>
              <w:t>00%</w:t>
            </w:r>
          </w:p>
        </w:tc>
        <w:tc>
          <w:tcPr>
            <w:tcW w:w="24" w:type="dxa"/>
            <w:vAlign w:val="bottom"/>
          </w:tcPr>
          <w:p w14:paraId="25C31D8C" w14:textId="77777777" w:rsidR="00EC49A4" w:rsidRPr="0042797B" w:rsidRDefault="00EC49A4" w:rsidP="00C0406D">
            <w:pPr>
              <w:jc w:val="center"/>
              <w:rPr>
                <w:bCs w:val="0"/>
                <w:i/>
                <w:sz w:val="12"/>
                <w:szCs w:val="12"/>
              </w:rPr>
            </w:pPr>
          </w:p>
        </w:tc>
        <w:tc>
          <w:tcPr>
            <w:tcW w:w="1073" w:type="dxa"/>
            <w:shd w:val="clear" w:color="auto" w:fill="auto"/>
            <w:vAlign w:val="bottom"/>
          </w:tcPr>
          <w:p w14:paraId="49514259" w14:textId="0613F31F" w:rsidR="00EC49A4" w:rsidRPr="0042797B" w:rsidRDefault="00656D0F" w:rsidP="00C0406D">
            <w:pPr>
              <w:ind w:right="57"/>
              <w:jc w:val="right"/>
              <w:rPr>
                <w:bCs w:val="0"/>
                <w:sz w:val="12"/>
                <w:szCs w:val="12"/>
              </w:rPr>
            </w:pPr>
            <w:r w:rsidRPr="00656D0F">
              <w:rPr>
                <w:bCs w:val="0"/>
                <w:sz w:val="12"/>
                <w:szCs w:val="12"/>
              </w:rPr>
              <w:t>2</w:t>
            </w:r>
            <w:r>
              <w:rPr>
                <w:bCs w:val="0"/>
                <w:sz w:val="12"/>
                <w:szCs w:val="12"/>
              </w:rPr>
              <w:t>.</w:t>
            </w:r>
            <w:r w:rsidRPr="00656D0F">
              <w:rPr>
                <w:bCs w:val="0"/>
                <w:sz w:val="12"/>
                <w:szCs w:val="12"/>
              </w:rPr>
              <w:t>095</w:t>
            </w:r>
            <w:r>
              <w:rPr>
                <w:bCs w:val="0"/>
                <w:sz w:val="12"/>
                <w:szCs w:val="12"/>
              </w:rPr>
              <w:t>.</w:t>
            </w:r>
            <w:r w:rsidRPr="00656D0F">
              <w:rPr>
                <w:bCs w:val="0"/>
                <w:sz w:val="12"/>
                <w:szCs w:val="12"/>
              </w:rPr>
              <w:t>216</w:t>
            </w:r>
            <w:r>
              <w:rPr>
                <w:bCs w:val="0"/>
                <w:sz w:val="12"/>
                <w:szCs w:val="12"/>
              </w:rPr>
              <w:t>.</w:t>
            </w:r>
            <w:r w:rsidRPr="00656D0F">
              <w:rPr>
                <w:bCs w:val="0"/>
                <w:sz w:val="12"/>
                <w:szCs w:val="12"/>
              </w:rPr>
              <w:t>797</w:t>
            </w:r>
          </w:p>
        </w:tc>
        <w:tc>
          <w:tcPr>
            <w:tcW w:w="24" w:type="dxa"/>
            <w:vAlign w:val="bottom"/>
          </w:tcPr>
          <w:p w14:paraId="4D6B3CE7" w14:textId="77777777" w:rsidR="00EC49A4" w:rsidRPr="0042797B" w:rsidRDefault="00EC49A4" w:rsidP="00C0406D">
            <w:pPr>
              <w:jc w:val="center"/>
              <w:rPr>
                <w:bCs w:val="0"/>
                <w:sz w:val="12"/>
                <w:szCs w:val="12"/>
              </w:rPr>
            </w:pPr>
          </w:p>
        </w:tc>
        <w:tc>
          <w:tcPr>
            <w:tcW w:w="1073" w:type="dxa"/>
            <w:vAlign w:val="bottom"/>
          </w:tcPr>
          <w:p w14:paraId="260C4B54" w14:textId="0FF72272" w:rsidR="00EC49A4" w:rsidRPr="0042797B" w:rsidRDefault="00C5137D" w:rsidP="00C0406D">
            <w:pPr>
              <w:ind w:right="57"/>
              <w:jc w:val="right"/>
              <w:rPr>
                <w:bCs w:val="0"/>
                <w:sz w:val="12"/>
                <w:szCs w:val="12"/>
                <w:lang w:val="id-ID"/>
              </w:rPr>
            </w:pPr>
            <w:r w:rsidRPr="00566DA5">
              <w:rPr>
                <w:bCs w:val="0"/>
                <w:sz w:val="12"/>
                <w:szCs w:val="12"/>
              </w:rPr>
              <w:t>2.120.856.382</w:t>
            </w:r>
          </w:p>
        </w:tc>
      </w:tr>
      <w:tr w:rsidR="0042797B" w:rsidRPr="0042797B" w14:paraId="5437FA9B" w14:textId="77777777" w:rsidTr="00CC2E72">
        <w:tc>
          <w:tcPr>
            <w:tcW w:w="2030" w:type="dxa"/>
            <w:vAlign w:val="bottom"/>
          </w:tcPr>
          <w:p w14:paraId="1D01C127" w14:textId="77777777" w:rsidR="00EC49A4" w:rsidRPr="0042797B" w:rsidRDefault="00EC49A4" w:rsidP="00C0406D">
            <w:pPr>
              <w:ind w:left="141" w:firstLine="142"/>
              <w:rPr>
                <w:rStyle w:val="hps"/>
                <w:sz w:val="12"/>
                <w:szCs w:val="12"/>
              </w:rPr>
            </w:pPr>
          </w:p>
        </w:tc>
        <w:tc>
          <w:tcPr>
            <w:tcW w:w="20" w:type="dxa"/>
          </w:tcPr>
          <w:p w14:paraId="675BC2DE" w14:textId="77777777" w:rsidR="00EC49A4" w:rsidRPr="0042797B" w:rsidRDefault="00EC49A4" w:rsidP="00C0406D">
            <w:pPr>
              <w:ind w:left="340"/>
              <w:jc w:val="both"/>
              <w:rPr>
                <w:sz w:val="12"/>
                <w:szCs w:val="12"/>
              </w:rPr>
            </w:pPr>
          </w:p>
        </w:tc>
        <w:tc>
          <w:tcPr>
            <w:tcW w:w="574" w:type="dxa"/>
          </w:tcPr>
          <w:p w14:paraId="464FA659" w14:textId="77777777" w:rsidR="00EC49A4" w:rsidRPr="0042797B" w:rsidRDefault="00EC49A4" w:rsidP="00C0406D">
            <w:pPr>
              <w:jc w:val="center"/>
              <w:rPr>
                <w:i/>
                <w:sz w:val="12"/>
                <w:szCs w:val="12"/>
              </w:rPr>
            </w:pPr>
          </w:p>
        </w:tc>
        <w:tc>
          <w:tcPr>
            <w:tcW w:w="20" w:type="dxa"/>
          </w:tcPr>
          <w:p w14:paraId="78AD8D27" w14:textId="77777777" w:rsidR="00EC49A4" w:rsidRPr="0042797B" w:rsidRDefault="00EC49A4" w:rsidP="00C0406D">
            <w:pPr>
              <w:jc w:val="center"/>
              <w:rPr>
                <w:i/>
                <w:sz w:val="12"/>
                <w:szCs w:val="12"/>
              </w:rPr>
            </w:pPr>
          </w:p>
        </w:tc>
        <w:tc>
          <w:tcPr>
            <w:tcW w:w="1073" w:type="dxa"/>
            <w:vAlign w:val="bottom"/>
          </w:tcPr>
          <w:p w14:paraId="350D15CB" w14:textId="77777777" w:rsidR="00EC49A4" w:rsidRPr="0042797B" w:rsidRDefault="00EC49A4" w:rsidP="00C0406D">
            <w:pPr>
              <w:jc w:val="center"/>
              <w:rPr>
                <w:i/>
                <w:sz w:val="12"/>
                <w:szCs w:val="12"/>
              </w:rPr>
            </w:pPr>
          </w:p>
        </w:tc>
        <w:tc>
          <w:tcPr>
            <w:tcW w:w="20" w:type="dxa"/>
          </w:tcPr>
          <w:p w14:paraId="5209D38D" w14:textId="77777777" w:rsidR="00EC49A4" w:rsidRPr="0042797B" w:rsidRDefault="00EC49A4" w:rsidP="00C0406D">
            <w:pPr>
              <w:ind w:left="426"/>
              <w:jc w:val="both"/>
              <w:rPr>
                <w:bCs w:val="0"/>
                <w:i/>
                <w:sz w:val="12"/>
                <w:szCs w:val="12"/>
              </w:rPr>
            </w:pPr>
          </w:p>
        </w:tc>
        <w:tc>
          <w:tcPr>
            <w:tcW w:w="1073" w:type="dxa"/>
            <w:vAlign w:val="bottom"/>
          </w:tcPr>
          <w:p w14:paraId="5E05BB03" w14:textId="77777777" w:rsidR="00EC49A4" w:rsidRPr="0042797B" w:rsidRDefault="00EC49A4" w:rsidP="00C0406D">
            <w:pPr>
              <w:jc w:val="center"/>
              <w:rPr>
                <w:bCs w:val="0"/>
                <w:sz w:val="12"/>
                <w:szCs w:val="12"/>
              </w:rPr>
            </w:pPr>
          </w:p>
        </w:tc>
        <w:tc>
          <w:tcPr>
            <w:tcW w:w="20" w:type="dxa"/>
            <w:vAlign w:val="bottom"/>
          </w:tcPr>
          <w:p w14:paraId="1CE4466C" w14:textId="77777777" w:rsidR="00EC49A4" w:rsidRPr="0042797B" w:rsidRDefault="00EC49A4" w:rsidP="00C0406D">
            <w:pPr>
              <w:jc w:val="center"/>
              <w:rPr>
                <w:bCs w:val="0"/>
                <w:i/>
                <w:sz w:val="12"/>
                <w:szCs w:val="12"/>
              </w:rPr>
            </w:pPr>
          </w:p>
        </w:tc>
        <w:tc>
          <w:tcPr>
            <w:tcW w:w="20" w:type="dxa"/>
            <w:vAlign w:val="bottom"/>
          </w:tcPr>
          <w:p w14:paraId="305A396F" w14:textId="77777777" w:rsidR="00EC49A4" w:rsidRPr="0042797B" w:rsidRDefault="00EC49A4" w:rsidP="00C0406D">
            <w:pPr>
              <w:jc w:val="center"/>
              <w:rPr>
                <w:bCs w:val="0"/>
                <w:i/>
                <w:sz w:val="12"/>
                <w:szCs w:val="12"/>
              </w:rPr>
            </w:pPr>
          </w:p>
        </w:tc>
        <w:tc>
          <w:tcPr>
            <w:tcW w:w="1073" w:type="dxa"/>
            <w:vAlign w:val="bottom"/>
          </w:tcPr>
          <w:p w14:paraId="105A33B7" w14:textId="77777777" w:rsidR="00EC49A4" w:rsidRPr="0042797B" w:rsidRDefault="00EC49A4" w:rsidP="00C0406D">
            <w:pPr>
              <w:jc w:val="center"/>
              <w:rPr>
                <w:bCs w:val="0"/>
                <w:sz w:val="12"/>
                <w:szCs w:val="12"/>
              </w:rPr>
            </w:pPr>
          </w:p>
        </w:tc>
        <w:tc>
          <w:tcPr>
            <w:tcW w:w="24" w:type="dxa"/>
            <w:vAlign w:val="bottom"/>
          </w:tcPr>
          <w:p w14:paraId="6F7EA588" w14:textId="77777777" w:rsidR="00EC49A4" w:rsidRPr="0042797B" w:rsidRDefault="00EC49A4" w:rsidP="00C0406D">
            <w:pPr>
              <w:jc w:val="center"/>
              <w:rPr>
                <w:bCs w:val="0"/>
                <w:i/>
                <w:sz w:val="12"/>
                <w:szCs w:val="12"/>
              </w:rPr>
            </w:pPr>
          </w:p>
        </w:tc>
        <w:tc>
          <w:tcPr>
            <w:tcW w:w="1073" w:type="dxa"/>
            <w:vAlign w:val="bottom"/>
          </w:tcPr>
          <w:p w14:paraId="68A13921" w14:textId="77777777" w:rsidR="00EC49A4" w:rsidRPr="0042797B" w:rsidRDefault="00EC49A4" w:rsidP="00C0406D">
            <w:pPr>
              <w:jc w:val="center"/>
              <w:rPr>
                <w:bCs w:val="0"/>
                <w:sz w:val="12"/>
                <w:szCs w:val="12"/>
              </w:rPr>
            </w:pPr>
          </w:p>
        </w:tc>
        <w:tc>
          <w:tcPr>
            <w:tcW w:w="24" w:type="dxa"/>
            <w:vAlign w:val="bottom"/>
          </w:tcPr>
          <w:p w14:paraId="0C19A865" w14:textId="77777777" w:rsidR="00EC49A4" w:rsidRPr="0042797B" w:rsidRDefault="00EC49A4" w:rsidP="00C0406D">
            <w:pPr>
              <w:jc w:val="center"/>
              <w:rPr>
                <w:bCs w:val="0"/>
                <w:i/>
                <w:sz w:val="12"/>
                <w:szCs w:val="12"/>
              </w:rPr>
            </w:pPr>
          </w:p>
        </w:tc>
        <w:tc>
          <w:tcPr>
            <w:tcW w:w="1073" w:type="dxa"/>
            <w:shd w:val="clear" w:color="auto" w:fill="auto"/>
            <w:vAlign w:val="bottom"/>
          </w:tcPr>
          <w:p w14:paraId="4F5DD267" w14:textId="77777777" w:rsidR="00EC49A4" w:rsidRPr="0042797B" w:rsidRDefault="00EC49A4" w:rsidP="00C0406D">
            <w:pPr>
              <w:ind w:right="57"/>
              <w:jc w:val="right"/>
              <w:rPr>
                <w:bCs w:val="0"/>
                <w:sz w:val="12"/>
                <w:szCs w:val="12"/>
              </w:rPr>
            </w:pPr>
          </w:p>
        </w:tc>
        <w:tc>
          <w:tcPr>
            <w:tcW w:w="24" w:type="dxa"/>
            <w:vAlign w:val="bottom"/>
          </w:tcPr>
          <w:p w14:paraId="5D5D9D98" w14:textId="77777777" w:rsidR="00EC49A4" w:rsidRPr="0042797B" w:rsidRDefault="00EC49A4" w:rsidP="00C0406D">
            <w:pPr>
              <w:jc w:val="center"/>
              <w:rPr>
                <w:bCs w:val="0"/>
                <w:sz w:val="12"/>
                <w:szCs w:val="12"/>
              </w:rPr>
            </w:pPr>
          </w:p>
        </w:tc>
        <w:tc>
          <w:tcPr>
            <w:tcW w:w="1073" w:type="dxa"/>
            <w:vAlign w:val="bottom"/>
          </w:tcPr>
          <w:p w14:paraId="6B73CACD" w14:textId="77777777" w:rsidR="00EC49A4" w:rsidRPr="0042797B" w:rsidRDefault="00EC49A4" w:rsidP="00C0406D">
            <w:pPr>
              <w:ind w:right="57"/>
              <w:jc w:val="right"/>
              <w:rPr>
                <w:bCs w:val="0"/>
                <w:sz w:val="12"/>
                <w:szCs w:val="12"/>
              </w:rPr>
            </w:pPr>
          </w:p>
        </w:tc>
      </w:tr>
      <w:tr w:rsidR="00261DF6" w:rsidRPr="0042797B" w14:paraId="017A549F" w14:textId="77777777" w:rsidTr="00CC2E72">
        <w:tblPrEx>
          <w:tblCellMar>
            <w:left w:w="108" w:type="dxa"/>
            <w:right w:w="108" w:type="dxa"/>
          </w:tblCellMar>
        </w:tblPrEx>
        <w:tc>
          <w:tcPr>
            <w:tcW w:w="5947" w:type="dxa"/>
            <w:gridSpan w:val="11"/>
          </w:tcPr>
          <w:p w14:paraId="154A97A6" w14:textId="450D21B5" w:rsidR="00261DF6" w:rsidRPr="0042797B" w:rsidRDefault="00261DF6" w:rsidP="00261DF6">
            <w:pPr>
              <w:ind w:left="34"/>
              <w:rPr>
                <w:sz w:val="14"/>
                <w:szCs w:val="14"/>
              </w:rPr>
            </w:pPr>
            <w:r w:rsidRPr="0042797B">
              <w:rPr>
                <w:rStyle w:val="hps"/>
                <w:sz w:val="14"/>
                <w:szCs w:val="14"/>
              </w:rPr>
              <w:t xml:space="preserve">*) : Belum beroperasi komersial/  </w:t>
            </w:r>
            <w:r w:rsidRPr="0042797B">
              <w:rPr>
                <w:rStyle w:val="hps"/>
                <w:i/>
                <w:iCs/>
                <w:sz w:val="14"/>
                <w:szCs w:val="14"/>
              </w:rPr>
              <w:t>Not yet started commercial operation</w:t>
            </w:r>
          </w:p>
        </w:tc>
        <w:tc>
          <w:tcPr>
            <w:tcW w:w="3267" w:type="dxa"/>
            <w:gridSpan w:val="5"/>
          </w:tcPr>
          <w:p w14:paraId="69A8881B" w14:textId="77777777" w:rsidR="00261DF6" w:rsidRPr="0042797B" w:rsidRDefault="00261DF6" w:rsidP="00C0406D">
            <w:pPr>
              <w:ind w:left="567" w:right="-57"/>
              <w:jc w:val="both"/>
              <w:rPr>
                <w:i/>
                <w:sz w:val="14"/>
                <w:szCs w:val="14"/>
                <w:lang w:val="id-ID"/>
              </w:rPr>
            </w:pPr>
          </w:p>
        </w:tc>
      </w:tr>
    </w:tbl>
    <w:p w14:paraId="0BA22C75" w14:textId="006FED03" w:rsidR="009B0A73" w:rsidRPr="00277E68" w:rsidRDefault="009B0A73" w:rsidP="0013526B">
      <w:pPr>
        <w:rPr>
          <w:sz w:val="2"/>
          <w:szCs w:val="4"/>
        </w:rPr>
      </w:pPr>
    </w:p>
    <w:p w14:paraId="541CC5A8" w14:textId="7AB0A20E" w:rsidR="007F7384" w:rsidRPr="002028F8" w:rsidRDefault="0042797B">
      <w:r>
        <w:br w:type="page"/>
      </w:r>
    </w:p>
    <w:tbl>
      <w:tblPr>
        <w:tblW w:w="9197" w:type="dxa"/>
        <w:tblInd w:w="392" w:type="dxa"/>
        <w:tblLayout w:type="fixed"/>
        <w:tblLook w:val="0000" w:firstRow="0" w:lastRow="0" w:firstColumn="0" w:lastColumn="0" w:noHBand="0" w:noVBand="0"/>
      </w:tblPr>
      <w:tblGrid>
        <w:gridCol w:w="4598"/>
        <w:gridCol w:w="4599"/>
      </w:tblGrid>
      <w:tr w:rsidR="009B0A73" w:rsidRPr="00AB65EA" w14:paraId="1C8A8BBA" w14:textId="77777777" w:rsidTr="00AB65EA">
        <w:tc>
          <w:tcPr>
            <w:tcW w:w="4598" w:type="dxa"/>
            <w:shd w:val="clear" w:color="auto" w:fill="auto"/>
          </w:tcPr>
          <w:p w14:paraId="531ADA88" w14:textId="5B2C0BB4" w:rsidR="009B0A73" w:rsidRPr="00AB65EA" w:rsidRDefault="007F7384" w:rsidP="00070D1F">
            <w:pPr>
              <w:pStyle w:val="ListParagraph"/>
              <w:numPr>
                <w:ilvl w:val="0"/>
                <w:numId w:val="282"/>
              </w:numPr>
              <w:ind w:left="317" w:hanging="283"/>
              <w:contextualSpacing/>
              <w:jc w:val="both"/>
              <w:rPr>
                <w:rStyle w:val="hps"/>
                <w:b/>
                <w:sz w:val="18"/>
                <w:szCs w:val="18"/>
              </w:rPr>
            </w:pPr>
            <w:r w:rsidRPr="00AB65EA">
              <w:rPr>
                <w:rStyle w:val="hps"/>
                <w:b/>
                <w:sz w:val="18"/>
                <w:szCs w:val="18"/>
              </w:rPr>
              <w:lastRenderedPageBreak/>
              <w:t>U</w:t>
            </w:r>
            <w:r w:rsidR="00272786">
              <w:rPr>
                <w:rStyle w:val="hps"/>
                <w:b/>
                <w:sz w:val="18"/>
                <w:szCs w:val="18"/>
              </w:rPr>
              <w:t>MUM</w:t>
            </w:r>
            <w:r w:rsidRPr="00AB65EA">
              <w:rPr>
                <w:rStyle w:val="hps"/>
                <w:b/>
                <w:sz w:val="18"/>
                <w:szCs w:val="18"/>
              </w:rPr>
              <w:t xml:space="preserve"> - Lanjutan</w:t>
            </w:r>
          </w:p>
        </w:tc>
        <w:tc>
          <w:tcPr>
            <w:tcW w:w="4599" w:type="dxa"/>
            <w:shd w:val="clear" w:color="auto" w:fill="auto"/>
          </w:tcPr>
          <w:p w14:paraId="483E63E1" w14:textId="477CAE9C" w:rsidR="009B0A73" w:rsidRPr="00AB65EA" w:rsidRDefault="009B0A73" w:rsidP="00070D1F">
            <w:pPr>
              <w:pStyle w:val="ListParagraph"/>
              <w:numPr>
                <w:ilvl w:val="0"/>
                <w:numId w:val="283"/>
              </w:numPr>
              <w:ind w:left="284" w:hanging="284"/>
              <w:contextualSpacing/>
              <w:jc w:val="both"/>
              <w:rPr>
                <w:b/>
                <w:bCs w:val="0"/>
                <w:i/>
                <w:sz w:val="18"/>
                <w:szCs w:val="18"/>
              </w:rPr>
            </w:pPr>
            <w:r w:rsidRPr="00AB65EA">
              <w:rPr>
                <w:b/>
                <w:i/>
                <w:sz w:val="18"/>
                <w:szCs w:val="18"/>
              </w:rPr>
              <w:t xml:space="preserve">GENERAL </w:t>
            </w:r>
            <w:r w:rsidR="001C1358">
              <w:rPr>
                <w:b/>
                <w:i/>
                <w:sz w:val="18"/>
                <w:szCs w:val="18"/>
              </w:rPr>
              <w:t>–</w:t>
            </w:r>
            <w:r w:rsidRPr="00AB65EA">
              <w:rPr>
                <w:b/>
                <w:i/>
                <w:sz w:val="18"/>
                <w:szCs w:val="18"/>
              </w:rPr>
              <w:t xml:space="preserve"> Continued</w:t>
            </w:r>
          </w:p>
        </w:tc>
      </w:tr>
      <w:tr w:rsidR="009B0A73" w:rsidRPr="00AB65EA" w14:paraId="2C16AF02" w14:textId="77777777" w:rsidTr="00AB65EA">
        <w:tc>
          <w:tcPr>
            <w:tcW w:w="4598" w:type="dxa"/>
            <w:shd w:val="clear" w:color="auto" w:fill="auto"/>
          </w:tcPr>
          <w:p w14:paraId="0A1F2202" w14:textId="77777777" w:rsidR="009B0A73" w:rsidRPr="00AB65EA" w:rsidRDefault="009B0A73" w:rsidP="009B0A73">
            <w:pPr>
              <w:jc w:val="both"/>
              <w:rPr>
                <w:rStyle w:val="hps"/>
                <w:sz w:val="18"/>
                <w:szCs w:val="10"/>
              </w:rPr>
            </w:pPr>
          </w:p>
        </w:tc>
        <w:tc>
          <w:tcPr>
            <w:tcW w:w="4599" w:type="dxa"/>
            <w:shd w:val="clear" w:color="auto" w:fill="auto"/>
          </w:tcPr>
          <w:p w14:paraId="67686C7C" w14:textId="77777777" w:rsidR="009B0A73" w:rsidRPr="00AB65EA" w:rsidRDefault="009B0A73" w:rsidP="009B0A73">
            <w:pPr>
              <w:ind w:left="426"/>
              <w:jc w:val="both"/>
              <w:rPr>
                <w:bCs w:val="0"/>
                <w:i/>
                <w:sz w:val="18"/>
                <w:szCs w:val="10"/>
              </w:rPr>
            </w:pPr>
          </w:p>
        </w:tc>
      </w:tr>
      <w:tr w:rsidR="009B0A73" w:rsidRPr="00AB65EA" w14:paraId="1A9E2530" w14:textId="77777777" w:rsidTr="00AB65EA">
        <w:tc>
          <w:tcPr>
            <w:tcW w:w="4598" w:type="dxa"/>
            <w:shd w:val="clear" w:color="auto" w:fill="auto"/>
          </w:tcPr>
          <w:p w14:paraId="7D44B105" w14:textId="427F9085" w:rsidR="009B0A73" w:rsidRPr="00AB65EA" w:rsidRDefault="009B0A73" w:rsidP="00070D1F">
            <w:pPr>
              <w:pStyle w:val="ListParagraph"/>
              <w:numPr>
                <w:ilvl w:val="0"/>
                <w:numId w:val="370"/>
              </w:numPr>
              <w:ind w:left="548" w:right="-57" w:hanging="213"/>
              <w:contextualSpacing/>
              <w:jc w:val="both"/>
              <w:rPr>
                <w:rStyle w:val="hps"/>
                <w:b/>
                <w:sz w:val="18"/>
                <w:szCs w:val="18"/>
              </w:rPr>
            </w:pPr>
            <w:r w:rsidRPr="00AB65EA">
              <w:rPr>
                <w:rStyle w:val="hps"/>
                <w:b/>
                <w:sz w:val="18"/>
                <w:szCs w:val="18"/>
                <w:lang w:val="id-ID"/>
              </w:rPr>
              <w:t xml:space="preserve">Struktur Perusahaan dan Entitas Anak </w:t>
            </w:r>
            <w:r w:rsidR="00277E68" w:rsidRPr="00AB65EA">
              <w:rPr>
                <w:rStyle w:val="hps"/>
                <w:b/>
                <w:sz w:val="18"/>
                <w:szCs w:val="18"/>
              </w:rPr>
              <w:t>- L</w:t>
            </w:r>
            <w:r w:rsidRPr="00AB65EA">
              <w:rPr>
                <w:rStyle w:val="hps"/>
                <w:b/>
                <w:sz w:val="18"/>
                <w:szCs w:val="18"/>
                <w:lang w:val="id-ID"/>
              </w:rPr>
              <w:t>anjutan</w:t>
            </w:r>
          </w:p>
        </w:tc>
        <w:tc>
          <w:tcPr>
            <w:tcW w:w="4599" w:type="dxa"/>
            <w:shd w:val="clear" w:color="auto" w:fill="auto"/>
          </w:tcPr>
          <w:p w14:paraId="4F481017" w14:textId="630BB392" w:rsidR="009B0A73" w:rsidRPr="00AB65EA" w:rsidRDefault="009B0A73" w:rsidP="00070D1F">
            <w:pPr>
              <w:pStyle w:val="ListParagraph"/>
              <w:numPr>
                <w:ilvl w:val="0"/>
                <w:numId w:val="371"/>
              </w:numPr>
              <w:ind w:left="573" w:right="-57" w:hanging="262"/>
              <w:contextualSpacing/>
              <w:jc w:val="both"/>
              <w:rPr>
                <w:b/>
                <w:bCs w:val="0"/>
                <w:i/>
                <w:sz w:val="18"/>
                <w:szCs w:val="18"/>
              </w:rPr>
            </w:pPr>
            <w:r w:rsidRPr="00AB65EA">
              <w:rPr>
                <w:b/>
                <w:i/>
                <w:sz w:val="18"/>
                <w:szCs w:val="18"/>
                <w:lang w:val="id-ID"/>
              </w:rPr>
              <w:t xml:space="preserve">Structure of The Group </w:t>
            </w:r>
            <w:r w:rsidR="00277E68" w:rsidRPr="00AB65EA">
              <w:rPr>
                <w:b/>
                <w:i/>
                <w:sz w:val="18"/>
                <w:szCs w:val="18"/>
              </w:rPr>
              <w:t xml:space="preserve">- </w:t>
            </w:r>
            <w:r w:rsidRPr="00AB65EA">
              <w:rPr>
                <w:b/>
                <w:i/>
                <w:sz w:val="18"/>
                <w:szCs w:val="18"/>
                <w:lang w:val="id-ID"/>
              </w:rPr>
              <w:t>Continued</w:t>
            </w:r>
          </w:p>
        </w:tc>
      </w:tr>
      <w:tr w:rsidR="009B0A73" w:rsidRPr="00AB65EA" w14:paraId="024670EA" w14:textId="77777777" w:rsidTr="00AB65EA">
        <w:tc>
          <w:tcPr>
            <w:tcW w:w="4598" w:type="dxa"/>
            <w:shd w:val="clear" w:color="auto" w:fill="auto"/>
          </w:tcPr>
          <w:p w14:paraId="40056C51" w14:textId="77777777" w:rsidR="009B0A73" w:rsidRPr="00AB65EA" w:rsidRDefault="009B0A73" w:rsidP="009B0A73">
            <w:pPr>
              <w:jc w:val="both"/>
              <w:rPr>
                <w:rStyle w:val="hps"/>
                <w:sz w:val="18"/>
                <w:szCs w:val="10"/>
              </w:rPr>
            </w:pPr>
          </w:p>
        </w:tc>
        <w:tc>
          <w:tcPr>
            <w:tcW w:w="4599" w:type="dxa"/>
            <w:shd w:val="clear" w:color="auto" w:fill="auto"/>
          </w:tcPr>
          <w:p w14:paraId="2B193D03" w14:textId="77777777" w:rsidR="009B0A73" w:rsidRPr="00AB65EA" w:rsidRDefault="009B0A73" w:rsidP="009B0A73">
            <w:pPr>
              <w:ind w:left="426"/>
              <w:jc w:val="both"/>
              <w:rPr>
                <w:bCs w:val="0"/>
                <w:i/>
                <w:sz w:val="18"/>
                <w:szCs w:val="10"/>
              </w:rPr>
            </w:pPr>
          </w:p>
        </w:tc>
      </w:tr>
      <w:tr w:rsidR="009B0A73" w:rsidRPr="00AB65EA" w14:paraId="6BE092AA" w14:textId="77777777" w:rsidTr="00AB65EA">
        <w:tc>
          <w:tcPr>
            <w:tcW w:w="4598" w:type="dxa"/>
            <w:shd w:val="clear" w:color="auto" w:fill="auto"/>
          </w:tcPr>
          <w:p w14:paraId="636665CC" w14:textId="6BD405DA" w:rsidR="009B0A73" w:rsidRPr="00AB65EA" w:rsidRDefault="009B0A73" w:rsidP="009B0A73">
            <w:pPr>
              <w:ind w:left="567" w:right="-57"/>
              <w:jc w:val="both"/>
              <w:rPr>
                <w:rStyle w:val="hps"/>
                <w:b/>
                <w:sz w:val="18"/>
                <w:szCs w:val="18"/>
              </w:rPr>
            </w:pPr>
            <w:r w:rsidRPr="00AB65EA">
              <w:rPr>
                <w:rStyle w:val="hps"/>
                <w:b/>
                <w:sz w:val="18"/>
                <w:szCs w:val="18"/>
              </w:rPr>
              <w:t>Pembentukan Entitas Anak Tahun 2008</w:t>
            </w:r>
          </w:p>
        </w:tc>
        <w:tc>
          <w:tcPr>
            <w:tcW w:w="4599" w:type="dxa"/>
            <w:shd w:val="clear" w:color="auto" w:fill="auto"/>
          </w:tcPr>
          <w:p w14:paraId="6A5C2411" w14:textId="54A27BA0" w:rsidR="009B0A73" w:rsidRPr="00AB65EA" w:rsidRDefault="009B0A73" w:rsidP="009B0A73">
            <w:pPr>
              <w:ind w:left="567" w:right="-57"/>
              <w:jc w:val="both"/>
              <w:rPr>
                <w:b/>
                <w:i/>
                <w:sz w:val="18"/>
                <w:szCs w:val="18"/>
              </w:rPr>
            </w:pPr>
            <w:r w:rsidRPr="00AB65EA">
              <w:rPr>
                <w:b/>
                <w:i/>
                <w:sz w:val="18"/>
                <w:szCs w:val="18"/>
              </w:rPr>
              <w:t>Established of Subsidiary in 2008</w:t>
            </w:r>
          </w:p>
        </w:tc>
      </w:tr>
      <w:tr w:rsidR="009B0A73" w:rsidRPr="00AB65EA" w14:paraId="4F44B042" w14:textId="77777777" w:rsidTr="00AB65EA">
        <w:tc>
          <w:tcPr>
            <w:tcW w:w="4598" w:type="dxa"/>
            <w:shd w:val="clear" w:color="auto" w:fill="auto"/>
          </w:tcPr>
          <w:p w14:paraId="21677294" w14:textId="77777777" w:rsidR="009B0A73" w:rsidRPr="00AB65EA" w:rsidRDefault="009B0A73" w:rsidP="009B0A73">
            <w:pPr>
              <w:ind w:left="567" w:right="-57"/>
              <w:jc w:val="both"/>
              <w:rPr>
                <w:rStyle w:val="hps"/>
                <w:sz w:val="18"/>
                <w:szCs w:val="18"/>
              </w:rPr>
            </w:pPr>
          </w:p>
        </w:tc>
        <w:tc>
          <w:tcPr>
            <w:tcW w:w="4599" w:type="dxa"/>
            <w:shd w:val="clear" w:color="auto" w:fill="auto"/>
          </w:tcPr>
          <w:p w14:paraId="18A3641F" w14:textId="77777777" w:rsidR="009B0A73" w:rsidRPr="00AB65EA" w:rsidRDefault="009B0A73" w:rsidP="009B0A73">
            <w:pPr>
              <w:ind w:left="567" w:right="-57"/>
              <w:jc w:val="both"/>
              <w:rPr>
                <w:i/>
                <w:sz w:val="18"/>
                <w:szCs w:val="18"/>
              </w:rPr>
            </w:pPr>
          </w:p>
        </w:tc>
      </w:tr>
      <w:tr w:rsidR="009B0A73" w:rsidRPr="00AB65EA" w14:paraId="6041FCD2" w14:textId="77777777" w:rsidTr="00AB65EA">
        <w:tc>
          <w:tcPr>
            <w:tcW w:w="4598" w:type="dxa"/>
            <w:shd w:val="clear" w:color="auto" w:fill="auto"/>
          </w:tcPr>
          <w:p w14:paraId="192ABA42" w14:textId="74A55B38" w:rsidR="009B0A73" w:rsidRPr="00AB65EA" w:rsidRDefault="009B0A73" w:rsidP="009B0A73">
            <w:pPr>
              <w:ind w:left="567" w:right="-57"/>
              <w:jc w:val="both"/>
              <w:rPr>
                <w:rStyle w:val="hps"/>
                <w:sz w:val="18"/>
                <w:szCs w:val="18"/>
                <w:u w:val="single"/>
              </w:rPr>
            </w:pPr>
            <w:r w:rsidRPr="00AB65EA">
              <w:rPr>
                <w:rStyle w:val="hps"/>
                <w:sz w:val="18"/>
                <w:szCs w:val="18"/>
                <w:u w:val="single"/>
              </w:rPr>
              <w:t>PT  Nirmala  Kencana  Mas  (“NKM”)</w:t>
            </w:r>
          </w:p>
        </w:tc>
        <w:tc>
          <w:tcPr>
            <w:tcW w:w="4599" w:type="dxa"/>
            <w:shd w:val="clear" w:color="auto" w:fill="auto"/>
          </w:tcPr>
          <w:p w14:paraId="17382722" w14:textId="1617D76D" w:rsidR="009B0A73" w:rsidRPr="00AB65EA" w:rsidRDefault="009B0A73" w:rsidP="009B0A73">
            <w:pPr>
              <w:ind w:left="567" w:right="-57"/>
              <w:jc w:val="both"/>
              <w:rPr>
                <w:i/>
                <w:sz w:val="18"/>
                <w:szCs w:val="18"/>
                <w:u w:val="single"/>
              </w:rPr>
            </w:pPr>
            <w:r w:rsidRPr="00AB65EA">
              <w:rPr>
                <w:i/>
                <w:sz w:val="18"/>
                <w:szCs w:val="18"/>
                <w:u w:val="single"/>
              </w:rPr>
              <w:t>PT Nirmala Kencana Mas (“NKM” )</w:t>
            </w:r>
          </w:p>
        </w:tc>
      </w:tr>
      <w:tr w:rsidR="009B0A73" w:rsidRPr="005E09EC" w14:paraId="717E482C" w14:textId="77777777" w:rsidTr="00AB65EA">
        <w:tc>
          <w:tcPr>
            <w:tcW w:w="4598" w:type="dxa"/>
            <w:shd w:val="clear" w:color="auto" w:fill="auto"/>
          </w:tcPr>
          <w:p w14:paraId="65A8A682" w14:textId="77777777" w:rsidR="009B0A73" w:rsidRPr="00AB65EA" w:rsidRDefault="009B0A73" w:rsidP="009B0A73">
            <w:pPr>
              <w:ind w:left="567" w:right="-57"/>
              <w:jc w:val="both"/>
              <w:rPr>
                <w:rStyle w:val="hps"/>
                <w:sz w:val="18"/>
                <w:szCs w:val="18"/>
              </w:rPr>
            </w:pPr>
          </w:p>
        </w:tc>
        <w:tc>
          <w:tcPr>
            <w:tcW w:w="4599" w:type="dxa"/>
            <w:shd w:val="clear" w:color="auto" w:fill="auto"/>
          </w:tcPr>
          <w:p w14:paraId="1208AA69" w14:textId="77777777" w:rsidR="009B0A73" w:rsidRPr="00AB65EA" w:rsidRDefault="009B0A73" w:rsidP="009B0A73">
            <w:pPr>
              <w:ind w:left="567" w:right="-57"/>
              <w:jc w:val="both"/>
              <w:rPr>
                <w:i/>
                <w:sz w:val="18"/>
                <w:szCs w:val="18"/>
              </w:rPr>
            </w:pPr>
          </w:p>
        </w:tc>
      </w:tr>
      <w:tr w:rsidR="009B0A73" w:rsidRPr="00AB65EA" w14:paraId="5F32989B" w14:textId="77777777" w:rsidTr="00AB65EA">
        <w:tc>
          <w:tcPr>
            <w:tcW w:w="4598" w:type="dxa"/>
            <w:shd w:val="clear" w:color="auto" w:fill="auto"/>
          </w:tcPr>
          <w:p w14:paraId="14A3AB82" w14:textId="68042409" w:rsidR="009B0A73" w:rsidRPr="00AB65EA" w:rsidRDefault="009B0A73" w:rsidP="00E347DC">
            <w:pPr>
              <w:ind w:left="567" w:right="-57"/>
              <w:jc w:val="both"/>
              <w:rPr>
                <w:rStyle w:val="hps"/>
                <w:sz w:val="18"/>
                <w:szCs w:val="18"/>
                <w:lang w:val="id-ID"/>
              </w:rPr>
            </w:pPr>
            <w:r w:rsidRPr="00AB65EA">
              <w:rPr>
                <w:rStyle w:val="hps"/>
                <w:sz w:val="18"/>
                <w:szCs w:val="18"/>
              </w:rPr>
              <w:t xml:space="preserve">Berdasarkan Akta Notaris dari notaris </w:t>
            </w:r>
            <w:r w:rsidR="00B16CD5">
              <w:rPr>
                <w:rStyle w:val="hps"/>
                <w:sz w:val="18"/>
                <w:szCs w:val="18"/>
              </w:rPr>
              <w:br/>
            </w:r>
            <w:r w:rsidRPr="00AB65EA">
              <w:rPr>
                <w:rStyle w:val="hps"/>
                <w:sz w:val="18"/>
                <w:szCs w:val="18"/>
              </w:rPr>
              <w:t>Stephanie Wilamarta</w:t>
            </w:r>
            <w:r w:rsidR="00870FD0">
              <w:rPr>
                <w:rStyle w:val="hps"/>
                <w:sz w:val="18"/>
                <w:szCs w:val="18"/>
              </w:rPr>
              <w:t>.</w:t>
            </w:r>
            <w:r w:rsidRPr="00AB65EA">
              <w:rPr>
                <w:rStyle w:val="hps"/>
                <w:sz w:val="18"/>
                <w:szCs w:val="18"/>
              </w:rPr>
              <w:t xml:space="preserve"> S.H.</w:t>
            </w:r>
            <w:r w:rsidR="00E347DC">
              <w:rPr>
                <w:rStyle w:val="hps"/>
                <w:sz w:val="18"/>
                <w:szCs w:val="18"/>
              </w:rPr>
              <w:t>,</w:t>
            </w:r>
            <w:r w:rsidRPr="00AB65EA">
              <w:rPr>
                <w:rStyle w:val="hps"/>
                <w:sz w:val="18"/>
                <w:szCs w:val="18"/>
              </w:rPr>
              <w:t xml:space="preserve"> No. 20 tanggal</w:t>
            </w:r>
            <w:r w:rsidR="00593332" w:rsidRPr="00AB65EA">
              <w:rPr>
                <w:rStyle w:val="hps"/>
                <w:sz w:val="18"/>
                <w:szCs w:val="18"/>
              </w:rPr>
              <w:t xml:space="preserve"> </w:t>
            </w:r>
            <w:r w:rsidR="00B16CD5">
              <w:rPr>
                <w:rStyle w:val="hps"/>
                <w:sz w:val="18"/>
                <w:szCs w:val="18"/>
              </w:rPr>
              <w:br/>
            </w:r>
            <w:r w:rsidRPr="00AB65EA">
              <w:rPr>
                <w:rStyle w:val="hps"/>
                <w:sz w:val="18"/>
                <w:szCs w:val="18"/>
              </w:rPr>
              <w:t>30 Oktober 2008</w:t>
            </w:r>
            <w:r w:rsidR="00E347DC">
              <w:rPr>
                <w:rStyle w:val="hps"/>
                <w:sz w:val="18"/>
                <w:szCs w:val="18"/>
              </w:rPr>
              <w:t>,</w:t>
            </w:r>
            <w:r w:rsidRPr="00AB65EA">
              <w:rPr>
                <w:rStyle w:val="hps"/>
                <w:sz w:val="18"/>
                <w:szCs w:val="18"/>
              </w:rPr>
              <w:t xml:space="preserve"> Perusahaan membeli 2.963.475.017 </w:t>
            </w:r>
            <w:r w:rsidR="00351A8D">
              <w:rPr>
                <w:rStyle w:val="hps"/>
                <w:sz w:val="18"/>
                <w:szCs w:val="18"/>
              </w:rPr>
              <w:t xml:space="preserve">lembar </w:t>
            </w:r>
            <w:r w:rsidRPr="00AB65EA">
              <w:rPr>
                <w:rStyle w:val="hps"/>
                <w:sz w:val="18"/>
                <w:szCs w:val="18"/>
              </w:rPr>
              <w:t xml:space="preserve">saham NKM sebesar </w:t>
            </w:r>
            <w:r w:rsidR="004A1988">
              <w:rPr>
                <w:rStyle w:val="hps"/>
                <w:sz w:val="18"/>
                <w:szCs w:val="18"/>
              </w:rPr>
              <w:t>Rp 2</w:t>
            </w:r>
            <w:r w:rsidRPr="00AB65EA">
              <w:rPr>
                <w:rStyle w:val="hps"/>
                <w:sz w:val="18"/>
                <w:szCs w:val="18"/>
              </w:rPr>
              <w:t>96.347.501.700 sehingga kepemilikan</w:t>
            </w:r>
            <w:r w:rsidR="00351A8D">
              <w:rPr>
                <w:rStyle w:val="hps"/>
                <w:sz w:val="18"/>
                <w:szCs w:val="18"/>
              </w:rPr>
              <w:t xml:space="preserve"> </w:t>
            </w:r>
            <w:r w:rsidRPr="00AB65EA">
              <w:rPr>
                <w:rStyle w:val="hps"/>
                <w:sz w:val="18"/>
                <w:szCs w:val="18"/>
              </w:rPr>
              <w:t>Perusahaan di NKM menjadi</w:t>
            </w:r>
            <w:r w:rsidRPr="00AB65EA">
              <w:rPr>
                <w:rStyle w:val="hps"/>
                <w:sz w:val="18"/>
                <w:szCs w:val="18"/>
                <w:lang w:val="id-ID"/>
              </w:rPr>
              <w:t xml:space="preserve"> </w:t>
            </w:r>
            <w:r w:rsidRPr="00AB65EA">
              <w:rPr>
                <w:rStyle w:val="hps"/>
                <w:sz w:val="18"/>
                <w:szCs w:val="18"/>
              </w:rPr>
              <w:t>99</w:t>
            </w:r>
            <w:r w:rsidR="00E347DC">
              <w:rPr>
                <w:rStyle w:val="hps"/>
                <w:sz w:val="18"/>
                <w:szCs w:val="18"/>
              </w:rPr>
              <w:t>,</w:t>
            </w:r>
            <w:r w:rsidRPr="00AB65EA">
              <w:rPr>
                <w:rStyle w:val="hps"/>
                <w:sz w:val="18"/>
                <w:szCs w:val="18"/>
              </w:rPr>
              <w:t>16% pada</w:t>
            </w:r>
            <w:r w:rsidR="00B16CD5">
              <w:rPr>
                <w:rStyle w:val="hps"/>
                <w:sz w:val="18"/>
                <w:szCs w:val="18"/>
              </w:rPr>
              <w:t xml:space="preserve"> </w:t>
            </w:r>
            <w:r w:rsidRPr="00AB65EA">
              <w:rPr>
                <w:rStyle w:val="hps"/>
                <w:sz w:val="18"/>
                <w:szCs w:val="18"/>
              </w:rPr>
              <w:t>tanggal 31 Desember 2008. Akta</w:t>
            </w:r>
            <w:r w:rsidRPr="00AB65EA">
              <w:rPr>
                <w:rStyle w:val="hps"/>
                <w:sz w:val="18"/>
                <w:szCs w:val="18"/>
                <w:lang w:val="id-ID"/>
              </w:rPr>
              <w:t xml:space="preserve"> </w:t>
            </w:r>
            <w:r w:rsidRPr="00AB65EA">
              <w:rPr>
                <w:rStyle w:val="hps"/>
                <w:sz w:val="18"/>
                <w:szCs w:val="18"/>
              </w:rPr>
              <w:t>Notaris ini telah disahkan oleh Menteri Hukum</w:t>
            </w:r>
            <w:r w:rsidRPr="00AB65EA">
              <w:rPr>
                <w:rStyle w:val="hps"/>
                <w:sz w:val="18"/>
                <w:szCs w:val="18"/>
                <w:lang w:val="id-ID"/>
              </w:rPr>
              <w:t xml:space="preserve"> dan</w:t>
            </w:r>
            <w:r w:rsidR="00351A8D">
              <w:rPr>
                <w:rStyle w:val="hps"/>
                <w:sz w:val="18"/>
                <w:szCs w:val="18"/>
              </w:rPr>
              <w:t xml:space="preserve"> </w:t>
            </w:r>
            <w:proofErr w:type="gramStart"/>
            <w:r w:rsidRPr="00AB65EA">
              <w:rPr>
                <w:rStyle w:val="hps"/>
                <w:sz w:val="18"/>
                <w:szCs w:val="18"/>
                <w:lang w:val="id-ID"/>
              </w:rPr>
              <w:t xml:space="preserve">Hak  </w:t>
            </w:r>
            <w:proofErr w:type="gramEnd"/>
            <w:r w:rsidR="0055092B">
              <w:rPr>
                <w:rStyle w:val="hps"/>
                <w:sz w:val="18"/>
                <w:szCs w:val="18"/>
                <w:lang w:val="id-ID"/>
              </w:rPr>
              <w:br/>
            </w:r>
            <w:r w:rsidRPr="00AB65EA">
              <w:rPr>
                <w:rStyle w:val="hps"/>
                <w:sz w:val="18"/>
                <w:szCs w:val="18"/>
                <w:lang w:val="id-ID"/>
              </w:rPr>
              <w:t>Asasi</w:t>
            </w:r>
            <w:r w:rsidR="00351A8D">
              <w:rPr>
                <w:rStyle w:val="hps"/>
                <w:sz w:val="18"/>
                <w:szCs w:val="18"/>
              </w:rPr>
              <w:t xml:space="preserve"> </w:t>
            </w:r>
            <w:r w:rsidRPr="00AB65EA">
              <w:rPr>
                <w:rStyle w:val="hps"/>
                <w:sz w:val="18"/>
                <w:szCs w:val="18"/>
                <w:lang w:val="id-ID"/>
              </w:rPr>
              <w:t>Manusia</w:t>
            </w:r>
            <w:r w:rsidR="00351A8D">
              <w:rPr>
                <w:rStyle w:val="hps"/>
                <w:sz w:val="18"/>
                <w:szCs w:val="18"/>
              </w:rPr>
              <w:t xml:space="preserve"> </w:t>
            </w:r>
            <w:r w:rsidRPr="00AB65EA">
              <w:rPr>
                <w:rStyle w:val="hps"/>
                <w:sz w:val="18"/>
                <w:szCs w:val="18"/>
                <w:lang w:val="id-ID"/>
              </w:rPr>
              <w:t>Republik</w:t>
            </w:r>
            <w:r w:rsidR="00351A8D">
              <w:rPr>
                <w:rStyle w:val="hps"/>
                <w:sz w:val="18"/>
                <w:szCs w:val="18"/>
              </w:rPr>
              <w:t xml:space="preserve"> </w:t>
            </w:r>
            <w:r w:rsidRPr="00AB65EA">
              <w:rPr>
                <w:rStyle w:val="hps"/>
                <w:sz w:val="18"/>
                <w:szCs w:val="18"/>
                <w:lang w:val="id-ID"/>
              </w:rPr>
              <w:t xml:space="preserve">Indonesia dengan </w:t>
            </w:r>
            <w:r w:rsidR="0055092B">
              <w:rPr>
                <w:rStyle w:val="hps"/>
                <w:sz w:val="18"/>
                <w:szCs w:val="18"/>
                <w:lang w:val="id-ID"/>
              </w:rPr>
              <w:br/>
            </w:r>
            <w:r w:rsidRPr="00AB65EA">
              <w:rPr>
                <w:rStyle w:val="hps"/>
                <w:sz w:val="18"/>
                <w:szCs w:val="18"/>
                <w:lang w:val="id-ID"/>
              </w:rPr>
              <w:t>Surat Keputusan No.</w:t>
            </w:r>
            <w:r w:rsidR="0055092B">
              <w:rPr>
                <w:rStyle w:val="hps"/>
                <w:sz w:val="18"/>
                <w:szCs w:val="18"/>
              </w:rPr>
              <w:t xml:space="preserve"> </w:t>
            </w:r>
            <w:r w:rsidRPr="00AB65EA">
              <w:rPr>
                <w:rStyle w:val="hps"/>
                <w:sz w:val="18"/>
                <w:szCs w:val="18"/>
                <w:lang w:val="id-ID"/>
              </w:rPr>
              <w:t xml:space="preserve">AHU-99674.AH.01.02 tanggal </w:t>
            </w:r>
            <w:r w:rsidR="00BA0C05">
              <w:rPr>
                <w:rStyle w:val="hps"/>
                <w:sz w:val="18"/>
                <w:szCs w:val="18"/>
                <w:lang w:val="id-ID"/>
              </w:rPr>
              <w:br/>
            </w:r>
            <w:r w:rsidRPr="00AB65EA">
              <w:rPr>
                <w:rStyle w:val="hps"/>
                <w:sz w:val="18"/>
                <w:szCs w:val="18"/>
                <w:lang w:val="id-ID"/>
              </w:rPr>
              <w:t>24 Desember 2008.</w:t>
            </w:r>
          </w:p>
        </w:tc>
        <w:tc>
          <w:tcPr>
            <w:tcW w:w="4599" w:type="dxa"/>
            <w:shd w:val="clear" w:color="auto" w:fill="auto"/>
          </w:tcPr>
          <w:p w14:paraId="65F766E0" w14:textId="69C5AFC8" w:rsidR="009B0A73" w:rsidRPr="00AB65EA" w:rsidRDefault="009B0A73" w:rsidP="009B0A73">
            <w:pPr>
              <w:ind w:left="567" w:right="-57"/>
              <w:jc w:val="both"/>
              <w:rPr>
                <w:i/>
                <w:sz w:val="18"/>
                <w:szCs w:val="18"/>
                <w:lang w:val="id-ID"/>
              </w:rPr>
            </w:pPr>
            <w:r w:rsidRPr="00AB65EA">
              <w:rPr>
                <w:i/>
                <w:sz w:val="18"/>
                <w:szCs w:val="18"/>
              </w:rPr>
              <w:t xml:space="preserve">Based on Notarial Deed ofnotary </w:t>
            </w:r>
            <w:r w:rsidR="00B16CD5">
              <w:rPr>
                <w:i/>
                <w:sz w:val="18"/>
                <w:szCs w:val="18"/>
              </w:rPr>
              <w:br/>
            </w:r>
            <w:r w:rsidRPr="00AB65EA">
              <w:rPr>
                <w:i/>
                <w:sz w:val="18"/>
                <w:szCs w:val="18"/>
              </w:rPr>
              <w:t>Stephanie Wilamarta</w:t>
            </w:r>
            <w:r w:rsidR="00870FD0">
              <w:rPr>
                <w:i/>
                <w:sz w:val="18"/>
                <w:szCs w:val="18"/>
              </w:rPr>
              <w:t>.</w:t>
            </w:r>
            <w:r w:rsidRPr="00AB65EA">
              <w:rPr>
                <w:i/>
                <w:sz w:val="18"/>
                <w:szCs w:val="18"/>
              </w:rPr>
              <w:t xml:space="preserve"> S.H.</w:t>
            </w:r>
            <w:r w:rsidR="00E347DC">
              <w:rPr>
                <w:i/>
                <w:sz w:val="18"/>
                <w:szCs w:val="18"/>
              </w:rPr>
              <w:t>,</w:t>
            </w:r>
            <w:r w:rsidRPr="00AB65EA">
              <w:rPr>
                <w:i/>
                <w:sz w:val="18"/>
                <w:szCs w:val="18"/>
              </w:rPr>
              <w:t xml:space="preserve"> No. 20 dated</w:t>
            </w:r>
            <w:r w:rsidR="00593332" w:rsidRPr="00AB65EA">
              <w:rPr>
                <w:i/>
                <w:sz w:val="18"/>
                <w:szCs w:val="18"/>
              </w:rPr>
              <w:t xml:space="preserve"> </w:t>
            </w:r>
            <w:r w:rsidR="00B16CD5">
              <w:rPr>
                <w:i/>
                <w:sz w:val="18"/>
                <w:szCs w:val="18"/>
              </w:rPr>
              <w:br/>
            </w:r>
            <w:r w:rsidRPr="00AB65EA">
              <w:rPr>
                <w:i/>
                <w:sz w:val="18"/>
                <w:szCs w:val="18"/>
              </w:rPr>
              <w:t>October 30</w:t>
            </w:r>
            <w:r w:rsidR="00E347DC">
              <w:rPr>
                <w:i/>
                <w:sz w:val="18"/>
                <w:szCs w:val="18"/>
              </w:rPr>
              <w:t>,</w:t>
            </w:r>
            <w:r w:rsidRPr="00AB65EA">
              <w:rPr>
                <w:i/>
                <w:sz w:val="18"/>
                <w:szCs w:val="18"/>
              </w:rPr>
              <w:t xml:space="preserve"> 2008</w:t>
            </w:r>
            <w:r w:rsidR="00870FD0">
              <w:rPr>
                <w:i/>
                <w:sz w:val="18"/>
                <w:szCs w:val="18"/>
              </w:rPr>
              <w:t>.</w:t>
            </w:r>
            <w:r w:rsidRPr="00AB65EA">
              <w:rPr>
                <w:i/>
                <w:sz w:val="18"/>
                <w:szCs w:val="18"/>
              </w:rPr>
              <w:t xml:space="preserve"> </w:t>
            </w:r>
            <w:proofErr w:type="gramStart"/>
            <w:r w:rsidRPr="00AB65EA">
              <w:rPr>
                <w:i/>
                <w:sz w:val="18"/>
                <w:szCs w:val="18"/>
              </w:rPr>
              <w:t>the</w:t>
            </w:r>
            <w:proofErr w:type="gramEnd"/>
            <w:r w:rsidRPr="00AB65EA">
              <w:rPr>
                <w:i/>
                <w:sz w:val="18"/>
                <w:szCs w:val="18"/>
              </w:rPr>
              <w:t xml:space="preserve"> Company acquired 2</w:t>
            </w:r>
            <w:r w:rsidR="00E347DC">
              <w:rPr>
                <w:i/>
                <w:sz w:val="18"/>
                <w:szCs w:val="18"/>
              </w:rPr>
              <w:t>,</w:t>
            </w:r>
            <w:r w:rsidRPr="00AB65EA">
              <w:rPr>
                <w:i/>
                <w:sz w:val="18"/>
                <w:szCs w:val="18"/>
              </w:rPr>
              <w:t>963</w:t>
            </w:r>
            <w:r w:rsidR="00E347DC">
              <w:rPr>
                <w:i/>
                <w:sz w:val="18"/>
                <w:szCs w:val="18"/>
              </w:rPr>
              <w:t>,</w:t>
            </w:r>
            <w:r w:rsidRPr="00AB65EA">
              <w:rPr>
                <w:i/>
                <w:sz w:val="18"/>
                <w:szCs w:val="18"/>
              </w:rPr>
              <w:t>475</w:t>
            </w:r>
            <w:r w:rsidR="00E347DC">
              <w:rPr>
                <w:i/>
                <w:sz w:val="18"/>
                <w:szCs w:val="18"/>
              </w:rPr>
              <w:t>,</w:t>
            </w:r>
            <w:r w:rsidRPr="00AB65EA">
              <w:rPr>
                <w:i/>
                <w:sz w:val="18"/>
                <w:szCs w:val="18"/>
              </w:rPr>
              <w:t xml:space="preserve">017 shares of NKM amounting to </w:t>
            </w:r>
            <w:r w:rsidR="00E6799A">
              <w:rPr>
                <w:i/>
                <w:sz w:val="18"/>
                <w:szCs w:val="18"/>
              </w:rPr>
              <w:br/>
            </w:r>
            <w:r w:rsidR="004A1988">
              <w:rPr>
                <w:i/>
                <w:sz w:val="18"/>
                <w:szCs w:val="18"/>
              </w:rPr>
              <w:t>Rp 2</w:t>
            </w:r>
            <w:r w:rsidRPr="00AB65EA">
              <w:rPr>
                <w:i/>
                <w:sz w:val="18"/>
                <w:szCs w:val="18"/>
              </w:rPr>
              <w:t>96</w:t>
            </w:r>
            <w:r w:rsidR="00E347DC">
              <w:rPr>
                <w:i/>
                <w:sz w:val="18"/>
                <w:szCs w:val="18"/>
              </w:rPr>
              <w:t>,</w:t>
            </w:r>
            <w:r w:rsidRPr="00AB65EA">
              <w:rPr>
                <w:i/>
                <w:sz w:val="18"/>
                <w:szCs w:val="18"/>
              </w:rPr>
              <w:t>347</w:t>
            </w:r>
            <w:r w:rsidR="00E347DC">
              <w:rPr>
                <w:i/>
                <w:sz w:val="18"/>
                <w:szCs w:val="18"/>
              </w:rPr>
              <w:t>,</w:t>
            </w:r>
            <w:r w:rsidRPr="00AB65EA">
              <w:rPr>
                <w:i/>
                <w:sz w:val="18"/>
                <w:szCs w:val="18"/>
              </w:rPr>
              <w:t>501</w:t>
            </w:r>
            <w:r w:rsidR="00E347DC">
              <w:rPr>
                <w:i/>
                <w:sz w:val="18"/>
                <w:szCs w:val="18"/>
              </w:rPr>
              <w:t>,</w:t>
            </w:r>
            <w:r w:rsidRPr="00AB65EA">
              <w:rPr>
                <w:i/>
                <w:sz w:val="18"/>
                <w:szCs w:val="18"/>
              </w:rPr>
              <w:t>700 as a result</w:t>
            </w:r>
            <w:r w:rsidR="00E347DC">
              <w:rPr>
                <w:i/>
                <w:sz w:val="18"/>
                <w:szCs w:val="18"/>
              </w:rPr>
              <w:t>,</w:t>
            </w:r>
            <w:r w:rsidRPr="00AB65EA">
              <w:rPr>
                <w:i/>
                <w:sz w:val="18"/>
                <w:szCs w:val="18"/>
              </w:rPr>
              <w:t xml:space="preserve">  as  of </w:t>
            </w:r>
            <w:r w:rsidR="00B16CD5">
              <w:rPr>
                <w:i/>
                <w:sz w:val="18"/>
                <w:szCs w:val="18"/>
              </w:rPr>
              <w:br/>
            </w:r>
            <w:r w:rsidRPr="00AB65EA">
              <w:rPr>
                <w:i/>
                <w:sz w:val="18"/>
                <w:szCs w:val="18"/>
              </w:rPr>
              <w:t>December  31</w:t>
            </w:r>
            <w:r w:rsidR="00E347DC">
              <w:rPr>
                <w:i/>
                <w:sz w:val="18"/>
                <w:szCs w:val="18"/>
              </w:rPr>
              <w:t xml:space="preserve">, </w:t>
            </w:r>
            <w:r w:rsidRPr="00AB65EA">
              <w:rPr>
                <w:i/>
                <w:sz w:val="18"/>
                <w:szCs w:val="18"/>
              </w:rPr>
              <w:t>2008</w:t>
            </w:r>
            <w:r w:rsidR="00E347DC">
              <w:rPr>
                <w:i/>
                <w:sz w:val="18"/>
                <w:szCs w:val="18"/>
              </w:rPr>
              <w:t>,</w:t>
            </w:r>
            <w:r w:rsidRPr="00AB65EA">
              <w:rPr>
                <w:i/>
                <w:sz w:val="18"/>
                <w:szCs w:val="18"/>
              </w:rPr>
              <w:t xml:space="preserve">  the Company’s ownership in NKM became 99.16%. This   Notarial   Deed   was   approved by the</w:t>
            </w:r>
            <w:r w:rsidRPr="00AB65EA">
              <w:t xml:space="preserve"> </w:t>
            </w:r>
            <w:r w:rsidRPr="00AB65EA">
              <w:rPr>
                <w:i/>
                <w:sz w:val="18"/>
                <w:szCs w:val="18"/>
              </w:rPr>
              <w:t>Minister  of  Law  and  Human  Rights  of  the</w:t>
            </w:r>
            <w:r w:rsidRPr="00AB65EA">
              <w:rPr>
                <w:i/>
                <w:sz w:val="18"/>
                <w:szCs w:val="18"/>
                <w:lang w:val="id-ID"/>
              </w:rPr>
              <w:t xml:space="preserve"> Republic  of  Indonesia  by  his  Decision  Letter No. AHU-99674.AH.01.02 dated December 24</w:t>
            </w:r>
            <w:r w:rsidR="00E347DC">
              <w:rPr>
                <w:i/>
                <w:sz w:val="18"/>
                <w:szCs w:val="18"/>
                <w:lang w:val="id-ID"/>
              </w:rPr>
              <w:t>,</w:t>
            </w:r>
            <w:r w:rsidR="00E529E9">
              <w:rPr>
                <w:i/>
                <w:sz w:val="18"/>
                <w:szCs w:val="18"/>
              </w:rPr>
              <w:t xml:space="preserve"> </w:t>
            </w:r>
            <w:r w:rsidRPr="00AB65EA">
              <w:rPr>
                <w:i/>
                <w:sz w:val="18"/>
                <w:szCs w:val="18"/>
                <w:lang w:val="id-ID"/>
              </w:rPr>
              <w:t>2008.</w:t>
            </w:r>
          </w:p>
        </w:tc>
      </w:tr>
      <w:tr w:rsidR="009B0A73" w:rsidRPr="00AB65EA" w14:paraId="0318D6A3" w14:textId="77777777" w:rsidTr="00AB65EA">
        <w:tc>
          <w:tcPr>
            <w:tcW w:w="4598" w:type="dxa"/>
            <w:shd w:val="clear" w:color="auto" w:fill="auto"/>
          </w:tcPr>
          <w:p w14:paraId="33156E77" w14:textId="77777777" w:rsidR="009B0A73" w:rsidRPr="00AB65EA" w:rsidRDefault="009B0A73" w:rsidP="009B0A73">
            <w:pPr>
              <w:ind w:left="567" w:right="-57"/>
              <w:jc w:val="both"/>
              <w:rPr>
                <w:rStyle w:val="hps"/>
                <w:sz w:val="18"/>
                <w:szCs w:val="18"/>
              </w:rPr>
            </w:pPr>
          </w:p>
        </w:tc>
        <w:tc>
          <w:tcPr>
            <w:tcW w:w="4599" w:type="dxa"/>
            <w:shd w:val="clear" w:color="auto" w:fill="auto"/>
          </w:tcPr>
          <w:p w14:paraId="583BA43E" w14:textId="77777777" w:rsidR="009B0A73" w:rsidRPr="00AB65EA" w:rsidRDefault="009B0A73" w:rsidP="009B0A73">
            <w:pPr>
              <w:ind w:left="567" w:right="-57"/>
              <w:jc w:val="both"/>
              <w:rPr>
                <w:i/>
                <w:sz w:val="18"/>
                <w:szCs w:val="18"/>
              </w:rPr>
            </w:pPr>
          </w:p>
        </w:tc>
      </w:tr>
      <w:tr w:rsidR="009B0A73" w:rsidRPr="00AB65EA" w14:paraId="28E1BDF7" w14:textId="77777777" w:rsidTr="00AB65EA">
        <w:tc>
          <w:tcPr>
            <w:tcW w:w="4598" w:type="dxa"/>
            <w:shd w:val="clear" w:color="auto" w:fill="auto"/>
          </w:tcPr>
          <w:p w14:paraId="5E8CEA57" w14:textId="04EDE646" w:rsidR="009B0A73" w:rsidRPr="00AB65EA" w:rsidRDefault="009B0A73" w:rsidP="009B0A73">
            <w:pPr>
              <w:ind w:left="567" w:right="-57"/>
              <w:jc w:val="both"/>
              <w:rPr>
                <w:rStyle w:val="hps"/>
                <w:sz w:val="18"/>
                <w:szCs w:val="18"/>
              </w:rPr>
            </w:pPr>
            <w:r w:rsidRPr="00AB65EA">
              <w:rPr>
                <w:rStyle w:val="hps"/>
                <w:sz w:val="18"/>
                <w:szCs w:val="18"/>
              </w:rPr>
              <w:t>Berdasarkan Akta Notaris dari notaris</w:t>
            </w:r>
            <w:r w:rsidRPr="00AB65EA">
              <w:rPr>
                <w:rStyle w:val="hps"/>
                <w:sz w:val="18"/>
                <w:szCs w:val="18"/>
                <w:lang w:val="id-ID"/>
              </w:rPr>
              <w:t xml:space="preserve"> </w:t>
            </w:r>
            <w:r w:rsidR="00BA0C05">
              <w:rPr>
                <w:rStyle w:val="hps"/>
                <w:sz w:val="18"/>
                <w:szCs w:val="18"/>
                <w:lang w:val="id-ID"/>
              </w:rPr>
              <w:br/>
            </w:r>
            <w:r w:rsidRPr="00AB65EA">
              <w:rPr>
                <w:rStyle w:val="hps"/>
                <w:sz w:val="18"/>
                <w:szCs w:val="18"/>
              </w:rPr>
              <w:t>Buntario</w:t>
            </w:r>
            <w:r w:rsidR="000031FF">
              <w:rPr>
                <w:rStyle w:val="hps"/>
                <w:sz w:val="18"/>
                <w:szCs w:val="18"/>
              </w:rPr>
              <w:t xml:space="preserve"> </w:t>
            </w:r>
            <w:r w:rsidRPr="00AB65EA">
              <w:rPr>
                <w:rStyle w:val="hps"/>
                <w:sz w:val="18"/>
                <w:szCs w:val="18"/>
              </w:rPr>
              <w:t>Tigris</w:t>
            </w:r>
            <w:r w:rsidR="00E347DC">
              <w:rPr>
                <w:rStyle w:val="hps"/>
                <w:sz w:val="18"/>
                <w:szCs w:val="18"/>
              </w:rPr>
              <w:t>,</w:t>
            </w:r>
            <w:r w:rsidRPr="00AB65EA">
              <w:rPr>
                <w:rStyle w:val="hps"/>
                <w:sz w:val="18"/>
                <w:szCs w:val="18"/>
              </w:rPr>
              <w:t xml:space="preserve"> S.H.</w:t>
            </w:r>
            <w:r w:rsidR="00E347DC">
              <w:rPr>
                <w:rStyle w:val="hps"/>
                <w:sz w:val="18"/>
                <w:szCs w:val="18"/>
              </w:rPr>
              <w:t>,</w:t>
            </w:r>
            <w:r w:rsidRPr="00AB65EA">
              <w:rPr>
                <w:rStyle w:val="hps"/>
                <w:sz w:val="18"/>
                <w:szCs w:val="18"/>
              </w:rPr>
              <w:t xml:space="preserve"> S.E.</w:t>
            </w:r>
            <w:r w:rsidR="00E347DC">
              <w:rPr>
                <w:rStyle w:val="hps"/>
                <w:sz w:val="18"/>
                <w:szCs w:val="18"/>
              </w:rPr>
              <w:t>,</w:t>
            </w:r>
            <w:r w:rsidRPr="00AB65EA">
              <w:rPr>
                <w:rStyle w:val="hps"/>
                <w:sz w:val="18"/>
                <w:szCs w:val="18"/>
              </w:rPr>
              <w:t xml:space="preserve"> M.H.</w:t>
            </w:r>
            <w:r w:rsidR="00E347DC">
              <w:rPr>
                <w:rStyle w:val="hps"/>
                <w:sz w:val="18"/>
                <w:szCs w:val="18"/>
              </w:rPr>
              <w:t>,</w:t>
            </w:r>
            <w:r w:rsidRPr="00AB65EA">
              <w:rPr>
                <w:rStyle w:val="hps"/>
                <w:sz w:val="18"/>
                <w:szCs w:val="18"/>
              </w:rPr>
              <w:t xml:space="preserve"> No. 218 tanggal</w:t>
            </w:r>
            <w:r w:rsidRPr="00AB65EA">
              <w:rPr>
                <w:rStyle w:val="hps"/>
                <w:sz w:val="18"/>
                <w:szCs w:val="18"/>
                <w:lang w:val="id-ID"/>
              </w:rPr>
              <w:t xml:space="preserve"> </w:t>
            </w:r>
            <w:r w:rsidR="00BA0C05">
              <w:rPr>
                <w:rStyle w:val="hps"/>
                <w:sz w:val="18"/>
                <w:szCs w:val="18"/>
                <w:lang w:val="id-ID"/>
              </w:rPr>
              <w:br/>
            </w:r>
            <w:r w:rsidRPr="00AB65EA">
              <w:rPr>
                <w:rStyle w:val="hps"/>
                <w:sz w:val="18"/>
                <w:szCs w:val="18"/>
              </w:rPr>
              <w:t>30 No</w:t>
            </w:r>
            <w:r w:rsidR="00E529E9">
              <w:rPr>
                <w:rStyle w:val="hps"/>
                <w:sz w:val="18"/>
                <w:szCs w:val="18"/>
              </w:rPr>
              <w:t>v</w:t>
            </w:r>
            <w:r w:rsidRPr="00AB65EA">
              <w:rPr>
                <w:rStyle w:val="hps"/>
                <w:sz w:val="18"/>
                <w:szCs w:val="18"/>
              </w:rPr>
              <w:t>ember 2010</w:t>
            </w:r>
            <w:r w:rsidR="00870FD0">
              <w:rPr>
                <w:rStyle w:val="hps"/>
                <w:sz w:val="18"/>
                <w:szCs w:val="18"/>
              </w:rPr>
              <w:t>.</w:t>
            </w:r>
            <w:r w:rsidRPr="00AB65EA">
              <w:rPr>
                <w:rStyle w:val="hps"/>
                <w:sz w:val="18"/>
                <w:szCs w:val="18"/>
              </w:rPr>
              <w:t xml:space="preserve"> Perusahaan memperoleh modal</w:t>
            </w:r>
            <w:r w:rsidRPr="00AB65EA">
              <w:rPr>
                <w:rStyle w:val="hps"/>
                <w:sz w:val="18"/>
                <w:szCs w:val="18"/>
                <w:lang w:val="id-ID"/>
              </w:rPr>
              <w:t xml:space="preserve"> </w:t>
            </w:r>
            <w:r w:rsidRPr="00AB65EA">
              <w:rPr>
                <w:rStyle w:val="hps"/>
                <w:sz w:val="18"/>
                <w:szCs w:val="18"/>
              </w:rPr>
              <w:t xml:space="preserve">3.163.475.017 </w:t>
            </w:r>
            <w:r w:rsidR="00351A8D">
              <w:rPr>
                <w:rStyle w:val="hps"/>
                <w:sz w:val="18"/>
                <w:szCs w:val="18"/>
              </w:rPr>
              <w:t xml:space="preserve">lembar </w:t>
            </w:r>
            <w:r w:rsidRPr="00AB65EA">
              <w:rPr>
                <w:rStyle w:val="hps"/>
                <w:sz w:val="18"/>
                <w:szCs w:val="18"/>
              </w:rPr>
              <w:t>saham NKM sebesar</w:t>
            </w:r>
            <w:r w:rsidRPr="00AB65EA">
              <w:rPr>
                <w:rStyle w:val="hps"/>
                <w:sz w:val="18"/>
                <w:szCs w:val="18"/>
                <w:lang w:val="id-ID"/>
              </w:rPr>
              <w:t xml:space="preserve"> </w:t>
            </w:r>
            <w:r w:rsidR="00E529E9">
              <w:rPr>
                <w:rStyle w:val="hps"/>
                <w:sz w:val="18"/>
                <w:szCs w:val="18"/>
                <w:lang w:val="id-ID"/>
              </w:rPr>
              <w:br/>
            </w:r>
            <w:r w:rsidRPr="00AB65EA">
              <w:rPr>
                <w:rStyle w:val="hps"/>
                <w:sz w:val="18"/>
                <w:szCs w:val="18"/>
              </w:rPr>
              <w:t>Rp</w:t>
            </w:r>
            <w:r w:rsidR="00E529E9">
              <w:rPr>
                <w:rStyle w:val="hps"/>
                <w:sz w:val="18"/>
                <w:szCs w:val="18"/>
              </w:rPr>
              <w:t xml:space="preserve"> </w:t>
            </w:r>
            <w:r w:rsidRPr="00AB65EA">
              <w:rPr>
                <w:rStyle w:val="hps"/>
                <w:sz w:val="18"/>
                <w:szCs w:val="18"/>
              </w:rPr>
              <w:t>316.347.501.700 sehingga kepemilikan Perusahaan</w:t>
            </w:r>
            <w:r w:rsidRPr="00AB65EA">
              <w:rPr>
                <w:rStyle w:val="hps"/>
                <w:sz w:val="18"/>
                <w:szCs w:val="18"/>
                <w:lang w:val="id-ID"/>
              </w:rPr>
              <w:t xml:space="preserve"> </w:t>
            </w:r>
            <w:r w:rsidRPr="00AB65EA">
              <w:rPr>
                <w:rStyle w:val="hps"/>
                <w:sz w:val="18"/>
                <w:szCs w:val="18"/>
              </w:rPr>
              <w:t>di NKM menjadi 99</w:t>
            </w:r>
            <w:proofErr w:type="gramStart"/>
            <w:r w:rsidR="00E347DC">
              <w:rPr>
                <w:rStyle w:val="hps"/>
                <w:sz w:val="18"/>
                <w:szCs w:val="18"/>
              </w:rPr>
              <w:t>,</w:t>
            </w:r>
            <w:r w:rsidRPr="00AB65EA">
              <w:rPr>
                <w:rStyle w:val="hps"/>
                <w:sz w:val="18"/>
                <w:szCs w:val="18"/>
              </w:rPr>
              <w:t>22</w:t>
            </w:r>
            <w:proofErr w:type="gramEnd"/>
            <w:r w:rsidRPr="00AB65EA">
              <w:rPr>
                <w:rStyle w:val="hps"/>
                <w:sz w:val="18"/>
                <w:szCs w:val="18"/>
              </w:rPr>
              <w:t xml:space="preserve">% pada tanggal </w:t>
            </w:r>
            <w:r w:rsidR="0055092B">
              <w:rPr>
                <w:rStyle w:val="hps"/>
                <w:sz w:val="18"/>
                <w:szCs w:val="18"/>
              </w:rPr>
              <w:br/>
            </w:r>
            <w:r w:rsidRPr="00AB65EA">
              <w:rPr>
                <w:rStyle w:val="hps"/>
                <w:sz w:val="18"/>
                <w:szCs w:val="18"/>
              </w:rPr>
              <w:t>31 Desember</w:t>
            </w:r>
            <w:r w:rsidRPr="00AB65EA">
              <w:rPr>
                <w:rStyle w:val="hps"/>
                <w:sz w:val="18"/>
                <w:szCs w:val="18"/>
                <w:lang w:val="id-ID"/>
              </w:rPr>
              <w:t xml:space="preserve"> </w:t>
            </w:r>
            <w:r w:rsidRPr="00AB65EA">
              <w:rPr>
                <w:rStyle w:val="hps"/>
                <w:sz w:val="18"/>
                <w:szCs w:val="18"/>
              </w:rPr>
              <w:t xml:space="preserve">2010. Perubahan ini telah </w:t>
            </w:r>
            <w:proofErr w:type="gramStart"/>
            <w:r w:rsidRPr="00AB65EA">
              <w:rPr>
                <w:rStyle w:val="hps"/>
                <w:sz w:val="18"/>
                <w:szCs w:val="18"/>
              </w:rPr>
              <w:t>dicatat  di</w:t>
            </w:r>
            <w:proofErr w:type="gramEnd"/>
            <w:r w:rsidRPr="00AB65EA">
              <w:rPr>
                <w:rStyle w:val="hps"/>
                <w:sz w:val="18"/>
                <w:szCs w:val="18"/>
              </w:rPr>
              <w:t xml:space="preserve">  dalam  database</w:t>
            </w:r>
            <w:r w:rsidRPr="00AB65EA">
              <w:rPr>
                <w:rStyle w:val="hps"/>
                <w:sz w:val="18"/>
                <w:szCs w:val="18"/>
                <w:lang w:val="id-ID"/>
              </w:rPr>
              <w:t xml:space="preserve"> </w:t>
            </w:r>
            <w:r w:rsidRPr="00AB65EA">
              <w:rPr>
                <w:rStyle w:val="hps"/>
                <w:sz w:val="18"/>
                <w:szCs w:val="18"/>
              </w:rPr>
              <w:t>Sistem Administrasi Badan Hukum Kementerian</w:t>
            </w:r>
            <w:r w:rsidRPr="00AB65EA">
              <w:rPr>
                <w:rStyle w:val="hps"/>
                <w:sz w:val="18"/>
                <w:szCs w:val="18"/>
                <w:lang w:val="id-ID"/>
              </w:rPr>
              <w:t xml:space="preserve"> </w:t>
            </w:r>
            <w:r w:rsidRPr="00AB65EA">
              <w:rPr>
                <w:rStyle w:val="hps"/>
                <w:sz w:val="18"/>
                <w:szCs w:val="18"/>
              </w:rPr>
              <w:t xml:space="preserve">Hukum dan Hak </w:t>
            </w:r>
            <w:r w:rsidR="00923E0C">
              <w:rPr>
                <w:rStyle w:val="hps"/>
                <w:sz w:val="18"/>
                <w:szCs w:val="18"/>
              </w:rPr>
              <w:br/>
            </w:r>
            <w:r w:rsidRPr="00AB65EA">
              <w:rPr>
                <w:rStyle w:val="hps"/>
                <w:sz w:val="18"/>
                <w:szCs w:val="18"/>
              </w:rPr>
              <w:t>Asasi Manusia Republik Indonesia</w:t>
            </w:r>
            <w:r w:rsidRPr="00AB65EA">
              <w:rPr>
                <w:rStyle w:val="hps"/>
                <w:sz w:val="18"/>
                <w:szCs w:val="18"/>
                <w:lang w:val="id-ID"/>
              </w:rPr>
              <w:t xml:space="preserve"> </w:t>
            </w:r>
            <w:r w:rsidRPr="00AB65EA">
              <w:rPr>
                <w:rStyle w:val="hps"/>
                <w:sz w:val="18"/>
                <w:szCs w:val="18"/>
              </w:rPr>
              <w:t xml:space="preserve">dengan </w:t>
            </w:r>
            <w:r w:rsidR="00923E0C">
              <w:rPr>
                <w:rStyle w:val="hps"/>
                <w:sz w:val="18"/>
                <w:szCs w:val="18"/>
              </w:rPr>
              <w:br/>
            </w:r>
            <w:r w:rsidRPr="00AB65EA">
              <w:rPr>
                <w:rStyle w:val="hps"/>
                <w:sz w:val="18"/>
                <w:szCs w:val="18"/>
              </w:rPr>
              <w:t xml:space="preserve">Surat Keputusan No. AHU-AH.01.10-32089 tanggal </w:t>
            </w:r>
            <w:r w:rsidR="00923E0C">
              <w:rPr>
                <w:rStyle w:val="hps"/>
                <w:sz w:val="18"/>
                <w:szCs w:val="18"/>
              </w:rPr>
              <w:br/>
            </w:r>
            <w:r w:rsidRPr="00AB65EA">
              <w:rPr>
                <w:rStyle w:val="hps"/>
                <w:sz w:val="18"/>
                <w:szCs w:val="18"/>
              </w:rPr>
              <w:t>15</w:t>
            </w:r>
            <w:r w:rsidRPr="00AB65EA">
              <w:rPr>
                <w:rStyle w:val="hps"/>
                <w:sz w:val="18"/>
                <w:szCs w:val="18"/>
                <w:lang w:val="id-ID"/>
              </w:rPr>
              <w:t xml:space="preserve"> </w:t>
            </w:r>
            <w:r w:rsidRPr="00AB65EA">
              <w:rPr>
                <w:rStyle w:val="hps"/>
                <w:sz w:val="18"/>
                <w:szCs w:val="18"/>
              </w:rPr>
              <w:t>Desember 2010</w:t>
            </w:r>
            <w:r w:rsidR="00E347DC">
              <w:rPr>
                <w:rStyle w:val="hps"/>
                <w:sz w:val="18"/>
                <w:szCs w:val="18"/>
              </w:rPr>
              <w:t>.</w:t>
            </w:r>
          </w:p>
        </w:tc>
        <w:tc>
          <w:tcPr>
            <w:tcW w:w="4599" w:type="dxa"/>
            <w:shd w:val="clear" w:color="auto" w:fill="auto"/>
          </w:tcPr>
          <w:p w14:paraId="5F06F494" w14:textId="2FE2AD87" w:rsidR="009B0A73" w:rsidRPr="00AB65EA" w:rsidRDefault="009B0A73" w:rsidP="00E347DC">
            <w:pPr>
              <w:ind w:left="567" w:right="-57"/>
              <w:jc w:val="both"/>
              <w:rPr>
                <w:i/>
                <w:sz w:val="18"/>
                <w:szCs w:val="18"/>
              </w:rPr>
            </w:pPr>
            <w:r w:rsidRPr="00AB65EA">
              <w:rPr>
                <w:i/>
                <w:sz w:val="18"/>
                <w:szCs w:val="18"/>
              </w:rPr>
              <w:t xml:space="preserve">Based  on  Notarial  Deed  of  notary  </w:t>
            </w:r>
            <w:r w:rsidR="00BA0C05">
              <w:rPr>
                <w:i/>
                <w:sz w:val="18"/>
                <w:szCs w:val="18"/>
              </w:rPr>
              <w:br/>
            </w:r>
            <w:r w:rsidRPr="00AB65EA">
              <w:rPr>
                <w:i/>
                <w:sz w:val="18"/>
                <w:szCs w:val="18"/>
              </w:rPr>
              <w:t>Buntario Tigris</w:t>
            </w:r>
            <w:r w:rsidR="00E347DC">
              <w:rPr>
                <w:i/>
                <w:sz w:val="18"/>
                <w:szCs w:val="18"/>
              </w:rPr>
              <w:t>,</w:t>
            </w:r>
            <w:r w:rsidRPr="00AB65EA">
              <w:rPr>
                <w:i/>
                <w:sz w:val="18"/>
                <w:szCs w:val="18"/>
              </w:rPr>
              <w:t xml:space="preserve">   S.H.</w:t>
            </w:r>
            <w:r w:rsidR="00E347DC">
              <w:rPr>
                <w:i/>
                <w:sz w:val="18"/>
                <w:szCs w:val="18"/>
              </w:rPr>
              <w:t>,</w:t>
            </w:r>
            <w:r w:rsidRPr="00AB65EA">
              <w:rPr>
                <w:i/>
                <w:sz w:val="18"/>
                <w:szCs w:val="18"/>
              </w:rPr>
              <w:t xml:space="preserve"> S.E.</w:t>
            </w:r>
            <w:r w:rsidR="00E347DC">
              <w:rPr>
                <w:i/>
                <w:sz w:val="18"/>
                <w:szCs w:val="18"/>
              </w:rPr>
              <w:t>,</w:t>
            </w:r>
            <w:r w:rsidRPr="00AB65EA">
              <w:rPr>
                <w:i/>
                <w:sz w:val="18"/>
                <w:szCs w:val="18"/>
              </w:rPr>
              <w:t xml:space="preserve"> M.H.</w:t>
            </w:r>
            <w:r w:rsidR="00E347DC">
              <w:rPr>
                <w:i/>
                <w:sz w:val="18"/>
                <w:szCs w:val="18"/>
              </w:rPr>
              <w:t>,</w:t>
            </w:r>
            <w:r w:rsidRPr="00AB65EA">
              <w:rPr>
                <w:i/>
                <w:sz w:val="18"/>
                <w:szCs w:val="18"/>
              </w:rPr>
              <w:t xml:space="preserve"> No. 218 dated November 30</w:t>
            </w:r>
            <w:r w:rsidR="00E347DC">
              <w:rPr>
                <w:i/>
                <w:sz w:val="18"/>
                <w:szCs w:val="18"/>
              </w:rPr>
              <w:t>,</w:t>
            </w:r>
            <w:r w:rsidRPr="00AB65EA">
              <w:rPr>
                <w:i/>
                <w:sz w:val="18"/>
                <w:szCs w:val="18"/>
              </w:rPr>
              <w:t xml:space="preserve"> 2010</w:t>
            </w:r>
            <w:r w:rsidR="00E347DC">
              <w:rPr>
                <w:i/>
                <w:sz w:val="18"/>
                <w:szCs w:val="18"/>
              </w:rPr>
              <w:t>,</w:t>
            </w:r>
            <w:r w:rsidRPr="00AB65EA">
              <w:rPr>
                <w:i/>
                <w:sz w:val="18"/>
                <w:szCs w:val="18"/>
              </w:rPr>
              <w:t xml:space="preserve"> the Company</w:t>
            </w:r>
            <w:r w:rsidRPr="00AB65EA">
              <w:rPr>
                <w:i/>
                <w:sz w:val="18"/>
                <w:szCs w:val="18"/>
                <w:lang w:val="id-ID"/>
              </w:rPr>
              <w:t xml:space="preserve"> </w:t>
            </w:r>
            <w:r w:rsidRPr="00AB65EA">
              <w:rPr>
                <w:i/>
                <w:sz w:val="18"/>
                <w:szCs w:val="18"/>
              </w:rPr>
              <w:t>3</w:t>
            </w:r>
            <w:r w:rsidR="00E347DC">
              <w:rPr>
                <w:i/>
                <w:sz w:val="18"/>
                <w:szCs w:val="18"/>
              </w:rPr>
              <w:t>,</w:t>
            </w:r>
            <w:r w:rsidRPr="00AB65EA">
              <w:rPr>
                <w:i/>
                <w:sz w:val="18"/>
                <w:szCs w:val="18"/>
              </w:rPr>
              <w:t>163</w:t>
            </w:r>
            <w:r w:rsidR="00E347DC">
              <w:rPr>
                <w:i/>
                <w:sz w:val="18"/>
                <w:szCs w:val="18"/>
              </w:rPr>
              <w:t>,</w:t>
            </w:r>
            <w:r w:rsidRPr="00AB65EA">
              <w:rPr>
                <w:i/>
                <w:sz w:val="18"/>
                <w:szCs w:val="18"/>
              </w:rPr>
              <w:t>475</w:t>
            </w:r>
            <w:r w:rsidR="00E347DC">
              <w:rPr>
                <w:i/>
                <w:sz w:val="18"/>
                <w:szCs w:val="18"/>
              </w:rPr>
              <w:t>,</w:t>
            </w:r>
            <w:r w:rsidRPr="00AB65EA">
              <w:rPr>
                <w:i/>
                <w:sz w:val="18"/>
                <w:szCs w:val="18"/>
              </w:rPr>
              <w:t>017  shares  of  NKM  amounting  to</w:t>
            </w:r>
            <w:r w:rsidRPr="00AB65EA">
              <w:rPr>
                <w:i/>
                <w:sz w:val="18"/>
                <w:szCs w:val="18"/>
                <w:lang w:val="id-ID"/>
              </w:rPr>
              <w:t xml:space="preserve"> </w:t>
            </w:r>
            <w:r w:rsidR="004A1988">
              <w:rPr>
                <w:i/>
                <w:sz w:val="18"/>
                <w:szCs w:val="18"/>
              </w:rPr>
              <w:t>Rp 3</w:t>
            </w:r>
            <w:r w:rsidRPr="00AB65EA">
              <w:rPr>
                <w:i/>
                <w:sz w:val="18"/>
                <w:szCs w:val="18"/>
              </w:rPr>
              <w:t>16</w:t>
            </w:r>
            <w:r w:rsidR="00E347DC">
              <w:rPr>
                <w:i/>
                <w:sz w:val="18"/>
                <w:szCs w:val="18"/>
              </w:rPr>
              <w:t>,</w:t>
            </w:r>
            <w:r w:rsidRPr="00AB65EA">
              <w:rPr>
                <w:i/>
                <w:sz w:val="18"/>
                <w:szCs w:val="18"/>
              </w:rPr>
              <w:t>347</w:t>
            </w:r>
            <w:r w:rsidR="00E347DC">
              <w:rPr>
                <w:i/>
                <w:sz w:val="18"/>
                <w:szCs w:val="18"/>
              </w:rPr>
              <w:t>,</w:t>
            </w:r>
            <w:r w:rsidRPr="00AB65EA">
              <w:rPr>
                <w:i/>
                <w:sz w:val="18"/>
                <w:szCs w:val="18"/>
              </w:rPr>
              <w:t>501</w:t>
            </w:r>
            <w:r w:rsidR="00E347DC">
              <w:rPr>
                <w:i/>
                <w:sz w:val="18"/>
                <w:szCs w:val="18"/>
              </w:rPr>
              <w:t>,</w:t>
            </w:r>
            <w:r w:rsidRPr="00AB65EA">
              <w:rPr>
                <w:i/>
                <w:sz w:val="18"/>
                <w:szCs w:val="18"/>
              </w:rPr>
              <w:t>700 as a result</w:t>
            </w:r>
            <w:r w:rsidR="00870FD0">
              <w:rPr>
                <w:i/>
                <w:sz w:val="18"/>
                <w:szCs w:val="18"/>
              </w:rPr>
              <w:t>.</w:t>
            </w:r>
            <w:r w:rsidRPr="00AB65EA">
              <w:rPr>
                <w:i/>
                <w:sz w:val="18"/>
                <w:szCs w:val="18"/>
              </w:rPr>
              <w:t xml:space="preserve"> </w:t>
            </w:r>
            <w:proofErr w:type="gramStart"/>
            <w:r w:rsidRPr="00AB65EA">
              <w:rPr>
                <w:i/>
                <w:sz w:val="18"/>
                <w:szCs w:val="18"/>
              </w:rPr>
              <w:t>as</w:t>
            </w:r>
            <w:proofErr w:type="gramEnd"/>
            <w:r w:rsidRPr="00AB65EA">
              <w:rPr>
                <w:i/>
                <w:sz w:val="18"/>
                <w:szCs w:val="18"/>
              </w:rPr>
              <w:t xml:space="preserve"> of December</w:t>
            </w:r>
            <w:r w:rsidRPr="00AB65EA">
              <w:rPr>
                <w:i/>
                <w:sz w:val="18"/>
                <w:szCs w:val="18"/>
                <w:lang w:val="id-ID"/>
              </w:rPr>
              <w:t xml:space="preserve"> </w:t>
            </w:r>
            <w:r w:rsidRPr="00AB65EA">
              <w:rPr>
                <w:i/>
                <w:sz w:val="18"/>
                <w:szCs w:val="18"/>
              </w:rPr>
              <w:t>31</w:t>
            </w:r>
            <w:r w:rsidR="00E347DC">
              <w:rPr>
                <w:i/>
                <w:sz w:val="18"/>
                <w:szCs w:val="18"/>
              </w:rPr>
              <w:t>,</w:t>
            </w:r>
            <w:r w:rsidRPr="00AB65EA">
              <w:rPr>
                <w:i/>
                <w:sz w:val="18"/>
                <w:szCs w:val="18"/>
              </w:rPr>
              <w:t xml:space="preserve">  2010</w:t>
            </w:r>
            <w:r w:rsidR="00870FD0">
              <w:rPr>
                <w:i/>
                <w:sz w:val="18"/>
                <w:szCs w:val="18"/>
              </w:rPr>
              <w:t>.</w:t>
            </w:r>
            <w:r w:rsidRPr="00AB65EA">
              <w:rPr>
                <w:i/>
                <w:sz w:val="18"/>
                <w:szCs w:val="18"/>
              </w:rPr>
              <w:t xml:space="preserve">  </w:t>
            </w:r>
            <w:proofErr w:type="gramStart"/>
            <w:r w:rsidRPr="00AB65EA">
              <w:rPr>
                <w:i/>
                <w:sz w:val="18"/>
                <w:szCs w:val="18"/>
              </w:rPr>
              <w:t>the  Company’s</w:t>
            </w:r>
            <w:proofErr w:type="gramEnd"/>
            <w:r w:rsidRPr="00AB65EA">
              <w:rPr>
                <w:i/>
                <w:sz w:val="18"/>
                <w:szCs w:val="18"/>
              </w:rPr>
              <w:t xml:space="preserve">  ownership  in  NKM</w:t>
            </w:r>
            <w:r w:rsidRPr="00AB65EA">
              <w:rPr>
                <w:i/>
                <w:sz w:val="18"/>
                <w:szCs w:val="18"/>
                <w:lang w:val="id-ID"/>
              </w:rPr>
              <w:t xml:space="preserve"> </w:t>
            </w:r>
            <w:r w:rsidRPr="00AB65EA">
              <w:rPr>
                <w:i/>
                <w:sz w:val="18"/>
                <w:szCs w:val="18"/>
              </w:rPr>
              <w:t>became 99.22%. This changed was recorded in</w:t>
            </w:r>
            <w:r w:rsidRPr="00AB65EA">
              <w:rPr>
                <w:i/>
                <w:sz w:val="18"/>
                <w:szCs w:val="18"/>
                <w:lang w:val="id-ID"/>
              </w:rPr>
              <w:t xml:space="preserve"> </w:t>
            </w:r>
            <w:r w:rsidRPr="00AB65EA">
              <w:rPr>
                <w:i/>
                <w:sz w:val="18"/>
                <w:szCs w:val="18"/>
              </w:rPr>
              <w:t>database System Administration Minister of Law and</w:t>
            </w:r>
            <w:r w:rsidRPr="00AB65EA">
              <w:rPr>
                <w:i/>
                <w:sz w:val="18"/>
                <w:szCs w:val="18"/>
                <w:lang w:val="id-ID"/>
              </w:rPr>
              <w:t xml:space="preserve"> </w:t>
            </w:r>
            <w:r w:rsidRPr="00AB65EA">
              <w:rPr>
                <w:i/>
                <w:sz w:val="18"/>
                <w:szCs w:val="18"/>
              </w:rPr>
              <w:t xml:space="preserve">Human Rights of the Republic of Indonesia by   his  </w:t>
            </w:r>
            <w:r w:rsidRPr="00AB65EA">
              <w:rPr>
                <w:i/>
                <w:sz w:val="18"/>
                <w:szCs w:val="18"/>
                <w:lang w:val="id-ID"/>
              </w:rPr>
              <w:t xml:space="preserve"> </w:t>
            </w:r>
            <w:proofErr w:type="gramStart"/>
            <w:r w:rsidRPr="00AB65EA">
              <w:rPr>
                <w:i/>
                <w:sz w:val="18"/>
                <w:szCs w:val="18"/>
              </w:rPr>
              <w:t>Decision  Letter</w:t>
            </w:r>
            <w:proofErr w:type="gramEnd"/>
            <w:r w:rsidRPr="00AB65EA">
              <w:rPr>
                <w:i/>
                <w:sz w:val="18"/>
                <w:szCs w:val="18"/>
              </w:rPr>
              <w:t xml:space="preserve">  </w:t>
            </w:r>
            <w:r w:rsidR="00923E0C">
              <w:rPr>
                <w:i/>
                <w:sz w:val="18"/>
                <w:szCs w:val="18"/>
              </w:rPr>
              <w:br/>
            </w:r>
            <w:r w:rsidRPr="00AB65EA">
              <w:rPr>
                <w:i/>
                <w:sz w:val="18"/>
                <w:szCs w:val="18"/>
              </w:rPr>
              <w:t>No. AHU-AH.01.10-32089 dated December 15</w:t>
            </w:r>
            <w:r w:rsidR="00E347DC">
              <w:rPr>
                <w:i/>
                <w:sz w:val="18"/>
                <w:szCs w:val="18"/>
              </w:rPr>
              <w:t>,</w:t>
            </w:r>
            <w:r w:rsidRPr="00AB65EA">
              <w:rPr>
                <w:i/>
                <w:sz w:val="18"/>
                <w:szCs w:val="18"/>
              </w:rPr>
              <w:t xml:space="preserve"> 2010.</w:t>
            </w:r>
          </w:p>
        </w:tc>
      </w:tr>
      <w:tr w:rsidR="009B0A73" w:rsidRPr="00AB65EA" w14:paraId="4D706F4E" w14:textId="77777777" w:rsidTr="007F7384">
        <w:tc>
          <w:tcPr>
            <w:tcW w:w="4598" w:type="dxa"/>
          </w:tcPr>
          <w:p w14:paraId="77416B4B" w14:textId="503F83AC" w:rsidR="009B0A73" w:rsidRPr="00AB65EA" w:rsidRDefault="009B0A73" w:rsidP="009B0A73">
            <w:pPr>
              <w:ind w:left="567" w:right="-57"/>
              <w:jc w:val="both"/>
              <w:rPr>
                <w:rStyle w:val="hps"/>
                <w:sz w:val="18"/>
                <w:szCs w:val="18"/>
              </w:rPr>
            </w:pPr>
          </w:p>
        </w:tc>
        <w:tc>
          <w:tcPr>
            <w:tcW w:w="4599" w:type="dxa"/>
          </w:tcPr>
          <w:p w14:paraId="23BE0FCA" w14:textId="77F36A3C" w:rsidR="009B0A73" w:rsidRPr="00AB65EA" w:rsidRDefault="009B0A73" w:rsidP="009B0A73">
            <w:pPr>
              <w:ind w:left="567" w:right="-57"/>
              <w:jc w:val="both"/>
              <w:rPr>
                <w:i/>
                <w:sz w:val="18"/>
                <w:szCs w:val="18"/>
              </w:rPr>
            </w:pPr>
          </w:p>
        </w:tc>
      </w:tr>
      <w:tr w:rsidR="009B0A73" w:rsidRPr="005E09EC" w14:paraId="7A51E2BD" w14:textId="77777777" w:rsidTr="007F7384">
        <w:tc>
          <w:tcPr>
            <w:tcW w:w="4598" w:type="dxa"/>
          </w:tcPr>
          <w:p w14:paraId="41FF91F3" w14:textId="4BA3A63D" w:rsidR="009B0A73" w:rsidRPr="00AB65EA" w:rsidRDefault="00877DBC" w:rsidP="00E347DC">
            <w:pPr>
              <w:ind w:left="567" w:right="-57"/>
              <w:jc w:val="both"/>
              <w:rPr>
                <w:rStyle w:val="hps"/>
                <w:sz w:val="18"/>
                <w:szCs w:val="18"/>
              </w:rPr>
            </w:pPr>
            <w:r w:rsidRPr="00AB65EA">
              <w:rPr>
                <w:rStyle w:val="hps"/>
                <w:sz w:val="18"/>
                <w:szCs w:val="18"/>
              </w:rPr>
              <w:t xml:space="preserve">Berdasarkan Akta Notaris dari notaris </w:t>
            </w:r>
            <w:r w:rsidR="000031FF">
              <w:rPr>
                <w:rStyle w:val="hps"/>
                <w:sz w:val="18"/>
                <w:szCs w:val="18"/>
              </w:rPr>
              <w:br/>
            </w:r>
            <w:r w:rsidRPr="00AB65EA">
              <w:rPr>
                <w:rStyle w:val="hps"/>
                <w:sz w:val="18"/>
                <w:szCs w:val="18"/>
              </w:rPr>
              <w:t>Buntario</w:t>
            </w:r>
            <w:r w:rsidRPr="00AB65EA">
              <w:rPr>
                <w:rStyle w:val="hps"/>
                <w:sz w:val="18"/>
                <w:szCs w:val="18"/>
                <w:lang w:val="id-ID"/>
              </w:rPr>
              <w:t xml:space="preserve"> </w:t>
            </w:r>
            <w:r w:rsidRPr="00AB65EA">
              <w:rPr>
                <w:rStyle w:val="hps"/>
                <w:sz w:val="18"/>
                <w:szCs w:val="18"/>
              </w:rPr>
              <w:t>Tigris</w:t>
            </w:r>
            <w:r w:rsidR="00E347DC">
              <w:rPr>
                <w:rStyle w:val="hps"/>
                <w:sz w:val="18"/>
                <w:szCs w:val="18"/>
              </w:rPr>
              <w:t>,</w:t>
            </w:r>
            <w:r w:rsidRPr="00AB65EA">
              <w:rPr>
                <w:rStyle w:val="hps"/>
                <w:sz w:val="18"/>
                <w:szCs w:val="18"/>
              </w:rPr>
              <w:t xml:space="preserve">   S.H.</w:t>
            </w:r>
            <w:r w:rsidR="00E347DC">
              <w:rPr>
                <w:rStyle w:val="hps"/>
                <w:sz w:val="18"/>
                <w:szCs w:val="18"/>
              </w:rPr>
              <w:t>,</w:t>
            </w:r>
            <w:r w:rsidRPr="00AB65EA">
              <w:rPr>
                <w:rStyle w:val="hps"/>
                <w:sz w:val="18"/>
                <w:szCs w:val="18"/>
              </w:rPr>
              <w:t xml:space="preserve"> S.E.</w:t>
            </w:r>
            <w:r w:rsidR="00E347DC">
              <w:rPr>
                <w:rStyle w:val="hps"/>
                <w:sz w:val="18"/>
                <w:szCs w:val="18"/>
              </w:rPr>
              <w:t>,</w:t>
            </w:r>
            <w:r w:rsidRPr="00AB65EA">
              <w:rPr>
                <w:rStyle w:val="hps"/>
                <w:sz w:val="18"/>
                <w:szCs w:val="18"/>
              </w:rPr>
              <w:t xml:space="preserve"> M.H.</w:t>
            </w:r>
            <w:r w:rsidR="00E347DC">
              <w:rPr>
                <w:rStyle w:val="hps"/>
                <w:sz w:val="18"/>
                <w:szCs w:val="18"/>
              </w:rPr>
              <w:t>,</w:t>
            </w:r>
            <w:r w:rsidRPr="00AB65EA">
              <w:rPr>
                <w:rStyle w:val="hps"/>
                <w:sz w:val="18"/>
                <w:szCs w:val="18"/>
              </w:rPr>
              <w:t xml:space="preserve"> No. 166 tanggal</w:t>
            </w:r>
            <w:r w:rsidR="000031FF">
              <w:rPr>
                <w:rStyle w:val="hps"/>
                <w:sz w:val="18"/>
                <w:szCs w:val="18"/>
              </w:rPr>
              <w:br/>
            </w:r>
            <w:r w:rsidRPr="00AB65EA">
              <w:rPr>
                <w:rStyle w:val="hps"/>
                <w:sz w:val="18"/>
                <w:szCs w:val="18"/>
              </w:rPr>
              <w:t>15 April 2011</w:t>
            </w:r>
            <w:r w:rsidR="00870FD0">
              <w:rPr>
                <w:rStyle w:val="hps"/>
                <w:sz w:val="18"/>
                <w:szCs w:val="18"/>
              </w:rPr>
              <w:t>.</w:t>
            </w:r>
            <w:r w:rsidR="000031FF">
              <w:rPr>
                <w:rStyle w:val="hps"/>
                <w:sz w:val="18"/>
                <w:szCs w:val="18"/>
              </w:rPr>
              <w:t xml:space="preserve"> </w:t>
            </w:r>
            <w:r w:rsidRPr="00AB65EA">
              <w:rPr>
                <w:rStyle w:val="hps"/>
                <w:sz w:val="18"/>
                <w:szCs w:val="18"/>
              </w:rPr>
              <w:t>Perusahaan memperoleh</w:t>
            </w:r>
            <w:r w:rsidRPr="00AB65EA">
              <w:rPr>
                <w:rStyle w:val="hps"/>
                <w:sz w:val="18"/>
                <w:szCs w:val="18"/>
                <w:lang w:val="id-ID"/>
              </w:rPr>
              <w:t xml:space="preserve"> </w:t>
            </w:r>
            <w:r w:rsidRPr="00AB65EA">
              <w:rPr>
                <w:rStyle w:val="hps"/>
                <w:sz w:val="18"/>
                <w:szCs w:val="18"/>
              </w:rPr>
              <w:t xml:space="preserve">4.043.249.517 </w:t>
            </w:r>
            <w:r w:rsidR="00351A8D">
              <w:rPr>
                <w:rStyle w:val="hps"/>
                <w:sz w:val="18"/>
                <w:szCs w:val="18"/>
              </w:rPr>
              <w:t xml:space="preserve">lembar </w:t>
            </w:r>
            <w:r w:rsidRPr="00AB65EA">
              <w:rPr>
                <w:rStyle w:val="hps"/>
                <w:sz w:val="18"/>
                <w:szCs w:val="18"/>
              </w:rPr>
              <w:t>saham NKM sebesar</w:t>
            </w:r>
            <w:r w:rsidRPr="00AB65EA">
              <w:rPr>
                <w:rStyle w:val="hps"/>
                <w:sz w:val="18"/>
                <w:szCs w:val="18"/>
                <w:lang w:val="id-ID"/>
              </w:rPr>
              <w:t xml:space="preserve"> </w:t>
            </w:r>
            <w:r w:rsidR="000031FF">
              <w:rPr>
                <w:rStyle w:val="hps"/>
                <w:sz w:val="18"/>
                <w:szCs w:val="18"/>
                <w:lang w:val="id-ID"/>
              </w:rPr>
              <w:br/>
            </w:r>
            <w:r w:rsidRPr="00AB65EA">
              <w:rPr>
                <w:rStyle w:val="hps"/>
                <w:sz w:val="18"/>
                <w:szCs w:val="18"/>
              </w:rPr>
              <w:t>Rp</w:t>
            </w:r>
            <w:r w:rsidR="000031FF">
              <w:rPr>
                <w:rStyle w:val="hps"/>
                <w:sz w:val="18"/>
                <w:szCs w:val="18"/>
              </w:rPr>
              <w:t xml:space="preserve"> </w:t>
            </w:r>
            <w:r w:rsidRPr="00AB65EA">
              <w:rPr>
                <w:rStyle w:val="hps"/>
                <w:sz w:val="18"/>
                <w:szCs w:val="18"/>
              </w:rPr>
              <w:t>404.324.951.700 sehingga kepemilikan Perusahaan</w:t>
            </w:r>
            <w:r w:rsidRPr="00AB65EA">
              <w:rPr>
                <w:rStyle w:val="hps"/>
                <w:sz w:val="18"/>
                <w:szCs w:val="18"/>
                <w:lang w:val="id-ID"/>
              </w:rPr>
              <w:t xml:space="preserve"> </w:t>
            </w:r>
            <w:r w:rsidRPr="00AB65EA">
              <w:rPr>
                <w:rStyle w:val="hps"/>
                <w:sz w:val="18"/>
                <w:szCs w:val="18"/>
              </w:rPr>
              <w:t>di NKM menjadi 99</w:t>
            </w:r>
            <w:proofErr w:type="gramStart"/>
            <w:r w:rsidR="00E347DC">
              <w:rPr>
                <w:rStyle w:val="hps"/>
                <w:sz w:val="18"/>
                <w:szCs w:val="18"/>
              </w:rPr>
              <w:t>,</w:t>
            </w:r>
            <w:r w:rsidRPr="00AB65EA">
              <w:rPr>
                <w:rStyle w:val="hps"/>
                <w:sz w:val="18"/>
                <w:szCs w:val="18"/>
              </w:rPr>
              <w:t>39</w:t>
            </w:r>
            <w:proofErr w:type="gramEnd"/>
            <w:r w:rsidRPr="00AB65EA">
              <w:rPr>
                <w:rStyle w:val="hps"/>
                <w:sz w:val="18"/>
                <w:szCs w:val="18"/>
              </w:rPr>
              <w:t xml:space="preserve">% pada tanggal </w:t>
            </w:r>
            <w:r w:rsidRPr="00AB65EA">
              <w:rPr>
                <w:rStyle w:val="hps"/>
                <w:sz w:val="18"/>
                <w:szCs w:val="18"/>
                <w:lang w:val="id-ID"/>
              </w:rPr>
              <w:br/>
            </w:r>
            <w:r w:rsidRPr="00AB65EA">
              <w:rPr>
                <w:rStyle w:val="hps"/>
                <w:sz w:val="18"/>
                <w:szCs w:val="18"/>
              </w:rPr>
              <w:t>31 Desember</w:t>
            </w:r>
            <w:r w:rsidRPr="00AB65EA">
              <w:rPr>
                <w:rStyle w:val="hps"/>
                <w:sz w:val="18"/>
                <w:szCs w:val="18"/>
                <w:lang w:val="id-ID"/>
              </w:rPr>
              <w:t xml:space="preserve"> </w:t>
            </w:r>
            <w:r w:rsidRPr="00AB65EA">
              <w:rPr>
                <w:rStyle w:val="hps"/>
                <w:sz w:val="18"/>
                <w:szCs w:val="18"/>
              </w:rPr>
              <w:t>2011. Perubahan ini telah disahkan oleh Menteri</w:t>
            </w:r>
            <w:r w:rsidRPr="00AB65EA">
              <w:rPr>
                <w:rStyle w:val="hps"/>
                <w:sz w:val="18"/>
                <w:szCs w:val="18"/>
                <w:lang w:val="id-ID"/>
              </w:rPr>
              <w:t xml:space="preserve"> </w:t>
            </w:r>
            <w:r w:rsidRPr="00AB65EA">
              <w:rPr>
                <w:rStyle w:val="hps"/>
                <w:sz w:val="18"/>
                <w:szCs w:val="18"/>
              </w:rPr>
              <w:t xml:space="preserve">Hukum dan Hak Asasi Manusia </w:t>
            </w:r>
            <w:r w:rsidR="000031FF">
              <w:rPr>
                <w:rStyle w:val="hps"/>
                <w:sz w:val="18"/>
                <w:szCs w:val="18"/>
              </w:rPr>
              <w:br/>
            </w:r>
            <w:r w:rsidRPr="00AB65EA">
              <w:rPr>
                <w:rStyle w:val="hps"/>
                <w:sz w:val="18"/>
                <w:szCs w:val="18"/>
              </w:rPr>
              <w:t>Republik Indonesia</w:t>
            </w:r>
            <w:r w:rsidRPr="00AB65EA">
              <w:rPr>
                <w:rStyle w:val="hps"/>
                <w:sz w:val="18"/>
                <w:szCs w:val="18"/>
                <w:lang w:val="id-ID"/>
              </w:rPr>
              <w:t xml:space="preserve"> </w:t>
            </w:r>
            <w:r w:rsidRPr="00AB65EA">
              <w:rPr>
                <w:rStyle w:val="hps"/>
                <w:sz w:val="18"/>
                <w:szCs w:val="18"/>
              </w:rPr>
              <w:t xml:space="preserve">dengan Surat Keputusan </w:t>
            </w:r>
            <w:r w:rsidR="000031FF">
              <w:rPr>
                <w:rStyle w:val="hps"/>
                <w:sz w:val="18"/>
                <w:szCs w:val="18"/>
              </w:rPr>
              <w:br/>
            </w:r>
            <w:r w:rsidRPr="00AB65EA">
              <w:rPr>
                <w:rStyle w:val="hps"/>
                <w:sz w:val="18"/>
                <w:szCs w:val="18"/>
              </w:rPr>
              <w:t>No. AHU-22600.AH.01.02</w:t>
            </w:r>
            <w:r w:rsidRPr="00AB65EA">
              <w:rPr>
                <w:rStyle w:val="hps"/>
                <w:sz w:val="18"/>
                <w:szCs w:val="18"/>
                <w:lang w:val="id-ID"/>
              </w:rPr>
              <w:t xml:space="preserve"> </w:t>
            </w:r>
            <w:r w:rsidRPr="00AB65EA">
              <w:rPr>
                <w:rStyle w:val="hps"/>
                <w:sz w:val="18"/>
                <w:szCs w:val="18"/>
              </w:rPr>
              <w:t>tanggal 5</w:t>
            </w:r>
            <w:r w:rsidRPr="00AB65EA">
              <w:rPr>
                <w:rStyle w:val="hps"/>
                <w:sz w:val="18"/>
                <w:szCs w:val="18"/>
                <w:lang w:val="id-ID"/>
              </w:rPr>
              <w:t xml:space="preserve"> </w:t>
            </w:r>
            <w:r w:rsidRPr="00AB65EA">
              <w:rPr>
                <w:rStyle w:val="hps"/>
                <w:sz w:val="18"/>
                <w:szCs w:val="18"/>
              </w:rPr>
              <w:t>Mei 2011.</w:t>
            </w:r>
          </w:p>
        </w:tc>
        <w:tc>
          <w:tcPr>
            <w:tcW w:w="4599" w:type="dxa"/>
          </w:tcPr>
          <w:p w14:paraId="048EEE20" w14:textId="291EBC5D" w:rsidR="009B0A73" w:rsidRPr="00AB65EA" w:rsidRDefault="00877DBC" w:rsidP="00E347DC">
            <w:pPr>
              <w:ind w:left="567" w:right="-57"/>
              <w:jc w:val="both"/>
              <w:rPr>
                <w:i/>
                <w:sz w:val="18"/>
                <w:szCs w:val="18"/>
              </w:rPr>
            </w:pPr>
            <w:proofErr w:type="gramStart"/>
            <w:r w:rsidRPr="00AB65EA">
              <w:rPr>
                <w:i/>
                <w:sz w:val="18"/>
                <w:szCs w:val="18"/>
              </w:rPr>
              <w:t>Based  on</w:t>
            </w:r>
            <w:proofErr w:type="gramEnd"/>
            <w:r w:rsidRPr="00AB65EA">
              <w:rPr>
                <w:i/>
                <w:sz w:val="18"/>
                <w:szCs w:val="18"/>
              </w:rPr>
              <w:t xml:space="preserve">  Notarial  Deed  of  notary  </w:t>
            </w:r>
            <w:r w:rsidR="00FC4E50">
              <w:rPr>
                <w:i/>
                <w:sz w:val="18"/>
                <w:szCs w:val="18"/>
              </w:rPr>
              <w:br/>
            </w:r>
            <w:r w:rsidRPr="00AB65EA">
              <w:rPr>
                <w:i/>
                <w:sz w:val="18"/>
                <w:szCs w:val="18"/>
              </w:rPr>
              <w:t>Buntario Tigris</w:t>
            </w:r>
            <w:r w:rsidR="00E347DC">
              <w:rPr>
                <w:i/>
                <w:sz w:val="18"/>
                <w:szCs w:val="18"/>
              </w:rPr>
              <w:t>,</w:t>
            </w:r>
            <w:r w:rsidRPr="00AB65EA">
              <w:rPr>
                <w:i/>
                <w:sz w:val="18"/>
                <w:szCs w:val="18"/>
              </w:rPr>
              <w:t xml:space="preserve">   S.H.</w:t>
            </w:r>
            <w:r w:rsidR="00E347DC">
              <w:rPr>
                <w:i/>
                <w:sz w:val="18"/>
                <w:szCs w:val="18"/>
              </w:rPr>
              <w:t xml:space="preserve">, </w:t>
            </w:r>
            <w:r w:rsidRPr="00AB65EA">
              <w:rPr>
                <w:i/>
                <w:sz w:val="18"/>
                <w:szCs w:val="18"/>
              </w:rPr>
              <w:t>S.E.</w:t>
            </w:r>
            <w:r w:rsidR="00E347DC">
              <w:rPr>
                <w:i/>
                <w:sz w:val="18"/>
                <w:szCs w:val="18"/>
              </w:rPr>
              <w:t>,</w:t>
            </w:r>
            <w:r w:rsidRPr="00AB65EA">
              <w:rPr>
                <w:i/>
                <w:sz w:val="18"/>
                <w:szCs w:val="18"/>
              </w:rPr>
              <w:t xml:space="preserve"> M.H.</w:t>
            </w:r>
            <w:r w:rsidR="00E347DC">
              <w:rPr>
                <w:i/>
                <w:sz w:val="18"/>
                <w:szCs w:val="18"/>
              </w:rPr>
              <w:t>,</w:t>
            </w:r>
            <w:r w:rsidRPr="00AB65EA">
              <w:rPr>
                <w:i/>
                <w:sz w:val="18"/>
                <w:szCs w:val="18"/>
              </w:rPr>
              <w:t xml:space="preserve"> No. 166   dated April</w:t>
            </w:r>
            <w:r w:rsidRPr="00AB65EA">
              <w:rPr>
                <w:i/>
                <w:sz w:val="18"/>
                <w:szCs w:val="18"/>
                <w:lang w:val="id-ID"/>
              </w:rPr>
              <w:t xml:space="preserve"> </w:t>
            </w:r>
            <w:r w:rsidRPr="00AB65EA">
              <w:rPr>
                <w:i/>
                <w:sz w:val="18"/>
                <w:szCs w:val="18"/>
              </w:rPr>
              <w:t>15</w:t>
            </w:r>
            <w:r w:rsidR="00E347DC">
              <w:rPr>
                <w:i/>
                <w:sz w:val="18"/>
                <w:szCs w:val="18"/>
              </w:rPr>
              <w:t>,</w:t>
            </w:r>
            <w:r w:rsidRPr="00AB65EA">
              <w:rPr>
                <w:i/>
                <w:sz w:val="18"/>
                <w:szCs w:val="18"/>
                <w:lang w:val="id-ID"/>
              </w:rPr>
              <w:t xml:space="preserve"> </w:t>
            </w:r>
            <w:r w:rsidRPr="00AB65EA">
              <w:rPr>
                <w:i/>
                <w:sz w:val="18"/>
                <w:szCs w:val="18"/>
              </w:rPr>
              <w:t>2011</w:t>
            </w:r>
            <w:r w:rsidR="00870FD0">
              <w:rPr>
                <w:i/>
                <w:sz w:val="18"/>
                <w:szCs w:val="18"/>
              </w:rPr>
              <w:t>.</w:t>
            </w:r>
            <w:r w:rsidRPr="00AB65EA">
              <w:rPr>
                <w:i/>
                <w:sz w:val="18"/>
                <w:szCs w:val="18"/>
              </w:rPr>
              <w:t xml:space="preserve"> </w:t>
            </w:r>
            <w:proofErr w:type="gramStart"/>
            <w:r w:rsidRPr="00AB65EA">
              <w:rPr>
                <w:i/>
                <w:sz w:val="18"/>
                <w:szCs w:val="18"/>
              </w:rPr>
              <w:t>the</w:t>
            </w:r>
            <w:proofErr w:type="gramEnd"/>
            <w:r w:rsidRPr="00AB65EA">
              <w:rPr>
                <w:i/>
                <w:sz w:val="18"/>
                <w:szCs w:val="18"/>
              </w:rPr>
              <w:t xml:space="preserve"> Company acquired</w:t>
            </w:r>
            <w:r w:rsidRPr="00AB65EA">
              <w:rPr>
                <w:i/>
                <w:sz w:val="18"/>
                <w:szCs w:val="18"/>
                <w:lang w:val="id-ID"/>
              </w:rPr>
              <w:t xml:space="preserve"> </w:t>
            </w:r>
            <w:r w:rsidRPr="00AB65EA">
              <w:rPr>
                <w:i/>
                <w:sz w:val="18"/>
                <w:szCs w:val="18"/>
              </w:rPr>
              <w:t>4</w:t>
            </w:r>
            <w:r w:rsidR="00E347DC">
              <w:rPr>
                <w:i/>
                <w:sz w:val="18"/>
                <w:szCs w:val="18"/>
              </w:rPr>
              <w:t>,</w:t>
            </w:r>
            <w:r w:rsidRPr="00AB65EA">
              <w:rPr>
                <w:i/>
                <w:sz w:val="18"/>
                <w:szCs w:val="18"/>
              </w:rPr>
              <w:t>043</w:t>
            </w:r>
            <w:r w:rsidR="00E347DC">
              <w:rPr>
                <w:i/>
                <w:sz w:val="18"/>
                <w:szCs w:val="18"/>
              </w:rPr>
              <w:t>,</w:t>
            </w:r>
            <w:r w:rsidRPr="00AB65EA">
              <w:rPr>
                <w:i/>
                <w:sz w:val="18"/>
                <w:szCs w:val="18"/>
              </w:rPr>
              <w:t>249</w:t>
            </w:r>
            <w:r w:rsidR="00E347DC">
              <w:rPr>
                <w:i/>
                <w:sz w:val="18"/>
                <w:szCs w:val="18"/>
              </w:rPr>
              <w:t>,</w:t>
            </w:r>
            <w:r w:rsidRPr="00AB65EA">
              <w:rPr>
                <w:i/>
                <w:sz w:val="18"/>
                <w:szCs w:val="18"/>
              </w:rPr>
              <w:t>517  shares  of  NKM  amounting  to</w:t>
            </w:r>
            <w:r w:rsidRPr="00AB65EA">
              <w:rPr>
                <w:i/>
                <w:sz w:val="18"/>
                <w:szCs w:val="18"/>
                <w:lang w:val="id-ID"/>
              </w:rPr>
              <w:t xml:space="preserve"> </w:t>
            </w:r>
            <w:r w:rsidRPr="00AB65EA">
              <w:rPr>
                <w:i/>
                <w:sz w:val="18"/>
                <w:szCs w:val="18"/>
              </w:rPr>
              <w:t>Rp</w:t>
            </w:r>
            <w:r w:rsidR="00FC4E50">
              <w:rPr>
                <w:i/>
                <w:sz w:val="18"/>
                <w:szCs w:val="18"/>
              </w:rPr>
              <w:t xml:space="preserve"> </w:t>
            </w:r>
            <w:r w:rsidRPr="00AB65EA">
              <w:rPr>
                <w:i/>
                <w:sz w:val="18"/>
                <w:szCs w:val="18"/>
              </w:rPr>
              <w:t>404</w:t>
            </w:r>
            <w:r w:rsidR="00E347DC">
              <w:rPr>
                <w:i/>
                <w:sz w:val="18"/>
                <w:szCs w:val="18"/>
              </w:rPr>
              <w:t>,</w:t>
            </w:r>
            <w:r w:rsidRPr="00AB65EA">
              <w:rPr>
                <w:i/>
                <w:sz w:val="18"/>
                <w:szCs w:val="18"/>
              </w:rPr>
              <w:t>324</w:t>
            </w:r>
            <w:r w:rsidR="00E347DC">
              <w:rPr>
                <w:i/>
                <w:sz w:val="18"/>
                <w:szCs w:val="18"/>
              </w:rPr>
              <w:t>,</w:t>
            </w:r>
            <w:r w:rsidRPr="00AB65EA">
              <w:rPr>
                <w:i/>
                <w:sz w:val="18"/>
                <w:szCs w:val="18"/>
              </w:rPr>
              <w:t>951</w:t>
            </w:r>
            <w:r w:rsidR="00E347DC">
              <w:rPr>
                <w:i/>
                <w:sz w:val="18"/>
                <w:szCs w:val="18"/>
              </w:rPr>
              <w:t>,</w:t>
            </w:r>
            <w:r w:rsidRPr="00AB65EA">
              <w:rPr>
                <w:i/>
                <w:sz w:val="18"/>
                <w:szCs w:val="18"/>
              </w:rPr>
              <w:t>700 as a result</w:t>
            </w:r>
            <w:r w:rsidR="00870FD0">
              <w:rPr>
                <w:i/>
                <w:sz w:val="18"/>
                <w:szCs w:val="18"/>
              </w:rPr>
              <w:t>.</w:t>
            </w:r>
            <w:r w:rsidRPr="00AB65EA">
              <w:rPr>
                <w:i/>
                <w:sz w:val="18"/>
                <w:szCs w:val="18"/>
              </w:rPr>
              <w:t xml:space="preserve"> </w:t>
            </w:r>
            <w:proofErr w:type="gramStart"/>
            <w:r w:rsidRPr="00AB65EA">
              <w:rPr>
                <w:i/>
                <w:sz w:val="18"/>
                <w:szCs w:val="18"/>
              </w:rPr>
              <w:t>as</w:t>
            </w:r>
            <w:proofErr w:type="gramEnd"/>
            <w:r w:rsidRPr="00AB65EA">
              <w:rPr>
                <w:i/>
                <w:sz w:val="18"/>
                <w:szCs w:val="18"/>
              </w:rPr>
              <w:t xml:space="preserve"> of December</w:t>
            </w:r>
            <w:r w:rsidRPr="00AB65EA">
              <w:rPr>
                <w:i/>
                <w:sz w:val="18"/>
                <w:szCs w:val="18"/>
                <w:lang w:val="id-ID"/>
              </w:rPr>
              <w:t xml:space="preserve"> </w:t>
            </w:r>
            <w:r w:rsidRPr="00AB65EA">
              <w:rPr>
                <w:i/>
                <w:sz w:val="18"/>
                <w:szCs w:val="18"/>
              </w:rPr>
              <w:t>31</w:t>
            </w:r>
            <w:r w:rsidR="00E347DC">
              <w:rPr>
                <w:i/>
                <w:sz w:val="18"/>
                <w:szCs w:val="18"/>
              </w:rPr>
              <w:t>,</w:t>
            </w:r>
            <w:r w:rsidRPr="00AB65EA">
              <w:rPr>
                <w:i/>
                <w:sz w:val="18"/>
                <w:szCs w:val="18"/>
              </w:rPr>
              <w:t xml:space="preserve"> 2011</w:t>
            </w:r>
            <w:r w:rsidR="00E347DC">
              <w:rPr>
                <w:i/>
                <w:sz w:val="18"/>
                <w:szCs w:val="18"/>
              </w:rPr>
              <w:t>,</w:t>
            </w:r>
            <w:r w:rsidRPr="00AB65EA">
              <w:rPr>
                <w:i/>
                <w:sz w:val="18"/>
                <w:szCs w:val="18"/>
              </w:rPr>
              <w:t xml:space="preserve"> the Company’s ownership in NKM became</w:t>
            </w:r>
            <w:r w:rsidRPr="00AB65EA">
              <w:rPr>
                <w:i/>
                <w:sz w:val="18"/>
                <w:szCs w:val="18"/>
                <w:lang w:val="id-ID"/>
              </w:rPr>
              <w:t xml:space="preserve"> </w:t>
            </w:r>
            <w:r w:rsidRPr="00AB65EA">
              <w:rPr>
                <w:i/>
                <w:sz w:val="18"/>
                <w:szCs w:val="18"/>
              </w:rPr>
              <w:t>99.39%. This changed was approved by the Minister of</w:t>
            </w:r>
            <w:r w:rsidRPr="00AB65EA">
              <w:rPr>
                <w:i/>
                <w:sz w:val="18"/>
                <w:szCs w:val="18"/>
                <w:lang w:val="id-ID"/>
              </w:rPr>
              <w:t xml:space="preserve"> </w:t>
            </w:r>
            <w:r w:rsidRPr="00AB65EA">
              <w:rPr>
                <w:i/>
                <w:sz w:val="18"/>
                <w:szCs w:val="18"/>
              </w:rPr>
              <w:t xml:space="preserve">Law and Human Rights of the </w:t>
            </w:r>
            <w:proofErr w:type="gramStart"/>
            <w:r w:rsidRPr="00AB65EA">
              <w:rPr>
                <w:i/>
                <w:sz w:val="18"/>
                <w:szCs w:val="18"/>
              </w:rPr>
              <w:t>Republic  of</w:t>
            </w:r>
            <w:proofErr w:type="gramEnd"/>
            <w:r w:rsidRPr="00AB65EA">
              <w:rPr>
                <w:i/>
                <w:sz w:val="18"/>
                <w:szCs w:val="18"/>
              </w:rPr>
              <w:t xml:space="preserve">  Indonesia </w:t>
            </w:r>
            <w:r w:rsidRPr="00AB65EA">
              <w:rPr>
                <w:i/>
                <w:sz w:val="18"/>
                <w:szCs w:val="18"/>
                <w:lang w:val="id-ID"/>
              </w:rPr>
              <w:t xml:space="preserve"> </w:t>
            </w:r>
            <w:r w:rsidRPr="00AB65EA">
              <w:rPr>
                <w:i/>
                <w:sz w:val="18"/>
                <w:szCs w:val="18"/>
              </w:rPr>
              <w:t>by  his  Decision  Letter No. AHU-22600.AH.01.02</w:t>
            </w:r>
            <w:r w:rsidRPr="00AB65EA">
              <w:rPr>
                <w:i/>
                <w:sz w:val="18"/>
                <w:szCs w:val="18"/>
                <w:lang w:val="id-ID"/>
              </w:rPr>
              <w:t xml:space="preserve"> </w:t>
            </w:r>
            <w:r w:rsidRPr="00AB65EA">
              <w:rPr>
                <w:i/>
                <w:sz w:val="18"/>
                <w:szCs w:val="18"/>
              </w:rPr>
              <w:t>dated May 5</w:t>
            </w:r>
            <w:r w:rsidR="00E347DC">
              <w:rPr>
                <w:i/>
                <w:sz w:val="18"/>
                <w:szCs w:val="18"/>
              </w:rPr>
              <w:t>,</w:t>
            </w:r>
            <w:r w:rsidRPr="00AB65EA">
              <w:rPr>
                <w:i/>
                <w:sz w:val="18"/>
                <w:szCs w:val="18"/>
              </w:rPr>
              <w:t xml:space="preserve"> 2011.</w:t>
            </w:r>
          </w:p>
        </w:tc>
      </w:tr>
      <w:tr w:rsidR="009B0A73" w:rsidRPr="005E09EC" w14:paraId="55AB734D" w14:textId="77777777" w:rsidTr="007F7384">
        <w:tc>
          <w:tcPr>
            <w:tcW w:w="4598" w:type="dxa"/>
          </w:tcPr>
          <w:p w14:paraId="327477CE" w14:textId="77777777" w:rsidR="009B0A73" w:rsidRPr="005E09EC" w:rsidRDefault="009B0A73" w:rsidP="009B0A73">
            <w:pPr>
              <w:ind w:left="567" w:right="-57"/>
              <w:jc w:val="both"/>
              <w:rPr>
                <w:rStyle w:val="hps"/>
                <w:sz w:val="18"/>
                <w:szCs w:val="18"/>
                <w:highlight w:val="red"/>
              </w:rPr>
            </w:pPr>
          </w:p>
        </w:tc>
        <w:tc>
          <w:tcPr>
            <w:tcW w:w="4599" w:type="dxa"/>
          </w:tcPr>
          <w:p w14:paraId="3924D927" w14:textId="77777777" w:rsidR="009B0A73" w:rsidRPr="005E09EC" w:rsidRDefault="009B0A73" w:rsidP="009B0A73">
            <w:pPr>
              <w:ind w:left="567" w:right="-57"/>
              <w:jc w:val="both"/>
              <w:rPr>
                <w:i/>
                <w:sz w:val="18"/>
                <w:szCs w:val="18"/>
                <w:highlight w:val="red"/>
              </w:rPr>
            </w:pPr>
          </w:p>
        </w:tc>
      </w:tr>
      <w:tr w:rsidR="009B0A73" w:rsidRPr="009B0A73" w14:paraId="7F40094F" w14:textId="77777777" w:rsidTr="007F7384">
        <w:tc>
          <w:tcPr>
            <w:tcW w:w="4598" w:type="dxa"/>
          </w:tcPr>
          <w:p w14:paraId="2D732B6A" w14:textId="68A68321" w:rsidR="009B0A73" w:rsidRPr="00B16CD5" w:rsidRDefault="00877DBC" w:rsidP="00E347DC">
            <w:pPr>
              <w:ind w:left="567" w:right="-57"/>
              <w:jc w:val="both"/>
              <w:rPr>
                <w:rStyle w:val="hps"/>
                <w:sz w:val="18"/>
                <w:szCs w:val="18"/>
              </w:rPr>
            </w:pPr>
            <w:r w:rsidRPr="00B16CD5">
              <w:rPr>
                <w:rStyle w:val="hps"/>
                <w:sz w:val="18"/>
                <w:szCs w:val="18"/>
              </w:rPr>
              <w:t xml:space="preserve">Berdasarkan Akta Notaris dari notaris </w:t>
            </w:r>
            <w:r w:rsidR="00530222">
              <w:rPr>
                <w:rStyle w:val="hps"/>
                <w:sz w:val="18"/>
                <w:szCs w:val="18"/>
              </w:rPr>
              <w:br/>
            </w:r>
            <w:r w:rsidRPr="00B16CD5">
              <w:rPr>
                <w:rStyle w:val="hps"/>
                <w:sz w:val="18"/>
                <w:szCs w:val="18"/>
              </w:rPr>
              <w:t>Buntario</w:t>
            </w:r>
            <w:r w:rsidRPr="00B16CD5">
              <w:rPr>
                <w:rStyle w:val="hps"/>
                <w:sz w:val="18"/>
                <w:szCs w:val="18"/>
                <w:lang w:val="id-ID"/>
              </w:rPr>
              <w:t xml:space="preserve"> </w:t>
            </w:r>
            <w:r w:rsidRPr="00B16CD5">
              <w:rPr>
                <w:rStyle w:val="hps"/>
                <w:sz w:val="18"/>
                <w:szCs w:val="18"/>
              </w:rPr>
              <w:t>Tigris</w:t>
            </w:r>
            <w:r w:rsidR="00E347DC">
              <w:rPr>
                <w:rStyle w:val="hps"/>
                <w:sz w:val="18"/>
                <w:szCs w:val="18"/>
              </w:rPr>
              <w:t>,</w:t>
            </w:r>
            <w:r w:rsidRPr="00B16CD5">
              <w:rPr>
                <w:rStyle w:val="hps"/>
                <w:sz w:val="18"/>
                <w:szCs w:val="18"/>
              </w:rPr>
              <w:t xml:space="preserve">   S.H.</w:t>
            </w:r>
            <w:r w:rsidR="00E347DC">
              <w:rPr>
                <w:rStyle w:val="hps"/>
                <w:sz w:val="18"/>
                <w:szCs w:val="18"/>
              </w:rPr>
              <w:t>,</w:t>
            </w:r>
            <w:r w:rsidRPr="00B16CD5">
              <w:rPr>
                <w:rStyle w:val="hps"/>
                <w:sz w:val="18"/>
                <w:szCs w:val="18"/>
              </w:rPr>
              <w:t xml:space="preserve"> S.E.</w:t>
            </w:r>
            <w:r w:rsidR="00E347DC">
              <w:rPr>
                <w:rStyle w:val="hps"/>
                <w:sz w:val="18"/>
                <w:szCs w:val="18"/>
              </w:rPr>
              <w:t>,</w:t>
            </w:r>
            <w:r w:rsidRPr="00B16CD5">
              <w:rPr>
                <w:rStyle w:val="hps"/>
                <w:sz w:val="18"/>
                <w:szCs w:val="18"/>
              </w:rPr>
              <w:t xml:space="preserve"> M.H.</w:t>
            </w:r>
            <w:r w:rsidR="00E347DC">
              <w:rPr>
                <w:rStyle w:val="hps"/>
                <w:sz w:val="18"/>
                <w:szCs w:val="18"/>
              </w:rPr>
              <w:t>,</w:t>
            </w:r>
            <w:r w:rsidRPr="00B16CD5">
              <w:rPr>
                <w:rStyle w:val="hps"/>
                <w:sz w:val="18"/>
                <w:szCs w:val="18"/>
              </w:rPr>
              <w:t xml:space="preserve"> No. 120 tanggal</w:t>
            </w:r>
            <w:r w:rsidRPr="00B16CD5">
              <w:rPr>
                <w:rStyle w:val="hps"/>
                <w:sz w:val="18"/>
                <w:szCs w:val="18"/>
                <w:lang w:val="id-ID"/>
              </w:rPr>
              <w:t xml:space="preserve"> </w:t>
            </w:r>
            <w:r w:rsidR="00530222">
              <w:rPr>
                <w:rStyle w:val="hps"/>
                <w:sz w:val="18"/>
                <w:szCs w:val="18"/>
                <w:lang w:val="id-ID"/>
              </w:rPr>
              <w:br/>
            </w:r>
            <w:r w:rsidRPr="00B16CD5">
              <w:rPr>
                <w:rStyle w:val="hps"/>
                <w:sz w:val="18"/>
                <w:szCs w:val="18"/>
              </w:rPr>
              <w:t>13 Juni 2014</w:t>
            </w:r>
            <w:r w:rsidR="00E347DC">
              <w:rPr>
                <w:rStyle w:val="hps"/>
                <w:sz w:val="18"/>
                <w:szCs w:val="18"/>
              </w:rPr>
              <w:t>,</w:t>
            </w:r>
            <w:r w:rsidRPr="00B16CD5">
              <w:rPr>
                <w:rStyle w:val="hps"/>
                <w:sz w:val="18"/>
                <w:szCs w:val="18"/>
              </w:rPr>
              <w:t xml:space="preserve"> Perusahaan memperoleh </w:t>
            </w:r>
            <w:r w:rsidR="00530222">
              <w:rPr>
                <w:rStyle w:val="hps"/>
                <w:sz w:val="18"/>
                <w:szCs w:val="18"/>
              </w:rPr>
              <w:br/>
            </w:r>
            <w:r w:rsidRPr="00B16CD5">
              <w:rPr>
                <w:rStyle w:val="hps"/>
                <w:sz w:val="18"/>
                <w:szCs w:val="18"/>
              </w:rPr>
              <w:t>modal</w:t>
            </w:r>
            <w:r w:rsidRPr="00B16CD5">
              <w:rPr>
                <w:rStyle w:val="hps"/>
                <w:sz w:val="18"/>
                <w:szCs w:val="18"/>
                <w:lang w:val="id-ID"/>
              </w:rPr>
              <w:t xml:space="preserve"> </w:t>
            </w:r>
            <w:r w:rsidRPr="00B16CD5">
              <w:rPr>
                <w:rStyle w:val="hps"/>
                <w:sz w:val="18"/>
                <w:szCs w:val="18"/>
              </w:rPr>
              <w:t>5.868.881.516</w:t>
            </w:r>
            <w:r w:rsidR="00530222">
              <w:rPr>
                <w:rStyle w:val="hps"/>
                <w:sz w:val="18"/>
                <w:szCs w:val="18"/>
              </w:rPr>
              <w:t xml:space="preserve"> </w:t>
            </w:r>
            <w:r w:rsidR="00351A8D">
              <w:rPr>
                <w:rStyle w:val="hps"/>
                <w:sz w:val="18"/>
                <w:szCs w:val="18"/>
              </w:rPr>
              <w:t xml:space="preserve">lembar </w:t>
            </w:r>
            <w:r w:rsidRPr="00B16CD5">
              <w:rPr>
                <w:rStyle w:val="hps"/>
                <w:sz w:val="18"/>
                <w:szCs w:val="18"/>
              </w:rPr>
              <w:t>saham</w:t>
            </w:r>
            <w:r w:rsidR="00530222">
              <w:rPr>
                <w:rStyle w:val="hps"/>
                <w:sz w:val="18"/>
                <w:szCs w:val="18"/>
              </w:rPr>
              <w:t xml:space="preserve"> </w:t>
            </w:r>
            <w:r w:rsidRPr="00B16CD5">
              <w:rPr>
                <w:rStyle w:val="hps"/>
                <w:sz w:val="18"/>
                <w:szCs w:val="18"/>
              </w:rPr>
              <w:t>NKM sebesar</w:t>
            </w:r>
            <w:r w:rsidRPr="00B16CD5">
              <w:rPr>
                <w:rStyle w:val="hps"/>
                <w:sz w:val="18"/>
                <w:szCs w:val="18"/>
                <w:lang w:val="id-ID"/>
              </w:rPr>
              <w:t xml:space="preserve"> </w:t>
            </w:r>
            <w:r w:rsidR="00530222">
              <w:rPr>
                <w:rStyle w:val="hps"/>
                <w:sz w:val="18"/>
                <w:szCs w:val="18"/>
                <w:lang w:val="id-ID"/>
              </w:rPr>
              <w:br/>
            </w:r>
            <w:r w:rsidRPr="00B16CD5">
              <w:rPr>
                <w:rStyle w:val="hps"/>
                <w:sz w:val="18"/>
                <w:szCs w:val="18"/>
              </w:rPr>
              <w:t>Rp</w:t>
            </w:r>
            <w:r w:rsidR="00530222">
              <w:rPr>
                <w:rStyle w:val="hps"/>
                <w:sz w:val="18"/>
                <w:szCs w:val="18"/>
              </w:rPr>
              <w:t xml:space="preserve"> </w:t>
            </w:r>
            <w:r w:rsidRPr="00B16CD5">
              <w:rPr>
                <w:rStyle w:val="hps"/>
                <w:sz w:val="18"/>
                <w:szCs w:val="18"/>
              </w:rPr>
              <w:t>586.888.151.600 sehingga kepemilikan Perusahaan</w:t>
            </w:r>
            <w:r w:rsidRPr="00B16CD5">
              <w:rPr>
                <w:rStyle w:val="hps"/>
                <w:sz w:val="18"/>
                <w:szCs w:val="18"/>
                <w:lang w:val="id-ID"/>
              </w:rPr>
              <w:t xml:space="preserve"> </w:t>
            </w:r>
            <w:r w:rsidRPr="00B16CD5">
              <w:rPr>
                <w:rStyle w:val="hps"/>
                <w:sz w:val="18"/>
                <w:szCs w:val="18"/>
              </w:rPr>
              <w:t>di NKM menjadi 99</w:t>
            </w:r>
            <w:r w:rsidR="00870FD0">
              <w:rPr>
                <w:rStyle w:val="hps"/>
                <w:sz w:val="18"/>
                <w:szCs w:val="18"/>
              </w:rPr>
              <w:t>.</w:t>
            </w:r>
            <w:r w:rsidRPr="00B16CD5">
              <w:rPr>
                <w:rStyle w:val="hps"/>
                <w:sz w:val="18"/>
                <w:szCs w:val="18"/>
              </w:rPr>
              <w:t>58% pada tanggal</w:t>
            </w:r>
            <w:r w:rsidR="00530222">
              <w:rPr>
                <w:rStyle w:val="hps"/>
                <w:sz w:val="18"/>
                <w:szCs w:val="18"/>
              </w:rPr>
              <w:br/>
            </w:r>
            <w:r w:rsidRPr="00B16CD5">
              <w:rPr>
                <w:rStyle w:val="hps"/>
                <w:sz w:val="18"/>
                <w:szCs w:val="18"/>
              </w:rPr>
              <w:t>31 Desember</w:t>
            </w:r>
            <w:r w:rsidRPr="00B16CD5">
              <w:rPr>
                <w:rStyle w:val="hps"/>
                <w:sz w:val="18"/>
                <w:szCs w:val="18"/>
                <w:lang w:val="id-ID"/>
              </w:rPr>
              <w:t xml:space="preserve"> </w:t>
            </w:r>
            <w:r w:rsidRPr="00B16CD5">
              <w:rPr>
                <w:rStyle w:val="hps"/>
                <w:sz w:val="18"/>
                <w:szCs w:val="18"/>
              </w:rPr>
              <w:t>2014. Perubahan ini telah dicatat di dalam database</w:t>
            </w:r>
            <w:r w:rsidRPr="00B16CD5">
              <w:rPr>
                <w:rStyle w:val="hps"/>
                <w:sz w:val="18"/>
                <w:szCs w:val="18"/>
                <w:lang w:val="id-ID"/>
              </w:rPr>
              <w:t xml:space="preserve"> </w:t>
            </w:r>
            <w:r w:rsidRPr="00B16CD5">
              <w:rPr>
                <w:rStyle w:val="hps"/>
                <w:sz w:val="18"/>
                <w:szCs w:val="18"/>
              </w:rPr>
              <w:t>Sistem Administrasi Badan Hukum Kementerian</w:t>
            </w:r>
            <w:r w:rsidRPr="00B16CD5">
              <w:rPr>
                <w:rStyle w:val="hps"/>
                <w:sz w:val="18"/>
                <w:szCs w:val="18"/>
                <w:lang w:val="id-ID"/>
              </w:rPr>
              <w:t xml:space="preserve"> </w:t>
            </w:r>
            <w:r w:rsidRPr="00B16CD5">
              <w:rPr>
                <w:rStyle w:val="hps"/>
                <w:sz w:val="18"/>
                <w:szCs w:val="18"/>
              </w:rPr>
              <w:t>Hukum dan Hak Asasi Manusia Republik Indonesia</w:t>
            </w:r>
            <w:r w:rsidRPr="00B16CD5">
              <w:rPr>
                <w:rStyle w:val="hps"/>
                <w:sz w:val="18"/>
                <w:szCs w:val="18"/>
                <w:lang w:val="id-ID"/>
              </w:rPr>
              <w:t xml:space="preserve"> </w:t>
            </w:r>
            <w:r w:rsidRPr="00B16CD5">
              <w:rPr>
                <w:rStyle w:val="hps"/>
                <w:sz w:val="18"/>
                <w:szCs w:val="18"/>
              </w:rPr>
              <w:t xml:space="preserve">dengan Surat Keputusan </w:t>
            </w:r>
            <w:r w:rsidRPr="00B16CD5">
              <w:rPr>
                <w:rStyle w:val="hps"/>
                <w:sz w:val="18"/>
                <w:szCs w:val="18"/>
                <w:lang w:val="id-ID"/>
              </w:rPr>
              <w:br/>
            </w:r>
            <w:r w:rsidRPr="00B16CD5">
              <w:rPr>
                <w:rStyle w:val="hps"/>
                <w:sz w:val="18"/>
                <w:szCs w:val="18"/>
              </w:rPr>
              <w:t>No. AHU-03773.40.21</w:t>
            </w:r>
            <w:r w:rsidRPr="00B16CD5">
              <w:rPr>
                <w:rStyle w:val="hps"/>
                <w:sz w:val="18"/>
                <w:szCs w:val="18"/>
                <w:lang w:val="id-ID"/>
              </w:rPr>
              <w:t xml:space="preserve"> </w:t>
            </w:r>
            <w:r w:rsidRPr="00B16CD5">
              <w:rPr>
                <w:rStyle w:val="hps"/>
                <w:sz w:val="18"/>
                <w:szCs w:val="18"/>
              </w:rPr>
              <w:t>tanggal 4 Juli</w:t>
            </w:r>
            <w:r w:rsidRPr="00B16CD5">
              <w:rPr>
                <w:rStyle w:val="hps"/>
                <w:sz w:val="18"/>
                <w:szCs w:val="18"/>
                <w:lang w:val="id-ID"/>
              </w:rPr>
              <w:t xml:space="preserve"> </w:t>
            </w:r>
            <w:r w:rsidRPr="00B16CD5">
              <w:rPr>
                <w:rStyle w:val="hps"/>
                <w:sz w:val="18"/>
                <w:szCs w:val="18"/>
              </w:rPr>
              <w:t>2014.</w:t>
            </w:r>
          </w:p>
        </w:tc>
        <w:tc>
          <w:tcPr>
            <w:tcW w:w="4599" w:type="dxa"/>
          </w:tcPr>
          <w:p w14:paraId="36553E33" w14:textId="4D2A3252" w:rsidR="009B0A73" w:rsidRPr="00B16CD5" w:rsidRDefault="00877DBC" w:rsidP="00E347DC">
            <w:pPr>
              <w:ind w:left="567" w:right="-57"/>
              <w:jc w:val="both"/>
              <w:rPr>
                <w:i/>
                <w:sz w:val="18"/>
                <w:szCs w:val="18"/>
              </w:rPr>
            </w:pPr>
            <w:proofErr w:type="gramStart"/>
            <w:r w:rsidRPr="00B16CD5">
              <w:rPr>
                <w:i/>
                <w:sz w:val="18"/>
                <w:szCs w:val="18"/>
              </w:rPr>
              <w:t>Based  on</w:t>
            </w:r>
            <w:proofErr w:type="gramEnd"/>
            <w:r w:rsidRPr="00B16CD5">
              <w:rPr>
                <w:i/>
                <w:sz w:val="18"/>
                <w:szCs w:val="18"/>
              </w:rPr>
              <w:t xml:space="preserve">  Notarial  Deed  of  notary  </w:t>
            </w:r>
            <w:r w:rsidR="00530222">
              <w:rPr>
                <w:i/>
                <w:sz w:val="18"/>
                <w:szCs w:val="18"/>
              </w:rPr>
              <w:br/>
            </w:r>
            <w:r w:rsidRPr="00B16CD5">
              <w:rPr>
                <w:i/>
                <w:sz w:val="18"/>
                <w:szCs w:val="18"/>
              </w:rPr>
              <w:t>Buntario Tigris</w:t>
            </w:r>
            <w:r w:rsidR="00E347DC">
              <w:rPr>
                <w:i/>
                <w:sz w:val="18"/>
                <w:szCs w:val="18"/>
              </w:rPr>
              <w:t>,</w:t>
            </w:r>
            <w:r w:rsidRPr="00B16CD5">
              <w:rPr>
                <w:i/>
                <w:sz w:val="18"/>
                <w:szCs w:val="18"/>
              </w:rPr>
              <w:t xml:space="preserve">   S.H.</w:t>
            </w:r>
            <w:r w:rsidR="00E347DC">
              <w:rPr>
                <w:i/>
                <w:sz w:val="18"/>
                <w:szCs w:val="18"/>
              </w:rPr>
              <w:t>,</w:t>
            </w:r>
            <w:r w:rsidRPr="00B16CD5">
              <w:rPr>
                <w:i/>
                <w:sz w:val="18"/>
                <w:szCs w:val="18"/>
              </w:rPr>
              <w:t xml:space="preserve"> S.E.</w:t>
            </w:r>
            <w:r w:rsidR="00E347DC">
              <w:rPr>
                <w:i/>
                <w:sz w:val="18"/>
                <w:szCs w:val="18"/>
              </w:rPr>
              <w:t>,</w:t>
            </w:r>
            <w:r w:rsidRPr="00B16CD5">
              <w:rPr>
                <w:i/>
                <w:sz w:val="18"/>
                <w:szCs w:val="18"/>
              </w:rPr>
              <w:t xml:space="preserve"> M.H.</w:t>
            </w:r>
            <w:r w:rsidR="00E347DC">
              <w:rPr>
                <w:i/>
                <w:sz w:val="18"/>
                <w:szCs w:val="18"/>
              </w:rPr>
              <w:t>,</w:t>
            </w:r>
            <w:r w:rsidRPr="00B16CD5">
              <w:rPr>
                <w:i/>
                <w:sz w:val="18"/>
                <w:szCs w:val="18"/>
              </w:rPr>
              <w:t xml:space="preserve"> No. 120 dated </w:t>
            </w:r>
            <w:r w:rsidR="00530222">
              <w:rPr>
                <w:i/>
                <w:sz w:val="18"/>
                <w:szCs w:val="18"/>
              </w:rPr>
              <w:br/>
            </w:r>
            <w:r w:rsidRPr="00B16CD5">
              <w:rPr>
                <w:i/>
                <w:sz w:val="18"/>
                <w:szCs w:val="18"/>
              </w:rPr>
              <w:t>June 13</w:t>
            </w:r>
            <w:r w:rsidR="00E347DC">
              <w:rPr>
                <w:i/>
                <w:sz w:val="18"/>
                <w:szCs w:val="18"/>
              </w:rPr>
              <w:t>,</w:t>
            </w:r>
            <w:r w:rsidRPr="00B16CD5">
              <w:rPr>
                <w:i/>
                <w:sz w:val="18"/>
                <w:szCs w:val="18"/>
              </w:rPr>
              <w:t xml:space="preserve"> 2014</w:t>
            </w:r>
            <w:r w:rsidR="00E347DC">
              <w:rPr>
                <w:i/>
                <w:sz w:val="18"/>
                <w:szCs w:val="18"/>
              </w:rPr>
              <w:t>,</w:t>
            </w:r>
            <w:r w:rsidRPr="00B16CD5">
              <w:rPr>
                <w:i/>
                <w:sz w:val="18"/>
                <w:szCs w:val="18"/>
              </w:rPr>
              <w:t xml:space="preserve"> the Company acquired</w:t>
            </w:r>
            <w:r w:rsidRPr="00B16CD5">
              <w:rPr>
                <w:i/>
                <w:sz w:val="18"/>
                <w:szCs w:val="18"/>
                <w:lang w:val="id-ID"/>
              </w:rPr>
              <w:t xml:space="preserve"> </w:t>
            </w:r>
            <w:r w:rsidRPr="00B16CD5">
              <w:rPr>
                <w:i/>
                <w:sz w:val="18"/>
                <w:szCs w:val="18"/>
              </w:rPr>
              <w:t>5</w:t>
            </w:r>
            <w:r w:rsidR="00E347DC">
              <w:rPr>
                <w:i/>
                <w:sz w:val="18"/>
                <w:szCs w:val="18"/>
              </w:rPr>
              <w:t>,</w:t>
            </w:r>
            <w:r w:rsidRPr="00B16CD5">
              <w:rPr>
                <w:i/>
                <w:sz w:val="18"/>
                <w:szCs w:val="18"/>
              </w:rPr>
              <w:t>868</w:t>
            </w:r>
            <w:r w:rsidR="00E347DC">
              <w:rPr>
                <w:i/>
                <w:sz w:val="18"/>
                <w:szCs w:val="18"/>
              </w:rPr>
              <w:t>,</w:t>
            </w:r>
            <w:r w:rsidRPr="00B16CD5">
              <w:rPr>
                <w:i/>
                <w:sz w:val="18"/>
                <w:szCs w:val="18"/>
              </w:rPr>
              <w:t>881</w:t>
            </w:r>
            <w:r w:rsidR="00E347DC">
              <w:rPr>
                <w:i/>
                <w:sz w:val="18"/>
                <w:szCs w:val="18"/>
              </w:rPr>
              <w:t>,</w:t>
            </w:r>
            <w:r w:rsidRPr="00B16CD5">
              <w:rPr>
                <w:i/>
                <w:sz w:val="18"/>
                <w:szCs w:val="18"/>
              </w:rPr>
              <w:t>516  shares of NKM  amounting to</w:t>
            </w:r>
            <w:r w:rsidRPr="00B16CD5">
              <w:rPr>
                <w:i/>
                <w:sz w:val="18"/>
                <w:szCs w:val="18"/>
                <w:lang w:val="id-ID"/>
              </w:rPr>
              <w:t xml:space="preserve"> </w:t>
            </w:r>
            <w:r w:rsidRPr="00B16CD5">
              <w:rPr>
                <w:i/>
                <w:sz w:val="18"/>
                <w:szCs w:val="18"/>
              </w:rPr>
              <w:t>Rp</w:t>
            </w:r>
            <w:r w:rsidR="00530222">
              <w:rPr>
                <w:i/>
                <w:sz w:val="18"/>
                <w:szCs w:val="18"/>
              </w:rPr>
              <w:t xml:space="preserve"> </w:t>
            </w:r>
            <w:r w:rsidRPr="00B16CD5">
              <w:rPr>
                <w:i/>
                <w:sz w:val="18"/>
                <w:szCs w:val="18"/>
              </w:rPr>
              <w:t>586</w:t>
            </w:r>
            <w:r w:rsidR="00E347DC">
              <w:rPr>
                <w:i/>
                <w:sz w:val="18"/>
                <w:szCs w:val="18"/>
              </w:rPr>
              <w:t>,</w:t>
            </w:r>
            <w:r w:rsidRPr="00B16CD5">
              <w:rPr>
                <w:i/>
                <w:sz w:val="18"/>
                <w:szCs w:val="18"/>
              </w:rPr>
              <w:t>888</w:t>
            </w:r>
            <w:r w:rsidR="00E347DC">
              <w:rPr>
                <w:i/>
                <w:sz w:val="18"/>
                <w:szCs w:val="18"/>
              </w:rPr>
              <w:t>,</w:t>
            </w:r>
            <w:r w:rsidRPr="00B16CD5">
              <w:rPr>
                <w:i/>
                <w:sz w:val="18"/>
                <w:szCs w:val="18"/>
              </w:rPr>
              <w:t>151</w:t>
            </w:r>
            <w:r w:rsidR="00E347DC">
              <w:rPr>
                <w:i/>
                <w:sz w:val="18"/>
                <w:szCs w:val="18"/>
              </w:rPr>
              <w:t>,</w:t>
            </w:r>
            <w:r w:rsidRPr="00B16CD5">
              <w:rPr>
                <w:i/>
                <w:sz w:val="18"/>
                <w:szCs w:val="18"/>
              </w:rPr>
              <w:t>600 as a result</w:t>
            </w:r>
            <w:r w:rsidR="00E347DC">
              <w:rPr>
                <w:i/>
                <w:sz w:val="18"/>
                <w:szCs w:val="18"/>
              </w:rPr>
              <w:t>,</w:t>
            </w:r>
            <w:r w:rsidRPr="00B16CD5">
              <w:rPr>
                <w:i/>
                <w:sz w:val="18"/>
                <w:szCs w:val="18"/>
              </w:rPr>
              <w:t xml:space="preserve"> as of December</w:t>
            </w:r>
            <w:r w:rsidRPr="00B16CD5">
              <w:rPr>
                <w:i/>
                <w:sz w:val="18"/>
                <w:szCs w:val="18"/>
                <w:lang w:val="id-ID"/>
              </w:rPr>
              <w:t xml:space="preserve"> </w:t>
            </w:r>
            <w:r w:rsidRPr="00B16CD5">
              <w:rPr>
                <w:i/>
                <w:sz w:val="18"/>
                <w:szCs w:val="18"/>
              </w:rPr>
              <w:t>31</w:t>
            </w:r>
            <w:r w:rsidR="00E347DC">
              <w:rPr>
                <w:i/>
                <w:sz w:val="18"/>
                <w:szCs w:val="18"/>
              </w:rPr>
              <w:t>,</w:t>
            </w:r>
            <w:r w:rsidRPr="00B16CD5">
              <w:rPr>
                <w:i/>
                <w:sz w:val="18"/>
                <w:szCs w:val="18"/>
              </w:rPr>
              <w:t xml:space="preserve"> 2014</w:t>
            </w:r>
            <w:r w:rsidR="00E347DC">
              <w:rPr>
                <w:i/>
                <w:sz w:val="18"/>
                <w:szCs w:val="18"/>
              </w:rPr>
              <w:t>,</w:t>
            </w:r>
            <w:r w:rsidRPr="00B16CD5">
              <w:rPr>
                <w:i/>
                <w:sz w:val="18"/>
                <w:szCs w:val="18"/>
              </w:rPr>
              <w:t xml:space="preserve"> the Company’s ownership in NKM became 99.58%. This changed was recorded in database System Administration Minister of Law and Human Rights of the Republic of Indonesia by his Decision Letter No. AHU-03773.40.21 dated </w:t>
            </w:r>
            <w:r w:rsidRPr="00B16CD5">
              <w:rPr>
                <w:i/>
                <w:sz w:val="18"/>
                <w:szCs w:val="18"/>
                <w:lang w:val="id-ID"/>
              </w:rPr>
              <w:br/>
            </w:r>
            <w:r w:rsidRPr="00B16CD5">
              <w:rPr>
                <w:i/>
                <w:sz w:val="18"/>
                <w:szCs w:val="18"/>
              </w:rPr>
              <w:t>July 4</w:t>
            </w:r>
            <w:r w:rsidR="00E347DC">
              <w:rPr>
                <w:i/>
                <w:sz w:val="18"/>
                <w:szCs w:val="18"/>
              </w:rPr>
              <w:t>,</w:t>
            </w:r>
            <w:r w:rsidRPr="00B16CD5">
              <w:rPr>
                <w:i/>
                <w:sz w:val="18"/>
                <w:szCs w:val="18"/>
              </w:rPr>
              <w:t xml:space="preserve"> 2014.</w:t>
            </w:r>
          </w:p>
        </w:tc>
      </w:tr>
      <w:tr w:rsidR="009B0A73" w:rsidRPr="009B0A73" w14:paraId="30FD6ED2" w14:textId="77777777" w:rsidTr="007F7384">
        <w:tc>
          <w:tcPr>
            <w:tcW w:w="4598" w:type="dxa"/>
          </w:tcPr>
          <w:p w14:paraId="56B21349" w14:textId="77777777" w:rsidR="009B0A73" w:rsidRPr="009B0A73" w:rsidRDefault="009B0A73" w:rsidP="009B0A73">
            <w:pPr>
              <w:ind w:left="567" w:right="-57"/>
              <w:jc w:val="both"/>
              <w:rPr>
                <w:rStyle w:val="hps"/>
                <w:sz w:val="18"/>
                <w:szCs w:val="18"/>
              </w:rPr>
            </w:pPr>
          </w:p>
        </w:tc>
        <w:tc>
          <w:tcPr>
            <w:tcW w:w="4599" w:type="dxa"/>
          </w:tcPr>
          <w:p w14:paraId="089AAD77" w14:textId="77777777" w:rsidR="009B0A73" w:rsidRPr="009B0A73" w:rsidRDefault="009B0A73" w:rsidP="009B0A73">
            <w:pPr>
              <w:ind w:left="567" w:right="-57"/>
              <w:jc w:val="both"/>
              <w:rPr>
                <w:i/>
                <w:sz w:val="18"/>
                <w:szCs w:val="18"/>
              </w:rPr>
            </w:pPr>
          </w:p>
        </w:tc>
      </w:tr>
    </w:tbl>
    <w:p w14:paraId="7A21E615" w14:textId="77777777" w:rsidR="009B0A73" w:rsidRPr="009B0A73" w:rsidRDefault="009B0A73" w:rsidP="009B0A73">
      <w:pPr>
        <w:rPr>
          <w:sz w:val="18"/>
          <w:lang w:val="id-ID"/>
        </w:rPr>
      </w:pPr>
    </w:p>
    <w:p w14:paraId="0184A500" w14:textId="77777777" w:rsidR="009B0A73" w:rsidRDefault="009B0A73" w:rsidP="009B0A73">
      <w:pPr>
        <w:rPr>
          <w:sz w:val="18"/>
          <w:lang w:val="id-ID"/>
        </w:rPr>
      </w:pPr>
    </w:p>
    <w:p w14:paraId="791B7DCF" w14:textId="77777777" w:rsidR="00877DBC" w:rsidRDefault="00877DBC" w:rsidP="009B0A73">
      <w:pPr>
        <w:rPr>
          <w:sz w:val="18"/>
          <w:lang w:val="id-ID"/>
        </w:rPr>
      </w:pPr>
    </w:p>
    <w:p w14:paraId="2EB65527" w14:textId="77777777" w:rsidR="00877DBC" w:rsidRDefault="00877DBC" w:rsidP="009B0A73">
      <w:pPr>
        <w:rPr>
          <w:sz w:val="18"/>
          <w:lang w:val="id-ID"/>
        </w:rPr>
      </w:pPr>
    </w:p>
    <w:p w14:paraId="23ED82AD" w14:textId="77777777" w:rsidR="00877DBC" w:rsidRDefault="00877DBC" w:rsidP="009B0A73">
      <w:pPr>
        <w:rPr>
          <w:sz w:val="18"/>
          <w:lang w:val="id-ID"/>
        </w:rPr>
      </w:pPr>
    </w:p>
    <w:p w14:paraId="69BAE197" w14:textId="77777777" w:rsidR="00877DBC" w:rsidRPr="009B0A73" w:rsidRDefault="00877DBC" w:rsidP="009B0A73">
      <w:pPr>
        <w:rPr>
          <w:sz w:val="18"/>
          <w:lang w:val="id-ID"/>
        </w:rPr>
      </w:pPr>
    </w:p>
    <w:p w14:paraId="5406D8A8" w14:textId="77777777" w:rsidR="009B0A73" w:rsidRPr="009B0A73" w:rsidRDefault="009B0A73" w:rsidP="009B0A73">
      <w:pPr>
        <w:rPr>
          <w:sz w:val="18"/>
          <w:lang w:val="id-ID"/>
        </w:rPr>
      </w:pPr>
    </w:p>
    <w:p w14:paraId="66820B27" w14:textId="46C0D983" w:rsidR="009B0A73" w:rsidRDefault="009B0A73" w:rsidP="009B0A73">
      <w:pPr>
        <w:rPr>
          <w:sz w:val="18"/>
          <w:lang w:val="id-ID"/>
        </w:rPr>
      </w:pPr>
    </w:p>
    <w:p w14:paraId="6F655F69" w14:textId="1F0A43C5" w:rsidR="003C202E" w:rsidRDefault="003C202E" w:rsidP="009B0A73">
      <w:pPr>
        <w:rPr>
          <w:sz w:val="18"/>
          <w:lang w:val="id-ID"/>
        </w:rPr>
      </w:pPr>
    </w:p>
    <w:p w14:paraId="5DD194E9" w14:textId="77777777" w:rsidR="00F45E0F" w:rsidRPr="009B0A73" w:rsidRDefault="00F45E0F" w:rsidP="009B0A73">
      <w:pPr>
        <w:rPr>
          <w:sz w:val="18"/>
          <w:lang w:val="id-ID"/>
        </w:rPr>
      </w:pPr>
    </w:p>
    <w:tbl>
      <w:tblPr>
        <w:tblW w:w="9197" w:type="dxa"/>
        <w:tblInd w:w="392" w:type="dxa"/>
        <w:tblLayout w:type="fixed"/>
        <w:tblLook w:val="0000" w:firstRow="0" w:lastRow="0" w:firstColumn="0" w:lastColumn="0" w:noHBand="0" w:noVBand="0"/>
      </w:tblPr>
      <w:tblGrid>
        <w:gridCol w:w="4597"/>
        <w:gridCol w:w="4600"/>
      </w:tblGrid>
      <w:tr w:rsidR="009B0A73" w:rsidRPr="00C735B9" w14:paraId="5E145BA3" w14:textId="77777777" w:rsidTr="004F6552">
        <w:tc>
          <w:tcPr>
            <w:tcW w:w="4597" w:type="dxa"/>
          </w:tcPr>
          <w:p w14:paraId="6D591DE9" w14:textId="04E966E2" w:rsidR="009B0A73" w:rsidRPr="00C735B9" w:rsidRDefault="009B0A73" w:rsidP="00070D1F">
            <w:pPr>
              <w:pStyle w:val="ListParagraph"/>
              <w:numPr>
                <w:ilvl w:val="0"/>
                <w:numId w:val="284"/>
              </w:numPr>
              <w:ind w:left="317" w:hanging="283"/>
              <w:contextualSpacing/>
              <w:jc w:val="both"/>
              <w:rPr>
                <w:rStyle w:val="hps"/>
                <w:b/>
                <w:sz w:val="18"/>
                <w:szCs w:val="18"/>
              </w:rPr>
            </w:pPr>
            <w:r w:rsidRPr="00C735B9">
              <w:rPr>
                <w:rStyle w:val="hps"/>
                <w:b/>
                <w:sz w:val="18"/>
                <w:szCs w:val="18"/>
              </w:rPr>
              <w:lastRenderedPageBreak/>
              <w:t xml:space="preserve">UMUM </w:t>
            </w:r>
            <w:r w:rsidR="004F7AFB" w:rsidRPr="00C735B9">
              <w:rPr>
                <w:rStyle w:val="hps"/>
                <w:b/>
                <w:sz w:val="18"/>
                <w:szCs w:val="18"/>
              </w:rPr>
              <w:t xml:space="preserve">- </w:t>
            </w:r>
            <w:r w:rsidRPr="00C735B9">
              <w:rPr>
                <w:rStyle w:val="hps"/>
                <w:b/>
                <w:sz w:val="18"/>
                <w:szCs w:val="18"/>
              </w:rPr>
              <w:t>Lanjutan</w:t>
            </w:r>
          </w:p>
        </w:tc>
        <w:tc>
          <w:tcPr>
            <w:tcW w:w="4600" w:type="dxa"/>
          </w:tcPr>
          <w:p w14:paraId="0EDD6264" w14:textId="77777777" w:rsidR="009B0A73" w:rsidRPr="00C735B9" w:rsidRDefault="009B0A73" w:rsidP="00070D1F">
            <w:pPr>
              <w:pStyle w:val="ListParagraph"/>
              <w:numPr>
                <w:ilvl w:val="0"/>
                <w:numId w:val="285"/>
              </w:numPr>
              <w:ind w:left="289" w:hanging="289"/>
              <w:contextualSpacing/>
              <w:jc w:val="both"/>
              <w:rPr>
                <w:b/>
                <w:bCs w:val="0"/>
                <w:i/>
                <w:sz w:val="18"/>
                <w:szCs w:val="18"/>
              </w:rPr>
            </w:pPr>
            <w:r w:rsidRPr="00C735B9">
              <w:rPr>
                <w:b/>
                <w:i/>
                <w:sz w:val="18"/>
                <w:szCs w:val="18"/>
              </w:rPr>
              <w:t>GENERAL - Continued</w:t>
            </w:r>
          </w:p>
        </w:tc>
      </w:tr>
      <w:tr w:rsidR="009B0A73" w:rsidRPr="00C735B9" w14:paraId="13F82CE3" w14:textId="77777777" w:rsidTr="004F6552">
        <w:tc>
          <w:tcPr>
            <w:tcW w:w="4597" w:type="dxa"/>
          </w:tcPr>
          <w:p w14:paraId="4E0C56BA" w14:textId="77777777" w:rsidR="009B0A73" w:rsidRPr="00C735B9" w:rsidRDefault="009B0A73" w:rsidP="009B0A73">
            <w:pPr>
              <w:jc w:val="both"/>
              <w:rPr>
                <w:rStyle w:val="hps"/>
                <w:sz w:val="18"/>
                <w:szCs w:val="10"/>
              </w:rPr>
            </w:pPr>
          </w:p>
        </w:tc>
        <w:tc>
          <w:tcPr>
            <w:tcW w:w="4600" w:type="dxa"/>
          </w:tcPr>
          <w:p w14:paraId="4A680798" w14:textId="77777777" w:rsidR="009B0A73" w:rsidRPr="00C735B9" w:rsidRDefault="009B0A73" w:rsidP="009B0A73">
            <w:pPr>
              <w:ind w:left="426"/>
              <w:jc w:val="both"/>
              <w:rPr>
                <w:bCs w:val="0"/>
                <w:i/>
                <w:sz w:val="18"/>
                <w:szCs w:val="10"/>
              </w:rPr>
            </w:pPr>
          </w:p>
        </w:tc>
      </w:tr>
      <w:tr w:rsidR="009B0A73" w:rsidRPr="00C735B9" w14:paraId="45164220" w14:textId="77777777" w:rsidTr="004F6552">
        <w:tc>
          <w:tcPr>
            <w:tcW w:w="4597" w:type="dxa"/>
          </w:tcPr>
          <w:p w14:paraId="32DEABB3" w14:textId="62C0CD33" w:rsidR="009B0A73" w:rsidRPr="00C735B9" w:rsidRDefault="007038D4" w:rsidP="00070D1F">
            <w:pPr>
              <w:pStyle w:val="ListParagraph"/>
              <w:numPr>
                <w:ilvl w:val="0"/>
                <w:numId w:val="286"/>
              </w:numPr>
              <w:ind w:left="573" w:right="-57" w:hanging="238"/>
              <w:contextualSpacing/>
              <w:jc w:val="both"/>
              <w:rPr>
                <w:rStyle w:val="hps"/>
                <w:b/>
                <w:sz w:val="18"/>
                <w:szCs w:val="18"/>
              </w:rPr>
            </w:pPr>
            <w:r w:rsidRPr="00C735B9">
              <w:rPr>
                <w:rStyle w:val="hps"/>
                <w:b/>
                <w:sz w:val="18"/>
                <w:szCs w:val="18"/>
                <w:lang w:val="id-ID"/>
              </w:rPr>
              <w:t>Struktur</w:t>
            </w:r>
            <w:r w:rsidR="009B0A73" w:rsidRPr="00C735B9">
              <w:rPr>
                <w:rStyle w:val="hps"/>
                <w:b/>
                <w:sz w:val="18"/>
                <w:szCs w:val="18"/>
                <w:lang w:val="id-ID"/>
              </w:rPr>
              <w:t xml:space="preserve"> </w:t>
            </w:r>
            <w:r w:rsidRPr="00C735B9">
              <w:rPr>
                <w:rStyle w:val="hps"/>
                <w:b/>
                <w:sz w:val="18"/>
                <w:szCs w:val="18"/>
                <w:lang w:val="id-ID"/>
              </w:rPr>
              <w:t xml:space="preserve">Perusahaan dan Entitas Anak </w:t>
            </w:r>
            <w:r w:rsidR="004F7AFB" w:rsidRPr="00C735B9">
              <w:rPr>
                <w:rStyle w:val="hps"/>
                <w:b/>
                <w:sz w:val="18"/>
                <w:szCs w:val="18"/>
              </w:rPr>
              <w:t>- L</w:t>
            </w:r>
            <w:r w:rsidRPr="00C735B9">
              <w:rPr>
                <w:rStyle w:val="hps"/>
                <w:b/>
                <w:sz w:val="18"/>
                <w:szCs w:val="18"/>
                <w:lang w:val="id-ID"/>
              </w:rPr>
              <w:t>anjutan</w:t>
            </w:r>
          </w:p>
        </w:tc>
        <w:tc>
          <w:tcPr>
            <w:tcW w:w="4600" w:type="dxa"/>
          </w:tcPr>
          <w:p w14:paraId="236DC473" w14:textId="6731627B" w:rsidR="009B0A73" w:rsidRPr="00C735B9" w:rsidRDefault="007038D4" w:rsidP="00070D1F">
            <w:pPr>
              <w:pStyle w:val="ListParagraph"/>
              <w:numPr>
                <w:ilvl w:val="0"/>
                <w:numId w:val="287"/>
              </w:numPr>
              <w:ind w:left="572" w:right="-57" w:hanging="278"/>
              <w:contextualSpacing/>
              <w:jc w:val="both"/>
              <w:rPr>
                <w:b/>
                <w:bCs w:val="0"/>
                <w:i/>
                <w:sz w:val="18"/>
                <w:szCs w:val="18"/>
              </w:rPr>
            </w:pPr>
            <w:r w:rsidRPr="00C735B9">
              <w:rPr>
                <w:b/>
                <w:i/>
                <w:sz w:val="18"/>
                <w:szCs w:val="18"/>
                <w:lang w:val="id-ID"/>
              </w:rPr>
              <w:t xml:space="preserve">Structure of The Group </w:t>
            </w:r>
            <w:r w:rsidR="004F7AFB" w:rsidRPr="00C735B9">
              <w:rPr>
                <w:b/>
                <w:i/>
                <w:sz w:val="18"/>
                <w:szCs w:val="18"/>
              </w:rPr>
              <w:t xml:space="preserve">- </w:t>
            </w:r>
            <w:r w:rsidRPr="00C735B9">
              <w:rPr>
                <w:b/>
                <w:i/>
                <w:sz w:val="18"/>
                <w:szCs w:val="18"/>
                <w:lang w:val="id-ID"/>
              </w:rPr>
              <w:t>Continued</w:t>
            </w:r>
          </w:p>
        </w:tc>
      </w:tr>
      <w:tr w:rsidR="00C735B9" w:rsidRPr="00AB65EA" w14:paraId="028B6F10" w14:textId="77777777" w:rsidTr="004F6552">
        <w:tc>
          <w:tcPr>
            <w:tcW w:w="4597" w:type="dxa"/>
            <w:shd w:val="clear" w:color="auto" w:fill="auto"/>
          </w:tcPr>
          <w:p w14:paraId="7EF3A785" w14:textId="77777777" w:rsidR="00C735B9" w:rsidRPr="00AB65EA" w:rsidRDefault="00C735B9" w:rsidP="00C13CCF">
            <w:pPr>
              <w:ind w:left="567" w:right="-57"/>
              <w:jc w:val="both"/>
              <w:rPr>
                <w:rStyle w:val="hps"/>
                <w:sz w:val="18"/>
                <w:szCs w:val="18"/>
                <w:u w:val="single"/>
              </w:rPr>
            </w:pPr>
          </w:p>
        </w:tc>
        <w:tc>
          <w:tcPr>
            <w:tcW w:w="4600" w:type="dxa"/>
            <w:shd w:val="clear" w:color="auto" w:fill="auto"/>
          </w:tcPr>
          <w:p w14:paraId="646E9D0A" w14:textId="77777777" w:rsidR="00C735B9" w:rsidRPr="00AB65EA" w:rsidRDefault="00C735B9" w:rsidP="00C13CCF">
            <w:pPr>
              <w:ind w:left="567" w:right="-57"/>
              <w:jc w:val="both"/>
              <w:rPr>
                <w:i/>
                <w:sz w:val="18"/>
                <w:szCs w:val="18"/>
                <w:u w:val="single"/>
              </w:rPr>
            </w:pPr>
          </w:p>
        </w:tc>
      </w:tr>
      <w:tr w:rsidR="00C735B9" w:rsidRPr="00AB65EA" w14:paraId="62094BCF" w14:textId="77777777" w:rsidTr="004F6552">
        <w:tc>
          <w:tcPr>
            <w:tcW w:w="4597" w:type="dxa"/>
            <w:shd w:val="clear" w:color="auto" w:fill="auto"/>
          </w:tcPr>
          <w:p w14:paraId="357DE364" w14:textId="2868EF5E" w:rsidR="00C735B9" w:rsidRPr="00AB65EA" w:rsidRDefault="00C735B9" w:rsidP="00C13CCF">
            <w:pPr>
              <w:ind w:left="567" w:right="-57"/>
              <w:jc w:val="both"/>
              <w:rPr>
                <w:rStyle w:val="hps"/>
                <w:sz w:val="18"/>
                <w:szCs w:val="18"/>
                <w:u w:val="single"/>
              </w:rPr>
            </w:pPr>
            <w:r w:rsidRPr="00AB65EA">
              <w:rPr>
                <w:rStyle w:val="hps"/>
                <w:sz w:val="18"/>
                <w:szCs w:val="18"/>
                <w:u w:val="single"/>
              </w:rPr>
              <w:t>PT  Nirmala  Kencana  Mas  (“NKM”)</w:t>
            </w:r>
            <w:r>
              <w:rPr>
                <w:rStyle w:val="hps"/>
                <w:sz w:val="18"/>
                <w:szCs w:val="18"/>
                <w:u w:val="single"/>
              </w:rPr>
              <w:t xml:space="preserve"> - Lanjutan</w:t>
            </w:r>
          </w:p>
        </w:tc>
        <w:tc>
          <w:tcPr>
            <w:tcW w:w="4600" w:type="dxa"/>
            <w:shd w:val="clear" w:color="auto" w:fill="auto"/>
          </w:tcPr>
          <w:p w14:paraId="3989442D" w14:textId="71DD6D06" w:rsidR="00C735B9" w:rsidRPr="00AB65EA" w:rsidRDefault="00C735B9" w:rsidP="00C13CCF">
            <w:pPr>
              <w:ind w:left="567" w:right="-57"/>
              <w:jc w:val="both"/>
              <w:rPr>
                <w:i/>
                <w:sz w:val="18"/>
                <w:szCs w:val="18"/>
                <w:u w:val="single"/>
              </w:rPr>
            </w:pPr>
            <w:r w:rsidRPr="00AB65EA">
              <w:rPr>
                <w:i/>
                <w:sz w:val="18"/>
                <w:szCs w:val="18"/>
                <w:u w:val="single"/>
              </w:rPr>
              <w:t>PT Nirmala Kencana Mas (“NKM” )</w:t>
            </w:r>
            <w:r>
              <w:rPr>
                <w:i/>
                <w:sz w:val="18"/>
                <w:szCs w:val="18"/>
                <w:u w:val="single"/>
              </w:rPr>
              <w:t xml:space="preserve"> - Continued</w:t>
            </w:r>
          </w:p>
        </w:tc>
      </w:tr>
      <w:tr w:rsidR="009B0A73" w:rsidRPr="00C735B9" w14:paraId="648AC769" w14:textId="77777777" w:rsidTr="004F6552">
        <w:tc>
          <w:tcPr>
            <w:tcW w:w="4597" w:type="dxa"/>
          </w:tcPr>
          <w:p w14:paraId="01F39102" w14:textId="77777777" w:rsidR="009B0A73" w:rsidRPr="00C735B9" w:rsidRDefault="009B0A73" w:rsidP="009B0A73">
            <w:pPr>
              <w:jc w:val="both"/>
              <w:rPr>
                <w:rStyle w:val="hps"/>
                <w:sz w:val="18"/>
                <w:szCs w:val="10"/>
              </w:rPr>
            </w:pPr>
          </w:p>
        </w:tc>
        <w:tc>
          <w:tcPr>
            <w:tcW w:w="4600" w:type="dxa"/>
          </w:tcPr>
          <w:p w14:paraId="780EA2DC" w14:textId="77777777" w:rsidR="009B0A73" w:rsidRPr="00C735B9" w:rsidRDefault="009B0A73" w:rsidP="009B0A73">
            <w:pPr>
              <w:ind w:left="426"/>
              <w:jc w:val="both"/>
              <w:rPr>
                <w:bCs w:val="0"/>
                <w:i/>
                <w:sz w:val="18"/>
                <w:szCs w:val="10"/>
              </w:rPr>
            </w:pPr>
          </w:p>
        </w:tc>
      </w:tr>
      <w:tr w:rsidR="009B0A73" w:rsidRPr="00C735B9" w14:paraId="69F61BC5" w14:textId="77777777" w:rsidTr="004F6552">
        <w:tc>
          <w:tcPr>
            <w:tcW w:w="4597" w:type="dxa"/>
          </w:tcPr>
          <w:p w14:paraId="3B10F0B8" w14:textId="4A27BF41" w:rsidR="009B0A73" w:rsidRPr="00C735B9" w:rsidRDefault="006804EE" w:rsidP="00E347DC">
            <w:pPr>
              <w:ind w:left="567" w:right="-57"/>
              <w:jc w:val="both"/>
              <w:rPr>
                <w:rStyle w:val="hps"/>
                <w:sz w:val="18"/>
                <w:szCs w:val="18"/>
              </w:rPr>
            </w:pPr>
            <w:r>
              <w:rPr>
                <w:rStyle w:val="hps"/>
                <w:sz w:val="18"/>
                <w:szCs w:val="18"/>
              </w:rPr>
              <w:t xml:space="preserve">Berdasarkan </w:t>
            </w:r>
            <w:r w:rsidR="007038D4" w:rsidRPr="00C735B9">
              <w:rPr>
                <w:rStyle w:val="hps"/>
                <w:sz w:val="18"/>
                <w:szCs w:val="18"/>
              </w:rPr>
              <w:t xml:space="preserve">Akta </w:t>
            </w:r>
            <w:r>
              <w:rPr>
                <w:rStyle w:val="hps"/>
                <w:sz w:val="18"/>
                <w:szCs w:val="18"/>
              </w:rPr>
              <w:t xml:space="preserve"> </w:t>
            </w:r>
            <w:r w:rsidR="007038D4" w:rsidRPr="00C735B9">
              <w:rPr>
                <w:rStyle w:val="hps"/>
                <w:sz w:val="18"/>
                <w:szCs w:val="18"/>
              </w:rPr>
              <w:t>No. 104</w:t>
            </w:r>
            <w:r w:rsidR="007038D4" w:rsidRPr="00C735B9">
              <w:rPr>
                <w:rStyle w:val="hps"/>
                <w:sz w:val="18"/>
                <w:szCs w:val="18"/>
                <w:lang w:val="id-ID"/>
              </w:rPr>
              <w:t xml:space="preserve"> </w:t>
            </w:r>
            <w:r w:rsidR="007038D4" w:rsidRPr="00C735B9">
              <w:rPr>
                <w:rStyle w:val="hps"/>
                <w:sz w:val="18"/>
                <w:szCs w:val="18"/>
              </w:rPr>
              <w:t xml:space="preserve">tanggal 19 Januari 2018 dari Notaris  Eriko  Nicolaus </w:t>
            </w:r>
            <w:r w:rsidR="007038D4" w:rsidRPr="00C735B9">
              <w:rPr>
                <w:rStyle w:val="hps"/>
                <w:sz w:val="18"/>
                <w:szCs w:val="18"/>
                <w:lang w:val="id-ID"/>
              </w:rPr>
              <w:t xml:space="preserve"> </w:t>
            </w:r>
            <w:r w:rsidR="007038D4" w:rsidRPr="00C735B9">
              <w:rPr>
                <w:rStyle w:val="hps"/>
                <w:sz w:val="18"/>
                <w:szCs w:val="18"/>
              </w:rPr>
              <w:t>Honanda</w:t>
            </w:r>
            <w:r w:rsidR="00E347DC">
              <w:rPr>
                <w:rStyle w:val="hps"/>
                <w:sz w:val="18"/>
                <w:szCs w:val="18"/>
              </w:rPr>
              <w:t>,</w:t>
            </w:r>
            <w:r w:rsidR="007038D4" w:rsidRPr="00C735B9">
              <w:rPr>
                <w:rStyle w:val="hps"/>
                <w:sz w:val="18"/>
                <w:szCs w:val="18"/>
                <w:lang w:val="id-ID"/>
              </w:rPr>
              <w:t xml:space="preserve"> </w:t>
            </w:r>
            <w:r w:rsidR="007038D4" w:rsidRPr="00C735B9">
              <w:rPr>
                <w:rStyle w:val="hps"/>
                <w:sz w:val="18"/>
                <w:szCs w:val="18"/>
              </w:rPr>
              <w:t>S.E.</w:t>
            </w:r>
            <w:r w:rsidR="00E347DC">
              <w:rPr>
                <w:rStyle w:val="hps"/>
                <w:sz w:val="18"/>
                <w:szCs w:val="18"/>
              </w:rPr>
              <w:t>,</w:t>
            </w:r>
            <w:r w:rsidR="007038D4" w:rsidRPr="00C735B9">
              <w:rPr>
                <w:rStyle w:val="hps"/>
                <w:sz w:val="18"/>
                <w:szCs w:val="18"/>
              </w:rPr>
              <w:t xml:space="preserve"> S.H.</w:t>
            </w:r>
            <w:r w:rsidR="00E347DC">
              <w:rPr>
                <w:rStyle w:val="hps"/>
                <w:sz w:val="18"/>
                <w:szCs w:val="18"/>
              </w:rPr>
              <w:t>,</w:t>
            </w:r>
            <w:r w:rsidR="007038D4" w:rsidRPr="00C735B9">
              <w:rPr>
                <w:rStyle w:val="hps"/>
                <w:sz w:val="18"/>
                <w:szCs w:val="18"/>
              </w:rPr>
              <w:t xml:space="preserve"> M.M.</w:t>
            </w:r>
            <w:r w:rsidR="00E347DC">
              <w:rPr>
                <w:rStyle w:val="hps"/>
                <w:sz w:val="18"/>
                <w:szCs w:val="18"/>
              </w:rPr>
              <w:t>,</w:t>
            </w:r>
            <w:r w:rsidR="007038D4" w:rsidRPr="00C735B9">
              <w:rPr>
                <w:rStyle w:val="hps"/>
                <w:sz w:val="18"/>
                <w:szCs w:val="18"/>
              </w:rPr>
              <w:t xml:space="preserve"> notaris di Jakarta</w:t>
            </w:r>
            <w:r w:rsidR="00E347DC">
              <w:rPr>
                <w:rStyle w:val="hps"/>
                <w:sz w:val="18"/>
                <w:szCs w:val="18"/>
              </w:rPr>
              <w:t>,</w:t>
            </w:r>
            <w:r w:rsidR="007038D4" w:rsidRPr="00C735B9">
              <w:rPr>
                <w:rStyle w:val="hps"/>
                <w:sz w:val="18"/>
                <w:szCs w:val="18"/>
                <w:lang w:val="id-ID"/>
              </w:rPr>
              <w:t xml:space="preserve"> </w:t>
            </w:r>
            <w:r w:rsidR="007038D4" w:rsidRPr="00C735B9">
              <w:rPr>
                <w:rStyle w:val="hps"/>
                <w:sz w:val="18"/>
                <w:szCs w:val="18"/>
              </w:rPr>
              <w:t>sehubungan dengan peningkatan modal ditempatkan</w:t>
            </w:r>
            <w:r w:rsidR="007038D4" w:rsidRPr="00C735B9">
              <w:rPr>
                <w:rStyle w:val="hps"/>
                <w:sz w:val="18"/>
                <w:szCs w:val="18"/>
                <w:lang w:val="id-ID"/>
              </w:rPr>
              <w:t xml:space="preserve"> </w:t>
            </w:r>
            <w:r w:rsidR="007038D4" w:rsidRPr="00C735B9">
              <w:rPr>
                <w:rStyle w:val="hps"/>
                <w:sz w:val="18"/>
                <w:szCs w:val="18"/>
              </w:rPr>
              <w:t>dan disetor sebesar  13.118.881.516  lembar  saham setara</w:t>
            </w:r>
            <w:r w:rsidR="007038D4" w:rsidRPr="00C735B9">
              <w:rPr>
                <w:rStyle w:val="hps"/>
                <w:sz w:val="18"/>
                <w:szCs w:val="18"/>
                <w:lang w:val="id-ID"/>
              </w:rPr>
              <w:t xml:space="preserve"> </w:t>
            </w:r>
            <w:r w:rsidR="007038D4" w:rsidRPr="00C735B9">
              <w:rPr>
                <w:rStyle w:val="hps"/>
                <w:sz w:val="18"/>
                <w:szCs w:val="18"/>
              </w:rPr>
              <w:t>99</w:t>
            </w:r>
            <w:r w:rsidR="00E347DC">
              <w:rPr>
                <w:rStyle w:val="hps"/>
                <w:sz w:val="18"/>
                <w:szCs w:val="18"/>
              </w:rPr>
              <w:t>,</w:t>
            </w:r>
            <w:r w:rsidR="007038D4" w:rsidRPr="00C735B9">
              <w:rPr>
                <w:rStyle w:val="hps"/>
                <w:sz w:val="18"/>
                <w:szCs w:val="18"/>
              </w:rPr>
              <w:t>81% kepemilikan senilai</w:t>
            </w:r>
            <w:r w:rsidR="007038D4" w:rsidRPr="00C735B9">
              <w:rPr>
                <w:rStyle w:val="hps"/>
                <w:sz w:val="18"/>
                <w:szCs w:val="18"/>
                <w:lang w:val="id-ID"/>
              </w:rPr>
              <w:t xml:space="preserve"> </w:t>
            </w:r>
            <w:r w:rsidR="007038D4" w:rsidRPr="00C735B9">
              <w:rPr>
                <w:rStyle w:val="hps"/>
                <w:sz w:val="18"/>
                <w:szCs w:val="18"/>
              </w:rPr>
              <w:t>Rp</w:t>
            </w:r>
            <w:r w:rsidR="00C735B9">
              <w:rPr>
                <w:rStyle w:val="hps"/>
                <w:sz w:val="18"/>
                <w:szCs w:val="18"/>
              </w:rPr>
              <w:t xml:space="preserve"> </w:t>
            </w:r>
            <w:r w:rsidR="007038D4" w:rsidRPr="00C735B9">
              <w:rPr>
                <w:rStyle w:val="hps"/>
                <w:sz w:val="18"/>
                <w:szCs w:val="18"/>
              </w:rPr>
              <w:t>1.311.888.151.600. Perubahan ini telah disahkan</w:t>
            </w:r>
            <w:r w:rsidR="007038D4" w:rsidRPr="00C735B9">
              <w:rPr>
                <w:rStyle w:val="hps"/>
                <w:sz w:val="18"/>
                <w:szCs w:val="18"/>
                <w:lang w:val="id-ID"/>
              </w:rPr>
              <w:t xml:space="preserve"> </w:t>
            </w:r>
            <w:r w:rsidR="007038D4" w:rsidRPr="00C735B9">
              <w:rPr>
                <w:rStyle w:val="hps"/>
                <w:sz w:val="18"/>
                <w:szCs w:val="18"/>
              </w:rPr>
              <w:t>oleh Menteri Hukum dan Hak Asasi Manusia Republik</w:t>
            </w:r>
            <w:r w:rsidR="007038D4" w:rsidRPr="00C735B9">
              <w:rPr>
                <w:rStyle w:val="hps"/>
                <w:sz w:val="18"/>
                <w:szCs w:val="18"/>
                <w:lang w:val="id-ID"/>
              </w:rPr>
              <w:t xml:space="preserve"> </w:t>
            </w:r>
            <w:r w:rsidR="007038D4" w:rsidRPr="00C735B9">
              <w:rPr>
                <w:rStyle w:val="hps"/>
                <w:sz w:val="18"/>
                <w:szCs w:val="18"/>
              </w:rPr>
              <w:t xml:space="preserve">Indonesia dengan Surat Keputusan </w:t>
            </w:r>
            <w:r w:rsidR="00C735B9">
              <w:rPr>
                <w:rStyle w:val="hps"/>
                <w:sz w:val="18"/>
                <w:szCs w:val="18"/>
              </w:rPr>
              <w:br/>
            </w:r>
            <w:r w:rsidR="007038D4" w:rsidRPr="00C735B9">
              <w:rPr>
                <w:rStyle w:val="hps"/>
                <w:sz w:val="18"/>
                <w:szCs w:val="18"/>
              </w:rPr>
              <w:t>No. AHU-0013554.AH.01.11</w:t>
            </w:r>
            <w:r w:rsidR="007038D4" w:rsidRPr="00C735B9">
              <w:rPr>
                <w:rStyle w:val="hps"/>
                <w:sz w:val="18"/>
                <w:szCs w:val="18"/>
                <w:lang w:val="id-ID"/>
              </w:rPr>
              <w:t xml:space="preserve"> </w:t>
            </w:r>
            <w:r w:rsidR="007038D4" w:rsidRPr="00C735B9">
              <w:rPr>
                <w:rStyle w:val="hps"/>
                <w:sz w:val="18"/>
                <w:szCs w:val="18"/>
              </w:rPr>
              <w:t>Tahun</w:t>
            </w:r>
            <w:r w:rsidR="007038D4" w:rsidRPr="00C735B9">
              <w:rPr>
                <w:rStyle w:val="hps"/>
                <w:sz w:val="18"/>
                <w:szCs w:val="18"/>
                <w:lang w:val="id-ID"/>
              </w:rPr>
              <w:t xml:space="preserve"> </w:t>
            </w:r>
            <w:r w:rsidR="007038D4" w:rsidRPr="00C735B9">
              <w:rPr>
                <w:rStyle w:val="hps"/>
                <w:sz w:val="18"/>
                <w:szCs w:val="18"/>
              </w:rPr>
              <w:t xml:space="preserve">2018 tanggal </w:t>
            </w:r>
            <w:r w:rsidR="00C735B9">
              <w:rPr>
                <w:rStyle w:val="hps"/>
                <w:sz w:val="18"/>
                <w:szCs w:val="18"/>
              </w:rPr>
              <w:br/>
            </w:r>
            <w:r w:rsidR="007038D4" w:rsidRPr="00C735B9">
              <w:rPr>
                <w:rStyle w:val="hps"/>
                <w:sz w:val="18"/>
                <w:szCs w:val="18"/>
              </w:rPr>
              <w:t>30 Januari 2018.</w:t>
            </w:r>
          </w:p>
        </w:tc>
        <w:tc>
          <w:tcPr>
            <w:tcW w:w="4600" w:type="dxa"/>
          </w:tcPr>
          <w:p w14:paraId="13EF9A10" w14:textId="2F24FFCF" w:rsidR="009B0A73" w:rsidRPr="00C735B9" w:rsidRDefault="006804EE" w:rsidP="00E347DC">
            <w:pPr>
              <w:ind w:left="567" w:right="-57"/>
              <w:jc w:val="both"/>
              <w:rPr>
                <w:i/>
                <w:sz w:val="18"/>
                <w:szCs w:val="18"/>
              </w:rPr>
            </w:pPr>
            <w:r>
              <w:rPr>
                <w:i/>
                <w:sz w:val="18"/>
                <w:szCs w:val="18"/>
              </w:rPr>
              <w:t xml:space="preserve">Based on </w:t>
            </w:r>
            <w:r w:rsidR="007038D4" w:rsidRPr="00C735B9">
              <w:rPr>
                <w:i/>
                <w:sz w:val="18"/>
                <w:szCs w:val="18"/>
              </w:rPr>
              <w:t xml:space="preserve">Deed </w:t>
            </w:r>
            <w:r>
              <w:rPr>
                <w:i/>
                <w:sz w:val="18"/>
                <w:szCs w:val="18"/>
              </w:rPr>
              <w:t xml:space="preserve"> </w:t>
            </w:r>
            <w:r w:rsidR="007038D4" w:rsidRPr="00C735B9">
              <w:rPr>
                <w:i/>
                <w:sz w:val="18"/>
                <w:szCs w:val="18"/>
              </w:rPr>
              <w:t>No. 104 dated January 19</w:t>
            </w:r>
            <w:r w:rsidR="00E347DC">
              <w:rPr>
                <w:i/>
                <w:sz w:val="18"/>
                <w:szCs w:val="18"/>
              </w:rPr>
              <w:t>,</w:t>
            </w:r>
            <w:r w:rsidR="007038D4" w:rsidRPr="00C735B9">
              <w:rPr>
                <w:i/>
                <w:sz w:val="18"/>
                <w:szCs w:val="18"/>
              </w:rPr>
              <w:t xml:space="preserve"> 2018 of Notary Eriko Nicolaus Honanda</w:t>
            </w:r>
            <w:r w:rsidR="00E347DC">
              <w:rPr>
                <w:i/>
                <w:sz w:val="18"/>
                <w:szCs w:val="18"/>
              </w:rPr>
              <w:t>,</w:t>
            </w:r>
            <w:r w:rsidR="007038D4" w:rsidRPr="00C735B9">
              <w:rPr>
                <w:i/>
                <w:sz w:val="18"/>
                <w:szCs w:val="18"/>
              </w:rPr>
              <w:t xml:space="preserve"> S.E.</w:t>
            </w:r>
            <w:r w:rsidR="00E347DC">
              <w:rPr>
                <w:i/>
                <w:sz w:val="18"/>
                <w:szCs w:val="18"/>
              </w:rPr>
              <w:t>,</w:t>
            </w:r>
            <w:r w:rsidR="007038D4" w:rsidRPr="00C735B9">
              <w:rPr>
                <w:i/>
                <w:sz w:val="18"/>
                <w:szCs w:val="18"/>
              </w:rPr>
              <w:t xml:space="preserve"> S.H.</w:t>
            </w:r>
            <w:r w:rsidR="00E347DC">
              <w:rPr>
                <w:i/>
                <w:sz w:val="18"/>
                <w:szCs w:val="18"/>
              </w:rPr>
              <w:t>,</w:t>
            </w:r>
            <w:r w:rsidR="007038D4" w:rsidRPr="00C735B9">
              <w:rPr>
                <w:i/>
                <w:sz w:val="18"/>
                <w:szCs w:val="18"/>
              </w:rPr>
              <w:t xml:space="preserve"> M.M.</w:t>
            </w:r>
            <w:r w:rsidR="00E347DC">
              <w:rPr>
                <w:i/>
                <w:sz w:val="18"/>
                <w:szCs w:val="18"/>
              </w:rPr>
              <w:t>,</w:t>
            </w:r>
            <w:r w:rsidR="007038D4" w:rsidRPr="00C735B9">
              <w:rPr>
                <w:i/>
                <w:sz w:val="18"/>
                <w:szCs w:val="18"/>
              </w:rPr>
              <w:t xml:space="preserve"> Notary  in  Jakarta  in  regards  of  increasing issued and paid capital as of 13</w:t>
            </w:r>
            <w:r w:rsidR="00E347DC">
              <w:rPr>
                <w:i/>
                <w:sz w:val="18"/>
                <w:szCs w:val="18"/>
              </w:rPr>
              <w:t>,</w:t>
            </w:r>
            <w:r w:rsidR="007038D4" w:rsidRPr="00C735B9">
              <w:rPr>
                <w:i/>
                <w:sz w:val="18"/>
                <w:szCs w:val="18"/>
              </w:rPr>
              <w:t>118</w:t>
            </w:r>
            <w:r w:rsidR="00E347DC">
              <w:rPr>
                <w:i/>
                <w:sz w:val="18"/>
                <w:szCs w:val="18"/>
              </w:rPr>
              <w:t>,</w:t>
            </w:r>
            <w:r w:rsidR="007038D4" w:rsidRPr="00C735B9">
              <w:rPr>
                <w:i/>
                <w:sz w:val="18"/>
                <w:szCs w:val="18"/>
              </w:rPr>
              <w:t>881</w:t>
            </w:r>
            <w:r w:rsidR="00E347DC">
              <w:rPr>
                <w:i/>
                <w:sz w:val="18"/>
                <w:szCs w:val="18"/>
              </w:rPr>
              <w:t>,</w:t>
            </w:r>
            <w:r w:rsidR="007038D4" w:rsidRPr="00C735B9">
              <w:rPr>
                <w:i/>
                <w:sz w:val="18"/>
                <w:szCs w:val="18"/>
              </w:rPr>
              <w:t>516 shares equivalent</w:t>
            </w:r>
            <w:r>
              <w:rPr>
                <w:i/>
                <w:sz w:val="18"/>
                <w:szCs w:val="18"/>
              </w:rPr>
              <w:t xml:space="preserve"> </w:t>
            </w:r>
            <w:r w:rsidR="007038D4" w:rsidRPr="00C735B9">
              <w:rPr>
                <w:i/>
                <w:sz w:val="18"/>
                <w:szCs w:val="18"/>
              </w:rPr>
              <w:t>99.81%</w:t>
            </w:r>
            <w:r>
              <w:rPr>
                <w:i/>
                <w:sz w:val="18"/>
                <w:szCs w:val="18"/>
              </w:rPr>
              <w:t xml:space="preserve"> </w:t>
            </w:r>
            <w:r w:rsidR="007038D4" w:rsidRPr="00C735B9">
              <w:rPr>
                <w:i/>
                <w:sz w:val="18"/>
                <w:szCs w:val="18"/>
              </w:rPr>
              <w:t>amounting</w:t>
            </w:r>
            <w:r>
              <w:rPr>
                <w:i/>
                <w:sz w:val="18"/>
                <w:szCs w:val="18"/>
              </w:rPr>
              <w:t xml:space="preserve"> </w:t>
            </w:r>
            <w:r w:rsidR="007038D4" w:rsidRPr="00C735B9">
              <w:rPr>
                <w:i/>
                <w:sz w:val="18"/>
                <w:szCs w:val="18"/>
              </w:rPr>
              <w:t xml:space="preserve">to </w:t>
            </w:r>
            <w:r>
              <w:rPr>
                <w:i/>
                <w:sz w:val="18"/>
                <w:szCs w:val="18"/>
              </w:rPr>
              <w:br/>
            </w:r>
            <w:r w:rsidR="007038D4" w:rsidRPr="00C735B9">
              <w:rPr>
                <w:i/>
                <w:sz w:val="18"/>
                <w:szCs w:val="18"/>
              </w:rPr>
              <w:t>Rp</w:t>
            </w:r>
            <w:r>
              <w:rPr>
                <w:i/>
                <w:sz w:val="18"/>
                <w:szCs w:val="18"/>
              </w:rPr>
              <w:t xml:space="preserve"> </w:t>
            </w:r>
            <w:r w:rsidR="007038D4" w:rsidRPr="00C735B9">
              <w:rPr>
                <w:i/>
                <w:sz w:val="18"/>
                <w:szCs w:val="18"/>
              </w:rPr>
              <w:t>1</w:t>
            </w:r>
            <w:r w:rsidR="00E347DC">
              <w:rPr>
                <w:i/>
                <w:sz w:val="18"/>
                <w:szCs w:val="18"/>
              </w:rPr>
              <w:t>,</w:t>
            </w:r>
            <w:r w:rsidR="007038D4" w:rsidRPr="00C735B9">
              <w:rPr>
                <w:i/>
                <w:sz w:val="18"/>
                <w:szCs w:val="18"/>
              </w:rPr>
              <w:t>311</w:t>
            </w:r>
            <w:r w:rsidR="00E347DC">
              <w:rPr>
                <w:i/>
                <w:sz w:val="18"/>
                <w:szCs w:val="18"/>
              </w:rPr>
              <w:t>,</w:t>
            </w:r>
            <w:r w:rsidR="007038D4" w:rsidRPr="00C735B9">
              <w:rPr>
                <w:i/>
                <w:sz w:val="18"/>
                <w:szCs w:val="18"/>
              </w:rPr>
              <w:t>888</w:t>
            </w:r>
            <w:r w:rsidR="00E347DC">
              <w:rPr>
                <w:i/>
                <w:sz w:val="18"/>
                <w:szCs w:val="18"/>
              </w:rPr>
              <w:t>,</w:t>
            </w:r>
            <w:r w:rsidR="007038D4" w:rsidRPr="00C735B9">
              <w:rPr>
                <w:i/>
                <w:sz w:val="18"/>
                <w:szCs w:val="18"/>
              </w:rPr>
              <w:t>151</w:t>
            </w:r>
            <w:r w:rsidR="00E347DC">
              <w:rPr>
                <w:i/>
                <w:sz w:val="18"/>
                <w:szCs w:val="18"/>
              </w:rPr>
              <w:t>,</w:t>
            </w:r>
            <w:r w:rsidR="007038D4" w:rsidRPr="00C735B9">
              <w:rPr>
                <w:i/>
                <w:sz w:val="18"/>
                <w:szCs w:val="18"/>
              </w:rPr>
              <w:t xml:space="preserve">600. This changed was approved by the Minister of Law and Human Rights of the Republic of Indonesia by his Decision   Letter   </w:t>
            </w:r>
            <w:r w:rsidR="004F6552">
              <w:rPr>
                <w:i/>
                <w:sz w:val="18"/>
                <w:szCs w:val="18"/>
              </w:rPr>
              <w:br/>
            </w:r>
            <w:r w:rsidR="007038D4" w:rsidRPr="00C735B9">
              <w:rPr>
                <w:i/>
                <w:sz w:val="18"/>
                <w:szCs w:val="18"/>
              </w:rPr>
              <w:t>No</w:t>
            </w:r>
            <w:r w:rsidR="004F6552">
              <w:rPr>
                <w:i/>
                <w:sz w:val="18"/>
                <w:szCs w:val="18"/>
              </w:rPr>
              <w:t xml:space="preserve">. </w:t>
            </w:r>
            <w:r w:rsidR="007038D4" w:rsidRPr="00C735B9">
              <w:rPr>
                <w:i/>
                <w:sz w:val="18"/>
                <w:szCs w:val="18"/>
              </w:rPr>
              <w:t>AHU-0013554.AH.01.11</w:t>
            </w:r>
            <w:r w:rsidR="007038D4" w:rsidRPr="00C735B9">
              <w:rPr>
                <w:i/>
                <w:sz w:val="18"/>
                <w:szCs w:val="18"/>
                <w:lang w:val="id-ID"/>
              </w:rPr>
              <w:t xml:space="preserve"> </w:t>
            </w:r>
            <w:r w:rsidR="007038D4" w:rsidRPr="00C735B9">
              <w:rPr>
                <w:i/>
                <w:sz w:val="18"/>
                <w:szCs w:val="18"/>
              </w:rPr>
              <w:t xml:space="preserve">Year 2018 dated </w:t>
            </w:r>
            <w:r>
              <w:rPr>
                <w:i/>
                <w:sz w:val="18"/>
                <w:szCs w:val="18"/>
              </w:rPr>
              <w:br/>
            </w:r>
            <w:r w:rsidR="007038D4" w:rsidRPr="00C735B9">
              <w:rPr>
                <w:i/>
                <w:sz w:val="18"/>
                <w:szCs w:val="18"/>
              </w:rPr>
              <w:t>January 30</w:t>
            </w:r>
            <w:r w:rsidR="00E347DC">
              <w:rPr>
                <w:i/>
                <w:sz w:val="18"/>
                <w:szCs w:val="18"/>
              </w:rPr>
              <w:t>,</w:t>
            </w:r>
            <w:r w:rsidR="007038D4" w:rsidRPr="00C735B9">
              <w:rPr>
                <w:i/>
                <w:sz w:val="18"/>
                <w:szCs w:val="18"/>
              </w:rPr>
              <w:t xml:space="preserve"> 2018.</w:t>
            </w:r>
          </w:p>
        </w:tc>
      </w:tr>
      <w:tr w:rsidR="006804EE" w:rsidRPr="00C735B9" w14:paraId="5C20CB66" w14:textId="77777777" w:rsidTr="004F6552">
        <w:tc>
          <w:tcPr>
            <w:tcW w:w="4597" w:type="dxa"/>
          </w:tcPr>
          <w:p w14:paraId="49F2C085" w14:textId="77777777" w:rsidR="006804EE" w:rsidRPr="00C735B9" w:rsidRDefault="006804EE" w:rsidP="007038D4">
            <w:pPr>
              <w:ind w:left="567" w:right="-57"/>
              <w:jc w:val="both"/>
              <w:rPr>
                <w:rStyle w:val="hps"/>
                <w:sz w:val="18"/>
                <w:szCs w:val="18"/>
              </w:rPr>
            </w:pPr>
          </w:p>
        </w:tc>
        <w:tc>
          <w:tcPr>
            <w:tcW w:w="4600" w:type="dxa"/>
          </w:tcPr>
          <w:p w14:paraId="00D08F94" w14:textId="77777777" w:rsidR="006804EE" w:rsidRPr="00C735B9" w:rsidRDefault="006804EE" w:rsidP="007038D4">
            <w:pPr>
              <w:ind w:left="567" w:right="-57"/>
              <w:jc w:val="both"/>
              <w:rPr>
                <w:i/>
                <w:sz w:val="18"/>
                <w:szCs w:val="18"/>
              </w:rPr>
            </w:pPr>
          </w:p>
        </w:tc>
      </w:tr>
      <w:tr w:rsidR="004F6552" w:rsidRPr="00C735B9" w14:paraId="50913A00" w14:textId="77777777" w:rsidTr="004F6552">
        <w:tc>
          <w:tcPr>
            <w:tcW w:w="4597" w:type="dxa"/>
          </w:tcPr>
          <w:p w14:paraId="6807541F" w14:textId="45C6B4A3" w:rsidR="004F6552" w:rsidRPr="00C735B9" w:rsidRDefault="004F6552" w:rsidP="00DA069B">
            <w:pPr>
              <w:ind w:left="567" w:right="-57"/>
              <w:jc w:val="both"/>
              <w:rPr>
                <w:rStyle w:val="hps"/>
                <w:sz w:val="18"/>
                <w:szCs w:val="18"/>
              </w:rPr>
            </w:pPr>
            <w:r w:rsidRPr="00603B6A">
              <w:rPr>
                <w:sz w:val="18"/>
                <w:szCs w:val="18"/>
                <w:lang w:val="id-ID"/>
              </w:rPr>
              <w:t>Anggaran dasar Entitas telah mengalami beberapa kali perubahan</w:t>
            </w:r>
            <w:r w:rsidR="00870FD0">
              <w:rPr>
                <w:sz w:val="18"/>
                <w:szCs w:val="18"/>
                <w:lang w:val="id-ID"/>
              </w:rPr>
              <w:t>.</w:t>
            </w:r>
            <w:r w:rsidRPr="00603B6A">
              <w:rPr>
                <w:sz w:val="18"/>
                <w:szCs w:val="18"/>
                <w:lang w:val="id-ID"/>
              </w:rPr>
              <w:t xml:space="preserve"> terakhir dengan akta Notaris </w:t>
            </w:r>
            <w:r>
              <w:rPr>
                <w:sz w:val="18"/>
                <w:szCs w:val="18"/>
                <w:lang w:val="en-ID"/>
              </w:rPr>
              <w:t>Eriko Nicolaus Honanda</w:t>
            </w:r>
            <w:r w:rsidR="00DA069B">
              <w:rPr>
                <w:sz w:val="18"/>
                <w:szCs w:val="18"/>
                <w:lang w:val="en-ID"/>
              </w:rPr>
              <w:t>,</w:t>
            </w:r>
            <w:r>
              <w:rPr>
                <w:sz w:val="18"/>
                <w:szCs w:val="18"/>
                <w:lang w:val="en-ID"/>
              </w:rPr>
              <w:t xml:space="preserve"> S.E.</w:t>
            </w:r>
            <w:r w:rsidR="00DA069B">
              <w:rPr>
                <w:sz w:val="18"/>
                <w:szCs w:val="18"/>
                <w:lang w:val="en-ID"/>
              </w:rPr>
              <w:t>,</w:t>
            </w:r>
            <w:r>
              <w:rPr>
                <w:sz w:val="18"/>
                <w:szCs w:val="18"/>
                <w:lang w:val="en-ID"/>
              </w:rPr>
              <w:t xml:space="preserve"> S.H.</w:t>
            </w:r>
            <w:r w:rsidR="00DA069B">
              <w:rPr>
                <w:sz w:val="18"/>
                <w:szCs w:val="18"/>
                <w:lang w:val="en-ID"/>
              </w:rPr>
              <w:t>,</w:t>
            </w:r>
            <w:r>
              <w:rPr>
                <w:sz w:val="18"/>
                <w:szCs w:val="18"/>
                <w:lang w:val="en-ID"/>
              </w:rPr>
              <w:t xml:space="preserve"> M.M</w:t>
            </w:r>
            <w:r w:rsidRPr="00603B6A">
              <w:rPr>
                <w:sz w:val="18"/>
                <w:szCs w:val="18"/>
                <w:lang w:val="id-ID"/>
              </w:rPr>
              <w:t>.</w:t>
            </w:r>
            <w:r w:rsidR="00DA069B">
              <w:rPr>
                <w:sz w:val="18"/>
                <w:szCs w:val="18"/>
              </w:rPr>
              <w:t>,</w:t>
            </w:r>
            <w:r w:rsidRPr="00603B6A">
              <w:rPr>
                <w:sz w:val="18"/>
                <w:szCs w:val="18"/>
                <w:lang w:val="id-ID"/>
              </w:rPr>
              <w:t xml:space="preserve"> </w:t>
            </w:r>
            <w:r>
              <w:rPr>
                <w:sz w:val="18"/>
                <w:szCs w:val="18"/>
                <w:lang w:val="en-ID"/>
              </w:rPr>
              <w:t>No. 78</w:t>
            </w:r>
            <w:r>
              <w:rPr>
                <w:sz w:val="18"/>
                <w:szCs w:val="18"/>
                <w:lang w:val="id-ID"/>
              </w:rPr>
              <w:t xml:space="preserve"> tanggal</w:t>
            </w:r>
            <w:r>
              <w:rPr>
                <w:sz w:val="18"/>
                <w:szCs w:val="18"/>
                <w:lang w:val="en-ID"/>
              </w:rPr>
              <w:br/>
              <w:t>24 Juni 2019</w:t>
            </w:r>
            <w:r w:rsidRPr="00603B6A">
              <w:rPr>
                <w:sz w:val="18"/>
                <w:szCs w:val="18"/>
                <w:lang w:val="id-ID"/>
              </w:rPr>
              <w:t xml:space="preserve"> mengenai </w:t>
            </w:r>
            <w:r>
              <w:rPr>
                <w:sz w:val="18"/>
                <w:szCs w:val="18"/>
                <w:lang w:val="en-ID"/>
              </w:rPr>
              <w:t>pernyataan keputusan rapat</w:t>
            </w:r>
            <w:r w:rsidRPr="00603B6A">
              <w:rPr>
                <w:sz w:val="18"/>
                <w:szCs w:val="18"/>
                <w:lang w:val="id-ID"/>
              </w:rPr>
              <w:t xml:space="preserve">. Perubahan tersebut telah disahkan oleh Menteri Hukum dan Hak Asasi Manusia Republik </w:t>
            </w:r>
            <w:r>
              <w:rPr>
                <w:sz w:val="18"/>
                <w:szCs w:val="18"/>
                <w:lang w:val="id-ID"/>
              </w:rPr>
              <w:t>Indonesia dalam Surat Keputusan</w:t>
            </w:r>
            <w:r>
              <w:rPr>
                <w:sz w:val="18"/>
                <w:szCs w:val="18"/>
                <w:lang w:val="en-ID"/>
              </w:rPr>
              <w:t xml:space="preserve"> </w:t>
            </w:r>
            <w:r w:rsidRPr="00603B6A">
              <w:rPr>
                <w:sz w:val="18"/>
                <w:szCs w:val="18"/>
                <w:lang w:val="id-ID"/>
              </w:rPr>
              <w:t>No. AHU-</w:t>
            </w:r>
            <w:r>
              <w:rPr>
                <w:sz w:val="18"/>
                <w:szCs w:val="18"/>
                <w:lang w:val="en-ID"/>
              </w:rPr>
              <w:t xml:space="preserve">0041038.AH.01.02. Tahun 2019 </w:t>
            </w:r>
            <w:r w:rsidRPr="00603B6A">
              <w:rPr>
                <w:sz w:val="18"/>
                <w:szCs w:val="18"/>
                <w:lang w:val="id-ID"/>
              </w:rPr>
              <w:t>ta</w:t>
            </w:r>
            <w:r>
              <w:rPr>
                <w:sz w:val="18"/>
                <w:szCs w:val="18"/>
                <w:lang w:val="id-ID"/>
              </w:rPr>
              <w:t>nggal</w:t>
            </w:r>
            <w:r>
              <w:rPr>
                <w:sz w:val="18"/>
                <w:szCs w:val="18"/>
                <w:lang w:val="en-ID"/>
              </w:rPr>
              <w:t xml:space="preserve"> 24 Juli 2019</w:t>
            </w:r>
            <w:r w:rsidRPr="00603B6A">
              <w:rPr>
                <w:sz w:val="18"/>
                <w:szCs w:val="18"/>
                <w:lang w:val="id-ID"/>
              </w:rPr>
              <w:t>.</w:t>
            </w:r>
          </w:p>
        </w:tc>
        <w:tc>
          <w:tcPr>
            <w:tcW w:w="4600" w:type="dxa"/>
          </w:tcPr>
          <w:p w14:paraId="7C33214B" w14:textId="09DF4AE1" w:rsidR="004F6552" w:rsidRPr="00C735B9" w:rsidRDefault="004F6552" w:rsidP="00DA069B">
            <w:pPr>
              <w:ind w:left="567" w:right="-57"/>
              <w:jc w:val="both"/>
              <w:rPr>
                <w:i/>
                <w:sz w:val="18"/>
                <w:szCs w:val="18"/>
              </w:rPr>
            </w:pPr>
            <w:r w:rsidRPr="005E3ABD">
              <w:rPr>
                <w:i/>
                <w:sz w:val="18"/>
                <w:szCs w:val="18"/>
                <w:lang w:val="id-ID"/>
              </w:rPr>
              <w:t>The Entity’s articles of association has been amended several times</w:t>
            </w:r>
            <w:r w:rsidR="00870FD0">
              <w:rPr>
                <w:i/>
                <w:sz w:val="18"/>
                <w:szCs w:val="18"/>
                <w:lang w:val="id-ID"/>
              </w:rPr>
              <w:t>.</w:t>
            </w:r>
            <w:r w:rsidRPr="005E3ABD">
              <w:rPr>
                <w:i/>
                <w:sz w:val="18"/>
                <w:szCs w:val="18"/>
                <w:lang w:val="id-ID"/>
              </w:rPr>
              <w:t xml:space="preserve"> the latest of which was based on Notarial Deed No. </w:t>
            </w:r>
            <w:r w:rsidRPr="005E3ABD">
              <w:rPr>
                <w:i/>
                <w:sz w:val="18"/>
                <w:szCs w:val="18"/>
                <w:lang w:val="en-ID"/>
              </w:rPr>
              <w:t>78</w:t>
            </w:r>
            <w:r w:rsidRPr="005E3ABD">
              <w:rPr>
                <w:i/>
                <w:sz w:val="18"/>
                <w:szCs w:val="18"/>
                <w:lang w:val="id-ID"/>
              </w:rPr>
              <w:t xml:space="preserve"> of </w:t>
            </w:r>
            <w:r w:rsidRPr="005E3ABD">
              <w:rPr>
                <w:i/>
                <w:sz w:val="18"/>
                <w:szCs w:val="18"/>
                <w:lang w:val="en-ID"/>
              </w:rPr>
              <w:t>Eriko Nicolaus Honanda</w:t>
            </w:r>
            <w:r w:rsidR="00DA069B">
              <w:rPr>
                <w:i/>
                <w:sz w:val="18"/>
                <w:szCs w:val="18"/>
                <w:lang w:val="en-ID"/>
              </w:rPr>
              <w:t>,</w:t>
            </w:r>
            <w:r w:rsidRPr="005E3ABD">
              <w:rPr>
                <w:i/>
                <w:sz w:val="18"/>
                <w:szCs w:val="18"/>
                <w:lang w:val="en-ID"/>
              </w:rPr>
              <w:t xml:space="preserve"> S.E.</w:t>
            </w:r>
            <w:r w:rsidR="00DA069B">
              <w:rPr>
                <w:i/>
                <w:sz w:val="18"/>
                <w:szCs w:val="18"/>
                <w:lang w:val="en-ID"/>
              </w:rPr>
              <w:t>,</w:t>
            </w:r>
            <w:r w:rsidRPr="005E3ABD">
              <w:rPr>
                <w:i/>
                <w:sz w:val="18"/>
                <w:szCs w:val="18"/>
                <w:lang w:val="en-ID"/>
              </w:rPr>
              <w:t xml:space="preserve"> S.H.</w:t>
            </w:r>
            <w:r w:rsidR="00DA069B">
              <w:rPr>
                <w:i/>
                <w:sz w:val="18"/>
                <w:szCs w:val="18"/>
                <w:lang w:val="en-ID"/>
              </w:rPr>
              <w:t>,</w:t>
            </w:r>
            <w:r w:rsidRPr="005E3ABD">
              <w:rPr>
                <w:i/>
                <w:sz w:val="18"/>
                <w:szCs w:val="18"/>
                <w:lang w:val="en-ID"/>
              </w:rPr>
              <w:t xml:space="preserve"> M.M</w:t>
            </w:r>
            <w:r w:rsidRPr="005E3ABD">
              <w:rPr>
                <w:i/>
                <w:sz w:val="18"/>
                <w:szCs w:val="18"/>
                <w:lang w:val="id-ID"/>
              </w:rPr>
              <w:t>.</w:t>
            </w:r>
            <w:r w:rsidR="00DA069B">
              <w:rPr>
                <w:i/>
                <w:sz w:val="18"/>
                <w:szCs w:val="18"/>
              </w:rPr>
              <w:t xml:space="preserve">, </w:t>
            </w:r>
            <w:r w:rsidRPr="005E3ABD">
              <w:rPr>
                <w:i/>
                <w:sz w:val="18"/>
                <w:szCs w:val="18"/>
                <w:lang w:val="id-ID"/>
              </w:rPr>
              <w:t>dated Ju</w:t>
            </w:r>
            <w:r w:rsidRPr="005E3ABD">
              <w:rPr>
                <w:i/>
                <w:sz w:val="18"/>
                <w:szCs w:val="18"/>
                <w:lang w:val="en-ID"/>
              </w:rPr>
              <w:t>ne</w:t>
            </w:r>
            <w:r w:rsidRPr="005E3ABD">
              <w:rPr>
                <w:i/>
                <w:sz w:val="18"/>
                <w:szCs w:val="18"/>
                <w:lang w:val="id-ID"/>
              </w:rPr>
              <w:t xml:space="preserve"> </w:t>
            </w:r>
            <w:r w:rsidRPr="005E3ABD">
              <w:rPr>
                <w:i/>
                <w:sz w:val="18"/>
                <w:szCs w:val="18"/>
                <w:lang w:val="en-ID"/>
              </w:rPr>
              <w:t>24</w:t>
            </w:r>
            <w:r w:rsidR="00DA069B">
              <w:rPr>
                <w:i/>
                <w:sz w:val="18"/>
                <w:szCs w:val="18"/>
                <w:lang w:val="id-ID"/>
              </w:rPr>
              <w:t>,</w:t>
            </w:r>
            <w:r w:rsidRPr="005E3ABD">
              <w:rPr>
                <w:i/>
                <w:sz w:val="18"/>
                <w:szCs w:val="18"/>
                <w:lang w:val="id-ID"/>
              </w:rPr>
              <w:t xml:space="preserve"> 201</w:t>
            </w:r>
            <w:r w:rsidRPr="005E3ABD">
              <w:rPr>
                <w:i/>
                <w:sz w:val="18"/>
                <w:szCs w:val="18"/>
                <w:lang w:val="en-ID"/>
              </w:rPr>
              <w:t>9</w:t>
            </w:r>
            <w:r w:rsidR="00DA069B">
              <w:rPr>
                <w:i/>
                <w:sz w:val="18"/>
                <w:szCs w:val="18"/>
                <w:lang w:val="id-ID"/>
              </w:rPr>
              <w:t>,</w:t>
            </w:r>
            <w:r w:rsidRPr="005E3ABD">
              <w:rPr>
                <w:i/>
                <w:sz w:val="18"/>
                <w:szCs w:val="18"/>
                <w:lang w:val="id-ID"/>
              </w:rPr>
              <w:t xml:space="preserve"> concerning the change of the Entity’s Board of Director. This amendment was approved by the Ministry of Law and Human Rights of the Republic of Indonesia in its Decision Letter </w:t>
            </w:r>
            <w:r>
              <w:rPr>
                <w:i/>
                <w:sz w:val="18"/>
                <w:szCs w:val="18"/>
                <w:lang w:val="en-ID"/>
              </w:rPr>
              <w:t xml:space="preserve">No. </w:t>
            </w:r>
            <w:r w:rsidRPr="005E3ABD">
              <w:rPr>
                <w:i/>
                <w:sz w:val="18"/>
                <w:szCs w:val="18"/>
                <w:lang w:val="id-ID"/>
              </w:rPr>
              <w:t>AHU-</w:t>
            </w:r>
            <w:r w:rsidRPr="005E3ABD">
              <w:rPr>
                <w:i/>
                <w:sz w:val="18"/>
                <w:szCs w:val="18"/>
                <w:lang w:val="en-ID"/>
              </w:rPr>
              <w:t>0041038.AH.01.02.</w:t>
            </w:r>
            <w:r>
              <w:rPr>
                <w:i/>
                <w:sz w:val="18"/>
                <w:szCs w:val="18"/>
                <w:lang w:val="en-ID"/>
              </w:rPr>
              <w:t xml:space="preserve"> </w:t>
            </w:r>
            <w:r w:rsidRPr="005E3ABD">
              <w:rPr>
                <w:i/>
                <w:sz w:val="18"/>
                <w:szCs w:val="18"/>
                <w:lang w:val="en-ID"/>
              </w:rPr>
              <w:t>Tahun 2019</w:t>
            </w:r>
            <w:r>
              <w:rPr>
                <w:i/>
                <w:sz w:val="18"/>
                <w:szCs w:val="18"/>
                <w:lang w:val="en-ID"/>
              </w:rPr>
              <w:t xml:space="preserve"> </w:t>
            </w:r>
            <w:r w:rsidRPr="005E3ABD">
              <w:rPr>
                <w:i/>
                <w:sz w:val="18"/>
                <w:szCs w:val="18"/>
                <w:lang w:val="id-ID"/>
              </w:rPr>
              <w:t xml:space="preserve">dated </w:t>
            </w:r>
            <w:r w:rsidRPr="005E3ABD">
              <w:rPr>
                <w:i/>
                <w:sz w:val="18"/>
                <w:szCs w:val="18"/>
                <w:lang w:val="en-ID"/>
              </w:rPr>
              <w:t>July 24</w:t>
            </w:r>
            <w:r w:rsidR="00DA069B">
              <w:rPr>
                <w:i/>
                <w:sz w:val="18"/>
                <w:szCs w:val="18"/>
                <w:lang w:val="id-ID"/>
              </w:rPr>
              <w:t>,</w:t>
            </w:r>
            <w:r w:rsidRPr="005E3ABD">
              <w:rPr>
                <w:i/>
                <w:sz w:val="18"/>
                <w:szCs w:val="18"/>
                <w:lang w:val="id-ID"/>
              </w:rPr>
              <w:t xml:space="preserve"> 201</w:t>
            </w:r>
            <w:r w:rsidRPr="005E3ABD">
              <w:rPr>
                <w:i/>
                <w:sz w:val="18"/>
                <w:szCs w:val="18"/>
                <w:lang w:val="en-ID"/>
              </w:rPr>
              <w:t>9</w:t>
            </w:r>
            <w:r w:rsidRPr="005E3ABD">
              <w:rPr>
                <w:i/>
                <w:sz w:val="18"/>
                <w:szCs w:val="18"/>
                <w:lang w:val="id-ID"/>
              </w:rPr>
              <w:t>.</w:t>
            </w:r>
          </w:p>
        </w:tc>
      </w:tr>
      <w:tr w:rsidR="009B0A73" w:rsidRPr="00C735B9" w14:paraId="3C6030A8" w14:textId="77777777" w:rsidTr="004F6552">
        <w:tc>
          <w:tcPr>
            <w:tcW w:w="4597" w:type="dxa"/>
          </w:tcPr>
          <w:p w14:paraId="21944B1B" w14:textId="77777777" w:rsidR="009B0A73" w:rsidRPr="00C735B9" w:rsidRDefault="009B0A73" w:rsidP="009B0A73">
            <w:pPr>
              <w:ind w:left="567" w:right="-57"/>
              <w:jc w:val="both"/>
              <w:rPr>
                <w:rStyle w:val="hps"/>
                <w:sz w:val="18"/>
                <w:szCs w:val="18"/>
              </w:rPr>
            </w:pPr>
          </w:p>
        </w:tc>
        <w:tc>
          <w:tcPr>
            <w:tcW w:w="4600" w:type="dxa"/>
          </w:tcPr>
          <w:p w14:paraId="51120BEC" w14:textId="77777777" w:rsidR="009B0A73" w:rsidRPr="00C735B9" w:rsidRDefault="009B0A73" w:rsidP="009B0A73">
            <w:pPr>
              <w:ind w:left="567" w:right="-57"/>
              <w:jc w:val="both"/>
              <w:rPr>
                <w:i/>
                <w:sz w:val="18"/>
                <w:szCs w:val="18"/>
              </w:rPr>
            </w:pPr>
          </w:p>
        </w:tc>
      </w:tr>
      <w:tr w:rsidR="009B0A73" w:rsidRPr="00C735B9" w14:paraId="094D6475" w14:textId="77777777" w:rsidTr="004F6552">
        <w:tc>
          <w:tcPr>
            <w:tcW w:w="4597" w:type="dxa"/>
          </w:tcPr>
          <w:p w14:paraId="5137614A" w14:textId="1E0A000A" w:rsidR="009B0A73" w:rsidRPr="00C735B9" w:rsidRDefault="007038D4" w:rsidP="007038D4">
            <w:pPr>
              <w:ind w:left="567" w:right="-57"/>
              <w:jc w:val="both"/>
              <w:rPr>
                <w:rStyle w:val="hps"/>
                <w:sz w:val="18"/>
                <w:szCs w:val="18"/>
              </w:rPr>
            </w:pPr>
            <w:r w:rsidRPr="00C735B9">
              <w:rPr>
                <w:rStyle w:val="hps"/>
                <w:sz w:val="18"/>
                <w:szCs w:val="18"/>
              </w:rPr>
              <w:t>NKM memperoleh izin operasional rumah sakit dari Departemen Kesehatan Republik Indonesia dalam Surat Keputusannya No. 3693 tahun 2013 tanggal</w:t>
            </w:r>
            <w:r w:rsidR="00C735B9">
              <w:rPr>
                <w:rStyle w:val="hps"/>
                <w:sz w:val="18"/>
                <w:szCs w:val="18"/>
              </w:rPr>
              <w:br/>
            </w:r>
            <w:r w:rsidRPr="00C735B9">
              <w:rPr>
                <w:rStyle w:val="hps"/>
                <w:sz w:val="18"/>
                <w:szCs w:val="18"/>
              </w:rPr>
              <w:t>18 No</w:t>
            </w:r>
            <w:r w:rsidR="00C735B9">
              <w:rPr>
                <w:rStyle w:val="hps"/>
                <w:sz w:val="18"/>
                <w:szCs w:val="18"/>
              </w:rPr>
              <w:t>v</w:t>
            </w:r>
            <w:r w:rsidRPr="00C735B9">
              <w:rPr>
                <w:rStyle w:val="hps"/>
                <w:sz w:val="18"/>
                <w:szCs w:val="18"/>
              </w:rPr>
              <w:t>ember 2013 yang berlaku sampai</w:t>
            </w:r>
            <w:r w:rsidRPr="00C735B9">
              <w:rPr>
                <w:rStyle w:val="hps"/>
                <w:sz w:val="18"/>
                <w:szCs w:val="18"/>
                <w:lang w:val="id-ID"/>
              </w:rPr>
              <w:t xml:space="preserve"> </w:t>
            </w:r>
            <w:r w:rsidR="00C735B9">
              <w:rPr>
                <w:rStyle w:val="hps"/>
                <w:sz w:val="18"/>
                <w:szCs w:val="18"/>
                <w:lang w:val="id-ID"/>
              </w:rPr>
              <w:br/>
            </w:r>
            <w:r w:rsidRPr="00C735B9">
              <w:rPr>
                <w:rStyle w:val="hps"/>
                <w:sz w:val="18"/>
                <w:szCs w:val="18"/>
              </w:rPr>
              <w:t>18  No</w:t>
            </w:r>
            <w:r w:rsidR="00C735B9">
              <w:rPr>
                <w:rStyle w:val="hps"/>
                <w:sz w:val="18"/>
                <w:szCs w:val="18"/>
              </w:rPr>
              <w:t>v</w:t>
            </w:r>
            <w:r w:rsidRPr="00C735B9">
              <w:rPr>
                <w:rStyle w:val="hps"/>
                <w:sz w:val="18"/>
                <w:szCs w:val="18"/>
              </w:rPr>
              <w:t>ember  2018.  Izin  operasioanal  rumah sakit telah diperpanjang selama 5 (lima) tahun terhitung sejak tanggal 20 Desember 2018 sampai dengan 20 Desember 2023 dari Dinas Penanaman Modal dan Pelayanan Terpadu Satu Pintu Pemerintah Provinsi DKI Jakarta.</w:t>
            </w:r>
          </w:p>
        </w:tc>
        <w:tc>
          <w:tcPr>
            <w:tcW w:w="4600" w:type="dxa"/>
          </w:tcPr>
          <w:p w14:paraId="549C3FEE" w14:textId="77786B3D" w:rsidR="009B0A73" w:rsidRPr="00C735B9" w:rsidRDefault="007038D4" w:rsidP="00DA069B">
            <w:pPr>
              <w:ind w:left="567" w:right="-57"/>
              <w:jc w:val="both"/>
              <w:rPr>
                <w:i/>
                <w:sz w:val="18"/>
                <w:szCs w:val="18"/>
              </w:rPr>
            </w:pPr>
            <w:r w:rsidRPr="00C735B9">
              <w:rPr>
                <w:i/>
                <w:sz w:val="18"/>
                <w:szCs w:val="18"/>
              </w:rPr>
              <w:t>NKM obtained operational permit from the Department of Public Health of the Republic Indonesia in his decision No. 3693 year 2013 dated November 18</w:t>
            </w:r>
            <w:r w:rsidR="00DA069B">
              <w:rPr>
                <w:i/>
                <w:sz w:val="18"/>
                <w:szCs w:val="18"/>
              </w:rPr>
              <w:t>,</w:t>
            </w:r>
            <w:r w:rsidRPr="00C735B9">
              <w:rPr>
                <w:i/>
                <w:sz w:val="18"/>
                <w:szCs w:val="18"/>
              </w:rPr>
              <w:t xml:space="preserve"> 2013 which expired on </w:t>
            </w:r>
            <w:r w:rsidR="00C735B9">
              <w:rPr>
                <w:i/>
                <w:sz w:val="18"/>
                <w:szCs w:val="18"/>
              </w:rPr>
              <w:br/>
            </w:r>
            <w:r w:rsidRPr="00C735B9">
              <w:rPr>
                <w:i/>
                <w:sz w:val="18"/>
                <w:szCs w:val="18"/>
              </w:rPr>
              <w:t>November  18</w:t>
            </w:r>
            <w:r w:rsidR="00DA069B">
              <w:rPr>
                <w:i/>
                <w:sz w:val="18"/>
                <w:szCs w:val="18"/>
              </w:rPr>
              <w:t xml:space="preserve">, </w:t>
            </w:r>
            <w:r w:rsidRPr="00C735B9">
              <w:rPr>
                <w:i/>
                <w:sz w:val="18"/>
                <w:szCs w:val="18"/>
              </w:rPr>
              <w:t>2018.  The hospital operational permit  has  been  extended  for  5  (five)  years since December 20</w:t>
            </w:r>
            <w:r w:rsidR="00DA069B">
              <w:rPr>
                <w:i/>
                <w:sz w:val="18"/>
                <w:szCs w:val="18"/>
              </w:rPr>
              <w:t>,</w:t>
            </w:r>
            <w:r w:rsidRPr="00C735B9">
              <w:rPr>
                <w:i/>
                <w:sz w:val="18"/>
                <w:szCs w:val="18"/>
              </w:rPr>
              <w:t xml:space="preserve"> 2018 until December 20</w:t>
            </w:r>
            <w:r w:rsidR="00DA069B">
              <w:rPr>
                <w:i/>
                <w:sz w:val="18"/>
                <w:szCs w:val="18"/>
              </w:rPr>
              <w:t>,</w:t>
            </w:r>
            <w:r w:rsidRPr="00C735B9">
              <w:rPr>
                <w:i/>
                <w:sz w:val="18"/>
                <w:szCs w:val="18"/>
                <w:lang w:val="id-ID"/>
              </w:rPr>
              <w:t xml:space="preserve"> </w:t>
            </w:r>
            <w:r w:rsidRPr="00C735B9">
              <w:rPr>
                <w:i/>
                <w:sz w:val="18"/>
                <w:szCs w:val="18"/>
              </w:rPr>
              <w:t>2023 from the Department of Capital Investment and Integrated One Stop Service of Special Capital Region of Jakarta Government.</w:t>
            </w:r>
          </w:p>
        </w:tc>
      </w:tr>
      <w:tr w:rsidR="009B0A73" w:rsidRPr="00C735B9" w14:paraId="40878079" w14:textId="77777777" w:rsidTr="004F6552">
        <w:tc>
          <w:tcPr>
            <w:tcW w:w="4597" w:type="dxa"/>
          </w:tcPr>
          <w:p w14:paraId="79138B8E" w14:textId="77777777" w:rsidR="009B0A73" w:rsidRPr="00C735B9" w:rsidRDefault="009B0A73" w:rsidP="009B0A73">
            <w:pPr>
              <w:ind w:left="567" w:right="-57"/>
              <w:jc w:val="both"/>
              <w:rPr>
                <w:rStyle w:val="hps"/>
                <w:sz w:val="18"/>
                <w:szCs w:val="18"/>
              </w:rPr>
            </w:pPr>
          </w:p>
        </w:tc>
        <w:tc>
          <w:tcPr>
            <w:tcW w:w="4600" w:type="dxa"/>
          </w:tcPr>
          <w:p w14:paraId="7DDDC97B" w14:textId="77777777" w:rsidR="009B0A73" w:rsidRPr="00C735B9" w:rsidRDefault="009B0A73" w:rsidP="009B0A73">
            <w:pPr>
              <w:ind w:left="567" w:right="-57"/>
              <w:jc w:val="both"/>
              <w:rPr>
                <w:i/>
                <w:sz w:val="18"/>
                <w:szCs w:val="18"/>
              </w:rPr>
            </w:pPr>
          </w:p>
        </w:tc>
      </w:tr>
      <w:tr w:rsidR="009B0A73" w:rsidRPr="00C735B9" w14:paraId="2BCFE2FE" w14:textId="77777777" w:rsidTr="004F6552">
        <w:tc>
          <w:tcPr>
            <w:tcW w:w="4597" w:type="dxa"/>
          </w:tcPr>
          <w:p w14:paraId="2958877D" w14:textId="02285B09" w:rsidR="009B0A73" w:rsidRPr="00C735B9" w:rsidRDefault="007038D4" w:rsidP="009B0A73">
            <w:pPr>
              <w:ind w:left="567" w:right="-57"/>
              <w:jc w:val="both"/>
              <w:rPr>
                <w:rStyle w:val="hps"/>
                <w:b/>
                <w:sz w:val="18"/>
                <w:szCs w:val="18"/>
              </w:rPr>
            </w:pPr>
            <w:r w:rsidRPr="00C735B9">
              <w:rPr>
                <w:rStyle w:val="hps"/>
                <w:b/>
                <w:sz w:val="18"/>
                <w:szCs w:val="18"/>
              </w:rPr>
              <w:t>Akuisisi Entitas Anak Tahun 2010</w:t>
            </w:r>
          </w:p>
        </w:tc>
        <w:tc>
          <w:tcPr>
            <w:tcW w:w="4600" w:type="dxa"/>
          </w:tcPr>
          <w:p w14:paraId="44527E9B" w14:textId="0D1B4F27" w:rsidR="009B0A73" w:rsidRPr="00C735B9" w:rsidRDefault="007038D4" w:rsidP="009B0A73">
            <w:pPr>
              <w:ind w:left="567" w:right="-57"/>
              <w:jc w:val="both"/>
              <w:rPr>
                <w:b/>
                <w:i/>
                <w:sz w:val="18"/>
                <w:szCs w:val="18"/>
              </w:rPr>
            </w:pPr>
            <w:r w:rsidRPr="00C735B9">
              <w:rPr>
                <w:b/>
                <w:i/>
                <w:sz w:val="18"/>
                <w:szCs w:val="18"/>
              </w:rPr>
              <w:t>Acquisition of Subsidiaries in 2010</w:t>
            </w:r>
          </w:p>
        </w:tc>
      </w:tr>
      <w:tr w:rsidR="009B0A73" w:rsidRPr="00CC4AA5" w14:paraId="2E292645" w14:textId="77777777" w:rsidTr="004F6552">
        <w:tc>
          <w:tcPr>
            <w:tcW w:w="4597" w:type="dxa"/>
          </w:tcPr>
          <w:p w14:paraId="6143E637" w14:textId="77777777" w:rsidR="009B0A73" w:rsidRPr="00C735B9" w:rsidRDefault="009B0A73" w:rsidP="009B0A73">
            <w:pPr>
              <w:ind w:left="567" w:right="-57"/>
              <w:jc w:val="both"/>
              <w:rPr>
                <w:rStyle w:val="hps"/>
                <w:sz w:val="18"/>
                <w:szCs w:val="18"/>
              </w:rPr>
            </w:pPr>
          </w:p>
        </w:tc>
        <w:tc>
          <w:tcPr>
            <w:tcW w:w="4600" w:type="dxa"/>
          </w:tcPr>
          <w:p w14:paraId="04E3B1D0" w14:textId="77777777" w:rsidR="009B0A73" w:rsidRPr="00C735B9" w:rsidRDefault="009B0A73" w:rsidP="009B0A73">
            <w:pPr>
              <w:ind w:left="567" w:right="-57"/>
              <w:jc w:val="both"/>
              <w:rPr>
                <w:i/>
                <w:sz w:val="18"/>
                <w:szCs w:val="18"/>
              </w:rPr>
            </w:pPr>
          </w:p>
        </w:tc>
      </w:tr>
      <w:tr w:rsidR="007038D4" w:rsidRPr="009C3072" w14:paraId="455DBF0E" w14:textId="77777777" w:rsidTr="004F6552">
        <w:tc>
          <w:tcPr>
            <w:tcW w:w="4597" w:type="dxa"/>
          </w:tcPr>
          <w:p w14:paraId="4AAA543E" w14:textId="291CDEC7" w:rsidR="007038D4" w:rsidRPr="009C3072" w:rsidRDefault="007038D4" w:rsidP="009B0A73">
            <w:pPr>
              <w:ind w:left="567" w:right="-57"/>
              <w:jc w:val="both"/>
              <w:rPr>
                <w:rStyle w:val="hps"/>
                <w:sz w:val="18"/>
                <w:szCs w:val="18"/>
                <w:u w:val="single"/>
              </w:rPr>
            </w:pPr>
            <w:r w:rsidRPr="009C3072">
              <w:rPr>
                <w:rStyle w:val="hps"/>
                <w:sz w:val="18"/>
                <w:szCs w:val="18"/>
                <w:u w:val="single"/>
              </w:rPr>
              <w:t>PT Fajar  Kharisma  Nusantara  (“FKN”)</w:t>
            </w:r>
          </w:p>
        </w:tc>
        <w:tc>
          <w:tcPr>
            <w:tcW w:w="4600" w:type="dxa"/>
          </w:tcPr>
          <w:p w14:paraId="036E9BDA" w14:textId="62239158" w:rsidR="007038D4" w:rsidRPr="009C3072" w:rsidRDefault="007038D4" w:rsidP="009B0A73">
            <w:pPr>
              <w:ind w:left="567" w:right="-57"/>
              <w:jc w:val="both"/>
              <w:rPr>
                <w:i/>
                <w:sz w:val="18"/>
                <w:szCs w:val="18"/>
                <w:u w:val="single"/>
              </w:rPr>
            </w:pPr>
            <w:r w:rsidRPr="009C3072">
              <w:rPr>
                <w:i/>
                <w:sz w:val="18"/>
                <w:szCs w:val="18"/>
                <w:u w:val="single"/>
              </w:rPr>
              <w:t>PT Fajar Kharisma Nusantara (“FKN”)</w:t>
            </w:r>
          </w:p>
        </w:tc>
      </w:tr>
      <w:tr w:rsidR="007038D4" w:rsidRPr="009C3072" w14:paraId="3434AF89" w14:textId="77777777" w:rsidTr="004F6552">
        <w:tc>
          <w:tcPr>
            <w:tcW w:w="4597" w:type="dxa"/>
          </w:tcPr>
          <w:p w14:paraId="129CAF01" w14:textId="77777777" w:rsidR="007038D4" w:rsidRPr="009C3072" w:rsidRDefault="007038D4" w:rsidP="009B0A73">
            <w:pPr>
              <w:ind w:left="567" w:right="-57"/>
              <w:jc w:val="both"/>
              <w:rPr>
                <w:rStyle w:val="hps"/>
                <w:sz w:val="18"/>
                <w:szCs w:val="18"/>
              </w:rPr>
            </w:pPr>
          </w:p>
        </w:tc>
        <w:tc>
          <w:tcPr>
            <w:tcW w:w="4600" w:type="dxa"/>
          </w:tcPr>
          <w:p w14:paraId="1FF279BB" w14:textId="77777777" w:rsidR="007038D4" w:rsidRPr="009C3072" w:rsidRDefault="007038D4" w:rsidP="009B0A73">
            <w:pPr>
              <w:ind w:left="567" w:right="-57"/>
              <w:jc w:val="both"/>
              <w:rPr>
                <w:i/>
                <w:sz w:val="18"/>
                <w:szCs w:val="18"/>
              </w:rPr>
            </w:pPr>
          </w:p>
        </w:tc>
      </w:tr>
      <w:tr w:rsidR="009B0A73" w:rsidRPr="00CC4AA5" w14:paraId="2DACC82F" w14:textId="77777777" w:rsidTr="004F6552">
        <w:tc>
          <w:tcPr>
            <w:tcW w:w="4597" w:type="dxa"/>
          </w:tcPr>
          <w:p w14:paraId="7BADF742" w14:textId="55185FC6" w:rsidR="009B0A73" w:rsidRPr="009C3072" w:rsidRDefault="007038D4" w:rsidP="00DA069B">
            <w:pPr>
              <w:ind w:left="567" w:right="-57"/>
              <w:jc w:val="both"/>
              <w:rPr>
                <w:rStyle w:val="hps"/>
                <w:sz w:val="18"/>
                <w:szCs w:val="18"/>
                <w:lang w:val="id-ID"/>
              </w:rPr>
            </w:pPr>
            <w:r w:rsidRPr="009C3072">
              <w:rPr>
                <w:rStyle w:val="hps"/>
                <w:sz w:val="18"/>
                <w:szCs w:val="18"/>
                <w:lang w:val="id-ID"/>
              </w:rPr>
              <w:t xml:space="preserve">Berdasarkan Akta Notaris dari notaris </w:t>
            </w:r>
            <w:r w:rsidR="00376AFA">
              <w:rPr>
                <w:rStyle w:val="hps"/>
                <w:sz w:val="18"/>
                <w:szCs w:val="18"/>
                <w:lang w:val="id-ID"/>
              </w:rPr>
              <w:br/>
            </w:r>
            <w:r w:rsidRPr="009C3072">
              <w:rPr>
                <w:rStyle w:val="hps"/>
                <w:sz w:val="18"/>
                <w:szCs w:val="18"/>
                <w:lang w:val="id-ID"/>
              </w:rPr>
              <w:t>Stephanie Wilamarta</w:t>
            </w:r>
            <w:r w:rsidR="00DA069B">
              <w:rPr>
                <w:rStyle w:val="hps"/>
                <w:sz w:val="18"/>
                <w:szCs w:val="18"/>
                <w:lang w:val="id-ID"/>
              </w:rPr>
              <w:t>,</w:t>
            </w:r>
            <w:r w:rsidRPr="009C3072">
              <w:rPr>
                <w:rStyle w:val="hps"/>
                <w:sz w:val="18"/>
                <w:szCs w:val="18"/>
                <w:lang w:val="id-ID"/>
              </w:rPr>
              <w:t xml:space="preserve"> S.H.</w:t>
            </w:r>
            <w:r w:rsidR="00DA069B">
              <w:rPr>
                <w:rStyle w:val="hps"/>
                <w:sz w:val="18"/>
                <w:szCs w:val="18"/>
                <w:lang w:val="id-ID"/>
              </w:rPr>
              <w:t>,</w:t>
            </w:r>
            <w:r w:rsidRPr="009C3072">
              <w:rPr>
                <w:rStyle w:val="hps"/>
                <w:sz w:val="18"/>
                <w:szCs w:val="18"/>
                <w:lang w:val="id-ID"/>
              </w:rPr>
              <w:t xml:space="preserve"> No. 18 tanggal </w:t>
            </w:r>
            <w:r w:rsidR="00376AFA">
              <w:rPr>
                <w:rStyle w:val="hps"/>
                <w:sz w:val="18"/>
                <w:szCs w:val="18"/>
                <w:lang w:val="id-ID"/>
              </w:rPr>
              <w:br/>
            </w:r>
            <w:r w:rsidRPr="009C3072">
              <w:rPr>
                <w:rStyle w:val="hps"/>
                <w:sz w:val="18"/>
                <w:szCs w:val="18"/>
                <w:lang w:val="id-ID"/>
              </w:rPr>
              <w:t>12 Maret 2010</w:t>
            </w:r>
            <w:r w:rsidR="00DA069B">
              <w:rPr>
                <w:rStyle w:val="hps"/>
                <w:sz w:val="18"/>
                <w:szCs w:val="18"/>
                <w:lang w:val="id-ID"/>
              </w:rPr>
              <w:t>,</w:t>
            </w:r>
            <w:r w:rsidRPr="009C3072">
              <w:rPr>
                <w:rStyle w:val="hps"/>
                <w:sz w:val="18"/>
                <w:szCs w:val="18"/>
                <w:lang w:val="id-ID"/>
              </w:rPr>
              <w:t xml:space="preserve"> Perusahaan membeli 45.000 </w:t>
            </w:r>
            <w:r w:rsidR="00900344">
              <w:rPr>
                <w:rStyle w:val="hps"/>
                <w:sz w:val="18"/>
                <w:szCs w:val="18"/>
              </w:rPr>
              <w:t xml:space="preserve">lembar </w:t>
            </w:r>
            <w:r w:rsidRPr="009C3072">
              <w:rPr>
                <w:rStyle w:val="hps"/>
                <w:sz w:val="18"/>
                <w:szCs w:val="18"/>
                <w:lang w:val="id-ID"/>
              </w:rPr>
              <w:t>saham dari jumlah seluruh saham yang dimiliki FKN dengan harga sebesar Rp</w:t>
            </w:r>
            <w:r w:rsidR="00900344">
              <w:rPr>
                <w:rStyle w:val="hps"/>
                <w:sz w:val="18"/>
                <w:szCs w:val="18"/>
              </w:rPr>
              <w:t xml:space="preserve"> </w:t>
            </w:r>
            <w:r w:rsidRPr="009C3072">
              <w:rPr>
                <w:rStyle w:val="hps"/>
                <w:sz w:val="18"/>
                <w:szCs w:val="18"/>
                <w:lang w:val="id-ID"/>
              </w:rPr>
              <w:t>4.500.000.000</w:t>
            </w:r>
            <w:r w:rsidR="00DA069B">
              <w:rPr>
                <w:rStyle w:val="hps"/>
                <w:sz w:val="18"/>
                <w:szCs w:val="18"/>
              </w:rPr>
              <w:t>,</w:t>
            </w:r>
            <w:r w:rsidRPr="009C3072">
              <w:rPr>
                <w:rStyle w:val="hps"/>
                <w:sz w:val="18"/>
                <w:szCs w:val="18"/>
                <w:lang w:val="id-ID"/>
              </w:rPr>
              <w:t xml:space="preserve"> dan FKN meningkatkan Modal Dasarnya dari </w:t>
            </w:r>
            <w:r w:rsidR="00900344">
              <w:rPr>
                <w:rStyle w:val="hps"/>
                <w:sz w:val="18"/>
                <w:szCs w:val="18"/>
                <w:lang w:val="id-ID"/>
              </w:rPr>
              <w:br/>
            </w:r>
            <w:r w:rsidRPr="009C3072">
              <w:rPr>
                <w:rStyle w:val="hps"/>
                <w:sz w:val="18"/>
                <w:szCs w:val="18"/>
                <w:lang w:val="id-ID"/>
              </w:rPr>
              <w:t>Rp</w:t>
            </w:r>
            <w:r w:rsidR="00900344">
              <w:rPr>
                <w:rStyle w:val="hps"/>
                <w:sz w:val="18"/>
                <w:szCs w:val="18"/>
              </w:rPr>
              <w:t xml:space="preserve"> </w:t>
            </w:r>
            <w:r w:rsidRPr="009C3072">
              <w:rPr>
                <w:rStyle w:val="hps"/>
                <w:sz w:val="18"/>
                <w:szCs w:val="18"/>
                <w:lang w:val="id-ID"/>
              </w:rPr>
              <w:t>10.000.000.000 menjadi Rp</w:t>
            </w:r>
            <w:r w:rsidR="00900344">
              <w:rPr>
                <w:rStyle w:val="hps"/>
                <w:sz w:val="18"/>
                <w:szCs w:val="18"/>
              </w:rPr>
              <w:t xml:space="preserve"> </w:t>
            </w:r>
            <w:r w:rsidRPr="009C3072">
              <w:rPr>
                <w:rStyle w:val="hps"/>
                <w:sz w:val="18"/>
                <w:szCs w:val="18"/>
                <w:lang w:val="id-ID"/>
              </w:rPr>
              <w:t>40.000.000.000</w:t>
            </w:r>
            <w:r w:rsidR="00DA069B">
              <w:rPr>
                <w:rStyle w:val="hps"/>
                <w:sz w:val="18"/>
                <w:szCs w:val="18"/>
              </w:rPr>
              <w:t>,</w:t>
            </w:r>
            <w:r w:rsidRPr="009C3072">
              <w:rPr>
                <w:rStyle w:val="hps"/>
                <w:sz w:val="18"/>
                <w:szCs w:val="18"/>
                <w:lang w:val="id-ID"/>
              </w:rPr>
              <w:t xml:space="preserve"> serta meningkatkan modal ditempatkan dan disetor dari </w:t>
            </w:r>
            <w:r w:rsidR="00900344">
              <w:rPr>
                <w:rStyle w:val="hps"/>
                <w:sz w:val="18"/>
                <w:szCs w:val="18"/>
                <w:lang w:val="id-ID"/>
              </w:rPr>
              <w:br/>
            </w:r>
            <w:r w:rsidRPr="009C3072">
              <w:rPr>
                <w:rStyle w:val="hps"/>
                <w:sz w:val="18"/>
                <w:szCs w:val="18"/>
                <w:lang w:val="id-ID"/>
              </w:rPr>
              <w:t>Rp</w:t>
            </w:r>
            <w:r w:rsidR="00900344">
              <w:rPr>
                <w:rStyle w:val="hps"/>
                <w:sz w:val="18"/>
                <w:szCs w:val="18"/>
              </w:rPr>
              <w:t xml:space="preserve"> </w:t>
            </w:r>
            <w:r w:rsidRPr="009C3072">
              <w:rPr>
                <w:rStyle w:val="hps"/>
                <w:sz w:val="18"/>
                <w:szCs w:val="18"/>
                <w:lang w:val="id-ID"/>
              </w:rPr>
              <w:t>5.000.000.000 menjadi Rp</w:t>
            </w:r>
            <w:r w:rsidR="00900344">
              <w:rPr>
                <w:rStyle w:val="hps"/>
                <w:sz w:val="18"/>
                <w:szCs w:val="18"/>
              </w:rPr>
              <w:t xml:space="preserve"> </w:t>
            </w:r>
            <w:r w:rsidRPr="009C3072">
              <w:rPr>
                <w:rStyle w:val="hps"/>
                <w:sz w:val="18"/>
                <w:szCs w:val="18"/>
                <w:lang w:val="id-ID"/>
              </w:rPr>
              <w:t>10.000.000.000 sehingga modal ditempatkan dan disetor Perusahaan sebesar Rp</w:t>
            </w:r>
            <w:r w:rsidR="00900344">
              <w:rPr>
                <w:rStyle w:val="hps"/>
                <w:sz w:val="18"/>
                <w:szCs w:val="18"/>
              </w:rPr>
              <w:t xml:space="preserve"> </w:t>
            </w:r>
            <w:r w:rsidRPr="009C3072">
              <w:rPr>
                <w:rStyle w:val="hps"/>
                <w:sz w:val="18"/>
                <w:szCs w:val="18"/>
                <w:lang w:val="id-ID"/>
              </w:rPr>
              <w:t>9.500.000.000  atau  95%  pada  tanggal  31 Desember 2010.</w:t>
            </w:r>
          </w:p>
        </w:tc>
        <w:tc>
          <w:tcPr>
            <w:tcW w:w="4600" w:type="dxa"/>
          </w:tcPr>
          <w:p w14:paraId="5BF3A925" w14:textId="43A2ECEE" w:rsidR="009B0A73" w:rsidRPr="009C3072" w:rsidRDefault="007038D4" w:rsidP="00DA069B">
            <w:pPr>
              <w:ind w:left="567" w:right="-57"/>
              <w:jc w:val="both"/>
              <w:rPr>
                <w:i/>
                <w:sz w:val="18"/>
                <w:szCs w:val="18"/>
              </w:rPr>
            </w:pPr>
            <w:r w:rsidRPr="009C3072">
              <w:rPr>
                <w:i/>
                <w:sz w:val="18"/>
                <w:szCs w:val="18"/>
              </w:rPr>
              <w:t xml:space="preserve">Based on Notarial Deed of notary </w:t>
            </w:r>
            <w:r w:rsidR="00900344">
              <w:rPr>
                <w:i/>
                <w:sz w:val="18"/>
                <w:szCs w:val="18"/>
              </w:rPr>
              <w:br/>
            </w:r>
            <w:r w:rsidRPr="009C3072">
              <w:rPr>
                <w:i/>
                <w:sz w:val="18"/>
                <w:szCs w:val="18"/>
              </w:rPr>
              <w:t>Stephanie Wilamarta</w:t>
            </w:r>
            <w:r w:rsidR="00DA069B">
              <w:rPr>
                <w:i/>
                <w:sz w:val="18"/>
                <w:szCs w:val="18"/>
              </w:rPr>
              <w:t>,</w:t>
            </w:r>
            <w:r w:rsidRPr="009C3072">
              <w:rPr>
                <w:i/>
                <w:sz w:val="18"/>
                <w:szCs w:val="18"/>
              </w:rPr>
              <w:t xml:space="preserve"> S.H.</w:t>
            </w:r>
            <w:r w:rsidR="00DA069B">
              <w:rPr>
                <w:i/>
                <w:sz w:val="18"/>
                <w:szCs w:val="18"/>
              </w:rPr>
              <w:t>,</w:t>
            </w:r>
            <w:r w:rsidRPr="009C3072">
              <w:rPr>
                <w:i/>
                <w:sz w:val="18"/>
                <w:szCs w:val="18"/>
              </w:rPr>
              <w:t xml:space="preserve"> No. 18 dated </w:t>
            </w:r>
            <w:r w:rsidR="00900344">
              <w:rPr>
                <w:i/>
                <w:sz w:val="18"/>
                <w:szCs w:val="18"/>
              </w:rPr>
              <w:br/>
            </w:r>
            <w:r w:rsidRPr="009C3072">
              <w:rPr>
                <w:i/>
                <w:sz w:val="18"/>
                <w:szCs w:val="18"/>
              </w:rPr>
              <w:t>March 12</w:t>
            </w:r>
            <w:r w:rsidR="00DA069B">
              <w:rPr>
                <w:i/>
                <w:sz w:val="18"/>
                <w:szCs w:val="18"/>
              </w:rPr>
              <w:t>,</w:t>
            </w:r>
            <w:r w:rsidRPr="009C3072">
              <w:rPr>
                <w:i/>
                <w:sz w:val="18"/>
                <w:szCs w:val="18"/>
              </w:rPr>
              <w:t xml:space="preserve"> 2010</w:t>
            </w:r>
            <w:r w:rsidR="00DA069B">
              <w:rPr>
                <w:i/>
                <w:sz w:val="18"/>
                <w:szCs w:val="18"/>
              </w:rPr>
              <w:t>,</w:t>
            </w:r>
            <w:r w:rsidRPr="009C3072">
              <w:rPr>
                <w:i/>
                <w:sz w:val="18"/>
                <w:szCs w:val="18"/>
              </w:rPr>
              <w:t xml:space="preserve"> the Company acquired 45</w:t>
            </w:r>
            <w:r w:rsidR="00DA069B">
              <w:rPr>
                <w:i/>
                <w:sz w:val="18"/>
                <w:szCs w:val="18"/>
              </w:rPr>
              <w:t>,</w:t>
            </w:r>
            <w:r w:rsidRPr="009C3072">
              <w:rPr>
                <w:i/>
                <w:sz w:val="18"/>
                <w:szCs w:val="18"/>
              </w:rPr>
              <w:t xml:space="preserve">000 shares of total </w:t>
            </w:r>
            <w:proofErr w:type="gramStart"/>
            <w:r w:rsidRPr="009C3072">
              <w:rPr>
                <w:i/>
                <w:sz w:val="18"/>
                <w:szCs w:val="18"/>
              </w:rPr>
              <w:t>FKN  shares</w:t>
            </w:r>
            <w:proofErr w:type="gramEnd"/>
            <w:r w:rsidRPr="009C3072">
              <w:rPr>
                <w:i/>
                <w:sz w:val="18"/>
                <w:szCs w:val="18"/>
              </w:rPr>
              <w:t xml:space="preserve">  amounting  to  Rp</w:t>
            </w:r>
            <w:r w:rsidR="00900344">
              <w:rPr>
                <w:i/>
                <w:sz w:val="18"/>
                <w:szCs w:val="18"/>
              </w:rPr>
              <w:t xml:space="preserve"> </w:t>
            </w:r>
            <w:r w:rsidRPr="009C3072">
              <w:rPr>
                <w:i/>
                <w:sz w:val="18"/>
                <w:szCs w:val="18"/>
              </w:rPr>
              <w:t>4</w:t>
            </w:r>
            <w:r w:rsidR="00DA069B">
              <w:rPr>
                <w:i/>
                <w:sz w:val="18"/>
                <w:szCs w:val="18"/>
              </w:rPr>
              <w:t>,</w:t>
            </w:r>
            <w:r w:rsidRPr="009C3072">
              <w:rPr>
                <w:i/>
                <w:sz w:val="18"/>
                <w:szCs w:val="18"/>
              </w:rPr>
              <w:t>500</w:t>
            </w:r>
            <w:r w:rsidR="00DA069B">
              <w:rPr>
                <w:i/>
                <w:sz w:val="18"/>
                <w:szCs w:val="18"/>
              </w:rPr>
              <w:t>,</w:t>
            </w:r>
            <w:r w:rsidRPr="009C3072">
              <w:rPr>
                <w:i/>
                <w:sz w:val="18"/>
                <w:szCs w:val="18"/>
              </w:rPr>
              <w:t>000</w:t>
            </w:r>
            <w:r w:rsidR="00DA069B">
              <w:rPr>
                <w:i/>
                <w:sz w:val="18"/>
                <w:szCs w:val="18"/>
              </w:rPr>
              <w:t>,</w:t>
            </w:r>
            <w:r w:rsidRPr="009C3072">
              <w:rPr>
                <w:i/>
                <w:sz w:val="18"/>
                <w:szCs w:val="18"/>
              </w:rPr>
              <w:t>000</w:t>
            </w:r>
            <w:r w:rsidR="00DA069B">
              <w:rPr>
                <w:i/>
                <w:sz w:val="18"/>
                <w:szCs w:val="18"/>
              </w:rPr>
              <w:t>,</w:t>
            </w:r>
            <w:r w:rsidRPr="009C3072">
              <w:rPr>
                <w:i/>
                <w:sz w:val="18"/>
                <w:szCs w:val="18"/>
              </w:rPr>
              <w:t xml:space="preserve"> and FKN increased the authorized capital from </w:t>
            </w:r>
            <w:r w:rsidR="00900344">
              <w:rPr>
                <w:i/>
                <w:sz w:val="18"/>
                <w:szCs w:val="18"/>
              </w:rPr>
              <w:br/>
            </w:r>
            <w:r w:rsidRPr="009C3072">
              <w:rPr>
                <w:i/>
                <w:sz w:val="18"/>
                <w:szCs w:val="18"/>
              </w:rPr>
              <w:t>Rp</w:t>
            </w:r>
            <w:r w:rsidR="00900344">
              <w:rPr>
                <w:i/>
                <w:sz w:val="18"/>
                <w:szCs w:val="18"/>
              </w:rPr>
              <w:t xml:space="preserve"> </w:t>
            </w:r>
            <w:r w:rsidRPr="009C3072">
              <w:rPr>
                <w:i/>
                <w:sz w:val="18"/>
                <w:szCs w:val="18"/>
              </w:rPr>
              <w:t>10</w:t>
            </w:r>
            <w:r w:rsidR="00DA069B">
              <w:rPr>
                <w:i/>
                <w:sz w:val="18"/>
                <w:szCs w:val="18"/>
              </w:rPr>
              <w:t>,</w:t>
            </w:r>
            <w:r w:rsidRPr="009C3072">
              <w:rPr>
                <w:i/>
                <w:sz w:val="18"/>
                <w:szCs w:val="18"/>
              </w:rPr>
              <w:t>000</w:t>
            </w:r>
            <w:r w:rsidR="00DA069B">
              <w:rPr>
                <w:i/>
                <w:sz w:val="18"/>
                <w:szCs w:val="18"/>
              </w:rPr>
              <w:t>,</w:t>
            </w:r>
            <w:r w:rsidRPr="009C3072">
              <w:rPr>
                <w:i/>
                <w:sz w:val="18"/>
                <w:szCs w:val="18"/>
              </w:rPr>
              <w:t>000</w:t>
            </w:r>
            <w:r w:rsidR="00DA069B">
              <w:rPr>
                <w:i/>
                <w:sz w:val="18"/>
                <w:szCs w:val="18"/>
              </w:rPr>
              <w:t>,</w:t>
            </w:r>
            <w:r w:rsidRPr="009C3072">
              <w:rPr>
                <w:i/>
                <w:sz w:val="18"/>
                <w:szCs w:val="18"/>
              </w:rPr>
              <w:t>000 to Rp</w:t>
            </w:r>
            <w:r w:rsidR="00900344">
              <w:rPr>
                <w:i/>
                <w:sz w:val="18"/>
                <w:szCs w:val="18"/>
              </w:rPr>
              <w:t xml:space="preserve"> </w:t>
            </w:r>
            <w:r w:rsidRPr="009C3072">
              <w:rPr>
                <w:i/>
                <w:sz w:val="18"/>
                <w:szCs w:val="18"/>
              </w:rPr>
              <w:t>40</w:t>
            </w:r>
            <w:r w:rsidR="00DA069B">
              <w:rPr>
                <w:i/>
                <w:sz w:val="18"/>
                <w:szCs w:val="18"/>
              </w:rPr>
              <w:t>,</w:t>
            </w:r>
            <w:r w:rsidRPr="009C3072">
              <w:rPr>
                <w:i/>
                <w:sz w:val="18"/>
                <w:szCs w:val="18"/>
              </w:rPr>
              <w:t>000</w:t>
            </w:r>
            <w:r w:rsidR="00DA069B">
              <w:rPr>
                <w:i/>
                <w:sz w:val="18"/>
                <w:szCs w:val="18"/>
              </w:rPr>
              <w:t>,</w:t>
            </w:r>
            <w:r w:rsidRPr="009C3072">
              <w:rPr>
                <w:i/>
                <w:sz w:val="18"/>
                <w:szCs w:val="18"/>
              </w:rPr>
              <w:t>000</w:t>
            </w:r>
            <w:r w:rsidR="00DA069B">
              <w:rPr>
                <w:i/>
                <w:sz w:val="18"/>
                <w:szCs w:val="18"/>
              </w:rPr>
              <w:t>,</w:t>
            </w:r>
            <w:r w:rsidRPr="009C3072">
              <w:rPr>
                <w:i/>
                <w:sz w:val="18"/>
                <w:szCs w:val="18"/>
              </w:rPr>
              <w:t xml:space="preserve">000 and increased the issued and paid in capital from </w:t>
            </w:r>
            <w:r w:rsidR="00900344">
              <w:rPr>
                <w:i/>
                <w:sz w:val="18"/>
                <w:szCs w:val="18"/>
              </w:rPr>
              <w:br/>
            </w:r>
            <w:r w:rsidRPr="009C3072">
              <w:rPr>
                <w:i/>
                <w:sz w:val="18"/>
                <w:szCs w:val="18"/>
              </w:rPr>
              <w:t>Rp</w:t>
            </w:r>
            <w:r w:rsidR="00900344">
              <w:rPr>
                <w:i/>
                <w:sz w:val="18"/>
                <w:szCs w:val="18"/>
              </w:rPr>
              <w:t xml:space="preserve"> </w:t>
            </w:r>
            <w:r w:rsidRPr="009C3072">
              <w:rPr>
                <w:i/>
                <w:sz w:val="18"/>
                <w:szCs w:val="18"/>
              </w:rPr>
              <w:t>5</w:t>
            </w:r>
            <w:r w:rsidR="00DA069B">
              <w:rPr>
                <w:i/>
                <w:sz w:val="18"/>
                <w:szCs w:val="18"/>
              </w:rPr>
              <w:t>,</w:t>
            </w:r>
            <w:r w:rsidRPr="009C3072">
              <w:rPr>
                <w:i/>
                <w:sz w:val="18"/>
                <w:szCs w:val="18"/>
              </w:rPr>
              <w:t>000</w:t>
            </w:r>
            <w:r w:rsidR="00DA069B">
              <w:rPr>
                <w:i/>
                <w:sz w:val="18"/>
                <w:szCs w:val="18"/>
              </w:rPr>
              <w:t>,</w:t>
            </w:r>
            <w:r w:rsidRPr="009C3072">
              <w:rPr>
                <w:i/>
                <w:sz w:val="18"/>
                <w:szCs w:val="18"/>
              </w:rPr>
              <w:t>000</w:t>
            </w:r>
            <w:r w:rsidR="00DA069B">
              <w:rPr>
                <w:i/>
                <w:sz w:val="18"/>
                <w:szCs w:val="18"/>
              </w:rPr>
              <w:t>,</w:t>
            </w:r>
            <w:r w:rsidRPr="009C3072">
              <w:rPr>
                <w:i/>
                <w:sz w:val="18"/>
                <w:szCs w:val="18"/>
              </w:rPr>
              <w:t>000 to Rp</w:t>
            </w:r>
            <w:r w:rsidR="00900344">
              <w:rPr>
                <w:i/>
                <w:sz w:val="18"/>
                <w:szCs w:val="18"/>
              </w:rPr>
              <w:t xml:space="preserve"> </w:t>
            </w:r>
            <w:r w:rsidRPr="009C3072">
              <w:rPr>
                <w:i/>
                <w:sz w:val="18"/>
                <w:szCs w:val="18"/>
              </w:rPr>
              <w:t>10</w:t>
            </w:r>
            <w:r w:rsidR="00DA069B">
              <w:rPr>
                <w:i/>
                <w:sz w:val="18"/>
                <w:szCs w:val="18"/>
              </w:rPr>
              <w:t>,</w:t>
            </w:r>
            <w:r w:rsidRPr="009C3072">
              <w:rPr>
                <w:i/>
                <w:sz w:val="18"/>
                <w:szCs w:val="18"/>
              </w:rPr>
              <w:t>000</w:t>
            </w:r>
            <w:r w:rsidR="00DA069B">
              <w:rPr>
                <w:i/>
                <w:sz w:val="18"/>
                <w:szCs w:val="18"/>
              </w:rPr>
              <w:t>,</w:t>
            </w:r>
            <w:r w:rsidRPr="009C3072">
              <w:rPr>
                <w:i/>
                <w:sz w:val="18"/>
                <w:szCs w:val="18"/>
              </w:rPr>
              <w:t>000</w:t>
            </w:r>
            <w:r w:rsidR="00DA069B">
              <w:rPr>
                <w:i/>
                <w:sz w:val="18"/>
                <w:szCs w:val="18"/>
              </w:rPr>
              <w:t>,</w:t>
            </w:r>
            <w:r w:rsidRPr="009C3072">
              <w:rPr>
                <w:i/>
                <w:sz w:val="18"/>
                <w:szCs w:val="18"/>
              </w:rPr>
              <w:t>000 as a result</w:t>
            </w:r>
            <w:r w:rsidR="00DA069B">
              <w:rPr>
                <w:i/>
                <w:sz w:val="18"/>
                <w:szCs w:val="18"/>
              </w:rPr>
              <w:t>,</w:t>
            </w:r>
            <w:r w:rsidRPr="009C3072">
              <w:rPr>
                <w:i/>
                <w:sz w:val="18"/>
                <w:szCs w:val="18"/>
              </w:rPr>
              <w:t xml:space="preserve"> a</w:t>
            </w:r>
            <w:r w:rsidRPr="009C3072">
              <w:rPr>
                <w:i/>
                <w:sz w:val="18"/>
                <w:szCs w:val="18"/>
                <w:lang w:val="id-ID"/>
              </w:rPr>
              <w:t>s</w:t>
            </w:r>
            <w:r w:rsidRPr="009C3072">
              <w:rPr>
                <w:i/>
                <w:sz w:val="18"/>
                <w:szCs w:val="18"/>
              </w:rPr>
              <w:t xml:space="preserve"> of</w:t>
            </w:r>
            <w:r w:rsidRPr="009C3072">
              <w:rPr>
                <w:i/>
                <w:sz w:val="18"/>
                <w:szCs w:val="18"/>
                <w:lang w:val="id-ID"/>
              </w:rPr>
              <w:t xml:space="preserve"> </w:t>
            </w:r>
            <w:r w:rsidRPr="009C3072">
              <w:rPr>
                <w:i/>
                <w:sz w:val="18"/>
                <w:szCs w:val="18"/>
              </w:rPr>
              <w:t>December  31</w:t>
            </w:r>
            <w:r w:rsidR="00DA069B">
              <w:rPr>
                <w:i/>
                <w:sz w:val="18"/>
                <w:szCs w:val="18"/>
              </w:rPr>
              <w:t>,</w:t>
            </w:r>
            <w:r w:rsidRPr="009C3072">
              <w:rPr>
                <w:i/>
                <w:sz w:val="18"/>
                <w:szCs w:val="18"/>
              </w:rPr>
              <w:t xml:space="preserve">  2010</w:t>
            </w:r>
            <w:r w:rsidR="00DA069B">
              <w:rPr>
                <w:i/>
                <w:sz w:val="18"/>
                <w:szCs w:val="18"/>
              </w:rPr>
              <w:t>,</w:t>
            </w:r>
            <w:r w:rsidRPr="009C3072">
              <w:rPr>
                <w:i/>
                <w:sz w:val="18"/>
                <w:szCs w:val="18"/>
              </w:rPr>
              <w:t xml:space="preserve">  the Company’s issued and paid capital amounted to Rp</w:t>
            </w:r>
            <w:r w:rsidR="00900344">
              <w:rPr>
                <w:i/>
                <w:sz w:val="18"/>
                <w:szCs w:val="18"/>
              </w:rPr>
              <w:t xml:space="preserve"> </w:t>
            </w:r>
            <w:r w:rsidRPr="009C3072">
              <w:rPr>
                <w:i/>
                <w:sz w:val="18"/>
                <w:szCs w:val="18"/>
              </w:rPr>
              <w:t>9</w:t>
            </w:r>
            <w:r w:rsidR="00DA069B">
              <w:rPr>
                <w:i/>
                <w:sz w:val="18"/>
                <w:szCs w:val="18"/>
              </w:rPr>
              <w:t>,</w:t>
            </w:r>
            <w:r w:rsidRPr="009C3072">
              <w:rPr>
                <w:i/>
                <w:sz w:val="18"/>
                <w:szCs w:val="18"/>
              </w:rPr>
              <w:t>500</w:t>
            </w:r>
            <w:r w:rsidR="00DA069B">
              <w:rPr>
                <w:i/>
                <w:sz w:val="18"/>
                <w:szCs w:val="18"/>
              </w:rPr>
              <w:t>,</w:t>
            </w:r>
            <w:r w:rsidRPr="009C3072">
              <w:rPr>
                <w:i/>
                <w:sz w:val="18"/>
                <w:szCs w:val="18"/>
              </w:rPr>
              <w:t>000</w:t>
            </w:r>
            <w:r w:rsidR="00DA069B">
              <w:rPr>
                <w:i/>
                <w:sz w:val="18"/>
                <w:szCs w:val="18"/>
              </w:rPr>
              <w:t>,</w:t>
            </w:r>
            <w:r w:rsidRPr="009C3072">
              <w:rPr>
                <w:i/>
                <w:sz w:val="18"/>
                <w:szCs w:val="18"/>
              </w:rPr>
              <w:t>000 or 95%.</w:t>
            </w:r>
          </w:p>
        </w:tc>
      </w:tr>
      <w:tr w:rsidR="009B0A73" w:rsidRPr="00CC4AA5" w14:paraId="7594A953" w14:textId="77777777" w:rsidTr="004F6552">
        <w:tc>
          <w:tcPr>
            <w:tcW w:w="4597" w:type="dxa"/>
          </w:tcPr>
          <w:p w14:paraId="58888173" w14:textId="77777777" w:rsidR="009B0A73" w:rsidRPr="00A31F1E" w:rsidRDefault="009B0A73" w:rsidP="009B0A73">
            <w:pPr>
              <w:ind w:left="567" w:right="-57"/>
              <w:jc w:val="both"/>
              <w:rPr>
                <w:rStyle w:val="hps"/>
                <w:sz w:val="18"/>
                <w:szCs w:val="18"/>
                <w:highlight w:val="red"/>
              </w:rPr>
            </w:pPr>
          </w:p>
        </w:tc>
        <w:tc>
          <w:tcPr>
            <w:tcW w:w="4600" w:type="dxa"/>
          </w:tcPr>
          <w:p w14:paraId="07DAF278" w14:textId="77777777" w:rsidR="009B0A73" w:rsidRPr="00A31F1E" w:rsidRDefault="009B0A73" w:rsidP="009B0A73">
            <w:pPr>
              <w:ind w:left="567" w:right="-57"/>
              <w:jc w:val="both"/>
              <w:rPr>
                <w:i/>
                <w:sz w:val="18"/>
                <w:szCs w:val="18"/>
                <w:highlight w:val="red"/>
              </w:rPr>
            </w:pPr>
          </w:p>
        </w:tc>
      </w:tr>
      <w:tr w:rsidR="009B0A73" w:rsidRPr="00CC4AA5" w14:paraId="073324D4" w14:textId="77777777" w:rsidTr="004F6552">
        <w:tc>
          <w:tcPr>
            <w:tcW w:w="4597" w:type="dxa"/>
          </w:tcPr>
          <w:p w14:paraId="6330DD25" w14:textId="738C2F4C" w:rsidR="009B0A73" w:rsidRPr="00900344" w:rsidRDefault="007038D4" w:rsidP="00DA069B">
            <w:pPr>
              <w:ind w:left="567" w:right="-57"/>
              <w:jc w:val="both"/>
              <w:rPr>
                <w:rStyle w:val="hps"/>
                <w:sz w:val="18"/>
                <w:szCs w:val="18"/>
              </w:rPr>
            </w:pPr>
            <w:r w:rsidRPr="00900344">
              <w:rPr>
                <w:rStyle w:val="hps"/>
                <w:sz w:val="18"/>
                <w:szCs w:val="18"/>
              </w:rPr>
              <w:t xml:space="preserve">Akta ini telah mendapatkan persetujuan dari Menteri Hukum dan Hak Asasi Manusia </w:t>
            </w:r>
            <w:r w:rsidR="00900344">
              <w:rPr>
                <w:rStyle w:val="hps"/>
                <w:sz w:val="18"/>
                <w:szCs w:val="18"/>
              </w:rPr>
              <w:br/>
            </w:r>
            <w:r w:rsidRPr="00900344">
              <w:rPr>
                <w:rStyle w:val="hps"/>
                <w:sz w:val="18"/>
                <w:szCs w:val="18"/>
              </w:rPr>
              <w:t>Republik Indonesia melalui</w:t>
            </w:r>
            <w:r w:rsidRPr="00900344">
              <w:rPr>
                <w:rStyle w:val="hps"/>
                <w:sz w:val="18"/>
                <w:szCs w:val="18"/>
                <w:lang w:val="id-ID"/>
              </w:rPr>
              <w:t xml:space="preserve"> </w:t>
            </w:r>
            <w:r w:rsidRPr="00900344">
              <w:rPr>
                <w:rStyle w:val="hps"/>
                <w:sz w:val="18"/>
                <w:szCs w:val="18"/>
              </w:rPr>
              <w:t>Surat</w:t>
            </w:r>
            <w:r w:rsidRPr="00900344">
              <w:rPr>
                <w:rStyle w:val="hps"/>
                <w:sz w:val="18"/>
                <w:szCs w:val="18"/>
                <w:lang w:val="id-ID"/>
              </w:rPr>
              <w:t xml:space="preserve"> </w:t>
            </w:r>
            <w:r w:rsidRPr="00900344">
              <w:rPr>
                <w:rStyle w:val="hps"/>
                <w:sz w:val="18"/>
                <w:szCs w:val="18"/>
              </w:rPr>
              <w:t>Keputusan</w:t>
            </w:r>
            <w:r w:rsidRPr="00900344">
              <w:rPr>
                <w:rStyle w:val="hps"/>
                <w:sz w:val="18"/>
                <w:szCs w:val="18"/>
                <w:lang w:val="id-ID"/>
              </w:rPr>
              <w:t xml:space="preserve"> </w:t>
            </w:r>
            <w:r w:rsidR="00900344">
              <w:rPr>
                <w:rStyle w:val="hps"/>
                <w:sz w:val="18"/>
                <w:szCs w:val="18"/>
                <w:lang w:val="id-ID"/>
              </w:rPr>
              <w:br/>
            </w:r>
            <w:r w:rsidRPr="00900344">
              <w:rPr>
                <w:rStyle w:val="hps"/>
                <w:sz w:val="18"/>
                <w:szCs w:val="18"/>
              </w:rPr>
              <w:t>No.</w:t>
            </w:r>
            <w:r w:rsidRPr="00900344">
              <w:rPr>
                <w:rStyle w:val="hps"/>
                <w:sz w:val="18"/>
                <w:szCs w:val="18"/>
                <w:lang w:val="id-ID"/>
              </w:rPr>
              <w:t xml:space="preserve"> </w:t>
            </w:r>
            <w:r w:rsidRPr="00900344">
              <w:rPr>
                <w:rStyle w:val="hps"/>
                <w:sz w:val="18"/>
                <w:szCs w:val="18"/>
              </w:rPr>
              <w:t>AHU-</w:t>
            </w:r>
            <w:r w:rsidRPr="00900344">
              <w:rPr>
                <w:rStyle w:val="hps"/>
                <w:sz w:val="18"/>
                <w:szCs w:val="18"/>
                <w:lang w:val="id-ID"/>
              </w:rPr>
              <w:t xml:space="preserve"> </w:t>
            </w:r>
            <w:r w:rsidR="00DA069B">
              <w:rPr>
                <w:rStyle w:val="hps"/>
                <w:sz w:val="18"/>
                <w:szCs w:val="18"/>
              </w:rPr>
              <w:t>24230.AH.01.02,</w:t>
            </w:r>
            <w:r w:rsidR="00900344">
              <w:rPr>
                <w:rStyle w:val="hps"/>
                <w:sz w:val="18"/>
                <w:szCs w:val="18"/>
              </w:rPr>
              <w:t xml:space="preserve"> </w:t>
            </w:r>
            <w:r w:rsidRPr="00900344">
              <w:rPr>
                <w:rStyle w:val="hps"/>
                <w:sz w:val="18"/>
                <w:szCs w:val="18"/>
              </w:rPr>
              <w:t xml:space="preserve">Tahun  2010  tanggal  </w:t>
            </w:r>
            <w:r w:rsidR="00376AFA">
              <w:rPr>
                <w:rStyle w:val="hps"/>
                <w:sz w:val="18"/>
                <w:szCs w:val="18"/>
              </w:rPr>
              <w:br/>
            </w:r>
            <w:r w:rsidRPr="00900344">
              <w:rPr>
                <w:rStyle w:val="hps"/>
                <w:sz w:val="18"/>
                <w:szCs w:val="18"/>
              </w:rPr>
              <w:t>12  Mei</w:t>
            </w:r>
            <w:r w:rsidRPr="00900344">
              <w:rPr>
                <w:rStyle w:val="hps"/>
                <w:sz w:val="18"/>
                <w:szCs w:val="18"/>
                <w:lang w:val="id-ID"/>
              </w:rPr>
              <w:t xml:space="preserve"> </w:t>
            </w:r>
            <w:r w:rsidRPr="00900344">
              <w:rPr>
                <w:rStyle w:val="hps"/>
                <w:sz w:val="18"/>
                <w:szCs w:val="18"/>
              </w:rPr>
              <w:t>2010   serta telah diumumkan dalam   Berita</w:t>
            </w:r>
            <w:r w:rsidRPr="00900344">
              <w:rPr>
                <w:rStyle w:val="hps"/>
                <w:sz w:val="18"/>
                <w:szCs w:val="18"/>
                <w:lang w:val="id-ID"/>
              </w:rPr>
              <w:t xml:space="preserve"> </w:t>
            </w:r>
            <w:r w:rsidRPr="00900344">
              <w:rPr>
                <w:rStyle w:val="hps"/>
                <w:sz w:val="18"/>
                <w:szCs w:val="18"/>
              </w:rPr>
              <w:t>Negara Republik Indonesia No. 35</w:t>
            </w:r>
            <w:r w:rsidR="00DA069B">
              <w:rPr>
                <w:rStyle w:val="hps"/>
                <w:sz w:val="18"/>
                <w:szCs w:val="18"/>
              </w:rPr>
              <w:t>,</w:t>
            </w:r>
            <w:r w:rsidRPr="00900344">
              <w:rPr>
                <w:rStyle w:val="hps"/>
                <w:sz w:val="18"/>
                <w:szCs w:val="18"/>
              </w:rPr>
              <w:t xml:space="preserve"> Tambahan</w:t>
            </w:r>
            <w:r w:rsidRPr="00900344">
              <w:rPr>
                <w:rStyle w:val="hps"/>
                <w:sz w:val="18"/>
                <w:szCs w:val="18"/>
                <w:lang w:val="id-ID"/>
              </w:rPr>
              <w:t xml:space="preserve"> </w:t>
            </w:r>
            <w:r w:rsidR="00900344">
              <w:rPr>
                <w:rStyle w:val="hps"/>
                <w:sz w:val="18"/>
                <w:szCs w:val="18"/>
                <w:lang w:val="id-ID"/>
              </w:rPr>
              <w:br/>
            </w:r>
            <w:r w:rsidRPr="00900344">
              <w:rPr>
                <w:rStyle w:val="hps"/>
                <w:sz w:val="18"/>
                <w:szCs w:val="18"/>
              </w:rPr>
              <w:t>No. 11708 tanggal 3 Mei</w:t>
            </w:r>
            <w:r w:rsidRPr="00900344">
              <w:rPr>
                <w:rStyle w:val="hps"/>
                <w:sz w:val="18"/>
                <w:szCs w:val="18"/>
                <w:lang w:val="id-ID"/>
              </w:rPr>
              <w:t xml:space="preserve"> </w:t>
            </w:r>
            <w:r w:rsidRPr="00900344">
              <w:rPr>
                <w:rStyle w:val="hps"/>
                <w:sz w:val="18"/>
                <w:szCs w:val="18"/>
              </w:rPr>
              <w:t>2011.</w:t>
            </w:r>
          </w:p>
        </w:tc>
        <w:tc>
          <w:tcPr>
            <w:tcW w:w="4600" w:type="dxa"/>
          </w:tcPr>
          <w:p w14:paraId="64A0C85B" w14:textId="08E4ECC4" w:rsidR="009B0A73" w:rsidRPr="00900344" w:rsidRDefault="007038D4" w:rsidP="00DA069B">
            <w:pPr>
              <w:ind w:left="567" w:right="-57"/>
              <w:jc w:val="both"/>
              <w:rPr>
                <w:i/>
                <w:sz w:val="18"/>
                <w:szCs w:val="18"/>
              </w:rPr>
            </w:pPr>
            <w:r w:rsidRPr="00900344">
              <w:rPr>
                <w:i/>
                <w:sz w:val="18"/>
                <w:szCs w:val="18"/>
              </w:rPr>
              <w:t xml:space="preserve">This deed was approved by the Minister of Law and Human Rights of the Republic of Indonesia by his      Decision </w:t>
            </w:r>
            <w:proofErr w:type="gramStart"/>
            <w:r w:rsidRPr="00900344">
              <w:rPr>
                <w:i/>
                <w:sz w:val="18"/>
                <w:szCs w:val="18"/>
              </w:rPr>
              <w:t>Letter  No</w:t>
            </w:r>
            <w:proofErr w:type="gramEnd"/>
            <w:r w:rsidRPr="00900344">
              <w:rPr>
                <w:i/>
                <w:sz w:val="18"/>
                <w:szCs w:val="18"/>
              </w:rPr>
              <w:t>. AHU-</w:t>
            </w:r>
            <w:r w:rsidRPr="00900344">
              <w:rPr>
                <w:i/>
                <w:sz w:val="18"/>
                <w:szCs w:val="18"/>
                <w:lang w:val="id-ID"/>
              </w:rPr>
              <w:t xml:space="preserve"> </w:t>
            </w:r>
            <w:r w:rsidRPr="00900344">
              <w:rPr>
                <w:i/>
                <w:sz w:val="18"/>
                <w:szCs w:val="18"/>
              </w:rPr>
              <w:t>24230.AH.01.02</w:t>
            </w:r>
            <w:r w:rsidR="00DA069B">
              <w:rPr>
                <w:i/>
                <w:sz w:val="18"/>
                <w:szCs w:val="18"/>
              </w:rPr>
              <w:t>,</w:t>
            </w:r>
            <w:r w:rsidR="00900344">
              <w:rPr>
                <w:i/>
                <w:sz w:val="18"/>
                <w:szCs w:val="18"/>
              </w:rPr>
              <w:t xml:space="preserve"> </w:t>
            </w:r>
            <w:r w:rsidRPr="00900344">
              <w:rPr>
                <w:i/>
                <w:sz w:val="18"/>
                <w:szCs w:val="18"/>
              </w:rPr>
              <w:t>Year 2010 dated May 12</w:t>
            </w:r>
            <w:r w:rsidR="00DA069B">
              <w:rPr>
                <w:i/>
                <w:sz w:val="18"/>
                <w:szCs w:val="18"/>
              </w:rPr>
              <w:t>,</w:t>
            </w:r>
            <w:r w:rsidRPr="00900344">
              <w:rPr>
                <w:i/>
                <w:sz w:val="18"/>
                <w:szCs w:val="18"/>
              </w:rPr>
              <w:t xml:space="preserve"> 2010 and has been published of State Gazette of the Republic of Indonesia </w:t>
            </w:r>
            <w:r w:rsidR="00900344">
              <w:rPr>
                <w:i/>
                <w:sz w:val="18"/>
                <w:szCs w:val="18"/>
              </w:rPr>
              <w:br/>
            </w:r>
            <w:r w:rsidRPr="00900344">
              <w:rPr>
                <w:i/>
                <w:sz w:val="18"/>
                <w:szCs w:val="18"/>
              </w:rPr>
              <w:t>No. 35 Supplement No.</w:t>
            </w:r>
            <w:r w:rsidRPr="00900344">
              <w:rPr>
                <w:i/>
                <w:sz w:val="18"/>
                <w:szCs w:val="18"/>
                <w:lang w:val="id-ID"/>
              </w:rPr>
              <w:t xml:space="preserve"> </w:t>
            </w:r>
            <w:r w:rsidRPr="00900344">
              <w:rPr>
                <w:i/>
                <w:sz w:val="18"/>
                <w:szCs w:val="18"/>
              </w:rPr>
              <w:t>11708 dated May 3</w:t>
            </w:r>
            <w:r w:rsidR="00DA069B">
              <w:rPr>
                <w:i/>
                <w:sz w:val="18"/>
                <w:szCs w:val="18"/>
              </w:rPr>
              <w:t>,</w:t>
            </w:r>
            <w:r w:rsidRPr="00900344">
              <w:rPr>
                <w:i/>
                <w:sz w:val="18"/>
                <w:szCs w:val="18"/>
              </w:rPr>
              <w:t xml:space="preserve"> 2011.</w:t>
            </w:r>
          </w:p>
        </w:tc>
      </w:tr>
      <w:tr w:rsidR="009B0A73" w:rsidRPr="00CC4AA5" w14:paraId="1D4653E4" w14:textId="77777777" w:rsidTr="004F6552">
        <w:tc>
          <w:tcPr>
            <w:tcW w:w="4597" w:type="dxa"/>
          </w:tcPr>
          <w:p w14:paraId="50187D5B" w14:textId="77777777" w:rsidR="009B0A73" w:rsidRPr="00CC4AA5" w:rsidRDefault="009B0A73" w:rsidP="009B0A73">
            <w:pPr>
              <w:ind w:left="567" w:right="-57"/>
              <w:jc w:val="both"/>
              <w:rPr>
                <w:rStyle w:val="hps"/>
                <w:sz w:val="18"/>
                <w:szCs w:val="18"/>
                <w:highlight w:val="green"/>
              </w:rPr>
            </w:pPr>
          </w:p>
        </w:tc>
        <w:tc>
          <w:tcPr>
            <w:tcW w:w="4600" w:type="dxa"/>
          </w:tcPr>
          <w:p w14:paraId="568DE991" w14:textId="77777777" w:rsidR="009B0A73" w:rsidRPr="00CC4AA5" w:rsidRDefault="009B0A73" w:rsidP="009B0A73">
            <w:pPr>
              <w:ind w:left="567" w:right="-57"/>
              <w:jc w:val="both"/>
              <w:rPr>
                <w:i/>
                <w:sz w:val="18"/>
                <w:szCs w:val="18"/>
                <w:highlight w:val="green"/>
              </w:rPr>
            </w:pPr>
          </w:p>
        </w:tc>
      </w:tr>
    </w:tbl>
    <w:p w14:paraId="3EEEEBD5" w14:textId="77777777" w:rsidR="004F6552" w:rsidRDefault="004F6552" w:rsidP="00070D1F">
      <w:pPr>
        <w:pStyle w:val="ListParagraph"/>
        <w:numPr>
          <w:ilvl w:val="0"/>
          <w:numId w:val="288"/>
        </w:numPr>
        <w:ind w:left="317" w:hanging="283"/>
        <w:contextualSpacing/>
        <w:jc w:val="both"/>
        <w:sectPr w:rsidR="004F6552" w:rsidSect="00DF6E97">
          <w:headerReference w:type="even" r:id="rId38"/>
          <w:headerReference w:type="default" r:id="rId39"/>
          <w:headerReference w:type="first" r:id="rId40"/>
          <w:pgSz w:w="11907" w:h="16839" w:code="9"/>
          <w:pgMar w:top="1723" w:right="1100" w:bottom="278" w:left="1281" w:header="850" w:footer="397" w:gutter="0"/>
          <w:cols w:space="708"/>
          <w:noEndnote/>
          <w:docGrid w:linePitch="326"/>
        </w:sectPr>
      </w:pPr>
    </w:p>
    <w:tbl>
      <w:tblPr>
        <w:tblW w:w="9197" w:type="dxa"/>
        <w:tblInd w:w="392" w:type="dxa"/>
        <w:tblLayout w:type="fixed"/>
        <w:tblLook w:val="0000" w:firstRow="0" w:lastRow="0" w:firstColumn="0" w:lastColumn="0" w:noHBand="0" w:noVBand="0"/>
      </w:tblPr>
      <w:tblGrid>
        <w:gridCol w:w="4597"/>
        <w:gridCol w:w="4588"/>
        <w:gridCol w:w="12"/>
      </w:tblGrid>
      <w:tr w:rsidR="0012495A" w:rsidRPr="0012495A" w14:paraId="279BEF38" w14:textId="77777777" w:rsidTr="004F6552">
        <w:tc>
          <w:tcPr>
            <w:tcW w:w="4597" w:type="dxa"/>
          </w:tcPr>
          <w:p w14:paraId="3BE50158" w14:textId="55873451" w:rsidR="0012495A" w:rsidRPr="0012495A" w:rsidRDefault="0012495A" w:rsidP="00070D1F">
            <w:pPr>
              <w:pStyle w:val="ListParagraph"/>
              <w:numPr>
                <w:ilvl w:val="0"/>
                <w:numId w:val="288"/>
              </w:numPr>
              <w:ind w:left="317" w:hanging="283"/>
              <w:contextualSpacing/>
              <w:jc w:val="both"/>
              <w:rPr>
                <w:rStyle w:val="hps"/>
                <w:b/>
                <w:bCs w:val="0"/>
                <w:sz w:val="18"/>
                <w:szCs w:val="18"/>
              </w:rPr>
            </w:pPr>
            <w:r>
              <w:lastRenderedPageBreak/>
              <w:br w:type="page"/>
            </w:r>
            <w:r w:rsidRPr="0012495A">
              <w:rPr>
                <w:rStyle w:val="hps"/>
                <w:b/>
                <w:bCs w:val="0"/>
                <w:sz w:val="18"/>
                <w:szCs w:val="18"/>
              </w:rPr>
              <w:t>UMUM - Lanjutan</w:t>
            </w:r>
          </w:p>
        </w:tc>
        <w:tc>
          <w:tcPr>
            <w:tcW w:w="4600" w:type="dxa"/>
            <w:gridSpan w:val="2"/>
          </w:tcPr>
          <w:p w14:paraId="5B7160D0" w14:textId="58884670" w:rsidR="0012495A" w:rsidRPr="0012495A" w:rsidRDefault="0012495A" w:rsidP="00070D1F">
            <w:pPr>
              <w:pStyle w:val="ListParagraph"/>
              <w:numPr>
                <w:ilvl w:val="0"/>
                <w:numId w:val="289"/>
              </w:numPr>
              <w:ind w:left="289" w:hanging="289"/>
              <w:contextualSpacing/>
              <w:jc w:val="both"/>
              <w:rPr>
                <w:b/>
                <w:bCs w:val="0"/>
                <w:i/>
                <w:sz w:val="18"/>
                <w:szCs w:val="18"/>
              </w:rPr>
            </w:pPr>
            <w:r w:rsidRPr="0012495A">
              <w:rPr>
                <w:b/>
                <w:bCs w:val="0"/>
                <w:i/>
                <w:sz w:val="18"/>
                <w:szCs w:val="18"/>
              </w:rPr>
              <w:t xml:space="preserve">GENERAL </w:t>
            </w:r>
            <w:r w:rsidR="00007C5F">
              <w:rPr>
                <w:b/>
                <w:bCs w:val="0"/>
                <w:i/>
                <w:sz w:val="18"/>
                <w:szCs w:val="18"/>
              </w:rPr>
              <w:t>-</w:t>
            </w:r>
            <w:r w:rsidRPr="0012495A">
              <w:rPr>
                <w:b/>
                <w:bCs w:val="0"/>
                <w:i/>
                <w:sz w:val="18"/>
                <w:szCs w:val="18"/>
              </w:rPr>
              <w:t xml:space="preserve"> Continued</w:t>
            </w:r>
          </w:p>
        </w:tc>
      </w:tr>
      <w:tr w:rsidR="0012495A" w:rsidRPr="0012495A" w14:paraId="7F63392C" w14:textId="77777777" w:rsidTr="004F6552">
        <w:tc>
          <w:tcPr>
            <w:tcW w:w="4597" w:type="dxa"/>
          </w:tcPr>
          <w:p w14:paraId="24350126" w14:textId="77777777" w:rsidR="0012495A" w:rsidRPr="0012495A" w:rsidRDefault="0012495A" w:rsidP="0012495A">
            <w:pPr>
              <w:ind w:left="567" w:right="-57"/>
              <w:jc w:val="both"/>
              <w:rPr>
                <w:rStyle w:val="hps"/>
                <w:b/>
                <w:bCs w:val="0"/>
                <w:sz w:val="18"/>
                <w:szCs w:val="18"/>
              </w:rPr>
            </w:pPr>
          </w:p>
        </w:tc>
        <w:tc>
          <w:tcPr>
            <w:tcW w:w="4600" w:type="dxa"/>
            <w:gridSpan w:val="2"/>
          </w:tcPr>
          <w:p w14:paraId="2079E56D" w14:textId="77777777" w:rsidR="0012495A" w:rsidRPr="0012495A" w:rsidRDefault="0012495A" w:rsidP="0012495A">
            <w:pPr>
              <w:ind w:left="567" w:right="-57"/>
              <w:jc w:val="both"/>
              <w:rPr>
                <w:b/>
                <w:bCs w:val="0"/>
                <w:i/>
                <w:sz w:val="18"/>
                <w:szCs w:val="18"/>
              </w:rPr>
            </w:pPr>
          </w:p>
        </w:tc>
      </w:tr>
      <w:tr w:rsidR="0012495A" w:rsidRPr="0012495A" w14:paraId="72973347" w14:textId="77777777" w:rsidTr="004F6552">
        <w:tc>
          <w:tcPr>
            <w:tcW w:w="4597" w:type="dxa"/>
          </w:tcPr>
          <w:p w14:paraId="1C953E21" w14:textId="77777777" w:rsidR="0012495A" w:rsidRPr="0012495A" w:rsidRDefault="0012495A" w:rsidP="00070D1F">
            <w:pPr>
              <w:pStyle w:val="ListParagraph"/>
              <w:numPr>
                <w:ilvl w:val="0"/>
                <w:numId w:val="290"/>
              </w:numPr>
              <w:ind w:left="559" w:right="-57" w:hanging="210"/>
              <w:contextualSpacing/>
              <w:jc w:val="both"/>
              <w:rPr>
                <w:rStyle w:val="hps"/>
                <w:b/>
                <w:bCs w:val="0"/>
                <w:sz w:val="18"/>
                <w:szCs w:val="18"/>
              </w:rPr>
            </w:pPr>
            <w:r w:rsidRPr="0012495A">
              <w:rPr>
                <w:rStyle w:val="hps"/>
                <w:b/>
                <w:bCs w:val="0"/>
                <w:sz w:val="18"/>
                <w:szCs w:val="18"/>
              </w:rPr>
              <w:t>Struktur Perusahaan dan Entitas Anak - Lanjutan</w:t>
            </w:r>
          </w:p>
        </w:tc>
        <w:tc>
          <w:tcPr>
            <w:tcW w:w="4600" w:type="dxa"/>
            <w:gridSpan w:val="2"/>
          </w:tcPr>
          <w:p w14:paraId="247D3641" w14:textId="77777777" w:rsidR="0012495A" w:rsidRPr="0012495A" w:rsidRDefault="0012495A" w:rsidP="00070D1F">
            <w:pPr>
              <w:pStyle w:val="ListParagraph"/>
              <w:numPr>
                <w:ilvl w:val="0"/>
                <w:numId w:val="291"/>
              </w:numPr>
              <w:ind w:left="572" w:right="-57" w:hanging="247"/>
              <w:contextualSpacing/>
              <w:jc w:val="both"/>
              <w:rPr>
                <w:b/>
                <w:bCs w:val="0"/>
                <w:i/>
                <w:sz w:val="18"/>
                <w:szCs w:val="18"/>
              </w:rPr>
            </w:pPr>
            <w:r w:rsidRPr="0012495A">
              <w:rPr>
                <w:b/>
                <w:bCs w:val="0"/>
                <w:i/>
                <w:sz w:val="18"/>
                <w:szCs w:val="18"/>
              </w:rPr>
              <w:t>Structure of The Group - Continued</w:t>
            </w:r>
          </w:p>
        </w:tc>
      </w:tr>
      <w:tr w:rsidR="0012495A" w:rsidRPr="0012495A" w14:paraId="53DDB0DB" w14:textId="77777777" w:rsidTr="004F6552">
        <w:tc>
          <w:tcPr>
            <w:tcW w:w="4597" w:type="dxa"/>
          </w:tcPr>
          <w:p w14:paraId="2D971890" w14:textId="77777777" w:rsidR="0012495A" w:rsidRPr="0012495A" w:rsidRDefault="0012495A" w:rsidP="0012495A">
            <w:pPr>
              <w:ind w:left="567" w:right="-57"/>
              <w:jc w:val="both"/>
              <w:rPr>
                <w:rStyle w:val="hps"/>
                <w:b/>
                <w:bCs w:val="0"/>
                <w:sz w:val="18"/>
                <w:szCs w:val="18"/>
              </w:rPr>
            </w:pPr>
          </w:p>
        </w:tc>
        <w:tc>
          <w:tcPr>
            <w:tcW w:w="4600" w:type="dxa"/>
            <w:gridSpan w:val="2"/>
          </w:tcPr>
          <w:p w14:paraId="18962A33" w14:textId="77777777" w:rsidR="0012495A" w:rsidRPr="0012495A" w:rsidRDefault="0012495A" w:rsidP="0012495A">
            <w:pPr>
              <w:ind w:left="567" w:right="-57"/>
              <w:jc w:val="both"/>
              <w:rPr>
                <w:b/>
                <w:bCs w:val="0"/>
                <w:i/>
                <w:sz w:val="18"/>
                <w:szCs w:val="18"/>
              </w:rPr>
            </w:pPr>
          </w:p>
        </w:tc>
      </w:tr>
      <w:tr w:rsidR="0012495A" w:rsidRPr="0012495A" w14:paraId="0290939E" w14:textId="77777777" w:rsidTr="004F6552">
        <w:tc>
          <w:tcPr>
            <w:tcW w:w="4597" w:type="dxa"/>
          </w:tcPr>
          <w:p w14:paraId="7AD6A296" w14:textId="25C5D080" w:rsidR="0012495A" w:rsidRPr="0012495A" w:rsidRDefault="0012495A" w:rsidP="00982A96">
            <w:pPr>
              <w:ind w:left="567" w:right="-57"/>
              <w:jc w:val="both"/>
              <w:rPr>
                <w:rStyle w:val="hps"/>
                <w:b/>
                <w:bCs w:val="0"/>
                <w:sz w:val="18"/>
                <w:szCs w:val="18"/>
              </w:rPr>
            </w:pPr>
            <w:r w:rsidRPr="00C735B9">
              <w:rPr>
                <w:rStyle w:val="hps"/>
                <w:b/>
                <w:sz w:val="18"/>
                <w:szCs w:val="18"/>
              </w:rPr>
              <w:t>Akuisisi Entitas Anak Tahun 2010</w:t>
            </w:r>
            <w:r>
              <w:rPr>
                <w:rStyle w:val="hps"/>
                <w:b/>
                <w:sz w:val="18"/>
                <w:szCs w:val="18"/>
              </w:rPr>
              <w:t xml:space="preserve"> </w:t>
            </w:r>
            <w:r w:rsidRPr="0012495A">
              <w:rPr>
                <w:rStyle w:val="hps"/>
                <w:b/>
                <w:bCs w:val="0"/>
                <w:sz w:val="18"/>
                <w:szCs w:val="18"/>
              </w:rPr>
              <w:t>- Lanjutan</w:t>
            </w:r>
          </w:p>
        </w:tc>
        <w:tc>
          <w:tcPr>
            <w:tcW w:w="4600" w:type="dxa"/>
            <w:gridSpan w:val="2"/>
          </w:tcPr>
          <w:p w14:paraId="17285D50" w14:textId="46DB1C28" w:rsidR="0012495A" w:rsidRPr="0012495A" w:rsidRDefault="0012495A" w:rsidP="00982A96">
            <w:pPr>
              <w:ind w:left="567" w:right="-57"/>
              <w:jc w:val="both"/>
              <w:rPr>
                <w:b/>
                <w:bCs w:val="0"/>
                <w:i/>
                <w:sz w:val="18"/>
                <w:szCs w:val="18"/>
              </w:rPr>
            </w:pPr>
            <w:r w:rsidRPr="00C735B9">
              <w:rPr>
                <w:b/>
                <w:i/>
                <w:sz w:val="18"/>
                <w:szCs w:val="18"/>
              </w:rPr>
              <w:t>Acquisition of Subsidiaries in 2010</w:t>
            </w:r>
            <w:r>
              <w:rPr>
                <w:b/>
                <w:i/>
                <w:sz w:val="18"/>
                <w:szCs w:val="18"/>
              </w:rPr>
              <w:t xml:space="preserve"> </w:t>
            </w:r>
            <w:r w:rsidRPr="0012495A">
              <w:rPr>
                <w:b/>
                <w:bCs w:val="0"/>
                <w:i/>
                <w:sz w:val="18"/>
                <w:szCs w:val="18"/>
              </w:rPr>
              <w:t>- Continued</w:t>
            </w:r>
          </w:p>
        </w:tc>
      </w:tr>
      <w:tr w:rsidR="0012495A" w:rsidRPr="0012495A" w14:paraId="626E88DC" w14:textId="77777777" w:rsidTr="004F6552">
        <w:tc>
          <w:tcPr>
            <w:tcW w:w="4597" w:type="dxa"/>
          </w:tcPr>
          <w:p w14:paraId="7F7BC7CC" w14:textId="77777777" w:rsidR="0012495A" w:rsidRPr="0012495A" w:rsidRDefault="0012495A" w:rsidP="00982A96">
            <w:pPr>
              <w:ind w:left="567" w:right="-57"/>
              <w:jc w:val="both"/>
              <w:rPr>
                <w:rStyle w:val="hps"/>
                <w:sz w:val="18"/>
                <w:szCs w:val="18"/>
              </w:rPr>
            </w:pPr>
          </w:p>
        </w:tc>
        <w:tc>
          <w:tcPr>
            <w:tcW w:w="4600" w:type="dxa"/>
            <w:gridSpan w:val="2"/>
          </w:tcPr>
          <w:p w14:paraId="4AACCE2E" w14:textId="77777777" w:rsidR="0012495A" w:rsidRPr="0012495A" w:rsidRDefault="0012495A" w:rsidP="00982A96">
            <w:pPr>
              <w:ind w:left="567" w:right="-57"/>
              <w:jc w:val="both"/>
              <w:rPr>
                <w:i/>
                <w:sz w:val="18"/>
                <w:szCs w:val="18"/>
              </w:rPr>
            </w:pPr>
          </w:p>
        </w:tc>
      </w:tr>
      <w:tr w:rsidR="0012495A" w:rsidRPr="009C3072" w14:paraId="383DCFBD" w14:textId="77777777" w:rsidTr="004F6552">
        <w:tc>
          <w:tcPr>
            <w:tcW w:w="4597" w:type="dxa"/>
          </w:tcPr>
          <w:p w14:paraId="04E45C68" w14:textId="4811B9F6" w:rsidR="0012495A" w:rsidRPr="009C3072" w:rsidRDefault="0012495A" w:rsidP="00982A96">
            <w:pPr>
              <w:ind w:left="567" w:right="-57"/>
              <w:jc w:val="both"/>
              <w:rPr>
                <w:rStyle w:val="hps"/>
                <w:sz w:val="18"/>
                <w:szCs w:val="18"/>
                <w:u w:val="single"/>
              </w:rPr>
            </w:pPr>
            <w:r w:rsidRPr="009C3072">
              <w:rPr>
                <w:rStyle w:val="hps"/>
                <w:sz w:val="18"/>
                <w:szCs w:val="18"/>
                <w:u w:val="single"/>
              </w:rPr>
              <w:t>PT Fajar  Kharisma  Nusantara  (“FKN”)</w:t>
            </w:r>
            <w:r>
              <w:rPr>
                <w:rStyle w:val="hps"/>
                <w:sz w:val="18"/>
                <w:szCs w:val="18"/>
                <w:u w:val="single"/>
              </w:rPr>
              <w:t xml:space="preserve"> - Lanjutan</w:t>
            </w:r>
          </w:p>
        </w:tc>
        <w:tc>
          <w:tcPr>
            <w:tcW w:w="4600" w:type="dxa"/>
            <w:gridSpan w:val="2"/>
          </w:tcPr>
          <w:p w14:paraId="47B9A6B9" w14:textId="705E7242" w:rsidR="0012495A" w:rsidRPr="009C3072" w:rsidRDefault="0012495A" w:rsidP="00982A96">
            <w:pPr>
              <w:ind w:left="567" w:right="-57"/>
              <w:jc w:val="both"/>
              <w:rPr>
                <w:i/>
                <w:sz w:val="18"/>
                <w:szCs w:val="18"/>
                <w:u w:val="single"/>
              </w:rPr>
            </w:pPr>
            <w:r w:rsidRPr="009C3072">
              <w:rPr>
                <w:i/>
                <w:sz w:val="18"/>
                <w:szCs w:val="18"/>
                <w:u w:val="single"/>
              </w:rPr>
              <w:t>PT Fajar Kharisma Nusantara (“FKN”)</w:t>
            </w:r>
            <w:r>
              <w:rPr>
                <w:i/>
                <w:sz w:val="18"/>
                <w:szCs w:val="18"/>
                <w:u w:val="single"/>
              </w:rPr>
              <w:t xml:space="preserve"> - Continued</w:t>
            </w:r>
          </w:p>
        </w:tc>
      </w:tr>
      <w:tr w:rsidR="0012495A" w:rsidRPr="00CC4AA5" w14:paraId="5F41A296" w14:textId="77777777" w:rsidTr="004F6552">
        <w:tc>
          <w:tcPr>
            <w:tcW w:w="4597" w:type="dxa"/>
          </w:tcPr>
          <w:p w14:paraId="1E2A2E3E" w14:textId="77777777" w:rsidR="0012495A" w:rsidRPr="0012495A" w:rsidRDefault="0012495A" w:rsidP="009B0A73">
            <w:pPr>
              <w:ind w:left="567" w:right="-57"/>
              <w:jc w:val="both"/>
              <w:rPr>
                <w:rStyle w:val="hps"/>
                <w:sz w:val="18"/>
                <w:szCs w:val="18"/>
              </w:rPr>
            </w:pPr>
          </w:p>
        </w:tc>
        <w:tc>
          <w:tcPr>
            <w:tcW w:w="4600" w:type="dxa"/>
            <w:gridSpan w:val="2"/>
          </w:tcPr>
          <w:p w14:paraId="533CD198" w14:textId="77777777" w:rsidR="0012495A" w:rsidRPr="0012495A" w:rsidRDefault="0012495A" w:rsidP="009B0A73">
            <w:pPr>
              <w:ind w:left="567" w:right="-57"/>
              <w:jc w:val="both"/>
              <w:rPr>
                <w:i/>
                <w:sz w:val="18"/>
                <w:szCs w:val="18"/>
              </w:rPr>
            </w:pPr>
          </w:p>
        </w:tc>
      </w:tr>
      <w:tr w:rsidR="0012495A" w:rsidRPr="00CC4AA5" w14:paraId="280BAC51" w14:textId="77777777" w:rsidTr="004F6552">
        <w:tc>
          <w:tcPr>
            <w:tcW w:w="4597" w:type="dxa"/>
          </w:tcPr>
          <w:p w14:paraId="702FC6BC" w14:textId="6E7731C2" w:rsidR="0012495A" w:rsidRPr="0012495A" w:rsidRDefault="0012495A" w:rsidP="00DA069B">
            <w:pPr>
              <w:ind w:left="567" w:right="-57"/>
              <w:jc w:val="both"/>
              <w:rPr>
                <w:rStyle w:val="hps"/>
                <w:sz w:val="18"/>
                <w:szCs w:val="18"/>
              </w:rPr>
            </w:pPr>
            <w:r w:rsidRPr="0012495A">
              <w:rPr>
                <w:rStyle w:val="hps"/>
                <w:sz w:val="18"/>
                <w:szCs w:val="18"/>
              </w:rPr>
              <w:t>A</w:t>
            </w:r>
            <w:r>
              <w:rPr>
                <w:rStyle w:val="hps"/>
                <w:sz w:val="18"/>
                <w:szCs w:val="18"/>
              </w:rPr>
              <w:t>nggaran dasar FKN telah beberapa kali mengalami perubahan</w:t>
            </w:r>
            <w:r w:rsidR="00870FD0">
              <w:rPr>
                <w:rStyle w:val="hps"/>
                <w:sz w:val="18"/>
                <w:szCs w:val="18"/>
              </w:rPr>
              <w:t>.</w:t>
            </w:r>
            <w:r>
              <w:rPr>
                <w:rStyle w:val="hps"/>
                <w:sz w:val="18"/>
                <w:szCs w:val="18"/>
              </w:rPr>
              <w:t xml:space="preserve"> terakhir dituangkan dalam Akta No. 46 tanggal 5 Agustus 2019 dari Notaris Buntario </w:t>
            </w:r>
            <w:r w:rsidRPr="0012495A">
              <w:rPr>
                <w:rStyle w:val="hps"/>
                <w:sz w:val="18"/>
                <w:szCs w:val="18"/>
              </w:rPr>
              <w:t>Tigris</w:t>
            </w:r>
            <w:r w:rsidR="00DA069B">
              <w:rPr>
                <w:rStyle w:val="hps"/>
                <w:sz w:val="18"/>
                <w:szCs w:val="18"/>
              </w:rPr>
              <w:t>,</w:t>
            </w:r>
            <w:r w:rsidRPr="0012495A">
              <w:rPr>
                <w:rStyle w:val="hps"/>
                <w:sz w:val="18"/>
                <w:szCs w:val="18"/>
              </w:rPr>
              <w:t xml:space="preserve"> S.H.</w:t>
            </w:r>
            <w:r w:rsidR="00DA069B">
              <w:rPr>
                <w:rStyle w:val="hps"/>
                <w:sz w:val="18"/>
                <w:szCs w:val="18"/>
              </w:rPr>
              <w:t>,</w:t>
            </w:r>
            <w:r w:rsidRPr="0012495A">
              <w:rPr>
                <w:rStyle w:val="hps"/>
                <w:sz w:val="18"/>
                <w:szCs w:val="18"/>
              </w:rPr>
              <w:t xml:space="preserve"> S.E.</w:t>
            </w:r>
            <w:r w:rsidR="00DA069B">
              <w:rPr>
                <w:rStyle w:val="hps"/>
                <w:sz w:val="18"/>
                <w:szCs w:val="18"/>
              </w:rPr>
              <w:t>,</w:t>
            </w:r>
            <w:r w:rsidRPr="0012495A">
              <w:rPr>
                <w:rStyle w:val="hps"/>
                <w:sz w:val="18"/>
                <w:szCs w:val="18"/>
              </w:rPr>
              <w:t xml:space="preserve"> M.H.</w:t>
            </w:r>
            <w:r w:rsidR="00DA069B">
              <w:rPr>
                <w:rStyle w:val="hps"/>
                <w:sz w:val="18"/>
                <w:szCs w:val="18"/>
              </w:rPr>
              <w:t>,</w:t>
            </w:r>
            <w:r w:rsidRPr="0012495A">
              <w:rPr>
                <w:rStyle w:val="hps"/>
                <w:sz w:val="18"/>
                <w:szCs w:val="18"/>
              </w:rPr>
              <w:t xml:space="preserve"> Notaris di Jakarta</w:t>
            </w:r>
            <w:r w:rsidR="00DA069B">
              <w:rPr>
                <w:rStyle w:val="hps"/>
                <w:sz w:val="18"/>
                <w:szCs w:val="18"/>
              </w:rPr>
              <w:t>,</w:t>
            </w:r>
            <w:r>
              <w:rPr>
                <w:rStyle w:val="hps"/>
                <w:sz w:val="18"/>
                <w:szCs w:val="18"/>
              </w:rPr>
              <w:t xml:space="preserve"> </w:t>
            </w:r>
            <w:r w:rsidRPr="0012495A">
              <w:rPr>
                <w:rStyle w:val="hps"/>
                <w:sz w:val="18"/>
                <w:szCs w:val="18"/>
              </w:rPr>
              <w:t>dimana pemegang saham Perusahaan setuju untuk</w:t>
            </w:r>
            <w:r>
              <w:rPr>
                <w:rStyle w:val="hps"/>
                <w:sz w:val="18"/>
                <w:szCs w:val="18"/>
              </w:rPr>
              <w:t xml:space="preserve"> </w:t>
            </w:r>
            <w:r w:rsidRPr="0012495A">
              <w:rPr>
                <w:rStyle w:val="hps"/>
                <w:sz w:val="18"/>
                <w:szCs w:val="18"/>
              </w:rPr>
              <w:t>merubah maksud dan tujuan serta kegiatan usaha</w:t>
            </w:r>
            <w:r>
              <w:rPr>
                <w:rStyle w:val="hps"/>
                <w:sz w:val="18"/>
                <w:szCs w:val="18"/>
              </w:rPr>
              <w:t xml:space="preserve"> </w:t>
            </w:r>
            <w:r w:rsidRPr="0012495A">
              <w:rPr>
                <w:rStyle w:val="hps"/>
                <w:sz w:val="18"/>
                <w:szCs w:val="18"/>
              </w:rPr>
              <w:t>menjadi aktifitas rumah sakit swasta. Akta perubahan</w:t>
            </w:r>
            <w:r>
              <w:rPr>
                <w:rStyle w:val="hps"/>
                <w:sz w:val="18"/>
                <w:szCs w:val="18"/>
              </w:rPr>
              <w:t xml:space="preserve"> </w:t>
            </w:r>
            <w:r w:rsidRPr="0012495A">
              <w:rPr>
                <w:rStyle w:val="hps"/>
                <w:sz w:val="18"/>
                <w:szCs w:val="18"/>
              </w:rPr>
              <w:t>ini telah mendapatkan persetujuan dari Menteri</w:t>
            </w:r>
            <w:r>
              <w:rPr>
                <w:rStyle w:val="hps"/>
                <w:sz w:val="18"/>
                <w:szCs w:val="18"/>
              </w:rPr>
              <w:t xml:space="preserve"> </w:t>
            </w:r>
            <w:r w:rsidRPr="0012495A">
              <w:rPr>
                <w:rStyle w:val="hps"/>
                <w:sz w:val="18"/>
                <w:szCs w:val="18"/>
              </w:rPr>
              <w:t>Hukum dan Hak Asasi Manusia Republik Indonesia</w:t>
            </w:r>
            <w:r>
              <w:rPr>
                <w:rStyle w:val="hps"/>
                <w:sz w:val="18"/>
                <w:szCs w:val="18"/>
              </w:rPr>
              <w:t xml:space="preserve"> </w:t>
            </w:r>
            <w:r w:rsidRPr="0012495A">
              <w:rPr>
                <w:rStyle w:val="hps"/>
                <w:sz w:val="18"/>
                <w:szCs w:val="18"/>
              </w:rPr>
              <w:t>melalui Surat Keputusan No. AHU0141236.AH.01.11</w:t>
            </w:r>
            <w:r>
              <w:rPr>
                <w:rStyle w:val="hps"/>
                <w:sz w:val="18"/>
                <w:szCs w:val="18"/>
              </w:rPr>
              <w:t xml:space="preserve"> </w:t>
            </w:r>
            <w:r w:rsidRPr="0012495A">
              <w:rPr>
                <w:rStyle w:val="hps"/>
                <w:sz w:val="18"/>
                <w:szCs w:val="18"/>
              </w:rPr>
              <w:t xml:space="preserve">Tahun 2019 tanggal </w:t>
            </w:r>
            <w:r w:rsidR="00F91C03">
              <w:rPr>
                <w:rStyle w:val="hps"/>
                <w:sz w:val="18"/>
                <w:szCs w:val="18"/>
              </w:rPr>
              <w:br/>
            </w:r>
            <w:r w:rsidRPr="0012495A">
              <w:rPr>
                <w:rStyle w:val="hps"/>
                <w:sz w:val="18"/>
                <w:szCs w:val="18"/>
              </w:rPr>
              <w:t>19 Agustus</w:t>
            </w:r>
            <w:r>
              <w:rPr>
                <w:rStyle w:val="hps"/>
                <w:sz w:val="18"/>
                <w:szCs w:val="18"/>
              </w:rPr>
              <w:t xml:space="preserve"> </w:t>
            </w:r>
            <w:r w:rsidRPr="0012495A">
              <w:rPr>
                <w:rStyle w:val="hps"/>
                <w:sz w:val="18"/>
                <w:szCs w:val="18"/>
              </w:rPr>
              <w:t>2019.</w:t>
            </w:r>
          </w:p>
        </w:tc>
        <w:tc>
          <w:tcPr>
            <w:tcW w:w="4600" w:type="dxa"/>
            <w:gridSpan w:val="2"/>
          </w:tcPr>
          <w:p w14:paraId="73E80B70" w14:textId="5412DBE7" w:rsidR="0012495A" w:rsidRPr="00F91C03" w:rsidRDefault="00F91C03" w:rsidP="00DA069B">
            <w:pPr>
              <w:ind w:left="567" w:right="-57"/>
              <w:jc w:val="both"/>
              <w:rPr>
                <w:i/>
                <w:sz w:val="18"/>
                <w:szCs w:val="18"/>
              </w:rPr>
            </w:pPr>
            <w:r w:rsidRPr="00F91C03">
              <w:rPr>
                <w:i/>
                <w:sz w:val="18"/>
                <w:szCs w:val="18"/>
              </w:rPr>
              <w:t>The Company’s Articles of Association have been</w:t>
            </w:r>
            <w:r>
              <w:rPr>
                <w:i/>
                <w:sz w:val="18"/>
                <w:szCs w:val="18"/>
              </w:rPr>
              <w:t xml:space="preserve"> </w:t>
            </w:r>
            <w:r w:rsidRPr="00F91C03">
              <w:rPr>
                <w:i/>
                <w:sz w:val="18"/>
                <w:szCs w:val="18"/>
              </w:rPr>
              <w:t>amended several times</w:t>
            </w:r>
            <w:r w:rsidR="00DA069B">
              <w:rPr>
                <w:i/>
                <w:sz w:val="18"/>
                <w:szCs w:val="18"/>
              </w:rPr>
              <w:t>,</w:t>
            </w:r>
            <w:r w:rsidRPr="00F91C03">
              <w:rPr>
                <w:i/>
                <w:sz w:val="18"/>
                <w:szCs w:val="18"/>
              </w:rPr>
              <w:t xml:space="preserve"> most recently by Deed No.</w:t>
            </w:r>
            <w:r>
              <w:rPr>
                <w:i/>
                <w:sz w:val="18"/>
                <w:szCs w:val="18"/>
              </w:rPr>
              <w:t xml:space="preserve"> </w:t>
            </w:r>
            <w:r w:rsidRPr="00F91C03">
              <w:rPr>
                <w:i/>
                <w:sz w:val="18"/>
                <w:szCs w:val="18"/>
              </w:rPr>
              <w:t>46 dated on August 5</w:t>
            </w:r>
            <w:r w:rsidR="00DA069B">
              <w:rPr>
                <w:i/>
                <w:sz w:val="18"/>
                <w:szCs w:val="18"/>
              </w:rPr>
              <w:t>,</w:t>
            </w:r>
            <w:r w:rsidRPr="00F91C03">
              <w:rPr>
                <w:i/>
                <w:sz w:val="18"/>
                <w:szCs w:val="18"/>
              </w:rPr>
              <w:t xml:space="preserve"> 2019 of Buntario Tigris</w:t>
            </w:r>
            <w:r w:rsidR="00DA069B">
              <w:rPr>
                <w:i/>
                <w:sz w:val="18"/>
                <w:szCs w:val="18"/>
              </w:rPr>
              <w:t>,</w:t>
            </w:r>
            <w:r w:rsidRPr="00F91C03">
              <w:rPr>
                <w:i/>
                <w:sz w:val="18"/>
                <w:szCs w:val="18"/>
              </w:rPr>
              <w:t xml:space="preserve"> S.H.</w:t>
            </w:r>
            <w:r w:rsidR="00DA069B">
              <w:rPr>
                <w:i/>
                <w:sz w:val="18"/>
                <w:szCs w:val="18"/>
              </w:rPr>
              <w:t xml:space="preserve">, </w:t>
            </w:r>
            <w:r w:rsidRPr="00F91C03">
              <w:rPr>
                <w:i/>
                <w:sz w:val="18"/>
                <w:szCs w:val="18"/>
              </w:rPr>
              <w:t>S.E.</w:t>
            </w:r>
            <w:r w:rsidR="00DA069B">
              <w:rPr>
                <w:i/>
                <w:sz w:val="18"/>
                <w:szCs w:val="18"/>
              </w:rPr>
              <w:t>,</w:t>
            </w:r>
            <w:r w:rsidRPr="00F91C03">
              <w:rPr>
                <w:i/>
                <w:sz w:val="18"/>
                <w:szCs w:val="18"/>
              </w:rPr>
              <w:t xml:space="preserve"> M.H.</w:t>
            </w:r>
            <w:r w:rsidR="00DA069B">
              <w:rPr>
                <w:i/>
                <w:sz w:val="18"/>
                <w:szCs w:val="18"/>
              </w:rPr>
              <w:t>,</w:t>
            </w:r>
            <w:r w:rsidRPr="00F91C03">
              <w:rPr>
                <w:i/>
                <w:sz w:val="18"/>
                <w:szCs w:val="18"/>
              </w:rPr>
              <w:t xml:space="preserve"> Notary in Jakarta</w:t>
            </w:r>
            <w:r w:rsidR="00DA069B">
              <w:rPr>
                <w:i/>
                <w:sz w:val="18"/>
                <w:szCs w:val="18"/>
              </w:rPr>
              <w:t>,</w:t>
            </w:r>
            <w:r w:rsidRPr="00F91C03">
              <w:rPr>
                <w:i/>
                <w:sz w:val="18"/>
                <w:szCs w:val="18"/>
              </w:rPr>
              <w:t xml:space="preserve"> where in the </w:t>
            </w:r>
            <w:proofErr w:type="gramStart"/>
            <w:r w:rsidRPr="00F91C03">
              <w:rPr>
                <w:i/>
                <w:sz w:val="18"/>
                <w:szCs w:val="18"/>
              </w:rPr>
              <w:t>Company’s</w:t>
            </w:r>
            <w:r>
              <w:rPr>
                <w:i/>
                <w:sz w:val="18"/>
                <w:szCs w:val="18"/>
              </w:rPr>
              <w:t xml:space="preserve"> </w:t>
            </w:r>
            <w:r w:rsidRPr="00F91C03">
              <w:rPr>
                <w:i/>
                <w:sz w:val="18"/>
                <w:szCs w:val="18"/>
              </w:rPr>
              <w:t>shareholders approve</w:t>
            </w:r>
            <w:proofErr w:type="gramEnd"/>
            <w:r w:rsidRPr="00F91C03">
              <w:rPr>
                <w:i/>
                <w:sz w:val="18"/>
                <w:szCs w:val="18"/>
              </w:rPr>
              <w:t xml:space="preserve"> to change the aims and</w:t>
            </w:r>
            <w:r>
              <w:rPr>
                <w:i/>
                <w:sz w:val="18"/>
                <w:szCs w:val="18"/>
              </w:rPr>
              <w:t xml:space="preserve"> </w:t>
            </w:r>
            <w:r w:rsidRPr="00F91C03">
              <w:rPr>
                <w:i/>
                <w:sz w:val="18"/>
                <w:szCs w:val="18"/>
              </w:rPr>
              <w:t>objectives busuness activities into a private hospital</w:t>
            </w:r>
            <w:r>
              <w:rPr>
                <w:i/>
                <w:sz w:val="18"/>
                <w:szCs w:val="18"/>
              </w:rPr>
              <w:t xml:space="preserve"> </w:t>
            </w:r>
            <w:r w:rsidRPr="00F91C03">
              <w:rPr>
                <w:i/>
                <w:sz w:val="18"/>
                <w:szCs w:val="18"/>
              </w:rPr>
              <w:t>activities. This changed was approved by Minister of</w:t>
            </w:r>
            <w:r>
              <w:rPr>
                <w:i/>
                <w:sz w:val="18"/>
                <w:szCs w:val="18"/>
              </w:rPr>
              <w:t xml:space="preserve"> </w:t>
            </w:r>
            <w:r w:rsidRPr="00F91C03">
              <w:rPr>
                <w:i/>
                <w:sz w:val="18"/>
                <w:szCs w:val="18"/>
              </w:rPr>
              <w:t>Law and Human Rights Republic</w:t>
            </w:r>
            <w:r>
              <w:rPr>
                <w:i/>
                <w:sz w:val="18"/>
                <w:szCs w:val="18"/>
              </w:rPr>
              <w:t xml:space="preserve"> </w:t>
            </w:r>
            <w:r w:rsidRPr="00F91C03">
              <w:rPr>
                <w:i/>
                <w:sz w:val="18"/>
                <w:szCs w:val="18"/>
              </w:rPr>
              <w:t>of Indonesia in his Decision Letter</w:t>
            </w:r>
            <w:r>
              <w:rPr>
                <w:i/>
                <w:sz w:val="18"/>
                <w:szCs w:val="18"/>
              </w:rPr>
              <w:t xml:space="preserve"> </w:t>
            </w:r>
            <w:r w:rsidRPr="00F91C03">
              <w:rPr>
                <w:i/>
                <w:sz w:val="18"/>
                <w:szCs w:val="18"/>
              </w:rPr>
              <w:t>No. AHU-0141236.AH.01.11 2019</w:t>
            </w:r>
            <w:r>
              <w:rPr>
                <w:i/>
                <w:sz w:val="18"/>
                <w:szCs w:val="18"/>
              </w:rPr>
              <w:t xml:space="preserve"> </w:t>
            </w:r>
            <w:r w:rsidRPr="00F91C03">
              <w:rPr>
                <w:i/>
                <w:sz w:val="18"/>
                <w:szCs w:val="18"/>
              </w:rPr>
              <w:t>dated on August</w:t>
            </w:r>
            <w:r>
              <w:rPr>
                <w:i/>
                <w:sz w:val="18"/>
                <w:szCs w:val="18"/>
              </w:rPr>
              <w:t xml:space="preserve"> </w:t>
            </w:r>
            <w:r w:rsidRPr="00F91C03">
              <w:rPr>
                <w:i/>
                <w:sz w:val="18"/>
                <w:szCs w:val="18"/>
              </w:rPr>
              <w:t>19</w:t>
            </w:r>
            <w:r w:rsidR="00DA069B">
              <w:rPr>
                <w:i/>
                <w:sz w:val="18"/>
                <w:szCs w:val="18"/>
              </w:rPr>
              <w:t>,</w:t>
            </w:r>
            <w:r w:rsidRPr="00F91C03">
              <w:rPr>
                <w:i/>
                <w:sz w:val="18"/>
                <w:szCs w:val="18"/>
              </w:rPr>
              <w:t xml:space="preserve"> 2019.</w:t>
            </w:r>
          </w:p>
        </w:tc>
      </w:tr>
      <w:tr w:rsidR="00532A65" w:rsidRPr="00550D0F" w14:paraId="3262B520" w14:textId="77777777" w:rsidTr="004F6552">
        <w:trPr>
          <w:gridAfter w:val="1"/>
          <w:wAfter w:w="12" w:type="dxa"/>
        </w:trPr>
        <w:tc>
          <w:tcPr>
            <w:tcW w:w="4597" w:type="dxa"/>
          </w:tcPr>
          <w:p w14:paraId="65933C8B" w14:textId="77777777" w:rsidR="00532A65" w:rsidRPr="00550D0F" w:rsidRDefault="00532A65" w:rsidP="00532A65">
            <w:pPr>
              <w:ind w:left="567" w:right="-57"/>
              <w:jc w:val="both"/>
              <w:rPr>
                <w:rStyle w:val="hps"/>
                <w:sz w:val="18"/>
                <w:szCs w:val="18"/>
              </w:rPr>
            </w:pPr>
          </w:p>
        </w:tc>
        <w:tc>
          <w:tcPr>
            <w:tcW w:w="4588" w:type="dxa"/>
          </w:tcPr>
          <w:p w14:paraId="5C86972E" w14:textId="77777777" w:rsidR="00532A65" w:rsidRPr="00550D0F" w:rsidRDefault="00532A65" w:rsidP="00532A65">
            <w:pPr>
              <w:ind w:left="567" w:right="-57"/>
              <w:jc w:val="both"/>
              <w:rPr>
                <w:i/>
                <w:sz w:val="18"/>
                <w:szCs w:val="18"/>
              </w:rPr>
            </w:pPr>
          </w:p>
        </w:tc>
      </w:tr>
      <w:tr w:rsidR="0077054A" w:rsidRPr="00550D0F" w14:paraId="43F57E82" w14:textId="77777777" w:rsidTr="004F6552">
        <w:trPr>
          <w:gridAfter w:val="1"/>
          <w:wAfter w:w="12" w:type="dxa"/>
        </w:trPr>
        <w:tc>
          <w:tcPr>
            <w:tcW w:w="4597" w:type="dxa"/>
          </w:tcPr>
          <w:p w14:paraId="58AB1430" w14:textId="34C62A09" w:rsidR="0077054A" w:rsidRPr="0077054A" w:rsidRDefault="0077054A" w:rsidP="00532A65">
            <w:pPr>
              <w:ind w:left="567" w:right="-57"/>
              <w:jc w:val="both"/>
              <w:rPr>
                <w:rStyle w:val="hps"/>
                <w:b/>
                <w:bCs w:val="0"/>
                <w:sz w:val="18"/>
                <w:szCs w:val="18"/>
              </w:rPr>
            </w:pPr>
            <w:r>
              <w:rPr>
                <w:rStyle w:val="hps"/>
                <w:b/>
                <w:bCs w:val="0"/>
                <w:sz w:val="18"/>
                <w:szCs w:val="18"/>
              </w:rPr>
              <w:t>Pendirian Entitas Anak Tahun 2015</w:t>
            </w:r>
          </w:p>
        </w:tc>
        <w:tc>
          <w:tcPr>
            <w:tcW w:w="4588" w:type="dxa"/>
          </w:tcPr>
          <w:p w14:paraId="3632550C" w14:textId="03FAB2C1" w:rsidR="0077054A" w:rsidRPr="0077054A" w:rsidRDefault="0077054A" w:rsidP="00532A65">
            <w:pPr>
              <w:ind w:left="567" w:right="-57"/>
              <w:jc w:val="both"/>
              <w:rPr>
                <w:b/>
                <w:bCs w:val="0"/>
                <w:i/>
                <w:sz w:val="18"/>
                <w:szCs w:val="18"/>
              </w:rPr>
            </w:pPr>
            <w:r>
              <w:rPr>
                <w:b/>
                <w:bCs w:val="0"/>
                <w:i/>
                <w:sz w:val="18"/>
                <w:szCs w:val="18"/>
              </w:rPr>
              <w:t>Establishment of Subsidiaries in 2015</w:t>
            </w:r>
          </w:p>
        </w:tc>
      </w:tr>
      <w:tr w:rsidR="0077054A" w:rsidRPr="00550D0F" w14:paraId="1A2F527B" w14:textId="77777777" w:rsidTr="004F6552">
        <w:trPr>
          <w:gridAfter w:val="1"/>
          <w:wAfter w:w="12" w:type="dxa"/>
        </w:trPr>
        <w:tc>
          <w:tcPr>
            <w:tcW w:w="4597" w:type="dxa"/>
          </w:tcPr>
          <w:p w14:paraId="33351283" w14:textId="77777777" w:rsidR="0077054A" w:rsidRPr="00550D0F" w:rsidRDefault="0077054A" w:rsidP="00532A65">
            <w:pPr>
              <w:ind w:left="567" w:right="-57"/>
              <w:jc w:val="both"/>
              <w:rPr>
                <w:rStyle w:val="hps"/>
                <w:sz w:val="18"/>
                <w:szCs w:val="18"/>
              </w:rPr>
            </w:pPr>
          </w:p>
        </w:tc>
        <w:tc>
          <w:tcPr>
            <w:tcW w:w="4588" w:type="dxa"/>
          </w:tcPr>
          <w:p w14:paraId="16140C7A" w14:textId="77777777" w:rsidR="0077054A" w:rsidRPr="00550D0F" w:rsidRDefault="0077054A" w:rsidP="00532A65">
            <w:pPr>
              <w:ind w:left="567" w:right="-57"/>
              <w:jc w:val="both"/>
              <w:rPr>
                <w:i/>
                <w:sz w:val="18"/>
                <w:szCs w:val="18"/>
              </w:rPr>
            </w:pPr>
          </w:p>
        </w:tc>
      </w:tr>
      <w:tr w:rsidR="00532A65" w:rsidRPr="00550D0F" w14:paraId="42FAADF9" w14:textId="77777777" w:rsidTr="004F6552">
        <w:trPr>
          <w:gridAfter w:val="1"/>
          <w:wAfter w:w="12" w:type="dxa"/>
        </w:trPr>
        <w:tc>
          <w:tcPr>
            <w:tcW w:w="4597" w:type="dxa"/>
          </w:tcPr>
          <w:p w14:paraId="0FCB584E" w14:textId="53910A6F" w:rsidR="00532A65" w:rsidRPr="00550D0F" w:rsidRDefault="00FE6D82" w:rsidP="00532A65">
            <w:pPr>
              <w:ind w:left="567" w:right="-57"/>
              <w:jc w:val="both"/>
              <w:rPr>
                <w:rStyle w:val="hps"/>
                <w:sz w:val="18"/>
                <w:szCs w:val="18"/>
                <w:u w:val="single"/>
              </w:rPr>
            </w:pPr>
            <w:r w:rsidRPr="00550D0F">
              <w:rPr>
                <w:rStyle w:val="hps"/>
                <w:sz w:val="18"/>
                <w:szCs w:val="18"/>
                <w:u w:val="single"/>
              </w:rPr>
              <w:t>PT Sejahtera Inti  Sentosa (“SIS”)</w:t>
            </w:r>
          </w:p>
        </w:tc>
        <w:tc>
          <w:tcPr>
            <w:tcW w:w="4588" w:type="dxa"/>
          </w:tcPr>
          <w:p w14:paraId="07076D59" w14:textId="4D6B02DF" w:rsidR="00532A65" w:rsidRPr="00550D0F" w:rsidRDefault="00FE6D82" w:rsidP="00532A65">
            <w:pPr>
              <w:ind w:left="567" w:right="-57"/>
              <w:jc w:val="both"/>
              <w:rPr>
                <w:i/>
                <w:sz w:val="18"/>
                <w:szCs w:val="18"/>
              </w:rPr>
            </w:pPr>
            <w:r w:rsidRPr="00550D0F">
              <w:rPr>
                <w:rStyle w:val="hps"/>
                <w:i/>
                <w:sz w:val="18"/>
                <w:szCs w:val="18"/>
                <w:u w:val="single"/>
              </w:rPr>
              <w:t>PT Sejahtera Inti  Sentosa (“SIS”)</w:t>
            </w:r>
          </w:p>
        </w:tc>
      </w:tr>
      <w:tr w:rsidR="00532A65" w:rsidRPr="00550D0F" w14:paraId="444BCFDB" w14:textId="77777777" w:rsidTr="004F6552">
        <w:trPr>
          <w:gridAfter w:val="1"/>
          <w:wAfter w:w="12" w:type="dxa"/>
        </w:trPr>
        <w:tc>
          <w:tcPr>
            <w:tcW w:w="4597" w:type="dxa"/>
          </w:tcPr>
          <w:p w14:paraId="25F0FD9A" w14:textId="77777777" w:rsidR="00532A65" w:rsidRPr="00550D0F" w:rsidRDefault="00532A65" w:rsidP="00532A65">
            <w:pPr>
              <w:ind w:left="567" w:right="-57"/>
              <w:jc w:val="both"/>
              <w:rPr>
                <w:rStyle w:val="hps"/>
                <w:sz w:val="18"/>
                <w:szCs w:val="18"/>
              </w:rPr>
            </w:pPr>
          </w:p>
        </w:tc>
        <w:tc>
          <w:tcPr>
            <w:tcW w:w="4588" w:type="dxa"/>
          </w:tcPr>
          <w:p w14:paraId="293DD61D" w14:textId="77777777" w:rsidR="00532A65" w:rsidRPr="00550D0F" w:rsidRDefault="00532A65" w:rsidP="00532A65">
            <w:pPr>
              <w:ind w:left="567" w:right="-57"/>
              <w:jc w:val="both"/>
              <w:rPr>
                <w:i/>
                <w:sz w:val="18"/>
                <w:szCs w:val="18"/>
              </w:rPr>
            </w:pPr>
          </w:p>
        </w:tc>
      </w:tr>
      <w:tr w:rsidR="00532A65" w:rsidRPr="00550D0F" w14:paraId="0733F57A" w14:textId="77777777" w:rsidTr="004F6552">
        <w:trPr>
          <w:gridAfter w:val="1"/>
          <w:wAfter w:w="12" w:type="dxa"/>
        </w:trPr>
        <w:tc>
          <w:tcPr>
            <w:tcW w:w="4597" w:type="dxa"/>
          </w:tcPr>
          <w:p w14:paraId="2B71DCAD" w14:textId="41161E2D" w:rsidR="00532A65" w:rsidRPr="00550D0F" w:rsidRDefault="00FE6D82" w:rsidP="00DA069B">
            <w:pPr>
              <w:ind w:left="567" w:right="-57"/>
              <w:jc w:val="both"/>
              <w:rPr>
                <w:rStyle w:val="hps"/>
                <w:sz w:val="18"/>
                <w:szCs w:val="18"/>
              </w:rPr>
            </w:pPr>
            <w:r w:rsidRPr="00550D0F">
              <w:rPr>
                <w:rStyle w:val="hps"/>
                <w:sz w:val="18"/>
                <w:szCs w:val="18"/>
              </w:rPr>
              <w:t>Berdasarkan Akta Notaris dari notaris Buntario</w:t>
            </w:r>
            <w:r w:rsidRPr="00550D0F">
              <w:rPr>
                <w:rStyle w:val="hps"/>
                <w:sz w:val="18"/>
                <w:szCs w:val="18"/>
                <w:lang w:val="id-ID"/>
              </w:rPr>
              <w:t xml:space="preserve"> </w:t>
            </w:r>
            <w:r w:rsidRPr="00550D0F">
              <w:rPr>
                <w:rStyle w:val="hps"/>
                <w:sz w:val="18"/>
                <w:szCs w:val="18"/>
              </w:rPr>
              <w:t>Tigris</w:t>
            </w:r>
            <w:r w:rsidR="00DA069B">
              <w:rPr>
                <w:rStyle w:val="hps"/>
                <w:sz w:val="18"/>
                <w:szCs w:val="18"/>
              </w:rPr>
              <w:t>,</w:t>
            </w:r>
            <w:r w:rsidRPr="00550D0F">
              <w:rPr>
                <w:rStyle w:val="hps"/>
                <w:sz w:val="18"/>
                <w:szCs w:val="18"/>
              </w:rPr>
              <w:t xml:space="preserve"> S.H.</w:t>
            </w:r>
            <w:r w:rsidR="00DA069B">
              <w:rPr>
                <w:rStyle w:val="hps"/>
                <w:sz w:val="18"/>
                <w:szCs w:val="18"/>
              </w:rPr>
              <w:t>,</w:t>
            </w:r>
            <w:r w:rsidRPr="00550D0F">
              <w:rPr>
                <w:rStyle w:val="hps"/>
                <w:sz w:val="18"/>
                <w:szCs w:val="18"/>
              </w:rPr>
              <w:t xml:space="preserve"> S.E.</w:t>
            </w:r>
            <w:r w:rsidR="00DA069B">
              <w:rPr>
                <w:rStyle w:val="hps"/>
                <w:sz w:val="18"/>
                <w:szCs w:val="18"/>
              </w:rPr>
              <w:t>,</w:t>
            </w:r>
            <w:r w:rsidRPr="00550D0F">
              <w:rPr>
                <w:rStyle w:val="hps"/>
                <w:sz w:val="18"/>
                <w:szCs w:val="18"/>
              </w:rPr>
              <w:t xml:space="preserve"> M.H.</w:t>
            </w:r>
            <w:r w:rsidR="00DA069B">
              <w:rPr>
                <w:rStyle w:val="hps"/>
                <w:sz w:val="18"/>
                <w:szCs w:val="18"/>
              </w:rPr>
              <w:t>,</w:t>
            </w:r>
            <w:r w:rsidRPr="00550D0F">
              <w:rPr>
                <w:rStyle w:val="hps"/>
                <w:sz w:val="18"/>
                <w:szCs w:val="18"/>
              </w:rPr>
              <w:t xml:space="preserve"> No. 72 tanggal 20 April</w:t>
            </w:r>
            <w:r w:rsidRPr="00550D0F">
              <w:rPr>
                <w:rStyle w:val="hps"/>
                <w:sz w:val="18"/>
                <w:szCs w:val="18"/>
                <w:lang w:val="id-ID"/>
              </w:rPr>
              <w:t xml:space="preserve"> </w:t>
            </w:r>
            <w:r w:rsidRPr="00550D0F">
              <w:rPr>
                <w:rStyle w:val="hps"/>
                <w:sz w:val="18"/>
                <w:szCs w:val="18"/>
              </w:rPr>
              <w:t>2015</w:t>
            </w:r>
            <w:r w:rsidR="00DA069B">
              <w:rPr>
                <w:rStyle w:val="hps"/>
                <w:sz w:val="18"/>
                <w:szCs w:val="18"/>
              </w:rPr>
              <w:t>,</w:t>
            </w:r>
            <w:r w:rsidRPr="00550D0F">
              <w:rPr>
                <w:rStyle w:val="hps"/>
                <w:sz w:val="18"/>
                <w:szCs w:val="18"/>
              </w:rPr>
              <w:t xml:space="preserve">  Perusahaan  dan  Jonathan  Tahir mendirikan SIS</w:t>
            </w:r>
            <w:r w:rsidR="00870FD0">
              <w:rPr>
                <w:rStyle w:val="hps"/>
                <w:sz w:val="18"/>
                <w:szCs w:val="18"/>
              </w:rPr>
              <w:t>.</w:t>
            </w:r>
            <w:r w:rsidRPr="00550D0F">
              <w:rPr>
                <w:rStyle w:val="hps"/>
                <w:sz w:val="18"/>
                <w:szCs w:val="18"/>
              </w:rPr>
              <w:t xml:space="preserve"> </w:t>
            </w:r>
            <w:proofErr w:type="gramStart"/>
            <w:r w:rsidRPr="00550D0F">
              <w:rPr>
                <w:rStyle w:val="hps"/>
                <w:sz w:val="18"/>
                <w:szCs w:val="18"/>
              </w:rPr>
              <w:t>dengan</w:t>
            </w:r>
            <w:proofErr w:type="gramEnd"/>
            <w:r w:rsidRPr="00550D0F">
              <w:rPr>
                <w:rStyle w:val="hps"/>
                <w:sz w:val="18"/>
                <w:szCs w:val="18"/>
              </w:rPr>
              <w:t xml:space="preserve"> kepemilikan saham Perusahaan pada SIS adalah sebesar Rp</w:t>
            </w:r>
            <w:r w:rsidR="00376AFA">
              <w:rPr>
                <w:rStyle w:val="hps"/>
                <w:sz w:val="18"/>
                <w:szCs w:val="18"/>
              </w:rPr>
              <w:t xml:space="preserve"> </w:t>
            </w:r>
            <w:r w:rsidRPr="00550D0F">
              <w:rPr>
                <w:rStyle w:val="hps"/>
                <w:sz w:val="18"/>
                <w:szCs w:val="18"/>
              </w:rPr>
              <w:t>990.000.000  atau  99%  dari  modal ditempatkan dan disetor penuh.</w:t>
            </w:r>
          </w:p>
        </w:tc>
        <w:tc>
          <w:tcPr>
            <w:tcW w:w="4588" w:type="dxa"/>
          </w:tcPr>
          <w:p w14:paraId="4A2BA3B3" w14:textId="019D49F7" w:rsidR="00532A65" w:rsidRPr="00550D0F" w:rsidRDefault="00FE6D82" w:rsidP="00DA069B">
            <w:pPr>
              <w:ind w:left="567" w:right="-57"/>
              <w:jc w:val="both"/>
              <w:rPr>
                <w:i/>
                <w:sz w:val="18"/>
                <w:szCs w:val="18"/>
              </w:rPr>
            </w:pPr>
            <w:r w:rsidRPr="00550D0F">
              <w:rPr>
                <w:i/>
                <w:sz w:val="18"/>
                <w:szCs w:val="18"/>
              </w:rPr>
              <w:t>Based  on  Notarial  Deed  of  notary  Buntario Tigris</w:t>
            </w:r>
            <w:r w:rsidR="00DA069B">
              <w:rPr>
                <w:i/>
                <w:sz w:val="18"/>
                <w:szCs w:val="18"/>
              </w:rPr>
              <w:t>,</w:t>
            </w:r>
            <w:r w:rsidRPr="00550D0F">
              <w:rPr>
                <w:i/>
                <w:sz w:val="18"/>
                <w:szCs w:val="18"/>
              </w:rPr>
              <w:t xml:space="preserve">    S.H.</w:t>
            </w:r>
            <w:r w:rsidR="00DA069B">
              <w:rPr>
                <w:i/>
                <w:sz w:val="18"/>
                <w:szCs w:val="18"/>
              </w:rPr>
              <w:t>,</w:t>
            </w:r>
            <w:r w:rsidRPr="00550D0F">
              <w:rPr>
                <w:i/>
                <w:sz w:val="18"/>
                <w:szCs w:val="18"/>
              </w:rPr>
              <w:t xml:space="preserve"> S.E.</w:t>
            </w:r>
            <w:r w:rsidR="00DA069B">
              <w:rPr>
                <w:i/>
                <w:sz w:val="18"/>
                <w:szCs w:val="18"/>
              </w:rPr>
              <w:t>,</w:t>
            </w:r>
            <w:r w:rsidRPr="00550D0F">
              <w:rPr>
                <w:i/>
                <w:sz w:val="18"/>
                <w:szCs w:val="18"/>
              </w:rPr>
              <w:t xml:space="preserve"> M.H.</w:t>
            </w:r>
            <w:r w:rsidR="00DA069B">
              <w:rPr>
                <w:i/>
                <w:sz w:val="18"/>
                <w:szCs w:val="18"/>
              </w:rPr>
              <w:t>,</w:t>
            </w:r>
            <w:r w:rsidRPr="00550D0F">
              <w:rPr>
                <w:i/>
                <w:sz w:val="18"/>
                <w:szCs w:val="18"/>
                <w:lang w:val="id-ID"/>
              </w:rPr>
              <w:t xml:space="preserve"> </w:t>
            </w:r>
            <w:r w:rsidRPr="00550D0F">
              <w:rPr>
                <w:i/>
                <w:sz w:val="18"/>
                <w:szCs w:val="18"/>
              </w:rPr>
              <w:t>No. 72  dated April  20</w:t>
            </w:r>
            <w:r w:rsidR="00DA069B">
              <w:rPr>
                <w:i/>
                <w:sz w:val="18"/>
                <w:szCs w:val="18"/>
              </w:rPr>
              <w:t>,</w:t>
            </w:r>
            <w:r w:rsidRPr="00550D0F">
              <w:rPr>
                <w:i/>
                <w:sz w:val="18"/>
                <w:szCs w:val="18"/>
              </w:rPr>
              <w:t xml:space="preserve">  2015</w:t>
            </w:r>
            <w:r w:rsidR="00DA069B">
              <w:rPr>
                <w:i/>
                <w:sz w:val="18"/>
                <w:szCs w:val="18"/>
              </w:rPr>
              <w:t>,</w:t>
            </w:r>
            <w:r w:rsidRPr="00550D0F">
              <w:rPr>
                <w:i/>
                <w:sz w:val="18"/>
                <w:szCs w:val="18"/>
              </w:rPr>
              <w:t xml:space="preserve">  the  Company  and  Jonathan Tahir established SIS</w:t>
            </w:r>
            <w:r w:rsidR="00DA069B">
              <w:rPr>
                <w:i/>
                <w:sz w:val="18"/>
                <w:szCs w:val="18"/>
              </w:rPr>
              <w:t>,</w:t>
            </w:r>
            <w:r w:rsidRPr="00550D0F">
              <w:rPr>
                <w:i/>
                <w:sz w:val="18"/>
                <w:szCs w:val="18"/>
              </w:rPr>
              <w:t xml:space="preserve"> with percentage of ownership of the Company in SIS amounting Rp</w:t>
            </w:r>
            <w:r w:rsidR="00376AFA">
              <w:rPr>
                <w:i/>
                <w:sz w:val="18"/>
                <w:szCs w:val="18"/>
              </w:rPr>
              <w:t xml:space="preserve"> </w:t>
            </w:r>
            <w:r w:rsidRPr="00550D0F">
              <w:rPr>
                <w:i/>
                <w:sz w:val="18"/>
                <w:szCs w:val="18"/>
              </w:rPr>
              <w:t>990</w:t>
            </w:r>
            <w:r w:rsidR="00DA069B">
              <w:rPr>
                <w:i/>
                <w:sz w:val="18"/>
                <w:szCs w:val="18"/>
              </w:rPr>
              <w:t>,</w:t>
            </w:r>
            <w:r w:rsidRPr="00550D0F">
              <w:rPr>
                <w:i/>
                <w:sz w:val="18"/>
                <w:szCs w:val="18"/>
              </w:rPr>
              <w:t>000</w:t>
            </w:r>
            <w:r w:rsidR="00DA069B">
              <w:rPr>
                <w:i/>
                <w:sz w:val="18"/>
                <w:szCs w:val="18"/>
              </w:rPr>
              <w:t>,</w:t>
            </w:r>
            <w:r w:rsidRPr="00550D0F">
              <w:rPr>
                <w:i/>
                <w:sz w:val="18"/>
                <w:szCs w:val="18"/>
              </w:rPr>
              <w:t>000 or 99% from its issued and fully paid capital.</w:t>
            </w:r>
          </w:p>
        </w:tc>
      </w:tr>
      <w:tr w:rsidR="00532A65" w:rsidRPr="00550D0F" w14:paraId="433DBE96" w14:textId="77777777" w:rsidTr="004F6552">
        <w:trPr>
          <w:gridAfter w:val="1"/>
          <w:wAfter w:w="12" w:type="dxa"/>
        </w:trPr>
        <w:tc>
          <w:tcPr>
            <w:tcW w:w="4597" w:type="dxa"/>
          </w:tcPr>
          <w:p w14:paraId="6F5D0EED" w14:textId="77777777" w:rsidR="00532A65" w:rsidRPr="00550D0F" w:rsidRDefault="00532A65" w:rsidP="00532A65">
            <w:pPr>
              <w:ind w:left="567" w:right="-57"/>
              <w:jc w:val="both"/>
              <w:rPr>
                <w:rStyle w:val="hps"/>
                <w:sz w:val="18"/>
                <w:szCs w:val="18"/>
              </w:rPr>
            </w:pPr>
          </w:p>
        </w:tc>
        <w:tc>
          <w:tcPr>
            <w:tcW w:w="4588" w:type="dxa"/>
          </w:tcPr>
          <w:p w14:paraId="6012907C" w14:textId="77777777" w:rsidR="00532A65" w:rsidRPr="00550D0F" w:rsidRDefault="00532A65" w:rsidP="00532A65">
            <w:pPr>
              <w:ind w:left="567" w:right="-57"/>
              <w:jc w:val="both"/>
              <w:rPr>
                <w:i/>
                <w:sz w:val="18"/>
                <w:szCs w:val="18"/>
              </w:rPr>
            </w:pPr>
          </w:p>
        </w:tc>
      </w:tr>
      <w:tr w:rsidR="00532A65" w:rsidRPr="00CC4AA5" w14:paraId="4F6B0D39" w14:textId="77777777" w:rsidTr="004F6552">
        <w:trPr>
          <w:gridAfter w:val="1"/>
          <w:wAfter w:w="12" w:type="dxa"/>
        </w:trPr>
        <w:tc>
          <w:tcPr>
            <w:tcW w:w="4597" w:type="dxa"/>
          </w:tcPr>
          <w:p w14:paraId="32C55CA8" w14:textId="0A364477" w:rsidR="00532A65" w:rsidRPr="00550D0F" w:rsidRDefault="00FE6D82" w:rsidP="00DA069B">
            <w:pPr>
              <w:ind w:left="567" w:right="-57"/>
              <w:jc w:val="both"/>
              <w:rPr>
                <w:rStyle w:val="hps"/>
                <w:sz w:val="18"/>
                <w:szCs w:val="18"/>
              </w:rPr>
            </w:pPr>
            <w:r w:rsidRPr="00550D0F">
              <w:rPr>
                <w:rStyle w:val="hps"/>
                <w:sz w:val="18"/>
                <w:szCs w:val="18"/>
              </w:rPr>
              <w:t>Berdasarkan Keputusan Pemegang Saham pada</w:t>
            </w:r>
            <w:r w:rsidRPr="00550D0F">
              <w:rPr>
                <w:rStyle w:val="hps"/>
                <w:sz w:val="18"/>
                <w:szCs w:val="18"/>
                <w:lang w:val="id-ID"/>
              </w:rPr>
              <w:t xml:space="preserve"> </w:t>
            </w:r>
            <w:r w:rsidRPr="00550D0F">
              <w:rPr>
                <w:rStyle w:val="hps"/>
                <w:sz w:val="18"/>
                <w:szCs w:val="18"/>
              </w:rPr>
              <w:t>tanggal   27   Desember   2017</w:t>
            </w:r>
            <w:r w:rsidR="00DA069B">
              <w:rPr>
                <w:rStyle w:val="hps"/>
                <w:sz w:val="18"/>
                <w:szCs w:val="18"/>
              </w:rPr>
              <w:t>,</w:t>
            </w:r>
            <w:r w:rsidRPr="00550D0F">
              <w:rPr>
                <w:rStyle w:val="hps"/>
                <w:sz w:val="18"/>
                <w:szCs w:val="18"/>
              </w:rPr>
              <w:t xml:space="preserve">   Akta   Notaris</w:t>
            </w:r>
            <w:r w:rsidRPr="00550D0F">
              <w:rPr>
                <w:rStyle w:val="hps"/>
                <w:sz w:val="18"/>
                <w:szCs w:val="18"/>
                <w:lang w:val="id-ID"/>
              </w:rPr>
              <w:t xml:space="preserve"> </w:t>
            </w:r>
            <w:r w:rsidRPr="00550D0F">
              <w:rPr>
                <w:rStyle w:val="hps"/>
                <w:sz w:val="18"/>
                <w:szCs w:val="18"/>
              </w:rPr>
              <w:t>Buntario Tigris</w:t>
            </w:r>
            <w:r w:rsidR="00DA069B">
              <w:rPr>
                <w:rStyle w:val="hps"/>
                <w:sz w:val="18"/>
                <w:szCs w:val="18"/>
              </w:rPr>
              <w:t>,</w:t>
            </w:r>
            <w:r w:rsidRPr="00550D0F">
              <w:rPr>
                <w:rStyle w:val="hps"/>
                <w:sz w:val="18"/>
                <w:szCs w:val="18"/>
              </w:rPr>
              <w:t xml:space="preserve"> S.H.</w:t>
            </w:r>
            <w:r w:rsidR="00DA069B">
              <w:rPr>
                <w:rStyle w:val="hps"/>
                <w:sz w:val="18"/>
                <w:szCs w:val="18"/>
              </w:rPr>
              <w:t>,</w:t>
            </w:r>
            <w:r w:rsidRPr="00550D0F">
              <w:rPr>
                <w:rStyle w:val="hps"/>
                <w:sz w:val="18"/>
                <w:szCs w:val="18"/>
              </w:rPr>
              <w:t xml:space="preserve"> S.E.</w:t>
            </w:r>
            <w:r w:rsidR="00DA069B">
              <w:rPr>
                <w:rStyle w:val="hps"/>
                <w:sz w:val="18"/>
                <w:szCs w:val="18"/>
              </w:rPr>
              <w:t>,</w:t>
            </w:r>
            <w:r w:rsidRPr="00550D0F">
              <w:rPr>
                <w:rStyle w:val="hps"/>
                <w:sz w:val="18"/>
                <w:szCs w:val="18"/>
              </w:rPr>
              <w:t xml:space="preserve"> M.H.</w:t>
            </w:r>
            <w:r w:rsidR="00DA069B">
              <w:rPr>
                <w:rStyle w:val="hps"/>
                <w:sz w:val="18"/>
                <w:szCs w:val="18"/>
              </w:rPr>
              <w:t>,</w:t>
            </w:r>
            <w:r w:rsidRPr="00550D0F">
              <w:rPr>
                <w:rStyle w:val="hps"/>
                <w:sz w:val="18"/>
                <w:szCs w:val="18"/>
              </w:rPr>
              <w:t xml:space="preserve"> No. 122 pada</w:t>
            </w:r>
            <w:r w:rsidRPr="00550D0F">
              <w:rPr>
                <w:rStyle w:val="hps"/>
                <w:sz w:val="18"/>
                <w:szCs w:val="18"/>
                <w:lang w:val="id-ID"/>
              </w:rPr>
              <w:t xml:space="preserve"> </w:t>
            </w:r>
            <w:r w:rsidRPr="00550D0F">
              <w:rPr>
                <w:rStyle w:val="hps"/>
                <w:sz w:val="18"/>
                <w:szCs w:val="18"/>
              </w:rPr>
              <w:t>tanggal 23 Januari 2018 dan telah disahkan oleh</w:t>
            </w:r>
            <w:r w:rsidRPr="00550D0F">
              <w:rPr>
                <w:rStyle w:val="hps"/>
                <w:sz w:val="18"/>
                <w:szCs w:val="18"/>
                <w:lang w:val="id-ID"/>
              </w:rPr>
              <w:t xml:space="preserve"> </w:t>
            </w:r>
            <w:r w:rsidRPr="00550D0F">
              <w:rPr>
                <w:rStyle w:val="hps"/>
                <w:sz w:val="18"/>
                <w:szCs w:val="18"/>
              </w:rPr>
              <w:t>Menteri Hukum dan Hak Asasi Manusia Republik</w:t>
            </w:r>
            <w:r w:rsidRPr="00550D0F">
              <w:rPr>
                <w:rStyle w:val="hps"/>
                <w:sz w:val="18"/>
                <w:szCs w:val="18"/>
                <w:lang w:val="id-ID"/>
              </w:rPr>
              <w:t xml:space="preserve"> </w:t>
            </w:r>
            <w:r w:rsidRPr="00550D0F">
              <w:rPr>
                <w:rStyle w:val="hps"/>
                <w:sz w:val="18"/>
                <w:szCs w:val="18"/>
              </w:rPr>
              <w:t xml:space="preserve">Indonesia  melalui  Surat  Keputusan  </w:t>
            </w:r>
            <w:r w:rsidR="00C662A8">
              <w:rPr>
                <w:rStyle w:val="hps"/>
                <w:sz w:val="18"/>
                <w:szCs w:val="18"/>
              </w:rPr>
              <w:br/>
            </w:r>
            <w:r w:rsidRPr="00550D0F">
              <w:rPr>
                <w:rStyle w:val="hps"/>
                <w:sz w:val="18"/>
                <w:szCs w:val="18"/>
              </w:rPr>
              <w:t>No.  AHU-</w:t>
            </w:r>
            <w:r w:rsidRPr="00550D0F">
              <w:rPr>
                <w:rStyle w:val="hps"/>
                <w:sz w:val="18"/>
                <w:szCs w:val="18"/>
                <w:lang w:val="id-ID"/>
              </w:rPr>
              <w:t xml:space="preserve"> </w:t>
            </w:r>
            <w:r w:rsidRPr="00550D0F">
              <w:rPr>
                <w:rStyle w:val="hps"/>
                <w:sz w:val="18"/>
                <w:szCs w:val="18"/>
              </w:rPr>
              <w:t xml:space="preserve">0002365.AH.01.02. </w:t>
            </w:r>
            <w:proofErr w:type="gramStart"/>
            <w:r w:rsidRPr="00550D0F">
              <w:rPr>
                <w:rStyle w:val="hps"/>
                <w:sz w:val="18"/>
                <w:szCs w:val="18"/>
              </w:rPr>
              <w:t>tahun</w:t>
            </w:r>
            <w:proofErr w:type="gramEnd"/>
            <w:r w:rsidRPr="00550D0F">
              <w:rPr>
                <w:rStyle w:val="hps"/>
                <w:sz w:val="18"/>
                <w:szCs w:val="18"/>
              </w:rPr>
              <w:t xml:space="preserve"> 2018 dan Surat Penerimaan </w:t>
            </w:r>
            <w:r w:rsidRPr="00550D0F">
              <w:rPr>
                <w:rStyle w:val="hps"/>
                <w:sz w:val="18"/>
                <w:szCs w:val="18"/>
                <w:lang w:val="id-ID"/>
              </w:rPr>
              <w:t xml:space="preserve"> </w:t>
            </w:r>
            <w:r w:rsidRPr="00550D0F">
              <w:rPr>
                <w:rStyle w:val="hps"/>
                <w:sz w:val="18"/>
                <w:szCs w:val="18"/>
              </w:rPr>
              <w:t>Pemberitahuan  Perubahan Anggaran Dasar No. AHU</w:t>
            </w:r>
            <w:r w:rsidRPr="00550D0F">
              <w:rPr>
                <w:rStyle w:val="hps"/>
                <w:sz w:val="18"/>
                <w:szCs w:val="18"/>
                <w:lang w:val="id-ID"/>
              </w:rPr>
              <w:t xml:space="preserve"> </w:t>
            </w:r>
            <w:r w:rsidRPr="00550D0F">
              <w:rPr>
                <w:rStyle w:val="hps"/>
                <w:sz w:val="18"/>
                <w:szCs w:val="18"/>
              </w:rPr>
              <w:t xml:space="preserve">AH.01.03.0047597 </w:t>
            </w:r>
            <w:proofErr w:type="gramStart"/>
            <w:r w:rsidRPr="00550D0F">
              <w:rPr>
                <w:rStyle w:val="hps"/>
                <w:sz w:val="18"/>
                <w:szCs w:val="18"/>
              </w:rPr>
              <w:t>pada  tanggal</w:t>
            </w:r>
            <w:proofErr w:type="gramEnd"/>
            <w:r w:rsidRPr="00550D0F">
              <w:rPr>
                <w:rStyle w:val="hps"/>
                <w:sz w:val="18"/>
                <w:szCs w:val="18"/>
              </w:rPr>
              <w:t xml:space="preserve">  </w:t>
            </w:r>
            <w:r w:rsidR="00C662A8">
              <w:rPr>
                <w:rStyle w:val="hps"/>
                <w:sz w:val="18"/>
                <w:szCs w:val="18"/>
              </w:rPr>
              <w:br/>
            </w:r>
            <w:r w:rsidRPr="00550D0F">
              <w:rPr>
                <w:rStyle w:val="hps"/>
                <w:sz w:val="18"/>
                <w:szCs w:val="18"/>
              </w:rPr>
              <w:t xml:space="preserve">31  Januari  2018. </w:t>
            </w:r>
            <w:r w:rsidRPr="00550D0F">
              <w:rPr>
                <w:rStyle w:val="hps"/>
                <w:sz w:val="18"/>
                <w:szCs w:val="18"/>
                <w:lang w:val="id-ID"/>
              </w:rPr>
              <w:t xml:space="preserve"> </w:t>
            </w:r>
            <w:r w:rsidRPr="00550D0F">
              <w:rPr>
                <w:rStyle w:val="hps"/>
                <w:sz w:val="18"/>
                <w:szCs w:val="18"/>
              </w:rPr>
              <w:t>SIS meningkatkan modal dasar sebesar</w:t>
            </w:r>
            <w:r w:rsidRPr="00550D0F">
              <w:rPr>
                <w:rStyle w:val="hps"/>
                <w:sz w:val="18"/>
                <w:szCs w:val="18"/>
                <w:lang w:val="id-ID"/>
              </w:rPr>
              <w:t xml:space="preserve"> </w:t>
            </w:r>
            <w:r w:rsidRPr="00550D0F">
              <w:rPr>
                <w:rStyle w:val="hps"/>
                <w:sz w:val="18"/>
                <w:szCs w:val="18"/>
              </w:rPr>
              <w:t>Rp</w:t>
            </w:r>
            <w:r w:rsidR="00C662A8">
              <w:rPr>
                <w:rStyle w:val="hps"/>
                <w:sz w:val="18"/>
                <w:szCs w:val="18"/>
              </w:rPr>
              <w:t xml:space="preserve"> </w:t>
            </w:r>
            <w:r w:rsidRPr="00550D0F">
              <w:rPr>
                <w:rStyle w:val="hps"/>
                <w:sz w:val="18"/>
                <w:szCs w:val="18"/>
              </w:rPr>
              <w:t xml:space="preserve">4.000.000.000 menjadi sebesar </w:t>
            </w:r>
            <w:r w:rsidR="00C662A8">
              <w:rPr>
                <w:rStyle w:val="hps"/>
                <w:sz w:val="18"/>
                <w:szCs w:val="18"/>
              </w:rPr>
              <w:br/>
            </w:r>
            <w:r w:rsidRPr="00550D0F">
              <w:rPr>
                <w:rStyle w:val="hps"/>
                <w:sz w:val="18"/>
                <w:szCs w:val="18"/>
              </w:rPr>
              <w:t>Rp</w:t>
            </w:r>
            <w:r w:rsidR="00C662A8">
              <w:rPr>
                <w:rStyle w:val="hps"/>
                <w:sz w:val="18"/>
                <w:szCs w:val="18"/>
              </w:rPr>
              <w:t xml:space="preserve"> </w:t>
            </w:r>
            <w:r w:rsidRPr="00550D0F">
              <w:rPr>
                <w:rStyle w:val="hps"/>
                <w:sz w:val="18"/>
                <w:szCs w:val="18"/>
              </w:rPr>
              <w:t>180.000.000.000</w:t>
            </w:r>
            <w:r w:rsidR="00DA069B">
              <w:rPr>
                <w:rStyle w:val="hps"/>
                <w:sz w:val="18"/>
                <w:szCs w:val="18"/>
              </w:rPr>
              <w:t>,</w:t>
            </w:r>
            <w:r w:rsidRPr="00550D0F">
              <w:rPr>
                <w:rStyle w:val="hps"/>
                <w:sz w:val="18"/>
                <w:szCs w:val="18"/>
                <w:lang w:val="id-ID"/>
              </w:rPr>
              <w:t xml:space="preserve"> </w:t>
            </w:r>
            <w:r w:rsidRPr="00550D0F">
              <w:rPr>
                <w:rStyle w:val="hps"/>
                <w:sz w:val="18"/>
                <w:szCs w:val="18"/>
              </w:rPr>
              <w:t>serta meningkatkan modal ditempatkan dan disetor</w:t>
            </w:r>
            <w:r w:rsidRPr="00550D0F">
              <w:rPr>
                <w:rStyle w:val="hps"/>
                <w:sz w:val="18"/>
                <w:szCs w:val="18"/>
                <w:lang w:val="id-ID"/>
              </w:rPr>
              <w:t xml:space="preserve"> </w:t>
            </w:r>
            <w:r w:rsidRPr="00550D0F">
              <w:rPr>
                <w:rStyle w:val="hps"/>
                <w:sz w:val="18"/>
                <w:szCs w:val="18"/>
              </w:rPr>
              <w:t xml:space="preserve">semula sebesar </w:t>
            </w:r>
            <w:r w:rsidR="00C662A8">
              <w:rPr>
                <w:rStyle w:val="hps"/>
                <w:sz w:val="18"/>
                <w:szCs w:val="18"/>
              </w:rPr>
              <w:br/>
            </w:r>
            <w:r w:rsidRPr="00550D0F">
              <w:rPr>
                <w:rStyle w:val="hps"/>
                <w:sz w:val="18"/>
                <w:szCs w:val="18"/>
              </w:rPr>
              <w:t>Rp</w:t>
            </w:r>
            <w:r w:rsidR="00C662A8">
              <w:rPr>
                <w:rStyle w:val="hps"/>
                <w:sz w:val="18"/>
                <w:szCs w:val="18"/>
              </w:rPr>
              <w:t xml:space="preserve"> </w:t>
            </w:r>
            <w:r w:rsidRPr="00550D0F">
              <w:rPr>
                <w:rStyle w:val="hps"/>
                <w:sz w:val="18"/>
                <w:szCs w:val="18"/>
              </w:rPr>
              <w:t>1.000.000.000 menjadi sebesar</w:t>
            </w:r>
            <w:r w:rsidRPr="00550D0F">
              <w:rPr>
                <w:rStyle w:val="hps"/>
                <w:sz w:val="18"/>
                <w:szCs w:val="18"/>
                <w:lang w:val="id-ID"/>
              </w:rPr>
              <w:t xml:space="preserve"> </w:t>
            </w:r>
            <w:r w:rsidR="00C662A8">
              <w:rPr>
                <w:rStyle w:val="hps"/>
                <w:sz w:val="18"/>
                <w:szCs w:val="18"/>
                <w:lang w:val="id-ID"/>
              </w:rPr>
              <w:br/>
            </w:r>
            <w:r w:rsidRPr="00550D0F">
              <w:rPr>
                <w:rStyle w:val="hps"/>
                <w:sz w:val="18"/>
                <w:szCs w:val="18"/>
              </w:rPr>
              <w:t>Rp</w:t>
            </w:r>
            <w:r w:rsidR="00C662A8">
              <w:rPr>
                <w:rStyle w:val="hps"/>
                <w:sz w:val="18"/>
                <w:szCs w:val="18"/>
              </w:rPr>
              <w:t xml:space="preserve"> </w:t>
            </w:r>
            <w:r w:rsidRPr="00550D0F">
              <w:rPr>
                <w:rStyle w:val="hps"/>
                <w:sz w:val="18"/>
                <w:szCs w:val="18"/>
              </w:rPr>
              <w:t>50.000.000.000. Peningkatan modal disetor tersebut</w:t>
            </w:r>
            <w:r w:rsidRPr="00550D0F">
              <w:rPr>
                <w:rStyle w:val="hps"/>
                <w:sz w:val="18"/>
                <w:szCs w:val="18"/>
                <w:lang w:val="id-ID"/>
              </w:rPr>
              <w:t xml:space="preserve"> </w:t>
            </w:r>
            <w:r w:rsidRPr="00550D0F">
              <w:rPr>
                <w:rStyle w:val="hps"/>
                <w:sz w:val="18"/>
                <w:szCs w:val="18"/>
              </w:rPr>
              <w:t>seluruhnya diambil oleh Perusahaan.</w:t>
            </w:r>
          </w:p>
        </w:tc>
        <w:tc>
          <w:tcPr>
            <w:tcW w:w="4588" w:type="dxa"/>
          </w:tcPr>
          <w:p w14:paraId="58805C8A" w14:textId="6439AA1B" w:rsidR="00532A65" w:rsidRPr="00550D0F" w:rsidRDefault="00FE6D82" w:rsidP="00DA069B">
            <w:pPr>
              <w:ind w:left="567" w:right="-57"/>
              <w:jc w:val="both"/>
              <w:rPr>
                <w:i/>
                <w:sz w:val="18"/>
                <w:szCs w:val="18"/>
              </w:rPr>
            </w:pPr>
            <w:r w:rsidRPr="00550D0F">
              <w:rPr>
                <w:i/>
                <w:sz w:val="18"/>
                <w:szCs w:val="18"/>
              </w:rPr>
              <w:t>Based on the Shareholders decision on December 27</w:t>
            </w:r>
            <w:r w:rsidR="00DA069B">
              <w:rPr>
                <w:i/>
                <w:sz w:val="18"/>
                <w:szCs w:val="18"/>
              </w:rPr>
              <w:t>,</w:t>
            </w:r>
            <w:r w:rsidRPr="00550D0F">
              <w:rPr>
                <w:i/>
                <w:sz w:val="18"/>
                <w:szCs w:val="18"/>
              </w:rPr>
              <w:t xml:space="preserve"> 2017</w:t>
            </w:r>
            <w:r w:rsidR="00DA069B">
              <w:rPr>
                <w:i/>
                <w:sz w:val="18"/>
                <w:szCs w:val="18"/>
              </w:rPr>
              <w:t>,</w:t>
            </w:r>
            <w:r w:rsidRPr="00550D0F">
              <w:rPr>
                <w:i/>
                <w:sz w:val="18"/>
                <w:szCs w:val="18"/>
              </w:rPr>
              <w:t xml:space="preserve"> the Notarial Deed Buntario Tigris</w:t>
            </w:r>
            <w:r w:rsidR="00DA069B">
              <w:rPr>
                <w:i/>
                <w:sz w:val="18"/>
                <w:szCs w:val="18"/>
              </w:rPr>
              <w:t>,</w:t>
            </w:r>
            <w:r w:rsidRPr="00550D0F">
              <w:rPr>
                <w:i/>
                <w:sz w:val="18"/>
                <w:szCs w:val="18"/>
              </w:rPr>
              <w:t xml:space="preserve"> S.H.</w:t>
            </w:r>
            <w:r w:rsidR="00DA069B">
              <w:rPr>
                <w:i/>
                <w:sz w:val="18"/>
                <w:szCs w:val="18"/>
              </w:rPr>
              <w:t>,</w:t>
            </w:r>
            <w:r w:rsidRPr="00550D0F">
              <w:rPr>
                <w:i/>
                <w:sz w:val="18"/>
                <w:szCs w:val="18"/>
              </w:rPr>
              <w:t xml:space="preserve"> S.E.</w:t>
            </w:r>
            <w:r w:rsidR="00DA069B">
              <w:rPr>
                <w:i/>
                <w:sz w:val="18"/>
                <w:szCs w:val="18"/>
              </w:rPr>
              <w:t>,</w:t>
            </w:r>
            <w:r w:rsidRPr="00550D0F">
              <w:rPr>
                <w:i/>
                <w:sz w:val="18"/>
                <w:szCs w:val="18"/>
              </w:rPr>
              <w:t xml:space="preserve"> </w:t>
            </w:r>
            <w:proofErr w:type="gramStart"/>
            <w:r w:rsidRPr="00550D0F">
              <w:rPr>
                <w:i/>
                <w:sz w:val="18"/>
                <w:szCs w:val="18"/>
              </w:rPr>
              <w:t>M.H.</w:t>
            </w:r>
            <w:r w:rsidR="00870FD0">
              <w:rPr>
                <w:i/>
                <w:sz w:val="18"/>
                <w:szCs w:val="18"/>
              </w:rPr>
              <w:t>.</w:t>
            </w:r>
            <w:proofErr w:type="gramEnd"/>
            <w:r w:rsidRPr="00550D0F">
              <w:rPr>
                <w:i/>
                <w:sz w:val="18"/>
                <w:szCs w:val="18"/>
              </w:rPr>
              <w:t xml:space="preserve"> No. 122 dated January</w:t>
            </w:r>
            <w:r w:rsidRPr="00550D0F">
              <w:rPr>
                <w:i/>
                <w:sz w:val="18"/>
                <w:szCs w:val="18"/>
                <w:lang w:val="id-ID"/>
              </w:rPr>
              <w:t xml:space="preserve"> </w:t>
            </w:r>
            <w:r w:rsidRPr="00550D0F">
              <w:rPr>
                <w:i/>
                <w:sz w:val="18"/>
                <w:szCs w:val="18"/>
              </w:rPr>
              <w:t>23</w:t>
            </w:r>
            <w:r w:rsidR="00870FD0">
              <w:rPr>
                <w:i/>
                <w:sz w:val="18"/>
                <w:szCs w:val="18"/>
              </w:rPr>
              <w:t>.</w:t>
            </w:r>
            <w:r w:rsidRPr="00550D0F">
              <w:rPr>
                <w:i/>
                <w:sz w:val="18"/>
                <w:szCs w:val="18"/>
              </w:rPr>
              <w:t xml:space="preserve"> 2018 and approved by the Minister of Law and</w:t>
            </w:r>
            <w:r w:rsidRPr="00550D0F">
              <w:rPr>
                <w:i/>
                <w:sz w:val="18"/>
                <w:szCs w:val="18"/>
                <w:lang w:val="id-ID"/>
              </w:rPr>
              <w:t xml:space="preserve"> </w:t>
            </w:r>
            <w:r w:rsidRPr="00550D0F">
              <w:rPr>
                <w:i/>
                <w:sz w:val="18"/>
                <w:szCs w:val="18"/>
              </w:rPr>
              <w:t xml:space="preserve">Human Rights of the Republic of Indonesia in his Decision Letter </w:t>
            </w:r>
            <w:r w:rsidR="00C662A8">
              <w:rPr>
                <w:i/>
                <w:sz w:val="18"/>
                <w:szCs w:val="18"/>
              </w:rPr>
              <w:br/>
            </w:r>
            <w:r w:rsidRPr="00550D0F">
              <w:rPr>
                <w:i/>
                <w:sz w:val="18"/>
                <w:szCs w:val="18"/>
              </w:rPr>
              <w:t>No.      AHU-0002365.AH.01.02.Year</w:t>
            </w:r>
            <w:r w:rsidRPr="00550D0F">
              <w:rPr>
                <w:i/>
                <w:sz w:val="18"/>
                <w:szCs w:val="18"/>
                <w:lang w:val="id-ID"/>
              </w:rPr>
              <w:t xml:space="preserve"> </w:t>
            </w:r>
            <w:r w:rsidRPr="00550D0F">
              <w:rPr>
                <w:i/>
                <w:sz w:val="18"/>
                <w:szCs w:val="18"/>
              </w:rPr>
              <w:t>2018 and Letter of Acceptance of Notification of Amendment of Articles of Association No. AHU- AH.01.03.0047597 on January 31</w:t>
            </w:r>
            <w:r w:rsidR="00DA069B">
              <w:rPr>
                <w:i/>
                <w:sz w:val="18"/>
                <w:szCs w:val="18"/>
              </w:rPr>
              <w:t>,</w:t>
            </w:r>
            <w:r w:rsidRPr="00550D0F">
              <w:rPr>
                <w:i/>
                <w:sz w:val="18"/>
                <w:szCs w:val="18"/>
              </w:rPr>
              <w:t xml:space="preserve"> 2018. SIS increased its authorized capital from Rp</w:t>
            </w:r>
            <w:r w:rsidR="00C662A8">
              <w:rPr>
                <w:i/>
                <w:sz w:val="18"/>
                <w:szCs w:val="18"/>
              </w:rPr>
              <w:t xml:space="preserve"> </w:t>
            </w:r>
            <w:r w:rsidRPr="00550D0F">
              <w:rPr>
                <w:i/>
                <w:sz w:val="18"/>
                <w:szCs w:val="18"/>
              </w:rPr>
              <w:t>4</w:t>
            </w:r>
            <w:r w:rsidR="00DA069B">
              <w:rPr>
                <w:i/>
                <w:sz w:val="18"/>
                <w:szCs w:val="18"/>
              </w:rPr>
              <w:t>,</w:t>
            </w:r>
            <w:r w:rsidRPr="00550D0F">
              <w:rPr>
                <w:i/>
                <w:sz w:val="18"/>
                <w:szCs w:val="18"/>
              </w:rPr>
              <w:t>000</w:t>
            </w:r>
            <w:r w:rsidR="00DA069B">
              <w:rPr>
                <w:i/>
                <w:sz w:val="18"/>
                <w:szCs w:val="18"/>
              </w:rPr>
              <w:t>,</w:t>
            </w:r>
            <w:r w:rsidRPr="00550D0F">
              <w:rPr>
                <w:i/>
                <w:sz w:val="18"/>
                <w:szCs w:val="18"/>
              </w:rPr>
              <w:t>000</w:t>
            </w:r>
            <w:r w:rsidR="00DA069B">
              <w:rPr>
                <w:i/>
                <w:sz w:val="18"/>
                <w:szCs w:val="18"/>
              </w:rPr>
              <w:t>,</w:t>
            </w:r>
            <w:r w:rsidRPr="00550D0F">
              <w:rPr>
                <w:i/>
                <w:sz w:val="18"/>
                <w:szCs w:val="18"/>
              </w:rPr>
              <w:t>000 to</w:t>
            </w:r>
            <w:r w:rsidRPr="00550D0F">
              <w:rPr>
                <w:i/>
                <w:sz w:val="18"/>
                <w:szCs w:val="18"/>
                <w:lang w:val="id-ID"/>
              </w:rPr>
              <w:t xml:space="preserve"> </w:t>
            </w:r>
            <w:r w:rsidR="00C662A8">
              <w:rPr>
                <w:i/>
                <w:sz w:val="18"/>
                <w:szCs w:val="18"/>
                <w:lang w:val="id-ID"/>
              </w:rPr>
              <w:br/>
            </w:r>
            <w:r w:rsidRPr="00550D0F">
              <w:rPr>
                <w:i/>
                <w:sz w:val="18"/>
                <w:szCs w:val="18"/>
              </w:rPr>
              <w:t>Rp</w:t>
            </w:r>
            <w:r w:rsidR="00C662A8">
              <w:rPr>
                <w:i/>
                <w:sz w:val="18"/>
                <w:szCs w:val="18"/>
              </w:rPr>
              <w:t xml:space="preserve"> </w:t>
            </w:r>
            <w:r w:rsidRPr="00550D0F">
              <w:rPr>
                <w:i/>
                <w:sz w:val="18"/>
                <w:szCs w:val="18"/>
              </w:rPr>
              <w:t>180</w:t>
            </w:r>
            <w:r w:rsidR="00DA069B">
              <w:rPr>
                <w:i/>
                <w:sz w:val="18"/>
                <w:szCs w:val="18"/>
              </w:rPr>
              <w:t>,</w:t>
            </w:r>
            <w:r w:rsidRPr="00550D0F">
              <w:rPr>
                <w:i/>
                <w:sz w:val="18"/>
                <w:szCs w:val="18"/>
              </w:rPr>
              <w:t>000</w:t>
            </w:r>
            <w:r w:rsidR="00DA069B">
              <w:rPr>
                <w:i/>
                <w:sz w:val="18"/>
                <w:szCs w:val="18"/>
              </w:rPr>
              <w:t>,</w:t>
            </w:r>
            <w:r w:rsidRPr="00550D0F">
              <w:rPr>
                <w:i/>
                <w:sz w:val="18"/>
                <w:szCs w:val="18"/>
              </w:rPr>
              <w:t>000</w:t>
            </w:r>
            <w:r w:rsidR="00DA069B">
              <w:rPr>
                <w:i/>
                <w:sz w:val="18"/>
                <w:szCs w:val="18"/>
              </w:rPr>
              <w:t>,</w:t>
            </w:r>
            <w:r w:rsidRPr="00550D0F">
              <w:rPr>
                <w:i/>
                <w:sz w:val="18"/>
                <w:szCs w:val="18"/>
              </w:rPr>
              <w:t>000</w:t>
            </w:r>
            <w:r w:rsidR="00870FD0">
              <w:rPr>
                <w:i/>
                <w:sz w:val="18"/>
                <w:szCs w:val="18"/>
              </w:rPr>
              <w:t>.</w:t>
            </w:r>
            <w:r w:rsidRPr="00550D0F">
              <w:rPr>
                <w:i/>
                <w:sz w:val="18"/>
                <w:szCs w:val="18"/>
                <w:lang w:val="id-ID"/>
              </w:rPr>
              <w:t xml:space="preserve"> </w:t>
            </w:r>
            <w:proofErr w:type="gramStart"/>
            <w:r w:rsidRPr="00550D0F">
              <w:rPr>
                <w:i/>
                <w:sz w:val="18"/>
                <w:szCs w:val="18"/>
              </w:rPr>
              <w:t>also</w:t>
            </w:r>
            <w:proofErr w:type="gramEnd"/>
            <w:r w:rsidRPr="00550D0F">
              <w:rPr>
                <w:i/>
                <w:sz w:val="18"/>
                <w:szCs w:val="18"/>
              </w:rPr>
              <w:t xml:space="preserve"> increased its issued and fully paid capital from Rp</w:t>
            </w:r>
            <w:r w:rsidR="00C662A8">
              <w:rPr>
                <w:i/>
                <w:sz w:val="18"/>
                <w:szCs w:val="18"/>
              </w:rPr>
              <w:t xml:space="preserve"> </w:t>
            </w:r>
            <w:r w:rsidRPr="00550D0F">
              <w:rPr>
                <w:i/>
                <w:sz w:val="18"/>
                <w:szCs w:val="18"/>
              </w:rPr>
              <w:t>1</w:t>
            </w:r>
            <w:r w:rsidR="00DA069B">
              <w:rPr>
                <w:i/>
                <w:sz w:val="18"/>
                <w:szCs w:val="18"/>
              </w:rPr>
              <w:t>,</w:t>
            </w:r>
            <w:r w:rsidRPr="00550D0F">
              <w:rPr>
                <w:i/>
                <w:sz w:val="18"/>
                <w:szCs w:val="18"/>
              </w:rPr>
              <w:t>000</w:t>
            </w:r>
            <w:r w:rsidR="00DA069B">
              <w:rPr>
                <w:i/>
                <w:sz w:val="18"/>
                <w:szCs w:val="18"/>
              </w:rPr>
              <w:t>,</w:t>
            </w:r>
            <w:r w:rsidRPr="00550D0F">
              <w:rPr>
                <w:i/>
                <w:sz w:val="18"/>
                <w:szCs w:val="18"/>
              </w:rPr>
              <w:t>000</w:t>
            </w:r>
            <w:r w:rsidR="00DA069B">
              <w:rPr>
                <w:i/>
                <w:sz w:val="18"/>
                <w:szCs w:val="18"/>
              </w:rPr>
              <w:t>,</w:t>
            </w:r>
            <w:r w:rsidRPr="00550D0F">
              <w:rPr>
                <w:i/>
                <w:sz w:val="18"/>
                <w:szCs w:val="18"/>
              </w:rPr>
              <w:t xml:space="preserve">000 to </w:t>
            </w:r>
            <w:r w:rsidR="00C662A8">
              <w:rPr>
                <w:i/>
                <w:sz w:val="18"/>
                <w:szCs w:val="18"/>
              </w:rPr>
              <w:br/>
            </w:r>
            <w:r w:rsidRPr="00550D0F">
              <w:rPr>
                <w:i/>
                <w:sz w:val="18"/>
                <w:szCs w:val="18"/>
              </w:rPr>
              <w:t>Rp</w:t>
            </w:r>
            <w:r w:rsidR="00C662A8">
              <w:rPr>
                <w:i/>
                <w:sz w:val="18"/>
                <w:szCs w:val="18"/>
              </w:rPr>
              <w:t xml:space="preserve"> </w:t>
            </w:r>
            <w:r w:rsidRPr="00550D0F">
              <w:rPr>
                <w:i/>
                <w:sz w:val="18"/>
                <w:szCs w:val="18"/>
              </w:rPr>
              <w:t>50</w:t>
            </w:r>
            <w:r w:rsidR="00DA069B">
              <w:rPr>
                <w:i/>
                <w:sz w:val="18"/>
                <w:szCs w:val="18"/>
              </w:rPr>
              <w:t>,</w:t>
            </w:r>
            <w:r w:rsidRPr="00550D0F">
              <w:rPr>
                <w:i/>
                <w:sz w:val="18"/>
                <w:szCs w:val="18"/>
              </w:rPr>
              <w:t>000</w:t>
            </w:r>
            <w:r w:rsidR="00DA069B">
              <w:rPr>
                <w:i/>
                <w:sz w:val="18"/>
                <w:szCs w:val="18"/>
              </w:rPr>
              <w:t>,</w:t>
            </w:r>
            <w:r w:rsidRPr="00550D0F">
              <w:rPr>
                <w:i/>
                <w:sz w:val="18"/>
                <w:szCs w:val="18"/>
              </w:rPr>
              <w:t>000</w:t>
            </w:r>
            <w:r w:rsidR="00DA069B">
              <w:rPr>
                <w:i/>
                <w:sz w:val="18"/>
                <w:szCs w:val="18"/>
              </w:rPr>
              <w:t>,</w:t>
            </w:r>
            <w:r w:rsidRPr="00550D0F">
              <w:rPr>
                <w:i/>
                <w:sz w:val="18"/>
                <w:szCs w:val="18"/>
              </w:rPr>
              <w:t>000. The increase in paid up capital was all acquired by the Company.</w:t>
            </w:r>
          </w:p>
        </w:tc>
      </w:tr>
      <w:tr w:rsidR="0077054A" w:rsidRPr="00CC4AA5" w14:paraId="33EF554B" w14:textId="77777777" w:rsidTr="004F6552">
        <w:trPr>
          <w:gridAfter w:val="1"/>
          <w:wAfter w:w="12" w:type="dxa"/>
        </w:trPr>
        <w:tc>
          <w:tcPr>
            <w:tcW w:w="4597" w:type="dxa"/>
          </w:tcPr>
          <w:p w14:paraId="69F41B7D" w14:textId="77777777" w:rsidR="0077054A" w:rsidRPr="00550D0F" w:rsidRDefault="0077054A" w:rsidP="00FE6D82">
            <w:pPr>
              <w:ind w:left="567" w:right="-57"/>
              <w:jc w:val="both"/>
              <w:rPr>
                <w:rStyle w:val="hps"/>
                <w:sz w:val="18"/>
                <w:szCs w:val="18"/>
              </w:rPr>
            </w:pPr>
          </w:p>
        </w:tc>
        <w:tc>
          <w:tcPr>
            <w:tcW w:w="4588" w:type="dxa"/>
          </w:tcPr>
          <w:p w14:paraId="54CF68AB" w14:textId="77777777" w:rsidR="0077054A" w:rsidRPr="00550D0F" w:rsidRDefault="0077054A" w:rsidP="00FE6D82">
            <w:pPr>
              <w:ind w:left="567" w:right="-57"/>
              <w:jc w:val="both"/>
              <w:rPr>
                <w:i/>
                <w:sz w:val="18"/>
                <w:szCs w:val="18"/>
              </w:rPr>
            </w:pPr>
          </w:p>
        </w:tc>
      </w:tr>
      <w:tr w:rsidR="0077054A" w:rsidRPr="00CC4AA5" w14:paraId="070FCF39" w14:textId="77777777" w:rsidTr="004F6552">
        <w:trPr>
          <w:gridAfter w:val="1"/>
          <w:wAfter w:w="12" w:type="dxa"/>
        </w:trPr>
        <w:tc>
          <w:tcPr>
            <w:tcW w:w="4597" w:type="dxa"/>
          </w:tcPr>
          <w:p w14:paraId="60629D5C" w14:textId="48C293F0" w:rsidR="0077054A" w:rsidRPr="00550D0F" w:rsidRDefault="0077054A" w:rsidP="00DA069B">
            <w:pPr>
              <w:autoSpaceDE w:val="0"/>
              <w:autoSpaceDN w:val="0"/>
              <w:adjustRightInd w:val="0"/>
              <w:ind w:left="563"/>
              <w:jc w:val="both"/>
              <w:rPr>
                <w:rStyle w:val="hps"/>
                <w:sz w:val="18"/>
                <w:szCs w:val="18"/>
              </w:rPr>
            </w:pPr>
            <w:r w:rsidRPr="0077054A">
              <w:rPr>
                <w:rStyle w:val="hps"/>
                <w:sz w:val="18"/>
                <w:szCs w:val="18"/>
              </w:rPr>
              <w:t>Anggaran Dasar Perusahaan mengalami perubahan</w:t>
            </w:r>
            <w:r w:rsidR="00870FD0">
              <w:rPr>
                <w:rStyle w:val="hps"/>
                <w:sz w:val="18"/>
                <w:szCs w:val="18"/>
              </w:rPr>
              <w:t>.</w:t>
            </w:r>
            <w:r>
              <w:rPr>
                <w:rStyle w:val="hps"/>
                <w:sz w:val="18"/>
                <w:szCs w:val="18"/>
              </w:rPr>
              <w:t xml:space="preserve"> </w:t>
            </w:r>
            <w:r w:rsidRPr="0077054A">
              <w:rPr>
                <w:rStyle w:val="hps"/>
                <w:sz w:val="18"/>
                <w:szCs w:val="18"/>
              </w:rPr>
              <w:t>Perubahan Anggaran Dasar Perusahaan terakhir</w:t>
            </w:r>
            <w:r>
              <w:rPr>
                <w:rStyle w:val="hps"/>
                <w:sz w:val="18"/>
                <w:szCs w:val="18"/>
              </w:rPr>
              <w:t xml:space="preserve"> </w:t>
            </w:r>
            <w:r w:rsidRPr="0077054A">
              <w:rPr>
                <w:rStyle w:val="hps"/>
                <w:sz w:val="18"/>
                <w:szCs w:val="18"/>
              </w:rPr>
              <w:t>dengan akta Notaris No. 82 dari Eriko Nicholas</w:t>
            </w:r>
            <w:r>
              <w:rPr>
                <w:rStyle w:val="hps"/>
                <w:sz w:val="18"/>
                <w:szCs w:val="18"/>
              </w:rPr>
              <w:t xml:space="preserve"> </w:t>
            </w:r>
            <w:r w:rsidRPr="0077054A">
              <w:rPr>
                <w:rStyle w:val="hps"/>
                <w:sz w:val="18"/>
                <w:szCs w:val="18"/>
              </w:rPr>
              <w:t>Honanda</w:t>
            </w:r>
            <w:r w:rsidR="00DA069B">
              <w:rPr>
                <w:rStyle w:val="hps"/>
                <w:sz w:val="18"/>
                <w:szCs w:val="18"/>
              </w:rPr>
              <w:t>,</w:t>
            </w:r>
            <w:r w:rsidRPr="0077054A">
              <w:rPr>
                <w:rStyle w:val="hps"/>
                <w:sz w:val="18"/>
                <w:szCs w:val="18"/>
              </w:rPr>
              <w:t xml:space="preserve"> SE.</w:t>
            </w:r>
            <w:r w:rsidR="00DA069B">
              <w:rPr>
                <w:rStyle w:val="hps"/>
                <w:sz w:val="18"/>
                <w:szCs w:val="18"/>
              </w:rPr>
              <w:t>,</w:t>
            </w:r>
            <w:r w:rsidRPr="0077054A">
              <w:rPr>
                <w:rStyle w:val="hps"/>
                <w:sz w:val="18"/>
                <w:szCs w:val="18"/>
              </w:rPr>
              <w:t xml:space="preserve"> SH.</w:t>
            </w:r>
            <w:r w:rsidR="00DA069B">
              <w:rPr>
                <w:rStyle w:val="hps"/>
                <w:sz w:val="18"/>
                <w:szCs w:val="18"/>
              </w:rPr>
              <w:t>,</w:t>
            </w:r>
            <w:r w:rsidRPr="0077054A">
              <w:rPr>
                <w:rStyle w:val="hps"/>
                <w:sz w:val="18"/>
                <w:szCs w:val="18"/>
              </w:rPr>
              <w:t xml:space="preserve"> MM.</w:t>
            </w:r>
            <w:r w:rsidR="00DA069B">
              <w:rPr>
                <w:rStyle w:val="hps"/>
                <w:sz w:val="18"/>
                <w:szCs w:val="18"/>
              </w:rPr>
              <w:t>,</w:t>
            </w:r>
            <w:r w:rsidRPr="0077054A">
              <w:rPr>
                <w:rStyle w:val="hps"/>
                <w:sz w:val="18"/>
                <w:szCs w:val="18"/>
              </w:rPr>
              <w:t xml:space="preserve"> Notaris di Jakarta</w:t>
            </w:r>
            <w:r w:rsidR="00DA069B">
              <w:rPr>
                <w:rStyle w:val="hps"/>
                <w:sz w:val="18"/>
                <w:szCs w:val="18"/>
              </w:rPr>
              <w:t>,</w:t>
            </w:r>
            <w:r w:rsidRPr="0077054A">
              <w:rPr>
                <w:rStyle w:val="hps"/>
                <w:sz w:val="18"/>
                <w:szCs w:val="18"/>
              </w:rPr>
              <w:t xml:space="preserve"> tanggal 26</w:t>
            </w:r>
            <w:r>
              <w:rPr>
                <w:rStyle w:val="hps"/>
                <w:sz w:val="18"/>
                <w:szCs w:val="18"/>
              </w:rPr>
              <w:t xml:space="preserve"> </w:t>
            </w:r>
            <w:r w:rsidRPr="0077054A">
              <w:rPr>
                <w:rStyle w:val="hps"/>
                <w:sz w:val="18"/>
                <w:szCs w:val="18"/>
              </w:rPr>
              <w:t>Juni 2019 mengenai perubahan anggaran dasar</w:t>
            </w:r>
            <w:r>
              <w:rPr>
                <w:rStyle w:val="hps"/>
                <w:sz w:val="18"/>
                <w:szCs w:val="18"/>
              </w:rPr>
              <w:t xml:space="preserve"> </w:t>
            </w:r>
            <w:r w:rsidRPr="0077054A">
              <w:rPr>
                <w:rStyle w:val="hps"/>
                <w:sz w:val="18"/>
                <w:szCs w:val="18"/>
              </w:rPr>
              <w:t>Perseroan Pasal 3</w:t>
            </w:r>
            <w:r w:rsidR="00DA069B">
              <w:rPr>
                <w:rStyle w:val="hps"/>
                <w:sz w:val="18"/>
                <w:szCs w:val="18"/>
              </w:rPr>
              <w:t>,</w:t>
            </w:r>
            <w:r w:rsidRPr="0077054A">
              <w:rPr>
                <w:rStyle w:val="hps"/>
                <w:sz w:val="18"/>
                <w:szCs w:val="18"/>
              </w:rPr>
              <w:t xml:space="preserve"> tentang maksud dan tujuan</w:t>
            </w:r>
            <w:r>
              <w:rPr>
                <w:rStyle w:val="hps"/>
                <w:sz w:val="18"/>
                <w:szCs w:val="18"/>
              </w:rPr>
              <w:t xml:space="preserve"> </w:t>
            </w:r>
            <w:r w:rsidRPr="0077054A">
              <w:rPr>
                <w:rStyle w:val="hps"/>
                <w:sz w:val="18"/>
                <w:szCs w:val="18"/>
              </w:rPr>
              <w:t>kegiatan usaha. Akta perubahan tersebut telah</w:t>
            </w:r>
            <w:r>
              <w:rPr>
                <w:rStyle w:val="hps"/>
                <w:sz w:val="18"/>
                <w:szCs w:val="18"/>
              </w:rPr>
              <w:t xml:space="preserve"> </w:t>
            </w:r>
            <w:r w:rsidRPr="0077054A">
              <w:rPr>
                <w:rStyle w:val="hps"/>
                <w:sz w:val="18"/>
                <w:szCs w:val="18"/>
              </w:rPr>
              <w:t>disahkan oleh Menteri Hukum dan Hak Asasi Manusia</w:t>
            </w:r>
            <w:r>
              <w:rPr>
                <w:rStyle w:val="hps"/>
                <w:sz w:val="18"/>
                <w:szCs w:val="18"/>
              </w:rPr>
              <w:t xml:space="preserve"> </w:t>
            </w:r>
            <w:r w:rsidRPr="0077054A">
              <w:rPr>
                <w:rStyle w:val="hps"/>
                <w:sz w:val="18"/>
                <w:szCs w:val="18"/>
              </w:rPr>
              <w:t>Republik Indonesia</w:t>
            </w:r>
            <w:r>
              <w:rPr>
                <w:rStyle w:val="hps"/>
                <w:sz w:val="18"/>
                <w:szCs w:val="18"/>
              </w:rPr>
              <w:t xml:space="preserve"> </w:t>
            </w:r>
            <w:r w:rsidRPr="0077054A">
              <w:rPr>
                <w:rStyle w:val="hps"/>
                <w:sz w:val="18"/>
                <w:szCs w:val="18"/>
              </w:rPr>
              <w:t>yang terdaftar dengan No.82 AHU0041036.AH.01.02</w:t>
            </w:r>
            <w:r>
              <w:rPr>
                <w:rStyle w:val="hps"/>
                <w:sz w:val="18"/>
                <w:szCs w:val="18"/>
              </w:rPr>
              <w:t xml:space="preserve"> </w:t>
            </w:r>
            <w:r w:rsidRPr="0077054A">
              <w:rPr>
                <w:rStyle w:val="hps"/>
                <w:sz w:val="18"/>
                <w:szCs w:val="18"/>
              </w:rPr>
              <w:t>Tahun</w:t>
            </w:r>
            <w:r>
              <w:rPr>
                <w:rStyle w:val="hps"/>
                <w:sz w:val="18"/>
                <w:szCs w:val="18"/>
              </w:rPr>
              <w:t xml:space="preserve"> </w:t>
            </w:r>
            <w:r w:rsidRPr="0077054A">
              <w:rPr>
                <w:rStyle w:val="hps"/>
                <w:sz w:val="18"/>
                <w:szCs w:val="18"/>
              </w:rPr>
              <w:t>2019</w:t>
            </w:r>
            <w:r>
              <w:rPr>
                <w:rStyle w:val="hps"/>
                <w:sz w:val="18"/>
                <w:szCs w:val="18"/>
              </w:rPr>
              <w:t xml:space="preserve"> </w:t>
            </w:r>
            <w:r w:rsidRPr="0077054A">
              <w:rPr>
                <w:rStyle w:val="hps"/>
                <w:sz w:val="18"/>
                <w:szCs w:val="18"/>
              </w:rPr>
              <w:t>tanggal</w:t>
            </w:r>
            <w:r>
              <w:rPr>
                <w:rStyle w:val="hps"/>
                <w:sz w:val="18"/>
                <w:szCs w:val="18"/>
              </w:rPr>
              <w:t xml:space="preserve"> </w:t>
            </w:r>
            <w:r w:rsidRPr="0077054A">
              <w:rPr>
                <w:rStyle w:val="hps"/>
                <w:sz w:val="18"/>
                <w:szCs w:val="18"/>
              </w:rPr>
              <w:t>24</w:t>
            </w:r>
            <w:r>
              <w:rPr>
                <w:rStyle w:val="hps"/>
                <w:sz w:val="18"/>
                <w:szCs w:val="18"/>
              </w:rPr>
              <w:t xml:space="preserve"> </w:t>
            </w:r>
            <w:r w:rsidRPr="0077054A">
              <w:rPr>
                <w:rStyle w:val="hps"/>
                <w:sz w:val="18"/>
                <w:szCs w:val="18"/>
              </w:rPr>
              <w:t>Juli</w:t>
            </w:r>
            <w:r>
              <w:rPr>
                <w:rStyle w:val="hps"/>
                <w:sz w:val="18"/>
                <w:szCs w:val="18"/>
              </w:rPr>
              <w:t xml:space="preserve"> </w:t>
            </w:r>
            <w:r w:rsidRPr="0077054A">
              <w:rPr>
                <w:rStyle w:val="hps"/>
                <w:sz w:val="18"/>
                <w:szCs w:val="18"/>
              </w:rPr>
              <w:t>2019.</w:t>
            </w:r>
          </w:p>
        </w:tc>
        <w:tc>
          <w:tcPr>
            <w:tcW w:w="4588" w:type="dxa"/>
          </w:tcPr>
          <w:p w14:paraId="423BB15B" w14:textId="0690BF8E" w:rsidR="0077054A" w:rsidRPr="00550D0F" w:rsidRDefault="0077054A" w:rsidP="00DA069B">
            <w:pPr>
              <w:autoSpaceDE w:val="0"/>
              <w:autoSpaceDN w:val="0"/>
              <w:adjustRightInd w:val="0"/>
              <w:ind w:left="572"/>
              <w:jc w:val="both"/>
              <w:rPr>
                <w:i/>
                <w:sz w:val="18"/>
                <w:szCs w:val="18"/>
              </w:rPr>
            </w:pPr>
            <w:r w:rsidRPr="0077054A">
              <w:rPr>
                <w:i/>
                <w:sz w:val="18"/>
                <w:szCs w:val="18"/>
              </w:rPr>
              <w:t>The Company’s Articles of Association has been</w:t>
            </w:r>
            <w:r>
              <w:rPr>
                <w:i/>
                <w:sz w:val="18"/>
                <w:szCs w:val="18"/>
              </w:rPr>
              <w:t xml:space="preserve"> </w:t>
            </w:r>
            <w:r w:rsidRPr="0077054A">
              <w:rPr>
                <w:i/>
                <w:sz w:val="18"/>
                <w:szCs w:val="18"/>
              </w:rPr>
              <w:t>amended several times</w:t>
            </w:r>
            <w:r w:rsidR="00870FD0">
              <w:rPr>
                <w:i/>
                <w:sz w:val="18"/>
                <w:szCs w:val="18"/>
              </w:rPr>
              <w:t>.</w:t>
            </w:r>
            <w:r w:rsidRPr="0077054A">
              <w:rPr>
                <w:i/>
                <w:sz w:val="18"/>
                <w:szCs w:val="18"/>
              </w:rPr>
              <w:t xml:space="preserve"> The latest amendment of the</w:t>
            </w:r>
            <w:r>
              <w:rPr>
                <w:i/>
                <w:sz w:val="18"/>
                <w:szCs w:val="18"/>
              </w:rPr>
              <w:t xml:space="preserve"> </w:t>
            </w:r>
            <w:r w:rsidRPr="0077054A">
              <w:rPr>
                <w:i/>
                <w:sz w:val="18"/>
                <w:szCs w:val="18"/>
              </w:rPr>
              <w:t>Company’s Articles of Association was covered by</w:t>
            </w:r>
            <w:r>
              <w:rPr>
                <w:i/>
                <w:sz w:val="18"/>
                <w:szCs w:val="18"/>
              </w:rPr>
              <w:t xml:space="preserve"> </w:t>
            </w:r>
            <w:r w:rsidRPr="0077054A">
              <w:rPr>
                <w:i/>
                <w:sz w:val="18"/>
                <w:szCs w:val="18"/>
              </w:rPr>
              <w:t>the Notarial deed No. 82 dated June 26</w:t>
            </w:r>
            <w:r w:rsidR="00DA069B">
              <w:rPr>
                <w:i/>
                <w:sz w:val="18"/>
                <w:szCs w:val="18"/>
              </w:rPr>
              <w:t>,</w:t>
            </w:r>
            <w:r w:rsidRPr="0077054A">
              <w:rPr>
                <w:i/>
                <w:sz w:val="18"/>
                <w:szCs w:val="18"/>
              </w:rPr>
              <w:t xml:space="preserve"> 2019 of Eriko Nicholas Honanda</w:t>
            </w:r>
            <w:r w:rsidR="00870FD0">
              <w:rPr>
                <w:i/>
                <w:sz w:val="18"/>
                <w:szCs w:val="18"/>
              </w:rPr>
              <w:t>.</w:t>
            </w:r>
            <w:r w:rsidRPr="0077054A">
              <w:rPr>
                <w:i/>
                <w:sz w:val="18"/>
                <w:szCs w:val="18"/>
              </w:rPr>
              <w:t xml:space="preserve"> </w:t>
            </w:r>
            <w:proofErr w:type="gramStart"/>
            <w:r w:rsidRPr="0077054A">
              <w:rPr>
                <w:i/>
                <w:sz w:val="18"/>
                <w:szCs w:val="18"/>
              </w:rPr>
              <w:t>SE.</w:t>
            </w:r>
            <w:r w:rsidR="00DA069B">
              <w:rPr>
                <w:i/>
                <w:sz w:val="18"/>
                <w:szCs w:val="18"/>
              </w:rPr>
              <w:t>,</w:t>
            </w:r>
            <w:proofErr w:type="gramEnd"/>
            <w:r w:rsidRPr="0077054A">
              <w:rPr>
                <w:i/>
                <w:sz w:val="18"/>
                <w:szCs w:val="18"/>
              </w:rPr>
              <w:t xml:space="preserve"> SH.</w:t>
            </w:r>
            <w:r w:rsidR="00DA069B">
              <w:rPr>
                <w:i/>
                <w:sz w:val="18"/>
                <w:szCs w:val="18"/>
              </w:rPr>
              <w:t>,</w:t>
            </w:r>
            <w:r w:rsidRPr="0077054A">
              <w:rPr>
                <w:i/>
                <w:sz w:val="18"/>
                <w:szCs w:val="18"/>
              </w:rPr>
              <w:t xml:space="preserve"> MM.</w:t>
            </w:r>
            <w:r w:rsidR="00DA069B">
              <w:rPr>
                <w:i/>
                <w:sz w:val="18"/>
                <w:szCs w:val="18"/>
              </w:rPr>
              <w:t>,  Notary</w:t>
            </w:r>
            <w:r w:rsidRPr="0077054A">
              <w:rPr>
                <w:i/>
                <w:sz w:val="18"/>
                <w:szCs w:val="18"/>
              </w:rPr>
              <w:t xml:space="preserve"> in</w:t>
            </w:r>
            <w:r>
              <w:rPr>
                <w:i/>
                <w:sz w:val="18"/>
                <w:szCs w:val="18"/>
              </w:rPr>
              <w:t xml:space="preserve"> </w:t>
            </w:r>
            <w:r w:rsidRPr="0077054A">
              <w:rPr>
                <w:i/>
                <w:sz w:val="18"/>
                <w:szCs w:val="18"/>
              </w:rPr>
              <w:t>Jakarta</w:t>
            </w:r>
            <w:r w:rsidR="00DA069B">
              <w:rPr>
                <w:i/>
                <w:sz w:val="18"/>
                <w:szCs w:val="18"/>
              </w:rPr>
              <w:t>,</w:t>
            </w:r>
            <w:r w:rsidRPr="0077054A">
              <w:rPr>
                <w:i/>
                <w:sz w:val="18"/>
                <w:szCs w:val="18"/>
              </w:rPr>
              <w:t xml:space="preserve"> concerning the changes of amendment to</w:t>
            </w:r>
            <w:r>
              <w:rPr>
                <w:i/>
                <w:sz w:val="18"/>
                <w:szCs w:val="18"/>
              </w:rPr>
              <w:t xml:space="preserve"> </w:t>
            </w:r>
            <w:r w:rsidRPr="0077054A">
              <w:rPr>
                <w:i/>
                <w:sz w:val="18"/>
                <w:szCs w:val="18"/>
              </w:rPr>
              <w:t>the articles of association of the Company Article 3</w:t>
            </w:r>
            <w:r w:rsidR="00DA069B">
              <w:rPr>
                <w:i/>
                <w:sz w:val="18"/>
                <w:szCs w:val="18"/>
              </w:rPr>
              <w:t>,</w:t>
            </w:r>
            <w:r>
              <w:rPr>
                <w:i/>
                <w:sz w:val="18"/>
                <w:szCs w:val="18"/>
              </w:rPr>
              <w:t xml:space="preserve"> </w:t>
            </w:r>
            <w:r w:rsidRPr="0077054A">
              <w:rPr>
                <w:i/>
                <w:sz w:val="18"/>
                <w:szCs w:val="18"/>
              </w:rPr>
              <w:t>concerning the aims and objectives of business</w:t>
            </w:r>
            <w:r>
              <w:rPr>
                <w:i/>
                <w:sz w:val="18"/>
                <w:szCs w:val="18"/>
              </w:rPr>
              <w:t xml:space="preserve"> </w:t>
            </w:r>
            <w:r w:rsidRPr="0077054A">
              <w:rPr>
                <w:i/>
                <w:sz w:val="18"/>
                <w:szCs w:val="18"/>
              </w:rPr>
              <w:t>activities. The said amendment has been approved</w:t>
            </w:r>
            <w:r>
              <w:rPr>
                <w:i/>
                <w:sz w:val="18"/>
                <w:szCs w:val="18"/>
              </w:rPr>
              <w:t xml:space="preserve"> </w:t>
            </w:r>
            <w:r w:rsidRPr="0077054A">
              <w:rPr>
                <w:i/>
                <w:sz w:val="18"/>
                <w:szCs w:val="18"/>
              </w:rPr>
              <w:t>by the Minister of Law and Human Rights of the</w:t>
            </w:r>
            <w:r>
              <w:rPr>
                <w:i/>
                <w:sz w:val="18"/>
                <w:szCs w:val="18"/>
              </w:rPr>
              <w:t xml:space="preserve"> </w:t>
            </w:r>
            <w:r w:rsidRPr="0077054A">
              <w:rPr>
                <w:i/>
                <w:sz w:val="18"/>
                <w:szCs w:val="18"/>
              </w:rPr>
              <w:t xml:space="preserve">Republic of Indonesia in its Decision Letter </w:t>
            </w:r>
            <w:r w:rsidR="00DA069B">
              <w:rPr>
                <w:i/>
                <w:sz w:val="18"/>
                <w:szCs w:val="18"/>
              </w:rPr>
              <w:t xml:space="preserve">                   </w:t>
            </w:r>
            <w:r w:rsidRPr="0077054A">
              <w:rPr>
                <w:i/>
                <w:sz w:val="18"/>
                <w:szCs w:val="18"/>
              </w:rPr>
              <w:t>No.</w:t>
            </w:r>
            <w:r w:rsidR="00DA069B">
              <w:rPr>
                <w:i/>
                <w:sz w:val="18"/>
                <w:szCs w:val="18"/>
              </w:rPr>
              <w:t xml:space="preserve"> </w:t>
            </w:r>
            <w:r w:rsidRPr="0077054A">
              <w:rPr>
                <w:i/>
                <w:sz w:val="18"/>
                <w:szCs w:val="18"/>
              </w:rPr>
              <w:t>82</w:t>
            </w:r>
            <w:r>
              <w:rPr>
                <w:i/>
                <w:sz w:val="18"/>
                <w:szCs w:val="18"/>
              </w:rPr>
              <w:t xml:space="preserve"> </w:t>
            </w:r>
            <w:r w:rsidRPr="0077054A">
              <w:rPr>
                <w:i/>
                <w:sz w:val="18"/>
                <w:szCs w:val="18"/>
              </w:rPr>
              <w:t>AHU-0041036.AH.01.02</w:t>
            </w:r>
            <w:r w:rsidR="00DA069B">
              <w:rPr>
                <w:i/>
                <w:sz w:val="18"/>
                <w:szCs w:val="18"/>
              </w:rPr>
              <w:t xml:space="preserve"> Year 2019 dated</w:t>
            </w:r>
            <w:r w:rsidRPr="0077054A">
              <w:rPr>
                <w:i/>
                <w:sz w:val="18"/>
                <w:szCs w:val="18"/>
              </w:rPr>
              <w:t xml:space="preserve"> July 24</w:t>
            </w:r>
            <w:r w:rsidR="00DA069B">
              <w:rPr>
                <w:i/>
                <w:sz w:val="18"/>
                <w:szCs w:val="18"/>
              </w:rPr>
              <w:t>,</w:t>
            </w:r>
            <w:r w:rsidRPr="0077054A">
              <w:rPr>
                <w:i/>
                <w:sz w:val="18"/>
                <w:szCs w:val="18"/>
              </w:rPr>
              <w:t xml:space="preserve"> 2019 </w:t>
            </w:r>
          </w:p>
        </w:tc>
      </w:tr>
      <w:tr w:rsidR="00532A65" w:rsidRPr="00CC4AA5" w14:paraId="0B8F1BCD" w14:textId="77777777" w:rsidTr="004F6552">
        <w:trPr>
          <w:gridAfter w:val="1"/>
          <w:wAfter w:w="12" w:type="dxa"/>
        </w:trPr>
        <w:tc>
          <w:tcPr>
            <w:tcW w:w="4597" w:type="dxa"/>
          </w:tcPr>
          <w:p w14:paraId="58E71D8B" w14:textId="77777777" w:rsidR="00532A65" w:rsidRPr="00CC4AA5" w:rsidRDefault="00532A65" w:rsidP="00532A65">
            <w:pPr>
              <w:ind w:left="567" w:right="-57"/>
              <w:jc w:val="both"/>
              <w:rPr>
                <w:rStyle w:val="hps"/>
                <w:sz w:val="18"/>
                <w:szCs w:val="18"/>
                <w:highlight w:val="green"/>
              </w:rPr>
            </w:pPr>
          </w:p>
        </w:tc>
        <w:tc>
          <w:tcPr>
            <w:tcW w:w="4588" w:type="dxa"/>
          </w:tcPr>
          <w:p w14:paraId="35655588" w14:textId="77777777" w:rsidR="00532A65" w:rsidRPr="00CC4AA5" w:rsidRDefault="00532A65" w:rsidP="00532A65">
            <w:pPr>
              <w:ind w:left="567" w:right="-57"/>
              <w:jc w:val="both"/>
              <w:rPr>
                <w:i/>
                <w:sz w:val="18"/>
                <w:szCs w:val="18"/>
                <w:highlight w:val="green"/>
              </w:rPr>
            </w:pPr>
          </w:p>
        </w:tc>
      </w:tr>
    </w:tbl>
    <w:p w14:paraId="1801CFE4" w14:textId="14D504BB" w:rsidR="0077054A" w:rsidRDefault="0077054A"/>
    <w:p w14:paraId="4B234563" w14:textId="77777777" w:rsidR="0077054A" w:rsidRDefault="0077054A">
      <w:r>
        <w:br w:type="page"/>
      </w:r>
    </w:p>
    <w:tbl>
      <w:tblPr>
        <w:tblW w:w="9197" w:type="dxa"/>
        <w:tblInd w:w="392" w:type="dxa"/>
        <w:tblLayout w:type="fixed"/>
        <w:tblLook w:val="0000" w:firstRow="0" w:lastRow="0" w:firstColumn="0" w:lastColumn="0" w:noHBand="0" w:noVBand="0"/>
      </w:tblPr>
      <w:tblGrid>
        <w:gridCol w:w="4597"/>
        <w:gridCol w:w="4588"/>
        <w:gridCol w:w="12"/>
      </w:tblGrid>
      <w:tr w:rsidR="00FD6F02" w:rsidRPr="00C662A8" w14:paraId="1CB09A2B" w14:textId="77777777" w:rsidTr="00FD6F02">
        <w:tc>
          <w:tcPr>
            <w:tcW w:w="4598" w:type="dxa"/>
          </w:tcPr>
          <w:p w14:paraId="629A3CFE" w14:textId="631028A9" w:rsidR="00FD6F02" w:rsidRPr="00C662A8" w:rsidRDefault="00FD6F02" w:rsidP="00070D1F">
            <w:pPr>
              <w:pStyle w:val="ListParagraph"/>
              <w:numPr>
                <w:ilvl w:val="0"/>
                <w:numId w:val="292"/>
              </w:numPr>
              <w:ind w:left="317" w:hanging="283"/>
              <w:contextualSpacing/>
              <w:jc w:val="both"/>
              <w:rPr>
                <w:rStyle w:val="hps"/>
                <w:b/>
                <w:sz w:val="18"/>
                <w:szCs w:val="18"/>
              </w:rPr>
            </w:pPr>
            <w:r w:rsidRPr="00C662A8">
              <w:rPr>
                <w:rStyle w:val="hps"/>
                <w:b/>
                <w:sz w:val="18"/>
                <w:szCs w:val="18"/>
              </w:rPr>
              <w:lastRenderedPageBreak/>
              <w:t xml:space="preserve">UMUM </w:t>
            </w:r>
            <w:r w:rsidR="00972F4F">
              <w:rPr>
                <w:rStyle w:val="hps"/>
                <w:b/>
                <w:sz w:val="18"/>
                <w:szCs w:val="18"/>
                <w:lang w:val="id-ID"/>
              </w:rPr>
              <w:t>–</w:t>
            </w:r>
            <w:r w:rsidRPr="00C662A8">
              <w:rPr>
                <w:rStyle w:val="hps"/>
                <w:b/>
                <w:sz w:val="18"/>
                <w:szCs w:val="18"/>
              </w:rPr>
              <w:t xml:space="preserve"> Lanjutan</w:t>
            </w:r>
          </w:p>
        </w:tc>
        <w:tc>
          <w:tcPr>
            <w:tcW w:w="4599" w:type="dxa"/>
            <w:gridSpan w:val="2"/>
          </w:tcPr>
          <w:p w14:paraId="5222D0C9" w14:textId="77777777" w:rsidR="00FD6F02" w:rsidRPr="00C662A8" w:rsidRDefault="00FD6F02" w:rsidP="00070D1F">
            <w:pPr>
              <w:pStyle w:val="ListParagraph"/>
              <w:numPr>
                <w:ilvl w:val="0"/>
                <w:numId w:val="293"/>
              </w:numPr>
              <w:ind w:left="289" w:hanging="289"/>
              <w:contextualSpacing/>
              <w:jc w:val="both"/>
              <w:rPr>
                <w:b/>
                <w:bCs w:val="0"/>
                <w:i/>
                <w:sz w:val="18"/>
                <w:szCs w:val="18"/>
              </w:rPr>
            </w:pPr>
            <w:r w:rsidRPr="00C662A8">
              <w:rPr>
                <w:b/>
                <w:i/>
                <w:sz w:val="18"/>
                <w:szCs w:val="18"/>
              </w:rPr>
              <w:t xml:space="preserve">GENERAL </w:t>
            </w:r>
            <w:r w:rsidRPr="00C662A8">
              <w:rPr>
                <w:b/>
                <w:i/>
                <w:sz w:val="18"/>
                <w:szCs w:val="18"/>
                <w:lang w:val="id-ID"/>
              </w:rPr>
              <w:t>-</w:t>
            </w:r>
            <w:r w:rsidRPr="00C662A8">
              <w:rPr>
                <w:b/>
                <w:i/>
                <w:sz w:val="18"/>
                <w:szCs w:val="18"/>
              </w:rPr>
              <w:t xml:space="preserve"> Continued</w:t>
            </w:r>
          </w:p>
        </w:tc>
      </w:tr>
      <w:tr w:rsidR="00FD6F02" w:rsidRPr="00015B96" w14:paraId="67BC26BC" w14:textId="77777777" w:rsidTr="00FD6F02">
        <w:tc>
          <w:tcPr>
            <w:tcW w:w="4598" w:type="dxa"/>
          </w:tcPr>
          <w:p w14:paraId="3E1733B8" w14:textId="77777777" w:rsidR="00FD6F02" w:rsidRPr="00015B96" w:rsidRDefault="00FD6F02" w:rsidP="00982A96">
            <w:pPr>
              <w:jc w:val="both"/>
              <w:rPr>
                <w:rStyle w:val="hps"/>
                <w:sz w:val="10"/>
                <w:szCs w:val="10"/>
              </w:rPr>
            </w:pPr>
          </w:p>
        </w:tc>
        <w:tc>
          <w:tcPr>
            <w:tcW w:w="4599" w:type="dxa"/>
            <w:gridSpan w:val="2"/>
          </w:tcPr>
          <w:p w14:paraId="1B27FA5B" w14:textId="77777777" w:rsidR="00FD6F02" w:rsidRPr="00015B96" w:rsidRDefault="00FD6F02" w:rsidP="00982A96">
            <w:pPr>
              <w:ind w:left="426"/>
              <w:jc w:val="both"/>
              <w:rPr>
                <w:bCs w:val="0"/>
                <w:i/>
                <w:sz w:val="10"/>
                <w:szCs w:val="10"/>
              </w:rPr>
            </w:pPr>
          </w:p>
        </w:tc>
      </w:tr>
      <w:tr w:rsidR="00FD6F02" w:rsidRPr="00C662A8" w14:paraId="62488968" w14:textId="77777777" w:rsidTr="00FD6F02">
        <w:tc>
          <w:tcPr>
            <w:tcW w:w="4598" w:type="dxa"/>
          </w:tcPr>
          <w:p w14:paraId="3826E48C" w14:textId="30386C34" w:rsidR="00FD6F02" w:rsidRPr="00C662A8" w:rsidRDefault="00FD6F02" w:rsidP="00070D1F">
            <w:pPr>
              <w:pStyle w:val="ListParagraph"/>
              <w:numPr>
                <w:ilvl w:val="0"/>
                <w:numId w:val="294"/>
              </w:numPr>
              <w:ind w:left="601" w:right="-57" w:hanging="284"/>
              <w:contextualSpacing/>
              <w:jc w:val="both"/>
              <w:rPr>
                <w:rStyle w:val="hps"/>
                <w:b/>
                <w:sz w:val="18"/>
                <w:szCs w:val="18"/>
              </w:rPr>
            </w:pPr>
            <w:r w:rsidRPr="00C662A8">
              <w:rPr>
                <w:rStyle w:val="hps"/>
                <w:b/>
                <w:sz w:val="18"/>
                <w:szCs w:val="18"/>
                <w:lang w:val="id-ID"/>
              </w:rPr>
              <w:t xml:space="preserve">Struktur Perusahaan dan Entitas Anak </w:t>
            </w:r>
            <w:r w:rsidR="00972F4F">
              <w:rPr>
                <w:rStyle w:val="hps"/>
                <w:b/>
                <w:sz w:val="18"/>
                <w:szCs w:val="18"/>
              </w:rPr>
              <w:t>–</w:t>
            </w:r>
            <w:r>
              <w:rPr>
                <w:rStyle w:val="hps"/>
                <w:b/>
                <w:sz w:val="18"/>
                <w:szCs w:val="18"/>
              </w:rPr>
              <w:t xml:space="preserve"> L</w:t>
            </w:r>
            <w:r w:rsidRPr="00C662A8">
              <w:rPr>
                <w:rStyle w:val="hps"/>
                <w:b/>
                <w:sz w:val="18"/>
                <w:szCs w:val="18"/>
                <w:lang w:val="id-ID"/>
              </w:rPr>
              <w:t>anjutan</w:t>
            </w:r>
          </w:p>
        </w:tc>
        <w:tc>
          <w:tcPr>
            <w:tcW w:w="4599" w:type="dxa"/>
            <w:gridSpan w:val="2"/>
          </w:tcPr>
          <w:p w14:paraId="471A9810" w14:textId="77777777" w:rsidR="00FD6F02" w:rsidRPr="00C662A8" w:rsidRDefault="00FD6F02" w:rsidP="00070D1F">
            <w:pPr>
              <w:pStyle w:val="ListParagraph"/>
              <w:numPr>
                <w:ilvl w:val="0"/>
                <w:numId w:val="295"/>
              </w:numPr>
              <w:ind w:left="572" w:right="-57" w:hanging="261"/>
              <w:contextualSpacing/>
              <w:jc w:val="both"/>
              <w:rPr>
                <w:b/>
                <w:bCs w:val="0"/>
                <w:i/>
                <w:sz w:val="18"/>
                <w:szCs w:val="18"/>
              </w:rPr>
            </w:pPr>
            <w:r w:rsidRPr="00C662A8">
              <w:rPr>
                <w:b/>
                <w:i/>
                <w:sz w:val="18"/>
                <w:szCs w:val="18"/>
                <w:lang w:val="id-ID"/>
              </w:rPr>
              <w:t xml:space="preserve">Structure of The Group </w:t>
            </w:r>
            <w:r>
              <w:rPr>
                <w:b/>
                <w:i/>
                <w:sz w:val="18"/>
                <w:szCs w:val="18"/>
              </w:rPr>
              <w:t xml:space="preserve">- </w:t>
            </w:r>
            <w:r w:rsidRPr="00C662A8">
              <w:rPr>
                <w:b/>
                <w:i/>
                <w:sz w:val="18"/>
                <w:szCs w:val="18"/>
                <w:lang w:val="id-ID"/>
              </w:rPr>
              <w:t>Continued</w:t>
            </w:r>
          </w:p>
        </w:tc>
      </w:tr>
      <w:tr w:rsidR="00FD6F02" w:rsidRPr="00015B96" w14:paraId="5F5D49EA" w14:textId="77777777" w:rsidTr="00FD6F02">
        <w:tc>
          <w:tcPr>
            <w:tcW w:w="4598" w:type="dxa"/>
          </w:tcPr>
          <w:p w14:paraId="13CC54B1" w14:textId="77777777" w:rsidR="00FD6F02" w:rsidRPr="00015B96" w:rsidRDefault="00FD6F02" w:rsidP="00982A96">
            <w:pPr>
              <w:jc w:val="both"/>
              <w:rPr>
                <w:rStyle w:val="hps"/>
                <w:sz w:val="10"/>
                <w:szCs w:val="10"/>
              </w:rPr>
            </w:pPr>
          </w:p>
        </w:tc>
        <w:tc>
          <w:tcPr>
            <w:tcW w:w="4599" w:type="dxa"/>
            <w:gridSpan w:val="2"/>
          </w:tcPr>
          <w:p w14:paraId="20D9D216" w14:textId="77777777" w:rsidR="00FD6F02" w:rsidRPr="00015B96" w:rsidRDefault="00FD6F02" w:rsidP="00982A96">
            <w:pPr>
              <w:ind w:left="426"/>
              <w:jc w:val="both"/>
              <w:rPr>
                <w:bCs w:val="0"/>
                <w:i/>
                <w:sz w:val="10"/>
                <w:szCs w:val="10"/>
              </w:rPr>
            </w:pPr>
          </w:p>
        </w:tc>
      </w:tr>
      <w:tr w:rsidR="00FD6F02" w:rsidRPr="00C662A8" w14:paraId="56174C29" w14:textId="77777777" w:rsidTr="00FD6F02">
        <w:tc>
          <w:tcPr>
            <w:tcW w:w="4598" w:type="dxa"/>
          </w:tcPr>
          <w:p w14:paraId="18E9917E" w14:textId="158DA722" w:rsidR="00FD6F02" w:rsidRPr="00C662A8" w:rsidRDefault="00FD6F02" w:rsidP="00982A96">
            <w:pPr>
              <w:ind w:left="567" w:right="-57"/>
              <w:jc w:val="both"/>
              <w:rPr>
                <w:rStyle w:val="hps"/>
                <w:b/>
                <w:sz w:val="18"/>
                <w:szCs w:val="18"/>
              </w:rPr>
            </w:pPr>
            <w:r w:rsidRPr="00C662A8">
              <w:rPr>
                <w:rStyle w:val="hps"/>
                <w:b/>
                <w:sz w:val="18"/>
                <w:szCs w:val="18"/>
              </w:rPr>
              <w:t>Pendirian Entitas Anak Tahun 2015</w:t>
            </w:r>
            <w:r>
              <w:rPr>
                <w:rStyle w:val="hps"/>
                <w:b/>
                <w:sz w:val="18"/>
                <w:szCs w:val="18"/>
              </w:rPr>
              <w:t xml:space="preserve"> - Lanjutan</w:t>
            </w:r>
          </w:p>
        </w:tc>
        <w:tc>
          <w:tcPr>
            <w:tcW w:w="4599" w:type="dxa"/>
            <w:gridSpan w:val="2"/>
          </w:tcPr>
          <w:p w14:paraId="537F4F70" w14:textId="23F7F86A" w:rsidR="00FD6F02" w:rsidRPr="00C662A8" w:rsidRDefault="00FD6F02" w:rsidP="00982A96">
            <w:pPr>
              <w:ind w:left="567" w:right="-57"/>
              <w:jc w:val="both"/>
              <w:rPr>
                <w:b/>
                <w:i/>
                <w:sz w:val="18"/>
                <w:szCs w:val="18"/>
              </w:rPr>
            </w:pPr>
            <w:r w:rsidRPr="00C662A8">
              <w:rPr>
                <w:b/>
                <w:i/>
                <w:sz w:val="18"/>
                <w:szCs w:val="18"/>
              </w:rPr>
              <w:t>Establishment of Subsidiaries in 2015</w:t>
            </w:r>
            <w:r>
              <w:rPr>
                <w:b/>
                <w:i/>
                <w:sz w:val="18"/>
                <w:szCs w:val="18"/>
              </w:rPr>
              <w:t xml:space="preserve"> - Continued</w:t>
            </w:r>
          </w:p>
        </w:tc>
      </w:tr>
      <w:tr w:rsidR="00FD6F02" w:rsidRPr="00015B96" w14:paraId="42989BD4" w14:textId="77777777" w:rsidTr="00FD6F02">
        <w:tc>
          <w:tcPr>
            <w:tcW w:w="4598" w:type="dxa"/>
          </w:tcPr>
          <w:p w14:paraId="757535E3" w14:textId="77777777" w:rsidR="00FD6F02" w:rsidRPr="00015B96" w:rsidRDefault="00FD6F02" w:rsidP="00982A96">
            <w:pPr>
              <w:ind w:left="567" w:right="-57"/>
              <w:jc w:val="both"/>
              <w:rPr>
                <w:rStyle w:val="hps"/>
                <w:b/>
                <w:sz w:val="10"/>
                <w:szCs w:val="10"/>
              </w:rPr>
            </w:pPr>
          </w:p>
        </w:tc>
        <w:tc>
          <w:tcPr>
            <w:tcW w:w="4599" w:type="dxa"/>
            <w:gridSpan w:val="2"/>
          </w:tcPr>
          <w:p w14:paraId="2CA149CA" w14:textId="77777777" w:rsidR="00FD6F02" w:rsidRPr="00015B96" w:rsidRDefault="00FD6F02" w:rsidP="00982A96">
            <w:pPr>
              <w:ind w:left="567" w:right="-57"/>
              <w:jc w:val="both"/>
              <w:rPr>
                <w:b/>
                <w:i/>
                <w:sz w:val="10"/>
                <w:szCs w:val="10"/>
              </w:rPr>
            </w:pPr>
          </w:p>
        </w:tc>
      </w:tr>
      <w:tr w:rsidR="00532A65" w:rsidRPr="00C662A8" w14:paraId="062D1F9E" w14:textId="77777777" w:rsidTr="00FD6F02">
        <w:trPr>
          <w:gridAfter w:val="1"/>
          <w:wAfter w:w="12" w:type="dxa"/>
        </w:trPr>
        <w:tc>
          <w:tcPr>
            <w:tcW w:w="4596" w:type="dxa"/>
          </w:tcPr>
          <w:p w14:paraId="0C2A2F57" w14:textId="7ECFE161" w:rsidR="00532A65" w:rsidRPr="00C662A8" w:rsidRDefault="00FE6D82" w:rsidP="00532A65">
            <w:pPr>
              <w:ind w:left="567" w:right="-57"/>
              <w:jc w:val="both"/>
              <w:rPr>
                <w:rStyle w:val="hps"/>
                <w:b/>
                <w:sz w:val="18"/>
                <w:szCs w:val="18"/>
                <w:lang w:val="id-ID"/>
              </w:rPr>
            </w:pPr>
            <w:r w:rsidRPr="00C662A8">
              <w:rPr>
                <w:rStyle w:val="hps"/>
                <w:b/>
                <w:sz w:val="18"/>
                <w:szCs w:val="18"/>
                <w:lang w:val="id-ID"/>
              </w:rPr>
              <w:t>PT Sejahtera Abadi Solusi (“SAS”)</w:t>
            </w:r>
          </w:p>
        </w:tc>
        <w:tc>
          <w:tcPr>
            <w:tcW w:w="4589" w:type="dxa"/>
          </w:tcPr>
          <w:p w14:paraId="4966C1FF" w14:textId="0F5C85B8" w:rsidR="00532A65" w:rsidRPr="00C662A8" w:rsidRDefault="00FE6D82" w:rsidP="00532A65">
            <w:pPr>
              <w:ind w:left="567" w:right="-57"/>
              <w:jc w:val="both"/>
              <w:rPr>
                <w:i/>
                <w:sz w:val="18"/>
                <w:szCs w:val="18"/>
              </w:rPr>
            </w:pPr>
            <w:r w:rsidRPr="00C662A8">
              <w:rPr>
                <w:rStyle w:val="hps"/>
                <w:b/>
                <w:i/>
                <w:sz w:val="18"/>
                <w:szCs w:val="18"/>
                <w:lang w:val="id-ID"/>
              </w:rPr>
              <w:t>PT Sejahtera Abadi Solusi (“SAS”)</w:t>
            </w:r>
          </w:p>
        </w:tc>
      </w:tr>
      <w:tr w:rsidR="00532A65" w:rsidRPr="00C662A8" w14:paraId="11FE7979" w14:textId="77777777" w:rsidTr="00FD6F02">
        <w:trPr>
          <w:gridAfter w:val="1"/>
          <w:wAfter w:w="12" w:type="dxa"/>
        </w:trPr>
        <w:tc>
          <w:tcPr>
            <w:tcW w:w="4596" w:type="dxa"/>
          </w:tcPr>
          <w:p w14:paraId="0C22AAEC" w14:textId="77777777" w:rsidR="00532A65" w:rsidRPr="00C662A8" w:rsidRDefault="00532A65" w:rsidP="00532A65">
            <w:pPr>
              <w:ind w:left="567" w:right="-57"/>
              <w:jc w:val="both"/>
              <w:rPr>
                <w:rStyle w:val="hps"/>
                <w:sz w:val="18"/>
                <w:szCs w:val="18"/>
              </w:rPr>
            </w:pPr>
          </w:p>
        </w:tc>
        <w:tc>
          <w:tcPr>
            <w:tcW w:w="4589" w:type="dxa"/>
          </w:tcPr>
          <w:p w14:paraId="2903CDE4" w14:textId="77777777" w:rsidR="00532A65" w:rsidRPr="00C662A8" w:rsidRDefault="00532A65" w:rsidP="00532A65">
            <w:pPr>
              <w:ind w:left="567" w:right="-57"/>
              <w:jc w:val="both"/>
              <w:rPr>
                <w:i/>
                <w:sz w:val="18"/>
                <w:szCs w:val="18"/>
              </w:rPr>
            </w:pPr>
          </w:p>
        </w:tc>
      </w:tr>
      <w:tr w:rsidR="00532A65" w:rsidRPr="00C662A8" w14:paraId="6192BC95" w14:textId="77777777" w:rsidTr="00FD6F02">
        <w:trPr>
          <w:gridAfter w:val="1"/>
          <w:wAfter w:w="12" w:type="dxa"/>
        </w:trPr>
        <w:tc>
          <w:tcPr>
            <w:tcW w:w="4596" w:type="dxa"/>
          </w:tcPr>
          <w:p w14:paraId="6A86E208" w14:textId="309650AE" w:rsidR="00532A65" w:rsidRPr="00C662A8" w:rsidRDefault="00FE6D82" w:rsidP="009E1937">
            <w:pPr>
              <w:ind w:left="567" w:right="-57"/>
              <w:jc w:val="both"/>
              <w:rPr>
                <w:rStyle w:val="hps"/>
                <w:sz w:val="18"/>
                <w:szCs w:val="18"/>
              </w:rPr>
            </w:pPr>
            <w:r w:rsidRPr="00C662A8">
              <w:rPr>
                <w:rStyle w:val="hps"/>
                <w:sz w:val="18"/>
                <w:szCs w:val="18"/>
              </w:rPr>
              <w:t>Berdasarkan Akta Notaris dari notaris</w:t>
            </w:r>
            <w:r w:rsidRPr="00C662A8">
              <w:rPr>
                <w:rStyle w:val="hps"/>
                <w:sz w:val="18"/>
                <w:szCs w:val="18"/>
                <w:lang w:val="id-ID"/>
              </w:rPr>
              <w:t xml:space="preserve"> </w:t>
            </w:r>
            <w:r w:rsidRPr="00C662A8">
              <w:rPr>
                <w:rStyle w:val="hps"/>
                <w:sz w:val="18"/>
                <w:szCs w:val="18"/>
              </w:rPr>
              <w:t>Buntario Tigris</w:t>
            </w:r>
            <w:r w:rsidR="00DA069B">
              <w:rPr>
                <w:rStyle w:val="hps"/>
                <w:sz w:val="18"/>
                <w:szCs w:val="18"/>
              </w:rPr>
              <w:t>,</w:t>
            </w:r>
            <w:r w:rsidRPr="00C662A8">
              <w:rPr>
                <w:rStyle w:val="hps"/>
                <w:sz w:val="18"/>
                <w:szCs w:val="18"/>
              </w:rPr>
              <w:t xml:space="preserve"> S.H.</w:t>
            </w:r>
            <w:r w:rsidR="00DA069B">
              <w:rPr>
                <w:rStyle w:val="hps"/>
                <w:sz w:val="18"/>
                <w:szCs w:val="18"/>
              </w:rPr>
              <w:t>,</w:t>
            </w:r>
            <w:r w:rsidRPr="00C662A8">
              <w:rPr>
                <w:rStyle w:val="hps"/>
                <w:sz w:val="18"/>
                <w:szCs w:val="18"/>
              </w:rPr>
              <w:t xml:space="preserve"> S.E.</w:t>
            </w:r>
            <w:r w:rsidR="00DA069B">
              <w:rPr>
                <w:rStyle w:val="hps"/>
                <w:sz w:val="18"/>
                <w:szCs w:val="18"/>
              </w:rPr>
              <w:t>,</w:t>
            </w:r>
            <w:r w:rsidRPr="00C662A8">
              <w:rPr>
                <w:rStyle w:val="hps"/>
                <w:sz w:val="18"/>
                <w:szCs w:val="18"/>
              </w:rPr>
              <w:t xml:space="preserve"> M.H.</w:t>
            </w:r>
            <w:r w:rsidR="00DA069B">
              <w:rPr>
                <w:rStyle w:val="hps"/>
                <w:sz w:val="18"/>
                <w:szCs w:val="18"/>
              </w:rPr>
              <w:t>,</w:t>
            </w:r>
            <w:r w:rsidRPr="00C662A8">
              <w:rPr>
                <w:rStyle w:val="hps"/>
                <w:sz w:val="18"/>
                <w:szCs w:val="18"/>
              </w:rPr>
              <w:t xml:space="preserve"> No. 73 tanggal</w:t>
            </w:r>
            <w:r w:rsidRPr="00C662A8">
              <w:rPr>
                <w:rStyle w:val="hps"/>
                <w:sz w:val="18"/>
                <w:szCs w:val="18"/>
                <w:lang w:val="id-ID"/>
              </w:rPr>
              <w:t xml:space="preserve"> </w:t>
            </w:r>
            <w:r w:rsidRPr="00C662A8">
              <w:rPr>
                <w:rStyle w:val="hps"/>
                <w:sz w:val="18"/>
                <w:szCs w:val="18"/>
              </w:rPr>
              <w:t>20 April 2015</w:t>
            </w:r>
            <w:r w:rsidR="009E1937">
              <w:rPr>
                <w:rStyle w:val="hps"/>
                <w:sz w:val="18"/>
                <w:szCs w:val="18"/>
              </w:rPr>
              <w:t>,</w:t>
            </w:r>
            <w:r w:rsidRPr="00C662A8">
              <w:rPr>
                <w:rStyle w:val="hps"/>
                <w:sz w:val="18"/>
                <w:szCs w:val="18"/>
              </w:rPr>
              <w:t xml:space="preserve"> Perusahaan dan Jonathan Tahir mendirikan SAS</w:t>
            </w:r>
            <w:r w:rsidR="009E1937">
              <w:rPr>
                <w:rStyle w:val="hps"/>
                <w:sz w:val="18"/>
                <w:szCs w:val="18"/>
              </w:rPr>
              <w:t>,</w:t>
            </w:r>
            <w:r w:rsidRPr="00C662A8">
              <w:rPr>
                <w:rStyle w:val="hps"/>
                <w:sz w:val="18"/>
                <w:szCs w:val="18"/>
              </w:rPr>
              <w:t xml:space="preserve"> dengan kepemilikan saham Perusahaan pada SAS adalah sebesar Rp</w:t>
            </w:r>
            <w:r w:rsidR="001877C0">
              <w:rPr>
                <w:rStyle w:val="hps"/>
                <w:sz w:val="18"/>
                <w:szCs w:val="18"/>
              </w:rPr>
              <w:t xml:space="preserve"> </w:t>
            </w:r>
            <w:r w:rsidRPr="00C662A8">
              <w:rPr>
                <w:rStyle w:val="hps"/>
                <w:sz w:val="18"/>
                <w:szCs w:val="18"/>
              </w:rPr>
              <w:t>990.000.000  atau  99%  dari  modal ditempatkan dan disetor penuh.</w:t>
            </w:r>
          </w:p>
        </w:tc>
        <w:tc>
          <w:tcPr>
            <w:tcW w:w="4589" w:type="dxa"/>
          </w:tcPr>
          <w:p w14:paraId="539A4D42" w14:textId="18B54955" w:rsidR="00532A65" w:rsidRPr="00C662A8" w:rsidRDefault="00FE6D82" w:rsidP="00A66303">
            <w:pPr>
              <w:ind w:left="567" w:right="-57"/>
              <w:jc w:val="both"/>
              <w:rPr>
                <w:i/>
                <w:sz w:val="18"/>
                <w:szCs w:val="18"/>
              </w:rPr>
            </w:pPr>
            <w:r w:rsidRPr="00C662A8">
              <w:rPr>
                <w:i/>
                <w:sz w:val="18"/>
                <w:szCs w:val="18"/>
              </w:rPr>
              <w:t>Based on Notarial Deed of notary</w:t>
            </w:r>
            <w:r w:rsidRPr="00C662A8">
              <w:rPr>
                <w:i/>
                <w:sz w:val="18"/>
                <w:szCs w:val="18"/>
                <w:lang w:val="id-ID"/>
              </w:rPr>
              <w:t xml:space="preserve"> </w:t>
            </w:r>
            <w:r w:rsidRPr="00C662A8">
              <w:rPr>
                <w:i/>
                <w:sz w:val="18"/>
                <w:szCs w:val="18"/>
              </w:rPr>
              <w:t>Buntario Tigris</w:t>
            </w:r>
            <w:r w:rsidR="00A66303">
              <w:rPr>
                <w:i/>
                <w:sz w:val="18"/>
                <w:szCs w:val="18"/>
              </w:rPr>
              <w:t>,</w:t>
            </w:r>
            <w:r w:rsidRPr="00C662A8">
              <w:rPr>
                <w:i/>
                <w:sz w:val="18"/>
                <w:szCs w:val="18"/>
              </w:rPr>
              <w:t xml:space="preserve"> S.H.</w:t>
            </w:r>
            <w:r w:rsidR="00A66303">
              <w:rPr>
                <w:i/>
                <w:sz w:val="18"/>
                <w:szCs w:val="18"/>
              </w:rPr>
              <w:t>,</w:t>
            </w:r>
            <w:r w:rsidRPr="00C662A8">
              <w:rPr>
                <w:i/>
                <w:sz w:val="18"/>
                <w:szCs w:val="18"/>
              </w:rPr>
              <w:t xml:space="preserve"> S.E.</w:t>
            </w:r>
            <w:r w:rsidR="00A66303">
              <w:rPr>
                <w:i/>
                <w:sz w:val="18"/>
                <w:szCs w:val="18"/>
              </w:rPr>
              <w:t>,</w:t>
            </w:r>
            <w:r w:rsidRPr="00C662A8">
              <w:rPr>
                <w:i/>
                <w:sz w:val="18"/>
                <w:szCs w:val="18"/>
              </w:rPr>
              <w:t xml:space="preserve"> M.H.</w:t>
            </w:r>
            <w:r w:rsidR="00A66303">
              <w:rPr>
                <w:i/>
                <w:sz w:val="18"/>
                <w:szCs w:val="18"/>
              </w:rPr>
              <w:t>,</w:t>
            </w:r>
            <w:r w:rsidRPr="00C662A8">
              <w:rPr>
                <w:i/>
                <w:sz w:val="18"/>
                <w:szCs w:val="18"/>
              </w:rPr>
              <w:t xml:space="preserve"> No. 73 dated April  20</w:t>
            </w:r>
            <w:r w:rsidR="00A66303">
              <w:rPr>
                <w:i/>
                <w:sz w:val="18"/>
                <w:szCs w:val="18"/>
              </w:rPr>
              <w:t>,</w:t>
            </w:r>
            <w:r w:rsidRPr="00C662A8">
              <w:rPr>
                <w:i/>
                <w:sz w:val="18"/>
                <w:szCs w:val="18"/>
              </w:rPr>
              <w:t xml:space="preserve">  2015</w:t>
            </w:r>
            <w:r w:rsidR="00A66303">
              <w:rPr>
                <w:i/>
                <w:sz w:val="18"/>
                <w:szCs w:val="18"/>
              </w:rPr>
              <w:t>,</w:t>
            </w:r>
            <w:r w:rsidRPr="00C662A8">
              <w:rPr>
                <w:i/>
                <w:sz w:val="18"/>
                <w:szCs w:val="18"/>
              </w:rPr>
              <w:t xml:space="preserve">  the  Company  and  Jonathan Tahir  established  SAS</w:t>
            </w:r>
            <w:r w:rsidR="00A66303">
              <w:rPr>
                <w:i/>
                <w:sz w:val="18"/>
                <w:szCs w:val="18"/>
              </w:rPr>
              <w:t>,</w:t>
            </w:r>
            <w:r w:rsidRPr="00C662A8">
              <w:rPr>
                <w:i/>
                <w:sz w:val="18"/>
                <w:szCs w:val="18"/>
              </w:rPr>
              <w:t xml:space="preserve">  with  percentage  of ownership of the Company in SAS amounting Rp</w:t>
            </w:r>
            <w:r w:rsidR="001877C0">
              <w:rPr>
                <w:i/>
                <w:sz w:val="18"/>
                <w:szCs w:val="18"/>
              </w:rPr>
              <w:t xml:space="preserve"> </w:t>
            </w:r>
            <w:r w:rsidRPr="00C662A8">
              <w:rPr>
                <w:i/>
                <w:sz w:val="18"/>
                <w:szCs w:val="18"/>
              </w:rPr>
              <w:t>990</w:t>
            </w:r>
            <w:r w:rsidR="00A66303">
              <w:rPr>
                <w:i/>
                <w:sz w:val="18"/>
                <w:szCs w:val="18"/>
              </w:rPr>
              <w:t>,</w:t>
            </w:r>
            <w:r w:rsidRPr="00C662A8">
              <w:rPr>
                <w:i/>
                <w:sz w:val="18"/>
                <w:szCs w:val="18"/>
              </w:rPr>
              <w:t>000</w:t>
            </w:r>
            <w:r w:rsidR="00A66303">
              <w:rPr>
                <w:i/>
                <w:sz w:val="18"/>
                <w:szCs w:val="18"/>
              </w:rPr>
              <w:t>,</w:t>
            </w:r>
            <w:r w:rsidRPr="00C662A8">
              <w:rPr>
                <w:i/>
                <w:sz w:val="18"/>
                <w:szCs w:val="18"/>
              </w:rPr>
              <w:t>000 or 99% from its issued and fully paid capital.</w:t>
            </w:r>
          </w:p>
        </w:tc>
      </w:tr>
      <w:tr w:rsidR="00532A65" w:rsidRPr="00C662A8" w14:paraId="5515354B" w14:textId="77777777" w:rsidTr="00FD6F02">
        <w:trPr>
          <w:gridAfter w:val="1"/>
          <w:wAfter w:w="12" w:type="dxa"/>
        </w:trPr>
        <w:tc>
          <w:tcPr>
            <w:tcW w:w="4596" w:type="dxa"/>
          </w:tcPr>
          <w:p w14:paraId="555997A3" w14:textId="77777777" w:rsidR="00532A65" w:rsidRPr="00C662A8" w:rsidRDefault="00532A65" w:rsidP="00532A65">
            <w:pPr>
              <w:ind w:left="567" w:right="-57"/>
              <w:jc w:val="both"/>
              <w:rPr>
                <w:rStyle w:val="hps"/>
                <w:sz w:val="18"/>
                <w:szCs w:val="18"/>
              </w:rPr>
            </w:pPr>
          </w:p>
        </w:tc>
        <w:tc>
          <w:tcPr>
            <w:tcW w:w="4589" w:type="dxa"/>
          </w:tcPr>
          <w:p w14:paraId="691B3D8D" w14:textId="77777777" w:rsidR="00532A65" w:rsidRPr="00C662A8" w:rsidRDefault="00532A65" w:rsidP="00532A65">
            <w:pPr>
              <w:ind w:left="567" w:right="-57"/>
              <w:jc w:val="both"/>
              <w:rPr>
                <w:i/>
                <w:sz w:val="18"/>
                <w:szCs w:val="18"/>
              </w:rPr>
            </w:pPr>
          </w:p>
        </w:tc>
      </w:tr>
      <w:tr w:rsidR="00FE6D82" w:rsidRPr="00C662A8" w14:paraId="11EBECCE" w14:textId="77777777" w:rsidTr="00FD6F02">
        <w:trPr>
          <w:gridAfter w:val="1"/>
          <w:wAfter w:w="12" w:type="dxa"/>
        </w:trPr>
        <w:tc>
          <w:tcPr>
            <w:tcW w:w="4596" w:type="dxa"/>
          </w:tcPr>
          <w:p w14:paraId="41FE8F7C" w14:textId="36E61325" w:rsidR="00FE6D82" w:rsidRPr="00C662A8" w:rsidRDefault="00FE6D82" w:rsidP="00A66303">
            <w:pPr>
              <w:ind w:left="567" w:right="-57"/>
              <w:jc w:val="both"/>
              <w:rPr>
                <w:rStyle w:val="hps"/>
                <w:sz w:val="18"/>
                <w:szCs w:val="18"/>
              </w:rPr>
            </w:pPr>
            <w:r w:rsidRPr="00C662A8">
              <w:rPr>
                <w:rStyle w:val="hps"/>
                <w:sz w:val="18"/>
                <w:szCs w:val="18"/>
              </w:rPr>
              <w:t>Berdasarkan Pernyataan Keputusan Pemegang Saham SAS pada tanggal 4 Agustus 2016 yang tercantum   dalam   Akta   Notaris   dari   notaris Buntario Tigris</w:t>
            </w:r>
            <w:r w:rsidR="00A66303">
              <w:rPr>
                <w:rStyle w:val="hps"/>
                <w:sz w:val="18"/>
                <w:szCs w:val="18"/>
              </w:rPr>
              <w:t>,</w:t>
            </w:r>
            <w:r w:rsidRPr="00C662A8">
              <w:rPr>
                <w:rStyle w:val="hps"/>
                <w:sz w:val="18"/>
                <w:szCs w:val="18"/>
              </w:rPr>
              <w:t xml:space="preserve"> S.H.</w:t>
            </w:r>
            <w:r w:rsidR="00A66303">
              <w:rPr>
                <w:rStyle w:val="hps"/>
                <w:sz w:val="18"/>
                <w:szCs w:val="18"/>
              </w:rPr>
              <w:t>,</w:t>
            </w:r>
            <w:r w:rsidRPr="00C662A8">
              <w:rPr>
                <w:rStyle w:val="hps"/>
                <w:sz w:val="18"/>
                <w:szCs w:val="18"/>
              </w:rPr>
              <w:t xml:space="preserve"> S.E.</w:t>
            </w:r>
            <w:r w:rsidR="00A66303">
              <w:rPr>
                <w:rStyle w:val="hps"/>
                <w:sz w:val="18"/>
                <w:szCs w:val="18"/>
              </w:rPr>
              <w:t>,</w:t>
            </w:r>
            <w:r w:rsidRPr="00C662A8">
              <w:rPr>
                <w:rStyle w:val="hps"/>
                <w:sz w:val="18"/>
                <w:szCs w:val="18"/>
              </w:rPr>
              <w:t xml:space="preserve"> M.H.</w:t>
            </w:r>
            <w:r w:rsidR="00A66303">
              <w:rPr>
                <w:rStyle w:val="hps"/>
                <w:sz w:val="18"/>
                <w:szCs w:val="18"/>
              </w:rPr>
              <w:t>,</w:t>
            </w:r>
            <w:r w:rsidRPr="00C662A8">
              <w:rPr>
                <w:rStyle w:val="hps"/>
                <w:sz w:val="18"/>
                <w:szCs w:val="18"/>
              </w:rPr>
              <w:t xml:space="preserve"> SAS meningkatkan modal dasar sebesar Rp</w:t>
            </w:r>
            <w:r w:rsidR="001877C0">
              <w:rPr>
                <w:rStyle w:val="hps"/>
                <w:sz w:val="18"/>
                <w:szCs w:val="18"/>
              </w:rPr>
              <w:t xml:space="preserve"> </w:t>
            </w:r>
            <w:r w:rsidRPr="00C662A8">
              <w:rPr>
                <w:rStyle w:val="hps"/>
                <w:sz w:val="18"/>
                <w:szCs w:val="18"/>
              </w:rPr>
              <w:t>4.000.000.000 menjadi sebesar</w:t>
            </w:r>
            <w:r w:rsidR="001877C0">
              <w:rPr>
                <w:rStyle w:val="hps"/>
                <w:sz w:val="18"/>
                <w:szCs w:val="18"/>
              </w:rPr>
              <w:br/>
            </w:r>
            <w:r w:rsidRPr="00C662A8">
              <w:rPr>
                <w:rStyle w:val="hps"/>
                <w:sz w:val="18"/>
                <w:szCs w:val="18"/>
              </w:rPr>
              <w:t>Rp</w:t>
            </w:r>
            <w:r w:rsidR="001877C0">
              <w:rPr>
                <w:rStyle w:val="hps"/>
                <w:sz w:val="18"/>
                <w:szCs w:val="18"/>
              </w:rPr>
              <w:t xml:space="preserve"> </w:t>
            </w:r>
            <w:r w:rsidRPr="00C662A8">
              <w:rPr>
                <w:rStyle w:val="hps"/>
                <w:sz w:val="18"/>
                <w:szCs w:val="18"/>
              </w:rPr>
              <w:t>700.000.000.000</w:t>
            </w:r>
            <w:r w:rsidR="00A66303">
              <w:rPr>
                <w:rStyle w:val="hps"/>
                <w:sz w:val="18"/>
                <w:szCs w:val="18"/>
              </w:rPr>
              <w:t>,</w:t>
            </w:r>
            <w:r w:rsidRPr="00C662A8">
              <w:rPr>
                <w:rStyle w:val="hps"/>
                <w:sz w:val="18"/>
                <w:szCs w:val="18"/>
              </w:rPr>
              <w:t xml:space="preserve"> serta meningkatkan modal ditempatkan dan disetor semula sebesar </w:t>
            </w:r>
            <w:r w:rsidR="001877C0">
              <w:rPr>
                <w:rStyle w:val="hps"/>
                <w:sz w:val="18"/>
                <w:szCs w:val="18"/>
              </w:rPr>
              <w:br/>
            </w:r>
            <w:r w:rsidRPr="00C662A8">
              <w:rPr>
                <w:rStyle w:val="hps"/>
                <w:sz w:val="18"/>
                <w:szCs w:val="18"/>
              </w:rPr>
              <w:t>Rp</w:t>
            </w:r>
            <w:r w:rsidR="001877C0">
              <w:rPr>
                <w:rStyle w:val="hps"/>
                <w:sz w:val="18"/>
                <w:szCs w:val="18"/>
              </w:rPr>
              <w:t xml:space="preserve"> </w:t>
            </w:r>
            <w:r w:rsidRPr="00C662A8">
              <w:rPr>
                <w:rStyle w:val="hps"/>
                <w:sz w:val="18"/>
                <w:szCs w:val="18"/>
              </w:rPr>
              <w:t xml:space="preserve">1.000.000.000 menjadi sebesar </w:t>
            </w:r>
            <w:r w:rsidR="001877C0">
              <w:rPr>
                <w:rStyle w:val="hps"/>
                <w:sz w:val="18"/>
                <w:szCs w:val="18"/>
              </w:rPr>
              <w:br/>
            </w:r>
            <w:r w:rsidRPr="00C662A8">
              <w:rPr>
                <w:rStyle w:val="hps"/>
                <w:sz w:val="18"/>
                <w:szCs w:val="18"/>
              </w:rPr>
              <w:t>Rp</w:t>
            </w:r>
            <w:r w:rsidR="001877C0">
              <w:rPr>
                <w:rStyle w:val="hps"/>
                <w:sz w:val="18"/>
                <w:szCs w:val="18"/>
              </w:rPr>
              <w:t xml:space="preserve"> </w:t>
            </w:r>
            <w:r w:rsidRPr="00C662A8">
              <w:rPr>
                <w:rStyle w:val="hps"/>
                <w:sz w:val="18"/>
                <w:szCs w:val="18"/>
              </w:rPr>
              <w:t xml:space="preserve">187.500.000.000. Peningkatan modal disetor </w:t>
            </w:r>
            <w:proofErr w:type="gramStart"/>
            <w:r w:rsidRPr="00C662A8">
              <w:rPr>
                <w:rStyle w:val="hps"/>
                <w:sz w:val="18"/>
                <w:szCs w:val="18"/>
              </w:rPr>
              <w:t>tersebut  seluruhnya</w:t>
            </w:r>
            <w:proofErr w:type="gramEnd"/>
            <w:r w:rsidRPr="00C662A8">
              <w:rPr>
                <w:rStyle w:val="hps"/>
                <w:sz w:val="18"/>
                <w:szCs w:val="18"/>
              </w:rPr>
              <w:t xml:space="preserve">  diambil  oleh  perusahaan.</w:t>
            </w:r>
          </w:p>
        </w:tc>
        <w:tc>
          <w:tcPr>
            <w:tcW w:w="4589" w:type="dxa"/>
          </w:tcPr>
          <w:p w14:paraId="5DD3658E" w14:textId="5A7AA51C" w:rsidR="00FE6D82" w:rsidRPr="00C662A8" w:rsidRDefault="00FE6D82" w:rsidP="00A66303">
            <w:pPr>
              <w:ind w:left="567" w:right="-57"/>
              <w:jc w:val="both"/>
              <w:rPr>
                <w:i/>
                <w:sz w:val="18"/>
                <w:szCs w:val="18"/>
              </w:rPr>
            </w:pPr>
            <w:r w:rsidRPr="00C662A8">
              <w:rPr>
                <w:i/>
                <w:sz w:val="18"/>
                <w:szCs w:val="18"/>
              </w:rPr>
              <w:t>Based on the Statement of Shareholders Decision on August 4</w:t>
            </w:r>
            <w:r w:rsidR="00A66303">
              <w:rPr>
                <w:i/>
                <w:sz w:val="18"/>
                <w:szCs w:val="18"/>
              </w:rPr>
              <w:t>,</w:t>
            </w:r>
            <w:r w:rsidRPr="00C662A8">
              <w:rPr>
                <w:i/>
                <w:sz w:val="18"/>
                <w:szCs w:val="18"/>
              </w:rPr>
              <w:t xml:space="preserve"> 2016 as sated in Notarial Deed of notary Buntario Tigris</w:t>
            </w:r>
            <w:r w:rsidR="00A66303">
              <w:rPr>
                <w:i/>
                <w:sz w:val="18"/>
                <w:szCs w:val="18"/>
              </w:rPr>
              <w:t>,</w:t>
            </w:r>
            <w:r w:rsidRPr="00C662A8">
              <w:rPr>
                <w:i/>
                <w:sz w:val="18"/>
                <w:szCs w:val="18"/>
              </w:rPr>
              <w:t xml:space="preserve"> S.H.</w:t>
            </w:r>
            <w:r w:rsidR="00A66303">
              <w:rPr>
                <w:i/>
                <w:sz w:val="18"/>
                <w:szCs w:val="18"/>
              </w:rPr>
              <w:t>,</w:t>
            </w:r>
            <w:r w:rsidRPr="00C662A8">
              <w:rPr>
                <w:i/>
                <w:sz w:val="18"/>
                <w:szCs w:val="18"/>
              </w:rPr>
              <w:t xml:space="preserve"> S.E.</w:t>
            </w:r>
            <w:r w:rsidR="00A66303">
              <w:rPr>
                <w:i/>
                <w:sz w:val="18"/>
                <w:szCs w:val="18"/>
              </w:rPr>
              <w:t>,</w:t>
            </w:r>
            <w:r w:rsidRPr="00C662A8">
              <w:rPr>
                <w:i/>
                <w:sz w:val="18"/>
                <w:szCs w:val="18"/>
              </w:rPr>
              <w:t xml:space="preserve"> M.H.</w:t>
            </w:r>
            <w:r w:rsidR="00A66303">
              <w:rPr>
                <w:i/>
                <w:sz w:val="18"/>
                <w:szCs w:val="18"/>
              </w:rPr>
              <w:t>,</w:t>
            </w:r>
            <w:r w:rsidRPr="00C662A8">
              <w:rPr>
                <w:i/>
                <w:sz w:val="18"/>
                <w:szCs w:val="18"/>
              </w:rPr>
              <w:t xml:space="preserve"> SAS increasing its authorized capital amounting Rp</w:t>
            </w:r>
            <w:r w:rsidR="001877C0">
              <w:rPr>
                <w:i/>
                <w:sz w:val="18"/>
                <w:szCs w:val="18"/>
              </w:rPr>
              <w:t xml:space="preserve"> </w:t>
            </w:r>
            <w:r w:rsidRPr="00C662A8">
              <w:rPr>
                <w:i/>
                <w:sz w:val="18"/>
                <w:szCs w:val="18"/>
              </w:rPr>
              <w:t>4</w:t>
            </w:r>
            <w:r w:rsidR="00A66303">
              <w:rPr>
                <w:i/>
                <w:sz w:val="18"/>
                <w:szCs w:val="18"/>
              </w:rPr>
              <w:t>,</w:t>
            </w:r>
            <w:r w:rsidRPr="00C662A8">
              <w:rPr>
                <w:i/>
                <w:sz w:val="18"/>
                <w:szCs w:val="18"/>
              </w:rPr>
              <w:t>000</w:t>
            </w:r>
            <w:r w:rsidR="00A66303">
              <w:rPr>
                <w:i/>
                <w:sz w:val="18"/>
                <w:szCs w:val="18"/>
              </w:rPr>
              <w:t>,</w:t>
            </w:r>
            <w:r w:rsidRPr="00C662A8">
              <w:rPr>
                <w:i/>
                <w:sz w:val="18"/>
                <w:szCs w:val="18"/>
              </w:rPr>
              <w:t>000</w:t>
            </w:r>
            <w:r w:rsidR="00A66303">
              <w:rPr>
                <w:i/>
                <w:sz w:val="18"/>
                <w:szCs w:val="18"/>
              </w:rPr>
              <w:t>,</w:t>
            </w:r>
            <w:r w:rsidRPr="00C662A8">
              <w:rPr>
                <w:i/>
                <w:sz w:val="18"/>
                <w:szCs w:val="18"/>
              </w:rPr>
              <w:t xml:space="preserve">000 to </w:t>
            </w:r>
            <w:r w:rsidR="001877C0">
              <w:rPr>
                <w:i/>
                <w:sz w:val="18"/>
                <w:szCs w:val="18"/>
              </w:rPr>
              <w:br/>
            </w:r>
            <w:r w:rsidRPr="00C662A8">
              <w:rPr>
                <w:i/>
                <w:sz w:val="18"/>
                <w:szCs w:val="18"/>
              </w:rPr>
              <w:t>Rp</w:t>
            </w:r>
            <w:r w:rsidR="001877C0">
              <w:rPr>
                <w:i/>
                <w:sz w:val="18"/>
                <w:szCs w:val="18"/>
              </w:rPr>
              <w:t xml:space="preserve"> </w:t>
            </w:r>
            <w:r w:rsidRPr="00C662A8">
              <w:rPr>
                <w:i/>
                <w:sz w:val="18"/>
                <w:szCs w:val="18"/>
              </w:rPr>
              <w:t>700</w:t>
            </w:r>
            <w:r w:rsidR="00A66303">
              <w:rPr>
                <w:i/>
                <w:sz w:val="18"/>
                <w:szCs w:val="18"/>
              </w:rPr>
              <w:t>,</w:t>
            </w:r>
            <w:r w:rsidRPr="00C662A8">
              <w:rPr>
                <w:i/>
                <w:sz w:val="18"/>
                <w:szCs w:val="18"/>
              </w:rPr>
              <w:t>000</w:t>
            </w:r>
            <w:r w:rsidR="00A66303">
              <w:rPr>
                <w:i/>
                <w:sz w:val="18"/>
                <w:szCs w:val="18"/>
              </w:rPr>
              <w:t>,</w:t>
            </w:r>
            <w:r w:rsidRPr="00C662A8">
              <w:rPr>
                <w:i/>
                <w:sz w:val="18"/>
                <w:szCs w:val="18"/>
              </w:rPr>
              <w:t>000</w:t>
            </w:r>
            <w:r w:rsidR="00A66303">
              <w:rPr>
                <w:i/>
                <w:sz w:val="18"/>
                <w:szCs w:val="18"/>
              </w:rPr>
              <w:t>,</w:t>
            </w:r>
            <w:r w:rsidRPr="00C662A8">
              <w:rPr>
                <w:i/>
                <w:sz w:val="18"/>
                <w:szCs w:val="18"/>
              </w:rPr>
              <w:t>000</w:t>
            </w:r>
            <w:r w:rsidR="00A66303">
              <w:rPr>
                <w:i/>
                <w:sz w:val="18"/>
                <w:szCs w:val="18"/>
              </w:rPr>
              <w:t>,</w:t>
            </w:r>
            <w:r w:rsidRPr="00C662A8">
              <w:rPr>
                <w:i/>
                <w:sz w:val="18"/>
                <w:szCs w:val="18"/>
              </w:rPr>
              <w:t xml:space="preserve"> also increasing its issued and fully paid capital from Rp</w:t>
            </w:r>
            <w:r w:rsidR="001877C0">
              <w:rPr>
                <w:i/>
                <w:sz w:val="18"/>
                <w:szCs w:val="18"/>
              </w:rPr>
              <w:t xml:space="preserve"> </w:t>
            </w:r>
            <w:r w:rsidRPr="00C662A8">
              <w:rPr>
                <w:i/>
                <w:sz w:val="18"/>
                <w:szCs w:val="18"/>
              </w:rPr>
              <w:t>1</w:t>
            </w:r>
            <w:r w:rsidR="00A66303">
              <w:rPr>
                <w:i/>
                <w:sz w:val="18"/>
                <w:szCs w:val="18"/>
              </w:rPr>
              <w:t>,</w:t>
            </w:r>
            <w:r w:rsidRPr="00C662A8">
              <w:rPr>
                <w:i/>
                <w:sz w:val="18"/>
                <w:szCs w:val="18"/>
              </w:rPr>
              <w:t>000</w:t>
            </w:r>
            <w:r w:rsidR="00A66303">
              <w:rPr>
                <w:i/>
                <w:sz w:val="18"/>
                <w:szCs w:val="18"/>
              </w:rPr>
              <w:t>,</w:t>
            </w:r>
            <w:r w:rsidRPr="00C662A8">
              <w:rPr>
                <w:i/>
                <w:sz w:val="18"/>
                <w:szCs w:val="18"/>
              </w:rPr>
              <w:t>000</w:t>
            </w:r>
            <w:r w:rsidR="00A66303">
              <w:rPr>
                <w:i/>
                <w:sz w:val="18"/>
                <w:szCs w:val="18"/>
              </w:rPr>
              <w:t>,</w:t>
            </w:r>
            <w:r w:rsidRPr="00C662A8">
              <w:rPr>
                <w:i/>
                <w:sz w:val="18"/>
                <w:szCs w:val="18"/>
              </w:rPr>
              <w:t xml:space="preserve">000 to </w:t>
            </w:r>
            <w:r w:rsidR="001877C0">
              <w:rPr>
                <w:i/>
                <w:sz w:val="18"/>
                <w:szCs w:val="18"/>
              </w:rPr>
              <w:br/>
            </w:r>
            <w:r w:rsidRPr="00C662A8">
              <w:rPr>
                <w:i/>
                <w:sz w:val="18"/>
                <w:szCs w:val="18"/>
              </w:rPr>
              <w:t>Rp</w:t>
            </w:r>
            <w:r w:rsidR="001877C0">
              <w:rPr>
                <w:i/>
                <w:sz w:val="18"/>
                <w:szCs w:val="18"/>
              </w:rPr>
              <w:t xml:space="preserve"> </w:t>
            </w:r>
            <w:r w:rsidRPr="00C662A8">
              <w:rPr>
                <w:i/>
                <w:sz w:val="18"/>
                <w:szCs w:val="18"/>
              </w:rPr>
              <w:t>187</w:t>
            </w:r>
            <w:r w:rsidR="00A66303">
              <w:rPr>
                <w:i/>
                <w:sz w:val="18"/>
                <w:szCs w:val="18"/>
              </w:rPr>
              <w:t>,</w:t>
            </w:r>
            <w:r w:rsidRPr="00C662A8">
              <w:rPr>
                <w:i/>
                <w:sz w:val="18"/>
                <w:szCs w:val="18"/>
              </w:rPr>
              <w:t>500</w:t>
            </w:r>
            <w:r w:rsidR="00A66303">
              <w:rPr>
                <w:i/>
                <w:sz w:val="18"/>
                <w:szCs w:val="18"/>
              </w:rPr>
              <w:t>,</w:t>
            </w:r>
            <w:r w:rsidRPr="00C662A8">
              <w:rPr>
                <w:i/>
                <w:sz w:val="18"/>
                <w:szCs w:val="18"/>
              </w:rPr>
              <w:t>000</w:t>
            </w:r>
            <w:r w:rsidR="00A66303">
              <w:rPr>
                <w:i/>
                <w:sz w:val="18"/>
                <w:szCs w:val="18"/>
              </w:rPr>
              <w:t>,</w:t>
            </w:r>
            <w:r w:rsidRPr="00C662A8">
              <w:rPr>
                <w:i/>
                <w:sz w:val="18"/>
                <w:szCs w:val="18"/>
              </w:rPr>
              <w:t>000</w:t>
            </w:r>
            <w:r w:rsidR="00A66303">
              <w:rPr>
                <w:i/>
                <w:sz w:val="18"/>
                <w:szCs w:val="18"/>
              </w:rPr>
              <w:t>,</w:t>
            </w:r>
            <w:r w:rsidRPr="00C662A8">
              <w:rPr>
                <w:i/>
                <w:sz w:val="18"/>
                <w:szCs w:val="18"/>
              </w:rPr>
              <w:t xml:space="preserve"> Increasing paid capital all acquired by the Company.</w:t>
            </w:r>
          </w:p>
        </w:tc>
      </w:tr>
      <w:tr w:rsidR="00FE6D82" w:rsidRPr="00C662A8" w14:paraId="62E7CEFB" w14:textId="77777777" w:rsidTr="00FD6F02">
        <w:trPr>
          <w:gridAfter w:val="1"/>
          <w:wAfter w:w="12" w:type="dxa"/>
        </w:trPr>
        <w:tc>
          <w:tcPr>
            <w:tcW w:w="4596" w:type="dxa"/>
          </w:tcPr>
          <w:p w14:paraId="00F2C71B" w14:textId="77777777" w:rsidR="00FE6D82" w:rsidRPr="00C662A8" w:rsidRDefault="00FE6D82" w:rsidP="00532A65">
            <w:pPr>
              <w:ind w:left="567" w:right="-57"/>
              <w:jc w:val="both"/>
              <w:rPr>
                <w:rStyle w:val="hps"/>
                <w:sz w:val="18"/>
                <w:szCs w:val="18"/>
              </w:rPr>
            </w:pPr>
          </w:p>
        </w:tc>
        <w:tc>
          <w:tcPr>
            <w:tcW w:w="4589" w:type="dxa"/>
          </w:tcPr>
          <w:p w14:paraId="7CCD1692" w14:textId="77777777" w:rsidR="00FE6D82" w:rsidRPr="00C662A8" w:rsidRDefault="00FE6D82" w:rsidP="00532A65">
            <w:pPr>
              <w:ind w:left="567" w:right="-57"/>
              <w:jc w:val="both"/>
              <w:rPr>
                <w:i/>
                <w:sz w:val="18"/>
                <w:szCs w:val="18"/>
              </w:rPr>
            </w:pPr>
          </w:p>
        </w:tc>
      </w:tr>
      <w:tr w:rsidR="00FD6F02" w:rsidRPr="00C662A8" w14:paraId="5CF77953" w14:textId="77777777" w:rsidTr="00FD6F02">
        <w:trPr>
          <w:gridAfter w:val="1"/>
          <w:wAfter w:w="12" w:type="dxa"/>
        </w:trPr>
        <w:tc>
          <w:tcPr>
            <w:tcW w:w="4596" w:type="dxa"/>
          </w:tcPr>
          <w:p w14:paraId="700C8D5C" w14:textId="76970E2A" w:rsidR="00FD6F02" w:rsidRPr="00C662A8" w:rsidRDefault="00FD6F02" w:rsidP="00A66303">
            <w:pPr>
              <w:ind w:left="567" w:right="-57"/>
              <w:jc w:val="both"/>
              <w:rPr>
                <w:rStyle w:val="hps"/>
                <w:sz w:val="18"/>
                <w:szCs w:val="18"/>
              </w:rPr>
            </w:pPr>
            <w:r w:rsidRPr="00FD6F02">
              <w:rPr>
                <w:rStyle w:val="hps"/>
                <w:sz w:val="18"/>
                <w:szCs w:val="18"/>
              </w:rPr>
              <w:t>Anggaran Dasar Perusahaan mengalami perubahan</w:t>
            </w:r>
            <w:r w:rsidR="00870FD0">
              <w:rPr>
                <w:rStyle w:val="hps"/>
                <w:sz w:val="18"/>
                <w:szCs w:val="18"/>
              </w:rPr>
              <w:t>.</w:t>
            </w:r>
            <w:r>
              <w:rPr>
                <w:rStyle w:val="hps"/>
                <w:sz w:val="18"/>
                <w:szCs w:val="18"/>
              </w:rPr>
              <w:t xml:space="preserve"> </w:t>
            </w:r>
            <w:r w:rsidRPr="00FD6F02">
              <w:rPr>
                <w:rStyle w:val="hps"/>
                <w:sz w:val="18"/>
                <w:szCs w:val="18"/>
              </w:rPr>
              <w:t>Perubahan Anggaran Dasar Perusahaan terakhir</w:t>
            </w:r>
            <w:r>
              <w:rPr>
                <w:rStyle w:val="hps"/>
                <w:sz w:val="18"/>
                <w:szCs w:val="18"/>
              </w:rPr>
              <w:t xml:space="preserve"> </w:t>
            </w:r>
            <w:r w:rsidRPr="00FD6F02">
              <w:rPr>
                <w:rStyle w:val="hps"/>
                <w:sz w:val="18"/>
                <w:szCs w:val="18"/>
              </w:rPr>
              <w:t>dengan akta Notaris No. 73 dari Eriko Niclaous</w:t>
            </w:r>
            <w:r>
              <w:rPr>
                <w:rStyle w:val="hps"/>
                <w:sz w:val="18"/>
                <w:szCs w:val="18"/>
              </w:rPr>
              <w:t xml:space="preserve"> </w:t>
            </w:r>
            <w:r w:rsidR="00A66303">
              <w:rPr>
                <w:rStyle w:val="hps"/>
                <w:sz w:val="18"/>
                <w:szCs w:val="18"/>
              </w:rPr>
              <w:t>Honanda,</w:t>
            </w:r>
            <w:r w:rsidRPr="00FD6F02">
              <w:rPr>
                <w:rStyle w:val="hps"/>
                <w:sz w:val="18"/>
                <w:szCs w:val="18"/>
              </w:rPr>
              <w:t xml:space="preserve"> SE.</w:t>
            </w:r>
            <w:r w:rsidR="00A66303">
              <w:rPr>
                <w:rStyle w:val="hps"/>
                <w:sz w:val="18"/>
                <w:szCs w:val="18"/>
              </w:rPr>
              <w:t>,</w:t>
            </w:r>
            <w:r w:rsidRPr="00FD6F02">
              <w:rPr>
                <w:rStyle w:val="hps"/>
                <w:sz w:val="18"/>
                <w:szCs w:val="18"/>
              </w:rPr>
              <w:t xml:space="preserve"> SH.</w:t>
            </w:r>
            <w:r w:rsidR="00A66303">
              <w:rPr>
                <w:rStyle w:val="hps"/>
                <w:sz w:val="18"/>
                <w:szCs w:val="18"/>
              </w:rPr>
              <w:t>,</w:t>
            </w:r>
            <w:r w:rsidRPr="00FD6F02">
              <w:rPr>
                <w:rStyle w:val="hps"/>
                <w:sz w:val="18"/>
                <w:szCs w:val="18"/>
              </w:rPr>
              <w:t xml:space="preserve"> MM.</w:t>
            </w:r>
            <w:r w:rsidR="00A66303">
              <w:rPr>
                <w:rStyle w:val="hps"/>
                <w:sz w:val="18"/>
                <w:szCs w:val="18"/>
              </w:rPr>
              <w:t>,</w:t>
            </w:r>
            <w:r w:rsidRPr="00FD6F02">
              <w:rPr>
                <w:rStyle w:val="hps"/>
                <w:sz w:val="18"/>
                <w:szCs w:val="18"/>
              </w:rPr>
              <w:t xml:space="preserve"> Notaris di Jakarta</w:t>
            </w:r>
            <w:r w:rsidR="00A66303">
              <w:rPr>
                <w:rStyle w:val="hps"/>
                <w:sz w:val="18"/>
                <w:szCs w:val="18"/>
              </w:rPr>
              <w:t>,</w:t>
            </w:r>
            <w:r w:rsidRPr="00FD6F02">
              <w:rPr>
                <w:rStyle w:val="hps"/>
                <w:sz w:val="18"/>
                <w:szCs w:val="18"/>
              </w:rPr>
              <w:t xml:space="preserve"> tanggal</w:t>
            </w:r>
            <w:r>
              <w:rPr>
                <w:rStyle w:val="hps"/>
                <w:sz w:val="18"/>
                <w:szCs w:val="18"/>
              </w:rPr>
              <w:t xml:space="preserve"> </w:t>
            </w:r>
            <w:r w:rsidRPr="00FD6F02">
              <w:rPr>
                <w:rStyle w:val="hps"/>
                <w:sz w:val="18"/>
                <w:szCs w:val="18"/>
              </w:rPr>
              <w:t>24 Juni 2019 mengenai perubahan anggaran dasar</w:t>
            </w:r>
            <w:r>
              <w:rPr>
                <w:rStyle w:val="hps"/>
                <w:sz w:val="18"/>
                <w:szCs w:val="18"/>
              </w:rPr>
              <w:t xml:space="preserve"> </w:t>
            </w:r>
            <w:r w:rsidRPr="00FD6F02">
              <w:rPr>
                <w:rStyle w:val="hps"/>
                <w:sz w:val="18"/>
                <w:szCs w:val="18"/>
              </w:rPr>
              <w:t>Perseroan Pasal 3</w:t>
            </w:r>
            <w:r w:rsidR="00A66303">
              <w:rPr>
                <w:rStyle w:val="hps"/>
                <w:sz w:val="18"/>
                <w:szCs w:val="18"/>
              </w:rPr>
              <w:t>,</w:t>
            </w:r>
            <w:r w:rsidRPr="00FD6F02">
              <w:rPr>
                <w:rStyle w:val="hps"/>
                <w:sz w:val="18"/>
                <w:szCs w:val="18"/>
              </w:rPr>
              <w:t xml:space="preserve"> tentang maksud dan tujuan</w:t>
            </w:r>
            <w:r>
              <w:rPr>
                <w:rStyle w:val="hps"/>
                <w:sz w:val="18"/>
                <w:szCs w:val="18"/>
              </w:rPr>
              <w:t xml:space="preserve"> </w:t>
            </w:r>
            <w:r w:rsidRPr="00FD6F02">
              <w:rPr>
                <w:rStyle w:val="hps"/>
                <w:sz w:val="18"/>
                <w:szCs w:val="18"/>
              </w:rPr>
              <w:t>kegiatan usaha. Akta perubahan tersebut telah</w:t>
            </w:r>
            <w:r>
              <w:rPr>
                <w:rStyle w:val="hps"/>
                <w:sz w:val="18"/>
                <w:szCs w:val="18"/>
              </w:rPr>
              <w:t xml:space="preserve"> </w:t>
            </w:r>
            <w:r w:rsidRPr="00FD6F02">
              <w:rPr>
                <w:rStyle w:val="hps"/>
                <w:sz w:val="18"/>
                <w:szCs w:val="18"/>
              </w:rPr>
              <w:t>disahkan oleh Menteri Hukum dan Hak Asasi</w:t>
            </w:r>
            <w:r>
              <w:rPr>
                <w:rStyle w:val="hps"/>
                <w:sz w:val="18"/>
                <w:szCs w:val="18"/>
              </w:rPr>
              <w:t xml:space="preserve"> </w:t>
            </w:r>
            <w:r w:rsidRPr="00FD6F02">
              <w:rPr>
                <w:rStyle w:val="hps"/>
                <w:sz w:val="18"/>
                <w:szCs w:val="18"/>
              </w:rPr>
              <w:t>Manusia Republik Indonesia yang terdaftar dengan</w:t>
            </w:r>
            <w:r>
              <w:rPr>
                <w:rStyle w:val="hps"/>
                <w:sz w:val="18"/>
                <w:szCs w:val="18"/>
              </w:rPr>
              <w:t xml:space="preserve"> </w:t>
            </w:r>
            <w:r w:rsidRPr="00FD6F02">
              <w:rPr>
                <w:rStyle w:val="hps"/>
                <w:sz w:val="18"/>
                <w:szCs w:val="18"/>
              </w:rPr>
              <w:t xml:space="preserve">No.73 </w:t>
            </w:r>
            <w:r>
              <w:rPr>
                <w:rStyle w:val="hps"/>
                <w:sz w:val="18"/>
                <w:szCs w:val="18"/>
              </w:rPr>
              <w:br/>
            </w:r>
            <w:r w:rsidRPr="00FD6F02">
              <w:rPr>
                <w:rStyle w:val="hps"/>
                <w:sz w:val="18"/>
                <w:szCs w:val="18"/>
              </w:rPr>
              <w:t>AHU-0041074.AH.01.02 Tahun 2019 tanggal</w:t>
            </w:r>
            <w:r>
              <w:rPr>
                <w:rStyle w:val="hps"/>
                <w:sz w:val="18"/>
                <w:szCs w:val="18"/>
              </w:rPr>
              <w:t xml:space="preserve"> </w:t>
            </w:r>
            <w:r>
              <w:rPr>
                <w:rStyle w:val="hps"/>
                <w:sz w:val="18"/>
                <w:szCs w:val="18"/>
              </w:rPr>
              <w:br/>
            </w:r>
            <w:r w:rsidRPr="00FD6F02">
              <w:rPr>
                <w:rStyle w:val="hps"/>
                <w:sz w:val="18"/>
                <w:szCs w:val="18"/>
              </w:rPr>
              <w:t>24 Juli 2019.</w:t>
            </w:r>
          </w:p>
        </w:tc>
        <w:tc>
          <w:tcPr>
            <w:tcW w:w="4589" w:type="dxa"/>
          </w:tcPr>
          <w:p w14:paraId="2C59D6C4" w14:textId="296C714A" w:rsidR="00FD6F02" w:rsidRPr="00FD6F02" w:rsidRDefault="00FD6F02" w:rsidP="00FD6F02">
            <w:pPr>
              <w:ind w:left="567" w:right="-57"/>
              <w:jc w:val="both"/>
              <w:rPr>
                <w:i/>
                <w:sz w:val="18"/>
                <w:szCs w:val="18"/>
              </w:rPr>
            </w:pPr>
            <w:r w:rsidRPr="00FD6F02">
              <w:rPr>
                <w:i/>
                <w:sz w:val="18"/>
                <w:szCs w:val="18"/>
              </w:rPr>
              <w:t>The Company’s Articles of Association has been</w:t>
            </w:r>
            <w:r>
              <w:rPr>
                <w:i/>
                <w:sz w:val="18"/>
                <w:szCs w:val="18"/>
              </w:rPr>
              <w:t xml:space="preserve"> </w:t>
            </w:r>
            <w:r w:rsidRPr="00FD6F02">
              <w:rPr>
                <w:i/>
                <w:sz w:val="18"/>
                <w:szCs w:val="18"/>
              </w:rPr>
              <w:t>amended several times</w:t>
            </w:r>
            <w:r w:rsidR="00870FD0">
              <w:rPr>
                <w:i/>
                <w:sz w:val="18"/>
                <w:szCs w:val="18"/>
              </w:rPr>
              <w:t>.</w:t>
            </w:r>
            <w:r w:rsidRPr="00FD6F02">
              <w:rPr>
                <w:i/>
                <w:sz w:val="18"/>
                <w:szCs w:val="18"/>
              </w:rPr>
              <w:t xml:space="preserve"> The latest amendment of</w:t>
            </w:r>
            <w:r>
              <w:rPr>
                <w:i/>
                <w:sz w:val="18"/>
                <w:szCs w:val="18"/>
              </w:rPr>
              <w:t xml:space="preserve"> </w:t>
            </w:r>
            <w:r w:rsidRPr="00FD6F02">
              <w:rPr>
                <w:i/>
                <w:sz w:val="18"/>
                <w:szCs w:val="18"/>
              </w:rPr>
              <w:t>the Company’s Articles of Association was covered</w:t>
            </w:r>
            <w:r>
              <w:rPr>
                <w:i/>
                <w:sz w:val="18"/>
                <w:szCs w:val="18"/>
              </w:rPr>
              <w:t xml:space="preserve"> </w:t>
            </w:r>
            <w:r w:rsidRPr="00FD6F02">
              <w:rPr>
                <w:i/>
                <w:sz w:val="18"/>
                <w:szCs w:val="18"/>
              </w:rPr>
              <w:t>by the Notarial deed No. 73 dated Juni 24</w:t>
            </w:r>
            <w:r w:rsidR="00A66303">
              <w:rPr>
                <w:i/>
                <w:sz w:val="18"/>
                <w:szCs w:val="18"/>
              </w:rPr>
              <w:t>,</w:t>
            </w:r>
            <w:r w:rsidRPr="00FD6F02">
              <w:rPr>
                <w:i/>
                <w:sz w:val="18"/>
                <w:szCs w:val="18"/>
              </w:rPr>
              <w:t xml:space="preserve"> 2019 of</w:t>
            </w:r>
            <w:r>
              <w:rPr>
                <w:i/>
                <w:sz w:val="18"/>
                <w:szCs w:val="18"/>
              </w:rPr>
              <w:t xml:space="preserve"> </w:t>
            </w:r>
            <w:r w:rsidRPr="00FD6F02">
              <w:rPr>
                <w:i/>
                <w:sz w:val="18"/>
                <w:szCs w:val="18"/>
              </w:rPr>
              <w:t>Eriko Niclous Honanda</w:t>
            </w:r>
            <w:r w:rsidR="00A66303">
              <w:rPr>
                <w:i/>
                <w:sz w:val="18"/>
                <w:szCs w:val="18"/>
              </w:rPr>
              <w:t>,</w:t>
            </w:r>
            <w:r w:rsidRPr="00FD6F02">
              <w:rPr>
                <w:i/>
                <w:sz w:val="18"/>
                <w:szCs w:val="18"/>
              </w:rPr>
              <w:t xml:space="preserve"> SE.</w:t>
            </w:r>
            <w:r w:rsidR="00A66303">
              <w:rPr>
                <w:i/>
                <w:sz w:val="18"/>
                <w:szCs w:val="18"/>
              </w:rPr>
              <w:t>,</w:t>
            </w:r>
            <w:r w:rsidRPr="00FD6F02">
              <w:rPr>
                <w:i/>
                <w:sz w:val="18"/>
                <w:szCs w:val="18"/>
              </w:rPr>
              <w:t xml:space="preserve"> SH.</w:t>
            </w:r>
            <w:r w:rsidR="00A66303">
              <w:rPr>
                <w:i/>
                <w:sz w:val="18"/>
                <w:szCs w:val="18"/>
              </w:rPr>
              <w:t>,</w:t>
            </w:r>
            <w:r w:rsidRPr="00FD6F02">
              <w:rPr>
                <w:i/>
                <w:sz w:val="18"/>
                <w:szCs w:val="18"/>
              </w:rPr>
              <w:t xml:space="preserve"> MM.</w:t>
            </w:r>
            <w:r w:rsidR="00A66303">
              <w:rPr>
                <w:i/>
                <w:sz w:val="18"/>
                <w:szCs w:val="18"/>
              </w:rPr>
              <w:t>,</w:t>
            </w:r>
            <w:r w:rsidRPr="00FD6F02">
              <w:rPr>
                <w:i/>
                <w:sz w:val="18"/>
                <w:szCs w:val="18"/>
              </w:rPr>
              <w:t xml:space="preserve"> </w:t>
            </w:r>
            <w:r>
              <w:rPr>
                <w:i/>
                <w:sz w:val="18"/>
                <w:szCs w:val="18"/>
              </w:rPr>
              <w:t xml:space="preserve"> </w:t>
            </w:r>
            <w:r w:rsidRPr="00FD6F02">
              <w:rPr>
                <w:i/>
                <w:sz w:val="18"/>
                <w:szCs w:val="18"/>
              </w:rPr>
              <w:t>Notar</w:t>
            </w:r>
            <w:r w:rsidR="00A66303">
              <w:rPr>
                <w:i/>
                <w:sz w:val="18"/>
                <w:szCs w:val="18"/>
              </w:rPr>
              <w:t>y</w:t>
            </w:r>
            <w:r w:rsidRPr="00FD6F02">
              <w:rPr>
                <w:i/>
                <w:sz w:val="18"/>
                <w:szCs w:val="18"/>
              </w:rPr>
              <w:t xml:space="preserve"> in Jakarta</w:t>
            </w:r>
            <w:r w:rsidR="00870FD0">
              <w:rPr>
                <w:i/>
                <w:sz w:val="18"/>
                <w:szCs w:val="18"/>
              </w:rPr>
              <w:t>.</w:t>
            </w:r>
            <w:r w:rsidRPr="00FD6F02">
              <w:rPr>
                <w:i/>
                <w:sz w:val="18"/>
                <w:szCs w:val="18"/>
              </w:rPr>
              <w:t xml:space="preserve"> </w:t>
            </w:r>
            <w:proofErr w:type="gramStart"/>
            <w:r w:rsidRPr="00FD6F02">
              <w:rPr>
                <w:i/>
                <w:sz w:val="18"/>
                <w:szCs w:val="18"/>
              </w:rPr>
              <w:t>concerning</w:t>
            </w:r>
            <w:proofErr w:type="gramEnd"/>
            <w:r w:rsidRPr="00FD6F02">
              <w:rPr>
                <w:i/>
                <w:sz w:val="18"/>
                <w:szCs w:val="18"/>
              </w:rPr>
              <w:t xml:space="preserve"> the changes of</w:t>
            </w:r>
            <w:r>
              <w:rPr>
                <w:i/>
                <w:sz w:val="18"/>
                <w:szCs w:val="18"/>
              </w:rPr>
              <w:t xml:space="preserve"> </w:t>
            </w:r>
            <w:r w:rsidRPr="00FD6F02">
              <w:rPr>
                <w:i/>
                <w:sz w:val="18"/>
                <w:szCs w:val="18"/>
              </w:rPr>
              <w:t>amendment to the articles of association of the</w:t>
            </w:r>
            <w:r>
              <w:rPr>
                <w:i/>
                <w:sz w:val="18"/>
                <w:szCs w:val="18"/>
              </w:rPr>
              <w:t xml:space="preserve"> </w:t>
            </w:r>
            <w:r w:rsidRPr="00FD6F02">
              <w:rPr>
                <w:i/>
                <w:sz w:val="18"/>
                <w:szCs w:val="18"/>
              </w:rPr>
              <w:t>Company Article 3</w:t>
            </w:r>
            <w:r w:rsidR="00A66303">
              <w:rPr>
                <w:i/>
                <w:sz w:val="18"/>
                <w:szCs w:val="18"/>
              </w:rPr>
              <w:t>,</w:t>
            </w:r>
            <w:r w:rsidRPr="00FD6F02">
              <w:rPr>
                <w:i/>
                <w:sz w:val="18"/>
                <w:szCs w:val="18"/>
              </w:rPr>
              <w:t xml:space="preserve"> concerning the aims and</w:t>
            </w:r>
            <w:r>
              <w:rPr>
                <w:i/>
                <w:sz w:val="18"/>
                <w:szCs w:val="18"/>
              </w:rPr>
              <w:t xml:space="preserve"> </w:t>
            </w:r>
            <w:r w:rsidRPr="00FD6F02">
              <w:rPr>
                <w:i/>
                <w:sz w:val="18"/>
                <w:szCs w:val="18"/>
              </w:rPr>
              <w:t>objectives of business activities. The said</w:t>
            </w:r>
          </w:p>
          <w:p w14:paraId="2C97F750" w14:textId="6B10680F" w:rsidR="00FD6F02" w:rsidRPr="00C662A8" w:rsidRDefault="00FD6F02" w:rsidP="00FD6F02">
            <w:pPr>
              <w:ind w:left="567" w:right="-57"/>
              <w:jc w:val="both"/>
              <w:rPr>
                <w:i/>
                <w:sz w:val="18"/>
                <w:szCs w:val="18"/>
              </w:rPr>
            </w:pPr>
            <w:proofErr w:type="gramStart"/>
            <w:r w:rsidRPr="00FD6F02">
              <w:rPr>
                <w:i/>
                <w:sz w:val="18"/>
                <w:szCs w:val="18"/>
              </w:rPr>
              <w:t>amendment</w:t>
            </w:r>
            <w:proofErr w:type="gramEnd"/>
            <w:r w:rsidRPr="00FD6F02">
              <w:rPr>
                <w:i/>
                <w:sz w:val="18"/>
                <w:szCs w:val="18"/>
              </w:rPr>
              <w:t xml:space="preserve"> has been approved by the Minister of</w:t>
            </w:r>
            <w:r>
              <w:rPr>
                <w:i/>
                <w:sz w:val="18"/>
                <w:szCs w:val="18"/>
              </w:rPr>
              <w:t xml:space="preserve"> </w:t>
            </w:r>
            <w:r w:rsidRPr="00FD6F02">
              <w:rPr>
                <w:i/>
                <w:sz w:val="18"/>
                <w:szCs w:val="18"/>
              </w:rPr>
              <w:t>Law and Human Rights of the Republic of</w:t>
            </w:r>
            <w:r>
              <w:rPr>
                <w:i/>
                <w:sz w:val="18"/>
                <w:szCs w:val="18"/>
              </w:rPr>
              <w:t xml:space="preserve"> </w:t>
            </w:r>
            <w:r w:rsidRPr="00FD6F02">
              <w:rPr>
                <w:i/>
                <w:sz w:val="18"/>
                <w:szCs w:val="18"/>
              </w:rPr>
              <w:t>Indonesia in its</w:t>
            </w:r>
            <w:r>
              <w:rPr>
                <w:i/>
                <w:sz w:val="18"/>
                <w:szCs w:val="18"/>
              </w:rPr>
              <w:t xml:space="preserve"> </w:t>
            </w:r>
            <w:r w:rsidRPr="00FD6F02">
              <w:rPr>
                <w:i/>
                <w:sz w:val="18"/>
                <w:szCs w:val="18"/>
              </w:rPr>
              <w:t>Decision Letter No.73 AHU0041074.AH.01.02</w:t>
            </w:r>
            <w:r w:rsidR="00870FD0">
              <w:rPr>
                <w:i/>
                <w:sz w:val="18"/>
                <w:szCs w:val="18"/>
              </w:rPr>
              <w:t>.</w:t>
            </w:r>
            <w:r>
              <w:rPr>
                <w:i/>
                <w:sz w:val="18"/>
                <w:szCs w:val="18"/>
              </w:rPr>
              <w:t xml:space="preserve"> </w:t>
            </w:r>
            <w:r>
              <w:rPr>
                <w:i/>
                <w:sz w:val="18"/>
                <w:szCs w:val="18"/>
              </w:rPr>
              <w:br/>
            </w:r>
            <w:r w:rsidRPr="00FD6F02">
              <w:rPr>
                <w:i/>
                <w:sz w:val="18"/>
                <w:szCs w:val="18"/>
              </w:rPr>
              <w:t>Juli</w:t>
            </w:r>
            <w:r>
              <w:rPr>
                <w:i/>
                <w:sz w:val="18"/>
                <w:szCs w:val="18"/>
              </w:rPr>
              <w:t xml:space="preserve"> </w:t>
            </w:r>
            <w:r w:rsidRPr="00FD6F02">
              <w:rPr>
                <w:i/>
                <w:sz w:val="18"/>
                <w:szCs w:val="18"/>
              </w:rPr>
              <w:t>24</w:t>
            </w:r>
            <w:r w:rsidR="00A66303">
              <w:rPr>
                <w:i/>
                <w:sz w:val="18"/>
                <w:szCs w:val="18"/>
              </w:rPr>
              <w:t>,</w:t>
            </w:r>
            <w:r>
              <w:rPr>
                <w:i/>
                <w:sz w:val="18"/>
                <w:szCs w:val="18"/>
              </w:rPr>
              <w:t xml:space="preserve"> </w:t>
            </w:r>
            <w:r w:rsidRPr="00FD6F02">
              <w:rPr>
                <w:i/>
                <w:sz w:val="18"/>
                <w:szCs w:val="18"/>
              </w:rPr>
              <w:t>2019</w:t>
            </w:r>
          </w:p>
        </w:tc>
      </w:tr>
    </w:tbl>
    <w:p w14:paraId="4761E1E0" w14:textId="77777777" w:rsidR="00532A65" w:rsidRPr="00C662A8" w:rsidRDefault="00532A65" w:rsidP="0013526B">
      <w:pPr>
        <w:rPr>
          <w:sz w:val="18"/>
          <w:lang w:val="id-ID"/>
        </w:rPr>
      </w:pPr>
    </w:p>
    <w:tbl>
      <w:tblPr>
        <w:tblW w:w="9197" w:type="dxa"/>
        <w:tblInd w:w="392" w:type="dxa"/>
        <w:tblLayout w:type="fixed"/>
        <w:tblLook w:val="0000" w:firstRow="0" w:lastRow="0" w:firstColumn="0" w:lastColumn="0" w:noHBand="0" w:noVBand="0"/>
      </w:tblPr>
      <w:tblGrid>
        <w:gridCol w:w="4598"/>
        <w:gridCol w:w="4599"/>
      </w:tblGrid>
      <w:tr w:rsidR="00532A65" w:rsidRPr="00C662A8" w14:paraId="6C203EC0" w14:textId="77777777" w:rsidTr="00015B96">
        <w:tc>
          <w:tcPr>
            <w:tcW w:w="4598" w:type="dxa"/>
          </w:tcPr>
          <w:p w14:paraId="7C398046" w14:textId="119891F0" w:rsidR="00532A65" w:rsidRPr="00C662A8" w:rsidRDefault="00BB72BD" w:rsidP="00532A65">
            <w:pPr>
              <w:ind w:left="567" w:right="-57"/>
              <w:jc w:val="both"/>
              <w:rPr>
                <w:rStyle w:val="hps"/>
                <w:sz w:val="18"/>
                <w:szCs w:val="18"/>
                <w:u w:val="single"/>
              </w:rPr>
            </w:pPr>
            <w:r w:rsidRPr="00C662A8">
              <w:rPr>
                <w:rStyle w:val="hps"/>
                <w:sz w:val="18"/>
                <w:szCs w:val="18"/>
                <w:u w:val="single"/>
              </w:rPr>
              <w:t>PT Karya Kharisma Sentosa  (“KKS”)</w:t>
            </w:r>
          </w:p>
        </w:tc>
        <w:tc>
          <w:tcPr>
            <w:tcW w:w="4599" w:type="dxa"/>
          </w:tcPr>
          <w:p w14:paraId="44FAFF48" w14:textId="69654A07" w:rsidR="00532A65" w:rsidRPr="00C662A8" w:rsidRDefault="00BB72BD" w:rsidP="00532A65">
            <w:pPr>
              <w:ind w:left="567" w:right="-57"/>
              <w:jc w:val="both"/>
              <w:rPr>
                <w:i/>
                <w:sz w:val="18"/>
                <w:szCs w:val="18"/>
                <w:u w:val="single"/>
              </w:rPr>
            </w:pPr>
            <w:r w:rsidRPr="00C662A8">
              <w:rPr>
                <w:rStyle w:val="hps"/>
                <w:i/>
                <w:sz w:val="18"/>
                <w:szCs w:val="18"/>
                <w:u w:val="single"/>
              </w:rPr>
              <w:t>PT Karya Kharisma Sentosa  (“KKS”)</w:t>
            </w:r>
          </w:p>
        </w:tc>
      </w:tr>
      <w:tr w:rsidR="00532A65" w:rsidRPr="00C662A8" w14:paraId="37A86047" w14:textId="77777777" w:rsidTr="00015B96">
        <w:tc>
          <w:tcPr>
            <w:tcW w:w="4598" w:type="dxa"/>
          </w:tcPr>
          <w:p w14:paraId="2C144489" w14:textId="77777777" w:rsidR="00532A65" w:rsidRPr="00C662A8" w:rsidRDefault="00532A65" w:rsidP="00532A65">
            <w:pPr>
              <w:ind w:left="567" w:right="-57"/>
              <w:jc w:val="both"/>
              <w:rPr>
                <w:rStyle w:val="hps"/>
                <w:sz w:val="18"/>
                <w:szCs w:val="18"/>
              </w:rPr>
            </w:pPr>
          </w:p>
        </w:tc>
        <w:tc>
          <w:tcPr>
            <w:tcW w:w="4599" w:type="dxa"/>
          </w:tcPr>
          <w:p w14:paraId="20960E1E" w14:textId="77777777" w:rsidR="00532A65" w:rsidRPr="00C662A8" w:rsidRDefault="00532A65" w:rsidP="00532A65">
            <w:pPr>
              <w:ind w:left="567" w:right="-57"/>
              <w:jc w:val="both"/>
              <w:rPr>
                <w:i/>
                <w:sz w:val="18"/>
                <w:szCs w:val="18"/>
              </w:rPr>
            </w:pPr>
          </w:p>
        </w:tc>
      </w:tr>
      <w:tr w:rsidR="00532A65" w:rsidRPr="00A31F1E" w14:paraId="28399629" w14:textId="77777777" w:rsidTr="00015B96">
        <w:tc>
          <w:tcPr>
            <w:tcW w:w="4598" w:type="dxa"/>
          </w:tcPr>
          <w:p w14:paraId="5182534B" w14:textId="51EB1F2E" w:rsidR="00532A65" w:rsidRPr="00C662A8" w:rsidRDefault="00BB72BD" w:rsidP="00A66303">
            <w:pPr>
              <w:ind w:left="567" w:right="-57"/>
              <w:jc w:val="both"/>
              <w:rPr>
                <w:rStyle w:val="hps"/>
                <w:sz w:val="18"/>
                <w:szCs w:val="18"/>
              </w:rPr>
            </w:pPr>
            <w:r w:rsidRPr="00C662A8">
              <w:rPr>
                <w:rStyle w:val="hps"/>
                <w:sz w:val="18"/>
                <w:szCs w:val="18"/>
              </w:rPr>
              <w:t>Berdasarkan Akta Notaris dari notary</w:t>
            </w:r>
            <w:r w:rsidRPr="00C662A8">
              <w:rPr>
                <w:rStyle w:val="hps"/>
                <w:sz w:val="18"/>
                <w:szCs w:val="18"/>
                <w:lang w:val="id-ID"/>
              </w:rPr>
              <w:t xml:space="preserve"> </w:t>
            </w:r>
            <w:r w:rsidRPr="00C662A8">
              <w:rPr>
                <w:rStyle w:val="hps"/>
                <w:sz w:val="18"/>
                <w:szCs w:val="18"/>
              </w:rPr>
              <w:t>Buntario Tigris</w:t>
            </w:r>
            <w:r w:rsidR="00A66303">
              <w:rPr>
                <w:rStyle w:val="hps"/>
                <w:sz w:val="18"/>
                <w:szCs w:val="18"/>
              </w:rPr>
              <w:t>,</w:t>
            </w:r>
            <w:r w:rsidRPr="00C662A8">
              <w:rPr>
                <w:rStyle w:val="hps"/>
                <w:sz w:val="18"/>
                <w:szCs w:val="18"/>
              </w:rPr>
              <w:t xml:space="preserve"> S.H.</w:t>
            </w:r>
            <w:r w:rsidR="00A66303">
              <w:rPr>
                <w:rStyle w:val="hps"/>
                <w:sz w:val="18"/>
                <w:szCs w:val="18"/>
              </w:rPr>
              <w:t>,</w:t>
            </w:r>
            <w:r w:rsidRPr="00C662A8">
              <w:rPr>
                <w:rStyle w:val="hps"/>
                <w:sz w:val="18"/>
                <w:szCs w:val="18"/>
              </w:rPr>
              <w:t xml:space="preserve"> S.E.</w:t>
            </w:r>
            <w:r w:rsidR="00A66303">
              <w:rPr>
                <w:rStyle w:val="hps"/>
                <w:sz w:val="18"/>
                <w:szCs w:val="18"/>
              </w:rPr>
              <w:t>,</w:t>
            </w:r>
            <w:r w:rsidRPr="00C662A8">
              <w:rPr>
                <w:rStyle w:val="hps"/>
                <w:sz w:val="18"/>
                <w:szCs w:val="18"/>
              </w:rPr>
              <w:t xml:space="preserve"> M.H.</w:t>
            </w:r>
            <w:r w:rsidR="00A66303">
              <w:rPr>
                <w:rStyle w:val="hps"/>
                <w:sz w:val="18"/>
                <w:szCs w:val="18"/>
              </w:rPr>
              <w:t>,</w:t>
            </w:r>
            <w:r w:rsidRPr="00C662A8">
              <w:rPr>
                <w:rStyle w:val="hps"/>
                <w:sz w:val="18"/>
                <w:szCs w:val="18"/>
              </w:rPr>
              <w:t xml:space="preserve"> No. 74 tanggal</w:t>
            </w:r>
            <w:r w:rsidRPr="00C662A8">
              <w:rPr>
                <w:rStyle w:val="hps"/>
                <w:sz w:val="18"/>
                <w:szCs w:val="18"/>
                <w:lang w:val="id-ID"/>
              </w:rPr>
              <w:t xml:space="preserve"> </w:t>
            </w:r>
            <w:r w:rsidRPr="00C662A8">
              <w:rPr>
                <w:rStyle w:val="hps"/>
                <w:sz w:val="18"/>
                <w:szCs w:val="18"/>
              </w:rPr>
              <w:t>20 April 2015</w:t>
            </w:r>
            <w:r w:rsidR="00870FD0">
              <w:rPr>
                <w:rStyle w:val="hps"/>
                <w:sz w:val="18"/>
                <w:szCs w:val="18"/>
              </w:rPr>
              <w:t>.</w:t>
            </w:r>
            <w:r w:rsidRPr="00C662A8">
              <w:rPr>
                <w:rStyle w:val="hps"/>
                <w:sz w:val="18"/>
                <w:szCs w:val="18"/>
              </w:rPr>
              <w:t xml:space="preserve"> Perusahaan dan Jonathan Tahir mendirikan KKS</w:t>
            </w:r>
            <w:r w:rsidR="00870FD0">
              <w:rPr>
                <w:rStyle w:val="hps"/>
                <w:sz w:val="18"/>
                <w:szCs w:val="18"/>
              </w:rPr>
              <w:t>.</w:t>
            </w:r>
            <w:r w:rsidRPr="00C662A8">
              <w:rPr>
                <w:rStyle w:val="hps"/>
                <w:sz w:val="18"/>
                <w:szCs w:val="18"/>
              </w:rPr>
              <w:t xml:space="preserve"> </w:t>
            </w:r>
            <w:proofErr w:type="gramStart"/>
            <w:r w:rsidRPr="00C662A8">
              <w:rPr>
                <w:rStyle w:val="hps"/>
                <w:sz w:val="18"/>
                <w:szCs w:val="18"/>
              </w:rPr>
              <w:t>dengan</w:t>
            </w:r>
            <w:proofErr w:type="gramEnd"/>
            <w:r w:rsidRPr="00C662A8">
              <w:rPr>
                <w:rStyle w:val="hps"/>
                <w:sz w:val="18"/>
                <w:szCs w:val="18"/>
              </w:rPr>
              <w:t xml:space="preserve"> kepemilikan saham Perusahaan pada KKS adalah sebesar Rp</w:t>
            </w:r>
            <w:r w:rsidR="0043506D">
              <w:rPr>
                <w:rStyle w:val="hps"/>
                <w:sz w:val="18"/>
                <w:szCs w:val="18"/>
              </w:rPr>
              <w:t xml:space="preserve"> </w:t>
            </w:r>
            <w:r w:rsidRPr="00C662A8">
              <w:rPr>
                <w:rStyle w:val="hps"/>
                <w:sz w:val="18"/>
                <w:szCs w:val="18"/>
              </w:rPr>
              <w:t>990.000.000 atau 99% dari modal ditempatkan dan disetor penuh.</w:t>
            </w:r>
          </w:p>
        </w:tc>
        <w:tc>
          <w:tcPr>
            <w:tcW w:w="4599" w:type="dxa"/>
          </w:tcPr>
          <w:p w14:paraId="0FC23360" w14:textId="40B7267C" w:rsidR="00532A65" w:rsidRPr="00C662A8" w:rsidRDefault="00BB72BD" w:rsidP="00A66303">
            <w:pPr>
              <w:ind w:left="567" w:right="-57"/>
              <w:jc w:val="both"/>
              <w:rPr>
                <w:i/>
                <w:sz w:val="18"/>
                <w:szCs w:val="18"/>
              </w:rPr>
            </w:pPr>
            <w:r w:rsidRPr="00C662A8">
              <w:rPr>
                <w:i/>
                <w:sz w:val="18"/>
                <w:szCs w:val="18"/>
              </w:rPr>
              <w:t>Based on Notarial Deed of notary</w:t>
            </w:r>
            <w:r w:rsidRPr="00C662A8">
              <w:rPr>
                <w:i/>
                <w:sz w:val="18"/>
                <w:szCs w:val="18"/>
                <w:lang w:val="id-ID"/>
              </w:rPr>
              <w:t xml:space="preserve"> </w:t>
            </w:r>
            <w:r w:rsidRPr="00C662A8">
              <w:rPr>
                <w:i/>
                <w:sz w:val="18"/>
                <w:szCs w:val="18"/>
              </w:rPr>
              <w:t>Buntario Tigris</w:t>
            </w:r>
            <w:r w:rsidR="00A66303">
              <w:rPr>
                <w:i/>
                <w:sz w:val="18"/>
                <w:szCs w:val="18"/>
              </w:rPr>
              <w:t>,</w:t>
            </w:r>
            <w:r w:rsidRPr="00C662A8">
              <w:rPr>
                <w:i/>
                <w:sz w:val="18"/>
                <w:szCs w:val="18"/>
              </w:rPr>
              <w:t xml:space="preserve"> S.H.</w:t>
            </w:r>
            <w:r w:rsidR="00A66303">
              <w:rPr>
                <w:i/>
                <w:sz w:val="18"/>
                <w:szCs w:val="18"/>
              </w:rPr>
              <w:t>,</w:t>
            </w:r>
            <w:r w:rsidRPr="00C662A8">
              <w:rPr>
                <w:i/>
                <w:sz w:val="18"/>
                <w:szCs w:val="18"/>
              </w:rPr>
              <w:t xml:space="preserve"> S.E.</w:t>
            </w:r>
            <w:r w:rsidR="00A66303">
              <w:rPr>
                <w:i/>
                <w:sz w:val="18"/>
                <w:szCs w:val="18"/>
              </w:rPr>
              <w:t>,</w:t>
            </w:r>
            <w:r w:rsidRPr="00C662A8">
              <w:rPr>
                <w:i/>
                <w:sz w:val="18"/>
                <w:szCs w:val="18"/>
              </w:rPr>
              <w:t xml:space="preserve"> M.H.</w:t>
            </w:r>
            <w:r w:rsidR="00A66303">
              <w:rPr>
                <w:i/>
                <w:sz w:val="18"/>
                <w:szCs w:val="18"/>
              </w:rPr>
              <w:t>,</w:t>
            </w:r>
            <w:r w:rsidRPr="00C662A8">
              <w:rPr>
                <w:i/>
                <w:sz w:val="18"/>
                <w:szCs w:val="18"/>
              </w:rPr>
              <w:t xml:space="preserve"> No. 74 dated April  20</w:t>
            </w:r>
            <w:r w:rsidR="00A66303">
              <w:rPr>
                <w:i/>
                <w:sz w:val="18"/>
                <w:szCs w:val="18"/>
              </w:rPr>
              <w:t>,</w:t>
            </w:r>
            <w:r w:rsidRPr="00C662A8">
              <w:rPr>
                <w:i/>
                <w:sz w:val="18"/>
                <w:szCs w:val="18"/>
              </w:rPr>
              <w:t xml:space="preserve">  2015</w:t>
            </w:r>
            <w:r w:rsidR="00A66303">
              <w:rPr>
                <w:i/>
                <w:sz w:val="18"/>
                <w:szCs w:val="18"/>
              </w:rPr>
              <w:t>,</w:t>
            </w:r>
            <w:r w:rsidRPr="00C662A8">
              <w:rPr>
                <w:i/>
                <w:sz w:val="18"/>
                <w:szCs w:val="18"/>
              </w:rPr>
              <w:t xml:space="preserve">  the  Company  and  Jonathan Tahir  established  KKS</w:t>
            </w:r>
            <w:r w:rsidR="00A66303">
              <w:rPr>
                <w:i/>
                <w:sz w:val="18"/>
                <w:szCs w:val="18"/>
              </w:rPr>
              <w:t>,</w:t>
            </w:r>
            <w:r w:rsidRPr="00C662A8">
              <w:rPr>
                <w:i/>
                <w:sz w:val="18"/>
                <w:szCs w:val="18"/>
              </w:rPr>
              <w:t xml:space="preserve">  with  percentage  of ownership of the Company in KKS amounting Rp</w:t>
            </w:r>
            <w:r w:rsidR="0043506D">
              <w:rPr>
                <w:i/>
                <w:sz w:val="18"/>
                <w:szCs w:val="18"/>
              </w:rPr>
              <w:t xml:space="preserve"> </w:t>
            </w:r>
            <w:r w:rsidRPr="00C662A8">
              <w:rPr>
                <w:i/>
                <w:sz w:val="18"/>
                <w:szCs w:val="18"/>
              </w:rPr>
              <w:t>990</w:t>
            </w:r>
            <w:r w:rsidR="00A66303">
              <w:rPr>
                <w:i/>
                <w:sz w:val="18"/>
                <w:szCs w:val="18"/>
              </w:rPr>
              <w:t>,</w:t>
            </w:r>
            <w:r w:rsidRPr="00C662A8">
              <w:rPr>
                <w:i/>
                <w:sz w:val="18"/>
                <w:szCs w:val="18"/>
              </w:rPr>
              <w:t>000</w:t>
            </w:r>
            <w:r w:rsidR="00A66303">
              <w:rPr>
                <w:i/>
                <w:sz w:val="18"/>
                <w:szCs w:val="18"/>
              </w:rPr>
              <w:t>,</w:t>
            </w:r>
            <w:r w:rsidRPr="00C662A8">
              <w:rPr>
                <w:i/>
                <w:sz w:val="18"/>
                <w:szCs w:val="18"/>
              </w:rPr>
              <w:t>000 or 99% from its issued and fully paid capital.</w:t>
            </w:r>
          </w:p>
        </w:tc>
      </w:tr>
      <w:tr w:rsidR="00532A65" w:rsidRPr="00A31F1E" w14:paraId="4ECB8AE4" w14:textId="77777777" w:rsidTr="00015B96">
        <w:tc>
          <w:tcPr>
            <w:tcW w:w="4598" w:type="dxa"/>
          </w:tcPr>
          <w:p w14:paraId="444263C8" w14:textId="77777777" w:rsidR="00532A65" w:rsidRPr="00A31F1E" w:rsidRDefault="00532A65" w:rsidP="00532A65">
            <w:pPr>
              <w:ind w:left="567" w:right="-57"/>
              <w:jc w:val="both"/>
              <w:rPr>
                <w:rStyle w:val="hps"/>
                <w:sz w:val="18"/>
                <w:szCs w:val="18"/>
                <w:highlight w:val="red"/>
              </w:rPr>
            </w:pPr>
          </w:p>
        </w:tc>
        <w:tc>
          <w:tcPr>
            <w:tcW w:w="4599" w:type="dxa"/>
          </w:tcPr>
          <w:p w14:paraId="41FAD509" w14:textId="77777777" w:rsidR="00532A65" w:rsidRPr="00A31F1E" w:rsidRDefault="00532A65" w:rsidP="00532A65">
            <w:pPr>
              <w:ind w:left="567" w:right="-57"/>
              <w:jc w:val="both"/>
              <w:rPr>
                <w:i/>
                <w:sz w:val="18"/>
                <w:szCs w:val="18"/>
                <w:highlight w:val="red"/>
              </w:rPr>
            </w:pPr>
          </w:p>
        </w:tc>
      </w:tr>
      <w:tr w:rsidR="00532A65" w:rsidRPr="0043506D" w14:paraId="39467735" w14:textId="77777777" w:rsidTr="00015B96">
        <w:tc>
          <w:tcPr>
            <w:tcW w:w="4598" w:type="dxa"/>
          </w:tcPr>
          <w:p w14:paraId="719C37C0" w14:textId="027B799F" w:rsidR="00532A65" w:rsidRPr="0043506D" w:rsidRDefault="00BB72BD" w:rsidP="00A66303">
            <w:pPr>
              <w:ind w:left="567" w:right="-57"/>
              <w:jc w:val="both"/>
              <w:rPr>
                <w:rStyle w:val="hps"/>
                <w:sz w:val="18"/>
                <w:szCs w:val="18"/>
              </w:rPr>
            </w:pPr>
            <w:r w:rsidRPr="0043506D">
              <w:rPr>
                <w:rStyle w:val="hps"/>
                <w:sz w:val="18"/>
                <w:szCs w:val="18"/>
              </w:rPr>
              <w:t>Berdasarkan   Keputusan   Pemegang   Saham pada tanggal 27 Desember 2017</w:t>
            </w:r>
            <w:r w:rsidR="00A66303">
              <w:rPr>
                <w:rStyle w:val="hps"/>
                <w:sz w:val="18"/>
                <w:szCs w:val="18"/>
              </w:rPr>
              <w:t>,</w:t>
            </w:r>
            <w:r w:rsidRPr="0043506D">
              <w:rPr>
                <w:rStyle w:val="hps"/>
                <w:sz w:val="18"/>
                <w:szCs w:val="18"/>
              </w:rPr>
              <w:t xml:space="preserve"> Akta Notaris Buntario Tigris</w:t>
            </w:r>
            <w:r w:rsidR="00A66303">
              <w:rPr>
                <w:rStyle w:val="hps"/>
                <w:sz w:val="18"/>
                <w:szCs w:val="18"/>
              </w:rPr>
              <w:t>,</w:t>
            </w:r>
            <w:r w:rsidRPr="0043506D">
              <w:rPr>
                <w:rStyle w:val="hps"/>
                <w:sz w:val="18"/>
                <w:szCs w:val="18"/>
              </w:rPr>
              <w:t xml:space="preserve"> S.H.</w:t>
            </w:r>
            <w:r w:rsidR="00A66303">
              <w:rPr>
                <w:rStyle w:val="hps"/>
                <w:sz w:val="18"/>
                <w:szCs w:val="18"/>
              </w:rPr>
              <w:t>,</w:t>
            </w:r>
            <w:r w:rsidRPr="0043506D">
              <w:rPr>
                <w:rStyle w:val="hps"/>
                <w:sz w:val="18"/>
                <w:szCs w:val="18"/>
              </w:rPr>
              <w:t xml:space="preserve"> S.E.</w:t>
            </w:r>
            <w:r w:rsidR="00A66303">
              <w:rPr>
                <w:rStyle w:val="hps"/>
                <w:sz w:val="18"/>
                <w:szCs w:val="18"/>
              </w:rPr>
              <w:t>,</w:t>
            </w:r>
            <w:r w:rsidRPr="0043506D">
              <w:rPr>
                <w:rStyle w:val="hps"/>
                <w:sz w:val="18"/>
                <w:szCs w:val="18"/>
              </w:rPr>
              <w:t xml:space="preserve"> M.H.</w:t>
            </w:r>
            <w:r w:rsidR="00A66303">
              <w:rPr>
                <w:rStyle w:val="hps"/>
                <w:sz w:val="18"/>
                <w:szCs w:val="18"/>
              </w:rPr>
              <w:t>,</w:t>
            </w:r>
            <w:r w:rsidRPr="0043506D">
              <w:rPr>
                <w:rStyle w:val="hps"/>
                <w:sz w:val="18"/>
                <w:szCs w:val="18"/>
              </w:rPr>
              <w:t xml:space="preserve"> No. 120 pada tanggal  </w:t>
            </w:r>
            <w:r w:rsidR="0043506D">
              <w:rPr>
                <w:rStyle w:val="hps"/>
                <w:sz w:val="18"/>
                <w:szCs w:val="18"/>
              </w:rPr>
              <w:br/>
            </w:r>
            <w:r w:rsidRPr="0043506D">
              <w:rPr>
                <w:rStyle w:val="hps"/>
                <w:sz w:val="18"/>
                <w:szCs w:val="18"/>
              </w:rPr>
              <w:t xml:space="preserve">23  Januari  2018  dan  telah  disahkan oleh  Menteri  Hukum  dan Hak Asasi Manusia </w:t>
            </w:r>
            <w:r w:rsidR="0043506D">
              <w:rPr>
                <w:rStyle w:val="hps"/>
                <w:sz w:val="18"/>
                <w:szCs w:val="18"/>
              </w:rPr>
              <w:br/>
            </w:r>
            <w:r w:rsidRPr="0043506D">
              <w:rPr>
                <w:rStyle w:val="hps"/>
                <w:sz w:val="18"/>
                <w:szCs w:val="18"/>
              </w:rPr>
              <w:t xml:space="preserve">Republik  Indonesia  melalui Surat Keputusan </w:t>
            </w:r>
            <w:r w:rsidR="0043506D">
              <w:rPr>
                <w:rStyle w:val="hps"/>
                <w:sz w:val="18"/>
                <w:szCs w:val="18"/>
              </w:rPr>
              <w:br/>
            </w:r>
            <w:r w:rsidRPr="0043506D">
              <w:rPr>
                <w:rStyle w:val="hps"/>
                <w:sz w:val="18"/>
                <w:szCs w:val="18"/>
              </w:rPr>
              <w:t>No. AHU</w:t>
            </w:r>
            <w:r w:rsidRPr="0043506D">
              <w:rPr>
                <w:rStyle w:val="hps"/>
                <w:sz w:val="18"/>
                <w:szCs w:val="18"/>
                <w:lang w:val="id-ID"/>
              </w:rPr>
              <w:t>-</w:t>
            </w:r>
            <w:r w:rsidRPr="0043506D">
              <w:rPr>
                <w:rStyle w:val="hps"/>
                <w:sz w:val="18"/>
                <w:szCs w:val="18"/>
              </w:rPr>
              <w:t xml:space="preserve">0002355.AH.01.02.Tahun 2018 dan Surat Penerimaan Pemberitahuan Perubahan Anggaran Dasar No. AHU-AH.01.03.0047494 pada tanggal </w:t>
            </w:r>
            <w:r w:rsidR="0043506D">
              <w:rPr>
                <w:rStyle w:val="hps"/>
                <w:sz w:val="18"/>
                <w:szCs w:val="18"/>
              </w:rPr>
              <w:br/>
            </w:r>
            <w:r w:rsidR="00A66303">
              <w:rPr>
                <w:rStyle w:val="hps"/>
                <w:sz w:val="18"/>
                <w:szCs w:val="18"/>
              </w:rPr>
              <w:t>31 Januari 2018,</w:t>
            </w:r>
            <w:r w:rsidRPr="0043506D">
              <w:rPr>
                <w:rStyle w:val="hps"/>
                <w:sz w:val="18"/>
                <w:szCs w:val="18"/>
                <w:lang w:val="id-ID"/>
              </w:rPr>
              <w:t xml:space="preserve"> </w:t>
            </w:r>
            <w:r w:rsidRPr="0043506D">
              <w:rPr>
                <w:rStyle w:val="hps"/>
                <w:sz w:val="18"/>
                <w:szCs w:val="18"/>
              </w:rPr>
              <w:t xml:space="preserve">KKS meningkatkan modal </w:t>
            </w:r>
            <w:r w:rsidR="0043506D">
              <w:rPr>
                <w:rStyle w:val="hps"/>
                <w:sz w:val="18"/>
                <w:szCs w:val="18"/>
              </w:rPr>
              <w:br/>
            </w:r>
            <w:r w:rsidRPr="0043506D">
              <w:rPr>
                <w:rStyle w:val="hps"/>
                <w:sz w:val="18"/>
                <w:szCs w:val="18"/>
              </w:rPr>
              <w:t>dasar dari Rp</w:t>
            </w:r>
            <w:r w:rsidR="0043506D">
              <w:rPr>
                <w:rStyle w:val="hps"/>
                <w:sz w:val="18"/>
                <w:szCs w:val="18"/>
              </w:rPr>
              <w:t xml:space="preserve"> </w:t>
            </w:r>
            <w:r w:rsidRPr="0043506D">
              <w:rPr>
                <w:rStyle w:val="hps"/>
                <w:sz w:val="18"/>
                <w:szCs w:val="18"/>
              </w:rPr>
              <w:t xml:space="preserve">4.000.000.000 menjadi sebesar </w:t>
            </w:r>
            <w:r w:rsidR="0043506D">
              <w:rPr>
                <w:rStyle w:val="hps"/>
                <w:sz w:val="18"/>
                <w:szCs w:val="18"/>
              </w:rPr>
              <w:br/>
            </w:r>
            <w:r w:rsidRPr="0043506D">
              <w:rPr>
                <w:rStyle w:val="hps"/>
                <w:sz w:val="18"/>
                <w:szCs w:val="18"/>
              </w:rPr>
              <w:t>Rp</w:t>
            </w:r>
            <w:r w:rsidR="0043506D">
              <w:rPr>
                <w:rStyle w:val="hps"/>
                <w:sz w:val="18"/>
                <w:szCs w:val="18"/>
              </w:rPr>
              <w:t xml:space="preserve"> </w:t>
            </w:r>
            <w:r w:rsidRPr="0043506D">
              <w:rPr>
                <w:rStyle w:val="hps"/>
                <w:sz w:val="18"/>
                <w:szCs w:val="18"/>
              </w:rPr>
              <w:t>400.000.000.000</w:t>
            </w:r>
            <w:r w:rsidR="00870FD0">
              <w:rPr>
                <w:rStyle w:val="hps"/>
                <w:sz w:val="18"/>
                <w:szCs w:val="18"/>
              </w:rPr>
              <w:t>.</w:t>
            </w:r>
            <w:r w:rsidRPr="0043506D">
              <w:rPr>
                <w:rStyle w:val="hps"/>
                <w:sz w:val="18"/>
                <w:szCs w:val="18"/>
              </w:rPr>
              <w:t xml:space="preserve"> </w:t>
            </w:r>
            <w:proofErr w:type="gramStart"/>
            <w:r w:rsidRPr="0043506D">
              <w:rPr>
                <w:rStyle w:val="hps"/>
                <w:sz w:val="18"/>
                <w:szCs w:val="18"/>
              </w:rPr>
              <w:t>serta</w:t>
            </w:r>
            <w:proofErr w:type="gramEnd"/>
            <w:r w:rsidRPr="0043506D">
              <w:rPr>
                <w:rStyle w:val="hps"/>
                <w:sz w:val="18"/>
                <w:szCs w:val="18"/>
              </w:rPr>
              <w:t xml:space="preserve"> meningkatkan </w:t>
            </w:r>
            <w:r w:rsidR="0043506D">
              <w:rPr>
                <w:rStyle w:val="hps"/>
                <w:sz w:val="18"/>
                <w:szCs w:val="18"/>
              </w:rPr>
              <w:br/>
            </w:r>
            <w:r w:rsidRPr="0043506D">
              <w:rPr>
                <w:rStyle w:val="hps"/>
                <w:sz w:val="18"/>
                <w:szCs w:val="18"/>
              </w:rPr>
              <w:t xml:space="preserve">modal ditempatkan dan disetor </w:t>
            </w:r>
            <w:r w:rsidR="0043506D">
              <w:rPr>
                <w:rStyle w:val="hps"/>
                <w:sz w:val="18"/>
                <w:szCs w:val="18"/>
              </w:rPr>
              <w:br/>
            </w:r>
            <w:r w:rsidRPr="0043506D">
              <w:rPr>
                <w:rStyle w:val="hps"/>
                <w:sz w:val="18"/>
                <w:szCs w:val="18"/>
              </w:rPr>
              <w:t>semula sebesar</w:t>
            </w:r>
            <w:r w:rsidR="0043506D">
              <w:rPr>
                <w:rStyle w:val="hps"/>
                <w:sz w:val="18"/>
                <w:szCs w:val="18"/>
              </w:rPr>
              <w:t xml:space="preserve"> </w:t>
            </w:r>
            <w:r w:rsidRPr="0043506D">
              <w:rPr>
                <w:rStyle w:val="hps"/>
                <w:sz w:val="18"/>
                <w:szCs w:val="18"/>
              </w:rPr>
              <w:t>Rp</w:t>
            </w:r>
            <w:r w:rsidR="0043506D">
              <w:rPr>
                <w:rStyle w:val="hps"/>
                <w:sz w:val="18"/>
                <w:szCs w:val="18"/>
              </w:rPr>
              <w:t xml:space="preserve"> </w:t>
            </w:r>
            <w:r w:rsidRPr="0043506D">
              <w:rPr>
                <w:rStyle w:val="hps"/>
                <w:sz w:val="18"/>
                <w:szCs w:val="18"/>
              </w:rPr>
              <w:t xml:space="preserve">1.000.000.000 menjadi sebesar </w:t>
            </w:r>
            <w:r w:rsidR="0043506D">
              <w:rPr>
                <w:rStyle w:val="hps"/>
                <w:sz w:val="18"/>
                <w:szCs w:val="18"/>
              </w:rPr>
              <w:br/>
            </w:r>
            <w:r w:rsidRPr="0043506D">
              <w:rPr>
                <w:rStyle w:val="hps"/>
                <w:sz w:val="18"/>
                <w:szCs w:val="18"/>
              </w:rPr>
              <w:t>Rp</w:t>
            </w:r>
            <w:r w:rsidR="0043506D">
              <w:rPr>
                <w:rStyle w:val="hps"/>
                <w:sz w:val="18"/>
                <w:szCs w:val="18"/>
              </w:rPr>
              <w:t xml:space="preserve"> </w:t>
            </w:r>
            <w:r w:rsidRPr="0043506D">
              <w:rPr>
                <w:rStyle w:val="hps"/>
                <w:sz w:val="18"/>
                <w:szCs w:val="18"/>
              </w:rPr>
              <w:t>128.000.000.000. Peningkatan modal disetor tersebut seluruhnya diambil oleh Perusahaan.</w:t>
            </w:r>
          </w:p>
        </w:tc>
        <w:tc>
          <w:tcPr>
            <w:tcW w:w="4599" w:type="dxa"/>
          </w:tcPr>
          <w:p w14:paraId="1113A24F" w14:textId="5CC81831" w:rsidR="00532A65" w:rsidRPr="0043506D" w:rsidRDefault="00BB72BD" w:rsidP="00A66303">
            <w:pPr>
              <w:ind w:left="567" w:right="-57"/>
              <w:jc w:val="both"/>
              <w:rPr>
                <w:i/>
                <w:sz w:val="18"/>
                <w:szCs w:val="18"/>
              </w:rPr>
            </w:pPr>
            <w:r w:rsidRPr="0043506D">
              <w:rPr>
                <w:i/>
                <w:sz w:val="18"/>
                <w:szCs w:val="18"/>
              </w:rPr>
              <w:t>Based on Statement of the Shareholders Decision dated December 27</w:t>
            </w:r>
            <w:r w:rsidR="00A66303">
              <w:rPr>
                <w:i/>
                <w:sz w:val="18"/>
                <w:szCs w:val="18"/>
              </w:rPr>
              <w:t>,</w:t>
            </w:r>
            <w:r w:rsidRPr="0043506D">
              <w:rPr>
                <w:i/>
                <w:sz w:val="18"/>
                <w:szCs w:val="18"/>
              </w:rPr>
              <w:t xml:space="preserve"> 2017</w:t>
            </w:r>
            <w:r w:rsidR="00870FD0">
              <w:rPr>
                <w:i/>
                <w:sz w:val="18"/>
                <w:szCs w:val="18"/>
              </w:rPr>
              <w:t>.</w:t>
            </w:r>
            <w:r w:rsidRPr="0043506D">
              <w:rPr>
                <w:i/>
                <w:sz w:val="18"/>
                <w:szCs w:val="18"/>
              </w:rPr>
              <w:t xml:space="preserve"> the Notarial Deed of Buntario Tigris</w:t>
            </w:r>
            <w:r w:rsidR="00A66303">
              <w:rPr>
                <w:i/>
                <w:sz w:val="18"/>
                <w:szCs w:val="18"/>
              </w:rPr>
              <w:t>,</w:t>
            </w:r>
            <w:r w:rsidRPr="0043506D">
              <w:rPr>
                <w:i/>
                <w:sz w:val="18"/>
                <w:szCs w:val="18"/>
              </w:rPr>
              <w:t xml:space="preserve"> S.H.</w:t>
            </w:r>
            <w:r w:rsidR="00A66303">
              <w:rPr>
                <w:i/>
                <w:sz w:val="18"/>
                <w:szCs w:val="18"/>
              </w:rPr>
              <w:t>,</w:t>
            </w:r>
            <w:r w:rsidRPr="0043506D">
              <w:rPr>
                <w:i/>
                <w:sz w:val="18"/>
                <w:szCs w:val="18"/>
              </w:rPr>
              <w:t xml:space="preserve"> S.E.</w:t>
            </w:r>
            <w:r w:rsidR="00A66303">
              <w:rPr>
                <w:i/>
                <w:sz w:val="18"/>
                <w:szCs w:val="18"/>
              </w:rPr>
              <w:t>,</w:t>
            </w:r>
            <w:r w:rsidRPr="0043506D">
              <w:rPr>
                <w:i/>
                <w:sz w:val="18"/>
                <w:szCs w:val="18"/>
              </w:rPr>
              <w:t xml:space="preserve"> M.H.</w:t>
            </w:r>
            <w:r w:rsidR="00A66303">
              <w:rPr>
                <w:i/>
                <w:sz w:val="18"/>
                <w:szCs w:val="18"/>
              </w:rPr>
              <w:t>,</w:t>
            </w:r>
            <w:r w:rsidRPr="0043506D">
              <w:rPr>
                <w:i/>
                <w:sz w:val="18"/>
                <w:szCs w:val="18"/>
              </w:rPr>
              <w:t xml:space="preserve"> No. 120 dated January 23</w:t>
            </w:r>
            <w:r w:rsidR="00A66303">
              <w:rPr>
                <w:i/>
                <w:sz w:val="18"/>
                <w:szCs w:val="18"/>
              </w:rPr>
              <w:t>,</w:t>
            </w:r>
            <w:r w:rsidRPr="0043506D">
              <w:rPr>
                <w:i/>
                <w:sz w:val="18"/>
                <w:szCs w:val="18"/>
              </w:rPr>
              <w:t xml:space="preserve"> 2018 and have been approved by the Minister of Justice and Human Rights of the Republic of Indonesia in his Decision Letter </w:t>
            </w:r>
            <w:r w:rsidR="0043506D">
              <w:rPr>
                <w:i/>
                <w:sz w:val="18"/>
                <w:szCs w:val="18"/>
              </w:rPr>
              <w:br/>
            </w:r>
            <w:r w:rsidRPr="0043506D">
              <w:rPr>
                <w:i/>
                <w:sz w:val="18"/>
                <w:szCs w:val="18"/>
              </w:rPr>
              <w:t>No. AHU-0002355.AH.01.02. Year 2018 and Letter of Acceptance of Notification of Amendment of Articles of Association No. AHU-AH.01.03.0047494 on January 31</w:t>
            </w:r>
            <w:r w:rsidR="00A66303">
              <w:rPr>
                <w:i/>
                <w:sz w:val="18"/>
                <w:szCs w:val="18"/>
              </w:rPr>
              <w:t>,</w:t>
            </w:r>
            <w:r w:rsidRPr="0043506D">
              <w:rPr>
                <w:i/>
                <w:sz w:val="18"/>
                <w:szCs w:val="18"/>
              </w:rPr>
              <w:t xml:space="preserve"> 2018. KKS increasing its authorized capital amounting Rp</w:t>
            </w:r>
            <w:r w:rsidR="0043506D">
              <w:rPr>
                <w:i/>
                <w:sz w:val="18"/>
                <w:szCs w:val="18"/>
              </w:rPr>
              <w:t xml:space="preserve"> </w:t>
            </w:r>
            <w:r w:rsidRPr="0043506D">
              <w:rPr>
                <w:i/>
                <w:sz w:val="18"/>
                <w:szCs w:val="18"/>
              </w:rPr>
              <w:t>4</w:t>
            </w:r>
            <w:r w:rsidR="00A66303">
              <w:rPr>
                <w:i/>
                <w:sz w:val="18"/>
                <w:szCs w:val="18"/>
              </w:rPr>
              <w:t>,</w:t>
            </w:r>
            <w:r w:rsidRPr="0043506D">
              <w:rPr>
                <w:i/>
                <w:sz w:val="18"/>
                <w:szCs w:val="18"/>
              </w:rPr>
              <w:t>000</w:t>
            </w:r>
            <w:r w:rsidR="00A66303">
              <w:rPr>
                <w:i/>
                <w:sz w:val="18"/>
                <w:szCs w:val="18"/>
              </w:rPr>
              <w:t>,</w:t>
            </w:r>
            <w:r w:rsidRPr="0043506D">
              <w:rPr>
                <w:i/>
                <w:sz w:val="18"/>
                <w:szCs w:val="18"/>
              </w:rPr>
              <w:t>000</w:t>
            </w:r>
            <w:r w:rsidR="00A66303">
              <w:rPr>
                <w:i/>
                <w:sz w:val="18"/>
                <w:szCs w:val="18"/>
              </w:rPr>
              <w:t>,</w:t>
            </w:r>
            <w:r w:rsidRPr="0043506D">
              <w:rPr>
                <w:i/>
                <w:sz w:val="18"/>
                <w:szCs w:val="18"/>
              </w:rPr>
              <w:t xml:space="preserve">000 to </w:t>
            </w:r>
            <w:r w:rsidR="0043506D">
              <w:rPr>
                <w:i/>
                <w:sz w:val="18"/>
                <w:szCs w:val="18"/>
              </w:rPr>
              <w:br/>
            </w:r>
            <w:r w:rsidRPr="0043506D">
              <w:rPr>
                <w:i/>
                <w:sz w:val="18"/>
                <w:szCs w:val="18"/>
              </w:rPr>
              <w:t>Rp</w:t>
            </w:r>
            <w:r w:rsidR="0043506D">
              <w:rPr>
                <w:i/>
                <w:sz w:val="18"/>
                <w:szCs w:val="18"/>
              </w:rPr>
              <w:t xml:space="preserve"> </w:t>
            </w:r>
            <w:r w:rsidRPr="0043506D">
              <w:rPr>
                <w:i/>
                <w:sz w:val="18"/>
                <w:szCs w:val="18"/>
              </w:rPr>
              <w:t>400</w:t>
            </w:r>
            <w:r w:rsidR="00A66303">
              <w:rPr>
                <w:i/>
                <w:sz w:val="18"/>
                <w:szCs w:val="18"/>
              </w:rPr>
              <w:t>,</w:t>
            </w:r>
            <w:r w:rsidRPr="0043506D">
              <w:rPr>
                <w:i/>
                <w:sz w:val="18"/>
                <w:szCs w:val="18"/>
              </w:rPr>
              <w:t>000</w:t>
            </w:r>
            <w:r w:rsidR="00A66303">
              <w:rPr>
                <w:i/>
                <w:sz w:val="18"/>
                <w:szCs w:val="18"/>
              </w:rPr>
              <w:t>,</w:t>
            </w:r>
            <w:r w:rsidRPr="0043506D">
              <w:rPr>
                <w:i/>
                <w:sz w:val="18"/>
                <w:szCs w:val="18"/>
              </w:rPr>
              <w:t>000</w:t>
            </w:r>
            <w:r w:rsidR="00A66303">
              <w:rPr>
                <w:i/>
                <w:sz w:val="18"/>
                <w:szCs w:val="18"/>
              </w:rPr>
              <w:t>,</w:t>
            </w:r>
            <w:r w:rsidRPr="0043506D">
              <w:rPr>
                <w:i/>
                <w:sz w:val="18"/>
                <w:szCs w:val="18"/>
              </w:rPr>
              <w:t>000</w:t>
            </w:r>
            <w:r w:rsidR="00A66303">
              <w:rPr>
                <w:i/>
                <w:sz w:val="18"/>
                <w:szCs w:val="18"/>
              </w:rPr>
              <w:t>,</w:t>
            </w:r>
            <w:r w:rsidRPr="0043506D">
              <w:rPr>
                <w:i/>
                <w:sz w:val="18"/>
                <w:szCs w:val="18"/>
              </w:rPr>
              <w:t xml:space="preserve"> also increasing its issued and fully paid capital from Rp</w:t>
            </w:r>
            <w:r w:rsidR="0043506D">
              <w:rPr>
                <w:i/>
                <w:sz w:val="18"/>
                <w:szCs w:val="18"/>
              </w:rPr>
              <w:t xml:space="preserve"> </w:t>
            </w:r>
            <w:r w:rsidRPr="0043506D">
              <w:rPr>
                <w:i/>
                <w:sz w:val="18"/>
                <w:szCs w:val="18"/>
              </w:rPr>
              <w:t>1</w:t>
            </w:r>
            <w:r w:rsidR="00A66303">
              <w:rPr>
                <w:i/>
                <w:sz w:val="18"/>
                <w:szCs w:val="18"/>
              </w:rPr>
              <w:t>,</w:t>
            </w:r>
            <w:r w:rsidRPr="0043506D">
              <w:rPr>
                <w:i/>
                <w:sz w:val="18"/>
                <w:szCs w:val="18"/>
              </w:rPr>
              <w:t>000</w:t>
            </w:r>
            <w:r w:rsidR="00A66303">
              <w:rPr>
                <w:i/>
                <w:sz w:val="18"/>
                <w:szCs w:val="18"/>
              </w:rPr>
              <w:t>,</w:t>
            </w:r>
            <w:r w:rsidRPr="0043506D">
              <w:rPr>
                <w:i/>
                <w:sz w:val="18"/>
                <w:szCs w:val="18"/>
              </w:rPr>
              <w:t>000</w:t>
            </w:r>
            <w:r w:rsidR="00A66303">
              <w:rPr>
                <w:i/>
                <w:sz w:val="18"/>
                <w:szCs w:val="18"/>
              </w:rPr>
              <w:t>,</w:t>
            </w:r>
            <w:r w:rsidRPr="0043506D">
              <w:rPr>
                <w:i/>
                <w:sz w:val="18"/>
                <w:szCs w:val="18"/>
              </w:rPr>
              <w:t xml:space="preserve">000 to </w:t>
            </w:r>
            <w:r w:rsidR="0043506D">
              <w:rPr>
                <w:i/>
                <w:sz w:val="18"/>
                <w:szCs w:val="18"/>
              </w:rPr>
              <w:br/>
            </w:r>
            <w:r w:rsidRPr="0043506D">
              <w:rPr>
                <w:i/>
                <w:sz w:val="18"/>
                <w:szCs w:val="18"/>
              </w:rPr>
              <w:t>Rp</w:t>
            </w:r>
            <w:r w:rsidR="0043506D">
              <w:rPr>
                <w:i/>
                <w:sz w:val="18"/>
                <w:szCs w:val="18"/>
              </w:rPr>
              <w:t xml:space="preserve"> </w:t>
            </w:r>
            <w:r w:rsidRPr="0043506D">
              <w:rPr>
                <w:i/>
                <w:sz w:val="18"/>
                <w:szCs w:val="18"/>
              </w:rPr>
              <w:t>128</w:t>
            </w:r>
            <w:r w:rsidR="00A66303">
              <w:rPr>
                <w:i/>
                <w:sz w:val="18"/>
                <w:szCs w:val="18"/>
              </w:rPr>
              <w:t>,</w:t>
            </w:r>
            <w:r w:rsidRPr="0043506D">
              <w:rPr>
                <w:i/>
                <w:sz w:val="18"/>
                <w:szCs w:val="18"/>
              </w:rPr>
              <w:t>000</w:t>
            </w:r>
            <w:r w:rsidR="00A66303">
              <w:rPr>
                <w:i/>
                <w:sz w:val="18"/>
                <w:szCs w:val="18"/>
              </w:rPr>
              <w:t>,</w:t>
            </w:r>
            <w:r w:rsidRPr="0043506D">
              <w:rPr>
                <w:i/>
                <w:sz w:val="18"/>
                <w:szCs w:val="18"/>
              </w:rPr>
              <w:t>000</w:t>
            </w:r>
            <w:r w:rsidR="00A66303">
              <w:rPr>
                <w:i/>
                <w:sz w:val="18"/>
                <w:szCs w:val="18"/>
              </w:rPr>
              <w:t>,</w:t>
            </w:r>
            <w:r w:rsidRPr="0043506D">
              <w:rPr>
                <w:i/>
                <w:sz w:val="18"/>
                <w:szCs w:val="18"/>
              </w:rPr>
              <w:t>000. The Increase in paid up capital was all acquired by the Company.</w:t>
            </w:r>
          </w:p>
        </w:tc>
      </w:tr>
    </w:tbl>
    <w:p w14:paraId="4DA41DDB" w14:textId="06F3E0BA" w:rsidR="00015B96" w:rsidRDefault="00015B96"/>
    <w:p w14:paraId="5500F598" w14:textId="20DAA0A3" w:rsidR="00015B96" w:rsidRDefault="00015B96">
      <w:pPr>
        <w:rPr>
          <w:sz w:val="2"/>
          <w:szCs w:val="2"/>
        </w:rPr>
      </w:pPr>
      <w:r>
        <w:rPr>
          <w:sz w:val="2"/>
          <w:szCs w:val="2"/>
        </w:rPr>
        <w:br w:type="page"/>
      </w:r>
    </w:p>
    <w:p w14:paraId="7E514D93" w14:textId="77777777" w:rsidR="00015B96" w:rsidRPr="00015B96" w:rsidRDefault="00015B96">
      <w:pPr>
        <w:rPr>
          <w:sz w:val="2"/>
          <w:szCs w:val="2"/>
        </w:rPr>
      </w:pPr>
    </w:p>
    <w:tbl>
      <w:tblPr>
        <w:tblW w:w="9197" w:type="dxa"/>
        <w:tblInd w:w="392" w:type="dxa"/>
        <w:tblLayout w:type="fixed"/>
        <w:tblLook w:val="0000" w:firstRow="0" w:lastRow="0" w:firstColumn="0" w:lastColumn="0" w:noHBand="0" w:noVBand="0"/>
      </w:tblPr>
      <w:tblGrid>
        <w:gridCol w:w="4598"/>
        <w:gridCol w:w="4599"/>
      </w:tblGrid>
      <w:tr w:rsidR="00015B96" w:rsidRPr="00C662A8" w14:paraId="1905ADD4" w14:textId="77777777" w:rsidTr="00982A96">
        <w:tc>
          <w:tcPr>
            <w:tcW w:w="4598" w:type="dxa"/>
          </w:tcPr>
          <w:p w14:paraId="07FF30A9" w14:textId="77777777" w:rsidR="00015B96" w:rsidRPr="00C662A8" w:rsidRDefault="00015B96" w:rsidP="00070D1F">
            <w:pPr>
              <w:pStyle w:val="ListParagraph"/>
              <w:numPr>
                <w:ilvl w:val="0"/>
                <w:numId w:val="361"/>
              </w:numPr>
              <w:ind w:left="339"/>
              <w:contextualSpacing/>
              <w:jc w:val="both"/>
              <w:rPr>
                <w:rStyle w:val="hps"/>
                <w:b/>
                <w:sz w:val="18"/>
                <w:szCs w:val="18"/>
              </w:rPr>
            </w:pPr>
            <w:r w:rsidRPr="00C662A8">
              <w:rPr>
                <w:rStyle w:val="hps"/>
                <w:b/>
                <w:sz w:val="18"/>
                <w:szCs w:val="18"/>
              </w:rPr>
              <w:t xml:space="preserve">UMUM </w:t>
            </w:r>
            <w:r w:rsidRPr="00C662A8">
              <w:rPr>
                <w:rStyle w:val="hps"/>
                <w:b/>
                <w:sz w:val="18"/>
                <w:szCs w:val="18"/>
                <w:lang w:val="id-ID"/>
              </w:rPr>
              <w:t>-</w:t>
            </w:r>
            <w:r w:rsidRPr="00C662A8">
              <w:rPr>
                <w:rStyle w:val="hps"/>
                <w:b/>
                <w:sz w:val="18"/>
                <w:szCs w:val="18"/>
              </w:rPr>
              <w:t xml:space="preserve"> Lanjutan</w:t>
            </w:r>
          </w:p>
        </w:tc>
        <w:tc>
          <w:tcPr>
            <w:tcW w:w="4599" w:type="dxa"/>
          </w:tcPr>
          <w:p w14:paraId="63FA6BC7" w14:textId="77777777" w:rsidR="00015B96" w:rsidRPr="00C662A8" w:rsidRDefault="00015B96" w:rsidP="00070D1F">
            <w:pPr>
              <w:pStyle w:val="ListParagraph"/>
              <w:numPr>
                <w:ilvl w:val="0"/>
                <w:numId w:val="362"/>
              </w:numPr>
              <w:ind w:left="308" w:hanging="294"/>
              <w:contextualSpacing/>
              <w:jc w:val="both"/>
              <w:rPr>
                <w:b/>
                <w:bCs w:val="0"/>
                <w:i/>
                <w:sz w:val="18"/>
                <w:szCs w:val="18"/>
              </w:rPr>
            </w:pPr>
            <w:r w:rsidRPr="00C662A8">
              <w:rPr>
                <w:b/>
                <w:i/>
                <w:sz w:val="18"/>
                <w:szCs w:val="18"/>
              </w:rPr>
              <w:t xml:space="preserve">GENERAL </w:t>
            </w:r>
            <w:r w:rsidRPr="00C662A8">
              <w:rPr>
                <w:b/>
                <w:i/>
                <w:sz w:val="18"/>
                <w:szCs w:val="18"/>
                <w:lang w:val="id-ID"/>
              </w:rPr>
              <w:t>-</w:t>
            </w:r>
            <w:r w:rsidRPr="00C662A8">
              <w:rPr>
                <w:b/>
                <w:i/>
                <w:sz w:val="18"/>
                <w:szCs w:val="18"/>
              </w:rPr>
              <w:t xml:space="preserve"> Continued</w:t>
            </w:r>
          </w:p>
        </w:tc>
      </w:tr>
      <w:tr w:rsidR="00015B96" w:rsidRPr="00015B96" w14:paraId="64069125" w14:textId="77777777" w:rsidTr="00982A96">
        <w:tc>
          <w:tcPr>
            <w:tcW w:w="4598" w:type="dxa"/>
          </w:tcPr>
          <w:p w14:paraId="09EA4D26" w14:textId="77777777" w:rsidR="00015B96" w:rsidRPr="00015B96" w:rsidRDefault="00015B96" w:rsidP="00982A96">
            <w:pPr>
              <w:jc w:val="both"/>
              <w:rPr>
                <w:rStyle w:val="hps"/>
                <w:sz w:val="10"/>
                <w:szCs w:val="10"/>
              </w:rPr>
            </w:pPr>
          </w:p>
        </w:tc>
        <w:tc>
          <w:tcPr>
            <w:tcW w:w="4599" w:type="dxa"/>
          </w:tcPr>
          <w:p w14:paraId="7C9E67F1" w14:textId="77777777" w:rsidR="00015B96" w:rsidRPr="00015B96" w:rsidRDefault="00015B96" w:rsidP="00982A96">
            <w:pPr>
              <w:ind w:left="426"/>
              <w:jc w:val="both"/>
              <w:rPr>
                <w:bCs w:val="0"/>
                <w:i/>
                <w:sz w:val="10"/>
                <w:szCs w:val="10"/>
              </w:rPr>
            </w:pPr>
          </w:p>
        </w:tc>
      </w:tr>
      <w:tr w:rsidR="00015B96" w:rsidRPr="00C662A8" w14:paraId="07E13020" w14:textId="77777777" w:rsidTr="00982A96">
        <w:tc>
          <w:tcPr>
            <w:tcW w:w="4598" w:type="dxa"/>
          </w:tcPr>
          <w:p w14:paraId="6AFB1760" w14:textId="77777777" w:rsidR="00015B96" w:rsidRPr="00C662A8" w:rsidRDefault="00015B96" w:rsidP="00070D1F">
            <w:pPr>
              <w:pStyle w:val="ListParagraph"/>
              <w:numPr>
                <w:ilvl w:val="0"/>
                <w:numId w:val="363"/>
              </w:numPr>
              <w:ind w:left="573" w:right="-57" w:hanging="210"/>
              <w:contextualSpacing/>
              <w:jc w:val="both"/>
              <w:rPr>
                <w:rStyle w:val="hps"/>
                <w:b/>
                <w:sz w:val="18"/>
                <w:szCs w:val="18"/>
              </w:rPr>
            </w:pPr>
            <w:r w:rsidRPr="00C662A8">
              <w:rPr>
                <w:rStyle w:val="hps"/>
                <w:b/>
                <w:sz w:val="18"/>
                <w:szCs w:val="18"/>
                <w:lang w:val="id-ID"/>
              </w:rPr>
              <w:t xml:space="preserve">Struktur Perusahaan dan Entitas Anak </w:t>
            </w:r>
            <w:r>
              <w:rPr>
                <w:rStyle w:val="hps"/>
                <w:b/>
                <w:sz w:val="18"/>
                <w:szCs w:val="18"/>
              </w:rPr>
              <w:t>- L</w:t>
            </w:r>
            <w:r w:rsidRPr="00C662A8">
              <w:rPr>
                <w:rStyle w:val="hps"/>
                <w:b/>
                <w:sz w:val="18"/>
                <w:szCs w:val="18"/>
                <w:lang w:val="id-ID"/>
              </w:rPr>
              <w:t>anjutan</w:t>
            </w:r>
          </w:p>
        </w:tc>
        <w:tc>
          <w:tcPr>
            <w:tcW w:w="4599" w:type="dxa"/>
          </w:tcPr>
          <w:p w14:paraId="3DBC9D09" w14:textId="77777777" w:rsidR="00015B96" w:rsidRPr="00C662A8" w:rsidRDefault="00015B96" w:rsidP="00070D1F">
            <w:pPr>
              <w:pStyle w:val="ListParagraph"/>
              <w:numPr>
                <w:ilvl w:val="0"/>
                <w:numId w:val="364"/>
              </w:numPr>
              <w:ind w:left="587" w:right="-57" w:hanging="251"/>
              <w:contextualSpacing/>
              <w:jc w:val="both"/>
              <w:rPr>
                <w:b/>
                <w:bCs w:val="0"/>
                <w:i/>
                <w:sz w:val="18"/>
                <w:szCs w:val="18"/>
              </w:rPr>
            </w:pPr>
            <w:r w:rsidRPr="00C662A8">
              <w:rPr>
                <w:b/>
                <w:i/>
                <w:sz w:val="18"/>
                <w:szCs w:val="18"/>
                <w:lang w:val="id-ID"/>
              </w:rPr>
              <w:t xml:space="preserve">Structure of The Group </w:t>
            </w:r>
            <w:r>
              <w:rPr>
                <w:b/>
                <w:i/>
                <w:sz w:val="18"/>
                <w:szCs w:val="18"/>
              </w:rPr>
              <w:t xml:space="preserve">- </w:t>
            </w:r>
            <w:r w:rsidRPr="00C662A8">
              <w:rPr>
                <w:b/>
                <w:i/>
                <w:sz w:val="18"/>
                <w:szCs w:val="18"/>
                <w:lang w:val="id-ID"/>
              </w:rPr>
              <w:t>Continued</w:t>
            </w:r>
          </w:p>
        </w:tc>
      </w:tr>
      <w:tr w:rsidR="00015B96" w:rsidRPr="00015B96" w14:paraId="3FEB27B4" w14:textId="77777777" w:rsidTr="00982A96">
        <w:tc>
          <w:tcPr>
            <w:tcW w:w="4598" w:type="dxa"/>
          </w:tcPr>
          <w:p w14:paraId="64FFE489" w14:textId="77777777" w:rsidR="00015B96" w:rsidRPr="00015B96" w:rsidRDefault="00015B96" w:rsidP="00982A96">
            <w:pPr>
              <w:jc w:val="both"/>
              <w:rPr>
                <w:rStyle w:val="hps"/>
                <w:sz w:val="10"/>
                <w:szCs w:val="10"/>
              </w:rPr>
            </w:pPr>
          </w:p>
        </w:tc>
        <w:tc>
          <w:tcPr>
            <w:tcW w:w="4599" w:type="dxa"/>
          </w:tcPr>
          <w:p w14:paraId="47EF3C5A" w14:textId="77777777" w:rsidR="00015B96" w:rsidRPr="00015B96" w:rsidRDefault="00015B96" w:rsidP="00982A96">
            <w:pPr>
              <w:ind w:left="426"/>
              <w:jc w:val="both"/>
              <w:rPr>
                <w:bCs w:val="0"/>
                <w:i/>
                <w:sz w:val="10"/>
                <w:szCs w:val="10"/>
              </w:rPr>
            </w:pPr>
          </w:p>
        </w:tc>
      </w:tr>
      <w:tr w:rsidR="00015B96" w:rsidRPr="00C662A8" w14:paraId="0F3C8E45" w14:textId="77777777" w:rsidTr="00982A96">
        <w:tc>
          <w:tcPr>
            <w:tcW w:w="4598" w:type="dxa"/>
          </w:tcPr>
          <w:p w14:paraId="3B5F0A85" w14:textId="77777777" w:rsidR="00015B96" w:rsidRPr="00C662A8" w:rsidRDefault="00015B96" w:rsidP="00982A96">
            <w:pPr>
              <w:ind w:left="567" w:right="-57"/>
              <w:jc w:val="both"/>
              <w:rPr>
                <w:rStyle w:val="hps"/>
                <w:b/>
                <w:sz w:val="18"/>
                <w:szCs w:val="18"/>
              </w:rPr>
            </w:pPr>
            <w:r w:rsidRPr="00C662A8">
              <w:rPr>
                <w:rStyle w:val="hps"/>
                <w:b/>
                <w:sz w:val="18"/>
                <w:szCs w:val="18"/>
              </w:rPr>
              <w:t>Pendirian Entitas Anak Tahun 2015</w:t>
            </w:r>
            <w:r>
              <w:rPr>
                <w:rStyle w:val="hps"/>
                <w:b/>
                <w:sz w:val="18"/>
                <w:szCs w:val="18"/>
              </w:rPr>
              <w:t xml:space="preserve"> - Lanjutan</w:t>
            </w:r>
          </w:p>
        </w:tc>
        <w:tc>
          <w:tcPr>
            <w:tcW w:w="4599" w:type="dxa"/>
          </w:tcPr>
          <w:p w14:paraId="482359E5" w14:textId="77777777" w:rsidR="00015B96" w:rsidRPr="00C662A8" w:rsidRDefault="00015B96" w:rsidP="00982A96">
            <w:pPr>
              <w:ind w:left="567" w:right="-57"/>
              <w:jc w:val="both"/>
              <w:rPr>
                <w:b/>
                <w:i/>
                <w:sz w:val="18"/>
                <w:szCs w:val="18"/>
              </w:rPr>
            </w:pPr>
            <w:r w:rsidRPr="00C662A8">
              <w:rPr>
                <w:b/>
                <w:i/>
                <w:sz w:val="18"/>
                <w:szCs w:val="18"/>
              </w:rPr>
              <w:t>Establishment of Subsidiaries in 2015</w:t>
            </w:r>
            <w:r>
              <w:rPr>
                <w:b/>
                <w:i/>
                <w:sz w:val="18"/>
                <w:szCs w:val="18"/>
              </w:rPr>
              <w:t xml:space="preserve"> - Continued</w:t>
            </w:r>
          </w:p>
        </w:tc>
      </w:tr>
      <w:tr w:rsidR="00015B96" w:rsidRPr="00015B96" w14:paraId="3F9D8248" w14:textId="77777777" w:rsidTr="00982A96">
        <w:tc>
          <w:tcPr>
            <w:tcW w:w="4598" w:type="dxa"/>
          </w:tcPr>
          <w:p w14:paraId="212AAC02" w14:textId="77777777" w:rsidR="00015B96" w:rsidRPr="00015B96" w:rsidRDefault="00015B96" w:rsidP="00982A96">
            <w:pPr>
              <w:ind w:left="567" w:right="-57"/>
              <w:jc w:val="both"/>
              <w:rPr>
                <w:rStyle w:val="hps"/>
                <w:b/>
                <w:sz w:val="10"/>
                <w:szCs w:val="10"/>
              </w:rPr>
            </w:pPr>
          </w:p>
        </w:tc>
        <w:tc>
          <w:tcPr>
            <w:tcW w:w="4599" w:type="dxa"/>
          </w:tcPr>
          <w:p w14:paraId="7D159261" w14:textId="77777777" w:rsidR="00015B96" w:rsidRPr="00015B96" w:rsidRDefault="00015B96" w:rsidP="00982A96">
            <w:pPr>
              <w:ind w:left="567" w:right="-57"/>
              <w:jc w:val="both"/>
              <w:rPr>
                <w:b/>
                <w:i/>
                <w:sz w:val="10"/>
                <w:szCs w:val="10"/>
              </w:rPr>
            </w:pPr>
          </w:p>
        </w:tc>
      </w:tr>
      <w:tr w:rsidR="00015B96" w:rsidRPr="00C662A8" w14:paraId="5F75252F" w14:textId="77777777" w:rsidTr="00982A96">
        <w:tc>
          <w:tcPr>
            <w:tcW w:w="4598" w:type="dxa"/>
          </w:tcPr>
          <w:p w14:paraId="666F923A" w14:textId="5056DDAE" w:rsidR="00015B96" w:rsidRPr="00C662A8" w:rsidRDefault="00015B96" w:rsidP="00982A96">
            <w:pPr>
              <w:ind w:left="567" w:right="-57"/>
              <w:jc w:val="both"/>
              <w:rPr>
                <w:rStyle w:val="hps"/>
                <w:sz w:val="18"/>
                <w:szCs w:val="18"/>
                <w:u w:val="single"/>
              </w:rPr>
            </w:pPr>
            <w:r w:rsidRPr="00C662A8">
              <w:rPr>
                <w:rStyle w:val="hps"/>
                <w:sz w:val="18"/>
                <w:szCs w:val="18"/>
                <w:u w:val="single"/>
              </w:rPr>
              <w:t>PT Karya Kharisma Sentosa  (“KKS”)</w:t>
            </w:r>
            <w:r>
              <w:rPr>
                <w:rStyle w:val="hps"/>
                <w:sz w:val="18"/>
                <w:szCs w:val="18"/>
                <w:u w:val="single"/>
              </w:rPr>
              <w:t xml:space="preserve"> - Lanjutan</w:t>
            </w:r>
          </w:p>
        </w:tc>
        <w:tc>
          <w:tcPr>
            <w:tcW w:w="4599" w:type="dxa"/>
          </w:tcPr>
          <w:p w14:paraId="614998BB" w14:textId="1959C013" w:rsidR="00015B96" w:rsidRPr="00C662A8" w:rsidRDefault="00015B96" w:rsidP="00982A96">
            <w:pPr>
              <w:ind w:left="567" w:right="-57"/>
              <w:jc w:val="both"/>
              <w:rPr>
                <w:i/>
                <w:sz w:val="18"/>
                <w:szCs w:val="18"/>
                <w:u w:val="single"/>
              </w:rPr>
            </w:pPr>
            <w:r w:rsidRPr="00C662A8">
              <w:rPr>
                <w:rStyle w:val="hps"/>
                <w:i/>
                <w:sz w:val="18"/>
                <w:szCs w:val="18"/>
                <w:u w:val="single"/>
              </w:rPr>
              <w:t>PT Karya Kharisma Sentosa  (“KKS”)</w:t>
            </w:r>
            <w:r>
              <w:rPr>
                <w:rStyle w:val="hps"/>
                <w:i/>
                <w:sz w:val="18"/>
                <w:szCs w:val="18"/>
                <w:u w:val="single"/>
              </w:rPr>
              <w:t xml:space="preserve"> - Continued</w:t>
            </w:r>
          </w:p>
        </w:tc>
      </w:tr>
      <w:tr w:rsidR="00532A65" w:rsidRPr="0043506D" w14:paraId="659EEBFB" w14:textId="77777777" w:rsidTr="00015B96">
        <w:tc>
          <w:tcPr>
            <w:tcW w:w="4598" w:type="dxa"/>
          </w:tcPr>
          <w:p w14:paraId="5F58032B" w14:textId="77777777" w:rsidR="00532A65" w:rsidRPr="0043506D" w:rsidRDefault="00532A65" w:rsidP="00532A65">
            <w:pPr>
              <w:ind w:left="567" w:right="-57"/>
              <w:jc w:val="both"/>
              <w:rPr>
                <w:rStyle w:val="hps"/>
                <w:sz w:val="18"/>
                <w:szCs w:val="18"/>
              </w:rPr>
            </w:pPr>
          </w:p>
        </w:tc>
        <w:tc>
          <w:tcPr>
            <w:tcW w:w="4599" w:type="dxa"/>
          </w:tcPr>
          <w:p w14:paraId="4E7E7D6F" w14:textId="77777777" w:rsidR="00532A65" w:rsidRPr="0043506D" w:rsidRDefault="00532A65" w:rsidP="00532A65">
            <w:pPr>
              <w:ind w:left="567" w:right="-57"/>
              <w:jc w:val="both"/>
              <w:rPr>
                <w:i/>
                <w:sz w:val="18"/>
                <w:szCs w:val="18"/>
              </w:rPr>
            </w:pPr>
          </w:p>
        </w:tc>
      </w:tr>
      <w:tr w:rsidR="00015B96" w:rsidRPr="00015B96" w14:paraId="041A902C" w14:textId="77777777" w:rsidTr="00015B96">
        <w:tc>
          <w:tcPr>
            <w:tcW w:w="4598" w:type="dxa"/>
          </w:tcPr>
          <w:p w14:paraId="00A23912" w14:textId="2CE233E1" w:rsidR="00015B96" w:rsidRPr="0043506D" w:rsidRDefault="00015B96" w:rsidP="00A66303">
            <w:pPr>
              <w:ind w:left="567" w:right="-57"/>
              <w:jc w:val="both"/>
              <w:rPr>
                <w:rStyle w:val="hps"/>
                <w:sz w:val="18"/>
                <w:szCs w:val="18"/>
              </w:rPr>
            </w:pPr>
            <w:r w:rsidRPr="00015B96">
              <w:rPr>
                <w:rStyle w:val="hps"/>
                <w:sz w:val="18"/>
                <w:szCs w:val="18"/>
              </w:rPr>
              <w:t>Anggaran dasar Perusahaan telah mengalami</w:t>
            </w:r>
            <w:r>
              <w:rPr>
                <w:rStyle w:val="hps"/>
                <w:sz w:val="18"/>
                <w:szCs w:val="18"/>
              </w:rPr>
              <w:t xml:space="preserve"> </w:t>
            </w:r>
            <w:r w:rsidRPr="00015B96">
              <w:rPr>
                <w:rStyle w:val="hps"/>
                <w:sz w:val="18"/>
                <w:szCs w:val="18"/>
              </w:rPr>
              <w:t>perubahan</w:t>
            </w:r>
            <w:r w:rsidR="00A66303">
              <w:rPr>
                <w:rStyle w:val="hps"/>
                <w:sz w:val="18"/>
                <w:szCs w:val="18"/>
              </w:rPr>
              <w:t>,</w:t>
            </w:r>
            <w:r w:rsidRPr="00015B96">
              <w:rPr>
                <w:rStyle w:val="hps"/>
                <w:sz w:val="18"/>
                <w:szCs w:val="18"/>
              </w:rPr>
              <w:t xml:space="preserve"> dengan Akta terakhir No. 69 tanggal 24</w:t>
            </w:r>
            <w:r>
              <w:rPr>
                <w:rStyle w:val="hps"/>
                <w:sz w:val="18"/>
                <w:szCs w:val="18"/>
              </w:rPr>
              <w:t xml:space="preserve"> </w:t>
            </w:r>
            <w:r w:rsidRPr="00015B96">
              <w:rPr>
                <w:rStyle w:val="hps"/>
                <w:sz w:val="18"/>
                <w:szCs w:val="18"/>
              </w:rPr>
              <w:t>Juni 2019 Notaris Eriko Nicolaus Honanda</w:t>
            </w:r>
            <w:r w:rsidR="00A66303">
              <w:rPr>
                <w:rStyle w:val="hps"/>
                <w:sz w:val="18"/>
                <w:szCs w:val="18"/>
              </w:rPr>
              <w:t>,</w:t>
            </w:r>
            <w:r w:rsidRPr="00015B96">
              <w:rPr>
                <w:rStyle w:val="hps"/>
                <w:sz w:val="18"/>
                <w:szCs w:val="18"/>
              </w:rPr>
              <w:t xml:space="preserve"> S.E.</w:t>
            </w:r>
            <w:r w:rsidR="00A66303">
              <w:rPr>
                <w:rStyle w:val="hps"/>
                <w:sz w:val="18"/>
                <w:szCs w:val="18"/>
              </w:rPr>
              <w:t xml:space="preserve">, </w:t>
            </w:r>
            <w:r w:rsidRPr="00015B96">
              <w:rPr>
                <w:rStyle w:val="hps"/>
                <w:sz w:val="18"/>
                <w:szCs w:val="18"/>
              </w:rPr>
              <w:t>S.H.</w:t>
            </w:r>
            <w:r w:rsidR="00A66303">
              <w:rPr>
                <w:rStyle w:val="hps"/>
                <w:sz w:val="18"/>
                <w:szCs w:val="18"/>
              </w:rPr>
              <w:t>,</w:t>
            </w:r>
            <w:r w:rsidRPr="00015B96">
              <w:rPr>
                <w:rStyle w:val="hps"/>
                <w:sz w:val="18"/>
                <w:szCs w:val="18"/>
              </w:rPr>
              <w:t xml:space="preserve"> MM.</w:t>
            </w:r>
            <w:r w:rsidR="00A66303">
              <w:rPr>
                <w:rStyle w:val="hps"/>
                <w:sz w:val="18"/>
                <w:szCs w:val="18"/>
              </w:rPr>
              <w:t>,</w:t>
            </w:r>
            <w:r w:rsidRPr="00015B96">
              <w:rPr>
                <w:rStyle w:val="hps"/>
                <w:sz w:val="18"/>
                <w:szCs w:val="18"/>
              </w:rPr>
              <w:t xml:space="preserve"> di Jakarta</w:t>
            </w:r>
            <w:r w:rsidR="00A66303">
              <w:rPr>
                <w:rStyle w:val="hps"/>
                <w:sz w:val="18"/>
                <w:szCs w:val="18"/>
              </w:rPr>
              <w:t>,</w:t>
            </w:r>
            <w:r w:rsidRPr="00015B96">
              <w:rPr>
                <w:rStyle w:val="hps"/>
                <w:sz w:val="18"/>
                <w:szCs w:val="18"/>
              </w:rPr>
              <w:t xml:space="preserve"> dimana pemegang saham</w:t>
            </w:r>
            <w:r>
              <w:rPr>
                <w:rStyle w:val="hps"/>
                <w:sz w:val="18"/>
                <w:szCs w:val="18"/>
              </w:rPr>
              <w:t xml:space="preserve"> </w:t>
            </w:r>
            <w:r w:rsidRPr="00015B96">
              <w:rPr>
                <w:rStyle w:val="hps"/>
                <w:sz w:val="18"/>
                <w:szCs w:val="18"/>
              </w:rPr>
              <w:t>perusahaan setuju untuk merubah maksud dan tujuan</w:t>
            </w:r>
            <w:r>
              <w:rPr>
                <w:rStyle w:val="hps"/>
                <w:sz w:val="18"/>
                <w:szCs w:val="18"/>
              </w:rPr>
              <w:t xml:space="preserve"> </w:t>
            </w:r>
            <w:r w:rsidRPr="00015B96">
              <w:rPr>
                <w:rStyle w:val="hps"/>
                <w:sz w:val="18"/>
                <w:szCs w:val="18"/>
              </w:rPr>
              <w:t>serta kegiatan usaha menjadi aktifitas rumah sakit</w:t>
            </w:r>
            <w:r>
              <w:rPr>
                <w:rStyle w:val="hps"/>
                <w:sz w:val="18"/>
                <w:szCs w:val="18"/>
              </w:rPr>
              <w:t xml:space="preserve"> </w:t>
            </w:r>
            <w:r w:rsidRPr="00015B96">
              <w:rPr>
                <w:rStyle w:val="hps"/>
                <w:sz w:val="18"/>
                <w:szCs w:val="18"/>
              </w:rPr>
              <w:t>swasta. Akta telah memperoleh persetujuan dari</w:t>
            </w:r>
            <w:r>
              <w:rPr>
                <w:rStyle w:val="hps"/>
                <w:sz w:val="18"/>
                <w:szCs w:val="18"/>
              </w:rPr>
              <w:t xml:space="preserve"> </w:t>
            </w:r>
            <w:r w:rsidRPr="00015B96">
              <w:rPr>
                <w:rStyle w:val="hps"/>
                <w:sz w:val="18"/>
                <w:szCs w:val="18"/>
              </w:rPr>
              <w:t>Menteri Hukum dan Hak Asasi Manusia Republik</w:t>
            </w:r>
            <w:r>
              <w:rPr>
                <w:rStyle w:val="hps"/>
                <w:sz w:val="18"/>
                <w:szCs w:val="18"/>
              </w:rPr>
              <w:t xml:space="preserve"> </w:t>
            </w:r>
            <w:r w:rsidRPr="00015B96">
              <w:rPr>
                <w:rStyle w:val="hps"/>
                <w:sz w:val="18"/>
                <w:szCs w:val="18"/>
              </w:rPr>
              <w:t>Indonesia Berdasarkan Surat Keputusa</w:t>
            </w:r>
            <w:r>
              <w:rPr>
                <w:rStyle w:val="hps"/>
                <w:sz w:val="18"/>
                <w:szCs w:val="18"/>
              </w:rPr>
              <w:t xml:space="preserve">n </w:t>
            </w:r>
            <w:r w:rsidRPr="00015B96">
              <w:rPr>
                <w:rStyle w:val="hps"/>
                <w:sz w:val="18"/>
                <w:szCs w:val="18"/>
              </w:rPr>
              <w:t>No.AHU0041033.AH.01.02.</w:t>
            </w:r>
            <w:r>
              <w:rPr>
                <w:rStyle w:val="hps"/>
                <w:sz w:val="18"/>
                <w:szCs w:val="18"/>
              </w:rPr>
              <w:t xml:space="preserve"> </w:t>
            </w:r>
            <w:r w:rsidRPr="00015B96">
              <w:rPr>
                <w:rStyle w:val="hps"/>
                <w:sz w:val="18"/>
                <w:szCs w:val="18"/>
              </w:rPr>
              <w:t xml:space="preserve">Tahun 2019 Tanggal </w:t>
            </w:r>
            <w:r>
              <w:rPr>
                <w:rStyle w:val="hps"/>
                <w:sz w:val="18"/>
                <w:szCs w:val="18"/>
              </w:rPr>
              <w:br/>
            </w:r>
            <w:r w:rsidRPr="00015B96">
              <w:rPr>
                <w:rStyle w:val="hps"/>
                <w:sz w:val="18"/>
                <w:szCs w:val="18"/>
              </w:rPr>
              <w:t>24 Juli</w:t>
            </w:r>
            <w:r>
              <w:rPr>
                <w:rStyle w:val="hps"/>
                <w:sz w:val="18"/>
                <w:szCs w:val="18"/>
              </w:rPr>
              <w:t xml:space="preserve"> </w:t>
            </w:r>
            <w:r w:rsidRPr="00015B96">
              <w:rPr>
                <w:rStyle w:val="hps"/>
                <w:sz w:val="18"/>
                <w:szCs w:val="18"/>
              </w:rPr>
              <w:t xml:space="preserve">2019. </w:t>
            </w:r>
          </w:p>
        </w:tc>
        <w:tc>
          <w:tcPr>
            <w:tcW w:w="4599" w:type="dxa"/>
          </w:tcPr>
          <w:p w14:paraId="6A7420C8" w14:textId="102E56F2" w:rsidR="00015B96" w:rsidRPr="00015B96" w:rsidRDefault="00015B96" w:rsidP="00A66303">
            <w:pPr>
              <w:ind w:left="567" w:right="-57"/>
              <w:jc w:val="both"/>
              <w:rPr>
                <w:rStyle w:val="hps"/>
                <w:i/>
                <w:iCs/>
                <w:sz w:val="18"/>
                <w:szCs w:val="18"/>
              </w:rPr>
            </w:pPr>
            <w:r w:rsidRPr="00015B96">
              <w:rPr>
                <w:rStyle w:val="hps"/>
                <w:i/>
                <w:iCs/>
                <w:sz w:val="18"/>
                <w:szCs w:val="18"/>
              </w:rPr>
              <w:t>The Articles of Association of the Company have</w:t>
            </w:r>
            <w:r>
              <w:rPr>
                <w:rStyle w:val="hps"/>
                <w:i/>
                <w:iCs/>
                <w:sz w:val="18"/>
                <w:szCs w:val="18"/>
              </w:rPr>
              <w:t xml:space="preserve"> </w:t>
            </w:r>
            <w:r w:rsidRPr="00015B96">
              <w:rPr>
                <w:rStyle w:val="hps"/>
                <w:i/>
                <w:iCs/>
                <w:sz w:val="18"/>
                <w:szCs w:val="18"/>
              </w:rPr>
              <w:t>been amended</w:t>
            </w:r>
            <w:r w:rsidR="00A66303">
              <w:rPr>
                <w:rStyle w:val="hps"/>
                <w:i/>
                <w:iCs/>
                <w:sz w:val="18"/>
                <w:szCs w:val="18"/>
              </w:rPr>
              <w:t>,</w:t>
            </w:r>
            <w:r w:rsidRPr="00015B96">
              <w:rPr>
                <w:rStyle w:val="hps"/>
                <w:i/>
                <w:iCs/>
                <w:sz w:val="18"/>
                <w:szCs w:val="18"/>
              </w:rPr>
              <w:t xml:space="preserve"> with the latest Deed No. 120 dated</w:t>
            </w:r>
            <w:r>
              <w:rPr>
                <w:rStyle w:val="hps"/>
                <w:i/>
                <w:iCs/>
                <w:sz w:val="18"/>
                <w:szCs w:val="18"/>
              </w:rPr>
              <w:t xml:space="preserve"> </w:t>
            </w:r>
            <w:r w:rsidRPr="00015B96">
              <w:rPr>
                <w:rStyle w:val="hps"/>
                <w:i/>
                <w:iCs/>
                <w:sz w:val="18"/>
                <w:szCs w:val="18"/>
              </w:rPr>
              <w:t>January 23</w:t>
            </w:r>
            <w:r w:rsidR="00A66303">
              <w:rPr>
                <w:rStyle w:val="hps"/>
                <w:i/>
                <w:iCs/>
                <w:sz w:val="18"/>
                <w:szCs w:val="18"/>
              </w:rPr>
              <w:t>,</w:t>
            </w:r>
            <w:r w:rsidRPr="00015B96">
              <w:rPr>
                <w:rStyle w:val="hps"/>
                <w:i/>
                <w:iCs/>
                <w:sz w:val="18"/>
                <w:szCs w:val="18"/>
              </w:rPr>
              <w:t xml:space="preserve"> 2018 Notary Eriko Nicolaus Honanda</w:t>
            </w:r>
            <w:r w:rsidR="00A66303">
              <w:rPr>
                <w:rStyle w:val="hps"/>
                <w:i/>
                <w:iCs/>
                <w:sz w:val="18"/>
                <w:szCs w:val="18"/>
              </w:rPr>
              <w:t>,</w:t>
            </w:r>
            <w:r>
              <w:rPr>
                <w:rStyle w:val="hps"/>
                <w:i/>
                <w:iCs/>
                <w:sz w:val="18"/>
                <w:szCs w:val="18"/>
              </w:rPr>
              <w:t xml:space="preserve"> </w:t>
            </w:r>
            <w:r w:rsidRPr="00015B96">
              <w:rPr>
                <w:rStyle w:val="hps"/>
                <w:i/>
                <w:iCs/>
                <w:sz w:val="18"/>
                <w:szCs w:val="18"/>
              </w:rPr>
              <w:t>S.E.</w:t>
            </w:r>
            <w:r w:rsidR="00A66303">
              <w:rPr>
                <w:rStyle w:val="hps"/>
                <w:i/>
                <w:iCs/>
                <w:sz w:val="18"/>
                <w:szCs w:val="18"/>
              </w:rPr>
              <w:t>,</w:t>
            </w:r>
            <w:r w:rsidRPr="00015B96">
              <w:rPr>
                <w:rStyle w:val="hps"/>
                <w:i/>
                <w:iCs/>
                <w:sz w:val="18"/>
                <w:szCs w:val="18"/>
              </w:rPr>
              <w:t xml:space="preserve"> S.H.</w:t>
            </w:r>
            <w:r w:rsidR="00A66303">
              <w:rPr>
                <w:rStyle w:val="hps"/>
                <w:i/>
                <w:iCs/>
                <w:sz w:val="18"/>
                <w:szCs w:val="18"/>
              </w:rPr>
              <w:t>,</w:t>
            </w:r>
            <w:r w:rsidRPr="00015B96">
              <w:rPr>
                <w:rStyle w:val="hps"/>
                <w:i/>
                <w:iCs/>
                <w:sz w:val="18"/>
                <w:szCs w:val="18"/>
              </w:rPr>
              <w:t xml:space="preserve"> MM.</w:t>
            </w:r>
            <w:r w:rsidR="00A66303">
              <w:rPr>
                <w:rStyle w:val="hps"/>
                <w:i/>
                <w:iCs/>
                <w:sz w:val="18"/>
                <w:szCs w:val="18"/>
              </w:rPr>
              <w:t>,</w:t>
            </w:r>
            <w:r w:rsidRPr="00015B96">
              <w:rPr>
                <w:rStyle w:val="hps"/>
                <w:i/>
                <w:iCs/>
                <w:sz w:val="18"/>
                <w:szCs w:val="18"/>
              </w:rPr>
              <w:t xml:space="preserve"> in Jakarta</w:t>
            </w:r>
            <w:r w:rsidR="00A66303">
              <w:rPr>
                <w:rStyle w:val="hps"/>
                <w:i/>
                <w:iCs/>
                <w:sz w:val="18"/>
                <w:szCs w:val="18"/>
              </w:rPr>
              <w:t>,</w:t>
            </w:r>
            <w:r w:rsidRPr="00015B96">
              <w:rPr>
                <w:rStyle w:val="hps"/>
                <w:i/>
                <w:iCs/>
                <w:sz w:val="18"/>
                <w:szCs w:val="18"/>
              </w:rPr>
              <w:t xml:space="preserve"> where in the Company’s</w:t>
            </w:r>
            <w:r>
              <w:rPr>
                <w:rStyle w:val="hps"/>
                <w:i/>
                <w:iCs/>
                <w:sz w:val="18"/>
                <w:szCs w:val="18"/>
              </w:rPr>
              <w:t xml:space="preserve"> </w:t>
            </w:r>
            <w:r w:rsidRPr="00015B96">
              <w:rPr>
                <w:rStyle w:val="hps"/>
                <w:i/>
                <w:iCs/>
                <w:sz w:val="18"/>
                <w:szCs w:val="18"/>
              </w:rPr>
              <w:t>shareholders approve to change the aims and</w:t>
            </w:r>
            <w:r>
              <w:rPr>
                <w:rStyle w:val="hps"/>
                <w:i/>
                <w:iCs/>
                <w:sz w:val="18"/>
                <w:szCs w:val="18"/>
              </w:rPr>
              <w:t xml:space="preserve"> </w:t>
            </w:r>
            <w:r w:rsidRPr="00015B96">
              <w:rPr>
                <w:rStyle w:val="hps"/>
                <w:i/>
                <w:iCs/>
                <w:sz w:val="18"/>
                <w:szCs w:val="18"/>
              </w:rPr>
              <w:t>objectives busuness activities into a private hospital</w:t>
            </w:r>
            <w:r>
              <w:rPr>
                <w:rStyle w:val="hps"/>
                <w:i/>
                <w:iCs/>
                <w:sz w:val="18"/>
                <w:szCs w:val="18"/>
              </w:rPr>
              <w:t xml:space="preserve"> </w:t>
            </w:r>
            <w:r w:rsidRPr="00015B96">
              <w:rPr>
                <w:rStyle w:val="hps"/>
                <w:i/>
                <w:iCs/>
                <w:sz w:val="18"/>
                <w:szCs w:val="18"/>
              </w:rPr>
              <w:t>activities. The deed has been approved by the</w:t>
            </w:r>
            <w:r>
              <w:rPr>
                <w:rStyle w:val="hps"/>
                <w:i/>
                <w:iCs/>
                <w:sz w:val="18"/>
                <w:szCs w:val="18"/>
              </w:rPr>
              <w:t xml:space="preserve"> </w:t>
            </w:r>
            <w:r w:rsidRPr="00015B96">
              <w:rPr>
                <w:rStyle w:val="hps"/>
                <w:i/>
                <w:iCs/>
                <w:sz w:val="18"/>
                <w:szCs w:val="18"/>
              </w:rPr>
              <w:t>Minister of Law and Human Rights of the Republic of</w:t>
            </w:r>
            <w:r>
              <w:rPr>
                <w:rStyle w:val="hps"/>
                <w:i/>
                <w:iCs/>
                <w:sz w:val="18"/>
                <w:szCs w:val="18"/>
              </w:rPr>
              <w:t xml:space="preserve"> </w:t>
            </w:r>
            <w:r w:rsidRPr="00015B96">
              <w:rPr>
                <w:rStyle w:val="hps"/>
                <w:i/>
                <w:iCs/>
                <w:sz w:val="18"/>
                <w:szCs w:val="18"/>
              </w:rPr>
              <w:t>Indonesia</w:t>
            </w:r>
            <w:r>
              <w:rPr>
                <w:rStyle w:val="hps"/>
                <w:i/>
                <w:iCs/>
                <w:sz w:val="18"/>
                <w:szCs w:val="18"/>
              </w:rPr>
              <w:t xml:space="preserve"> </w:t>
            </w:r>
            <w:r w:rsidRPr="00015B96">
              <w:rPr>
                <w:rStyle w:val="hps"/>
                <w:i/>
                <w:iCs/>
                <w:sz w:val="18"/>
                <w:szCs w:val="18"/>
              </w:rPr>
              <w:t>based on Decree No.AHU0041033.AH.01.02</w:t>
            </w:r>
            <w:r>
              <w:rPr>
                <w:rStyle w:val="hps"/>
                <w:i/>
                <w:iCs/>
                <w:sz w:val="18"/>
                <w:szCs w:val="18"/>
              </w:rPr>
              <w:t xml:space="preserve"> </w:t>
            </w:r>
            <w:r w:rsidRPr="00015B96">
              <w:rPr>
                <w:rStyle w:val="hps"/>
                <w:i/>
                <w:iCs/>
                <w:sz w:val="18"/>
                <w:szCs w:val="18"/>
              </w:rPr>
              <w:t>2018</w:t>
            </w:r>
            <w:r>
              <w:rPr>
                <w:rStyle w:val="hps"/>
                <w:i/>
                <w:iCs/>
                <w:sz w:val="18"/>
                <w:szCs w:val="18"/>
              </w:rPr>
              <w:t xml:space="preserve"> </w:t>
            </w:r>
            <w:r w:rsidRPr="00015B96">
              <w:rPr>
                <w:rStyle w:val="hps"/>
                <w:i/>
                <w:iCs/>
                <w:sz w:val="18"/>
                <w:szCs w:val="18"/>
              </w:rPr>
              <w:t>Dated</w:t>
            </w:r>
            <w:r>
              <w:rPr>
                <w:rStyle w:val="hps"/>
                <w:i/>
                <w:iCs/>
                <w:sz w:val="18"/>
                <w:szCs w:val="18"/>
              </w:rPr>
              <w:t xml:space="preserve"> </w:t>
            </w:r>
            <w:r w:rsidRPr="00015B96">
              <w:rPr>
                <w:rStyle w:val="hps"/>
                <w:i/>
                <w:iCs/>
                <w:sz w:val="18"/>
                <w:szCs w:val="18"/>
              </w:rPr>
              <w:t>July</w:t>
            </w:r>
            <w:r>
              <w:rPr>
                <w:rStyle w:val="hps"/>
                <w:i/>
                <w:iCs/>
                <w:sz w:val="18"/>
                <w:szCs w:val="18"/>
              </w:rPr>
              <w:t xml:space="preserve"> </w:t>
            </w:r>
            <w:r w:rsidRPr="00015B96">
              <w:rPr>
                <w:rStyle w:val="hps"/>
                <w:i/>
                <w:iCs/>
                <w:sz w:val="18"/>
                <w:szCs w:val="18"/>
              </w:rPr>
              <w:t>24</w:t>
            </w:r>
            <w:r w:rsidR="00A66303">
              <w:rPr>
                <w:rStyle w:val="hps"/>
                <w:i/>
                <w:iCs/>
                <w:sz w:val="18"/>
                <w:szCs w:val="18"/>
              </w:rPr>
              <w:t xml:space="preserve">, </w:t>
            </w:r>
            <w:r w:rsidRPr="00015B96">
              <w:rPr>
                <w:rStyle w:val="hps"/>
                <w:i/>
                <w:iCs/>
                <w:sz w:val="18"/>
                <w:szCs w:val="18"/>
              </w:rPr>
              <w:t>2019.</w:t>
            </w:r>
          </w:p>
        </w:tc>
      </w:tr>
      <w:tr w:rsidR="00015B96" w:rsidRPr="007B7F2B" w14:paraId="0C751EA8" w14:textId="77777777" w:rsidTr="00015B96">
        <w:tc>
          <w:tcPr>
            <w:tcW w:w="4598" w:type="dxa"/>
          </w:tcPr>
          <w:p w14:paraId="1536F4DC" w14:textId="77777777" w:rsidR="00015B96" w:rsidRPr="007B7F2B" w:rsidRDefault="00015B96" w:rsidP="00532A65">
            <w:pPr>
              <w:ind w:left="567" w:right="-57"/>
              <w:jc w:val="both"/>
              <w:rPr>
                <w:rStyle w:val="hps"/>
                <w:sz w:val="10"/>
                <w:szCs w:val="10"/>
              </w:rPr>
            </w:pPr>
          </w:p>
        </w:tc>
        <w:tc>
          <w:tcPr>
            <w:tcW w:w="4599" w:type="dxa"/>
          </w:tcPr>
          <w:p w14:paraId="785C6AAB" w14:textId="77777777" w:rsidR="00015B96" w:rsidRPr="007B7F2B" w:rsidRDefault="00015B96" w:rsidP="00532A65">
            <w:pPr>
              <w:ind w:left="567" w:right="-57"/>
              <w:jc w:val="both"/>
              <w:rPr>
                <w:i/>
                <w:sz w:val="10"/>
                <w:szCs w:val="10"/>
              </w:rPr>
            </w:pPr>
          </w:p>
        </w:tc>
      </w:tr>
      <w:tr w:rsidR="00532A65" w:rsidRPr="0043506D" w14:paraId="7B0F07DE" w14:textId="77777777" w:rsidTr="00015B96">
        <w:tc>
          <w:tcPr>
            <w:tcW w:w="4598" w:type="dxa"/>
          </w:tcPr>
          <w:p w14:paraId="1CCFE22A" w14:textId="2B814416" w:rsidR="00532A65" w:rsidRPr="0043506D" w:rsidRDefault="00BB72BD" w:rsidP="00532A65">
            <w:pPr>
              <w:ind w:left="567" w:right="-57"/>
              <w:jc w:val="both"/>
              <w:rPr>
                <w:rStyle w:val="hps"/>
                <w:sz w:val="18"/>
                <w:szCs w:val="18"/>
                <w:u w:val="single"/>
                <w:lang w:val="id-ID"/>
              </w:rPr>
            </w:pPr>
            <w:r w:rsidRPr="0043506D">
              <w:rPr>
                <w:rStyle w:val="hps"/>
                <w:sz w:val="18"/>
                <w:szCs w:val="18"/>
                <w:u w:val="single"/>
                <w:lang w:val="id-ID"/>
              </w:rPr>
              <w:t>PT  Anugrah Inti  Karya  (“AIK”)</w:t>
            </w:r>
          </w:p>
        </w:tc>
        <w:tc>
          <w:tcPr>
            <w:tcW w:w="4599" w:type="dxa"/>
          </w:tcPr>
          <w:p w14:paraId="6E2420E6" w14:textId="1E20883C" w:rsidR="00532A65" w:rsidRPr="0043506D" w:rsidRDefault="00BB72BD" w:rsidP="00532A65">
            <w:pPr>
              <w:ind w:left="567" w:right="-57"/>
              <w:jc w:val="both"/>
              <w:rPr>
                <w:i/>
                <w:sz w:val="18"/>
                <w:szCs w:val="18"/>
              </w:rPr>
            </w:pPr>
            <w:r w:rsidRPr="0043506D">
              <w:rPr>
                <w:rStyle w:val="hps"/>
                <w:i/>
                <w:sz w:val="18"/>
                <w:szCs w:val="18"/>
                <w:u w:val="single"/>
                <w:lang w:val="id-ID"/>
              </w:rPr>
              <w:t>PT  Anugrah Inti  Karya  (“AIK”)</w:t>
            </w:r>
          </w:p>
        </w:tc>
      </w:tr>
      <w:tr w:rsidR="00532A65" w:rsidRPr="007B7F2B" w14:paraId="68052129" w14:textId="77777777" w:rsidTr="00015B96">
        <w:tc>
          <w:tcPr>
            <w:tcW w:w="4598" w:type="dxa"/>
          </w:tcPr>
          <w:p w14:paraId="0AADDAA5" w14:textId="77777777" w:rsidR="00532A65" w:rsidRPr="007B7F2B" w:rsidRDefault="00532A65" w:rsidP="00532A65">
            <w:pPr>
              <w:ind w:left="567" w:right="-57"/>
              <w:jc w:val="both"/>
              <w:rPr>
                <w:rStyle w:val="hps"/>
                <w:sz w:val="10"/>
                <w:szCs w:val="10"/>
              </w:rPr>
            </w:pPr>
          </w:p>
        </w:tc>
        <w:tc>
          <w:tcPr>
            <w:tcW w:w="4599" w:type="dxa"/>
          </w:tcPr>
          <w:p w14:paraId="4AA99D52" w14:textId="77777777" w:rsidR="00532A65" w:rsidRPr="007B7F2B" w:rsidRDefault="00532A65" w:rsidP="00532A65">
            <w:pPr>
              <w:ind w:left="567" w:right="-57"/>
              <w:jc w:val="both"/>
              <w:rPr>
                <w:i/>
                <w:sz w:val="10"/>
                <w:szCs w:val="10"/>
              </w:rPr>
            </w:pPr>
          </w:p>
        </w:tc>
      </w:tr>
      <w:tr w:rsidR="00532A65" w:rsidRPr="0043506D" w14:paraId="453BF3B9" w14:textId="77777777" w:rsidTr="00015B96">
        <w:tc>
          <w:tcPr>
            <w:tcW w:w="4598" w:type="dxa"/>
          </w:tcPr>
          <w:p w14:paraId="27D621F3" w14:textId="72692E28" w:rsidR="00532A65" w:rsidRPr="0043506D" w:rsidRDefault="00BB72BD" w:rsidP="00A66303">
            <w:pPr>
              <w:ind w:left="567" w:right="-57"/>
              <w:jc w:val="both"/>
              <w:rPr>
                <w:rStyle w:val="hps"/>
                <w:sz w:val="18"/>
                <w:szCs w:val="18"/>
              </w:rPr>
            </w:pPr>
            <w:r w:rsidRPr="0043506D">
              <w:rPr>
                <w:rStyle w:val="hps"/>
                <w:sz w:val="18"/>
                <w:szCs w:val="18"/>
              </w:rPr>
              <w:t>Berdasarkan Akta Notaris dari notaris</w:t>
            </w:r>
            <w:r w:rsidRPr="0043506D">
              <w:rPr>
                <w:rStyle w:val="hps"/>
                <w:sz w:val="18"/>
                <w:szCs w:val="18"/>
                <w:lang w:val="id-ID"/>
              </w:rPr>
              <w:t xml:space="preserve"> </w:t>
            </w:r>
            <w:r w:rsidRPr="0043506D">
              <w:rPr>
                <w:rStyle w:val="hps"/>
                <w:sz w:val="18"/>
                <w:szCs w:val="18"/>
              </w:rPr>
              <w:t>Buntario Tigris</w:t>
            </w:r>
            <w:r w:rsidR="00A66303">
              <w:rPr>
                <w:rStyle w:val="hps"/>
                <w:sz w:val="18"/>
                <w:szCs w:val="18"/>
              </w:rPr>
              <w:t>,</w:t>
            </w:r>
            <w:r w:rsidRPr="0043506D">
              <w:rPr>
                <w:rStyle w:val="hps"/>
                <w:sz w:val="18"/>
                <w:szCs w:val="18"/>
              </w:rPr>
              <w:t xml:space="preserve"> S.H.</w:t>
            </w:r>
            <w:r w:rsidR="00A66303">
              <w:rPr>
                <w:rStyle w:val="hps"/>
                <w:sz w:val="18"/>
                <w:szCs w:val="18"/>
              </w:rPr>
              <w:t>,</w:t>
            </w:r>
            <w:r w:rsidRPr="0043506D">
              <w:rPr>
                <w:rStyle w:val="hps"/>
                <w:sz w:val="18"/>
                <w:szCs w:val="18"/>
              </w:rPr>
              <w:t xml:space="preserve"> S.E.</w:t>
            </w:r>
            <w:r w:rsidR="00A66303">
              <w:rPr>
                <w:rStyle w:val="hps"/>
                <w:sz w:val="18"/>
                <w:szCs w:val="18"/>
              </w:rPr>
              <w:t>,</w:t>
            </w:r>
            <w:r w:rsidRPr="0043506D">
              <w:rPr>
                <w:rStyle w:val="hps"/>
                <w:sz w:val="18"/>
                <w:szCs w:val="18"/>
              </w:rPr>
              <w:t xml:space="preserve"> M.H.</w:t>
            </w:r>
            <w:r w:rsidR="00A66303">
              <w:rPr>
                <w:rStyle w:val="hps"/>
                <w:sz w:val="18"/>
                <w:szCs w:val="18"/>
              </w:rPr>
              <w:t>,</w:t>
            </w:r>
            <w:r w:rsidRPr="0043506D">
              <w:rPr>
                <w:rStyle w:val="hps"/>
                <w:sz w:val="18"/>
                <w:szCs w:val="18"/>
              </w:rPr>
              <w:t xml:space="preserve"> No. 75 tanggal</w:t>
            </w:r>
            <w:r w:rsidRPr="0043506D">
              <w:rPr>
                <w:rStyle w:val="hps"/>
                <w:sz w:val="18"/>
                <w:szCs w:val="18"/>
                <w:lang w:val="id-ID"/>
              </w:rPr>
              <w:t xml:space="preserve"> </w:t>
            </w:r>
            <w:r w:rsidRPr="0043506D">
              <w:rPr>
                <w:rStyle w:val="hps"/>
                <w:sz w:val="18"/>
                <w:szCs w:val="18"/>
              </w:rPr>
              <w:t>20 April 2015</w:t>
            </w:r>
            <w:r w:rsidR="00A66303">
              <w:rPr>
                <w:rStyle w:val="hps"/>
                <w:sz w:val="18"/>
                <w:szCs w:val="18"/>
              </w:rPr>
              <w:t>,</w:t>
            </w:r>
            <w:r w:rsidRPr="0043506D">
              <w:rPr>
                <w:rStyle w:val="hps"/>
                <w:sz w:val="18"/>
                <w:szCs w:val="18"/>
              </w:rPr>
              <w:t xml:space="preserve"> Perusahaan dan Jonathan Tahir mendirikan AIK</w:t>
            </w:r>
            <w:r w:rsidR="00870FD0">
              <w:rPr>
                <w:rStyle w:val="hps"/>
                <w:sz w:val="18"/>
                <w:szCs w:val="18"/>
              </w:rPr>
              <w:t>.</w:t>
            </w:r>
            <w:r w:rsidRPr="0043506D">
              <w:rPr>
                <w:rStyle w:val="hps"/>
                <w:sz w:val="18"/>
                <w:szCs w:val="18"/>
              </w:rPr>
              <w:t xml:space="preserve"> dengan kepemilikan saham Perusahaan pada AIK adalah sebesar Rp</w:t>
            </w:r>
            <w:r w:rsidR="00F65893">
              <w:rPr>
                <w:rStyle w:val="hps"/>
                <w:sz w:val="18"/>
                <w:szCs w:val="18"/>
              </w:rPr>
              <w:t xml:space="preserve"> </w:t>
            </w:r>
            <w:r w:rsidRPr="0043506D">
              <w:rPr>
                <w:rStyle w:val="hps"/>
                <w:sz w:val="18"/>
                <w:szCs w:val="18"/>
              </w:rPr>
              <w:t>990.000.000  atau  99%  dari  modal ditempatkan dan disetor penuh</w:t>
            </w:r>
          </w:p>
        </w:tc>
        <w:tc>
          <w:tcPr>
            <w:tcW w:w="4599" w:type="dxa"/>
          </w:tcPr>
          <w:p w14:paraId="5CE12B03" w14:textId="1B95A1BE" w:rsidR="00532A65" w:rsidRPr="0043506D" w:rsidRDefault="00BB72BD" w:rsidP="00A66303">
            <w:pPr>
              <w:ind w:left="567" w:right="-57"/>
              <w:jc w:val="both"/>
              <w:rPr>
                <w:i/>
                <w:sz w:val="18"/>
                <w:szCs w:val="18"/>
              </w:rPr>
            </w:pPr>
            <w:proofErr w:type="gramStart"/>
            <w:r w:rsidRPr="0043506D">
              <w:rPr>
                <w:i/>
                <w:sz w:val="18"/>
                <w:szCs w:val="18"/>
              </w:rPr>
              <w:t>Based  on</w:t>
            </w:r>
            <w:proofErr w:type="gramEnd"/>
            <w:r w:rsidRPr="0043506D">
              <w:rPr>
                <w:i/>
                <w:sz w:val="18"/>
                <w:szCs w:val="18"/>
              </w:rPr>
              <w:t xml:space="preserve">  Notarial  Deed  of  notary  Buntario</w:t>
            </w:r>
            <w:r w:rsidRPr="0043506D">
              <w:rPr>
                <w:i/>
                <w:sz w:val="18"/>
                <w:szCs w:val="18"/>
                <w:lang w:val="id-ID"/>
              </w:rPr>
              <w:t xml:space="preserve"> </w:t>
            </w:r>
            <w:r w:rsidRPr="0043506D">
              <w:rPr>
                <w:i/>
                <w:sz w:val="18"/>
                <w:szCs w:val="18"/>
              </w:rPr>
              <w:t>Tigris</w:t>
            </w:r>
            <w:r w:rsidR="00A66303">
              <w:rPr>
                <w:i/>
                <w:sz w:val="18"/>
                <w:szCs w:val="18"/>
              </w:rPr>
              <w:t>,</w:t>
            </w:r>
            <w:r w:rsidRPr="0043506D">
              <w:rPr>
                <w:i/>
                <w:sz w:val="18"/>
                <w:szCs w:val="18"/>
              </w:rPr>
              <w:t xml:space="preserve"> S.H.</w:t>
            </w:r>
            <w:r w:rsidR="00A66303">
              <w:rPr>
                <w:i/>
                <w:sz w:val="18"/>
                <w:szCs w:val="18"/>
              </w:rPr>
              <w:t>,</w:t>
            </w:r>
            <w:r w:rsidRPr="0043506D">
              <w:rPr>
                <w:i/>
                <w:sz w:val="18"/>
                <w:szCs w:val="18"/>
              </w:rPr>
              <w:t xml:space="preserve"> S.E.</w:t>
            </w:r>
            <w:r w:rsidR="00A66303">
              <w:rPr>
                <w:i/>
                <w:sz w:val="18"/>
                <w:szCs w:val="18"/>
              </w:rPr>
              <w:t>,</w:t>
            </w:r>
            <w:r w:rsidRPr="0043506D">
              <w:rPr>
                <w:i/>
                <w:sz w:val="18"/>
                <w:szCs w:val="18"/>
              </w:rPr>
              <w:t xml:space="preserve"> M.H.</w:t>
            </w:r>
            <w:r w:rsidR="00A66303">
              <w:rPr>
                <w:i/>
                <w:sz w:val="18"/>
                <w:szCs w:val="18"/>
              </w:rPr>
              <w:t>,</w:t>
            </w:r>
            <w:r w:rsidRPr="0043506D">
              <w:rPr>
                <w:i/>
                <w:sz w:val="18"/>
                <w:szCs w:val="18"/>
              </w:rPr>
              <w:t xml:space="preserve"> No. 75 dated April 20</w:t>
            </w:r>
            <w:r w:rsidR="00A66303">
              <w:rPr>
                <w:i/>
                <w:sz w:val="18"/>
                <w:szCs w:val="18"/>
              </w:rPr>
              <w:t>,</w:t>
            </w:r>
            <w:r w:rsidRPr="0043506D">
              <w:rPr>
                <w:i/>
                <w:sz w:val="18"/>
                <w:szCs w:val="18"/>
                <w:lang w:val="id-ID"/>
              </w:rPr>
              <w:t xml:space="preserve"> </w:t>
            </w:r>
            <w:r w:rsidRPr="0043506D">
              <w:rPr>
                <w:i/>
                <w:sz w:val="18"/>
                <w:szCs w:val="18"/>
              </w:rPr>
              <w:t>2015</w:t>
            </w:r>
            <w:r w:rsidR="00A66303">
              <w:rPr>
                <w:i/>
                <w:sz w:val="18"/>
                <w:szCs w:val="18"/>
              </w:rPr>
              <w:t>,</w:t>
            </w:r>
            <w:r w:rsidRPr="0043506D">
              <w:rPr>
                <w:i/>
                <w:sz w:val="18"/>
                <w:szCs w:val="18"/>
              </w:rPr>
              <w:t xml:space="preserve"> the Company and Jonathan Tahir established AIK</w:t>
            </w:r>
            <w:r w:rsidR="00A66303">
              <w:rPr>
                <w:i/>
                <w:sz w:val="18"/>
                <w:szCs w:val="18"/>
              </w:rPr>
              <w:t>,</w:t>
            </w:r>
            <w:r w:rsidRPr="0043506D">
              <w:rPr>
                <w:i/>
                <w:sz w:val="18"/>
                <w:szCs w:val="18"/>
              </w:rPr>
              <w:t xml:space="preserve"> with percentage of ownership of the Company in AIK amounting to Rp</w:t>
            </w:r>
            <w:r w:rsidR="00F65893">
              <w:rPr>
                <w:i/>
                <w:sz w:val="18"/>
                <w:szCs w:val="18"/>
              </w:rPr>
              <w:t xml:space="preserve"> </w:t>
            </w:r>
            <w:r w:rsidRPr="0043506D">
              <w:rPr>
                <w:i/>
                <w:sz w:val="18"/>
                <w:szCs w:val="18"/>
              </w:rPr>
              <w:t>990</w:t>
            </w:r>
            <w:r w:rsidR="00A66303">
              <w:rPr>
                <w:i/>
                <w:sz w:val="18"/>
                <w:szCs w:val="18"/>
              </w:rPr>
              <w:t>,</w:t>
            </w:r>
            <w:r w:rsidRPr="0043506D">
              <w:rPr>
                <w:i/>
                <w:sz w:val="18"/>
                <w:szCs w:val="18"/>
              </w:rPr>
              <w:t>000</w:t>
            </w:r>
            <w:r w:rsidR="00A66303">
              <w:rPr>
                <w:i/>
                <w:sz w:val="18"/>
                <w:szCs w:val="18"/>
              </w:rPr>
              <w:t>,</w:t>
            </w:r>
            <w:r w:rsidRPr="0043506D">
              <w:rPr>
                <w:i/>
                <w:sz w:val="18"/>
                <w:szCs w:val="18"/>
              </w:rPr>
              <w:t>000 or 99% from its issued and fully paid capital.</w:t>
            </w:r>
          </w:p>
        </w:tc>
      </w:tr>
      <w:tr w:rsidR="00532A65" w:rsidRPr="0043506D" w14:paraId="74D55C55" w14:textId="77777777" w:rsidTr="00015B96">
        <w:tc>
          <w:tcPr>
            <w:tcW w:w="4598" w:type="dxa"/>
          </w:tcPr>
          <w:p w14:paraId="2801CDAF" w14:textId="77777777" w:rsidR="00532A65" w:rsidRPr="0043506D" w:rsidRDefault="00532A65" w:rsidP="00532A65">
            <w:pPr>
              <w:ind w:left="567" w:right="-57"/>
              <w:jc w:val="both"/>
              <w:rPr>
                <w:rStyle w:val="hps"/>
                <w:sz w:val="18"/>
                <w:szCs w:val="18"/>
              </w:rPr>
            </w:pPr>
          </w:p>
        </w:tc>
        <w:tc>
          <w:tcPr>
            <w:tcW w:w="4599" w:type="dxa"/>
          </w:tcPr>
          <w:p w14:paraId="683C855E" w14:textId="77777777" w:rsidR="00532A65" w:rsidRPr="0043506D" w:rsidRDefault="00532A65" w:rsidP="00532A65">
            <w:pPr>
              <w:ind w:left="567" w:right="-57"/>
              <w:jc w:val="both"/>
              <w:rPr>
                <w:i/>
                <w:sz w:val="18"/>
                <w:szCs w:val="18"/>
              </w:rPr>
            </w:pPr>
          </w:p>
        </w:tc>
      </w:tr>
      <w:tr w:rsidR="00015B96" w:rsidRPr="00015B96" w14:paraId="2F37B0E4" w14:textId="77777777" w:rsidTr="00015B96">
        <w:tc>
          <w:tcPr>
            <w:tcW w:w="4598" w:type="dxa"/>
          </w:tcPr>
          <w:p w14:paraId="0DCD220A" w14:textId="6464A02A" w:rsidR="00015B96" w:rsidRPr="0043506D" w:rsidRDefault="00015B96" w:rsidP="00A66303">
            <w:pPr>
              <w:ind w:left="567" w:right="-57"/>
              <w:jc w:val="both"/>
              <w:rPr>
                <w:rStyle w:val="hps"/>
                <w:sz w:val="18"/>
                <w:szCs w:val="18"/>
              </w:rPr>
            </w:pPr>
            <w:r w:rsidRPr="00015B96">
              <w:rPr>
                <w:rStyle w:val="hps"/>
                <w:sz w:val="18"/>
                <w:szCs w:val="18"/>
              </w:rPr>
              <w:t>Anggaran Dasar Perusahaan mengalami perubahan</w:t>
            </w:r>
            <w:r w:rsidR="00870FD0">
              <w:rPr>
                <w:rStyle w:val="hps"/>
                <w:sz w:val="18"/>
                <w:szCs w:val="18"/>
              </w:rPr>
              <w:t>.</w:t>
            </w:r>
            <w:r>
              <w:rPr>
                <w:rStyle w:val="hps"/>
                <w:sz w:val="18"/>
                <w:szCs w:val="18"/>
              </w:rPr>
              <w:t xml:space="preserve"> </w:t>
            </w:r>
            <w:r w:rsidRPr="00015B96">
              <w:rPr>
                <w:rStyle w:val="hps"/>
                <w:sz w:val="18"/>
                <w:szCs w:val="18"/>
              </w:rPr>
              <w:t>Perubahan Anggaran Dasar Perusahaan terakhir</w:t>
            </w:r>
            <w:r>
              <w:rPr>
                <w:rStyle w:val="hps"/>
                <w:sz w:val="18"/>
                <w:szCs w:val="18"/>
              </w:rPr>
              <w:t xml:space="preserve"> </w:t>
            </w:r>
            <w:r w:rsidRPr="00015B96">
              <w:rPr>
                <w:rStyle w:val="hps"/>
                <w:sz w:val="18"/>
                <w:szCs w:val="18"/>
              </w:rPr>
              <w:t>dengan akta Notaris No. 168 dari Buntario Tigris</w:t>
            </w:r>
            <w:r>
              <w:rPr>
                <w:rStyle w:val="hps"/>
                <w:sz w:val="18"/>
                <w:szCs w:val="18"/>
              </w:rPr>
              <w:t xml:space="preserve"> </w:t>
            </w:r>
            <w:r w:rsidRPr="00015B96">
              <w:rPr>
                <w:rStyle w:val="hps"/>
                <w:sz w:val="18"/>
                <w:szCs w:val="18"/>
              </w:rPr>
              <w:t>Darmawa NG</w:t>
            </w:r>
            <w:r w:rsidR="00A66303">
              <w:rPr>
                <w:rStyle w:val="hps"/>
                <w:sz w:val="18"/>
                <w:szCs w:val="18"/>
              </w:rPr>
              <w:t>,</w:t>
            </w:r>
            <w:r w:rsidRPr="00015B96">
              <w:rPr>
                <w:rStyle w:val="hps"/>
                <w:sz w:val="18"/>
                <w:szCs w:val="18"/>
              </w:rPr>
              <w:t xml:space="preserve"> SH.</w:t>
            </w:r>
            <w:r w:rsidR="00A66303">
              <w:rPr>
                <w:rStyle w:val="hps"/>
                <w:sz w:val="18"/>
                <w:szCs w:val="18"/>
              </w:rPr>
              <w:t>,</w:t>
            </w:r>
            <w:r w:rsidRPr="00015B96">
              <w:rPr>
                <w:rStyle w:val="hps"/>
                <w:sz w:val="18"/>
                <w:szCs w:val="18"/>
              </w:rPr>
              <w:t xml:space="preserve"> </w:t>
            </w:r>
            <w:proofErr w:type="gramStart"/>
            <w:r w:rsidRPr="00015B96">
              <w:rPr>
                <w:rStyle w:val="hps"/>
                <w:sz w:val="18"/>
                <w:szCs w:val="18"/>
              </w:rPr>
              <w:t>SE.</w:t>
            </w:r>
            <w:r w:rsidR="00A66303">
              <w:rPr>
                <w:rStyle w:val="hps"/>
                <w:sz w:val="18"/>
                <w:szCs w:val="18"/>
              </w:rPr>
              <w:t>,</w:t>
            </w:r>
            <w:proofErr w:type="gramEnd"/>
            <w:r w:rsidRPr="00015B96">
              <w:rPr>
                <w:rStyle w:val="hps"/>
                <w:sz w:val="18"/>
                <w:szCs w:val="18"/>
              </w:rPr>
              <w:t xml:space="preserve"> MH.</w:t>
            </w:r>
            <w:r w:rsidR="00A66303">
              <w:rPr>
                <w:rStyle w:val="hps"/>
                <w:sz w:val="18"/>
                <w:szCs w:val="18"/>
              </w:rPr>
              <w:t>,</w:t>
            </w:r>
            <w:r w:rsidRPr="00015B96">
              <w:rPr>
                <w:rStyle w:val="hps"/>
                <w:sz w:val="18"/>
                <w:szCs w:val="18"/>
              </w:rPr>
              <w:t xml:space="preserve"> Notaris di Jakarta</w:t>
            </w:r>
            <w:r w:rsidR="00870FD0">
              <w:rPr>
                <w:rStyle w:val="hps"/>
                <w:sz w:val="18"/>
                <w:szCs w:val="18"/>
              </w:rPr>
              <w:t>.</w:t>
            </w:r>
            <w:r>
              <w:rPr>
                <w:rStyle w:val="hps"/>
                <w:sz w:val="18"/>
                <w:szCs w:val="18"/>
              </w:rPr>
              <w:t xml:space="preserve"> </w:t>
            </w:r>
            <w:proofErr w:type="gramStart"/>
            <w:r w:rsidRPr="00015B96">
              <w:rPr>
                <w:rStyle w:val="hps"/>
                <w:sz w:val="18"/>
                <w:szCs w:val="18"/>
              </w:rPr>
              <w:t>tanggal</w:t>
            </w:r>
            <w:proofErr w:type="gramEnd"/>
            <w:r w:rsidRPr="00015B96">
              <w:rPr>
                <w:rStyle w:val="hps"/>
                <w:sz w:val="18"/>
                <w:szCs w:val="18"/>
              </w:rPr>
              <w:t xml:space="preserve"> 30 Juli 2019 mengenai perubahan anggaran</w:t>
            </w:r>
            <w:r>
              <w:rPr>
                <w:rStyle w:val="hps"/>
                <w:sz w:val="18"/>
                <w:szCs w:val="18"/>
              </w:rPr>
              <w:t xml:space="preserve"> </w:t>
            </w:r>
            <w:r w:rsidRPr="00015B96">
              <w:rPr>
                <w:rStyle w:val="hps"/>
                <w:sz w:val="18"/>
                <w:szCs w:val="18"/>
              </w:rPr>
              <w:t>dasar Perseroan Pasal 3</w:t>
            </w:r>
            <w:r w:rsidR="00A66303">
              <w:rPr>
                <w:rStyle w:val="hps"/>
                <w:sz w:val="18"/>
                <w:szCs w:val="18"/>
              </w:rPr>
              <w:t>,</w:t>
            </w:r>
            <w:r w:rsidRPr="00015B96">
              <w:rPr>
                <w:rStyle w:val="hps"/>
                <w:sz w:val="18"/>
                <w:szCs w:val="18"/>
              </w:rPr>
              <w:t xml:space="preserve"> tentang maksud dan tujuan</w:t>
            </w:r>
            <w:r>
              <w:rPr>
                <w:rStyle w:val="hps"/>
                <w:sz w:val="18"/>
                <w:szCs w:val="18"/>
              </w:rPr>
              <w:t xml:space="preserve"> </w:t>
            </w:r>
            <w:r w:rsidRPr="00015B96">
              <w:rPr>
                <w:rStyle w:val="hps"/>
                <w:sz w:val="18"/>
                <w:szCs w:val="18"/>
              </w:rPr>
              <w:t>kegiatan usaha. Akta perubahan tersebut telah</w:t>
            </w:r>
            <w:r>
              <w:rPr>
                <w:rStyle w:val="hps"/>
                <w:sz w:val="18"/>
                <w:szCs w:val="18"/>
              </w:rPr>
              <w:t xml:space="preserve"> </w:t>
            </w:r>
            <w:r w:rsidRPr="00015B96">
              <w:rPr>
                <w:rStyle w:val="hps"/>
                <w:sz w:val="18"/>
                <w:szCs w:val="18"/>
              </w:rPr>
              <w:t>disahkan oleh Menteri Hukum dan Hak Asasi Manusia</w:t>
            </w:r>
            <w:r>
              <w:rPr>
                <w:rStyle w:val="hps"/>
                <w:sz w:val="18"/>
                <w:szCs w:val="18"/>
              </w:rPr>
              <w:t xml:space="preserve"> </w:t>
            </w:r>
            <w:r w:rsidRPr="00015B96">
              <w:rPr>
                <w:rStyle w:val="hps"/>
                <w:sz w:val="18"/>
                <w:szCs w:val="18"/>
              </w:rPr>
              <w:t>Republik Indonesia yang terdaftar dengan No.168</w:t>
            </w:r>
            <w:r>
              <w:rPr>
                <w:rStyle w:val="hps"/>
                <w:sz w:val="18"/>
                <w:szCs w:val="18"/>
              </w:rPr>
              <w:t xml:space="preserve"> </w:t>
            </w:r>
            <w:r w:rsidRPr="00015B96">
              <w:rPr>
                <w:rStyle w:val="hps"/>
                <w:sz w:val="18"/>
                <w:szCs w:val="18"/>
              </w:rPr>
              <w:t>AHU-0130194.AH.01.11 Tahun 2019 tanggal 7</w:t>
            </w:r>
            <w:r>
              <w:rPr>
                <w:rStyle w:val="hps"/>
                <w:sz w:val="18"/>
                <w:szCs w:val="18"/>
              </w:rPr>
              <w:t xml:space="preserve"> </w:t>
            </w:r>
            <w:r w:rsidRPr="00015B96">
              <w:rPr>
                <w:rStyle w:val="hps"/>
                <w:sz w:val="18"/>
                <w:szCs w:val="18"/>
              </w:rPr>
              <w:t xml:space="preserve">Agustus 2019.  </w:t>
            </w:r>
          </w:p>
        </w:tc>
        <w:tc>
          <w:tcPr>
            <w:tcW w:w="4599" w:type="dxa"/>
          </w:tcPr>
          <w:p w14:paraId="119F817F" w14:textId="3CED03CB" w:rsidR="00015B96" w:rsidRPr="007B7F2B" w:rsidRDefault="00015B96" w:rsidP="00A66303">
            <w:pPr>
              <w:ind w:left="567" w:right="-57"/>
              <w:jc w:val="both"/>
              <w:rPr>
                <w:rStyle w:val="hps"/>
                <w:i/>
                <w:iCs/>
                <w:sz w:val="18"/>
                <w:szCs w:val="18"/>
              </w:rPr>
            </w:pPr>
            <w:r w:rsidRPr="00015B96">
              <w:rPr>
                <w:rStyle w:val="hps"/>
                <w:i/>
                <w:iCs/>
                <w:sz w:val="18"/>
                <w:szCs w:val="18"/>
              </w:rPr>
              <w:t>The Company’s Articles of Association has been</w:t>
            </w:r>
            <w:r>
              <w:rPr>
                <w:rStyle w:val="hps"/>
                <w:i/>
                <w:iCs/>
                <w:sz w:val="18"/>
                <w:szCs w:val="18"/>
              </w:rPr>
              <w:t xml:space="preserve"> </w:t>
            </w:r>
            <w:r w:rsidRPr="00015B96">
              <w:rPr>
                <w:rStyle w:val="hps"/>
                <w:i/>
                <w:iCs/>
                <w:sz w:val="18"/>
                <w:szCs w:val="18"/>
              </w:rPr>
              <w:t>amended several times</w:t>
            </w:r>
            <w:r w:rsidR="00870FD0">
              <w:rPr>
                <w:rStyle w:val="hps"/>
                <w:i/>
                <w:iCs/>
                <w:sz w:val="18"/>
                <w:szCs w:val="18"/>
              </w:rPr>
              <w:t>.</w:t>
            </w:r>
            <w:r w:rsidRPr="00015B96">
              <w:rPr>
                <w:rStyle w:val="hps"/>
                <w:i/>
                <w:iCs/>
                <w:sz w:val="18"/>
                <w:szCs w:val="18"/>
              </w:rPr>
              <w:t xml:space="preserve"> The latest amendment of</w:t>
            </w:r>
            <w:r>
              <w:rPr>
                <w:rStyle w:val="hps"/>
                <w:i/>
                <w:iCs/>
                <w:sz w:val="18"/>
                <w:szCs w:val="18"/>
              </w:rPr>
              <w:t xml:space="preserve"> </w:t>
            </w:r>
            <w:r w:rsidRPr="00015B96">
              <w:rPr>
                <w:rStyle w:val="hps"/>
                <w:i/>
                <w:iCs/>
                <w:sz w:val="18"/>
                <w:szCs w:val="18"/>
              </w:rPr>
              <w:t>the Company’s Articles of Association was covered</w:t>
            </w:r>
            <w:r>
              <w:rPr>
                <w:rStyle w:val="hps"/>
                <w:i/>
                <w:iCs/>
                <w:sz w:val="18"/>
                <w:szCs w:val="18"/>
              </w:rPr>
              <w:t xml:space="preserve"> </w:t>
            </w:r>
            <w:r w:rsidRPr="00015B96">
              <w:rPr>
                <w:rStyle w:val="hps"/>
                <w:i/>
                <w:iCs/>
                <w:sz w:val="18"/>
                <w:szCs w:val="18"/>
              </w:rPr>
              <w:t>by the Notarial deed No. 168 dated July 30</w:t>
            </w:r>
            <w:r w:rsidR="00A66303">
              <w:rPr>
                <w:rStyle w:val="hps"/>
                <w:i/>
                <w:iCs/>
                <w:sz w:val="18"/>
                <w:szCs w:val="18"/>
              </w:rPr>
              <w:t>,</w:t>
            </w:r>
            <w:r w:rsidRPr="00015B96">
              <w:rPr>
                <w:rStyle w:val="hps"/>
                <w:i/>
                <w:iCs/>
                <w:sz w:val="18"/>
                <w:szCs w:val="18"/>
              </w:rPr>
              <w:t xml:space="preserve"> 2019 of</w:t>
            </w:r>
            <w:r w:rsidR="007B7F2B">
              <w:rPr>
                <w:rStyle w:val="hps"/>
                <w:i/>
                <w:iCs/>
                <w:sz w:val="18"/>
                <w:szCs w:val="18"/>
              </w:rPr>
              <w:t xml:space="preserve"> </w:t>
            </w:r>
            <w:r w:rsidRPr="00015B96">
              <w:rPr>
                <w:rStyle w:val="hps"/>
                <w:i/>
                <w:iCs/>
                <w:sz w:val="18"/>
                <w:szCs w:val="18"/>
              </w:rPr>
              <w:t>Buntario Tigris Darmawa NG</w:t>
            </w:r>
            <w:r w:rsidR="00A66303">
              <w:rPr>
                <w:rStyle w:val="hps"/>
                <w:i/>
                <w:iCs/>
                <w:sz w:val="18"/>
                <w:szCs w:val="18"/>
              </w:rPr>
              <w:t>,</w:t>
            </w:r>
            <w:r w:rsidRPr="00015B96">
              <w:rPr>
                <w:rStyle w:val="hps"/>
                <w:i/>
                <w:iCs/>
                <w:sz w:val="18"/>
                <w:szCs w:val="18"/>
              </w:rPr>
              <w:t xml:space="preserve"> SH.</w:t>
            </w:r>
            <w:r w:rsidR="00A66303">
              <w:rPr>
                <w:rStyle w:val="hps"/>
                <w:i/>
                <w:iCs/>
                <w:sz w:val="18"/>
                <w:szCs w:val="18"/>
              </w:rPr>
              <w:t>,</w:t>
            </w:r>
            <w:r w:rsidRPr="00015B96">
              <w:rPr>
                <w:rStyle w:val="hps"/>
                <w:i/>
                <w:iCs/>
                <w:sz w:val="18"/>
                <w:szCs w:val="18"/>
              </w:rPr>
              <w:t xml:space="preserve"> </w:t>
            </w:r>
            <w:proofErr w:type="gramStart"/>
            <w:r w:rsidRPr="00015B96">
              <w:rPr>
                <w:rStyle w:val="hps"/>
                <w:i/>
                <w:iCs/>
                <w:sz w:val="18"/>
                <w:szCs w:val="18"/>
              </w:rPr>
              <w:t>SE.</w:t>
            </w:r>
            <w:r w:rsidR="00A66303">
              <w:rPr>
                <w:rStyle w:val="hps"/>
                <w:i/>
                <w:iCs/>
                <w:sz w:val="18"/>
                <w:szCs w:val="18"/>
              </w:rPr>
              <w:t>,</w:t>
            </w:r>
            <w:proofErr w:type="gramEnd"/>
            <w:r w:rsidRPr="00015B96">
              <w:rPr>
                <w:rStyle w:val="hps"/>
                <w:i/>
                <w:iCs/>
                <w:sz w:val="18"/>
                <w:szCs w:val="18"/>
              </w:rPr>
              <w:t xml:space="preserve"> MH.</w:t>
            </w:r>
            <w:r w:rsidR="00A66303">
              <w:rPr>
                <w:rStyle w:val="hps"/>
                <w:i/>
                <w:iCs/>
                <w:sz w:val="18"/>
                <w:szCs w:val="18"/>
              </w:rPr>
              <w:t>,</w:t>
            </w:r>
            <w:r w:rsidRPr="00015B96">
              <w:rPr>
                <w:rStyle w:val="hps"/>
                <w:i/>
                <w:iCs/>
                <w:sz w:val="18"/>
                <w:szCs w:val="18"/>
              </w:rPr>
              <w:t xml:space="preserve"> </w:t>
            </w:r>
            <w:r w:rsidR="007B7F2B">
              <w:rPr>
                <w:rStyle w:val="hps"/>
                <w:i/>
                <w:iCs/>
                <w:sz w:val="18"/>
                <w:szCs w:val="18"/>
              </w:rPr>
              <w:t xml:space="preserve"> </w:t>
            </w:r>
            <w:r w:rsidRPr="00015B96">
              <w:rPr>
                <w:rStyle w:val="hps"/>
                <w:i/>
                <w:iCs/>
                <w:sz w:val="18"/>
                <w:szCs w:val="18"/>
              </w:rPr>
              <w:t>Notar</w:t>
            </w:r>
            <w:r w:rsidR="00A66303">
              <w:rPr>
                <w:rStyle w:val="hps"/>
                <w:i/>
                <w:iCs/>
                <w:sz w:val="18"/>
                <w:szCs w:val="18"/>
              </w:rPr>
              <w:t>y</w:t>
            </w:r>
            <w:r w:rsidRPr="00015B96">
              <w:rPr>
                <w:rStyle w:val="hps"/>
                <w:i/>
                <w:iCs/>
                <w:sz w:val="18"/>
                <w:szCs w:val="18"/>
              </w:rPr>
              <w:t xml:space="preserve"> in Jakarta</w:t>
            </w:r>
            <w:r w:rsidR="00870FD0">
              <w:rPr>
                <w:rStyle w:val="hps"/>
                <w:i/>
                <w:iCs/>
                <w:sz w:val="18"/>
                <w:szCs w:val="18"/>
              </w:rPr>
              <w:t>.</w:t>
            </w:r>
            <w:r w:rsidRPr="00015B96">
              <w:rPr>
                <w:rStyle w:val="hps"/>
                <w:i/>
                <w:iCs/>
                <w:sz w:val="18"/>
                <w:szCs w:val="18"/>
              </w:rPr>
              <w:t xml:space="preserve"> </w:t>
            </w:r>
            <w:proofErr w:type="gramStart"/>
            <w:r w:rsidRPr="00015B96">
              <w:rPr>
                <w:rStyle w:val="hps"/>
                <w:i/>
                <w:iCs/>
                <w:sz w:val="18"/>
                <w:szCs w:val="18"/>
              </w:rPr>
              <w:t>concerning</w:t>
            </w:r>
            <w:proofErr w:type="gramEnd"/>
            <w:r w:rsidRPr="00015B96">
              <w:rPr>
                <w:rStyle w:val="hps"/>
                <w:i/>
                <w:iCs/>
                <w:sz w:val="18"/>
                <w:szCs w:val="18"/>
              </w:rPr>
              <w:t xml:space="preserve"> the changes of</w:t>
            </w:r>
            <w:r w:rsidR="007B7F2B">
              <w:rPr>
                <w:rStyle w:val="hps"/>
                <w:i/>
                <w:iCs/>
                <w:sz w:val="18"/>
                <w:szCs w:val="18"/>
              </w:rPr>
              <w:t xml:space="preserve"> </w:t>
            </w:r>
            <w:r w:rsidRPr="00015B96">
              <w:rPr>
                <w:rStyle w:val="hps"/>
                <w:i/>
                <w:iCs/>
                <w:sz w:val="18"/>
                <w:szCs w:val="18"/>
              </w:rPr>
              <w:t>amendment to the articles of association of the</w:t>
            </w:r>
            <w:r w:rsidR="007B7F2B">
              <w:rPr>
                <w:rStyle w:val="hps"/>
                <w:i/>
                <w:iCs/>
                <w:sz w:val="18"/>
                <w:szCs w:val="18"/>
              </w:rPr>
              <w:t xml:space="preserve"> </w:t>
            </w:r>
            <w:r w:rsidRPr="00015B96">
              <w:rPr>
                <w:rStyle w:val="hps"/>
                <w:i/>
                <w:iCs/>
                <w:sz w:val="18"/>
                <w:szCs w:val="18"/>
              </w:rPr>
              <w:t>Company Article 3</w:t>
            </w:r>
            <w:r w:rsidR="00A66303">
              <w:rPr>
                <w:rStyle w:val="hps"/>
                <w:i/>
                <w:iCs/>
                <w:sz w:val="18"/>
                <w:szCs w:val="18"/>
              </w:rPr>
              <w:t>,</w:t>
            </w:r>
            <w:r w:rsidRPr="00015B96">
              <w:rPr>
                <w:rStyle w:val="hps"/>
                <w:i/>
                <w:iCs/>
                <w:sz w:val="18"/>
                <w:szCs w:val="18"/>
              </w:rPr>
              <w:t xml:space="preserve"> concerning the aims and</w:t>
            </w:r>
            <w:r w:rsidR="007B7F2B">
              <w:rPr>
                <w:rStyle w:val="hps"/>
                <w:i/>
                <w:iCs/>
                <w:sz w:val="18"/>
                <w:szCs w:val="18"/>
              </w:rPr>
              <w:t xml:space="preserve"> </w:t>
            </w:r>
            <w:r w:rsidRPr="00015B96">
              <w:rPr>
                <w:rStyle w:val="hps"/>
                <w:i/>
                <w:iCs/>
                <w:sz w:val="18"/>
                <w:szCs w:val="18"/>
              </w:rPr>
              <w:t>objectives of business activities. The said</w:t>
            </w:r>
            <w:r w:rsidR="007B7F2B">
              <w:rPr>
                <w:rStyle w:val="hps"/>
                <w:i/>
                <w:iCs/>
                <w:sz w:val="18"/>
                <w:szCs w:val="18"/>
              </w:rPr>
              <w:t xml:space="preserve"> </w:t>
            </w:r>
            <w:r w:rsidRPr="00015B96">
              <w:rPr>
                <w:rStyle w:val="hps"/>
                <w:i/>
                <w:iCs/>
                <w:sz w:val="18"/>
                <w:szCs w:val="18"/>
              </w:rPr>
              <w:t>amendment has been approved by the Minister of</w:t>
            </w:r>
            <w:r w:rsidR="007B7F2B">
              <w:rPr>
                <w:rStyle w:val="hps"/>
                <w:i/>
                <w:iCs/>
                <w:sz w:val="18"/>
                <w:szCs w:val="18"/>
              </w:rPr>
              <w:t xml:space="preserve"> </w:t>
            </w:r>
            <w:r w:rsidRPr="00015B96">
              <w:rPr>
                <w:rStyle w:val="hps"/>
                <w:i/>
                <w:iCs/>
                <w:sz w:val="18"/>
                <w:szCs w:val="18"/>
              </w:rPr>
              <w:t>Law and Human Rights of the Republic of Indonesia</w:t>
            </w:r>
            <w:r w:rsidR="007B7F2B">
              <w:rPr>
                <w:rStyle w:val="hps"/>
                <w:i/>
                <w:iCs/>
                <w:sz w:val="18"/>
                <w:szCs w:val="18"/>
              </w:rPr>
              <w:t xml:space="preserve"> </w:t>
            </w:r>
            <w:r w:rsidRPr="00015B96">
              <w:rPr>
                <w:rStyle w:val="hps"/>
                <w:i/>
                <w:iCs/>
                <w:sz w:val="18"/>
                <w:szCs w:val="18"/>
              </w:rPr>
              <w:t>in its Decision Letter No.168 AHU0130194.AH.01.11</w:t>
            </w:r>
            <w:r w:rsidR="00870FD0">
              <w:rPr>
                <w:rStyle w:val="hps"/>
                <w:i/>
                <w:iCs/>
                <w:sz w:val="18"/>
                <w:szCs w:val="18"/>
              </w:rPr>
              <w:t>.</w:t>
            </w:r>
            <w:r w:rsidR="007B7F2B">
              <w:rPr>
                <w:rStyle w:val="hps"/>
                <w:i/>
                <w:iCs/>
                <w:sz w:val="18"/>
                <w:szCs w:val="18"/>
              </w:rPr>
              <w:t xml:space="preserve"> </w:t>
            </w:r>
            <w:r w:rsidRPr="00015B96">
              <w:rPr>
                <w:rStyle w:val="hps"/>
                <w:i/>
                <w:iCs/>
                <w:sz w:val="18"/>
                <w:szCs w:val="18"/>
              </w:rPr>
              <w:t>August</w:t>
            </w:r>
            <w:r w:rsidR="007B7F2B">
              <w:rPr>
                <w:rStyle w:val="hps"/>
                <w:i/>
                <w:iCs/>
                <w:sz w:val="18"/>
                <w:szCs w:val="18"/>
              </w:rPr>
              <w:t xml:space="preserve"> </w:t>
            </w:r>
            <w:r w:rsidRPr="00015B96">
              <w:rPr>
                <w:rStyle w:val="hps"/>
                <w:i/>
                <w:iCs/>
                <w:sz w:val="18"/>
                <w:szCs w:val="18"/>
              </w:rPr>
              <w:t>7</w:t>
            </w:r>
            <w:r w:rsidR="00A66303">
              <w:rPr>
                <w:rStyle w:val="hps"/>
                <w:i/>
                <w:iCs/>
                <w:sz w:val="18"/>
                <w:szCs w:val="18"/>
              </w:rPr>
              <w:t xml:space="preserve">, </w:t>
            </w:r>
            <w:r w:rsidRPr="00015B96">
              <w:rPr>
                <w:rStyle w:val="hps"/>
                <w:i/>
                <w:iCs/>
                <w:sz w:val="18"/>
                <w:szCs w:val="18"/>
              </w:rPr>
              <w:t>2019</w:t>
            </w:r>
          </w:p>
        </w:tc>
      </w:tr>
    </w:tbl>
    <w:p w14:paraId="529B7056" w14:textId="77777777" w:rsidR="00532A65" w:rsidRPr="0043506D" w:rsidRDefault="00532A65" w:rsidP="0013526B">
      <w:pPr>
        <w:rPr>
          <w:sz w:val="18"/>
          <w:lang w:val="id-ID"/>
        </w:rPr>
      </w:pPr>
    </w:p>
    <w:tbl>
      <w:tblPr>
        <w:tblW w:w="9197" w:type="dxa"/>
        <w:tblInd w:w="392" w:type="dxa"/>
        <w:tblLayout w:type="fixed"/>
        <w:tblLook w:val="0000" w:firstRow="0" w:lastRow="0" w:firstColumn="0" w:lastColumn="0" w:noHBand="0" w:noVBand="0"/>
      </w:tblPr>
      <w:tblGrid>
        <w:gridCol w:w="4598"/>
        <w:gridCol w:w="4599"/>
      </w:tblGrid>
      <w:tr w:rsidR="00532A65" w:rsidRPr="00F65893" w14:paraId="0E934F25" w14:textId="77777777" w:rsidTr="00015B96">
        <w:tc>
          <w:tcPr>
            <w:tcW w:w="4598" w:type="dxa"/>
          </w:tcPr>
          <w:p w14:paraId="44A8523D" w14:textId="03B01AF6" w:rsidR="00532A65" w:rsidRPr="00F65893" w:rsidRDefault="00BB72BD" w:rsidP="00532A65">
            <w:pPr>
              <w:ind w:left="567" w:right="-57"/>
              <w:jc w:val="both"/>
              <w:rPr>
                <w:rStyle w:val="hps"/>
                <w:sz w:val="18"/>
                <w:szCs w:val="18"/>
                <w:u w:val="single"/>
              </w:rPr>
            </w:pPr>
            <w:r w:rsidRPr="00F65893">
              <w:rPr>
                <w:rStyle w:val="hps"/>
                <w:sz w:val="18"/>
                <w:szCs w:val="18"/>
                <w:u w:val="single"/>
              </w:rPr>
              <w:t>PT Nusa  Sejahtera  Kharisma (“NSK”)</w:t>
            </w:r>
          </w:p>
        </w:tc>
        <w:tc>
          <w:tcPr>
            <w:tcW w:w="4599" w:type="dxa"/>
          </w:tcPr>
          <w:p w14:paraId="0867BB91" w14:textId="4668FBCD" w:rsidR="00532A65" w:rsidRPr="00F65893" w:rsidRDefault="00BB72BD" w:rsidP="00532A65">
            <w:pPr>
              <w:ind w:left="567" w:right="-57"/>
              <w:jc w:val="both"/>
              <w:rPr>
                <w:i/>
                <w:sz w:val="18"/>
                <w:szCs w:val="18"/>
                <w:u w:val="single"/>
              </w:rPr>
            </w:pPr>
            <w:r w:rsidRPr="00F65893">
              <w:rPr>
                <w:i/>
                <w:sz w:val="18"/>
                <w:szCs w:val="18"/>
                <w:u w:val="single"/>
              </w:rPr>
              <w:t>PT Nusa  Sejahtera  Kharisma (“NSK”)</w:t>
            </w:r>
          </w:p>
        </w:tc>
      </w:tr>
      <w:tr w:rsidR="00532A65" w:rsidRPr="00F65893" w14:paraId="723AEF71" w14:textId="77777777" w:rsidTr="00015B96">
        <w:tc>
          <w:tcPr>
            <w:tcW w:w="4598" w:type="dxa"/>
          </w:tcPr>
          <w:p w14:paraId="444FEB06" w14:textId="77777777" w:rsidR="00532A65" w:rsidRPr="00F65893" w:rsidRDefault="00532A65" w:rsidP="00532A65">
            <w:pPr>
              <w:ind w:left="567" w:right="-57"/>
              <w:jc w:val="both"/>
              <w:rPr>
                <w:rStyle w:val="hps"/>
                <w:sz w:val="18"/>
                <w:szCs w:val="18"/>
              </w:rPr>
            </w:pPr>
          </w:p>
        </w:tc>
        <w:tc>
          <w:tcPr>
            <w:tcW w:w="4599" w:type="dxa"/>
          </w:tcPr>
          <w:p w14:paraId="48F821F1" w14:textId="77777777" w:rsidR="00532A65" w:rsidRPr="00F65893" w:rsidRDefault="00532A65" w:rsidP="00532A65">
            <w:pPr>
              <w:ind w:left="567" w:right="-57"/>
              <w:jc w:val="both"/>
              <w:rPr>
                <w:i/>
                <w:sz w:val="18"/>
                <w:szCs w:val="18"/>
              </w:rPr>
            </w:pPr>
          </w:p>
        </w:tc>
      </w:tr>
      <w:tr w:rsidR="00532A65" w:rsidRPr="00F65893" w14:paraId="6501742B" w14:textId="77777777" w:rsidTr="00015B96">
        <w:tc>
          <w:tcPr>
            <w:tcW w:w="4598" w:type="dxa"/>
          </w:tcPr>
          <w:p w14:paraId="5A00BA89" w14:textId="63A5F310" w:rsidR="00532A65" w:rsidRPr="00F65893" w:rsidRDefault="00BB72BD" w:rsidP="00A66303">
            <w:pPr>
              <w:ind w:left="567" w:right="-57"/>
              <w:jc w:val="both"/>
              <w:rPr>
                <w:rStyle w:val="hps"/>
                <w:sz w:val="18"/>
                <w:szCs w:val="18"/>
              </w:rPr>
            </w:pPr>
            <w:r w:rsidRPr="00F65893">
              <w:rPr>
                <w:rStyle w:val="hps"/>
                <w:sz w:val="18"/>
                <w:szCs w:val="18"/>
              </w:rPr>
              <w:t>Berdasarkan Akta Notaris dari notaris Buntario</w:t>
            </w:r>
            <w:r w:rsidRPr="00F65893">
              <w:rPr>
                <w:rStyle w:val="hps"/>
                <w:sz w:val="18"/>
                <w:szCs w:val="18"/>
                <w:lang w:val="id-ID"/>
              </w:rPr>
              <w:t xml:space="preserve"> </w:t>
            </w:r>
            <w:r w:rsidRPr="00F65893">
              <w:rPr>
                <w:rStyle w:val="hps"/>
                <w:sz w:val="18"/>
                <w:szCs w:val="18"/>
              </w:rPr>
              <w:t>Tigris</w:t>
            </w:r>
            <w:r w:rsidR="00A66303">
              <w:rPr>
                <w:rStyle w:val="hps"/>
                <w:sz w:val="18"/>
                <w:szCs w:val="18"/>
              </w:rPr>
              <w:t>,</w:t>
            </w:r>
            <w:r w:rsidRPr="00F65893">
              <w:rPr>
                <w:rStyle w:val="hps"/>
                <w:sz w:val="18"/>
                <w:szCs w:val="18"/>
              </w:rPr>
              <w:t xml:space="preserve"> S.H.</w:t>
            </w:r>
            <w:r w:rsidR="00A66303">
              <w:rPr>
                <w:rStyle w:val="hps"/>
                <w:sz w:val="18"/>
                <w:szCs w:val="18"/>
              </w:rPr>
              <w:t>,</w:t>
            </w:r>
            <w:r w:rsidRPr="00F65893">
              <w:rPr>
                <w:rStyle w:val="hps"/>
                <w:sz w:val="18"/>
                <w:szCs w:val="18"/>
              </w:rPr>
              <w:t xml:space="preserve"> S.E.</w:t>
            </w:r>
            <w:r w:rsidR="00A66303">
              <w:rPr>
                <w:rStyle w:val="hps"/>
                <w:sz w:val="18"/>
                <w:szCs w:val="18"/>
              </w:rPr>
              <w:t>,</w:t>
            </w:r>
            <w:r w:rsidRPr="00F65893">
              <w:rPr>
                <w:rStyle w:val="hps"/>
                <w:sz w:val="18"/>
                <w:szCs w:val="18"/>
              </w:rPr>
              <w:t xml:space="preserve"> M.H.</w:t>
            </w:r>
            <w:r w:rsidR="00A66303">
              <w:rPr>
                <w:rStyle w:val="hps"/>
                <w:sz w:val="18"/>
                <w:szCs w:val="18"/>
              </w:rPr>
              <w:t>,</w:t>
            </w:r>
            <w:r w:rsidRPr="00F65893">
              <w:rPr>
                <w:rStyle w:val="hps"/>
                <w:sz w:val="18"/>
                <w:szCs w:val="18"/>
              </w:rPr>
              <w:t xml:space="preserve"> No. 76 tanggal 20 Apri</w:t>
            </w:r>
            <w:r w:rsidRPr="00F65893">
              <w:rPr>
                <w:rStyle w:val="hps"/>
                <w:sz w:val="18"/>
                <w:szCs w:val="18"/>
                <w:lang w:val="id-ID"/>
              </w:rPr>
              <w:t xml:space="preserve">l </w:t>
            </w:r>
            <w:r w:rsidRPr="00F65893">
              <w:rPr>
                <w:rStyle w:val="hps"/>
                <w:sz w:val="18"/>
                <w:szCs w:val="18"/>
              </w:rPr>
              <w:t>2015</w:t>
            </w:r>
            <w:r w:rsidR="00A66303">
              <w:rPr>
                <w:rStyle w:val="hps"/>
                <w:sz w:val="18"/>
                <w:szCs w:val="18"/>
              </w:rPr>
              <w:t>,</w:t>
            </w:r>
            <w:r w:rsidRPr="00F65893">
              <w:rPr>
                <w:rStyle w:val="hps"/>
                <w:sz w:val="18"/>
                <w:szCs w:val="18"/>
              </w:rPr>
              <w:t xml:space="preserve">  Perusahaan  dan  Jonathan  Tahir mendirikan NSK</w:t>
            </w:r>
            <w:r w:rsidR="00870FD0">
              <w:rPr>
                <w:rStyle w:val="hps"/>
                <w:sz w:val="18"/>
                <w:szCs w:val="18"/>
              </w:rPr>
              <w:t>.</w:t>
            </w:r>
            <w:r w:rsidRPr="00F65893">
              <w:rPr>
                <w:rStyle w:val="hps"/>
                <w:sz w:val="18"/>
                <w:szCs w:val="18"/>
              </w:rPr>
              <w:t xml:space="preserve"> </w:t>
            </w:r>
            <w:proofErr w:type="gramStart"/>
            <w:r w:rsidRPr="00F65893">
              <w:rPr>
                <w:rStyle w:val="hps"/>
                <w:sz w:val="18"/>
                <w:szCs w:val="18"/>
              </w:rPr>
              <w:t>dengan</w:t>
            </w:r>
            <w:proofErr w:type="gramEnd"/>
            <w:r w:rsidRPr="00F65893">
              <w:rPr>
                <w:rStyle w:val="hps"/>
                <w:sz w:val="18"/>
                <w:szCs w:val="18"/>
              </w:rPr>
              <w:t xml:space="preserve"> kepemilikan saham Perusahaan pada NSK adalah sebesar Rp</w:t>
            </w:r>
            <w:r w:rsidR="00C13CCF">
              <w:rPr>
                <w:rStyle w:val="hps"/>
                <w:sz w:val="18"/>
                <w:szCs w:val="18"/>
              </w:rPr>
              <w:t xml:space="preserve"> </w:t>
            </w:r>
            <w:r w:rsidRPr="00F65893">
              <w:rPr>
                <w:rStyle w:val="hps"/>
                <w:sz w:val="18"/>
                <w:szCs w:val="18"/>
              </w:rPr>
              <w:t>4.000.000.000 atau 99% dari modal ditempatkan dan disetor penuh.</w:t>
            </w:r>
          </w:p>
        </w:tc>
        <w:tc>
          <w:tcPr>
            <w:tcW w:w="4599" w:type="dxa"/>
          </w:tcPr>
          <w:p w14:paraId="6900F69A" w14:textId="46C2F74D" w:rsidR="00532A65" w:rsidRPr="00F65893" w:rsidRDefault="00BB72BD" w:rsidP="00A66303">
            <w:pPr>
              <w:ind w:left="567" w:right="-57"/>
              <w:jc w:val="both"/>
              <w:rPr>
                <w:i/>
                <w:sz w:val="18"/>
                <w:szCs w:val="18"/>
              </w:rPr>
            </w:pPr>
            <w:r w:rsidRPr="00F65893">
              <w:rPr>
                <w:i/>
                <w:sz w:val="18"/>
                <w:szCs w:val="18"/>
              </w:rPr>
              <w:t>Based  on  Notarial  Deed  of  notary  Buntario Tigris</w:t>
            </w:r>
            <w:r w:rsidR="00A66303">
              <w:rPr>
                <w:i/>
                <w:sz w:val="18"/>
                <w:szCs w:val="18"/>
              </w:rPr>
              <w:t>,</w:t>
            </w:r>
            <w:r w:rsidRPr="00F65893">
              <w:rPr>
                <w:i/>
                <w:sz w:val="18"/>
                <w:szCs w:val="18"/>
              </w:rPr>
              <w:t xml:space="preserve">    S.H.</w:t>
            </w:r>
            <w:r w:rsidR="00A66303">
              <w:rPr>
                <w:i/>
                <w:sz w:val="18"/>
                <w:szCs w:val="18"/>
              </w:rPr>
              <w:t>,</w:t>
            </w:r>
            <w:r w:rsidRPr="00F65893">
              <w:rPr>
                <w:i/>
                <w:sz w:val="18"/>
                <w:szCs w:val="18"/>
              </w:rPr>
              <w:t xml:space="preserve"> S.E.</w:t>
            </w:r>
            <w:r w:rsidR="00A66303">
              <w:rPr>
                <w:i/>
                <w:sz w:val="18"/>
                <w:szCs w:val="18"/>
              </w:rPr>
              <w:t>,</w:t>
            </w:r>
            <w:r w:rsidRPr="00F65893">
              <w:rPr>
                <w:i/>
                <w:sz w:val="18"/>
                <w:szCs w:val="18"/>
              </w:rPr>
              <w:t xml:space="preserve"> M.H.</w:t>
            </w:r>
            <w:r w:rsidR="00A66303">
              <w:rPr>
                <w:i/>
                <w:sz w:val="18"/>
                <w:szCs w:val="18"/>
              </w:rPr>
              <w:t>,</w:t>
            </w:r>
            <w:r w:rsidRPr="00F65893">
              <w:rPr>
                <w:i/>
                <w:sz w:val="18"/>
                <w:szCs w:val="18"/>
              </w:rPr>
              <w:t xml:space="preserve"> No. 76</w:t>
            </w:r>
            <w:r w:rsidRPr="00F65893">
              <w:rPr>
                <w:i/>
                <w:sz w:val="18"/>
                <w:szCs w:val="18"/>
                <w:lang w:val="id-ID"/>
              </w:rPr>
              <w:t xml:space="preserve"> </w:t>
            </w:r>
            <w:r w:rsidRPr="00F65893">
              <w:rPr>
                <w:i/>
                <w:sz w:val="18"/>
                <w:szCs w:val="18"/>
              </w:rPr>
              <w:t xml:space="preserve"> dated April  20</w:t>
            </w:r>
            <w:r w:rsidR="00A66303">
              <w:rPr>
                <w:i/>
                <w:sz w:val="18"/>
                <w:szCs w:val="18"/>
              </w:rPr>
              <w:t>,</w:t>
            </w:r>
            <w:r w:rsidRPr="00F65893">
              <w:rPr>
                <w:i/>
                <w:sz w:val="18"/>
                <w:szCs w:val="18"/>
              </w:rPr>
              <w:t xml:space="preserve">  2015</w:t>
            </w:r>
            <w:r w:rsidR="00A66303">
              <w:rPr>
                <w:i/>
                <w:sz w:val="18"/>
                <w:szCs w:val="18"/>
              </w:rPr>
              <w:t>,</w:t>
            </w:r>
            <w:r w:rsidRPr="00F65893">
              <w:rPr>
                <w:i/>
                <w:sz w:val="18"/>
                <w:szCs w:val="18"/>
              </w:rPr>
              <w:t xml:space="preserve">  the  Company  and  Jonathan Tahir established NSK</w:t>
            </w:r>
            <w:r w:rsidR="00870FD0">
              <w:rPr>
                <w:i/>
                <w:sz w:val="18"/>
                <w:szCs w:val="18"/>
              </w:rPr>
              <w:t>.</w:t>
            </w:r>
            <w:r w:rsidRPr="00F65893">
              <w:rPr>
                <w:i/>
                <w:sz w:val="18"/>
                <w:szCs w:val="18"/>
              </w:rPr>
              <w:t xml:space="preserve"> </w:t>
            </w:r>
            <w:proofErr w:type="gramStart"/>
            <w:r w:rsidRPr="00F65893">
              <w:rPr>
                <w:i/>
                <w:sz w:val="18"/>
                <w:szCs w:val="18"/>
              </w:rPr>
              <w:t>with</w:t>
            </w:r>
            <w:proofErr w:type="gramEnd"/>
            <w:r w:rsidRPr="00F65893">
              <w:rPr>
                <w:i/>
                <w:sz w:val="18"/>
                <w:szCs w:val="18"/>
              </w:rPr>
              <w:t xml:space="preserve"> percentage of ownership of the Company in NSK amounting to Rp</w:t>
            </w:r>
            <w:r w:rsidR="00C13CCF">
              <w:rPr>
                <w:i/>
                <w:sz w:val="18"/>
                <w:szCs w:val="18"/>
              </w:rPr>
              <w:t xml:space="preserve"> </w:t>
            </w:r>
            <w:r w:rsidRPr="00F65893">
              <w:rPr>
                <w:i/>
                <w:sz w:val="18"/>
                <w:szCs w:val="18"/>
              </w:rPr>
              <w:t>4</w:t>
            </w:r>
            <w:r w:rsidR="00A66303">
              <w:rPr>
                <w:i/>
                <w:sz w:val="18"/>
                <w:szCs w:val="18"/>
              </w:rPr>
              <w:t>,</w:t>
            </w:r>
            <w:r w:rsidRPr="00F65893">
              <w:rPr>
                <w:i/>
                <w:sz w:val="18"/>
                <w:szCs w:val="18"/>
              </w:rPr>
              <w:t>000</w:t>
            </w:r>
            <w:r w:rsidR="00A66303">
              <w:rPr>
                <w:i/>
                <w:sz w:val="18"/>
                <w:szCs w:val="18"/>
              </w:rPr>
              <w:t>,</w:t>
            </w:r>
            <w:r w:rsidRPr="00F65893">
              <w:rPr>
                <w:i/>
                <w:sz w:val="18"/>
                <w:szCs w:val="18"/>
              </w:rPr>
              <w:t>000</w:t>
            </w:r>
            <w:r w:rsidR="00A66303">
              <w:rPr>
                <w:i/>
                <w:sz w:val="18"/>
                <w:szCs w:val="18"/>
              </w:rPr>
              <w:t>,</w:t>
            </w:r>
            <w:r w:rsidRPr="00F65893">
              <w:rPr>
                <w:i/>
                <w:sz w:val="18"/>
                <w:szCs w:val="18"/>
              </w:rPr>
              <w:t>000 or 99% from its issued and fully paid capital.</w:t>
            </w:r>
          </w:p>
        </w:tc>
      </w:tr>
      <w:tr w:rsidR="00532A65" w:rsidRPr="00F65893" w14:paraId="26C09BD2" w14:textId="77777777" w:rsidTr="00015B96">
        <w:tc>
          <w:tcPr>
            <w:tcW w:w="4598" w:type="dxa"/>
          </w:tcPr>
          <w:p w14:paraId="03D289FD" w14:textId="77777777" w:rsidR="00532A65" w:rsidRPr="00F65893" w:rsidRDefault="00532A65" w:rsidP="00532A65">
            <w:pPr>
              <w:ind w:left="567" w:right="-57"/>
              <w:jc w:val="both"/>
              <w:rPr>
                <w:rStyle w:val="hps"/>
                <w:sz w:val="18"/>
                <w:szCs w:val="18"/>
              </w:rPr>
            </w:pPr>
          </w:p>
        </w:tc>
        <w:tc>
          <w:tcPr>
            <w:tcW w:w="4599" w:type="dxa"/>
          </w:tcPr>
          <w:p w14:paraId="3F0465C2" w14:textId="77777777" w:rsidR="00532A65" w:rsidRPr="00F65893" w:rsidRDefault="00532A65" w:rsidP="00532A65">
            <w:pPr>
              <w:ind w:left="567" w:right="-57"/>
              <w:jc w:val="both"/>
              <w:rPr>
                <w:i/>
                <w:sz w:val="18"/>
                <w:szCs w:val="18"/>
              </w:rPr>
            </w:pPr>
          </w:p>
        </w:tc>
      </w:tr>
      <w:tr w:rsidR="00532A65" w:rsidRPr="00F65893" w14:paraId="46A45220" w14:textId="77777777" w:rsidTr="00015B96">
        <w:tc>
          <w:tcPr>
            <w:tcW w:w="4598" w:type="dxa"/>
          </w:tcPr>
          <w:p w14:paraId="462680AF" w14:textId="613F1F99" w:rsidR="00532A65" w:rsidRPr="00F65893" w:rsidRDefault="00BB72BD" w:rsidP="00A66303">
            <w:pPr>
              <w:ind w:left="567" w:right="-57"/>
              <w:jc w:val="both"/>
              <w:rPr>
                <w:rStyle w:val="hps"/>
                <w:sz w:val="18"/>
                <w:szCs w:val="18"/>
              </w:rPr>
            </w:pPr>
            <w:r w:rsidRPr="00F65893">
              <w:rPr>
                <w:rStyle w:val="hps"/>
                <w:sz w:val="18"/>
                <w:szCs w:val="18"/>
              </w:rPr>
              <w:t>Berdasarkan   Keputusan   Pemegang   Saham pada tanggal 27 Desember 2017</w:t>
            </w:r>
            <w:r w:rsidR="00A66303">
              <w:rPr>
                <w:rStyle w:val="hps"/>
                <w:sz w:val="18"/>
                <w:szCs w:val="18"/>
              </w:rPr>
              <w:t>,</w:t>
            </w:r>
            <w:r w:rsidRPr="00F65893">
              <w:rPr>
                <w:rStyle w:val="hps"/>
                <w:sz w:val="18"/>
                <w:szCs w:val="18"/>
              </w:rPr>
              <w:t xml:space="preserve"> Akta Notaris Buntario Tigris</w:t>
            </w:r>
            <w:r w:rsidR="00A66303">
              <w:rPr>
                <w:rStyle w:val="hps"/>
                <w:sz w:val="18"/>
                <w:szCs w:val="18"/>
              </w:rPr>
              <w:t>,</w:t>
            </w:r>
            <w:r w:rsidRPr="00F65893">
              <w:rPr>
                <w:rStyle w:val="hps"/>
                <w:sz w:val="18"/>
                <w:szCs w:val="18"/>
              </w:rPr>
              <w:t xml:space="preserve"> S.H.</w:t>
            </w:r>
            <w:r w:rsidR="00A66303">
              <w:rPr>
                <w:rStyle w:val="hps"/>
                <w:sz w:val="18"/>
                <w:szCs w:val="18"/>
              </w:rPr>
              <w:t>,</w:t>
            </w:r>
            <w:r w:rsidRPr="00F65893">
              <w:rPr>
                <w:rStyle w:val="hps"/>
                <w:sz w:val="18"/>
                <w:szCs w:val="18"/>
              </w:rPr>
              <w:t xml:space="preserve"> S.E.</w:t>
            </w:r>
            <w:r w:rsidR="00A66303">
              <w:rPr>
                <w:rStyle w:val="hps"/>
                <w:sz w:val="18"/>
                <w:szCs w:val="18"/>
              </w:rPr>
              <w:t>,</w:t>
            </w:r>
            <w:r w:rsidRPr="00F65893">
              <w:rPr>
                <w:rStyle w:val="hps"/>
                <w:sz w:val="18"/>
                <w:szCs w:val="18"/>
              </w:rPr>
              <w:t xml:space="preserve"> M.H.</w:t>
            </w:r>
            <w:r w:rsidR="00A66303">
              <w:rPr>
                <w:rStyle w:val="hps"/>
                <w:sz w:val="18"/>
                <w:szCs w:val="18"/>
              </w:rPr>
              <w:t>,</w:t>
            </w:r>
            <w:r w:rsidRPr="00F65893">
              <w:rPr>
                <w:rStyle w:val="hps"/>
                <w:sz w:val="18"/>
                <w:szCs w:val="18"/>
              </w:rPr>
              <w:t xml:space="preserve"> No. 121 pada tanggal  </w:t>
            </w:r>
            <w:r w:rsidR="00C13CCF">
              <w:rPr>
                <w:rStyle w:val="hps"/>
                <w:sz w:val="18"/>
                <w:szCs w:val="18"/>
              </w:rPr>
              <w:br/>
            </w:r>
            <w:r w:rsidRPr="00F65893">
              <w:rPr>
                <w:rStyle w:val="hps"/>
                <w:sz w:val="18"/>
                <w:szCs w:val="18"/>
              </w:rPr>
              <w:t xml:space="preserve">23  Januari  2018  dan  telah  disahkan oleh  Menteri  Hukum  dan Hak Asasi Manusia </w:t>
            </w:r>
            <w:r w:rsidR="00C13CCF">
              <w:rPr>
                <w:rStyle w:val="hps"/>
                <w:sz w:val="18"/>
                <w:szCs w:val="18"/>
              </w:rPr>
              <w:br/>
            </w:r>
            <w:r w:rsidRPr="00F65893">
              <w:rPr>
                <w:rStyle w:val="hps"/>
                <w:sz w:val="18"/>
                <w:szCs w:val="18"/>
              </w:rPr>
              <w:t xml:space="preserve">Republik  Indonesia  melalui  Surat  Keputusan </w:t>
            </w:r>
            <w:r w:rsidR="00C13CCF">
              <w:rPr>
                <w:rStyle w:val="hps"/>
                <w:sz w:val="18"/>
                <w:szCs w:val="18"/>
              </w:rPr>
              <w:br/>
            </w:r>
            <w:r w:rsidRPr="00F65893">
              <w:rPr>
                <w:rStyle w:val="hps"/>
                <w:sz w:val="18"/>
                <w:szCs w:val="18"/>
              </w:rPr>
              <w:t>No. AHU</w:t>
            </w:r>
            <w:r w:rsidRPr="00F65893">
              <w:rPr>
                <w:rStyle w:val="hps"/>
                <w:sz w:val="18"/>
                <w:szCs w:val="18"/>
                <w:lang w:val="id-ID"/>
              </w:rPr>
              <w:t>-</w:t>
            </w:r>
            <w:r w:rsidRPr="00F65893">
              <w:rPr>
                <w:rStyle w:val="hps"/>
                <w:sz w:val="18"/>
                <w:szCs w:val="18"/>
              </w:rPr>
              <w:t xml:space="preserve">0002360.AH.01.02.Tahun 2018 dan Surat Penerimaan Pemberitahuan Perubahan Anggaran Dasar No. AHU-AH.01.03.0047534 pada tanggal </w:t>
            </w:r>
            <w:r w:rsidR="00C13CCF">
              <w:rPr>
                <w:rStyle w:val="hps"/>
                <w:sz w:val="18"/>
                <w:szCs w:val="18"/>
              </w:rPr>
              <w:br/>
            </w:r>
            <w:r w:rsidR="00A66303">
              <w:rPr>
                <w:rStyle w:val="hps"/>
                <w:sz w:val="18"/>
                <w:szCs w:val="18"/>
              </w:rPr>
              <w:t>31 Januari 2018,</w:t>
            </w:r>
            <w:r w:rsidRPr="00F65893">
              <w:rPr>
                <w:rStyle w:val="hps"/>
                <w:sz w:val="18"/>
                <w:szCs w:val="18"/>
                <w:lang w:val="id-ID"/>
              </w:rPr>
              <w:t xml:space="preserve"> </w:t>
            </w:r>
            <w:r w:rsidRPr="00F65893">
              <w:rPr>
                <w:rStyle w:val="hps"/>
                <w:sz w:val="18"/>
                <w:szCs w:val="18"/>
              </w:rPr>
              <w:t>NSK meningkatkan modal dasar dari Rp</w:t>
            </w:r>
            <w:r w:rsidR="00C13CCF">
              <w:rPr>
                <w:rStyle w:val="hps"/>
                <w:sz w:val="18"/>
                <w:szCs w:val="18"/>
              </w:rPr>
              <w:t xml:space="preserve"> </w:t>
            </w:r>
            <w:r w:rsidRPr="00F65893">
              <w:rPr>
                <w:rStyle w:val="hps"/>
                <w:sz w:val="18"/>
                <w:szCs w:val="18"/>
              </w:rPr>
              <w:t xml:space="preserve">4.000.000.000 menjadi sebesar </w:t>
            </w:r>
            <w:r w:rsidR="00C13CCF">
              <w:rPr>
                <w:rStyle w:val="hps"/>
                <w:sz w:val="18"/>
                <w:szCs w:val="18"/>
              </w:rPr>
              <w:br/>
            </w:r>
            <w:r w:rsidRPr="00F65893">
              <w:rPr>
                <w:rStyle w:val="hps"/>
                <w:sz w:val="18"/>
                <w:szCs w:val="18"/>
              </w:rPr>
              <w:t>Rp</w:t>
            </w:r>
            <w:r w:rsidR="00C13CCF">
              <w:rPr>
                <w:rStyle w:val="hps"/>
                <w:sz w:val="18"/>
                <w:szCs w:val="18"/>
              </w:rPr>
              <w:t xml:space="preserve"> </w:t>
            </w:r>
            <w:r w:rsidRPr="00F65893">
              <w:rPr>
                <w:rStyle w:val="hps"/>
                <w:sz w:val="18"/>
                <w:szCs w:val="18"/>
              </w:rPr>
              <w:t>600.000.000.000</w:t>
            </w:r>
            <w:r w:rsidR="00870FD0">
              <w:rPr>
                <w:rStyle w:val="hps"/>
                <w:sz w:val="18"/>
                <w:szCs w:val="18"/>
              </w:rPr>
              <w:t>.</w:t>
            </w:r>
            <w:r w:rsidRPr="00F65893">
              <w:rPr>
                <w:rStyle w:val="hps"/>
                <w:sz w:val="18"/>
                <w:szCs w:val="18"/>
              </w:rPr>
              <w:t xml:space="preserve"> </w:t>
            </w:r>
            <w:proofErr w:type="gramStart"/>
            <w:r w:rsidRPr="00F65893">
              <w:rPr>
                <w:rStyle w:val="hps"/>
                <w:sz w:val="18"/>
                <w:szCs w:val="18"/>
              </w:rPr>
              <w:t>serta</w:t>
            </w:r>
            <w:proofErr w:type="gramEnd"/>
            <w:r w:rsidRPr="00F65893">
              <w:rPr>
                <w:rStyle w:val="hps"/>
                <w:sz w:val="18"/>
                <w:szCs w:val="18"/>
              </w:rPr>
              <w:t xml:space="preserve"> meningkatkan modal ditempatkan dan disetor semula sebesar </w:t>
            </w:r>
            <w:r w:rsidR="00C13CCF">
              <w:rPr>
                <w:rStyle w:val="hps"/>
                <w:sz w:val="18"/>
                <w:szCs w:val="18"/>
              </w:rPr>
              <w:br/>
            </w:r>
            <w:r w:rsidRPr="00F65893">
              <w:rPr>
                <w:rStyle w:val="hps"/>
                <w:sz w:val="18"/>
                <w:szCs w:val="18"/>
              </w:rPr>
              <w:t>Rp</w:t>
            </w:r>
            <w:r w:rsidR="00C13CCF">
              <w:rPr>
                <w:rStyle w:val="hps"/>
                <w:sz w:val="18"/>
                <w:szCs w:val="18"/>
              </w:rPr>
              <w:t xml:space="preserve"> </w:t>
            </w:r>
            <w:r w:rsidRPr="00F65893">
              <w:rPr>
                <w:rStyle w:val="hps"/>
                <w:sz w:val="18"/>
                <w:szCs w:val="18"/>
              </w:rPr>
              <w:t xml:space="preserve">1.000.000.000 menjadi sebesar </w:t>
            </w:r>
            <w:r w:rsidR="00C13CCF">
              <w:rPr>
                <w:rStyle w:val="hps"/>
                <w:sz w:val="18"/>
                <w:szCs w:val="18"/>
              </w:rPr>
              <w:br/>
            </w:r>
            <w:r w:rsidRPr="00F65893">
              <w:rPr>
                <w:rStyle w:val="hps"/>
                <w:sz w:val="18"/>
                <w:szCs w:val="18"/>
              </w:rPr>
              <w:t>Rp</w:t>
            </w:r>
            <w:r w:rsidR="00C13CCF">
              <w:rPr>
                <w:rStyle w:val="hps"/>
                <w:sz w:val="18"/>
                <w:szCs w:val="18"/>
              </w:rPr>
              <w:t xml:space="preserve"> </w:t>
            </w:r>
            <w:r w:rsidRPr="00F65893">
              <w:rPr>
                <w:rStyle w:val="hps"/>
                <w:sz w:val="18"/>
                <w:szCs w:val="18"/>
              </w:rPr>
              <w:t>164.000.000.000. Peningkatan modal disetor tersebut seluruhnya diambil oleh Perusahaan.</w:t>
            </w:r>
          </w:p>
        </w:tc>
        <w:tc>
          <w:tcPr>
            <w:tcW w:w="4599" w:type="dxa"/>
          </w:tcPr>
          <w:p w14:paraId="4E2398A8" w14:textId="7ACF1ACF" w:rsidR="00532A65" w:rsidRPr="00F65893" w:rsidRDefault="00BB72BD" w:rsidP="00A66303">
            <w:pPr>
              <w:ind w:left="567" w:right="-57"/>
              <w:jc w:val="both"/>
              <w:rPr>
                <w:i/>
                <w:sz w:val="18"/>
                <w:szCs w:val="18"/>
              </w:rPr>
            </w:pPr>
            <w:r w:rsidRPr="00F65893">
              <w:rPr>
                <w:i/>
                <w:sz w:val="18"/>
                <w:szCs w:val="18"/>
              </w:rPr>
              <w:t>Based on Shareholder Resolution dated December 27</w:t>
            </w:r>
            <w:r w:rsidR="00A66303">
              <w:rPr>
                <w:i/>
                <w:sz w:val="18"/>
                <w:szCs w:val="18"/>
              </w:rPr>
              <w:t>,</w:t>
            </w:r>
            <w:r w:rsidRPr="00F65893">
              <w:rPr>
                <w:i/>
                <w:sz w:val="18"/>
                <w:szCs w:val="18"/>
              </w:rPr>
              <w:t xml:space="preserve"> 2017</w:t>
            </w:r>
            <w:r w:rsidR="00A66303">
              <w:rPr>
                <w:i/>
                <w:sz w:val="18"/>
                <w:szCs w:val="18"/>
              </w:rPr>
              <w:t>,</w:t>
            </w:r>
            <w:r w:rsidRPr="00F65893">
              <w:rPr>
                <w:i/>
                <w:sz w:val="18"/>
                <w:szCs w:val="18"/>
              </w:rPr>
              <w:t xml:space="preserve"> the Notarial Deed of Buntario Tigris</w:t>
            </w:r>
            <w:r w:rsidR="00A66303">
              <w:rPr>
                <w:i/>
                <w:sz w:val="18"/>
                <w:szCs w:val="18"/>
              </w:rPr>
              <w:t>,</w:t>
            </w:r>
            <w:r w:rsidRPr="00F65893">
              <w:rPr>
                <w:i/>
                <w:sz w:val="18"/>
                <w:szCs w:val="18"/>
              </w:rPr>
              <w:t xml:space="preserve"> S.H.</w:t>
            </w:r>
            <w:r w:rsidR="00A66303">
              <w:rPr>
                <w:i/>
                <w:sz w:val="18"/>
                <w:szCs w:val="18"/>
              </w:rPr>
              <w:t>,</w:t>
            </w:r>
            <w:r w:rsidRPr="00F65893">
              <w:rPr>
                <w:i/>
                <w:sz w:val="18"/>
                <w:szCs w:val="18"/>
              </w:rPr>
              <w:t xml:space="preserve"> S.E.</w:t>
            </w:r>
            <w:r w:rsidR="00A66303">
              <w:rPr>
                <w:i/>
                <w:sz w:val="18"/>
                <w:szCs w:val="18"/>
              </w:rPr>
              <w:t>,</w:t>
            </w:r>
            <w:r w:rsidRPr="00F65893">
              <w:rPr>
                <w:i/>
                <w:sz w:val="18"/>
                <w:szCs w:val="18"/>
              </w:rPr>
              <w:t xml:space="preserve"> M.H.</w:t>
            </w:r>
            <w:r w:rsidR="00A66303">
              <w:rPr>
                <w:i/>
                <w:sz w:val="18"/>
                <w:szCs w:val="18"/>
              </w:rPr>
              <w:t>,</w:t>
            </w:r>
            <w:r w:rsidRPr="00F65893">
              <w:rPr>
                <w:i/>
                <w:sz w:val="18"/>
                <w:szCs w:val="18"/>
              </w:rPr>
              <w:t xml:space="preserve"> No. 121 on January 23</w:t>
            </w:r>
            <w:r w:rsidR="00A66303">
              <w:rPr>
                <w:i/>
                <w:sz w:val="18"/>
                <w:szCs w:val="18"/>
              </w:rPr>
              <w:t>,</w:t>
            </w:r>
            <w:r w:rsidRPr="00F65893">
              <w:rPr>
                <w:i/>
                <w:sz w:val="18"/>
                <w:szCs w:val="18"/>
              </w:rPr>
              <w:t xml:space="preserve"> 2018 and has been approved by the Minister of Justice and Human Rights of the Republic of Indonesia in his Decision Letter </w:t>
            </w:r>
            <w:r w:rsidR="00C13CCF">
              <w:rPr>
                <w:i/>
                <w:sz w:val="18"/>
                <w:szCs w:val="18"/>
              </w:rPr>
              <w:br/>
              <w:t>N</w:t>
            </w:r>
            <w:r w:rsidRPr="00F65893">
              <w:rPr>
                <w:i/>
                <w:sz w:val="18"/>
                <w:szCs w:val="18"/>
              </w:rPr>
              <w:t>o. AHU-</w:t>
            </w:r>
            <w:proofErr w:type="gramStart"/>
            <w:r w:rsidRPr="00F65893">
              <w:rPr>
                <w:i/>
                <w:sz w:val="18"/>
                <w:szCs w:val="18"/>
              </w:rPr>
              <w:t>0002360.AH.01.02.Year  2018</w:t>
            </w:r>
            <w:proofErr w:type="gramEnd"/>
            <w:r w:rsidRPr="00F65893">
              <w:rPr>
                <w:i/>
                <w:sz w:val="18"/>
                <w:szCs w:val="18"/>
              </w:rPr>
              <w:t xml:space="preserve">  and  Letter of Acceptance of Notification of Amendment of Articles of Association.</w:t>
            </w:r>
            <w:r w:rsidRPr="00F65893">
              <w:rPr>
                <w:i/>
                <w:sz w:val="18"/>
                <w:szCs w:val="18"/>
                <w:lang w:val="id-ID"/>
              </w:rPr>
              <w:t xml:space="preserve"> </w:t>
            </w:r>
            <w:r w:rsidRPr="00F65893">
              <w:rPr>
                <w:i/>
                <w:sz w:val="18"/>
                <w:szCs w:val="18"/>
              </w:rPr>
              <w:t>AHU-AH.01.03.0047534 on January 31</w:t>
            </w:r>
            <w:r w:rsidR="00A66303">
              <w:rPr>
                <w:i/>
                <w:sz w:val="18"/>
                <w:szCs w:val="18"/>
              </w:rPr>
              <w:t>,</w:t>
            </w:r>
            <w:r w:rsidRPr="00F65893">
              <w:rPr>
                <w:i/>
                <w:sz w:val="18"/>
                <w:szCs w:val="18"/>
              </w:rPr>
              <w:t xml:space="preserve"> 2018</w:t>
            </w:r>
            <w:r w:rsidR="00A66303">
              <w:rPr>
                <w:i/>
                <w:sz w:val="18"/>
                <w:szCs w:val="18"/>
              </w:rPr>
              <w:t>,</w:t>
            </w:r>
            <w:r w:rsidRPr="00F65893">
              <w:rPr>
                <w:i/>
                <w:sz w:val="18"/>
                <w:szCs w:val="18"/>
              </w:rPr>
              <w:t xml:space="preserve"> NSK increasing its authorized capital amounting Rp</w:t>
            </w:r>
            <w:r w:rsidR="00C13CCF">
              <w:rPr>
                <w:i/>
                <w:sz w:val="18"/>
                <w:szCs w:val="18"/>
              </w:rPr>
              <w:t xml:space="preserve"> </w:t>
            </w:r>
            <w:r w:rsidRPr="00F65893">
              <w:rPr>
                <w:i/>
                <w:sz w:val="18"/>
                <w:szCs w:val="18"/>
              </w:rPr>
              <w:t>4</w:t>
            </w:r>
            <w:r w:rsidR="00A66303">
              <w:rPr>
                <w:i/>
                <w:sz w:val="18"/>
                <w:szCs w:val="18"/>
              </w:rPr>
              <w:t>,</w:t>
            </w:r>
            <w:r w:rsidRPr="00F65893">
              <w:rPr>
                <w:i/>
                <w:sz w:val="18"/>
                <w:szCs w:val="18"/>
              </w:rPr>
              <w:t>000</w:t>
            </w:r>
            <w:r w:rsidR="00A66303">
              <w:rPr>
                <w:i/>
                <w:sz w:val="18"/>
                <w:szCs w:val="18"/>
              </w:rPr>
              <w:t>,</w:t>
            </w:r>
            <w:r w:rsidRPr="00F65893">
              <w:rPr>
                <w:i/>
                <w:sz w:val="18"/>
                <w:szCs w:val="18"/>
              </w:rPr>
              <w:t>000</w:t>
            </w:r>
            <w:r w:rsidR="00A66303">
              <w:rPr>
                <w:i/>
                <w:sz w:val="18"/>
                <w:szCs w:val="18"/>
              </w:rPr>
              <w:t>,</w:t>
            </w:r>
            <w:r w:rsidRPr="00F65893">
              <w:rPr>
                <w:i/>
                <w:sz w:val="18"/>
                <w:szCs w:val="18"/>
              </w:rPr>
              <w:t xml:space="preserve">000 to </w:t>
            </w:r>
            <w:r w:rsidR="00C13CCF">
              <w:rPr>
                <w:i/>
                <w:sz w:val="18"/>
                <w:szCs w:val="18"/>
              </w:rPr>
              <w:br/>
            </w:r>
            <w:r w:rsidRPr="00F65893">
              <w:rPr>
                <w:i/>
                <w:sz w:val="18"/>
                <w:szCs w:val="18"/>
              </w:rPr>
              <w:t>Rp</w:t>
            </w:r>
            <w:r w:rsidR="00C13CCF">
              <w:rPr>
                <w:i/>
                <w:sz w:val="18"/>
                <w:szCs w:val="18"/>
              </w:rPr>
              <w:t xml:space="preserve"> </w:t>
            </w:r>
            <w:r w:rsidRPr="00F65893">
              <w:rPr>
                <w:i/>
                <w:sz w:val="18"/>
                <w:szCs w:val="18"/>
              </w:rPr>
              <w:t>600</w:t>
            </w:r>
            <w:r w:rsidR="00A66303">
              <w:rPr>
                <w:i/>
                <w:sz w:val="18"/>
                <w:szCs w:val="18"/>
              </w:rPr>
              <w:t>,</w:t>
            </w:r>
            <w:r w:rsidRPr="00F65893">
              <w:rPr>
                <w:i/>
                <w:sz w:val="18"/>
                <w:szCs w:val="18"/>
              </w:rPr>
              <w:t>000</w:t>
            </w:r>
            <w:r w:rsidR="00A66303">
              <w:rPr>
                <w:i/>
                <w:sz w:val="18"/>
                <w:szCs w:val="18"/>
              </w:rPr>
              <w:t>,</w:t>
            </w:r>
            <w:r w:rsidRPr="00F65893">
              <w:rPr>
                <w:i/>
                <w:sz w:val="18"/>
                <w:szCs w:val="18"/>
              </w:rPr>
              <w:t>000</w:t>
            </w:r>
            <w:r w:rsidR="00A66303">
              <w:rPr>
                <w:i/>
                <w:sz w:val="18"/>
                <w:szCs w:val="18"/>
              </w:rPr>
              <w:t>,</w:t>
            </w:r>
            <w:r w:rsidRPr="00F65893">
              <w:rPr>
                <w:i/>
                <w:sz w:val="18"/>
                <w:szCs w:val="18"/>
              </w:rPr>
              <w:t>000</w:t>
            </w:r>
            <w:r w:rsidR="00870FD0">
              <w:rPr>
                <w:i/>
                <w:sz w:val="18"/>
                <w:szCs w:val="18"/>
              </w:rPr>
              <w:t>.</w:t>
            </w:r>
            <w:r w:rsidRPr="00F65893">
              <w:rPr>
                <w:i/>
                <w:sz w:val="18"/>
                <w:szCs w:val="18"/>
              </w:rPr>
              <w:t xml:space="preserve"> </w:t>
            </w:r>
            <w:proofErr w:type="gramStart"/>
            <w:r w:rsidRPr="00F65893">
              <w:rPr>
                <w:i/>
                <w:sz w:val="18"/>
                <w:szCs w:val="18"/>
              </w:rPr>
              <w:t>also</w:t>
            </w:r>
            <w:proofErr w:type="gramEnd"/>
            <w:r w:rsidRPr="00F65893">
              <w:rPr>
                <w:i/>
                <w:sz w:val="18"/>
                <w:szCs w:val="18"/>
              </w:rPr>
              <w:t xml:space="preserve"> increasing its issued and fully paid capital from Rp</w:t>
            </w:r>
            <w:r w:rsidR="00C13CCF">
              <w:rPr>
                <w:i/>
                <w:sz w:val="18"/>
                <w:szCs w:val="18"/>
              </w:rPr>
              <w:t xml:space="preserve"> </w:t>
            </w:r>
            <w:r w:rsidRPr="00F65893">
              <w:rPr>
                <w:i/>
                <w:sz w:val="18"/>
                <w:szCs w:val="18"/>
              </w:rPr>
              <w:t>1</w:t>
            </w:r>
            <w:r w:rsidR="00A66303">
              <w:rPr>
                <w:i/>
                <w:sz w:val="18"/>
                <w:szCs w:val="18"/>
              </w:rPr>
              <w:t>,</w:t>
            </w:r>
            <w:r w:rsidRPr="00F65893">
              <w:rPr>
                <w:i/>
                <w:sz w:val="18"/>
                <w:szCs w:val="18"/>
              </w:rPr>
              <w:t>000</w:t>
            </w:r>
            <w:r w:rsidR="00A66303">
              <w:rPr>
                <w:i/>
                <w:sz w:val="18"/>
                <w:szCs w:val="18"/>
              </w:rPr>
              <w:t>,</w:t>
            </w:r>
            <w:r w:rsidRPr="00F65893">
              <w:rPr>
                <w:i/>
                <w:sz w:val="18"/>
                <w:szCs w:val="18"/>
              </w:rPr>
              <w:t>000</w:t>
            </w:r>
            <w:r w:rsidR="00A66303">
              <w:rPr>
                <w:i/>
                <w:sz w:val="18"/>
                <w:szCs w:val="18"/>
              </w:rPr>
              <w:t>,</w:t>
            </w:r>
            <w:r w:rsidRPr="00F65893">
              <w:rPr>
                <w:i/>
                <w:sz w:val="18"/>
                <w:szCs w:val="18"/>
              </w:rPr>
              <w:t xml:space="preserve">000 to </w:t>
            </w:r>
            <w:r w:rsidR="00C13CCF">
              <w:rPr>
                <w:i/>
                <w:sz w:val="18"/>
                <w:szCs w:val="18"/>
              </w:rPr>
              <w:br/>
            </w:r>
            <w:r w:rsidRPr="00F65893">
              <w:rPr>
                <w:i/>
                <w:sz w:val="18"/>
                <w:szCs w:val="18"/>
              </w:rPr>
              <w:t>Rp</w:t>
            </w:r>
            <w:r w:rsidR="00C13CCF">
              <w:rPr>
                <w:i/>
                <w:sz w:val="18"/>
                <w:szCs w:val="18"/>
              </w:rPr>
              <w:t xml:space="preserve"> </w:t>
            </w:r>
            <w:r w:rsidRPr="00F65893">
              <w:rPr>
                <w:i/>
                <w:sz w:val="18"/>
                <w:szCs w:val="18"/>
              </w:rPr>
              <w:t>164</w:t>
            </w:r>
            <w:r w:rsidR="00A66303">
              <w:rPr>
                <w:i/>
                <w:sz w:val="18"/>
                <w:szCs w:val="18"/>
              </w:rPr>
              <w:t>,</w:t>
            </w:r>
            <w:r w:rsidRPr="00F65893">
              <w:rPr>
                <w:i/>
                <w:sz w:val="18"/>
                <w:szCs w:val="18"/>
              </w:rPr>
              <w:t>000</w:t>
            </w:r>
            <w:r w:rsidR="00A66303">
              <w:rPr>
                <w:i/>
                <w:sz w:val="18"/>
                <w:szCs w:val="18"/>
              </w:rPr>
              <w:t>,</w:t>
            </w:r>
            <w:r w:rsidRPr="00F65893">
              <w:rPr>
                <w:i/>
                <w:sz w:val="18"/>
                <w:szCs w:val="18"/>
              </w:rPr>
              <w:t>000</w:t>
            </w:r>
            <w:r w:rsidR="00A66303">
              <w:rPr>
                <w:i/>
                <w:sz w:val="18"/>
                <w:szCs w:val="18"/>
              </w:rPr>
              <w:t>,</w:t>
            </w:r>
            <w:r w:rsidRPr="00F65893">
              <w:rPr>
                <w:i/>
                <w:sz w:val="18"/>
                <w:szCs w:val="18"/>
              </w:rPr>
              <w:t>000. The increase in paid up capital was all acquired by the Company.</w:t>
            </w:r>
          </w:p>
        </w:tc>
      </w:tr>
      <w:tr w:rsidR="007B7F2B" w:rsidRPr="00C662A8" w14:paraId="1F6C9899" w14:textId="77777777" w:rsidTr="00982A96">
        <w:tc>
          <w:tcPr>
            <w:tcW w:w="4598" w:type="dxa"/>
          </w:tcPr>
          <w:p w14:paraId="213E50C8" w14:textId="77777777" w:rsidR="007B7F2B" w:rsidRPr="00C662A8" w:rsidRDefault="007B7F2B" w:rsidP="00070D1F">
            <w:pPr>
              <w:pStyle w:val="ListParagraph"/>
              <w:numPr>
                <w:ilvl w:val="0"/>
                <w:numId w:val="365"/>
              </w:numPr>
              <w:ind w:left="339"/>
              <w:contextualSpacing/>
              <w:jc w:val="both"/>
              <w:rPr>
                <w:rStyle w:val="hps"/>
                <w:b/>
                <w:sz w:val="18"/>
                <w:szCs w:val="18"/>
              </w:rPr>
            </w:pPr>
            <w:r w:rsidRPr="00C662A8">
              <w:rPr>
                <w:rStyle w:val="hps"/>
                <w:b/>
                <w:sz w:val="18"/>
                <w:szCs w:val="18"/>
              </w:rPr>
              <w:lastRenderedPageBreak/>
              <w:t xml:space="preserve">UMUM </w:t>
            </w:r>
            <w:r w:rsidRPr="00C662A8">
              <w:rPr>
                <w:rStyle w:val="hps"/>
                <w:b/>
                <w:sz w:val="18"/>
                <w:szCs w:val="18"/>
                <w:lang w:val="id-ID"/>
              </w:rPr>
              <w:t>-</w:t>
            </w:r>
            <w:r w:rsidRPr="00C662A8">
              <w:rPr>
                <w:rStyle w:val="hps"/>
                <w:b/>
                <w:sz w:val="18"/>
                <w:szCs w:val="18"/>
              </w:rPr>
              <w:t xml:space="preserve"> Lanjutan</w:t>
            </w:r>
          </w:p>
        </w:tc>
        <w:tc>
          <w:tcPr>
            <w:tcW w:w="4599" w:type="dxa"/>
          </w:tcPr>
          <w:p w14:paraId="6EADDFB8" w14:textId="77777777" w:rsidR="007B7F2B" w:rsidRPr="00C662A8" w:rsidRDefault="007B7F2B" w:rsidP="00070D1F">
            <w:pPr>
              <w:pStyle w:val="ListParagraph"/>
              <w:numPr>
                <w:ilvl w:val="0"/>
                <w:numId w:val="366"/>
              </w:numPr>
              <w:ind w:left="322" w:hanging="280"/>
              <w:contextualSpacing/>
              <w:jc w:val="both"/>
              <w:rPr>
                <w:b/>
                <w:bCs w:val="0"/>
                <w:i/>
                <w:sz w:val="18"/>
                <w:szCs w:val="18"/>
              </w:rPr>
            </w:pPr>
            <w:r w:rsidRPr="00C662A8">
              <w:rPr>
                <w:b/>
                <w:i/>
                <w:sz w:val="18"/>
                <w:szCs w:val="18"/>
              </w:rPr>
              <w:t xml:space="preserve">GENERAL </w:t>
            </w:r>
            <w:r w:rsidRPr="00C662A8">
              <w:rPr>
                <w:b/>
                <w:i/>
                <w:sz w:val="18"/>
                <w:szCs w:val="18"/>
                <w:lang w:val="id-ID"/>
              </w:rPr>
              <w:t>-</w:t>
            </w:r>
            <w:r w:rsidRPr="00C662A8">
              <w:rPr>
                <w:b/>
                <w:i/>
                <w:sz w:val="18"/>
                <w:szCs w:val="18"/>
              </w:rPr>
              <w:t xml:space="preserve"> Continued</w:t>
            </w:r>
          </w:p>
        </w:tc>
      </w:tr>
      <w:tr w:rsidR="007B7F2B" w:rsidRPr="00015B96" w14:paraId="62D29A9E" w14:textId="77777777" w:rsidTr="00982A96">
        <w:tc>
          <w:tcPr>
            <w:tcW w:w="4598" w:type="dxa"/>
          </w:tcPr>
          <w:p w14:paraId="2426D7B6" w14:textId="77777777" w:rsidR="007B7F2B" w:rsidRPr="00015B96" w:rsidRDefault="007B7F2B" w:rsidP="00982A96">
            <w:pPr>
              <w:jc w:val="both"/>
              <w:rPr>
                <w:rStyle w:val="hps"/>
                <w:sz w:val="10"/>
                <w:szCs w:val="10"/>
              </w:rPr>
            </w:pPr>
          </w:p>
        </w:tc>
        <w:tc>
          <w:tcPr>
            <w:tcW w:w="4599" w:type="dxa"/>
          </w:tcPr>
          <w:p w14:paraId="012E2874" w14:textId="77777777" w:rsidR="007B7F2B" w:rsidRPr="00015B96" w:rsidRDefault="007B7F2B" w:rsidP="00982A96">
            <w:pPr>
              <w:ind w:left="426"/>
              <w:jc w:val="both"/>
              <w:rPr>
                <w:bCs w:val="0"/>
                <w:i/>
                <w:sz w:val="10"/>
                <w:szCs w:val="10"/>
              </w:rPr>
            </w:pPr>
          </w:p>
        </w:tc>
      </w:tr>
      <w:tr w:rsidR="007B7F2B" w:rsidRPr="00C662A8" w14:paraId="1E7303CA" w14:textId="77777777" w:rsidTr="00982A96">
        <w:tc>
          <w:tcPr>
            <w:tcW w:w="4598" w:type="dxa"/>
          </w:tcPr>
          <w:p w14:paraId="44828D3F" w14:textId="77777777" w:rsidR="007B7F2B" w:rsidRPr="00C662A8" w:rsidRDefault="007B7F2B" w:rsidP="00070D1F">
            <w:pPr>
              <w:pStyle w:val="ListParagraph"/>
              <w:numPr>
                <w:ilvl w:val="0"/>
                <w:numId w:val="367"/>
              </w:numPr>
              <w:ind w:left="577" w:right="-57" w:hanging="236"/>
              <w:contextualSpacing/>
              <w:jc w:val="both"/>
              <w:rPr>
                <w:rStyle w:val="hps"/>
                <w:b/>
                <w:sz w:val="18"/>
                <w:szCs w:val="18"/>
              </w:rPr>
            </w:pPr>
            <w:r w:rsidRPr="00C662A8">
              <w:rPr>
                <w:rStyle w:val="hps"/>
                <w:b/>
                <w:sz w:val="18"/>
                <w:szCs w:val="18"/>
                <w:lang w:val="id-ID"/>
              </w:rPr>
              <w:t xml:space="preserve">Struktur Perusahaan dan Entitas Anak </w:t>
            </w:r>
            <w:r>
              <w:rPr>
                <w:rStyle w:val="hps"/>
                <w:b/>
                <w:sz w:val="18"/>
                <w:szCs w:val="18"/>
              </w:rPr>
              <w:t>- L</w:t>
            </w:r>
            <w:r w:rsidRPr="00C662A8">
              <w:rPr>
                <w:rStyle w:val="hps"/>
                <w:b/>
                <w:sz w:val="18"/>
                <w:szCs w:val="18"/>
                <w:lang w:val="id-ID"/>
              </w:rPr>
              <w:t>anjutan</w:t>
            </w:r>
          </w:p>
        </w:tc>
        <w:tc>
          <w:tcPr>
            <w:tcW w:w="4599" w:type="dxa"/>
          </w:tcPr>
          <w:p w14:paraId="5F7173C4" w14:textId="77777777" w:rsidR="007B7F2B" w:rsidRPr="00C662A8" w:rsidRDefault="007B7F2B" w:rsidP="00070D1F">
            <w:pPr>
              <w:pStyle w:val="ListParagraph"/>
              <w:numPr>
                <w:ilvl w:val="0"/>
                <w:numId w:val="372"/>
              </w:numPr>
              <w:ind w:left="574" w:right="-57" w:hanging="235"/>
              <w:contextualSpacing/>
              <w:jc w:val="both"/>
              <w:rPr>
                <w:b/>
                <w:bCs w:val="0"/>
                <w:i/>
                <w:sz w:val="18"/>
                <w:szCs w:val="18"/>
              </w:rPr>
            </w:pPr>
            <w:r w:rsidRPr="00C662A8">
              <w:rPr>
                <w:b/>
                <w:i/>
                <w:sz w:val="18"/>
                <w:szCs w:val="18"/>
                <w:lang w:val="id-ID"/>
              </w:rPr>
              <w:t xml:space="preserve">Structure of The Group </w:t>
            </w:r>
            <w:r>
              <w:rPr>
                <w:b/>
                <w:i/>
                <w:sz w:val="18"/>
                <w:szCs w:val="18"/>
              </w:rPr>
              <w:t xml:space="preserve">- </w:t>
            </w:r>
            <w:r w:rsidRPr="00C662A8">
              <w:rPr>
                <w:b/>
                <w:i/>
                <w:sz w:val="18"/>
                <w:szCs w:val="18"/>
                <w:lang w:val="id-ID"/>
              </w:rPr>
              <w:t>Continued</w:t>
            </w:r>
          </w:p>
        </w:tc>
      </w:tr>
      <w:tr w:rsidR="007B7F2B" w:rsidRPr="00015B96" w14:paraId="786D7DF3" w14:textId="77777777" w:rsidTr="00982A96">
        <w:tc>
          <w:tcPr>
            <w:tcW w:w="4598" w:type="dxa"/>
          </w:tcPr>
          <w:p w14:paraId="3D653134" w14:textId="77777777" w:rsidR="007B7F2B" w:rsidRPr="00015B96" w:rsidRDefault="007B7F2B" w:rsidP="00982A96">
            <w:pPr>
              <w:jc w:val="both"/>
              <w:rPr>
                <w:rStyle w:val="hps"/>
                <w:sz w:val="10"/>
                <w:szCs w:val="10"/>
              </w:rPr>
            </w:pPr>
          </w:p>
        </w:tc>
        <w:tc>
          <w:tcPr>
            <w:tcW w:w="4599" w:type="dxa"/>
          </w:tcPr>
          <w:p w14:paraId="6E1D630B" w14:textId="77777777" w:rsidR="007B7F2B" w:rsidRPr="00015B96" w:rsidRDefault="007B7F2B" w:rsidP="00982A96">
            <w:pPr>
              <w:ind w:left="426"/>
              <w:jc w:val="both"/>
              <w:rPr>
                <w:bCs w:val="0"/>
                <w:i/>
                <w:sz w:val="10"/>
                <w:szCs w:val="10"/>
              </w:rPr>
            </w:pPr>
          </w:p>
        </w:tc>
      </w:tr>
      <w:tr w:rsidR="007B7F2B" w:rsidRPr="00C662A8" w14:paraId="456B34B2" w14:textId="77777777" w:rsidTr="00982A96">
        <w:tc>
          <w:tcPr>
            <w:tcW w:w="4598" w:type="dxa"/>
          </w:tcPr>
          <w:p w14:paraId="1B85D548" w14:textId="77777777" w:rsidR="007B7F2B" w:rsidRPr="00C662A8" w:rsidRDefault="007B7F2B" w:rsidP="00982A96">
            <w:pPr>
              <w:ind w:left="567" w:right="-57"/>
              <w:jc w:val="both"/>
              <w:rPr>
                <w:rStyle w:val="hps"/>
                <w:b/>
                <w:sz w:val="18"/>
                <w:szCs w:val="18"/>
              </w:rPr>
            </w:pPr>
            <w:r w:rsidRPr="00C662A8">
              <w:rPr>
                <w:rStyle w:val="hps"/>
                <w:b/>
                <w:sz w:val="18"/>
                <w:szCs w:val="18"/>
              </w:rPr>
              <w:t>Pendirian Entitas Anak Tahun 2015</w:t>
            </w:r>
            <w:r>
              <w:rPr>
                <w:rStyle w:val="hps"/>
                <w:b/>
                <w:sz w:val="18"/>
                <w:szCs w:val="18"/>
              </w:rPr>
              <w:t xml:space="preserve"> - Lanjutan</w:t>
            </w:r>
          </w:p>
        </w:tc>
        <w:tc>
          <w:tcPr>
            <w:tcW w:w="4599" w:type="dxa"/>
          </w:tcPr>
          <w:p w14:paraId="7853E453" w14:textId="77777777" w:rsidR="007B7F2B" w:rsidRPr="00C662A8" w:rsidRDefault="007B7F2B" w:rsidP="00982A96">
            <w:pPr>
              <w:ind w:left="567" w:right="-57"/>
              <w:jc w:val="both"/>
              <w:rPr>
                <w:b/>
                <w:i/>
                <w:sz w:val="18"/>
                <w:szCs w:val="18"/>
              </w:rPr>
            </w:pPr>
            <w:r w:rsidRPr="00C662A8">
              <w:rPr>
                <w:b/>
                <w:i/>
                <w:sz w:val="18"/>
                <w:szCs w:val="18"/>
              </w:rPr>
              <w:t>Establishment of Subsidiaries in 2015</w:t>
            </w:r>
            <w:r>
              <w:rPr>
                <w:b/>
                <w:i/>
                <w:sz w:val="18"/>
                <w:szCs w:val="18"/>
              </w:rPr>
              <w:t xml:space="preserve"> - Continued</w:t>
            </w:r>
          </w:p>
        </w:tc>
      </w:tr>
    </w:tbl>
    <w:p w14:paraId="3A0ED143" w14:textId="657EB7B4" w:rsidR="007B7F2B" w:rsidRDefault="007B7F2B"/>
    <w:tbl>
      <w:tblPr>
        <w:tblW w:w="9197" w:type="dxa"/>
        <w:tblInd w:w="392" w:type="dxa"/>
        <w:tblLayout w:type="fixed"/>
        <w:tblLook w:val="0000" w:firstRow="0" w:lastRow="0" w:firstColumn="0" w:lastColumn="0" w:noHBand="0" w:noVBand="0"/>
      </w:tblPr>
      <w:tblGrid>
        <w:gridCol w:w="4598"/>
        <w:gridCol w:w="4599"/>
      </w:tblGrid>
      <w:tr w:rsidR="007B7F2B" w:rsidRPr="00F65893" w14:paraId="2BD3E02E" w14:textId="77777777" w:rsidTr="00982A96">
        <w:tc>
          <w:tcPr>
            <w:tcW w:w="4598" w:type="dxa"/>
          </w:tcPr>
          <w:p w14:paraId="01AF043C" w14:textId="3A2D2713" w:rsidR="007B7F2B" w:rsidRPr="00F65893" w:rsidRDefault="007B7F2B" w:rsidP="00982A96">
            <w:pPr>
              <w:ind w:left="567" w:right="-57"/>
              <w:jc w:val="both"/>
              <w:rPr>
                <w:rStyle w:val="hps"/>
                <w:sz w:val="18"/>
                <w:szCs w:val="18"/>
                <w:u w:val="single"/>
              </w:rPr>
            </w:pPr>
            <w:r w:rsidRPr="00F65893">
              <w:rPr>
                <w:rStyle w:val="hps"/>
                <w:sz w:val="18"/>
                <w:szCs w:val="18"/>
                <w:u w:val="single"/>
              </w:rPr>
              <w:t>PT Nusa  Sejahtera  Kharisma (“NSK”)</w:t>
            </w:r>
            <w:r>
              <w:rPr>
                <w:rStyle w:val="hps"/>
                <w:sz w:val="18"/>
                <w:szCs w:val="18"/>
                <w:u w:val="single"/>
              </w:rPr>
              <w:t xml:space="preserve"> - Lanjutan</w:t>
            </w:r>
          </w:p>
        </w:tc>
        <w:tc>
          <w:tcPr>
            <w:tcW w:w="4599" w:type="dxa"/>
          </w:tcPr>
          <w:p w14:paraId="324212B1" w14:textId="4F2FB538" w:rsidR="007B7F2B" w:rsidRPr="00F65893" w:rsidRDefault="007B7F2B" w:rsidP="00982A96">
            <w:pPr>
              <w:ind w:left="567" w:right="-57"/>
              <w:jc w:val="both"/>
              <w:rPr>
                <w:i/>
                <w:sz w:val="18"/>
                <w:szCs w:val="18"/>
                <w:u w:val="single"/>
              </w:rPr>
            </w:pPr>
            <w:r w:rsidRPr="00F65893">
              <w:rPr>
                <w:i/>
                <w:sz w:val="18"/>
                <w:szCs w:val="18"/>
                <w:u w:val="single"/>
              </w:rPr>
              <w:t>PT Nusa  Sejahtera  Kharisma (“NSK”)</w:t>
            </w:r>
            <w:r>
              <w:rPr>
                <w:i/>
                <w:sz w:val="18"/>
                <w:szCs w:val="18"/>
                <w:u w:val="single"/>
              </w:rPr>
              <w:t xml:space="preserve"> - Continued</w:t>
            </w:r>
          </w:p>
        </w:tc>
      </w:tr>
      <w:tr w:rsidR="007B7F2B" w:rsidRPr="00F65893" w14:paraId="17AD7F6E" w14:textId="77777777" w:rsidTr="00982A96">
        <w:tc>
          <w:tcPr>
            <w:tcW w:w="4598" w:type="dxa"/>
          </w:tcPr>
          <w:p w14:paraId="2CD9C09D" w14:textId="77777777" w:rsidR="007B7F2B" w:rsidRPr="00F65893" w:rsidRDefault="007B7F2B" w:rsidP="00982A96">
            <w:pPr>
              <w:ind w:left="567" w:right="-57"/>
              <w:jc w:val="both"/>
              <w:rPr>
                <w:rStyle w:val="hps"/>
                <w:sz w:val="18"/>
                <w:szCs w:val="18"/>
                <w:u w:val="single"/>
              </w:rPr>
            </w:pPr>
          </w:p>
        </w:tc>
        <w:tc>
          <w:tcPr>
            <w:tcW w:w="4599" w:type="dxa"/>
          </w:tcPr>
          <w:p w14:paraId="38BF22F9" w14:textId="77777777" w:rsidR="007B7F2B" w:rsidRPr="00F65893" w:rsidRDefault="007B7F2B" w:rsidP="00982A96">
            <w:pPr>
              <w:ind w:left="567" w:right="-57"/>
              <w:jc w:val="both"/>
              <w:rPr>
                <w:i/>
                <w:sz w:val="18"/>
                <w:szCs w:val="18"/>
                <w:u w:val="single"/>
              </w:rPr>
            </w:pPr>
          </w:p>
        </w:tc>
      </w:tr>
      <w:tr w:rsidR="007B7F2B" w:rsidRPr="007B7F2B" w14:paraId="1CCF4CA9" w14:textId="77777777" w:rsidTr="00982A96">
        <w:tc>
          <w:tcPr>
            <w:tcW w:w="4598" w:type="dxa"/>
          </w:tcPr>
          <w:p w14:paraId="619FD86D" w14:textId="5D427C88" w:rsidR="007B7F2B" w:rsidRPr="007B7F2B" w:rsidRDefault="007B7F2B" w:rsidP="00A66303">
            <w:pPr>
              <w:ind w:left="567" w:right="-57"/>
              <w:jc w:val="both"/>
              <w:rPr>
                <w:rStyle w:val="hps"/>
                <w:sz w:val="18"/>
                <w:szCs w:val="18"/>
              </w:rPr>
            </w:pPr>
            <w:r w:rsidRPr="007B7F2B">
              <w:rPr>
                <w:rStyle w:val="hps"/>
                <w:sz w:val="18"/>
                <w:szCs w:val="18"/>
              </w:rPr>
              <w:t>Perubahan terakhir Anggaran Dasar Perusahaan</w:t>
            </w:r>
            <w:r>
              <w:rPr>
                <w:rStyle w:val="hps"/>
                <w:sz w:val="18"/>
                <w:szCs w:val="18"/>
              </w:rPr>
              <w:t xml:space="preserve"> </w:t>
            </w:r>
            <w:r w:rsidRPr="007B7F2B">
              <w:rPr>
                <w:rStyle w:val="hps"/>
                <w:sz w:val="18"/>
                <w:szCs w:val="18"/>
              </w:rPr>
              <w:t>adalah berdasarkan Akta Notaris No. 62 tanggal 24</w:t>
            </w:r>
            <w:r>
              <w:rPr>
                <w:rStyle w:val="hps"/>
                <w:sz w:val="18"/>
                <w:szCs w:val="18"/>
              </w:rPr>
              <w:t xml:space="preserve"> </w:t>
            </w:r>
            <w:r w:rsidRPr="007B7F2B">
              <w:rPr>
                <w:rStyle w:val="hps"/>
                <w:sz w:val="18"/>
                <w:szCs w:val="18"/>
              </w:rPr>
              <w:t>Juni 2019 yang dibuat di hadapan E.N. Honanda SE.</w:t>
            </w:r>
            <w:r w:rsidR="00A66303">
              <w:rPr>
                <w:rStyle w:val="hps"/>
                <w:sz w:val="18"/>
                <w:szCs w:val="18"/>
              </w:rPr>
              <w:t>,</w:t>
            </w:r>
            <w:r>
              <w:rPr>
                <w:rStyle w:val="hps"/>
                <w:sz w:val="18"/>
                <w:szCs w:val="18"/>
              </w:rPr>
              <w:t xml:space="preserve"> </w:t>
            </w:r>
            <w:r w:rsidRPr="007B7F2B">
              <w:rPr>
                <w:rStyle w:val="hps"/>
                <w:sz w:val="18"/>
                <w:szCs w:val="18"/>
              </w:rPr>
              <w:t>SH.</w:t>
            </w:r>
            <w:r w:rsidR="00A66303">
              <w:rPr>
                <w:rStyle w:val="hps"/>
                <w:sz w:val="18"/>
                <w:szCs w:val="18"/>
              </w:rPr>
              <w:t>,</w:t>
            </w:r>
            <w:r w:rsidRPr="007B7F2B">
              <w:rPr>
                <w:rStyle w:val="hps"/>
                <w:sz w:val="18"/>
                <w:szCs w:val="18"/>
              </w:rPr>
              <w:t xml:space="preserve"> M.M.</w:t>
            </w:r>
            <w:r w:rsidR="00A66303">
              <w:rPr>
                <w:rStyle w:val="hps"/>
                <w:sz w:val="18"/>
                <w:szCs w:val="18"/>
              </w:rPr>
              <w:t>,</w:t>
            </w:r>
            <w:r w:rsidRPr="007B7F2B">
              <w:rPr>
                <w:rStyle w:val="hps"/>
                <w:sz w:val="18"/>
                <w:szCs w:val="18"/>
              </w:rPr>
              <w:t xml:space="preserve"> di Jakarta</w:t>
            </w:r>
            <w:r w:rsidR="00A66303">
              <w:rPr>
                <w:rStyle w:val="hps"/>
                <w:sz w:val="18"/>
                <w:szCs w:val="18"/>
              </w:rPr>
              <w:t>,</w:t>
            </w:r>
            <w:r w:rsidRPr="007B7F2B">
              <w:rPr>
                <w:rStyle w:val="hps"/>
                <w:sz w:val="18"/>
                <w:szCs w:val="18"/>
              </w:rPr>
              <w:t xml:space="preserve"> dimana pemegang saham</w:t>
            </w:r>
            <w:r>
              <w:rPr>
                <w:rStyle w:val="hps"/>
                <w:sz w:val="18"/>
                <w:szCs w:val="18"/>
              </w:rPr>
              <w:t xml:space="preserve"> </w:t>
            </w:r>
            <w:r w:rsidRPr="007B7F2B">
              <w:rPr>
                <w:rStyle w:val="hps"/>
                <w:sz w:val="18"/>
                <w:szCs w:val="18"/>
              </w:rPr>
              <w:t>Perusahaan menyetujui untuk merubah maksud dan</w:t>
            </w:r>
            <w:r>
              <w:rPr>
                <w:rStyle w:val="hps"/>
                <w:sz w:val="18"/>
                <w:szCs w:val="18"/>
              </w:rPr>
              <w:t xml:space="preserve"> </w:t>
            </w:r>
            <w:r w:rsidRPr="007B7F2B">
              <w:rPr>
                <w:rStyle w:val="hps"/>
                <w:sz w:val="18"/>
                <w:szCs w:val="18"/>
              </w:rPr>
              <w:t>tujuan serta kegiatan perusahaan menjadi aktifitas</w:t>
            </w:r>
            <w:r>
              <w:rPr>
                <w:rStyle w:val="hps"/>
                <w:sz w:val="18"/>
                <w:szCs w:val="18"/>
              </w:rPr>
              <w:t xml:space="preserve"> </w:t>
            </w:r>
            <w:r w:rsidRPr="007B7F2B">
              <w:rPr>
                <w:rStyle w:val="hps"/>
                <w:sz w:val="18"/>
                <w:szCs w:val="18"/>
              </w:rPr>
              <w:t>rumah sakit swasta. Akta Perubahan tersebut telah</w:t>
            </w:r>
            <w:r>
              <w:rPr>
                <w:rStyle w:val="hps"/>
                <w:sz w:val="18"/>
                <w:szCs w:val="18"/>
              </w:rPr>
              <w:t xml:space="preserve"> </w:t>
            </w:r>
            <w:r w:rsidRPr="007B7F2B">
              <w:rPr>
                <w:rStyle w:val="hps"/>
                <w:sz w:val="18"/>
                <w:szCs w:val="18"/>
              </w:rPr>
              <w:t>mendapat persetujuan dari Kementerian Hukum dan</w:t>
            </w:r>
            <w:r>
              <w:rPr>
                <w:rStyle w:val="hps"/>
                <w:sz w:val="18"/>
                <w:szCs w:val="18"/>
              </w:rPr>
              <w:t xml:space="preserve"> </w:t>
            </w:r>
            <w:r w:rsidRPr="007B7F2B">
              <w:rPr>
                <w:rStyle w:val="hps"/>
                <w:sz w:val="18"/>
                <w:szCs w:val="18"/>
              </w:rPr>
              <w:t>Hak Asasi Manusia Republik Indonesia pada tanggal</w:t>
            </w:r>
            <w:r>
              <w:rPr>
                <w:rStyle w:val="hps"/>
                <w:sz w:val="18"/>
                <w:szCs w:val="18"/>
              </w:rPr>
              <w:t xml:space="preserve"> </w:t>
            </w:r>
            <w:r w:rsidRPr="007B7F2B">
              <w:rPr>
                <w:rStyle w:val="hps"/>
                <w:sz w:val="18"/>
                <w:szCs w:val="18"/>
              </w:rPr>
              <w:t xml:space="preserve">24 Juli 2019 berdasarkan keputusan </w:t>
            </w:r>
            <w:r>
              <w:rPr>
                <w:rStyle w:val="hps"/>
                <w:sz w:val="18"/>
                <w:szCs w:val="18"/>
              </w:rPr>
              <w:br/>
            </w:r>
            <w:r w:rsidRPr="007B7F2B">
              <w:rPr>
                <w:rStyle w:val="hps"/>
                <w:sz w:val="18"/>
                <w:szCs w:val="18"/>
              </w:rPr>
              <w:t>No.</w:t>
            </w:r>
            <w:r>
              <w:rPr>
                <w:rStyle w:val="hps"/>
                <w:sz w:val="18"/>
                <w:szCs w:val="18"/>
              </w:rPr>
              <w:t xml:space="preserve"> </w:t>
            </w:r>
            <w:r w:rsidRPr="007B7F2B">
              <w:rPr>
                <w:rStyle w:val="hps"/>
                <w:sz w:val="18"/>
                <w:szCs w:val="18"/>
              </w:rPr>
              <w:t>AHU.0041042.AH.01.02.Tahun 2019.</w:t>
            </w:r>
          </w:p>
        </w:tc>
        <w:tc>
          <w:tcPr>
            <w:tcW w:w="4599" w:type="dxa"/>
          </w:tcPr>
          <w:p w14:paraId="4C3EB5BF" w14:textId="0C54DD5A" w:rsidR="007B7F2B" w:rsidRPr="00A036F7" w:rsidRDefault="007B7F2B" w:rsidP="00F15497">
            <w:pPr>
              <w:ind w:left="567" w:right="-57"/>
              <w:jc w:val="both"/>
              <w:rPr>
                <w:rStyle w:val="hps"/>
                <w:i/>
                <w:iCs/>
                <w:sz w:val="18"/>
                <w:szCs w:val="18"/>
              </w:rPr>
            </w:pPr>
            <w:r w:rsidRPr="00A036F7">
              <w:rPr>
                <w:rStyle w:val="hps"/>
                <w:i/>
                <w:iCs/>
                <w:sz w:val="18"/>
                <w:szCs w:val="18"/>
              </w:rPr>
              <w:t>The most recent amendment of Articles of Association was based on Notarial Deed No. 62 dated June 24</w:t>
            </w:r>
            <w:r w:rsidR="00A66303">
              <w:rPr>
                <w:rStyle w:val="hps"/>
                <w:i/>
                <w:iCs/>
                <w:sz w:val="18"/>
                <w:szCs w:val="18"/>
              </w:rPr>
              <w:t>,</w:t>
            </w:r>
            <w:r w:rsidRPr="00A036F7">
              <w:rPr>
                <w:rStyle w:val="hps"/>
                <w:i/>
                <w:iCs/>
                <w:sz w:val="18"/>
                <w:szCs w:val="18"/>
              </w:rPr>
              <w:t xml:space="preserve"> 2019</w:t>
            </w:r>
            <w:r w:rsidR="00A66303">
              <w:rPr>
                <w:rStyle w:val="hps"/>
                <w:i/>
                <w:iCs/>
                <w:sz w:val="18"/>
                <w:szCs w:val="18"/>
              </w:rPr>
              <w:t>,</w:t>
            </w:r>
            <w:r w:rsidRPr="00A036F7">
              <w:rPr>
                <w:rStyle w:val="hps"/>
                <w:i/>
                <w:iCs/>
                <w:sz w:val="18"/>
                <w:szCs w:val="18"/>
              </w:rPr>
              <w:t xml:space="preserve"> made by E.N. Honanda SE.</w:t>
            </w:r>
            <w:r w:rsidR="00A66303">
              <w:rPr>
                <w:rStyle w:val="hps"/>
                <w:i/>
                <w:iCs/>
                <w:sz w:val="18"/>
                <w:szCs w:val="18"/>
              </w:rPr>
              <w:t>,</w:t>
            </w:r>
            <w:r w:rsidRPr="00A036F7">
              <w:rPr>
                <w:rStyle w:val="hps"/>
                <w:i/>
                <w:iCs/>
                <w:sz w:val="18"/>
                <w:szCs w:val="18"/>
              </w:rPr>
              <w:t xml:space="preserve"> SH.</w:t>
            </w:r>
            <w:r w:rsidR="00A66303">
              <w:rPr>
                <w:rStyle w:val="hps"/>
                <w:i/>
                <w:iCs/>
                <w:sz w:val="18"/>
                <w:szCs w:val="18"/>
              </w:rPr>
              <w:t>,</w:t>
            </w:r>
            <w:r w:rsidRPr="00A036F7">
              <w:rPr>
                <w:rStyle w:val="hps"/>
                <w:i/>
                <w:iCs/>
                <w:sz w:val="18"/>
                <w:szCs w:val="18"/>
              </w:rPr>
              <w:t xml:space="preserve"> M.M.</w:t>
            </w:r>
            <w:r w:rsidR="00A66303">
              <w:rPr>
                <w:rStyle w:val="hps"/>
                <w:i/>
                <w:iCs/>
                <w:sz w:val="18"/>
                <w:szCs w:val="18"/>
              </w:rPr>
              <w:t>,</w:t>
            </w:r>
            <w:r w:rsidRPr="00A036F7">
              <w:rPr>
                <w:rStyle w:val="hps"/>
                <w:i/>
                <w:iCs/>
                <w:sz w:val="18"/>
                <w:szCs w:val="18"/>
              </w:rPr>
              <w:t xml:space="preserve"> in Jakarta</w:t>
            </w:r>
            <w:r w:rsidR="00870FD0">
              <w:rPr>
                <w:rStyle w:val="hps"/>
                <w:i/>
                <w:iCs/>
                <w:sz w:val="18"/>
                <w:szCs w:val="18"/>
              </w:rPr>
              <w:t>.</w:t>
            </w:r>
            <w:r w:rsidRPr="00A036F7">
              <w:rPr>
                <w:rStyle w:val="hps"/>
                <w:i/>
                <w:iCs/>
                <w:sz w:val="18"/>
                <w:szCs w:val="18"/>
              </w:rPr>
              <w:t xml:space="preserve"> </w:t>
            </w:r>
            <w:proofErr w:type="gramStart"/>
            <w:r w:rsidRPr="00A036F7">
              <w:rPr>
                <w:rStyle w:val="hps"/>
                <w:i/>
                <w:iCs/>
                <w:sz w:val="18"/>
                <w:szCs w:val="18"/>
              </w:rPr>
              <w:t>the</w:t>
            </w:r>
            <w:proofErr w:type="gramEnd"/>
            <w:r w:rsidRPr="00A036F7">
              <w:rPr>
                <w:rStyle w:val="hps"/>
                <w:i/>
                <w:iCs/>
                <w:sz w:val="18"/>
                <w:szCs w:val="18"/>
              </w:rPr>
              <w:t xml:space="preserve"> Company’s shareholders approve to change the purpose and objectives bussines activities into a private hospital activities. The amendment was approved by the Ministry of Law and Human Rights of the Republic of Indonesia on July 24</w:t>
            </w:r>
            <w:r w:rsidR="00F15497">
              <w:rPr>
                <w:rStyle w:val="hps"/>
                <w:i/>
                <w:iCs/>
                <w:sz w:val="18"/>
                <w:szCs w:val="18"/>
              </w:rPr>
              <w:t>,</w:t>
            </w:r>
            <w:r w:rsidRPr="00A036F7">
              <w:rPr>
                <w:rStyle w:val="hps"/>
                <w:i/>
                <w:iCs/>
                <w:sz w:val="18"/>
                <w:szCs w:val="18"/>
              </w:rPr>
              <w:t xml:space="preserve"> 2019 under Decision No. AHU.0041042.AH.01.02.Tahun 2019.</w:t>
            </w:r>
          </w:p>
        </w:tc>
      </w:tr>
      <w:tr w:rsidR="00532A65" w:rsidRPr="00F65893" w14:paraId="1DEA3212" w14:textId="77777777" w:rsidTr="00015B96">
        <w:tc>
          <w:tcPr>
            <w:tcW w:w="4598" w:type="dxa"/>
          </w:tcPr>
          <w:p w14:paraId="28EF8173" w14:textId="77777777" w:rsidR="00532A65" w:rsidRPr="00F65893" w:rsidRDefault="00532A65" w:rsidP="00532A65">
            <w:pPr>
              <w:ind w:left="567" w:right="-57"/>
              <w:jc w:val="both"/>
              <w:rPr>
                <w:rStyle w:val="hps"/>
                <w:sz w:val="18"/>
                <w:szCs w:val="18"/>
              </w:rPr>
            </w:pPr>
          </w:p>
        </w:tc>
        <w:tc>
          <w:tcPr>
            <w:tcW w:w="4599" w:type="dxa"/>
          </w:tcPr>
          <w:p w14:paraId="0745DADE" w14:textId="77777777" w:rsidR="00532A65" w:rsidRPr="00F65893" w:rsidRDefault="00532A65" w:rsidP="00532A65">
            <w:pPr>
              <w:ind w:left="567" w:right="-57"/>
              <w:jc w:val="both"/>
              <w:rPr>
                <w:i/>
                <w:sz w:val="18"/>
                <w:szCs w:val="18"/>
              </w:rPr>
            </w:pPr>
          </w:p>
        </w:tc>
      </w:tr>
      <w:tr w:rsidR="00532A65" w:rsidRPr="00C13CCF" w14:paraId="72A243B7" w14:textId="77777777" w:rsidTr="00015B96">
        <w:tc>
          <w:tcPr>
            <w:tcW w:w="4598" w:type="dxa"/>
          </w:tcPr>
          <w:p w14:paraId="3C8F9197" w14:textId="4A588C10" w:rsidR="00532A65" w:rsidRPr="00C13CCF" w:rsidRDefault="00BB72BD" w:rsidP="00532A65">
            <w:pPr>
              <w:ind w:left="567" w:right="-57"/>
              <w:jc w:val="both"/>
              <w:rPr>
                <w:rStyle w:val="hps"/>
                <w:b/>
                <w:sz w:val="18"/>
                <w:szCs w:val="18"/>
                <w:lang w:val="id-ID"/>
              </w:rPr>
            </w:pPr>
            <w:r w:rsidRPr="00C13CCF">
              <w:rPr>
                <w:rStyle w:val="hps"/>
                <w:b/>
                <w:sz w:val="18"/>
                <w:szCs w:val="18"/>
                <w:lang w:val="id-ID"/>
              </w:rPr>
              <w:t>Pendirian Entitas Anak Tahun 2018</w:t>
            </w:r>
          </w:p>
        </w:tc>
        <w:tc>
          <w:tcPr>
            <w:tcW w:w="4599" w:type="dxa"/>
          </w:tcPr>
          <w:p w14:paraId="6AD11868" w14:textId="13AC41B5" w:rsidR="00532A65" w:rsidRPr="00C13CCF" w:rsidRDefault="00BB72BD" w:rsidP="00532A65">
            <w:pPr>
              <w:ind w:left="567" w:right="-57"/>
              <w:jc w:val="both"/>
              <w:rPr>
                <w:b/>
                <w:i/>
                <w:sz w:val="18"/>
                <w:szCs w:val="18"/>
              </w:rPr>
            </w:pPr>
            <w:r w:rsidRPr="00C13CCF">
              <w:rPr>
                <w:b/>
                <w:i/>
                <w:sz w:val="18"/>
                <w:szCs w:val="18"/>
              </w:rPr>
              <w:t>Establishment of Subsidiaries in 2018</w:t>
            </w:r>
          </w:p>
        </w:tc>
      </w:tr>
      <w:tr w:rsidR="00532A65" w:rsidRPr="00C13CCF" w14:paraId="3325959D" w14:textId="77777777" w:rsidTr="00015B96">
        <w:tc>
          <w:tcPr>
            <w:tcW w:w="4598" w:type="dxa"/>
          </w:tcPr>
          <w:p w14:paraId="560CBFEF" w14:textId="77777777" w:rsidR="00532A65" w:rsidRPr="00C13CCF" w:rsidRDefault="00532A65" w:rsidP="00532A65">
            <w:pPr>
              <w:ind w:left="567" w:right="-57"/>
              <w:jc w:val="both"/>
              <w:rPr>
                <w:rStyle w:val="hps"/>
                <w:sz w:val="18"/>
                <w:szCs w:val="18"/>
              </w:rPr>
            </w:pPr>
          </w:p>
        </w:tc>
        <w:tc>
          <w:tcPr>
            <w:tcW w:w="4599" w:type="dxa"/>
          </w:tcPr>
          <w:p w14:paraId="422C28CA" w14:textId="77777777" w:rsidR="00532A65" w:rsidRPr="00C13CCF" w:rsidRDefault="00532A65" w:rsidP="00532A65">
            <w:pPr>
              <w:ind w:left="567" w:right="-57"/>
              <w:jc w:val="both"/>
              <w:rPr>
                <w:i/>
                <w:sz w:val="18"/>
                <w:szCs w:val="18"/>
              </w:rPr>
            </w:pPr>
          </w:p>
        </w:tc>
      </w:tr>
      <w:tr w:rsidR="00532A65" w:rsidRPr="00C13CCF" w14:paraId="397B6810" w14:textId="77777777" w:rsidTr="00015B96">
        <w:tc>
          <w:tcPr>
            <w:tcW w:w="4598" w:type="dxa"/>
          </w:tcPr>
          <w:p w14:paraId="43E985C5" w14:textId="646D8A45" w:rsidR="00532A65" w:rsidRPr="00F15497" w:rsidRDefault="00BB72BD" w:rsidP="00532A65">
            <w:pPr>
              <w:ind w:left="567" w:right="-57"/>
              <w:jc w:val="both"/>
              <w:rPr>
                <w:rStyle w:val="hps"/>
                <w:sz w:val="18"/>
                <w:szCs w:val="18"/>
                <w:u w:val="single"/>
              </w:rPr>
            </w:pPr>
            <w:r w:rsidRPr="00F15497">
              <w:rPr>
                <w:rStyle w:val="hps"/>
                <w:sz w:val="18"/>
                <w:szCs w:val="18"/>
                <w:u w:val="single"/>
              </w:rPr>
              <w:t>PT Maya</w:t>
            </w:r>
            <w:r w:rsidR="004F6552" w:rsidRPr="00F15497">
              <w:rPr>
                <w:rStyle w:val="hps"/>
                <w:sz w:val="18"/>
                <w:szCs w:val="18"/>
                <w:u w:val="single"/>
              </w:rPr>
              <w:t>p</w:t>
            </w:r>
            <w:r w:rsidRPr="00F15497">
              <w:rPr>
                <w:rStyle w:val="hps"/>
                <w:sz w:val="18"/>
                <w:szCs w:val="18"/>
                <w:u w:val="single"/>
              </w:rPr>
              <w:t>a</w:t>
            </w:r>
            <w:r w:rsidR="004F6552" w:rsidRPr="00F15497">
              <w:rPr>
                <w:rStyle w:val="hps"/>
                <w:sz w:val="18"/>
                <w:szCs w:val="18"/>
                <w:u w:val="single"/>
              </w:rPr>
              <w:t>d</w:t>
            </w:r>
            <w:r w:rsidRPr="00F15497">
              <w:rPr>
                <w:rStyle w:val="hps"/>
                <w:sz w:val="18"/>
                <w:szCs w:val="18"/>
                <w:u w:val="single"/>
              </w:rPr>
              <w:t>a Surabaya Pratama (“MSP”)</w:t>
            </w:r>
          </w:p>
        </w:tc>
        <w:tc>
          <w:tcPr>
            <w:tcW w:w="4599" w:type="dxa"/>
          </w:tcPr>
          <w:p w14:paraId="70BDB952" w14:textId="3CEDB828" w:rsidR="00532A65" w:rsidRPr="00F15497" w:rsidRDefault="00BB72BD" w:rsidP="00532A65">
            <w:pPr>
              <w:ind w:left="567" w:right="-57"/>
              <w:jc w:val="both"/>
              <w:rPr>
                <w:i/>
                <w:sz w:val="18"/>
                <w:szCs w:val="18"/>
                <w:u w:val="single"/>
              </w:rPr>
            </w:pPr>
            <w:r w:rsidRPr="00F15497">
              <w:rPr>
                <w:i/>
                <w:sz w:val="18"/>
                <w:szCs w:val="18"/>
                <w:u w:val="single"/>
              </w:rPr>
              <w:t>PT Maya</w:t>
            </w:r>
            <w:r w:rsidR="004F6552" w:rsidRPr="00F15497">
              <w:rPr>
                <w:i/>
                <w:sz w:val="18"/>
                <w:szCs w:val="18"/>
                <w:u w:val="single"/>
              </w:rPr>
              <w:t>pad</w:t>
            </w:r>
            <w:r w:rsidRPr="00F15497">
              <w:rPr>
                <w:i/>
                <w:sz w:val="18"/>
                <w:szCs w:val="18"/>
                <w:u w:val="single"/>
              </w:rPr>
              <w:t>a Surabaya Pratama (“MSP”)</w:t>
            </w:r>
          </w:p>
        </w:tc>
      </w:tr>
      <w:tr w:rsidR="00532A65" w:rsidRPr="00C13CCF" w14:paraId="0135B269" w14:textId="77777777" w:rsidTr="00015B96">
        <w:tc>
          <w:tcPr>
            <w:tcW w:w="4598" w:type="dxa"/>
          </w:tcPr>
          <w:p w14:paraId="4E540F98" w14:textId="77777777" w:rsidR="00532A65" w:rsidRPr="00C13CCF" w:rsidRDefault="00532A65" w:rsidP="00532A65">
            <w:pPr>
              <w:ind w:left="567" w:right="-57"/>
              <w:jc w:val="both"/>
              <w:rPr>
                <w:rStyle w:val="hps"/>
                <w:sz w:val="18"/>
                <w:szCs w:val="18"/>
              </w:rPr>
            </w:pPr>
          </w:p>
        </w:tc>
        <w:tc>
          <w:tcPr>
            <w:tcW w:w="4599" w:type="dxa"/>
          </w:tcPr>
          <w:p w14:paraId="09E715A3" w14:textId="77777777" w:rsidR="00532A65" w:rsidRPr="00C13CCF" w:rsidRDefault="00532A65" w:rsidP="00532A65">
            <w:pPr>
              <w:ind w:left="567" w:right="-57"/>
              <w:jc w:val="both"/>
              <w:rPr>
                <w:i/>
                <w:sz w:val="18"/>
                <w:szCs w:val="18"/>
              </w:rPr>
            </w:pPr>
          </w:p>
        </w:tc>
      </w:tr>
      <w:tr w:rsidR="00BB72BD" w:rsidRPr="00C13CCF" w14:paraId="3D523399" w14:textId="77777777" w:rsidTr="00015B96">
        <w:tc>
          <w:tcPr>
            <w:tcW w:w="4598" w:type="dxa"/>
          </w:tcPr>
          <w:p w14:paraId="176E21CC" w14:textId="48312C25" w:rsidR="00BB72BD" w:rsidRPr="00C13CCF" w:rsidRDefault="00BB72BD" w:rsidP="00F15497">
            <w:pPr>
              <w:ind w:left="567" w:right="-57"/>
              <w:jc w:val="both"/>
              <w:rPr>
                <w:rStyle w:val="hps"/>
                <w:sz w:val="18"/>
                <w:szCs w:val="18"/>
              </w:rPr>
            </w:pPr>
            <w:r w:rsidRPr="00C13CCF">
              <w:rPr>
                <w:rStyle w:val="hps"/>
                <w:sz w:val="18"/>
                <w:szCs w:val="18"/>
              </w:rPr>
              <w:t>Berdasarkan Akta Notaris dari notaris</w:t>
            </w:r>
            <w:r w:rsidRPr="00C13CCF">
              <w:rPr>
                <w:rStyle w:val="hps"/>
                <w:sz w:val="18"/>
                <w:szCs w:val="18"/>
                <w:lang w:val="id-ID"/>
              </w:rPr>
              <w:t xml:space="preserve"> </w:t>
            </w:r>
            <w:r w:rsidRPr="00C13CCF">
              <w:rPr>
                <w:rStyle w:val="hps"/>
                <w:sz w:val="18"/>
                <w:szCs w:val="18"/>
              </w:rPr>
              <w:t>Buntario Tigris</w:t>
            </w:r>
            <w:r w:rsidR="00F15497">
              <w:rPr>
                <w:rStyle w:val="hps"/>
                <w:sz w:val="18"/>
                <w:szCs w:val="18"/>
              </w:rPr>
              <w:t>,</w:t>
            </w:r>
            <w:r w:rsidRPr="00C13CCF">
              <w:rPr>
                <w:rStyle w:val="hps"/>
                <w:sz w:val="18"/>
                <w:szCs w:val="18"/>
              </w:rPr>
              <w:t xml:space="preserve"> S.H.</w:t>
            </w:r>
            <w:r w:rsidR="00F15497">
              <w:rPr>
                <w:rStyle w:val="hps"/>
                <w:sz w:val="18"/>
                <w:szCs w:val="18"/>
              </w:rPr>
              <w:t>,</w:t>
            </w:r>
            <w:r w:rsidRPr="00C13CCF">
              <w:rPr>
                <w:rStyle w:val="hps"/>
                <w:sz w:val="18"/>
                <w:szCs w:val="18"/>
              </w:rPr>
              <w:t xml:space="preserve"> S.E.</w:t>
            </w:r>
            <w:r w:rsidR="00F15497">
              <w:rPr>
                <w:rStyle w:val="hps"/>
                <w:sz w:val="18"/>
                <w:szCs w:val="18"/>
              </w:rPr>
              <w:t>,</w:t>
            </w:r>
            <w:r w:rsidRPr="00C13CCF">
              <w:rPr>
                <w:rStyle w:val="hps"/>
                <w:sz w:val="18"/>
                <w:szCs w:val="18"/>
              </w:rPr>
              <w:t xml:space="preserve"> M.H.</w:t>
            </w:r>
            <w:r w:rsidR="00F15497">
              <w:rPr>
                <w:rStyle w:val="hps"/>
                <w:sz w:val="18"/>
                <w:szCs w:val="18"/>
              </w:rPr>
              <w:t>,</w:t>
            </w:r>
            <w:r w:rsidRPr="00C13CCF">
              <w:rPr>
                <w:rStyle w:val="hps"/>
                <w:sz w:val="18"/>
                <w:szCs w:val="18"/>
              </w:rPr>
              <w:t xml:space="preserve"> No. 1 tanggal 3</w:t>
            </w:r>
            <w:r w:rsidRPr="00C13CCF">
              <w:rPr>
                <w:rStyle w:val="hps"/>
                <w:sz w:val="18"/>
                <w:szCs w:val="18"/>
                <w:lang w:val="id-ID"/>
              </w:rPr>
              <w:t xml:space="preserve"> </w:t>
            </w:r>
            <w:r w:rsidRPr="00C13CCF">
              <w:rPr>
                <w:rStyle w:val="hps"/>
                <w:sz w:val="18"/>
                <w:szCs w:val="18"/>
              </w:rPr>
              <w:t>Desember   2018</w:t>
            </w:r>
            <w:r w:rsidR="00F15497">
              <w:rPr>
                <w:rStyle w:val="hps"/>
                <w:sz w:val="18"/>
                <w:szCs w:val="18"/>
              </w:rPr>
              <w:t>,</w:t>
            </w:r>
            <w:r w:rsidRPr="00C13CCF">
              <w:rPr>
                <w:rStyle w:val="hps"/>
                <w:sz w:val="18"/>
                <w:szCs w:val="18"/>
              </w:rPr>
              <w:t xml:space="preserve">   Perusahaan   dan   Jonathan</w:t>
            </w:r>
            <w:r w:rsidRPr="00C13CCF">
              <w:rPr>
                <w:rStyle w:val="hps"/>
                <w:sz w:val="18"/>
                <w:szCs w:val="18"/>
                <w:lang w:val="id-ID"/>
              </w:rPr>
              <w:t xml:space="preserve"> </w:t>
            </w:r>
            <w:r w:rsidRPr="00C13CCF">
              <w:rPr>
                <w:rStyle w:val="hps"/>
                <w:sz w:val="18"/>
                <w:szCs w:val="18"/>
              </w:rPr>
              <w:t>Tahir mendirikan MSP</w:t>
            </w:r>
            <w:r w:rsidR="00870FD0">
              <w:rPr>
                <w:rStyle w:val="hps"/>
                <w:sz w:val="18"/>
                <w:szCs w:val="18"/>
              </w:rPr>
              <w:t>.</w:t>
            </w:r>
            <w:r w:rsidRPr="00C13CCF">
              <w:rPr>
                <w:rStyle w:val="hps"/>
                <w:sz w:val="18"/>
                <w:szCs w:val="18"/>
              </w:rPr>
              <w:t xml:space="preserve"> </w:t>
            </w:r>
            <w:proofErr w:type="gramStart"/>
            <w:r w:rsidRPr="00C13CCF">
              <w:rPr>
                <w:rStyle w:val="hps"/>
                <w:sz w:val="18"/>
                <w:szCs w:val="18"/>
              </w:rPr>
              <w:t>dengan</w:t>
            </w:r>
            <w:proofErr w:type="gramEnd"/>
            <w:r w:rsidRPr="00C13CCF">
              <w:rPr>
                <w:rStyle w:val="hps"/>
                <w:sz w:val="18"/>
                <w:szCs w:val="18"/>
              </w:rPr>
              <w:t xml:space="preserve"> kepemilikan saham Perusahaan pada MSP adalah sebesar Rp</w:t>
            </w:r>
            <w:r w:rsidR="00C13CCF">
              <w:rPr>
                <w:rStyle w:val="hps"/>
                <w:sz w:val="18"/>
                <w:szCs w:val="18"/>
              </w:rPr>
              <w:t xml:space="preserve"> </w:t>
            </w:r>
            <w:r w:rsidRPr="00C13CCF">
              <w:rPr>
                <w:rStyle w:val="hps"/>
                <w:sz w:val="18"/>
                <w:szCs w:val="18"/>
              </w:rPr>
              <w:t>990.000.000  atau  99%  dari  modal ditempatkan dan disetor penuh.</w:t>
            </w:r>
          </w:p>
        </w:tc>
        <w:tc>
          <w:tcPr>
            <w:tcW w:w="4599" w:type="dxa"/>
          </w:tcPr>
          <w:p w14:paraId="77135FE1" w14:textId="59D96BFF" w:rsidR="00BB72BD" w:rsidRPr="00C13CCF" w:rsidRDefault="00BB72BD" w:rsidP="00F15497">
            <w:pPr>
              <w:ind w:left="567" w:right="-57"/>
              <w:jc w:val="both"/>
              <w:rPr>
                <w:i/>
                <w:sz w:val="18"/>
                <w:szCs w:val="18"/>
              </w:rPr>
            </w:pPr>
            <w:r w:rsidRPr="00C13CCF">
              <w:rPr>
                <w:i/>
                <w:sz w:val="18"/>
                <w:szCs w:val="18"/>
              </w:rPr>
              <w:t>Based on Notarial Deed of notary</w:t>
            </w:r>
            <w:r w:rsidRPr="00C13CCF">
              <w:rPr>
                <w:i/>
                <w:sz w:val="18"/>
                <w:szCs w:val="18"/>
                <w:lang w:val="id-ID"/>
              </w:rPr>
              <w:t xml:space="preserve"> </w:t>
            </w:r>
            <w:r w:rsidRPr="00C13CCF">
              <w:rPr>
                <w:i/>
                <w:sz w:val="18"/>
                <w:szCs w:val="18"/>
              </w:rPr>
              <w:t>Buntario Tigris</w:t>
            </w:r>
            <w:r w:rsidR="00F15497">
              <w:rPr>
                <w:i/>
                <w:sz w:val="18"/>
                <w:szCs w:val="18"/>
              </w:rPr>
              <w:t>,</w:t>
            </w:r>
            <w:r w:rsidRPr="00C13CCF">
              <w:rPr>
                <w:i/>
                <w:sz w:val="18"/>
                <w:szCs w:val="18"/>
              </w:rPr>
              <w:t xml:space="preserve"> S.H.</w:t>
            </w:r>
            <w:r w:rsidR="00F15497">
              <w:rPr>
                <w:i/>
                <w:sz w:val="18"/>
                <w:szCs w:val="18"/>
              </w:rPr>
              <w:t>,</w:t>
            </w:r>
            <w:r w:rsidRPr="00C13CCF">
              <w:rPr>
                <w:i/>
                <w:sz w:val="18"/>
                <w:szCs w:val="18"/>
              </w:rPr>
              <w:t xml:space="preserve"> S.E</w:t>
            </w:r>
            <w:r w:rsidR="00870FD0">
              <w:rPr>
                <w:i/>
                <w:sz w:val="18"/>
                <w:szCs w:val="18"/>
              </w:rPr>
              <w:t>.</w:t>
            </w:r>
            <w:r w:rsidR="00F15497">
              <w:rPr>
                <w:i/>
                <w:sz w:val="18"/>
                <w:szCs w:val="18"/>
              </w:rPr>
              <w:t>,</w:t>
            </w:r>
            <w:r w:rsidRPr="00C13CCF">
              <w:rPr>
                <w:i/>
                <w:sz w:val="18"/>
                <w:szCs w:val="18"/>
              </w:rPr>
              <w:t xml:space="preserve"> M.H.</w:t>
            </w:r>
            <w:r w:rsidR="00F15497">
              <w:rPr>
                <w:i/>
                <w:sz w:val="18"/>
                <w:szCs w:val="18"/>
              </w:rPr>
              <w:t>,</w:t>
            </w:r>
            <w:r w:rsidRPr="00C13CCF">
              <w:rPr>
                <w:i/>
                <w:sz w:val="18"/>
                <w:szCs w:val="18"/>
              </w:rPr>
              <w:t xml:space="preserve"> No. 1 dated December 3</w:t>
            </w:r>
            <w:r w:rsidR="00F15497">
              <w:rPr>
                <w:i/>
                <w:sz w:val="18"/>
                <w:szCs w:val="18"/>
              </w:rPr>
              <w:t>,</w:t>
            </w:r>
            <w:r w:rsidRPr="00C13CCF">
              <w:rPr>
                <w:i/>
                <w:sz w:val="18"/>
                <w:szCs w:val="18"/>
              </w:rPr>
              <w:t xml:space="preserve"> 2018</w:t>
            </w:r>
            <w:r w:rsidR="00870FD0">
              <w:rPr>
                <w:i/>
                <w:sz w:val="18"/>
                <w:szCs w:val="18"/>
              </w:rPr>
              <w:t>.</w:t>
            </w:r>
            <w:r w:rsidRPr="00C13CCF">
              <w:rPr>
                <w:i/>
                <w:sz w:val="18"/>
                <w:szCs w:val="18"/>
              </w:rPr>
              <w:t xml:space="preserve"> </w:t>
            </w:r>
            <w:proofErr w:type="gramStart"/>
            <w:r w:rsidRPr="00C13CCF">
              <w:rPr>
                <w:i/>
                <w:sz w:val="18"/>
                <w:szCs w:val="18"/>
              </w:rPr>
              <w:t>the</w:t>
            </w:r>
            <w:proofErr w:type="gramEnd"/>
            <w:r w:rsidRPr="00C13CCF">
              <w:rPr>
                <w:i/>
                <w:sz w:val="18"/>
                <w:szCs w:val="18"/>
              </w:rPr>
              <w:t xml:space="preserve"> Company and Jonathan Tahir established MSP</w:t>
            </w:r>
            <w:r w:rsidR="00F15497">
              <w:rPr>
                <w:i/>
                <w:sz w:val="18"/>
                <w:szCs w:val="18"/>
              </w:rPr>
              <w:t>,</w:t>
            </w:r>
            <w:r w:rsidRPr="00C13CCF">
              <w:rPr>
                <w:i/>
                <w:sz w:val="18"/>
                <w:szCs w:val="18"/>
              </w:rPr>
              <w:t xml:space="preserve"> with percentage of ownership of the Company in MSP amounting to Rp</w:t>
            </w:r>
            <w:r w:rsidR="00C13CCF">
              <w:rPr>
                <w:i/>
                <w:sz w:val="18"/>
                <w:szCs w:val="18"/>
              </w:rPr>
              <w:t xml:space="preserve"> </w:t>
            </w:r>
            <w:r w:rsidRPr="00C13CCF">
              <w:rPr>
                <w:i/>
                <w:sz w:val="18"/>
                <w:szCs w:val="18"/>
              </w:rPr>
              <w:t>990</w:t>
            </w:r>
            <w:r w:rsidR="00F15497">
              <w:rPr>
                <w:i/>
                <w:sz w:val="18"/>
                <w:szCs w:val="18"/>
              </w:rPr>
              <w:t>,</w:t>
            </w:r>
            <w:r w:rsidRPr="00C13CCF">
              <w:rPr>
                <w:i/>
                <w:sz w:val="18"/>
                <w:szCs w:val="18"/>
              </w:rPr>
              <w:t>000</w:t>
            </w:r>
            <w:r w:rsidR="00F15497">
              <w:rPr>
                <w:i/>
                <w:sz w:val="18"/>
                <w:szCs w:val="18"/>
              </w:rPr>
              <w:t>,</w:t>
            </w:r>
            <w:r w:rsidRPr="00C13CCF">
              <w:rPr>
                <w:i/>
                <w:sz w:val="18"/>
                <w:szCs w:val="18"/>
              </w:rPr>
              <w:t>000 or 99% from its issued and fully paid capital.</w:t>
            </w:r>
          </w:p>
        </w:tc>
      </w:tr>
      <w:tr w:rsidR="007B7F2B" w:rsidRPr="00C13CCF" w14:paraId="483D1A5A" w14:textId="77777777" w:rsidTr="00015B96">
        <w:tc>
          <w:tcPr>
            <w:tcW w:w="4598" w:type="dxa"/>
          </w:tcPr>
          <w:p w14:paraId="52545069" w14:textId="77777777" w:rsidR="007B7F2B" w:rsidRPr="00C13CCF" w:rsidRDefault="007B7F2B" w:rsidP="00BB72BD">
            <w:pPr>
              <w:ind w:left="567" w:right="-57"/>
              <w:jc w:val="both"/>
              <w:rPr>
                <w:rStyle w:val="hps"/>
                <w:sz w:val="18"/>
                <w:szCs w:val="18"/>
              </w:rPr>
            </w:pPr>
          </w:p>
        </w:tc>
        <w:tc>
          <w:tcPr>
            <w:tcW w:w="4599" w:type="dxa"/>
          </w:tcPr>
          <w:p w14:paraId="079DB533" w14:textId="77777777" w:rsidR="007B7F2B" w:rsidRPr="00C13CCF" w:rsidRDefault="007B7F2B" w:rsidP="00BB72BD">
            <w:pPr>
              <w:ind w:left="567" w:right="-57"/>
              <w:jc w:val="both"/>
              <w:rPr>
                <w:i/>
                <w:sz w:val="18"/>
                <w:szCs w:val="18"/>
              </w:rPr>
            </w:pPr>
          </w:p>
        </w:tc>
      </w:tr>
      <w:tr w:rsidR="00BB72BD" w:rsidRPr="00C13CCF" w14:paraId="160EBCA9" w14:textId="77777777" w:rsidTr="00015B96">
        <w:tc>
          <w:tcPr>
            <w:tcW w:w="4598" w:type="dxa"/>
          </w:tcPr>
          <w:p w14:paraId="52876053" w14:textId="77777777" w:rsidR="00BB72BD" w:rsidRPr="00C13CCF" w:rsidRDefault="00BB72BD" w:rsidP="00532A65">
            <w:pPr>
              <w:ind w:left="567" w:right="-57"/>
              <w:jc w:val="both"/>
              <w:rPr>
                <w:rStyle w:val="hps"/>
                <w:sz w:val="18"/>
                <w:szCs w:val="18"/>
              </w:rPr>
            </w:pPr>
          </w:p>
        </w:tc>
        <w:tc>
          <w:tcPr>
            <w:tcW w:w="4599" w:type="dxa"/>
          </w:tcPr>
          <w:p w14:paraId="2E87427F" w14:textId="77777777" w:rsidR="00BB72BD" w:rsidRPr="00C13CCF" w:rsidRDefault="00BB72BD" w:rsidP="00532A65">
            <w:pPr>
              <w:ind w:left="567" w:right="-57"/>
              <w:jc w:val="both"/>
              <w:rPr>
                <w:i/>
                <w:sz w:val="18"/>
                <w:szCs w:val="18"/>
              </w:rPr>
            </w:pPr>
          </w:p>
        </w:tc>
      </w:tr>
      <w:tr w:rsidR="00BB72BD" w:rsidRPr="00C13CCF" w14:paraId="799BF48E" w14:textId="77777777" w:rsidTr="00015B96">
        <w:tc>
          <w:tcPr>
            <w:tcW w:w="4598" w:type="dxa"/>
          </w:tcPr>
          <w:p w14:paraId="04C5E2BB" w14:textId="4B251ACE" w:rsidR="00BB72BD" w:rsidRPr="00C13CCF" w:rsidRDefault="00CC4AA5" w:rsidP="00070D1F">
            <w:pPr>
              <w:pStyle w:val="ListParagraph"/>
              <w:numPr>
                <w:ilvl w:val="0"/>
                <w:numId w:val="372"/>
              </w:numPr>
              <w:ind w:left="573" w:right="-57" w:hanging="227"/>
              <w:contextualSpacing/>
              <w:jc w:val="both"/>
              <w:rPr>
                <w:rStyle w:val="hps"/>
                <w:b/>
                <w:sz w:val="18"/>
                <w:szCs w:val="18"/>
              </w:rPr>
            </w:pPr>
            <w:r w:rsidRPr="00C13CCF">
              <w:rPr>
                <w:rStyle w:val="hps"/>
                <w:b/>
                <w:sz w:val="18"/>
                <w:szCs w:val="18"/>
                <w:lang w:val="id-ID"/>
              </w:rPr>
              <w:t xml:space="preserve">Persetujuan </w:t>
            </w:r>
            <w:r w:rsidRPr="00C13CCF">
              <w:rPr>
                <w:rStyle w:val="hps"/>
                <w:b/>
                <w:sz w:val="18"/>
                <w:szCs w:val="18"/>
              </w:rPr>
              <w:t>dan Pengesahan untuk Penerbitan  Laporan  Keuangan Konsolidasian</w:t>
            </w:r>
          </w:p>
        </w:tc>
        <w:tc>
          <w:tcPr>
            <w:tcW w:w="4599" w:type="dxa"/>
          </w:tcPr>
          <w:p w14:paraId="3697D38F" w14:textId="4CE9BDBF" w:rsidR="00BB72BD" w:rsidRPr="00C13CCF" w:rsidRDefault="00CC4AA5" w:rsidP="00070D1F">
            <w:pPr>
              <w:pStyle w:val="ListParagraph"/>
              <w:numPr>
                <w:ilvl w:val="0"/>
                <w:numId w:val="368"/>
              </w:numPr>
              <w:ind w:left="576" w:right="-57" w:hanging="223"/>
              <w:contextualSpacing/>
              <w:jc w:val="both"/>
              <w:rPr>
                <w:b/>
                <w:i/>
                <w:sz w:val="18"/>
                <w:szCs w:val="18"/>
              </w:rPr>
            </w:pPr>
            <w:r w:rsidRPr="00C13CCF">
              <w:rPr>
                <w:b/>
                <w:i/>
                <w:sz w:val="18"/>
                <w:szCs w:val="18"/>
                <w:lang w:val="id-ID"/>
              </w:rPr>
              <w:t>Approval</w:t>
            </w:r>
            <w:r w:rsidRPr="00C13CCF">
              <w:rPr>
                <w:b/>
                <w:i/>
                <w:sz w:val="18"/>
                <w:szCs w:val="18"/>
              </w:rPr>
              <w:t xml:space="preserve"> and Authorization for the issuance of The Consolidated Financial Statements</w:t>
            </w:r>
          </w:p>
        </w:tc>
      </w:tr>
      <w:tr w:rsidR="00BB72BD" w:rsidRPr="00C13CCF" w14:paraId="7784F0C5" w14:textId="77777777" w:rsidTr="00015B96">
        <w:tc>
          <w:tcPr>
            <w:tcW w:w="4598" w:type="dxa"/>
          </w:tcPr>
          <w:p w14:paraId="2EFDCCB9" w14:textId="77777777" w:rsidR="00BB72BD" w:rsidRPr="00C13CCF" w:rsidRDefault="00BB72BD" w:rsidP="00532A65">
            <w:pPr>
              <w:ind w:left="567" w:right="-57"/>
              <w:jc w:val="both"/>
              <w:rPr>
                <w:rStyle w:val="hps"/>
                <w:sz w:val="18"/>
                <w:szCs w:val="18"/>
              </w:rPr>
            </w:pPr>
          </w:p>
        </w:tc>
        <w:tc>
          <w:tcPr>
            <w:tcW w:w="4599" w:type="dxa"/>
          </w:tcPr>
          <w:p w14:paraId="59A3AF32" w14:textId="77777777" w:rsidR="00BB72BD" w:rsidRPr="00C13CCF" w:rsidRDefault="00BB72BD" w:rsidP="00532A65">
            <w:pPr>
              <w:ind w:left="567" w:right="-57"/>
              <w:jc w:val="both"/>
              <w:rPr>
                <w:i/>
                <w:sz w:val="18"/>
                <w:szCs w:val="18"/>
              </w:rPr>
            </w:pPr>
          </w:p>
        </w:tc>
      </w:tr>
      <w:tr w:rsidR="00BB72BD" w:rsidRPr="009B0A73" w14:paraId="45B537E7" w14:textId="77777777" w:rsidTr="00015B96">
        <w:tc>
          <w:tcPr>
            <w:tcW w:w="4598" w:type="dxa"/>
          </w:tcPr>
          <w:p w14:paraId="4F3BB51A" w14:textId="37AF0D02" w:rsidR="00BB72BD" w:rsidRPr="00C13CCF" w:rsidRDefault="00CC4AA5" w:rsidP="003C0B13">
            <w:pPr>
              <w:ind w:left="587" w:right="-57"/>
              <w:jc w:val="both"/>
              <w:rPr>
                <w:rStyle w:val="hps"/>
                <w:sz w:val="18"/>
                <w:szCs w:val="18"/>
              </w:rPr>
            </w:pPr>
            <w:r w:rsidRPr="00C13CCF">
              <w:rPr>
                <w:rStyle w:val="hps"/>
                <w:sz w:val="18"/>
                <w:szCs w:val="18"/>
              </w:rPr>
              <w:t xml:space="preserve">Manajemen Perusahaan bertanggung jawab atas penyusunan dan penyajian wajar Laporan Keuangan Konsolidasian ini sesuai dengan Standar Akuntansi Keuangan di Indonesia yang disetujui dan diotorisasi untuk diterbitkan oleh </w:t>
            </w:r>
            <w:proofErr w:type="gramStart"/>
            <w:r w:rsidRPr="00C13CCF">
              <w:rPr>
                <w:rStyle w:val="hps"/>
                <w:sz w:val="18"/>
                <w:szCs w:val="18"/>
              </w:rPr>
              <w:t>Direksi  Perusahaan</w:t>
            </w:r>
            <w:proofErr w:type="gramEnd"/>
            <w:r w:rsidRPr="00C13CCF">
              <w:rPr>
                <w:rStyle w:val="hps"/>
                <w:sz w:val="18"/>
                <w:szCs w:val="18"/>
              </w:rPr>
              <w:t xml:space="preserve"> pada </w:t>
            </w:r>
            <w:r w:rsidRPr="00E4518A">
              <w:rPr>
                <w:rStyle w:val="hps"/>
                <w:sz w:val="18"/>
                <w:szCs w:val="18"/>
              </w:rPr>
              <w:t xml:space="preserve">tanggal  </w:t>
            </w:r>
            <w:r w:rsidR="003C0B13">
              <w:rPr>
                <w:rStyle w:val="hps"/>
                <w:sz w:val="18"/>
                <w:szCs w:val="18"/>
              </w:rPr>
              <w:t>28 Mei</w:t>
            </w:r>
            <w:r w:rsidRPr="00E4518A">
              <w:rPr>
                <w:rStyle w:val="hps"/>
                <w:sz w:val="18"/>
                <w:szCs w:val="18"/>
                <w:lang w:val="id-ID"/>
              </w:rPr>
              <w:t xml:space="preserve"> </w:t>
            </w:r>
            <w:r w:rsidRPr="00E4518A">
              <w:rPr>
                <w:rStyle w:val="hps"/>
                <w:sz w:val="18"/>
                <w:szCs w:val="18"/>
              </w:rPr>
              <w:t>20</w:t>
            </w:r>
            <w:r w:rsidR="00C13CCF" w:rsidRPr="00E4518A">
              <w:rPr>
                <w:rStyle w:val="hps"/>
                <w:sz w:val="18"/>
                <w:szCs w:val="18"/>
              </w:rPr>
              <w:t>20</w:t>
            </w:r>
            <w:r w:rsidRPr="00E4518A">
              <w:rPr>
                <w:rStyle w:val="hps"/>
                <w:sz w:val="18"/>
                <w:szCs w:val="18"/>
              </w:rPr>
              <w:t>.</w:t>
            </w:r>
          </w:p>
        </w:tc>
        <w:tc>
          <w:tcPr>
            <w:tcW w:w="4599" w:type="dxa"/>
          </w:tcPr>
          <w:p w14:paraId="409F98C9" w14:textId="345694C1" w:rsidR="00BB72BD" w:rsidRPr="00532A65" w:rsidRDefault="00CC4AA5" w:rsidP="003C0B13">
            <w:pPr>
              <w:ind w:left="567" w:right="-57"/>
              <w:jc w:val="both"/>
              <w:rPr>
                <w:i/>
                <w:sz w:val="18"/>
                <w:szCs w:val="18"/>
              </w:rPr>
            </w:pPr>
            <w:r w:rsidRPr="00C13CCF">
              <w:rPr>
                <w:i/>
                <w:sz w:val="18"/>
                <w:szCs w:val="18"/>
              </w:rPr>
              <w:t>The Company’s Management is responsible for the preparation and fair presentation of these Consolidated Financial Statements in accordance with Financial Accounting Standards</w:t>
            </w:r>
            <w:proofErr w:type="gramStart"/>
            <w:r w:rsidR="00F15497">
              <w:rPr>
                <w:i/>
                <w:sz w:val="18"/>
                <w:szCs w:val="18"/>
              </w:rPr>
              <w:t>,</w:t>
            </w:r>
            <w:r w:rsidRPr="00C13CCF">
              <w:rPr>
                <w:i/>
                <w:sz w:val="18"/>
                <w:szCs w:val="18"/>
              </w:rPr>
              <w:t xml:space="preserve">  which</w:t>
            </w:r>
            <w:proofErr w:type="gramEnd"/>
            <w:r w:rsidRPr="00C13CCF">
              <w:rPr>
                <w:i/>
                <w:sz w:val="18"/>
                <w:szCs w:val="18"/>
              </w:rPr>
              <w:t xml:space="preserve">  were  approved  and authorized for issuance by the Board of the Company on </w:t>
            </w:r>
            <w:r w:rsidR="003C0B13">
              <w:rPr>
                <w:i/>
                <w:sz w:val="18"/>
                <w:szCs w:val="18"/>
              </w:rPr>
              <w:t>May 28,</w:t>
            </w:r>
            <w:r w:rsidR="00F15497">
              <w:rPr>
                <w:i/>
                <w:sz w:val="18"/>
                <w:szCs w:val="18"/>
              </w:rPr>
              <w:t>,</w:t>
            </w:r>
            <w:r w:rsidRPr="00E4518A">
              <w:rPr>
                <w:i/>
                <w:sz w:val="18"/>
                <w:szCs w:val="18"/>
              </w:rPr>
              <w:t xml:space="preserve"> 20</w:t>
            </w:r>
            <w:r w:rsidR="00C13CCF" w:rsidRPr="00E4518A">
              <w:rPr>
                <w:i/>
                <w:sz w:val="18"/>
                <w:szCs w:val="18"/>
              </w:rPr>
              <w:t>20</w:t>
            </w:r>
            <w:r w:rsidRPr="00E4518A">
              <w:rPr>
                <w:i/>
                <w:sz w:val="18"/>
                <w:szCs w:val="18"/>
              </w:rPr>
              <w:t>.</w:t>
            </w:r>
          </w:p>
        </w:tc>
      </w:tr>
      <w:tr w:rsidR="00CC4AA5" w:rsidRPr="009B0A73" w14:paraId="4D9AB6C8" w14:textId="77777777" w:rsidTr="00015B96">
        <w:tc>
          <w:tcPr>
            <w:tcW w:w="4598" w:type="dxa"/>
          </w:tcPr>
          <w:p w14:paraId="74A1736A" w14:textId="77777777" w:rsidR="00CC4AA5" w:rsidRPr="00532A65" w:rsidRDefault="00CC4AA5" w:rsidP="00532A65">
            <w:pPr>
              <w:ind w:left="567" w:right="-57"/>
              <w:jc w:val="both"/>
              <w:rPr>
                <w:rStyle w:val="hps"/>
                <w:sz w:val="18"/>
                <w:szCs w:val="18"/>
              </w:rPr>
            </w:pPr>
          </w:p>
        </w:tc>
        <w:tc>
          <w:tcPr>
            <w:tcW w:w="4599" w:type="dxa"/>
          </w:tcPr>
          <w:p w14:paraId="70D59AA6" w14:textId="77777777" w:rsidR="00CC4AA5" w:rsidRPr="00532A65" w:rsidRDefault="00CC4AA5" w:rsidP="00532A65">
            <w:pPr>
              <w:ind w:left="567" w:right="-57"/>
              <w:jc w:val="both"/>
              <w:rPr>
                <w:i/>
                <w:sz w:val="18"/>
                <w:szCs w:val="18"/>
              </w:rPr>
            </w:pPr>
          </w:p>
        </w:tc>
      </w:tr>
    </w:tbl>
    <w:p w14:paraId="0F263C7F" w14:textId="77777777" w:rsidR="00532A65" w:rsidRPr="00DC6CA6" w:rsidRDefault="00532A65" w:rsidP="0013526B">
      <w:pPr>
        <w:rPr>
          <w:sz w:val="18"/>
          <w:lang w:val="id-ID"/>
        </w:rPr>
        <w:sectPr w:rsidR="00532A65" w:rsidRPr="00DC6CA6" w:rsidSect="00DF6E97">
          <w:pgSz w:w="11907" w:h="16839" w:code="9"/>
          <w:pgMar w:top="1723" w:right="1100" w:bottom="278" w:left="1281" w:header="850" w:footer="397" w:gutter="0"/>
          <w:cols w:space="708"/>
          <w:noEndnote/>
          <w:docGrid w:linePitch="326"/>
        </w:sectPr>
      </w:pPr>
    </w:p>
    <w:tbl>
      <w:tblPr>
        <w:tblW w:w="9197" w:type="dxa"/>
        <w:tblInd w:w="392" w:type="dxa"/>
        <w:tblLayout w:type="fixed"/>
        <w:tblLook w:val="0000" w:firstRow="0" w:lastRow="0" w:firstColumn="0" w:lastColumn="0" w:noHBand="0" w:noVBand="0"/>
      </w:tblPr>
      <w:tblGrid>
        <w:gridCol w:w="4598"/>
        <w:gridCol w:w="4599"/>
      </w:tblGrid>
      <w:tr w:rsidR="00A03CF8" w:rsidRPr="00C13CCF" w14:paraId="4B16FDA6" w14:textId="77777777" w:rsidTr="00A93805">
        <w:tc>
          <w:tcPr>
            <w:tcW w:w="4598" w:type="dxa"/>
          </w:tcPr>
          <w:p w14:paraId="35DD1E9E" w14:textId="5734EA49" w:rsidR="00A03CF8" w:rsidRPr="00C13CCF" w:rsidRDefault="00A03CF8" w:rsidP="00070D1F">
            <w:pPr>
              <w:pStyle w:val="ListParagraph"/>
              <w:numPr>
                <w:ilvl w:val="0"/>
                <w:numId w:val="296"/>
              </w:numPr>
              <w:ind w:left="317" w:right="-57" w:hanging="283"/>
              <w:contextualSpacing/>
              <w:jc w:val="both"/>
              <w:rPr>
                <w:rStyle w:val="hps"/>
                <w:sz w:val="18"/>
                <w:szCs w:val="18"/>
              </w:rPr>
            </w:pPr>
            <w:r w:rsidRPr="00C13CCF">
              <w:rPr>
                <w:b/>
                <w:bCs w:val="0"/>
                <w:sz w:val="18"/>
                <w:szCs w:val="18"/>
              </w:rPr>
              <w:lastRenderedPageBreak/>
              <w:t>PENERAPAN PERNYATAAN STANDAR AKUNTANSI KEUANGAN (“PSAK”) DAN INTERPRETASI STANDAR AKUNTANSI KEUANGAN (“ISAK”) BARU DAN REVISI</w:t>
            </w:r>
          </w:p>
        </w:tc>
        <w:tc>
          <w:tcPr>
            <w:tcW w:w="4598" w:type="dxa"/>
          </w:tcPr>
          <w:p w14:paraId="7EEC521C" w14:textId="77777777" w:rsidR="00A03CF8" w:rsidRPr="00C13CCF" w:rsidRDefault="00A03CF8" w:rsidP="00070D1F">
            <w:pPr>
              <w:pStyle w:val="ListParagraph"/>
              <w:numPr>
                <w:ilvl w:val="0"/>
                <w:numId w:val="297"/>
              </w:numPr>
              <w:ind w:left="289" w:hanging="289"/>
              <w:contextualSpacing/>
              <w:jc w:val="both"/>
              <w:rPr>
                <w:bCs w:val="0"/>
                <w:i/>
                <w:sz w:val="18"/>
                <w:szCs w:val="18"/>
              </w:rPr>
            </w:pPr>
            <w:r w:rsidRPr="00C13CCF">
              <w:rPr>
                <w:b/>
                <w:i/>
                <w:sz w:val="18"/>
                <w:szCs w:val="18"/>
              </w:rPr>
              <w:t>ADOPTION</w:t>
            </w:r>
            <w:r w:rsidRPr="00C13CCF">
              <w:rPr>
                <w:b/>
                <w:bCs w:val="0"/>
                <w:i/>
                <w:sz w:val="18"/>
                <w:szCs w:val="18"/>
              </w:rPr>
              <w:t xml:space="preserve"> OF NEW AND REVISED STATEMENTS OF FINANCIAL ACCOUNTING STANDARDS (“PSAK”) AND INTERPRETATION TO FINANCIAL ACCOUNTING STANDARDS (“ISAK”)</w:t>
            </w:r>
          </w:p>
        </w:tc>
      </w:tr>
      <w:tr w:rsidR="00A03CF8" w:rsidRPr="00C13CCF" w14:paraId="7DFC7CEB" w14:textId="77777777" w:rsidTr="00A93805">
        <w:tc>
          <w:tcPr>
            <w:tcW w:w="4598" w:type="dxa"/>
          </w:tcPr>
          <w:p w14:paraId="4C0D9E59" w14:textId="77777777" w:rsidR="00A03CF8" w:rsidRPr="00C13CCF" w:rsidRDefault="00A03CF8" w:rsidP="0013526B">
            <w:pPr>
              <w:jc w:val="both"/>
              <w:rPr>
                <w:rStyle w:val="hps"/>
                <w:sz w:val="12"/>
                <w:szCs w:val="18"/>
              </w:rPr>
            </w:pPr>
          </w:p>
        </w:tc>
        <w:tc>
          <w:tcPr>
            <w:tcW w:w="4598" w:type="dxa"/>
          </w:tcPr>
          <w:p w14:paraId="41809C64" w14:textId="77777777" w:rsidR="00A03CF8" w:rsidRPr="000A7641" w:rsidRDefault="00A03CF8" w:rsidP="0013526B">
            <w:pPr>
              <w:ind w:left="426"/>
              <w:jc w:val="both"/>
              <w:rPr>
                <w:bCs w:val="0"/>
                <w:i/>
                <w:sz w:val="12"/>
                <w:szCs w:val="18"/>
                <w:highlight w:val="yellow"/>
              </w:rPr>
            </w:pPr>
          </w:p>
        </w:tc>
      </w:tr>
      <w:tr w:rsidR="00EA498A" w:rsidRPr="00C13CCF" w14:paraId="7860703E" w14:textId="77777777" w:rsidTr="00A93805">
        <w:trPr>
          <w:trHeight w:val="511"/>
        </w:trPr>
        <w:tc>
          <w:tcPr>
            <w:tcW w:w="4598" w:type="dxa"/>
            <w:shd w:val="clear" w:color="auto" w:fill="auto"/>
          </w:tcPr>
          <w:p w14:paraId="5A514658" w14:textId="69B7AB83" w:rsidR="00EA498A" w:rsidRPr="00095D41" w:rsidRDefault="000A7641" w:rsidP="00070D1F">
            <w:pPr>
              <w:numPr>
                <w:ilvl w:val="0"/>
                <w:numId w:val="188"/>
              </w:numPr>
              <w:ind w:left="602" w:hanging="284"/>
              <w:jc w:val="both"/>
              <w:rPr>
                <w:rFonts w:eastAsia="Calibri"/>
                <w:b/>
                <w:color w:val="000000"/>
                <w:sz w:val="18"/>
                <w:szCs w:val="18"/>
              </w:rPr>
            </w:pPr>
            <w:r w:rsidRPr="00095D41">
              <w:rPr>
                <w:rFonts w:eastAsia="Calibri"/>
                <w:b/>
                <w:color w:val="000000"/>
                <w:sz w:val="18"/>
                <w:szCs w:val="18"/>
              </w:rPr>
              <w:t>Standar yang Diterbitkan dan Berlaku Efektif Dalam Tahun Berjalan (pada atau setelah</w:t>
            </w:r>
            <w:r w:rsidRPr="00095D41">
              <w:rPr>
                <w:rFonts w:eastAsia="Calibri"/>
                <w:b/>
                <w:color w:val="000000"/>
                <w:sz w:val="18"/>
                <w:szCs w:val="18"/>
              </w:rPr>
              <w:br/>
              <w:t>1 Januari 20</w:t>
            </w:r>
            <w:r w:rsidRPr="00095D41">
              <w:rPr>
                <w:rFonts w:eastAsia="Calibri"/>
                <w:b/>
                <w:color w:val="000000"/>
                <w:sz w:val="18"/>
                <w:szCs w:val="18"/>
                <w:lang w:val="id-ID"/>
              </w:rPr>
              <w:t>20</w:t>
            </w:r>
            <w:r w:rsidRPr="00095D41">
              <w:rPr>
                <w:rFonts w:eastAsia="Calibri"/>
                <w:b/>
                <w:color w:val="000000"/>
                <w:sz w:val="18"/>
                <w:szCs w:val="18"/>
              </w:rPr>
              <w:t>)</w:t>
            </w:r>
          </w:p>
        </w:tc>
        <w:tc>
          <w:tcPr>
            <w:tcW w:w="4598" w:type="dxa"/>
          </w:tcPr>
          <w:p w14:paraId="7B048B49" w14:textId="3501DC40" w:rsidR="00EA498A" w:rsidRPr="00095D41" w:rsidRDefault="000A7641" w:rsidP="00070D1F">
            <w:pPr>
              <w:numPr>
                <w:ilvl w:val="0"/>
                <w:numId w:val="189"/>
              </w:numPr>
              <w:autoSpaceDE w:val="0"/>
              <w:autoSpaceDN w:val="0"/>
              <w:adjustRightInd w:val="0"/>
              <w:ind w:left="601" w:hanging="284"/>
              <w:jc w:val="both"/>
              <w:rPr>
                <w:rFonts w:eastAsia="Calibri"/>
                <w:b/>
                <w:i/>
                <w:color w:val="000000"/>
                <w:sz w:val="18"/>
                <w:szCs w:val="18"/>
              </w:rPr>
            </w:pPr>
            <w:r w:rsidRPr="00095D41">
              <w:rPr>
                <w:rFonts w:eastAsia="Calibri"/>
                <w:b/>
                <w:i/>
                <w:color w:val="000000"/>
                <w:sz w:val="18"/>
                <w:szCs w:val="18"/>
              </w:rPr>
              <w:t>Standards Issued and Effective in the Current Year (on or after January 1. 20</w:t>
            </w:r>
            <w:r w:rsidRPr="00095D41">
              <w:rPr>
                <w:rFonts w:eastAsia="Calibri"/>
                <w:b/>
                <w:i/>
                <w:color w:val="000000"/>
                <w:sz w:val="18"/>
                <w:szCs w:val="18"/>
                <w:lang w:val="id-ID"/>
              </w:rPr>
              <w:t>20</w:t>
            </w:r>
            <w:r w:rsidRPr="00095D41">
              <w:rPr>
                <w:rFonts w:eastAsia="Calibri"/>
                <w:b/>
                <w:i/>
                <w:color w:val="000000"/>
                <w:sz w:val="18"/>
                <w:szCs w:val="18"/>
              </w:rPr>
              <w:t>)</w:t>
            </w:r>
            <w:r w:rsidR="00EA498A" w:rsidRPr="00095D41">
              <w:rPr>
                <w:rFonts w:eastAsia="Calibri"/>
                <w:b/>
                <w:i/>
                <w:color w:val="000000"/>
                <w:sz w:val="18"/>
                <w:szCs w:val="18"/>
              </w:rPr>
              <w:t>)</w:t>
            </w:r>
          </w:p>
        </w:tc>
      </w:tr>
      <w:tr w:rsidR="004D715D" w:rsidRPr="00C13CCF" w14:paraId="3C78D749" w14:textId="77777777" w:rsidTr="00A93805">
        <w:tc>
          <w:tcPr>
            <w:tcW w:w="4598" w:type="dxa"/>
          </w:tcPr>
          <w:p w14:paraId="26BEFD20" w14:textId="77777777" w:rsidR="004D715D" w:rsidRPr="00C13CCF" w:rsidRDefault="004D715D" w:rsidP="0013526B">
            <w:pPr>
              <w:jc w:val="both"/>
              <w:rPr>
                <w:rStyle w:val="hps"/>
                <w:sz w:val="12"/>
                <w:szCs w:val="18"/>
              </w:rPr>
            </w:pPr>
          </w:p>
        </w:tc>
        <w:tc>
          <w:tcPr>
            <w:tcW w:w="4598" w:type="dxa"/>
          </w:tcPr>
          <w:p w14:paraId="08017F2F" w14:textId="77777777" w:rsidR="004D715D" w:rsidRPr="00C13CCF" w:rsidRDefault="004D715D" w:rsidP="0013526B">
            <w:pPr>
              <w:ind w:left="426"/>
              <w:jc w:val="both"/>
              <w:rPr>
                <w:bCs w:val="0"/>
                <w:i/>
                <w:sz w:val="12"/>
                <w:szCs w:val="18"/>
              </w:rPr>
            </w:pPr>
          </w:p>
        </w:tc>
      </w:tr>
      <w:tr w:rsidR="00EA498A" w:rsidRPr="00C13CCF" w14:paraId="341FDF94" w14:textId="77777777" w:rsidTr="00A93805">
        <w:tc>
          <w:tcPr>
            <w:tcW w:w="4598" w:type="dxa"/>
          </w:tcPr>
          <w:p w14:paraId="02E7E19E" w14:textId="481EE87F" w:rsidR="00EA498A" w:rsidRPr="00C13CCF" w:rsidRDefault="00EA498A" w:rsidP="0013526B">
            <w:pPr>
              <w:autoSpaceDE w:val="0"/>
              <w:autoSpaceDN w:val="0"/>
              <w:adjustRightInd w:val="0"/>
              <w:ind w:left="601"/>
              <w:jc w:val="both"/>
              <w:rPr>
                <w:rFonts w:eastAsia="Calibri"/>
                <w:color w:val="000000"/>
                <w:sz w:val="18"/>
                <w:szCs w:val="18"/>
              </w:rPr>
            </w:pPr>
            <w:r w:rsidRPr="00C13CCF">
              <w:rPr>
                <w:rFonts w:eastAsia="Calibri"/>
                <w:color w:val="000000"/>
                <w:sz w:val="18"/>
                <w:szCs w:val="18"/>
              </w:rPr>
              <w:t>Dalam tahun berjalan</w:t>
            </w:r>
            <w:r w:rsidR="00870FD0">
              <w:rPr>
                <w:rFonts w:eastAsia="Calibri"/>
                <w:color w:val="000000"/>
                <w:sz w:val="18"/>
                <w:szCs w:val="18"/>
              </w:rPr>
              <w:t>.</w:t>
            </w:r>
            <w:r w:rsidRPr="00C13CCF">
              <w:rPr>
                <w:rFonts w:eastAsia="Calibri"/>
                <w:color w:val="000000"/>
                <w:sz w:val="18"/>
                <w:szCs w:val="18"/>
              </w:rPr>
              <w:t xml:space="preserve"> </w:t>
            </w:r>
            <w:r w:rsidR="00153CA7" w:rsidRPr="00C13CCF">
              <w:rPr>
                <w:rFonts w:eastAsia="Calibri"/>
                <w:color w:val="000000"/>
                <w:sz w:val="18"/>
                <w:szCs w:val="18"/>
                <w:lang w:val="en-ID"/>
              </w:rPr>
              <w:t>K</w:t>
            </w:r>
            <w:r w:rsidR="00153CA7" w:rsidRPr="00C13CCF">
              <w:rPr>
                <w:rFonts w:eastAsia="Calibri"/>
                <w:color w:val="000000"/>
                <w:sz w:val="18"/>
                <w:szCs w:val="18"/>
                <w:lang w:val="id-ID"/>
              </w:rPr>
              <w:t>elompok Usaha</w:t>
            </w:r>
            <w:r w:rsidRPr="00C13CCF">
              <w:rPr>
                <w:rFonts w:eastAsia="Calibri"/>
                <w:color w:val="000000"/>
                <w:sz w:val="18"/>
                <w:szCs w:val="18"/>
              </w:rPr>
              <w:t xml:space="preserve"> telah menerapkan standar akuntansi keuangan (“SAK”) dan inte</w:t>
            </w:r>
            <w:r w:rsidRPr="00C13CCF">
              <w:rPr>
                <w:rFonts w:eastAsia="Calibri"/>
                <w:color w:val="000000"/>
                <w:sz w:val="18"/>
                <w:szCs w:val="18"/>
                <w:lang w:val="id-ID"/>
              </w:rPr>
              <w:t>r</w:t>
            </w:r>
            <w:r w:rsidRPr="00C13CCF">
              <w:rPr>
                <w:rFonts w:eastAsia="Calibri"/>
                <w:color w:val="000000"/>
                <w:sz w:val="18"/>
                <w:szCs w:val="18"/>
              </w:rPr>
              <w:t>pretasi standar akuntansi keuangan (“ISAK”) baru dan revisi termasuk pengesahan amandemen dan penyesuaian tahunan yang dikeluarkan oleh Dewan Standar Akuntansi Keuangan Ikatan Akuntan Indonesia yang dianggap relevan dengan kegiatan operasinya dan mempengaruhi laporan keuanga</w:t>
            </w:r>
            <w:r w:rsidR="00882320" w:rsidRPr="00C13CCF">
              <w:rPr>
                <w:rFonts w:eastAsia="Calibri"/>
                <w:color w:val="000000"/>
                <w:sz w:val="18"/>
                <w:szCs w:val="18"/>
                <w:lang w:val="id-ID"/>
              </w:rPr>
              <w:t xml:space="preserve">n konsolidasian </w:t>
            </w:r>
            <w:r w:rsidRPr="00C13CCF">
              <w:rPr>
                <w:rFonts w:eastAsia="Calibri"/>
                <w:color w:val="000000"/>
                <w:sz w:val="18"/>
                <w:szCs w:val="18"/>
              </w:rPr>
              <w:t>berlaku efektif untuk periode tahun buku yang dimulai pada atau setelah 1 Januari 201</w:t>
            </w:r>
            <w:r w:rsidR="00417FDB" w:rsidRPr="00C13CCF">
              <w:rPr>
                <w:rFonts w:eastAsia="Calibri"/>
                <w:color w:val="000000"/>
                <w:sz w:val="18"/>
                <w:szCs w:val="18"/>
                <w:lang w:val="id-ID"/>
              </w:rPr>
              <w:t>9</w:t>
            </w:r>
            <w:r w:rsidRPr="00C13CCF">
              <w:rPr>
                <w:rFonts w:eastAsia="Calibri"/>
                <w:color w:val="000000"/>
                <w:sz w:val="18"/>
                <w:szCs w:val="18"/>
              </w:rPr>
              <w:t>.</w:t>
            </w:r>
          </w:p>
        </w:tc>
        <w:tc>
          <w:tcPr>
            <w:tcW w:w="4598" w:type="dxa"/>
          </w:tcPr>
          <w:p w14:paraId="14C71290" w14:textId="41892703" w:rsidR="00EA498A" w:rsidRPr="00C13CCF" w:rsidRDefault="00EA498A" w:rsidP="00F15497">
            <w:pPr>
              <w:autoSpaceDE w:val="0"/>
              <w:autoSpaceDN w:val="0"/>
              <w:adjustRightInd w:val="0"/>
              <w:ind w:left="601" w:right="-57"/>
              <w:jc w:val="both"/>
              <w:rPr>
                <w:rFonts w:eastAsia="Calibri"/>
                <w:i/>
                <w:color w:val="000000"/>
                <w:sz w:val="18"/>
                <w:szCs w:val="18"/>
                <w:lang w:val="id-ID"/>
              </w:rPr>
            </w:pPr>
            <w:r w:rsidRPr="00C13CCF">
              <w:rPr>
                <w:rFonts w:eastAsia="Calibri"/>
                <w:i/>
                <w:color w:val="000000"/>
                <w:sz w:val="18"/>
                <w:szCs w:val="18"/>
              </w:rPr>
              <w:t>In the current year</w:t>
            </w:r>
            <w:r w:rsidR="00870FD0">
              <w:rPr>
                <w:rFonts w:eastAsia="Calibri"/>
                <w:i/>
                <w:color w:val="000000"/>
                <w:sz w:val="18"/>
                <w:szCs w:val="18"/>
              </w:rPr>
              <w:t>.</w:t>
            </w:r>
            <w:r w:rsidRPr="00C13CCF">
              <w:rPr>
                <w:rFonts w:eastAsia="Calibri"/>
                <w:i/>
                <w:color w:val="000000"/>
                <w:sz w:val="18"/>
                <w:szCs w:val="18"/>
              </w:rPr>
              <w:t xml:space="preserve"> the </w:t>
            </w:r>
            <w:r w:rsidR="00153CA7" w:rsidRPr="00C13CCF">
              <w:rPr>
                <w:rFonts w:eastAsia="Calibri"/>
                <w:i/>
                <w:color w:val="000000"/>
                <w:sz w:val="18"/>
                <w:szCs w:val="18"/>
                <w:lang w:val="en-ID"/>
              </w:rPr>
              <w:t>Group</w:t>
            </w:r>
            <w:r w:rsidRPr="00C13CCF">
              <w:rPr>
                <w:rFonts w:eastAsia="Calibri"/>
                <w:i/>
                <w:color w:val="000000"/>
                <w:sz w:val="18"/>
                <w:szCs w:val="18"/>
              </w:rPr>
              <w:t xml:space="preserve"> has adopted all of the new and revised financial accounting standards (SAK) and interpretation to financial accounting standards (ISAK) including amendments and annual improvements issued by the Board of Financial Accounting Standards of the Indonesian Institute of Accountants that are relevant to its operations and affected to the</w:t>
            </w:r>
            <w:r w:rsidR="00882320" w:rsidRPr="00C13CCF">
              <w:rPr>
                <w:rFonts w:eastAsia="Calibri"/>
                <w:i/>
                <w:color w:val="000000"/>
                <w:sz w:val="18"/>
                <w:szCs w:val="18"/>
                <w:lang w:val="id-ID"/>
              </w:rPr>
              <w:t xml:space="preserve"> consolidated</w:t>
            </w:r>
            <w:r w:rsidRPr="00C13CCF">
              <w:rPr>
                <w:rFonts w:eastAsia="Calibri"/>
                <w:i/>
                <w:color w:val="000000"/>
                <w:sz w:val="18"/>
                <w:szCs w:val="18"/>
              </w:rPr>
              <w:t xml:space="preserve"> financial statements effective for accounting period beginning on or after January 1</w:t>
            </w:r>
            <w:r w:rsidR="00F15497">
              <w:rPr>
                <w:rFonts w:eastAsia="Calibri"/>
                <w:i/>
                <w:color w:val="000000"/>
                <w:sz w:val="18"/>
                <w:szCs w:val="18"/>
              </w:rPr>
              <w:t>,</w:t>
            </w:r>
            <w:r w:rsidRPr="00C13CCF">
              <w:rPr>
                <w:rFonts w:eastAsia="Calibri"/>
                <w:i/>
                <w:color w:val="000000"/>
                <w:sz w:val="18"/>
                <w:szCs w:val="18"/>
              </w:rPr>
              <w:t xml:space="preserve"> 201</w:t>
            </w:r>
            <w:r w:rsidR="00417FDB" w:rsidRPr="00C13CCF">
              <w:rPr>
                <w:rFonts w:eastAsia="Calibri"/>
                <w:i/>
                <w:color w:val="000000"/>
                <w:sz w:val="18"/>
                <w:szCs w:val="18"/>
                <w:lang w:val="id-ID"/>
              </w:rPr>
              <w:t>9</w:t>
            </w:r>
            <w:r w:rsidRPr="00C13CCF">
              <w:rPr>
                <w:rFonts w:eastAsia="Calibri"/>
                <w:i/>
                <w:color w:val="000000"/>
                <w:sz w:val="18"/>
                <w:szCs w:val="18"/>
                <w:lang w:val="id-ID"/>
              </w:rPr>
              <w:t>.</w:t>
            </w:r>
          </w:p>
        </w:tc>
      </w:tr>
      <w:tr w:rsidR="00A03CF8" w:rsidRPr="00C13CCF" w14:paraId="357AC64A" w14:textId="77777777" w:rsidTr="00A93805">
        <w:tc>
          <w:tcPr>
            <w:tcW w:w="4598" w:type="dxa"/>
          </w:tcPr>
          <w:p w14:paraId="45D10343" w14:textId="77777777" w:rsidR="00A03CF8" w:rsidRPr="00C13CCF" w:rsidRDefault="00A03CF8" w:rsidP="0013526B">
            <w:pPr>
              <w:ind w:left="601"/>
              <w:jc w:val="both"/>
              <w:rPr>
                <w:bCs w:val="0"/>
                <w:sz w:val="12"/>
                <w:szCs w:val="18"/>
              </w:rPr>
            </w:pPr>
          </w:p>
        </w:tc>
        <w:tc>
          <w:tcPr>
            <w:tcW w:w="4598" w:type="dxa"/>
          </w:tcPr>
          <w:p w14:paraId="7E76FAA7" w14:textId="77777777" w:rsidR="00A03CF8" w:rsidRPr="00C13CCF" w:rsidRDefault="00A03CF8" w:rsidP="0013526B">
            <w:pPr>
              <w:ind w:left="714"/>
              <w:jc w:val="both"/>
              <w:rPr>
                <w:bCs w:val="0"/>
                <w:i/>
                <w:sz w:val="12"/>
                <w:szCs w:val="18"/>
              </w:rPr>
            </w:pPr>
          </w:p>
        </w:tc>
      </w:tr>
      <w:tr w:rsidR="00EA498A" w:rsidRPr="00C13CCF" w14:paraId="4B27678F" w14:textId="77777777" w:rsidTr="00A93805">
        <w:tc>
          <w:tcPr>
            <w:tcW w:w="4598" w:type="dxa"/>
          </w:tcPr>
          <w:p w14:paraId="4215D4D5" w14:textId="77777777" w:rsidR="00EA498A" w:rsidRPr="00C13CCF" w:rsidRDefault="00EA498A" w:rsidP="0013526B">
            <w:pPr>
              <w:autoSpaceDE w:val="0"/>
              <w:autoSpaceDN w:val="0"/>
              <w:adjustRightInd w:val="0"/>
              <w:ind w:left="601"/>
              <w:jc w:val="both"/>
              <w:rPr>
                <w:sz w:val="18"/>
                <w:szCs w:val="18"/>
              </w:rPr>
            </w:pPr>
            <w:r w:rsidRPr="00C13CCF">
              <w:rPr>
                <w:rFonts w:eastAsia="Calibri"/>
                <w:color w:val="000000"/>
                <w:sz w:val="18"/>
                <w:szCs w:val="18"/>
              </w:rPr>
              <w:t>SAK</w:t>
            </w:r>
            <w:r w:rsidRPr="00C13CCF">
              <w:rPr>
                <w:sz w:val="18"/>
                <w:szCs w:val="18"/>
              </w:rPr>
              <w:t xml:space="preserve"> dan ISAK baru dan revisi termasuk pengesahan amandemen dan penyesuaian tahunan yang berlaku efektif dalam tahun berjalan adalah sebagai berikut:</w:t>
            </w:r>
          </w:p>
        </w:tc>
        <w:tc>
          <w:tcPr>
            <w:tcW w:w="4598" w:type="dxa"/>
          </w:tcPr>
          <w:p w14:paraId="5A92C1F3" w14:textId="77777777" w:rsidR="00EA498A" w:rsidRPr="00C13CCF" w:rsidRDefault="00EA498A" w:rsidP="0013526B">
            <w:pPr>
              <w:autoSpaceDE w:val="0"/>
              <w:autoSpaceDN w:val="0"/>
              <w:adjustRightInd w:val="0"/>
              <w:ind w:left="601" w:right="-57"/>
              <w:jc w:val="both"/>
              <w:rPr>
                <w:i/>
                <w:sz w:val="18"/>
                <w:szCs w:val="18"/>
                <w:lang w:val="id-ID"/>
              </w:rPr>
            </w:pPr>
            <w:r w:rsidRPr="00C13CCF">
              <w:rPr>
                <w:i/>
                <w:sz w:val="18"/>
                <w:szCs w:val="18"/>
                <w:lang w:val="id-ID"/>
              </w:rPr>
              <w:t>New and revised SAKs and ISAKs including amendments and annual improvements effective in the current year are as follows:</w:t>
            </w:r>
          </w:p>
        </w:tc>
      </w:tr>
      <w:tr w:rsidR="00A03CF8" w:rsidRPr="00C13CCF" w14:paraId="212E82A0" w14:textId="77777777" w:rsidTr="00A93805">
        <w:tc>
          <w:tcPr>
            <w:tcW w:w="4598" w:type="dxa"/>
          </w:tcPr>
          <w:p w14:paraId="41BCC273" w14:textId="77777777" w:rsidR="00A03CF8" w:rsidRPr="00C13CCF" w:rsidRDefault="00A03CF8" w:rsidP="0013526B">
            <w:pPr>
              <w:ind w:left="522" w:right="-57"/>
              <w:jc w:val="both"/>
              <w:rPr>
                <w:bCs w:val="0"/>
                <w:sz w:val="12"/>
                <w:szCs w:val="18"/>
              </w:rPr>
            </w:pPr>
          </w:p>
        </w:tc>
        <w:tc>
          <w:tcPr>
            <w:tcW w:w="4598" w:type="dxa"/>
          </w:tcPr>
          <w:p w14:paraId="017C8608" w14:textId="77777777" w:rsidR="00A03CF8" w:rsidRPr="00C13CCF" w:rsidRDefault="00A03CF8" w:rsidP="0013526B">
            <w:pPr>
              <w:tabs>
                <w:tab w:val="left" w:pos="5590"/>
                <w:tab w:val="right" w:pos="7620"/>
                <w:tab w:val="right" w:pos="9460"/>
                <w:tab w:val="right" w:pos="10080"/>
              </w:tabs>
              <w:ind w:left="651" w:right="-57"/>
              <w:jc w:val="both"/>
              <w:rPr>
                <w:bCs w:val="0"/>
                <w:i/>
                <w:sz w:val="12"/>
                <w:szCs w:val="18"/>
              </w:rPr>
            </w:pPr>
          </w:p>
        </w:tc>
      </w:tr>
      <w:tr w:rsidR="00EA498A" w:rsidRPr="00C13CCF" w14:paraId="38DBAD9C" w14:textId="77777777" w:rsidTr="00A93805">
        <w:tc>
          <w:tcPr>
            <w:tcW w:w="4598" w:type="dxa"/>
          </w:tcPr>
          <w:p w14:paraId="105603EE" w14:textId="7701F3AF" w:rsidR="00EA498A" w:rsidRPr="00C13CCF" w:rsidRDefault="00417FDB" w:rsidP="00070D1F">
            <w:pPr>
              <w:numPr>
                <w:ilvl w:val="0"/>
                <w:numId w:val="190"/>
              </w:numPr>
              <w:autoSpaceDE w:val="0"/>
              <w:autoSpaceDN w:val="0"/>
              <w:adjustRightInd w:val="0"/>
              <w:ind w:left="885" w:hanging="284"/>
              <w:jc w:val="both"/>
              <w:rPr>
                <w:rFonts w:eastAsia="Calibri"/>
                <w:color w:val="000000"/>
                <w:sz w:val="18"/>
                <w:szCs w:val="18"/>
              </w:rPr>
            </w:pPr>
            <w:r w:rsidRPr="00C13CCF">
              <w:rPr>
                <w:sz w:val="18"/>
                <w:szCs w:val="18"/>
              </w:rPr>
              <w:t xml:space="preserve">ISAK </w:t>
            </w:r>
            <w:r w:rsidR="00C13CCF">
              <w:rPr>
                <w:sz w:val="18"/>
                <w:szCs w:val="18"/>
              </w:rPr>
              <w:t xml:space="preserve">No. </w:t>
            </w:r>
            <w:r w:rsidRPr="00C13CCF">
              <w:rPr>
                <w:sz w:val="18"/>
                <w:szCs w:val="18"/>
              </w:rPr>
              <w:t>33 “Transaksi Valuta Asing dan Imbalan di Muka”</w:t>
            </w:r>
            <w:r w:rsidR="00870FD0">
              <w:rPr>
                <w:sz w:val="18"/>
                <w:szCs w:val="18"/>
              </w:rPr>
              <w:t>.</w:t>
            </w:r>
            <w:r w:rsidRPr="00C13CCF">
              <w:rPr>
                <w:sz w:val="18"/>
                <w:szCs w:val="18"/>
              </w:rPr>
              <w:t xml:space="preserve"> ISAK </w:t>
            </w:r>
            <w:r w:rsidR="00C13CCF">
              <w:rPr>
                <w:sz w:val="18"/>
                <w:szCs w:val="18"/>
              </w:rPr>
              <w:t xml:space="preserve">No. </w:t>
            </w:r>
            <w:r w:rsidRPr="00C13CCF">
              <w:rPr>
                <w:sz w:val="18"/>
                <w:szCs w:val="18"/>
              </w:rPr>
              <w:t>33 mengklarifikasi penggunaan tanggal transaksi untuk menentukan kurs yang digunakan pada pengakuan awal aset</w:t>
            </w:r>
            <w:r w:rsidR="00870FD0">
              <w:rPr>
                <w:sz w:val="18"/>
                <w:szCs w:val="18"/>
              </w:rPr>
              <w:t>.</w:t>
            </w:r>
            <w:r w:rsidRPr="00C13CCF">
              <w:rPr>
                <w:sz w:val="18"/>
                <w:szCs w:val="18"/>
              </w:rPr>
              <w:t xml:space="preserve"> </w:t>
            </w:r>
            <w:proofErr w:type="gramStart"/>
            <w:r w:rsidRPr="00C13CCF">
              <w:rPr>
                <w:sz w:val="18"/>
                <w:szCs w:val="18"/>
              </w:rPr>
              <w:t>beban</w:t>
            </w:r>
            <w:proofErr w:type="gramEnd"/>
            <w:r w:rsidRPr="00C13CCF">
              <w:rPr>
                <w:sz w:val="18"/>
                <w:szCs w:val="18"/>
              </w:rPr>
              <w:t xml:space="preserve"> atau penghasilan terkait pada saat entitas telah menerima atau membayar imbalan di muka dalam valuta asing.</w:t>
            </w:r>
          </w:p>
        </w:tc>
        <w:tc>
          <w:tcPr>
            <w:tcW w:w="4598" w:type="dxa"/>
          </w:tcPr>
          <w:p w14:paraId="00C9CECB" w14:textId="0E28DF19" w:rsidR="00417FDB" w:rsidRPr="00C13CCF" w:rsidRDefault="00417FDB" w:rsidP="00070D1F">
            <w:pPr>
              <w:pStyle w:val="ListParagraph"/>
              <w:numPr>
                <w:ilvl w:val="0"/>
                <w:numId w:val="190"/>
              </w:numPr>
              <w:ind w:left="856" w:right="-57" w:hanging="284"/>
              <w:contextualSpacing/>
              <w:jc w:val="both"/>
              <w:rPr>
                <w:bCs w:val="0"/>
                <w:i/>
                <w:sz w:val="18"/>
                <w:szCs w:val="18"/>
              </w:rPr>
            </w:pPr>
            <w:r w:rsidRPr="00C13CCF">
              <w:rPr>
                <w:bCs w:val="0"/>
                <w:i/>
                <w:sz w:val="18"/>
                <w:szCs w:val="18"/>
              </w:rPr>
              <w:t>ISAK</w:t>
            </w:r>
            <w:r w:rsidR="00C13CCF">
              <w:rPr>
                <w:bCs w:val="0"/>
                <w:i/>
                <w:sz w:val="18"/>
                <w:szCs w:val="18"/>
              </w:rPr>
              <w:t xml:space="preserve"> No.</w:t>
            </w:r>
            <w:r w:rsidRPr="00C13CCF">
              <w:rPr>
                <w:bCs w:val="0"/>
                <w:i/>
                <w:sz w:val="18"/>
                <w:szCs w:val="18"/>
              </w:rPr>
              <w:t xml:space="preserve"> 33 "Transactions of Foreign Exchange and Advances in Advance"</w:t>
            </w:r>
            <w:r w:rsidR="00870FD0">
              <w:rPr>
                <w:bCs w:val="0"/>
                <w:i/>
                <w:sz w:val="18"/>
                <w:szCs w:val="18"/>
              </w:rPr>
              <w:t>.</w:t>
            </w:r>
            <w:r w:rsidRPr="00C13CCF">
              <w:rPr>
                <w:bCs w:val="0"/>
                <w:i/>
                <w:sz w:val="18"/>
                <w:szCs w:val="18"/>
              </w:rPr>
              <w:t xml:space="preserve"> ISAK </w:t>
            </w:r>
            <w:r w:rsidR="00C13CCF" w:rsidRPr="00C13CCF">
              <w:rPr>
                <w:i/>
                <w:iCs/>
                <w:sz w:val="18"/>
                <w:szCs w:val="18"/>
              </w:rPr>
              <w:t>No.</w:t>
            </w:r>
            <w:r w:rsidR="00C13CCF">
              <w:rPr>
                <w:sz w:val="18"/>
                <w:szCs w:val="18"/>
              </w:rPr>
              <w:t xml:space="preserve"> </w:t>
            </w:r>
            <w:r w:rsidRPr="00C13CCF">
              <w:rPr>
                <w:bCs w:val="0"/>
                <w:i/>
                <w:sz w:val="18"/>
                <w:szCs w:val="18"/>
              </w:rPr>
              <w:t>33 clarifies the use of transaction dates to determine the exchange rates used in the initial recognition of assets</w:t>
            </w:r>
            <w:r w:rsidR="00870FD0">
              <w:rPr>
                <w:bCs w:val="0"/>
                <w:i/>
                <w:sz w:val="18"/>
                <w:szCs w:val="18"/>
              </w:rPr>
              <w:t>.</w:t>
            </w:r>
            <w:r w:rsidRPr="00C13CCF">
              <w:rPr>
                <w:bCs w:val="0"/>
                <w:i/>
                <w:sz w:val="18"/>
                <w:szCs w:val="18"/>
              </w:rPr>
              <w:t xml:space="preserve"> </w:t>
            </w:r>
            <w:proofErr w:type="gramStart"/>
            <w:r w:rsidRPr="00C13CCF">
              <w:rPr>
                <w:bCs w:val="0"/>
                <w:i/>
                <w:sz w:val="18"/>
                <w:szCs w:val="18"/>
              </w:rPr>
              <w:t>expenses</w:t>
            </w:r>
            <w:proofErr w:type="gramEnd"/>
            <w:r w:rsidRPr="00C13CCF">
              <w:rPr>
                <w:bCs w:val="0"/>
                <w:i/>
                <w:sz w:val="18"/>
                <w:szCs w:val="18"/>
              </w:rPr>
              <w:t xml:space="preserve"> or related income when the entity has received or paid benefits in advance in foreign currency.</w:t>
            </w:r>
          </w:p>
          <w:p w14:paraId="4EE16B3C" w14:textId="1B2BF7B0" w:rsidR="00EA498A" w:rsidRPr="00C13CCF" w:rsidRDefault="00EA498A" w:rsidP="00417FDB">
            <w:pPr>
              <w:autoSpaceDE w:val="0"/>
              <w:autoSpaceDN w:val="0"/>
              <w:adjustRightInd w:val="0"/>
              <w:ind w:left="833" w:right="-57" w:hanging="227"/>
              <w:jc w:val="both"/>
              <w:rPr>
                <w:bCs w:val="0"/>
                <w:i/>
                <w:sz w:val="18"/>
                <w:szCs w:val="18"/>
              </w:rPr>
            </w:pPr>
          </w:p>
        </w:tc>
      </w:tr>
      <w:tr w:rsidR="00A03CF8" w:rsidRPr="00C13CCF" w14:paraId="2F37994C" w14:textId="77777777" w:rsidTr="00A93805">
        <w:tc>
          <w:tcPr>
            <w:tcW w:w="4598" w:type="dxa"/>
          </w:tcPr>
          <w:p w14:paraId="5E9FFC82" w14:textId="77777777" w:rsidR="00A03CF8" w:rsidRPr="00C13CCF" w:rsidRDefault="00A03CF8" w:rsidP="0013526B">
            <w:pPr>
              <w:pStyle w:val="ListParagraph"/>
              <w:ind w:left="833" w:right="-57"/>
              <w:contextualSpacing/>
              <w:jc w:val="both"/>
              <w:rPr>
                <w:bCs w:val="0"/>
                <w:sz w:val="12"/>
                <w:szCs w:val="18"/>
              </w:rPr>
            </w:pPr>
          </w:p>
        </w:tc>
        <w:tc>
          <w:tcPr>
            <w:tcW w:w="4598" w:type="dxa"/>
          </w:tcPr>
          <w:p w14:paraId="3AA6E1F7" w14:textId="77777777" w:rsidR="00A03CF8" w:rsidRPr="00C13CCF" w:rsidRDefault="00A03CF8" w:rsidP="0013526B">
            <w:pPr>
              <w:pStyle w:val="ListParagraph"/>
              <w:ind w:left="833" w:right="-57"/>
              <w:contextualSpacing/>
              <w:jc w:val="both"/>
              <w:rPr>
                <w:bCs w:val="0"/>
                <w:i/>
                <w:sz w:val="12"/>
                <w:szCs w:val="18"/>
              </w:rPr>
            </w:pPr>
          </w:p>
        </w:tc>
      </w:tr>
      <w:tr w:rsidR="00153CA7" w:rsidRPr="00A93805" w14:paraId="31801C5C" w14:textId="77777777" w:rsidTr="00A93805">
        <w:tc>
          <w:tcPr>
            <w:tcW w:w="4598" w:type="dxa"/>
          </w:tcPr>
          <w:p w14:paraId="76F62305" w14:textId="0D5FD983" w:rsidR="00153CA7" w:rsidRPr="00C13CCF" w:rsidRDefault="00417FDB" w:rsidP="00070D1F">
            <w:pPr>
              <w:numPr>
                <w:ilvl w:val="0"/>
                <w:numId w:val="190"/>
              </w:numPr>
              <w:autoSpaceDE w:val="0"/>
              <w:autoSpaceDN w:val="0"/>
              <w:adjustRightInd w:val="0"/>
              <w:ind w:left="918" w:hanging="284"/>
              <w:jc w:val="both"/>
              <w:rPr>
                <w:bCs w:val="0"/>
                <w:sz w:val="18"/>
                <w:szCs w:val="18"/>
              </w:rPr>
            </w:pPr>
            <w:r w:rsidRPr="00C13CCF">
              <w:rPr>
                <w:sz w:val="18"/>
                <w:szCs w:val="18"/>
              </w:rPr>
              <w:t xml:space="preserve">ISAK </w:t>
            </w:r>
            <w:r w:rsidR="00C13CCF">
              <w:rPr>
                <w:sz w:val="18"/>
                <w:szCs w:val="18"/>
              </w:rPr>
              <w:t xml:space="preserve">No. </w:t>
            </w:r>
            <w:r w:rsidRPr="00C13CCF">
              <w:rPr>
                <w:sz w:val="18"/>
                <w:szCs w:val="18"/>
              </w:rPr>
              <w:t>34 “Ketidakpastian dalam Perlakuan Pajak Penghasilan”</w:t>
            </w:r>
            <w:r w:rsidR="00870FD0">
              <w:rPr>
                <w:sz w:val="18"/>
                <w:szCs w:val="18"/>
              </w:rPr>
              <w:t>.</w:t>
            </w:r>
            <w:r w:rsidRPr="00C13CCF">
              <w:rPr>
                <w:sz w:val="18"/>
                <w:szCs w:val="18"/>
              </w:rPr>
              <w:t xml:space="preserve"> ISAK</w:t>
            </w:r>
            <w:r w:rsidR="00C13CCF">
              <w:rPr>
                <w:sz w:val="18"/>
                <w:szCs w:val="18"/>
              </w:rPr>
              <w:t xml:space="preserve"> No. </w:t>
            </w:r>
            <w:r w:rsidRPr="00C13CCF">
              <w:rPr>
                <w:sz w:val="18"/>
                <w:szCs w:val="18"/>
              </w:rPr>
              <w:t>34 mengklarifikasi dan memberikan panduan dalam merefleksikan ketidakpastian perlakuan pajak penghasilan dalam laporan keuangan.</w:t>
            </w:r>
          </w:p>
        </w:tc>
        <w:tc>
          <w:tcPr>
            <w:tcW w:w="4598" w:type="dxa"/>
          </w:tcPr>
          <w:p w14:paraId="5BAA5B5E" w14:textId="6D587A8B" w:rsidR="00153CA7" w:rsidRPr="00C13CCF" w:rsidRDefault="001B28FD" w:rsidP="001B28FD">
            <w:pPr>
              <w:pStyle w:val="ListParagraph"/>
              <w:ind w:left="833" w:right="-57" w:hanging="227"/>
              <w:contextualSpacing/>
              <w:jc w:val="both"/>
              <w:rPr>
                <w:bCs w:val="0"/>
                <w:i/>
                <w:sz w:val="18"/>
                <w:szCs w:val="18"/>
              </w:rPr>
            </w:pPr>
            <w:r w:rsidRPr="00C13CCF">
              <w:rPr>
                <w:bCs w:val="0"/>
                <w:i/>
                <w:sz w:val="18"/>
                <w:szCs w:val="18"/>
              </w:rPr>
              <w:t>-</w:t>
            </w:r>
            <w:r w:rsidRPr="00C13CCF">
              <w:rPr>
                <w:bCs w:val="0"/>
                <w:i/>
                <w:sz w:val="18"/>
                <w:szCs w:val="18"/>
              </w:rPr>
              <w:tab/>
            </w:r>
            <w:r w:rsidR="00417FDB" w:rsidRPr="00C13CCF">
              <w:rPr>
                <w:i/>
                <w:sz w:val="18"/>
                <w:szCs w:val="18"/>
              </w:rPr>
              <w:t>ISAK</w:t>
            </w:r>
            <w:r w:rsidR="00C13CCF">
              <w:rPr>
                <w:sz w:val="18"/>
                <w:szCs w:val="18"/>
              </w:rPr>
              <w:t xml:space="preserve"> </w:t>
            </w:r>
            <w:r w:rsidR="00C13CCF" w:rsidRPr="00C13CCF">
              <w:rPr>
                <w:i/>
                <w:iCs/>
                <w:sz w:val="18"/>
                <w:szCs w:val="18"/>
              </w:rPr>
              <w:t>No.</w:t>
            </w:r>
            <w:r w:rsidR="00C13CCF">
              <w:rPr>
                <w:i/>
                <w:sz w:val="18"/>
                <w:szCs w:val="18"/>
              </w:rPr>
              <w:t xml:space="preserve"> </w:t>
            </w:r>
            <w:r w:rsidR="00417FDB" w:rsidRPr="00C13CCF">
              <w:rPr>
                <w:i/>
                <w:sz w:val="18"/>
                <w:szCs w:val="18"/>
              </w:rPr>
              <w:t>34 "Uncertainty in Income Tax Treatment"</w:t>
            </w:r>
            <w:r w:rsidR="00870FD0">
              <w:rPr>
                <w:i/>
                <w:sz w:val="18"/>
                <w:szCs w:val="18"/>
              </w:rPr>
              <w:t>.</w:t>
            </w:r>
            <w:r w:rsidR="00417FDB" w:rsidRPr="00C13CCF">
              <w:rPr>
                <w:i/>
                <w:sz w:val="18"/>
                <w:szCs w:val="18"/>
              </w:rPr>
              <w:t xml:space="preserve"> ISAK</w:t>
            </w:r>
            <w:r w:rsidR="00C13CCF">
              <w:rPr>
                <w:i/>
                <w:sz w:val="18"/>
                <w:szCs w:val="18"/>
              </w:rPr>
              <w:t xml:space="preserve"> </w:t>
            </w:r>
            <w:r w:rsidR="00C13CCF" w:rsidRPr="00C13CCF">
              <w:rPr>
                <w:i/>
                <w:iCs/>
                <w:sz w:val="18"/>
                <w:szCs w:val="18"/>
              </w:rPr>
              <w:t>No.</w:t>
            </w:r>
            <w:r w:rsidR="00C13CCF">
              <w:rPr>
                <w:sz w:val="18"/>
                <w:szCs w:val="18"/>
              </w:rPr>
              <w:t xml:space="preserve"> </w:t>
            </w:r>
            <w:r w:rsidR="00417FDB" w:rsidRPr="00C13CCF">
              <w:rPr>
                <w:i/>
                <w:sz w:val="18"/>
                <w:szCs w:val="18"/>
              </w:rPr>
              <w:t xml:space="preserve"> 34 clarifies and provides guidance in reflecting the uncertainty of income tax treatment in financial statements.</w:t>
            </w:r>
          </w:p>
        </w:tc>
      </w:tr>
      <w:tr w:rsidR="00153CA7" w:rsidRPr="00A93805" w14:paraId="19A9448E" w14:textId="77777777" w:rsidTr="00A93805">
        <w:tc>
          <w:tcPr>
            <w:tcW w:w="4598" w:type="dxa"/>
          </w:tcPr>
          <w:p w14:paraId="6044AE06" w14:textId="77777777" w:rsidR="00153CA7" w:rsidRPr="00A93805" w:rsidRDefault="00153CA7" w:rsidP="0013526B">
            <w:pPr>
              <w:pStyle w:val="ListParagraph"/>
              <w:ind w:left="833" w:right="-57"/>
              <w:contextualSpacing/>
              <w:jc w:val="both"/>
              <w:rPr>
                <w:bCs w:val="0"/>
                <w:sz w:val="12"/>
                <w:szCs w:val="18"/>
                <w:highlight w:val="cyan"/>
              </w:rPr>
            </w:pPr>
          </w:p>
        </w:tc>
        <w:tc>
          <w:tcPr>
            <w:tcW w:w="4598" w:type="dxa"/>
          </w:tcPr>
          <w:p w14:paraId="45D50EE5" w14:textId="77777777" w:rsidR="00153CA7" w:rsidRPr="00A93805" w:rsidRDefault="00153CA7" w:rsidP="0013526B">
            <w:pPr>
              <w:pStyle w:val="ListParagraph"/>
              <w:ind w:left="833" w:right="-57"/>
              <w:contextualSpacing/>
              <w:jc w:val="both"/>
              <w:rPr>
                <w:bCs w:val="0"/>
                <w:sz w:val="12"/>
                <w:szCs w:val="18"/>
                <w:highlight w:val="cyan"/>
              </w:rPr>
            </w:pPr>
          </w:p>
        </w:tc>
      </w:tr>
      <w:tr w:rsidR="00417FDB" w:rsidRPr="00C13CCF" w14:paraId="3949FD02" w14:textId="77777777" w:rsidTr="00A93805">
        <w:tc>
          <w:tcPr>
            <w:tcW w:w="4598" w:type="dxa"/>
          </w:tcPr>
          <w:p w14:paraId="0300C6EA" w14:textId="2F664A97" w:rsidR="00417FDB" w:rsidRPr="00C13CCF" w:rsidRDefault="00417FDB" w:rsidP="00070D1F">
            <w:pPr>
              <w:numPr>
                <w:ilvl w:val="0"/>
                <w:numId w:val="188"/>
              </w:numPr>
              <w:ind w:left="602" w:hanging="284"/>
              <w:jc w:val="both"/>
              <w:rPr>
                <w:rFonts w:eastAsia="Calibri"/>
                <w:b/>
                <w:color w:val="000000"/>
                <w:sz w:val="18"/>
                <w:szCs w:val="18"/>
              </w:rPr>
            </w:pPr>
            <w:r w:rsidRPr="00C13CCF">
              <w:rPr>
                <w:rFonts w:eastAsia="Calibri"/>
                <w:b/>
                <w:color w:val="000000"/>
                <w:sz w:val="18"/>
                <w:szCs w:val="18"/>
              </w:rPr>
              <w:t>Interpretasi Standar Akuntansi Keuangan (ISAK) yang Diterbitkan Namun Belum Berlaku Efektif Dalam Tahun Berjalan (pada atau setelah 1 Januari  20</w:t>
            </w:r>
            <w:r w:rsidRPr="00C13CCF">
              <w:rPr>
                <w:rFonts w:eastAsia="Calibri"/>
                <w:b/>
                <w:color w:val="000000"/>
                <w:sz w:val="18"/>
                <w:szCs w:val="18"/>
                <w:lang w:val="id-ID"/>
              </w:rPr>
              <w:t>20</w:t>
            </w:r>
            <w:r w:rsidRPr="00C13CCF">
              <w:rPr>
                <w:rFonts w:eastAsia="Calibri"/>
                <w:b/>
                <w:color w:val="000000"/>
                <w:sz w:val="18"/>
                <w:szCs w:val="18"/>
              </w:rPr>
              <w:t>)</w:t>
            </w:r>
          </w:p>
        </w:tc>
        <w:tc>
          <w:tcPr>
            <w:tcW w:w="4598" w:type="dxa"/>
          </w:tcPr>
          <w:p w14:paraId="4FDBAB5D" w14:textId="2C0F2E66" w:rsidR="00417FDB" w:rsidRPr="00C13CCF" w:rsidRDefault="00417FDB" w:rsidP="00070D1F">
            <w:pPr>
              <w:numPr>
                <w:ilvl w:val="0"/>
                <w:numId w:val="189"/>
              </w:numPr>
              <w:autoSpaceDE w:val="0"/>
              <w:autoSpaceDN w:val="0"/>
              <w:adjustRightInd w:val="0"/>
              <w:ind w:left="601" w:hanging="284"/>
              <w:jc w:val="both"/>
              <w:rPr>
                <w:rFonts w:eastAsia="Calibri"/>
                <w:b/>
                <w:i/>
                <w:color w:val="000000"/>
                <w:sz w:val="18"/>
                <w:szCs w:val="18"/>
              </w:rPr>
            </w:pPr>
            <w:r w:rsidRPr="00C13CCF">
              <w:rPr>
                <w:rFonts w:eastAsia="Calibri"/>
                <w:b/>
                <w:i/>
                <w:color w:val="000000"/>
                <w:sz w:val="18"/>
                <w:szCs w:val="18"/>
              </w:rPr>
              <w:t>Interpretation to Financial Accounting Standards (ISAK) Issued but not Effective in the Current Year (on or after January 1</w:t>
            </w:r>
            <w:r w:rsidR="00870FD0">
              <w:rPr>
                <w:rFonts w:eastAsia="Calibri"/>
                <w:b/>
                <w:i/>
                <w:color w:val="000000"/>
                <w:sz w:val="18"/>
                <w:szCs w:val="18"/>
              </w:rPr>
              <w:t>.</w:t>
            </w:r>
            <w:r w:rsidRPr="00C13CCF">
              <w:rPr>
                <w:rFonts w:eastAsia="Calibri"/>
                <w:b/>
                <w:i/>
                <w:color w:val="000000"/>
                <w:sz w:val="18"/>
                <w:szCs w:val="18"/>
              </w:rPr>
              <w:t xml:space="preserve"> 20</w:t>
            </w:r>
            <w:r w:rsidRPr="00C13CCF">
              <w:rPr>
                <w:rFonts w:eastAsia="Calibri"/>
                <w:b/>
                <w:i/>
                <w:color w:val="000000"/>
                <w:sz w:val="18"/>
                <w:szCs w:val="18"/>
                <w:lang w:val="id-ID"/>
              </w:rPr>
              <w:t>20</w:t>
            </w:r>
            <w:r w:rsidRPr="00C13CCF">
              <w:rPr>
                <w:rFonts w:eastAsia="Calibri"/>
                <w:b/>
                <w:i/>
                <w:color w:val="000000"/>
                <w:sz w:val="18"/>
                <w:szCs w:val="18"/>
              </w:rPr>
              <w:t>)</w:t>
            </w:r>
          </w:p>
        </w:tc>
      </w:tr>
    </w:tbl>
    <w:p w14:paraId="1B74EDE8" w14:textId="40E7C78A" w:rsidR="007678C1" w:rsidRPr="00C13CCF" w:rsidRDefault="007678C1" w:rsidP="0013526B">
      <w:pPr>
        <w:rPr>
          <w:sz w:val="4"/>
          <w:szCs w:val="18"/>
          <w:lang w:val="id-ID"/>
        </w:rPr>
      </w:pPr>
    </w:p>
    <w:p w14:paraId="0B4377E9" w14:textId="71933DDA" w:rsidR="007678C1" w:rsidRPr="00C13CCF" w:rsidRDefault="007678C1" w:rsidP="00417FDB">
      <w:pPr>
        <w:rPr>
          <w:sz w:val="12"/>
          <w:szCs w:val="18"/>
          <w:lang w:val="id-ID"/>
        </w:rPr>
      </w:pPr>
    </w:p>
    <w:tbl>
      <w:tblPr>
        <w:tblW w:w="9197" w:type="dxa"/>
        <w:tblInd w:w="392" w:type="dxa"/>
        <w:tblLayout w:type="fixed"/>
        <w:tblLook w:val="0000" w:firstRow="0" w:lastRow="0" w:firstColumn="0" w:lastColumn="0" w:noHBand="0" w:noVBand="0"/>
      </w:tblPr>
      <w:tblGrid>
        <w:gridCol w:w="4599"/>
        <w:gridCol w:w="4598"/>
      </w:tblGrid>
      <w:tr w:rsidR="007678C1" w:rsidRPr="00C13CCF" w14:paraId="21E9BED1" w14:textId="77777777" w:rsidTr="00146CD1">
        <w:tc>
          <w:tcPr>
            <w:tcW w:w="4706" w:type="dxa"/>
          </w:tcPr>
          <w:p w14:paraId="5786A903" w14:textId="205DA888" w:rsidR="007678C1" w:rsidRPr="00C13CCF" w:rsidRDefault="00417FDB" w:rsidP="00146CD1">
            <w:pPr>
              <w:autoSpaceDE w:val="0"/>
              <w:autoSpaceDN w:val="0"/>
              <w:adjustRightInd w:val="0"/>
              <w:ind w:left="601"/>
              <w:jc w:val="both"/>
              <w:rPr>
                <w:rFonts w:eastAsia="Calibri"/>
                <w:sz w:val="18"/>
                <w:szCs w:val="18"/>
              </w:rPr>
            </w:pPr>
            <w:r w:rsidRPr="00C13CCF">
              <w:rPr>
                <w:rFonts w:eastAsia="Calibri"/>
                <w:color w:val="000000"/>
                <w:sz w:val="18"/>
                <w:szCs w:val="18"/>
              </w:rPr>
              <w:t>Berikut ini SAK dan ISAK baru dan revisi termasuk pengesahan amandemen dan penyesuaian yang berlaku pada atau setelah tanggal 1 Januari 2020:</w:t>
            </w:r>
          </w:p>
        </w:tc>
        <w:tc>
          <w:tcPr>
            <w:tcW w:w="4706" w:type="dxa"/>
          </w:tcPr>
          <w:p w14:paraId="640EAC02" w14:textId="3BEDCD8F" w:rsidR="007678C1" w:rsidRPr="00C13CCF" w:rsidRDefault="00417FDB" w:rsidP="00CC2E72">
            <w:pPr>
              <w:autoSpaceDE w:val="0"/>
              <w:autoSpaceDN w:val="0"/>
              <w:adjustRightInd w:val="0"/>
              <w:ind w:left="615"/>
              <w:jc w:val="both"/>
              <w:rPr>
                <w:rFonts w:eastAsia="Calibri"/>
                <w:i/>
                <w:iCs/>
                <w:sz w:val="18"/>
                <w:szCs w:val="18"/>
              </w:rPr>
            </w:pPr>
            <w:r w:rsidRPr="00C13CCF">
              <w:rPr>
                <w:rFonts w:eastAsia="Calibri"/>
                <w:i/>
                <w:iCs/>
                <w:color w:val="000000"/>
                <w:sz w:val="18"/>
                <w:szCs w:val="18"/>
              </w:rPr>
              <w:t xml:space="preserve">Following are the new and revised SAKs and ISAKs </w:t>
            </w:r>
            <w:proofErr w:type="gramStart"/>
            <w:r w:rsidRPr="00C13CCF">
              <w:rPr>
                <w:rFonts w:eastAsia="Calibri"/>
                <w:i/>
                <w:iCs/>
                <w:color w:val="000000"/>
                <w:sz w:val="18"/>
                <w:szCs w:val="18"/>
              </w:rPr>
              <w:t>including  amendments</w:t>
            </w:r>
            <w:proofErr w:type="gramEnd"/>
            <w:r w:rsidRPr="00C13CCF">
              <w:rPr>
                <w:rFonts w:eastAsia="Calibri"/>
                <w:i/>
                <w:iCs/>
                <w:color w:val="000000"/>
                <w:sz w:val="18"/>
                <w:szCs w:val="18"/>
              </w:rPr>
              <w:t xml:space="preserve"> and annual improvements applicable on or after January 1</w:t>
            </w:r>
            <w:r w:rsidR="00870FD0">
              <w:rPr>
                <w:rFonts w:eastAsia="Calibri"/>
                <w:i/>
                <w:iCs/>
                <w:color w:val="000000"/>
                <w:sz w:val="18"/>
                <w:szCs w:val="18"/>
              </w:rPr>
              <w:t>.</w:t>
            </w:r>
            <w:r w:rsidRPr="00C13CCF">
              <w:rPr>
                <w:rFonts w:eastAsia="Calibri"/>
                <w:i/>
                <w:iCs/>
                <w:color w:val="000000"/>
                <w:sz w:val="18"/>
                <w:szCs w:val="18"/>
              </w:rPr>
              <w:t xml:space="preserve"> 2020:</w:t>
            </w:r>
          </w:p>
        </w:tc>
      </w:tr>
      <w:tr w:rsidR="007678C1" w:rsidRPr="00C13CCF" w14:paraId="2BA3CCE0" w14:textId="77777777" w:rsidTr="00146CD1">
        <w:tc>
          <w:tcPr>
            <w:tcW w:w="4706" w:type="dxa"/>
          </w:tcPr>
          <w:p w14:paraId="1F4A1598" w14:textId="77777777" w:rsidR="007678C1" w:rsidRPr="00C13CCF" w:rsidRDefault="007678C1" w:rsidP="003903E3">
            <w:pPr>
              <w:autoSpaceDE w:val="0"/>
              <w:autoSpaceDN w:val="0"/>
              <w:adjustRightInd w:val="0"/>
              <w:ind w:left="709" w:right="113"/>
              <w:jc w:val="both"/>
              <w:rPr>
                <w:rFonts w:eastAsia="Calibri"/>
                <w:sz w:val="12"/>
                <w:szCs w:val="18"/>
              </w:rPr>
            </w:pPr>
          </w:p>
        </w:tc>
        <w:tc>
          <w:tcPr>
            <w:tcW w:w="4706" w:type="dxa"/>
          </w:tcPr>
          <w:p w14:paraId="782B2E80" w14:textId="77777777" w:rsidR="007678C1" w:rsidRPr="00C13CCF" w:rsidRDefault="007678C1" w:rsidP="003903E3">
            <w:pPr>
              <w:tabs>
                <w:tab w:val="left" w:pos="704"/>
              </w:tabs>
              <w:autoSpaceDE w:val="0"/>
              <w:autoSpaceDN w:val="0"/>
              <w:adjustRightInd w:val="0"/>
              <w:ind w:left="677" w:right="74"/>
              <w:jc w:val="both"/>
              <w:rPr>
                <w:rFonts w:eastAsia="Calibri"/>
                <w:i/>
                <w:sz w:val="12"/>
                <w:szCs w:val="18"/>
              </w:rPr>
            </w:pPr>
          </w:p>
        </w:tc>
      </w:tr>
      <w:tr w:rsidR="00417FDB" w:rsidRPr="00C13CCF" w14:paraId="78B71523" w14:textId="77777777" w:rsidTr="00146CD1">
        <w:tc>
          <w:tcPr>
            <w:tcW w:w="4706" w:type="dxa"/>
          </w:tcPr>
          <w:p w14:paraId="68FBF3AD" w14:textId="414E2797" w:rsidR="00417FDB" w:rsidRPr="00C13CCF" w:rsidRDefault="00417FDB" w:rsidP="00070D1F">
            <w:pPr>
              <w:numPr>
                <w:ilvl w:val="0"/>
                <w:numId w:val="190"/>
              </w:numPr>
              <w:autoSpaceDE w:val="0"/>
              <w:autoSpaceDN w:val="0"/>
              <w:adjustRightInd w:val="0"/>
              <w:ind w:left="918" w:hanging="284"/>
              <w:jc w:val="both"/>
              <w:rPr>
                <w:sz w:val="18"/>
                <w:szCs w:val="18"/>
              </w:rPr>
            </w:pPr>
            <w:r w:rsidRPr="00C13CCF">
              <w:rPr>
                <w:sz w:val="18"/>
                <w:szCs w:val="18"/>
              </w:rPr>
              <w:t xml:space="preserve">Amendemen PSAK </w:t>
            </w:r>
            <w:r w:rsidR="00C13CCF">
              <w:rPr>
                <w:sz w:val="18"/>
                <w:szCs w:val="18"/>
              </w:rPr>
              <w:t xml:space="preserve">No. </w:t>
            </w:r>
            <w:r w:rsidRPr="00C13CCF">
              <w:rPr>
                <w:sz w:val="18"/>
                <w:szCs w:val="18"/>
              </w:rPr>
              <w:t xml:space="preserve">15 “Investasi pada Entitas Asosiasi dan Ventura Bersama tentang Kepentingan Jangka Panjang pada Entitas Asosiasi dan Ventura Bersama”. Amendemen PSAK </w:t>
            </w:r>
            <w:r w:rsidR="00C13CCF">
              <w:rPr>
                <w:sz w:val="18"/>
                <w:szCs w:val="18"/>
              </w:rPr>
              <w:t xml:space="preserve">No. </w:t>
            </w:r>
            <w:r w:rsidRPr="00C13CCF">
              <w:rPr>
                <w:sz w:val="18"/>
                <w:szCs w:val="18"/>
              </w:rPr>
              <w:t xml:space="preserve">15 menambahkan paragraf 14A sehingga mengatur bahwa entitas juga menerapkan PSAK </w:t>
            </w:r>
            <w:r w:rsidR="00C13CCF">
              <w:rPr>
                <w:sz w:val="18"/>
                <w:szCs w:val="18"/>
              </w:rPr>
              <w:t xml:space="preserve">No. </w:t>
            </w:r>
            <w:r w:rsidRPr="00C13CCF">
              <w:rPr>
                <w:sz w:val="18"/>
                <w:szCs w:val="18"/>
              </w:rPr>
              <w:t xml:space="preserve">71 atas instrumen keuangan pada entitas asosiasi atau </w:t>
            </w:r>
            <w:proofErr w:type="gramStart"/>
            <w:r w:rsidRPr="00C13CCF">
              <w:rPr>
                <w:sz w:val="18"/>
                <w:szCs w:val="18"/>
              </w:rPr>
              <w:t>ventura</w:t>
            </w:r>
            <w:proofErr w:type="gramEnd"/>
            <w:r w:rsidRPr="00C13CCF">
              <w:rPr>
                <w:sz w:val="18"/>
                <w:szCs w:val="18"/>
              </w:rPr>
              <w:t xml:space="preserve"> bersama dimana metode ekuitas tidak diterapkan. Hal ini termasuk kepentingan jangka panjang yang secara substansi membentuk bagian investasi neto entitas pada entitas asosiasi atau </w:t>
            </w:r>
            <w:proofErr w:type="gramStart"/>
            <w:r w:rsidRPr="00C13CCF">
              <w:rPr>
                <w:sz w:val="18"/>
                <w:szCs w:val="18"/>
              </w:rPr>
              <w:t>ventura</w:t>
            </w:r>
            <w:proofErr w:type="gramEnd"/>
            <w:r w:rsidRPr="00C13CCF">
              <w:rPr>
                <w:sz w:val="18"/>
                <w:szCs w:val="18"/>
              </w:rPr>
              <w:t xml:space="preserve"> bersama sebagaimana dimaksud dalam PSAK </w:t>
            </w:r>
            <w:r w:rsidR="00C13CCF">
              <w:rPr>
                <w:sz w:val="18"/>
                <w:szCs w:val="18"/>
              </w:rPr>
              <w:t xml:space="preserve">No. </w:t>
            </w:r>
            <w:r w:rsidRPr="00C13CCF">
              <w:rPr>
                <w:sz w:val="18"/>
                <w:szCs w:val="18"/>
              </w:rPr>
              <w:t>15 paragraf 38.</w:t>
            </w:r>
          </w:p>
        </w:tc>
        <w:tc>
          <w:tcPr>
            <w:tcW w:w="4706" w:type="dxa"/>
          </w:tcPr>
          <w:p w14:paraId="24C01A20" w14:textId="7E8699BE" w:rsidR="00417FDB" w:rsidRPr="00C13CCF" w:rsidRDefault="00417FDB" w:rsidP="00070D1F">
            <w:pPr>
              <w:pStyle w:val="ListParagraph"/>
              <w:numPr>
                <w:ilvl w:val="0"/>
                <w:numId w:val="190"/>
              </w:numPr>
              <w:ind w:left="856" w:right="-57" w:hanging="284"/>
              <w:contextualSpacing/>
              <w:jc w:val="both"/>
              <w:rPr>
                <w:bCs w:val="0"/>
                <w:i/>
                <w:sz w:val="18"/>
                <w:szCs w:val="18"/>
              </w:rPr>
            </w:pPr>
            <w:r w:rsidRPr="00C13CCF">
              <w:rPr>
                <w:bCs w:val="0"/>
                <w:i/>
                <w:sz w:val="18"/>
                <w:szCs w:val="18"/>
              </w:rPr>
              <w:t>Amendment to PSAK</w:t>
            </w:r>
            <w:r w:rsidR="00C13CCF">
              <w:rPr>
                <w:sz w:val="18"/>
                <w:szCs w:val="18"/>
              </w:rPr>
              <w:t xml:space="preserve"> </w:t>
            </w:r>
            <w:r w:rsidR="00C13CCF" w:rsidRPr="00C13CCF">
              <w:rPr>
                <w:i/>
                <w:iCs/>
                <w:sz w:val="18"/>
                <w:szCs w:val="18"/>
              </w:rPr>
              <w:t>No.</w:t>
            </w:r>
            <w:r w:rsidR="00C13CCF">
              <w:rPr>
                <w:sz w:val="18"/>
                <w:szCs w:val="18"/>
              </w:rPr>
              <w:t xml:space="preserve"> </w:t>
            </w:r>
            <w:r w:rsidRPr="00C13CCF">
              <w:rPr>
                <w:bCs w:val="0"/>
                <w:i/>
                <w:sz w:val="18"/>
                <w:szCs w:val="18"/>
              </w:rPr>
              <w:t>15 "Investment in Associates and Joint Ventures concerning Long-Term Interests in Associates and Joint Ventures". Amendments to PSAK</w:t>
            </w:r>
            <w:r w:rsidR="00C13CCF">
              <w:rPr>
                <w:bCs w:val="0"/>
                <w:i/>
                <w:sz w:val="18"/>
                <w:szCs w:val="18"/>
              </w:rPr>
              <w:t xml:space="preserve"> </w:t>
            </w:r>
            <w:r w:rsidR="00C13CCF" w:rsidRPr="00C13CCF">
              <w:rPr>
                <w:i/>
                <w:iCs/>
                <w:sz w:val="18"/>
                <w:szCs w:val="18"/>
              </w:rPr>
              <w:t>No.</w:t>
            </w:r>
            <w:r w:rsidR="00C13CCF">
              <w:rPr>
                <w:sz w:val="18"/>
                <w:szCs w:val="18"/>
              </w:rPr>
              <w:t xml:space="preserve"> </w:t>
            </w:r>
            <w:r w:rsidRPr="00C13CCF">
              <w:rPr>
                <w:bCs w:val="0"/>
                <w:i/>
                <w:sz w:val="18"/>
                <w:szCs w:val="18"/>
              </w:rPr>
              <w:t>15 add paragraph 14A so that it is stipulated that the entity also applies PSAK</w:t>
            </w:r>
            <w:r w:rsidR="00C13CCF" w:rsidRPr="00C13CCF">
              <w:rPr>
                <w:i/>
                <w:iCs/>
                <w:sz w:val="18"/>
                <w:szCs w:val="18"/>
              </w:rPr>
              <w:t xml:space="preserve"> No.</w:t>
            </w:r>
            <w:r w:rsidR="00C13CCF">
              <w:rPr>
                <w:sz w:val="18"/>
                <w:szCs w:val="18"/>
              </w:rPr>
              <w:t xml:space="preserve"> </w:t>
            </w:r>
            <w:r w:rsidRPr="00C13CCF">
              <w:rPr>
                <w:bCs w:val="0"/>
                <w:i/>
                <w:sz w:val="18"/>
                <w:szCs w:val="18"/>
              </w:rPr>
              <w:t>71 to financial instruments in associates or joint ventures where the equity method is not applied. This includes long-term interests which form a substantial part of the entity's net investment in associates or joint ventures as referred to in PSAK</w:t>
            </w:r>
            <w:r w:rsidR="00C13CCF">
              <w:rPr>
                <w:bCs w:val="0"/>
                <w:i/>
                <w:sz w:val="18"/>
                <w:szCs w:val="18"/>
              </w:rPr>
              <w:t xml:space="preserve"> </w:t>
            </w:r>
            <w:r w:rsidR="00C13CCF" w:rsidRPr="00C13CCF">
              <w:rPr>
                <w:i/>
                <w:iCs/>
                <w:sz w:val="18"/>
                <w:szCs w:val="18"/>
              </w:rPr>
              <w:t>No.</w:t>
            </w:r>
            <w:r w:rsidR="00C13CCF">
              <w:rPr>
                <w:sz w:val="18"/>
                <w:szCs w:val="18"/>
              </w:rPr>
              <w:t xml:space="preserve"> </w:t>
            </w:r>
            <w:r w:rsidRPr="00C13CCF">
              <w:rPr>
                <w:bCs w:val="0"/>
                <w:i/>
                <w:sz w:val="18"/>
                <w:szCs w:val="18"/>
              </w:rPr>
              <w:t xml:space="preserve">15 </w:t>
            </w:r>
            <w:r w:rsidR="009C56F7">
              <w:rPr>
                <w:bCs w:val="0"/>
                <w:i/>
                <w:sz w:val="18"/>
                <w:szCs w:val="18"/>
              </w:rPr>
              <w:br/>
            </w:r>
            <w:r w:rsidRPr="00C13CCF">
              <w:rPr>
                <w:bCs w:val="0"/>
                <w:i/>
                <w:sz w:val="18"/>
                <w:szCs w:val="18"/>
              </w:rPr>
              <w:t>paragraph 38.</w:t>
            </w:r>
          </w:p>
        </w:tc>
      </w:tr>
    </w:tbl>
    <w:p w14:paraId="397EC2A4" w14:textId="38A1AE39" w:rsidR="00C13CCF" w:rsidRDefault="00C13CCF"/>
    <w:p w14:paraId="420E4609" w14:textId="42B41AB9" w:rsidR="003C202E" w:rsidRPr="00C13CCF" w:rsidRDefault="00C13CCF">
      <w:r>
        <w:br w:type="page"/>
      </w:r>
    </w:p>
    <w:tbl>
      <w:tblPr>
        <w:tblW w:w="9197" w:type="dxa"/>
        <w:tblInd w:w="392" w:type="dxa"/>
        <w:tblLayout w:type="fixed"/>
        <w:tblLook w:val="0000" w:firstRow="0" w:lastRow="0" w:firstColumn="0" w:lastColumn="0" w:noHBand="0" w:noVBand="0"/>
      </w:tblPr>
      <w:tblGrid>
        <w:gridCol w:w="4598"/>
        <w:gridCol w:w="4599"/>
      </w:tblGrid>
      <w:tr w:rsidR="00DD46FC" w:rsidRPr="00C13CCF" w14:paraId="48764F51" w14:textId="77777777" w:rsidTr="003C202E">
        <w:tc>
          <w:tcPr>
            <w:tcW w:w="4598" w:type="dxa"/>
          </w:tcPr>
          <w:p w14:paraId="5867CF6D" w14:textId="2CB72EBC" w:rsidR="00DD46FC" w:rsidRPr="00C13CCF" w:rsidRDefault="00DD46FC" w:rsidP="00070D1F">
            <w:pPr>
              <w:pStyle w:val="ListParagraph"/>
              <w:numPr>
                <w:ilvl w:val="0"/>
                <w:numId w:val="262"/>
              </w:numPr>
              <w:ind w:left="317" w:right="-57" w:hanging="283"/>
              <w:contextualSpacing/>
              <w:jc w:val="both"/>
              <w:rPr>
                <w:rStyle w:val="hps"/>
                <w:sz w:val="18"/>
                <w:szCs w:val="18"/>
              </w:rPr>
            </w:pPr>
            <w:r w:rsidRPr="00C13CCF">
              <w:rPr>
                <w:sz w:val="18"/>
                <w:szCs w:val="18"/>
              </w:rPr>
              <w:lastRenderedPageBreak/>
              <w:br w:type="page"/>
            </w:r>
            <w:r w:rsidRPr="00C13CCF">
              <w:rPr>
                <w:b/>
                <w:bCs w:val="0"/>
                <w:sz w:val="18"/>
                <w:szCs w:val="18"/>
              </w:rPr>
              <w:t>PENERAPAN PERNYATAAN STANDAR AKUNTANSI KEUANGAN (“PSAK”) DAN INTERPRETASI STANDAR AKUNTANSI KEUANGAN (“ISAK”) BARU DAN REVISI</w:t>
            </w:r>
            <w:r w:rsidRPr="00C13CCF">
              <w:rPr>
                <w:b/>
                <w:bCs w:val="0"/>
                <w:sz w:val="18"/>
                <w:szCs w:val="18"/>
                <w:lang w:val="id-ID"/>
              </w:rPr>
              <w:t xml:space="preserve"> </w:t>
            </w:r>
            <w:r w:rsidR="006A55F7">
              <w:rPr>
                <w:b/>
                <w:bCs w:val="0"/>
                <w:sz w:val="18"/>
                <w:szCs w:val="18"/>
                <w:lang w:val="id-ID"/>
              </w:rPr>
              <w:t>–</w:t>
            </w:r>
            <w:r w:rsidRPr="00C13CCF">
              <w:rPr>
                <w:b/>
                <w:bCs w:val="0"/>
                <w:sz w:val="18"/>
                <w:szCs w:val="18"/>
                <w:lang w:val="id-ID"/>
              </w:rPr>
              <w:t xml:space="preserve"> Lanjutan</w:t>
            </w:r>
          </w:p>
        </w:tc>
        <w:tc>
          <w:tcPr>
            <w:tcW w:w="4599" w:type="dxa"/>
          </w:tcPr>
          <w:p w14:paraId="218D655C" w14:textId="60ACECE9" w:rsidR="00DD46FC" w:rsidRPr="00C13CCF" w:rsidRDefault="00DD46FC" w:rsidP="00070D1F">
            <w:pPr>
              <w:pStyle w:val="ListParagraph"/>
              <w:numPr>
                <w:ilvl w:val="0"/>
                <w:numId w:val="264"/>
              </w:numPr>
              <w:ind w:left="289" w:hanging="284"/>
              <w:contextualSpacing/>
              <w:jc w:val="both"/>
              <w:rPr>
                <w:bCs w:val="0"/>
                <w:i/>
                <w:sz w:val="18"/>
                <w:szCs w:val="18"/>
              </w:rPr>
            </w:pPr>
            <w:r w:rsidRPr="00C13CCF">
              <w:rPr>
                <w:b/>
                <w:i/>
                <w:sz w:val="18"/>
                <w:szCs w:val="18"/>
              </w:rPr>
              <w:t>ADOPTION</w:t>
            </w:r>
            <w:r w:rsidRPr="00C13CCF">
              <w:rPr>
                <w:b/>
                <w:bCs w:val="0"/>
                <w:i/>
                <w:sz w:val="18"/>
                <w:szCs w:val="18"/>
              </w:rPr>
              <w:t xml:space="preserve"> OF NEW AND REVISED STATEMENTS OF FINANCIAL ACCOUNTING STANDARDS (“PSAK”) AND INTERPRETATION TO FINANCIAL ACCOUNTING STANDARDS (“ISAK”)</w:t>
            </w:r>
            <w:r w:rsidRPr="00C13CCF">
              <w:rPr>
                <w:b/>
                <w:bCs w:val="0"/>
                <w:i/>
                <w:sz w:val="18"/>
                <w:szCs w:val="18"/>
                <w:lang w:val="id-ID"/>
              </w:rPr>
              <w:t xml:space="preserve"> - Continued</w:t>
            </w:r>
          </w:p>
        </w:tc>
      </w:tr>
    </w:tbl>
    <w:p w14:paraId="404C4ED0" w14:textId="77777777" w:rsidR="00DD46FC" w:rsidRPr="00C13CCF" w:rsidRDefault="00DD46FC">
      <w:pPr>
        <w:rPr>
          <w:sz w:val="14"/>
        </w:rPr>
      </w:pPr>
    </w:p>
    <w:tbl>
      <w:tblPr>
        <w:tblW w:w="9197" w:type="dxa"/>
        <w:tblInd w:w="392" w:type="dxa"/>
        <w:tblLayout w:type="fixed"/>
        <w:tblLook w:val="0000" w:firstRow="0" w:lastRow="0" w:firstColumn="0" w:lastColumn="0" w:noHBand="0" w:noVBand="0"/>
      </w:tblPr>
      <w:tblGrid>
        <w:gridCol w:w="4598"/>
        <w:gridCol w:w="4599"/>
      </w:tblGrid>
      <w:tr w:rsidR="00DD46FC" w:rsidRPr="00C13CCF" w14:paraId="58BC0658" w14:textId="77777777" w:rsidTr="00A93805">
        <w:tc>
          <w:tcPr>
            <w:tcW w:w="4598" w:type="dxa"/>
          </w:tcPr>
          <w:p w14:paraId="653C5518" w14:textId="6A3338A3" w:rsidR="00DD46FC" w:rsidRPr="00095D41" w:rsidRDefault="001C6325" w:rsidP="00070D1F">
            <w:pPr>
              <w:numPr>
                <w:ilvl w:val="0"/>
                <w:numId w:val="263"/>
              </w:numPr>
              <w:ind w:left="601" w:hanging="317"/>
              <w:jc w:val="both"/>
              <w:rPr>
                <w:rFonts w:eastAsia="Calibri"/>
                <w:b/>
                <w:color w:val="000000"/>
                <w:sz w:val="18"/>
                <w:szCs w:val="18"/>
              </w:rPr>
            </w:pPr>
            <w:r w:rsidRPr="00095D41">
              <w:rPr>
                <w:rFonts w:eastAsia="Calibri"/>
                <w:b/>
                <w:color w:val="000000"/>
                <w:sz w:val="18"/>
                <w:szCs w:val="18"/>
              </w:rPr>
              <w:t>Standar yang Diterbitkan dan Berlaku Efektif Dalam Tahun Berjalan (pada atau setelah</w:t>
            </w:r>
            <w:r w:rsidRPr="00095D41">
              <w:rPr>
                <w:rFonts w:eastAsia="Calibri"/>
                <w:b/>
                <w:color w:val="000000"/>
                <w:sz w:val="18"/>
                <w:szCs w:val="18"/>
              </w:rPr>
              <w:br/>
              <w:t>1 Januari 20</w:t>
            </w:r>
            <w:r w:rsidRPr="00095D41">
              <w:rPr>
                <w:rFonts w:eastAsia="Calibri"/>
                <w:b/>
                <w:color w:val="000000"/>
                <w:sz w:val="18"/>
                <w:szCs w:val="18"/>
                <w:lang w:val="id-ID"/>
              </w:rPr>
              <w:t>20 – Lanjutan</w:t>
            </w:r>
          </w:p>
        </w:tc>
        <w:tc>
          <w:tcPr>
            <w:tcW w:w="4598" w:type="dxa"/>
          </w:tcPr>
          <w:p w14:paraId="569978CC" w14:textId="774C843E" w:rsidR="00DD46FC" w:rsidRPr="00095D41" w:rsidRDefault="001C6325" w:rsidP="00070D1F">
            <w:pPr>
              <w:numPr>
                <w:ilvl w:val="0"/>
                <w:numId w:val="265"/>
              </w:numPr>
              <w:autoSpaceDE w:val="0"/>
              <w:autoSpaceDN w:val="0"/>
              <w:adjustRightInd w:val="0"/>
              <w:ind w:left="572" w:hanging="283"/>
              <w:jc w:val="both"/>
              <w:rPr>
                <w:b/>
                <w:i/>
                <w:sz w:val="18"/>
                <w:szCs w:val="18"/>
              </w:rPr>
            </w:pPr>
            <w:r w:rsidRPr="00095D41">
              <w:rPr>
                <w:rFonts w:eastAsia="Calibri"/>
                <w:b/>
                <w:i/>
                <w:color w:val="000000"/>
                <w:sz w:val="18"/>
                <w:szCs w:val="18"/>
              </w:rPr>
              <w:t>Standards Issued and Effective in the Current Year (on or after January 1. 20</w:t>
            </w:r>
            <w:r w:rsidRPr="00095D41">
              <w:rPr>
                <w:rFonts w:eastAsia="Calibri"/>
                <w:b/>
                <w:i/>
                <w:color w:val="000000"/>
                <w:sz w:val="18"/>
                <w:szCs w:val="18"/>
                <w:lang w:val="id-ID"/>
              </w:rPr>
              <w:t>20</w:t>
            </w:r>
            <w:r w:rsidRPr="00095D41">
              <w:rPr>
                <w:rFonts w:eastAsia="Calibri"/>
                <w:b/>
                <w:i/>
                <w:color w:val="000000"/>
                <w:sz w:val="18"/>
                <w:szCs w:val="18"/>
              </w:rPr>
              <w:t>)</w:t>
            </w:r>
            <w:r w:rsidRPr="00095D41">
              <w:rPr>
                <w:b/>
                <w:i/>
                <w:sz w:val="18"/>
                <w:szCs w:val="18"/>
                <w:lang w:val="id-ID"/>
              </w:rPr>
              <w:t>- Continued</w:t>
            </w:r>
          </w:p>
        </w:tc>
      </w:tr>
    </w:tbl>
    <w:p w14:paraId="2963B38D" w14:textId="77777777" w:rsidR="00DD46FC" w:rsidRPr="00C13CCF" w:rsidRDefault="00DD46FC">
      <w:pPr>
        <w:rPr>
          <w:sz w:val="14"/>
          <w:lang w:val="id-ID"/>
        </w:rPr>
      </w:pPr>
    </w:p>
    <w:tbl>
      <w:tblPr>
        <w:tblW w:w="9197" w:type="dxa"/>
        <w:tblInd w:w="392" w:type="dxa"/>
        <w:tblLayout w:type="fixed"/>
        <w:tblLook w:val="0000" w:firstRow="0" w:lastRow="0" w:firstColumn="0" w:lastColumn="0" w:noHBand="0" w:noVBand="0"/>
      </w:tblPr>
      <w:tblGrid>
        <w:gridCol w:w="4598"/>
        <w:gridCol w:w="4599"/>
      </w:tblGrid>
      <w:tr w:rsidR="00DD46FC" w:rsidRPr="0013526B" w14:paraId="00E41C88" w14:textId="77777777" w:rsidTr="00A93805">
        <w:tc>
          <w:tcPr>
            <w:tcW w:w="4598" w:type="dxa"/>
          </w:tcPr>
          <w:p w14:paraId="28A4EF88" w14:textId="05B5860B" w:rsidR="00DD46FC" w:rsidRPr="00C13CCF" w:rsidRDefault="00DD46FC" w:rsidP="00070D1F">
            <w:pPr>
              <w:pStyle w:val="ListParagraph"/>
              <w:numPr>
                <w:ilvl w:val="0"/>
                <w:numId w:val="266"/>
              </w:numPr>
              <w:ind w:left="884" w:right="-57" w:hanging="283"/>
              <w:contextualSpacing/>
              <w:jc w:val="both"/>
              <w:rPr>
                <w:bCs w:val="0"/>
                <w:sz w:val="18"/>
                <w:szCs w:val="18"/>
              </w:rPr>
            </w:pPr>
            <w:r w:rsidRPr="00C13CCF">
              <w:rPr>
                <w:sz w:val="18"/>
                <w:szCs w:val="18"/>
              </w:rPr>
              <w:t>Amandemen PSAK</w:t>
            </w:r>
            <w:r w:rsidR="00B70FF3">
              <w:rPr>
                <w:sz w:val="18"/>
                <w:szCs w:val="18"/>
              </w:rPr>
              <w:t xml:space="preserve"> No.</w:t>
            </w:r>
            <w:r w:rsidRPr="00C13CCF">
              <w:rPr>
                <w:sz w:val="18"/>
                <w:szCs w:val="18"/>
              </w:rPr>
              <w:t xml:space="preserve"> 62 “Kontrak Asuransi - </w:t>
            </w:r>
            <w:proofErr w:type="gramStart"/>
            <w:r w:rsidRPr="00C13CCF">
              <w:rPr>
                <w:sz w:val="18"/>
                <w:szCs w:val="18"/>
              </w:rPr>
              <w:t>Menerapkan  PSAK</w:t>
            </w:r>
            <w:proofErr w:type="gramEnd"/>
            <w:r w:rsidR="00B70FF3">
              <w:rPr>
                <w:sz w:val="18"/>
                <w:szCs w:val="18"/>
              </w:rPr>
              <w:t xml:space="preserve"> No.</w:t>
            </w:r>
            <w:r w:rsidR="009C56F7">
              <w:rPr>
                <w:sz w:val="18"/>
                <w:szCs w:val="18"/>
              </w:rPr>
              <w:t xml:space="preserve"> </w:t>
            </w:r>
            <w:r w:rsidRPr="00C13CCF">
              <w:rPr>
                <w:sz w:val="18"/>
                <w:szCs w:val="18"/>
              </w:rPr>
              <w:t>71:  Instrumen  Keuangan dengan PSAK</w:t>
            </w:r>
            <w:r w:rsidR="00B70FF3">
              <w:rPr>
                <w:sz w:val="18"/>
                <w:szCs w:val="18"/>
              </w:rPr>
              <w:t xml:space="preserve"> No.</w:t>
            </w:r>
            <w:r w:rsidRPr="00C13CCF">
              <w:rPr>
                <w:sz w:val="18"/>
                <w:szCs w:val="18"/>
              </w:rPr>
              <w:t xml:space="preserve"> 62: Kontrak Asuransi”.</w:t>
            </w:r>
          </w:p>
          <w:p w14:paraId="45F78843" w14:textId="28F379AF" w:rsidR="00DD46FC" w:rsidRPr="00C13CCF" w:rsidRDefault="00DD46FC" w:rsidP="00DD46FC">
            <w:pPr>
              <w:pStyle w:val="ListParagraph"/>
              <w:ind w:left="884" w:right="-57"/>
              <w:contextualSpacing/>
              <w:jc w:val="both"/>
              <w:rPr>
                <w:bCs w:val="0"/>
                <w:sz w:val="18"/>
                <w:szCs w:val="18"/>
              </w:rPr>
            </w:pPr>
            <w:r w:rsidRPr="00C13CCF">
              <w:rPr>
                <w:sz w:val="18"/>
                <w:szCs w:val="18"/>
              </w:rPr>
              <w:t>Amendemen ini memberikan 2 (dua) pendekatan yang bersifat opsional bagi entitas asuransi</w:t>
            </w:r>
            <w:r w:rsidR="00870FD0">
              <w:rPr>
                <w:sz w:val="18"/>
                <w:szCs w:val="18"/>
              </w:rPr>
              <w:t>.</w:t>
            </w:r>
            <w:r w:rsidRPr="00C13CCF">
              <w:rPr>
                <w:sz w:val="18"/>
                <w:szCs w:val="18"/>
              </w:rPr>
              <w:t xml:space="preserve"> yakni:</w:t>
            </w:r>
          </w:p>
        </w:tc>
        <w:tc>
          <w:tcPr>
            <w:tcW w:w="4598" w:type="dxa"/>
          </w:tcPr>
          <w:p w14:paraId="1670F37E" w14:textId="2EB251BB" w:rsidR="00DD46FC" w:rsidRPr="00C13CCF" w:rsidRDefault="00DD46FC" w:rsidP="00070D1F">
            <w:pPr>
              <w:pStyle w:val="ListParagraph"/>
              <w:numPr>
                <w:ilvl w:val="0"/>
                <w:numId w:val="266"/>
              </w:numPr>
              <w:tabs>
                <w:tab w:val="left" w:pos="5590"/>
                <w:tab w:val="right" w:pos="7620"/>
                <w:tab w:val="right" w:pos="9460"/>
                <w:tab w:val="right" w:pos="10080"/>
              </w:tabs>
              <w:ind w:left="856" w:right="-57" w:hanging="284"/>
              <w:contextualSpacing/>
              <w:jc w:val="both"/>
              <w:rPr>
                <w:bCs w:val="0"/>
                <w:i/>
                <w:sz w:val="18"/>
                <w:szCs w:val="18"/>
              </w:rPr>
            </w:pPr>
            <w:r w:rsidRPr="00C13CCF">
              <w:rPr>
                <w:i/>
                <w:sz w:val="18"/>
                <w:szCs w:val="18"/>
              </w:rPr>
              <w:t>Amendment to PSAK</w:t>
            </w:r>
            <w:r w:rsidR="00B70FF3" w:rsidRPr="00C13CCF">
              <w:rPr>
                <w:i/>
                <w:iCs/>
                <w:sz w:val="18"/>
                <w:szCs w:val="18"/>
              </w:rPr>
              <w:t xml:space="preserve"> No.</w:t>
            </w:r>
            <w:r w:rsidR="00B70FF3">
              <w:rPr>
                <w:sz w:val="18"/>
                <w:szCs w:val="18"/>
              </w:rPr>
              <w:t xml:space="preserve"> </w:t>
            </w:r>
            <w:r w:rsidRPr="00C13CCF">
              <w:rPr>
                <w:i/>
                <w:sz w:val="18"/>
                <w:szCs w:val="18"/>
              </w:rPr>
              <w:t>62 "Insurance Contract - Implementing PSAK</w:t>
            </w:r>
            <w:r w:rsidR="00B70FF3">
              <w:rPr>
                <w:i/>
                <w:sz w:val="18"/>
                <w:szCs w:val="18"/>
              </w:rPr>
              <w:t xml:space="preserve"> </w:t>
            </w:r>
            <w:r w:rsidR="00B70FF3" w:rsidRPr="00C13CCF">
              <w:rPr>
                <w:i/>
                <w:iCs/>
                <w:sz w:val="18"/>
                <w:szCs w:val="18"/>
              </w:rPr>
              <w:t>No.</w:t>
            </w:r>
            <w:r w:rsidR="00B70FF3">
              <w:rPr>
                <w:sz w:val="18"/>
                <w:szCs w:val="18"/>
              </w:rPr>
              <w:t xml:space="preserve"> </w:t>
            </w:r>
            <w:r w:rsidRPr="00C13CCF">
              <w:rPr>
                <w:i/>
                <w:sz w:val="18"/>
                <w:szCs w:val="18"/>
              </w:rPr>
              <w:t>71: Financial Instruments with PSAK</w:t>
            </w:r>
            <w:r w:rsidR="00B70FF3">
              <w:rPr>
                <w:i/>
                <w:sz w:val="18"/>
                <w:szCs w:val="18"/>
              </w:rPr>
              <w:t xml:space="preserve"> </w:t>
            </w:r>
            <w:r w:rsidR="00B70FF3" w:rsidRPr="00C13CCF">
              <w:rPr>
                <w:i/>
                <w:iCs/>
                <w:sz w:val="18"/>
                <w:szCs w:val="18"/>
              </w:rPr>
              <w:t>No.</w:t>
            </w:r>
            <w:r w:rsidRPr="00C13CCF">
              <w:rPr>
                <w:i/>
                <w:sz w:val="18"/>
                <w:szCs w:val="18"/>
              </w:rPr>
              <w:t xml:space="preserve"> 62: Insurance Contract".</w:t>
            </w:r>
          </w:p>
          <w:p w14:paraId="443358D8" w14:textId="73DED955" w:rsidR="00DD46FC" w:rsidRPr="00DD46FC" w:rsidRDefault="00DD46FC" w:rsidP="00DD46FC">
            <w:pPr>
              <w:pStyle w:val="ListParagraph"/>
              <w:tabs>
                <w:tab w:val="left" w:pos="5590"/>
                <w:tab w:val="right" w:pos="7620"/>
                <w:tab w:val="right" w:pos="9460"/>
                <w:tab w:val="right" w:pos="10080"/>
              </w:tabs>
              <w:ind w:left="856" w:right="-57"/>
              <w:contextualSpacing/>
              <w:jc w:val="both"/>
              <w:rPr>
                <w:bCs w:val="0"/>
                <w:i/>
                <w:sz w:val="18"/>
                <w:szCs w:val="18"/>
              </w:rPr>
            </w:pPr>
            <w:r w:rsidRPr="00C13CCF">
              <w:rPr>
                <w:i/>
                <w:sz w:val="18"/>
                <w:szCs w:val="18"/>
              </w:rPr>
              <w:t>This Amendment provides 2 (two) approaches that are optional for the insurer</w:t>
            </w:r>
            <w:r w:rsidR="00870FD0">
              <w:rPr>
                <w:i/>
                <w:sz w:val="18"/>
                <w:szCs w:val="18"/>
              </w:rPr>
              <w:t>.</w:t>
            </w:r>
            <w:r w:rsidRPr="00C13CCF">
              <w:rPr>
                <w:i/>
                <w:sz w:val="18"/>
                <w:szCs w:val="18"/>
              </w:rPr>
              <w:t xml:space="preserve"> namely:</w:t>
            </w:r>
          </w:p>
        </w:tc>
      </w:tr>
      <w:tr w:rsidR="00417FDB" w:rsidRPr="00EE2C77" w14:paraId="3ECA3B14" w14:textId="77777777" w:rsidTr="00A93805">
        <w:tc>
          <w:tcPr>
            <w:tcW w:w="4598" w:type="dxa"/>
          </w:tcPr>
          <w:p w14:paraId="4A273A83" w14:textId="77777777" w:rsidR="00417FDB" w:rsidRPr="00DD46FC" w:rsidRDefault="00417FDB" w:rsidP="003903E3">
            <w:pPr>
              <w:autoSpaceDE w:val="0"/>
              <w:autoSpaceDN w:val="0"/>
              <w:adjustRightInd w:val="0"/>
              <w:ind w:left="884" w:right="113"/>
              <w:jc w:val="both"/>
              <w:rPr>
                <w:rStyle w:val="hps"/>
                <w:sz w:val="12"/>
                <w:szCs w:val="18"/>
              </w:rPr>
            </w:pPr>
          </w:p>
        </w:tc>
        <w:tc>
          <w:tcPr>
            <w:tcW w:w="4598" w:type="dxa"/>
          </w:tcPr>
          <w:p w14:paraId="5DFC9AC4" w14:textId="77777777" w:rsidR="00417FDB" w:rsidRPr="00DD46FC" w:rsidRDefault="00417FDB" w:rsidP="003903E3">
            <w:pPr>
              <w:tabs>
                <w:tab w:val="left" w:pos="998"/>
              </w:tabs>
              <w:autoSpaceDE w:val="0"/>
              <w:autoSpaceDN w:val="0"/>
              <w:adjustRightInd w:val="0"/>
              <w:ind w:left="964" w:right="74"/>
              <w:jc w:val="both"/>
              <w:rPr>
                <w:bCs w:val="0"/>
                <w:i/>
                <w:sz w:val="12"/>
                <w:szCs w:val="18"/>
              </w:rPr>
            </w:pPr>
          </w:p>
        </w:tc>
      </w:tr>
      <w:tr w:rsidR="00417FDB" w:rsidRPr="00C13CCF" w14:paraId="69EE8F16" w14:textId="77777777" w:rsidTr="00A93805">
        <w:tc>
          <w:tcPr>
            <w:tcW w:w="4598" w:type="dxa"/>
          </w:tcPr>
          <w:p w14:paraId="72097F38" w14:textId="77777777" w:rsidR="00417FDB" w:rsidRPr="00C13CCF" w:rsidRDefault="00417FDB" w:rsidP="00070D1F">
            <w:pPr>
              <w:pStyle w:val="ListParagraph"/>
              <w:numPr>
                <w:ilvl w:val="0"/>
                <w:numId w:val="186"/>
              </w:numPr>
              <w:ind w:left="1135" w:right="-57" w:hanging="284"/>
              <w:contextualSpacing/>
              <w:jc w:val="both"/>
              <w:rPr>
                <w:rStyle w:val="hps"/>
                <w:sz w:val="18"/>
                <w:szCs w:val="18"/>
              </w:rPr>
            </w:pPr>
            <w:r w:rsidRPr="00C13CCF">
              <w:rPr>
                <w:rStyle w:val="hps"/>
                <w:i/>
                <w:sz w:val="18"/>
                <w:szCs w:val="18"/>
              </w:rPr>
              <w:t>Deferrral approach:</w:t>
            </w:r>
            <w:r w:rsidRPr="00C13CCF">
              <w:rPr>
                <w:rStyle w:val="hps"/>
                <w:sz w:val="18"/>
                <w:szCs w:val="18"/>
              </w:rPr>
              <w:t xml:space="preserve"> pengecualian temporer dari penerapan PSAK No. 71 bagi entitas yang aktivitas utamanya adalah menerbitkan kontrak asuransi sebagaimana dalam ruang lingkup PSAK No. 62 (yang diterapkan pada level entitas pelapor); dan</w:t>
            </w:r>
          </w:p>
        </w:tc>
        <w:tc>
          <w:tcPr>
            <w:tcW w:w="4598" w:type="dxa"/>
          </w:tcPr>
          <w:p w14:paraId="716279FB" w14:textId="77777777" w:rsidR="00417FDB" w:rsidRPr="00C13CCF" w:rsidRDefault="00417FDB" w:rsidP="00070D1F">
            <w:pPr>
              <w:pStyle w:val="ListParagraph"/>
              <w:numPr>
                <w:ilvl w:val="0"/>
                <w:numId w:val="187"/>
              </w:numPr>
              <w:ind w:left="1281" w:right="-57" w:hanging="283"/>
              <w:contextualSpacing/>
              <w:jc w:val="both"/>
              <w:rPr>
                <w:bCs w:val="0"/>
                <w:i/>
                <w:sz w:val="18"/>
                <w:szCs w:val="18"/>
              </w:rPr>
            </w:pPr>
            <w:r w:rsidRPr="00C13CCF">
              <w:rPr>
                <w:bCs w:val="0"/>
                <w:i/>
                <w:sz w:val="18"/>
                <w:szCs w:val="18"/>
              </w:rPr>
              <w:t>Deferrral approach: temporary exemption from the application of PSAK No. 71 to an entity whose principal activity is to issue an insurance contract as within the scope of PSAK No. 62 (which applies at the level of the reporting entity); and</w:t>
            </w:r>
          </w:p>
        </w:tc>
      </w:tr>
    </w:tbl>
    <w:p w14:paraId="35AC7582" w14:textId="77777777" w:rsidR="007678C1" w:rsidRPr="00C13CCF" w:rsidRDefault="007678C1">
      <w:pPr>
        <w:rPr>
          <w:sz w:val="8"/>
        </w:rPr>
      </w:pPr>
    </w:p>
    <w:tbl>
      <w:tblPr>
        <w:tblW w:w="9197" w:type="dxa"/>
        <w:tblInd w:w="392" w:type="dxa"/>
        <w:tblLayout w:type="fixed"/>
        <w:tblLook w:val="0000" w:firstRow="0" w:lastRow="0" w:firstColumn="0" w:lastColumn="0" w:noHBand="0" w:noVBand="0"/>
      </w:tblPr>
      <w:tblGrid>
        <w:gridCol w:w="4598"/>
        <w:gridCol w:w="4599"/>
      </w:tblGrid>
      <w:tr w:rsidR="00992387" w:rsidRPr="00A93805" w14:paraId="58BAD039" w14:textId="77777777" w:rsidTr="00A93805">
        <w:tc>
          <w:tcPr>
            <w:tcW w:w="4598" w:type="dxa"/>
          </w:tcPr>
          <w:p w14:paraId="41744D50" w14:textId="77777777" w:rsidR="00992387" w:rsidRPr="00C13CCF" w:rsidRDefault="00992387" w:rsidP="00070D1F">
            <w:pPr>
              <w:pStyle w:val="ListParagraph"/>
              <w:numPr>
                <w:ilvl w:val="0"/>
                <w:numId w:val="186"/>
              </w:numPr>
              <w:ind w:left="1135" w:right="-57" w:hanging="284"/>
              <w:contextualSpacing/>
              <w:jc w:val="both"/>
              <w:rPr>
                <w:rStyle w:val="hps"/>
                <w:sz w:val="18"/>
                <w:szCs w:val="18"/>
              </w:rPr>
            </w:pPr>
            <w:r w:rsidRPr="00C13CCF">
              <w:rPr>
                <w:rStyle w:val="hps"/>
                <w:i/>
                <w:sz w:val="18"/>
                <w:szCs w:val="18"/>
              </w:rPr>
              <w:t>Overlay approach:</w:t>
            </w:r>
            <w:r w:rsidRPr="00C13CCF">
              <w:rPr>
                <w:rStyle w:val="hps"/>
                <w:sz w:val="18"/>
                <w:szCs w:val="18"/>
              </w:rPr>
              <w:t xml:space="preserve"> memperkenankan entitas untuk mereklasifikasi beberapa penghasilan atau beban yang timbul dari aset keuangan yang ditetapkan dari laba rugi ke penghasilan komprehensif lain.</w:t>
            </w:r>
          </w:p>
        </w:tc>
        <w:tc>
          <w:tcPr>
            <w:tcW w:w="4598" w:type="dxa"/>
          </w:tcPr>
          <w:p w14:paraId="25C6DA8B" w14:textId="77777777" w:rsidR="00992387" w:rsidRPr="00C13CCF" w:rsidRDefault="00992387" w:rsidP="00070D1F">
            <w:pPr>
              <w:pStyle w:val="ListParagraph"/>
              <w:numPr>
                <w:ilvl w:val="0"/>
                <w:numId w:val="187"/>
              </w:numPr>
              <w:ind w:left="1281" w:right="-57" w:hanging="283"/>
              <w:contextualSpacing/>
              <w:jc w:val="both"/>
              <w:rPr>
                <w:bCs w:val="0"/>
                <w:i/>
                <w:sz w:val="18"/>
                <w:szCs w:val="18"/>
              </w:rPr>
            </w:pPr>
            <w:r w:rsidRPr="00C13CCF">
              <w:rPr>
                <w:bCs w:val="0"/>
                <w:i/>
                <w:sz w:val="18"/>
                <w:szCs w:val="18"/>
              </w:rPr>
              <w:t>Overlay approach: allows an entity to reclassify multiple income or expenses arising from a defined financial asset from profit or loss to another comprehensive income.</w:t>
            </w:r>
          </w:p>
        </w:tc>
      </w:tr>
      <w:tr w:rsidR="00992387" w:rsidRPr="00A93805" w14:paraId="3AE171B0" w14:textId="77777777" w:rsidTr="00A93805">
        <w:tc>
          <w:tcPr>
            <w:tcW w:w="4598" w:type="dxa"/>
          </w:tcPr>
          <w:p w14:paraId="11D310B9" w14:textId="77777777" w:rsidR="00992387" w:rsidRPr="00A93805" w:rsidRDefault="00992387" w:rsidP="0013526B">
            <w:pPr>
              <w:pStyle w:val="ListParagraph"/>
              <w:ind w:left="1135" w:right="-57"/>
              <w:contextualSpacing/>
              <w:jc w:val="both"/>
              <w:rPr>
                <w:rStyle w:val="hps"/>
                <w:i/>
                <w:sz w:val="12"/>
                <w:szCs w:val="18"/>
                <w:highlight w:val="cyan"/>
              </w:rPr>
            </w:pPr>
          </w:p>
        </w:tc>
        <w:tc>
          <w:tcPr>
            <w:tcW w:w="4598" w:type="dxa"/>
          </w:tcPr>
          <w:p w14:paraId="69353FE7" w14:textId="77777777" w:rsidR="00992387" w:rsidRPr="00A93805" w:rsidRDefault="00992387" w:rsidP="0013526B">
            <w:pPr>
              <w:pStyle w:val="ListParagraph"/>
              <w:ind w:left="1281" w:right="-57"/>
              <w:contextualSpacing/>
              <w:jc w:val="both"/>
              <w:rPr>
                <w:bCs w:val="0"/>
                <w:i/>
                <w:sz w:val="12"/>
                <w:szCs w:val="18"/>
                <w:highlight w:val="cyan"/>
              </w:rPr>
            </w:pPr>
          </w:p>
        </w:tc>
      </w:tr>
      <w:tr w:rsidR="00DD46FC" w:rsidRPr="00C13CCF" w14:paraId="62996F82" w14:textId="77777777" w:rsidTr="00A93805">
        <w:tc>
          <w:tcPr>
            <w:tcW w:w="4598" w:type="dxa"/>
          </w:tcPr>
          <w:p w14:paraId="75D32E92" w14:textId="5B1348A8" w:rsidR="00DD46FC" w:rsidRPr="00C13CCF" w:rsidRDefault="00DD46FC" w:rsidP="00070D1F">
            <w:pPr>
              <w:pStyle w:val="ListParagraph"/>
              <w:numPr>
                <w:ilvl w:val="0"/>
                <w:numId w:val="266"/>
              </w:numPr>
              <w:ind w:left="884" w:right="-57" w:hanging="283"/>
              <w:contextualSpacing/>
              <w:jc w:val="both"/>
              <w:rPr>
                <w:sz w:val="18"/>
                <w:szCs w:val="18"/>
              </w:rPr>
            </w:pPr>
            <w:r w:rsidRPr="00C13CCF">
              <w:rPr>
                <w:sz w:val="18"/>
                <w:szCs w:val="18"/>
              </w:rPr>
              <w:t>PSAK</w:t>
            </w:r>
            <w:r w:rsidR="00B70FF3">
              <w:rPr>
                <w:sz w:val="18"/>
                <w:szCs w:val="18"/>
              </w:rPr>
              <w:t xml:space="preserve"> No.</w:t>
            </w:r>
            <w:r w:rsidRPr="00C13CCF">
              <w:rPr>
                <w:sz w:val="18"/>
                <w:szCs w:val="18"/>
              </w:rPr>
              <w:t xml:space="preserve"> 71 “Instrumen Keuangan”</w:t>
            </w:r>
            <w:r w:rsidR="00870FD0">
              <w:rPr>
                <w:sz w:val="18"/>
                <w:szCs w:val="18"/>
              </w:rPr>
              <w:t>.</w:t>
            </w:r>
            <w:r w:rsidRPr="00C13CCF">
              <w:rPr>
                <w:sz w:val="18"/>
                <w:szCs w:val="18"/>
              </w:rPr>
              <w:t xml:space="preserve"> </w:t>
            </w:r>
            <w:r w:rsidR="00B70FF3">
              <w:rPr>
                <w:sz w:val="18"/>
                <w:szCs w:val="18"/>
              </w:rPr>
              <w:br/>
            </w:r>
            <w:r w:rsidRPr="00C13CCF">
              <w:rPr>
                <w:sz w:val="18"/>
                <w:szCs w:val="18"/>
              </w:rPr>
              <w:t>PSAK</w:t>
            </w:r>
            <w:r w:rsidR="00B70FF3">
              <w:rPr>
                <w:sz w:val="18"/>
                <w:szCs w:val="18"/>
              </w:rPr>
              <w:t xml:space="preserve"> No.</w:t>
            </w:r>
            <w:r w:rsidRPr="00C13CCF">
              <w:rPr>
                <w:sz w:val="18"/>
                <w:szCs w:val="18"/>
              </w:rPr>
              <w:t xml:space="preserve"> 71 mengatur perubahan persyaratan terkait instrumen keuangan seperti klasifikasi dan pengukuran</w:t>
            </w:r>
            <w:r w:rsidR="00F15497">
              <w:rPr>
                <w:sz w:val="18"/>
                <w:szCs w:val="18"/>
              </w:rPr>
              <w:t>,</w:t>
            </w:r>
            <w:r w:rsidRPr="00C13CCF">
              <w:rPr>
                <w:sz w:val="18"/>
                <w:szCs w:val="18"/>
              </w:rPr>
              <w:t xml:space="preserve"> penurunan nilai</w:t>
            </w:r>
            <w:r w:rsidR="00F15497">
              <w:rPr>
                <w:sz w:val="18"/>
                <w:szCs w:val="18"/>
              </w:rPr>
              <w:t>,</w:t>
            </w:r>
            <w:r w:rsidRPr="00C13CCF">
              <w:rPr>
                <w:sz w:val="18"/>
                <w:szCs w:val="18"/>
              </w:rPr>
              <w:t xml:space="preserve"> dan akuntansi lindung nilai. PSAK ini </w:t>
            </w:r>
            <w:proofErr w:type="gramStart"/>
            <w:r w:rsidRPr="00C13CCF">
              <w:rPr>
                <w:sz w:val="18"/>
                <w:szCs w:val="18"/>
              </w:rPr>
              <w:t>akan</w:t>
            </w:r>
            <w:proofErr w:type="gramEnd"/>
            <w:r w:rsidRPr="00C13CCF">
              <w:rPr>
                <w:sz w:val="18"/>
                <w:szCs w:val="18"/>
              </w:rPr>
              <w:t xml:space="preserve"> menggantikan PSAK </w:t>
            </w:r>
            <w:r w:rsidR="00B70FF3">
              <w:rPr>
                <w:sz w:val="18"/>
                <w:szCs w:val="18"/>
              </w:rPr>
              <w:t xml:space="preserve">No. </w:t>
            </w:r>
            <w:r w:rsidRPr="00C13CCF">
              <w:rPr>
                <w:sz w:val="18"/>
                <w:szCs w:val="18"/>
              </w:rPr>
              <w:t>55 “Instrumen Keuangan: Pengakuan dan Pengukuran.</w:t>
            </w:r>
          </w:p>
        </w:tc>
        <w:tc>
          <w:tcPr>
            <w:tcW w:w="4598" w:type="dxa"/>
          </w:tcPr>
          <w:p w14:paraId="41AE9BBD" w14:textId="593DF4B2" w:rsidR="00DD46FC" w:rsidRPr="00C13CCF" w:rsidRDefault="00DD46FC" w:rsidP="00070D1F">
            <w:pPr>
              <w:pStyle w:val="ListParagraph"/>
              <w:numPr>
                <w:ilvl w:val="0"/>
                <w:numId w:val="266"/>
              </w:numPr>
              <w:ind w:left="884" w:right="-57" w:hanging="283"/>
              <w:contextualSpacing/>
              <w:jc w:val="both"/>
              <w:rPr>
                <w:i/>
                <w:iCs/>
                <w:sz w:val="18"/>
                <w:szCs w:val="18"/>
              </w:rPr>
            </w:pPr>
            <w:r w:rsidRPr="00C13CCF">
              <w:rPr>
                <w:i/>
                <w:iCs/>
                <w:sz w:val="18"/>
                <w:szCs w:val="18"/>
              </w:rPr>
              <w:t>PSAK</w:t>
            </w:r>
            <w:r w:rsidR="00B70FF3">
              <w:rPr>
                <w:sz w:val="18"/>
                <w:szCs w:val="18"/>
              </w:rPr>
              <w:t xml:space="preserve"> </w:t>
            </w:r>
            <w:r w:rsidR="00B70FF3" w:rsidRPr="00B70FF3">
              <w:rPr>
                <w:i/>
                <w:iCs/>
                <w:sz w:val="18"/>
                <w:szCs w:val="18"/>
              </w:rPr>
              <w:t>No.</w:t>
            </w:r>
            <w:r w:rsidRPr="00C13CCF">
              <w:rPr>
                <w:i/>
                <w:iCs/>
                <w:sz w:val="18"/>
                <w:szCs w:val="18"/>
              </w:rPr>
              <w:t xml:space="preserve"> 71 "Financial Instruments"</w:t>
            </w:r>
            <w:r w:rsidR="00870FD0">
              <w:rPr>
                <w:i/>
                <w:iCs/>
                <w:sz w:val="18"/>
                <w:szCs w:val="18"/>
              </w:rPr>
              <w:t>.</w:t>
            </w:r>
            <w:r w:rsidRPr="00C13CCF">
              <w:rPr>
                <w:i/>
                <w:iCs/>
                <w:sz w:val="18"/>
                <w:szCs w:val="18"/>
              </w:rPr>
              <w:t xml:space="preserve"> </w:t>
            </w:r>
            <w:r w:rsidR="00B70FF3">
              <w:rPr>
                <w:i/>
                <w:iCs/>
                <w:sz w:val="18"/>
                <w:szCs w:val="18"/>
              </w:rPr>
              <w:br/>
            </w:r>
            <w:r w:rsidRPr="00C13CCF">
              <w:rPr>
                <w:i/>
                <w:iCs/>
                <w:sz w:val="18"/>
                <w:szCs w:val="18"/>
              </w:rPr>
              <w:t>PSAK</w:t>
            </w:r>
            <w:r w:rsidR="00B70FF3" w:rsidRPr="00B70FF3">
              <w:rPr>
                <w:i/>
                <w:iCs/>
                <w:sz w:val="18"/>
                <w:szCs w:val="18"/>
              </w:rPr>
              <w:t xml:space="preserve"> No.</w:t>
            </w:r>
            <w:r w:rsidRPr="00C13CCF">
              <w:rPr>
                <w:i/>
                <w:iCs/>
                <w:sz w:val="18"/>
                <w:szCs w:val="18"/>
              </w:rPr>
              <w:t xml:space="preserve"> 71 provides for changes in terms of financial instruments such as classification and measurement</w:t>
            </w:r>
            <w:r w:rsidR="00F15497">
              <w:rPr>
                <w:i/>
                <w:iCs/>
                <w:sz w:val="18"/>
                <w:szCs w:val="18"/>
              </w:rPr>
              <w:t>,</w:t>
            </w:r>
            <w:r w:rsidRPr="00C13CCF">
              <w:rPr>
                <w:i/>
                <w:iCs/>
                <w:sz w:val="18"/>
                <w:szCs w:val="18"/>
              </w:rPr>
              <w:t xml:space="preserve"> impairment</w:t>
            </w:r>
            <w:r w:rsidR="00F15497">
              <w:rPr>
                <w:i/>
                <w:iCs/>
                <w:sz w:val="18"/>
                <w:szCs w:val="18"/>
              </w:rPr>
              <w:t>,</w:t>
            </w:r>
            <w:r w:rsidRPr="00C13CCF">
              <w:rPr>
                <w:i/>
                <w:iCs/>
                <w:sz w:val="18"/>
                <w:szCs w:val="18"/>
              </w:rPr>
              <w:t xml:space="preserve"> and hedge accounting. This PSAK will replace PSAK</w:t>
            </w:r>
            <w:r w:rsidR="00B70FF3">
              <w:rPr>
                <w:i/>
                <w:iCs/>
                <w:sz w:val="18"/>
                <w:szCs w:val="18"/>
              </w:rPr>
              <w:t xml:space="preserve"> </w:t>
            </w:r>
            <w:r w:rsidR="00B70FF3" w:rsidRPr="00B70FF3">
              <w:rPr>
                <w:i/>
                <w:iCs/>
                <w:sz w:val="18"/>
                <w:szCs w:val="18"/>
              </w:rPr>
              <w:t>No.</w:t>
            </w:r>
            <w:r w:rsidRPr="00C13CCF">
              <w:rPr>
                <w:i/>
                <w:iCs/>
                <w:sz w:val="18"/>
                <w:szCs w:val="18"/>
              </w:rPr>
              <w:t xml:space="preserve"> 55 “Financial Instruments: Recognition and Measurement ".</w:t>
            </w:r>
          </w:p>
        </w:tc>
      </w:tr>
      <w:tr w:rsidR="00992387" w:rsidRPr="00C13CCF" w14:paraId="667684A8" w14:textId="77777777" w:rsidTr="00A93805">
        <w:tc>
          <w:tcPr>
            <w:tcW w:w="4598" w:type="dxa"/>
          </w:tcPr>
          <w:p w14:paraId="3357C3DD" w14:textId="77777777" w:rsidR="00992387" w:rsidRPr="00C13CCF" w:rsidRDefault="00992387" w:rsidP="0013526B">
            <w:pPr>
              <w:autoSpaceDE w:val="0"/>
              <w:autoSpaceDN w:val="0"/>
              <w:adjustRightInd w:val="0"/>
              <w:ind w:left="993" w:right="113"/>
              <w:jc w:val="both"/>
              <w:rPr>
                <w:sz w:val="12"/>
                <w:szCs w:val="18"/>
                <w:lang w:val="id-ID"/>
              </w:rPr>
            </w:pPr>
          </w:p>
        </w:tc>
        <w:tc>
          <w:tcPr>
            <w:tcW w:w="4598" w:type="dxa"/>
          </w:tcPr>
          <w:p w14:paraId="4901D5DE" w14:textId="77777777" w:rsidR="00992387" w:rsidRPr="00C13CCF" w:rsidRDefault="00992387" w:rsidP="0013526B">
            <w:pPr>
              <w:tabs>
                <w:tab w:val="left" w:pos="964"/>
              </w:tabs>
              <w:autoSpaceDE w:val="0"/>
              <w:autoSpaceDN w:val="0"/>
              <w:adjustRightInd w:val="0"/>
              <w:ind w:left="964" w:right="74"/>
              <w:jc w:val="both"/>
              <w:rPr>
                <w:i/>
                <w:sz w:val="12"/>
                <w:szCs w:val="18"/>
                <w:lang w:val="id-ID"/>
              </w:rPr>
            </w:pPr>
          </w:p>
        </w:tc>
      </w:tr>
      <w:tr w:rsidR="00DD46FC" w:rsidRPr="00146CD1" w14:paraId="3DAFFF2F" w14:textId="77777777" w:rsidTr="00A93805">
        <w:tc>
          <w:tcPr>
            <w:tcW w:w="4598" w:type="dxa"/>
          </w:tcPr>
          <w:p w14:paraId="6BCC0728" w14:textId="27810A60" w:rsidR="00DD46FC" w:rsidRPr="00C13CCF" w:rsidRDefault="00DD46FC" w:rsidP="00070D1F">
            <w:pPr>
              <w:pStyle w:val="ListParagraph"/>
              <w:numPr>
                <w:ilvl w:val="0"/>
                <w:numId w:val="266"/>
              </w:numPr>
              <w:ind w:left="884" w:right="-57" w:hanging="283"/>
              <w:contextualSpacing/>
              <w:jc w:val="both"/>
              <w:rPr>
                <w:sz w:val="18"/>
                <w:szCs w:val="18"/>
              </w:rPr>
            </w:pPr>
            <w:r w:rsidRPr="00C13CCF">
              <w:rPr>
                <w:sz w:val="18"/>
                <w:szCs w:val="18"/>
              </w:rPr>
              <w:t>Amendemen PSAK</w:t>
            </w:r>
            <w:r w:rsidR="00B70FF3">
              <w:rPr>
                <w:sz w:val="18"/>
                <w:szCs w:val="18"/>
              </w:rPr>
              <w:t xml:space="preserve"> </w:t>
            </w:r>
            <w:r w:rsidR="00B70FF3" w:rsidRPr="00B70FF3">
              <w:rPr>
                <w:sz w:val="18"/>
                <w:szCs w:val="18"/>
              </w:rPr>
              <w:t>No.</w:t>
            </w:r>
            <w:r w:rsidRPr="00C13CCF">
              <w:rPr>
                <w:sz w:val="18"/>
                <w:szCs w:val="18"/>
              </w:rPr>
              <w:t xml:space="preserve"> 71 “Instrumen Keuangan tentang Fitur Percepatan Pelunasan dengan Kompensasi Negatif”. Amendemen PSAK</w:t>
            </w:r>
            <w:r w:rsidR="00B70FF3">
              <w:rPr>
                <w:sz w:val="18"/>
                <w:szCs w:val="18"/>
              </w:rPr>
              <w:t xml:space="preserve"> </w:t>
            </w:r>
            <w:r w:rsidR="00B70FF3" w:rsidRPr="00B70FF3">
              <w:rPr>
                <w:sz w:val="18"/>
                <w:szCs w:val="18"/>
              </w:rPr>
              <w:t>No.</w:t>
            </w:r>
            <w:r w:rsidRPr="00C13CCF">
              <w:rPr>
                <w:sz w:val="18"/>
                <w:szCs w:val="18"/>
              </w:rPr>
              <w:t xml:space="preserve"> 71 mengamendemen paragraf PP4.1.11(b) dan PP4.1.12(b)</w:t>
            </w:r>
            <w:r w:rsidR="00F15497">
              <w:rPr>
                <w:sz w:val="18"/>
                <w:szCs w:val="18"/>
              </w:rPr>
              <w:t>,</w:t>
            </w:r>
            <w:r w:rsidRPr="00C13CCF">
              <w:rPr>
                <w:sz w:val="18"/>
                <w:szCs w:val="18"/>
              </w:rPr>
              <w:t xml:space="preserve"> dan menambahkan paragraf PP4.1.12A sehingga mengatur bahwa aset keuangan dengan fitur percepatan pelunasan yang dapat menghasilkan kompensasi negatif memenuhi kualifikasi sebagai arus kas kontraktual yang berasal semata dari pembayaran pokok dan bunga dari jumlah pokok terutang.</w:t>
            </w:r>
          </w:p>
        </w:tc>
        <w:tc>
          <w:tcPr>
            <w:tcW w:w="4598" w:type="dxa"/>
          </w:tcPr>
          <w:p w14:paraId="0D3B797A" w14:textId="6000607D" w:rsidR="00DD46FC" w:rsidRPr="00C13CCF" w:rsidRDefault="00DD46FC" w:rsidP="00070D1F">
            <w:pPr>
              <w:pStyle w:val="ListParagraph"/>
              <w:numPr>
                <w:ilvl w:val="0"/>
                <w:numId w:val="266"/>
              </w:numPr>
              <w:ind w:left="884" w:right="-57" w:hanging="283"/>
              <w:contextualSpacing/>
              <w:jc w:val="both"/>
              <w:rPr>
                <w:i/>
                <w:iCs/>
                <w:sz w:val="18"/>
                <w:szCs w:val="18"/>
              </w:rPr>
            </w:pPr>
            <w:r w:rsidRPr="00C13CCF">
              <w:rPr>
                <w:i/>
                <w:iCs/>
                <w:sz w:val="18"/>
                <w:szCs w:val="18"/>
              </w:rPr>
              <w:t xml:space="preserve">Amendment to PSAK </w:t>
            </w:r>
            <w:r w:rsidR="00B70FF3" w:rsidRPr="00B70FF3">
              <w:rPr>
                <w:i/>
                <w:iCs/>
                <w:sz w:val="18"/>
                <w:szCs w:val="18"/>
              </w:rPr>
              <w:t>No.</w:t>
            </w:r>
            <w:r w:rsidR="00B70FF3">
              <w:rPr>
                <w:i/>
                <w:iCs/>
                <w:sz w:val="18"/>
                <w:szCs w:val="18"/>
              </w:rPr>
              <w:t xml:space="preserve"> </w:t>
            </w:r>
            <w:r w:rsidRPr="00C13CCF">
              <w:rPr>
                <w:i/>
                <w:iCs/>
                <w:sz w:val="18"/>
                <w:szCs w:val="18"/>
              </w:rPr>
              <w:t>71 "Financial Instruments concerning Features of Accelerating Repayment with Negative Compensation". Amendment to PSAK</w:t>
            </w:r>
            <w:r w:rsidR="00B70FF3">
              <w:rPr>
                <w:i/>
                <w:iCs/>
                <w:sz w:val="18"/>
                <w:szCs w:val="18"/>
              </w:rPr>
              <w:t xml:space="preserve"> </w:t>
            </w:r>
            <w:r w:rsidR="00B70FF3" w:rsidRPr="00B70FF3">
              <w:rPr>
                <w:i/>
                <w:iCs/>
                <w:sz w:val="18"/>
                <w:szCs w:val="18"/>
              </w:rPr>
              <w:t>No.</w:t>
            </w:r>
            <w:r w:rsidR="00F15497">
              <w:rPr>
                <w:i/>
                <w:iCs/>
                <w:sz w:val="18"/>
                <w:szCs w:val="18"/>
              </w:rPr>
              <w:t xml:space="preserve"> 71 amend paragraphs PP4.1.1(b) and PP4.1.12</w:t>
            </w:r>
            <w:r w:rsidRPr="00C13CCF">
              <w:rPr>
                <w:i/>
                <w:iCs/>
                <w:sz w:val="18"/>
                <w:szCs w:val="18"/>
              </w:rPr>
              <w:t>(b)</w:t>
            </w:r>
            <w:r w:rsidR="00F15497">
              <w:rPr>
                <w:i/>
                <w:iCs/>
                <w:sz w:val="18"/>
                <w:szCs w:val="18"/>
              </w:rPr>
              <w:t>,</w:t>
            </w:r>
            <w:r w:rsidRPr="00C13CCF">
              <w:rPr>
                <w:i/>
                <w:iCs/>
                <w:sz w:val="18"/>
                <w:szCs w:val="18"/>
              </w:rPr>
              <w:t xml:space="preserve"> and add paragraphs PP4.1.12A to regulate that financial assets with accelerated repayment features that can result in negative compensation meeting qualifications as contractual cash flows originating solely from payment of principal and interest from the principal amount owed.</w:t>
            </w:r>
          </w:p>
        </w:tc>
      </w:tr>
      <w:tr w:rsidR="00992387" w:rsidRPr="00A93805" w14:paraId="001C7685" w14:textId="77777777" w:rsidTr="00A93805">
        <w:tc>
          <w:tcPr>
            <w:tcW w:w="4598" w:type="dxa"/>
          </w:tcPr>
          <w:p w14:paraId="23DD7AF4" w14:textId="77777777" w:rsidR="00992387" w:rsidRPr="00A93805" w:rsidRDefault="00992387" w:rsidP="0013526B">
            <w:pPr>
              <w:autoSpaceDE w:val="0"/>
              <w:autoSpaceDN w:val="0"/>
              <w:adjustRightInd w:val="0"/>
              <w:ind w:left="884" w:right="113"/>
              <w:jc w:val="both"/>
              <w:rPr>
                <w:sz w:val="12"/>
                <w:szCs w:val="18"/>
                <w:highlight w:val="cyan"/>
                <w:lang w:val="id-ID"/>
              </w:rPr>
            </w:pPr>
          </w:p>
        </w:tc>
        <w:tc>
          <w:tcPr>
            <w:tcW w:w="4598" w:type="dxa"/>
          </w:tcPr>
          <w:p w14:paraId="02C2A40F" w14:textId="77777777" w:rsidR="00992387" w:rsidRPr="00A93805" w:rsidRDefault="00992387" w:rsidP="0013526B">
            <w:pPr>
              <w:tabs>
                <w:tab w:val="left" w:pos="964"/>
              </w:tabs>
              <w:autoSpaceDE w:val="0"/>
              <w:autoSpaceDN w:val="0"/>
              <w:adjustRightInd w:val="0"/>
              <w:ind w:left="964" w:right="74"/>
              <w:jc w:val="both"/>
              <w:rPr>
                <w:i/>
                <w:sz w:val="12"/>
                <w:szCs w:val="18"/>
                <w:highlight w:val="cyan"/>
                <w:lang w:val="id-ID"/>
              </w:rPr>
            </w:pPr>
          </w:p>
        </w:tc>
      </w:tr>
      <w:tr w:rsidR="00DD46FC" w:rsidRPr="00146CD1" w14:paraId="22A5AB80" w14:textId="77777777" w:rsidTr="00A93805">
        <w:tc>
          <w:tcPr>
            <w:tcW w:w="4598" w:type="dxa"/>
          </w:tcPr>
          <w:p w14:paraId="5EFB8018" w14:textId="5D81309D" w:rsidR="00DD46FC" w:rsidRPr="00B70FF3" w:rsidRDefault="00DD46FC" w:rsidP="00070D1F">
            <w:pPr>
              <w:pStyle w:val="ListParagraph"/>
              <w:numPr>
                <w:ilvl w:val="0"/>
                <w:numId w:val="266"/>
              </w:numPr>
              <w:ind w:left="884" w:right="-57" w:hanging="283"/>
              <w:contextualSpacing/>
              <w:jc w:val="both"/>
              <w:rPr>
                <w:sz w:val="18"/>
                <w:szCs w:val="18"/>
              </w:rPr>
            </w:pPr>
            <w:r w:rsidRPr="00B70FF3">
              <w:rPr>
                <w:sz w:val="18"/>
                <w:szCs w:val="18"/>
              </w:rPr>
              <w:t>PSAK</w:t>
            </w:r>
            <w:r w:rsidR="00B70FF3">
              <w:rPr>
                <w:sz w:val="18"/>
                <w:szCs w:val="18"/>
              </w:rPr>
              <w:t xml:space="preserve"> </w:t>
            </w:r>
            <w:r w:rsidR="00B70FF3" w:rsidRPr="00B70FF3">
              <w:rPr>
                <w:sz w:val="18"/>
                <w:szCs w:val="18"/>
              </w:rPr>
              <w:t>No.</w:t>
            </w:r>
            <w:r w:rsidRPr="00B70FF3">
              <w:rPr>
                <w:sz w:val="18"/>
                <w:szCs w:val="18"/>
              </w:rPr>
              <w:t xml:space="preserve"> 72 “Pendapatan Dari Kontrak Dengan Pelanggan”</w:t>
            </w:r>
            <w:r w:rsidR="00870FD0">
              <w:rPr>
                <w:sz w:val="18"/>
                <w:szCs w:val="18"/>
              </w:rPr>
              <w:t>.</w:t>
            </w:r>
            <w:r w:rsidRPr="00B70FF3">
              <w:rPr>
                <w:sz w:val="18"/>
                <w:szCs w:val="18"/>
              </w:rPr>
              <w:t xml:space="preserve"> PSAK</w:t>
            </w:r>
            <w:r w:rsidR="00B70FF3">
              <w:rPr>
                <w:sz w:val="18"/>
                <w:szCs w:val="18"/>
              </w:rPr>
              <w:t xml:space="preserve"> </w:t>
            </w:r>
            <w:r w:rsidR="00B70FF3" w:rsidRPr="00B70FF3">
              <w:rPr>
                <w:sz w:val="18"/>
                <w:szCs w:val="18"/>
              </w:rPr>
              <w:t>No.</w:t>
            </w:r>
            <w:r w:rsidR="00B70FF3">
              <w:rPr>
                <w:sz w:val="18"/>
                <w:szCs w:val="18"/>
              </w:rPr>
              <w:t xml:space="preserve"> </w:t>
            </w:r>
            <w:r w:rsidRPr="00B70FF3">
              <w:rPr>
                <w:sz w:val="18"/>
                <w:szCs w:val="18"/>
              </w:rPr>
              <w:t>72 mengatur model pengakuan pendapatan dari kontrak dengan pelanggan</w:t>
            </w:r>
            <w:r w:rsidR="00F15497">
              <w:rPr>
                <w:sz w:val="18"/>
                <w:szCs w:val="18"/>
              </w:rPr>
              <w:t>,</w:t>
            </w:r>
            <w:r w:rsidRPr="00B70FF3">
              <w:rPr>
                <w:sz w:val="18"/>
                <w:szCs w:val="18"/>
              </w:rPr>
              <w:t xml:space="preserve"> sehingga entitas diharapkan dapat melakukan analisis sebelum mengakui pendapatan. PSAK</w:t>
            </w:r>
            <w:r w:rsidR="00B70FF3">
              <w:rPr>
                <w:sz w:val="18"/>
                <w:szCs w:val="18"/>
              </w:rPr>
              <w:t xml:space="preserve"> </w:t>
            </w:r>
            <w:r w:rsidR="00B70FF3" w:rsidRPr="00B70FF3">
              <w:rPr>
                <w:sz w:val="18"/>
                <w:szCs w:val="18"/>
              </w:rPr>
              <w:t>No.</w:t>
            </w:r>
            <w:r w:rsidR="000054FB">
              <w:rPr>
                <w:sz w:val="18"/>
                <w:szCs w:val="18"/>
              </w:rPr>
              <w:t xml:space="preserve"> 72 ini </w:t>
            </w:r>
            <w:r w:rsidRPr="00B70FF3">
              <w:rPr>
                <w:sz w:val="18"/>
                <w:szCs w:val="18"/>
              </w:rPr>
              <w:t xml:space="preserve">  PSAK</w:t>
            </w:r>
            <w:r w:rsidR="00B70FF3">
              <w:rPr>
                <w:sz w:val="18"/>
                <w:szCs w:val="18"/>
              </w:rPr>
              <w:t xml:space="preserve"> </w:t>
            </w:r>
            <w:r w:rsidR="00B70FF3" w:rsidRPr="00B70FF3">
              <w:rPr>
                <w:sz w:val="18"/>
                <w:szCs w:val="18"/>
              </w:rPr>
              <w:t xml:space="preserve">No. </w:t>
            </w:r>
            <w:r w:rsidRPr="00B70FF3">
              <w:rPr>
                <w:sz w:val="18"/>
                <w:szCs w:val="18"/>
              </w:rPr>
              <w:t>23 “Pendapatan”</w:t>
            </w:r>
            <w:r w:rsidR="00870FD0">
              <w:rPr>
                <w:sz w:val="18"/>
                <w:szCs w:val="18"/>
              </w:rPr>
              <w:t>.</w:t>
            </w:r>
            <w:r w:rsidRPr="00B70FF3">
              <w:rPr>
                <w:sz w:val="18"/>
                <w:szCs w:val="18"/>
              </w:rPr>
              <w:t xml:space="preserve"> PSAK</w:t>
            </w:r>
            <w:r w:rsidR="00B70FF3">
              <w:rPr>
                <w:sz w:val="18"/>
                <w:szCs w:val="18"/>
              </w:rPr>
              <w:t xml:space="preserve"> </w:t>
            </w:r>
            <w:r w:rsidR="00B70FF3" w:rsidRPr="00B70FF3">
              <w:rPr>
                <w:sz w:val="18"/>
                <w:szCs w:val="18"/>
              </w:rPr>
              <w:t>No.</w:t>
            </w:r>
            <w:r w:rsidR="00B70FF3">
              <w:rPr>
                <w:sz w:val="18"/>
                <w:szCs w:val="18"/>
              </w:rPr>
              <w:t xml:space="preserve"> </w:t>
            </w:r>
            <w:r w:rsidRPr="00B70FF3">
              <w:rPr>
                <w:sz w:val="18"/>
                <w:szCs w:val="18"/>
              </w:rPr>
              <w:t>34 “Kontrak Konstruksi”</w:t>
            </w:r>
            <w:r w:rsidR="00F15497">
              <w:rPr>
                <w:sz w:val="18"/>
                <w:szCs w:val="18"/>
              </w:rPr>
              <w:t>,</w:t>
            </w:r>
            <w:r w:rsidRPr="00B70FF3">
              <w:rPr>
                <w:sz w:val="18"/>
                <w:szCs w:val="18"/>
              </w:rPr>
              <w:t xml:space="preserve"> PSAK</w:t>
            </w:r>
            <w:r w:rsidR="00B70FF3">
              <w:rPr>
                <w:sz w:val="18"/>
                <w:szCs w:val="18"/>
              </w:rPr>
              <w:t xml:space="preserve"> </w:t>
            </w:r>
            <w:r w:rsidR="00B70FF3" w:rsidRPr="00B70FF3">
              <w:rPr>
                <w:sz w:val="18"/>
                <w:szCs w:val="18"/>
              </w:rPr>
              <w:t xml:space="preserve">No. </w:t>
            </w:r>
            <w:r w:rsidRPr="00B70FF3">
              <w:rPr>
                <w:sz w:val="18"/>
                <w:szCs w:val="18"/>
              </w:rPr>
              <w:t xml:space="preserve"> 44 “Akuntansi Aktivitas Pengembangan Real Estate”</w:t>
            </w:r>
            <w:r w:rsidR="00F15497">
              <w:rPr>
                <w:sz w:val="18"/>
                <w:szCs w:val="18"/>
              </w:rPr>
              <w:t>,</w:t>
            </w:r>
            <w:r w:rsidRPr="00B70FF3">
              <w:rPr>
                <w:sz w:val="18"/>
                <w:szCs w:val="18"/>
              </w:rPr>
              <w:t xml:space="preserve"> </w:t>
            </w:r>
            <w:r w:rsidR="00B70FF3">
              <w:rPr>
                <w:sz w:val="18"/>
                <w:szCs w:val="18"/>
              </w:rPr>
              <w:br/>
            </w:r>
            <w:r w:rsidRPr="00B70FF3">
              <w:rPr>
                <w:sz w:val="18"/>
                <w:szCs w:val="18"/>
              </w:rPr>
              <w:t>ISAK</w:t>
            </w:r>
            <w:r w:rsidR="00B70FF3">
              <w:rPr>
                <w:sz w:val="18"/>
                <w:szCs w:val="18"/>
              </w:rPr>
              <w:t xml:space="preserve"> </w:t>
            </w:r>
            <w:r w:rsidR="00B70FF3" w:rsidRPr="00B70FF3">
              <w:rPr>
                <w:sz w:val="18"/>
                <w:szCs w:val="18"/>
              </w:rPr>
              <w:t xml:space="preserve">No. </w:t>
            </w:r>
            <w:r w:rsidRPr="00B70FF3">
              <w:rPr>
                <w:sz w:val="18"/>
                <w:szCs w:val="18"/>
              </w:rPr>
              <w:t xml:space="preserve"> 10 “Program Loyalitas Pelanggan”</w:t>
            </w:r>
            <w:r w:rsidR="00F15497">
              <w:rPr>
                <w:sz w:val="18"/>
                <w:szCs w:val="18"/>
              </w:rPr>
              <w:t>,</w:t>
            </w:r>
            <w:r w:rsidRPr="00B70FF3">
              <w:rPr>
                <w:sz w:val="18"/>
                <w:szCs w:val="18"/>
              </w:rPr>
              <w:t xml:space="preserve"> ISAK</w:t>
            </w:r>
            <w:r w:rsidR="00B70FF3">
              <w:rPr>
                <w:sz w:val="18"/>
                <w:szCs w:val="18"/>
              </w:rPr>
              <w:t xml:space="preserve"> </w:t>
            </w:r>
            <w:r w:rsidR="00B70FF3" w:rsidRPr="00B70FF3">
              <w:rPr>
                <w:sz w:val="18"/>
                <w:szCs w:val="18"/>
              </w:rPr>
              <w:t>No.</w:t>
            </w:r>
            <w:r w:rsidRPr="00B70FF3">
              <w:rPr>
                <w:sz w:val="18"/>
                <w:szCs w:val="18"/>
              </w:rPr>
              <w:t xml:space="preserve"> 21 “Perjanjian Konstruksi Real Estat</w:t>
            </w:r>
            <w:r w:rsidR="00F15497">
              <w:rPr>
                <w:sz w:val="18"/>
                <w:szCs w:val="18"/>
              </w:rPr>
              <w:t>e</w:t>
            </w:r>
            <w:r w:rsidRPr="00B70FF3">
              <w:rPr>
                <w:sz w:val="18"/>
                <w:szCs w:val="18"/>
              </w:rPr>
              <w:t>” dan ISAK</w:t>
            </w:r>
            <w:r w:rsidR="00B70FF3">
              <w:rPr>
                <w:sz w:val="18"/>
                <w:szCs w:val="18"/>
              </w:rPr>
              <w:t xml:space="preserve"> </w:t>
            </w:r>
            <w:r w:rsidR="00B70FF3" w:rsidRPr="00B70FF3">
              <w:rPr>
                <w:sz w:val="18"/>
                <w:szCs w:val="18"/>
              </w:rPr>
              <w:t>No.</w:t>
            </w:r>
            <w:r w:rsidR="00F15497">
              <w:rPr>
                <w:sz w:val="18"/>
                <w:szCs w:val="18"/>
              </w:rPr>
              <w:t xml:space="preserve"> 27</w:t>
            </w:r>
            <w:r w:rsidRPr="00B70FF3">
              <w:rPr>
                <w:sz w:val="18"/>
                <w:szCs w:val="18"/>
              </w:rPr>
              <w:t>:</w:t>
            </w:r>
            <w:r w:rsidR="00F15497">
              <w:rPr>
                <w:sz w:val="18"/>
                <w:szCs w:val="18"/>
              </w:rPr>
              <w:t xml:space="preserve"> </w:t>
            </w:r>
            <w:r w:rsidRPr="00B70FF3">
              <w:rPr>
                <w:sz w:val="18"/>
                <w:szCs w:val="18"/>
              </w:rPr>
              <w:t>Pengalihan Aset Dari Pelanggan”.</w:t>
            </w:r>
          </w:p>
        </w:tc>
        <w:tc>
          <w:tcPr>
            <w:tcW w:w="4598" w:type="dxa"/>
          </w:tcPr>
          <w:p w14:paraId="716DF6E5" w14:textId="59233C5F" w:rsidR="00DD46FC" w:rsidRPr="00B70FF3" w:rsidRDefault="00DD46FC" w:rsidP="00070D1F">
            <w:pPr>
              <w:pStyle w:val="ListParagraph"/>
              <w:numPr>
                <w:ilvl w:val="0"/>
                <w:numId w:val="266"/>
              </w:numPr>
              <w:ind w:left="884" w:right="-57" w:hanging="283"/>
              <w:contextualSpacing/>
              <w:jc w:val="both"/>
              <w:rPr>
                <w:i/>
                <w:iCs/>
                <w:sz w:val="18"/>
                <w:szCs w:val="18"/>
              </w:rPr>
            </w:pPr>
            <w:r w:rsidRPr="00B70FF3">
              <w:rPr>
                <w:i/>
                <w:iCs/>
                <w:sz w:val="18"/>
                <w:szCs w:val="18"/>
              </w:rPr>
              <w:t>PSAK</w:t>
            </w:r>
            <w:r w:rsidR="00B70FF3">
              <w:rPr>
                <w:i/>
                <w:iCs/>
                <w:sz w:val="18"/>
                <w:szCs w:val="18"/>
              </w:rPr>
              <w:t xml:space="preserve"> </w:t>
            </w:r>
            <w:r w:rsidR="00B70FF3" w:rsidRPr="00B70FF3">
              <w:rPr>
                <w:i/>
                <w:iCs/>
                <w:sz w:val="18"/>
                <w:szCs w:val="18"/>
              </w:rPr>
              <w:t>No.</w:t>
            </w:r>
            <w:r w:rsidRPr="00B70FF3">
              <w:rPr>
                <w:i/>
                <w:iCs/>
                <w:sz w:val="18"/>
                <w:szCs w:val="18"/>
              </w:rPr>
              <w:t xml:space="preserve"> 72 "Revenue </w:t>
            </w:r>
            <w:proofErr w:type="gramStart"/>
            <w:r w:rsidRPr="00B70FF3">
              <w:rPr>
                <w:i/>
                <w:iCs/>
                <w:sz w:val="18"/>
                <w:szCs w:val="18"/>
              </w:rPr>
              <w:t>From</w:t>
            </w:r>
            <w:proofErr w:type="gramEnd"/>
            <w:r w:rsidRPr="00B70FF3">
              <w:rPr>
                <w:i/>
                <w:iCs/>
                <w:sz w:val="18"/>
                <w:szCs w:val="18"/>
              </w:rPr>
              <w:t xml:space="preserve"> Contract With Customers". PSAK</w:t>
            </w:r>
            <w:r w:rsidR="00B70FF3">
              <w:rPr>
                <w:i/>
                <w:iCs/>
                <w:sz w:val="18"/>
                <w:szCs w:val="18"/>
              </w:rPr>
              <w:t xml:space="preserve"> </w:t>
            </w:r>
            <w:r w:rsidR="00B70FF3" w:rsidRPr="00B70FF3">
              <w:rPr>
                <w:i/>
                <w:iCs/>
                <w:sz w:val="18"/>
                <w:szCs w:val="18"/>
              </w:rPr>
              <w:t>No.</w:t>
            </w:r>
            <w:r w:rsidR="00B70FF3">
              <w:rPr>
                <w:i/>
                <w:iCs/>
                <w:sz w:val="18"/>
                <w:szCs w:val="18"/>
              </w:rPr>
              <w:t xml:space="preserve"> </w:t>
            </w:r>
            <w:r w:rsidRPr="00B70FF3">
              <w:rPr>
                <w:i/>
                <w:iCs/>
                <w:sz w:val="18"/>
                <w:szCs w:val="18"/>
              </w:rPr>
              <w:t>72 sets the revenue recognition model of the contract with the customer</w:t>
            </w:r>
            <w:r w:rsidR="00F15497">
              <w:rPr>
                <w:i/>
                <w:iCs/>
                <w:sz w:val="18"/>
                <w:szCs w:val="18"/>
              </w:rPr>
              <w:t>,</w:t>
            </w:r>
            <w:r w:rsidRPr="00B70FF3">
              <w:rPr>
                <w:i/>
                <w:iCs/>
                <w:sz w:val="18"/>
                <w:szCs w:val="18"/>
              </w:rPr>
              <w:t xml:space="preserve"> so the entity is expected to conduct an analysis before acknowledging the revenue. This PSAK </w:t>
            </w:r>
            <w:r w:rsidR="00B70FF3" w:rsidRPr="00B70FF3">
              <w:rPr>
                <w:i/>
                <w:iCs/>
                <w:sz w:val="18"/>
                <w:szCs w:val="18"/>
              </w:rPr>
              <w:t>No.</w:t>
            </w:r>
            <w:r w:rsidR="00B70FF3">
              <w:rPr>
                <w:i/>
                <w:iCs/>
                <w:sz w:val="18"/>
                <w:szCs w:val="18"/>
              </w:rPr>
              <w:t xml:space="preserve"> </w:t>
            </w:r>
            <w:r w:rsidR="000054FB">
              <w:rPr>
                <w:i/>
                <w:iCs/>
                <w:sz w:val="18"/>
                <w:szCs w:val="18"/>
              </w:rPr>
              <w:t xml:space="preserve">72 </w:t>
            </w:r>
            <w:r w:rsidRPr="00B70FF3">
              <w:rPr>
                <w:i/>
                <w:iCs/>
                <w:sz w:val="18"/>
                <w:szCs w:val="18"/>
              </w:rPr>
              <w:t>replace</w:t>
            </w:r>
            <w:r w:rsidR="000054FB">
              <w:rPr>
                <w:i/>
                <w:iCs/>
                <w:sz w:val="18"/>
                <w:szCs w:val="18"/>
                <w:lang w:val="id-ID"/>
              </w:rPr>
              <w:t>d</w:t>
            </w:r>
            <w:r w:rsidRPr="00B70FF3">
              <w:rPr>
                <w:i/>
                <w:iCs/>
                <w:sz w:val="18"/>
                <w:szCs w:val="18"/>
              </w:rPr>
              <w:t xml:space="preserve"> PSAK </w:t>
            </w:r>
            <w:r w:rsidR="00B70FF3" w:rsidRPr="00B70FF3">
              <w:rPr>
                <w:i/>
                <w:iCs/>
                <w:sz w:val="18"/>
                <w:szCs w:val="18"/>
              </w:rPr>
              <w:t>No.</w:t>
            </w:r>
            <w:r w:rsidR="00B70FF3">
              <w:rPr>
                <w:i/>
                <w:iCs/>
                <w:sz w:val="18"/>
                <w:szCs w:val="18"/>
              </w:rPr>
              <w:t xml:space="preserve"> </w:t>
            </w:r>
            <w:r w:rsidRPr="00B70FF3">
              <w:rPr>
                <w:i/>
                <w:iCs/>
                <w:sz w:val="18"/>
                <w:szCs w:val="18"/>
              </w:rPr>
              <w:t>23 "Revenue"</w:t>
            </w:r>
            <w:r w:rsidR="00F15497">
              <w:rPr>
                <w:i/>
                <w:iCs/>
                <w:sz w:val="18"/>
                <w:szCs w:val="18"/>
              </w:rPr>
              <w:t>,</w:t>
            </w:r>
            <w:r w:rsidRPr="00B70FF3">
              <w:rPr>
                <w:i/>
                <w:iCs/>
                <w:sz w:val="18"/>
                <w:szCs w:val="18"/>
              </w:rPr>
              <w:t xml:space="preserve"> PSAK</w:t>
            </w:r>
            <w:r w:rsidR="00B70FF3">
              <w:rPr>
                <w:i/>
                <w:iCs/>
                <w:sz w:val="18"/>
                <w:szCs w:val="18"/>
              </w:rPr>
              <w:t xml:space="preserve"> </w:t>
            </w:r>
            <w:r w:rsidR="00B70FF3" w:rsidRPr="00B70FF3">
              <w:rPr>
                <w:i/>
                <w:iCs/>
                <w:sz w:val="18"/>
                <w:szCs w:val="18"/>
              </w:rPr>
              <w:t>No.</w:t>
            </w:r>
            <w:r w:rsidRPr="00B70FF3">
              <w:rPr>
                <w:i/>
                <w:iCs/>
                <w:sz w:val="18"/>
                <w:szCs w:val="18"/>
              </w:rPr>
              <w:t xml:space="preserve"> 34 "Construction Contracts"</w:t>
            </w:r>
            <w:r w:rsidR="00F15497">
              <w:rPr>
                <w:i/>
                <w:iCs/>
                <w:sz w:val="18"/>
                <w:szCs w:val="18"/>
              </w:rPr>
              <w:t>,</w:t>
            </w:r>
            <w:r w:rsidRPr="00B70FF3">
              <w:rPr>
                <w:i/>
                <w:iCs/>
                <w:sz w:val="18"/>
                <w:szCs w:val="18"/>
              </w:rPr>
              <w:t xml:space="preserve"> PSAK </w:t>
            </w:r>
            <w:r w:rsidR="00B70FF3" w:rsidRPr="00B70FF3">
              <w:rPr>
                <w:i/>
                <w:iCs/>
                <w:sz w:val="18"/>
                <w:szCs w:val="18"/>
              </w:rPr>
              <w:t>No.</w:t>
            </w:r>
            <w:r w:rsidR="00B70FF3">
              <w:rPr>
                <w:i/>
                <w:iCs/>
                <w:sz w:val="18"/>
                <w:szCs w:val="18"/>
              </w:rPr>
              <w:t xml:space="preserve"> </w:t>
            </w:r>
            <w:r w:rsidRPr="00B70FF3">
              <w:rPr>
                <w:i/>
                <w:iCs/>
                <w:sz w:val="18"/>
                <w:szCs w:val="18"/>
              </w:rPr>
              <w:t>44 "Accounting for Real Estate Development Activities"</w:t>
            </w:r>
            <w:r w:rsidR="00F15497">
              <w:rPr>
                <w:i/>
                <w:iCs/>
                <w:sz w:val="18"/>
                <w:szCs w:val="18"/>
              </w:rPr>
              <w:t>,</w:t>
            </w:r>
            <w:r w:rsidRPr="00B70FF3">
              <w:rPr>
                <w:i/>
                <w:iCs/>
                <w:sz w:val="18"/>
                <w:szCs w:val="18"/>
              </w:rPr>
              <w:t xml:space="preserve"> ISAK</w:t>
            </w:r>
            <w:r w:rsidR="00B70FF3">
              <w:rPr>
                <w:i/>
                <w:iCs/>
                <w:sz w:val="18"/>
                <w:szCs w:val="18"/>
              </w:rPr>
              <w:t xml:space="preserve"> </w:t>
            </w:r>
            <w:r w:rsidR="00B70FF3" w:rsidRPr="00B70FF3">
              <w:rPr>
                <w:i/>
                <w:iCs/>
                <w:sz w:val="18"/>
                <w:szCs w:val="18"/>
              </w:rPr>
              <w:t>No.</w:t>
            </w:r>
            <w:r w:rsidRPr="00B70FF3">
              <w:rPr>
                <w:i/>
                <w:iCs/>
                <w:sz w:val="18"/>
                <w:szCs w:val="18"/>
              </w:rPr>
              <w:t xml:space="preserve"> 10 "Customer Loyalty Program"</w:t>
            </w:r>
            <w:r w:rsidR="00F15497">
              <w:rPr>
                <w:i/>
                <w:iCs/>
                <w:sz w:val="18"/>
                <w:szCs w:val="18"/>
              </w:rPr>
              <w:t>,</w:t>
            </w:r>
            <w:r w:rsidRPr="00B70FF3">
              <w:rPr>
                <w:i/>
                <w:iCs/>
                <w:sz w:val="18"/>
                <w:szCs w:val="18"/>
              </w:rPr>
              <w:t xml:space="preserve"> ISAK</w:t>
            </w:r>
            <w:r w:rsidR="00B70FF3">
              <w:rPr>
                <w:i/>
                <w:iCs/>
                <w:sz w:val="18"/>
                <w:szCs w:val="18"/>
              </w:rPr>
              <w:t xml:space="preserve"> </w:t>
            </w:r>
            <w:r w:rsidR="00B70FF3" w:rsidRPr="00B70FF3">
              <w:rPr>
                <w:i/>
                <w:iCs/>
                <w:sz w:val="18"/>
                <w:szCs w:val="18"/>
              </w:rPr>
              <w:t>No.</w:t>
            </w:r>
            <w:r w:rsidRPr="00B70FF3">
              <w:rPr>
                <w:i/>
                <w:iCs/>
                <w:sz w:val="18"/>
                <w:szCs w:val="18"/>
              </w:rPr>
              <w:t xml:space="preserve"> 21 "Real Estate Construction Agreements" and </w:t>
            </w:r>
            <w:r w:rsidR="00B70FF3">
              <w:rPr>
                <w:i/>
                <w:iCs/>
                <w:sz w:val="18"/>
                <w:szCs w:val="18"/>
              </w:rPr>
              <w:br/>
            </w:r>
            <w:r w:rsidRPr="00B70FF3">
              <w:rPr>
                <w:i/>
                <w:iCs/>
                <w:sz w:val="18"/>
                <w:szCs w:val="18"/>
              </w:rPr>
              <w:t>ISAK</w:t>
            </w:r>
            <w:r w:rsidR="00B70FF3" w:rsidRPr="00B70FF3">
              <w:rPr>
                <w:i/>
                <w:iCs/>
                <w:sz w:val="18"/>
                <w:szCs w:val="18"/>
              </w:rPr>
              <w:t xml:space="preserve"> No.</w:t>
            </w:r>
            <w:r w:rsidRPr="00B70FF3">
              <w:rPr>
                <w:i/>
                <w:iCs/>
                <w:sz w:val="18"/>
                <w:szCs w:val="18"/>
              </w:rPr>
              <w:t xml:space="preserve"> 27: Transfer of Assets From Customers".</w:t>
            </w:r>
          </w:p>
        </w:tc>
      </w:tr>
    </w:tbl>
    <w:p w14:paraId="3C1C7F5E" w14:textId="77777777" w:rsidR="000406F0" w:rsidRDefault="000406F0">
      <w:pPr>
        <w:rPr>
          <w:lang w:val="id-ID"/>
        </w:rPr>
        <w:sectPr w:rsidR="000406F0" w:rsidSect="00037369">
          <w:headerReference w:type="even" r:id="rId41"/>
          <w:footerReference w:type="default" r:id="rId42"/>
          <w:headerReference w:type="first" r:id="rId43"/>
          <w:pgSz w:w="11907" w:h="16839" w:code="9"/>
          <w:pgMar w:top="1363" w:right="1100" w:bottom="278" w:left="1281" w:header="850" w:footer="397" w:gutter="0"/>
          <w:cols w:space="708"/>
          <w:noEndnote/>
          <w:docGrid w:linePitch="326"/>
        </w:sectPr>
      </w:pPr>
    </w:p>
    <w:tbl>
      <w:tblPr>
        <w:tblW w:w="9197" w:type="dxa"/>
        <w:tblInd w:w="392" w:type="dxa"/>
        <w:tblLayout w:type="fixed"/>
        <w:tblLook w:val="0000" w:firstRow="0" w:lastRow="0" w:firstColumn="0" w:lastColumn="0" w:noHBand="0" w:noVBand="0"/>
      </w:tblPr>
      <w:tblGrid>
        <w:gridCol w:w="4598"/>
        <w:gridCol w:w="4599"/>
      </w:tblGrid>
      <w:tr w:rsidR="00DD46FC" w:rsidRPr="009C56F7" w14:paraId="35BEBAD3" w14:textId="77777777" w:rsidTr="000406F0">
        <w:tc>
          <w:tcPr>
            <w:tcW w:w="4598" w:type="dxa"/>
          </w:tcPr>
          <w:p w14:paraId="3D71E82A" w14:textId="38958B30" w:rsidR="00DD46FC" w:rsidRPr="009C56F7" w:rsidRDefault="00DD46FC" w:rsidP="00070D1F">
            <w:pPr>
              <w:pStyle w:val="ListParagraph"/>
              <w:numPr>
                <w:ilvl w:val="0"/>
                <w:numId w:val="267"/>
              </w:numPr>
              <w:ind w:left="317" w:right="-57" w:hanging="317"/>
              <w:contextualSpacing/>
              <w:jc w:val="both"/>
              <w:rPr>
                <w:rStyle w:val="hps"/>
                <w:sz w:val="18"/>
                <w:szCs w:val="18"/>
              </w:rPr>
            </w:pPr>
            <w:r w:rsidRPr="0013526B">
              <w:rPr>
                <w:sz w:val="18"/>
                <w:szCs w:val="18"/>
              </w:rPr>
              <w:lastRenderedPageBreak/>
              <w:br w:type="page"/>
            </w:r>
            <w:r w:rsidRPr="009C56F7">
              <w:rPr>
                <w:b/>
                <w:bCs w:val="0"/>
                <w:sz w:val="18"/>
                <w:szCs w:val="18"/>
              </w:rPr>
              <w:t>PENERAPAN PERNYATAAN STANDAR AKUNTANSI KEUANGAN (“PSAK”) DAN INTERPRETASI STANDAR AKUNTANSI KEUANGAN (“ISAK”) BARU DAN REVISI</w:t>
            </w:r>
            <w:r w:rsidRPr="009C56F7">
              <w:rPr>
                <w:b/>
                <w:bCs w:val="0"/>
                <w:sz w:val="18"/>
                <w:szCs w:val="18"/>
                <w:lang w:val="id-ID"/>
              </w:rPr>
              <w:t xml:space="preserve"> </w:t>
            </w:r>
            <w:r w:rsidR="006A55F7">
              <w:rPr>
                <w:b/>
                <w:bCs w:val="0"/>
                <w:sz w:val="18"/>
                <w:szCs w:val="18"/>
                <w:lang w:val="id-ID"/>
              </w:rPr>
              <w:t>–</w:t>
            </w:r>
            <w:r w:rsidRPr="009C56F7">
              <w:rPr>
                <w:b/>
                <w:bCs w:val="0"/>
                <w:sz w:val="18"/>
                <w:szCs w:val="18"/>
                <w:lang w:val="id-ID"/>
              </w:rPr>
              <w:t xml:space="preserve"> Lanjutan</w:t>
            </w:r>
          </w:p>
        </w:tc>
        <w:tc>
          <w:tcPr>
            <w:tcW w:w="4599" w:type="dxa"/>
          </w:tcPr>
          <w:p w14:paraId="55E46335" w14:textId="3657D039" w:rsidR="00DD46FC" w:rsidRPr="009C56F7" w:rsidRDefault="00DD46FC" w:rsidP="00070D1F">
            <w:pPr>
              <w:pStyle w:val="ListParagraph"/>
              <w:numPr>
                <w:ilvl w:val="0"/>
                <w:numId w:val="268"/>
              </w:numPr>
              <w:ind w:left="289" w:hanging="289"/>
              <w:contextualSpacing/>
              <w:jc w:val="both"/>
              <w:rPr>
                <w:bCs w:val="0"/>
                <w:i/>
                <w:sz w:val="18"/>
                <w:szCs w:val="18"/>
              </w:rPr>
            </w:pPr>
            <w:r w:rsidRPr="009C56F7">
              <w:rPr>
                <w:b/>
                <w:i/>
                <w:sz w:val="18"/>
                <w:szCs w:val="18"/>
              </w:rPr>
              <w:t>ADOPTION</w:t>
            </w:r>
            <w:r w:rsidRPr="009C56F7">
              <w:rPr>
                <w:b/>
                <w:bCs w:val="0"/>
                <w:i/>
                <w:sz w:val="18"/>
                <w:szCs w:val="18"/>
              </w:rPr>
              <w:t xml:space="preserve"> OF NEW AND REVISED STATEMENTS OF FINANCIAL ACCOUNTING STANDARDS (“PSAK”) AND INTERPRETATION TO FINANCIAL ACCOUNTING STANDARDS (“ISAK”)</w:t>
            </w:r>
            <w:r w:rsidRPr="009C56F7">
              <w:rPr>
                <w:b/>
                <w:bCs w:val="0"/>
                <w:i/>
                <w:sz w:val="18"/>
                <w:szCs w:val="18"/>
                <w:lang w:val="id-ID"/>
              </w:rPr>
              <w:t xml:space="preserve"> </w:t>
            </w:r>
            <w:r w:rsidR="00771F71">
              <w:rPr>
                <w:b/>
                <w:bCs w:val="0"/>
                <w:i/>
                <w:sz w:val="18"/>
                <w:szCs w:val="18"/>
                <w:lang w:val="id-ID"/>
              </w:rPr>
              <w:t>–</w:t>
            </w:r>
            <w:r w:rsidRPr="009C56F7">
              <w:rPr>
                <w:b/>
                <w:bCs w:val="0"/>
                <w:i/>
                <w:sz w:val="18"/>
                <w:szCs w:val="18"/>
                <w:lang w:val="id-ID"/>
              </w:rPr>
              <w:t xml:space="preserve"> Continued</w:t>
            </w:r>
          </w:p>
        </w:tc>
      </w:tr>
    </w:tbl>
    <w:p w14:paraId="711210EF" w14:textId="77777777" w:rsidR="00DD46FC" w:rsidRPr="009C56F7" w:rsidRDefault="00DD46FC" w:rsidP="00DD46FC">
      <w:pPr>
        <w:rPr>
          <w:sz w:val="16"/>
        </w:rPr>
      </w:pPr>
    </w:p>
    <w:tbl>
      <w:tblPr>
        <w:tblW w:w="9197" w:type="dxa"/>
        <w:tblInd w:w="392" w:type="dxa"/>
        <w:tblLayout w:type="fixed"/>
        <w:tblLook w:val="0000" w:firstRow="0" w:lastRow="0" w:firstColumn="0" w:lastColumn="0" w:noHBand="0" w:noVBand="0"/>
      </w:tblPr>
      <w:tblGrid>
        <w:gridCol w:w="4598"/>
        <w:gridCol w:w="4599"/>
      </w:tblGrid>
      <w:tr w:rsidR="00DD46FC" w:rsidRPr="009C56F7" w14:paraId="4D36D180" w14:textId="77777777" w:rsidTr="00A93805">
        <w:tc>
          <w:tcPr>
            <w:tcW w:w="4598" w:type="dxa"/>
          </w:tcPr>
          <w:p w14:paraId="5D208A52" w14:textId="38C1B34B" w:rsidR="00DD46FC" w:rsidRPr="00095D41" w:rsidRDefault="00771F71" w:rsidP="00070D1F">
            <w:pPr>
              <w:numPr>
                <w:ilvl w:val="0"/>
                <w:numId w:val="269"/>
              </w:numPr>
              <w:ind w:left="601" w:hanging="317"/>
              <w:jc w:val="both"/>
              <w:rPr>
                <w:rFonts w:eastAsia="Calibri"/>
                <w:b/>
                <w:color w:val="000000"/>
                <w:sz w:val="18"/>
                <w:szCs w:val="18"/>
              </w:rPr>
            </w:pPr>
            <w:r w:rsidRPr="00095D41">
              <w:rPr>
                <w:rFonts w:eastAsia="Calibri"/>
                <w:b/>
                <w:color w:val="000000"/>
                <w:sz w:val="18"/>
                <w:szCs w:val="18"/>
              </w:rPr>
              <w:t>Standar yang Diterbitkan dan Berlaku Efektif Dalam Tahun Berjalan (pada atau setelah</w:t>
            </w:r>
            <w:r w:rsidRPr="00095D41">
              <w:rPr>
                <w:rFonts w:eastAsia="Calibri"/>
                <w:b/>
                <w:color w:val="000000"/>
                <w:sz w:val="18"/>
                <w:szCs w:val="18"/>
              </w:rPr>
              <w:br/>
              <w:t>1 Januari 20</w:t>
            </w:r>
            <w:r w:rsidRPr="00095D41">
              <w:rPr>
                <w:rFonts w:eastAsia="Calibri"/>
                <w:b/>
                <w:color w:val="000000"/>
                <w:sz w:val="18"/>
                <w:szCs w:val="18"/>
                <w:lang w:val="id-ID"/>
              </w:rPr>
              <w:t>20 – Lanjutan</w:t>
            </w:r>
          </w:p>
        </w:tc>
        <w:tc>
          <w:tcPr>
            <w:tcW w:w="4598" w:type="dxa"/>
          </w:tcPr>
          <w:p w14:paraId="44676267" w14:textId="38731B5A" w:rsidR="00DD46FC" w:rsidRPr="00095D41" w:rsidRDefault="007B65C3" w:rsidP="00070D1F">
            <w:pPr>
              <w:numPr>
                <w:ilvl w:val="0"/>
                <w:numId w:val="270"/>
              </w:numPr>
              <w:autoSpaceDE w:val="0"/>
              <w:autoSpaceDN w:val="0"/>
              <w:adjustRightInd w:val="0"/>
              <w:ind w:left="572" w:hanging="283"/>
              <w:jc w:val="both"/>
              <w:rPr>
                <w:b/>
                <w:i/>
                <w:sz w:val="18"/>
                <w:szCs w:val="18"/>
              </w:rPr>
            </w:pPr>
            <w:r w:rsidRPr="00095D41">
              <w:rPr>
                <w:rFonts w:eastAsia="Calibri"/>
                <w:b/>
                <w:i/>
                <w:color w:val="000000"/>
                <w:sz w:val="18"/>
                <w:szCs w:val="18"/>
              </w:rPr>
              <w:t>Standards Issued and Effective in the Current Year (on or after January 1. 20</w:t>
            </w:r>
            <w:r w:rsidRPr="00095D41">
              <w:rPr>
                <w:rFonts w:eastAsia="Calibri"/>
                <w:b/>
                <w:i/>
                <w:color w:val="000000"/>
                <w:sz w:val="18"/>
                <w:szCs w:val="18"/>
                <w:lang w:val="id-ID"/>
              </w:rPr>
              <w:t>20</w:t>
            </w:r>
            <w:r w:rsidRPr="00095D41">
              <w:rPr>
                <w:rFonts w:eastAsia="Calibri"/>
                <w:b/>
                <w:i/>
                <w:color w:val="000000"/>
                <w:sz w:val="18"/>
                <w:szCs w:val="18"/>
              </w:rPr>
              <w:t>)</w:t>
            </w:r>
            <w:r w:rsidRPr="00095D41">
              <w:rPr>
                <w:b/>
                <w:i/>
                <w:sz w:val="18"/>
                <w:szCs w:val="18"/>
                <w:lang w:val="id-ID"/>
              </w:rPr>
              <w:t>- Continued</w:t>
            </w:r>
          </w:p>
        </w:tc>
      </w:tr>
    </w:tbl>
    <w:p w14:paraId="7D2FBA33" w14:textId="77777777" w:rsidR="00DD46FC" w:rsidRPr="009C56F7" w:rsidRDefault="00DD46FC">
      <w:pPr>
        <w:rPr>
          <w:sz w:val="18"/>
          <w:lang w:val="id-ID"/>
        </w:rPr>
      </w:pPr>
    </w:p>
    <w:tbl>
      <w:tblPr>
        <w:tblW w:w="9197" w:type="dxa"/>
        <w:tblInd w:w="392" w:type="dxa"/>
        <w:tblLayout w:type="fixed"/>
        <w:tblLook w:val="0000" w:firstRow="0" w:lastRow="0" w:firstColumn="0" w:lastColumn="0" w:noHBand="0" w:noVBand="0"/>
      </w:tblPr>
      <w:tblGrid>
        <w:gridCol w:w="4598"/>
        <w:gridCol w:w="4599"/>
      </w:tblGrid>
      <w:tr w:rsidR="00DD46FC" w:rsidRPr="009C56F7" w14:paraId="0375AFEC" w14:textId="77777777" w:rsidTr="004D2565">
        <w:tc>
          <w:tcPr>
            <w:tcW w:w="4598" w:type="dxa"/>
          </w:tcPr>
          <w:p w14:paraId="48B10E2A" w14:textId="2BE49B1F" w:rsidR="00DD46FC" w:rsidRPr="009C56F7" w:rsidRDefault="00DD46FC" w:rsidP="00070D1F">
            <w:pPr>
              <w:pStyle w:val="ListParagraph"/>
              <w:numPr>
                <w:ilvl w:val="0"/>
                <w:numId w:val="266"/>
              </w:numPr>
              <w:ind w:left="884" w:right="-57" w:hanging="283"/>
              <w:contextualSpacing/>
              <w:jc w:val="both"/>
              <w:rPr>
                <w:sz w:val="18"/>
                <w:szCs w:val="18"/>
              </w:rPr>
            </w:pPr>
            <w:r w:rsidRPr="009C56F7">
              <w:rPr>
                <w:sz w:val="18"/>
                <w:szCs w:val="18"/>
              </w:rPr>
              <w:t>PSAK</w:t>
            </w:r>
            <w:r w:rsidR="009C56F7">
              <w:rPr>
                <w:sz w:val="18"/>
                <w:szCs w:val="18"/>
              </w:rPr>
              <w:t xml:space="preserve"> No.</w:t>
            </w:r>
            <w:r w:rsidRPr="009C56F7">
              <w:rPr>
                <w:sz w:val="18"/>
                <w:szCs w:val="18"/>
              </w:rPr>
              <w:t xml:space="preserve"> </w:t>
            </w:r>
            <w:proofErr w:type="gramStart"/>
            <w:r w:rsidRPr="009C56F7">
              <w:rPr>
                <w:sz w:val="18"/>
                <w:szCs w:val="18"/>
              </w:rPr>
              <w:t>73  “</w:t>
            </w:r>
            <w:proofErr w:type="gramEnd"/>
            <w:r w:rsidRPr="009C56F7">
              <w:rPr>
                <w:sz w:val="18"/>
                <w:szCs w:val="18"/>
              </w:rPr>
              <w:t>Sewa”</w:t>
            </w:r>
            <w:r w:rsidR="00870FD0">
              <w:rPr>
                <w:sz w:val="18"/>
                <w:szCs w:val="18"/>
              </w:rPr>
              <w:t>.</w:t>
            </w:r>
            <w:r w:rsidRPr="009C56F7">
              <w:rPr>
                <w:sz w:val="18"/>
                <w:szCs w:val="18"/>
              </w:rPr>
              <w:t xml:space="preserve">  PSAK </w:t>
            </w:r>
            <w:r w:rsidR="009C56F7">
              <w:rPr>
                <w:sz w:val="18"/>
                <w:szCs w:val="18"/>
              </w:rPr>
              <w:t xml:space="preserve">No. </w:t>
            </w:r>
            <w:r w:rsidR="001C5DDB">
              <w:rPr>
                <w:sz w:val="18"/>
                <w:szCs w:val="18"/>
              </w:rPr>
              <w:t xml:space="preserve">73 </w:t>
            </w:r>
            <w:r w:rsidRPr="009C56F7">
              <w:rPr>
                <w:sz w:val="18"/>
                <w:szCs w:val="18"/>
              </w:rPr>
              <w:t>menetapkan prinsip-prinsip untuk pengakuan</w:t>
            </w:r>
            <w:r w:rsidR="00870FD0">
              <w:rPr>
                <w:sz w:val="18"/>
                <w:szCs w:val="18"/>
              </w:rPr>
              <w:t>.</w:t>
            </w:r>
            <w:r w:rsidRPr="009C56F7">
              <w:rPr>
                <w:sz w:val="18"/>
                <w:szCs w:val="18"/>
              </w:rPr>
              <w:t xml:space="preserve"> </w:t>
            </w:r>
            <w:proofErr w:type="gramStart"/>
            <w:r w:rsidRPr="009C56F7">
              <w:rPr>
                <w:sz w:val="18"/>
                <w:szCs w:val="18"/>
              </w:rPr>
              <w:t>pengukuran</w:t>
            </w:r>
            <w:proofErr w:type="gramEnd"/>
            <w:r w:rsidR="00870FD0">
              <w:rPr>
                <w:sz w:val="18"/>
                <w:szCs w:val="18"/>
              </w:rPr>
              <w:t>.</w:t>
            </w:r>
            <w:r w:rsidRPr="009C56F7">
              <w:rPr>
                <w:sz w:val="18"/>
                <w:szCs w:val="18"/>
              </w:rPr>
              <w:t xml:space="preserve"> </w:t>
            </w:r>
            <w:proofErr w:type="gramStart"/>
            <w:r w:rsidRPr="009C56F7">
              <w:rPr>
                <w:sz w:val="18"/>
                <w:szCs w:val="18"/>
              </w:rPr>
              <w:t>penyajian</w:t>
            </w:r>
            <w:proofErr w:type="gramEnd"/>
            <w:r w:rsidRPr="009C56F7">
              <w:rPr>
                <w:sz w:val="18"/>
                <w:szCs w:val="18"/>
              </w:rPr>
              <w:t xml:space="preserve"> dan pengungkapan sewa</w:t>
            </w:r>
            <w:r w:rsidR="00870FD0">
              <w:rPr>
                <w:sz w:val="18"/>
                <w:szCs w:val="18"/>
              </w:rPr>
              <w:t>.</w:t>
            </w:r>
            <w:r w:rsidRPr="009C56F7">
              <w:rPr>
                <w:sz w:val="18"/>
                <w:szCs w:val="18"/>
              </w:rPr>
              <w:t xml:space="preserve"> </w:t>
            </w:r>
            <w:proofErr w:type="gramStart"/>
            <w:r w:rsidRPr="009C56F7">
              <w:rPr>
                <w:sz w:val="18"/>
                <w:szCs w:val="18"/>
              </w:rPr>
              <w:t>dengan</w:t>
            </w:r>
            <w:proofErr w:type="gramEnd"/>
            <w:r w:rsidRPr="009C56F7">
              <w:rPr>
                <w:sz w:val="18"/>
                <w:szCs w:val="18"/>
              </w:rPr>
              <w:t xml:space="preserve"> tujuan memastikan bahwa lessee dan lessor menyediakan informasi yang relevan yang dengan setia mewakili transaksi tersebut. </w:t>
            </w:r>
            <w:r w:rsidR="009C56F7">
              <w:rPr>
                <w:sz w:val="18"/>
                <w:szCs w:val="18"/>
              </w:rPr>
              <w:br/>
            </w:r>
            <w:r w:rsidRPr="009C56F7">
              <w:rPr>
                <w:sz w:val="18"/>
                <w:szCs w:val="18"/>
              </w:rPr>
              <w:t>PSAK</w:t>
            </w:r>
            <w:r w:rsidR="009C56F7">
              <w:rPr>
                <w:sz w:val="18"/>
                <w:szCs w:val="18"/>
              </w:rPr>
              <w:t xml:space="preserve"> No.</w:t>
            </w:r>
            <w:r w:rsidR="00D03D0C">
              <w:rPr>
                <w:sz w:val="18"/>
                <w:szCs w:val="18"/>
              </w:rPr>
              <w:t xml:space="preserve"> 73 in</w:t>
            </w:r>
            <w:r w:rsidR="00D03D0C">
              <w:rPr>
                <w:sz w:val="18"/>
                <w:szCs w:val="18"/>
                <w:lang w:val="id-ID"/>
              </w:rPr>
              <w:t xml:space="preserve">i </w:t>
            </w:r>
            <w:r w:rsidRPr="009C56F7">
              <w:rPr>
                <w:sz w:val="18"/>
                <w:szCs w:val="18"/>
              </w:rPr>
              <w:t>menggantikan PSAK</w:t>
            </w:r>
            <w:r w:rsidR="009C56F7">
              <w:rPr>
                <w:sz w:val="18"/>
                <w:szCs w:val="18"/>
              </w:rPr>
              <w:t xml:space="preserve"> No.</w:t>
            </w:r>
            <w:r w:rsidRPr="009C56F7">
              <w:rPr>
                <w:sz w:val="18"/>
                <w:szCs w:val="18"/>
              </w:rPr>
              <w:t xml:space="preserve"> 30 “Sewa”.</w:t>
            </w:r>
          </w:p>
        </w:tc>
        <w:tc>
          <w:tcPr>
            <w:tcW w:w="4598" w:type="dxa"/>
          </w:tcPr>
          <w:p w14:paraId="4B7931BB" w14:textId="35AA46A1" w:rsidR="00DD46FC" w:rsidRPr="009C56F7" w:rsidRDefault="00DD46FC" w:rsidP="00070D1F">
            <w:pPr>
              <w:pStyle w:val="ListParagraph"/>
              <w:numPr>
                <w:ilvl w:val="0"/>
                <w:numId w:val="266"/>
              </w:numPr>
              <w:ind w:left="884" w:right="-57" w:hanging="283"/>
              <w:contextualSpacing/>
              <w:jc w:val="both"/>
              <w:rPr>
                <w:i/>
                <w:iCs/>
                <w:sz w:val="18"/>
                <w:szCs w:val="18"/>
              </w:rPr>
            </w:pPr>
            <w:r w:rsidRPr="009C56F7">
              <w:rPr>
                <w:i/>
                <w:iCs/>
                <w:sz w:val="18"/>
                <w:szCs w:val="18"/>
              </w:rPr>
              <w:t>PSAK</w:t>
            </w:r>
            <w:r w:rsidR="009C56F7">
              <w:rPr>
                <w:i/>
                <w:iCs/>
                <w:sz w:val="18"/>
                <w:szCs w:val="18"/>
              </w:rPr>
              <w:t xml:space="preserve"> </w:t>
            </w:r>
            <w:r w:rsidR="009C56F7" w:rsidRPr="009C56F7">
              <w:rPr>
                <w:i/>
                <w:iCs/>
                <w:sz w:val="18"/>
                <w:szCs w:val="18"/>
              </w:rPr>
              <w:t>No.</w:t>
            </w:r>
            <w:r w:rsidRPr="009C56F7">
              <w:rPr>
                <w:i/>
                <w:iCs/>
                <w:sz w:val="18"/>
                <w:szCs w:val="18"/>
              </w:rPr>
              <w:t xml:space="preserve"> 73 “Leases”</w:t>
            </w:r>
            <w:r w:rsidR="00870FD0">
              <w:rPr>
                <w:i/>
                <w:iCs/>
                <w:sz w:val="18"/>
                <w:szCs w:val="18"/>
              </w:rPr>
              <w:t>.</w:t>
            </w:r>
            <w:r w:rsidRPr="009C56F7">
              <w:rPr>
                <w:i/>
                <w:iCs/>
                <w:sz w:val="18"/>
                <w:szCs w:val="18"/>
              </w:rPr>
              <w:t xml:space="preserve"> PSAK</w:t>
            </w:r>
            <w:r w:rsidR="009C56F7" w:rsidRPr="009C56F7">
              <w:rPr>
                <w:i/>
                <w:iCs/>
                <w:sz w:val="18"/>
                <w:szCs w:val="18"/>
              </w:rPr>
              <w:t xml:space="preserve"> No.</w:t>
            </w:r>
            <w:r w:rsidRPr="009C56F7">
              <w:rPr>
                <w:i/>
                <w:iCs/>
                <w:sz w:val="18"/>
                <w:szCs w:val="18"/>
              </w:rPr>
              <w:t xml:space="preserve"> 73 establishes principles for the recognition</w:t>
            </w:r>
            <w:r w:rsidR="00870FD0">
              <w:rPr>
                <w:i/>
                <w:iCs/>
                <w:sz w:val="18"/>
                <w:szCs w:val="18"/>
              </w:rPr>
              <w:t>.</w:t>
            </w:r>
            <w:r w:rsidRPr="009C56F7">
              <w:rPr>
                <w:i/>
                <w:iCs/>
                <w:sz w:val="18"/>
                <w:szCs w:val="18"/>
              </w:rPr>
              <w:t xml:space="preserve"> </w:t>
            </w:r>
            <w:proofErr w:type="gramStart"/>
            <w:r w:rsidRPr="009C56F7">
              <w:rPr>
                <w:i/>
                <w:iCs/>
                <w:sz w:val="18"/>
                <w:szCs w:val="18"/>
              </w:rPr>
              <w:t>measurement</w:t>
            </w:r>
            <w:proofErr w:type="gramEnd"/>
            <w:r w:rsidR="00870FD0">
              <w:rPr>
                <w:i/>
                <w:iCs/>
                <w:sz w:val="18"/>
                <w:szCs w:val="18"/>
              </w:rPr>
              <w:t>.</w:t>
            </w:r>
            <w:r w:rsidRPr="009C56F7">
              <w:rPr>
                <w:i/>
                <w:iCs/>
                <w:sz w:val="18"/>
                <w:szCs w:val="18"/>
              </w:rPr>
              <w:t xml:space="preserve"> </w:t>
            </w:r>
            <w:proofErr w:type="gramStart"/>
            <w:r w:rsidRPr="009C56F7">
              <w:rPr>
                <w:i/>
                <w:iCs/>
                <w:sz w:val="18"/>
                <w:szCs w:val="18"/>
              </w:rPr>
              <w:t>presentation</w:t>
            </w:r>
            <w:proofErr w:type="gramEnd"/>
            <w:r w:rsidRPr="009C56F7">
              <w:rPr>
                <w:i/>
                <w:iCs/>
                <w:sz w:val="18"/>
                <w:szCs w:val="18"/>
              </w:rPr>
              <w:t xml:space="preserve"> and disclosure of leases</w:t>
            </w:r>
            <w:r w:rsidR="00870FD0">
              <w:rPr>
                <w:i/>
                <w:iCs/>
                <w:sz w:val="18"/>
                <w:szCs w:val="18"/>
              </w:rPr>
              <w:t>.</w:t>
            </w:r>
            <w:r w:rsidRPr="009C56F7">
              <w:rPr>
                <w:i/>
                <w:iCs/>
                <w:sz w:val="18"/>
                <w:szCs w:val="18"/>
              </w:rPr>
              <w:t xml:space="preserve"> </w:t>
            </w:r>
            <w:proofErr w:type="gramStart"/>
            <w:r w:rsidRPr="009C56F7">
              <w:rPr>
                <w:i/>
                <w:iCs/>
                <w:sz w:val="18"/>
                <w:szCs w:val="18"/>
              </w:rPr>
              <w:t>with</w:t>
            </w:r>
            <w:proofErr w:type="gramEnd"/>
            <w:r w:rsidRPr="009C56F7">
              <w:rPr>
                <w:i/>
                <w:iCs/>
                <w:sz w:val="18"/>
                <w:szCs w:val="18"/>
              </w:rPr>
              <w:t xml:space="preserve"> the objective of ensuring that lessees and lessors provide relevant information that faithfully represents those transactions. This PSAK</w:t>
            </w:r>
            <w:r w:rsidR="009C56F7" w:rsidRPr="009C56F7">
              <w:rPr>
                <w:i/>
                <w:iCs/>
                <w:sz w:val="18"/>
                <w:szCs w:val="18"/>
              </w:rPr>
              <w:t xml:space="preserve"> No.</w:t>
            </w:r>
            <w:r w:rsidR="00D03D0C">
              <w:rPr>
                <w:i/>
                <w:iCs/>
                <w:sz w:val="18"/>
                <w:szCs w:val="18"/>
              </w:rPr>
              <w:t xml:space="preserve"> 73 </w:t>
            </w:r>
            <w:r w:rsidRPr="009C56F7">
              <w:rPr>
                <w:i/>
                <w:iCs/>
                <w:sz w:val="18"/>
                <w:szCs w:val="18"/>
              </w:rPr>
              <w:t>replace</w:t>
            </w:r>
            <w:r w:rsidR="00D03D0C">
              <w:rPr>
                <w:i/>
                <w:iCs/>
                <w:sz w:val="18"/>
                <w:szCs w:val="18"/>
                <w:lang w:val="id-ID"/>
              </w:rPr>
              <w:t>d</w:t>
            </w:r>
            <w:r w:rsidRPr="009C56F7">
              <w:rPr>
                <w:i/>
                <w:iCs/>
                <w:sz w:val="18"/>
                <w:szCs w:val="18"/>
              </w:rPr>
              <w:t xml:space="preserve"> PSAK</w:t>
            </w:r>
            <w:r w:rsidR="009C56F7" w:rsidRPr="009C56F7">
              <w:rPr>
                <w:i/>
                <w:iCs/>
                <w:sz w:val="18"/>
                <w:szCs w:val="18"/>
              </w:rPr>
              <w:t xml:space="preserve"> No.</w:t>
            </w:r>
            <w:r w:rsidRPr="009C56F7">
              <w:rPr>
                <w:i/>
                <w:iCs/>
                <w:sz w:val="18"/>
                <w:szCs w:val="18"/>
              </w:rPr>
              <w:t xml:space="preserve"> 30 "Lease".</w:t>
            </w:r>
          </w:p>
        </w:tc>
      </w:tr>
      <w:tr w:rsidR="00DD46FC" w:rsidRPr="009C56F7" w14:paraId="5A40E047" w14:textId="77777777" w:rsidTr="004D2565">
        <w:tc>
          <w:tcPr>
            <w:tcW w:w="4598" w:type="dxa"/>
          </w:tcPr>
          <w:p w14:paraId="138AFBD6" w14:textId="77777777" w:rsidR="00DD46FC" w:rsidRPr="009C56F7" w:rsidRDefault="00DD46FC" w:rsidP="0013526B">
            <w:pPr>
              <w:autoSpaceDE w:val="0"/>
              <w:autoSpaceDN w:val="0"/>
              <w:adjustRightInd w:val="0"/>
              <w:ind w:left="993" w:right="113"/>
              <w:jc w:val="both"/>
              <w:rPr>
                <w:sz w:val="16"/>
                <w:szCs w:val="18"/>
                <w:lang w:val="id-ID"/>
              </w:rPr>
            </w:pPr>
          </w:p>
        </w:tc>
        <w:tc>
          <w:tcPr>
            <w:tcW w:w="4598" w:type="dxa"/>
          </w:tcPr>
          <w:p w14:paraId="55EC0321" w14:textId="77777777" w:rsidR="00DD46FC" w:rsidRPr="009C56F7" w:rsidRDefault="00DD46FC" w:rsidP="0013526B">
            <w:pPr>
              <w:tabs>
                <w:tab w:val="left" w:pos="964"/>
              </w:tabs>
              <w:autoSpaceDE w:val="0"/>
              <w:autoSpaceDN w:val="0"/>
              <w:adjustRightInd w:val="0"/>
              <w:ind w:left="964" w:right="74"/>
              <w:jc w:val="both"/>
              <w:rPr>
                <w:i/>
                <w:sz w:val="16"/>
                <w:szCs w:val="18"/>
                <w:lang w:val="id-ID"/>
              </w:rPr>
            </w:pPr>
          </w:p>
        </w:tc>
      </w:tr>
      <w:tr w:rsidR="00DD46FC" w:rsidRPr="009C56F7" w14:paraId="102B73FD" w14:textId="77777777" w:rsidTr="004D2565">
        <w:tc>
          <w:tcPr>
            <w:tcW w:w="4598" w:type="dxa"/>
          </w:tcPr>
          <w:p w14:paraId="54EAB42B" w14:textId="3EF7FC41" w:rsidR="00DD46FC" w:rsidRPr="009C56F7" w:rsidRDefault="00DD46FC" w:rsidP="0013526B">
            <w:pPr>
              <w:autoSpaceDE w:val="0"/>
              <w:autoSpaceDN w:val="0"/>
              <w:adjustRightInd w:val="0"/>
              <w:ind w:left="601" w:right="113"/>
              <w:jc w:val="both"/>
              <w:rPr>
                <w:rFonts w:eastAsia="Calibri"/>
                <w:color w:val="000000"/>
                <w:sz w:val="18"/>
                <w:szCs w:val="18"/>
              </w:rPr>
            </w:pPr>
            <w:r w:rsidRPr="009C56F7">
              <w:rPr>
                <w:sz w:val="18"/>
                <w:szCs w:val="18"/>
                <w:lang w:val="id-ID"/>
              </w:rPr>
              <w:t>Beberapa dari SAK dan ISAK termasuk amandemen dan penyesu</w:t>
            </w:r>
            <w:r w:rsidRPr="009C56F7">
              <w:rPr>
                <w:sz w:val="18"/>
                <w:szCs w:val="18"/>
              </w:rPr>
              <w:t>a</w:t>
            </w:r>
            <w:r w:rsidRPr="009C56F7">
              <w:rPr>
                <w:sz w:val="18"/>
                <w:szCs w:val="18"/>
                <w:lang w:val="id-ID"/>
              </w:rPr>
              <w:t>ian tahunan yang berlaku dalam tahun berjalan dan relevan dengan kegiatan Kelompok Usaha</w:t>
            </w:r>
            <w:r w:rsidRPr="009C56F7">
              <w:rPr>
                <w:sz w:val="18"/>
                <w:szCs w:val="18"/>
              </w:rPr>
              <w:t xml:space="preserve"> </w:t>
            </w:r>
            <w:r w:rsidRPr="009C56F7">
              <w:rPr>
                <w:sz w:val="18"/>
                <w:szCs w:val="18"/>
                <w:lang w:val="id-ID"/>
              </w:rPr>
              <w:t>telah diterapkan sebagaimana dijelaskan dalam “Ikhtisar Kebijakan Akuntansi Penting”.</w:t>
            </w:r>
          </w:p>
        </w:tc>
        <w:tc>
          <w:tcPr>
            <w:tcW w:w="4598" w:type="dxa"/>
          </w:tcPr>
          <w:p w14:paraId="4B0EC1BE" w14:textId="4F56A064" w:rsidR="00DD46FC" w:rsidRPr="009C56F7" w:rsidRDefault="00DD46FC" w:rsidP="00146CD1">
            <w:pPr>
              <w:tabs>
                <w:tab w:val="left" w:pos="704"/>
              </w:tabs>
              <w:autoSpaceDE w:val="0"/>
              <w:autoSpaceDN w:val="0"/>
              <w:adjustRightInd w:val="0"/>
              <w:ind w:left="704" w:right="-19"/>
              <w:jc w:val="both"/>
              <w:rPr>
                <w:rFonts w:eastAsia="Calibri"/>
                <w:i/>
                <w:color w:val="000000"/>
                <w:sz w:val="18"/>
                <w:szCs w:val="18"/>
              </w:rPr>
            </w:pPr>
            <w:r w:rsidRPr="009C56F7">
              <w:rPr>
                <w:i/>
                <w:sz w:val="18"/>
                <w:szCs w:val="18"/>
                <w:lang w:val="id-ID"/>
              </w:rPr>
              <w:t xml:space="preserve">Several SAKs and ISAKs including amendments and annual improvements that become effective in the current year and are </w:t>
            </w:r>
            <w:r w:rsidRPr="009C56F7">
              <w:rPr>
                <w:i/>
                <w:sz w:val="18"/>
                <w:szCs w:val="18"/>
              </w:rPr>
              <w:t>relevant to the Group operation have been adopted as disclosed in the “Summary of Significant Accounting Polices”.</w:t>
            </w:r>
          </w:p>
        </w:tc>
      </w:tr>
      <w:tr w:rsidR="00DD46FC" w:rsidRPr="009C56F7" w14:paraId="5AF74E11" w14:textId="77777777" w:rsidTr="004D2565">
        <w:tc>
          <w:tcPr>
            <w:tcW w:w="4598" w:type="dxa"/>
          </w:tcPr>
          <w:p w14:paraId="6E0D5BD7" w14:textId="77777777" w:rsidR="00DD46FC" w:rsidRPr="009C56F7" w:rsidRDefault="00DD46FC" w:rsidP="0013526B">
            <w:pPr>
              <w:autoSpaceDE w:val="0"/>
              <w:autoSpaceDN w:val="0"/>
              <w:adjustRightInd w:val="0"/>
              <w:ind w:left="709" w:right="113"/>
              <w:jc w:val="both"/>
              <w:rPr>
                <w:sz w:val="16"/>
                <w:szCs w:val="18"/>
                <w:lang w:val="id-ID"/>
              </w:rPr>
            </w:pPr>
          </w:p>
        </w:tc>
        <w:tc>
          <w:tcPr>
            <w:tcW w:w="4598" w:type="dxa"/>
          </w:tcPr>
          <w:p w14:paraId="11894A62" w14:textId="77777777" w:rsidR="00DD46FC" w:rsidRPr="009C56F7" w:rsidRDefault="00DD46FC" w:rsidP="0013526B">
            <w:pPr>
              <w:tabs>
                <w:tab w:val="left" w:pos="704"/>
              </w:tabs>
              <w:autoSpaceDE w:val="0"/>
              <w:autoSpaceDN w:val="0"/>
              <w:adjustRightInd w:val="0"/>
              <w:ind w:left="704" w:right="74"/>
              <w:jc w:val="both"/>
              <w:rPr>
                <w:i/>
                <w:sz w:val="16"/>
                <w:szCs w:val="18"/>
                <w:lang w:val="id-ID"/>
              </w:rPr>
            </w:pPr>
          </w:p>
        </w:tc>
      </w:tr>
      <w:tr w:rsidR="00A367A9" w:rsidRPr="009C56F7" w14:paraId="363ACD53" w14:textId="77777777" w:rsidTr="004D2565">
        <w:tc>
          <w:tcPr>
            <w:tcW w:w="4598" w:type="dxa"/>
          </w:tcPr>
          <w:p w14:paraId="5C7AD26B" w14:textId="2DC59D73" w:rsidR="00A367A9" w:rsidRPr="009C56F7" w:rsidRDefault="00A367A9" w:rsidP="00A367A9">
            <w:pPr>
              <w:autoSpaceDE w:val="0"/>
              <w:autoSpaceDN w:val="0"/>
              <w:adjustRightInd w:val="0"/>
              <w:ind w:left="601" w:right="113"/>
              <w:jc w:val="both"/>
              <w:rPr>
                <w:sz w:val="18"/>
                <w:szCs w:val="18"/>
              </w:rPr>
            </w:pPr>
            <w:r w:rsidRPr="009C56F7">
              <w:rPr>
                <w:sz w:val="18"/>
                <w:szCs w:val="18"/>
              </w:rPr>
              <w:t>Beberapa SAK dan ISAK lainnya yang tidak relevan dengan kegiatan Kelompok Usaha atau mungkin akan mempengaruhi kebijakan akuntansinya dimasa depan sedang dievaluasi oleh manajemen potensi dampak yang mungkin timbul dari penerapan standar-standar ini terhadap laporan keuangan konsolidasian.</w:t>
            </w:r>
          </w:p>
        </w:tc>
        <w:tc>
          <w:tcPr>
            <w:tcW w:w="4598" w:type="dxa"/>
          </w:tcPr>
          <w:p w14:paraId="6EE73074" w14:textId="61F6FF73" w:rsidR="00A367A9" w:rsidRPr="009C56F7" w:rsidRDefault="00A367A9" w:rsidP="007B729F">
            <w:pPr>
              <w:tabs>
                <w:tab w:val="left" w:pos="704"/>
              </w:tabs>
              <w:autoSpaceDE w:val="0"/>
              <w:autoSpaceDN w:val="0"/>
              <w:adjustRightInd w:val="0"/>
              <w:ind w:left="704" w:right="-19"/>
              <w:jc w:val="both"/>
              <w:rPr>
                <w:i/>
                <w:sz w:val="18"/>
                <w:szCs w:val="18"/>
              </w:rPr>
            </w:pPr>
            <w:r w:rsidRPr="009C56F7">
              <w:rPr>
                <w:i/>
                <w:sz w:val="18"/>
                <w:szCs w:val="18"/>
              </w:rPr>
              <w:t>Other SAKs and ISAKs that are not relevant to the Group’s operation or might affect the accounting policies in the future are being evaluated by the management the potential impact that might arise from the adoption of these standards to the consolidated financial statements.</w:t>
            </w:r>
          </w:p>
        </w:tc>
      </w:tr>
    </w:tbl>
    <w:p w14:paraId="2F0790A9" w14:textId="77777777" w:rsidR="00BC1E03" w:rsidRPr="009C56F7" w:rsidRDefault="00BC1E03" w:rsidP="0013526B">
      <w:pPr>
        <w:rPr>
          <w:sz w:val="16"/>
          <w:szCs w:val="6"/>
          <w:lang w:val="id-ID"/>
        </w:rPr>
      </w:pPr>
    </w:p>
    <w:p w14:paraId="56FE4049" w14:textId="0197561D" w:rsidR="007678C1" w:rsidRPr="009C56F7" w:rsidRDefault="007678C1">
      <w:pPr>
        <w:rPr>
          <w:sz w:val="6"/>
          <w:szCs w:val="6"/>
          <w:lang w:val="id-ID"/>
        </w:rPr>
      </w:pPr>
    </w:p>
    <w:tbl>
      <w:tblPr>
        <w:tblW w:w="9197" w:type="dxa"/>
        <w:tblInd w:w="392" w:type="dxa"/>
        <w:tblLayout w:type="fixed"/>
        <w:tblLook w:val="0000" w:firstRow="0" w:lastRow="0" w:firstColumn="0" w:lastColumn="0" w:noHBand="0" w:noVBand="0"/>
      </w:tblPr>
      <w:tblGrid>
        <w:gridCol w:w="4598"/>
        <w:gridCol w:w="4599"/>
      </w:tblGrid>
      <w:tr w:rsidR="00AB48B2" w:rsidRPr="009C56F7" w14:paraId="2155CDBE" w14:textId="77777777" w:rsidTr="004D2565">
        <w:tc>
          <w:tcPr>
            <w:tcW w:w="4598" w:type="dxa"/>
          </w:tcPr>
          <w:p w14:paraId="7B3719BB" w14:textId="1D338E96" w:rsidR="00AB48B2" w:rsidRPr="009C56F7" w:rsidRDefault="00B468DA" w:rsidP="00070D1F">
            <w:pPr>
              <w:pStyle w:val="ListParagraph"/>
              <w:numPr>
                <w:ilvl w:val="0"/>
                <w:numId w:val="268"/>
              </w:numPr>
              <w:ind w:left="317" w:hanging="317"/>
              <w:contextualSpacing/>
              <w:jc w:val="both"/>
              <w:rPr>
                <w:rStyle w:val="hps"/>
                <w:b/>
                <w:sz w:val="18"/>
                <w:szCs w:val="18"/>
              </w:rPr>
            </w:pPr>
            <w:r w:rsidRPr="009C56F7">
              <w:rPr>
                <w:sz w:val="18"/>
                <w:szCs w:val="18"/>
              </w:rPr>
              <w:br w:type="page"/>
            </w:r>
            <w:r w:rsidR="00AB48B2" w:rsidRPr="009C56F7">
              <w:rPr>
                <w:sz w:val="18"/>
                <w:szCs w:val="18"/>
              </w:rPr>
              <w:br w:type="page"/>
            </w:r>
            <w:r w:rsidR="00AB48B2" w:rsidRPr="009C56F7">
              <w:rPr>
                <w:sz w:val="18"/>
                <w:szCs w:val="18"/>
              </w:rPr>
              <w:br w:type="page"/>
            </w:r>
            <w:r w:rsidR="00AB48B2" w:rsidRPr="009C56F7">
              <w:rPr>
                <w:b/>
                <w:bCs w:val="0"/>
                <w:sz w:val="18"/>
                <w:szCs w:val="18"/>
              </w:rPr>
              <w:t>IKHTISAR</w:t>
            </w:r>
            <w:r w:rsidR="00AB48B2" w:rsidRPr="009C56F7">
              <w:rPr>
                <w:rStyle w:val="hps"/>
                <w:b/>
                <w:sz w:val="18"/>
                <w:szCs w:val="18"/>
              </w:rPr>
              <w:t xml:space="preserve"> KEBIJAKAN AKUNTANSI </w:t>
            </w:r>
            <w:r w:rsidR="00C85EDE" w:rsidRPr="009C56F7">
              <w:rPr>
                <w:rStyle w:val="hps"/>
                <w:b/>
                <w:sz w:val="18"/>
                <w:szCs w:val="18"/>
                <w:lang w:val="id-ID"/>
              </w:rPr>
              <w:t xml:space="preserve">YANG </w:t>
            </w:r>
            <w:r w:rsidR="00AB48B2" w:rsidRPr="009C56F7">
              <w:rPr>
                <w:rStyle w:val="hps"/>
                <w:b/>
                <w:sz w:val="18"/>
                <w:szCs w:val="18"/>
              </w:rPr>
              <w:t>PENTING</w:t>
            </w:r>
          </w:p>
        </w:tc>
        <w:tc>
          <w:tcPr>
            <w:tcW w:w="4598" w:type="dxa"/>
          </w:tcPr>
          <w:p w14:paraId="0BE312D3" w14:textId="77777777" w:rsidR="00AB48B2" w:rsidRPr="009C56F7" w:rsidRDefault="00AB48B2" w:rsidP="00070D1F">
            <w:pPr>
              <w:pStyle w:val="ListParagraph"/>
              <w:numPr>
                <w:ilvl w:val="0"/>
                <w:numId w:val="271"/>
              </w:numPr>
              <w:ind w:left="289" w:hanging="284"/>
              <w:contextualSpacing/>
              <w:jc w:val="both"/>
              <w:rPr>
                <w:b/>
                <w:bCs w:val="0"/>
                <w:i/>
                <w:sz w:val="18"/>
                <w:szCs w:val="18"/>
              </w:rPr>
            </w:pPr>
            <w:r w:rsidRPr="009C56F7">
              <w:rPr>
                <w:b/>
                <w:bCs w:val="0"/>
                <w:i/>
                <w:sz w:val="18"/>
                <w:szCs w:val="18"/>
              </w:rPr>
              <w:t>SUMMARY OF SIGNIFICANT ACCOUNTING POLICIES</w:t>
            </w:r>
          </w:p>
        </w:tc>
      </w:tr>
      <w:tr w:rsidR="00AB48B2" w:rsidRPr="009C56F7" w14:paraId="12CB2964" w14:textId="77777777" w:rsidTr="004D2565">
        <w:tc>
          <w:tcPr>
            <w:tcW w:w="4598" w:type="dxa"/>
          </w:tcPr>
          <w:p w14:paraId="73C2C87D" w14:textId="77777777" w:rsidR="00AB48B2" w:rsidRPr="009C56F7" w:rsidRDefault="00AB48B2" w:rsidP="0013526B">
            <w:pPr>
              <w:jc w:val="both"/>
              <w:rPr>
                <w:rStyle w:val="hps"/>
                <w:sz w:val="16"/>
                <w:szCs w:val="18"/>
              </w:rPr>
            </w:pPr>
          </w:p>
        </w:tc>
        <w:tc>
          <w:tcPr>
            <w:tcW w:w="4598" w:type="dxa"/>
          </w:tcPr>
          <w:p w14:paraId="129254C8" w14:textId="77777777" w:rsidR="00AB48B2" w:rsidRPr="009C56F7" w:rsidRDefault="00AB48B2" w:rsidP="0013526B">
            <w:pPr>
              <w:ind w:left="426"/>
              <w:jc w:val="both"/>
              <w:rPr>
                <w:bCs w:val="0"/>
                <w:i/>
                <w:sz w:val="16"/>
                <w:szCs w:val="18"/>
              </w:rPr>
            </w:pPr>
          </w:p>
        </w:tc>
      </w:tr>
      <w:tr w:rsidR="00AB48B2" w:rsidRPr="009C56F7" w14:paraId="0CF18A05" w14:textId="77777777" w:rsidTr="004D2565">
        <w:tc>
          <w:tcPr>
            <w:tcW w:w="4598" w:type="dxa"/>
          </w:tcPr>
          <w:p w14:paraId="16FFA5AA" w14:textId="01A3FA6A" w:rsidR="00AB48B2" w:rsidRPr="009C56F7" w:rsidRDefault="0052495C" w:rsidP="00A036F7">
            <w:pPr>
              <w:ind w:left="325" w:right="-57"/>
              <w:jc w:val="both"/>
              <w:rPr>
                <w:sz w:val="18"/>
                <w:szCs w:val="18"/>
              </w:rPr>
            </w:pPr>
            <w:r w:rsidRPr="009C56F7">
              <w:rPr>
                <w:sz w:val="18"/>
                <w:szCs w:val="18"/>
              </w:rPr>
              <w:t xml:space="preserve">Kebijakan akuntansi diterapkan secara konsisten dalam penyajian laporan keuangan konsolidasian kecuali bagi penerapan beberapa SAK </w:t>
            </w:r>
            <w:r w:rsidR="009C56F7">
              <w:rPr>
                <w:sz w:val="18"/>
                <w:szCs w:val="18"/>
              </w:rPr>
              <w:t xml:space="preserve">dan ISAK </w:t>
            </w:r>
            <w:r w:rsidRPr="009C56F7">
              <w:rPr>
                <w:sz w:val="18"/>
                <w:szCs w:val="18"/>
              </w:rPr>
              <w:t>yang telah direvisi dan berlaku efek</w:t>
            </w:r>
            <w:r w:rsidR="00B903C5" w:rsidRPr="009C56F7">
              <w:rPr>
                <w:sz w:val="18"/>
                <w:szCs w:val="18"/>
              </w:rPr>
              <w:t>tif sejak tanggal</w:t>
            </w:r>
            <w:r w:rsidR="005A464E">
              <w:rPr>
                <w:sz w:val="18"/>
                <w:szCs w:val="18"/>
              </w:rPr>
              <w:t xml:space="preserve"> 1 Januari 20</w:t>
            </w:r>
            <w:r w:rsidR="005A464E">
              <w:rPr>
                <w:sz w:val="18"/>
                <w:szCs w:val="18"/>
                <w:lang w:val="id-ID"/>
              </w:rPr>
              <w:t>20</w:t>
            </w:r>
            <w:r w:rsidR="00870FD0">
              <w:rPr>
                <w:sz w:val="18"/>
                <w:szCs w:val="18"/>
              </w:rPr>
              <w:t>.</w:t>
            </w:r>
            <w:r w:rsidRPr="009C56F7">
              <w:rPr>
                <w:sz w:val="18"/>
                <w:szCs w:val="18"/>
              </w:rPr>
              <w:t xml:space="preserve"> yaitu sebagai berikut:</w:t>
            </w:r>
          </w:p>
        </w:tc>
        <w:tc>
          <w:tcPr>
            <w:tcW w:w="4598" w:type="dxa"/>
          </w:tcPr>
          <w:p w14:paraId="68833768" w14:textId="18286E3C" w:rsidR="00AB48B2" w:rsidRPr="009C56F7" w:rsidRDefault="0052495C" w:rsidP="00F15497">
            <w:pPr>
              <w:tabs>
                <w:tab w:val="left" w:pos="5590"/>
                <w:tab w:val="right" w:pos="7620"/>
                <w:tab w:val="right" w:pos="9460"/>
                <w:tab w:val="right" w:pos="10080"/>
              </w:tabs>
              <w:ind w:left="284" w:right="-57"/>
              <w:jc w:val="both"/>
              <w:rPr>
                <w:i/>
                <w:sz w:val="18"/>
                <w:szCs w:val="18"/>
              </w:rPr>
            </w:pPr>
            <w:r w:rsidRPr="009C56F7">
              <w:rPr>
                <w:i/>
                <w:sz w:val="18"/>
                <w:szCs w:val="18"/>
              </w:rPr>
              <w:t>The accounting policies have been applied consistently in the preparation of consolidated financial statements except for the adoption of several new and revised SAKs and ISAKs that effecti</w:t>
            </w:r>
            <w:r w:rsidR="00B903C5" w:rsidRPr="009C56F7">
              <w:rPr>
                <w:i/>
                <w:sz w:val="18"/>
                <w:szCs w:val="18"/>
              </w:rPr>
              <w:t>ve on or after January 1</w:t>
            </w:r>
            <w:r w:rsidR="00F15497">
              <w:rPr>
                <w:i/>
                <w:sz w:val="18"/>
                <w:szCs w:val="18"/>
              </w:rPr>
              <w:t>,</w:t>
            </w:r>
            <w:r w:rsidR="00B903C5" w:rsidRPr="009C56F7">
              <w:rPr>
                <w:i/>
                <w:sz w:val="18"/>
                <w:szCs w:val="18"/>
              </w:rPr>
              <w:t xml:space="preserve"> 2</w:t>
            </w:r>
            <w:r w:rsidR="005A464E">
              <w:rPr>
                <w:i/>
                <w:sz w:val="18"/>
                <w:szCs w:val="18"/>
              </w:rPr>
              <w:t>0</w:t>
            </w:r>
            <w:r w:rsidR="005A464E">
              <w:rPr>
                <w:i/>
                <w:sz w:val="18"/>
                <w:szCs w:val="18"/>
                <w:lang w:val="id-ID"/>
              </w:rPr>
              <w:t>20</w:t>
            </w:r>
            <w:r w:rsidR="00870FD0">
              <w:rPr>
                <w:i/>
                <w:sz w:val="18"/>
                <w:szCs w:val="18"/>
              </w:rPr>
              <w:t>.</w:t>
            </w:r>
            <w:r w:rsidR="00650ED9" w:rsidRPr="009C56F7">
              <w:rPr>
                <w:i/>
                <w:sz w:val="18"/>
                <w:szCs w:val="18"/>
                <w:lang w:val="id-ID"/>
              </w:rPr>
              <w:br/>
            </w:r>
            <w:r w:rsidRPr="009C56F7">
              <w:rPr>
                <w:i/>
                <w:sz w:val="18"/>
                <w:szCs w:val="18"/>
              </w:rPr>
              <w:t>as follows:</w:t>
            </w:r>
          </w:p>
        </w:tc>
      </w:tr>
      <w:tr w:rsidR="00E12EE2" w:rsidRPr="009C56F7" w14:paraId="6D24CDAA" w14:textId="77777777" w:rsidTr="004D2565">
        <w:tc>
          <w:tcPr>
            <w:tcW w:w="4598" w:type="dxa"/>
          </w:tcPr>
          <w:p w14:paraId="2948913F" w14:textId="77777777" w:rsidR="00E12EE2" w:rsidRPr="009C56F7" w:rsidRDefault="00E12EE2" w:rsidP="0013526B">
            <w:pPr>
              <w:pStyle w:val="ListParagraph"/>
              <w:ind w:left="340"/>
              <w:contextualSpacing/>
              <w:jc w:val="both"/>
              <w:rPr>
                <w:bCs w:val="0"/>
                <w:sz w:val="16"/>
                <w:szCs w:val="18"/>
              </w:rPr>
            </w:pPr>
          </w:p>
        </w:tc>
        <w:tc>
          <w:tcPr>
            <w:tcW w:w="4598" w:type="dxa"/>
          </w:tcPr>
          <w:p w14:paraId="5FF8F6E6" w14:textId="77777777" w:rsidR="00E12EE2" w:rsidRPr="009C56F7" w:rsidRDefault="00E12EE2" w:rsidP="0013526B">
            <w:pPr>
              <w:pStyle w:val="ListParagraph"/>
              <w:ind w:left="340"/>
              <w:contextualSpacing/>
              <w:jc w:val="both"/>
              <w:rPr>
                <w:bCs w:val="0"/>
                <w:i/>
                <w:sz w:val="16"/>
                <w:szCs w:val="18"/>
              </w:rPr>
            </w:pPr>
          </w:p>
        </w:tc>
      </w:tr>
      <w:tr w:rsidR="004D715D" w:rsidRPr="0013526B" w14:paraId="219EE23C" w14:textId="77777777" w:rsidTr="004D2565">
        <w:tc>
          <w:tcPr>
            <w:tcW w:w="4598" w:type="dxa"/>
          </w:tcPr>
          <w:p w14:paraId="37F2D31E" w14:textId="77777777" w:rsidR="004D715D" w:rsidRPr="009C56F7" w:rsidRDefault="00E53E23" w:rsidP="00A036F7">
            <w:pPr>
              <w:pStyle w:val="ListParagraph"/>
              <w:numPr>
                <w:ilvl w:val="0"/>
                <w:numId w:val="7"/>
              </w:numPr>
              <w:ind w:left="563" w:hanging="238"/>
              <w:jc w:val="both"/>
              <w:rPr>
                <w:rStyle w:val="hps"/>
                <w:b/>
                <w:sz w:val="18"/>
                <w:szCs w:val="18"/>
              </w:rPr>
            </w:pPr>
            <w:r w:rsidRPr="009C56F7">
              <w:rPr>
                <w:rStyle w:val="hps"/>
                <w:b/>
                <w:sz w:val="18"/>
                <w:szCs w:val="18"/>
              </w:rPr>
              <w:t>Pernyataan Kepatuhan</w:t>
            </w:r>
          </w:p>
        </w:tc>
        <w:tc>
          <w:tcPr>
            <w:tcW w:w="4598" w:type="dxa"/>
          </w:tcPr>
          <w:p w14:paraId="7999F026" w14:textId="77777777" w:rsidR="004D715D" w:rsidRPr="009C56F7" w:rsidRDefault="00001DD0" w:rsidP="0007424C">
            <w:pPr>
              <w:pStyle w:val="ListParagraph"/>
              <w:numPr>
                <w:ilvl w:val="0"/>
                <w:numId w:val="8"/>
              </w:numPr>
              <w:ind w:left="568" w:hanging="284"/>
              <w:jc w:val="both"/>
              <w:rPr>
                <w:b/>
                <w:bCs w:val="0"/>
                <w:i/>
                <w:sz w:val="18"/>
                <w:szCs w:val="18"/>
              </w:rPr>
            </w:pPr>
            <w:r w:rsidRPr="009C56F7">
              <w:rPr>
                <w:b/>
                <w:i/>
                <w:sz w:val="18"/>
                <w:szCs w:val="18"/>
              </w:rPr>
              <w:t xml:space="preserve">Compliance </w:t>
            </w:r>
            <w:r w:rsidR="00E53E23" w:rsidRPr="009C56F7">
              <w:rPr>
                <w:b/>
                <w:i/>
                <w:sz w:val="18"/>
                <w:szCs w:val="18"/>
              </w:rPr>
              <w:t>Statement</w:t>
            </w:r>
          </w:p>
        </w:tc>
      </w:tr>
      <w:tr w:rsidR="004D715D" w:rsidRPr="00F11814" w14:paraId="64F0FA07" w14:textId="77777777" w:rsidTr="004D2565">
        <w:tc>
          <w:tcPr>
            <w:tcW w:w="4598" w:type="dxa"/>
          </w:tcPr>
          <w:p w14:paraId="6759D829" w14:textId="77777777" w:rsidR="004D715D" w:rsidRPr="00BC1E03" w:rsidRDefault="004D715D" w:rsidP="0013526B">
            <w:pPr>
              <w:jc w:val="both"/>
              <w:rPr>
                <w:rStyle w:val="hps"/>
                <w:sz w:val="16"/>
                <w:szCs w:val="18"/>
              </w:rPr>
            </w:pPr>
          </w:p>
        </w:tc>
        <w:tc>
          <w:tcPr>
            <w:tcW w:w="4598" w:type="dxa"/>
          </w:tcPr>
          <w:p w14:paraId="7CC677DB" w14:textId="77777777" w:rsidR="004D715D" w:rsidRPr="00BC1E03" w:rsidRDefault="004D715D" w:rsidP="0013526B">
            <w:pPr>
              <w:ind w:left="426"/>
              <w:jc w:val="both"/>
              <w:rPr>
                <w:bCs w:val="0"/>
                <w:i/>
                <w:sz w:val="16"/>
                <w:szCs w:val="18"/>
              </w:rPr>
            </w:pPr>
          </w:p>
        </w:tc>
      </w:tr>
      <w:tr w:rsidR="00A367A9" w:rsidRPr="0013526B" w14:paraId="7F53EA9B" w14:textId="77777777" w:rsidTr="004D2565">
        <w:tc>
          <w:tcPr>
            <w:tcW w:w="4598" w:type="dxa"/>
          </w:tcPr>
          <w:p w14:paraId="0BB4C6EC" w14:textId="28769673" w:rsidR="00A367A9" w:rsidRPr="009C56F7" w:rsidRDefault="00A367A9" w:rsidP="00F15497">
            <w:pPr>
              <w:ind w:left="567" w:right="-57"/>
              <w:jc w:val="both"/>
              <w:rPr>
                <w:rStyle w:val="hps"/>
                <w:sz w:val="18"/>
                <w:szCs w:val="18"/>
              </w:rPr>
            </w:pPr>
            <w:r w:rsidRPr="009C56F7">
              <w:rPr>
                <w:sz w:val="18"/>
                <w:szCs w:val="18"/>
              </w:rPr>
              <w:t>Laporan keuangan konsolidasian telah disusun sesuai dengan SAK</w:t>
            </w:r>
            <w:r w:rsidR="00F15497">
              <w:rPr>
                <w:sz w:val="18"/>
                <w:szCs w:val="18"/>
              </w:rPr>
              <w:t>,</w:t>
            </w:r>
            <w:r w:rsidRPr="009C56F7">
              <w:rPr>
                <w:sz w:val="18"/>
                <w:szCs w:val="18"/>
              </w:rPr>
              <w:t xml:space="preserve"> yang mencakup Pernyataan dan Interpretasi yang diterbitkan oleh Dewan Standar Akuntansi Keuangan Ikatan Akuntan Indonesia</w:t>
            </w:r>
            <w:r w:rsidR="00870FD0">
              <w:rPr>
                <w:sz w:val="18"/>
                <w:szCs w:val="18"/>
              </w:rPr>
              <w:t>.</w:t>
            </w:r>
            <w:r w:rsidRPr="009C56F7">
              <w:rPr>
                <w:sz w:val="18"/>
                <w:szCs w:val="18"/>
              </w:rPr>
              <w:t xml:space="preserve"> </w:t>
            </w:r>
            <w:proofErr w:type="gramStart"/>
            <w:r w:rsidRPr="009C56F7">
              <w:rPr>
                <w:sz w:val="18"/>
                <w:szCs w:val="18"/>
              </w:rPr>
              <w:t>termasuk</w:t>
            </w:r>
            <w:proofErr w:type="gramEnd"/>
            <w:r w:rsidRPr="009C56F7">
              <w:rPr>
                <w:sz w:val="18"/>
                <w:szCs w:val="18"/>
              </w:rPr>
              <w:t xml:space="preserve"> standar baru dan yang direvisi</w:t>
            </w:r>
            <w:r w:rsidR="00F15497">
              <w:rPr>
                <w:sz w:val="18"/>
                <w:szCs w:val="18"/>
              </w:rPr>
              <w:t>,</w:t>
            </w:r>
            <w:r w:rsidRPr="009C56F7">
              <w:rPr>
                <w:sz w:val="18"/>
                <w:szCs w:val="18"/>
              </w:rPr>
              <w:t xml:space="preserve"> amandemen dan penyesuaian tahunan</w:t>
            </w:r>
            <w:r w:rsidR="00870FD0">
              <w:rPr>
                <w:sz w:val="18"/>
                <w:szCs w:val="18"/>
              </w:rPr>
              <w:t>.</w:t>
            </w:r>
            <w:r w:rsidRPr="009C56F7">
              <w:rPr>
                <w:sz w:val="18"/>
                <w:szCs w:val="18"/>
              </w:rPr>
              <w:t xml:space="preserve"> </w:t>
            </w:r>
            <w:proofErr w:type="gramStart"/>
            <w:r w:rsidRPr="009C56F7">
              <w:rPr>
                <w:sz w:val="18"/>
                <w:szCs w:val="18"/>
              </w:rPr>
              <w:t>yang</w:t>
            </w:r>
            <w:proofErr w:type="gramEnd"/>
            <w:r w:rsidRPr="009C56F7">
              <w:rPr>
                <w:sz w:val="18"/>
                <w:szCs w:val="18"/>
              </w:rPr>
              <w:t xml:space="preserve"> berlaku efektif sejak tanggal 1 Januari 2019</w:t>
            </w:r>
            <w:r w:rsidR="00F15497">
              <w:rPr>
                <w:sz w:val="18"/>
                <w:szCs w:val="18"/>
              </w:rPr>
              <w:t>,</w:t>
            </w:r>
            <w:r w:rsidRPr="009C56F7">
              <w:rPr>
                <w:sz w:val="18"/>
                <w:szCs w:val="18"/>
              </w:rPr>
              <w:t xml:space="preserve"> serta Lampiran Keputusan Ketua Badan Pengawasan Pasar Modal dan Lembaga Keuangan (sekarang menjadi Otoritas Jasa Keuangan atau OJK) No. Kep-347/BL/2012 tanggal 25 Juni 2012 yaitu Peraturan No.VIII.G.7 tentang Penyajian dan Pengungkapan Laporan Keuangan Emiten atau Perusahaan Publik yang berlaku untuk laporan keuangan yang berakhir pada atau setelah tanggal </w:t>
            </w:r>
            <w:r w:rsidR="009C56F7">
              <w:rPr>
                <w:sz w:val="18"/>
                <w:szCs w:val="18"/>
              </w:rPr>
              <w:br/>
            </w:r>
            <w:r w:rsidRPr="009C56F7">
              <w:rPr>
                <w:sz w:val="18"/>
                <w:szCs w:val="18"/>
              </w:rPr>
              <w:t>31 Desember 2012.</w:t>
            </w:r>
          </w:p>
        </w:tc>
        <w:tc>
          <w:tcPr>
            <w:tcW w:w="4598" w:type="dxa"/>
          </w:tcPr>
          <w:p w14:paraId="3140002F" w14:textId="56C55174" w:rsidR="00A367A9" w:rsidRPr="0013526B" w:rsidRDefault="00A367A9" w:rsidP="00F15497">
            <w:pPr>
              <w:ind w:left="567" w:right="-57"/>
              <w:jc w:val="both"/>
              <w:rPr>
                <w:sz w:val="18"/>
                <w:szCs w:val="18"/>
              </w:rPr>
            </w:pPr>
            <w:r w:rsidRPr="009C56F7">
              <w:rPr>
                <w:i/>
                <w:sz w:val="18"/>
                <w:szCs w:val="18"/>
              </w:rPr>
              <w:t>The consolidated financial statements have been prepared in accordance with SAK</w:t>
            </w:r>
            <w:r w:rsidR="00870FD0">
              <w:rPr>
                <w:i/>
                <w:sz w:val="18"/>
                <w:szCs w:val="18"/>
              </w:rPr>
              <w:t>.</w:t>
            </w:r>
            <w:r w:rsidRPr="009C56F7">
              <w:rPr>
                <w:i/>
                <w:sz w:val="18"/>
                <w:szCs w:val="18"/>
              </w:rPr>
              <w:t xml:space="preserve"> </w:t>
            </w:r>
            <w:proofErr w:type="gramStart"/>
            <w:r w:rsidRPr="009C56F7">
              <w:rPr>
                <w:i/>
                <w:sz w:val="18"/>
                <w:szCs w:val="18"/>
              </w:rPr>
              <w:t>which</w:t>
            </w:r>
            <w:proofErr w:type="gramEnd"/>
            <w:r w:rsidRPr="009C56F7">
              <w:rPr>
                <w:i/>
                <w:sz w:val="18"/>
                <w:szCs w:val="18"/>
              </w:rPr>
              <w:t xml:space="preserve"> comprises the Statements and Interpretations issued by the Board of Financial Accounting Standards of the Indonesian Institute of Accountants</w:t>
            </w:r>
            <w:r w:rsidR="00F15497">
              <w:rPr>
                <w:i/>
                <w:sz w:val="18"/>
                <w:szCs w:val="18"/>
              </w:rPr>
              <w:t>,</w:t>
            </w:r>
            <w:r w:rsidRPr="009C56F7">
              <w:rPr>
                <w:i/>
                <w:sz w:val="18"/>
                <w:szCs w:val="18"/>
              </w:rPr>
              <w:t xml:space="preserve"> including applicable new and  revised standards</w:t>
            </w:r>
            <w:r w:rsidR="00870FD0">
              <w:rPr>
                <w:i/>
                <w:sz w:val="18"/>
                <w:szCs w:val="18"/>
              </w:rPr>
              <w:t>.</w:t>
            </w:r>
            <w:r w:rsidRPr="009C56F7">
              <w:rPr>
                <w:i/>
                <w:sz w:val="18"/>
                <w:szCs w:val="18"/>
              </w:rPr>
              <w:t xml:space="preserve"> </w:t>
            </w:r>
            <w:proofErr w:type="gramStart"/>
            <w:r w:rsidRPr="009C56F7">
              <w:rPr>
                <w:i/>
                <w:sz w:val="18"/>
                <w:szCs w:val="18"/>
              </w:rPr>
              <w:t>amendments</w:t>
            </w:r>
            <w:proofErr w:type="gramEnd"/>
            <w:r w:rsidRPr="009C56F7">
              <w:rPr>
                <w:i/>
                <w:sz w:val="18"/>
                <w:szCs w:val="18"/>
              </w:rPr>
              <w:t xml:space="preserve"> and annual improvements</w:t>
            </w:r>
            <w:r w:rsidR="00F15497">
              <w:rPr>
                <w:i/>
                <w:sz w:val="18"/>
                <w:szCs w:val="18"/>
              </w:rPr>
              <w:t>,</w:t>
            </w:r>
            <w:r w:rsidRPr="009C56F7">
              <w:rPr>
                <w:i/>
                <w:sz w:val="18"/>
                <w:szCs w:val="18"/>
              </w:rPr>
              <w:t xml:space="preserve"> effective on or after January 1</w:t>
            </w:r>
            <w:r w:rsidR="00F15497">
              <w:rPr>
                <w:i/>
                <w:sz w:val="18"/>
                <w:szCs w:val="18"/>
              </w:rPr>
              <w:t>,</w:t>
            </w:r>
            <w:r w:rsidRPr="009C56F7">
              <w:rPr>
                <w:i/>
                <w:sz w:val="18"/>
                <w:szCs w:val="18"/>
              </w:rPr>
              <w:t xml:space="preserve"> 20</w:t>
            </w:r>
            <w:r w:rsidR="00F15497">
              <w:rPr>
                <w:i/>
                <w:sz w:val="18"/>
                <w:szCs w:val="18"/>
              </w:rPr>
              <w:t>1</w:t>
            </w:r>
            <w:r w:rsidRPr="009C56F7">
              <w:rPr>
                <w:i/>
                <w:sz w:val="18"/>
                <w:szCs w:val="18"/>
              </w:rPr>
              <w:t>9</w:t>
            </w:r>
            <w:r w:rsidR="00F15497">
              <w:rPr>
                <w:i/>
                <w:sz w:val="18"/>
                <w:szCs w:val="18"/>
              </w:rPr>
              <w:t>,</w:t>
            </w:r>
            <w:r w:rsidRPr="009C56F7">
              <w:rPr>
                <w:i/>
                <w:sz w:val="18"/>
                <w:szCs w:val="18"/>
              </w:rPr>
              <w:t xml:space="preserve"> and Attachment to the Decision of the Chairman of Bapepam </w:t>
            </w:r>
            <w:r w:rsidR="00007C5F">
              <w:rPr>
                <w:i/>
                <w:sz w:val="18"/>
                <w:szCs w:val="18"/>
              </w:rPr>
              <w:t>-</w:t>
            </w:r>
            <w:r w:rsidRPr="009C56F7">
              <w:rPr>
                <w:i/>
                <w:sz w:val="18"/>
                <w:szCs w:val="18"/>
              </w:rPr>
              <w:t xml:space="preserve"> LK (now becoming Indonesian Financial Services Authority or OJK) No. Kep-347/BL/2012 dated June 25</w:t>
            </w:r>
            <w:r w:rsidR="00F15497">
              <w:rPr>
                <w:i/>
                <w:sz w:val="18"/>
                <w:szCs w:val="18"/>
              </w:rPr>
              <w:t>,</w:t>
            </w:r>
            <w:r w:rsidRPr="009C56F7">
              <w:rPr>
                <w:i/>
                <w:sz w:val="18"/>
                <w:szCs w:val="18"/>
              </w:rPr>
              <w:t xml:space="preserve"> 2012 that is Regulation No.VIII.G.7 regarding Presentation and Disclosures of the Financial Statements of the Public Company that effective for the financial statements that ended on or after December 31</w:t>
            </w:r>
            <w:r w:rsidR="00F15497">
              <w:rPr>
                <w:i/>
                <w:sz w:val="18"/>
                <w:szCs w:val="18"/>
              </w:rPr>
              <w:t>,</w:t>
            </w:r>
            <w:r w:rsidRPr="009C56F7">
              <w:rPr>
                <w:i/>
                <w:sz w:val="18"/>
                <w:szCs w:val="18"/>
              </w:rPr>
              <w:t xml:space="preserve"> 2012.</w:t>
            </w:r>
          </w:p>
        </w:tc>
      </w:tr>
    </w:tbl>
    <w:p w14:paraId="249DEB98" w14:textId="77777777" w:rsidR="00BC1E03" w:rsidRDefault="00BC1E03">
      <w:pPr>
        <w:rPr>
          <w:lang w:val="id-ID"/>
        </w:rPr>
      </w:pPr>
    </w:p>
    <w:p w14:paraId="050242E4" w14:textId="77777777" w:rsidR="000406F0" w:rsidRDefault="000406F0">
      <w:pPr>
        <w:rPr>
          <w:lang w:val="id-ID"/>
        </w:rPr>
        <w:sectPr w:rsidR="000406F0" w:rsidSect="00037369">
          <w:pgSz w:w="11907" w:h="16839" w:code="9"/>
          <w:pgMar w:top="1363" w:right="1100" w:bottom="278" w:left="1281" w:header="850" w:footer="397" w:gutter="0"/>
          <w:cols w:space="708"/>
          <w:noEndnote/>
          <w:docGrid w:linePitch="326"/>
        </w:sectPr>
      </w:pPr>
    </w:p>
    <w:tbl>
      <w:tblPr>
        <w:tblW w:w="9197" w:type="dxa"/>
        <w:tblInd w:w="392" w:type="dxa"/>
        <w:tblLayout w:type="fixed"/>
        <w:tblLook w:val="0000" w:firstRow="0" w:lastRow="0" w:firstColumn="0" w:lastColumn="0" w:noHBand="0" w:noVBand="0"/>
      </w:tblPr>
      <w:tblGrid>
        <w:gridCol w:w="4598"/>
        <w:gridCol w:w="4599"/>
      </w:tblGrid>
      <w:tr w:rsidR="00441EEE" w:rsidRPr="009C56F7" w14:paraId="6B0DD156" w14:textId="77777777" w:rsidTr="000406F0">
        <w:tc>
          <w:tcPr>
            <w:tcW w:w="4598" w:type="dxa"/>
          </w:tcPr>
          <w:p w14:paraId="3B53915E" w14:textId="55464A6D" w:rsidR="00441EEE" w:rsidRPr="009C56F7" w:rsidRDefault="00441EEE" w:rsidP="00070D1F">
            <w:pPr>
              <w:pStyle w:val="ListParagraph"/>
              <w:numPr>
                <w:ilvl w:val="0"/>
                <w:numId w:val="272"/>
              </w:numPr>
              <w:ind w:left="317" w:hanging="283"/>
              <w:contextualSpacing/>
              <w:jc w:val="both"/>
              <w:rPr>
                <w:rStyle w:val="hps"/>
                <w:b/>
                <w:sz w:val="18"/>
                <w:szCs w:val="18"/>
              </w:rPr>
            </w:pPr>
            <w:r w:rsidRPr="00BC1E03">
              <w:rPr>
                <w:sz w:val="18"/>
                <w:szCs w:val="18"/>
              </w:rPr>
              <w:lastRenderedPageBreak/>
              <w:br w:type="page"/>
            </w:r>
            <w:r w:rsidRPr="00BC1E03">
              <w:rPr>
                <w:sz w:val="18"/>
                <w:szCs w:val="18"/>
              </w:rPr>
              <w:br w:type="page"/>
            </w:r>
            <w:r w:rsidRPr="00BC1E03">
              <w:rPr>
                <w:sz w:val="18"/>
                <w:szCs w:val="18"/>
              </w:rPr>
              <w:br w:type="page"/>
            </w:r>
            <w:r w:rsidRPr="009C56F7">
              <w:rPr>
                <w:b/>
                <w:bCs w:val="0"/>
                <w:sz w:val="18"/>
                <w:szCs w:val="18"/>
              </w:rPr>
              <w:t>IKHTISAR</w:t>
            </w:r>
            <w:r w:rsidRPr="009C56F7">
              <w:rPr>
                <w:rStyle w:val="hps"/>
                <w:b/>
                <w:sz w:val="18"/>
                <w:szCs w:val="18"/>
              </w:rPr>
              <w:t xml:space="preserve"> KEBIJAKAN AKUNTANSI </w:t>
            </w:r>
            <w:r w:rsidRPr="009C56F7">
              <w:rPr>
                <w:rStyle w:val="hps"/>
                <w:b/>
                <w:sz w:val="18"/>
                <w:szCs w:val="18"/>
                <w:lang w:val="id-ID"/>
              </w:rPr>
              <w:t xml:space="preserve">YANG </w:t>
            </w:r>
            <w:r w:rsidRPr="009C56F7">
              <w:rPr>
                <w:rStyle w:val="hps"/>
                <w:b/>
                <w:sz w:val="18"/>
                <w:szCs w:val="18"/>
              </w:rPr>
              <w:t>PENTING</w:t>
            </w:r>
            <w:r w:rsidRPr="009C56F7">
              <w:rPr>
                <w:rStyle w:val="hps"/>
                <w:b/>
                <w:sz w:val="18"/>
                <w:szCs w:val="18"/>
                <w:lang w:val="id-ID"/>
              </w:rPr>
              <w:t xml:space="preserve"> - Lanjutan</w:t>
            </w:r>
          </w:p>
        </w:tc>
        <w:tc>
          <w:tcPr>
            <w:tcW w:w="4599" w:type="dxa"/>
          </w:tcPr>
          <w:p w14:paraId="0FFCA9E1" w14:textId="575BB4AE" w:rsidR="00441EEE" w:rsidRPr="009C56F7" w:rsidRDefault="00441EEE" w:rsidP="00070D1F">
            <w:pPr>
              <w:pStyle w:val="ListParagraph"/>
              <w:numPr>
                <w:ilvl w:val="0"/>
                <w:numId w:val="273"/>
              </w:numPr>
              <w:ind w:left="289" w:hanging="289"/>
              <w:contextualSpacing/>
              <w:jc w:val="both"/>
              <w:rPr>
                <w:b/>
                <w:bCs w:val="0"/>
                <w:i/>
                <w:sz w:val="18"/>
                <w:szCs w:val="18"/>
              </w:rPr>
            </w:pPr>
            <w:r w:rsidRPr="009C56F7">
              <w:rPr>
                <w:b/>
                <w:bCs w:val="0"/>
                <w:i/>
                <w:sz w:val="18"/>
                <w:szCs w:val="18"/>
              </w:rPr>
              <w:t>SUMMARY OF SIGNIFICANT ACCOUNTING POLICIES</w:t>
            </w:r>
            <w:r w:rsidRPr="009C56F7">
              <w:rPr>
                <w:b/>
                <w:bCs w:val="0"/>
                <w:i/>
                <w:sz w:val="18"/>
                <w:szCs w:val="18"/>
                <w:lang w:val="id-ID"/>
              </w:rPr>
              <w:t xml:space="preserve"> - Continued</w:t>
            </w:r>
          </w:p>
        </w:tc>
      </w:tr>
    </w:tbl>
    <w:p w14:paraId="7515D2F0" w14:textId="77777777" w:rsidR="00BC1E03" w:rsidRPr="009C56F7" w:rsidRDefault="00BC1E03">
      <w:pPr>
        <w:rPr>
          <w:sz w:val="12"/>
          <w:lang w:val="id-ID"/>
        </w:rPr>
      </w:pPr>
    </w:p>
    <w:tbl>
      <w:tblPr>
        <w:tblW w:w="9197" w:type="dxa"/>
        <w:tblInd w:w="392" w:type="dxa"/>
        <w:tblLayout w:type="fixed"/>
        <w:tblLook w:val="0000" w:firstRow="0" w:lastRow="0" w:firstColumn="0" w:lastColumn="0" w:noHBand="0" w:noVBand="0"/>
      </w:tblPr>
      <w:tblGrid>
        <w:gridCol w:w="4598"/>
        <w:gridCol w:w="4599"/>
      </w:tblGrid>
      <w:tr w:rsidR="00F93550" w:rsidRPr="009C56F7" w14:paraId="0475D4C9" w14:textId="77777777" w:rsidTr="004D2565">
        <w:tc>
          <w:tcPr>
            <w:tcW w:w="4598" w:type="dxa"/>
          </w:tcPr>
          <w:p w14:paraId="283F253D" w14:textId="77777777" w:rsidR="00F93550" w:rsidRPr="009C56F7" w:rsidRDefault="00F93550" w:rsidP="00CC2E72">
            <w:pPr>
              <w:pStyle w:val="ListParagraph"/>
              <w:numPr>
                <w:ilvl w:val="0"/>
                <w:numId w:val="7"/>
              </w:numPr>
              <w:ind w:left="568" w:hanging="243"/>
              <w:jc w:val="both"/>
              <w:rPr>
                <w:rStyle w:val="hps"/>
                <w:b/>
                <w:sz w:val="18"/>
                <w:szCs w:val="18"/>
              </w:rPr>
            </w:pPr>
            <w:r w:rsidRPr="009C56F7">
              <w:rPr>
                <w:rStyle w:val="hps"/>
                <w:b/>
                <w:sz w:val="18"/>
                <w:szCs w:val="18"/>
              </w:rPr>
              <w:t>Dasar Penyusunan Laporan Keuangan Konsolidasian</w:t>
            </w:r>
            <w:r w:rsidR="00C5671A" w:rsidRPr="009C56F7">
              <w:rPr>
                <w:rStyle w:val="hps"/>
                <w:b/>
                <w:sz w:val="18"/>
                <w:szCs w:val="18"/>
              </w:rPr>
              <w:t xml:space="preserve"> </w:t>
            </w:r>
          </w:p>
        </w:tc>
        <w:tc>
          <w:tcPr>
            <w:tcW w:w="4598" w:type="dxa"/>
          </w:tcPr>
          <w:p w14:paraId="19845321" w14:textId="77777777" w:rsidR="00F93550" w:rsidRPr="009C56F7" w:rsidRDefault="00F93550" w:rsidP="0007424C">
            <w:pPr>
              <w:pStyle w:val="ListParagraph"/>
              <w:numPr>
                <w:ilvl w:val="0"/>
                <w:numId w:val="8"/>
              </w:numPr>
              <w:ind w:left="568" w:hanging="284"/>
              <w:jc w:val="both"/>
              <w:rPr>
                <w:b/>
                <w:bCs w:val="0"/>
                <w:i/>
                <w:sz w:val="18"/>
                <w:szCs w:val="18"/>
              </w:rPr>
            </w:pPr>
            <w:r w:rsidRPr="009C56F7">
              <w:rPr>
                <w:b/>
                <w:bCs w:val="0"/>
                <w:i/>
                <w:sz w:val="18"/>
                <w:szCs w:val="18"/>
              </w:rPr>
              <w:t xml:space="preserve">Basis of Preparation of Consolidated Financial </w:t>
            </w:r>
            <w:r w:rsidRPr="009C56F7">
              <w:rPr>
                <w:b/>
                <w:i/>
                <w:sz w:val="18"/>
                <w:szCs w:val="18"/>
              </w:rPr>
              <w:t>Statements</w:t>
            </w:r>
            <w:r w:rsidRPr="009C56F7">
              <w:rPr>
                <w:b/>
                <w:bCs w:val="0"/>
                <w:i/>
                <w:sz w:val="18"/>
                <w:szCs w:val="18"/>
              </w:rPr>
              <w:t xml:space="preserve"> </w:t>
            </w:r>
          </w:p>
        </w:tc>
      </w:tr>
      <w:tr w:rsidR="00F93550" w:rsidRPr="009C56F7" w14:paraId="7C62F86E" w14:textId="77777777" w:rsidTr="004D2565">
        <w:tc>
          <w:tcPr>
            <w:tcW w:w="4598" w:type="dxa"/>
          </w:tcPr>
          <w:p w14:paraId="3770D48C" w14:textId="77777777" w:rsidR="00F93550" w:rsidRPr="009C56F7" w:rsidRDefault="00F93550" w:rsidP="0013526B">
            <w:pPr>
              <w:jc w:val="both"/>
              <w:rPr>
                <w:rStyle w:val="hps"/>
                <w:sz w:val="10"/>
                <w:szCs w:val="18"/>
              </w:rPr>
            </w:pPr>
          </w:p>
        </w:tc>
        <w:tc>
          <w:tcPr>
            <w:tcW w:w="4598" w:type="dxa"/>
          </w:tcPr>
          <w:p w14:paraId="7E96DB2B" w14:textId="77777777" w:rsidR="00F93550" w:rsidRPr="009C56F7" w:rsidRDefault="00F93550" w:rsidP="0013526B">
            <w:pPr>
              <w:ind w:left="426"/>
              <w:jc w:val="both"/>
              <w:rPr>
                <w:bCs w:val="0"/>
                <w:i/>
                <w:sz w:val="10"/>
                <w:szCs w:val="18"/>
              </w:rPr>
            </w:pPr>
          </w:p>
        </w:tc>
      </w:tr>
      <w:tr w:rsidR="00F93550" w:rsidRPr="0013526B" w14:paraId="2B904AD9" w14:textId="77777777" w:rsidTr="004D2565">
        <w:tc>
          <w:tcPr>
            <w:tcW w:w="4598" w:type="dxa"/>
          </w:tcPr>
          <w:p w14:paraId="7BE17EE1" w14:textId="1937751D" w:rsidR="00F93550" w:rsidRPr="009C56F7" w:rsidRDefault="00F93550" w:rsidP="00F15497">
            <w:pPr>
              <w:ind w:left="567" w:right="-57"/>
              <w:jc w:val="both"/>
              <w:rPr>
                <w:rStyle w:val="hps"/>
                <w:sz w:val="18"/>
                <w:szCs w:val="18"/>
                <w:lang w:val="id-ID"/>
              </w:rPr>
            </w:pPr>
            <w:r w:rsidRPr="009C56F7">
              <w:rPr>
                <w:rStyle w:val="hps"/>
                <w:sz w:val="18"/>
                <w:szCs w:val="18"/>
              </w:rPr>
              <w:t>Laporan keuangan konsolidasian disusun sesuai dengan PSAK No. 1 (Revisi 2013)</w:t>
            </w:r>
            <w:r w:rsidR="00870FD0">
              <w:rPr>
                <w:rStyle w:val="hps"/>
                <w:sz w:val="18"/>
                <w:szCs w:val="18"/>
              </w:rPr>
              <w:t>.</w:t>
            </w:r>
            <w:r w:rsidRPr="009C56F7">
              <w:rPr>
                <w:rStyle w:val="hps"/>
                <w:sz w:val="18"/>
                <w:szCs w:val="18"/>
              </w:rPr>
              <w:t xml:space="preserve"> “Penyajian Laporan Keuangan”</w:t>
            </w:r>
            <w:r w:rsidR="00F15497">
              <w:rPr>
                <w:rStyle w:val="hps"/>
                <w:sz w:val="18"/>
                <w:szCs w:val="18"/>
              </w:rPr>
              <w:t>,</w:t>
            </w:r>
            <w:r w:rsidRPr="009C56F7">
              <w:rPr>
                <w:rStyle w:val="hps"/>
                <w:sz w:val="18"/>
                <w:szCs w:val="18"/>
              </w:rPr>
              <w:t xml:space="preserve"> termasuk PSAK No. 1 (Amandemen 2015)</w:t>
            </w:r>
            <w:r w:rsidR="00F15497">
              <w:rPr>
                <w:rStyle w:val="hps"/>
                <w:sz w:val="18"/>
                <w:szCs w:val="18"/>
              </w:rPr>
              <w:t>,</w:t>
            </w:r>
            <w:r w:rsidRPr="009C56F7">
              <w:rPr>
                <w:rStyle w:val="hps"/>
                <w:sz w:val="18"/>
                <w:szCs w:val="18"/>
              </w:rPr>
              <w:t xml:space="preserve"> “Penyajian Laporan Keuangan tentang Prakarsa Pengu</w:t>
            </w:r>
            <w:r w:rsidRPr="009C56F7">
              <w:rPr>
                <w:rStyle w:val="hps"/>
                <w:sz w:val="18"/>
                <w:szCs w:val="18"/>
                <w:lang w:val="id-ID"/>
              </w:rPr>
              <w:t>ng</w:t>
            </w:r>
            <w:r w:rsidRPr="009C56F7">
              <w:rPr>
                <w:rStyle w:val="hps"/>
                <w:sz w:val="18"/>
                <w:szCs w:val="18"/>
              </w:rPr>
              <w:t>kapan”. PSAK revisi ini mengubah pengelompokkan item-item yang disajikan dalam penghasilan komprehensif lain (OCI). Item-item yang akan direklasifikasi ke laba rugi akan disajikan terpisah dari item-item yang tidak akan direklasifikasi ke laba rugi.</w:t>
            </w:r>
            <w:r w:rsidR="00404538" w:rsidRPr="009C56F7">
              <w:rPr>
                <w:rStyle w:val="hps"/>
                <w:sz w:val="18"/>
                <w:szCs w:val="18"/>
              </w:rPr>
              <w:t xml:space="preserve"> </w:t>
            </w:r>
            <w:r w:rsidR="00404538" w:rsidRPr="009C56F7">
              <w:rPr>
                <w:sz w:val="18"/>
                <w:szCs w:val="18"/>
              </w:rPr>
              <w:t>Penerapan PSAK ini hanya berakibat pada penyajian saja dan tidak berdampak pada posisi keuangan dan kinerja Kelompok Usaha.</w:t>
            </w:r>
          </w:p>
        </w:tc>
        <w:tc>
          <w:tcPr>
            <w:tcW w:w="4598" w:type="dxa"/>
          </w:tcPr>
          <w:p w14:paraId="14CD85BC" w14:textId="6AED2D6B" w:rsidR="00F93550" w:rsidRPr="0013526B" w:rsidRDefault="00F93550" w:rsidP="00F15497">
            <w:pPr>
              <w:ind w:left="567" w:right="-57"/>
              <w:jc w:val="both"/>
              <w:rPr>
                <w:bCs w:val="0"/>
                <w:i/>
                <w:sz w:val="18"/>
                <w:szCs w:val="18"/>
                <w:lang w:val="id-ID"/>
              </w:rPr>
            </w:pPr>
            <w:r w:rsidRPr="009C56F7">
              <w:rPr>
                <w:bCs w:val="0"/>
                <w:i/>
                <w:sz w:val="18"/>
                <w:szCs w:val="18"/>
              </w:rPr>
              <w:t>The consolidated financial statements are prepared in accordance with PSAK No. 1 (Revised 2013)</w:t>
            </w:r>
            <w:r w:rsidR="00F15497">
              <w:rPr>
                <w:bCs w:val="0"/>
                <w:i/>
                <w:sz w:val="18"/>
                <w:szCs w:val="18"/>
              </w:rPr>
              <w:t>,</w:t>
            </w:r>
            <w:r w:rsidRPr="009C56F7">
              <w:rPr>
                <w:bCs w:val="0"/>
                <w:i/>
                <w:sz w:val="18"/>
                <w:szCs w:val="18"/>
              </w:rPr>
              <w:t xml:space="preserve"> “Presentation of Financial Statem</w:t>
            </w:r>
            <w:r w:rsidR="00F15497">
              <w:rPr>
                <w:bCs w:val="0"/>
                <w:i/>
                <w:sz w:val="18"/>
                <w:szCs w:val="18"/>
              </w:rPr>
              <w:t>ents”,</w:t>
            </w:r>
            <w:r w:rsidRPr="009C56F7">
              <w:rPr>
                <w:bCs w:val="0"/>
                <w:i/>
                <w:sz w:val="18"/>
                <w:szCs w:val="18"/>
              </w:rPr>
              <w:t xml:space="preserve"> including PSAK No. 1 (Amendment 2015)</w:t>
            </w:r>
            <w:r w:rsidR="00F15497">
              <w:rPr>
                <w:bCs w:val="0"/>
                <w:i/>
                <w:sz w:val="18"/>
                <w:szCs w:val="18"/>
              </w:rPr>
              <w:t>,</w:t>
            </w:r>
            <w:r w:rsidRPr="009C56F7">
              <w:rPr>
                <w:bCs w:val="0"/>
                <w:i/>
                <w:sz w:val="18"/>
                <w:szCs w:val="18"/>
              </w:rPr>
              <w:t xml:space="preserve"> “Presentation of Financial Statements on Initiative Disclosures”. This revised PSAK changes the grouping of items presented in OCI. Items that could be reclassified to profit or loss would be presented separately from items that will never be reclassified.</w:t>
            </w:r>
            <w:r w:rsidR="00404538" w:rsidRPr="009C56F7">
              <w:rPr>
                <w:i/>
                <w:sz w:val="18"/>
                <w:szCs w:val="18"/>
              </w:rPr>
              <w:t xml:space="preserve"> The adoption of this PSAK affects presentation only and has no impact on the Group’s financial position or performance.</w:t>
            </w:r>
          </w:p>
        </w:tc>
      </w:tr>
      <w:tr w:rsidR="00F93550" w:rsidRPr="00F11814" w14:paraId="4D07E608" w14:textId="77777777" w:rsidTr="004D2565">
        <w:tc>
          <w:tcPr>
            <w:tcW w:w="4598" w:type="dxa"/>
          </w:tcPr>
          <w:p w14:paraId="59944098" w14:textId="77777777" w:rsidR="00F93550" w:rsidRPr="00626684" w:rsidRDefault="00F93550" w:rsidP="0013526B">
            <w:pPr>
              <w:jc w:val="both"/>
              <w:rPr>
                <w:rStyle w:val="hps"/>
                <w:sz w:val="10"/>
                <w:szCs w:val="18"/>
              </w:rPr>
            </w:pPr>
          </w:p>
        </w:tc>
        <w:tc>
          <w:tcPr>
            <w:tcW w:w="4598" w:type="dxa"/>
          </w:tcPr>
          <w:p w14:paraId="277EF84A" w14:textId="77777777" w:rsidR="00F93550" w:rsidRPr="00626684" w:rsidRDefault="00F93550" w:rsidP="0013526B">
            <w:pPr>
              <w:ind w:left="426"/>
              <w:jc w:val="both"/>
              <w:rPr>
                <w:bCs w:val="0"/>
                <w:i/>
                <w:sz w:val="10"/>
                <w:szCs w:val="18"/>
              </w:rPr>
            </w:pPr>
          </w:p>
        </w:tc>
      </w:tr>
      <w:tr w:rsidR="00F93550" w:rsidRPr="006D4529" w14:paraId="039BE156" w14:textId="77777777" w:rsidTr="004D2565">
        <w:trPr>
          <w:trHeight w:val="872"/>
        </w:trPr>
        <w:tc>
          <w:tcPr>
            <w:tcW w:w="4598" w:type="dxa"/>
          </w:tcPr>
          <w:p w14:paraId="43108EC2" w14:textId="70DC08EE" w:rsidR="00F93550" w:rsidRPr="006D4529" w:rsidRDefault="00F93550" w:rsidP="0013526B">
            <w:pPr>
              <w:ind w:left="567" w:right="-57"/>
              <w:jc w:val="both"/>
              <w:rPr>
                <w:bCs w:val="0"/>
                <w:sz w:val="18"/>
                <w:szCs w:val="18"/>
              </w:rPr>
            </w:pPr>
            <w:r w:rsidRPr="006D4529">
              <w:rPr>
                <w:bCs w:val="0"/>
                <w:sz w:val="18"/>
                <w:szCs w:val="18"/>
              </w:rPr>
              <w:t xml:space="preserve">Laporan keuangan konsolidasian disusun berdasarkan asumsi kelangsungan </w:t>
            </w:r>
            <w:r w:rsidRPr="006D4529">
              <w:rPr>
                <w:rStyle w:val="hps"/>
                <w:sz w:val="18"/>
                <w:szCs w:val="18"/>
              </w:rPr>
              <w:t>usaha</w:t>
            </w:r>
            <w:r w:rsidRPr="006D4529">
              <w:rPr>
                <w:bCs w:val="0"/>
                <w:sz w:val="18"/>
                <w:szCs w:val="18"/>
              </w:rPr>
              <w:t xml:space="preserve"> serta atas dasar akrual</w:t>
            </w:r>
            <w:r w:rsidR="00F15497">
              <w:rPr>
                <w:bCs w:val="0"/>
                <w:sz w:val="18"/>
                <w:szCs w:val="18"/>
              </w:rPr>
              <w:t>,</w:t>
            </w:r>
            <w:r w:rsidRPr="006D4529">
              <w:rPr>
                <w:bCs w:val="0"/>
                <w:sz w:val="18"/>
                <w:szCs w:val="18"/>
              </w:rPr>
              <w:t xml:space="preserve"> kecuali laporan arus kas konsolidasian yang menggunakan dasar kas.</w:t>
            </w:r>
          </w:p>
        </w:tc>
        <w:tc>
          <w:tcPr>
            <w:tcW w:w="4598" w:type="dxa"/>
          </w:tcPr>
          <w:p w14:paraId="6D4177C0" w14:textId="77777777" w:rsidR="00F93550" w:rsidRPr="006D4529" w:rsidRDefault="00F93550" w:rsidP="0013526B">
            <w:pPr>
              <w:ind w:left="567" w:right="-57"/>
              <w:jc w:val="both"/>
              <w:rPr>
                <w:bCs w:val="0"/>
                <w:i/>
                <w:sz w:val="18"/>
                <w:szCs w:val="18"/>
              </w:rPr>
            </w:pPr>
            <w:r w:rsidRPr="006D4529">
              <w:rPr>
                <w:bCs w:val="0"/>
                <w:i/>
                <w:sz w:val="18"/>
                <w:szCs w:val="18"/>
              </w:rPr>
              <w:t>The consolidated financial statements have been prepared on the assumption of going concern and accrual basis except for consolidated statements of cash flows using cash basis.</w:t>
            </w:r>
          </w:p>
        </w:tc>
      </w:tr>
      <w:tr w:rsidR="00F93550" w:rsidRPr="006D4529" w14:paraId="008E14B1" w14:textId="77777777" w:rsidTr="004D2565">
        <w:tc>
          <w:tcPr>
            <w:tcW w:w="4598" w:type="dxa"/>
          </w:tcPr>
          <w:p w14:paraId="0E2058F7" w14:textId="77777777" w:rsidR="00F93550" w:rsidRPr="006D4529" w:rsidRDefault="00F93550" w:rsidP="0013526B">
            <w:pPr>
              <w:ind w:left="624"/>
              <w:jc w:val="both"/>
              <w:rPr>
                <w:bCs w:val="0"/>
                <w:sz w:val="10"/>
                <w:szCs w:val="18"/>
              </w:rPr>
            </w:pPr>
          </w:p>
        </w:tc>
        <w:tc>
          <w:tcPr>
            <w:tcW w:w="4598" w:type="dxa"/>
          </w:tcPr>
          <w:p w14:paraId="0A01C277" w14:textId="77777777" w:rsidR="00F93550" w:rsidRPr="006D4529" w:rsidRDefault="00F93550" w:rsidP="0013526B">
            <w:pPr>
              <w:ind w:left="624"/>
              <w:jc w:val="both"/>
              <w:rPr>
                <w:bCs w:val="0"/>
                <w:i/>
                <w:sz w:val="10"/>
                <w:szCs w:val="18"/>
              </w:rPr>
            </w:pPr>
          </w:p>
        </w:tc>
      </w:tr>
      <w:tr w:rsidR="00F93550" w:rsidRPr="006D4529" w14:paraId="19CAED44" w14:textId="77777777" w:rsidTr="004D2565">
        <w:trPr>
          <w:trHeight w:val="872"/>
        </w:trPr>
        <w:tc>
          <w:tcPr>
            <w:tcW w:w="4598" w:type="dxa"/>
          </w:tcPr>
          <w:p w14:paraId="65BC8C63" w14:textId="532451F5" w:rsidR="00F93550" w:rsidRPr="006D4529" w:rsidRDefault="00F93550" w:rsidP="0013526B">
            <w:pPr>
              <w:ind w:left="567" w:right="-57"/>
              <w:jc w:val="both"/>
              <w:rPr>
                <w:bCs w:val="0"/>
                <w:sz w:val="18"/>
                <w:szCs w:val="18"/>
              </w:rPr>
            </w:pPr>
            <w:r w:rsidRPr="006D4529">
              <w:rPr>
                <w:bCs w:val="0"/>
                <w:sz w:val="18"/>
                <w:szCs w:val="18"/>
              </w:rPr>
              <w:t xml:space="preserve">Dasar pengukuran dalam penyusunan laporan keuangan konsolidasian ini adalah konsep biaya perolehan </w:t>
            </w:r>
            <w:r w:rsidRPr="006D4529">
              <w:rPr>
                <w:bCs w:val="0"/>
                <w:i/>
                <w:iCs/>
                <w:sz w:val="18"/>
                <w:szCs w:val="18"/>
              </w:rPr>
              <w:t>(historical cost)</w:t>
            </w:r>
            <w:r w:rsidR="00F15497">
              <w:rPr>
                <w:bCs w:val="0"/>
                <w:sz w:val="18"/>
                <w:szCs w:val="18"/>
              </w:rPr>
              <w:t>,</w:t>
            </w:r>
            <w:r w:rsidRPr="006D4529">
              <w:rPr>
                <w:bCs w:val="0"/>
                <w:sz w:val="18"/>
                <w:szCs w:val="18"/>
              </w:rPr>
              <w:t xml:space="preserve"> kecuali untuk beberapa akun tertentu yang didasarkan pengukuran lain sebagaimana yang diungkapkan pada kebijakan akuntansi dalam masing-masing akun tersebut.</w:t>
            </w:r>
          </w:p>
        </w:tc>
        <w:tc>
          <w:tcPr>
            <w:tcW w:w="4598" w:type="dxa"/>
          </w:tcPr>
          <w:p w14:paraId="0D6293C0" w14:textId="24037FBB" w:rsidR="00F93550" w:rsidRPr="006D4529" w:rsidRDefault="00F93550" w:rsidP="00F15497">
            <w:pPr>
              <w:ind w:left="567" w:right="-57"/>
              <w:jc w:val="both"/>
              <w:rPr>
                <w:bCs w:val="0"/>
                <w:i/>
                <w:sz w:val="18"/>
                <w:szCs w:val="18"/>
              </w:rPr>
            </w:pPr>
            <w:r w:rsidRPr="006D4529">
              <w:rPr>
                <w:bCs w:val="0"/>
                <w:i/>
                <w:sz w:val="18"/>
                <w:szCs w:val="18"/>
              </w:rPr>
              <w:t>The measurement in the preparation of consolidated financial statements is historical cost concept</w:t>
            </w:r>
            <w:r w:rsidR="00F15497">
              <w:rPr>
                <w:bCs w:val="0"/>
                <w:i/>
                <w:sz w:val="18"/>
                <w:szCs w:val="18"/>
              </w:rPr>
              <w:t>,</w:t>
            </w:r>
            <w:r w:rsidRPr="006D4529">
              <w:rPr>
                <w:bCs w:val="0"/>
                <w:i/>
                <w:sz w:val="18"/>
                <w:szCs w:val="18"/>
              </w:rPr>
              <w:t xml:space="preserve"> except for certain accounts which are measured on the basis described in the related accounting policies of respective account.</w:t>
            </w:r>
          </w:p>
        </w:tc>
      </w:tr>
      <w:tr w:rsidR="00F93550" w:rsidRPr="006D4529" w14:paraId="1BFD7004" w14:textId="77777777" w:rsidTr="004D2565">
        <w:tc>
          <w:tcPr>
            <w:tcW w:w="4598" w:type="dxa"/>
          </w:tcPr>
          <w:p w14:paraId="18FD0C3E" w14:textId="77777777" w:rsidR="00F93550" w:rsidRPr="006D4529" w:rsidRDefault="00F93550" w:rsidP="0013526B">
            <w:pPr>
              <w:ind w:left="624"/>
              <w:jc w:val="both"/>
              <w:rPr>
                <w:bCs w:val="0"/>
                <w:sz w:val="10"/>
                <w:szCs w:val="18"/>
              </w:rPr>
            </w:pPr>
          </w:p>
        </w:tc>
        <w:tc>
          <w:tcPr>
            <w:tcW w:w="4598" w:type="dxa"/>
          </w:tcPr>
          <w:p w14:paraId="3ECB6564" w14:textId="77777777" w:rsidR="00F93550" w:rsidRPr="006D4529" w:rsidRDefault="00F93550" w:rsidP="0013526B">
            <w:pPr>
              <w:ind w:left="624"/>
              <w:jc w:val="both"/>
              <w:rPr>
                <w:bCs w:val="0"/>
                <w:i/>
                <w:sz w:val="10"/>
                <w:szCs w:val="18"/>
              </w:rPr>
            </w:pPr>
          </w:p>
        </w:tc>
      </w:tr>
      <w:tr w:rsidR="00441EEE" w:rsidRPr="00A93805" w14:paraId="146659C4" w14:textId="77777777" w:rsidTr="004D2565">
        <w:tc>
          <w:tcPr>
            <w:tcW w:w="4598" w:type="dxa"/>
          </w:tcPr>
          <w:p w14:paraId="5EA01AD7" w14:textId="18B8BB55" w:rsidR="00441EEE" w:rsidRPr="006D4529" w:rsidRDefault="00441EEE" w:rsidP="00626684">
            <w:pPr>
              <w:ind w:left="567" w:right="-57"/>
              <w:jc w:val="both"/>
              <w:rPr>
                <w:bCs w:val="0"/>
                <w:sz w:val="18"/>
                <w:szCs w:val="18"/>
              </w:rPr>
            </w:pPr>
            <w:r w:rsidRPr="006D4529">
              <w:rPr>
                <w:bCs w:val="0"/>
                <w:sz w:val="18"/>
                <w:szCs w:val="18"/>
              </w:rPr>
              <w:t xml:space="preserve">Laporan arus kas konsolidasian disusun dengan menggunakan metode langsung </w:t>
            </w:r>
            <w:r w:rsidRPr="006D4529">
              <w:rPr>
                <w:bCs w:val="0"/>
                <w:i/>
                <w:iCs/>
                <w:sz w:val="18"/>
                <w:szCs w:val="18"/>
              </w:rPr>
              <w:t>(direct method)</w:t>
            </w:r>
            <w:r w:rsidRPr="006D4529">
              <w:rPr>
                <w:bCs w:val="0"/>
                <w:sz w:val="18"/>
                <w:szCs w:val="18"/>
              </w:rPr>
              <w:t xml:space="preserve"> dengan mengelompokkan arus kas dalam aktivitas operasi</w:t>
            </w:r>
            <w:r w:rsidR="00F15497">
              <w:rPr>
                <w:bCs w:val="0"/>
                <w:sz w:val="18"/>
                <w:szCs w:val="18"/>
              </w:rPr>
              <w:t>,</w:t>
            </w:r>
            <w:r w:rsidRPr="006D4529">
              <w:rPr>
                <w:bCs w:val="0"/>
                <w:sz w:val="18"/>
                <w:szCs w:val="18"/>
              </w:rPr>
              <w:t xml:space="preserve"> investasi dan pendanaan.</w:t>
            </w:r>
          </w:p>
        </w:tc>
        <w:tc>
          <w:tcPr>
            <w:tcW w:w="4598" w:type="dxa"/>
          </w:tcPr>
          <w:p w14:paraId="3F32A164" w14:textId="13ECCCE3" w:rsidR="00441EEE" w:rsidRPr="006D4529" w:rsidRDefault="00441EEE" w:rsidP="00F15497">
            <w:pPr>
              <w:ind w:left="567" w:right="-57"/>
              <w:jc w:val="both"/>
              <w:rPr>
                <w:bCs w:val="0"/>
                <w:i/>
                <w:sz w:val="18"/>
                <w:szCs w:val="18"/>
              </w:rPr>
            </w:pPr>
            <w:r w:rsidRPr="006D4529">
              <w:rPr>
                <w:bCs w:val="0"/>
                <w:i/>
                <w:sz w:val="18"/>
                <w:szCs w:val="18"/>
              </w:rPr>
              <w:t>The consolidated statements of cash flows</w:t>
            </w:r>
            <w:r w:rsidR="00870FD0">
              <w:rPr>
                <w:bCs w:val="0"/>
                <w:i/>
                <w:sz w:val="18"/>
                <w:szCs w:val="18"/>
              </w:rPr>
              <w:t>.</w:t>
            </w:r>
            <w:r w:rsidRPr="006D4529">
              <w:rPr>
                <w:bCs w:val="0"/>
                <w:i/>
                <w:sz w:val="18"/>
                <w:szCs w:val="18"/>
              </w:rPr>
              <w:t xml:space="preserve"> </w:t>
            </w:r>
            <w:proofErr w:type="gramStart"/>
            <w:r w:rsidRPr="006D4529">
              <w:rPr>
                <w:bCs w:val="0"/>
                <w:i/>
                <w:sz w:val="18"/>
                <w:szCs w:val="18"/>
              </w:rPr>
              <w:t>which</w:t>
            </w:r>
            <w:proofErr w:type="gramEnd"/>
            <w:r w:rsidRPr="006D4529">
              <w:rPr>
                <w:bCs w:val="0"/>
                <w:i/>
                <w:sz w:val="18"/>
                <w:szCs w:val="18"/>
              </w:rPr>
              <w:t xml:space="preserve"> have been prepared using the direct method</w:t>
            </w:r>
            <w:r w:rsidR="00F15497">
              <w:rPr>
                <w:bCs w:val="0"/>
                <w:i/>
                <w:sz w:val="18"/>
                <w:szCs w:val="18"/>
              </w:rPr>
              <w:t>,</w:t>
            </w:r>
            <w:r w:rsidRPr="006D4529">
              <w:rPr>
                <w:bCs w:val="0"/>
                <w:i/>
                <w:sz w:val="18"/>
                <w:szCs w:val="18"/>
              </w:rPr>
              <w:t xml:space="preserve"> present cash receipts and payments classified into operating</w:t>
            </w:r>
            <w:r w:rsidR="00F15497">
              <w:rPr>
                <w:bCs w:val="0"/>
                <w:i/>
                <w:sz w:val="18"/>
                <w:szCs w:val="18"/>
              </w:rPr>
              <w:t>,</w:t>
            </w:r>
            <w:r w:rsidRPr="006D4529">
              <w:rPr>
                <w:bCs w:val="0"/>
                <w:i/>
                <w:sz w:val="18"/>
                <w:szCs w:val="18"/>
              </w:rPr>
              <w:t xml:space="preserve"> investing and financing activities.</w:t>
            </w:r>
          </w:p>
        </w:tc>
      </w:tr>
      <w:tr w:rsidR="00441EEE" w:rsidRPr="00A93805" w14:paraId="3A8B8795" w14:textId="77777777" w:rsidTr="004D2565">
        <w:tc>
          <w:tcPr>
            <w:tcW w:w="4598" w:type="dxa"/>
          </w:tcPr>
          <w:p w14:paraId="5FD30548" w14:textId="77777777" w:rsidR="00441EEE" w:rsidRPr="00A93805" w:rsidRDefault="00441EEE" w:rsidP="0013526B">
            <w:pPr>
              <w:ind w:left="624"/>
              <w:jc w:val="both"/>
              <w:rPr>
                <w:bCs w:val="0"/>
                <w:sz w:val="10"/>
                <w:szCs w:val="18"/>
                <w:highlight w:val="cyan"/>
              </w:rPr>
            </w:pPr>
          </w:p>
        </w:tc>
        <w:tc>
          <w:tcPr>
            <w:tcW w:w="4598" w:type="dxa"/>
          </w:tcPr>
          <w:p w14:paraId="3D7E8A46" w14:textId="77777777" w:rsidR="00441EEE" w:rsidRPr="00A93805" w:rsidRDefault="00441EEE" w:rsidP="0013526B">
            <w:pPr>
              <w:ind w:left="624"/>
              <w:jc w:val="both"/>
              <w:rPr>
                <w:bCs w:val="0"/>
                <w:i/>
                <w:sz w:val="10"/>
                <w:szCs w:val="18"/>
                <w:highlight w:val="cyan"/>
              </w:rPr>
            </w:pPr>
          </w:p>
        </w:tc>
      </w:tr>
      <w:tr w:rsidR="00441EEE" w:rsidRPr="00A93805" w14:paraId="05EED62B" w14:textId="77777777" w:rsidTr="004D2565">
        <w:tc>
          <w:tcPr>
            <w:tcW w:w="4598" w:type="dxa"/>
          </w:tcPr>
          <w:p w14:paraId="58F1F434" w14:textId="4F311AAB" w:rsidR="00441EEE" w:rsidRPr="006D4529" w:rsidRDefault="00441EEE" w:rsidP="00626684">
            <w:pPr>
              <w:ind w:left="567" w:right="-57"/>
              <w:jc w:val="both"/>
              <w:rPr>
                <w:bCs w:val="0"/>
                <w:sz w:val="18"/>
                <w:szCs w:val="18"/>
              </w:rPr>
            </w:pPr>
            <w:r w:rsidRPr="006D4529">
              <w:rPr>
                <w:bCs w:val="0"/>
                <w:sz w:val="18"/>
                <w:szCs w:val="18"/>
              </w:rPr>
              <w:t>Mata uang pelaporan yang digunakan dalam laporan keuangan konsolidasian adalah Rupiah (Rp) yang juga merupakan mata uang fungsional Kelompok Usaha.</w:t>
            </w:r>
          </w:p>
        </w:tc>
        <w:tc>
          <w:tcPr>
            <w:tcW w:w="4598" w:type="dxa"/>
          </w:tcPr>
          <w:p w14:paraId="55324E33" w14:textId="29D90390" w:rsidR="00441EEE" w:rsidRPr="006D4529" w:rsidRDefault="00441EEE" w:rsidP="00626684">
            <w:pPr>
              <w:ind w:left="567" w:right="-57"/>
              <w:jc w:val="both"/>
              <w:rPr>
                <w:bCs w:val="0"/>
                <w:i/>
                <w:sz w:val="18"/>
                <w:szCs w:val="18"/>
              </w:rPr>
            </w:pPr>
            <w:r w:rsidRPr="006D4529">
              <w:rPr>
                <w:bCs w:val="0"/>
                <w:i/>
                <w:sz w:val="18"/>
                <w:szCs w:val="18"/>
              </w:rPr>
              <w:t>The reporting currency used in the preparation of the consolidated financial statements is Rupiah (Rp) which also represents functional currency of the Group.</w:t>
            </w:r>
          </w:p>
        </w:tc>
      </w:tr>
      <w:tr w:rsidR="00441EEE" w:rsidRPr="00A93805" w14:paraId="3EE5DDC8" w14:textId="77777777" w:rsidTr="004D2565">
        <w:tc>
          <w:tcPr>
            <w:tcW w:w="4598" w:type="dxa"/>
          </w:tcPr>
          <w:p w14:paraId="4A62564D" w14:textId="77777777" w:rsidR="00441EEE" w:rsidRPr="00A93805" w:rsidRDefault="00441EEE" w:rsidP="0013526B">
            <w:pPr>
              <w:ind w:left="624"/>
              <w:jc w:val="both"/>
              <w:rPr>
                <w:bCs w:val="0"/>
                <w:sz w:val="10"/>
                <w:szCs w:val="18"/>
                <w:highlight w:val="cyan"/>
              </w:rPr>
            </w:pPr>
          </w:p>
        </w:tc>
        <w:tc>
          <w:tcPr>
            <w:tcW w:w="4598" w:type="dxa"/>
          </w:tcPr>
          <w:p w14:paraId="3995B24C" w14:textId="77777777" w:rsidR="00441EEE" w:rsidRPr="00A93805" w:rsidRDefault="00441EEE" w:rsidP="0013526B">
            <w:pPr>
              <w:ind w:left="624"/>
              <w:jc w:val="both"/>
              <w:rPr>
                <w:bCs w:val="0"/>
                <w:i/>
                <w:sz w:val="10"/>
                <w:szCs w:val="18"/>
                <w:highlight w:val="cyan"/>
              </w:rPr>
            </w:pPr>
          </w:p>
        </w:tc>
      </w:tr>
      <w:tr w:rsidR="00441EEE" w:rsidRPr="006D4529" w14:paraId="75CDF789" w14:textId="77777777" w:rsidTr="004D2565">
        <w:tc>
          <w:tcPr>
            <w:tcW w:w="4598" w:type="dxa"/>
          </w:tcPr>
          <w:p w14:paraId="2BD12EB1" w14:textId="6AAA358C" w:rsidR="00441EEE" w:rsidRPr="006D4529" w:rsidRDefault="00441EEE" w:rsidP="00626684">
            <w:pPr>
              <w:ind w:left="567" w:right="-57"/>
              <w:jc w:val="both"/>
              <w:rPr>
                <w:bCs w:val="0"/>
                <w:sz w:val="18"/>
                <w:szCs w:val="18"/>
              </w:rPr>
            </w:pPr>
            <w:r w:rsidRPr="006D4529">
              <w:rPr>
                <w:bCs w:val="0"/>
                <w:sz w:val="18"/>
                <w:szCs w:val="18"/>
              </w:rPr>
              <w:t>Ketika Kelompok Usaha menerapkan suatu kebijakan akuntansi secara restrospektif atau membuat penyajian kembali pos-pos laporan keuangan atau ketika Kelompok Usaha mereklasifikasi pos-pos dalam laporan keuangannya maka Kelompok Usaha menyajikan kembali laporan posisi keuangan pada awal periode komparatif yang disajikan.</w:t>
            </w:r>
          </w:p>
        </w:tc>
        <w:tc>
          <w:tcPr>
            <w:tcW w:w="4598" w:type="dxa"/>
          </w:tcPr>
          <w:p w14:paraId="12F901FD" w14:textId="4F45BCFC" w:rsidR="00441EEE" w:rsidRPr="006D4529" w:rsidRDefault="00441EEE" w:rsidP="00F15497">
            <w:pPr>
              <w:ind w:left="567" w:right="-57"/>
              <w:jc w:val="both"/>
              <w:rPr>
                <w:bCs w:val="0"/>
                <w:i/>
                <w:sz w:val="18"/>
                <w:szCs w:val="18"/>
              </w:rPr>
            </w:pPr>
            <w:r w:rsidRPr="006D4529">
              <w:rPr>
                <w:bCs w:val="0"/>
                <w:i/>
                <w:sz w:val="18"/>
                <w:szCs w:val="18"/>
              </w:rPr>
              <w:t>When the Group adopt accounting policy retrospectively or restates items in its financial statements or the Group reclassify the items in its financial statements</w:t>
            </w:r>
            <w:r w:rsidR="00F15497">
              <w:rPr>
                <w:bCs w:val="0"/>
                <w:i/>
                <w:sz w:val="18"/>
                <w:szCs w:val="18"/>
              </w:rPr>
              <w:t>,</w:t>
            </w:r>
            <w:r w:rsidRPr="006D4529">
              <w:rPr>
                <w:bCs w:val="0"/>
                <w:i/>
                <w:sz w:val="18"/>
                <w:szCs w:val="18"/>
              </w:rPr>
              <w:t xml:space="preserve"> the statement of financial position at the beginning of comparative period is presented.</w:t>
            </w:r>
          </w:p>
        </w:tc>
      </w:tr>
      <w:tr w:rsidR="00F15497" w:rsidRPr="006D4529" w14:paraId="14213F21" w14:textId="77777777" w:rsidTr="004D2565">
        <w:tc>
          <w:tcPr>
            <w:tcW w:w="4598" w:type="dxa"/>
          </w:tcPr>
          <w:p w14:paraId="79CB8D74" w14:textId="77777777" w:rsidR="00F15497" w:rsidRPr="006D4529" w:rsidRDefault="00F15497" w:rsidP="00626684">
            <w:pPr>
              <w:ind w:left="567" w:right="-57"/>
              <w:jc w:val="both"/>
              <w:rPr>
                <w:bCs w:val="0"/>
                <w:sz w:val="18"/>
                <w:szCs w:val="18"/>
              </w:rPr>
            </w:pPr>
          </w:p>
        </w:tc>
        <w:tc>
          <w:tcPr>
            <w:tcW w:w="4598" w:type="dxa"/>
          </w:tcPr>
          <w:p w14:paraId="10FEA589" w14:textId="77777777" w:rsidR="00F15497" w:rsidRPr="006D4529" w:rsidRDefault="00F15497" w:rsidP="00F15497">
            <w:pPr>
              <w:ind w:left="567" w:right="-57"/>
              <w:jc w:val="both"/>
              <w:rPr>
                <w:bCs w:val="0"/>
                <w:i/>
                <w:sz w:val="18"/>
                <w:szCs w:val="18"/>
              </w:rPr>
            </w:pPr>
          </w:p>
        </w:tc>
      </w:tr>
      <w:tr w:rsidR="00441EEE" w:rsidRPr="006D4529" w14:paraId="324FF21B" w14:textId="77777777" w:rsidTr="004D2565">
        <w:tc>
          <w:tcPr>
            <w:tcW w:w="4598" w:type="dxa"/>
          </w:tcPr>
          <w:p w14:paraId="15158FE8" w14:textId="77777777" w:rsidR="00441EEE" w:rsidRPr="006D4529" w:rsidRDefault="00441EEE" w:rsidP="0013526B">
            <w:pPr>
              <w:ind w:left="624"/>
              <w:jc w:val="both"/>
              <w:rPr>
                <w:bCs w:val="0"/>
                <w:sz w:val="10"/>
                <w:szCs w:val="18"/>
              </w:rPr>
            </w:pPr>
          </w:p>
        </w:tc>
        <w:tc>
          <w:tcPr>
            <w:tcW w:w="4598" w:type="dxa"/>
          </w:tcPr>
          <w:p w14:paraId="773E765E" w14:textId="77777777" w:rsidR="00441EEE" w:rsidRPr="006D4529" w:rsidRDefault="00441EEE" w:rsidP="0013526B">
            <w:pPr>
              <w:ind w:left="624"/>
              <w:jc w:val="both"/>
              <w:rPr>
                <w:bCs w:val="0"/>
                <w:i/>
                <w:sz w:val="10"/>
                <w:szCs w:val="18"/>
              </w:rPr>
            </w:pPr>
          </w:p>
        </w:tc>
      </w:tr>
      <w:tr w:rsidR="00626684" w:rsidRPr="006D4529" w14:paraId="22A45B6E" w14:textId="77777777" w:rsidTr="004D2565">
        <w:tc>
          <w:tcPr>
            <w:tcW w:w="4598" w:type="dxa"/>
          </w:tcPr>
          <w:p w14:paraId="7226552A" w14:textId="35F0360D" w:rsidR="00626684" w:rsidRPr="006D4529" w:rsidRDefault="00626684" w:rsidP="00CC2E72">
            <w:pPr>
              <w:pStyle w:val="ListParagraph"/>
              <w:numPr>
                <w:ilvl w:val="0"/>
                <w:numId w:val="7"/>
              </w:numPr>
              <w:ind w:left="568" w:hanging="243"/>
              <w:jc w:val="both"/>
              <w:rPr>
                <w:rStyle w:val="hps"/>
                <w:b/>
                <w:sz w:val="18"/>
              </w:rPr>
            </w:pPr>
            <w:r w:rsidRPr="006D4529">
              <w:rPr>
                <w:rStyle w:val="hps"/>
                <w:b/>
                <w:sz w:val="18"/>
                <w:szCs w:val="18"/>
              </w:rPr>
              <w:t>Prinsip-prinsip Konsolidasian</w:t>
            </w:r>
          </w:p>
        </w:tc>
        <w:tc>
          <w:tcPr>
            <w:tcW w:w="4598" w:type="dxa"/>
          </w:tcPr>
          <w:p w14:paraId="439E154F" w14:textId="701D443B" w:rsidR="00626684" w:rsidRPr="006D4529" w:rsidRDefault="00626684" w:rsidP="0007424C">
            <w:pPr>
              <w:pStyle w:val="ListParagraph"/>
              <w:numPr>
                <w:ilvl w:val="0"/>
                <w:numId w:val="8"/>
              </w:numPr>
              <w:ind w:left="568" w:hanging="284"/>
              <w:jc w:val="both"/>
              <w:rPr>
                <w:b/>
                <w:bCs w:val="0"/>
                <w:i/>
                <w:sz w:val="18"/>
                <w:szCs w:val="18"/>
              </w:rPr>
            </w:pPr>
            <w:r w:rsidRPr="006D4529">
              <w:rPr>
                <w:b/>
                <w:bCs w:val="0"/>
                <w:i/>
                <w:sz w:val="18"/>
                <w:szCs w:val="18"/>
              </w:rPr>
              <w:t>Principle of Consolidation</w:t>
            </w:r>
          </w:p>
        </w:tc>
      </w:tr>
      <w:tr w:rsidR="00626684" w:rsidRPr="006D4529" w14:paraId="65E34969" w14:textId="77777777" w:rsidTr="004D2565">
        <w:tc>
          <w:tcPr>
            <w:tcW w:w="4598" w:type="dxa"/>
          </w:tcPr>
          <w:p w14:paraId="432DFE10" w14:textId="77777777" w:rsidR="00626684" w:rsidRPr="006D4529" w:rsidRDefault="00626684" w:rsidP="0013526B">
            <w:pPr>
              <w:ind w:left="624"/>
              <w:jc w:val="both"/>
              <w:rPr>
                <w:bCs w:val="0"/>
                <w:sz w:val="10"/>
                <w:szCs w:val="18"/>
              </w:rPr>
            </w:pPr>
          </w:p>
        </w:tc>
        <w:tc>
          <w:tcPr>
            <w:tcW w:w="4598" w:type="dxa"/>
          </w:tcPr>
          <w:p w14:paraId="56787311" w14:textId="77777777" w:rsidR="00626684" w:rsidRPr="006D4529" w:rsidRDefault="00626684" w:rsidP="0013526B">
            <w:pPr>
              <w:ind w:left="624"/>
              <w:jc w:val="both"/>
              <w:rPr>
                <w:bCs w:val="0"/>
                <w:i/>
                <w:sz w:val="10"/>
                <w:szCs w:val="18"/>
              </w:rPr>
            </w:pPr>
          </w:p>
        </w:tc>
      </w:tr>
      <w:tr w:rsidR="00626684" w:rsidRPr="00A93805" w14:paraId="51DB7F32" w14:textId="77777777" w:rsidTr="004D2565">
        <w:tc>
          <w:tcPr>
            <w:tcW w:w="4598" w:type="dxa"/>
          </w:tcPr>
          <w:p w14:paraId="7B0EF986" w14:textId="751621FC" w:rsidR="00626684" w:rsidRPr="006D4529" w:rsidRDefault="00626684" w:rsidP="00F15497">
            <w:pPr>
              <w:ind w:left="567" w:right="-57"/>
              <w:jc w:val="both"/>
              <w:rPr>
                <w:bCs w:val="0"/>
                <w:sz w:val="18"/>
                <w:szCs w:val="18"/>
              </w:rPr>
            </w:pPr>
            <w:r w:rsidRPr="006D4529">
              <w:rPr>
                <w:bCs w:val="0"/>
                <w:sz w:val="18"/>
                <w:szCs w:val="18"/>
              </w:rPr>
              <w:t>Kelompok Usaha menerapkan PSAK No. 65</w:t>
            </w:r>
            <w:r w:rsidR="00F15497">
              <w:rPr>
                <w:bCs w:val="0"/>
                <w:sz w:val="18"/>
                <w:szCs w:val="18"/>
              </w:rPr>
              <w:t>,</w:t>
            </w:r>
            <w:r w:rsidRPr="006D4529">
              <w:rPr>
                <w:bCs w:val="0"/>
                <w:sz w:val="18"/>
                <w:szCs w:val="18"/>
              </w:rPr>
              <w:t xml:space="preserve"> "Laporan Keuangan Konsolidasian". PSAK No. 65 menggantikan persyaratan laporan keuangan konsolidasian dalam PSAK No. 4 (Amandemen 2015)</w:t>
            </w:r>
            <w:r w:rsidR="00F15497">
              <w:rPr>
                <w:bCs w:val="0"/>
                <w:sz w:val="18"/>
                <w:szCs w:val="18"/>
              </w:rPr>
              <w:t>,</w:t>
            </w:r>
            <w:r w:rsidRPr="006D4529">
              <w:rPr>
                <w:bCs w:val="0"/>
                <w:sz w:val="18"/>
                <w:szCs w:val="18"/>
              </w:rPr>
              <w:t xml:space="preserve"> "Laporan Keuangan Konsolidasian dan Laporan Keuangan Tersendiri" dan menggantikan ISAK No. 7</w:t>
            </w:r>
            <w:r w:rsidR="00F15497">
              <w:rPr>
                <w:bCs w:val="0"/>
                <w:sz w:val="18"/>
                <w:szCs w:val="18"/>
              </w:rPr>
              <w:t>,</w:t>
            </w:r>
            <w:r w:rsidRPr="006D4529">
              <w:rPr>
                <w:bCs w:val="0"/>
                <w:sz w:val="18"/>
                <w:szCs w:val="18"/>
              </w:rPr>
              <w:t xml:space="preserve"> "Konsolidasi Entitas Bertujuan Khusus".</w:t>
            </w:r>
          </w:p>
        </w:tc>
        <w:tc>
          <w:tcPr>
            <w:tcW w:w="4598" w:type="dxa"/>
          </w:tcPr>
          <w:p w14:paraId="088783E4" w14:textId="66616543" w:rsidR="00626684" w:rsidRPr="006D4529" w:rsidRDefault="00626684" w:rsidP="00F15497">
            <w:pPr>
              <w:ind w:left="567" w:right="-57"/>
              <w:jc w:val="both"/>
              <w:rPr>
                <w:bCs w:val="0"/>
                <w:i/>
                <w:sz w:val="18"/>
                <w:szCs w:val="18"/>
              </w:rPr>
            </w:pPr>
            <w:r w:rsidRPr="006D4529">
              <w:rPr>
                <w:bCs w:val="0"/>
                <w:i/>
                <w:sz w:val="18"/>
                <w:szCs w:val="18"/>
              </w:rPr>
              <w:t>The Group applied PSAK No. 65</w:t>
            </w:r>
            <w:r w:rsidR="00F15497">
              <w:rPr>
                <w:bCs w:val="0"/>
                <w:i/>
                <w:sz w:val="18"/>
                <w:szCs w:val="18"/>
              </w:rPr>
              <w:t>,</w:t>
            </w:r>
            <w:r w:rsidRPr="006D4529">
              <w:rPr>
                <w:bCs w:val="0"/>
                <w:i/>
                <w:sz w:val="18"/>
                <w:szCs w:val="18"/>
              </w:rPr>
              <w:t xml:space="preserve"> “Consolidated Financial Statements". PSAK No. 65 superseded the requirements related consolidated financial statements in PSAK No. 4 (Amendment 2009)</w:t>
            </w:r>
            <w:r w:rsidR="00F15497">
              <w:rPr>
                <w:bCs w:val="0"/>
                <w:i/>
                <w:sz w:val="18"/>
                <w:szCs w:val="18"/>
              </w:rPr>
              <w:t>,</w:t>
            </w:r>
            <w:r w:rsidRPr="006D4529">
              <w:rPr>
                <w:bCs w:val="0"/>
                <w:i/>
                <w:sz w:val="18"/>
                <w:szCs w:val="18"/>
              </w:rPr>
              <w:t xml:space="preserve"> “Consolidated and Separate Financial Statements” and superseded ISAK No. 7</w:t>
            </w:r>
            <w:r w:rsidR="00F15497">
              <w:rPr>
                <w:bCs w:val="0"/>
                <w:i/>
                <w:sz w:val="18"/>
                <w:szCs w:val="18"/>
              </w:rPr>
              <w:t xml:space="preserve">, </w:t>
            </w:r>
            <w:r w:rsidRPr="006D4529">
              <w:rPr>
                <w:bCs w:val="0"/>
                <w:i/>
                <w:sz w:val="18"/>
                <w:szCs w:val="18"/>
              </w:rPr>
              <w:t xml:space="preserve">”Special Purpose Entity Consolidation”. </w:t>
            </w:r>
          </w:p>
        </w:tc>
      </w:tr>
    </w:tbl>
    <w:p w14:paraId="1D025BD5" w14:textId="77777777" w:rsidR="00F11814" w:rsidRDefault="00F11814">
      <w:pPr>
        <w:rPr>
          <w:sz w:val="6"/>
          <w:szCs w:val="6"/>
          <w:lang w:val="id-ID"/>
        </w:rPr>
      </w:pPr>
    </w:p>
    <w:p w14:paraId="2B3D272C" w14:textId="77777777" w:rsidR="000F467B" w:rsidRDefault="000F467B">
      <w:pPr>
        <w:rPr>
          <w:sz w:val="6"/>
          <w:szCs w:val="6"/>
          <w:lang w:val="id-ID"/>
        </w:rPr>
      </w:pPr>
    </w:p>
    <w:tbl>
      <w:tblPr>
        <w:tblW w:w="9197" w:type="dxa"/>
        <w:tblInd w:w="392" w:type="dxa"/>
        <w:tblLayout w:type="fixed"/>
        <w:tblLook w:val="0000" w:firstRow="0" w:lastRow="0" w:firstColumn="0" w:lastColumn="0" w:noHBand="0" w:noVBand="0"/>
      </w:tblPr>
      <w:tblGrid>
        <w:gridCol w:w="4598"/>
        <w:gridCol w:w="4599"/>
      </w:tblGrid>
      <w:tr w:rsidR="007F7384" w:rsidRPr="0013526B" w14:paraId="4377D6B4" w14:textId="77777777" w:rsidTr="00146CD1">
        <w:tc>
          <w:tcPr>
            <w:tcW w:w="4598" w:type="dxa"/>
          </w:tcPr>
          <w:p w14:paraId="64D2C498" w14:textId="77777777" w:rsidR="007F7384" w:rsidRPr="006D4529" w:rsidRDefault="007F7384" w:rsidP="00146CD1">
            <w:pPr>
              <w:ind w:left="567" w:right="-57"/>
              <w:jc w:val="both"/>
              <w:rPr>
                <w:bCs w:val="0"/>
                <w:sz w:val="18"/>
                <w:szCs w:val="18"/>
              </w:rPr>
            </w:pPr>
            <w:r w:rsidRPr="006D4529">
              <w:rPr>
                <w:bCs w:val="0"/>
                <w:sz w:val="18"/>
                <w:szCs w:val="18"/>
              </w:rPr>
              <w:t xml:space="preserve">PSAK ini mensyaratkan entitas induk (entitas yang mengendalikan satu atau lebih entitas lain) untuk menyajikan laporan keuangan konsolidasian. Investor menentukan apakah investor merupakan entitas induk dengan menilai apakah investor mengendalikan satu atau lebih </w:t>
            </w:r>
            <w:r w:rsidRPr="006D4529">
              <w:rPr>
                <w:bCs w:val="0"/>
                <w:i/>
                <w:sz w:val="18"/>
                <w:szCs w:val="18"/>
              </w:rPr>
              <w:t>investee</w:t>
            </w:r>
            <w:r w:rsidRPr="006D4529">
              <w:rPr>
                <w:bCs w:val="0"/>
                <w:sz w:val="18"/>
                <w:szCs w:val="18"/>
              </w:rPr>
              <w:t xml:space="preserve">. Investor mempertimbangkan seluruh fakta dan keadaan yang relevan ketika menilai apakah investor mengendalikan </w:t>
            </w:r>
            <w:r w:rsidRPr="006D4529">
              <w:rPr>
                <w:bCs w:val="0"/>
                <w:i/>
                <w:sz w:val="18"/>
                <w:szCs w:val="18"/>
              </w:rPr>
              <w:t>investee</w:t>
            </w:r>
            <w:r w:rsidRPr="006D4529">
              <w:rPr>
                <w:bCs w:val="0"/>
                <w:sz w:val="18"/>
                <w:szCs w:val="18"/>
              </w:rPr>
              <w:t>.</w:t>
            </w:r>
          </w:p>
        </w:tc>
        <w:tc>
          <w:tcPr>
            <w:tcW w:w="4599" w:type="dxa"/>
          </w:tcPr>
          <w:p w14:paraId="04CCE4F2" w14:textId="77777777" w:rsidR="007F7384" w:rsidRPr="0013526B" w:rsidRDefault="007F7384" w:rsidP="00146CD1">
            <w:pPr>
              <w:ind w:left="567" w:right="-57"/>
              <w:jc w:val="both"/>
              <w:rPr>
                <w:bCs w:val="0"/>
                <w:i/>
                <w:sz w:val="18"/>
                <w:szCs w:val="18"/>
              </w:rPr>
            </w:pPr>
            <w:r w:rsidRPr="006D4529">
              <w:rPr>
                <w:bCs w:val="0"/>
                <w:i/>
                <w:sz w:val="18"/>
                <w:szCs w:val="18"/>
              </w:rPr>
              <w:t>This PSAK requires a parent entity (an entity that controls one or more other entities) to present consolidated financial statements. An investor determines whether it is a parent by assessing whether it controls one or more investees. An investor considers all relevant facts and circumstances when assessing whether it controls an investee.</w:t>
            </w:r>
          </w:p>
        </w:tc>
      </w:tr>
    </w:tbl>
    <w:p w14:paraId="361A4948" w14:textId="77777777" w:rsidR="007F7384" w:rsidRPr="007F7384" w:rsidRDefault="007F7384">
      <w:pPr>
        <w:rPr>
          <w:sz w:val="2"/>
          <w:szCs w:val="2"/>
        </w:rPr>
      </w:pPr>
    </w:p>
    <w:tbl>
      <w:tblPr>
        <w:tblW w:w="9197" w:type="dxa"/>
        <w:tblInd w:w="392" w:type="dxa"/>
        <w:tblLayout w:type="fixed"/>
        <w:tblLook w:val="0000" w:firstRow="0" w:lastRow="0" w:firstColumn="0" w:lastColumn="0" w:noHBand="0" w:noVBand="0"/>
      </w:tblPr>
      <w:tblGrid>
        <w:gridCol w:w="4598"/>
        <w:gridCol w:w="4599"/>
      </w:tblGrid>
      <w:tr w:rsidR="00F11814" w:rsidRPr="006D4529" w14:paraId="50F87342" w14:textId="77777777" w:rsidTr="007F7384">
        <w:tc>
          <w:tcPr>
            <w:tcW w:w="4598" w:type="dxa"/>
          </w:tcPr>
          <w:p w14:paraId="1EDBDB9E" w14:textId="1992015C" w:rsidR="00F11814" w:rsidRPr="006D4529" w:rsidRDefault="00F11814" w:rsidP="005F361E">
            <w:pPr>
              <w:pStyle w:val="ListParagraph"/>
              <w:numPr>
                <w:ilvl w:val="0"/>
                <w:numId w:val="26"/>
              </w:numPr>
              <w:ind w:left="284" w:right="-57" w:hanging="284"/>
              <w:jc w:val="both"/>
              <w:rPr>
                <w:b/>
                <w:sz w:val="18"/>
                <w:szCs w:val="18"/>
              </w:rPr>
            </w:pPr>
            <w:r w:rsidRPr="006D4529">
              <w:rPr>
                <w:b/>
                <w:sz w:val="18"/>
                <w:szCs w:val="18"/>
              </w:rPr>
              <w:lastRenderedPageBreak/>
              <w:t xml:space="preserve">IKHTISAR KEBIJAKAN AKUNTANSI </w:t>
            </w:r>
            <w:r w:rsidRPr="006D4529">
              <w:rPr>
                <w:b/>
                <w:sz w:val="18"/>
                <w:szCs w:val="18"/>
                <w:lang w:val="id-ID"/>
              </w:rPr>
              <w:t xml:space="preserve">YANG </w:t>
            </w:r>
            <w:r w:rsidRPr="006D4529">
              <w:rPr>
                <w:b/>
                <w:sz w:val="18"/>
                <w:szCs w:val="18"/>
              </w:rPr>
              <w:t xml:space="preserve">PENTING </w:t>
            </w:r>
            <w:r w:rsidRPr="006D4529">
              <w:rPr>
                <w:b/>
                <w:sz w:val="18"/>
                <w:szCs w:val="18"/>
                <w:lang w:val="id-ID"/>
              </w:rPr>
              <w:t>-</w:t>
            </w:r>
            <w:r w:rsidRPr="006D4529">
              <w:rPr>
                <w:b/>
                <w:sz w:val="18"/>
                <w:szCs w:val="18"/>
              </w:rPr>
              <w:t xml:space="preserve"> Lanjutan</w:t>
            </w:r>
          </w:p>
        </w:tc>
        <w:tc>
          <w:tcPr>
            <w:tcW w:w="4599" w:type="dxa"/>
          </w:tcPr>
          <w:p w14:paraId="73850407" w14:textId="77777777" w:rsidR="00F11814" w:rsidRPr="006D4529" w:rsidRDefault="00F11814" w:rsidP="005F361E">
            <w:pPr>
              <w:pStyle w:val="ListParagraph"/>
              <w:numPr>
                <w:ilvl w:val="0"/>
                <w:numId w:val="28"/>
              </w:numPr>
              <w:ind w:left="284" w:right="-57" w:hanging="284"/>
              <w:jc w:val="both"/>
              <w:rPr>
                <w:b/>
                <w:i/>
                <w:sz w:val="18"/>
                <w:szCs w:val="18"/>
              </w:rPr>
            </w:pPr>
            <w:r w:rsidRPr="006D4529">
              <w:rPr>
                <w:b/>
                <w:i/>
                <w:sz w:val="18"/>
                <w:szCs w:val="18"/>
              </w:rPr>
              <w:t xml:space="preserve">SUMMARY OF SIGNIFICANT ACCOUNTING POLICIES </w:t>
            </w:r>
            <w:r w:rsidRPr="006D4529">
              <w:rPr>
                <w:b/>
                <w:i/>
                <w:sz w:val="18"/>
                <w:szCs w:val="18"/>
                <w:lang w:val="id-ID"/>
              </w:rPr>
              <w:t>-</w:t>
            </w:r>
            <w:r w:rsidRPr="006D4529">
              <w:rPr>
                <w:b/>
                <w:i/>
                <w:sz w:val="18"/>
                <w:szCs w:val="18"/>
              </w:rPr>
              <w:t xml:space="preserve"> Continued</w:t>
            </w:r>
          </w:p>
        </w:tc>
      </w:tr>
      <w:tr w:rsidR="000F467B" w:rsidRPr="006D4529" w14:paraId="26E88EA9" w14:textId="77777777" w:rsidTr="007F7384">
        <w:tc>
          <w:tcPr>
            <w:tcW w:w="4598" w:type="dxa"/>
          </w:tcPr>
          <w:p w14:paraId="754AFA7E" w14:textId="77777777" w:rsidR="000F467B" w:rsidRPr="006D4529" w:rsidRDefault="000F467B" w:rsidP="00626684">
            <w:pPr>
              <w:ind w:left="567" w:right="-57"/>
              <w:jc w:val="both"/>
              <w:rPr>
                <w:bCs w:val="0"/>
                <w:sz w:val="10"/>
                <w:szCs w:val="18"/>
              </w:rPr>
            </w:pPr>
          </w:p>
        </w:tc>
        <w:tc>
          <w:tcPr>
            <w:tcW w:w="4599" w:type="dxa"/>
          </w:tcPr>
          <w:p w14:paraId="5878A1EB" w14:textId="77777777" w:rsidR="000F467B" w:rsidRPr="006D4529" w:rsidRDefault="000F467B" w:rsidP="00626684">
            <w:pPr>
              <w:ind w:left="567" w:right="-57"/>
              <w:jc w:val="both"/>
              <w:rPr>
                <w:bCs w:val="0"/>
                <w:i/>
                <w:sz w:val="10"/>
                <w:szCs w:val="18"/>
              </w:rPr>
            </w:pPr>
          </w:p>
        </w:tc>
      </w:tr>
    </w:tbl>
    <w:p w14:paraId="297A184A" w14:textId="77777777" w:rsidR="007F7384" w:rsidRPr="006D4529" w:rsidRDefault="007F7384">
      <w:pPr>
        <w:rPr>
          <w:sz w:val="2"/>
          <w:szCs w:val="2"/>
        </w:rPr>
      </w:pPr>
    </w:p>
    <w:p w14:paraId="331BF4F2" w14:textId="77777777" w:rsidR="0060020B" w:rsidRPr="006D4529" w:rsidRDefault="0060020B" w:rsidP="0013526B">
      <w:pPr>
        <w:rPr>
          <w:sz w:val="12"/>
          <w:szCs w:val="12"/>
          <w:lang w:val="id-ID"/>
        </w:rPr>
      </w:pPr>
    </w:p>
    <w:tbl>
      <w:tblPr>
        <w:tblW w:w="9197" w:type="dxa"/>
        <w:tblInd w:w="392" w:type="dxa"/>
        <w:tblLayout w:type="fixed"/>
        <w:tblLook w:val="0000" w:firstRow="0" w:lastRow="0" w:firstColumn="0" w:lastColumn="0" w:noHBand="0" w:noVBand="0"/>
      </w:tblPr>
      <w:tblGrid>
        <w:gridCol w:w="4598"/>
        <w:gridCol w:w="4599"/>
      </w:tblGrid>
      <w:tr w:rsidR="00344424" w:rsidRPr="006D4529" w14:paraId="2960D352" w14:textId="77777777" w:rsidTr="007F7384">
        <w:tc>
          <w:tcPr>
            <w:tcW w:w="4598" w:type="dxa"/>
          </w:tcPr>
          <w:p w14:paraId="70A872F2" w14:textId="2706DD53" w:rsidR="00344424" w:rsidRPr="006D4529" w:rsidRDefault="00736067" w:rsidP="00070D1F">
            <w:pPr>
              <w:pStyle w:val="ListParagraph"/>
              <w:numPr>
                <w:ilvl w:val="0"/>
                <w:numId w:val="65"/>
              </w:numPr>
              <w:ind w:left="568" w:hanging="284"/>
              <w:contextualSpacing/>
              <w:jc w:val="both"/>
              <w:rPr>
                <w:rStyle w:val="hps"/>
                <w:b/>
                <w:sz w:val="18"/>
                <w:szCs w:val="18"/>
              </w:rPr>
            </w:pPr>
            <w:r w:rsidRPr="006D4529">
              <w:rPr>
                <w:rStyle w:val="hps"/>
                <w:b/>
                <w:sz w:val="18"/>
                <w:szCs w:val="18"/>
              </w:rPr>
              <w:t>Prinsip</w:t>
            </w:r>
            <w:r w:rsidR="00037369" w:rsidRPr="006D4529">
              <w:rPr>
                <w:rStyle w:val="hps"/>
                <w:b/>
                <w:sz w:val="18"/>
                <w:szCs w:val="18"/>
              </w:rPr>
              <w:t>-</w:t>
            </w:r>
            <w:r w:rsidRPr="006D4529">
              <w:rPr>
                <w:rStyle w:val="hps"/>
                <w:b/>
                <w:sz w:val="18"/>
                <w:szCs w:val="18"/>
              </w:rPr>
              <w:t>prinsip Konsolidasi</w:t>
            </w:r>
            <w:r w:rsidR="007A78F1" w:rsidRPr="006D4529">
              <w:rPr>
                <w:rStyle w:val="hps"/>
                <w:b/>
                <w:sz w:val="18"/>
                <w:szCs w:val="18"/>
              </w:rPr>
              <w:t>an</w:t>
            </w:r>
            <w:r w:rsidR="004D2565" w:rsidRPr="006D4529">
              <w:rPr>
                <w:rStyle w:val="hps"/>
                <w:b/>
                <w:sz w:val="18"/>
                <w:szCs w:val="18"/>
              </w:rPr>
              <w:t xml:space="preserve"> - Lanjutan</w:t>
            </w:r>
          </w:p>
        </w:tc>
        <w:tc>
          <w:tcPr>
            <w:tcW w:w="4599" w:type="dxa"/>
          </w:tcPr>
          <w:p w14:paraId="094EA6C7" w14:textId="21BB6C04" w:rsidR="00344424" w:rsidRPr="006D4529" w:rsidRDefault="00736067" w:rsidP="00070D1F">
            <w:pPr>
              <w:pStyle w:val="ListParagraph"/>
              <w:numPr>
                <w:ilvl w:val="0"/>
                <w:numId w:val="66"/>
              </w:numPr>
              <w:ind w:left="568" w:hanging="284"/>
              <w:contextualSpacing/>
              <w:jc w:val="both"/>
              <w:rPr>
                <w:b/>
                <w:bCs w:val="0"/>
                <w:i/>
                <w:sz w:val="18"/>
                <w:szCs w:val="18"/>
              </w:rPr>
            </w:pPr>
            <w:r w:rsidRPr="006D4529">
              <w:rPr>
                <w:b/>
                <w:bCs w:val="0"/>
                <w:i/>
                <w:sz w:val="18"/>
                <w:szCs w:val="18"/>
              </w:rPr>
              <w:t xml:space="preserve">Principle of </w:t>
            </w:r>
            <w:r w:rsidR="007365EB" w:rsidRPr="006D4529">
              <w:rPr>
                <w:b/>
                <w:bCs w:val="0"/>
                <w:i/>
                <w:sz w:val="18"/>
                <w:szCs w:val="18"/>
              </w:rPr>
              <w:t>C</w:t>
            </w:r>
            <w:r w:rsidRPr="006D4529">
              <w:rPr>
                <w:b/>
                <w:bCs w:val="0"/>
                <w:i/>
                <w:sz w:val="18"/>
                <w:szCs w:val="18"/>
              </w:rPr>
              <w:t>onsolidation</w:t>
            </w:r>
            <w:r w:rsidR="004D2565" w:rsidRPr="006D4529">
              <w:rPr>
                <w:b/>
                <w:bCs w:val="0"/>
                <w:i/>
                <w:sz w:val="18"/>
                <w:szCs w:val="18"/>
              </w:rPr>
              <w:t xml:space="preserve"> - Continued</w:t>
            </w:r>
          </w:p>
        </w:tc>
      </w:tr>
      <w:tr w:rsidR="00344424" w:rsidRPr="006D4529" w14:paraId="7E18653B" w14:textId="77777777" w:rsidTr="007F7384">
        <w:tc>
          <w:tcPr>
            <w:tcW w:w="4598" w:type="dxa"/>
          </w:tcPr>
          <w:p w14:paraId="0297BF05" w14:textId="77777777" w:rsidR="00344424" w:rsidRPr="006D4529" w:rsidRDefault="00344424" w:rsidP="0013526B">
            <w:pPr>
              <w:jc w:val="both"/>
              <w:rPr>
                <w:rStyle w:val="hps"/>
                <w:sz w:val="12"/>
              </w:rPr>
            </w:pPr>
          </w:p>
        </w:tc>
        <w:tc>
          <w:tcPr>
            <w:tcW w:w="4599" w:type="dxa"/>
          </w:tcPr>
          <w:p w14:paraId="1287C835" w14:textId="77777777" w:rsidR="00344424" w:rsidRPr="006D4529" w:rsidRDefault="00344424" w:rsidP="0013526B">
            <w:pPr>
              <w:ind w:left="426"/>
              <w:jc w:val="both"/>
              <w:rPr>
                <w:bCs w:val="0"/>
                <w:i/>
                <w:sz w:val="12"/>
              </w:rPr>
            </w:pPr>
          </w:p>
        </w:tc>
      </w:tr>
      <w:tr w:rsidR="00A60E90" w:rsidRPr="006D4529" w14:paraId="7CC61213" w14:textId="77777777" w:rsidTr="007F7384">
        <w:tc>
          <w:tcPr>
            <w:tcW w:w="4598" w:type="dxa"/>
          </w:tcPr>
          <w:p w14:paraId="7E04CF35" w14:textId="6179BED5" w:rsidR="00A60E90" w:rsidRPr="006D4529" w:rsidRDefault="00A60E90" w:rsidP="003903E3">
            <w:pPr>
              <w:ind w:left="567" w:right="-57"/>
              <w:jc w:val="both"/>
              <w:rPr>
                <w:bCs w:val="0"/>
                <w:sz w:val="18"/>
                <w:szCs w:val="18"/>
              </w:rPr>
            </w:pPr>
            <w:r w:rsidRPr="006D4529">
              <w:rPr>
                <w:bCs w:val="0"/>
                <w:sz w:val="18"/>
                <w:szCs w:val="18"/>
              </w:rPr>
              <w:t xml:space="preserve">Investor mengendalikan </w:t>
            </w:r>
            <w:r w:rsidR="00816ED4" w:rsidRPr="006D4529">
              <w:rPr>
                <w:bCs w:val="0"/>
                <w:i/>
                <w:sz w:val="18"/>
                <w:szCs w:val="18"/>
              </w:rPr>
              <w:t>investee</w:t>
            </w:r>
            <w:r w:rsidRPr="006D4529">
              <w:rPr>
                <w:bCs w:val="0"/>
                <w:sz w:val="18"/>
                <w:szCs w:val="18"/>
              </w:rPr>
              <w:t xml:space="preserve"> ketika investor terekspos atau memiliki hak atas imbal hasil variabel dari keterlibatannya dengan </w:t>
            </w:r>
            <w:r w:rsidR="00816ED4" w:rsidRPr="006D4529">
              <w:rPr>
                <w:bCs w:val="0"/>
                <w:i/>
                <w:sz w:val="18"/>
                <w:szCs w:val="18"/>
              </w:rPr>
              <w:t>investee</w:t>
            </w:r>
            <w:r w:rsidRPr="006D4529">
              <w:rPr>
                <w:bCs w:val="0"/>
                <w:sz w:val="18"/>
                <w:szCs w:val="18"/>
              </w:rPr>
              <w:t xml:space="preserve"> dan memiliki kemampuan untuk mempengaruhi imbal hasil tersebut melalui kekuasaannya atas </w:t>
            </w:r>
            <w:r w:rsidR="00816ED4" w:rsidRPr="006D4529">
              <w:rPr>
                <w:bCs w:val="0"/>
                <w:i/>
                <w:sz w:val="18"/>
                <w:szCs w:val="18"/>
              </w:rPr>
              <w:t>investee</w:t>
            </w:r>
            <w:r w:rsidRPr="006D4529">
              <w:rPr>
                <w:bCs w:val="0"/>
                <w:sz w:val="18"/>
                <w:szCs w:val="18"/>
              </w:rPr>
              <w:t>.</w:t>
            </w:r>
          </w:p>
        </w:tc>
        <w:tc>
          <w:tcPr>
            <w:tcW w:w="4599" w:type="dxa"/>
          </w:tcPr>
          <w:p w14:paraId="198E2249" w14:textId="060ACF79" w:rsidR="00A60E90" w:rsidRPr="006D4529" w:rsidRDefault="00A60E90" w:rsidP="003903E3">
            <w:pPr>
              <w:ind w:left="567" w:right="-57"/>
              <w:jc w:val="both"/>
              <w:rPr>
                <w:bCs w:val="0"/>
                <w:i/>
                <w:sz w:val="18"/>
                <w:szCs w:val="18"/>
              </w:rPr>
            </w:pPr>
            <w:r w:rsidRPr="006D4529">
              <w:rPr>
                <w:bCs w:val="0"/>
                <w:i/>
                <w:sz w:val="18"/>
                <w:szCs w:val="18"/>
              </w:rPr>
              <w:t>Control is achieved when the investor is exposed or has rights</w:t>
            </w:r>
            <w:r w:rsidR="00870FD0">
              <w:rPr>
                <w:bCs w:val="0"/>
                <w:i/>
                <w:sz w:val="18"/>
                <w:szCs w:val="18"/>
              </w:rPr>
              <w:t>.</w:t>
            </w:r>
            <w:r w:rsidRPr="006D4529">
              <w:rPr>
                <w:bCs w:val="0"/>
                <w:i/>
                <w:sz w:val="18"/>
                <w:szCs w:val="18"/>
              </w:rPr>
              <w:t xml:space="preserve"> </w:t>
            </w:r>
            <w:proofErr w:type="gramStart"/>
            <w:r w:rsidRPr="006D4529">
              <w:rPr>
                <w:bCs w:val="0"/>
                <w:i/>
                <w:sz w:val="18"/>
                <w:szCs w:val="18"/>
              </w:rPr>
              <w:t>to</w:t>
            </w:r>
            <w:proofErr w:type="gramEnd"/>
            <w:r w:rsidRPr="006D4529">
              <w:rPr>
                <w:bCs w:val="0"/>
                <w:i/>
                <w:sz w:val="18"/>
                <w:szCs w:val="18"/>
              </w:rPr>
              <w:t xml:space="preserve"> variable returns from its involvement with the </w:t>
            </w:r>
            <w:r w:rsidR="00816ED4" w:rsidRPr="006D4529">
              <w:rPr>
                <w:bCs w:val="0"/>
                <w:i/>
                <w:sz w:val="18"/>
                <w:szCs w:val="18"/>
              </w:rPr>
              <w:t>investee</w:t>
            </w:r>
            <w:r w:rsidRPr="006D4529">
              <w:rPr>
                <w:bCs w:val="0"/>
                <w:i/>
                <w:sz w:val="18"/>
                <w:szCs w:val="18"/>
              </w:rPr>
              <w:t xml:space="preserve"> and has the ability to affect those returns through its power over the </w:t>
            </w:r>
            <w:r w:rsidR="00816ED4" w:rsidRPr="006D4529">
              <w:rPr>
                <w:bCs w:val="0"/>
                <w:i/>
                <w:sz w:val="18"/>
                <w:szCs w:val="18"/>
              </w:rPr>
              <w:t>investee</w:t>
            </w:r>
            <w:r w:rsidRPr="006D4529">
              <w:rPr>
                <w:bCs w:val="0"/>
                <w:i/>
                <w:sz w:val="18"/>
                <w:szCs w:val="18"/>
              </w:rPr>
              <w:t>.</w:t>
            </w:r>
          </w:p>
        </w:tc>
      </w:tr>
      <w:tr w:rsidR="00A60E90" w:rsidRPr="006D4529" w14:paraId="38BB2199" w14:textId="77777777" w:rsidTr="007F7384">
        <w:tc>
          <w:tcPr>
            <w:tcW w:w="4598" w:type="dxa"/>
          </w:tcPr>
          <w:p w14:paraId="3627108A" w14:textId="77777777" w:rsidR="00A60E90" w:rsidRPr="006D4529" w:rsidRDefault="00A60E90" w:rsidP="0013526B">
            <w:pPr>
              <w:ind w:left="567" w:right="-57"/>
              <w:jc w:val="both"/>
              <w:rPr>
                <w:bCs w:val="0"/>
                <w:sz w:val="18"/>
                <w:szCs w:val="18"/>
              </w:rPr>
            </w:pPr>
          </w:p>
        </w:tc>
        <w:tc>
          <w:tcPr>
            <w:tcW w:w="4599" w:type="dxa"/>
          </w:tcPr>
          <w:p w14:paraId="13B242D8" w14:textId="77777777" w:rsidR="00A60E90" w:rsidRPr="006D4529" w:rsidRDefault="00A60E90" w:rsidP="0013526B">
            <w:pPr>
              <w:ind w:left="567" w:right="-57"/>
              <w:jc w:val="both"/>
              <w:rPr>
                <w:bCs w:val="0"/>
                <w:i/>
                <w:sz w:val="18"/>
                <w:szCs w:val="18"/>
              </w:rPr>
            </w:pPr>
          </w:p>
        </w:tc>
      </w:tr>
      <w:tr w:rsidR="00626684" w:rsidRPr="00A93805" w14:paraId="0DE270F3" w14:textId="77777777" w:rsidTr="007F7384">
        <w:tc>
          <w:tcPr>
            <w:tcW w:w="4598" w:type="dxa"/>
          </w:tcPr>
          <w:p w14:paraId="4D409C41" w14:textId="611EACEB" w:rsidR="00626684" w:rsidRPr="006D4529" w:rsidRDefault="00626684" w:rsidP="003F572B">
            <w:pPr>
              <w:ind w:left="567" w:right="-57"/>
              <w:jc w:val="both"/>
              <w:rPr>
                <w:bCs w:val="0"/>
                <w:sz w:val="18"/>
                <w:szCs w:val="18"/>
              </w:rPr>
            </w:pPr>
            <w:r w:rsidRPr="006D4529">
              <w:rPr>
                <w:bCs w:val="0"/>
                <w:sz w:val="18"/>
                <w:szCs w:val="18"/>
              </w:rPr>
              <w:t>Dengan demikian</w:t>
            </w:r>
            <w:r w:rsidR="00870FD0">
              <w:rPr>
                <w:bCs w:val="0"/>
                <w:sz w:val="18"/>
                <w:szCs w:val="18"/>
              </w:rPr>
              <w:t>.</w:t>
            </w:r>
            <w:r w:rsidRPr="006D4529">
              <w:rPr>
                <w:bCs w:val="0"/>
                <w:sz w:val="18"/>
                <w:szCs w:val="18"/>
              </w:rPr>
              <w:t xml:space="preserve"> investor mengendalikan investee jika dan hanya jika</w:t>
            </w:r>
            <w:r w:rsidR="00F15497">
              <w:rPr>
                <w:bCs w:val="0"/>
                <w:sz w:val="18"/>
                <w:szCs w:val="18"/>
              </w:rPr>
              <w:t>,</w:t>
            </w:r>
            <w:r w:rsidRPr="006D4529">
              <w:rPr>
                <w:bCs w:val="0"/>
                <w:sz w:val="18"/>
                <w:szCs w:val="18"/>
              </w:rPr>
              <w:t xml:space="preserve"> investor memiliki seluruh hal berikut ini:</w:t>
            </w:r>
          </w:p>
        </w:tc>
        <w:tc>
          <w:tcPr>
            <w:tcW w:w="4599" w:type="dxa"/>
          </w:tcPr>
          <w:p w14:paraId="42B75270" w14:textId="7BFDAA1E" w:rsidR="00626684" w:rsidRPr="006D4529" w:rsidRDefault="00626684" w:rsidP="00F15497">
            <w:pPr>
              <w:ind w:left="567" w:right="-57"/>
              <w:jc w:val="both"/>
              <w:rPr>
                <w:bCs w:val="0"/>
                <w:i/>
                <w:sz w:val="18"/>
                <w:szCs w:val="18"/>
              </w:rPr>
            </w:pPr>
            <w:r w:rsidRPr="006D4529">
              <w:rPr>
                <w:bCs w:val="0"/>
                <w:i/>
                <w:sz w:val="18"/>
                <w:szCs w:val="18"/>
              </w:rPr>
              <w:t>Specifically</w:t>
            </w:r>
            <w:r w:rsidR="00870FD0">
              <w:rPr>
                <w:bCs w:val="0"/>
                <w:i/>
                <w:sz w:val="18"/>
                <w:szCs w:val="18"/>
              </w:rPr>
              <w:t>.</w:t>
            </w:r>
            <w:r w:rsidRPr="006D4529">
              <w:rPr>
                <w:bCs w:val="0"/>
                <w:i/>
                <w:sz w:val="18"/>
                <w:szCs w:val="18"/>
              </w:rPr>
              <w:t xml:space="preserve"> the investor controls the investee if</w:t>
            </w:r>
            <w:r w:rsidR="00F15497">
              <w:rPr>
                <w:bCs w:val="0"/>
                <w:i/>
                <w:sz w:val="18"/>
                <w:szCs w:val="18"/>
              </w:rPr>
              <w:t>,</w:t>
            </w:r>
            <w:r w:rsidRPr="006D4529">
              <w:rPr>
                <w:bCs w:val="0"/>
                <w:i/>
                <w:sz w:val="18"/>
                <w:szCs w:val="18"/>
              </w:rPr>
              <w:t xml:space="preserve"> and only if</w:t>
            </w:r>
            <w:r w:rsidR="00F15497">
              <w:rPr>
                <w:bCs w:val="0"/>
                <w:i/>
                <w:sz w:val="18"/>
                <w:szCs w:val="18"/>
              </w:rPr>
              <w:t>,</w:t>
            </w:r>
            <w:r w:rsidRPr="006D4529">
              <w:rPr>
                <w:bCs w:val="0"/>
                <w:i/>
                <w:sz w:val="18"/>
                <w:szCs w:val="18"/>
              </w:rPr>
              <w:t xml:space="preserve"> the investor has the following elements:</w:t>
            </w:r>
          </w:p>
        </w:tc>
      </w:tr>
      <w:tr w:rsidR="00626684" w:rsidRPr="00A93805" w14:paraId="0A3E4E34" w14:textId="77777777" w:rsidTr="007F7384">
        <w:tc>
          <w:tcPr>
            <w:tcW w:w="4598" w:type="dxa"/>
          </w:tcPr>
          <w:p w14:paraId="4313E116" w14:textId="77777777" w:rsidR="00626684" w:rsidRPr="006D4529" w:rsidRDefault="00626684" w:rsidP="005F361E">
            <w:pPr>
              <w:pStyle w:val="ListParagraph"/>
              <w:numPr>
                <w:ilvl w:val="0"/>
                <w:numId w:val="25"/>
              </w:numPr>
              <w:tabs>
                <w:tab w:val="left" w:pos="851"/>
                <w:tab w:val="left" w:pos="884"/>
              </w:tabs>
              <w:ind w:left="851" w:right="-57" w:hanging="284"/>
              <w:contextualSpacing/>
              <w:jc w:val="both"/>
              <w:rPr>
                <w:bCs w:val="0"/>
                <w:sz w:val="18"/>
                <w:szCs w:val="18"/>
              </w:rPr>
            </w:pPr>
            <w:r w:rsidRPr="006D4529">
              <w:rPr>
                <w:bCs w:val="0"/>
                <w:sz w:val="18"/>
                <w:szCs w:val="18"/>
              </w:rPr>
              <w:t>kekuasaan atas investee (misalnya hak yang ada saat ini yang memberi investor tersebut kemampuan kini untuk mengarahkan aktivitas relevan investee);</w:t>
            </w:r>
          </w:p>
        </w:tc>
        <w:tc>
          <w:tcPr>
            <w:tcW w:w="4599" w:type="dxa"/>
          </w:tcPr>
          <w:p w14:paraId="6CAED56B" w14:textId="77777777" w:rsidR="00626684" w:rsidRPr="006D4529" w:rsidRDefault="00626684" w:rsidP="005F361E">
            <w:pPr>
              <w:pStyle w:val="ListParagraph"/>
              <w:numPr>
                <w:ilvl w:val="0"/>
                <w:numId w:val="27"/>
              </w:numPr>
              <w:tabs>
                <w:tab w:val="left" w:pos="851"/>
              </w:tabs>
              <w:ind w:left="851" w:right="-57" w:hanging="284"/>
              <w:contextualSpacing/>
              <w:jc w:val="both"/>
              <w:rPr>
                <w:bCs w:val="0"/>
                <w:i/>
                <w:sz w:val="18"/>
                <w:szCs w:val="18"/>
              </w:rPr>
            </w:pPr>
            <w:r w:rsidRPr="006D4529">
              <w:rPr>
                <w:bCs w:val="0"/>
                <w:i/>
                <w:sz w:val="18"/>
                <w:szCs w:val="18"/>
              </w:rPr>
              <w:t>power over the investee (i.e. existing rights to give it the current ability to direct the relevant activities of the investee);</w:t>
            </w:r>
          </w:p>
        </w:tc>
      </w:tr>
      <w:tr w:rsidR="00626684" w:rsidRPr="006D4529" w14:paraId="414F046F" w14:textId="77777777" w:rsidTr="007F7384">
        <w:tc>
          <w:tcPr>
            <w:tcW w:w="4598" w:type="dxa"/>
          </w:tcPr>
          <w:p w14:paraId="134ADCC3" w14:textId="77777777" w:rsidR="00626684" w:rsidRPr="006D4529" w:rsidRDefault="00626684" w:rsidP="005F361E">
            <w:pPr>
              <w:pStyle w:val="ListParagraph"/>
              <w:numPr>
                <w:ilvl w:val="0"/>
                <w:numId w:val="25"/>
              </w:numPr>
              <w:tabs>
                <w:tab w:val="left" w:pos="851"/>
                <w:tab w:val="left" w:pos="884"/>
              </w:tabs>
              <w:ind w:left="851" w:right="-57" w:hanging="284"/>
              <w:contextualSpacing/>
              <w:jc w:val="both"/>
              <w:rPr>
                <w:bCs w:val="0"/>
                <w:sz w:val="18"/>
                <w:szCs w:val="18"/>
              </w:rPr>
            </w:pPr>
            <w:r w:rsidRPr="006D4529">
              <w:rPr>
                <w:bCs w:val="0"/>
                <w:sz w:val="18"/>
                <w:szCs w:val="18"/>
              </w:rPr>
              <w:t>eksposur atau hak atas imbal hasil variabel dari keterlibatannya dengan investee; dan</w:t>
            </w:r>
          </w:p>
        </w:tc>
        <w:tc>
          <w:tcPr>
            <w:tcW w:w="4599" w:type="dxa"/>
          </w:tcPr>
          <w:p w14:paraId="3A03DD56" w14:textId="77777777" w:rsidR="00626684" w:rsidRPr="006D4529" w:rsidRDefault="00626684" w:rsidP="005F361E">
            <w:pPr>
              <w:pStyle w:val="ListParagraph"/>
              <w:numPr>
                <w:ilvl w:val="0"/>
                <w:numId w:val="27"/>
              </w:numPr>
              <w:tabs>
                <w:tab w:val="left" w:pos="851"/>
              </w:tabs>
              <w:ind w:left="851" w:right="-57" w:hanging="284"/>
              <w:contextualSpacing/>
              <w:jc w:val="both"/>
              <w:rPr>
                <w:bCs w:val="0"/>
                <w:i/>
                <w:sz w:val="18"/>
                <w:szCs w:val="18"/>
              </w:rPr>
            </w:pPr>
            <w:r w:rsidRPr="006D4529">
              <w:rPr>
                <w:bCs w:val="0"/>
                <w:i/>
                <w:sz w:val="18"/>
                <w:szCs w:val="18"/>
              </w:rPr>
              <w:t>exposures or rights to variable returns from its involvement with the investee; and</w:t>
            </w:r>
          </w:p>
        </w:tc>
      </w:tr>
      <w:tr w:rsidR="00626684" w:rsidRPr="006D4529" w14:paraId="1038DD8D" w14:textId="77777777" w:rsidTr="007F7384">
        <w:tc>
          <w:tcPr>
            <w:tcW w:w="4598" w:type="dxa"/>
          </w:tcPr>
          <w:p w14:paraId="0F69E826" w14:textId="77777777" w:rsidR="00626684" w:rsidRPr="006D4529" w:rsidRDefault="00626684" w:rsidP="005F361E">
            <w:pPr>
              <w:pStyle w:val="ListParagraph"/>
              <w:numPr>
                <w:ilvl w:val="0"/>
                <w:numId w:val="25"/>
              </w:numPr>
              <w:tabs>
                <w:tab w:val="left" w:pos="851"/>
                <w:tab w:val="left" w:pos="884"/>
              </w:tabs>
              <w:ind w:left="851" w:right="-57" w:hanging="284"/>
              <w:contextualSpacing/>
              <w:jc w:val="both"/>
              <w:rPr>
                <w:bCs w:val="0"/>
                <w:sz w:val="18"/>
                <w:szCs w:val="18"/>
              </w:rPr>
            </w:pPr>
            <w:proofErr w:type="gramStart"/>
            <w:r w:rsidRPr="006D4529">
              <w:rPr>
                <w:bCs w:val="0"/>
                <w:sz w:val="18"/>
                <w:szCs w:val="18"/>
              </w:rPr>
              <w:t>kemampuan</w:t>
            </w:r>
            <w:proofErr w:type="gramEnd"/>
            <w:r w:rsidRPr="006D4529">
              <w:rPr>
                <w:bCs w:val="0"/>
                <w:sz w:val="18"/>
                <w:szCs w:val="18"/>
              </w:rPr>
              <w:t xml:space="preserve"> untuk menggunakan kekuasaannya atas investee untuk mempengaruhi jumlah imbal hasil.</w:t>
            </w:r>
          </w:p>
        </w:tc>
        <w:tc>
          <w:tcPr>
            <w:tcW w:w="4599" w:type="dxa"/>
          </w:tcPr>
          <w:p w14:paraId="6CFBBAC4" w14:textId="77777777" w:rsidR="00626684" w:rsidRPr="006D4529" w:rsidRDefault="00626684" w:rsidP="005F361E">
            <w:pPr>
              <w:pStyle w:val="ListParagraph"/>
              <w:numPr>
                <w:ilvl w:val="0"/>
                <w:numId w:val="27"/>
              </w:numPr>
              <w:tabs>
                <w:tab w:val="left" w:pos="851"/>
              </w:tabs>
              <w:ind w:left="851" w:right="-57" w:hanging="284"/>
              <w:contextualSpacing/>
              <w:jc w:val="both"/>
              <w:rPr>
                <w:bCs w:val="0"/>
                <w:i/>
                <w:sz w:val="18"/>
                <w:szCs w:val="18"/>
              </w:rPr>
            </w:pPr>
            <w:proofErr w:type="gramStart"/>
            <w:r w:rsidRPr="006D4529">
              <w:rPr>
                <w:bCs w:val="0"/>
                <w:i/>
                <w:sz w:val="18"/>
                <w:szCs w:val="18"/>
              </w:rPr>
              <w:t>the</w:t>
            </w:r>
            <w:proofErr w:type="gramEnd"/>
            <w:r w:rsidRPr="006D4529">
              <w:rPr>
                <w:bCs w:val="0"/>
                <w:i/>
                <w:sz w:val="18"/>
                <w:szCs w:val="18"/>
              </w:rPr>
              <w:t xml:space="preserve"> ability to use its power over the investee to affect the investor’s returns.</w:t>
            </w:r>
          </w:p>
        </w:tc>
      </w:tr>
      <w:tr w:rsidR="00626684" w:rsidRPr="006D4529" w14:paraId="129C2CE7" w14:textId="77777777" w:rsidTr="007F7384">
        <w:tc>
          <w:tcPr>
            <w:tcW w:w="4598" w:type="dxa"/>
          </w:tcPr>
          <w:p w14:paraId="709836B9" w14:textId="77777777" w:rsidR="00626684" w:rsidRPr="006D4529" w:rsidRDefault="00626684" w:rsidP="00626684">
            <w:pPr>
              <w:ind w:left="567"/>
              <w:rPr>
                <w:bCs w:val="0"/>
                <w:sz w:val="16"/>
                <w:szCs w:val="16"/>
              </w:rPr>
            </w:pPr>
          </w:p>
        </w:tc>
        <w:tc>
          <w:tcPr>
            <w:tcW w:w="4599" w:type="dxa"/>
          </w:tcPr>
          <w:p w14:paraId="1A784282" w14:textId="77777777" w:rsidR="00626684" w:rsidRPr="006D4529" w:rsidRDefault="00626684" w:rsidP="00626684">
            <w:pPr>
              <w:ind w:left="567" w:right="-57"/>
              <w:rPr>
                <w:bCs w:val="0"/>
                <w:i/>
                <w:sz w:val="16"/>
                <w:szCs w:val="16"/>
              </w:rPr>
            </w:pPr>
          </w:p>
        </w:tc>
      </w:tr>
      <w:tr w:rsidR="00626684" w:rsidRPr="00A93805" w14:paraId="68143278" w14:textId="77777777" w:rsidTr="007F7384">
        <w:tc>
          <w:tcPr>
            <w:tcW w:w="4598" w:type="dxa"/>
          </w:tcPr>
          <w:p w14:paraId="0C734BD3" w14:textId="21B5A6DB" w:rsidR="00626684" w:rsidRPr="006D4529" w:rsidRDefault="00626684" w:rsidP="00F15497">
            <w:pPr>
              <w:ind w:left="567" w:right="-57"/>
              <w:jc w:val="both"/>
              <w:rPr>
                <w:bCs w:val="0"/>
                <w:sz w:val="18"/>
                <w:szCs w:val="18"/>
              </w:rPr>
            </w:pPr>
            <w:r w:rsidRPr="006D4529">
              <w:rPr>
                <w:bCs w:val="0"/>
                <w:sz w:val="18"/>
                <w:szCs w:val="18"/>
              </w:rPr>
              <w:t>Pada umumnya</w:t>
            </w:r>
            <w:r w:rsidR="00870FD0">
              <w:rPr>
                <w:bCs w:val="0"/>
                <w:sz w:val="18"/>
                <w:szCs w:val="18"/>
              </w:rPr>
              <w:t>.</w:t>
            </w:r>
            <w:r w:rsidRPr="006D4529">
              <w:rPr>
                <w:bCs w:val="0"/>
                <w:sz w:val="18"/>
                <w:szCs w:val="18"/>
              </w:rPr>
              <w:t xml:space="preserve"> </w:t>
            </w:r>
            <w:proofErr w:type="gramStart"/>
            <w:r w:rsidRPr="006D4529">
              <w:rPr>
                <w:bCs w:val="0"/>
                <w:sz w:val="18"/>
                <w:szCs w:val="18"/>
              </w:rPr>
              <w:t>mayoritas</w:t>
            </w:r>
            <w:proofErr w:type="gramEnd"/>
            <w:r w:rsidRPr="006D4529">
              <w:rPr>
                <w:bCs w:val="0"/>
                <w:sz w:val="18"/>
                <w:szCs w:val="18"/>
              </w:rPr>
              <w:t xml:space="preserve"> hak suara menghasilkan pengendalian. Ketika Entitas memiliki kurang dari mayoritas hak suara</w:t>
            </w:r>
            <w:r w:rsidR="00F15497">
              <w:rPr>
                <w:bCs w:val="0"/>
                <w:sz w:val="18"/>
                <w:szCs w:val="18"/>
              </w:rPr>
              <w:t>,</w:t>
            </w:r>
            <w:r w:rsidRPr="006D4529">
              <w:rPr>
                <w:bCs w:val="0"/>
                <w:sz w:val="18"/>
                <w:szCs w:val="18"/>
              </w:rPr>
              <w:t xml:space="preserve"> atau serupa atas investee</w:t>
            </w:r>
            <w:r w:rsidR="00870FD0">
              <w:rPr>
                <w:bCs w:val="0"/>
                <w:sz w:val="18"/>
                <w:szCs w:val="18"/>
              </w:rPr>
              <w:t>.</w:t>
            </w:r>
            <w:r w:rsidRPr="006D4529">
              <w:rPr>
                <w:bCs w:val="0"/>
                <w:sz w:val="18"/>
                <w:szCs w:val="18"/>
              </w:rPr>
              <w:t xml:space="preserve"> investor mempertimbangkan semua fakta dan keadaan yang relevan dalam menilai apakah memiliki kekuasaan atas investee</w:t>
            </w:r>
            <w:r w:rsidR="00F15497">
              <w:rPr>
                <w:bCs w:val="0"/>
                <w:sz w:val="18"/>
                <w:szCs w:val="18"/>
              </w:rPr>
              <w:t>,</w:t>
            </w:r>
            <w:r w:rsidRPr="006D4529">
              <w:rPr>
                <w:bCs w:val="0"/>
                <w:sz w:val="18"/>
                <w:szCs w:val="18"/>
              </w:rPr>
              <w:t xml:space="preserve"> termasuk:</w:t>
            </w:r>
          </w:p>
        </w:tc>
        <w:tc>
          <w:tcPr>
            <w:tcW w:w="4599" w:type="dxa"/>
          </w:tcPr>
          <w:p w14:paraId="3E309014" w14:textId="038087F4" w:rsidR="00626684" w:rsidRPr="006D4529" w:rsidRDefault="00626684" w:rsidP="00F15497">
            <w:pPr>
              <w:ind w:left="567" w:right="-57"/>
              <w:jc w:val="both"/>
              <w:rPr>
                <w:bCs w:val="0"/>
                <w:i/>
                <w:sz w:val="18"/>
                <w:szCs w:val="18"/>
              </w:rPr>
            </w:pPr>
            <w:r w:rsidRPr="006D4529">
              <w:rPr>
                <w:bCs w:val="0"/>
                <w:i/>
                <w:sz w:val="18"/>
                <w:szCs w:val="18"/>
              </w:rPr>
              <w:t>Generally</w:t>
            </w:r>
            <w:r w:rsidR="00F15497">
              <w:rPr>
                <w:bCs w:val="0"/>
                <w:i/>
                <w:sz w:val="18"/>
                <w:szCs w:val="18"/>
              </w:rPr>
              <w:t>,</w:t>
            </w:r>
            <w:r w:rsidRPr="006D4529">
              <w:rPr>
                <w:bCs w:val="0"/>
                <w:i/>
                <w:sz w:val="18"/>
                <w:szCs w:val="18"/>
              </w:rPr>
              <w:t xml:space="preserve"> a majority of voting rights result in control. When the Entity has less than a majority of the voting</w:t>
            </w:r>
            <w:r w:rsidR="00870FD0">
              <w:rPr>
                <w:bCs w:val="0"/>
                <w:i/>
                <w:sz w:val="18"/>
                <w:szCs w:val="18"/>
              </w:rPr>
              <w:t>.</w:t>
            </w:r>
            <w:r w:rsidRPr="006D4529">
              <w:rPr>
                <w:bCs w:val="0"/>
                <w:i/>
                <w:sz w:val="18"/>
                <w:szCs w:val="18"/>
              </w:rPr>
              <w:t xml:space="preserve"> or </w:t>
            </w:r>
            <w:r w:rsidR="00F15497">
              <w:rPr>
                <w:bCs w:val="0"/>
                <w:i/>
                <w:sz w:val="18"/>
                <w:szCs w:val="18"/>
              </w:rPr>
              <w:t>similar,</w:t>
            </w:r>
            <w:r w:rsidRPr="006D4529">
              <w:rPr>
                <w:bCs w:val="0"/>
                <w:i/>
                <w:sz w:val="18"/>
                <w:szCs w:val="18"/>
              </w:rPr>
              <w:t xml:space="preserve"> rights of an investee</w:t>
            </w:r>
            <w:r w:rsidR="00F15497">
              <w:rPr>
                <w:bCs w:val="0"/>
                <w:i/>
                <w:sz w:val="18"/>
                <w:szCs w:val="18"/>
              </w:rPr>
              <w:t>,</w:t>
            </w:r>
            <w:r w:rsidRPr="006D4529">
              <w:rPr>
                <w:bCs w:val="0"/>
                <w:i/>
                <w:sz w:val="18"/>
                <w:szCs w:val="18"/>
              </w:rPr>
              <w:t xml:space="preserve"> it considers all relevant facts and circumstances in assessing whether it has power over an investee</w:t>
            </w:r>
            <w:r w:rsidR="00F15497">
              <w:rPr>
                <w:bCs w:val="0"/>
                <w:i/>
                <w:sz w:val="18"/>
                <w:szCs w:val="18"/>
              </w:rPr>
              <w:t>,</w:t>
            </w:r>
            <w:r w:rsidRPr="006D4529">
              <w:rPr>
                <w:bCs w:val="0"/>
                <w:i/>
                <w:sz w:val="18"/>
                <w:szCs w:val="18"/>
              </w:rPr>
              <w:t xml:space="preserve"> including:</w:t>
            </w:r>
          </w:p>
        </w:tc>
      </w:tr>
      <w:tr w:rsidR="00626684" w:rsidRPr="004D2565" w14:paraId="60334A79" w14:textId="77777777" w:rsidTr="007F7384">
        <w:tc>
          <w:tcPr>
            <w:tcW w:w="4598" w:type="dxa"/>
          </w:tcPr>
          <w:p w14:paraId="69E11250" w14:textId="77777777" w:rsidR="00626684" w:rsidRPr="004D2565" w:rsidRDefault="00626684" w:rsidP="00626684">
            <w:pPr>
              <w:ind w:left="567"/>
              <w:rPr>
                <w:bCs w:val="0"/>
                <w:sz w:val="6"/>
                <w:szCs w:val="6"/>
                <w:highlight w:val="cyan"/>
              </w:rPr>
            </w:pPr>
          </w:p>
        </w:tc>
        <w:tc>
          <w:tcPr>
            <w:tcW w:w="4599" w:type="dxa"/>
          </w:tcPr>
          <w:p w14:paraId="7A887667" w14:textId="77777777" w:rsidR="00626684" w:rsidRPr="004D2565" w:rsidRDefault="00626684" w:rsidP="00626684">
            <w:pPr>
              <w:ind w:left="567" w:right="-57"/>
              <w:rPr>
                <w:bCs w:val="0"/>
                <w:i/>
                <w:sz w:val="6"/>
                <w:szCs w:val="6"/>
                <w:highlight w:val="cyan"/>
              </w:rPr>
            </w:pPr>
          </w:p>
        </w:tc>
      </w:tr>
      <w:tr w:rsidR="00626684" w:rsidRPr="006D4529" w14:paraId="1DA03915" w14:textId="77777777" w:rsidTr="007F7384">
        <w:tc>
          <w:tcPr>
            <w:tcW w:w="4598" w:type="dxa"/>
          </w:tcPr>
          <w:p w14:paraId="2ABCE3F1" w14:textId="77777777" w:rsidR="00626684" w:rsidRPr="006D4529" w:rsidRDefault="00626684" w:rsidP="00070D1F">
            <w:pPr>
              <w:pStyle w:val="ListParagraph"/>
              <w:numPr>
                <w:ilvl w:val="0"/>
                <w:numId w:val="68"/>
              </w:numPr>
              <w:tabs>
                <w:tab w:val="left" w:pos="851"/>
                <w:tab w:val="left" w:pos="884"/>
              </w:tabs>
              <w:ind w:left="851" w:right="-57" w:hanging="284"/>
              <w:contextualSpacing/>
              <w:jc w:val="both"/>
              <w:rPr>
                <w:bCs w:val="0"/>
                <w:sz w:val="18"/>
                <w:szCs w:val="18"/>
              </w:rPr>
            </w:pPr>
            <w:r w:rsidRPr="006D4529">
              <w:rPr>
                <w:bCs w:val="0"/>
                <w:sz w:val="18"/>
                <w:szCs w:val="18"/>
              </w:rPr>
              <w:t>pengaturan kontraktual dengan pemegang suara lainnya dari investee;</w:t>
            </w:r>
          </w:p>
        </w:tc>
        <w:tc>
          <w:tcPr>
            <w:tcW w:w="4599" w:type="dxa"/>
          </w:tcPr>
          <w:p w14:paraId="2B81622E" w14:textId="77777777" w:rsidR="00626684" w:rsidRPr="006D4529" w:rsidRDefault="00626684" w:rsidP="00070D1F">
            <w:pPr>
              <w:pStyle w:val="ListParagraph"/>
              <w:numPr>
                <w:ilvl w:val="0"/>
                <w:numId w:val="69"/>
              </w:numPr>
              <w:tabs>
                <w:tab w:val="left" w:pos="851"/>
              </w:tabs>
              <w:ind w:left="851" w:right="-57" w:hanging="284"/>
              <w:contextualSpacing/>
              <w:jc w:val="both"/>
              <w:rPr>
                <w:bCs w:val="0"/>
                <w:i/>
                <w:sz w:val="18"/>
                <w:szCs w:val="18"/>
              </w:rPr>
            </w:pPr>
            <w:r w:rsidRPr="006D4529">
              <w:rPr>
                <w:bCs w:val="0"/>
                <w:i/>
                <w:sz w:val="18"/>
                <w:szCs w:val="18"/>
              </w:rPr>
              <w:t>the contractual arrangement(s) with the other vote holders of investee;</w:t>
            </w:r>
          </w:p>
        </w:tc>
      </w:tr>
      <w:tr w:rsidR="00626684" w:rsidRPr="006D4529" w14:paraId="5E808931" w14:textId="77777777" w:rsidTr="007F7384">
        <w:tc>
          <w:tcPr>
            <w:tcW w:w="4598" w:type="dxa"/>
          </w:tcPr>
          <w:p w14:paraId="26BAA137" w14:textId="77777777" w:rsidR="00626684" w:rsidRPr="006D4529" w:rsidRDefault="00626684" w:rsidP="00070D1F">
            <w:pPr>
              <w:pStyle w:val="ListParagraph"/>
              <w:numPr>
                <w:ilvl w:val="0"/>
                <w:numId w:val="68"/>
              </w:numPr>
              <w:tabs>
                <w:tab w:val="left" w:pos="851"/>
                <w:tab w:val="left" w:pos="884"/>
              </w:tabs>
              <w:ind w:left="851" w:right="-57" w:hanging="284"/>
              <w:contextualSpacing/>
              <w:jc w:val="both"/>
              <w:rPr>
                <w:bCs w:val="0"/>
                <w:sz w:val="18"/>
                <w:szCs w:val="18"/>
              </w:rPr>
            </w:pPr>
            <w:r w:rsidRPr="006D4529">
              <w:rPr>
                <w:bCs w:val="0"/>
                <w:sz w:val="18"/>
                <w:szCs w:val="18"/>
              </w:rPr>
              <w:t>hak-hak yang timbul dari pengaturan kontraktual;</w:t>
            </w:r>
          </w:p>
        </w:tc>
        <w:tc>
          <w:tcPr>
            <w:tcW w:w="4599" w:type="dxa"/>
          </w:tcPr>
          <w:p w14:paraId="60C77280" w14:textId="77777777" w:rsidR="00626684" w:rsidRPr="006D4529" w:rsidRDefault="00626684" w:rsidP="00070D1F">
            <w:pPr>
              <w:pStyle w:val="ListParagraph"/>
              <w:numPr>
                <w:ilvl w:val="0"/>
                <w:numId w:val="69"/>
              </w:numPr>
              <w:tabs>
                <w:tab w:val="left" w:pos="851"/>
              </w:tabs>
              <w:ind w:left="851" w:right="-57" w:hanging="284"/>
              <w:contextualSpacing/>
              <w:jc w:val="both"/>
              <w:rPr>
                <w:bCs w:val="0"/>
                <w:i/>
                <w:sz w:val="18"/>
                <w:szCs w:val="18"/>
              </w:rPr>
            </w:pPr>
            <w:r w:rsidRPr="006D4529">
              <w:rPr>
                <w:bCs w:val="0"/>
                <w:i/>
                <w:sz w:val="18"/>
                <w:szCs w:val="18"/>
              </w:rPr>
              <w:t>rights arising from other contractual arrangement(s);</w:t>
            </w:r>
          </w:p>
        </w:tc>
      </w:tr>
      <w:tr w:rsidR="00626684" w:rsidRPr="006D4529" w14:paraId="47A3FD25" w14:textId="77777777" w:rsidTr="007F7384">
        <w:tc>
          <w:tcPr>
            <w:tcW w:w="4598" w:type="dxa"/>
          </w:tcPr>
          <w:p w14:paraId="041BFDD6" w14:textId="77777777" w:rsidR="00626684" w:rsidRPr="006D4529" w:rsidRDefault="00626684" w:rsidP="00070D1F">
            <w:pPr>
              <w:pStyle w:val="ListParagraph"/>
              <w:numPr>
                <w:ilvl w:val="0"/>
                <w:numId w:val="68"/>
              </w:numPr>
              <w:tabs>
                <w:tab w:val="left" w:pos="851"/>
                <w:tab w:val="left" w:pos="884"/>
              </w:tabs>
              <w:ind w:left="851" w:right="-57" w:hanging="284"/>
              <w:contextualSpacing/>
              <w:jc w:val="both"/>
              <w:rPr>
                <w:bCs w:val="0"/>
                <w:sz w:val="18"/>
                <w:szCs w:val="18"/>
              </w:rPr>
            </w:pPr>
            <w:proofErr w:type="gramStart"/>
            <w:r w:rsidRPr="006D4529">
              <w:rPr>
                <w:bCs w:val="0"/>
                <w:sz w:val="18"/>
                <w:szCs w:val="18"/>
              </w:rPr>
              <w:t>hak</w:t>
            </w:r>
            <w:proofErr w:type="gramEnd"/>
            <w:r w:rsidRPr="006D4529">
              <w:rPr>
                <w:bCs w:val="0"/>
                <w:sz w:val="18"/>
                <w:szCs w:val="18"/>
              </w:rPr>
              <w:t xml:space="preserve"> suara dan hak suara potensial investor.</w:t>
            </w:r>
          </w:p>
        </w:tc>
        <w:tc>
          <w:tcPr>
            <w:tcW w:w="4599" w:type="dxa"/>
          </w:tcPr>
          <w:p w14:paraId="40E5B6D6" w14:textId="77777777" w:rsidR="00626684" w:rsidRPr="006D4529" w:rsidRDefault="00626684" w:rsidP="00070D1F">
            <w:pPr>
              <w:pStyle w:val="ListParagraph"/>
              <w:numPr>
                <w:ilvl w:val="0"/>
                <w:numId w:val="69"/>
              </w:numPr>
              <w:tabs>
                <w:tab w:val="left" w:pos="851"/>
              </w:tabs>
              <w:ind w:left="851" w:right="-57" w:hanging="284"/>
              <w:contextualSpacing/>
              <w:jc w:val="both"/>
              <w:rPr>
                <w:bCs w:val="0"/>
                <w:i/>
                <w:sz w:val="18"/>
                <w:szCs w:val="18"/>
              </w:rPr>
            </w:pPr>
            <w:proofErr w:type="gramStart"/>
            <w:r w:rsidRPr="006D4529">
              <w:rPr>
                <w:bCs w:val="0"/>
                <w:i/>
                <w:sz w:val="18"/>
                <w:szCs w:val="18"/>
              </w:rPr>
              <w:t>the</w:t>
            </w:r>
            <w:proofErr w:type="gramEnd"/>
            <w:r w:rsidRPr="006D4529">
              <w:rPr>
                <w:bCs w:val="0"/>
                <w:i/>
                <w:sz w:val="18"/>
                <w:szCs w:val="18"/>
              </w:rPr>
              <w:t xml:space="preserve"> Entity’s voting rights and potential voting rights.</w:t>
            </w:r>
          </w:p>
        </w:tc>
      </w:tr>
      <w:tr w:rsidR="00626684" w:rsidRPr="006D4529" w14:paraId="2230D1EE" w14:textId="77777777" w:rsidTr="007F7384">
        <w:tc>
          <w:tcPr>
            <w:tcW w:w="4598" w:type="dxa"/>
          </w:tcPr>
          <w:p w14:paraId="79334044" w14:textId="77777777" w:rsidR="00626684" w:rsidRPr="006D4529" w:rsidRDefault="00626684" w:rsidP="00626684">
            <w:pPr>
              <w:ind w:left="567"/>
              <w:rPr>
                <w:bCs w:val="0"/>
                <w:sz w:val="6"/>
                <w:szCs w:val="6"/>
              </w:rPr>
            </w:pPr>
          </w:p>
        </w:tc>
        <w:tc>
          <w:tcPr>
            <w:tcW w:w="4599" w:type="dxa"/>
          </w:tcPr>
          <w:p w14:paraId="3E356A03" w14:textId="77777777" w:rsidR="00626684" w:rsidRPr="006D4529" w:rsidRDefault="00626684" w:rsidP="00626684">
            <w:pPr>
              <w:ind w:left="567" w:right="-57"/>
              <w:rPr>
                <w:bCs w:val="0"/>
                <w:i/>
                <w:sz w:val="6"/>
                <w:szCs w:val="6"/>
              </w:rPr>
            </w:pPr>
          </w:p>
        </w:tc>
      </w:tr>
      <w:tr w:rsidR="00626684" w:rsidRPr="006D4529" w14:paraId="5CE1BE5C" w14:textId="77777777" w:rsidTr="007F7384">
        <w:tc>
          <w:tcPr>
            <w:tcW w:w="4598" w:type="dxa"/>
          </w:tcPr>
          <w:p w14:paraId="45F24CF6" w14:textId="77777777" w:rsidR="00626684" w:rsidRPr="006D4529" w:rsidRDefault="00626684" w:rsidP="003F572B">
            <w:pPr>
              <w:ind w:left="567" w:right="-57"/>
              <w:jc w:val="both"/>
              <w:rPr>
                <w:bCs w:val="0"/>
                <w:sz w:val="18"/>
                <w:szCs w:val="18"/>
              </w:rPr>
            </w:pPr>
            <w:r w:rsidRPr="006D4529">
              <w:rPr>
                <w:bCs w:val="0"/>
                <w:sz w:val="18"/>
                <w:szCs w:val="18"/>
              </w:rPr>
              <w:t>Investor menilai kembali apakah investor mengendalikan investee jika fakta dan keadaan mengindikasikan adanya perubahan terhadap satu atau lebih dari tiga elemen pengendalian.</w:t>
            </w:r>
          </w:p>
        </w:tc>
        <w:tc>
          <w:tcPr>
            <w:tcW w:w="4599" w:type="dxa"/>
          </w:tcPr>
          <w:p w14:paraId="7B7F475D" w14:textId="77777777" w:rsidR="00626684" w:rsidRPr="006D4529" w:rsidRDefault="00626684" w:rsidP="003F572B">
            <w:pPr>
              <w:ind w:left="567" w:right="-57"/>
              <w:jc w:val="both"/>
              <w:rPr>
                <w:bCs w:val="0"/>
                <w:i/>
                <w:sz w:val="18"/>
                <w:szCs w:val="18"/>
              </w:rPr>
            </w:pPr>
            <w:r w:rsidRPr="006D4529">
              <w:rPr>
                <w:bCs w:val="0"/>
                <w:i/>
                <w:sz w:val="18"/>
                <w:szCs w:val="18"/>
              </w:rPr>
              <w:t>Investor reassesses whether or not it controls an investee if facts and circumstances indicate that there are changes to one or more of the three element of control.</w:t>
            </w:r>
          </w:p>
        </w:tc>
      </w:tr>
      <w:tr w:rsidR="00A93805" w:rsidRPr="006D4529" w14:paraId="5632A99F" w14:textId="77777777" w:rsidTr="007F7384">
        <w:tc>
          <w:tcPr>
            <w:tcW w:w="4598" w:type="dxa"/>
          </w:tcPr>
          <w:p w14:paraId="578AC5C1" w14:textId="77777777" w:rsidR="00A93805" w:rsidRPr="006D4529" w:rsidRDefault="00A93805" w:rsidP="00A93805">
            <w:pPr>
              <w:ind w:left="567" w:right="-57"/>
              <w:rPr>
                <w:rStyle w:val="hps"/>
                <w:bCs w:val="0"/>
                <w:sz w:val="16"/>
                <w:szCs w:val="16"/>
              </w:rPr>
            </w:pPr>
          </w:p>
        </w:tc>
        <w:tc>
          <w:tcPr>
            <w:tcW w:w="4599" w:type="dxa"/>
          </w:tcPr>
          <w:p w14:paraId="01D15190" w14:textId="77777777" w:rsidR="00A93805" w:rsidRPr="006D4529" w:rsidRDefault="00A93805" w:rsidP="00A93805">
            <w:pPr>
              <w:ind w:left="567" w:right="-57"/>
              <w:rPr>
                <w:bCs w:val="0"/>
                <w:i/>
                <w:sz w:val="16"/>
                <w:szCs w:val="16"/>
              </w:rPr>
            </w:pPr>
          </w:p>
        </w:tc>
      </w:tr>
      <w:tr w:rsidR="00A93805" w:rsidRPr="006D4529" w14:paraId="34EE5DB5" w14:textId="77777777" w:rsidTr="007F7384">
        <w:tc>
          <w:tcPr>
            <w:tcW w:w="4598" w:type="dxa"/>
          </w:tcPr>
          <w:p w14:paraId="70A22E53" w14:textId="77777777" w:rsidR="00A93805" w:rsidRPr="006D4529" w:rsidRDefault="00A93805" w:rsidP="00A93805">
            <w:pPr>
              <w:ind w:left="567" w:right="-57"/>
              <w:jc w:val="both"/>
              <w:rPr>
                <w:bCs w:val="0"/>
                <w:sz w:val="18"/>
                <w:szCs w:val="18"/>
              </w:rPr>
            </w:pPr>
            <w:r w:rsidRPr="006D4529">
              <w:rPr>
                <w:bCs w:val="0"/>
                <w:sz w:val="18"/>
                <w:szCs w:val="18"/>
              </w:rPr>
              <w:t>Prosedur Konsolidasian</w:t>
            </w:r>
          </w:p>
        </w:tc>
        <w:tc>
          <w:tcPr>
            <w:tcW w:w="4599" w:type="dxa"/>
          </w:tcPr>
          <w:p w14:paraId="18D816C6" w14:textId="77777777" w:rsidR="00A93805" w:rsidRPr="006D4529" w:rsidRDefault="00A93805" w:rsidP="00A93805">
            <w:pPr>
              <w:ind w:left="567" w:right="-57"/>
              <w:jc w:val="both"/>
              <w:rPr>
                <w:bCs w:val="0"/>
                <w:i/>
                <w:sz w:val="18"/>
                <w:szCs w:val="18"/>
              </w:rPr>
            </w:pPr>
            <w:r w:rsidRPr="006D4529">
              <w:rPr>
                <w:bCs w:val="0"/>
                <w:i/>
                <w:sz w:val="18"/>
                <w:szCs w:val="18"/>
              </w:rPr>
              <w:t>Consolidation Procedures</w:t>
            </w:r>
          </w:p>
        </w:tc>
      </w:tr>
      <w:tr w:rsidR="00A93805" w:rsidRPr="006D4529" w14:paraId="01B78F72" w14:textId="77777777" w:rsidTr="007F7384">
        <w:tc>
          <w:tcPr>
            <w:tcW w:w="4598" w:type="dxa"/>
          </w:tcPr>
          <w:p w14:paraId="378DAFF0" w14:textId="77777777" w:rsidR="00A93805" w:rsidRPr="006D4529" w:rsidRDefault="00A93805" w:rsidP="00A93805">
            <w:pPr>
              <w:ind w:left="567" w:right="-57"/>
              <w:jc w:val="both"/>
              <w:rPr>
                <w:bCs w:val="0"/>
                <w:sz w:val="16"/>
                <w:szCs w:val="16"/>
              </w:rPr>
            </w:pPr>
          </w:p>
        </w:tc>
        <w:tc>
          <w:tcPr>
            <w:tcW w:w="4599" w:type="dxa"/>
          </w:tcPr>
          <w:p w14:paraId="51A35318" w14:textId="77777777" w:rsidR="00A93805" w:rsidRPr="006D4529" w:rsidRDefault="00A93805" w:rsidP="00A93805">
            <w:pPr>
              <w:ind w:left="567" w:right="-57"/>
              <w:jc w:val="both"/>
              <w:rPr>
                <w:bCs w:val="0"/>
                <w:i/>
                <w:sz w:val="16"/>
                <w:szCs w:val="16"/>
              </w:rPr>
            </w:pPr>
          </w:p>
        </w:tc>
      </w:tr>
      <w:tr w:rsidR="00A93805" w:rsidRPr="006D4529" w14:paraId="5659BF19" w14:textId="77777777" w:rsidTr="007F7384">
        <w:tc>
          <w:tcPr>
            <w:tcW w:w="4598" w:type="dxa"/>
          </w:tcPr>
          <w:p w14:paraId="7A06C614" w14:textId="77777777" w:rsidR="00A93805" w:rsidRPr="006D4529" w:rsidRDefault="00A93805" w:rsidP="00A93805">
            <w:pPr>
              <w:ind w:left="567" w:right="-57"/>
              <w:jc w:val="both"/>
              <w:rPr>
                <w:bCs w:val="0"/>
                <w:sz w:val="18"/>
                <w:szCs w:val="18"/>
              </w:rPr>
            </w:pPr>
            <w:r w:rsidRPr="006D4529">
              <w:rPr>
                <w:bCs w:val="0"/>
                <w:sz w:val="18"/>
                <w:szCs w:val="18"/>
              </w:rPr>
              <w:t>Laporan keuangan konsolidasian:</w:t>
            </w:r>
          </w:p>
        </w:tc>
        <w:tc>
          <w:tcPr>
            <w:tcW w:w="4599" w:type="dxa"/>
          </w:tcPr>
          <w:p w14:paraId="70E9D9E9" w14:textId="77777777" w:rsidR="00A93805" w:rsidRPr="006D4529" w:rsidRDefault="00A93805" w:rsidP="00A93805">
            <w:pPr>
              <w:ind w:left="567" w:right="-57"/>
              <w:jc w:val="both"/>
              <w:rPr>
                <w:bCs w:val="0"/>
                <w:i/>
                <w:sz w:val="18"/>
                <w:szCs w:val="18"/>
              </w:rPr>
            </w:pPr>
            <w:r w:rsidRPr="006D4529">
              <w:rPr>
                <w:bCs w:val="0"/>
                <w:i/>
                <w:sz w:val="18"/>
                <w:szCs w:val="18"/>
              </w:rPr>
              <w:t>Consolidated financial statements:</w:t>
            </w:r>
          </w:p>
        </w:tc>
      </w:tr>
      <w:tr w:rsidR="00A93805" w:rsidRPr="006D4529" w14:paraId="3CF5CAB4" w14:textId="77777777" w:rsidTr="007F7384">
        <w:tc>
          <w:tcPr>
            <w:tcW w:w="4598" w:type="dxa"/>
          </w:tcPr>
          <w:p w14:paraId="4C04FADF" w14:textId="112ECCC2" w:rsidR="00A93805" w:rsidRPr="006D4529" w:rsidRDefault="00A93805" w:rsidP="00F15497">
            <w:pPr>
              <w:pStyle w:val="ListParagraph"/>
              <w:numPr>
                <w:ilvl w:val="0"/>
                <w:numId w:val="24"/>
              </w:numPr>
              <w:tabs>
                <w:tab w:val="left" w:pos="851"/>
                <w:tab w:val="left" w:pos="884"/>
              </w:tabs>
              <w:ind w:left="851" w:right="-57" w:hanging="284"/>
              <w:contextualSpacing/>
              <w:jc w:val="both"/>
              <w:rPr>
                <w:bCs w:val="0"/>
                <w:sz w:val="18"/>
                <w:szCs w:val="18"/>
              </w:rPr>
            </w:pPr>
            <w:r w:rsidRPr="006D4529">
              <w:rPr>
                <w:bCs w:val="0"/>
                <w:sz w:val="18"/>
                <w:szCs w:val="18"/>
              </w:rPr>
              <w:t xml:space="preserve">menggabungkan item sejenis seperti </w:t>
            </w:r>
            <w:r w:rsidR="00F15497">
              <w:rPr>
                <w:bCs w:val="0"/>
                <w:sz w:val="18"/>
                <w:szCs w:val="18"/>
              </w:rPr>
              <w:t>asset,</w:t>
            </w:r>
            <w:r w:rsidRPr="006D4529">
              <w:rPr>
                <w:bCs w:val="0"/>
                <w:sz w:val="18"/>
                <w:szCs w:val="18"/>
              </w:rPr>
              <w:t xml:space="preserve"> liabilitas</w:t>
            </w:r>
            <w:r w:rsidR="00F15497">
              <w:rPr>
                <w:bCs w:val="0"/>
                <w:sz w:val="18"/>
                <w:szCs w:val="18"/>
              </w:rPr>
              <w:t>,</w:t>
            </w:r>
            <w:r w:rsidRPr="006D4529">
              <w:rPr>
                <w:bCs w:val="0"/>
                <w:sz w:val="18"/>
                <w:szCs w:val="18"/>
              </w:rPr>
              <w:t xml:space="preserve"> ekuitas</w:t>
            </w:r>
            <w:r w:rsidR="00F15497">
              <w:rPr>
                <w:bCs w:val="0"/>
                <w:sz w:val="18"/>
                <w:szCs w:val="18"/>
              </w:rPr>
              <w:t>,</w:t>
            </w:r>
            <w:r w:rsidRPr="006D4529">
              <w:rPr>
                <w:bCs w:val="0"/>
                <w:sz w:val="18"/>
                <w:szCs w:val="18"/>
              </w:rPr>
              <w:t xml:space="preserve"> penghasilan</w:t>
            </w:r>
            <w:r w:rsidR="00F15497">
              <w:rPr>
                <w:bCs w:val="0"/>
                <w:sz w:val="18"/>
                <w:szCs w:val="18"/>
              </w:rPr>
              <w:t>,</w:t>
            </w:r>
            <w:r w:rsidRPr="006D4529">
              <w:rPr>
                <w:bCs w:val="0"/>
                <w:sz w:val="18"/>
                <w:szCs w:val="18"/>
              </w:rPr>
              <w:t xml:space="preserve"> beban dan arus kas dari entitas induk dengan entitas anaknya;</w:t>
            </w:r>
          </w:p>
        </w:tc>
        <w:tc>
          <w:tcPr>
            <w:tcW w:w="4599" w:type="dxa"/>
          </w:tcPr>
          <w:p w14:paraId="76192037" w14:textId="163185C3" w:rsidR="00A93805" w:rsidRPr="006D4529" w:rsidRDefault="00A93805" w:rsidP="00F15497">
            <w:pPr>
              <w:pStyle w:val="ListParagraph"/>
              <w:numPr>
                <w:ilvl w:val="0"/>
                <w:numId w:val="24"/>
              </w:numPr>
              <w:tabs>
                <w:tab w:val="left" w:pos="856"/>
              </w:tabs>
              <w:ind w:left="851" w:right="-57" w:hanging="284"/>
              <w:contextualSpacing/>
              <w:jc w:val="both"/>
              <w:rPr>
                <w:bCs w:val="0"/>
                <w:i/>
                <w:sz w:val="18"/>
                <w:szCs w:val="18"/>
              </w:rPr>
            </w:pPr>
            <w:r w:rsidRPr="006D4529">
              <w:rPr>
                <w:bCs w:val="0"/>
                <w:i/>
                <w:sz w:val="18"/>
                <w:szCs w:val="18"/>
              </w:rPr>
              <w:t>combine like items of assets</w:t>
            </w:r>
            <w:r w:rsidR="00F15497">
              <w:rPr>
                <w:bCs w:val="0"/>
                <w:i/>
                <w:sz w:val="18"/>
                <w:szCs w:val="18"/>
              </w:rPr>
              <w:t>,</w:t>
            </w:r>
            <w:r w:rsidRPr="006D4529">
              <w:rPr>
                <w:bCs w:val="0"/>
                <w:i/>
                <w:sz w:val="18"/>
                <w:szCs w:val="18"/>
              </w:rPr>
              <w:t xml:space="preserve"> liabilities</w:t>
            </w:r>
            <w:r w:rsidR="00F15497">
              <w:rPr>
                <w:bCs w:val="0"/>
                <w:i/>
                <w:sz w:val="18"/>
                <w:szCs w:val="18"/>
              </w:rPr>
              <w:t>,</w:t>
            </w:r>
            <w:r w:rsidRPr="006D4529">
              <w:rPr>
                <w:bCs w:val="0"/>
                <w:i/>
                <w:sz w:val="18"/>
                <w:szCs w:val="18"/>
              </w:rPr>
              <w:t xml:space="preserve"> equity</w:t>
            </w:r>
            <w:r w:rsidR="00F15497">
              <w:rPr>
                <w:bCs w:val="0"/>
                <w:i/>
                <w:sz w:val="18"/>
                <w:szCs w:val="18"/>
              </w:rPr>
              <w:t>,</w:t>
            </w:r>
            <w:r w:rsidRPr="006D4529">
              <w:rPr>
                <w:bCs w:val="0"/>
                <w:i/>
                <w:sz w:val="18"/>
                <w:szCs w:val="18"/>
              </w:rPr>
              <w:t xml:space="preserve"> income</w:t>
            </w:r>
            <w:r w:rsidR="00F15497">
              <w:rPr>
                <w:bCs w:val="0"/>
                <w:i/>
                <w:sz w:val="18"/>
                <w:szCs w:val="18"/>
              </w:rPr>
              <w:t>,</w:t>
            </w:r>
            <w:r w:rsidRPr="006D4529">
              <w:rPr>
                <w:bCs w:val="0"/>
                <w:i/>
                <w:sz w:val="18"/>
                <w:szCs w:val="18"/>
              </w:rPr>
              <w:t xml:space="preserve"> expenses and cash flows of the parent with those of its subsidiaries;</w:t>
            </w:r>
          </w:p>
        </w:tc>
      </w:tr>
      <w:tr w:rsidR="00A93805" w:rsidRPr="006D4529" w14:paraId="06113FB2" w14:textId="77777777" w:rsidTr="007F7384">
        <w:tc>
          <w:tcPr>
            <w:tcW w:w="4598" w:type="dxa"/>
          </w:tcPr>
          <w:p w14:paraId="3C6E2472" w14:textId="77777777" w:rsidR="00A93805" w:rsidRPr="006D4529" w:rsidRDefault="00A93805" w:rsidP="005F361E">
            <w:pPr>
              <w:pStyle w:val="ListParagraph"/>
              <w:numPr>
                <w:ilvl w:val="0"/>
                <w:numId w:val="24"/>
              </w:numPr>
              <w:tabs>
                <w:tab w:val="left" w:pos="851"/>
                <w:tab w:val="left" w:pos="884"/>
              </w:tabs>
              <w:ind w:left="851" w:right="-57" w:hanging="284"/>
              <w:contextualSpacing/>
              <w:jc w:val="both"/>
              <w:rPr>
                <w:bCs w:val="0"/>
                <w:sz w:val="18"/>
                <w:szCs w:val="18"/>
              </w:rPr>
            </w:pPr>
            <w:r w:rsidRPr="006D4529">
              <w:rPr>
                <w:bCs w:val="0"/>
                <w:sz w:val="18"/>
                <w:szCs w:val="18"/>
              </w:rPr>
              <w:t>menghapus (mengeliminasi) jumlah tercatat dari investasi entitas induk di setiap entitas anak dan bagian entitas induk pada ekuitas setiap entitas anak;</w:t>
            </w:r>
          </w:p>
        </w:tc>
        <w:tc>
          <w:tcPr>
            <w:tcW w:w="4599" w:type="dxa"/>
          </w:tcPr>
          <w:p w14:paraId="68790713" w14:textId="3E0850E8" w:rsidR="00A93805" w:rsidRPr="006D4529" w:rsidRDefault="00A93805" w:rsidP="005F361E">
            <w:pPr>
              <w:pStyle w:val="ListParagraph"/>
              <w:numPr>
                <w:ilvl w:val="0"/>
                <w:numId w:val="24"/>
              </w:numPr>
              <w:tabs>
                <w:tab w:val="left" w:pos="856"/>
              </w:tabs>
              <w:ind w:left="851" w:right="-57" w:hanging="284"/>
              <w:contextualSpacing/>
              <w:jc w:val="both"/>
              <w:rPr>
                <w:bCs w:val="0"/>
                <w:i/>
                <w:sz w:val="18"/>
                <w:szCs w:val="18"/>
              </w:rPr>
            </w:pPr>
            <w:r w:rsidRPr="006D4529">
              <w:rPr>
                <w:bCs w:val="0"/>
                <w:i/>
                <w:sz w:val="18"/>
                <w:szCs w:val="18"/>
              </w:rPr>
              <w:t xml:space="preserve"> offset (eliminate) the carrying amount of the parent's investment in each subsidiar</w:t>
            </w:r>
            <w:r w:rsidR="006D4529">
              <w:rPr>
                <w:bCs w:val="0"/>
                <w:i/>
                <w:sz w:val="18"/>
                <w:szCs w:val="18"/>
              </w:rPr>
              <w:t>ies</w:t>
            </w:r>
            <w:r w:rsidRPr="006D4529">
              <w:rPr>
                <w:bCs w:val="0"/>
                <w:i/>
                <w:sz w:val="18"/>
                <w:szCs w:val="18"/>
              </w:rPr>
              <w:t xml:space="preserve"> and the parent's portion of equity of each subsidiar</w:t>
            </w:r>
            <w:r w:rsidR="006D4529">
              <w:rPr>
                <w:bCs w:val="0"/>
                <w:i/>
                <w:sz w:val="18"/>
                <w:szCs w:val="18"/>
              </w:rPr>
              <w:t>ies</w:t>
            </w:r>
            <w:r w:rsidRPr="006D4529">
              <w:rPr>
                <w:bCs w:val="0"/>
                <w:i/>
                <w:sz w:val="18"/>
                <w:szCs w:val="18"/>
              </w:rPr>
              <w:t>;</w:t>
            </w:r>
          </w:p>
        </w:tc>
      </w:tr>
      <w:tr w:rsidR="00A93805" w:rsidRPr="006D4529" w14:paraId="0E1A0596" w14:textId="77777777" w:rsidTr="007F7384">
        <w:tc>
          <w:tcPr>
            <w:tcW w:w="4598" w:type="dxa"/>
          </w:tcPr>
          <w:p w14:paraId="5EC53055" w14:textId="4721AED9" w:rsidR="00A93805" w:rsidRPr="006D4529" w:rsidRDefault="00A93805" w:rsidP="00F15497">
            <w:pPr>
              <w:pStyle w:val="ListParagraph"/>
              <w:numPr>
                <w:ilvl w:val="0"/>
                <w:numId w:val="24"/>
              </w:numPr>
              <w:tabs>
                <w:tab w:val="left" w:pos="851"/>
                <w:tab w:val="left" w:pos="884"/>
              </w:tabs>
              <w:ind w:left="851" w:right="-57" w:hanging="284"/>
              <w:contextualSpacing/>
              <w:jc w:val="both"/>
              <w:rPr>
                <w:bCs w:val="0"/>
                <w:sz w:val="18"/>
                <w:szCs w:val="18"/>
              </w:rPr>
            </w:pPr>
            <w:proofErr w:type="gramStart"/>
            <w:r w:rsidRPr="006D4529">
              <w:rPr>
                <w:bCs w:val="0"/>
                <w:sz w:val="18"/>
                <w:szCs w:val="18"/>
              </w:rPr>
              <w:t>mengeliminasi</w:t>
            </w:r>
            <w:proofErr w:type="gramEnd"/>
            <w:r w:rsidRPr="006D4529">
              <w:rPr>
                <w:bCs w:val="0"/>
                <w:sz w:val="18"/>
                <w:szCs w:val="18"/>
              </w:rPr>
              <w:t xml:space="preserve"> secara penuh aset dan liabilitas</w:t>
            </w:r>
            <w:r w:rsidR="00F15497">
              <w:rPr>
                <w:bCs w:val="0"/>
                <w:sz w:val="18"/>
                <w:szCs w:val="18"/>
              </w:rPr>
              <w:t>,</w:t>
            </w:r>
            <w:r w:rsidRPr="006D4529">
              <w:rPr>
                <w:bCs w:val="0"/>
                <w:sz w:val="18"/>
                <w:szCs w:val="18"/>
              </w:rPr>
              <w:t xml:space="preserve"> ekuitas</w:t>
            </w:r>
            <w:r w:rsidR="00F15497">
              <w:rPr>
                <w:bCs w:val="0"/>
                <w:sz w:val="18"/>
                <w:szCs w:val="18"/>
              </w:rPr>
              <w:t>,</w:t>
            </w:r>
            <w:r w:rsidRPr="006D4529">
              <w:rPr>
                <w:bCs w:val="0"/>
                <w:sz w:val="18"/>
                <w:szCs w:val="18"/>
              </w:rPr>
              <w:t xml:space="preserve"> penghasilan</w:t>
            </w:r>
            <w:r w:rsidR="00F15497">
              <w:rPr>
                <w:bCs w:val="0"/>
                <w:sz w:val="18"/>
                <w:szCs w:val="18"/>
              </w:rPr>
              <w:t>,</w:t>
            </w:r>
            <w:r w:rsidRPr="006D4529">
              <w:rPr>
                <w:bCs w:val="0"/>
                <w:sz w:val="18"/>
                <w:szCs w:val="18"/>
              </w:rPr>
              <w:t xml:space="preserve"> beban dan arus kas dalam intra kelompok usaha yang berkaitan dengan transaksi antara entitas-entitas dalam Kelompok Usaha.</w:t>
            </w:r>
          </w:p>
        </w:tc>
        <w:tc>
          <w:tcPr>
            <w:tcW w:w="4599" w:type="dxa"/>
          </w:tcPr>
          <w:p w14:paraId="4DDC0E36" w14:textId="3B9C6109" w:rsidR="00A93805" w:rsidRPr="006D4529" w:rsidRDefault="00A93805" w:rsidP="00F15497">
            <w:pPr>
              <w:pStyle w:val="ListParagraph"/>
              <w:numPr>
                <w:ilvl w:val="0"/>
                <w:numId w:val="24"/>
              </w:numPr>
              <w:tabs>
                <w:tab w:val="left" w:pos="856"/>
              </w:tabs>
              <w:ind w:left="851" w:right="-57" w:hanging="284"/>
              <w:contextualSpacing/>
              <w:jc w:val="both"/>
              <w:rPr>
                <w:bCs w:val="0"/>
                <w:i/>
                <w:sz w:val="18"/>
                <w:szCs w:val="18"/>
              </w:rPr>
            </w:pPr>
            <w:proofErr w:type="gramStart"/>
            <w:r w:rsidRPr="006D4529">
              <w:rPr>
                <w:bCs w:val="0"/>
                <w:i/>
                <w:sz w:val="18"/>
                <w:szCs w:val="18"/>
              </w:rPr>
              <w:t>eliminate</w:t>
            </w:r>
            <w:proofErr w:type="gramEnd"/>
            <w:r w:rsidRPr="006D4529">
              <w:rPr>
                <w:bCs w:val="0"/>
                <w:i/>
                <w:sz w:val="18"/>
                <w:szCs w:val="18"/>
              </w:rPr>
              <w:t xml:space="preserve"> in full intragroup assets and liabilities</w:t>
            </w:r>
            <w:r w:rsidR="00F15497">
              <w:rPr>
                <w:bCs w:val="0"/>
                <w:i/>
                <w:sz w:val="18"/>
                <w:szCs w:val="18"/>
              </w:rPr>
              <w:t>,</w:t>
            </w:r>
            <w:r w:rsidRPr="006D4529">
              <w:rPr>
                <w:bCs w:val="0"/>
                <w:i/>
                <w:sz w:val="18"/>
                <w:szCs w:val="18"/>
              </w:rPr>
              <w:t xml:space="preserve"> equity</w:t>
            </w:r>
            <w:r w:rsidR="00F15497">
              <w:rPr>
                <w:bCs w:val="0"/>
                <w:i/>
                <w:sz w:val="18"/>
                <w:szCs w:val="18"/>
              </w:rPr>
              <w:t>,</w:t>
            </w:r>
            <w:r w:rsidRPr="006D4529">
              <w:rPr>
                <w:bCs w:val="0"/>
                <w:i/>
                <w:sz w:val="18"/>
                <w:szCs w:val="18"/>
              </w:rPr>
              <w:t xml:space="preserve"> income</w:t>
            </w:r>
            <w:r w:rsidR="00F15497">
              <w:rPr>
                <w:bCs w:val="0"/>
                <w:i/>
                <w:sz w:val="18"/>
                <w:szCs w:val="18"/>
              </w:rPr>
              <w:t>,</w:t>
            </w:r>
            <w:r w:rsidRPr="006D4529">
              <w:rPr>
                <w:bCs w:val="0"/>
                <w:i/>
                <w:sz w:val="18"/>
                <w:szCs w:val="18"/>
              </w:rPr>
              <w:t xml:space="preserve"> expenses and cash flows relating to transactions between entities of the Group.</w:t>
            </w:r>
          </w:p>
        </w:tc>
      </w:tr>
    </w:tbl>
    <w:p w14:paraId="03D9A32D" w14:textId="77777777" w:rsidR="007F7384" w:rsidRPr="006D4529" w:rsidRDefault="007F7384">
      <w:pPr>
        <w:rPr>
          <w:sz w:val="2"/>
          <w:szCs w:val="2"/>
        </w:rPr>
      </w:pPr>
    </w:p>
    <w:tbl>
      <w:tblPr>
        <w:tblW w:w="9197" w:type="dxa"/>
        <w:tblInd w:w="392" w:type="dxa"/>
        <w:tblLayout w:type="fixed"/>
        <w:tblLook w:val="0000" w:firstRow="0" w:lastRow="0" w:firstColumn="0" w:lastColumn="0" w:noHBand="0" w:noVBand="0"/>
      </w:tblPr>
      <w:tblGrid>
        <w:gridCol w:w="4598"/>
        <w:gridCol w:w="4599"/>
      </w:tblGrid>
      <w:tr w:rsidR="00A93805" w:rsidRPr="0013526B" w14:paraId="492F0ECF" w14:textId="77777777" w:rsidTr="007F7384">
        <w:tc>
          <w:tcPr>
            <w:tcW w:w="4598" w:type="dxa"/>
          </w:tcPr>
          <w:p w14:paraId="17FF6FFF" w14:textId="77777777" w:rsidR="00A93805" w:rsidRPr="006D4529" w:rsidRDefault="00A93805" w:rsidP="00A928CB">
            <w:pPr>
              <w:ind w:left="567" w:right="-57"/>
              <w:jc w:val="both"/>
              <w:rPr>
                <w:bCs w:val="0"/>
                <w:sz w:val="18"/>
                <w:szCs w:val="18"/>
              </w:rPr>
            </w:pPr>
            <w:r w:rsidRPr="006D4529">
              <w:rPr>
                <w:bCs w:val="0"/>
                <w:sz w:val="18"/>
                <w:szCs w:val="18"/>
              </w:rPr>
              <w:t>Entitas memasukkan penghasilan dan beban entitas anak dalam laporan keuangan konsolidasian dari tanggal diperolehnya pengendalian sampai dengan tanggal ketika entitas kehilangan pengendalian atas entitas anak. Penghasilan dan beban entitas anak didasarkan pada jumlah aset dan liabilitas yang diakui dalam laporan keuangan konsolidasian pada tanggal akuisisi.</w:t>
            </w:r>
          </w:p>
        </w:tc>
        <w:tc>
          <w:tcPr>
            <w:tcW w:w="4599" w:type="dxa"/>
          </w:tcPr>
          <w:p w14:paraId="3D783FA9" w14:textId="77777777" w:rsidR="00A93805" w:rsidRPr="006D4529" w:rsidRDefault="00A93805" w:rsidP="00A928CB">
            <w:pPr>
              <w:ind w:left="567" w:right="-57"/>
              <w:jc w:val="both"/>
              <w:rPr>
                <w:bCs w:val="0"/>
                <w:i/>
                <w:sz w:val="18"/>
                <w:szCs w:val="18"/>
              </w:rPr>
            </w:pPr>
            <w:r w:rsidRPr="006D4529">
              <w:rPr>
                <w:bCs w:val="0"/>
                <w:i/>
                <w:sz w:val="18"/>
                <w:szCs w:val="18"/>
              </w:rPr>
              <w:t>A reporting entity includes the income and expenses of a subsidiary in the consolidated financial statements from the date it gains control until the date when the reporting entity ceases to control the subsidiary. Income and expenses of the subsidiary are based on the amounts of the assets and liabilities recognized in the consolidated financial statements at the acquisition date.</w:t>
            </w:r>
          </w:p>
        </w:tc>
      </w:tr>
    </w:tbl>
    <w:p w14:paraId="67749978" w14:textId="4F55A022" w:rsidR="007F7384" w:rsidRPr="007F7384" w:rsidRDefault="007F7384">
      <w:pPr>
        <w:rPr>
          <w:sz w:val="2"/>
          <w:szCs w:val="2"/>
        </w:rPr>
      </w:pPr>
    </w:p>
    <w:tbl>
      <w:tblPr>
        <w:tblW w:w="9197" w:type="dxa"/>
        <w:tblInd w:w="392" w:type="dxa"/>
        <w:tblLayout w:type="fixed"/>
        <w:tblLook w:val="0000" w:firstRow="0" w:lastRow="0" w:firstColumn="0" w:lastColumn="0" w:noHBand="0" w:noVBand="0"/>
      </w:tblPr>
      <w:tblGrid>
        <w:gridCol w:w="4598"/>
        <w:gridCol w:w="4599"/>
      </w:tblGrid>
      <w:tr w:rsidR="007F7384" w:rsidRPr="006D4529" w14:paraId="68D408A1" w14:textId="77777777" w:rsidTr="00146CD1">
        <w:tc>
          <w:tcPr>
            <w:tcW w:w="4598" w:type="dxa"/>
          </w:tcPr>
          <w:p w14:paraId="050C5D8B" w14:textId="77777777" w:rsidR="007F7384" w:rsidRPr="006D4529" w:rsidRDefault="007F7384" w:rsidP="005F361E">
            <w:pPr>
              <w:pStyle w:val="ListParagraph"/>
              <w:numPr>
                <w:ilvl w:val="0"/>
                <w:numId w:val="42"/>
              </w:numPr>
              <w:ind w:left="284" w:right="-57" w:hanging="284"/>
              <w:contextualSpacing/>
              <w:jc w:val="both"/>
              <w:rPr>
                <w:rStyle w:val="hps"/>
                <w:b/>
                <w:sz w:val="18"/>
                <w:szCs w:val="18"/>
              </w:rPr>
            </w:pPr>
            <w:r w:rsidRPr="0013526B">
              <w:lastRenderedPageBreak/>
              <w:br w:type="page"/>
            </w:r>
            <w:r w:rsidRPr="0013526B">
              <w:rPr>
                <w:sz w:val="18"/>
                <w:szCs w:val="18"/>
              </w:rPr>
              <w:br w:type="page"/>
            </w:r>
            <w:r w:rsidRPr="006D4529">
              <w:rPr>
                <w:rStyle w:val="hps"/>
                <w:b/>
                <w:sz w:val="18"/>
                <w:szCs w:val="18"/>
              </w:rPr>
              <w:t xml:space="preserve">IKHTISAR KEBIJAKAN AKUNTANSI </w:t>
            </w:r>
            <w:r w:rsidRPr="006D4529">
              <w:rPr>
                <w:rStyle w:val="hps"/>
                <w:b/>
                <w:sz w:val="18"/>
                <w:szCs w:val="18"/>
                <w:lang w:val="id-ID"/>
              </w:rPr>
              <w:t xml:space="preserve">YANG </w:t>
            </w:r>
            <w:r w:rsidRPr="006D4529">
              <w:rPr>
                <w:rStyle w:val="hps"/>
                <w:b/>
                <w:sz w:val="18"/>
                <w:szCs w:val="18"/>
              </w:rPr>
              <w:t xml:space="preserve">PENTING </w:t>
            </w:r>
            <w:r w:rsidRPr="006D4529">
              <w:rPr>
                <w:rStyle w:val="hps"/>
                <w:b/>
                <w:sz w:val="18"/>
                <w:szCs w:val="18"/>
                <w:lang w:val="id-ID"/>
              </w:rPr>
              <w:t>-</w:t>
            </w:r>
            <w:r w:rsidRPr="006D4529">
              <w:rPr>
                <w:rStyle w:val="hps"/>
                <w:b/>
                <w:sz w:val="18"/>
                <w:szCs w:val="18"/>
              </w:rPr>
              <w:t xml:space="preserve"> Lanjutan</w:t>
            </w:r>
          </w:p>
        </w:tc>
        <w:tc>
          <w:tcPr>
            <w:tcW w:w="4599" w:type="dxa"/>
          </w:tcPr>
          <w:p w14:paraId="466D43EF" w14:textId="77777777" w:rsidR="007F7384" w:rsidRPr="006D4529" w:rsidRDefault="007F7384" w:rsidP="005F361E">
            <w:pPr>
              <w:pStyle w:val="ListParagraph"/>
              <w:numPr>
                <w:ilvl w:val="0"/>
                <w:numId w:val="43"/>
              </w:numPr>
              <w:ind w:left="284" w:right="-57" w:hanging="284"/>
              <w:contextualSpacing/>
              <w:jc w:val="both"/>
              <w:rPr>
                <w:b/>
                <w:bCs w:val="0"/>
                <w:i/>
                <w:sz w:val="18"/>
                <w:szCs w:val="18"/>
              </w:rPr>
            </w:pPr>
            <w:r w:rsidRPr="006D4529">
              <w:rPr>
                <w:b/>
                <w:i/>
                <w:sz w:val="18"/>
                <w:szCs w:val="18"/>
              </w:rPr>
              <w:t>SUMMARY OF SIGNIFICANT ACCOUNTING POLICIES - Continued</w:t>
            </w:r>
          </w:p>
        </w:tc>
      </w:tr>
      <w:tr w:rsidR="007F7384" w:rsidRPr="006D4529" w14:paraId="0D7536C8" w14:textId="77777777" w:rsidTr="00146CD1">
        <w:tc>
          <w:tcPr>
            <w:tcW w:w="4598" w:type="dxa"/>
          </w:tcPr>
          <w:p w14:paraId="295BFC67" w14:textId="77777777" w:rsidR="007F7384" w:rsidRPr="006D4529" w:rsidRDefault="007F7384" w:rsidP="00146CD1">
            <w:pPr>
              <w:ind w:left="567" w:right="-57"/>
              <w:jc w:val="both"/>
              <w:rPr>
                <w:bCs w:val="0"/>
                <w:sz w:val="18"/>
                <w:szCs w:val="18"/>
              </w:rPr>
            </w:pPr>
          </w:p>
        </w:tc>
        <w:tc>
          <w:tcPr>
            <w:tcW w:w="4599" w:type="dxa"/>
          </w:tcPr>
          <w:p w14:paraId="48EED52F" w14:textId="77777777" w:rsidR="007F7384" w:rsidRPr="006D4529" w:rsidRDefault="007F7384" w:rsidP="00146CD1">
            <w:pPr>
              <w:ind w:left="567" w:right="-57"/>
              <w:jc w:val="both"/>
              <w:rPr>
                <w:bCs w:val="0"/>
                <w:i/>
                <w:sz w:val="18"/>
                <w:szCs w:val="18"/>
              </w:rPr>
            </w:pPr>
          </w:p>
        </w:tc>
      </w:tr>
    </w:tbl>
    <w:p w14:paraId="5A130833" w14:textId="77777777" w:rsidR="007F7384" w:rsidRPr="006D4529" w:rsidRDefault="007F7384">
      <w:pPr>
        <w:rPr>
          <w:sz w:val="2"/>
          <w:szCs w:val="2"/>
        </w:rPr>
      </w:pPr>
    </w:p>
    <w:tbl>
      <w:tblPr>
        <w:tblW w:w="9197" w:type="dxa"/>
        <w:tblInd w:w="392" w:type="dxa"/>
        <w:tblLayout w:type="fixed"/>
        <w:tblLook w:val="0000" w:firstRow="0" w:lastRow="0" w:firstColumn="0" w:lastColumn="0" w:noHBand="0" w:noVBand="0"/>
      </w:tblPr>
      <w:tblGrid>
        <w:gridCol w:w="4598"/>
        <w:gridCol w:w="4599"/>
      </w:tblGrid>
      <w:tr w:rsidR="00F93550" w:rsidRPr="006D4529" w14:paraId="2464575C" w14:textId="77777777" w:rsidTr="007F7384">
        <w:tc>
          <w:tcPr>
            <w:tcW w:w="4598" w:type="dxa"/>
          </w:tcPr>
          <w:p w14:paraId="478F305D" w14:textId="77777777" w:rsidR="00F93550" w:rsidRPr="006D4529" w:rsidRDefault="00F93550" w:rsidP="005F361E">
            <w:pPr>
              <w:pStyle w:val="ListParagraph"/>
              <w:numPr>
                <w:ilvl w:val="0"/>
                <w:numId w:val="15"/>
              </w:numPr>
              <w:ind w:left="568" w:hanging="284"/>
              <w:contextualSpacing/>
              <w:jc w:val="both"/>
              <w:rPr>
                <w:rStyle w:val="hps"/>
                <w:b/>
                <w:sz w:val="18"/>
                <w:szCs w:val="18"/>
              </w:rPr>
            </w:pPr>
            <w:r w:rsidRPr="006D4529">
              <w:rPr>
                <w:rStyle w:val="hps"/>
                <w:b/>
                <w:sz w:val="18"/>
                <w:szCs w:val="18"/>
              </w:rPr>
              <w:t xml:space="preserve">Prinsip-prinsip Konsolidasi - Lanjutan </w:t>
            </w:r>
          </w:p>
        </w:tc>
        <w:tc>
          <w:tcPr>
            <w:tcW w:w="4599" w:type="dxa"/>
          </w:tcPr>
          <w:p w14:paraId="5B3F3F18" w14:textId="77777777" w:rsidR="00F93550" w:rsidRPr="006D4529" w:rsidRDefault="00F93550" w:rsidP="005F361E">
            <w:pPr>
              <w:pStyle w:val="ListParagraph"/>
              <w:numPr>
                <w:ilvl w:val="0"/>
                <w:numId w:val="16"/>
              </w:numPr>
              <w:ind w:left="568" w:hanging="284"/>
              <w:contextualSpacing/>
              <w:jc w:val="both"/>
              <w:rPr>
                <w:b/>
                <w:bCs w:val="0"/>
                <w:i/>
                <w:sz w:val="18"/>
                <w:szCs w:val="18"/>
              </w:rPr>
            </w:pPr>
            <w:r w:rsidRPr="006D4529">
              <w:rPr>
                <w:b/>
                <w:bCs w:val="0"/>
                <w:i/>
                <w:iCs/>
                <w:sz w:val="18"/>
                <w:szCs w:val="18"/>
              </w:rPr>
              <w:t>Principle of Consolidation - Continued</w:t>
            </w:r>
          </w:p>
        </w:tc>
      </w:tr>
      <w:tr w:rsidR="00F93550" w:rsidRPr="006D4529" w14:paraId="76FF2442" w14:textId="77777777" w:rsidTr="007F7384">
        <w:tc>
          <w:tcPr>
            <w:tcW w:w="4598" w:type="dxa"/>
          </w:tcPr>
          <w:p w14:paraId="38781D85" w14:textId="77777777" w:rsidR="00F93550" w:rsidRPr="006D4529" w:rsidRDefault="00F93550" w:rsidP="0013526B">
            <w:pPr>
              <w:ind w:left="601" w:right="-57"/>
              <w:jc w:val="both"/>
              <w:rPr>
                <w:bCs w:val="0"/>
                <w:sz w:val="12"/>
                <w:szCs w:val="18"/>
              </w:rPr>
            </w:pPr>
          </w:p>
        </w:tc>
        <w:tc>
          <w:tcPr>
            <w:tcW w:w="4599" w:type="dxa"/>
          </w:tcPr>
          <w:p w14:paraId="73113A86" w14:textId="77777777" w:rsidR="00F93550" w:rsidRPr="006D4529" w:rsidRDefault="00F93550" w:rsidP="0013526B">
            <w:pPr>
              <w:tabs>
                <w:tab w:val="left" w:pos="5590"/>
                <w:tab w:val="right" w:pos="7620"/>
                <w:tab w:val="right" w:pos="9460"/>
                <w:tab w:val="right" w:pos="10080"/>
              </w:tabs>
              <w:ind w:left="651" w:right="-57"/>
              <w:jc w:val="both"/>
              <w:rPr>
                <w:bCs w:val="0"/>
                <w:i/>
                <w:sz w:val="12"/>
                <w:szCs w:val="18"/>
              </w:rPr>
            </w:pPr>
          </w:p>
        </w:tc>
      </w:tr>
      <w:tr w:rsidR="00F93550" w:rsidRPr="006D4529" w14:paraId="306376CA" w14:textId="77777777" w:rsidTr="007F7384">
        <w:tc>
          <w:tcPr>
            <w:tcW w:w="4598" w:type="dxa"/>
          </w:tcPr>
          <w:p w14:paraId="351EE24D" w14:textId="1AD670E7" w:rsidR="00F93550" w:rsidRPr="006D4529" w:rsidRDefault="00F93550" w:rsidP="0013526B">
            <w:pPr>
              <w:ind w:left="567" w:right="-57"/>
              <w:jc w:val="both"/>
              <w:rPr>
                <w:bCs w:val="0"/>
                <w:sz w:val="18"/>
                <w:szCs w:val="18"/>
              </w:rPr>
            </w:pPr>
            <w:r w:rsidRPr="006D4529">
              <w:rPr>
                <w:bCs w:val="0"/>
                <w:sz w:val="18"/>
                <w:szCs w:val="18"/>
              </w:rPr>
              <w:t>Kelompok Usaha disyaratkan untuk mempunyai kebijakan akuntansi dan tanggal pelaporan yang sama</w:t>
            </w:r>
            <w:r w:rsidR="00870FD0">
              <w:rPr>
                <w:bCs w:val="0"/>
                <w:sz w:val="18"/>
                <w:szCs w:val="18"/>
              </w:rPr>
              <w:t>.</w:t>
            </w:r>
            <w:r w:rsidRPr="006D4529">
              <w:rPr>
                <w:bCs w:val="0"/>
                <w:sz w:val="18"/>
                <w:szCs w:val="18"/>
              </w:rPr>
              <w:t xml:space="preserve"> </w:t>
            </w:r>
            <w:proofErr w:type="gramStart"/>
            <w:r w:rsidRPr="006D4529">
              <w:rPr>
                <w:bCs w:val="0"/>
                <w:sz w:val="18"/>
                <w:szCs w:val="18"/>
              </w:rPr>
              <w:t>atau</w:t>
            </w:r>
            <w:proofErr w:type="gramEnd"/>
            <w:r w:rsidRPr="006D4529">
              <w:rPr>
                <w:bCs w:val="0"/>
                <w:sz w:val="18"/>
                <w:szCs w:val="18"/>
              </w:rPr>
              <w:t xml:space="preserve"> konsolidasian berdasarkan informasi keuangan tambahan yang dibuat entitas anak.</w:t>
            </w:r>
          </w:p>
        </w:tc>
        <w:tc>
          <w:tcPr>
            <w:tcW w:w="4599" w:type="dxa"/>
          </w:tcPr>
          <w:p w14:paraId="7CDC7438" w14:textId="74912F29" w:rsidR="00F93550" w:rsidRPr="006D4529" w:rsidRDefault="00F93550" w:rsidP="0013526B">
            <w:pPr>
              <w:ind w:left="567" w:right="-57"/>
              <w:jc w:val="both"/>
              <w:rPr>
                <w:bCs w:val="0"/>
                <w:i/>
                <w:sz w:val="18"/>
                <w:szCs w:val="18"/>
              </w:rPr>
            </w:pPr>
            <w:r w:rsidRPr="006D4529">
              <w:rPr>
                <w:bCs w:val="0"/>
                <w:i/>
                <w:sz w:val="18"/>
                <w:szCs w:val="18"/>
              </w:rPr>
              <w:t>The Group are required to have the same accounting policies and reporting dates</w:t>
            </w:r>
            <w:r w:rsidR="00870FD0">
              <w:rPr>
                <w:bCs w:val="0"/>
                <w:i/>
                <w:sz w:val="18"/>
                <w:szCs w:val="18"/>
              </w:rPr>
              <w:t>.</w:t>
            </w:r>
            <w:r w:rsidRPr="006D4529">
              <w:rPr>
                <w:bCs w:val="0"/>
                <w:i/>
                <w:sz w:val="18"/>
                <w:szCs w:val="18"/>
              </w:rPr>
              <w:t xml:space="preserve"> </w:t>
            </w:r>
            <w:proofErr w:type="gramStart"/>
            <w:r w:rsidRPr="006D4529">
              <w:rPr>
                <w:bCs w:val="0"/>
                <w:i/>
                <w:sz w:val="18"/>
                <w:szCs w:val="18"/>
              </w:rPr>
              <w:t>or</w:t>
            </w:r>
            <w:proofErr w:type="gramEnd"/>
            <w:r w:rsidRPr="006D4529">
              <w:rPr>
                <w:bCs w:val="0"/>
                <w:i/>
                <w:sz w:val="18"/>
                <w:szCs w:val="18"/>
              </w:rPr>
              <w:t xml:space="preserve"> consolidation based on additional financial information prepared by subsidiary.</w:t>
            </w:r>
          </w:p>
        </w:tc>
      </w:tr>
      <w:tr w:rsidR="00F93550" w:rsidRPr="006D4529" w14:paraId="7516DA35" w14:textId="77777777" w:rsidTr="007F7384">
        <w:tc>
          <w:tcPr>
            <w:tcW w:w="4598" w:type="dxa"/>
          </w:tcPr>
          <w:p w14:paraId="72D0F354" w14:textId="77777777" w:rsidR="00F93550" w:rsidRPr="006D4529" w:rsidRDefault="00F93550" w:rsidP="0013526B">
            <w:pPr>
              <w:ind w:left="567"/>
              <w:jc w:val="both"/>
              <w:rPr>
                <w:bCs w:val="0"/>
                <w:sz w:val="12"/>
                <w:szCs w:val="18"/>
              </w:rPr>
            </w:pPr>
          </w:p>
        </w:tc>
        <w:tc>
          <w:tcPr>
            <w:tcW w:w="4599" w:type="dxa"/>
          </w:tcPr>
          <w:p w14:paraId="5513D673" w14:textId="77777777" w:rsidR="00F93550" w:rsidRPr="006D4529" w:rsidRDefault="00F93550" w:rsidP="0013526B">
            <w:pPr>
              <w:ind w:left="567"/>
              <w:jc w:val="both"/>
              <w:rPr>
                <w:bCs w:val="0"/>
                <w:i/>
                <w:sz w:val="12"/>
                <w:szCs w:val="18"/>
              </w:rPr>
            </w:pPr>
          </w:p>
        </w:tc>
      </w:tr>
      <w:tr w:rsidR="00F93550" w:rsidRPr="006D4529" w14:paraId="6A6E1F45" w14:textId="77777777" w:rsidTr="007F7384">
        <w:tc>
          <w:tcPr>
            <w:tcW w:w="4598" w:type="dxa"/>
          </w:tcPr>
          <w:p w14:paraId="08BE1AB1" w14:textId="7ACF7516" w:rsidR="00F93550" w:rsidRPr="006D4529" w:rsidRDefault="002F3E4C" w:rsidP="0013526B">
            <w:pPr>
              <w:ind w:left="567"/>
              <w:jc w:val="both"/>
              <w:rPr>
                <w:bCs w:val="0"/>
                <w:sz w:val="18"/>
                <w:szCs w:val="18"/>
              </w:rPr>
            </w:pPr>
            <w:r w:rsidRPr="006D4529">
              <w:rPr>
                <w:b/>
                <w:bCs w:val="0"/>
                <w:sz w:val="18"/>
                <w:szCs w:val="18"/>
              </w:rPr>
              <w:t>Kepentingan Non-Pengendali (KNP</w:t>
            </w:r>
            <w:r w:rsidR="00F93550" w:rsidRPr="006D4529">
              <w:rPr>
                <w:b/>
                <w:bCs w:val="0"/>
                <w:sz w:val="18"/>
                <w:szCs w:val="18"/>
              </w:rPr>
              <w:t>)</w:t>
            </w:r>
          </w:p>
        </w:tc>
        <w:tc>
          <w:tcPr>
            <w:tcW w:w="4599" w:type="dxa"/>
          </w:tcPr>
          <w:p w14:paraId="0012C076" w14:textId="39A34A55" w:rsidR="00F93550" w:rsidRPr="006D4529" w:rsidRDefault="002F3E4C" w:rsidP="0013526B">
            <w:pPr>
              <w:tabs>
                <w:tab w:val="left" w:pos="5590"/>
                <w:tab w:val="right" w:pos="7620"/>
                <w:tab w:val="right" w:pos="9460"/>
                <w:tab w:val="right" w:pos="10080"/>
              </w:tabs>
              <w:ind w:left="567"/>
              <w:jc w:val="both"/>
              <w:rPr>
                <w:bCs w:val="0"/>
                <w:i/>
                <w:sz w:val="18"/>
                <w:szCs w:val="18"/>
              </w:rPr>
            </w:pPr>
            <w:r w:rsidRPr="006D4529">
              <w:rPr>
                <w:b/>
                <w:bCs w:val="0"/>
                <w:i/>
                <w:sz w:val="18"/>
                <w:szCs w:val="18"/>
              </w:rPr>
              <w:t>Non-C</w:t>
            </w:r>
            <w:r w:rsidR="00F93550" w:rsidRPr="006D4529">
              <w:rPr>
                <w:b/>
                <w:bCs w:val="0"/>
                <w:i/>
                <w:sz w:val="18"/>
                <w:szCs w:val="18"/>
              </w:rPr>
              <w:t>ontrolling Interest (NCI)</w:t>
            </w:r>
          </w:p>
        </w:tc>
      </w:tr>
      <w:tr w:rsidR="00F93550" w:rsidRPr="006D4529" w14:paraId="5E82F777" w14:textId="77777777" w:rsidTr="007F7384">
        <w:tc>
          <w:tcPr>
            <w:tcW w:w="4598" w:type="dxa"/>
          </w:tcPr>
          <w:p w14:paraId="1DB280F2" w14:textId="77777777" w:rsidR="00F93550" w:rsidRPr="006D4529" w:rsidRDefault="00F93550" w:rsidP="0013526B">
            <w:pPr>
              <w:ind w:left="567"/>
              <w:jc w:val="both"/>
              <w:rPr>
                <w:bCs w:val="0"/>
                <w:sz w:val="12"/>
                <w:szCs w:val="18"/>
              </w:rPr>
            </w:pPr>
          </w:p>
        </w:tc>
        <w:tc>
          <w:tcPr>
            <w:tcW w:w="4599" w:type="dxa"/>
          </w:tcPr>
          <w:p w14:paraId="64099416" w14:textId="77777777" w:rsidR="00F93550" w:rsidRPr="006D4529" w:rsidRDefault="00F93550" w:rsidP="0013526B">
            <w:pPr>
              <w:ind w:left="567"/>
              <w:jc w:val="both"/>
              <w:rPr>
                <w:bCs w:val="0"/>
                <w:i/>
                <w:sz w:val="12"/>
                <w:szCs w:val="18"/>
              </w:rPr>
            </w:pPr>
          </w:p>
        </w:tc>
      </w:tr>
      <w:tr w:rsidR="00F93550" w:rsidRPr="006D4529" w14:paraId="043A39AB" w14:textId="77777777" w:rsidTr="007F7384">
        <w:tc>
          <w:tcPr>
            <w:tcW w:w="4598" w:type="dxa"/>
          </w:tcPr>
          <w:p w14:paraId="615C8A83" w14:textId="70349EBB" w:rsidR="00F93550" w:rsidRPr="006D4529" w:rsidRDefault="002F3E4C" w:rsidP="005A27CF">
            <w:pPr>
              <w:ind w:left="567" w:right="-57"/>
              <w:jc w:val="both"/>
              <w:rPr>
                <w:bCs w:val="0"/>
                <w:sz w:val="18"/>
                <w:szCs w:val="18"/>
              </w:rPr>
            </w:pPr>
            <w:r w:rsidRPr="006D4529">
              <w:rPr>
                <w:bCs w:val="0"/>
                <w:sz w:val="18"/>
                <w:szCs w:val="18"/>
              </w:rPr>
              <w:t>Entitas induk menyajikan KNP</w:t>
            </w:r>
            <w:r w:rsidR="00F93550" w:rsidRPr="006D4529">
              <w:rPr>
                <w:bCs w:val="0"/>
                <w:sz w:val="18"/>
                <w:szCs w:val="18"/>
              </w:rPr>
              <w:t xml:space="preserve"> di laporan posisi keuangan konsolidasiannya dalam ekuitas</w:t>
            </w:r>
            <w:r w:rsidR="005A27CF">
              <w:rPr>
                <w:bCs w:val="0"/>
                <w:sz w:val="18"/>
                <w:szCs w:val="18"/>
              </w:rPr>
              <w:t>,</w:t>
            </w:r>
            <w:r w:rsidR="00F93550" w:rsidRPr="006D4529">
              <w:rPr>
                <w:bCs w:val="0"/>
                <w:sz w:val="18"/>
                <w:szCs w:val="18"/>
              </w:rPr>
              <w:t xml:space="preserve"> terpisah dari ekuitas pemilik entitas.</w:t>
            </w:r>
          </w:p>
        </w:tc>
        <w:tc>
          <w:tcPr>
            <w:tcW w:w="4599" w:type="dxa"/>
          </w:tcPr>
          <w:p w14:paraId="363AAE37" w14:textId="1A1E6123" w:rsidR="00F93550" w:rsidRPr="006D4529" w:rsidRDefault="00F93550" w:rsidP="005A27CF">
            <w:pPr>
              <w:ind w:left="567" w:right="-57"/>
              <w:jc w:val="both"/>
              <w:rPr>
                <w:bCs w:val="0"/>
                <w:i/>
                <w:sz w:val="18"/>
                <w:szCs w:val="18"/>
              </w:rPr>
            </w:pPr>
            <w:r w:rsidRPr="006D4529">
              <w:rPr>
                <w:bCs w:val="0"/>
                <w:i/>
                <w:sz w:val="18"/>
                <w:szCs w:val="18"/>
              </w:rPr>
              <w:t>A parent presents NCIs in its consolidated statement of financial position within equity</w:t>
            </w:r>
            <w:r w:rsidR="005A27CF">
              <w:rPr>
                <w:bCs w:val="0"/>
                <w:i/>
                <w:sz w:val="18"/>
                <w:szCs w:val="18"/>
              </w:rPr>
              <w:t>,</w:t>
            </w:r>
            <w:r w:rsidRPr="006D4529">
              <w:rPr>
                <w:bCs w:val="0"/>
                <w:i/>
                <w:sz w:val="18"/>
                <w:szCs w:val="18"/>
              </w:rPr>
              <w:t xml:space="preserve"> separately from the equity of the owners of the parent.</w:t>
            </w:r>
          </w:p>
        </w:tc>
      </w:tr>
      <w:tr w:rsidR="00F93550" w:rsidRPr="006D4529" w14:paraId="7D028A27" w14:textId="77777777" w:rsidTr="007F7384">
        <w:tc>
          <w:tcPr>
            <w:tcW w:w="4598" w:type="dxa"/>
          </w:tcPr>
          <w:p w14:paraId="48C305C0" w14:textId="77777777" w:rsidR="00F93550" w:rsidRPr="006D4529" w:rsidRDefault="00F93550" w:rsidP="0013526B">
            <w:pPr>
              <w:ind w:left="567"/>
              <w:jc w:val="both"/>
              <w:rPr>
                <w:bCs w:val="0"/>
                <w:sz w:val="12"/>
                <w:szCs w:val="18"/>
              </w:rPr>
            </w:pPr>
          </w:p>
        </w:tc>
        <w:tc>
          <w:tcPr>
            <w:tcW w:w="4599" w:type="dxa"/>
          </w:tcPr>
          <w:p w14:paraId="7CC06C2A" w14:textId="77777777" w:rsidR="00F93550" w:rsidRPr="006D4529" w:rsidRDefault="00F93550" w:rsidP="0013526B">
            <w:pPr>
              <w:ind w:left="567"/>
              <w:jc w:val="both"/>
              <w:rPr>
                <w:bCs w:val="0"/>
                <w:i/>
                <w:sz w:val="12"/>
                <w:szCs w:val="18"/>
              </w:rPr>
            </w:pPr>
          </w:p>
        </w:tc>
      </w:tr>
      <w:tr w:rsidR="00F93550" w:rsidRPr="006D4529" w14:paraId="5454A1F7" w14:textId="77777777" w:rsidTr="007F7384">
        <w:tc>
          <w:tcPr>
            <w:tcW w:w="4598" w:type="dxa"/>
          </w:tcPr>
          <w:p w14:paraId="657B06F5" w14:textId="02FEF9D1" w:rsidR="00F93550" w:rsidRPr="006D4529" w:rsidRDefault="00F93550" w:rsidP="005A27CF">
            <w:pPr>
              <w:ind w:left="567" w:right="-57"/>
              <w:jc w:val="both"/>
              <w:rPr>
                <w:bCs w:val="0"/>
                <w:sz w:val="18"/>
                <w:szCs w:val="18"/>
              </w:rPr>
            </w:pPr>
            <w:r w:rsidRPr="006D4529">
              <w:rPr>
                <w:bCs w:val="0"/>
                <w:sz w:val="18"/>
                <w:szCs w:val="18"/>
              </w:rPr>
              <w:t>Entitas mengatribusikan laba rugi dan setiap komponen dari penghasilan komprehensif lain kepada pemilik entitas i</w:t>
            </w:r>
            <w:r w:rsidR="002F3E4C" w:rsidRPr="006D4529">
              <w:rPr>
                <w:bCs w:val="0"/>
                <w:sz w:val="18"/>
                <w:szCs w:val="18"/>
              </w:rPr>
              <w:t>nduk dari kelompok usaha dan KNP</w:t>
            </w:r>
            <w:r w:rsidR="005A27CF">
              <w:rPr>
                <w:bCs w:val="0"/>
                <w:sz w:val="18"/>
                <w:szCs w:val="18"/>
              </w:rPr>
              <w:t>,</w:t>
            </w:r>
            <w:r w:rsidRPr="006D4529">
              <w:rPr>
                <w:bCs w:val="0"/>
                <w:sz w:val="18"/>
                <w:szCs w:val="18"/>
              </w:rPr>
              <w:t xml:space="preserve"> meskipu</w:t>
            </w:r>
            <w:r w:rsidR="002F3E4C" w:rsidRPr="006D4529">
              <w:rPr>
                <w:bCs w:val="0"/>
                <w:sz w:val="18"/>
                <w:szCs w:val="18"/>
              </w:rPr>
              <w:t>n hal tersebut mengakibatkan KNP</w:t>
            </w:r>
            <w:r w:rsidRPr="006D4529">
              <w:rPr>
                <w:bCs w:val="0"/>
                <w:sz w:val="18"/>
                <w:szCs w:val="18"/>
              </w:rPr>
              <w:t xml:space="preserve"> memiliki saldo defisit atas dasar kepentingan kepemilikan sekarang.</w:t>
            </w:r>
          </w:p>
        </w:tc>
        <w:tc>
          <w:tcPr>
            <w:tcW w:w="4599" w:type="dxa"/>
          </w:tcPr>
          <w:p w14:paraId="3BC6CA88" w14:textId="32EA565E" w:rsidR="00F93550" w:rsidRPr="006D4529" w:rsidRDefault="00F93550" w:rsidP="005A27CF">
            <w:pPr>
              <w:ind w:left="567" w:right="-57"/>
              <w:jc w:val="both"/>
              <w:rPr>
                <w:bCs w:val="0"/>
                <w:i/>
                <w:sz w:val="18"/>
                <w:szCs w:val="18"/>
              </w:rPr>
            </w:pPr>
            <w:r w:rsidRPr="006D4529">
              <w:rPr>
                <w:bCs w:val="0"/>
                <w:i/>
                <w:sz w:val="18"/>
                <w:szCs w:val="18"/>
              </w:rPr>
              <w:t>Profit or loss and each component of OCI are attributed to the equity holders of the parent of the group and to the NCI</w:t>
            </w:r>
            <w:r w:rsidR="005A27CF">
              <w:rPr>
                <w:bCs w:val="0"/>
                <w:i/>
                <w:sz w:val="18"/>
                <w:szCs w:val="18"/>
              </w:rPr>
              <w:t>,</w:t>
            </w:r>
            <w:r w:rsidRPr="006D4529">
              <w:rPr>
                <w:bCs w:val="0"/>
                <w:i/>
                <w:sz w:val="18"/>
                <w:szCs w:val="18"/>
              </w:rPr>
              <w:t xml:space="preserve"> even if this results in the NCI having a deficit balance on the basis of present ownership interests.</w:t>
            </w:r>
          </w:p>
        </w:tc>
      </w:tr>
      <w:tr w:rsidR="00F93550" w:rsidRPr="006D4529" w14:paraId="7562429A" w14:textId="77777777" w:rsidTr="007F7384">
        <w:tc>
          <w:tcPr>
            <w:tcW w:w="4598" w:type="dxa"/>
          </w:tcPr>
          <w:p w14:paraId="4DD66369" w14:textId="77777777" w:rsidR="00F93550" w:rsidRPr="006D4529" w:rsidRDefault="00F93550" w:rsidP="0013526B">
            <w:pPr>
              <w:ind w:left="567"/>
              <w:jc w:val="both"/>
              <w:rPr>
                <w:bCs w:val="0"/>
                <w:sz w:val="12"/>
                <w:szCs w:val="18"/>
              </w:rPr>
            </w:pPr>
          </w:p>
        </w:tc>
        <w:tc>
          <w:tcPr>
            <w:tcW w:w="4599" w:type="dxa"/>
          </w:tcPr>
          <w:p w14:paraId="34B09574" w14:textId="77777777" w:rsidR="00F93550" w:rsidRPr="006D4529" w:rsidRDefault="00F93550" w:rsidP="0013526B">
            <w:pPr>
              <w:ind w:left="567"/>
              <w:jc w:val="both"/>
              <w:rPr>
                <w:bCs w:val="0"/>
                <w:i/>
                <w:sz w:val="12"/>
                <w:szCs w:val="18"/>
              </w:rPr>
            </w:pPr>
          </w:p>
        </w:tc>
      </w:tr>
      <w:tr w:rsidR="00F93550" w:rsidRPr="006D4529" w14:paraId="57B59CDE" w14:textId="77777777" w:rsidTr="007F7384">
        <w:tc>
          <w:tcPr>
            <w:tcW w:w="4598" w:type="dxa"/>
          </w:tcPr>
          <w:p w14:paraId="55A20861" w14:textId="77777777" w:rsidR="00F93550" w:rsidRPr="006D4529" w:rsidRDefault="00F93550" w:rsidP="0013526B">
            <w:pPr>
              <w:ind w:left="567"/>
              <w:jc w:val="both"/>
              <w:rPr>
                <w:bCs w:val="0"/>
                <w:sz w:val="18"/>
                <w:szCs w:val="18"/>
              </w:rPr>
            </w:pPr>
            <w:r w:rsidRPr="006D4529">
              <w:rPr>
                <w:b/>
                <w:bCs w:val="0"/>
                <w:sz w:val="18"/>
                <w:szCs w:val="18"/>
              </w:rPr>
              <w:t>Perubahan Proporsi Kepemilikan</w:t>
            </w:r>
          </w:p>
        </w:tc>
        <w:tc>
          <w:tcPr>
            <w:tcW w:w="4599" w:type="dxa"/>
          </w:tcPr>
          <w:p w14:paraId="44284396" w14:textId="77777777" w:rsidR="00F93550" w:rsidRPr="006D4529" w:rsidRDefault="00F93550" w:rsidP="0013526B">
            <w:pPr>
              <w:tabs>
                <w:tab w:val="left" w:pos="5590"/>
                <w:tab w:val="right" w:pos="7620"/>
                <w:tab w:val="right" w:pos="9460"/>
                <w:tab w:val="right" w:pos="10080"/>
              </w:tabs>
              <w:ind w:left="567"/>
              <w:jc w:val="both"/>
              <w:rPr>
                <w:bCs w:val="0"/>
                <w:i/>
                <w:sz w:val="18"/>
                <w:szCs w:val="18"/>
              </w:rPr>
            </w:pPr>
            <w:r w:rsidRPr="006D4529">
              <w:rPr>
                <w:b/>
                <w:bCs w:val="0"/>
                <w:i/>
                <w:sz w:val="18"/>
                <w:szCs w:val="18"/>
              </w:rPr>
              <w:t>Changes in Ownership Interests</w:t>
            </w:r>
          </w:p>
        </w:tc>
      </w:tr>
      <w:tr w:rsidR="00F93550" w:rsidRPr="006D4529" w14:paraId="311A8521" w14:textId="77777777" w:rsidTr="007F7384">
        <w:tc>
          <w:tcPr>
            <w:tcW w:w="4598" w:type="dxa"/>
          </w:tcPr>
          <w:p w14:paraId="6D4FE682" w14:textId="77777777" w:rsidR="00F93550" w:rsidRPr="006D4529" w:rsidRDefault="00F93550" w:rsidP="0013526B">
            <w:pPr>
              <w:ind w:left="567"/>
              <w:jc w:val="both"/>
              <w:rPr>
                <w:bCs w:val="0"/>
                <w:sz w:val="12"/>
                <w:szCs w:val="18"/>
              </w:rPr>
            </w:pPr>
          </w:p>
        </w:tc>
        <w:tc>
          <w:tcPr>
            <w:tcW w:w="4599" w:type="dxa"/>
          </w:tcPr>
          <w:p w14:paraId="2D4AFEB7" w14:textId="77777777" w:rsidR="00F93550" w:rsidRPr="006D4529" w:rsidRDefault="00F93550" w:rsidP="0013526B">
            <w:pPr>
              <w:ind w:left="567"/>
              <w:jc w:val="both"/>
              <w:rPr>
                <w:bCs w:val="0"/>
                <w:i/>
                <w:sz w:val="12"/>
                <w:szCs w:val="18"/>
              </w:rPr>
            </w:pPr>
          </w:p>
        </w:tc>
      </w:tr>
      <w:tr w:rsidR="00F93550" w:rsidRPr="004D2565" w14:paraId="4C49F5BC" w14:textId="77777777" w:rsidTr="007F7384">
        <w:tc>
          <w:tcPr>
            <w:tcW w:w="4598" w:type="dxa"/>
          </w:tcPr>
          <w:p w14:paraId="617203E0" w14:textId="6085E868" w:rsidR="00F93550" w:rsidRPr="006D4529" w:rsidRDefault="00F93550" w:rsidP="005A27CF">
            <w:pPr>
              <w:ind w:left="567" w:right="-57"/>
              <w:jc w:val="both"/>
              <w:rPr>
                <w:bCs w:val="0"/>
                <w:sz w:val="18"/>
                <w:szCs w:val="18"/>
              </w:rPr>
            </w:pPr>
            <w:r w:rsidRPr="006D4529">
              <w:rPr>
                <w:bCs w:val="0"/>
                <w:sz w:val="18"/>
                <w:szCs w:val="18"/>
              </w:rPr>
              <w:t>Perubahan kepemilikan entitas dalam entitas anak yang tidak menghasilkan kehilangan pengendalian di entitas anak adalah transaksi ekuitas (yaitu transaksi dengan pemilik dalam kapasitasnya sebagai pemilik). Ketika propors</w:t>
            </w:r>
            <w:r w:rsidR="00E720E8" w:rsidRPr="006D4529">
              <w:rPr>
                <w:bCs w:val="0"/>
                <w:sz w:val="18"/>
                <w:szCs w:val="18"/>
              </w:rPr>
              <w:t>i ekuitas yang dimiliki oleh KNP</w:t>
            </w:r>
            <w:r w:rsidRPr="006D4529">
              <w:rPr>
                <w:bCs w:val="0"/>
                <w:sz w:val="18"/>
                <w:szCs w:val="18"/>
              </w:rPr>
              <w:t xml:space="preserve"> berubah</w:t>
            </w:r>
            <w:r w:rsidR="00870FD0">
              <w:rPr>
                <w:bCs w:val="0"/>
                <w:sz w:val="18"/>
                <w:szCs w:val="18"/>
              </w:rPr>
              <w:t>.</w:t>
            </w:r>
            <w:r w:rsidRPr="006D4529">
              <w:rPr>
                <w:bCs w:val="0"/>
                <w:sz w:val="18"/>
                <w:szCs w:val="18"/>
              </w:rPr>
              <w:t xml:space="preserve"> </w:t>
            </w:r>
            <w:proofErr w:type="gramStart"/>
            <w:r w:rsidRPr="006D4529">
              <w:rPr>
                <w:bCs w:val="0"/>
                <w:sz w:val="18"/>
                <w:szCs w:val="18"/>
              </w:rPr>
              <w:t>entitas</w:t>
            </w:r>
            <w:proofErr w:type="gramEnd"/>
            <w:r w:rsidRPr="006D4529">
              <w:rPr>
                <w:bCs w:val="0"/>
                <w:sz w:val="18"/>
                <w:szCs w:val="18"/>
              </w:rPr>
              <w:t xml:space="preserve"> menyesuaikan jumlah tercatat kep</w:t>
            </w:r>
            <w:r w:rsidR="00E720E8" w:rsidRPr="006D4529">
              <w:rPr>
                <w:bCs w:val="0"/>
                <w:sz w:val="18"/>
                <w:szCs w:val="18"/>
              </w:rPr>
              <w:t>entingan pengendali dan KNP</w:t>
            </w:r>
            <w:r w:rsidRPr="006D4529">
              <w:rPr>
                <w:bCs w:val="0"/>
                <w:sz w:val="18"/>
                <w:szCs w:val="18"/>
              </w:rPr>
              <w:t xml:space="preserve"> untuk mencerminkan perubahan kepemilikan relatifnya dalam entitas anak. Entitas tersebut mengakui secara langsung dalam ekuitas setiap perb</w:t>
            </w:r>
            <w:r w:rsidR="00E720E8" w:rsidRPr="006D4529">
              <w:rPr>
                <w:bCs w:val="0"/>
                <w:sz w:val="18"/>
                <w:szCs w:val="18"/>
              </w:rPr>
              <w:t>edaan antara jumlah tercatat KNP</w:t>
            </w:r>
            <w:r w:rsidRPr="006D4529">
              <w:rPr>
                <w:bCs w:val="0"/>
                <w:sz w:val="18"/>
                <w:szCs w:val="18"/>
              </w:rPr>
              <w:t xml:space="preserve"> yang disesuaikan dan nilai wajar imbalan yang dibayar atau diterima</w:t>
            </w:r>
            <w:r w:rsidR="005A27CF">
              <w:rPr>
                <w:bCs w:val="0"/>
                <w:sz w:val="18"/>
                <w:szCs w:val="18"/>
              </w:rPr>
              <w:t>,</w:t>
            </w:r>
            <w:r w:rsidRPr="006D4529">
              <w:rPr>
                <w:bCs w:val="0"/>
                <w:sz w:val="18"/>
                <w:szCs w:val="18"/>
              </w:rPr>
              <w:t xml:space="preserve"> dan mengatribusikannya kepada pemilik entitas induk.</w:t>
            </w:r>
          </w:p>
        </w:tc>
        <w:tc>
          <w:tcPr>
            <w:tcW w:w="4599" w:type="dxa"/>
          </w:tcPr>
          <w:p w14:paraId="6E0B8DC0" w14:textId="40A2A280" w:rsidR="00F93550" w:rsidRPr="006D4529" w:rsidRDefault="00F93550" w:rsidP="0013526B">
            <w:pPr>
              <w:ind w:left="567" w:right="-57"/>
              <w:jc w:val="both"/>
              <w:rPr>
                <w:bCs w:val="0"/>
                <w:i/>
                <w:sz w:val="18"/>
                <w:szCs w:val="18"/>
              </w:rPr>
            </w:pPr>
            <w:r w:rsidRPr="006D4529">
              <w:rPr>
                <w:bCs w:val="0"/>
                <w:i/>
                <w:sz w:val="18"/>
                <w:szCs w:val="18"/>
              </w:rPr>
              <w:t>Changes in a parent's ownership interest in a subsidiary that do not result in the parent losing control of the subsidiary are equity transactions (i.e. transactions with owners in their capacity as owners). When the proportion of the equity held by NCI’s changes</w:t>
            </w:r>
            <w:r w:rsidR="00870FD0">
              <w:rPr>
                <w:bCs w:val="0"/>
                <w:i/>
                <w:sz w:val="18"/>
                <w:szCs w:val="18"/>
              </w:rPr>
              <w:t>.</w:t>
            </w:r>
            <w:r w:rsidRPr="006D4529">
              <w:rPr>
                <w:bCs w:val="0"/>
                <w:i/>
                <w:sz w:val="18"/>
                <w:szCs w:val="18"/>
              </w:rPr>
              <w:t xml:space="preserve"> </w:t>
            </w:r>
            <w:proofErr w:type="gramStart"/>
            <w:r w:rsidRPr="006D4529">
              <w:rPr>
                <w:bCs w:val="0"/>
                <w:i/>
                <w:sz w:val="18"/>
                <w:szCs w:val="18"/>
              </w:rPr>
              <w:t>the</w:t>
            </w:r>
            <w:proofErr w:type="gramEnd"/>
            <w:r w:rsidRPr="006D4529">
              <w:rPr>
                <w:bCs w:val="0"/>
                <w:i/>
                <w:sz w:val="18"/>
                <w:szCs w:val="18"/>
              </w:rPr>
              <w:t xml:space="preserve"> carrying amounts of the controlling and NCI’s are adjusted to reflect the changes in their relative interests in the subsidiary. Any difference between the amount by which the NCI’s are adjusted and the fair value of the consideration paid or received is recognized directly in equity and attributed to the owners of the parent.</w:t>
            </w:r>
          </w:p>
        </w:tc>
      </w:tr>
      <w:tr w:rsidR="00F93550" w:rsidRPr="004D2565" w14:paraId="203F4D6E" w14:textId="77777777" w:rsidTr="007F7384">
        <w:tc>
          <w:tcPr>
            <w:tcW w:w="4598" w:type="dxa"/>
          </w:tcPr>
          <w:p w14:paraId="4C651838" w14:textId="77777777" w:rsidR="00F93550" w:rsidRPr="004D2565" w:rsidRDefault="00F93550" w:rsidP="0013526B">
            <w:pPr>
              <w:ind w:left="601" w:right="-57"/>
              <w:jc w:val="both"/>
              <w:rPr>
                <w:bCs w:val="0"/>
                <w:sz w:val="14"/>
                <w:szCs w:val="16"/>
                <w:highlight w:val="cyan"/>
              </w:rPr>
            </w:pPr>
          </w:p>
        </w:tc>
        <w:tc>
          <w:tcPr>
            <w:tcW w:w="4599" w:type="dxa"/>
          </w:tcPr>
          <w:p w14:paraId="5D5EFDE6" w14:textId="77777777" w:rsidR="00F93550" w:rsidRPr="004D2565" w:rsidRDefault="00F93550" w:rsidP="0013526B">
            <w:pPr>
              <w:tabs>
                <w:tab w:val="left" w:pos="5590"/>
                <w:tab w:val="right" w:pos="7620"/>
                <w:tab w:val="right" w:pos="9460"/>
                <w:tab w:val="right" w:pos="10080"/>
              </w:tabs>
              <w:ind w:left="651" w:right="-57"/>
              <w:jc w:val="both"/>
              <w:rPr>
                <w:bCs w:val="0"/>
                <w:i/>
                <w:sz w:val="14"/>
                <w:szCs w:val="16"/>
                <w:highlight w:val="cyan"/>
              </w:rPr>
            </w:pPr>
          </w:p>
        </w:tc>
      </w:tr>
      <w:tr w:rsidR="00F93550" w:rsidRPr="004D2565" w14:paraId="7FFEDB12" w14:textId="77777777" w:rsidTr="007F7384">
        <w:tc>
          <w:tcPr>
            <w:tcW w:w="4598" w:type="dxa"/>
          </w:tcPr>
          <w:p w14:paraId="378A2584" w14:textId="77777777" w:rsidR="00F93550" w:rsidRPr="006D4529" w:rsidRDefault="00F93550" w:rsidP="0013526B">
            <w:pPr>
              <w:ind w:left="567"/>
              <w:jc w:val="both"/>
              <w:rPr>
                <w:b/>
                <w:bCs w:val="0"/>
                <w:sz w:val="18"/>
                <w:szCs w:val="18"/>
              </w:rPr>
            </w:pPr>
            <w:r w:rsidRPr="006D4529">
              <w:rPr>
                <w:b/>
                <w:bCs w:val="0"/>
                <w:sz w:val="18"/>
                <w:szCs w:val="18"/>
              </w:rPr>
              <w:t>Kehilangan Pengendalian</w:t>
            </w:r>
          </w:p>
        </w:tc>
        <w:tc>
          <w:tcPr>
            <w:tcW w:w="4599" w:type="dxa"/>
          </w:tcPr>
          <w:p w14:paraId="49CE0767" w14:textId="77777777" w:rsidR="00F93550" w:rsidRPr="006D4529" w:rsidRDefault="00F93550" w:rsidP="0013526B">
            <w:pPr>
              <w:tabs>
                <w:tab w:val="left" w:pos="5590"/>
                <w:tab w:val="right" w:pos="7620"/>
                <w:tab w:val="right" w:pos="9460"/>
                <w:tab w:val="right" w:pos="10080"/>
              </w:tabs>
              <w:ind w:left="567"/>
              <w:jc w:val="both"/>
              <w:rPr>
                <w:b/>
                <w:bCs w:val="0"/>
                <w:i/>
                <w:sz w:val="18"/>
                <w:szCs w:val="18"/>
              </w:rPr>
            </w:pPr>
            <w:r w:rsidRPr="006D4529">
              <w:rPr>
                <w:b/>
                <w:bCs w:val="0"/>
                <w:i/>
                <w:sz w:val="18"/>
                <w:szCs w:val="18"/>
              </w:rPr>
              <w:t>Loss of Control</w:t>
            </w:r>
          </w:p>
        </w:tc>
      </w:tr>
      <w:tr w:rsidR="00F93550" w:rsidRPr="004D2565" w14:paraId="2284534A" w14:textId="77777777" w:rsidTr="007F7384">
        <w:tc>
          <w:tcPr>
            <w:tcW w:w="4598" w:type="dxa"/>
          </w:tcPr>
          <w:p w14:paraId="6F274DE1" w14:textId="77777777" w:rsidR="00F93550" w:rsidRPr="006D4529" w:rsidRDefault="00F93550" w:rsidP="0013526B">
            <w:pPr>
              <w:ind w:left="601" w:right="-57"/>
              <w:jc w:val="both"/>
              <w:rPr>
                <w:bCs w:val="0"/>
                <w:sz w:val="14"/>
                <w:szCs w:val="16"/>
              </w:rPr>
            </w:pPr>
          </w:p>
        </w:tc>
        <w:tc>
          <w:tcPr>
            <w:tcW w:w="4599" w:type="dxa"/>
          </w:tcPr>
          <w:p w14:paraId="51E392D2" w14:textId="77777777" w:rsidR="00F93550" w:rsidRPr="006D4529" w:rsidRDefault="00F93550" w:rsidP="0013526B">
            <w:pPr>
              <w:tabs>
                <w:tab w:val="left" w:pos="5590"/>
                <w:tab w:val="right" w:pos="7620"/>
                <w:tab w:val="right" w:pos="9460"/>
                <w:tab w:val="right" w:pos="10080"/>
              </w:tabs>
              <w:ind w:left="651" w:right="-57"/>
              <w:jc w:val="both"/>
              <w:rPr>
                <w:bCs w:val="0"/>
                <w:i/>
                <w:sz w:val="14"/>
                <w:szCs w:val="16"/>
              </w:rPr>
            </w:pPr>
          </w:p>
        </w:tc>
      </w:tr>
      <w:tr w:rsidR="00F93550" w:rsidRPr="004D2565" w14:paraId="60C2D851" w14:textId="77777777" w:rsidTr="007F7384">
        <w:tc>
          <w:tcPr>
            <w:tcW w:w="4598" w:type="dxa"/>
          </w:tcPr>
          <w:p w14:paraId="497BFEEC" w14:textId="6EACB427" w:rsidR="00F93550" w:rsidRPr="006D4529" w:rsidRDefault="00F93550" w:rsidP="005A27CF">
            <w:pPr>
              <w:ind w:left="567" w:right="-57"/>
              <w:jc w:val="both"/>
              <w:rPr>
                <w:bCs w:val="0"/>
                <w:sz w:val="18"/>
                <w:szCs w:val="18"/>
              </w:rPr>
            </w:pPr>
            <w:r w:rsidRPr="006D4529">
              <w:rPr>
                <w:bCs w:val="0"/>
                <w:sz w:val="18"/>
                <w:szCs w:val="18"/>
              </w:rPr>
              <w:t>Jika entitas induk kehilangan pengendalian atas entitas anak</w:t>
            </w:r>
            <w:r w:rsidR="005A27CF">
              <w:rPr>
                <w:bCs w:val="0"/>
                <w:sz w:val="18"/>
                <w:szCs w:val="18"/>
              </w:rPr>
              <w:t>,</w:t>
            </w:r>
            <w:r w:rsidRPr="006D4529">
              <w:rPr>
                <w:bCs w:val="0"/>
                <w:sz w:val="18"/>
                <w:szCs w:val="18"/>
              </w:rPr>
              <w:t xml:space="preserve"> maka entitas induk:</w:t>
            </w:r>
          </w:p>
        </w:tc>
        <w:tc>
          <w:tcPr>
            <w:tcW w:w="4599" w:type="dxa"/>
          </w:tcPr>
          <w:p w14:paraId="34EF70B0" w14:textId="0A26BD9D" w:rsidR="00F93550" w:rsidRPr="006D4529" w:rsidRDefault="00F93550" w:rsidP="005A27CF">
            <w:pPr>
              <w:ind w:left="567" w:right="-57"/>
              <w:jc w:val="both"/>
              <w:rPr>
                <w:bCs w:val="0"/>
                <w:i/>
                <w:sz w:val="18"/>
                <w:szCs w:val="18"/>
              </w:rPr>
            </w:pPr>
            <w:r w:rsidRPr="006D4529">
              <w:rPr>
                <w:bCs w:val="0"/>
                <w:i/>
                <w:sz w:val="18"/>
                <w:szCs w:val="18"/>
              </w:rPr>
              <w:t>If loss control over Subsidiar</w:t>
            </w:r>
            <w:r w:rsidR="00F72A90">
              <w:rPr>
                <w:bCs w:val="0"/>
                <w:i/>
                <w:sz w:val="18"/>
                <w:szCs w:val="18"/>
              </w:rPr>
              <w:t>ies</w:t>
            </w:r>
            <w:r w:rsidR="005A27CF">
              <w:rPr>
                <w:bCs w:val="0"/>
                <w:i/>
                <w:sz w:val="18"/>
                <w:szCs w:val="18"/>
              </w:rPr>
              <w:t>,</w:t>
            </w:r>
            <w:r w:rsidRPr="006D4529">
              <w:rPr>
                <w:bCs w:val="0"/>
                <w:i/>
                <w:sz w:val="18"/>
                <w:szCs w:val="18"/>
              </w:rPr>
              <w:t xml:space="preserve"> the parent entity:</w:t>
            </w:r>
          </w:p>
        </w:tc>
      </w:tr>
      <w:tr w:rsidR="00F93550" w:rsidRPr="004D2565" w14:paraId="032F453F" w14:textId="77777777" w:rsidTr="007F7384">
        <w:tc>
          <w:tcPr>
            <w:tcW w:w="4598" w:type="dxa"/>
          </w:tcPr>
          <w:p w14:paraId="2DF18719" w14:textId="77777777" w:rsidR="00F93550" w:rsidRPr="006D4529" w:rsidRDefault="00F93550" w:rsidP="00070D1F">
            <w:pPr>
              <w:pStyle w:val="ListParagraph"/>
              <w:numPr>
                <w:ilvl w:val="0"/>
                <w:numId w:val="70"/>
              </w:numPr>
              <w:tabs>
                <w:tab w:val="left" w:pos="851"/>
                <w:tab w:val="left" w:pos="884"/>
              </w:tabs>
              <w:ind w:left="851" w:right="-57" w:hanging="284"/>
              <w:contextualSpacing/>
              <w:jc w:val="both"/>
              <w:rPr>
                <w:bCs w:val="0"/>
                <w:sz w:val="18"/>
                <w:szCs w:val="18"/>
              </w:rPr>
            </w:pPr>
            <w:r w:rsidRPr="006D4529">
              <w:rPr>
                <w:bCs w:val="0"/>
                <w:sz w:val="18"/>
                <w:szCs w:val="18"/>
              </w:rPr>
              <w:t>menghentikan pengakuan aset dan liabilitas entitas anak terdahulu dari laporan posisi keuangan konsolidasian;</w:t>
            </w:r>
          </w:p>
        </w:tc>
        <w:tc>
          <w:tcPr>
            <w:tcW w:w="4599" w:type="dxa"/>
          </w:tcPr>
          <w:p w14:paraId="25D8A499" w14:textId="038DDA82" w:rsidR="00F93550" w:rsidRPr="006D4529" w:rsidRDefault="00F93550" w:rsidP="00070D1F">
            <w:pPr>
              <w:pStyle w:val="ListParagraph"/>
              <w:numPr>
                <w:ilvl w:val="0"/>
                <w:numId w:val="71"/>
              </w:numPr>
              <w:tabs>
                <w:tab w:val="left" w:pos="851"/>
              </w:tabs>
              <w:ind w:left="851" w:right="-57" w:hanging="284"/>
              <w:contextualSpacing/>
              <w:jc w:val="both"/>
              <w:rPr>
                <w:bCs w:val="0"/>
                <w:i/>
                <w:sz w:val="18"/>
                <w:szCs w:val="18"/>
              </w:rPr>
            </w:pPr>
            <w:r w:rsidRPr="006D4529">
              <w:rPr>
                <w:bCs w:val="0"/>
                <w:i/>
                <w:sz w:val="18"/>
                <w:szCs w:val="18"/>
              </w:rPr>
              <w:t>derecognizes the assets and liabilities of the former subsidiar</w:t>
            </w:r>
            <w:r w:rsidR="00F72A90">
              <w:rPr>
                <w:bCs w:val="0"/>
                <w:i/>
                <w:sz w:val="18"/>
                <w:szCs w:val="18"/>
              </w:rPr>
              <w:t>ies</w:t>
            </w:r>
            <w:r w:rsidRPr="006D4529">
              <w:rPr>
                <w:bCs w:val="0"/>
                <w:i/>
                <w:sz w:val="18"/>
                <w:szCs w:val="18"/>
              </w:rPr>
              <w:t xml:space="preserve"> from the consolidated statement of financial position;</w:t>
            </w:r>
          </w:p>
        </w:tc>
      </w:tr>
      <w:tr w:rsidR="00F93550" w:rsidRPr="004D2565" w14:paraId="7F4DBFB1" w14:textId="77777777" w:rsidTr="007F7384">
        <w:tc>
          <w:tcPr>
            <w:tcW w:w="4598" w:type="dxa"/>
          </w:tcPr>
          <w:p w14:paraId="47803630" w14:textId="15FBE9C7" w:rsidR="00F93550" w:rsidRPr="006D4529" w:rsidRDefault="00F93550" w:rsidP="00070D1F">
            <w:pPr>
              <w:pStyle w:val="ListParagraph"/>
              <w:numPr>
                <w:ilvl w:val="0"/>
                <w:numId w:val="70"/>
              </w:numPr>
              <w:tabs>
                <w:tab w:val="left" w:pos="851"/>
                <w:tab w:val="left" w:pos="884"/>
              </w:tabs>
              <w:ind w:left="851" w:right="-57" w:hanging="284"/>
              <w:contextualSpacing/>
              <w:jc w:val="both"/>
              <w:rPr>
                <w:bCs w:val="0"/>
                <w:sz w:val="18"/>
                <w:szCs w:val="18"/>
              </w:rPr>
            </w:pPr>
            <w:proofErr w:type="gramStart"/>
            <w:r w:rsidRPr="006D4529">
              <w:rPr>
                <w:bCs w:val="0"/>
                <w:sz w:val="18"/>
                <w:szCs w:val="18"/>
              </w:rPr>
              <w:t>mengakui</w:t>
            </w:r>
            <w:proofErr w:type="gramEnd"/>
            <w:r w:rsidRPr="006D4529">
              <w:rPr>
                <w:bCs w:val="0"/>
                <w:sz w:val="18"/>
                <w:szCs w:val="18"/>
              </w:rPr>
              <w:t xml:space="preserve"> sisa investasi apapun pada entitas anak terdahulu pada saat hilangnya pengendalian dan selanjutnya mencatat sisa investasi tersebut dan setiap jumlah terutang oleh atau kepada entitas anak terdahulu sesuai dengan PSAK lain yang relevan. Sisa investasi tersebut diukur kembali dan pengukuran kembali tesebut dianggap sebagai nilai wajar pada saat pengakuan awal aset keuangan sesuai dengan PSAK No. 55 (Revisi 2014)</w:t>
            </w:r>
            <w:r w:rsidR="005A27CF">
              <w:rPr>
                <w:bCs w:val="0"/>
                <w:sz w:val="18"/>
                <w:szCs w:val="18"/>
              </w:rPr>
              <w:t>,</w:t>
            </w:r>
            <w:r w:rsidRPr="006D4529">
              <w:rPr>
                <w:bCs w:val="0"/>
                <w:sz w:val="18"/>
                <w:szCs w:val="18"/>
              </w:rPr>
              <w:t xml:space="preserve"> “Instrumen Keuangan: Pengakuan dan Pengukuran”</w:t>
            </w:r>
            <w:r w:rsidR="005A27CF">
              <w:rPr>
                <w:bCs w:val="0"/>
                <w:sz w:val="18"/>
                <w:szCs w:val="18"/>
              </w:rPr>
              <w:t xml:space="preserve">, </w:t>
            </w:r>
            <w:r w:rsidRPr="006D4529">
              <w:rPr>
                <w:bCs w:val="0"/>
                <w:sz w:val="18"/>
                <w:szCs w:val="18"/>
              </w:rPr>
              <w:t>atau</w:t>
            </w:r>
            <w:r w:rsidR="005A27CF">
              <w:rPr>
                <w:bCs w:val="0"/>
                <w:sz w:val="18"/>
                <w:szCs w:val="18"/>
              </w:rPr>
              <w:t>,</w:t>
            </w:r>
            <w:r w:rsidRPr="006D4529">
              <w:rPr>
                <w:bCs w:val="0"/>
                <w:sz w:val="18"/>
                <w:szCs w:val="18"/>
              </w:rPr>
              <w:t xml:space="preserve"> jika sesuai</w:t>
            </w:r>
            <w:r w:rsidR="005A27CF">
              <w:rPr>
                <w:bCs w:val="0"/>
                <w:sz w:val="18"/>
                <w:szCs w:val="18"/>
              </w:rPr>
              <w:t>,</w:t>
            </w:r>
            <w:r w:rsidRPr="006D4529">
              <w:rPr>
                <w:bCs w:val="0"/>
                <w:sz w:val="18"/>
                <w:szCs w:val="18"/>
              </w:rPr>
              <w:t xml:space="preserve"> biaya perolehan pada saat pengakuan awal investasi pada entitas asosiasi atau ventura bersama;</w:t>
            </w:r>
          </w:p>
        </w:tc>
        <w:tc>
          <w:tcPr>
            <w:tcW w:w="4599" w:type="dxa"/>
          </w:tcPr>
          <w:p w14:paraId="1CABA10A" w14:textId="576E35C2" w:rsidR="00F93550" w:rsidRPr="006D4529" w:rsidRDefault="00F93550" w:rsidP="00070D1F">
            <w:pPr>
              <w:pStyle w:val="ListParagraph"/>
              <w:numPr>
                <w:ilvl w:val="0"/>
                <w:numId w:val="71"/>
              </w:numPr>
              <w:tabs>
                <w:tab w:val="left" w:pos="851"/>
              </w:tabs>
              <w:ind w:left="851" w:right="-57" w:hanging="284"/>
              <w:contextualSpacing/>
              <w:jc w:val="both"/>
              <w:rPr>
                <w:bCs w:val="0"/>
                <w:i/>
                <w:sz w:val="18"/>
                <w:szCs w:val="18"/>
              </w:rPr>
            </w:pPr>
            <w:proofErr w:type="gramStart"/>
            <w:r w:rsidRPr="006D4529">
              <w:rPr>
                <w:bCs w:val="0"/>
                <w:i/>
                <w:sz w:val="18"/>
                <w:szCs w:val="18"/>
              </w:rPr>
              <w:t>recognizes</w:t>
            </w:r>
            <w:proofErr w:type="gramEnd"/>
            <w:r w:rsidRPr="006D4529">
              <w:rPr>
                <w:bCs w:val="0"/>
                <w:i/>
                <w:sz w:val="18"/>
                <w:szCs w:val="18"/>
              </w:rPr>
              <w:t xml:space="preserve"> any investment retained in the former subsidiar</w:t>
            </w:r>
            <w:r w:rsidR="00F72A90">
              <w:rPr>
                <w:bCs w:val="0"/>
                <w:i/>
                <w:sz w:val="18"/>
                <w:szCs w:val="18"/>
              </w:rPr>
              <w:t>ies</w:t>
            </w:r>
            <w:r w:rsidRPr="006D4529">
              <w:rPr>
                <w:bCs w:val="0"/>
                <w:i/>
                <w:sz w:val="18"/>
                <w:szCs w:val="18"/>
              </w:rPr>
              <w:t xml:space="preserve"> when control is lost and subsequently accounts for it and for any amounts owed by or to the former subsidiary in accordance with relevant PSAKs. The retained interest is remeasured and the remeasured value is regarded as the fair value on initial recognition of a financial asset in accordance with PSAK No. 55 (Revised 2014)</w:t>
            </w:r>
            <w:r w:rsidR="005A27CF">
              <w:rPr>
                <w:bCs w:val="0"/>
                <w:i/>
                <w:sz w:val="18"/>
                <w:szCs w:val="18"/>
              </w:rPr>
              <w:t>,</w:t>
            </w:r>
            <w:r w:rsidRPr="006D4529">
              <w:rPr>
                <w:bCs w:val="0"/>
                <w:i/>
                <w:sz w:val="18"/>
                <w:szCs w:val="18"/>
              </w:rPr>
              <w:t xml:space="preserve"> “Financial Instruments: Recognition and Measurement”</w:t>
            </w:r>
            <w:r w:rsidR="005A27CF">
              <w:rPr>
                <w:bCs w:val="0"/>
                <w:i/>
                <w:sz w:val="18"/>
                <w:szCs w:val="18"/>
              </w:rPr>
              <w:t>,</w:t>
            </w:r>
            <w:r w:rsidRPr="006D4529">
              <w:rPr>
                <w:bCs w:val="0"/>
                <w:i/>
                <w:sz w:val="18"/>
                <w:szCs w:val="18"/>
              </w:rPr>
              <w:t xml:space="preserve"> or</w:t>
            </w:r>
            <w:r w:rsidR="005A27CF">
              <w:rPr>
                <w:bCs w:val="0"/>
                <w:i/>
                <w:sz w:val="18"/>
                <w:szCs w:val="18"/>
              </w:rPr>
              <w:t>,</w:t>
            </w:r>
            <w:r w:rsidRPr="006D4529">
              <w:rPr>
                <w:bCs w:val="0"/>
                <w:i/>
                <w:sz w:val="18"/>
                <w:szCs w:val="18"/>
              </w:rPr>
              <w:t xml:space="preserve"> when appropriate</w:t>
            </w:r>
            <w:r w:rsidR="00870FD0">
              <w:rPr>
                <w:bCs w:val="0"/>
                <w:i/>
                <w:sz w:val="18"/>
                <w:szCs w:val="18"/>
              </w:rPr>
              <w:t>.</w:t>
            </w:r>
            <w:r w:rsidRPr="006D4529">
              <w:rPr>
                <w:bCs w:val="0"/>
                <w:i/>
                <w:sz w:val="18"/>
                <w:szCs w:val="18"/>
              </w:rPr>
              <w:t xml:space="preserve"> the cost on initial recognition of an investment in an associate or joint venture;</w:t>
            </w:r>
          </w:p>
        </w:tc>
      </w:tr>
      <w:tr w:rsidR="00F93550" w:rsidRPr="0013526B" w14:paraId="29627611" w14:textId="77777777" w:rsidTr="007F7384">
        <w:tc>
          <w:tcPr>
            <w:tcW w:w="4598" w:type="dxa"/>
          </w:tcPr>
          <w:p w14:paraId="64BFD8F1" w14:textId="77777777" w:rsidR="00F93550" w:rsidRPr="006D4529" w:rsidRDefault="00F93550" w:rsidP="00070D1F">
            <w:pPr>
              <w:pStyle w:val="ListParagraph"/>
              <w:numPr>
                <w:ilvl w:val="0"/>
                <w:numId w:val="70"/>
              </w:numPr>
              <w:tabs>
                <w:tab w:val="left" w:pos="851"/>
                <w:tab w:val="left" w:pos="884"/>
              </w:tabs>
              <w:ind w:left="851" w:right="-57" w:hanging="284"/>
              <w:contextualSpacing/>
              <w:jc w:val="both"/>
              <w:rPr>
                <w:bCs w:val="0"/>
                <w:sz w:val="18"/>
                <w:szCs w:val="18"/>
              </w:rPr>
            </w:pPr>
            <w:proofErr w:type="gramStart"/>
            <w:r w:rsidRPr="006D4529">
              <w:rPr>
                <w:bCs w:val="0"/>
                <w:sz w:val="18"/>
                <w:szCs w:val="18"/>
              </w:rPr>
              <w:t>mengakui</w:t>
            </w:r>
            <w:proofErr w:type="gramEnd"/>
            <w:r w:rsidRPr="006D4529">
              <w:rPr>
                <w:bCs w:val="0"/>
                <w:sz w:val="18"/>
                <w:szCs w:val="18"/>
              </w:rPr>
              <w:t xml:space="preserve"> keuntungan atau kerugian terkait dengan hilangnya pengendalian yang dapat diatribusikan pada kepentingan pengendali terdahulu.</w:t>
            </w:r>
          </w:p>
        </w:tc>
        <w:tc>
          <w:tcPr>
            <w:tcW w:w="4599" w:type="dxa"/>
          </w:tcPr>
          <w:p w14:paraId="2EF28844" w14:textId="77777777" w:rsidR="00F93550" w:rsidRPr="006D4529" w:rsidRDefault="00F93550" w:rsidP="00070D1F">
            <w:pPr>
              <w:pStyle w:val="ListParagraph"/>
              <w:numPr>
                <w:ilvl w:val="0"/>
                <w:numId w:val="71"/>
              </w:numPr>
              <w:tabs>
                <w:tab w:val="left" w:pos="851"/>
              </w:tabs>
              <w:ind w:left="851" w:right="-57" w:hanging="284"/>
              <w:contextualSpacing/>
              <w:jc w:val="both"/>
              <w:rPr>
                <w:bCs w:val="0"/>
                <w:i/>
                <w:sz w:val="18"/>
                <w:szCs w:val="18"/>
              </w:rPr>
            </w:pPr>
            <w:proofErr w:type="gramStart"/>
            <w:r w:rsidRPr="006D4529">
              <w:rPr>
                <w:bCs w:val="0"/>
                <w:i/>
                <w:sz w:val="18"/>
                <w:szCs w:val="18"/>
              </w:rPr>
              <w:t>recognizes</w:t>
            </w:r>
            <w:proofErr w:type="gramEnd"/>
            <w:r w:rsidRPr="006D4529">
              <w:rPr>
                <w:bCs w:val="0"/>
                <w:i/>
                <w:sz w:val="18"/>
                <w:szCs w:val="18"/>
              </w:rPr>
              <w:t xml:space="preserve"> the gain or loss associated with the loss of control attributable to the former controlling interest.</w:t>
            </w:r>
          </w:p>
        </w:tc>
      </w:tr>
      <w:tr w:rsidR="00F93550" w:rsidRPr="0013526B" w14:paraId="1629C9D9" w14:textId="77777777" w:rsidTr="007F7384">
        <w:tc>
          <w:tcPr>
            <w:tcW w:w="4598" w:type="dxa"/>
          </w:tcPr>
          <w:p w14:paraId="41582A17" w14:textId="77777777" w:rsidR="00F93550" w:rsidRPr="006D4529" w:rsidRDefault="00F93550" w:rsidP="0013526B">
            <w:pPr>
              <w:pStyle w:val="ListParagraph"/>
              <w:tabs>
                <w:tab w:val="left" w:pos="851"/>
                <w:tab w:val="left" w:pos="884"/>
              </w:tabs>
              <w:ind w:right="-57"/>
              <w:contextualSpacing/>
              <w:jc w:val="both"/>
              <w:rPr>
                <w:bCs w:val="0"/>
                <w:sz w:val="14"/>
                <w:szCs w:val="16"/>
              </w:rPr>
            </w:pPr>
          </w:p>
        </w:tc>
        <w:tc>
          <w:tcPr>
            <w:tcW w:w="4599" w:type="dxa"/>
          </w:tcPr>
          <w:p w14:paraId="6E538BDF" w14:textId="77777777" w:rsidR="00F93550" w:rsidRPr="006D4529" w:rsidRDefault="00F93550" w:rsidP="0013526B">
            <w:pPr>
              <w:pStyle w:val="ListParagraph"/>
              <w:tabs>
                <w:tab w:val="left" w:pos="851"/>
              </w:tabs>
              <w:contextualSpacing/>
              <w:jc w:val="both"/>
              <w:rPr>
                <w:bCs w:val="0"/>
                <w:i/>
                <w:sz w:val="14"/>
                <w:szCs w:val="16"/>
              </w:rPr>
            </w:pPr>
          </w:p>
        </w:tc>
      </w:tr>
    </w:tbl>
    <w:p w14:paraId="5C314998" w14:textId="77777777" w:rsidR="00C5671A" w:rsidRPr="0013526B" w:rsidRDefault="00C5671A" w:rsidP="0013526B"/>
    <w:p w14:paraId="00CDD8F9" w14:textId="77777777" w:rsidR="00C5671A" w:rsidRPr="0013526B" w:rsidRDefault="00C5671A" w:rsidP="0013526B"/>
    <w:p w14:paraId="74098765" w14:textId="2677BAF7" w:rsidR="005E4C90" w:rsidRDefault="005E4C90">
      <w:pPr>
        <w:rPr>
          <w:sz w:val="6"/>
        </w:rPr>
      </w:pPr>
      <w:r>
        <w:rPr>
          <w:sz w:val="6"/>
        </w:rPr>
        <w:br w:type="page"/>
      </w:r>
    </w:p>
    <w:tbl>
      <w:tblPr>
        <w:tblW w:w="9197" w:type="dxa"/>
        <w:tblInd w:w="392" w:type="dxa"/>
        <w:tblLayout w:type="fixed"/>
        <w:tblLook w:val="0000" w:firstRow="0" w:lastRow="0" w:firstColumn="0" w:lastColumn="0" w:noHBand="0" w:noVBand="0"/>
      </w:tblPr>
      <w:tblGrid>
        <w:gridCol w:w="4598"/>
        <w:gridCol w:w="4599"/>
      </w:tblGrid>
      <w:tr w:rsidR="00C5671A" w:rsidRPr="0013526B" w14:paraId="5785DA3F" w14:textId="77777777" w:rsidTr="00BE6E3D">
        <w:tc>
          <w:tcPr>
            <w:tcW w:w="4598" w:type="dxa"/>
          </w:tcPr>
          <w:p w14:paraId="2C9C1DB6" w14:textId="77777777" w:rsidR="00C5671A" w:rsidRPr="00F72A90" w:rsidRDefault="00C5671A" w:rsidP="005F361E">
            <w:pPr>
              <w:pStyle w:val="ListParagraph"/>
              <w:numPr>
                <w:ilvl w:val="0"/>
                <w:numId w:val="44"/>
              </w:numPr>
              <w:ind w:left="284" w:right="-57" w:hanging="284"/>
              <w:contextualSpacing/>
              <w:jc w:val="both"/>
              <w:rPr>
                <w:rStyle w:val="hps"/>
                <w:b/>
                <w:sz w:val="18"/>
                <w:szCs w:val="18"/>
              </w:rPr>
            </w:pPr>
            <w:r w:rsidRPr="00F72A90">
              <w:rPr>
                <w:sz w:val="18"/>
                <w:szCs w:val="18"/>
              </w:rPr>
              <w:lastRenderedPageBreak/>
              <w:br w:type="page"/>
            </w:r>
            <w:r w:rsidRPr="00F72A90">
              <w:rPr>
                <w:rStyle w:val="hps"/>
                <w:b/>
                <w:sz w:val="18"/>
                <w:szCs w:val="18"/>
              </w:rPr>
              <w:t xml:space="preserve">IKHTISAR KEBIJAKAN AKUNTANSI </w:t>
            </w:r>
            <w:r w:rsidRPr="00F72A90">
              <w:rPr>
                <w:rStyle w:val="hps"/>
                <w:b/>
                <w:sz w:val="18"/>
                <w:szCs w:val="18"/>
                <w:lang w:val="id-ID"/>
              </w:rPr>
              <w:t xml:space="preserve">YANG </w:t>
            </w:r>
            <w:r w:rsidRPr="00F72A90">
              <w:rPr>
                <w:rStyle w:val="hps"/>
                <w:b/>
                <w:sz w:val="18"/>
                <w:szCs w:val="18"/>
              </w:rPr>
              <w:t xml:space="preserve">PENTING </w:t>
            </w:r>
            <w:r w:rsidRPr="00F72A90">
              <w:rPr>
                <w:rStyle w:val="hps"/>
                <w:b/>
                <w:sz w:val="18"/>
                <w:szCs w:val="18"/>
                <w:lang w:val="id-ID"/>
              </w:rPr>
              <w:t>-</w:t>
            </w:r>
            <w:r w:rsidRPr="00F72A90">
              <w:rPr>
                <w:rStyle w:val="hps"/>
                <w:b/>
                <w:sz w:val="18"/>
                <w:szCs w:val="18"/>
              </w:rPr>
              <w:t xml:space="preserve"> Lanjutan</w:t>
            </w:r>
          </w:p>
        </w:tc>
        <w:tc>
          <w:tcPr>
            <w:tcW w:w="4598" w:type="dxa"/>
          </w:tcPr>
          <w:p w14:paraId="7C2CA368" w14:textId="77777777" w:rsidR="00C5671A" w:rsidRPr="00F72A90" w:rsidRDefault="00C5671A" w:rsidP="005F361E">
            <w:pPr>
              <w:pStyle w:val="ListParagraph"/>
              <w:numPr>
                <w:ilvl w:val="0"/>
                <w:numId w:val="45"/>
              </w:numPr>
              <w:ind w:left="284" w:right="-57" w:hanging="284"/>
              <w:contextualSpacing/>
              <w:jc w:val="both"/>
              <w:rPr>
                <w:b/>
                <w:bCs w:val="0"/>
                <w:i/>
                <w:sz w:val="18"/>
                <w:szCs w:val="18"/>
              </w:rPr>
            </w:pPr>
            <w:r w:rsidRPr="00F72A90">
              <w:rPr>
                <w:b/>
                <w:i/>
                <w:sz w:val="18"/>
                <w:szCs w:val="18"/>
              </w:rPr>
              <w:t>SUMMARY OF SIGNIFICANT ACCOUNTING POLICIES - Continued</w:t>
            </w:r>
          </w:p>
        </w:tc>
      </w:tr>
      <w:tr w:rsidR="00C5671A" w:rsidRPr="005E4C90" w14:paraId="1F66906A" w14:textId="77777777" w:rsidTr="00BE6E3D">
        <w:tc>
          <w:tcPr>
            <w:tcW w:w="4598" w:type="dxa"/>
          </w:tcPr>
          <w:p w14:paraId="45127A54" w14:textId="77777777" w:rsidR="00C5671A" w:rsidRPr="00F72A90" w:rsidRDefault="00C5671A" w:rsidP="0013526B">
            <w:pPr>
              <w:jc w:val="both"/>
              <w:rPr>
                <w:rStyle w:val="hps"/>
                <w:sz w:val="10"/>
                <w:szCs w:val="10"/>
              </w:rPr>
            </w:pPr>
          </w:p>
        </w:tc>
        <w:tc>
          <w:tcPr>
            <w:tcW w:w="4598" w:type="dxa"/>
          </w:tcPr>
          <w:p w14:paraId="70EBC161" w14:textId="77777777" w:rsidR="00C5671A" w:rsidRPr="00F72A90" w:rsidRDefault="00C5671A" w:rsidP="0013526B">
            <w:pPr>
              <w:ind w:left="426"/>
              <w:jc w:val="both"/>
              <w:rPr>
                <w:bCs w:val="0"/>
                <w:i/>
                <w:sz w:val="10"/>
                <w:szCs w:val="10"/>
              </w:rPr>
            </w:pPr>
          </w:p>
        </w:tc>
      </w:tr>
      <w:tr w:rsidR="005E4C90" w:rsidRPr="0013526B" w14:paraId="59AADE5C" w14:textId="77777777" w:rsidTr="00BE6E3D">
        <w:tc>
          <w:tcPr>
            <w:tcW w:w="4598" w:type="dxa"/>
          </w:tcPr>
          <w:p w14:paraId="5981F1C8" w14:textId="77777777" w:rsidR="005E4C90" w:rsidRPr="00F72A90" w:rsidRDefault="005E4C90" w:rsidP="00070D1F">
            <w:pPr>
              <w:pStyle w:val="ListParagraph"/>
              <w:numPr>
                <w:ilvl w:val="0"/>
                <w:numId w:val="247"/>
              </w:numPr>
              <w:ind w:left="584" w:hanging="267"/>
              <w:contextualSpacing/>
              <w:jc w:val="both"/>
              <w:rPr>
                <w:rStyle w:val="hps"/>
                <w:b/>
                <w:sz w:val="18"/>
                <w:szCs w:val="18"/>
              </w:rPr>
            </w:pPr>
            <w:r w:rsidRPr="00F72A90">
              <w:rPr>
                <w:rStyle w:val="hps"/>
                <w:b/>
                <w:sz w:val="18"/>
                <w:szCs w:val="18"/>
              </w:rPr>
              <w:t xml:space="preserve">Prinsip-prinsip Konsolidasi - Lanjutan </w:t>
            </w:r>
          </w:p>
        </w:tc>
        <w:tc>
          <w:tcPr>
            <w:tcW w:w="4598" w:type="dxa"/>
          </w:tcPr>
          <w:p w14:paraId="69255E98" w14:textId="77777777" w:rsidR="005E4C90" w:rsidRPr="00F72A90" w:rsidRDefault="005E4C90" w:rsidP="00070D1F">
            <w:pPr>
              <w:pStyle w:val="ListParagraph"/>
              <w:numPr>
                <w:ilvl w:val="0"/>
                <w:numId w:val="195"/>
              </w:numPr>
              <w:ind w:left="574" w:hanging="283"/>
              <w:contextualSpacing/>
              <w:jc w:val="both"/>
              <w:rPr>
                <w:b/>
                <w:bCs w:val="0"/>
                <w:i/>
                <w:sz w:val="18"/>
                <w:szCs w:val="18"/>
              </w:rPr>
            </w:pPr>
            <w:r w:rsidRPr="00F72A90">
              <w:rPr>
                <w:b/>
                <w:bCs w:val="0"/>
                <w:i/>
                <w:iCs/>
                <w:sz w:val="18"/>
                <w:szCs w:val="18"/>
              </w:rPr>
              <w:t>Principle of Consolidation - Continued</w:t>
            </w:r>
          </w:p>
        </w:tc>
      </w:tr>
      <w:tr w:rsidR="005E4C90" w:rsidRPr="005E4C90" w14:paraId="5A1289CB" w14:textId="77777777" w:rsidTr="00BE6E3D">
        <w:tc>
          <w:tcPr>
            <w:tcW w:w="4598" w:type="dxa"/>
          </w:tcPr>
          <w:p w14:paraId="491945F4" w14:textId="77777777" w:rsidR="005E4C90" w:rsidRPr="00F72A90" w:rsidRDefault="005E4C90" w:rsidP="0013526B">
            <w:pPr>
              <w:ind w:left="567"/>
              <w:jc w:val="both"/>
              <w:rPr>
                <w:b/>
                <w:bCs w:val="0"/>
                <w:sz w:val="10"/>
                <w:szCs w:val="10"/>
              </w:rPr>
            </w:pPr>
          </w:p>
        </w:tc>
        <w:tc>
          <w:tcPr>
            <w:tcW w:w="4598" w:type="dxa"/>
          </w:tcPr>
          <w:p w14:paraId="699D7EB3" w14:textId="77777777" w:rsidR="005E4C90" w:rsidRPr="00F72A90" w:rsidRDefault="005E4C90" w:rsidP="0013526B">
            <w:pPr>
              <w:tabs>
                <w:tab w:val="left" w:pos="5590"/>
                <w:tab w:val="right" w:pos="7620"/>
                <w:tab w:val="right" w:pos="9460"/>
                <w:tab w:val="right" w:pos="10080"/>
              </w:tabs>
              <w:ind w:left="567"/>
              <w:jc w:val="both"/>
              <w:rPr>
                <w:b/>
                <w:bCs w:val="0"/>
                <w:i/>
                <w:sz w:val="10"/>
                <w:szCs w:val="10"/>
              </w:rPr>
            </w:pPr>
          </w:p>
        </w:tc>
      </w:tr>
      <w:tr w:rsidR="00C5671A" w:rsidRPr="0013526B" w14:paraId="44FC1216" w14:textId="77777777" w:rsidTr="00BE6E3D">
        <w:tc>
          <w:tcPr>
            <w:tcW w:w="4598" w:type="dxa"/>
          </w:tcPr>
          <w:p w14:paraId="3CBEF4D2" w14:textId="77777777" w:rsidR="00C5671A" w:rsidRPr="00F72A90" w:rsidRDefault="00C5671A" w:rsidP="0013526B">
            <w:pPr>
              <w:ind w:left="567"/>
              <w:jc w:val="both"/>
              <w:rPr>
                <w:bCs w:val="0"/>
                <w:sz w:val="18"/>
                <w:szCs w:val="18"/>
              </w:rPr>
            </w:pPr>
            <w:r w:rsidRPr="00F72A90">
              <w:rPr>
                <w:b/>
                <w:bCs w:val="0"/>
                <w:sz w:val="18"/>
                <w:szCs w:val="18"/>
              </w:rPr>
              <w:t>Entitas Investasi - Pengecualian Konsolidasian</w:t>
            </w:r>
          </w:p>
        </w:tc>
        <w:tc>
          <w:tcPr>
            <w:tcW w:w="4598" w:type="dxa"/>
          </w:tcPr>
          <w:p w14:paraId="04C2EC9E" w14:textId="77777777" w:rsidR="00C5671A" w:rsidRPr="00F72A90" w:rsidRDefault="00C5671A" w:rsidP="0013526B">
            <w:pPr>
              <w:tabs>
                <w:tab w:val="left" w:pos="5590"/>
                <w:tab w:val="right" w:pos="7620"/>
                <w:tab w:val="right" w:pos="9460"/>
                <w:tab w:val="right" w:pos="10080"/>
              </w:tabs>
              <w:ind w:left="567"/>
              <w:jc w:val="both"/>
              <w:rPr>
                <w:bCs w:val="0"/>
                <w:i/>
                <w:sz w:val="18"/>
                <w:szCs w:val="18"/>
              </w:rPr>
            </w:pPr>
            <w:r w:rsidRPr="00F72A90">
              <w:rPr>
                <w:b/>
                <w:bCs w:val="0"/>
                <w:i/>
                <w:sz w:val="18"/>
                <w:szCs w:val="18"/>
              </w:rPr>
              <w:t>Investment Entity - Consolidation Exemption</w:t>
            </w:r>
          </w:p>
        </w:tc>
      </w:tr>
      <w:tr w:rsidR="00C5671A" w:rsidRPr="005E4C90" w14:paraId="175BAEC8" w14:textId="77777777" w:rsidTr="00BE6E3D">
        <w:tc>
          <w:tcPr>
            <w:tcW w:w="4598" w:type="dxa"/>
          </w:tcPr>
          <w:p w14:paraId="154EA1AC" w14:textId="77777777" w:rsidR="00C5671A" w:rsidRPr="00F72A90" w:rsidRDefault="00C5671A" w:rsidP="0013526B">
            <w:pPr>
              <w:pStyle w:val="ListParagraph"/>
              <w:tabs>
                <w:tab w:val="left" w:pos="851"/>
                <w:tab w:val="left" w:pos="884"/>
              </w:tabs>
              <w:ind w:right="-57"/>
              <w:contextualSpacing/>
              <w:jc w:val="both"/>
              <w:rPr>
                <w:bCs w:val="0"/>
                <w:sz w:val="10"/>
                <w:szCs w:val="10"/>
              </w:rPr>
            </w:pPr>
          </w:p>
        </w:tc>
        <w:tc>
          <w:tcPr>
            <w:tcW w:w="4598" w:type="dxa"/>
          </w:tcPr>
          <w:p w14:paraId="049D087F" w14:textId="77777777" w:rsidR="00C5671A" w:rsidRPr="00F72A90" w:rsidRDefault="00C5671A" w:rsidP="0013526B">
            <w:pPr>
              <w:pStyle w:val="ListParagraph"/>
              <w:tabs>
                <w:tab w:val="left" w:pos="851"/>
              </w:tabs>
              <w:contextualSpacing/>
              <w:jc w:val="both"/>
              <w:rPr>
                <w:bCs w:val="0"/>
                <w:i/>
                <w:sz w:val="10"/>
                <w:szCs w:val="10"/>
              </w:rPr>
            </w:pPr>
          </w:p>
        </w:tc>
      </w:tr>
      <w:tr w:rsidR="00C5671A" w:rsidRPr="0013526B" w14:paraId="049BC3E2" w14:textId="77777777" w:rsidTr="00BE6E3D">
        <w:tc>
          <w:tcPr>
            <w:tcW w:w="4598" w:type="dxa"/>
          </w:tcPr>
          <w:p w14:paraId="334CDC70" w14:textId="612986A4" w:rsidR="00C5671A" w:rsidRPr="00F72A90" w:rsidRDefault="00C5671A" w:rsidP="005A27CF">
            <w:pPr>
              <w:ind w:left="567" w:right="-57"/>
              <w:jc w:val="both"/>
              <w:rPr>
                <w:bCs w:val="0"/>
                <w:sz w:val="18"/>
                <w:szCs w:val="18"/>
              </w:rPr>
            </w:pPr>
            <w:r w:rsidRPr="00F72A90">
              <w:rPr>
                <w:bCs w:val="0"/>
                <w:sz w:val="18"/>
                <w:szCs w:val="18"/>
              </w:rPr>
              <w:t>Entitas investasi tidak mengonsolidasi entitas anaknya atau menerapkan PSAK No. 22 (Revisi 2010)</w:t>
            </w:r>
            <w:r w:rsidR="005A27CF">
              <w:rPr>
                <w:bCs w:val="0"/>
                <w:sz w:val="18"/>
                <w:szCs w:val="18"/>
              </w:rPr>
              <w:t>,</w:t>
            </w:r>
            <w:r w:rsidRPr="00F72A90">
              <w:rPr>
                <w:bCs w:val="0"/>
                <w:sz w:val="18"/>
                <w:szCs w:val="18"/>
              </w:rPr>
              <w:t xml:space="preserve"> “Kombinasi Bisnis” ketika entitas tersebut memperoleh pengendalian atas entitas lain. Ketika entitas menjadi</w:t>
            </w:r>
            <w:r w:rsidR="005A27CF">
              <w:rPr>
                <w:bCs w:val="0"/>
                <w:sz w:val="18"/>
                <w:szCs w:val="18"/>
              </w:rPr>
              <w:t>,</w:t>
            </w:r>
            <w:r w:rsidRPr="00F72A90">
              <w:rPr>
                <w:bCs w:val="0"/>
                <w:sz w:val="18"/>
                <w:szCs w:val="18"/>
              </w:rPr>
              <w:t xml:space="preserve"> atau berhenti</w:t>
            </w:r>
            <w:r w:rsidR="005A27CF">
              <w:rPr>
                <w:bCs w:val="0"/>
                <w:sz w:val="18"/>
                <w:szCs w:val="18"/>
              </w:rPr>
              <w:t>,</w:t>
            </w:r>
            <w:r w:rsidRPr="00F72A90">
              <w:rPr>
                <w:bCs w:val="0"/>
                <w:sz w:val="18"/>
                <w:szCs w:val="18"/>
              </w:rPr>
              <w:t xml:space="preserve"> menjadi entitas investasi</w:t>
            </w:r>
            <w:r w:rsidR="005A27CF">
              <w:rPr>
                <w:bCs w:val="0"/>
                <w:sz w:val="18"/>
                <w:szCs w:val="18"/>
              </w:rPr>
              <w:t>,</w:t>
            </w:r>
            <w:r w:rsidRPr="00F72A90">
              <w:rPr>
                <w:bCs w:val="0"/>
                <w:sz w:val="18"/>
                <w:szCs w:val="18"/>
              </w:rPr>
              <w:t xml:space="preserve"> entitas menerapkan secara prospektif perubahan statusnya dari tanggal terjadinya perubahan status tersebut.</w:t>
            </w:r>
          </w:p>
        </w:tc>
        <w:tc>
          <w:tcPr>
            <w:tcW w:w="4598" w:type="dxa"/>
          </w:tcPr>
          <w:p w14:paraId="26B18DDB" w14:textId="66C97BD0" w:rsidR="00C5671A" w:rsidRPr="00F72A90" w:rsidRDefault="00C5671A" w:rsidP="005A27CF">
            <w:pPr>
              <w:ind w:left="567" w:right="-57"/>
              <w:jc w:val="both"/>
              <w:rPr>
                <w:bCs w:val="0"/>
                <w:i/>
                <w:sz w:val="18"/>
                <w:szCs w:val="18"/>
              </w:rPr>
            </w:pPr>
            <w:r w:rsidRPr="00F72A90">
              <w:rPr>
                <w:bCs w:val="0"/>
                <w:i/>
                <w:sz w:val="18"/>
                <w:szCs w:val="18"/>
              </w:rPr>
              <w:t>Investment Entity does not consolidate its subsidiaries</w:t>
            </w:r>
            <w:r w:rsidR="00870FD0">
              <w:rPr>
                <w:bCs w:val="0"/>
                <w:i/>
                <w:sz w:val="18"/>
                <w:szCs w:val="18"/>
              </w:rPr>
              <w:t>.</w:t>
            </w:r>
            <w:r w:rsidRPr="00F72A90">
              <w:rPr>
                <w:bCs w:val="0"/>
                <w:i/>
                <w:sz w:val="18"/>
                <w:szCs w:val="18"/>
              </w:rPr>
              <w:t xml:space="preserve"> </w:t>
            </w:r>
            <w:proofErr w:type="gramStart"/>
            <w:r w:rsidRPr="00F72A90">
              <w:rPr>
                <w:bCs w:val="0"/>
                <w:i/>
                <w:sz w:val="18"/>
                <w:szCs w:val="18"/>
              </w:rPr>
              <w:t>or</w:t>
            </w:r>
            <w:proofErr w:type="gramEnd"/>
            <w:r w:rsidRPr="00F72A90">
              <w:rPr>
                <w:bCs w:val="0"/>
                <w:i/>
                <w:sz w:val="18"/>
                <w:szCs w:val="18"/>
              </w:rPr>
              <w:t xml:space="preserve"> apply PSAK No. 22 (Revised 2010)</w:t>
            </w:r>
            <w:r w:rsidR="005A27CF">
              <w:rPr>
                <w:bCs w:val="0"/>
                <w:i/>
                <w:sz w:val="18"/>
                <w:szCs w:val="18"/>
              </w:rPr>
              <w:t>,</w:t>
            </w:r>
            <w:r w:rsidRPr="00F72A90">
              <w:rPr>
                <w:bCs w:val="0"/>
                <w:i/>
                <w:sz w:val="18"/>
                <w:szCs w:val="18"/>
              </w:rPr>
              <w:t xml:space="preserve"> “Business Combinations” when it obtains control of another entity. When an entity becomes</w:t>
            </w:r>
            <w:r w:rsidR="005A27CF">
              <w:rPr>
                <w:bCs w:val="0"/>
                <w:i/>
                <w:sz w:val="18"/>
                <w:szCs w:val="18"/>
              </w:rPr>
              <w:t>,</w:t>
            </w:r>
            <w:r w:rsidRPr="00F72A90">
              <w:rPr>
                <w:bCs w:val="0"/>
                <w:i/>
                <w:sz w:val="18"/>
                <w:szCs w:val="18"/>
              </w:rPr>
              <w:t xml:space="preserve"> or ceases to be</w:t>
            </w:r>
            <w:r w:rsidR="005A27CF">
              <w:rPr>
                <w:bCs w:val="0"/>
                <w:i/>
                <w:sz w:val="18"/>
                <w:szCs w:val="18"/>
              </w:rPr>
              <w:t>,</w:t>
            </w:r>
            <w:r w:rsidRPr="00F72A90">
              <w:rPr>
                <w:bCs w:val="0"/>
                <w:i/>
                <w:sz w:val="18"/>
                <w:szCs w:val="18"/>
              </w:rPr>
              <w:t xml:space="preserve"> an investment entity</w:t>
            </w:r>
            <w:r w:rsidR="005A27CF">
              <w:rPr>
                <w:bCs w:val="0"/>
                <w:i/>
                <w:sz w:val="18"/>
                <w:szCs w:val="18"/>
              </w:rPr>
              <w:t>,</w:t>
            </w:r>
            <w:r w:rsidRPr="00F72A90">
              <w:rPr>
                <w:bCs w:val="0"/>
                <w:i/>
                <w:sz w:val="18"/>
                <w:szCs w:val="18"/>
              </w:rPr>
              <w:t xml:space="preserve"> it applies its status change prospectively from the date of change.</w:t>
            </w:r>
          </w:p>
        </w:tc>
      </w:tr>
      <w:tr w:rsidR="00C5671A" w:rsidRPr="007109B1" w14:paraId="285A6998" w14:textId="77777777" w:rsidTr="00BE6E3D">
        <w:tc>
          <w:tcPr>
            <w:tcW w:w="4598" w:type="dxa"/>
          </w:tcPr>
          <w:p w14:paraId="66B666DA" w14:textId="77777777" w:rsidR="00C5671A" w:rsidRPr="00F72A90" w:rsidRDefault="00C5671A" w:rsidP="0013526B">
            <w:pPr>
              <w:pStyle w:val="ListParagraph"/>
              <w:tabs>
                <w:tab w:val="left" w:pos="851"/>
                <w:tab w:val="left" w:pos="884"/>
              </w:tabs>
              <w:ind w:right="-57"/>
              <w:contextualSpacing/>
              <w:jc w:val="both"/>
              <w:rPr>
                <w:bCs w:val="0"/>
                <w:sz w:val="10"/>
                <w:szCs w:val="16"/>
              </w:rPr>
            </w:pPr>
          </w:p>
        </w:tc>
        <w:tc>
          <w:tcPr>
            <w:tcW w:w="4598" w:type="dxa"/>
          </w:tcPr>
          <w:p w14:paraId="7E94AA69" w14:textId="77777777" w:rsidR="00C5671A" w:rsidRPr="00F72A90" w:rsidRDefault="00C5671A" w:rsidP="0013526B">
            <w:pPr>
              <w:pStyle w:val="ListParagraph"/>
              <w:tabs>
                <w:tab w:val="left" w:pos="851"/>
              </w:tabs>
              <w:contextualSpacing/>
              <w:jc w:val="both"/>
              <w:rPr>
                <w:bCs w:val="0"/>
                <w:i/>
                <w:sz w:val="10"/>
                <w:szCs w:val="16"/>
              </w:rPr>
            </w:pPr>
          </w:p>
        </w:tc>
      </w:tr>
      <w:tr w:rsidR="00C5671A" w:rsidRPr="0013526B" w14:paraId="6CFC46F3" w14:textId="77777777" w:rsidTr="00BE6E3D">
        <w:tc>
          <w:tcPr>
            <w:tcW w:w="4598" w:type="dxa"/>
          </w:tcPr>
          <w:p w14:paraId="2F91B1FA" w14:textId="77777777" w:rsidR="00C5671A" w:rsidRPr="00F72A90" w:rsidRDefault="00C5671A" w:rsidP="0013526B">
            <w:pPr>
              <w:ind w:left="567"/>
              <w:jc w:val="both"/>
              <w:rPr>
                <w:bCs w:val="0"/>
                <w:sz w:val="18"/>
                <w:szCs w:val="18"/>
              </w:rPr>
            </w:pPr>
            <w:r w:rsidRPr="00F72A90">
              <w:rPr>
                <w:bCs w:val="0"/>
                <w:sz w:val="18"/>
                <w:szCs w:val="18"/>
              </w:rPr>
              <w:t>Entitas investasi adalah entitas yang:</w:t>
            </w:r>
          </w:p>
        </w:tc>
        <w:tc>
          <w:tcPr>
            <w:tcW w:w="4598" w:type="dxa"/>
          </w:tcPr>
          <w:p w14:paraId="0365A1C9" w14:textId="62850E34" w:rsidR="00C5671A" w:rsidRPr="00F72A90" w:rsidRDefault="00C5671A" w:rsidP="0013526B">
            <w:pPr>
              <w:ind w:left="567"/>
              <w:jc w:val="both"/>
              <w:rPr>
                <w:bCs w:val="0"/>
                <w:i/>
                <w:sz w:val="18"/>
                <w:szCs w:val="18"/>
              </w:rPr>
            </w:pPr>
            <w:r w:rsidRPr="00F72A90">
              <w:rPr>
                <w:bCs w:val="0"/>
                <w:i/>
                <w:sz w:val="18"/>
                <w:szCs w:val="18"/>
              </w:rPr>
              <w:t xml:space="preserve">An </w:t>
            </w:r>
            <w:r w:rsidR="00F72A90">
              <w:rPr>
                <w:bCs w:val="0"/>
                <w:i/>
                <w:sz w:val="18"/>
                <w:szCs w:val="18"/>
              </w:rPr>
              <w:t>i</w:t>
            </w:r>
            <w:r w:rsidRPr="00F72A90">
              <w:rPr>
                <w:bCs w:val="0"/>
                <w:i/>
                <w:sz w:val="18"/>
                <w:szCs w:val="18"/>
              </w:rPr>
              <w:t>nvestment Entity is an entity that:</w:t>
            </w:r>
          </w:p>
        </w:tc>
      </w:tr>
      <w:tr w:rsidR="00C5671A" w:rsidRPr="007109B1" w14:paraId="16E749F8" w14:textId="77777777" w:rsidTr="00BE6E3D">
        <w:tc>
          <w:tcPr>
            <w:tcW w:w="4598" w:type="dxa"/>
          </w:tcPr>
          <w:p w14:paraId="253ADB8E" w14:textId="77777777" w:rsidR="00C5671A" w:rsidRPr="00F72A90" w:rsidRDefault="00C5671A" w:rsidP="0013526B">
            <w:pPr>
              <w:pStyle w:val="ListParagraph"/>
              <w:tabs>
                <w:tab w:val="left" w:pos="851"/>
                <w:tab w:val="left" w:pos="884"/>
              </w:tabs>
              <w:ind w:right="-57"/>
              <w:contextualSpacing/>
              <w:jc w:val="both"/>
              <w:rPr>
                <w:bCs w:val="0"/>
                <w:sz w:val="10"/>
                <w:szCs w:val="16"/>
              </w:rPr>
            </w:pPr>
          </w:p>
        </w:tc>
        <w:tc>
          <w:tcPr>
            <w:tcW w:w="4598" w:type="dxa"/>
          </w:tcPr>
          <w:p w14:paraId="5E05930D" w14:textId="77777777" w:rsidR="00C5671A" w:rsidRPr="00F72A90" w:rsidRDefault="00C5671A" w:rsidP="0013526B">
            <w:pPr>
              <w:pStyle w:val="ListParagraph"/>
              <w:tabs>
                <w:tab w:val="left" w:pos="851"/>
              </w:tabs>
              <w:contextualSpacing/>
              <w:jc w:val="both"/>
              <w:rPr>
                <w:bCs w:val="0"/>
                <w:i/>
                <w:sz w:val="10"/>
                <w:szCs w:val="16"/>
              </w:rPr>
            </w:pPr>
          </w:p>
        </w:tc>
      </w:tr>
      <w:tr w:rsidR="00C5671A" w:rsidRPr="0013526B" w14:paraId="02CB6A0B" w14:textId="77777777" w:rsidTr="00BE6E3D">
        <w:tc>
          <w:tcPr>
            <w:tcW w:w="4598" w:type="dxa"/>
          </w:tcPr>
          <w:p w14:paraId="420D6651" w14:textId="77777777" w:rsidR="00C5671A" w:rsidRPr="00F72A90" w:rsidRDefault="00C5671A" w:rsidP="00070D1F">
            <w:pPr>
              <w:pStyle w:val="ListParagraph"/>
              <w:numPr>
                <w:ilvl w:val="0"/>
                <w:numId w:val="72"/>
              </w:numPr>
              <w:tabs>
                <w:tab w:val="left" w:pos="851"/>
                <w:tab w:val="left" w:pos="884"/>
              </w:tabs>
              <w:ind w:left="851" w:right="-57" w:hanging="284"/>
              <w:contextualSpacing/>
              <w:jc w:val="both"/>
              <w:rPr>
                <w:bCs w:val="0"/>
                <w:sz w:val="18"/>
                <w:szCs w:val="18"/>
              </w:rPr>
            </w:pPr>
            <w:r w:rsidRPr="00F72A90">
              <w:rPr>
                <w:bCs w:val="0"/>
                <w:sz w:val="18"/>
                <w:szCs w:val="18"/>
              </w:rPr>
              <w:t>memperoleh dana dari satu atau lebih investor dengan tujuan memberikan investor tersebut jasa manajemen investasi;</w:t>
            </w:r>
          </w:p>
        </w:tc>
        <w:tc>
          <w:tcPr>
            <w:tcW w:w="4598" w:type="dxa"/>
          </w:tcPr>
          <w:p w14:paraId="171B063F" w14:textId="77777777" w:rsidR="00C5671A" w:rsidRPr="00F72A90" w:rsidRDefault="00C5671A" w:rsidP="00070D1F">
            <w:pPr>
              <w:pStyle w:val="ListParagraph"/>
              <w:numPr>
                <w:ilvl w:val="0"/>
                <w:numId w:val="73"/>
              </w:numPr>
              <w:tabs>
                <w:tab w:val="left" w:pos="851"/>
              </w:tabs>
              <w:ind w:left="851" w:right="-57" w:hanging="284"/>
              <w:contextualSpacing/>
              <w:jc w:val="both"/>
              <w:rPr>
                <w:bCs w:val="0"/>
                <w:i/>
                <w:sz w:val="18"/>
                <w:szCs w:val="18"/>
              </w:rPr>
            </w:pPr>
            <w:r w:rsidRPr="00F72A90">
              <w:rPr>
                <w:bCs w:val="0"/>
                <w:i/>
                <w:sz w:val="18"/>
                <w:szCs w:val="18"/>
              </w:rPr>
              <w:t>obtains funds from one or more investors for the purpose of providing those investor(s) with investment management services;</w:t>
            </w:r>
          </w:p>
        </w:tc>
      </w:tr>
      <w:tr w:rsidR="00C5671A" w:rsidRPr="007109B1" w14:paraId="0D58967F" w14:textId="77777777" w:rsidTr="00BE6E3D">
        <w:tc>
          <w:tcPr>
            <w:tcW w:w="4598" w:type="dxa"/>
          </w:tcPr>
          <w:p w14:paraId="50AFE297" w14:textId="77777777" w:rsidR="00C5671A" w:rsidRPr="00F72A90" w:rsidRDefault="00C5671A" w:rsidP="0013526B">
            <w:pPr>
              <w:pStyle w:val="ListParagraph"/>
              <w:tabs>
                <w:tab w:val="left" w:pos="851"/>
                <w:tab w:val="left" w:pos="884"/>
              </w:tabs>
              <w:ind w:right="-57"/>
              <w:contextualSpacing/>
              <w:jc w:val="both"/>
              <w:rPr>
                <w:bCs w:val="0"/>
                <w:sz w:val="10"/>
                <w:szCs w:val="16"/>
              </w:rPr>
            </w:pPr>
          </w:p>
        </w:tc>
        <w:tc>
          <w:tcPr>
            <w:tcW w:w="4598" w:type="dxa"/>
          </w:tcPr>
          <w:p w14:paraId="06949659" w14:textId="77777777" w:rsidR="00C5671A" w:rsidRPr="00F72A90" w:rsidRDefault="00C5671A" w:rsidP="0013526B">
            <w:pPr>
              <w:pStyle w:val="ListParagraph"/>
              <w:tabs>
                <w:tab w:val="left" w:pos="851"/>
              </w:tabs>
              <w:contextualSpacing/>
              <w:jc w:val="both"/>
              <w:rPr>
                <w:bCs w:val="0"/>
                <w:i/>
                <w:sz w:val="10"/>
                <w:szCs w:val="16"/>
              </w:rPr>
            </w:pPr>
          </w:p>
        </w:tc>
      </w:tr>
      <w:tr w:rsidR="00C5671A" w:rsidRPr="0013526B" w14:paraId="6D0C0262" w14:textId="77777777" w:rsidTr="00BE6E3D">
        <w:tc>
          <w:tcPr>
            <w:tcW w:w="4598" w:type="dxa"/>
          </w:tcPr>
          <w:p w14:paraId="1A924887" w14:textId="071A5157" w:rsidR="00C5671A" w:rsidRPr="00F72A90" w:rsidRDefault="00C5671A" w:rsidP="00070D1F">
            <w:pPr>
              <w:pStyle w:val="ListParagraph"/>
              <w:numPr>
                <w:ilvl w:val="0"/>
                <w:numId w:val="72"/>
              </w:numPr>
              <w:tabs>
                <w:tab w:val="left" w:pos="851"/>
                <w:tab w:val="left" w:pos="884"/>
              </w:tabs>
              <w:ind w:left="851" w:right="-57" w:hanging="284"/>
              <w:contextualSpacing/>
              <w:jc w:val="both"/>
              <w:rPr>
                <w:bCs w:val="0"/>
                <w:sz w:val="18"/>
                <w:szCs w:val="18"/>
              </w:rPr>
            </w:pPr>
            <w:proofErr w:type="gramStart"/>
            <w:r w:rsidRPr="00F72A90">
              <w:rPr>
                <w:bCs w:val="0"/>
                <w:sz w:val="18"/>
                <w:szCs w:val="18"/>
              </w:rPr>
              <w:t>menyatakan</w:t>
            </w:r>
            <w:proofErr w:type="gramEnd"/>
            <w:r w:rsidRPr="00F72A90">
              <w:rPr>
                <w:bCs w:val="0"/>
                <w:sz w:val="18"/>
                <w:szCs w:val="18"/>
              </w:rPr>
              <w:t xml:space="preserve"> komitmen kepada investor bahwa tujuan bisnisnya adalah untuk menginvestasikan dana yang semata­mata untuk memperoleh imbal hasil dari kenaikan nilai modal</w:t>
            </w:r>
            <w:r w:rsidR="005A27CF">
              <w:rPr>
                <w:bCs w:val="0"/>
                <w:sz w:val="18"/>
                <w:szCs w:val="18"/>
              </w:rPr>
              <w:t>,</w:t>
            </w:r>
            <w:r w:rsidRPr="00F72A90">
              <w:rPr>
                <w:bCs w:val="0"/>
                <w:sz w:val="18"/>
                <w:szCs w:val="18"/>
              </w:rPr>
              <w:t xml:space="preserve"> penghasilan investasi</w:t>
            </w:r>
            <w:r w:rsidR="00870FD0">
              <w:rPr>
                <w:bCs w:val="0"/>
                <w:sz w:val="18"/>
                <w:szCs w:val="18"/>
              </w:rPr>
              <w:t>.</w:t>
            </w:r>
            <w:r w:rsidRPr="00F72A90">
              <w:rPr>
                <w:bCs w:val="0"/>
                <w:sz w:val="18"/>
                <w:szCs w:val="18"/>
              </w:rPr>
              <w:t xml:space="preserve"> atau keduanya; dan</w:t>
            </w:r>
          </w:p>
        </w:tc>
        <w:tc>
          <w:tcPr>
            <w:tcW w:w="4598" w:type="dxa"/>
          </w:tcPr>
          <w:p w14:paraId="78F513F8" w14:textId="1C101E93" w:rsidR="00C5671A" w:rsidRPr="00F72A90" w:rsidRDefault="00C5671A" w:rsidP="00070D1F">
            <w:pPr>
              <w:pStyle w:val="ListParagraph"/>
              <w:numPr>
                <w:ilvl w:val="0"/>
                <w:numId w:val="73"/>
              </w:numPr>
              <w:tabs>
                <w:tab w:val="left" w:pos="851"/>
              </w:tabs>
              <w:ind w:left="851" w:right="-57" w:hanging="284"/>
              <w:contextualSpacing/>
              <w:jc w:val="both"/>
              <w:rPr>
                <w:bCs w:val="0"/>
                <w:i/>
                <w:sz w:val="18"/>
                <w:szCs w:val="18"/>
              </w:rPr>
            </w:pPr>
            <w:proofErr w:type="gramStart"/>
            <w:r w:rsidRPr="00F72A90">
              <w:rPr>
                <w:bCs w:val="0"/>
                <w:i/>
                <w:sz w:val="18"/>
                <w:szCs w:val="18"/>
              </w:rPr>
              <w:t>commits</w:t>
            </w:r>
            <w:proofErr w:type="gramEnd"/>
            <w:r w:rsidRPr="00F72A90">
              <w:rPr>
                <w:bCs w:val="0"/>
                <w:i/>
                <w:sz w:val="18"/>
                <w:szCs w:val="18"/>
              </w:rPr>
              <w:t xml:space="preserve"> to its investor(s) that its business purpose is to invest funds solely for returns from capital appreciation</w:t>
            </w:r>
            <w:r w:rsidR="00870FD0">
              <w:rPr>
                <w:bCs w:val="0"/>
                <w:i/>
                <w:sz w:val="18"/>
                <w:szCs w:val="18"/>
              </w:rPr>
              <w:t>.</w:t>
            </w:r>
            <w:r w:rsidRPr="00F72A90">
              <w:rPr>
                <w:bCs w:val="0"/>
                <w:i/>
                <w:sz w:val="18"/>
                <w:szCs w:val="18"/>
              </w:rPr>
              <w:t xml:space="preserve"> investment income</w:t>
            </w:r>
            <w:r w:rsidR="00870FD0">
              <w:rPr>
                <w:bCs w:val="0"/>
                <w:i/>
                <w:sz w:val="18"/>
                <w:szCs w:val="18"/>
              </w:rPr>
              <w:t>.</w:t>
            </w:r>
            <w:r w:rsidR="005A27CF">
              <w:rPr>
                <w:bCs w:val="0"/>
                <w:i/>
                <w:sz w:val="18"/>
                <w:szCs w:val="18"/>
              </w:rPr>
              <w:t>,</w:t>
            </w:r>
            <w:r w:rsidRPr="00F72A90">
              <w:rPr>
                <w:bCs w:val="0"/>
                <w:i/>
                <w:sz w:val="18"/>
                <w:szCs w:val="18"/>
              </w:rPr>
              <w:t xml:space="preserve"> or both;</w:t>
            </w:r>
            <w:r w:rsidR="005A27CF">
              <w:rPr>
                <w:bCs w:val="0"/>
                <w:i/>
                <w:sz w:val="18"/>
                <w:szCs w:val="18"/>
              </w:rPr>
              <w:t xml:space="preserve"> </w:t>
            </w:r>
            <w:r w:rsidRPr="00F72A90">
              <w:rPr>
                <w:bCs w:val="0"/>
                <w:i/>
                <w:sz w:val="18"/>
                <w:szCs w:val="18"/>
              </w:rPr>
              <w:t>and</w:t>
            </w:r>
          </w:p>
        </w:tc>
      </w:tr>
      <w:tr w:rsidR="00C5671A" w:rsidRPr="007109B1" w14:paraId="2641799C" w14:textId="77777777" w:rsidTr="00BE6E3D">
        <w:tc>
          <w:tcPr>
            <w:tcW w:w="4598" w:type="dxa"/>
          </w:tcPr>
          <w:p w14:paraId="00C45C05" w14:textId="77777777" w:rsidR="00C5671A" w:rsidRPr="00F72A90" w:rsidRDefault="00C5671A" w:rsidP="0013526B">
            <w:pPr>
              <w:pStyle w:val="ListParagraph"/>
              <w:tabs>
                <w:tab w:val="left" w:pos="851"/>
                <w:tab w:val="left" w:pos="884"/>
              </w:tabs>
              <w:ind w:right="-57"/>
              <w:contextualSpacing/>
              <w:jc w:val="both"/>
              <w:rPr>
                <w:bCs w:val="0"/>
                <w:sz w:val="10"/>
                <w:szCs w:val="16"/>
              </w:rPr>
            </w:pPr>
          </w:p>
        </w:tc>
        <w:tc>
          <w:tcPr>
            <w:tcW w:w="4598" w:type="dxa"/>
          </w:tcPr>
          <w:p w14:paraId="080AED62" w14:textId="77777777" w:rsidR="00C5671A" w:rsidRPr="00F72A90" w:rsidRDefault="00C5671A" w:rsidP="0013526B">
            <w:pPr>
              <w:pStyle w:val="ListParagraph"/>
              <w:tabs>
                <w:tab w:val="left" w:pos="851"/>
              </w:tabs>
              <w:contextualSpacing/>
              <w:jc w:val="both"/>
              <w:rPr>
                <w:bCs w:val="0"/>
                <w:i/>
                <w:sz w:val="10"/>
                <w:szCs w:val="16"/>
              </w:rPr>
            </w:pPr>
          </w:p>
        </w:tc>
      </w:tr>
      <w:tr w:rsidR="00C5671A" w:rsidRPr="0013526B" w14:paraId="25426F7B" w14:textId="77777777" w:rsidTr="00BE6E3D">
        <w:tc>
          <w:tcPr>
            <w:tcW w:w="4598" w:type="dxa"/>
          </w:tcPr>
          <w:p w14:paraId="38E30CB5" w14:textId="77777777" w:rsidR="00C5671A" w:rsidRPr="00F72A90" w:rsidRDefault="00C5671A" w:rsidP="00070D1F">
            <w:pPr>
              <w:pStyle w:val="ListParagraph"/>
              <w:numPr>
                <w:ilvl w:val="0"/>
                <w:numId w:val="72"/>
              </w:numPr>
              <w:tabs>
                <w:tab w:val="left" w:pos="851"/>
                <w:tab w:val="left" w:pos="884"/>
              </w:tabs>
              <w:ind w:left="851" w:right="-57" w:hanging="284"/>
              <w:contextualSpacing/>
              <w:jc w:val="both"/>
              <w:rPr>
                <w:bCs w:val="0"/>
                <w:sz w:val="18"/>
                <w:szCs w:val="18"/>
              </w:rPr>
            </w:pPr>
            <w:proofErr w:type="gramStart"/>
            <w:r w:rsidRPr="00F72A90">
              <w:rPr>
                <w:bCs w:val="0"/>
                <w:sz w:val="18"/>
                <w:szCs w:val="18"/>
              </w:rPr>
              <w:t>mengukur</w:t>
            </w:r>
            <w:proofErr w:type="gramEnd"/>
            <w:r w:rsidRPr="00F72A90">
              <w:rPr>
                <w:bCs w:val="0"/>
                <w:sz w:val="18"/>
                <w:szCs w:val="18"/>
              </w:rPr>
              <w:t xml:space="preserve"> dan mengevaluasi kinerja dari seluruh investasinya yang substansial berdasarkan pada nilai wajar.</w:t>
            </w:r>
          </w:p>
        </w:tc>
        <w:tc>
          <w:tcPr>
            <w:tcW w:w="4598" w:type="dxa"/>
          </w:tcPr>
          <w:p w14:paraId="796B5255" w14:textId="77777777" w:rsidR="00C5671A" w:rsidRPr="00F72A90" w:rsidRDefault="00C5671A" w:rsidP="00070D1F">
            <w:pPr>
              <w:pStyle w:val="ListParagraph"/>
              <w:numPr>
                <w:ilvl w:val="0"/>
                <w:numId w:val="73"/>
              </w:numPr>
              <w:tabs>
                <w:tab w:val="left" w:pos="851"/>
              </w:tabs>
              <w:ind w:left="851" w:right="-57" w:hanging="284"/>
              <w:contextualSpacing/>
              <w:jc w:val="both"/>
              <w:rPr>
                <w:bCs w:val="0"/>
                <w:i/>
                <w:sz w:val="18"/>
                <w:szCs w:val="18"/>
              </w:rPr>
            </w:pPr>
            <w:proofErr w:type="gramStart"/>
            <w:r w:rsidRPr="00F72A90">
              <w:rPr>
                <w:bCs w:val="0"/>
                <w:i/>
                <w:sz w:val="18"/>
                <w:szCs w:val="18"/>
              </w:rPr>
              <w:t>measures</w:t>
            </w:r>
            <w:proofErr w:type="gramEnd"/>
            <w:r w:rsidRPr="00F72A90">
              <w:rPr>
                <w:bCs w:val="0"/>
                <w:i/>
                <w:sz w:val="18"/>
                <w:szCs w:val="18"/>
              </w:rPr>
              <w:t xml:space="preserve"> and evaluates the performance of substantially all of its investments on a fair value basis.</w:t>
            </w:r>
          </w:p>
        </w:tc>
      </w:tr>
      <w:tr w:rsidR="00C5671A" w:rsidRPr="007109B1" w14:paraId="4D6A9724" w14:textId="77777777" w:rsidTr="00BE6E3D">
        <w:tc>
          <w:tcPr>
            <w:tcW w:w="4598" w:type="dxa"/>
          </w:tcPr>
          <w:p w14:paraId="00BB8B0B" w14:textId="77777777" w:rsidR="00C5671A" w:rsidRPr="00F72A90" w:rsidRDefault="00C5671A" w:rsidP="0013526B">
            <w:pPr>
              <w:pStyle w:val="ListParagraph"/>
              <w:tabs>
                <w:tab w:val="left" w:pos="851"/>
                <w:tab w:val="left" w:pos="884"/>
              </w:tabs>
              <w:ind w:right="-57"/>
              <w:contextualSpacing/>
              <w:jc w:val="both"/>
              <w:rPr>
                <w:bCs w:val="0"/>
                <w:sz w:val="10"/>
                <w:szCs w:val="16"/>
              </w:rPr>
            </w:pPr>
          </w:p>
        </w:tc>
        <w:tc>
          <w:tcPr>
            <w:tcW w:w="4598" w:type="dxa"/>
          </w:tcPr>
          <w:p w14:paraId="35D1D1CE" w14:textId="77777777" w:rsidR="00C5671A" w:rsidRPr="00F72A90" w:rsidRDefault="00C5671A" w:rsidP="0013526B">
            <w:pPr>
              <w:pStyle w:val="ListParagraph"/>
              <w:tabs>
                <w:tab w:val="left" w:pos="851"/>
              </w:tabs>
              <w:ind w:left="851"/>
              <w:contextualSpacing/>
              <w:jc w:val="both"/>
              <w:rPr>
                <w:bCs w:val="0"/>
                <w:i/>
                <w:sz w:val="10"/>
                <w:szCs w:val="16"/>
              </w:rPr>
            </w:pPr>
          </w:p>
        </w:tc>
      </w:tr>
      <w:tr w:rsidR="00C5671A" w:rsidRPr="0013526B" w14:paraId="3C8921EA" w14:textId="77777777" w:rsidTr="00BE6E3D">
        <w:tc>
          <w:tcPr>
            <w:tcW w:w="4598" w:type="dxa"/>
          </w:tcPr>
          <w:p w14:paraId="0D351413" w14:textId="51DE5E0F" w:rsidR="00C5671A" w:rsidRPr="00F72A90" w:rsidRDefault="00C5671A" w:rsidP="0013526B">
            <w:pPr>
              <w:ind w:left="567" w:right="-57"/>
              <w:jc w:val="both"/>
              <w:rPr>
                <w:bCs w:val="0"/>
                <w:sz w:val="18"/>
                <w:szCs w:val="18"/>
              </w:rPr>
            </w:pPr>
            <w:r w:rsidRPr="00F72A90">
              <w:rPr>
                <w:bCs w:val="0"/>
                <w:sz w:val="18"/>
                <w:szCs w:val="18"/>
              </w:rPr>
              <w:t>Entitas di</w:t>
            </w:r>
            <w:r w:rsidR="00E61747" w:rsidRPr="00F72A90">
              <w:rPr>
                <w:bCs w:val="0"/>
                <w:sz w:val="18"/>
                <w:szCs w:val="18"/>
              </w:rPr>
              <w:t>s</w:t>
            </w:r>
            <w:r w:rsidRPr="00F72A90">
              <w:rPr>
                <w:bCs w:val="0"/>
                <w:sz w:val="18"/>
                <w:szCs w:val="18"/>
              </w:rPr>
              <w:t>yaratkan untuk mempertimbangkan semua fakta dan keadaan apakah entitas merupakan entitas investasi</w:t>
            </w:r>
            <w:r w:rsidR="00870FD0">
              <w:rPr>
                <w:bCs w:val="0"/>
                <w:sz w:val="18"/>
                <w:szCs w:val="18"/>
              </w:rPr>
              <w:t>.</w:t>
            </w:r>
            <w:r w:rsidRPr="00F72A90">
              <w:rPr>
                <w:bCs w:val="0"/>
                <w:sz w:val="18"/>
                <w:szCs w:val="18"/>
              </w:rPr>
              <w:t xml:space="preserve"> termasuk tujuan dan desainnya seperti:</w:t>
            </w:r>
          </w:p>
        </w:tc>
        <w:tc>
          <w:tcPr>
            <w:tcW w:w="4598" w:type="dxa"/>
          </w:tcPr>
          <w:p w14:paraId="484FE821" w14:textId="0C46A432" w:rsidR="00C5671A" w:rsidRPr="00F72A90" w:rsidRDefault="00C5671A" w:rsidP="005A27CF">
            <w:pPr>
              <w:tabs>
                <w:tab w:val="left" w:pos="5590"/>
                <w:tab w:val="right" w:pos="7620"/>
                <w:tab w:val="right" w:pos="9460"/>
                <w:tab w:val="right" w:pos="10080"/>
              </w:tabs>
              <w:ind w:left="567" w:right="-57"/>
              <w:jc w:val="both"/>
              <w:rPr>
                <w:bCs w:val="0"/>
                <w:i/>
                <w:sz w:val="18"/>
                <w:szCs w:val="18"/>
              </w:rPr>
            </w:pPr>
            <w:r w:rsidRPr="00F72A90">
              <w:rPr>
                <w:bCs w:val="0"/>
                <w:i/>
                <w:sz w:val="18"/>
                <w:szCs w:val="18"/>
              </w:rPr>
              <w:t xml:space="preserve">An </w:t>
            </w:r>
            <w:r w:rsidR="00F72A90">
              <w:rPr>
                <w:bCs w:val="0"/>
                <w:i/>
                <w:sz w:val="18"/>
                <w:szCs w:val="18"/>
              </w:rPr>
              <w:t>E</w:t>
            </w:r>
            <w:r w:rsidRPr="00F72A90">
              <w:rPr>
                <w:bCs w:val="0"/>
                <w:i/>
                <w:sz w:val="18"/>
                <w:szCs w:val="18"/>
              </w:rPr>
              <w:t>ntity is required to consider all facts and circumstances when determining whether it is an investment entity</w:t>
            </w:r>
            <w:r w:rsidR="005A27CF">
              <w:rPr>
                <w:bCs w:val="0"/>
                <w:i/>
                <w:sz w:val="18"/>
                <w:szCs w:val="18"/>
              </w:rPr>
              <w:t>,</w:t>
            </w:r>
            <w:r w:rsidRPr="00F72A90">
              <w:rPr>
                <w:bCs w:val="0"/>
                <w:i/>
                <w:sz w:val="18"/>
                <w:szCs w:val="18"/>
              </w:rPr>
              <w:t xml:space="preserve"> including its purpose and design such as:</w:t>
            </w:r>
          </w:p>
        </w:tc>
      </w:tr>
      <w:tr w:rsidR="00C5671A" w:rsidRPr="0013526B" w14:paraId="501F24EF" w14:textId="77777777" w:rsidTr="00BE6E3D">
        <w:tc>
          <w:tcPr>
            <w:tcW w:w="4598" w:type="dxa"/>
          </w:tcPr>
          <w:p w14:paraId="73E6E55F" w14:textId="77777777" w:rsidR="00C5671A" w:rsidRPr="00F72A90" w:rsidRDefault="00C5671A" w:rsidP="00070D1F">
            <w:pPr>
              <w:pStyle w:val="ListParagraph"/>
              <w:numPr>
                <w:ilvl w:val="0"/>
                <w:numId w:val="74"/>
              </w:numPr>
              <w:tabs>
                <w:tab w:val="left" w:pos="851"/>
                <w:tab w:val="left" w:pos="884"/>
              </w:tabs>
              <w:ind w:left="851" w:right="-57" w:hanging="284"/>
              <w:contextualSpacing/>
              <w:jc w:val="both"/>
              <w:rPr>
                <w:bCs w:val="0"/>
                <w:sz w:val="18"/>
                <w:szCs w:val="18"/>
              </w:rPr>
            </w:pPr>
            <w:r w:rsidRPr="00F72A90">
              <w:rPr>
                <w:bCs w:val="0"/>
                <w:sz w:val="18"/>
                <w:szCs w:val="18"/>
              </w:rPr>
              <w:t>memiliki lebih dari satu investasi;</w:t>
            </w:r>
          </w:p>
        </w:tc>
        <w:tc>
          <w:tcPr>
            <w:tcW w:w="4598" w:type="dxa"/>
          </w:tcPr>
          <w:p w14:paraId="7BFA65C5" w14:textId="77777777" w:rsidR="00C5671A" w:rsidRPr="00F72A90" w:rsidRDefault="00C5671A" w:rsidP="00070D1F">
            <w:pPr>
              <w:pStyle w:val="ListParagraph"/>
              <w:numPr>
                <w:ilvl w:val="0"/>
                <w:numId w:val="75"/>
              </w:numPr>
              <w:tabs>
                <w:tab w:val="left" w:pos="851"/>
              </w:tabs>
              <w:ind w:left="851" w:hanging="284"/>
              <w:contextualSpacing/>
              <w:jc w:val="both"/>
              <w:rPr>
                <w:bCs w:val="0"/>
                <w:i/>
                <w:sz w:val="18"/>
                <w:szCs w:val="18"/>
              </w:rPr>
            </w:pPr>
            <w:r w:rsidRPr="00F72A90">
              <w:rPr>
                <w:bCs w:val="0"/>
                <w:i/>
                <w:sz w:val="18"/>
                <w:szCs w:val="18"/>
              </w:rPr>
              <w:t>it has more than one investment;</w:t>
            </w:r>
          </w:p>
        </w:tc>
      </w:tr>
      <w:tr w:rsidR="00C5671A" w:rsidRPr="0013526B" w14:paraId="07460F15" w14:textId="77777777" w:rsidTr="00BE6E3D">
        <w:tc>
          <w:tcPr>
            <w:tcW w:w="4598" w:type="dxa"/>
          </w:tcPr>
          <w:p w14:paraId="55D8D417" w14:textId="77777777" w:rsidR="00C5671A" w:rsidRPr="00F72A90" w:rsidRDefault="00C5671A" w:rsidP="00070D1F">
            <w:pPr>
              <w:pStyle w:val="ListParagraph"/>
              <w:numPr>
                <w:ilvl w:val="0"/>
                <w:numId w:val="74"/>
              </w:numPr>
              <w:tabs>
                <w:tab w:val="left" w:pos="851"/>
                <w:tab w:val="left" w:pos="884"/>
              </w:tabs>
              <w:ind w:left="851" w:right="-57" w:hanging="284"/>
              <w:contextualSpacing/>
              <w:jc w:val="both"/>
              <w:rPr>
                <w:bCs w:val="0"/>
                <w:sz w:val="18"/>
                <w:szCs w:val="18"/>
              </w:rPr>
            </w:pPr>
            <w:r w:rsidRPr="00F72A90">
              <w:rPr>
                <w:bCs w:val="0"/>
                <w:sz w:val="18"/>
                <w:szCs w:val="18"/>
              </w:rPr>
              <w:t>memiliki lebih dari satu investor;</w:t>
            </w:r>
          </w:p>
        </w:tc>
        <w:tc>
          <w:tcPr>
            <w:tcW w:w="4598" w:type="dxa"/>
          </w:tcPr>
          <w:p w14:paraId="7A4D6C70" w14:textId="77777777" w:rsidR="00C5671A" w:rsidRPr="00F72A90" w:rsidRDefault="00C5671A" w:rsidP="00070D1F">
            <w:pPr>
              <w:pStyle w:val="ListParagraph"/>
              <w:numPr>
                <w:ilvl w:val="0"/>
                <w:numId w:val="75"/>
              </w:numPr>
              <w:tabs>
                <w:tab w:val="left" w:pos="851"/>
              </w:tabs>
              <w:ind w:left="851" w:hanging="284"/>
              <w:contextualSpacing/>
              <w:jc w:val="both"/>
              <w:rPr>
                <w:bCs w:val="0"/>
                <w:i/>
                <w:sz w:val="18"/>
                <w:szCs w:val="18"/>
              </w:rPr>
            </w:pPr>
            <w:r w:rsidRPr="00F72A90">
              <w:rPr>
                <w:bCs w:val="0"/>
                <w:i/>
                <w:sz w:val="18"/>
                <w:szCs w:val="18"/>
              </w:rPr>
              <w:t>it has more than one investor;</w:t>
            </w:r>
          </w:p>
        </w:tc>
      </w:tr>
      <w:tr w:rsidR="00C5671A" w:rsidRPr="0013526B" w14:paraId="151A7986" w14:textId="77777777" w:rsidTr="00BE6E3D">
        <w:tc>
          <w:tcPr>
            <w:tcW w:w="4598" w:type="dxa"/>
          </w:tcPr>
          <w:p w14:paraId="25BD5EFD" w14:textId="77777777" w:rsidR="00C5671A" w:rsidRPr="00F72A90" w:rsidRDefault="00C5671A" w:rsidP="00070D1F">
            <w:pPr>
              <w:pStyle w:val="ListParagraph"/>
              <w:numPr>
                <w:ilvl w:val="0"/>
                <w:numId w:val="74"/>
              </w:numPr>
              <w:tabs>
                <w:tab w:val="left" w:pos="851"/>
                <w:tab w:val="left" w:pos="884"/>
              </w:tabs>
              <w:ind w:left="851" w:right="-57" w:hanging="284"/>
              <w:contextualSpacing/>
              <w:jc w:val="both"/>
              <w:rPr>
                <w:bCs w:val="0"/>
                <w:sz w:val="18"/>
                <w:szCs w:val="18"/>
              </w:rPr>
            </w:pPr>
            <w:r w:rsidRPr="00F72A90">
              <w:rPr>
                <w:bCs w:val="0"/>
                <w:sz w:val="18"/>
                <w:szCs w:val="18"/>
              </w:rPr>
              <w:t>memiliki investor yang bukan merupakan pihak-pihak berelasi dari entitas;</w:t>
            </w:r>
          </w:p>
        </w:tc>
        <w:tc>
          <w:tcPr>
            <w:tcW w:w="4598" w:type="dxa"/>
          </w:tcPr>
          <w:p w14:paraId="6CF1D8E3" w14:textId="77777777" w:rsidR="00C5671A" w:rsidRPr="00F72A90" w:rsidRDefault="00C5671A" w:rsidP="00070D1F">
            <w:pPr>
              <w:pStyle w:val="ListParagraph"/>
              <w:numPr>
                <w:ilvl w:val="0"/>
                <w:numId w:val="75"/>
              </w:numPr>
              <w:tabs>
                <w:tab w:val="left" w:pos="851"/>
              </w:tabs>
              <w:ind w:left="851" w:right="-57" w:hanging="284"/>
              <w:contextualSpacing/>
              <w:jc w:val="both"/>
              <w:rPr>
                <w:bCs w:val="0"/>
                <w:i/>
                <w:sz w:val="18"/>
                <w:szCs w:val="18"/>
              </w:rPr>
            </w:pPr>
            <w:r w:rsidRPr="00F72A90">
              <w:rPr>
                <w:bCs w:val="0"/>
                <w:i/>
                <w:sz w:val="18"/>
                <w:szCs w:val="18"/>
              </w:rPr>
              <w:t>it has investors that are not related parties of the entity;</w:t>
            </w:r>
          </w:p>
        </w:tc>
      </w:tr>
      <w:tr w:rsidR="00C5671A" w:rsidRPr="0013526B" w14:paraId="19C98451" w14:textId="77777777" w:rsidTr="00BE6E3D">
        <w:tc>
          <w:tcPr>
            <w:tcW w:w="4598" w:type="dxa"/>
          </w:tcPr>
          <w:p w14:paraId="33B4C34D" w14:textId="77777777" w:rsidR="00C5671A" w:rsidRPr="00F72A90" w:rsidRDefault="00C5671A" w:rsidP="00070D1F">
            <w:pPr>
              <w:pStyle w:val="ListParagraph"/>
              <w:numPr>
                <w:ilvl w:val="0"/>
                <w:numId w:val="74"/>
              </w:numPr>
              <w:tabs>
                <w:tab w:val="left" w:pos="851"/>
                <w:tab w:val="left" w:pos="884"/>
              </w:tabs>
              <w:ind w:left="851" w:right="-57" w:hanging="284"/>
              <w:contextualSpacing/>
              <w:jc w:val="both"/>
              <w:rPr>
                <w:bCs w:val="0"/>
                <w:sz w:val="18"/>
                <w:szCs w:val="18"/>
              </w:rPr>
            </w:pPr>
            <w:proofErr w:type="gramStart"/>
            <w:r w:rsidRPr="00F72A90">
              <w:rPr>
                <w:bCs w:val="0"/>
                <w:sz w:val="18"/>
                <w:szCs w:val="18"/>
              </w:rPr>
              <w:t>memiliki</w:t>
            </w:r>
            <w:proofErr w:type="gramEnd"/>
            <w:r w:rsidRPr="00F72A90">
              <w:rPr>
                <w:bCs w:val="0"/>
                <w:sz w:val="18"/>
                <w:szCs w:val="18"/>
              </w:rPr>
              <w:t xml:space="preserve"> bagian kepemilikan dalam bentuk kepentingan ekuitas atau kepentingan serupa.</w:t>
            </w:r>
          </w:p>
        </w:tc>
        <w:tc>
          <w:tcPr>
            <w:tcW w:w="4598" w:type="dxa"/>
          </w:tcPr>
          <w:p w14:paraId="38B52E99" w14:textId="77777777" w:rsidR="00C5671A" w:rsidRPr="00F72A90" w:rsidRDefault="00C5671A" w:rsidP="00070D1F">
            <w:pPr>
              <w:pStyle w:val="ListParagraph"/>
              <w:numPr>
                <w:ilvl w:val="0"/>
                <w:numId w:val="75"/>
              </w:numPr>
              <w:tabs>
                <w:tab w:val="left" w:pos="851"/>
              </w:tabs>
              <w:ind w:left="851" w:right="-57" w:hanging="284"/>
              <w:contextualSpacing/>
              <w:jc w:val="both"/>
              <w:rPr>
                <w:bCs w:val="0"/>
                <w:i/>
                <w:sz w:val="18"/>
                <w:szCs w:val="18"/>
              </w:rPr>
            </w:pPr>
            <w:proofErr w:type="gramStart"/>
            <w:r w:rsidRPr="00F72A90">
              <w:rPr>
                <w:bCs w:val="0"/>
                <w:i/>
                <w:sz w:val="18"/>
                <w:szCs w:val="18"/>
              </w:rPr>
              <w:t>it</w:t>
            </w:r>
            <w:proofErr w:type="gramEnd"/>
            <w:r w:rsidRPr="00F72A90">
              <w:rPr>
                <w:bCs w:val="0"/>
                <w:i/>
                <w:sz w:val="18"/>
                <w:szCs w:val="18"/>
              </w:rPr>
              <w:t xml:space="preserve"> has ownership interests in the form of equity or similar interests.</w:t>
            </w:r>
          </w:p>
        </w:tc>
      </w:tr>
      <w:tr w:rsidR="00C5671A" w:rsidRPr="007109B1" w14:paraId="6089E15D" w14:textId="77777777" w:rsidTr="00BE6E3D">
        <w:tc>
          <w:tcPr>
            <w:tcW w:w="4598" w:type="dxa"/>
          </w:tcPr>
          <w:p w14:paraId="62E5DE02" w14:textId="77777777" w:rsidR="00C5671A" w:rsidRPr="00F72A90" w:rsidRDefault="00C5671A" w:rsidP="0013526B">
            <w:pPr>
              <w:pStyle w:val="ListParagraph"/>
              <w:tabs>
                <w:tab w:val="left" w:pos="851"/>
                <w:tab w:val="left" w:pos="884"/>
              </w:tabs>
              <w:ind w:left="851" w:right="-57"/>
              <w:contextualSpacing/>
              <w:jc w:val="both"/>
              <w:rPr>
                <w:bCs w:val="0"/>
                <w:sz w:val="10"/>
                <w:szCs w:val="18"/>
              </w:rPr>
            </w:pPr>
          </w:p>
        </w:tc>
        <w:tc>
          <w:tcPr>
            <w:tcW w:w="4598" w:type="dxa"/>
          </w:tcPr>
          <w:p w14:paraId="2782D09D" w14:textId="77777777" w:rsidR="00C5671A" w:rsidRPr="00F72A90" w:rsidRDefault="00C5671A" w:rsidP="0013526B">
            <w:pPr>
              <w:pStyle w:val="ListParagraph"/>
              <w:tabs>
                <w:tab w:val="left" w:pos="851"/>
              </w:tabs>
              <w:ind w:left="851" w:right="-57"/>
              <w:contextualSpacing/>
              <w:jc w:val="both"/>
              <w:rPr>
                <w:bCs w:val="0"/>
                <w:i/>
                <w:sz w:val="10"/>
                <w:szCs w:val="18"/>
              </w:rPr>
            </w:pPr>
          </w:p>
        </w:tc>
      </w:tr>
      <w:tr w:rsidR="00B85C50" w:rsidRPr="0013526B" w14:paraId="5AF91600" w14:textId="77777777" w:rsidTr="00BE6E3D">
        <w:tc>
          <w:tcPr>
            <w:tcW w:w="4598" w:type="dxa"/>
          </w:tcPr>
          <w:p w14:paraId="24978DD2" w14:textId="26EC106A" w:rsidR="00B85C50" w:rsidRPr="00F72A90" w:rsidRDefault="00B85C50" w:rsidP="005A27CF">
            <w:pPr>
              <w:ind w:left="567" w:right="-57"/>
              <w:jc w:val="both"/>
              <w:rPr>
                <w:bCs w:val="0"/>
                <w:sz w:val="18"/>
                <w:szCs w:val="18"/>
              </w:rPr>
            </w:pPr>
            <w:r w:rsidRPr="00F72A90">
              <w:rPr>
                <w:bCs w:val="0"/>
                <w:sz w:val="18"/>
                <w:szCs w:val="18"/>
              </w:rPr>
              <w:t>Jika</w:t>
            </w:r>
            <w:r w:rsidR="001C12BF" w:rsidRPr="00F72A90">
              <w:rPr>
                <w:bCs w:val="0"/>
                <w:sz w:val="18"/>
                <w:szCs w:val="18"/>
              </w:rPr>
              <w:t xml:space="preserve"> </w:t>
            </w:r>
            <w:r w:rsidRPr="00F72A90">
              <w:rPr>
                <w:bCs w:val="0"/>
                <w:sz w:val="18"/>
                <w:szCs w:val="18"/>
              </w:rPr>
              <w:t>tidak</w:t>
            </w:r>
            <w:r w:rsidR="001C12BF" w:rsidRPr="00F72A90">
              <w:rPr>
                <w:bCs w:val="0"/>
                <w:sz w:val="18"/>
                <w:szCs w:val="18"/>
              </w:rPr>
              <w:t xml:space="preserve"> </w:t>
            </w:r>
            <w:r w:rsidRPr="00F72A90">
              <w:rPr>
                <w:bCs w:val="0"/>
                <w:sz w:val="18"/>
                <w:szCs w:val="18"/>
              </w:rPr>
              <w:t>terdapat</w:t>
            </w:r>
            <w:r w:rsidR="001C12BF" w:rsidRPr="00F72A90">
              <w:rPr>
                <w:bCs w:val="0"/>
                <w:sz w:val="18"/>
                <w:szCs w:val="18"/>
              </w:rPr>
              <w:t xml:space="preserve"> </w:t>
            </w:r>
            <w:r w:rsidRPr="00F72A90">
              <w:rPr>
                <w:bCs w:val="0"/>
                <w:sz w:val="18"/>
                <w:szCs w:val="18"/>
              </w:rPr>
              <w:t>karakteristik</w:t>
            </w:r>
            <w:r w:rsidR="001C12BF" w:rsidRPr="00F72A90">
              <w:rPr>
                <w:bCs w:val="0"/>
                <w:sz w:val="18"/>
                <w:szCs w:val="18"/>
              </w:rPr>
              <w:t xml:space="preserve"> </w:t>
            </w:r>
            <w:r w:rsidRPr="00F72A90">
              <w:rPr>
                <w:bCs w:val="0"/>
                <w:sz w:val="18"/>
                <w:szCs w:val="18"/>
              </w:rPr>
              <w:t>khusus</w:t>
            </w:r>
            <w:r w:rsidR="001C12BF" w:rsidRPr="00F72A90">
              <w:rPr>
                <w:bCs w:val="0"/>
                <w:sz w:val="18"/>
                <w:szCs w:val="18"/>
              </w:rPr>
              <w:t xml:space="preserve"> </w:t>
            </w:r>
            <w:r w:rsidRPr="00F72A90">
              <w:rPr>
                <w:bCs w:val="0"/>
                <w:sz w:val="18"/>
                <w:szCs w:val="18"/>
              </w:rPr>
              <w:t>tersebut</w:t>
            </w:r>
            <w:r w:rsidR="001C12BF" w:rsidRPr="00F72A90">
              <w:rPr>
                <w:bCs w:val="0"/>
                <w:sz w:val="18"/>
                <w:szCs w:val="18"/>
              </w:rPr>
              <w:t xml:space="preserve"> </w:t>
            </w:r>
            <w:r w:rsidRPr="00F72A90">
              <w:rPr>
                <w:bCs w:val="0"/>
                <w:sz w:val="18"/>
                <w:szCs w:val="18"/>
              </w:rPr>
              <w:t>tidak berarti</w:t>
            </w:r>
            <w:r w:rsidR="001C12BF" w:rsidRPr="00F72A90">
              <w:rPr>
                <w:bCs w:val="0"/>
                <w:sz w:val="18"/>
                <w:szCs w:val="18"/>
              </w:rPr>
              <w:t xml:space="preserve"> </w:t>
            </w:r>
            <w:r w:rsidRPr="00F72A90">
              <w:rPr>
                <w:bCs w:val="0"/>
                <w:sz w:val="18"/>
                <w:szCs w:val="18"/>
              </w:rPr>
              <w:t>mendiskualifikasikan</w:t>
            </w:r>
            <w:r w:rsidR="001C12BF" w:rsidRPr="00F72A90">
              <w:rPr>
                <w:bCs w:val="0"/>
                <w:sz w:val="18"/>
                <w:szCs w:val="18"/>
              </w:rPr>
              <w:t xml:space="preserve"> </w:t>
            </w:r>
            <w:r w:rsidRPr="00F72A90">
              <w:rPr>
                <w:bCs w:val="0"/>
                <w:sz w:val="18"/>
                <w:szCs w:val="18"/>
              </w:rPr>
              <w:t>entitas</w:t>
            </w:r>
            <w:r w:rsidR="001C12BF" w:rsidRPr="00F72A90">
              <w:rPr>
                <w:bCs w:val="0"/>
                <w:sz w:val="18"/>
                <w:szCs w:val="18"/>
              </w:rPr>
              <w:t xml:space="preserve"> </w:t>
            </w:r>
            <w:r w:rsidRPr="00F72A90">
              <w:rPr>
                <w:bCs w:val="0"/>
                <w:sz w:val="18"/>
                <w:szCs w:val="18"/>
              </w:rPr>
              <w:t>dari</w:t>
            </w:r>
            <w:r w:rsidR="001C12BF" w:rsidRPr="00F72A90">
              <w:rPr>
                <w:bCs w:val="0"/>
                <w:sz w:val="18"/>
                <w:szCs w:val="18"/>
              </w:rPr>
              <w:t xml:space="preserve"> </w:t>
            </w:r>
            <w:r w:rsidRPr="00F72A90">
              <w:rPr>
                <w:bCs w:val="0"/>
                <w:sz w:val="18"/>
                <w:szCs w:val="18"/>
              </w:rPr>
              <w:t>pengklasifikasian</w:t>
            </w:r>
            <w:r w:rsidR="001C12BF" w:rsidRPr="00F72A90">
              <w:rPr>
                <w:bCs w:val="0"/>
                <w:sz w:val="18"/>
                <w:szCs w:val="18"/>
              </w:rPr>
              <w:t xml:space="preserve"> </w:t>
            </w:r>
            <w:r w:rsidRPr="00F72A90">
              <w:rPr>
                <w:bCs w:val="0"/>
                <w:sz w:val="18"/>
                <w:szCs w:val="18"/>
              </w:rPr>
              <w:t>sebagai entitas</w:t>
            </w:r>
            <w:r w:rsidR="001C12BF" w:rsidRPr="00F72A90">
              <w:rPr>
                <w:bCs w:val="0"/>
                <w:sz w:val="18"/>
                <w:szCs w:val="18"/>
              </w:rPr>
              <w:t xml:space="preserve"> </w:t>
            </w:r>
            <w:r w:rsidRPr="00F72A90">
              <w:rPr>
                <w:bCs w:val="0"/>
                <w:sz w:val="18"/>
                <w:szCs w:val="18"/>
              </w:rPr>
              <w:t>investasi.</w:t>
            </w:r>
            <w:r w:rsidR="001C12BF" w:rsidRPr="00F72A90">
              <w:rPr>
                <w:bCs w:val="0"/>
                <w:sz w:val="18"/>
                <w:szCs w:val="18"/>
              </w:rPr>
              <w:t xml:space="preserve"> </w:t>
            </w:r>
            <w:r w:rsidRPr="00F72A90">
              <w:rPr>
                <w:bCs w:val="0"/>
                <w:sz w:val="18"/>
                <w:szCs w:val="18"/>
              </w:rPr>
              <w:t>Entitas</w:t>
            </w:r>
            <w:r w:rsidR="001C12BF" w:rsidRPr="00F72A90">
              <w:rPr>
                <w:bCs w:val="0"/>
                <w:sz w:val="18"/>
                <w:szCs w:val="18"/>
              </w:rPr>
              <w:t xml:space="preserve"> </w:t>
            </w:r>
            <w:r w:rsidRPr="00F72A90">
              <w:rPr>
                <w:bCs w:val="0"/>
                <w:sz w:val="18"/>
                <w:szCs w:val="18"/>
              </w:rPr>
              <w:t>investasi</w:t>
            </w:r>
            <w:r w:rsidR="001C12BF" w:rsidRPr="00F72A90">
              <w:rPr>
                <w:bCs w:val="0"/>
                <w:sz w:val="18"/>
                <w:szCs w:val="18"/>
              </w:rPr>
              <w:t xml:space="preserve"> </w:t>
            </w:r>
            <w:r w:rsidRPr="00F72A90">
              <w:rPr>
                <w:bCs w:val="0"/>
                <w:sz w:val="18"/>
                <w:szCs w:val="18"/>
              </w:rPr>
              <w:t>yang</w:t>
            </w:r>
            <w:r w:rsidR="001C12BF" w:rsidRPr="00F72A90">
              <w:rPr>
                <w:bCs w:val="0"/>
                <w:sz w:val="18"/>
                <w:szCs w:val="18"/>
              </w:rPr>
              <w:t xml:space="preserve"> </w:t>
            </w:r>
            <w:r w:rsidRPr="00F72A90">
              <w:rPr>
                <w:bCs w:val="0"/>
                <w:sz w:val="18"/>
                <w:szCs w:val="18"/>
              </w:rPr>
              <w:t>tidak</w:t>
            </w:r>
            <w:r w:rsidR="001C12BF" w:rsidRPr="00F72A90">
              <w:rPr>
                <w:bCs w:val="0"/>
                <w:sz w:val="18"/>
                <w:szCs w:val="18"/>
              </w:rPr>
              <w:t xml:space="preserve"> </w:t>
            </w:r>
            <w:r w:rsidRPr="00F72A90">
              <w:rPr>
                <w:bCs w:val="0"/>
                <w:sz w:val="18"/>
                <w:szCs w:val="18"/>
              </w:rPr>
              <w:t>memiliki</w:t>
            </w:r>
            <w:r w:rsidR="001C12BF" w:rsidRPr="00F72A90">
              <w:rPr>
                <w:bCs w:val="0"/>
                <w:sz w:val="18"/>
                <w:szCs w:val="18"/>
              </w:rPr>
              <w:t xml:space="preserve"> </w:t>
            </w:r>
            <w:r w:rsidRPr="00F72A90">
              <w:rPr>
                <w:bCs w:val="0"/>
                <w:sz w:val="18"/>
                <w:szCs w:val="18"/>
              </w:rPr>
              <w:t>seluruh karakterisktik</w:t>
            </w:r>
            <w:r w:rsidR="001C12BF" w:rsidRPr="00F72A90">
              <w:rPr>
                <w:bCs w:val="0"/>
                <w:sz w:val="18"/>
                <w:szCs w:val="18"/>
              </w:rPr>
              <w:t xml:space="preserve"> </w:t>
            </w:r>
            <w:r w:rsidRPr="00F72A90">
              <w:rPr>
                <w:bCs w:val="0"/>
                <w:sz w:val="18"/>
                <w:szCs w:val="18"/>
              </w:rPr>
              <w:t>khusus</w:t>
            </w:r>
            <w:r w:rsidR="001C12BF" w:rsidRPr="00F72A90">
              <w:rPr>
                <w:bCs w:val="0"/>
                <w:sz w:val="18"/>
                <w:szCs w:val="18"/>
              </w:rPr>
              <w:t xml:space="preserve"> </w:t>
            </w:r>
            <w:r w:rsidRPr="00F72A90">
              <w:rPr>
                <w:bCs w:val="0"/>
                <w:sz w:val="18"/>
                <w:szCs w:val="18"/>
              </w:rPr>
              <w:t>tersebut memberikan</w:t>
            </w:r>
            <w:r w:rsidR="001C12BF" w:rsidRPr="00F72A90">
              <w:rPr>
                <w:bCs w:val="0"/>
                <w:sz w:val="18"/>
                <w:szCs w:val="18"/>
              </w:rPr>
              <w:t xml:space="preserve"> </w:t>
            </w:r>
            <w:r w:rsidRPr="00F72A90">
              <w:rPr>
                <w:bCs w:val="0"/>
                <w:sz w:val="18"/>
                <w:szCs w:val="18"/>
              </w:rPr>
              <w:t>pengungkapan</w:t>
            </w:r>
            <w:r w:rsidR="001C12BF" w:rsidRPr="00F72A90">
              <w:rPr>
                <w:bCs w:val="0"/>
                <w:sz w:val="18"/>
                <w:szCs w:val="18"/>
              </w:rPr>
              <w:t xml:space="preserve"> </w:t>
            </w:r>
            <w:r w:rsidRPr="00F72A90">
              <w:rPr>
                <w:bCs w:val="0"/>
                <w:sz w:val="18"/>
                <w:szCs w:val="18"/>
              </w:rPr>
              <w:t>tambahan yang</w:t>
            </w:r>
            <w:r w:rsidR="001C12BF" w:rsidRPr="00F72A90">
              <w:rPr>
                <w:bCs w:val="0"/>
                <w:sz w:val="18"/>
                <w:szCs w:val="18"/>
              </w:rPr>
              <w:t xml:space="preserve"> </w:t>
            </w:r>
            <w:r w:rsidRPr="00F72A90">
              <w:rPr>
                <w:bCs w:val="0"/>
                <w:sz w:val="18"/>
                <w:szCs w:val="18"/>
              </w:rPr>
              <w:t>disyaratkan</w:t>
            </w:r>
            <w:r w:rsidR="001C12BF" w:rsidRPr="00F72A90">
              <w:rPr>
                <w:bCs w:val="0"/>
                <w:sz w:val="18"/>
                <w:szCs w:val="18"/>
              </w:rPr>
              <w:t xml:space="preserve"> </w:t>
            </w:r>
            <w:r w:rsidRPr="00F72A90">
              <w:rPr>
                <w:bCs w:val="0"/>
                <w:sz w:val="18"/>
                <w:szCs w:val="18"/>
              </w:rPr>
              <w:t>oleh</w:t>
            </w:r>
            <w:r w:rsidR="001C12BF" w:rsidRPr="00F72A90">
              <w:rPr>
                <w:bCs w:val="0"/>
                <w:sz w:val="18"/>
                <w:szCs w:val="18"/>
              </w:rPr>
              <w:t xml:space="preserve"> </w:t>
            </w:r>
            <w:r w:rsidRPr="00F72A90">
              <w:rPr>
                <w:bCs w:val="0"/>
                <w:sz w:val="18"/>
                <w:szCs w:val="18"/>
              </w:rPr>
              <w:t>PSAK</w:t>
            </w:r>
            <w:r w:rsidR="001C12BF" w:rsidRPr="00F72A90">
              <w:rPr>
                <w:bCs w:val="0"/>
                <w:sz w:val="18"/>
                <w:szCs w:val="18"/>
              </w:rPr>
              <w:t xml:space="preserve"> </w:t>
            </w:r>
            <w:r w:rsidRPr="00F72A90">
              <w:rPr>
                <w:bCs w:val="0"/>
                <w:sz w:val="18"/>
                <w:szCs w:val="18"/>
              </w:rPr>
              <w:t>No. 67</w:t>
            </w:r>
            <w:r w:rsidR="005A27CF">
              <w:rPr>
                <w:bCs w:val="0"/>
                <w:sz w:val="18"/>
                <w:szCs w:val="18"/>
              </w:rPr>
              <w:t>,</w:t>
            </w:r>
            <w:r w:rsidR="001C12BF" w:rsidRPr="00F72A90">
              <w:rPr>
                <w:bCs w:val="0"/>
                <w:sz w:val="18"/>
                <w:szCs w:val="18"/>
              </w:rPr>
              <w:t xml:space="preserve"> </w:t>
            </w:r>
            <w:r w:rsidRPr="00F72A90">
              <w:rPr>
                <w:bCs w:val="0"/>
                <w:sz w:val="18"/>
                <w:szCs w:val="18"/>
              </w:rPr>
              <w:t>“Pengungkapan</w:t>
            </w:r>
            <w:r w:rsidR="001C12BF" w:rsidRPr="00F72A90">
              <w:rPr>
                <w:bCs w:val="0"/>
                <w:sz w:val="18"/>
                <w:szCs w:val="18"/>
              </w:rPr>
              <w:t xml:space="preserve"> </w:t>
            </w:r>
            <w:r w:rsidRPr="00F72A90">
              <w:rPr>
                <w:bCs w:val="0"/>
                <w:sz w:val="18"/>
                <w:szCs w:val="18"/>
              </w:rPr>
              <w:t>Kepentingan</w:t>
            </w:r>
            <w:r w:rsidR="001C12BF" w:rsidRPr="00F72A90">
              <w:rPr>
                <w:bCs w:val="0"/>
                <w:sz w:val="18"/>
                <w:szCs w:val="18"/>
              </w:rPr>
              <w:t xml:space="preserve"> </w:t>
            </w:r>
            <w:r w:rsidRPr="00F72A90">
              <w:rPr>
                <w:bCs w:val="0"/>
                <w:sz w:val="18"/>
                <w:szCs w:val="18"/>
              </w:rPr>
              <w:t>dalam Entitas</w:t>
            </w:r>
            <w:r w:rsidR="001C12BF" w:rsidRPr="00F72A90">
              <w:rPr>
                <w:bCs w:val="0"/>
                <w:sz w:val="18"/>
                <w:szCs w:val="18"/>
              </w:rPr>
              <w:t xml:space="preserve"> </w:t>
            </w:r>
            <w:r w:rsidRPr="00F72A90">
              <w:rPr>
                <w:bCs w:val="0"/>
                <w:sz w:val="18"/>
                <w:szCs w:val="18"/>
              </w:rPr>
              <w:t>Lain”.</w:t>
            </w:r>
          </w:p>
        </w:tc>
        <w:tc>
          <w:tcPr>
            <w:tcW w:w="4598" w:type="dxa"/>
          </w:tcPr>
          <w:p w14:paraId="65286D61" w14:textId="4B48F435" w:rsidR="00B85C50" w:rsidRPr="00F72A90" w:rsidRDefault="00B85C50" w:rsidP="005A27CF">
            <w:pPr>
              <w:tabs>
                <w:tab w:val="left" w:pos="5590"/>
                <w:tab w:val="right" w:pos="7620"/>
                <w:tab w:val="right" w:pos="9460"/>
                <w:tab w:val="right" w:pos="10080"/>
              </w:tabs>
              <w:ind w:left="567" w:right="-57"/>
              <w:jc w:val="both"/>
              <w:rPr>
                <w:bCs w:val="0"/>
                <w:i/>
                <w:sz w:val="18"/>
                <w:szCs w:val="18"/>
              </w:rPr>
            </w:pPr>
            <w:r w:rsidRPr="00F72A90">
              <w:rPr>
                <w:bCs w:val="0"/>
                <w:i/>
                <w:sz w:val="18"/>
                <w:szCs w:val="18"/>
              </w:rPr>
              <w:t>The absence of any of these typical characteristics does not necessarily disqualify an entity from being classified as an investment entity. Investment entity that does not have all those typical characteristics provide additi</w:t>
            </w:r>
            <w:r w:rsidR="001A78B6" w:rsidRPr="00F72A90">
              <w:rPr>
                <w:bCs w:val="0"/>
                <w:i/>
                <w:sz w:val="18"/>
                <w:szCs w:val="18"/>
              </w:rPr>
              <w:t>onal information as required by</w:t>
            </w:r>
            <w:r w:rsidR="001A78B6" w:rsidRPr="00F72A90">
              <w:rPr>
                <w:bCs w:val="0"/>
                <w:i/>
                <w:sz w:val="18"/>
                <w:szCs w:val="18"/>
              </w:rPr>
              <w:br/>
            </w:r>
            <w:r w:rsidRPr="00F72A90">
              <w:rPr>
                <w:bCs w:val="0"/>
                <w:i/>
                <w:sz w:val="18"/>
                <w:szCs w:val="18"/>
              </w:rPr>
              <w:t>PSAK No. 67</w:t>
            </w:r>
            <w:r w:rsidR="005A27CF">
              <w:rPr>
                <w:bCs w:val="0"/>
                <w:i/>
                <w:sz w:val="18"/>
                <w:szCs w:val="18"/>
              </w:rPr>
              <w:t>,</w:t>
            </w:r>
            <w:r w:rsidRPr="00F72A90">
              <w:rPr>
                <w:bCs w:val="0"/>
                <w:i/>
                <w:sz w:val="18"/>
                <w:szCs w:val="18"/>
              </w:rPr>
              <w:t xml:space="preserve"> “Disclosures of Interests in Other Entities”.</w:t>
            </w:r>
          </w:p>
        </w:tc>
      </w:tr>
      <w:tr w:rsidR="00B85C50" w:rsidRPr="007109B1" w14:paraId="4B9A2E26" w14:textId="77777777" w:rsidTr="00BE6E3D">
        <w:tc>
          <w:tcPr>
            <w:tcW w:w="4598" w:type="dxa"/>
          </w:tcPr>
          <w:p w14:paraId="20CDF031" w14:textId="77777777" w:rsidR="00B85C50" w:rsidRPr="00F72A90" w:rsidRDefault="00B85C50" w:rsidP="0013526B">
            <w:pPr>
              <w:ind w:left="522" w:right="-57"/>
              <w:jc w:val="both"/>
              <w:rPr>
                <w:bCs w:val="0"/>
                <w:sz w:val="10"/>
                <w:szCs w:val="18"/>
              </w:rPr>
            </w:pPr>
          </w:p>
        </w:tc>
        <w:tc>
          <w:tcPr>
            <w:tcW w:w="4598" w:type="dxa"/>
          </w:tcPr>
          <w:p w14:paraId="17845AC0" w14:textId="77777777" w:rsidR="00B85C50" w:rsidRPr="00F72A90" w:rsidRDefault="00B85C50" w:rsidP="0013526B">
            <w:pPr>
              <w:tabs>
                <w:tab w:val="left" w:pos="5590"/>
                <w:tab w:val="right" w:pos="7620"/>
                <w:tab w:val="right" w:pos="9460"/>
                <w:tab w:val="right" w:pos="10080"/>
              </w:tabs>
              <w:ind w:left="651" w:right="-57"/>
              <w:jc w:val="both"/>
              <w:rPr>
                <w:bCs w:val="0"/>
                <w:i/>
                <w:sz w:val="10"/>
                <w:szCs w:val="18"/>
              </w:rPr>
            </w:pPr>
          </w:p>
        </w:tc>
      </w:tr>
      <w:tr w:rsidR="00B85C50" w:rsidRPr="0013526B" w14:paraId="1B639BA5" w14:textId="77777777" w:rsidTr="00BE6E3D">
        <w:tc>
          <w:tcPr>
            <w:tcW w:w="4598" w:type="dxa"/>
          </w:tcPr>
          <w:p w14:paraId="74E93CB2" w14:textId="65C250E2" w:rsidR="00B85C50" w:rsidRPr="00F72A90" w:rsidRDefault="00B85C50" w:rsidP="005A27CF">
            <w:pPr>
              <w:ind w:left="567" w:right="-57"/>
              <w:jc w:val="both"/>
              <w:rPr>
                <w:bCs w:val="0"/>
                <w:sz w:val="18"/>
                <w:szCs w:val="18"/>
              </w:rPr>
            </w:pPr>
            <w:r w:rsidRPr="00F72A90">
              <w:rPr>
                <w:bCs w:val="0"/>
                <w:sz w:val="18"/>
                <w:szCs w:val="18"/>
              </w:rPr>
              <w:t>Entitas investasi disyaratkan untuk mengukur investasi</w:t>
            </w:r>
            <w:r w:rsidR="001C12BF" w:rsidRPr="00F72A90">
              <w:rPr>
                <w:bCs w:val="0"/>
                <w:sz w:val="18"/>
                <w:szCs w:val="18"/>
              </w:rPr>
              <w:t xml:space="preserve"> </w:t>
            </w:r>
            <w:r w:rsidRPr="00F72A90">
              <w:rPr>
                <w:bCs w:val="0"/>
                <w:sz w:val="18"/>
                <w:szCs w:val="18"/>
              </w:rPr>
              <w:t>dalam</w:t>
            </w:r>
            <w:r w:rsidR="001C12BF" w:rsidRPr="00F72A90">
              <w:rPr>
                <w:bCs w:val="0"/>
                <w:sz w:val="18"/>
                <w:szCs w:val="18"/>
              </w:rPr>
              <w:t xml:space="preserve"> </w:t>
            </w:r>
            <w:r w:rsidRPr="00F72A90">
              <w:rPr>
                <w:bCs w:val="0"/>
                <w:sz w:val="18"/>
                <w:szCs w:val="18"/>
              </w:rPr>
              <w:t>entitas</w:t>
            </w:r>
            <w:r w:rsidR="001C12BF" w:rsidRPr="00F72A90">
              <w:rPr>
                <w:bCs w:val="0"/>
                <w:sz w:val="18"/>
                <w:szCs w:val="18"/>
              </w:rPr>
              <w:t xml:space="preserve"> </w:t>
            </w:r>
            <w:r w:rsidRPr="00F72A90">
              <w:rPr>
                <w:bCs w:val="0"/>
                <w:sz w:val="18"/>
                <w:szCs w:val="18"/>
              </w:rPr>
              <w:t>anak</w:t>
            </w:r>
            <w:r w:rsidR="001C12BF" w:rsidRPr="00F72A90">
              <w:rPr>
                <w:bCs w:val="0"/>
                <w:sz w:val="18"/>
                <w:szCs w:val="18"/>
              </w:rPr>
              <w:t xml:space="preserve"> </w:t>
            </w:r>
            <w:r w:rsidRPr="00F72A90">
              <w:rPr>
                <w:bCs w:val="0"/>
                <w:sz w:val="18"/>
                <w:szCs w:val="18"/>
              </w:rPr>
              <w:t>pada</w:t>
            </w:r>
            <w:r w:rsidR="001C12BF" w:rsidRPr="00F72A90">
              <w:rPr>
                <w:bCs w:val="0"/>
                <w:sz w:val="18"/>
                <w:szCs w:val="18"/>
              </w:rPr>
              <w:t xml:space="preserve"> </w:t>
            </w:r>
            <w:r w:rsidRPr="00F72A90">
              <w:rPr>
                <w:bCs w:val="0"/>
                <w:sz w:val="18"/>
                <w:szCs w:val="18"/>
              </w:rPr>
              <w:t>nilai</w:t>
            </w:r>
            <w:r w:rsidR="001C12BF" w:rsidRPr="00F72A90">
              <w:rPr>
                <w:bCs w:val="0"/>
                <w:sz w:val="18"/>
                <w:szCs w:val="18"/>
              </w:rPr>
              <w:t xml:space="preserve"> </w:t>
            </w:r>
            <w:r w:rsidRPr="00F72A90">
              <w:rPr>
                <w:bCs w:val="0"/>
                <w:sz w:val="18"/>
                <w:szCs w:val="18"/>
              </w:rPr>
              <w:t>wajar</w:t>
            </w:r>
            <w:r w:rsidR="001C12BF" w:rsidRPr="00F72A90">
              <w:rPr>
                <w:bCs w:val="0"/>
                <w:sz w:val="18"/>
                <w:szCs w:val="18"/>
              </w:rPr>
              <w:t xml:space="preserve"> </w:t>
            </w:r>
            <w:r w:rsidRPr="00F72A90">
              <w:rPr>
                <w:bCs w:val="0"/>
                <w:sz w:val="18"/>
                <w:szCs w:val="18"/>
              </w:rPr>
              <w:t>melalui</w:t>
            </w:r>
            <w:r w:rsidR="001C12BF" w:rsidRPr="00F72A90">
              <w:rPr>
                <w:bCs w:val="0"/>
                <w:sz w:val="18"/>
                <w:szCs w:val="18"/>
              </w:rPr>
              <w:t xml:space="preserve"> </w:t>
            </w:r>
            <w:r w:rsidRPr="00F72A90">
              <w:rPr>
                <w:bCs w:val="0"/>
                <w:sz w:val="18"/>
                <w:szCs w:val="18"/>
              </w:rPr>
              <w:t>laba</w:t>
            </w:r>
            <w:r w:rsidR="001C12BF" w:rsidRPr="00F72A90">
              <w:rPr>
                <w:bCs w:val="0"/>
                <w:sz w:val="18"/>
                <w:szCs w:val="18"/>
              </w:rPr>
              <w:t xml:space="preserve"> </w:t>
            </w:r>
            <w:r w:rsidRPr="00F72A90">
              <w:rPr>
                <w:bCs w:val="0"/>
                <w:sz w:val="18"/>
                <w:szCs w:val="18"/>
              </w:rPr>
              <w:t>rugi sesuai</w:t>
            </w:r>
            <w:r w:rsidR="001C12BF" w:rsidRPr="00F72A90">
              <w:rPr>
                <w:bCs w:val="0"/>
                <w:sz w:val="18"/>
                <w:szCs w:val="18"/>
              </w:rPr>
              <w:t xml:space="preserve"> </w:t>
            </w:r>
            <w:r w:rsidRPr="00F72A90">
              <w:rPr>
                <w:bCs w:val="0"/>
                <w:sz w:val="18"/>
                <w:szCs w:val="18"/>
              </w:rPr>
              <w:t>dengan</w:t>
            </w:r>
            <w:r w:rsidR="001C12BF" w:rsidRPr="00F72A90">
              <w:rPr>
                <w:bCs w:val="0"/>
                <w:sz w:val="18"/>
                <w:szCs w:val="18"/>
              </w:rPr>
              <w:t xml:space="preserve"> </w:t>
            </w:r>
            <w:r w:rsidRPr="00F72A90">
              <w:rPr>
                <w:bCs w:val="0"/>
                <w:sz w:val="18"/>
                <w:szCs w:val="18"/>
              </w:rPr>
              <w:t>PSAK</w:t>
            </w:r>
            <w:r w:rsidR="001C12BF" w:rsidRPr="00F72A90">
              <w:rPr>
                <w:bCs w:val="0"/>
                <w:sz w:val="18"/>
                <w:szCs w:val="18"/>
              </w:rPr>
              <w:t xml:space="preserve"> </w:t>
            </w:r>
            <w:r w:rsidRPr="00F72A90">
              <w:rPr>
                <w:bCs w:val="0"/>
                <w:sz w:val="18"/>
                <w:szCs w:val="18"/>
              </w:rPr>
              <w:t>No. 55 (Revisi 2014)</w:t>
            </w:r>
            <w:r w:rsidR="005A27CF">
              <w:rPr>
                <w:bCs w:val="0"/>
                <w:sz w:val="18"/>
                <w:szCs w:val="18"/>
              </w:rPr>
              <w:t>,</w:t>
            </w:r>
            <w:r w:rsidRPr="00F72A90">
              <w:rPr>
                <w:bCs w:val="0"/>
                <w:sz w:val="18"/>
                <w:szCs w:val="18"/>
              </w:rPr>
              <w:t xml:space="preserve"> “Instrumen</w:t>
            </w:r>
            <w:r w:rsidR="001C12BF" w:rsidRPr="00F72A90">
              <w:rPr>
                <w:bCs w:val="0"/>
                <w:sz w:val="18"/>
                <w:szCs w:val="18"/>
              </w:rPr>
              <w:t xml:space="preserve"> </w:t>
            </w:r>
            <w:r w:rsidRPr="00F72A90">
              <w:rPr>
                <w:bCs w:val="0"/>
                <w:sz w:val="18"/>
                <w:szCs w:val="18"/>
              </w:rPr>
              <w:t>Keuangan:</w:t>
            </w:r>
            <w:r w:rsidR="001C12BF" w:rsidRPr="00F72A90">
              <w:rPr>
                <w:bCs w:val="0"/>
                <w:sz w:val="18"/>
                <w:szCs w:val="18"/>
              </w:rPr>
              <w:t xml:space="preserve"> </w:t>
            </w:r>
            <w:r w:rsidRPr="00F72A90">
              <w:rPr>
                <w:bCs w:val="0"/>
                <w:sz w:val="18"/>
                <w:szCs w:val="18"/>
              </w:rPr>
              <w:t>Pengakuan</w:t>
            </w:r>
            <w:r w:rsidR="001C12BF" w:rsidRPr="00F72A90">
              <w:rPr>
                <w:bCs w:val="0"/>
                <w:sz w:val="18"/>
                <w:szCs w:val="18"/>
              </w:rPr>
              <w:t xml:space="preserve"> </w:t>
            </w:r>
            <w:r w:rsidRPr="00F72A90">
              <w:rPr>
                <w:bCs w:val="0"/>
                <w:sz w:val="18"/>
                <w:szCs w:val="18"/>
              </w:rPr>
              <w:t>dan Pengukuran”.</w:t>
            </w:r>
          </w:p>
        </w:tc>
        <w:tc>
          <w:tcPr>
            <w:tcW w:w="4598" w:type="dxa"/>
          </w:tcPr>
          <w:p w14:paraId="32CA7126" w14:textId="28513331" w:rsidR="00B85C50" w:rsidRPr="00F72A90" w:rsidRDefault="00B85C50" w:rsidP="005A27CF">
            <w:pPr>
              <w:tabs>
                <w:tab w:val="left" w:pos="5590"/>
                <w:tab w:val="right" w:pos="7620"/>
                <w:tab w:val="right" w:pos="9460"/>
                <w:tab w:val="right" w:pos="10080"/>
              </w:tabs>
              <w:ind w:left="567" w:right="-57"/>
              <w:jc w:val="both"/>
              <w:rPr>
                <w:bCs w:val="0"/>
                <w:i/>
                <w:sz w:val="18"/>
                <w:szCs w:val="18"/>
              </w:rPr>
            </w:pPr>
            <w:r w:rsidRPr="00F72A90">
              <w:rPr>
                <w:bCs w:val="0"/>
                <w:i/>
                <w:sz w:val="18"/>
                <w:szCs w:val="18"/>
              </w:rPr>
              <w:t>An investment entity is required to measure an investment in a subsidiary at fair value through profit or loss in accordance with PSAK No.</w:t>
            </w:r>
            <w:r w:rsidR="00EE2CE2" w:rsidRPr="00F72A90">
              <w:rPr>
                <w:bCs w:val="0"/>
                <w:i/>
                <w:sz w:val="18"/>
                <w:szCs w:val="18"/>
              </w:rPr>
              <w:t xml:space="preserve"> </w:t>
            </w:r>
            <w:r w:rsidRPr="00F72A90">
              <w:rPr>
                <w:bCs w:val="0"/>
                <w:i/>
                <w:sz w:val="18"/>
                <w:szCs w:val="18"/>
              </w:rPr>
              <w:t xml:space="preserve">55 </w:t>
            </w:r>
            <w:r w:rsidR="00122A40" w:rsidRPr="00F72A90">
              <w:rPr>
                <w:bCs w:val="0"/>
                <w:i/>
                <w:sz w:val="18"/>
                <w:szCs w:val="18"/>
              </w:rPr>
              <w:br/>
            </w:r>
            <w:r w:rsidRPr="00F72A90">
              <w:rPr>
                <w:bCs w:val="0"/>
                <w:i/>
                <w:sz w:val="18"/>
                <w:szCs w:val="18"/>
              </w:rPr>
              <w:t>(Revised 2014</w:t>
            </w:r>
            <w:proofErr w:type="gramStart"/>
            <w:r w:rsidR="005A27CF">
              <w:rPr>
                <w:bCs w:val="0"/>
                <w:i/>
                <w:sz w:val="18"/>
                <w:szCs w:val="18"/>
              </w:rPr>
              <w:t>,</w:t>
            </w:r>
            <w:r w:rsidR="00870FD0">
              <w:rPr>
                <w:bCs w:val="0"/>
                <w:i/>
                <w:sz w:val="18"/>
                <w:szCs w:val="18"/>
              </w:rPr>
              <w:t>.</w:t>
            </w:r>
            <w:proofErr w:type="gramEnd"/>
            <w:r w:rsidRPr="00F72A90">
              <w:rPr>
                <w:bCs w:val="0"/>
                <w:i/>
                <w:sz w:val="18"/>
                <w:szCs w:val="18"/>
              </w:rPr>
              <w:t xml:space="preserve"> “Financial Instruments: Recognition and Measurement”.</w:t>
            </w:r>
          </w:p>
        </w:tc>
      </w:tr>
      <w:tr w:rsidR="00B85C50" w:rsidRPr="007109B1" w14:paraId="3E4BA6EF" w14:textId="77777777" w:rsidTr="00BE6E3D">
        <w:tc>
          <w:tcPr>
            <w:tcW w:w="4598" w:type="dxa"/>
          </w:tcPr>
          <w:p w14:paraId="5756BE70" w14:textId="77777777" w:rsidR="00B85C50" w:rsidRPr="00F72A90" w:rsidRDefault="00B85C50" w:rsidP="0013526B">
            <w:pPr>
              <w:ind w:left="522" w:right="-57"/>
              <w:jc w:val="both"/>
              <w:rPr>
                <w:bCs w:val="0"/>
                <w:sz w:val="10"/>
                <w:szCs w:val="18"/>
              </w:rPr>
            </w:pPr>
          </w:p>
        </w:tc>
        <w:tc>
          <w:tcPr>
            <w:tcW w:w="4598" w:type="dxa"/>
          </w:tcPr>
          <w:p w14:paraId="35D4C30D" w14:textId="77777777" w:rsidR="00B85C50" w:rsidRPr="00F72A90" w:rsidRDefault="00B85C50" w:rsidP="0013526B">
            <w:pPr>
              <w:tabs>
                <w:tab w:val="left" w:pos="5590"/>
                <w:tab w:val="right" w:pos="7620"/>
                <w:tab w:val="right" w:pos="9460"/>
                <w:tab w:val="right" w:pos="10080"/>
              </w:tabs>
              <w:ind w:left="651" w:right="-57"/>
              <w:jc w:val="both"/>
              <w:rPr>
                <w:bCs w:val="0"/>
                <w:i/>
                <w:sz w:val="10"/>
                <w:szCs w:val="18"/>
              </w:rPr>
            </w:pPr>
          </w:p>
        </w:tc>
      </w:tr>
      <w:tr w:rsidR="00B85C50" w:rsidRPr="0013526B" w14:paraId="498A06B0" w14:textId="77777777" w:rsidTr="00BE6E3D">
        <w:tc>
          <w:tcPr>
            <w:tcW w:w="4598" w:type="dxa"/>
          </w:tcPr>
          <w:p w14:paraId="774FF729" w14:textId="5F65262C" w:rsidR="00B85C50" w:rsidRPr="00F72A90" w:rsidRDefault="00B85C50" w:rsidP="005A27CF">
            <w:pPr>
              <w:ind w:left="567" w:right="-57"/>
              <w:jc w:val="both"/>
              <w:rPr>
                <w:bCs w:val="0"/>
                <w:sz w:val="18"/>
                <w:szCs w:val="18"/>
              </w:rPr>
            </w:pPr>
            <w:r w:rsidRPr="00F72A90">
              <w:rPr>
                <w:bCs w:val="0"/>
                <w:sz w:val="18"/>
                <w:szCs w:val="18"/>
              </w:rPr>
              <w:t>Karena entitas investasi tidak disyaratkan untuk mengonsolidasi entitas anaknya</w:t>
            </w:r>
            <w:r w:rsidR="005A27CF">
              <w:rPr>
                <w:bCs w:val="0"/>
                <w:sz w:val="18"/>
                <w:szCs w:val="18"/>
              </w:rPr>
              <w:t>,</w:t>
            </w:r>
            <w:r w:rsidRPr="00F72A90">
              <w:rPr>
                <w:bCs w:val="0"/>
                <w:sz w:val="18"/>
                <w:szCs w:val="18"/>
              </w:rPr>
              <w:t xml:space="preserve"> transaksi pihak berelasi intra kelompok usaha dan saldo tidak dieliminasi.</w:t>
            </w:r>
          </w:p>
        </w:tc>
        <w:tc>
          <w:tcPr>
            <w:tcW w:w="4598" w:type="dxa"/>
          </w:tcPr>
          <w:p w14:paraId="51C9E604" w14:textId="2912D32A" w:rsidR="00B85C50" w:rsidRPr="00F72A90" w:rsidRDefault="00B85C50" w:rsidP="005A27CF">
            <w:pPr>
              <w:tabs>
                <w:tab w:val="left" w:pos="5590"/>
                <w:tab w:val="right" w:pos="7620"/>
                <w:tab w:val="right" w:pos="9460"/>
                <w:tab w:val="right" w:pos="10080"/>
              </w:tabs>
              <w:ind w:left="567" w:right="-57"/>
              <w:jc w:val="both"/>
              <w:rPr>
                <w:bCs w:val="0"/>
                <w:i/>
                <w:sz w:val="18"/>
                <w:szCs w:val="18"/>
              </w:rPr>
            </w:pPr>
            <w:r w:rsidRPr="00F72A90">
              <w:rPr>
                <w:bCs w:val="0"/>
                <w:i/>
                <w:sz w:val="18"/>
                <w:szCs w:val="18"/>
              </w:rPr>
              <w:t>Because an investment entity is not required to consolidate its subsidiaries</w:t>
            </w:r>
            <w:r w:rsidR="005A27CF">
              <w:rPr>
                <w:bCs w:val="0"/>
                <w:i/>
                <w:sz w:val="18"/>
                <w:szCs w:val="18"/>
              </w:rPr>
              <w:t>,</w:t>
            </w:r>
            <w:r w:rsidRPr="00F72A90">
              <w:rPr>
                <w:bCs w:val="0"/>
                <w:i/>
                <w:sz w:val="18"/>
                <w:szCs w:val="18"/>
              </w:rPr>
              <w:t xml:space="preserve"> intragroup related party transactions and outstanding balances are not eliminated.</w:t>
            </w:r>
          </w:p>
        </w:tc>
      </w:tr>
      <w:tr w:rsidR="00122A40" w:rsidRPr="007109B1" w14:paraId="192968AB" w14:textId="77777777" w:rsidTr="00BE6E3D">
        <w:tc>
          <w:tcPr>
            <w:tcW w:w="4598" w:type="dxa"/>
          </w:tcPr>
          <w:p w14:paraId="4F2F629B" w14:textId="77777777" w:rsidR="00122A40" w:rsidRPr="00F72A90" w:rsidRDefault="00122A40" w:rsidP="0013526B">
            <w:pPr>
              <w:ind w:left="567"/>
              <w:jc w:val="both"/>
              <w:rPr>
                <w:bCs w:val="0"/>
                <w:sz w:val="10"/>
                <w:szCs w:val="18"/>
              </w:rPr>
            </w:pPr>
          </w:p>
        </w:tc>
        <w:tc>
          <w:tcPr>
            <w:tcW w:w="4598" w:type="dxa"/>
          </w:tcPr>
          <w:p w14:paraId="67E6B7E3" w14:textId="77777777" w:rsidR="00122A40" w:rsidRPr="00F72A90" w:rsidRDefault="00122A40" w:rsidP="0013526B">
            <w:pPr>
              <w:tabs>
                <w:tab w:val="left" w:pos="5590"/>
                <w:tab w:val="right" w:pos="7620"/>
                <w:tab w:val="right" w:pos="9460"/>
                <w:tab w:val="right" w:pos="10080"/>
              </w:tabs>
              <w:ind w:left="567"/>
              <w:jc w:val="both"/>
              <w:rPr>
                <w:bCs w:val="0"/>
                <w:i/>
                <w:sz w:val="10"/>
                <w:szCs w:val="18"/>
              </w:rPr>
            </w:pPr>
          </w:p>
        </w:tc>
      </w:tr>
      <w:tr w:rsidR="00202120" w:rsidRPr="0013526B" w14:paraId="092723B2" w14:textId="77777777" w:rsidTr="00BE6E3D">
        <w:tc>
          <w:tcPr>
            <w:tcW w:w="4598" w:type="dxa"/>
          </w:tcPr>
          <w:p w14:paraId="64A11C7E" w14:textId="23CCF146" w:rsidR="00202120" w:rsidRPr="00F72A90" w:rsidRDefault="00202120" w:rsidP="005A27CF">
            <w:pPr>
              <w:ind w:left="567" w:right="-57"/>
              <w:jc w:val="both"/>
              <w:rPr>
                <w:bCs w:val="0"/>
                <w:sz w:val="18"/>
                <w:szCs w:val="18"/>
              </w:rPr>
            </w:pPr>
            <w:r w:rsidRPr="00F72A90">
              <w:rPr>
                <w:bCs w:val="0"/>
                <w:sz w:val="18"/>
                <w:szCs w:val="18"/>
              </w:rPr>
              <w:t>Pengecualian terhadap konsolidasi hanya diterapkan pada entitas investasi tesebut. Oleh karenanya entitas</w:t>
            </w:r>
            <w:r w:rsidR="001C12BF" w:rsidRPr="00F72A90">
              <w:rPr>
                <w:bCs w:val="0"/>
                <w:sz w:val="18"/>
                <w:szCs w:val="18"/>
              </w:rPr>
              <w:t xml:space="preserve"> </w:t>
            </w:r>
            <w:r w:rsidRPr="00F72A90">
              <w:rPr>
                <w:bCs w:val="0"/>
                <w:sz w:val="18"/>
                <w:szCs w:val="18"/>
              </w:rPr>
              <w:t>induk</w:t>
            </w:r>
            <w:r w:rsidR="001C12BF" w:rsidRPr="00F72A90">
              <w:rPr>
                <w:bCs w:val="0"/>
                <w:sz w:val="18"/>
                <w:szCs w:val="18"/>
              </w:rPr>
              <w:t xml:space="preserve"> </w:t>
            </w:r>
            <w:r w:rsidRPr="00F72A90">
              <w:rPr>
                <w:bCs w:val="0"/>
                <w:sz w:val="18"/>
                <w:szCs w:val="18"/>
              </w:rPr>
              <w:t>dari</w:t>
            </w:r>
            <w:r w:rsidR="001C12BF" w:rsidRPr="00F72A90">
              <w:rPr>
                <w:bCs w:val="0"/>
                <w:sz w:val="18"/>
                <w:szCs w:val="18"/>
              </w:rPr>
              <w:t xml:space="preserve"> </w:t>
            </w:r>
            <w:r w:rsidRPr="00F72A90">
              <w:rPr>
                <w:bCs w:val="0"/>
                <w:sz w:val="18"/>
                <w:szCs w:val="18"/>
              </w:rPr>
              <w:t>entitas</w:t>
            </w:r>
            <w:r w:rsidR="001C12BF" w:rsidRPr="00F72A90">
              <w:rPr>
                <w:bCs w:val="0"/>
                <w:sz w:val="18"/>
                <w:szCs w:val="18"/>
              </w:rPr>
              <w:t xml:space="preserve"> </w:t>
            </w:r>
            <w:r w:rsidRPr="00F72A90">
              <w:rPr>
                <w:bCs w:val="0"/>
                <w:sz w:val="18"/>
                <w:szCs w:val="18"/>
              </w:rPr>
              <w:t>investasi</w:t>
            </w:r>
            <w:r w:rsidR="001C12BF" w:rsidRPr="00F72A90">
              <w:rPr>
                <w:bCs w:val="0"/>
                <w:sz w:val="18"/>
                <w:szCs w:val="18"/>
              </w:rPr>
              <w:t xml:space="preserve"> </w:t>
            </w:r>
            <w:r w:rsidRPr="00F72A90">
              <w:rPr>
                <w:bCs w:val="0"/>
                <w:sz w:val="18"/>
                <w:szCs w:val="18"/>
              </w:rPr>
              <w:t>mengonsolidasi</w:t>
            </w:r>
            <w:r w:rsidR="001C12BF" w:rsidRPr="00F72A90">
              <w:rPr>
                <w:bCs w:val="0"/>
                <w:sz w:val="18"/>
                <w:szCs w:val="18"/>
              </w:rPr>
              <w:t xml:space="preserve"> </w:t>
            </w:r>
            <w:r w:rsidRPr="00F72A90">
              <w:rPr>
                <w:bCs w:val="0"/>
                <w:sz w:val="18"/>
                <w:szCs w:val="18"/>
              </w:rPr>
              <w:t>seluruh entitas</w:t>
            </w:r>
            <w:r w:rsidR="001C12BF" w:rsidRPr="00F72A90">
              <w:rPr>
                <w:bCs w:val="0"/>
                <w:sz w:val="18"/>
                <w:szCs w:val="18"/>
              </w:rPr>
              <w:t xml:space="preserve"> </w:t>
            </w:r>
            <w:r w:rsidRPr="00F72A90">
              <w:rPr>
                <w:bCs w:val="0"/>
                <w:sz w:val="18"/>
                <w:szCs w:val="18"/>
              </w:rPr>
              <w:t>yang</w:t>
            </w:r>
            <w:r w:rsidR="001C12BF" w:rsidRPr="00F72A90">
              <w:rPr>
                <w:bCs w:val="0"/>
                <w:sz w:val="18"/>
                <w:szCs w:val="18"/>
              </w:rPr>
              <w:t xml:space="preserve"> </w:t>
            </w:r>
            <w:r w:rsidRPr="00F72A90">
              <w:rPr>
                <w:bCs w:val="0"/>
                <w:sz w:val="18"/>
                <w:szCs w:val="18"/>
              </w:rPr>
              <w:t>dikendalikannya</w:t>
            </w:r>
            <w:r w:rsidR="005A27CF">
              <w:rPr>
                <w:bCs w:val="0"/>
                <w:sz w:val="18"/>
                <w:szCs w:val="18"/>
              </w:rPr>
              <w:t>,</w:t>
            </w:r>
            <w:r w:rsidR="001C12BF" w:rsidRPr="00F72A90">
              <w:rPr>
                <w:bCs w:val="0"/>
                <w:sz w:val="18"/>
                <w:szCs w:val="18"/>
              </w:rPr>
              <w:t xml:space="preserve"> </w:t>
            </w:r>
            <w:r w:rsidRPr="00F72A90">
              <w:rPr>
                <w:bCs w:val="0"/>
                <w:sz w:val="18"/>
                <w:szCs w:val="18"/>
              </w:rPr>
              <w:t>termasuk</w:t>
            </w:r>
            <w:r w:rsidR="001C12BF" w:rsidRPr="00F72A90">
              <w:rPr>
                <w:bCs w:val="0"/>
                <w:sz w:val="18"/>
                <w:szCs w:val="18"/>
              </w:rPr>
              <w:t xml:space="preserve"> </w:t>
            </w:r>
            <w:r w:rsidRPr="00F72A90">
              <w:rPr>
                <w:bCs w:val="0"/>
                <w:sz w:val="18"/>
                <w:szCs w:val="18"/>
              </w:rPr>
              <w:t>entitas</w:t>
            </w:r>
            <w:r w:rsidR="001C12BF" w:rsidRPr="00F72A90">
              <w:rPr>
                <w:bCs w:val="0"/>
                <w:sz w:val="18"/>
                <w:szCs w:val="18"/>
              </w:rPr>
              <w:t xml:space="preserve"> </w:t>
            </w:r>
            <w:r w:rsidRPr="00F72A90">
              <w:rPr>
                <w:bCs w:val="0"/>
                <w:sz w:val="18"/>
                <w:szCs w:val="18"/>
              </w:rPr>
              <w:t>yang</w:t>
            </w:r>
            <w:r w:rsidR="001C12BF" w:rsidRPr="00F72A90">
              <w:rPr>
                <w:bCs w:val="0"/>
                <w:sz w:val="18"/>
                <w:szCs w:val="18"/>
              </w:rPr>
              <w:t xml:space="preserve"> </w:t>
            </w:r>
            <w:r w:rsidRPr="00F72A90">
              <w:rPr>
                <w:bCs w:val="0"/>
                <w:sz w:val="18"/>
                <w:szCs w:val="18"/>
              </w:rPr>
              <w:t>dikendalikan melalui entitas anak yang merupakan entitas investasi</w:t>
            </w:r>
            <w:r w:rsidR="005A27CF">
              <w:rPr>
                <w:bCs w:val="0"/>
                <w:sz w:val="18"/>
                <w:szCs w:val="18"/>
              </w:rPr>
              <w:t>,</w:t>
            </w:r>
            <w:r w:rsidRPr="00F72A90">
              <w:rPr>
                <w:bCs w:val="0"/>
                <w:sz w:val="18"/>
                <w:szCs w:val="18"/>
              </w:rPr>
              <w:t xml:space="preserve"> kecuali entitas induk</w:t>
            </w:r>
            <w:r w:rsidR="001C12BF" w:rsidRPr="00F72A90">
              <w:rPr>
                <w:bCs w:val="0"/>
                <w:sz w:val="18"/>
                <w:szCs w:val="18"/>
              </w:rPr>
              <w:t xml:space="preserve"> </w:t>
            </w:r>
            <w:r w:rsidRPr="00F72A90">
              <w:rPr>
                <w:bCs w:val="0"/>
                <w:sz w:val="18"/>
                <w:szCs w:val="18"/>
              </w:rPr>
              <w:t>itu</w:t>
            </w:r>
            <w:r w:rsidR="001C12BF" w:rsidRPr="00F72A90">
              <w:rPr>
                <w:bCs w:val="0"/>
                <w:sz w:val="18"/>
                <w:szCs w:val="18"/>
              </w:rPr>
              <w:t xml:space="preserve"> </w:t>
            </w:r>
            <w:r w:rsidRPr="00F72A90">
              <w:rPr>
                <w:bCs w:val="0"/>
                <w:sz w:val="18"/>
                <w:szCs w:val="18"/>
              </w:rPr>
              <w:t>sendiri</w:t>
            </w:r>
            <w:r w:rsidR="001C12BF" w:rsidRPr="00F72A90">
              <w:rPr>
                <w:bCs w:val="0"/>
                <w:sz w:val="18"/>
                <w:szCs w:val="18"/>
              </w:rPr>
              <w:t xml:space="preserve"> </w:t>
            </w:r>
            <w:r w:rsidRPr="00F72A90">
              <w:rPr>
                <w:bCs w:val="0"/>
                <w:sz w:val="18"/>
                <w:szCs w:val="18"/>
              </w:rPr>
              <w:t>merupakan</w:t>
            </w:r>
            <w:r w:rsidR="001C12BF" w:rsidRPr="00F72A90">
              <w:rPr>
                <w:bCs w:val="0"/>
                <w:sz w:val="18"/>
                <w:szCs w:val="18"/>
              </w:rPr>
              <w:t xml:space="preserve"> </w:t>
            </w:r>
            <w:r w:rsidRPr="00F72A90">
              <w:rPr>
                <w:bCs w:val="0"/>
                <w:sz w:val="18"/>
                <w:szCs w:val="18"/>
              </w:rPr>
              <w:t>entitas</w:t>
            </w:r>
            <w:r w:rsidR="001C12BF" w:rsidRPr="00F72A90">
              <w:rPr>
                <w:bCs w:val="0"/>
                <w:sz w:val="18"/>
                <w:szCs w:val="18"/>
              </w:rPr>
              <w:t xml:space="preserve"> </w:t>
            </w:r>
            <w:r w:rsidRPr="00F72A90">
              <w:rPr>
                <w:bCs w:val="0"/>
                <w:sz w:val="18"/>
                <w:szCs w:val="18"/>
              </w:rPr>
              <w:t>investasi.</w:t>
            </w:r>
          </w:p>
        </w:tc>
        <w:tc>
          <w:tcPr>
            <w:tcW w:w="4598" w:type="dxa"/>
          </w:tcPr>
          <w:p w14:paraId="13CF0CB4" w14:textId="28BCAEB2" w:rsidR="00202120" w:rsidRPr="00F72A90" w:rsidRDefault="00202120" w:rsidP="005A27CF">
            <w:pPr>
              <w:tabs>
                <w:tab w:val="left" w:pos="5590"/>
                <w:tab w:val="right" w:pos="7620"/>
                <w:tab w:val="right" w:pos="9460"/>
                <w:tab w:val="right" w:pos="10080"/>
              </w:tabs>
              <w:ind w:left="567" w:right="-57"/>
              <w:jc w:val="both"/>
              <w:rPr>
                <w:bCs w:val="0"/>
                <w:i/>
                <w:sz w:val="18"/>
                <w:szCs w:val="18"/>
              </w:rPr>
            </w:pPr>
            <w:r w:rsidRPr="00F72A90">
              <w:rPr>
                <w:bCs w:val="0"/>
                <w:i/>
                <w:sz w:val="18"/>
                <w:szCs w:val="18"/>
              </w:rPr>
              <w:t>The exemption from consolidation only applies to the investment entity itself.</w:t>
            </w:r>
            <w:r w:rsidR="001C12BF" w:rsidRPr="00F72A90">
              <w:rPr>
                <w:bCs w:val="0"/>
                <w:i/>
                <w:sz w:val="18"/>
                <w:szCs w:val="18"/>
              </w:rPr>
              <w:t xml:space="preserve"> </w:t>
            </w:r>
            <w:r w:rsidRPr="00F72A90">
              <w:rPr>
                <w:bCs w:val="0"/>
                <w:i/>
                <w:sz w:val="18"/>
                <w:szCs w:val="18"/>
              </w:rPr>
              <w:t>Accordingly</w:t>
            </w:r>
            <w:r w:rsidR="00870FD0">
              <w:rPr>
                <w:bCs w:val="0"/>
                <w:i/>
                <w:sz w:val="18"/>
                <w:szCs w:val="18"/>
              </w:rPr>
              <w:t>.</w:t>
            </w:r>
            <w:r w:rsidRPr="00F72A90">
              <w:rPr>
                <w:bCs w:val="0"/>
                <w:i/>
                <w:sz w:val="18"/>
                <w:szCs w:val="18"/>
              </w:rPr>
              <w:t xml:space="preserve"> a parent of an investment entity is required to consolidate</w:t>
            </w:r>
            <w:r w:rsidR="00235394" w:rsidRPr="00F72A90">
              <w:rPr>
                <w:bCs w:val="0"/>
                <w:i/>
                <w:sz w:val="18"/>
                <w:szCs w:val="18"/>
                <w:lang w:val="id-ID"/>
              </w:rPr>
              <w:t>d</w:t>
            </w:r>
            <w:r w:rsidRPr="00F72A90">
              <w:rPr>
                <w:bCs w:val="0"/>
                <w:i/>
                <w:sz w:val="18"/>
                <w:szCs w:val="18"/>
              </w:rPr>
              <w:t xml:space="preserve"> all entities that it controls</w:t>
            </w:r>
            <w:r w:rsidR="005A27CF">
              <w:rPr>
                <w:bCs w:val="0"/>
                <w:i/>
                <w:sz w:val="18"/>
                <w:szCs w:val="18"/>
              </w:rPr>
              <w:t>,</w:t>
            </w:r>
            <w:r w:rsidRPr="00F72A90">
              <w:rPr>
                <w:bCs w:val="0"/>
                <w:i/>
                <w:sz w:val="18"/>
                <w:szCs w:val="18"/>
              </w:rPr>
              <w:t xml:space="preserve"> including those controlled through an investment entity subsidiary</w:t>
            </w:r>
            <w:r w:rsidR="005A27CF">
              <w:rPr>
                <w:bCs w:val="0"/>
                <w:i/>
                <w:sz w:val="18"/>
                <w:szCs w:val="18"/>
              </w:rPr>
              <w:t>,</w:t>
            </w:r>
            <w:r w:rsidRPr="00F72A90">
              <w:rPr>
                <w:bCs w:val="0"/>
                <w:i/>
                <w:sz w:val="18"/>
                <w:szCs w:val="18"/>
              </w:rPr>
              <w:t xml:space="preserve"> unless the parent itself is an investment entity.</w:t>
            </w:r>
          </w:p>
        </w:tc>
      </w:tr>
    </w:tbl>
    <w:p w14:paraId="6FFFBA9A" w14:textId="22A96AA9" w:rsidR="007109B1" w:rsidRDefault="007109B1">
      <w:pPr>
        <w:rPr>
          <w:sz w:val="6"/>
          <w:szCs w:val="6"/>
        </w:rPr>
      </w:pPr>
    </w:p>
    <w:p w14:paraId="586DA7E4" w14:textId="77777777" w:rsidR="007109B1" w:rsidRDefault="007109B1">
      <w:pPr>
        <w:rPr>
          <w:sz w:val="6"/>
          <w:szCs w:val="6"/>
        </w:rPr>
      </w:pPr>
      <w:r>
        <w:rPr>
          <w:sz w:val="6"/>
          <w:szCs w:val="6"/>
        </w:rPr>
        <w:br w:type="page"/>
      </w:r>
    </w:p>
    <w:tbl>
      <w:tblPr>
        <w:tblW w:w="9197" w:type="dxa"/>
        <w:tblInd w:w="392" w:type="dxa"/>
        <w:tblLayout w:type="fixed"/>
        <w:tblLook w:val="0000" w:firstRow="0" w:lastRow="0" w:firstColumn="0" w:lastColumn="0" w:noHBand="0" w:noVBand="0"/>
      </w:tblPr>
      <w:tblGrid>
        <w:gridCol w:w="4598"/>
        <w:gridCol w:w="4599"/>
      </w:tblGrid>
      <w:tr w:rsidR="005659FE" w:rsidRPr="004D2565" w14:paraId="56900087" w14:textId="77777777" w:rsidTr="00BE6E3D">
        <w:tc>
          <w:tcPr>
            <w:tcW w:w="4598" w:type="dxa"/>
          </w:tcPr>
          <w:p w14:paraId="3D911006" w14:textId="77777777" w:rsidR="005659FE" w:rsidRPr="00F72A90" w:rsidRDefault="005659FE" w:rsidP="005F361E">
            <w:pPr>
              <w:pStyle w:val="ListParagraph"/>
              <w:numPr>
                <w:ilvl w:val="0"/>
                <w:numId w:val="46"/>
              </w:numPr>
              <w:ind w:left="284" w:right="-57" w:hanging="284"/>
              <w:contextualSpacing/>
              <w:jc w:val="both"/>
              <w:rPr>
                <w:rStyle w:val="hps"/>
                <w:b/>
                <w:sz w:val="18"/>
                <w:szCs w:val="18"/>
              </w:rPr>
            </w:pPr>
            <w:r w:rsidRPr="00F72A90">
              <w:rPr>
                <w:sz w:val="18"/>
                <w:szCs w:val="18"/>
              </w:rPr>
              <w:lastRenderedPageBreak/>
              <w:br w:type="page"/>
            </w:r>
            <w:r w:rsidRPr="00F72A90">
              <w:rPr>
                <w:sz w:val="18"/>
                <w:szCs w:val="18"/>
              </w:rPr>
              <w:br w:type="page"/>
            </w:r>
            <w:r w:rsidRPr="00F72A90">
              <w:rPr>
                <w:sz w:val="18"/>
                <w:szCs w:val="18"/>
              </w:rPr>
              <w:br w:type="page"/>
            </w:r>
            <w:r w:rsidRPr="00F72A90">
              <w:rPr>
                <w:rStyle w:val="hps"/>
                <w:b/>
                <w:sz w:val="18"/>
                <w:szCs w:val="18"/>
              </w:rPr>
              <w:t xml:space="preserve">IKHTISAR KEBIJAKAN AKUNTANSI </w:t>
            </w:r>
            <w:r w:rsidRPr="00F72A90">
              <w:rPr>
                <w:rStyle w:val="hps"/>
                <w:b/>
                <w:sz w:val="18"/>
                <w:szCs w:val="18"/>
                <w:lang w:val="id-ID"/>
              </w:rPr>
              <w:t xml:space="preserve">YANG </w:t>
            </w:r>
            <w:r w:rsidRPr="00F72A90">
              <w:rPr>
                <w:rStyle w:val="hps"/>
                <w:b/>
                <w:sz w:val="18"/>
                <w:szCs w:val="18"/>
              </w:rPr>
              <w:t xml:space="preserve">PENTING </w:t>
            </w:r>
            <w:r w:rsidRPr="00F72A90">
              <w:rPr>
                <w:rStyle w:val="hps"/>
                <w:b/>
                <w:sz w:val="18"/>
                <w:szCs w:val="18"/>
                <w:lang w:val="id-ID"/>
              </w:rPr>
              <w:t>-</w:t>
            </w:r>
            <w:r w:rsidRPr="00F72A90">
              <w:rPr>
                <w:rStyle w:val="hps"/>
                <w:b/>
                <w:sz w:val="18"/>
                <w:szCs w:val="18"/>
              </w:rPr>
              <w:t xml:space="preserve"> Lanjutan</w:t>
            </w:r>
          </w:p>
        </w:tc>
        <w:tc>
          <w:tcPr>
            <w:tcW w:w="4598" w:type="dxa"/>
          </w:tcPr>
          <w:p w14:paraId="01207E0A" w14:textId="77777777" w:rsidR="005659FE" w:rsidRPr="00F72A90" w:rsidRDefault="005659FE" w:rsidP="005F361E">
            <w:pPr>
              <w:pStyle w:val="ListParagraph"/>
              <w:numPr>
                <w:ilvl w:val="0"/>
                <w:numId w:val="47"/>
              </w:numPr>
              <w:ind w:left="284" w:right="-57" w:hanging="284"/>
              <w:contextualSpacing/>
              <w:jc w:val="both"/>
              <w:rPr>
                <w:b/>
                <w:bCs w:val="0"/>
                <w:i/>
                <w:sz w:val="18"/>
                <w:szCs w:val="18"/>
              </w:rPr>
            </w:pPr>
            <w:r w:rsidRPr="00F72A90">
              <w:rPr>
                <w:b/>
                <w:i/>
                <w:sz w:val="18"/>
                <w:szCs w:val="18"/>
              </w:rPr>
              <w:t>SUMMARY OF SIGNIFICANT ACCOUNTING POLICIES - Continued</w:t>
            </w:r>
          </w:p>
        </w:tc>
      </w:tr>
      <w:tr w:rsidR="005659FE" w:rsidRPr="004D2565" w14:paraId="6BE9C982" w14:textId="77777777" w:rsidTr="00BE6E3D">
        <w:tc>
          <w:tcPr>
            <w:tcW w:w="4598" w:type="dxa"/>
          </w:tcPr>
          <w:p w14:paraId="6D710C0A" w14:textId="77777777" w:rsidR="005659FE" w:rsidRPr="00F72A90" w:rsidRDefault="005659FE" w:rsidP="0013526B">
            <w:pPr>
              <w:pStyle w:val="ListParagraph"/>
              <w:ind w:left="284" w:right="-57"/>
              <w:contextualSpacing/>
              <w:jc w:val="both"/>
              <w:rPr>
                <w:sz w:val="8"/>
                <w:szCs w:val="18"/>
              </w:rPr>
            </w:pPr>
          </w:p>
        </w:tc>
        <w:tc>
          <w:tcPr>
            <w:tcW w:w="4598" w:type="dxa"/>
          </w:tcPr>
          <w:p w14:paraId="24E7CE80" w14:textId="77777777" w:rsidR="005659FE" w:rsidRPr="00F72A90" w:rsidRDefault="005659FE" w:rsidP="0013526B">
            <w:pPr>
              <w:pStyle w:val="ListParagraph"/>
              <w:ind w:left="284" w:right="-57"/>
              <w:contextualSpacing/>
              <w:jc w:val="both"/>
              <w:rPr>
                <w:b/>
                <w:i/>
                <w:sz w:val="8"/>
                <w:szCs w:val="18"/>
              </w:rPr>
            </w:pPr>
          </w:p>
        </w:tc>
      </w:tr>
      <w:tr w:rsidR="005E4C90" w:rsidRPr="004D2565" w14:paraId="4B0622F6" w14:textId="77777777" w:rsidTr="00BE6E3D">
        <w:tc>
          <w:tcPr>
            <w:tcW w:w="4598" w:type="dxa"/>
          </w:tcPr>
          <w:p w14:paraId="62B22803" w14:textId="77777777" w:rsidR="005E4C90" w:rsidRPr="00F72A90" w:rsidRDefault="005E4C90" w:rsidP="00070D1F">
            <w:pPr>
              <w:pStyle w:val="ListParagraph"/>
              <w:numPr>
                <w:ilvl w:val="0"/>
                <w:numId w:val="196"/>
              </w:numPr>
              <w:ind w:left="605" w:hanging="284"/>
              <w:contextualSpacing/>
              <w:jc w:val="both"/>
              <w:rPr>
                <w:rStyle w:val="hps"/>
                <w:b/>
                <w:sz w:val="18"/>
                <w:szCs w:val="18"/>
              </w:rPr>
            </w:pPr>
            <w:r w:rsidRPr="00F72A90">
              <w:rPr>
                <w:rStyle w:val="hps"/>
                <w:b/>
                <w:sz w:val="18"/>
                <w:szCs w:val="18"/>
              </w:rPr>
              <w:t xml:space="preserve">Prinsip-prinsip Konsolidasi - Lanjutan </w:t>
            </w:r>
          </w:p>
        </w:tc>
        <w:tc>
          <w:tcPr>
            <w:tcW w:w="4598" w:type="dxa"/>
          </w:tcPr>
          <w:p w14:paraId="67B5F85E" w14:textId="77777777" w:rsidR="005E4C90" w:rsidRPr="00F72A90" w:rsidRDefault="005E4C90" w:rsidP="00070D1F">
            <w:pPr>
              <w:pStyle w:val="ListParagraph"/>
              <w:numPr>
                <w:ilvl w:val="0"/>
                <w:numId w:val="197"/>
              </w:numPr>
              <w:ind w:left="574" w:hanging="283"/>
              <w:contextualSpacing/>
              <w:jc w:val="both"/>
              <w:rPr>
                <w:b/>
                <w:bCs w:val="0"/>
                <w:i/>
                <w:sz w:val="18"/>
                <w:szCs w:val="18"/>
              </w:rPr>
            </w:pPr>
            <w:r w:rsidRPr="00F72A90">
              <w:rPr>
                <w:b/>
                <w:bCs w:val="0"/>
                <w:i/>
                <w:iCs/>
                <w:sz w:val="18"/>
                <w:szCs w:val="18"/>
              </w:rPr>
              <w:t>Principle of Consolidation - Continued</w:t>
            </w:r>
          </w:p>
        </w:tc>
      </w:tr>
      <w:tr w:rsidR="005E4C90" w:rsidRPr="004D2565" w14:paraId="3A933C8C" w14:textId="77777777" w:rsidTr="00BE6E3D">
        <w:tc>
          <w:tcPr>
            <w:tcW w:w="4598" w:type="dxa"/>
          </w:tcPr>
          <w:p w14:paraId="1860D48A" w14:textId="77777777" w:rsidR="005E4C90" w:rsidRPr="00F72A90" w:rsidRDefault="005E4C90" w:rsidP="0013526B">
            <w:pPr>
              <w:ind w:left="567"/>
              <w:jc w:val="both"/>
              <w:rPr>
                <w:b/>
                <w:bCs w:val="0"/>
                <w:sz w:val="8"/>
                <w:szCs w:val="18"/>
              </w:rPr>
            </w:pPr>
          </w:p>
        </w:tc>
        <w:tc>
          <w:tcPr>
            <w:tcW w:w="4598" w:type="dxa"/>
          </w:tcPr>
          <w:p w14:paraId="55C67C16" w14:textId="77777777" w:rsidR="005E4C90" w:rsidRPr="00F72A90" w:rsidRDefault="005E4C90" w:rsidP="0013526B">
            <w:pPr>
              <w:tabs>
                <w:tab w:val="left" w:pos="5590"/>
                <w:tab w:val="right" w:pos="7620"/>
                <w:tab w:val="right" w:pos="9460"/>
                <w:tab w:val="right" w:pos="10080"/>
              </w:tabs>
              <w:ind w:left="567"/>
              <w:jc w:val="both"/>
              <w:rPr>
                <w:b/>
                <w:bCs w:val="0"/>
                <w:i/>
                <w:sz w:val="8"/>
                <w:szCs w:val="18"/>
              </w:rPr>
            </w:pPr>
          </w:p>
        </w:tc>
      </w:tr>
      <w:tr w:rsidR="000F7EE2" w:rsidRPr="004D2565" w14:paraId="684872EE" w14:textId="77777777" w:rsidTr="00BE6E3D">
        <w:tc>
          <w:tcPr>
            <w:tcW w:w="4598" w:type="dxa"/>
          </w:tcPr>
          <w:p w14:paraId="02E4653C" w14:textId="77777777" w:rsidR="000F7EE2" w:rsidRPr="00F72A90" w:rsidRDefault="000F7EE2" w:rsidP="0013526B">
            <w:pPr>
              <w:ind w:left="567"/>
              <w:jc w:val="both"/>
              <w:rPr>
                <w:bCs w:val="0"/>
                <w:sz w:val="18"/>
                <w:szCs w:val="18"/>
              </w:rPr>
            </w:pPr>
            <w:r w:rsidRPr="00F72A90">
              <w:rPr>
                <w:b/>
                <w:bCs w:val="0"/>
                <w:sz w:val="18"/>
                <w:szCs w:val="18"/>
              </w:rPr>
              <w:t>Entitas Investasi - Pengecualian Konsolidasian - Lanjutan</w:t>
            </w:r>
          </w:p>
        </w:tc>
        <w:tc>
          <w:tcPr>
            <w:tcW w:w="4598" w:type="dxa"/>
          </w:tcPr>
          <w:p w14:paraId="0F0C5C95" w14:textId="7E8A7BFD" w:rsidR="000F7EE2" w:rsidRPr="00F72A90" w:rsidRDefault="000F7EE2" w:rsidP="0013526B">
            <w:pPr>
              <w:tabs>
                <w:tab w:val="left" w:pos="5590"/>
                <w:tab w:val="right" w:pos="7620"/>
                <w:tab w:val="right" w:pos="9460"/>
                <w:tab w:val="right" w:pos="10080"/>
              </w:tabs>
              <w:ind w:left="567"/>
              <w:jc w:val="both"/>
              <w:rPr>
                <w:bCs w:val="0"/>
                <w:i/>
                <w:sz w:val="18"/>
                <w:szCs w:val="18"/>
              </w:rPr>
            </w:pPr>
            <w:r w:rsidRPr="00F72A90">
              <w:rPr>
                <w:b/>
                <w:bCs w:val="0"/>
                <w:i/>
                <w:sz w:val="18"/>
                <w:szCs w:val="18"/>
              </w:rPr>
              <w:t>Investment Entity - Consolidation Exemption</w:t>
            </w:r>
            <w:r w:rsidR="006B2C4C" w:rsidRPr="00F72A90">
              <w:rPr>
                <w:b/>
                <w:bCs w:val="0"/>
                <w:i/>
                <w:sz w:val="18"/>
                <w:szCs w:val="18"/>
              </w:rPr>
              <w:t xml:space="preserve"> </w:t>
            </w:r>
            <w:r w:rsidRPr="00F72A90">
              <w:rPr>
                <w:b/>
                <w:i/>
                <w:sz w:val="18"/>
                <w:szCs w:val="18"/>
              </w:rPr>
              <w:t>- Continued</w:t>
            </w:r>
          </w:p>
        </w:tc>
      </w:tr>
      <w:tr w:rsidR="000F7EE2" w:rsidRPr="004D2565" w14:paraId="276BC03D" w14:textId="77777777" w:rsidTr="00BE6E3D">
        <w:tc>
          <w:tcPr>
            <w:tcW w:w="4598" w:type="dxa"/>
          </w:tcPr>
          <w:p w14:paraId="3E6E0B26" w14:textId="77777777" w:rsidR="000F7EE2" w:rsidRPr="00F72A90" w:rsidRDefault="000F7EE2" w:rsidP="0013526B">
            <w:pPr>
              <w:tabs>
                <w:tab w:val="left" w:pos="1549"/>
              </w:tabs>
              <w:ind w:left="567" w:right="-57"/>
              <w:jc w:val="both"/>
              <w:rPr>
                <w:bCs w:val="0"/>
                <w:sz w:val="12"/>
                <w:szCs w:val="18"/>
              </w:rPr>
            </w:pPr>
          </w:p>
        </w:tc>
        <w:tc>
          <w:tcPr>
            <w:tcW w:w="4598" w:type="dxa"/>
          </w:tcPr>
          <w:p w14:paraId="1EAE7FDB" w14:textId="77777777" w:rsidR="000F7EE2" w:rsidRPr="00F72A90" w:rsidRDefault="000F7EE2" w:rsidP="0013526B">
            <w:pPr>
              <w:tabs>
                <w:tab w:val="left" w:pos="5590"/>
                <w:tab w:val="right" w:pos="7620"/>
                <w:tab w:val="right" w:pos="9460"/>
                <w:tab w:val="right" w:pos="10080"/>
              </w:tabs>
              <w:ind w:left="567" w:right="-57"/>
              <w:jc w:val="both"/>
              <w:rPr>
                <w:bCs w:val="0"/>
                <w:i/>
                <w:sz w:val="12"/>
                <w:szCs w:val="18"/>
              </w:rPr>
            </w:pPr>
          </w:p>
        </w:tc>
      </w:tr>
      <w:tr w:rsidR="000F7EE2" w:rsidRPr="004D2565" w14:paraId="4B42BD45" w14:textId="77777777" w:rsidTr="00BE6E3D">
        <w:tc>
          <w:tcPr>
            <w:tcW w:w="4598" w:type="dxa"/>
          </w:tcPr>
          <w:p w14:paraId="6BBAA92B" w14:textId="72FEB165" w:rsidR="000F7EE2" w:rsidRPr="00F72A90" w:rsidRDefault="000F7EE2" w:rsidP="0013526B">
            <w:pPr>
              <w:ind w:left="567" w:right="-57"/>
              <w:jc w:val="both"/>
              <w:rPr>
                <w:bCs w:val="0"/>
                <w:sz w:val="18"/>
                <w:szCs w:val="18"/>
              </w:rPr>
            </w:pPr>
            <w:r w:rsidRPr="00F72A90">
              <w:rPr>
                <w:bCs w:val="0"/>
                <w:sz w:val="18"/>
                <w:szCs w:val="18"/>
              </w:rPr>
              <w:t>Persyaratan pengungkapan untuk laporan keuangan konsolidasian diatur dalam PSAK No. 67</w:t>
            </w:r>
            <w:r w:rsidR="000111CB">
              <w:rPr>
                <w:bCs w:val="0"/>
                <w:sz w:val="18"/>
                <w:szCs w:val="18"/>
              </w:rPr>
              <w:t>,</w:t>
            </w:r>
            <w:r w:rsidRPr="00F72A90">
              <w:rPr>
                <w:bCs w:val="0"/>
                <w:sz w:val="18"/>
                <w:szCs w:val="18"/>
              </w:rPr>
              <w:t xml:space="preserve"> “Pengungkapan Kepentingan dalam Entitas Lain”.</w:t>
            </w:r>
          </w:p>
        </w:tc>
        <w:tc>
          <w:tcPr>
            <w:tcW w:w="4598" w:type="dxa"/>
          </w:tcPr>
          <w:p w14:paraId="72F8BB9F" w14:textId="63BAD497" w:rsidR="000F7EE2" w:rsidRPr="00F72A90" w:rsidRDefault="000F7EE2" w:rsidP="000111CB">
            <w:pPr>
              <w:tabs>
                <w:tab w:val="left" w:pos="5590"/>
                <w:tab w:val="right" w:pos="7620"/>
                <w:tab w:val="right" w:pos="9460"/>
                <w:tab w:val="right" w:pos="10080"/>
              </w:tabs>
              <w:ind w:left="567" w:right="-57"/>
              <w:jc w:val="both"/>
              <w:rPr>
                <w:bCs w:val="0"/>
                <w:i/>
                <w:sz w:val="18"/>
                <w:szCs w:val="18"/>
              </w:rPr>
            </w:pPr>
            <w:r w:rsidRPr="00F72A90">
              <w:rPr>
                <w:bCs w:val="0"/>
                <w:i/>
                <w:sz w:val="18"/>
                <w:szCs w:val="18"/>
              </w:rPr>
              <w:t>The disclosure requirement</w:t>
            </w:r>
            <w:r w:rsidR="00E61747" w:rsidRPr="00F72A90">
              <w:rPr>
                <w:bCs w:val="0"/>
                <w:i/>
                <w:sz w:val="18"/>
                <w:szCs w:val="18"/>
              </w:rPr>
              <w:t>s for consolidated financial state</w:t>
            </w:r>
            <w:r w:rsidRPr="00F72A90">
              <w:rPr>
                <w:bCs w:val="0"/>
                <w:i/>
                <w:sz w:val="18"/>
                <w:szCs w:val="18"/>
              </w:rPr>
              <w:t>ments are specified in PSAK No. 67</w:t>
            </w:r>
            <w:proofErr w:type="gramStart"/>
            <w:r w:rsidR="000111CB">
              <w:rPr>
                <w:bCs w:val="0"/>
                <w:i/>
                <w:sz w:val="18"/>
                <w:szCs w:val="18"/>
              </w:rPr>
              <w:t>,</w:t>
            </w:r>
            <w:r w:rsidRPr="00F72A90">
              <w:rPr>
                <w:bCs w:val="0"/>
                <w:i/>
                <w:sz w:val="18"/>
                <w:szCs w:val="18"/>
              </w:rPr>
              <w:t xml:space="preserve"> ”</w:t>
            </w:r>
            <w:proofErr w:type="gramEnd"/>
            <w:r w:rsidRPr="00F72A90">
              <w:rPr>
                <w:bCs w:val="0"/>
                <w:i/>
                <w:sz w:val="18"/>
                <w:szCs w:val="18"/>
              </w:rPr>
              <w:t>Disclosure of Interests in Other Entities”.</w:t>
            </w:r>
          </w:p>
        </w:tc>
      </w:tr>
      <w:tr w:rsidR="000F7EE2" w:rsidRPr="004D2565" w14:paraId="2FFF9CE8" w14:textId="77777777" w:rsidTr="00BE6E3D">
        <w:tc>
          <w:tcPr>
            <w:tcW w:w="4598" w:type="dxa"/>
          </w:tcPr>
          <w:p w14:paraId="5A63D94E" w14:textId="77777777" w:rsidR="000F7EE2" w:rsidRPr="00F72A90" w:rsidRDefault="000F7EE2" w:rsidP="0013526B">
            <w:pPr>
              <w:ind w:left="567"/>
              <w:jc w:val="both"/>
              <w:rPr>
                <w:bCs w:val="0"/>
                <w:sz w:val="12"/>
                <w:szCs w:val="18"/>
              </w:rPr>
            </w:pPr>
          </w:p>
        </w:tc>
        <w:tc>
          <w:tcPr>
            <w:tcW w:w="4598" w:type="dxa"/>
          </w:tcPr>
          <w:p w14:paraId="43946BFD" w14:textId="77777777" w:rsidR="000F7EE2" w:rsidRPr="00F72A90" w:rsidRDefault="000F7EE2" w:rsidP="0013526B">
            <w:pPr>
              <w:tabs>
                <w:tab w:val="left" w:pos="5590"/>
                <w:tab w:val="right" w:pos="7620"/>
                <w:tab w:val="right" w:pos="9460"/>
                <w:tab w:val="right" w:pos="10080"/>
              </w:tabs>
              <w:ind w:left="567"/>
              <w:jc w:val="both"/>
              <w:rPr>
                <w:bCs w:val="0"/>
                <w:i/>
                <w:sz w:val="12"/>
                <w:szCs w:val="18"/>
              </w:rPr>
            </w:pPr>
          </w:p>
        </w:tc>
      </w:tr>
      <w:tr w:rsidR="000F7EE2" w:rsidRPr="004D2565" w14:paraId="2050F99D" w14:textId="77777777" w:rsidTr="00BE6E3D">
        <w:tc>
          <w:tcPr>
            <w:tcW w:w="4598" w:type="dxa"/>
          </w:tcPr>
          <w:p w14:paraId="7C333B82" w14:textId="3A9F1F6E" w:rsidR="000F7EE2" w:rsidRPr="00F72A90" w:rsidRDefault="000F7EE2" w:rsidP="000111CB">
            <w:pPr>
              <w:ind w:left="567" w:right="-57"/>
              <w:jc w:val="both"/>
              <w:rPr>
                <w:bCs w:val="0"/>
                <w:sz w:val="18"/>
                <w:szCs w:val="18"/>
              </w:rPr>
            </w:pPr>
            <w:r w:rsidRPr="00F72A90">
              <w:rPr>
                <w:bCs w:val="0"/>
                <w:sz w:val="18"/>
                <w:szCs w:val="18"/>
              </w:rPr>
              <w:t>Sebagaimana diatur dalam PSAK No. 4 (Revisi 2013)</w:t>
            </w:r>
            <w:r w:rsidR="000111CB">
              <w:rPr>
                <w:bCs w:val="0"/>
                <w:sz w:val="18"/>
                <w:szCs w:val="18"/>
              </w:rPr>
              <w:t>,</w:t>
            </w:r>
            <w:r w:rsidRPr="00F72A90">
              <w:rPr>
                <w:bCs w:val="0"/>
                <w:sz w:val="18"/>
                <w:szCs w:val="18"/>
              </w:rPr>
              <w:t xml:space="preserve"> “Laporan Keuangan Tersendiri”</w:t>
            </w:r>
            <w:r w:rsidR="000111CB">
              <w:rPr>
                <w:bCs w:val="0"/>
                <w:sz w:val="18"/>
                <w:szCs w:val="18"/>
              </w:rPr>
              <w:t>,</w:t>
            </w:r>
            <w:r w:rsidRPr="00F72A90">
              <w:rPr>
                <w:bCs w:val="0"/>
                <w:sz w:val="18"/>
                <w:szCs w:val="18"/>
              </w:rPr>
              <w:t xml:space="preserve"> laporan keuangan tersendiri (entitas induk) dapat disajikan hanya jika laporan tersebut merupakan informasi tambahan pada laporan keuangan konsolidasian dan disajikan sebagai lampiran dalam laporan keuangan konsolidasian. Metode yang digunakan untuk mencatat investasi di entitas anak</w:t>
            </w:r>
            <w:r w:rsidR="000111CB">
              <w:rPr>
                <w:bCs w:val="0"/>
                <w:sz w:val="18"/>
                <w:szCs w:val="18"/>
              </w:rPr>
              <w:t>,</w:t>
            </w:r>
            <w:r w:rsidRPr="00F72A90">
              <w:rPr>
                <w:bCs w:val="0"/>
                <w:sz w:val="18"/>
                <w:szCs w:val="18"/>
              </w:rPr>
              <w:t xml:space="preserve"> asosiasi dan ventura bersama adalah metode biaya perolehan atau sesuai dengan </w:t>
            </w:r>
            <w:r w:rsidR="00E61747" w:rsidRPr="00F72A90">
              <w:rPr>
                <w:bCs w:val="0"/>
                <w:sz w:val="18"/>
                <w:szCs w:val="18"/>
              </w:rPr>
              <w:br/>
            </w:r>
            <w:r w:rsidRPr="00F72A90">
              <w:rPr>
                <w:bCs w:val="0"/>
                <w:sz w:val="18"/>
                <w:szCs w:val="18"/>
              </w:rPr>
              <w:t>PSAK No. 55 (Revisi 2014)</w:t>
            </w:r>
            <w:r w:rsidR="000111CB">
              <w:rPr>
                <w:bCs w:val="0"/>
                <w:sz w:val="18"/>
                <w:szCs w:val="18"/>
              </w:rPr>
              <w:t>,</w:t>
            </w:r>
            <w:r w:rsidRPr="00F72A90">
              <w:rPr>
                <w:bCs w:val="0"/>
                <w:sz w:val="18"/>
                <w:szCs w:val="18"/>
              </w:rPr>
              <w:t xml:space="preserve"> “Instrumen Keuangan: Pengakuan dan Pengukuran”. Laporan keuangan tersendiri terdiri dari laporan posisi keuangan</w:t>
            </w:r>
            <w:r w:rsidR="000111CB">
              <w:rPr>
                <w:bCs w:val="0"/>
                <w:sz w:val="18"/>
                <w:szCs w:val="18"/>
              </w:rPr>
              <w:t>,</w:t>
            </w:r>
            <w:r w:rsidRPr="00F72A90">
              <w:rPr>
                <w:bCs w:val="0"/>
                <w:sz w:val="18"/>
                <w:szCs w:val="18"/>
              </w:rPr>
              <w:t xml:space="preserve"> laporan laba rugi dan penghasilan komprehensif lain</w:t>
            </w:r>
            <w:r w:rsidR="000111CB">
              <w:rPr>
                <w:bCs w:val="0"/>
                <w:sz w:val="18"/>
                <w:szCs w:val="18"/>
              </w:rPr>
              <w:t>,</w:t>
            </w:r>
            <w:r w:rsidRPr="00F72A90">
              <w:rPr>
                <w:bCs w:val="0"/>
                <w:sz w:val="18"/>
                <w:szCs w:val="18"/>
              </w:rPr>
              <w:t xml:space="preserve"> laporan perubahan ekuitas dan laporan arus kas.</w:t>
            </w:r>
          </w:p>
        </w:tc>
        <w:tc>
          <w:tcPr>
            <w:tcW w:w="4598" w:type="dxa"/>
          </w:tcPr>
          <w:p w14:paraId="547ED227" w14:textId="01A1AA5C" w:rsidR="000F7EE2" w:rsidRPr="00F72A90" w:rsidRDefault="000F7EE2" w:rsidP="000111CB">
            <w:pPr>
              <w:tabs>
                <w:tab w:val="left" w:pos="5590"/>
                <w:tab w:val="right" w:pos="7620"/>
                <w:tab w:val="right" w:pos="9460"/>
                <w:tab w:val="right" w:pos="10080"/>
              </w:tabs>
              <w:ind w:left="567" w:right="-57"/>
              <w:jc w:val="both"/>
              <w:rPr>
                <w:bCs w:val="0"/>
                <w:i/>
                <w:sz w:val="18"/>
                <w:szCs w:val="18"/>
              </w:rPr>
            </w:pPr>
            <w:r w:rsidRPr="00F72A90">
              <w:rPr>
                <w:bCs w:val="0"/>
                <w:i/>
                <w:sz w:val="18"/>
                <w:szCs w:val="18"/>
              </w:rPr>
              <w:t>As regulated in PSAK No. 4 (Revised 2013)</w:t>
            </w:r>
            <w:r w:rsidR="000111CB">
              <w:rPr>
                <w:bCs w:val="0"/>
                <w:i/>
                <w:sz w:val="18"/>
                <w:szCs w:val="18"/>
              </w:rPr>
              <w:t>,</w:t>
            </w:r>
            <w:r w:rsidRPr="00F72A90">
              <w:rPr>
                <w:bCs w:val="0"/>
                <w:i/>
                <w:sz w:val="18"/>
                <w:szCs w:val="18"/>
              </w:rPr>
              <w:t xml:space="preserve"> ”Separate Financial Statements”</w:t>
            </w:r>
            <w:r w:rsidR="000111CB">
              <w:rPr>
                <w:bCs w:val="0"/>
                <w:i/>
                <w:sz w:val="18"/>
                <w:szCs w:val="18"/>
              </w:rPr>
              <w:t>,</w:t>
            </w:r>
            <w:r w:rsidRPr="00F72A90">
              <w:rPr>
                <w:bCs w:val="0"/>
                <w:i/>
                <w:sz w:val="18"/>
                <w:szCs w:val="18"/>
              </w:rPr>
              <w:t xml:space="preserve"> separate financial statements (parent entity) can be served only when those statements are additional information on the consolidated financial statements and are presented as an attachment to the consolidated financial statements. The method used to record investments in subsidiaries</w:t>
            </w:r>
            <w:r w:rsidR="000111CB">
              <w:rPr>
                <w:bCs w:val="0"/>
                <w:i/>
                <w:sz w:val="18"/>
                <w:szCs w:val="18"/>
              </w:rPr>
              <w:t>,</w:t>
            </w:r>
            <w:r w:rsidRPr="00F72A90">
              <w:rPr>
                <w:bCs w:val="0"/>
                <w:i/>
                <w:sz w:val="18"/>
                <w:szCs w:val="18"/>
              </w:rPr>
              <w:t xml:space="preserve"> associations and joint ventures are cost method or in accordance with PSAK No. 55 (Revised 2014)</w:t>
            </w:r>
            <w:r w:rsidR="000111CB">
              <w:rPr>
                <w:bCs w:val="0"/>
                <w:i/>
                <w:sz w:val="18"/>
                <w:szCs w:val="18"/>
              </w:rPr>
              <w:t>,</w:t>
            </w:r>
            <w:r w:rsidRPr="00F72A90">
              <w:rPr>
                <w:bCs w:val="0"/>
                <w:i/>
                <w:sz w:val="18"/>
                <w:szCs w:val="18"/>
              </w:rPr>
              <w:t xml:space="preserve"> “Financial Instrument: Recognition and Measurement”. Separate financial statements consist of the statement of financial position</w:t>
            </w:r>
            <w:r w:rsidR="000111CB">
              <w:rPr>
                <w:bCs w:val="0"/>
                <w:i/>
                <w:sz w:val="18"/>
                <w:szCs w:val="18"/>
              </w:rPr>
              <w:t>,</w:t>
            </w:r>
            <w:r w:rsidRPr="00F72A90">
              <w:rPr>
                <w:bCs w:val="0"/>
                <w:i/>
                <w:sz w:val="18"/>
                <w:szCs w:val="18"/>
              </w:rPr>
              <w:t xml:space="preserve"> statement of profit or loss and other comprehensive income</w:t>
            </w:r>
            <w:r w:rsidR="000111CB">
              <w:rPr>
                <w:bCs w:val="0"/>
                <w:i/>
                <w:sz w:val="18"/>
                <w:szCs w:val="18"/>
              </w:rPr>
              <w:t>,</w:t>
            </w:r>
            <w:r w:rsidRPr="00F72A90">
              <w:rPr>
                <w:bCs w:val="0"/>
                <w:i/>
                <w:sz w:val="18"/>
                <w:szCs w:val="18"/>
              </w:rPr>
              <w:t xml:space="preserve"> statement of changes in equity and statement of cash flows.</w:t>
            </w:r>
          </w:p>
        </w:tc>
      </w:tr>
      <w:tr w:rsidR="000F7EE2" w:rsidRPr="004D2565" w14:paraId="20BFB127" w14:textId="77777777" w:rsidTr="00BE6E3D">
        <w:tc>
          <w:tcPr>
            <w:tcW w:w="4598" w:type="dxa"/>
          </w:tcPr>
          <w:p w14:paraId="5D84AE89" w14:textId="77777777" w:rsidR="000F7EE2" w:rsidRPr="00F72A90" w:rsidRDefault="000F7EE2" w:rsidP="0013526B">
            <w:pPr>
              <w:ind w:left="567"/>
              <w:jc w:val="both"/>
              <w:rPr>
                <w:bCs w:val="0"/>
                <w:sz w:val="12"/>
                <w:szCs w:val="18"/>
              </w:rPr>
            </w:pPr>
          </w:p>
        </w:tc>
        <w:tc>
          <w:tcPr>
            <w:tcW w:w="4598" w:type="dxa"/>
          </w:tcPr>
          <w:p w14:paraId="4628A7F1" w14:textId="77777777" w:rsidR="000F7EE2" w:rsidRPr="00F72A90" w:rsidRDefault="000F7EE2" w:rsidP="0013526B">
            <w:pPr>
              <w:tabs>
                <w:tab w:val="left" w:pos="5590"/>
                <w:tab w:val="right" w:pos="7620"/>
                <w:tab w:val="right" w:pos="9460"/>
                <w:tab w:val="right" w:pos="10080"/>
              </w:tabs>
              <w:ind w:left="567"/>
              <w:jc w:val="both"/>
              <w:rPr>
                <w:bCs w:val="0"/>
                <w:i/>
                <w:sz w:val="12"/>
                <w:szCs w:val="18"/>
              </w:rPr>
            </w:pPr>
          </w:p>
        </w:tc>
      </w:tr>
      <w:tr w:rsidR="000F7EE2" w:rsidRPr="004D2565" w14:paraId="42EF3FA6" w14:textId="77777777" w:rsidTr="00BE6E3D">
        <w:tc>
          <w:tcPr>
            <w:tcW w:w="4598" w:type="dxa"/>
          </w:tcPr>
          <w:p w14:paraId="74FBEE85" w14:textId="77777777" w:rsidR="000F7EE2" w:rsidRPr="00F72A90" w:rsidRDefault="000F7EE2" w:rsidP="00070D1F">
            <w:pPr>
              <w:pStyle w:val="ListParagraph"/>
              <w:numPr>
                <w:ilvl w:val="0"/>
                <w:numId w:val="94"/>
              </w:numPr>
              <w:ind w:left="568" w:right="-57" w:hanging="284"/>
              <w:contextualSpacing/>
              <w:jc w:val="both"/>
              <w:rPr>
                <w:bCs w:val="0"/>
                <w:sz w:val="18"/>
                <w:szCs w:val="18"/>
              </w:rPr>
            </w:pPr>
            <w:r w:rsidRPr="00F72A90">
              <w:rPr>
                <w:b/>
                <w:bCs w:val="0"/>
                <w:sz w:val="18"/>
                <w:szCs w:val="18"/>
              </w:rPr>
              <w:t xml:space="preserve">Investasi pada Entitas Asosiasi dan Ventura Bersama </w:t>
            </w:r>
          </w:p>
        </w:tc>
        <w:tc>
          <w:tcPr>
            <w:tcW w:w="4598" w:type="dxa"/>
          </w:tcPr>
          <w:p w14:paraId="7FFA5DD9" w14:textId="77777777" w:rsidR="000F7EE2" w:rsidRPr="00F72A90" w:rsidRDefault="000F7EE2" w:rsidP="00070D1F">
            <w:pPr>
              <w:pStyle w:val="ListParagraph"/>
              <w:numPr>
                <w:ilvl w:val="0"/>
                <w:numId w:val="95"/>
              </w:numPr>
              <w:ind w:left="568" w:right="-57" w:hanging="284"/>
              <w:contextualSpacing/>
              <w:jc w:val="both"/>
              <w:rPr>
                <w:bCs w:val="0"/>
                <w:i/>
                <w:sz w:val="18"/>
                <w:szCs w:val="18"/>
              </w:rPr>
            </w:pPr>
            <w:r w:rsidRPr="00F72A90">
              <w:rPr>
                <w:b/>
                <w:bCs w:val="0"/>
                <w:i/>
                <w:sz w:val="18"/>
                <w:szCs w:val="18"/>
              </w:rPr>
              <w:t xml:space="preserve">Investments in Associates and Joint Ventures </w:t>
            </w:r>
          </w:p>
        </w:tc>
      </w:tr>
      <w:tr w:rsidR="000F7EE2" w:rsidRPr="004D2565" w14:paraId="4C460CE3" w14:textId="77777777" w:rsidTr="00BE6E3D">
        <w:tc>
          <w:tcPr>
            <w:tcW w:w="4598" w:type="dxa"/>
          </w:tcPr>
          <w:p w14:paraId="6F6999D8" w14:textId="77777777" w:rsidR="000F7EE2" w:rsidRPr="00F72A90" w:rsidRDefault="000F7EE2" w:rsidP="0013526B">
            <w:pPr>
              <w:ind w:left="884" w:right="-57"/>
              <w:jc w:val="both"/>
              <w:rPr>
                <w:b/>
                <w:bCs w:val="0"/>
                <w:sz w:val="12"/>
                <w:szCs w:val="18"/>
              </w:rPr>
            </w:pPr>
          </w:p>
        </w:tc>
        <w:tc>
          <w:tcPr>
            <w:tcW w:w="4598" w:type="dxa"/>
          </w:tcPr>
          <w:p w14:paraId="413FEBCE" w14:textId="77777777" w:rsidR="000F7EE2" w:rsidRPr="00F72A90" w:rsidRDefault="000F7EE2" w:rsidP="0013526B">
            <w:pPr>
              <w:ind w:left="856" w:right="-57"/>
              <w:jc w:val="both"/>
              <w:rPr>
                <w:b/>
                <w:bCs w:val="0"/>
                <w:i/>
                <w:sz w:val="12"/>
                <w:szCs w:val="18"/>
              </w:rPr>
            </w:pPr>
          </w:p>
        </w:tc>
      </w:tr>
      <w:tr w:rsidR="000F7EE2" w:rsidRPr="004D2565" w14:paraId="5AB4BCC8" w14:textId="77777777" w:rsidTr="00BE6E3D">
        <w:tc>
          <w:tcPr>
            <w:tcW w:w="4598" w:type="dxa"/>
          </w:tcPr>
          <w:p w14:paraId="36692C25" w14:textId="49AFB29D" w:rsidR="000F7EE2" w:rsidRPr="00F72A90" w:rsidRDefault="000F7EE2" w:rsidP="00154048">
            <w:pPr>
              <w:ind w:left="567" w:right="-57"/>
              <w:jc w:val="both"/>
              <w:rPr>
                <w:bCs w:val="0"/>
                <w:sz w:val="18"/>
                <w:szCs w:val="18"/>
              </w:rPr>
            </w:pPr>
            <w:r w:rsidRPr="00F72A90">
              <w:rPr>
                <w:bCs w:val="0"/>
                <w:sz w:val="18"/>
                <w:szCs w:val="18"/>
              </w:rPr>
              <w:t>Kelompok Usaha menerapkan PSAK No. 15</w:t>
            </w:r>
            <w:r w:rsidRPr="00F72A90">
              <w:rPr>
                <w:bCs w:val="0"/>
                <w:sz w:val="18"/>
                <w:szCs w:val="18"/>
              </w:rPr>
              <w:br/>
              <w:t>(Revisi 2013)</w:t>
            </w:r>
            <w:r w:rsidR="00154048">
              <w:rPr>
                <w:bCs w:val="0"/>
                <w:sz w:val="18"/>
                <w:szCs w:val="18"/>
              </w:rPr>
              <w:t>,</w:t>
            </w:r>
            <w:r w:rsidRPr="00F72A90">
              <w:rPr>
                <w:bCs w:val="0"/>
                <w:sz w:val="18"/>
                <w:szCs w:val="18"/>
              </w:rPr>
              <w:t xml:space="preserve"> “Investasi pada Entitas Asosiasi dan Ventura Bersama” dan Amandemen PSAK No. 15 “Investasi pada Entitas Asosiasi dan Ventura bersama tentang Investasi Entitas Asosiasi: Penerapan Pengecualian Konsolidasi”. </w:t>
            </w:r>
          </w:p>
        </w:tc>
        <w:tc>
          <w:tcPr>
            <w:tcW w:w="4598" w:type="dxa"/>
          </w:tcPr>
          <w:p w14:paraId="7BCF4C72" w14:textId="0D9A16EF" w:rsidR="000F7EE2" w:rsidRPr="00F72A90" w:rsidRDefault="000F7EE2" w:rsidP="00154048">
            <w:pPr>
              <w:tabs>
                <w:tab w:val="left" w:pos="5590"/>
                <w:tab w:val="right" w:pos="7620"/>
                <w:tab w:val="right" w:pos="9460"/>
                <w:tab w:val="right" w:pos="10080"/>
              </w:tabs>
              <w:ind w:left="567" w:right="-57"/>
              <w:jc w:val="both"/>
              <w:rPr>
                <w:bCs w:val="0"/>
                <w:i/>
                <w:sz w:val="18"/>
                <w:szCs w:val="18"/>
              </w:rPr>
            </w:pPr>
            <w:r w:rsidRPr="00F72A90">
              <w:rPr>
                <w:bCs w:val="0"/>
                <w:i/>
                <w:sz w:val="18"/>
                <w:szCs w:val="18"/>
              </w:rPr>
              <w:t>The Group applied PSAK No. 15 (Revised 2013)</w:t>
            </w:r>
            <w:r w:rsidR="00154048">
              <w:rPr>
                <w:bCs w:val="0"/>
                <w:i/>
                <w:sz w:val="18"/>
                <w:szCs w:val="18"/>
              </w:rPr>
              <w:t>,</w:t>
            </w:r>
            <w:r w:rsidRPr="00F72A90">
              <w:rPr>
                <w:bCs w:val="0"/>
                <w:i/>
                <w:sz w:val="18"/>
                <w:szCs w:val="18"/>
              </w:rPr>
              <w:t xml:space="preserve"> “Investment in Associates and Joint Ventures” and Amandment to PSAK No. 15 “Investment in Associated and Joint Ventures on Investment in Associated: Application Consolidation Exception”. </w:t>
            </w:r>
          </w:p>
        </w:tc>
      </w:tr>
      <w:tr w:rsidR="009C602F" w:rsidRPr="004D2565" w14:paraId="7F1CD1E5" w14:textId="77777777" w:rsidTr="00BE6E3D">
        <w:tc>
          <w:tcPr>
            <w:tcW w:w="4598" w:type="dxa"/>
          </w:tcPr>
          <w:p w14:paraId="62BB18CD" w14:textId="77777777" w:rsidR="009C602F" w:rsidRPr="00F72A90" w:rsidRDefault="009C602F" w:rsidP="0013526B">
            <w:pPr>
              <w:ind w:left="567"/>
              <w:jc w:val="both"/>
              <w:rPr>
                <w:bCs w:val="0"/>
                <w:sz w:val="12"/>
                <w:szCs w:val="18"/>
              </w:rPr>
            </w:pPr>
          </w:p>
        </w:tc>
        <w:tc>
          <w:tcPr>
            <w:tcW w:w="4598" w:type="dxa"/>
          </w:tcPr>
          <w:p w14:paraId="3EB349A3" w14:textId="77777777" w:rsidR="009C602F" w:rsidRPr="00F72A90" w:rsidRDefault="009C602F" w:rsidP="0013526B">
            <w:pPr>
              <w:tabs>
                <w:tab w:val="left" w:pos="5590"/>
                <w:tab w:val="right" w:pos="7620"/>
                <w:tab w:val="right" w:pos="9460"/>
                <w:tab w:val="right" w:pos="10080"/>
              </w:tabs>
              <w:ind w:left="567"/>
              <w:jc w:val="both"/>
              <w:rPr>
                <w:bCs w:val="0"/>
                <w:i/>
                <w:sz w:val="12"/>
                <w:szCs w:val="18"/>
              </w:rPr>
            </w:pPr>
          </w:p>
        </w:tc>
      </w:tr>
      <w:tr w:rsidR="009C602F" w:rsidRPr="004D2565" w14:paraId="29F297B1" w14:textId="77777777" w:rsidTr="00BE6E3D">
        <w:tc>
          <w:tcPr>
            <w:tcW w:w="4598" w:type="dxa"/>
          </w:tcPr>
          <w:p w14:paraId="0FAD3CAC" w14:textId="77777777" w:rsidR="009C602F" w:rsidRPr="00F72A90" w:rsidRDefault="009C602F" w:rsidP="0013526B">
            <w:pPr>
              <w:ind w:left="567" w:right="-57"/>
              <w:jc w:val="both"/>
              <w:rPr>
                <w:bCs w:val="0"/>
                <w:sz w:val="18"/>
                <w:szCs w:val="18"/>
              </w:rPr>
            </w:pPr>
            <w:r w:rsidRPr="00F72A90">
              <w:rPr>
                <w:bCs w:val="0"/>
                <w:sz w:val="18"/>
                <w:szCs w:val="18"/>
              </w:rPr>
              <w:t>PSAK ini menentukan penerapan metode ekuitas atas invetasi pada entitas asosiasi dan ventura bersama. Amandemen PSAK No. 15 memberikan klarifikasi pada paragraph 36A tentang pengecualian konsolidasi untuk investasi ketika ktriteria tertentu terpenuhi.</w:t>
            </w:r>
          </w:p>
        </w:tc>
        <w:tc>
          <w:tcPr>
            <w:tcW w:w="4598" w:type="dxa"/>
          </w:tcPr>
          <w:p w14:paraId="03FD5D57" w14:textId="77777777" w:rsidR="009C602F" w:rsidRPr="00F72A90" w:rsidRDefault="009C602F" w:rsidP="0013526B">
            <w:pPr>
              <w:tabs>
                <w:tab w:val="left" w:pos="5590"/>
                <w:tab w:val="right" w:pos="7620"/>
                <w:tab w:val="right" w:pos="9460"/>
                <w:tab w:val="right" w:pos="10080"/>
              </w:tabs>
              <w:ind w:left="567" w:right="-57"/>
              <w:jc w:val="both"/>
              <w:rPr>
                <w:bCs w:val="0"/>
                <w:i/>
                <w:sz w:val="18"/>
                <w:szCs w:val="18"/>
              </w:rPr>
            </w:pPr>
            <w:r w:rsidRPr="00F72A90">
              <w:rPr>
                <w:bCs w:val="0"/>
                <w:i/>
                <w:sz w:val="18"/>
                <w:szCs w:val="18"/>
              </w:rPr>
              <w:t>This PSAK prescribes the application of the equity method to investments in associates and joint ventures. The Amendment to PSAK No. 15 provides clarification on the consolidation of paragraph 36A of exceptions for certain investments when certain criteria are met.</w:t>
            </w:r>
          </w:p>
        </w:tc>
      </w:tr>
      <w:tr w:rsidR="009C602F" w:rsidRPr="004D2565" w14:paraId="2706E1AA" w14:textId="77777777" w:rsidTr="00BE6E3D">
        <w:tc>
          <w:tcPr>
            <w:tcW w:w="4598" w:type="dxa"/>
          </w:tcPr>
          <w:p w14:paraId="5AB226E8" w14:textId="77777777" w:rsidR="009C602F" w:rsidRPr="00F72A90" w:rsidRDefault="009C602F" w:rsidP="0013526B">
            <w:pPr>
              <w:ind w:left="601" w:right="-57"/>
              <w:jc w:val="both"/>
              <w:rPr>
                <w:bCs w:val="0"/>
                <w:sz w:val="12"/>
                <w:szCs w:val="18"/>
              </w:rPr>
            </w:pPr>
          </w:p>
        </w:tc>
        <w:tc>
          <w:tcPr>
            <w:tcW w:w="4598" w:type="dxa"/>
          </w:tcPr>
          <w:p w14:paraId="7F8B88AA" w14:textId="77777777" w:rsidR="009C602F" w:rsidRPr="00F72A90" w:rsidRDefault="009C602F" w:rsidP="0013526B">
            <w:pPr>
              <w:tabs>
                <w:tab w:val="left" w:pos="5590"/>
                <w:tab w:val="right" w:pos="7620"/>
                <w:tab w:val="right" w:pos="9460"/>
                <w:tab w:val="right" w:pos="10080"/>
              </w:tabs>
              <w:ind w:left="651" w:right="-57"/>
              <w:jc w:val="both"/>
              <w:rPr>
                <w:bCs w:val="0"/>
                <w:i/>
                <w:sz w:val="12"/>
                <w:szCs w:val="18"/>
              </w:rPr>
            </w:pPr>
          </w:p>
        </w:tc>
      </w:tr>
      <w:tr w:rsidR="009C602F" w:rsidRPr="004D2565" w14:paraId="20AEFE7D" w14:textId="77777777" w:rsidTr="00BE6E3D">
        <w:tc>
          <w:tcPr>
            <w:tcW w:w="4598" w:type="dxa"/>
          </w:tcPr>
          <w:p w14:paraId="4E0BECA1" w14:textId="5D4F31B7" w:rsidR="009C602F" w:rsidRPr="00F72A90" w:rsidRDefault="009C602F" w:rsidP="0013526B">
            <w:pPr>
              <w:ind w:left="567" w:right="-57"/>
              <w:jc w:val="both"/>
              <w:rPr>
                <w:bCs w:val="0"/>
                <w:sz w:val="18"/>
                <w:szCs w:val="18"/>
              </w:rPr>
            </w:pPr>
            <w:r w:rsidRPr="00F72A90">
              <w:rPr>
                <w:bCs w:val="0"/>
                <w:sz w:val="18"/>
                <w:szCs w:val="18"/>
              </w:rPr>
              <w:t>Dampak penerapan PSAK ini bersama-sama dengan PSAK No. 66</w:t>
            </w:r>
            <w:r w:rsidR="00154048">
              <w:rPr>
                <w:bCs w:val="0"/>
                <w:sz w:val="18"/>
                <w:szCs w:val="18"/>
              </w:rPr>
              <w:t>,</w:t>
            </w:r>
            <w:r w:rsidRPr="00F72A90">
              <w:rPr>
                <w:bCs w:val="0"/>
                <w:sz w:val="18"/>
                <w:szCs w:val="18"/>
              </w:rPr>
              <w:t xml:space="preserve"> “Pengaturan Bersama”.</w:t>
            </w:r>
          </w:p>
        </w:tc>
        <w:tc>
          <w:tcPr>
            <w:tcW w:w="4598" w:type="dxa"/>
          </w:tcPr>
          <w:p w14:paraId="3A81CD55" w14:textId="51C43151" w:rsidR="009C602F" w:rsidRPr="00F72A90" w:rsidRDefault="009C602F" w:rsidP="0013526B">
            <w:pPr>
              <w:tabs>
                <w:tab w:val="left" w:pos="5590"/>
                <w:tab w:val="right" w:pos="7620"/>
                <w:tab w:val="right" w:pos="9460"/>
                <w:tab w:val="right" w:pos="10080"/>
              </w:tabs>
              <w:ind w:left="567" w:right="-57"/>
              <w:jc w:val="both"/>
              <w:rPr>
                <w:bCs w:val="0"/>
                <w:i/>
                <w:sz w:val="18"/>
                <w:szCs w:val="18"/>
              </w:rPr>
            </w:pPr>
            <w:r w:rsidRPr="00F72A90">
              <w:rPr>
                <w:bCs w:val="0"/>
                <w:i/>
                <w:sz w:val="18"/>
                <w:szCs w:val="18"/>
              </w:rPr>
              <w:t>The impact on the adoption of this PSAK along with PSAK No. 66</w:t>
            </w:r>
            <w:r w:rsidR="00154048">
              <w:rPr>
                <w:bCs w:val="0"/>
                <w:i/>
                <w:sz w:val="18"/>
                <w:szCs w:val="18"/>
              </w:rPr>
              <w:t>,</w:t>
            </w:r>
            <w:r w:rsidRPr="00F72A90">
              <w:rPr>
                <w:bCs w:val="0"/>
                <w:i/>
                <w:sz w:val="18"/>
                <w:szCs w:val="18"/>
              </w:rPr>
              <w:t xml:space="preserve"> “Joint Arrangements”.</w:t>
            </w:r>
          </w:p>
        </w:tc>
      </w:tr>
      <w:tr w:rsidR="009C602F" w:rsidRPr="004D2565" w14:paraId="5BF83BA2" w14:textId="77777777" w:rsidTr="00BE6E3D">
        <w:tc>
          <w:tcPr>
            <w:tcW w:w="4598" w:type="dxa"/>
          </w:tcPr>
          <w:p w14:paraId="7465B542" w14:textId="77777777" w:rsidR="009C602F" w:rsidRPr="00F72A90" w:rsidRDefault="009C602F" w:rsidP="0013526B">
            <w:pPr>
              <w:ind w:left="567"/>
              <w:jc w:val="both"/>
              <w:rPr>
                <w:bCs w:val="0"/>
                <w:sz w:val="12"/>
                <w:szCs w:val="18"/>
              </w:rPr>
            </w:pPr>
          </w:p>
        </w:tc>
        <w:tc>
          <w:tcPr>
            <w:tcW w:w="4598" w:type="dxa"/>
          </w:tcPr>
          <w:p w14:paraId="7CE7997D" w14:textId="77777777" w:rsidR="009C602F" w:rsidRPr="00F72A90" w:rsidRDefault="009C602F" w:rsidP="0013526B">
            <w:pPr>
              <w:tabs>
                <w:tab w:val="left" w:pos="5590"/>
                <w:tab w:val="right" w:pos="7620"/>
                <w:tab w:val="right" w:pos="9460"/>
                <w:tab w:val="right" w:pos="10080"/>
              </w:tabs>
              <w:ind w:left="567"/>
              <w:jc w:val="both"/>
              <w:rPr>
                <w:bCs w:val="0"/>
                <w:i/>
                <w:sz w:val="12"/>
                <w:szCs w:val="18"/>
              </w:rPr>
            </w:pPr>
          </w:p>
        </w:tc>
      </w:tr>
      <w:tr w:rsidR="009C602F" w:rsidRPr="004D2565" w14:paraId="413727C8" w14:textId="77777777" w:rsidTr="00BE6E3D">
        <w:tc>
          <w:tcPr>
            <w:tcW w:w="4598" w:type="dxa"/>
          </w:tcPr>
          <w:p w14:paraId="5D148CFE" w14:textId="47BA53C1" w:rsidR="009C602F" w:rsidRPr="00F72A90" w:rsidRDefault="009C602F" w:rsidP="00911A8A">
            <w:pPr>
              <w:ind w:left="567" w:right="-57"/>
              <w:jc w:val="both"/>
              <w:rPr>
                <w:bCs w:val="0"/>
                <w:sz w:val="18"/>
                <w:szCs w:val="18"/>
              </w:rPr>
            </w:pPr>
            <w:r w:rsidRPr="00F72A90">
              <w:rPr>
                <w:bCs w:val="0"/>
                <w:sz w:val="18"/>
                <w:szCs w:val="18"/>
              </w:rPr>
              <w:t xml:space="preserve">Entitas asosiasi adalah suatu entitas yang mana investor mempunyai pengaruh signifikan. Pengaruh signifikan adalah kekuasaan untuk berpartisipasi dalam keputusan kebijakan keuangan dan operasional </w:t>
            </w:r>
            <w:r w:rsidR="00816ED4" w:rsidRPr="00F72A90">
              <w:rPr>
                <w:bCs w:val="0"/>
                <w:i/>
                <w:sz w:val="18"/>
                <w:szCs w:val="18"/>
              </w:rPr>
              <w:t>investee</w:t>
            </w:r>
            <w:r w:rsidR="00911A8A">
              <w:rPr>
                <w:bCs w:val="0"/>
                <w:i/>
                <w:sz w:val="18"/>
                <w:szCs w:val="18"/>
              </w:rPr>
              <w:t>,</w:t>
            </w:r>
            <w:r w:rsidRPr="00F72A90">
              <w:rPr>
                <w:bCs w:val="0"/>
                <w:sz w:val="18"/>
                <w:szCs w:val="18"/>
              </w:rPr>
              <w:t xml:space="preserve"> tetapi tidak mengendalikan atau mengendalikan bersama atas kebijakan tersebut.</w:t>
            </w:r>
          </w:p>
        </w:tc>
        <w:tc>
          <w:tcPr>
            <w:tcW w:w="4598" w:type="dxa"/>
          </w:tcPr>
          <w:p w14:paraId="7871CFA0" w14:textId="3B18F76C" w:rsidR="009C602F" w:rsidRPr="00F72A90" w:rsidRDefault="009C602F" w:rsidP="00911A8A">
            <w:pPr>
              <w:tabs>
                <w:tab w:val="left" w:pos="5590"/>
                <w:tab w:val="right" w:pos="7620"/>
                <w:tab w:val="right" w:pos="9460"/>
                <w:tab w:val="right" w:pos="10080"/>
              </w:tabs>
              <w:ind w:left="567" w:right="-57"/>
              <w:jc w:val="both"/>
              <w:rPr>
                <w:bCs w:val="0"/>
                <w:i/>
                <w:sz w:val="18"/>
                <w:szCs w:val="18"/>
              </w:rPr>
            </w:pPr>
            <w:r w:rsidRPr="00F72A90">
              <w:rPr>
                <w:bCs w:val="0"/>
                <w:i/>
                <w:sz w:val="18"/>
                <w:szCs w:val="18"/>
              </w:rPr>
              <w:t xml:space="preserve">An associate is an entity over which the entity has significant influence. Significant influence is the power of participate on the financial and operating policy decisions of the </w:t>
            </w:r>
            <w:r w:rsidR="00816ED4" w:rsidRPr="00F72A90">
              <w:rPr>
                <w:bCs w:val="0"/>
                <w:i/>
                <w:sz w:val="18"/>
                <w:szCs w:val="18"/>
              </w:rPr>
              <w:t>investee</w:t>
            </w:r>
            <w:r w:rsidR="00911A8A">
              <w:rPr>
                <w:bCs w:val="0"/>
                <w:i/>
                <w:sz w:val="18"/>
                <w:szCs w:val="18"/>
              </w:rPr>
              <w:t>,</w:t>
            </w:r>
            <w:r w:rsidRPr="00F72A90">
              <w:rPr>
                <w:bCs w:val="0"/>
                <w:i/>
                <w:sz w:val="18"/>
                <w:szCs w:val="18"/>
              </w:rPr>
              <w:t xml:space="preserve"> but is not control or joint control over those policies.</w:t>
            </w:r>
          </w:p>
        </w:tc>
      </w:tr>
      <w:tr w:rsidR="00D33B7C" w:rsidRPr="004D2565" w14:paraId="7E1DF920" w14:textId="77777777" w:rsidTr="00BE6E3D">
        <w:tc>
          <w:tcPr>
            <w:tcW w:w="4598" w:type="dxa"/>
          </w:tcPr>
          <w:p w14:paraId="7BFE0AD4" w14:textId="77777777" w:rsidR="00D33B7C" w:rsidRPr="00F72A90" w:rsidRDefault="00D33B7C" w:rsidP="0013526B">
            <w:pPr>
              <w:ind w:left="601"/>
              <w:jc w:val="both"/>
              <w:rPr>
                <w:rStyle w:val="hps"/>
                <w:sz w:val="12"/>
                <w:szCs w:val="18"/>
              </w:rPr>
            </w:pPr>
          </w:p>
        </w:tc>
        <w:tc>
          <w:tcPr>
            <w:tcW w:w="4598" w:type="dxa"/>
          </w:tcPr>
          <w:p w14:paraId="5BF26BCA" w14:textId="77777777" w:rsidR="00D33B7C" w:rsidRPr="00F72A90" w:rsidRDefault="00D33B7C" w:rsidP="0013526B">
            <w:pPr>
              <w:ind w:left="426"/>
              <w:jc w:val="both"/>
              <w:rPr>
                <w:bCs w:val="0"/>
                <w:i/>
                <w:sz w:val="12"/>
                <w:szCs w:val="18"/>
              </w:rPr>
            </w:pPr>
          </w:p>
        </w:tc>
      </w:tr>
      <w:tr w:rsidR="00D33B7C" w:rsidRPr="004D2565" w14:paraId="101B2CAB" w14:textId="77777777" w:rsidTr="00BE6E3D">
        <w:tc>
          <w:tcPr>
            <w:tcW w:w="4598" w:type="dxa"/>
          </w:tcPr>
          <w:p w14:paraId="5EEB2B2C" w14:textId="77777777" w:rsidR="00D33B7C" w:rsidRPr="00F72A90" w:rsidRDefault="00D33B7C" w:rsidP="0013526B">
            <w:pPr>
              <w:ind w:left="567" w:right="-57"/>
              <w:jc w:val="both"/>
              <w:rPr>
                <w:bCs w:val="0"/>
                <w:sz w:val="18"/>
                <w:szCs w:val="18"/>
              </w:rPr>
            </w:pPr>
            <w:r w:rsidRPr="00F72A90">
              <w:rPr>
                <w:bCs w:val="0"/>
                <w:sz w:val="18"/>
                <w:szCs w:val="18"/>
              </w:rPr>
              <w:t>Ventura</w:t>
            </w:r>
            <w:r w:rsidR="001C12BF" w:rsidRPr="00F72A90">
              <w:rPr>
                <w:bCs w:val="0"/>
                <w:sz w:val="18"/>
                <w:szCs w:val="18"/>
              </w:rPr>
              <w:t xml:space="preserve"> </w:t>
            </w:r>
            <w:r w:rsidRPr="00F72A90">
              <w:rPr>
                <w:bCs w:val="0"/>
                <w:sz w:val="18"/>
                <w:szCs w:val="18"/>
              </w:rPr>
              <w:t>bersama</w:t>
            </w:r>
            <w:r w:rsidR="001C12BF" w:rsidRPr="00F72A90">
              <w:rPr>
                <w:bCs w:val="0"/>
                <w:sz w:val="18"/>
                <w:szCs w:val="18"/>
              </w:rPr>
              <w:t xml:space="preserve"> </w:t>
            </w:r>
            <w:r w:rsidRPr="00F72A90">
              <w:rPr>
                <w:bCs w:val="0"/>
                <w:sz w:val="18"/>
                <w:szCs w:val="18"/>
              </w:rPr>
              <w:t>adalah</w:t>
            </w:r>
            <w:r w:rsidR="001C12BF" w:rsidRPr="00F72A90">
              <w:rPr>
                <w:bCs w:val="0"/>
                <w:sz w:val="18"/>
                <w:szCs w:val="18"/>
              </w:rPr>
              <w:t xml:space="preserve"> </w:t>
            </w:r>
            <w:r w:rsidRPr="00F72A90">
              <w:rPr>
                <w:bCs w:val="0"/>
                <w:sz w:val="18"/>
                <w:szCs w:val="18"/>
              </w:rPr>
              <w:t>pengaturan</w:t>
            </w:r>
            <w:r w:rsidR="001C12BF" w:rsidRPr="00F72A90">
              <w:rPr>
                <w:bCs w:val="0"/>
                <w:sz w:val="18"/>
                <w:szCs w:val="18"/>
              </w:rPr>
              <w:t xml:space="preserve"> </w:t>
            </w:r>
            <w:r w:rsidRPr="00F72A90">
              <w:rPr>
                <w:bCs w:val="0"/>
                <w:sz w:val="18"/>
                <w:szCs w:val="18"/>
              </w:rPr>
              <w:t>bersama</w:t>
            </w:r>
            <w:r w:rsidR="001C12BF" w:rsidRPr="00F72A90">
              <w:rPr>
                <w:bCs w:val="0"/>
                <w:sz w:val="18"/>
                <w:szCs w:val="18"/>
              </w:rPr>
              <w:t xml:space="preserve"> </w:t>
            </w:r>
            <w:r w:rsidRPr="00F72A90">
              <w:rPr>
                <w:bCs w:val="0"/>
                <w:sz w:val="18"/>
                <w:szCs w:val="18"/>
              </w:rPr>
              <w:t>yang</w:t>
            </w:r>
            <w:r w:rsidR="001C12BF" w:rsidRPr="00F72A90">
              <w:rPr>
                <w:bCs w:val="0"/>
                <w:sz w:val="18"/>
                <w:szCs w:val="18"/>
              </w:rPr>
              <w:t xml:space="preserve"> </w:t>
            </w:r>
            <w:r w:rsidRPr="00F72A90">
              <w:rPr>
                <w:bCs w:val="0"/>
                <w:sz w:val="18"/>
                <w:szCs w:val="18"/>
              </w:rPr>
              <w:t>para</w:t>
            </w:r>
            <w:r w:rsidR="001C12BF" w:rsidRPr="00F72A90">
              <w:rPr>
                <w:bCs w:val="0"/>
                <w:sz w:val="18"/>
                <w:szCs w:val="18"/>
              </w:rPr>
              <w:t xml:space="preserve"> </w:t>
            </w:r>
            <w:r w:rsidRPr="00F72A90">
              <w:rPr>
                <w:bCs w:val="0"/>
                <w:sz w:val="18"/>
                <w:szCs w:val="18"/>
              </w:rPr>
              <w:t>pihaknya memiliki pengendalian bersama atas pengaturan memiliki hak atas aset</w:t>
            </w:r>
            <w:r w:rsidR="001C12BF" w:rsidRPr="00F72A90">
              <w:rPr>
                <w:bCs w:val="0"/>
                <w:sz w:val="18"/>
                <w:szCs w:val="18"/>
              </w:rPr>
              <w:t xml:space="preserve"> </w:t>
            </w:r>
            <w:r w:rsidRPr="00F72A90">
              <w:rPr>
                <w:bCs w:val="0"/>
                <w:sz w:val="18"/>
                <w:szCs w:val="18"/>
              </w:rPr>
              <w:t>neto</w:t>
            </w:r>
            <w:r w:rsidR="001C12BF" w:rsidRPr="00F72A90">
              <w:rPr>
                <w:bCs w:val="0"/>
                <w:sz w:val="18"/>
                <w:szCs w:val="18"/>
              </w:rPr>
              <w:t xml:space="preserve"> </w:t>
            </w:r>
            <w:r w:rsidRPr="00F72A90">
              <w:rPr>
                <w:bCs w:val="0"/>
                <w:sz w:val="18"/>
                <w:szCs w:val="18"/>
              </w:rPr>
              <w:t>dari</w:t>
            </w:r>
            <w:r w:rsidR="001C12BF" w:rsidRPr="00F72A90">
              <w:rPr>
                <w:bCs w:val="0"/>
                <w:sz w:val="18"/>
                <w:szCs w:val="18"/>
              </w:rPr>
              <w:t xml:space="preserve"> </w:t>
            </w:r>
            <w:r w:rsidRPr="00F72A90">
              <w:rPr>
                <w:bCs w:val="0"/>
                <w:sz w:val="18"/>
                <w:szCs w:val="18"/>
              </w:rPr>
              <w:t>pengaturan.</w:t>
            </w:r>
          </w:p>
        </w:tc>
        <w:tc>
          <w:tcPr>
            <w:tcW w:w="4598" w:type="dxa"/>
          </w:tcPr>
          <w:p w14:paraId="7EE41C35" w14:textId="77777777" w:rsidR="00D33B7C" w:rsidRPr="00F72A90" w:rsidRDefault="00D33B7C" w:rsidP="0013526B">
            <w:pPr>
              <w:tabs>
                <w:tab w:val="left" w:pos="5590"/>
                <w:tab w:val="right" w:pos="7620"/>
                <w:tab w:val="right" w:pos="9460"/>
                <w:tab w:val="right" w:pos="10080"/>
              </w:tabs>
              <w:ind w:left="567" w:right="-57"/>
              <w:jc w:val="both"/>
              <w:rPr>
                <w:bCs w:val="0"/>
                <w:i/>
                <w:sz w:val="18"/>
                <w:szCs w:val="18"/>
              </w:rPr>
            </w:pPr>
            <w:r w:rsidRPr="00F72A90">
              <w:rPr>
                <w:bCs w:val="0"/>
                <w:i/>
                <w:sz w:val="18"/>
                <w:szCs w:val="18"/>
              </w:rPr>
              <w:t xml:space="preserve">A joint venture is a type of joint arrangement where the parties that have joint control of the arrangement have rights to the net assets of the arrangement. </w:t>
            </w:r>
          </w:p>
        </w:tc>
      </w:tr>
      <w:tr w:rsidR="00D33B7C" w:rsidRPr="004D2565" w14:paraId="1337A3FB" w14:textId="77777777" w:rsidTr="00BE6E3D">
        <w:tc>
          <w:tcPr>
            <w:tcW w:w="4598" w:type="dxa"/>
          </w:tcPr>
          <w:p w14:paraId="7D8D6912" w14:textId="77777777" w:rsidR="00D33B7C" w:rsidRPr="00F72A90" w:rsidRDefault="00D33B7C" w:rsidP="0013526B">
            <w:pPr>
              <w:ind w:left="567" w:right="-57"/>
              <w:jc w:val="both"/>
              <w:rPr>
                <w:bCs w:val="0"/>
                <w:sz w:val="12"/>
                <w:szCs w:val="18"/>
              </w:rPr>
            </w:pPr>
          </w:p>
        </w:tc>
        <w:tc>
          <w:tcPr>
            <w:tcW w:w="4598" w:type="dxa"/>
          </w:tcPr>
          <w:p w14:paraId="3504C649" w14:textId="77777777" w:rsidR="00D33B7C" w:rsidRPr="00F72A90" w:rsidRDefault="00D33B7C" w:rsidP="0013526B">
            <w:pPr>
              <w:tabs>
                <w:tab w:val="left" w:pos="5590"/>
                <w:tab w:val="right" w:pos="7620"/>
                <w:tab w:val="right" w:pos="9460"/>
                <w:tab w:val="right" w:pos="10080"/>
              </w:tabs>
              <w:ind w:left="567" w:right="-57"/>
              <w:jc w:val="both"/>
              <w:rPr>
                <w:bCs w:val="0"/>
                <w:i/>
                <w:sz w:val="12"/>
                <w:szCs w:val="18"/>
              </w:rPr>
            </w:pPr>
          </w:p>
        </w:tc>
      </w:tr>
      <w:tr w:rsidR="00D33B7C" w:rsidRPr="0013526B" w14:paraId="010A7E40" w14:textId="77777777" w:rsidTr="00BE6E3D">
        <w:tc>
          <w:tcPr>
            <w:tcW w:w="4598" w:type="dxa"/>
          </w:tcPr>
          <w:p w14:paraId="589A9645" w14:textId="4973DFBC" w:rsidR="00D33B7C" w:rsidRPr="00F72A90" w:rsidRDefault="00D33B7C" w:rsidP="0013526B">
            <w:pPr>
              <w:ind w:left="567" w:right="-57"/>
              <w:jc w:val="both"/>
              <w:rPr>
                <w:bCs w:val="0"/>
                <w:sz w:val="18"/>
                <w:szCs w:val="18"/>
              </w:rPr>
            </w:pPr>
            <w:r w:rsidRPr="00F72A90">
              <w:rPr>
                <w:bCs w:val="0"/>
                <w:sz w:val="18"/>
                <w:szCs w:val="18"/>
              </w:rPr>
              <w:t>Pengendalian</w:t>
            </w:r>
            <w:r w:rsidR="001C12BF" w:rsidRPr="00F72A90">
              <w:rPr>
                <w:bCs w:val="0"/>
                <w:sz w:val="18"/>
                <w:szCs w:val="18"/>
              </w:rPr>
              <w:t xml:space="preserve"> </w:t>
            </w:r>
            <w:r w:rsidRPr="00F72A90">
              <w:rPr>
                <w:bCs w:val="0"/>
                <w:sz w:val="18"/>
                <w:szCs w:val="18"/>
              </w:rPr>
              <w:t>bersama</w:t>
            </w:r>
            <w:r w:rsidR="001C12BF" w:rsidRPr="00F72A90">
              <w:rPr>
                <w:bCs w:val="0"/>
                <w:sz w:val="18"/>
                <w:szCs w:val="18"/>
              </w:rPr>
              <w:t xml:space="preserve"> </w:t>
            </w:r>
            <w:r w:rsidRPr="00F72A90">
              <w:rPr>
                <w:bCs w:val="0"/>
                <w:sz w:val="18"/>
                <w:szCs w:val="18"/>
              </w:rPr>
              <w:t>adalah</w:t>
            </w:r>
            <w:r w:rsidR="001C12BF" w:rsidRPr="00F72A90">
              <w:rPr>
                <w:bCs w:val="0"/>
                <w:sz w:val="18"/>
                <w:szCs w:val="18"/>
              </w:rPr>
              <w:t xml:space="preserve"> </w:t>
            </w:r>
            <w:r w:rsidRPr="00F72A90">
              <w:rPr>
                <w:bCs w:val="0"/>
                <w:sz w:val="18"/>
                <w:szCs w:val="18"/>
              </w:rPr>
              <w:t>persetujuan</w:t>
            </w:r>
            <w:r w:rsidR="001C12BF" w:rsidRPr="00F72A90">
              <w:rPr>
                <w:bCs w:val="0"/>
                <w:sz w:val="18"/>
                <w:szCs w:val="18"/>
              </w:rPr>
              <w:t xml:space="preserve"> </w:t>
            </w:r>
            <w:r w:rsidRPr="00F72A90">
              <w:rPr>
                <w:bCs w:val="0"/>
                <w:sz w:val="18"/>
                <w:szCs w:val="18"/>
              </w:rPr>
              <w:t>kontraktual</w:t>
            </w:r>
            <w:r w:rsidR="001C12BF" w:rsidRPr="00F72A90">
              <w:rPr>
                <w:bCs w:val="0"/>
                <w:sz w:val="18"/>
                <w:szCs w:val="18"/>
              </w:rPr>
              <w:t xml:space="preserve"> </w:t>
            </w:r>
            <w:r w:rsidRPr="00F72A90">
              <w:rPr>
                <w:bCs w:val="0"/>
                <w:sz w:val="18"/>
                <w:szCs w:val="18"/>
              </w:rPr>
              <w:t>untuk</w:t>
            </w:r>
            <w:r w:rsidR="001C12BF" w:rsidRPr="00F72A90">
              <w:rPr>
                <w:bCs w:val="0"/>
                <w:sz w:val="18"/>
                <w:szCs w:val="18"/>
              </w:rPr>
              <w:t xml:space="preserve"> </w:t>
            </w:r>
            <w:r w:rsidRPr="00F72A90">
              <w:rPr>
                <w:bCs w:val="0"/>
                <w:sz w:val="18"/>
                <w:szCs w:val="18"/>
              </w:rPr>
              <w:t>berbagi</w:t>
            </w:r>
            <w:r w:rsidR="001C12BF" w:rsidRPr="00F72A90">
              <w:rPr>
                <w:bCs w:val="0"/>
                <w:sz w:val="18"/>
                <w:szCs w:val="18"/>
              </w:rPr>
              <w:t xml:space="preserve"> </w:t>
            </w:r>
            <w:r w:rsidRPr="00F72A90">
              <w:rPr>
                <w:bCs w:val="0"/>
                <w:sz w:val="18"/>
                <w:szCs w:val="18"/>
              </w:rPr>
              <w:t>pengendalian</w:t>
            </w:r>
            <w:r w:rsidR="001C12BF" w:rsidRPr="00F72A90">
              <w:rPr>
                <w:bCs w:val="0"/>
                <w:sz w:val="18"/>
                <w:szCs w:val="18"/>
              </w:rPr>
              <w:t xml:space="preserve"> </w:t>
            </w:r>
            <w:r w:rsidRPr="00F72A90">
              <w:rPr>
                <w:bCs w:val="0"/>
                <w:sz w:val="18"/>
                <w:szCs w:val="18"/>
              </w:rPr>
              <w:t>atas</w:t>
            </w:r>
            <w:r w:rsidR="001C12BF" w:rsidRPr="00F72A90">
              <w:rPr>
                <w:bCs w:val="0"/>
                <w:sz w:val="18"/>
                <w:szCs w:val="18"/>
              </w:rPr>
              <w:t xml:space="preserve"> </w:t>
            </w:r>
            <w:r w:rsidRPr="00F72A90">
              <w:rPr>
                <w:bCs w:val="0"/>
                <w:sz w:val="18"/>
                <w:szCs w:val="18"/>
              </w:rPr>
              <w:t>suatu</w:t>
            </w:r>
            <w:r w:rsidR="001C12BF" w:rsidRPr="00F72A90">
              <w:rPr>
                <w:bCs w:val="0"/>
                <w:sz w:val="18"/>
                <w:szCs w:val="18"/>
              </w:rPr>
              <w:t xml:space="preserve"> </w:t>
            </w:r>
            <w:r w:rsidRPr="00F72A90">
              <w:rPr>
                <w:bCs w:val="0"/>
                <w:sz w:val="18"/>
                <w:szCs w:val="18"/>
              </w:rPr>
              <w:t>pengaturan</w:t>
            </w:r>
            <w:r w:rsidR="00870FD0">
              <w:rPr>
                <w:bCs w:val="0"/>
                <w:sz w:val="18"/>
                <w:szCs w:val="18"/>
              </w:rPr>
              <w:t>.</w:t>
            </w:r>
            <w:r w:rsidR="001C12BF" w:rsidRPr="00F72A90">
              <w:rPr>
                <w:bCs w:val="0"/>
                <w:sz w:val="18"/>
                <w:szCs w:val="18"/>
              </w:rPr>
              <w:t xml:space="preserve"> </w:t>
            </w:r>
            <w:proofErr w:type="gramStart"/>
            <w:r w:rsidRPr="00F72A90">
              <w:rPr>
                <w:bCs w:val="0"/>
                <w:sz w:val="18"/>
                <w:szCs w:val="18"/>
              </w:rPr>
              <w:t>yang</w:t>
            </w:r>
            <w:proofErr w:type="gramEnd"/>
            <w:r w:rsidR="001C12BF" w:rsidRPr="00F72A90">
              <w:rPr>
                <w:bCs w:val="0"/>
                <w:sz w:val="18"/>
                <w:szCs w:val="18"/>
              </w:rPr>
              <w:t xml:space="preserve"> </w:t>
            </w:r>
            <w:r w:rsidRPr="00F72A90">
              <w:rPr>
                <w:bCs w:val="0"/>
                <w:sz w:val="18"/>
                <w:szCs w:val="18"/>
              </w:rPr>
              <w:t>ada</w:t>
            </w:r>
            <w:r w:rsidR="001C12BF" w:rsidRPr="00F72A90">
              <w:rPr>
                <w:bCs w:val="0"/>
                <w:sz w:val="18"/>
                <w:szCs w:val="18"/>
              </w:rPr>
              <w:t xml:space="preserve"> </w:t>
            </w:r>
            <w:r w:rsidRPr="00F72A90">
              <w:rPr>
                <w:bCs w:val="0"/>
                <w:sz w:val="18"/>
                <w:szCs w:val="18"/>
              </w:rPr>
              <w:t>hanya</w:t>
            </w:r>
            <w:r w:rsidR="001C12BF" w:rsidRPr="00F72A90">
              <w:rPr>
                <w:bCs w:val="0"/>
                <w:sz w:val="18"/>
                <w:szCs w:val="18"/>
              </w:rPr>
              <w:t xml:space="preserve"> </w:t>
            </w:r>
            <w:r w:rsidRPr="00F72A90">
              <w:rPr>
                <w:bCs w:val="0"/>
                <w:sz w:val="18"/>
                <w:szCs w:val="18"/>
              </w:rPr>
              <w:t>ketika keputusan tentang aktivitas relevan mensyaratkan persetujuan dengan</w:t>
            </w:r>
            <w:r w:rsidR="001C12BF" w:rsidRPr="00F72A90">
              <w:rPr>
                <w:bCs w:val="0"/>
                <w:sz w:val="18"/>
                <w:szCs w:val="18"/>
              </w:rPr>
              <w:t xml:space="preserve"> </w:t>
            </w:r>
            <w:r w:rsidRPr="00F72A90">
              <w:rPr>
                <w:bCs w:val="0"/>
                <w:sz w:val="18"/>
                <w:szCs w:val="18"/>
              </w:rPr>
              <w:t>suara</w:t>
            </w:r>
            <w:r w:rsidR="001C12BF" w:rsidRPr="00F72A90">
              <w:rPr>
                <w:bCs w:val="0"/>
                <w:sz w:val="18"/>
                <w:szCs w:val="18"/>
              </w:rPr>
              <w:t xml:space="preserve"> </w:t>
            </w:r>
            <w:r w:rsidRPr="00F72A90">
              <w:rPr>
                <w:bCs w:val="0"/>
                <w:sz w:val="18"/>
                <w:szCs w:val="18"/>
              </w:rPr>
              <w:t>bulat</w:t>
            </w:r>
            <w:r w:rsidR="001C12BF" w:rsidRPr="00F72A90">
              <w:rPr>
                <w:bCs w:val="0"/>
                <w:sz w:val="18"/>
                <w:szCs w:val="18"/>
              </w:rPr>
              <w:t xml:space="preserve"> </w:t>
            </w:r>
            <w:r w:rsidRPr="00F72A90">
              <w:rPr>
                <w:bCs w:val="0"/>
                <w:sz w:val="18"/>
                <w:szCs w:val="18"/>
              </w:rPr>
              <w:t>dari</w:t>
            </w:r>
            <w:r w:rsidR="001C12BF" w:rsidRPr="00F72A90">
              <w:rPr>
                <w:bCs w:val="0"/>
                <w:sz w:val="18"/>
                <w:szCs w:val="18"/>
              </w:rPr>
              <w:t xml:space="preserve"> </w:t>
            </w:r>
            <w:r w:rsidRPr="00F72A90">
              <w:rPr>
                <w:bCs w:val="0"/>
                <w:sz w:val="18"/>
                <w:szCs w:val="18"/>
              </w:rPr>
              <w:t>seluruh</w:t>
            </w:r>
            <w:r w:rsidR="001C12BF" w:rsidRPr="00F72A90">
              <w:rPr>
                <w:bCs w:val="0"/>
                <w:sz w:val="18"/>
                <w:szCs w:val="18"/>
              </w:rPr>
              <w:t xml:space="preserve"> </w:t>
            </w:r>
            <w:r w:rsidRPr="00F72A90">
              <w:rPr>
                <w:bCs w:val="0"/>
                <w:sz w:val="18"/>
                <w:szCs w:val="18"/>
              </w:rPr>
              <w:t>pihak</w:t>
            </w:r>
            <w:r w:rsidR="001C12BF" w:rsidRPr="00F72A90">
              <w:rPr>
                <w:bCs w:val="0"/>
                <w:sz w:val="18"/>
                <w:szCs w:val="18"/>
              </w:rPr>
              <w:t xml:space="preserve"> </w:t>
            </w:r>
            <w:r w:rsidRPr="00F72A90">
              <w:rPr>
                <w:bCs w:val="0"/>
                <w:sz w:val="18"/>
                <w:szCs w:val="18"/>
              </w:rPr>
              <w:t>yang</w:t>
            </w:r>
            <w:r w:rsidR="001C12BF" w:rsidRPr="00F72A90">
              <w:rPr>
                <w:bCs w:val="0"/>
                <w:sz w:val="18"/>
                <w:szCs w:val="18"/>
              </w:rPr>
              <w:t xml:space="preserve"> </w:t>
            </w:r>
            <w:r w:rsidRPr="00F72A90">
              <w:rPr>
                <w:bCs w:val="0"/>
                <w:sz w:val="18"/>
                <w:szCs w:val="18"/>
              </w:rPr>
              <w:t>berbagi</w:t>
            </w:r>
            <w:r w:rsidR="001C12BF" w:rsidRPr="00F72A90">
              <w:rPr>
                <w:bCs w:val="0"/>
                <w:sz w:val="18"/>
                <w:szCs w:val="18"/>
              </w:rPr>
              <w:t xml:space="preserve"> </w:t>
            </w:r>
            <w:r w:rsidRPr="00F72A90">
              <w:rPr>
                <w:bCs w:val="0"/>
                <w:sz w:val="18"/>
                <w:szCs w:val="18"/>
              </w:rPr>
              <w:t>pengendalian.</w:t>
            </w:r>
          </w:p>
        </w:tc>
        <w:tc>
          <w:tcPr>
            <w:tcW w:w="4598" w:type="dxa"/>
          </w:tcPr>
          <w:p w14:paraId="3D83B6D9" w14:textId="2B575469" w:rsidR="00D33B7C" w:rsidRPr="00F72A90" w:rsidRDefault="00D33B7C" w:rsidP="0013526B">
            <w:pPr>
              <w:tabs>
                <w:tab w:val="left" w:pos="5590"/>
                <w:tab w:val="right" w:pos="7620"/>
                <w:tab w:val="right" w:pos="9460"/>
                <w:tab w:val="right" w:pos="10080"/>
              </w:tabs>
              <w:ind w:left="567" w:right="-57"/>
              <w:jc w:val="both"/>
              <w:rPr>
                <w:bCs w:val="0"/>
                <w:i/>
                <w:sz w:val="18"/>
                <w:szCs w:val="18"/>
              </w:rPr>
            </w:pPr>
            <w:r w:rsidRPr="00F72A90">
              <w:rPr>
                <w:bCs w:val="0"/>
                <w:i/>
                <w:sz w:val="18"/>
                <w:szCs w:val="18"/>
              </w:rPr>
              <w:t>Joint control is the contractually agreed sharing of control of an arrangement</w:t>
            </w:r>
            <w:r w:rsidR="00870FD0">
              <w:rPr>
                <w:bCs w:val="0"/>
                <w:i/>
                <w:sz w:val="18"/>
                <w:szCs w:val="18"/>
              </w:rPr>
              <w:t>.</w:t>
            </w:r>
            <w:r w:rsidRPr="00F72A90">
              <w:rPr>
                <w:bCs w:val="0"/>
                <w:i/>
                <w:sz w:val="18"/>
                <w:szCs w:val="18"/>
              </w:rPr>
              <w:t xml:space="preserve"> </w:t>
            </w:r>
            <w:proofErr w:type="gramStart"/>
            <w:r w:rsidRPr="00F72A90">
              <w:rPr>
                <w:bCs w:val="0"/>
                <w:i/>
                <w:sz w:val="18"/>
                <w:szCs w:val="18"/>
              </w:rPr>
              <w:t>which</w:t>
            </w:r>
            <w:proofErr w:type="gramEnd"/>
            <w:r w:rsidRPr="00F72A90">
              <w:rPr>
                <w:bCs w:val="0"/>
                <w:i/>
                <w:sz w:val="18"/>
                <w:szCs w:val="18"/>
              </w:rPr>
              <w:t xml:space="preserve"> exists only when decisions about the relevant activities require unanimous consent of the parties sharing control.</w:t>
            </w:r>
          </w:p>
        </w:tc>
      </w:tr>
    </w:tbl>
    <w:p w14:paraId="0A9A0172" w14:textId="77777777" w:rsidR="000F7EE2" w:rsidRPr="0013526B" w:rsidRDefault="000F7EE2" w:rsidP="0013526B"/>
    <w:p w14:paraId="51361BA0" w14:textId="77777777" w:rsidR="000F7EE2" w:rsidRPr="0013526B" w:rsidRDefault="000F7EE2" w:rsidP="0013526B"/>
    <w:p w14:paraId="7121E5B2" w14:textId="58776A43" w:rsidR="007109B1" w:rsidRPr="0057227F" w:rsidRDefault="0057227F" w:rsidP="0013526B">
      <w:r>
        <w:br w:type="page"/>
      </w:r>
    </w:p>
    <w:tbl>
      <w:tblPr>
        <w:tblW w:w="9197" w:type="dxa"/>
        <w:tblInd w:w="392" w:type="dxa"/>
        <w:tblLayout w:type="fixed"/>
        <w:tblLook w:val="0000" w:firstRow="0" w:lastRow="0" w:firstColumn="0" w:lastColumn="0" w:noHBand="0" w:noVBand="0"/>
      </w:tblPr>
      <w:tblGrid>
        <w:gridCol w:w="4598"/>
        <w:gridCol w:w="4599"/>
      </w:tblGrid>
      <w:tr w:rsidR="000F7EE2" w:rsidRPr="0076606E" w14:paraId="71A5F624" w14:textId="77777777" w:rsidTr="00CC2E72">
        <w:tc>
          <w:tcPr>
            <w:tcW w:w="4598" w:type="dxa"/>
          </w:tcPr>
          <w:p w14:paraId="00251B6E" w14:textId="16CD1E21" w:rsidR="000F7EE2" w:rsidRPr="0076606E" w:rsidRDefault="000F7EE2" w:rsidP="005F361E">
            <w:pPr>
              <w:pStyle w:val="ListParagraph"/>
              <w:numPr>
                <w:ilvl w:val="0"/>
                <w:numId w:val="29"/>
              </w:numPr>
              <w:ind w:left="284" w:right="-57" w:hanging="284"/>
              <w:contextualSpacing/>
              <w:jc w:val="both"/>
              <w:rPr>
                <w:rStyle w:val="hps"/>
                <w:b/>
                <w:sz w:val="18"/>
                <w:szCs w:val="18"/>
              </w:rPr>
            </w:pPr>
            <w:r w:rsidRPr="0013526B">
              <w:rPr>
                <w:sz w:val="18"/>
                <w:szCs w:val="18"/>
              </w:rPr>
              <w:lastRenderedPageBreak/>
              <w:br w:type="page"/>
            </w:r>
            <w:r w:rsidRPr="0013526B">
              <w:rPr>
                <w:sz w:val="18"/>
                <w:szCs w:val="18"/>
              </w:rPr>
              <w:br w:type="page"/>
            </w:r>
            <w:r w:rsidRPr="0076606E">
              <w:rPr>
                <w:rStyle w:val="hps"/>
                <w:b/>
                <w:sz w:val="18"/>
                <w:szCs w:val="18"/>
              </w:rPr>
              <w:t xml:space="preserve">IKHTISAR KEBIJAKAN AKUNTANSI </w:t>
            </w:r>
            <w:r w:rsidRPr="0076606E">
              <w:rPr>
                <w:rStyle w:val="hps"/>
                <w:b/>
                <w:sz w:val="18"/>
                <w:szCs w:val="18"/>
                <w:lang w:val="id-ID"/>
              </w:rPr>
              <w:t xml:space="preserve">YANG </w:t>
            </w:r>
            <w:r w:rsidRPr="0076606E">
              <w:rPr>
                <w:rStyle w:val="hps"/>
                <w:b/>
                <w:sz w:val="18"/>
                <w:szCs w:val="18"/>
              </w:rPr>
              <w:t xml:space="preserve">PENTING </w:t>
            </w:r>
            <w:r w:rsidR="009162F0" w:rsidRPr="0076606E">
              <w:rPr>
                <w:rStyle w:val="hps"/>
                <w:b/>
                <w:sz w:val="18"/>
                <w:szCs w:val="18"/>
              </w:rPr>
              <w:t>-</w:t>
            </w:r>
            <w:r w:rsidRPr="0076606E">
              <w:rPr>
                <w:rStyle w:val="hps"/>
                <w:b/>
                <w:sz w:val="18"/>
                <w:szCs w:val="18"/>
              </w:rPr>
              <w:t xml:space="preserve"> Lanjutan</w:t>
            </w:r>
          </w:p>
        </w:tc>
        <w:tc>
          <w:tcPr>
            <w:tcW w:w="4599" w:type="dxa"/>
          </w:tcPr>
          <w:p w14:paraId="2A9A045C" w14:textId="77777777" w:rsidR="000F7EE2" w:rsidRPr="0076606E" w:rsidRDefault="000F7EE2" w:rsidP="005F361E">
            <w:pPr>
              <w:pStyle w:val="ListParagraph"/>
              <w:numPr>
                <w:ilvl w:val="0"/>
                <w:numId w:val="30"/>
              </w:numPr>
              <w:ind w:left="284" w:right="-57" w:hanging="284"/>
              <w:contextualSpacing/>
              <w:jc w:val="both"/>
              <w:rPr>
                <w:b/>
                <w:bCs w:val="0"/>
                <w:i/>
                <w:sz w:val="18"/>
                <w:szCs w:val="18"/>
              </w:rPr>
            </w:pPr>
            <w:r w:rsidRPr="0076606E">
              <w:rPr>
                <w:b/>
                <w:i/>
                <w:sz w:val="18"/>
                <w:szCs w:val="18"/>
              </w:rPr>
              <w:t>SUMMARY OF SIGNIFICANT ACCOUNTING POLICIES - Continued</w:t>
            </w:r>
          </w:p>
        </w:tc>
      </w:tr>
      <w:tr w:rsidR="000F7EE2" w:rsidRPr="0076606E" w14:paraId="23DDF94C" w14:textId="77777777" w:rsidTr="00CC2E72">
        <w:tc>
          <w:tcPr>
            <w:tcW w:w="4598" w:type="dxa"/>
          </w:tcPr>
          <w:p w14:paraId="06E0BE90" w14:textId="77777777" w:rsidR="000F7EE2" w:rsidRPr="0076606E" w:rsidRDefault="000F7EE2" w:rsidP="0013526B">
            <w:pPr>
              <w:ind w:left="567" w:right="-57"/>
              <w:jc w:val="both"/>
              <w:rPr>
                <w:bCs w:val="0"/>
                <w:sz w:val="8"/>
                <w:szCs w:val="14"/>
              </w:rPr>
            </w:pPr>
          </w:p>
        </w:tc>
        <w:tc>
          <w:tcPr>
            <w:tcW w:w="4599" w:type="dxa"/>
          </w:tcPr>
          <w:p w14:paraId="76FB5AF9" w14:textId="77777777" w:rsidR="000F7EE2" w:rsidRPr="0076606E" w:rsidRDefault="000F7EE2" w:rsidP="0013526B">
            <w:pPr>
              <w:tabs>
                <w:tab w:val="left" w:pos="5590"/>
                <w:tab w:val="right" w:pos="7620"/>
                <w:tab w:val="right" w:pos="9460"/>
                <w:tab w:val="right" w:pos="10080"/>
              </w:tabs>
              <w:ind w:left="567" w:right="-57"/>
              <w:jc w:val="both"/>
              <w:rPr>
                <w:bCs w:val="0"/>
                <w:i/>
                <w:sz w:val="8"/>
                <w:szCs w:val="14"/>
              </w:rPr>
            </w:pPr>
          </w:p>
        </w:tc>
      </w:tr>
      <w:tr w:rsidR="000F7EE2" w:rsidRPr="0076606E" w14:paraId="592BFB56" w14:textId="77777777" w:rsidTr="00CC2E72">
        <w:tc>
          <w:tcPr>
            <w:tcW w:w="4598" w:type="dxa"/>
          </w:tcPr>
          <w:p w14:paraId="15B18F63" w14:textId="46D66A4D" w:rsidR="000F7EE2" w:rsidRPr="0076606E" w:rsidRDefault="000F7EE2" w:rsidP="00070D1F">
            <w:pPr>
              <w:pStyle w:val="ListParagraph"/>
              <w:numPr>
                <w:ilvl w:val="0"/>
                <w:numId w:val="191"/>
              </w:numPr>
              <w:tabs>
                <w:tab w:val="left" w:pos="317"/>
              </w:tabs>
              <w:ind w:left="601" w:right="-57" w:hanging="284"/>
              <w:contextualSpacing/>
              <w:jc w:val="both"/>
              <w:rPr>
                <w:bCs w:val="0"/>
                <w:sz w:val="18"/>
                <w:szCs w:val="18"/>
              </w:rPr>
            </w:pPr>
            <w:r w:rsidRPr="0076606E">
              <w:rPr>
                <w:b/>
                <w:bCs w:val="0"/>
                <w:sz w:val="18"/>
                <w:szCs w:val="18"/>
              </w:rPr>
              <w:t xml:space="preserve">Investasi pada Entitas Asosiasi dan Ventura Bersama </w:t>
            </w:r>
            <w:r w:rsidR="009162F0" w:rsidRPr="0076606E">
              <w:rPr>
                <w:b/>
                <w:bCs w:val="0"/>
                <w:sz w:val="18"/>
                <w:szCs w:val="18"/>
              </w:rPr>
              <w:t>-</w:t>
            </w:r>
            <w:r w:rsidRPr="0076606E">
              <w:rPr>
                <w:b/>
                <w:bCs w:val="0"/>
                <w:sz w:val="18"/>
                <w:szCs w:val="18"/>
              </w:rPr>
              <w:t xml:space="preserve"> Lanjutan</w:t>
            </w:r>
          </w:p>
        </w:tc>
        <w:tc>
          <w:tcPr>
            <w:tcW w:w="4599" w:type="dxa"/>
          </w:tcPr>
          <w:p w14:paraId="57D673F9" w14:textId="77777777" w:rsidR="000F7EE2" w:rsidRPr="0076606E" w:rsidRDefault="000F7EE2" w:rsidP="00070D1F">
            <w:pPr>
              <w:pStyle w:val="ListParagraph"/>
              <w:numPr>
                <w:ilvl w:val="0"/>
                <w:numId w:val="192"/>
              </w:numPr>
              <w:ind w:left="572" w:right="-57" w:hanging="283"/>
              <w:contextualSpacing/>
              <w:jc w:val="both"/>
              <w:rPr>
                <w:bCs w:val="0"/>
                <w:i/>
                <w:sz w:val="18"/>
                <w:szCs w:val="18"/>
              </w:rPr>
            </w:pPr>
            <w:r w:rsidRPr="0076606E">
              <w:rPr>
                <w:b/>
                <w:bCs w:val="0"/>
                <w:i/>
                <w:sz w:val="18"/>
                <w:szCs w:val="18"/>
              </w:rPr>
              <w:t xml:space="preserve">Investments in Associates and Joint Ventures </w:t>
            </w:r>
            <w:r w:rsidRPr="0076606E">
              <w:rPr>
                <w:b/>
                <w:i/>
                <w:sz w:val="18"/>
                <w:szCs w:val="18"/>
              </w:rPr>
              <w:t>- Continued</w:t>
            </w:r>
          </w:p>
        </w:tc>
      </w:tr>
      <w:tr w:rsidR="000F7EE2" w:rsidRPr="0076606E" w14:paraId="14224D42" w14:textId="77777777" w:rsidTr="00CC2E72">
        <w:tc>
          <w:tcPr>
            <w:tcW w:w="4598" w:type="dxa"/>
          </w:tcPr>
          <w:p w14:paraId="0755F0F5" w14:textId="77777777" w:rsidR="000F7EE2" w:rsidRPr="0076606E" w:rsidRDefault="000F7EE2" w:rsidP="0013526B">
            <w:pPr>
              <w:pStyle w:val="ListParagraph"/>
              <w:ind w:left="568" w:right="-57"/>
              <w:contextualSpacing/>
              <w:jc w:val="both"/>
              <w:rPr>
                <w:b/>
                <w:bCs w:val="0"/>
                <w:sz w:val="6"/>
                <w:szCs w:val="14"/>
              </w:rPr>
            </w:pPr>
          </w:p>
        </w:tc>
        <w:tc>
          <w:tcPr>
            <w:tcW w:w="4599" w:type="dxa"/>
          </w:tcPr>
          <w:p w14:paraId="07098AE6" w14:textId="77777777" w:rsidR="000F7EE2" w:rsidRPr="0076606E" w:rsidRDefault="000F7EE2" w:rsidP="0013526B">
            <w:pPr>
              <w:pStyle w:val="ListParagraph"/>
              <w:ind w:left="568" w:right="-57"/>
              <w:contextualSpacing/>
              <w:jc w:val="both"/>
              <w:rPr>
                <w:b/>
                <w:bCs w:val="0"/>
                <w:i/>
                <w:sz w:val="6"/>
                <w:szCs w:val="14"/>
              </w:rPr>
            </w:pPr>
          </w:p>
        </w:tc>
      </w:tr>
      <w:tr w:rsidR="000F7EE2" w:rsidRPr="004D2565" w14:paraId="6E83ED5D" w14:textId="77777777" w:rsidTr="00CC2E72">
        <w:tc>
          <w:tcPr>
            <w:tcW w:w="4598" w:type="dxa"/>
          </w:tcPr>
          <w:p w14:paraId="02FA9D32" w14:textId="323C6102" w:rsidR="000F7EE2" w:rsidRPr="0076606E" w:rsidRDefault="000F7EE2" w:rsidP="00911A8A">
            <w:pPr>
              <w:ind w:left="567" w:right="-57"/>
              <w:jc w:val="both"/>
              <w:rPr>
                <w:bCs w:val="0"/>
                <w:sz w:val="18"/>
                <w:szCs w:val="18"/>
              </w:rPr>
            </w:pPr>
            <w:r w:rsidRPr="0076606E">
              <w:rPr>
                <w:bCs w:val="0"/>
                <w:sz w:val="18"/>
                <w:szCs w:val="18"/>
              </w:rPr>
              <w:t>Dalam metode ekuitas</w:t>
            </w:r>
            <w:r w:rsidR="00870FD0">
              <w:rPr>
                <w:bCs w:val="0"/>
                <w:sz w:val="18"/>
                <w:szCs w:val="18"/>
              </w:rPr>
              <w:t>.</w:t>
            </w:r>
            <w:r w:rsidRPr="0076606E">
              <w:rPr>
                <w:bCs w:val="0"/>
                <w:sz w:val="18"/>
                <w:szCs w:val="18"/>
              </w:rPr>
              <w:t xml:space="preserve"> </w:t>
            </w:r>
            <w:proofErr w:type="gramStart"/>
            <w:r w:rsidRPr="0076606E">
              <w:rPr>
                <w:bCs w:val="0"/>
                <w:sz w:val="18"/>
                <w:szCs w:val="18"/>
              </w:rPr>
              <w:t>pengakuan</w:t>
            </w:r>
            <w:proofErr w:type="gramEnd"/>
            <w:r w:rsidRPr="0076606E">
              <w:rPr>
                <w:bCs w:val="0"/>
                <w:sz w:val="18"/>
                <w:szCs w:val="18"/>
              </w:rPr>
              <w:t xml:space="preserve"> awal investasi pada entitas asosiasi atau ventura bersama diakui sebesar biaya perolehan</w:t>
            </w:r>
            <w:r w:rsidR="00911A8A">
              <w:rPr>
                <w:bCs w:val="0"/>
                <w:sz w:val="18"/>
                <w:szCs w:val="18"/>
              </w:rPr>
              <w:t>,</w:t>
            </w:r>
            <w:r w:rsidRPr="0076606E">
              <w:rPr>
                <w:bCs w:val="0"/>
                <w:sz w:val="18"/>
                <w:szCs w:val="18"/>
              </w:rPr>
              <w:t xml:space="preserve"> dan jumlah tercatat tersebut ditambah atau dikurang untuk mengakui bagian investor atas aset bersih </w:t>
            </w:r>
            <w:r w:rsidR="00816ED4" w:rsidRPr="0076606E">
              <w:rPr>
                <w:bCs w:val="0"/>
                <w:i/>
                <w:sz w:val="18"/>
                <w:szCs w:val="18"/>
              </w:rPr>
              <w:t>investee</w:t>
            </w:r>
            <w:r w:rsidRPr="0076606E">
              <w:rPr>
                <w:bCs w:val="0"/>
                <w:sz w:val="18"/>
                <w:szCs w:val="18"/>
              </w:rPr>
              <w:t xml:space="preserve"> setelah tanggal perolehan. Laba atau rugi investor mencakup bagian dari laba atau rugi </w:t>
            </w:r>
            <w:r w:rsidR="00816ED4" w:rsidRPr="0076606E">
              <w:rPr>
                <w:bCs w:val="0"/>
                <w:i/>
                <w:sz w:val="18"/>
                <w:szCs w:val="18"/>
              </w:rPr>
              <w:t>investee</w:t>
            </w:r>
            <w:r w:rsidRPr="0076606E">
              <w:rPr>
                <w:bCs w:val="0"/>
                <w:sz w:val="18"/>
                <w:szCs w:val="18"/>
              </w:rPr>
              <w:t xml:space="preserve"> dan OCI dari investor mencakup bagian OCI dari </w:t>
            </w:r>
            <w:r w:rsidR="00816ED4" w:rsidRPr="0076606E">
              <w:rPr>
                <w:bCs w:val="0"/>
                <w:i/>
                <w:sz w:val="18"/>
                <w:szCs w:val="18"/>
              </w:rPr>
              <w:t>investee</w:t>
            </w:r>
            <w:r w:rsidRPr="0076606E">
              <w:rPr>
                <w:bCs w:val="0"/>
                <w:sz w:val="18"/>
                <w:szCs w:val="18"/>
              </w:rPr>
              <w:t xml:space="preserve">. </w:t>
            </w:r>
            <w:r w:rsidRPr="0076606E">
              <w:rPr>
                <w:bCs w:val="0"/>
                <w:i/>
                <w:sz w:val="18"/>
                <w:szCs w:val="18"/>
              </w:rPr>
              <w:t>Goodwill</w:t>
            </w:r>
            <w:r w:rsidRPr="0076606E">
              <w:rPr>
                <w:bCs w:val="0"/>
                <w:sz w:val="18"/>
                <w:szCs w:val="18"/>
              </w:rPr>
              <w:t xml:space="preserve"> terkait dengan entitas asosiasi atau ventura bersama terdapat dalam jumlah tercatat investasi dan tidak diamortisasi maupun dilakukan pengujian penurunan nilai secara individu.</w:t>
            </w:r>
          </w:p>
        </w:tc>
        <w:tc>
          <w:tcPr>
            <w:tcW w:w="4599" w:type="dxa"/>
          </w:tcPr>
          <w:p w14:paraId="636D2DD3" w14:textId="73BD3CA6" w:rsidR="000F7EE2" w:rsidRPr="0076606E" w:rsidRDefault="000F7EE2" w:rsidP="0013526B">
            <w:pPr>
              <w:tabs>
                <w:tab w:val="left" w:pos="5590"/>
                <w:tab w:val="right" w:pos="7620"/>
                <w:tab w:val="right" w:pos="9460"/>
                <w:tab w:val="right" w:pos="10080"/>
              </w:tabs>
              <w:ind w:left="567" w:right="-57"/>
              <w:jc w:val="both"/>
              <w:rPr>
                <w:bCs w:val="0"/>
                <w:i/>
                <w:sz w:val="18"/>
                <w:szCs w:val="18"/>
              </w:rPr>
            </w:pPr>
            <w:r w:rsidRPr="0076606E">
              <w:rPr>
                <w:bCs w:val="0"/>
                <w:i/>
                <w:sz w:val="18"/>
                <w:szCs w:val="18"/>
              </w:rPr>
              <w:t>Under the equity method</w:t>
            </w:r>
            <w:r w:rsidR="00870FD0">
              <w:rPr>
                <w:bCs w:val="0"/>
                <w:i/>
                <w:sz w:val="18"/>
                <w:szCs w:val="18"/>
              </w:rPr>
              <w:t>.</w:t>
            </w:r>
            <w:r w:rsidRPr="0076606E">
              <w:rPr>
                <w:bCs w:val="0"/>
                <w:i/>
                <w:sz w:val="18"/>
                <w:szCs w:val="18"/>
              </w:rPr>
              <w:t xml:space="preserve"> </w:t>
            </w:r>
            <w:proofErr w:type="gramStart"/>
            <w:r w:rsidRPr="0076606E">
              <w:rPr>
                <w:bCs w:val="0"/>
                <w:i/>
                <w:sz w:val="18"/>
                <w:szCs w:val="18"/>
              </w:rPr>
              <w:t>the</w:t>
            </w:r>
            <w:proofErr w:type="gramEnd"/>
            <w:r w:rsidRPr="0076606E">
              <w:rPr>
                <w:bCs w:val="0"/>
                <w:i/>
                <w:sz w:val="18"/>
                <w:szCs w:val="18"/>
              </w:rPr>
              <w:t xml:space="preserve"> investment in an associate or a joint venture is initially recognized at cost and adjusted thereafter for the post-acquisition change in the investor’s share of the </w:t>
            </w:r>
            <w:r w:rsidR="00816ED4" w:rsidRPr="0076606E">
              <w:rPr>
                <w:bCs w:val="0"/>
                <w:i/>
                <w:sz w:val="18"/>
                <w:szCs w:val="18"/>
              </w:rPr>
              <w:t>investee</w:t>
            </w:r>
            <w:r w:rsidRPr="0076606E">
              <w:rPr>
                <w:bCs w:val="0"/>
                <w:i/>
                <w:sz w:val="18"/>
                <w:szCs w:val="18"/>
              </w:rPr>
              <w:t xml:space="preserve">’s net assets. The investor’s profit or loss includes its share of the </w:t>
            </w:r>
            <w:r w:rsidR="00816ED4" w:rsidRPr="0076606E">
              <w:rPr>
                <w:bCs w:val="0"/>
                <w:i/>
                <w:sz w:val="18"/>
                <w:szCs w:val="18"/>
              </w:rPr>
              <w:t>investee</w:t>
            </w:r>
            <w:r w:rsidRPr="0076606E">
              <w:rPr>
                <w:bCs w:val="0"/>
                <w:i/>
                <w:sz w:val="18"/>
                <w:szCs w:val="18"/>
              </w:rPr>
              <w:t xml:space="preserve">'s profit or loss and the investor's OCI includes its share of the </w:t>
            </w:r>
            <w:r w:rsidR="00816ED4" w:rsidRPr="0076606E">
              <w:rPr>
                <w:bCs w:val="0"/>
                <w:i/>
                <w:sz w:val="18"/>
                <w:szCs w:val="18"/>
              </w:rPr>
              <w:t>investee</w:t>
            </w:r>
            <w:r w:rsidRPr="0076606E">
              <w:rPr>
                <w:bCs w:val="0"/>
                <w:i/>
                <w:sz w:val="18"/>
                <w:szCs w:val="18"/>
              </w:rPr>
              <w:t>'s OCI. Goodwill relating to the associate or joint venture is included in the carrying amount of the investment and is neither amortized nor individually tested for impairment.</w:t>
            </w:r>
          </w:p>
        </w:tc>
      </w:tr>
      <w:tr w:rsidR="000F7EE2" w:rsidRPr="00BE6E3D" w14:paraId="169D2ACC" w14:textId="77777777" w:rsidTr="00CC2E72">
        <w:tc>
          <w:tcPr>
            <w:tcW w:w="4598" w:type="dxa"/>
          </w:tcPr>
          <w:p w14:paraId="56360757" w14:textId="77777777" w:rsidR="000F7EE2" w:rsidRPr="00BE6E3D" w:rsidRDefault="000F7EE2" w:rsidP="0013526B">
            <w:pPr>
              <w:ind w:left="567" w:right="-57"/>
              <w:jc w:val="both"/>
              <w:rPr>
                <w:bCs w:val="0"/>
                <w:sz w:val="6"/>
                <w:szCs w:val="14"/>
                <w:highlight w:val="cyan"/>
              </w:rPr>
            </w:pPr>
          </w:p>
        </w:tc>
        <w:tc>
          <w:tcPr>
            <w:tcW w:w="4599" w:type="dxa"/>
          </w:tcPr>
          <w:p w14:paraId="71C46680" w14:textId="77777777" w:rsidR="000F7EE2" w:rsidRPr="00BE6E3D" w:rsidRDefault="000F7EE2" w:rsidP="0013526B">
            <w:pPr>
              <w:tabs>
                <w:tab w:val="left" w:pos="5590"/>
                <w:tab w:val="right" w:pos="7620"/>
                <w:tab w:val="right" w:pos="9460"/>
                <w:tab w:val="right" w:pos="10080"/>
              </w:tabs>
              <w:ind w:left="567" w:right="-57"/>
              <w:jc w:val="both"/>
              <w:rPr>
                <w:bCs w:val="0"/>
                <w:i/>
                <w:sz w:val="6"/>
                <w:szCs w:val="14"/>
                <w:highlight w:val="cyan"/>
              </w:rPr>
            </w:pPr>
          </w:p>
        </w:tc>
      </w:tr>
      <w:tr w:rsidR="000F7EE2" w:rsidRPr="0076606E" w14:paraId="02C92AA9" w14:textId="77777777" w:rsidTr="00CC2E72">
        <w:tc>
          <w:tcPr>
            <w:tcW w:w="4598" w:type="dxa"/>
          </w:tcPr>
          <w:p w14:paraId="267F95F9" w14:textId="63005D92" w:rsidR="000F7EE2" w:rsidRPr="0076606E" w:rsidRDefault="000F7EE2" w:rsidP="00911A8A">
            <w:pPr>
              <w:ind w:left="567" w:right="-57"/>
              <w:jc w:val="both"/>
              <w:rPr>
                <w:bCs w:val="0"/>
                <w:sz w:val="18"/>
                <w:szCs w:val="18"/>
              </w:rPr>
            </w:pPr>
            <w:r w:rsidRPr="0076606E">
              <w:rPr>
                <w:bCs w:val="0"/>
                <w:sz w:val="18"/>
                <w:szCs w:val="18"/>
              </w:rPr>
              <w:t>Jika terdapat suatu perubahan yang diakui langsung dalam ekuitas entitas asosiasi atau ventura bersama</w:t>
            </w:r>
            <w:r w:rsidR="00870FD0">
              <w:rPr>
                <w:bCs w:val="0"/>
                <w:sz w:val="18"/>
                <w:szCs w:val="18"/>
              </w:rPr>
              <w:t>.</w:t>
            </w:r>
            <w:r w:rsidRPr="0076606E">
              <w:rPr>
                <w:bCs w:val="0"/>
                <w:sz w:val="18"/>
                <w:szCs w:val="18"/>
              </w:rPr>
              <w:t xml:space="preserve"> </w:t>
            </w:r>
            <w:proofErr w:type="gramStart"/>
            <w:r w:rsidRPr="0076606E">
              <w:rPr>
                <w:bCs w:val="0"/>
                <w:sz w:val="18"/>
                <w:szCs w:val="18"/>
              </w:rPr>
              <w:t>entitas</w:t>
            </w:r>
            <w:proofErr w:type="gramEnd"/>
            <w:r w:rsidRPr="0076606E">
              <w:rPr>
                <w:bCs w:val="0"/>
                <w:sz w:val="18"/>
                <w:szCs w:val="18"/>
              </w:rPr>
              <w:t xml:space="preserve"> mengakui bagiannya dari perubahan tersebut dan mengungkapkannya</w:t>
            </w:r>
            <w:r w:rsidR="00870FD0">
              <w:rPr>
                <w:bCs w:val="0"/>
                <w:sz w:val="18"/>
                <w:szCs w:val="18"/>
              </w:rPr>
              <w:t>.</w:t>
            </w:r>
            <w:r w:rsidRPr="0076606E">
              <w:rPr>
                <w:bCs w:val="0"/>
                <w:sz w:val="18"/>
                <w:szCs w:val="18"/>
              </w:rPr>
              <w:t xml:space="preserve"> </w:t>
            </w:r>
            <w:proofErr w:type="gramStart"/>
            <w:r w:rsidRPr="0076606E">
              <w:rPr>
                <w:bCs w:val="0"/>
                <w:sz w:val="18"/>
                <w:szCs w:val="18"/>
              </w:rPr>
              <w:t>jika</w:t>
            </w:r>
            <w:proofErr w:type="gramEnd"/>
            <w:r w:rsidRPr="0076606E">
              <w:rPr>
                <w:bCs w:val="0"/>
                <w:sz w:val="18"/>
                <w:szCs w:val="18"/>
              </w:rPr>
              <w:t xml:space="preserve"> relevan</w:t>
            </w:r>
            <w:r w:rsidR="00911A8A">
              <w:rPr>
                <w:bCs w:val="0"/>
                <w:sz w:val="18"/>
                <w:szCs w:val="18"/>
              </w:rPr>
              <w:t>,</w:t>
            </w:r>
            <w:r w:rsidRPr="0076606E">
              <w:rPr>
                <w:bCs w:val="0"/>
                <w:sz w:val="18"/>
                <w:szCs w:val="18"/>
              </w:rPr>
              <w:t xml:space="preserve"> dalam laporan perubahan ekuitas konsolidasian. Keuntungan atau kerugian belum terealisasi yang timbul dari transaksi antara entitas dengan entitas asosiasi atau ventura bersama dieliminasi sebatas kepentingannya dalam entitas asosiasi atau ventura bersama.</w:t>
            </w:r>
          </w:p>
        </w:tc>
        <w:tc>
          <w:tcPr>
            <w:tcW w:w="4599" w:type="dxa"/>
          </w:tcPr>
          <w:p w14:paraId="07A93E56" w14:textId="2EF283FB" w:rsidR="000F7EE2" w:rsidRPr="0076606E" w:rsidRDefault="000F7EE2" w:rsidP="00911A8A">
            <w:pPr>
              <w:tabs>
                <w:tab w:val="left" w:pos="5590"/>
                <w:tab w:val="right" w:pos="7620"/>
                <w:tab w:val="right" w:pos="9460"/>
                <w:tab w:val="right" w:pos="10080"/>
              </w:tabs>
              <w:ind w:left="567" w:right="-57"/>
              <w:jc w:val="both"/>
              <w:rPr>
                <w:bCs w:val="0"/>
                <w:i/>
                <w:sz w:val="18"/>
                <w:szCs w:val="18"/>
              </w:rPr>
            </w:pPr>
            <w:r w:rsidRPr="0076606E">
              <w:rPr>
                <w:bCs w:val="0"/>
                <w:i/>
                <w:sz w:val="18"/>
                <w:szCs w:val="18"/>
              </w:rPr>
              <w:t>If there is a change recognized directly in the equity of the associate or joint venture</w:t>
            </w:r>
            <w:r w:rsidR="00870FD0">
              <w:rPr>
                <w:bCs w:val="0"/>
                <w:i/>
                <w:sz w:val="18"/>
                <w:szCs w:val="18"/>
              </w:rPr>
              <w:t>.</w:t>
            </w:r>
            <w:r w:rsidRPr="0076606E">
              <w:rPr>
                <w:bCs w:val="0"/>
                <w:i/>
                <w:sz w:val="18"/>
                <w:szCs w:val="18"/>
              </w:rPr>
              <w:t xml:space="preserve"> </w:t>
            </w:r>
            <w:proofErr w:type="gramStart"/>
            <w:r w:rsidRPr="0076606E">
              <w:rPr>
                <w:bCs w:val="0"/>
                <w:i/>
                <w:sz w:val="18"/>
                <w:szCs w:val="18"/>
              </w:rPr>
              <w:t>the</w:t>
            </w:r>
            <w:proofErr w:type="gramEnd"/>
            <w:r w:rsidRPr="0076606E">
              <w:rPr>
                <w:bCs w:val="0"/>
                <w:i/>
                <w:sz w:val="18"/>
                <w:szCs w:val="18"/>
              </w:rPr>
              <w:t xml:space="preserve"> entity recognizes its share of such changes and to disclose this</w:t>
            </w:r>
            <w:r w:rsidR="00911A8A">
              <w:rPr>
                <w:bCs w:val="0"/>
                <w:i/>
                <w:sz w:val="18"/>
                <w:szCs w:val="18"/>
              </w:rPr>
              <w:t>,</w:t>
            </w:r>
            <w:r w:rsidRPr="0076606E">
              <w:rPr>
                <w:bCs w:val="0"/>
                <w:i/>
                <w:sz w:val="18"/>
                <w:szCs w:val="18"/>
              </w:rPr>
              <w:t xml:space="preserve"> if relevant in the consolidated statement of changes in equity. Unrealized gains or losses resulting from transactions between the entity and associate or joint venture are eliminated to the extent of the interest in the associate or joint venture.</w:t>
            </w:r>
          </w:p>
        </w:tc>
      </w:tr>
      <w:tr w:rsidR="000F7EE2" w:rsidRPr="0076606E" w14:paraId="33A4E7EA" w14:textId="77777777" w:rsidTr="00CC2E72">
        <w:tc>
          <w:tcPr>
            <w:tcW w:w="4598" w:type="dxa"/>
          </w:tcPr>
          <w:p w14:paraId="7A763875" w14:textId="77777777" w:rsidR="000F7EE2" w:rsidRPr="0076606E" w:rsidRDefault="000F7EE2" w:rsidP="0013526B">
            <w:pPr>
              <w:ind w:left="567"/>
              <w:jc w:val="both"/>
              <w:rPr>
                <w:bCs w:val="0"/>
                <w:sz w:val="6"/>
                <w:szCs w:val="14"/>
              </w:rPr>
            </w:pPr>
          </w:p>
        </w:tc>
        <w:tc>
          <w:tcPr>
            <w:tcW w:w="4599" w:type="dxa"/>
          </w:tcPr>
          <w:p w14:paraId="2460E103" w14:textId="77777777" w:rsidR="000F7EE2" w:rsidRPr="0076606E" w:rsidRDefault="000F7EE2" w:rsidP="0013526B">
            <w:pPr>
              <w:tabs>
                <w:tab w:val="left" w:pos="5590"/>
                <w:tab w:val="right" w:pos="7620"/>
                <w:tab w:val="right" w:pos="9460"/>
                <w:tab w:val="right" w:pos="10080"/>
              </w:tabs>
              <w:ind w:left="567"/>
              <w:jc w:val="both"/>
              <w:rPr>
                <w:bCs w:val="0"/>
                <w:i/>
                <w:sz w:val="6"/>
                <w:szCs w:val="14"/>
              </w:rPr>
            </w:pPr>
          </w:p>
        </w:tc>
      </w:tr>
      <w:tr w:rsidR="000F7EE2" w:rsidRPr="004D2565" w14:paraId="45FC2131" w14:textId="77777777" w:rsidTr="00CC2E72">
        <w:tc>
          <w:tcPr>
            <w:tcW w:w="4598" w:type="dxa"/>
          </w:tcPr>
          <w:p w14:paraId="5861BBD8" w14:textId="57CA497E" w:rsidR="000F7EE2" w:rsidRPr="0076606E" w:rsidRDefault="000F7EE2" w:rsidP="00911A8A">
            <w:pPr>
              <w:ind w:left="567" w:right="-57"/>
              <w:jc w:val="both"/>
              <w:rPr>
                <w:bCs w:val="0"/>
                <w:sz w:val="18"/>
                <w:szCs w:val="18"/>
              </w:rPr>
            </w:pPr>
            <w:r w:rsidRPr="0076606E">
              <w:rPr>
                <w:bCs w:val="0"/>
                <w:sz w:val="18"/>
                <w:szCs w:val="18"/>
              </w:rPr>
              <w:t xml:space="preserve">Jika bagian entitas atas rugi pada entitas asosiasi atau </w:t>
            </w:r>
            <w:r w:rsidRPr="0076606E">
              <w:rPr>
                <w:bCs w:val="0"/>
                <w:i/>
                <w:sz w:val="18"/>
                <w:szCs w:val="18"/>
              </w:rPr>
              <w:t>joint venture</w:t>
            </w:r>
            <w:r w:rsidRPr="0076606E">
              <w:rPr>
                <w:bCs w:val="0"/>
                <w:sz w:val="18"/>
                <w:szCs w:val="18"/>
              </w:rPr>
              <w:t xml:space="preserve"> sama dengan atau melebihi kepentingannya pada entitas asosiasi atau ventura bersama</w:t>
            </w:r>
            <w:r w:rsidR="00870FD0">
              <w:rPr>
                <w:bCs w:val="0"/>
                <w:sz w:val="18"/>
                <w:szCs w:val="18"/>
              </w:rPr>
              <w:t>.</w:t>
            </w:r>
            <w:r w:rsidRPr="0076606E">
              <w:rPr>
                <w:bCs w:val="0"/>
                <w:sz w:val="18"/>
                <w:szCs w:val="18"/>
              </w:rPr>
              <w:t xml:space="preserve"> </w:t>
            </w:r>
            <w:proofErr w:type="gramStart"/>
            <w:r w:rsidRPr="0076606E">
              <w:rPr>
                <w:bCs w:val="0"/>
                <w:sz w:val="18"/>
                <w:szCs w:val="18"/>
              </w:rPr>
              <w:t>maka</w:t>
            </w:r>
            <w:proofErr w:type="gramEnd"/>
            <w:r w:rsidRPr="0076606E">
              <w:rPr>
                <w:bCs w:val="0"/>
                <w:sz w:val="18"/>
                <w:szCs w:val="18"/>
              </w:rPr>
              <w:t xml:space="preserve"> entitas menghentikan pengakuan bagiannya atas rugi lebih lanjut. Setelah kepentingan entitas dikurangkan menjadi nol</w:t>
            </w:r>
            <w:r w:rsidR="00911A8A">
              <w:rPr>
                <w:bCs w:val="0"/>
                <w:sz w:val="18"/>
                <w:szCs w:val="18"/>
              </w:rPr>
              <w:t>,</w:t>
            </w:r>
            <w:r w:rsidRPr="0076606E">
              <w:rPr>
                <w:bCs w:val="0"/>
                <w:sz w:val="18"/>
                <w:szCs w:val="18"/>
              </w:rPr>
              <w:t xml:space="preserve"> tambahan kerugian dicadangkan</w:t>
            </w:r>
            <w:r w:rsidR="00870FD0">
              <w:rPr>
                <w:bCs w:val="0"/>
                <w:sz w:val="18"/>
                <w:szCs w:val="18"/>
              </w:rPr>
              <w:t>.</w:t>
            </w:r>
            <w:r w:rsidRPr="0076606E">
              <w:rPr>
                <w:bCs w:val="0"/>
                <w:sz w:val="18"/>
                <w:szCs w:val="18"/>
              </w:rPr>
              <w:t xml:space="preserve"> </w:t>
            </w:r>
            <w:proofErr w:type="gramStart"/>
            <w:r w:rsidRPr="0076606E">
              <w:rPr>
                <w:bCs w:val="0"/>
                <w:sz w:val="18"/>
                <w:szCs w:val="18"/>
              </w:rPr>
              <w:t>dan</w:t>
            </w:r>
            <w:proofErr w:type="gramEnd"/>
            <w:r w:rsidRPr="0076606E">
              <w:rPr>
                <w:bCs w:val="0"/>
                <w:sz w:val="18"/>
                <w:szCs w:val="18"/>
              </w:rPr>
              <w:t xml:space="preserve"> liabilitas diakui</w:t>
            </w:r>
            <w:r w:rsidR="00911A8A">
              <w:rPr>
                <w:bCs w:val="0"/>
                <w:sz w:val="18"/>
                <w:szCs w:val="18"/>
              </w:rPr>
              <w:t>,</w:t>
            </w:r>
            <w:r w:rsidRPr="0076606E">
              <w:rPr>
                <w:bCs w:val="0"/>
                <w:sz w:val="18"/>
                <w:szCs w:val="18"/>
              </w:rPr>
              <w:t xml:space="preserve"> hanya sepanjang entitas mempunyai kewajiban hukum atau konstruktif atau melakukan pembayaran atas nama entitas asosiasi atau ventura bersama.</w:t>
            </w:r>
          </w:p>
        </w:tc>
        <w:tc>
          <w:tcPr>
            <w:tcW w:w="4599" w:type="dxa"/>
          </w:tcPr>
          <w:p w14:paraId="38704461" w14:textId="0B842B86" w:rsidR="000F7EE2" w:rsidRPr="0076606E" w:rsidRDefault="000F7EE2" w:rsidP="00911A8A">
            <w:pPr>
              <w:tabs>
                <w:tab w:val="left" w:pos="5590"/>
                <w:tab w:val="right" w:pos="7620"/>
                <w:tab w:val="right" w:pos="9460"/>
                <w:tab w:val="right" w:pos="10080"/>
              </w:tabs>
              <w:ind w:left="567" w:right="-57"/>
              <w:jc w:val="both"/>
              <w:rPr>
                <w:bCs w:val="0"/>
                <w:i/>
                <w:sz w:val="18"/>
                <w:szCs w:val="18"/>
              </w:rPr>
            </w:pPr>
            <w:r w:rsidRPr="0076606E">
              <w:rPr>
                <w:bCs w:val="0"/>
                <w:i/>
                <w:sz w:val="18"/>
                <w:szCs w:val="18"/>
              </w:rPr>
              <w:t>If the entity’s share on loss in an associate or a joint venture equals or exceeds its interest in the associate or joint venture</w:t>
            </w:r>
            <w:r w:rsidR="00911A8A">
              <w:rPr>
                <w:bCs w:val="0"/>
                <w:i/>
                <w:sz w:val="18"/>
                <w:szCs w:val="18"/>
              </w:rPr>
              <w:t>,</w:t>
            </w:r>
            <w:r w:rsidRPr="0076606E">
              <w:rPr>
                <w:bCs w:val="0"/>
                <w:i/>
                <w:sz w:val="18"/>
                <w:szCs w:val="18"/>
              </w:rPr>
              <w:t xml:space="preserve"> it discontinues recognizing its share of further losses. After the entity’s interest is reduced to zero</w:t>
            </w:r>
            <w:r w:rsidR="00870FD0">
              <w:rPr>
                <w:bCs w:val="0"/>
                <w:i/>
                <w:sz w:val="18"/>
                <w:szCs w:val="18"/>
              </w:rPr>
              <w:t>.</w:t>
            </w:r>
            <w:r w:rsidRPr="0076606E">
              <w:rPr>
                <w:bCs w:val="0"/>
                <w:i/>
                <w:sz w:val="18"/>
                <w:szCs w:val="18"/>
              </w:rPr>
              <w:t xml:space="preserve"> </w:t>
            </w:r>
            <w:proofErr w:type="gramStart"/>
            <w:r w:rsidRPr="0076606E">
              <w:rPr>
                <w:bCs w:val="0"/>
                <w:i/>
                <w:sz w:val="18"/>
                <w:szCs w:val="18"/>
              </w:rPr>
              <w:t>additional</w:t>
            </w:r>
            <w:proofErr w:type="gramEnd"/>
            <w:r w:rsidRPr="0076606E">
              <w:rPr>
                <w:bCs w:val="0"/>
                <w:i/>
                <w:sz w:val="18"/>
                <w:szCs w:val="18"/>
              </w:rPr>
              <w:t xml:space="preserve"> losses are provided for and a liability is recognized</w:t>
            </w:r>
            <w:r w:rsidR="00911A8A">
              <w:rPr>
                <w:bCs w:val="0"/>
                <w:i/>
                <w:sz w:val="18"/>
                <w:szCs w:val="18"/>
              </w:rPr>
              <w:t>,</w:t>
            </w:r>
            <w:r w:rsidRPr="0076606E">
              <w:rPr>
                <w:bCs w:val="0"/>
                <w:i/>
                <w:sz w:val="18"/>
                <w:szCs w:val="18"/>
              </w:rPr>
              <w:t xml:space="preserve"> only to the extent that the entity has incurred legal or constructive obligations or made payments on behalf of the associate or joint venture.</w:t>
            </w:r>
          </w:p>
        </w:tc>
      </w:tr>
      <w:tr w:rsidR="000F7EE2" w:rsidRPr="00BE6E3D" w14:paraId="58DB9A5D" w14:textId="77777777" w:rsidTr="00CC2E72">
        <w:tc>
          <w:tcPr>
            <w:tcW w:w="4598" w:type="dxa"/>
          </w:tcPr>
          <w:p w14:paraId="74923A7A" w14:textId="77777777" w:rsidR="000F7EE2" w:rsidRPr="00BE6E3D" w:rsidRDefault="000F7EE2" w:rsidP="0013526B">
            <w:pPr>
              <w:ind w:left="567"/>
              <w:jc w:val="both"/>
              <w:rPr>
                <w:bCs w:val="0"/>
                <w:sz w:val="6"/>
                <w:szCs w:val="14"/>
                <w:highlight w:val="cyan"/>
              </w:rPr>
            </w:pPr>
          </w:p>
        </w:tc>
        <w:tc>
          <w:tcPr>
            <w:tcW w:w="4599" w:type="dxa"/>
          </w:tcPr>
          <w:p w14:paraId="28DA46D1" w14:textId="77777777" w:rsidR="000F7EE2" w:rsidRPr="00BE6E3D" w:rsidRDefault="000F7EE2" w:rsidP="0013526B">
            <w:pPr>
              <w:tabs>
                <w:tab w:val="left" w:pos="5590"/>
                <w:tab w:val="right" w:pos="7620"/>
                <w:tab w:val="right" w:pos="9460"/>
                <w:tab w:val="right" w:pos="10080"/>
              </w:tabs>
              <w:ind w:left="567"/>
              <w:jc w:val="both"/>
              <w:rPr>
                <w:bCs w:val="0"/>
                <w:i/>
                <w:sz w:val="6"/>
                <w:szCs w:val="14"/>
                <w:highlight w:val="cyan"/>
              </w:rPr>
            </w:pPr>
          </w:p>
        </w:tc>
      </w:tr>
      <w:tr w:rsidR="000F7EE2" w:rsidRPr="004D2565" w14:paraId="2986DE21" w14:textId="77777777" w:rsidTr="00CC2E72">
        <w:tc>
          <w:tcPr>
            <w:tcW w:w="4598" w:type="dxa"/>
          </w:tcPr>
          <w:p w14:paraId="7BBDC4D6" w14:textId="225DFE8B" w:rsidR="000F7EE2" w:rsidRPr="0076606E" w:rsidRDefault="000F7EE2" w:rsidP="00911A8A">
            <w:pPr>
              <w:ind w:left="567" w:right="-57"/>
              <w:jc w:val="both"/>
              <w:rPr>
                <w:bCs w:val="0"/>
                <w:sz w:val="18"/>
                <w:szCs w:val="18"/>
              </w:rPr>
            </w:pPr>
            <w:r w:rsidRPr="0076606E">
              <w:rPr>
                <w:bCs w:val="0"/>
                <w:sz w:val="18"/>
                <w:szCs w:val="18"/>
              </w:rPr>
              <w:t>Jika entitas asosiasi atau ventura bersama melaporkan laba pada periode berikutnya</w:t>
            </w:r>
            <w:r w:rsidR="00911A8A">
              <w:rPr>
                <w:bCs w:val="0"/>
                <w:sz w:val="18"/>
                <w:szCs w:val="18"/>
              </w:rPr>
              <w:t>,</w:t>
            </w:r>
            <w:r w:rsidRPr="0076606E">
              <w:rPr>
                <w:bCs w:val="0"/>
                <w:sz w:val="18"/>
                <w:szCs w:val="18"/>
              </w:rPr>
              <w:t xml:space="preserve"> entitas mengakui bagiannya atas laba tersebut hanya setelah bagiannya atas laba tersebut sama dengan bagian kerugian yang tidak diakui.</w:t>
            </w:r>
          </w:p>
        </w:tc>
        <w:tc>
          <w:tcPr>
            <w:tcW w:w="4599" w:type="dxa"/>
          </w:tcPr>
          <w:p w14:paraId="3A354AE4" w14:textId="0CCFAFE3" w:rsidR="000F7EE2" w:rsidRPr="0076606E" w:rsidRDefault="000F7EE2" w:rsidP="00911A8A">
            <w:pPr>
              <w:tabs>
                <w:tab w:val="left" w:pos="5590"/>
                <w:tab w:val="right" w:pos="7620"/>
                <w:tab w:val="right" w:pos="9460"/>
                <w:tab w:val="right" w:pos="10080"/>
              </w:tabs>
              <w:ind w:left="567" w:right="-68"/>
              <w:jc w:val="both"/>
              <w:rPr>
                <w:bCs w:val="0"/>
                <w:i/>
                <w:sz w:val="18"/>
                <w:szCs w:val="18"/>
              </w:rPr>
            </w:pPr>
            <w:r w:rsidRPr="0076606E">
              <w:rPr>
                <w:bCs w:val="0"/>
                <w:i/>
                <w:sz w:val="18"/>
                <w:szCs w:val="18"/>
              </w:rPr>
              <w:t>If the associate or joint venture subsequently reports profits</w:t>
            </w:r>
            <w:r w:rsidR="00911A8A">
              <w:rPr>
                <w:bCs w:val="0"/>
                <w:i/>
                <w:sz w:val="18"/>
                <w:szCs w:val="18"/>
              </w:rPr>
              <w:t>,</w:t>
            </w:r>
            <w:r w:rsidRPr="0076606E">
              <w:rPr>
                <w:bCs w:val="0"/>
                <w:i/>
                <w:sz w:val="18"/>
                <w:szCs w:val="18"/>
              </w:rPr>
              <w:t xml:space="preserve"> the entity resumes recognizing its share of those profits only after its share of the profits equals the share of losses not recognized.</w:t>
            </w:r>
          </w:p>
        </w:tc>
      </w:tr>
      <w:tr w:rsidR="000F7EE2" w:rsidRPr="00BE6E3D" w14:paraId="34FA9DD3" w14:textId="77777777" w:rsidTr="00CC2E72">
        <w:tc>
          <w:tcPr>
            <w:tcW w:w="4598" w:type="dxa"/>
          </w:tcPr>
          <w:p w14:paraId="36044E89" w14:textId="77777777" w:rsidR="000F7EE2" w:rsidRPr="00BE6E3D" w:rsidRDefault="000F7EE2" w:rsidP="0013526B">
            <w:pPr>
              <w:ind w:left="567"/>
              <w:jc w:val="both"/>
              <w:rPr>
                <w:bCs w:val="0"/>
                <w:sz w:val="6"/>
                <w:szCs w:val="14"/>
                <w:highlight w:val="cyan"/>
              </w:rPr>
            </w:pPr>
          </w:p>
        </w:tc>
        <w:tc>
          <w:tcPr>
            <w:tcW w:w="4599" w:type="dxa"/>
          </w:tcPr>
          <w:p w14:paraId="5E45C099" w14:textId="77777777" w:rsidR="000F7EE2" w:rsidRPr="00BE6E3D" w:rsidRDefault="000F7EE2" w:rsidP="0013526B">
            <w:pPr>
              <w:tabs>
                <w:tab w:val="left" w:pos="5590"/>
                <w:tab w:val="right" w:pos="7620"/>
                <w:tab w:val="right" w:pos="9460"/>
                <w:tab w:val="right" w:pos="10080"/>
              </w:tabs>
              <w:ind w:left="567"/>
              <w:jc w:val="both"/>
              <w:rPr>
                <w:bCs w:val="0"/>
                <w:i/>
                <w:sz w:val="6"/>
                <w:szCs w:val="14"/>
                <w:highlight w:val="cyan"/>
              </w:rPr>
            </w:pPr>
          </w:p>
        </w:tc>
      </w:tr>
      <w:tr w:rsidR="000F7EE2" w:rsidRPr="0076606E" w14:paraId="2103ED57" w14:textId="77777777" w:rsidTr="00CC2E72">
        <w:tc>
          <w:tcPr>
            <w:tcW w:w="4598" w:type="dxa"/>
          </w:tcPr>
          <w:p w14:paraId="0D85853E" w14:textId="0C5986E1" w:rsidR="000F7EE2" w:rsidRPr="0076606E" w:rsidRDefault="000F7EE2" w:rsidP="0013526B">
            <w:pPr>
              <w:ind w:left="567" w:right="-57"/>
              <w:jc w:val="both"/>
              <w:rPr>
                <w:bCs w:val="0"/>
                <w:sz w:val="18"/>
                <w:szCs w:val="18"/>
              </w:rPr>
            </w:pPr>
            <w:r w:rsidRPr="0076606E">
              <w:rPr>
                <w:bCs w:val="0"/>
                <w:sz w:val="18"/>
                <w:szCs w:val="18"/>
              </w:rPr>
              <w:t>Laporan keuangan entitas asosiasi atau ventura bersama disusun untuk periode yang sama dengan entitas. Jika perlu</w:t>
            </w:r>
            <w:r w:rsidR="00870FD0">
              <w:rPr>
                <w:bCs w:val="0"/>
                <w:sz w:val="18"/>
                <w:szCs w:val="18"/>
              </w:rPr>
              <w:t>.</w:t>
            </w:r>
            <w:r w:rsidRPr="0076606E">
              <w:rPr>
                <w:bCs w:val="0"/>
                <w:sz w:val="18"/>
                <w:szCs w:val="18"/>
              </w:rPr>
              <w:t xml:space="preserve"> </w:t>
            </w:r>
            <w:proofErr w:type="gramStart"/>
            <w:r w:rsidRPr="0076606E">
              <w:rPr>
                <w:bCs w:val="0"/>
                <w:sz w:val="18"/>
                <w:szCs w:val="18"/>
              </w:rPr>
              <w:t>penyesuaian</w:t>
            </w:r>
            <w:proofErr w:type="gramEnd"/>
            <w:r w:rsidRPr="0076606E">
              <w:rPr>
                <w:bCs w:val="0"/>
                <w:sz w:val="18"/>
                <w:szCs w:val="18"/>
              </w:rPr>
              <w:t xml:space="preserve"> dilakukan untuk membawa kebijakan akuntansi yang sama dengan yang diterapkan entitas.</w:t>
            </w:r>
          </w:p>
        </w:tc>
        <w:tc>
          <w:tcPr>
            <w:tcW w:w="4599" w:type="dxa"/>
          </w:tcPr>
          <w:p w14:paraId="565549FA" w14:textId="22EF65F3" w:rsidR="000F7EE2" w:rsidRPr="0076606E" w:rsidRDefault="000F7EE2" w:rsidP="007B729F">
            <w:pPr>
              <w:tabs>
                <w:tab w:val="left" w:pos="5590"/>
                <w:tab w:val="right" w:pos="7620"/>
                <w:tab w:val="right" w:pos="9460"/>
                <w:tab w:val="right" w:pos="10080"/>
              </w:tabs>
              <w:ind w:left="567" w:right="-54"/>
              <w:jc w:val="both"/>
              <w:rPr>
                <w:bCs w:val="0"/>
                <w:i/>
                <w:sz w:val="18"/>
                <w:szCs w:val="18"/>
              </w:rPr>
            </w:pPr>
            <w:r w:rsidRPr="0076606E">
              <w:rPr>
                <w:bCs w:val="0"/>
                <w:i/>
                <w:sz w:val="18"/>
                <w:szCs w:val="18"/>
              </w:rPr>
              <w:t>The financial statements of the associate or joint venture are prepared for the same reporting period as the entity. When necessary</w:t>
            </w:r>
            <w:r w:rsidR="00870FD0">
              <w:rPr>
                <w:bCs w:val="0"/>
                <w:i/>
                <w:sz w:val="18"/>
                <w:szCs w:val="18"/>
              </w:rPr>
              <w:t>.</w:t>
            </w:r>
            <w:r w:rsidRPr="0076606E">
              <w:rPr>
                <w:bCs w:val="0"/>
                <w:i/>
                <w:sz w:val="18"/>
                <w:szCs w:val="18"/>
              </w:rPr>
              <w:t xml:space="preserve"> </w:t>
            </w:r>
            <w:proofErr w:type="gramStart"/>
            <w:r w:rsidRPr="0076606E">
              <w:rPr>
                <w:bCs w:val="0"/>
                <w:i/>
                <w:sz w:val="18"/>
                <w:szCs w:val="18"/>
              </w:rPr>
              <w:t>adjustments</w:t>
            </w:r>
            <w:proofErr w:type="gramEnd"/>
            <w:r w:rsidRPr="0076606E">
              <w:rPr>
                <w:bCs w:val="0"/>
                <w:i/>
                <w:sz w:val="18"/>
                <w:szCs w:val="18"/>
              </w:rPr>
              <w:t xml:space="preserve"> are made to bring the accounting policies in line with those of the entity.</w:t>
            </w:r>
          </w:p>
        </w:tc>
      </w:tr>
      <w:tr w:rsidR="000F7EE2" w:rsidRPr="0076606E" w14:paraId="12AA6FFA" w14:textId="77777777" w:rsidTr="00CC2E72">
        <w:tc>
          <w:tcPr>
            <w:tcW w:w="4598" w:type="dxa"/>
          </w:tcPr>
          <w:p w14:paraId="2EB4DD33" w14:textId="77777777" w:rsidR="000F7EE2" w:rsidRPr="0076606E" w:rsidRDefault="000F7EE2" w:rsidP="0013526B">
            <w:pPr>
              <w:ind w:left="567" w:right="-57"/>
              <w:jc w:val="both"/>
              <w:rPr>
                <w:bCs w:val="0"/>
                <w:sz w:val="6"/>
                <w:szCs w:val="14"/>
              </w:rPr>
            </w:pPr>
          </w:p>
        </w:tc>
        <w:tc>
          <w:tcPr>
            <w:tcW w:w="4599" w:type="dxa"/>
          </w:tcPr>
          <w:p w14:paraId="6B96C903" w14:textId="77777777" w:rsidR="000F7EE2" w:rsidRPr="0076606E" w:rsidRDefault="000F7EE2" w:rsidP="0013526B">
            <w:pPr>
              <w:tabs>
                <w:tab w:val="left" w:pos="5590"/>
                <w:tab w:val="right" w:pos="7620"/>
                <w:tab w:val="right" w:pos="9460"/>
                <w:tab w:val="right" w:pos="10080"/>
              </w:tabs>
              <w:ind w:left="651" w:right="-57"/>
              <w:jc w:val="both"/>
              <w:rPr>
                <w:bCs w:val="0"/>
                <w:i/>
                <w:sz w:val="6"/>
                <w:szCs w:val="14"/>
              </w:rPr>
            </w:pPr>
          </w:p>
        </w:tc>
      </w:tr>
      <w:tr w:rsidR="000F7EE2" w:rsidRPr="004D2565" w14:paraId="1D36668F" w14:textId="77777777" w:rsidTr="00CC2E72">
        <w:tc>
          <w:tcPr>
            <w:tcW w:w="4598" w:type="dxa"/>
          </w:tcPr>
          <w:p w14:paraId="2F969546" w14:textId="401D5315" w:rsidR="000F7EE2" w:rsidRPr="0076606E" w:rsidRDefault="000F7EE2" w:rsidP="00911A8A">
            <w:pPr>
              <w:ind w:left="567" w:right="-57"/>
              <w:jc w:val="both"/>
              <w:rPr>
                <w:bCs w:val="0"/>
                <w:sz w:val="18"/>
                <w:szCs w:val="18"/>
              </w:rPr>
            </w:pPr>
            <w:r w:rsidRPr="0076606E">
              <w:rPr>
                <w:bCs w:val="0"/>
                <w:sz w:val="18"/>
                <w:szCs w:val="18"/>
              </w:rPr>
              <w:t>Setelah penerapan metode ekuitas</w:t>
            </w:r>
            <w:r w:rsidR="00870FD0">
              <w:rPr>
                <w:bCs w:val="0"/>
                <w:sz w:val="18"/>
                <w:szCs w:val="18"/>
              </w:rPr>
              <w:t>.</w:t>
            </w:r>
            <w:r w:rsidRPr="0076606E">
              <w:rPr>
                <w:bCs w:val="0"/>
                <w:sz w:val="18"/>
                <w:szCs w:val="18"/>
              </w:rPr>
              <w:t xml:space="preserve"> </w:t>
            </w:r>
            <w:proofErr w:type="gramStart"/>
            <w:r w:rsidRPr="0076606E">
              <w:rPr>
                <w:bCs w:val="0"/>
                <w:sz w:val="18"/>
                <w:szCs w:val="18"/>
              </w:rPr>
              <w:t>entitas</w:t>
            </w:r>
            <w:proofErr w:type="gramEnd"/>
            <w:r w:rsidRPr="0076606E">
              <w:rPr>
                <w:bCs w:val="0"/>
                <w:sz w:val="18"/>
                <w:szCs w:val="18"/>
              </w:rPr>
              <w:t xml:space="preserve"> menerapkan persyaratan di PSAK No. 55</w:t>
            </w:r>
            <w:r w:rsidRPr="0076606E">
              <w:rPr>
                <w:bCs w:val="0"/>
                <w:sz w:val="18"/>
                <w:szCs w:val="18"/>
              </w:rPr>
              <w:br/>
              <w:t>(Revisi 2014)</w:t>
            </w:r>
            <w:r w:rsidR="00911A8A">
              <w:rPr>
                <w:bCs w:val="0"/>
                <w:sz w:val="18"/>
                <w:szCs w:val="18"/>
              </w:rPr>
              <w:t>,</w:t>
            </w:r>
            <w:r w:rsidRPr="0076606E">
              <w:rPr>
                <w:bCs w:val="0"/>
                <w:sz w:val="18"/>
                <w:szCs w:val="18"/>
              </w:rPr>
              <w:t xml:space="preserve"> “Instrumen Keuangan: Pengakuan dan Pengukuran”</w:t>
            </w:r>
            <w:r w:rsidR="00911A8A">
              <w:rPr>
                <w:bCs w:val="0"/>
                <w:sz w:val="18"/>
                <w:szCs w:val="18"/>
              </w:rPr>
              <w:t>,</w:t>
            </w:r>
            <w:r w:rsidRPr="0076606E">
              <w:rPr>
                <w:bCs w:val="0"/>
                <w:sz w:val="18"/>
                <w:szCs w:val="18"/>
              </w:rPr>
              <w:t xml:space="preserve"> untuk menentukan apakah perlu mengakui penurunan nilai tambahan sehubungan dengan investasinya dalam entitas asosiasi atau ventura bersama. Jika penurunan terindikasi</w:t>
            </w:r>
            <w:r w:rsidR="00911A8A">
              <w:rPr>
                <w:bCs w:val="0"/>
                <w:sz w:val="18"/>
                <w:szCs w:val="18"/>
              </w:rPr>
              <w:t>,</w:t>
            </w:r>
            <w:r w:rsidRPr="0076606E">
              <w:rPr>
                <w:bCs w:val="0"/>
                <w:sz w:val="18"/>
                <w:szCs w:val="18"/>
              </w:rPr>
              <w:t xml:space="preserve"> jumlah dikalk</w:t>
            </w:r>
            <w:r w:rsidR="001D2A14" w:rsidRPr="0076606E">
              <w:rPr>
                <w:bCs w:val="0"/>
                <w:sz w:val="18"/>
                <w:szCs w:val="18"/>
              </w:rPr>
              <w:t>ulasi dengan mengacu pada PSAK N</w:t>
            </w:r>
            <w:r w:rsidRPr="0076606E">
              <w:rPr>
                <w:bCs w:val="0"/>
                <w:sz w:val="18"/>
                <w:szCs w:val="18"/>
              </w:rPr>
              <w:t>o. 48</w:t>
            </w:r>
            <w:r w:rsidRPr="0076606E">
              <w:rPr>
                <w:bCs w:val="0"/>
                <w:sz w:val="18"/>
                <w:szCs w:val="18"/>
              </w:rPr>
              <w:br/>
              <w:t>(Revisi 2014)</w:t>
            </w:r>
            <w:r w:rsidR="00911A8A">
              <w:rPr>
                <w:bCs w:val="0"/>
                <w:sz w:val="18"/>
                <w:szCs w:val="18"/>
              </w:rPr>
              <w:t>,</w:t>
            </w:r>
            <w:r w:rsidRPr="0076606E">
              <w:rPr>
                <w:bCs w:val="0"/>
                <w:sz w:val="18"/>
                <w:szCs w:val="18"/>
              </w:rPr>
              <w:t xml:space="preserve"> “Penurunan Nilai Aset”.</w:t>
            </w:r>
          </w:p>
        </w:tc>
        <w:tc>
          <w:tcPr>
            <w:tcW w:w="4599" w:type="dxa"/>
          </w:tcPr>
          <w:p w14:paraId="3EE974E6" w14:textId="4BBA5F4A" w:rsidR="000F7EE2" w:rsidRPr="0076606E" w:rsidRDefault="000F7EE2" w:rsidP="00911A8A">
            <w:pPr>
              <w:tabs>
                <w:tab w:val="left" w:pos="5590"/>
                <w:tab w:val="right" w:pos="7620"/>
                <w:tab w:val="right" w:pos="9460"/>
                <w:tab w:val="right" w:pos="10080"/>
              </w:tabs>
              <w:ind w:left="567" w:right="-68"/>
              <w:jc w:val="both"/>
              <w:rPr>
                <w:bCs w:val="0"/>
                <w:i/>
                <w:sz w:val="18"/>
                <w:szCs w:val="18"/>
              </w:rPr>
            </w:pPr>
            <w:r w:rsidRPr="0076606E">
              <w:rPr>
                <w:bCs w:val="0"/>
                <w:i/>
                <w:sz w:val="18"/>
                <w:szCs w:val="18"/>
              </w:rPr>
              <w:t>After application of the equity method</w:t>
            </w:r>
            <w:r w:rsidR="00870FD0">
              <w:rPr>
                <w:bCs w:val="0"/>
                <w:i/>
                <w:sz w:val="18"/>
                <w:szCs w:val="18"/>
              </w:rPr>
              <w:t>.</w:t>
            </w:r>
            <w:r w:rsidRPr="0076606E">
              <w:rPr>
                <w:bCs w:val="0"/>
                <w:i/>
                <w:sz w:val="18"/>
                <w:szCs w:val="18"/>
              </w:rPr>
              <w:t xml:space="preserve"> </w:t>
            </w:r>
            <w:proofErr w:type="gramStart"/>
            <w:r w:rsidRPr="0076606E">
              <w:rPr>
                <w:bCs w:val="0"/>
                <w:i/>
                <w:sz w:val="18"/>
                <w:szCs w:val="18"/>
              </w:rPr>
              <w:t>the</w:t>
            </w:r>
            <w:proofErr w:type="gramEnd"/>
            <w:r w:rsidRPr="0076606E">
              <w:rPr>
                <w:bCs w:val="0"/>
                <w:i/>
                <w:sz w:val="18"/>
                <w:szCs w:val="18"/>
              </w:rPr>
              <w:t xml:space="preserve"> entity applies the requirement in PSAK No. 55</w:t>
            </w:r>
            <w:r w:rsidRPr="0076606E">
              <w:rPr>
                <w:bCs w:val="0"/>
                <w:i/>
                <w:sz w:val="18"/>
                <w:szCs w:val="18"/>
              </w:rPr>
              <w:br/>
              <w:t>(Revised 2014)</w:t>
            </w:r>
            <w:r w:rsidR="00911A8A">
              <w:rPr>
                <w:bCs w:val="0"/>
                <w:i/>
                <w:sz w:val="18"/>
                <w:szCs w:val="18"/>
              </w:rPr>
              <w:t>,</w:t>
            </w:r>
            <w:r w:rsidRPr="0076606E">
              <w:rPr>
                <w:bCs w:val="0"/>
                <w:i/>
                <w:sz w:val="18"/>
                <w:szCs w:val="18"/>
              </w:rPr>
              <w:t xml:space="preserve"> “Financial Instruments: Recognition and Measurement”</w:t>
            </w:r>
            <w:r w:rsidR="00911A8A">
              <w:rPr>
                <w:bCs w:val="0"/>
                <w:i/>
                <w:sz w:val="18"/>
                <w:szCs w:val="18"/>
              </w:rPr>
              <w:t>,</w:t>
            </w:r>
            <w:r w:rsidRPr="0076606E">
              <w:rPr>
                <w:bCs w:val="0"/>
                <w:i/>
                <w:sz w:val="18"/>
                <w:szCs w:val="18"/>
              </w:rPr>
              <w:t xml:space="preserve"> to determine whether it is necessary to recognize an additional impairment loss with respect to its investment in the associate or joint venture. If impairment is indicated</w:t>
            </w:r>
            <w:r w:rsidR="00870FD0">
              <w:rPr>
                <w:bCs w:val="0"/>
                <w:i/>
                <w:sz w:val="18"/>
                <w:szCs w:val="18"/>
              </w:rPr>
              <w:t>.</w:t>
            </w:r>
            <w:r w:rsidRPr="0076606E">
              <w:rPr>
                <w:bCs w:val="0"/>
                <w:i/>
                <w:sz w:val="18"/>
                <w:szCs w:val="18"/>
              </w:rPr>
              <w:t xml:space="preserve"> </w:t>
            </w:r>
            <w:proofErr w:type="gramStart"/>
            <w:r w:rsidRPr="0076606E">
              <w:rPr>
                <w:bCs w:val="0"/>
                <w:i/>
                <w:sz w:val="18"/>
                <w:szCs w:val="18"/>
              </w:rPr>
              <w:t>the</w:t>
            </w:r>
            <w:proofErr w:type="gramEnd"/>
            <w:r w:rsidRPr="0076606E">
              <w:rPr>
                <w:bCs w:val="0"/>
                <w:i/>
                <w:sz w:val="18"/>
                <w:szCs w:val="18"/>
              </w:rPr>
              <w:t xml:space="preserve"> amount is calculated by reference to PSAK No. 48</w:t>
            </w:r>
            <w:r w:rsidRPr="0076606E">
              <w:rPr>
                <w:bCs w:val="0"/>
                <w:i/>
                <w:sz w:val="18"/>
                <w:szCs w:val="18"/>
              </w:rPr>
              <w:br/>
              <w:t>(Revised 2014)</w:t>
            </w:r>
            <w:r w:rsidR="00911A8A">
              <w:rPr>
                <w:bCs w:val="0"/>
                <w:i/>
                <w:sz w:val="18"/>
                <w:szCs w:val="18"/>
              </w:rPr>
              <w:t>,</w:t>
            </w:r>
            <w:r w:rsidRPr="0076606E">
              <w:rPr>
                <w:bCs w:val="0"/>
                <w:i/>
                <w:sz w:val="18"/>
                <w:szCs w:val="18"/>
              </w:rPr>
              <w:t xml:space="preserve"> “Impairment of Assets”.</w:t>
            </w:r>
          </w:p>
        </w:tc>
      </w:tr>
      <w:tr w:rsidR="000F7EE2" w:rsidRPr="00BE6E3D" w14:paraId="652D666C" w14:textId="77777777" w:rsidTr="00CC2E72">
        <w:tc>
          <w:tcPr>
            <w:tcW w:w="4598" w:type="dxa"/>
          </w:tcPr>
          <w:p w14:paraId="4B094EF8" w14:textId="77777777" w:rsidR="000F7EE2" w:rsidRPr="00BE6E3D" w:rsidRDefault="000F7EE2" w:rsidP="0013526B">
            <w:pPr>
              <w:ind w:left="567" w:right="-57"/>
              <w:jc w:val="both"/>
              <w:rPr>
                <w:bCs w:val="0"/>
                <w:sz w:val="6"/>
                <w:szCs w:val="14"/>
                <w:highlight w:val="cyan"/>
              </w:rPr>
            </w:pPr>
          </w:p>
        </w:tc>
        <w:tc>
          <w:tcPr>
            <w:tcW w:w="4599" w:type="dxa"/>
          </w:tcPr>
          <w:p w14:paraId="3F2763D3" w14:textId="77777777" w:rsidR="000F7EE2" w:rsidRPr="00BE6E3D" w:rsidRDefault="000F7EE2" w:rsidP="0013526B">
            <w:pPr>
              <w:tabs>
                <w:tab w:val="left" w:pos="5590"/>
                <w:tab w:val="right" w:pos="7620"/>
                <w:tab w:val="right" w:pos="9460"/>
                <w:tab w:val="right" w:pos="10080"/>
              </w:tabs>
              <w:ind w:left="651" w:right="-57"/>
              <w:jc w:val="both"/>
              <w:rPr>
                <w:bCs w:val="0"/>
                <w:i/>
                <w:sz w:val="6"/>
                <w:szCs w:val="14"/>
                <w:highlight w:val="cyan"/>
              </w:rPr>
            </w:pPr>
          </w:p>
        </w:tc>
      </w:tr>
      <w:tr w:rsidR="000F7EE2" w:rsidRPr="0013526B" w14:paraId="0CF2F088" w14:textId="77777777" w:rsidTr="00CC2E72">
        <w:tc>
          <w:tcPr>
            <w:tcW w:w="4598" w:type="dxa"/>
          </w:tcPr>
          <w:p w14:paraId="19BF3619" w14:textId="0DFD2539" w:rsidR="000F7EE2" w:rsidRPr="0076606E" w:rsidRDefault="000F7EE2" w:rsidP="00911A8A">
            <w:pPr>
              <w:ind w:left="567" w:right="-57"/>
              <w:jc w:val="both"/>
              <w:rPr>
                <w:bCs w:val="0"/>
                <w:sz w:val="18"/>
                <w:szCs w:val="18"/>
              </w:rPr>
            </w:pPr>
            <w:r w:rsidRPr="0076606E">
              <w:rPr>
                <w:bCs w:val="0"/>
                <w:sz w:val="18"/>
                <w:szCs w:val="18"/>
              </w:rPr>
              <w:t>Jumlah tercatat keseluruhan investasi diuji untuk penurunan nilai sebagai suatu aset tunggal</w:t>
            </w:r>
            <w:r w:rsidR="00911A8A">
              <w:rPr>
                <w:bCs w:val="0"/>
                <w:sz w:val="18"/>
                <w:szCs w:val="18"/>
              </w:rPr>
              <w:t>,</w:t>
            </w:r>
            <w:r w:rsidRPr="0076606E">
              <w:rPr>
                <w:bCs w:val="0"/>
                <w:sz w:val="18"/>
                <w:szCs w:val="18"/>
              </w:rPr>
              <w:t xml:space="preserve"> yaitu</w:t>
            </w:r>
            <w:r w:rsidR="00911A8A">
              <w:rPr>
                <w:bCs w:val="0"/>
                <w:sz w:val="18"/>
                <w:szCs w:val="18"/>
              </w:rPr>
              <w:t>,</w:t>
            </w:r>
            <w:r w:rsidRPr="0076606E">
              <w:rPr>
                <w:bCs w:val="0"/>
                <w:sz w:val="18"/>
                <w:szCs w:val="18"/>
              </w:rPr>
              <w:t xml:space="preserve"> </w:t>
            </w:r>
            <w:r w:rsidRPr="0076606E">
              <w:rPr>
                <w:bCs w:val="0"/>
                <w:i/>
                <w:iCs/>
                <w:sz w:val="18"/>
                <w:szCs w:val="18"/>
              </w:rPr>
              <w:t>goodwill</w:t>
            </w:r>
            <w:r w:rsidRPr="0076606E">
              <w:rPr>
                <w:bCs w:val="0"/>
                <w:sz w:val="18"/>
                <w:szCs w:val="18"/>
              </w:rPr>
              <w:t xml:space="preserve"> tidak diuji secara terpisah. Jumlah pemulihan investasi pada entitas asosiasi dinilai untuk setiap entitas asosiasi atau ventura bersama</w:t>
            </w:r>
            <w:r w:rsidR="00911A8A">
              <w:rPr>
                <w:bCs w:val="0"/>
                <w:sz w:val="18"/>
                <w:szCs w:val="18"/>
              </w:rPr>
              <w:t>,</w:t>
            </w:r>
            <w:r w:rsidRPr="0076606E">
              <w:rPr>
                <w:bCs w:val="0"/>
                <w:sz w:val="18"/>
                <w:szCs w:val="18"/>
              </w:rPr>
              <w:t xml:space="preserve"> kecuali entitas asosiasi atau ventura bersama tidak menghasilkan arus kas secara independen.</w:t>
            </w:r>
          </w:p>
        </w:tc>
        <w:tc>
          <w:tcPr>
            <w:tcW w:w="4599" w:type="dxa"/>
          </w:tcPr>
          <w:p w14:paraId="578B1008" w14:textId="54361414" w:rsidR="000F7EE2" w:rsidRPr="0013526B" w:rsidRDefault="000F7EE2" w:rsidP="00911A8A">
            <w:pPr>
              <w:tabs>
                <w:tab w:val="left" w:pos="5590"/>
                <w:tab w:val="right" w:pos="7620"/>
                <w:tab w:val="right" w:pos="9460"/>
                <w:tab w:val="right" w:pos="10080"/>
              </w:tabs>
              <w:ind w:left="567" w:right="-68"/>
              <w:jc w:val="both"/>
              <w:rPr>
                <w:bCs w:val="0"/>
                <w:i/>
                <w:sz w:val="18"/>
                <w:szCs w:val="18"/>
              </w:rPr>
            </w:pPr>
            <w:r w:rsidRPr="0076606E">
              <w:rPr>
                <w:bCs w:val="0"/>
                <w:i/>
                <w:sz w:val="18"/>
                <w:szCs w:val="18"/>
              </w:rPr>
              <w:t>The entire carrying amount of the investment is tested for impairment as a single asset</w:t>
            </w:r>
            <w:r w:rsidR="00911A8A">
              <w:rPr>
                <w:bCs w:val="0"/>
                <w:i/>
                <w:sz w:val="18"/>
                <w:szCs w:val="18"/>
              </w:rPr>
              <w:t>,</w:t>
            </w:r>
            <w:r w:rsidRPr="0076606E">
              <w:rPr>
                <w:bCs w:val="0"/>
                <w:i/>
                <w:sz w:val="18"/>
                <w:szCs w:val="18"/>
              </w:rPr>
              <w:t xml:space="preserve"> that is</w:t>
            </w:r>
            <w:r w:rsidR="00911A8A">
              <w:rPr>
                <w:bCs w:val="0"/>
                <w:i/>
                <w:sz w:val="18"/>
                <w:szCs w:val="18"/>
              </w:rPr>
              <w:t>,</w:t>
            </w:r>
            <w:r w:rsidRPr="0076606E">
              <w:rPr>
                <w:bCs w:val="0"/>
                <w:i/>
                <w:sz w:val="18"/>
                <w:szCs w:val="18"/>
              </w:rPr>
              <w:t xml:space="preserve"> goodwill is not tested separately. The recoverable amount of an investment in an associate is assessed for each individual associate or joint venture</w:t>
            </w:r>
            <w:r w:rsidR="00911A8A">
              <w:rPr>
                <w:bCs w:val="0"/>
                <w:i/>
                <w:sz w:val="18"/>
                <w:szCs w:val="18"/>
              </w:rPr>
              <w:t>,</w:t>
            </w:r>
            <w:r w:rsidRPr="0076606E">
              <w:rPr>
                <w:bCs w:val="0"/>
                <w:i/>
                <w:sz w:val="18"/>
                <w:szCs w:val="18"/>
              </w:rPr>
              <w:t xml:space="preserve"> unless the associate or joint venture does not generate cash flows independently.</w:t>
            </w:r>
          </w:p>
        </w:tc>
      </w:tr>
    </w:tbl>
    <w:p w14:paraId="52F8D7A9" w14:textId="77777777" w:rsidR="00CC2E72" w:rsidRDefault="00CC2E72"/>
    <w:tbl>
      <w:tblPr>
        <w:tblW w:w="9163" w:type="dxa"/>
        <w:tblInd w:w="392" w:type="dxa"/>
        <w:tblLayout w:type="fixed"/>
        <w:tblLook w:val="0000" w:firstRow="0" w:lastRow="0" w:firstColumn="0" w:lastColumn="0" w:noHBand="0" w:noVBand="0"/>
      </w:tblPr>
      <w:tblGrid>
        <w:gridCol w:w="4564"/>
        <w:gridCol w:w="4599"/>
      </w:tblGrid>
      <w:tr w:rsidR="002C2CF0" w:rsidRPr="0076606E" w14:paraId="1F8078DD" w14:textId="77777777" w:rsidTr="00CC2E72">
        <w:tc>
          <w:tcPr>
            <w:tcW w:w="4564" w:type="dxa"/>
          </w:tcPr>
          <w:p w14:paraId="5F023AEA" w14:textId="77777777" w:rsidR="002C2CF0" w:rsidRPr="0076606E" w:rsidRDefault="002C2CF0" w:rsidP="005F361E">
            <w:pPr>
              <w:pStyle w:val="ListParagraph"/>
              <w:numPr>
                <w:ilvl w:val="0"/>
                <w:numId w:val="31"/>
              </w:numPr>
              <w:ind w:left="284" w:right="-57" w:hanging="284"/>
              <w:contextualSpacing/>
              <w:jc w:val="both"/>
              <w:rPr>
                <w:rStyle w:val="hps"/>
                <w:b/>
                <w:sz w:val="18"/>
                <w:szCs w:val="18"/>
              </w:rPr>
            </w:pPr>
            <w:r w:rsidRPr="0013526B">
              <w:rPr>
                <w:sz w:val="18"/>
                <w:szCs w:val="18"/>
              </w:rPr>
              <w:lastRenderedPageBreak/>
              <w:br w:type="page"/>
            </w:r>
            <w:r w:rsidRPr="0076606E">
              <w:rPr>
                <w:rStyle w:val="hps"/>
                <w:b/>
                <w:sz w:val="18"/>
                <w:szCs w:val="18"/>
              </w:rPr>
              <w:t xml:space="preserve">IKHTISAR KEBIJAKAN AKUNTANSI </w:t>
            </w:r>
            <w:r w:rsidRPr="0076606E">
              <w:rPr>
                <w:rStyle w:val="hps"/>
                <w:b/>
                <w:sz w:val="18"/>
                <w:szCs w:val="18"/>
                <w:lang w:val="id-ID"/>
              </w:rPr>
              <w:t xml:space="preserve">YANG </w:t>
            </w:r>
            <w:r w:rsidRPr="0076606E">
              <w:rPr>
                <w:rStyle w:val="hps"/>
                <w:b/>
                <w:sz w:val="18"/>
                <w:szCs w:val="18"/>
              </w:rPr>
              <w:t xml:space="preserve">PENTING </w:t>
            </w:r>
            <w:r w:rsidRPr="0076606E">
              <w:rPr>
                <w:rStyle w:val="hps"/>
                <w:b/>
                <w:sz w:val="18"/>
                <w:szCs w:val="18"/>
                <w:lang w:val="id-ID"/>
              </w:rPr>
              <w:t>-</w:t>
            </w:r>
            <w:r w:rsidRPr="0076606E">
              <w:rPr>
                <w:rStyle w:val="hps"/>
                <w:b/>
                <w:sz w:val="18"/>
                <w:szCs w:val="18"/>
              </w:rPr>
              <w:t xml:space="preserve"> Lanjutan</w:t>
            </w:r>
          </w:p>
        </w:tc>
        <w:tc>
          <w:tcPr>
            <w:tcW w:w="4599" w:type="dxa"/>
          </w:tcPr>
          <w:p w14:paraId="739B14F9" w14:textId="77777777" w:rsidR="002C2CF0" w:rsidRPr="0076606E" w:rsidRDefault="002C2CF0" w:rsidP="005F361E">
            <w:pPr>
              <w:pStyle w:val="ListParagraph"/>
              <w:numPr>
                <w:ilvl w:val="0"/>
                <w:numId w:val="32"/>
              </w:numPr>
              <w:ind w:left="284" w:right="-57" w:hanging="284"/>
              <w:contextualSpacing/>
              <w:jc w:val="both"/>
              <w:rPr>
                <w:b/>
                <w:bCs w:val="0"/>
                <w:i/>
                <w:sz w:val="18"/>
                <w:szCs w:val="18"/>
              </w:rPr>
            </w:pPr>
            <w:r w:rsidRPr="0076606E">
              <w:rPr>
                <w:b/>
                <w:i/>
                <w:sz w:val="18"/>
                <w:szCs w:val="18"/>
              </w:rPr>
              <w:t>SUMMARY OF SIGNIFICANT ACCOUNTING POLICIES - Continued</w:t>
            </w:r>
          </w:p>
        </w:tc>
      </w:tr>
      <w:tr w:rsidR="002C2CF0" w:rsidRPr="0076606E" w14:paraId="1386EFAD" w14:textId="77777777" w:rsidTr="00CC2E72">
        <w:tc>
          <w:tcPr>
            <w:tcW w:w="4564" w:type="dxa"/>
          </w:tcPr>
          <w:p w14:paraId="1EA9790C" w14:textId="77777777" w:rsidR="002C2CF0" w:rsidRPr="0076606E" w:rsidRDefault="002C2CF0" w:rsidP="0013526B">
            <w:pPr>
              <w:ind w:left="567" w:right="-57"/>
              <w:jc w:val="both"/>
              <w:rPr>
                <w:bCs w:val="0"/>
                <w:sz w:val="14"/>
                <w:szCs w:val="14"/>
              </w:rPr>
            </w:pPr>
          </w:p>
        </w:tc>
        <w:tc>
          <w:tcPr>
            <w:tcW w:w="4599" w:type="dxa"/>
          </w:tcPr>
          <w:p w14:paraId="66959521" w14:textId="77777777" w:rsidR="002C2CF0" w:rsidRPr="0076606E" w:rsidRDefault="002C2CF0" w:rsidP="0013526B">
            <w:pPr>
              <w:tabs>
                <w:tab w:val="left" w:pos="5590"/>
                <w:tab w:val="right" w:pos="7620"/>
                <w:tab w:val="right" w:pos="9460"/>
                <w:tab w:val="right" w:pos="10080"/>
              </w:tabs>
              <w:ind w:left="651" w:right="-57"/>
              <w:jc w:val="both"/>
              <w:rPr>
                <w:bCs w:val="0"/>
                <w:i/>
                <w:sz w:val="14"/>
                <w:szCs w:val="14"/>
              </w:rPr>
            </w:pPr>
          </w:p>
        </w:tc>
      </w:tr>
      <w:tr w:rsidR="002C2CF0" w:rsidRPr="0076606E" w14:paraId="40E56372" w14:textId="77777777" w:rsidTr="00CC2E72">
        <w:tc>
          <w:tcPr>
            <w:tcW w:w="4564" w:type="dxa"/>
          </w:tcPr>
          <w:p w14:paraId="3AA58DC6" w14:textId="77777777" w:rsidR="002C2CF0" w:rsidRPr="0076606E" w:rsidRDefault="002C2CF0" w:rsidP="00070D1F">
            <w:pPr>
              <w:pStyle w:val="ListParagraph"/>
              <w:numPr>
                <w:ilvl w:val="0"/>
                <w:numId w:val="193"/>
              </w:numPr>
              <w:tabs>
                <w:tab w:val="left" w:pos="317"/>
              </w:tabs>
              <w:ind w:left="601" w:right="-57" w:hanging="284"/>
              <w:contextualSpacing/>
              <w:jc w:val="both"/>
              <w:rPr>
                <w:bCs w:val="0"/>
                <w:sz w:val="18"/>
                <w:szCs w:val="18"/>
              </w:rPr>
            </w:pPr>
            <w:r w:rsidRPr="0076606E">
              <w:rPr>
                <w:b/>
                <w:bCs w:val="0"/>
                <w:sz w:val="18"/>
                <w:szCs w:val="18"/>
              </w:rPr>
              <w:t>Investasi pada Entitas Asosiasi dan Ventura Bersama - Lanjutan</w:t>
            </w:r>
          </w:p>
        </w:tc>
        <w:tc>
          <w:tcPr>
            <w:tcW w:w="4599" w:type="dxa"/>
          </w:tcPr>
          <w:p w14:paraId="7C3CBB2B" w14:textId="77777777" w:rsidR="002C2CF0" w:rsidRPr="0076606E" w:rsidRDefault="002C2CF0" w:rsidP="00070D1F">
            <w:pPr>
              <w:pStyle w:val="ListParagraph"/>
              <w:numPr>
                <w:ilvl w:val="0"/>
                <w:numId w:val="194"/>
              </w:numPr>
              <w:ind w:left="572" w:right="-57" w:hanging="283"/>
              <w:contextualSpacing/>
              <w:jc w:val="both"/>
              <w:rPr>
                <w:bCs w:val="0"/>
                <w:i/>
                <w:sz w:val="18"/>
                <w:szCs w:val="18"/>
              </w:rPr>
            </w:pPr>
            <w:r w:rsidRPr="0076606E">
              <w:rPr>
                <w:b/>
                <w:bCs w:val="0"/>
                <w:i/>
                <w:sz w:val="18"/>
                <w:szCs w:val="18"/>
              </w:rPr>
              <w:t xml:space="preserve">Investments in Associates and Joint Ventures </w:t>
            </w:r>
            <w:r w:rsidRPr="0076606E">
              <w:rPr>
                <w:b/>
                <w:i/>
                <w:sz w:val="18"/>
                <w:szCs w:val="18"/>
              </w:rPr>
              <w:t>- Continued</w:t>
            </w:r>
          </w:p>
        </w:tc>
      </w:tr>
      <w:tr w:rsidR="002C2CF0" w:rsidRPr="0076606E" w14:paraId="5031C299" w14:textId="77777777" w:rsidTr="00CC2E72">
        <w:tc>
          <w:tcPr>
            <w:tcW w:w="4564" w:type="dxa"/>
          </w:tcPr>
          <w:p w14:paraId="3B24EBF3" w14:textId="77777777" w:rsidR="002C2CF0" w:rsidRPr="0076606E" w:rsidRDefault="002C2CF0" w:rsidP="0013526B">
            <w:pPr>
              <w:ind w:left="567" w:right="-57"/>
              <w:jc w:val="both"/>
              <w:rPr>
                <w:bCs w:val="0"/>
                <w:sz w:val="14"/>
                <w:szCs w:val="14"/>
              </w:rPr>
            </w:pPr>
          </w:p>
        </w:tc>
        <w:tc>
          <w:tcPr>
            <w:tcW w:w="4599" w:type="dxa"/>
          </w:tcPr>
          <w:p w14:paraId="127C9376" w14:textId="77777777" w:rsidR="002C2CF0" w:rsidRPr="0076606E" w:rsidRDefault="002C2CF0" w:rsidP="0013526B">
            <w:pPr>
              <w:tabs>
                <w:tab w:val="left" w:pos="5590"/>
                <w:tab w:val="right" w:pos="7620"/>
                <w:tab w:val="right" w:pos="9460"/>
                <w:tab w:val="right" w:pos="10080"/>
              </w:tabs>
              <w:ind w:left="651" w:right="-57"/>
              <w:jc w:val="both"/>
              <w:rPr>
                <w:bCs w:val="0"/>
                <w:i/>
                <w:sz w:val="14"/>
                <w:szCs w:val="14"/>
              </w:rPr>
            </w:pPr>
          </w:p>
        </w:tc>
      </w:tr>
      <w:tr w:rsidR="002C2CF0" w:rsidRPr="004D2565" w14:paraId="3726B812" w14:textId="77777777" w:rsidTr="00CC2E72">
        <w:tc>
          <w:tcPr>
            <w:tcW w:w="4564" w:type="dxa"/>
          </w:tcPr>
          <w:p w14:paraId="20035248" w14:textId="7CBF4A07" w:rsidR="002C2CF0" w:rsidRPr="0076606E" w:rsidRDefault="002C2CF0" w:rsidP="00911A8A">
            <w:pPr>
              <w:ind w:left="567" w:right="-57"/>
              <w:jc w:val="both"/>
              <w:rPr>
                <w:bCs w:val="0"/>
                <w:sz w:val="18"/>
                <w:szCs w:val="18"/>
              </w:rPr>
            </w:pPr>
            <w:r w:rsidRPr="0076606E">
              <w:rPr>
                <w:bCs w:val="0"/>
                <w:sz w:val="18"/>
                <w:szCs w:val="18"/>
              </w:rPr>
              <w:t>Pada saat hilangnya pengaruh signifikan pada entitas asosiasi atau ventura bersama</w:t>
            </w:r>
            <w:r w:rsidR="00911A8A">
              <w:rPr>
                <w:bCs w:val="0"/>
                <w:sz w:val="18"/>
                <w:szCs w:val="18"/>
              </w:rPr>
              <w:t>,</w:t>
            </w:r>
            <w:r w:rsidRPr="0076606E">
              <w:rPr>
                <w:bCs w:val="0"/>
                <w:sz w:val="18"/>
                <w:szCs w:val="18"/>
              </w:rPr>
              <w:t xml:space="preserve"> entitas mengakui setiap investasi yang tersisa pada nilai wajar. Perbedaan antara jumlah tercatat entitas asosiasi atau ventura bersama pada saat hilangnya pengaruh signifikan dan nilai wajar dari investasi yang tersisa dan hasil dari pelepasan diakui dalam laba atau rugi.</w:t>
            </w:r>
          </w:p>
        </w:tc>
        <w:tc>
          <w:tcPr>
            <w:tcW w:w="4599" w:type="dxa"/>
          </w:tcPr>
          <w:p w14:paraId="3A7860CF" w14:textId="19E02117" w:rsidR="002C2CF0" w:rsidRPr="0076606E" w:rsidRDefault="002C2CF0" w:rsidP="00911A8A">
            <w:pPr>
              <w:tabs>
                <w:tab w:val="left" w:pos="5590"/>
                <w:tab w:val="right" w:pos="7620"/>
                <w:tab w:val="right" w:pos="9460"/>
                <w:tab w:val="right" w:pos="10080"/>
              </w:tabs>
              <w:ind w:left="567" w:right="-54"/>
              <w:jc w:val="both"/>
              <w:rPr>
                <w:bCs w:val="0"/>
                <w:i/>
                <w:sz w:val="18"/>
                <w:szCs w:val="18"/>
              </w:rPr>
            </w:pPr>
            <w:r w:rsidRPr="0076606E">
              <w:rPr>
                <w:bCs w:val="0"/>
                <w:i/>
                <w:sz w:val="18"/>
                <w:szCs w:val="18"/>
              </w:rPr>
              <w:t>Upon loss of significant influence over the associate or joint control over joint venture</w:t>
            </w:r>
            <w:r w:rsidR="00911A8A">
              <w:rPr>
                <w:bCs w:val="0"/>
                <w:i/>
                <w:sz w:val="18"/>
                <w:szCs w:val="18"/>
              </w:rPr>
              <w:t>,</w:t>
            </w:r>
            <w:r w:rsidRPr="0076606E">
              <w:rPr>
                <w:bCs w:val="0"/>
                <w:i/>
                <w:sz w:val="18"/>
                <w:szCs w:val="18"/>
              </w:rPr>
              <w:t xml:space="preserve"> the entity measures and recognizes any retained investment as its fair value. Any difference between the carrying amount of the associate or joint venture upon loss of significant influence and the fair value of the retained investment and proceeds from disposal is recognized in profit or loss.</w:t>
            </w:r>
          </w:p>
        </w:tc>
      </w:tr>
      <w:tr w:rsidR="002C2CF0" w:rsidRPr="004D2565" w14:paraId="69B3A3F0" w14:textId="77777777" w:rsidTr="00CC2E72">
        <w:tc>
          <w:tcPr>
            <w:tcW w:w="4564" w:type="dxa"/>
          </w:tcPr>
          <w:p w14:paraId="63706055" w14:textId="77777777" w:rsidR="002C2CF0" w:rsidRPr="004D2565" w:rsidRDefault="002C2CF0" w:rsidP="0013526B">
            <w:pPr>
              <w:ind w:left="567" w:right="-57"/>
              <w:jc w:val="both"/>
              <w:rPr>
                <w:bCs w:val="0"/>
                <w:sz w:val="14"/>
                <w:szCs w:val="14"/>
                <w:highlight w:val="cyan"/>
              </w:rPr>
            </w:pPr>
          </w:p>
        </w:tc>
        <w:tc>
          <w:tcPr>
            <w:tcW w:w="4599" w:type="dxa"/>
          </w:tcPr>
          <w:p w14:paraId="692C75E4" w14:textId="77777777" w:rsidR="002C2CF0" w:rsidRPr="004D2565" w:rsidRDefault="002C2CF0" w:rsidP="0013526B">
            <w:pPr>
              <w:tabs>
                <w:tab w:val="left" w:pos="5590"/>
                <w:tab w:val="right" w:pos="7620"/>
                <w:tab w:val="right" w:pos="9460"/>
                <w:tab w:val="right" w:pos="10080"/>
              </w:tabs>
              <w:ind w:left="651" w:right="-57"/>
              <w:jc w:val="both"/>
              <w:rPr>
                <w:bCs w:val="0"/>
                <w:i/>
                <w:sz w:val="14"/>
                <w:szCs w:val="14"/>
                <w:highlight w:val="cyan"/>
              </w:rPr>
            </w:pPr>
          </w:p>
        </w:tc>
      </w:tr>
      <w:tr w:rsidR="002C2CF0" w:rsidRPr="0076606E" w14:paraId="0B7C01DC" w14:textId="77777777" w:rsidTr="00CC2E72">
        <w:tc>
          <w:tcPr>
            <w:tcW w:w="4564" w:type="dxa"/>
          </w:tcPr>
          <w:p w14:paraId="2BA50E8C" w14:textId="6181D21B" w:rsidR="002C2CF0" w:rsidRPr="0076606E" w:rsidRDefault="002C2CF0" w:rsidP="00911A8A">
            <w:pPr>
              <w:ind w:left="567" w:right="-57"/>
              <w:jc w:val="both"/>
              <w:rPr>
                <w:bCs w:val="0"/>
                <w:sz w:val="18"/>
                <w:szCs w:val="18"/>
              </w:rPr>
            </w:pPr>
            <w:r w:rsidRPr="0076606E">
              <w:rPr>
                <w:bCs w:val="0"/>
                <w:sz w:val="18"/>
                <w:szCs w:val="18"/>
              </w:rPr>
              <w:t xml:space="preserve">Persyaratan pengungkapan untuk entitas dengan pengendalian bersama atau pengaruh signifikan pada </w:t>
            </w:r>
            <w:r w:rsidR="00816ED4" w:rsidRPr="0076606E">
              <w:rPr>
                <w:bCs w:val="0"/>
                <w:i/>
                <w:sz w:val="18"/>
                <w:szCs w:val="18"/>
              </w:rPr>
              <w:t>investee</w:t>
            </w:r>
            <w:r w:rsidRPr="0076606E">
              <w:rPr>
                <w:bCs w:val="0"/>
                <w:sz w:val="18"/>
                <w:szCs w:val="18"/>
              </w:rPr>
              <w:t xml:space="preserve"> dijelaskan dalam PSAK No. 67</w:t>
            </w:r>
            <w:r w:rsidR="00911A8A">
              <w:rPr>
                <w:bCs w:val="0"/>
                <w:sz w:val="18"/>
                <w:szCs w:val="18"/>
              </w:rPr>
              <w:t>,</w:t>
            </w:r>
            <w:r w:rsidRPr="0076606E">
              <w:rPr>
                <w:bCs w:val="0"/>
                <w:sz w:val="18"/>
                <w:szCs w:val="18"/>
              </w:rPr>
              <w:t xml:space="preserve"> “Pengungkapan Kepentingan dalam Entitas Lain”.</w:t>
            </w:r>
          </w:p>
        </w:tc>
        <w:tc>
          <w:tcPr>
            <w:tcW w:w="4599" w:type="dxa"/>
          </w:tcPr>
          <w:p w14:paraId="762BDAF6" w14:textId="5EBAC3E9" w:rsidR="002C2CF0" w:rsidRPr="0076606E" w:rsidRDefault="002C2CF0" w:rsidP="00911A8A">
            <w:pPr>
              <w:tabs>
                <w:tab w:val="left" w:pos="5590"/>
                <w:tab w:val="right" w:pos="7620"/>
                <w:tab w:val="right" w:pos="9460"/>
                <w:tab w:val="right" w:pos="10080"/>
              </w:tabs>
              <w:ind w:left="567" w:right="-54"/>
              <w:jc w:val="both"/>
              <w:rPr>
                <w:bCs w:val="0"/>
                <w:i/>
                <w:sz w:val="18"/>
                <w:szCs w:val="18"/>
              </w:rPr>
            </w:pPr>
            <w:r w:rsidRPr="0076606E">
              <w:rPr>
                <w:bCs w:val="0"/>
                <w:i/>
                <w:sz w:val="18"/>
                <w:szCs w:val="18"/>
              </w:rPr>
              <w:t>The disclosure requirements for entity with joint control of</w:t>
            </w:r>
            <w:r w:rsidR="00870FD0">
              <w:rPr>
                <w:bCs w:val="0"/>
                <w:i/>
                <w:sz w:val="18"/>
                <w:szCs w:val="18"/>
              </w:rPr>
              <w:t>.</w:t>
            </w:r>
            <w:r w:rsidRPr="0076606E">
              <w:rPr>
                <w:bCs w:val="0"/>
                <w:i/>
                <w:sz w:val="18"/>
                <w:szCs w:val="18"/>
              </w:rPr>
              <w:t xml:space="preserve"> </w:t>
            </w:r>
            <w:proofErr w:type="gramStart"/>
            <w:r w:rsidRPr="0076606E">
              <w:rPr>
                <w:bCs w:val="0"/>
                <w:i/>
                <w:sz w:val="18"/>
                <w:szCs w:val="18"/>
              </w:rPr>
              <w:t>or</w:t>
            </w:r>
            <w:proofErr w:type="gramEnd"/>
            <w:r w:rsidRPr="0076606E">
              <w:rPr>
                <w:bCs w:val="0"/>
                <w:i/>
                <w:sz w:val="18"/>
                <w:szCs w:val="18"/>
              </w:rPr>
              <w:t xml:space="preserve"> significant influence over</w:t>
            </w:r>
            <w:r w:rsidR="00870FD0">
              <w:rPr>
                <w:bCs w:val="0"/>
                <w:i/>
                <w:sz w:val="18"/>
                <w:szCs w:val="18"/>
              </w:rPr>
              <w:t>.</w:t>
            </w:r>
            <w:r w:rsidRPr="0076606E">
              <w:rPr>
                <w:bCs w:val="0"/>
                <w:i/>
                <w:sz w:val="18"/>
                <w:szCs w:val="18"/>
              </w:rPr>
              <w:t xml:space="preserve"> an </w:t>
            </w:r>
            <w:r w:rsidR="00816ED4" w:rsidRPr="0076606E">
              <w:rPr>
                <w:bCs w:val="0"/>
                <w:i/>
                <w:sz w:val="18"/>
                <w:szCs w:val="18"/>
              </w:rPr>
              <w:t>investee</w:t>
            </w:r>
            <w:r w:rsidRPr="0076606E">
              <w:rPr>
                <w:bCs w:val="0"/>
                <w:i/>
                <w:sz w:val="18"/>
                <w:szCs w:val="18"/>
              </w:rPr>
              <w:t xml:space="preserve"> are specified in PSAK No. 67</w:t>
            </w:r>
            <w:r w:rsidR="00911A8A">
              <w:rPr>
                <w:bCs w:val="0"/>
                <w:i/>
                <w:sz w:val="18"/>
                <w:szCs w:val="18"/>
              </w:rPr>
              <w:t>,</w:t>
            </w:r>
            <w:r w:rsidRPr="0076606E">
              <w:rPr>
                <w:bCs w:val="0"/>
                <w:i/>
                <w:sz w:val="18"/>
                <w:szCs w:val="18"/>
              </w:rPr>
              <w:t>” Disclosure of Interest in Other Entities”.</w:t>
            </w:r>
          </w:p>
        </w:tc>
      </w:tr>
      <w:tr w:rsidR="002C2CF0" w:rsidRPr="0076606E" w14:paraId="4D8C4458" w14:textId="77777777" w:rsidTr="00CC2E72">
        <w:tc>
          <w:tcPr>
            <w:tcW w:w="4564" w:type="dxa"/>
          </w:tcPr>
          <w:p w14:paraId="2F601D61" w14:textId="77777777" w:rsidR="002C2CF0" w:rsidRPr="0076606E" w:rsidRDefault="002C2CF0" w:rsidP="0013526B">
            <w:pPr>
              <w:jc w:val="both"/>
              <w:rPr>
                <w:rStyle w:val="hps"/>
                <w:sz w:val="14"/>
                <w:szCs w:val="14"/>
              </w:rPr>
            </w:pPr>
          </w:p>
        </w:tc>
        <w:tc>
          <w:tcPr>
            <w:tcW w:w="4599" w:type="dxa"/>
          </w:tcPr>
          <w:p w14:paraId="1553DE85" w14:textId="77777777" w:rsidR="002C2CF0" w:rsidRPr="0076606E" w:rsidRDefault="002C2CF0" w:rsidP="0013526B">
            <w:pPr>
              <w:ind w:left="426"/>
              <w:jc w:val="center"/>
              <w:rPr>
                <w:bCs w:val="0"/>
                <w:i/>
                <w:sz w:val="14"/>
                <w:szCs w:val="14"/>
              </w:rPr>
            </w:pPr>
          </w:p>
        </w:tc>
      </w:tr>
      <w:tr w:rsidR="002C2CF0" w:rsidRPr="0076606E" w14:paraId="0A9BD13E" w14:textId="77777777" w:rsidTr="00CC2E72">
        <w:tc>
          <w:tcPr>
            <w:tcW w:w="4564" w:type="dxa"/>
          </w:tcPr>
          <w:p w14:paraId="1926CE5F" w14:textId="77777777" w:rsidR="002C2CF0" w:rsidRPr="0076606E" w:rsidRDefault="002C2CF0" w:rsidP="00070D1F">
            <w:pPr>
              <w:numPr>
                <w:ilvl w:val="0"/>
                <w:numId w:val="76"/>
              </w:numPr>
              <w:ind w:left="568" w:hanging="284"/>
              <w:jc w:val="both"/>
              <w:rPr>
                <w:rStyle w:val="hps"/>
                <w:b/>
                <w:sz w:val="18"/>
                <w:szCs w:val="18"/>
              </w:rPr>
            </w:pPr>
            <w:r w:rsidRPr="0076606E">
              <w:rPr>
                <w:rStyle w:val="hps"/>
                <w:b/>
                <w:sz w:val="18"/>
                <w:szCs w:val="18"/>
              </w:rPr>
              <w:t xml:space="preserve">Transaksi dan </w:t>
            </w:r>
            <w:r w:rsidRPr="0076606E">
              <w:rPr>
                <w:b/>
                <w:sz w:val="18"/>
                <w:szCs w:val="18"/>
              </w:rPr>
              <w:t>Saldo</w:t>
            </w:r>
            <w:r w:rsidRPr="0076606E">
              <w:rPr>
                <w:rStyle w:val="hps"/>
                <w:b/>
                <w:sz w:val="18"/>
                <w:szCs w:val="18"/>
              </w:rPr>
              <w:t xml:space="preserve"> dengan Pihak Berelasi </w:t>
            </w:r>
          </w:p>
        </w:tc>
        <w:tc>
          <w:tcPr>
            <w:tcW w:w="4599" w:type="dxa"/>
          </w:tcPr>
          <w:p w14:paraId="00C7C34B" w14:textId="77777777" w:rsidR="002C2CF0" w:rsidRPr="0076606E" w:rsidRDefault="002C2CF0" w:rsidP="00070D1F">
            <w:pPr>
              <w:numPr>
                <w:ilvl w:val="0"/>
                <w:numId w:val="77"/>
              </w:numPr>
              <w:ind w:left="568" w:hanging="284"/>
              <w:jc w:val="both"/>
              <w:rPr>
                <w:b/>
                <w:bCs w:val="0"/>
                <w:i/>
                <w:sz w:val="18"/>
                <w:szCs w:val="18"/>
              </w:rPr>
            </w:pPr>
            <w:r w:rsidRPr="0076606E">
              <w:rPr>
                <w:b/>
                <w:bCs w:val="0"/>
                <w:i/>
                <w:sz w:val="18"/>
                <w:szCs w:val="18"/>
              </w:rPr>
              <w:t>Related Parties Transactions and Balances</w:t>
            </w:r>
          </w:p>
        </w:tc>
      </w:tr>
      <w:tr w:rsidR="002C2CF0" w:rsidRPr="0076606E" w14:paraId="2D50B01D" w14:textId="77777777" w:rsidTr="00CC2E72">
        <w:tc>
          <w:tcPr>
            <w:tcW w:w="4564" w:type="dxa"/>
          </w:tcPr>
          <w:p w14:paraId="16B6E575" w14:textId="77777777" w:rsidR="002C2CF0" w:rsidRPr="0076606E" w:rsidRDefault="002C2CF0" w:rsidP="0013526B">
            <w:pPr>
              <w:jc w:val="both"/>
              <w:rPr>
                <w:rStyle w:val="hps"/>
                <w:sz w:val="14"/>
                <w:szCs w:val="14"/>
              </w:rPr>
            </w:pPr>
          </w:p>
        </w:tc>
        <w:tc>
          <w:tcPr>
            <w:tcW w:w="4599" w:type="dxa"/>
          </w:tcPr>
          <w:p w14:paraId="018D85BF" w14:textId="77777777" w:rsidR="002C2CF0" w:rsidRPr="0076606E" w:rsidRDefault="002C2CF0" w:rsidP="0013526B">
            <w:pPr>
              <w:ind w:left="426"/>
              <w:jc w:val="center"/>
              <w:rPr>
                <w:bCs w:val="0"/>
                <w:i/>
                <w:sz w:val="14"/>
                <w:szCs w:val="14"/>
              </w:rPr>
            </w:pPr>
          </w:p>
        </w:tc>
      </w:tr>
      <w:tr w:rsidR="002C2CF0" w:rsidRPr="0076606E" w14:paraId="00E28C39" w14:textId="77777777" w:rsidTr="00CC2E72">
        <w:tc>
          <w:tcPr>
            <w:tcW w:w="4564" w:type="dxa"/>
          </w:tcPr>
          <w:p w14:paraId="0B8121D1" w14:textId="17D909DF" w:rsidR="002C2CF0" w:rsidRPr="0076606E" w:rsidRDefault="002C2CF0" w:rsidP="0013526B">
            <w:pPr>
              <w:ind w:left="567" w:right="-57"/>
              <w:jc w:val="both"/>
              <w:rPr>
                <w:rStyle w:val="hps"/>
                <w:sz w:val="18"/>
                <w:szCs w:val="18"/>
              </w:rPr>
            </w:pPr>
            <w:r w:rsidRPr="0076606E">
              <w:rPr>
                <w:bCs w:val="0"/>
                <w:sz w:val="18"/>
                <w:szCs w:val="18"/>
              </w:rPr>
              <w:t>Kelompok Usaha melakukan transaksi dengan pihak-pihak berelasi sebagaimana didefinisikan dalam</w:t>
            </w:r>
            <w:r w:rsidRPr="0076606E">
              <w:rPr>
                <w:bCs w:val="0"/>
                <w:sz w:val="18"/>
                <w:szCs w:val="18"/>
                <w:lang w:val="id-ID"/>
              </w:rPr>
              <w:br/>
            </w:r>
            <w:r w:rsidRPr="0076606E">
              <w:rPr>
                <w:bCs w:val="0"/>
                <w:sz w:val="18"/>
                <w:szCs w:val="18"/>
              </w:rPr>
              <w:t>PSAK No. 7 (Revisi 2010)</w:t>
            </w:r>
            <w:r w:rsidR="00911A8A">
              <w:rPr>
                <w:bCs w:val="0"/>
                <w:sz w:val="18"/>
                <w:szCs w:val="18"/>
              </w:rPr>
              <w:t>,</w:t>
            </w:r>
            <w:r w:rsidRPr="0076606E">
              <w:rPr>
                <w:bCs w:val="0"/>
                <w:sz w:val="18"/>
                <w:szCs w:val="18"/>
              </w:rPr>
              <w:t xml:space="preserve"> “Pengungkapan Pihak-pihak Berelasi” dan PSAK No. 7 (Penyesuaian 2015)</w:t>
            </w:r>
            <w:r w:rsidR="00911A8A">
              <w:rPr>
                <w:bCs w:val="0"/>
                <w:sz w:val="18"/>
                <w:szCs w:val="18"/>
              </w:rPr>
              <w:t>,</w:t>
            </w:r>
            <w:r w:rsidRPr="0076606E">
              <w:rPr>
                <w:bCs w:val="0"/>
                <w:sz w:val="18"/>
                <w:szCs w:val="18"/>
              </w:rPr>
              <w:t xml:space="preserve"> “Pengungkapan Pihak-pihak Berelasi”.</w:t>
            </w:r>
          </w:p>
        </w:tc>
        <w:tc>
          <w:tcPr>
            <w:tcW w:w="4599" w:type="dxa"/>
          </w:tcPr>
          <w:p w14:paraId="73FB0B04" w14:textId="1780E444" w:rsidR="002C2CF0" w:rsidRPr="0076606E" w:rsidRDefault="002C2CF0" w:rsidP="00911A8A">
            <w:pPr>
              <w:tabs>
                <w:tab w:val="left" w:pos="5590"/>
                <w:tab w:val="right" w:pos="7620"/>
                <w:tab w:val="right" w:pos="9460"/>
                <w:tab w:val="right" w:pos="10080"/>
              </w:tabs>
              <w:ind w:left="567" w:right="-57"/>
              <w:jc w:val="both"/>
              <w:rPr>
                <w:bCs w:val="0"/>
                <w:i/>
                <w:sz w:val="18"/>
                <w:szCs w:val="18"/>
              </w:rPr>
            </w:pPr>
            <w:r w:rsidRPr="0076606E">
              <w:rPr>
                <w:bCs w:val="0"/>
                <w:i/>
                <w:sz w:val="18"/>
                <w:szCs w:val="18"/>
              </w:rPr>
              <w:t>The Group deals transactions with related parties as defined in PSAK No. 7 (Revised 2010)</w:t>
            </w:r>
            <w:r w:rsidR="00911A8A">
              <w:rPr>
                <w:bCs w:val="0"/>
                <w:i/>
                <w:sz w:val="18"/>
                <w:szCs w:val="18"/>
              </w:rPr>
              <w:t>,</w:t>
            </w:r>
            <w:r w:rsidRPr="0076606E">
              <w:rPr>
                <w:bCs w:val="0"/>
                <w:i/>
                <w:sz w:val="18"/>
                <w:szCs w:val="18"/>
              </w:rPr>
              <w:t xml:space="preserve"> “Related Party Disclosures” and PSAK No. 7 (Improvement 2015)</w:t>
            </w:r>
            <w:r w:rsidR="00911A8A">
              <w:rPr>
                <w:bCs w:val="0"/>
                <w:i/>
                <w:sz w:val="18"/>
                <w:szCs w:val="18"/>
              </w:rPr>
              <w:t>,</w:t>
            </w:r>
            <w:r w:rsidRPr="0076606E">
              <w:rPr>
                <w:bCs w:val="0"/>
                <w:i/>
                <w:sz w:val="18"/>
                <w:szCs w:val="18"/>
              </w:rPr>
              <w:t xml:space="preserve"> “Related Party Disclosures”.</w:t>
            </w:r>
          </w:p>
        </w:tc>
      </w:tr>
      <w:tr w:rsidR="002C2CF0" w:rsidRPr="0076606E" w14:paraId="5F1FEA9D" w14:textId="77777777" w:rsidTr="00CC2E72">
        <w:tc>
          <w:tcPr>
            <w:tcW w:w="4564" w:type="dxa"/>
          </w:tcPr>
          <w:p w14:paraId="0E2A0C40" w14:textId="77777777" w:rsidR="002C2CF0" w:rsidRPr="0076606E" w:rsidRDefault="002C2CF0" w:rsidP="0013526B">
            <w:pPr>
              <w:ind w:left="601"/>
              <w:jc w:val="both"/>
              <w:rPr>
                <w:rStyle w:val="hps"/>
                <w:sz w:val="14"/>
                <w:szCs w:val="14"/>
              </w:rPr>
            </w:pPr>
          </w:p>
        </w:tc>
        <w:tc>
          <w:tcPr>
            <w:tcW w:w="4599" w:type="dxa"/>
          </w:tcPr>
          <w:p w14:paraId="7E24A6CC" w14:textId="77777777" w:rsidR="002C2CF0" w:rsidRPr="0076606E" w:rsidRDefault="002C2CF0" w:rsidP="0013526B">
            <w:pPr>
              <w:ind w:left="572"/>
              <w:jc w:val="both"/>
              <w:rPr>
                <w:bCs w:val="0"/>
                <w:i/>
                <w:sz w:val="14"/>
                <w:szCs w:val="14"/>
              </w:rPr>
            </w:pPr>
          </w:p>
        </w:tc>
      </w:tr>
      <w:tr w:rsidR="002C2CF0" w:rsidRPr="004D2565" w14:paraId="65E1CFE1" w14:textId="77777777" w:rsidTr="00CC2E72">
        <w:tc>
          <w:tcPr>
            <w:tcW w:w="4564" w:type="dxa"/>
          </w:tcPr>
          <w:p w14:paraId="66786D10" w14:textId="1388E031" w:rsidR="002C2CF0" w:rsidRPr="0076606E" w:rsidRDefault="002C2CF0" w:rsidP="00911A8A">
            <w:pPr>
              <w:ind w:left="567" w:right="-57"/>
              <w:jc w:val="both"/>
              <w:rPr>
                <w:rStyle w:val="hps"/>
                <w:sz w:val="18"/>
                <w:szCs w:val="18"/>
              </w:rPr>
            </w:pPr>
            <w:r w:rsidRPr="0076606E">
              <w:rPr>
                <w:bCs w:val="0"/>
                <w:sz w:val="18"/>
                <w:szCs w:val="18"/>
              </w:rPr>
              <w:t>PSAK ini mensyaratkan pengungkapan hubungan</w:t>
            </w:r>
            <w:r w:rsidR="00911A8A">
              <w:rPr>
                <w:bCs w:val="0"/>
                <w:sz w:val="18"/>
                <w:szCs w:val="18"/>
              </w:rPr>
              <w:t>,</w:t>
            </w:r>
            <w:r w:rsidRPr="0076606E">
              <w:rPr>
                <w:bCs w:val="0"/>
                <w:sz w:val="18"/>
                <w:szCs w:val="18"/>
              </w:rPr>
              <w:t xml:space="preserve"> transaksi dan saldo pihak-pihak berelasi</w:t>
            </w:r>
            <w:r w:rsidR="00911A8A">
              <w:rPr>
                <w:bCs w:val="0"/>
                <w:sz w:val="18"/>
                <w:szCs w:val="18"/>
              </w:rPr>
              <w:t>,</w:t>
            </w:r>
            <w:r w:rsidRPr="0076606E">
              <w:rPr>
                <w:bCs w:val="0"/>
                <w:sz w:val="18"/>
                <w:szCs w:val="18"/>
              </w:rPr>
              <w:t xml:space="preserve"> termasuk komitmen dalam laporan keuangan konsolidasian dan laporan keuangan tersendiri entitas induk dan juga diterapkan terhadap laporan keuangan secara individual</w:t>
            </w:r>
          </w:p>
        </w:tc>
        <w:tc>
          <w:tcPr>
            <w:tcW w:w="4599" w:type="dxa"/>
          </w:tcPr>
          <w:p w14:paraId="34FCEB76" w14:textId="4797E29C" w:rsidR="002C2CF0" w:rsidRPr="0076606E" w:rsidRDefault="002C2CF0" w:rsidP="00911A8A">
            <w:pPr>
              <w:tabs>
                <w:tab w:val="left" w:pos="5590"/>
                <w:tab w:val="right" w:pos="7620"/>
                <w:tab w:val="right" w:pos="9460"/>
                <w:tab w:val="right" w:pos="10080"/>
              </w:tabs>
              <w:ind w:left="567" w:right="-57"/>
              <w:jc w:val="both"/>
              <w:rPr>
                <w:bCs w:val="0"/>
                <w:i/>
                <w:sz w:val="18"/>
                <w:szCs w:val="18"/>
              </w:rPr>
            </w:pPr>
            <w:r w:rsidRPr="0076606E">
              <w:rPr>
                <w:bCs w:val="0"/>
                <w:i/>
                <w:sz w:val="18"/>
                <w:szCs w:val="18"/>
              </w:rPr>
              <w:t>This PSAK requires disclosure of relationships</w:t>
            </w:r>
            <w:r w:rsidR="00911A8A">
              <w:rPr>
                <w:bCs w:val="0"/>
                <w:i/>
                <w:sz w:val="18"/>
                <w:szCs w:val="18"/>
              </w:rPr>
              <w:t>,</w:t>
            </w:r>
            <w:r w:rsidRPr="0076606E">
              <w:rPr>
                <w:bCs w:val="0"/>
                <w:i/>
                <w:sz w:val="18"/>
                <w:szCs w:val="18"/>
              </w:rPr>
              <w:t xml:space="preserve"> transactions and balances related parties</w:t>
            </w:r>
            <w:r w:rsidR="00911A8A">
              <w:rPr>
                <w:bCs w:val="0"/>
                <w:i/>
                <w:sz w:val="18"/>
                <w:szCs w:val="18"/>
              </w:rPr>
              <w:t>,</w:t>
            </w:r>
            <w:r w:rsidRPr="0076606E">
              <w:rPr>
                <w:bCs w:val="0"/>
                <w:i/>
                <w:sz w:val="18"/>
                <w:szCs w:val="18"/>
              </w:rPr>
              <w:t xml:space="preserve"> including commitments in the consolidated financial statements and separate financial statements of the parent entity also applies to individual financial statements.</w:t>
            </w:r>
          </w:p>
        </w:tc>
      </w:tr>
      <w:tr w:rsidR="002C2CF0" w:rsidRPr="004D2565" w14:paraId="2DFF89A8" w14:textId="77777777" w:rsidTr="00CC2E72">
        <w:tc>
          <w:tcPr>
            <w:tcW w:w="4564" w:type="dxa"/>
          </w:tcPr>
          <w:p w14:paraId="22F0C58E" w14:textId="77777777" w:rsidR="002C2CF0" w:rsidRPr="004D2565" w:rsidRDefault="002C2CF0" w:rsidP="0013526B">
            <w:pPr>
              <w:ind w:left="601"/>
              <w:jc w:val="both"/>
              <w:rPr>
                <w:bCs w:val="0"/>
                <w:sz w:val="14"/>
                <w:szCs w:val="14"/>
                <w:highlight w:val="cyan"/>
              </w:rPr>
            </w:pPr>
          </w:p>
        </w:tc>
        <w:tc>
          <w:tcPr>
            <w:tcW w:w="4599" w:type="dxa"/>
          </w:tcPr>
          <w:p w14:paraId="09D791C3" w14:textId="77777777" w:rsidR="002C2CF0" w:rsidRPr="004D2565" w:rsidRDefault="002C2CF0" w:rsidP="0013526B">
            <w:pPr>
              <w:ind w:left="572"/>
              <w:jc w:val="both"/>
              <w:rPr>
                <w:bCs w:val="0"/>
                <w:i/>
                <w:sz w:val="14"/>
                <w:szCs w:val="14"/>
                <w:highlight w:val="cyan"/>
              </w:rPr>
            </w:pPr>
          </w:p>
        </w:tc>
      </w:tr>
      <w:tr w:rsidR="002C2CF0" w:rsidRPr="0076606E" w14:paraId="646807CD" w14:textId="77777777" w:rsidTr="00CC2E72">
        <w:tc>
          <w:tcPr>
            <w:tcW w:w="4564" w:type="dxa"/>
          </w:tcPr>
          <w:p w14:paraId="3F50C521" w14:textId="76909D00" w:rsidR="002C2CF0" w:rsidRPr="0076606E" w:rsidRDefault="002C2CF0" w:rsidP="00911A8A">
            <w:pPr>
              <w:ind w:left="567" w:right="-57"/>
              <w:jc w:val="both"/>
              <w:rPr>
                <w:bCs w:val="0"/>
                <w:sz w:val="18"/>
                <w:szCs w:val="18"/>
              </w:rPr>
            </w:pPr>
            <w:r w:rsidRPr="0076606E">
              <w:rPr>
                <w:bCs w:val="0"/>
                <w:sz w:val="18"/>
                <w:szCs w:val="18"/>
              </w:rPr>
              <w:t>PSAK ini juga memberikan pengecualian dari persyaratan umum pengungkapan pihak berelasi atas transaksi dengan pemerintah dan entitas yang dikendalikan</w:t>
            </w:r>
            <w:r w:rsidR="00911A8A">
              <w:rPr>
                <w:bCs w:val="0"/>
                <w:sz w:val="18"/>
                <w:szCs w:val="18"/>
              </w:rPr>
              <w:t>,</w:t>
            </w:r>
            <w:r w:rsidRPr="0076606E">
              <w:rPr>
                <w:bCs w:val="0"/>
                <w:sz w:val="18"/>
                <w:szCs w:val="18"/>
              </w:rPr>
              <w:t xml:space="preserve"> dikendalikan bersama</w:t>
            </w:r>
            <w:r w:rsidR="00911A8A">
              <w:rPr>
                <w:bCs w:val="0"/>
                <w:sz w:val="18"/>
                <w:szCs w:val="18"/>
              </w:rPr>
              <w:t>,</w:t>
            </w:r>
            <w:r w:rsidRPr="0076606E">
              <w:rPr>
                <w:bCs w:val="0"/>
                <w:sz w:val="18"/>
                <w:szCs w:val="18"/>
              </w:rPr>
              <w:t xml:space="preserve"> atau dipengaruhi secara signifikan oleh Pemerintah (entitas berelasi dengan Pemerintah).</w:t>
            </w:r>
          </w:p>
        </w:tc>
        <w:tc>
          <w:tcPr>
            <w:tcW w:w="4599" w:type="dxa"/>
          </w:tcPr>
          <w:p w14:paraId="18A74753" w14:textId="451B6962" w:rsidR="002C2CF0" w:rsidRPr="0076606E" w:rsidRDefault="002C2CF0" w:rsidP="00911A8A">
            <w:pPr>
              <w:tabs>
                <w:tab w:val="left" w:pos="5590"/>
                <w:tab w:val="right" w:pos="7620"/>
                <w:tab w:val="right" w:pos="9460"/>
                <w:tab w:val="right" w:pos="10080"/>
              </w:tabs>
              <w:ind w:left="567" w:right="-57"/>
              <w:jc w:val="both"/>
              <w:rPr>
                <w:bCs w:val="0"/>
                <w:i/>
                <w:sz w:val="18"/>
                <w:szCs w:val="18"/>
              </w:rPr>
            </w:pPr>
            <w:r w:rsidRPr="0076606E">
              <w:rPr>
                <w:bCs w:val="0"/>
                <w:i/>
                <w:sz w:val="18"/>
                <w:szCs w:val="18"/>
              </w:rPr>
              <w:t>This PSAK also introduces an exemption from the general related party disclosure requirements for transactions with government and entities that are controlled</w:t>
            </w:r>
            <w:r w:rsidR="00911A8A">
              <w:rPr>
                <w:bCs w:val="0"/>
                <w:i/>
                <w:sz w:val="18"/>
                <w:szCs w:val="18"/>
              </w:rPr>
              <w:t>,</w:t>
            </w:r>
            <w:r w:rsidRPr="0076606E">
              <w:rPr>
                <w:bCs w:val="0"/>
                <w:i/>
                <w:sz w:val="18"/>
                <w:szCs w:val="18"/>
              </w:rPr>
              <w:t xml:space="preserve"> jointly controlled or significantly influenced by the same Government as the reporting entity (Government related entities).</w:t>
            </w:r>
          </w:p>
        </w:tc>
      </w:tr>
      <w:tr w:rsidR="002C2CF0" w:rsidRPr="0076606E" w14:paraId="0D7EF0E1" w14:textId="77777777" w:rsidTr="00CC2E72">
        <w:tc>
          <w:tcPr>
            <w:tcW w:w="4564" w:type="dxa"/>
          </w:tcPr>
          <w:p w14:paraId="06003CB6" w14:textId="77777777" w:rsidR="002C2CF0" w:rsidRPr="0076606E" w:rsidRDefault="002C2CF0" w:rsidP="0013526B">
            <w:pPr>
              <w:ind w:left="522" w:right="-57"/>
              <w:jc w:val="both"/>
              <w:rPr>
                <w:bCs w:val="0"/>
                <w:sz w:val="14"/>
                <w:szCs w:val="14"/>
              </w:rPr>
            </w:pPr>
          </w:p>
        </w:tc>
        <w:tc>
          <w:tcPr>
            <w:tcW w:w="4599" w:type="dxa"/>
          </w:tcPr>
          <w:p w14:paraId="5225C18C" w14:textId="77777777" w:rsidR="002C2CF0" w:rsidRPr="0076606E" w:rsidRDefault="002C2CF0" w:rsidP="0013526B">
            <w:pPr>
              <w:tabs>
                <w:tab w:val="left" w:pos="5590"/>
                <w:tab w:val="right" w:pos="7620"/>
                <w:tab w:val="right" w:pos="9460"/>
                <w:tab w:val="right" w:pos="10080"/>
              </w:tabs>
              <w:ind w:left="651" w:right="-57"/>
              <w:jc w:val="both"/>
              <w:rPr>
                <w:bCs w:val="0"/>
                <w:i/>
                <w:sz w:val="14"/>
                <w:szCs w:val="14"/>
              </w:rPr>
            </w:pPr>
          </w:p>
        </w:tc>
      </w:tr>
      <w:tr w:rsidR="002C2CF0" w:rsidRPr="0076606E" w14:paraId="3CBD59DE" w14:textId="77777777" w:rsidTr="00CC2E72">
        <w:tc>
          <w:tcPr>
            <w:tcW w:w="4564" w:type="dxa"/>
          </w:tcPr>
          <w:p w14:paraId="59EB931F" w14:textId="77777777" w:rsidR="002C2CF0" w:rsidRPr="0076606E" w:rsidRDefault="002C2CF0" w:rsidP="0013526B">
            <w:pPr>
              <w:tabs>
                <w:tab w:val="left" w:pos="5590"/>
                <w:tab w:val="right" w:pos="7620"/>
                <w:tab w:val="right" w:pos="9460"/>
                <w:tab w:val="right" w:pos="10080"/>
              </w:tabs>
              <w:ind w:left="567" w:right="-57"/>
              <w:jc w:val="both"/>
              <w:rPr>
                <w:bCs w:val="0"/>
                <w:sz w:val="18"/>
                <w:szCs w:val="18"/>
              </w:rPr>
            </w:pPr>
            <w:r w:rsidRPr="0076606E">
              <w:rPr>
                <w:bCs w:val="0"/>
                <w:sz w:val="18"/>
                <w:szCs w:val="18"/>
              </w:rPr>
              <w:t>Pihak berelasi adalah orang atau entitas yang terkait dengan entitas yang menyiapkan laporan keuangannya (entitas pelapor).</w:t>
            </w:r>
          </w:p>
        </w:tc>
        <w:tc>
          <w:tcPr>
            <w:tcW w:w="4599" w:type="dxa"/>
          </w:tcPr>
          <w:p w14:paraId="3D77EC9F" w14:textId="77777777" w:rsidR="002C2CF0" w:rsidRPr="0076606E" w:rsidRDefault="002C2CF0" w:rsidP="0013526B">
            <w:pPr>
              <w:tabs>
                <w:tab w:val="left" w:pos="5590"/>
                <w:tab w:val="right" w:pos="7620"/>
                <w:tab w:val="right" w:pos="9460"/>
                <w:tab w:val="right" w:pos="10080"/>
              </w:tabs>
              <w:ind w:left="567" w:right="-57"/>
              <w:jc w:val="both"/>
              <w:rPr>
                <w:bCs w:val="0"/>
                <w:i/>
                <w:sz w:val="18"/>
                <w:szCs w:val="18"/>
              </w:rPr>
            </w:pPr>
            <w:r w:rsidRPr="0076606E">
              <w:rPr>
                <w:bCs w:val="0"/>
                <w:i/>
                <w:sz w:val="18"/>
                <w:szCs w:val="18"/>
              </w:rPr>
              <w:t>Related party is a person or an entity related to the entity who prepares financial statements (the reporting entity).</w:t>
            </w:r>
          </w:p>
        </w:tc>
      </w:tr>
      <w:tr w:rsidR="002C2CF0" w:rsidRPr="0076606E" w14:paraId="0DB4D108" w14:textId="77777777" w:rsidTr="00CC2E72">
        <w:tc>
          <w:tcPr>
            <w:tcW w:w="4564" w:type="dxa"/>
          </w:tcPr>
          <w:p w14:paraId="472D65C7" w14:textId="77777777" w:rsidR="002C2CF0" w:rsidRPr="0076606E" w:rsidRDefault="002C2CF0" w:rsidP="0013526B">
            <w:pPr>
              <w:ind w:left="567"/>
              <w:jc w:val="both"/>
              <w:rPr>
                <w:bCs w:val="0"/>
                <w:sz w:val="18"/>
                <w:szCs w:val="18"/>
              </w:rPr>
            </w:pPr>
          </w:p>
        </w:tc>
        <w:tc>
          <w:tcPr>
            <w:tcW w:w="4599" w:type="dxa"/>
          </w:tcPr>
          <w:p w14:paraId="33A64BC0" w14:textId="77777777" w:rsidR="002C2CF0" w:rsidRPr="0076606E" w:rsidRDefault="002C2CF0" w:rsidP="0013526B">
            <w:pPr>
              <w:tabs>
                <w:tab w:val="left" w:pos="5590"/>
                <w:tab w:val="right" w:pos="7620"/>
                <w:tab w:val="right" w:pos="9460"/>
                <w:tab w:val="right" w:pos="10080"/>
              </w:tabs>
              <w:ind w:left="567"/>
              <w:jc w:val="both"/>
              <w:rPr>
                <w:bCs w:val="0"/>
                <w:i/>
                <w:sz w:val="18"/>
                <w:szCs w:val="18"/>
              </w:rPr>
            </w:pPr>
          </w:p>
        </w:tc>
      </w:tr>
      <w:tr w:rsidR="002C2CF0" w:rsidRPr="004D2565" w14:paraId="5F9105BF" w14:textId="77777777" w:rsidTr="00CC2E72">
        <w:tc>
          <w:tcPr>
            <w:tcW w:w="4564" w:type="dxa"/>
          </w:tcPr>
          <w:p w14:paraId="6CC3CFEF" w14:textId="77777777" w:rsidR="002C2CF0" w:rsidRPr="0076606E" w:rsidRDefault="002C2CF0" w:rsidP="0013526B">
            <w:pPr>
              <w:widowControl w:val="0"/>
              <w:autoSpaceDE w:val="0"/>
              <w:autoSpaceDN w:val="0"/>
              <w:adjustRightInd w:val="0"/>
              <w:spacing w:before="5"/>
              <w:ind w:left="567" w:right="-57"/>
              <w:jc w:val="both"/>
              <w:rPr>
                <w:sz w:val="18"/>
                <w:szCs w:val="18"/>
              </w:rPr>
            </w:pPr>
            <w:r w:rsidRPr="0076606E">
              <w:rPr>
                <w:spacing w:val="-1"/>
                <w:sz w:val="18"/>
                <w:szCs w:val="18"/>
              </w:rPr>
              <w:t>Pi</w:t>
            </w:r>
            <w:r w:rsidRPr="0076606E">
              <w:rPr>
                <w:spacing w:val="2"/>
                <w:sz w:val="18"/>
                <w:szCs w:val="18"/>
              </w:rPr>
              <w:t>h</w:t>
            </w:r>
            <w:r w:rsidRPr="0076606E">
              <w:rPr>
                <w:sz w:val="18"/>
                <w:szCs w:val="18"/>
              </w:rPr>
              <w:t>ak</w:t>
            </w:r>
            <w:r w:rsidRPr="0076606E">
              <w:rPr>
                <w:spacing w:val="22"/>
                <w:sz w:val="18"/>
                <w:szCs w:val="18"/>
              </w:rPr>
              <w:t xml:space="preserve"> </w:t>
            </w:r>
            <w:r w:rsidRPr="0076606E">
              <w:rPr>
                <w:sz w:val="18"/>
                <w:szCs w:val="18"/>
              </w:rPr>
              <w:t>b</w:t>
            </w:r>
            <w:r w:rsidRPr="0076606E">
              <w:rPr>
                <w:spacing w:val="-1"/>
                <w:sz w:val="18"/>
                <w:szCs w:val="18"/>
              </w:rPr>
              <w:t>e</w:t>
            </w:r>
            <w:r w:rsidRPr="0076606E">
              <w:rPr>
                <w:spacing w:val="1"/>
                <w:sz w:val="18"/>
                <w:szCs w:val="18"/>
              </w:rPr>
              <w:t>r</w:t>
            </w:r>
            <w:r w:rsidRPr="0076606E">
              <w:rPr>
                <w:sz w:val="18"/>
                <w:szCs w:val="18"/>
              </w:rPr>
              <w:t>e</w:t>
            </w:r>
            <w:r w:rsidRPr="0076606E">
              <w:rPr>
                <w:spacing w:val="-1"/>
                <w:sz w:val="18"/>
                <w:szCs w:val="18"/>
              </w:rPr>
              <w:t>l</w:t>
            </w:r>
            <w:r w:rsidRPr="0076606E">
              <w:rPr>
                <w:sz w:val="18"/>
                <w:szCs w:val="18"/>
              </w:rPr>
              <w:t>a</w:t>
            </w:r>
            <w:r w:rsidRPr="0076606E">
              <w:rPr>
                <w:spacing w:val="1"/>
                <w:sz w:val="18"/>
                <w:szCs w:val="18"/>
              </w:rPr>
              <w:t>s</w:t>
            </w:r>
            <w:r w:rsidRPr="0076606E">
              <w:rPr>
                <w:sz w:val="18"/>
                <w:szCs w:val="18"/>
              </w:rPr>
              <w:t>i</w:t>
            </w:r>
            <w:r w:rsidRPr="0076606E">
              <w:rPr>
                <w:spacing w:val="16"/>
                <w:sz w:val="18"/>
                <w:szCs w:val="18"/>
              </w:rPr>
              <w:t xml:space="preserve"> </w:t>
            </w:r>
            <w:r w:rsidRPr="0076606E">
              <w:rPr>
                <w:sz w:val="18"/>
                <w:szCs w:val="18"/>
              </w:rPr>
              <w:t>a</w:t>
            </w:r>
            <w:r w:rsidRPr="0076606E">
              <w:rPr>
                <w:spacing w:val="1"/>
                <w:sz w:val="18"/>
                <w:szCs w:val="18"/>
              </w:rPr>
              <w:t>d</w:t>
            </w:r>
            <w:r w:rsidRPr="0076606E">
              <w:rPr>
                <w:sz w:val="18"/>
                <w:szCs w:val="18"/>
              </w:rPr>
              <w:t>a</w:t>
            </w:r>
            <w:r w:rsidRPr="0076606E">
              <w:rPr>
                <w:spacing w:val="-1"/>
                <w:sz w:val="18"/>
                <w:szCs w:val="18"/>
              </w:rPr>
              <w:t>l</w:t>
            </w:r>
            <w:r w:rsidRPr="0076606E">
              <w:rPr>
                <w:spacing w:val="2"/>
                <w:sz w:val="18"/>
                <w:szCs w:val="18"/>
              </w:rPr>
              <w:t>a</w:t>
            </w:r>
            <w:r w:rsidRPr="0076606E">
              <w:rPr>
                <w:sz w:val="18"/>
                <w:szCs w:val="18"/>
              </w:rPr>
              <w:t>h</w:t>
            </w:r>
            <w:r w:rsidRPr="0076606E">
              <w:rPr>
                <w:spacing w:val="17"/>
                <w:sz w:val="18"/>
                <w:szCs w:val="18"/>
              </w:rPr>
              <w:t xml:space="preserve"> </w:t>
            </w:r>
            <w:r w:rsidRPr="0076606E">
              <w:rPr>
                <w:sz w:val="18"/>
                <w:szCs w:val="18"/>
              </w:rPr>
              <w:t>ora</w:t>
            </w:r>
            <w:r w:rsidRPr="0076606E">
              <w:rPr>
                <w:spacing w:val="2"/>
                <w:sz w:val="18"/>
                <w:szCs w:val="18"/>
              </w:rPr>
              <w:t>n</w:t>
            </w:r>
            <w:r w:rsidRPr="0076606E">
              <w:rPr>
                <w:sz w:val="18"/>
                <w:szCs w:val="18"/>
              </w:rPr>
              <w:t>g</w:t>
            </w:r>
            <w:r w:rsidRPr="0076606E">
              <w:rPr>
                <w:spacing w:val="18"/>
                <w:sz w:val="18"/>
                <w:szCs w:val="18"/>
              </w:rPr>
              <w:t xml:space="preserve"> </w:t>
            </w:r>
            <w:r w:rsidRPr="0076606E">
              <w:rPr>
                <w:sz w:val="18"/>
                <w:szCs w:val="18"/>
              </w:rPr>
              <w:t>at</w:t>
            </w:r>
            <w:r w:rsidRPr="0076606E">
              <w:rPr>
                <w:spacing w:val="-1"/>
                <w:sz w:val="18"/>
                <w:szCs w:val="18"/>
              </w:rPr>
              <w:t>a</w:t>
            </w:r>
            <w:r w:rsidRPr="0076606E">
              <w:rPr>
                <w:sz w:val="18"/>
                <w:szCs w:val="18"/>
              </w:rPr>
              <w:t>u</w:t>
            </w:r>
            <w:r w:rsidRPr="0076606E">
              <w:rPr>
                <w:spacing w:val="19"/>
                <w:sz w:val="18"/>
                <w:szCs w:val="18"/>
              </w:rPr>
              <w:t xml:space="preserve"> </w:t>
            </w:r>
            <w:r w:rsidRPr="0076606E">
              <w:rPr>
                <w:sz w:val="18"/>
                <w:szCs w:val="18"/>
              </w:rPr>
              <w:t>e</w:t>
            </w:r>
            <w:r w:rsidRPr="0076606E">
              <w:rPr>
                <w:spacing w:val="1"/>
                <w:sz w:val="18"/>
                <w:szCs w:val="18"/>
              </w:rPr>
              <w:t>n</w:t>
            </w:r>
            <w:r w:rsidRPr="0076606E">
              <w:rPr>
                <w:sz w:val="18"/>
                <w:szCs w:val="18"/>
              </w:rPr>
              <w:t>t</w:t>
            </w:r>
            <w:r w:rsidRPr="0076606E">
              <w:rPr>
                <w:spacing w:val="-1"/>
                <w:sz w:val="18"/>
                <w:szCs w:val="18"/>
              </w:rPr>
              <w:t>i</w:t>
            </w:r>
            <w:r w:rsidRPr="0076606E">
              <w:rPr>
                <w:spacing w:val="2"/>
                <w:sz w:val="18"/>
                <w:szCs w:val="18"/>
              </w:rPr>
              <w:t>t</w:t>
            </w:r>
            <w:r w:rsidRPr="0076606E">
              <w:rPr>
                <w:sz w:val="18"/>
                <w:szCs w:val="18"/>
              </w:rPr>
              <w:t>as</w:t>
            </w:r>
            <w:r w:rsidRPr="0076606E">
              <w:rPr>
                <w:spacing w:val="21"/>
                <w:sz w:val="18"/>
                <w:szCs w:val="18"/>
              </w:rPr>
              <w:t xml:space="preserve"> </w:t>
            </w:r>
            <w:r w:rsidRPr="0076606E">
              <w:rPr>
                <w:spacing w:val="-4"/>
                <w:sz w:val="18"/>
                <w:szCs w:val="18"/>
              </w:rPr>
              <w:t>y</w:t>
            </w:r>
            <w:r w:rsidRPr="0076606E">
              <w:rPr>
                <w:sz w:val="18"/>
                <w:szCs w:val="18"/>
              </w:rPr>
              <w:t>a</w:t>
            </w:r>
            <w:r w:rsidRPr="0076606E">
              <w:rPr>
                <w:spacing w:val="1"/>
                <w:sz w:val="18"/>
                <w:szCs w:val="18"/>
              </w:rPr>
              <w:t>n</w:t>
            </w:r>
            <w:r w:rsidRPr="0076606E">
              <w:rPr>
                <w:sz w:val="18"/>
                <w:szCs w:val="18"/>
              </w:rPr>
              <w:t>g ter</w:t>
            </w:r>
            <w:r w:rsidRPr="0076606E">
              <w:rPr>
                <w:spacing w:val="4"/>
                <w:sz w:val="18"/>
                <w:szCs w:val="18"/>
              </w:rPr>
              <w:t>k</w:t>
            </w:r>
            <w:r w:rsidRPr="0076606E">
              <w:rPr>
                <w:sz w:val="18"/>
                <w:szCs w:val="18"/>
              </w:rPr>
              <w:t>a</w:t>
            </w:r>
            <w:r w:rsidRPr="0076606E">
              <w:rPr>
                <w:spacing w:val="-1"/>
                <w:sz w:val="18"/>
                <w:szCs w:val="18"/>
              </w:rPr>
              <w:t>i</w:t>
            </w:r>
            <w:r w:rsidRPr="0076606E">
              <w:rPr>
                <w:sz w:val="18"/>
                <w:szCs w:val="18"/>
              </w:rPr>
              <w:t>t</w:t>
            </w:r>
            <w:r w:rsidRPr="0076606E">
              <w:rPr>
                <w:spacing w:val="-5"/>
                <w:sz w:val="18"/>
                <w:szCs w:val="18"/>
              </w:rPr>
              <w:t xml:space="preserve"> </w:t>
            </w:r>
            <w:r w:rsidRPr="0076606E">
              <w:rPr>
                <w:spacing w:val="-1"/>
                <w:sz w:val="18"/>
                <w:szCs w:val="18"/>
              </w:rPr>
              <w:t>d</w:t>
            </w:r>
            <w:r w:rsidRPr="0076606E">
              <w:rPr>
                <w:sz w:val="18"/>
                <w:szCs w:val="18"/>
              </w:rPr>
              <w:t>e</w:t>
            </w:r>
            <w:r w:rsidRPr="0076606E">
              <w:rPr>
                <w:spacing w:val="-1"/>
                <w:sz w:val="18"/>
                <w:szCs w:val="18"/>
              </w:rPr>
              <w:t>n</w:t>
            </w:r>
            <w:r w:rsidRPr="0076606E">
              <w:rPr>
                <w:spacing w:val="2"/>
                <w:sz w:val="18"/>
                <w:szCs w:val="18"/>
              </w:rPr>
              <w:t>g</w:t>
            </w:r>
            <w:r w:rsidRPr="0076606E">
              <w:rPr>
                <w:sz w:val="18"/>
                <w:szCs w:val="18"/>
              </w:rPr>
              <w:t>an</w:t>
            </w:r>
            <w:r w:rsidRPr="0076606E">
              <w:rPr>
                <w:spacing w:val="-6"/>
                <w:sz w:val="18"/>
                <w:szCs w:val="18"/>
              </w:rPr>
              <w:t xml:space="preserve"> </w:t>
            </w:r>
            <w:r w:rsidRPr="0076606E">
              <w:rPr>
                <w:sz w:val="18"/>
                <w:szCs w:val="18"/>
              </w:rPr>
              <w:t>e</w:t>
            </w:r>
            <w:r w:rsidRPr="0076606E">
              <w:rPr>
                <w:spacing w:val="-1"/>
                <w:sz w:val="18"/>
                <w:szCs w:val="18"/>
              </w:rPr>
              <w:t>n</w:t>
            </w:r>
            <w:r w:rsidRPr="0076606E">
              <w:rPr>
                <w:spacing w:val="2"/>
                <w:sz w:val="18"/>
                <w:szCs w:val="18"/>
              </w:rPr>
              <w:t>t</w:t>
            </w:r>
            <w:r w:rsidRPr="0076606E">
              <w:rPr>
                <w:spacing w:val="-1"/>
                <w:sz w:val="18"/>
                <w:szCs w:val="18"/>
              </w:rPr>
              <w:t>i</w:t>
            </w:r>
            <w:r w:rsidRPr="0076606E">
              <w:rPr>
                <w:sz w:val="18"/>
                <w:szCs w:val="18"/>
              </w:rPr>
              <w:t>tas</w:t>
            </w:r>
            <w:r w:rsidRPr="0076606E">
              <w:rPr>
                <w:spacing w:val="-6"/>
                <w:sz w:val="18"/>
                <w:szCs w:val="18"/>
              </w:rPr>
              <w:t xml:space="preserve"> </w:t>
            </w:r>
            <w:r w:rsidRPr="0076606E">
              <w:rPr>
                <w:spacing w:val="2"/>
                <w:sz w:val="18"/>
                <w:szCs w:val="18"/>
              </w:rPr>
              <w:t>p</w:t>
            </w:r>
            <w:r w:rsidRPr="0076606E">
              <w:rPr>
                <w:sz w:val="18"/>
                <w:szCs w:val="18"/>
              </w:rPr>
              <w:t>e</w:t>
            </w:r>
            <w:r w:rsidRPr="0076606E">
              <w:rPr>
                <w:spacing w:val="1"/>
                <w:sz w:val="18"/>
                <w:szCs w:val="18"/>
              </w:rPr>
              <w:t>l</w:t>
            </w:r>
            <w:r w:rsidRPr="0076606E">
              <w:rPr>
                <w:spacing w:val="2"/>
                <w:sz w:val="18"/>
                <w:szCs w:val="18"/>
              </w:rPr>
              <w:t>a</w:t>
            </w:r>
            <w:r w:rsidRPr="0076606E">
              <w:rPr>
                <w:sz w:val="18"/>
                <w:szCs w:val="18"/>
              </w:rPr>
              <w:t>p</w:t>
            </w:r>
            <w:r w:rsidRPr="0076606E">
              <w:rPr>
                <w:spacing w:val="-1"/>
                <w:sz w:val="18"/>
                <w:szCs w:val="18"/>
              </w:rPr>
              <w:t>o</w:t>
            </w:r>
            <w:r w:rsidRPr="0076606E">
              <w:rPr>
                <w:spacing w:val="1"/>
                <w:sz w:val="18"/>
                <w:szCs w:val="18"/>
              </w:rPr>
              <w:t>r</w:t>
            </w:r>
            <w:r w:rsidRPr="0076606E">
              <w:rPr>
                <w:sz w:val="18"/>
                <w:szCs w:val="18"/>
              </w:rPr>
              <w:t>:</w:t>
            </w:r>
          </w:p>
          <w:p w14:paraId="2F0CEE39" w14:textId="77777777" w:rsidR="002C2CF0" w:rsidRPr="0076606E" w:rsidRDefault="002C2CF0" w:rsidP="005F361E">
            <w:pPr>
              <w:widowControl w:val="0"/>
              <w:numPr>
                <w:ilvl w:val="0"/>
                <w:numId w:val="19"/>
              </w:numPr>
              <w:tabs>
                <w:tab w:val="left" w:pos="851"/>
                <w:tab w:val="left" w:pos="884"/>
              </w:tabs>
              <w:autoSpaceDE w:val="0"/>
              <w:autoSpaceDN w:val="0"/>
              <w:adjustRightInd w:val="0"/>
              <w:ind w:left="851" w:right="-57" w:hanging="284"/>
              <w:jc w:val="both"/>
              <w:rPr>
                <w:sz w:val="18"/>
                <w:szCs w:val="18"/>
              </w:rPr>
            </w:pPr>
            <w:r w:rsidRPr="0076606E">
              <w:rPr>
                <w:spacing w:val="1"/>
                <w:sz w:val="18"/>
                <w:szCs w:val="18"/>
              </w:rPr>
              <w:t>Or</w:t>
            </w:r>
            <w:r w:rsidRPr="0076606E">
              <w:rPr>
                <w:sz w:val="18"/>
                <w:szCs w:val="18"/>
              </w:rPr>
              <w:t>a</w:t>
            </w:r>
            <w:r w:rsidRPr="0076606E">
              <w:rPr>
                <w:spacing w:val="-1"/>
                <w:sz w:val="18"/>
                <w:szCs w:val="18"/>
              </w:rPr>
              <w:t>n</w:t>
            </w:r>
            <w:r w:rsidRPr="0076606E">
              <w:rPr>
                <w:sz w:val="18"/>
                <w:szCs w:val="18"/>
              </w:rPr>
              <w:t>g a</w:t>
            </w:r>
            <w:r w:rsidRPr="0076606E">
              <w:rPr>
                <w:spacing w:val="2"/>
                <w:sz w:val="18"/>
                <w:szCs w:val="18"/>
              </w:rPr>
              <w:t>t</w:t>
            </w:r>
            <w:r w:rsidRPr="0076606E">
              <w:rPr>
                <w:sz w:val="18"/>
                <w:szCs w:val="18"/>
              </w:rPr>
              <w:t>au</w:t>
            </w:r>
            <w:r w:rsidRPr="0076606E">
              <w:rPr>
                <w:spacing w:val="1"/>
                <w:sz w:val="18"/>
                <w:szCs w:val="18"/>
              </w:rPr>
              <w:t xml:space="preserve"> </w:t>
            </w:r>
            <w:r w:rsidRPr="0076606E">
              <w:rPr>
                <w:spacing w:val="2"/>
                <w:sz w:val="18"/>
                <w:szCs w:val="18"/>
              </w:rPr>
              <w:t>a</w:t>
            </w:r>
            <w:r w:rsidRPr="0076606E">
              <w:rPr>
                <w:sz w:val="18"/>
                <w:szCs w:val="18"/>
              </w:rPr>
              <w:t>n</w:t>
            </w:r>
            <w:r w:rsidRPr="0076606E">
              <w:rPr>
                <w:spacing w:val="1"/>
                <w:sz w:val="18"/>
                <w:szCs w:val="18"/>
              </w:rPr>
              <w:t>g</w:t>
            </w:r>
            <w:r w:rsidRPr="0076606E">
              <w:rPr>
                <w:sz w:val="18"/>
                <w:szCs w:val="18"/>
              </w:rPr>
              <w:t>g</w:t>
            </w:r>
            <w:r w:rsidRPr="0076606E">
              <w:rPr>
                <w:spacing w:val="-1"/>
                <w:sz w:val="18"/>
                <w:szCs w:val="18"/>
              </w:rPr>
              <w:t>o</w:t>
            </w:r>
            <w:r w:rsidRPr="0076606E">
              <w:rPr>
                <w:sz w:val="18"/>
                <w:szCs w:val="18"/>
              </w:rPr>
              <w:t xml:space="preserve">ta </w:t>
            </w:r>
            <w:r w:rsidRPr="0076606E">
              <w:rPr>
                <w:spacing w:val="3"/>
                <w:sz w:val="18"/>
                <w:szCs w:val="18"/>
              </w:rPr>
              <w:t>k</w:t>
            </w:r>
            <w:r w:rsidRPr="0076606E">
              <w:rPr>
                <w:sz w:val="18"/>
                <w:szCs w:val="18"/>
              </w:rPr>
              <w:t>e</w:t>
            </w:r>
            <w:r w:rsidRPr="0076606E">
              <w:rPr>
                <w:spacing w:val="-1"/>
                <w:sz w:val="18"/>
                <w:szCs w:val="18"/>
              </w:rPr>
              <w:t>l</w:t>
            </w:r>
            <w:r w:rsidRPr="0076606E">
              <w:rPr>
                <w:sz w:val="18"/>
                <w:szCs w:val="18"/>
              </w:rPr>
              <w:t>u</w:t>
            </w:r>
            <w:r w:rsidRPr="0076606E">
              <w:rPr>
                <w:spacing w:val="-1"/>
                <w:sz w:val="18"/>
                <w:szCs w:val="18"/>
              </w:rPr>
              <w:t>a</w:t>
            </w:r>
            <w:r w:rsidRPr="0076606E">
              <w:rPr>
                <w:spacing w:val="1"/>
                <w:sz w:val="18"/>
                <w:szCs w:val="18"/>
              </w:rPr>
              <w:t>r</w:t>
            </w:r>
            <w:r w:rsidRPr="0076606E">
              <w:rPr>
                <w:sz w:val="18"/>
                <w:szCs w:val="18"/>
              </w:rPr>
              <w:t>ga d</w:t>
            </w:r>
            <w:r w:rsidRPr="0076606E">
              <w:rPr>
                <w:spacing w:val="-1"/>
                <w:sz w:val="18"/>
                <w:szCs w:val="18"/>
              </w:rPr>
              <w:t>e</w:t>
            </w:r>
            <w:r w:rsidRPr="0076606E">
              <w:rPr>
                <w:spacing w:val="3"/>
                <w:sz w:val="18"/>
                <w:szCs w:val="18"/>
              </w:rPr>
              <w:t>k</w:t>
            </w:r>
            <w:r w:rsidRPr="0076606E">
              <w:rPr>
                <w:sz w:val="18"/>
                <w:szCs w:val="18"/>
              </w:rPr>
              <w:t>at</w:t>
            </w:r>
            <w:r w:rsidRPr="0076606E">
              <w:rPr>
                <w:spacing w:val="1"/>
                <w:sz w:val="18"/>
                <w:szCs w:val="18"/>
              </w:rPr>
              <w:t>n</w:t>
            </w:r>
            <w:r w:rsidRPr="0076606E">
              <w:rPr>
                <w:spacing w:val="-4"/>
                <w:sz w:val="18"/>
                <w:szCs w:val="18"/>
              </w:rPr>
              <w:t>y</w:t>
            </w:r>
            <w:r w:rsidRPr="0076606E">
              <w:rPr>
                <w:sz w:val="18"/>
                <w:szCs w:val="18"/>
              </w:rPr>
              <w:t xml:space="preserve">a </w:t>
            </w:r>
            <w:r w:rsidRPr="0076606E">
              <w:rPr>
                <w:spacing w:val="4"/>
                <w:sz w:val="18"/>
                <w:szCs w:val="18"/>
              </w:rPr>
              <w:t>m</w:t>
            </w:r>
            <w:r w:rsidRPr="0076606E">
              <w:rPr>
                <w:spacing w:val="-3"/>
                <w:sz w:val="18"/>
                <w:szCs w:val="18"/>
              </w:rPr>
              <w:t>e</w:t>
            </w:r>
            <w:r w:rsidRPr="0076606E">
              <w:rPr>
                <w:spacing w:val="4"/>
                <w:sz w:val="18"/>
                <w:szCs w:val="18"/>
              </w:rPr>
              <w:t>m</w:t>
            </w:r>
            <w:r w:rsidRPr="0076606E">
              <w:rPr>
                <w:sz w:val="18"/>
                <w:szCs w:val="18"/>
              </w:rPr>
              <w:t>p</w:t>
            </w:r>
            <w:r w:rsidRPr="0076606E">
              <w:rPr>
                <w:spacing w:val="-1"/>
                <w:sz w:val="18"/>
                <w:szCs w:val="18"/>
              </w:rPr>
              <w:t>u</w:t>
            </w:r>
            <w:r w:rsidRPr="0076606E">
              <w:rPr>
                <w:spacing w:val="2"/>
                <w:sz w:val="18"/>
                <w:szCs w:val="18"/>
              </w:rPr>
              <w:t>n</w:t>
            </w:r>
            <w:r w:rsidRPr="0076606E">
              <w:rPr>
                <w:spacing w:val="-6"/>
                <w:sz w:val="18"/>
                <w:szCs w:val="18"/>
              </w:rPr>
              <w:t>y</w:t>
            </w:r>
            <w:r w:rsidRPr="0076606E">
              <w:rPr>
                <w:spacing w:val="2"/>
                <w:sz w:val="18"/>
                <w:szCs w:val="18"/>
              </w:rPr>
              <w:t>a</w:t>
            </w:r>
            <w:r w:rsidRPr="0076606E">
              <w:rPr>
                <w:sz w:val="18"/>
                <w:szCs w:val="18"/>
              </w:rPr>
              <w:t xml:space="preserve">i </w:t>
            </w:r>
            <w:r w:rsidRPr="0076606E">
              <w:rPr>
                <w:spacing w:val="1"/>
                <w:sz w:val="18"/>
                <w:szCs w:val="18"/>
              </w:rPr>
              <w:t>r</w:t>
            </w:r>
            <w:r w:rsidRPr="0076606E">
              <w:rPr>
                <w:sz w:val="18"/>
                <w:szCs w:val="18"/>
              </w:rPr>
              <w:t>e</w:t>
            </w:r>
            <w:r w:rsidRPr="0076606E">
              <w:rPr>
                <w:spacing w:val="-1"/>
                <w:sz w:val="18"/>
                <w:szCs w:val="18"/>
              </w:rPr>
              <w:t>l</w:t>
            </w:r>
            <w:r w:rsidRPr="0076606E">
              <w:rPr>
                <w:sz w:val="18"/>
                <w:szCs w:val="18"/>
              </w:rPr>
              <w:t>a</w:t>
            </w:r>
            <w:r w:rsidRPr="0076606E">
              <w:rPr>
                <w:spacing w:val="1"/>
                <w:sz w:val="18"/>
                <w:szCs w:val="18"/>
              </w:rPr>
              <w:t>s</w:t>
            </w:r>
            <w:r w:rsidRPr="0076606E">
              <w:rPr>
                <w:sz w:val="18"/>
                <w:szCs w:val="18"/>
              </w:rPr>
              <w:t>i</w:t>
            </w:r>
            <w:r w:rsidRPr="0076606E">
              <w:rPr>
                <w:spacing w:val="6"/>
                <w:sz w:val="18"/>
                <w:szCs w:val="18"/>
              </w:rPr>
              <w:t xml:space="preserve"> </w:t>
            </w:r>
            <w:r w:rsidRPr="0076606E">
              <w:rPr>
                <w:spacing w:val="2"/>
                <w:sz w:val="18"/>
                <w:szCs w:val="18"/>
              </w:rPr>
              <w:t>d</w:t>
            </w:r>
            <w:r w:rsidRPr="0076606E">
              <w:rPr>
                <w:sz w:val="18"/>
                <w:szCs w:val="18"/>
              </w:rPr>
              <w:t>e</w:t>
            </w:r>
            <w:r w:rsidRPr="0076606E">
              <w:rPr>
                <w:spacing w:val="-1"/>
                <w:sz w:val="18"/>
                <w:szCs w:val="18"/>
              </w:rPr>
              <w:t>n</w:t>
            </w:r>
            <w:r w:rsidRPr="0076606E">
              <w:rPr>
                <w:spacing w:val="2"/>
                <w:sz w:val="18"/>
                <w:szCs w:val="18"/>
              </w:rPr>
              <w:t>g</w:t>
            </w:r>
            <w:r w:rsidRPr="0076606E">
              <w:rPr>
                <w:sz w:val="18"/>
                <w:szCs w:val="18"/>
              </w:rPr>
              <w:t>an</w:t>
            </w:r>
            <w:r w:rsidRPr="0076606E">
              <w:rPr>
                <w:spacing w:val="6"/>
                <w:sz w:val="18"/>
                <w:szCs w:val="18"/>
              </w:rPr>
              <w:t xml:space="preserve"> </w:t>
            </w:r>
            <w:r w:rsidRPr="0076606E">
              <w:rPr>
                <w:sz w:val="18"/>
                <w:szCs w:val="18"/>
              </w:rPr>
              <w:t>e</w:t>
            </w:r>
            <w:r w:rsidRPr="0076606E">
              <w:rPr>
                <w:spacing w:val="-1"/>
                <w:sz w:val="18"/>
                <w:szCs w:val="18"/>
              </w:rPr>
              <w:t>n</w:t>
            </w:r>
            <w:r w:rsidRPr="0076606E">
              <w:rPr>
                <w:sz w:val="18"/>
                <w:szCs w:val="18"/>
              </w:rPr>
              <w:t>t</w:t>
            </w:r>
            <w:r w:rsidRPr="0076606E">
              <w:rPr>
                <w:spacing w:val="-1"/>
                <w:sz w:val="18"/>
                <w:szCs w:val="18"/>
              </w:rPr>
              <w:t>i</w:t>
            </w:r>
            <w:r w:rsidRPr="0076606E">
              <w:rPr>
                <w:sz w:val="18"/>
                <w:szCs w:val="18"/>
              </w:rPr>
              <w:t>tas</w:t>
            </w:r>
            <w:r w:rsidRPr="0076606E">
              <w:rPr>
                <w:spacing w:val="5"/>
                <w:sz w:val="18"/>
                <w:szCs w:val="18"/>
              </w:rPr>
              <w:t xml:space="preserve"> </w:t>
            </w:r>
            <w:r w:rsidRPr="0076606E">
              <w:rPr>
                <w:sz w:val="18"/>
                <w:szCs w:val="18"/>
              </w:rPr>
              <w:t>p</w:t>
            </w:r>
            <w:r w:rsidRPr="0076606E">
              <w:rPr>
                <w:spacing w:val="1"/>
                <w:sz w:val="18"/>
                <w:szCs w:val="18"/>
              </w:rPr>
              <w:t>e</w:t>
            </w:r>
            <w:r w:rsidRPr="0076606E">
              <w:rPr>
                <w:spacing w:val="-1"/>
                <w:sz w:val="18"/>
                <w:szCs w:val="18"/>
              </w:rPr>
              <w:t>l</w:t>
            </w:r>
            <w:r w:rsidRPr="0076606E">
              <w:rPr>
                <w:sz w:val="18"/>
                <w:szCs w:val="18"/>
              </w:rPr>
              <w:t>a</w:t>
            </w:r>
            <w:r w:rsidRPr="0076606E">
              <w:rPr>
                <w:spacing w:val="1"/>
                <w:sz w:val="18"/>
                <w:szCs w:val="18"/>
              </w:rPr>
              <w:t>p</w:t>
            </w:r>
            <w:r w:rsidRPr="0076606E">
              <w:rPr>
                <w:sz w:val="18"/>
                <w:szCs w:val="18"/>
              </w:rPr>
              <w:t xml:space="preserve">or </w:t>
            </w:r>
            <w:r w:rsidRPr="0076606E">
              <w:rPr>
                <w:spacing w:val="1"/>
                <w:sz w:val="18"/>
                <w:szCs w:val="18"/>
              </w:rPr>
              <w:t>j</w:t>
            </w:r>
            <w:r w:rsidRPr="0076606E">
              <w:rPr>
                <w:spacing w:val="-1"/>
                <w:sz w:val="18"/>
                <w:szCs w:val="18"/>
              </w:rPr>
              <w:t>i</w:t>
            </w:r>
            <w:r w:rsidRPr="0076606E">
              <w:rPr>
                <w:spacing w:val="3"/>
                <w:sz w:val="18"/>
                <w:szCs w:val="18"/>
              </w:rPr>
              <w:t>k</w:t>
            </w:r>
            <w:r w:rsidRPr="0076606E">
              <w:rPr>
                <w:sz w:val="18"/>
                <w:szCs w:val="18"/>
              </w:rPr>
              <w:t>a</w:t>
            </w:r>
            <w:r w:rsidRPr="0076606E">
              <w:rPr>
                <w:spacing w:val="-3"/>
                <w:sz w:val="18"/>
                <w:szCs w:val="18"/>
              </w:rPr>
              <w:t xml:space="preserve"> </w:t>
            </w:r>
            <w:r w:rsidRPr="0076606E">
              <w:rPr>
                <w:spacing w:val="-1"/>
                <w:sz w:val="18"/>
                <w:szCs w:val="18"/>
              </w:rPr>
              <w:t>o</w:t>
            </w:r>
            <w:r w:rsidRPr="0076606E">
              <w:rPr>
                <w:spacing w:val="1"/>
                <w:sz w:val="18"/>
                <w:szCs w:val="18"/>
              </w:rPr>
              <w:t>r</w:t>
            </w:r>
            <w:r w:rsidRPr="0076606E">
              <w:rPr>
                <w:sz w:val="18"/>
                <w:szCs w:val="18"/>
              </w:rPr>
              <w:t>a</w:t>
            </w:r>
            <w:r w:rsidRPr="0076606E">
              <w:rPr>
                <w:spacing w:val="-1"/>
                <w:sz w:val="18"/>
                <w:szCs w:val="18"/>
              </w:rPr>
              <w:t>n</w:t>
            </w:r>
            <w:r w:rsidRPr="0076606E">
              <w:rPr>
                <w:sz w:val="18"/>
                <w:szCs w:val="18"/>
              </w:rPr>
              <w:t>g</w:t>
            </w:r>
            <w:r w:rsidRPr="0076606E">
              <w:rPr>
                <w:spacing w:val="-5"/>
                <w:sz w:val="18"/>
                <w:szCs w:val="18"/>
              </w:rPr>
              <w:t xml:space="preserve"> </w:t>
            </w:r>
            <w:r w:rsidRPr="0076606E">
              <w:rPr>
                <w:sz w:val="18"/>
                <w:szCs w:val="18"/>
              </w:rPr>
              <w:t>ter</w:t>
            </w:r>
            <w:r w:rsidRPr="0076606E">
              <w:rPr>
                <w:spacing w:val="1"/>
                <w:sz w:val="18"/>
                <w:szCs w:val="18"/>
              </w:rPr>
              <w:t>s</w:t>
            </w:r>
            <w:r w:rsidRPr="0076606E">
              <w:rPr>
                <w:sz w:val="18"/>
                <w:szCs w:val="18"/>
              </w:rPr>
              <w:t>e</w:t>
            </w:r>
            <w:r w:rsidRPr="0076606E">
              <w:rPr>
                <w:spacing w:val="-1"/>
                <w:sz w:val="18"/>
                <w:szCs w:val="18"/>
              </w:rPr>
              <w:t>b</w:t>
            </w:r>
            <w:r w:rsidRPr="0076606E">
              <w:rPr>
                <w:spacing w:val="2"/>
                <w:sz w:val="18"/>
                <w:szCs w:val="18"/>
              </w:rPr>
              <w:t>u</w:t>
            </w:r>
            <w:r w:rsidRPr="0076606E">
              <w:rPr>
                <w:sz w:val="18"/>
                <w:szCs w:val="18"/>
              </w:rPr>
              <w:t>t:</w:t>
            </w:r>
          </w:p>
          <w:p w14:paraId="1E1BD7DA" w14:textId="77777777" w:rsidR="002C2CF0" w:rsidRPr="0076606E" w:rsidRDefault="002C2CF0" w:rsidP="005F361E">
            <w:pPr>
              <w:widowControl w:val="0"/>
              <w:numPr>
                <w:ilvl w:val="0"/>
                <w:numId w:val="17"/>
              </w:numPr>
              <w:autoSpaceDE w:val="0"/>
              <w:autoSpaceDN w:val="0"/>
              <w:adjustRightInd w:val="0"/>
              <w:ind w:left="1135" w:right="-57" w:hanging="284"/>
              <w:jc w:val="both"/>
              <w:rPr>
                <w:sz w:val="18"/>
                <w:szCs w:val="18"/>
              </w:rPr>
            </w:pPr>
            <w:r w:rsidRPr="0076606E">
              <w:rPr>
                <w:spacing w:val="4"/>
                <w:sz w:val="18"/>
                <w:szCs w:val="18"/>
              </w:rPr>
              <w:t>m</w:t>
            </w:r>
            <w:r w:rsidRPr="0076606E">
              <w:rPr>
                <w:spacing w:val="-3"/>
                <w:sz w:val="18"/>
                <w:szCs w:val="18"/>
              </w:rPr>
              <w:t>e</w:t>
            </w:r>
            <w:r w:rsidRPr="0076606E">
              <w:rPr>
                <w:spacing w:val="4"/>
                <w:sz w:val="18"/>
                <w:szCs w:val="18"/>
              </w:rPr>
              <w:t>m</w:t>
            </w:r>
            <w:r w:rsidRPr="0076606E">
              <w:rPr>
                <w:spacing w:val="-1"/>
                <w:sz w:val="18"/>
                <w:szCs w:val="18"/>
              </w:rPr>
              <w:t>il</w:t>
            </w:r>
            <w:r w:rsidRPr="0076606E">
              <w:rPr>
                <w:spacing w:val="-3"/>
                <w:sz w:val="18"/>
                <w:szCs w:val="18"/>
              </w:rPr>
              <w:t>i</w:t>
            </w:r>
            <w:r w:rsidRPr="0076606E">
              <w:rPr>
                <w:spacing w:val="3"/>
                <w:sz w:val="18"/>
                <w:szCs w:val="18"/>
              </w:rPr>
              <w:t>k</w:t>
            </w:r>
            <w:r w:rsidRPr="0076606E">
              <w:rPr>
                <w:sz w:val="18"/>
                <w:szCs w:val="18"/>
              </w:rPr>
              <w:t>i p</w:t>
            </w:r>
            <w:r w:rsidRPr="0076606E">
              <w:rPr>
                <w:spacing w:val="-1"/>
                <w:sz w:val="18"/>
                <w:szCs w:val="18"/>
              </w:rPr>
              <w:t>e</w:t>
            </w:r>
            <w:r w:rsidRPr="0076606E">
              <w:rPr>
                <w:sz w:val="18"/>
                <w:szCs w:val="18"/>
              </w:rPr>
              <w:t>n</w:t>
            </w:r>
            <w:r w:rsidRPr="0076606E">
              <w:rPr>
                <w:spacing w:val="1"/>
                <w:sz w:val="18"/>
                <w:szCs w:val="18"/>
              </w:rPr>
              <w:t>g</w:t>
            </w:r>
            <w:r w:rsidRPr="0076606E">
              <w:rPr>
                <w:sz w:val="18"/>
                <w:szCs w:val="18"/>
              </w:rPr>
              <w:t>e</w:t>
            </w:r>
            <w:r w:rsidRPr="0076606E">
              <w:rPr>
                <w:spacing w:val="-1"/>
                <w:sz w:val="18"/>
                <w:szCs w:val="18"/>
              </w:rPr>
              <w:t>n</w:t>
            </w:r>
            <w:r w:rsidRPr="0076606E">
              <w:rPr>
                <w:spacing w:val="2"/>
                <w:sz w:val="18"/>
                <w:szCs w:val="18"/>
              </w:rPr>
              <w:t>d</w:t>
            </w:r>
            <w:r w:rsidRPr="0076606E">
              <w:rPr>
                <w:sz w:val="18"/>
                <w:szCs w:val="18"/>
              </w:rPr>
              <w:t>a</w:t>
            </w:r>
            <w:r w:rsidRPr="0076606E">
              <w:rPr>
                <w:spacing w:val="1"/>
                <w:sz w:val="18"/>
                <w:szCs w:val="18"/>
              </w:rPr>
              <w:t>l</w:t>
            </w:r>
            <w:r w:rsidRPr="0076606E">
              <w:rPr>
                <w:spacing w:val="-1"/>
                <w:sz w:val="18"/>
                <w:szCs w:val="18"/>
              </w:rPr>
              <w:t>i</w:t>
            </w:r>
            <w:r w:rsidRPr="0076606E">
              <w:rPr>
                <w:spacing w:val="2"/>
                <w:sz w:val="18"/>
                <w:szCs w:val="18"/>
              </w:rPr>
              <w:t>a</w:t>
            </w:r>
            <w:r w:rsidRPr="0076606E">
              <w:rPr>
                <w:sz w:val="18"/>
                <w:szCs w:val="18"/>
              </w:rPr>
              <w:t>n at</w:t>
            </w:r>
            <w:r w:rsidRPr="0076606E">
              <w:rPr>
                <w:spacing w:val="1"/>
                <w:sz w:val="18"/>
                <w:szCs w:val="18"/>
              </w:rPr>
              <w:t>a</w:t>
            </w:r>
            <w:r w:rsidRPr="0076606E">
              <w:rPr>
                <w:sz w:val="18"/>
                <w:szCs w:val="18"/>
              </w:rPr>
              <w:t>u p</w:t>
            </w:r>
            <w:r w:rsidRPr="0076606E">
              <w:rPr>
                <w:spacing w:val="-1"/>
                <w:sz w:val="18"/>
                <w:szCs w:val="18"/>
              </w:rPr>
              <w:t>e</w:t>
            </w:r>
            <w:r w:rsidRPr="0076606E">
              <w:rPr>
                <w:sz w:val="18"/>
                <w:szCs w:val="18"/>
              </w:rPr>
              <w:t>n</w:t>
            </w:r>
            <w:r w:rsidRPr="0076606E">
              <w:rPr>
                <w:spacing w:val="1"/>
                <w:sz w:val="18"/>
                <w:szCs w:val="18"/>
              </w:rPr>
              <w:t>g</w:t>
            </w:r>
            <w:r w:rsidRPr="0076606E">
              <w:rPr>
                <w:sz w:val="18"/>
                <w:szCs w:val="18"/>
              </w:rPr>
              <w:t>e</w:t>
            </w:r>
            <w:r w:rsidRPr="0076606E">
              <w:rPr>
                <w:spacing w:val="-1"/>
                <w:sz w:val="18"/>
                <w:szCs w:val="18"/>
              </w:rPr>
              <w:t>n</w:t>
            </w:r>
            <w:r w:rsidRPr="0076606E">
              <w:rPr>
                <w:spacing w:val="2"/>
                <w:sz w:val="18"/>
                <w:szCs w:val="18"/>
              </w:rPr>
              <w:t>d</w:t>
            </w:r>
            <w:r w:rsidRPr="0076606E">
              <w:rPr>
                <w:sz w:val="18"/>
                <w:szCs w:val="18"/>
              </w:rPr>
              <w:t>a</w:t>
            </w:r>
            <w:r w:rsidRPr="0076606E">
              <w:rPr>
                <w:spacing w:val="1"/>
                <w:sz w:val="18"/>
                <w:szCs w:val="18"/>
              </w:rPr>
              <w:t>l</w:t>
            </w:r>
            <w:r w:rsidRPr="0076606E">
              <w:rPr>
                <w:spacing w:val="-1"/>
                <w:sz w:val="18"/>
                <w:szCs w:val="18"/>
              </w:rPr>
              <w:t>i</w:t>
            </w:r>
            <w:r w:rsidRPr="0076606E">
              <w:rPr>
                <w:spacing w:val="2"/>
                <w:sz w:val="18"/>
                <w:szCs w:val="18"/>
              </w:rPr>
              <w:t>a</w:t>
            </w:r>
            <w:r w:rsidRPr="0076606E">
              <w:rPr>
                <w:sz w:val="18"/>
                <w:szCs w:val="18"/>
              </w:rPr>
              <w:t>n b</w:t>
            </w:r>
            <w:r w:rsidRPr="0076606E">
              <w:rPr>
                <w:spacing w:val="-1"/>
                <w:sz w:val="18"/>
                <w:szCs w:val="18"/>
              </w:rPr>
              <w:t>e</w:t>
            </w:r>
            <w:r w:rsidRPr="0076606E">
              <w:rPr>
                <w:spacing w:val="1"/>
                <w:sz w:val="18"/>
                <w:szCs w:val="18"/>
              </w:rPr>
              <w:t>rs</w:t>
            </w:r>
            <w:r w:rsidRPr="0076606E">
              <w:rPr>
                <w:sz w:val="18"/>
                <w:szCs w:val="18"/>
              </w:rPr>
              <w:t>a</w:t>
            </w:r>
            <w:r w:rsidRPr="0076606E">
              <w:rPr>
                <w:spacing w:val="4"/>
                <w:sz w:val="18"/>
                <w:szCs w:val="18"/>
              </w:rPr>
              <w:t>m</w:t>
            </w:r>
            <w:r w:rsidRPr="0076606E">
              <w:rPr>
                <w:sz w:val="18"/>
                <w:szCs w:val="18"/>
              </w:rPr>
              <w:t>a</w:t>
            </w:r>
            <w:r w:rsidRPr="0076606E">
              <w:rPr>
                <w:spacing w:val="4"/>
                <w:sz w:val="18"/>
                <w:szCs w:val="18"/>
              </w:rPr>
              <w:t xml:space="preserve"> </w:t>
            </w:r>
            <w:r w:rsidRPr="0076606E">
              <w:rPr>
                <w:spacing w:val="2"/>
                <w:sz w:val="18"/>
                <w:szCs w:val="18"/>
              </w:rPr>
              <w:t>a</w:t>
            </w:r>
            <w:r w:rsidRPr="0076606E">
              <w:rPr>
                <w:sz w:val="18"/>
                <w:szCs w:val="18"/>
              </w:rPr>
              <w:t>tas</w:t>
            </w:r>
            <w:r w:rsidRPr="0076606E">
              <w:rPr>
                <w:spacing w:val="9"/>
                <w:sz w:val="18"/>
                <w:szCs w:val="18"/>
              </w:rPr>
              <w:t xml:space="preserve"> </w:t>
            </w:r>
            <w:r w:rsidRPr="0076606E">
              <w:rPr>
                <w:sz w:val="18"/>
                <w:szCs w:val="18"/>
              </w:rPr>
              <w:t>e</w:t>
            </w:r>
            <w:r w:rsidRPr="0076606E">
              <w:rPr>
                <w:spacing w:val="-1"/>
                <w:sz w:val="18"/>
                <w:szCs w:val="18"/>
              </w:rPr>
              <w:t>n</w:t>
            </w:r>
            <w:r w:rsidRPr="0076606E">
              <w:rPr>
                <w:spacing w:val="2"/>
                <w:sz w:val="18"/>
                <w:szCs w:val="18"/>
              </w:rPr>
              <w:t>t</w:t>
            </w:r>
            <w:r w:rsidRPr="0076606E">
              <w:rPr>
                <w:spacing w:val="-1"/>
                <w:sz w:val="18"/>
                <w:szCs w:val="18"/>
              </w:rPr>
              <w:t>i</w:t>
            </w:r>
            <w:r w:rsidRPr="0076606E">
              <w:rPr>
                <w:sz w:val="18"/>
                <w:szCs w:val="18"/>
              </w:rPr>
              <w:t>tas p</w:t>
            </w:r>
            <w:r w:rsidRPr="0076606E">
              <w:rPr>
                <w:spacing w:val="-1"/>
                <w:sz w:val="18"/>
                <w:szCs w:val="18"/>
              </w:rPr>
              <w:t>e</w:t>
            </w:r>
            <w:r w:rsidRPr="0076606E">
              <w:rPr>
                <w:spacing w:val="1"/>
                <w:sz w:val="18"/>
                <w:szCs w:val="18"/>
              </w:rPr>
              <w:t>l</w:t>
            </w:r>
            <w:r w:rsidRPr="0076606E">
              <w:rPr>
                <w:sz w:val="18"/>
                <w:szCs w:val="18"/>
              </w:rPr>
              <w:t>a</w:t>
            </w:r>
            <w:r w:rsidRPr="0076606E">
              <w:rPr>
                <w:spacing w:val="-1"/>
                <w:sz w:val="18"/>
                <w:szCs w:val="18"/>
              </w:rPr>
              <w:t>p</w:t>
            </w:r>
            <w:r w:rsidRPr="0076606E">
              <w:rPr>
                <w:sz w:val="18"/>
                <w:szCs w:val="18"/>
              </w:rPr>
              <w:t>or;</w:t>
            </w:r>
          </w:p>
          <w:p w14:paraId="2D348330" w14:textId="77777777" w:rsidR="002C2CF0" w:rsidRPr="0076606E" w:rsidRDefault="002C2CF0" w:rsidP="005F361E">
            <w:pPr>
              <w:widowControl w:val="0"/>
              <w:numPr>
                <w:ilvl w:val="0"/>
                <w:numId w:val="17"/>
              </w:numPr>
              <w:autoSpaceDE w:val="0"/>
              <w:autoSpaceDN w:val="0"/>
              <w:adjustRightInd w:val="0"/>
              <w:ind w:left="1135" w:right="-57" w:hanging="284"/>
              <w:jc w:val="both"/>
              <w:rPr>
                <w:spacing w:val="4"/>
                <w:sz w:val="18"/>
                <w:szCs w:val="18"/>
              </w:rPr>
            </w:pPr>
            <w:r w:rsidRPr="0076606E">
              <w:rPr>
                <w:spacing w:val="4"/>
                <w:sz w:val="18"/>
                <w:szCs w:val="18"/>
              </w:rPr>
              <w:t xml:space="preserve">memiliki pengaruh signifikan atas entitas </w:t>
            </w:r>
            <w:r w:rsidRPr="0076606E">
              <w:rPr>
                <w:spacing w:val="-1"/>
                <w:sz w:val="18"/>
                <w:szCs w:val="18"/>
              </w:rPr>
              <w:t>pelapor</w:t>
            </w:r>
            <w:r w:rsidRPr="0076606E">
              <w:rPr>
                <w:spacing w:val="4"/>
                <w:sz w:val="18"/>
                <w:szCs w:val="18"/>
              </w:rPr>
              <w:t>; atau</w:t>
            </w:r>
          </w:p>
          <w:p w14:paraId="52999CBB" w14:textId="77777777" w:rsidR="002C2CF0" w:rsidRPr="0076606E" w:rsidRDefault="002C2CF0" w:rsidP="005F361E">
            <w:pPr>
              <w:widowControl w:val="0"/>
              <w:numPr>
                <w:ilvl w:val="0"/>
                <w:numId w:val="17"/>
              </w:numPr>
              <w:autoSpaceDE w:val="0"/>
              <w:autoSpaceDN w:val="0"/>
              <w:adjustRightInd w:val="0"/>
              <w:ind w:left="1135" w:right="-57" w:hanging="284"/>
              <w:jc w:val="both"/>
              <w:rPr>
                <w:rStyle w:val="hps"/>
                <w:spacing w:val="4"/>
                <w:sz w:val="18"/>
                <w:szCs w:val="18"/>
              </w:rPr>
            </w:pPr>
            <w:proofErr w:type="gramStart"/>
            <w:r w:rsidRPr="0076606E">
              <w:rPr>
                <w:spacing w:val="4"/>
                <w:sz w:val="18"/>
                <w:szCs w:val="18"/>
              </w:rPr>
              <w:t>merupakan</w:t>
            </w:r>
            <w:proofErr w:type="gramEnd"/>
            <w:r w:rsidRPr="0076606E">
              <w:rPr>
                <w:spacing w:val="4"/>
                <w:sz w:val="18"/>
                <w:szCs w:val="18"/>
              </w:rPr>
              <w:t xml:space="preserve"> personil manajemen kunci entitas pelapor atau </w:t>
            </w:r>
            <w:r w:rsidRPr="0076606E">
              <w:rPr>
                <w:spacing w:val="-1"/>
                <w:sz w:val="18"/>
                <w:szCs w:val="18"/>
              </w:rPr>
              <w:t>entitas</w:t>
            </w:r>
            <w:r w:rsidRPr="0076606E">
              <w:rPr>
                <w:spacing w:val="4"/>
                <w:sz w:val="18"/>
                <w:szCs w:val="18"/>
              </w:rPr>
              <w:t xml:space="preserve"> induk dari entitas pelapor.</w:t>
            </w:r>
          </w:p>
        </w:tc>
        <w:tc>
          <w:tcPr>
            <w:tcW w:w="4599" w:type="dxa"/>
          </w:tcPr>
          <w:p w14:paraId="6A1E9908" w14:textId="77777777" w:rsidR="002C2CF0" w:rsidRPr="0076606E" w:rsidRDefault="002C2CF0" w:rsidP="0013526B">
            <w:pPr>
              <w:widowControl w:val="0"/>
              <w:autoSpaceDE w:val="0"/>
              <w:autoSpaceDN w:val="0"/>
              <w:adjustRightInd w:val="0"/>
              <w:spacing w:before="2"/>
              <w:ind w:left="567" w:right="-57"/>
              <w:jc w:val="both"/>
              <w:rPr>
                <w:i/>
                <w:sz w:val="18"/>
                <w:szCs w:val="18"/>
              </w:rPr>
            </w:pPr>
            <w:r w:rsidRPr="0076606E">
              <w:rPr>
                <w:i/>
                <w:iCs/>
                <w:sz w:val="18"/>
                <w:szCs w:val="18"/>
              </w:rPr>
              <w:t>A</w:t>
            </w:r>
            <w:r w:rsidRPr="0076606E">
              <w:rPr>
                <w:i/>
                <w:iCs/>
                <w:spacing w:val="24"/>
                <w:sz w:val="18"/>
                <w:szCs w:val="18"/>
              </w:rPr>
              <w:t xml:space="preserve"> </w:t>
            </w:r>
            <w:r w:rsidRPr="0076606E">
              <w:rPr>
                <w:i/>
                <w:iCs/>
                <w:spacing w:val="1"/>
                <w:sz w:val="18"/>
                <w:szCs w:val="18"/>
              </w:rPr>
              <w:t>r</w:t>
            </w:r>
            <w:r w:rsidRPr="0076606E">
              <w:rPr>
                <w:i/>
                <w:iCs/>
                <w:sz w:val="18"/>
                <w:szCs w:val="18"/>
              </w:rPr>
              <w:t>e</w:t>
            </w:r>
            <w:r w:rsidRPr="0076606E">
              <w:rPr>
                <w:i/>
                <w:iCs/>
                <w:spacing w:val="1"/>
                <w:sz w:val="18"/>
                <w:szCs w:val="18"/>
              </w:rPr>
              <w:t>l</w:t>
            </w:r>
            <w:r w:rsidRPr="0076606E">
              <w:rPr>
                <w:i/>
                <w:iCs/>
                <w:sz w:val="18"/>
                <w:szCs w:val="18"/>
              </w:rPr>
              <w:t>at</w:t>
            </w:r>
            <w:r w:rsidRPr="0076606E">
              <w:rPr>
                <w:i/>
                <w:iCs/>
                <w:spacing w:val="-1"/>
                <w:sz w:val="18"/>
                <w:szCs w:val="18"/>
              </w:rPr>
              <w:t>e</w:t>
            </w:r>
            <w:r w:rsidRPr="0076606E">
              <w:rPr>
                <w:i/>
                <w:iCs/>
                <w:sz w:val="18"/>
                <w:szCs w:val="18"/>
              </w:rPr>
              <w:t>d</w:t>
            </w:r>
            <w:r w:rsidRPr="0076606E">
              <w:rPr>
                <w:i/>
                <w:iCs/>
                <w:spacing w:val="22"/>
                <w:sz w:val="18"/>
                <w:szCs w:val="18"/>
              </w:rPr>
              <w:t xml:space="preserve"> </w:t>
            </w:r>
            <w:r w:rsidRPr="0076606E">
              <w:rPr>
                <w:i/>
                <w:iCs/>
                <w:sz w:val="18"/>
                <w:szCs w:val="18"/>
              </w:rPr>
              <w:t>p</w:t>
            </w:r>
            <w:r w:rsidRPr="0076606E">
              <w:rPr>
                <w:i/>
                <w:iCs/>
                <w:spacing w:val="-1"/>
                <w:sz w:val="18"/>
                <w:szCs w:val="18"/>
              </w:rPr>
              <w:t>a</w:t>
            </w:r>
            <w:r w:rsidRPr="0076606E">
              <w:rPr>
                <w:i/>
                <w:iCs/>
                <w:spacing w:val="1"/>
                <w:sz w:val="18"/>
                <w:szCs w:val="18"/>
              </w:rPr>
              <w:t>r</w:t>
            </w:r>
            <w:r w:rsidRPr="0076606E">
              <w:rPr>
                <w:i/>
                <w:iCs/>
                <w:sz w:val="18"/>
                <w:szCs w:val="18"/>
              </w:rPr>
              <w:t>ty</w:t>
            </w:r>
            <w:r w:rsidRPr="0076606E">
              <w:rPr>
                <w:i/>
                <w:iCs/>
                <w:spacing w:val="23"/>
                <w:sz w:val="18"/>
                <w:szCs w:val="18"/>
              </w:rPr>
              <w:t xml:space="preserve"> </w:t>
            </w:r>
            <w:r w:rsidRPr="0076606E">
              <w:rPr>
                <w:i/>
                <w:iCs/>
                <w:spacing w:val="-1"/>
                <w:sz w:val="18"/>
                <w:szCs w:val="18"/>
              </w:rPr>
              <w:t>i</w:t>
            </w:r>
            <w:r w:rsidRPr="0076606E">
              <w:rPr>
                <w:i/>
                <w:iCs/>
                <w:sz w:val="18"/>
                <w:szCs w:val="18"/>
              </w:rPr>
              <w:t>s</w:t>
            </w:r>
            <w:r w:rsidRPr="0076606E">
              <w:rPr>
                <w:i/>
                <w:iCs/>
                <w:spacing w:val="26"/>
                <w:sz w:val="18"/>
                <w:szCs w:val="18"/>
              </w:rPr>
              <w:t xml:space="preserve"> </w:t>
            </w:r>
            <w:r w:rsidRPr="0076606E">
              <w:rPr>
                <w:i/>
                <w:iCs/>
                <w:sz w:val="18"/>
                <w:szCs w:val="18"/>
              </w:rPr>
              <w:t>a</w:t>
            </w:r>
            <w:r w:rsidRPr="0076606E">
              <w:rPr>
                <w:i/>
                <w:iCs/>
                <w:spacing w:val="27"/>
                <w:sz w:val="18"/>
                <w:szCs w:val="18"/>
              </w:rPr>
              <w:t xml:space="preserve"> </w:t>
            </w:r>
            <w:r w:rsidRPr="0076606E">
              <w:rPr>
                <w:i/>
                <w:iCs/>
                <w:sz w:val="18"/>
                <w:szCs w:val="18"/>
              </w:rPr>
              <w:t>p</w:t>
            </w:r>
            <w:r w:rsidRPr="0076606E">
              <w:rPr>
                <w:i/>
                <w:iCs/>
                <w:spacing w:val="-1"/>
                <w:sz w:val="18"/>
                <w:szCs w:val="18"/>
              </w:rPr>
              <w:t>e</w:t>
            </w:r>
            <w:r w:rsidRPr="0076606E">
              <w:rPr>
                <w:i/>
                <w:iCs/>
                <w:spacing w:val="1"/>
                <w:sz w:val="18"/>
                <w:szCs w:val="18"/>
              </w:rPr>
              <w:t>rs</w:t>
            </w:r>
            <w:r w:rsidRPr="0076606E">
              <w:rPr>
                <w:i/>
                <w:iCs/>
                <w:spacing w:val="2"/>
                <w:sz w:val="18"/>
                <w:szCs w:val="18"/>
              </w:rPr>
              <w:t>o</w:t>
            </w:r>
            <w:r w:rsidRPr="0076606E">
              <w:rPr>
                <w:i/>
                <w:iCs/>
                <w:sz w:val="18"/>
                <w:szCs w:val="18"/>
              </w:rPr>
              <w:t>n</w:t>
            </w:r>
            <w:r w:rsidRPr="0076606E">
              <w:rPr>
                <w:i/>
                <w:iCs/>
                <w:spacing w:val="20"/>
                <w:sz w:val="18"/>
                <w:szCs w:val="18"/>
              </w:rPr>
              <w:t xml:space="preserve"> </w:t>
            </w:r>
            <w:r w:rsidRPr="0076606E">
              <w:rPr>
                <w:i/>
                <w:iCs/>
                <w:sz w:val="18"/>
                <w:szCs w:val="18"/>
              </w:rPr>
              <w:t>or</w:t>
            </w:r>
            <w:r w:rsidRPr="0076606E">
              <w:rPr>
                <w:i/>
                <w:iCs/>
                <w:spacing w:val="24"/>
                <w:sz w:val="18"/>
                <w:szCs w:val="18"/>
              </w:rPr>
              <w:t xml:space="preserve"> </w:t>
            </w:r>
            <w:r w:rsidRPr="0076606E">
              <w:rPr>
                <w:i/>
                <w:iCs/>
                <w:sz w:val="18"/>
                <w:szCs w:val="18"/>
              </w:rPr>
              <w:t>an</w:t>
            </w:r>
            <w:r w:rsidRPr="0076606E">
              <w:rPr>
                <w:i/>
                <w:iCs/>
                <w:spacing w:val="26"/>
                <w:sz w:val="18"/>
                <w:szCs w:val="18"/>
              </w:rPr>
              <w:t xml:space="preserve"> </w:t>
            </w:r>
            <w:r w:rsidRPr="0076606E">
              <w:rPr>
                <w:i/>
                <w:iCs/>
                <w:sz w:val="18"/>
                <w:szCs w:val="18"/>
              </w:rPr>
              <w:t>e</w:t>
            </w:r>
            <w:r w:rsidRPr="0076606E">
              <w:rPr>
                <w:i/>
                <w:iCs/>
                <w:spacing w:val="-1"/>
                <w:sz w:val="18"/>
                <w:szCs w:val="18"/>
              </w:rPr>
              <w:t>n</w:t>
            </w:r>
            <w:r w:rsidRPr="0076606E">
              <w:rPr>
                <w:i/>
                <w:iCs/>
                <w:spacing w:val="2"/>
                <w:sz w:val="18"/>
                <w:szCs w:val="18"/>
              </w:rPr>
              <w:t>t</w:t>
            </w:r>
            <w:r w:rsidRPr="0076606E">
              <w:rPr>
                <w:i/>
                <w:iCs/>
                <w:spacing w:val="-1"/>
                <w:sz w:val="18"/>
                <w:szCs w:val="18"/>
              </w:rPr>
              <w:t>i</w:t>
            </w:r>
            <w:r w:rsidRPr="0076606E">
              <w:rPr>
                <w:i/>
                <w:iCs/>
                <w:sz w:val="18"/>
                <w:szCs w:val="18"/>
              </w:rPr>
              <w:t>ty</w:t>
            </w:r>
            <w:r w:rsidRPr="0076606E">
              <w:rPr>
                <w:i/>
                <w:iCs/>
                <w:spacing w:val="22"/>
                <w:sz w:val="18"/>
                <w:szCs w:val="18"/>
              </w:rPr>
              <w:t xml:space="preserve"> </w:t>
            </w:r>
            <w:r w:rsidRPr="0076606E">
              <w:rPr>
                <w:i/>
                <w:iCs/>
                <w:sz w:val="18"/>
                <w:szCs w:val="18"/>
              </w:rPr>
              <w:t>th</w:t>
            </w:r>
            <w:r w:rsidRPr="0076606E">
              <w:rPr>
                <w:i/>
                <w:iCs/>
                <w:spacing w:val="1"/>
                <w:sz w:val="18"/>
                <w:szCs w:val="18"/>
              </w:rPr>
              <w:t>a</w:t>
            </w:r>
            <w:r w:rsidRPr="0076606E">
              <w:rPr>
                <w:i/>
                <w:iCs/>
                <w:sz w:val="18"/>
                <w:szCs w:val="18"/>
              </w:rPr>
              <w:t>t</w:t>
            </w:r>
            <w:r w:rsidRPr="0076606E">
              <w:rPr>
                <w:i/>
                <w:iCs/>
                <w:spacing w:val="23"/>
                <w:sz w:val="18"/>
                <w:szCs w:val="18"/>
              </w:rPr>
              <w:t xml:space="preserve"> </w:t>
            </w:r>
            <w:r w:rsidRPr="0076606E">
              <w:rPr>
                <w:i/>
                <w:iCs/>
                <w:spacing w:val="-1"/>
                <w:sz w:val="18"/>
                <w:szCs w:val="18"/>
              </w:rPr>
              <w:t>i</w:t>
            </w:r>
            <w:r w:rsidRPr="0076606E">
              <w:rPr>
                <w:i/>
                <w:iCs/>
                <w:sz w:val="18"/>
                <w:szCs w:val="18"/>
              </w:rPr>
              <w:t xml:space="preserve">s </w:t>
            </w:r>
            <w:r w:rsidRPr="0076606E">
              <w:rPr>
                <w:i/>
                <w:iCs/>
                <w:spacing w:val="1"/>
                <w:sz w:val="18"/>
                <w:szCs w:val="18"/>
              </w:rPr>
              <w:t>r</w:t>
            </w:r>
            <w:r w:rsidRPr="0076606E">
              <w:rPr>
                <w:i/>
                <w:iCs/>
                <w:sz w:val="18"/>
                <w:szCs w:val="18"/>
              </w:rPr>
              <w:t>e</w:t>
            </w:r>
            <w:r w:rsidRPr="0076606E">
              <w:rPr>
                <w:i/>
                <w:iCs/>
                <w:spacing w:val="-1"/>
                <w:sz w:val="18"/>
                <w:szCs w:val="18"/>
              </w:rPr>
              <w:t>l</w:t>
            </w:r>
            <w:r w:rsidRPr="0076606E">
              <w:rPr>
                <w:i/>
                <w:iCs/>
                <w:sz w:val="18"/>
                <w:szCs w:val="18"/>
              </w:rPr>
              <w:t>at</w:t>
            </w:r>
            <w:r w:rsidRPr="0076606E">
              <w:rPr>
                <w:i/>
                <w:iCs/>
                <w:spacing w:val="1"/>
                <w:sz w:val="18"/>
                <w:szCs w:val="18"/>
              </w:rPr>
              <w:t>e</w:t>
            </w:r>
            <w:r w:rsidRPr="0076606E">
              <w:rPr>
                <w:i/>
                <w:iCs/>
                <w:sz w:val="18"/>
                <w:szCs w:val="18"/>
              </w:rPr>
              <w:t>d</w:t>
            </w:r>
            <w:r w:rsidRPr="0076606E">
              <w:rPr>
                <w:i/>
                <w:iCs/>
                <w:spacing w:val="-6"/>
                <w:sz w:val="18"/>
                <w:szCs w:val="18"/>
              </w:rPr>
              <w:t xml:space="preserve"> </w:t>
            </w:r>
            <w:r w:rsidRPr="0076606E">
              <w:rPr>
                <w:i/>
                <w:iCs/>
                <w:spacing w:val="-1"/>
                <w:sz w:val="18"/>
                <w:szCs w:val="18"/>
              </w:rPr>
              <w:t>t</w:t>
            </w:r>
            <w:r w:rsidRPr="0076606E">
              <w:rPr>
                <w:i/>
                <w:iCs/>
                <w:sz w:val="18"/>
                <w:szCs w:val="18"/>
              </w:rPr>
              <w:t>o t</w:t>
            </w:r>
            <w:r w:rsidRPr="0076606E">
              <w:rPr>
                <w:i/>
                <w:iCs/>
                <w:spacing w:val="-1"/>
                <w:sz w:val="18"/>
                <w:szCs w:val="18"/>
              </w:rPr>
              <w:t>h</w:t>
            </w:r>
            <w:r w:rsidRPr="0076606E">
              <w:rPr>
                <w:i/>
                <w:iCs/>
                <w:sz w:val="18"/>
                <w:szCs w:val="18"/>
              </w:rPr>
              <w:t>e</w:t>
            </w:r>
            <w:r w:rsidRPr="0076606E">
              <w:rPr>
                <w:i/>
                <w:iCs/>
                <w:spacing w:val="-1"/>
                <w:sz w:val="18"/>
                <w:szCs w:val="18"/>
              </w:rPr>
              <w:t xml:space="preserve"> </w:t>
            </w:r>
            <w:r w:rsidRPr="0076606E">
              <w:rPr>
                <w:i/>
                <w:iCs/>
                <w:sz w:val="18"/>
                <w:szCs w:val="18"/>
              </w:rPr>
              <w:t>re</w:t>
            </w:r>
            <w:r w:rsidRPr="0076606E">
              <w:rPr>
                <w:i/>
                <w:iCs/>
                <w:spacing w:val="-1"/>
                <w:sz w:val="18"/>
                <w:szCs w:val="18"/>
              </w:rPr>
              <w:t>p</w:t>
            </w:r>
            <w:r w:rsidRPr="0076606E">
              <w:rPr>
                <w:i/>
                <w:iCs/>
                <w:sz w:val="18"/>
                <w:szCs w:val="18"/>
              </w:rPr>
              <w:t>or</w:t>
            </w:r>
            <w:r w:rsidRPr="0076606E">
              <w:rPr>
                <w:i/>
                <w:iCs/>
                <w:spacing w:val="3"/>
                <w:sz w:val="18"/>
                <w:szCs w:val="18"/>
              </w:rPr>
              <w:t>t</w:t>
            </w:r>
            <w:r w:rsidRPr="0076606E">
              <w:rPr>
                <w:i/>
                <w:iCs/>
                <w:spacing w:val="-1"/>
                <w:sz w:val="18"/>
                <w:szCs w:val="18"/>
              </w:rPr>
              <w:t>i</w:t>
            </w:r>
            <w:r w:rsidRPr="0076606E">
              <w:rPr>
                <w:i/>
                <w:iCs/>
                <w:spacing w:val="2"/>
                <w:sz w:val="18"/>
                <w:szCs w:val="18"/>
              </w:rPr>
              <w:t>n</w:t>
            </w:r>
            <w:r w:rsidRPr="0076606E">
              <w:rPr>
                <w:i/>
                <w:iCs/>
                <w:sz w:val="18"/>
                <w:szCs w:val="18"/>
              </w:rPr>
              <w:t>g</w:t>
            </w:r>
            <w:r w:rsidRPr="0076606E">
              <w:rPr>
                <w:i/>
                <w:iCs/>
                <w:spacing w:val="-8"/>
                <w:sz w:val="18"/>
                <w:szCs w:val="18"/>
              </w:rPr>
              <w:t xml:space="preserve"> </w:t>
            </w:r>
            <w:r w:rsidRPr="0076606E">
              <w:rPr>
                <w:i/>
                <w:iCs/>
                <w:spacing w:val="-1"/>
                <w:sz w:val="18"/>
                <w:szCs w:val="18"/>
              </w:rPr>
              <w:t>e</w:t>
            </w:r>
            <w:r w:rsidRPr="0076606E">
              <w:rPr>
                <w:i/>
                <w:iCs/>
                <w:spacing w:val="2"/>
                <w:sz w:val="18"/>
                <w:szCs w:val="18"/>
              </w:rPr>
              <w:t>n</w:t>
            </w:r>
            <w:r w:rsidRPr="0076606E">
              <w:rPr>
                <w:i/>
                <w:iCs/>
                <w:sz w:val="18"/>
                <w:szCs w:val="18"/>
              </w:rPr>
              <w:t>t</w:t>
            </w:r>
            <w:r w:rsidRPr="0076606E">
              <w:rPr>
                <w:i/>
                <w:iCs/>
                <w:spacing w:val="-1"/>
                <w:sz w:val="18"/>
                <w:szCs w:val="18"/>
              </w:rPr>
              <w:t>i</w:t>
            </w:r>
            <w:r w:rsidRPr="0076606E">
              <w:rPr>
                <w:i/>
                <w:iCs/>
                <w:spacing w:val="2"/>
                <w:sz w:val="18"/>
                <w:szCs w:val="18"/>
              </w:rPr>
              <w:t>t</w:t>
            </w:r>
            <w:r w:rsidRPr="0076606E">
              <w:rPr>
                <w:i/>
                <w:iCs/>
                <w:spacing w:val="1"/>
                <w:sz w:val="18"/>
                <w:szCs w:val="18"/>
              </w:rPr>
              <w:t>y</w:t>
            </w:r>
            <w:r w:rsidRPr="0076606E">
              <w:rPr>
                <w:i/>
                <w:iCs/>
                <w:sz w:val="18"/>
                <w:szCs w:val="18"/>
              </w:rPr>
              <w:t>:</w:t>
            </w:r>
          </w:p>
          <w:p w14:paraId="32E1C5B6" w14:textId="77777777" w:rsidR="002C2CF0" w:rsidRPr="0076606E" w:rsidRDefault="002C2CF0" w:rsidP="00070D1F">
            <w:pPr>
              <w:pStyle w:val="ListParagraph"/>
              <w:widowControl w:val="0"/>
              <w:numPr>
                <w:ilvl w:val="1"/>
                <w:numId w:val="104"/>
              </w:numPr>
              <w:tabs>
                <w:tab w:val="left" w:pos="856"/>
              </w:tabs>
              <w:autoSpaceDE w:val="0"/>
              <w:autoSpaceDN w:val="0"/>
              <w:adjustRightInd w:val="0"/>
              <w:ind w:left="851" w:right="-54" w:hanging="284"/>
              <w:jc w:val="both"/>
              <w:rPr>
                <w:i/>
                <w:sz w:val="18"/>
                <w:szCs w:val="18"/>
              </w:rPr>
            </w:pPr>
            <w:r w:rsidRPr="0076606E">
              <w:rPr>
                <w:i/>
                <w:iCs/>
                <w:sz w:val="18"/>
                <w:szCs w:val="18"/>
              </w:rPr>
              <w:t>A p</w:t>
            </w:r>
            <w:r w:rsidRPr="0076606E">
              <w:rPr>
                <w:i/>
                <w:iCs/>
                <w:spacing w:val="-1"/>
                <w:sz w:val="18"/>
                <w:szCs w:val="18"/>
              </w:rPr>
              <w:t>e</w:t>
            </w:r>
            <w:r w:rsidRPr="0076606E">
              <w:rPr>
                <w:i/>
                <w:iCs/>
                <w:spacing w:val="1"/>
                <w:sz w:val="18"/>
                <w:szCs w:val="18"/>
              </w:rPr>
              <w:t>rs</w:t>
            </w:r>
            <w:r w:rsidRPr="0076606E">
              <w:rPr>
                <w:i/>
                <w:iCs/>
                <w:sz w:val="18"/>
                <w:szCs w:val="18"/>
              </w:rPr>
              <w:t xml:space="preserve">on or a </w:t>
            </w:r>
            <w:r w:rsidRPr="0076606E">
              <w:rPr>
                <w:i/>
                <w:iCs/>
                <w:spacing w:val="1"/>
                <w:sz w:val="18"/>
                <w:szCs w:val="18"/>
              </w:rPr>
              <w:t>c</w:t>
            </w:r>
            <w:r w:rsidRPr="0076606E">
              <w:rPr>
                <w:i/>
                <w:iCs/>
                <w:spacing w:val="-1"/>
                <w:sz w:val="18"/>
                <w:szCs w:val="18"/>
              </w:rPr>
              <w:t>l</w:t>
            </w:r>
            <w:r w:rsidRPr="0076606E">
              <w:rPr>
                <w:i/>
                <w:iCs/>
                <w:sz w:val="18"/>
                <w:szCs w:val="18"/>
              </w:rPr>
              <w:t>o</w:t>
            </w:r>
            <w:r w:rsidRPr="0076606E">
              <w:rPr>
                <w:i/>
                <w:iCs/>
                <w:spacing w:val="1"/>
                <w:sz w:val="18"/>
                <w:szCs w:val="18"/>
              </w:rPr>
              <w:t>s</w:t>
            </w:r>
            <w:r w:rsidRPr="0076606E">
              <w:rPr>
                <w:i/>
                <w:iCs/>
                <w:sz w:val="18"/>
                <w:szCs w:val="18"/>
              </w:rPr>
              <w:t>e m</w:t>
            </w:r>
            <w:r w:rsidRPr="0076606E">
              <w:rPr>
                <w:i/>
                <w:iCs/>
                <w:spacing w:val="-1"/>
                <w:sz w:val="18"/>
                <w:szCs w:val="18"/>
              </w:rPr>
              <w:t>e</w:t>
            </w:r>
            <w:r w:rsidRPr="0076606E">
              <w:rPr>
                <w:i/>
                <w:iCs/>
                <w:spacing w:val="2"/>
                <w:sz w:val="18"/>
                <w:szCs w:val="18"/>
              </w:rPr>
              <w:t>m</w:t>
            </w:r>
            <w:r w:rsidRPr="0076606E">
              <w:rPr>
                <w:i/>
                <w:iCs/>
                <w:sz w:val="18"/>
                <w:szCs w:val="18"/>
              </w:rPr>
              <w:t>b</w:t>
            </w:r>
            <w:r w:rsidRPr="0076606E">
              <w:rPr>
                <w:i/>
                <w:iCs/>
                <w:spacing w:val="-1"/>
                <w:sz w:val="18"/>
                <w:szCs w:val="18"/>
              </w:rPr>
              <w:t>e</w:t>
            </w:r>
            <w:r w:rsidRPr="0076606E">
              <w:rPr>
                <w:i/>
                <w:iCs/>
                <w:sz w:val="18"/>
                <w:szCs w:val="18"/>
              </w:rPr>
              <w:t>r of th</w:t>
            </w:r>
            <w:r w:rsidRPr="0076606E">
              <w:rPr>
                <w:i/>
                <w:iCs/>
                <w:spacing w:val="-1"/>
                <w:sz w:val="18"/>
                <w:szCs w:val="18"/>
              </w:rPr>
              <w:t>a</w:t>
            </w:r>
            <w:r w:rsidRPr="0076606E">
              <w:rPr>
                <w:i/>
                <w:iCs/>
                <w:sz w:val="18"/>
                <w:szCs w:val="18"/>
              </w:rPr>
              <w:t>t p</w:t>
            </w:r>
            <w:r w:rsidRPr="0076606E">
              <w:rPr>
                <w:i/>
                <w:iCs/>
                <w:spacing w:val="-1"/>
                <w:sz w:val="18"/>
                <w:szCs w:val="18"/>
              </w:rPr>
              <w:t>e</w:t>
            </w:r>
            <w:r w:rsidRPr="0076606E">
              <w:rPr>
                <w:i/>
                <w:iCs/>
                <w:spacing w:val="1"/>
                <w:sz w:val="18"/>
                <w:szCs w:val="18"/>
              </w:rPr>
              <w:t>rs</w:t>
            </w:r>
            <w:r w:rsidRPr="0076606E">
              <w:rPr>
                <w:i/>
                <w:iCs/>
                <w:sz w:val="18"/>
                <w:szCs w:val="18"/>
              </w:rPr>
              <w:t>o</w:t>
            </w:r>
            <w:r w:rsidRPr="0076606E">
              <w:rPr>
                <w:i/>
                <w:iCs/>
                <w:spacing w:val="1"/>
                <w:sz w:val="18"/>
                <w:szCs w:val="18"/>
              </w:rPr>
              <w:t>n</w:t>
            </w:r>
            <w:r w:rsidRPr="0076606E">
              <w:rPr>
                <w:i/>
                <w:iCs/>
                <w:spacing w:val="-3"/>
                <w:sz w:val="18"/>
                <w:szCs w:val="18"/>
              </w:rPr>
              <w:t>’</w:t>
            </w:r>
            <w:r w:rsidRPr="0076606E">
              <w:rPr>
                <w:i/>
                <w:iCs/>
                <w:sz w:val="18"/>
                <w:szCs w:val="18"/>
              </w:rPr>
              <w:t>s</w:t>
            </w:r>
            <w:r w:rsidRPr="0076606E">
              <w:rPr>
                <w:i/>
                <w:iCs/>
                <w:spacing w:val="1"/>
                <w:sz w:val="18"/>
                <w:szCs w:val="18"/>
              </w:rPr>
              <w:t xml:space="preserve"> </w:t>
            </w:r>
            <w:r w:rsidRPr="0076606E">
              <w:rPr>
                <w:i/>
                <w:iCs/>
                <w:sz w:val="18"/>
                <w:szCs w:val="18"/>
              </w:rPr>
              <w:t>fa</w:t>
            </w:r>
            <w:r w:rsidRPr="0076606E">
              <w:rPr>
                <w:i/>
                <w:iCs/>
                <w:spacing w:val="1"/>
                <w:sz w:val="18"/>
                <w:szCs w:val="18"/>
              </w:rPr>
              <w:t>m</w:t>
            </w:r>
            <w:r w:rsidRPr="0076606E">
              <w:rPr>
                <w:i/>
                <w:iCs/>
                <w:spacing w:val="-1"/>
                <w:sz w:val="18"/>
                <w:szCs w:val="18"/>
              </w:rPr>
              <w:t>il</w:t>
            </w:r>
            <w:r w:rsidRPr="0076606E">
              <w:rPr>
                <w:i/>
                <w:iCs/>
                <w:sz w:val="18"/>
                <w:szCs w:val="18"/>
              </w:rPr>
              <w:t>y</w:t>
            </w:r>
            <w:r w:rsidRPr="0076606E">
              <w:rPr>
                <w:i/>
                <w:iCs/>
                <w:spacing w:val="3"/>
                <w:sz w:val="18"/>
                <w:szCs w:val="18"/>
              </w:rPr>
              <w:t xml:space="preserve"> </w:t>
            </w:r>
            <w:r w:rsidRPr="0076606E">
              <w:rPr>
                <w:i/>
                <w:iCs/>
                <w:spacing w:val="-1"/>
                <w:sz w:val="18"/>
                <w:szCs w:val="18"/>
              </w:rPr>
              <w:t>i</w:t>
            </w:r>
            <w:r w:rsidRPr="0076606E">
              <w:rPr>
                <w:i/>
                <w:iCs/>
                <w:sz w:val="18"/>
                <w:szCs w:val="18"/>
              </w:rPr>
              <w:t>s</w:t>
            </w:r>
            <w:r w:rsidRPr="0076606E">
              <w:rPr>
                <w:i/>
                <w:iCs/>
                <w:spacing w:val="4"/>
                <w:sz w:val="18"/>
                <w:szCs w:val="18"/>
              </w:rPr>
              <w:t xml:space="preserve"> </w:t>
            </w:r>
            <w:r w:rsidRPr="0076606E">
              <w:rPr>
                <w:i/>
                <w:iCs/>
                <w:spacing w:val="1"/>
                <w:sz w:val="18"/>
                <w:szCs w:val="18"/>
              </w:rPr>
              <w:t>r</w:t>
            </w:r>
            <w:r w:rsidRPr="0076606E">
              <w:rPr>
                <w:i/>
                <w:iCs/>
                <w:spacing w:val="2"/>
                <w:sz w:val="18"/>
                <w:szCs w:val="18"/>
              </w:rPr>
              <w:t>e</w:t>
            </w:r>
            <w:r w:rsidRPr="0076606E">
              <w:rPr>
                <w:i/>
                <w:iCs/>
                <w:spacing w:val="-1"/>
                <w:sz w:val="18"/>
                <w:szCs w:val="18"/>
              </w:rPr>
              <w:t>l</w:t>
            </w:r>
            <w:r w:rsidRPr="0076606E">
              <w:rPr>
                <w:i/>
                <w:iCs/>
                <w:sz w:val="18"/>
                <w:szCs w:val="18"/>
              </w:rPr>
              <w:t>at</w:t>
            </w:r>
            <w:r w:rsidRPr="0076606E">
              <w:rPr>
                <w:i/>
                <w:iCs/>
                <w:spacing w:val="1"/>
                <w:sz w:val="18"/>
                <w:szCs w:val="18"/>
              </w:rPr>
              <w:t>e</w:t>
            </w:r>
            <w:r w:rsidRPr="0076606E">
              <w:rPr>
                <w:i/>
                <w:iCs/>
                <w:sz w:val="18"/>
                <w:szCs w:val="18"/>
              </w:rPr>
              <w:t>d to</w:t>
            </w:r>
            <w:r w:rsidRPr="0076606E">
              <w:rPr>
                <w:i/>
                <w:iCs/>
                <w:spacing w:val="4"/>
                <w:sz w:val="18"/>
                <w:szCs w:val="18"/>
              </w:rPr>
              <w:t xml:space="preserve"> </w:t>
            </w:r>
            <w:r w:rsidRPr="0076606E">
              <w:rPr>
                <w:i/>
                <w:iCs/>
                <w:sz w:val="18"/>
                <w:szCs w:val="18"/>
              </w:rPr>
              <w:t>a</w:t>
            </w:r>
            <w:r w:rsidRPr="0076606E">
              <w:rPr>
                <w:i/>
                <w:iCs/>
                <w:spacing w:val="3"/>
                <w:sz w:val="18"/>
                <w:szCs w:val="18"/>
              </w:rPr>
              <w:t xml:space="preserve"> </w:t>
            </w:r>
            <w:r w:rsidRPr="0076606E">
              <w:rPr>
                <w:i/>
                <w:iCs/>
                <w:spacing w:val="1"/>
                <w:sz w:val="18"/>
                <w:szCs w:val="18"/>
              </w:rPr>
              <w:t>r</w:t>
            </w:r>
            <w:r w:rsidRPr="0076606E">
              <w:rPr>
                <w:i/>
                <w:iCs/>
                <w:sz w:val="18"/>
                <w:szCs w:val="18"/>
              </w:rPr>
              <w:t>e</w:t>
            </w:r>
            <w:r w:rsidRPr="0076606E">
              <w:rPr>
                <w:i/>
                <w:iCs/>
                <w:spacing w:val="1"/>
                <w:sz w:val="18"/>
                <w:szCs w:val="18"/>
              </w:rPr>
              <w:t>p</w:t>
            </w:r>
            <w:r w:rsidRPr="0076606E">
              <w:rPr>
                <w:i/>
                <w:iCs/>
                <w:sz w:val="18"/>
                <w:szCs w:val="18"/>
              </w:rPr>
              <w:t>ort</w:t>
            </w:r>
            <w:r w:rsidRPr="0076606E">
              <w:rPr>
                <w:i/>
                <w:iCs/>
                <w:spacing w:val="2"/>
                <w:sz w:val="18"/>
                <w:szCs w:val="18"/>
              </w:rPr>
              <w:t>i</w:t>
            </w:r>
            <w:r w:rsidRPr="0076606E">
              <w:rPr>
                <w:i/>
                <w:iCs/>
                <w:sz w:val="18"/>
                <w:szCs w:val="18"/>
              </w:rPr>
              <w:t>ng e</w:t>
            </w:r>
            <w:r w:rsidRPr="0076606E">
              <w:rPr>
                <w:i/>
                <w:iCs/>
                <w:spacing w:val="-1"/>
                <w:sz w:val="18"/>
                <w:szCs w:val="18"/>
              </w:rPr>
              <w:t>n</w:t>
            </w:r>
            <w:r w:rsidRPr="0076606E">
              <w:rPr>
                <w:i/>
                <w:iCs/>
                <w:sz w:val="18"/>
                <w:szCs w:val="18"/>
              </w:rPr>
              <w:t>t</w:t>
            </w:r>
            <w:r w:rsidRPr="0076606E">
              <w:rPr>
                <w:i/>
                <w:iCs/>
                <w:spacing w:val="1"/>
                <w:sz w:val="18"/>
                <w:szCs w:val="18"/>
              </w:rPr>
              <w:t>i</w:t>
            </w:r>
            <w:r w:rsidRPr="0076606E">
              <w:rPr>
                <w:i/>
                <w:iCs/>
                <w:sz w:val="18"/>
                <w:szCs w:val="18"/>
              </w:rPr>
              <w:t>ty</w:t>
            </w:r>
            <w:r w:rsidRPr="0076606E">
              <w:rPr>
                <w:i/>
                <w:iCs/>
                <w:spacing w:val="-4"/>
                <w:sz w:val="18"/>
                <w:szCs w:val="18"/>
              </w:rPr>
              <w:t xml:space="preserve"> </w:t>
            </w:r>
            <w:r w:rsidRPr="0076606E">
              <w:rPr>
                <w:i/>
                <w:iCs/>
                <w:spacing w:val="-1"/>
                <w:sz w:val="18"/>
                <w:szCs w:val="18"/>
              </w:rPr>
              <w:t>i</w:t>
            </w:r>
            <w:r w:rsidRPr="0076606E">
              <w:rPr>
                <w:i/>
                <w:iCs/>
                <w:sz w:val="18"/>
                <w:szCs w:val="18"/>
              </w:rPr>
              <w:t>f</w:t>
            </w:r>
            <w:r w:rsidRPr="0076606E">
              <w:rPr>
                <w:i/>
                <w:iCs/>
                <w:spacing w:val="-1"/>
                <w:sz w:val="18"/>
                <w:szCs w:val="18"/>
              </w:rPr>
              <w:t xml:space="preserve"> </w:t>
            </w:r>
            <w:r w:rsidRPr="0076606E">
              <w:rPr>
                <w:i/>
                <w:iCs/>
                <w:spacing w:val="2"/>
                <w:sz w:val="18"/>
                <w:szCs w:val="18"/>
              </w:rPr>
              <w:t>t</w:t>
            </w:r>
            <w:r w:rsidRPr="0076606E">
              <w:rPr>
                <w:i/>
                <w:iCs/>
                <w:sz w:val="18"/>
                <w:szCs w:val="18"/>
              </w:rPr>
              <w:t>h</w:t>
            </w:r>
            <w:r w:rsidRPr="0076606E">
              <w:rPr>
                <w:i/>
                <w:iCs/>
                <w:spacing w:val="-1"/>
                <w:sz w:val="18"/>
                <w:szCs w:val="18"/>
              </w:rPr>
              <w:t>a</w:t>
            </w:r>
            <w:r w:rsidRPr="0076606E">
              <w:rPr>
                <w:i/>
                <w:iCs/>
                <w:sz w:val="18"/>
                <w:szCs w:val="18"/>
              </w:rPr>
              <w:t>t</w:t>
            </w:r>
            <w:r w:rsidRPr="0076606E">
              <w:rPr>
                <w:i/>
                <w:iCs/>
                <w:spacing w:val="-1"/>
                <w:sz w:val="18"/>
                <w:szCs w:val="18"/>
              </w:rPr>
              <w:t xml:space="preserve"> </w:t>
            </w:r>
            <w:r w:rsidRPr="0076606E">
              <w:rPr>
                <w:i/>
                <w:iCs/>
                <w:sz w:val="18"/>
                <w:szCs w:val="18"/>
              </w:rPr>
              <w:t>p</w:t>
            </w:r>
            <w:r w:rsidRPr="0076606E">
              <w:rPr>
                <w:i/>
                <w:iCs/>
                <w:spacing w:val="-1"/>
                <w:sz w:val="18"/>
                <w:szCs w:val="18"/>
              </w:rPr>
              <w:t>e</w:t>
            </w:r>
            <w:r w:rsidRPr="0076606E">
              <w:rPr>
                <w:i/>
                <w:iCs/>
                <w:spacing w:val="1"/>
                <w:sz w:val="18"/>
                <w:szCs w:val="18"/>
              </w:rPr>
              <w:t>rs</w:t>
            </w:r>
            <w:r w:rsidRPr="0076606E">
              <w:rPr>
                <w:i/>
                <w:iCs/>
                <w:sz w:val="18"/>
                <w:szCs w:val="18"/>
              </w:rPr>
              <w:t>o</w:t>
            </w:r>
            <w:r w:rsidRPr="0076606E">
              <w:rPr>
                <w:i/>
                <w:iCs/>
                <w:spacing w:val="-1"/>
                <w:sz w:val="18"/>
                <w:szCs w:val="18"/>
              </w:rPr>
              <w:t>n</w:t>
            </w:r>
            <w:r w:rsidRPr="0076606E">
              <w:rPr>
                <w:i/>
                <w:iCs/>
                <w:sz w:val="18"/>
                <w:szCs w:val="18"/>
              </w:rPr>
              <w:t>:</w:t>
            </w:r>
          </w:p>
          <w:p w14:paraId="1A6AAFFC" w14:textId="77777777" w:rsidR="002C2CF0" w:rsidRPr="0076606E" w:rsidRDefault="002C2CF0" w:rsidP="005F361E">
            <w:pPr>
              <w:widowControl w:val="0"/>
              <w:numPr>
                <w:ilvl w:val="0"/>
                <w:numId w:val="18"/>
              </w:numPr>
              <w:autoSpaceDE w:val="0"/>
              <w:autoSpaceDN w:val="0"/>
              <w:adjustRightInd w:val="0"/>
              <w:ind w:left="1135" w:right="-57" w:hanging="284"/>
              <w:jc w:val="both"/>
              <w:rPr>
                <w:i/>
                <w:sz w:val="18"/>
                <w:szCs w:val="18"/>
              </w:rPr>
            </w:pPr>
            <w:r w:rsidRPr="0076606E">
              <w:rPr>
                <w:i/>
                <w:iCs/>
                <w:sz w:val="18"/>
                <w:szCs w:val="18"/>
              </w:rPr>
              <w:t>h</w:t>
            </w:r>
            <w:r w:rsidRPr="0076606E">
              <w:rPr>
                <w:i/>
                <w:iCs/>
                <w:spacing w:val="-1"/>
                <w:sz w:val="18"/>
                <w:szCs w:val="18"/>
              </w:rPr>
              <w:t>a</w:t>
            </w:r>
            <w:r w:rsidRPr="0076606E">
              <w:rPr>
                <w:i/>
                <w:iCs/>
                <w:sz w:val="18"/>
                <w:szCs w:val="18"/>
              </w:rPr>
              <w:t>s</w:t>
            </w:r>
            <w:r w:rsidRPr="0076606E">
              <w:rPr>
                <w:i/>
                <w:iCs/>
                <w:spacing w:val="40"/>
                <w:sz w:val="18"/>
                <w:szCs w:val="18"/>
              </w:rPr>
              <w:t xml:space="preserve"> </w:t>
            </w:r>
            <w:r w:rsidRPr="0076606E">
              <w:rPr>
                <w:i/>
                <w:iCs/>
                <w:spacing w:val="1"/>
                <w:sz w:val="18"/>
                <w:szCs w:val="18"/>
              </w:rPr>
              <w:t>c</w:t>
            </w:r>
            <w:r w:rsidRPr="0076606E">
              <w:rPr>
                <w:i/>
                <w:iCs/>
                <w:sz w:val="18"/>
                <w:szCs w:val="18"/>
              </w:rPr>
              <w:t>o</w:t>
            </w:r>
            <w:r w:rsidRPr="0076606E">
              <w:rPr>
                <w:i/>
                <w:iCs/>
                <w:spacing w:val="-1"/>
                <w:sz w:val="18"/>
                <w:szCs w:val="18"/>
              </w:rPr>
              <w:t>n</w:t>
            </w:r>
            <w:r w:rsidRPr="0076606E">
              <w:rPr>
                <w:i/>
                <w:iCs/>
                <w:sz w:val="18"/>
                <w:szCs w:val="18"/>
              </w:rPr>
              <w:t>tr</w:t>
            </w:r>
            <w:r w:rsidRPr="0076606E">
              <w:rPr>
                <w:i/>
                <w:iCs/>
                <w:spacing w:val="2"/>
                <w:sz w:val="18"/>
                <w:szCs w:val="18"/>
              </w:rPr>
              <w:t>o</w:t>
            </w:r>
            <w:r w:rsidRPr="0076606E">
              <w:rPr>
                <w:i/>
                <w:iCs/>
                <w:sz w:val="18"/>
                <w:szCs w:val="18"/>
              </w:rPr>
              <w:t>l</w:t>
            </w:r>
            <w:r w:rsidRPr="0076606E">
              <w:rPr>
                <w:i/>
                <w:iCs/>
                <w:spacing w:val="38"/>
                <w:sz w:val="18"/>
                <w:szCs w:val="18"/>
              </w:rPr>
              <w:t xml:space="preserve"> </w:t>
            </w:r>
            <w:r w:rsidRPr="0076606E">
              <w:rPr>
                <w:i/>
                <w:iCs/>
                <w:sz w:val="18"/>
                <w:szCs w:val="18"/>
              </w:rPr>
              <w:t>or</w:t>
            </w:r>
            <w:r w:rsidRPr="0076606E">
              <w:rPr>
                <w:i/>
                <w:iCs/>
                <w:spacing w:val="42"/>
                <w:sz w:val="18"/>
                <w:szCs w:val="18"/>
              </w:rPr>
              <w:t xml:space="preserve"> </w:t>
            </w:r>
            <w:r w:rsidRPr="0076606E">
              <w:rPr>
                <w:i/>
                <w:iCs/>
                <w:spacing w:val="-1"/>
                <w:sz w:val="18"/>
                <w:szCs w:val="18"/>
              </w:rPr>
              <w:t>j</w:t>
            </w:r>
            <w:r w:rsidRPr="0076606E">
              <w:rPr>
                <w:i/>
                <w:iCs/>
                <w:spacing w:val="2"/>
                <w:sz w:val="18"/>
                <w:szCs w:val="18"/>
              </w:rPr>
              <w:t>o</w:t>
            </w:r>
            <w:r w:rsidRPr="0076606E">
              <w:rPr>
                <w:i/>
                <w:iCs/>
                <w:spacing w:val="-1"/>
                <w:sz w:val="18"/>
                <w:szCs w:val="18"/>
              </w:rPr>
              <w:t>i</w:t>
            </w:r>
            <w:r w:rsidRPr="0076606E">
              <w:rPr>
                <w:i/>
                <w:iCs/>
                <w:sz w:val="18"/>
                <w:szCs w:val="18"/>
              </w:rPr>
              <w:t>nt</w:t>
            </w:r>
            <w:r w:rsidRPr="0076606E">
              <w:rPr>
                <w:i/>
                <w:iCs/>
                <w:spacing w:val="41"/>
                <w:sz w:val="18"/>
                <w:szCs w:val="18"/>
              </w:rPr>
              <w:t xml:space="preserve"> </w:t>
            </w:r>
            <w:r w:rsidRPr="0076606E">
              <w:rPr>
                <w:i/>
                <w:iCs/>
                <w:spacing w:val="1"/>
                <w:sz w:val="18"/>
                <w:szCs w:val="18"/>
              </w:rPr>
              <w:t>c</w:t>
            </w:r>
            <w:r w:rsidRPr="0076606E">
              <w:rPr>
                <w:i/>
                <w:iCs/>
                <w:sz w:val="18"/>
                <w:szCs w:val="18"/>
              </w:rPr>
              <w:t>o</w:t>
            </w:r>
            <w:r w:rsidRPr="0076606E">
              <w:rPr>
                <w:i/>
                <w:iCs/>
                <w:spacing w:val="-1"/>
                <w:sz w:val="18"/>
                <w:szCs w:val="18"/>
              </w:rPr>
              <w:t>n</w:t>
            </w:r>
            <w:r w:rsidRPr="0076606E">
              <w:rPr>
                <w:i/>
                <w:iCs/>
                <w:sz w:val="18"/>
                <w:szCs w:val="18"/>
              </w:rPr>
              <w:t>tr</w:t>
            </w:r>
            <w:r w:rsidRPr="0076606E">
              <w:rPr>
                <w:i/>
                <w:iCs/>
                <w:spacing w:val="2"/>
                <w:sz w:val="18"/>
                <w:szCs w:val="18"/>
              </w:rPr>
              <w:t>o</w:t>
            </w:r>
            <w:r w:rsidRPr="0076606E">
              <w:rPr>
                <w:i/>
                <w:iCs/>
                <w:sz w:val="18"/>
                <w:szCs w:val="18"/>
              </w:rPr>
              <w:t>l</w:t>
            </w:r>
            <w:r w:rsidRPr="0076606E">
              <w:rPr>
                <w:i/>
                <w:iCs/>
                <w:spacing w:val="35"/>
                <w:sz w:val="18"/>
                <w:szCs w:val="18"/>
              </w:rPr>
              <w:t xml:space="preserve"> </w:t>
            </w:r>
            <w:r w:rsidRPr="0076606E">
              <w:rPr>
                <w:i/>
                <w:iCs/>
                <w:sz w:val="18"/>
                <w:szCs w:val="18"/>
              </w:rPr>
              <w:t>o</w:t>
            </w:r>
            <w:r w:rsidRPr="0076606E">
              <w:rPr>
                <w:i/>
                <w:iCs/>
                <w:spacing w:val="1"/>
                <w:sz w:val="18"/>
                <w:szCs w:val="18"/>
              </w:rPr>
              <w:t>v</w:t>
            </w:r>
            <w:r w:rsidRPr="0076606E">
              <w:rPr>
                <w:i/>
                <w:iCs/>
                <w:sz w:val="18"/>
                <w:szCs w:val="18"/>
              </w:rPr>
              <w:t>er</w:t>
            </w:r>
            <w:r w:rsidRPr="0076606E">
              <w:rPr>
                <w:i/>
                <w:iCs/>
                <w:spacing w:val="40"/>
                <w:sz w:val="18"/>
                <w:szCs w:val="18"/>
              </w:rPr>
              <w:t xml:space="preserve"> </w:t>
            </w:r>
            <w:r w:rsidRPr="0076606E">
              <w:rPr>
                <w:i/>
                <w:iCs/>
                <w:spacing w:val="2"/>
                <w:sz w:val="18"/>
                <w:szCs w:val="18"/>
              </w:rPr>
              <w:t>t</w:t>
            </w:r>
            <w:r w:rsidRPr="0076606E">
              <w:rPr>
                <w:i/>
                <w:iCs/>
                <w:sz w:val="18"/>
                <w:szCs w:val="18"/>
              </w:rPr>
              <w:t xml:space="preserve">he </w:t>
            </w:r>
            <w:r w:rsidRPr="0076606E">
              <w:rPr>
                <w:i/>
                <w:iCs/>
                <w:spacing w:val="1"/>
                <w:sz w:val="18"/>
                <w:szCs w:val="18"/>
              </w:rPr>
              <w:t>r</w:t>
            </w:r>
            <w:r w:rsidRPr="0076606E">
              <w:rPr>
                <w:i/>
                <w:iCs/>
                <w:sz w:val="18"/>
                <w:szCs w:val="18"/>
              </w:rPr>
              <w:t>e</w:t>
            </w:r>
            <w:r w:rsidRPr="0076606E">
              <w:rPr>
                <w:i/>
                <w:iCs/>
                <w:spacing w:val="-1"/>
                <w:sz w:val="18"/>
                <w:szCs w:val="18"/>
              </w:rPr>
              <w:t>p</w:t>
            </w:r>
            <w:r w:rsidRPr="0076606E">
              <w:rPr>
                <w:i/>
                <w:iCs/>
                <w:sz w:val="18"/>
                <w:szCs w:val="18"/>
              </w:rPr>
              <w:t>ort</w:t>
            </w:r>
            <w:r w:rsidRPr="0076606E">
              <w:rPr>
                <w:i/>
                <w:iCs/>
                <w:spacing w:val="2"/>
                <w:sz w:val="18"/>
                <w:szCs w:val="18"/>
              </w:rPr>
              <w:t>i</w:t>
            </w:r>
            <w:r w:rsidRPr="0076606E">
              <w:rPr>
                <w:i/>
                <w:iCs/>
                <w:sz w:val="18"/>
                <w:szCs w:val="18"/>
              </w:rPr>
              <w:t>ng</w:t>
            </w:r>
            <w:r w:rsidRPr="0076606E">
              <w:rPr>
                <w:i/>
                <w:iCs/>
                <w:spacing w:val="-9"/>
                <w:sz w:val="18"/>
                <w:szCs w:val="18"/>
              </w:rPr>
              <w:t xml:space="preserve"> </w:t>
            </w:r>
            <w:r w:rsidRPr="0076606E">
              <w:rPr>
                <w:i/>
                <w:iCs/>
                <w:spacing w:val="2"/>
                <w:sz w:val="18"/>
                <w:szCs w:val="18"/>
              </w:rPr>
              <w:t>e</w:t>
            </w:r>
            <w:r w:rsidRPr="0076606E">
              <w:rPr>
                <w:i/>
                <w:iCs/>
                <w:sz w:val="18"/>
                <w:szCs w:val="18"/>
              </w:rPr>
              <w:t>nt</w:t>
            </w:r>
            <w:r w:rsidRPr="0076606E">
              <w:rPr>
                <w:i/>
                <w:iCs/>
                <w:spacing w:val="1"/>
                <w:sz w:val="18"/>
                <w:szCs w:val="18"/>
              </w:rPr>
              <w:t>i</w:t>
            </w:r>
            <w:r w:rsidRPr="0076606E">
              <w:rPr>
                <w:i/>
                <w:iCs/>
                <w:sz w:val="18"/>
                <w:szCs w:val="18"/>
              </w:rPr>
              <w:t>t</w:t>
            </w:r>
            <w:r w:rsidRPr="0076606E">
              <w:rPr>
                <w:i/>
                <w:iCs/>
                <w:spacing w:val="1"/>
                <w:sz w:val="18"/>
                <w:szCs w:val="18"/>
              </w:rPr>
              <w:t>y</w:t>
            </w:r>
            <w:r w:rsidRPr="0076606E">
              <w:rPr>
                <w:i/>
                <w:iCs/>
                <w:sz w:val="18"/>
                <w:szCs w:val="18"/>
              </w:rPr>
              <w:t>;</w:t>
            </w:r>
          </w:p>
          <w:p w14:paraId="09EE1A5C" w14:textId="77777777" w:rsidR="002C2CF0" w:rsidRPr="0076606E" w:rsidRDefault="002C2CF0" w:rsidP="005F361E">
            <w:pPr>
              <w:widowControl w:val="0"/>
              <w:numPr>
                <w:ilvl w:val="0"/>
                <w:numId w:val="18"/>
              </w:numPr>
              <w:autoSpaceDE w:val="0"/>
              <w:autoSpaceDN w:val="0"/>
              <w:adjustRightInd w:val="0"/>
              <w:ind w:left="1135" w:right="-57" w:hanging="284"/>
              <w:jc w:val="both"/>
              <w:rPr>
                <w:i/>
                <w:iCs/>
                <w:sz w:val="18"/>
                <w:szCs w:val="18"/>
              </w:rPr>
            </w:pPr>
            <w:r w:rsidRPr="0076606E">
              <w:rPr>
                <w:i/>
                <w:iCs/>
                <w:sz w:val="18"/>
                <w:szCs w:val="18"/>
              </w:rPr>
              <w:t>has significant influence over the reporting entity; or</w:t>
            </w:r>
          </w:p>
          <w:p w14:paraId="0E75FDA9" w14:textId="77777777" w:rsidR="002C2CF0" w:rsidRPr="0076606E" w:rsidRDefault="002C2CF0" w:rsidP="005F361E">
            <w:pPr>
              <w:widowControl w:val="0"/>
              <w:numPr>
                <w:ilvl w:val="0"/>
                <w:numId w:val="18"/>
              </w:numPr>
              <w:autoSpaceDE w:val="0"/>
              <w:autoSpaceDN w:val="0"/>
              <w:adjustRightInd w:val="0"/>
              <w:ind w:left="1135" w:right="-57" w:hanging="284"/>
              <w:jc w:val="both"/>
              <w:rPr>
                <w:bCs w:val="0"/>
                <w:i/>
                <w:sz w:val="18"/>
                <w:szCs w:val="18"/>
              </w:rPr>
            </w:pPr>
            <w:proofErr w:type="gramStart"/>
            <w:r w:rsidRPr="0076606E">
              <w:rPr>
                <w:i/>
                <w:iCs/>
                <w:sz w:val="18"/>
                <w:szCs w:val="18"/>
              </w:rPr>
              <w:t>is</w:t>
            </w:r>
            <w:proofErr w:type="gramEnd"/>
            <w:r w:rsidRPr="0076606E">
              <w:rPr>
                <w:i/>
                <w:iCs/>
                <w:sz w:val="18"/>
                <w:szCs w:val="18"/>
              </w:rPr>
              <w:t xml:space="preserve"> a member of the key management personnel of the reporting entity or of a parent of the reporting entity.</w:t>
            </w:r>
          </w:p>
        </w:tc>
      </w:tr>
      <w:tr w:rsidR="002C2CF0" w:rsidRPr="004D2565" w14:paraId="5B409E29" w14:textId="77777777" w:rsidTr="00CC2E72">
        <w:tc>
          <w:tcPr>
            <w:tcW w:w="4564" w:type="dxa"/>
          </w:tcPr>
          <w:p w14:paraId="599669EB" w14:textId="77777777" w:rsidR="002C2CF0" w:rsidRPr="004D2565" w:rsidRDefault="002C2CF0" w:rsidP="0013526B">
            <w:pPr>
              <w:jc w:val="both"/>
              <w:rPr>
                <w:rStyle w:val="hps"/>
                <w:sz w:val="18"/>
                <w:szCs w:val="18"/>
                <w:highlight w:val="cyan"/>
              </w:rPr>
            </w:pPr>
          </w:p>
        </w:tc>
        <w:tc>
          <w:tcPr>
            <w:tcW w:w="4599" w:type="dxa"/>
          </w:tcPr>
          <w:p w14:paraId="7A6A4E09" w14:textId="77777777" w:rsidR="002C2CF0" w:rsidRPr="004D2565" w:rsidRDefault="002C2CF0" w:rsidP="0013526B">
            <w:pPr>
              <w:ind w:left="426"/>
              <w:jc w:val="both"/>
              <w:rPr>
                <w:bCs w:val="0"/>
                <w:i/>
                <w:sz w:val="18"/>
                <w:szCs w:val="18"/>
                <w:highlight w:val="cyan"/>
              </w:rPr>
            </w:pPr>
          </w:p>
        </w:tc>
      </w:tr>
      <w:tr w:rsidR="002C2CF0" w:rsidRPr="0013526B" w14:paraId="0212E4A4" w14:textId="77777777" w:rsidTr="00CC2E72">
        <w:tc>
          <w:tcPr>
            <w:tcW w:w="4564" w:type="dxa"/>
          </w:tcPr>
          <w:p w14:paraId="59008480" w14:textId="77777777" w:rsidR="002C2CF0" w:rsidRPr="0076606E" w:rsidRDefault="002C2CF0" w:rsidP="005F361E">
            <w:pPr>
              <w:widowControl w:val="0"/>
              <w:numPr>
                <w:ilvl w:val="0"/>
                <w:numId w:val="19"/>
              </w:numPr>
              <w:tabs>
                <w:tab w:val="left" w:pos="851"/>
                <w:tab w:val="left" w:pos="884"/>
              </w:tabs>
              <w:autoSpaceDE w:val="0"/>
              <w:autoSpaceDN w:val="0"/>
              <w:adjustRightInd w:val="0"/>
              <w:ind w:left="851" w:right="-57" w:hanging="284"/>
              <w:jc w:val="both"/>
              <w:rPr>
                <w:sz w:val="18"/>
                <w:szCs w:val="18"/>
              </w:rPr>
            </w:pPr>
            <w:r w:rsidRPr="0076606E">
              <w:rPr>
                <w:spacing w:val="-1"/>
                <w:sz w:val="18"/>
                <w:szCs w:val="18"/>
              </w:rPr>
              <w:t>S</w:t>
            </w:r>
            <w:r w:rsidRPr="0076606E">
              <w:rPr>
                <w:sz w:val="18"/>
                <w:szCs w:val="18"/>
              </w:rPr>
              <w:t>u</w:t>
            </w:r>
            <w:r w:rsidRPr="0076606E">
              <w:rPr>
                <w:spacing w:val="-1"/>
                <w:sz w:val="18"/>
                <w:szCs w:val="18"/>
              </w:rPr>
              <w:t>a</w:t>
            </w:r>
            <w:r w:rsidRPr="0076606E">
              <w:rPr>
                <w:spacing w:val="2"/>
                <w:sz w:val="18"/>
                <w:szCs w:val="18"/>
              </w:rPr>
              <w:t>t</w:t>
            </w:r>
            <w:r w:rsidRPr="0076606E">
              <w:rPr>
                <w:sz w:val="18"/>
                <w:szCs w:val="18"/>
              </w:rPr>
              <w:t>u e</w:t>
            </w:r>
            <w:r w:rsidRPr="0076606E">
              <w:rPr>
                <w:spacing w:val="-1"/>
                <w:sz w:val="18"/>
                <w:szCs w:val="18"/>
              </w:rPr>
              <w:t>n</w:t>
            </w:r>
            <w:r w:rsidRPr="0076606E">
              <w:rPr>
                <w:spacing w:val="2"/>
                <w:sz w:val="18"/>
                <w:szCs w:val="18"/>
              </w:rPr>
              <w:t>t</w:t>
            </w:r>
            <w:r w:rsidRPr="0076606E">
              <w:rPr>
                <w:spacing w:val="-1"/>
                <w:sz w:val="18"/>
                <w:szCs w:val="18"/>
              </w:rPr>
              <w:t>i</w:t>
            </w:r>
            <w:r w:rsidRPr="0076606E">
              <w:rPr>
                <w:sz w:val="18"/>
                <w:szCs w:val="18"/>
              </w:rPr>
              <w:t>tas b</w:t>
            </w:r>
            <w:r w:rsidRPr="0076606E">
              <w:rPr>
                <w:spacing w:val="-1"/>
                <w:sz w:val="18"/>
                <w:szCs w:val="18"/>
              </w:rPr>
              <w:t>e</w:t>
            </w:r>
            <w:r w:rsidRPr="0076606E">
              <w:rPr>
                <w:spacing w:val="3"/>
                <w:sz w:val="18"/>
                <w:szCs w:val="18"/>
              </w:rPr>
              <w:t>r</w:t>
            </w:r>
            <w:r w:rsidRPr="0076606E">
              <w:rPr>
                <w:sz w:val="18"/>
                <w:szCs w:val="18"/>
              </w:rPr>
              <w:t>e</w:t>
            </w:r>
            <w:r w:rsidRPr="0076606E">
              <w:rPr>
                <w:spacing w:val="-1"/>
                <w:sz w:val="18"/>
                <w:szCs w:val="18"/>
              </w:rPr>
              <w:t>l</w:t>
            </w:r>
            <w:r w:rsidRPr="0076606E">
              <w:rPr>
                <w:sz w:val="18"/>
                <w:szCs w:val="18"/>
              </w:rPr>
              <w:t>a</w:t>
            </w:r>
            <w:r w:rsidRPr="0076606E">
              <w:rPr>
                <w:spacing w:val="3"/>
                <w:sz w:val="18"/>
                <w:szCs w:val="18"/>
              </w:rPr>
              <w:t>s</w:t>
            </w:r>
            <w:r w:rsidRPr="0076606E">
              <w:rPr>
                <w:sz w:val="18"/>
                <w:szCs w:val="18"/>
              </w:rPr>
              <w:t>i d</w:t>
            </w:r>
            <w:r w:rsidRPr="0076606E">
              <w:rPr>
                <w:spacing w:val="-1"/>
                <w:sz w:val="18"/>
                <w:szCs w:val="18"/>
              </w:rPr>
              <w:t>e</w:t>
            </w:r>
            <w:r w:rsidRPr="0076606E">
              <w:rPr>
                <w:sz w:val="18"/>
                <w:szCs w:val="18"/>
              </w:rPr>
              <w:t>n</w:t>
            </w:r>
            <w:r w:rsidRPr="0076606E">
              <w:rPr>
                <w:spacing w:val="1"/>
                <w:sz w:val="18"/>
                <w:szCs w:val="18"/>
              </w:rPr>
              <w:t>g</w:t>
            </w:r>
            <w:r w:rsidRPr="0076606E">
              <w:rPr>
                <w:sz w:val="18"/>
                <w:szCs w:val="18"/>
              </w:rPr>
              <w:t>an e</w:t>
            </w:r>
            <w:r w:rsidRPr="0076606E">
              <w:rPr>
                <w:spacing w:val="1"/>
                <w:sz w:val="18"/>
                <w:szCs w:val="18"/>
              </w:rPr>
              <w:t>n</w:t>
            </w:r>
            <w:r w:rsidRPr="0076606E">
              <w:rPr>
                <w:sz w:val="18"/>
                <w:szCs w:val="18"/>
              </w:rPr>
              <w:t>t</w:t>
            </w:r>
            <w:r w:rsidRPr="0076606E">
              <w:rPr>
                <w:spacing w:val="-1"/>
                <w:sz w:val="18"/>
                <w:szCs w:val="18"/>
              </w:rPr>
              <w:t>i</w:t>
            </w:r>
            <w:r w:rsidRPr="0076606E">
              <w:rPr>
                <w:spacing w:val="2"/>
                <w:sz w:val="18"/>
                <w:szCs w:val="18"/>
              </w:rPr>
              <w:t>t</w:t>
            </w:r>
            <w:r w:rsidRPr="0076606E">
              <w:rPr>
                <w:sz w:val="18"/>
                <w:szCs w:val="18"/>
              </w:rPr>
              <w:t>as p</w:t>
            </w:r>
            <w:r w:rsidRPr="0076606E">
              <w:rPr>
                <w:spacing w:val="-1"/>
                <w:sz w:val="18"/>
                <w:szCs w:val="18"/>
              </w:rPr>
              <w:t>e</w:t>
            </w:r>
            <w:r w:rsidRPr="0076606E">
              <w:rPr>
                <w:spacing w:val="1"/>
                <w:sz w:val="18"/>
                <w:szCs w:val="18"/>
              </w:rPr>
              <w:t>l</w:t>
            </w:r>
            <w:r w:rsidRPr="0076606E">
              <w:rPr>
                <w:sz w:val="18"/>
                <w:szCs w:val="18"/>
              </w:rPr>
              <w:t>a</w:t>
            </w:r>
            <w:r w:rsidRPr="0076606E">
              <w:rPr>
                <w:spacing w:val="-1"/>
                <w:sz w:val="18"/>
                <w:szCs w:val="18"/>
              </w:rPr>
              <w:t>p</w:t>
            </w:r>
            <w:r w:rsidRPr="0076606E">
              <w:rPr>
                <w:sz w:val="18"/>
                <w:szCs w:val="18"/>
              </w:rPr>
              <w:t>or</w:t>
            </w:r>
            <w:r w:rsidRPr="0076606E">
              <w:rPr>
                <w:spacing w:val="2"/>
                <w:sz w:val="18"/>
                <w:szCs w:val="18"/>
              </w:rPr>
              <w:t xml:space="preserve"> </w:t>
            </w:r>
            <w:r w:rsidRPr="0076606E">
              <w:rPr>
                <w:spacing w:val="1"/>
                <w:sz w:val="18"/>
                <w:szCs w:val="18"/>
              </w:rPr>
              <w:t>j</w:t>
            </w:r>
            <w:r w:rsidRPr="0076606E">
              <w:rPr>
                <w:spacing w:val="-1"/>
                <w:sz w:val="18"/>
                <w:szCs w:val="18"/>
              </w:rPr>
              <w:t>i</w:t>
            </w:r>
            <w:r w:rsidRPr="0076606E">
              <w:rPr>
                <w:spacing w:val="3"/>
                <w:sz w:val="18"/>
                <w:szCs w:val="18"/>
              </w:rPr>
              <w:t>k</w:t>
            </w:r>
            <w:r w:rsidRPr="0076606E">
              <w:rPr>
                <w:sz w:val="18"/>
                <w:szCs w:val="18"/>
              </w:rPr>
              <w:t xml:space="preserve">a </w:t>
            </w:r>
            <w:r w:rsidRPr="0076606E">
              <w:rPr>
                <w:spacing w:val="4"/>
                <w:sz w:val="18"/>
                <w:szCs w:val="18"/>
              </w:rPr>
              <w:t>m</w:t>
            </w:r>
            <w:r w:rsidRPr="0076606E">
              <w:rPr>
                <w:spacing w:val="-3"/>
                <w:sz w:val="18"/>
                <w:szCs w:val="18"/>
              </w:rPr>
              <w:t>e</w:t>
            </w:r>
            <w:r w:rsidRPr="0076606E">
              <w:rPr>
                <w:spacing w:val="4"/>
                <w:sz w:val="18"/>
                <w:szCs w:val="18"/>
              </w:rPr>
              <w:t>m</w:t>
            </w:r>
            <w:r w:rsidRPr="0076606E">
              <w:rPr>
                <w:sz w:val="18"/>
                <w:szCs w:val="18"/>
              </w:rPr>
              <w:t>e</w:t>
            </w:r>
            <w:r w:rsidRPr="0076606E">
              <w:rPr>
                <w:spacing w:val="-1"/>
                <w:sz w:val="18"/>
                <w:szCs w:val="18"/>
              </w:rPr>
              <w:t>n</w:t>
            </w:r>
            <w:r w:rsidRPr="0076606E">
              <w:rPr>
                <w:sz w:val="18"/>
                <w:szCs w:val="18"/>
              </w:rPr>
              <w:t>u</w:t>
            </w:r>
            <w:r w:rsidRPr="0076606E">
              <w:rPr>
                <w:spacing w:val="-1"/>
                <w:sz w:val="18"/>
                <w:szCs w:val="18"/>
              </w:rPr>
              <w:t>h</w:t>
            </w:r>
            <w:r w:rsidRPr="0076606E">
              <w:rPr>
                <w:sz w:val="18"/>
                <w:szCs w:val="18"/>
              </w:rPr>
              <w:t xml:space="preserve">i </w:t>
            </w:r>
            <w:r w:rsidRPr="0076606E">
              <w:rPr>
                <w:spacing w:val="1"/>
                <w:sz w:val="18"/>
                <w:szCs w:val="18"/>
              </w:rPr>
              <w:t>s</w:t>
            </w:r>
            <w:r w:rsidRPr="0076606E">
              <w:rPr>
                <w:sz w:val="18"/>
                <w:szCs w:val="18"/>
              </w:rPr>
              <w:t>a</w:t>
            </w:r>
            <w:r w:rsidRPr="0076606E">
              <w:rPr>
                <w:spacing w:val="-1"/>
                <w:sz w:val="18"/>
                <w:szCs w:val="18"/>
              </w:rPr>
              <w:t>l</w:t>
            </w:r>
            <w:r w:rsidRPr="0076606E">
              <w:rPr>
                <w:sz w:val="18"/>
                <w:szCs w:val="18"/>
              </w:rPr>
              <w:t>ah</w:t>
            </w:r>
            <w:r w:rsidRPr="0076606E">
              <w:rPr>
                <w:spacing w:val="3"/>
                <w:sz w:val="18"/>
                <w:szCs w:val="18"/>
              </w:rPr>
              <w:t xml:space="preserve"> </w:t>
            </w:r>
            <w:r w:rsidRPr="0076606E">
              <w:rPr>
                <w:spacing w:val="1"/>
                <w:sz w:val="18"/>
                <w:szCs w:val="18"/>
              </w:rPr>
              <w:t>s</w:t>
            </w:r>
            <w:r w:rsidRPr="0076606E">
              <w:rPr>
                <w:sz w:val="18"/>
                <w:szCs w:val="18"/>
              </w:rPr>
              <w:t>atu</w:t>
            </w:r>
            <w:r w:rsidRPr="0076606E">
              <w:rPr>
                <w:spacing w:val="4"/>
                <w:sz w:val="18"/>
                <w:szCs w:val="18"/>
              </w:rPr>
              <w:t xml:space="preserve"> </w:t>
            </w:r>
            <w:r w:rsidRPr="0076606E">
              <w:rPr>
                <w:sz w:val="18"/>
                <w:szCs w:val="18"/>
              </w:rPr>
              <w:t>h</w:t>
            </w:r>
            <w:r w:rsidRPr="0076606E">
              <w:rPr>
                <w:spacing w:val="1"/>
                <w:sz w:val="18"/>
                <w:szCs w:val="18"/>
              </w:rPr>
              <w:t>a</w:t>
            </w:r>
            <w:r w:rsidRPr="0076606E">
              <w:rPr>
                <w:sz w:val="18"/>
                <w:szCs w:val="18"/>
              </w:rPr>
              <w:t>l b</w:t>
            </w:r>
            <w:r w:rsidRPr="0076606E">
              <w:rPr>
                <w:spacing w:val="-1"/>
                <w:sz w:val="18"/>
                <w:szCs w:val="18"/>
              </w:rPr>
              <w:t>e</w:t>
            </w:r>
            <w:r w:rsidRPr="0076606E">
              <w:rPr>
                <w:spacing w:val="1"/>
                <w:sz w:val="18"/>
                <w:szCs w:val="18"/>
              </w:rPr>
              <w:t>r</w:t>
            </w:r>
            <w:r w:rsidRPr="0076606E">
              <w:rPr>
                <w:spacing w:val="-1"/>
                <w:sz w:val="18"/>
                <w:szCs w:val="18"/>
              </w:rPr>
              <w:t>i</w:t>
            </w:r>
            <w:r w:rsidRPr="0076606E">
              <w:rPr>
                <w:spacing w:val="3"/>
                <w:sz w:val="18"/>
                <w:szCs w:val="18"/>
              </w:rPr>
              <w:t>k</w:t>
            </w:r>
            <w:r w:rsidRPr="0076606E">
              <w:rPr>
                <w:sz w:val="18"/>
                <w:szCs w:val="18"/>
              </w:rPr>
              <w:t>ut:</w:t>
            </w:r>
          </w:p>
          <w:p w14:paraId="03E81B23" w14:textId="3CEA912E" w:rsidR="002C2CF0" w:rsidRPr="0076606E" w:rsidRDefault="002C2CF0" w:rsidP="00911A8A">
            <w:pPr>
              <w:widowControl w:val="0"/>
              <w:numPr>
                <w:ilvl w:val="0"/>
                <w:numId w:val="20"/>
              </w:numPr>
              <w:autoSpaceDE w:val="0"/>
              <w:autoSpaceDN w:val="0"/>
              <w:adjustRightInd w:val="0"/>
              <w:ind w:left="1135" w:right="-57" w:hanging="284"/>
              <w:jc w:val="both"/>
              <w:rPr>
                <w:rStyle w:val="hps"/>
                <w:sz w:val="18"/>
                <w:szCs w:val="18"/>
              </w:rPr>
            </w:pPr>
            <w:r w:rsidRPr="0076606E">
              <w:rPr>
                <w:spacing w:val="-1"/>
                <w:sz w:val="18"/>
                <w:szCs w:val="18"/>
              </w:rPr>
              <w:t>E</w:t>
            </w:r>
            <w:r w:rsidRPr="0076606E">
              <w:rPr>
                <w:sz w:val="18"/>
                <w:szCs w:val="18"/>
              </w:rPr>
              <w:t>n</w:t>
            </w:r>
            <w:r w:rsidRPr="0076606E">
              <w:rPr>
                <w:spacing w:val="2"/>
                <w:sz w:val="18"/>
                <w:szCs w:val="18"/>
              </w:rPr>
              <w:t>t</w:t>
            </w:r>
            <w:r w:rsidRPr="0076606E">
              <w:rPr>
                <w:spacing w:val="-1"/>
                <w:sz w:val="18"/>
                <w:szCs w:val="18"/>
              </w:rPr>
              <w:t>i</w:t>
            </w:r>
            <w:r w:rsidRPr="0076606E">
              <w:rPr>
                <w:sz w:val="18"/>
                <w:szCs w:val="18"/>
              </w:rPr>
              <w:t>tas</w:t>
            </w:r>
            <w:r w:rsidRPr="0076606E">
              <w:rPr>
                <w:spacing w:val="1"/>
                <w:sz w:val="18"/>
                <w:szCs w:val="18"/>
              </w:rPr>
              <w:t xml:space="preserve"> </w:t>
            </w:r>
            <w:r w:rsidRPr="0076606E">
              <w:rPr>
                <w:sz w:val="18"/>
                <w:szCs w:val="18"/>
              </w:rPr>
              <w:t>d</w:t>
            </w:r>
            <w:r w:rsidRPr="0076606E">
              <w:rPr>
                <w:spacing w:val="1"/>
                <w:sz w:val="18"/>
                <w:szCs w:val="18"/>
              </w:rPr>
              <w:t>a</w:t>
            </w:r>
            <w:r w:rsidRPr="0076606E">
              <w:rPr>
                <w:sz w:val="18"/>
                <w:szCs w:val="18"/>
              </w:rPr>
              <w:t>n</w:t>
            </w:r>
            <w:r w:rsidRPr="0076606E">
              <w:rPr>
                <w:spacing w:val="2"/>
                <w:sz w:val="18"/>
                <w:szCs w:val="18"/>
              </w:rPr>
              <w:t xml:space="preserve"> e</w:t>
            </w:r>
            <w:r w:rsidRPr="0076606E">
              <w:rPr>
                <w:sz w:val="18"/>
                <w:szCs w:val="18"/>
              </w:rPr>
              <w:t>nt</w:t>
            </w:r>
            <w:r w:rsidRPr="0076606E">
              <w:rPr>
                <w:spacing w:val="-2"/>
                <w:sz w:val="18"/>
                <w:szCs w:val="18"/>
              </w:rPr>
              <w:t>i</w:t>
            </w:r>
            <w:r w:rsidRPr="0076606E">
              <w:rPr>
                <w:spacing w:val="2"/>
                <w:sz w:val="18"/>
                <w:szCs w:val="18"/>
              </w:rPr>
              <w:t>t</w:t>
            </w:r>
            <w:r w:rsidRPr="0076606E">
              <w:rPr>
                <w:sz w:val="18"/>
                <w:szCs w:val="18"/>
              </w:rPr>
              <w:t>as</w:t>
            </w:r>
            <w:r w:rsidRPr="0076606E">
              <w:rPr>
                <w:spacing w:val="1"/>
                <w:sz w:val="18"/>
                <w:szCs w:val="18"/>
              </w:rPr>
              <w:t xml:space="preserve"> </w:t>
            </w:r>
            <w:r w:rsidRPr="0076606E">
              <w:rPr>
                <w:sz w:val="18"/>
                <w:szCs w:val="18"/>
              </w:rPr>
              <w:t>p</w:t>
            </w:r>
            <w:r w:rsidRPr="0076606E">
              <w:rPr>
                <w:spacing w:val="1"/>
                <w:sz w:val="18"/>
                <w:szCs w:val="18"/>
              </w:rPr>
              <w:t>e</w:t>
            </w:r>
            <w:r w:rsidRPr="0076606E">
              <w:rPr>
                <w:spacing w:val="-1"/>
                <w:sz w:val="18"/>
                <w:szCs w:val="18"/>
              </w:rPr>
              <w:t>l</w:t>
            </w:r>
            <w:r w:rsidRPr="0076606E">
              <w:rPr>
                <w:spacing w:val="2"/>
                <w:sz w:val="18"/>
                <w:szCs w:val="18"/>
              </w:rPr>
              <w:t>a</w:t>
            </w:r>
            <w:r w:rsidRPr="0076606E">
              <w:rPr>
                <w:sz w:val="18"/>
                <w:szCs w:val="18"/>
              </w:rPr>
              <w:t>p</w:t>
            </w:r>
            <w:r w:rsidRPr="0076606E">
              <w:rPr>
                <w:spacing w:val="-1"/>
                <w:sz w:val="18"/>
                <w:szCs w:val="18"/>
              </w:rPr>
              <w:t>o</w:t>
            </w:r>
            <w:r w:rsidRPr="0076606E">
              <w:rPr>
                <w:sz w:val="18"/>
                <w:szCs w:val="18"/>
              </w:rPr>
              <w:t>r a</w:t>
            </w:r>
            <w:r w:rsidRPr="0076606E">
              <w:rPr>
                <w:spacing w:val="-1"/>
                <w:sz w:val="18"/>
                <w:szCs w:val="18"/>
              </w:rPr>
              <w:t>d</w:t>
            </w:r>
            <w:r w:rsidRPr="0076606E">
              <w:rPr>
                <w:spacing w:val="2"/>
                <w:sz w:val="18"/>
                <w:szCs w:val="18"/>
              </w:rPr>
              <w:t>a</w:t>
            </w:r>
            <w:r w:rsidRPr="0076606E">
              <w:rPr>
                <w:spacing w:val="3"/>
                <w:sz w:val="18"/>
                <w:szCs w:val="18"/>
              </w:rPr>
              <w:t>l</w:t>
            </w:r>
            <w:r w:rsidRPr="0076606E">
              <w:rPr>
                <w:spacing w:val="2"/>
                <w:sz w:val="18"/>
                <w:szCs w:val="18"/>
              </w:rPr>
              <w:t>a</w:t>
            </w:r>
            <w:r w:rsidRPr="0076606E">
              <w:rPr>
                <w:sz w:val="18"/>
                <w:szCs w:val="18"/>
              </w:rPr>
              <w:t>h a</w:t>
            </w:r>
            <w:r w:rsidRPr="0076606E">
              <w:rPr>
                <w:spacing w:val="-1"/>
                <w:sz w:val="18"/>
                <w:szCs w:val="18"/>
              </w:rPr>
              <w:t>n</w:t>
            </w:r>
            <w:r w:rsidRPr="0076606E">
              <w:rPr>
                <w:sz w:val="18"/>
                <w:szCs w:val="18"/>
              </w:rPr>
              <w:t>g</w:t>
            </w:r>
            <w:r w:rsidRPr="0076606E">
              <w:rPr>
                <w:spacing w:val="1"/>
                <w:sz w:val="18"/>
                <w:szCs w:val="18"/>
              </w:rPr>
              <w:t>g</w:t>
            </w:r>
            <w:r w:rsidRPr="0076606E">
              <w:rPr>
                <w:sz w:val="18"/>
                <w:szCs w:val="18"/>
              </w:rPr>
              <w:t xml:space="preserve">ota </w:t>
            </w:r>
            <w:r w:rsidRPr="0076606E">
              <w:rPr>
                <w:spacing w:val="2"/>
                <w:sz w:val="18"/>
                <w:szCs w:val="18"/>
              </w:rPr>
              <w:t>d</w:t>
            </w:r>
            <w:r w:rsidRPr="0076606E">
              <w:rPr>
                <w:sz w:val="18"/>
                <w:szCs w:val="18"/>
              </w:rPr>
              <w:t>ari</w:t>
            </w:r>
            <w:r w:rsidRPr="0076606E">
              <w:rPr>
                <w:spacing w:val="4"/>
                <w:sz w:val="18"/>
                <w:szCs w:val="18"/>
              </w:rPr>
              <w:t xml:space="preserve"> </w:t>
            </w:r>
            <w:r w:rsidRPr="0076606E">
              <w:rPr>
                <w:spacing w:val="3"/>
                <w:sz w:val="18"/>
                <w:szCs w:val="18"/>
              </w:rPr>
              <w:t>k</w:t>
            </w:r>
            <w:r w:rsidRPr="0076606E">
              <w:rPr>
                <w:sz w:val="18"/>
                <w:szCs w:val="18"/>
              </w:rPr>
              <w:t>e</w:t>
            </w:r>
            <w:r w:rsidRPr="0076606E">
              <w:rPr>
                <w:spacing w:val="-1"/>
                <w:sz w:val="18"/>
                <w:szCs w:val="18"/>
              </w:rPr>
              <w:t>l</w:t>
            </w:r>
            <w:r w:rsidRPr="0076606E">
              <w:rPr>
                <w:sz w:val="18"/>
                <w:szCs w:val="18"/>
              </w:rPr>
              <w:t>o</w:t>
            </w:r>
            <w:r w:rsidRPr="0076606E">
              <w:rPr>
                <w:spacing w:val="4"/>
                <w:sz w:val="18"/>
                <w:szCs w:val="18"/>
              </w:rPr>
              <w:t>m</w:t>
            </w:r>
            <w:r w:rsidRPr="0076606E">
              <w:rPr>
                <w:sz w:val="18"/>
                <w:szCs w:val="18"/>
              </w:rPr>
              <w:t>p</w:t>
            </w:r>
            <w:r w:rsidRPr="0076606E">
              <w:rPr>
                <w:spacing w:val="-3"/>
                <w:sz w:val="18"/>
                <w:szCs w:val="18"/>
              </w:rPr>
              <w:t>o</w:t>
            </w:r>
            <w:r w:rsidRPr="0076606E">
              <w:rPr>
                <w:sz w:val="18"/>
                <w:szCs w:val="18"/>
              </w:rPr>
              <w:t>k</w:t>
            </w:r>
            <w:r w:rsidRPr="0076606E">
              <w:rPr>
                <w:spacing w:val="1"/>
                <w:sz w:val="18"/>
                <w:szCs w:val="18"/>
              </w:rPr>
              <w:t xml:space="preserve"> </w:t>
            </w:r>
            <w:r w:rsidRPr="0076606E">
              <w:rPr>
                <w:sz w:val="18"/>
                <w:szCs w:val="18"/>
              </w:rPr>
              <w:t>u</w:t>
            </w:r>
            <w:r w:rsidRPr="0076606E">
              <w:rPr>
                <w:spacing w:val="1"/>
                <w:sz w:val="18"/>
                <w:szCs w:val="18"/>
              </w:rPr>
              <w:t>s</w:t>
            </w:r>
            <w:r w:rsidRPr="0076606E">
              <w:rPr>
                <w:sz w:val="18"/>
                <w:szCs w:val="18"/>
              </w:rPr>
              <w:t>a</w:t>
            </w:r>
            <w:r w:rsidRPr="0076606E">
              <w:rPr>
                <w:spacing w:val="-1"/>
                <w:sz w:val="18"/>
                <w:szCs w:val="18"/>
              </w:rPr>
              <w:t>h</w:t>
            </w:r>
            <w:r w:rsidRPr="0076606E">
              <w:rPr>
                <w:sz w:val="18"/>
                <w:szCs w:val="18"/>
              </w:rPr>
              <w:t>a</w:t>
            </w:r>
            <w:r w:rsidRPr="0076606E">
              <w:rPr>
                <w:spacing w:val="5"/>
                <w:sz w:val="18"/>
                <w:szCs w:val="18"/>
              </w:rPr>
              <w:t xml:space="preserve"> </w:t>
            </w:r>
            <w:r w:rsidRPr="0076606E">
              <w:rPr>
                <w:spacing w:val="-4"/>
                <w:sz w:val="18"/>
                <w:szCs w:val="18"/>
              </w:rPr>
              <w:t>y</w:t>
            </w:r>
            <w:r w:rsidRPr="0076606E">
              <w:rPr>
                <w:spacing w:val="2"/>
                <w:sz w:val="18"/>
                <w:szCs w:val="18"/>
              </w:rPr>
              <w:t>an</w:t>
            </w:r>
            <w:r w:rsidRPr="0076606E">
              <w:rPr>
                <w:sz w:val="18"/>
                <w:szCs w:val="18"/>
              </w:rPr>
              <w:t xml:space="preserve">g </w:t>
            </w:r>
            <w:r w:rsidRPr="0076606E">
              <w:rPr>
                <w:spacing w:val="1"/>
                <w:sz w:val="18"/>
                <w:szCs w:val="18"/>
              </w:rPr>
              <w:t>s</w:t>
            </w:r>
            <w:r w:rsidRPr="0076606E">
              <w:rPr>
                <w:spacing w:val="-3"/>
                <w:sz w:val="18"/>
                <w:szCs w:val="18"/>
              </w:rPr>
              <w:t>a</w:t>
            </w:r>
            <w:r w:rsidRPr="0076606E">
              <w:rPr>
                <w:spacing w:val="4"/>
                <w:sz w:val="18"/>
                <w:szCs w:val="18"/>
              </w:rPr>
              <w:t>m</w:t>
            </w:r>
            <w:r w:rsidRPr="0076606E">
              <w:rPr>
                <w:sz w:val="18"/>
                <w:szCs w:val="18"/>
              </w:rPr>
              <w:t xml:space="preserve">a </w:t>
            </w:r>
            <w:r w:rsidRPr="0076606E">
              <w:rPr>
                <w:spacing w:val="1"/>
                <w:sz w:val="18"/>
                <w:szCs w:val="18"/>
              </w:rPr>
              <w:t>(</w:t>
            </w:r>
            <w:r w:rsidRPr="0076606E">
              <w:rPr>
                <w:sz w:val="18"/>
                <w:szCs w:val="18"/>
              </w:rPr>
              <w:t>art</w:t>
            </w:r>
            <w:r w:rsidRPr="0076606E">
              <w:rPr>
                <w:spacing w:val="-1"/>
                <w:sz w:val="18"/>
                <w:szCs w:val="18"/>
              </w:rPr>
              <w:t>i</w:t>
            </w:r>
            <w:r w:rsidRPr="0076606E">
              <w:rPr>
                <w:spacing w:val="2"/>
                <w:sz w:val="18"/>
                <w:szCs w:val="18"/>
              </w:rPr>
              <w:t>n</w:t>
            </w:r>
            <w:r w:rsidRPr="0076606E">
              <w:rPr>
                <w:spacing w:val="-4"/>
                <w:sz w:val="18"/>
                <w:szCs w:val="18"/>
              </w:rPr>
              <w:t>y</w:t>
            </w:r>
            <w:r w:rsidRPr="0076606E">
              <w:rPr>
                <w:sz w:val="18"/>
                <w:szCs w:val="18"/>
              </w:rPr>
              <w:t>a</w:t>
            </w:r>
            <w:r w:rsidRPr="0076606E">
              <w:rPr>
                <w:spacing w:val="1"/>
                <w:sz w:val="18"/>
                <w:szCs w:val="18"/>
              </w:rPr>
              <w:t xml:space="preserve"> </w:t>
            </w:r>
            <w:r w:rsidRPr="0076606E">
              <w:rPr>
                <w:spacing w:val="2"/>
                <w:sz w:val="18"/>
                <w:szCs w:val="18"/>
              </w:rPr>
              <w:t>e</w:t>
            </w:r>
            <w:r w:rsidRPr="0076606E">
              <w:rPr>
                <w:sz w:val="18"/>
                <w:szCs w:val="18"/>
              </w:rPr>
              <w:t>nt</w:t>
            </w:r>
            <w:r w:rsidRPr="0076606E">
              <w:rPr>
                <w:spacing w:val="-2"/>
                <w:sz w:val="18"/>
                <w:szCs w:val="18"/>
              </w:rPr>
              <w:t>i</w:t>
            </w:r>
            <w:r w:rsidRPr="0076606E">
              <w:rPr>
                <w:spacing w:val="2"/>
                <w:sz w:val="18"/>
                <w:szCs w:val="18"/>
              </w:rPr>
              <w:t>t</w:t>
            </w:r>
            <w:r w:rsidRPr="0076606E">
              <w:rPr>
                <w:sz w:val="18"/>
                <w:szCs w:val="18"/>
              </w:rPr>
              <w:t xml:space="preserve">as </w:t>
            </w:r>
            <w:r w:rsidRPr="0076606E">
              <w:rPr>
                <w:spacing w:val="-1"/>
                <w:sz w:val="18"/>
                <w:szCs w:val="18"/>
              </w:rPr>
              <w:t>i</w:t>
            </w:r>
            <w:r w:rsidRPr="0076606E">
              <w:rPr>
                <w:spacing w:val="2"/>
                <w:sz w:val="18"/>
                <w:szCs w:val="18"/>
              </w:rPr>
              <w:t>n</w:t>
            </w:r>
            <w:r w:rsidRPr="0076606E">
              <w:rPr>
                <w:sz w:val="18"/>
                <w:szCs w:val="18"/>
              </w:rPr>
              <w:t>d</w:t>
            </w:r>
            <w:r w:rsidRPr="0076606E">
              <w:rPr>
                <w:spacing w:val="-1"/>
                <w:sz w:val="18"/>
                <w:szCs w:val="18"/>
              </w:rPr>
              <w:t>u</w:t>
            </w:r>
            <w:r w:rsidRPr="0076606E">
              <w:rPr>
                <w:spacing w:val="3"/>
                <w:sz w:val="18"/>
                <w:szCs w:val="18"/>
              </w:rPr>
              <w:t>k</w:t>
            </w:r>
            <w:r w:rsidR="00911A8A">
              <w:rPr>
                <w:sz w:val="18"/>
                <w:szCs w:val="18"/>
              </w:rPr>
              <w:t>,</w:t>
            </w:r>
            <w:r w:rsidRPr="0076606E">
              <w:rPr>
                <w:spacing w:val="1"/>
                <w:sz w:val="18"/>
                <w:szCs w:val="18"/>
              </w:rPr>
              <w:t xml:space="preserve"> </w:t>
            </w:r>
            <w:r w:rsidRPr="0076606E">
              <w:rPr>
                <w:sz w:val="18"/>
                <w:szCs w:val="18"/>
              </w:rPr>
              <w:t>e</w:t>
            </w:r>
            <w:r w:rsidRPr="0076606E">
              <w:rPr>
                <w:spacing w:val="-1"/>
                <w:sz w:val="18"/>
                <w:szCs w:val="18"/>
              </w:rPr>
              <w:t>n</w:t>
            </w:r>
            <w:r w:rsidRPr="0076606E">
              <w:rPr>
                <w:sz w:val="18"/>
                <w:szCs w:val="18"/>
              </w:rPr>
              <w:t>t</w:t>
            </w:r>
            <w:r w:rsidRPr="0076606E">
              <w:rPr>
                <w:spacing w:val="-1"/>
                <w:sz w:val="18"/>
                <w:szCs w:val="18"/>
              </w:rPr>
              <w:t>i</w:t>
            </w:r>
            <w:r w:rsidRPr="0076606E">
              <w:rPr>
                <w:spacing w:val="2"/>
                <w:sz w:val="18"/>
                <w:szCs w:val="18"/>
              </w:rPr>
              <w:t>t</w:t>
            </w:r>
            <w:r w:rsidRPr="0076606E">
              <w:rPr>
                <w:sz w:val="18"/>
                <w:szCs w:val="18"/>
              </w:rPr>
              <w:t>as a</w:t>
            </w:r>
            <w:r w:rsidRPr="0076606E">
              <w:rPr>
                <w:spacing w:val="-1"/>
                <w:sz w:val="18"/>
                <w:szCs w:val="18"/>
              </w:rPr>
              <w:t>n</w:t>
            </w:r>
            <w:r w:rsidRPr="0076606E">
              <w:rPr>
                <w:sz w:val="18"/>
                <w:szCs w:val="18"/>
              </w:rPr>
              <w:t>a</w:t>
            </w:r>
            <w:r w:rsidRPr="0076606E">
              <w:rPr>
                <w:spacing w:val="3"/>
                <w:sz w:val="18"/>
                <w:szCs w:val="18"/>
              </w:rPr>
              <w:t>k</w:t>
            </w:r>
            <w:r w:rsidR="00911A8A">
              <w:rPr>
                <w:sz w:val="18"/>
                <w:szCs w:val="18"/>
              </w:rPr>
              <w:t>,</w:t>
            </w:r>
            <w:r w:rsidRPr="0076606E">
              <w:rPr>
                <w:spacing w:val="1"/>
                <w:sz w:val="18"/>
                <w:szCs w:val="18"/>
              </w:rPr>
              <w:t xml:space="preserve"> </w:t>
            </w:r>
            <w:r w:rsidRPr="0076606E">
              <w:rPr>
                <w:sz w:val="18"/>
                <w:szCs w:val="18"/>
              </w:rPr>
              <w:t>d</w:t>
            </w:r>
            <w:r w:rsidRPr="0076606E">
              <w:rPr>
                <w:spacing w:val="-1"/>
                <w:sz w:val="18"/>
                <w:szCs w:val="18"/>
              </w:rPr>
              <w:t>a</w:t>
            </w:r>
            <w:r w:rsidRPr="0076606E">
              <w:rPr>
                <w:sz w:val="18"/>
                <w:szCs w:val="18"/>
              </w:rPr>
              <w:t>n</w:t>
            </w:r>
            <w:r w:rsidRPr="0076606E">
              <w:rPr>
                <w:spacing w:val="5"/>
                <w:sz w:val="18"/>
                <w:szCs w:val="18"/>
              </w:rPr>
              <w:t xml:space="preserve"> </w:t>
            </w:r>
            <w:r w:rsidRPr="0076606E">
              <w:rPr>
                <w:spacing w:val="2"/>
                <w:sz w:val="18"/>
                <w:szCs w:val="18"/>
              </w:rPr>
              <w:t>e</w:t>
            </w:r>
            <w:r w:rsidRPr="0076606E">
              <w:rPr>
                <w:sz w:val="18"/>
                <w:szCs w:val="18"/>
              </w:rPr>
              <w:t>nt</w:t>
            </w:r>
            <w:r w:rsidRPr="0076606E">
              <w:rPr>
                <w:spacing w:val="-2"/>
                <w:sz w:val="18"/>
                <w:szCs w:val="18"/>
              </w:rPr>
              <w:t>i</w:t>
            </w:r>
            <w:r w:rsidRPr="0076606E">
              <w:rPr>
                <w:spacing w:val="2"/>
                <w:sz w:val="18"/>
                <w:szCs w:val="18"/>
              </w:rPr>
              <w:t>t</w:t>
            </w:r>
            <w:r w:rsidRPr="0076606E">
              <w:rPr>
                <w:sz w:val="18"/>
                <w:szCs w:val="18"/>
              </w:rPr>
              <w:t xml:space="preserve">as </w:t>
            </w:r>
            <w:r w:rsidRPr="0076606E">
              <w:rPr>
                <w:spacing w:val="2"/>
                <w:sz w:val="18"/>
                <w:szCs w:val="18"/>
              </w:rPr>
              <w:t>a</w:t>
            </w:r>
            <w:r w:rsidRPr="0076606E">
              <w:rPr>
                <w:sz w:val="18"/>
                <w:szCs w:val="18"/>
              </w:rPr>
              <w:t>n</w:t>
            </w:r>
            <w:r w:rsidRPr="0076606E">
              <w:rPr>
                <w:spacing w:val="-1"/>
                <w:sz w:val="18"/>
                <w:szCs w:val="18"/>
              </w:rPr>
              <w:t>a</w:t>
            </w:r>
            <w:r w:rsidRPr="0076606E">
              <w:rPr>
                <w:sz w:val="18"/>
                <w:szCs w:val="18"/>
              </w:rPr>
              <w:t>k</w:t>
            </w:r>
            <w:r w:rsidRPr="0076606E">
              <w:rPr>
                <w:spacing w:val="5"/>
                <w:sz w:val="18"/>
                <w:szCs w:val="18"/>
              </w:rPr>
              <w:t xml:space="preserve"> </w:t>
            </w:r>
            <w:r w:rsidRPr="0076606E">
              <w:rPr>
                <w:sz w:val="18"/>
                <w:szCs w:val="18"/>
              </w:rPr>
              <w:t>b</w:t>
            </w:r>
            <w:r w:rsidRPr="0076606E">
              <w:rPr>
                <w:spacing w:val="-1"/>
                <w:sz w:val="18"/>
                <w:szCs w:val="18"/>
              </w:rPr>
              <w:t>e</w:t>
            </w:r>
            <w:r w:rsidRPr="0076606E">
              <w:rPr>
                <w:spacing w:val="1"/>
                <w:sz w:val="18"/>
                <w:szCs w:val="18"/>
              </w:rPr>
              <w:t>r</w:t>
            </w:r>
            <w:r w:rsidRPr="0076606E">
              <w:rPr>
                <w:spacing w:val="-1"/>
                <w:sz w:val="18"/>
                <w:szCs w:val="18"/>
              </w:rPr>
              <w:t>i</w:t>
            </w:r>
            <w:r w:rsidRPr="0076606E">
              <w:rPr>
                <w:spacing w:val="3"/>
                <w:sz w:val="18"/>
                <w:szCs w:val="18"/>
              </w:rPr>
              <w:t>k</w:t>
            </w:r>
            <w:r w:rsidRPr="0076606E">
              <w:rPr>
                <w:sz w:val="18"/>
                <w:szCs w:val="18"/>
              </w:rPr>
              <w:t>ut</w:t>
            </w:r>
            <w:r w:rsidRPr="0076606E">
              <w:rPr>
                <w:spacing w:val="4"/>
                <w:sz w:val="18"/>
                <w:szCs w:val="18"/>
              </w:rPr>
              <w:t>n</w:t>
            </w:r>
            <w:r w:rsidRPr="0076606E">
              <w:rPr>
                <w:spacing w:val="-4"/>
                <w:sz w:val="18"/>
                <w:szCs w:val="18"/>
              </w:rPr>
              <w:t>y</w:t>
            </w:r>
            <w:r w:rsidRPr="0076606E">
              <w:rPr>
                <w:sz w:val="18"/>
                <w:szCs w:val="18"/>
              </w:rPr>
              <w:t xml:space="preserve">a </w:t>
            </w:r>
            <w:r w:rsidRPr="0076606E">
              <w:rPr>
                <w:spacing w:val="1"/>
                <w:sz w:val="18"/>
                <w:szCs w:val="18"/>
              </w:rPr>
              <w:t>s</w:t>
            </w:r>
            <w:r w:rsidRPr="0076606E">
              <w:rPr>
                <w:sz w:val="18"/>
                <w:szCs w:val="18"/>
              </w:rPr>
              <w:t>a</w:t>
            </w:r>
            <w:r w:rsidRPr="0076606E">
              <w:rPr>
                <w:spacing w:val="-1"/>
                <w:sz w:val="18"/>
                <w:szCs w:val="18"/>
              </w:rPr>
              <w:t>li</w:t>
            </w:r>
            <w:r w:rsidRPr="0076606E">
              <w:rPr>
                <w:spacing w:val="2"/>
                <w:sz w:val="18"/>
                <w:szCs w:val="18"/>
              </w:rPr>
              <w:t>n</w:t>
            </w:r>
            <w:r w:rsidRPr="0076606E">
              <w:rPr>
                <w:sz w:val="18"/>
                <w:szCs w:val="18"/>
              </w:rPr>
              <w:t>g</w:t>
            </w:r>
            <w:r w:rsidRPr="0076606E">
              <w:rPr>
                <w:spacing w:val="-5"/>
                <w:sz w:val="18"/>
                <w:szCs w:val="18"/>
              </w:rPr>
              <w:t xml:space="preserve"> </w:t>
            </w:r>
            <w:r w:rsidRPr="0076606E">
              <w:rPr>
                <w:spacing w:val="1"/>
                <w:sz w:val="18"/>
                <w:szCs w:val="18"/>
              </w:rPr>
              <w:t>b</w:t>
            </w:r>
            <w:r w:rsidRPr="0076606E">
              <w:rPr>
                <w:sz w:val="18"/>
                <w:szCs w:val="18"/>
              </w:rPr>
              <w:t>ere</w:t>
            </w:r>
            <w:r w:rsidRPr="0076606E">
              <w:rPr>
                <w:spacing w:val="1"/>
                <w:sz w:val="18"/>
                <w:szCs w:val="18"/>
              </w:rPr>
              <w:t>l</w:t>
            </w:r>
            <w:r w:rsidRPr="0076606E">
              <w:rPr>
                <w:sz w:val="18"/>
                <w:szCs w:val="18"/>
              </w:rPr>
              <w:t>a</w:t>
            </w:r>
            <w:r w:rsidRPr="0076606E">
              <w:rPr>
                <w:spacing w:val="1"/>
                <w:sz w:val="18"/>
                <w:szCs w:val="18"/>
              </w:rPr>
              <w:t>s</w:t>
            </w:r>
            <w:r w:rsidRPr="0076606E">
              <w:rPr>
                <w:sz w:val="18"/>
                <w:szCs w:val="18"/>
              </w:rPr>
              <w:t>i</w:t>
            </w:r>
            <w:r w:rsidRPr="0076606E">
              <w:rPr>
                <w:spacing w:val="-8"/>
                <w:sz w:val="18"/>
                <w:szCs w:val="18"/>
              </w:rPr>
              <w:t xml:space="preserve"> </w:t>
            </w:r>
            <w:r w:rsidRPr="0076606E">
              <w:rPr>
                <w:spacing w:val="2"/>
                <w:sz w:val="18"/>
                <w:szCs w:val="18"/>
              </w:rPr>
              <w:t>d</w:t>
            </w:r>
            <w:r w:rsidRPr="0076606E">
              <w:rPr>
                <w:sz w:val="18"/>
                <w:szCs w:val="18"/>
              </w:rPr>
              <w:t>e</w:t>
            </w:r>
            <w:r w:rsidRPr="0076606E">
              <w:rPr>
                <w:spacing w:val="-1"/>
                <w:sz w:val="18"/>
                <w:szCs w:val="18"/>
              </w:rPr>
              <w:t>n</w:t>
            </w:r>
            <w:r w:rsidRPr="0076606E">
              <w:rPr>
                <w:spacing w:val="2"/>
                <w:sz w:val="18"/>
                <w:szCs w:val="18"/>
              </w:rPr>
              <w:t>g</w:t>
            </w:r>
            <w:r w:rsidRPr="0076606E">
              <w:rPr>
                <w:sz w:val="18"/>
                <w:szCs w:val="18"/>
              </w:rPr>
              <w:t>an</w:t>
            </w:r>
            <w:r w:rsidRPr="0076606E">
              <w:rPr>
                <w:spacing w:val="-6"/>
                <w:sz w:val="18"/>
                <w:szCs w:val="18"/>
              </w:rPr>
              <w:t xml:space="preserve"> </w:t>
            </w:r>
            <w:r w:rsidRPr="0076606E">
              <w:rPr>
                <w:sz w:val="18"/>
                <w:szCs w:val="18"/>
              </w:rPr>
              <w:t>e</w:t>
            </w:r>
            <w:r w:rsidRPr="0076606E">
              <w:rPr>
                <w:spacing w:val="-1"/>
                <w:sz w:val="18"/>
                <w:szCs w:val="18"/>
              </w:rPr>
              <w:t>n</w:t>
            </w:r>
            <w:r w:rsidRPr="0076606E">
              <w:rPr>
                <w:spacing w:val="2"/>
                <w:sz w:val="18"/>
                <w:szCs w:val="18"/>
              </w:rPr>
              <w:t>t</w:t>
            </w:r>
            <w:r w:rsidRPr="0076606E">
              <w:rPr>
                <w:spacing w:val="-1"/>
                <w:sz w:val="18"/>
                <w:szCs w:val="18"/>
              </w:rPr>
              <w:t>i</w:t>
            </w:r>
            <w:r w:rsidRPr="0076606E">
              <w:rPr>
                <w:spacing w:val="2"/>
                <w:sz w:val="18"/>
                <w:szCs w:val="18"/>
              </w:rPr>
              <w:t>t</w:t>
            </w:r>
            <w:r w:rsidRPr="0076606E">
              <w:rPr>
                <w:sz w:val="18"/>
                <w:szCs w:val="18"/>
              </w:rPr>
              <w:t>as</w:t>
            </w:r>
            <w:r w:rsidRPr="0076606E">
              <w:rPr>
                <w:spacing w:val="-5"/>
                <w:sz w:val="18"/>
                <w:szCs w:val="18"/>
              </w:rPr>
              <w:t xml:space="preserve"> </w:t>
            </w:r>
            <w:r w:rsidRPr="0076606E">
              <w:rPr>
                <w:spacing w:val="-1"/>
                <w:sz w:val="18"/>
                <w:szCs w:val="18"/>
              </w:rPr>
              <w:t>l</w:t>
            </w:r>
            <w:r w:rsidRPr="0076606E">
              <w:rPr>
                <w:spacing w:val="2"/>
                <w:sz w:val="18"/>
                <w:szCs w:val="18"/>
              </w:rPr>
              <w:t>a</w:t>
            </w:r>
            <w:r w:rsidRPr="0076606E">
              <w:rPr>
                <w:spacing w:val="-1"/>
                <w:sz w:val="18"/>
                <w:szCs w:val="18"/>
              </w:rPr>
              <w:t>i</w:t>
            </w:r>
            <w:r w:rsidRPr="0076606E">
              <w:rPr>
                <w:sz w:val="18"/>
                <w:szCs w:val="18"/>
              </w:rPr>
              <w:t>n);</w:t>
            </w:r>
          </w:p>
        </w:tc>
        <w:tc>
          <w:tcPr>
            <w:tcW w:w="4599" w:type="dxa"/>
          </w:tcPr>
          <w:p w14:paraId="7A65D21F" w14:textId="77777777" w:rsidR="002C2CF0" w:rsidRPr="0076606E" w:rsidRDefault="002C2CF0" w:rsidP="00070D1F">
            <w:pPr>
              <w:pStyle w:val="ListParagraph"/>
              <w:widowControl w:val="0"/>
              <w:numPr>
                <w:ilvl w:val="1"/>
                <w:numId w:val="104"/>
              </w:numPr>
              <w:tabs>
                <w:tab w:val="left" w:pos="856"/>
              </w:tabs>
              <w:autoSpaceDE w:val="0"/>
              <w:autoSpaceDN w:val="0"/>
              <w:adjustRightInd w:val="0"/>
              <w:ind w:left="851" w:right="-68" w:hanging="284"/>
              <w:jc w:val="both"/>
              <w:rPr>
                <w:i/>
                <w:sz w:val="18"/>
                <w:szCs w:val="18"/>
              </w:rPr>
            </w:pPr>
            <w:r w:rsidRPr="0076606E">
              <w:rPr>
                <w:i/>
                <w:iCs/>
                <w:sz w:val="18"/>
                <w:szCs w:val="18"/>
              </w:rPr>
              <w:t>An</w:t>
            </w:r>
            <w:r w:rsidRPr="0076606E">
              <w:rPr>
                <w:i/>
                <w:iCs/>
                <w:spacing w:val="14"/>
                <w:sz w:val="18"/>
                <w:szCs w:val="18"/>
              </w:rPr>
              <w:t xml:space="preserve"> </w:t>
            </w:r>
            <w:r w:rsidRPr="0076606E">
              <w:rPr>
                <w:i/>
                <w:iCs/>
                <w:spacing w:val="2"/>
                <w:sz w:val="18"/>
                <w:szCs w:val="18"/>
              </w:rPr>
              <w:t>e</w:t>
            </w:r>
            <w:r w:rsidRPr="0076606E">
              <w:rPr>
                <w:i/>
                <w:iCs/>
                <w:sz w:val="18"/>
                <w:szCs w:val="18"/>
              </w:rPr>
              <w:t>nt</w:t>
            </w:r>
            <w:r w:rsidRPr="0076606E">
              <w:rPr>
                <w:i/>
                <w:iCs/>
                <w:spacing w:val="1"/>
                <w:sz w:val="18"/>
                <w:szCs w:val="18"/>
              </w:rPr>
              <w:t>i</w:t>
            </w:r>
            <w:r w:rsidRPr="0076606E">
              <w:rPr>
                <w:i/>
                <w:iCs/>
                <w:sz w:val="18"/>
                <w:szCs w:val="18"/>
              </w:rPr>
              <w:t>ty</w:t>
            </w:r>
            <w:r w:rsidRPr="0076606E">
              <w:rPr>
                <w:i/>
                <w:iCs/>
                <w:spacing w:val="12"/>
                <w:sz w:val="18"/>
                <w:szCs w:val="18"/>
              </w:rPr>
              <w:t xml:space="preserve"> </w:t>
            </w:r>
            <w:r w:rsidRPr="0076606E">
              <w:rPr>
                <w:i/>
                <w:iCs/>
                <w:spacing w:val="-1"/>
                <w:sz w:val="18"/>
                <w:szCs w:val="18"/>
              </w:rPr>
              <w:t>i</w:t>
            </w:r>
            <w:r w:rsidRPr="0076606E">
              <w:rPr>
                <w:i/>
                <w:iCs/>
                <w:sz w:val="18"/>
                <w:szCs w:val="18"/>
              </w:rPr>
              <w:t>s</w:t>
            </w:r>
            <w:r w:rsidRPr="0076606E">
              <w:rPr>
                <w:i/>
                <w:iCs/>
                <w:spacing w:val="16"/>
                <w:sz w:val="18"/>
                <w:szCs w:val="18"/>
              </w:rPr>
              <w:t xml:space="preserve"> </w:t>
            </w:r>
            <w:r w:rsidRPr="0076606E">
              <w:rPr>
                <w:i/>
                <w:iCs/>
                <w:spacing w:val="1"/>
                <w:sz w:val="18"/>
                <w:szCs w:val="18"/>
              </w:rPr>
              <w:t>r</w:t>
            </w:r>
            <w:r w:rsidRPr="0076606E">
              <w:rPr>
                <w:i/>
                <w:iCs/>
                <w:sz w:val="18"/>
                <w:szCs w:val="18"/>
              </w:rPr>
              <w:t>e</w:t>
            </w:r>
            <w:r w:rsidRPr="0076606E">
              <w:rPr>
                <w:i/>
                <w:iCs/>
                <w:spacing w:val="1"/>
                <w:sz w:val="18"/>
                <w:szCs w:val="18"/>
              </w:rPr>
              <w:t>l</w:t>
            </w:r>
            <w:r w:rsidRPr="0076606E">
              <w:rPr>
                <w:i/>
                <w:iCs/>
                <w:sz w:val="18"/>
                <w:szCs w:val="18"/>
              </w:rPr>
              <w:t>at</w:t>
            </w:r>
            <w:r w:rsidRPr="0076606E">
              <w:rPr>
                <w:i/>
                <w:iCs/>
                <w:spacing w:val="1"/>
                <w:sz w:val="18"/>
                <w:szCs w:val="18"/>
              </w:rPr>
              <w:t>e</w:t>
            </w:r>
            <w:r w:rsidRPr="0076606E">
              <w:rPr>
                <w:i/>
                <w:iCs/>
                <w:sz w:val="18"/>
                <w:szCs w:val="18"/>
              </w:rPr>
              <w:t>d</w:t>
            </w:r>
            <w:r w:rsidRPr="0076606E">
              <w:rPr>
                <w:i/>
                <w:iCs/>
                <w:spacing w:val="10"/>
                <w:sz w:val="18"/>
                <w:szCs w:val="18"/>
              </w:rPr>
              <w:t xml:space="preserve"> </w:t>
            </w:r>
            <w:r w:rsidRPr="0076606E">
              <w:rPr>
                <w:i/>
                <w:iCs/>
                <w:sz w:val="18"/>
                <w:szCs w:val="18"/>
              </w:rPr>
              <w:t>to</w:t>
            </w:r>
            <w:r w:rsidRPr="0076606E">
              <w:rPr>
                <w:i/>
                <w:iCs/>
                <w:spacing w:val="16"/>
                <w:sz w:val="18"/>
                <w:szCs w:val="18"/>
              </w:rPr>
              <w:t xml:space="preserve"> </w:t>
            </w:r>
            <w:r w:rsidRPr="0076606E">
              <w:rPr>
                <w:i/>
                <w:iCs/>
                <w:sz w:val="18"/>
                <w:szCs w:val="18"/>
              </w:rPr>
              <w:t>the</w:t>
            </w:r>
            <w:r w:rsidRPr="0076606E">
              <w:rPr>
                <w:i/>
                <w:iCs/>
                <w:spacing w:val="15"/>
                <w:sz w:val="18"/>
                <w:szCs w:val="18"/>
              </w:rPr>
              <w:t xml:space="preserve"> </w:t>
            </w:r>
            <w:r w:rsidRPr="0076606E">
              <w:rPr>
                <w:i/>
                <w:iCs/>
                <w:spacing w:val="1"/>
                <w:sz w:val="18"/>
                <w:szCs w:val="18"/>
              </w:rPr>
              <w:t>r</w:t>
            </w:r>
            <w:r w:rsidRPr="0076606E">
              <w:rPr>
                <w:i/>
                <w:iCs/>
                <w:sz w:val="18"/>
                <w:szCs w:val="18"/>
              </w:rPr>
              <w:t>e</w:t>
            </w:r>
            <w:r w:rsidRPr="0076606E">
              <w:rPr>
                <w:i/>
                <w:iCs/>
                <w:spacing w:val="-1"/>
                <w:sz w:val="18"/>
                <w:szCs w:val="18"/>
              </w:rPr>
              <w:t>p</w:t>
            </w:r>
            <w:r w:rsidRPr="0076606E">
              <w:rPr>
                <w:i/>
                <w:iCs/>
                <w:sz w:val="18"/>
                <w:szCs w:val="18"/>
              </w:rPr>
              <w:t>ort</w:t>
            </w:r>
            <w:r w:rsidRPr="0076606E">
              <w:rPr>
                <w:i/>
                <w:iCs/>
                <w:spacing w:val="2"/>
                <w:sz w:val="18"/>
                <w:szCs w:val="18"/>
              </w:rPr>
              <w:t>i</w:t>
            </w:r>
            <w:r w:rsidRPr="0076606E">
              <w:rPr>
                <w:i/>
                <w:iCs/>
                <w:sz w:val="18"/>
                <w:szCs w:val="18"/>
              </w:rPr>
              <w:t>ng</w:t>
            </w:r>
            <w:r w:rsidRPr="0076606E">
              <w:rPr>
                <w:i/>
                <w:iCs/>
                <w:spacing w:val="10"/>
                <w:sz w:val="18"/>
                <w:szCs w:val="18"/>
              </w:rPr>
              <w:t xml:space="preserve"> </w:t>
            </w:r>
            <w:r w:rsidRPr="0076606E">
              <w:rPr>
                <w:i/>
                <w:iCs/>
                <w:sz w:val="18"/>
                <w:szCs w:val="18"/>
              </w:rPr>
              <w:t>e</w:t>
            </w:r>
            <w:r w:rsidRPr="0076606E">
              <w:rPr>
                <w:i/>
                <w:iCs/>
                <w:spacing w:val="-1"/>
                <w:sz w:val="18"/>
                <w:szCs w:val="18"/>
              </w:rPr>
              <w:t>n</w:t>
            </w:r>
            <w:r w:rsidRPr="0076606E">
              <w:rPr>
                <w:i/>
                <w:iCs/>
                <w:spacing w:val="2"/>
                <w:sz w:val="18"/>
                <w:szCs w:val="18"/>
              </w:rPr>
              <w:t>t</w:t>
            </w:r>
            <w:r w:rsidRPr="0076606E">
              <w:rPr>
                <w:i/>
                <w:iCs/>
                <w:spacing w:val="-1"/>
                <w:sz w:val="18"/>
                <w:szCs w:val="18"/>
              </w:rPr>
              <w:t>i</w:t>
            </w:r>
            <w:r w:rsidRPr="0076606E">
              <w:rPr>
                <w:i/>
                <w:iCs/>
                <w:sz w:val="18"/>
                <w:szCs w:val="18"/>
              </w:rPr>
              <w:t>ty</w:t>
            </w:r>
            <w:r w:rsidRPr="0076606E">
              <w:rPr>
                <w:i/>
                <w:iCs/>
                <w:spacing w:val="12"/>
                <w:sz w:val="18"/>
                <w:szCs w:val="18"/>
              </w:rPr>
              <w:t xml:space="preserve"> </w:t>
            </w:r>
            <w:r w:rsidRPr="0076606E">
              <w:rPr>
                <w:i/>
                <w:iCs/>
                <w:spacing w:val="-1"/>
                <w:sz w:val="18"/>
                <w:szCs w:val="18"/>
              </w:rPr>
              <w:t>i</w:t>
            </w:r>
            <w:r w:rsidRPr="0076606E">
              <w:rPr>
                <w:i/>
                <w:iCs/>
                <w:sz w:val="18"/>
                <w:szCs w:val="18"/>
              </w:rPr>
              <w:t>f a</w:t>
            </w:r>
            <w:r w:rsidRPr="0076606E">
              <w:rPr>
                <w:i/>
                <w:iCs/>
                <w:spacing w:val="-1"/>
                <w:sz w:val="18"/>
                <w:szCs w:val="18"/>
              </w:rPr>
              <w:t>n</w:t>
            </w:r>
            <w:r w:rsidRPr="0076606E">
              <w:rPr>
                <w:i/>
                <w:iCs/>
                <w:sz w:val="18"/>
                <w:szCs w:val="18"/>
              </w:rPr>
              <w:t>y</w:t>
            </w:r>
            <w:r w:rsidRPr="0076606E">
              <w:rPr>
                <w:i/>
                <w:iCs/>
                <w:spacing w:val="-2"/>
                <w:sz w:val="18"/>
                <w:szCs w:val="18"/>
              </w:rPr>
              <w:t xml:space="preserve"> </w:t>
            </w:r>
            <w:r w:rsidRPr="0076606E">
              <w:rPr>
                <w:i/>
                <w:iCs/>
                <w:sz w:val="18"/>
                <w:szCs w:val="18"/>
              </w:rPr>
              <w:t>of</w:t>
            </w:r>
            <w:r w:rsidRPr="0076606E">
              <w:rPr>
                <w:i/>
                <w:iCs/>
                <w:spacing w:val="-3"/>
                <w:sz w:val="18"/>
                <w:szCs w:val="18"/>
              </w:rPr>
              <w:t xml:space="preserve"> </w:t>
            </w:r>
            <w:r w:rsidRPr="0076606E">
              <w:rPr>
                <w:i/>
                <w:iCs/>
                <w:spacing w:val="3"/>
                <w:sz w:val="18"/>
                <w:szCs w:val="18"/>
              </w:rPr>
              <w:t>the</w:t>
            </w:r>
            <w:r w:rsidRPr="0076606E">
              <w:rPr>
                <w:i/>
                <w:iCs/>
                <w:spacing w:val="-4"/>
                <w:sz w:val="18"/>
                <w:szCs w:val="18"/>
              </w:rPr>
              <w:t xml:space="preserve"> </w:t>
            </w:r>
            <w:r w:rsidRPr="0076606E">
              <w:rPr>
                <w:i/>
                <w:iCs/>
                <w:spacing w:val="2"/>
                <w:sz w:val="18"/>
                <w:szCs w:val="18"/>
              </w:rPr>
              <w:t>f</w:t>
            </w:r>
            <w:r w:rsidRPr="0076606E">
              <w:rPr>
                <w:i/>
                <w:iCs/>
                <w:sz w:val="18"/>
                <w:szCs w:val="18"/>
              </w:rPr>
              <w:t>o</w:t>
            </w:r>
            <w:r w:rsidRPr="0076606E">
              <w:rPr>
                <w:i/>
                <w:iCs/>
                <w:spacing w:val="1"/>
                <w:sz w:val="18"/>
                <w:szCs w:val="18"/>
              </w:rPr>
              <w:t>l</w:t>
            </w:r>
            <w:r w:rsidRPr="0076606E">
              <w:rPr>
                <w:i/>
                <w:iCs/>
                <w:spacing w:val="-1"/>
                <w:sz w:val="18"/>
                <w:szCs w:val="18"/>
              </w:rPr>
              <w:t>l</w:t>
            </w:r>
            <w:r w:rsidRPr="0076606E">
              <w:rPr>
                <w:i/>
                <w:iCs/>
                <w:sz w:val="18"/>
                <w:szCs w:val="18"/>
              </w:rPr>
              <w:t>o</w:t>
            </w:r>
            <w:r w:rsidRPr="0076606E">
              <w:rPr>
                <w:i/>
                <w:iCs/>
                <w:spacing w:val="2"/>
                <w:sz w:val="18"/>
                <w:szCs w:val="18"/>
              </w:rPr>
              <w:t>w</w:t>
            </w:r>
            <w:r w:rsidRPr="0076606E">
              <w:rPr>
                <w:i/>
                <w:iCs/>
                <w:spacing w:val="-1"/>
                <w:sz w:val="18"/>
                <w:szCs w:val="18"/>
              </w:rPr>
              <w:t>i</w:t>
            </w:r>
            <w:r w:rsidRPr="0076606E">
              <w:rPr>
                <w:i/>
                <w:iCs/>
                <w:sz w:val="18"/>
                <w:szCs w:val="18"/>
              </w:rPr>
              <w:t>ng</w:t>
            </w:r>
            <w:r w:rsidRPr="0076606E">
              <w:rPr>
                <w:i/>
                <w:iCs/>
                <w:spacing w:val="-7"/>
                <w:sz w:val="18"/>
                <w:szCs w:val="18"/>
              </w:rPr>
              <w:t xml:space="preserve"> </w:t>
            </w:r>
            <w:r w:rsidRPr="0076606E">
              <w:rPr>
                <w:i/>
                <w:iCs/>
                <w:spacing w:val="1"/>
                <w:sz w:val="18"/>
                <w:szCs w:val="18"/>
              </w:rPr>
              <w:t>c</w:t>
            </w:r>
            <w:r w:rsidRPr="0076606E">
              <w:rPr>
                <w:i/>
                <w:iCs/>
                <w:sz w:val="18"/>
                <w:szCs w:val="18"/>
              </w:rPr>
              <w:t>o</w:t>
            </w:r>
            <w:r w:rsidRPr="0076606E">
              <w:rPr>
                <w:i/>
                <w:iCs/>
                <w:spacing w:val="-1"/>
                <w:sz w:val="18"/>
                <w:szCs w:val="18"/>
              </w:rPr>
              <w:t>n</w:t>
            </w:r>
            <w:r w:rsidRPr="0076606E">
              <w:rPr>
                <w:i/>
                <w:iCs/>
                <w:spacing w:val="2"/>
                <w:sz w:val="18"/>
                <w:szCs w:val="18"/>
              </w:rPr>
              <w:t>d</w:t>
            </w:r>
            <w:r w:rsidRPr="0076606E">
              <w:rPr>
                <w:i/>
                <w:iCs/>
                <w:spacing w:val="-1"/>
                <w:sz w:val="18"/>
                <w:szCs w:val="18"/>
              </w:rPr>
              <w:t>i</w:t>
            </w:r>
            <w:r w:rsidRPr="0076606E">
              <w:rPr>
                <w:i/>
                <w:iCs/>
                <w:spacing w:val="2"/>
                <w:sz w:val="18"/>
                <w:szCs w:val="18"/>
              </w:rPr>
              <w:t>t</w:t>
            </w:r>
            <w:r w:rsidRPr="0076606E">
              <w:rPr>
                <w:i/>
                <w:iCs/>
                <w:spacing w:val="1"/>
                <w:sz w:val="18"/>
                <w:szCs w:val="18"/>
              </w:rPr>
              <w:t>i</w:t>
            </w:r>
            <w:r w:rsidRPr="0076606E">
              <w:rPr>
                <w:i/>
                <w:iCs/>
                <w:sz w:val="18"/>
                <w:szCs w:val="18"/>
              </w:rPr>
              <w:t>o</w:t>
            </w:r>
            <w:r w:rsidRPr="0076606E">
              <w:rPr>
                <w:i/>
                <w:iCs/>
                <w:spacing w:val="-1"/>
                <w:sz w:val="18"/>
                <w:szCs w:val="18"/>
              </w:rPr>
              <w:t>n</w:t>
            </w:r>
            <w:r w:rsidRPr="0076606E">
              <w:rPr>
                <w:i/>
                <w:iCs/>
                <w:sz w:val="18"/>
                <w:szCs w:val="18"/>
              </w:rPr>
              <w:t>s</w:t>
            </w:r>
            <w:r w:rsidRPr="0076606E">
              <w:rPr>
                <w:i/>
                <w:iCs/>
                <w:spacing w:val="-8"/>
                <w:sz w:val="18"/>
                <w:szCs w:val="18"/>
              </w:rPr>
              <w:t xml:space="preserve"> </w:t>
            </w:r>
            <w:r w:rsidRPr="0076606E">
              <w:rPr>
                <w:i/>
                <w:iCs/>
                <w:sz w:val="18"/>
                <w:szCs w:val="18"/>
              </w:rPr>
              <w:t>a</w:t>
            </w:r>
            <w:r w:rsidRPr="0076606E">
              <w:rPr>
                <w:i/>
                <w:iCs/>
                <w:spacing w:val="1"/>
                <w:sz w:val="18"/>
                <w:szCs w:val="18"/>
              </w:rPr>
              <w:t>p</w:t>
            </w:r>
            <w:r w:rsidRPr="0076606E">
              <w:rPr>
                <w:i/>
                <w:iCs/>
                <w:sz w:val="18"/>
                <w:szCs w:val="18"/>
              </w:rPr>
              <w:t>p</w:t>
            </w:r>
            <w:r w:rsidRPr="0076606E">
              <w:rPr>
                <w:i/>
                <w:iCs/>
                <w:spacing w:val="1"/>
                <w:sz w:val="18"/>
                <w:szCs w:val="18"/>
              </w:rPr>
              <w:t>l</w:t>
            </w:r>
            <w:r w:rsidRPr="0076606E">
              <w:rPr>
                <w:i/>
                <w:iCs/>
                <w:spacing w:val="-1"/>
                <w:sz w:val="18"/>
                <w:szCs w:val="18"/>
              </w:rPr>
              <w:t>i</w:t>
            </w:r>
            <w:r w:rsidRPr="0076606E">
              <w:rPr>
                <w:i/>
                <w:iCs/>
                <w:sz w:val="18"/>
                <w:szCs w:val="18"/>
              </w:rPr>
              <w:t>e</w:t>
            </w:r>
            <w:r w:rsidRPr="0076606E">
              <w:rPr>
                <w:i/>
                <w:iCs/>
                <w:spacing w:val="1"/>
                <w:sz w:val="18"/>
                <w:szCs w:val="18"/>
              </w:rPr>
              <w:t>s</w:t>
            </w:r>
            <w:r w:rsidRPr="0076606E">
              <w:rPr>
                <w:i/>
                <w:iCs/>
                <w:sz w:val="18"/>
                <w:szCs w:val="18"/>
              </w:rPr>
              <w:t>:</w:t>
            </w:r>
          </w:p>
          <w:p w14:paraId="2F3AE93F" w14:textId="5A544683" w:rsidR="002C2CF0" w:rsidRPr="0076606E" w:rsidRDefault="002C2CF0" w:rsidP="00911A8A">
            <w:pPr>
              <w:widowControl w:val="0"/>
              <w:numPr>
                <w:ilvl w:val="0"/>
                <w:numId w:val="21"/>
              </w:numPr>
              <w:autoSpaceDE w:val="0"/>
              <w:autoSpaceDN w:val="0"/>
              <w:adjustRightInd w:val="0"/>
              <w:ind w:left="1135" w:right="-57" w:hanging="284"/>
              <w:jc w:val="both"/>
              <w:rPr>
                <w:i/>
                <w:sz w:val="18"/>
                <w:szCs w:val="18"/>
              </w:rPr>
            </w:pPr>
            <w:r w:rsidRPr="0076606E">
              <w:rPr>
                <w:i/>
                <w:iCs/>
                <w:sz w:val="18"/>
                <w:szCs w:val="18"/>
              </w:rPr>
              <w:t>The</w:t>
            </w:r>
            <w:r w:rsidRPr="0076606E">
              <w:rPr>
                <w:i/>
                <w:iCs/>
                <w:spacing w:val="-2"/>
                <w:sz w:val="18"/>
                <w:szCs w:val="18"/>
              </w:rPr>
              <w:t xml:space="preserve"> </w:t>
            </w:r>
            <w:r w:rsidRPr="0076606E">
              <w:rPr>
                <w:i/>
                <w:iCs/>
                <w:sz w:val="18"/>
                <w:szCs w:val="18"/>
              </w:rPr>
              <w:t>e</w:t>
            </w:r>
            <w:r w:rsidRPr="0076606E">
              <w:rPr>
                <w:i/>
                <w:iCs/>
                <w:spacing w:val="-1"/>
                <w:sz w:val="18"/>
                <w:szCs w:val="18"/>
              </w:rPr>
              <w:t>n</w:t>
            </w:r>
            <w:r w:rsidRPr="0076606E">
              <w:rPr>
                <w:i/>
                <w:iCs/>
                <w:spacing w:val="2"/>
                <w:sz w:val="18"/>
                <w:szCs w:val="18"/>
              </w:rPr>
              <w:t>t</w:t>
            </w:r>
            <w:r w:rsidRPr="0076606E">
              <w:rPr>
                <w:i/>
                <w:iCs/>
                <w:spacing w:val="-1"/>
                <w:sz w:val="18"/>
                <w:szCs w:val="18"/>
              </w:rPr>
              <w:t>i</w:t>
            </w:r>
            <w:r w:rsidRPr="0076606E">
              <w:rPr>
                <w:i/>
                <w:iCs/>
                <w:sz w:val="18"/>
                <w:szCs w:val="18"/>
              </w:rPr>
              <w:t>ty</w:t>
            </w:r>
            <w:r w:rsidRPr="0076606E">
              <w:rPr>
                <w:i/>
                <w:iCs/>
                <w:spacing w:val="-2"/>
                <w:sz w:val="18"/>
                <w:szCs w:val="18"/>
              </w:rPr>
              <w:t xml:space="preserve"> </w:t>
            </w:r>
            <w:r w:rsidRPr="0076606E">
              <w:rPr>
                <w:i/>
                <w:iCs/>
                <w:sz w:val="18"/>
                <w:szCs w:val="18"/>
              </w:rPr>
              <w:t>a</w:t>
            </w:r>
            <w:r w:rsidRPr="0076606E">
              <w:rPr>
                <w:i/>
                <w:iCs/>
                <w:spacing w:val="-1"/>
                <w:sz w:val="18"/>
                <w:szCs w:val="18"/>
              </w:rPr>
              <w:t>n</w:t>
            </w:r>
            <w:r w:rsidRPr="0076606E">
              <w:rPr>
                <w:i/>
                <w:iCs/>
                <w:sz w:val="18"/>
                <w:szCs w:val="18"/>
              </w:rPr>
              <w:t>d</w:t>
            </w:r>
            <w:r w:rsidRPr="0076606E">
              <w:rPr>
                <w:i/>
                <w:iCs/>
                <w:spacing w:val="-1"/>
                <w:sz w:val="18"/>
                <w:szCs w:val="18"/>
              </w:rPr>
              <w:t xml:space="preserve"> </w:t>
            </w:r>
            <w:r w:rsidRPr="0076606E">
              <w:rPr>
                <w:i/>
                <w:iCs/>
                <w:sz w:val="18"/>
                <w:szCs w:val="18"/>
              </w:rPr>
              <w:t>the</w:t>
            </w:r>
            <w:r w:rsidRPr="0076606E">
              <w:rPr>
                <w:i/>
                <w:iCs/>
                <w:spacing w:val="-2"/>
                <w:sz w:val="18"/>
                <w:szCs w:val="18"/>
              </w:rPr>
              <w:t xml:space="preserve"> </w:t>
            </w:r>
            <w:r w:rsidRPr="0076606E">
              <w:rPr>
                <w:i/>
                <w:iCs/>
                <w:spacing w:val="1"/>
                <w:sz w:val="18"/>
                <w:szCs w:val="18"/>
              </w:rPr>
              <w:t>r</w:t>
            </w:r>
            <w:r w:rsidRPr="0076606E">
              <w:rPr>
                <w:i/>
                <w:iCs/>
                <w:sz w:val="18"/>
                <w:szCs w:val="18"/>
              </w:rPr>
              <w:t>e</w:t>
            </w:r>
            <w:r w:rsidRPr="0076606E">
              <w:rPr>
                <w:i/>
                <w:iCs/>
                <w:spacing w:val="1"/>
                <w:sz w:val="18"/>
                <w:szCs w:val="18"/>
              </w:rPr>
              <w:t>p</w:t>
            </w:r>
            <w:r w:rsidRPr="0076606E">
              <w:rPr>
                <w:i/>
                <w:iCs/>
                <w:sz w:val="18"/>
                <w:szCs w:val="18"/>
              </w:rPr>
              <w:t>ort</w:t>
            </w:r>
            <w:r w:rsidRPr="0076606E">
              <w:rPr>
                <w:i/>
                <w:iCs/>
                <w:spacing w:val="2"/>
                <w:sz w:val="18"/>
                <w:szCs w:val="18"/>
              </w:rPr>
              <w:t>i</w:t>
            </w:r>
            <w:r w:rsidRPr="0076606E">
              <w:rPr>
                <w:i/>
                <w:iCs/>
                <w:sz w:val="18"/>
                <w:szCs w:val="18"/>
              </w:rPr>
              <w:t>ng</w:t>
            </w:r>
            <w:r w:rsidRPr="0076606E">
              <w:rPr>
                <w:i/>
                <w:iCs/>
                <w:spacing w:val="-5"/>
                <w:sz w:val="18"/>
                <w:szCs w:val="18"/>
              </w:rPr>
              <w:t xml:space="preserve"> </w:t>
            </w:r>
            <w:r w:rsidRPr="0076606E">
              <w:rPr>
                <w:i/>
                <w:iCs/>
                <w:sz w:val="18"/>
                <w:szCs w:val="18"/>
              </w:rPr>
              <w:t>e</w:t>
            </w:r>
            <w:r w:rsidRPr="0076606E">
              <w:rPr>
                <w:i/>
                <w:iCs/>
                <w:spacing w:val="-1"/>
                <w:sz w:val="18"/>
                <w:szCs w:val="18"/>
              </w:rPr>
              <w:t>n</w:t>
            </w:r>
            <w:r w:rsidRPr="0076606E">
              <w:rPr>
                <w:i/>
                <w:iCs/>
                <w:sz w:val="18"/>
                <w:szCs w:val="18"/>
              </w:rPr>
              <w:t>t</w:t>
            </w:r>
            <w:r w:rsidRPr="0076606E">
              <w:rPr>
                <w:i/>
                <w:iCs/>
                <w:spacing w:val="-1"/>
                <w:sz w:val="18"/>
                <w:szCs w:val="18"/>
              </w:rPr>
              <w:t>i</w:t>
            </w:r>
            <w:r w:rsidRPr="0076606E">
              <w:rPr>
                <w:i/>
                <w:iCs/>
                <w:sz w:val="18"/>
                <w:szCs w:val="18"/>
              </w:rPr>
              <w:t>ty</w:t>
            </w:r>
            <w:r w:rsidRPr="0076606E">
              <w:rPr>
                <w:i/>
                <w:iCs/>
                <w:spacing w:val="-2"/>
                <w:sz w:val="18"/>
                <w:szCs w:val="18"/>
              </w:rPr>
              <w:t xml:space="preserve"> </w:t>
            </w:r>
            <w:r w:rsidRPr="0076606E">
              <w:rPr>
                <w:i/>
                <w:iCs/>
                <w:sz w:val="18"/>
                <w:szCs w:val="18"/>
              </w:rPr>
              <w:t>are m</w:t>
            </w:r>
            <w:r w:rsidRPr="0076606E">
              <w:rPr>
                <w:i/>
                <w:iCs/>
                <w:spacing w:val="-1"/>
                <w:sz w:val="18"/>
                <w:szCs w:val="18"/>
              </w:rPr>
              <w:t>e</w:t>
            </w:r>
            <w:r w:rsidRPr="0076606E">
              <w:rPr>
                <w:i/>
                <w:iCs/>
                <w:spacing w:val="2"/>
                <w:sz w:val="18"/>
                <w:szCs w:val="18"/>
              </w:rPr>
              <w:t>m</w:t>
            </w:r>
            <w:r w:rsidRPr="0076606E">
              <w:rPr>
                <w:i/>
                <w:iCs/>
                <w:sz w:val="18"/>
                <w:szCs w:val="18"/>
              </w:rPr>
              <w:t>b</w:t>
            </w:r>
            <w:r w:rsidRPr="0076606E">
              <w:rPr>
                <w:i/>
                <w:iCs/>
                <w:spacing w:val="-1"/>
                <w:sz w:val="18"/>
                <w:szCs w:val="18"/>
              </w:rPr>
              <w:t>e</w:t>
            </w:r>
            <w:r w:rsidRPr="0076606E">
              <w:rPr>
                <w:i/>
                <w:iCs/>
                <w:spacing w:val="1"/>
                <w:sz w:val="18"/>
                <w:szCs w:val="18"/>
              </w:rPr>
              <w:t>r</w:t>
            </w:r>
            <w:r w:rsidRPr="0076606E">
              <w:rPr>
                <w:i/>
                <w:iCs/>
                <w:sz w:val="18"/>
                <w:szCs w:val="18"/>
              </w:rPr>
              <w:t>s of</w:t>
            </w:r>
            <w:r w:rsidRPr="0076606E">
              <w:rPr>
                <w:i/>
                <w:iCs/>
                <w:spacing w:val="7"/>
                <w:sz w:val="18"/>
                <w:szCs w:val="18"/>
              </w:rPr>
              <w:t xml:space="preserve"> </w:t>
            </w:r>
            <w:r w:rsidRPr="0076606E">
              <w:rPr>
                <w:i/>
                <w:iCs/>
                <w:sz w:val="18"/>
                <w:szCs w:val="18"/>
              </w:rPr>
              <w:t>t</w:t>
            </w:r>
            <w:r w:rsidRPr="0076606E">
              <w:rPr>
                <w:i/>
                <w:iCs/>
                <w:spacing w:val="2"/>
                <w:sz w:val="18"/>
                <w:szCs w:val="18"/>
              </w:rPr>
              <w:t>h</w:t>
            </w:r>
            <w:r w:rsidRPr="0076606E">
              <w:rPr>
                <w:i/>
                <w:iCs/>
                <w:sz w:val="18"/>
                <w:szCs w:val="18"/>
              </w:rPr>
              <w:t>e</w:t>
            </w:r>
            <w:r w:rsidRPr="0076606E">
              <w:rPr>
                <w:i/>
                <w:iCs/>
                <w:spacing w:val="4"/>
                <w:sz w:val="18"/>
                <w:szCs w:val="18"/>
              </w:rPr>
              <w:t xml:space="preserve"> </w:t>
            </w:r>
            <w:r w:rsidRPr="0076606E">
              <w:rPr>
                <w:i/>
                <w:iCs/>
                <w:spacing w:val="1"/>
                <w:sz w:val="18"/>
                <w:szCs w:val="18"/>
              </w:rPr>
              <w:t>s</w:t>
            </w:r>
            <w:r w:rsidRPr="0076606E">
              <w:rPr>
                <w:i/>
                <w:iCs/>
                <w:sz w:val="18"/>
                <w:szCs w:val="18"/>
              </w:rPr>
              <w:t>a</w:t>
            </w:r>
            <w:r w:rsidRPr="0076606E">
              <w:rPr>
                <w:i/>
                <w:iCs/>
                <w:spacing w:val="2"/>
                <w:sz w:val="18"/>
                <w:szCs w:val="18"/>
              </w:rPr>
              <w:t>m</w:t>
            </w:r>
            <w:r w:rsidRPr="0076606E">
              <w:rPr>
                <w:i/>
                <w:iCs/>
                <w:sz w:val="18"/>
                <w:szCs w:val="18"/>
              </w:rPr>
              <w:t>e</w:t>
            </w:r>
            <w:r w:rsidRPr="0076606E">
              <w:rPr>
                <w:i/>
                <w:iCs/>
                <w:spacing w:val="4"/>
                <w:sz w:val="18"/>
                <w:szCs w:val="18"/>
              </w:rPr>
              <w:t xml:space="preserve"> </w:t>
            </w:r>
            <w:r w:rsidRPr="0076606E">
              <w:rPr>
                <w:i/>
                <w:iCs/>
                <w:sz w:val="18"/>
                <w:szCs w:val="18"/>
              </w:rPr>
              <w:t>gr</w:t>
            </w:r>
            <w:r w:rsidRPr="0076606E">
              <w:rPr>
                <w:i/>
                <w:iCs/>
                <w:spacing w:val="2"/>
                <w:sz w:val="18"/>
                <w:szCs w:val="18"/>
              </w:rPr>
              <w:t>o</w:t>
            </w:r>
            <w:r w:rsidRPr="0076606E">
              <w:rPr>
                <w:i/>
                <w:iCs/>
                <w:sz w:val="18"/>
                <w:szCs w:val="18"/>
              </w:rPr>
              <w:t>up</w:t>
            </w:r>
            <w:r w:rsidRPr="0076606E">
              <w:rPr>
                <w:i/>
                <w:iCs/>
                <w:spacing w:val="1"/>
                <w:sz w:val="18"/>
                <w:szCs w:val="18"/>
              </w:rPr>
              <w:t xml:space="preserve"> (</w:t>
            </w:r>
            <w:r w:rsidRPr="0076606E">
              <w:rPr>
                <w:i/>
                <w:iCs/>
                <w:sz w:val="18"/>
                <w:szCs w:val="18"/>
              </w:rPr>
              <w:t>w</w:t>
            </w:r>
            <w:r w:rsidRPr="0076606E">
              <w:rPr>
                <w:i/>
                <w:iCs/>
                <w:spacing w:val="2"/>
                <w:sz w:val="18"/>
                <w:szCs w:val="18"/>
              </w:rPr>
              <w:t>h</w:t>
            </w:r>
            <w:r w:rsidRPr="0076606E">
              <w:rPr>
                <w:i/>
                <w:iCs/>
                <w:spacing w:val="-1"/>
                <w:sz w:val="18"/>
                <w:szCs w:val="18"/>
              </w:rPr>
              <w:t>i</w:t>
            </w:r>
            <w:r w:rsidRPr="0076606E">
              <w:rPr>
                <w:i/>
                <w:iCs/>
                <w:spacing w:val="1"/>
                <w:sz w:val="18"/>
                <w:szCs w:val="18"/>
              </w:rPr>
              <w:t>c</w:t>
            </w:r>
            <w:r w:rsidRPr="0076606E">
              <w:rPr>
                <w:i/>
                <w:iCs/>
                <w:sz w:val="18"/>
                <w:szCs w:val="18"/>
              </w:rPr>
              <w:t>h m</w:t>
            </w:r>
            <w:r w:rsidRPr="0076606E">
              <w:rPr>
                <w:i/>
                <w:iCs/>
                <w:spacing w:val="-1"/>
                <w:sz w:val="18"/>
                <w:szCs w:val="18"/>
              </w:rPr>
              <w:t>e</w:t>
            </w:r>
            <w:r w:rsidRPr="0076606E">
              <w:rPr>
                <w:i/>
                <w:iCs/>
                <w:sz w:val="18"/>
                <w:szCs w:val="18"/>
              </w:rPr>
              <w:t>a</w:t>
            </w:r>
            <w:r w:rsidRPr="0076606E">
              <w:rPr>
                <w:i/>
                <w:iCs/>
                <w:spacing w:val="-1"/>
                <w:sz w:val="18"/>
                <w:szCs w:val="18"/>
              </w:rPr>
              <w:t>n</w:t>
            </w:r>
            <w:r w:rsidRPr="0076606E">
              <w:rPr>
                <w:i/>
                <w:iCs/>
                <w:sz w:val="18"/>
                <w:szCs w:val="18"/>
              </w:rPr>
              <w:t>s</w:t>
            </w:r>
            <w:r w:rsidRPr="0076606E">
              <w:rPr>
                <w:i/>
                <w:iCs/>
                <w:spacing w:val="1"/>
                <w:sz w:val="18"/>
                <w:szCs w:val="18"/>
              </w:rPr>
              <w:t xml:space="preserve"> </w:t>
            </w:r>
            <w:r w:rsidRPr="0076606E">
              <w:rPr>
                <w:i/>
                <w:iCs/>
                <w:sz w:val="18"/>
                <w:szCs w:val="18"/>
              </w:rPr>
              <w:t>t</w:t>
            </w:r>
            <w:r w:rsidRPr="0076606E">
              <w:rPr>
                <w:i/>
                <w:iCs/>
                <w:spacing w:val="2"/>
                <w:sz w:val="18"/>
                <w:szCs w:val="18"/>
              </w:rPr>
              <w:t>h</w:t>
            </w:r>
            <w:r w:rsidRPr="0076606E">
              <w:rPr>
                <w:i/>
                <w:iCs/>
                <w:sz w:val="18"/>
                <w:szCs w:val="18"/>
              </w:rPr>
              <w:t>at</w:t>
            </w:r>
            <w:r w:rsidRPr="0076606E">
              <w:rPr>
                <w:i/>
                <w:iCs/>
                <w:spacing w:val="3"/>
                <w:sz w:val="18"/>
                <w:szCs w:val="18"/>
              </w:rPr>
              <w:t xml:space="preserve"> </w:t>
            </w:r>
            <w:r w:rsidRPr="0076606E">
              <w:rPr>
                <w:i/>
                <w:iCs/>
                <w:sz w:val="18"/>
                <w:szCs w:val="18"/>
              </w:rPr>
              <w:t>e</w:t>
            </w:r>
            <w:r w:rsidRPr="0076606E">
              <w:rPr>
                <w:i/>
                <w:iCs/>
                <w:spacing w:val="-1"/>
                <w:sz w:val="18"/>
                <w:szCs w:val="18"/>
              </w:rPr>
              <w:t>a</w:t>
            </w:r>
            <w:r w:rsidRPr="0076606E">
              <w:rPr>
                <w:i/>
                <w:iCs/>
                <w:spacing w:val="1"/>
                <w:sz w:val="18"/>
                <w:szCs w:val="18"/>
              </w:rPr>
              <w:t>c</w:t>
            </w:r>
            <w:r w:rsidRPr="0076606E">
              <w:rPr>
                <w:i/>
                <w:iCs/>
                <w:sz w:val="18"/>
                <w:szCs w:val="18"/>
              </w:rPr>
              <w:t>h</w:t>
            </w:r>
            <w:r w:rsidRPr="0076606E">
              <w:rPr>
                <w:i/>
                <w:iCs/>
                <w:spacing w:val="4"/>
                <w:sz w:val="18"/>
                <w:szCs w:val="18"/>
              </w:rPr>
              <w:t xml:space="preserve"> </w:t>
            </w:r>
            <w:r w:rsidRPr="0076606E">
              <w:rPr>
                <w:i/>
                <w:iCs/>
                <w:sz w:val="18"/>
                <w:szCs w:val="18"/>
              </w:rPr>
              <w:t>p</w:t>
            </w:r>
            <w:r w:rsidRPr="0076606E">
              <w:rPr>
                <w:i/>
                <w:iCs/>
                <w:spacing w:val="-1"/>
                <w:sz w:val="18"/>
                <w:szCs w:val="18"/>
              </w:rPr>
              <w:t>a</w:t>
            </w:r>
            <w:r w:rsidRPr="0076606E">
              <w:rPr>
                <w:i/>
                <w:iCs/>
                <w:spacing w:val="1"/>
                <w:sz w:val="18"/>
                <w:szCs w:val="18"/>
              </w:rPr>
              <w:t>r</w:t>
            </w:r>
            <w:r w:rsidRPr="0076606E">
              <w:rPr>
                <w:i/>
                <w:iCs/>
                <w:sz w:val="18"/>
                <w:szCs w:val="18"/>
              </w:rPr>
              <w:t>e</w:t>
            </w:r>
            <w:r w:rsidRPr="0076606E">
              <w:rPr>
                <w:i/>
                <w:iCs/>
                <w:spacing w:val="-1"/>
                <w:sz w:val="18"/>
                <w:szCs w:val="18"/>
              </w:rPr>
              <w:t>n</w:t>
            </w:r>
            <w:r w:rsidRPr="0076606E">
              <w:rPr>
                <w:i/>
                <w:iCs/>
                <w:spacing w:val="2"/>
                <w:sz w:val="18"/>
                <w:szCs w:val="18"/>
              </w:rPr>
              <w:t>t</w:t>
            </w:r>
            <w:r w:rsidR="00911A8A">
              <w:rPr>
                <w:i/>
                <w:iCs/>
                <w:sz w:val="18"/>
                <w:szCs w:val="18"/>
              </w:rPr>
              <w:t>,</w:t>
            </w:r>
            <w:r w:rsidRPr="0076606E">
              <w:rPr>
                <w:i/>
                <w:iCs/>
                <w:sz w:val="18"/>
                <w:szCs w:val="18"/>
              </w:rPr>
              <w:t xml:space="preserve"> </w:t>
            </w:r>
            <w:r w:rsidRPr="0076606E">
              <w:rPr>
                <w:i/>
                <w:iCs/>
                <w:spacing w:val="1"/>
                <w:sz w:val="18"/>
                <w:szCs w:val="18"/>
              </w:rPr>
              <w:t>s</w:t>
            </w:r>
            <w:r w:rsidRPr="0076606E">
              <w:rPr>
                <w:i/>
                <w:iCs/>
                <w:sz w:val="18"/>
                <w:szCs w:val="18"/>
              </w:rPr>
              <w:t>u</w:t>
            </w:r>
            <w:r w:rsidRPr="0076606E">
              <w:rPr>
                <w:i/>
                <w:iCs/>
                <w:spacing w:val="-1"/>
                <w:sz w:val="18"/>
                <w:szCs w:val="18"/>
              </w:rPr>
              <w:t>b</w:t>
            </w:r>
            <w:r w:rsidRPr="0076606E">
              <w:rPr>
                <w:i/>
                <w:iCs/>
                <w:spacing w:val="1"/>
                <w:sz w:val="18"/>
                <w:szCs w:val="18"/>
              </w:rPr>
              <w:t>s</w:t>
            </w:r>
            <w:r w:rsidRPr="0076606E">
              <w:rPr>
                <w:i/>
                <w:iCs/>
                <w:spacing w:val="-1"/>
                <w:sz w:val="18"/>
                <w:szCs w:val="18"/>
              </w:rPr>
              <w:t>i</w:t>
            </w:r>
            <w:r w:rsidRPr="0076606E">
              <w:rPr>
                <w:i/>
                <w:iCs/>
                <w:sz w:val="18"/>
                <w:szCs w:val="18"/>
              </w:rPr>
              <w:t>d</w:t>
            </w:r>
            <w:r w:rsidRPr="0076606E">
              <w:rPr>
                <w:i/>
                <w:iCs/>
                <w:spacing w:val="1"/>
                <w:sz w:val="18"/>
                <w:szCs w:val="18"/>
              </w:rPr>
              <w:t>i</w:t>
            </w:r>
            <w:r w:rsidRPr="0076606E">
              <w:rPr>
                <w:i/>
                <w:iCs/>
                <w:sz w:val="18"/>
                <w:szCs w:val="18"/>
              </w:rPr>
              <w:t>ary and</w:t>
            </w:r>
            <w:r w:rsidRPr="0076606E">
              <w:rPr>
                <w:i/>
                <w:iCs/>
                <w:spacing w:val="4"/>
                <w:sz w:val="18"/>
                <w:szCs w:val="18"/>
              </w:rPr>
              <w:t xml:space="preserve"> </w:t>
            </w:r>
            <w:r w:rsidRPr="0076606E">
              <w:rPr>
                <w:i/>
                <w:iCs/>
                <w:sz w:val="18"/>
                <w:szCs w:val="18"/>
              </w:rPr>
              <w:t>f</w:t>
            </w:r>
            <w:r w:rsidRPr="0076606E">
              <w:rPr>
                <w:i/>
                <w:iCs/>
                <w:spacing w:val="2"/>
                <w:sz w:val="18"/>
                <w:szCs w:val="18"/>
              </w:rPr>
              <w:t>e</w:t>
            </w:r>
            <w:r w:rsidRPr="0076606E">
              <w:rPr>
                <w:i/>
                <w:iCs/>
                <w:spacing w:val="-1"/>
                <w:sz w:val="18"/>
                <w:szCs w:val="18"/>
              </w:rPr>
              <w:t>l</w:t>
            </w:r>
            <w:r w:rsidRPr="0076606E">
              <w:rPr>
                <w:i/>
                <w:iCs/>
                <w:spacing w:val="1"/>
                <w:sz w:val="18"/>
                <w:szCs w:val="18"/>
              </w:rPr>
              <w:t>l</w:t>
            </w:r>
            <w:r w:rsidRPr="0076606E">
              <w:rPr>
                <w:i/>
                <w:iCs/>
                <w:sz w:val="18"/>
                <w:szCs w:val="18"/>
              </w:rPr>
              <w:t>ow</w:t>
            </w:r>
            <w:r w:rsidRPr="0076606E">
              <w:rPr>
                <w:i/>
                <w:iCs/>
                <w:spacing w:val="2"/>
                <w:sz w:val="18"/>
                <w:szCs w:val="18"/>
              </w:rPr>
              <w:t xml:space="preserve"> </w:t>
            </w:r>
            <w:r w:rsidRPr="0076606E">
              <w:rPr>
                <w:i/>
                <w:iCs/>
                <w:spacing w:val="1"/>
                <w:sz w:val="18"/>
                <w:szCs w:val="18"/>
              </w:rPr>
              <w:t>s</w:t>
            </w:r>
            <w:r w:rsidRPr="0076606E">
              <w:rPr>
                <w:i/>
                <w:iCs/>
                <w:sz w:val="18"/>
                <w:szCs w:val="18"/>
              </w:rPr>
              <w:t>u</w:t>
            </w:r>
            <w:r w:rsidRPr="0076606E">
              <w:rPr>
                <w:i/>
                <w:iCs/>
                <w:spacing w:val="-1"/>
                <w:sz w:val="18"/>
                <w:szCs w:val="18"/>
              </w:rPr>
              <w:t>b</w:t>
            </w:r>
            <w:r w:rsidRPr="0076606E">
              <w:rPr>
                <w:i/>
                <w:iCs/>
                <w:spacing w:val="1"/>
                <w:sz w:val="18"/>
                <w:szCs w:val="18"/>
              </w:rPr>
              <w:t>s</w:t>
            </w:r>
            <w:r w:rsidRPr="0076606E">
              <w:rPr>
                <w:i/>
                <w:iCs/>
                <w:spacing w:val="-1"/>
                <w:sz w:val="18"/>
                <w:szCs w:val="18"/>
              </w:rPr>
              <w:t>i</w:t>
            </w:r>
            <w:r w:rsidRPr="0076606E">
              <w:rPr>
                <w:i/>
                <w:iCs/>
                <w:spacing w:val="2"/>
                <w:sz w:val="18"/>
                <w:szCs w:val="18"/>
              </w:rPr>
              <w:t>d</w:t>
            </w:r>
            <w:r w:rsidRPr="0076606E">
              <w:rPr>
                <w:i/>
                <w:iCs/>
                <w:spacing w:val="-1"/>
                <w:sz w:val="18"/>
                <w:szCs w:val="18"/>
              </w:rPr>
              <w:t>i</w:t>
            </w:r>
            <w:r w:rsidRPr="0076606E">
              <w:rPr>
                <w:i/>
                <w:iCs/>
                <w:sz w:val="18"/>
                <w:szCs w:val="18"/>
              </w:rPr>
              <w:t xml:space="preserve">ary </w:t>
            </w:r>
            <w:r w:rsidRPr="0076606E">
              <w:rPr>
                <w:i/>
                <w:iCs/>
                <w:spacing w:val="-1"/>
                <w:sz w:val="18"/>
                <w:szCs w:val="18"/>
              </w:rPr>
              <w:t>i</w:t>
            </w:r>
            <w:r w:rsidRPr="0076606E">
              <w:rPr>
                <w:i/>
                <w:iCs/>
                <w:sz w:val="18"/>
                <w:szCs w:val="18"/>
              </w:rPr>
              <w:t>s</w:t>
            </w:r>
            <w:r w:rsidRPr="0076606E">
              <w:rPr>
                <w:i/>
                <w:iCs/>
                <w:spacing w:val="7"/>
                <w:sz w:val="18"/>
                <w:szCs w:val="18"/>
              </w:rPr>
              <w:t xml:space="preserve"> </w:t>
            </w:r>
            <w:r w:rsidRPr="0076606E">
              <w:rPr>
                <w:i/>
                <w:iCs/>
                <w:spacing w:val="1"/>
                <w:sz w:val="18"/>
                <w:szCs w:val="18"/>
              </w:rPr>
              <w:t>r</w:t>
            </w:r>
            <w:r w:rsidRPr="0076606E">
              <w:rPr>
                <w:i/>
                <w:iCs/>
                <w:sz w:val="18"/>
                <w:szCs w:val="18"/>
              </w:rPr>
              <w:t>e</w:t>
            </w:r>
            <w:r w:rsidRPr="0076606E">
              <w:rPr>
                <w:i/>
                <w:iCs/>
                <w:spacing w:val="1"/>
                <w:sz w:val="18"/>
                <w:szCs w:val="18"/>
              </w:rPr>
              <w:t>l</w:t>
            </w:r>
            <w:r w:rsidRPr="0076606E">
              <w:rPr>
                <w:i/>
                <w:iCs/>
                <w:sz w:val="18"/>
                <w:szCs w:val="18"/>
              </w:rPr>
              <w:t>at</w:t>
            </w:r>
            <w:r w:rsidRPr="0076606E">
              <w:rPr>
                <w:i/>
                <w:iCs/>
                <w:spacing w:val="-1"/>
                <w:sz w:val="18"/>
                <w:szCs w:val="18"/>
              </w:rPr>
              <w:t>e</w:t>
            </w:r>
            <w:r w:rsidRPr="0076606E">
              <w:rPr>
                <w:i/>
                <w:iCs/>
                <w:sz w:val="18"/>
                <w:szCs w:val="18"/>
              </w:rPr>
              <w:t>d</w:t>
            </w:r>
            <w:r w:rsidRPr="0076606E">
              <w:rPr>
                <w:i/>
                <w:iCs/>
                <w:spacing w:val="1"/>
                <w:sz w:val="18"/>
                <w:szCs w:val="18"/>
              </w:rPr>
              <w:t xml:space="preserve"> </w:t>
            </w:r>
            <w:r w:rsidRPr="0076606E">
              <w:rPr>
                <w:i/>
                <w:iCs/>
                <w:sz w:val="18"/>
                <w:szCs w:val="18"/>
              </w:rPr>
              <w:t>to</w:t>
            </w:r>
            <w:r w:rsidRPr="0076606E">
              <w:rPr>
                <w:i/>
                <w:iCs/>
                <w:spacing w:val="5"/>
                <w:sz w:val="18"/>
                <w:szCs w:val="18"/>
              </w:rPr>
              <w:t xml:space="preserve"> </w:t>
            </w:r>
            <w:r w:rsidRPr="0076606E">
              <w:rPr>
                <w:i/>
                <w:iCs/>
                <w:spacing w:val="2"/>
                <w:sz w:val="18"/>
                <w:szCs w:val="18"/>
              </w:rPr>
              <w:t>t</w:t>
            </w:r>
            <w:r w:rsidRPr="0076606E">
              <w:rPr>
                <w:i/>
                <w:iCs/>
                <w:sz w:val="18"/>
                <w:szCs w:val="18"/>
              </w:rPr>
              <w:t>he ot</w:t>
            </w:r>
            <w:r w:rsidRPr="0076606E">
              <w:rPr>
                <w:i/>
                <w:iCs/>
                <w:spacing w:val="-1"/>
                <w:sz w:val="18"/>
                <w:szCs w:val="18"/>
              </w:rPr>
              <w:t>h</w:t>
            </w:r>
            <w:r w:rsidRPr="0076606E">
              <w:rPr>
                <w:i/>
                <w:iCs/>
                <w:sz w:val="18"/>
                <w:szCs w:val="18"/>
              </w:rPr>
              <w:t>er</w:t>
            </w:r>
            <w:r w:rsidRPr="0076606E">
              <w:rPr>
                <w:i/>
                <w:iCs/>
                <w:spacing w:val="2"/>
                <w:sz w:val="18"/>
                <w:szCs w:val="18"/>
              </w:rPr>
              <w:t>s</w:t>
            </w:r>
            <w:r w:rsidRPr="0076606E">
              <w:rPr>
                <w:i/>
                <w:iCs/>
                <w:sz w:val="18"/>
                <w:szCs w:val="18"/>
              </w:rPr>
              <w:t>;</w:t>
            </w:r>
          </w:p>
        </w:tc>
      </w:tr>
    </w:tbl>
    <w:p w14:paraId="7B280968" w14:textId="77777777" w:rsidR="00A60E90" w:rsidRDefault="00A60E90">
      <w:pPr>
        <w:rPr>
          <w:sz w:val="6"/>
          <w:szCs w:val="6"/>
        </w:rPr>
      </w:pPr>
    </w:p>
    <w:p w14:paraId="49FDDE48" w14:textId="77777777" w:rsidR="00A60E90" w:rsidRDefault="00A60E90">
      <w:pPr>
        <w:rPr>
          <w:sz w:val="6"/>
          <w:szCs w:val="6"/>
        </w:rPr>
      </w:pPr>
    </w:p>
    <w:p w14:paraId="21C386FB" w14:textId="2C59CFC7" w:rsidR="006B2C4C" w:rsidRPr="00BE6E3D" w:rsidRDefault="00A60E90">
      <w:pPr>
        <w:rPr>
          <w:sz w:val="6"/>
          <w:szCs w:val="6"/>
        </w:rPr>
      </w:pPr>
      <w:r>
        <w:rPr>
          <w:sz w:val="6"/>
          <w:szCs w:val="6"/>
        </w:rPr>
        <w:br w:type="page"/>
      </w:r>
    </w:p>
    <w:tbl>
      <w:tblPr>
        <w:tblW w:w="9163" w:type="dxa"/>
        <w:tblInd w:w="392" w:type="dxa"/>
        <w:tblLayout w:type="fixed"/>
        <w:tblLook w:val="0000" w:firstRow="0" w:lastRow="0" w:firstColumn="0" w:lastColumn="0" w:noHBand="0" w:noVBand="0"/>
      </w:tblPr>
      <w:tblGrid>
        <w:gridCol w:w="4564"/>
        <w:gridCol w:w="4599"/>
      </w:tblGrid>
      <w:tr w:rsidR="00D04193" w:rsidRPr="0076606E" w14:paraId="1204F33B" w14:textId="77777777" w:rsidTr="00CC2E72">
        <w:tc>
          <w:tcPr>
            <w:tcW w:w="4564" w:type="dxa"/>
          </w:tcPr>
          <w:p w14:paraId="29DA1762" w14:textId="677C50CC" w:rsidR="00D04193" w:rsidRPr="0076606E" w:rsidRDefault="00D04193" w:rsidP="005F361E">
            <w:pPr>
              <w:pStyle w:val="ListParagraph"/>
              <w:numPr>
                <w:ilvl w:val="0"/>
                <w:numId w:val="33"/>
              </w:numPr>
              <w:ind w:left="284" w:right="-57" w:hanging="284"/>
              <w:contextualSpacing/>
              <w:jc w:val="both"/>
              <w:rPr>
                <w:rStyle w:val="hps"/>
                <w:b/>
                <w:spacing w:val="-1"/>
                <w:sz w:val="18"/>
                <w:szCs w:val="18"/>
              </w:rPr>
            </w:pPr>
            <w:r w:rsidRPr="0013526B">
              <w:rPr>
                <w:sz w:val="18"/>
                <w:szCs w:val="18"/>
              </w:rPr>
              <w:lastRenderedPageBreak/>
              <w:br w:type="page"/>
            </w:r>
            <w:r w:rsidRPr="0013526B">
              <w:rPr>
                <w:b/>
                <w:sz w:val="18"/>
                <w:szCs w:val="18"/>
              </w:rPr>
              <w:br w:type="page"/>
            </w:r>
            <w:r w:rsidRPr="0076606E">
              <w:rPr>
                <w:rStyle w:val="hps"/>
                <w:b/>
                <w:spacing w:val="-1"/>
                <w:sz w:val="18"/>
                <w:szCs w:val="18"/>
              </w:rPr>
              <w:t xml:space="preserve">IKHTISAR KEBIJAKAN AKUNTANSI </w:t>
            </w:r>
            <w:r w:rsidRPr="0076606E">
              <w:rPr>
                <w:rStyle w:val="hps"/>
                <w:b/>
                <w:spacing w:val="-1"/>
                <w:sz w:val="18"/>
                <w:szCs w:val="18"/>
                <w:lang w:val="id-ID"/>
              </w:rPr>
              <w:t xml:space="preserve">YANG </w:t>
            </w:r>
            <w:r w:rsidRPr="0076606E">
              <w:rPr>
                <w:rStyle w:val="hps"/>
                <w:b/>
                <w:spacing w:val="-1"/>
                <w:sz w:val="18"/>
                <w:szCs w:val="18"/>
              </w:rPr>
              <w:t xml:space="preserve">PENTING </w:t>
            </w:r>
            <w:r w:rsidR="0010211A">
              <w:rPr>
                <w:rStyle w:val="hps"/>
                <w:b/>
                <w:spacing w:val="-1"/>
                <w:sz w:val="18"/>
                <w:szCs w:val="18"/>
              </w:rPr>
              <w:t>–</w:t>
            </w:r>
            <w:r w:rsidRPr="0076606E">
              <w:rPr>
                <w:rStyle w:val="hps"/>
                <w:b/>
                <w:spacing w:val="-1"/>
                <w:sz w:val="18"/>
                <w:szCs w:val="18"/>
              </w:rPr>
              <w:t xml:space="preserve"> Lanjutan</w:t>
            </w:r>
          </w:p>
        </w:tc>
        <w:tc>
          <w:tcPr>
            <w:tcW w:w="4599" w:type="dxa"/>
          </w:tcPr>
          <w:p w14:paraId="2EBFE019" w14:textId="77777777" w:rsidR="00D04193" w:rsidRPr="0076606E" w:rsidRDefault="00D04193" w:rsidP="005F361E">
            <w:pPr>
              <w:pStyle w:val="ListParagraph"/>
              <w:numPr>
                <w:ilvl w:val="0"/>
                <w:numId w:val="34"/>
              </w:numPr>
              <w:ind w:left="284" w:right="-57" w:hanging="284"/>
              <w:contextualSpacing/>
              <w:jc w:val="both"/>
              <w:rPr>
                <w:b/>
                <w:i/>
                <w:iCs/>
                <w:sz w:val="18"/>
                <w:szCs w:val="18"/>
              </w:rPr>
            </w:pPr>
            <w:r w:rsidRPr="0076606E">
              <w:rPr>
                <w:b/>
                <w:i/>
                <w:iCs/>
                <w:sz w:val="18"/>
                <w:szCs w:val="18"/>
              </w:rPr>
              <w:t>SUMMARY OF SIGNIFICANT ACCOUNTING POLICIES - Continued</w:t>
            </w:r>
          </w:p>
        </w:tc>
      </w:tr>
      <w:tr w:rsidR="00D04193" w:rsidRPr="00CC2E72" w14:paraId="529AA8CC" w14:textId="77777777" w:rsidTr="00CC2E72">
        <w:tc>
          <w:tcPr>
            <w:tcW w:w="4564" w:type="dxa"/>
          </w:tcPr>
          <w:p w14:paraId="62F3D13C" w14:textId="77777777" w:rsidR="00D04193" w:rsidRPr="00CC2E72" w:rsidRDefault="00D04193" w:rsidP="0013526B">
            <w:pPr>
              <w:widowControl w:val="0"/>
              <w:autoSpaceDE w:val="0"/>
              <w:autoSpaceDN w:val="0"/>
              <w:adjustRightInd w:val="0"/>
              <w:ind w:left="1135" w:right="-57"/>
              <w:jc w:val="both"/>
              <w:rPr>
                <w:spacing w:val="-1"/>
                <w:sz w:val="10"/>
                <w:szCs w:val="10"/>
              </w:rPr>
            </w:pPr>
          </w:p>
        </w:tc>
        <w:tc>
          <w:tcPr>
            <w:tcW w:w="4599" w:type="dxa"/>
          </w:tcPr>
          <w:p w14:paraId="3EAECA7B" w14:textId="77777777" w:rsidR="00D04193" w:rsidRPr="00CC2E72" w:rsidRDefault="00D04193" w:rsidP="0013526B">
            <w:pPr>
              <w:widowControl w:val="0"/>
              <w:autoSpaceDE w:val="0"/>
              <w:autoSpaceDN w:val="0"/>
              <w:adjustRightInd w:val="0"/>
              <w:ind w:left="1135" w:right="-57"/>
              <w:jc w:val="both"/>
              <w:rPr>
                <w:i/>
                <w:iCs/>
                <w:sz w:val="10"/>
                <w:szCs w:val="10"/>
              </w:rPr>
            </w:pPr>
          </w:p>
        </w:tc>
      </w:tr>
      <w:tr w:rsidR="00D04193" w:rsidRPr="0076606E" w14:paraId="51020B8E" w14:textId="77777777" w:rsidTr="00CC2E72">
        <w:tc>
          <w:tcPr>
            <w:tcW w:w="4564" w:type="dxa"/>
          </w:tcPr>
          <w:p w14:paraId="124A8B54" w14:textId="7047DBAC" w:rsidR="00D04193" w:rsidRPr="0076606E" w:rsidRDefault="00D04193" w:rsidP="00070D1F">
            <w:pPr>
              <w:numPr>
                <w:ilvl w:val="0"/>
                <w:numId w:val="96"/>
              </w:numPr>
              <w:ind w:left="568" w:right="-57" w:hanging="284"/>
              <w:jc w:val="both"/>
              <w:rPr>
                <w:rStyle w:val="hps"/>
                <w:b/>
                <w:sz w:val="18"/>
                <w:szCs w:val="18"/>
              </w:rPr>
            </w:pPr>
            <w:r w:rsidRPr="0076606E">
              <w:rPr>
                <w:rStyle w:val="hps"/>
                <w:b/>
                <w:sz w:val="18"/>
                <w:szCs w:val="18"/>
              </w:rPr>
              <w:t xml:space="preserve">Transaksi dan </w:t>
            </w:r>
            <w:r w:rsidRPr="0076606E">
              <w:rPr>
                <w:b/>
                <w:sz w:val="18"/>
                <w:szCs w:val="18"/>
              </w:rPr>
              <w:t>Saldo</w:t>
            </w:r>
            <w:r w:rsidRPr="0076606E">
              <w:rPr>
                <w:rStyle w:val="hps"/>
                <w:b/>
                <w:sz w:val="18"/>
                <w:szCs w:val="18"/>
              </w:rPr>
              <w:t xml:space="preserve"> dengan Pihak Berelasi </w:t>
            </w:r>
            <w:r w:rsidR="00007674" w:rsidRPr="0076606E">
              <w:rPr>
                <w:rStyle w:val="hps"/>
                <w:b/>
                <w:sz w:val="18"/>
                <w:szCs w:val="18"/>
                <w:lang w:val="en-ID"/>
              </w:rPr>
              <w:t>-</w:t>
            </w:r>
            <w:r w:rsidRPr="0076606E">
              <w:rPr>
                <w:rStyle w:val="hps"/>
                <w:b/>
                <w:sz w:val="18"/>
                <w:szCs w:val="18"/>
              </w:rPr>
              <w:t xml:space="preserve"> Lanjutan</w:t>
            </w:r>
          </w:p>
        </w:tc>
        <w:tc>
          <w:tcPr>
            <w:tcW w:w="4599" w:type="dxa"/>
          </w:tcPr>
          <w:p w14:paraId="50CFDA99" w14:textId="49D9C9E8" w:rsidR="00D04193" w:rsidRPr="0076606E" w:rsidRDefault="00D04193" w:rsidP="00070D1F">
            <w:pPr>
              <w:numPr>
                <w:ilvl w:val="0"/>
                <w:numId w:val="97"/>
              </w:numPr>
              <w:ind w:left="568" w:right="-57" w:hanging="284"/>
              <w:jc w:val="both"/>
              <w:rPr>
                <w:b/>
                <w:bCs w:val="0"/>
                <w:i/>
                <w:sz w:val="18"/>
                <w:szCs w:val="18"/>
              </w:rPr>
            </w:pPr>
            <w:r w:rsidRPr="0076606E">
              <w:rPr>
                <w:b/>
                <w:bCs w:val="0"/>
                <w:i/>
                <w:sz w:val="18"/>
                <w:szCs w:val="18"/>
              </w:rPr>
              <w:t>Related Parties Transactions and Balance</w:t>
            </w:r>
            <w:r w:rsidR="00B150F4" w:rsidRPr="0076606E">
              <w:rPr>
                <w:b/>
                <w:bCs w:val="0"/>
                <w:i/>
                <w:sz w:val="18"/>
                <w:szCs w:val="18"/>
              </w:rPr>
              <w:t>s - Continued</w:t>
            </w:r>
          </w:p>
        </w:tc>
      </w:tr>
      <w:tr w:rsidR="00D04193" w:rsidRPr="0076606E" w14:paraId="383B4BC8" w14:textId="77777777" w:rsidTr="00CC2E72">
        <w:tc>
          <w:tcPr>
            <w:tcW w:w="4564" w:type="dxa"/>
          </w:tcPr>
          <w:p w14:paraId="5682169C" w14:textId="4323A42B" w:rsidR="00D04193" w:rsidRPr="0076606E" w:rsidRDefault="00D04193" w:rsidP="0013526B">
            <w:pPr>
              <w:jc w:val="both"/>
              <w:rPr>
                <w:rStyle w:val="hps"/>
                <w:sz w:val="18"/>
                <w:szCs w:val="18"/>
              </w:rPr>
            </w:pPr>
          </w:p>
        </w:tc>
        <w:tc>
          <w:tcPr>
            <w:tcW w:w="4599" w:type="dxa"/>
          </w:tcPr>
          <w:p w14:paraId="57AA3836" w14:textId="77777777" w:rsidR="00D04193" w:rsidRPr="0076606E" w:rsidRDefault="00D04193" w:rsidP="0013526B">
            <w:pPr>
              <w:ind w:left="426"/>
              <w:jc w:val="both"/>
              <w:rPr>
                <w:bCs w:val="0"/>
                <w:i/>
                <w:sz w:val="18"/>
                <w:szCs w:val="18"/>
              </w:rPr>
            </w:pPr>
          </w:p>
        </w:tc>
      </w:tr>
      <w:tr w:rsidR="00D862F0" w:rsidRPr="0076606E" w14:paraId="2E65C92C" w14:textId="77777777" w:rsidTr="00CC2E72">
        <w:tc>
          <w:tcPr>
            <w:tcW w:w="4564" w:type="dxa"/>
          </w:tcPr>
          <w:p w14:paraId="55D6FB2A" w14:textId="6A3B395F" w:rsidR="00D862F0" w:rsidRPr="0076606E" w:rsidRDefault="00D862F0" w:rsidP="005F361E">
            <w:pPr>
              <w:widowControl w:val="0"/>
              <w:numPr>
                <w:ilvl w:val="0"/>
                <w:numId w:val="20"/>
              </w:numPr>
              <w:autoSpaceDE w:val="0"/>
              <w:autoSpaceDN w:val="0"/>
              <w:adjustRightInd w:val="0"/>
              <w:ind w:left="1135" w:right="-57" w:hanging="284"/>
              <w:jc w:val="both"/>
              <w:rPr>
                <w:spacing w:val="-1"/>
                <w:sz w:val="18"/>
                <w:szCs w:val="18"/>
              </w:rPr>
            </w:pPr>
            <w:r w:rsidRPr="0076606E">
              <w:rPr>
                <w:spacing w:val="-1"/>
                <w:sz w:val="18"/>
                <w:szCs w:val="18"/>
              </w:rPr>
              <w:t xml:space="preserve">Satu entitas adalah entitas asosiasi atau ventura </w:t>
            </w:r>
            <w:r w:rsidRPr="0076606E">
              <w:rPr>
                <w:sz w:val="18"/>
                <w:szCs w:val="18"/>
              </w:rPr>
              <w:t>bersama</w:t>
            </w:r>
            <w:r w:rsidRPr="0076606E">
              <w:rPr>
                <w:spacing w:val="-1"/>
                <w:sz w:val="18"/>
                <w:szCs w:val="18"/>
              </w:rPr>
              <w:t xml:space="preserve"> dari entitas lain (atau entitas </w:t>
            </w:r>
            <w:r w:rsidRPr="0076606E">
              <w:rPr>
                <w:spacing w:val="3"/>
                <w:sz w:val="18"/>
                <w:szCs w:val="18"/>
              </w:rPr>
              <w:t>asosiasi</w:t>
            </w:r>
            <w:r w:rsidRPr="0076606E">
              <w:rPr>
                <w:spacing w:val="-1"/>
                <w:sz w:val="18"/>
                <w:szCs w:val="18"/>
              </w:rPr>
              <w:t xml:space="preserve"> atau ventura bersama yang merupakan anggota suatu kelompok usaha</w:t>
            </w:r>
            <w:r w:rsidR="00870FD0">
              <w:rPr>
                <w:spacing w:val="-1"/>
                <w:sz w:val="18"/>
                <w:szCs w:val="18"/>
              </w:rPr>
              <w:t>.</w:t>
            </w:r>
            <w:r w:rsidRPr="0076606E">
              <w:rPr>
                <w:spacing w:val="-1"/>
                <w:sz w:val="18"/>
                <w:szCs w:val="18"/>
              </w:rPr>
              <w:t xml:space="preserve"> yang mana entitas lain tersebut adalah anggotanya);</w:t>
            </w:r>
          </w:p>
        </w:tc>
        <w:tc>
          <w:tcPr>
            <w:tcW w:w="4599" w:type="dxa"/>
          </w:tcPr>
          <w:p w14:paraId="336E6D59" w14:textId="77777777" w:rsidR="00D862F0" w:rsidRPr="0076606E" w:rsidRDefault="00D862F0" w:rsidP="005F361E">
            <w:pPr>
              <w:widowControl w:val="0"/>
              <w:numPr>
                <w:ilvl w:val="0"/>
                <w:numId w:val="21"/>
              </w:numPr>
              <w:autoSpaceDE w:val="0"/>
              <w:autoSpaceDN w:val="0"/>
              <w:adjustRightInd w:val="0"/>
              <w:ind w:left="1135" w:right="-57" w:hanging="284"/>
              <w:jc w:val="both"/>
              <w:rPr>
                <w:i/>
                <w:iCs/>
                <w:sz w:val="18"/>
                <w:szCs w:val="18"/>
              </w:rPr>
            </w:pPr>
            <w:r w:rsidRPr="0076606E">
              <w:rPr>
                <w:i/>
                <w:iCs/>
                <w:sz w:val="18"/>
                <w:szCs w:val="18"/>
              </w:rPr>
              <w:t>One entity is an associate or joint venture of the other entity (or an associate or joint venture of a member of a group of which the other entity is a member);</w:t>
            </w:r>
          </w:p>
        </w:tc>
      </w:tr>
      <w:tr w:rsidR="00D862F0" w:rsidRPr="0076606E" w14:paraId="22988976" w14:textId="77777777" w:rsidTr="00CC2E72">
        <w:tc>
          <w:tcPr>
            <w:tcW w:w="4564" w:type="dxa"/>
          </w:tcPr>
          <w:p w14:paraId="11E36EA9" w14:textId="77777777" w:rsidR="00D862F0" w:rsidRPr="0076606E" w:rsidRDefault="00D862F0" w:rsidP="005F361E">
            <w:pPr>
              <w:widowControl w:val="0"/>
              <w:numPr>
                <w:ilvl w:val="0"/>
                <w:numId w:val="20"/>
              </w:numPr>
              <w:autoSpaceDE w:val="0"/>
              <w:autoSpaceDN w:val="0"/>
              <w:adjustRightInd w:val="0"/>
              <w:ind w:left="1135" w:right="-57" w:hanging="284"/>
              <w:jc w:val="both"/>
              <w:rPr>
                <w:spacing w:val="-1"/>
                <w:sz w:val="18"/>
                <w:szCs w:val="18"/>
              </w:rPr>
            </w:pPr>
            <w:r w:rsidRPr="0076606E">
              <w:rPr>
                <w:spacing w:val="-1"/>
                <w:sz w:val="18"/>
                <w:szCs w:val="18"/>
              </w:rPr>
              <w:t>Kedua entitas tersebut adalah ventura bersama dari pihak ketiga yang sama;</w:t>
            </w:r>
          </w:p>
        </w:tc>
        <w:tc>
          <w:tcPr>
            <w:tcW w:w="4599" w:type="dxa"/>
          </w:tcPr>
          <w:p w14:paraId="5D18FC6B" w14:textId="77777777" w:rsidR="00D862F0" w:rsidRPr="0076606E" w:rsidRDefault="00D862F0" w:rsidP="005F361E">
            <w:pPr>
              <w:widowControl w:val="0"/>
              <w:numPr>
                <w:ilvl w:val="0"/>
                <w:numId w:val="21"/>
              </w:numPr>
              <w:autoSpaceDE w:val="0"/>
              <w:autoSpaceDN w:val="0"/>
              <w:adjustRightInd w:val="0"/>
              <w:ind w:left="1135" w:right="-57" w:hanging="284"/>
              <w:jc w:val="both"/>
              <w:rPr>
                <w:i/>
                <w:iCs/>
                <w:sz w:val="18"/>
                <w:szCs w:val="18"/>
              </w:rPr>
            </w:pPr>
            <w:r w:rsidRPr="0076606E">
              <w:rPr>
                <w:i/>
                <w:iCs/>
                <w:sz w:val="18"/>
                <w:szCs w:val="18"/>
              </w:rPr>
              <w:t>Both entities are joint ventures of the same third party;</w:t>
            </w:r>
          </w:p>
        </w:tc>
      </w:tr>
      <w:tr w:rsidR="00D862F0" w:rsidRPr="0076606E" w14:paraId="7B136D8A" w14:textId="77777777" w:rsidTr="00CC2E72">
        <w:tc>
          <w:tcPr>
            <w:tcW w:w="4564" w:type="dxa"/>
          </w:tcPr>
          <w:p w14:paraId="50DE3F9E" w14:textId="77777777" w:rsidR="00D862F0" w:rsidRPr="0076606E" w:rsidRDefault="00D862F0" w:rsidP="005F361E">
            <w:pPr>
              <w:widowControl w:val="0"/>
              <w:numPr>
                <w:ilvl w:val="0"/>
                <w:numId w:val="20"/>
              </w:numPr>
              <w:autoSpaceDE w:val="0"/>
              <w:autoSpaceDN w:val="0"/>
              <w:adjustRightInd w:val="0"/>
              <w:ind w:left="1135" w:right="-57" w:hanging="284"/>
              <w:jc w:val="both"/>
              <w:rPr>
                <w:spacing w:val="-1"/>
                <w:sz w:val="18"/>
                <w:szCs w:val="18"/>
              </w:rPr>
            </w:pPr>
            <w:r w:rsidRPr="0076606E">
              <w:rPr>
                <w:spacing w:val="-1"/>
                <w:sz w:val="18"/>
                <w:szCs w:val="18"/>
              </w:rPr>
              <w:t>Satu entitas adalah ventura bersama dari entitas ketiga dan entitas yang lain adalah entitas asosiasi dari entitas ketiga;</w:t>
            </w:r>
          </w:p>
        </w:tc>
        <w:tc>
          <w:tcPr>
            <w:tcW w:w="4599" w:type="dxa"/>
          </w:tcPr>
          <w:p w14:paraId="793B82BC" w14:textId="77777777" w:rsidR="00D862F0" w:rsidRPr="0076606E" w:rsidRDefault="00D862F0" w:rsidP="005F361E">
            <w:pPr>
              <w:widowControl w:val="0"/>
              <w:numPr>
                <w:ilvl w:val="0"/>
                <w:numId w:val="21"/>
              </w:numPr>
              <w:autoSpaceDE w:val="0"/>
              <w:autoSpaceDN w:val="0"/>
              <w:adjustRightInd w:val="0"/>
              <w:ind w:left="1135" w:right="-57" w:hanging="284"/>
              <w:jc w:val="both"/>
              <w:rPr>
                <w:i/>
                <w:iCs/>
                <w:sz w:val="18"/>
                <w:szCs w:val="18"/>
              </w:rPr>
            </w:pPr>
            <w:r w:rsidRPr="0076606E">
              <w:rPr>
                <w:i/>
                <w:iCs/>
                <w:sz w:val="18"/>
                <w:szCs w:val="18"/>
              </w:rPr>
              <w:t>One entity is a joint venture of a third entity and the other entity is an associate of the third entity;</w:t>
            </w:r>
          </w:p>
        </w:tc>
      </w:tr>
      <w:tr w:rsidR="00D862F0" w:rsidRPr="00BE6E3D" w14:paraId="0570F8ED" w14:textId="77777777" w:rsidTr="00CC2E72">
        <w:tc>
          <w:tcPr>
            <w:tcW w:w="4564" w:type="dxa"/>
          </w:tcPr>
          <w:p w14:paraId="335E4217" w14:textId="4D298C66" w:rsidR="00D862F0" w:rsidRPr="0076606E" w:rsidRDefault="00D862F0" w:rsidP="00911A8A">
            <w:pPr>
              <w:widowControl w:val="0"/>
              <w:numPr>
                <w:ilvl w:val="0"/>
                <w:numId w:val="20"/>
              </w:numPr>
              <w:autoSpaceDE w:val="0"/>
              <w:autoSpaceDN w:val="0"/>
              <w:adjustRightInd w:val="0"/>
              <w:ind w:left="1135" w:right="-57" w:hanging="284"/>
              <w:jc w:val="both"/>
              <w:rPr>
                <w:spacing w:val="-1"/>
                <w:sz w:val="18"/>
                <w:szCs w:val="18"/>
              </w:rPr>
            </w:pPr>
            <w:r w:rsidRPr="0076606E">
              <w:rPr>
                <w:spacing w:val="-1"/>
                <w:sz w:val="18"/>
                <w:szCs w:val="18"/>
              </w:rPr>
              <w:t>Entitas tersebut adalah suatu program imbalan pasca kerja untuk imbalan kerja dari salah satu entitas pelapor atau entitas yang terkait dengan entitas pelapor. Jika entitas pelapor adalah entitas yang menyelenggarakan program tersebut</w:t>
            </w:r>
            <w:r w:rsidR="00911A8A">
              <w:rPr>
                <w:spacing w:val="-1"/>
                <w:sz w:val="18"/>
                <w:szCs w:val="18"/>
              </w:rPr>
              <w:t>,</w:t>
            </w:r>
            <w:r w:rsidRPr="0076606E">
              <w:rPr>
                <w:spacing w:val="-1"/>
                <w:sz w:val="18"/>
                <w:szCs w:val="18"/>
              </w:rPr>
              <w:t xml:space="preserve"> maka entitas sponsor juga berelasi dengan entitas pelapor;</w:t>
            </w:r>
          </w:p>
        </w:tc>
        <w:tc>
          <w:tcPr>
            <w:tcW w:w="4599" w:type="dxa"/>
          </w:tcPr>
          <w:p w14:paraId="421A490B" w14:textId="76F01A3A" w:rsidR="00D862F0" w:rsidRPr="0076606E" w:rsidRDefault="00D862F0" w:rsidP="00911A8A">
            <w:pPr>
              <w:widowControl w:val="0"/>
              <w:numPr>
                <w:ilvl w:val="0"/>
                <w:numId w:val="21"/>
              </w:numPr>
              <w:autoSpaceDE w:val="0"/>
              <w:autoSpaceDN w:val="0"/>
              <w:adjustRightInd w:val="0"/>
              <w:ind w:left="1135" w:right="-57" w:hanging="284"/>
              <w:jc w:val="both"/>
              <w:rPr>
                <w:i/>
                <w:iCs/>
                <w:sz w:val="18"/>
                <w:szCs w:val="18"/>
              </w:rPr>
            </w:pPr>
            <w:r w:rsidRPr="0076606E">
              <w:rPr>
                <w:i/>
                <w:iCs/>
                <w:sz w:val="18"/>
                <w:szCs w:val="18"/>
              </w:rPr>
              <w:t>The entity is a post-employment benefit plan for the benefit of employees of either the reporting entity</w:t>
            </w:r>
            <w:r w:rsidR="00870FD0">
              <w:rPr>
                <w:i/>
                <w:iCs/>
                <w:sz w:val="18"/>
                <w:szCs w:val="18"/>
              </w:rPr>
              <w:t>.</w:t>
            </w:r>
            <w:r w:rsidRPr="0076606E">
              <w:rPr>
                <w:i/>
                <w:iCs/>
                <w:sz w:val="18"/>
                <w:szCs w:val="18"/>
              </w:rPr>
              <w:t xml:space="preserve"> </w:t>
            </w:r>
            <w:proofErr w:type="gramStart"/>
            <w:r w:rsidRPr="0076606E">
              <w:rPr>
                <w:i/>
                <w:iCs/>
                <w:sz w:val="18"/>
                <w:szCs w:val="18"/>
              </w:rPr>
              <w:t>or</w:t>
            </w:r>
            <w:proofErr w:type="gramEnd"/>
            <w:r w:rsidRPr="0076606E">
              <w:rPr>
                <w:i/>
                <w:iCs/>
                <w:sz w:val="18"/>
                <w:szCs w:val="18"/>
              </w:rPr>
              <w:t xml:space="preserve"> an entity related to the reporting entity. If the reporting entity in itself such a plan</w:t>
            </w:r>
            <w:r w:rsidR="00911A8A">
              <w:rPr>
                <w:i/>
                <w:iCs/>
                <w:sz w:val="18"/>
                <w:szCs w:val="18"/>
              </w:rPr>
              <w:t>,</w:t>
            </w:r>
            <w:r w:rsidRPr="0076606E">
              <w:rPr>
                <w:i/>
                <w:iCs/>
                <w:sz w:val="18"/>
                <w:szCs w:val="18"/>
              </w:rPr>
              <w:t xml:space="preserve"> the sponsoring employers are also related to the reporting entity;</w:t>
            </w:r>
          </w:p>
        </w:tc>
      </w:tr>
      <w:tr w:rsidR="00D862F0" w:rsidRPr="0076606E" w14:paraId="3525B38A" w14:textId="77777777" w:rsidTr="00CC2E72">
        <w:tc>
          <w:tcPr>
            <w:tcW w:w="4564" w:type="dxa"/>
          </w:tcPr>
          <w:p w14:paraId="5A0A4BFA" w14:textId="77777777" w:rsidR="00D862F0" w:rsidRPr="0076606E" w:rsidRDefault="00D862F0" w:rsidP="005F361E">
            <w:pPr>
              <w:widowControl w:val="0"/>
              <w:numPr>
                <w:ilvl w:val="0"/>
                <w:numId w:val="20"/>
              </w:numPr>
              <w:autoSpaceDE w:val="0"/>
              <w:autoSpaceDN w:val="0"/>
              <w:adjustRightInd w:val="0"/>
              <w:ind w:left="1135" w:right="-57" w:hanging="284"/>
              <w:jc w:val="both"/>
              <w:rPr>
                <w:spacing w:val="-1"/>
                <w:sz w:val="18"/>
                <w:szCs w:val="18"/>
              </w:rPr>
            </w:pPr>
            <w:r w:rsidRPr="0076606E">
              <w:rPr>
                <w:spacing w:val="-1"/>
                <w:sz w:val="18"/>
                <w:szCs w:val="18"/>
              </w:rPr>
              <w:t>Entitas yang dikendalikan atau dikendalikan bersama oleh orang yang diidentifikasi dalam huruf (a); atau</w:t>
            </w:r>
          </w:p>
        </w:tc>
        <w:tc>
          <w:tcPr>
            <w:tcW w:w="4599" w:type="dxa"/>
          </w:tcPr>
          <w:p w14:paraId="58119248" w14:textId="77777777" w:rsidR="00D862F0" w:rsidRPr="0076606E" w:rsidRDefault="00D862F0" w:rsidP="005F361E">
            <w:pPr>
              <w:widowControl w:val="0"/>
              <w:numPr>
                <w:ilvl w:val="0"/>
                <w:numId w:val="21"/>
              </w:numPr>
              <w:autoSpaceDE w:val="0"/>
              <w:autoSpaceDN w:val="0"/>
              <w:adjustRightInd w:val="0"/>
              <w:ind w:left="1135" w:right="-57" w:hanging="284"/>
              <w:jc w:val="both"/>
              <w:rPr>
                <w:i/>
                <w:iCs/>
                <w:sz w:val="18"/>
                <w:szCs w:val="18"/>
              </w:rPr>
            </w:pPr>
            <w:r w:rsidRPr="0076606E">
              <w:rPr>
                <w:i/>
                <w:iCs/>
                <w:sz w:val="18"/>
                <w:szCs w:val="18"/>
              </w:rPr>
              <w:t>The entity is controlled or jointly controlled by a person identified in (a); or</w:t>
            </w:r>
          </w:p>
        </w:tc>
      </w:tr>
      <w:tr w:rsidR="00D862F0" w:rsidRPr="0076606E" w14:paraId="21150897" w14:textId="77777777" w:rsidTr="00CC2E72">
        <w:tc>
          <w:tcPr>
            <w:tcW w:w="4564" w:type="dxa"/>
          </w:tcPr>
          <w:p w14:paraId="026597BE" w14:textId="77777777" w:rsidR="00D862F0" w:rsidRPr="0076606E" w:rsidRDefault="00D862F0" w:rsidP="005F361E">
            <w:pPr>
              <w:widowControl w:val="0"/>
              <w:numPr>
                <w:ilvl w:val="0"/>
                <w:numId w:val="20"/>
              </w:numPr>
              <w:autoSpaceDE w:val="0"/>
              <w:autoSpaceDN w:val="0"/>
              <w:adjustRightInd w:val="0"/>
              <w:ind w:left="1135" w:hanging="284"/>
              <w:jc w:val="both"/>
              <w:rPr>
                <w:spacing w:val="-1"/>
                <w:sz w:val="18"/>
                <w:szCs w:val="18"/>
              </w:rPr>
            </w:pPr>
            <w:r w:rsidRPr="0076606E">
              <w:rPr>
                <w:spacing w:val="-1"/>
                <w:sz w:val="18"/>
                <w:szCs w:val="18"/>
              </w:rPr>
              <w:t>Orang yang diidentifikasi dalam huruf (a) (i) memiliki pengaruh signifikan atas entitas atau merupakan personil manajemen kunci entitas (atau entitas induk dari entitas).</w:t>
            </w:r>
          </w:p>
        </w:tc>
        <w:tc>
          <w:tcPr>
            <w:tcW w:w="4599" w:type="dxa"/>
          </w:tcPr>
          <w:p w14:paraId="0E7B0900" w14:textId="77777777" w:rsidR="00D862F0" w:rsidRPr="0076606E" w:rsidRDefault="00D862F0" w:rsidP="005F361E">
            <w:pPr>
              <w:widowControl w:val="0"/>
              <w:numPr>
                <w:ilvl w:val="0"/>
                <w:numId w:val="21"/>
              </w:numPr>
              <w:autoSpaceDE w:val="0"/>
              <w:autoSpaceDN w:val="0"/>
              <w:adjustRightInd w:val="0"/>
              <w:ind w:left="1135" w:right="-57" w:hanging="284"/>
              <w:jc w:val="both"/>
              <w:rPr>
                <w:i/>
                <w:iCs/>
                <w:sz w:val="18"/>
                <w:szCs w:val="18"/>
              </w:rPr>
            </w:pPr>
            <w:r w:rsidRPr="0076606E">
              <w:rPr>
                <w:i/>
                <w:iCs/>
                <w:sz w:val="18"/>
                <w:szCs w:val="18"/>
              </w:rPr>
              <w:t>A person identified in (a) (i) has significant influence over the entity or is a member of the key management personnel of the entity (or a parent of the entity).</w:t>
            </w:r>
          </w:p>
        </w:tc>
      </w:tr>
      <w:tr w:rsidR="00D862F0" w:rsidRPr="0076606E" w14:paraId="54454EE2" w14:textId="77777777" w:rsidTr="00CC2E72">
        <w:tc>
          <w:tcPr>
            <w:tcW w:w="4564" w:type="dxa"/>
          </w:tcPr>
          <w:p w14:paraId="3EF74D31" w14:textId="2E4979CB" w:rsidR="00D862F0" w:rsidRPr="0076606E" w:rsidRDefault="00D862F0" w:rsidP="00911A8A">
            <w:pPr>
              <w:widowControl w:val="0"/>
              <w:numPr>
                <w:ilvl w:val="0"/>
                <w:numId w:val="20"/>
              </w:numPr>
              <w:autoSpaceDE w:val="0"/>
              <w:autoSpaceDN w:val="0"/>
              <w:adjustRightInd w:val="0"/>
              <w:ind w:left="1135" w:right="-57" w:hanging="284"/>
              <w:jc w:val="both"/>
              <w:rPr>
                <w:spacing w:val="-1"/>
                <w:sz w:val="18"/>
                <w:szCs w:val="18"/>
              </w:rPr>
            </w:pPr>
            <w:r w:rsidRPr="0076606E">
              <w:rPr>
                <w:spacing w:val="-1"/>
                <w:sz w:val="18"/>
                <w:szCs w:val="18"/>
              </w:rPr>
              <w:t>Entitas</w:t>
            </w:r>
            <w:r w:rsidR="00870FD0">
              <w:rPr>
                <w:spacing w:val="-1"/>
                <w:sz w:val="18"/>
                <w:szCs w:val="18"/>
              </w:rPr>
              <w:t>.</w:t>
            </w:r>
            <w:r w:rsidRPr="0076606E">
              <w:rPr>
                <w:spacing w:val="-1"/>
                <w:sz w:val="18"/>
                <w:szCs w:val="18"/>
              </w:rPr>
              <w:t xml:space="preserve"> </w:t>
            </w:r>
            <w:proofErr w:type="gramStart"/>
            <w:r w:rsidRPr="0076606E">
              <w:rPr>
                <w:spacing w:val="-1"/>
                <w:sz w:val="18"/>
                <w:szCs w:val="18"/>
              </w:rPr>
              <w:t>atau</w:t>
            </w:r>
            <w:proofErr w:type="gramEnd"/>
            <w:r w:rsidRPr="0076606E">
              <w:rPr>
                <w:spacing w:val="-1"/>
                <w:sz w:val="18"/>
                <w:szCs w:val="18"/>
              </w:rPr>
              <w:t xml:space="preserve"> anggota dari kelompok yang mana entitas merupakan bagian dari kelompok tersebut</w:t>
            </w:r>
            <w:r w:rsidR="00911A8A">
              <w:rPr>
                <w:spacing w:val="-1"/>
                <w:sz w:val="18"/>
                <w:szCs w:val="18"/>
              </w:rPr>
              <w:t>,</w:t>
            </w:r>
            <w:r w:rsidRPr="0076606E">
              <w:rPr>
                <w:spacing w:val="-1"/>
                <w:sz w:val="18"/>
                <w:szCs w:val="18"/>
              </w:rPr>
              <w:t xml:space="preserve"> menyediakan jasa personil manajemen kunci kepada entitas palapor atau kepada entitas induk dari entitas pelapor.</w:t>
            </w:r>
          </w:p>
        </w:tc>
        <w:tc>
          <w:tcPr>
            <w:tcW w:w="4599" w:type="dxa"/>
          </w:tcPr>
          <w:p w14:paraId="30591D74" w14:textId="0B10CBF0" w:rsidR="00D862F0" w:rsidRPr="0076606E" w:rsidRDefault="00D862F0" w:rsidP="005F361E">
            <w:pPr>
              <w:widowControl w:val="0"/>
              <w:numPr>
                <w:ilvl w:val="0"/>
                <w:numId w:val="21"/>
              </w:numPr>
              <w:autoSpaceDE w:val="0"/>
              <w:autoSpaceDN w:val="0"/>
              <w:adjustRightInd w:val="0"/>
              <w:ind w:left="1135" w:right="-57" w:hanging="284"/>
              <w:jc w:val="both"/>
              <w:rPr>
                <w:i/>
                <w:iCs/>
                <w:sz w:val="18"/>
                <w:szCs w:val="18"/>
              </w:rPr>
            </w:pPr>
            <w:r w:rsidRPr="0076606E">
              <w:rPr>
                <w:i/>
                <w:iCs/>
                <w:sz w:val="18"/>
                <w:szCs w:val="18"/>
              </w:rPr>
              <w:t>The entity</w:t>
            </w:r>
            <w:r w:rsidR="00870FD0">
              <w:rPr>
                <w:i/>
                <w:iCs/>
                <w:sz w:val="18"/>
                <w:szCs w:val="18"/>
              </w:rPr>
              <w:t>.</w:t>
            </w:r>
            <w:r w:rsidRPr="0076606E">
              <w:rPr>
                <w:i/>
                <w:iCs/>
                <w:sz w:val="18"/>
                <w:szCs w:val="18"/>
              </w:rPr>
              <w:t xml:space="preserve"> </w:t>
            </w:r>
            <w:proofErr w:type="gramStart"/>
            <w:r w:rsidRPr="0076606E">
              <w:rPr>
                <w:i/>
                <w:iCs/>
                <w:sz w:val="18"/>
                <w:szCs w:val="18"/>
              </w:rPr>
              <w:t>or</w:t>
            </w:r>
            <w:proofErr w:type="gramEnd"/>
            <w:r w:rsidRPr="0076606E">
              <w:rPr>
                <w:i/>
                <w:iCs/>
                <w:sz w:val="18"/>
                <w:szCs w:val="18"/>
              </w:rPr>
              <w:t xml:space="preserve"> any member of a group of which it is a part</w:t>
            </w:r>
            <w:r w:rsidR="00911A8A">
              <w:rPr>
                <w:i/>
                <w:iCs/>
                <w:sz w:val="18"/>
                <w:szCs w:val="18"/>
              </w:rPr>
              <w:t>,</w:t>
            </w:r>
            <w:r w:rsidRPr="0076606E">
              <w:rPr>
                <w:i/>
                <w:iCs/>
                <w:sz w:val="18"/>
                <w:szCs w:val="18"/>
              </w:rPr>
              <w:t xml:space="preserve"> provides key management personnel services to the reporting entity or to the parent of the reporting entity.</w:t>
            </w:r>
          </w:p>
          <w:p w14:paraId="65CBBE02" w14:textId="77777777" w:rsidR="00D862F0" w:rsidRPr="0076606E" w:rsidRDefault="00D862F0" w:rsidP="0013526B">
            <w:pPr>
              <w:widowControl w:val="0"/>
              <w:autoSpaceDE w:val="0"/>
              <w:autoSpaceDN w:val="0"/>
              <w:adjustRightInd w:val="0"/>
              <w:ind w:left="1135"/>
              <w:jc w:val="both"/>
              <w:rPr>
                <w:i/>
                <w:iCs/>
                <w:sz w:val="18"/>
                <w:szCs w:val="18"/>
              </w:rPr>
            </w:pPr>
          </w:p>
        </w:tc>
      </w:tr>
      <w:tr w:rsidR="00D862F0" w:rsidRPr="0076606E" w14:paraId="7462DF4C" w14:textId="77777777" w:rsidTr="00CC2E72">
        <w:tc>
          <w:tcPr>
            <w:tcW w:w="4564" w:type="dxa"/>
          </w:tcPr>
          <w:p w14:paraId="01F00D1F" w14:textId="77777777" w:rsidR="00D862F0" w:rsidRPr="0076606E" w:rsidRDefault="00D862F0" w:rsidP="005F361E">
            <w:pPr>
              <w:widowControl w:val="0"/>
              <w:numPr>
                <w:ilvl w:val="0"/>
                <w:numId w:val="20"/>
              </w:numPr>
              <w:autoSpaceDE w:val="0"/>
              <w:autoSpaceDN w:val="0"/>
              <w:adjustRightInd w:val="0"/>
              <w:ind w:left="1135" w:right="-57" w:hanging="284"/>
              <w:jc w:val="both"/>
              <w:rPr>
                <w:spacing w:val="-1"/>
                <w:sz w:val="18"/>
                <w:szCs w:val="18"/>
              </w:rPr>
            </w:pPr>
            <w:r w:rsidRPr="0076606E">
              <w:rPr>
                <w:spacing w:val="-1"/>
                <w:sz w:val="18"/>
                <w:szCs w:val="18"/>
              </w:rPr>
              <w:t>Seluruh transaksi dan saldo yang signifikan dengan pihak berelasi diungkapkan dalam Catatan yang relevan.</w:t>
            </w:r>
          </w:p>
        </w:tc>
        <w:tc>
          <w:tcPr>
            <w:tcW w:w="4599" w:type="dxa"/>
          </w:tcPr>
          <w:p w14:paraId="713409A4" w14:textId="77777777" w:rsidR="00D862F0" w:rsidRPr="0076606E" w:rsidRDefault="00D862F0" w:rsidP="005F361E">
            <w:pPr>
              <w:widowControl w:val="0"/>
              <w:numPr>
                <w:ilvl w:val="0"/>
                <w:numId w:val="21"/>
              </w:numPr>
              <w:autoSpaceDE w:val="0"/>
              <w:autoSpaceDN w:val="0"/>
              <w:adjustRightInd w:val="0"/>
              <w:ind w:left="1135" w:right="-57" w:hanging="284"/>
              <w:jc w:val="both"/>
              <w:rPr>
                <w:i/>
                <w:iCs/>
                <w:sz w:val="18"/>
                <w:szCs w:val="18"/>
              </w:rPr>
            </w:pPr>
            <w:r w:rsidRPr="0076606E">
              <w:rPr>
                <w:i/>
                <w:iCs/>
                <w:sz w:val="18"/>
                <w:szCs w:val="18"/>
              </w:rPr>
              <w:t>All significant transactions and balances with related parties are disclosed in the relevant Notes.</w:t>
            </w:r>
          </w:p>
        </w:tc>
      </w:tr>
      <w:tr w:rsidR="00D862F0" w:rsidRPr="00CC2E72" w14:paraId="2DF93F58" w14:textId="77777777" w:rsidTr="00CC2E72">
        <w:tc>
          <w:tcPr>
            <w:tcW w:w="4564" w:type="dxa"/>
          </w:tcPr>
          <w:p w14:paraId="101D6E28" w14:textId="77777777" w:rsidR="00D862F0" w:rsidRPr="00CC2E72" w:rsidRDefault="00D862F0" w:rsidP="0013526B">
            <w:pPr>
              <w:widowControl w:val="0"/>
              <w:autoSpaceDE w:val="0"/>
              <w:autoSpaceDN w:val="0"/>
              <w:adjustRightInd w:val="0"/>
              <w:ind w:left="868" w:right="-30"/>
              <w:jc w:val="both"/>
              <w:rPr>
                <w:rStyle w:val="hps"/>
                <w:spacing w:val="-1"/>
                <w:sz w:val="10"/>
                <w:szCs w:val="10"/>
              </w:rPr>
            </w:pPr>
          </w:p>
        </w:tc>
        <w:tc>
          <w:tcPr>
            <w:tcW w:w="4599" w:type="dxa"/>
          </w:tcPr>
          <w:p w14:paraId="5417BEA2" w14:textId="77777777" w:rsidR="00D862F0" w:rsidRPr="00CC2E72" w:rsidRDefault="00D862F0" w:rsidP="0013526B">
            <w:pPr>
              <w:widowControl w:val="0"/>
              <w:autoSpaceDE w:val="0"/>
              <w:autoSpaceDN w:val="0"/>
              <w:adjustRightInd w:val="0"/>
              <w:ind w:left="842" w:right="82" w:hanging="270"/>
              <w:jc w:val="both"/>
              <w:rPr>
                <w:i/>
                <w:iCs/>
                <w:sz w:val="10"/>
                <w:szCs w:val="10"/>
              </w:rPr>
            </w:pPr>
          </w:p>
        </w:tc>
      </w:tr>
      <w:tr w:rsidR="00D862F0" w:rsidRPr="00BE6E3D" w14:paraId="4F3B57C4" w14:textId="77777777" w:rsidTr="00CC2E72">
        <w:tc>
          <w:tcPr>
            <w:tcW w:w="4564" w:type="dxa"/>
          </w:tcPr>
          <w:p w14:paraId="4DFFDB6D" w14:textId="65B4D5DD" w:rsidR="00D862F0" w:rsidRPr="0076606E" w:rsidRDefault="00D862F0" w:rsidP="00911A8A">
            <w:pPr>
              <w:ind w:left="567" w:right="-57"/>
              <w:jc w:val="both"/>
              <w:rPr>
                <w:bCs w:val="0"/>
                <w:sz w:val="18"/>
                <w:szCs w:val="18"/>
              </w:rPr>
            </w:pPr>
            <w:r w:rsidRPr="0076606E">
              <w:rPr>
                <w:bCs w:val="0"/>
                <w:sz w:val="18"/>
                <w:szCs w:val="18"/>
              </w:rPr>
              <w:t>Transaksi ini dilakukan berdasarkan persyaratan yang disetujui oleh kedua belah pihak</w:t>
            </w:r>
            <w:r w:rsidR="00911A8A">
              <w:rPr>
                <w:bCs w:val="0"/>
                <w:sz w:val="18"/>
                <w:szCs w:val="18"/>
              </w:rPr>
              <w:t>,</w:t>
            </w:r>
            <w:r w:rsidRPr="0076606E">
              <w:rPr>
                <w:bCs w:val="0"/>
                <w:sz w:val="18"/>
                <w:szCs w:val="18"/>
              </w:rPr>
              <w:t xml:space="preserve"> dimana persyaratan tersebut mungkin tidak sama dengan transaksi lain yang dilakukan dengan pihak-pihak yang tidak berelasi.</w:t>
            </w:r>
          </w:p>
        </w:tc>
        <w:tc>
          <w:tcPr>
            <w:tcW w:w="4599" w:type="dxa"/>
          </w:tcPr>
          <w:p w14:paraId="6B91B0DF" w14:textId="33E7FE9B" w:rsidR="00D862F0" w:rsidRPr="0076606E" w:rsidRDefault="00D862F0" w:rsidP="00911A8A">
            <w:pPr>
              <w:tabs>
                <w:tab w:val="left" w:pos="5590"/>
                <w:tab w:val="right" w:pos="7620"/>
                <w:tab w:val="right" w:pos="9460"/>
                <w:tab w:val="right" w:pos="10080"/>
              </w:tabs>
              <w:ind w:left="567" w:right="-57"/>
              <w:jc w:val="both"/>
              <w:rPr>
                <w:bCs w:val="0"/>
                <w:i/>
                <w:sz w:val="18"/>
                <w:szCs w:val="18"/>
              </w:rPr>
            </w:pPr>
            <w:r w:rsidRPr="0076606E">
              <w:rPr>
                <w:bCs w:val="0"/>
                <w:i/>
                <w:sz w:val="18"/>
                <w:szCs w:val="18"/>
              </w:rPr>
              <w:t>The transaction was conducted on terms agreed by both parties</w:t>
            </w:r>
            <w:r w:rsidR="00911A8A">
              <w:rPr>
                <w:bCs w:val="0"/>
                <w:i/>
                <w:sz w:val="18"/>
                <w:szCs w:val="18"/>
              </w:rPr>
              <w:t>,</w:t>
            </w:r>
            <w:r w:rsidRPr="0076606E">
              <w:rPr>
                <w:bCs w:val="0"/>
                <w:i/>
                <w:sz w:val="18"/>
                <w:szCs w:val="18"/>
              </w:rPr>
              <w:t xml:space="preserve"> which terms may not be the same as other transactions conducted by parties who are not related.</w:t>
            </w:r>
          </w:p>
        </w:tc>
      </w:tr>
      <w:tr w:rsidR="00D862F0" w:rsidRPr="00CC2E72" w14:paraId="5A7DFC3D" w14:textId="77777777" w:rsidTr="00CC2E72">
        <w:tc>
          <w:tcPr>
            <w:tcW w:w="4564" w:type="dxa"/>
          </w:tcPr>
          <w:p w14:paraId="32A2E4AD" w14:textId="77777777" w:rsidR="00D862F0" w:rsidRPr="00CC2E72" w:rsidRDefault="00D862F0" w:rsidP="0013526B">
            <w:pPr>
              <w:ind w:left="884" w:right="-57"/>
              <w:jc w:val="both"/>
              <w:rPr>
                <w:bCs w:val="0"/>
                <w:sz w:val="10"/>
                <w:szCs w:val="10"/>
                <w:highlight w:val="cyan"/>
              </w:rPr>
            </w:pPr>
          </w:p>
        </w:tc>
        <w:tc>
          <w:tcPr>
            <w:tcW w:w="4599" w:type="dxa"/>
          </w:tcPr>
          <w:p w14:paraId="2E2B9EF6" w14:textId="77777777" w:rsidR="00D862F0" w:rsidRPr="00CC2E72" w:rsidRDefault="00D862F0" w:rsidP="0013526B">
            <w:pPr>
              <w:tabs>
                <w:tab w:val="left" w:pos="5590"/>
                <w:tab w:val="right" w:pos="7620"/>
                <w:tab w:val="right" w:pos="9460"/>
                <w:tab w:val="right" w:pos="10080"/>
              </w:tabs>
              <w:ind w:left="856" w:right="-57"/>
              <w:jc w:val="both"/>
              <w:rPr>
                <w:bCs w:val="0"/>
                <w:i/>
                <w:sz w:val="10"/>
                <w:szCs w:val="10"/>
                <w:highlight w:val="cyan"/>
              </w:rPr>
            </w:pPr>
          </w:p>
        </w:tc>
      </w:tr>
      <w:tr w:rsidR="00D862F0" w:rsidRPr="00BE6E3D" w14:paraId="04FA5C6C" w14:textId="77777777" w:rsidTr="00CC2E72">
        <w:tc>
          <w:tcPr>
            <w:tcW w:w="4564" w:type="dxa"/>
          </w:tcPr>
          <w:p w14:paraId="2E4284D5" w14:textId="6BDFE78E" w:rsidR="00D862F0" w:rsidRPr="00965301" w:rsidRDefault="00D862F0" w:rsidP="00911A8A">
            <w:pPr>
              <w:ind w:left="567" w:right="-57"/>
              <w:jc w:val="both"/>
              <w:rPr>
                <w:bCs w:val="0"/>
                <w:sz w:val="18"/>
                <w:szCs w:val="18"/>
              </w:rPr>
            </w:pPr>
            <w:r w:rsidRPr="00965301">
              <w:rPr>
                <w:bCs w:val="0"/>
                <w:sz w:val="18"/>
                <w:szCs w:val="18"/>
              </w:rPr>
              <w:t>Seluruh transaksi dan saldo yang signifikan dengan pihak-pihak berelasi</w:t>
            </w:r>
            <w:r w:rsidR="00911A8A">
              <w:rPr>
                <w:bCs w:val="0"/>
                <w:sz w:val="18"/>
                <w:szCs w:val="18"/>
              </w:rPr>
              <w:t>,</w:t>
            </w:r>
            <w:r w:rsidRPr="00965301">
              <w:rPr>
                <w:bCs w:val="0"/>
                <w:sz w:val="18"/>
                <w:szCs w:val="18"/>
              </w:rPr>
              <w:t xml:space="preserve"> baik yang dilakukan dengan atau tidak dengan persyaratan dan kondisi sebagaimana yang dilakukan dengan pihak-pihak yang tidak mempunyai hubungan pihak-pihak berelasi</w:t>
            </w:r>
            <w:r w:rsidR="00911A8A">
              <w:rPr>
                <w:bCs w:val="0"/>
                <w:sz w:val="18"/>
                <w:szCs w:val="18"/>
              </w:rPr>
              <w:t>,</w:t>
            </w:r>
            <w:r w:rsidRPr="00965301">
              <w:rPr>
                <w:bCs w:val="0"/>
                <w:sz w:val="18"/>
                <w:szCs w:val="18"/>
              </w:rPr>
              <w:t xml:space="preserve"> telah diungkapkan dalam catatan atas laporan keuangan konsolidasian yang relevan.</w:t>
            </w:r>
          </w:p>
        </w:tc>
        <w:tc>
          <w:tcPr>
            <w:tcW w:w="4599" w:type="dxa"/>
          </w:tcPr>
          <w:p w14:paraId="48EE9C98" w14:textId="3DA549A6" w:rsidR="00D862F0" w:rsidRPr="00965301" w:rsidRDefault="00D862F0" w:rsidP="00911A8A">
            <w:pPr>
              <w:tabs>
                <w:tab w:val="left" w:pos="5590"/>
                <w:tab w:val="right" w:pos="7620"/>
                <w:tab w:val="right" w:pos="9460"/>
                <w:tab w:val="right" w:pos="10080"/>
              </w:tabs>
              <w:ind w:left="567" w:right="-57"/>
              <w:jc w:val="both"/>
              <w:rPr>
                <w:bCs w:val="0"/>
                <w:i/>
                <w:sz w:val="18"/>
                <w:szCs w:val="18"/>
              </w:rPr>
            </w:pPr>
            <w:r w:rsidRPr="00965301">
              <w:rPr>
                <w:bCs w:val="0"/>
                <w:i/>
                <w:sz w:val="18"/>
                <w:szCs w:val="18"/>
              </w:rPr>
              <w:t>All transactions and balances with significant related parties</w:t>
            </w:r>
            <w:r w:rsidR="00911A8A">
              <w:rPr>
                <w:bCs w:val="0"/>
                <w:i/>
                <w:sz w:val="18"/>
                <w:szCs w:val="18"/>
              </w:rPr>
              <w:t>,</w:t>
            </w:r>
            <w:r w:rsidRPr="00965301">
              <w:rPr>
                <w:bCs w:val="0"/>
                <w:i/>
                <w:sz w:val="18"/>
                <w:szCs w:val="18"/>
              </w:rPr>
              <w:t xml:space="preserve"> whether or not conducted with the terms and conditions</w:t>
            </w:r>
            <w:r w:rsidR="00911A8A">
              <w:rPr>
                <w:bCs w:val="0"/>
                <w:i/>
                <w:sz w:val="18"/>
                <w:szCs w:val="18"/>
              </w:rPr>
              <w:t>,</w:t>
            </w:r>
            <w:r w:rsidRPr="00965301">
              <w:rPr>
                <w:bCs w:val="0"/>
                <w:i/>
                <w:sz w:val="18"/>
                <w:szCs w:val="18"/>
              </w:rPr>
              <w:t xml:space="preserve"> as were done with the parties that have no relation to related parties</w:t>
            </w:r>
            <w:r w:rsidR="00870FD0">
              <w:rPr>
                <w:bCs w:val="0"/>
                <w:i/>
                <w:sz w:val="18"/>
                <w:szCs w:val="18"/>
              </w:rPr>
              <w:t>.</w:t>
            </w:r>
            <w:r w:rsidRPr="00965301">
              <w:rPr>
                <w:bCs w:val="0"/>
                <w:i/>
                <w:sz w:val="18"/>
                <w:szCs w:val="18"/>
              </w:rPr>
              <w:t xml:space="preserve"> </w:t>
            </w:r>
            <w:proofErr w:type="gramStart"/>
            <w:r w:rsidRPr="00965301">
              <w:rPr>
                <w:bCs w:val="0"/>
                <w:i/>
                <w:sz w:val="18"/>
                <w:szCs w:val="18"/>
              </w:rPr>
              <w:t>have</w:t>
            </w:r>
            <w:proofErr w:type="gramEnd"/>
            <w:r w:rsidRPr="00965301">
              <w:rPr>
                <w:bCs w:val="0"/>
                <w:i/>
                <w:sz w:val="18"/>
                <w:szCs w:val="18"/>
              </w:rPr>
              <w:t xml:space="preserve"> been disclosed in the relevant notes to the consolidated financial statements.</w:t>
            </w:r>
          </w:p>
        </w:tc>
      </w:tr>
      <w:tr w:rsidR="00D862F0" w:rsidRPr="00CC2E72" w14:paraId="56BDAE76" w14:textId="77777777" w:rsidTr="00CC2E72">
        <w:tc>
          <w:tcPr>
            <w:tcW w:w="4564" w:type="dxa"/>
          </w:tcPr>
          <w:p w14:paraId="13B84F9D" w14:textId="77777777" w:rsidR="00D862F0" w:rsidRPr="00CC2E72" w:rsidRDefault="00D862F0" w:rsidP="0013526B">
            <w:pPr>
              <w:ind w:left="884" w:right="-57"/>
              <w:jc w:val="both"/>
              <w:rPr>
                <w:bCs w:val="0"/>
                <w:sz w:val="10"/>
                <w:szCs w:val="10"/>
                <w:highlight w:val="cyan"/>
              </w:rPr>
            </w:pPr>
          </w:p>
        </w:tc>
        <w:tc>
          <w:tcPr>
            <w:tcW w:w="4599" w:type="dxa"/>
          </w:tcPr>
          <w:p w14:paraId="20D2EC3D" w14:textId="77777777" w:rsidR="00D862F0" w:rsidRPr="00CC2E72" w:rsidRDefault="00D862F0" w:rsidP="0013526B">
            <w:pPr>
              <w:tabs>
                <w:tab w:val="left" w:pos="5590"/>
                <w:tab w:val="right" w:pos="7620"/>
                <w:tab w:val="right" w:pos="9460"/>
                <w:tab w:val="right" w:pos="10080"/>
              </w:tabs>
              <w:ind w:left="856" w:right="-57"/>
              <w:jc w:val="both"/>
              <w:rPr>
                <w:bCs w:val="0"/>
                <w:i/>
                <w:sz w:val="10"/>
                <w:szCs w:val="10"/>
                <w:highlight w:val="cyan"/>
              </w:rPr>
            </w:pPr>
          </w:p>
        </w:tc>
      </w:tr>
      <w:tr w:rsidR="00D862F0" w:rsidRPr="00965301" w14:paraId="13499E61" w14:textId="77777777" w:rsidTr="00CC2E72">
        <w:tc>
          <w:tcPr>
            <w:tcW w:w="4564" w:type="dxa"/>
          </w:tcPr>
          <w:p w14:paraId="45DAB797" w14:textId="77777777" w:rsidR="00D862F0" w:rsidRPr="00965301" w:rsidRDefault="00D862F0" w:rsidP="00070D1F">
            <w:pPr>
              <w:numPr>
                <w:ilvl w:val="0"/>
                <w:numId w:val="96"/>
              </w:numPr>
              <w:ind w:left="568" w:right="-57" w:hanging="284"/>
              <w:jc w:val="both"/>
              <w:rPr>
                <w:rStyle w:val="hps"/>
                <w:b/>
                <w:sz w:val="18"/>
                <w:szCs w:val="18"/>
              </w:rPr>
            </w:pPr>
            <w:r w:rsidRPr="00965301">
              <w:rPr>
                <w:sz w:val="18"/>
                <w:szCs w:val="18"/>
              </w:rPr>
              <w:br w:type="page"/>
            </w:r>
            <w:r w:rsidRPr="00965301">
              <w:rPr>
                <w:rStyle w:val="hps"/>
                <w:b/>
                <w:spacing w:val="-1"/>
                <w:sz w:val="18"/>
                <w:szCs w:val="18"/>
              </w:rPr>
              <w:t>Transaksi</w:t>
            </w:r>
            <w:r w:rsidRPr="00965301">
              <w:rPr>
                <w:rStyle w:val="hps"/>
                <w:b/>
                <w:sz w:val="18"/>
                <w:szCs w:val="18"/>
              </w:rPr>
              <w:t xml:space="preserve"> dan Penjabaran dalam Mata Uang Asing </w:t>
            </w:r>
          </w:p>
        </w:tc>
        <w:tc>
          <w:tcPr>
            <w:tcW w:w="4599" w:type="dxa"/>
          </w:tcPr>
          <w:p w14:paraId="72C1E3B5" w14:textId="77777777" w:rsidR="00D862F0" w:rsidRPr="00965301" w:rsidRDefault="00D862F0" w:rsidP="00070D1F">
            <w:pPr>
              <w:numPr>
                <w:ilvl w:val="0"/>
                <w:numId w:val="97"/>
              </w:numPr>
              <w:ind w:left="568" w:right="-57" w:hanging="284"/>
              <w:jc w:val="both"/>
              <w:rPr>
                <w:b/>
                <w:bCs w:val="0"/>
                <w:i/>
                <w:sz w:val="18"/>
                <w:szCs w:val="18"/>
              </w:rPr>
            </w:pPr>
            <w:r w:rsidRPr="00965301">
              <w:rPr>
                <w:b/>
                <w:bCs w:val="0"/>
                <w:i/>
                <w:sz w:val="18"/>
                <w:szCs w:val="18"/>
              </w:rPr>
              <w:t>Transaction and Translation in Foreign Currency</w:t>
            </w:r>
          </w:p>
        </w:tc>
      </w:tr>
      <w:tr w:rsidR="00D862F0" w:rsidRPr="00CC2E72" w14:paraId="3F8B6E3E" w14:textId="77777777" w:rsidTr="00CC2E72">
        <w:tc>
          <w:tcPr>
            <w:tcW w:w="4564" w:type="dxa"/>
          </w:tcPr>
          <w:p w14:paraId="0A4D9A07" w14:textId="77777777" w:rsidR="00D862F0" w:rsidRPr="00CC2E72" w:rsidRDefault="00D862F0" w:rsidP="0013526B">
            <w:pPr>
              <w:pStyle w:val="ListParagraph"/>
              <w:ind w:left="598"/>
              <w:contextualSpacing/>
              <w:jc w:val="both"/>
              <w:rPr>
                <w:rStyle w:val="hps"/>
                <w:b/>
                <w:sz w:val="10"/>
                <w:szCs w:val="10"/>
              </w:rPr>
            </w:pPr>
          </w:p>
        </w:tc>
        <w:tc>
          <w:tcPr>
            <w:tcW w:w="4599" w:type="dxa"/>
          </w:tcPr>
          <w:p w14:paraId="5E1AA727" w14:textId="77777777" w:rsidR="00D862F0" w:rsidRPr="00CC2E72" w:rsidRDefault="00D862F0" w:rsidP="0013526B">
            <w:pPr>
              <w:pStyle w:val="ListParagraph"/>
              <w:ind w:left="662"/>
              <w:contextualSpacing/>
              <w:jc w:val="both"/>
              <w:rPr>
                <w:b/>
                <w:bCs w:val="0"/>
                <w:i/>
                <w:sz w:val="10"/>
                <w:szCs w:val="10"/>
              </w:rPr>
            </w:pPr>
          </w:p>
        </w:tc>
      </w:tr>
      <w:tr w:rsidR="00D862F0" w:rsidRPr="00965301" w14:paraId="2BC5AB47" w14:textId="77777777" w:rsidTr="00CC2E72">
        <w:tc>
          <w:tcPr>
            <w:tcW w:w="4564" w:type="dxa"/>
          </w:tcPr>
          <w:p w14:paraId="631109A7" w14:textId="6ED32386" w:rsidR="00D862F0" w:rsidRPr="00965301" w:rsidRDefault="00D862F0" w:rsidP="00911A8A">
            <w:pPr>
              <w:ind w:left="567" w:right="-57"/>
              <w:jc w:val="both"/>
              <w:rPr>
                <w:rStyle w:val="hps"/>
                <w:sz w:val="18"/>
                <w:szCs w:val="18"/>
              </w:rPr>
            </w:pPr>
            <w:r w:rsidRPr="00965301">
              <w:rPr>
                <w:bCs w:val="0"/>
                <w:sz w:val="18"/>
                <w:szCs w:val="18"/>
              </w:rPr>
              <w:t xml:space="preserve">Kelompok Usaha menerapkan PSAK No. 10 </w:t>
            </w:r>
            <w:r w:rsidRPr="00965301">
              <w:rPr>
                <w:bCs w:val="0"/>
                <w:sz w:val="18"/>
                <w:szCs w:val="18"/>
              </w:rPr>
              <w:br/>
              <w:t>(Revisi 2010)</w:t>
            </w:r>
            <w:r w:rsidR="00911A8A">
              <w:rPr>
                <w:bCs w:val="0"/>
                <w:sz w:val="18"/>
                <w:szCs w:val="18"/>
              </w:rPr>
              <w:t>,</w:t>
            </w:r>
            <w:r w:rsidRPr="00965301">
              <w:rPr>
                <w:bCs w:val="0"/>
                <w:sz w:val="18"/>
                <w:szCs w:val="18"/>
              </w:rPr>
              <w:t xml:space="preserve"> “Pengaruh Perubahan Kurs Valuta Asing”.</w:t>
            </w:r>
          </w:p>
        </w:tc>
        <w:tc>
          <w:tcPr>
            <w:tcW w:w="4599" w:type="dxa"/>
          </w:tcPr>
          <w:p w14:paraId="1FAC304D" w14:textId="2F926020" w:rsidR="00D862F0" w:rsidRPr="00965301" w:rsidRDefault="00D862F0" w:rsidP="00911A8A">
            <w:pPr>
              <w:tabs>
                <w:tab w:val="left" w:pos="5590"/>
                <w:tab w:val="right" w:pos="7620"/>
                <w:tab w:val="right" w:pos="9460"/>
                <w:tab w:val="right" w:pos="10080"/>
              </w:tabs>
              <w:ind w:left="567" w:right="-57"/>
              <w:jc w:val="both"/>
              <w:rPr>
                <w:sz w:val="18"/>
                <w:szCs w:val="18"/>
              </w:rPr>
            </w:pPr>
            <w:r w:rsidRPr="00965301">
              <w:rPr>
                <w:bCs w:val="0"/>
                <w:i/>
                <w:sz w:val="18"/>
                <w:szCs w:val="18"/>
              </w:rPr>
              <w:t>The Group adopted PSAK No. 10 (Revised 2010)</w:t>
            </w:r>
            <w:proofErr w:type="gramStart"/>
            <w:r w:rsidR="00911A8A">
              <w:rPr>
                <w:bCs w:val="0"/>
                <w:i/>
                <w:sz w:val="18"/>
                <w:szCs w:val="18"/>
              </w:rPr>
              <w:t>,</w:t>
            </w:r>
            <w:proofErr w:type="gramEnd"/>
            <w:r w:rsidRPr="00965301">
              <w:rPr>
                <w:bCs w:val="0"/>
                <w:i/>
                <w:sz w:val="18"/>
                <w:szCs w:val="18"/>
              </w:rPr>
              <w:br/>
              <w:t>“The Effects of Changes in Foreign Exchange Rates”.</w:t>
            </w:r>
          </w:p>
        </w:tc>
      </w:tr>
      <w:tr w:rsidR="00D862F0" w:rsidRPr="00CC2E72" w14:paraId="1AAF60F8" w14:textId="77777777" w:rsidTr="00CC2E72">
        <w:tc>
          <w:tcPr>
            <w:tcW w:w="4564" w:type="dxa"/>
          </w:tcPr>
          <w:p w14:paraId="59488A33" w14:textId="77777777" w:rsidR="00D862F0" w:rsidRPr="00CC2E72" w:rsidRDefault="00D862F0" w:rsidP="0013526B">
            <w:pPr>
              <w:widowControl w:val="0"/>
              <w:autoSpaceDE w:val="0"/>
              <w:autoSpaceDN w:val="0"/>
              <w:adjustRightInd w:val="0"/>
              <w:ind w:left="564" w:right="-34"/>
              <w:jc w:val="both"/>
              <w:rPr>
                <w:bCs w:val="0"/>
                <w:sz w:val="10"/>
                <w:szCs w:val="10"/>
              </w:rPr>
            </w:pPr>
          </w:p>
        </w:tc>
        <w:tc>
          <w:tcPr>
            <w:tcW w:w="4599" w:type="dxa"/>
          </w:tcPr>
          <w:p w14:paraId="4EEAA456" w14:textId="77777777" w:rsidR="00D862F0" w:rsidRPr="00CC2E72" w:rsidRDefault="00D862F0" w:rsidP="0013526B">
            <w:pPr>
              <w:widowControl w:val="0"/>
              <w:autoSpaceDE w:val="0"/>
              <w:autoSpaceDN w:val="0"/>
              <w:adjustRightInd w:val="0"/>
              <w:ind w:left="662" w:right="76"/>
              <w:jc w:val="both"/>
              <w:rPr>
                <w:bCs w:val="0"/>
                <w:i/>
                <w:sz w:val="10"/>
                <w:szCs w:val="10"/>
              </w:rPr>
            </w:pPr>
          </w:p>
        </w:tc>
      </w:tr>
      <w:tr w:rsidR="00D862F0" w:rsidRPr="0013526B" w14:paraId="5E73A3FF" w14:textId="77777777" w:rsidTr="00CC2E72">
        <w:tc>
          <w:tcPr>
            <w:tcW w:w="4564" w:type="dxa"/>
          </w:tcPr>
          <w:p w14:paraId="5527C8E2" w14:textId="77777777" w:rsidR="00D862F0" w:rsidRPr="00965301" w:rsidRDefault="00D862F0" w:rsidP="0013526B">
            <w:pPr>
              <w:ind w:left="567" w:right="-57"/>
              <w:jc w:val="both"/>
              <w:rPr>
                <w:rStyle w:val="hps"/>
                <w:sz w:val="18"/>
                <w:szCs w:val="18"/>
              </w:rPr>
            </w:pPr>
            <w:r w:rsidRPr="00965301">
              <w:rPr>
                <w:rStyle w:val="hps"/>
                <w:sz w:val="18"/>
                <w:szCs w:val="18"/>
              </w:rPr>
              <w:t xml:space="preserve">Standar ini mengatur pengukuran dan penyajian mata uang suatu entitas di mana pengukuran mata uang harus menggunakan mata uang fungsional sementara penyajian </w:t>
            </w:r>
            <w:r w:rsidRPr="00965301">
              <w:rPr>
                <w:bCs w:val="0"/>
                <w:sz w:val="18"/>
                <w:szCs w:val="18"/>
              </w:rPr>
              <w:t>mata</w:t>
            </w:r>
            <w:r w:rsidRPr="00965301">
              <w:rPr>
                <w:rStyle w:val="hps"/>
                <w:sz w:val="18"/>
                <w:szCs w:val="18"/>
              </w:rPr>
              <w:t xml:space="preserve"> uang dapat </w:t>
            </w:r>
            <w:r w:rsidRPr="00965301">
              <w:rPr>
                <w:bCs w:val="0"/>
                <w:sz w:val="18"/>
                <w:szCs w:val="18"/>
              </w:rPr>
              <w:t>menggunakan</w:t>
            </w:r>
            <w:r w:rsidRPr="00965301">
              <w:rPr>
                <w:rStyle w:val="hps"/>
                <w:sz w:val="18"/>
                <w:szCs w:val="18"/>
              </w:rPr>
              <w:t xml:space="preserve"> mata uang selain mata uang fungsional.</w:t>
            </w:r>
          </w:p>
        </w:tc>
        <w:tc>
          <w:tcPr>
            <w:tcW w:w="4599" w:type="dxa"/>
          </w:tcPr>
          <w:p w14:paraId="7252682E" w14:textId="77777777" w:rsidR="00D862F0" w:rsidRPr="0013526B" w:rsidRDefault="00D862F0" w:rsidP="0013526B">
            <w:pPr>
              <w:tabs>
                <w:tab w:val="left" w:pos="5590"/>
                <w:tab w:val="right" w:pos="7620"/>
                <w:tab w:val="right" w:pos="9460"/>
                <w:tab w:val="right" w:pos="10080"/>
              </w:tabs>
              <w:ind w:left="567" w:right="-57"/>
              <w:jc w:val="both"/>
              <w:rPr>
                <w:bCs w:val="0"/>
                <w:i/>
                <w:sz w:val="18"/>
                <w:szCs w:val="18"/>
              </w:rPr>
            </w:pPr>
            <w:r w:rsidRPr="00965301">
              <w:rPr>
                <w:bCs w:val="0"/>
                <w:i/>
                <w:sz w:val="18"/>
                <w:szCs w:val="18"/>
              </w:rPr>
              <w:t>This standard sets up measurement and presentation currency of an entity in which the measurement currency should use a functional currency as the presentation currency may use a currency other than the functional currency.</w:t>
            </w:r>
          </w:p>
        </w:tc>
      </w:tr>
    </w:tbl>
    <w:p w14:paraId="67C617EF" w14:textId="77777777" w:rsidR="002C6284" w:rsidRPr="00A60E90" w:rsidRDefault="002C6284" w:rsidP="0013526B">
      <w:pPr>
        <w:rPr>
          <w:sz w:val="4"/>
          <w:szCs w:val="4"/>
        </w:rPr>
      </w:pPr>
    </w:p>
    <w:tbl>
      <w:tblPr>
        <w:tblW w:w="9197" w:type="dxa"/>
        <w:tblInd w:w="392" w:type="dxa"/>
        <w:tblLayout w:type="fixed"/>
        <w:tblLook w:val="0000" w:firstRow="0" w:lastRow="0" w:firstColumn="0" w:lastColumn="0" w:noHBand="0" w:noVBand="0"/>
      </w:tblPr>
      <w:tblGrid>
        <w:gridCol w:w="2649"/>
        <w:gridCol w:w="1798"/>
        <w:gridCol w:w="146"/>
        <w:gridCol w:w="125"/>
        <w:gridCol w:w="1798"/>
        <w:gridCol w:w="2672"/>
        <w:gridCol w:w="9"/>
      </w:tblGrid>
      <w:tr w:rsidR="00932D25" w:rsidRPr="00965301" w14:paraId="34D282D4" w14:textId="77777777" w:rsidTr="00965301">
        <w:trPr>
          <w:gridAfter w:val="1"/>
          <w:wAfter w:w="9" w:type="dxa"/>
        </w:trPr>
        <w:tc>
          <w:tcPr>
            <w:tcW w:w="4593" w:type="dxa"/>
            <w:gridSpan w:val="3"/>
          </w:tcPr>
          <w:p w14:paraId="372AD99D" w14:textId="77777777" w:rsidR="00932D25" w:rsidRPr="00965301" w:rsidRDefault="00932D25" w:rsidP="005F361E">
            <w:pPr>
              <w:pStyle w:val="ListParagraph"/>
              <w:numPr>
                <w:ilvl w:val="0"/>
                <w:numId w:val="48"/>
              </w:numPr>
              <w:ind w:left="284" w:right="-57" w:hanging="284"/>
              <w:contextualSpacing/>
              <w:jc w:val="both"/>
              <w:rPr>
                <w:rStyle w:val="hps"/>
                <w:b/>
                <w:sz w:val="18"/>
                <w:szCs w:val="18"/>
              </w:rPr>
            </w:pPr>
            <w:r w:rsidRPr="00965301">
              <w:rPr>
                <w:sz w:val="18"/>
                <w:szCs w:val="18"/>
              </w:rPr>
              <w:lastRenderedPageBreak/>
              <w:br w:type="page"/>
            </w:r>
            <w:r w:rsidRPr="00965301">
              <w:rPr>
                <w:rStyle w:val="hps"/>
                <w:b/>
                <w:sz w:val="18"/>
                <w:szCs w:val="18"/>
              </w:rPr>
              <w:t xml:space="preserve">IKHTISAR KEBIJAKAN AKUNTANSI </w:t>
            </w:r>
            <w:r w:rsidR="00C85EDE" w:rsidRPr="00965301">
              <w:rPr>
                <w:rStyle w:val="hps"/>
                <w:b/>
                <w:sz w:val="18"/>
                <w:szCs w:val="18"/>
                <w:lang w:val="id-ID"/>
              </w:rPr>
              <w:t xml:space="preserve">YANG </w:t>
            </w:r>
            <w:r w:rsidRPr="00965301">
              <w:rPr>
                <w:rStyle w:val="hps"/>
                <w:b/>
                <w:sz w:val="18"/>
                <w:szCs w:val="18"/>
              </w:rPr>
              <w:t>PENTING - Lanjutan</w:t>
            </w:r>
          </w:p>
        </w:tc>
        <w:tc>
          <w:tcPr>
            <w:tcW w:w="4595" w:type="dxa"/>
            <w:gridSpan w:val="3"/>
          </w:tcPr>
          <w:p w14:paraId="01EB240C" w14:textId="77777777" w:rsidR="00932D25" w:rsidRPr="00965301" w:rsidRDefault="00932D25" w:rsidP="005F361E">
            <w:pPr>
              <w:pStyle w:val="ListParagraph"/>
              <w:numPr>
                <w:ilvl w:val="0"/>
                <w:numId w:val="49"/>
              </w:numPr>
              <w:ind w:left="284" w:right="-57" w:hanging="284"/>
              <w:contextualSpacing/>
              <w:jc w:val="both"/>
              <w:rPr>
                <w:b/>
                <w:bCs w:val="0"/>
                <w:i/>
                <w:sz w:val="18"/>
                <w:szCs w:val="18"/>
              </w:rPr>
            </w:pPr>
            <w:r w:rsidRPr="00965301">
              <w:rPr>
                <w:b/>
                <w:i/>
                <w:sz w:val="18"/>
                <w:szCs w:val="18"/>
              </w:rPr>
              <w:t>SUMMARY OF SIGNIFICANT ACCOUNTING POLICIES - Continued</w:t>
            </w:r>
          </w:p>
        </w:tc>
      </w:tr>
      <w:tr w:rsidR="007E667A" w:rsidRPr="00CC2E72" w14:paraId="59F2A90C" w14:textId="77777777" w:rsidTr="00965301">
        <w:trPr>
          <w:gridAfter w:val="1"/>
          <w:wAfter w:w="9" w:type="dxa"/>
        </w:trPr>
        <w:tc>
          <w:tcPr>
            <w:tcW w:w="4593" w:type="dxa"/>
            <w:gridSpan w:val="3"/>
          </w:tcPr>
          <w:p w14:paraId="0AF1C7C7" w14:textId="77777777" w:rsidR="007E667A" w:rsidRPr="00CC2E72" w:rsidRDefault="007E667A" w:rsidP="0013526B">
            <w:pPr>
              <w:ind w:left="601"/>
              <w:jc w:val="both"/>
              <w:rPr>
                <w:rStyle w:val="hps"/>
                <w:sz w:val="14"/>
                <w:szCs w:val="14"/>
              </w:rPr>
            </w:pPr>
          </w:p>
        </w:tc>
        <w:tc>
          <w:tcPr>
            <w:tcW w:w="4595" w:type="dxa"/>
            <w:gridSpan w:val="3"/>
          </w:tcPr>
          <w:p w14:paraId="7889CFB7" w14:textId="77777777" w:rsidR="007E667A" w:rsidRPr="00CC2E72" w:rsidRDefault="007E667A" w:rsidP="0013526B">
            <w:pPr>
              <w:ind w:left="714"/>
              <w:jc w:val="both"/>
              <w:rPr>
                <w:bCs w:val="0"/>
                <w:i/>
                <w:sz w:val="14"/>
                <w:szCs w:val="14"/>
              </w:rPr>
            </w:pPr>
          </w:p>
        </w:tc>
      </w:tr>
      <w:tr w:rsidR="00932D25" w:rsidRPr="00965301" w14:paraId="122B3B5E" w14:textId="77777777" w:rsidTr="00965301">
        <w:trPr>
          <w:gridAfter w:val="1"/>
          <w:wAfter w:w="9" w:type="dxa"/>
        </w:trPr>
        <w:tc>
          <w:tcPr>
            <w:tcW w:w="4593" w:type="dxa"/>
            <w:gridSpan w:val="3"/>
          </w:tcPr>
          <w:p w14:paraId="4D4C1E14" w14:textId="77777777" w:rsidR="00932D25" w:rsidRPr="00965301" w:rsidRDefault="00932D25" w:rsidP="00070D1F">
            <w:pPr>
              <w:pStyle w:val="ListParagraph"/>
              <w:numPr>
                <w:ilvl w:val="0"/>
                <w:numId w:val="98"/>
              </w:numPr>
              <w:ind w:left="568" w:right="-57" w:hanging="284"/>
              <w:contextualSpacing/>
              <w:jc w:val="both"/>
              <w:rPr>
                <w:rStyle w:val="hps"/>
                <w:b/>
                <w:sz w:val="18"/>
                <w:szCs w:val="18"/>
              </w:rPr>
            </w:pPr>
            <w:r w:rsidRPr="00965301">
              <w:rPr>
                <w:sz w:val="18"/>
                <w:szCs w:val="18"/>
              </w:rPr>
              <w:br w:type="page"/>
            </w:r>
            <w:r w:rsidRPr="00965301">
              <w:rPr>
                <w:rStyle w:val="hps"/>
                <w:b/>
                <w:sz w:val="18"/>
                <w:szCs w:val="18"/>
              </w:rPr>
              <w:t xml:space="preserve">Transaksi dan </w:t>
            </w:r>
            <w:r w:rsidR="007365EB" w:rsidRPr="00965301">
              <w:rPr>
                <w:rStyle w:val="hps"/>
                <w:b/>
                <w:sz w:val="18"/>
                <w:szCs w:val="18"/>
              </w:rPr>
              <w:t>P</w:t>
            </w:r>
            <w:r w:rsidRPr="00965301">
              <w:rPr>
                <w:rStyle w:val="hps"/>
                <w:b/>
                <w:sz w:val="18"/>
                <w:szCs w:val="18"/>
              </w:rPr>
              <w:t xml:space="preserve">enjabaran dalam </w:t>
            </w:r>
            <w:r w:rsidR="007365EB" w:rsidRPr="00965301">
              <w:rPr>
                <w:rStyle w:val="hps"/>
                <w:b/>
                <w:sz w:val="18"/>
                <w:szCs w:val="18"/>
              </w:rPr>
              <w:t>M</w:t>
            </w:r>
            <w:r w:rsidRPr="00965301">
              <w:rPr>
                <w:rStyle w:val="hps"/>
                <w:b/>
                <w:sz w:val="18"/>
                <w:szCs w:val="18"/>
              </w:rPr>
              <w:t xml:space="preserve">ata </w:t>
            </w:r>
            <w:r w:rsidR="007365EB" w:rsidRPr="00965301">
              <w:rPr>
                <w:rStyle w:val="hps"/>
                <w:b/>
                <w:sz w:val="18"/>
                <w:szCs w:val="18"/>
              </w:rPr>
              <w:t>U</w:t>
            </w:r>
            <w:r w:rsidRPr="00965301">
              <w:rPr>
                <w:rStyle w:val="hps"/>
                <w:b/>
                <w:sz w:val="18"/>
                <w:szCs w:val="18"/>
              </w:rPr>
              <w:t xml:space="preserve">ang </w:t>
            </w:r>
            <w:r w:rsidR="007365EB" w:rsidRPr="00965301">
              <w:rPr>
                <w:rStyle w:val="hps"/>
                <w:b/>
                <w:sz w:val="18"/>
                <w:szCs w:val="18"/>
              </w:rPr>
              <w:t>A</w:t>
            </w:r>
            <w:r w:rsidRPr="00965301">
              <w:rPr>
                <w:rStyle w:val="hps"/>
                <w:b/>
                <w:sz w:val="18"/>
                <w:szCs w:val="18"/>
              </w:rPr>
              <w:t xml:space="preserve">sing - Lanjutan </w:t>
            </w:r>
          </w:p>
        </w:tc>
        <w:tc>
          <w:tcPr>
            <w:tcW w:w="4595" w:type="dxa"/>
            <w:gridSpan w:val="3"/>
          </w:tcPr>
          <w:p w14:paraId="7C2AD49B" w14:textId="77777777" w:rsidR="00932D25" w:rsidRPr="00965301" w:rsidRDefault="00932D25" w:rsidP="00070D1F">
            <w:pPr>
              <w:pStyle w:val="ListParagraph"/>
              <w:numPr>
                <w:ilvl w:val="0"/>
                <w:numId w:val="99"/>
              </w:numPr>
              <w:ind w:left="568" w:right="-57" w:hanging="284"/>
              <w:contextualSpacing/>
              <w:jc w:val="both"/>
              <w:rPr>
                <w:b/>
                <w:bCs w:val="0"/>
                <w:i/>
                <w:sz w:val="18"/>
                <w:szCs w:val="18"/>
              </w:rPr>
            </w:pPr>
            <w:r w:rsidRPr="00965301">
              <w:rPr>
                <w:b/>
                <w:bCs w:val="0"/>
                <w:i/>
                <w:sz w:val="18"/>
                <w:szCs w:val="18"/>
              </w:rPr>
              <w:t xml:space="preserve">Transaction and </w:t>
            </w:r>
            <w:r w:rsidR="007365EB" w:rsidRPr="00965301">
              <w:rPr>
                <w:b/>
                <w:bCs w:val="0"/>
                <w:i/>
                <w:sz w:val="18"/>
                <w:szCs w:val="18"/>
              </w:rPr>
              <w:t>T</w:t>
            </w:r>
            <w:r w:rsidRPr="00965301">
              <w:rPr>
                <w:b/>
                <w:bCs w:val="0"/>
                <w:i/>
                <w:sz w:val="18"/>
                <w:szCs w:val="18"/>
              </w:rPr>
              <w:t xml:space="preserve">ranslation in </w:t>
            </w:r>
            <w:r w:rsidR="007365EB" w:rsidRPr="00965301">
              <w:rPr>
                <w:b/>
                <w:bCs w:val="0"/>
                <w:i/>
                <w:sz w:val="18"/>
                <w:szCs w:val="18"/>
              </w:rPr>
              <w:t>F</w:t>
            </w:r>
            <w:r w:rsidRPr="00965301">
              <w:rPr>
                <w:b/>
                <w:bCs w:val="0"/>
                <w:i/>
                <w:sz w:val="18"/>
                <w:szCs w:val="18"/>
              </w:rPr>
              <w:t xml:space="preserve">oreign </w:t>
            </w:r>
            <w:r w:rsidR="007365EB" w:rsidRPr="00965301">
              <w:rPr>
                <w:b/>
                <w:bCs w:val="0"/>
                <w:i/>
                <w:sz w:val="18"/>
                <w:szCs w:val="18"/>
              </w:rPr>
              <w:t>C</w:t>
            </w:r>
            <w:r w:rsidRPr="00965301">
              <w:rPr>
                <w:b/>
                <w:bCs w:val="0"/>
                <w:i/>
                <w:sz w:val="18"/>
                <w:szCs w:val="18"/>
              </w:rPr>
              <w:t>urrency - Continued</w:t>
            </w:r>
          </w:p>
        </w:tc>
      </w:tr>
      <w:tr w:rsidR="00D33B7C" w:rsidRPr="00CC2E72" w14:paraId="07960D89" w14:textId="77777777" w:rsidTr="00965301">
        <w:trPr>
          <w:gridAfter w:val="1"/>
          <w:wAfter w:w="9" w:type="dxa"/>
        </w:trPr>
        <w:tc>
          <w:tcPr>
            <w:tcW w:w="4593" w:type="dxa"/>
            <w:gridSpan w:val="3"/>
          </w:tcPr>
          <w:p w14:paraId="1F913EC5" w14:textId="77777777" w:rsidR="00D33B7C" w:rsidRPr="00CC2E72" w:rsidRDefault="00D33B7C" w:rsidP="0013526B">
            <w:pPr>
              <w:ind w:left="601"/>
              <w:jc w:val="both"/>
              <w:rPr>
                <w:rStyle w:val="hps"/>
                <w:sz w:val="14"/>
                <w:szCs w:val="14"/>
              </w:rPr>
            </w:pPr>
          </w:p>
        </w:tc>
        <w:tc>
          <w:tcPr>
            <w:tcW w:w="4595" w:type="dxa"/>
            <w:gridSpan w:val="3"/>
          </w:tcPr>
          <w:p w14:paraId="2221D932" w14:textId="77777777" w:rsidR="00D33B7C" w:rsidRPr="00CC2E72" w:rsidRDefault="00D33B7C" w:rsidP="0013526B">
            <w:pPr>
              <w:ind w:left="714"/>
              <w:jc w:val="both"/>
              <w:rPr>
                <w:bCs w:val="0"/>
                <w:i/>
                <w:sz w:val="14"/>
                <w:szCs w:val="14"/>
              </w:rPr>
            </w:pPr>
          </w:p>
        </w:tc>
      </w:tr>
      <w:tr w:rsidR="00D33B7C" w:rsidRPr="00965301" w14:paraId="09E44F76" w14:textId="77777777" w:rsidTr="00965301">
        <w:trPr>
          <w:gridAfter w:val="1"/>
          <w:wAfter w:w="9" w:type="dxa"/>
        </w:trPr>
        <w:tc>
          <w:tcPr>
            <w:tcW w:w="4593" w:type="dxa"/>
            <w:gridSpan w:val="3"/>
          </w:tcPr>
          <w:p w14:paraId="2292075B" w14:textId="7DBF529B" w:rsidR="00D33B7C" w:rsidRPr="00965301" w:rsidRDefault="00D33B7C" w:rsidP="0013526B">
            <w:pPr>
              <w:ind w:left="567" w:right="-57"/>
              <w:jc w:val="both"/>
              <w:rPr>
                <w:rStyle w:val="hps"/>
                <w:sz w:val="18"/>
                <w:szCs w:val="18"/>
              </w:rPr>
            </w:pPr>
            <w:r w:rsidRPr="00965301">
              <w:rPr>
                <w:bCs w:val="0"/>
                <w:sz w:val="18"/>
                <w:szCs w:val="18"/>
              </w:rPr>
              <w:t xml:space="preserve">Dalam menentukan mata </w:t>
            </w:r>
            <w:r w:rsidRPr="00965301">
              <w:rPr>
                <w:rStyle w:val="hps"/>
                <w:sz w:val="18"/>
                <w:szCs w:val="18"/>
              </w:rPr>
              <w:t>uang</w:t>
            </w:r>
            <w:r w:rsidR="009162F0" w:rsidRPr="00965301">
              <w:rPr>
                <w:bCs w:val="0"/>
                <w:sz w:val="18"/>
                <w:szCs w:val="18"/>
              </w:rPr>
              <w:t xml:space="preserve"> fungsional</w:t>
            </w:r>
            <w:r w:rsidR="00870FD0">
              <w:rPr>
                <w:bCs w:val="0"/>
                <w:sz w:val="18"/>
                <w:szCs w:val="18"/>
              </w:rPr>
              <w:t>.</w:t>
            </w:r>
            <w:r w:rsidR="009162F0" w:rsidRPr="00965301">
              <w:rPr>
                <w:bCs w:val="0"/>
                <w:sz w:val="18"/>
                <w:szCs w:val="18"/>
              </w:rPr>
              <w:t xml:space="preserve"> Kelompok Usaha</w:t>
            </w:r>
            <w:r w:rsidRPr="00965301">
              <w:rPr>
                <w:bCs w:val="0"/>
                <w:sz w:val="18"/>
                <w:szCs w:val="18"/>
              </w:rPr>
              <w:t xml:space="preserve"> </w:t>
            </w:r>
            <w:r w:rsidRPr="00965301">
              <w:rPr>
                <w:rStyle w:val="hps"/>
                <w:sz w:val="18"/>
                <w:szCs w:val="18"/>
              </w:rPr>
              <w:t>mempertimbangkan</w:t>
            </w:r>
            <w:r w:rsidRPr="00965301">
              <w:rPr>
                <w:bCs w:val="0"/>
                <w:sz w:val="18"/>
                <w:szCs w:val="18"/>
              </w:rPr>
              <w:t xml:space="preserve"> faktor</w:t>
            </w:r>
            <w:r w:rsidR="00037369" w:rsidRPr="00965301">
              <w:rPr>
                <w:bCs w:val="0"/>
                <w:sz w:val="18"/>
                <w:szCs w:val="18"/>
              </w:rPr>
              <w:t>-</w:t>
            </w:r>
            <w:r w:rsidRPr="00965301">
              <w:rPr>
                <w:bCs w:val="0"/>
                <w:sz w:val="18"/>
                <w:szCs w:val="18"/>
              </w:rPr>
              <w:t>faktor sebagai berikut:</w:t>
            </w:r>
          </w:p>
        </w:tc>
        <w:tc>
          <w:tcPr>
            <w:tcW w:w="4595" w:type="dxa"/>
            <w:gridSpan w:val="3"/>
          </w:tcPr>
          <w:p w14:paraId="5730E594" w14:textId="7E95FF21" w:rsidR="00D33B7C" w:rsidRPr="00965301" w:rsidRDefault="00D33B7C" w:rsidP="0013526B">
            <w:pPr>
              <w:tabs>
                <w:tab w:val="left" w:pos="5590"/>
                <w:tab w:val="right" w:pos="7620"/>
                <w:tab w:val="right" w:pos="9460"/>
                <w:tab w:val="right" w:pos="10080"/>
              </w:tabs>
              <w:ind w:left="567" w:right="-57"/>
              <w:jc w:val="both"/>
              <w:rPr>
                <w:bCs w:val="0"/>
                <w:i/>
                <w:sz w:val="18"/>
                <w:szCs w:val="18"/>
              </w:rPr>
            </w:pPr>
            <w:r w:rsidRPr="00965301">
              <w:rPr>
                <w:bCs w:val="0"/>
                <w:i/>
                <w:sz w:val="18"/>
                <w:szCs w:val="18"/>
              </w:rPr>
              <w:t>In dete</w:t>
            </w:r>
            <w:r w:rsidR="00451B30" w:rsidRPr="00965301">
              <w:rPr>
                <w:bCs w:val="0"/>
                <w:i/>
                <w:sz w:val="18"/>
                <w:szCs w:val="18"/>
              </w:rPr>
              <w:t>rmining the functional currency</w:t>
            </w:r>
            <w:r w:rsidR="00870FD0">
              <w:rPr>
                <w:bCs w:val="0"/>
                <w:i/>
                <w:sz w:val="18"/>
                <w:szCs w:val="18"/>
                <w:lang w:val="id-ID"/>
              </w:rPr>
              <w:t>.</w:t>
            </w:r>
            <w:r w:rsidR="00451B30" w:rsidRPr="00965301">
              <w:rPr>
                <w:bCs w:val="0"/>
                <w:i/>
                <w:sz w:val="18"/>
                <w:szCs w:val="18"/>
                <w:lang w:val="id-ID"/>
              </w:rPr>
              <w:t xml:space="preserve"> </w:t>
            </w:r>
            <w:r w:rsidR="009162F0" w:rsidRPr="00965301">
              <w:rPr>
                <w:bCs w:val="0"/>
                <w:i/>
                <w:sz w:val="18"/>
                <w:szCs w:val="18"/>
              </w:rPr>
              <w:t>the Group</w:t>
            </w:r>
            <w:r w:rsidR="00451B30" w:rsidRPr="00965301">
              <w:rPr>
                <w:bCs w:val="0"/>
                <w:i/>
                <w:sz w:val="18"/>
                <w:szCs w:val="18"/>
                <w:lang w:val="id-ID"/>
              </w:rPr>
              <w:t xml:space="preserve"> </w:t>
            </w:r>
            <w:r w:rsidRPr="00965301">
              <w:rPr>
                <w:bCs w:val="0"/>
                <w:i/>
                <w:sz w:val="18"/>
                <w:szCs w:val="18"/>
              </w:rPr>
              <w:t>consider</w:t>
            </w:r>
            <w:r w:rsidR="00451B30" w:rsidRPr="00965301">
              <w:rPr>
                <w:bCs w:val="0"/>
                <w:i/>
                <w:sz w:val="18"/>
                <w:szCs w:val="18"/>
                <w:lang w:val="id-ID"/>
              </w:rPr>
              <w:t>s</w:t>
            </w:r>
            <w:r w:rsidRPr="00965301">
              <w:rPr>
                <w:bCs w:val="0"/>
                <w:i/>
                <w:sz w:val="18"/>
                <w:szCs w:val="18"/>
              </w:rPr>
              <w:t xml:space="preserve"> the following factors:</w:t>
            </w:r>
          </w:p>
        </w:tc>
      </w:tr>
      <w:tr w:rsidR="00D33B7C" w:rsidRPr="0013526B" w14:paraId="22F19D5D" w14:textId="77777777" w:rsidTr="00965301">
        <w:trPr>
          <w:gridAfter w:val="1"/>
          <w:wAfter w:w="9" w:type="dxa"/>
        </w:trPr>
        <w:tc>
          <w:tcPr>
            <w:tcW w:w="4593" w:type="dxa"/>
            <w:gridSpan w:val="3"/>
          </w:tcPr>
          <w:p w14:paraId="16C91C8A" w14:textId="03AC9A20" w:rsidR="00D33B7C" w:rsidRPr="00965301" w:rsidRDefault="00D33B7C" w:rsidP="005F361E">
            <w:pPr>
              <w:pStyle w:val="ListParagraph"/>
              <w:numPr>
                <w:ilvl w:val="0"/>
                <w:numId w:val="22"/>
              </w:numPr>
              <w:tabs>
                <w:tab w:val="left" w:pos="851"/>
                <w:tab w:val="left" w:pos="884"/>
              </w:tabs>
              <w:ind w:left="851" w:right="-57" w:hanging="284"/>
              <w:contextualSpacing/>
              <w:jc w:val="both"/>
              <w:rPr>
                <w:bCs w:val="0"/>
                <w:sz w:val="18"/>
                <w:szCs w:val="18"/>
              </w:rPr>
            </w:pPr>
            <w:r w:rsidRPr="00965301">
              <w:rPr>
                <w:bCs w:val="0"/>
                <w:sz w:val="18"/>
                <w:szCs w:val="18"/>
              </w:rPr>
              <w:t>mata uang yang paling mempengaruhi harga jual untuk barang dan jasa</w:t>
            </w:r>
            <w:r w:rsidR="00911A8A">
              <w:rPr>
                <w:bCs w:val="0"/>
                <w:sz w:val="18"/>
                <w:szCs w:val="18"/>
              </w:rPr>
              <w:t>,</w:t>
            </w:r>
            <w:r w:rsidRPr="00965301">
              <w:rPr>
                <w:bCs w:val="0"/>
                <w:sz w:val="18"/>
                <w:szCs w:val="18"/>
              </w:rPr>
              <w:t xml:space="preserve"> atau dari suatu negara yang kekuatan persaingan dan perundang</w:t>
            </w:r>
            <w:r w:rsidR="00037369" w:rsidRPr="00965301">
              <w:rPr>
                <w:bCs w:val="0"/>
                <w:sz w:val="18"/>
                <w:szCs w:val="18"/>
              </w:rPr>
              <w:t>-</w:t>
            </w:r>
            <w:r w:rsidRPr="00965301">
              <w:rPr>
                <w:bCs w:val="0"/>
                <w:sz w:val="18"/>
                <w:szCs w:val="18"/>
              </w:rPr>
              <w:t>undangannya sebagian besar menentukan harga jual dari barang dan jasanya;</w:t>
            </w:r>
          </w:p>
          <w:p w14:paraId="3C58963A" w14:textId="08962310" w:rsidR="00D33B7C" w:rsidRPr="00965301" w:rsidRDefault="00D33B7C" w:rsidP="005F361E">
            <w:pPr>
              <w:pStyle w:val="ListParagraph"/>
              <w:numPr>
                <w:ilvl w:val="0"/>
                <w:numId w:val="22"/>
              </w:numPr>
              <w:tabs>
                <w:tab w:val="left" w:pos="851"/>
                <w:tab w:val="left" w:pos="884"/>
              </w:tabs>
              <w:ind w:left="851" w:right="-57" w:hanging="284"/>
              <w:contextualSpacing/>
              <w:jc w:val="both"/>
              <w:rPr>
                <w:bCs w:val="0"/>
                <w:sz w:val="18"/>
                <w:szCs w:val="18"/>
              </w:rPr>
            </w:pPr>
            <w:r w:rsidRPr="00965301">
              <w:rPr>
                <w:bCs w:val="0"/>
                <w:sz w:val="18"/>
                <w:szCs w:val="18"/>
              </w:rPr>
              <w:t>mata uang yang paling mempengaruhi biaya tenaga kerja</w:t>
            </w:r>
            <w:r w:rsidR="00911A8A">
              <w:rPr>
                <w:bCs w:val="0"/>
                <w:sz w:val="18"/>
                <w:szCs w:val="18"/>
              </w:rPr>
              <w:t>,</w:t>
            </w:r>
            <w:r w:rsidRPr="00965301">
              <w:rPr>
                <w:bCs w:val="0"/>
                <w:sz w:val="18"/>
                <w:szCs w:val="18"/>
              </w:rPr>
              <w:t xml:space="preserve"> material dan biaya</w:t>
            </w:r>
            <w:r w:rsidR="00037369" w:rsidRPr="00965301">
              <w:rPr>
                <w:bCs w:val="0"/>
                <w:sz w:val="18"/>
                <w:szCs w:val="18"/>
              </w:rPr>
              <w:t>-</w:t>
            </w:r>
            <w:r w:rsidRPr="00965301">
              <w:rPr>
                <w:bCs w:val="0"/>
                <w:sz w:val="18"/>
                <w:szCs w:val="18"/>
              </w:rPr>
              <w:t>biaya lain dari pengadaan barang atau jasa;</w:t>
            </w:r>
          </w:p>
          <w:p w14:paraId="2D87FC79" w14:textId="77777777" w:rsidR="00D33B7C" w:rsidRPr="00965301" w:rsidRDefault="00D33B7C" w:rsidP="005F361E">
            <w:pPr>
              <w:pStyle w:val="ListParagraph"/>
              <w:numPr>
                <w:ilvl w:val="0"/>
                <w:numId w:val="22"/>
              </w:numPr>
              <w:tabs>
                <w:tab w:val="left" w:pos="851"/>
                <w:tab w:val="left" w:pos="884"/>
              </w:tabs>
              <w:ind w:left="851" w:right="-57" w:hanging="284"/>
              <w:contextualSpacing/>
              <w:jc w:val="both"/>
              <w:rPr>
                <w:bCs w:val="0"/>
                <w:sz w:val="18"/>
                <w:szCs w:val="18"/>
              </w:rPr>
            </w:pPr>
            <w:r w:rsidRPr="00965301">
              <w:rPr>
                <w:bCs w:val="0"/>
                <w:sz w:val="18"/>
                <w:szCs w:val="18"/>
              </w:rPr>
              <w:t>mata uang yang mana dana dari aktivitas pendanaan (antara lain penerbitan instrumen utang dan ekuitas) dihasilkan;</w:t>
            </w:r>
          </w:p>
          <w:p w14:paraId="54ED79C9" w14:textId="77777777" w:rsidR="00D33B7C" w:rsidRPr="00965301" w:rsidRDefault="00D33B7C" w:rsidP="005F361E">
            <w:pPr>
              <w:pStyle w:val="ListParagraph"/>
              <w:numPr>
                <w:ilvl w:val="0"/>
                <w:numId w:val="22"/>
              </w:numPr>
              <w:tabs>
                <w:tab w:val="left" w:pos="851"/>
                <w:tab w:val="left" w:pos="884"/>
              </w:tabs>
              <w:ind w:left="851" w:right="-57" w:hanging="284"/>
              <w:contextualSpacing/>
              <w:jc w:val="both"/>
              <w:rPr>
                <w:bCs w:val="0"/>
                <w:sz w:val="18"/>
                <w:szCs w:val="18"/>
              </w:rPr>
            </w:pPr>
            <w:proofErr w:type="gramStart"/>
            <w:r w:rsidRPr="00965301">
              <w:rPr>
                <w:bCs w:val="0"/>
                <w:sz w:val="18"/>
                <w:szCs w:val="18"/>
              </w:rPr>
              <w:t>mata</w:t>
            </w:r>
            <w:proofErr w:type="gramEnd"/>
            <w:r w:rsidRPr="00965301">
              <w:rPr>
                <w:bCs w:val="0"/>
                <w:sz w:val="18"/>
                <w:szCs w:val="18"/>
              </w:rPr>
              <w:t xml:space="preserve"> uang dalam mana penerimaan dari aktivitas operasi pada umumnya ditahan.</w:t>
            </w:r>
          </w:p>
        </w:tc>
        <w:tc>
          <w:tcPr>
            <w:tcW w:w="4595" w:type="dxa"/>
            <w:gridSpan w:val="3"/>
          </w:tcPr>
          <w:p w14:paraId="3565E6F7" w14:textId="373EE69D" w:rsidR="00D33B7C" w:rsidRPr="00965301" w:rsidRDefault="00D33B7C" w:rsidP="005F361E">
            <w:pPr>
              <w:pStyle w:val="ListParagraph"/>
              <w:numPr>
                <w:ilvl w:val="0"/>
                <w:numId w:val="23"/>
              </w:numPr>
              <w:tabs>
                <w:tab w:val="left" w:pos="856"/>
              </w:tabs>
              <w:ind w:left="851" w:right="-57" w:hanging="284"/>
              <w:contextualSpacing/>
              <w:jc w:val="both"/>
              <w:rPr>
                <w:bCs w:val="0"/>
                <w:i/>
                <w:sz w:val="18"/>
                <w:szCs w:val="18"/>
              </w:rPr>
            </w:pPr>
            <w:r w:rsidRPr="00965301">
              <w:rPr>
                <w:bCs w:val="0"/>
                <w:i/>
                <w:sz w:val="18"/>
                <w:szCs w:val="18"/>
              </w:rPr>
              <w:t>currency that most influences the selling price for goods and services</w:t>
            </w:r>
            <w:r w:rsidR="00911A8A">
              <w:rPr>
                <w:bCs w:val="0"/>
                <w:i/>
                <w:sz w:val="18"/>
                <w:szCs w:val="18"/>
              </w:rPr>
              <w:t>,</w:t>
            </w:r>
            <w:r w:rsidRPr="00965301">
              <w:rPr>
                <w:bCs w:val="0"/>
                <w:i/>
                <w:sz w:val="18"/>
                <w:szCs w:val="18"/>
              </w:rPr>
              <w:t xml:space="preserve"> or from a country whose competitive forces and legislation largely determine the selling price of goods and services;</w:t>
            </w:r>
          </w:p>
          <w:p w14:paraId="215A6E7E" w14:textId="0E3C8F29" w:rsidR="00D33B7C" w:rsidRPr="00965301" w:rsidRDefault="00D33B7C" w:rsidP="005F361E">
            <w:pPr>
              <w:pStyle w:val="ListParagraph"/>
              <w:numPr>
                <w:ilvl w:val="0"/>
                <w:numId w:val="23"/>
              </w:numPr>
              <w:tabs>
                <w:tab w:val="left" w:pos="856"/>
              </w:tabs>
              <w:ind w:left="851" w:right="-57" w:hanging="284"/>
              <w:contextualSpacing/>
              <w:jc w:val="both"/>
              <w:rPr>
                <w:bCs w:val="0"/>
                <w:i/>
                <w:sz w:val="18"/>
                <w:szCs w:val="18"/>
              </w:rPr>
            </w:pPr>
            <w:r w:rsidRPr="00965301">
              <w:rPr>
                <w:bCs w:val="0"/>
                <w:i/>
                <w:sz w:val="18"/>
                <w:szCs w:val="18"/>
              </w:rPr>
              <w:t>currency that most influences the cost of labor</w:t>
            </w:r>
            <w:r w:rsidR="00911A8A">
              <w:rPr>
                <w:bCs w:val="0"/>
                <w:i/>
                <w:sz w:val="18"/>
                <w:szCs w:val="18"/>
              </w:rPr>
              <w:t>,</w:t>
            </w:r>
            <w:r w:rsidRPr="00965301">
              <w:rPr>
                <w:bCs w:val="0"/>
                <w:i/>
                <w:sz w:val="18"/>
                <w:szCs w:val="18"/>
              </w:rPr>
              <w:t xml:space="preserve"> material and other costs of the procurement of goods or services;</w:t>
            </w:r>
          </w:p>
          <w:p w14:paraId="254DACAB" w14:textId="355F33CB" w:rsidR="00D33B7C" w:rsidRPr="00965301" w:rsidRDefault="00D33B7C" w:rsidP="005F361E">
            <w:pPr>
              <w:pStyle w:val="ListParagraph"/>
              <w:numPr>
                <w:ilvl w:val="0"/>
                <w:numId w:val="23"/>
              </w:numPr>
              <w:tabs>
                <w:tab w:val="left" w:pos="856"/>
              </w:tabs>
              <w:ind w:left="851" w:right="-57" w:hanging="284"/>
              <w:contextualSpacing/>
              <w:jc w:val="both"/>
              <w:rPr>
                <w:bCs w:val="0"/>
                <w:i/>
                <w:sz w:val="18"/>
                <w:szCs w:val="18"/>
              </w:rPr>
            </w:pPr>
            <w:r w:rsidRPr="00965301">
              <w:rPr>
                <w:bCs w:val="0"/>
                <w:i/>
                <w:sz w:val="18"/>
                <w:szCs w:val="18"/>
              </w:rPr>
              <w:t>the currency in which funds from financing activities (i.e</w:t>
            </w:r>
            <w:r w:rsidR="00911A8A">
              <w:rPr>
                <w:bCs w:val="0"/>
                <w:i/>
                <w:sz w:val="18"/>
                <w:szCs w:val="18"/>
              </w:rPr>
              <w:t>,</w:t>
            </w:r>
            <w:r w:rsidRPr="00965301">
              <w:rPr>
                <w:bCs w:val="0"/>
                <w:i/>
                <w:sz w:val="18"/>
                <w:szCs w:val="18"/>
              </w:rPr>
              <w:t xml:space="preserve"> issuing debt and equity instruments) are produced;</w:t>
            </w:r>
          </w:p>
          <w:p w14:paraId="2FE5EE3E" w14:textId="77777777" w:rsidR="00D33B7C" w:rsidRPr="00965301" w:rsidRDefault="00D33B7C" w:rsidP="005F361E">
            <w:pPr>
              <w:pStyle w:val="ListParagraph"/>
              <w:numPr>
                <w:ilvl w:val="0"/>
                <w:numId w:val="23"/>
              </w:numPr>
              <w:tabs>
                <w:tab w:val="left" w:pos="856"/>
              </w:tabs>
              <w:ind w:left="851" w:right="-57" w:hanging="284"/>
              <w:contextualSpacing/>
              <w:jc w:val="both"/>
              <w:rPr>
                <w:bCs w:val="0"/>
                <w:i/>
                <w:sz w:val="18"/>
                <w:szCs w:val="18"/>
              </w:rPr>
            </w:pPr>
            <w:proofErr w:type="gramStart"/>
            <w:r w:rsidRPr="00965301">
              <w:rPr>
                <w:bCs w:val="0"/>
                <w:i/>
                <w:sz w:val="18"/>
                <w:szCs w:val="18"/>
              </w:rPr>
              <w:t>the</w:t>
            </w:r>
            <w:proofErr w:type="gramEnd"/>
            <w:r w:rsidRPr="00965301">
              <w:rPr>
                <w:bCs w:val="0"/>
                <w:i/>
                <w:sz w:val="18"/>
                <w:szCs w:val="18"/>
              </w:rPr>
              <w:t xml:space="preserve"> currency in which receipts from operating activities are usually retained.</w:t>
            </w:r>
          </w:p>
        </w:tc>
      </w:tr>
      <w:tr w:rsidR="00D33B7C" w:rsidRPr="00CC2E72" w14:paraId="60116F87" w14:textId="77777777" w:rsidTr="00965301">
        <w:trPr>
          <w:gridAfter w:val="1"/>
          <w:wAfter w:w="9" w:type="dxa"/>
        </w:trPr>
        <w:tc>
          <w:tcPr>
            <w:tcW w:w="4593" w:type="dxa"/>
            <w:gridSpan w:val="3"/>
          </w:tcPr>
          <w:p w14:paraId="2A2EAE49" w14:textId="77777777" w:rsidR="00D33B7C" w:rsidRPr="00CC2E72" w:rsidRDefault="00D33B7C" w:rsidP="0013526B">
            <w:pPr>
              <w:pStyle w:val="ListParagraph"/>
              <w:ind w:left="601" w:right="-57"/>
              <w:contextualSpacing/>
              <w:jc w:val="both"/>
              <w:rPr>
                <w:bCs w:val="0"/>
                <w:sz w:val="14"/>
                <w:szCs w:val="14"/>
                <w:highlight w:val="cyan"/>
              </w:rPr>
            </w:pPr>
          </w:p>
        </w:tc>
        <w:tc>
          <w:tcPr>
            <w:tcW w:w="4595" w:type="dxa"/>
            <w:gridSpan w:val="3"/>
          </w:tcPr>
          <w:p w14:paraId="5BE0F485" w14:textId="77777777" w:rsidR="00D33B7C" w:rsidRPr="00CC2E72" w:rsidRDefault="00D33B7C" w:rsidP="0013526B">
            <w:pPr>
              <w:pStyle w:val="ListParagraph"/>
              <w:ind w:left="714" w:right="-57"/>
              <w:contextualSpacing/>
              <w:jc w:val="both"/>
              <w:rPr>
                <w:bCs w:val="0"/>
                <w:i/>
                <w:sz w:val="14"/>
                <w:szCs w:val="14"/>
                <w:highlight w:val="cyan"/>
              </w:rPr>
            </w:pPr>
          </w:p>
        </w:tc>
      </w:tr>
      <w:tr w:rsidR="00D33B7C" w:rsidRPr="0013526B" w14:paraId="6C65B181" w14:textId="77777777" w:rsidTr="00965301">
        <w:trPr>
          <w:gridAfter w:val="1"/>
          <w:wAfter w:w="9" w:type="dxa"/>
        </w:trPr>
        <w:tc>
          <w:tcPr>
            <w:tcW w:w="4593" w:type="dxa"/>
            <w:gridSpan w:val="3"/>
          </w:tcPr>
          <w:p w14:paraId="17F06663" w14:textId="04648DA8" w:rsidR="00D33B7C" w:rsidRPr="00965301" w:rsidRDefault="00D33B7C" w:rsidP="00911A8A">
            <w:pPr>
              <w:ind w:left="567" w:right="-57"/>
              <w:jc w:val="both"/>
              <w:rPr>
                <w:rStyle w:val="hps"/>
                <w:sz w:val="18"/>
                <w:szCs w:val="18"/>
              </w:rPr>
            </w:pPr>
            <w:r w:rsidRPr="00965301">
              <w:rPr>
                <w:rStyle w:val="hps"/>
                <w:sz w:val="18"/>
                <w:szCs w:val="18"/>
              </w:rPr>
              <w:t xml:space="preserve">Pembukuan </w:t>
            </w:r>
            <w:r w:rsidR="002A66D1" w:rsidRPr="00965301">
              <w:rPr>
                <w:rStyle w:val="hps"/>
                <w:sz w:val="18"/>
                <w:szCs w:val="18"/>
              </w:rPr>
              <w:t>Kelompok Usaha</w:t>
            </w:r>
            <w:r w:rsidR="00870FD0">
              <w:rPr>
                <w:rStyle w:val="hps"/>
                <w:sz w:val="18"/>
                <w:szCs w:val="18"/>
              </w:rPr>
              <w:t>.</w:t>
            </w:r>
            <w:r w:rsidRPr="00965301">
              <w:rPr>
                <w:rStyle w:val="hps"/>
                <w:sz w:val="18"/>
                <w:szCs w:val="18"/>
              </w:rPr>
              <w:t xml:space="preserve"> </w:t>
            </w:r>
            <w:proofErr w:type="gramStart"/>
            <w:r w:rsidRPr="00965301">
              <w:rPr>
                <w:rStyle w:val="hps"/>
                <w:sz w:val="18"/>
                <w:szCs w:val="18"/>
              </w:rPr>
              <w:t>kecuali</w:t>
            </w:r>
            <w:proofErr w:type="gramEnd"/>
            <w:r w:rsidRPr="00965301">
              <w:rPr>
                <w:rStyle w:val="hps"/>
                <w:sz w:val="18"/>
                <w:szCs w:val="18"/>
              </w:rPr>
              <w:t xml:space="preserve"> entitas anak di luar negeri</w:t>
            </w:r>
            <w:r w:rsidR="00911A8A">
              <w:rPr>
                <w:rStyle w:val="hps"/>
                <w:sz w:val="18"/>
                <w:szCs w:val="18"/>
              </w:rPr>
              <w:t>,</w:t>
            </w:r>
            <w:r w:rsidRPr="00965301">
              <w:rPr>
                <w:rStyle w:val="hps"/>
                <w:sz w:val="18"/>
                <w:szCs w:val="18"/>
              </w:rPr>
              <w:t xml:space="preserve"> diselenggarakan dalam mata uang Rupiah</w:t>
            </w:r>
            <w:r w:rsidR="00870FD0">
              <w:rPr>
                <w:rStyle w:val="hps"/>
                <w:sz w:val="18"/>
                <w:szCs w:val="18"/>
              </w:rPr>
              <w:t>.</w:t>
            </w:r>
            <w:r w:rsidRPr="00965301">
              <w:rPr>
                <w:rStyle w:val="hps"/>
                <w:sz w:val="18"/>
                <w:szCs w:val="18"/>
              </w:rPr>
              <w:t xml:space="preserve"> </w:t>
            </w:r>
            <w:proofErr w:type="gramStart"/>
            <w:r w:rsidRPr="00965301">
              <w:rPr>
                <w:rStyle w:val="hps"/>
                <w:sz w:val="18"/>
                <w:szCs w:val="18"/>
              </w:rPr>
              <w:t>yang</w:t>
            </w:r>
            <w:proofErr w:type="gramEnd"/>
            <w:r w:rsidRPr="00965301">
              <w:rPr>
                <w:rStyle w:val="hps"/>
                <w:sz w:val="18"/>
                <w:szCs w:val="18"/>
              </w:rPr>
              <w:t xml:space="preserve"> juga merupakan mata uang fungsional entitas</w:t>
            </w:r>
            <w:r w:rsidR="00037369" w:rsidRPr="00965301">
              <w:rPr>
                <w:rStyle w:val="hps"/>
                <w:sz w:val="18"/>
                <w:szCs w:val="18"/>
              </w:rPr>
              <w:t>-</w:t>
            </w:r>
            <w:r w:rsidRPr="00965301">
              <w:rPr>
                <w:rStyle w:val="hps"/>
                <w:sz w:val="18"/>
                <w:szCs w:val="18"/>
              </w:rPr>
              <w:t>entitas tersebut. Transaksi dalam mata uang asing dicatat berdasarkan kurs yang berlaku pada saat transaksi dilakukan. Pada tanggal laporan posisi keuangan</w:t>
            </w:r>
            <w:r w:rsidR="00911A8A">
              <w:rPr>
                <w:rStyle w:val="hps"/>
                <w:sz w:val="18"/>
                <w:szCs w:val="18"/>
              </w:rPr>
              <w:t>,</w:t>
            </w:r>
            <w:r w:rsidRPr="00965301">
              <w:rPr>
                <w:rStyle w:val="hps"/>
                <w:sz w:val="18"/>
                <w:szCs w:val="18"/>
              </w:rPr>
              <w:t xml:space="preserve"> aset dan liabilitas moneter dalam mata uang asing disesuaikan ke dalam Rupiah berdasarkan kurs rata</w:t>
            </w:r>
            <w:r w:rsidR="00037369" w:rsidRPr="00965301">
              <w:rPr>
                <w:rStyle w:val="hps"/>
                <w:sz w:val="18"/>
                <w:szCs w:val="18"/>
              </w:rPr>
              <w:t>-</w:t>
            </w:r>
            <w:r w:rsidRPr="00965301">
              <w:rPr>
                <w:rStyle w:val="hps"/>
                <w:sz w:val="18"/>
                <w:szCs w:val="18"/>
              </w:rPr>
              <w:t>rata Bank Indonesia yang berlaku pada tanggal tersebut. Laba atau rugi kurs yang terjadi</w:t>
            </w:r>
            <w:r w:rsidR="00870FD0">
              <w:rPr>
                <w:rStyle w:val="hps"/>
                <w:sz w:val="18"/>
                <w:szCs w:val="18"/>
              </w:rPr>
              <w:t>.</w:t>
            </w:r>
            <w:r w:rsidRPr="00965301">
              <w:rPr>
                <w:rStyle w:val="hps"/>
                <w:sz w:val="18"/>
                <w:szCs w:val="18"/>
              </w:rPr>
              <w:t xml:space="preserve"> </w:t>
            </w:r>
            <w:proofErr w:type="gramStart"/>
            <w:r w:rsidRPr="00965301">
              <w:rPr>
                <w:rStyle w:val="hps"/>
                <w:sz w:val="18"/>
                <w:szCs w:val="18"/>
              </w:rPr>
              <w:t>dikreditkan</w:t>
            </w:r>
            <w:proofErr w:type="gramEnd"/>
            <w:r w:rsidRPr="00965301">
              <w:rPr>
                <w:rStyle w:val="hps"/>
                <w:sz w:val="18"/>
                <w:szCs w:val="18"/>
              </w:rPr>
              <w:t xml:space="preserve"> atau dibebankan pada laba rugi tahun berjalan.</w:t>
            </w:r>
            <w:r w:rsidR="001C12BF" w:rsidRPr="00965301">
              <w:rPr>
                <w:rStyle w:val="hps"/>
                <w:sz w:val="18"/>
                <w:szCs w:val="18"/>
              </w:rPr>
              <w:t xml:space="preserve"> </w:t>
            </w:r>
          </w:p>
        </w:tc>
        <w:tc>
          <w:tcPr>
            <w:tcW w:w="4595" w:type="dxa"/>
            <w:gridSpan w:val="3"/>
          </w:tcPr>
          <w:p w14:paraId="7C949D5B" w14:textId="47E65B32" w:rsidR="00D33B7C" w:rsidRPr="00965301" w:rsidRDefault="00D33B7C" w:rsidP="00911A8A">
            <w:pPr>
              <w:tabs>
                <w:tab w:val="left" w:pos="5590"/>
                <w:tab w:val="right" w:pos="7620"/>
                <w:tab w:val="right" w:pos="9460"/>
                <w:tab w:val="right" w:pos="10080"/>
              </w:tabs>
              <w:ind w:left="567" w:right="-57"/>
              <w:jc w:val="both"/>
              <w:rPr>
                <w:sz w:val="18"/>
                <w:szCs w:val="18"/>
              </w:rPr>
            </w:pPr>
            <w:r w:rsidRPr="00965301">
              <w:rPr>
                <w:bCs w:val="0"/>
                <w:i/>
                <w:sz w:val="18"/>
                <w:szCs w:val="18"/>
              </w:rPr>
              <w:t xml:space="preserve">The books of accounts of the </w:t>
            </w:r>
            <w:r w:rsidR="002A66D1" w:rsidRPr="00965301">
              <w:rPr>
                <w:bCs w:val="0"/>
                <w:i/>
                <w:sz w:val="18"/>
                <w:szCs w:val="18"/>
              </w:rPr>
              <w:t>Group</w:t>
            </w:r>
            <w:r w:rsidR="00870FD0">
              <w:rPr>
                <w:bCs w:val="0"/>
                <w:i/>
                <w:sz w:val="18"/>
                <w:szCs w:val="18"/>
              </w:rPr>
              <w:t>.</w:t>
            </w:r>
            <w:r w:rsidRPr="00965301">
              <w:rPr>
                <w:bCs w:val="0"/>
                <w:i/>
                <w:sz w:val="18"/>
                <w:szCs w:val="18"/>
              </w:rPr>
              <w:t xml:space="preserve"> </w:t>
            </w:r>
            <w:proofErr w:type="gramStart"/>
            <w:r w:rsidRPr="00965301">
              <w:rPr>
                <w:bCs w:val="0"/>
                <w:i/>
                <w:sz w:val="18"/>
                <w:szCs w:val="18"/>
              </w:rPr>
              <w:t>except</w:t>
            </w:r>
            <w:proofErr w:type="gramEnd"/>
            <w:r w:rsidRPr="00965301">
              <w:rPr>
                <w:bCs w:val="0"/>
                <w:i/>
                <w:sz w:val="18"/>
                <w:szCs w:val="18"/>
              </w:rPr>
              <w:t xml:space="preserve"> for foreign subsidiary</w:t>
            </w:r>
            <w:r w:rsidR="00870FD0">
              <w:rPr>
                <w:bCs w:val="0"/>
                <w:i/>
                <w:sz w:val="18"/>
                <w:szCs w:val="18"/>
              </w:rPr>
              <w:t>.</w:t>
            </w:r>
            <w:r w:rsidRPr="00965301">
              <w:rPr>
                <w:bCs w:val="0"/>
                <w:i/>
                <w:sz w:val="18"/>
                <w:szCs w:val="18"/>
              </w:rPr>
              <w:t xml:space="preserve"> </w:t>
            </w:r>
            <w:proofErr w:type="gramStart"/>
            <w:r w:rsidRPr="00965301">
              <w:rPr>
                <w:bCs w:val="0"/>
                <w:i/>
                <w:sz w:val="18"/>
                <w:szCs w:val="18"/>
              </w:rPr>
              <w:t>are</w:t>
            </w:r>
            <w:proofErr w:type="gramEnd"/>
            <w:r w:rsidRPr="00965301">
              <w:rPr>
                <w:bCs w:val="0"/>
                <w:i/>
                <w:sz w:val="18"/>
                <w:szCs w:val="18"/>
              </w:rPr>
              <w:t xml:space="preserve"> main</w:t>
            </w:r>
            <w:r w:rsidR="00451B30" w:rsidRPr="00965301">
              <w:rPr>
                <w:bCs w:val="0"/>
                <w:i/>
                <w:sz w:val="18"/>
                <w:szCs w:val="18"/>
              </w:rPr>
              <w:t>tained in</w:t>
            </w:r>
            <w:r w:rsidR="00451B30" w:rsidRPr="00965301">
              <w:rPr>
                <w:bCs w:val="0"/>
                <w:i/>
                <w:sz w:val="18"/>
                <w:szCs w:val="18"/>
                <w:lang w:val="id-ID"/>
              </w:rPr>
              <w:t xml:space="preserve"> </w:t>
            </w:r>
            <w:r w:rsidRPr="00965301">
              <w:rPr>
                <w:bCs w:val="0"/>
                <w:i/>
                <w:sz w:val="18"/>
                <w:szCs w:val="18"/>
              </w:rPr>
              <w:t>Rupiah</w:t>
            </w:r>
            <w:r w:rsidR="00911A8A">
              <w:rPr>
                <w:bCs w:val="0"/>
                <w:i/>
                <w:sz w:val="18"/>
                <w:szCs w:val="18"/>
              </w:rPr>
              <w:t>,</w:t>
            </w:r>
            <w:r w:rsidRPr="00965301">
              <w:rPr>
                <w:bCs w:val="0"/>
                <w:i/>
                <w:sz w:val="18"/>
                <w:szCs w:val="18"/>
              </w:rPr>
              <w:t xml:space="preserve"> which is also the functional currency of the entities. Transactions involving foreign currencies are recorded at the rates of exchange prevailing at the time the transactions are made. At statement of financial position date</w:t>
            </w:r>
            <w:r w:rsidR="00870FD0">
              <w:rPr>
                <w:bCs w:val="0"/>
                <w:i/>
                <w:sz w:val="18"/>
                <w:szCs w:val="18"/>
              </w:rPr>
              <w:t>.</w:t>
            </w:r>
            <w:r w:rsidRPr="00965301">
              <w:rPr>
                <w:bCs w:val="0"/>
                <w:i/>
                <w:sz w:val="18"/>
                <w:szCs w:val="18"/>
              </w:rPr>
              <w:t xml:space="preserve"> </w:t>
            </w:r>
            <w:proofErr w:type="gramStart"/>
            <w:r w:rsidRPr="00965301">
              <w:rPr>
                <w:bCs w:val="0"/>
                <w:i/>
                <w:sz w:val="18"/>
                <w:szCs w:val="18"/>
              </w:rPr>
              <w:t>monetary</w:t>
            </w:r>
            <w:proofErr w:type="gramEnd"/>
            <w:r w:rsidRPr="00965301">
              <w:rPr>
                <w:bCs w:val="0"/>
                <w:i/>
                <w:sz w:val="18"/>
                <w:szCs w:val="18"/>
              </w:rPr>
              <w:t xml:space="preserve"> assets and liabilities denominated in foreign currencies are adjusted to Rupiah based on the average rates of exchange published by Bank Indonesia at that date. The resulting gains or losses are credited or charged to the current year operations.</w:t>
            </w:r>
            <w:r w:rsidR="001C12BF" w:rsidRPr="00965301">
              <w:rPr>
                <w:bCs w:val="0"/>
                <w:i/>
                <w:sz w:val="18"/>
                <w:szCs w:val="18"/>
              </w:rPr>
              <w:t xml:space="preserve"> </w:t>
            </w:r>
          </w:p>
        </w:tc>
      </w:tr>
      <w:tr w:rsidR="002C0333" w:rsidRPr="00CC2E72" w14:paraId="2FB2B564" w14:textId="77777777" w:rsidTr="00965301">
        <w:trPr>
          <w:gridAfter w:val="1"/>
          <w:wAfter w:w="9" w:type="dxa"/>
        </w:trPr>
        <w:tc>
          <w:tcPr>
            <w:tcW w:w="4593" w:type="dxa"/>
            <w:gridSpan w:val="3"/>
          </w:tcPr>
          <w:p w14:paraId="44B44795" w14:textId="77777777" w:rsidR="002C0333" w:rsidRPr="00CC2E72" w:rsidRDefault="002C0333" w:rsidP="0013526B">
            <w:pPr>
              <w:pStyle w:val="ListParagraph"/>
              <w:ind w:left="598"/>
              <w:contextualSpacing/>
              <w:jc w:val="both"/>
              <w:rPr>
                <w:rStyle w:val="hps"/>
                <w:b/>
                <w:sz w:val="14"/>
                <w:szCs w:val="14"/>
                <w:highlight w:val="cyan"/>
              </w:rPr>
            </w:pPr>
          </w:p>
        </w:tc>
        <w:tc>
          <w:tcPr>
            <w:tcW w:w="4595" w:type="dxa"/>
            <w:gridSpan w:val="3"/>
          </w:tcPr>
          <w:p w14:paraId="532AE57C" w14:textId="77777777" w:rsidR="002C0333" w:rsidRPr="00CC2E72" w:rsidRDefault="002C0333" w:rsidP="0013526B">
            <w:pPr>
              <w:pStyle w:val="ListParagraph"/>
              <w:ind w:left="662"/>
              <w:contextualSpacing/>
              <w:jc w:val="both"/>
              <w:rPr>
                <w:b/>
                <w:bCs w:val="0"/>
                <w:i/>
                <w:sz w:val="14"/>
                <w:szCs w:val="14"/>
                <w:highlight w:val="cyan"/>
              </w:rPr>
            </w:pPr>
          </w:p>
        </w:tc>
      </w:tr>
      <w:tr w:rsidR="00D33B7C" w:rsidRPr="00965301" w14:paraId="703A9D3A" w14:textId="77777777" w:rsidTr="00965301">
        <w:trPr>
          <w:gridAfter w:val="1"/>
          <w:wAfter w:w="9" w:type="dxa"/>
        </w:trPr>
        <w:tc>
          <w:tcPr>
            <w:tcW w:w="4593" w:type="dxa"/>
            <w:gridSpan w:val="3"/>
          </w:tcPr>
          <w:p w14:paraId="75E59404" w14:textId="21B12CB2" w:rsidR="00D33B7C" w:rsidRPr="00965301" w:rsidRDefault="00D33B7C" w:rsidP="00911A8A">
            <w:pPr>
              <w:ind w:left="567" w:right="-57"/>
              <w:jc w:val="both"/>
              <w:rPr>
                <w:bCs w:val="0"/>
                <w:sz w:val="18"/>
                <w:szCs w:val="18"/>
              </w:rPr>
            </w:pPr>
            <w:r w:rsidRPr="00965301">
              <w:rPr>
                <w:bCs w:val="0"/>
                <w:sz w:val="18"/>
                <w:szCs w:val="18"/>
              </w:rPr>
              <w:t xml:space="preserve">Kurs yang </w:t>
            </w:r>
            <w:r w:rsidRPr="00965301">
              <w:rPr>
                <w:rStyle w:val="hps"/>
                <w:sz w:val="18"/>
                <w:szCs w:val="18"/>
              </w:rPr>
              <w:t>digunakan</w:t>
            </w:r>
            <w:r w:rsidRPr="00965301">
              <w:rPr>
                <w:bCs w:val="0"/>
                <w:sz w:val="18"/>
                <w:szCs w:val="18"/>
              </w:rPr>
              <w:t xml:space="preserve"> adalah kurs tengah yang diumumkan oleh Bank Indonesia</w:t>
            </w:r>
            <w:r w:rsidR="00911A8A">
              <w:rPr>
                <w:bCs w:val="0"/>
                <w:sz w:val="18"/>
                <w:szCs w:val="18"/>
              </w:rPr>
              <w:t>,</w:t>
            </w:r>
            <w:r w:rsidRPr="00965301">
              <w:rPr>
                <w:bCs w:val="0"/>
                <w:sz w:val="18"/>
                <w:szCs w:val="18"/>
              </w:rPr>
              <w:t xml:space="preserve"> sebagai berikut:</w:t>
            </w:r>
          </w:p>
        </w:tc>
        <w:tc>
          <w:tcPr>
            <w:tcW w:w="4595" w:type="dxa"/>
            <w:gridSpan w:val="3"/>
          </w:tcPr>
          <w:p w14:paraId="036C63BB" w14:textId="223ECA4B" w:rsidR="00D33B7C" w:rsidRPr="00965301" w:rsidRDefault="00D33B7C" w:rsidP="00911A8A">
            <w:pPr>
              <w:tabs>
                <w:tab w:val="left" w:pos="5590"/>
                <w:tab w:val="right" w:pos="7620"/>
                <w:tab w:val="right" w:pos="9460"/>
                <w:tab w:val="right" w:pos="10080"/>
              </w:tabs>
              <w:ind w:left="567" w:right="-57"/>
              <w:jc w:val="both"/>
              <w:rPr>
                <w:bCs w:val="0"/>
                <w:i/>
                <w:sz w:val="18"/>
                <w:szCs w:val="18"/>
              </w:rPr>
            </w:pPr>
            <w:r w:rsidRPr="00965301">
              <w:rPr>
                <w:bCs w:val="0"/>
                <w:i/>
                <w:sz w:val="18"/>
                <w:szCs w:val="18"/>
              </w:rPr>
              <w:t>The exchange rates used are the middle exchange rate announced by Bank Indonesia</w:t>
            </w:r>
            <w:r w:rsidR="00911A8A">
              <w:rPr>
                <w:bCs w:val="0"/>
                <w:i/>
                <w:sz w:val="18"/>
                <w:szCs w:val="18"/>
              </w:rPr>
              <w:t>,</w:t>
            </w:r>
            <w:r w:rsidRPr="00965301">
              <w:rPr>
                <w:bCs w:val="0"/>
                <w:i/>
                <w:sz w:val="18"/>
                <w:szCs w:val="18"/>
              </w:rPr>
              <w:t xml:space="preserve"> as follows:</w:t>
            </w:r>
          </w:p>
        </w:tc>
      </w:tr>
      <w:tr w:rsidR="000B5000" w:rsidRPr="00CC2E72" w14:paraId="6765417B" w14:textId="77777777" w:rsidTr="00965301">
        <w:trPr>
          <w:gridAfter w:val="1"/>
          <w:wAfter w:w="9" w:type="dxa"/>
        </w:trPr>
        <w:tc>
          <w:tcPr>
            <w:tcW w:w="4593" w:type="dxa"/>
            <w:gridSpan w:val="3"/>
          </w:tcPr>
          <w:p w14:paraId="13AE9EED" w14:textId="77777777" w:rsidR="000B5000" w:rsidRPr="00CC2E72" w:rsidRDefault="000B5000" w:rsidP="0013526B">
            <w:pPr>
              <w:ind w:left="567"/>
              <w:jc w:val="both"/>
              <w:rPr>
                <w:bCs w:val="0"/>
                <w:sz w:val="14"/>
                <w:szCs w:val="14"/>
              </w:rPr>
            </w:pPr>
          </w:p>
        </w:tc>
        <w:tc>
          <w:tcPr>
            <w:tcW w:w="4595" w:type="dxa"/>
            <w:gridSpan w:val="3"/>
          </w:tcPr>
          <w:p w14:paraId="2D13B075" w14:textId="77777777" w:rsidR="000B5000" w:rsidRPr="00CC2E72" w:rsidRDefault="000B5000" w:rsidP="0013526B">
            <w:pPr>
              <w:tabs>
                <w:tab w:val="left" w:pos="5590"/>
                <w:tab w:val="right" w:pos="7620"/>
                <w:tab w:val="right" w:pos="9460"/>
                <w:tab w:val="right" w:pos="10080"/>
              </w:tabs>
              <w:ind w:left="567"/>
              <w:jc w:val="both"/>
              <w:rPr>
                <w:bCs w:val="0"/>
                <w:i/>
                <w:sz w:val="14"/>
                <w:szCs w:val="14"/>
              </w:rPr>
            </w:pPr>
          </w:p>
        </w:tc>
      </w:tr>
      <w:tr w:rsidR="00F74197" w:rsidRPr="00965301" w14:paraId="512FD542" w14:textId="77777777" w:rsidTr="00965301">
        <w:tc>
          <w:tcPr>
            <w:tcW w:w="2649" w:type="dxa"/>
          </w:tcPr>
          <w:p w14:paraId="328E08BD" w14:textId="77777777" w:rsidR="00F74197" w:rsidRPr="00965301" w:rsidRDefault="00F74197" w:rsidP="00F74197">
            <w:pPr>
              <w:ind w:left="601"/>
              <w:jc w:val="right"/>
              <w:rPr>
                <w:bCs w:val="0"/>
                <w:sz w:val="18"/>
                <w:szCs w:val="18"/>
              </w:rPr>
            </w:pPr>
            <w:r w:rsidRPr="00965301">
              <w:rPr>
                <w:sz w:val="18"/>
                <w:szCs w:val="18"/>
              </w:rPr>
              <w:br w:type="page"/>
            </w:r>
          </w:p>
        </w:tc>
        <w:tc>
          <w:tcPr>
            <w:tcW w:w="1798" w:type="dxa"/>
            <w:tcBorders>
              <w:bottom w:val="single" w:sz="4" w:space="0" w:color="auto"/>
            </w:tcBorders>
          </w:tcPr>
          <w:p w14:paraId="0DF21A92" w14:textId="3DC2059B" w:rsidR="00F74197" w:rsidRPr="00965301" w:rsidRDefault="006709D1" w:rsidP="00F74197">
            <w:pPr>
              <w:jc w:val="center"/>
              <w:rPr>
                <w:b/>
                <w:sz w:val="18"/>
                <w:szCs w:val="18"/>
              </w:rPr>
            </w:pPr>
            <w:r>
              <w:rPr>
                <w:b/>
                <w:sz w:val="18"/>
                <w:szCs w:val="18"/>
              </w:rPr>
              <w:t>31 Maret 2020</w:t>
            </w:r>
            <w:r w:rsidR="00F74197" w:rsidRPr="00965301">
              <w:rPr>
                <w:b/>
                <w:sz w:val="18"/>
                <w:szCs w:val="18"/>
              </w:rPr>
              <w:t>/</w:t>
            </w:r>
          </w:p>
          <w:p w14:paraId="1BF219B3" w14:textId="0152262B" w:rsidR="00F74197" w:rsidRPr="00965301" w:rsidRDefault="006709D1" w:rsidP="00F74197">
            <w:pPr>
              <w:jc w:val="center"/>
              <w:rPr>
                <w:bCs w:val="0"/>
                <w:i/>
                <w:iCs/>
                <w:sz w:val="18"/>
                <w:szCs w:val="18"/>
              </w:rPr>
            </w:pPr>
            <w:r>
              <w:rPr>
                <w:b/>
                <w:i/>
                <w:iCs/>
                <w:sz w:val="18"/>
                <w:szCs w:val="18"/>
              </w:rPr>
              <w:t>March</w:t>
            </w:r>
            <w:r w:rsidR="00F74197" w:rsidRPr="00965301">
              <w:rPr>
                <w:b/>
                <w:i/>
                <w:iCs/>
                <w:sz w:val="18"/>
                <w:szCs w:val="18"/>
              </w:rPr>
              <w:t xml:space="preserve"> 31</w:t>
            </w:r>
            <w:r w:rsidR="00870FD0">
              <w:rPr>
                <w:b/>
                <w:i/>
                <w:iCs/>
                <w:sz w:val="18"/>
                <w:szCs w:val="18"/>
              </w:rPr>
              <w:t>.</w:t>
            </w:r>
            <w:r w:rsidR="00F74197" w:rsidRPr="00965301">
              <w:rPr>
                <w:b/>
                <w:i/>
                <w:iCs/>
                <w:sz w:val="18"/>
                <w:szCs w:val="18"/>
              </w:rPr>
              <w:t xml:space="preserve"> 20</w:t>
            </w:r>
            <w:r>
              <w:rPr>
                <w:b/>
                <w:i/>
                <w:iCs/>
                <w:sz w:val="18"/>
                <w:szCs w:val="18"/>
              </w:rPr>
              <w:t>20</w:t>
            </w:r>
          </w:p>
        </w:tc>
        <w:tc>
          <w:tcPr>
            <w:tcW w:w="271" w:type="dxa"/>
            <w:gridSpan w:val="2"/>
          </w:tcPr>
          <w:p w14:paraId="31D0A685" w14:textId="77777777" w:rsidR="00F74197" w:rsidRPr="00965301" w:rsidRDefault="00F74197" w:rsidP="00F74197">
            <w:pPr>
              <w:widowControl w:val="0"/>
              <w:autoSpaceDE w:val="0"/>
              <w:autoSpaceDN w:val="0"/>
              <w:adjustRightInd w:val="0"/>
              <w:ind w:left="662" w:right="76"/>
              <w:jc w:val="both"/>
              <w:rPr>
                <w:bCs w:val="0"/>
                <w:i/>
                <w:sz w:val="18"/>
                <w:szCs w:val="18"/>
              </w:rPr>
            </w:pPr>
          </w:p>
        </w:tc>
        <w:tc>
          <w:tcPr>
            <w:tcW w:w="1798" w:type="dxa"/>
            <w:tcBorders>
              <w:bottom w:val="single" w:sz="4" w:space="0" w:color="auto"/>
            </w:tcBorders>
          </w:tcPr>
          <w:p w14:paraId="14C0A418" w14:textId="77777777" w:rsidR="006709D1" w:rsidRPr="00965301" w:rsidRDefault="006709D1" w:rsidP="006709D1">
            <w:pPr>
              <w:jc w:val="center"/>
              <w:rPr>
                <w:b/>
                <w:sz w:val="18"/>
                <w:szCs w:val="18"/>
              </w:rPr>
            </w:pPr>
            <w:r w:rsidRPr="00965301">
              <w:rPr>
                <w:b/>
                <w:sz w:val="18"/>
                <w:szCs w:val="18"/>
              </w:rPr>
              <w:t>31 Desember 2019/</w:t>
            </w:r>
          </w:p>
          <w:p w14:paraId="521AB016" w14:textId="52D16F17" w:rsidR="00F74197" w:rsidRPr="00965301" w:rsidRDefault="006709D1" w:rsidP="006709D1">
            <w:pPr>
              <w:widowControl w:val="0"/>
              <w:autoSpaceDE w:val="0"/>
              <w:autoSpaceDN w:val="0"/>
              <w:adjustRightInd w:val="0"/>
              <w:jc w:val="center"/>
              <w:rPr>
                <w:bCs w:val="0"/>
                <w:i/>
                <w:iCs/>
                <w:sz w:val="18"/>
                <w:szCs w:val="18"/>
              </w:rPr>
            </w:pPr>
            <w:r w:rsidRPr="00965301">
              <w:rPr>
                <w:b/>
                <w:i/>
                <w:iCs/>
                <w:sz w:val="18"/>
                <w:szCs w:val="18"/>
              </w:rPr>
              <w:t>December 31</w:t>
            </w:r>
            <w:r w:rsidR="00870FD0">
              <w:rPr>
                <w:b/>
                <w:i/>
                <w:iCs/>
                <w:sz w:val="18"/>
                <w:szCs w:val="18"/>
              </w:rPr>
              <w:t>.</w:t>
            </w:r>
            <w:r w:rsidRPr="00965301">
              <w:rPr>
                <w:b/>
                <w:i/>
                <w:iCs/>
                <w:sz w:val="18"/>
                <w:szCs w:val="18"/>
              </w:rPr>
              <w:t xml:space="preserve"> 2019</w:t>
            </w:r>
          </w:p>
        </w:tc>
        <w:tc>
          <w:tcPr>
            <w:tcW w:w="2681" w:type="dxa"/>
            <w:gridSpan w:val="2"/>
          </w:tcPr>
          <w:p w14:paraId="64E21AED" w14:textId="77777777" w:rsidR="00F74197" w:rsidRPr="00965301" w:rsidRDefault="00F74197" w:rsidP="00F74197">
            <w:pPr>
              <w:widowControl w:val="0"/>
              <w:autoSpaceDE w:val="0"/>
              <w:autoSpaceDN w:val="0"/>
              <w:adjustRightInd w:val="0"/>
              <w:ind w:left="662" w:right="76"/>
              <w:jc w:val="both"/>
              <w:rPr>
                <w:bCs w:val="0"/>
                <w:i/>
                <w:sz w:val="18"/>
                <w:szCs w:val="18"/>
              </w:rPr>
            </w:pPr>
          </w:p>
        </w:tc>
      </w:tr>
      <w:tr w:rsidR="00F74197" w:rsidRPr="00965301" w14:paraId="5CE2A1B9" w14:textId="77777777" w:rsidTr="00965301">
        <w:tc>
          <w:tcPr>
            <w:tcW w:w="2649" w:type="dxa"/>
          </w:tcPr>
          <w:p w14:paraId="331512AE" w14:textId="77777777" w:rsidR="00F74197" w:rsidRPr="00965301" w:rsidRDefault="00F74197" w:rsidP="00F74197">
            <w:pPr>
              <w:ind w:left="601"/>
              <w:jc w:val="right"/>
              <w:rPr>
                <w:bCs w:val="0"/>
                <w:sz w:val="8"/>
                <w:szCs w:val="18"/>
              </w:rPr>
            </w:pPr>
          </w:p>
        </w:tc>
        <w:tc>
          <w:tcPr>
            <w:tcW w:w="1798" w:type="dxa"/>
          </w:tcPr>
          <w:p w14:paraId="4A7A5E8C" w14:textId="77777777" w:rsidR="00F74197" w:rsidRPr="00965301" w:rsidRDefault="00F74197" w:rsidP="00F74197">
            <w:pPr>
              <w:ind w:left="601"/>
              <w:jc w:val="right"/>
              <w:rPr>
                <w:bCs w:val="0"/>
                <w:sz w:val="8"/>
                <w:szCs w:val="18"/>
              </w:rPr>
            </w:pPr>
          </w:p>
        </w:tc>
        <w:tc>
          <w:tcPr>
            <w:tcW w:w="271" w:type="dxa"/>
            <w:gridSpan w:val="2"/>
          </w:tcPr>
          <w:p w14:paraId="538A09AF" w14:textId="77777777" w:rsidR="00F74197" w:rsidRPr="00965301" w:rsidRDefault="00F74197" w:rsidP="00F74197">
            <w:pPr>
              <w:widowControl w:val="0"/>
              <w:autoSpaceDE w:val="0"/>
              <w:autoSpaceDN w:val="0"/>
              <w:adjustRightInd w:val="0"/>
              <w:ind w:left="662" w:right="76"/>
              <w:jc w:val="both"/>
              <w:rPr>
                <w:bCs w:val="0"/>
                <w:i/>
                <w:sz w:val="8"/>
                <w:szCs w:val="18"/>
              </w:rPr>
            </w:pPr>
          </w:p>
        </w:tc>
        <w:tc>
          <w:tcPr>
            <w:tcW w:w="1798" w:type="dxa"/>
          </w:tcPr>
          <w:p w14:paraId="71A25CD5" w14:textId="77777777" w:rsidR="00F74197" w:rsidRPr="00965301" w:rsidRDefault="00F74197" w:rsidP="00F74197">
            <w:pPr>
              <w:widowControl w:val="0"/>
              <w:autoSpaceDE w:val="0"/>
              <w:autoSpaceDN w:val="0"/>
              <w:adjustRightInd w:val="0"/>
              <w:ind w:left="662" w:right="76"/>
              <w:jc w:val="both"/>
              <w:rPr>
                <w:bCs w:val="0"/>
                <w:i/>
                <w:sz w:val="8"/>
                <w:szCs w:val="18"/>
              </w:rPr>
            </w:pPr>
          </w:p>
        </w:tc>
        <w:tc>
          <w:tcPr>
            <w:tcW w:w="2681" w:type="dxa"/>
            <w:gridSpan w:val="2"/>
          </w:tcPr>
          <w:p w14:paraId="7CD0448C" w14:textId="77777777" w:rsidR="00F74197" w:rsidRPr="00965301" w:rsidRDefault="00F74197" w:rsidP="00F74197">
            <w:pPr>
              <w:widowControl w:val="0"/>
              <w:autoSpaceDE w:val="0"/>
              <w:autoSpaceDN w:val="0"/>
              <w:adjustRightInd w:val="0"/>
              <w:ind w:left="662" w:right="76"/>
              <w:jc w:val="both"/>
              <w:rPr>
                <w:bCs w:val="0"/>
                <w:i/>
                <w:sz w:val="8"/>
                <w:szCs w:val="18"/>
              </w:rPr>
            </w:pPr>
          </w:p>
        </w:tc>
      </w:tr>
      <w:tr w:rsidR="00F74197" w:rsidRPr="00965301" w14:paraId="2B4CB137" w14:textId="77777777" w:rsidTr="00965301">
        <w:tc>
          <w:tcPr>
            <w:tcW w:w="2649" w:type="dxa"/>
          </w:tcPr>
          <w:p w14:paraId="7D632193" w14:textId="77777777" w:rsidR="00F74197" w:rsidRPr="00965301" w:rsidRDefault="00F74197" w:rsidP="00F74197">
            <w:pPr>
              <w:ind w:left="709" w:hanging="142"/>
              <w:rPr>
                <w:bCs w:val="0"/>
                <w:sz w:val="18"/>
                <w:szCs w:val="18"/>
              </w:rPr>
            </w:pPr>
            <w:r w:rsidRPr="00965301">
              <w:rPr>
                <w:bCs w:val="0"/>
                <w:sz w:val="18"/>
                <w:szCs w:val="18"/>
              </w:rPr>
              <w:t>Dolar Amerika Serikat (US$) 1</w:t>
            </w:r>
          </w:p>
        </w:tc>
        <w:tc>
          <w:tcPr>
            <w:tcW w:w="1798" w:type="dxa"/>
            <w:shd w:val="clear" w:color="auto" w:fill="auto"/>
            <w:vAlign w:val="bottom"/>
          </w:tcPr>
          <w:p w14:paraId="5F0C0FC4" w14:textId="368A882D" w:rsidR="00F74197" w:rsidRPr="00965301" w:rsidRDefault="00E259B2" w:rsidP="00F74197">
            <w:pPr>
              <w:widowControl w:val="0"/>
              <w:autoSpaceDE w:val="0"/>
              <w:autoSpaceDN w:val="0"/>
              <w:adjustRightInd w:val="0"/>
              <w:ind w:right="-28"/>
              <w:jc w:val="right"/>
              <w:rPr>
                <w:sz w:val="18"/>
                <w:szCs w:val="18"/>
                <w:lang w:val="en-ID"/>
              </w:rPr>
            </w:pPr>
            <w:r>
              <w:rPr>
                <w:sz w:val="18"/>
                <w:szCs w:val="18"/>
                <w:lang w:val="en-ID"/>
              </w:rPr>
              <w:t>16.367</w:t>
            </w:r>
          </w:p>
        </w:tc>
        <w:tc>
          <w:tcPr>
            <w:tcW w:w="271" w:type="dxa"/>
            <w:gridSpan w:val="2"/>
            <w:vAlign w:val="bottom"/>
          </w:tcPr>
          <w:p w14:paraId="6CC5CCB5" w14:textId="77777777" w:rsidR="00F74197" w:rsidRPr="00965301" w:rsidRDefault="00F74197" w:rsidP="00F74197">
            <w:pPr>
              <w:widowControl w:val="0"/>
              <w:autoSpaceDE w:val="0"/>
              <w:autoSpaceDN w:val="0"/>
              <w:adjustRightInd w:val="0"/>
              <w:jc w:val="right"/>
              <w:rPr>
                <w:sz w:val="18"/>
                <w:szCs w:val="18"/>
              </w:rPr>
            </w:pPr>
          </w:p>
        </w:tc>
        <w:tc>
          <w:tcPr>
            <w:tcW w:w="1798" w:type="dxa"/>
            <w:vAlign w:val="bottom"/>
          </w:tcPr>
          <w:p w14:paraId="7B4B3B47" w14:textId="4B9927CD" w:rsidR="00F74197" w:rsidRPr="00965301" w:rsidRDefault="006709D1" w:rsidP="00F74197">
            <w:pPr>
              <w:widowControl w:val="0"/>
              <w:autoSpaceDE w:val="0"/>
              <w:autoSpaceDN w:val="0"/>
              <w:adjustRightInd w:val="0"/>
              <w:ind w:right="-28"/>
              <w:jc w:val="right"/>
              <w:rPr>
                <w:sz w:val="18"/>
                <w:szCs w:val="18"/>
              </w:rPr>
            </w:pPr>
            <w:r w:rsidRPr="00965301">
              <w:rPr>
                <w:sz w:val="18"/>
                <w:szCs w:val="18"/>
                <w:lang w:val="en-ID"/>
              </w:rPr>
              <w:t>13.901</w:t>
            </w:r>
          </w:p>
        </w:tc>
        <w:tc>
          <w:tcPr>
            <w:tcW w:w="2681" w:type="dxa"/>
            <w:gridSpan w:val="2"/>
          </w:tcPr>
          <w:p w14:paraId="102E18FE" w14:textId="77777777" w:rsidR="00F74197" w:rsidRPr="00965301" w:rsidRDefault="00F74197" w:rsidP="00F74197">
            <w:pPr>
              <w:widowControl w:val="0"/>
              <w:autoSpaceDE w:val="0"/>
              <w:autoSpaceDN w:val="0"/>
              <w:adjustRightInd w:val="0"/>
              <w:ind w:right="-57"/>
              <w:jc w:val="right"/>
              <w:rPr>
                <w:i/>
                <w:iCs/>
                <w:spacing w:val="16"/>
                <w:sz w:val="18"/>
                <w:szCs w:val="18"/>
              </w:rPr>
            </w:pPr>
            <w:r w:rsidRPr="00965301">
              <w:rPr>
                <w:i/>
                <w:iCs/>
                <w:spacing w:val="-1"/>
                <w:sz w:val="18"/>
                <w:szCs w:val="18"/>
              </w:rPr>
              <w:t>United States Dollar</w:t>
            </w:r>
            <w:r w:rsidRPr="00965301">
              <w:rPr>
                <w:i/>
                <w:iCs/>
                <w:spacing w:val="16"/>
                <w:sz w:val="18"/>
                <w:szCs w:val="18"/>
              </w:rPr>
              <w:t xml:space="preserve"> </w:t>
            </w:r>
          </w:p>
          <w:p w14:paraId="53818809" w14:textId="77777777" w:rsidR="00F74197" w:rsidRPr="00965301" w:rsidRDefault="00F74197" w:rsidP="00F74197">
            <w:pPr>
              <w:widowControl w:val="0"/>
              <w:autoSpaceDE w:val="0"/>
              <w:autoSpaceDN w:val="0"/>
              <w:adjustRightInd w:val="0"/>
              <w:ind w:right="85"/>
              <w:jc w:val="right"/>
              <w:rPr>
                <w:bCs w:val="0"/>
                <w:i/>
                <w:sz w:val="18"/>
                <w:szCs w:val="18"/>
              </w:rPr>
            </w:pPr>
            <w:r w:rsidRPr="00965301">
              <w:rPr>
                <w:i/>
                <w:iCs/>
                <w:w w:val="102"/>
                <w:sz w:val="18"/>
                <w:szCs w:val="18"/>
              </w:rPr>
              <w:t>(US$) 1</w:t>
            </w:r>
          </w:p>
        </w:tc>
      </w:tr>
      <w:tr w:rsidR="000B5000" w:rsidRPr="00CC2E72" w14:paraId="5E6A637A" w14:textId="77777777" w:rsidTr="00965301">
        <w:tc>
          <w:tcPr>
            <w:tcW w:w="2649" w:type="dxa"/>
          </w:tcPr>
          <w:p w14:paraId="0E51F49F" w14:textId="77777777" w:rsidR="000B5000" w:rsidRPr="00CC2E72" w:rsidRDefault="000B5000" w:rsidP="0013526B">
            <w:pPr>
              <w:ind w:left="851" w:hanging="284"/>
              <w:rPr>
                <w:sz w:val="14"/>
                <w:szCs w:val="14"/>
              </w:rPr>
            </w:pPr>
          </w:p>
        </w:tc>
        <w:tc>
          <w:tcPr>
            <w:tcW w:w="1798" w:type="dxa"/>
            <w:vAlign w:val="bottom"/>
          </w:tcPr>
          <w:p w14:paraId="7922228B" w14:textId="77777777" w:rsidR="000B5000" w:rsidRPr="00CC2E72" w:rsidRDefault="000B5000" w:rsidP="0013526B">
            <w:pPr>
              <w:widowControl w:val="0"/>
              <w:autoSpaceDE w:val="0"/>
              <w:autoSpaceDN w:val="0"/>
              <w:adjustRightInd w:val="0"/>
              <w:ind w:right="-28"/>
              <w:jc w:val="right"/>
              <w:rPr>
                <w:spacing w:val="1"/>
                <w:w w:val="101"/>
                <w:sz w:val="14"/>
                <w:szCs w:val="14"/>
              </w:rPr>
            </w:pPr>
          </w:p>
        </w:tc>
        <w:tc>
          <w:tcPr>
            <w:tcW w:w="271" w:type="dxa"/>
            <w:gridSpan w:val="2"/>
            <w:vAlign w:val="bottom"/>
          </w:tcPr>
          <w:p w14:paraId="2D9423D6" w14:textId="77777777" w:rsidR="000B5000" w:rsidRPr="00CC2E72" w:rsidRDefault="000B5000" w:rsidP="0013526B">
            <w:pPr>
              <w:widowControl w:val="0"/>
              <w:autoSpaceDE w:val="0"/>
              <w:autoSpaceDN w:val="0"/>
              <w:adjustRightInd w:val="0"/>
              <w:jc w:val="right"/>
              <w:rPr>
                <w:sz w:val="14"/>
                <w:szCs w:val="14"/>
              </w:rPr>
            </w:pPr>
          </w:p>
        </w:tc>
        <w:tc>
          <w:tcPr>
            <w:tcW w:w="1798" w:type="dxa"/>
            <w:vAlign w:val="bottom"/>
          </w:tcPr>
          <w:p w14:paraId="272F8D9A" w14:textId="77777777" w:rsidR="000B5000" w:rsidRPr="00CC2E72" w:rsidRDefault="000B5000" w:rsidP="0013526B">
            <w:pPr>
              <w:widowControl w:val="0"/>
              <w:autoSpaceDE w:val="0"/>
              <w:autoSpaceDN w:val="0"/>
              <w:adjustRightInd w:val="0"/>
              <w:ind w:right="-28"/>
              <w:jc w:val="right"/>
              <w:rPr>
                <w:spacing w:val="1"/>
                <w:w w:val="101"/>
                <w:sz w:val="14"/>
                <w:szCs w:val="14"/>
              </w:rPr>
            </w:pPr>
          </w:p>
        </w:tc>
        <w:tc>
          <w:tcPr>
            <w:tcW w:w="2681" w:type="dxa"/>
            <w:gridSpan w:val="2"/>
          </w:tcPr>
          <w:p w14:paraId="66582403" w14:textId="77777777" w:rsidR="000B5000" w:rsidRPr="00CC2E72" w:rsidRDefault="000B5000" w:rsidP="0013526B">
            <w:pPr>
              <w:widowControl w:val="0"/>
              <w:autoSpaceDE w:val="0"/>
              <w:autoSpaceDN w:val="0"/>
              <w:adjustRightInd w:val="0"/>
              <w:jc w:val="right"/>
              <w:rPr>
                <w:i/>
                <w:iCs/>
                <w:sz w:val="14"/>
                <w:szCs w:val="14"/>
              </w:rPr>
            </w:pPr>
          </w:p>
        </w:tc>
      </w:tr>
      <w:tr w:rsidR="00344E2E" w:rsidRPr="0013526B" w14:paraId="4647B724" w14:textId="77777777" w:rsidTr="00965301">
        <w:trPr>
          <w:gridAfter w:val="1"/>
          <w:wAfter w:w="9" w:type="dxa"/>
        </w:trPr>
        <w:tc>
          <w:tcPr>
            <w:tcW w:w="4593" w:type="dxa"/>
            <w:gridSpan w:val="3"/>
          </w:tcPr>
          <w:p w14:paraId="327717BD" w14:textId="0908215E" w:rsidR="00344E2E" w:rsidRPr="00965301" w:rsidRDefault="004E2574" w:rsidP="0013526B">
            <w:pPr>
              <w:ind w:left="567" w:right="-57"/>
              <w:jc w:val="both"/>
              <w:rPr>
                <w:rStyle w:val="hps"/>
                <w:sz w:val="18"/>
                <w:szCs w:val="18"/>
              </w:rPr>
            </w:pPr>
            <w:r w:rsidRPr="00965301">
              <w:rPr>
                <w:sz w:val="18"/>
                <w:szCs w:val="18"/>
              </w:rPr>
              <w:br w:type="page"/>
            </w:r>
            <w:r w:rsidR="009456EB" w:rsidRPr="00965301">
              <w:rPr>
                <w:spacing w:val="-1"/>
                <w:sz w:val="18"/>
                <w:szCs w:val="18"/>
              </w:rPr>
              <w:t>S</w:t>
            </w:r>
            <w:r w:rsidR="009456EB" w:rsidRPr="00965301">
              <w:rPr>
                <w:sz w:val="18"/>
                <w:szCs w:val="18"/>
              </w:rPr>
              <w:t>e</w:t>
            </w:r>
            <w:r w:rsidR="009456EB" w:rsidRPr="00965301">
              <w:rPr>
                <w:spacing w:val="1"/>
                <w:sz w:val="18"/>
                <w:szCs w:val="18"/>
              </w:rPr>
              <w:t>l</w:t>
            </w:r>
            <w:r w:rsidR="009456EB" w:rsidRPr="00965301">
              <w:rPr>
                <w:spacing w:val="-1"/>
                <w:sz w:val="18"/>
                <w:szCs w:val="18"/>
              </w:rPr>
              <w:t>i</w:t>
            </w:r>
            <w:r w:rsidR="009456EB" w:rsidRPr="00965301">
              <w:rPr>
                <w:spacing w:val="1"/>
                <w:sz w:val="18"/>
                <w:szCs w:val="18"/>
              </w:rPr>
              <w:t>si</w:t>
            </w:r>
            <w:r w:rsidR="009456EB" w:rsidRPr="00965301">
              <w:rPr>
                <w:sz w:val="18"/>
                <w:szCs w:val="18"/>
              </w:rPr>
              <w:t>h</w:t>
            </w:r>
            <w:r w:rsidR="009456EB" w:rsidRPr="00965301">
              <w:rPr>
                <w:spacing w:val="6"/>
                <w:sz w:val="18"/>
                <w:szCs w:val="18"/>
              </w:rPr>
              <w:t xml:space="preserve"> </w:t>
            </w:r>
            <w:r w:rsidR="009456EB" w:rsidRPr="00965301">
              <w:rPr>
                <w:spacing w:val="3"/>
                <w:sz w:val="18"/>
                <w:szCs w:val="18"/>
              </w:rPr>
              <w:t>k</w:t>
            </w:r>
            <w:r w:rsidR="009456EB" w:rsidRPr="00965301">
              <w:rPr>
                <w:sz w:val="18"/>
                <w:szCs w:val="18"/>
              </w:rPr>
              <w:t>u</w:t>
            </w:r>
            <w:r w:rsidR="009456EB" w:rsidRPr="00965301">
              <w:rPr>
                <w:spacing w:val="-2"/>
                <w:sz w:val="18"/>
                <w:szCs w:val="18"/>
              </w:rPr>
              <w:t>r</w:t>
            </w:r>
            <w:r w:rsidR="009456EB" w:rsidRPr="00965301">
              <w:rPr>
                <w:sz w:val="18"/>
                <w:szCs w:val="18"/>
              </w:rPr>
              <w:t>s</w:t>
            </w:r>
            <w:r w:rsidR="009456EB" w:rsidRPr="00965301">
              <w:rPr>
                <w:spacing w:val="12"/>
                <w:sz w:val="18"/>
                <w:szCs w:val="18"/>
              </w:rPr>
              <w:t xml:space="preserve"> </w:t>
            </w:r>
            <w:r w:rsidR="009456EB" w:rsidRPr="00965301">
              <w:rPr>
                <w:spacing w:val="-6"/>
                <w:sz w:val="18"/>
                <w:szCs w:val="18"/>
              </w:rPr>
              <w:t>y</w:t>
            </w:r>
            <w:r w:rsidR="009456EB" w:rsidRPr="00965301">
              <w:rPr>
                <w:sz w:val="18"/>
                <w:szCs w:val="18"/>
              </w:rPr>
              <w:t>a</w:t>
            </w:r>
            <w:r w:rsidR="009456EB" w:rsidRPr="00965301">
              <w:rPr>
                <w:spacing w:val="1"/>
                <w:sz w:val="18"/>
                <w:szCs w:val="18"/>
              </w:rPr>
              <w:t>n</w:t>
            </w:r>
            <w:r w:rsidR="009456EB" w:rsidRPr="00965301">
              <w:rPr>
                <w:sz w:val="18"/>
                <w:szCs w:val="18"/>
              </w:rPr>
              <w:t>g</w:t>
            </w:r>
            <w:r w:rsidR="009456EB" w:rsidRPr="00965301">
              <w:rPr>
                <w:spacing w:val="7"/>
                <w:sz w:val="18"/>
                <w:szCs w:val="18"/>
              </w:rPr>
              <w:t xml:space="preserve"> </w:t>
            </w:r>
            <w:r w:rsidR="009456EB" w:rsidRPr="00965301">
              <w:rPr>
                <w:sz w:val="18"/>
                <w:szCs w:val="18"/>
              </w:rPr>
              <w:t>t</w:t>
            </w:r>
            <w:r w:rsidR="009456EB" w:rsidRPr="00965301">
              <w:rPr>
                <w:spacing w:val="-1"/>
                <w:sz w:val="18"/>
                <w:szCs w:val="18"/>
              </w:rPr>
              <w:t>i</w:t>
            </w:r>
            <w:r w:rsidR="009456EB" w:rsidRPr="00965301">
              <w:rPr>
                <w:spacing w:val="4"/>
                <w:sz w:val="18"/>
                <w:szCs w:val="18"/>
              </w:rPr>
              <w:t>m</w:t>
            </w:r>
            <w:r w:rsidR="009456EB" w:rsidRPr="00965301">
              <w:rPr>
                <w:sz w:val="18"/>
                <w:szCs w:val="18"/>
              </w:rPr>
              <w:t>b</w:t>
            </w:r>
            <w:r w:rsidR="009456EB" w:rsidRPr="00965301">
              <w:rPr>
                <w:spacing w:val="-1"/>
                <w:sz w:val="18"/>
                <w:szCs w:val="18"/>
              </w:rPr>
              <w:t>u</w:t>
            </w:r>
            <w:r w:rsidR="009456EB" w:rsidRPr="00965301">
              <w:rPr>
                <w:sz w:val="18"/>
                <w:szCs w:val="18"/>
              </w:rPr>
              <w:t>l</w:t>
            </w:r>
            <w:r w:rsidR="009456EB" w:rsidRPr="00965301">
              <w:rPr>
                <w:spacing w:val="5"/>
                <w:sz w:val="18"/>
                <w:szCs w:val="18"/>
              </w:rPr>
              <w:t xml:space="preserve"> </w:t>
            </w:r>
            <w:r w:rsidR="009456EB" w:rsidRPr="00965301">
              <w:rPr>
                <w:sz w:val="18"/>
                <w:szCs w:val="18"/>
              </w:rPr>
              <w:t>d</w:t>
            </w:r>
            <w:r w:rsidR="009456EB" w:rsidRPr="00965301">
              <w:rPr>
                <w:spacing w:val="1"/>
                <w:sz w:val="18"/>
                <w:szCs w:val="18"/>
              </w:rPr>
              <w:t>ar</w:t>
            </w:r>
            <w:r w:rsidR="009456EB" w:rsidRPr="00965301">
              <w:rPr>
                <w:sz w:val="18"/>
                <w:szCs w:val="18"/>
              </w:rPr>
              <w:t>i</w:t>
            </w:r>
            <w:r w:rsidR="009456EB" w:rsidRPr="00965301">
              <w:rPr>
                <w:spacing w:val="7"/>
                <w:sz w:val="18"/>
                <w:szCs w:val="18"/>
              </w:rPr>
              <w:t xml:space="preserve"> </w:t>
            </w:r>
            <w:r w:rsidR="009456EB" w:rsidRPr="00965301">
              <w:rPr>
                <w:sz w:val="18"/>
                <w:szCs w:val="18"/>
              </w:rPr>
              <w:t>p</w:t>
            </w:r>
            <w:r w:rsidR="009456EB" w:rsidRPr="00965301">
              <w:rPr>
                <w:spacing w:val="-1"/>
                <w:sz w:val="18"/>
                <w:szCs w:val="18"/>
              </w:rPr>
              <w:t>e</w:t>
            </w:r>
            <w:r w:rsidR="009456EB" w:rsidRPr="00965301">
              <w:rPr>
                <w:spacing w:val="4"/>
                <w:sz w:val="18"/>
                <w:szCs w:val="18"/>
              </w:rPr>
              <w:t>n</w:t>
            </w:r>
            <w:r w:rsidR="009456EB" w:rsidRPr="00965301">
              <w:rPr>
                <w:spacing w:val="-4"/>
                <w:sz w:val="18"/>
                <w:szCs w:val="18"/>
              </w:rPr>
              <w:t>y</w:t>
            </w:r>
            <w:r w:rsidR="009456EB" w:rsidRPr="00965301">
              <w:rPr>
                <w:sz w:val="18"/>
                <w:szCs w:val="18"/>
              </w:rPr>
              <w:t>e</w:t>
            </w:r>
            <w:r w:rsidR="009456EB" w:rsidRPr="00965301">
              <w:rPr>
                <w:spacing w:val="1"/>
                <w:sz w:val="18"/>
                <w:szCs w:val="18"/>
              </w:rPr>
              <w:t>l</w:t>
            </w:r>
            <w:r w:rsidR="009456EB" w:rsidRPr="00965301">
              <w:rPr>
                <w:sz w:val="18"/>
                <w:szCs w:val="18"/>
              </w:rPr>
              <w:t>e</w:t>
            </w:r>
            <w:r w:rsidR="009456EB" w:rsidRPr="00965301">
              <w:rPr>
                <w:spacing w:val="1"/>
                <w:sz w:val="18"/>
                <w:szCs w:val="18"/>
              </w:rPr>
              <w:t>s</w:t>
            </w:r>
            <w:r w:rsidR="009456EB" w:rsidRPr="00965301">
              <w:rPr>
                <w:sz w:val="18"/>
                <w:szCs w:val="18"/>
              </w:rPr>
              <w:t>a</w:t>
            </w:r>
            <w:r w:rsidR="009456EB" w:rsidRPr="00965301">
              <w:rPr>
                <w:spacing w:val="1"/>
                <w:sz w:val="18"/>
                <w:szCs w:val="18"/>
              </w:rPr>
              <w:t>i</w:t>
            </w:r>
            <w:r w:rsidR="009456EB" w:rsidRPr="00965301">
              <w:rPr>
                <w:sz w:val="18"/>
                <w:szCs w:val="18"/>
              </w:rPr>
              <w:t>an p</w:t>
            </w:r>
            <w:r w:rsidR="009456EB" w:rsidRPr="00965301">
              <w:rPr>
                <w:spacing w:val="-1"/>
                <w:sz w:val="18"/>
                <w:szCs w:val="18"/>
              </w:rPr>
              <w:t>o</w:t>
            </w:r>
            <w:r w:rsidR="009456EB" w:rsidRPr="00965301">
              <w:rPr>
                <w:sz w:val="18"/>
                <w:szCs w:val="18"/>
              </w:rPr>
              <w:t xml:space="preserve">s </w:t>
            </w:r>
            <w:r w:rsidR="009456EB" w:rsidRPr="00965301">
              <w:rPr>
                <w:spacing w:val="4"/>
                <w:sz w:val="18"/>
                <w:szCs w:val="18"/>
              </w:rPr>
              <w:t>m</w:t>
            </w:r>
            <w:r w:rsidR="009456EB" w:rsidRPr="00965301">
              <w:rPr>
                <w:sz w:val="18"/>
                <w:szCs w:val="18"/>
              </w:rPr>
              <w:t>o</w:t>
            </w:r>
            <w:r w:rsidR="009456EB" w:rsidRPr="00965301">
              <w:rPr>
                <w:spacing w:val="-1"/>
                <w:sz w:val="18"/>
                <w:szCs w:val="18"/>
              </w:rPr>
              <w:t>n</w:t>
            </w:r>
            <w:r w:rsidR="009456EB" w:rsidRPr="00965301">
              <w:rPr>
                <w:sz w:val="18"/>
                <w:szCs w:val="18"/>
              </w:rPr>
              <w:t>et</w:t>
            </w:r>
            <w:r w:rsidR="009456EB" w:rsidRPr="00965301">
              <w:rPr>
                <w:spacing w:val="-1"/>
                <w:sz w:val="18"/>
                <w:szCs w:val="18"/>
              </w:rPr>
              <w:t>e</w:t>
            </w:r>
            <w:r w:rsidR="009456EB" w:rsidRPr="00965301">
              <w:rPr>
                <w:sz w:val="18"/>
                <w:szCs w:val="18"/>
              </w:rPr>
              <w:t>r</w:t>
            </w:r>
            <w:r w:rsidR="009456EB" w:rsidRPr="00965301">
              <w:rPr>
                <w:spacing w:val="4"/>
                <w:sz w:val="18"/>
                <w:szCs w:val="18"/>
              </w:rPr>
              <w:t xml:space="preserve"> </w:t>
            </w:r>
            <w:r w:rsidR="009456EB" w:rsidRPr="00965301">
              <w:rPr>
                <w:sz w:val="18"/>
                <w:szCs w:val="18"/>
              </w:rPr>
              <w:t>d</w:t>
            </w:r>
            <w:r w:rsidR="009456EB" w:rsidRPr="00965301">
              <w:rPr>
                <w:spacing w:val="-1"/>
                <w:sz w:val="18"/>
                <w:szCs w:val="18"/>
              </w:rPr>
              <w:t>a</w:t>
            </w:r>
            <w:r w:rsidR="009456EB" w:rsidRPr="00965301">
              <w:rPr>
                <w:sz w:val="18"/>
                <w:szCs w:val="18"/>
              </w:rPr>
              <w:t>n</w:t>
            </w:r>
            <w:r w:rsidR="009456EB" w:rsidRPr="00965301">
              <w:rPr>
                <w:spacing w:val="9"/>
                <w:sz w:val="18"/>
                <w:szCs w:val="18"/>
              </w:rPr>
              <w:t xml:space="preserve"> </w:t>
            </w:r>
            <w:r w:rsidR="009456EB" w:rsidRPr="00965301">
              <w:rPr>
                <w:sz w:val="18"/>
                <w:szCs w:val="18"/>
              </w:rPr>
              <w:t>d</w:t>
            </w:r>
            <w:r w:rsidR="009456EB" w:rsidRPr="00965301">
              <w:rPr>
                <w:spacing w:val="-1"/>
                <w:sz w:val="18"/>
                <w:szCs w:val="18"/>
              </w:rPr>
              <w:t>a</w:t>
            </w:r>
            <w:r w:rsidR="009456EB" w:rsidRPr="00965301">
              <w:rPr>
                <w:spacing w:val="1"/>
                <w:sz w:val="18"/>
                <w:szCs w:val="18"/>
              </w:rPr>
              <w:t>r</w:t>
            </w:r>
            <w:r w:rsidR="009456EB" w:rsidRPr="00965301">
              <w:rPr>
                <w:sz w:val="18"/>
                <w:szCs w:val="18"/>
              </w:rPr>
              <w:t>i</w:t>
            </w:r>
            <w:r w:rsidR="009456EB" w:rsidRPr="00965301">
              <w:rPr>
                <w:spacing w:val="8"/>
                <w:sz w:val="18"/>
                <w:szCs w:val="18"/>
              </w:rPr>
              <w:t xml:space="preserve"> </w:t>
            </w:r>
            <w:r w:rsidR="009456EB" w:rsidRPr="00965301">
              <w:rPr>
                <w:bCs w:val="0"/>
                <w:sz w:val="18"/>
                <w:szCs w:val="18"/>
              </w:rPr>
              <w:t>penjabaran</w:t>
            </w:r>
            <w:r w:rsidR="009456EB" w:rsidRPr="00965301">
              <w:rPr>
                <w:sz w:val="18"/>
                <w:szCs w:val="18"/>
              </w:rPr>
              <w:t xml:space="preserve"> </w:t>
            </w:r>
            <w:r w:rsidR="009456EB" w:rsidRPr="00965301">
              <w:rPr>
                <w:spacing w:val="2"/>
                <w:sz w:val="18"/>
                <w:szCs w:val="18"/>
              </w:rPr>
              <w:t>p</w:t>
            </w:r>
            <w:r w:rsidR="009456EB" w:rsidRPr="00965301">
              <w:rPr>
                <w:sz w:val="18"/>
                <w:szCs w:val="18"/>
              </w:rPr>
              <w:t>os</w:t>
            </w:r>
            <w:r w:rsidR="009456EB" w:rsidRPr="00965301">
              <w:rPr>
                <w:spacing w:val="8"/>
                <w:sz w:val="18"/>
                <w:szCs w:val="18"/>
              </w:rPr>
              <w:t xml:space="preserve"> </w:t>
            </w:r>
            <w:r w:rsidR="009456EB" w:rsidRPr="00965301">
              <w:rPr>
                <w:spacing w:val="4"/>
                <w:sz w:val="18"/>
                <w:szCs w:val="18"/>
              </w:rPr>
              <w:t>m</w:t>
            </w:r>
            <w:r w:rsidR="009456EB" w:rsidRPr="00965301">
              <w:rPr>
                <w:sz w:val="18"/>
                <w:szCs w:val="18"/>
              </w:rPr>
              <w:t>o</w:t>
            </w:r>
            <w:r w:rsidR="009456EB" w:rsidRPr="00965301">
              <w:rPr>
                <w:spacing w:val="-1"/>
                <w:sz w:val="18"/>
                <w:szCs w:val="18"/>
              </w:rPr>
              <w:t>n</w:t>
            </w:r>
            <w:r w:rsidR="009456EB" w:rsidRPr="00965301">
              <w:rPr>
                <w:sz w:val="18"/>
                <w:szCs w:val="18"/>
              </w:rPr>
              <w:t>et</w:t>
            </w:r>
            <w:r w:rsidR="009456EB" w:rsidRPr="00965301">
              <w:rPr>
                <w:spacing w:val="-1"/>
                <w:sz w:val="18"/>
                <w:szCs w:val="18"/>
              </w:rPr>
              <w:t>e</w:t>
            </w:r>
            <w:r w:rsidR="009456EB" w:rsidRPr="00965301">
              <w:rPr>
                <w:sz w:val="18"/>
                <w:szCs w:val="18"/>
              </w:rPr>
              <w:t>r d</w:t>
            </w:r>
            <w:r w:rsidR="009456EB" w:rsidRPr="00965301">
              <w:rPr>
                <w:spacing w:val="-1"/>
                <w:sz w:val="18"/>
                <w:szCs w:val="18"/>
              </w:rPr>
              <w:t>a</w:t>
            </w:r>
            <w:r w:rsidR="009456EB" w:rsidRPr="00965301">
              <w:rPr>
                <w:spacing w:val="1"/>
                <w:sz w:val="18"/>
                <w:szCs w:val="18"/>
              </w:rPr>
              <w:t>l</w:t>
            </w:r>
            <w:r w:rsidR="009456EB" w:rsidRPr="00965301">
              <w:rPr>
                <w:sz w:val="18"/>
                <w:szCs w:val="18"/>
              </w:rPr>
              <w:t>am</w:t>
            </w:r>
            <w:r w:rsidR="009456EB" w:rsidRPr="00965301">
              <w:rPr>
                <w:spacing w:val="-4"/>
                <w:sz w:val="18"/>
                <w:szCs w:val="18"/>
              </w:rPr>
              <w:t xml:space="preserve"> </w:t>
            </w:r>
            <w:r w:rsidR="009456EB" w:rsidRPr="00965301">
              <w:rPr>
                <w:spacing w:val="4"/>
                <w:sz w:val="18"/>
                <w:szCs w:val="18"/>
              </w:rPr>
              <w:t>m</w:t>
            </w:r>
            <w:r w:rsidR="009456EB" w:rsidRPr="00965301">
              <w:rPr>
                <w:sz w:val="18"/>
                <w:szCs w:val="18"/>
              </w:rPr>
              <w:t>ata</w:t>
            </w:r>
            <w:r w:rsidR="009456EB" w:rsidRPr="00965301">
              <w:rPr>
                <w:spacing w:val="-5"/>
                <w:sz w:val="18"/>
                <w:szCs w:val="18"/>
              </w:rPr>
              <w:t xml:space="preserve"> </w:t>
            </w:r>
            <w:r w:rsidR="009456EB" w:rsidRPr="00965301">
              <w:rPr>
                <w:sz w:val="18"/>
                <w:szCs w:val="18"/>
              </w:rPr>
              <w:t>u</w:t>
            </w:r>
            <w:r w:rsidR="009456EB" w:rsidRPr="00965301">
              <w:rPr>
                <w:spacing w:val="-1"/>
                <w:sz w:val="18"/>
                <w:szCs w:val="18"/>
              </w:rPr>
              <w:t>a</w:t>
            </w:r>
            <w:r w:rsidR="009456EB" w:rsidRPr="00965301">
              <w:rPr>
                <w:sz w:val="18"/>
                <w:szCs w:val="18"/>
              </w:rPr>
              <w:t>ng</w:t>
            </w:r>
            <w:r w:rsidR="009456EB" w:rsidRPr="00965301">
              <w:rPr>
                <w:spacing w:val="-5"/>
                <w:sz w:val="18"/>
                <w:szCs w:val="18"/>
              </w:rPr>
              <w:t xml:space="preserve"> </w:t>
            </w:r>
            <w:r w:rsidR="009456EB" w:rsidRPr="00965301">
              <w:rPr>
                <w:sz w:val="18"/>
                <w:szCs w:val="18"/>
              </w:rPr>
              <w:t>a</w:t>
            </w:r>
            <w:r w:rsidR="009456EB" w:rsidRPr="00965301">
              <w:rPr>
                <w:spacing w:val="3"/>
                <w:sz w:val="18"/>
                <w:szCs w:val="18"/>
              </w:rPr>
              <w:t>s</w:t>
            </w:r>
            <w:r w:rsidR="009456EB" w:rsidRPr="00965301">
              <w:rPr>
                <w:spacing w:val="-1"/>
                <w:sz w:val="18"/>
                <w:szCs w:val="18"/>
              </w:rPr>
              <w:t>i</w:t>
            </w:r>
            <w:r w:rsidR="009456EB" w:rsidRPr="00965301">
              <w:rPr>
                <w:sz w:val="18"/>
                <w:szCs w:val="18"/>
              </w:rPr>
              <w:t>ng</w:t>
            </w:r>
            <w:r w:rsidR="009456EB" w:rsidRPr="00965301">
              <w:rPr>
                <w:spacing w:val="-4"/>
                <w:sz w:val="18"/>
                <w:szCs w:val="18"/>
              </w:rPr>
              <w:t xml:space="preserve"> </w:t>
            </w:r>
            <w:r w:rsidR="009456EB" w:rsidRPr="00965301">
              <w:rPr>
                <w:sz w:val="18"/>
                <w:szCs w:val="18"/>
              </w:rPr>
              <w:t>d</w:t>
            </w:r>
            <w:r w:rsidR="009456EB" w:rsidRPr="00965301">
              <w:rPr>
                <w:spacing w:val="3"/>
                <w:sz w:val="18"/>
                <w:szCs w:val="18"/>
              </w:rPr>
              <w:t>i</w:t>
            </w:r>
            <w:r w:rsidR="009456EB" w:rsidRPr="00965301">
              <w:rPr>
                <w:spacing w:val="2"/>
                <w:sz w:val="18"/>
                <w:szCs w:val="18"/>
              </w:rPr>
              <w:t>a</w:t>
            </w:r>
            <w:r w:rsidR="009456EB" w:rsidRPr="00965301">
              <w:rPr>
                <w:spacing w:val="3"/>
                <w:sz w:val="18"/>
                <w:szCs w:val="18"/>
              </w:rPr>
              <w:t>k</w:t>
            </w:r>
            <w:r w:rsidR="009456EB" w:rsidRPr="00965301">
              <w:rPr>
                <w:sz w:val="18"/>
                <w:szCs w:val="18"/>
              </w:rPr>
              <w:t>ui</w:t>
            </w:r>
            <w:r w:rsidR="009456EB" w:rsidRPr="00965301">
              <w:rPr>
                <w:spacing w:val="-6"/>
                <w:sz w:val="18"/>
                <w:szCs w:val="18"/>
              </w:rPr>
              <w:t xml:space="preserve"> </w:t>
            </w:r>
            <w:r w:rsidR="009456EB" w:rsidRPr="00965301">
              <w:rPr>
                <w:sz w:val="18"/>
                <w:szCs w:val="18"/>
              </w:rPr>
              <w:t>d</w:t>
            </w:r>
            <w:r w:rsidR="009456EB" w:rsidRPr="00965301">
              <w:rPr>
                <w:spacing w:val="-1"/>
                <w:sz w:val="18"/>
                <w:szCs w:val="18"/>
              </w:rPr>
              <w:t>al</w:t>
            </w:r>
            <w:r w:rsidR="009456EB" w:rsidRPr="00965301">
              <w:rPr>
                <w:sz w:val="18"/>
                <w:szCs w:val="18"/>
              </w:rPr>
              <w:t>am</w:t>
            </w:r>
            <w:r w:rsidR="009456EB" w:rsidRPr="00965301">
              <w:rPr>
                <w:spacing w:val="-1"/>
                <w:sz w:val="18"/>
                <w:szCs w:val="18"/>
              </w:rPr>
              <w:t xml:space="preserve"> </w:t>
            </w:r>
            <w:r w:rsidR="00670633" w:rsidRPr="00965301">
              <w:rPr>
                <w:spacing w:val="-1"/>
                <w:sz w:val="18"/>
                <w:szCs w:val="18"/>
              </w:rPr>
              <w:t xml:space="preserve">laporan </w:t>
            </w:r>
            <w:r w:rsidR="009456EB" w:rsidRPr="00965301">
              <w:rPr>
                <w:spacing w:val="-1"/>
                <w:sz w:val="18"/>
                <w:szCs w:val="18"/>
              </w:rPr>
              <w:t>l</w:t>
            </w:r>
            <w:r w:rsidR="009456EB" w:rsidRPr="00965301">
              <w:rPr>
                <w:sz w:val="18"/>
                <w:szCs w:val="18"/>
              </w:rPr>
              <w:t>a</w:t>
            </w:r>
            <w:r w:rsidR="009456EB" w:rsidRPr="00965301">
              <w:rPr>
                <w:spacing w:val="-1"/>
                <w:sz w:val="18"/>
                <w:szCs w:val="18"/>
              </w:rPr>
              <w:t>b</w:t>
            </w:r>
            <w:r w:rsidR="009456EB" w:rsidRPr="00965301">
              <w:rPr>
                <w:sz w:val="18"/>
                <w:szCs w:val="18"/>
              </w:rPr>
              <w:t>a</w:t>
            </w:r>
            <w:r w:rsidR="009456EB" w:rsidRPr="00965301">
              <w:rPr>
                <w:spacing w:val="-2"/>
                <w:sz w:val="18"/>
                <w:szCs w:val="18"/>
              </w:rPr>
              <w:t xml:space="preserve"> </w:t>
            </w:r>
            <w:r w:rsidR="009456EB" w:rsidRPr="00965301">
              <w:rPr>
                <w:sz w:val="18"/>
                <w:szCs w:val="18"/>
              </w:rPr>
              <w:t>ru</w:t>
            </w:r>
            <w:r w:rsidR="009456EB" w:rsidRPr="00965301">
              <w:rPr>
                <w:spacing w:val="1"/>
                <w:sz w:val="18"/>
                <w:szCs w:val="18"/>
              </w:rPr>
              <w:t>g</w:t>
            </w:r>
            <w:r w:rsidR="009456EB" w:rsidRPr="00965301">
              <w:rPr>
                <w:spacing w:val="-1"/>
                <w:sz w:val="18"/>
                <w:szCs w:val="18"/>
              </w:rPr>
              <w:t>i</w:t>
            </w:r>
            <w:r w:rsidR="00670633" w:rsidRPr="00965301">
              <w:rPr>
                <w:spacing w:val="-1"/>
                <w:sz w:val="18"/>
                <w:szCs w:val="18"/>
              </w:rPr>
              <w:t xml:space="preserve"> dan penghasilan komprehensif lain</w:t>
            </w:r>
            <w:r w:rsidR="006A69BB" w:rsidRPr="00965301">
              <w:rPr>
                <w:sz w:val="18"/>
                <w:szCs w:val="18"/>
              </w:rPr>
              <w:t xml:space="preserve"> konsolidasian.</w:t>
            </w:r>
          </w:p>
        </w:tc>
        <w:tc>
          <w:tcPr>
            <w:tcW w:w="4595" w:type="dxa"/>
            <w:gridSpan w:val="3"/>
          </w:tcPr>
          <w:p w14:paraId="1DD66E07" w14:textId="133705B6" w:rsidR="00344E2E" w:rsidRPr="00965301" w:rsidRDefault="009456EB" w:rsidP="0013526B">
            <w:pPr>
              <w:tabs>
                <w:tab w:val="left" w:pos="5590"/>
                <w:tab w:val="right" w:pos="7620"/>
                <w:tab w:val="right" w:pos="9460"/>
                <w:tab w:val="right" w:pos="10080"/>
              </w:tabs>
              <w:ind w:left="567" w:right="-57"/>
              <w:jc w:val="both"/>
              <w:rPr>
                <w:bCs w:val="0"/>
                <w:i/>
                <w:sz w:val="18"/>
                <w:szCs w:val="18"/>
              </w:rPr>
            </w:pPr>
            <w:r w:rsidRPr="00965301">
              <w:rPr>
                <w:bCs w:val="0"/>
                <w:i/>
                <w:sz w:val="18"/>
                <w:szCs w:val="18"/>
              </w:rPr>
              <w:t xml:space="preserve">Exchange differences arising on the settlement of monetary items or on translating monetary items in foreign currencies are recognized in </w:t>
            </w:r>
            <w:r w:rsidR="006A69BB" w:rsidRPr="00965301">
              <w:rPr>
                <w:bCs w:val="0"/>
                <w:i/>
                <w:sz w:val="18"/>
                <w:szCs w:val="18"/>
              </w:rPr>
              <w:t xml:space="preserve">consolidated </w:t>
            </w:r>
            <w:r w:rsidR="00670633" w:rsidRPr="00965301">
              <w:rPr>
                <w:bCs w:val="0"/>
                <w:i/>
                <w:sz w:val="18"/>
                <w:szCs w:val="18"/>
              </w:rPr>
              <w:t xml:space="preserve">statement of </w:t>
            </w:r>
            <w:r w:rsidRPr="00965301">
              <w:rPr>
                <w:bCs w:val="0"/>
                <w:i/>
                <w:sz w:val="18"/>
                <w:szCs w:val="18"/>
              </w:rPr>
              <w:t>profit or loss</w:t>
            </w:r>
            <w:r w:rsidR="00670633" w:rsidRPr="00965301">
              <w:rPr>
                <w:bCs w:val="0"/>
                <w:i/>
                <w:sz w:val="18"/>
                <w:szCs w:val="18"/>
              </w:rPr>
              <w:t xml:space="preserve"> and other comprehensive income</w:t>
            </w:r>
            <w:r w:rsidR="006A69BB" w:rsidRPr="00965301">
              <w:rPr>
                <w:bCs w:val="0"/>
                <w:i/>
                <w:sz w:val="18"/>
                <w:szCs w:val="18"/>
              </w:rPr>
              <w:t>.</w:t>
            </w:r>
          </w:p>
        </w:tc>
      </w:tr>
    </w:tbl>
    <w:p w14:paraId="48A56638" w14:textId="77777777" w:rsidR="00497B24" w:rsidRDefault="00497B24">
      <w:pPr>
        <w:rPr>
          <w:sz w:val="4"/>
          <w:szCs w:val="4"/>
        </w:rPr>
      </w:pPr>
    </w:p>
    <w:p w14:paraId="0C4F55C7" w14:textId="77777777" w:rsidR="00497B24" w:rsidRDefault="00497B24">
      <w:pPr>
        <w:rPr>
          <w:sz w:val="4"/>
          <w:szCs w:val="4"/>
        </w:rPr>
      </w:pPr>
    </w:p>
    <w:p w14:paraId="5A9A6831" w14:textId="77777777" w:rsidR="00497B24" w:rsidRDefault="00497B24">
      <w:pPr>
        <w:rPr>
          <w:sz w:val="4"/>
          <w:szCs w:val="4"/>
        </w:rPr>
      </w:pPr>
    </w:p>
    <w:p w14:paraId="6A84194C" w14:textId="77F7D6A9" w:rsidR="00497B24" w:rsidRPr="00497B24" w:rsidRDefault="00497B24">
      <w:pPr>
        <w:rPr>
          <w:sz w:val="4"/>
          <w:szCs w:val="4"/>
        </w:rPr>
      </w:pPr>
      <w:r>
        <w:rPr>
          <w:sz w:val="4"/>
          <w:szCs w:val="4"/>
        </w:rPr>
        <w:br w:type="page"/>
      </w:r>
    </w:p>
    <w:tbl>
      <w:tblPr>
        <w:tblW w:w="9197" w:type="dxa"/>
        <w:tblInd w:w="392" w:type="dxa"/>
        <w:tblLayout w:type="fixed"/>
        <w:tblLook w:val="0000" w:firstRow="0" w:lastRow="0" w:firstColumn="0" w:lastColumn="0" w:noHBand="0" w:noVBand="0"/>
      </w:tblPr>
      <w:tblGrid>
        <w:gridCol w:w="4598"/>
        <w:gridCol w:w="4599"/>
      </w:tblGrid>
      <w:tr w:rsidR="007E667A" w:rsidRPr="00965301" w14:paraId="79A88A50" w14:textId="77777777" w:rsidTr="00BE6E3D">
        <w:tc>
          <w:tcPr>
            <w:tcW w:w="4707" w:type="dxa"/>
          </w:tcPr>
          <w:p w14:paraId="525F5C29" w14:textId="5697457F" w:rsidR="007E667A" w:rsidRPr="00965301" w:rsidRDefault="007E667A" w:rsidP="005F361E">
            <w:pPr>
              <w:pStyle w:val="ListParagraph"/>
              <w:numPr>
                <w:ilvl w:val="0"/>
                <w:numId w:val="50"/>
              </w:numPr>
              <w:ind w:left="284" w:right="-57" w:hanging="284"/>
              <w:contextualSpacing/>
              <w:jc w:val="both"/>
              <w:rPr>
                <w:rStyle w:val="hps"/>
                <w:b/>
                <w:sz w:val="18"/>
                <w:szCs w:val="18"/>
              </w:rPr>
            </w:pPr>
            <w:r w:rsidRPr="00965301">
              <w:rPr>
                <w:rStyle w:val="hps"/>
                <w:b/>
                <w:sz w:val="18"/>
                <w:szCs w:val="18"/>
              </w:rPr>
              <w:lastRenderedPageBreak/>
              <w:t xml:space="preserve">IKHTISAR KEBIJAKAN AKUNTANSI </w:t>
            </w:r>
            <w:r w:rsidR="00C85EDE" w:rsidRPr="00965301">
              <w:rPr>
                <w:rStyle w:val="hps"/>
                <w:b/>
                <w:sz w:val="18"/>
                <w:szCs w:val="18"/>
                <w:lang w:val="id-ID"/>
              </w:rPr>
              <w:t xml:space="preserve">YANG </w:t>
            </w:r>
            <w:r w:rsidRPr="00965301">
              <w:rPr>
                <w:rStyle w:val="hps"/>
                <w:b/>
                <w:sz w:val="18"/>
                <w:szCs w:val="18"/>
              </w:rPr>
              <w:t xml:space="preserve">PENTING </w:t>
            </w:r>
            <w:r w:rsidR="006A69BB" w:rsidRPr="00965301">
              <w:rPr>
                <w:rStyle w:val="hps"/>
                <w:b/>
                <w:sz w:val="18"/>
                <w:szCs w:val="18"/>
                <w:lang w:val="id-ID"/>
              </w:rPr>
              <w:t>-</w:t>
            </w:r>
            <w:r w:rsidRPr="00965301">
              <w:rPr>
                <w:rStyle w:val="hps"/>
                <w:b/>
                <w:sz w:val="18"/>
                <w:szCs w:val="18"/>
              </w:rPr>
              <w:t xml:space="preserve"> Lanjutan</w:t>
            </w:r>
          </w:p>
        </w:tc>
        <w:tc>
          <w:tcPr>
            <w:tcW w:w="4709" w:type="dxa"/>
          </w:tcPr>
          <w:p w14:paraId="2F5F64BE" w14:textId="60B3C4BE" w:rsidR="007E667A" w:rsidRPr="00965301" w:rsidRDefault="007E667A" w:rsidP="005F361E">
            <w:pPr>
              <w:pStyle w:val="ListParagraph"/>
              <w:numPr>
                <w:ilvl w:val="0"/>
                <w:numId w:val="51"/>
              </w:numPr>
              <w:ind w:left="284" w:right="-57" w:hanging="284"/>
              <w:contextualSpacing/>
              <w:jc w:val="both"/>
              <w:rPr>
                <w:b/>
                <w:bCs w:val="0"/>
                <w:i/>
                <w:sz w:val="18"/>
                <w:szCs w:val="18"/>
              </w:rPr>
            </w:pPr>
            <w:r w:rsidRPr="00965301">
              <w:rPr>
                <w:b/>
                <w:i/>
                <w:sz w:val="18"/>
                <w:szCs w:val="18"/>
              </w:rPr>
              <w:t xml:space="preserve">SUMMARY OF SIGNIFICANT ACCOUNTING POLICIES </w:t>
            </w:r>
            <w:r w:rsidR="00CC2E72">
              <w:rPr>
                <w:b/>
                <w:i/>
                <w:sz w:val="18"/>
                <w:szCs w:val="18"/>
              </w:rPr>
              <w:t>-</w:t>
            </w:r>
            <w:r w:rsidRPr="00965301">
              <w:rPr>
                <w:b/>
                <w:i/>
                <w:sz w:val="18"/>
                <w:szCs w:val="18"/>
              </w:rPr>
              <w:t xml:space="preserve"> Continued</w:t>
            </w:r>
          </w:p>
        </w:tc>
      </w:tr>
      <w:tr w:rsidR="007E667A" w:rsidRPr="00965301" w14:paraId="746BA888" w14:textId="77777777" w:rsidTr="00BE6E3D">
        <w:tc>
          <w:tcPr>
            <w:tcW w:w="4707" w:type="dxa"/>
          </w:tcPr>
          <w:p w14:paraId="51CF0F3B" w14:textId="77777777" w:rsidR="007E667A" w:rsidRPr="00965301" w:rsidRDefault="007E667A" w:rsidP="0013526B">
            <w:pPr>
              <w:jc w:val="both"/>
              <w:rPr>
                <w:rStyle w:val="hps"/>
                <w:sz w:val="18"/>
                <w:szCs w:val="18"/>
              </w:rPr>
            </w:pPr>
          </w:p>
        </w:tc>
        <w:tc>
          <w:tcPr>
            <w:tcW w:w="4709" w:type="dxa"/>
          </w:tcPr>
          <w:p w14:paraId="0F882121" w14:textId="77777777" w:rsidR="007E667A" w:rsidRPr="00965301" w:rsidRDefault="007E667A" w:rsidP="0013526B">
            <w:pPr>
              <w:ind w:left="426"/>
              <w:jc w:val="both"/>
              <w:rPr>
                <w:bCs w:val="0"/>
                <w:i/>
                <w:sz w:val="18"/>
                <w:szCs w:val="18"/>
              </w:rPr>
            </w:pPr>
          </w:p>
        </w:tc>
      </w:tr>
      <w:tr w:rsidR="00344E2E" w:rsidRPr="00965301" w14:paraId="3A71A038" w14:textId="77777777" w:rsidTr="00BE6E3D">
        <w:tc>
          <w:tcPr>
            <w:tcW w:w="4707" w:type="dxa"/>
          </w:tcPr>
          <w:p w14:paraId="612D566D" w14:textId="77777777" w:rsidR="00344E2E" w:rsidRPr="00965301" w:rsidRDefault="009456EB" w:rsidP="00070D1F">
            <w:pPr>
              <w:pStyle w:val="ListParagraph"/>
              <w:numPr>
                <w:ilvl w:val="0"/>
                <w:numId w:val="98"/>
              </w:numPr>
              <w:ind w:left="568" w:right="-57" w:hanging="284"/>
              <w:contextualSpacing/>
              <w:jc w:val="both"/>
              <w:rPr>
                <w:rStyle w:val="hps"/>
                <w:b/>
                <w:sz w:val="18"/>
                <w:szCs w:val="18"/>
              </w:rPr>
            </w:pPr>
            <w:r w:rsidRPr="00965301">
              <w:rPr>
                <w:rStyle w:val="hps"/>
                <w:b/>
                <w:sz w:val="18"/>
                <w:szCs w:val="18"/>
              </w:rPr>
              <w:t xml:space="preserve">Kas dan </w:t>
            </w:r>
            <w:r w:rsidR="00B17861" w:rsidRPr="00965301">
              <w:rPr>
                <w:rStyle w:val="hps"/>
                <w:b/>
                <w:sz w:val="18"/>
                <w:szCs w:val="18"/>
              </w:rPr>
              <w:t>S</w:t>
            </w:r>
            <w:r w:rsidRPr="00965301">
              <w:rPr>
                <w:rStyle w:val="hps"/>
                <w:b/>
                <w:sz w:val="18"/>
                <w:szCs w:val="18"/>
              </w:rPr>
              <w:t xml:space="preserve">etara </w:t>
            </w:r>
            <w:r w:rsidR="00B17861" w:rsidRPr="00965301">
              <w:rPr>
                <w:rStyle w:val="hps"/>
                <w:b/>
                <w:sz w:val="18"/>
                <w:szCs w:val="18"/>
              </w:rPr>
              <w:t>K</w:t>
            </w:r>
            <w:r w:rsidRPr="00965301">
              <w:rPr>
                <w:rStyle w:val="hps"/>
                <w:b/>
                <w:sz w:val="18"/>
                <w:szCs w:val="18"/>
              </w:rPr>
              <w:t xml:space="preserve">as </w:t>
            </w:r>
            <w:r w:rsidR="00CE55DB" w:rsidRPr="00965301">
              <w:rPr>
                <w:rStyle w:val="hps"/>
                <w:b/>
                <w:sz w:val="18"/>
                <w:szCs w:val="18"/>
              </w:rPr>
              <w:t xml:space="preserve">dan </w:t>
            </w:r>
            <w:r w:rsidR="00B17861" w:rsidRPr="00965301">
              <w:rPr>
                <w:rStyle w:val="hps"/>
                <w:b/>
                <w:sz w:val="18"/>
                <w:szCs w:val="18"/>
              </w:rPr>
              <w:t>K</w:t>
            </w:r>
            <w:r w:rsidR="00CE55DB" w:rsidRPr="00965301">
              <w:rPr>
                <w:rStyle w:val="hps"/>
                <w:b/>
                <w:sz w:val="18"/>
                <w:szCs w:val="18"/>
              </w:rPr>
              <w:t xml:space="preserve">as yang </w:t>
            </w:r>
            <w:r w:rsidR="00B17861" w:rsidRPr="00965301">
              <w:rPr>
                <w:rStyle w:val="hps"/>
                <w:b/>
                <w:sz w:val="18"/>
                <w:szCs w:val="18"/>
              </w:rPr>
              <w:t>D</w:t>
            </w:r>
            <w:r w:rsidR="00CE55DB" w:rsidRPr="00965301">
              <w:rPr>
                <w:rStyle w:val="hps"/>
                <w:b/>
                <w:sz w:val="18"/>
                <w:szCs w:val="18"/>
              </w:rPr>
              <w:t xml:space="preserve">ibatasi </w:t>
            </w:r>
            <w:r w:rsidR="00B17861" w:rsidRPr="00965301">
              <w:rPr>
                <w:rStyle w:val="hps"/>
                <w:b/>
                <w:sz w:val="18"/>
                <w:szCs w:val="18"/>
              </w:rPr>
              <w:t>P</w:t>
            </w:r>
            <w:r w:rsidR="00CE55DB" w:rsidRPr="00965301">
              <w:rPr>
                <w:rStyle w:val="hps"/>
                <w:b/>
                <w:sz w:val="18"/>
                <w:szCs w:val="18"/>
              </w:rPr>
              <w:t>enggunaannya</w:t>
            </w:r>
          </w:p>
        </w:tc>
        <w:tc>
          <w:tcPr>
            <w:tcW w:w="4709" w:type="dxa"/>
          </w:tcPr>
          <w:p w14:paraId="23597887" w14:textId="77777777" w:rsidR="00344E2E" w:rsidRPr="00965301" w:rsidRDefault="009456EB" w:rsidP="00070D1F">
            <w:pPr>
              <w:pStyle w:val="ListParagraph"/>
              <w:numPr>
                <w:ilvl w:val="0"/>
                <w:numId w:val="99"/>
              </w:numPr>
              <w:ind w:left="568" w:hanging="284"/>
              <w:contextualSpacing/>
              <w:jc w:val="both"/>
              <w:rPr>
                <w:rStyle w:val="hps"/>
                <w:b/>
                <w:i/>
                <w:sz w:val="18"/>
                <w:szCs w:val="18"/>
              </w:rPr>
            </w:pPr>
            <w:r w:rsidRPr="00965301">
              <w:rPr>
                <w:rStyle w:val="hps"/>
                <w:b/>
                <w:i/>
                <w:sz w:val="18"/>
                <w:szCs w:val="18"/>
              </w:rPr>
              <w:t xml:space="preserve">Cash </w:t>
            </w:r>
            <w:r w:rsidRPr="00965301">
              <w:rPr>
                <w:b/>
                <w:i/>
                <w:sz w:val="18"/>
                <w:szCs w:val="18"/>
              </w:rPr>
              <w:t>and</w:t>
            </w:r>
            <w:r w:rsidRPr="00965301">
              <w:rPr>
                <w:rStyle w:val="hps"/>
                <w:b/>
                <w:i/>
                <w:sz w:val="18"/>
                <w:szCs w:val="18"/>
              </w:rPr>
              <w:t xml:space="preserve"> </w:t>
            </w:r>
            <w:r w:rsidR="00B17861" w:rsidRPr="00965301">
              <w:rPr>
                <w:rStyle w:val="hps"/>
                <w:b/>
                <w:i/>
                <w:sz w:val="18"/>
                <w:szCs w:val="18"/>
              </w:rPr>
              <w:t>C</w:t>
            </w:r>
            <w:r w:rsidRPr="00965301">
              <w:rPr>
                <w:rStyle w:val="hps"/>
                <w:b/>
                <w:i/>
                <w:sz w:val="18"/>
                <w:szCs w:val="18"/>
              </w:rPr>
              <w:t xml:space="preserve">ash </w:t>
            </w:r>
            <w:r w:rsidR="00B17861" w:rsidRPr="00965301">
              <w:rPr>
                <w:rStyle w:val="hps"/>
                <w:b/>
                <w:i/>
                <w:sz w:val="18"/>
                <w:szCs w:val="18"/>
              </w:rPr>
              <w:t>E</w:t>
            </w:r>
            <w:r w:rsidRPr="00965301">
              <w:rPr>
                <w:rStyle w:val="hps"/>
                <w:b/>
                <w:i/>
                <w:sz w:val="18"/>
                <w:szCs w:val="18"/>
              </w:rPr>
              <w:t>quivalents</w:t>
            </w:r>
            <w:r w:rsidR="00CE55DB" w:rsidRPr="00965301">
              <w:rPr>
                <w:rStyle w:val="hps"/>
                <w:b/>
                <w:i/>
                <w:sz w:val="18"/>
                <w:szCs w:val="18"/>
              </w:rPr>
              <w:t xml:space="preserve"> and </w:t>
            </w:r>
            <w:r w:rsidR="00B17861" w:rsidRPr="00965301">
              <w:rPr>
                <w:rStyle w:val="hps"/>
                <w:b/>
                <w:i/>
                <w:sz w:val="18"/>
                <w:szCs w:val="18"/>
              </w:rPr>
              <w:t>R</w:t>
            </w:r>
            <w:r w:rsidR="00CE55DB" w:rsidRPr="00965301">
              <w:rPr>
                <w:rStyle w:val="hps"/>
                <w:b/>
                <w:i/>
                <w:sz w:val="18"/>
                <w:szCs w:val="18"/>
              </w:rPr>
              <w:t xml:space="preserve">estricted </w:t>
            </w:r>
            <w:r w:rsidR="00B17861" w:rsidRPr="00965301">
              <w:rPr>
                <w:rStyle w:val="hps"/>
                <w:b/>
                <w:i/>
                <w:sz w:val="18"/>
                <w:szCs w:val="18"/>
              </w:rPr>
              <w:t>C</w:t>
            </w:r>
            <w:r w:rsidR="00CE55DB" w:rsidRPr="00965301">
              <w:rPr>
                <w:rStyle w:val="hps"/>
                <w:b/>
                <w:i/>
                <w:sz w:val="18"/>
                <w:szCs w:val="18"/>
              </w:rPr>
              <w:t>ash</w:t>
            </w:r>
          </w:p>
        </w:tc>
      </w:tr>
      <w:tr w:rsidR="00344E2E" w:rsidRPr="00965301" w14:paraId="325B39BF" w14:textId="77777777" w:rsidTr="00BE6E3D">
        <w:tc>
          <w:tcPr>
            <w:tcW w:w="4707" w:type="dxa"/>
          </w:tcPr>
          <w:p w14:paraId="341C61A1" w14:textId="77777777" w:rsidR="00344E2E" w:rsidRPr="00965301" w:rsidRDefault="00344E2E" w:rsidP="0013526B">
            <w:pPr>
              <w:jc w:val="both"/>
              <w:rPr>
                <w:rStyle w:val="hps"/>
                <w:sz w:val="18"/>
                <w:szCs w:val="18"/>
              </w:rPr>
            </w:pPr>
          </w:p>
        </w:tc>
        <w:tc>
          <w:tcPr>
            <w:tcW w:w="4709" w:type="dxa"/>
          </w:tcPr>
          <w:p w14:paraId="3FDA3CCC" w14:textId="77777777" w:rsidR="00344E2E" w:rsidRPr="00965301" w:rsidRDefault="00344E2E" w:rsidP="0013526B">
            <w:pPr>
              <w:ind w:left="426"/>
              <w:jc w:val="both"/>
              <w:rPr>
                <w:bCs w:val="0"/>
                <w:i/>
                <w:sz w:val="18"/>
                <w:szCs w:val="18"/>
              </w:rPr>
            </w:pPr>
          </w:p>
        </w:tc>
      </w:tr>
      <w:tr w:rsidR="00344E2E" w:rsidRPr="00965301" w14:paraId="661BB049" w14:textId="77777777" w:rsidTr="00BE6E3D">
        <w:tc>
          <w:tcPr>
            <w:tcW w:w="4707" w:type="dxa"/>
          </w:tcPr>
          <w:p w14:paraId="70C333D8" w14:textId="3E17CFC8" w:rsidR="00344E2E" w:rsidRPr="00965301" w:rsidRDefault="00CE55DB" w:rsidP="00911A8A">
            <w:pPr>
              <w:ind w:left="567" w:right="-57"/>
              <w:jc w:val="both"/>
              <w:rPr>
                <w:rStyle w:val="hps"/>
                <w:sz w:val="18"/>
                <w:szCs w:val="18"/>
              </w:rPr>
            </w:pPr>
            <w:r w:rsidRPr="00965301">
              <w:rPr>
                <w:bCs w:val="0"/>
                <w:sz w:val="18"/>
                <w:szCs w:val="18"/>
              </w:rPr>
              <w:t>Kas adalah alat pembayaran yang siap dan bebas dipergunakan untuk membiayai kegiatan Kelompok usaha. Setara kas adalah investasi yang sifatnya sangat likuid</w:t>
            </w:r>
            <w:r w:rsidR="00911A8A">
              <w:rPr>
                <w:bCs w:val="0"/>
                <w:sz w:val="18"/>
                <w:szCs w:val="18"/>
              </w:rPr>
              <w:t>,</w:t>
            </w:r>
            <w:r w:rsidRPr="00965301">
              <w:rPr>
                <w:bCs w:val="0"/>
                <w:sz w:val="18"/>
                <w:szCs w:val="18"/>
              </w:rPr>
              <w:t xml:space="preserve"> berjangka pendek</w:t>
            </w:r>
            <w:r w:rsidR="00911A8A">
              <w:rPr>
                <w:bCs w:val="0"/>
                <w:sz w:val="18"/>
                <w:szCs w:val="18"/>
              </w:rPr>
              <w:t>,</w:t>
            </w:r>
            <w:r w:rsidRPr="00965301">
              <w:rPr>
                <w:bCs w:val="0"/>
                <w:sz w:val="18"/>
                <w:szCs w:val="18"/>
              </w:rPr>
              <w:t xml:space="preserve"> dan dengan cepat dapat dijadikan kas dalam jumlah yang dapat ditentukan dan memiliki risiko perubahan nilai yang tidak signifikan dengan jangka waktu tiga bulan atau kurang sejak tanggal penempatan dan tidak digunakan sebagai jaminan atau tidak dibatasi penggunaannya.</w:t>
            </w:r>
          </w:p>
        </w:tc>
        <w:tc>
          <w:tcPr>
            <w:tcW w:w="4709" w:type="dxa"/>
          </w:tcPr>
          <w:p w14:paraId="0BA8CF0C" w14:textId="3AEBB80C" w:rsidR="00344E2E" w:rsidRPr="00965301" w:rsidRDefault="00CE55DB" w:rsidP="00911A8A">
            <w:pPr>
              <w:ind w:left="567" w:right="-57"/>
              <w:jc w:val="both"/>
              <w:rPr>
                <w:bCs w:val="0"/>
                <w:i/>
                <w:sz w:val="18"/>
                <w:szCs w:val="18"/>
              </w:rPr>
            </w:pPr>
            <w:r w:rsidRPr="00965301">
              <w:rPr>
                <w:bCs w:val="0"/>
                <w:i/>
                <w:sz w:val="18"/>
                <w:szCs w:val="18"/>
              </w:rPr>
              <w:t xml:space="preserve">Cash is the means of payment that ready and free to be used to finance the activities of the </w:t>
            </w:r>
            <w:r w:rsidR="00FB4D1C" w:rsidRPr="00965301">
              <w:rPr>
                <w:bCs w:val="0"/>
                <w:i/>
                <w:sz w:val="18"/>
                <w:szCs w:val="18"/>
              </w:rPr>
              <w:t>Group.</w:t>
            </w:r>
            <w:r w:rsidR="00FB4D1C" w:rsidRPr="00965301">
              <w:rPr>
                <w:bCs w:val="0"/>
                <w:i/>
                <w:sz w:val="18"/>
                <w:szCs w:val="18"/>
              </w:rPr>
              <w:br/>
            </w:r>
            <w:r w:rsidRPr="00965301">
              <w:rPr>
                <w:bCs w:val="0"/>
                <w:i/>
                <w:sz w:val="18"/>
                <w:szCs w:val="18"/>
              </w:rPr>
              <w:t>Cash equivalents are investments that are highly liquid</w:t>
            </w:r>
            <w:r w:rsidR="00911A8A">
              <w:rPr>
                <w:bCs w:val="0"/>
                <w:i/>
                <w:sz w:val="18"/>
                <w:szCs w:val="18"/>
              </w:rPr>
              <w:t>,</w:t>
            </w:r>
            <w:r w:rsidRPr="00965301">
              <w:rPr>
                <w:bCs w:val="0"/>
                <w:i/>
                <w:sz w:val="18"/>
                <w:szCs w:val="18"/>
              </w:rPr>
              <w:t xml:space="preserve"> short</w:t>
            </w:r>
            <w:r w:rsidR="00037369" w:rsidRPr="00965301">
              <w:rPr>
                <w:bCs w:val="0"/>
                <w:i/>
                <w:sz w:val="18"/>
                <w:szCs w:val="18"/>
              </w:rPr>
              <w:t>-</w:t>
            </w:r>
            <w:r w:rsidRPr="00965301">
              <w:rPr>
                <w:bCs w:val="0"/>
                <w:i/>
                <w:sz w:val="18"/>
                <w:szCs w:val="18"/>
              </w:rPr>
              <w:t>term</w:t>
            </w:r>
            <w:r w:rsidR="00911A8A">
              <w:rPr>
                <w:bCs w:val="0"/>
                <w:i/>
                <w:sz w:val="18"/>
                <w:szCs w:val="18"/>
              </w:rPr>
              <w:t>,</w:t>
            </w:r>
            <w:r w:rsidRPr="00965301">
              <w:rPr>
                <w:bCs w:val="0"/>
                <w:i/>
                <w:sz w:val="18"/>
                <w:szCs w:val="18"/>
              </w:rPr>
              <w:t xml:space="preserve"> and it can quickly become cash in the amount that can be determined and have the risk of changes in value are not significant with maturities of three months or less from the date of placement and not pledged as collateral or restricted in usage.</w:t>
            </w:r>
          </w:p>
        </w:tc>
      </w:tr>
      <w:tr w:rsidR="00CE55DB" w:rsidRPr="00965301" w14:paraId="76AE42E2" w14:textId="77777777" w:rsidTr="00BE6E3D">
        <w:tc>
          <w:tcPr>
            <w:tcW w:w="4707" w:type="dxa"/>
          </w:tcPr>
          <w:p w14:paraId="4F46D1CF" w14:textId="77777777" w:rsidR="00CE55DB" w:rsidRPr="00965301" w:rsidRDefault="00CE55DB" w:rsidP="0013526B">
            <w:pPr>
              <w:widowControl w:val="0"/>
              <w:autoSpaceDE w:val="0"/>
              <w:autoSpaceDN w:val="0"/>
              <w:adjustRightInd w:val="0"/>
              <w:spacing w:before="5"/>
              <w:ind w:left="564" w:right="-34"/>
              <w:jc w:val="both"/>
              <w:rPr>
                <w:bCs w:val="0"/>
                <w:sz w:val="18"/>
                <w:szCs w:val="18"/>
              </w:rPr>
            </w:pPr>
          </w:p>
        </w:tc>
        <w:tc>
          <w:tcPr>
            <w:tcW w:w="4709" w:type="dxa"/>
          </w:tcPr>
          <w:p w14:paraId="6AEBE49D" w14:textId="77777777" w:rsidR="00CE55DB" w:rsidRPr="00965301" w:rsidRDefault="00CE55DB" w:rsidP="0013526B">
            <w:pPr>
              <w:ind w:left="572"/>
              <w:jc w:val="both"/>
              <w:rPr>
                <w:bCs w:val="0"/>
                <w:i/>
                <w:sz w:val="18"/>
                <w:szCs w:val="18"/>
              </w:rPr>
            </w:pPr>
          </w:p>
        </w:tc>
      </w:tr>
      <w:tr w:rsidR="00CE55DB" w:rsidRPr="00965301" w14:paraId="1AD18D8C" w14:textId="77777777" w:rsidTr="00BE6E3D">
        <w:tc>
          <w:tcPr>
            <w:tcW w:w="4707" w:type="dxa"/>
          </w:tcPr>
          <w:p w14:paraId="1648CF04" w14:textId="77777777" w:rsidR="00CE55DB" w:rsidRPr="00965301" w:rsidRDefault="00CE55DB" w:rsidP="0013526B">
            <w:pPr>
              <w:ind w:left="567" w:right="-57"/>
              <w:jc w:val="both"/>
              <w:rPr>
                <w:bCs w:val="0"/>
                <w:sz w:val="18"/>
                <w:szCs w:val="18"/>
              </w:rPr>
            </w:pPr>
            <w:r w:rsidRPr="00965301">
              <w:rPr>
                <w:bCs w:val="0"/>
                <w:sz w:val="18"/>
                <w:szCs w:val="18"/>
              </w:rPr>
              <w:t>Kas di bank dan deposito berjangka yang dibatasi penggunaannya sehubungan dengan persyaratan perjanjian pinjaman atau perjanjian lainnya disajikan sebagai “Kas di Bank dan Deposito Berjangka yang Dibatasi Penggunaannya” sebagai aset tidak lancar.</w:t>
            </w:r>
          </w:p>
        </w:tc>
        <w:tc>
          <w:tcPr>
            <w:tcW w:w="4709" w:type="dxa"/>
          </w:tcPr>
          <w:p w14:paraId="023A8A20" w14:textId="77777777" w:rsidR="00CE55DB" w:rsidRPr="00965301" w:rsidRDefault="00CE55DB" w:rsidP="0013526B">
            <w:pPr>
              <w:ind w:left="567" w:right="-57"/>
              <w:jc w:val="both"/>
              <w:rPr>
                <w:bCs w:val="0"/>
                <w:i/>
                <w:sz w:val="18"/>
                <w:szCs w:val="18"/>
              </w:rPr>
            </w:pPr>
            <w:r w:rsidRPr="00965301">
              <w:rPr>
                <w:bCs w:val="0"/>
                <w:i/>
                <w:sz w:val="18"/>
                <w:szCs w:val="18"/>
              </w:rPr>
              <w:t>Cash in banks and deposits that are restricted with respect to the terms of the loan or other agreement are presented as “Restricted Cash in Banks and Deposits” as non</w:t>
            </w:r>
            <w:r w:rsidR="00037369" w:rsidRPr="00965301">
              <w:rPr>
                <w:bCs w:val="0"/>
                <w:i/>
                <w:sz w:val="18"/>
                <w:szCs w:val="18"/>
              </w:rPr>
              <w:t>-</w:t>
            </w:r>
            <w:r w:rsidRPr="00965301">
              <w:rPr>
                <w:bCs w:val="0"/>
                <w:i/>
                <w:sz w:val="18"/>
                <w:szCs w:val="18"/>
              </w:rPr>
              <w:t>current assets.</w:t>
            </w:r>
          </w:p>
        </w:tc>
      </w:tr>
      <w:tr w:rsidR="00CE55DB" w:rsidRPr="00965301" w14:paraId="4934648F" w14:textId="77777777" w:rsidTr="00BE6E3D">
        <w:tc>
          <w:tcPr>
            <w:tcW w:w="4707" w:type="dxa"/>
          </w:tcPr>
          <w:p w14:paraId="742FF5DF" w14:textId="77777777" w:rsidR="00CE55DB" w:rsidRPr="00965301" w:rsidRDefault="00CE55DB" w:rsidP="0013526B">
            <w:pPr>
              <w:widowControl w:val="0"/>
              <w:autoSpaceDE w:val="0"/>
              <w:autoSpaceDN w:val="0"/>
              <w:adjustRightInd w:val="0"/>
              <w:spacing w:before="5"/>
              <w:ind w:left="564" w:right="-34"/>
              <w:jc w:val="both"/>
              <w:rPr>
                <w:bCs w:val="0"/>
                <w:sz w:val="18"/>
                <w:szCs w:val="18"/>
              </w:rPr>
            </w:pPr>
          </w:p>
        </w:tc>
        <w:tc>
          <w:tcPr>
            <w:tcW w:w="4709" w:type="dxa"/>
          </w:tcPr>
          <w:p w14:paraId="6EF85DD3" w14:textId="77777777" w:rsidR="00CE55DB" w:rsidRPr="00965301" w:rsidRDefault="00CE55DB" w:rsidP="0013526B">
            <w:pPr>
              <w:ind w:left="572"/>
              <w:jc w:val="both"/>
              <w:rPr>
                <w:bCs w:val="0"/>
                <w:i/>
                <w:sz w:val="18"/>
                <w:szCs w:val="18"/>
              </w:rPr>
            </w:pPr>
          </w:p>
        </w:tc>
      </w:tr>
      <w:tr w:rsidR="00CE55DB" w:rsidRPr="00965301" w14:paraId="6FFFFBFE" w14:textId="77777777" w:rsidTr="00BE6E3D">
        <w:tc>
          <w:tcPr>
            <w:tcW w:w="4707" w:type="dxa"/>
          </w:tcPr>
          <w:p w14:paraId="7A0293FE" w14:textId="4E8603C5" w:rsidR="00CE55DB" w:rsidRPr="00965301" w:rsidRDefault="00CE55DB" w:rsidP="0013526B">
            <w:pPr>
              <w:ind w:left="567" w:right="-57"/>
              <w:jc w:val="both"/>
              <w:rPr>
                <w:bCs w:val="0"/>
                <w:sz w:val="18"/>
                <w:szCs w:val="18"/>
              </w:rPr>
            </w:pPr>
            <w:r w:rsidRPr="00965301">
              <w:rPr>
                <w:bCs w:val="0"/>
                <w:sz w:val="18"/>
                <w:szCs w:val="18"/>
              </w:rPr>
              <w:t>Kas di bank dan deposito berjangka yang akan digunakan untuk membayar liabilitas yang akan jatuh tempo dalam 1 (satu) tahun</w:t>
            </w:r>
            <w:r w:rsidR="00870FD0">
              <w:rPr>
                <w:bCs w:val="0"/>
                <w:sz w:val="18"/>
                <w:szCs w:val="18"/>
              </w:rPr>
              <w:t>.</w:t>
            </w:r>
            <w:r w:rsidRPr="00965301">
              <w:rPr>
                <w:bCs w:val="0"/>
                <w:sz w:val="18"/>
                <w:szCs w:val="18"/>
              </w:rPr>
              <w:t xml:space="preserve"> </w:t>
            </w:r>
            <w:proofErr w:type="gramStart"/>
            <w:r w:rsidRPr="00965301">
              <w:rPr>
                <w:bCs w:val="0"/>
                <w:sz w:val="18"/>
                <w:szCs w:val="18"/>
              </w:rPr>
              <w:t>disajikan</w:t>
            </w:r>
            <w:proofErr w:type="gramEnd"/>
            <w:r w:rsidRPr="00965301">
              <w:rPr>
                <w:bCs w:val="0"/>
                <w:sz w:val="18"/>
                <w:szCs w:val="18"/>
              </w:rPr>
              <w:t xml:space="preserve"> sebagai bagian dari aset lancar.</w:t>
            </w:r>
          </w:p>
        </w:tc>
        <w:tc>
          <w:tcPr>
            <w:tcW w:w="4709" w:type="dxa"/>
          </w:tcPr>
          <w:p w14:paraId="4FF47381" w14:textId="349F2DFB" w:rsidR="00CE55DB" w:rsidRPr="00965301" w:rsidRDefault="00CE55DB" w:rsidP="00911A8A">
            <w:pPr>
              <w:ind w:left="567" w:right="-57"/>
              <w:jc w:val="both"/>
              <w:rPr>
                <w:bCs w:val="0"/>
                <w:i/>
                <w:sz w:val="18"/>
                <w:szCs w:val="18"/>
              </w:rPr>
            </w:pPr>
            <w:r w:rsidRPr="00965301">
              <w:rPr>
                <w:bCs w:val="0"/>
                <w:i/>
                <w:sz w:val="18"/>
                <w:szCs w:val="18"/>
              </w:rPr>
              <w:t>Cash in banks and deposits will be used to pay liabilities due within 1 (one) year</w:t>
            </w:r>
            <w:r w:rsidR="00911A8A">
              <w:rPr>
                <w:bCs w:val="0"/>
                <w:i/>
                <w:sz w:val="18"/>
                <w:szCs w:val="18"/>
              </w:rPr>
              <w:t>,</w:t>
            </w:r>
            <w:r w:rsidRPr="00965301">
              <w:rPr>
                <w:bCs w:val="0"/>
                <w:i/>
                <w:sz w:val="18"/>
                <w:szCs w:val="18"/>
              </w:rPr>
              <w:t xml:space="preserve"> is presented as part of current assets.</w:t>
            </w:r>
          </w:p>
        </w:tc>
      </w:tr>
      <w:tr w:rsidR="00344E2E" w:rsidRPr="00965301" w14:paraId="068DB8E5" w14:textId="77777777" w:rsidTr="00BE6E3D">
        <w:tc>
          <w:tcPr>
            <w:tcW w:w="4707" w:type="dxa"/>
          </w:tcPr>
          <w:p w14:paraId="4A734133" w14:textId="77777777" w:rsidR="00344E2E" w:rsidRPr="00965301" w:rsidRDefault="00344E2E" w:rsidP="0013526B">
            <w:pPr>
              <w:jc w:val="both"/>
              <w:rPr>
                <w:rStyle w:val="hps"/>
                <w:sz w:val="18"/>
                <w:szCs w:val="18"/>
              </w:rPr>
            </w:pPr>
          </w:p>
        </w:tc>
        <w:tc>
          <w:tcPr>
            <w:tcW w:w="4709" w:type="dxa"/>
          </w:tcPr>
          <w:p w14:paraId="42991A2B" w14:textId="77777777" w:rsidR="00344E2E" w:rsidRPr="00965301" w:rsidRDefault="00344E2E" w:rsidP="0013526B">
            <w:pPr>
              <w:ind w:left="426"/>
              <w:jc w:val="both"/>
              <w:rPr>
                <w:bCs w:val="0"/>
                <w:i/>
                <w:sz w:val="18"/>
                <w:szCs w:val="18"/>
              </w:rPr>
            </w:pPr>
          </w:p>
        </w:tc>
      </w:tr>
      <w:tr w:rsidR="009456EB" w:rsidRPr="00965301" w14:paraId="1A09028A" w14:textId="77777777" w:rsidTr="00BE6E3D">
        <w:tc>
          <w:tcPr>
            <w:tcW w:w="4707" w:type="dxa"/>
          </w:tcPr>
          <w:p w14:paraId="05FAD16F" w14:textId="77777777" w:rsidR="009456EB" w:rsidRPr="00965301" w:rsidRDefault="009456EB" w:rsidP="00070D1F">
            <w:pPr>
              <w:pStyle w:val="ListParagraph"/>
              <w:numPr>
                <w:ilvl w:val="0"/>
                <w:numId w:val="98"/>
              </w:numPr>
              <w:ind w:left="568" w:hanging="284"/>
              <w:contextualSpacing/>
              <w:jc w:val="both"/>
              <w:rPr>
                <w:rStyle w:val="hps"/>
                <w:b/>
                <w:sz w:val="18"/>
                <w:szCs w:val="18"/>
              </w:rPr>
            </w:pPr>
            <w:r w:rsidRPr="00965301">
              <w:rPr>
                <w:rStyle w:val="hps"/>
                <w:b/>
                <w:sz w:val="18"/>
                <w:szCs w:val="18"/>
              </w:rPr>
              <w:t xml:space="preserve">Piutang </w:t>
            </w:r>
            <w:r w:rsidR="00B17861" w:rsidRPr="00965301">
              <w:rPr>
                <w:rStyle w:val="hps"/>
                <w:b/>
                <w:sz w:val="18"/>
                <w:szCs w:val="18"/>
              </w:rPr>
              <w:t>U</w:t>
            </w:r>
            <w:r w:rsidRPr="00965301">
              <w:rPr>
                <w:rStyle w:val="hps"/>
                <w:b/>
                <w:sz w:val="18"/>
                <w:szCs w:val="18"/>
              </w:rPr>
              <w:t>saha</w:t>
            </w:r>
          </w:p>
        </w:tc>
        <w:tc>
          <w:tcPr>
            <w:tcW w:w="4709" w:type="dxa"/>
          </w:tcPr>
          <w:p w14:paraId="02413132" w14:textId="77777777" w:rsidR="009456EB" w:rsidRPr="00965301" w:rsidRDefault="009456EB" w:rsidP="00070D1F">
            <w:pPr>
              <w:pStyle w:val="ListParagraph"/>
              <w:numPr>
                <w:ilvl w:val="0"/>
                <w:numId w:val="99"/>
              </w:numPr>
              <w:ind w:left="568" w:hanging="284"/>
              <w:contextualSpacing/>
              <w:jc w:val="both"/>
              <w:rPr>
                <w:rStyle w:val="hps"/>
                <w:b/>
                <w:bCs w:val="0"/>
                <w:i/>
                <w:sz w:val="18"/>
                <w:szCs w:val="18"/>
              </w:rPr>
            </w:pPr>
            <w:r w:rsidRPr="00965301">
              <w:rPr>
                <w:rStyle w:val="hps"/>
                <w:b/>
                <w:bCs w:val="0"/>
                <w:i/>
                <w:sz w:val="18"/>
                <w:szCs w:val="18"/>
              </w:rPr>
              <w:t xml:space="preserve">Trade </w:t>
            </w:r>
            <w:r w:rsidR="00B17861" w:rsidRPr="00965301">
              <w:rPr>
                <w:rStyle w:val="hps"/>
                <w:b/>
                <w:bCs w:val="0"/>
                <w:i/>
                <w:sz w:val="18"/>
                <w:szCs w:val="18"/>
              </w:rPr>
              <w:t>R</w:t>
            </w:r>
            <w:r w:rsidRPr="00965301">
              <w:rPr>
                <w:rStyle w:val="hps"/>
                <w:b/>
                <w:bCs w:val="0"/>
                <w:i/>
                <w:sz w:val="18"/>
                <w:szCs w:val="18"/>
              </w:rPr>
              <w:t xml:space="preserve">eceivables </w:t>
            </w:r>
          </w:p>
        </w:tc>
      </w:tr>
      <w:tr w:rsidR="009456EB" w:rsidRPr="00965301" w14:paraId="1F6917A5" w14:textId="77777777" w:rsidTr="00BE6E3D">
        <w:tc>
          <w:tcPr>
            <w:tcW w:w="4707" w:type="dxa"/>
          </w:tcPr>
          <w:p w14:paraId="66B32486" w14:textId="77777777" w:rsidR="009456EB" w:rsidRPr="00965301" w:rsidRDefault="009456EB" w:rsidP="0013526B">
            <w:pPr>
              <w:jc w:val="both"/>
              <w:rPr>
                <w:rStyle w:val="hps"/>
                <w:sz w:val="18"/>
                <w:szCs w:val="18"/>
              </w:rPr>
            </w:pPr>
          </w:p>
        </w:tc>
        <w:tc>
          <w:tcPr>
            <w:tcW w:w="4709" w:type="dxa"/>
          </w:tcPr>
          <w:p w14:paraId="018D28F6" w14:textId="77777777" w:rsidR="009456EB" w:rsidRPr="00965301" w:rsidRDefault="009456EB" w:rsidP="0013526B">
            <w:pPr>
              <w:ind w:left="426"/>
              <w:jc w:val="both"/>
              <w:rPr>
                <w:bCs w:val="0"/>
                <w:i/>
                <w:sz w:val="18"/>
                <w:szCs w:val="18"/>
              </w:rPr>
            </w:pPr>
          </w:p>
        </w:tc>
      </w:tr>
      <w:tr w:rsidR="009456EB" w:rsidRPr="00BE6E3D" w14:paraId="759FB0B8" w14:textId="77777777" w:rsidTr="00BE6E3D">
        <w:tc>
          <w:tcPr>
            <w:tcW w:w="4707" w:type="dxa"/>
          </w:tcPr>
          <w:p w14:paraId="1DBCEA37" w14:textId="77777777" w:rsidR="009456EB" w:rsidRPr="00965301" w:rsidRDefault="009456EB" w:rsidP="0013526B">
            <w:pPr>
              <w:ind w:left="567" w:right="-57"/>
              <w:jc w:val="both"/>
              <w:rPr>
                <w:rStyle w:val="hps"/>
                <w:sz w:val="18"/>
                <w:szCs w:val="18"/>
              </w:rPr>
            </w:pPr>
            <w:r w:rsidRPr="00965301">
              <w:rPr>
                <w:spacing w:val="-1"/>
                <w:sz w:val="18"/>
                <w:szCs w:val="18"/>
              </w:rPr>
              <w:t>Pi</w:t>
            </w:r>
            <w:r w:rsidRPr="00965301">
              <w:rPr>
                <w:spacing w:val="2"/>
                <w:sz w:val="18"/>
                <w:szCs w:val="18"/>
              </w:rPr>
              <w:t>u</w:t>
            </w:r>
            <w:r w:rsidRPr="00965301">
              <w:rPr>
                <w:sz w:val="18"/>
                <w:szCs w:val="18"/>
              </w:rPr>
              <w:t>ta</w:t>
            </w:r>
            <w:r w:rsidRPr="00965301">
              <w:rPr>
                <w:spacing w:val="1"/>
                <w:sz w:val="18"/>
                <w:szCs w:val="18"/>
              </w:rPr>
              <w:t>n</w:t>
            </w:r>
            <w:r w:rsidRPr="00965301">
              <w:rPr>
                <w:sz w:val="18"/>
                <w:szCs w:val="18"/>
              </w:rPr>
              <w:t>g</w:t>
            </w:r>
            <w:r w:rsidRPr="00965301">
              <w:rPr>
                <w:spacing w:val="2"/>
                <w:sz w:val="18"/>
                <w:szCs w:val="18"/>
              </w:rPr>
              <w:t xml:space="preserve"> </w:t>
            </w:r>
            <w:r w:rsidRPr="00965301">
              <w:rPr>
                <w:sz w:val="18"/>
                <w:szCs w:val="18"/>
              </w:rPr>
              <w:t>u</w:t>
            </w:r>
            <w:r w:rsidRPr="00965301">
              <w:rPr>
                <w:spacing w:val="1"/>
                <w:sz w:val="18"/>
                <w:szCs w:val="18"/>
              </w:rPr>
              <w:t>s</w:t>
            </w:r>
            <w:r w:rsidRPr="00965301">
              <w:rPr>
                <w:sz w:val="18"/>
                <w:szCs w:val="18"/>
              </w:rPr>
              <w:t>a</w:t>
            </w:r>
            <w:r w:rsidRPr="00965301">
              <w:rPr>
                <w:spacing w:val="1"/>
                <w:sz w:val="18"/>
                <w:szCs w:val="18"/>
              </w:rPr>
              <w:t>h</w:t>
            </w:r>
            <w:r w:rsidRPr="00965301">
              <w:rPr>
                <w:sz w:val="18"/>
                <w:szCs w:val="18"/>
              </w:rPr>
              <w:t>a</w:t>
            </w:r>
            <w:r w:rsidRPr="00965301">
              <w:rPr>
                <w:spacing w:val="3"/>
                <w:sz w:val="18"/>
                <w:szCs w:val="18"/>
              </w:rPr>
              <w:t xml:space="preserve"> </w:t>
            </w:r>
            <w:r w:rsidRPr="00965301">
              <w:rPr>
                <w:spacing w:val="2"/>
                <w:sz w:val="18"/>
                <w:szCs w:val="18"/>
              </w:rPr>
              <w:t>d</w:t>
            </w:r>
            <w:r w:rsidRPr="00965301">
              <w:rPr>
                <w:spacing w:val="-1"/>
                <w:sz w:val="18"/>
                <w:szCs w:val="18"/>
              </w:rPr>
              <w:t>i</w:t>
            </w:r>
            <w:r w:rsidRPr="00965301">
              <w:rPr>
                <w:spacing w:val="1"/>
                <w:sz w:val="18"/>
                <w:szCs w:val="18"/>
              </w:rPr>
              <w:t>s</w:t>
            </w:r>
            <w:r w:rsidRPr="00965301">
              <w:rPr>
                <w:sz w:val="18"/>
                <w:szCs w:val="18"/>
              </w:rPr>
              <w:t>a</w:t>
            </w:r>
            <w:r w:rsidRPr="00965301">
              <w:rPr>
                <w:spacing w:val="1"/>
                <w:sz w:val="18"/>
                <w:szCs w:val="18"/>
              </w:rPr>
              <w:t>j</w:t>
            </w:r>
            <w:r w:rsidRPr="00965301">
              <w:rPr>
                <w:spacing w:val="-1"/>
                <w:sz w:val="18"/>
                <w:szCs w:val="18"/>
              </w:rPr>
              <w:t>i</w:t>
            </w:r>
            <w:r w:rsidRPr="00965301">
              <w:rPr>
                <w:spacing w:val="3"/>
                <w:sz w:val="18"/>
                <w:szCs w:val="18"/>
              </w:rPr>
              <w:t>k</w:t>
            </w:r>
            <w:r w:rsidRPr="00965301">
              <w:rPr>
                <w:sz w:val="18"/>
                <w:szCs w:val="18"/>
              </w:rPr>
              <w:t>an d</w:t>
            </w:r>
            <w:r w:rsidRPr="00965301">
              <w:rPr>
                <w:spacing w:val="-1"/>
                <w:sz w:val="18"/>
                <w:szCs w:val="18"/>
              </w:rPr>
              <w:t>a</w:t>
            </w:r>
            <w:r w:rsidRPr="00965301">
              <w:rPr>
                <w:spacing w:val="1"/>
                <w:sz w:val="18"/>
                <w:szCs w:val="18"/>
              </w:rPr>
              <w:t>l</w:t>
            </w:r>
            <w:r w:rsidRPr="00965301">
              <w:rPr>
                <w:sz w:val="18"/>
                <w:szCs w:val="18"/>
              </w:rPr>
              <w:t>am</w:t>
            </w:r>
            <w:r w:rsidRPr="00965301">
              <w:rPr>
                <w:spacing w:val="7"/>
                <w:sz w:val="18"/>
                <w:szCs w:val="18"/>
              </w:rPr>
              <w:t xml:space="preserve"> </w:t>
            </w:r>
            <w:r w:rsidRPr="00965301">
              <w:rPr>
                <w:spacing w:val="1"/>
                <w:sz w:val="18"/>
                <w:szCs w:val="18"/>
              </w:rPr>
              <w:t>j</w:t>
            </w:r>
            <w:r w:rsidRPr="00965301">
              <w:rPr>
                <w:spacing w:val="-3"/>
                <w:sz w:val="18"/>
                <w:szCs w:val="18"/>
              </w:rPr>
              <w:t>u</w:t>
            </w:r>
            <w:r w:rsidRPr="00965301">
              <w:rPr>
                <w:spacing w:val="4"/>
                <w:sz w:val="18"/>
                <w:szCs w:val="18"/>
              </w:rPr>
              <w:t>m</w:t>
            </w:r>
            <w:r w:rsidRPr="00965301">
              <w:rPr>
                <w:spacing w:val="-1"/>
                <w:sz w:val="18"/>
                <w:szCs w:val="18"/>
              </w:rPr>
              <w:t>l</w:t>
            </w:r>
            <w:r w:rsidRPr="00965301">
              <w:rPr>
                <w:sz w:val="18"/>
                <w:szCs w:val="18"/>
              </w:rPr>
              <w:t>ah</w:t>
            </w:r>
            <w:r w:rsidRPr="00965301">
              <w:rPr>
                <w:spacing w:val="4"/>
                <w:sz w:val="18"/>
                <w:szCs w:val="18"/>
              </w:rPr>
              <w:t xml:space="preserve"> </w:t>
            </w:r>
            <w:r w:rsidRPr="00965301">
              <w:rPr>
                <w:spacing w:val="-4"/>
                <w:sz w:val="18"/>
                <w:szCs w:val="18"/>
              </w:rPr>
              <w:t>y</w:t>
            </w:r>
            <w:r w:rsidRPr="00965301">
              <w:rPr>
                <w:sz w:val="18"/>
                <w:szCs w:val="18"/>
              </w:rPr>
              <w:t>a</w:t>
            </w:r>
            <w:r w:rsidRPr="00965301">
              <w:rPr>
                <w:spacing w:val="-1"/>
                <w:sz w:val="18"/>
                <w:szCs w:val="18"/>
              </w:rPr>
              <w:t>n</w:t>
            </w:r>
            <w:r w:rsidRPr="00965301">
              <w:rPr>
                <w:sz w:val="18"/>
                <w:szCs w:val="18"/>
              </w:rPr>
              <w:t>g d</w:t>
            </w:r>
            <w:r w:rsidRPr="00965301">
              <w:rPr>
                <w:spacing w:val="-1"/>
                <w:sz w:val="18"/>
                <w:szCs w:val="18"/>
              </w:rPr>
              <w:t>i</w:t>
            </w:r>
            <w:r w:rsidRPr="00965301">
              <w:rPr>
                <w:spacing w:val="2"/>
                <w:sz w:val="18"/>
                <w:szCs w:val="18"/>
              </w:rPr>
              <w:t>h</w:t>
            </w:r>
            <w:r w:rsidRPr="00965301">
              <w:rPr>
                <w:sz w:val="18"/>
                <w:szCs w:val="18"/>
              </w:rPr>
              <w:t>arap</w:t>
            </w:r>
            <w:r w:rsidRPr="00965301">
              <w:rPr>
                <w:spacing w:val="3"/>
                <w:sz w:val="18"/>
                <w:szCs w:val="18"/>
              </w:rPr>
              <w:t>k</w:t>
            </w:r>
            <w:r w:rsidRPr="00965301">
              <w:rPr>
                <w:sz w:val="18"/>
                <w:szCs w:val="18"/>
              </w:rPr>
              <w:t xml:space="preserve">an </w:t>
            </w:r>
            <w:r w:rsidRPr="00965301">
              <w:rPr>
                <w:spacing w:val="-1"/>
                <w:sz w:val="18"/>
                <w:szCs w:val="18"/>
              </w:rPr>
              <w:t>dapat</w:t>
            </w:r>
            <w:r w:rsidRPr="00965301">
              <w:rPr>
                <w:spacing w:val="8"/>
                <w:sz w:val="18"/>
                <w:szCs w:val="18"/>
              </w:rPr>
              <w:t xml:space="preserve"> </w:t>
            </w:r>
            <w:r w:rsidRPr="00965301">
              <w:rPr>
                <w:bCs w:val="0"/>
                <w:sz w:val="18"/>
                <w:szCs w:val="18"/>
              </w:rPr>
              <w:t>ter</w:t>
            </w:r>
            <w:r w:rsidRPr="00965301">
              <w:rPr>
                <w:bCs w:val="0"/>
                <w:spacing w:val="2"/>
                <w:sz w:val="18"/>
                <w:szCs w:val="18"/>
              </w:rPr>
              <w:t>t</w:t>
            </w:r>
            <w:r w:rsidRPr="00965301">
              <w:rPr>
                <w:bCs w:val="0"/>
                <w:sz w:val="18"/>
                <w:szCs w:val="18"/>
              </w:rPr>
              <w:t>a</w:t>
            </w:r>
            <w:r w:rsidRPr="00965301">
              <w:rPr>
                <w:bCs w:val="0"/>
                <w:spacing w:val="-1"/>
                <w:sz w:val="18"/>
                <w:szCs w:val="18"/>
              </w:rPr>
              <w:t>g</w:t>
            </w:r>
            <w:r w:rsidRPr="00965301">
              <w:rPr>
                <w:bCs w:val="0"/>
                <w:spacing w:val="1"/>
                <w:sz w:val="18"/>
                <w:szCs w:val="18"/>
              </w:rPr>
              <w:t>i</w:t>
            </w:r>
            <w:r w:rsidRPr="00965301">
              <w:rPr>
                <w:bCs w:val="0"/>
                <w:sz w:val="18"/>
                <w:szCs w:val="18"/>
              </w:rPr>
              <w:t>h</w:t>
            </w:r>
            <w:r w:rsidRPr="00965301">
              <w:rPr>
                <w:sz w:val="18"/>
                <w:szCs w:val="18"/>
              </w:rPr>
              <w:t>.</w:t>
            </w:r>
            <w:r w:rsidRPr="00965301">
              <w:rPr>
                <w:spacing w:val="6"/>
                <w:sz w:val="18"/>
                <w:szCs w:val="18"/>
              </w:rPr>
              <w:t xml:space="preserve"> </w:t>
            </w:r>
            <w:r w:rsidRPr="00965301">
              <w:rPr>
                <w:spacing w:val="-1"/>
                <w:sz w:val="18"/>
                <w:szCs w:val="18"/>
              </w:rPr>
              <w:t>P</w:t>
            </w:r>
            <w:r w:rsidRPr="00965301">
              <w:rPr>
                <w:sz w:val="18"/>
                <w:szCs w:val="18"/>
              </w:rPr>
              <w:t>e</w:t>
            </w:r>
            <w:r w:rsidRPr="00965301">
              <w:rPr>
                <w:spacing w:val="4"/>
                <w:sz w:val="18"/>
                <w:szCs w:val="18"/>
              </w:rPr>
              <w:t>n</w:t>
            </w:r>
            <w:r w:rsidRPr="00965301">
              <w:rPr>
                <w:spacing w:val="-4"/>
                <w:sz w:val="18"/>
                <w:szCs w:val="18"/>
              </w:rPr>
              <w:t>y</w:t>
            </w:r>
            <w:r w:rsidRPr="00965301">
              <w:rPr>
                <w:spacing w:val="-1"/>
                <w:sz w:val="18"/>
                <w:szCs w:val="18"/>
              </w:rPr>
              <w:t>i</w:t>
            </w:r>
            <w:r w:rsidRPr="00965301">
              <w:rPr>
                <w:spacing w:val="3"/>
                <w:sz w:val="18"/>
                <w:szCs w:val="18"/>
              </w:rPr>
              <w:t>s</w:t>
            </w:r>
            <w:r w:rsidRPr="00965301">
              <w:rPr>
                <w:spacing w:val="-1"/>
                <w:sz w:val="18"/>
                <w:szCs w:val="18"/>
              </w:rPr>
              <w:t>i</w:t>
            </w:r>
            <w:r w:rsidRPr="00965301">
              <w:rPr>
                <w:sz w:val="18"/>
                <w:szCs w:val="18"/>
              </w:rPr>
              <w:t>h</w:t>
            </w:r>
            <w:r w:rsidRPr="00965301">
              <w:rPr>
                <w:spacing w:val="1"/>
                <w:sz w:val="18"/>
                <w:szCs w:val="18"/>
              </w:rPr>
              <w:t>a</w:t>
            </w:r>
            <w:r w:rsidRPr="00965301">
              <w:rPr>
                <w:sz w:val="18"/>
                <w:szCs w:val="18"/>
              </w:rPr>
              <w:t>n p</w:t>
            </w:r>
            <w:r w:rsidRPr="00965301">
              <w:rPr>
                <w:spacing w:val="-1"/>
                <w:sz w:val="18"/>
                <w:szCs w:val="18"/>
              </w:rPr>
              <w:t>e</w:t>
            </w:r>
            <w:r w:rsidRPr="00965301">
              <w:rPr>
                <w:sz w:val="18"/>
                <w:szCs w:val="18"/>
              </w:rPr>
              <w:t>n</w:t>
            </w:r>
            <w:r w:rsidRPr="00965301">
              <w:rPr>
                <w:spacing w:val="-1"/>
                <w:sz w:val="18"/>
                <w:szCs w:val="18"/>
              </w:rPr>
              <w:t>u</w:t>
            </w:r>
            <w:r w:rsidRPr="00965301">
              <w:rPr>
                <w:spacing w:val="3"/>
                <w:sz w:val="18"/>
                <w:szCs w:val="18"/>
              </w:rPr>
              <w:t>r</w:t>
            </w:r>
            <w:r w:rsidRPr="00965301">
              <w:rPr>
                <w:sz w:val="18"/>
                <w:szCs w:val="18"/>
              </w:rPr>
              <w:t>u</w:t>
            </w:r>
            <w:r w:rsidRPr="00965301">
              <w:rPr>
                <w:spacing w:val="-1"/>
                <w:sz w:val="18"/>
                <w:szCs w:val="18"/>
              </w:rPr>
              <w:t>n</w:t>
            </w:r>
            <w:r w:rsidRPr="00965301">
              <w:rPr>
                <w:spacing w:val="2"/>
                <w:sz w:val="18"/>
                <w:szCs w:val="18"/>
              </w:rPr>
              <w:t>a</w:t>
            </w:r>
            <w:r w:rsidRPr="00965301">
              <w:rPr>
                <w:sz w:val="18"/>
                <w:szCs w:val="18"/>
              </w:rPr>
              <w:t>n</w:t>
            </w:r>
            <w:r w:rsidRPr="00965301">
              <w:rPr>
                <w:spacing w:val="2"/>
                <w:sz w:val="18"/>
                <w:szCs w:val="18"/>
              </w:rPr>
              <w:t xml:space="preserve"> </w:t>
            </w:r>
            <w:r w:rsidRPr="00965301">
              <w:rPr>
                <w:sz w:val="18"/>
                <w:szCs w:val="18"/>
              </w:rPr>
              <w:t>n</w:t>
            </w:r>
            <w:r w:rsidRPr="00965301">
              <w:rPr>
                <w:spacing w:val="1"/>
                <w:sz w:val="18"/>
                <w:szCs w:val="18"/>
              </w:rPr>
              <w:t>i</w:t>
            </w:r>
            <w:r w:rsidRPr="00965301">
              <w:rPr>
                <w:spacing w:val="-1"/>
                <w:sz w:val="18"/>
                <w:szCs w:val="18"/>
              </w:rPr>
              <w:t>l</w:t>
            </w:r>
            <w:r w:rsidRPr="00965301">
              <w:rPr>
                <w:spacing w:val="2"/>
                <w:sz w:val="18"/>
                <w:szCs w:val="18"/>
              </w:rPr>
              <w:t>a</w:t>
            </w:r>
            <w:r w:rsidRPr="00965301">
              <w:rPr>
                <w:sz w:val="18"/>
                <w:szCs w:val="18"/>
              </w:rPr>
              <w:t>i</w:t>
            </w:r>
            <w:r w:rsidRPr="00965301">
              <w:rPr>
                <w:spacing w:val="8"/>
                <w:sz w:val="18"/>
                <w:szCs w:val="18"/>
              </w:rPr>
              <w:t xml:space="preserve"> </w:t>
            </w:r>
            <w:r w:rsidRPr="00965301">
              <w:rPr>
                <w:sz w:val="18"/>
                <w:szCs w:val="18"/>
              </w:rPr>
              <w:t>d</w:t>
            </w:r>
            <w:r w:rsidRPr="00965301">
              <w:rPr>
                <w:spacing w:val="1"/>
                <w:sz w:val="18"/>
                <w:szCs w:val="18"/>
              </w:rPr>
              <w:t>i</w:t>
            </w:r>
            <w:r w:rsidRPr="00965301">
              <w:rPr>
                <w:sz w:val="18"/>
                <w:szCs w:val="18"/>
              </w:rPr>
              <w:t>b</w:t>
            </w:r>
            <w:r w:rsidRPr="00965301">
              <w:rPr>
                <w:spacing w:val="-1"/>
                <w:sz w:val="18"/>
                <w:szCs w:val="18"/>
              </w:rPr>
              <w:t>e</w:t>
            </w:r>
            <w:r w:rsidRPr="00965301">
              <w:rPr>
                <w:sz w:val="18"/>
                <w:szCs w:val="18"/>
              </w:rPr>
              <w:t>n</w:t>
            </w:r>
            <w:r w:rsidRPr="00965301">
              <w:rPr>
                <w:spacing w:val="2"/>
                <w:sz w:val="18"/>
                <w:szCs w:val="18"/>
              </w:rPr>
              <w:t>t</w:t>
            </w:r>
            <w:r w:rsidRPr="00965301">
              <w:rPr>
                <w:sz w:val="18"/>
                <w:szCs w:val="18"/>
              </w:rPr>
              <w:t>uk</w:t>
            </w:r>
            <w:r w:rsidRPr="00965301">
              <w:rPr>
                <w:spacing w:val="5"/>
                <w:sz w:val="18"/>
                <w:szCs w:val="18"/>
              </w:rPr>
              <w:t xml:space="preserve"> </w:t>
            </w:r>
            <w:r w:rsidRPr="00965301">
              <w:rPr>
                <w:sz w:val="18"/>
                <w:szCs w:val="18"/>
              </w:rPr>
              <w:t>b</w:t>
            </w:r>
            <w:r w:rsidRPr="00965301">
              <w:rPr>
                <w:spacing w:val="-1"/>
                <w:sz w:val="18"/>
                <w:szCs w:val="18"/>
              </w:rPr>
              <w:t>e</w:t>
            </w:r>
            <w:r w:rsidRPr="00965301">
              <w:rPr>
                <w:spacing w:val="1"/>
                <w:sz w:val="18"/>
                <w:szCs w:val="18"/>
              </w:rPr>
              <w:t>r</w:t>
            </w:r>
            <w:r w:rsidRPr="00965301">
              <w:rPr>
                <w:sz w:val="18"/>
                <w:szCs w:val="18"/>
              </w:rPr>
              <w:t>d</w:t>
            </w:r>
            <w:r w:rsidRPr="00965301">
              <w:rPr>
                <w:spacing w:val="-1"/>
                <w:sz w:val="18"/>
                <w:szCs w:val="18"/>
              </w:rPr>
              <w:t>a</w:t>
            </w:r>
            <w:r w:rsidRPr="00965301">
              <w:rPr>
                <w:spacing w:val="1"/>
                <w:sz w:val="18"/>
                <w:szCs w:val="18"/>
              </w:rPr>
              <w:t>s</w:t>
            </w:r>
            <w:r w:rsidRPr="00965301">
              <w:rPr>
                <w:sz w:val="18"/>
                <w:szCs w:val="18"/>
              </w:rPr>
              <w:t>ar</w:t>
            </w:r>
            <w:r w:rsidRPr="00965301">
              <w:rPr>
                <w:spacing w:val="4"/>
                <w:sz w:val="18"/>
                <w:szCs w:val="18"/>
              </w:rPr>
              <w:t>k</w:t>
            </w:r>
            <w:r w:rsidRPr="00965301">
              <w:rPr>
                <w:sz w:val="18"/>
                <w:szCs w:val="18"/>
              </w:rPr>
              <w:t>an h</w:t>
            </w:r>
            <w:r w:rsidRPr="00965301">
              <w:rPr>
                <w:spacing w:val="-1"/>
                <w:sz w:val="18"/>
                <w:szCs w:val="18"/>
              </w:rPr>
              <w:t>a</w:t>
            </w:r>
            <w:r w:rsidRPr="00965301">
              <w:rPr>
                <w:spacing w:val="1"/>
                <w:sz w:val="18"/>
                <w:szCs w:val="18"/>
              </w:rPr>
              <w:t>s</w:t>
            </w:r>
            <w:r w:rsidRPr="00965301">
              <w:rPr>
                <w:spacing w:val="-1"/>
                <w:sz w:val="18"/>
                <w:szCs w:val="18"/>
              </w:rPr>
              <w:t>i</w:t>
            </w:r>
            <w:r w:rsidRPr="00965301">
              <w:rPr>
                <w:sz w:val="18"/>
                <w:szCs w:val="18"/>
              </w:rPr>
              <w:t>l p</w:t>
            </w:r>
            <w:r w:rsidRPr="00965301">
              <w:rPr>
                <w:spacing w:val="-1"/>
                <w:sz w:val="18"/>
                <w:szCs w:val="18"/>
              </w:rPr>
              <w:t>e</w:t>
            </w:r>
            <w:r w:rsidRPr="00965301">
              <w:rPr>
                <w:sz w:val="18"/>
                <w:szCs w:val="18"/>
              </w:rPr>
              <w:t>n</w:t>
            </w:r>
            <w:r w:rsidRPr="00965301">
              <w:rPr>
                <w:spacing w:val="1"/>
                <w:sz w:val="18"/>
                <w:szCs w:val="18"/>
              </w:rPr>
              <w:t>e</w:t>
            </w:r>
            <w:r w:rsidRPr="00965301">
              <w:rPr>
                <w:spacing w:val="-1"/>
                <w:sz w:val="18"/>
                <w:szCs w:val="18"/>
              </w:rPr>
              <w:t>l</w:t>
            </w:r>
            <w:r w:rsidRPr="00965301">
              <w:rPr>
                <w:spacing w:val="2"/>
                <w:sz w:val="18"/>
                <w:szCs w:val="18"/>
              </w:rPr>
              <w:t>a</w:t>
            </w:r>
            <w:r w:rsidRPr="00965301">
              <w:rPr>
                <w:sz w:val="18"/>
                <w:szCs w:val="18"/>
              </w:rPr>
              <w:t>a</w:t>
            </w:r>
            <w:r w:rsidRPr="00965301">
              <w:rPr>
                <w:spacing w:val="-1"/>
                <w:sz w:val="18"/>
                <w:szCs w:val="18"/>
              </w:rPr>
              <w:t>h</w:t>
            </w:r>
            <w:r w:rsidRPr="00965301">
              <w:rPr>
                <w:spacing w:val="2"/>
                <w:sz w:val="18"/>
                <w:szCs w:val="18"/>
              </w:rPr>
              <w:t>a</w:t>
            </w:r>
            <w:r w:rsidRPr="00965301">
              <w:rPr>
                <w:sz w:val="18"/>
                <w:szCs w:val="18"/>
              </w:rPr>
              <w:t>n a</w:t>
            </w:r>
            <w:r w:rsidRPr="00965301">
              <w:rPr>
                <w:spacing w:val="2"/>
                <w:sz w:val="18"/>
                <w:szCs w:val="18"/>
              </w:rPr>
              <w:t>t</w:t>
            </w:r>
            <w:r w:rsidRPr="00965301">
              <w:rPr>
                <w:sz w:val="18"/>
                <w:szCs w:val="18"/>
              </w:rPr>
              <w:t>as</w:t>
            </w:r>
            <w:r w:rsidRPr="00965301">
              <w:rPr>
                <w:spacing w:val="8"/>
                <w:sz w:val="18"/>
                <w:szCs w:val="18"/>
              </w:rPr>
              <w:t xml:space="preserve"> </w:t>
            </w:r>
            <w:r w:rsidRPr="00965301">
              <w:rPr>
                <w:spacing w:val="3"/>
                <w:sz w:val="18"/>
                <w:szCs w:val="18"/>
              </w:rPr>
              <w:t>k</w:t>
            </w:r>
            <w:r w:rsidRPr="00965301">
              <w:rPr>
                <w:sz w:val="18"/>
                <w:szCs w:val="18"/>
              </w:rPr>
              <w:t>e</w:t>
            </w:r>
            <w:r w:rsidRPr="00965301">
              <w:rPr>
                <w:spacing w:val="-1"/>
                <w:sz w:val="18"/>
                <w:szCs w:val="18"/>
              </w:rPr>
              <w:t>a</w:t>
            </w:r>
            <w:r w:rsidRPr="00965301">
              <w:rPr>
                <w:sz w:val="18"/>
                <w:szCs w:val="18"/>
              </w:rPr>
              <w:t>d</w:t>
            </w:r>
            <w:r w:rsidRPr="00965301">
              <w:rPr>
                <w:spacing w:val="-1"/>
                <w:sz w:val="18"/>
                <w:szCs w:val="18"/>
              </w:rPr>
              <w:t>a</w:t>
            </w:r>
            <w:r w:rsidRPr="00965301">
              <w:rPr>
                <w:spacing w:val="2"/>
                <w:sz w:val="18"/>
                <w:szCs w:val="18"/>
              </w:rPr>
              <w:t>a</w:t>
            </w:r>
            <w:r w:rsidRPr="00965301">
              <w:rPr>
                <w:sz w:val="18"/>
                <w:szCs w:val="18"/>
              </w:rPr>
              <w:t>n</w:t>
            </w:r>
            <w:r w:rsidRPr="00965301">
              <w:rPr>
                <w:spacing w:val="3"/>
                <w:sz w:val="18"/>
                <w:szCs w:val="18"/>
              </w:rPr>
              <w:t xml:space="preserve"> </w:t>
            </w:r>
            <w:r w:rsidRPr="00965301">
              <w:rPr>
                <w:sz w:val="18"/>
                <w:szCs w:val="18"/>
              </w:rPr>
              <w:t>p</w:t>
            </w:r>
            <w:r w:rsidRPr="00965301">
              <w:rPr>
                <w:spacing w:val="1"/>
                <w:sz w:val="18"/>
                <w:szCs w:val="18"/>
              </w:rPr>
              <w:t>i</w:t>
            </w:r>
            <w:r w:rsidRPr="00965301">
              <w:rPr>
                <w:sz w:val="18"/>
                <w:szCs w:val="18"/>
              </w:rPr>
              <w:t>ut</w:t>
            </w:r>
            <w:r w:rsidRPr="00965301">
              <w:rPr>
                <w:spacing w:val="1"/>
                <w:sz w:val="18"/>
                <w:szCs w:val="18"/>
              </w:rPr>
              <w:t>a</w:t>
            </w:r>
            <w:r w:rsidRPr="00965301">
              <w:rPr>
                <w:sz w:val="18"/>
                <w:szCs w:val="18"/>
              </w:rPr>
              <w:t>ng</w:t>
            </w:r>
            <w:r w:rsidRPr="00965301">
              <w:rPr>
                <w:spacing w:val="3"/>
                <w:sz w:val="18"/>
                <w:szCs w:val="18"/>
              </w:rPr>
              <w:t xml:space="preserve"> </w:t>
            </w:r>
            <w:r w:rsidRPr="00965301">
              <w:rPr>
                <w:spacing w:val="4"/>
                <w:sz w:val="18"/>
                <w:szCs w:val="18"/>
              </w:rPr>
              <w:t>m</w:t>
            </w:r>
            <w:r w:rsidRPr="00965301">
              <w:rPr>
                <w:sz w:val="18"/>
                <w:szCs w:val="18"/>
              </w:rPr>
              <w:t>a</w:t>
            </w:r>
            <w:r w:rsidRPr="00965301">
              <w:rPr>
                <w:spacing w:val="1"/>
                <w:sz w:val="18"/>
                <w:szCs w:val="18"/>
              </w:rPr>
              <w:t>s</w:t>
            </w:r>
            <w:r w:rsidRPr="00965301">
              <w:rPr>
                <w:spacing w:val="-1"/>
                <w:sz w:val="18"/>
                <w:szCs w:val="18"/>
              </w:rPr>
              <w:t>i</w:t>
            </w:r>
            <w:r w:rsidRPr="00965301">
              <w:rPr>
                <w:sz w:val="18"/>
                <w:szCs w:val="18"/>
              </w:rPr>
              <w:t>n</w:t>
            </w:r>
            <w:r w:rsidRPr="00965301">
              <w:rPr>
                <w:spacing w:val="4"/>
                <w:sz w:val="18"/>
                <w:szCs w:val="18"/>
              </w:rPr>
              <w:t>g</w:t>
            </w:r>
            <w:r w:rsidR="00037369" w:rsidRPr="00965301">
              <w:rPr>
                <w:sz w:val="18"/>
                <w:szCs w:val="18"/>
              </w:rPr>
              <w:t>-</w:t>
            </w:r>
            <w:r w:rsidRPr="00965301">
              <w:rPr>
                <w:sz w:val="18"/>
                <w:szCs w:val="18"/>
              </w:rPr>
              <w:t xml:space="preserve"> </w:t>
            </w:r>
            <w:r w:rsidRPr="00965301">
              <w:rPr>
                <w:spacing w:val="4"/>
                <w:sz w:val="18"/>
                <w:szCs w:val="18"/>
              </w:rPr>
              <w:t>m</w:t>
            </w:r>
            <w:r w:rsidRPr="00965301">
              <w:rPr>
                <w:spacing w:val="-3"/>
                <w:sz w:val="18"/>
                <w:szCs w:val="18"/>
              </w:rPr>
              <w:t>a</w:t>
            </w:r>
            <w:r w:rsidRPr="00965301">
              <w:rPr>
                <w:spacing w:val="1"/>
                <w:sz w:val="18"/>
                <w:szCs w:val="18"/>
              </w:rPr>
              <w:t>s</w:t>
            </w:r>
            <w:r w:rsidRPr="00965301">
              <w:rPr>
                <w:spacing w:val="-1"/>
                <w:sz w:val="18"/>
                <w:szCs w:val="18"/>
              </w:rPr>
              <w:t>i</w:t>
            </w:r>
            <w:r w:rsidRPr="00965301">
              <w:rPr>
                <w:sz w:val="18"/>
                <w:szCs w:val="18"/>
              </w:rPr>
              <w:t>ng</w:t>
            </w:r>
            <w:r w:rsidRPr="00965301">
              <w:rPr>
                <w:spacing w:val="-7"/>
                <w:sz w:val="18"/>
                <w:szCs w:val="18"/>
              </w:rPr>
              <w:t xml:space="preserve"> </w:t>
            </w:r>
            <w:r w:rsidRPr="00965301">
              <w:rPr>
                <w:spacing w:val="2"/>
                <w:sz w:val="18"/>
                <w:szCs w:val="18"/>
              </w:rPr>
              <w:t>p</w:t>
            </w:r>
            <w:r w:rsidRPr="00965301">
              <w:rPr>
                <w:sz w:val="18"/>
                <w:szCs w:val="18"/>
              </w:rPr>
              <w:t>e</w:t>
            </w:r>
            <w:r w:rsidRPr="00965301">
              <w:rPr>
                <w:spacing w:val="-1"/>
                <w:sz w:val="18"/>
                <w:szCs w:val="18"/>
              </w:rPr>
              <w:t>l</w:t>
            </w:r>
            <w:r w:rsidRPr="00965301">
              <w:rPr>
                <w:spacing w:val="2"/>
                <w:sz w:val="18"/>
                <w:szCs w:val="18"/>
              </w:rPr>
              <w:t>a</w:t>
            </w:r>
            <w:r w:rsidRPr="00965301">
              <w:rPr>
                <w:sz w:val="18"/>
                <w:szCs w:val="18"/>
              </w:rPr>
              <w:t>n</w:t>
            </w:r>
            <w:r w:rsidRPr="00965301">
              <w:rPr>
                <w:spacing w:val="-1"/>
                <w:sz w:val="18"/>
                <w:szCs w:val="18"/>
              </w:rPr>
              <w:t>g</w:t>
            </w:r>
            <w:r w:rsidRPr="00965301">
              <w:rPr>
                <w:spacing w:val="2"/>
                <w:sz w:val="18"/>
                <w:szCs w:val="18"/>
              </w:rPr>
              <w:t>g</w:t>
            </w:r>
            <w:r w:rsidRPr="00965301">
              <w:rPr>
                <w:sz w:val="18"/>
                <w:szCs w:val="18"/>
              </w:rPr>
              <w:t>an</w:t>
            </w:r>
            <w:r w:rsidRPr="00965301">
              <w:rPr>
                <w:spacing w:val="-8"/>
                <w:sz w:val="18"/>
                <w:szCs w:val="18"/>
              </w:rPr>
              <w:t xml:space="preserve"> </w:t>
            </w:r>
            <w:r w:rsidRPr="00965301">
              <w:rPr>
                <w:sz w:val="18"/>
                <w:szCs w:val="18"/>
              </w:rPr>
              <w:t>p</w:t>
            </w:r>
            <w:r w:rsidRPr="00965301">
              <w:rPr>
                <w:spacing w:val="-1"/>
                <w:sz w:val="18"/>
                <w:szCs w:val="18"/>
              </w:rPr>
              <w:t>a</w:t>
            </w:r>
            <w:r w:rsidRPr="00965301">
              <w:rPr>
                <w:spacing w:val="2"/>
                <w:sz w:val="18"/>
                <w:szCs w:val="18"/>
              </w:rPr>
              <w:t>d</w:t>
            </w:r>
            <w:r w:rsidRPr="00965301">
              <w:rPr>
                <w:sz w:val="18"/>
                <w:szCs w:val="18"/>
              </w:rPr>
              <w:t>a</w:t>
            </w:r>
            <w:r w:rsidRPr="00965301">
              <w:rPr>
                <w:spacing w:val="-4"/>
                <w:sz w:val="18"/>
                <w:szCs w:val="18"/>
              </w:rPr>
              <w:t xml:space="preserve"> </w:t>
            </w:r>
            <w:r w:rsidRPr="00965301">
              <w:rPr>
                <w:spacing w:val="-1"/>
                <w:sz w:val="18"/>
                <w:szCs w:val="18"/>
              </w:rPr>
              <w:t>a</w:t>
            </w:r>
            <w:r w:rsidRPr="00965301">
              <w:rPr>
                <w:spacing w:val="3"/>
                <w:sz w:val="18"/>
                <w:szCs w:val="18"/>
              </w:rPr>
              <w:t>k</w:t>
            </w:r>
            <w:r w:rsidRPr="00965301">
              <w:rPr>
                <w:sz w:val="18"/>
                <w:szCs w:val="18"/>
              </w:rPr>
              <w:t>h</w:t>
            </w:r>
            <w:r w:rsidRPr="00965301">
              <w:rPr>
                <w:spacing w:val="-1"/>
                <w:sz w:val="18"/>
                <w:szCs w:val="18"/>
              </w:rPr>
              <w:t>i</w:t>
            </w:r>
            <w:r w:rsidRPr="00965301">
              <w:rPr>
                <w:sz w:val="18"/>
                <w:szCs w:val="18"/>
              </w:rPr>
              <w:t>r</w:t>
            </w:r>
            <w:r w:rsidRPr="00965301">
              <w:rPr>
                <w:spacing w:val="-3"/>
                <w:sz w:val="18"/>
                <w:szCs w:val="18"/>
              </w:rPr>
              <w:t xml:space="preserve"> </w:t>
            </w:r>
            <w:r w:rsidRPr="00965301">
              <w:rPr>
                <w:sz w:val="18"/>
                <w:szCs w:val="18"/>
              </w:rPr>
              <w:t>t</w:t>
            </w:r>
            <w:r w:rsidRPr="00965301">
              <w:rPr>
                <w:spacing w:val="1"/>
                <w:sz w:val="18"/>
                <w:szCs w:val="18"/>
              </w:rPr>
              <w:t>a</w:t>
            </w:r>
            <w:r w:rsidRPr="00965301">
              <w:rPr>
                <w:sz w:val="18"/>
                <w:szCs w:val="18"/>
              </w:rPr>
              <w:t>h</w:t>
            </w:r>
            <w:r w:rsidRPr="00965301">
              <w:rPr>
                <w:spacing w:val="-1"/>
                <w:sz w:val="18"/>
                <w:szCs w:val="18"/>
              </w:rPr>
              <w:t>u</w:t>
            </w:r>
            <w:r w:rsidRPr="00965301">
              <w:rPr>
                <w:sz w:val="18"/>
                <w:szCs w:val="18"/>
              </w:rPr>
              <w:t>n.</w:t>
            </w:r>
          </w:p>
        </w:tc>
        <w:tc>
          <w:tcPr>
            <w:tcW w:w="4709" w:type="dxa"/>
          </w:tcPr>
          <w:p w14:paraId="7371F3B7" w14:textId="77777777" w:rsidR="009456EB" w:rsidRPr="00965301" w:rsidRDefault="009456EB" w:rsidP="0013526B">
            <w:pPr>
              <w:ind w:left="567" w:right="-57"/>
              <w:jc w:val="both"/>
              <w:rPr>
                <w:bCs w:val="0"/>
                <w:i/>
                <w:sz w:val="18"/>
                <w:szCs w:val="18"/>
              </w:rPr>
            </w:pPr>
            <w:r w:rsidRPr="00965301">
              <w:rPr>
                <w:i/>
                <w:iCs/>
                <w:sz w:val="18"/>
                <w:szCs w:val="18"/>
              </w:rPr>
              <w:t>T</w:t>
            </w:r>
            <w:r w:rsidRPr="00965301">
              <w:rPr>
                <w:i/>
                <w:iCs/>
                <w:spacing w:val="1"/>
                <w:sz w:val="18"/>
                <w:szCs w:val="18"/>
              </w:rPr>
              <w:t>r</w:t>
            </w:r>
            <w:r w:rsidRPr="00965301">
              <w:rPr>
                <w:i/>
                <w:iCs/>
                <w:sz w:val="18"/>
                <w:szCs w:val="18"/>
              </w:rPr>
              <w:t>a</w:t>
            </w:r>
            <w:r w:rsidRPr="00965301">
              <w:rPr>
                <w:i/>
                <w:iCs/>
                <w:spacing w:val="-1"/>
                <w:sz w:val="18"/>
                <w:szCs w:val="18"/>
              </w:rPr>
              <w:t>d</w:t>
            </w:r>
            <w:r w:rsidRPr="00965301">
              <w:rPr>
                <w:i/>
                <w:iCs/>
                <w:sz w:val="18"/>
                <w:szCs w:val="18"/>
              </w:rPr>
              <w:t>e</w:t>
            </w:r>
            <w:r w:rsidRPr="00965301">
              <w:rPr>
                <w:i/>
                <w:iCs/>
                <w:spacing w:val="4"/>
                <w:sz w:val="18"/>
                <w:szCs w:val="18"/>
              </w:rPr>
              <w:t xml:space="preserve"> </w:t>
            </w:r>
            <w:r w:rsidRPr="00965301">
              <w:rPr>
                <w:i/>
                <w:iCs/>
                <w:spacing w:val="1"/>
                <w:sz w:val="18"/>
                <w:szCs w:val="18"/>
              </w:rPr>
              <w:t>r</w:t>
            </w:r>
            <w:r w:rsidRPr="00965301">
              <w:rPr>
                <w:i/>
                <w:iCs/>
                <w:sz w:val="18"/>
                <w:szCs w:val="18"/>
              </w:rPr>
              <w:t>e</w:t>
            </w:r>
            <w:r w:rsidRPr="00965301">
              <w:rPr>
                <w:i/>
                <w:iCs/>
                <w:spacing w:val="1"/>
                <w:sz w:val="18"/>
                <w:szCs w:val="18"/>
              </w:rPr>
              <w:t>c</w:t>
            </w:r>
            <w:r w:rsidRPr="00965301">
              <w:rPr>
                <w:i/>
                <w:iCs/>
                <w:sz w:val="18"/>
                <w:szCs w:val="18"/>
              </w:rPr>
              <w:t>e</w:t>
            </w:r>
            <w:r w:rsidRPr="00965301">
              <w:rPr>
                <w:i/>
                <w:iCs/>
                <w:spacing w:val="-1"/>
                <w:sz w:val="18"/>
                <w:szCs w:val="18"/>
              </w:rPr>
              <w:t>i</w:t>
            </w:r>
            <w:r w:rsidRPr="00965301">
              <w:rPr>
                <w:i/>
                <w:iCs/>
                <w:spacing w:val="1"/>
                <w:sz w:val="18"/>
                <w:szCs w:val="18"/>
              </w:rPr>
              <w:t>v</w:t>
            </w:r>
            <w:r w:rsidRPr="00965301">
              <w:rPr>
                <w:i/>
                <w:iCs/>
                <w:sz w:val="18"/>
                <w:szCs w:val="18"/>
              </w:rPr>
              <w:t>a</w:t>
            </w:r>
            <w:r w:rsidRPr="00965301">
              <w:rPr>
                <w:i/>
                <w:iCs/>
                <w:spacing w:val="1"/>
                <w:sz w:val="18"/>
                <w:szCs w:val="18"/>
              </w:rPr>
              <w:t>b</w:t>
            </w:r>
            <w:r w:rsidRPr="00965301">
              <w:rPr>
                <w:i/>
                <w:iCs/>
                <w:spacing w:val="-1"/>
                <w:sz w:val="18"/>
                <w:szCs w:val="18"/>
              </w:rPr>
              <w:t>l</w:t>
            </w:r>
            <w:r w:rsidRPr="00965301">
              <w:rPr>
                <w:i/>
                <w:iCs/>
                <w:sz w:val="18"/>
                <w:szCs w:val="18"/>
              </w:rPr>
              <w:t>es are</w:t>
            </w:r>
            <w:r w:rsidRPr="00965301">
              <w:rPr>
                <w:i/>
                <w:iCs/>
                <w:spacing w:val="9"/>
                <w:sz w:val="18"/>
                <w:szCs w:val="18"/>
              </w:rPr>
              <w:t xml:space="preserve"> </w:t>
            </w:r>
            <w:r w:rsidRPr="00965301">
              <w:rPr>
                <w:i/>
                <w:iCs/>
                <w:spacing w:val="1"/>
                <w:sz w:val="18"/>
                <w:szCs w:val="18"/>
              </w:rPr>
              <w:t>s</w:t>
            </w:r>
            <w:r w:rsidRPr="00965301">
              <w:rPr>
                <w:i/>
                <w:iCs/>
                <w:sz w:val="18"/>
                <w:szCs w:val="18"/>
              </w:rPr>
              <w:t>ta</w:t>
            </w:r>
            <w:r w:rsidRPr="00965301">
              <w:rPr>
                <w:i/>
                <w:iCs/>
                <w:spacing w:val="-1"/>
                <w:sz w:val="18"/>
                <w:szCs w:val="18"/>
              </w:rPr>
              <w:t>t</w:t>
            </w:r>
            <w:r w:rsidRPr="00965301">
              <w:rPr>
                <w:i/>
                <w:iCs/>
                <w:sz w:val="18"/>
                <w:szCs w:val="18"/>
              </w:rPr>
              <w:t>ed</w:t>
            </w:r>
            <w:r w:rsidRPr="00965301">
              <w:rPr>
                <w:i/>
                <w:iCs/>
                <w:spacing w:val="4"/>
                <w:sz w:val="18"/>
                <w:szCs w:val="18"/>
              </w:rPr>
              <w:t xml:space="preserve"> </w:t>
            </w:r>
            <w:r w:rsidRPr="00965301">
              <w:rPr>
                <w:i/>
                <w:iCs/>
                <w:sz w:val="18"/>
                <w:szCs w:val="18"/>
              </w:rPr>
              <w:t>at</w:t>
            </w:r>
            <w:r w:rsidRPr="00965301">
              <w:rPr>
                <w:i/>
                <w:iCs/>
                <w:spacing w:val="7"/>
                <w:sz w:val="18"/>
                <w:szCs w:val="18"/>
              </w:rPr>
              <w:t xml:space="preserve"> </w:t>
            </w:r>
            <w:r w:rsidRPr="00965301">
              <w:rPr>
                <w:i/>
                <w:iCs/>
                <w:spacing w:val="2"/>
                <w:sz w:val="18"/>
                <w:szCs w:val="18"/>
              </w:rPr>
              <w:t>a</w:t>
            </w:r>
            <w:r w:rsidRPr="00965301">
              <w:rPr>
                <w:i/>
                <w:iCs/>
                <w:sz w:val="18"/>
                <w:szCs w:val="18"/>
              </w:rPr>
              <w:t>m</w:t>
            </w:r>
            <w:r w:rsidRPr="00965301">
              <w:rPr>
                <w:i/>
                <w:iCs/>
                <w:spacing w:val="-1"/>
                <w:sz w:val="18"/>
                <w:szCs w:val="18"/>
              </w:rPr>
              <w:t>o</w:t>
            </w:r>
            <w:r w:rsidRPr="00965301">
              <w:rPr>
                <w:i/>
                <w:iCs/>
                <w:spacing w:val="2"/>
                <w:sz w:val="18"/>
                <w:szCs w:val="18"/>
              </w:rPr>
              <w:t>u</w:t>
            </w:r>
            <w:r w:rsidRPr="00965301">
              <w:rPr>
                <w:i/>
                <w:iCs/>
                <w:sz w:val="18"/>
                <w:szCs w:val="18"/>
              </w:rPr>
              <w:t>nt e</w:t>
            </w:r>
            <w:r w:rsidRPr="00965301">
              <w:rPr>
                <w:i/>
                <w:iCs/>
                <w:spacing w:val="1"/>
                <w:sz w:val="18"/>
                <w:szCs w:val="18"/>
              </w:rPr>
              <w:t>x</w:t>
            </w:r>
            <w:r w:rsidRPr="00965301">
              <w:rPr>
                <w:i/>
                <w:iCs/>
                <w:sz w:val="18"/>
                <w:szCs w:val="18"/>
              </w:rPr>
              <w:t>p</w:t>
            </w:r>
            <w:r w:rsidRPr="00965301">
              <w:rPr>
                <w:i/>
                <w:iCs/>
                <w:spacing w:val="-1"/>
                <w:sz w:val="18"/>
                <w:szCs w:val="18"/>
              </w:rPr>
              <w:t>e</w:t>
            </w:r>
            <w:r w:rsidRPr="00965301">
              <w:rPr>
                <w:i/>
                <w:iCs/>
                <w:spacing w:val="1"/>
                <w:sz w:val="18"/>
                <w:szCs w:val="18"/>
              </w:rPr>
              <w:t>c</w:t>
            </w:r>
            <w:r w:rsidRPr="00965301">
              <w:rPr>
                <w:i/>
                <w:iCs/>
                <w:sz w:val="18"/>
                <w:szCs w:val="18"/>
              </w:rPr>
              <w:t>ted to</w:t>
            </w:r>
            <w:r w:rsidRPr="00965301">
              <w:rPr>
                <w:i/>
                <w:iCs/>
                <w:spacing w:val="7"/>
                <w:sz w:val="18"/>
                <w:szCs w:val="18"/>
              </w:rPr>
              <w:t xml:space="preserve"> </w:t>
            </w:r>
            <w:r w:rsidRPr="00965301">
              <w:rPr>
                <w:i/>
                <w:iCs/>
                <w:spacing w:val="2"/>
                <w:sz w:val="18"/>
                <w:szCs w:val="18"/>
              </w:rPr>
              <w:t>b</w:t>
            </w:r>
            <w:r w:rsidRPr="00965301">
              <w:rPr>
                <w:i/>
                <w:iCs/>
                <w:sz w:val="18"/>
                <w:szCs w:val="18"/>
              </w:rPr>
              <w:t>e</w:t>
            </w:r>
            <w:r w:rsidRPr="00965301">
              <w:rPr>
                <w:i/>
                <w:iCs/>
                <w:spacing w:val="7"/>
                <w:sz w:val="18"/>
                <w:szCs w:val="18"/>
              </w:rPr>
              <w:t xml:space="preserve"> </w:t>
            </w:r>
            <w:r w:rsidRPr="00965301">
              <w:rPr>
                <w:i/>
                <w:iCs/>
                <w:spacing w:val="1"/>
                <w:sz w:val="18"/>
                <w:szCs w:val="18"/>
              </w:rPr>
              <w:t>c</w:t>
            </w:r>
            <w:r w:rsidRPr="00965301">
              <w:rPr>
                <w:i/>
                <w:iCs/>
                <w:spacing w:val="2"/>
                <w:sz w:val="18"/>
                <w:szCs w:val="18"/>
              </w:rPr>
              <w:t>o</w:t>
            </w:r>
            <w:r w:rsidRPr="00965301">
              <w:rPr>
                <w:i/>
                <w:iCs/>
                <w:spacing w:val="-1"/>
                <w:sz w:val="18"/>
                <w:szCs w:val="18"/>
              </w:rPr>
              <w:t>l</w:t>
            </w:r>
            <w:r w:rsidRPr="00965301">
              <w:rPr>
                <w:i/>
                <w:iCs/>
                <w:spacing w:val="1"/>
                <w:sz w:val="18"/>
                <w:szCs w:val="18"/>
              </w:rPr>
              <w:t>l</w:t>
            </w:r>
            <w:r w:rsidRPr="00965301">
              <w:rPr>
                <w:i/>
                <w:iCs/>
                <w:sz w:val="18"/>
                <w:szCs w:val="18"/>
              </w:rPr>
              <w:t>e</w:t>
            </w:r>
            <w:r w:rsidRPr="00965301">
              <w:rPr>
                <w:i/>
                <w:iCs/>
                <w:spacing w:val="1"/>
                <w:sz w:val="18"/>
                <w:szCs w:val="18"/>
              </w:rPr>
              <w:t>c</w:t>
            </w:r>
            <w:r w:rsidRPr="00965301">
              <w:rPr>
                <w:i/>
                <w:iCs/>
                <w:sz w:val="18"/>
                <w:szCs w:val="18"/>
              </w:rPr>
              <w:t>te</w:t>
            </w:r>
            <w:r w:rsidRPr="00965301">
              <w:rPr>
                <w:i/>
                <w:iCs/>
                <w:spacing w:val="-1"/>
                <w:sz w:val="18"/>
                <w:szCs w:val="18"/>
              </w:rPr>
              <w:t>d</w:t>
            </w:r>
            <w:r w:rsidRPr="00965301">
              <w:rPr>
                <w:i/>
                <w:iCs/>
                <w:sz w:val="18"/>
                <w:szCs w:val="18"/>
              </w:rPr>
              <w:t>.</w:t>
            </w:r>
            <w:r w:rsidRPr="00965301">
              <w:rPr>
                <w:i/>
                <w:iCs/>
                <w:spacing w:val="1"/>
                <w:sz w:val="18"/>
                <w:szCs w:val="18"/>
              </w:rPr>
              <w:t xml:space="preserve"> </w:t>
            </w:r>
            <w:r w:rsidRPr="00965301">
              <w:rPr>
                <w:i/>
                <w:iCs/>
                <w:spacing w:val="-1"/>
                <w:sz w:val="18"/>
                <w:szCs w:val="18"/>
              </w:rPr>
              <w:t>Allowance</w:t>
            </w:r>
            <w:r w:rsidRPr="00965301">
              <w:rPr>
                <w:i/>
                <w:iCs/>
                <w:sz w:val="18"/>
                <w:szCs w:val="18"/>
              </w:rPr>
              <w:t xml:space="preserve"> for </w:t>
            </w:r>
            <w:r w:rsidRPr="00965301">
              <w:rPr>
                <w:i/>
                <w:iCs/>
                <w:spacing w:val="-1"/>
                <w:sz w:val="18"/>
                <w:szCs w:val="18"/>
              </w:rPr>
              <w:t>i</w:t>
            </w:r>
            <w:r w:rsidRPr="00965301">
              <w:rPr>
                <w:i/>
                <w:iCs/>
                <w:sz w:val="18"/>
                <w:szCs w:val="18"/>
              </w:rPr>
              <w:t>m</w:t>
            </w:r>
            <w:r w:rsidRPr="00965301">
              <w:rPr>
                <w:i/>
                <w:iCs/>
                <w:spacing w:val="2"/>
                <w:sz w:val="18"/>
                <w:szCs w:val="18"/>
              </w:rPr>
              <w:t>p</w:t>
            </w:r>
            <w:r w:rsidRPr="00965301">
              <w:rPr>
                <w:i/>
                <w:iCs/>
                <w:sz w:val="18"/>
                <w:szCs w:val="18"/>
              </w:rPr>
              <w:t>a</w:t>
            </w:r>
            <w:r w:rsidRPr="00965301">
              <w:rPr>
                <w:i/>
                <w:iCs/>
                <w:spacing w:val="-1"/>
                <w:sz w:val="18"/>
                <w:szCs w:val="18"/>
              </w:rPr>
              <w:t>i</w:t>
            </w:r>
            <w:r w:rsidRPr="00965301">
              <w:rPr>
                <w:i/>
                <w:iCs/>
                <w:spacing w:val="1"/>
                <w:sz w:val="18"/>
                <w:szCs w:val="18"/>
              </w:rPr>
              <w:t>r</w:t>
            </w:r>
            <w:r w:rsidRPr="00965301">
              <w:rPr>
                <w:i/>
                <w:iCs/>
                <w:spacing w:val="2"/>
                <w:sz w:val="18"/>
                <w:szCs w:val="18"/>
              </w:rPr>
              <w:t>m</w:t>
            </w:r>
            <w:r w:rsidRPr="00965301">
              <w:rPr>
                <w:i/>
                <w:iCs/>
                <w:sz w:val="18"/>
                <w:szCs w:val="18"/>
              </w:rPr>
              <w:t>e</w:t>
            </w:r>
            <w:r w:rsidRPr="00965301">
              <w:rPr>
                <w:i/>
                <w:iCs/>
                <w:spacing w:val="-1"/>
                <w:sz w:val="18"/>
                <w:szCs w:val="18"/>
              </w:rPr>
              <w:t>n</w:t>
            </w:r>
            <w:r w:rsidRPr="00965301">
              <w:rPr>
                <w:i/>
                <w:iCs/>
                <w:sz w:val="18"/>
                <w:szCs w:val="18"/>
              </w:rPr>
              <w:t>t</w:t>
            </w:r>
            <w:r w:rsidRPr="00965301">
              <w:rPr>
                <w:i/>
                <w:iCs/>
                <w:spacing w:val="38"/>
                <w:sz w:val="18"/>
                <w:szCs w:val="18"/>
              </w:rPr>
              <w:t xml:space="preserve"> </w:t>
            </w:r>
            <w:r w:rsidRPr="00965301">
              <w:rPr>
                <w:i/>
                <w:iCs/>
                <w:spacing w:val="-1"/>
                <w:sz w:val="18"/>
                <w:szCs w:val="18"/>
              </w:rPr>
              <w:t>i</w:t>
            </w:r>
            <w:r w:rsidRPr="00965301">
              <w:rPr>
                <w:i/>
                <w:iCs/>
                <w:sz w:val="18"/>
                <w:szCs w:val="18"/>
              </w:rPr>
              <w:t>s</w:t>
            </w:r>
            <w:r w:rsidRPr="00965301">
              <w:rPr>
                <w:i/>
                <w:iCs/>
                <w:spacing w:val="45"/>
                <w:sz w:val="18"/>
                <w:szCs w:val="18"/>
              </w:rPr>
              <w:t xml:space="preserve"> </w:t>
            </w:r>
            <w:r w:rsidRPr="00965301">
              <w:rPr>
                <w:i/>
                <w:iCs/>
                <w:sz w:val="18"/>
                <w:szCs w:val="18"/>
              </w:rPr>
              <w:t>pro</w:t>
            </w:r>
            <w:r w:rsidRPr="00965301">
              <w:rPr>
                <w:i/>
                <w:iCs/>
                <w:spacing w:val="1"/>
                <w:sz w:val="18"/>
                <w:szCs w:val="18"/>
              </w:rPr>
              <w:t>v</w:t>
            </w:r>
            <w:r w:rsidRPr="00965301">
              <w:rPr>
                <w:i/>
                <w:iCs/>
                <w:spacing w:val="-1"/>
                <w:sz w:val="18"/>
                <w:szCs w:val="18"/>
              </w:rPr>
              <w:t>i</w:t>
            </w:r>
            <w:r w:rsidRPr="00965301">
              <w:rPr>
                <w:i/>
                <w:iCs/>
                <w:spacing w:val="2"/>
                <w:sz w:val="18"/>
                <w:szCs w:val="18"/>
              </w:rPr>
              <w:t>d</w:t>
            </w:r>
            <w:r w:rsidRPr="00965301">
              <w:rPr>
                <w:i/>
                <w:iCs/>
                <w:sz w:val="18"/>
                <w:szCs w:val="18"/>
              </w:rPr>
              <w:t>ed</w:t>
            </w:r>
            <w:r w:rsidRPr="00965301">
              <w:rPr>
                <w:i/>
                <w:iCs/>
                <w:spacing w:val="37"/>
                <w:sz w:val="18"/>
                <w:szCs w:val="18"/>
              </w:rPr>
              <w:t xml:space="preserve"> </w:t>
            </w:r>
            <w:r w:rsidRPr="00965301">
              <w:rPr>
                <w:i/>
                <w:iCs/>
                <w:spacing w:val="2"/>
                <w:sz w:val="18"/>
                <w:szCs w:val="18"/>
              </w:rPr>
              <w:t>ba</w:t>
            </w:r>
            <w:r w:rsidRPr="00965301">
              <w:rPr>
                <w:i/>
                <w:iCs/>
                <w:spacing w:val="1"/>
                <w:sz w:val="18"/>
                <w:szCs w:val="18"/>
              </w:rPr>
              <w:t>s</w:t>
            </w:r>
            <w:r w:rsidRPr="00965301">
              <w:rPr>
                <w:i/>
                <w:iCs/>
                <w:sz w:val="18"/>
                <w:szCs w:val="18"/>
              </w:rPr>
              <w:t>ed</w:t>
            </w:r>
            <w:r w:rsidRPr="00965301">
              <w:rPr>
                <w:i/>
                <w:iCs/>
                <w:spacing w:val="39"/>
                <w:sz w:val="18"/>
                <w:szCs w:val="18"/>
              </w:rPr>
              <w:t xml:space="preserve"> </w:t>
            </w:r>
            <w:r w:rsidRPr="00965301">
              <w:rPr>
                <w:i/>
                <w:iCs/>
                <w:sz w:val="18"/>
                <w:szCs w:val="18"/>
              </w:rPr>
              <w:t>on</w:t>
            </w:r>
            <w:r w:rsidRPr="00965301">
              <w:rPr>
                <w:i/>
                <w:iCs/>
                <w:spacing w:val="42"/>
                <w:sz w:val="18"/>
                <w:szCs w:val="18"/>
              </w:rPr>
              <w:t xml:space="preserve"> </w:t>
            </w:r>
            <w:r w:rsidRPr="00965301">
              <w:rPr>
                <w:i/>
                <w:iCs/>
                <w:sz w:val="18"/>
                <w:szCs w:val="18"/>
              </w:rPr>
              <w:t>a</w:t>
            </w:r>
            <w:r w:rsidRPr="00965301">
              <w:rPr>
                <w:i/>
                <w:iCs/>
                <w:spacing w:val="43"/>
                <w:sz w:val="18"/>
                <w:szCs w:val="18"/>
              </w:rPr>
              <w:t xml:space="preserve"> </w:t>
            </w:r>
            <w:r w:rsidRPr="00965301">
              <w:rPr>
                <w:i/>
                <w:iCs/>
                <w:spacing w:val="3"/>
                <w:sz w:val="18"/>
                <w:szCs w:val="18"/>
              </w:rPr>
              <w:t>r</w:t>
            </w:r>
            <w:r w:rsidRPr="00965301">
              <w:rPr>
                <w:i/>
                <w:iCs/>
                <w:sz w:val="18"/>
                <w:szCs w:val="18"/>
              </w:rPr>
              <w:t>e</w:t>
            </w:r>
            <w:r w:rsidRPr="00965301">
              <w:rPr>
                <w:i/>
                <w:iCs/>
                <w:spacing w:val="1"/>
                <w:sz w:val="18"/>
                <w:szCs w:val="18"/>
              </w:rPr>
              <w:t>v</w:t>
            </w:r>
            <w:r w:rsidRPr="00965301">
              <w:rPr>
                <w:i/>
                <w:iCs/>
                <w:spacing w:val="-1"/>
                <w:sz w:val="18"/>
                <w:szCs w:val="18"/>
              </w:rPr>
              <w:t>i</w:t>
            </w:r>
            <w:r w:rsidRPr="00965301">
              <w:rPr>
                <w:i/>
                <w:iCs/>
                <w:sz w:val="18"/>
                <w:szCs w:val="18"/>
              </w:rPr>
              <w:t>ew</w:t>
            </w:r>
            <w:r w:rsidRPr="00965301">
              <w:rPr>
                <w:i/>
                <w:iCs/>
                <w:spacing w:val="42"/>
                <w:sz w:val="18"/>
                <w:szCs w:val="18"/>
              </w:rPr>
              <w:t xml:space="preserve"> </w:t>
            </w:r>
            <w:r w:rsidRPr="00965301">
              <w:rPr>
                <w:i/>
                <w:iCs/>
                <w:sz w:val="18"/>
                <w:szCs w:val="18"/>
              </w:rPr>
              <w:t>of the</w:t>
            </w:r>
            <w:r w:rsidRPr="00965301">
              <w:rPr>
                <w:i/>
                <w:iCs/>
                <w:spacing w:val="6"/>
                <w:sz w:val="18"/>
                <w:szCs w:val="18"/>
              </w:rPr>
              <w:t xml:space="preserve"> </w:t>
            </w:r>
            <w:r w:rsidRPr="00965301">
              <w:rPr>
                <w:i/>
                <w:iCs/>
                <w:spacing w:val="1"/>
                <w:sz w:val="18"/>
                <w:szCs w:val="18"/>
              </w:rPr>
              <w:t>c</w:t>
            </w:r>
            <w:r w:rsidRPr="00965301">
              <w:rPr>
                <w:i/>
                <w:iCs/>
                <w:sz w:val="18"/>
                <w:szCs w:val="18"/>
              </w:rPr>
              <w:t>o</w:t>
            </w:r>
            <w:r w:rsidRPr="00965301">
              <w:rPr>
                <w:i/>
                <w:iCs/>
                <w:spacing w:val="-1"/>
                <w:sz w:val="18"/>
                <w:szCs w:val="18"/>
              </w:rPr>
              <w:t>l</w:t>
            </w:r>
            <w:r w:rsidRPr="00965301">
              <w:rPr>
                <w:i/>
                <w:iCs/>
                <w:spacing w:val="1"/>
                <w:sz w:val="18"/>
                <w:szCs w:val="18"/>
              </w:rPr>
              <w:t>l</w:t>
            </w:r>
            <w:r w:rsidRPr="00965301">
              <w:rPr>
                <w:i/>
                <w:iCs/>
                <w:sz w:val="18"/>
                <w:szCs w:val="18"/>
              </w:rPr>
              <w:t>e</w:t>
            </w:r>
            <w:r w:rsidRPr="00965301">
              <w:rPr>
                <w:i/>
                <w:iCs/>
                <w:spacing w:val="1"/>
                <w:sz w:val="18"/>
                <w:szCs w:val="18"/>
              </w:rPr>
              <w:t>c</w:t>
            </w:r>
            <w:r w:rsidRPr="00965301">
              <w:rPr>
                <w:i/>
                <w:iCs/>
                <w:sz w:val="18"/>
                <w:szCs w:val="18"/>
              </w:rPr>
              <w:t>t</w:t>
            </w:r>
            <w:r w:rsidRPr="00965301">
              <w:rPr>
                <w:i/>
                <w:iCs/>
                <w:spacing w:val="-1"/>
                <w:sz w:val="18"/>
                <w:szCs w:val="18"/>
              </w:rPr>
              <w:t>i</w:t>
            </w:r>
            <w:r w:rsidRPr="00965301">
              <w:rPr>
                <w:i/>
                <w:iCs/>
                <w:spacing w:val="2"/>
                <w:sz w:val="18"/>
                <w:szCs w:val="18"/>
              </w:rPr>
              <w:t>b</w:t>
            </w:r>
            <w:r w:rsidRPr="00965301">
              <w:rPr>
                <w:i/>
                <w:iCs/>
                <w:spacing w:val="-1"/>
                <w:sz w:val="18"/>
                <w:szCs w:val="18"/>
              </w:rPr>
              <w:t>i</w:t>
            </w:r>
            <w:r w:rsidRPr="00965301">
              <w:rPr>
                <w:i/>
                <w:iCs/>
                <w:spacing w:val="1"/>
                <w:sz w:val="18"/>
                <w:szCs w:val="18"/>
              </w:rPr>
              <w:t>l</w:t>
            </w:r>
            <w:r w:rsidRPr="00965301">
              <w:rPr>
                <w:i/>
                <w:iCs/>
                <w:spacing w:val="-1"/>
                <w:sz w:val="18"/>
                <w:szCs w:val="18"/>
              </w:rPr>
              <w:t>i</w:t>
            </w:r>
            <w:r w:rsidRPr="00965301">
              <w:rPr>
                <w:i/>
                <w:iCs/>
                <w:sz w:val="18"/>
                <w:szCs w:val="18"/>
              </w:rPr>
              <w:t>ty of</w:t>
            </w:r>
            <w:r w:rsidRPr="00965301">
              <w:rPr>
                <w:i/>
                <w:iCs/>
                <w:spacing w:val="7"/>
                <w:sz w:val="18"/>
                <w:szCs w:val="18"/>
              </w:rPr>
              <w:t xml:space="preserve"> </w:t>
            </w:r>
            <w:r w:rsidRPr="00965301">
              <w:rPr>
                <w:i/>
                <w:iCs/>
                <w:sz w:val="18"/>
                <w:szCs w:val="18"/>
              </w:rPr>
              <w:t>the</w:t>
            </w:r>
            <w:r w:rsidRPr="00965301">
              <w:rPr>
                <w:i/>
                <w:iCs/>
                <w:spacing w:val="6"/>
                <w:sz w:val="18"/>
                <w:szCs w:val="18"/>
              </w:rPr>
              <w:t xml:space="preserve"> </w:t>
            </w:r>
            <w:r w:rsidRPr="00965301">
              <w:rPr>
                <w:i/>
                <w:iCs/>
                <w:spacing w:val="1"/>
                <w:sz w:val="18"/>
                <w:szCs w:val="18"/>
              </w:rPr>
              <w:t>i</w:t>
            </w:r>
            <w:r w:rsidRPr="00965301">
              <w:rPr>
                <w:i/>
                <w:iCs/>
                <w:sz w:val="18"/>
                <w:szCs w:val="18"/>
              </w:rPr>
              <w:t>n</w:t>
            </w:r>
            <w:r w:rsidRPr="00965301">
              <w:rPr>
                <w:i/>
                <w:iCs/>
                <w:spacing w:val="-1"/>
                <w:sz w:val="18"/>
                <w:szCs w:val="18"/>
              </w:rPr>
              <w:t>di</w:t>
            </w:r>
            <w:r w:rsidRPr="00965301">
              <w:rPr>
                <w:i/>
                <w:iCs/>
                <w:spacing w:val="1"/>
                <w:sz w:val="18"/>
                <w:szCs w:val="18"/>
              </w:rPr>
              <w:t>vi</w:t>
            </w:r>
            <w:r w:rsidRPr="00965301">
              <w:rPr>
                <w:i/>
                <w:iCs/>
                <w:sz w:val="18"/>
                <w:szCs w:val="18"/>
              </w:rPr>
              <w:t>d</w:t>
            </w:r>
            <w:r w:rsidRPr="00965301">
              <w:rPr>
                <w:i/>
                <w:iCs/>
                <w:spacing w:val="-1"/>
                <w:sz w:val="18"/>
                <w:szCs w:val="18"/>
              </w:rPr>
              <w:t>u</w:t>
            </w:r>
            <w:r w:rsidRPr="00965301">
              <w:rPr>
                <w:i/>
                <w:iCs/>
                <w:spacing w:val="2"/>
                <w:sz w:val="18"/>
                <w:szCs w:val="18"/>
              </w:rPr>
              <w:t>a</w:t>
            </w:r>
            <w:r w:rsidRPr="00965301">
              <w:rPr>
                <w:i/>
                <w:iCs/>
                <w:sz w:val="18"/>
                <w:szCs w:val="18"/>
              </w:rPr>
              <w:t xml:space="preserve">l </w:t>
            </w:r>
            <w:r w:rsidRPr="00965301">
              <w:rPr>
                <w:bCs w:val="0"/>
                <w:i/>
                <w:sz w:val="18"/>
                <w:szCs w:val="18"/>
              </w:rPr>
              <w:t>receivable</w:t>
            </w:r>
            <w:r w:rsidRPr="00965301">
              <w:rPr>
                <w:i/>
                <w:iCs/>
                <w:sz w:val="18"/>
                <w:szCs w:val="18"/>
              </w:rPr>
              <w:t xml:space="preserve"> a</w:t>
            </w:r>
            <w:r w:rsidRPr="00965301">
              <w:rPr>
                <w:i/>
                <w:iCs/>
                <w:spacing w:val="1"/>
                <w:sz w:val="18"/>
                <w:szCs w:val="18"/>
              </w:rPr>
              <w:t>cc</w:t>
            </w:r>
            <w:r w:rsidRPr="00965301">
              <w:rPr>
                <w:i/>
                <w:iCs/>
                <w:sz w:val="18"/>
                <w:szCs w:val="18"/>
              </w:rPr>
              <w:t>o</w:t>
            </w:r>
            <w:r w:rsidRPr="00965301">
              <w:rPr>
                <w:i/>
                <w:iCs/>
                <w:spacing w:val="-1"/>
                <w:sz w:val="18"/>
                <w:szCs w:val="18"/>
              </w:rPr>
              <w:t>u</w:t>
            </w:r>
            <w:r w:rsidRPr="00965301">
              <w:rPr>
                <w:i/>
                <w:iCs/>
                <w:sz w:val="18"/>
                <w:szCs w:val="18"/>
              </w:rPr>
              <w:t>nts</w:t>
            </w:r>
            <w:r w:rsidRPr="00965301">
              <w:rPr>
                <w:i/>
                <w:iCs/>
                <w:spacing w:val="-8"/>
                <w:sz w:val="18"/>
                <w:szCs w:val="18"/>
              </w:rPr>
              <w:t xml:space="preserve"> </w:t>
            </w:r>
            <w:r w:rsidRPr="00965301">
              <w:rPr>
                <w:i/>
                <w:iCs/>
                <w:sz w:val="18"/>
                <w:szCs w:val="18"/>
              </w:rPr>
              <w:t>at</w:t>
            </w:r>
            <w:r w:rsidRPr="00965301">
              <w:rPr>
                <w:i/>
                <w:iCs/>
                <w:spacing w:val="-1"/>
                <w:sz w:val="18"/>
                <w:szCs w:val="18"/>
              </w:rPr>
              <w:t xml:space="preserve"> </w:t>
            </w:r>
            <w:r w:rsidRPr="00965301">
              <w:rPr>
                <w:i/>
                <w:iCs/>
                <w:sz w:val="18"/>
                <w:szCs w:val="18"/>
              </w:rPr>
              <w:t>the</w:t>
            </w:r>
            <w:r w:rsidRPr="00965301">
              <w:rPr>
                <w:i/>
                <w:iCs/>
                <w:spacing w:val="-2"/>
                <w:sz w:val="18"/>
                <w:szCs w:val="18"/>
              </w:rPr>
              <w:t xml:space="preserve"> </w:t>
            </w:r>
            <w:r w:rsidRPr="00965301">
              <w:rPr>
                <w:i/>
                <w:iCs/>
                <w:sz w:val="18"/>
                <w:szCs w:val="18"/>
              </w:rPr>
              <w:t>e</w:t>
            </w:r>
            <w:r w:rsidRPr="00965301">
              <w:rPr>
                <w:i/>
                <w:iCs/>
                <w:spacing w:val="-1"/>
                <w:sz w:val="18"/>
                <w:szCs w:val="18"/>
              </w:rPr>
              <w:t>n</w:t>
            </w:r>
            <w:r w:rsidRPr="00965301">
              <w:rPr>
                <w:i/>
                <w:iCs/>
                <w:sz w:val="18"/>
                <w:szCs w:val="18"/>
              </w:rPr>
              <w:t>d</w:t>
            </w:r>
            <w:r w:rsidRPr="00965301">
              <w:rPr>
                <w:i/>
                <w:iCs/>
                <w:spacing w:val="-1"/>
                <w:sz w:val="18"/>
                <w:szCs w:val="18"/>
              </w:rPr>
              <w:t xml:space="preserve"> </w:t>
            </w:r>
            <w:r w:rsidRPr="00965301">
              <w:rPr>
                <w:i/>
                <w:iCs/>
                <w:sz w:val="18"/>
                <w:szCs w:val="18"/>
              </w:rPr>
              <w:t>of</w:t>
            </w:r>
            <w:r w:rsidRPr="00965301">
              <w:rPr>
                <w:i/>
                <w:iCs/>
                <w:spacing w:val="-3"/>
                <w:sz w:val="18"/>
                <w:szCs w:val="18"/>
              </w:rPr>
              <w:t xml:space="preserve"> </w:t>
            </w:r>
            <w:r w:rsidRPr="00965301">
              <w:rPr>
                <w:i/>
                <w:iCs/>
                <w:spacing w:val="2"/>
                <w:sz w:val="18"/>
                <w:szCs w:val="18"/>
              </w:rPr>
              <w:t>t</w:t>
            </w:r>
            <w:r w:rsidRPr="00965301">
              <w:rPr>
                <w:i/>
                <w:iCs/>
                <w:sz w:val="18"/>
                <w:szCs w:val="18"/>
              </w:rPr>
              <w:t>he</w:t>
            </w:r>
            <w:r w:rsidRPr="00965301">
              <w:rPr>
                <w:i/>
                <w:iCs/>
                <w:spacing w:val="-2"/>
                <w:sz w:val="18"/>
                <w:szCs w:val="18"/>
              </w:rPr>
              <w:t xml:space="preserve"> </w:t>
            </w:r>
            <w:r w:rsidRPr="00965301">
              <w:rPr>
                <w:i/>
                <w:iCs/>
                <w:spacing w:val="1"/>
                <w:sz w:val="18"/>
                <w:szCs w:val="18"/>
              </w:rPr>
              <w:t>y</w:t>
            </w:r>
            <w:r w:rsidRPr="00965301">
              <w:rPr>
                <w:i/>
                <w:iCs/>
                <w:sz w:val="18"/>
                <w:szCs w:val="18"/>
              </w:rPr>
              <w:t>e</w:t>
            </w:r>
            <w:r w:rsidRPr="00965301">
              <w:rPr>
                <w:i/>
                <w:iCs/>
                <w:spacing w:val="-1"/>
                <w:sz w:val="18"/>
                <w:szCs w:val="18"/>
              </w:rPr>
              <w:t>a</w:t>
            </w:r>
            <w:r w:rsidRPr="00965301">
              <w:rPr>
                <w:i/>
                <w:iCs/>
                <w:spacing w:val="1"/>
                <w:sz w:val="18"/>
                <w:szCs w:val="18"/>
              </w:rPr>
              <w:t>r</w:t>
            </w:r>
            <w:r w:rsidRPr="00965301">
              <w:rPr>
                <w:i/>
                <w:iCs/>
                <w:sz w:val="18"/>
                <w:szCs w:val="18"/>
              </w:rPr>
              <w:t>.</w:t>
            </w:r>
          </w:p>
        </w:tc>
      </w:tr>
      <w:tr w:rsidR="007E667A" w:rsidRPr="00BE6E3D" w14:paraId="28C92AD4" w14:textId="77777777" w:rsidTr="00BE6E3D">
        <w:tc>
          <w:tcPr>
            <w:tcW w:w="4707" w:type="dxa"/>
          </w:tcPr>
          <w:p w14:paraId="0A4B8765" w14:textId="77777777" w:rsidR="007E667A" w:rsidRPr="00BE6E3D" w:rsidRDefault="007E667A" w:rsidP="0013526B">
            <w:pPr>
              <w:ind w:left="567"/>
              <w:jc w:val="both"/>
              <w:rPr>
                <w:spacing w:val="-1"/>
                <w:sz w:val="18"/>
                <w:szCs w:val="18"/>
                <w:highlight w:val="cyan"/>
              </w:rPr>
            </w:pPr>
          </w:p>
        </w:tc>
        <w:tc>
          <w:tcPr>
            <w:tcW w:w="4709" w:type="dxa"/>
          </w:tcPr>
          <w:p w14:paraId="0E95ED9C" w14:textId="77777777" w:rsidR="007E667A" w:rsidRPr="00BE6E3D" w:rsidRDefault="007E667A" w:rsidP="0013526B">
            <w:pPr>
              <w:ind w:left="572"/>
              <w:jc w:val="both"/>
              <w:rPr>
                <w:i/>
                <w:iCs/>
                <w:sz w:val="18"/>
                <w:szCs w:val="18"/>
                <w:highlight w:val="cyan"/>
              </w:rPr>
            </w:pPr>
          </w:p>
        </w:tc>
      </w:tr>
      <w:tr w:rsidR="009F4B5A" w:rsidRPr="00965301" w14:paraId="6575170E" w14:textId="77777777" w:rsidTr="00BE6E3D">
        <w:tc>
          <w:tcPr>
            <w:tcW w:w="4707" w:type="dxa"/>
          </w:tcPr>
          <w:p w14:paraId="487CC07C" w14:textId="77777777" w:rsidR="009F4B5A" w:rsidRPr="00965301" w:rsidRDefault="009F4B5A" w:rsidP="00070D1F">
            <w:pPr>
              <w:pStyle w:val="ListParagraph"/>
              <w:numPr>
                <w:ilvl w:val="0"/>
                <w:numId w:val="98"/>
              </w:numPr>
              <w:ind w:left="568" w:hanging="284"/>
              <w:contextualSpacing/>
              <w:jc w:val="both"/>
              <w:rPr>
                <w:rStyle w:val="hps"/>
                <w:b/>
                <w:sz w:val="18"/>
                <w:szCs w:val="18"/>
              </w:rPr>
            </w:pPr>
            <w:r w:rsidRPr="00965301">
              <w:rPr>
                <w:rStyle w:val="hps"/>
                <w:b/>
                <w:sz w:val="18"/>
                <w:szCs w:val="18"/>
              </w:rPr>
              <w:t xml:space="preserve">Persediaan </w:t>
            </w:r>
          </w:p>
        </w:tc>
        <w:tc>
          <w:tcPr>
            <w:tcW w:w="4709" w:type="dxa"/>
          </w:tcPr>
          <w:p w14:paraId="74F13B19" w14:textId="77777777" w:rsidR="009F4B5A" w:rsidRPr="00965301" w:rsidRDefault="009F4B5A" w:rsidP="00070D1F">
            <w:pPr>
              <w:pStyle w:val="ListParagraph"/>
              <w:numPr>
                <w:ilvl w:val="0"/>
                <w:numId w:val="99"/>
              </w:numPr>
              <w:ind w:left="568" w:hanging="284"/>
              <w:contextualSpacing/>
              <w:jc w:val="both"/>
              <w:rPr>
                <w:b/>
                <w:i/>
                <w:sz w:val="18"/>
                <w:szCs w:val="18"/>
              </w:rPr>
            </w:pPr>
            <w:r w:rsidRPr="00965301">
              <w:rPr>
                <w:rStyle w:val="hps"/>
                <w:b/>
                <w:i/>
                <w:sz w:val="18"/>
                <w:szCs w:val="18"/>
              </w:rPr>
              <w:t>Inventories</w:t>
            </w:r>
          </w:p>
        </w:tc>
      </w:tr>
      <w:tr w:rsidR="009F4B5A" w:rsidRPr="00965301" w14:paraId="5FA8760F" w14:textId="77777777" w:rsidTr="00BE6E3D">
        <w:tc>
          <w:tcPr>
            <w:tcW w:w="4707" w:type="dxa"/>
          </w:tcPr>
          <w:p w14:paraId="5802605B" w14:textId="77777777" w:rsidR="009F4B5A" w:rsidRPr="00965301" w:rsidRDefault="009F4B5A" w:rsidP="0013526B">
            <w:pPr>
              <w:jc w:val="both"/>
              <w:rPr>
                <w:rStyle w:val="hps"/>
                <w:sz w:val="18"/>
                <w:szCs w:val="18"/>
              </w:rPr>
            </w:pPr>
          </w:p>
        </w:tc>
        <w:tc>
          <w:tcPr>
            <w:tcW w:w="4709" w:type="dxa"/>
          </w:tcPr>
          <w:p w14:paraId="6E376EF4" w14:textId="77777777" w:rsidR="009F4B5A" w:rsidRPr="00965301" w:rsidRDefault="009F4B5A" w:rsidP="0013526B">
            <w:pPr>
              <w:ind w:left="426"/>
              <w:jc w:val="both"/>
              <w:rPr>
                <w:bCs w:val="0"/>
                <w:i/>
                <w:sz w:val="18"/>
                <w:szCs w:val="18"/>
              </w:rPr>
            </w:pPr>
          </w:p>
        </w:tc>
      </w:tr>
      <w:tr w:rsidR="009F4B5A" w:rsidRPr="00BE6E3D" w14:paraId="2D58DA4B" w14:textId="77777777" w:rsidTr="00BE6E3D">
        <w:tc>
          <w:tcPr>
            <w:tcW w:w="4707" w:type="dxa"/>
          </w:tcPr>
          <w:p w14:paraId="5CC5FB2F" w14:textId="6473BB35" w:rsidR="00941E8B" w:rsidRPr="00941E8B" w:rsidRDefault="00941E8B" w:rsidP="00911A8A">
            <w:pPr>
              <w:ind w:left="567" w:right="-57"/>
              <w:jc w:val="both"/>
              <w:rPr>
                <w:rStyle w:val="hps"/>
                <w:sz w:val="18"/>
                <w:szCs w:val="18"/>
              </w:rPr>
            </w:pPr>
            <w:r>
              <w:rPr>
                <w:rStyle w:val="hps"/>
                <w:sz w:val="18"/>
                <w:szCs w:val="18"/>
              </w:rPr>
              <w:t>Persediaan dinyatakan sebesar niai yang lebih rendah antara biaya perolehan atau nilai realisasi bersih</w:t>
            </w:r>
            <w:r w:rsidR="00911A8A">
              <w:rPr>
                <w:rStyle w:val="hps"/>
                <w:sz w:val="18"/>
                <w:szCs w:val="18"/>
              </w:rPr>
              <w:t>,</w:t>
            </w:r>
            <w:r>
              <w:rPr>
                <w:rStyle w:val="hps"/>
                <w:sz w:val="18"/>
                <w:szCs w:val="18"/>
              </w:rPr>
              <w:t xml:space="preserve"> mana yang paling rendah. Biaya perolehan ditentukan berdasarkan metode rata-rata tertimbang dari setiap kelompok persediaan.</w:t>
            </w:r>
          </w:p>
        </w:tc>
        <w:tc>
          <w:tcPr>
            <w:tcW w:w="4709" w:type="dxa"/>
          </w:tcPr>
          <w:p w14:paraId="32421CD5" w14:textId="7F0B60F1" w:rsidR="009F4B5A" w:rsidRPr="00965301" w:rsidRDefault="00941E8B" w:rsidP="00911A8A">
            <w:pPr>
              <w:ind w:left="567" w:right="-57"/>
              <w:jc w:val="both"/>
              <w:rPr>
                <w:bCs w:val="0"/>
                <w:i/>
                <w:sz w:val="18"/>
                <w:szCs w:val="18"/>
              </w:rPr>
            </w:pPr>
            <w:r>
              <w:rPr>
                <w:bCs w:val="0"/>
                <w:i/>
                <w:sz w:val="18"/>
                <w:szCs w:val="18"/>
              </w:rPr>
              <w:t>Inventories are stated at cost or net realizable value</w:t>
            </w:r>
            <w:r w:rsidR="00911A8A">
              <w:rPr>
                <w:bCs w:val="0"/>
                <w:i/>
                <w:sz w:val="18"/>
                <w:szCs w:val="18"/>
              </w:rPr>
              <w:t>,</w:t>
            </w:r>
            <w:r>
              <w:rPr>
                <w:bCs w:val="0"/>
                <w:i/>
                <w:sz w:val="18"/>
                <w:szCs w:val="18"/>
              </w:rPr>
              <w:t xml:space="preserve"> whichever is lower. Cost is determined using the weighted-average method from each group of inventories.</w:t>
            </w:r>
          </w:p>
        </w:tc>
      </w:tr>
      <w:tr w:rsidR="00941E8B" w:rsidRPr="00BE6E3D" w14:paraId="7609D361" w14:textId="77777777" w:rsidTr="00BE6E3D">
        <w:tc>
          <w:tcPr>
            <w:tcW w:w="4707" w:type="dxa"/>
          </w:tcPr>
          <w:p w14:paraId="32E1D27C" w14:textId="77777777" w:rsidR="00941E8B" w:rsidRDefault="00941E8B" w:rsidP="00941E8B">
            <w:pPr>
              <w:ind w:left="567" w:right="-57"/>
              <w:jc w:val="both"/>
              <w:rPr>
                <w:rStyle w:val="hps"/>
                <w:sz w:val="18"/>
                <w:szCs w:val="18"/>
              </w:rPr>
            </w:pPr>
          </w:p>
        </w:tc>
        <w:tc>
          <w:tcPr>
            <w:tcW w:w="4709" w:type="dxa"/>
          </w:tcPr>
          <w:p w14:paraId="1C54A34F" w14:textId="77777777" w:rsidR="00941E8B" w:rsidRDefault="00941E8B" w:rsidP="0013526B">
            <w:pPr>
              <w:ind w:left="567" w:right="-57"/>
              <w:jc w:val="both"/>
              <w:rPr>
                <w:bCs w:val="0"/>
                <w:i/>
                <w:sz w:val="18"/>
                <w:szCs w:val="18"/>
              </w:rPr>
            </w:pPr>
          </w:p>
        </w:tc>
      </w:tr>
      <w:tr w:rsidR="00941E8B" w:rsidRPr="00BE6E3D" w14:paraId="5890E1A7" w14:textId="77777777" w:rsidTr="00BE6E3D">
        <w:tc>
          <w:tcPr>
            <w:tcW w:w="4707" w:type="dxa"/>
          </w:tcPr>
          <w:p w14:paraId="577CFB65" w14:textId="706D5F63" w:rsidR="00941E8B" w:rsidRDefault="00941E8B" w:rsidP="00941E8B">
            <w:pPr>
              <w:ind w:left="567" w:right="-57"/>
              <w:jc w:val="both"/>
              <w:rPr>
                <w:rStyle w:val="hps"/>
                <w:sz w:val="18"/>
                <w:szCs w:val="18"/>
              </w:rPr>
            </w:pPr>
            <w:r>
              <w:rPr>
                <w:rStyle w:val="hps"/>
                <w:sz w:val="18"/>
                <w:szCs w:val="18"/>
              </w:rPr>
              <w:t>Nilai realisasi neto persediaan adalah estimasi harga jual dalam kegiatan usaha biasa dikurangi estimasi biaya penyelesaian dan estimasi biaya yang diperlukan untuk membuat penjualan.</w:t>
            </w:r>
          </w:p>
        </w:tc>
        <w:tc>
          <w:tcPr>
            <w:tcW w:w="4709" w:type="dxa"/>
          </w:tcPr>
          <w:p w14:paraId="70C5350B" w14:textId="43880091" w:rsidR="00941E8B" w:rsidRDefault="00941E8B" w:rsidP="0013526B">
            <w:pPr>
              <w:ind w:left="567" w:right="-57"/>
              <w:jc w:val="both"/>
              <w:rPr>
                <w:bCs w:val="0"/>
                <w:i/>
                <w:sz w:val="18"/>
                <w:szCs w:val="18"/>
              </w:rPr>
            </w:pPr>
            <w:r>
              <w:rPr>
                <w:bCs w:val="0"/>
                <w:i/>
                <w:sz w:val="18"/>
                <w:szCs w:val="18"/>
              </w:rPr>
              <w:t>Net realizable value of inventories is the estimated sellin price in the ordinary course of bussines less estimated cost of completion and the estimated costs necessary to make the sale.</w:t>
            </w:r>
          </w:p>
        </w:tc>
      </w:tr>
      <w:tr w:rsidR="009F4B5A" w:rsidRPr="00BE6E3D" w14:paraId="354DD3A6" w14:textId="77777777" w:rsidTr="00BE6E3D">
        <w:tc>
          <w:tcPr>
            <w:tcW w:w="4707" w:type="dxa"/>
          </w:tcPr>
          <w:p w14:paraId="44BB2A97" w14:textId="77777777" w:rsidR="009F4B5A" w:rsidRPr="00BE6E3D" w:rsidRDefault="009F4B5A" w:rsidP="0013526B">
            <w:pPr>
              <w:widowControl w:val="0"/>
              <w:autoSpaceDE w:val="0"/>
              <w:autoSpaceDN w:val="0"/>
              <w:adjustRightInd w:val="0"/>
              <w:ind w:left="567"/>
              <w:jc w:val="both"/>
              <w:rPr>
                <w:bCs w:val="0"/>
                <w:sz w:val="18"/>
                <w:szCs w:val="18"/>
                <w:highlight w:val="cyan"/>
              </w:rPr>
            </w:pPr>
          </w:p>
        </w:tc>
        <w:tc>
          <w:tcPr>
            <w:tcW w:w="4709" w:type="dxa"/>
          </w:tcPr>
          <w:p w14:paraId="5B5DB74C" w14:textId="77777777" w:rsidR="009F4B5A" w:rsidRPr="00BE6E3D" w:rsidRDefault="009F4B5A" w:rsidP="0013526B">
            <w:pPr>
              <w:tabs>
                <w:tab w:val="left" w:pos="5590"/>
                <w:tab w:val="right" w:pos="7620"/>
                <w:tab w:val="right" w:pos="9460"/>
                <w:tab w:val="right" w:pos="10080"/>
              </w:tabs>
              <w:ind w:left="567"/>
              <w:jc w:val="both"/>
              <w:rPr>
                <w:bCs w:val="0"/>
                <w:i/>
                <w:sz w:val="18"/>
                <w:szCs w:val="18"/>
                <w:highlight w:val="cyan"/>
              </w:rPr>
            </w:pPr>
          </w:p>
        </w:tc>
      </w:tr>
      <w:tr w:rsidR="00941E8B" w:rsidRPr="00BE6E3D" w14:paraId="1BAEA41E" w14:textId="77777777" w:rsidTr="00BE6E3D">
        <w:tc>
          <w:tcPr>
            <w:tcW w:w="4707" w:type="dxa"/>
          </w:tcPr>
          <w:p w14:paraId="2ECF5F18" w14:textId="18C52B3D" w:rsidR="00941E8B" w:rsidRPr="00941E8B" w:rsidRDefault="00941E8B" w:rsidP="0013526B">
            <w:pPr>
              <w:widowControl w:val="0"/>
              <w:autoSpaceDE w:val="0"/>
              <w:autoSpaceDN w:val="0"/>
              <w:adjustRightInd w:val="0"/>
              <w:ind w:left="567"/>
              <w:jc w:val="both"/>
              <w:rPr>
                <w:bCs w:val="0"/>
                <w:sz w:val="18"/>
                <w:szCs w:val="18"/>
              </w:rPr>
            </w:pPr>
            <w:r>
              <w:rPr>
                <w:bCs w:val="0"/>
                <w:sz w:val="18"/>
                <w:szCs w:val="18"/>
              </w:rPr>
              <w:t>Grup menetapkan penyisihan untuk kerugian penurunan nilai pasar persediaan berdasarkan perubahan berkala atas kondisi fisik dan realisasi neto persediaan.</w:t>
            </w:r>
          </w:p>
        </w:tc>
        <w:tc>
          <w:tcPr>
            <w:tcW w:w="4709" w:type="dxa"/>
          </w:tcPr>
          <w:p w14:paraId="647FF388" w14:textId="250446EE" w:rsidR="00941E8B" w:rsidRPr="00941E8B" w:rsidRDefault="00941E8B" w:rsidP="0013526B">
            <w:pPr>
              <w:tabs>
                <w:tab w:val="left" w:pos="5590"/>
                <w:tab w:val="right" w:pos="7620"/>
                <w:tab w:val="right" w:pos="9460"/>
                <w:tab w:val="right" w:pos="10080"/>
              </w:tabs>
              <w:ind w:left="567"/>
              <w:jc w:val="both"/>
              <w:rPr>
                <w:bCs w:val="0"/>
                <w:i/>
                <w:sz w:val="18"/>
                <w:szCs w:val="18"/>
              </w:rPr>
            </w:pPr>
            <w:r>
              <w:rPr>
                <w:bCs w:val="0"/>
                <w:i/>
                <w:sz w:val="18"/>
                <w:szCs w:val="18"/>
              </w:rPr>
              <w:t>The Group provides allowances for decline in market values of inventories based on periodic reviews of the physical conditions and net realizable value of inventories.</w:t>
            </w:r>
          </w:p>
        </w:tc>
      </w:tr>
      <w:tr w:rsidR="00941E8B" w:rsidRPr="00913861" w14:paraId="1AC39249" w14:textId="77777777" w:rsidTr="00BE6E3D">
        <w:tc>
          <w:tcPr>
            <w:tcW w:w="4707" w:type="dxa"/>
          </w:tcPr>
          <w:p w14:paraId="17CBB4F1" w14:textId="77777777" w:rsidR="00941E8B" w:rsidRPr="00913861" w:rsidRDefault="00941E8B" w:rsidP="0013526B">
            <w:pPr>
              <w:widowControl w:val="0"/>
              <w:autoSpaceDE w:val="0"/>
              <w:autoSpaceDN w:val="0"/>
              <w:adjustRightInd w:val="0"/>
              <w:ind w:left="567"/>
              <w:jc w:val="both"/>
              <w:rPr>
                <w:bCs w:val="0"/>
                <w:sz w:val="18"/>
                <w:szCs w:val="18"/>
              </w:rPr>
            </w:pPr>
          </w:p>
        </w:tc>
        <w:tc>
          <w:tcPr>
            <w:tcW w:w="4709" w:type="dxa"/>
          </w:tcPr>
          <w:p w14:paraId="7CE93C84" w14:textId="77777777" w:rsidR="00941E8B" w:rsidRPr="00913861" w:rsidRDefault="00941E8B" w:rsidP="0013526B">
            <w:pPr>
              <w:tabs>
                <w:tab w:val="left" w:pos="5590"/>
                <w:tab w:val="right" w:pos="7620"/>
                <w:tab w:val="right" w:pos="9460"/>
                <w:tab w:val="right" w:pos="10080"/>
              </w:tabs>
              <w:ind w:left="567"/>
              <w:jc w:val="both"/>
              <w:rPr>
                <w:bCs w:val="0"/>
                <w:i/>
                <w:sz w:val="18"/>
                <w:szCs w:val="18"/>
              </w:rPr>
            </w:pPr>
          </w:p>
        </w:tc>
      </w:tr>
      <w:tr w:rsidR="009456EB" w:rsidRPr="00913861" w14:paraId="30CA6774" w14:textId="77777777" w:rsidTr="00BE6E3D">
        <w:tc>
          <w:tcPr>
            <w:tcW w:w="4707" w:type="dxa"/>
          </w:tcPr>
          <w:p w14:paraId="05BD5682" w14:textId="77777777" w:rsidR="009456EB" w:rsidRPr="00913861" w:rsidRDefault="009456EB" w:rsidP="00070D1F">
            <w:pPr>
              <w:pStyle w:val="ListParagraph"/>
              <w:numPr>
                <w:ilvl w:val="0"/>
                <w:numId w:val="98"/>
              </w:numPr>
              <w:ind w:left="568" w:hanging="284"/>
              <w:contextualSpacing/>
              <w:jc w:val="both"/>
              <w:rPr>
                <w:rStyle w:val="hps"/>
                <w:b/>
                <w:bCs w:val="0"/>
                <w:sz w:val="18"/>
                <w:szCs w:val="18"/>
              </w:rPr>
            </w:pPr>
            <w:r w:rsidRPr="00913861">
              <w:rPr>
                <w:rStyle w:val="hps"/>
                <w:b/>
                <w:bCs w:val="0"/>
                <w:sz w:val="18"/>
                <w:szCs w:val="18"/>
              </w:rPr>
              <w:t>B</w:t>
            </w:r>
            <w:r w:rsidR="00F24E33" w:rsidRPr="00913861">
              <w:rPr>
                <w:rStyle w:val="hps"/>
                <w:b/>
                <w:bCs w:val="0"/>
                <w:sz w:val="18"/>
                <w:szCs w:val="18"/>
              </w:rPr>
              <w:t>iaya</w:t>
            </w:r>
            <w:r w:rsidRPr="00913861">
              <w:rPr>
                <w:rStyle w:val="hps"/>
                <w:b/>
                <w:bCs w:val="0"/>
                <w:sz w:val="18"/>
                <w:szCs w:val="18"/>
              </w:rPr>
              <w:t xml:space="preserve"> </w:t>
            </w:r>
            <w:r w:rsidR="00B17861" w:rsidRPr="00913861">
              <w:rPr>
                <w:rStyle w:val="hps"/>
                <w:b/>
                <w:bCs w:val="0"/>
                <w:sz w:val="18"/>
                <w:szCs w:val="18"/>
              </w:rPr>
              <w:t>D</w:t>
            </w:r>
            <w:r w:rsidRPr="00913861">
              <w:rPr>
                <w:rStyle w:val="hps"/>
                <w:b/>
                <w:bCs w:val="0"/>
                <w:sz w:val="18"/>
                <w:szCs w:val="18"/>
              </w:rPr>
              <w:t xml:space="preserve">ibayar </w:t>
            </w:r>
            <w:r w:rsidR="00B17861" w:rsidRPr="00913861">
              <w:rPr>
                <w:rStyle w:val="hps"/>
                <w:b/>
                <w:bCs w:val="0"/>
                <w:sz w:val="18"/>
                <w:szCs w:val="18"/>
              </w:rPr>
              <w:t>D</w:t>
            </w:r>
            <w:r w:rsidRPr="00913861">
              <w:rPr>
                <w:rStyle w:val="hps"/>
                <w:b/>
                <w:bCs w:val="0"/>
                <w:sz w:val="18"/>
                <w:szCs w:val="18"/>
              </w:rPr>
              <w:t>imuka</w:t>
            </w:r>
          </w:p>
        </w:tc>
        <w:tc>
          <w:tcPr>
            <w:tcW w:w="4709" w:type="dxa"/>
          </w:tcPr>
          <w:p w14:paraId="4BAC6C7A" w14:textId="77777777" w:rsidR="009456EB" w:rsidRPr="00913861" w:rsidRDefault="00E57A18" w:rsidP="00070D1F">
            <w:pPr>
              <w:pStyle w:val="ListParagraph"/>
              <w:numPr>
                <w:ilvl w:val="0"/>
                <w:numId w:val="99"/>
              </w:numPr>
              <w:ind w:left="568" w:hanging="284"/>
              <w:contextualSpacing/>
              <w:jc w:val="both"/>
              <w:rPr>
                <w:b/>
                <w:bCs w:val="0"/>
                <w:i/>
                <w:sz w:val="18"/>
                <w:szCs w:val="18"/>
              </w:rPr>
            </w:pPr>
            <w:r w:rsidRPr="00913861">
              <w:rPr>
                <w:b/>
                <w:bCs w:val="0"/>
                <w:i/>
                <w:sz w:val="18"/>
                <w:szCs w:val="18"/>
              </w:rPr>
              <w:t xml:space="preserve">Prepaid </w:t>
            </w:r>
            <w:r w:rsidR="00B17861" w:rsidRPr="00913861">
              <w:rPr>
                <w:rStyle w:val="hps"/>
                <w:b/>
                <w:bCs w:val="0"/>
                <w:i/>
                <w:sz w:val="18"/>
                <w:szCs w:val="18"/>
              </w:rPr>
              <w:t>E</w:t>
            </w:r>
            <w:r w:rsidRPr="00913861">
              <w:rPr>
                <w:rStyle w:val="hps"/>
                <w:b/>
                <w:bCs w:val="0"/>
                <w:i/>
                <w:sz w:val="18"/>
                <w:szCs w:val="18"/>
              </w:rPr>
              <w:t>xpenses</w:t>
            </w:r>
          </w:p>
        </w:tc>
      </w:tr>
      <w:tr w:rsidR="009456EB" w:rsidRPr="00913861" w14:paraId="0472F38C" w14:textId="77777777" w:rsidTr="00BE6E3D">
        <w:tc>
          <w:tcPr>
            <w:tcW w:w="4707" w:type="dxa"/>
          </w:tcPr>
          <w:p w14:paraId="5FEF8C87" w14:textId="77777777" w:rsidR="009456EB" w:rsidRPr="00913861" w:rsidRDefault="009456EB" w:rsidP="0013526B">
            <w:pPr>
              <w:jc w:val="both"/>
              <w:rPr>
                <w:rStyle w:val="hps"/>
                <w:sz w:val="18"/>
                <w:szCs w:val="18"/>
              </w:rPr>
            </w:pPr>
          </w:p>
        </w:tc>
        <w:tc>
          <w:tcPr>
            <w:tcW w:w="4709" w:type="dxa"/>
          </w:tcPr>
          <w:p w14:paraId="03EF0A83" w14:textId="77777777" w:rsidR="009456EB" w:rsidRPr="00913861" w:rsidRDefault="009456EB" w:rsidP="0013526B">
            <w:pPr>
              <w:ind w:left="426"/>
              <w:jc w:val="both"/>
              <w:rPr>
                <w:bCs w:val="0"/>
                <w:i/>
                <w:sz w:val="18"/>
                <w:szCs w:val="18"/>
              </w:rPr>
            </w:pPr>
          </w:p>
        </w:tc>
      </w:tr>
      <w:tr w:rsidR="009456EB" w:rsidRPr="0013526B" w14:paraId="11719D68" w14:textId="77777777" w:rsidTr="00BE6E3D">
        <w:tc>
          <w:tcPr>
            <w:tcW w:w="4707" w:type="dxa"/>
          </w:tcPr>
          <w:p w14:paraId="48F5FEED" w14:textId="77777777" w:rsidR="009456EB" w:rsidRPr="00913861" w:rsidRDefault="00CE55DB" w:rsidP="0013526B">
            <w:pPr>
              <w:ind w:left="567" w:right="-57"/>
              <w:jc w:val="both"/>
              <w:rPr>
                <w:rStyle w:val="hps"/>
                <w:sz w:val="18"/>
                <w:szCs w:val="18"/>
              </w:rPr>
            </w:pPr>
            <w:r w:rsidRPr="00913861">
              <w:rPr>
                <w:bCs w:val="0"/>
                <w:sz w:val="18"/>
                <w:szCs w:val="18"/>
              </w:rPr>
              <w:t>Biaya dibayar dimuka diamortisasi sesuai masa manfaat masing</w:t>
            </w:r>
            <w:r w:rsidR="00037369" w:rsidRPr="00913861">
              <w:rPr>
                <w:bCs w:val="0"/>
                <w:sz w:val="18"/>
                <w:szCs w:val="18"/>
              </w:rPr>
              <w:t>-</w:t>
            </w:r>
            <w:r w:rsidRPr="00913861">
              <w:rPr>
                <w:bCs w:val="0"/>
                <w:sz w:val="18"/>
                <w:szCs w:val="18"/>
              </w:rPr>
              <w:t>masing biaya dengan menggunakan metode garis lurus.</w:t>
            </w:r>
          </w:p>
        </w:tc>
        <w:tc>
          <w:tcPr>
            <w:tcW w:w="4709" w:type="dxa"/>
          </w:tcPr>
          <w:p w14:paraId="2041A55D" w14:textId="77777777" w:rsidR="009456EB" w:rsidRPr="0013526B" w:rsidRDefault="00CE55DB" w:rsidP="0013526B">
            <w:pPr>
              <w:ind w:left="567" w:right="-57"/>
              <w:jc w:val="both"/>
              <w:rPr>
                <w:bCs w:val="0"/>
                <w:i/>
                <w:sz w:val="18"/>
                <w:szCs w:val="18"/>
              </w:rPr>
            </w:pPr>
            <w:r w:rsidRPr="00913861">
              <w:rPr>
                <w:bCs w:val="0"/>
                <w:i/>
                <w:sz w:val="18"/>
                <w:szCs w:val="18"/>
              </w:rPr>
              <w:t>Prepaid expenses are amortized over the useful life of each expense using the straight</w:t>
            </w:r>
            <w:r w:rsidR="00037369" w:rsidRPr="00913861">
              <w:rPr>
                <w:bCs w:val="0"/>
                <w:i/>
                <w:sz w:val="18"/>
                <w:szCs w:val="18"/>
              </w:rPr>
              <w:t>-</w:t>
            </w:r>
            <w:r w:rsidRPr="00913861">
              <w:rPr>
                <w:bCs w:val="0"/>
                <w:i/>
                <w:sz w:val="18"/>
                <w:szCs w:val="18"/>
              </w:rPr>
              <w:t>line method.</w:t>
            </w:r>
          </w:p>
        </w:tc>
      </w:tr>
    </w:tbl>
    <w:p w14:paraId="4EB0503C" w14:textId="77777777" w:rsidR="007E667A" w:rsidRPr="0013526B" w:rsidRDefault="007E667A" w:rsidP="0013526B">
      <w:r w:rsidRPr="0013526B">
        <w:br w:type="page"/>
      </w:r>
    </w:p>
    <w:tbl>
      <w:tblPr>
        <w:tblW w:w="9197" w:type="dxa"/>
        <w:tblInd w:w="392" w:type="dxa"/>
        <w:tblLayout w:type="fixed"/>
        <w:tblLook w:val="0000" w:firstRow="0" w:lastRow="0" w:firstColumn="0" w:lastColumn="0" w:noHBand="0" w:noVBand="0"/>
      </w:tblPr>
      <w:tblGrid>
        <w:gridCol w:w="3654"/>
        <w:gridCol w:w="944"/>
        <w:gridCol w:w="941"/>
        <w:gridCol w:w="3658"/>
      </w:tblGrid>
      <w:tr w:rsidR="007E667A" w:rsidRPr="00913861" w14:paraId="2B3BF16B" w14:textId="77777777" w:rsidTr="00B13C9E">
        <w:tc>
          <w:tcPr>
            <w:tcW w:w="4598" w:type="dxa"/>
            <w:gridSpan w:val="2"/>
          </w:tcPr>
          <w:p w14:paraId="5D02E324" w14:textId="77777777" w:rsidR="007E667A" w:rsidRPr="00913861" w:rsidRDefault="007E667A" w:rsidP="005F361E">
            <w:pPr>
              <w:pStyle w:val="ListParagraph"/>
              <w:numPr>
                <w:ilvl w:val="0"/>
                <w:numId w:val="52"/>
              </w:numPr>
              <w:ind w:left="284" w:hanging="284"/>
              <w:contextualSpacing/>
              <w:jc w:val="both"/>
              <w:rPr>
                <w:rStyle w:val="hps"/>
                <w:b/>
                <w:sz w:val="18"/>
                <w:szCs w:val="18"/>
              </w:rPr>
            </w:pPr>
            <w:r w:rsidRPr="00913861">
              <w:rPr>
                <w:rStyle w:val="hps"/>
                <w:b/>
                <w:sz w:val="18"/>
                <w:szCs w:val="18"/>
              </w:rPr>
              <w:lastRenderedPageBreak/>
              <w:t xml:space="preserve">IKHTISAR KEBIJAKAN AKUNTANSI </w:t>
            </w:r>
            <w:r w:rsidR="00C85EDE" w:rsidRPr="00913861">
              <w:rPr>
                <w:rStyle w:val="hps"/>
                <w:b/>
                <w:sz w:val="18"/>
                <w:szCs w:val="18"/>
                <w:lang w:val="id-ID"/>
              </w:rPr>
              <w:t xml:space="preserve">YANG </w:t>
            </w:r>
            <w:r w:rsidRPr="00913861">
              <w:rPr>
                <w:rStyle w:val="hps"/>
                <w:b/>
                <w:sz w:val="18"/>
                <w:szCs w:val="18"/>
              </w:rPr>
              <w:t xml:space="preserve">PENTING </w:t>
            </w:r>
            <w:r w:rsidR="004373EC" w:rsidRPr="00913861">
              <w:rPr>
                <w:rStyle w:val="hps"/>
                <w:b/>
                <w:sz w:val="18"/>
                <w:szCs w:val="18"/>
              </w:rPr>
              <w:t>-</w:t>
            </w:r>
            <w:r w:rsidRPr="00913861">
              <w:rPr>
                <w:rStyle w:val="hps"/>
                <w:b/>
                <w:sz w:val="18"/>
                <w:szCs w:val="18"/>
              </w:rPr>
              <w:t xml:space="preserve"> Lanjutan</w:t>
            </w:r>
          </w:p>
        </w:tc>
        <w:tc>
          <w:tcPr>
            <w:tcW w:w="4599" w:type="dxa"/>
            <w:gridSpan w:val="2"/>
          </w:tcPr>
          <w:p w14:paraId="52D0B1A5" w14:textId="77777777" w:rsidR="007E667A" w:rsidRPr="00913861" w:rsidRDefault="007E667A" w:rsidP="005F361E">
            <w:pPr>
              <w:pStyle w:val="ListParagraph"/>
              <w:numPr>
                <w:ilvl w:val="0"/>
                <w:numId w:val="53"/>
              </w:numPr>
              <w:ind w:left="289" w:hanging="284"/>
              <w:contextualSpacing/>
              <w:jc w:val="both"/>
              <w:rPr>
                <w:b/>
                <w:bCs w:val="0"/>
                <w:i/>
                <w:sz w:val="18"/>
                <w:szCs w:val="18"/>
              </w:rPr>
            </w:pPr>
            <w:r w:rsidRPr="00913861">
              <w:rPr>
                <w:b/>
                <w:i/>
                <w:sz w:val="18"/>
                <w:szCs w:val="18"/>
              </w:rPr>
              <w:t>SUMMARY OF SIGNIFICANT ACCOUNTING POLICIES - Continued</w:t>
            </w:r>
          </w:p>
        </w:tc>
      </w:tr>
      <w:tr w:rsidR="007E667A" w:rsidRPr="00913861" w14:paraId="76FA6C84" w14:textId="77777777" w:rsidTr="00B13C9E">
        <w:tc>
          <w:tcPr>
            <w:tcW w:w="4598" w:type="dxa"/>
            <w:gridSpan w:val="2"/>
          </w:tcPr>
          <w:p w14:paraId="35A94D9E" w14:textId="77777777" w:rsidR="007E667A" w:rsidRPr="00913861" w:rsidRDefault="007E667A" w:rsidP="0013526B">
            <w:pPr>
              <w:jc w:val="center"/>
              <w:rPr>
                <w:rStyle w:val="hps"/>
                <w:sz w:val="18"/>
                <w:szCs w:val="18"/>
              </w:rPr>
            </w:pPr>
          </w:p>
        </w:tc>
        <w:tc>
          <w:tcPr>
            <w:tcW w:w="4599" w:type="dxa"/>
            <w:gridSpan w:val="2"/>
          </w:tcPr>
          <w:p w14:paraId="3B1385A2" w14:textId="77777777" w:rsidR="007E667A" w:rsidRPr="00913861" w:rsidRDefault="007E667A" w:rsidP="0013526B">
            <w:pPr>
              <w:ind w:left="426"/>
              <w:jc w:val="both"/>
              <w:rPr>
                <w:bCs w:val="0"/>
                <w:i/>
                <w:sz w:val="18"/>
                <w:szCs w:val="18"/>
              </w:rPr>
            </w:pPr>
          </w:p>
        </w:tc>
      </w:tr>
      <w:tr w:rsidR="009456EB" w:rsidRPr="00913861" w14:paraId="6F37FDF0" w14:textId="77777777" w:rsidTr="00B13C9E">
        <w:tc>
          <w:tcPr>
            <w:tcW w:w="4598" w:type="dxa"/>
            <w:gridSpan w:val="2"/>
          </w:tcPr>
          <w:p w14:paraId="00220DE6" w14:textId="77777777" w:rsidR="009456EB" w:rsidRPr="00913861" w:rsidRDefault="00E57A18" w:rsidP="00070D1F">
            <w:pPr>
              <w:pStyle w:val="ListParagraph"/>
              <w:numPr>
                <w:ilvl w:val="0"/>
                <w:numId w:val="98"/>
              </w:numPr>
              <w:ind w:left="568" w:hanging="284"/>
              <w:contextualSpacing/>
              <w:jc w:val="both"/>
              <w:rPr>
                <w:rStyle w:val="hps"/>
                <w:b/>
                <w:sz w:val="18"/>
                <w:szCs w:val="18"/>
              </w:rPr>
            </w:pPr>
            <w:r w:rsidRPr="00913861">
              <w:rPr>
                <w:rStyle w:val="hps"/>
                <w:b/>
                <w:sz w:val="18"/>
                <w:szCs w:val="18"/>
              </w:rPr>
              <w:t xml:space="preserve">Aset </w:t>
            </w:r>
            <w:r w:rsidR="00B17861" w:rsidRPr="00913861">
              <w:rPr>
                <w:rStyle w:val="hps"/>
                <w:b/>
                <w:sz w:val="18"/>
                <w:szCs w:val="18"/>
              </w:rPr>
              <w:t>T</w:t>
            </w:r>
            <w:r w:rsidRPr="00913861">
              <w:rPr>
                <w:rStyle w:val="hps"/>
                <w:b/>
                <w:sz w:val="18"/>
                <w:szCs w:val="18"/>
              </w:rPr>
              <w:t>etap</w:t>
            </w:r>
          </w:p>
        </w:tc>
        <w:tc>
          <w:tcPr>
            <w:tcW w:w="4599" w:type="dxa"/>
            <w:gridSpan w:val="2"/>
          </w:tcPr>
          <w:p w14:paraId="357BF377" w14:textId="736C77A0" w:rsidR="009456EB" w:rsidRPr="00913861" w:rsidRDefault="00273018" w:rsidP="00070D1F">
            <w:pPr>
              <w:pStyle w:val="ListParagraph"/>
              <w:numPr>
                <w:ilvl w:val="0"/>
                <w:numId w:val="99"/>
              </w:numPr>
              <w:ind w:left="568" w:hanging="284"/>
              <w:contextualSpacing/>
              <w:jc w:val="both"/>
              <w:rPr>
                <w:b/>
                <w:bCs w:val="0"/>
                <w:i/>
                <w:iCs/>
                <w:sz w:val="18"/>
                <w:szCs w:val="18"/>
              </w:rPr>
            </w:pPr>
            <w:r w:rsidRPr="00913861">
              <w:rPr>
                <w:b/>
                <w:bCs w:val="0"/>
                <w:i/>
                <w:iCs/>
                <w:sz w:val="18"/>
                <w:szCs w:val="18"/>
              </w:rPr>
              <w:t>Property</w:t>
            </w:r>
            <w:r w:rsidRPr="00913861">
              <w:rPr>
                <w:b/>
                <w:i/>
                <w:iCs/>
                <w:sz w:val="18"/>
                <w:szCs w:val="18"/>
              </w:rPr>
              <w:t xml:space="preserve"> </w:t>
            </w:r>
            <w:r w:rsidRPr="00913861">
              <w:rPr>
                <w:b/>
                <w:bCs w:val="0"/>
                <w:i/>
                <w:iCs/>
                <w:sz w:val="18"/>
                <w:szCs w:val="18"/>
              </w:rPr>
              <w:t>and</w:t>
            </w:r>
            <w:r w:rsidRPr="00913861">
              <w:rPr>
                <w:b/>
                <w:i/>
                <w:iCs/>
                <w:sz w:val="18"/>
                <w:szCs w:val="18"/>
              </w:rPr>
              <w:t xml:space="preserve"> </w:t>
            </w:r>
            <w:r w:rsidR="00B17861" w:rsidRPr="00913861">
              <w:rPr>
                <w:b/>
                <w:i/>
                <w:iCs/>
                <w:sz w:val="18"/>
                <w:szCs w:val="18"/>
              </w:rPr>
              <w:t>E</w:t>
            </w:r>
            <w:r w:rsidRPr="00913861">
              <w:rPr>
                <w:b/>
                <w:i/>
                <w:iCs/>
                <w:sz w:val="18"/>
                <w:szCs w:val="18"/>
              </w:rPr>
              <w:t>quipment</w:t>
            </w:r>
          </w:p>
        </w:tc>
      </w:tr>
      <w:tr w:rsidR="009456EB" w:rsidRPr="00913861" w14:paraId="72784A1E" w14:textId="77777777" w:rsidTr="00B13C9E">
        <w:tc>
          <w:tcPr>
            <w:tcW w:w="4598" w:type="dxa"/>
            <w:gridSpan w:val="2"/>
          </w:tcPr>
          <w:p w14:paraId="5215C304" w14:textId="77777777" w:rsidR="009456EB" w:rsidRPr="00913861" w:rsidRDefault="009456EB" w:rsidP="0013526B">
            <w:pPr>
              <w:jc w:val="both"/>
              <w:rPr>
                <w:rStyle w:val="hps"/>
                <w:sz w:val="18"/>
                <w:szCs w:val="18"/>
              </w:rPr>
            </w:pPr>
          </w:p>
        </w:tc>
        <w:tc>
          <w:tcPr>
            <w:tcW w:w="4599" w:type="dxa"/>
            <w:gridSpan w:val="2"/>
          </w:tcPr>
          <w:p w14:paraId="27E760C6" w14:textId="77777777" w:rsidR="009456EB" w:rsidRPr="00913861" w:rsidRDefault="009456EB" w:rsidP="0013526B">
            <w:pPr>
              <w:ind w:left="426"/>
              <w:jc w:val="both"/>
              <w:rPr>
                <w:bCs w:val="0"/>
                <w:i/>
                <w:sz w:val="18"/>
                <w:szCs w:val="18"/>
              </w:rPr>
            </w:pPr>
          </w:p>
        </w:tc>
      </w:tr>
      <w:tr w:rsidR="009456EB" w:rsidRPr="00BE6E3D" w14:paraId="7E6B657F" w14:textId="77777777" w:rsidTr="00B13C9E">
        <w:tc>
          <w:tcPr>
            <w:tcW w:w="4598" w:type="dxa"/>
            <w:gridSpan w:val="2"/>
          </w:tcPr>
          <w:p w14:paraId="0BC057F7" w14:textId="3EFCFD99" w:rsidR="00E57A18" w:rsidRPr="00913861" w:rsidRDefault="00235394" w:rsidP="0013526B">
            <w:pPr>
              <w:ind w:left="567" w:right="-57"/>
              <w:jc w:val="both"/>
              <w:rPr>
                <w:rStyle w:val="hps"/>
                <w:sz w:val="18"/>
                <w:szCs w:val="18"/>
              </w:rPr>
            </w:pPr>
            <w:r w:rsidRPr="00913861">
              <w:rPr>
                <w:bCs w:val="0"/>
                <w:sz w:val="18"/>
                <w:szCs w:val="18"/>
                <w:lang w:val="id-ID"/>
              </w:rPr>
              <w:t>Kelompok usaha</w:t>
            </w:r>
            <w:r w:rsidR="00D27594" w:rsidRPr="00913861">
              <w:rPr>
                <w:bCs w:val="0"/>
                <w:sz w:val="18"/>
                <w:szCs w:val="18"/>
              </w:rPr>
              <w:t xml:space="preserve"> menerapkan PSAK No. 16 </w:t>
            </w:r>
            <w:r w:rsidR="00007674" w:rsidRPr="00913861">
              <w:rPr>
                <w:bCs w:val="0"/>
                <w:sz w:val="18"/>
                <w:szCs w:val="18"/>
              </w:rPr>
              <w:br/>
            </w:r>
            <w:r w:rsidR="00D27594" w:rsidRPr="00913861">
              <w:rPr>
                <w:bCs w:val="0"/>
                <w:sz w:val="18"/>
                <w:szCs w:val="18"/>
              </w:rPr>
              <w:t>(Revisi 2011)</w:t>
            </w:r>
            <w:r w:rsidR="00600BA9">
              <w:rPr>
                <w:bCs w:val="0"/>
                <w:sz w:val="18"/>
                <w:szCs w:val="18"/>
              </w:rPr>
              <w:t>,</w:t>
            </w:r>
            <w:r w:rsidR="00D27594" w:rsidRPr="00913861">
              <w:rPr>
                <w:bCs w:val="0"/>
                <w:sz w:val="18"/>
                <w:szCs w:val="18"/>
              </w:rPr>
              <w:t xml:space="preserve"> “Aset Tetap” termasuk</w:t>
            </w:r>
            <w:r w:rsidR="001C12BF" w:rsidRPr="00913861">
              <w:rPr>
                <w:bCs w:val="0"/>
                <w:sz w:val="18"/>
                <w:szCs w:val="18"/>
              </w:rPr>
              <w:t xml:space="preserve"> </w:t>
            </w:r>
            <w:r w:rsidR="00D27594" w:rsidRPr="00913861">
              <w:rPr>
                <w:bCs w:val="0"/>
                <w:sz w:val="18"/>
                <w:szCs w:val="18"/>
              </w:rPr>
              <w:t>PSAK No. 16 (Penyesuaian 2015)</w:t>
            </w:r>
            <w:r w:rsidR="00600BA9">
              <w:rPr>
                <w:bCs w:val="0"/>
                <w:sz w:val="18"/>
                <w:szCs w:val="18"/>
              </w:rPr>
              <w:t>,</w:t>
            </w:r>
            <w:r w:rsidR="00D27594" w:rsidRPr="00913861">
              <w:rPr>
                <w:bCs w:val="0"/>
                <w:sz w:val="18"/>
                <w:szCs w:val="18"/>
              </w:rPr>
              <w:t xml:space="preserve"> “Aset Tetap” dan Amandemen PSAK No.16</w:t>
            </w:r>
            <w:r w:rsidR="00870FD0">
              <w:rPr>
                <w:bCs w:val="0"/>
                <w:sz w:val="18"/>
                <w:szCs w:val="18"/>
              </w:rPr>
              <w:t>.</w:t>
            </w:r>
            <w:r w:rsidR="00D27594" w:rsidRPr="00913861">
              <w:rPr>
                <w:bCs w:val="0"/>
                <w:sz w:val="18"/>
                <w:szCs w:val="18"/>
              </w:rPr>
              <w:t xml:space="preserve"> “Aset Tetap tentang Klarifikasi Metode yang Diterima untuk Penyusutan dan Amortisasi”.</w:t>
            </w:r>
            <w:r w:rsidR="001C12BF" w:rsidRPr="00913861">
              <w:rPr>
                <w:bCs w:val="0"/>
                <w:sz w:val="18"/>
                <w:szCs w:val="18"/>
              </w:rPr>
              <w:t xml:space="preserve"> </w:t>
            </w:r>
            <w:r w:rsidR="00D27594" w:rsidRPr="00913861">
              <w:rPr>
                <w:bCs w:val="0"/>
                <w:sz w:val="18"/>
                <w:szCs w:val="18"/>
              </w:rPr>
              <w:t>Selain itu</w:t>
            </w:r>
            <w:r w:rsidR="00870FD0">
              <w:rPr>
                <w:bCs w:val="0"/>
                <w:sz w:val="18"/>
                <w:szCs w:val="18"/>
              </w:rPr>
              <w:t>.</w:t>
            </w:r>
            <w:r w:rsidR="00D27594" w:rsidRPr="00913861">
              <w:rPr>
                <w:bCs w:val="0"/>
                <w:sz w:val="18"/>
                <w:szCs w:val="18"/>
              </w:rPr>
              <w:t xml:space="preserve"> Kelompok Usaha juga</w:t>
            </w:r>
            <w:r w:rsidR="004E2574" w:rsidRPr="00913861">
              <w:rPr>
                <w:bCs w:val="0"/>
                <w:sz w:val="18"/>
                <w:szCs w:val="18"/>
              </w:rPr>
              <w:t xml:space="preserve"> menerapkan </w:t>
            </w:r>
            <w:r w:rsidR="00007674" w:rsidRPr="00913861">
              <w:rPr>
                <w:bCs w:val="0"/>
                <w:sz w:val="18"/>
                <w:szCs w:val="18"/>
              </w:rPr>
              <w:br/>
            </w:r>
            <w:r w:rsidR="0010211A">
              <w:rPr>
                <w:bCs w:val="0"/>
                <w:sz w:val="18"/>
                <w:szCs w:val="18"/>
                <w:lang w:val="id-ID"/>
              </w:rPr>
              <w:t>PSAK 73</w:t>
            </w:r>
            <w:r w:rsidR="0010211A">
              <w:rPr>
                <w:bCs w:val="0"/>
                <w:sz w:val="18"/>
                <w:szCs w:val="18"/>
              </w:rPr>
              <w:t xml:space="preserve"> </w:t>
            </w:r>
            <w:r w:rsidR="0010211A">
              <w:rPr>
                <w:bCs w:val="0"/>
                <w:sz w:val="18"/>
                <w:szCs w:val="18"/>
                <w:lang w:val="id-ID"/>
              </w:rPr>
              <w:t>(2017</w:t>
            </w:r>
            <w:proofErr w:type="gramStart"/>
            <w:r w:rsidR="0010211A">
              <w:rPr>
                <w:bCs w:val="0"/>
                <w:sz w:val="18"/>
                <w:szCs w:val="18"/>
                <w:lang w:val="id-ID"/>
              </w:rPr>
              <w:t>)</w:t>
            </w:r>
            <w:r w:rsidR="0010211A">
              <w:rPr>
                <w:bCs w:val="0"/>
                <w:sz w:val="18"/>
                <w:szCs w:val="18"/>
              </w:rPr>
              <w:t xml:space="preserve"> </w:t>
            </w:r>
            <w:r w:rsidR="00B16EDC" w:rsidRPr="00913861">
              <w:rPr>
                <w:bCs w:val="0"/>
                <w:sz w:val="18"/>
                <w:szCs w:val="18"/>
                <w:lang w:val="id-ID"/>
              </w:rPr>
              <w:t xml:space="preserve"> </w:t>
            </w:r>
            <w:r w:rsidR="0010211A">
              <w:rPr>
                <w:bCs w:val="0"/>
                <w:sz w:val="18"/>
                <w:szCs w:val="18"/>
              </w:rPr>
              <w:t>“</w:t>
            </w:r>
            <w:proofErr w:type="gramEnd"/>
            <w:r w:rsidR="0010211A">
              <w:rPr>
                <w:bCs w:val="0"/>
                <w:sz w:val="18"/>
                <w:szCs w:val="18"/>
                <w:lang w:val="id-ID"/>
              </w:rPr>
              <w:t>Leases</w:t>
            </w:r>
            <w:r w:rsidR="00D27594" w:rsidRPr="00913861">
              <w:rPr>
                <w:bCs w:val="0"/>
                <w:sz w:val="18"/>
                <w:szCs w:val="18"/>
              </w:rPr>
              <w:t>”.</w:t>
            </w:r>
          </w:p>
        </w:tc>
        <w:tc>
          <w:tcPr>
            <w:tcW w:w="4599" w:type="dxa"/>
            <w:gridSpan w:val="2"/>
          </w:tcPr>
          <w:p w14:paraId="6CFB43F8" w14:textId="4EFD78D8" w:rsidR="00166526" w:rsidRPr="00913861" w:rsidRDefault="00D27594" w:rsidP="00600BA9">
            <w:pPr>
              <w:ind w:left="567" w:right="-57"/>
              <w:jc w:val="both"/>
              <w:rPr>
                <w:sz w:val="18"/>
                <w:szCs w:val="18"/>
              </w:rPr>
            </w:pPr>
            <w:r w:rsidRPr="00913861">
              <w:rPr>
                <w:bCs w:val="0"/>
                <w:i/>
                <w:sz w:val="18"/>
                <w:szCs w:val="18"/>
              </w:rPr>
              <w:t xml:space="preserve">The </w:t>
            </w:r>
            <w:r w:rsidR="00235394" w:rsidRPr="00913861">
              <w:rPr>
                <w:bCs w:val="0"/>
                <w:i/>
                <w:sz w:val="18"/>
                <w:szCs w:val="18"/>
                <w:lang w:val="id-ID"/>
              </w:rPr>
              <w:t>Group</w:t>
            </w:r>
            <w:r w:rsidRPr="00913861">
              <w:rPr>
                <w:bCs w:val="0"/>
                <w:i/>
                <w:sz w:val="18"/>
                <w:szCs w:val="18"/>
              </w:rPr>
              <w:t xml:space="preserve"> adopted PSAK No. 16 (Revised 2011)</w:t>
            </w:r>
            <w:r w:rsidR="00600BA9">
              <w:rPr>
                <w:bCs w:val="0"/>
                <w:i/>
                <w:sz w:val="18"/>
                <w:szCs w:val="18"/>
              </w:rPr>
              <w:t>,</w:t>
            </w:r>
            <w:r w:rsidRPr="00913861">
              <w:rPr>
                <w:bCs w:val="0"/>
                <w:i/>
                <w:sz w:val="18"/>
                <w:szCs w:val="18"/>
              </w:rPr>
              <w:t xml:space="preserve"> “Property and Equipment</w:t>
            </w:r>
            <w:r w:rsidR="00600BA9">
              <w:rPr>
                <w:bCs w:val="0"/>
                <w:i/>
                <w:sz w:val="18"/>
                <w:szCs w:val="18"/>
              </w:rPr>
              <w:t>”,</w:t>
            </w:r>
            <w:r w:rsidRPr="00913861">
              <w:rPr>
                <w:bCs w:val="0"/>
                <w:i/>
                <w:sz w:val="18"/>
                <w:szCs w:val="18"/>
              </w:rPr>
              <w:t xml:space="preserve"> including </w:t>
            </w:r>
            <w:r w:rsidR="00273018" w:rsidRPr="00913861">
              <w:rPr>
                <w:bCs w:val="0"/>
                <w:i/>
                <w:sz w:val="18"/>
                <w:szCs w:val="18"/>
              </w:rPr>
              <w:br/>
            </w:r>
            <w:r w:rsidRPr="00913861">
              <w:rPr>
                <w:bCs w:val="0"/>
                <w:i/>
                <w:sz w:val="18"/>
                <w:szCs w:val="18"/>
              </w:rPr>
              <w:t>PSAK No. 16 (Improvement 2015)</w:t>
            </w:r>
            <w:r w:rsidR="00600BA9">
              <w:rPr>
                <w:bCs w:val="0"/>
                <w:i/>
                <w:sz w:val="18"/>
                <w:szCs w:val="18"/>
              </w:rPr>
              <w:t>,</w:t>
            </w:r>
            <w:r w:rsidRPr="00913861">
              <w:rPr>
                <w:bCs w:val="0"/>
                <w:i/>
                <w:sz w:val="18"/>
                <w:szCs w:val="18"/>
              </w:rPr>
              <w:t xml:space="preserve"> “Property and Equipment” and Amendment to PSAK No. 16</w:t>
            </w:r>
            <w:r w:rsidR="00870FD0">
              <w:rPr>
                <w:bCs w:val="0"/>
                <w:i/>
                <w:sz w:val="18"/>
                <w:szCs w:val="18"/>
              </w:rPr>
              <w:t>.</w:t>
            </w:r>
            <w:r w:rsidRPr="00913861">
              <w:rPr>
                <w:bCs w:val="0"/>
                <w:i/>
                <w:sz w:val="18"/>
                <w:szCs w:val="18"/>
              </w:rPr>
              <w:t xml:space="preserve"> “Property</w:t>
            </w:r>
            <w:r w:rsidR="00807738">
              <w:rPr>
                <w:bCs w:val="0"/>
                <w:i/>
                <w:sz w:val="18"/>
                <w:szCs w:val="18"/>
              </w:rPr>
              <w:t xml:space="preserve"> </w:t>
            </w:r>
            <w:r w:rsidRPr="00913861">
              <w:rPr>
                <w:bCs w:val="0"/>
                <w:i/>
                <w:sz w:val="18"/>
                <w:szCs w:val="18"/>
              </w:rPr>
              <w:t>and Equipment on Clarification Method Received for Depreciation and Amortization”. Besides</w:t>
            </w:r>
            <w:r w:rsidR="00870FD0">
              <w:rPr>
                <w:bCs w:val="0"/>
                <w:i/>
                <w:sz w:val="18"/>
                <w:szCs w:val="18"/>
              </w:rPr>
              <w:t>.</w:t>
            </w:r>
            <w:r w:rsidR="0010211A">
              <w:rPr>
                <w:bCs w:val="0"/>
                <w:i/>
                <w:sz w:val="18"/>
                <w:szCs w:val="18"/>
              </w:rPr>
              <w:t xml:space="preserve"> </w:t>
            </w:r>
            <w:proofErr w:type="gramStart"/>
            <w:r w:rsidR="0010211A">
              <w:rPr>
                <w:bCs w:val="0"/>
                <w:i/>
                <w:sz w:val="18"/>
                <w:szCs w:val="18"/>
              </w:rPr>
              <w:t>the</w:t>
            </w:r>
            <w:proofErr w:type="gramEnd"/>
            <w:r w:rsidR="0010211A">
              <w:rPr>
                <w:bCs w:val="0"/>
                <w:i/>
                <w:sz w:val="18"/>
                <w:szCs w:val="18"/>
              </w:rPr>
              <w:t xml:space="preserve"> Group also adopted </w:t>
            </w:r>
            <w:r w:rsidR="0010211A">
              <w:rPr>
                <w:bCs w:val="0"/>
                <w:i/>
                <w:sz w:val="18"/>
                <w:szCs w:val="18"/>
                <w:lang w:val="id-ID"/>
              </w:rPr>
              <w:t>PSAK</w:t>
            </w:r>
            <w:r w:rsidR="0010211A">
              <w:rPr>
                <w:bCs w:val="0"/>
                <w:i/>
                <w:sz w:val="18"/>
                <w:szCs w:val="18"/>
              </w:rPr>
              <w:t xml:space="preserve"> No. </w:t>
            </w:r>
            <w:r w:rsidR="0010211A">
              <w:rPr>
                <w:bCs w:val="0"/>
                <w:i/>
                <w:sz w:val="18"/>
                <w:szCs w:val="18"/>
                <w:lang w:val="id-ID"/>
              </w:rPr>
              <w:t>73</w:t>
            </w:r>
            <w:r w:rsidR="0010211A">
              <w:rPr>
                <w:bCs w:val="0"/>
                <w:i/>
                <w:sz w:val="18"/>
                <w:szCs w:val="18"/>
              </w:rPr>
              <w:t xml:space="preserve"> (201</w:t>
            </w:r>
            <w:r w:rsidR="0010211A">
              <w:rPr>
                <w:bCs w:val="0"/>
                <w:i/>
                <w:sz w:val="18"/>
                <w:szCs w:val="18"/>
                <w:lang w:val="id-ID"/>
              </w:rPr>
              <w:t>7</w:t>
            </w:r>
            <w:r w:rsidRPr="00913861">
              <w:rPr>
                <w:bCs w:val="0"/>
                <w:i/>
                <w:sz w:val="18"/>
                <w:szCs w:val="18"/>
              </w:rPr>
              <w:t>)</w:t>
            </w:r>
            <w:r w:rsidR="00600BA9">
              <w:rPr>
                <w:bCs w:val="0"/>
                <w:i/>
                <w:sz w:val="18"/>
                <w:szCs w:val="18"/>
              </w:rPr>
              <w:t>,</w:t>
            </w:r>
            <w:r w:rsidR="0010211A">
              <w:rPr>
                <w:bCs w:val="0"/>
                <w:i/>
                <w:sz w:val="18"/>
                <w:szCs w:val="18"/>
              </w:rPr>
              <w:t xml:space="preserve"> “L</w:t>
            </w:r>
            <w:r w:rsidR="0010211A">
              <w:rPr>
                <w:bCs w:val="0"/>
                <w:i/>
                <w:sz w:val="18"/>
                <w:szCs w:val="18"/>
                <w:lang w:val="id-ID"/>
              </w:rPr>
              <w:t>eases</w:t>
            </w:r>
            <w:r w:rsidRPr="00913861">
              <w:rPr>
                <w:bCs w:val="0"/>
                <w:i/>
                <w:sz w:val="18"/>
                <w:szCs w:val="18"/>
              </w:rPr>
              <w:t>”.</w:t>
            </w:r>
          </w:p>
        </w:tc>
      </w:tr>
      <w:tr w:rsidR="0083121D" w:rsidRPr="00BE6E3D" w14:paraId="2558C6CE" w14:textId="77777777" w:rsidTr="00B13C9E">
        <w:tc>
          <w:tcPr>
            <w:tcW w:w="4598" w:type="dxa"/>
            <w:gridSpan w:val="2"/>
          </w:tcPr>
          <w:p w14:paraId="7921A242" w14:textId="77777777" w:rsidR="0083121D" w:rsidRPr="00BE6E3D" w:rsidRDefault="0083121D" w:rsidP="0013526B">
            <w:pPr>
              <w:jc w:val="both"/>
              <w:rPr>
                <w:rStyle w:val="hps"/>
                <w:sz w:val="18"/>
                <w:szCs w:val="18"/>
                <w:highlight w:val="cyan"/>
              </w:rPr>
            </w:pPr>
          </w:p>
        </w:tc>
        <w:tc>
          <w:tcPr>
            <w:tcW w:w="4599" w:type="dxa"/>
            <w:gridSpan w:val="2"/>
          </w:tcPr>
          <w:p w14:paraId="1A5AB830" w14:textId="77777777" w:rsidR="0083121D" w:rsidRPr="00BE6E3D" w:rsidRDefault="0083121D" w:rsidP="0013526B">
            <w:pPr>
              <w:ind w:left="426"/>
              <w:jc w:val="both"/>
              <w:rPr>
                <w:bCs w:val="0"/>
                <w:i/>
                <w:sz w:val="18"/>
                <w:szCs w:val="18"/>
                <w:highlight w:val="cyan"/>
              </w:rPr>
            </w:pPr>
          </w:p>
        </w:tc>
      </w:tr>
      <w:tr w:rsidR="00D27594" w:rsidRPr="00913861" w14:paraId="44B716F0" w14:textId="77777777" w:rsidTr="00B13C9E">
        <w:tc>
          <w:tcPr>
            <w:tcW w:w="4598" w:type="dxa"/>
            <w:gridSpan w:val="2"/>
          </w:tcPr>
          <w:p w14:paraId="59CF9D9B" w14:textId="540FEF55" w:rsidR="00D27594" w:rsidRPr="00913861" w:rsidRDefault="00D27594" w:rsidP="00600BA9">
            <w:pPr>
              <w:ind w:left="567" w:right="-57"/>
              <w:jc w:val="both"/>
              <w:rPr>
                <w:bCs w:val="0"/>
                <w:sz w:val="18"/>
                <w:szCs w:val="18"/>
              </w:rPr>
            </w:pPr>
            <w:r w:rsidRPr="00913861">
              <w:rPr>
                <w:bCs w:val="0"/>
                <w:sz w:val="18"/>
                <w:szCs w:val="18"/>
              </w:rPr>
              <w:t>PSAK No. 16 (Penyesuaian 2015) ini memberikan klarifikasi paragraf 35 terkait model revaluasi</w:t>
            </w:r>
            <w:r w:rsidR="00600BA9">
              <w:rPr>
                <w:bCs w:val="0"/>
                <w:sz w:val="18"/>
                <w:szCs w:val="18"/>
              </w:rPr>
              <w:t>,</w:t>
            </w:r>
            <w:r w:rsidRPr="00913861">
              <w:rPr>
                <w:bCs w:val="0"/>
                <w:sz w:val="18"/>
                <w:szCs w:val="18"/>
              </w:rPr>
              <w:t xml:space="preserve"> bahwa ketika entitas menggunakan model revaluasi</w:t>
            </w:r>
            <w:r w:rsidR="00600BA9">
              <w:rPr>
                <w:bCs w:val="0"/>
                <w:sz w:val="18"/>
                <w:szCs w:val="18"/>
              </w:rPr>
              <w:t>,</w:t>
            </w:r>
            <w:r w:rsidRPr="00913861">
              <w:rPr>
                <w:bCs w:val="0"/>
                <w:sz w:val="18"/>
                <w:szCs w:val="18"/>
              </w:rPr>
              <w:t xml:space="preserve"> jumlah tercatat aset disajikan kembali pada jumlah revaluasiannya.</w:t>
            </w:r>
          </w:p>
        </w:tc>
        <w:tc>
          <w:tcPr>
            <w:tcW w:w="4599" w:type="dxa"/>
            <w:gridSpan w:val="2"/>
          </w:tcPr>
          <w:p w14:paraId="0CDE3C2C" w14:textId="0A5A007F" w:rsidR="00D27594" w:rsidRPr="00913861" w:rsidRDefault="00D27594" w:rsidP="00600BA9">
            <w:pPr>
              <w:ind w:left="567" w:right="-57"/>
              <w:jc w:val="both"/>
              <w:rPr>
                <w:bCs w:val="0"/>
                <w:i/>
                <w:sz w:val="18"/>
                <w:szCs w:val="18"/>
              </w:rPr>
            </w:pPr>
            <w:r w:rsidRPr="00913861">
              <w:rPr>
                <w:bCs w:val="0"/>
                <w:i/>
                <w:sz w:val="18"/>
                <w:szCs w:val="18"/>
              </w:rPr>
              <w:t>This PSAK No. 16 (Improvement 2015) provides clarification of paragraph 35 related to the revaluation model</w:t>
            </w:r>
            <w:r w:rsidR="00600BA9">
              <w:rPr>
                <w:bCs w:val="0"/>
                <w:i/>
                <w:sz w:val="18"/>
                <w:szCs w:val="18"/>
              </w:rPr>
              <w:t>,</w:t>
            </w:r>
            <w:r w:rsidRPr="00913861">
              <w:rPr>
                <w:bCs w:val="0"/>
                <w:i/>
                <w:sz w:val="18"/>
                <w:szCs w:val="18"/>
              </w:rPr>
              <w:t xml:space="preserve"> that when an entity uses the revaluation model</w:t>
            </w:r>
            <w:r w:rsidR="00600BA9">
              <w:rPr>
                <w:bCs w:val="0"/>
                <w:i/>
                <w:sz w:val="18"/>
                <w:szCs w:val="18"/>
              </w:rPr>
              <w:t>,</w:t>
            </w:r>
            <w:r w:rsidRPr="00913861">
              <w:rPr>
                <w:bCs w:val="0"/>
                <w:i/>
                <w:sz w:val="18"/>
                <w:szCs w:val="18"/>
              </w:rPr>
              <w:t xml:space="preserve"> the carrying amount of the asset is restated on its revaluation amount.</w:t>
            </w:r>
          </w:p>
        </w:tc>
      </w:tr>
      <w:tr w:rsidR="0083121D" w:rsidRPr="00913861" w14:paraId="7F40AF7B" w14:textId="77777777" w:rsidTr="00B13C9E">
        <w:tc>
          <w:tcPr>
            <w:tcW w:w="4598" w:type="dxa"/>
            <w:gridSpan w:val="2"/>
          </w:tcPr>
          <w:p w14:paraId="3EF7BC72" w14:textId="77777777" w:rsidR="0083121D" w:rsidRPr="00913861" w:rsidRDefault="0083121D" w:rsidP="0013526B">
            <w:pPr>
              <w:widowControl w:val="0"/>
              <w:autoSpaceDE w:val="0"/>
              <w:autoSpaceDN w:val="0"/>
              <w:adjustRightInd w:val="0"/>
              <w:ind w:left="567"/>
              <w:jc w:val="both"/>
              <w:rPr>
                <w:bCs w:val="0"/>
                <w:sz w:val="18"/>
                <w:szCs w:val="18"/>
              </w:rPr>
            </w:pPr>
          </w:p>
        </w:tc>
        <w:tc>
          <w:tcPr>
            <w:tcW w:w="4599" w:type="dxa"/>
            <w:gridSpan w:val="2"/>
          </w:tcPr>
          <w:p w14:paraId="4105314A" w14:textId="77777777" w:rsidR="0083121D" w:rsidRPr="00913861" w:rsidRDefault="0083121D" w:rsidP="0013526B">
            <w:pPr>
              <w:tabs>
                <w:tab w:val="left" w:pos="5590"/>
                <w:tab w:val="right" w:pos="7620"/>
                <w:tab w:val="right" w:pos="9460"/>
                <w:tab w:val="right" w:pos="10080"/>
              </w:tabs>
              <w:ind w:left="567"/>
              <w:jc w:val="both"/>
              <w:rPr>
                <w:bCs w:val="0"/>
                <w:i/>
                <w:sz w:val="18"/>
                <w:szCs w:val="18"/>
              </w:rPr>
            </w:pPr>
          </w:p>
        </w:tc>
      </w:tr>
      <w:tr w:rsidR="00D27594" w:rsidRPr="00913861" w14:paraId="7F80F1C2" w14:textId="77777777" w:rsidTr="00B13C9E">
        <w:tc>
          <w:tcPr>
            <w:tcW w:w="4598" w:type="dxa"/>
            <w:gridSpan w:val="2"/>
          </w:tcPr>
          <w:p w14:paraId="6F990C73" w14:textId="77777777" w:rsidR="00D27594" w:rsidRPr="00913861" w:rsidRDefault="00D27594" w:rsidP="0013526B">
            <w:pPr>
              <w:ind w:left="567" w:right="-57"/>
              <w:jc w:val="both"/>
              <w:rPr>
                <w:bCs w:val="0"/>
                <w:sz w:val="18"/>
                <w:szCs w:val="18"/>
              </w:rPr>
            </w:pPr>
            <w:r w:rsidRPr="00913861">
              <w:rPr>
                <w:bCs w:val="0"/>
                <w:sz w:val="18"/>
                <w:szCs w:val="18"/>
              </w:rPr>
              <w:t>Amandemen PSAK No. 16 memberikan tambahan penjelasan tentang indikasi perkiraan keusangan teknis atau komersial suatu aset dan juga memberikan klarifikasi bahwa penggunaan metode penyusutan yang berdasarkan pada pendapatan adalah tidak tepat.</w:t>
            </w:r>
          </w:p>
        </w:tc>
        <w:tc>
          <w:tcPr>
            <w:tcW w:w="4599" w:type="dxa"/>
            <w:gridSpan w:val="2"/>
          </w:tcPr>
          <w:p w14:paraId="5D7F80E6" w14:textId="77777777" w:rsidR="00D27594" w:rsidRPr="00913861" w:rsidRDefault="00D27594" w:rsidP="0013526B">
            <w:pPr>
              <w:ind w:left="567" w:right="-57"/>
              <w:jc w:val="both"/>
              <w:rPr>
                <w:bCs w:val="0"/>
                <w:i/>
                <w:sz w:val="18"/>
                <w:szCs w:val="18"/>
              </w:rPr>
            </w:pPr>
            <w:r w:rsidRPr="00913861">
              <w:rPr>
                <w:bCs w:val="0"/>
                <w:i/>
                <w:sz w:val="18"/>
                <w:szCs w:val="18"/>
              </w:rPr>
              <w:t>This Amendment to PSAK No. 16 provides an additional explanation of the approximate indication of technical or commercial obsolescence of an asset and also clarifies that the use of the depreciation method based on income is not appropriate</w:t>
            </w:r>
            <w:r w:rsidRPr="00913861">
              <w:rPr>
                <w:i/>
                <w:iCs/>
                <w:spacing w:val="2"/>
                <w:sz w:val="18"/>
                <w:szCs w:val="18"/>
              </w:rPr>
              <w:t>.</w:t>
            </w:r>
          </w:p>
        </w:tc>
      </w:tr>
      <w:tr w:rsidR="0083121D" w:rsidRPr="00913861" w14:paraId="5A5451E8" w14:textId="77777777" w:rsidTr="00B13C9E">
        <w:tc>
          <w:tcPr>
            <w:tcW w:w="4598" w:type="dxa"/>
            <w:gridSpan w:val="2"/>
          </w:tcPr>
          <w:p w14:paraId="10C7A97F" w14:textId="77777777" w:rsidR="0083121D" w:rsidRPr="00913861" w:rsidRDefault="0083121D" w:rsidP="0013526B">
            <w:pPr>
              <w:widowControl w:val="0"/>
              <w:autoSpaceDE w:val="0"/>
              <w:autoSpaceDN w:val="0"/>
              <w:adjustRightInd w:val="0"/>
              <w:ind w:left="567"/>
              <w:jc w:val="both"/>
              <w:rPr>
                <w:bCs w:val="0"/>
                <w:sz w:val="18"/>
                <w:szCs w:val="18"/>
              </w:rPr>
            </w:pPr>
          </w:p>
        </w:tc>
        <w:tc>
          <w:tcPr>
            <w:tcW w:w="4599" w:type="dxa"/>
            <w:gridSpan w:val="2"/>
          </w:tcPr>
          <w:p w14:paraId="56BE3717" w14:textId="77777777" w:rsidR="0083121D" w:rsidRPr="00913861" w:rsidRDefault="0083121D" w:rsidP="0013526B">
            <w:pPr>
              <w:tabs>
                <w:tab w:val="left" w:pos="5590"/>
                <w:tab w:val="right" w:pos="7620"/>
                <w:tab w:val="right" w:pos="9460"/>
                <w:tab w:val="right" w:pos="10080"/>
              </w:tabs>
              <w:ind w:left="567"/>
              <w:jc w:val="both"/>
              <w:rPr>
                <w:bCs w:val="0"/>
                <w:i/>
                <w:sz w:val="18"/>
                <w:szCs w:val="18"/>
              </w:rPr>
            </w:pPr>
          </w:p>
        </w:tc>
      </w:tr>
      <w:tr w:rsidR="00D27594" w:rsidRPr="00BE6E3D" w14:paraId="4F487C92" w14:textId="77777777" w:rsidTr="00B13C9E">
        <w:tc>
          <w:tcPr>
            <w:tcW w:w="4598" w:type="dxa"/>
            <w:gridSpan w:val="2"/>
          </w:tcPr>
          <w:p w14:paraId="6FD72857" w14:textId="3515E575" w:rsidR="00D27594" w:rsidRPr="00913861" w:rsidRDefault="00D27594" w:rsidP="0013526B">
            <w:pPr>
              <w:ind w:left="567" w:right="-57"/>
              <w:jc w:val="both"/>
              <w:rPr>
                <w:bCs w:val="0"/>
                <w:sz w:val="18"/>
                <w:szCs w:val="18"/>
              </w:rPr>
            </w:pPr>
            <w:r w:rsidRPr="00913861">
              <w:rPr>
                <w:bCs w:val="0"/>
                <w:sz w:val="18"/>
                <w:szCs w:val="18"/>
              </w:rPr>
              <w:t>Aset tetap dinyatakan sebesar biaya perolehan</w:t>
            </w:r>
            <w:r w:rsidR="00870FD0">
              <w:rPr>
                <w:bCs w:val="0"/>
                <w:sz w:val="18"/>
                <w:szCs w:val="18"/>
              </w:rPr>
              <w:t>.</w:t>
            </w:r>
            <w:r w:rsidRPr="00913861">
              <w:rPr>
                <w:bCs w:val="0"/>
                <w:sz w:val="18"/>
                <w:szCs w:val="18"/>
              </w:rPr>
              <w:t xml:space="preserve"> </w:t>
            </w:r>
            <w:proofErr w:type="gramStart"/>
            <w:r w:rsidRPr="00913861">
              <w:rPr>
                <w:bCs w:val="0"/>
                <w:sz w:val="18"/>
                <w:szCs w:val="18"/>
              </w:rPr>
              <w:t>kecuali</w:t>
            </w:r>
            <w:proofErr w:type="gramEnd"/>
            <w:r w:rsidRPr="00913861">
              <w:rPr>
                <w:bCs w:val="0"/>
                <w:sz w:val="18"/>
                <w:szCs w:val="18"/>
              </w:rPr>
              <w:t xml:space="preserve"> tanah</w:t>
            </w:r>
            <w:r w:rsidR="00870FD0">
              <w:rPr>
                <w:bCs w:val="0"/>
                <w:sz w:val="18"/>
                <w:szCs w:val="18"/>
              </w:rPr>
              <w:t>.</w:t>
            </w:r>
            <w:r w:rsidRPr="00913861">
              <w:rPr>
                <w:bCs w:val="0"/>
                <w:sz w:val="18"/>
                <w:szCs w:val="18"/>
              </w:rPr>
              <w:t xml:space="preserve"> </w:t>
            </w:r>
            <w:proofErr w:type="gramStart"/>
            <w:r w:rsidRPr="00913861">
              <w:rPr>
                <w:bCs w:val="0"/>
                <w:sz w:val="18"/>
                <w:szCs w:val="18"/>
              </w:rPr>
              <w:t>dikurangi</w:t>
            </w:r>
            <w:proofErr w:type="gramEnd"/>
            <w:r w:rsidRPr="00913861">
              <w:rPr>
                <w:bCs w:val="0"/>
                <w:sz w:val="18"/>
                <w:szCs w:val="18"/>
              </w:rPr>
              <w:t xml:space="preserve"> akumulasi penyusutan dan rugi penurunan nilai. Penyusutan dihitung dengan menggunakan metode garis lurus (</w:t>
            </w:r>
            <w:r w:rsidRPr="00913861">
              <w:rPr>
                <w:bCs w:val="0"/>
                <w:i/>
                <w:sz w:val="18"/>
                <w:szCs w:val="18"/>
              </w:rPr>
              <w:t>straight line method</w:t>
            </w:r>
            <w:r w:rsidRPr="00913861">
              <w:rPr>
                <w:bCs w:val="0"/>
                <w:sz w:val="18"/>
                <w:szCs w:val="18"/>
              </w:rPr>
              <w:t>) selama umur manfaat aset. Taksiran masa manfaat ekonomis sebagai berikut:</w:t>
            </w:r>
          </w:p>
        </w:tc>
        <w:tc>
          <w:tcPr>
            <w:tcW w:w="4599" w:type="dxa"/>
            <w:gridSpan w:val="2"/>
          </w:tcPr>
          <w:p w14:paraId="2C33837F" w14:textId="48EBE681" w:rsidR="00D27594" w:rsidRPr="00913861" w:rsidRDefault="00D27594" w:rsidP="00600BA9">
            <w:pPr>
              <w:ind w:left="567" w:right="-57"/>
              <w:jc w:val="both"/>
              <w:rPr>
                <w:bCs w:val="0"/>
                <w:i/>
                <w:sz w:val="18"/>
                <w:szCs w:val="18"/>
              </w:rPr>
            </w:pPr>
            <w:r w:rsidRPr="00913861">
              <w:rPr>
                <w:bCs w:val="0"/>
                <w:i/>
                <w:sz w:val="18"/>
                <w:szCs w:val="18"/>
              </w:rPr>
              <w:t>Property</w:t>
            </w:r>
            <w:r w:rsidR="00600BA9">
              <w:rPr>
                <w:bCs w:val="0"/>
                <w:i/>
                <w:sz w:val="18"/>
                <w:szCs w:val="18"/>
              </w:rPr>
              <w:t>,</w:t>
            </w:r>
            <w:r w:rsidRPr="00913861">
              <w:rPr>
                <w:bCs w:val="0"/>
                <w:i/>
                <w:sz w:val="18"/>
                <w:szCs w:val="18"/>
              </w:rPr>
              <w:t xml:space="preserve"> plant a</w:t>
            </w:r>
            <w:r w:rsidR="004E2574" w:rsidRPr="00913861">
              <w:rPr>
                <w:bCs w:val="0"/>
                <w:i/>
                <w:sz w:val="18"/>
                <w:szCs w:val="18"/>
              </w:rPr>
              <w:t>nd equipment are stated at cost</w:t>
            </w:r>
            <w:r w:rsidR="00870FD0">
              <w:rPr>
                <w:bCs w:val="0"/>
                <w:i/>
                <w:sz w:val="18"/>
                <w:szCs w:val="18"/>
              </w:rPr>
              <w:t>.</w:t>
            </w:r>
            <w:r w:rsidRPr="00913861">
              <w:rPr>
                <w:bCs w:val="0"/>
                <w:i/>
                <w:sz w:val="18"/>
                <w:szCs w:val="18"/>
              </w:rPr>
              <w:t xml:space="preserve"> </w:t>
            </w:r>
            <w:proofErr w:type="gramStart"/>
            <w:r w:rsidRPr="00913861">
              <w:rPr>
                <w:bCs w:val="0"/>
                <w:i/>
                <w:sz w:val="18"/>
                <w:szCs w:val="18"/>
              </w:rPr>
              <w:t>except</w:t>
            </w:r>
            <w:proofErr w:type="gramEnd"/>
            <w:r w:rsidRPr="00913861">
              <w:rPr>
                <w:bCs w:val="0"/>
                <w:i/>
                <w:sz w:val="18"/>
                <w:szCs w:val="18"/>
              </w:rPr>
              <w:t xml:space="preserve"> land</w:t>
            </w:r>
            <w:r w:rsidR="00600BA9">
              <w:rPr>
                <w:bCs w:val="0"/>
                <w:i/>
                <w:sz w:val="18"/>
                <w:szCs w:val="18"/>
              </w:rPr>
              <w:t>,</w:t>
            </w:r>
            <w:r w:rsidR="001C12BF" w:rsidRPr="00913861">
              <w:rPr>
                <w:bCs w:val="0"/>
                <w:i/>
                <w:sz w:val="18"/>
                <w:szCs w:val="18"/>
              </w:rPr>
              <w:t xml:space="preserve"> </w:t>
            </w:r>
            <w:r w:rsidRPr="00913861">
              <w:rPr>
                <w:bCs w:val="0"/>
                <w:i/>
                <w:sz w:val="18"/>
                <w:szCs w:val="18"/>
              </w:rPr>
              <w:t>less accumulated depreciation and impairment losses. Depreciation is computed using the straight</w:t>
            </w:r>
            <w:r w:rsidR="00037369" w:rsidRPr="00913861">
              <w:rPr>
                <w:bCs w:val="0"/>
                <w:i/>
                <w:sz w:val="18"/>
                <w:szCs w:val="18"/>
              </w:rPr>
              <w:t>-</w:t>
            </w:r>
            <w:r w:rsidRPr="00913861">
              <w:rPr>
                <w:bCs w:val="0"/>
                <w:i/>
                <w:sz w:val="18"/>
                <w:szCs w:val="18"/>
              </w:rPr>
              <w:t>line method over the useful life of the assets. Estimated useful lives as follows:</w:t>
            </w:r>
          </w:p>
        </w:tc>
      </w:tr>
      <w:tr w:rsidR="0083121D" w:rsidRPr="00BE6E3D" w14:paraId="0D77F238" w14:textId="77777777" w:rsidTr="00B13C9E">
        <w:tc>
          <w:tcPr>
            <w:tcW w:w="4598" w:type="dxa"/>
            <w:gridSpan w:val="2"/>
          </w:tcPr>
          <w:p w14:paraId="2ADFDA49" w14:textId="77777777" w:rsidR="0083121D" w:rsidRPr="00BE6E3D" w:rsidRDefault="0083121D" w:rsidP="0013526B">
            <w:pPr>
              <w:widowControl w:val="0"/>
              <w:autoSpaceDE w:val="0"/>
              <w:autoSpaceDN w:val="0"/>
              <w:adjustRightInd w:val="0"/>
              <w:ind w:left="564" w:right="-32"/>
              <w:jc w:val="both"/>
              <w:rPr>
                <w:bCs w:val="0"/>
                <w:sz w:val="18"/>
                <w:szCs w:val="18"/>
                <w:highlight w:val="cyan"/>
              </w:rPr>
            </w:pPr>
          </w:p>
        </w:tc>
        <w:tc>
          <w:tcPr>
            <w:tcW w:w="4599" w:type="dxa"/>
            <w:gridSpan w:val="2"/>
          </w:tcPr>
          <w:p w14:paraId="68C5F5EA" w14:textId="77777777" w:rsidR="0083121D" w:rsidRPr="00BE6E3D" w:rsidRDefault="0083121D" w:rsidP="0013526B">
            <w:pPr>
              <w:ind w:left="572"/>
              <w:jc w:val="both"/>
              <w:rPr>
                <w:bCs w:val="0"/>
                <w:i/>
                <w:sz w:val="18"/>
                <w:szCs w:val="18"/>
                <w:highlight w:val="cyan"/>
              </w:rPr>
            </w:pPr>
          </w:p>
        </w:tc>
      </w:tr>
      <w:tr w:rsidR="00A67406" w:rsidRPr="00913861" w14:paraId="5227AC39" w14:textId="77777777" w:rsidTr="00B13C9E">
        <w:tblPrEx>
          <w:tblLook w:val="04A0" w:firstRow="1" w:lastRow="0" w:firstColumn="1" w:lastColumn="0" w:noHBand="0" w:noVBand="1"/>
        </w:tblPrEx>
        <w:tc>
          <w:tcPr>
            <w:tcW w:w="3654" w:type="dxa"/>
            <w:shd w:val="clear" w:color="auto" w:fill="auto"/>
          </w:tcPr>
          <w:p w14:paraId="4D940A83" w14:textId="77777777" w:rsidR="00A67406" w:rsidRPr="00913861" w:rsidRDefault="00A67406" w:rsidP="0013526B">
            <w:pPr>
              <w:rPr>
                <w:sz w:val="18"/>
                <w:szCs w:val="18"/>
              </w:rPr>
            </w:pPr>
          </w:p>
        </w:tc>
        <w:tc>
          <w:tcPr>
            <w:tcW w:w="1885" w:type="dxa"/>
            <w:gridSpan w:val="2"/>
            <w:tcBorders>
              <w:bottom w:val="single" w:sz="4" w:space="0" w:color="auto"/>
            </w:tcBorders>
            <w:shd w:val="clear" w:color="auto" w:fill="auto"/>
            <w:vAlign w:val="bottom"/>
          </w:tcPr>
          <w:p w14:paraId="436417F6" w14:textId="77777777" w:rsidR="00A67406" w:rsidRPr="00913861" w:rsidRDefault="00CE55DB" w:rsidP="0013526B">
            <w:pPr>
              <w:jc w:val="center"/>
              <w:rPr>
                <w:b/>
                <w:i/>
                <w:sz w:val="18"/>
                <w:szCs w:val="18"/>
              </w:rPr>
            </w:pPr>
            <w:r w:rsidRPr="00913861">
              <w:rPr>
                <w:bCs w:val="0"/>
                <w:sz w:val="18"/>
                <w:szCs w:val="18"/>
              </w:rPr>
              <w:t>Tahun/</w:t>
            </w:r>
            <w:r w:rsidRPr="00913861">
              <w:rPr>
                <w:bCs w:val="0"/>
                <w:i/>
                <w:sz w:val="18"/>
                <w:szCs w:val="18"/>
              </w:rPr>
              <w:t>Year</w:t>
            </w:r>
          </w:p>
        </w:tc>
        <w:tc>
          <w:tcPr>
            <w:tcW w:w="3658" w:type="dxa"/>
            <w:shd w:val="clear" w:color="auto" w:fill="auto"/>
          </w:tcPr>
          <w:p w14:paraId="71F80012" w14:textId="77777777" w:rsidR="00A67406" w:rsidRPr="00913861" w:rsidRDefault="00A67406" w:rsidP="0013526B">
            <w:pPr>
              <w:rPr>
                <w:sz w:val="18"/>
                <w:szCs w:val="18"/>
              </w:rPr>
            </w:pPr>
          </w:p>
        </w:tc>
      </w:tr>
      <w:tr w:rsidR="00A67406" w:rsidRPr="00913861" w14:paraId="71BE7CB6" w14:textId="77777777" w:rsidTr="00B13C9E">
        <w:tblPrEx>
          <w:tblLook w:val="04A0" w:firstRow="1" w:lastRow="0" w:firstColumn="1" w:lastColumn="0" w:noHBand="0" w:noVBand="1"/>
        </w:tblPrEx>
        <w:tc>
          <w:tcPr>
            <w:tcW w:w="3654" w:type="dxa"/>
            <w:shd w:val="clear" w:color="auto" w:fill="auto"/>
          </w:tcPr>
          <w:p w14:paraId="5706DFF2" w14:textId="77777777" w:rsidR="00A67406" w:rsidRPr="00913861" w:rsidRDefault="00A67406" w:rsidP="0013526B">
            <w:pPr>
              <w:rPr>
                <w:sz w:val="18"/>
                <w:szCs w:val="18"/>
              </w:rPr>
            </w:pPr>
          </w:p>
        </w:tc>
        <w:tc>
          <w:tcPr>
            <w:tcW w:w="1885" w:type="dxa"/>
            <w:gridSpan w:val="2"/>
            <w:tcBorders>
              <w:top w:val="single" w:sz="4" w:space="0" w:color="auto"/>
            </w:tcBorders>
            <w:shd w:val="clear" w:color="auto" w:fill="auto"/>
          </w:tcPr>
          <w:p w14:paraId="3DCA2D91" w14:textId="77777777" w:rsidR="00A67406" w:rsidRPr="00913861" w:rsidRDefault="00A67406" w:rsidP="0013526B">
            <w:pPr>
              <w:jc w:val="center"/>
              <w:rPr>
                <w:sz w:val="18"/>
                <w:szCs w:val="18"/>
              </w:rPr>
            </w:pPr>
          </w:p>
        </w:tc>
        <w:tc>
          <w:tcPr>
            <w:tcW w:w="3658" w:type="dxa"/>
            <w:shd w:val="clear" w:color="auto" w:fill="auto"/>
          </w:tcPr>
          <w:p w14:paraId="1042E7AC" w14:textId="77777777" w:rsidR="00A67406" w:rsidRPr="00913861" w:rsidRDefault="00A67406" w:rsidP="0013526B">
            <w:pPr>
              <w:rPr>
                <w:sz w:val="18"/>
                <w:szCs w:val="18"/>
              </w:rPr>
            </w:pPr>
          </w:p>
        </w:tc>
      </w:tr>
      <w:tr w:rsidR="007D2CFC" w:rsidRPr="00913861" w14:paraId="6494CF65" w14:textId="77777777" w:rsidTr="00B13C9E">
        <w:tblPrEx>
          <w:tblLook w:val="04A0" w:firstRow="1" w:lastRow="0" w:firstColumn="1" w:lastColumn="0" w:noHBand="0" w:noVBand="1"/>
        </w:tblPrEx>
        <w:tc>
          <w:tcPr>
            <w:tcW w:w="3654" w:type="dxa"/>
            <w:shd w:val="clear" w:color="auto" w:fill="auto"/>
          </w:tcPr>
          <w:p w14:paraId="33C33A0B" w14:textId="77777777" w:rsidR="007D2CFC" w:rsidRPr="00913861" w:rsidRDefault="007D2CFC" w:rsidP="007D2CFC">
            <w:pPr>
              <w:ind w:left="567"/>
              <w:rPr>
                <w:sz w:val="18"/>
                <w:szCs w:val="18"/>
              </w:rPr>
            </w:pPr>
            <w:r w:rsidRPr="00913861">
              <w:rPr>
                <w:sz w:val="18"/>
                <w:szCs w:val="18"/>
              </w:rPr>
              <w:t xml:space="preserve">Bangunan </w:t>
            </w:r>
          </w:p>
        </w:tc>
        <w:tc>
          <w:tcPr>
            <w:tcW w:w="1885" w:type="dxa"/>
            <w:gridSpan w:val="2"/>
            <w:shd w:val="clear" w:color="auto" w:fill="auto"/>
          </w:tcPr>
          <w:p w14:paraId="63968F70" w14:textId="56402525" w:rsidR="007D2CFC" w:rsidRPr="00913861" w:rsidRDefault="007D2CFC" w:rsidP="007D2CFC">
            <w:pPr>
              <w:jc w:val="center"/>
              <w:rPr>
                <w:sz w:val="18"/>
                <w:szCs w:val="18"/>
              </w:rPr>
            </w:pPr>
            <w:r w:rsidRPr="00913861">
              <w:rPr>
                <w:sz w:val="18"/>
                <w:szCs w:val="18"/>
              </w:rPr>
              <w:t>20</w:t>
            </w:r>
          </w:p>
        </w:tc>
        <w:tc>
          <w:tcPr>
            <w:tcW w:w="3658" w:type="dxa"/>
            <w:shd w:val="clear" w:color="auto" w:fill="auto"/>
            <w:vAlign w:val="bottom"/>
          </w:tcPr>
          <w:p w14:paraId="2209948E" w14:textId="1CD731A9" w:rsidR="007D2CFC" w:rsidRPr="00913861" w:rsidRDefault="007D2CFC" w:rsidP="007D2CFC">
            <w:pPr>
              <w:ind w:right="-57"/>
              <w:jc w:val="right"/>
              <w:rPr>
                <w:i/>
                <w:sz w:val="18"/>
                <w:szCs w:val="18"/>
              </w:rPr>
            </w:pPr>
            <w:r w:rsidRPr="00913861">
              <w:rPr>
                <w:i/>
                <w:iCs/>
                <w:sz w:val="18"/>
                <w:szCs w:val="18"/>
              </w:rPr>
              <w:t>Buildings</w:t>
            </w:r>
          </w:p>
        </w:tc>
      </w:tr>
      <w:tr w:rsidR="007D2CFC" w:rsidRPr="00913861" w14:paraId="259B2134" w14:textId="77777777" w:rsidTr="00B13C9E">
        <w:tblPrEx>
          <w:tblLook w:val="04A0" w:firstRow="1" w:lastRow="0" w:firstColumn="1" w:lastColumn="0" w:noHBand="0" w:noVBand="1"/>
        </w:tblPrEx>
        <w:tc>
          <w:tcPr>
            <w:tcW w:w="3654" w:type="dxa"/>
            <w:shd w:val="clear" w:color="auto" w:fill="auto"/>
          </w:tcPr>
          <w:p w14:paraId="3BE53E4B" w14:textId="382EE4E1" w:rsidR="007D2CFC" w:rsidRPr="00913861" w:rsidRDefault="007D2CFC" w:rsidP="007D2CFC">
            <w:pPr>
              <w:ind w:left="567"/>
              <w:rPr>
                <w:sz w:val="18"/>
                <w:szCs w:val="18"/>
              </w:rPr>
            </w:pPr>
            <w:r w:rsidRPr="00913861">
              <w:rPr>
                <w:sz w:val="18"/>
                <w:szCs w:val="18"/>
              </w:rPr>
              <w:t>Peralatan kesehatan</w:t>
            </w:r>
          </w:p>
        </w:tc>
        <w:tc>
          <w:tcPr>
            <w:tcW w:w="1885" w:type="dxa"/>
            <w:gridSpan w:val="2"/>
            <w:shd w:val="clear" w:color="auto" w:fill="auto"/>
          </w:tcPr>
          <w:p w14:paraId="64938C99" w14:textId="79A3F646" w:rsidR="007D2CFC" w:rsidRPr="00913861" w:rsidRDefault="007D2CFC" w:rsidP="007D2CFC">
            <w:pPr>
              <w:jc w:val="center"/>
              <w:rPr>
                <w:sz w:val="18"/>
                <w:szCs w:val="18"/>
              </w:rPr>
            </w:pPr>
            <w:r w:rsidRPr="00913861">
              <w:rPr>
                <w:sz w:val="18"/>
                <w:szCs w:val="18"/>
              </w:rPr>
              <w:t xml:space="preserve">8 </w:t>
            </w:r>
            <w:r w:rsidR="00913861">
              <w:rPr>
                <w:sz w:val="18"/>
                <w:szCs w:val="18"/>
              </w:rPr>
              <w:t>-</w:t>
            </w:r>
            <w:r w:rsidRPr="00913861">
              <w:rPr>
                <w:sz w:val="18"/>
                <w:szCs w:val="18"/>
              </w:rPr>
              <w:t xml:space="preserve"> 15</w:t>
            </w:r>
          </w:p>
        </w:tc>
        <w:tc>
          <w:tcPr>
            <w:tcW w:w="3658" w:type="dxa"/>
            <w:shd w:val="clear" w:color="auto" w:fill="auto"/>
            <w:vAlign w:val="bottom"/>
          </w:tcPr>
          <w:p w14:paraId="0B85C31F" w14:textId="328BA696" w:rsidR="007D2CFC" w:rsidRPr="00913861" w:rsidRDefault="007D2CFC" w:rsidP="007D2CFC">
            <w:pPr>
              <w:ind w:right="-57"/>
              <w:jc w:val="right"/>
              <w:rPr>
                <w:i/>
                <w:sz w:val="18"/>
                <w:szCs w:val="18"/>
              </w:rPr>
            </w:pPr>
            <w:r w:rsidRPr="00913861">
              <w:rPr>
                <w:i/>
                <w:iCs/>
                <w:sz w:val="18"/>
                <w:szCs w:val="18"/>
              </w:rPr>
              <w:t>Medical equipment</w:t>
            </w:r>
          </w:p>
        </w:tc>
      </w:tr>
      <w:tr w:rsidR="007D2CFC" w:rsidRPr="00913861" w14:paraId="4C781D6A" w14:textId="77777777" w:rsidTr="00B13C9E">
        <w:tblPrEx>
          <w:tblLook w:val="04A0" w:firstRow="1" w:lastRow="0" w:firstColumn="1" w:lastColumn="0" w:noHBand="0" w:noVBand="1"/>
        </w:tblPrEx>
        <w:tc>
          <w:tcPr>
            <w:tcW w:w="3654" w:type="dxa"/>
            <w:shd w:val="clear" w:color="auto" w:fill="auto"/>
          </w:tcPr>
          <w:p w14:paraId="4B55906C" w14:textId="3CDF5209" w:rsidR="007D2CFC" w:rsidRPr="00913861" w:rsidRDefault="007D2CFC" w:rsidP="007D2CFC">
            <w:pPr>
              <w:ind w:left="567"/>
              <w:rPr>
                <w:sz w:val="18"/>
                <w:szCs w:val="18"/>
              </w:rPr>
            </w:pPr>
            <w:r w:rsidRPr="00913861">
              <w:rPr>
                <w:sz w:val="18"/>
                <w:szCs w:val="18"/>
              </w:rPr>
              <w:t>Mesin</w:t>
            </w:r>
          </w:p>
        </w:tc>
        <w:tc>
          <w:tcPr>
            <w:tcW w:w="1885" w:type="dxa"/>
            <w:gridSpan w:val="2"/>
            <w:shd w:val="clear" w:color="auto" w:fill="auto"/>
          </w:tcPr>
          <w:p w14:paraId="2C92527B" w14:textId="49E4E5CA" w:rsidR="007D2CFC" w:rsidRPr="00913861" w:rsidRDefault="001F1D94" w:rsidP="007D2CFC">
            <w:pPr>
              <w:jc w:val="center"/>
              <w:rPr>
                <w:sz w:val="18"/>
                <w:szCs w:val="18"/>
              </w:rPr>
            </w:pPr>
            <w:r>
              <w:rPr>
                <w:sz w:val="18"/>
                <w:szCs w:val="18"/>
              </w:rPr>
              <w:t>5</w:t>
            </w:r>
          </w:p>
        </w:tc>
        <w:tc>
          <w:tcPr>
            <w:tcW w:w="3658" w:type="dxa"/>
            <w:shd w:val="clear" w:color="auto" w:fill="auto"/>
            <w:vAlign w:val="bottom"/>
          </w:tcPr>
          <w:p w14:paraId="04730AF5" w14:textId="578F1494" w:rsidR="007D2CFC" w:rsidRPr="00913861" w:rsidRDefault="007D2CFC" w:rsidP="007D2CFC">
            <w:pPr>
              <w:ind w:right="-57"/>
              <w:jc w:val="right"/>
              <w:rPr>
                <w:i/>
                <w:sz w:val="18"/>
                <w:szCs w:val="18"/>
              </w:rPr>
            </w:pPr>
            <w:r w:rsidRPr="00913861">
              <w:rPr>
                <w:i/>
                <w:iCs/>
                <w:sz w:val="18"/>
                <w:szCs w:val="18"/>
              </w:rPr>
              <w:t>Machine</w:t>
            </w:r>
          </w:p>
        </w:tc>
      </w:tr>
      <w:tr w:rsidR="007D2CFC" w:rsidRPr="00913861" w14:paraId="0A3A1D83" w14:textId="77777777" w:rsidTr="00B13C9E">
        <w:tblPrEx>
          <w:tblLook w:val="04A0" w:firstRow="1" w:lastRow="0" w:firstColumn="1" w:lastColumn="0" w:noHBand="0" w:noVBand="1"/>
        </w:tblPrEx>
        <w:tc>
          <w:tcPr>
            <w:tcW w:w="3654" w:type="dxa"/>
            <w:shd w:val="clear" w:color="auto" w:fill="auto"/>
          </w:tcPr>
          <w:p w14:paraId="370D3F21" w14:textId="0AA4DC0C" w:rsidR="007D2CFC" w:rsidRPr="00913861" w:rsidRDefault="007D2CFC" w:rsidP="007D2CFC">
            <w:pPr>
              <w:ind w:left="567"/>
              <w:rPr>
                <w:sz w:val="18"/>
                <w:szCs w:val="18"/>
              </w:rPr>
            </w:pPr>
            <w:r w:rsidRPr="00913861">
              <w:rPr>
                <w:sz w:val="18"/>
                <w:szCs w:val="18"/>
              </w:rPr>
              <w:t>Perabotan dan peralatan</w:t>
            </w:r>
          </w:p>
        </w:tc>
        <w:tc>
          <w:tcPr>
            <w:tcW w:w="1885" w:type="dxa"/>
            <w:gridSpan w:val="2"/>
            <w:shd w:val="clear" w:color="auto" w:fill="auto"/>
          </w:tcPr>
          <w:p w14:paraId="123BA3BE" w14:textId="77777777" w:rsidR="007D2CFC" w:rsidRPr="00913861" w:rsidRDefault="007D2CFC" w:rsidP="007D2CFC">
            <w:pPr>
              <w:jc w:val="center"/>
              <w:rPr>
                <w:sz w:val="18"/>
                <w:szCs w:val="18"/>
              </w:rPr>
            </w:pPr>
            <w:r w:rsidRPr="00913861">
              <w:rPr>
                <w:sz w:val="18"/>
                <w:szCs w:val="18"/>
              </w:rPr>
              <w:t>5</w:t>
            </w:r>
          </w:p>
        </w:tc>
        <w:tc>
          <w:tcPr>
            <w:tcW w:w="3658" w:type="dxa"/>
            <w:shd w:val="clear" w:color="auto" w:fill="auto"/>
            <w:vAlign w:val="bottom"/>
          </w:tcPr>
          <w:p w14:paraId="15055FD5" w14:textId="76E2AC66" w:rsidR="007D2CFC" w:rsidRPr="00913861" w:rsidRDefault="007D2CFC" w:rsidP="007D2CFC">
            <w:pPr>
              <w:ind w:right="-57"/>
              <w:jc w:val="right"/>
              <w:rPr>
                <w:i/>
                <w:sz w:val="18"/>
                <w:szCs w:val="18"/>
              </w:rPr>
            </w:pPr>
            <w:r w:rsidRPr="00913861">
              <w:rPr>
                <w:i/>
                <w:iCs/>
                <w:sz w:val="18"/>
                <w:szCs w:val="18"/>
              </w:rPr>
              <w:t>Funitures and fixtures</w:t>
            </w:r>
          </w:p>
        </w:tc>
      </w:tr>
      <w:tr w:rsidR="007D2CFC" w:rsidRPr="00913861" w14:paraId="0DDB23F7" w14:textId="77777777" w:rsidTr="00B13C9E">
        <w:tblPrEx>
          <w:tblLook w:val="04A0" w:firstRow="1" w:lastRow="0" w:firstColumn="1" w:lastColumn="0" w:noHBand="0" w:noVBand="1"/>
        </w:tblPrEx>
        <w:tc>
          <w:tcPr>
            <w:tcW w:w="3654" w:type="dxa"/>
            <w:shd w:val="clear" w:color="auto" w:fill="auto"/>
          </w:tcPr>
          <w:p w14:paraId="728AE7BB" w14:textId="77691AC5" w:rsidR="007D2CFC" w:rsidRPr="00913861" w:rsidRDefault="007D2CFC" w:rsidP="007D2CFC">
            <w:pPr>
              <w:ind w:left="567"/>
              <w:rPr>
                <w:sz w:val="18"/>
                <w:szCs w:val="18"/>
              </w:rPr>
            </w:pPr>
            <w:r w:rsidRPr="00913861">
              <w:rPr>
                <w:sz w:val="18"/>
                <w:szCs w:val="18"/>
              </w:rPr>
              <w:t>Kendaraan</w:t>
            </w:r>
          </w:p>
        </w:tc>
        <w:tc>
          <w:tcPr>
            <w:tcW w:w="1885" w:type="dxa"/>
            <w:gridSpan w:val="2"/>
            <w:shd w:val="clear" w:color="auto" w:fill="auto"/>
          </w:tcPr>
          <w:p w14:paraId="55E8D32A" w14:textId="3D4AC878" w:rsidR="007D2CFC" w:rsidRPr="00913861" w:rsidRDefault="007D2CFC" w:rsidP="007D2CFC">
            <w:pPr>
              <w:jc w:val="center"/>
              <w:rPr>
                <w:sz w:val="18"/>
                <w:szCs w:val="18"/>
              </w:rPr>
            </w:pPr>
            <w:r w:rsidRPr="00913861">
              <w:rPr>
                <w:sz w:val="18"/>
                <w:szCs w:val="18"/>
              </w:rPr>
              <w:t>5</w:t>
            </w:r>
          </w:p>
        </w:tc>
        <w:tc>
          <w:tcPr>
            <w:tcW w:w="3658" w:type="dxa"/>
            <w:shd w:val="clear" w:color="auto" w:fill="auto"/>
            <w:vAlign w:val="bottom"/>
          </w:tcPr>
          <w:p w14:paraId="5FF9D131" w14:textId="2D225B8C" w:rsidR="007D2CFC" w:rsidRPr="00913861" w:rsidRDefault="007D2CFC" w:rsidP="007D2CFC">
            <w:pPr>
              <w:ind w:right="-57"/>
              <w:jc w:val="right"/>
              <w:rPr>
                <w:i/>
                <w:sz w:val="18"/>
                <w:szCs w:val="18"/>
              </w:rPr>
            </w:pPr>
            <w:r w:rsidRPr="00913861">
              <w:rPr>
                <w:i/>
                <w:iCs/>
                <w:sz w:val="18"/>
                <w:szCs w:val="18"/>
              </w:rPr>
              <w:t>Vehicles</w:t>
            </w:r>
          </w:p>
        </w:tc>
      </w:tr>
      <w:tr w:rsidR="007D2CFC" w:rsidRPr="00913861" w14:paraId="76A809C9" w14:textId="77777777" w:rsidTr="00B13C9E">
        <w:tblPrEx>
          <w:tblLook w:val="04A0" w:firstRow="1" w:lastRow="0" w:firstColumn="1" w:lastColumn="0" w:noHBand="0" w:noVBand="1"/>
        </w:tblPrEx>
        <w:trPr>
          <w:trHeight w:val="74"/>
        </w:trPr>
        <w:tc>
          <w:tcPr>
            <w:tcW w:w="3654" w:type="dxa"/>
            <w:shd w:val="clear" w:color="auto" w:fill="auto"/>
          </w:tcPr>
          <w:p w14:paraId="2AFF6212" w14:textId="385CD5F8" w:rsidR="007D2CFC" w:rsidRPr="00913861" w:rsidRDefault="007D2CFC" w:rsidP="007D2CFC">
            <w:pPr>
              <w:ind w:left="567"/>
              <w:rPr>
                <w:sz w:val="18"/>
                <w:szCs w:val="18"/>
              </w:rPr>
            </w:pPr>
            <w:r w:rsidRPr="00913861">
              <w:rPr>
                <w:sz w:val="18"/>
                <w:szCs w:val="18"/>
              </w:rPr>
              <w:t>Peralatan kantor</w:t>
            </w:r>
          </w:p>
        </w:tc>
        <w:tc>
          <w:tcPr>
            <w:tcW w:w="1885" w:type="dxa"/>
            <w:gridSpan w:val="2"/>
            <w:shd w:val="clear" w:color="auto" w:fill="auto"/>
          </w:tcPr>
          <w:p w14:paraId="22620DE1" w14:textId="0914448D" w:rsidR="007D2CFC" w:rsidRPr="00913861" w:rsidRDefault="007D2CFC" w:rsidP="007D2CFC">
            <w:pPr>
              <w:jc w:val="center"/>
              <w:rPr>
                <w:sz w:val="18"/>
                <w:szCs w:val="18"/>
              </w:rPr>
            </w:pPr>
            <w:r w:rsidRPr="00913861">
              <w:rPr>
                <w:sz w:val="18"/>
                <w:szCs w:val="18"/>
              </w:rPr>
              <w:t>5</w:t>
            </w:r>
          </w:p>
        </w:tc>
        <w:tc>
          <w:tcPr>
            <w:tcW w:w="3658" w:type="dxa"/>
            <w:shd w:val="clear" w:color="auto" w:fill="auto"/>
            <w:vAlign w:val="bottom"/>
          </w:tcPr>
          <w:p w14:paraId="26BB3334" w14:textId="2E1D9B2F" w:rsidR="007D2CFC" w:rsidRPr="00913861" w:rsidRDefault="007D2CFC" w:rsidP="007D2CFC">
            <w:pPr>
              <w:ind w:right="-57"/>
              <w:jc w:val="right"/>
              <w:rPr>
                <w:i/>
                <w:sz w:val="18"/>
                <w:szCs w:val="18"/>
              </w:rPr>
            </w:pPr>
            <w:r w:rsidRPr="00913861">
              <w:rPr>
                <w:i/>
                <w:iCs/>
                <w:sz w:val="18"/>
                <w:szCs w:val="18"/>
              </w:rPr>
              <w:t>Office equipment</w:t>
            </w:r>
          </w:p>
        </w:tc>
      </w:tr>
      <w:tr w:rsidR="00A95B1A" w:rsidRPr="00913861" w14:paraId="44D635C9" w14:textId="77777777" w:rsidTr="00B13C9E">
        <w:tc>
          <w:tcPr>
            <w:tcW w:w="4598" w:type="dxa"/>
            <w:gridSpan w:val="2"/>
          </w:tcPr>
          <w:p w14:paraId="519BB0B6" w14:textId="77777777" w:rsidR="00A95B1A" w:rsidRPr="00913861" w:rsidRDefault="00A95B1A" w:rsidP="0013526B">
            <w:pPr>
              <w:widowControl w:val="0"/>
              <w:autoSpaceDE w:val="0"/>
              <w:autoSpaceDN w:val="0"/>
              <w:adjustRightInd w:val="0"/>
              <w:spacing w:before="36"/>
              <w:ind w:left="564" w:right="-34"/>
              <w:jc w:val="both"/>
              <w:rPr>
                <w:spacing w:val="-1"/>
                <w:sz w:val="18"/>
                <w:szCs w:val="18"/>
              </w:rPr>
            </w:pPr>
          </w:p>
        </w:tc>
        <w:tc>
          <w:tcPr>
            <w:tcW w:w="4599" w:type="dxa"/>
            <w:gridSpan w:val="2"/>
          </w:tcPr>
          <w:p w14:paraId="5CD725E9" w14:textId="77777777" w:rsidR="00A95B1A" w:rsidRPr="00913861" w:rsidRDefault="00A95B1A" w:rsidP="0013526B">
            <w:pPr>
              <w:widowControl w:val="0"/>
              <w:autoSpaceDE w:val="0"/>
              <w:autoSpaceDN w:val="0"/>
              <w:adjustRightInd w:val="0"/>
              <w:spacing w:before="34"/>
              <w:ind w:right="81"/>
              <w:jc w:val="both"/>
              <w:rPr>
                <w:i/>
                <w:iCs/>
                <w:spacing w:val="-1"/>
                <w:sz w:val="18"/>
                <w:szCs w:val="18"/>
              </w:rPr>
            </w:pPr>
          </w:p>
        </w:tc>
      </w:tr>
      <w:tr w:rsidR="00490891" w:rsidRPr="00913861" w14:paraId="7A8A67D4" w14:textId="77777777" w:rsidTr="00B13C9E">
        <w:tc>
          <w:tcPr>
            <w:tcW w:w="4598" w:type="dxa"/>
            <w:gridSpan w:val="2"/>
          </w:tcPr>
          <w:p w14:paraId="68DA2733" w14:textId="7D7E94BC" w:rsidR="00490891" w:rsidRPr="00913861" w:rsidRDefault="00490891" w:rsidP="00600BA9">
            <w:pPr>
              <w:ind w:left="567" w:right="-57"/>
              <w:jc w:val="both"/>
              <w:rPr>
                <w:bCs w:val="0"/>
                <w:sz w:val="18"/>
                <w:szCs w:val="18"/>
              </w:rPr>
            </w:pPr>
            <w:r w:rsidRPr="00913861">
              <w:rPr>
                <w:bCs w:val="0"/>
                <w:sz w:val="18"/>
                <w:szCs w:val="18"/>
              </w:rPr>
              <w:t>Pada setiap akhir tahun buku</w:t>
            </w:r>
            <w:r w:rsidR="00870FD0">
              <w:rPr>
                <w:bCs w:val="0"/>
                <w:sz w:val="18"/>
                <w:szCs w:val="18"/>
              </w:rPr>
              <w:t>.</w:t>
            </w:r>
            <w:r w:rsidRPr="00913861">
              <w:rPr>
                <w:bCs w:val="0"/>
                <w:sz w:val="18"/>
                <w:szCs w:val="18"/>
              </w:rPr>
              <w:t xml:space="preserve"> </w:t>
            </w:r>
            <w:proofErr w:type="gramStart"/>
            <w:r w:rsidRPr="00913861">
              <w:rPr>
                <w:bCs w:val="0"/>
                <w:sz w:val="18"/>
                <w:szCs w:val="18"/>
              </w:rPr>
              <w:t>manajemen</w:t>
            </w:r>
            <w:proofErr w:type="gramEnd"/>
            <w:r w:rsidRPr="00913861">
              <w:rPr>
                <w:bCs w:val="0"/>
                <w:sz w:val="18"/>
                <w:szCs w:val="18"/>
              </w:rPr>
              <w:t xml:space="preserve"> mengkaji ulang nilai residu</w:t>
            </w:r>
            <w:r w:rsidR="00600BA9">
              <w:rPr>
                <w:bCs w:val="0"/>
                <w:sz w:val="18"/>
                <w:szCs w:val="18"/>
              </w:rPr>
              <w:t>,</w:t>
            </w:r>
            <w:r w:rsidRPr="00913861">
              <w:rPr>
                <w:bCs w:val="0"/>
                <w:sz w:val="18"/>
                <w:szCs w:val="18"/>
              </w:rPr>
              <w:t xml:space="preserve"> umur manfaat dan metode penyusutan</w:t>
            </w:r>
            <w:r w:rsidR="00600BA9">
              <w:rPr>
                <w:bCs w:val="0"/>
                <w:sz w:val="18"/>
                <w:szCs w:val="18"/>
              </w:rPr>
              <w:t>,</w:t>
            </w:r>
            <w:r w:rsidRPr="00913861">
              <w:rPr>
                <w:bCs w:val="0"/>
                <w:sz w:val="18"/>
                <w:szCs w:val="18"/>
              </w:rPr>
              <w:t xml:space="preserve"> dan jika sesuai dengan keadaan</w:t>
            </w:r>
            <w:r w:rsidR="00870FD0">
              <w:rPr>
                <w:bCs w:val="0"/>
                <w:sz w:val="18"/>
                <w:szCs w:val="18"/>
              </w:rPr>
              <w:t>.</w:t>
            </w:r>
            <w:r w:rsidRPr="00913861">
              <w:rPr>
                <w:bCs w:val="0"/>
                <w:sz w:val="18"/>
                <w:szCs w:val="18"/>
              </w:rPr>
              <w:t xml:space="preserve"> </w:t>
            </w:r>
            <w:proofErr w:type="gramStart"/>
            <w:r w:rsidRPr="00913861">
              <w:rPr>
                <w:bCs w:val="0"/>
                <w:sz w:val="18"/>
                <w:szCs w:val="18"/>
              </w:rPr>
              <w:t>disesuaikan</w:t>
            </w:r>
            <w:proofErr w:type="gramEnd"/>
            <w:r w:rsidRPr="00913861">
              <w:rPr>
                <w:bCs w:val="0"/>
                <w:sz w:val="18"/>
                <w:szCs w:val="18"/>
              </w:rPr>
              <w:t xml:space="preserve"> secara prospektif.</w:t>
            </w:r>
          </w:p>
        </w:tc>
        <w:tc>
          <w:tcPr>
            <w:tcW w:w="4599" w:type="dxa"/>
            <w:gridSpan w:val="2"/>
          </w:tcPr>
          <w:p w14:paraId="141EBECD" w14:textId="6B06AED2" w:rsidR="00490891" w:rsidRPr="00913861" w:rsidRDefault="00490891" w:rsidP="00600BA9">
            <w:pPr>
              <w:ind w:left="567" w:right="-57"/>
              <w:jc w:val="both"/>
              <w:rPr>
                <w:bCs w:val="0"/>
                <w:i/>
                <w:sz w:val="18"/>
                <w:szCs w:val="18"/>
              </w:rPr>
            </w:pPr>
            <w:r w:rsidRPr="00913861">
              <w:rPr>
                <w:bCs w:val="0"/>
                <w:i/>
                <w:sz w:val="18"/>
                <w:szCs w:val="18"/>
              </w:rPr>
              <w:t>At the end of each financial year</w:t>
            </w:r>
            <w:r w:rsidR="00870FD0">
              <w:rPr>
                <w:bCs w:val="0"/>
                <w:i/>
                <w:sz w:val="18"/>
                <w:szCs w:val="18"/>
              </w:rPr>
              <w:t>.</w:t>
            </w:r>
            <w:r w:rsidRPr="00913861">
              <w:rPr>
                <w:bCs w:val="0"/>
                <w:i/>
                <w:sz w:val="18"/>
                <w:szCs w:val="18"/>
              </w:rPr>
              <w:t xml:space="preserve"> </w:t>
            </w:r>
            <w:proofErr w:type="gramStart"/>
            <w:r w:rsidRPr="00913861">
              <w:rPr>
                <w:bCs w:val="0"/>
                <w:i/>
                <w:sz w:val="18"/>
                <w:szCs w:val="18"/>
              </w:rPr>
              <w:t>management</w:t>
            </w:r>
            <w:proofErr w:type="gramEnd"/>
            <w:r w:rsidRPr="00913861">
              <w:rPr>
                <w:bCs w:val="0"/>
                <w:i/>
                <w:sz w:val="18"/>
                <w:szCs w:val="18"/>
              </w:rPr>
              <w:t xml:space="preserve"> reviewed the residual values</w:t>
            </w:r>
            <w:r w:rsidR="00870FD0">
              <w:rPr>
                <w:bCs w:val="0"/>
                <w:i/>
                <w:sz w:val="18"/>
                <w:szCs w:val="18"/>
              </w:rPr>
              <w:t>.</w:t>
            </w:r>
            <w:r w:rsidRPr="00913861">
              <w:rPr>
                <w:bCs w:val="0"/>
                <w:i/>
                <w:sz w:val="18"/>
                <w:szCs w:val="18"/>
              </w:rPr>
              <w:t xml:space="preserve"> </w:t>
            </w:r>
            <w:proofErr w:type="gramStart"/>
            <w:r w:rsidRPr="00913861">
              <w:rPr>
                <w:bCs w:val="0"/>
                <w:i/>
                <w:sz w:val="18"/>
                <w:szCs w:val="18"/>
              </w:rPr>
              <w:t>useful</w:t>
            </w:r>
            <w:proofErr w:type="gramEnd"/>
            <w:r w:rsidRPr="00913861">
              <w:rPr>
                <w:bCs w:val="0"/>
                <w:i/>
                <w:sz w:val="18"/>
                <w:szCs w:val="18"/>
              </w:rPr>
              <w:t xml:space="preserve"> lives and methods of depreciation</w:t>
            </w:r>
            <w:r w:rsidR="00600BA9">
              <w:rPr>
                <w:bCs w:val="0"/>
                <w:i/>
                <w:sz w:val="18"/>
                <w:szCs w:val="18"/>
              </w:rPr>
              <w:t>,</w:t>
            </w:r>
            <w:r w:rsidRPr="00913861">
              <w:rPr>
                <w:bCs w:val="0"/>
                <w:i/>
                <w:sz w:val="18"/>
                <w:szCs w:val="18"/>
              </w:rPr>
              <w:t xml:space="preserve"> and if appropriate</w:t>
            </w:r>
            <w:r w:rsidR="00600BA9">
              <w:rPr>
                <w:bCs w:val="0"/>
                <w:i/>
                <w:sz w:val="18"/>
                <w:szCs w:val="18"/>
              </w:rPr>
              <w:t>,</w:t>
            </w:r>
            <w:r w:rsidRPr="00913861">
              <w:rPr>
                <w:bCs w:val="0"/>
                <w:i/>
                <w:sz w:val="18"/>
                <w:szCs w:val="18"/>
              </w:rPr>
              <w:t xml:space="preserve"> adjusted prospectively.</w:t>
            </w:r>
          </w:p>
        </w:tc>
      </w:tr>
      <w:tr w:rsidR="00490891" w:rsidRPr="00913861" w14:paraId="75F4E1D7" w14:textId="77777777" w:rsidTr="00B13C9E">
        <w:tc>
          <w:tcPr>
            <w:tcW w:w="4598" w:type="dxa"/>
            <w:gridSpan w:val="2"/>
          </w:tcPr>
          <w:p w14:paraId="2ABE3A69" w14:textId="77777777" w:rsidR="00490891" w:rsidRPr="00913861" w:rsidRDefault="00490891" w:rsidP="0013526B">
            <w:pPr>
              <w:widowControl w:val="0"/>
              <w:autoSpaceDE w:val="0"/>
              <w:autoSpaceDN w:val="0"/>
              <w:adjustRightInd w:val="0"/>
              <w:spacing w:before="36"/>
              <w:ind w:left="564" w:right="-32"/>
              <w:jc w:val="both"/>
              <w:rPr>
                <w:bCs w:val="0"/>
                <w:sz w:val="18"/>
                <w:szCs w:val="18"/>
              </w:rPr>
            </w:pPr>
          </w:p>
        </w:tc>
        <w:tc>
          <w:tcPr>
            <w:tcW w:w="4599" w:type="dxa"/>
            <w:gridSpan w:val="2"/>
          </w:tcPr>
          <w:p w14:paraId="5ED39480" w14:textId="77777777" w:rsidR="00490891" w:rsidRPr="00913861" w:rsidRDefault="00490891" w:rsidP="0013526B">
            <w:pPr>
              <w:ind w:left="572"/>
              <w:jc w:val="both"/>
              <w:rPr>
                <w:bCs w:val="0"/>
                <w:i/>
                <w:sz w:val="18"/>
                <w:szCs w:val="18"/>
              </w:rPr>
            </w:pPr>
          </w:p>
        </w:tc>
      </w:tr>
      <w:tr w:rsidR="00490891" w:rsidRPr="0013526B" w14:paraId="15DEFB5E" w14:textId="77777777" w:rsidTr="00B13C9E">
        <w:tc>
          <w:tcPr>
            <w:tcW w:w="4598" w:type="dxa"/>
            <w:gridSpan w:val="2"/>
          </w:tcPr>
          <w:p w14:paraId="4E88F229" w14:textId="493B84AD" w:rsidR="00490891" w:rsidRPr="00913861" w:rsidRDefault="008665D5" w:rsidP="00600BA9">
            <w:pPr>
              <w:ind w:left="567" w:right="-57"/>
              <w:jc w:val="both"/>
              <w:rPr>
                <w:bCs w:val="0"/>
                <w:sz w:val="18"/>
                <w:szCs w:val="18"/>
              </w:rPr>
            </w:pPr>
            <w:r>
              <w:rPr>
                <w:bCs w:val="0"/>
                <w:sz w:val="18"/>
                <w:szCs w:val="18"/>
              </w:rPr>
              <w:t>Tanah dinyatakan sebesar nilai perolehan dan tidak disusutkan</w:t>
            </w:r>
            <w:r w:rsidR="00600BA9">
              <w:rPr>
                <w:bCs w:val="0"/>
                <w:sz w:val="18"/>
                <w:szCs w:val="18"/>
              </w:rPr>
              <w:t>,</w:t>
            </w:r>
            <w:r>
              <w:rPr>
                <w:bCs w:val="0"/>
                <w:sz w:val="18"/>
                <w:szCs w:val="18"/>
              </w:rPr>
              <w:t xml:space="preserve"> kecuali dapat dibuktikan bahwa tanah tersebut mempunyai umur manfaat tertentu. Beban-beban tertentu sehubungan dengan perolehan tanah pada saat perolehan pertama kali diakui sebagai bagian perolehan tanah.</w:t>
            </w:r>
          </w:p>
        </w:tc>
        <w:tc>
          <w:tcPr>
            <w:tcW w:w="4599" w:type="dxa"/>
            <w:gridSpan w:val="2"/>
          </w:tcPr>
          <w:p w14:paraId="76BEEEE0" w14:textId="2CD12321" w:rsidR="00490891" w:rsidRPr="0013526B" w:rsidRDefault="008665D5" w:rsidP="00600BA9">
            <w:pPr>
              <w:ind w:left="567" w:right="-57"/>
              <w:jc w:val="both"/>
              <w:rPr>
                <w:bCs w:val="0"/>
                <w:i/>
                <w:sz w:val="18"/>
                <w:szCs w:val="18"/>
              </w:rPr>
            </w:pPr>
            <w:r>
              <w:rPr>
                <w:bCs w:val="0"/>
                <w:i/>
                <w:sz w:val="18"/>
                <w:szCs w:val="18"/>
              </w:rPr>
              <w:t>Land is stated at cost and not depreciated</w:t>
            </w:r>
            <w:r w:rsidR="00600BA9">
              <w:rPr>
                <w:bCs w:val="0"/>
                <w:i/>
                <w:sz w:val="18"/>
                <w:szCs w:val="18"/>
              </w:rPr>
              <w:t>,</w:t>
            </w:r>
            <w:r>
              <w:rPr>
                <w:bCs w:val="0"/>
                <w:i/>
                <w:sz w:val="18"/>
                <w:szCs w:val="18"/>
              </w:rPr>
              <w:t xml:space="preserve"> unless it can be proven that the land has a certain useful life. Certain cost associated with the acquisition of land at the time of acquisition was first recognized as part of the acquisition of land.</w:t>
            </w:r>
          </w:p>
        </w:tc>
      </w:tr>
    </w:tbl>
    <w:p w14:paraId="7F2057E5" w14:textId="77777777" w:rsidR="006008F2" w:rsidRPr="0013526B" w:rsidRDefault="006008F2" w:rsidP="0013526B">
      <w:pPr>
        <w:rPr>
          <w:sz w:val="18"/>
          <w:szCs w:val="18"/>
        </w:rPr>
      </w:pPr>
    </w:p>
    <w:tbl>
      <w:tblPr>
        <w:tblW w:w="9197" w:type="dxa"/>
        <w:tblInd w:w="392" w:type="dxa"/>
        <w:tblLayout w:type="fixed"/>
        <w:tblLook w:val="0000" w:firstRow="0" w:lastRow="0" w:firstColumn="0" w:lastColumn="0" w:noHBand="0" w:noVBand="0"/>
      </w:tblPr>
      <w:tblGrid>
        <w:gridCol w:w="4598"/>
        <w:gridCol w:w="4599"/>
      </w:tblGrid>
      <w:tr w:rsidR="006008F2" w:rsidRPr="007F3D33" w14:paraId="3C512D39" w14:textId="77777777" w:rsidTr="009B1F19">
        <w:trPr>
          <w:trHeight w:val="57"/>
        </w:trPr>
        <w:tc>
          <w:tcPr>
            <w:tcW w:w="4598" w:type="dxa"/>
          </w:tcPr>
          <w:p w14:paraId="74EE689A" w14:textId="77777777" w:rsidR="006008F2" w:rsidRPr="007F3D33" w:rsidRDefault="006008F2" w:rsidP="0013526B">
            <w:pPr>
              <w:jc w:val="both"/>
              <w:rPr>
                <w:rStyle w:val="hps"/>
                <w:b/>
                <w:sz w:val="18"/>
                <w:szCs w:val="18"/>
              </w:rPr>
            </w:pPr>
          </w:p>
        </w:tc>
        <w:tc>
          <w:tcPr>
            <w:tcW w:w="4599" w:type="dxa"/>
          </w:tcPr>
          <w:p w14:paraId="792FDD7E" w14:textId="77777777" w:rsidR="006008F2" w:rsidRPr="007F3D33" w:rsidRDefault="006008F2" w:rsidP="0013526B">
            <w:pPr>
              <w:ind w:left="426"/>
              <w:jc w:val="both"/>
              <w:rPr>
                <w:bCs w:val="0"/>
                <w:i/>
                <w:sz w:val="18"/>
                <w:szCs w:val="18"/>
              </w:rPr>
            </w:pPr>
          </w:p>
        </w:tc>
      </w:tr>
      <w:tr w:rsidR="009456EB" w:rsidRPr="007F3D33" w14:paraId="6788BD16" w14:textId="77777777" w:rsidTr="007F3D33">
        <w:tc>
          <w:tcPr>
            <w:tcW w:w="4598" w:type="dxa"/>
          </w:tcPr>
          <w:p w14:paraId="3082A890" w14:textId="2E027B0E" w:rsidR="009456EB" w:rsidRPr="007F3D33" w:rsidRDefault="00C30705" w:rsidP="002B1A4C">
            <w:pPr>
              <w:widowControl w:val="0"/>
              <w:autoSpaceDE w:val="0"/>
              <w:autoSpaceDN w:val="0"/>
              <w:adjustRightInd w:val="0"/>
              <w:ind w:left="580" w:right="-57"/>
              <w:jc w:val="both"/>
              <w:rPr>
                <w:rStyle w:val="hps"/>
                <w:sz w:val="18"/>
                <w:szCs w:val="18"/>
              </w:rPr>
            </w:pPr>
            <w:r w:rsidRPr="007F3D33">
              <w:rPr>
                <w:bCs w:val="0"/>
                <w:sz w:val="18"/>
                <w:szCs w:val="18"/>
              </w:rPr>
              <w:t>Beban perbaikan dan pemeliharaan dibebankan pada laporan laba rugi dan penghasilan komprehensif lain konsolidasian pada saat terjadinya; Biaya penggantian atau inspeksi yang signifikan dikapitalisasi pada saat terjadinya</w:t>
            </w:r>
            <w:r w:rsidR="00600BA9">
              <w:rPr>
                <w:bCs w:val="0"/>
                <w:sz w:val="18"/>
                <w:szCs w:val="18"/>
              </w:rPr>
              <w:t>,</w:t>
            </w:r>
            <w:r w:rsidRPr="007F3D33">
              <w:rPr>
                <w:bCs w:val="0"/>
                <w:sz w:val="18"/>
                <w:szCs w:val="18"/>
              </w:rPr>
              <w:t xml:space="preserve"> dan jika besar kemungkinan manfaat ekonomis dimasa depan berkenaan dengan aset tersebut akan mengalir ke kelompok usaha</w:t>
            </w:r>
            <w:r w:rsidR="00600BA9">
              <w:rPr>
                <w:bCs w:val="0"/>
                <w:sz w:val="18"/>
                <w:szCs w:val="18"/>
              </w:rPr>
              <w:t>,</w:t>
            </w:r>
            <w:r w:rsidRPr="007F3D33">
              <w:rPr>
                <w:bCs w:val="0"/>
                <w:sz w:val="18"/>
                <w:szCs w:val="18"/>
              </w:rPr>
              <w:t xml:space="preserve"> dan biaya perolehan aset dapat diukur secara andal.</w:t>
            </w:r>
          </w:p>
        </w:tc>
        <w:tc>
          <w:tcPr>
            <w:tcW w:w="4599" w:type="dxa"/>
          </w:tcPr>
          <w:p w14:paraId="1F897302" w14:textId="529BD916" w:rsidR="00510210" w:rsidRPr="007F3D33" w:rsidRDefault="00C30705" w:rsidP="0013526B">
            <w:pPr>
              <w:ind w:left="567" w:right="-57"/>
              <w:jc w:val="both"/>
              <w:rPr>
                <w:sz w:val="18"/>
                <w:szCs w:val="18"/>
              </w:rPr>
            </w:pPr>
            <w:r w:rsidRPr="007F3D33">
              <w:rPr>
                <w:bCs w:val="0"/>
                <w:i/>
                <w:sz w:val="18"/>
                <w:szCs w:val="18"/>
              </w:rPr>
              <w:t>The cost of repairs and maintenance is charged to the consolidated statement of profit or loss and other comprehensive income as incurred; replacement or inspection costs are capitalized when incurred</w:t>
            </w:r>
            <w:r w:rsidR="00600BA9">
              <w:rPr>
                <w:bCs w:val="0"/>
                <w:i/>
                <w:sz w:val="18"/>
                <w:szCs w:val="18"/>
              </w:rPr>
              <w:t>,</w:t>
            </w:r>
            <w:r w:rsidRPr="007F3D33">
              <w:rPr>
                <w:bCs w:val="0"/>
                <w:i/>
                <w:sz w:val="18"/>
                <w:szCs w:val="18"/>
              </w:rPr>
              <w:t xml:space="preserve"> and if it is probable future economic benefits associated with the item will flow to the group</w:t>
            </w:r>
            <w:r w:rsidR="00600BA9">
              <w:rPr>
                <w:bCs w:val="0"/>
                <w:i/>
                <w:sz w:val="18"/>
                <w:szCs w:val="18"/>
              </w:rPr>
              <w:t>,</w:t>
            </w:r>
            <w:r w:rsidRPr="007F3D33">
              <w:rPr>
                <w:bCs w:val="0"/>
                <w:i/>
                <w:sz w:val="18"/>
                <w:szCs w:val="18"/>
              </w:rPr>
              <w:t xml:space="preserve"> and the cost of the asset can be measured reliably.</w:t>
            </w:r>
          </w:p>
          <w:p w14:paraId="770DCD45" w14:textId="77777777" w:rsidR="009456EB" w:rsidRPr="007F3D33" w:rsidRDefault="009456EB" w:rsidP="0013526B">
            <w:pPr>
              <w:ind w:left="426"/>
              <w:jc w:val="both"/>
              <w:rPr>
                <w:bCs w:val="0"/>
                <w:i/>
                <w:sz w:val="18"/>
                <w:szCs w:val="18"/>
              </w:rPr>
            </w:pPr>
          </w:p>
        </w:tc>
      </w:tr>
      <w:tr w:rsidR="006008F2" w:rsidRPr="007F3D33" w14:paraId="45646AEE" w14:textId="77777777" w:rsidTr="007F3D33">
        <w:tc>
          <w:tcPr>
            <w:tcW w:w="4598" w:type="dxa"/>
          </w:tcPr>
          <w:p w14:paraId="03CAD9ED" w14:textId="77777777" w:rsidR="006008F2" w:rsidRPr="007F3D33" w:rsidRDefault="006008F2" w:rsidP="002B1A4C">
            <w:pPr>
              <w:widowControl w:val="0"/>
              <w:autoSpaceDE w:val="0"/>
              <w:autoSpaceDN w:val="0"/>
              <w:adjustRightInd w:val="0"/>
              <w:jc w:val="both"/>
              <w:rPr>
                <w:bCs w:val="0"/>
                <w:sz w:val="18"/>
                <w:szCs w:val="18"/>
              </w:rPr>
            </w:pPr>
          </w:p>
        </w:tc>
        <w:tc>
          <w:tcPr>
            <w:tcW w:w="4599" w:type="dxa"/>
          </w:tcPr>
          <w:p w14:paraId="1816FFEA" w14:textId="77777777" w:rsidR="006008F2" w:rsidRPr="007F3D33" w:rsidRDefault="006008F2" w:rsidP="0013526B">
            <w:pPr>
              <w:ind w:left="567"/>
              <w:jc w:val="both"/>
              <w:rPr>
                <w:bCs w:val="0"/>
                <w:i/>
                <w:sz w:val="18"/>
                <w:szCs w:val="18"/>
              </w:rPr>
            </w:pPr>
          </w:p>
        </w:tc>
      </w:tr>
      <w:tr w:rsidR="002B1A4C" w:rsidRPr="007F3D33" w14:paraId="069DC3D9" w14:textId="77777777" w:rsidTr="007F3D33">
        <w:tc>
          <w:tcPr>
            <w:tcW w:w="4598" w:type="dxa"/>
          </w:tcPr>
          <w:p w14:paraId="723012CD" w14:textId="46B9CC52" w:rsidR="002B1A4C" w:rsidRPr="009B1F19" w:rsidRDefault="002B1A4C" w:rsidP="00070D1F">
            <w:pPr>
              <w:pStyle w:val="ListParagraph"/>
              <w:widowControl w:val="0"/>
              <w:numPr>
                <w:ilvl w:val="0"/>
                <w:numId w:val="384"/>
              </w:numPr>
              <w:autoSpaceDE w:val="0"/>
              <w:autoSpaceDN w:val="0"/>
              <w:adjustRightInd w:val="0"/>
              <w:jc w:val="both"/>
              <w:rPr>
                <w:bCs w:val="0"/>
                <w:sz w:val="18"/>
                <w:szCs w:val="18"/>
              </w:rPr>
            </w:pPr>
            <w:r w:rsidRPr="009B1F19">
              <w:rPr>
                <w:rStyle w:val="hps"/>
                <w:b/>
                <w:sz w:val="18"/>
                <w:szCs w:val="18"/>
              </w:rPr>
              <w:lastRenderedPageBreak/>
              <w:t xml:space="preserve">IKHTISAR KEBIJAKAN AKUNTANSI </w:t>
            </w:r>
            <w:r w:rsidRPr="009B1F19">
              <w:rPr>
                <w:rStyle w:val="hps"/>
                <w:b/>
                <w:sz w:val="18"/>
                <w:szCs w:val="18"/>
                <w:lang w:val="id-ID"/>
              </w:rPr>
              <w:t xml:space="preserve">YANG </w:t>
            </w:r>
            <w:r w:rsidRPr="009B1F19">
              <w:rPr>
                <w:rStyle w:val="hps"/>
                <w:b/>
                <w:sz w:val="18"/>
                <w:szCs w:val="18"/>
              </w:rPr>
              <w:t>PENTING - Lanjutan</w:t>
            </w:r>
          </w:p>
        </w:tc>
        <w:tc>
          <w:tcPr>
            <w:tcW w:w="4599" w:type="dxa"/>
          </w:tcPr>
          <w:p w14:paraId="394E2993" w14:textId="41FB00FE" w:rsidR="002B1A4C" w:rsidRPr="009B1F19" w:rsidRDefault="002B1A4C" w:rsidP="00070D1F">
            <w:pPr>
              <w:pStyle w:val="ListParagraph"/>
              <w:numPr>
                <w:ilvl w:val="0"/>
                <w:numId w:val="385"/>
              </w:numPr>
              <w:jc w:val="both"/>
              <w:rPr>
                <w:bCs w:val="0"/>
                <w:i/>
                <w:sz w:val="18"/>
                <w:szCs w:val="18"/>
              </w:rPr>
            </w:pPr>
            <w:r w:rsidRPr="009B1F19">
              <w:rPr>
                <w:b/>
                <w:i/>
                <w:sz w:val="18"/>
                <w:szCs w:val="18"/>
              </w:rPr>
              <w:t>SUMMARY OF SIGNIFICANT ACCOUNTING POLICIES - Continued</w:t>
            </w:r>
          </w:p>
        </w:tc>
      </w:tr>
      <w:tr w:rsidR="002B1A4C" w:rsidRPr="007F3D33" w14:paraId="38A4114A" w14:textId="77777777" w:rsidTr="007F3D33">
        <w:tc>
          <w:tcPr>
            <w:tcW w:w="4598" w:type="dxa"/>
          </w:tcPr>
          <w:p w14:paraId="1DB28466" w14:textId="77777777" w:rsidR="002B1A4C" w:rsidRPr="007F3D33" w:rsidRDefault="002B1A4C" w:rsidP="0013526B">
            <w:pPr>
              <w:widowControl w:val="0"/>
              <w:autoSpaceDE w:val="0"/>
              <w:autoSpaceDN w:val="0"/>
              <w:adjustRightInd w:val="0"/>
              <w:ind w:left="567"/>
              <w:jc w:val="both"/>
              <w:rPr>
                <w:bCs w:val="0"/>
                <w:sz w:val="18"/>
                <w:szCs w:val="18"/>
              </w:rPr>
            </w:pPr>
          </w:p>
        </w:tc>
        <w:tc>
          <w:tcPr>
            <w:tcW w:w="4599" w:type="dxa"/>
          </w:tcPr>
          <w:p w14:paraId="648E0D60" w14:textId="77777777" w:rsidR="002B1A4C" w:rsidRPr="007F3D33" w:rsidRDefault="002B1A4C" w:rsidP="0013526B">
            <w:pPr>
              <w:ind w:left="567"/>
              <w:jc w:val="both"/>
              <w:rPr>
                <w:bCs w:val="0"/>
                <w:i/>
                <w:sz w:val="18"/>
                <w:szCs w:val="18"/>
              </w:rPr>
            </w:pPr>
          </w:p>
        </w:tc>
      </w:tr>
      <w:tr w:rsidR="002B1A4C" w:rsidRPr="007F3D33" w14:paraId="4997BA4E" w14:textId="77777777" w:rsidTr="007F3D33">
        <w:tc>
          <w:tcPr>
            <w:tcW w:w="4598" w:type="dxa"/>
          </w:tcPr>
          <w:p w14:paraId="7FA40A1D" w14:textId="2B16A532" w:rsidR="002B1A4C" w:rsidRPr="009B1F19" w:rsidRDefault="002B1A4C" w:rsidP="00070D1F">
            <w:pPr>
              <w:pStyle w:val="ListParagraph"/>
              <w:widowControl w:val="0"/>
              <w:numPr>
                <w:ilvl w:val="0"/>
                <w:numId w:val="386"/>
              </w:numPr>
              <w:autoSpaceDE w:val="0"/>
              <w:autoSpaceDN w:val="0"/>
              <w:adjustRightInd w:val="0"/>
              <w:ind w:left="580" w:hanging="180"/>
              <w:jc w:val="both"/>
              <w:rPr>
                <w:bCs w:val="0"/>
                <w:sz w:val="18"/>
                <w:szCs w:val="18"/>
              </w:rPr>
            </w:pPr>
            <w:r w:rsidRPr="009B1F19">
              <w:rPr>
                <w:rStyle w:val="hps"/>
                <w:b/>
                <w:sz w:val="18"/>
                <w:szCs w:val="18"/>
              </w:rPr>
              <w:t>Aset Tetap - Lanjutan</w:t>
            </w:r>
          </w:p>
        </w:tc>
        <w:tc>
          <w:tcPr>
            <w:tcW w:w="4599" w:type="dxa"/>
          </w:tcPr>
          <w:p w14:paraId="5324E5FB" w14:textId="3106CED3" w:rsidR="002B1A4C" w:rsidRPr="009B1F19" w:rsidRDefault="002B1A4C" w:rsidP="00070D1F">
            <w:pPr>
              <w:pStyle w:val="ListParagraph"/>
              <w:numPr>
                <w:ilvl w:val="0"/>
                <w:numId w:val="387"/>
              </w:numPr>
              <w:ind w:left="482" w:hanging="270"/>
              <w:jc w:val="both"/>
              <w:rPr>
                <w:bCs w:val="0"/>
                <w:i/>
                <w:sz w:val="18"/>
                <w:szCs w:val="18"/>
              </w:rPr>
            </w:pPr>
            <w:r w:rsidRPr="009B1F19">
              <w:rPr>
                <w:b/>
                <w:bCs w:val="0"/>
                <w:i/>
                <w:sz w:val="18"/>
                <w:szCs w:val="18"/>
              </w:rPr>
              <w:t>Property and Equipment - Continued</w:t>
            </w:r>
          </w:p>
        </w:tc>
      </w:tr>
      <w:tr w:rsidR="000D1295" w:rsidRPr="007F3D33" w14:paraId="54E68A59" w14:textId="77777777" w:rsidTr="007F3D33">
        <w:tc>
          <w:tcPr>
            <w:tcW w:w="4598" w:type="dxa"/>
          </w:tcPr>
          <w:p w14:paraId="38670BC5" w14:textId="77777777" w:rsidR="000D1295" w:rsidRPr="007F3D33" w:rsidRDefault="000D1295" w:rsidP="0013526B">
            <w:pPr>
              <w:widowControl w:val="0"/>
              <w:autoSpaceDE w:val="0"/>
              <w:autoSpaceDN w:val="0"/>
              <w:adjustRightInd w:val="0"/>
              <w:ind w:left="567" w:right="-57"/>
              <w:jc w:val="both"/>
              <w:rPr>
                <w:sz w:val="18"/>
                <w:szCs w:val="18"/>
              </w:rPr>
            </w:pPr>
            <w:r w:rsidRPr="007F3D33">
              <w:rPr>
                <w:bCs w:val="0"/>
                <w:sz w:val="18"/>
                <w:szCs w:val="18"/>
              </w:rPr>
              <w:t xml:space="preserve">Jumlah tercatat aset tetap dihentikan pengakuannya pada saat dilepaskan atau ketika tidak ada manfaat ekonomis masa depan yang diharapkan dari penggunaan atau pelepasannya. Laba atau rugi yang timbul dari penghentian pengakuan aset (dihitung sebagai perbedaan antara jumlah neto hasil pelepasan dan jumlah tercatat dari aset) dimasukkan dalam laporan laba rugi komprehensif </w:t>
            </w:r>
            <w:r w:rsidR="005D0BEC" w:rsidRPr="007F3D33">
              <w:rPr>
                <w:bCs w:val="0"/>
                <w:sz w:val="18"/>
                <w:szCs w:val="18"/>
                <w:lang w:val="id-ID"/>
              </w:rPr>
              <w:t xml:space="preserve">lain </w:t>
            </w:r>
            <w:r w:rsidRPr="007F3D33">
              <w:rPr>
                <w:bCs w:val="0"/>
                <w:sz w:val="18"/>
                <w:szCs w:val="18"/>
              </w:rPr>
              <w:t>konsolidasian pada tahun aset tersebut dihentikan pengakuannya.</w:t>
            </w:r>
          </w:p>
        </w:tc>
        <w:tc>
          <w:tcPr>
            <w:tcW w:w="4599" w:type="dxa"/>
          </w:tcPr>
          <w:p w14:paraId="643B6034" w14:textId="497FF44A" w:rsidR="000D1295" w:rsidRPr="007F3D33" w:rsidRDefault="000D1295" w:rsidP="0013526B">
            <w:pPr>
              <w:ind w:left="567" w:right="-57"/>
              <w:jc w:val="both"/>
              <w:rPr>
                <w:bCs w:val="0"/>
                <w:i/>
                <w:sz w:val="18"/>
                <w:szCs w:val="18"/>
              </w:rPr>
            </w:pPr>
            <w:r w:rsidRPr="007F3D33">
              <w:rPr>
                <w:bCs w:val="0"/>
                <w:i/>
                <w:sz w:val="18"/>
                <w:szCs w:val="18"/>
              </w:rPr>
              <w:t>The carrying amount of property</w:t>
            </w:r>
            <w:r w:rsidR="00870FD0">
              <w:rPr>
                <w:bCs w:val="0"/>
                <w:i/>
                <w:sz w:val="18"/>
                <w:szCs w:val="18"/>
              </w:rPr>
              <w:t>.</w:t>
            </w:r>
            <w:r w:rsidRPr="007F3D33">
              <w:rPr>
                <w:bCs w:val="0"/>
                <w:i/>
                <w:sz w:val="18"/>
                <w:szCs w:val="18"/>
              </w:rPr>
              <w:t xml:space="preserve"> </w:t>
            </w:r>
            <w:proofErr w:type="gramStart"/>
            <w:r w:rsidRPr="007F3D33">
              <w:rPr>
                <w:bCs w:val="0"/>
                <w:i/>
                <w:sz w:val="18"/>
                <w:szCs w:val="18"/>
              </w:rPr>
              <w:t>plant</w:t>
            </w:r>
            <w:proofErr w:type="gramEnd"/>
            <w:r w:rsidRPr="007F3D33">
              <w:rPr>
                <w:bCs w:val="0"/>
                <w:i/>
                <w:sz w:val="18"/>
                <w:szCs w:val="18"/>
              </w:rPr>
              <w:t xml:space="preserve"> and equipment is derecognized upon disposal or when no future economic benefits are expected from its use or disposal. Any gain or loss arising on derecognition of the asset (calculated as the difference between the net disposal proceeds and the carrying amount of the asset) is included in the consolidated statement of profit or loss and other comprehensive income in the year the asset is derecognized.</w:t>
            </w:r>
          </w:p>
        </w:tc>
      </w:tr>
      <w:tr w:rsidR="000D1295" w:rsidRPr="007F3D33" w14:paraId="37DC6A76" w14:textId="77777777" w:rsidTr="007F3D33">
        <w:tc>
          <w:tcPr>
            <w:tcW w:w="4598" w:type="dxa"/>
          </w:tcPr>
          <w:p w14:paraId="2B5661E8" w14:textId="77777777" w:rsidR="000D1295" w:rsidRPr="007F3D33" w:rsidRDefault="000D1295" w:rsidP="0013526B">
            <w:pPr>
              <w:widowControl w:val="0"/>
              <w:autoSpaceDE w:val="0"/>
              <w:autoSpaceDN w:val="0"/>
              <w:adjustRightInd w:val="0"/>
              <w:spacing w:before="36"/>
              <w:ind w:left="564" w:right="-34"/>
              <w:jc w:val="both"/>
              <w:rPr>
                <w:sz w:val="18"/>
                <w:szCs w:val="18"/>
              </w:rPr>
            </w:pPr>
          </w:p>
        </w:tc>
        <w:tc>
          <w:tcPr>
            <w:tcW w:w="4599" w:type="dxa"/>
          </w:tcPr>
          <w:p w14:paraId="2BF6D880" w14:textId="77777777" w:rsidR="000D1295" w:rsidRPr="007F3D33" w:rsidRDefault="000D1295" w:rsidP="0013526B">
            <w:pPr>
              <w:ind w:left="426"/>
              <w:jc w:val="both"/>
              <w:rPr>
                <w:bCs w:val="0"/>
                <w:i/>
                <w:sz w:val="18"/>
                <w:szCs w:val="18"/>
              </w:rPr>
            </w:pPr>
          </w:p>
        </w:tc>
      </w:tr>
      <w:tr w:rsidR="000D1295" w:rsidRPr="0013526B" w14:paraId="4A693A17" w14:textId="77777777" w:rsidTr="007F3D33">
        <w:tc>
          <w:tcPr>
            <w:tcW w:w="4598" w:type="dxa"/>
          </w:tcPr>
          <w:p w14:paraId="75C188C1" w14:textId="77777777" w:rsidR="000D1295" w:rsidRDefault="000D1295" w:rsidP="0013526B">
            <w:pPr>
              <w:widowControl w:val="0"/>
              <w:autoSpaceDE w:val="0"/>
              <w:autoSpaceDN w:val="0"/>
              <w:adjustRightInd w:val="0"/>
              <w:ind w:left="567" w:right="-57"/>
              <w:jc w:val="both"/>
              <w:rPr>
                <w:bCs w:val="0"/>
                <w:sz w:val="18"/>
                <w:szCs w:val="18"/>
                <w:lang w:val="id-ID"/>
              </w:rPr>
            </w:pPr>
            <w:r w:rsidRPr="007F3D33">
              <w:rPr>
                <w:bCs w:val="0"/>
                <w:sz w:val="18"/>
                <w:szCs w:val="18"/>
              </w:rPr>
              <w:t>Aset dalam penyelesaian disajikan dalam “Aset Tetap” dan dinyatakan sebesar biaya perolehan. Akumulasi biaya perolehan untuk aset dalam penyelesaian akan dipindahkan ke masing-masing aset tetap yang bersangkutan pada saat aset tersebut selesai dikerjakan dan siap digunakan sesuai dengan tujuannya.</w:t>
            </w:r>
          </w:p>
          <w:p w14:paraId="1CA855F7" w14:textId="77777777" w:rsidR="00FF35ED" w:rsidRDefault="00FF35ED" w:rsidP="0013526B">
            <w:pPr>
              <w:widowControl w:val="0"/>
              <w:autoSpaceDE w:val="0"/>
              <w:autoSpaceDN w:val="0"/>
              <w:adjustRightInd w:val="0"/>
              <w:ind w:left="567" w:right="-57"/>
              <w:jc w:val="both"/>
              <w:rPr>
                <w:bCs w:val="0"/>
                <w:sz w:val="18"/>
                <w:szCs w:val="18"/>
                <w:lang w:val="id-ID"/>
              </w:rPr>
            </w:pPr>
          </w:p>
          <w:p w14:paraId="00F6B655" w14:textId="347FC378" w:rsidR="00FF35ED" w:rsidRDefault="00FF35ED" w:rsidP="0013526B">
            <w:pPr>
              <w:widowControl w:val="0"/>
              <w:autoSpaceDE w:val="0"/>
              <w:autoSpaceDN w:val="0"/>
              <w:adjustRightInd w:val="0"/>
              <w:ind w:left="567" w:right="-57"/>
              <w:jc w:val="both"/>
              <w:rPr>
                <w:bCs w:val="0"/>
                <w:sz w:val="18"/>
                <w:szCs w:val="18"/>
                <w:lang w:val="id-ID"/>
              </w:rPr>
            </w:pPr>
            <w:r>
              <w:rPr>
                <w:bCs w:val="0"/>
                <w:sz w:val="18"/>
                <w:szCs w:val="18"/>
                <w:lang w:val="id-ID"/>
              </w:rPr>
              <w:t>Seh</w:t>
            </w:r>
            <w:r w:rsidR="008E0034">
              <w:rPr>
                <w:bCs w:val="0"/>
                <w:sz w:val="18"/>
                <w:szCs w:val="18"/>
                <w:lang w:val="id-ID"/>
              </w:rPr>
              <w:t>ub</w:t>
            </w:r>
            <w:r>
              <w:rPr>
                <w:bCs w:val="0"/>
                <w:sz w:val="18"/>
                <w:szCs w:val="18"/>
                <w:lang w:val="id-ID"/>
              </w:rPr>
              <w:t xml:space="preserve">ugungan dengan penerapan PSAK 73, </w:t>
            </w:r>
            <w:r w:rsidR="008E0034">
              <w:rPr>
                <w:bCs w:val="0"/>
                <w:sz w:val="18"/>
                <w:szCs w:val="18"/>
                <w:lang w:val="id-ID"/>
              </w:rPr>
              <w:t xml:space="preserve">Grup </w:t>
            </w:r>
            <w:r>
              <w:rPr>
                <w:bCs w:val="0"/>
                <w:sz w:val="18"/>
                <w:szCs w:val="18"/>
                <w:lang w:val="id-ID"/>
              </w:rPr>
              <w:t>sebagai pihak penyewa mengakui aset hak-guna dan liabilitas sewa terkait dengan sewa yang sebelumnya diklasifikasikan sebagai sewa operasi berdasarkan PSAK 30: Sewa kecuali atas sewa jangka pendek atau sewa dengan aset yang bernilai rendah.</w:t>
            </w:r>
          </w:p>
          <w:p w14:paraId="1DED010B" w14:textId="77777777" w:rsidR="00FF35ED" w:rsidRPr="00FF35ED" w:rsidRDefault="00FF35ED" w:rsidP="0013526B">
            <w:pPr>
              <w:widowControl w:val="0"/>
              <w:autoSpaceDE w:val="0"/>
              <w:autoSpaceDN w:val="0"/>
              <w:adjustRightInd w:val="0"/>
              <w:ind w:left="567" w:right="-57"/>
              <w:jc w:val="both"/>
              <w:rPr>
                <w:sz w:val="18"/>
                <w:szCs w:val="18"/>
                <w:lang w:val="id-ID"/>
              </w:rPr>
            </w:pPr>
          </w:p>
        </w:tc>
        <w:tc>
          <w:tcPr>
            <w:tcW w:w="4599" w:type="dxa"/>
          </w:tcPr>
          <w:p w14:paraId="64BCFCCD" w14:textId="77777777" w:rsidR="000D1295" w:rsidRDefault="000D1295" w:rsidP="00600BA9">
            <w:pPr>
              <w:ind w:left="567" w:right="-57"/>
              <w:jc w:val="both"/>
              <w:rPr>
                <w:bCs w:val="0"/>
                <w:i/>
                <w:sz w:val="18"/>
                <w:szCs w:val="18"/>
                <w:lang w:val="id-ID"/>
              </w:rPr>
            </w:pPr>
            <w:r w:rsidRPr="007F3D33">
              <w:rPr>
                <w:bCs w:val="0"/>
                <w:i/>
                <w:sz w:val="18"/>
                <w:szCs w:val="18"/>
              </w:rPr>
              <w:t>Construction in progress is presented in the "Property</w:t>
            </w:r>
            <w:r w:rsidR="00600BA9">
              <w:rPr>
                <w:bCs w:val="0"/>
                <w:i/>
                <w:sz w:val="18"/>
                <w:szCs w:val="18"/>
              </w:rPr>
              <w:t>,</w:t>
            </w:r>
            <w:r w:rsidRPr="007F3D33">
              <w:rPr>
                <w:bCs w:val="0"/>
                <w:i/>
                <w:sz w:val="18"/>
                <w:szCs w:val="18"/>
              </w:rPr>
              <w:t xml:space="preserve"> Plant and Equipment" and is stated at cost. The accumulated cost for the construction in progress is transferred to respective property</w:t>
            </w:r>
            <w:r w:rsidR="00600BA9">
              <w:rPr>
                <w:bCs w:val="0"/>
                <w:i/>
                <w:sz w:val="18"/>
                <w:szCs w:val="18"/>
              </w:rPr>
              <w:t>,</w:t>
            </w:r>
            <w:r w:rsidRPr="007F3D33">
              <w:rPr>
                <w:bCs w:val="0"/>
                <w:i/>
                <w:sz w:val="18"/>
                <w:szCs w:val="18"/>
              </w:rPr>
              <w:t xml:space="preserve"> plant and equipment when the assets are completed and ready for intended use.</w:t>
            </w:r>
          </w:p>
          <w:p w14:paraId="413B30E5" w14:textId="77777777" w:rsidR="00FF35ED" w:rsidRDefault="00FF35ED" w:rsidP="00600BA9">
            <w:pPr>
              <w:ind w:left="567" w:right="-57"/>
              <w:jc w:val="both"/>
              <w:rPr>
                <w:bCs w:val="0"/>
                <w:i/>
                <w:sz w:val="18"/>
                <w:szCs w:val="18"/>
                <w:lang w:val="id-ID"/>
              </w:rPr>
            </w:pPr>
          </w:p>
          <w:p w14:paraId="16CF94AA" w14:textId="77777777" w:rsidR="00FF35ED" w:rsidRDefault="00FF35ED" w:rsidP="00600BA9">
            <w:pPr>
              <w:ind w:left="567" w:right="-57"/>
              <w:jc w:val="both"/>
              <w:rPr>
                <w:bCs w:val="0"/>
                <w:i/>
                <w:sz w:val="18"/>
                <w:szCs w:val="18"/>
                <w:lang w:val="id-ID"/>
              </w:rPr>
            </w:pPr>
          </w:p>
          <w:p w14:paraId="3486FE92" w14:textId="17FBDDFC" w:rsidR="00FF35ED" w:rsidRDefault="00FF35ED" w:rsidP="00600BA9">
            <w:pPr>
              <w:ind w:left="567" w:right="-57"/>
              <w:jc w:val="both"/>
              <w:rPr>
                <w:bCs w:val="0"/>
                <w:i/>
                <w:sz w:val="18"/>
                <w:szCs w:val="18"/>
                <w:lang w:val="id-ID"/>
              </w:rPr>
            </w:pPr>
            <w:r>
              <w:rPr>
                <w:bCs w:val="0"/>
                <w:i/>
                <w:sz w:val="18"/>
                <w:szCs w:val="18"/>
                <w:lang w:val="id-ID"/>
              </w:rPr>
              <w:t xml:space="preserve">In relation to the implementation of PSAK 73, </w:t>
            </w:r>
            <w:r w:rsidR="008E0034">
              <w:rPr>
                <w:bCs w:val="0"/>
                <w:i/>
                <w:sz w:val="18"/>
                <w:szCs w:val="18"/>
                <w:lang w:val="id-ID"/>
              </w:rPr>
              <w:t xml:space="preserve">Group </w:t>
            </w:r>
            <w:r>
              <w:rPr>
                <w:bCs w:val="0"/>
                <w:i/>
                <w:sz w:val="18"/>
                <w:szCs w:val="18"/>
                <w:lang w:val="id-ID"/>
              </w:rPr>
              <w:t xml:space="preserve">as lesse recognised right-of-use assetsand lease liabilities related to leaseswhich were previously classified as operating lease based on PSAK 30 :Leases except </w:t>
            </w:r>
            <w:r w:rsidR="0010211A">
              <w:rPr>
                <w:bCs w:val="0"/>
                <w:i/>
                <w:sz w:val="18"/>
                <w:szCs w:val="18"/>
                <w:lang w:val="id-ID"/>
              </w:rPr>
              <w:t>for short term leasesor leases with low value assets.</w:t>
            </w:r>
          </w:p>
          <w:p w14:paraId="284DC41C" w14:textId="38A57D7F" w:rsidR="00FF35ED" w:rsidRPr="00FF35ED" w:rsidRDefault="00FF35ED" w:rsidP="00600BA9">
            <w:pPr>
              <w:ind w:left="567" w:right="-57"/>
              <w:jc w:val="both"/>
              <w:rPr>
                <w:bCs w:val="0"/>
                <w:i/>
                <w:sz w:val="18"/>
                <w:szCs w:val="18"/>
                <w:lang w:val="id-ID"/>
              </w:rPr>
            </w:pPr>
          </w:p>
        </w:tc>
      </w:tr>
    </w:tbl>
    <w:p w14:paraId="41E66EFB" w14:textId="77777777" w:rsidR="006008F2" w:rsidRPr="0013526B" w:rsidRDefault="006008F2" w:rsidP="0013526B">
      <w:pPr>
        <w:rPr>
          <w:sz w:val="18"/>
          <w:szCs w:val="18"/>
        </w:rPr>
      </w:pPr>
    </w:p>
    <w:tbl>
      <w:tblPr>
        <w:tblW w:w="9197" w:type="dxa"/>
        <w:tblInd w:w="392" w:type="dxa"/>
        <w:tblLayout w:type="fixed"/>
        <w:tblLook w:val="0000" w:firstRow="0" w:lastRow="0" w:firstColumn="0" w:lastColumn="0" w:noHBand="0" w:noVBand="0"/>
      </w:tblPr>
      <w:tblGrid>
        <w:gridCol w:w="4599"/>
        <w:gridCol w:w="4598"/>
      </w:tblGrid>
      <w:tr w:rsidR="007F3D33" w:rsidRPr="00BE6E3D" w14:paraId="2D5030C0" w14:textId="77777777" w:rsidTr="007F3D33">
        <w:tc>
          <w:tcPr>
            <w:tcW w:w="4599" w:type="dxa"/>
          </w:tcPr>
          <w:p w14:paraId="5B5FC060" w14:textId="77777777" w:rsidR="007F3D33" w:rsidRPr="007F3D33" w:rsidRDefault="007F3D33" w:rsidP="00070D1F">
            <w:pPr>
              <w:numPr>
                <w:ilvl w:val="0"/>
                <w:numId w:val="100"/>
              </w:numPr>
              <w:ind w:left="568" w:hanging="284"/>
              <w:jc w:val="both"/>
              <w:rPr>
                <w:rStyle w:val="hps"/>
                <w:b/>
                <w:sz w:val="18"/>
                <w:szCs w:val="18"/>
              </w:rPr>
            </w:pPr>
            <w:r w:rsidRPr="007F3D33">
              <w:rPr>
                <w:rStyle w:val="hps"/>
                <w:b/>
                <w:sz w:val="18"/>
                <w:szCs w:val="18"/>
              </w:rPr>
              <w:t xml:space="preserve">Penurunan Nilai Aset Non Keuangan </w:t>
            </w:r>
          </w:p>
        </w:tc>
        <w:tc>
          <w:tcPr>
            <w:tcW w:w="4598" w:type="dxa"/>
          </w:tcPr>
          <w:p w14:paraId="0363F8E6" w14:textId="77777777" w:rsidR="007F3D33" w:rsidRPr="007F3D33" w:rsidRDefault="007F3D33" w:rsidP="00070D1F">
            <w:pPr>
              <w:pStyle w:val="ListParagraph"/>
              <w:numPr>
                <w:ilvl w:val="0"/>
                <w:numId w:val="101"/>
              </w:numPr>
              <w:ind w:left="568" w:hanging="284"/>
              <w:contextualSpacing/>
              <w:jc w:val="both"/>
              <w:rPr>
                <w:b/>
                <w:bCs w:val="0"/>
                <w:i/>
                <w:sz w:val="18"/>
                <w:szCs w:val="18"/>
              </w:rPr>
            </w:pPr>
            <w:r w:rsidRPr="007F3D33">
              <w:rPr>
                <w:b/>
                <w:bCs w:val="0"/>
                <w:i/>
                <w:sz w:val="18"/>
                <w:szCs w:val="18"/>
              </w:rPr>
              <w:t>Impairment of Assets</w:t>
            </w:r>
          </w:p>
        </w:tc>
      </w:tr>
      <w:tr w:rsidR="007F3D33" w:rsidRPr="00BE6E3D" w14:paraId="67F8595B" w14:textId="77777777" w:rsidTr="007F3D33">
        <w:tc>
          <w:tcPr>
            <w:tcW w:w="4599" w:type="dxa"/>
          </w:tcPr>
          <w:p w14:paraId="786AFB21" w14:textId="77777777" w:rsidR="007F3D33" w:rsidRPr="00BE6E3D" w:rsidRDefault="007F3D33" w:rsidP="00D215E4">
            <w:pPr>
              <w:pStyle w:val="ListParagraph"/>
              <w:ind w:left="624"/>
              <w:contextualSpacing/>
              <w:jc w:val="both"/>
              <w:rPr>
                <w:rStyle w:val="hps"/>
                <w:b/>
                <w:sz w:val="18"/>
                <w:szCs w:val="18"/>
                <w:highlight w:val="cyan"/>
              </w:rPr>
            </w:pPr>
          </w:p>
        </w:tc>
        <w:tc>
          <w:tcPr>
            <w:tcW w:w="4598" w:type="dxa"/>
          </w:tcPr>
          <w:p w14:paraId="3B3128D5" w14:textId="77777777" w:rsidR="007F3D33" w:rsidRPr="00BE6E3D" w:rsidRDefault="007F3D33" w:rsidP="00D215E4">
            <w:pPr>
              <w:pStyle w:val="ListParagraph"/>
              <w:ind w:left="624"/>
              <w:contextualSpacing/>
              <w:jc w:val="both"/>
              <w:rPr>
                <w:b/>
                <w:bCs w:val="0"/>
                <w:i/>
                <w:sz w:val="18"/>
                <w:szCs w:val="18"/>
                <w:highlight w:val="cyan"/>
              </w:rPr>
            </w:pPr>
          </w:p>
        </w:tc>
      </w:tr>
      <w:tr w:rsidR="007F3D33" w:rsidRPr="007F3D33" w14:paraId="35CD3E8B" w14:textId="77777777" w:rsidTr="007F3D33">
        <w:tc>
          <w:tcPr>
            <w:tcW w:w="4599" w:type="dxa"/>
          </w:tcPr>
          <w:p w14:paraId="3D88DA11" w14:textId="17EC0C02" w:rsidR="007F3D33" w:rsidRPr="007F3D33" w:rsidRDefault="007F3D33" w:rsidP="00600BA9">
            <w:pPr>
              <w:widowControl w:val="0"/>
              <w:autoSpaceDE w:val="0"/>
              <w:autoSpaceDN w:val="0"/>
              <w:adjustRightInd w:val="0"/>
              <w:ind w:left="567" w:right="-57"/>
              <w:jc w:val="both"/>
              <w:rPr>
                <w:sz w:val="18"/>
                <w:szCs w:val="18"/>
              </w:rPr>
            </w:pPr>
            <w:r w:rsidRPr="007F3D33">
              <w:rPr>
                <w:sz w:val="18"/>
                <w:szCs w:val="18"/>
              </w:rPr>
              <w:t>Kelompok Usaha menerapkan PSAK No. 48</w:t>
            </w:r>
            <w:r w:rsidRPr="007F3D33">
              <w:rPr>
                <w:sz w:val="18"/>
                <w:szCs w:val="18"/>
              </w:rPr>
              <w:br/>
              <w:t>(Revisi 201</w:t>
            </w:r>
            <w:r w:rsidRPr="007F3D33">
              <w:rPr>
                <w:sz w:val="18"/>
                <w:szCs w:val="18"/>
                <w:lang w:val="id-ID"/>
              </w:rPr>
              <w:t>4</w:t>
            </w:r>
            <w:r w:rsidRPr="007F3D33">
              <w:rPr>
                <w:sz w:val="18"/>
                <w:szCs w:val="18"/>
              </w:rPr>
              <w:t>)</w:t>
            </w:r>
            <w:r w:rsidR="00600BA9">
              <w:rPr>
                <w:sz w:val="18"/>
                <w:szCs w:val="18"/>
              </w:rPr>
              <w:t>,</w:t>
            </w:r>
            <w:r w:rsidRPr="007F3D33">
              <w:rPr>
                <w:sz w:val="18"/>
                <w:szCs w:val="18"/>
              </w:rPr>
              <w:t xml:space="preserve"> “Penurunan Nilai Aset”. PSAK ini tidak diterapkan untuk persediaan</w:t>
            </w:r>
            <w:r w:rsidR="00870FD0">
              <w:rPr>
                <w:sz w:val="18"/>
                <w:szCs w:val="18"/>
              </w:rPr>
              <w:t>.</w:t>
            </w:r>
            <w:r w:rsidRPr="007F3D33">
              <w:rPr>
                <w:sz w:val="18"/>
                <w:szCs w:val="18"/>
              </w:rPr>
              <w:t xml:space="preserve"> </w:t>
            </w:r>
            <w:proofErr w:type="gramStart"/>
            <w:r w:rsidRPr="007F3D33">
              <w:rPr>
                <w:sz w:val="18"/>
                <w:szCs w:val="18"/>
              </w:rPr>
              <w:t>aset</w:t>
            </w:r>
            <w:proofErr w:type="gramEnd"/>
            <w:r w:rsidRPr="007F3D33">
              <w:rPr>
                <w:sz w:val="18"/>
                <w:szCs w:val="18"/>
              </w:rPr>
              <w:t xml:space="preserve"> yang timbul dari kontrak konstruksi</w:t>
            </w:r>
            <w:r w:rsidR="00600BA9">
              <w:rPr>
                <w:sz w:val="18"/>
                <w:szCs w:val="18"/>
              </w:rPr>
              <w:t>,</w:t>
            </w:r>
            <w:r w:rsidRPr="007F3D33">
              <w:rPr>
                <w:sz w:val="18"/>
                <w:szCs w:val="18"/>
              </w:rPr>
              <w:t xml:space="preserve"> aset pajak tangguhan</w:t>
            </w:r>
            <w:r w:rsidR="00600BA9">
              <w:rPr>
                <w:sz w:val="18"/>
                <w:szCs w:val="18"/>
              </w:rPr>
              <w:t>,</w:t>
            </w:r>
            <w:r w:rsidRPr="007F3D33">
              <w:rPr>
                <w:sz w:val="18"/>
                <w:szCs w:val="18"/>
              </w:rPr>
              <w:t xml:space="preserve"> aset yang timbul dari imbalan kerja</w:t>
            </w:r>
            <w:r w:rsidR="00600BA9">
              <w:rPr>
                <w:sz w:val="18"/>
                <w:szCs w:val="18"/>
              </w:rPr>
              <w:t>,</w:t>
            </w:r>
            <w:r w:rsidRPr="007F3D33">
              <w:rPr>
                <w:sz w:val="18"/>
                <w:szCs w:val="18"/>
              </w:rPr>
              <w:t xml:space="preserve"> aset keuangan</w:t>
            </w:r>
            <w:r w:rsidR="00600BA9">
              <w:rPr>
                <w:sz w:val="18"/>
                <w:szCs w:val="18"/>
              </w:rPr>
              <w:t>,</w:t>
            </w:r>
            <w:r w:rsidRPr="007F3D33">
              <w:rPr>
                <w:sz w:val="18"/>
                <w:szCs w:val="18"/>
              </w:rPr>
              <w:t xml:space="preserve"> properti investasi pada nilai wajar</w:t>
            </w:r>
            <w:r w:rsidR="00600BA9">
              <w:rPr>
                <w:sz w:val="18"/>
                <w:szCs w:val="18"/>
              </w:rPr>
              <w:t>,</w:t>
            </w:r>
            <w:r w:rsidRPr="007F3D33">
              <w:rPr>
                <w:sz w:val="18"/>
                <w:szCs w:val="18"/>
              </w:rPr>
              <w:t xml:space="preserve"> aset kontrak asuransi</w:t>
            </w:r>
            <w:r w:rsidR="00600BA9">
              <w:rPr>
                <w:sz w:val="18"/>
                <w:szCs w:val="18"/>
              </w:rPr>
              <w:t>,</w:t>
            </w:r>
            <w:r w:rsidRPr="007F3D33">
              <w:rPr>
                <w:sz w:val="18"/>
                <w:szCs w:val="18"/>
              </w:rPr>
              <w:t xml:space="preserve"> aset tidak lancar dimiliki untuk dijual. PSAK ini diterapkan untuk aset tetap</w:t>
            </w:r>
            <w:r w:rsidR="00600BA9">
              <w:rPr>
                <w:sz w:val="18"/>
                <w:szCs w:val="18"/>
              </w:rPr>
              <w:t>,</w:t>
            </w:r>
            <w:r w:rsidRPr="007F3D33">
              <w:rPr>
                <w:sz w:val="18"/>
                <w:szCs w:val="18"/>
              </w:rPr>
              <w:t xml:space="preserve"> properti investasi pada biaya perolehan</w:t>
            </w:r>
            <w:r w:rsidR="00600BA9">
              <w:rPr>
                <w:sz w:val="18"/>
                <w:szCs w:val="18"/>
              </w:rPr>
              <w:t>,</w:t>
            </w:r>
            <w:r w:rsidRPr="007F3D33">
              <w:rPr>
                <w:sz w:val="18"/>
                <w:szCs w:val="18"/>
              </w:rPr>
              <w:t xml:space="preserve"> aset takberwujud dan </w:t>
            </w:r>
            <w:r w:rsidRPr="007F3D33">
              <w:rPr>
                <w:i/>
                <w:iCs/>
                <w:sz w:val="18"/>
                <w:szCs w:val="18"/>
              </w:rPr>
              <w:t>goodwill</w:t>
            </w:r>
            <w:r w:rsidR="00600BA9">
              <w:rPr>
                <w:sz w:val="18"/>
                <w:szCs w:val="18"/>
              </w:rPr>
              <w:t>,</w:t>
            </w:r>
            <w:r w:rsidRPr="007F3D33">
              <w:rPr>
                <w:sz w:val="18"/>
                <w:szCs w:val="18"/>
              </w:rPr>
              <w:t xml:space="preserve"> investasi pada entitas anak</w:t>
            </w:r>
            <w:r w:rsidR="00870FD0">
              <w:rPr>
                <w:sz w:val="18"/>
                <w:szCs w:val="18"/>
              </w:rPr>
              <w:t>.</w:t>
            </w:r>
            <w:r w:rsidRPr="007F3D33">
              <w:rPr>
                <w:sz w:val="18"/>
                <w:szCs w:val="18"/>
              </w:rPr>
              <w:t xml:space="preserve"> </w:t>
            </w:r>
            <w:proofErr w:type="gramStart"/>
            <w:r w:rsidRPr="007F3D33">
              <w:rPr>
                <w:sz w:val="18"/>
                <w:szCs w:val="18"/>
              </w:rPr>
              <w:t>entitas</w:t>
            </w:r>
            <w:proofErr w:type="gramEnd"/>
            <w:r w:rsidRPr="007F3D33">
              <w:rPr>
                <w:sz w:val="18"/>
                <w:szCs w:val="18"/>
              </w:rPr>
              <w:t xml:space="preserve"> asosiasi dan ventura bersama pada biaya perolehan.</w:t>
            </w:r>
          </w:p>
        </w:tc>
        <w:tc>
          <w:tcPr>
            <w:tcW w:w="4598" w:type="dxa"/>
          </w:tcPr>
          <w:p w14:paraId="46228821" w14:textId="68E798F7" w:rsidR="007F3D33" w:rsidRPr="007F3D33" w:rsidRDefault="007F3D33" w:rsidP="00600BA9">
            <w:pPr>
              <w:ind w:left="567" w:right="-57"/>
              <w:jc w:val="both"/>
              <w:rPr>
                <w:bCs w:val="0"/>
                <w:i/>
                <w:sz w:val="18"/>
                <w:szCs w:val="18"/>
              </w:rPr>
            </w:pPr>
            <w:r w:rsidRPr="007F3D33">
              <w:rPr>
                <w:bCs w:val="0"/>
                <w:i/>
                <w:sz w:val="18"/>
                <w:szCs w:val="18"/>
              </w:rPr>
              <w:t xml:space="preserve"> The Group adopted PSAK No. 48 (Revised 201</w:t>
            </w:r>
            <w:r w:rsidRPr="007F3D33">
              <w:rPr>
                <w:bCs w:val="0"/>
                <w:i/>
                <w:sz w:val="18"/>
                <w:szCs w:val="18"/>
                <w:lang w:val="id-ID"/>
              </w:rPr>
              <w:t>4</w:t>
            </w:r>
            <w:r w:rsidRPr="007F3D33">
              <w:rPr>
                <w:bCs w:val="0"/>
                <w:i/>
                <w:sz w:val="18"/>
                <w:szCs w:val="18"/>
              </w:rPr>
              <w:t>)</w:t>
            </w:r>
            <w:r w:rsidR="00600BA9">
              <w:rPr>
                <w:bCs w:val="0"/>
                <w:i/>
                <w:sz w:val="18"/>
                <w:szCs w:val="18"/>
              </w:rPr>
              <w:t>,</w:t>
            </w:r>
            <w:r w:rsidRPr="007F3D33">
              <w:rPr>
                <w:bCs w:val="0"/>
                <w:i/>
                <w:sz w:val="18"/>
                <w:szCs w:val="18"/>
              </w:rPr>
              <w:t xml:space="preserve"> “Impairment of Assets”. It does not apply to inventories</w:t>
            </w:r>
            <w:r w:rsidR="00870FD0">
              <w:rPr>
                <w:bCs w:val="0"/>
                <w:i/>
                <w:sz w:val="18"/>
                <w:szCs w:val="18"/>
              </w:rPr>
              <w:t>.</w:t>
            </w:r>
            <w:r w:rsidRPr="007F3D33">
              <w:rPr>
                <w:bCs w:val="0"/>
                <w:i/>
                <w:sz w:val="18"/>
                <w:szCs w:val="18"/>
              </w:rPr>
              <w:t xml:space="preserve"> </w:t>
            </w:r>
            <w:proofErr w:type="gramStart"/>
            <w:r w:rsidRPr="007F3D33">
              <w:rPr>
                <w:bCs w:val="0"/>
                <w:i/>
                <w:sz w:val="18"/>
                <w:szCs w:val="18"/>
              </w:rPr>
              <w:t>assets</w:t>
            </w:r>
            <w:proofErr w:type="gramEnd"/>
            <w:r w:rsidRPr="007F3D33">
              <w:rPr>
                <w:bCs w:val="0"/>
                <w:i/>
                <w:sz w:val="18"/>
                <w:szCs w:val="18"/>
              </w:rPr>
              <w:t xml:space="preserve"> arising from construction contracts</w:t>
            </w:r>
            <w:r w:rsidR="00600BA9">
              <w:rPr>
                <w:bCs w:val="0"/>
                <w:i/>
                <w:sz w:val="18"/>
                <w:szCs w:val="18"/>
              </w:rPr>
              <w:t>,</w:t>
            </w:r>
            <w:r w:rsidRPr="007F3D33">
              <w:rPr>
                <w:bCs w:val="0"/>
                <w:i/>
                <w:sz w:val="18"/>
                <w:szCs w:val="18"/>
              </w:rPr>
              <w:t xml:space="preserve"> deferred tax assets</w:t>
            </w:r>
            <w:r w:rsidR="00600BA9">
              <w:rPr>
                <w:bCs w:val="0"/>
                <w:i/>
                <w:sz w:val="18"/>
                <w:szCs w:val="18"/>
              </w:rPr>
              <w:t>,</w:t>
            </w:r>
            <w:r w:rsidRPr="007F3D33">
              <w:rPr>
                <w:bCs w:val="0"/>
                <w:i/>
                <w:sz w:val="18"/>
                <w:szCs w:val="18"/>
              </w:rPr>
              <w:t xml:space="preserve"> assets arising from employee benefits</w:t>
            </w:r>
            <w:r w:rsidR="00600BA9">
              <w:rPr>
                <w:bCs w:val="0"/>
                <w:i/>
                <w:sz w:val="18"/>
                <w:szCs w:val="18"/>
              </w:rPr>
              <w:t>,</w:t>
            </w:r>
            <w:r w:rsidRPr="007F3D33">
              <w:rPr>
                <w:bCs w:val="0"/>
                <w:i/>
                <w:sz w:val="18"/>
                <w:szCs w:val="18"/>
              </w:rPr>
              <w:t xml:space="preserve"> financial assets</w:t>
            </w:r>
            <w:r w:rsidR="00600BA9">
              <w:rPr>
                <w:bCs w:val="0"/>
                <w:i/>
                <w:sz w:val="18"/>
                <w:szCs w:val="18"/>
              </w:rPr>
              <w:t>,</w:t>
            </w:r>
            <w:r w:rsidRPr="007F3D33">
              <w:rPr>
                <w:bCs w:val="0"/>
                <w:i/>
                <w:sz w:val="18"/>
                <w:szCs w:val="18"/>
              </w:rPr>
              <w:t xml:space="preserve"> investment property carried at fair value</w:t>
            </w:r>
            <w:r w:rsidR="00600BA9">
              <w:rPr>
                <w:bCs w:val="0"/>
                <w:i/>
                <w:sz w:val="18"/>
                <w:szCs w:val="18"/>
              </w:rPr>
              <w:t>,</w:t>
            </w:r>
            <w:r w:rsidRPr="007F3D33">
              <w:rPr>
                <w:bCs w:val="0"/>
                <w:i/>
                <w:sz w:val="18"/>
                <w:szCs w:val="18"/>
              </w:rPr>
              <w:t xml:space="preserve"> insurance contract assets</w:t>
            </w:r>
            <w:r w:rsidR="00600BA9">
              <w:rPr>
                <w:bCs w:val="0"/>
                <w:i/>
                <w:sz w:val="18"/>
                <w:szCs w:val="18"/>
              </w:rPr>
              <w:t>,</w:t>
            </w:r>
            <w:r w:rsidRPr="007F3D33">
              <w:rPr>
                <w:bCs w:val="0"/>
                <w:i/>
                <w:sz w:val="18"/>
                <w:szCs w:val="18"/>
              </w:rPr>
              <w:t xml:space="preserve"> non-current assets held for sale. It applies to property</w:t>
            </w:r>
            <w:r w:rsidR="00600BA9">
              <w:rPr>
                <w:bCs w:val="0"/>
                <w:i/>
                <w:sz w:val="18"/>
                <w:szCs w:val="18"/>
              </w:rPr>
              <w:t>,</w:t>
            </w:r>
            <w:r w:rsidRPr="007F3D33">
              <w:rPr>
                <w:bCs w:val="0"/>
                <w:i/>
                <w:sz w:val="18"/>
                <w:szCs w:val="18"/>
              </w:rPr>
              <w:t xml:space="preserve"> plant and equipment</w:t>
            </w:r>
            <w:r w:rsidR="00600BA9">
              <w:rPr>
                <w:bCs w:val="0"/>
                <w:i/>
                <w:sz w:val="18"/>
                <w:szCs w:val="18"/>
              </w:rPr>
              <w:t>,</w:t>
            </w:r>
            <w:r w:rsidRPr="007F3D33">
              <w:rPr>
                <w:bCs w:val="0"/>
                <w:i/>
                <w:sz w:val="18"/>
                <w:szCs w:val="18"/>
              </w:rPr>
              <w:t xml:space="preserve"> investment property at cost</w:t>
            </w:r>
            <w:r w:rsidR="00600BA9">
              <w:rPr>
                <w:bCs w:val="0"/>
                <w:i/>
                <w:sz w:val="18"/>
                <w:szCs w:val="18"/>
              </w:rPr>
              <w:t>,</w:t>
            </w:r>
            <w:r w:rsidRPr="007F3D33">
              <w:rPr>
                <w:bCs w:val="0"/>
                <w:i/>
                <w:sz w:val="18"/>
                <w:szCs w:val="18"/>
              </w:rPr>
              <w:t xml:space="preserve"> intangible assets and goodwill</w:t>
            </w:r>
            <w:r w:rsidR="00600BA9">
              <w:rPr>
                <w:bCs w:val="0"/>
                <w:i/>
                <w:sz w:val="18"/>
                <w:szCs w:val="18"/>
              </w:rPr>
              <w:t>,</w:t>
            </w:r>
            <w:r w:rsidRPr="007F3D33">
              <w:rPr>
                <w:bCs w:val="0"/>
                <w:i/>
                <w:sz w:val="18"/>
                <w:szCs w:val="18"/>
              </w:rPr>
              <w:t xml:space="preserve"> investments in subsidiaries</w:t>
            </w:r>
            <w:r w:rsidR="00600BA9">
              <w:rPr>
                <w:bCs w:val="0"/>
                <w:i/>
                <w:sz w:val="18"/>
                <w:szCs w:val="18"/>
              </w:rPr>
              <w:t>,</w:t>
            </w:r>
            <w:r w:rsidRPr="007F3D33">
              <w:rPr>
                <w:bCs w:val="0"/>
                <w:i/>
                <w:sz w:val="18"/>
                <w:szCs w:val="18"/>
              </w:rPr>
              <w:t xml:space="preserve"> associates</w:t>
            </w:r>
            <w:r w:rsidR="00600BA9">
              <w:rPr>
                <w:bCs w:val="0"/>
                <w:i/>
                <w:sz w:val="18"/>
                <w:szCs w:val="18"/>
              </w:rPr>
              <w:t>,</w:t>
            </w:r>
            <w:r w:rsidRPr="007F3D33">
              <w:rPr>
                <w:bCs w:val="0"/>
                <w:i/>
                <w:sz w:val="18"/>
                <w:szCs w:val="18"/>
              </w:rPr>
              <w:t xml:space="preserve"> and joint ventures carried at cost.</w:t>
            </w:r>
          </w:p>
        </w:tc>
      </w:tr>
      <w:tr w:rsidR="007F3D33" w:rsidRPr="007F3D33" w14:paraId="3309ABBD" w14:textId="77777777" w:rsidTr="007F3D33">
        <w:tc>
          <w:tcPr>
            <w:tcW w:w="4599" w:type="dxa"/>
          </w:tcPr>
          <w:p w14:paraId="1DE52B32" w14:textId="77777777" w:rsidR="007F3D33" w:rsidRPr="007F3D33" w:rsidRDefault="007F3D33" w:rsidP="00D215E4">
            <w:pPr>
              <w:pStyle w:val="ListParagraph"/>
              <w:ind w:left="624" w:hanging="284"/>
              <w:contextualSpacing/>
              <w:jc w:val="both"/>
              <w:rPr>
                <w:sz w:val="18"/>
                <w:szCs w:val="18"/>
              </w:rPr>
            </w:pPr>
          </w:p>
        </w:tc>
        <w:tc>
          <w:tcPr>
            <w:tcW w:w="4598" w:type="dxa"/>
          </w:tcPr>
          <w:p w14:paraId="7BB6E8B0" w14:textId="77777777" w:rsidR="007F3D33" w:rsidRPr="007F3D33" w:rsidRDefault="007F3D33" w:rsidP="00D215E4">
            <w:pPr>
              <w:pStyle w:val="ListParagraph"/>
              <w:ind w:left="624" w:hanging="284"/>
              <w:contextualSpacing/>
              <w:jc w:val="both"/>
              <w:rPr>
                <w:bCs w:val="0"/>
                <w:i/>
                <w:sz w:val="18"/>
                <w:szCs w:val="18"/>
              </w:rPr>
            </w:pPr>
          </w:p>
        </w:tc>
      </w:tr>
      <w:tr w:rsidR="007F3D33" w:rsidRPr="007F3D33" w14:paraId="32FB17EE" w14:textId="77777777" w:rsidTr="007F3D33">
        <w:tc>
          <w:tcPr>
            <w:tcW w:w="4599" w:type="dxa"/>
          </w:tcPr>
          <w:p w14:paraId="150E389F" w14:textId="0DB3DCE5" w:rsidR="007F3D33" w:rsidRPr="007F3D33" w:rsidRDefault="007F3D33" w:rsidP="00600BA9">
            <w:pPr>
              <w:widowControl w:val="0"/>
              <w:autoSpaceDE w:val="0"/>
              <w:autoSpaceDN w:val="0"/>
              <w:adjustRightInd w:val="0"/>
              <w:ind w:left="567" w:right="-57"/>
              <w:jc w:val="both"/>
              <w:rPr>
                <w:sz w:val="18"/>
                <w:szCs w:val="18"/>
              </w:rPr>
            </w:pPr>
            <w:r w:rsidRPr="007F3D33">
              <w:rPr>
                <w:sz w:val="18"/>
                <w:szCs w:val="18"/>
              </w:rPr>
              <w:t>Pada setiap akhir periode pelaporan</w:t>
            </w:r>
            <w:r w:rsidR="00870FD0">
              <w:rPr>
                <w:sz w:val="18"/>
                <w:szCs w:val="18"/>
              </w:rPr>
              <w:t>.</w:t>
            </w:r>
            <w:r w:rsidRPr="007F3D33">
              <w:rPr>
                <w:sz w:val="18"/>
                <w:szCs w:val="18"/>
              </w:rPr>
              <w:t xml:space="preserve"> </w:t>
            </w:r>
            <w:r w:rsidRPr="007F3D33">
              <w:rPr>
                <w:sz w:val="18"/>
                <w:szCs w:val="18"/>
                <w:lang w:val="id-ID"/>
              </w:rPr>
              <w:t>K</w:t>
            </w:r>
            <w:r w:rsidRPr="007F3D33">
              <w:rPr>
                <w:sz w:val="18"/>
                <w:szCs w:val="18"/>
              </w:rPr>
              <w:t xml:space="preserve">elompok </w:t>
            </w:r>
            <w:r w:rsidRPr="007F3D33">
              <w:rPr>
                <w:sz w:val="18"/>
                <w:szCs w:val="18"/>
                <w:lang w:val="id-ID"/>
              </w:rPr>
              <w:t>U</w:t>
            </w:r>
            <w:r w:rsidRPr="007F3D33">
              <w:rPr>
                <w:sz w:val="18"/>
                <w:szCs w:val="18"/>
              </w:rPr>
              <w:t>saha menilai apakah terdapat indikasi suatu aset mengalami penurunan nilai. Jika terdapat indikasi tersebut atau pada saat pengujian secara tahunan penurunan nilai aset diperlukan</w:t>
            </w:r>
            <w:r w:rsidR="00600BA9">
              <w:rPr>
                <w:sz w:val="18"/>
                <w:szCs w:val="18"/>
              </w:rPr>
              <w:t>,</w:t>
            </w:r>
            <w:r w:rsidRPr="007F3D33">
              <w:rPr>
                <w:sz w:val="18"/>
                <w:szCs w:val="18"/>
              </w:rPr>
              <w:t xml:space="preserve"> maka </w:t>
            </w:r>
            <w:r w:rsidRPr="007F3D33">
              <w:rPr>
                <w:sz w:val="18"/>
                <w:szCs w:val="18"/>
                <w:lang w:val="id-ID"/>
              </w:rPr>
              <w:t>K</w:t>
            </w:r>
            <w:r w:rsidRPr="007F3D33">
              <w:rPr>
                <w:sz w:val="18"/>
                <w:szCs w:val="18"/>
              </w:rPr>
              <w:t xml:space="preserve">elompok </w:t>
            </w:r>
            <w:r w:rsidRPr="007F3D33">
              <w:rPr>
                <w:sz w:val="18"/>
                <w:szCs w:val="18"/>
                <w:lang w:val="id-ID"/>
              </w:rPr>
              <w:t>U</w:t>
            </w:r>
            <w:r w:rsidRPr="007F3D33">
              <w:rPr>
                <w:sz w:val="18"/>
                <w:szCs w:val="18"/>
              </w:rPr>
              <w:t>saha membuat estimasi jumlah terpulihkan aset tersebut.</w:t>
            </w:r>
          </w:p>
        </w:tc>
        <w:tc>
          <w:tcPr>
            <w:tcW w:w="4598" w:type="dxa"/>
          </w:tcPr>
          <w:p w14:paraId="5D9EDFC3" w14:textId="68C91DD8" w:rsidR="007F3D33" w:rsidRPr="007F3D33" w:rsidRDefault="007F3D33" w:rsidP="00600BA9">
            <w:pPr>
              <w:ind w:left="567" w:right="-57"/>
              <w:jc w:val="both"/>
              <w:rPr>
                <w:bCs w:val="0"/>
                <w:i/>
                <w:sz w:val="18"/>
                <w:szCs w:val="18"/>
              </w:rPr>
            </w:pPr>
            <w:r w:rsidRPr="007F3D33">
              <w:rPr>
                <w:bCs w:val="0"/>
                <w:i/>
                <w:sz w:val="18"/>
                <w:szCs w:val="18"/>
              </w:rPr>
              <w:t>At the end of each reporting period</w:t>
            </w:r>
            <w:r w:rsidR="00870FD0">
              <w:rPr>
                <w:bCs w:val="0"/>
                <w:i/>
                <w:sz w:val="18"/>
                <w:szCs w:val="18"/>
              </w:rPr>
              <w:t>.</w:t>
            </w:r>
            <w:r w:rsidRPr="007F3D33">
              <w:rPr>
                <w:bCs w:val="0"/>
                <w:i/>
                <w:sz w:val="18"/>
                <w:szCs w:val="18"/>
              </w:rPr>
              <w:t xml:space="preserve"> </w:t>
            </w:r>
            <w:proofErr w:type="gramStart"/>
            <w:r w:rsidRPr="007F3D33">
              <w:rPr>
                <w:bCs w:val="0"/>
                <w:i/>
                <w:sz w:val="18"/>
                <w:szCs w:val="18"/>
              </w:rPr>
              <w:t>the</w:t>
            </w:r>
            <w:proofErr w:type="gramEnd"/>
            <w:r w:rsidRPr="007F3D33">
              <w:rPr>
                <w:bCs w:val="0"/>
                <w:i/>
                <w:sz w:val="18"/>
                <w:szCs w:val="18"/>
              </w:rPr>
              <w:t xml:space="preserve"> </w:t>
            </w:r>
            <w:r w:rsidRPr="007F3D33">
              <w:rPr>
                <w:bCs w:val="0"/>
                <w:i/>
                <w:sz w:val="18"/>
                <w:szCs w:val="18"/>
                <w:lang w:val="id-ID"/>
              </w:rPr>
              <w:t>G</w:t>
            </w:r>
            <w:r w:rsidRPr="007F3D33">
              <w:rPr>
                <w:bCs w:val="0"/>
                <w:i/>
                <w:sz w:val="18"/>
                <w:szCs w:val="18"/>
              </w:rPr>
              <w:t>roup assesses whether there is any indication that an asset may be impaired. If such indication exists or when annual impairment testing of an asset is required</w:t>
            </w:r>
            <w:proofErr w:type="gramStart"/>
            <w:r w:rsidR="00600BA9">
              <w:rPr>
                <w:bCs w:val="0"/>
                <w:i/>
                <w:sz w:val="18"/>
                <w:szCs w:val="18"/>
              </w:rPr>
              <w:t>,</w:t>
            </w:r>
            <w:proofErr w:type="gramEnd"/>
            <w:r w:rsidRPr="007F3D33">
              <w:rPr>
                <w:bCs w:val="0"/>
                <w:i/>
                <w:sz w:val="18"/>
                <w:szCs w:val="18"/>
                <w:lang w:val="id-ID"/>
              </w:rPr>
              <w:br/>
            </w:r>
            <w:r w:rsidRPr="007F3D33">
              <w:rPr>
                <w:bCs w:val="0"/>
                <w:i/>
                <w:sz w:val="18"/>
                <w:szCs w:val="18"/>
              </w:rPr>
              <w:t xml:space="preserve">the </w:t>
            </w:r>
            <w:r w:rsidRPr="007F3D33">
              <w:rPr>
                <w:bCs w:val="0"/>
                <w:i/>
                <w:sz w:val="18"/>
                <w:szCs w:val="18"/>
                <w:lang w:val="id-ID"/>
              </w:rPr>
              <w:t>G</w:t>
            </w:r>
            <w:r w:rsidRPr="007F3D33">
              <w:rPr>
                <w:bCs w:val="0"/>
                <w:i/>
                <w:sz w:val="18"/>
                <w:szCs w:val="18"/>
              </w:rPr>
              <w:t>roup estimates the recoverable amount of</w:t>
            </w:r>
            <w:r w:rsidRPr="007F3D33">
              <w:rPr>
                <w:bCs w:val="0"/>
                <w:i/>
                <w:sz w:val="18"/>
                <w:szCs w:val="18"/>
                <w:lang w:val="id-ID"/>
              </w:rPr>
              <w:br/>
            </w:r>
            <w:r w:rsidRPr="007F3D33">
              <w:rPr>
                <w:bCs w:val="0"/>
                <w:i/>
                <w:sz w:val="18"/>
                <w:szCs w:val="18"/>
              </w:rPr>
              <w:t>the assets.</w:t>
            </w:r>
          </w:p>
        </w:tc>
      </w:tr>
      <w:tr w:rsidR="007F3D33" w:rsidRPr="007F3D33" w14:paraId="1E91A76D" w14:textId="77777777" w:rsidTr="007F3D33">
        <w:tc>
          <w:tcPr>
            <w:tcW w:w="4599" w:type="dxa"/>
          </w:tcPr>
          <w:p w14:paraId="4A58F0A4" w14:textId="77777777" w:rsidR="007F3D33" w:rsidRPr="007F3D33" w:rsidRDefault="007F3D33" w:rsidP="00D215E4">
            <w:pPr>
              <w:widowControl w:val="0"/>
              <w:autoSpaceDE w:val="0"/>
              <w:autoSpaceDN w:val="0"/>
              <w:adjustRightInd w:val="0"/>
              <w:ind w:left="567" w:right="-57"/>
              <w:jc w:val="both"/>
              <w:rPr>
                <w:sz w:val="18"/>
                <w:szCs w:val="18"/>
              </w:rPr>
            </w:pPr>
          </w:p>
        </w:tc>
        <w:tc>
          <w:tcPr>
            <w:tcW w:w="4598" w:type="dxa"/>
          </w:tcPr>
          <w:p w14:paraId="51149B2B" w14:textId="77777777" w:rsidR="007F3D33" w:rsidRPr="007F3D33" w:rsidRDefault="007F3D33" w:rsidP="00D215E4">
            <w:pPr>
              <w:ind w:left="567" w:right="-57"/>
              <w:jc w:val="both"/>
              <w:rPr>
                <w:bCs w:val="0"/>
                <w:i/>
                <w:sz w:val="18"/>
                <w:szCs w:val="18"/>
              </w:rPr>
            </w:pPr>
          </w:p>
        </w:tc>
      </w:tr>
      <w:tr w:rsidR="007F3D33" w:rsidRPr="00BE6E3D" w14:paraId="7FCA0ADE" w14:textId="77777777" w:rsidTr="007F3D33">
        <w:tc>
          <w:tcPr>
            <w:tcW w:w="4599" w:type="dxa"/>
          </w:tcPr>
          <w:p w14:paraId="68A340D2" w14:textId="53874F6C" w:rsidR="007F3D33" w:rsidRPr="007F3D33" w:rsidRDefault="007F3D33" w:rsidP="00600BA9">
            <w:pPr>
              <w:widowControl w:val="0"/>
              <w:autoSpaceDE w:val="0"/>
              <w:autoSpaceDN w:val="0"/>
              <w:adjustRightInd w:val="0"/>
              <w:ind w:left="567" w:right="-57"/>
              <w:jc w:val="both"/>
              <w:rPr>
                <w:sz w:val="18"/>
                <w:szCs w:val="18"/>
              </w:rPr>
            </w:pPr>
            <w:r w:rsidRPr="007F3D33">
              <w:rPr>
                <w:sz w:val="18"/>
                <w:szCs w:val="18"/>
              </w:rPr>
              <w:t>Jumlah terpulihkan suatu aset atau CGU adalah jumlah yang lebih tinggi antara nilai wajar dikurangi biaya pelepasan dan nilai pakainya. Jika jumlah terpulihkan suatu aset lebih kecil dari nilai tercatatnya</w:t>
            </w:r>
            <w:r w:rsidR="00870FD0">
              <w:rPr>
                <w:sz w:val="18"/>
                <w:szCs w:val="18"/>
              </w:rPr>
              <w:t>.</w:t>
            </w:r>
            <w:r w:rsidRPr="007F3D33">
              <w:rPr>
                <w:sz w:val="18"/>
                <w:szCs w:val="18"/>
              </w:rPr>
              <w:t xml:space="preserve"> </w:t>
            </w:r>
            <w:proofErr w:type="gramStart"/>
            <w:r w:rsidRPr="007F3D33">
              <w:rPr>
                <w:sz w:val="18"/>
                <w:szCs w:val="18"/>
              </w:rPr>
              <w:t>nilai</w:t>
            </w:r>
            <w:proofErr w:type="gramEnd"/>
            <w:r w:rsidRPr="007F3D33">
              <w:rPr>
                <w:sz w:val="18"/>
                <w:szCs w:val="18"/>
              </w:rPr>
              <w:t xml:space="preserve"> tercatat harus diturunkan menjadi sebesar terpulihkan. Kerugian penurunan nilai diakui segera dalam laporan laba rugi dan penghasilan komprehensif lain konsolidasian</w:t>
            </w:r>
            <w:r w:rsidR="00600BA9">
              <w:rPr>
                <w:sz w:val="18"/>
                <w:szCs w:val="18"/>
              </w:rPr>
              <w:t>,</w:t>
            </w:r>
            <w:r w:rsidRPr="007F3D33">
              <w:rPr>
                <w:sz w:val="18"/>
                <w:szCs w:val="18"/>
              </w:rPr>
              <w:t xml:space="preserve"> kecuali berkaitan dengan aset revaluasian dimana rugi penurunan nilai diperlakukan sebagai penurunan revaluasi di OCI.</w:t>
            </w:r>
          </w:p>
        </w:tc>
        <w:tc>
          <w:tcPr>
            <w:tcW w:w="4598" w:type="dxa"/>
          </w:tcPr>
          <w:p w14:paraId="59FAA648" w14:textId="3A22C631" w:rsidR="007F3D33" w:rsidRPr="007F3D33" w:rsidRDefault="007F3D33" w:rsidP="00600BA9">
            <w:pPr>
              <w:ind w:left="567" w:right="-57"/>
              <w:jc w:val="both"/>
              <w:rPr>
                <w:bCs w:val="0"/>
                <w:i/>
                <w:sz w:val="18"/>
                <w:szCs w:val="18"/>
              </w:rPr>
            </w:pPr>
            <w:r w:rsidRPr="007F3D33">
              <w:rPr>
                <w:bCs w:val="0"/>
                <w:i/>
                <w:sz w:val="18"/>
                <w:szCs w:val="18"/>
              </w:rPr>
              <w:t>Recoverable amount of an asset or CGU is the higher amount between the fair value less costs of disposal and value in use. If the recoverable amount of an asset is less than its carrying amount</w:t>
            </w:r>
            <w:r w:rsidR="00600BA9">
              <w:rPr>
                <w:bCs w:val="0"/>
                <w:i/>
                <w:sz w:val="18"/>
                <w:szCs w:val="18"/>
              </w:rPr>
              <w:t>,</w:t>
            </w:r>
            <w:r w:rsidRPr="007F3D33">
              <w:rPr>
                <w:bCs w:val="0"/>
                <w:i/>
                <w:sz w:val="18"/>
                <w:szCs w:val="18"/>
              </w:rPr>
              <w:t xml:space="preserve"> the carrying amount should be reduced to their recoverable amount. Impairment loss is recognized immediately in the consolidated statement of profit or loss and other comprehensive income unless it relates to a revalued asset where the impairment loss is treated as a revaluation decrease in OCI.</w:t>
            </w:r>
          </w:p>
        </w:tc>
      </w:tr>
    </w:tbl>
    <w:p w14:paraId="046AC0A7" w14:textId="43D6A295" w:rsidR="00B16EDC" w:rsidRPr="0013526B" w:rsidRDefault="007F3D33" w:rsidP="0013526B">
      <w:pPr>
        <w:rPr>
          <w:sz w:val="18"/>
          <w:szCs w:val="18"/>
          <w:lang w:val="id-ID"/>
        </w:rPr>
      </w:pPr>
      <w:r>
        <w:rPr>
          <w:sz w:val="18"/>
          <w:szCs w:val="18"/>
          <w:lang w:val="id-ID"/>
        </w:rPr>
        <w:br w:type="page"/>
      </w:r>
    </w:p>
    <w:tbl>
      <w:tblPr>
        <w:tblW w:w="9176" w:type="dxa"/>
        <w:tblInd w:w="392" w:type="dxa"/>
        <w:tblLayout w:type="fixed"/>
        <w:tblLook w:val="0000" w:firstRow="0" w:lastRow="0" w:firstColumn="0" w:lastColumn="0" w:noHBand="0" w:noVBand="0"/>
      </w:tblPr>
      <w:tblGrid>
        <w:gridCol w:w="4578"/>
        <w:gridCol w:w="4598"/>
      </w:tblGrid>
      <w:tr w:rsidR="00F70EEE" w:rsidRPr="007F3D33" w14:paraId="2C63EB58" w14:textId="77777777" w:rsidTr="00CC2E72">
        <w:tc>
          <w:tcPr>
            <w:tcW w:w="4578" w:type="dxa"/>
          </w:tcPr>
          <w:p w14:paraId="0E6D7461" w14:textId="25EF8473" w:rsidR="00F70EEE" w:rsidRPr="007F3D33" w:rsidRDefault="00F70EEE" w:rsidP="005F361E">
            <w:pPr>
              <w:pStyle w:val="ListParagraph"/>
              <w:numPr>
                <w:ilvl w:val="0"/>
                <w:numId w:val="54"/>
              </w:numPr>
              <w:ind w:left="284" w:right="-57" w:hanging="284"/>
              <w:contextualSpacing/>
              <w:jc w:val="both"/>
              <w:rPr>
                <w:rStyle w:val="hps"/>
                <w:b/>
                <w:sz w:val="18"/>
                <w:szCs w:val="18"/>
              </w:rPr>
            </w:pPr>
            <w:r w:rsidRPr="007F3D33">
              <w:rPr>
                <w:rStyle w:val="hps"/>
                <w:b/>
                <w:sz w:val="18"/>
                <w:szCs w:val="18"/>
              </w:rPr>
              <w:lastRenderedPageBreak/>
              <w:t xml:space="preserve">IKHTISAR KEBIJAKAN AKUNTANSI </w:t>
            </w:r>
            <w:r w:rsidR="00C85EDE" w:rsidRPr="007F3D33">
              <w:rPr>
                <w:rStyle w:val="hps"/>
                <w:b/>
                <w:sz w:val="18"/>
                <w:szCs w:val="18"/>
                <w:lang w:val="id-ID"/>
              </w:rPr>
              <w:t xml:space="preserve">YANG </w:t>
            </w:r>
            <w:r w:rsidRPr="007F3D33">
              <w:rPr>
                <w:rStyle w:val="hps"/>
                <w:b/>
                <w:sz w:val="18"/>
                <w:szCs w:val="18"/>
              </w:rPr>
              <w:t xml:space="preserve">PENTING </w:t>
            </w:r>
            <w:r w:rsidR="00A928CB" w:rsidRPr="007F3D33">
              <w:rPr>
                <w:rStyle w:val="hps"/>
                <w:b/>
                <w:sz w:val="18"/>
                <w:szCs w:val="18"/>
              </w:rPr>
              <w:t>-</w:t>
            </w:r>
            <w:r w:rsidRPr="007F3D33">
              <w:rPr>
                <w:rStyle w:val="hps"/>
                <w:b/>
                <w:sz w:val="18"/>
                <w:szCs w:val="18"/>
              </w:rPr>
              <w:t xml:space="preserve"> Lanjutan</w:t>
            </w:r>
          </w:p>
        </w:tc>
        <w:tc>
          <w:tcPr>
            <w:tcW w:w="4598" w:type="dxa"/>
          </w:tcPr>
          <w:p w14:paraId="18165913" w14:textId="77777777" w:rsidR="00F70EEE" w:rsidRPr="007F3D33" w:rsidRDefault="00F70EEE" w:rsidP="005F361E">
            <w:pPr>
              <w:pStyle w:val="ListParagraph"/>
              <w:numPr>
                <w:ilvl w:val="0"/>
                <w:numId w:val="55"/>
              </w:numPr>
              <w:ind w:left="284" w:right="-57" w:hanging="284"/>
              <w:contextualSpacing/>
              <w:jc w:val="both"/>
              <w:rPr>
                <w:b/>
                <w:bCs w:val="0"/>
                <w:i/>
                <w:sz w:val="18"/>
                <w:szCs w:val="18"/>
              </w:rPr>
            </w:pPr>
            <w:r w:rsidRPr="007F3D33">
              <w:rPr>
                <w:b/>
                <w:i/>
                <w:sz w:val="18"/>
                <w:szCs w:val="18"/>
              </w:rPr>
              <w:t>SUMMARY OF SIGNIFICANT ACCOUNTING POLICIES - Continued</w:t>
            </w:r>
          </w:p>
        </w:tc>
      </w:tr>
      <w:tr w:rsidR="00F70EEE" w:rsidRPr="00F95661" w14:paraId="41CD1576" w14:textId="77777777" w:rsidTr="00CC2E72">
        <w:tc>
          <w:tcPr>
            <w:tcW w:w="4578" w:type="dxa"/>
          </w:tcPr>
          <w:p w14:paraId="104866B7" w14:textId="77777777" w:rsidR="00F70EEE" w:rsidRPr="00F95661" w:rsidRDefault="00F70EEE" w:rsidP="0013526B">
            <w:pPr>
              <w:jc w:val="both"/>
              <w:rPr>
                <w:rStyle w:val="hps"/>
                <w:b/>
                <w:sz w:val="14"/>
                <w:szCs w:val="14"/>
              </w:rPr>
            </w:pPr>
          </w:p>
        </w:tc>
        <w:tc>
          <w:tcPr>
            <w:tcW w:w="4598" w:type="dxa"/>
          </w:tcPr>
          <w:p w14:paraId="4499227E" w14:textId="77777777" w:rsidR="00F70EEE" w:rsidRPr="00F95661" w:rsidRDefault="00F70EEE" w:rsidP="0013526B">
            <w:pPr>
              <w:ind w:left="426"/>
              <w:jc w:val="both"/>
              <w:rPr>
                <w:bCs w:val="0"/>
                <w:i/>
                <w:sz w:val="14"/>
                <w:szCs w:val="14"/>
              </w:rPr>
            </w:pPr>
          </w:p>
        </w:tc>
      </w:tr>
      <w:tr w:rsidR="00D144B1" w:rsidRPr="007F3D33" w14:paraId="517DE605" w14:textId="77777777" w:rsidTr="00CC2E72">
        <w:tc>
          <w:tcPr>
            <w:tcW w:w="4578" w:type="dxa"/>
          </w:tcPr>
          <w:p w14:paraId="3DFB07BE" w14:textId="77777777" w:rsidR="00D144B1" w:rsidRPr="007F3D33" w:rsidRDefault="00737DDF" w:rsidP="00070D1F">
            <w:pPr>
              <w:numPr>
                <w:ilvl w:val="0"/>
                <w:numId w:val="100"/>
              </w:numPr>
              <w:ind w:left="568" w:hanging="284"/>
              <w:jc w:val="both"/>
              <w:rPr>
                <w:rStyle w:val="hps"/>
                <w:b/>
                <w:sz w:val="18"/>
                <w:szCs w:val="18"/>
              </w:rPr>
            </w:pPr>
            <w:r w:rsidRPr="007F3D33">
              <w:rPr>
                <w:rStyle w:val="hps"/>
                <w:b/>
                <w:sz w:val="18"/>
                <w:szCs w:val="18"/>
              </w:rPr>
              <w:t xml:space="preserve">Pajak </w:t>
            </w:r>
            <w:r w:rsidR="00B17861" w:rsidRPr="007F3D33">
              <w:rPr>
                <w:rStyle w:val="hps"/>
                <w:b/>
                <w:sz w:val="18"/>
                <w:szCs w:val="18"/>
              </w:rPr>
              <w:t>P</w:t>
            </w:r>
            <w:r w:rsidRPr="007F3D33">
              <w:rPr>
                <w:rStyle w:val="hps"/>
                <w:b/>
                <w:sz w:val="18"/>
                <w:szCs w:val="18"/>
              </w:rPr>
              <w:t xml:space="preserve">enghasilan </w:t>
            </w:r>
          </w:p>
        </w:tc>
        <w:tc>
          <w:tcPr>
            <w:tcW w:w="4598" w:type="dxa"/>
          </w:tcPr>
          <w:p w14:paraId="6264D64B" w14:textId="77777777" w:rsidR="00D144B1" w:rsidRPr="007F3D33" w:rsidRDefault="00737DDF" w:rsidP="00070D1F">
            <w:pPr>
              <w:pStyle w:val="ListParagraph"/>
              <w:numPr>
                <w:ilvl w:val="0"/>
                <w:numId w:val="101"/>
              </w:numPr>
              <w:ind w:left="568" w:hanging="284"/>
              <w:contextualSpacing/>
              <w:jc w:val="both"/>
              <w:rPr>
                <w:b/>
                <w:bCs w:val="0"/>
                <w:i/>
                <w:sz w:val="18"/>
                <w:szCs w:val="18"/>
              </w:rPr>
            </w:pPr>
            <w:r w:rsidRPr="007F3D33">
              <w:rPr>
                <w:b/>
                <w:bCs w:val="0"/>
                <w:i/>
                <w:sz w:val="18"/>
                <w:szCs w:val="18"/>
              </w:rPr>
              <w:t xml:space="preserve">Income </w:t>
            </w:r>
            <w:r w:rsidR="00B17861" w:rsidRPr="007F3D33">
              <w:rPr>
                <w:b/>
                <w:bCs w:val="0"/>
                <w:i/>
                <w:sz w:val="18"/>
                <w:szCs w:val="18"/>
              </w:rPr>
              <w:t>T</w:t>
            </w:r>
            <w:r w:rsidRPr="007F3D33">
              <w:rPr>
                <w:b/>
                <w:bCs w:val="0"/>
                <w:i/>
                <w:sz w:val="18"/>
                <w:szCs w:val="18"/>
              </w:rPr>
              <w:t>ax</w:t>
            </w:r>
          </w:p>
        </w:tc>
      </w:tr>
      <w:tr w:rsidR="00D144B1" w:rsidRPr="00F95661" w14:paraId="4E9C62DB" w14:textId="77777777" w:rsidTr="00CC2E72">
        <w:tc>
          <w:tcPr>
            <w:tcW w:w="4578" w:type="dxa"/>
          </w:tcPr>
          <w:p w14:paraId="65EE216F" w14:textId="77777777" w:rsidR="00D144B1" w:rsidRPr="00F95661" w:rsidRDefault="00D144B1" w:rsidP="0013526B">
            <w:pPr>
              <w:jc w:val="both"/>
              <w:rPr>
                <w:rStyle w:val="hps"/>
                <w:sz w:val="14"/>
                <w:szCs w:val="14"/>
              </w:rPr>
            </w:pPr>
          </w:p>
        </w:tc>
        <w:tc>
          <w:tcPr>
            <w:tcW w:w="4598" w:type="dxa"/>
          </w:tcPr>
          <w:p w14:paraId="7B85946F" w14:textId="77777777" w:rsidR="00D144B1" w:rsidRPr="00F95661" w:rsidRDefault="00D144B1" w:rsidP="0013526B">
            <w:pPr>
              <w:ind w:left="426"/>
              <w:jc w:val="both"/>
              <w:rPr>
                <w:bCs w:val="0"/>
                <w:i/>
                <w:sz w:val="14"/>
                <w:szCs w:val="14"/>
              </w:rPr>
            </w:pPr>
          </w:p>
        </w:tc>
      </w:tr>
      <w:tr w:rsidR="00D144B1" w:rsidRPr="007F3D33" w14:paraId="1F8B2E16" w14:textId="77777777" w:rsidTr="00CC2E72">
        <w:tc>
          <w:tcPr>
            <w:tcW w:w="4578" w:type="dxa"/>
          </w:tcPr>
          <w:p w14:paraId="60894133" w14:textId="3474F6C4" w:rsidR="00D144B1" w:rsidRPr="007F3D33" w:rsidRDefault="005E0E6C" w:rsidP="00600BA9">
            <w:pPr>
              <w:widowControl w:val="0"/>
              <w:autoSpaceDE w:val="0"/>
              <w:autoSpaceDN w:val="0"/>
              <w:adjustRightInd w:val="0"/>
              <w:ind w:left="567" w:right="-57"/>
              <w:jc w:val="both"/>
              <w:rPr>
                <w:rStyle w:val="hps"/>
                <w:sz w:val="18"/>
                <w:szCs w:val="18"/>
              </w:rPr>
            </w:pPr>
            <w:r w:rsidRPr="007F3D33">
              <w:rPr>
                <w:bCs w:val="0"/>
                <w:sz w:val="18"/>
                <w:szCs w:val="18"/>
              </w:rPr>
              <w:t>Kelomp</w:t>
            </w:r>
            <w:r w:rsidR="00412509" w:rsidRPr="007F3D33">
              <w:rPr>
                <w:bCs w:val="0"/>
                <w:sz w:val="18"/>
                <w:szCs w:val="18"/>
              </w:rPr>
              <w:t>ok Usaha menerapkan PSAK No. 46</w:t>
            </w:r>
            <w:r w:rsidR="00412509" w:rsidRPr="007F3D33">
              <w:rPr>
                <w:bCs w:val="0"/>
                <w:sz w:val="18"/>
                <w:szCs w:val="18"/>
                <w:lang w:val="id-ID"/>
              </w:rPr>
              <w:br/>
            </w:r>
            <w:r w:rsidR="00451B30" w:rsidRPr="007F3D33">
              <w:rPr>
                <w:bCs w:val="0"/>
                <w:sz w:val="18"/>
                <w:szCs w:val="18"/>
              </w:rPr>
              <w:t>(Revisi 201</w:t>
            </w:r>
            <w:r w:rsidR="00451B30" w:rsidRPr="007F3D33">
              <w:rPr>
                <w:bCs w:val="0"/>
                <w:sz w:val="18"/>
                <w:szCs w:val="18"/>
                <w:lang w:val="id-ID"/>
              </w:rPr>
              <w:t>4</w:t>
            </w:r>
            <w:r w:rsidRPr="007F3D33">
              <w:rPr>
                <w:bCs w:val="0"/>
                <w:sz w:val="18"/>
                <w:szCs w:val="18"/>
              </w:rPr>
              <w:t>)</w:t>
            </w:r>
            <w:r w:rsidR="00600BA9">
              <w:rPr>
                <w:bCs w:val="0"/>
                <w:sz w:val="18"/>
                <w:szCs w:val="18"/>
              </w:rPr>
              <w:t>,</w:t>
            </w:r>
            <w:r w:rsidRPr="007F3D33">
              <w:rPr>
                <w:bCs w:val="0"/>
                <w:sz w:val="18"/>
                <w:szCs w:val="18"/>
              </w:rPr>
              <w:t xml:space="preserve"> Pajak Penghasilan”.</w:t>
            </w:r>
            <w:r w:rsidR="001C12BF" w:rsidRPr="007F3D33">
              <w:rPr>
                <w:bCs w:val="0"/>
                <w:sz w:val="18"/>
                <w:szCs w:val="18"/>
              </w:rPr>
              <w:t xml:space="preserve"> </w:t>
            </w:r>
            <w:r w:rsidRPr="007F3D33">
              <w:rPr>
                <w:bCs w:val="0"/>
                <w:sz w:val="18"/>
                <w:szCs w:val="18"/>
              </w:rPr>
              <w:t>Selain itu</w:t>
            </w:r>
            <w:r w:rsidR="00600BA9">
              <w:rPr>
                <w:bCs w:val="0"/>
                <w:sz w:val="18"/>
                <w:szCs w:val="18"/>
              </w:rPr>
              <w:t>,</w:t>
            </w:r>
            <w:r w:rsidRPr="007F3D33">
              <w:rPr>
                <w:bCs w:val="0"/>
                <w:sz w:val="18"/>
                <w:szCs w:val="18"/>
              </w:rPr>
              <w:t xml:space="preserve"> Kelompok Usaha juga menerapkan ISAK No. 20</w:t>
            </w:r>
            <w:r w:rsidR="00870FD0">
              <w:rPr>
                <w:bCs w:val="0"/>
                <w:sz w:val="18"/>
                <w:szCs w:val="18"/>
              </w:rPr>
              <w:t>.</w:t>
            </w:r>
            <w:r w:rsidRPr="007F3D33">
              <w:rPr>
                <w:bCs w:val="0"/>
                <w:sz w:val="18"/>
                <w:szCs w:val="18"/>
              </w:rPr>
              <w:t xml:space="preserve"> “Pajak Penghasilan: Perubahan Dalam Status Pajak Entitas atau Para Pemegang Saham”.</w:t>
            </w:r>
          </w:p>
        </w:tc>
        <w:tc>
          <w:tcPr>
            <w:tcW w:w="4598" w:type="dxa"/>
          </w:tcPr>
          <w:p w14:paraId="0C9732F9" w14:textId="437DABDF" w:rsidR="00D144B1" w:rsidRPr="007F3D33" w:rsidRDefault="005E0E6C" w:rsidP="00600BA9">
            <w:pPr>
              <w:ind w:left="567" w:right="-57"/>
              <w:jc w:val="both"/>
              <w:rPr>
                <w:bCs w:val="0"/>
                <w:i/>
                <w:sz w:val="18"/>
                <w:szCs w:val="18"/>
              </w:rPr>
            </w:pPr>
            <w:r w:rsidRPr="007F3D33">
              <w:rPr>
                <w:bCs w:val="0"/>
                <w:i/>
                <w:sz w:val="18"/>
                <w:szCs w:val="18"/>
              </w:rPr>
              <w:t>The Group a</w:t>
            </w:r>
            <w:r w:rsidR="00451B30" w:rsidRPr="007F3D33">
              <w:rPr>
                <w:bCs w:val="0"/>
                <w:i/>
                <w:sz w:val="18"/>
                <w:szCs w:val="18"/>
              </w:rPr>
              <w:t>dopted PSAK No. 46 (Revised 201</w:t>
            </w:r>
            <w:r w:rsidR="00451B30" w:rsidRPr="007F3D33">
              <w:rPr>
                <w:bCs w:val="0"/>
                <w:i/>
                <w:sz w:val="18"/>
                <w:szCs w:val="18"/>
                <w:lang w:val="id-ID"/>
              </w:rPr>
              <w:t>4</w:t>
            </w:r>
            <w:r w:rsidRPr="007F3D33">
              <w:rPr>
                <w:bCs w:val="0"/>
                <w:i/>
                <w:sz w:val="18"/>
                <w:szCs w:val="18"/>
              </w:rPr>
              <w:t>)</w:t>
            </w:r>
            <w:r w:rsidR="00600BA9">
              <w:rPr>
                <w:bCs w:val="0"/>
                <w:i/>
                <w:sz w:val="18"/>
                <w:szCs w:val="18"/>
              </w:rPr>
              <w:t>,</w:t>
            </w:r>
            <w:r w:rsidRPr="007F3D33">
              <w:rPr>
                <w:bCs w:val="0"/>
                <w:i/>
                <w:sz w:val="18"/>
                <w:szCs w:val="18"/>
              </w:rPr>
              <w:t xml:space="preserve"> “Income Taxes”. Besides</w:t>
            </w:r>
            <w:r w:rsidR="00600BA9">
              <w:rPr>
                <w:bCs w:val="0"/>
                <w:i/>
                <w:sz w:val="18"/>
                <w:szCs w:val="18"/>
              </w:rPr>
              <w:t>,</w:t>
            </w:r>
            <w:r w:rsidRPr="007F3D33">
              <w:rPr>
                <w:bCs w:val="0"/>
                <w:i/>
                <w:sz w:val="18"/>
                <w:szCs w:val="18"/>
              </w:rPr>
              <w:t xml:space="preserve"> the Group also adopted ISAK No. 20</w:t>
            </w:r>
            <w:r w:rsidR="00870FD0">
              <w:rPr>
                <w:bCs w:val="0"/>
                <w:i/>
                <w:sz w:val="18"/>
                <w:szCs w:val="18"/>
              </w:rPr>
              <w:t>.</w:t>
            </w:r>
            <w:r w:rsidRPr="007F3D33">
              <w:rPr>
                <w:bCs w:val="0"/>
                <w:i/>
                <w:sz w:val="18"/>
                <w:szCs w:val="18"/>
              </w:rPr>
              <w:t xml:space="preserve"> “Income Taxes: Changes in the Tax Status of an Enterprise or its Shareholders”.</w:t>
            </w:r>
          </w:p>
        </w:tc>
      </w:tr>
      <w:tr w:rsidR="00D144B1" w:rsidRPr="00F95661" w14:paraId="465D79AC" w14:textId="77777777" w:rsidTr="00CC2E72">
        <w:tc>
          <w:tcPr>
            <w:tcW w:w="4578" w:type="dxa"/>
          </w:tcPr>
          <w:p w14:paraId="3973BB3D" w14:textId="77777777" w:rsidR="00D144B1" w:rsidRPr="00F95661" w:rsidRDefault="00D144B1" w:rsidP="0013526B">
            <w:pPr>
              <w:ind w:left="624"/>
              <w:jc w:val="both"/>
              <w:rPr>
                <w:rStyle w:val="hps"/>
                <w:sz w:val="14"/>
                <w:szCs w:val="14"/>
              </w:rPr>
            </w:pPr>
          </w:p>
        </w:tc>
        <w:tc>
          <w:tcPr>
            <w:tcW w:w="4598" w:type="dxa"/>
          </w:tcPr>
          <w:p w14:paraId="27E2E44F" w14:textId="77777777" w:rsidR="00D144B1" w:rsidRPr="00F95661" w:rsidRDefault="00D144B1" w:rsidP="0013526B">
            <w:pPr>
              <w:ind w:left="624"/>
              <w:jc w:val="both"/>
              <w:rPr>
                <w:bCs w:val="0"/>
                <w:i/>
                <w:sz w:val="14"/>
                <w:szCs w:val="14"/>
              </w:rPr>
            </w:pPr>
          </w:p>
        </w:tc>
      </w:tr>
      <w:tr w:rsidR="005E0E6C" w:rsidRPr="007F3D33" w14:paraId="1D1134E6" w14:textId="77777777" w:rsidTr="00CC2E72">
        <w:tc>
          <w:tcPr>
            <w:tcW w:w="4578" w:type="dxa"/>
          </w:tcPr>
          <w:p w14:paraId="0B11A68F" w14:textId="77777777" w:rsidR="005E0E6C" w:rsidRPr="007F3D33" w:rsidRDefault="005E0E6C" w:rsidP="0013526B">
            <w:pPr>
              <w:ind w:left="567"/>
              <w:jc w:val="both"/>
              <w:rPr>
                <w:rStyle w:val="hps"/>
                <w:sz w:val="18"/>
                <w:szCs w:val="18"/>
              </w:rPr>
            </w:pPr>
            <w:r w:rsidRPr="007F3D33">
              <w:rPr>
                <w:b/>
                <w:bCs w:val="0"/>
                <w:sz w:val="18"/>
                <w:szCs w:val="18"/>
              </w:rPr>
              <w:t>Pengakuan</w:t>
            </w:r>
          </w:p>
        </w:tc>
        <w:tc>
          <w:tcPr>
            <w:tcW w:w="4598" w:type="dxa"/>
          </w:tcPr>
          <w:p w14:paraId="3F2F8514" w14:textId="77777777" w:rsidR="005E0E6C" w:rsidRPr="007F3D33" w:rsidRDefault="005E0E6C" w:rsidP="0013526B">
            <w:pPr>
              <w:ind w:left="567"/>
              <w:jc w:val="both"/>
              <w:rPr>
                <w:bCs w:val="0"/>
                <w:i/>
                <w:sz w:val="18"/>
                <w:szCs w:val="18"/>
              </w:rPr>
            </w:pPr>
            <w:r w:rsidRPr="007F3D33">
              <w:rPr>
                <w:b/>
                <w:bCs w:val="0"/>
                <w:i/>
                <w:sz w:val="18"/>
                <w:szCs w:val="18"/>
              </w:rPr>
              <w:t>Recognition</w:t>
            </w:r>
          </w:p>
        </w:tc>
      </w:tr>
      <w:tr w:rsidR="002E24E1" w:rsidRPr="007F3D33" w14:paraId="23964354" w14:textId="77777777" w:rsidTr="00CC2E72">
        <w:tc>
          <w:tcPr>
            <w:tcW w:w="4578" w:type="dxa"/>
          </w:tcPr>
          <w:p w14:paraId="38270CDC" w14:textId="77777777" w:rsidR="002E24E1" w:rsidRPr="007F3D33" w:rsidRDefault="002E24E1" w:rsidP="0013526B">
            <w:pPr>
              <w:ind w:left="624"/>
              <w:jc w:val="both"/>
              <w:rPr>
                <w:b/>
                <w:bCs w:val="0"/>
                <w:sz w:val="18"/>
                <w:szCs w:val="18"/>
              </w:rPr>
            </w:pPr>
          </w:p>
        </w:tc>
        <w:tc>
          <w:tcPr>
            <w:tcW w:w="4598" w:type="dxa"/>
          </w:tcPr>
          <w:p w14:paraId="4D251B54" w14:textId="77777777" w:rsidR="002E24E1" w:rsidRPr="007F3D33" w:rsidRDefault="002E24E1" w:rsidP="0013526B">
            <w:pPr>
              <w:ind w:left="624"/>
              <w:jc w:val="both"/>
              <w:rPr>
                <w:b/>
                <w:bCs w:val="0"/>
                <w:i/>
                <w:sz w:val="18"/>
                <w:szCs w:val="18"/>
              </w:rPr>
            </w:pPr>
          </w:p>
        </w:tc>
      </w:tr>
      <w:tr w:rsidR="00D144B1" w:rsidRPr="007F3D33" w14:paraId="14692B21" w14:textId="77777777" w:rsidTr="00CC2E72">
        <w:tc>
          <w:tcPr>
            <w:tcW w:w="4578" w:type="dxa"/>
          </w:tcPr>
          <w:p w14:paraId="56A1B0E0" w14:textId="182F2A39" w:rsidR="00D144B1" w:rsidRPr="007F3D33" w:rsidRDefault="005E0E6C" w:rsidP="00600BA9">
            <w:pPr>
              <w:widowControl w:val="0"/>
              <w:autoSpaceDE w:val="0"/>
              <w:autoSpaceDN w:val="0"/>
              <w:adjustRightInd w:val="0"/>
              <w:ind w:left="567" w:right="-57"/>
              <w:jc w:val="both"/>
              <w:rPr>
                <w:rStyle w:val="hps"/>
                <w:sz w:val="18"/>
                <w:szCs w:val="18"/>
              </w:rPr>
            </w:pPr>
            <w:r w:rsidRPr="007F3D33">
              <w:rPr>
                <w:bCs w:val="0"/>
                <w:sz w:val="18"/>
                <w:szCs w:val="18"/>
              </w:rPr>
              <w:t>Jumlah pajak kini untuk periode kini</w:t>
            </w:r>
            <w:r w:rsidR="001C12BF" w:rsidRPr="007F3D33">
              <w:rPr>
                <w:bCs w:val="0"/>
                <w:sz w:val="18"/>
                <w:szCs w:val="18"/>
              </w:rPr>
              <w:t xml:space="preserve"> </w:t>
            </w:r>
            <w:r w:rsidRPr="007F3D33">
              <w:rPr>
                <w:bCs w:val="0"/>
                <w:sz w:val="18"/>
                <w:szCs w:val="18"/>
              </w:rPr>
              <w:t>dan periode sebelumnya</w:t>
            </w:r>
            <w:r w:rsidR="00600BA9">
              <w:rPr>
                <w:bCs w:val="0"/>
                <w:sz w:val="18"/>
                <w:szCs w:val="18"/>
              </w:rPr>
              <w:t>,</w:t>
            </w:r>
            <w:r w:rsidRPr="007F3D33">
              <w:rPr>
                <w:bCs w:val="0"/>
                <w:sz w:val="18"/>
                <w:szCs w:val="18"/>
              </w:rPr>
              <w:t xml:space="preserve"> </w:t>
            </w:r>
            <w:r w:rsidRPr="007F3D33">
              <w:rPr>
                <w:rStyle w:val="hps"/>
                <w:sz w:val="18"/>
                <w:szCs w:val="18"/>
              </w:rPr>
              <w:t>yang</w:t>
            </w:r>
            <w:r w:rsidRPr="007F3D33">
              <w:rPr>
                <w:bCs w:val="0"/>
                <w:sz w:val="18"/>
                <w:szCs w:val="18"/>
              </w:rPr>
              <w:t xml:space="preserve"> belum dibayar</w:t>
            </w:r>
            <w:r w:rsidR="00870FD0">
              <w:rPr>
                <w:bCs w:val="0"/>
                <w:sz w:val="18"/>
                <w:szCs w:val="18"/>
              </w:rPr>
              <w:t>.</w:t>
            </w:r>
            <w:r w:rsidR="001C12BF" w:rsidRPr="007F3D33">
              <w:rPr>
                <w:bCs w:val="0"/>
                <w:sz w:val="18"/>
                <w:szCs w:val="18"/>
              </w:rPr>
              <w:t xml:space="preserve"> </w:t>
            </w:r>
            <w:proofErr w:type="gramStart"/>
            <w:r w:rsidRPr="007F3D33">
              <w:rPr>
                <w:bCs w:val="0"/>
                <w:sz w:val="18"/>
                <w:szCs w:val="18"/>
              </w:rPr>
              <w:t>diakui</w:t>
            </w:r>
            <w:proofErr w:type="gramEnd"/>
            <w:r w:rsidRPr="007F3D33">
              <w:rPr>
                <w:bCs w:val="0"/>
                <w:sz w:val="18"/>
                <w:szCs w:val="18"/>
              </w:rPr>
              <w:t xml:space="preserve"> sebagai liabilitas. Apabila jumlah pajak yang telah dibayar untuk</w:t>
            </w:r>
            <w:r w:rsidR="001C12BF" w:rsidRPr="007F3D33">
              <w:rPr>
                <w:bCs w:val="0"/>
                <w:sz w:val="18"/>
                <w:szCs w:val="18"/>
              </w:rPr>
              <w:t xml:space="preserve"> </w:t>
            </w:r>
            <w:r w:rsidRPr="007F3D33">
              <w:rPr>
                <w:bCs w:val="0"/>
                <w:sz w:val="18"/>
                <w:szCs w:val="18"/>
              </w:rPr>
              <w:t>periode</w:t>
            </w:r>
            <w:r w:rsidR="001C12BF" w:rsidRPr="007F3D33">
              <w:rPr>
                <w:bCs w:val="0"/>
                <w:sz w:val="18"/>
                <w:szCs w:val="18"/>
              </w:rPr>
              <w:t xml:space="preserve"> </w:t>
            </w:r>
            <w:r w:rsidRPr="007F3D33">
              <w:rPr>
                <w:bCs w:val="0"/>
                <w:sz w:val="18"/>
                <w:szCs w:val="18"/>
              </w:rPr>
              <w:t>kini dan</w:t>
            </w:r>
            <w:r w:rsidR="001C12BF" w:rsidRPr="007F3D33">
              <w:rPr>
                <w:bCs w:val="0"/>
                <w:sz w:val="18"/>
                <w:szCs w:val="18"/>
              </w:rPr>
              <w:t xml:space="preserve"> </w:t>
            </w:r>
            <w:r w:rsidRPr="007F3D33">
              <w:rPr>
                <w:bCs w:val="0"/>
                <w:sz w:val="18"/>
                <w:szCs w:val="18"/>
              </w:rPr>
              <w:t>periode</w:t>
            </w:r>
            <w:r w:rsidR="00037369" w:rsidRPr="007F3D33">
              <w:rPr>
                <w:bCs w:val="0"/>
                <w:sz w:val="18"/>
                <w:szCs w:val="18"/>
              </w:rPr>
              <w:t>-</w:t>
            </w:r>
            <w:r w:rsidRPr="007F3D33">
              <w:rPr>
                <w:bCs w:val="0"/>
                <w:sz w:val="18"/>
                <w:szCs w:val="18"/>
              </w:rPr>
              <w:t>periode sebelumnya</w:t>
            </w:r>
            <w:r w:rsidR="001C12BF" w:rsidRPr="007F3D33">
              <w:rPr>
                <w:bCs w:val="0"/>
                <w:sz w:val="18"/>
                <w:szCs w:val="18"/>
              </w:rPr>
              <w:t xml:space="preserve"> </w:t>
            </w:r>
            <w:r w:rsidRPr="007F3D33">
              <w:rPr>
                <w:bCs w:val="0"/>
                <w:sz w:val="18"/>
                <w:szCs w:val="18"/>
              </w:rPr>
              <w:t>melebihi</w:t>
            </w:r>
            <w:r w:rsidR="001C12BF" w:rsidRPr="007F3D33">
              <w:rPr>
                <w:bCs w:val="0"/>
                <w:sz w:val="18"/>
                <w:szCs w:val="18"/>
              </w:rPr>
              <w:t xml:space="preserve"> </w:t>
            </w:r>
            <w:r w:rsidRPr="007F3D33">
              <w:rPr>
                <w:bCs w:val="0"/>
                <w:sz w:val="18"/>
                <w:szCs w:val="18"/>
              </w:rPr>
              <w:t>jumlah</w:t>
            </w:r>
            <w:r w:rsidR="001C12BF" w:rsidRPr="007F3D33">
              <w:rPr>
                <w:bCs w:val="0"/>
                <w:sz w:val="18"/>
                <w:szCs w:val="18"/>
              </w:rPr>
              <w:t xml:space="preserve"> </w:t>
            </w:r>
            <w:r w:rsidRPr="007F3D33">
              <w:rPr>
                <w:bCs w:val="0"/>
                <w:sz w:val="18"/>
                <w:szCs w:val="18"/>
              </w:rPr>
              <w:t>pajak</w:t>
            </w:r>
            <w:r w:rsidR="001C12BF" w:rsidRPr="007F3D33">
              <w:rPr>
                <w:bCs w:val="0"/>
                <w:sz w:val="18"/>
                <w:szCs w:val="18"/>
              </w:rPr>
              <w:t xml:space="preserve"> </w:t>
            </w:r>
            <w:r w:rsidRPr="007F3D33">
              <w:rPr>
                <w:bCs w:val="0"/>
                <w:sz w:val="18"/>
                <w:szCs w:val="18"/>
              </w:rPr>
              <w:t>yang</w:t>
            </w:r>
            <w:r w:rsidR="001C12BF" w:rsidRPr="007F3D33">
              <w:rPr>
                <w:bCs w:val="0"/>
                <w:sz w:val="18"/>
                <w:szCs w:val="18"/>
              </w:rPr>
              <w:t xml:space="preserve"> </w:t>
            </w:r>
            <w:r w:rsidRPr="007F3D33">
              <w:rPr>
                <w:bCs w:val="0"/>
                <w:sz w:val="18"/>
                <w:szCs w:val="18"/>
              </w:rPr>
              <w:t>terhutang</w:t>
            </w:r>
            <w:r w:rsidR="001C12BF" w:rsidRPr="007F3D33">
              <w:rPr>
                <w:bCs w:val="0"/>
                <w:sz w:val="18"/>
                <w:szCs w:val="18"/>
              </w:rPr>
              <w:t xml:space="preserve"> </w:t>
            </w:r>
            <w:r w:rsidRPr="007F3D33">
              <w:rPr>
                <w:bCs w:val="0"/>
                <w:sz w:val="18"/>
                <w:szCs w:val="18"/>
              </w:rPr>
              <w:t>untuk periode</w:t>
            </w:r>
            <w:r w:rsidR="00037369" w:rsidRPr="007F3D33">
              <w:rPr>
                <w:bCs w:val="0"/>
                <w:sz w:val="18"/>
                <w:szCs w:val="18"/>
              </w:rPr>
              <w:t>-</w:t>
            </w:r>
            <w:r w:rsidRPr="007F3D33">
              <w:rPr>
                <w:bCs w:val="0"/>
                <w:sz w:val="18"/>
                <w:szCs w:val="18"/>
              </w:rPr>
              <w:t>periode tersebut</w:t>
            </w:r>
            <w:r w:rsidR="00600BA9">
              <w:rPr>
                <w:bCs w:val="0"/>
                <w:sz w:val="18"/>
                <w:szCs w:val="18"/>
              </w:rPr>
              <w:t>,</w:t>
            </w:r>
            <w:r w:rsidRPr="007F3D33">
              <w:rPr>
                <w:bCs w:val="0"/>
                <w:sz w:val="18"/>
                <w:szCs w:val="18"/>
              </w:rPr>
              <w:t xml:space="preserve"> maka selisihnya diakui sebagai aset.</w:t>
            </w:r>
          </w:p>
        </w:tc>
        <w:tc>
          <w:tcPr>
            <w:tcW w:w="4598" w:type="dxa"/>
          </w:tcPr>
          <w:p w14:paraId="140B6688" w14:textId="7645CEA6" w:rsidR="00D144B1" w:rsidRPr="007F3D33" w:rsidRDefault="005E0E6C" w:rsidP="00600BA9">
            <w:pPr>
              <w:ind w:left="567" w:right="-57"/>
              <w:jc w:val="both"/>
              <w:rPr>
                <w:bCs w:val="0"/>
                <w:i/>
                <w:sz w:val="18"/>
                <w:szCs w:val="18"/>
              </w:rPr>
            </w:pPr>
            <w:r w:rsidRPr="007F3D33">
              <w:rPr>
                <w:bCs w:val="0"/>
                <w:i/>
                <w:sz w:val="18"/>
                <w:szCs w:val="18"/>
              </w:rPr>
              <w:t>Current tax for current and prior periods</w:t>
            </w:r>
            <w:r w:rsidR="00870FD0">
              <w:rPr>
                <w:bCs w:val="0"/>
                <w:i/>
                <w:sz w:val="18"/>
                <w:szCs w:val="18"/>
              </w:rPr>
              <w:t>.</w:t>
            </w:r>
            <w:r w:rsidRPr="007F3D33">
              <w:rPr>
                <w:bCs w:val="0"/>
                <w:i/>
                <w:sz w:val="18"/>
                <w:szCs w:val="18"/>
              </w:rPr>
              <w:t xml:space="preserve"> </w:t>
            </w:r>
            <w:proofErr w:type="gramStart"/>
            <w:r w:rsidRPr="007F3D33">
              <w:rPr>
                <w:bCs w:val="0"/>
                <w:i/>
                <w:sz w:val="18"/>
                <w:szCs w:val="18"/>
              </w:rPr>
              <w:t>to</w:t>
            </w:r>
            <w:proofErr w:type="gramEnd"/>
            <w:r w:rsidRPr="007F3D33">
              <w:rPr>
                <w:bCs w:val="0"/>
                <w:i/>
                <w:sz w:val="18"/>
                <w:szCs w:val="18"/>
              </w:rPr>
              <w:t xml:space="preserve"> the extent unpaid</w:t>
            </w:r>
            <w:r w:rsidR="00600BA9">
              <w:rPr>
                <w:bCs w:val="0"/>
                <w:i/>
                <w:sz w:val="18"/>
                <w:szCs w:val="18"/>
              </w:rPr>
              <w:t>,</w:t>
            </w:r>
            <w:r w:rsidRPr="007F3D33">
              <w:rPr>
                <w:bCs w:val="0"/>
                <w:i/>
                <w:sz w:val="18"/>
                <w:szCs w:val="18"/>
              </w:rPr>
              <w:t xml:space="preserve"> is recognized as a liability. If the amount already paid in respect of current and prior periods exceeds the amount due for those periods</w:t>
            </w:r>
            <w:r w:rsidR="00600BA9">
              <w:rPr>
                <w:bCs w:val="0"/>
                <w:i/>
                <w:sz w:val="18"/>
                <w:szCs w:val="18"/>
              </w:rPr>
              <w:t>,</w:t>
            </w:r>
            <w:r w:rsidRPr="007F3D33">
              <w:rPr>
                <w:bCs w:val="0"/>
                <w:i/>
                <w:sz w:val="18"/>
                <w:szCs w:val="18"/>
              </w:rPr>
              <w:t xml:space="preserve"> the excess is recognized as an asset.</w:t>
            </w:r>
          </w:p>
        </w:tc>
      </w:tr>
      <w:tr w:rsidR="00AE475E" w:rsidRPr="007F3D33" w14:paraId="228BF052" w14:textId="77777777" w:rsidTr="00CC2E72">
        <w:tc>
          <w:tcPr>
            <w:tcW w:w="4578" w:type="dxa"/>
          </w:tcPr>
          <w:p w14:paraId="21A83B8D" w14:textId="77777777" w:rsidR="00AE475E" w:rsidRPr="007F3D33" w:rsidRDefault="00AE475E" w:rsidP="0013526B">
            <w:pPr>
              <w:pStyle w:val="ListParagraph"/>
              <w:ind w:left="1242"/>
              <w:contextualSpacing/>
              <w:jc w:val="both"/>
              <w:rPr>
                <w:rStyle w:val="hps"/>
                <w:b/>
                <w:sz w:val="18"/>
                <w:szCs w:val="18"/>
              </w:rPr>
            </w:pPr>
          </w:p>
        </w:tc>
        <w:tc>
          <w:tcPr>
            <w:tcW w:w="4598" w:type="dxa"/>
          </w:tcPr>
          <w:p w14:paraId="4E014A4B" w14:textId="77777777" w:rsidR="00AE475E" w:rsidRPr="007F3D33" w:rsidRDefault="00AE475E" w:rsidP="0013526B">
            <w:pPr>
              <w:pStyle w:val="ListParagraph"/>
              <w:ind w:left="1242"/>
              <w:contextualSpacing/>
              <w:jc w:val="both"/>
              <w:rPr>
                <w:b/>
                <w:bCs w:val="0"/>
                <w:i/>
                <w:sz w:val="18"/>
                <w:szCs w:val="18"/>
              </w:rPr>
            </w:pPr>
          </w:p>
        </w:tc>
      </w:tr>
      <w:tr w:rsidR="00380E2D" w:rsidRPr="007F3D33" w14:paraId="30C3A14F" w14:textId="77777777" w:rsidTr="00CC2E72">
        <w:tc>
          <w:tcPr>
            <w:tcW w:w="4578" w:type="dxa"/>
          </w:tcPr>
          <w:p w14:paraId="6D8F41CB" w14:textId="77777777" w:rsidR="00380E2D" w:rsidRPr="007F3D33" w:rsidRDefault="00380E2D" w:rsidP="0013526B">
            <w:pPr>
              <w:widowControl w:val="0"/>
              <w:autoSpaceDE w:val="0"/>
              <w:autoSpaceDN w:val="0"/>
              <w:adjustRightInd w:val="0"/>
              <w:ind w:left="567" w:right="-57"/>
              <w:jc w:val="both"/>
              <w:rPr>
                <w:bCs w:val="0"/>
                <w:sz w:val="18"/>
                <w:szCs w:val="18"/>
              </w:rPr>
            </w:pPr>
            <w:r w:rsidRPr="007F3D33">
              <w:rPr>
                <w:bCs w:val="0"/>
                <w:sz w:val="18"/>
                <w:szCs w:val="18"/>
              </w:rPr>
              <w:t>Liabilitas pajak tangguhan diakui untuk semua perbedaan temporer kena pajak kecuali jika timbul perbedaan temporer kena pajak yang berasal dari:</w:t>
            </w:r>
          </w:p>
        </w:tc>
        <w:tc>
          <w:tcPr>
            <w:tcW w:w="4598" w:type="dxa"/>
          </w:tcPr>
          <w:p w14:paraId="2BDBF7F1" w14:textId="77777777" w:rsidR="00380E2D" w:rsidRPr="007F3D33" w:rsidRDefault="00380E2D" w:rsidP="0013526B">
            <w:pPr>
              <w:ind w:left="567" w:right="-57"/>
              <w:jc w:val="both"/>
              <w:rPr>
                <w:bCs w:val="0"/>
                <w:i/>
                <w:sz w:val="18"/>
                <w:szCs w:val="18"/>
              </w:rPr>
            </w:pPr>
            <w:r w:rsidRPr="007F3D33">
              <w:rPr>
                <w:bCs w:val="0"/>
                <w:i/>
                <w:sz w:val="18"/>
                <w:szCs w:val="18"/>
              </w:rPr>
              <w:t>Deferred tax liability is recognized for all taxable temporary differences unless the deferred tax liability arises from:</w:t>
            </w:r>
          </w:p>
        </w:tc>
      </w:tr>
      <w:tr w:rsidR="00380E2D" w:rsidRPr="007F3D33" w14:paraId="75D26952" w14:textId="77777777" w:rsidTr="00CC2E72">
        <w:tc>
          <w:tcPr>
            <w:tcW w:w="4578" w:type="dxa"/>
          </w:tcPr>
          <w:p w14:paraId="5C10157C" w14:textId="77777777" w:rsidR="00380E2D" w:rsidRPr="007F3D33" w:rsidRDefault="00380E2D" w:rsidP="005F361E">
            <w:pPr>
              <w:pStyle w:val="ListParagraph"/>
              <w:numPr>
                <w:ilvl w:val="0"/>
                <w:numId w:val="36"/>
              </w:numPr>
              <w:tabs>
                <w:tab w:val="left" w:pos="851"/>
                <w:tab w:val="left" w:pos="884"/>
              </w:tabs>
              <w:ind w:left="851" w:right="-57" w:hanging="284"/>
              <w:contextualSpacing/>
              <w:jc w:val="both"/>
              <w:rPr>
                <w:bCs w:val="0"/>
                <w:sz w:val="18"/>
                <w:szCs w:val="18"/>
              </w:rPr>
            </w:pPr>
            <w:r w:rsidRPr="007F3D33">
              <w:rPr>
                <w:bCs w:val="0"/>
                <w:sz w:val="18"/>
                <w:szCs w:val="18"/>
              </w:rPr>
              <w:t xml:space="preserve">pengakuan awal </w:t>
            </w:r>
            <w:r w:rsidRPr="007F3D33">
              <w:rPr>
                <w:bCs w:val="0"/>
                <w:i/>
                <w:sz w:val="18"/>
                <w:szCs w:val="18"/>
              </w:rPr>
              <w:t>goodwill</w:t>
            </w:r>
            <w:r w:rsidRPr="007F3D33">
              <w:rPr>
                <w:bCs w:val="0"/>
                <w:sz w:val="18"/>
                <w:szCs w:val="18"/>
              </w:rPr>
              <w:t xml:space="preserve"> ; atau</w:t>
            </w:r>
          </w:p>
        </w:tc>
        <w:tc>
          <w:tcPr>
            <w:tcW w:w="4598" w:type="dxa"/>
          </w:tcPr>
          <w:p w14:paraId="70152251" w14:textId="77777777" w:rsidR="00380E2D" w:rsidRPr="007F3D33" w:rsidRDefault="00380E2D" w:rsidP="005F361E">
            <w:pPr>
              <w:pStyle w:val="ListParagraph"/>
              <w:numPr>
                <w:ilvl w:val="0"/>
                <w:numId w:val="38"/>
              </w:numPr>
              <w:tabs>
                <w:tab w:val="left" w:pos="854"/>
              </w:tabs>
              <w:ind w:left="851" w:right="-57" w:hanging="284"/>
              <w:contextualSpacing/>
              <w:jc w:val="both"/>
              <w:rPr>
                <w:bCs w:val="0"/>
                <w:i/>
                <w:sz w:val="18"/>
                <w:szCs w:val="18"/>
              </w:rPr>
            </w:pPr>
            <w:r w:rsidRPr="007F3D33">
              <w:rPr>
                <w:bCs w:val="0"/>
                <w:i/>
                <w:sz w:val="18"/>
                <w:szCs w:val="18"/>
              </w:rPr>
              <w:t>initial recognition of goodwill;or</w:t>
            </w:r>
          </w:p>
        </w:tc>
      </w:tr>
      <w:tr w:rsidR="00380E2D" w:rsidRPr="007F3D33" w14:paraId="2F5C70AB" w14:textId="77777777" w:rsidTr="00CC2E72">
        <w:tc>
          <w:tcPr>
            <w:tcW w:w="4578" w:type="dxa"/>
          </w:tcPr>
          <w:p w14:paraId="241F5E36" w14:textId="77777777" w:rsidR="00380E2D" w:rsidRPr="007F3D33" w:rsidRDefault="00380E2D" w:rsidP="005F361E">
            <w:pPr>
              <w:pStyle w:val="ListParagraph"/>
              <w:numPr>
                <w:ilvl w:val="0"/>
                <w:numId w:val="36"/>
              </w:numPr>
              <w:tabs>
                <w:tab w:val="left" w:pos="851"/>
                <w:tab w:val="left" w:pos="884"/>
              </w:tabs>
              <w:ind w:left="851" w:right="-57" w:hanging="284"/>
              <w:contextualSpacing/>
              <w:jc w:val="both"/>
              <w:rPr>
                <w:bCs w:val="0"/>
                <w:sz w:val="18"/>
                <w:szCs w:val="18"/>
              </w:rPr>
            </w:pPr>
            <w:r w:rsidRPr="007F3D33">
              <w:rPr>
                <w:bCs w:val="0"/>
                <w:sz w:val="18"/>
                <w:szCs w:val="18"/>
              </w:rPr>
              <w:t>pada saat pengakuan awal aset atau liabilitas dalam transaksi yang</w:t>
            </w:r>
          </w:p>
        </w:tc>
        <w:tc>
          <w:tcPr>
            <w:tcW w:w="4598" w:type="dxa"/>
          </w:tcPr>
          <w:p w14:paraId="626DF4FD" w14:textId="77777777" w:rsidR="00380E2D" w:rsidRPr="007F3D33" w:rsidRDefault="00380E2D" w:rsidP="005F361E">
            <w:pPr>
              <w:pStyle w:val="ListParagraph"/>
              <w:numPr>
                <w:ilvl w:val="0"/>
                <w:numId w:val="38"/>
              </w:numPr>
              <w:tabs>
                <w:tab w:val="left" w:pos="854"/>
              </w:tabs>
              <w:ind w:left="851" w:right="-57" w:hanging="284"/>
              <w:contextualSpacing/>
              <w:jc w:val="both"/>
              <w:rPr>
                <w:bCs w:val="0"/>
                <w:i/>
                <w:sz w:val="18"/>
                <w:szCs w:val="18"/>
              </w:rPr>
            </w:pPr>
            <w:r w:rsidRPr="007F3D33">
              <w:rPr>
                <w:bCs w:val="0"/>
                <w:i/>
                <w:sz w:val="18"/>
                <w:szCs w:val="18"/>
              </w:rPr>
              <w:t>the initial recognition of an asset or liability of a transaction which</w:t>
            </w:r>
          </w:p>
        </w:tc>
      </w:tr>
      <w:tr w:rsidR="00380E2D" w:rsidRPr="00A928CB" w14:paraId="7FC28A7A" w14:textId="77777777" w:rsidTr="00CC2E72">
        <w:tc>
          <w:tcPr>
            <w:tcW w:w="4578" w:type="dxa"/>
          </w:tcPr>
          <w:p w14:paraId="085B1309" w14:textId="77777777" w:rsidR="00380E2D" w:rsidRPr="007F3D33" w:rsidRDefault="00380E2D" w:rsidP="005F361E">
            <w:pPr>
              <w:pStyle w:val="ListParagraph"/>
              <w:numPr>
                <w:ilvl w:val="0"/>
                <w:numId w:val="37"/>
              </w:numPr>
              <w:ind w:left="1106" w:right="-57" w:hanging="142"/>
              <w:contextualSpacing/>
              <w:jc w:val="both"/>
              <w:rPr>
                <w:bCs w:val="0"/>
                <w:sz w:val="18"/>
                <w:szCs w:val="18"/>
              </w:rPr>
            </w:pPr>
            <w:r w:rsidRPr="007F3D33">
              <w:rPr>
                <w:bCs w:val="0"/>
                <w:sz w:val="18"/>
                <w:szCs w:val="18"/>
              </w:rPr>
              <w:t>bukan dari transaksi kombinasi bisnis; dan</w:t>
            </w:r>
          </w:p>
        </w:tc>
        <w:tc>
          <w:tcPr>
            <w:tcW w:w="4598" w:type="dxa"/>
          </w:tcPr>
          <w:p w14:paraId="28F5FB9D" w14:textId="77777777" w:rsidR="00380E2D" w:rsidRPr="007F3D33" w:rsidRDefault="00380E2D" w:rsidP="005F361E">
            <w:pPr>
              <w:pStyle w:val="ListParagraph"/>
              <w:numPr>
                <w:ilvl w:val="0"/>
                <w:numId w:val="39"/>
              </w:numPr>
              <w:tabs>
                <w:tab w:val="left" w:pos="1137"/>
              </w:tabs>
              <w:ind w:left="1162" w:right="-57" w:hanging="170"/>
              <w:contextualSpacing/>
              <w:jc w:val="both"/>
              <w:rPr>
                <w:bCs w:val="0"/>
                <w:i/>
                <w:sz w:val="18"/>
                <w:szCs w:val="18"/>
              </w:rPr>
            </w:pPr>
            <w:r w:rsidRPr="007F3D33">
              <w:rPr>
                <w:bCs w:val="0"/>
                <w:i/>
                <w:sz w:val="18"/>
                <w:szCs w:val="18"/>
              </w:rPr>
              <w:t>other than in a business combination; and</w:t>
            </w:r>
          </w:p>
        </w:tc>
      </w:tr>
      <w:tr w:rsidR="00380E2D" w:rsidRPr="007F3D33" w14:paraId="7D903C1D" w14:textId="77777777" w:rsidTr="00CC2E72">
        <w:tc>
          <w:tcPr>
            <w:tcW w:w="4578" w:type="dxa"/>
          </w:tcPr>
          <w:p w14:paraId="65475F5B" w14:textId="21E8FE48" w:rsidR="00380E2D" w:rsidRPr="007F3D33" w:rsidRDefault="00380E2D" w:rsidP="00600BA9">
            <w:pPr>
              <w:pStyle w:val="ListParagraph"/>
              <w:numPr>
                <w:ilvl w:val="0"/>
                <w:numId w:val="37"/>
              </w:numPr>
              <w:ind w:left="1106" w:right="-57" w:hanging="142"/>
              <w:contextualSpacing/>
              <w:jc w:val="both"/>
              <w:rPr>
                <w:bCs w:val="0"/>
                <w:sz w:val="18"/>
                <w:szCs w:val="18"/>
              </w:rPr>
            </w:pPr>
            <w:proofErr w:type="gramStart"/>
            <w:r w:rsidRPr="007F3D33">
              <w:rPr>
                <w:bCs w:val="0"/>
                <w:sz w:val="18"/>
                <w:szCs w:val="18"/>
              </w:rPr>
              <w:t>pada</w:t>
            </w:r>
            <w:proofErr w:type="gramEnd"/>
            <w:r w:rsidRPr="007F3D33">
              <w:rPr>
                <w:bCs w:val="0"/>
                <w:sz w:val="18"/>
                <w:szCs w:val="18"/>
              </w:rPr>
              <w:t xml:space="preserve"> saat transaksi</w:t>
            </w:r>
            <w:r w:rsidR="00600BA9">
              <w:rPr>
                <w:bCs w:val="0"/>
                <w:sz w:val="18"/>
                <w:szCs w:val="18"/>
              </w:rPr>
              <w:t>,</w:t>
            </w:r>
            <w:r w:rsidRPr="007F3D33">
              <w:rPr>
                <w:bCs w:val="0"/>
                <w:sz w:val="18"/>
                <w:szCs w:val="18"/>
              </w:rPr>
              <w:t xml:space="preserve"> tidak mempengaruhi laba akuntansi dan laba kena pajak (rugi pajak).</w:t>
            </w:r>
          </w:p>
        </w:tc>
        <w:tc>
          <w:tcPr>
            <w:tcW w:w="4598" w:type="dxa"/>
          </w:tcPr>
          <w:p w14:paraId="7E221BC4" w14:textId="0DF3FA1C" w:rsidR="00380E2D" w:rsidRPr="007F3D33" w:rsidRDefault="00380E2D" w:rsidP="00600BA9">
            <w:pPr>
              <w:pStyle w:val="ListParagraph"/>
              <w:numPr>
                <w:ilvl w:val="0"/>
                <w:numId w:val="39"/>
              </w:numPr>
              <w:tabs>
                <w:tab w:val="left" w:pos="1137"/>
              </w:tabs>
              <w:ind w:left="1162" w:right="-57" w:hanging="170"/>
              <w:contextualSpacing/>
              <w:jc w:val="both"/>
              <w:rPr>
                <w:bCs w:val="0"/>
                <w:i/>
                <w:sz w:val="18"/>
                <w:szCs w:val="18"/>
              </w:rPr>
            </w:pPr>
            <w:proofErr w:type="gramStart"/>
            <w:r w:rsidRPr="007F3D33">
              <w:rPr>
                <w:bCs w:val="0"/>
                <w:i/>
                <w:sz w:val="18"/>
                <w:szCs w:val="18"/>
              </w:rPr>
              <w:t>at</w:t>
            </w:r>
            <w:proofErr w:type="gramEnd"/>
            <w:r w:rsidRPr="007F3D33">
              <w:rPr>
                <w:bCs w:val="0"/>
                <w:i/>
                <w:sz w:val="18"/>
                <w:szCs w:val="18"/>
              </w:rPr>
              <w:t xml:space="preserve"> the time of the transaction</w:t>
            </w:r>
            <w:r w:rsidR="00600BA9">
              <w:rPr>
                <w:bCs w:val="0"/>
                <w:i/>
                <w:sz w:val="18"/>
                <w:szCs w:val="18"/>
              </w:rPr>
              <w:t>,</w:t>
            </w:r>
            <w:r w:rsidRPr="007F3D33">
              <w:rPr>
                <w:bCs w:val="0"/>
                <w:i/>
                <w:sz w:val="18"/>
                <w:szCs w:val="18"/>
              </w:rPr>
              <w:t xml:space="preserve"> does not affect either the accounting or the taxable profit (fiscal loss).</w:t>
            </w:r>
          </w:p>
        </w:tc>
      </w:tr>
      <w:tr w:rsidR="00F95661" w:rsidRPr="0013526B" w14:paraId="25E58847" w14:textId="77777777" w:rsidTr="00CC2E72">
        <w:tc>
          <w:tcPr>
            <w:tcW w:w="4578" w:type="dxa"/>
          </w:tcPr>
          <w:p w14:paraId="16961C80" w14:textId="4F073D51" w:rsidR="00F95661" w:rsidRPr="00F95661" w:rsidRDefault="00F95661" w:rsidP="00600BA9">
            <w:pPr>
              <w:pStyle w:val="ListParagraph"/>
              <w:numPr>
                <w:ilvl w:val="0"/>
                <w:numId w:val="36"/>
              </w:numPr>
              <w:tabs>
                <w:tab w:val="left" w:pos="851"/>
                <w:tab w:val="left" w:pos="884"/>
              </w:tabs>
              <w:ind w:left="851" w:right="-57" w:hanging="284"/>
              <w:contextualSpacing/>
              <w:jc w:val="both"/>
              <w:rPr>
                <w:bCs w:val="0"/>
                <w:sz w:val="18"/>
                <w:szCs w:val="18"/>
              </w:rPr>
            </w:pPr>
            <w:proofErr w:type="gramStart"/>
            <w:r w:rsidRPr="00F95661">
              <w:rPr>
                <w:bCs w:val="0"/>
                <w:sz w:val="18"/>
                <w:szCs w:val="18"/>
              </w:rPr>
              <w:t>perbedaan</w:t>
            </w:r>
            <w:proofErr w:type="gramEnd"/>
            <w:r w:rsidRPr="00F95661">
              <w:rPr>
                <w:bCs w:val="0"/>
                <w:sz w:val="18"/>
                <w:szCs w:val="18"/>
              </w:rPr>
              <w:t xml:space="preserve"> temporer kena pajak terkait dengan investasi pada entitas anak</w:t>
            </w:r>
            <w:r w:rsidR="00600BA9">
              <w:rPr>
                <w:bCs w:val="0"/>
                <w:sz w:val="18"/>
                <w:szCs w:val="18"/>
              </w:rPr>
              <w:t>,</w:t>
            </w:r>
            <w:r w:rsidRPr="00F95661">
              <w:rPr>
                <w:bCs w:val="0"/>
                <w:sz w:val="18"/>
                <w:szCs w:val="18"/>
              </w:rPr>
              <w:t xml:space="preserve"> cabang dan entitas asosiasi</w:t>
            </w:r>
            <w:r w:rsidR="00600BA9">
              <w:rPr>
                <w:bCs w:val="0"/>
                <w:sz w:val="18"/>
                <w:szCs w:val="18"/>
              </w:rPr>
              <w:t>,</w:t>
            </w:r>
            <w:r w:rsidRPr="00F95661">
              <w:rPr>
                <w:bCs w:val="0"/>
                <w:sz w:val="18"/>
                <w:szCs w:val="18"/>
              </w:rPr>
              <w:t xml:space="preserve"> dan bagian partisipasi dalam pengaturan bersama</w:t>
            </w:r>
            <w:r w:rsidR="00600BA9">
              <w:rPr>
                <w:bCs w:val="0"/>
                <w:sz w:val="18"/>
                <w:szCs w:val="18"/>
              </w:rPr>
              <w:t>,</w:t>
            </w:r>
            <w:r w:rsidRPr="00F95661">
              <w:rPr>
                <w:bCs w:val="0"/>
                <w:sz w:val="18"/>
                <w:szCs w:val="18"/>
              </w:rPr>
              <w:t xml:space="preserve"> tetapi hanya sepanjang bahwa entitas mampu mengontrol waktu pembalikan perbedaan dan besar kemungkinan pembalikan tidak akan terjadi pada perkiraan masa mendatang.</w:t>
            </w:r>
          </w:p>
        </w:tc>
        <w:tc>
          <w:tcPr>
            <w:tcW w:w="4598" w:type="dxa"/>
          </w:tcPr>
          <w:p w14:paraId="17D01C97" w14:textId="537056EC" w:rsidR="00F95661" w:rsidRPr="00F95661" w:rsidRDefault="00F95661" w:rsidP="00600BA9">
            <w:pPr>
              <w:pStyle w:val="ListParagraph"/>
              <w:numPr>
                <w:ilvl w:val="0"/>
                <w:numId w:val="38"/>
              </w:numPr>
              <w:tabs>
                <w:tab w:val="left" w:pos="854"/>
              </w:tabs>
              <w:ind w:left="851" w:right="-57" w:hanging="284"/>
              <w:contextualSpacing/>
              <w:jc w:val="both"/>
              <w:rPr>
                <w:bCs w:val="0"/>
                <w:i/>
                <w:sz w:val="18"/>
                <w:szCs w:val="18"/>
              </w:rPr>
            </w:pPr>
            <w:proofErr w:type="gramStart"/>
            <w:r w:rsidRPr="00F95661">
              <w:rPr>
                <w:bCs w:val="0"/>
                <w:i/>
                <w:sz w:val="18"/>
                <w:szCs w:val="18"/>
              </w:rPr>
              <w:t>temporary</w:t>
            </w:r>
            <w:proofErr w:type="gramEnd"/>
            <w:r w:rsidRPr="00F95661">
              <w:rPr>
                <w:bCs w:val="0"/>
                <w:i/>
                <w:sz w:val="18"/>
                <w:szCs w:val="18"/>
              </w:rPr>
              <w:t xml:space="preserve"> differences associated with investments in subsidiaries</w:t>
            </w:r>
            <w:r w:rsidR="00600BA9">
              <w:rPr>
                <w:bCs w:val="0"/>
                <w:i/>
                <w:sz w:val="18"/>
                <w:szCs w:val="18"/>
              </w:rPr>
              <w:t>,</w:t>
            </w:r>
            <w:r w:rsidRPr="00F95661">
              <w:rPr>
                <w:bCs w:val="0"/>
                <w:i/>
                <w:sz w:val="18"/>
                <w:szCs w:val="18"/>
              </w:rPr>
              <w:t xml:space="preserve"> branches</w:t>
            </w:r>
            <w:r w:rsidR="00600BA9">
              <w:rPr>
                <w:bCs w:val="0"/>
                <w:i/>
                <w:sz w:val="18"/>
                <w:szCs w:val="18"/>
              </w:rPr>
              <w:t>,</w:t>
            </w:r>
            <w:r w:rsidRPr="00F95661">
              <w:rPr>
                <w:bCs w:val="0"/>
                <w:i/>
                <w:sz w:val="18"/>
                <w:szCs w:val="18"/>
              </w:rPr>
              <w:t xml:space="preserve"> and associates</w:t>
            </w:r>
            <w:r w:rsidR="00600BA9">
              <w:rPr>
                <w:bCs w:val="0"/>
                <w:i/>
                <w:sz w:val="18"/>
                <w:szCs w:val="18"/>
              </w:rPr>
              <w:t>,</w:t>
            </w:r>
            <w:r w:rsidRPr="00F95661">
              <w:rPr>
                <w:bCs w:val="0"/>
                <w:i/>
                <w:sz w:val="18"/>
                <w:szCs w:val="18"/>
              </w:rPr>
              <w:t xml:space="preserve"> and interests in joint arrangements</w:t>
            </w:r>
            <w:r w:rsidR="00600BA9">
              <w:rPr>
                <w:bCs w:val="0"/>
                <w:i/>
                <w:sz w:val="18"/>
                <w:szCs w:val="18"/>
              </w:rPr>
              <w:t>,</w:t>
            </w:r>
            <w:r w:rsidRPr="00F95661">
              <w:rPr>
                <w:bCs w:val="0"/>
                <w:i/>
                <w:sz w:val="18"/>
                <w:szCs w:val="18"/>
              </w:rPr>
              <w:t xml:space="preserve"> but only to the extent that the entity is able to control the timing of the reversal of the differences and it is probable that the reversal will not occur in the foreseeable future.</w:t>
            </w:r>
          </w:p>
        </w:tc>
      </w:tr>
      <w:tr w:rsidR="00F95661" w:rsidRPr="0013526B" w14:paraId="7F935AD3" w14:textId="77777777" w:rsidTr="00CC2E72">
        <w:tc>
          <w:tcPr>
            <w:tcW w:w="4578" w:type="dxa"/>
          </w:tcPr>
          <w:p w14:paraId="71A9C0D7" w14:textId="77777777" w:rsidR="00F95661" w:rsidRPr="00F95661" w:rsidRDefault="00F95661" w:rsidP="00F95661">
            <w:pPr>
              <w:pStyle w:val="ListParagraph"/>
              <w:ind w:left="1106" w:right="-57" w:hanging="142"/>
              <w:contextualSpacing/>
              <w:jc w:val="both"/>
              <w:rPr>
                <w:bCs w:val="0"/>
                <w:sz w:val="18"/>
                <w:szCs w:val="18"/>
              </w:rPr>
            </w:pPr>
          </w:p>
        </w:tc>
        <w:tc>
          <w:tcPr>
            <w:tcW w:w="4598" w:type="dxa"/>
          </w:tcPr>
          <w:p w14:paraId="1857E906" w14:textId="77777777" w:rsidR="00F95661" w:rsidRPr="00F95661" w:rsidRDefault="00F95661" w:rsidP="00F95661">
            <w:pPr>
              <w:pStyle w:val="ListParagraph"/>
              <w:tabs>
                <w:tab w:val="left" w:pos="1137"/>
              </w:tabs>
              <w:ind w:left="1162" w:right="-57" w:hanging="170"/>
              <w:contextualSpacing/>
              <w:jc w:val="both"/>
              <w:rPr>
                <w:bCs w:val="0"/>
                <w:i/>
                <w:sz w:val="18"/>
                <w:szCs w:val="18"/>
              </w:rPr>
            </w:pPr>
          </w:p>
        </w:tc>
      </w:tr>
      <w:tr w:rsidR="00F95661" w:rsidRPr="0013526B" w14:paraId="399440DD" w14:textId="77777777" w:rsidTr="00CC2E72">
        <w:tc>
          <w:tcPr>
            <w:tcW w:w="4578" w:type="dxa"/>
          </w:tcPr>
          <w:p w14:paraId="53105413" w14:textId="393D692F" w:rsidR="00F95661" w:rsidRPr="00F95661" w:rsidRDefault="00F95661" w:rsidP="00600BA9">
            <w:pPr>
              <w:pStyle w:val="ListParagraph"/>
              <w:ind w:left="709" w:right="-57" w:firstLine="6"/>
              <w:contextualSpacing/>
              <w:jc w:val="both"/>
              <w:rPr>
                <w:bCs w:val="0"/>
                <w:sz w:val="18"/>
                <w:szCs w:val="18"/>
              </w:rPr>
            </w:pPr>
            <w:r w:rsidRPr="00F95661">
              <w:rPr>
                <w:bCs w:val="0"/>
                <w:sz w:val="18"/>
                <w:szCs w:val="18"/>
              </w:rPr>
              <w:t>Aset pajak tangguhan diakui untuk seluruh perbedaan temporer dapat dikurangkan</w:t>
            </w:r>
            <w:r w:rsidR="00600BA9">
              <w:rPr>
                <w:bCs w:val="0"/>
                <w:sz w:val="18"/>
                <w:szCs w:val="18"/>
              </w:rPr>
              <w:t>,</w:t>
            </w:r>
            <w:r w:rsidRPr="00F95661">
              <w:rPr>
                <w:bCs w:val="0"/>
                <w:sz w:val="18"/>
                <w:szCs w:val="18"/>
              </w:rPr>
              <w:t xml:space="preserve"> kerugian fiskal dan kredit pajak yang belum dimanfaatkan sepanjang besar kemungkinan akan ada laba kena pajak akan tersedia dalam jumlah yang cukup memadai sehingga perbedaan temporer dapat dikurangkan tersebut dapat dimanfaatkan kecuali jika timbul perbedaan temporer dapat dikurangkan yang berasal dari:</w:t>
            </w:r>
          </w:p>
        </w:tc>
        <w:tc>
          <w:tcPr>
            <w:tcW w:w="4598" w:type="dxa"/>
          </w:tcPr>
          <w:p w14:paraId="34764DD2" w14:textId="53F1DAD4" w:rsidR="00F95661" w:rsidRPr="00F95661" w:rsidRDefault="00F95661" w:rsidP="00600BA9">
            <w:pPr>
              <w:pStyle w:val="ListParagraph"/>
              <w:tabs>
                <w:tab w:val="left" w:pos="1137"/>
              </w:tabs>
              <w:ind w:left="737" w:right="-57" w:hanging="9"/>
              <w:contextualSpacing/>
              <w:jc w:val="both"/>
              <w:rPr>
                <w:bCs w:val="0"/>
                <w:i/>
                <w:sz w:val="18"/>
                <w:szCs w:val="18"/>
              </w:rPr>
            </w:pPr>
            <w:r w:rsidRPr="00F95661">
              <w:rPr>
                <w:bCs w:val="0"/>
                <w:i/>
                <w:sz w:val="18"/>
                <w:szCs w:val="18"/>
              </w:rPr>
              <w:t>Deferred tax asset is recognized for deductible temporary differences</w:t>
            </w:r>
            <w:r w:rsidR="00600BA9">
              <w:rPr>
                <w:bCs w:val="0"/>
                <w:i/>
                <w:sz w:val="18"/>
                <w:szCs w:val="18"/>
              </w:rPr>
              <w:t>,</w:t>
            </w:r>
            <w:r w:rsidRPr="00F95661">
              <w:rPr>
                <w:bCs w:val="0"/>
                <w:i/>
                <w:sz w:val="18"/>
                <w:szCs w:val="18"/>
              </w:rPr>
              <w:t xml:space="preserve"> unused tax losses and unused tax credits to the extent that it is probable that taxable profit will be available against which the deductible temporary differences can be utilized unless the deferred tax asset arises from:</w:t>
            </w:r>
          </w:p>
        </w:tc>
      </w:tr>
      <w:tr w:rsidR="00F95661" w:rsidRPr="0013526B" w14:paraId="398B03F2" w14:textId="77777777" w:rsidTr="00CC2E72">
        <w:tc>
          <w:tcPr>
            <w:tcW w:w="4578" w:type="dxa"/>
          </w:tcPr>
          <w:p w14:paraId="77BB231A" w14:textId="77777777" w:rsidR="00F95661" w:rsidRPr="00F95661" w:rsidRDefault="00F95661" w:rsidP="00F95661">
            <w:pPr>
              <w:pStyle w:val="ListParagraph"/>
              <w:ind w:left="709" w:right="-57" w:firstLine="6"/>
              <w:contextualSpacing/>
              <w:jc w:val="both"/>
              <w:rPr>
                <w:bCs w:val="0"/>
                <w:sz w:val="18"/>
                <w:szCs w:val="18"/>
              </w:rPr>
            </w:pPr>
          </w:p>
        </w:tc>
        <w:tc>
          <w:tcPr>
            <w:tcW w:w="4598" w:type="dxa"/>
          </w:tcPr>
          <w:p w14:paraId="613E9946" w14:textId="77777777" w:rsidR="00F95661" w:rsidRPr="00F95661" w:rsidRDefault="00F95661" w:rsidP="00F95661">
            <w:pPr>
              <w:pStyle w:val="ListParagraph"/>
              <w:tabs>
                <w:tab w:val="left" w:pos="1137"/>
              </w:tabs>
              <w:ind w:left="737" w:right="-57" w:hanging="9"/>
              <w:contextualSpacing/>
              <w:jc w:val="both"/>
              <w:rPr>
                <w:bCs w:val="0"/>
                <w:i/>
                <w:sz w:val="18"/>
                <w:szCs w:val="18"/>
              </w:rPr>
            </w:pPr>
          </w:p>
        </w:tc>
      </w:tr>
      <w:tr w:rsidR="00F95661" w:rsidRPr="0013526B" w14:paraId="0EDD4A87" w14:textId="77777777" w:rsidTr="00CC2E72">
        <w:tc>
          <w:tcPr>
            <w:tcW w:w="4578" w:type="dxa"/>
          </w:tcPr>
          <w:p w14:paraId="34358700" w14:textId="77777777" w:rsidR="00F95661" w:rsidRPr="00F95661" w:rsidRDefault="00F95661" w:rsidP="00070D1F">
            <w:pPr>
              <w:pStyle w:val="ListParagraph"/>
              <w:numPr>
                <w:ilvl w:val="0"/>
                <w:numId w:val="79"/>
              </w:numPr>
              <w:tabs>
                <w:tab w:val="left" w:pos="851"/>
                <w:tab w:val="left" w:pos="884"/>
              </w:tabs>
              <w:ind w:left="851" w:right="-57" w:hanging="284"/>
              <w:contextualSpacing/>
              <w:jc w:val="both"/>
              <w:rPr>
                <w:bCs w:val="0"/>
                <w:sz w:val="18"/>
                <w:szCs w:val="18"/>
              </w:rPr>
            </w:pPr>
            <w:r w:rsidRPr="00F95661">
              <w:rPr>
                <w:bCs w:val="0"/>
                <w:sz w:val="18"/>
                <w:szCs w:val="18"/>
              </w:rPr>
              <w:t>pengakuan awal aset atau pengakuan awal liabilitas dalam transaksi yang:</w:t>
            </w:r>
          </w:p>
        </w:tc>
        <w:tc>
          <w:tcPr>
            <w:tcW w:w="4598" w:type="dxa"/>
          </w:tcPr>
          <w:p w14:paraId="0488CAEB" w14:textId="77777777" w:rsidR="00F95661" w:rsidRPr="00F95661" w:rsidRDefault="00F95661" w:rsidP="00070D1F">
            <w:pPr>
              <w:pStyle w:val="ListParagraph"/>
              <w:numPr>
                <w:ilvl w:val="0"/>
                <w:numId w:val="81"/>
              </w:numPr>
              <w:tabs>
                <w:tab w:val="left" w:pos="854"/>
              </w:tabs>
              <w:ind w:left="851" w:right="-57" w:hanging="284"/>
              <w:contextualSpacing/>
              <w:jc w:val="both"/>
              <w:rPr>
                <w:bCs w:val="0"/>
                <w:i/>
                <w:sz w:val="18"/>
                <w:szCs w:val="18"/>
              </w:rPr>
            </w:pPr>
            <w:r w:rsidRPr="00F95661">
              <w:rPr>
                <w:bCs w:val="0"/>
                <w:i/>
                <w:sz w:val="18"/>
                <w:szCs w:val="18"/>
              </w:rPr>
              <w:t>the initial recognition of an asset or liability of a transaction which</w:t>
            </w:r>
          </w:p>
        </w:tc>
      </w:tr>
      <w:tr w:rsidR="00F95661" w:rsidRPr="0013526B" w14:paraId="21268D8E" w14:textId="77777777" w:rsidTr="00CC2E72">
        <w:tc>
          <w:tcPr>
            <w:tcW w:w="4578" w:type="dxa"/>
          </w:tcPr>
          <w:p w14:paraId="5A80D683" w14:textId="77777777" w:rsidR="00F95661" w:rsidRPr="00F95661" w:rsidRDefault="00F95661" w:rsidP="00070D1F">
            <w:pPr>
              <w:pStyle w:val="ListParagraph"/>
              <w:numPr>
                <w:ilvl w:val="0"/>
                <w:numId w:val="78"/>
              </w:numPr>
              <w:ind w:left="1106" w:right="-57" w:hanging="142"/>
              <w:contextualSpacing/>
              <w:jc w:val="both"/>
              <w:rPr>
                <w:bCs w:val="0"/>
                <w:sz w:val="18"/>
                <w:szCs w:val="18"/>
              </w:rPr>
            </w:pPr>
            <w:r w:rsidRPr="00F95661">
              <w:rPr>
                <w:bCs w:val="0"/>
                <w:sz w:val="18"/>
                <w:szCs w:val="18"/>
              </w:rPr>
              <w:t>bukan dari transaksi kombinasi bisnis; dan</w:t>
            </w:r>
          </w:p>
        </w:tc>
        <w:tc>
          <w:tcPr>
            <w:tcW w:w="4598" w:type="dxa"/>
          </w:tcPr>
          <w:p w14:paraId="1BB245A5" w14:textId="77777777" w:rsidR="00F95661" w:rsidRPr="00F95661" w:rsidRDefault="00F95661" w:rsidP="00070D1F">
            <w:pPr>
              <w:pStyle w:val="ListParagraph"/>
              <w:numPr>
                <w:ilvl w:val="0"/>
                <w:numId w:val="82"/>
              </w:numPr>
              <w:tabs>
                <w:tab w:val="left" w:pos="1137"/>
              </w:tabs>
              <w:ind w:left="1162" w:right="-57" w:hanging="170"/>
              <w:contextualSpacing/>
              <w:jc w:val="both"/>
              <w:rPr>
                <w:bCs w:val="0"/>
                <w:i/>
                <w:sz w:val="18"/>
                <w:szCs w:val="18"/>
              </w:rPr>
            </w:pPr>
            <w:r w:rsidRPr="00F95661">
              <w:rPr>
                <w:bCs w:val="0"/>
                <w:i/>
                <w:sz w:val="18"/>
                <w:szCs w:val="18"/>
              </w:rPr>
              <w:t>other than in a business combination; and</w:t>
            </w:r>
          </w:p>
        </w:tc>
      </w:tr>
      <w:tr w:rsidR="00F95661" w:rsidRPr="0013526B" w14:paraId="5F1994A6" w14:textId="77777777" w:rsidTr="00CC2E72">
        <w:tc>
          <w:tcPr>
            <w:tcW w:w="4578" w:type="dxa"/>
          </w:tcPr>
          <w:p w14:paraId="5F11466B" w14:textId="337BDB48" w:rsidR="00F95661" w:rsidRPr="00F95661" w:rsidRDefault="00F95661" w:rsidP="00070D1F">
            <w:pPr>
              <w:pStyle w:val="ListParagraph"/>
              <w:numPr>
                <w:ilvl w:val="0"/>
                <w:numId w:val="78"/>
              </w:numPr>
              <w:ind w:left="1106" w:right="-57" w:hanging="142"/>
              <w:contextualSpacing/>
              <w:jc w:val="both"/>
              <w:rPr>
                <w:bCs w:val="0"/>
                <w:sz w:val="18"/>
                <w:szCs w:val="18"/>
              </w:rPr>
            </w:pPr>
            <w:proofErr w:type="gramStart"/>
            <w:r w:rsidRPr="00F95661">
              <w:rPr>
                <w:bCs w:val="0"/>
                <w:sz w:val="18"/>
                <w:szCs w:val="18"/>
              </w:rPr>
              <w:t>pada</w:t>
            </w:r>
            <w:proofErr w:type="gramEnd"/>
            <w:r w:rsidRPr="00F95661">
              <w:rPr>
                <w:bCs w:val="0"/>
                <w:sz w:val="18"/>
                <w:szCs w:val="18"/>
              </w:rPr>
              <w:t xml:space="preserve"> saat transaksi</w:t>
            </w:r>
            <w:r w:rsidR="00600BA9">
              <w:rPr>
                <w:bCs w:val="0"/>
                <w:sz w:val="18"/>
                <w:szCs w:val="18"/>
              </w:rPr>
              <w:t>,</w:t>
            </w:r>
            <w:r w:rsidRPr="00F95661">
              <w:rPr>
                <w:bCs w:val="0"/>
                <w:sz w:val="18"/>
                <w:szCs w:val="18"/>
              </w:rPr>
              <w:t xml:space="preserve"> tidak mempengaruhi baik laba akuntansi maupun laba kena pajak (rugi pajak).</w:t>
            </w:r>
          </w:p>
        </w:tc>
        <w:tc>
          <w:tcPr>
            <w:tcW w:w="4598" w:type="dxa"/>
          </w:tcPr>
          <w:p w14:paraId="34C75BCD" w14:textId="0A3DB4E2" w:rsidR="00F95661" w:rsidRPr="00F95661" w:rsidRDefault="00F95661" w:rsidP="00070D1F">
            <w:pPr>
              <w:pStyle w:val="ListParagraph"/>
              <w:numPr>
                <w:ilvl w:val="0"/>
                <w:numId w:val="82"/>
              </w:numPr>
              <w:tabs>
                <w:tab w:val="left" w:pos="1137"/>
              </w:tabs>
              <w:ind w:left="1162" w:right="-57" w:hanging="170"/>
              <w:contextualSpacing/>
              <w:jc w:val="both"/>
              <w:rPr>
                <w:bCs w:val="0"/>
                <w:i/>
                <w:sz w:val="18"/>
                <w:szCs w:val="18"/>
              </w:rPr>
            </w:pPr>
            <w:r w:rsidRPr="00F95661">
              <w:rPr>
                <w:bCs w:val="0"/>
                <w:i/>
                <w:sz w:val="18"/>
                <w:szCs w:val="18"/>
              </w:rPr>
              <w:t xml:space="preserve"> </w:t>
            </w:r>
            <w:proofErr w:type="gramStart"/>
            <w:r w:rsidRPr="00F95661">
              <w:rPr>
                <w:bCs w:val="0"/>
                <w:i/>
                <w:sz w:val="18"/>
                <w:szCs w:val="18"/>
              </w:rPr>
              <w:t>at</w:t>
            </w:r>
            <w:proofErr w:type="gramEnd"/>
            <w:r w:rsidRPr="00F95661">
              <w:rPr>
                <w:bCs w:val="0"/>
                <w:i/>
                <w:sz w:val="18"/>
                <w:szCs w:val="18"/>
              </w:rPr>
              <w:t xml:space="preserve"> the time of the transaction</w:t>
            </w:r>
            <w:r w:rsidR="00600BA9">
              <w:rPr>
                <w:bCs w:val="0"/>
                <w:i/>
                <w:sz w:val="18"/>
                <w:szCs w:val="18"/>
              </w:rPr>
              <w:t>,</w:t>
            </w:r>
            <w:r w:rsidRPr="00F95661">
              <w:rPr>
                <w:bCs w:val="0"/>
                <w:i/>
                <w:sz w:val="18"/>
                <w:szCs w:val="18"/>
              </w:rPr>
              <w:t xml:space="preserve"> does not affect accounting profit or taxable profit.</w:t>
            </w:r>
          </w:p>
        </w:tc>
      </w:tr>
      <w:tr w:rsidR="00F95661" w:rsidRPr="0013526B" w14:paraId="3F42EFE5" w14:textId="77777777" w:rsidTr="00CC2E72">
        <w:tc>
          <w:tcPr>
            <w:tcW w:w="4578" w:type="dxa"/>
          </w:tcPr>
          <w:p w14:paraId="73688196" w14:textId="45AB4F06" w:rsidR="00F95661" w:rsidRPr="00F95661" w:rsidRDefault="00F95661" w:rsidP="00070D1F">
            <w:pPr>
              <w:pStyle w:val="ListParagraph"/>
              <w:numPr>
                <w:ilvl w:val="0"/>
                <w:numId w:val="79"/>
              </w:numPr>
              <w:tabs>
                <w:tab w:val="left" w:pos="851"/>
                <w:tab w:val="left" w:pos="884"/>
              </w:tabs>
              <w:ind w:left="851" w:right="-57" w:hanging="284"/>
              <w:contextualSpacing/>
              <w:jc w:val="both"/>
              <w:rPr>
                <w:bCs w:val="0"/>
                <w:sz w:val="18"/>
                <w:szCs w:val="18"/>
              </w:rPr>
            </w:pPr>
            <w:r w:rsidRPr="00F95661">
              <w:rPr>
                <w:bCs w:val="0"/>
                <w:sz w:val="18"/>
                <w:szCs w:val="18"/>
              </w:rPr>
              <w:t>perbedaan temporer dapat dikurangkan yang ditimbulkan dari entitas anak</w:t>
            </w:r>
            <w:r w:rsidR="00600BA9">
              <w:rPr>
                <w:bCs w:val="0"/>
                <w:sz w:val="18"/>
                <w:szCs w:val="18"/>
              </w:rPr>
              <w:t>,</w:t>
            </w:r>
            <w:r w:rsidRPr="00F95661">
              <w:rPr>
                <w:bCs w:val="0"/>
                <w:sz w:val="18"/>
                <w:szCs w:val="18"/>
              </w:rPr>
              <w:t xml:space="preserve"> cabang dan entitas asosiasi</w:t>
            </w:r>
            <w:r w:rsidR="00600BA9">
              <w:rPr>
                <w:bCs w:val="0"/>
                <w:sz w:val="18"/>
                <w:szCs w:val="18"/>
              </w:rPr>
              <w:t>,</w:t>
            </w:r>
            <w:r w:rsidRPr="00F95661">
              <w:rPr>
                <w:bCs w:val="0"/>
                <w:sz w:val="18"/>
                <w:szCs w:val="18"/>
              </w:rPr>
              <w:t xml:space="preserve"> serta bagian partisipasi dalam ventura bersama sepanjang dan hanya sepanjang kemungkinan besar terjadi:</w:t>
            </w:r>
          </w:p>
        </w:tc>
        <w:tc>
          <w:tcPr>
            <w:tcW w:w="4598" w:type="dxa"/>
          </w:tcPr>
          <w:p w14:paraId="0B405D2B" w14:textId="31551E3E" w:rsidR="00F95661" w:rsidRPr="00F95661" w:rsidRDefault="00F95661" w:rsidP="00070D1F">
            <w:pPr>
              <w:pStyle w:val="ListParagraph"/>
              <w:numPr>
                <w:ilvl w:val="0"/>
                <w:numId w:val="81"/>
              </w:numPr>
              <w:tabs>
                <w:tab w:val="left" w:pos="854"/>
              </w:tabs>
              <w:ind w:left="851" w:right="-57" w:hanging="284"/>
              <w:contextualSpacing/>
              <w:jc w:val="both"/>
              <w:rPr>
                <w:bCs w:val="0"/>
                <w:i/>
                <w:sz w:val="18"/>
                <w:szCs w:val="18"/>
              </w:rPr>
            </w:pPr>
            <w:r w:rsidRPr="00F95661">
              <w:rPr>
                <w:bCs w:val="0"/>
                <w:i/>
                <w:sz w:val="18"/>
                <w:szCs w:val="18"/>
              </w:rPr>
              <w:t>deductible temporary differences arising from investments in subsidiaries</w:t>
            </w:r>
            <w:r w:rsidR="00600BA9">
              <w:rPr>
                <w:bCs w:val="0"/>
                <w:i/>
                <w:sz w:val="18"/>
                <w:szCs w:val="18"/>
              </w:rPr>
              <w:t>,</w:t>
            </w:r>
            <w:r w:rsidRPr="00F95661">
              <w:rPr>
                <w:bCs w:val="0"/>
                <w:i/>
                <w:sz w:val="18"/>
                <w:szCs w:val="18"/>
              </w:rPr>
              <w:t xml:space="preserve"> branches and associates</w:t>
            </w:r>
            <w:r w:rsidR="00600BA9">
              <w:rPr>
                <w:bCs w:val="0"/>
                <w:i/>
                <w:sz w:val="18"/>
                <w:szCs w:val="18"/>
              </w:rPr>
              <w:t>,</w:t>
            </w:r>
            <w:r w:rsidRPr="00F95661">
              <w:rPr>
                <w:bCs w:val="0"/>
                <w:i/>
                <w:sz w:val="18"/>
                <w:szCs w:val="18"/>
              </w:rPr>
              <w:t xml:space="preserve"> and interests in joint arrangements</w:t>
            </w:r>
            <w:r w:rsidR="00600BA9">
              <w:rPr>
                <w:bCs w:val="0"/>
                <w:i/>
                <w:sz w:val="18"/>
                <w:szCs w:val="18"/>
              </w:rPr>
              <w:t>,</w:t>
            </w:r>
            <w:r w:rsidRPr="00F95661">
              <w:rPr>
                <w:bCs w:val="0"/>
                <w:i/>
                <w:sz w:val="18"/>
                <w:szCs w:val="18"/>
              </w:rPr>
              <w:t xml:space="preserve"> are only recognized to the extent that it is probable that:</w:t>
            </w:r>
          </w:p>
        </w:tc>
      </w:tr>
      <w:tr w:rsidR="00F95661" w:rsidRPr="0013526B" w14:paraId="1641EEF5" w14:textId="77777777" w:rsidTr="00CC2E72">
        <w:tc>
          <w:tcPr>
            <w:tcW w:w="4578" w:type="dxa"/>
          </w:tcPr>
          <w:p w14:paraId="05FA03A7" w14:textId="77777777" w:rsidR="00F95661" w:rsidRPr="00F95661" w:rsidRDefault="00F95661" w:rsidP="00070D1F">
            <w:pPr>
              <w:pStyle w:val="ListParagraph"/>
              <w:numPr>
                <w:ilvl w:val="0"/>
                <w:numId w:val="80"/>
              </w:numPr>
              <w:ind w:left="1106" w:right="-57" w:hanging="142"/>
              <w:contextualSpacing/>
              <w:jc w:val="both"/>
              <w:rPr>
                <w:bCs w:val="0"/>
                <w:sz w:val="18"/>
                <w:szCs w:val="18"/>
              </w:rPr>
            </w:pPr>
            <w:r w:rsidRPr="00F95661">
              <w:rPr>
                <w:bCs w:val="0"/>
                <w:sz w:val="18"/>
                <w:szCs w:val="18"/>
              </w:rPr>
              <w:t>perbedaan temporer akan terpulihkan pada masa depan yang dapat diperkirakan; dan</w:t>
            </w:r>
          </w:p>
        </w:tc>
        <w:tc>
          <w:tcPr>
            <w:tcW w:w="4598" w:type="dxa"/>
          </w:tcPr>
          <w:p w14:paraId="636AE0E0" w14:textId="77777777" w:rsidR="00F95661" w:rsidRPr="00F95661" w:rsidRDefault="00F95661" w:rsidP="00070D1F">
            <w:pPr>
              <w:pStyle w:val="ListParagraph"/>
              <w:numPr>
                <w:ilvl w:val="0"/>
                <w:numId w:val="83"/>
              </w:numPr>
              <w:tabs>
                <w:tab w:val="left" w:pos="1137"/>
              </w:tabs>
              <w:ind w:left="1162" w:right="-57" w:hanging="170"/>
              <w:contextualSpacing/>
              <w:jc w:val="both"/>
              <w:rPr>
                <w:bCs w:val="0"/>
                <w:i/>
                <w:sz w:val="18"/>
                <w:szCs w:val="18"/>
              </w:rPr>
            </w:pPr>
            <w:r w:rsidRPr="00F95661">
              <w:rPr>
                <w:bCs w:val="0"/>
                <w:i/>
                <w:sz w:val="18"/>
                <w:szCs w:val="18"/>
              </w:rPr>
              <w:t>the temporary difference will reverse in the foreseeable future and</w:t>
            </w:r>
          </w:p>
        </w:tc>
      </w:tr>
      <w:tr w:rsidR="00F95661" w:rsidRPr="0013526B" w14:paraId="63BF9C8B" w14:textId="77777777" w:rsidTr="00CC2E72">
        <w:tc>
          <w:tcPr>
            <w:tcW w:w="4578" w:type="dxa"/>
          </w:tcPr>
          <w:p w14:paraId="7A78F0F6" w14:textId="77777777" w:rsidR="00F95661" w:rsidRPr="00F95661" w:rsidRDefault="00F95661" w:rsidP="00070D1F">
            <w:pPr>
              <w:pStyle w:val="ListParagraph"/>
              <w:numPr>
                <w:ilvl w:val="0"/>
                <w:numId w:val="80"/>
              </w:numPr>
              <w:ind w:left="1106" w:right="-57" w:hanging="142"/>
              <w:contextualSpacing/>
              <w:jc w:val="both"/>
              <w:rPr>
                <w:bCs w:val="0"/>
                <w:sz w:val="18"/>
                <w:szCs w:val="18"/>
              </w:rPr>
            </w:pPr>
            <w:proofErr w:type="gramStart"/>
            <w:r w:rsidRPr="00F95661">
              <w:rPr>
                <w:bCs w:val="0"/>
                <w:sz w:val="18"/>
                <w:szCs w:val="18"/>
              </w:rPr>
              <w:t>laba</w:t>
            </w:r>
            <w:proofErr w:type="gramEnd"/>
            <w:r w:rsidRPr="00F95661">
              <w:rPr>
                <w:bCs w:val="0"/>
                <w:sz w:val="18"/>
                <w:szCs w:val="18"/>
              </w:rPr>
              <w:t xml:space="preserve"> kena pajak akan tersedia dalam jumlah yang memadai sehingga perbedaan temporer dapat dimanfaatkan.</w:t>
            </w:r>
          </w:p>
        </w:tc>
        <w:tc>
          <w:tcPr>
            <w:tcW w:w="4598" w:type="dxa"/>
          </w:tcPr>
          <w:p w14:paraId="0CC103E8" w14:textId="77777777" w:rsidR="00F95661" w:rsidRPr="00F95661" w:rsidRDefault="00F95661" w:rsidP="00070D1F">
            <w:pPr>
              <w:pStyle w:val="ListParagraph"/>
              <w:numPr>
                <w:ilvl w:val="0"/>
                <w:numId w:val="83"/>
              </w:numPr>
              <w:tabs>
                <w:tab w:val="left" w:pos="1137"/>
              </w:tabs>
              <w:ind w:left="1162" w:right="-57" w:hanging="170"/>
              <w:contextualSpacing/>
              <w:jc w:val="both"/>
              <w:rPr>
                <w:bCs w:val="0"/>
                <w:i/>
                <w:sz w:val="18"/>
                <w:szCs w:val="18"/>
              </w:rPr>
            </w:pPr>
            <w:proofErr w:type="gramStart"/>
            <w:r w:rsidRPr="00F95661">
              <w:rPr>
                <w:bCs w:val="0"/>
                <w:i/>
                <w:sz w:val="18"/>
                <w:szCs w:val="18"/>
              </w:rPr>
              <w:t>taxable</w:t>
            </w:r>
            <w:proofErr w:type="gramEnd"/>
            <w:r w:rsidRPr="00F95661">
              <w:rPr>
                <w:bCs w:val="0"/>
                <w:i/>
                <w:sz w:val="18"/>
                <w:szCs w:val="18"/>
              </w:rPr>
              <w:t xml:space="preserve"> profit will be available against which the temporary difference will be utilized.</w:t>
            </w:r>
          </w:p>
        </w:tc>
      </w:tr>
    </w:tbl>
    <w:p w14:paraId="1F30A106" w14:textId="77777777" w:rsidR="007F3D33" w:rsidRDefault="007F3D33">
      <w:r>
        <w:br w:type="page"/>
      </w:r>
    </w:p>
    <w:tbl>
      <w:tblPr>
        <w:tblW w:w="9197" w:type="dxa"/>
        <w:tblInd w:w="392" w:type="dxa"/>
        <w:tblLayout w:type="fixed"/>
        <w:tblLook w:val="0000" w:firstRow="0" w:lastRow="0" w:firstColumn="0" w:lastColumn="0" w:noHBand="0" w:noVBand="0"/>
      </w:tblPr>
      <w:tblGrid>
        <w:gridCol w:w="4599"/>
        <w:gridCol w:w="4598"/>
      </w:tblGrid>
      <w:tr w:rsidR="00CE1D45" w:rsidRPr="0013526B" w14:paraId="46146C64" w14:textId="77777777" w:rsidTr="007F3D33">
        <w:tc>
          <w:tcPr>
            <w:tcW w:w="4599" w:type="dxa"/>
          </w:tcPr>
          <w:p w14:paraId="215F25F0" w14:textId="0783642C" w:rsidR="00CE1D45" w:rsidRPr="007F3D33" w:rsidRDefault="00CE1D45" w:rsidP="005F361E">
            <w:pPr>
              <w:pStyle w:val="ListParagraph"/>
              <w:numPr>
                <w:ilvl w:val="0"/>
                <w:numId w:val="56"/>
              </w:numPr>
              <w:ind w:left="284" w:right="-57" w:hanging="284"/>
              <w:contextualSpacing/>
              <w:jc w:val="both"/>
              <w:rPr>
                <w:rStyle w:val="hps"/>
                <w:b/>
                <w:sz w:val="18"/>
                <w:szCs w:val="18"/>
              </w:rPr>
            </w:pPr>
            <w:r w:rsidRPr="007F3D33">
              <w:rPr>
                <w:sz w:val="18"/>
                <w:szCs w:val="18"/>
              </w:rPr>
              <w:lastRenderedPageBreak/>
              <w:br w:type="page"/>
            </w:r>
            <w:r w:rsidRPr="007F3D33">
              <w:rPr>
                <w:rStyle w:val="hps"/>
                <w:b/>
                <w:sz w:val="18"/>
                <w:szCs w:val="18"/>
              </w:rPr>
              <w:t xml:space="preserve">IKHTISAR KEBIJAKAN AKUNTANSI </w:t>
            </w:r>
            <w:r w:rsidR="00C85EDE" w:rsidRPr="007F3D33">
              <w:rPr>
                <w:rStyle w:val="hps"/>
                <w:b/>
                <w:sz w:val="18"/>
                <w:szCs w:val="18"/>
                <w:lang w:val="id-ID"/>
              </w:rPr>
              <w:t xml:space="preserve">YANG </w:t>
            </w:r>
            <w:r w:rsidRPr="007F3D33">
              <w:rPr>
                <w:rStyle w:val="hps"/>
                <w:b/>
                <w:sz w:val="18"/>
                <w:szCs w:val="18"/>
              </w:rPr>
              <w:t xml:space="preserve">PENTING </w:t>
            </w:r>
            <w:r w:rsidR="00F43772">
              <w:rPr>
                <w:rStyle w:val="hps"/>
                <w:b/>
                <w:sz w:val="18"/>
                <w:szCs w:val="18"/>
              </w:rPr>
              <w:t>–</w:t>
            </w:r>
            <w:r w:rsidRPr="007F3D33">
              <w:rPr>
                <w:rStyle w:val="hps"/>
                <w:b/>
                <w:sz w:val="18"/>
                <w:szCs w:val="18"/>
              </w:rPr>
              <w:t xml:space="preserve"> Lanjutan</w:t>
            </w:r>
          </w:p>
        </w:tc>
        <w:tc>
          <w:tcPr>
            <w:tcW w:w="4598" w:type="dxa"/>
          </w:tcPr>
          <w:p w14:paraId="5A3F3656" w14:textId="77777777" w:rsidR="00CE1D45" w:rsidRPr="007F3D33" w:rsidRDefault="00CE1D45" w:rsidP="005F361E">
            <w:pPr>
              <w:pStyle w:val="ListParagraph"/>
              <w:numPr>
                <w:ilvl w:val="0"/>
                <w:numId w:val="57"/>
              </w:numPr>
              <w:ind w:left="284" w:right="-57" w:hanging="284"/>
              <w:contextualSpacing/>
              <w:jc w:val="both"/>
              <w:rPr>
                <w:b/>
                <w:bCs w:val="0"/>
                <w:i/>
                <w:sz w:val="18"/>
                <w:szCs w:val="18"/>
              </w:rPr>
            </w:pPr>
            <w:r w:rsidRPr="007F3D33">
              <w:rPr>
                <w:b/>
                <w:i/>
                <w:sz w:val="18"/>
                <w:szCs w:val="18"/>
              </w:rPr>
              <w:t>SUMMARY OF SIGNIFICANT ACCOUNTING POLICIES - Continued</w:t>
            </w:r>
          </w:p>
        </w:tc>
      </w:tr>
      <w:tr w:rsidR="00CE1D45" w:rsidRPr="00F95661" w14:paraId="23E6C9DA" w14:textId="77777777" w:rsidTr="007F3D33">
        <w:tc>
          <w:tcPr>
            <w:tcW w:w="4599" w:type="dxa"/>
          </w:tcPr>
          <w:p w14:paraId="188F086E" w14:textId="77777777" w:rsidR="00CE1D45" w:rsidRPr="00F95661" w:rsidRDefault="00CE1D45" w:rsidP="0013526B">
            <w:pPr>
              <w:pStyle w:val="ListParagraph"/>
              <w:ind w:left="601" w:right="-57"/>
              <w:jc w:val="both"/>
              <w:rPr>
                <w:bCs w:val="0"/>
                <w:sz w:val="18"/>
                <w:szCs w:val="18"/>
              </w:rPr>
            </w:pPr>
          </w:p>
        </w:tc>
        <w:tc>
          <w:tcPr>
            <w:tcW w:w="4598" w:type="dxa"/>
          </w:tcPr>
          <w:p w14:paraId="42431E1B" w14:textId="77777777" w:rsidR="00CE1D45" w:rsidRPr="00F95661" w:rsidRDefault="00CE1D45" w:rsidP="0013526B">
            <w:pPr>
              <w:pStyle w:val="ListParagraph"/>
              <w:tabs>
                <w:tab w:val="left" w:pos="5590"/>
                <w:tab w:val="right" w:pos="7620"/>
                <w:tab w:val="right" w:pos="9460"/>
                <w:tab w:val="right" w:pos="10080"/>
              </w:tabs>
              <w:ind w:left="1242" w:right="-57"/>
              <w:jc w:val="both"/>
              <w:rPr>
                <w:bCs w:val="0"/>
                <w:i/>
                <w:sz w:val="18"/>
                <w:szCs w:val="18"/>
              </w:rPr>
            </w:pPr>
          </w:p>
        </w:tc>
      </w:tr>
      <w:tr w:rsidR="00CE1D45" w:rsidRPr="00F95661" w14:paraId="2B7360FA" w14:textId="77777777" w:rsidTr="007F3D33">
        <w:tc>
          <w:tcPr>
            <w:tcW w:w="4599" w:type="dxa"/>
          </w:tcPr>
          <w:p w14:paraId="67DA7414" w14:textId="77777777" w:rsidR="00CE1D45" w:rsidRPr="00F95661" w:rsidRDefault="00B17861" w:rsidP="00070D1F">
            <w:pPr>
              <w:pStyle w:val="ListParagraph"/>
              <w:numPr>
                <w:ilvl w:val="0"/>
                <w:numId w:val="102"/>
              </w:numPr>
              <w:ind w:left="568" w:hanging="284"/>
              <w:contextualSpacing/>
              <w:jc w:val="both"/>
              <w:rPr>
                <w:rStyle w:val="hps"/>
                <w:b/>
                <w:sz w:val="18"/>
                <w:szCs w:val="18"/>
              </w:rPr>
            </w:pPr>
            <w:r w:rsidRPr="00F95661">
              <w:rPr>
                <w:rStyle w:val="hps"/>
                <w:b/>
                <w:sz w:val="18"/>
                <w:szCs w:val="18"/>
              </w:rPr>
              <w:t>Pajak P</w:t>
            </w:r>
            <w:r w:rsidR="00CE1D45" w:rsidRPr="00F95661">
              <w:rPr>
                <w:rStyle w:val="hps"/>
                <w:b/>
                <w:sz w:val="18"/>
                <w:szCs w:val="18"/>
              </w:rPr>
              <w:t>enghasilan - Lanjutan</w:t>
            </w:r>
          </w:p>
        </w:tc>
        <w:tc>
          <w:tcPr>
            <w:tcW w:w="4598" w:type="dxa"/>
          </w:tcPr>
          <w:p w14:paraId="42A412D6" w14:textId="77777777" w:rsidR="00CE1D45" w:rsidRPr="00F95661" w:rsidRDefault="00CE1D45" w:rsidP="00070D1F">
            <w:pPr>
              <w:pStyle w:val="ListParagraph"/>
              <w:numPr>
                <w:ilvl w:val="0"/>
                <w:numId w:val="103"/>
              </w:numPr>
              <w:ind w:left="568" w:hanging="284"/>
              <w:contextualSpacing/>
              <w:jc w:val="both"/>
              <w:rPr>
                <w:b/>
                <w:bCs w:val="0"/>
                <w:i/>
                <w:sz w:val="18"/>
                <w:szCs w:val="18"/>
              </w:rPr>
            </w:pPr>
            <w:r w:rsidRPr="00F95661">
              <w:rPr>
                <w:b/>
                <w:bCs w:val="0"/>
                <w:i/>
                <w:sz w:val="18"/>
                <w:szCs w:val="18"/>
              </w:rPr>
              <w:t xml:space="preserve">Income </w:t>
            </w:r>
            <w:r w:rsidR="00B17861" w:rsidRPr="00F95661">
              <w:rPr>
                <w:b/>
                <w:bCs w:val="0"/>
                <w:i/>
                <w:sz w:val="18"/>
                <w:szCs w:val="18"/>
              </w:rPr>
              <w:t>T</w:t>
            </w:r>
            <w:r w:rsidRPr="00F95661">
              <w:rPr>
                <w:b/>
                <w:bCs w:val="0"/>
                <w:i/>
                <w:sz w:val="18"/>
                <w:szCs w:val="18"/>
              </w:rPr>
              <w:t>ax - Continued</w:t>
            </w:r>
          </w:p>
        </w:tc>
      </w:tr>
      <w:tr w:rsidR="00CE1D45" w:rsidRPr="00F95661" w14:paraId="7ECB6A32" w14:textId="77777777" w:rsidTr="007F3D33">
        <w:tc>
          <w:tcPr>
            <w:tcW w:w="4599" w:type="dxa"/>
          </w:tcPr>
          <w:p w14:paraId="15F9FCAB" w14:textId="77777777" w:rsidR="00CE1D45" w:rsidRPr="00F95661" w:rsidRDefault="00CE1D45" w:rsidP="0013526B">
            <w:pPr>
              <w:pStyle w:val="ListParagraph"/>
              <w:ind w:left="1106"/>
              <w:contextualSpacing/>
              <w:jc w:val="both"/>
              <w:rPr>
                <w:bCs w:val="0"/>
                <w:sz w:val="18"/>
                <w:szCs w:val="18"/>
              </w:rPr>
            </w:pPr>
          </w:p>
        </w:tc>
        <w:tc>
          <w:tcPr>
            <w:tcW w:w="4598" w:type="dxa"/>
          </w:tcPr>
          <w:p w14:paraId="325EED89" w14:textId="77777777" w:rsidR="00CE1D45" w:rsidRPr="00F95661" w:rsidRDefault="00CE1D45" w:rsidP="0013526B">
            <w:pPr>
              <w:pStyle w:val="ListParagraph"/>
              <w:tabs>
                <w:tab w:val="left" w:pos="1137"/>
              </w:tabs>
              <w:ind w:left="1162"/>
              <w:contextualSpacing/>
              <w:jc w:val="both"/>
              <w:rPr>
                <w:bCs w:val="0"/>
                <w:i/>
                <w:sz w:val="18"/>
                <w:szCs w:val="18"/>
              </w:rPr>
            </w:pPr>
          </w:p>
        </w:tc>
      </w:tr>
      <w:tr w:rsidR="005F652F" w:rsidRPr="00F95661" w14:paraId="543EC41C" w14:textId="77777777" w:rsidTr="007F3D33">
        <w:tc>
          <w:tcPr>
            <w:tcW w:w="4599" w:type="dxa"/>
          </w:tcPr>
          <w:p w14:paraId="5CB600AA" w14:textId="77777777" w:rsidR="005F652F" w:rsidRPr="00F95661" w:rsidRDefault="005F652F" w:rsidP="0013526B">
            <w:pPr>
              <w:pStyle w:val="ListParagraph"/>
              <w:ind w:left="567"/>
              <w:jc w:val="both"/>
              <w:rPr>
                <w:b/>
                <w:bCs w:val="0"/>
                <w:sz w:val="18"/>
                <w:szCs w:val="18"/>
              </w:rPr>
            </w:pPr>
            <w:r w:rsidRPr="00F95661">
              <w:rPr>
                <w:b/>
                <w:bCs w:val="0"/>
                <w:sz w:val="18"/>
                <w:szCs w:val="18"/>
              </w:rPr>
              <w:t>Pengukuran</w:t>
            </w:r>
          </w:p>
        </w:tc>
        <w:tc>
          <w:tcPr>
            <w:tcW w:w="4598" w:type="dxa"/>
          </w:tcPr>
          <w:p w14:paraId="4D446761" w14:textId="77777777" w:rsidR="005F652F" w:rsidRPr="00F95661" w:rsidRDefault="005F652F" w:rsidP="0013526B">
            <w:pPr>
              <w:ind w:left="567"/>
              <w:jc w:val="both"/>
              <w:rPr>
                <w:b/>
                <w:i/>
                <w:sz w:val="18"/>
                <w:szCs w:val="18"/>
              </w:rPr>
            </w:pPr>
            <w:r w:rsidRPr="00F95661">
              <w:rPr>
                <w:b/>
                <w:i/>
                <w:sz w:val="18"/>
                <w:szCs w:val="18"/>
              </w:rPr>
              <w:t>Measurement</w:t>
            </w:r>
          </w:p>
        </w:tc>
      </w:tr>
      <w:tr w:rsidR="007A2479" w:rsidRPr="00F95661" w14:paraId="203D3706" w14:textId="77777777" w:rsidTr="007F3D33">
        <w:tc>
          <w:tcPr>
            <w:tcW w:w="4599" w:type="dxa"/>
          </w:tcPr>
          <w:p w14:paraId="06F65824" w14:textId="77777777" w:rsidR="007A2479" w:rsidRPr="00F95661" w:rsidRDefault="007A2479" w:rsidP="0013526B">
            <w:pPr>
              <w:pStyle w:val="ListParagraph"/>
              <w:ind w:left="601" w:right="-57"/>
              <w:jc w:val="both"/>
              <w:rPr>
                <w:b/>
                <w:bCs w:val="0"/>
                <w:sz w:val="18"/>
                <w:szCs w:val="18"/>
              </w:rPr>
            </w:pPr>
          </w:p>
        </w:tc>
        <w:tc>
          <w:tcPr>
            <w:tcW w:w="4598" w:type="dxa"/>
          </w:tcPr>
          <w:p w14:paraId="33A01B1F" w14:textId="77777777" w:rsidR="007A2479" w:rsidRPr="00F95661" w:rsidRDefault="007A2479" w:rsidP="0013526B">
            <w:pPr>
              <w:pStyle w:val="ListParagraph"/>
              <w:tabs>
                <w:tab w:val="left" w:pos="5590"/>
                <w:tab w:val="right" w:pos="7620"/>
                <w:tab w:val="right" w:pos="9460"/>
                <w:tab w:val="right" w:pos="10080"/>
              </w:tabs>
              <w:ind w:left="1242" w:right="-57" w:hanging="538"/>
              <w:jc w:val="both"/>
              <w:rPr>
                <w:b/>
                <w:bCs w:val="0"/>
                <w:i/>
                <w:sz w:val="18"/>
                <w:szCs w:val="18"/>
              </w:rPr>
            </w:pPr>
          </w:p>
        </w:tc>
      </w:tr>
      <w:tr w:rsidR="005F652F" w:rsidRPr="00F95661" w14:paraId="7C0193A7" w14:textId="77777777" w:rsidTr="007F3D33">
        <w:tc>
          <w:tcPr>
            <w:tcW w:w="4599" w:type="dxa"/>
          </w:tcPr>
          <w:p w14:paraId="6774B4F3" w14:textId="740650C1" w:rsidR="005F652F" w:rsidRPr="00F95661" w:rsidRDefault="005F652F" w:rsidP="0013526B">
            <w:pPr>
              <w:ind w:left="567" w:right="-57"/>
              <w:jc w:val="both"/>
              <w:rPr>
                <w:bCs w:val="0"/>
                <w:sz w:val="18"/>
                <w:szCs w:val="18"/>
              </w:rPr>
            </w:pPr>
            <w:r w:rsidRPr="00F95661">
              <w:rPr>
                <w:bCs w:val="0"/>
                <w:sz w:val="18"/>
                <w:szCs w:val="18"/>
              </w:rPr>
              <w:t>Liabilitas (aset) pajak kini untuk periode kini dan periode sebelumnya diukur sebesar jumlah yang diharapkan untuk dibayar (direstitusi) kepada otoritas perpajakan</w:t>
            </w:r>
            <w:r w:rsidR="00870FD0">
              <w:rPr>
                <w:bCs w:val="0"/>
                <w:sz w:val="18"/>
                <w:szCs w:val="18"/>
              </w:rPr>
              <w:t>.</w:t>
            </w:r>
            <w:r w:rsidRPr="00F95661">
              <w:rPr>
                <w:bCs w:val="0"/>
                <w:sz w:val="18"/>
                <w:szCs w:val="18"/>
              </w:rPr>
              <w:t xml:space="preserve"> </w:t>
            </w:r>
            <w:proofErr w:type="gramStart"/>
            <w:r w:rsidRPr="00F95661">
              <w:rPr>
                <w:bCs w:val="0"/>
                <w:sz w:val="18"/>
                <w:szCs w:val="18"/>
              </w:rPr>
              <w:t>yang</w:t>
            </w:r>
            <w:proofErr w:type="gramEnd"/>
            <w:r w:rsidRPr="00F95661">
              <w:rPr>
                <w:bCs w:val="0"/>
                <w:sz w:val="18"/>
                <w:szCs w:val="18"/>
              </w:rPr>
              <w:t xml:space="preserve"> dihitung menggunakan tarif pajak (dan peraturan pajak) yang telah berlaku atau yang telah secara substantif berlaku pada periode pelaporan.</w:t>
            </w:r>
          </w:p>
        </w:tc>
        <w:tc>
          <w:tcPr>
            <w:tcW w:w="4598" w:type="dxa"/>
          </w:tcPr>
          <w:p w14:paraId="034EAAF8" w14:textId="24FE9A23" w:rsidR="005F652F" w:rsidRPr="00F95661" w:rsidRDefault="005F652F" w:rsidP="0013526B">
            <w:pPr>
              <w:pStyle w:val="ListParagraph"/>
              <w:tabs>
                <w:tab w:val="left" w:pos="5590"/>
                <w:tab w:val="right" w:pos="7620"/>
                <w:tab w:val="right" w:pos="9460"/>
                <w:tab w:val="right" w:pos="10080"/>
              </w:tabs>
              <w:ind w:left="567" w:right="-57"/>
              <w:jc w:val="both"/>
              <w:rPr>
                <w:bCs w:val="0"/>
                <w:i/>
                <w:sz w:val="18"/>
                <w:szCs w:val="18"/>
              </w:rPr>
            </w:pPr>
            <w:r w:rsidRPr="00F95661">
              <w:rPr>
                <w:bCs w:val="0"/>
                <w:i/>
                <w:sz w:val="18"/>
                <w:szCs w:val="18"/>
              </w:rPr>
              <w:t>Current tax liabilities (assets) for the current and prior periods is measured at the amount expected to be paid to (recovered from) the taxation authorities</w:t>
            </w:r>
            <w:r w:rsidR="00870FD0">
              <w:rPr>
                <w:bCs w:val="0"/>
                <w:i/>
                <w:sz w:val="18"/>
                <w:szCs w:val="18"/>
              </w:rPr>
              <w:t>.</w:t>
            </w:r>
            <w:r w:rsidRPr="00F95661">
              <w:rPr>
                <w:bCs w:val="0"/>
                <w:i/>
                <w:sz w:val="18"/>
                <w:szCs w:val="18"/>
              </w:rPr>
              <w:t xml:space="preserve"> </w:t>
            </w:r>
            <w:proofErr w:type="gramStart"/>
            <w:r w:rsidRPr="00F95661">
              <w:rPr>
                <w:bCs w:val="0"/>
                <w:i/>
                <w:sz w:val="18"/>
                <w:szCs w:val="18"/>
              </w:rPr>
              <w:t>using</w:t>
            </w:r>
            <w:proofErr w:type="gramEnd"/>
            <w:r w:rsidRPr="00F95661">
              <w:rPr>
                <w:bCs w:val="0"/>
                <w:i/>
                <w:sz w:val="18"/>
                <w:szCs w:val="18"/>
              </w:rPr>
              <w:t xml:space="preserve"> the tax rates (and tax laws) that have been enacted or substantively enacted for the reporting period.</w:t>
            </w:r>
          </w:p>
        </w:tc>
      </w:tr>
      <w:tr w:rsidR="005F652F" w:rsidRPr="00F95661" w14:paraId="5B421182" w14:textId="77777777" w:rsidTr="007F3D33">
        <w:tc>
          <w:tcPr>
            <w:tcW w:w="4599" w:type="dxa"/>
          </w:tcPr>
          <w:p w14:paraId="638A6A46" w14:textId="77777777" w:rsidR="005F652F" w:rsidRPr="00F95661" w:rsidRDefault="005F652F" w:rsidP="0013526B">
            <w:pPr>
              <w:pStyle w:val="ListParagraph"/>
              <w:ind w:left="601" w:right="-57"/>
              <w:jc w:val="both"/>
              <w:rPr>
                <w:bCs w:val="0"/>
                <w:sz w:val="18"/>
                <w:szCs w:val="18"/>
              </w:rPr>
            </w:pPr>
          </w:p>
        </w:tc>
        <w:tc>
          <w:tcPr>
            <w:tcW w:w="4598" w:type="dxa"/>
          </w:tcPr>
          <w:p w14:paraId="501BF2E5" w14:textId="77777777" w:rsidR="005F652F" w:rsidRPr="00F95661" w:rsidRDefault="005F652F" w:rsidP="0013526B">
            <w:pPr>
              <w:pStyle w:val="ListParagraph"/>
              <w:tabs>
                <w:tab w:val="left" w:pos="5590"/>
                <w:tab w:val="right" w:pos="7620"/>
                <w:tab w:val="right" w:pos="9460"/>
                <w:tab w:val="right" w:pos="10080"/>
              </w:tabs>
              <w:ind w:left="1242" w:right="-57"/>
              <w:jc w:val="both"/>
              <w:rPr>
                <w:bCs w:val="0"/>
                <w:i/>
                <w:sz w:val="18"/>
                <w:szCs w:val="18"/>
              </w:rPr>
            </w:pPr>
          </w:p>
        </w:tc>
      </w:tr>
      <w:tr w:rsidR="005F652F" w:rsidRPr="0013526B" w14:paraId="597B2B3A" w14:textId="77777777" w:rsidTr="007F3D33">
        <w:tc>
          <w:tcPr>
            <w:tcW w:w="4599" w:type="dxa"/>
          </w:tcPr>
          <w:p w14:paraId="10A68BA9" w14:textId="06AA801F" w:rsidR="005F652F" w:rsidRPr="00F95661" w:rsidRDefault="005F652F" w:rsidP="0013526B">
            <w:pPr>
              <w:ind w:left="567" w:right="-57"/>
              <w:jc w:val="both"/>
              <w:rPr>
                <w:bCs w:val="0"/>
                <w:sz w:val="18"/>
                <w:szCs w:val="18"/>
              </w:rPr>
            </w:pPr>
            <w:r w:rsidRPr="00F95661">
              <w:rPr>
                <w:bCs w:val="0"/>
                <w:sz w:val="18"/>
                <w:szCs w:val="18"/>
              </w:rPr>
              <w:t>Aset dan liabilitas pajak tangguhan harus</w:t>
            </w:r>
            <w:r w:rsidR="001C12BF" w:rsidRPr="00F95661">
              <w:rPr>
                <w:bCs w:val="0"/>
                <w:sz w:val="18"/>
                <w:szCs w:val="18"/>
              </w:rPr>
              <w:t xml:space="preserve"> </w:t>
            </w:r>
            <w:r w:rsidRPr="00F95661">
              <w:rPr>
                <w:bCs w:val="0"/>
                <w:sz w:val="18"/>
                <w:szCs w:val="18"/>
              </w:rPr>
              <w:t>diukur dengan menggunakan tarif pajak yang diharapkan akan berlaku pada</w:t>
            </w:r>
            <w:r w:rsidR="001C12BF" w:rsidRPr="00F95661">
              <w:rPr>
                <w:bCs w:val="0"/>
                <w:sz w:val="18"/>
                <w:szCs w:val="18"/>
              </w:rPr>
              <w:t xml:space="preserve"> </w:t>
            </w:r>
            <w:r w:rsidRPr="00F95661">
              <w:rPr>
                <w:bCs w:val="0"/>
                <w:sz w:val="18"/>
                <w:szCs w:val="18"/>
              </w:rPr>
              <w:t>saat aset dipulihkan atau liabilitas diselesaikan</w:t>
            </w:r>
            <w:r w:rsidR="00870FD0">
              <w:rPr>
                <w:bCs w:val="0"/>
                <w:sz w:val="18"/>
                <w:szCs w:val="18"/>
              </w:rPr>
              <w:t>.</w:t>
            </w:r>
            <w:r w:rsidRPr="00F95661">
              <w:rPr>
                <w:bCs w:val="0"/>
                <w:sz w:val="18"/>
                <w:szCs w:val="18"/>
              </w:rPr>
              <w:t xml:space="preserve"> </w:t>
            </w:r>
            <w:proofErr w:type="gramStart"/>
            <w:r w:rsidRPr="00F95661">
              <w:rPr>
                <w:bCs w:val="0"/>
                <w:sz w:val="18"/>
                <w:szCs w:val="18"/>
              </w:rPr>
              <w:t>yaitu</w:t>
            </w:r>
            <w:proofErr w:type="gramEnd"/>
            <w:r w:rsidRPr="00F95661">
              <w:rPr>
                <w:bCs w:val="0"/>
                <w:sz w:val="18"/>
                <w:szCs w:val="18"/>
              </w:rPr>
              <w:t xml:space="preserve"> dengan tarif</w:t>
            </w:r>
            <w:r w:rsidR="00DC095A" w:rsidRPr="00F95661">
              <w:rPr>
                <w:bCs w:val="0"/>
                <w:sz w:val="18"/>
                <w:szCs w:val="18"/>
              </w:rPr>
              <w:t xml:space="preserve"> pajak </w:t>
            </w:r>
            <w:r w:rsidR="00DC1595" w:rsidRPr="00F95661">
              <w:rPr>
                <w:bCs w:val="0"/>
                <w:sz w:val="18"/>
                <w:szCs w:val="18"/>
                <w:lang w:val="id-ID"/>
              </w:rPr>
              <w:br/>
            </w:r>
            <w:r w:rsidR="00DC095A" w:rsidRPr="00F95661">
              <w:rPr>
                <w:bCs w:val="0"/>
                <w:sz w:val="18"/>
                <w:szCs w:val="18"/>
              </w:rPr>
              <w:t>(dan peraturan pajak) ya</w:t>
            </w:r>
            <w:r w:rsidRPr="00F95661">
              <w:rPr>
                <w:bCs w:val="0"/>
                <w:sz w:val="18"/>
                <w:szCs w:val="18"/>
              </w:rPr>
              <w:t>ng telah berlaku atau secara substantif berlaku pada periode pelaporan.</w:t>
            </w:r>
          </w:p>
        </w:tc>
        <w:tc>
          <w:tcPr>
            <w:tcW w:w="4598" w:type="dxa"/>
          </w:tcPr>
          <w:p w14:paraId="6048874B" w14:textId="1D9D1696" w:rsidR="005F652F" w:rsidRPr="00F95661" w:rsidRDefault="005F652F" w:rsidP="0013526B">
            <w:pPr>
              <w:pStyle w:val="ListParagraph"/>
              <w:tabs>
                <w:tab w:val="left" w:pos="5590"/>
                <w:tab w:val="right" w:pos="7620"/>
                <w:tab w:val="right" w:pos="9460"/>
                <w:tab w:val="right" w:pos="10080"/>
              </w:tabs>
              <w:ind w:left="567" w:right="-57"/>
              <w:jc w:val="both"/>
              <w:rPr>
                <w:bCs w:val="0"/>
                <w:i/>
                <w:sz w:val="18"/>
                <w:szCs w:val="18"/>
              </w:rPr>
            </w:pPr>
            <w:r w:rsidRPr="00F95661">
              <w:rPr>
                <w:bCs w:val="0"/>
                <w:i/>
                <w:sz w:val="18"/>
                <w:szCs w:val="18"/>
              </w:rPr>
              <w:t>Deferred tax assets and liabilities shall be measured at the tax rates that are expected to apply to the period when the asset is realized or the liability is settled</w:t>
            </w:r>
            <w:r w:rsidR="00870FD0">
              <w:rPr>
                <w:bCs w:val="0"/>
                <w:i/>
                <w:sz w:val="18"/>
                <w:szCs w:val="18"/>
              </w:rPr>
              <w:t>.</w:t>
            </w:r>
            <w:r w:rsidRPr="00F95661">
              <w:rPr>
                <w:bCs w:val="0"/>
                <w:i/>
                <w:sz w:val="18"/>
                <w:szCs w:val="18"/>
              </w:rPr>
              <w:t xml:space="preserve"> </w:t>
            </w:r>
            <w:proofErr w:type="gramStart"/>
            <w:r w:rsidRPr="00F95661">
              <w:rPr>
                <w:bCs w:val="0"/>
                <w:i/>
                <w:sz w:val="18"/>
                <w:szCs w:val="18"/>
              </w:rPr>
              <w:t>based</w:t>
            </w:r>
            <w:proofErr w:type="gramEnd"/>
            <w:r w:rsidRPr="00F95661">
              <w:rPr>
                <w:bCs w:val="0"/>
                <w:i/>
                <w:sz w:val="18"/>
                <w:szCs w:val="18"/>
              </w:rPr>
              <w:t xml:space="preserve"> on tax rates (and tax laws) that have been enacted or substantively enacted for the reporting period.</w:t>
            </w:r>
          </w:p>
        </w:tc>
      </w:tr>
      <w:tr w:rsidR="00273CB8" w:rsidRPr="0013526B" w14:paraId="7AB64EC4" w14:textId="77777777" w:rsidTr="007F3D33">
        <w:tc>
          <w:tcPr>
            <w:tcW w:w="4599" w:type="dxa"/>
          </w:tcPr>
          <w:p w14:paraId="653627E2" w14:textId="77777777" w:rsidR="00273CB8" w:rsidRPr="00A928CB" w:rsidRDefault="00273CB8" w:rsidP="0013526B">
            <w:pPr>
              <w:pStyle w:val="ListParagraph"/>
              <w:ind w:left="601" w:right="-57"/>
              <w:jc w:val="both"/>
              <w:rPr>
                <w:bCs w:val="0"/>
                <w:sz w:val="18"/>
                <w:szCs w:val="18"/>
                <w:highlight w:val="cyan"/>
              </w:rPr>
            </w:pPr>
          </w:p>
        </w:tc>
        <w:tc>
          <w:tcPr>
            <w:tcW w:w="4598" w:type="dxa"/>
          </w:tcPr>
          <w:p w14:paraId="69A504CE" w14:textId="77777777" w:rsidR="00273CB8" w:rsidRPr="00A928CB" w:rsidRDefault="00273CB8" w:rsidP="0013526B">
            <w:pPr>
              <w:pStyle w:val="ListParagraph"/>
              <w:tabs>
                <w:tab w:val="left" w:pos="5590"/>
                <w:tab w:val="right" w:pos="7620"/>
                <w:tab w:val="right" w:pos="9460"/>
                <w:tab w:val="right" w:pos="10080"/>
              </w:tabs>
              <w:ind w:left="1242" w:right="-57"/>
              <w:jc w:val="both"/>
              <w:rPr>
                <w:bCs w:val="0"/>
                <w:i/>
                <w:sz w:val="18"/>
                <w:szCs w:val="18"/>
                <w:highlight w:val="cyan"/>
              </w:rPr>
            </w:pPr>
          </w:p>
        </w:tc>
      </w:tr>
      <w:tr w:rsidR="00273CB8" w:rsidRPr="0013526B" w14:paraId="59DFAF1B" w14:textId="77777777" w:rsidTr="007F3D33">
        <w:tc>
          <w:tcPr>
            <w:tcW w:w="4599" w:type="dxa"/>
          </w:tcPr>
          <w:p w14:paraId="3EF89FAD" w14:textId="77777777" w:rsidR="00273CB8" w:rsidRPr="00F95661" w:rsidRDefault="00273CB8" w:rsidP="0013526B">
            <w:pPr>
              <w:ind w:left="567" w:right="-57"/>
              <w:jc w:val="both"/>
              <w:rPr>
                <w:bCs w:val="0"/>
                <w:sz w:val="18"/>
                <w:szCs w:val="18"/>
              </w:rPr>
            </w:pPr>
            <w:r w:rsidRPr="00F95661">
              <w:rPr>
                <w:bCs w:val="0"/>
                <w:sz w:val="18"/>
                <w:szCs w:val="18"/>
              </w:rPr>
              <w:t>Aset dan Liabilitas pajak tangguhan tidak boleh didiskontokan.</w:t>
            </w:r>
          </w:p>
        </w:tc>
        <w:tc>
          <w:tcPr>
            <w:tcW w:w="4598" w:type="dxa"/>
          </w:tcPr>
          <w:p w14:paraId="63128E08" w14:textId="77777777" w:rsidR="00273CB8" w:rsidRPr="00F95661" w:rsidRDefault="00273CB8" w:rsidP="0013526B">
            <w:pPr>
              <w:pStyle w:val="ListParagraph"/>
              <w:tabs>
                <w:tab w:val="left" w:pos="5590"/>
                <w:tab w:val="right" w:pos="7620"/>
                <w:tab w:val="right" w:pos="9460"/>
                <w:tab w:val="right" w:pos="10080"/>
              </w:tabs>
              <w:ind w:left="567" w:right="-57"/>
              <w:jc w:val="both"/>
              <w:rPr>
                <w:bCs w:val="0"/>
                <w:i/>
                <w:sz w:val="18"/>
                <w:szCs w:val="18"/>
              </w:rPr>
            </w:pPr>
            <w:r w:rsidRPr="00F95661">
              <w:rPr>
                <w:bCs w:val="0"/>
                <w:i/>
                <w:sz w:val="18"/>
                <w:szCs w:val="18"/>
              </w:rPr>
              <w:t>Deferred tax assets and liabilities may not be discounted.</w:t>
            </w:r>
          </w:p>
        </w:tc>
      </w:tr>
    </w:tbl>
    <w:p w14:paraId="754D95B8" w14:textId="4E3DD7C2" w:rsidR="0077652E" w:rsidRDefault="0077652E" w:rsidP="0013526B">
      <w:pPr>
        <w:rPr>
          <w:sz w:val="18"/>
          <w:szCs w:val="18"/>
          <w:lang w:val="id-ID"/>
        </w:rPr>
      </w:pPr>
    </w:p>
    <w:tbl>
      <w:tblPr>
        <w:tblW w:w="9197" w:type="dxa"/>
        <w:tblInd w:w="392" w:type="dxa"/>
        <w:tblLayout w:type="fixed"/>
        <w:tblLook w:val="0000" w:firstRow="0" w:lastRow="0" w:firstColumn="0" w:lastColumn="0" w:noHBand="0" w:noVBand="0"/>
      </w:tblPr>
      <w:tblGrid>
        <w:gridCol w:w="4599"/>
        <w:gridCol w:w="4598"/>
      </w:tblGrid>
      <w:tr w:rsidR="00F95661" w:rsidRPr="00A928CB" w14:paraId="7D45469F" w14:textId="77777777" w:rsidTr="00D215E4">
        <w:tc>
          <w:tcPr>
            <w:tcW w:w="4708" w:type="dxa"/>
          </w:tcPr>
          <w:p w14:paraId="349278BC" w14:textId="77777777" w:rsidR="00F95661" w:rsidRPr="00F95661" w:rsidRDefault="00F95661" w:rsidP="00D215E4">
            <w:pPr>
              <w:pStyle w:val="ListParagraph"/>
              <w:ind w:left="567" w:right="-57"/>
              <w:jc w:val="both"/>
              <w:rPr>
                <w:bCs w:val="0"/>
                <w:sz w:val="18"/>
                <w:szCs w:val="18"/>
              </w:rPr>
            </w:pPr>
            <w:r w:rsidRPr="00F95661">
              <w:rPr>
                <w:bCs w:val="0"/>
                <w:sz w:val="18"/>
                <w:szCs w:val="18"/>
              </w:rPr>
              <w:t>Jumlah tercatat aset pajak tangguhan harus ditinjau kembali pada akhir periode pelaporan.</w:t>
            </w:r>
            <w:r w:rsidRPr="00F95661">
              <w:rPr>
                <w:bCs w:val="0"/>
                <w:sz w:val="18"/>
                <w:szCs w:val="18"/>
                <w:lang w:val="id-ID"/>
              </w:rPr>
              <w:br/>
              <w:t>Kelompok Usaha</w:t>
            </w:r>
            <w:r w:rsidRPr="00F95661">
              <w:rPr>
                <w:bCs w:val="0"/>
                <w:sz w:val="18"/>
                <w:szCs w:val="18"/>
              </w:rPr>
              <w:t xml:space="preserve"> mengurangi jumlah tercatat aset pajak tangguhan apabila besar kemungkinan laba kena pajak tidak lagi tersedia dalam jumlah yang cukup memadai untuk mengkompensasikan sebagian atau seluruh aset pajak tangguhan tersebut. Pengurangan jumlah tercatat aset pajak tangguhan dilakukan pembalikan apabila kemungkinan besar laba kena pajak yang tersedia jumlahnya cukup memadai.</w:t>
            </w:r>
          </w:p>
        </w:tc>
        <w:tc>
          <w:tcPr>
            <w:tcW w:w="4708" w:type="dxa"/>
          </w:tcPr>
          <w:p w14:paraId="722E822F" w14:textId="77777777" w:rsidR="00F95661" w:rsidRPr="00F95661" w:rsidRDefault="00F95661" w:rsidP="00D215E4">
            <w:pPr>
              <w:pStyle w:val="ListParagraph"/>
              <w:tabs>
                <w:tab w:val="left" w:pos="5590"/>
                <w:tab w:val="right" w:pos="7620"/>
                <w:tab w:val="right" w:pos="9460"/>
                <w:tab w:val="right" w:pos="10080"/>
              </w:tabs>
              <w:ind w:left="567" w:right="-57"/>
              <w:jc w:val="both"/>
              <w:rPr>
                <w:bCs w:val="0"/>
                <w:i/>
                <w:sz w:val="18"/>
                <w:szCs w:val="18"/>
              </w:rPr>
            </w:pPr>
            <w:r w:rsidRPr="00F95661">
              <w:rPr>
                <w:bCs w:val="0"/>
                <w:i/>
                <w:sz w:val="18"/>
                <w:szCs w:val="18"/>
              </w:rPr>
              <w:t>The carrying amount of a deferred tax asset shall be reviewed at the end of each reporting period.</w:t>
            </w:r>
            <w:r w:rsidRPr="00F95661">
              <w:rPr>
                <w:bCs w:val="0"/>
                <w:i/>
                <w:sz w:val="18"/>
                <w:szCs w:val="18"/>
                <w:lang w:val="id-ID"/>
              </w:rPr>
              <w:br/>
              <w:t xml:space="preserve">The Group </w:t>
            </w:r>
            <w:r w:rsidRPr="00F95661">
              <w:rPr>
                <w:bCs w:val="0"/>
                <w:i/>
                <w:sz w:val="18"/>
                <w:szCs w:val="18"/>
              </w:rPr>
              <w:t>shall reduce the carrying amount of a deferred tax asset to the extent that it is no longer probable that sufficient taxable profit will be available to allow the benefit of part or all of that deferred tax asset to be utilized. Any such reduction shall be reversed to the extent that it becomes probable that sufficient taxable profit will be available.</w:t>
            </w:r>
          </w:p>
        </w:tc>
      </w:tr>
      <w:tr w:rsidR="00F95661" w:rsidRPr="00A928CB" w14:paraId="7DD2FB65" w14:textId="77777777" w:rsidTr="00D215E4">
        <w:tc>
          <w:tcPr>
            <w:tcW w:w="4708" w:type="dxa"/>
          </w:tcPr>
          <w:p w14:paraId="65B34436" w14:textId="77777777" w:rsidR="00F95661" w:rsidRPr="00A928CB" w:rsidRDefault="00F95661" w:rsidP="00D215E4">
            <w:pPr>
              <w:pStyle w:val="ListParagraph"/>
              <w:ind w:left="601" w:right="-57"/>
              <w:jc w:val="both"/>
              <w:rPr>
                <w:bCs w:val="0"/>
                <w:sz w:val="18"/>
                <w:szCs w:val="18"/>
                <w:highlight w:val="cyan"/>
              </w:rPr>
            </w:pPr>
          </w:p>
        </w:tc>
        <w:tc>
          <w:tcPr>
            <w:tcW w:w="4708" w:type="dxa"/>
          </w:tcPr>
          <w:p w14:paraId="294CAE99" w14:textId="77777777" w:rsidR="00F95661" w:rsidRPr="00A928CB" w:rsidRDefault="00F95661" w:rsidP="00D215E4">
            <w:pPr>
              <w:pStyle w:val="ListParagraph"/>
              <w:tabs>
                <w:tab w:val="left" w:pos="5590"/>
                <w:tab w:val="right" w:pos="7620"/>
                <w:tab w:val="right" w:pos="9460"/>
                <w:tab w:val="right" w:pos="10080"/>
              </w:tabs>
              <w:ind w:left="704" w:right="-57"/>
              <w:jc w:val="both"/>
              <w:rPr>
                <w:bCs w:val="0"/>
                <w:i/>
                <w:sz w:val="18"/>
                <w:szCs w:val="18"/>
                <w:highlight w:val="cyan"/>
              </w:rPr>
            </w:pPr>
          </w:p>
        </w:tc>
      </w:tr>
      <w:tr w:rsidR="00F95661" w:rsidRPr="00A928CB" w14:paraId="3842F91B" w14:textId="77777777" w:rsidTr="00D215E4">
        <w:tc>
          <w:tcPr>
            <w:tcW w:w="4708" w:type="dxa"/>
          </w:tcPr>
          <w:p w14:paraId="22034D66" w14:textId="77777777" w:rsidR="00F95661" w:rsidRPr="00F95661" w:rsidRDefault="00F95661" w:rsidP="00D215E4">
            <w:pPr>
              <w:pStyle w:val="ListParagraph"/>
              <w:ind w:left="567"/>
              <w:jc w:val="both"/>
              <w:rPr>
                <w:b/>
                <w:sz w:val="18"/>
                <w:szCs w:val="18"/>
              </w:rPr>
            </w:pPr>
            <w:r w:rsidRPr="00F95661">
              <w:rPr>
                <w:b/>
                <w:sz w:val="18"/>
                <w:szCs w:val="18"/>
              </w:rPr>
              <w:t>Alokasi</w:t>
            </w:r>
          </w:p>
        </w:tc>
        <w:tc>
          <w:tcPr>
            <w:tcW w:w="4708" w:type="dxa"/>
          </w:tcPr>
          <w:p w14:paraId="73BD17B2" w14:textId="77777777" w:rsidR="00F95661" w:rsidRPr="00F95661" w:rsidRDefault="00F95661" w:rsidP="00D215E4">
            <w:pPr>
              <w:pStyle w:val="ListParagraph"/>
              <w:tabs>
                <w:tab w:val="left" w:pos="5590"/>
                <w:tab w:val="right" w:pos="7620"/>
                <w:tab w:val="right" w:pos="9460"/>
                <w:tab w:val="right" w:pos="10080"/>
              </w:tabs>
              <w:ind w:left="567"/>
              <w:jc w:val="both"/>
              <w:rPr>
                <w:b/>
                <w:i/>
                <w:sz w:val="18"/>
                <w:szCs w:val="18"/>
              </w:rPr>
            </w:pPr>
            <w:r w:rsidRPr="00F95661">
              <w:rPr>
                <w:b/>
                <w:i/>
                <w:sz w:val="18"/>
                <w:szCs w:val="18"/>
              </w:rPr>
              <w:t>Allocation</w:t>
            </w:r>
          </w:p>
        </w:tc>
      </w:tr>
      <w:tr w:rsidR="00F95661" w:rsidRPr="00A928CB" w14:paraId="046EEEED" w14:textId="77777777" w:rsidTr="00D215E4">
        <w:tc>
          <w:tcPr>
            <w:tcW w:w="4708" w:type="dxa"/>
          </w:tcPr>
          <w:p w14:paraId="7C5B5AF2" w14:textId="77777777" w:rsidR="00F95661" w:rsidRPr="00A928CB" w:rsidRDefault="00F95661" w:rsidP="00D215E4">
            <w:pPr>
              <w:pStyle w:val="ListParagraph"/>
              <w:ind w:left="601" w:right="-57"/>
              <w:jc w:val="both"/>
              <w:rPr>
                <w:b/>
                <w:bCs w:val="0"/>
                <w:sz w:val="14"/>
                <w:szCs w:val="18"/>
                <w:highlight w:val="cyan"/>
              </w:rPr>
            </w:pPr>
          </w:p>
        </w:tc>
        <w:tc>
          <w:tcPr>
            <w:tcW w:w="4708" w:type="dxa"/>
          </w:tcPr>
          <w:p w14:paraId="57BCE375" w14:textId="77777777" w:rsidR="00F95661" w:rsidRPr="00A928CB" w:rsidRDefault="00F95661" w:rsidP="00D215E4">
            <w:pPr>
              <w:pStyle w:val="ListParagraph"/>
              <w:tabs>
                <w:tab w:val="left" w:pos="5590"/>
                <w:tab w:val="right" w:pos="7620"/>
                <w:tab w:val="right" w:pos="9460"/>
                <w:tab w:val="right" w:pos="10080"/>
              </w:tabs>
              <w:ind w:left="1242" w:right="-57" w:hanging="538"/>
              <w:jc w:val="both"/>
              <w:rPr>
                <w:b/>
                <w:bCs w:val="0"/>
                <w:i/>
                <w:sz w:val="14"/>
                <w:szCs w:val="18"/>
                <w:highlight w:val="cyan"/>
              </w:rPr>
            </w:pPr>
          </w:p>
        </w:tc>
      </w:tr>
      <w:tr w:rsidR="00F95661" w:rsidRPr="00F95661" w14:paraId="7F8674B6" w14:textId="77777777" w:rsidTr="00D215E4">
        <w:tc>
          <w:tcPr>
            <w:tcW w:w="4708" w:type="dxa"/>
          </w:tcPr>
          <w:p w14:paraId="2ED0B165" w14:textId="6091D3EB" w:rsidR="00F95661" w:rsidRPr="00F95661" w:rsidRDefault="00F95661" w:rsidP="00600BA9">
            <w:pPr>
              <w:pStyle w:val="ListParagraph"/>
              <w:ind w:left="567" w:right="-57"/>
              <w:jc w:val="both"/>
              <w:rPr>
                <w:bCs w:val="0"/>
                <w:sz w:val="18"/>
                <w:szCs w:val="18"/>
              </w:rPr>
            </w:pPr>
            <w:r w:rsidRPr="00F95661">
              <w:rPr>
                <w:bCs w:val="0"/>
                <w:sz w:val="18"/>
                <w:szCs w:val="18"/>
              </w:rPr>
              <w:t>Untuk transaksi atau peristiwa lainnya yang diakui dalam laba rugi</w:t>
            </w:r>
            <w:r w:rsidR="00600BA9">
              <w:rPr>
                <w:bCs w:val="0"/>
                <w:sz w:val="18"/>
                <w:szCs w:val="18"/>
              </w:rPr>
              <w:t>,</w:t>
            </w:r>
            <w:r w:rsidRPr="00F95661">
              <w:rPr>
                <w:bCs w:val="0"/>
                <w:sz w:val="18"/>
                <w:szCs w:val="18"/>
              </w:rPr>
              <w:t xml:space="preserve"> setiap pengaruh pajak terkait juga diakui dalam laba rugi. Untuk transaksi atau peristiwa lainnya yang diakui diluar laba rugi (baik dalam OCI maupun langsung dalam ekuitas)</w:t>
            </w:r>
            <w:r w:rsidR="00600BA9">
              <w:rPr>
                <w:bCs w:val="0"/>
                <w:sz w:val="18"/>
                <w:szCs w:val="18"/>
              </w:rPr>
              <w:t>,</w:t>
            </w:r>
            <w:r w:rsidRPr="00F95661">
              <w:rPr>
                <w:bCs w:val="0"/>
                <w:sz w:val="18"/>
                <w:szCs w:val="18"/>
              </w:rPr>
              <w:t xml:space="preserve"> setiap pengaruh pajak</w:t>
            </w:r>
            <w:r w:rsidRPr="00F95661">
              <w:rPr>
                <w:sz w:val="18"/>
                <w:szCs w:val="18"/>
              </w:rPr>
              <w:t xml:space="preserve"> </w:t>
            </w:r>
            <w:r w:rsidRPr="00F95661">
              <w:rPr>
                <w:bCs w:val="0"/>
                <w:sz w:val="18"/>
                <w:szCs w:val="18"/>
              </w:rPr>
              <w:t>terkait juga diakui diluar laba rugi (baik dalam OCI maupun langsung dalam ekuitas</w:t>
            </w:r>
            <w:r w:rsidR="00600BA9">
              <w:rPr>
                <w:bCs w:val="0"/>
                <w:sz w:val="18"/>
                <w:szCs w:val="18"/>
              </w:rPr>
              <w:t>,</w:t>
            </w:r>
            <w:r w:rsidRPr="00F95661">
              <w:rPr>
                <w:bCs w:val="0"/>
                <w:sz w:val="18"/>
                <w:szCs w:val="18"/>
              </w:rPr>
              <w:t xml:space="preserve"> masing-masing). Demikian juga</w:t>
            </w:r>
            <w:r w:rsidR="00870FD0">
              <w:rPr>
                <w:bCs w:val="0"/>
                <w:sz w:val="18"/>
                <w:szCs w:val="18"/>
              </w:rPr>
              <w:t>.</w:t>
            </w:r>
            <w:r w:rsidRPr="00F95661">
              <w:rPr>
                <w:bCs w:val="0"/>
                <w:sz w:val="18"/>
                <w:szCs w:val="18"/>
              </w:rPr>
              <w:t xml:space="preserve"> </w:t>
            </w:r>
            <w:proofErr w:type="gramStart"/>
            <w:r w:rsidRPr="00F95661">
              <w:rPr>
                <w:bCs w:val="0"/>
                <w:sz w:val="18"/>
                <w:szCs w:val="18"/>
              </w:rPr>
              <w:t>pengakuan</w:t>
            </w:r>
            <w:proofErr w:type="gramEnd"/>
            <w:r w:rsidRPr="00F95661">
              <w:rPr>
                <w:bCs w:val="0"/>
                <w:sz w:val="18"/>
                <w:szCs w:val="18"/>
              </w:rPr>
              <w:t xml:space="preserve"> aset dan liabilitas pajak tangguhan dalam kombinasi bisnis mempengaruhi jumlah </w:t>
            </w:r>
            <w:r w:rsidRPr="00F95661">
              <w:rPr>
                <w:bCs w:val="0"/>
                <w:i/>
                <w:sz w:val="18"/>
                <w:szCs w:val="18"/>
              </w:rPr>
              <w:t>goodwill</w:t>
            </w:r>
            <w:r w:rsidRPr="00F95661">
              <w:rPr>
                <w:bCs w:val="0"/>
                <w:sz w:val="18"/>
                <w:szCs w:val="18"/>
              </w:rPr>
              <w:t xml:space="preserve"> yang timbul dari kombinasi bisnis tersebut atau keuntungan dari pembelian dengan diskon.</w:t>
            </w:r>
          </w:p>
        </w:tc>
        <w:tc>
          <w:tcPr>
            <w:tcW w:w="4708" w:type="dxa"/>
          </w:tcPr>
          <w:p w14:paraId="17324B7B" w14:textId="5FA1310A" w:rsidR="00F95661" w:rsidRPr="00F95661" w:rsidRDefault="00F95661" w:rsidP="00600BA9">
            <w:pPr>
              <w:pStyle w:val="ListParagraph"/>
              <w:tabs>
                <w:tab w:val="left" w:pos="5590"/>
                <w:tab w:val="right" w:pos="7620"/>
                <w:tab w:val="right" w:pos="9460"/>
                <w:tab w:val="right" w:pos="10080"/>
              </w:tabs>
              <w:ind w:left="567" w:right="-57"/>
              <w:jc w:val="both"/>
              <w:rPr>
                <w:sz w:val="18"/>
                <w:szCs w:val="18"/>
              </w:rPr>
            </w:pPr>
            <w:r w:rsidRPr="00F95661">
              <w:rPr>
                <w:bCs w:val="0"/>
                <w:i/>
                <w:sz w:val="18"/>
                <w:szCs w:val="18"/>
              </w:rPr>
              <w:t>For transactions and other events recognized in profit or loss</w:t>
            </w:r>
            <w:r w:rsidR="00600BA9">
              <w:rPr>
                <w:bCs w:val="0"/>
                <w:i/>
                <w:sz w:val="18"/>
                <w:szCs w:val="18"/>
              </w:rPr>
              <w:t>,</w:t>
            </w:r>
            <w:r w:rsidRPr="00F95661">
              <w:rPr>
                <w:bCs w:val="0"/>
                <w:i/>
                <w:sz w:val="18"/>
                <w:szCs w:val="18"/>
              </w:rPr>
              <w:t xml:space="preserve"> any related tax effects are also recognized in profit or loss. For transactions and other events recognized outside profit or loss (either in OCI or directly in equity)</w:t>
            </w:r>
            <w:r w:rsidR="00600BA9">
              <w:rPr>
                <w:bCs w:val="0"/>
                <w:i/>
                <w:sz w:val="18"/>
                <w:szCs w:val="18"/>
              </w:rPr>
              <w:t>,</w:t>
            </w:r>
            <w:r w:rsidRPr="00F95661">
              <w:rPr>
                <w:bCs w:val="0"/>
                <w:i/>
                <w:sz w:val="18"/>
                <w:szCs w:val="18"/>
              </w:rPr>
              <w:t xml:space="preserve"> any related tax effects are also recognized outside profit or loss (either in OCI or directly in equity</w:t>
            </w:r>
            <w:r w:rsidR="00600BA9">
              <w:rPr>
                <w:bCs w:val="0"/>
                <w:i/>
                <w:sz w:val="18"/>
                <w:szCs w:val="18"/>
              </w:rPr>
              <w:t>,</w:t>
            </w:r>
            <w:r w:rsidRPr="00F95661">
              <w:rPr>
                <w:bCs w:val="0"/>
                <w:i/>
                <w:sz w:val="18"/>
                <w:szCs w:val="18"/>
              </w:rPr>
              <w:t xml:space="preserve"> respectively). Similarly</w:t>
            </w:r>
            <w:r w:rsidR="00870FD0">
              <w:rPr>
                <w:bCs w:val="0"/>
                <w:i/>
                <w:sz w:val="18"/>
                <w:szCs w:val="18"/>
              </w:rPr>
              <w:t>.</w:t>
            </w:r>
            <w:r w:rsidRPr="00F95661">
              <w:rPr>
                <w:bCs w:val="0"/>
                <w:i/>
                <w:sz w:val="18"/>
                <w:szCs w:val="18"/>
              </w:rPr>
              <w:t xml:space="preserve"> </w:t>
            </w:r>
            <w:proofErr w:type="gramStart"/>
            <w:r w:rsidRPr="00F95661">
              <w:rPr>
                <w:bCs w:val="0"/>
                <w:i/>
                <w:sz w:val="18"/>
                <w:szCs w:val="18"/>
              </w:rPr>
              <w:t>the</w:t>
            </w:r>
            <w:proofErr w:type="gramEnd"/>
            <w:r w:rsidRPr="00F95661">
              <w:rPr>
                <w:bCs w:val="0"/>
                <w:i/>
                <w:sz w:val="18"/>
                <w:szCs w:val="18"/>
              </w:rPr>
              <w:t xml:space="preserve"> recognition of deferred tax assets and liabilities in a business combination affects the amount of goodwill arising in that business combination or the amount of the bargain purchase gain recognized.</w:t>
            </w:r>
          </w:p>
        </w:tc>
      </w:tr>
      <w:tr w:rsidR="00F95661" w:rsidRPr="00F95661" w14:paraId="2D50CE32" w14:textId="77777777" w:rsidTr="00D215E4">
        <w:tc>
          <w:tcPr>
            <w:tcW w:w="4708" w:type="dxa"/>
          </w:tcPr>
          <w:p w14:paraId="643871CF" w14:textId="77777777" w:rsidR="00F95661" w:rsidRPr="00F95661" w:rsidRDefault="00F95661" w:rsidP="00D215E4">
            <w:pPr>
              <w:tabs>
                <w:tab w:val="left" w:pos="1020"/>
              </w:tabs>
              <w:jc w:val="both"/>
              <w:rPr>
                <w:rStyle w:val="hps"/>
                <w:b/>
                <w:sz w:val="14"/>
                <w:szCs w:val="18"/>
              </w:rPr>
            </w:pPr>
          </w:p>
        </w:tc>
        <w:tc>
          <w:tcPr>
            <w:tcW w:w="4708" w:type="dxa"/>
          </w:tcPr>
          <w:p w14:paraId="6473109A" w14:textId="77777777" w:rsidR="00F95661" w:rsidRPr="00F95661" w:rsidRDefault="00F95661" w:rsidP="00D215E4">
            <w:pPr>
              <w:ind w:left="426"/>
              <w:jc w:val="both"/>
              <w:rPr>
                <w:bCs w:val="0"/>
                <w:i/>
                <w:sz w:val="14"/>
                <w:szCs w:val="18"/>
              </w:rPr>
            </w:pPr>
          </w:p>
        </w:tc>
      </w:tr>
      <w:tr w:rsidR="00F95661" w:rsidRPr="00F95661" w14:paraId="77F994EE" w14:textId="77777777" w:rsidTr="00D215E4">
        <w:tc>
          <w:tcPr>
            <w:tcW w:w="4708" w:type="dxa"/>
          </w:tcPr>
          <w:p w14:paraId="10031D5F" w14:textId="77777777" w:rsidR="00F95661" w:rsidRPr="00F95661" w:rsidRDefault="00F95661" w:rsidP="00D215E4">
            <w:pPr>
              <w:pStyle w:val="ListParagraph"/>
              <w:ind w:left="567"/>
              <w:jc w:val="both"/>
              <w:rPr>
                <w:b/>
                <w:bCs w:val="0"/>
                <w:sz w:val="18"/>
                <w:szCs w:val="18"/>
              </w:rPr>
            </w:pPr>
            <w:r w:rsidRPr="00F95661">
              <w:rPr>
                <w:b/>
                <w:bCs w:val="0"/>
                <w:sz w:val="18"/>
                <w:szCs w:val="18"/>
              </w:rPr>
              <w:t xml:space="preserve">Saling </w:t>
            </w:r>
            <w:r w:rsidRPr="00F95661">
              <w:rPr>
                <w:b/>
                <w:sz w:val="18"/>
                <w:szCs w:val="18"/>
              </w:rPr>
              <w:t>Hapus</w:t>
            </w:r>
          </w:p>
        </w:tc>
        <w:tc>
          <w:tcPr>
            <w:tcW w:w="4708" w:type="dxa"/>
          </w:tcPr>
          <w:p w14:paraId="628A8ABE" w14:textId="77777777" w:rsidR="00F95661" w:rsidRPr="00F95661" w:rsidRDefault="00F95661" w:rsidP="00D215E4">
            <w:pPr>
              <w:pStyle w:val="ListParagraph"/>
              <w:tabs>
                <w:tab w:val="left" w:pos="5590"/>
                <w:tab w:val="right" w:pos="7620"/>
                <w:tab w:val="right" w:pos="9460"/>
                <w:tab w:val="right" w:pos="10080"/>
              </w:tabs>
              <w:ind w:left="567"/>
              <w:jc w:val="both"/>
              <w:rPr>
                <w:b/>
                <w:bCs w:val="0"/>
                <w:i/>
                <w:sz w:val="18"/>
                <w:szCs w:val="18"/>
              </w:rPr>
            </w:pPr>
            <w:r w:rsidRPr="00F95661">
              <w:rPr>
                <w:b/>
                <w:bCs w:val="0"/>
                <w:i/>
                <w:sz w:val="18"/>
                <w:szCs w:val="18"/>
              </w:rPr>
              <w:t>Offset</w:t>
            </w:r>
          </w:p>
        </w:tc>
      </w:tr>
      <w:tr w:rsidR="00F95661" w:rsidRPr="00F95661" w14:paraId="431C0271" w14:textId="77777777" w:rsidTr="00D215E4">
        <w:tc>
          <w:tcPr>
            <w:tcW w:w="4708" w:type="dxa"/>
          </w:tcPr>
          <w:p w14:paraId="3CD35C9B" w14:textId="77777777" w:rsidR="00F95661" w:rsidRPr="00F95661" w:rsidRDefault="00F95661" w:rsidP="00D215E4">
            <w:pPr>
              <w:pStyle w:val="ListParagraph"/>
              <w:ind w:left="601" w:right="-57"/>
              <w:jc w:val="both"/>
              <w:rPr>
                <w:bCs w:val="0"/>
                <w:sz w:val="14"/>
                <w:szCs w:val="18"/>
              </w:rPr>
            </w:pPr>
          </w:p>
        </w:tc>
        <w:tc>
          <w:tcPr>
            <w:tcW w:w="4708" w:type="dxa"/>
          </w:tcPr>
          <w:p w14:paraId="139480C0" w14:textId="77777777" w:rsidR="00F95661" w:rsidRPr="00F95661" w:rsidRDefault="00F95661" w:rsidP="00D215E4">
            <w:pPr>
              <w:pStyle w:val="ListParagraph"/>
              <w:tabs>
                <w:tab w:val="left" w:pos="5590"/>
                <w:tab w:val="right" w:pos="7620"/>
                <w:tab w:val="right" w:pos="9460"/>
                <w:tab w:val="right" w:pos="10080"/>
              </w:tabs>
              <w:ind w:left="572" w:right="-57"/>
              <w:jc w:val="both"/>
              <w:rPr>
                <w:bCs w:val="0"/>
                <w:i/>
                <w:sz w:val="14"/>
                <w:szCs w:val="18"/>
              </w:rPr>
            </w:pPr>
          </w:p>
        </w:tc>
      </w:tr>
      <w:tr w:rsidR="00F95661" w:rsidRPr="00A928CB" w14:paraId="38E6F2AD" w14:textId="77777777" w:rsidTr="00D215E4">
        <w:tc>
          <w:tcPr>
            <w:tcW w:w="4708" w:type="dxa"/>
          </w:tcPr>
          <w:p w14:paraId="249687D6" w14:textId="0453BEC3" w:rsidR="00F95661" w:rsidRPr="00F95661" w:rsidRDefault="00F95661" w:rsidP="002523B0">
            <w:pPr>
              <w:pStyle w:val="ListParagraph"/>
              <w:ind w:left="567" w:right="-57"/>
              <w:jc w:val="both"/>
              <w:rPr>
                <w:bCs w:val="0"/>
                <w:sz w:val="18"/>
                <w:szCs w:val="18"/>
              </w:rPr>
            </w:pPr>
            <w:r w:rsidRPr="00F95661">
              <w:rPr>
                <w:bCs w:val="0"/>
                <w:sz w:val="18"/>
                <w:szCs w:val="18"/>
              </w:rPr>
              <w:t>Aset pajak tangguhan dan liabilitas pajak tangguhan saling hapus jika</w:t>
            </w:r>
            <w:r w:rsidR="002523B0">
              <w:rPr>
                <w:bCs w:val="0"/>
                <w:sz w:val="18"/>
                <w:szCs w:val="18"/>
              </w:rPr>
              <w:t>,</w:t>
            </w:r>
            <w:r w:rsidRPr="00F95661">
              <w:rPr>
                <w:bCs w:val="0"/>
                <w:sz w:val="18"/>
                <w:szCs w:val="18"/>
              </w:rPr>
              <w:t xml:space="preserve"> dan hanya jika</w:t>
            </w:r>
            <w:r w:rsidR="00870FD0">
              <w:rPr>
                <w:bCs w:val="0"/>
                <w:sz w:val="18"/>
                <w:szCs w:val="18"/>
              </w:rPr>
              <w:t>.</w:t>
            </w:r>
            <w:r w:rsidRPr="00F95661">
              <w:rPr>
                <w:bCs w:val="0"/>
                <w:sz w:val="18"/>
                <w:szCs w:val="18"/>
              </w:rPr>
              <w:t xml:space="preserve"> </w:t>
            </w:r>
            <w:proofErr w:type="gramStart"/>
            <w:r w:rsidRPr="00F95661">
              <w:rPr>
                <w:bCs w:val="0"/>
                <w:sz w:val="18"/>
                <w:szCs w:val="18"/>
              </w:rPr>
              <w:t>memiliki</w:t>
            </w:r>
            <w:proofErr w:type="gramEnd"/>
            <w:r w:rsidRPr="00F95661">
              <w:rPr>
                <w:bCs w:val="0"/>
                <w:sz w:val="18"/>
                <w:szCs w:val="18"/>
              </w:rPr>
              <w:t xml:space="preserve"> hak secara hukum untuk saling hapus aset pajak kini terhadap liabilitas pajak kini</w:t>
            </w:r>
            <w:r w:rsidR="002523B0">
              <w:rPr>
                <w:bCs w:val="0"/>
                <w:sz w:val="18"/>
                <w:szCs w:val="18"/>
              </w:rPr>
              <w:t>,</w:t>
            </w:r>
            <w:r w:rsidRPr="00F95661">
              <w:rPr>
                <w:bCs w:val="0"/>
                <w:sz w:val="18"/>
                <w:szCs w:val="18"/>
              </w:rPr>
              <w:t xml:space="preserve"> atau aset pajak tangguhan dan liabilitas pajak tangguhan terkait entitas kena pajak yang sama</w:t>
            </w:r>
            <w:r w:rsidR="002523B0">
              <w:rPr>
                <w:bCs w:val="0"/>
                <w:sz w:val="18"/>
                <w:szCs w:val="18"/>
              </w:rPr>
              <w:t>,</w:t>
            </w:r>
            <w:r w:rsidRPr="00F95661">
              <w:rPr>
                <w:bCs w:val="0"/>
                <w:sz w:val="18"/>
                <w:szCs w:val="18"/>
              </w:rPr>
              <w:t xml:space="preserve"> atau entitas berniat untuk menyelesaikan aset dan liabilitas pajak kini dengan dasar neto. </w:t>
            </w:r>
          </w:p>
        </w:tc>
        <w:tc>
          <w:tcPr>
            <w:tcW w:w="4708" w:type="dxa"/>
          </w:tcPr>
          <w:p w14:paraId="3DE5EDF7" w14:textId="4DAB9867" w:rsidR="00F95661" w:rsidRPr="00F95661" w:rsidRDefault="00F95661" w:rsidP="002523B0">
            <w:pPr>
              <w:pStyle w:val="ListParagraph"/>
              <w:tabs>
                <w:tab w:val="left" w:pos="5590"/>
                <w:tab w:val="right" w:pos="7620"/>
                <w:tab w:val="right" w:pos="9460"/>
                <w:tab w:val="right" w:pos="10080"/>
              </w:tabs>
              <w:ind w:left="567" w:right="-57"/>
              <w:jc w:val="both"/>
              <w:rPr>
                <w:bCs w:val="0"/>
                <w:i/>
                <w:sz w:val="18"/>
                <w:szCs w:val="18"/>
              </w:rPr>
            </w:pPr>
            <w:r w:rsidRPr="00F95661">
              <w:rPr>
                <w:bCs w:val="0"/>
                <w:i/>
                <w:sz w:val="18"/>
                <w:szCs w:val="18"/>
              </w:rPr>
              <w:t>Deferred tax assets and deferred tax liabilities are offset if</w:t>
            </w:r>
            <w:r w:rsidR="002523B0">
              <w:rPr>
                <w:bCs w:val="0"/>
                <w:i/>
                <w:sz w:val="18"/>
                <w:szCs w:val="18"/>
              </w:rPr>
              <w:t>,</w:t>
            </w:r>
            <w:r w:rsidRPr="00F95661">
              <w:rPr>
                <w:bCs w:val="0"/>
                <w:i/>
                <w:sz w:val="18"/>
                <w:szCs w:val="18"/>
              </w:rPr>
              <w:t xml:space="preserve"> and only if</w:t>
            </w:r>
            <w:r w:rsidR="002523B0">
              <w:rPr>
                <w:bCs w:val="0"/>
                <w:i/>
                <w:sz w:val="18"/>
                <w:szCs w:val="18"/>
              </w:rPr>
              <w:t>,</w:t>
            </w:r>
            <w:r w:rsidRPr="00F95661">
              <w:rPr>
                <w:bCs w:val="0"/>
                <w:i/>
                <w:sz w:val="18"/>
                <w:szCs w:val="18"/>
              </w:rPr>
              <w:t xml:space="preserve"> legally enforceable right exists to offset current tax assets against current tax liabilities</w:t>
            </w:r>
            <w:r w:rsidR="002523B0">
              <w:rPr>
                <w:bCs w:val="0"/>
                <w:i/>
                <w:sz w:val="18"/>
                <w:szCs w:val="18"/>
              </w:rPr>
              <w:t>,</w:t>
            </w:r>
            <w:r w:rsidRPr="00F95661">
              <w:rPr>
                <w:bCs w:val="0"/>
                <w:i/>
                <w:sz w:val="18"/>
                <w:szCs w:val="18"/>
              </w:rPr>
              <w:t xml:space="preserve"> or deferred tax assets and deferred tax liabilities relate to the same taxable entity</w:t>
            </w:r>
            <w:r w:rsidR="002523B0">
              <w:rPr>
                <w:bCs w:val="0"/>
                <w:i/>
                <w:sz w:val="18"/>
                <w:szCs w:val="18"/>
              </w:rPr>
              <w:t>,</w:t>
            </w:r>
            <w:r w:rsidRPr="00F95661">
              <w:rPr>
                <w:bCs w:val="0"/>
                <w:i/>
                <w:sz w:val="18"/>
                <w:szCs w:val="18"/>
              </w:rPr>
              <w:t xml:space="preserve"> or the entity intends to settle its current tax assets and liabilities on a net basis.</w:t>
            </w:r>
          </w:p>
        </w:tc>
      </w:tr>
    </w:tbl>
    <w:p w14:paraId="3C7597CC" w14:textId="70B8FC0D" w:rsidR="00273CB8" w:rsidRPr="00A928CB" w:rsidRDefault="0077652E" w:rsidP="0013526B">
      <w:pPr>
        <w:rPr>
          <w:sz w:val="18"/>
          <w:szCs w:val="18"/>
          <w:lang w:val="id-ID"/>
        </w:rPr>
      </w:pPr>
      <w:r>
        <w:rPr>
          <w:sz w:val="18"/>
          <w:szCs w:val="18"/>
          <w:lang w:val="id-ID"/>
        </w:rPr>
        <w:br w:type="page"/>
      </w:r>
    </w:p>
    <w:tbl>
      <w:tblPr>
        <w:tblW w:w="9197" w:type="dxa"/>
        <w:tblInd w:w="392" w:type="dxa"/>
        <w:tblLayout w:type="fixed"/>
        <w:tblLook w:val="0000" w:firstRow="0" w:lastRow="0" w:firstColumn="0" w:lastColumn="0" w:noHBand="0" w:noVBand="0"/>
      </w:tblPr>
      <w:tblGrid>
        <w:gridCol w:w="4599"/>
        <w:gridCol w:w="4598"/>
      </w:tblGrid>
      <w:tr w:rsidR="00CE1D45" w:rsidRPr="006977B6" w14:paraId="7031D72C" w14:textId="77777777" w:rsidTr="00F95661">
        <w:tc>
          <w:tcPr>
            <w:tcW w:w="4599" w:type="dxa"/>
          </w:tcPr>
          <w:p w14:paraId="064D52F1" w14:textId="2B91DECB" w:rsidR="00CE1D45" w:rsidRPr="006977B6" w:rsidRDefault="00CE1D45" w:rsidP="005F361E">
            <w:pPr>
              <w:pStyle w:val="ListParagraph"/>
              <w:numPr>
                <w:ilvl w:val="0"/>
                <w:numId w:val="58"/>
              </w:numPr>
              <w:ind w:left="284" w:right="-57" w:hanging="284"/>
              <w:contextualSpacing/>
              <w:jc w:val="both"/>
              <w:rPr>
                <w:rStyle w:val="hps"/>
                <w:b/>
                <w:sz w:val="18"/>
                <w:szCs w:val="18"/>
              </w:rPr>
            </w:pPr>
            <w:r w:rsidRPr="006977B6">
              <w:rPr>
                <w:rStyle w:val="hps"/>
                <w:b/>
                <w:sz w:val="18"/>
                <w:szCs w:val="18"/>
              </w:rPr>
              <w:lastRenderedPageBreak/>
              <w:t xml:space="preserve">IKHTISAR KEBIJAKAN AKUNTANSI </w:t>
            </w:r>
            <w:r w:rsidR="00C85EDE" w:rsidRPr="006977B6">
              <w:rPr>
                <w:rStyle w:val="hps"/>
                <w:b/>
                <w:sz w:val="18"/>
                <w:szCs w:val="18"/>
                <w:lang w:val="id-ID"/>
              </w:rPr>
              <w:t xml:space="preserve">YANG </w:t>
            </w:r>
            <w:r w:rsidRPr="006977B6">
              <w:rPr>
                <w:rStyle w:val="hps"/>
                <w:b/>
                <w:sz w:val="18"/>
                <w:szCs w:val="18"/>
              </w:rPr>
              <w:t xml:space="preserve">PENTING </w:t>
            </w:r>
            <w:r w:rsidR="00A928CB" w:rsidRPr="006977B6">
              <w:rPr>
                <w:rStyle w:val="hps"/>
                <w:b/>
                <w:sz w:val="18"/>
                <w:szCs w:val="18"/>
              </w:rPr>
              <w:t xml:space="preserve">- </w:t>
            </w:r>
            <w:r w:rsidRPr="006977B6">
              <w:rPr>
                <w:rStyle w:val="hps"/>
                <w:b/>
                <w:sz w:val="18"/>
                <w:szCs w:val="18"/>
              </w:rPr>
              <w:t>Lanjutan</w:t>
            </w:r>
          </w:p>
        </w:tc>
        <w:tc>
          <w:tcPr>
            <w:tcW w:w="4598" w:type="dxa"/>
          </w:tcPr>
          <w:p w14:paraId="5F739541" w14:textId="77777777" w:rsidR="00CE1D45" w:rsidRPr="006977B6" w:rsidRDefault="00CE1D45" w:rsidP="005F361E">
            <w:pPr>
              <w:pStyle w:val="ListParagraph"/>
              <w:numPr>
                <w:ilvl w:val="0"/>
                <w:numId w:val="59"/>
              </w:numPr>
              <w:ind w:left="284" w:right="-57" w:hanging="284"/>
              <w:contextualSpacing/>
              <w:jc w:val="both"/>
              <w:rPr>
                <w:b/>
                <w:bCs w:val="0"/>
                <w:i/>
                <w:sz w:val="18"/>
                <w:szCs w:val="18"/>
              </w:rPr>
            </w:pPr>
            <w:r w:rsidRPr="006977B6">
              <w:rPr>
                <w:b/>
                <w:i/>
                <w:sz w:val="18"/>
                <w:szCs w:val="18"/>
              </w:rPr>
              <w:t>SUMMARY OF SIGNIFICANT ACCOUNTING POLICIES - Continued</w:t>
            </w:r>
          </w:p>
        </w:tc>
      </w:tr>
      <w:tr w:rsidR="00CE1D45" w:rsidRPr="006977B6" w14:paraId="1F14E901" w14:textId="77777777" w:rsidTr="00F95661">
        <w:tc>
          <w:tcPr>
            <w:tcW w:w="4599" w:type="dxa"/>
          </w:tcPr>
          <w:p w14:paraId="431896CA" w14:textId="77777777" w:rsidR="00CE1D45" w:rsidRPr="006977B6" w:rsidRDefault="00CE1D45" w:rsidP="0013526B">
            <w:pPr>
              <w:pStyle w:val="ListParagraph"/>
              <w:ind w:left="317"/>
              <w:contextualSpacing/>
              <w:jc w:val="both"/>
              <w:rPr>
                <w:rStyle w:val="hps"/>
                <w:b/>
                <w:sz w:val="18"/>
                <w:szCs w:val="18"/>
              </w:rPr>
            </w:pPr>
          </w:p>
        </w:tc>
        <w:tc>
          <w:tcPr>
            <w:tcW w:w="4598" w:type="dxa"/>
          </w:tcPr>
          <w:p w14:paraId="215D9B20" w14:textId="77777777" w:rsidR="00CE1D45" w:rsidRPr="006977B6" w:rsidRDefault="00CE1D45" w:rsidP="0013526B">
            <w:pPr>
              <w:pStyle w:val="ListParagraph"/>
              <w:ind w:left="289"/>
              <w:contextualSpacing/>
              <w:jc w:val="both"/>
              <w:rPr>
                <w:b/>
                <w:i/>
                <w:sz w:val="18"/>
                <w:szCs w:val="18"/>
              </w:rPr>
            </w:pPr>
          </w:p>
        </w:tc>
      </w:tr>
      <w:tr w:rsidR="001102F9" w:rsidRPr="006977B6" w14:paraId="4EEC58F4" w14:textId="77777777" w:rsidTr="00F95661">
        <w:tc>
          <w:tcPr>
            <w:tcW w:w="4599" w:type="dxa"/>
          </w:tcPr>
          <w:p w14:paraId="519329FD" w14:textId="77777777" w:rsidR="001102F9" w:rsidRPr="006977B6" w:rsidRDefault="00B17861" w:rsidP="00070D1F">
            <w:pPr>
              <w:pStyle w:val="ListParagraph"/>
              <w:numPr>
                <w:ilvl w:val="0"/>
                <w:numId w:val="102"/>
              </w:numPr>
              <w:ind w:left="568" w:hanging="284"/>
              <w:contextualSpacing/>
              <w:jc w:val="both"/>
              <w:rPr>
                <w:rStyle w:val="hps"/>
                <w:b/>
                <w:sz w:val="18"/>
                <w:szCs w:val="18"/>
              </w:rPr>
            </w:pPr>
            <w:r w:rsidRPr="006977B6">
              <w:rPr>
                <w:rStyle w:val="hps"/>
                <w:b/>
                <w:sz w:val="18"/>
                <w:szCs w:val="18"/>
              </w:rPr>
              <w:t>Imbalan K</w:t>
            </w:r>
            <w:r w:rsidR="001102F9" w:rsidRPr="006977B6">
              <w:rPr>
                <w:rStyle w:val="hps"/>
                <w:b/>
                <w:sz w:val="18"/>
                <w:szCs w:val="18"/>
              </w:rPr>
              <w:t xml:space="preserve">erja </w:t>
            </w:r>
          </w:p>
        </w:tc>
        <w:tc>
          <w:tcPr>
            <w:tcW w:w="4598" w:type="dxa"/>
          </w:tcPr>
          <w:p w14:paraId="15BEAC80" w14:textId="77777777" w:rsidR="001102F9" w:rsidRPr="006977B6" w:rsidRDefault="00B17861" w:rsidP="00070D1F">
            <w:pPr>
              <w:pStyle w:val="ListParagraph"/>
              <w:numPr>
                <w:ilvl w:val="0"/>
                <w:numId w:val="103"/>
              </w:numPr>
              <w:ind w:left="568" w:hanging="284"/>
              <w:contextualSpacing/>
              <w:jc w:val="both"/>
              <w:rPr>
                <w:b/>
                <w:bCs w:val="0"/>
                <w:i/>
                <w:sz w:val="18"/>
                <w:szCs w:val="18"/>
              </w:rPr>
            </w:pPr>
            <w:r w:rsidRPr="006977B6">
              <w:rPr>
                <w:b/>
                <w:bCs w:val="0"/>
                <w:i/>
                <w:sz w:val="18"/>
                <w:szCs w:val="18"/>
              </w:rPr>
              <w:t>Employee B</w:t>
            </w:r>
            <w:r w:rsidR="001102F9" w:rsidRPr="006977B6">
              <w:rPr>
                <w:b/>
                <w:bCs w:val="0"/>
                <w:i/>
                <w:sz w:val="18"/>
                <w:szCs w:val="18"/>
              </w:rPr>
              <w:t xml:space="preserve">enefit </w:t>
            </w:r>
          </w:p>
        </w:tc>
      </w:tr>
      <w:tr w:rsidR="00C633A2" w:rsidRPr="006977B6" w14:paraId="5A4B63E5" w14:textId="77777777" w:rsidTr="00F95661">
        <w:tc>
          <w:tcPr>
            <w:tcW w:w="4599" w:type="dxa"/>
          </w:tcPr>
          <w:p w14:paraId="5C1D7A28" w14:textId="77777777" w:rsidR="00C633A2" w:rsidRPr="006977B6" w:rsidRDefault="00C633A2" w:rsidP="0013526B">
            <w:pPr>
              <w:tabs>
                <w:tab w:val="left" w:pos="1020"/>
              </w:tabs>
              <w:ind w:left="688"/>
              <w:jc w:val="both"/>
              <w:rPr>
                <w:rStyle w:val="hps"/>
                <w:sz w:val="14"/>
                <w:szCs w:val="18"/>
              </w:rPr>
            </w:pPr>
          </w:p>
        </w:tc>
        <w:tc>
          <w:tcPr>
            <w:tcW w:w="4598" w:type="dxa"/>
          </w:tcPr>
          <w:p w14:paraId="71E4317C" w14:textId="77777777" w:rsidR="00C633A2" w:rsidRPr="006977B6" w:rsidRDefault="00C633A2" w:rsidP="0013526B">
            <w:pPr>
              <w:ind w:left="624"/>
              <w:jc w:val="both"/>
              <w:rPr>
                <w:bCs w:val="0"/>
                <w:i/>
                <w:sz w:val="14"/>
                <w:szCs w:val="18"/>
              </w:rPr>
            </w:pPr>
          </w:p>
        </w:tc>
      </w:tr>
      <w:tr w:rsidR="00273CB8" w:rsidRPr="006977B6" w14:paraId="2FFD7534" w14:textId="77777777" w:rsidTr="00F95661">
        <w:tc>
          <w:tcPr>
            <w:tcW w:w="4599" w:type="dxa"/>
          </w:tcPr>
          <w:p w14:paraId="19444027" w14:textId="77777777" w:rsidR="00273CB8" w:rsidRPr="006977B6" w:rsidRDefault="00273CB8" w:rsidP="0013526B">
            <w:pPr>
              <w:pStyle w:val="ListParagraph"/>
              <w:ind w:left="567" w:right="-57"/>
              <w:jc w:val="both"/>
              <w:rPr>
                <w:sz w:val="18"/>
                <w:szCs w:val="18"/>
                <w:u w:val="single"/>
              </w:rPr>
            </w:pPr>
            <w:r w:rsidRPr="006977B6">
              <w:rPr>
                <w:sz w:val="18"/>
                <w:szCs w:val="18"/>
                <w:u w:val="single"/>
              </w:rPr>
              <w:t>Imbalan kerja jangka pendek</w:t>
            </w:r>
          </w:p>
        </w:tc>
        <w:tc>
          <w:tcPr>
            <w:tcW w:w="4598" w:type="dxa"/>
          </w:tcPr>
          <w:p w14:paraId="6A5DEA96" w14:textId="77777777" w:rsidR="00273CB8" w:rsidRPr="006977B6" w:rsidRDefault="00273CB8" w:rsidP="0013526B">
            <w:pPr>
              <w:pStyle w:val="ListParagraph"/>
              <w:tabs>
                <w:tab w:val="left" w:pos="5590"/>
                <w:tab w:val="right" w:pos="7620"/>
                <w:tab w:val="right" w:pos="9460"/>
                <w:tab w:val="right" w:pos="10080"/>
              </w:tabs>
              <w:ind w:left="567" w:right="-57"/>
              <w:jc w:val="both"/>
              <w:rPr>
                <w:i/>
                <w:iCs/>
                <w:spacing w:val="-1"/>
                <w:sz w:val="18"/>
                <w:szCs w:val="18"/>
                <w:u w:val="single"/>
              </w:rPr>
            </w:pPr>
            <w:r w:rsidRPr="006977B6">
              <w:rPr>
                <w:i/>
                <w:iCs/>
                <w:spacing w:val="-1"/>
                <w:sz w:val="18"/>
                <w:szCs w:val="18"/>
                <w:u w:val="single"/>
              </w:rPr>
              <w:t>Short-term employee benefits</w:t>
            </w:r>
          </w:p>
        </w:tc>
      </w:tr>
      <w:tr w:rsidR="00273CB8" w:rsidRPr="006977B6" w14:paraId="247266CD" w14:textId="77777777" w:rsidTr="00F95661">
        <w:tc>
          <w:tcPr>
            <w:tcW w:w="4599" w:type="dxa"/>
          </w:tcPr>
          <w:p w14:paraId="29861745" w14:textId="77777777" w:rsidR="00273CB8" w:rsidRPr="006977B6" w:rsidRDefault="00273CB8" w:rsidP="0013526B">
            <w:pPr>
              <w:pStyle w:val="ListParagraph"/>
              <w:ind w:left="567" w:right="-57"/>
              <w:jc w:val="both"/>
              <w:rPr>
                <w:sz w:val="14"/>
                <w:szCs w:val="18"/>
              </w:rPr>
            </w:pPr>
          </w:p>
        </w:tc>
        <w:tc>
          <w:tcPr>
            <w:tcW w:w="4598" w:type="dxa"/>
          </w:tcPr>
          <w:p w14:paraId="18378191" w14:textId="77777777" w:rsidR="00273CB8" w:rsidRPr="006977B6" w:rsidRDefault="00273CB8" w:rsidP="0013526B">
            <w:pPr>
              <w:pStyle w:val="ListParagraph"/>
              <w:tabs>
                <w:tab w:val="left" w:pos="5590"/>
                <w:tab w:val="right" w:pos="7620"/>
                <w:tab w:val="right" w:pos="9460"/>
                <w:tab w:val="right" w:pos="10080"/>
              </w:tabs>
              <w:ind w:left="567" w:right="-57"/>
              <w:jc w:val="both"/>
              <w:rPr>
                <w:i/>
                <w:iCs/>
                <w:spacing w:val="-1"/>
                <w:sz w:val="14"/>
                <w:szCs w:val="18"/>
              </w:rPr>
            </w:pPr>
          </w:p>
        </w:tc>
      </w:tr>
      <w:tr w:rsidR="00273CB8" w:rsidRPr="006977B6" w14:paraId="5D43C62E" w14:textId="77777777" w:rsidTr="00F95661">
        <w:tc>
          <w:tcPr>
            <w:tcW w:w="4599" w:type="dxa"/>
          </w:tcPr>
          <w:p w14:paraId="53DE991E" w14:textId="66BDBB8B" w:rsidR="00273CB8" w:rsidRPr="006977B6" w:rsidRDefault="00273CB8" w:rsidP="002523B0">
            <w:pPr>
              <w:pStyle w:val="ListParagraph"/>
              <w:ind w:left="567" w:right="-57"/>
              <w:jc w:val="both"/>
              <w:rPr>
                <w:sz w:val="18"/>
                <w:szCs w:val="18"/>
              </w:rPr>
            </w:pPr>
            <w:r w:rsidRPr="006977B6">
              <w:rPr>
                <w:sz w:val="18"/>
                <w:szCs w:val="18"/>
              </w:rPr>
              <w:t>Imbalan kerja jangka pendek diakui ketika pekerja telah memberikan jasanya dalam suatu periode akuntansi</w:t>
            </w:r>
            <w:r w:rsidR="002523B0">
              <w:rPr>
                <w:sz w:val="18"/>
                <w:szCs w:val="18"/>
              </w:rPr>
              <w:t>,</w:t>
            </w:r>
            <w:r w:rsidRPr="006977B6">
              <w:rPr>
                <w:sz w:val="18"/>
                <w:szCs w:val="18"/>
              </w:rPr>
              <w:t xml:space="preserve"> sebesar jumlah tidak terdiskonto dari imbalan kerja jangka pendek yang diharapkan akan dibayar sebagai imbalan atas jasa tersebut.</w:t>
            </w:r>
          </w:p>
        </w:tc>
        <w:tc>
          <w:tcPr>
            <w:tcW w:w="4598" w:type="dxa"/>
          </w:tcPr>
          <w:p w14:paraId="1DA4FB27" w14:textId="39BBE0A2" w:rsidR="00273CB8" w:rsidRPr="006977B6" w:rsidRDefault="00273CB8" w:rsidP="002523B0">
            <w:pPr>
              <w:pStyle w:val="ListParagraph"/>
              <w:tabs>
                <w:tab w:val="left" w:pos="5590"/>
                <w:tab w:val="right" w:pos="7620"/>
                <w:tab w:val="right" w:pos="9460"/>
                <w:tab w:val="right" w:pos="10080"/>
              </w:tabs>
              <w:ind w:left="567" w:right="-57"/>
              <w:jc w:val="both"/>
              <w:rPr>
                <w:i/>
                <w:iCs/>
                <w:spacing w:val="-1"/>
                <w:sz w:val="18"/>
                <w:szCs w:val="18"/>
              </w:rPr>
            </w:pPr>
            <w:r w:rsidRPr="006977B6">
              <w:rPr>
                <w:i/>
                <w:iCs/>
                <w:spacing w:val="-1"/>
                <w:sz w:val="18"/>
                <w:szCs w:val="18"/>
              </w:rPr>
              <w:t>Shor-term employee benefits are recognized when an employee has rendered service during accounting period</w:t>
            </w:r>
            <w:r w:rsidR="002523B0">
              <w:rPr>
                <w:i/>
                <w:iCs/>
                <w:spacing w:val="-1"/>
                <w:sz w:val="18"/>
                <w:szCs w:val="18"/>
              </w:rPr>
              <w:t>,</w:t>
            </w:r>
            <w:r w:rsidRPr="006977B6">
              <w:rPr>
                <w:i/>
                <w:iCs/>
                <w:spacing w:val="-1"/>
                <w:sz w:val="18"/>
                <w:szCs w:val="18"/>
              </w:rPr>
              <w:t xml:space="preserve"> at the undiscounted amount of short-term employee benefits expected to be paid in exchange for that service.</w:t>
            </w:r>
          </w:p>
        </w:tc>
      </w:tr>
      <w:tr w:rsidR="00273CB8" w:rsidRPr="006977B6" w14:paraId="2038080D" w14:textId="77777777" w:rsidTr="00F95661">
        <w:tc>
          <w:tcPr>
            <w:tcW w:w="4599" w:type="dxa"/>
          </w:tcPr>
          <w:p w14:paraId="0C16C9B3" w14:textId="77777777" w:rsidR="00273CB8" w:rsidRPr="006977B6" w:rsidRDefault="00273CB8" w:rsidP="0013526B">
            <w:pPr>
              <w:pStyle w:val="ListParagraph"/>
              <w:ind w:left="567" w:right="-57"/>
              <w:jc w:val="both"/>
              <w:rPr>
                <w:sz w:val="14"/>
                <w:szCs w:val="18"/>
              </w:rPr>
            </w:pPr>
          </w:p>
        </w:tc>
        <w:tc>
          <w:tcPr>
            <w:tcW w:w="4598" w:type="dxa"/>
          </w:tcPr>
          <w:p w14:paraId="61449C96" w14:textId="77777777" w:rsidR="00273CB8" w:rsidRPr="006977B6" w:rsidRDefault="00273CB8" w:rsidP="0013526B">
            <w:pPr>
              <w:pStyle w:val="ListParagraph"/>
              <w:tabs>
                <w:tab w:val="left" w:pos="5590"/>
                <w:tab w:val="right" w:pos="7620"/>
                <w:tab w:val="right" w:pos="9460"/>
                <w:tab w:val="right" w:pos="10080"/>
              </w:tabs>
              <w:ind w:left="567" w:right="-57"/>
              <w:jc w:val="both"/>
              <w:rPr>
                <w:i/>
                <w:iCs/>
                <w:spacing w:val="-1"/>
                <w:sz w:val="14"/>
                <w:szCs w:val="18"/>
              </w:rPr>
            </w:pPr>
          </w:p>
        </w:tc>
      </w:tr>
      <w:tr w:rsidR="00273CB8" w:rsidRPr="006977B6" w14:paraId="4D4AEA25" w14:textId="77777777" w:rsidTr="00F95661">
        <w:tc>
          <w:tcPr>
            <w:tcW w:w="4599" w:type="dxa"/>
          </w:tcPr>
          <w:p w14:paraId="2099A13C" w14:textId="71775A6F" w:rsidR="00273CB8" w:rsidRPr="006977B6" w:rsidRDefault="00273CB8" w:rsidP="002523B0">
            <w:pPr>
              <w:pStyle w:val="ListParagraph"/>
              <w:ind w:left="567" w:right="-57"/>
              <w:jc w:val="both"/>
              <w:rPr>
                <w:sz w:val="18"/>
                <w:szCs w:val="18"/>
              </w:rPr>
            </w:pPr>
            <w:r w:rsidRPr="006977B6">
              <w:rPr>
                <w:sz w:val="18"/>
                <w:szCs w:val="18"/>
              </w:rPr>
              <w:t>Imbalan kerja jangka pendek mencakup antara lain upah</w:t>
            </w:r>
            <w:r w:rsidR="002523B0">
              <w:rPr>
                <w:sz w:val="18"/>
                <w:szCs w:val="18"/>
              </w:rPr>
              <w:t>,</w:t>
            </w:r>
            <w:r w:rsidRPr="006977B6">
              <w:rPr>
                <w:sz w:val="18"/>
                <w:szCs w:val="18"/>
              </w:rPr>
              <w:t xml:space="preserve"> gaji</w:t>
            </w:r>
            <w:r w:rsidR="002523B0">
              <w:rPr>
                <w:sz w:val="18"/>
                <w:szCs w:val="18"/>
              </w:rPr>
              <w:t>,</w:t>
            </w:r>
            <w:r w:rsidRPr="006977B6">
              <w:rPr>
                <w:sz w:val="18"/>
                <w:szCs w:val="18"/>
              </w:rPr>
              <w:t xml:space="preserve"> bonus dan insentif.</w:t>
            </w:r>
          </w:p>
        </w:tc>
        <w:tc>
          <w:tcPr>
            <w:tcW w:w="4598" w:type="dxa"/>
          </w:tcPr>
          <w:p w14:paraId="40CB2B5A" w14:textId="265AB339" w:rsidR="00273CB8" w:rsidRPr="006977B6" w:rsidRDefault="00273CB8" w:rsidP="002523B0">
            <w:pPr>
              <w:pStyle w:val="ListParagraph"/>
              <w:tabs>
                <w:tab w:val="left" w:pos="5590"/>
                <w:tab w:val="right" w:pos="7620"/>
                <w:tab w:val="right" w:pos="9460"/>
                <w:tab w:val="right" w:pos="10080"/>
              </w:tabs>
              <w:ind w:left="567" w:right="-57"/>
              <w:jc w:val="both"/>
              <w:rPr>
                <w:i/>
                <w:iCs/>
                <w:spacing w:val="-1"/>
                <w:sz w:val="18"/>
                <w:szCs w:val="18"/>
              </w:rPr>
            </w:pPr>
            <w:r w:rsidRPr="006977B6">
              <w:rPr>
                <w:i/>
                <w:iCs/>
                <w:spacing w:val="-1"/>
                <w:sz w:val="18"/>
                <w:szCs w:val="18"/>
              </w:rPr>
              <w:t>Short term employee benefits include such as wages</w:t>
            </w:r>
            <w:r w:rsidR="002523B0">
              <w:rPr>
                <w:i/>
                <w:iCs/>
                <w:spacing w:val="-1"/>
                <w:sz w:val="18"/>
                <w:szCs w:val="18"/>
              </w:rPr>
              <w:t>,</w:t>
            </w:r>
            <w:r w:rsidRPr="006977B6">
              <w:rPr>
                <w:i/>
                <w:iCs/>
                <w:spacing w:val="-1"/>
                <w:sz w:val="18"/>
                <w:szCs w:val="18"/>
              </w:rPr>
              <w:t xml:space="preserve"> </w:t>
            </w:r>
            <w:r w:rsidR="002523B0" w:rsidRPr="006977B6">
              <w:rPr>
                <w:i/>
                <w:iCs/>
                <w:spacing w:val="-1"/>
                <w:sz w:val="18"/>
                <w:szCs w:val="18"/>
              </w:rPr>
              <w:t>S</w:t>
            </w:r>
            <w:r w:rsidRPr="006977B6">
              <w:rPr>
                <w:i/>
                <w:iCs/>
                <w:spacing w:val="-1"/>
                <w:sz w:val="18"/>
                <w:szCs w:val="18"/>
              </w:rPr>
              <w:t>alaries</w:t>
            </w:r>
            <w:r w:rsidR="002523B0">
              <w:rPr>
                <w:i/>
                <w:iCs/>
                <w:spacing w:val="-1"/>
                <w:sz w:val="18"/>
                <w:szCs w:val="18"/>
              </w:rPr>
              <w:t>,</w:t>
            </w:r>
            <w:r w:rsidRPr="006977B6">
              <w:rPr>
                <w:i/>
                <w:iCs/>
                <w:spacing w:val="-1"/>
                <w:sz w:val="18"/>
                <w:szCs w:val="18"/>
              </w:rPr>
              <w:t xml:space="preserve"> bonus and incentive.</w:t>
            </w:r>
          </w:p>
        </w:tc>
      </w:tr>
      <w:tr w:rsidR="00273CB8" w:rsidRPr="006977B6" w14:paraId="3F127075" w14:textId="77777777" w:rsidTr="00F95661">
        <w:tc>
          <w:tcPr>
            <w:tcW w:w="4599" w:type="dxa"/>
          </w:tcPr>
          <w:p w14:paraId="4E056E19" w14:textId="77777777" w:rsidR="00273CB8" w:rsidRPr="006977B6" w:rsidRDefault="00273CB8" w:rsidP="0013526B">
            <w:pPr>
              <w:pStyle w:val="ListParagraph"/>
              <w:ind w:left="567" w:right="-57"/>
              <w:jc w:val="both"/>
              <w:rPr>
                <w:sz w:val="14"/>
                <w:szCs w:val="18"/>
              </w:rPr>
            </w:pPr>
          </w:p>
        </w:tc>
        <w:tc>
          <w:tcPr>
            <w:tcW w:w="4598" w:type="dxa"/>
          </w:tcPr>
          <w:p w14:paraId="415D9B0F" w14:textId="77777777" w:rsidR="00273CB8" w:rsidRPr="006977B6" w:rsidRDefault="00273CB8" w:rsidP="0013526B">
            <w:pPr>
              <w:pStyle w:val="ListParagraph"/>
              <w:tabs>
                <w:tab w:val="left" w:pos="5590"/>
                <w:tab w:val="right" w:pos="7620"/>
                <w:tab w:val="right" w:pos="9460"/>
                <w:tab w:val="right" w:pos="10080"/>
              </w:tabs>
              <w:ind w:left="567" w:right="-57"/>
              <w:jc w:val="both"/>
              <w:rPr>
                <w:i/>
                <w:iCs/>
                <w:spacing w:val="-1"/>
                <w:sz w:val="14"/>
                <w:szCs w:val="18"/>
              </w:rPr>
            </w:pPr>
          </w:p>
        </w:tc>
      </w:tr>
      <w:tr w:rsidR="00273CB8" w:rsidRPr="006977B6" w14:paraId="477F3B26" w14:textId="77777777" w:rsidTr="00F95661">
        <w:tc>
          <w:tcPr>
            <w:tcW w:w="4599" w:type="dxa"/>
          </w:tcPr>
          <w:p w14:paraId="41710275" w14:textId="77777777" w:rsidR="00273CB8" w:rsidRPr="006977B6" w:rsidRDefault="00273CB8" w:rsidP="0013526B">
            <w:pPr>
              <w:pStyle w:val="ListParagraph"/>
              <w:ind w:left="567" w:right="-57"/>
              <w:jc w:val="both"/>
              <w:rPr>
                <w:sz w:val="18"/>
                <w:szCs w:val="18"/>
                <w:u w:val="single"/>
              </w:rPr>
            </w:pPr>
            <w:r w:rsidRPr="006977B6">
              <w:rPr>
                <w:sz w:val="18"/>
                <w:szCs w:val="18"/>
                <w:u w:val="single"/>
              </w:rPr>
              <w:t>Imbalan pasca kerja</w:t>
            </w:r>
          </w:p>
        </w:tc>
        <w:tc>
          <w:tcPr>
            <w:tcW w:w="4598" w:type="dxa"/>
          </w:tcPr>
          <w:p w14:paraId="2778270F" w14:textId="77777777" w:rsidR="00273CB8" w:rsidRPr="006977B6" w:rsidRDefault="00273CB8" w:rsidP="0013526B">
            <w:pPr>
              <w:pStyle w:val="ListParagraph"/>
              <w:tabs>
                <w:tab w:val="left" w:pos="5590"/>
                <w:tab w:val="right" w:pos="7620"/>
                <w:tab w:val="right" w:pos="9460"/>
                <w:tab w:val="right" w:pos="10080"/>
              </w:tabs>
              <w:ind w:left="567" w:right="-57"/>
              <w:jc w:val="both"/>
              <w:rPr>
                <w:i/>
                <w:iCs/>
                <w:spacing w:val="-1"/>
                <w:sz w:val="18"/>
                <w:szCs w:val="18"/>
                <w:u w:val="single"/>
              </w:rPr>
            </w:pPr>
            <w:r w:rsidRPr="006977B6">
              <w:rPr>
                <w:i/>
                <w:iCs/>
                <w:spacing w:val="-1"/>
                <w:sz w:val="18"/>
                <w:szCs w:val="18"/>
                <w:u w:val="single"/>
              </w:rPr>
              <w:t>Post-employment benefits</w:t>
            </w:r>
          </w:p>
        </w:tc>
      </w:tr>
      <w:tr w:rsidR="00273CB8" w:rsidRPr="006977B6" w14:paraId="57A32862" w14:textId="77777777" w:rsidTr="00F95661">
        <w:tc>
          <w:tcPr>
            <w:tcW w:w="4599" w:type="dxa"/>
          </w:tcPr>
          <w:p w14:paraId="770CEC54" w14:textId="77777777" w:rsidR="00273CB8" w:rsidRPr="006977B6" w:rsidRDefault="00273CB8" w:rsidP="0013526B">
            <w:pPr>
              <w:pStyle w:val="ListParagraph"/>
              <w:ind w:left="567" w:right="-57"/>
              <w:jc w:val="both"/>
              <w:rPr>
                <w:sz w:val="18"/>
                <w:szCs w:val="18"/>
              </w:rPr>
            </w:pPr>
          </w:p>
        </w:tc>
        <w:tc>
          <w:tcPr>
            <w:tcW w:w="4598" w:type="dxa"/>
          </w:tcPr>
          <w:p w14:paraId="45D35651" w14:textId="77777777" w:rsidR="00273CB8" w:rsidRPr="006977B6" w:rsidRDefault="00273CB8" w:rsidP="0013526B">
            <w:pPr>
              <w:pStyle w:val="ListParagraph"/>
              <w:tabs>
                <w:tab w:val="left" w:pos="5590"/>
                <w:tab w:val="right" w:pos="7620"/>
                <w:tab w:val="right" w:pos="9460"/>
                <w:tab w:val="right" w:pos="10080"/>
              </w:tabs>
              <w:ind w:left="567" w:right="-57"/>
              <w:jc w:val="both"/>
              <w:rPr>
                <w:i/>
                <w:iCs/>
                <w:spacing w:val="-1"/>
                <w:sz w:val="18"/>
                <w:szCs w:val="18"/>
              </w:rPr>
            </w:pPr>
          </w:p>
        </w:tc>
      </w:tr>
      <w:tr w:rsidR="00C633A2" w:rsidRPr="006977B6" w14:paraId="5C9790D4" w14:textId="77777777" w:rsidTr="00F95661">
        <w:tc>
          <w:tcPr>
            <w:tcW w:w="4599" w:type="dxa"/>
          </w:tcPr>
          <w:p w14:paraId="295111F7" w14:textId="4943BF1A" w:rsidR="00C633A2" w:rsidRPr="006977B6" w:rsidRDefault="00CE1D45" w:rsidP="002523B0">
            <w:pPr>
              <w:pStyle w:val="ListParagraph"/>
              <w:ind w:left="567" w:right="-57"/>
              <w:jc w:val="both"/>
              <w:rPr>
                <w:rStyle w:val="hps"/>
                <w:sz w:val="18"/>
                <w:szCs w:val="18"/>
              </w:rPr>
            </w:pPr>
            <w:r w:rsidRPr="006977B6">
              <w:rPr>
                <w:sz w:val="18"/>
                <w:szCs w:val="18"/>
              </w:rPr>
              <w:t xml:space="preserve">Kelompok Usaha </w:t>
            </w:r>
            <w:r w:rsidRPr="006977B6">
              <w:rPr>
                <w:spacing w:val="-1"/>
                <w:sz w:val="18"/>
                <w:szCs w:val="18"/>
              </w:rPr>
              <w:t>menerapkan</w:t>
            </w:r>
            <w:r w:rsidRPr="006977B6">
              <w:rPr>
                <w:sz w:val="18"/>
                <w:szCs w:val="18"/>
              </w:rPr>
              <w:t xml:space="preserve"> PSAK No. 24</w:t>
            </w:r>
            <w:r w:rsidRPr="006977B6">
              <w:rPr>
                <w:sz w:val="18"/>
                <w:szCs w:val="18"/>
              </w:rPr>
              <w:br/>
              <w:t>(Revisi 2014)</w:t>
            </w:r>
            <w:r w:rsidR="002523B0">
              <w:rPr>
                <w:sz w:val="18"/>
                <w:szCs w:val="18"/>
              </w:rPr>
              <w:t>,</w:t>
            </w:r>
            <w:r w:rsidRPr="006977B6">
              <w:rPr>
                <w:sz w:val="18"/>
                <w:szCs w:val="18"/>
              </w:rPr>
              <w:t xml:space="preserve"> “Imbalan Kerja” dan Amandemen 2015 PSAK No. </w:t>
            </w:r>
            <w:proofErr w:type="gramStart"/>
            <w:r w:rsidRPr="006977B6">
              <w:rPr>
                <w:sz w:val="18"/>
                <w:szCs w:val="18"/>
              </w:rPr>
              <w:t xml:space="preserve">24 </w:t>
            </w:r>
            <w:r w:rsidR="00870FD0">
              <w:rPr>
                <w:sz w:val="18"/>
                <w:szCs w:val="18"/>
              </w:rPr>
              <w:t>.</w:t>
            </w:r>
            <w:proofErr w:type="gramEnd"/>
            <w:r w:rsidRPr="006977B6">
              <w:rPr>
                <w:sz w:val="18"/>
                <w:szCs w:val="18"/>
              </w:rPr>
              <w:t xml:space="preserve"> “Imbalan Kerja tentang Program Imbalan Pasti: Iuran Pekerja”. Selain itu</w:t>
            </w:r>
            <w:r w:rsidR="002523B0">
              <w:rPr>
                <w:sz w:val="18"/>
                <w:szCs w:val="18"/>
              </w:rPr>
              <w:t>,</w:t>
            </w:r>
            <w:r w:rsidRPr="006977B6">
              <w:rPr>
                <w:sz w:val="18"/>
                <w:szCs w:val="18"/>
              </w:rPr>
              <w:t xml:space="preserve"> Kelompok Usaha juga mengadopsi ISAK No. 15</w:t>
            </w:r>
            <w:r w:rsidR="00870FD0">
              <w:rPr>
                <w:sz w:val="18"/>
                <w:szCs w:val="18"/>
              </w:rPr>
              <w:t>.</w:t>
            </w:r>
            <w:r w:rsidRPr="006977B6">
              <w:rPr>
                <w:sz w:val="18"/>
                <w:szCs w:val="18"/>
              </w:rPr>
              <w:t xml:space="preserve"> "PSAK</w:t>
            </w:r>
            <w:r w:rsidR="00EF2EF8" w:rsidRPr="006977B6">
              <w:rPr>
                <w:sz w:val="18"/>
                <w:szCs w:val="18"/>
              </w:rPr>
              <w:t xml:space="preserve"> No.</w:t>
            </w:r>
            <w:r w:rsidRPr="006977B6">
              <w:rPr>
                <w:sz w:val="18"/>
                <w:szCs w:val="18"/>
              </w:rPr>
              <w:t xml:space="preserve"> 24: Batas Aset Imbalan Pasti</w:t>
            </w:r>
            <w:r w:rsidR="002523B0">
              <w:rPr>
                <w:sz w:val="18"/>
                <w:szCs w:val="18"/>
              </w:rPr>
              <w:t>,</w:t>
            </w:r>
            <w:r w:rsidRPr="006977B6">
              <w:rPr>
                <w:sz w:val="18"/>
                <w:szCs w:val="18"/>
              </w:rPr>
              <w:t xml:space="preserve"> Persyaratan Pendanaan Minimum dan Interaksinya".</w:t>
            </w:r>
          </w:p>
        </w:tc>
        <w:tc>
          <w:tcPr>
            <w:tcW w:w="4598" w:type="dxa"/>
          </w:tcPr>
          <w:p w14:paraId="262B0CD2" w14:textId="4E64FDB3" w:rsidR="00C633A2" w:rsidRPr="006977B6" w:rsidRDefault="00CE1D45" w:rsidP="002523B0">
            <w:pPr>
              <w:pStyle w:val="ListParagraph"/>
              <w:tabs>
                <w:tab w:val="left" w:pos="5590"/>
                <w:tab w:val="right" w:pos="7620"/>
                <w:tab w:val="right" w:pos="9460"/>
                <w:tab w:val="right" w:pos="10080"/>
              </w:tabs>
              <w:ind w:left="567" w:right="-57"/>
              <w:jc w:val="both"/>
              <w:rPr>
                <w:sz w:val="18"/>
                <w:szCs w:val="18"/>
              </w:rPr>
            </w:pPr>
            <w:r w:rsidRPr="006977B6">
              <w:rPr>
                <w:i/>
                <w:iCs/>
                <w:spacing w:val="-1"/>
                <w:sz w:val="18"/>
                <w:szCs w:val="18"/>
              </w:rPr>
              <w:t>The Group adopted PSAK No. 24 (Revised 2014)</w:t>
            </w:r>
            <w:r w:rsidR="002523B0">
              <w:rPr>
                <w:i/>
                <w:iCs/>
                <w:spacing w:val="-1"/>
                <w:sz w:val="18"/>
                <w:szCs w:val="18"/>
              </w:rPr>
              <w:t>,</w:t>
            </w:r>
            <w:r w:rsidRPr="006977B6">
              <w:rPr>
                <w:i/>
                <w:iCs/>
                <w:spacing w:val="-1"/>
                <w:sz w:val="18"/>
                <w:szCs w:val="18"/>
              </w:rPr>
              <w:t xml:space="preserve"> “Employee Benefits” and Amendment 2015 to</w:t>
            </w:r>
            <w:r w:rsidRPr="006977B6">
              <w:rPr>
                <w:i/>
                <w:iCs/>
                <w:spacing w:val="-1"/>
                <w:sz w:val="18"/>
                <w:szCs w:val="18"/>
              </w:rPr>
              <w:br/>
              <w:t>PSAK No. 24</w:t>
            </w:r>
            <w:r w:rsidR="002523B0">
              <w:rPr>
                <w:i/>
                <w:iCs/>
                <w:spacing w:val="-1"/>
                <w:sz w:val="18"/>
                <w:szCs w:val="18"/>
              </w:rPr>
              <w:t>,</w:t>
            </w:r>
            <w:r w:rsidRPr="006977B6">
              <w:rPr>
                <w:i/>
                <w:iCs/>
                <w:spacing w:val="-1"/>
                <w:sz w:val="18"/>
                <w:szCs w:val="18"/>
              </w:rPr>
              <w:t xml:space="preserve"> “Employee Benefits on a Defined Benefit Program: </w:t>
            </w:r>
            <w:r w:rsidR="00451B30" w:rsidRPr="006977B6">
              <w:rPr>
                <w:i/>
                <w:iCs/>
                <w:spacing w:val="-1"/>
                <w:sz w:val="18"/>
                <w:szCs w:val="18"/>
                <w:lang w:val="id-ID"/>
              </w:rPr>
              <w:t xml:space="preserve">Employees </w:t>
            </w:r>
            <w:r w:rsidRPr="006977B6">
              <w:rPr>
                <w:i/>
                <w:iCs/>
                <w:spacing w:val="-1"/>
                <w:sz w:val="18"/>
                <w:szCs w:val="18"/>
              </w:rPr>
              <w:t>Contribution”.</w:t>
            </w:r>
            <w:r w:rsidR="00650ED9" w:rsidRPr="006977B6">
              <w:rPr>
                <w:i/>
                <w:iCs/>
                <w:spacing w:val="-1"/>
                <w:sz w:val="18"/>
                <w:szCs w:val="18"/>
              </w:rPr>
              <w:t xml:space="preserve"> </w:t>
            </w:r>
            <w:r w:rsidRPr="006977B6">
              <w:rPr>
                <w:i/>
                <w:iCs/>
                <w:spacing w:val="-1"/>
                <w:sz w:val="18"/>
                <w:szCs w:val="18"/>
              </w:rPr>
              <w:t>Besides</w:t>
            </w:r>
            <w:r w:rsidR="002523B0">
              <w:rPr>
                <w:i/>
                <w:iCs/>
                <w:spacing w:val="-1"/>
                <w:sz w:val="18"/>
                <w:szCs w:val="18"/>
              </w:rPr>
              <w:t>,</w:t>
            </w:r>
            <w:r w:rsidRPr="006977B6">
              <w:rPr>
                <w:i/>
                <w:iCs/>
                <w:spacing w:val="-1"/>
                <w:sz w:val="18"/>
                <w:szCs w:val="18"/>
              </w:rPr>
              <w:t xml:space="preserve"> the Group also</w:t>
            </w:r>
            <w:r w:rsidR="00451B30" w:rsidRPr="006977B6">
              <w:rPr>
                <w:i/>
                <w:iCs/>
                <w:spacing w:val="-1"/>
                <w:sz w:val="18"/>
                <w:szCs w:val="18"/>
              </w:rPr>
              <w:t xml:space="preserve"> adopted ISAK No. 15</w:t>
            </w:r>
            <w:r w:rsidR="002523B0">
              <w:rPr>
                <w:i/>
                <w:iCs/>
                <w:spacing w:val="-1"/>
                <w:sz w:val="18"/>
                <w:szCs w:val="18"/>
              </w:rPr>
              <w:t>,</w:t>
            </w:r>
            <w:r w:rsidR="00451B30" w:rsidRPr="006977B6">
              <w:rPr>
                <w:i/>
                <w:iCs/>
                <w:spacing w:val="-1"/>
                <w:sz w:val="18"/>
                <w:szCs w:val="18"/>
              </w:rPr>
              <w:t xml:space="preserve"> “PSAK</w:t>
            </w:r>
            <w:r w:rsidR="00EF2EF8" w:rsidRPr="006977B6">
              <w:rPr>
                <w:i/>
                <w:iCs/>
                <w:spacing w:val="-1"/>
                <w:sz w:val="18"/>
                <w:szCs w:val="18"/>
              </w:rPr>
              <w:t xml:space="preserve"> No.</w:t>
            </w:r>
            <w:r w:rsidR="00451B30" w:rsidRPr="006977B6">
              <w:rPr>
                <w:i/>
                <w:iCs/>
                <w:spacing w:val="-1"/>
                <w:sz w:val="18"/>
                <w:szCs w:val="18"/>
              </w:rPr>
              <w:t xml:space="preserve"> 24</w:t>
            </w:r>
            <w:proofErr w:type="gramStart"/>
            <w:r w:rsidR="00451B30" w:rsidRPr="006977B6">
              <w:rPr>
                <w:i/>
                <w:iCs/>
                <w:spacing w:val="-1"/>
                <w:sz w:val="18"/>
                <w:szCs w:val="18"/>
              </w:rPr>
              <w:t>:</w:t>
            </w:r>
            <w:proofErr w:type="gramEnd"/>
            <w:r w:rsidR="00451B30" w:rsidRPr="006977B6">
              <w:rPr>
                <w:i/>
                <w:iCs/>
                <w:spacing w:val="-1"/>
                <w:sz w:val="18"/>
                <w:szCs w:val="18"/>
                <w:lang w:val="id-ID"/>
              </w:rPr>
              <w:br/>
            </w:r>
            <w:r w:rsidRPr="006977B6">
              <w:rPr>
                <w:i/>
                <w:iCs/>
                <w:spacing w:val="-1"/>
                <w:sz w:val="18"/>
                <w:szCs w:val="18"/>
              </w:rPr>
              <w:t xml:space="preserve">The </w:t>
            </w:r>
            <w:r w:rsidRPr="006977B6">
              <w:rPr>
                <w:i/>
                <w:iCs/>
                <w:spacing w:val="1"/>
                <w:sz w:val="18"/>
                <w:szCs w:val="18"/>
              </w:rPr>
              <w:t>Limit</w:t>
            </w:r>
            <w:r w:rsidRPr="006977B6">
              <w:rPr>
                <w:i/>
                <w:iCs/>
                <w:spacing w:val="-1"/>
                <w:sz w:val="18"/>
                <w:szCs w:val="18"/>
              </w:rPr>
              <w:t xml:space="preserve"> on a Defined Benefit Asset</w:t>
            </w:r>
            <w:r w:rsidR="002523B0">
              <w:rPr>
                <w:i/>
                <w:iCs/>
                <w:spacing w:val="-1"/>
                <w:sz w:val="18"/>
                <w:szCs w:val="18"/>
              </w:rPr>
              <w:t>,</w:t>
            </w:r>
            <w:r w:rsidRPr="006977B6">
              <w:rPr>
                <w:i/>
                <w:iCs/>
                <w:spacing w:val="-1"/>
                <w:sz w:val="18"/>
                <w:szCs w:val="18"/>
              </w:rPr>
              <w:t xml:space="preserve"> Minimum Funding Requirements and their Interactions”.</w:t>
            </w:r>
          </w:p>
        </w:tc>
      </w:tr>
    </w:tbl>
    <w:p w14:paraId="6C1E06CB" w14:textId="4A27D1E8" w:rsidR="00F95661" w:rsidRPr="006977B6" w:rsidRDefault="00F95661">
      <w:pPr>
        <w:rPr>
          <w:sz w:val="18"/>
          <w:szCs w:val="18"/>
        </w:rPr>
      </w:pPr>
    </w:p>
    <w:tbl>
      <w:tblPr>
        <w:tblW w:w="9197" w:type="dxa"/>
        <w:tblInd w:w="392" w:type="dxa"/>
        <w:tblLayout w:type="fixed"/>
        <w:tblLook w:val="0000" w:firstRow="0" w:lastRow="0" w:firstColumn="0" w:lastColumn="0" w:noHBand="0" w:noVBand="0"/>
      </w:tblPr>
      <w:tblGrid>
        <w:gridCol w:w="4599"/>
        <w:gridCol w:w="4598"/>
      </w:tblGrid>
      <w:tr w:rsidR="00F95661" w:rsidRPr="00A928CB" w14:paraId="5596A9CE" w14:textId="77777777" w:rsidTr="00D215E4">
        <w:tc>
          <w:tcPr>
            <w:tcW w:w="4708" w:type="dxa"/>
          </w:tcPr>
          <w:p w14:paraId="02FB3882" w14:textId="23BC451C" w:rsidR="00F95661" w:rsidRPr="006977B6" w:rsidRDefault="00F95661" w:rsidP="002523B0">
            <w:pPr>
              <w:pStyle w:val="ListParagraph"/>
              <w:ind w:left="567" w:right="-57"/>
              <w:jc w:val="both"/>
              <w:rPr>
                <w:rStyle w:val="hps"/>
                <w:sz w:val="18"/>
                <w:szCs w:val="18"/>
              </w:rPr>
            </w:pPr>
            <w:r w:rsidRPr="006977B6">
              <w:rPr>
                <w:rStyle w:val="hps"/>
                <w:sz w:val="18"/>
                <w:szCs w:val="18"/>
              </w:rPr>
              <w:t>PSAK ini memperkenalkan persyaratan untuk sepenuhnya mengakui perubahan dalam kewajiban (aset) imbalan pasti termasuk pengakuan segera dari biaya imbalan pasti termasuk biaya jasa lalu yang belum menjadi hak (</w:t>
            </w:r>
            <w:r w:rsidRPr="006977B6">
              <w:rPr>
                <w:rStyle w:val="hps"/>
                <w:i/>
                <w:sz w:val="18"/>
                <w:szCs w:val="18"/>
              </w:rPr>
              <w:t>vested</w:t>
            </w:r>
            <w:r w:rsidRPr="006977B6">
              <w:rPr>
                <w:rStyle w:val="hps"/>
                <w:sz w:val="18"/>
                <w:szCs w:val="18"/>
              </w:rPr>
              <w:t>)</w:t>
            </w:r>
            <w:r w:rsidR="002523B0">
              <w:rPr>
                <w:rStyle w:val="hps"/>
                <w:sz w:val="18"/>
                <w:szCs w:val="18"/>
              </w:rPr>
              <w:t>,</w:t>
            </w:r>
            <w:r w:rsidRPr="006977B6">
              <w:rPr>
                <w:rStyle w:val="hps"/>
                <w:sz w:val="18"/>
                <w:szCs w:val="18"/>
              </w:rPr>
              <w:t xml:space="preserve"> dan memerlukan pemilahan dari biaya imbalan pasti keseluruhan menjadi komponen-komponen dan membutuhkan pengakuan pengukuran kembali OCI (menghilangkan pendekatan “koridor”)</w:t>
            </w:r>
            <w:r w:rsidR="002523B0">
              <w:rPr>
                <w:rStyle w:val="hps"/>
                <w:sz w:val="18"/>
                <w:szCs w:val="18"/>
              </w:rPr>
              <w:t>,</w:t>
            </w:r>
            <w:r w:rsidRPr="006977B6">
              <w:rPr>
                <w:rStyle w:val="hps"/>
                <w:sz w:val="18"/>
                <w:szCs w:val="18"/>
              </w:rPr>
              <w:t xml:space="preserve"> meningkatkan pengungkapan tentang program imbalan pasti</w:t>
            </w:r>
            <w:r w:rsidR="002523B0">
              <w:rPr>
                <w:rStyle w:val="hps"/>
                <w:sz w:val="18"/>
                <w:szCs w:val="18"/>
              </w:rPr>
              <w:t>,</w:t>
            </w:r>
            <w:r w:rsidRPr="006977B6">
              <w:rPr>
                <w:rStyle w:val="hps"/>
                <w:sz w:val="18"/>
                <w:szCs w:val="18"/>
              </w:rPr>
              <w:t xml:space="preserve"> modifikasi akuntansi untuk pesangon</w:t>
            </w:r>
            <w:r w:rsidR="002523B0">
              <w:rPr>
                <w:rStyle w:val="hps"/>
                <w:sz w:val="18"/>
                <w:szCs w:val="18"/>
              </w:rPr>
              <w:t>,</w:t>
            </w:r>
            <w:r w:rsidRPr="006977B6">
              <w:rPr>
                <w:rStyle w:val="hps"/>
                <w:sz w:val="18"/>
                <w:szCs w:val="18"/>
              </w:rPr>
              <w:t xml:space="preserve"> termasuk membedakan antara imbalan yang diberikan dalam pemberian jasa dan imbalan yang diberikan dalam pemutusan hubungan kerja</w:t>
            </w:r>
            <w:r w:rsidR="00870FD0">
              <w:rPr>
                <w:rStyle w:val="hps"/>
                <w:sz w:val="18"/>
                <w:szCs w:val="18"/>
              </w:rPr>
              <w:t>.</w:t>
            </w:r>
            <w:r w:rsidRPr="006977B6">
              <w:rPr>
                <w:rStyle w:val="hps"/>
                <w:sz w:val="18"/>
                <w:szCs w:val="18"/>
              </w:rPr>
              <w:t xml:space="preserve"> </w:t>
            </w:r>
            <w:proofErr w:type="gramStart"/>
            <w:r w:rsidRPr="006977B6">
              <w:rPr>
                <w:rStyle w:val="hps"/>
                <w:sz w:val="18"/>
                <w:szCs w:val="18"/>
              </w:rPr>
              <w:t>dan</w:t>
            </w:r>
            <w:proofErr w:type="gramEnd"/>
            <w:r w:rsidRPr="006977B6">
              <w:rPr>
                <w:rStyle w:val="hps"/>
                <w:sz w:val="18"/>
                <w:szCs w:val="18"/>
              </w:rPr>
              <w:t xml:space="preserve"> mengubah pengakuan dan pengukuran imbalan pesangon.</w:t>
            </w:r>
          </w:p>
        </w:tc>
        <w:tc>
          <w:tcPr>
            <w:tcW w:w="4708" w:type="dxa"/>
          </w:tcPr>
          <w:p w14:paraId="7AB38F8A" w14:textId="49B7C1F6" w:rsidR="00F95661" w:rsidRPr="006977B6" w:rsidRDefault="00F95661" w:rsidP="002523B0">
            <w:pPr>
              <w:pStyle w:val="ListParagraph"/>
              <w:tabs>
                <w:tab w:val="left" w:pos="5590"/>
                <w:tab w:val="right" w:pos="7620"/>
                <w:tab w:val="right" w:pos="9460"/>
                <w:tab w:val="right" w:pos="10080"/>
              </w:tabs>
              <w:ind w:left="567" w:right="-57"/>
              <w:jc w:val="both"/>
              <w:rPr>
                <w:bCs w:val="0"/>
                <w:i/>
                <w:sz w:val="18"/>
                <w:szCs w:val="18"/>
              </w:rPr>
            </w:pPr>
            <w:r w:rsidRPr="006977B6">
              <w:rPr>
                <w:bCs w:val="0"/>
                <w:i/>
                <w:sz w:val="18"/>
                <w:szCs w:val="18"/>
              </w:rPr>
              <w:t>This PSAK introduces a requirement to fully recognize changes in the net defined benefit liability (asset) including immediate recognition of defined benefit costs including unvested past service cost</w:t>
            </w:r>
            <w:r w:rsidR="002523B0">
              <w:rPr>
                <w:bCs w:val="0"/>
                <w:i/>
                <w:sz w:val="18"/>
                <w:szCs w:val="18"/>
              </w:rPr>
              <w:t>,</w:t>
            </w:r>
            <w:r w:rsidRPr="006977B6">
              <w:rPr>
                <w:bCs w:val="0"/>
                <w:i/>
                <w:sz w:val="18"/>
                <w:szCs w:val="18"/>
              </w:rPr>
              <w:t xml:space="preserve"> and require disaggregation of the overall defined benefit cost into components and requiring the recognition of remeasurements in OCI (eliminating the “corridor” approach)</w:t>
            </w:r>
            <w:r w:rsidR="002523B0">
              <w:rPr>
                <w:bCs w:val="0"/>
                <w:i/>
                <w:sz w:val="18"/>
                <w:szCs w:val="18"/>
              </w:rPr>
              <w:t>,</w:t>
            </w:r>
            <w:r w:rsidRPr="006977B6">
              <w:rPr>
                <w:bCs w:val="0"/>
                <w:i/>
                <w:sz w:val="18"/>
                <w:szCs w:val="18"/>
              </w:rPr>
              <w:t xml:space="preserve"> enhancing disclosures about defined benefit plans</w:t>
            </w:r>
            <w:r w:rsidR="002523B0">
              <w:rPr>
                <w:bCs w:val="0"/>
                <w:i/>
                <w:sz w:val="18"/>
                <w:szCs w:val="18"/>
              </w:rPr>
              <w:t>,</w:t>
            </w:r>
            <w:r w:rsidRPr="006977B6">
              <w:rPr>
                <w:bCs w:val="0"/>
                <w:i/>
                <w:sz w:val="18"/>
                <w:szCs w:val="18"/>
              </w:rPr>
              <w:t xml:space="preserve"> modifications to the accounting for termination benefits</w:t>
            </w:r>
            <w:r w:rsidR="002523B0">
              <w:rPr>
                <w:bCs w:val="0"/>
                <w:i/>
                <w:sz w:val="18"/>
                <w:szCs w:val="18"/>
              </w:rPr>
              <w:t>,</w:t>
            </w:r>
            <w:r w:rsidRPr="006977B6">
              <w:rPr>
                <w:bCs w:val="0"/>
                <w:i/>
                <w:sz w:val="18"/>
                <w:szCs w:val="18"/>
              </w:rPr>
              <w:t xml:space="preserve"> including distinguishing between benefits provided in exchange for service and benefits provided in exchange for the termination of employment</w:t>
            </w:r>
            <w:r w:rsidR="002523B0">
              <w:rPr>
                <w:bCs w:val="0"/>
                <w:i/>
                <w:sz w:val="18"/>
                <w:szCs w:val="18"/>
              </w:rPr>
              <w:t>,</w:t>
            </w:r>
            <w:r w:rsidRPr="006977B6">
              <w:rPr>
                <w:bCs w:val="0"/>
                <w:i/>
                <w:sz w:val="18"/>
                <w:szCs w:val="18"/>
              </w:rPr>
              <w:t xml:space="preserve"> and changing the recognition and measurement of termination benefits.</w:t>
            </w:r>
          </w:p>
        </w:tc>
      </w:tr>
      <w:tr w:rsidR="00F95661" w:rsidRPr="00A928CB" w14:paraId="53725F84" w14:textId="77777777" w:rsidTr="00D215E4">
        <w:tc>
          <w:tcPr>
            <w:tcW w:w="4708" w:type="dxa"/>
          </w:tcPr>
          <w:p w14:paraId="0FFD1A62" w14:textId="77777777" w:rsidR="00F95661" w:rsidRPr="00A928CB" w:rsidRDefault="00F95661" w:rsidP="00D215E4">
            <w:pPr>
              <w:pStyle w:val="ListParagraph"/>
              <w:ind w:left="567"/>
              <w:jc w:val="both"/>
              <w:rPr>
                <w:spacing w:val="1"/>
                <w:sz w:val="18"/>
                <w:szCs w:val="18"/>
                <w:highlight w:val="cyan"/>
              </w:rPr>
            </w:pPr>
          </w:p>
        </w:tc>
        <w:tc>
          <w:tcPr>
            <w:tcW w:w="4708" w:type="dxa"/>
          </w:tcPr>
          <w:p w14:paraId="7BE9CD35" w14:textId="77777777" w:rsidR="00F95661" w:rsidRPr="00A928CB" w:rsidRDefault="00F95661" w:rsidP="00D215E4">
            <w:pPr>
              <w:pStyle w:val="ListParagraph"/>
              <w:tabs>
                <w:tab w:val="left" w:pos="5590"/>
                <w:tab w:val="right" w:pos="7620"/>
                <w:tab w:val="right" w:pos="9460"/>
                <w:tab w:val="right" w:pos="10080"/>
              </w:tabs>
              <w:ind w:left="567"/>
              <w:jc w:val="both"/>
              <w:rPr>
                <w:i/>
                <w:iCs/>
                <w:sz w:val="18"/>
                <w:szCs w:val="18"/>
                <w:highlight w:val="cyan"/>
              </w:rPr>
            </w:pPr>
          </w:p>
        </w:tc>
      </w:tr>
      <w:tr w:rsidR="00F95661" w:rsidRPr="006977B6" w14:paraId="21C4642D" w14:textId="77777777" w:rsidTr="00D215E4">
        <w:tc>
          <w:tcPr>
            <w:tcW w:w="4708" w:type="dxa"/>
          </w:tcPr>
          <w:p w14:paraId="65C72F21" w14:textId="02AEC217" w:rsidR="00F95661" w:rsidRPr="006977B6" w:rsidRDefault="00F95661" w:rsidP="002523B0">
            <w:pPr>
              <w:pStyle w:val="ListParagraph"/>
              <w:ind w:left="567" w:right="-57"/>
              <w:jc w:val="both"/>
              <w:rPr>
                <w:sz w:val="18"/>
                <w:szCs w:val="18"/>
              </w:rPr>
            </w:pPr>
            <w:r w:rsidRPr="006977B6">
              <w:rPr>
                <w:sz w:val="18"/>
                <w:szCs w:val="18"/>
              </w:rPr>
              <w:t>Amandemen 2015 PSAK No. 24 menyederhanakan akuntansi untuk kontribusi iuran dari pekerja atau pihak ketiga yang tidak bergantung pada jumlah tahun jasa</w:t>
            </w:r>
            <w:r w:rsidR="002523B0">
              <w:rPr>
                <w:sz w:val="18"/>
                <w:szCs w:val="18"/>
              </w:rPr>
              <w:t>,</w:t>
            </w:r>
            <w:r w:rsidRPr="006977B6">
              <w:rPr>
                <w:sz w:val="18"/>
                <w:szCs w:val="18"/>
              </w:rPr>
              <w:t xml:space="preserve"> misalnya iuran pekerja yang dihitung berdasarkan persentase tetap dari gaji.</w:t>
            </w:r>
          </w:p>
        </w:tc>
        <w:tc>
          <w:tcPr>
            <w:tcW w:w="4708" w:type="dxa"/>
          </w:tcPr>
          <w:p w14:paraId="2567FF93" w14:textId="5E621634" w:rsidR="00F95661" w:rsidRPr="006977B6" w:rsidRDefault="00F95661" w:rsidP="002523B0">
            <w:pPr>
              <w:pStyle w:val="ListParagraph"/>
              <w:tabs>
                <w:tab w:val="left" w:pos="5590"/>
                <w:tab w:val="right" w:pos="7620"/>
                <w:tab w:val="right" w:pos="9460"/>
                <w:tab w:val="right" w:pos="10080"/>
              </w:tabs>
              <w:ind w:left="567" w:right="-57"/>
              <w:jc w:val="both"/>
              <w:rPr>
                <w:i/>
                <w:sz w:val="18"/>
                <w:szCs w:val="18"/>
              </w:rPr>
            </w:pPr>
            <w:r w:rsidRPr="006977B6">
              <w:rPr>
                <w:i/>
                <w:sz w:val="18"/>
                <w:szCs w:val="18"/>
              </w:rPr>
              <w:t>Amendment 2015 to PSAK No. 24 simplifies accounting for dues contributions from employees or third parties that do not depend on the number of years of service</w:t>
            </w:r>
            <w:r w:rsidR="002523B0">
              <w:rPr>
                <w:i/>
                <w:sz w:val="18"/>
                <w:szCs w:val="18"/>
              </w:rPr>
              <w:t>,</w:t>
            </w:r>
            <w:r w:rsidRPr="006977B6">
              <w:rPr>
                <w:i/>
                <w:sz w:val="18"/>
                <w:szCs w:val="18"/>
              </w:rPr>
              <w:t xml:space="preserve"> for example</w:t>
            </w:r>
            <w:r w:rsidR="002523B0">
              <w:rPr>
                <w:i/>
                <w:sz w:val="18"/>
                <w:szCs w:val="18"/>
              </w:rPr>
              <w:t>,</w:t>
            </w:r>
            <w:r w:rsidRPr="006977B6">
              <w:rPr>
                <w:i/>
                <w:sz w:val="18"/>
                <w:szCs w:val="18"/>
              </w:rPr>
              <w:t xml:space="preserve"> </w:t>
            </w:r>
            <w:r w:rsidRPr="006977B6">
              <w:rPr>
                <w:i/>
                <w:sz w:val="18"/>
                <w:szCs w:val="18"/>
                <w:lang w:val="id-ID"/>
              </w:rPr>
              <w:t xml:space="preserve">employees </w:t>
            </w:r>
            <w:r w:rsidRPr="006977B6">
              <w:rPr>
                <w:i/>
                <w:sz w:val="18"/>
                <w:szCs w:val="18"/>
              </w:rPr>
              <w:t>contributions are calculated based on a fixed percentage of salary.</w:t>
            </w:r>
          </w:p>
        </w:tc>
      </w:tr>
      <w:tr w:rsidR="00F95661" w:rsidRPr="006977B6" w14:paraId="69D82A06" w14:textId="77777777" w:rsidTr="00D215E4">
        <w:tc>
          <w:tcPr>
            <w:tcW w:w="4708" w:type="dxa"/>
          </w:tcPr>
          <w:p w14:paraId="0643C78D" w14:textId="77777777" w:rsidR="00F95661" w:rsidRPr="006977B6" w:rsidRDefault="00F95661" w:rsidP="00D215E4">
            <w:pPr>
              <w:widowControl w:val="0"/>
              <w:autoSpaceDE w:val="0"/>
              <w:autoSpaceDN w:val="0"/>
              <w:adjustRightInd w:val="0"/>
              <w:ind w:left="624" w:right="-34"/>
              <w:jc w:val="both"/>
              <w:rPr>
                <w:sz w:val="18"/>
                <w:szCs w:val="18"/>
              </w:rPr>
            </w:pPr>
          </w:p>
        </w:tc>
        <w:tc>
          <w:tcPr>
            <w:tcW w:w="4708" w:type="dxa"/>
          </w:tcPr>
          <w:p w14:paraId="714B1E59" w14:textId="77777777" w:rsidR="00F95661" w:rsidRPr="006977B6" w:rsidRDefault="00F95661" w:rsidP="00D215E4">
            <w:pPr>
              <w:ind w:left="624"/>
              <w:jc w:val="both"/>
              <w:rPr>
                <w:bCs w:val="0"/>
                <w:i/>
                <w:sz w:val="18"/>
                <w:szCs w:val="18"/>
              </w:rPr>
            </w:pPr>
          </w:p>
        </w:tc>
      </w:tr>
      <w:tr w:rsidR="00F95661" w:rsidRPr="00A928CB" w14:paraId="78FB1031" w14:textId="77777777" w:rsidTr="00D215E4">
        <w:tc>
          <w:tcPr>
            <w:tcW w:w="4708" w:type="dxa"/>
          </w:tcPr>
          <w:p w14:paraId="24D12563" w14:textId="77777777" w:rsidR="00F95661" w:rsidRPr="006977B6" w:rsidRDefault="00F95661" w:rsidP="00D215E4">
            <w:pPr>
              <w:pStyle w:val="ListParagraph"/>
              <w:ind w:left="567" w:right="-57"/>
              <w:jc w:val="both"/>
              <w:rPr>
                <w:sz w:val="18"/>
                <w:szCs w:val="18"/>
              </w:rPr>
            </w:pPr>
            <w:r w:rsidRPr="006977B6">
              <w:rPr>
                <w:sz w:val="18"/>
                <w:szCs w:val="18"/>
              </w:rPr>
              <w:t>Kelompok Usaha mengadopsi program imbalan pasti yang tidak didanai dan mencatat imbalan kerja untuk memenuhi imbalan di bawah Undang-Undang</w:t>
            </w:r>
            <w:r w:rsidRPr="006977B6">
              <w:rPr>
                <w:sz w:val="18"/>
                <w:szCs w:val="18"/>
              </w:rPr>
              <w:br/>
              <w:t>No. 13 Tahun 2003.</w:t>
            </w:r>
          </w:p>
        </w:tc>
        <w:tc>
          <w:tcPr>
            <w:tcW w:w="4708" w:type="dxa"/>
          </w:tcPr>
          <w:p w14:paraId="06940E73" w14:textId="77777777" w:rsidR="00F95661" w:rsidRPr="006977B6" w:rsidRDefault="00F95661" w:rsidP="00D215E4">
            <w:pPr>
              <w:pStyle w:val="ListParagraph"/>
              <w:tabs>
                <w:tab w:val="left" w:pos="5590"/>
                <w:tab w:val="right" w:pos="7620"/>
                <w:tab w:val="right" w:pos="9460"/>
                <w:tab w:val="right" w:pos="10080"/>
              </w:tabs>
              <w:ind w:left="567" w:right="-57"/>
              <w:jc w:val="both"/>
              <w:rPr>
                <w:bCs w:val="0"/>
                <w:i/>
                <w:sz w:val="18"/>
                <w:szCs w:val="18"/>
              </w:rPr>
            </w:pPr>
            <w:r w:rsidRPr="006977B6">
              <w:rPr>
                <w:bCs w:val="0"/>
                <w:i/>
                <w:sz w:val="18"/>
                <w:szCs w:val="18"/>
              </w:rPr>
              <w:t xml:space="preserve">The Group adopts an unfunded defined benefit plan and records </w:t>
            </w:r>
            <w:r w:rsidRPr="006977B6">
              <w:rPr>
                <w:i/>
                <w:sz w:val="18"/>
                <w:szCs w:val="18"/>
              </w:rPr>
              <w:t>employee</w:t>
            </w:r>
            <w:r w:rsidRPr="006977B6">
              <w:rPr>
                <w:bCs w:val="0"/>
                <w:i/>
                <w:sz w:val="18"/>
                <w:szCs w:val="18"/>
              </w:rPr>
              <w:t xml:space="preserve"> benefits to cover adequately the benefits under the Law No. 13 year 2003.</w:t>
            </w:r>
          </w:p>
        </w:tc>
      </w:tr>
    </w:tbl>
    <w:p w14:paraId="71223051" w14:textId="64ADF85C" w:rsidR="006B2C4C" w:rsidRPr="006977B6" w:rsidRDefault="00F95661">
      <w:r>
        <w:br w:type="page"/>
      </w:r>
    </w:p>
    <w:tbl>
      <w:tblPr>
        <w:tblW w:w="9197" w:type="dxa"/>
        <w:tblInd w:w="392" w:type="dxa"/>
        <w:tblLayout w:type="fixed"/>
        <w:tblLook w:val="0000" w:firstRow="0" w:lastRow="0" w:firstColumn="0" w:lastColumn="0" w:noHBand="0" w:noVBand="0"/>
      </w:tblPr>
      <w:tblGrid>
        <w:gridCol w:w="4599"/>
        <w:gridCol w:w="4598"/>
      </w:tblGrid>
      <w:tr w:rsidR="00CE1D45" w:rsidRPr="006977B6" w14:paraId="2CD1EAF7" w14:textId="77777777" w:rsidTr="00F95661">
        <w:tc>
          <w:tcPr>
            <w:tcW w:w="4599" w:type="dxa"/>
          </w:tcPr>
          <w:p w14:paraId="3D9C0C3A" w14:textId="77777777" w:rsidR="00CE1D45" w:rsidRPr="006977B6" w:rsidRDefault="00CE1D45" w:rsidP="005F361E">
            <w:pPr>
              <w:pStyle w:val="ListParagraph"/>
              <w:numPr>
                <w:ilvl w:val="0"/>
                <w:numId w:val="60"/>
              </w:numPr>
              <w:ind w:left="284" w:right="-57" w:hanging="284"/>
              <w:contextualSpacing/>
              <w:jc w:val="both"/>
              <w:rPr>
                <w:rStyle w:val="hps"/>
                <w:b/>
                <w:sz w:val="18"/>
                <w:szCs w:val="18"/>
              </w:rPr>
            </w:pPr>
            <w:r w:rsidRPr="0013526B">
              <w:rPr>
                <w:sz w:val="18"/>
                <w:szCs w:val="18"/>
              </w:rPr>
              <w:lastRenderedPageBreak/>
              <w:br w:type="page"/>
            </w:r>
            <w:r w:rsidRPr="006977B6">
              <w:rPr>
                <w:rStyle w:val="hps"/>
                <w:b/>
                <w:sz w:val="18"/>
                <w:szCs w:val="18"/>
              </w:rPr>
              <w:t xml:space="preserve">IKHTISAR KEBIJAKAN AKUNTANSI </w:t>
            </w:r>
            <w:r w:rsidR="00C85EDE" w:rsidRPr="006977B6">
              <w:rPr>
                <w:rStyle w:val="hps"/>
                <w:b/>
                <w:sz w:val="18"/>
                <w:szCs w:val="18"/>
                <w:lang w:val="id-ID"/>
              </w:rPr>
              <w:t xml:space="preserve">YANG </w:t>
            </w:r>
            <w:r w:rsidRPr="006977B6">
              <w:rPr>
                <w:rStyle w:val="hps"/>
                <w:b/>
                <w:sz w:val="18"/>
                <w:szCs w:val="18"/>
              </w:rPr>
              <w:t xml:space="preserve">PENTING </w:t>
            </w:r>
            <w:r w:rsidR="00DC1595" w:rsidRPr="006977B6">
              <w:rPr>
                <w:rStyle w:val="hps"/>
                <w:b/>
                <w:sz w:val="18"/>
                <w:szCs w:val="18"/>
                <w:lang w:val="id-ID"/>
              </w:rPr>
              <w:t>-</w:t>
            </w:r>
            <w:r w:rsidRPr="006977B6">
              <w:rPr>
                <w:rStyle w:val="hps"/>
                <w:b/>
                <w:sz w:val="18"/>
                <w:szCs w:val="18"/>
              </w:rPr>
              <w:t xml:space="preserve"> Lanjutan</w:t>
            </w:r>
          </w:p>
        </w:tc>
        <w:tc>
          <w:tcPr>
            <w:tcW w:w="4598" w:type="dxa"/>
          </w:tcPr>
          <w:p w14:paraId="268DE689" w14:textId="77777777" w:rsidR="00CE1D45" w:rsidRPr="006977B6" w:rsidRDefault="00CE1D45" w:rsidP="005F361E">
            <w:pPr>
              <w:pStyle w:val="ListParagraph"/>
              <w:numPr>
                <w:ilvl w:val="0"/>
                <w:numId w:val="61"/>
              </w:numPr>
              <w:ind w:left="284" w:right="-57" w:hanging="284"/>
              <w:contextualSpacing/>
              <w:jc w:val="both"/>
              <w:rPr>
                <w:b/>
                <w:bCs w:val="0"/>
                <w:i/>
                <w:sz w:val="18"/>
                <w:szCs w:val="18"/>
              </w:rPr>
            </w:pPr>
            <w:r w:rsidRPr="006977B6">
              <w:rPr>
                <w:b/>
                <w:i/>
                <w:sz w:val="18"/>
                <w:szCs w:val="18"/>
              </w:rPr>
              <w:t>SUMMARY OF SIGNIFICANT ACCOUNTING POLICIES - Continued</w:t>
            </w:r>
          </w:p>
        </w:tc>
      </w:tr>
      <w:tr w:rsidR="00DB366F" w:rsidRPr="006977B6" w14:paraId="3A915D13" w14:textId="77777777" w:rsidTr="00F95661">
        <w:tc>
          <w:tcPr>
            <w:tcW w:w="4599" w:type="dxa"/>
          </w:tcPr>
          <w:p w14:paraId="0C2FCD5E" w14:textId="77777777" w:rsidR="00DB366F" w:rsidRPr="006977B6" w:rsidRDefault="00DB366F" w:rsidP="0013526B">
            <w:pPr>
              <w:rPr>
                <w:rStyle w:val="hps"/>
                <w:sz w:val="14"/>
                <w:szCs w:val="14"/>
              </w:rPr>
            </w:pPr>
          </w:p>
        </w:tc>
        <w:tc>
          <w:tcPr>
            <w:tcW w:w="4598" w:type="dxa"/>
          </w:tcPr>
          <w:p w14:paraId="20E63524" w14:textId="77777777" w:rsidR="00DB366F" w:rsidRPr="006977B6" w:rsidRDefault="00DB366F" w:rsidP="0013526B">
            <w:pPr>
              <w:ind w:left="907"/>
              <w:jc w:val="both"/>
              <w:rPr>
                <w:bCs w:val="0"/>
                <w:i/>
                <w:sz w:val="14"/>
                <w:szCs w:val="14"/>
              </w:rPr>
            </w:pPr>
          </w:p>
        </w:tc>
      </w:tr>
      <w:tr w:rsidR="00CE1D45" w:rsidRPr="006977B6" w14:paraId="1C07A4E8" w14:textId="77777777" w:rsidTr="00F95661">
        <w:tc>
          <w:tcPr>
            <w:tcW w:w="4599" w:type="dxa"/>
          </w:tcPr>
          <w:p w14:paraId="75AC882D" w14:textId="77777777" w:rsidR="00CE1D45" w:rsidRPr="006977B6" w:rsidRDefault="00B17861" w:rsidP="00070D1F">
            <w:pPr>
              <w:pStyle w:val="ListParagraph"/>
              <w:numPr>
                <w:ilvl w:val="0"/>
                <w:numId w:val="105"/>
              </w:numPr>
              <w:ind w:left="568" w:hanging="284"/>
              <w:contextualSpacing/>
              <w:jc w:val="both"/>
              <w:rPr>
                <w:rStyle w:val="hps"/>
                <w:b/>
                <w:sz w:val="18"/>
                <w:szCs w:val="18"/>
              </w:rPr>
            </w:pPr>
            <w:r w:rsidRPr="006977B6">
              <w:rPr>
                <w:rStyle w:val="hps"/>
                <w:b/>
                <w:sz w:val="18"/>
                <w:szCs w:val="18"/>
              </w:rPr>
              <w:t>Imbalan K</w:t>
            </w:r>
            <w:r w:rsidR="00CE1D45" w:rsidRPr="006977B6">
              <w:rPr>
                <w:rStyle w:val="hps"/>
                <w:b/>
                <w:sz w:val="18"/>
                <w:szCs w:val="18"/>
              </w:rPr>
              <w:t>erja - Lanjutan</w:t>
            </w:r>
          </w:p>
        </w:tc>
        <w:tc>
          <w:tcPr>
            <w:tcW w:w="4598" w:type="dxa"/>
          </w:tcPr>
          <w:p w14:paraId="76F12439" w14:textId="77777777" w:rsidR="00CE1D45" w:rsidRPr="006977B6" w:rsidRDefault="00B17861" w:rsidP="00070D1F">
            <w:pPr>
              <w:pStyle w:val="ListParagraph"/>
              <w:numPr>
                <w:ilvl w:val="0"/>
                <w:numId w:val="106"/>
              </w:numPr>
              <w:ind w:left="568" w:hanging="284"/>
              <w:contextualSpacing/>
              <w:jc w:val="both"/>
              <w:rPr>
                <w:b/>
                <w:bCs w:val="0"/>
                <w:i/>
                <w:sz w:val="18"/>
                <w:szCs w:val="18"/>
              </w:rPr>
            </w:pPr>
            <w:r w:rsidRPr="006977B6">
              <w:rPr>
                <w:b/>
                <w:bCs w:val="0"/>
                <w:i/>
                <w:sz w:val="18"/>
                <w:szCs w:val="18"/>
              </w:rPr>
              <w:t>Employee B</w:t>
            </w:r>
            <w:r w:rsidR="00CE1D45" w:rsidRPr="006977B6">
              <w:rPr>
                <w:b/>
                <w:bCs w:val="0"/>
                <w:i/>
                <w:sz w:val="18"/>
                <w:szCs w:val="18"/>
              </w:rPr>
              <w:t>enefit - Continued</w:t>
            </w:r>
          </w:p>
        </w:tc>
      </w:tr>
      <w:tr w:rsidR="00CE1D45" w:rsidRPr="006977B6" w14:paraId="32A3D86A" w14:textId="77777777" w:rsidTr="00F95661">
        <w:tc>
          <w:tcPr>
            <w:tcW w:w="4599" w:type="dxa"/>
          </w:tcPr>
          <w:p w14:paraId="6C4E180B" w14:textId="77777777" w:rsidR="00CE1D45" w:rsidRPr="006977B6" w:rsidRDefault="00CE1D45" w:rsidP="0013526B">
            <w:pPr>
              <w:rPr>
                <w:rStyle w:val="hps"/>
                <w:sz w:val="18"/>
                <w:szCs w:val="18"/>
              </w:rPr>
            </w:pPr>
          </w:p>
        </w:tc>
        <w:tc>
          <w:tcPr>
            <w:tcW w:w="4598" w:type="dxa"/>
          </w:tcPr>
          <w:p w14:paraId="0AFD4DF1" w14:textId="77777777" w:rsidR="00CE1D45" w:rsidRPr="006977B6" w:rsidRDefault="00CE1D45" w:rsidP="0013526B">
            <w:pPr>
              <w:ind w:left="907"/>
              <w:jc w:val="both"/>
              <w:rPr>
                <w:bCs w:val="0"/>
                <w:i/>
                <w:sz w:val="18"/>
                <w:szCs w:val="18"/>
              </w:rPr>
            </w:pPr>
          </w:p>
        </w:tc>
      </w:tr>
      <w:tr w:rsidR="00DB366F" w:rsidRPr="006977B6" w14:paraId="6D56119C" w14:textId="77777777" w:rsidTr="00F95661">
        <w:tc>
          <w:tcPr>
            <w:tcW w:w="4599" w:type="dxa"/>
          </w:tcPr>
          <w:p w14:paraId="55486DAA" w14:textId="77777777" w:rsidR="00DB366F" w:rsidRPr="006977B6" w:rsidRDefault="00CE1D45" w:rsidP="0013526B">
            <w:pPr>
              <w:pStyle w:val="ListParagraph"/>
              <w:ind w:left="567"/>
              <w:jc w:val="both"/>
              <w:rPr>
                <w:b/>
                <w:sz w:val="18"/>
                <w:szCs w:val="18"/>
              </w:rPr>
            </w:pPr>
            <w:r w:rsidRPr="006977B6">
              <w:rPr>
                <w:b/>
                <w:sz w:val="18"/>
                <w:szCs w:val="18"/>
              </w:rPr>
              <w:t>Pengakuan</w:t>
            </w:r>
          </w:p>
        </w:tc>
        <w:tc>
          <w:tcPr>
            <w:tcW w:w="4598" w:type="dxa"/>
          </w:tcPr>
          <w:p w14:paraId="56A404B9" w14:textId="77777777" w:rsidR="00DB366F" w:rsidRPr="006977B6" w:rsidRDefault="00CE1D45" w:rsidP="0013526B">
            <w:pPr>
              <w:pStyle w:val="ListParagraph"/>
              <w:tabs>
                <w:tab w:val="left" w:pos="5590"/>
                <w:tab w:val="right" w:pos="7620"/>
                <w:tab w:val="right" w:pos="9460"/>
                <w:tab w:val="right" w:pos="10080"/>
              </w:tabs>
              <w:ind w:left="567"/>
              <w:jc w:val="both"/>
              <w:rPr>
                <w:b/>
                <w:i/>
                <w:sz w:val="18"/>
                <w:szCs w:val="18"/>
              </w:rPr>
            </w:pPr>
            <w:r w:rsidRPr="006977B6">
              <w:rPr>
                <w:b/>
                <w:i/>
                <w:sz w:val="18"/>
                <w:szCs w:val="18"/>
              </w:rPr>
              <w:t>Recognition</w:t>
            </w:r>
          </w:p>
        </w:tc>
      </w:tr>
      <w:tr w:rsidR="00DB366F" w:rsidRPr="006977B6" w14:paraId="5E4BCB4B" w14:textId="77777777" w:rsidTr="00F95661">
        <w:tc>
          <w:tcPr>
            <w:tcW w:w="4599" w:type="dxa"/>
          </w:tcPr>
          <w:p w14:paraId="19EE76CD" w14:textId="77777777" w:rsidR="00DB366F" w:rsidRPr="006977B6" w:rsidRDefault="00DB366F" w:rsidP="0013526B">
            <w:pPr>
              <w:pStyle w:val="ListParagraph"/>
              <w:ind w:left="567"/>
              <w:jc w:val="both"/>
              <w:rPr>
                <w:sz w:val="18"/>
                <w:szCs w:val="18"/>
              </w:rPr>
            </w:pPr>
          </w:p>
        </w:tc>
        <w:tc>
          <w:tcPr>
            <w:tcW w:w="4598" w:type="dxa"/>
          </w:tcPr>
          <w:p w14:paraId="6C5043F4" w14:textId="77777777" w:rsidR="00DB366F" w:rsidRPr="006977B6" w:rsidRDefault="00DB366F" w:rsidP="0013526B">
            <w:pPr>
              <w:pStyle w:val="ListParagraph"/>
              <w:ind w:left="567"/>
              <w:jc w:val="both"/>
              <w:rPr>
                <w:sz w:val="18"/>
                <w:szCs w:val="18"/>
              </w:rPr>
            </w:pPr>
          </w:p>
        </w:tc>
      </w:tr>
      <w:tr w:rsidR="00DB366F" w:rsidRPr="006977B6" w14:paraId="25CAF959" w14:textId="77777777" w:rsidTr="00F95661">
        <w:tc>
          <w:tcPr>
            <w:tcW w:w="4599" w:type="dxa"/>
          </w:tcPr>
          <w:p w14:paraId="1CC2EC91" w14:textId="29377E8A" w:rsidR="00DB366F" w:rsidRPr="006977B6" w:rsidRDefault="00CE1D45" w:rsidP="002523B0">
            <w:pPr>
              <w:pStyle w:val="ListParagraph"/>
              <w:ind w:left="567" w:right="-57"/>
              <w:jc w:val="both"/>
              <w:rPr>
                <w:sz w:val="18"/>
                <w:szCs w:val="18"/>
              </w:rPr>
            </w:pPr>
            <w:r w:rsidRPr="006977B6">
              <w:rPr>
                <w:sz w:val="18"/>
                <w:szCs w:val="18"/>
              </w:rPr>
              <w:t>Beban imbalan kerja untuk</w:t>
            </w:r>
            <w:r w:rsidR="00650ED9" w:rsidRPr="006977B6">
              <w:rPr>
                <w:sz w:val="18"/>
                <w:szCs w:val="18"/>
              </w:rPr>
              <w:t xml:space="preserve"> </w:t>
            </w:r>
            <w:r w:rsidRPr="006977B6">
              <w:rPr>
                <w:sz w:val="18"/>
                <w:szCs w:val="18"/>
              </w:rPr>
              <w:t>pekerja harus diakui pada periode dimana imbalan diperoleh oleh pekerja</w:t>
            </w:r>
            <w:r w:rsidR="002523B0">
              <w:rPr>
                <w:sz w:val="18"/>
                <w:szCs w:val="18"/>
              </w:rPr>
              <w:t>,</w:t>
            </w:r>
            <w:r w:rsidRPr="006977B6">
              <w:rPr>
                <w:sz w:val="18"/>
                <w:szCs w:val="18"/>
              </w:rPr>
              <w:t xml:space="preserve"> daripada ketika dibayar atau terutang.</w:t>
            </w:r>
          </w:p>
        </w:tc>
        <w:tc>
          <w:tcPr>
            <w:tcW w:w="4598" w:type="dxa"/>
          </w:tcPr>
          <w:p w14:paraId="7CFA34DD" w14:textId="79E03C74" w:rsidR="00DB366F" w:rsidRPr="006977B6" w:rsidRDefault="00CE1D45" w:rsidP="002523B0">
            <w:pPr>
              <w:pStyle w:val="ListParagraph"/>
              <w:tabs>
                <w:tab w:val="left" w:pos="5590"/>
                <w:tab w:val="right" w:pos="7620"/>
                <w:tab w:val="right" w:pos="9460"/>
                <w:tab w:val="right" w:pos="10080"/>
              </w:tabs>
              <w:ind w:left="567" w:right="-57"/>
              <w:jc w:val="both"/>
              <w:rPr>
                <w:i/>
                <w:sz w:val="18"/>
                <w:szCs w:val="18"/>
              </w:rPr>
            </w:pPr>
            <w:r w:rsidRPr="006977B6">
              <w:rPr>
                <w:i/>
                <w:sz w:val="18"/>
                <w:szCs w:val="18"/>
              </w:rPr>
              <w:t>The cost of providing employee benefits should be recognized in the period in which the benefit is earned by the employee</w:t>
            </w:r>
            <w:r w:rsidR="002523B0">
              <w:rPr>
                <w:i/>
                <w:sz w:val="18"/>
                <w:szCs w:val="18"/>
              </w:rPr>
              <w:t>,</w:t>
            </w:r>
            <w:r w:rsidRPr="006977B6">
              <w:rPr>
                <w:i/>
                <w:sz w:val="18"/>
                <w:szCs w:val="18"/>
              </w:rPr>
              <w:t xml:space="preserve"> rather than when it is paid or payable.</w:t>
            </w:r>
          </w:p>
        </w:tc>
      </w:tr>
      <w:tr w:rsidR="00DB366F" w:rsidRPr="006977B6" w14:paraId="72052131" w14:textId="77777777" w:rsidTr="00F95661">
        <w:tc>
          <w:tcPr>
            <w:tcW w:w="4599" w:type="dxa"/>
          </w:tcPr>
          <w:p w14:paraId="76CC96EF" w14:textId="77777777" w:rsidR="00DB366F" w:rsidRPr="006977B6" w:rsidRDefault="00DB366F" w:rsidP="0013526B">
            <w:pPr>
              <w:pStyle w:val="ListParagraph"/>
              <w:ind w:left="567"/>
              <w:jc w:val="both"/>
              <w:rPr>
                <w:sz w:val="14"/>
                <w:szCs w:val="14"/>
              </w:rPr>
            </w:pPr>
          </w:p>
        </w:tc>
        <w:tc>
          <w:tcPr>
            <w:tcW w:w="4598" w:type="dxa"/>
          </w:tcPr>
          <w:p w14:paraId="21C7333B" w14:textId="77777777" w:rsidR="00DB366F" w:rsidRPr="006977B6" w:rsidRDefault="00DB366F" w:rsidP="0013526B">
            <w:pPr>
              <w:pStyle w:val="ListParagraph"/>
              <w:ind w:left="567"/>
              <w:jc w:val="both"/>
              <w:rPr>
                <w:sz w:val="14"/>
                <w:szCs w:val="14"/>
              </w:rPr>
            </w:pPr>
          </w:p>
        </w:tc>
      </w:tr>
      <w:tr w:rsidR="00DB366F" w:rsidRPr="006977B6" w14:paraId="56254641" w14:textId="77777777" w:rsidTr="00F95661">
        <w:tc>
          <w:tcPr>
            <w:tcW w:w="4599" w:type="dxa"/>
          </w:tcPr>
          <w:p w14:paraId="49D74EEF" w14:textId="77777777" w:rsidR="00DB366F" w:rsidRPr="006977B6" w:rsidRDefault="00CE1D45" w:rsidP="0013526B">
            <w:pPr>
              <w:pStyle w:val="ListParagraph"/>
              <w:ind w:left="567" w:right="-57"/>
              <w:jc w:val="both"/>
              <w:rPr>
                <w:sz w:val="18"/>
                <w:szCs w:val="18"/>
              </w:rPr>
            </w:pPr>
            <w:r w:rsidRPr="006977B6">
              <w:rPr>
                <w:sz w:val="18"/>
                <w:szCs w:val="18"/>
              </w:rPr>
              <w:t>Komponen biaya imbalan pasti diakui sebagai berikut:</w:t>
            </w:r>
          </w:p>
        </w:tc>
        <w:tc>
          <w:tcPr>
            <w:tcW w:w="4598" w:type="dxa"/>
          </w:tcPr>
          <w:p w14:paraId="63FC03A9" w14:textId="77777777" w:rsidR="00DB366F" w:rsidRPr="006977B6" w:rsidRDefault="00A50E89" w:rsidP="0013526B">
            <w:pPr>
              <w:widowControl w:val="0"/>
              <w:autoSpaceDE w:val="0"/>
              <w:autoSpaceDN w:val="0"/>
              <w:adjustRightInd w:val="0"/>
              <w:spacing w:before="34"/>
              <w:ind w:left="567" w:right="-57"/>
              <w:jc w:val="both"/>
              <w:rPr>
                <w:i/>
                <w:sz w:val="18"/>
                <w:szCs w:val="18"/>
              </w:rPr>
            </w:pPr>
            <w:r w:rsidRPr="006977B6">
              <w:rPr>
                <w:i/>
                <w:sz w:val="18"/>
                <w:szCs w:val="18"/>
              </w:rPr>
              <w:t>The components of defined benefit cost are recognized as follows:</w:t>
            </w:r>
          </w:p>
        </w:tc>
      </w:tr>
      <w:tr w:rsidR="00DB366F" w:rsidRPr="006977B6" w14:paraId="08B6E640" w14:textId="77777777" w:rsidTr="00F95661">
        <w:tc>
          <w:tcPr>
            <w:tcW w:w="4599" w:type="dxa"/>
          </w:tcPr>
          <w:p w14:paraId="6F051FF9" w14:textId="77777777" w:rsidR="00DB366F" w:rsidRPr="006977B6" w:rsidRDefault="00DB366F" w:rsidP="0013526B">
            <w:pPr>
              <w:pStyle w:val="ListParagraph"/>
              <w:ind w:left="567"/>
              <w:jc w:val="both"/>
              <w:rPr>
                <w:sz w:val="14"/>
                <w:szCs w:val="14"/>
              </w:rPr>
            </w:pPr>
          </w:p>
        </w:tc>
        <w:tc>
          <w:tcPr>
            <w:tcW w:w="4598" w:type="dxa"/>
          </w:tcPr>
          <w:p w14:paraId="32A89708" w14:textId="77777777" w:rsidR="00DB366F" w:rsidRPr="006977B6" w:rsidRDefault="00DB366F" w:rsidP="0013526B">
            <w:pPr>
              <w:pStyle w:val="ListParagraph"/>
              <w:ind w:left="567"/>
              <w:jc w:val="both"/>
              <w:rPr>
                <w:sz w:val="14"/>
                <w:szCs w:val="14"/>
              </w:rPr>
            </w:pPr>
          </w:p>
        </w:tc>
      </w:tr>
      <w:tr w:rsidR="0015258F" w:rsidRPr="006977B6" w14:paraId="1B43B65A" w14:textId="77777777" w:rsidTr="00F95661">
        <w:tc>
          <w:tcPr>
            <w:tcW w:w="4599" w:type="dxa"/>
          </w:tcPr>
          <w:p w14:paraId="6BABDEA5" w14:textId="77777777" w:rsidR="0015258F" w:rsidRPr="006977B6" w:rsidRDefault="0015258F" w:rsidP="005F361E">
            <w:pPr>
              <w:pStyle w:val="ListParagraph"/>
              <w:numPr>
                <w:ilvl w:val="0"/>
                <w:numId w:val="41"/>
              </w:numPr>
              <w:tabs>
                <w:tab w:val="left" w:pos="851"/>
                <w:tab w:val="left" w:pos="884"/>
              </w:tabs>
              <w:ind w:left="851" w:right="-57" w:hanging="284"/>
              <w:contextualSpacing/>
              <w:jc w:val="both"/>
              <w:rPr>
                <w:bCs w:val="0"/>
                <w:sz w:val="18"/>
                <w:szCs w:val="18"/>
              </w:rPr>
            </w:pPr>
            <w:r w:rsidRPr="006977B6">
              <w:rPr>
                <w:sz w:val="18"/>
                <w:szCs w:val="18"/>
              </w:rPr>
              <w:t>biaya jasa diatribusikan ke periode sekarang dan masa lalu diakui dalam laporan laba rugi;</w:t>
            </w:r>
          </w:p>
        </w:tc>
        <w:tc>
          <w:tcPr>
            <w:tcW w:w="4598" w:type="dxa"/>
          </w:tcPr>
          <w:p w14:paraId="3B893F07" w14:textId="77777777" w:rsidR="0015258F" w:rsidRPr="006977B6" w:rsidRDefault="0015258F" w:rsidP="00070D1F">
            <w:pPr>
              <w:pStyle w:val="ListParagraph"/>
              <w:numPr>
                <w:ilvl w:val="0"/>
                <w:numId w:val="67"/>
              </w:numPr>
              <w:tabs>
                <w:tab w:val="left" w:pos="854"/>
              </w:tabs>
              <w:ind w:left="851" w:right="-57" w:hanging="284"/>
              <w:contextualSpacing/>
              <w:jc w:val="both"/>
              <w:rPr>
                <w:bCs w:val="0"/>
                <w:i/>
                <w:sz w:val="18"/>
                <w:szCs w:val="18"/>
              </w:rPr>
            </w:pPr>
            <w:r w:rsidRPr="006977B6">
              <w:rPr>
                <w:i/>
                <w:sz w:val="18"/>
                <w:szCs w:val="18"/>
              </w:rPr>
              <w:t>service cost attributable to the current and past periods is recognized in profit or loss;</w:t>
            </w:r>
          </w:p>
        </w:tc>
      </w:tr>
      <w:tr w:rsidR="0015258F" w:rsidRPr="006977B6" w14:paraId="21E32704" w14:textId="77777777" w:rsidTr="00F95661">
        <w:tc>
          <w:tcPr>
            <w:tcW w:w="4599" w:type="dxa"/>
          </w:tcPr>
          <w:p w14:paraId="0FB76720" w14:textId="77777777" w:rsidR="0015258F" w:rsidRPr="006977B6" w:rsidRDefault="0015258F" w:rsidP="005F361E">
            <w:pPr>
              <w:pStyle w:val="ListParagraph"/>
              <w:numPr>
                <w:ilvl w:val="0"/>
                <w:numId w:val="41"/>
              </w:numPr>
              <w:tabs>
                <w:tab w:val="left" w:pos="851"/>
                <w:tab w:val="left" w:pos="884"/>
              </w:tabs>
              <w:ind w:left="851" w:right="-57" w:hanging="284"/>
              <w:contextualSpacing/>
              <w:jc w:val="both"/>
              <w:rPr>
                <w:bCs w:val="0"/>
                <w:sz w:val="18"/>
                <w:szCs w:val="18"/>
              </w:rPr>
            </w:pPr>
            <w:r w:rsidRPr="006977B6">
              <w:rPr>
                <w:sz w:val="18"/>
                <w:szCs w:val="18"/>
              </w:rPr>
              <w:t>bunga neto pada liabilitas atau aset imbalan pasti ditentukan dengan menggunakan tingkat diskonto pada awal periode diakui dalam laporan laba rugi;</w:t>
            </w:r>
          </w:p>
        </w:tc>
        <w:tc>
          <w:tcPr>
            <w:tcW w:w="4598" w:type="dxa"/>
          </w:tcPr>
          <w:p w14:paraId="09FBF498" w14:textId="6767338E" w:rsidR="0015258F" w:rsidRPr="006977B6" w:rsidRDefault="0015258F" w:rsidP="00070D1F">
            <w:pPr>
              <w:pStyle w:val="ListParagraph"/>
              <w:numPr>
                <w:ilvl w:val="0"/>
                <w:numId w:val="67"/>
              </w:numPr>
              <w:tabs>
                <w:tab w:val="left" w:pos="854"/>
              </w:tabs>
              <w:ind w:left="851" w:right="-57" w:hanging="284"/>
              <w:contextualSpacing/>
              <w:jc w:val="both"/>
              <w:rPr>
                <w:bCs w:val="0"/>
                <w:i/>
                <w:sz w:val="18"/>
                <w:szCs w:val="18"/>
              </w:rPr>
            </w:pPr>
            <w:proofErr w:type="gramStart"/>
            <w:r w:rsidRPr="006977B6">
              <w:rPr>
                <w:i/>
                <w:sz w:val="18"/>
                <w:szCs w:val="18"/>
              </w:rPr>
              <w:t>net</w:t>
            </w:r>
            <w:proofErr w:type="gramEnd"/>
            <w:r w:rsidRPr="006977B6">
              <w:rPr>
                <w:i/>
                <w:sz w:val="18"/>
                <w:szCs w:val="18"/>
              </w:rPr>
              <w:t xml:space="preserve"> interest on the net defined benefit liability or asset</w:t>
            </w:r>
            <w:r w:rsidR="00870FD0">
              <w:rPr>
                <w:i/>
                <w:sz w:val="18"/>
                <w:szCs w:val="18"/>
              </w:rPr>
              <w:t>.</w:t>
            </w:r>
            <w:r w:rsidRPr="006977B6">
              <w:rPr>
                <w:i/>
                <w:sz w:val="18"/>
                <w:szCs w:val="18"/>
              </w:rPr>
              <w:t xml:space="preserve"> determined using the discount rate at the beginning of the period is recognized in profit or loss;</w:t>
            </w:r>
          </w:p>
        </w:tc>
      </w:tr>
      <w:tr w:rsidR="0015258F" w:rsidRPr="006977B6" w14:paraId="0264AB96" w14:textId="77777777" w:rsidTr="00F95661">
        <w:tc>
          <w:tcPr>
            <w:tcW w:w="4599" w:type="dxa"/>
          </w:tcPr>
          <w:p w14:paraId="225C75FC" w14:textId="77777777" w:rsidR="0015258F" w:rsidRPr="006977B6" w:rsidRDefault="0015258F" w:rsidP="005F361E">
            <w:pPr>
              <w:pStyle w:val="ListParagraph"/>
              <w:numPr>
                <w:ilvl w:val="0"/>
                <w:numId w:val="41"/>
              </w:numPr>
              <w:tabs>
                <w:tab w:val="left" w:pos="851"/>
                <w:tab w:val="left" w:pos="884"/>
              </w:tabs>
              <w:ind w:left="851" w:right="-57" w:hanging="284"/>
              <w:contextualSpacing/>
              <w:jc w:val="both"/>
              <w:rPr>
                <w:bCs w:val="0"/>
                <w:sz w:val="18"/>
                <w:szCs w:val="18"/>
              </w:rPr>
            </w:pPr>
            <w:r w:rsidRPr="006977B6">
              <w:rPr>
                <w:sz w:val="18"/>
                <w:szCs w:val="18"/>
              </w:rPr>
              <w:t>pengukuran kembali dari liabilitas atau aset imbalan pasti terdiri dari:</w:t>
            </w:r>
          </w:p>
        </w:tc>
        <w:tc>
          <w:tcPr>
            <w:tcW w:w="4598" w:type="dxa"/>
          </w:tcPr>
          <w:p w14:paraId="5026FA7F" w14:textId="783EEAED" w:rsidR="0015258F" w:rsidRPr="006977B6" w:rsidRDefault="0015258F" w:rsidP="00070D1F">
            <w:pPr>
              <w:pStyle w:val="ListParagraph"/>
              <w:numPr>
                <w:ilvl w:val="0"/>
                <w:numId w:val="67"/>
              </w:numPr>
              <w:tabs>
                <w:tab w:val="left" w:pos="854"/>
              </w:tabs>
              <w:ind w:left="851" w:right="-57" w:hanging="284"/>
              <w:contextualSpacing/>
              <w:jc w:val="both"/>
              <w:rPr>
                <w:bCs w:val="0"/>
                <w:i/>
                <w:sz w:val="18"/>
                <w:szCs w:val="18"/>
              </w:rPr>
            </w:pPr>
            <w:proofErr w:type="gramStart"/>
            <w:r w:rsidRPr="006977B6">
              <w:rPr>
                <w:i/>
                <w:sz w:val="18"/>
                <w:szCs w:val="18"/>
              </w:rPr>
              <w:t>remeasurements</w:t>
            </w:r>
            <w:proofErr w:type="gramEnd"/>
            <w:r w:rsidRPr="006977B6">
              <w:rPr>
                <w:i/>
                <w:sz w:val="18"/>
                <w:szCs w:val="18"/>
              </w:rPr>
              <w:t xml:space="preserve"> of the net defined benefit liability or asset</w:t>
            </w:r>
            <w:r w:rsidR="00870FD0">
              <w:rPr>
                <w:i/>
                <w:sz w:val="18"/>
                <w:szCs w:val="18"/>
              </w:rPr>
              <w:t>.</w:t>
            </w:r>
            <w:r w:rsidRPr="006977B6">
              <w:rPr>
                <w:i/>
                <w:sz w:val="18"/>
                <w:szCs w:val="18"/>
              </w:rPr>
              <w:t xml:space="preserve"> comprising:</w:t>
            </w:r>
          </w:p>
        </w:tc>
      </w:tr>
      <w:tr w:rsidR="00494924" w:rsidRPr="00A928CB" w14:paraId="2C6B0FC7" w14:textId="77777777" w:rsidTr="00F95661">
        <w:tc>
          <w:tcPr>
            <w:tcW w:w="4599" w:type="dxa"/>
          </w:tcPr>
          <w:p w14:paraId="6B175DF9" w14:textId="77777777" w:rsidR="00494924" w:rsidRPr="006977B6" w:rsidRDefault="00494924" w:rsidP="005F361E">
            <w:pPr>
              <w:pStyle w:val="ListParagraph"/>
              <w:numPr>
                <w:ilvl w:val="0"/>
                <w:numId w:val="35"/>
              </w:numPr>
              <w:ind w:left="1135" w:right="-57" w:hanging="284"/>
              <w:contextualSpacing/>
              <w:jc w:val="both"/>
              <w:rPr>
                <w:bCs w:val="0"/>
                <w:sz w:val="18"/>
                <w:szCs w:val="18"/>
              </w:rPr>
            </w:pPr>
            <w:r w:rsidRPr="006977B6">
              <w:rPr>
                <w:sz w:val="18"/>
                <w:szCs w:val="18"/>
              </w:rPr>
              <w:t>keuntungan dan kerugian aktuarial;</w:t>
            </w:r>
          </w:p>
        </w:tc>
        <w:tc>
          <w:tcPr>
            <w:tcW w:w="4598" w:type="dxa"/>
          </w:tcPr>
          <w:p w14:paraId="7A7D1A68" w14:textId="77777777" w:rsidR="00494924" w:rsidRPr="006977B6" w:rsidRDefault="00494924" w:rsidP="005F361E">
            <w:pPr>
              <w:pStyle w:val="ListParagraph"/>
              <w:numPr>
                <w:ilvl w:val="0"/>
                <w:numId w:val="35"/>
              </w:numPr>
              <w:tabs>
                <w:tab w:val="left" w:pos="5590"/>
                <w:tab w:val="right" w:pos="7620"/>
                <w:tab w:val="right" w:pos="9460"/>
                <w:tab w:val="right" w:pos="10080"/>
              </w:tabs>
              <w:ind w:left="1135" w:hanging="284"/>
              <w:contextualSpacing/>
              <w:jc w:val="both"/>
              <w:rPr>
                <w:bCs w:val="0"/>
                <w:i/>
                <w:sz w:val="18"/>
                <w:szCs w:val="18"/>
              </w:rPr>
            </w:pPr>
            <w:r w:rsidRPr="006977B6">
              <w:rPr>
                <w:i/>
                <w:sz w:val="18"/>
                <w:szCs w:val="18"/>
              </w:rPr>
              <w:t>actuarial gains and losses;</w:t>
            </w:r>
          </w:p>
        </w:tc>
      </w:tr>
      <w:tr w:rsidR="00494924" w:rsidRPr="006977B6" w14:paraId="7C7C427F" w14:textId="77777777" w:rsidTr="00F95661">
        <w:tc>
          <w:tcPr>
            <w:tcW w:w="4599" w:type="dxa"/>
          </w:tcPr>
          <w:p w14:paraId="224912D9" w14:textId="77777777" w:rsidR="00494924" w:rsidRPr="006977B6" w:rsidRDefault="00494924" w:rsidP="005F361E">
            <w:pPr>
              <w:pStyle w:val="ListParagraph"/>
              <w:numPr>
                <w:ilvl w:val="0"/>
                <w:numId w:val="35"/>
              </w:numPr>
              <w:ind w:left="1135" w:right="-57" w:hanging="284"/>
              <w:contextualSpacing/>
              <w:jc w:val="both"/>
              <w:rPr>
                <w:bCs w:val="0"/>
                <w:sz w:val="18"/>
                <w:szCs w:val="18"/>
              </w:rPr>
            </w:pPr>
            <w:r w:rsidRPr="006977B6">
              <w:rPr>
                <w:sz w:val="18"/>
                <w:szCs w:val="18"/>
              </w:rPr>
              <w:t>imbal balik aset program;</w:t>
            </w:r>
          </w:p>
        </w:tc>
        <w:tc>
          <w:tcPr>
            <w:tcW w:w="4598" w:type="dxa"/>
          </w:tcPr>
          <w:p w14:paraId="6864C23B" w14:textId="77777777" w:rsidR="00494924" w:rsidRPr="006977B6" w:rsidRDefault="00494924" w:rsidP="005F361E">
            <w:pPr>
              <w:pStyle w:val="ListParagraph"/>
              <w:numPr>
                <w:ilvl w:val="0"/>
                <w:numId w:val="35"/>
              </w:numPr>
              <w:tabs>
                <w:tab w:val="left" w:pos="5590"/>
                <w:tab w:val="right" w:pos="7620"/>
                <w:tab w:val="right" w:pos="9460"/>
                <w:tab w:val="right" w:pos="10080"/>
              </w:tabs>
              <w:ind w:left="1135" w:hanging="284"/>
              <w:contextualSpacing/>
              <w:jc w:val="both"/>
              <w:rPr>
                <w:bCs w:val="0"/>
                <w:i/>
                <w:sz w:val="18"/>
                <w:szCs w:val="18"/>
              </w:rPr>
            </w:pPr>
            <w:r w:rsidRPr="006977B6">
              <w:rPr>
                <w:i/>
                <w:sz w:val="18"/>
                <w:szCs w:val="18"/>
              </w:rPr>
              <w:t>return on plan assets;</w:t>
            </w:r>
          </w:p>
        </w:tc>
      </w:tr>
      <w:tr w:rsidR="00494924" w:rsidRPr="006977B6" w14:paraId="3783E2D3" w14:textId="77777777" w:rsidTr="00F95661">
        <w:tc>
          <w:tcPr>
            <w:tcW w:w="4599" w:type="dxa"/>
          </w:tcPr>
          <w:p w14:paraId="46100603" w14:textId="4DDBA0E0" w:rsidR="00494924" w:rsidRPr="006977B6" w:rsidRDefault="00494924" w:rsidP="002523B0">
            <w:pPr>
              <w:pStyle w:val="ListParagraph"/>
              <w:numPr>
                <w:ilvl w:val="0"/>
                <w:numId w:val="35"/>
              </w:numPr>
              <w:ind w:left="1135" w:right="-57" w:hanging="284"/>
              <w:contextualSpacing/>
              <w:jc w:val="both"/>
              <w:rPr>
                <w:bCs w:val="0"/>
                <w:sz w:val="18"/>
                <w:szCs w:val="18"/>
              </w:rPr>
            </w:pPr>
            <w:proofErr w:type="gramStart"/>
            <w:r w:rsidRPr="006977B6">
              <w:rPr>
                <w:sz w:val="18"/>
                <w:szCs w:val="18"/>
              </w:rPr>
              <w:t>setiap</w:t>
            </w:r>
            <w:proofErr w:type="gramEnd"/>
            <w:r w:rsidRPr="006977B6">
              <w:rPr>
                <w:sz w:val="18"/>
                <w:szCs w:val="18"/>
              </w:rPr>
              <w:t xml:space="preserve"> perubahan dalam dampak batas atas </w:t>
            </w:r>
            <w:r w:rsidR="002523B0">
              <w:rPr>
                <w:sz w:val="18"/>
                <w:szCs w:val="18"/>
              </w:rPr>
              <w:t>asset,</w:t>
            </w:r>
            <w:r w:rsidRPr="006977B6">
              <w:rPr>
                <w:sz w:val="18"/>
                <w:szCs w:val="18"/>
              </w:rPr>
              <w:t xml:space="preserve"> tidak termasuk jumlah yang dimasukkan dalam bunga neto atas liabilitas (aset) imbalan pasti neto.</w:t>
            </w:r>
          </w:p>
        </w:tc>
        <w:tc>
          <w:tcPr>
            <w:tcW w:w="4598" w:type="dxa"/>
          </w:tcPr>
          <w:p w14:paraId="6FC36EF0" w14:textId="1D6840ED" w:rsidR="00494924" w:rsidRPr="006977B6" w:rsidRDefault="00494924" w:rsidP="002523B0">
            <w:pPr>
              <w:pStyle w:val="ListParagraph"/>
              <w:numPr>
                <w:ilvl w:val="0"/>
                <w:numId w:val="35"/>
              </w:numPr>
              <w:tabs>
                <w:tab w:val="left" w:pos="5590"/>
                <w:tab w:val="right" w:pos="7620"/>
                <w:tab w:val="right" w:pos="9460"/>
                <w:tab w:val="right" w:pos="10080"/>
              </w:tabs>
              <w:ind w:left="1135" w:right="-57" w:hanging="284"/>
              <w:contextualSpacing/>
              <w:jc w:val="both"/>
              <w:rPr>
                <w:bCs w:val="0"/>
                <w:i/>
                <w:sz w:val="18"/>
                <w:szCs w:val="18"/>
              </w:rPr>
            </w:pPr>
            <w:proofErr w:type="gramStart"/>
            <w:r w:rsidRPr="006977B6">
              <w:rPr>
                <w:i/>
                <w:sz w:val="18"/>
                <w:szCs w:val="18"/>
              </w:rPr>
              <w:t>any</w:t>
            </w:r>
            <w:proofErr w:type="gramEnd"/>
            <w:r w:rsidRPr="006977B6">
              <w:rPr>
                <w:i/>
                <w:sz w:val="18"/>
                <w:szCs w:val="18"/>
              </w:rPr>
              <w:t xml:space="preserve"> changes in the effect of the asset ceiling</w:t>
            </w:r>
            <w:r w:rsidR="002523B0">
              <w:rPr>
                <w:i/>
                <w:sz w:val="18"/>
                <w:szCs w:val="18"/>
              </w:rPr>
              <w:t>,</w:t>
            </w:r>
            <w:r w:rsidRPr="006977B6">
              <w:rPr>
                <w:i/>
                <w:sz w:val="18"/>
                <w:szCs w:val="18"/>
              </w:rPr>
              <w:t xml:space="preserve"> excluding amounts included in net interest on the net defined benefit liability (asset).</w:t>
            </w:r>
          </w:p>
        </w:tc>
      </w:tr>
      <w:tr w:rsidR="00494924" w:rsidRPr="0013526B" w14:paraId="6227A5BE" w14:textId="77777777" w:rsidTr="00F95661">
        <w:tc>
          <w:tcPr>
            <w:tcW w:w="4599" w:type="dxa"/>
          </w:tcPr>
          <w:p w14:paraId="59A19962" w14:textId="77777777" w:rsidR="00494924" w:rsidRPr="006977B6" w:rsidRDefault="00494924" w:rsidP="0013526B">
            <w:pPr>
              <w:ind w:left="851" w:right="-57"/>
              <w:jc w:val="both"/>
              <w:rPr>
                <w:bCs w:val="0"/>
                <w:sz w:val="18"/>
                <w:szCs w:val="18"/>
              </w:rPr>
            </w:pPr>
            <w:proofErr w:type="gramStart"/>
            <w:r w:rsidRPr="006977B6">
              <w:rPr>
                <w:sz w:val="18"/>
                <w:szCs w:val="18"/>
              </w:rPr>
              <w:t>diakui</w:t>
            </w:r>
            <w:proofErr w:type="gramEnd"/>
            <w:r w:rsidRPr="006977B6">
              <w:rPr>
                <w:sz w:val="18"/>
                <w:szCs w:val="18"/>
              </w:rPr>
              <w:t xml:space="preserve"> di OCI (tidak direklasifikasi ke laba rugi pada periode berikutnya).</w:t>
            </w:r>
          </w:p>
        </w:tc>
        <w:tc>
          <w:tcPr>
            <w:tcW w:w="4598" w:type="dxa"/>
          </w:tcPr>
          <w:p w14:paraId="2786318D" w14:textId="77777777" w:rsidR="00494924" w:rsidRPr="0013526B" w:rsidRDefault="00494924" w:rsidP="0013526B">
            <w:pPr>
              <w:tabs>
                <w:tab w:val="left" w:pos="5590"/>
                <w:tab w:val="right" w:pos="7620"/>
                <w:tab w:val="right" w:pos="9460"/>
                <w:tab w:val="right" w:pos="10080"/>
              </w:tabs>
              <w:ind w:left="851" w:right="-57"/>
              <w:jc w:val="both"/>
              <w:rPr>
                <w:bCs w:val="0"/>
                <w:i/>
                <w:sz w:val="18"/>
                <w:szCs w:val="18"/>
              </w:rPr>
            </w:pPr>
            <w:proofErr w:type="gramStart"/>
            <w:r w:rsidRPr="006977B6">
              <w:rPr>
                <w:i/>
                <w:sz w:val="18"/>
                <w:szCs w:val="18"/>
              </w:rPr>
              <w:t>is</w:t>
            </w:r>
            <w:proofErr w:type="gramEnd"/>
            <w:r w:rsidRPr="006977B6">
              <w:rPr>
                <w:i/>
                <w:sz w:val="18"/>
                <w:szCs w:val="18"/>
              </w:rPr>
              <w:t xml:space="preserve"> recognized in OCI (not reclassified to profit or loss in a subsequent period).</w:t>
            </w:r>
          </w:p>
        </w:tc>
      </w:tr>
    </w:tbl>
    <w:p w14:paraId="260E5AB8" w14:textId="77777777" w:rsidR="000C5A14" w:rsidRPr="0013526B" w:rsidRDefault="000C5A14" w:rsidP="0013526B">
      <w:pPr>
        <w:rPr>
          <w:sz w:val="18"/>
          <w:szCs w:val="18"/>
        </w:rPr>
      </w:pPr>
    </w:p>
    <w:tbl>
      <w:tblPr>
        <w:tblW w:w="9197" w:type="dxa"/>
        <w:tblInd w:w="392" w:type="dxa"/>
        <w:tblLayout w:type="fixed"/>
        <w:tblLook w:val="0000" w:firstRow="0" w:lastRow="0" w:firstColumn="0" w:lastColumn="0" w:noHBand="0" w:noVBand="0"/>
      </w:tblPr>
      <w:tblGrid>
        <w:gridCol w:w="4599"/>
        <w:gridCol w:w="4598"/>
      </w:tblGrid>
      <w:tr w:rsidR="006977B6" w:rsidRPr="006977B6" w14:paraId="142D3852" w14:textId="77777777" w:rsidTr="00D215E4">
        <w:tc>
          <w:tcPr>
            <w:tcW w:w="4708" w:type="dxa"/>
          </w:tcPr>
          <w:p w14:paraId="2E99619E" w14:textId="77777777" w:rsidR="006977B6" w:rsidRPr="006977B6" w:rsidRDefault="006977B6" w:rsidP="00D215E4">
            <w:pPr>
              <w:pStyle w:val="ListParagraph"/>
              <w:ind w:left="567"/>
              <w:jc w:val="both"/>
              <w:rPr>
                <w:b/>
                <w:bCs w:val="0"/>
                <w:sz w:val="18"/>
                <w:szCs w:val="18"/>
              </w:rPr>
            </w:pPr>
            <w:r w:rsidRPr="006977B6">
              <w:rPr>
                <w:b/>
                <w:sz w:val="18"/>
                <w:szCs w:val="18"/>
              </w:rPr>
              <w:t>Pengukuran</w:t>
            </w:r>
          </w:p>
        </w:tc>
        <w:tc>
          <w:tcPr>
            <w:tcW w:w="4708" w:type="dxa"/>
          </w:tcPr>
          <w:p w14:paraId="4D42BBD8" w14:textId="77777777" w:rsidR="006977B6" w:rsidRPr="006977B6" w:rsidRDefault="006977B6" w:rsidP="00D215E4">
            <w:pPr>
              <w:pStyle w:val="ListParagraph"/>
              <w:tabs>
                <w:tab w:val="left" w:pos="5590"/>
                <w:tab w:val="right" w:pos="7620"/>
                <w:tab w:val="right" w:pos="9460"/>
                <w:tab w:val="right" w:pos="10080"/>
              </w:tabs>
              <w:ind w:left="567"/>
              <w:jc w:val="both"/>
              <w:rPr>
                <w:b/>
                <w:bCs w:val="0"/>
                <w:i/>
                <w:sz w:val="18"/>
                <w:szCs w:val="18"/>
              </w:rPr>
            </w:pPr>
            <w:r w:rsidRPr="006977B6">
              <w:rPr>
                <w:b/>
                <w:i/>
                <w:sz w:val="18"/>
                <w:szCs w:val="18"/>
              </w:rPr>
              <w:t>Measurement</w:t>
            </w:r>
          </w:p>
        </w:tc>
      </w:tr>
      <w:tr w:rsidR="006977B6" w:rsidRPr="006977B6" w14:paraId="088CD62D" w14:textId="77777777" w:rsidTr="00D215E4">
        <w:tc>
          <w:tcPr>
            <w:tcW w:w="4708" w:type="dxa"/>
          </w:tcPr>
          <w:p w14:paraId="25D65604" w14:textId="77777777" w:rsidR="006977B6" w:rsidRPr="006977B6" w:rsidRDefault="006977B6" w:rsidP="00D215E4">
            <w:pPr>
              <w:ind w:left="522" w:right="-57"/>
              <w:jc w:val="both"/>
              <w:rPr>
                <w:bCs w:val="0"/>
                <w:sz w:val="14"/>
                <w:szCs w:val="14"/>
              </w:rPr>
            </w:pPr>
          </w:p>
        </w:tc>
        <w:tc>
          <w:tcPr>
            <w:tcW w:w="4708" w:type="dxa"/>
          </w:tcPr>
          <w:p w14:paraId="2AAEA215" w14:textId="77777777" w:rsidR="006977B6" w:rsidRPr="006977B6" w:rsidRDefault="006977B6" w:rsidP="00D215E4">
            <w:pPr>
              <w:tabs>
                <w:tab w:val="left" w:pos="5590"/>
                <w:tab w:val="right" w:pos="7620"/>
                <w:tab w:val="right" w:pos="9460"/>
                <w:tab w:val="right" w:pos="10080"/>
              </w:tabs>
              <w:ind w:left="651" w:right="-57"/>
              <w:jc w:val="both"/>
              <w:rPr>
                <w:bCs w:val="0"/>
                <w:i/>
                <w:sz w:val="14"/>
                <w:szCs w:val="14"/>
              </w:rPr>
            </w:pPr>
          </w:p>
        </w:tc>
      </w:tr>
      <w:tr w:rsidR="006977B6" w:rsidRPr="006977B6" w14:paraId="579D7205" w14:textId="77777777" w:rsidTr="00D215E4">
        <w:tc>
          <w:tcPr>
            <w:tcW w:w="4708" w:type="dxa"/>
          </w:tcPr>
          <w:p w14:paraId="1E0127F5" w14:textId="214DE31A" w:rsidR="006977B6" w:rsidRPr="006977B6" w:rsidRDefault="006977B6" w:rsidP="002523B0">
            <w:pPr>
              <w:pStyle w:val="ListParagraph"/>
              <w:ind w:left="567" w:right="-57"/>
              <w:jc w:val="both"/>
              <w:rPr>
                <w:bCs w:val="0"/>
                <w:sz w:val="18"/>
                <w:szCs w:val="18"/>
              </w:rPr>
            </w:pPr>
            <w:r w:rsidRPr="006977B6">
              <w:rPr>
                <w:sz w:val="18"/>
                <w:szCs w:val="18"/>
              </w:rPr>
              <w:t>Pengukuran liabilitas (aset) imbalan pasti bersih mensyaratkan penerapan metode penilaian aktuaria</w:t>
            </w:r>
            <w:r w:rsidR="002523B0">
              <w:rPr>
                <w:sz w:val="18"/>
                <w:szCs w:val="18"/>
              </w:rPr>
              <w:t>,</w:t>
            </w:r>
            <w:r w:rsidRPr="006977B6">
              <w:rPr>
                <w:sz w:val="18"/>
                <w:szCs w:val="18"/>
              </w:rPr>
              <w:t xml:space="preserve"> atribusi imbalan untuk periode jasa</w:t>
            </w:r>
            <w:r w:rsidR="002523B0">
              <w:rPr>
                <w:sz w:val="18"/>
                <w:szCs w:val="18"/>
              </w:rPr>
              <w:t>,</w:t>
            </w:r>
            <w:r w:rsidRPr="006977B6">
              <w:rPr>
                <w:sz w:val="18"/>
                <w:szCs w:val="18"/>
              </w:rPr>
              <w:t xml:space="preserve"> dan penggunaan asumsi aktuaria. Nilai wajar aset program dikurangi dari nilai kini liabilitas imbalan pasti dalam menentukan defisit bersih atau surplus.</w:t>
            </w:r>
          </w:p>
        </w:tc>
        <w:tc>
          <w:tcPr>
            <w:tcW w:w="4708" w:type="dxa"/>
          </w:tcPr>
          <w:p w14:paraId="2D66B0E8" w14:textId="3FDD167D" w:rsidR="006977B6" w:rsidRPr="006977B6" w:rsidRDefault="006977B6" w:rsidP="002523B0">
            <w:pPr>
              <w:pStyle w:val="ListParagraph"/>
              <w:tabs>
                <w:tab w:val="left" w:pos="5590"/>
                <w:tab w:val="right" w:pos="7620"/>
                <w:tab w:val="right" w:pos="9460"/>
                <w:tab w:val="right" w:pos="10080"/>
              </w:tabs>
              <w:ind w:left="567" w:right="-57"/>
              <w:jc w:val="both"/>
              <w:rPr>
                <w:bCs w:val="0"/>
                <w:i/>
                <w:sz w:val="18"/>
                <w:szCs w:val="18"/>
              </w:rPr>
            </w:pPr>
            <w:r w:rsidRPr="006977B6">
              <w:rPr>
                <w:i/>
                <w:sz w:val="18"/>
                <w:szCs w:val="18"/>
              </w:rPr>
              <w:t>The measurement of net defined benefit liabilities or assets requires the application of an actuarial valuation method</w:t>
            </w:r>
            <w:r w:rsidR="002523B0">
              <w:rPr>
                <w:i/>
                <w:sz w:val="18"/>
                <w:szCs w:val="18"/>
              </w:rPr>
              <w:t>,</w:t>
            </w:r>
            <w:r w:rsidRPr="006977B6">
              <w:rPr>
                <w:i/>
                <w:sz w:val="18"/>
                <w:szCs w:val="18"/>
              </w:rPr>
              <w:t xml:space="preserve"> the attribution of benefits to periods of </w:t>
            </w:r>
            <w:r w:rsidRPr="006977B6">
              <w:rPr>
                <w:bCs w:val="0"/>
                <w:i/>
                <w:sz w:val="18"/>
                <w:szCs w:val="18"/>
              </w:rPr>
              <w:t>service</w:t>
            </w:r>
            <w:r w:rsidR="002523B0">
              <w:rPr>
                <w:i/>
                <w:sz w:val="18"/>
                <w:szCs w:val="18"/>
              </w:rPr>
              <w:t>,</w:t>
            </w:r>
            <w:r w:rsidRPr="006977B6">
              <w:rPr>
                <w:i/>
                <w:sz w:val="18"/>
                <w:szCs w:val="18"/>
              </w:rPr>
              <w:t xml:space="preserve"> and the use of actuarial assumptions. The fair value of any plan assets is deducted from the present value of the defined benefit liabilities in determining the net deficit or surplus.</w:t>
            </w:r>
          </w:p>
        </w:tc>
      </w:tr>
      <w:tr w:rsidR="006977B6" w:rsidRPr="006977B6" w14:paraId="660CBE2B" w14:textId="77777777" w:rsidTr="00D215E4">
        <w:tc>
          <w:tcPr>
            <w:tcW w:w="4708" w:type="dxa"/>
          </w:tcPr>
          <w:p w14:paraId="4E2C1D6E" w14:textId="77777777" w:rsidR="006977B6" w:rsidRPr="006977B6" w:rsidRDefault="006977B6" w:rsidP="00D215E4">
            <w:pPr>
              <w:pStyle w:val="ListParagraph"/>
              <w:ind w:left="567"/>
              <w:jc w:val="both"/>
              <w:rPr>
                <w:spacing w:val="1"/>
                <w:sz w:val="14"/>
                <w:szCs w:val="14"/>
              </w:rPr>
            </w:pPr>
          </w:p>
        </w:tc>
        <w:tc>
          <w:tcPr>
            <w:tcW w:w="4708" w:type="dxa"/>
          </w:tcPr>
          <w:p w14:paraId="0D71E938" w14:textId="77777777" w:rsidR="006977B6" w:rsidRPr="006977B6" w:rsidRDefault="006977B6" w:rsidP="00D215E4">
            <w:pPr>
              <w:pStyle w:val="ListParagraph"/>
              <w:tabs>
                <w:tab w:val="left" w:pos="5590"/>
                <w:tab w:val="right" w:pos="7620"/>
                <w:tab w:val="right" w:pos="9460"/>
                <w:tab w:val="right" w:pos="10080"/>
              </w:tabs>
              <w:ind w:left="567"/>
              <w:jc w:val="both"/>
              <w:rPr>
                <w:i/>
                <w:iCs/>
                <w:sz w:val="14"/>
                <w:szCs w:val="14"/>
              </w:rPr>
            </w:pPr>
          </w:p>
        </w:tc>
      </w:tr>
      <w:tr w:rsidR="006977B6" w:rsidRPr="00A928CB" w14:paraId="7C649F59" w14:textId="77777777" w:rsidTr="00D215E4">
        <w:tc>
          <w:tcPr>
            <w:tcW w:w="4708" w:type="dxa"/>
          </w:tcPr>
          <w:p w14:paraId="11E853A3" w14:textId="325B61C0" w:rsidR="006977B6" w:rsidRPr="006977B6" w:rsidRDefault="006977B6" w:rsidP="002523B0">
            <w:pPr>
              <w:pStyle w:val="ListParagraph"/>
              <w:ind w:left="567" w:right="-57"/>
              <w:jc w:val="both"/>
              <w:rPr>
                <w:bCs w:val="0"/>
                <w:sz w:val="18"/>
                <w:szCs w:val="18"/>
              </w:rPr>
            </w:pPr>
            <w:r w:rsidRPr="006977B6">
              <w:rPr>
                <w:sz w:val="18"/>
                <w:szCs w:val="18"/>
              </w:rPr>
              <w:t>Nilai kini liabilitas imbalan pasti Entitas dan biaya jasa terkait ditentukan dengan menggunakan metode “</w:t>
            </w:r>
            <w:r w:rsidRPr="006977B6">
              <w:rPr>
                <w:i/>
                <w:sz w:val="18"/>
                <w:szCs w:val="18"/>
              </w:rPr>
              <w:t>Projected Unit Credit</w:t>
            </w:r>
            <w:r w:rsidRPr="006977B6">
              <w:rPr>
                <w:sz w:val="18"/>
                <w:szCs w:val="18"/>
              </w:rPr>
              <w:t>”</w:t>
            </w:r>
            <w:r w:rsidR="002523B0">
              <w:rPr>
                <w:sz w:val="18"/>
                <w:szCs w:val="18"/>
              </w:rPr>
              <w:t>,</w:t>
            </w:r>
            <w:r w:rsidRPr="006977B6">
              <w:rPr>
                <w:sz w:val="18"/>
                <w:szCs w:val="18"/>
              </w:rPr>
              <w:t xml:space="preserve"> yang menganggap setiap periode jasa akan menghasilkan satu unit tambahan dari imbalan dan mengukur setiap unit secara terpisah untuk menghasilkan liabilitas akhir. Hal ini mensyaratkan entitas untuk mengatribusikan imbalan pada periode kini (untuk menentukan biaya jasa kini) dan periode kini dan periode </w:t>
            </w:r>
            <w:proofErr w:type="gramStart"/>
            <w:r w:rsidRPr="006977B6">
              <w:rPr>
                <w:sz w:val="18"/>
                <w:szCs w:val="18"/>
              </w:rPr>
              <w:t>lalu</w:t>
            </w:r>
            <w:proofErr w:type="gramEnd"/>
            <w:r w:rsidRPr="006977B6">
              <w:rPr>
                <w:sz w:val="18"/>
                <w:szCs w:val="18"/>
              </w:rPr>
              <w:br/>
              <w:t>(untuk menentukan nilai kini liabilitas imbalan pasti). Imbalan tersebut diatribusikan sepanjang periode jasa menggunakan formula imbalan yang dimiliki program</w:t>
            </w:r>
            <w:r w:rsidR="002523B0">
              <w:rPr>
                <w:sz w:val="18"/>
                <w:szCs w:val="18"/>
              </w:rPr>
              <w:t>,</w:t>
            </w:r>
            <w:r w:rsidRPr="006977B6">
              <w:rPr>
                <w:sz w:val="18"/>
                <w:szCs w:val="18"/>
              </w:rPr>
              <w:t xml:space="preserve"> kecuali jasa pekerja di tahun tahun akhir akan meningkat secara material dibandingkan tahun-tahun sebelumnya</w:t>
            </w:r>
            <w:r w:rsidR="002523B0">
              <w:rPr>
                <w:sz w:val="18"/>
                <w:szCs w:val="18"/>
              </w:rPr>
              <w:t>,</w:t>
            </w:r>
            <w:r w:rsidRPr="006977B6">
              <w:rPr>
                <w:sz w:val="18"/>
                <w:szCs w:val="18"/>
              </w:rPr>
              <w:t xml:space="preserve"> dalam hal ini menggunakan dasar metode garis lurus.</w:t>
            </w:r>
          </w:p>
        </w:tc>
        <w:tc>
          <w:tcPr>
            <w:tcW w:w="4708" w:type="dxa"/>
          </w:tcPr>
          <w:p w14:paraId="18DD49CB" w14:textId="068FD5EF" w:rsidR="006977B6" w:rsidRPr="006977B6" w:rsidRDefault="006977B6" w:rsidP="002523B0">
            <w:pPr>
              <w:pStyle w:val="ListParagraph"/>
              <w:tabs>
                <w:tab w:val="left" w:pos="5590"/>
                <w:tab w:val="right" w:pos="7620"/>
                <w:tab w:val="right" w:pos="9460"/>
                <w:tab w:val="right" w:pos="10080"/>
              </w:tabs>
              <w:ind w:left="567" w:right="-57"/>
              <w:jc w:val="both"/>
              <w:rPr>
                <w:bCs w:val="0"/>
                <w:i/>
                <w:sz w:val="18"/>
                <w:szCs w:val="18"/>
              </w:rPr>
            </w:pPr>
            <w:r w:rsidRPr="006977B6">
              <w:rPr>
                <w:i/>
                <w:sz w:val="18"/>
                <w:szCs w:val="18"/>
              </w:rPr>
              <w:t>The present value of an entity's defined benefit liabilities and related service costs is determined using the “Projected Unit Credit” method</w:t>
            </w:r>
            <w:r w:rsidR="002523B0">
              <w:rPr>
                <w:i/>
                <w:sz w:val="18"/>
                <w:szCs w:val="18"/>
              </w:rPr>
              <w:t>,</w:t>
            </w:r>
            <w:r w:rsidRPr="006977B6">
              <w:rPr>
                <w:i/>
                <w:sz w:val="18"/>
                <w:szCs w:val="18"/>
              </w:rPr>
              <w:t xml:space="preserve"> which sees each period of service as giving rise to an additional unit of benefit entitlement and measures each unit separately in building up the final liabilities.</w:t>
            </w:r>
            <w:r w:rsidRPr="006977B6">
              <w:rPr>
                <w:i/>
                <w:sz w:val="18"/>
                <w:szCs w:val="18"/>
              </w:rPr>
              <w:br/>
              <w:t>This requires an entity to attribute benefit to the current period (to determine current service cost) and the current and prior periods (to determine the present value of defined benefit liabilities). Benefit is attributed to periods of service using the plan's benefit formula</w:t>
            </w:r>
            <w:r w:rsidR="00870FD0">
              <w:rPr>
                <w:i/>
                <w:sz w:val="18"/>
                <w:szCs w:val="18"/>
              </w:rPr>
              <w:t>.</w:t>
            </w:r>
            <w:r w:rsidRPr="006977B6">
              <w:rPr>
                <w:i/>
                <w:sz w:val="18"/>
                <w:szCs w:val="18"/>
              </w:rPr>
              <w:t xml:space="preserve"> unless an employee's service in later years will lead to a materially higher of benefit than in earlier years</w:t>
            </w:r>
            <w:r w:rsidR="002523B0">
              <w:rPr>
                <w:i/>
                <w:sz w:val="18"/>
                <w:szCs w:val="18"/>
              </w:rPr>
              <w:t>,</w:t>
            </w:r>
            <w:r w:rsidRPr="006977B6">
              <w:rPr>
                <w:i/>
                <w:sz w:val="18"/>
                <w:szCs w:val="18"/>
              </w:rPr>
              <w:t xml:space="preserve"> in which case a straight-line basis is used.</w:t>
            </w:r>
          </w:p>
        </w:tc>
      </w:tr>
      <w:tr w:rsidR="006977B6" w:rsidRPr="006977B6" w14:paraId="150E7B68" w14:textId="77777777" w:rsidTr="00D215E4">
        <w:tc>
          <w:tcPr>
            <w:tcW w:w="4708" w:type="dxa"/>
          </w:tcPr>
          <w:p w14:paraId="3B4218C9" w14:textId="77777777" w:rsidR="006977B6" w:rsidRPr="006977B6" w:rsidRDefault="006977B6" w:rsidP="00D215E4">
            <w:pPr>
              <w:pStyle w:val="ListParagraph"/>
              <w:ind w:left="567"/>
              <w:jc w:val="both"/>
              <w:rPr>
                <w:spacing w:val="1"/>
                <w:sz w:val="14"/>
                <w:szCs w:val="14"/>
                <w:highlight w:val="cyan"/>
              </w:rPr>
            </w:pPr>
          </w:p>
        </w:tc>
        <w:tc>
          <w:tcPr>
            <w:tcW w:w="4708" w:type="dxa"/>
          </w:tcPr>
          <w:p w14:paraId="71BDAFCF" w14:textId="77777777" w:rsidR="006977B6" w:rsidRPr="006977B6" w:rsidRDefault="006977B6" w:rsidP="00D215E4">
            <w:pPr>
              <w:pStyle w:val="ListParagraph"/>
              <w:tabs>
                <w:tab w:val="left" w:pos="5590"/>
                <w:tab w:val="right" w:pos="7620"/>
                <w:tab w:val="right" w:pos="9460"/>
                <w:tab w:val="right" w:pos="10080"/>
              </w:tabs>
              <w:ind w:left="567"/>
              <w:jc w:val="both"/>
              <w:rPr>
                <w:i/>
                <w:iCs/>
                <w:sz w:val="14"/>
                <w:szCs w:val="14"/>
                <w:highlight w:val="cyan"/>
              </w:rPr>
            </w:pPr>
          </w:p>
        </w:tc>
      </w:tr>
      <w:tr w:rsidR="006977B6" w:rsidRPr="00A928CB" w14:paraId="1B0E6F25" w14:textId="77777777" w:rsidTr="00D215E4">
        <w:tc>
          <w:tcPr>
            <w:tcW w:w="4708" w:type="dxa"/>
          </w:tcPr>
          <w:p w14:paraId="67A10B23" w14:textId="1490E6B0" w:rsidR="006977B6" w:rsidRPr="006977B6" w:rsidRDefault="006977B6" w:rsidP="002523B0">
            <w:pPr>
              <w:pStyle w:val="ListParagraph"/>
              <w:ind w:left="567" w:right="-57"/>
              <w:jc w:val="both"/>
              <w:rPr>
                <w:bCs w:val="0"/>
                <w:sz w:val="18"/>
                <w:szCs w:val="18"/>
              </w:rPr>
            </w:pPr>
            <w:r w:rsidRPr="006977B6">
              <w:rPr>
                <w:sz w:val="18"/>
                <w:szCs w:val="18"/>
              </w:rPr>
              <w:t>Biaya jasa lalu adalah perubahan liabilitas imbalan pasti atas jasa pekerja pada periode-periode lalu</w:t>
            </w:r>
            <w:r w:rsidR="002523B0">
              <w:rPr>
                <w:sz w:val="18"/>
                <w:szCs w:val="18"/>
              </w:rPr>
              <w:t>,</w:t>
            </w:r>
            <w:r w:rsidRPr="006977B6">
              <w:rPr>
                <w:sz w:val="18"/>
                <w:szCs w:val="18"/>
              </w:rPr>
              <w:t xml:space="preserve"> yang timbul sebagai akibat dari perubahan pengaturan program dalam periode kini (yaitu memperkenalkan perubahan program atau mengubah imbalan yang akan dibayar</w:t>
            </w:r>
            <w:r w:rsidR="002523B0">
              <w:rPr>
                <w:sz w:val="18"/>
                <w:szCs w:val="18"/>
              </w:rPr>
              <w:t>,</w:t>
            </w:r>
            <w:r w:rsidRPr="006977B6">
              <w:rPr>
                <w:sz w:val="18"/>
                <w:szCs w:val="18"/>
              </w:rPr>
              <w:t xml:space="preserve"> atau kurtailmen yang secara signifikan mengurangi jumlah pekerja yang disertakan).</w:t>
            </w:r>
          </w:p>
        </w:tc>
        <w:tc>
          <w:tcPr>
            <w:tcW w:w="4708" w:type="dxa"/>
          </w:tcPr>
          <w:p w14:paraId="28352D0F" w14:textId="1702BDF2" w:rsidR="006977B6" w:rsidRPr="006977B6" w:rsidRDefault="006977B6" w:rsidP="002523B0">
            <w:pPr>
              <w:pStyle w:val="ListParagraph"/>
              <w:tabs>
                <w:tab w:val="left" w:pos="5590"/>
                <w:tab w:val="right" w:pos="7620"/>
                <w:tab w:val="right" w:pos="9460"/>
                <w:tab w:val="right" w:pos="10080"/>
              </w:tabs>
              <w:ind w:left="567" w:right="-57"/>
              <w:jc w:val="both"/>
              <w:rPr>
                <w:bCs w:val="0"/>
                <w:i/>
                <w:sz w:val="18"/>
                <w:szCs w:val="18"/>
              </w:rPr>
            </w:pPr>
            <w:r w:rsidRPr="006977B6">
              <w:rPr>
                <w:i/>
                <w:sz w:val="18"/>
                <w:szCs w:val="18"/>
              </w:rPr>
              <w:t>Past service cost is the change in a defined benefit liability for employee service in prior periods</w:t>
            </w:r>
            <w:r w:rsidR="002523B0">
              <w:rPr>
                <w:i/>
                <w:sz w:val="18"/>
                <w:szCs w:val="18"/>
              </w:rPr>
              <w:t>,</w:t>
            </w:r>
            <w:r w:rsidRPr="006977B6">
              <w:rPr>
                <w:i/>
                <w:sz w:val="18"/>
                <w:szCs w:val="18"/>
              </w:rPr>
              <w:t xml:space="preserve"> arising as a result of changes to plan arrangements in the current period (i.e. plan amendments introducing or changing benefits payable</w:t>
            </w:r>
            <w:r w:rsidR="002523B0">
              <w:rPr>
                <w:i/>
                <w:sz w:val="18"/>
                <w:szCs w:val="18"/>
              </w:rPr>
              <w:t>,</w:t>
            </w:r>
            <w:r w:rsidRPr="006977B6">
              <w:rPr>
                <w:i/>
                <w:sz w:val="18"/>
                <w:szCs w:val="18"/>
              </w:rPr>
              <w:t xml:space="preserve"> or curtailments which significantly reduce the number of covered employees).</w:t>
            </w:r>
          </w:p>
        </w:tc>
      </w:tr>
    </w:tbl>
    <w:p w14:paraId="6D3CB42F" w14:textId="47381E87" w:rsidR="0007571E" w:rsidRPr="006977B6" w:rsidRDefault="006977B6" w:rsidP="0013526B">
      <w:pPr>
        <w:rPr>
          <w:sz w:val="2"/>
          <w:szCs w:val="2"/>
          <w:lang w:val="id-ID"/>
        </w:rPr>
      </w:pPr>
      <w:r>
        <w:rPr>
          <w:sz w:val="2"/>
          <w:szCs w:val="2"/>
        </w:rPr>
        <w:t>\</w:t>
      </w:r>
    </w:p>
    <w:p w14:paraId="1D2D978F" w14:textId="77777777" w:rsidR="002C6284" w:rsidRPr="00EF2EF8" w:rsidRDefault="002C6284" w:rsidP="0013526B">
      <w:pPr>
        <w:rPr>
          <w:sz w:val="4"/>
          <w:szCs w:val="18"/>
          <w:lang w:val="id-ID"/>
        </w:rPr>
      </w:pPr>
    </w:p>
    <w:tbl>
      <w:tblPr>
        <w:tblW w:w="9197" w:type="dxa"/>
        <w:tblInd w:w="392" w:type="dxa"/>
        <w:tblLayout w:type="fixed"/>
        <w:tblLook w:val="0000" w:firstRow="0" w:lastRow="0" w:firstColumn="0" w:lastColumn="0" w:noHBand="0" w:noVBand="0"/>
      </w:tblPr>
      <w:tblGrid>
        <w:gridCol w:w="4599"/>
        <w:gridCol w:w="4598"/>
      </w:tblGrid>
      <w:tr w:rsidR="0007571E" w:rsidRPr="00A928CB" w14:paraId="7CD05C87" w14:textId="77777777" w:rsidTr="006977B6">
        <w:tc>
          <w:tcPr>
            <w:tcW w:w="4599" w:type="dxa"/>
          </w:tcPr>
          <w:p w14:paraId="213CD6F4" w14:textId="77777777" w:rsidR="0007571E" w:rsidRPr="006977B6" w:rsidRDefault="0007571E" w:rsidP="00070D1F">
            <w:pPr>
              <w:pStyle w:val="ListParagraph"/>
              <w:numPr>
                <w:ilvl w:val="0"/>
                <w:numId w:val="107"/>
              </w:numPr>
              <w:ind w:left="284" w:right="-57" w:hanging="284"/>
              <w:contextualSpacing/>
              <w:jc w:val="both"/>
              <w:rPr>
                <w:rStyle w:val="hps"/>
                <w:b/>
                <w:sz w:val="18"/>
                <w:szCs w:val="18"/>
              </w:rPr>
            </w:pPr>
            <w:r w:rsidRPr="006977B6">
              <w:rPr>
                <w:sz w:val="18"/>
                <w:szCs w:val="18"/>
              </w:rPr>
              <w:lastRenderedPageBreak/>
              <w:br w:type="page"/>
            </w:r>
            <w:r w:rsidRPr="006977B6">
              <w:rPr>
                <w:rStyle w:val="hps"/>
                <w:b/>
                <w:sz w:val="18"/>
                <w:szCs w:val="18"/>
              </w:rPr>
              <w:t xml:space="preserve">IKHTISAR KEBIJAKAN AKUNTANSI </w:t>
            </w:r>
            <w:r w:rsidR="00C85EDE" w:rsidRPr="006977B6">
              <w:rPr>
                <w:rStyle w:val="hps"/>
                <w:b/>
                <w:sz w:val="18"/>
                <w:szCs w:val="18"/>
                <w:lang w:val="id-ID"/>
              </w:rPr>
              <w:t xml:space="preserve">YANG </w:t>
            </w:r>
            <w:r w:rsidRPr="006977B6">
              <w:rPr>
                <w:rStyle w:val="hps"/>
                <w:b/>
                <w:sz w:val="18"/>
                <w:szCs w:val="18"/>
              </w:rPr>
              <w:t>PENTING - Lanjutan</w:t>
            </w:r>
          </w:p>
        </w:tc>
        <w:tc>
          <w:tcPr>
            <w:tcW w:w="4598" w:type="dxa"/>
          </w:tcPr>
          <w:p w14:paraId="360F1CCB" w14:textId="77777777" w:rsidR="0007571E" w:rsidRPr="006977B6" w:rsidRDefault="0007571E" w:rsidP="00070D1F">
            <w:pPr>
              <w:pStyle w:val="ListParagraph"/>
              <w:numPr>
                <w:ilvl w:val="0"/>
                <w:numId w:val="108"/>
              </w:numPr>
              <w:ind w:left="284" w:right="-57" w:hanging="284"/>
              <w:contextualSpacing/>
              <w:jc w:val="both"/>
              <w:rPr>
                <w:b/>
                <w:i/>
                <w:sz w:val="18"/>
                <w:szCs w:val="18"/>
              </w:rPr>
            </w:pPr>
            <w:r w:rsidRPr="006977B6">
              <w:rPr>
                <w:b/>
                <w:i/>
                <w:sz w:val="18"/>
                <w:szCs w:val="18"/>
              </w:rPr>
              <w:t>SUMMARY OF SIGNIFICANT ACCOUNTING POLICIES - Continued</w:t>
            </w:r>
          </w:p>
        </w:tc>
      </w:tr>
      <w:tr w:rsidR="0007571E" w:rsidRPr="006977B6" w14:paraId="26DD7A6D" w14:textId="77777777" w:rsidTr="006977B6">
        <w:tc>
          <w:tcPr>
            <w:tcW w:w="4599" w:type="dxa"/>
          </w:tcPr>
          <w:p w14:paraId="607A9D81" w14:textId="77777777" w:rsidR="0007571E" w:rsidRPr="006977B6" w:rsidRDefault="0007571E" w:rsidP="0013526B">
            <w:pPr>
              <w:rPr>
                <w:rStyle w:val="hps"/>
                <w:sz w:val="14"/>
                <w:szCs w:val="14"/>
              </w:rPr>
            </w:pPr>
          </w:p>
        </w:tc>
        <w:tc>
          <w:tcPr>
            <w:tcW w:w="4598" w:type="dxa"/>
          </w:tcPr>
          <w:p w14:paraId="5AF93E72" w14:textId="77777777" w:rsidR="0007571E" w:rsidRPr="006977B6" w:rsidRDefault="0007571E" w:rsidP="0013526B">
            <w:pPr>
              <w:ind w:left="907"/>
              <w:jc w:val="both"/>
              <w:rPr>
                <w:bCs w:val="0"/>
                <w:i/>
                <w:sz w:val="14"/>
                <w:szCs w:val="14"/>
              </w:rPr>
            </w:pPr>
          </w:p>
        </w:tc>
      </w:tr>
      <w:tr w:rsidR="0007571E" w:rsidRPr="00A928CB" w14:paraId="303FEBDD" w14:textId="77777777" w:rsidTr="006977B6">
        <w:tc>
          <w:tcPr>
            <w:tcW w:w="4599" w:type="dxa"/>
          </w:tcPr>
          <w:p w14:paraId="19AE675D" w14:textId="77777777" w:rsidR="0007571E" w:rsidRPr="006977B6" w:rsidRDefault="00B17861" w:rsidP="00070D1F">
            <w:pPr>
              <w:pStyle w:val="ListParagraph"/>
              <w:numPr>
                <w:ilvl w:val="0"/>
                <w:numId w:val="109"/>
              </w:numPr>
              <w:ind w:left="568" w:hanging="284"/>
              <w:contextualSpacing/>
              <w:jc w:val="both"/>
              <w:rPr>
                <w:rStyle w:val="hps"/>
                <w:b/>
                <w:sz w:val="18"/>
                <w:szCs w:val="18"/>
              </w:rPr>
            </w:pPr>
            <w:r w:rsidRPr="006977B6">
              <w:rPr>
                <w:rStyle w:val="hps"/>
                <w:b/>
                <w:sz w:val="18"/>
                <w:szCs w:val="18"/>
              </w:rPr>
              <w:t>Imbalan K</w:t>
            </w:r>
            <w:r w:rsidR="0007571E" w:rsidRPr="006977B6">
              <w:rPr>
                <w:rStyle w:val="hps"/>
                <w:b/>
                <w:sz w:val="18"/>
                <w:szCs w:val="18"/>
              </w:rPr>
              <w:t>erja - Lanjutan</w:t>
            </w:r>
          </w:p>
        </w:tc>
        <w:tc>
          <w:tcPr>
            <w:tcW w:w="4598" w:type="dxa"/>
          </w:tcPr>
          <w:p w14:paraId="52C0245D" w14:textId="77777777" w:rsidR="0007571E" w:rsidRPr="006977B6" w:rsidRDefault="00B17861" w:rsidP="00070D1F">
            <w:pPr>
              <w:pStyle w:val="ListParagraph"/>
              <w:numPr>
                <w:ilvl w:val="0"/>
                <w:numId w:val="110"/>
              </w:numPr>
              <w:ind w:left="568" w:hanging="284"/>
              <w:contextualSpacing/>
              <w:jc w:val="both"/>
              <w:rPr>
                <w:b/>
                <w:bCs w:val="0"/>
                <w:i/>
                <w:sz w:val="18"/>
                <w:szCs w:val="18"/>
              </w:rPr>
            </w:pPr>
            <w:r w:rsidRPr="006977B6">
              <w:rPr>
                <w:b/>
                <w:bCs w:val="0"/>
                <w:i/>
                <w:sz w:val="18"/>
                <w:szCs w:val="18"/>
              </w:rPr>
              <w:t>Employee B</w:t>
            </w:r>
            <w:r w:rsidR="0007571E" w:rsidRPr="006977B6">
              <w:rPr>
                <w:b/>
                <w:bCs w:val="0"/>
                <w:i/>
                <w:sz w:val="18"/>
                <w:szCs w:val="18"/>
              </w:rPr>
              <w:t>enefit - Continued</w:t>
            </w:r>
          </w:p>
        </w:tc>
      </w:tr>
      <w:tr w:rsidR="00494924" w:rsidRPr="006977B6" w14:paraId="4A151640" w14:textId="77777777" w:rsidTr="006977B6">
        <w:tc>
          <w:tcPr>
            <w:tcW w:w="4599" w:type="dxa"/>
          </w:tcPr>
          <w:p w14:paraId="1F483C3A" w14:textId="77777777" w:rsidR="00494924" w:rsidRPr="006977B6" w:rsidRDefault="00494924" w:rsidP="0013526B">
            <w:pPr>
              <w:pStyle w:val="ListParagraph"/>
              <w:ind w:left="567"/>
              <w:jc w:val="both"/>
              <w:rPr>
                <w:sz w:val="14"/>
                <w:szCs w:val="14"/>
              </w:rPr>
            </w:pPr>
          </w:p>
        </w:tc>
        <w:tc>
          <w:tcPr>
            <w:tcW w:w="4598" w:type="dxa"/>
          </w:tcPr>
          <w:p w14:paraId="313B46BA" w14:textId="77777777" w:rsidR="00494924" w:rsidRPr="006977B6" w:rsidRDefault="00494924" w:rsidP="0013526B">
            <w:pPr>
              <w:pStyle w:val="ListParagraph"/>
              <w:ind w:left="567"/>
              <w:jc w:val="both"/>
              <w:rPr>
                <w:sz w:val="14"/>
                <w:szCs w:val="14"/>
              </w:rPr>
            </w:pPr>
          </w:p>
        </w:tc>
      </w:tr>
      <w:tr w:rsidR="00494924" w:rsidRPr="00A928CB" w14:paraId="43A84A38" w14:textId="77777777" w:rsidTr="006977B6">
        <w:tc>
          <w:tcPr>
            <w:tcW w:w="4599" w:type="dxa"/>
          </w:tcPr>
          <w:p w14:paraId="2603766F" w14:textId="77777777" w:rsidR="00494924" w:rsidRPr="006977B6" w:rsidRDefault="00494924" w:rsidP="0013526B">
            <w:pPr>
              <w:pStyle w:val="ListParagraph"/>
              <w:ind w:left="567"/>
              <w:jc w:val="both"/>
              <w:rPr>
                <w:b/>
                <w:bCs w:val="0"/>
                <w:sz w:val="18"/>
                <w:szCs w:val="18"/>
              </w:rPr>
            </w:pPr>
            <w:r w:rsidRPr="006977B6">
              <w:rPr>
                <w:b/>
                <w:sz w:val="18"/>
                <w:szCs w:val="18"/>
              </w:rPr>
              <w:t>Pengukuran</w:t>
            </w:r>
          </w:p>
        </w:tc>
        <w:tc>
          <w:tcPr>
            <w:tcW w:w="4598" w:type="dxa"/>
          </w:tcPr>
          <w:p w14:paraId="6DE34A5A" w14:textId="77777777" w:rsidR="00494924" w:rsidRPr="006977B6" w:rsidRDefault="00494924" w:rsidP="0013526B">
            <w:pPr>
              <w:pStyle w:val="ListParagraph"/>
              <w:tabs>
                <w:tab w:val="left" w:pos="5590"/>
                <w:tab w:val="right" w:pos="7620"/>
                <w:tab w:val="right" w:pos="9460"/>
                <w:tab w:val="right" w:pos="10080"/>
              </w:tabs>
              <w:ind w:left="567"/>
              <w:jc w:val="both"/>
              <w:rPr>
                <w:b/>
                <w:bCs w:val="0"/>
                <w:i/>
                <w:sz w:val="18"/>
                <w:szCs w:val="18"/>
              </w:rPr>
            </w:pPr>
            <w:r w:rsidRPr="006977B6">
              <w:rPr>
                <w:b/>
                <w:i/>
                <w:sz w:val="18"/>
                <w:szCs w:val="18"/>
              </w:rPr>
              <w:t>Measurement</w:t>
            </w:r>
          </w:p>
        </w:tc>
      </w:tr>
      <w:tr w:rsidR="00494924" w:rsidRPr="006977B6" w14:paraId="76F6E1AA" w14:textId="77777777" w:rsidTr="006977B6">
        <w:tc>
          <w:tcPr>
            <w:tcW w:w="4599" w:type="dxa"/>
          </w:tcPr>
          <w:p w14:paraId="5E82DEFC" w14:textId="77777777" w:rsidR="00494924" w:rsidRPr="006977B6" w:rsidRDefault="00494924" w:rsidP="0013526B">
            <w:pPr>
              <w:pStyle w:val="ListParagraph"/>
              <w:ind w:left="567"/>
              <w:jc w:val="both"/>
              <w:rPr>
                <w:spacing w:val="1"/>
                <w:sz w:val="14"/>
                <w:szCs w:val="14"/>
              </w:rPr>
            </w:pPr>
          </w:p>
        </w:tc>
        <w:tc>
          <w:tcPr>
            <w:tcW w:w="4598" w:type="dxa"/>
          </w:tcPr>
          <w:p w14:paraId="5DB1542B" w14:textId="77777777" w:rsidR="00494924" w:rsidRPr="006977B6" w:rsidRDefault="00494924" w:rsidP="0013526B">
            <w:pPr>
              <w:pStyle w:val="ListParagraph"/>
              <w:tabs>
                <w:tab w:val="left" w:pos="5590"/>
                <w:tab w:val="right" w:pos="7620"/>
                <w:tab w:val="right" w:pos="9460"/>
                <w:tab w:val="right" w:pos="10080"/>
              </w:tabs>
              <w:ind w:left="567"/>
              <w:jc w:val="both"/>
              <w:rPr>
                <w:i/>
                <w:iCs/>
                <w:sz w:val="14"/>
                <w:szCs w:val="14"/>
              </w:rPr>
            </w:pPr>
          </w:p>
        </w:tc>
      </w:tr>
      <w:tr w:rsidR="00494924" w:rsidRPr="00A928CB" w14:paraId="22C87A20" w14:textId="77777777" w:rsidTr="006977B6">
        <w:tc>
          <w:tcPr>
            <w:tcW w:w="4599" w:type="dxa"/>
          </w:tcPr>
          <w:p w14:paraId="783C341C" w14:textId="3126A881" w:rsidR="00494924" w:rsidRPr="006977B6" w:rsidRDefault="00494924" w:rsidP="002523B0">
            <w:pPr>
              <w:pStyle w:val="ListParagraph"/>
              <w:ind w:left="567" w:right="-57"/>
              <w:jc w:val="both"/>
              <w:rPr>
                <w:bCs w:val="0"/>
                <w:sz w:val="18"/>
                <w:szCs w:val="18"/>
              </w:rPr>
            </w:pPr>
            <w:r w:rsidRPr="006977B6">
              <w:rPr>
                <w:sz w:val="18"/>
                <w:szCs w:val="18"/>
              </w:rPr>
              <w:t>Biaya jasa lalu diakui sebagai beban pada awal tanggal ketika perubahan program atau kurtailmen terjadi dan tanggal ketika entitas mengakui setiap pesangon</w:t>
            </w:r>
            <w:r w:rsidR="002523B0">
              <w:rPr>
                <w:sz w:val="18"/>
                <w:szCs w:val="18"/>
              </w:rPr>
              <w:t>,</w:t>
            </w:r>
            <w:r w:rsidRPr="006977B6">
              <w:rPr>
                <w:sz w:val="18"/>
                <w:szCs w:val="18"/>
              </w:rPr>
              <w:t xml:space="preserve"> atau biaya terkait restrukturisasi dalam PSAK No. 57</w:t>
            </w:r>
            <w:r w:rsidR="002523B0">
              <w:rPr>
                <w:sz w:val="18"/>
                <w:szCs w:val="18"/>
              </w:rPr>
              <w:t>,</w:t>
            </w:r>
            <w:r w:rsidRPr="006977B6">
              <w:rPr>
                <w:sz w:val="18"/>
                <w:szCs w:val="18"/>
              </w:rPr>
              <w:t xml:space="preserve"> "Provisi</w:t>
            </w:r>
            <w:r w:rsidR="002523B0">
              <w:rPr>
                <w:sz w:val="18"/>
                <w:szCs w:val="18"/>
              </w:rPr>
              <w:t>,</w:t>
            </w:r>
            <w:r w:rsidRPr="006977B6">
              <w:rPr>
                <w:sz w:val="18"/>
                <w:szCs w:val="18"/>
              </w:rPr>
              <w:t xml:space="preserve"> Liabilitas Kontinjensi</w:t>
            </w:r>
            <w:r w:rsidR="002523B0">
              <w:rPr>
                <w:sz w:val="18"/>
                <w:szCs w:val="18"/>
              </w:rPr>
              <w:t>,</w:t>
            </w:r>
            <w:r w:rsidRPr="006977B6">
              <w:rPr>
                <w:sz w:val="18"/>
                <w:szCs w:val="18"/>
              </w:rPr>
              <w:t xml:space="preserve"> dan Aset Kontinjensi".</w:t>
            </w:r>
          </w:p>
        </w:tc>
        <w:tc>
          <w:tcPr>
            <w:tcW w:w="4598" w:type="dxa"/>
          </w:tcPr>
          <w:p w14:paraId="38A81207" w14:textId="416B6918" w:rsidR="00494924" w:rsidRPr="006977B6" w:rsidRDefault="00494924" w:rsidP="002523B0">
            <w:pPr>
              <w:pStyle w:val="ListParagraph"/>
              <w:tabs>
                <w:tab w:val="left" w:pos="5590"/>
                <w:tab w:val="right" w:pos="7620"/>
                <w:tab w:val="right" w:pos="9460"/>
                <w:tab w:val="right" w:pos="10080"/>
              </w:tabs>
              <w:ind w:left="567" w:right="-57"/>
              <w:jc w:val="both"/>
              <w:rPr>
                <w:bCs w:val="0"/>
                <w:i/>
                <w:sz w:val="18"/>
                <w:szCs w:val="18"/>
              </w:rPr>
            </w:pPr>
            <w:r w:rsidRPr="006977B6">
              <w:rPr>
                <w:i/>
                <w:sz w:val="18"/>
                <w:szCs w:val="18"/>
              </w:rPr>
              <w:t>Past service cost is recognized as an expense at the earlier of the date when a plan amendment or curtailment occurs and the date when an entity recognizes any termination benefits</w:t>
            </w:r>
            <w:r w:rsidR="002523B0">
              <w:rPr>
                <w:i/>
                <w:sz w:val="18"/>
                <w:szCs w:val="18"/>
              </w:rPr>
              <w:t>,</w:t>
            </w:r>
            <w:r w:rsidRPr="006977B6">
              <w:rPr>
                <w:i/>
                <w:sz w:val="18"/>
                <w:szCs w:val="18"/>
              </w:rPr>
              <w:t xml:space="preserve"> or related restructuring costs under PSAK No. 57</w:t>
            </w:r>
            <w:r w:rsidR="002523B0">
              <w:rPr>
                <w:i/>
                <w:sz w:val="18"/>
                <w:szCs w:val="18"/>
              </w:rPr>
              <w:t>,</w:t>
            </w:r>
            <w:r w:rsidRPr="006977B6">
              <w:rPr>
                <w:i/>
                <w:sz w:val="18"/>
                <w:szCs w:val="18"/>
              </w:rPr>
              <w:t>” Provisions</w:t>
            </w:r>
            <w:r w:rsidR="002523B0">
              <w:rPr>
                <w:i/>
                <w:sz w:val="18"/>
                <w:szCs w:val="18"/>
              </w:rPr>
              <w:t>,</w:t>
            </w:r>
            <w:r w:rsidRPr="006977B6">
              <w:rPr>
                <w:i/>
                <w:sz w:val="18"/>
                <w:szCs w:val="18"/>
              </w:rPr>
              <w:t xml:space="preserve"> Contingent Liabilities and Contingent Assets”.</w:t>
            </w:r>
          </w:p>
        </w:tc>
      </w:tr>
      <w:tr w:rsidR="00494924" w:rsidRPr="006977B6" w14:paraId="016AB7E1" w14:textId="77777777" w:rsidTr="006977B6">
        <w:tc>
          <w:tcPr>
            <w:tcW w:w="4599" w:type="dxa"/>
          </w:tcPr>
          <w:p w14:paraId="0001E077" w14:textId="77777777" w:rsidR="00494924" w:rsidRPr="006977B6" w:rsidRDefault="00494924" w:rsidP="0013526B">
            <w:pPr>
              <w:pStyle w:val="ListParagraph"/>
              <w:ind w:left="567"/>
              <w:jc w:val="both"/>
              <w:rPr>
                <w:spacing w:val="1"/>
                <w:sz w:val="14"/>
                <w:szCs w:val="14"/>
                <w:highlight w:val="cyan"/>
              </w:rPr>
            </w:pPr>
          </w:p>
        </w:tc>
        <w:tc>
          <w:tcPr>
            <w:tcW w:w="4598" w:type="dxa"/>
          </w:tcPr>
          <w:p w14:paraId="630CE99B" w14:textId="77777777" w:rsidR="00494924" w:rsidRPr="006977B6" w:rsidRDefault="00494924" w:rsidP="0013526B">
            <w:pPr>
              <w:pStyle w:val="ListParagraph"/>
              <w:tabs>
                <w:tab w:val="left" w:pos="5590"/>
                <w:tab w:val="right" w:pos="7620"/>
                <w:tab w:val="right" w:pos="9460"/>
                <w:tab w:val="right" w:pos="10080"/>
              </w:tabs>
              <w:ind w:left="567"/>
              <w:jc w:val="both"/>
              <w:rPr>
                <w:i/>
                <w:iCs/>
                <w:sz w:val="14"/>
                <w:szCs w:val="14"/>
                <w:highlight w:val="cyan"/>
              </w:rPr>
            </w:pPr>
          </w:p>
        </w:tc>
      </w:tr>
      <w:tr w:rsidR="00494924" w:rsidRPr="00276295" w14:paraId="190BC749" w14:textId="77777777" w:rsidTr="006977B6">
        <w:tc>
          <w:tcPr>
            <w:tcW w:w="4599" w:type="dxa"/>
          </w:tcPr>
          <w:p w14:paraId="761CE889" w14:textId="77777777" w:rsidR="00494924" w:rsidRPr="00276295" w:rsidRDefault="00494924" w:rsidP="0013526B">
            <w:pPr>
              <w:pStyle w:val="ListParagraph"/>
              <w:ind w:left="567" w:right="-57"/>
              <w:jc w:val="both"/>
              <w:rPr>
                <w:bCs w:val="0"/>
                <w:sz w:val="18"/>
                <w:szCs w:val="18"/>
              </w:rPr>
            </w:pPr>
            <w:r w:rsidRPr="00276295">
              <w:rPr>
                <w:sz w:val="18"/>
                <w:szCs w:val="18"/>
              </w:rPr>
              <w:t>Keuntungan atau kerugian atas penyelesaian program imbalan pasti diakui pada saat penyelesaian terjadi.</w:t>
            </w:r>
          </w:p>
        </w:tc>
        <w:tc>
          <w:tcPr>
            <w:tcW w:w="4598" w:type="dxa"/>
          </w:tcPr>
          <w:p w14:paraId="4E11B9A5" w14:textId="77777777" w:rsidR="00494924" w:rsidRPr="00276295" w:rsidRDefault="00494924" w:rsidP="0013526B">
            <w:pPr>
              <w:pStyle w:val="ListParagraph"/>
              <w:tabs>
                <w:tab w:val="left" w:pos="5590"/>
                <w:tab w:val="right" w:pos="7620"/>
                <w:tab w:val="right" w:pos="9460"/>
                <w:tab w:val="right" w:pos="10080"/>
              </w:tabs>
              <w:ind w:left="567" w:right="-57"/>
              <w:jc w:val="both"/>
              <w:rPr>
                <w:bCs w:val="0"/>
                <w:i/>
                <w:sz w:val="18"/>
                <w:szCs w:val="18"/>
              </w:rPr>
            </w:pPr>
            <w:r w:rsidRPr="00276295">
              <w:rPr>
                <w:i/>
                <w:sz w:val="18"/>
                <w:szCs w:val="18"/>
              </w:rPr>
              <w:t>Gains or losses on the settlement of a defined benefit plan are recognized when the settlement occurs.</w:t>
            </w:r>
          </w:p>
        </w:tc>
      </w:tr>
      <w:tr w:rsidR="00494924" w:rsidRPr="00276295" w14:paraId="23262387" w14:textId="77777777" w:rsidTr="006977B6">
        <w:tc>
          <w:tcPr>
            <w:tcW w:w="4599" w:type="dxa"/>
          </w:tcPr>
          <w:p w14:paraId="73E8F4E9" w14:textId="77777777" w:rsidR="00494924" w:rsidRPr="00276295" w:rsidRDefault="00494924" w:rsidP="0013526B">
            <w:pPr>
              <w:pStyle w:val="ListParagraph"/>
              <w:ind w:left="567"/>
              <w:jc w:val="both"/>
              <w:rPr>
                <w:spacing w:val="1"/>
                <w:sz w:val="14"/>
                <w:szCs w:val="14"/>
              </w:rPr>
            </w:pPr>
          </w:p>
        </w:tc>
        <w:tc>
          <w:tcPr>
            <w:tcW w:w="4598" w:type="dxa"/>
          </w:tcPr>
          <w:p w14:paraId="4B089417" w14:textId="77777777" w:rsidR="00494924" w:rsidRPr="00276295" w:rsidRDefault="00494924" w:rsidP="0013526B">
            <w:pPr>
              <w:pStyle w:val="ListParagraph"/>
              <w:tabs>
                <w:tab w:val="left" w:pos="5590"/>
                <w:tab w:val="right" w:pos="7620"/>
                <w:tab w:val="right" w:pos="9460"/>
                <w:tab w:val="right" w:pos="10080"/>
              </w:tabs>
              <w:ind w:left="567"/>
              <w:jc w:val="both"/>
              <w:rPr>
                <w:i/>
                <w:iCs/>
                <w:sz w:val="14"/>
                <w:szCs w:val="14"/>
              </w:rPr>
            </w:pPr>
          </w:p>
        </w:tc>
      </w:tr>
      <w:tr w:rsidR="00494924" w:rsidRPr="00276295" w14:paraId="46B170E4" w14:textId="77777777" w:rsidTr="006977B6">
        <w:tc>
          <w:tcPr>
            <w:tcW w:w="4599" w:type="dxa"/>
          </w:tcPr>
          <w:p w14:paraId="092DBE79" w14:textId="4871845F" w:rsidR="00494924" w:rsidRPr="00276295" w:rsidRDefault="00494924" w:rsidP="002523B0">
            <w:pPr>
              <w:pStyle w:val="ListParagraph"/>
              <w:tabs>
                <w:tab w:val="left" w:pos="5590"/>
                <w:tab w:val="right" w:pos="7620"/>
                <w:tab w:val="right" w:pos="9460"/>
                <w:tab w:val="right" w:pos="10080"/>
              </w:tabs>
              <w:ind w:left="567" w:right="-57"/>
              <w:jc w:val="both"/>
              <w:rPr>
                <w:bCs w:val="0"/>
                <w:sz w:val="18"/>
                <w:szCs w:val="18"/>
              </w:rPr>
            </w:pPr>
            <w:r w:rsidRPr="00276295">
              <w:rPr>
                <w:sz w:val="18"/>
                <w:szCs w:val="18"/>
              </w:rPr>
              <w:t>Sebelum biaya jasa lalu ditentukan</w:t>
            </w:r>
            <w:r w:rsidR="00870FD0">
              <w:rPr>
                <w:sz w:val="18"/>
                <w:szCs w:val="18"/>
              </w:rPr>
              <w:t>.</w:t>
            </w:r>
            <w:r w:rsidRPr="00276295">
              <w:rPr>
                <w:sz w:val="18"/>
                <w:szCs w:val="18"/>
              </w:rPr>
              <w:t xml:space="preserve"> </w:t>
            </w:r>
            <w:proofErr w:type="gramStart"/>
            <w:r w:rsidRPr="00276295">
              <w:rPr>
                <w:sz w:val="18"/>
                <w:szCs w:val="18"/>
              </w:rPr>
              <w:t>atau</w:t>
            </w:r>
            <w:proofErr w:type="gramEnd"/>
            <w:r w:rsidRPr="00276295">
              <w:rPr>
                <w:sz w:val="18"/>
                <w:szCs w:val="18"/>
              </w:rPr>
              <w:t xml:space="preserve"> keuntungan atau kerugian pada penyelesaian diakui</w:t>
            </w:r>
            <w:r w:rsidR="00870FD0">
              <w:rPr>
                <w:sz w:val="18"/>
                <w:szCs w:val="18"/>
              </w:rPr>
              <w:t>.</w:t>
            </w:r>
            <w:r w:rsidRPr="00276295">
              <w:rPr>
                <w:sz w:val="18"/>
                <w:szCs w:val="18"/>
              </w:rPr>
              <w:t xml:space="preserve"> </w:t>
            </w:r>
            <w:proofErr w:type="gramStart"/>
            <w:r w:rsidRPr="00276295">
              <w:rPr>
                <w:sz w:val="18"/>
                <w:szCs w:val="18"/>
              </w:rPr>
              <w:t>liabilitas</w:t>
            </w:r>
            <w:proofErr w:type="gramEnd"/>
            <w:r w:rsidRPr="00276295">
              <w:rPr>
                <w:sz w:val="18"/>
                <w:szCs w:val="18"/>
              </w:rPr>
              <w:t xml:space="preserve"> imbalan pasti atau aset disyaratkan untuk diukur kembali</w:t>
            </w:r>
            <w:r w:rsidR="002523B0">
              <w:rPr>
                <w:sz w:val="18"/>
                <w:szCs w:val="18"/>
              </w:rPr>
              <w:t>,</w:t>
            </w:r>
            <w:r w:rsidRPr="00276295">
              <w:rPr>
                <w:sz w:val="18"/>
                <w:szCs w:val="18"/>
              </w:rPr>
              <w:t xml:space="preserve"> namun entitas tidak disyaratkan untuk membedakan antara biaya jasa lalu yang dihasilkan dari kurtailmen dan keuntungan dan kerugian pada penyelesaian di mana transaksi ini terjadi bersama-sama.</w:t>
            </w:r>
          </w:p>
        </w:tc>
        <w:tc>
          <w:tcPr>
            <w:tcW w:w="4598" w:type="dxa"/>
          </w:tcPr>
          <w:p w14:paraId="3AF0E5EC" w14:textId="03805167" w:rsidR="00494924" w:rsidRPr="00276295" w:rsidRDefault="00494924" w:rsidP="002523B0">
            <w:pPr>
              <w:pStyle w:val="ListParagraph"/>
              <w:tabs>
                <w:tab w:val="left" w:pos="5590"/>
                <w:tab w:val="right" w:pos="7620"/>
                <w:tab w:val="right" w:pos="9460"/>
                <w:tab w:val="right" w:pos="10080"/>
              </w:tabs>
              <w:ind w:left="567" w:right="-57"/>
              <w:jc w:val="both"/>
              <w:rPr>
                <w:bCs w:val="0"/>
                <w:i/>
                <w:sz w:val="18"/>
                <w:szCs w:val="18"/>
              </w:rPr>
            </w:pPr>
            <w:r w:rsidRPr="00276295">
              <w:rPr>
                <w:i/>
                <w:sz w:val="18"/>
                <w:szCs w:val="18"/>
              </w:rPr>
              <w:t>Before past service costs are determined</w:t>
            </w:r>
            <w:r w:rsidR="00870FD0">
              <w:rPr>
                <w:i/>
                <w:sz w:val="18"/>
                <w:szCs w:val="18"/>
              </w:rPr>
              <w:t>.</w:t>
            </w:r>
            <w:r w:rsidRPr="00276295">
              <w:rPr>
                <w:i/>
                <w:sz w:val="18"/>
                <w:szCs w:val="18"/>
              </w:rPr>
              <w:t xml:space="preserve"> </w:t>
            </w:r>
            <w:proofErr w:type="gramStart"/>
            <w:r w:rsidRPr="00276295">
              <w:rPr>
                <w:i/>
                <w:sz w:val="18"/>
                <w:szCs w:val="18"/>
              </w:rPr>
              <w:t>or</w:t>
            </w:r>
            <w:proofErr w:type="gramEnd"/>
            <w:r w:rsidRPr="00276295">
              <w:rPr>
                <w:i/>
                <w:sz w:val="18"/>
                <w:szCs w:val="18"/>
              </w:rPr>
              <w:t xml:space="preserve"> a gain or loss on settlement is recognized</w:t>
            </w:r>
            <w:r w:rsidR="002523B0">
              <w:rPr>
                <w:i/>
                <w:sz w:val="18"/>
                <w:szCs w:val="18"/>
              </w:rPr>
              <w:t>,</w:t>
            </w:r>
            <w:r w:rsidRPr="00276295">
              <w:rPr>
                <w:i/>
                <w:sz w:val="18"/>
                <w:szCs w:val="18"/>
              </w:rPr>
              <w:t xml:space="preserve"> the net defined benefit liability or asset is required to be remeasured</w:t>
            </w:r>
            <w:r w:rsidR="00870FD0">
              <w:rPr>
                <w:i/>
                <w:sz w:val="18"/>
                <w:szCs w:val="18"/>
              </w:rPr>
              <w:t>.</w:t>
            </w:r>
            <w:r w:rsidRPr="00276295">
              <w:rPr>
                <w:i/>
                <w:sz w:val="18"/>
                <w:szCs w:val="18"/>
              </w:rPr>
              <w:t xml:space="preserve"> </w:t>
            </w:r>
            <w:proofErr w:type="gramStart"/>
            <w:r w:rsidRPr="00276295">
              <w:rPr>
                <w:i/>
                <w:sz w:val="18"/>
                <w:szCs w:val="18"/>
              </w:rPr>
              <w:t>however</w:t>
            </w:r>
            <w:proofErr w:type="gramEnd"/>
            <w:r w:rsidRPr="00276295">
              <w:rPr>
                <w:i/>
                <w:sz w:val="18"/>
                <w:szCs w:val="18"/>
              </w:rPr>
              <w:t xml:space="preserve"> an entity is not required to distinguish between past service costs resulting from curtailments and gains and losses on settlement where these transactions occur together.</w:t>
            </w:r>
          </w:p>
        </w:tc>
      </w:tr>
    </w:tbl>
    <w:p w14:paraId="06891929" w14:textId="77777777" w:rsidR="0007571E" w:rsidRPr="00276295" w:rsidRDefault="0007571E" w:rsidP="0013526B">
      <w:pPr>
        <w:rPr>
          <w:sz w:val="14"/>
          <w:szCs w:val="14"/>
        </w:rPr>
      </w:pPr>
    </w:p>
    <w:tbl>
      <w:tblPr>
        <w:tblW w:w="9197" w:type="dxa"/>
        <w:tblInd w:w="392" w:type="dxa"/>
        <w:tblLayout w:type="fixed"/>
        <w:tblLook w:val="0000" w:firstRow="0" w:lastRow="0" w:firstColumn="0" w:lastColumn="0" w:noHBand="0" w:noVBand="0"/>
      </w:tblPr>
      <w:tblGrid>
        <w:gridCol w:w="4599"/>
        <w:gridCol w:w="4598"/>
      </w:tblGrid>
      <w:tr w:rsidR="006977B6" w:rsidRPr="00276295" w14:paraId="69E65863" w14:textId="77777777" w:rsidTr="00D215E4">
        <w:tc>
          <w:tcPr>
            <w:tcW w:w="4708" w:type="dxa"/>
          </w:tcPr>
          <w:p w14:paraId="677D7033" w14:textId="77777777" w:rsidR="006977B6" w:rsidRPr="00276295" w:rsidRDefault="006977B6" w:rsidP="00070D1F">
            <w:pPr>
              <w:pStyle w:val="ListParagraph"/>
              <w:numPr>
                <w:ilvl w:val="0"/>
                <w:numId w:val="88"/>
              </w:numPr>
              <w:ind w:left="568" w:right="-57" w:hanging="284"/>
              <w:contextualSpacing/>
              <w:jc w:val="both"/>
              <w:rPr>
                <w:b/>
                <w:spacing w:val="-1"/>
                <w:sz w:val="18"/>
                <w:szCs w:val="18"/>
              </w:rPr>
            </w:pPr>
            <w:r w:rsidRPr="00276295">
              <w:rPr>
                <w:b/>
                <w:spacing w:val="-1"/>
                <w:sz w:val="18"/>
                <w:szCs w:val="18"/>
              </w:rPr>
              <w:t>Laba Per Saham</w:t>
            </w:r>
          </w:p>
        </w:tc>
        <w:tc>
          <w:tcPr>
            <w:tcW w:w="4708" w:type="dxa"/>
          </w:tcPr>
          <w:p w14:paraId="52463183" w14:textId="77777777" w:rsidR="006977B6" w:rsidRPr="00276295" w:rsidRDefault="006977B6" w:rsidP="00070D1F">
            <w:pPr>
              <w:pStyle w:val="ListParagraph"/>
              <w:numPr>
                <w:ilvl w:val="0"/>
                <w:numId w:val="89"/>
              </w:numPr>
              <w:ind w:left="568" w:hanging="284"/>
              <w:contextualSpacing/>
              <w:jc w:val="both"/>
              <w:rPr>
                <w:b/>
                <w:bCs w:val="0"/>
                <w:i/>
                <w:sz w:val="18"/>
                <w:szCs w:val="18"/>
              </w:rPr>
            </w:pPr>
            <w:r w:rsidRPr="00276295">
              <w:rPr>
                <w:b/>
                <w:bCs w:val="0"/>
                <w:i/>
                <w:sz w:val="18"/>
                <w:szCs w:val="18"/>
              </w:rPr>
              <w:t>Earning Per Share</w:t>
            </w:r>
          </w:p>
        </w:tc>
      </w:tr>
      <w:tr w:rsidR="006977B6" w:rsidRPr="00276295" w14:paraId="696B50F0" w14:textId="77777777" w:rsidTr="00D215E4">
        <w:tc>
          <w:tcPr>
            <w:tcW w:w="4708" w:type="dxa"/>
          </w:tcPr>
          <w:p w14:paraId="44D9BA16" w14:textId="77777777" w:rsidR="006977B6" w:rsidRPr="00276295" w:rsidRDefault="006977B6" w:rsidP="00D215E4">
            <w:pPr>
              <w:widowControl w:val="0"/>
              <w:autoSpaceDE w:val="0"/>
              <w:autoSpaceDN w:val="0"/>
              <w:adjustRightInd w:val="0"/>
              <w:spacing w:before="36"/>
              <w:ind w:left="564" w:right="-34"/>
              <w:jc w:val="both"/>
              <w:rPr>
                <w:spacing w:val="-1"/>
                <w:sz w:val="12"/>
                <w:szCs w:val="10"/>
              </w:rPr>
            </w:pPr>
          </w:p>
        </w:tc>
        <w:tc>
          <w:tcPr>
            <w:tcW w:w="4708" w:type="dxa"/>
          </w:tcPr>
          <w:p w14:paraId="6FC4BBF3" w14:textId="77777777" w:rsidR="006977B6" w:rsidRPr="00276295" w:rsidRDefault="006977B6" w:rsidP="00D215E4">
            <w:pPr>
              <w:ind w:left="907"/>
              <w:jc w:val="both"/>
              <w:rPr>
                <w:bCs w:val="0"/>
                <w:i/>
                <w:sz w:val="12"/>
                <w:szCs w:val="10"/>
              </w:rPr>
            </w:pPr>
          </w:p>
        </w:tc>
      </w:tr>
      <w:tr w:rsidR="006977B6" w:rsidRPr="00A928CB" w14:paraId="3DD9C5C7" w14:textId="77777777" w:rsidTr="00D215E4">
        <w:tc>
          <w:tcPr>
            <w:tcW w:w="4708" w:type="dxa"/>
          </w:tcPr>
          <w:p w14:paraId="550CE42C" w14:textId="77777777" w:rsidR="006977B6" w:rsidRPr="00276295" w:rsidRDefault="006977B6" w:rsidP="00D215E4">
            <w:pPr>
              <w:pStyle w:val="ListParagraph"/>
              <w:ind w:left="567" w:right="-57"/>
              <w:jc w:val="both"/>
              <w:rPr>
                <w:sz w:val="18"/>
                <w:szCs w:val="18"/>
              </w:rPr>
            </w:pPr>
            <w:r w:rsidRPr="00276295">
              <w:rPr>
                <w:sz w:val="18"/>
                <w:szCs w:val="18"/>
              </w:rPr>
              <w:t>L</w:t>
            </w:r>
            <w:r w:rsidRPr="00276295">
              <w:rPr>
                <w:spacing w:val="-1"/>
                <w:sz w:val="18"/>
                <w:szCs w:val="18"/>
              </w:rPr>
              <w:t>a</w:t>
            </w:r>
            <w:r w:rsidRPr="00276295">
              <w:rPr>
                <w:sz w:val="18"/>
                <w:szCs w:val="18"/>
              </w:rPr>
              <w:t>ba</w:t>
            </w:r>
            <w:r w:rsidRPr="00276295">
              <w:rPr>
                <w:spacing w:val="3"/>
                <w:sz w:val="18"/>
                <w:szCs w:val="18"/>
              </w:rPr>
              <w:t xml:space="preserve"> </w:t>
            </w:r>
            <w:r w:rsidRPr="00276295">
              <w:rPr>
                <w:spacing w:val="2"/>
                <w:sz w:val="18"/>
                <w:szCs w:val="18"/>
              </w:rPr>
              <w:t>p</w:t>
            </w:r>
            <w:r w:rsidRPr="00276295">
              <w:rPr>
                <w:sz w:val="18"/>
                <w:szCs w:val="18"/>
              </w:rPr>
              <w:t>er</w:t>
            </w:r>
            <w:r w:rsidRPr="00276295">
              <w:rPr>
                <w:spacing w:val="5"/>
                <w:sz w:val="18"/>
                <w:szCs w:val="18"/>
              </w:rPr>
              <w:t xml:space="preserve"> </w:t>
            </w:r>
            <w:r w:rsidRPr="00276295">
              <w:rPr>
                <w:spacing w:val="1"/>
                <w:sz w:val="18"/>
                <w:szCs w:val="18"/>
              </w:rPr>
              <w:t>s</w:t>
            </w:r>
            <w:r w:rsidRPr="00276295">
              <w:rPr>
                <w:sz w:val="18"/>
                <w:szCs w:val="18"/>
              </w:rPr>
              <w:t>a</w:t>
            </w:r>
            <w:r w:rsidRPr="00276295">
              <w:rPr>
                <w:spacing w:val="-1"/>
                <w:sz w:val="18"/>
                <w:szCs w:val="18"/>
              </w:rPr>
              <w:t>h</w:t>
            </w:r>
            <w:r w:rsidRPr="00276295">
              <w:rPr>
                <w:sz w:val="18"/>
                <w:szCs w:val="18"/>
              </w:rPr>
              <w:t>am</w:t>
            </w:r>
            <w:r w:rsidRPr="00276295">
              <w:rPr>
                <w:spacing w:val="5"/>
                <w:sz w:val="18"/>
                <w:szCs w:val="18"/>
              </w:rPr>
              <w:t xml:space="preserve"> </w:t>
            </w:r>
            <w:r w:rsidRPr="00276295">
              <w:rPr>
                <w:sz w:val="18"/>
                <w:szCs w:val="18"/>
              </w:rPr>
              <w:t>d</w:t>
            </w:r>
            <w:r w:rsidRPr="00276295">
              <w:rPr>
                <w:spacing w:val="-1"/>
                <w:sz w:val="18"/>
                <w:szCs w:val="18"/>
              </w:rPr>
              <w:t>a</w:t>
            </w:r>
            <w:r w:rsidRPr="00276295">
              <w:rPr>
                <w:spacing w:val="1"/>
                <w:sz w:val="18"/>
                <w:szCs w:val="18"/>
              </w:rPr>
              <w:t>s</w:t>
            </w:r>
            <w:r w:rsidRPr="00276295">
              <w:rPr>
                <w:sz w:val="18"/>
                <w:szCs w:val="18"/>
              </w:rPr>
              <w:t>ar</w:t>
            </w:r>
            <w:r w:rsidRPr="00276295">
              <w:rPr>
                <w:spacing w:val="1"/>
                <w:sz w:val="18"/>
                <w:szCs w:val="18"/>
              </w:rPr>
              <w:t xml:space="preserve"> </w:t>
            </w:r>
            <w:r w:rsidRPr="00276295">
              <w:rPr>
                <w:sz w:val="18"/>
                <w:szCs w:val="18"/>
              </w:rPr>
              <w:t>d</w:t>
            </w:r>
            <w:r w:rsidRPr="00276295">
              <w:rPr>
                <w:spacing w:val="-1"/>
                <w:sz w:val="18"/>
                <w:szCs w:val="18"/>
              </w:rPr>
              <w:t>i</w:t>
            </w:r>
            <w:r w:rsidRPr="00276295">
              <w:rPr>
                <w:sz w:val="18"/>
                <w:szCs w:val="18"/>
              </w:rPr>
              <w:t>h</w:t>
            </w:r>
            <w:r w:rsidRPr="00276295">
              <w:rPr>
                <w:spacing w:val="1"/>
                <w:sz w:val="18"/>
                <w:szCs w:val="18"/>
              </w:rPr>
              <w:t>i</w:t>
            </w:r>
            <w:r w:rsidRPr="00276295">
              <w:rPr>
                <w:sz w:val="18"/>
                <w:szCs w:val="18"/>
              </w:rPr>
              <w:t>tu</w:t>
            </w:r>
            <w:r w:rsidRPr="00276295">
              <w:rPr>
                <w:spacing w:val="1"/>
                <w:sz w:val="18"/>
                <w:szCs w:val="18"/>
              </w:rPr>
              <w:t>n</w:t>
            </w:r>
            <w:r w:rsidRPr="00276295">
              <w:rPr>
                <w:sz w:val="18"/>
                <w:szCs w:val="18"/>
              </w:rPr>
              <w:t>g d</w:t>
            </w:r>
            <w:r w:rsidRPr="00276295">
              <w:rPr>
                <w:spacing w:val="-1"/>
                <w:sz w:val="18"/>
                <w:szCs w:val="18"/>
              </w:rPr>
              <w:t>e</w:t>
            </w:r>
            <w:r w:rsidRPr="00276295">
              <w:rPr>
                <w:spacing w:val="2"/>
                <w:sz w:val="18"/>
                <w:szCs w:val="18"/>
              </w:rPr>
              <w:t>n</w:t>
            </w:r>
            <w:r w:rsidRPr="00276295">
              <w:rPr>
                <w:sz w:val="18"/>
                <w:szCs w:val="18"/>
              </w:rPr>
              <w:t>g</w:t>
            </w:r>
            <w:r w:rsidRPr="00276295">
              <w:rPr>
                <w:spacing w:val="-1"/>
                <w:sz w:val="18"/>
                <w:szCs w:val="18"/>
              </w:rPr>
              <w:t>a</w:t>
            </w:r>
            <w:r w:rsidRPr="00276295">
              <w:rPr>
                <w:sz w:val="18"/>
                <w:szCs w:val="18"/>
              </w:rPr>
              <w:t xml:space="preserve">n </w:t>
            </w:r>
            <w:r w:rsidRPr="00276295">
              <w:rPr>
                <w:spacing w:val="4"/>
                <w:sz w:val="18"/>
                <w:szCs w:val="18"/>
              </w:rPr>
              <w:t>m</w:t>
            </w:r>
            <w:r w:rsidRPr="00276295">
              <w:rPr>
                <w:spacing w:val="-3"/>
                <w:sz w:val="18"/>
                <w:szCs w:val="18"/>
              </w:rPr>
              <w:t>e</w:t>
            </w:r>
            <w:r w:rsidRPr="00276295">
              <w:rPr>
                <w:spacing w:val="4"/>
                <w:sz w:val="18"/>
                <w:szCs w:val="18"/>
              </w:rPr>
              <w:t>m</w:t>
            </w:r>
            <w:r w:rsidRPr="00276295">
              <w:rPr>
                <w:sz w:val="18"/>
                <w:szCs w:val="18"/>
              </w:rPr>
              <w:t>b</w:t>
            </w:r>
            <w:r w:rsidRPr="00276295">
              <w:rPr>
                <w:spacing w:val="-1"/>
                <w:sz w:val="18"/>
                <w:szCs w:val="18"/>
              </w:rPr>
              <w:t>a</w:t>
            </w:r>
            <w:r w:rsidRPr="00276295">
              <w:rPr>
                <w:sz w:val="18"/>
                <w:szCs w:val="18"/>
              </w:rPr>
              <w:t xml:space="preserve">gi </w:t>
            </w:r>
            <w:r w:rsidRPr="00276295">
              <w:rPr>
                <w:spacing w:val="-1"/>
                <w:sz w:val="18"/>
                <w:szCs w:val="18"/>
              </w:rPr>
              <w:t>l</w:t>
            </w:r>
            <w:r w:rsidRPr="00276295">
              <w:rPr>
                <w:sz w:val="18"/>
                <w:szCs w:val="18"/>
              </w:rPr>
              <w:t>a</w:t>
            </w:r>
            <w:r w:rsidRPr="00276295">
              <w:rPr>
                <w:spacing w:val="1"/>
                <w:sz w:val="18"/>
                <w:szCs w:val="18"/>
              </w:rPr>
              <w:t>b</w:t>
            </w:r>
            <w:r w:rsidRPr="00276295">
              <w:rPr>
                <w:sz w:val="18"/>
                <w:szCs w:val="18"/>
              </w:rPr>
              <w:t>a</w:t>
            </w:r>
            <w:r w:rsidRPr="00276295">
              <w:rPr>
                <w:spacing w:val="5"/>
                <w:sz w:val="18"/>
                <w:szCs w:val="18"/>
              </w:rPr>
              <w:t xml:space="preserve"> </w:t>
            </w:r>
            <w:r w:rsidRPr="00276295">
              <w:rPr>
                <w:spacing w:val="2"/>
                <w:sz w:val="18"/>
                <w:szCs w:val="18"/>
              </w:rPr>
              <w:t>a</w:t>
            </w:r>
            <w:r w:rsidRPr="00276295">
              <w:rPr>
                <w:sz w:val="18"/>
                <w:szCs w:val="18"/>
              </w:rPr>
              <w:t>tau</w:t>
            </w:r>
            <w:r w:rsidRPr="00276295">
              <w:rPr>
                <w:spacing w:val="9"/>
                <w:sz w:val="18"/>
                <w:szCs w:val="18"/>
              </w:rPr>
              <w:t xml:space="preserve"> </w:t>
            </w:r>
            <w:r w:rsidRPr="00276295">
              <w:rPr>
                <w:spacing w:val="1"/>
                <w:sz w:val="18"/>
                <w:szCs w:val="18"/>
              </w:rPr>
              <w:t>r</w:t>
            </w:r>
            <w:r w:rsidRPr="00276295">
              <w:rPr>
                <w:sz w:val="18"/>
                <w:szCs w:val="18"/>
              </w:rPr>
              <w:t>u</w:t>
            </w:r>
            <w:r w:rsidRPr="00276295">
              <w:rPr>
                <w:spacing w:val="-1"/>
                <w:sz w:val="18"/>
                <w:szCs w:val="18"/>
              </w:rPr>
              <w:t>g</w:t>
            </w:r>
            <w:r w:rsidRPr="00276295">
              <w:rPr>
                <w:sz w:val="18"/>
                <w:szCs w:val="18"/>
              </w:rPr>
              <w:t>i</w:t>
            </w:r>
            <w:r w:rsidRPr="00276295">
              <w:rPr>
                <w:spacing w:val="10"/>
                <w:sz w:val="18"/>
                <w:szCs w:val="18"/>
              </w:rPr>
              <w:t xml:space="preserve"> </w:t>
            </w:r>
            <w:r w:rsidRPr="00276295">
              <w:rPr>
                <w:spacing w:val="-4"/>
                <w:sz w:val="18"/>
                <w:szCs w:val="18"/>
              </w:rPr>
              <w:t>y</w:t>
            </w:r>
            <w:r w:rsidRPr="00276295">
              <w:rPr>
                <w:spacing w:val="2"/>
                <w:sz w:val="18"/>
                <w:szCs w:val="18"/>
              </w:rPr>
              <w:t>a</w:t>
            </w:r>
            <w:r w:rsidRPr="00276295">
              <w:rPr>
                <w:sz w:val="18"/>
                <w:szCs w:val="18"/>
              </w:rPr>
              <w:t>ng</w:t>
            </w:r>
            <w:r w:rsidRPr="00276295">
              <w:rPr>
                <w:spacing w:val="7"/>
                <w:sz w:val="18"/>
                <w:szCs w:val="18"/>
              </w:rPr>
              <w:t xml:space="preserve"> </w:t>
            </w:r>
            <w:r w:rsidRPr="00276295">
              <w:rPr>
                <w:sz w:val="18"/>
                <w:szCs w:val="18"/>
              </w:rPr>
              <w:t>d</w:t>
            </w:r>
            <w:r w:rsidRPr="00276295">
              <w:rPr>
                <w:spacing w:val="-1"/>
                <w:sz w:val="18"/>
                <w:szCs w:val="18"/>
              </w:rPr>
              <w:t>a</w:t>
            </w:r>
            <w:r w:rsidRPr="00276295">
              <w:rPr>
                <w:spacing w:val="2"/>
                <w:sz w:val="18"/>
                <w:szCs w:val="18"/>
              </w:rPr>
              <w:t>p</w:t>
            </w:r>
            <w:r w:rsidRPr="00276295">
              <w:rPr>
                <w:sz w:val="18"/>
                <w:szCs w:val="18"/>
              </w:rPr>
              <w:t>at d</w:t>
            </w:r>
            <w:r w:rsidRPr="00276295">
              <w:rPr>
                <w:spacing w:val="-1"/>
                <w:sz w:val="18"/>
                <w:szCs w:val="18"/>
              </w:rPr>
              <w:t>i</w:t>
            </w:r>
            <w:r w:rsidRPr="00276295">
              <w:rPr>
                <w:sz w:val="18"/>
                <w:szCs w:val="18"/>
              </w:rPr>
              <w:t>at</w:t>
            </w:r>
            <w:r w:rsidRPr="00276295">
              <w:rPr>
                <w:spacing w:val="3"/>
                <w:sz w:val="18"/>
                <w:szCs w:val="18"/>
              </w:rPr>
              <w:t>r</w:t>
            </w:r>
            <w:r w:rsidRPr="00276295">
              <w:rPr>
                <w:spacing w:val="-1"/>
                <w:sz w:val="18"/>
                <w:szCs w:val="18"/>
              </w:rPr>
              <w:t>i</w:t>
            </w:r>
            <w:r w:rsidRPr="00276295">
              <w:rPr>
                <w:sz w:val="18"/>
                <w:szCs w:val="18"/>
              </w:rPr>
              <w:t>b</w:t>
            </w:r>
            <w:r w:rsidRPr="00276295">
              <w:rPr>
                <w:spacing w:val="-1"/>
                <w:sz w:val="18"/>
                <w:szCs w:val="18"/>
              </w:rPr>
              <w:t>u</w:t>
            </w:r>
            <w:r w:rsidRPr="00276295">
              <w:rPr>
                <w:spacing w:val="3"/>
                <w:sz w:val="18"/>
                <w:szCs w:val="18"/>
              </w:rPr>
              <w:t>s</w:t>
            </w:r>
            <w:r w:rsidRPr="00276295">
              <w:rPr>
                <w:spacing w:val="-1"/>
                <w:sz w:val="18"/>
                <w:szCs w:val="18"/>
              </w:rPr>
              <w:t>i</w:t>
            </w:r>
            <w:r w:rsidRPr="00276295">
              <w:rPr>
                <w:spacing w:val="3"/>
                <w:sz w:val="18"/>
                <w:szCs w:val="18"/>
              </w:rPr>
              <w:t>k</w:t>
            </w:r>
            <w:r w:rsidRPr="00276295">
              <w:rPr>
                <w:sz w:val="18"/>
                <w:szCs w:val="18"/>
              </w:rPr>
              <w:t xml:space="preserve">an </w:t>
            </w:r>
            <w:r w:rsidRPr="00276295">
              <w:rPr>
                <w:spacing w:val="3"/>
                <w:sz w:val="18"/>
                <w:szCs w:val="18"/>
              </w:rPr>
              <w:t>k</w:t>
            </w:r>
            <w:r w:rsidRPr="00276295">
              <w:rPr>
                <w:sz w:val="18"/>
                <w:szCs w:val="18"/>
              </w:rPr>
              <w:t>e</w:t>
            </w:r>
            <w:r w:rsidRPr="00276295">
              <w:rPr>
                <w:spacing w:val="-1"/>
                <w:sz w:val="18"/>
                <w:szCs w:val="18"/>
              </w:rPr>
              <w:t>p</w:t>
            </w:r>
            <w:r w:rsidRPr="00276295">
              <w:rPr>
                <w:sz w:val="18"/>
                <w:szCs w:val="18"/>
              </w:rPr>
              <w:t>a</w:t>
            </w:r>
            <w:r w:rsidRPr="00276295">
              <w:rPr>
                <w:spacing w:val="-1"/>
                <w:sz w:val="18"/>
                <w:szCs w:val="18"/>
              </w:rPr>
              <w:t>d</w:t>
            </w:r>
            <w:r w:rsidRPr="00276295">
              <w:rPr>
                <w:sz w:val="18"/>
                <w:szCs w:val="18"/>
              </w:rPr>
              <w:t>a</w:t>
            </w:r>
            <w:r w:rsidRPr="00276295">
              <w:rPr>
                <w:spacing w:val="8"/>
                <w:sz w:val="18"/>
                <w:szCs w:val="18"/>
              </w:rPr>
              <w:t xml:space="preserve"> </w:t>
            </w:r>
            <w:r w:rsidRPr="00276295">
              <w:rPr>
                <w:spacing w:val="2"/>
                <w:sz w:val="18"/>
                <w:szCs w:val="18"/>
              </w:rPr>
              <w:t>p</w:t>
            </w:r>
            <w:r w:rsidRPr="00276295">
              <w:rPr>
                <w:sz w:val="18"/>
                <w:szCs w:val="18"/>
              </w:rPr>
              <w:t>e</w:t>
            </w:r>
            <w:r w:rsidRPr="00276295">
              <w:rPr>
                <w:spacing w:val="2"/>
                <w:sz w:val="18"/>
                <w:szCs w:val="18"/>
              </w:rPr>
              <w:t>m</w:t>
            </w:r>
            <w:r w:rsidRPr="00276295">
              <w:rPr>
                <w:sz w:val="18"/>
                <w:szCs w:val="18"/>
              </w:rPr>
              <w:t>e</w:t>
            </w:r>
            <w:r w:rsidRPr="00276295">
              <w:rPr>
                <w:spacing w:val="-1"/>
                <w:sz w:val="18"/>
                <w:szCs w:val="18"/>
              </w:rPr>
              <w:t>g</w:t>
            </w:r>
            <w:r w:rsidRPr="00276295">
              <w:rPr>
                <w:sz w:val="18"/>
                <w:szCs w:val="18"/>
              </w:rPr>
              <w:t>a</w:t>
            </w:r>
            <w:r w:rsidRPr="00276295">
              <w:rPr>
                <w:spacing w:val="1"/>
                <w:sz w:val="18"/>
                <w:szCs w:val="18"/>
              </w:rPr>
              <w:t>n</w:t>
            </w:r>
            <w:r w:rsidRPr="00276295">
              <w:rPr>
                <w:sz w:val="18"/>
                <w:szCs w:val="18"/>
              </w:rPr>
              <w:t>g</w:t>
            </w:r>
            <w:r w:rsidRPr="00276295">
              <w:rPr>
                <w:spacing w:val="5"/>
                <w:sz w:val="18"/>
                <w:szCs w:val="18"/>
              </w:rPr>
              <w:t xml:space="preserve"> </w:t>
            </w:r>
            <w:r w:rsidRPr="00276295">
              <w:rPr>
                <w:spacing w:val="1"/>
                <w:sz w:val="18"/>
                <w:szCs w:val="18"/>
              </w:rPr>
              <w:t>s</w:t>
            </w:r>
            <w:r w:rsidRPr="00276295">
              <w:rPr>
                <w:sz w:val="18"/>
                <w:szCs w:val="18"/>
              </w:rPr>
              <w:t>a</w:t>
            </w:r>
            <w:r w:rsidRPr="00276295">
              <w:rPr>
                <w:spacing w:val="-1"/>
                <w:sz w:val="18"/>
                <w:szCs w:val="18"/>
              </w:rPr>
              <w:t>h</w:t>
            </w:r>
            <w:r w:rsidRPr="00276295">
              <w:rPr>
                <w:sz w:val="18"/>
                <w:szCs w:val="18"/>
              </w:rPr>
              <w:t>am</w:t>
            </w:r>
            <w:r w:rsidRPr="00276295">
              <w:rPr>
                <w:spacing w:val="12"/>
                <w:sz w:val="18"/>
                <w:szCs w:val="18"/>
              </w:rPr>
              <w:t xml:space="preserve"> </w:t>
            </w:r>
            <w:r w:rsidRPr="00276295">
              <w:rPr>
                <w:sz w:val="18"/>
                <w:szCs w:val="18"/>
              </w:rPr>
              <w:t>b</w:t>
            </w:r>
            <w:r w:rsidRPr="00276295">
              <w:rPr>
                <w:spacing w:val="-1"/>
                <w:sz w:val="18"/>
                <w:szCs w:val="18"/>
              </w:rPr>
              <w:t>i</w:t>
            </w:r>
            <w:r w:rsidRPr="00276295">
              <w:rPr>
                <w:sz w:val="18"/>
                <w:szCs w:val="18"/>
              </w:rPr>
              <w:t>a</w:t>
            </w:r>
            <w:r w:rsidRPr="00276295">
              <w:rPr>
                <w:spacing w:val="1"/>
                <w:sz w:val="18"/>
                <w:szCs w:val="18"/>
              </w:rPr>
              <w:t>s</w:t>
            </w:r>
            <w:r w:rsidRPr="00276295">
              <w:rPr>
                <w:sz w:val="18"/>
                <w:szCs w:val="18"/>
              </w:rPr>
              <w:t>a E</w:t>
            </w:r>
            <w:r w:rsidRPr="00276295">
              <w:rPr>
                <w:spacing w:val="-1"/>
                <w:sz w:val="18"/>
                <w:szCs w:val="18"/>
              </w:rPr>
              <w:t>n</w:t>
            </w:r>
            <w:r w:rsidRPr="00276295">
              <w:rPr>
                <w:sz w:val="18"/>
                <w:szCs w:val="18"/>
              </w:rPr>
              <w:t>t</w:t>
            </w:r>
            <w:r w:rsidRPr="00276295">
              <w:rPr>
                <w:spacing w:val="1"/>
                <w:sz w:val="18"/>
                <w:szCs w:val="18"/>
              </w:rPr>
              <w:t>i</w:t>
            </w:r>
            <w:r w:rsidRPr="00276295">
              <w:rPr>
                <w:sz w:val="18"/>
                <w:szCs w:val="18"/>
              </w:rPr>
              <w:t>tas</w:t>
            </w:r>
            <w:r w:rsidRPr="00276295">
              <w:rPr>
                <w:spacing w:val="2"/>
                <w:sz w:val="18"/>
                <w:szCs w:val="18"/>
              </w:rPr>
              <w:t xml:space="preserve"> </w:t>
            </w:r>
            <w:r w:rsidRPr="00276295">
              <w:rPr>
                <w:spacing w:val="-1"/>
                <w:sz w:val="18"/>
                <w:szCs w:val="18"/>
              </w:rPr>
              <w:t>I</w:t>
            </w:r>
            <w:r w:rsidRPr="00276295">
              <w:rPr>
                <w:spacing w:val="2"/>
                <w:sz w:val="18"/>
                <w:szCs w:val="18"/>
              </w:rPr>
              <w:t>n</w:t>
            </w:r>
            <w:r w:rsidRPr="00276295">
              <w:rPr>
                <w:sz w:val="18"/>
                <w:szCs w:val="18"/>
              </w:rPr>
              <w:t>d</w:t>
            </w:r>
            <w:r w:rsidRPr="00276295">
              <w:rPr>
                <w:spacing w:val="-1"/>
                <w:sz w:val="18"/>
                <w:szCs w:val="18"/>
              </w:rPr>
              <w:t>u</w:t>
            </w:r>
            <w:r w:rsidRPr="00276295">
              <w:rPr>
                <w:sz w:val="18"/>
                <w:szCs w:val="18"/>
              </w:rPr>
              <w:t>k</w:t>
            </w:r>
            <w:r w:rsidRPr="00276295">
              <w:rPr>
                <w:spacing w:val="6"/>
                <w:sz w:val="18"/>
                <w:szCs w:val="18"/>
              </w:rPr>
              <w:t xml:space="preserve"> </w:t>
            </w:r>
            <w:r w:rsidRPr="00276295">
              <w:rPr>
                <w:sz w:val="18"/>
                <w:szCs w:val="18"/>
              </w:rPr>
              <w:t>d</w:t>
            </w:r>
            <w:r w:rsidRPr="00276295">
              <w:rPr>
                <w:spacing w:val="-1"/>
                <w:sz w:val="18"/>
                <w:szCs w:val="18"/>
              </w:rPr>
              <w:t>e</w:t>
            </w:r>
            <w:r w:rsidRPr="00276295">
              <w:rPr>
                <w:sz w:val="18"/>
                <w:szCs w:val="18"/>
              </w:rPr>
              <w:t>n</w:t>
            </w:r>
            <w:r w:rsidRPr="00276295">
              <w:rPr>
                <w:spacing w:val="1"/>
                <w:sz w:val="18"/>
                <w:szCs w:val="18"/>
              </w:rPr>
              <w:t>g</w:t>
            </w:r>
            <w:r w:rsidRPr="00276295">
              <w:rPr>
                <w:sz w:val="18"/>
                <w:szCs w:val="18"/>
              </w:rPr>
              <w:t>an</w:t>
            </w:r>
            <w:r w:rsidRPr="00276295">
              <w:rPr>
                <w:spacing w:val="2"/>
                <w:sz w:val="18"/>
                <w:szCs w:val="18"/>
              </w:rPr>
              <w:t xml:space="preserve"> </w:t>
            </w:r>
            <w:r w:rsidRPr="00276295">
              <w:rPr>
                <w:spacing w:val="1"/>
                <w:sz w:val="18"/>
                <w:szCs w:val="18"/>
              </w:rPr>
              <w:t>j</w:t>
            </w:r>
            <w:r w:rsidRPr="00276295">
              <w:rPr>
                <w:spacing w:val="-3"/>
                <w:sz w:val="18"/>
                <w:szCs w:val="18"/>
              </w:rPr>
              <w:t>u</w:t>
            </w:r>
            <w:r w:rsidRPr="00276295">
              <w:rPr>
                <w:spacing w:val="4"/>
                <w:sz w:val="18"/>
                <w:szCs w:val="18"/>
              </w:rPr>
              <w:t>m</w:t>
            </w:r>
            <w:r w:rsidRPr="00276295">
              <w:rPr>
                <w:spacing w:val="-1"/>
                <w:sz w:val="18"/>
                <w:szCs w:val="18"/>
              </w:rPr>
              <w:t>l</w:t>
            </w:r>
            <w:r w:rsidRPr="00276295">
              <w:rPr>
                <w:sz w:val="18"/>
                <w:szCs w:val="18"/>
              </w:rPr>
              <w:t xml:space="preserve">ah </w:t>
            </w:r>
            <w:r w:rsidRPr="00276295">
              <w:rPr>
                <w:spacing w:val="1"/>
                <w:sz w:val="18"/>
                <w:szCs w:val="18"/>
              </w:rPr>
              <w:t>r</w:t>
            </w:r>
            <w:r w:rsidRPr="00276295">
              <w:rPr>
                <w:sz w:val="18"/>
                <w:szCs w:val="18"/>
              </w:rPr>
              <w:t>at</w:t>
            </w:r>
            <w:r w:rsidRPr="00276295">
              <w:rPr>
                <w:spacing w:val="3"/>
                <w:sz w:val="18"/>
                <w:szCs w:val="18"/>
              </w:rPr>
              <w:t>a</w:t>
            </w:r>
            <w:r w:rsidRPr="00276295">
              <w:rPr>
                <w:spacing w:val="1"/>
                <w:sz w:val="18"/>
                <w:szCs w:val="18"/>
              </w:rPr>
              <w:t>-r</w:t>
            </w:r>
            <w:r w:rsidRPr="00276295">
              <w:rPr>
                <w:sz w:val="18"/>
                <w:szCs w:val="18"/>
              </w:rPr>
              <w:t>a</w:t>
            </w:r>
            <w:r w:rsidRPr="00276295">
              <w:rPr>
                <w:spacing w:val="2"/>
                <w:sz w:val="18"/>
                <w:szCs w:val="18"/>
              </w:rPr>
              <w:t>t</w:t>
            </w:r>
            <w:r w:rsidRPr="00276295">
              <w:rPr>
                <w:sz w:val="18"/>
                <w:szCs w:val="18"/>
              </w:rPr>
              <w:t>a tert</w:t>
            </w:r>
            <w:r w:rsidRPr="00276295">
              <w:rPr>
                <w:spacing w:val="-1"/>
                <w:sz w:val="18"/>
                <w:szCs w:val="18"/>
              </w:rPr>
              <w:t>i</w:t>
            </w:r>
            <w:r w:rsidRPr="00276295">
              <w:rPr>
                <w:spacing w:val="4"/>
                <w:sz w:val="18"/>
                <w:szCs w:val="18"/>
              </w:rPr>
              <w:t>m</w:t>
            </w:r>
            <w:r w:rsidRPr="00276295">
              <w:rPr>
                <w:sz w:val="18"/>
                <w:szCs w:val="18"/>
              </w:rPr>
              <w:t>b</w:t>
            </w:r>
            <w:r w:rsidRPr="00276295">
              <w:rPr>
                <w:spacing w:val="-1"/>
                <w:sz w:val="18"/>
                <w:szCs w:val="18"/>
              </w:rPr>
              <w:t>a</w:t>
            </w:r>
            <w:r w:rsidRPr="00276295">
              <w:rPr>
                <w:sz w:val="18"/>
                <w:szCs w:val="18"/>
              </w:rPr>
              <w:t xml:space="preserve">ng </w:t>
            </w:r>
            <w:r w:rsidRPr="00276295">
              <w:rPr>
                <w:spacing w:val="1"/>
                <w:sz w:val="18"/>
                <w:szCs w:val="18"/>
              </w:rPr>
              <w:t>s</w:t>
            </w:r>
            <w:r w:rsidRPr="00276295">
              <w:rPr>
                <w:sz w:val="18"/>
                <w:szCs w:val="18"/>
              </w:rPr>
              <w:t>a</w:t>
            </w:r>
            <w:r w:rsidRPr="00276295">
              <w:rPr>
                <w:spacing w:val="-1"/>
                <w:sz w:val="18"/>
                <w:szCs w:val="18"/>
              </w:rPr>
              <w:t>h</w:t>
            </w:r>
            <w:r w:rsidRPr="00276295">
              <w:rPr>
                <w:sz w:val="18"/>
                <w:szCs w:val="18"/>
              </w:rPr>
              <w:t>am</w:t>
            </w:r>
            <w:r w:rsidRPr="00276295">
              <w:rPr>
                <w:spacing w:val="8"/>
                <w:sz w:val="18"/>
                <w:szCs w:val="18"/>
              </w:rPr>
              <w:t xml:space="preserve"> </w:t>
            </w:r>
            <w:r w:rsidRPr="00276295">
              <w:rPr>
                <w:sz w:val="18"/>
                <w:szCs w:val="18"/>
              </w:rPr>
              <w:t>b</w:t>
            </w:r>
            <w:r w:rsidRPr="00276295">
              <w:rPr>
                <w:spacing w:val="-1"/>
                <w:sz w:val="18"/>
                <w:szCs w:val="18"/>
              </w:rPr>
              <w:t>i</w:t>
            </w:r>
            <w:r w:rsidRPr="00276295">
              <w:rPr>
                <w:sz w:val="18"/>
                <w:szCs w:val="18"/>
              </w:rPr>
              <w:t>a</w:t>
            </w:r>
            <w:r w:rsidRPr="00276295">
              <w:rPr>
                <w:spacing w:val="1"/>
                <w:sz w:val="18"/>
                <w:szCs w:val="18"/>
              </w:rPr>
              <w:t>s</w:t>
            </w:r>
            <w:r w:rsidRPr="00276295">
              <w:rPr>
                <w:sz w:val="18"/>
                <w:szCs w:val="18"/>
              </w:rPr>
              <w:t>a</w:t>
            </w:r>
            <w:r w:rsidRPr="00276295">
              <w:rPr>
                <w:spacing w:val="10"/>
                <w:sz w:val="18"/>
                <w:szCs w:val="18"/>
              </w:rPr>
              <w:t xml:space="preserve"> </w:t>
            </w:r>
            <w:r w:rsidRPr="00276295">
              <w:rPr>
                <w:spacing w:val="-1"/>
                <w:sz w:val="18"/>
                <w:szCs w:val="18"/>
              </w:rPr>
              <w:t>y</w:t>
            </w:r>
            <w:r w:rsidRPr="00276295">
              <w:rPr>
                <w:sz w:val="18"/>
                <w:szCs w:val="18"/>
              </w:rPr>
              <w:t>a</w:t>
            </w:r>
            <w:r w:rsidRPr="00276295">
              <w:rPr>
                <w:spacing w:val="-1"/>
                <w:sz w:val="18"/>
                <w:szCs w:val="18"/>
              </w:rPr>
              <w:t>n</w:t>
            </w:r>
            <w:r w:rsidRPr="00276295">
              <w:rPr>
                <w:sz w:val="18"/>
                <w:szCs w:val="18"/>
              </w:rPr>
              <w:t>g</w:t>
            </w:r>
            <w:r w:rsidRPr="00276295">
              <w:rPr>
                <w:spacing w:val="5"/>
                <w:sz w:val="18"/>
                <w:szCs w:val="18"/>
              </w:rPr>
              <w:t xml:space="preserve"> </w:t>
            </w:r>
            <w:r w:rsidRPr="00276295">
              <w:rPr>
                <w:spacing w:val="2"/>
                <w:sz w:val="18"/>
                <w:szCs w:val="18"/>
              </w:rPr>
              <w:t>be</w:t>
            </w:r>
            <w:r w:rsidRPr="00276295">
              <w:rPr>
                <w:spacing w:val="1"/>
                <w:sz w:val="18"/>
                <w:szCs w:val="18"/>
              </w:rPr>
              <w:t>r</w:t>
            </w:r>
            <w:r w:rsidRPr="00276295">
              <w:rPr>
                <w:sz w:val="18"/>
                <w:szCs w:val="18"/>
              </w:rPr>
              <w:t>e</w:t>
            </w:r>
            <w:r w:rsidRPr="00276295">
              <w:rPr>
                <w:spacing w:val="-1"/>
                <w:sz w:val="18"/>
                <w:szCs w:val="18"/>
              </w:rPr>
              <w:t>d</w:t>
            </w:r>
            <w:r w:rsidRPr="00276295">
              <w:rPr>
                <w:sz w:val="18"/>
                <w:szCs w:val="18"/>
              </w:rPr>
              <w:t>ar</w:t>
            </w:r>
            <w:r w:rsidRPr="00276295">
              <w:rPr>
                <w:spacing w:val="4"/>
                <w:sz w:val="18"/>
                <w:szCs w:val="18"/>
              </w:rPr>
              <w:t xml:space="preserve"> </w:t>
            </w:r>
            <w:r w:rsidRPr="00276295">
              <w:rPr>
                <w:spacing w:val="2"/>
                <w:sz w:val="18"/>
                <w:szCs w:val="18"/>
              </w:rPr>
              <w:t>d</w:t>
            </w:r>
            <w:r w:rsidRPr="00276295">
              <w:rPr>
                <w:sz w:val="18"/>
                <w:szCs w:val="18"/>
              </w:rPr>
              <w:t>a</w:t>
            </w:r>
            <w:r w:rsidRPr="00276295">
              <w:rPr>
                <w:spacing w:val="1"/>
                <w:sz w:val="18"/>
                <w:szCs w:val="18"/>
              </w:rPr>
              <w:t>l</w:t>
            </w:r>
            <w:r w:rsidRPr="00276295">
              <w:rPr>
                <w:spacing w:val="-3"/>
                <w:sz w:val="18"/>
                <w:szCs w:val="18"/>
              </w:rPr>
              <w:t>a</w:t>
            </w:r>
            <w:r w:rsidRPr="00276295">
              <w:rPr>
                <w:sz w:val="18"/>
                <w:szCs w:val="18"/>
              </w:rPr>
              <w:t xml:space="preserve">m </w:t>
            </w:r>
            <w:r w:rsidRPr="00276295">
              <w:rPr>
                <w:spacing w:val="1"/>
                <w:sz w:val="18"/>
                <w:szCs w:val="18"/>
              </w:rPr>
              <w:t>s</w:t>
            </w:r>
            <w:r w:rsidRPr="00276295">
              <w:rPr>
                <w:sz w:val="18"/>
                <w:szCs w:val="18"/>
              </w:rPr>
              <w:t>u</w:t>
            </w:r>
            <w:r w:rsidRPr="00276295">
              <w:rPr>
                <w:spacing w:val="-1"/>
                <w:sz w:val="18"/>
                <w:szCs w:val="18"/>
              </w:rPr>
              <w:t>a</w:t>
            </w:r>
            <w:r w:rsidRPr="00276295">
              <w:rPr>
                <w:sz w:val="18"/>
                <w:szCs w:val="18"/>
              </w:rPr>
              <w:t>tu</w:t>
            </w:r>
            <w:r w:rsidRPr="00276295">
              <w:rPr>
                <w:spacing w:val="-6"/>
                <w:sz w:val="18"/>
                <w:szCs w:val="18"/>
              </w:rPr>
              <w:t xml:space="preserve"> </w:t>
            </w:r>
            <w:r w:rsidRPr="00276295">
              <w:rPr>
                <w:spacing w:val="2"/>
                <w:sz w:val="18"/>
                <w:szCs w:val="18"/>
              </w:rPr>
              <w:t>p</w:t>
            </w:r>
            <w:r w:rsidRPr="00276295">
              <w:rPr>
                <w:sz w:val="18"/>
                <w:szCs w:val="18"/>
              </w:rPr>
              <w:t>eri</w:t>
            </w:r>
            <w:r w:rsidRPr="00276295">
              <w:rPr>
                <w:spacing w:val="1"/>
                <w:sz w:val="18"/>
                <w:szCs w:val="18"/>
              </w:rPr>
              <w:t>o</w:t>
            </w:r>
            <w:r w:rsidRPr="00276295">
              <w:rPr>
                <w:sz w:val="18"/>
                <w:szCs w:val="18"/>
              </w:rPr>
              <w:t>d</w:t>
            </w:r>
            <w:r w:rsidRPr="00276295">
              <w:rPr>
                <w:spacing w:val="-1"/>
                <w:sz w:val="18"/>
                <w:szCs w:val="18"/>
              </w:rPr>
              <w:t>e</w:t>
            </w:r>
            <w:r w:rsidRPr="00276295">
              <w:rPr>
                <w:sz w:val="18"/>
                <w:szCs w:val="18"/>
              </w:rPr>
              <w:t>.</w:t>
            </w:r>
          </w:p>
        </w:tc>
        <w:tc>
          <w:tcPr>
            <w:tcW w:w="4708" w:type="dxa"/>
          </w:tcPr>
          <w:p w14:paraId="6A9A55C8" w14:textId="77777777" w:rsidR="006977B6" w:rsidRPr="00276295" w:rsidRDefault="006977B6" w:rsidP="00D215E4">
            <w:pPr>
              <w:pStyle w:val="ListParagraph"/>
              <w:tabs>
                <w:tab w:val="left" w:pos="5590"/>
                <w:tab w:val="right" w:pos="7620"/>
                <w:tab w:val="right" w:pos="9460"/>
                <w:tab w:val="right" w:pos="10080"/>
              </w:tabs>
              <w:ind w:left="567" w:right="-57"/>
              <w:jc w:val="both"/>
              <w:rPr>
                <w:bCs w:val="0"/>
                <w:i/>
                <w:sz w:val="18"/>
                <w:szCs w:val="18"/>
              </w:rPr>
            </w:pPr>
            <w:r w:rsidRPr="00276295">
              <w:rPr>
                <w:i/>
                <w:iCs/>
                <w:spacing w:val="-1"/>
                <w:sz w:val="18"/>
                <w:szCs w:val="18"/>
              </w:rPr>
              <w:t>B</w:t>
            </w:r>
            <w:r w:rsidRPr="00276295">
              <w:rPr>
                <w:i/>
                <w:iCs/>
                <w:sz w:val="18"/>
                <w:szCs w:val="18"/>
              </w:rPr>
              <w:t>a</w:t>
            </w:r>
            <w:r w:rsidRPr="00276295">
              <w:rPr>
                <w:i/>
                <w:iCs/>
                <w:spacing w:val="1"/>
                <w:sz w:val="18"/>
                <w:szCs w:val="18"/>
              </w:rPr>
              <w:t>s</w:t>
            </w:r>
            <w:r w:rsidRPr="00276295">
              <w:rPr>
                <w:i/>
                <w:iCs/>
                <w:spacing w:val="-1"/>
                <w:sz w:val="18"/>
                <w:szCs w:val="18"/>
              </w:rPr>
              <w:t>i</w:t>
            </w:r>
            <w:r w:rsidRPr="00276295">
              <w:rPr>
                <w:i/>
                <w:iCs/>
                <w:sz w:val="18"/>
                <w:szCs w:val="18"/>
              </w:rPr>
              <w:t>c</w:t>
            </w:r>
            <w:r w:rsidRPr="00276295">
              <w:rPr>
                <w:i/>
                <w:iCs/>
                <w:spacing w:val="5"/>
                <w:sz w:val="18"/>
                <w:szCs w:val="18"/>
              </w:rPr>
              <w:t xml:space="preserve"> </w:t>
            </w:r>
            <w:r w:rsidRPr="00276295">
              <w:rPr>
                <w:i/>
                <w:iCs/>
                <w:sz w:val="18"/>
                <w:szCs w:val="18"/>
              </w:rPr>
              <w:t>e</w:t>
            </w:r>
            <w:r w:rsidRPr="00276295">
              <w:rPr>
                <w:i/>
                <w:iCs/>
                <w:spacing w:val="-1"/>
                <w:sz w:val="18"/>
                <w:szCs w:val="18"/>
              </w:rPr>
              <w:t>a</w:t>
            </w:r>
            <w:r w:rsidRPr="00276295">
              <w:rPr>
                <w:i/>
                <w:iCs/>
                <w:spacing w:val="3"/>
                <w:sz w:val="18"/>
                <w:szCs w:val="18"/>
              </w:rPr>
              <w:t>r</w:t>
            </w:r>
            <w:r w:rsidRPr="00276295">
              <w:rPr>
                <w:i/>
                <w:iCs/>
                <w:sz w:val="18"/>
                <w:szCs w:val="18"/>
              </w:rPr>
              <w:t>n</w:t>
            </w:r>
            <w:r w:rsidRPr="00276295">
              <w:rPr>
                <w:i/>
                <w:iCs/>
                <w:spacing w:val="-1"/>
                <w:sz w:val="18"/>
                <w:szCs w:val="18"/>
              </w:rPr>
              <w:t>i</w:t>
            </w:r>
            <w:r w:rsidRPr="00276295">
              <w:rPr>
                <w:i/>
                <w:iCs/>
                <w:spacing w:val="2"/>
                <w:sz w:val="18"/>
                <w:szCs w:val="18"/>
              </w:rPr>
              <w:t>n</w:t>
            </w:r>
            <w:r w:rsidRPr="00276295">
              <w:rPr>
                <w:i/>
                <w:iCs/>
                <w:sz w:val="18"/>
                <w:szCs w:val="18"/>
              </w:rPr>
              <w:t>gs</w:t>
            </w:r>
            <w:r w:rsidRPr="00276295">
              <w:rPr>
                <w:i/>
                <w:iCs/>
                <w:spacing w:val="2"/>
                <w:sz w:val="18"/>
                <w:szCs w:val="18"/>
              </w:rPr>
              <w:t xml:space="preserve"> </w:t>
            </w:r>
            <w:r w:rsidRPr="00276295">
              <w:rPr>
                <w:i/>
                <w:iCs/>
                <w:sz w:val="18"/>
                <w:szCs w:val="18"/>
              </w:rPr>
              <w:t>p</w:t>
            </w:r>
            <w:r w:rsidRPr="00276295">
              <w:rPr>
                <w:i/>
                <w:iCs/>
                <w:spacing w:val="-1"/>
                <w:sz w:val="18"/>
                <w:szCs w:val="18"/>
              </w:rPr>
              <w:t>e</w:t>
            </w:r>
            <w:r w:rsidRPr="00276295">
              <w:rPr>
                <w:i/>
                <w:iCs/>
                <w:sz w:val="18"/>
                <w:szCs w:val="18"/>
              </w:rPr>
              <w:t>r</w:t>
            </w:r>
            <w:r w:rsidRPr="00276295">
              <w:rPr>
                <w:i/>
                <w:iCs/>
                <w:spacing w:val="7"/>
                <w:sz w:val="18"/>
                <w:szCs w:val="18"/>
              </w:rPr>
              <w:t xml:space="preserve"> </w:t>
            </w:r>
            <w:r w:rsidRPr="00276295">
              <w:rPr>
                <w:i/>
                <w:iCs/>
                <w:spacing w:val="1"/>
                <w:sz w:val="18"/>
                <w:szCs w:val="18"/>
              </w:rPr>
              <w:t>s</w:t>
            </w:r>
            <w:r w:rsidRPr="00276295">
              <w:rPr>
                <w:i/>
                <w:iCs/>
                <w:sz w:val="18"/>
                <w:szCs w:val="18"/>
              </w:rPr>
              <w:t>h</w:t>
            </w:r>
            <w:r w:rsidRPr="00276295">
              <w:rPr>
                <w:i/>
                <w:iCs/>
                <w:spacing w:val="-1"/>
                <w:sz w:val="18"/>
                <w:szCs w:val="18"/>
              </w:rPr>
              <w:t>a</w:t>
            </w:r>
            <w:r w:rsidRPr="00276295">
              <w:rPr>
                <w:i/>
                <w:iCs/>
                <w:spacing w:val="3"/>
                <w:sz w:val="18"/>
                <w:szCs w:val="18"/>
              </w:rPr>
              <w:t>r</w:t>
            </w:r>
            <w:r w:rsidRPr="00276295">
              <w:rPr>
                <w:i/>
                <w:iCs/>
                <w:sz w:val="18"/>
                <w:szCs w:val="18"/>
              </w:rPr>
              <w:t>e</w:t>
            </w:r>
            <w:r w:rsidRPr="00276295">
              <w:rPr>
                <w:i/>
                <w:iCs/>
                <w:spacing w:val="4"/>
                <w:sz w:val="18"/>
                <w:szCs w:val="18"/>
              </w:rPr>
              <w:t xml:space="preserve"> </w:t>
            </w:r>
            <w:r w:rsidRPr="00276295">
              <w:rPr>
                <w:i/>
                <w:iCs/>
                <w:spacing w:val="-1"/>
                <w:sz w:val="18"/>
                <w:szCs w:val="18"/>
              </w:rPr>
              <w:t>i</w:t>
            </w:r>
            <w:r w:rsidRPr="00276295">
              <w:rPr>
                <w:i/>
                <w:iCs/>
                <w:sz w:val="18"/>
                <w:szCs w:val="18"/>
              </w:rPr>
              <w:t>s</w:t>
            </w:r>
            <w:r w:rsidRPr="00276295">
              <w:rPr>
                <w:i/>
                <w:iCs/>
                <w:spacing w:val="8"/>
                <w:sz w:val="18"/>
                <w:szCs w:val="18"/>
              </w:rPr>
              <w:t xml:space="preserve"> </w:t>
            </w:r>
            <w:r w:rsidRPr="00276295">
              <w:rPr>
                <w:i/>
                <w:iCs/>
                <w:spacing w:val="1"/>
                <w:sz w:val="18"/>
                <w:szCs w:val="18"/>
              </w:rPr>
              <w:t>c</w:t>
            </w:r>
            <w:r w:rsidRPr="00276295">
              <w:rPr>
                <w:i/>
                <w:iCs/>
                <w:sz w:val="18"/>
                <w:szCs w:val="18"/>
              </w:rPr>
              <w:t>o</w:t>
            </w:r>
            <w:r w:rsidRPr="00276295">
              <w:rPr>
                <w:i/>
                <w:iCs/>
                <w:spacing w:val="-1"/>
                <w:sz w:val="18"/>
                <w:szCs w:val="18"/>
              </w:rPr>
              <w:t>m</w:t>
            </w:r>
            <w:r w:rsidRPr="00276295">
              <w:rPr>
                <w:i/>
                <w:iCs/>
                <w:spacing w:val="2"/>
                <w:sz w:val="18"/>
                <w:szCs w:val="18"/>
              </w:rPr>
              <w:t>p</w:t>
            </w:r>
            <w:r w:rsidRPr="00276295">
              <w:rPr>
                <w:i/>
                <w:iCs/>
                <w:sz w:val="18"/>
                <w:szCs w:val="18"/>
              </w:rPr>
              <w:t>ut</w:t>
            </w:r>
            <w:r w:rsidRPr="00276295">
              <w:rPr>
                <w:i/>
                <w:iCs/>
                <w:spacing w:val="1"/>
                <w:sz w:val="18"/>
                <w:szCs w:val="18"/>
              </w:rPr>
              <w:t>e</w:t>
            </w:r>
            <w:r w:rsidRPr="00276295">
              <w:rPr>
                <w:i/>
                <w:iCs/>
                <w:sz w:val="18"/>
                <w:szCs w:val="18"/>
              </w:rPr>
              <w:t>d by d</w:t>
            </w:r>
            <w:r w:rsidRPr="00276295">
              <w:rPr>
                <w:i/>
                <w:iCs/>
                <w:spacing w:val="-1"/>
                <w:sz w:val="18"/>
                <w:szCs w:val="18"/>
              </w:rPr>
              <w:t>i</w:t>
            </w:r>
            <w:r w:rsidRPr="00276295">
              <w:rPr>
                <w:i/>
                <w:iCs/>
                <w:spacing w:val="1"/>
                <w:sz w:val="18"/>
                <w:szCs w:val="18"/>
              </w:rPr>
              <w:t>v</w:t>
            </w:r>
            <w:r w:rsidRPr="00276295">
              <w:rPr>
                <w:i/>
                <w:iCs/>
                <w:spacing w:val="-1"/>
                <w:sz w:val="18"/>
                <w:szCs w:val="18"/>
              </w:rPr>
              <w:t>i</w:t>
            </w:r>
            <w:r w:rsidRPr="00276295">
              <w:rPr>
                <w:i/>
                <w:iCs/>
                <w:spacing w:val="2"/>
                <w:sz w:val="18"/>
                <w:szCs w:val="18"/>
              </w:rPr>
              <w:t>d</w:t>
            </w:r>
            <w:r w:rsidRPr="00276295">
              <w:rPr>
                <w:i/>
                <w:iCs/>
                <w:spacing w:val="-1"/>
                <w:sz w:val="18"/>
                <w:szCs w:val="18"/>
              </w:rPr>
              <w:t>i</w:t>
            </w:r>
            <w:r w:rsidRPr="00276295">
              <w:rPr>
                <w:i/>
                <w:iCs/>
                <w:spacing w:val="2"/>
                <w:sz w:val="18"/>
                <w:szCs w:val="18"/>
              </w:rPr>
              <w:t>n</w:t>
            </w:r>
            <w:r w:rsidRPr="00276295">
              <w:rPr>
                <w:i/>
                <w:iCs/>
                <w:sz w:val="18"/>
                <w:szCs w:val="18"/>
              </w:rPr>
              <w:t>g</w:t>
            </w:r>
            <w:r w:rsidRPr="00276295">
              <w:rPr>
                <w:i/>
                <w:iCs/>
                <w:spacing w:val="-3"/>
                <w:sz w:val="18"/>
                <w:szCs w:val="18"/>
              </w:rPr>
              <w:t xml:space="preserve"> </w:t>
            </w:r>
            <w:r w:rsidRPr="00276295">
              <w:rPr>
                <w:i/>
                <w:iCs/>
                <w:sz w:val="18"/>
                <w:szCs w:val="18"/>
              </w:rPr>
              <w:t>the</w:t>
            </w:r>
            <w:r w:rsidRPr="00276295">
              <w:rPr>
                <w:i/>
                <w:iCs/>
                <w:spacing w:val="1"/>
                <w:sz w:val="18"/>
                <w:szCs w:val="18"/>
              </w:rPr>
              <w:t xml:space="preserve"> </w:t>
            </w:r>
            <w:r w:rsidRPr="00276295">
              <w:rPr>
                <w:i/>
                <w:iCs/>
                <w:sz w:val="18"/>
                <w:szCs w:val="18"/>
              </w:rPr>
              <w:t>p</w:t>
            </w:r>
            <w:r w:rsidRPr="00276295">
              <w:rPr>
                <w:i/>
                <w:iCs/>
                <w:spacing w:val="3"/>
                <w:sz w:val="18"/>
                <w:szCs w:val="18"/>
              </w:rPr>
              <w:t>r</w:t>
            </w:r>
            <w:r w:rsidRPr="00276295">
              <w:rPr>
                <w:i/>
                <w:iCs/>
                <w:sz w:val="18"/>
                <w:szCs w:val="18"/>
              </w:rPr>
              <w:t>of</w:t>
            </w:r>
            <w:r w:rsidRPr="00276295">
              <w:rPr>
                <w:i/>
                <w:iCs/>
                <w:spacing w:val="-2"/>
                <w:sz w:val="18"/>
                <w:szCs w:val="18"/>
              </w:rPr>
              <w:t>i</w:t>
            </w:r>
            <w:r w:rsidRPr="00276295">
              <w:rPr>
                <w:i/>
                <w:iCs/>
                <w:sz w:val="18"/>
                <w:szCs w:val="18"/>
              </w:rPr>
              <w:t>t</w:t>
            </w:r>
            <w:r w:rsidRPr="00276295">
              <w:rPr>
                <w:i/>
                <w:iCs/>
                <w:spacing w:val="3"/>
                <w:sz w:val="18"/>
                <w:szCs w:val="18"/>
              </w:rPr>
              <w:t xml:space="preserve"> </w:t>
            </w:r>
            <w:r w:rsidRPr="00276295">
              <w:rPr>
                <w:i/>
                <w:iCs/>
                <w:sz w:val="18"/>
                <w:szCs w:val="18"/>
              </w:rPr>
              <w:t>or</w:t>
            </w:r>
            <w:r w:rsidRPr="00276295">
              <w:rPr>
                <w:i/>
                <w:iCs/>
                <w:spacing w:val="3"/>
                <w:sz w:val="18"/>
                <w:szCs w:val="18"/>
              </w:rPr>
              <w:t xml:space="preserve"> </w:t>
            </w:r>
            <w:r w:rsidRPr="00276295">
              <w:rPr>
                <w:i/>
                <w:iCs/>
                <w:spacing w:val="-1"/>
                <w:sz w:val="18"/>
                <w:szCs w:val="18"/>
              </w:rPr>
              <w:t>l</w:t>
            </w:r>
            <w:r w:rsidRPr="00276295">
              <w:rPr>
                <w:i/>
                <w:iCs/>
                <w:sz w:val="18"/>
                <w:szCs w:val="18"/>
              </w:rPr>
              <w:t>o</w:t>
            </w:r>
            <w:r w:rsidRPr="00276295">
              <w:rPr>
                <w:i/>
                <w:iCs/>
                <w:spacing w:val="1"/>
                <w:sz w:val="18"/>
                <w:szCs w:val="18"/>
              </w:rPr>
              <w:t>s</w:t>
            </w:r>
            <w:r w:rsidRPr="00276295">
              <w:rPr>
                <w:i/>
                <w:iCs/>
                <w:sz w:val="18"/>
                <w:szCs w:val="18"/>
              </w:rPr>
              <w:t>s</w:t>
            </w:r>
            <w:r w:rsidRPr="00276295">
              <w:rPr>
                <w:i/>
                <w:iCs/>
                <w:spacing w:val="1"/>
                <w:sz w:val="18"/>
                <w:szCs w:val="18"/>
              </w:rPr>
              <w:t xml:space="preserve"> </w:t>
            </w:r>
            <w:r w:rsidRPr="00276295">
              <w:rPr>
                <w:i/>
                <w:iCs/>
                <w:sz w:val="18"/>
                <w:szCs w:val="18"/>
              </w:rPr>
              <w:t>at</w:t>
            </w:r>
            <w:r w:rsidRPr="00276295">
              <w:rPr>
                <w:i/>
                <w:iCs/>
                <w:spacing w:val="1"/>
                <w:sz w:val="18"/>
                <w:szCs w:val="18"/>
              </w:rPr>
              <w:t>tr</w:t>
            </w:r>
            <w:r w:rsidRPr="00276295">
              <w:rPr>
                <w:i/>
                <w:iCs/>
                <w:spacing w:val="-1"/>
                <w:sz w:val="18"/>
                <w:szCs w:val="18"/>
              </w:rPr>
              <w:t>i</w:t>
            </w:r>
            <w:r w:rsidRPr="00276295">
              <w:rPr>
                <w:i/>
                <w:iCs/>
                <w:sz w:val="18"/>
                <w:szCs w:val="18"/>
              </w:rPr>
              <w:t>b</w:t>
            </w:r>
            <w:r w:rsidRPr="00276295">
              <w:rPr>
                <w:i/>
                <w:iCs/>
                <w:spacing w:val="-1"/>
                <w:sz w:val="18"/>
                <w:szCs w:val="18"/>
              </w:rPr>
              <w:t>u</w:t>
            </w:r>
            <w:r w:rsidRPr="00276295">
              <w:rPr>
                <w:i/>
                <w:iCs/>
                <w:sz w:val="18"/>
                <w:szCs w:val="18"/>
              </w:rPr>
              <w:t>t</w:t>
            </w:r>
            <w:r w:rsidRPr="00276295">
              <w:rPr>
                <w:i/>
                <w:iCs/>
                <w:spacing w:val="2"/>
                <w:sz w:val="18"/>
                <w:szCs w:val="18"/>
              </w:rPr>
              <w:t>a</w:t>
            </w:r>
            <w:r w:rsidRPr="00276295">
              <w:rPr>
                <w:i/>
                <w:iCs/>
                <w:sz w:val="18"/>
                <w:szCs w:val="18"/>
              </w:rPr>
              <w:t>b</w:t>
            </w:r>
            <w:r w:rsidRPr="00276295">
              <w:rPr>
                <w:i/>
                <w:iCs/>
                <w:spacing w:val="1"/>
                <w:sz w:val="18"/>
                <w:szCs w:val="18"/>
              </w:rPr>
              <w:t>l</w:t>
            </w:r>
            <w:r w:rsidRPr="00276295">
              <w:rPr>
                <w:i/>
                <w:iCs/>
                <w:sz w:val="18"/>
                <w:szCs w:val="18"/>
              </w:rPr>
              <w:t>e</w:t>
            </w:r>
            <w:r w:rsidRPr="00276295">
              <w:rPr>
                <w:i/>
                <w:iCs/>
                <w:spacing w:val="-6"/>
                <w:sz w:val="18"/>
                <w:szCs w:val="18"/>
              </w:rPr>
              <w:t xml:space="preserve"> </w:t>
            </w:r>
            <w:r w:rsidRPr="00276295">
              <w:rPr>
                <w:i/>
                <w:iCs/>
                <w:sz w:val="18"/>
                <w:szCs w:val="18"/>
              </w:rPr>
              <w:t>to</w:t>
            </w:r>
            <w:r w:rsidRPr="00276295">
              <w:rPr>
                <w:i/>
                <w:iCs/>
                <w:spacing w:val="2"/>
                <w:sz w:val="18"/>
                <w:szCs w:val="18"/>
              </w:rPr>
              <w:t xml:space="preserve"> </w:t>
            </w:r>
            <w:r w:rsidRPr="00276295">
              <w:rPr>
                <w:i/>
                <w:iCs/>
                <w:sz w:val="18"/>
                <w:szCs w:val="18"/>
              </w:rPr>
              <w:t>common stock</w:t>
            </w:r>
            <w:r w:rsidRPr="00276295">
              <w:rPr>
                <w:i/>
                <w:iCs/>
                <w:spacing w:val="2"/>
                <w:sz w:val="18"/>
                <w:szCs w:val="18"/>
              </w:rPr>
              <w:t xml:space="preserve"> </w:t>
            </w:r>
            <w:r w:rsidRPr="00276295">
              <w:rPr>
                <w:i/>
                <w:iCs/>
                <w:sz w:val="18"/>
                <w:szCs w:val="18"/>
              </w:rPr>
              <w:t>h</w:t>
            </w:r>
            <w:r w:rsidRPr="00276295">
              <w:rPr>
                <w:i/>
                <w:iCs/>
                <w:spacing w:val="1"/>
                <w:sz w:val="18"/>
                <w:szCs w:val="18"/>
              </w:rPr>
              <w:t>o</w:t>
            </w:r>
            <w:r w:rsidRPr="00276295">
              <w:rPr>
                <w:i/>
                <w:iCs/>
                <w:spacing w:val="-1"/>
                <w:sz w:val="18"/>
                <w:szCs w:val="18"/>
              </w:rPr>
              <w:t>l</w:t>
            </w:r>
            <w:r w:rsidRPr="00276295">
              <w:rPr>
                <w:i/>
                <w:iCs/>
                <w:sz w:val="18"/>
                <w:szCs w:val="18"/>
              </w:rPr>
              <w:t>d</w:t>
            </w:r>
            <w:r w:rsidRPr="00276295">
              <w:rPr>
                <w:i/>
                <w:iCs/>
                <w:spacing w:val="-1"/>
                <w:sz w:val="18"/>
                <w:szCs w:val="18"/>
              </w:rPr>
              <w:t>e</w:t>
            </w:r>
            <w:r w:rsidRPr="00276295">
              <w:rPr>
                <w:i/>
                <w:iCs/>
                <w:spacing w:val="1"/>
                <w:sz w:val="18"/>
                <w:szCs w:val="18"/>
              </w:rPr>
              <w:t>r</w:t>
            </w:r>
            <w:r w:rsidRPr="00276295">
              <w:rPr>
                <w:i/>
                <w:iCs/>
                <w:sz w:val="18"/>
                <w:szCs w:val="18"/>
              </w:rPr>
              <w:t>s</w:t>
            </w:r>
            <w:r w:rsidRPr="00276295">
              <w:rPr>
                <w:i/>
                <w:iCs/>
                <w:spacing w:val="1"/>
                <w:sz w:val="18"/>
                <w:szCs w:val="18"/>
              </w:rPr>
              <w:t xml:space="preserve"> </w:t>
            </w:r>
            <w:r w:rsidRPr="00276295">
              <w:rPr>
                <w:i/>
                <w:iCs/>
                <w:spacing w:val="2"/>
                <w:sz w:val="18"/>
                <w:szCs w:val="18"/>
              </w:rPr>
              <w:t>o</w:t>
            </w:r>
            <w:r w:rsidRPr="00276295">
              <w:rPr>
                <w:i/>
                <w:iCs/>
                <w:sz w:val="18"/>
                <w:szCs w:val="18"/>
              </w:rPr>
              <w:t>f</w:t>
            </w:r>
            <w:r w:rsidRPr="00276295">
              <w:rPr>
                <w:i/>
                <w:iCs/>
                <w:spacing w:val="5"/>
                <w:sz w:val="18"/>
                <w:szCs w:val="18"/>
              </w:rPr>
              <w:t xml:space="preserve"> </w:t>
            </w:r>
            <w:r w:rsidRPr="00276295">
              <w:rPr>
                <w:i/>
                <w:iCs/>
                <w:sz w:val="18"/>
                <w:szCs w:val="18"/>
              </w:rPr>
              <w:t>t</w:t>
            </w:r>
            <w:r w:rsidRPr="00276295">
              <w:rPr>
                <w:i/>
                <w:iCs/>
                <w:spacing w:val="2"/>
                <w:sz w:val="18"/>
                <w:szCs w:val="18"/>
              </w:rPr>
              <w:t>h</w:t>
            </w:r>
            <w:r w:rsidRPr="00276295">
              <w:rPr>
                <w:i/>
                <w:iCs/>
                <w:sz w:val="18"/>
                <w:szCs w:val="18"/>
              </w:rPr>
              <w:t>e</w:t>
            </w:r>
            <w:r w:rsidRPr="00276295">
              <w:rPr>
                <w:i/>
                <w:iCs/>
                <w:spacing w:val="3"/>
                <w:sz w:val="18"/>
                <w:szCs w:val="18"/>
              </w:rPr>
              <w:t xml:space="preserve"> </w:t>
            </w:r>
            <w:r w:rsidRPr="00276295">
              <w:rPr>
                <w:i/>
                <w:iCs/>
                <w:sz w:val="18"/>
                <w:szCs w:val="18"/>
              </w:rPr>
              <w:t xml:space="preserve">Parent </w:t>
            </w:r>
            <w:r w:rsidRPr="00276295">
              <w:rPr>
                <w:i/>
                <w:iCs/>
                <w:spacing w:val="2"/>
                <w:sz w:val="18"/>
                <w:szCs w:val="18"/>
              </w:rPr>
              <w:t>E</w:t>
            </w:r>
            <w:r w:rsidRPr="00276295">
              <w:rPr>
                <w:i/>
                <w:iCs/>
                <w:sz w:val="18"/>
                <w:szCs w:val="18"/>
              </w:rPr>
              <w:t>nt</w:t>
            </w:r>
            <w:r w:rsidRPr="00276295">
              <w:rPr>
                <w:i/>
                <w:iCs/>
                <w:spacing w:val="1"/>
                <w:sz w:val="18"/>
                <w:szCs w:val="18"/>
              </w:rPr>
              <w:t>i</w:t>
            </w:r>
            <w:r w:rsidRPr="00276295">
              <w:rPr>
                <w:i/>
                <w:iCs/>
                <w:sz w:val="18"/>
                <w:szCs w:val="18"/>
              </w:rPr>
              <w:t>ty</w:t>
            </w:r>
            <w:r w:rsidRPr="00276295">
              <w:rPr>
                <w:i/>
                <w:iCs/>
                <w:spacing w:val="3"/>
                <w:sz w:val="18"/>
                <w:szCs w:val="18"/>
              </w:rPr>
              <w:t xml:space="preserve"> </w:t>
            </w:r>
            <w:r w:rsidRPr="00276295">
              <w:rPr>
                <w:i/>
                <w:iCs/>
                <w:sz w:val="18"/>
                <w:szCs w:val="18"/>
              </w:rPr>
              <w:t>by</w:t>
            </w:r>
            <w:r w:rsidRPr="00276295">
              <w:rPr>
                <w:i/>
                <w:iCs/>
                <w:spacing w:val="5"/>
                <w:sz w:val="18"/>
                <w:szCs w:val="18"/>
              </w:rPr>
              <w:t xml:space="preserve"> </w:t>
            </w:r>
            <w:r w:rsidRPr="00276295">
              <w:rPr>
                <w:i/>
                <w:iCs/>
                <w:sz w:val="18"/>
                <w:szCs w:val="18"/>
              </w:rPr>
              <w:t>t</w:t>
            </w:r>
            <w:r w:rsidRPr="00276295">
              <w:rPr>
                <w:i/>
                <w:iCs/>
                <w:spacing w:val="2"/>
                <w:sz w:val="18"/>
                <w:szCs w:val="18"/>
              </w:rPr>
              <w:t>h</w:t>
            </w:r>
            <w:r w:rsidRPr="00276295">
              <w:rPr>
                <w:i/>
                <w:iCs/>
                <w:sz w:val="18"/>
                <w:szCs w:val="18"/>
              </w:rPr>
              <w:t>e we</w:t>
            </w:r>
            <w:r w:rsidRPr="00276295">
              <w:rPr>
                <w:i/>
                <w:iCs/>
                <w:spacing w:val="-1"/>
                <w:sz w:val="18"/>
                <w:szCs w:val="18"/>
              </w:rPr>
              <w:t>i</w:t>
            </w:r>
            <w:r w:rsidRPr="00276295">
              <w:rPr>
                <w:i/>
                <w:iCs/>
                <w:spacing w:val="2"/>
                <w:sz w:val="18"/>
                <w:szCs w:val="18"/>
              </w:rPr>
              <w:t>g</w:t>
            </w:r>
            <w:r w:rsidRPr="00276295">
              <w:rPr>
                <w:i/>
                <w:iCs/>
                <w:sz w:val="18"/>
                <w:szCs w:val="18"/>
              </w:rPr>
              <w:t>ht</w:t>
            </w:r>
            <w:r w:rsidRPr="00276295">
              <w:rPr>
                <w:i/>
                <w:iCs/>
                <w:spacing w:val="1"/>
                <w:sz w:val="18"/>
                <w:szCs w:val="18"/>
              </w:rPr>
              <w:t>e</w:t>
            </w:r>
            <w:r w:rsidRPr="00276295">
              <w:rPr>
                <w:i/>
                <w:iCs/>
                <w:sz w:val="18"/>
                <w:szCs w:val="18"/>
              </w:rPr>
              <w:t>d a</w:t>
            </w:r>
            <w:r w:rsidRPr="00276295">
              <w:rPr>
                <w:i/>
                <w:iCs/>
                <w:spacing w:val="1"/>
                <w:sz w:val="18"/>
                <w:szCs w:val="18"/>
              </w:rPr>
              <w:t>v</w:t>
            </w:r>
            <w:r w:rsidRPr="00276295">
              <w:rPr>
                <w:i/>
                <w:iCs/>
                <w:sz w:val="18"/>
                <w:szCs w:val="18"/>
              </w:rPr>
              <w:t>era</w:t>
            </w:r>
            <w:r w:rsidRPr="00276295">
              <w:rPr>
                <w:i/>
                <w:iCs/>
                <w:spacing w:val="2"/>
                <w:sz w:val="18"/>
                <w:szCs w:val="18"/>
              </w:rPr>
              <w:t>g</w:t>
            </w:r>
            <w:r w:rsidRPr="00276295">
              <w:rPr>
                <w:i/>
                <w:iCs/>
                <w:sz w:val="18"/>
                <w:szCs w:val="18"/>
              </w:rPr>
              <w:t>e</w:t>
            </w:r>
            <w:r w:rsidRPr="00276295">
              <w:rPr>
                <w:i/>
                <w:iCs/>
                <w:spacing w:val="1"/>
                <w:sz w:val="18"/>
                <w:szCs w:val="18"/>
              </w:rPr>
              <w:t xml:space="preserve"> </w:t>
            </w:r>
            <w:r w:rsidRPr="00276295">
              <w:rPr>
                <w:i/>
                <w:iCs/>
                <w:sz w:val="18"/>
                <w:szCs w:val="18"/>
              </w:rPr>
              <w:t>n</w:t>
            </w:r>
            <w:r w:rsidRPr="00276295">
              <w:rPr>
                <w:i/>
                <w:iCs/>
                <w:spacing w:val="1"/>
                <w:sz w:val="18"/>
                <w:szCs w:val="18"/>
              </w:rPr>
              <w:t>u</w:t>
            </w:r>
            <w:r w:rsidRPr="00276295">
              <w:rPr>
                <w:i/>
                <w:iCs/>
                <w:sz w:val="18"/>
                <w:szCs w:val="18"/>
              </w:rPr>
              <w:t>m</w:t>
            </w:r>
            <w:r w:rsidRPr="00276295">
              <w:rPr>
                <w:i/>
                <w:iCs/>
                <w:spacing w:val="-1"/>
                <w:sz w:val="18"/>
                <w:szCs w:val="18"/>
              </w:rPr>
              <w:t>b</w:t>
            </w:r>
            <w:r w:rsidRPr="00276295">
              <w:rPr>
                <w:i/>
                <w:iCs/>
                <w:sz w:val="18"/>
                <w:szCs w:val="18"/>
              </w:rPr>
              <w:t>er</w:t>
            </w:r>
            <w:r w:rsidRPr="00276295">
              <w:rPr>
                <w:i/>
                <w:iCs/>
                <w:spacing w:val="4"/>
                <w:sz w:val="18"/>
                <w:szCs w:val="18"/>
              </w:rPr>
              <w:t xml:space="preserve"> </w:t>
            </w:r>
            <w:r w:rsidRPr="00276295">
              <w:rPr>
                <w:i/>
                <w:iCs/>
                <w:sz w:val="18"/>
                <w:szCs w:val="18"/>
              </w:rPr>
              <w:t>of</w:t>
            </w:r>
            <w:r w:rsidRPr="00276295">
              <w:rPr>
                <w:i/>
                <w:iCs/>
                <w:spacing w:val="5"/>
                <w:sz w:val="18"/>
                <w:szCs w:val="18"/>
              </w:rPr>
              <w:t xml:space="preserve"> </w:t>
            </w:r>
            <w:r w:rsidRPr="00276295">
              <w:rPr>
                <w:i/>
                <w:iCs/>
                <w:sz w:val="18"/>
                <w:szCs w:val="18"/>
              </w:rPr>
              <w:t>common stock o</w:t>
            </w:r>
            <w:r w:rsidRPr="00276295">
              <w:rPr>
                <w:i/>
                <w:iCs/>
                <w:spacing w:val="-1"/>
                <w:sz w:val="18"/>
                <w:szCs w:val="18"/>
              </w:rPr>
              <w:t>u</w:t>
            </w:r>
            <w:r w:rsidRPr="00276295">
              <w:rPr>
                <w:i/>
                <w:iCs/>
                <w:sz w:val="18"/>
                <w:szCs w:val="18"/>
              </w:rPr>
              <w:t>t</w:t>
            </w:r>
            <w:r w:rsidRPr="00276295">
              <w:rPr>
                <w:i/>
                <w:iCs/>
                <w:spacing w:val="1"/>
                <w:sz w:val="18"/>
                <w:szCs w:val="18"/>
              </w:rPr>
              <w:t>s</w:t>
            </w:r>
            <w:r w:rsidRPr="00276295">
              <w:rPr>
                <w:i/>
                <w:iCs/>
                <w:sz w:val="18"/>
                <w:szCs w:val="18"/>
              </w:rPr>
              <w:t>ta</w:t>
            </w:r>
            <w:r w:rsidRPr="00276295">
              <w:rPr>
                <w:i/>
                <w:iCs/>
                <w:spacing w:val="1"/>
                <w:sz w:val="18"/>
                <w:szCs w:val="18"/>
              </w:rPr>
              <w:t>n</w:t>
            </w:r>
            <w:r w:rsidRPr="00276295">
              <w:rPr>
                <w:i/>
                <w:iCs/>
                <w:sz w:val="18"/>
                <w:szCs w:val="18"/>
              </w:rPr>
              <w:t>d</w:t>
            </w:r>
            <w:r w:rsidRPr="00276295">
              <w:rPr>
                <w:i/>
                <w:iCs/>
                <w:spacing w:val="1"/>
                <w:sz w:val="18"/>
                <w:szCs w:val="18"/>
              </w:rPr>
              <w:t>i</w:t>
            </w:r>
            <w:r w:rsidRPr="00276295">
              <w:rPr>
                <w:i/>
                <w:iCs/>
                <w:sz w:val="18"/>
                <w:szCs w:val="18"/>
              </w:rPr>
              <w:t>ng</w:t>
            </w:r>
            <w:r w:rsidRPr="00276295">
              <w:rPr>
                <w:i/>
                <w:iCs/>
                <w:spacing w:val="-11"/>
                <w:sz w:val="18"/>
                <w:szCs w:val="18"/>
              </w:rPr>
              <w:t xml:space="preserve"> </w:t>
            </w:r>
            <w:r w:rsidRPr="00276295">
              <w:rPr>
                <w:i/>
                <w:iCs/>
                <w:spacing w:val="2"/>
                <w:sz w:val="18"/>
                <w:szCs w:val="18"/>
              </w:rPr>
              <w:t>d</w:t>
            </w:r>
            <w:r w:rsidRPr="00276295">
              <w:rPr>
                <w:i/>
                <w:iCs/>
                <w:sz w:val="18"/>
                <w:szCs w:val="18"/>
              </w:rPr>
              <w:t>uri</w:t>
            </w:r>
            <w:r w:rsidRPr="00276295">
              <w:rPr>
                <w:i/>
                <w:iCs/>
                <w:spacing w:val="1"/>
                <w:sz w:val="18"/>
                <w:szCs w:val="18"/>
              </w:rPr>
              <w:t>n</w:t>
            </w:r>
            <w:r w:rsidRPr="00276295">
              <w:rPr>
                <w:i/>
                <w:iCs/>
                <w:sz w:val="18"/>
                <w:szCs w:val="18"/>
              </w:rPr>
              <w:t>g</w:t>
            </w:r>
            <w:r w:rsidRPr="00276295">
              <w:rPr>
                <w:i/>
                <w:iCs/>
                <w:spacing w:val="-6"/>
                <w:sz w:val="18"/>
                <w:szCs w:val="18"/>
              </w:rPr>
              <w:t xml:space="preserve"> </w:t>
            </w:r>
            <w:r w:rsidRPr="00276295">
              <w:rPr>
                <w:i/>
                <w:iCs/>
                <w:spacing w:val="-1"/>
                <w:sz w:val="18"/>
                <w:szCs w:val="18"/>
              </w:rPr>
              <w:t>t</w:t>
            </w:r>
            <w:r w:rsidRPr="00276295">
              <w:rPr>
                <w:i/>
                <w:iCs/>
                <w:spacing w:val="2"/>
                <w:sz w:val="18"/>
                <w:szCs w:val="18"/>
              </w:rPr>
              <w:t>h</w:t>
            </w:r>
            <w:r w:rsidRPr="00276295">
              <w:rPr>
                <w:i/>
                <w:iCs/>
                <w:sz w:val="18"/>
                <w:szCs w:val="18"/>
              </w:rPr>
              <w:t>e</w:t>
            </w:r>
            <w:r w:rsidRPr="00276295">
              <w:rPr>
                <w:i/>
                <w:iCs/>
                <w:spacing w:val="-3"/>
                <w:sz w:val="18"/>
                <w:szCs w:val="18"/>
              </w:rPr>
              <w:t xml:space="preserve"> </w:t>
            </w:r>
            <w:r w:rsidRPr="00276295">
              <w:rPr>
                <w:i/>
                <w:iCs/>
                <w:spacing w:val="1"/>
                <w:sz w:val="18"/>
                <w:szCs w:val="18"/>
              </w:rPr>
              <w:t>p</w:t>
            </w:r>
            <w:r w:rsidRPr="00276295">
              <w:rPr>
                <w:i/>
                <w:iCs/>
                <w:sz w:val="18"/>
                <w:szCs w:val="18"/>
              </w:rPr>
              <w:t>er</w:t>
            </w:r>
            <w:r w:rsidRPr="00276295">
              <w:rPr>
                <w:i/>
                <w:iCs/>
                <w:spacing w:val="2"/>
                <w:sz w:val="18"/>
                <w:szCs w:val="18"/>
              </w:rPr>
              <w:t>i</w:t>
            </w:r>
            <w:r w:rsidRPr="00276295">
              <w:rPr>
                <w:i/>
                <w:iCs/>
                <w:sz w:val="18"/>
                <w:szCs w:val="18"/>
              </w:rPr>
              <w:t>o</w:t>
            </w:r>
            <w:r w:rsidRPr="00276295">
              <w:rPr>
                <w:i/>
                <w:iCs/>
                <w:spacing w:val="-1"/>
                <w:sz w:val="18"/>
                <w:szCs w:val="18"/>
              </w:rPr>
              <w:t>d</w:t>
            </w:r>
            <w:r w:rsidRPr="00276295">
              <w:rPr>
                <w:i/>
                <w:iCs/>
                <w:sz w:val="18"/>
                <w:szCs w:val="18"/>
              </w:rPr>
              <w:t>.</w:t>
            </w:r>
          </w:p>
        </w:tc>
      </w:tr>
      <w:tr w:rsidR="006977B6" w:rsidRPr="00A928CB" w14:paraId="2A12668F" w14:textId="77777777" w:rsidTr="00D215E4">
        <w:tc>
          <w:tcPr>
            <w:tcW w:w="4708" w:type="dxa"/>
          </w:tcPr>
          <w:p w14:paraId="66854140" w14:textId="77777777" w:rsidR="006977B6" w:rsidRPr="00A928CB" w:rsidRDefault="006977B6" w:rsidP="00D215E4">
            <w:pPr>
              <w:widowControl w:val="0"/>
              <w:autoSpaceDE w:val="0"/>
              <w:autoSpaceDN w:val="0"/>
              <w:adjustRightInd w:val="0"/>
              <w:spacing w:before="36"/>
              <w:ind w:left="564" w:right="-34"/>
              <w:jc w:val="both"/>
              <w:rPr>
                <w:spacing w:val="-1"/>
                <w:sz w:val="12"/>
                <w:szCs w:val="12"/>
                <w:highlight w:val="cyan"/>
              </w:rPr>
            </w:pPr>
          </w:p>
        </w:tc>
        <w:tc>
          <w:tcPr>
            <w:tcW w:w="4708" w:type="dxa"/>
          </w:tcPr>
          <w:p w14:paraId="21252BEA" w14:textId="77777777" w:rsidR="006977B6" w:rsidRPr="00A928CB" w:rsidRDefault="006977B6" w:rsidP="00D215E4">
            <w:pPr>
              <w:ind w:left="907"/>
              <w:jc w:val="both"/>
              <w:rPr>
                <w:bCs w:val="0"/>
                <w:i/>
                <w:sz w:val="12"/>
                <w:szCs w:val="12"/>
                <w:highlight w:val="cyan"/>
              </w:rPr>
            </w:pPr>
          </w:p>
        </w:tc>
      </w:tr>
      <w:tr w:rsidR="006977B6" w:rsidRPr="00A928CB" w14:paraId="5CAEE556" w14:textId="77777777" w:rsidTr="00D215E4">
        <w:tc>
          <w:tcPr>
            <w:tcW w:w="4708" w:type="dxa"/>
          </w:tcPr>
          <w:p w14:paraId="1EF5386B" w14:textId="32CF3908" w:rsidR="006977B6" w:rsidRPr="00276295" w:rsidRDefault="006977B6" w:rsidP="002523B0">
            <w:pPr>
              <w:pStyle w:val="ListParagraph"/>
              <w:ind w:left="567" w:right="-57"/>
              <w:jc w:val="both"/>
              <w:rPr>
                <w:sz w:val="18"/>
                <w:szCs w:val="18"/>
              </w:rPr>
            </w:pPr>
            <w:r w:rsidRPr="00276295">
              <w:rPr>
                <w:sz w:val="18"/>
                <w:szCs w:val="18"/>
              </w:rPr>
              <w:t>Unt</w:t>
            </w:r>
            <w:r w:rsidRPr="00276295">
              <w:rPr>
                <w:spacing w:val="-1"/>
                <w:sz w:val="18"/>
                <w:szCs w:val="18"/>
              </w:rPr>
              <w:t>u</w:t>
            </w:r>
            <w:r w:rsidRPr="00276295">
              <w:rPr>
                <w:sz w:val="18"/>
                <w:szCs w:val="18"/>
              </w:rPr>
              <w:t>k</w:t>
            </w:r>
            <w:r w:rsidRPr="00276295">
              <w:rPr>
                <w:spacing w:val="11"/>
                <w:sz w:val="18"/>
                <w:szCs w:val="18"/>
              </w:rPr>
              <w:t xml:space="preserve"> </w:t>
            </w:r>
            <w:r w:rsidRPr="00276295">
              <w:rPr>
                <w:sz w:val="18"/>
                <w:szCs w:val="18"/>
              </w:rPr>
              <w:t>tu</w:t>
            </w:r>
            <w:r w:rsidRPr="00276295">
              <w:rPr>
                <w:spacing w:val="1"/>
                <w:sz w:val="18"/>
                <w:szCs w:val="18"/>
              </w:rPr>
              <w:t>j</w:t>
            </w:r>
            <w:r w:rsidRPr="00276295">
              <w:rPr>
                <w:sz w:val="18"/>
                <w:szCs w:val="18"/>
              </w:rPr>
              <w:t>u</w:t>
            </w:r>
            <w:r w:rsidRPr="00276295">
              <w:rPr>
                <w:spacing w:val="-1"/>
                <w:sz w:val="18"/>
                <w:szCs w:val="18"/>
              </w:rPr>
              <w:t>a</w:t>
            </w:r>
            <w:r w:rsidRPr="00276295">
              <w:rPr>
                <w:sz w:val="18"/>
                <w:szCs w:val="18"/>
              </w:rPr>
              <w:t>n</w:t>
            </w:r>
            <w:r w:rsidRPr="00276295">
              <w:rPr>
                <w:spacing w:val="8"/>
                <w:sz w:val="18"/>
                <w:szCs w:val="18"/>
              </w:rPr>
              <w:t xml:space="preserve"> </w:t>
            </w:r>
            <w:r w:rsidRPr="00276295">
              <w:rPr>
                <w:sz w:val="18"/>
                <w:szCs w:val="18"/>
              </w:rPr>
              <w:t>p</w:t>
            </w:r>
            <w:r w:rsidRPr="00276295">
              <w:rPr>
                <w:spacing w:val="1"/>
                <w:sz w:val="18"/>
                <w:szCs w:val="18"/>
              </w:rPr>
              <w:t>e</w:t>
            </w:r>
            <w:r w:rsidRPr="00276295">
              <w:rPr>
                <w:sz w:val="18"/>
                <w:szCs w:val="18"/>
              </w:rPr>
              <w:t>n</w:t>
            </w:r>
            <w:r w:rsidRPr="00276295">
              <w:rPr>
                <w:spacing w:val="-1"/>
                <w:sz w:val="18"/>
                <w:szCs w:val="18"/>
              </w:rPr>
              <w:t>g</w:t>
            </w:r>
            <w:r w:rsidRPr="00276295">
              <w:rPr>
                <w:spacing w:val="2"/>
                <w:sz w:val="18"/>
                <w:szCs w:val="18"/>
              </w:rPr>
              <w:t>h</w:t>
            </w:r>
            <w:r w:rsidRPr="00276295">
              <w:rPr>
                <w:spacing w:val="-1"/>
                <w:sz w:val="18"/>
                <w:szCs w:val="18"/>
              </w:rPr>
              <w:t>i</w:t>
            </w:r>
            <w:r w:rsidRPr="00276295">
              <w:rPr>
                <w:sz w:val="18"/>
                <w:szCs w:val="18"/>
              </w:rPr>
              <w:t>t</w:t>
            </w:r>
            <w:r w:rsidRPr="00276295">
              <w:rPr>
                <w:spacing w:val="2"/>
                <w:sz w:val="18"/>
                <w:szCs w:val="18"/>
              </w:rPr>
              <w:t>u</w:t>
            </w:r>
            <w:r w:rsidRPr="00276295">
              <w:rPr>
                <w:sz w:val="18"/>
                <w:szCs w:val="18"/>
              </w:rPr>
              <w:t>n</w:t>
            </w:r>
            <w:r w:rsidRPr="00276295">
              <w:rPr>
                <w:spacing w:val="-1"/>
                <w:sz w:val="18"/>
                <w:szCs w:val="18"/>
              </w:rPr>
              <w:t>g</w:t>
            </w:r>
            <w:r w:rsidRPr="00276295">
              <w:rPr>
                <w:spacing w:val="2"/>
                <w:sz w:val="18"/>
                <w:szCs w:val="18"/>
              </w:rPr>
              <w:t>a</w:t>
            </w:r>
            <w:r w:rsidRPr="00276295">
              <w:rPr>
                <w:sz w:val="18"/>
                <w:szCs w:val="18"/>
              </w:rPr>
              <w:t xml:space="preserve">n </w:t>
            </w:r>
            <w:r w:rsidRPr="00276295">
              <w:rPr>
                <w:spacing w:val="-1"/>
                <w:sz w:val="18"/>
                <w:szCs w:val="18"/>
              </w:rPr>
              <w:t>l</w:t>
            </w:r>
            <w:r w:rsidRPr="00276295">
              <w:rPr>
                <w:sz w:val="18"/>
                <w:szCs w:val="18"/>
              </w:rPr>
              <w:t>a</w:t>
            </w:r>
            <w:r w:rsidRPr="00276295">
              <w:rPr>
                <w:spacing w:val="1"/>
                <w:sz w:val="18"/>
                <w:szCs w:val="18"/>
              </w:rPr>
              <w:t>b</w:t>
            </w:r>
            <w:r w:rsidRPr="00276295">
              <w:rPr>
                <w:sz w:val="18"/>
                <w:szCs w:val="18"/>
              </w:rPr>
              <w:t>a</w:t>
            </w:r>
            <w:r w:rsidRPr="00276295">
              <w:rPr>
                <w:spacing w:val="8"/>
                <w:sz w:val="18"/>
                <w:szCs w:val="18"/>
              </w:rPr>
              <w:t xml:space="preserve"> </w:t>
            </w:r>
            <w:r w:rsidRPr="00276295">
              <w:rPr>
                <w:sz w:val="18"/>
                <w:szCs w:val="18"/>
              </w:rPr>
              <w:t>p</w:t>
            </w:r>
            <w:r w:rsidRPr="00276295">
              <w:rPr>
                <w:spacing w:val="-1"/>
                <w:sz w:val="18"/>
                <w:szCs w:val="18"/>
              </w:rPr>
              <w:t>e</w:t>
            </w:r>
            <w:r w:rsidRPr="00276295">
              <w:rPr>
                <w:sz w:val="18"/>
                <w:szCs w:val="18"/>
              </w:rPr>
              <w:t>r</w:t>
            </w:r>
            <w:r w:rsidRPr="00276295">
              <w:rPr>
                <w:spacing w:val="10"/>
                <w:sz w:val="18"/>
                <w:szCs w:val="18"/>
              </w:rPr>
              <w:t xml:space="preserve"> </w:t>
            </w:r>
            <w:r w:rsidRPr="00276295">
              <w:rPr>
                <w:spacing w:val="1"/>
                <w:sz w:val="18"/>
                <w:szCs w:val="18"/>
              </w:rPr>
              <w:t>s</w:t>
            </w:r>
            <w:r w:rsidRPr="00276295">
              <w:rPr>
                <w:sz w:val="18"/>
                <w:szCs w:val="18"/>
              </w:rPr>
              <w:t>a</w:t>
            </w:r>
            <w:r w:rsidRPr="00276295">
              <w:rPr>
                <w:spacing w:val="1"/>
                <w:sz w:val="18"/>
                <w:szCs w:val="18"/>
              </w:rPr>
              <w:t>h</w:t>
            </w:r>
            <w:r w:rsidRPr="00276295">
              <w:rPr>
                <w:sz w:val="18"/>
                <w:szCs w:val="18"/>
              </w:rPr>
              <w:t>am d</w:t>
            </w:r>
            <w:r w:rsidRPr="00276295">
              <w:rPr>
                <w:spacing w:val="-1"/>
                <w:sz w:val="18"/>
                <w:szCs w:val="18"/>
              </w:rPr>
              <w:t>i</w:t>
            </w:r>
            <w:r w:rsidRPr="00276295">
              <w:rPr>
                <w:spacing w:val="1"/>
                <w:sz w:val="18"/>
                <w:szCs w:val="18"/>
              </w:rPr>
              <w:t>l</w:t>
            </w:r>
            <w:r w:rsidRPr="00276295">
              <w:rPr>
                <w:sz w:val="18"/>
                <w:szCs w:val="18"/>
              </w:rPr>
              <w:t>u</w:t>
            </w:r>
            <w:r w:rsidRPr="00276295">
              <w:rPr>
                <w:spacing w:val="1"/>
                <w:sz w:val="18"/>
                <w:szCs w:val="18"/>
              </w:rPr>
              <w:t>s</w:t>
            </w:r>
            <w:r w:rsidRPr="00276295">
              <w:rPr>
                <w:spacing w:val="-1"/>
                <w:sz w:val="18"/>
                <w:szCs w:val="18"/>
              </w:rPr>
              <w:t>i</w:t>
            </w:r>
            <w:r w:rsidRPr="00276295">
              <w:rPr>
                <w:spacing w:val="2"/>
                <w:sz w:val="18"/>
                <w:szCs w:val="18"/>
              </w:rPr>
              <w:t>a</w:t>
            </w:r>
            <w:r w:rsidRPr="00276295">
              <w:rPr>
                <w:sz w:val="18"/>
                <w:szCs w:val="18"/>
              </w:rPr>
              <w:t>n</w:t>
            </w:r>
            <w:r w:rsidR="002523B0">
              <w:rPr>
                <w:sz w:val="18"/>
                <w:szCs w:val="18"/>
              </w:rPr>
              <w:t>,</w:t>
            </w:r>
            <w:r w:rsidRPr="00276295">
              <w:rPr>
                <w:spacing w:val="6"/>
                <w:sz w:val="18"/>
                <w:szCs w:val="18"/>
              </w:rPr>
              <w:t xml:space="preserve"> </w:t>
            </w:r>
            <w:r w:rsidRPr="00276295">
              <w:rPr>
                <w:spacing w:val="1"/>
                <w:sz w:val="18"/>
                <w:szCs w:val="18"/>
              </w:rPr>
              <w:t>Kelompok Usaha</w:t>
            </w:r>
            <w:r w:rsidRPr="00276295">
              <w:rPr>
                <w:spacing w:val="8"/>
                <w:sz w:val="18"/>
                <w:szCs w:val="18"/>
              </w:rPr>
              <w:t xml:space="preserve"> </w:t>
            </w:r>
            <w:r w:rsidRPr="00276295">
              <w:rPr>
                <w:spacing w:val="4"/>
                <w:sz w:val="18"/>
                <w:szCs w:val="18"/>
              </w:rPr>
              <w:t>m</w:t>
            </w:r>
            <w:r w:rsidRPr="00276295">
              <w:rPr>
                <w:sz w:val="18"/>
                <w:szCs w:val="18"/>
              </w:rPr>
              <w:t>e</w:t>
            </w:r>
            <w:r w:rsidRPr="00276295">
              <w:rPr>
                <w:spacing w:val="1"/>
                <w:sz w:val="18"/>
                <w:szCs w:val="18"/>
              </w:rPr>
              <w:t>n</w:t>
            </w:r>
            <w:r w:rsidRPr="00276295">
              <w:rPr>
                <w:spacing w:val="-4"/>
                <w:sz w:val="18"/>
                <w:szCs w:val="18"/>
              </w:rPr>
              <w:t>y</w:t>
            </w:r>
            <w:r w:rsidRPr="00276295">
              <w:rPr>
                <w:sz w:val="18"/>
                <w:szCs w:val="18"/>
              </w:rPr>
              <w:t>e</w:t>
            </w:r>
            <w:r w:rsidRPr="00276295">
              <w:rPr>
                <w:spacing w:val="1"/>
                <w:sz w:val="18"/>
                <w:szCs w:val="18"/>
              </w:rPr>
              <w:t>s</w:t>
            </w:r>
            <w:r w:rsidRPr="00276295">
              <w:rPr>
                <w:spacing w:val="2"/>
                <w:sz w:val="18"/>
                <w:szCs w:val="18"/>
              </w:rPr>
              <w:t>u</w:t>
            </w:r>
            <w:r w:rsidRPr="00276295">
              <w:rPr>
                <w:sz w:val="18"/>
                <w:szCs w:val="18"/>
              </w:rPr>
              <w:t>a</w:t>
            </w:r>
            <w:r w:rsidRPr="00276295">
              <w:rPr>
                <w:spacing w:val="1"/>
                <w:sz w:val="18"/>
                <w:szCs w:val="18"/>
              </w:rPr>
              <w:t>i</w:t>
            </w:r>
            <w:r w:rsidRPr="00276295">
              <w:rPr>
                <w:spacing w:val="3"/>
                <w:sz w:val="18"/>
                <w:szCs w:val="18"/>
              </w:rPr>
              <w:t>k</w:t>
            </w:r>
            <w:r w:rsidRPr="00276295">
              <w:rPr>
                <w:sz w:val="18"/>
                <w:szCs w:val="18"/>
              </w:rPr>
              <w:t xml:space="preserve">an </w:t>
            </w:r>
            <w:r w:rsidRPr="00276295">
              <w:rPr>
                <w:spacing w:val="-1"/>
                <w:sz w:val="18"/>
                <w:szCs w:val="18"/>
              </w:rPr>
              <w:t>l</w:t>
            </w:r>
            <w:r w:rsidRPr="00276295">
              <w:rPr>
                <w:sz w:val="18"/>
                <w:szCs w:val="18"/>
              </w:rPr>
              <w:t>a</w:t>
            </w:r>
            <w:r w:rsidRPr="00276295">
              <w:rPr>
                <w:spacing w:val="-1"/>
                <w:sz w:val="18"/>
                <w:szCs w:val="18"/>
              </w:rPr>
              <w:t>b</w:t>
            </w:r>
            <w:r w:rsidRPr="00276295">
              <w:rPr>
                <w:sz w:val="18"/>
                <w:szCs w:val="18"/>
              </w:rPr>
              <w:t>a</w:t>
            </w:r>
            <w:r w:rsidRPr="00276295">
              <w:rPr>
                <w:spacing w:val="10"/>
                <w:sz w:val="18"/>
                <w:szCs w:val="18"/>
              </w:rPr>
              <w:t xml:space="preserve"> </w:t>
            </w:r>
            <w:r w:rsidRPr="00276295">
              <w:rPr>
                <w:spacing w:val="2"/>
                <w:sz w:val="18"/>
                <w:szCs w:val="18"/>
              </w:rPr>
              <w:t>a</w:t>
            </w:r>
            <w:r w:rsidRPr="00276295">
              <w:rPr>
                <w:sz w:val="18"/>
                <w:szCs w:val="18"/>
              </w:rPr>
              <w:t>tau</w:t>
            </w:r>
            <w:r w:rsidRPr="00276295">
              <w:rPr>
                <w:spacing w:val="9"/>
                <w:sz w:val="18"/>
                <w:szCs w:val="18"/>
              </w:rPr>
              <w:t xml:space="preserve"> </w:t>
            </w:r>
            <w:r w:rsidRPr="00276295">
              <w:rPr>
                <w:spacing w:val="3"/>
                <w:sz w:val="18"/>
                <w:szCs w:val="18"/>
              </w:rPr>
              <w:t>r</w:t>
            </w:r>
            <w:r w:rsidRPr="00276295">
              <w:rPr>
                <w:sz w:val="18"/>
                <w:szCs w:val="18"/>
              </w:rPr>
              <w:t>u</w:t>
            </w:r>
            <w:r w:rsidRPr="00276295">
              <w:rPr>
                <w:spacing w:val="-1"/>
                <w:sz w:val="18"/>
                <w:szCs w:val="18"/>
              </w:rPr>
              <w:t>g</w:t>
            </w:r>
            <w:r w:rsidRPr="00276295">
              <w:rPr>
                <w:sz w:val="18"/>
                <w:szCs w:val="18"/>
              </w:rPr>
              <w:t xml:space="preserve">i </w:t>
            </w:r>
            <w:r w:rsidRPr="00276295">
              <w:rPr>
                <w:spacing w:val="-4"/>
                <w:sz w:val="18"/>
                <w:szCs w:val="18"/>
              </w:rPr>
              <w:t>y</w:t>
            </w:r>
            <w:r w:rsidRPr="00276295">
              <w:rPr>
                <w:spacing w:val="2"/>
                <w:sz w:val="18"/>
                <w:szCs w:val="18"/>
              </w:rPr>
              <w:t>an</w:t>
            </w:r>
            <w:r w:rsidRPr="00276295">
              <w:rPr>
                <w:sz w:val="18"/>
                <w:szCs w:val="18"/>
              </w:rPr>
              <w:t>g</w:t>
            </w:r>
            <w:r w:rsidRPr="00276295">
              <w:rPr>
                <w:spacing w:val="8"/>
                <w:sz w:val="18"/>
                <w:szCs w:val="18"/>
              </w:rPr>
              <w:t xml:space="preserve"> </w:t>
            </w:r>
            <w:r w:rsidRPr="00276295">
              <w:rPr>
                <w:sz w:val="18"/>
                <w:szCs w:val="18"/>
              </w:rPr>
              <w:t>d</w:t>
            </w:r>
            <w:r w:rsidRPr="00276295">
              <w:rPr>
                <w:spacing w:val="1"/>
                <w:sz w:val="18"/>
                <w:szCs w:val="18"/>
              </w:rPr>
              <w:t>a</w:t>
            </w:r>
            <w:r w:rsidRPr="00276295">
              <w:rPr>
                <w:sz w:val="18"/>
                <w:szCs w:val="18"/>
              </w:rPr>
              <w:t>p</w:t>
            </w:r>
            <w:r w:rsidRPr="00276295">
              <w:rPr>
                <w:spacing w:val="-1"/>
                <w:sz w:val="18"/>
                <w:szCs w:val="18"/>
              </w:rPr>
              <w:t>a</w:t>
            </w:r>
            <w:r w:rsidRPr="00276295">
              <w:rPr>
                <w:sz w:val="18"/>
                <w:szCs w:val="18"/>
              </w:rPr>
              <w:t>t</w:t>
            </w:r>
            <w:r w:rsidRPr="00276295">
              <w:rPr>
                <w:spacing w:val="7"/>
                <w:sz w:val="18"/>
                <w:szCs w:val="18"/>
              </w:rPr>
              <w:t xml:space="preserve"> </w:t>
            </w:r>
            <w:r w:rsidRPr="00276295">
              <w:rPr>
                <w:spacing w:val="2"/>
                <w:sz w:val="18"/>
                <w:szCs w:val="18"/>
              </w:rPr>
              <w:t>d</w:t>
            </w:r>
            <w:r w:rsidRPr="00276295">
              <w:rPr>
                <w:spacing w:val="-1"/>
                <w:sz w:val="18"/>
                <w:szCs w:val="18"/>
              </w:rPr>
              <w:t>i</w:t>
            </w:r>
            <w:r w:rsidRPr="00276295">
              <w:rPr>
                <w:sz w:val="18"/>
                <w:szCs w:val="18"/>
              </w:rPr>
              <w:t>at</w:t>
            </w:r>
            <w:r w:rsidRPr="00276295">
              <w:rPr>
                <w:spacing w:val="3"/>
                <w:sz w:val="18"/>
                <w:szCs w:val="18"/>
              </w:rPr>
              <w:t>r</w:t>
            </w:r>
            <w:r w:rsidRPr="00276295">
              <w:rPr>
                <w:spacing w:val="-1"/>
                <w:sz w:val="18"/>
                <w:szCs w:val="18"/>
              </w:rPr>
              <w:t>i</w:t>
            </w:r>
            <w:r w:rsidRPr="00276295">
              <w:rPr>
                <w:sz w:val="18"/>
                <w:szCs w:val="18"/>
              </w:rPr>
              <w:t>b</w:t>
            </w:r>
            <w:r w:rsidRPr="00276295">
              <w:rPr>
                <w:spacing w:val="-1"/>
                <w:sz w:val="18"/>
                <w:szCs w:val="18"/>
              </w:rPr>
              <w:t>u</w:t>
            </w:r>
            <w:r w:rsidRPr="00276295">
              <w:rPr>
                <w:spacing w:val="1"/>
                <w:sz w:val="18"/>
                <w:szCs w:val="18"/>
              </w:rPr>
              <w:t>s</w:t>
            </w:r>
            <w:r w:rsidRPr="00276295">
              <w:rPr>
                <w:spacing w:val="-1"/>
                <w:sz w:val="18"/>
                <w:szCs w:val="18"/>
              </w:rPr>
              <w:t>i</w:t>
            </w:r>
            <w:r w:rsidRPr="00276295">
              <w:rPr>
                <w:spacing w:val="3"/>
                <w:sz w:val="18"/>
                <w:szCs w:val="18"/>
              </w:rPr>
              <w:t>k</w:t>
            </w:r>
            <w:r w:rsidRPr="00276295">
              <w:rPr>
                <w:sz w:val="18"/>
                <w:szCs w:val="18"/>
              </w:rPr>
              <w:t xml:space="preserve">an </w:t>
            </w:r>
            <w:r w:rsidRPr="00276295">
              <w:rPr>
                <w:spacing w:val="3"/>
                <w:sz w:val="18"/>
                <w:szCs w:val="18"/>
              </w:rPr>
              <w:t>k</w:t>
            </w:r>
            <w:r w:rsidRPr="00276295">
              <w:rPr>
                <w:sz w:val="18"/>
                <w:szCs w:val="18"/>
              </w:rPr>
              <w:t>e</w:t>
            </w:r>
            <w:r w:rsidRPr="00276295">
              <w:rPr>
                <w:spacing w:val="-1"/>
                <w:sz w:val="18"/>
                <w:szCs w:val="18"/>
              </w:rPr>
              <w:t>p</w:t>
            </w:r>
            <w:r w:rsidRPr="00276295">
              <w:rPr>
                <w:sz w:val="18"/>
                <w:szCs w:val="18"/>
              </w:rPr>
              <w:t>a</w:t>
            </w:r>
            <w:r w:rsidRPr="00276295">
              <w:rPr>
                <w:spacing w:val="-1"/>
                <w:sz w:val="18"/>
                <w:szCs w:val="18"/>
              </w:rPr>
              <w:t>d</w:t>
            </w:r>
            <w:r w:rsidRPr="00276295">
              <w:rPr>
                <w:sz w:val="18"/>
                <w:szCs w:val="18"/>
              </w:rPr>
              <w:t>a</w:t>
            </w:r>
            <w:r w:rsidRPr="00276295">
              <w:rPr>
                <w:spacing w:val="6"/>
                <w:sz w:val="18"/>
                <w:szCs w:val="18"/>
              </w:rPr>
              <w:t xml:space="preserve"> </w:t>
            </w:r>
            <w:r w:rsidRPr="00276295">
              <w:rPr>
                <w:spacing w:val="2"/>
                <w:sz w:val="18"/>
                <w:szCs w:val="18"/>
              </w:rPr>
              <w:t>p</w:t>
            </w:r>
            <w:r w:rsidRPr="00276295">
              <w:rPr>
                <w:sz w:val="18"/>
                <w:szCs w:val="18"/>
              </w:rPr>
              <w:t>e</w:t>
            </w:r>
            <w:r w:rsidRPr="00276295">
              <w:rPr>
                <w:spacing w:val="4"/>
                <w:sz w:val="18"/>
                <w:szCs w:val="18"/>
              </w:rPr>
              <w:t>m</w:t>
            </w:r>
            <w:r w:rsidRPr="00276295">
              <w:rPr>
                <w:sz w:val="18"/>
                <w:szCs w:val="18"/>
              </w:rPr>
              <w:t>e</w:t>
            </w:r>
            <w:r w:rsidRPr="00276295">
              <w:rPr>
                <w:spacing w:val="-1"/>
                <w:sz w:val="18"/>
                <w:szCs w:val="18"/>
              </w:rPr>
              <w:t>g</w:t>
            </w:r>
            <w:r w:rsidRPr="00276295">
              <w:rPr>
                <w:sz w:val="18"/>
                <w:szCs w:val="18"/>
              </w:rPr>
              <w:t>a</w:t>
            </w:r>
            <w:r w:rsidRPr="00276295">
              <w:rPr>
                <w:spacing w:val="-1"/>
                <w:sz w:val="18"/>
                <w:szCs w:val="18"/>
              </w:rPr>
              <w:t>n</w:t>
            </w:r>
            <w:r w:rsidRPr="00276295">
              <w:rPr>
                <w:sz w:val="18"/>
                <w:szCs w:val="18"/>
              </w:rPr>
              <w:t xml:space="preserve">g </w:t>
            </w:r>
            <w:r w:rsidRPr="00276295">
              <w:rPr>
                <w:spacing w:val="1"/>
                <w:sz w:val="18"/>
                <w:szCs w:val="18"/>
              </w:rPr>
              <w:t>s</w:t>
            </w:r>
            <w:r w:rsidRPr="00276295">
              <w:rPr>
                <w:sz w:val="18"/>
                <w:szCs w:val="18"/>
              </w:rPr>
              <w:t>a</w:t>
            </w:r>
            <w:r w:rsidRPr="00276295">
              <w:rPr>
                <w:spacing w:val="-1"/>
                <w:sz w:val="18"/>
                <w:szCs w:val="18"/>
              </w:rPr>
              <w:t>h</w:t>
            </w:r>
            <w:r w:rsidRPr="00276295">
              <w:rPr>
                <w:sz w:val="18"/>
                <w:szCs w:val="18"/>
              </w:rPr>
              <w:t>am</w:t>
            </w:r>
            <w:r w:rsidRPr="00276295">
              <w:rPr>
                <w:spacing w:val="5"/>
                <w:sz w:val="18"/>
                <w:szCs w:val="18"/>
              </w:rPr>
              <w:t xml:space="preserve"> </w:t>
            </w:r>
            <w:r w:rsidRPr="00276295">
              <w:rPr>
                <w:sz w:val="18"/>
                <w:szCs w:val="18"/>
              </w:rPr>
              <w:t>b</w:t>
            </w:r>
            <w:r w:rsidRPr="00276295">
              <w:rPr>
                <w:spacing w:val="-1"/>
                <w:sz w:val="18"/>
                <w:szCs w:val="18"/>
              </w:rPr>
              <w:t>i</w:t>
            </w:r>
            <w:r w:rsidRPr="00276295">
              <w:rPr>
                <w:sz w:val="18"/>
                <w:szCs w:val="18"/>
              </w:rPr>
              <w:t>a</w:t>
            </w:r>
            <w:r w:rsidRPr="00276295">
              <w:rPr>
                <w:spacing w:val="1"/>
                <w:sz w:val="18"/>
                <w:szCs w:val="18"/>
              </w:rPr>
              <w:t>s</w:t>
            </w:r>
            <w:r w:rsidRPr="00276295">
              <w:rPr>
                <w:sz w:val="18"/>
                <w:szCs w:val="18"/>
              </w:rPr>
              <w:t>a</w:t>
            </w:r>
            <w:r w:rsidRPr="00276295">
              <w:rPr>
                <w:spacing w:val="1"/>
                <w:sz w:val="18"/>
                <w:szCs w:val="18"/>
              </w:rPr>
              <w:t xml:space="preserve"> </w:t>
            </w:r>
            <w:r w:rsidRPr="00276295">
              <w:rPr>
                <w:sz w:val="18"/>
                <w:szCs w:val="18"/>
              </w:rPr>
              <w:t>E</w:t>
            </w:r>
            <w:r w:rsidRPr="00276295">
              <w:rPr>
                <w:spacing w:val="-1"/>
                <w:sz w:val="18"/>
                <w:szCs w:val="18"/>
              </w:rPr>
              <w:t>n</w:t>
            </w:r>
            <w:r w:rsidRPr="00276295">
              <w:rPr>
                <w:sz w:val="18"/>
                <w:szCs w:val="18"/>
              </w:rPr>
              <w:t>t</w:t>
            </w:r>
            <w:r w:rsidRPr="00276295">
              <w:rPr>
                <w:spacing w:val="-1"/>
                <w:sz w:val="18"/>
                <w:szCs w:val="18"/>
              </w:rPr>
              <w:t>i</w:t>
            </w:r>
            <w:r w:rsidRPr="00276295">
              <w:rPr>
                <w:spacing w:val="2"/>
                <w:sz w:val="18"/>
                <w:szCs w:val="18"/>
              </w:rPr>
              <w:t>t</w:t>
            </w:r>
            <w:r w:rsidRPr="00276295">
              <w:rPr>
                <w:sz w:val="18"/>
                <w:szCs w:val="18"/>
              </w:rPr>
              <w:t>as</w:t>
            </w:r>
            <w:r w:rsidRPr="00276295">
              <w:rPr>
                <w:spacing w:val="1"/>
                <w:sz w:val="18"/>
                <w:szCs w:val="18"/>
              </w:rPr>
              <w:t xml:space="preserve"> </w:t>
            </w:r>
            <w:r w:rsidRPr="00276295">
              <w:rPr>
                <w:spacing w:val="-1"/>
                <w:sz w:val="18"/>
                <w:szCs w:val="18"/>
              </w:rPr>
              <w:t>I</w:t>
            </w:r>
            <w:r w:rsidRPr="00276295">
              <w:rPr>
                <w:sz w:val="18"/>
                <w:szCs w:val="18"/>
              </w:rPr>
              <w:t>n</w:t>
            </w:r>
            <w:r w:rsidRPr="00276295">
              <w:rPr>
                <w:spacing w:val="-1"/>
                <w:sz w:val="18"/>
                <w:szCs w:val="18"/>
              </w:rPr>
              <w:t>d</w:t>
            </w:r>
            <w:r w:rsidRPr="00276295">
              <w:rPr>
                <w:sz w:val="18"/>
                <w:szCs w:val="18"/>
              </w:rPr>
              <w:t>uk</w:t>
            </w:r>
            <w:r w:rsidRPr="00276295">
              <w:rPr>
                <w:spacing w:val="5"/>
                <w:sz w:val="18"/>
                <w:szCs w:val="18"/>
              </w:rPr>
              <w:t xml:space="preserve"> </w:t>
            </w:r>
            <w:r w:rsidRPr="00276295">
              <w:rPr>
                <w:sz w:val="18"/>
                <w:szCs w:val="18"/>
              </w:rPr>
              <w:t>d</w:t>
            </w:r>
            <w:r w:rsidRPr="00276295">
              <w:rPr>
                <w:spacing w:val="-1"/>
                <w:sz w:val="18"/>
                <w:szCs w:val="18"/>
              </w:rPr>
              <w:t>a</w:t>
            </w:r>
            <w:r w:rsidRPr="00276295">
              <w:rPr>
                <w:sz w:val="18"/>
                <w:szCs w:val="18"/>
              </w:rPr>
              <w:t>n</w:t>
            </w:r>
            <w:r w:rsidRPr="00276295">
              <w:rPr>
                <w:spacing w:val="3"/>
                <w:sz w:val="18"/>
                <w:szCs w:val="18"/>
              </w:rPr>
              <w:t xml:space="preserve"> </w:t>
            </w:r>
            <w:r w:rsidRPr="00276295">
              <w:rPr>
                <w:spacing w:val="1"/>
                <w:sz w:val="18"/>
                <w:szCs w:val="18"/>
              </w:rPr>
              <w:t>j</w:t>
            </w:r>
            <w:r w:rsidRPr="00276295">
              <w:rPr>
                <w:sz w:val="18"/>
                <w:szCs w:val="18"/>
              </w:rPr>
              <w:t>u</w:t>
            </w:r>
            <w:r w:rsidRPr="00276295">
              <w:rPr>
                <w:spacing w:val="4"/>
                <w:sz w:val="18"/>
                <w:szCs w:val="18"/>
              </w:rPr>
              <w:t>m</w:t>
            </w:r>
            <w:r w:rsidRPr="00276295">
              <w:rPr>
                <w:spacing w:val="-1"/>
                <w:sz w:val="18"/>
                <w:szCs w:val="18"/>
              </w:rPr>
              <w:t>l</w:t>
            </w:r>
            <w:r w:rsidRPr="00276295">
              <w:rPr>
                <w:sz w:val="18"/>
                <w:szCs w:val="18"/>
              </w:rPr>
              <w:t xml:space="preserve">ah </w:t>
            </w:r>
            <w:r w:rsidRPr="00276295">
              <w:rPr>
                <w:spacing w:val="1"/>
                <w:sz w:val="18"/>
                <w:szCs w:val="18"/>
              </w:rPr>
              <w:t>r</w:t>
            </w:r>
            <w:r w:rsidRPr="00276295">
              <w:rPr>
                <w:sz w:val="18"/>
                <w:szCs w:val="18"/>
              </w:rPr>
              <w:t>at</w:t>
            </w:r>
            <w:r w:rsidRPr="00276295">
              <w:rPr>
                <w:spacing w:val="3"/>
                <w:sz w:val="18"/>
                <w:szCs w:val="18"/>
              </w:rPr>
              <w:t>a</w:t>
            </w:r>
            <w:r w:rsidRPr="00276295">
              <w:rPr>
                <w:spacing w:val="1"/>
                <w:sz w:val="18"/>
                <w:szCs w:val="18"/>
              </w:rPr>
              <w:t>-r</w:t>
            </w:r>
            <w:r w:rsidRPr="00276295">
              <w:rPr>
                <w:sz w:val="18"/>
                <w:szCs w:val="18"/>
              </w:rPr>
              <w:t>ata tert</w:t>
            </w:r>
            <w:r w:rsidRPr="00276295">
              <w:rPr>
                <w:spacing w:val="-1"/>
                <w:sz w:val="18"/>
                <w:szCs w:val="18"/>
              </w:rPr>
              <w:t>i</w:t>
            </w:r>
            <w:r w:rsidRPr="00276295">
              <w:rPr>
                <w:spacing w:val="4"/>
                <w:sz w:val="18"/>
                <w:szCs w:val="18"/>
              </w:rPr>
              <w:t>m</w:t>
            </w:r>
            <w:r w:rsidRPr="00276295">
              <w:rPr>
                <w:sz w:val="18"/>
                <w:szCs w:val="18"/>
              </w:rPr>
              <w:t>b</w:t>
            </w:r>
            <w:r w:rsidRPr="00276295">
              <w:rPr>
                <w:spacing w:val="-1"/>
                <w:sz w:val="18"/>
                <w:szCs w:val="18"/>
              </w:rPr>
              <w:t>a</w:t>
            </w:r>
            <w:r w:rsidRPr="00276295">
              <w:rPr>
                <w:sz w:val="18"/>
                <w:szCs w:val="18"/>
              </w:rPr>
              <w:t xml:space="preserve">ng </w:t>
            </w:r>
            <w:r w:rsidRPr="00276295">
              <w:rPr>
                <w:spacing w:val="1"/>
                <w:sz w:val="18"/>
                <w:szCs w:val="18"/>
              </w:rPr>
              <w:t>s</w:t>
            </w:r>
            <w:r w:rsidRPr="00276295">
              <w:rPr>
                <w:sz w:val="18"/>
                <w:szCs w:val="18"/>
              </w:rPr>
              <w:t>a</w:t>
            </w:r>
            <w:r w:rsidRPr="00276295">
              <w:rPr>
                <w:spacing w:val="-1"/>
                <w:sz w:val="18"/>
                <w:szCs w:val="18"/>
              </w:rPr>
              <w:t>h</w:t>
            </w:r>
            <w:r w:rsidRPr="00276295">
              <w:rPr>
                <w:sz w:val="18"/>
                <w:szCs w:val="18"/>
              </w:rPr>
              <w:t>am</w:t>
            </w:r>
            <w:r w:rsidRPr="00276295">
              <w:rPr>
                <w:spacing w:val="11"/>
                <w:sz w:val="18"/>
                <w:szCs w:val="18"/>
              </w:rPr>
              <w:t xml:space="preserve"> </w:t>
            </w:r>
            <w:r w:rsidRPr="00276295">
              <w:rPr>
                <w:spacing w:val="-6"/>
                <w:sz w:val="18"/>
                <w:szCs w:val="18"/>
              </w:rPr>
              <w:t>y</w:t>
            </w:r>
            <w:r w:rsidRPr="00276295">
              <w:rPr>
                <w:spacing w:val="2"/>
                <w:sz w:val="18"/>
                <w:szCs w:val="18"/>
              </w:rPr>
              <w:t>a</w:t>
            </w:r>
            <w:r w:rsidRPr="00276295">
              <w:rPr>
                <w:sz w:val="18"/>
                <w:szCs w:val="18"/>
              </w:rPr>
              <w:t>ng</w:t>
            </w:r>
            <w:r w:rsidRPr="00276295">
              <w:rPr>
                <w:spacing w:val="5"/>
                <w:sz w:val="18"/>
                <w:szCs w:val="18"/>
              </w:rPr>
              <w:t xml:space="preserve"> </w:t>
            </w:r>
            <w:r w:rsidRPr="00276295">
              <w:rPr>
                <w:sz w:val="18"/>
                <w:szCs w:val="18"/>
              </w:rPr>
              <w:t>b</w:t>
            </w:r>
            <w:r w:rsidRPr="00276295">
              <w:rPr>
                <w:spacing w:val="1"/>
                <w:sz w:val="18"/>
                <w:szCs w:val="18"/>
              </w:rPr>
              <w:t>er</w:t>
            </w:r>
            <w:r w:rsidRPr="00276295">
              <w:rPr>
                <w:sz w:val="18"/>
                <w:szCs w:val="18"/>
              </w:rPr>
              <w:t>e</w:t>
            </w:r>
            <w:r w:rsidRPr="00276295">
              <w:rPr>
                <w:spacing w:val="-1"/>
                <w:sz w:val="18"/>
                <w:szCs w:val="18"/>
              </w:rPr>
              <w:t>d</w:t>
            </w:r>
            <w:r w:rsidRPr="00276295">
              <w:rPr>
                <w:sz w:val="18"/>
                <w:szCs w:val="18"/>
              </w:rPr>
              <w:t>ar</w:t>
            </w:r>
            <w:r w:rsidR="002523B0">
              <w:rPr>
                <w:sz w:val="18"/>
                <w:szCs w:val="18"/>
              </w:rPr>
              <w:t>,</w:t>
            </w:r>
            <w:r w:rsidRPr="00276295">
              <w:rPr>
                <w:spacing w:val="3"/>
                <w:sz w:val="18"/>
                <w:szCs w:val="18"/>
              </w:rPr>
              <w:t xml:space="preserve"> </w:t>
            </w:r>
            <w:r w:rsidRPr="00276295">
              <w:rPr>
                <w:sz w:val="18"/>
                <w:szCs w:val="18"/>
              </w:rPr>
              <w:t>at</w:t>
            </w:r>
            <w:r w:rsidRPr="00276295">
              <w:rPr>
                <w:spacing w:val="-1"/>
                <w:sz w:val="18"/>
                <w:szCs w:val="18"/>
              </w:rPr>
              <w:t>a</w:t>
            </w:r>
            <w:r w:rsidRPr="00276295">
              <w:rPr>
                <w:sz w:val="18"/>
                <w:szCs w:val="18"/>
              </w:rPr>
              <w:t>s</w:t>
            </w:r>
            <w:r w:rsidRPr="00276295">
              <w:rPr>
                <w:spacing w:val="8"/>
                <w:sz w:val="18"/>
                <w:szCs w:val="18"/>
              </w:rPr>
              <w:t xml:space="preserve"> </w:t>
            </w:r>
            <w:r w:rsidRPr="00276295">
              <w:rPr>
                <w:sz w:val="18"/>
                <w:szCs w:val="18"/>
              </w:rPr>
              <w:t>d</w:t>
            </w:r>
            <w:r w:rsidRPr="00276295">
              <w:rPr>
                <w:spacing w:val="-1"/>
                <w:sz w:val="18"/>
                <w:szCs w:val="18"/>
              </w:rPr>
              <w:t>a</w:t>
            </w:r>
            <w:r w:rsidRPr="00276295">
              <w:rPr>
                <w:spacing w:val="4"/>
                <w:sz w:val="18"/>
                <w:szCs w:val="18"/>
              </w:rPr>
              <w:t>m</w:t>
            </w:r>
            <w:r w:rsidRPr="00276295">
              <w:rPr>
                <w:sz w:val="18"/>
                <w:szCs w:val="18"/>
              </w:rPr>
              <w:t>p</w:t>
            </w:r>
            <w:r w:rsidRPr="00276295">
              <w:rPr>
                <w:spacing w:val="-1"/>
                <w:sz w:val="18"/>
                <w:szCs w:val="18"/>
              </w:rPr>
              <w:t>a</w:t>
            </w:r>
            <w:r w:rsidRPr="00276295">
              <w:rPr>
                <w:sz w:val="18"/>
                <w:szCs w:val="18"/>
              </w:rPr>
              <w:t>k d</w:t>
            </w:r>
            <w:r w:rsidRPr="00276295">
              <w:rPr>
                <w:spacing w:val="-1"/>
                <w:sz w:val="18"/>
                <w:szCs w:val="18"/>
              </w:rPr>
              <w:t>a</w:t>
            </w:r>
            <w:r w:rsidRPr="00276295">
              <w:rPr>
                <w:spacing w:val="1"/>
                <w:sz w:val="18"/>
                <w:szCs w:val="18"/>
              </w:rPr>
              <w:t>r</w:t>
            </w:r>
            <w:r w:rsidRPr="00276295">
              <w:rPr>
                <w:sz w:val="18"/>
                <w:szCs w:val="18"/>
              </w:rPr>
              <w:t xml:space="preserve">i </w:t>
            </w:r>
            <w:r w:rsidRPr="00276295">
              <w:rPr>
                <w:spacing w:val="1"/>
                <w:sz w:val="18"/>
                <w:szCs w:val="18"/>
              </w:rPr>
              <w:t>s</w:t>
            </w:r>
            <w:r w:rsidRPr="00276295">
              <w:rPr>
                <w:sz w:val="18"/>
                <w:szCs w:val="18"/>
              </w:rPr>
              <w:t>e</w:t>
            </w:r>
            <w:r w:rsidRPr="00276295">
              <w:rPr>
                <w:spacing w:val="1"/>
                <w:sz w:val="18"/>
                <w:szCs w:val="18"/>
              </w:rPr>
              <w:t>l</w:t>
            </w:r>
            <w:r w:rsidRPr="00276295">
              <w:rPr>
                <w:sz w:val="18"/>
                <w:szCs w:val="18"/>
              </w:rPr>
              <w:t xml:space="preserve">uruh </w:t>
            </w:r>
            <w:r w:rsidRPr="00276295">
              <w:rPr>
                <w:spacing w:val="1"/>
                <w:sz w:val="18"/>
                <w:szCs w:val="18"/>
              </w:rPr>
              <w:t>i</w:t>
            </w:r>
            <w:r w:rsidRPr="00276295">
              <w:rPr>
                <w:sz w:val="18"/>
                <w:szCs w:val="18"/>
              </w:rPr>
              <w:t>n</w:t>
            </w:r>
            <w:r w:rsidRPr="00276295">
              <w:rPr>
                <w:spacing w:val="1"/>
                <w:sz w:val="18"/>
                <w:szCs w:val="18"/>
              </w:rPr>
              <w:t>s</w:t>
            </w:r>
            <w:r w:rsidRPr="00276295">
              <w:rPr>
                <w:sz w:val="18"/>
                <w:szCs w:val="18"/>
              </w:rPr>
              <w:t>tru</w:t>
            </w:r>
            <w:r w:rsidRPr="00276295">
              <w:rPr>
                <w:spacing w:val="4"/>
                <w:sz w:val="18"/>
                <w:szCs w:val="18"/>
              </w:rPr>
              <w:t>m</w:t>
            </w:r>
            <w:r w:rsidRPr="00276295">
              <w:rPr>
                <w:sz w:val="18"/>
                <w:szCs w:val="18"/>
              </w:rPr>
              <w:t>e</w:t>
            </w:r>
            <w:r w:rsidRPr="00276295">
              <w:rPr>
                <w:spacing w:val="-1"/>
                <w:sz w:val="18"/>
                <w:szCs w:val="18"/>
              </w:rPr>
              <w:t>n</w:t>
            </w:r>
            <w:r w:rsidRPr="00276295">
              <w:rPr>
                <w:sz w:val="18"/>
                <w:szCs w:val="18"/>
              </w:rPr>
              <w:t>t b</w:t>
            </w:r>
            <w:r w:rsidRPr="00276295">
              <w:rPr>
                <w:spacing w:val="-1"/>
                <w:sz w:val="18"/>
                <w:szCs w:val="18"/>
              </w:rPr>
              <w:t>e</w:t>
            </w:r>
            <w:r w:rsidRPr="00276295">
              <w:rPr>
                <w:spacing w:val="1"/>
                <w:sz w:val="18"/>
                <w:szCs w:val="18"/>
              </w:rPr>
              <w:t>r</w:t>
            </w:r>
            <w:r w:rsidRPr="00276295">
              <w:rPr>
                <w:sz w:val="18"/>
                <w:szCs w:val="18"/>
              </w:rPr>
              <w:t>p</w:t>
            </w:r>
            <w:r w:rsidRPr="00276295">
              <w:rPr>
                <w:spacing w:val="-1"/>
                <w:sz w:val="18"/>
                <w:szCs w:val="18"/>
              </w:rPr>
              <w:t>o</w:t>
            </w:r>
            <w:r w:rsidRPr="00276295">
              <w:rPr>
                <w:sz w:val="18"/>
                <w:szCs w:val="18"/>
              </w:rPr>
              <w:t>t</w:t>
            </w:r>
            <w:r w:rsidRPr="00276295">
              <w:rPr>
                <w:spacing w:val="2"/>
                <w:sz w:val="18"/>
                <w:szCs w:val="18"/>
              </w:rPr>
              <w:t>e</w:t>
            </w:r>
            <w:r w:rsidRPr="00276295">
              <w:rPr>
                <w:sz w:val="18"/>
                <w:szCs w:val="18"/>
              </w:rPr>
              <w:t>n</w:t>
            </w:r>
            <w:r w:rsidRPr="00276295">
              <w:rPr>
                <w:spacing w:val="1"/>
                <w:sz w:val="18"/>
                <w:szCs w:val="18"/>
              </w:rPr>
              <w:t>s</w:t>
            </w:r>
            <w:r w:rsidRPr="00276295">
              <w:rPr>
                <w:sz w:val="18"/>
                <w:szCs w:val="18"/>
              </w:rPr>
              <w:t xml:space="preserve">i </w:t>
            </w:r>
            <w:r w:rsidRPr="00276295">
              <w:rPr>
                <w:spacing w:val="1"/>
                <w:sz w:val="18"/>
                <w:szCs w:val="18"/>
              </w:rPr>
              <w:t>s</w:t>
            </w:r>
            <w:r w:rsidRPr="00276295">
              <w:rPr>
                <w:sz w:val="18"/>
                <w:szCs w:val="18"/>
              </w:rPr>
              <w:t>a</w:t>
            </w:r>
            <w:r w:rsidRPr="00276295">
              <w:rPr>
                <w:spacing w:val="-1"/>
                <w:sz w:val="18"/>
                <w:szCs w:val="18"/>
              </w:rPr>
              <w:t>h</w:t>
            </w:r>
            <w:r w:rsidRPr="00276295">
              <w:rPr>
                <w:sz w:val="18"/>
                <w:szCs w:val="18"/>
              </w:rPr>
              <w:t>am b</w:t>
            </w:r>
            <w:r w:rsidRPr="00276295">
              <w:rPr>
                <w:spacing w:val="-1"/>
                <w:sz w:val="18"/>
                <w:szCs w:val="18"/>
              </w:rPr>
              <w:t>i</w:t>
            </w:r>
            <w:r w:rsidRPr="00276295">
              <w:rPr>
                <w:sz w:val="18"/>
                <w:szCs w:val="18"/>
              </w:rPr>
              <w:t>a</w:t>
            </w:r>
            <w:r w:rsidRPr="00276295">
              <w:rPr>
                <w:spacing w:val="1"/>
                <w:sz w:val="18"/>
                <w:szCs w:val="18"/>
              </w:rPr>
              <w:t>s</w:t>
            </w:r>
            <w:r w:rsidRPr="00276295">
              <w:rPr>
                <w:sz w:val="18"/>
                <w:szCs w:val="18"/>
              </w:rPr>
              <w:t>a</w:t>
            </w:r>
            <w:r w:rsidRPr="00276295">
              <w:rPr>
                <w:spacing w:val="-1"/>
                <w:sz w:val="18"/>
                <w:szCs w:val="18"/>
              </w:rPr>
              <w:t xml:space="preserve"> </w:t>
            </w:r>
            <w:r w:rsidRPr="00276295">
              <w:rPr>
                <w:spacing w:val="-4"/>
                <w:sz w:val="18"/>
                <w:szCs w:val="18"/>
              </w:rPr>
              <w:t>y</w:t>
            </w:r>
            <w:r w:rsidRPr="00276295">
              <w:rPr>
                <w:spacing w:val="2"/>
                <w:sz w:val="18"/>
                <w:szCs w:val="18"/>
              </w:rPr>
              <w:t>a</w:t>
            </w:r>
            <w:r w:rsidRPr="00276295">
              <w:rPr>
                <w:sz w:val="18"/>
                <w:szCs w:val="18"/>
              </w:rPr>
              <w:t>ng</w:t>
            </w:r>
            <w:r w:rsidRPr="00276295">
              <w:rPr>
                <w:spacing w:val="-3"/>
                <w:sz w:val="18"/>
                <w:szCs w:val="18"/>
              </w:rPr>
              <w:t xml:space="preserve"> </w:t>
            </w:r>
            <w:r w:rsidRPr="00276295">
              <w:rPr>
                <w:sz w:val="18"/>
                <w:szCs w:val="18"/>
              </w:rPr>
              <w:t>be</w:t>
            </w:r>
            <w:r w:rsidRPr="00276295">
              <w:rPr>
                <w:spacing w:val="1"/>
                <w:sz w:val="18"/>
                <w:szCs w:val="18"/>
              </w:rPr>
              <w:t>rs</w:t>
            </w:r>
            <w:r w:rsidRPr="00276295">
              <w:rPr>
                <w:spacing w:val="-1"/>
                <w:sz w:val="18"/>
                <w:szCs w:val="18"/>
              </w:rPr>
              <w:t>i</w:t>
            </w:r>
            <w:r w:rsidRPr="00276295">
              <w:rPr>
                <w:spacing w:val="2"/>
                <w:sz w:val="18"/>
                <w:szCs w:val="18"/>
              </w:rPr>
              <w:t>f</w:t>
            </w:r>
            <w:r w:rsidRPr="00276295">
              <w:rPr>
                <w:sz w:val="18"/>
                <w:szCs w:val="18"/>
              </w:rPr>
              <w:t>at</w:t>
            </w:r>
            <w:r w:rsidRPr="00276295">
              <w:rPr>
                <w:spacing w:val="-8"/>
                <w:sz w:val="18"/>
                <w:szCs w:val="18"/>
              </w:rPr>
              <w:t xml:space="preserve"> </w:t>
            </w:r>
            <w:r w:rsidRPr="00276295">
              <w:rPr>
                <w:spacing w:val="2"/>
                <w:sz w:val="18"/>
                <w:szCs w:val="18"/>
              </w:rPr>
              <w:t>d</w:t>
            </w:r>
            <w:r w:rsidRPr="00276295">
              <w:rPr>
                <w:spacing w:val="-1"/>
                <w:sz w:val="18"/>
                <w:szCs w:val="18"/>
              </w:rPr>
              <w:t>il</w:t>
            </w:r>
            <w:r w:rsidRPr="00276295">
              <w:rPr>
                <w:spacing w:val="2"/>
                <w:sz w:val="18"/>
                <w:szCs w:val="18"/>
              </w:rPr>
              <w:t>u</w:t>
            </w:r>
            <w:r w:rsidRPr="00276295">
              <w:rPr>
                <w:sz w:val="18"/>
                <w:szCs w:val="18"/>
              </w:rPr>
              <w:t>t</w:t>
            </w:r>
            <w:r w:rsidRPr="00276295">
              <w:rPr>
                <w:spacing w:val="-1"/>
                <w:sz w:val="18"/>
                <w:szCs w:val="18"/>
              </w:rPr>
              <w:t>i</w:t>
            </w:r>
            <w:r w:rsidRPr="00276295">
              <w:rPr>
                <w:spacing w:val="2"/>
                <w:sz w:val="18"/>
                <w:szCs w:val="18"/>
              </w:rPr>
              <w:t>f</w:t>
            </w:r>
            <w:r w:rsidRPr="00276295">
              <w:rPr>
                <w:sz w:val="18"/>
                <w:szCs w:val="18"/>
              </w:rPr>
              <w:t>.</w:t>
            </w:r>
          </w:p>
        </w:tc>
        <w:tc>
          <w:tcPr>
            <w:tcW w:w="4708" w:type="dxa"/>
          </w:tcPr>
          <w:p w14:paraId="40822AC0" w14:textId="41C823DD" w:rsidR="006977B6" w:rsidRPr="00276295" w:rsidRDefault="006977B6" w:rsidP="002523B0">
            <w:pPr>
              <w:pStyle w:val="ListParagraph"/>
              <w:tabs>
                <w:tab w:val="left" w:pos="5590"/>
                <w:tab w:val="right" w:pos="7620"/>
                <w:tab w:val="right" w:pos="9460"/>
                <w:tab w:val="right" w:pos="10080"/>
              </w:tabs>
              <w:ind w:left="567" w:right="-57"/>
              <w:jc w:val="both"/>
              <w:rPr>
                <w:sz w:val="18"/>
                <w:szCs w:val="18"/>
              </w:rPr>
            </w:pPr>
            <w:r w:rsidRPr="00276295">
              <w:rPr>
                <w:i/>
                <w:iCs/>
                <w:sz w:val="18"/>
                <w:szCs w:val="18"/>
              </w:rPr>
              <w:t>For the</w:t>
            </w:r>
            <w:r w:rsidRPr="00276295">
              <w:rPr>
                <w:i/>
                <w:iCs/>
                <w:spacing w:val="1"/>
                <w:sz w:val="18"/>
                <w:szCs w:val="18"/>
              </w:rPr>
              <w:t xml:space="preserve"> </w:t>
            </w:r>
            <w:r w:rsidRPr="00276295">
              <w:rPr>
                <w:i/>
                <w:iCs/>
                <w:sz w:val="18"/>
                <w:szCs w:val="18"/>
              </w:rPr>
              <w:t>p</w:t>
            </w:r>
            <w:r w:rsidRPr="00276295">
              <w:rPr>
                <w:i/>
                <w:iCs/>
                <w:spacing w:val="-1"/>
                <w:sz w:val="18"/>
                <w:szCs w:val="18"/>
              </w:rPr>
              <w:t>u</w:t>
            </w:r>
            <w:r w:rsidRPr="00276295">
              <w:rPr>
                <w:i/>
                <w:iCs/>
                <w:spacing w:val="1"/>
                <w:sz w:val="18"/>
                <w:szCs w:val="18"/>
              </w:rPr>
              <w:t>r</w:t>
            </w:r>
            <w:r w:rsidRPr="00276295">
              <w:rPr>
                <w:i/>
                <w:iCs/>
                <w:spacing w:val="2"/>
                <w:sz w:val="18"/>
                <w:szCs w:val="18"/>
              </w:rPr>
              <w:t>p</w:t>
            </w:r>
            <w:r w:rsidRPr="00276295">
              <w:rPr>
                <w:i/>
                <w:iCs/>
                <w:sz w:val="18"/>
                <w:szCs w:val="18"/>
              </w:rPr>
              <w:t>o</w:t>
            </w:r>
            <w:r w:rsidRPr="00276295">
              <w:rPr>
                <w:i/>
                <w:iCs/>
                <w:spacing w:val="1"/>
                <w:sz w:val="18"/>
                <w:szCs w:val="18"/>
              </w:rPr>
              <w:t>s</w:t>
            </w:r>
            <w:r w:rsidRPr="00276295">
              <w:rPr>
                <w:i/>
                <w:iCs/>
                <w:sz w:val="18"/>
                <w:szCs w:val="18"/>
              </w:rPr>
              <w:t>e</w:t>
            </w:r>
            <w:r w:rsidRPr="00276295">
              <w:rPr>
                <w:i/>
                <w:iCs/>
                <w:spacing w:val="-5"/>
                <w:sz w:val="18"/>
                <w:szCs w:val="18"/>
              </w:rPr>
              <w:t xml:space="preserve"> </w:t>
            </w:r>
            <w:r w:rsidRPr="00276295">
              <w:rPr>
                <w:i/>
                <w:iCs/>
                <w:sz w:val="18"/>
                <w:szCs w:val="18"/>
              </w:rPr>
              <w:t>of</w:t>
            </w:r>
            <w:r w:rsidRPr="00276295">
              <w:rPr>
                <w:i/>
                <w:iCs/>
                <w:spacing w:val="2"/>
                <w:sz w:val="18"/>
                <w:szCs w:val="18"/>
              </w:rPr>
              <w:t xml:space="preserve"> </w:t>
            </w:r>
            <w:r w:rsidRPr="00276295">
              <w:rPr>
                <w:i/>
                <w:iCs/>
                <w:spacing w:val="1"/>
                <w:sz w:val="18"/>
                <w:szCs w:val="18"/>
              </w:rPr>
              <w:t>c</w:t>
            </w:r>
            <w:r w:rsidRPr="00276295">
              <w:rPr>
                <w:i/>
                <w:iCs/>
                <w:sz w:val="18"/>
                <w:szCs w:val="18"/>
              </w:rPr>
              <w:t>a</w:t>
            </w:r>
            <w:r w:rsidRPr="00276295">
              <w:rPr>
                <w:i/>
                <w:iCs/>
                <w:spacing w:val="-1"/>
                <w:sz w:val="18"/>
                <w:szCs w:val="18"/>
              </w:rPr>
              <w:t>l</w:t>
            </w:r>
            <w:r w:rsidRPr="00276295">
              <w:rPr>
                <w:i/>
                <w:iCs/>
                <w:spacing w:val="1"/>
                <w:sz w:val="18"/>
                <w:szCs w:val="18"/>
              </w:rPr>
              <w:t>c</w:t>
            </w:r>
            <w:r w:rsidRPr="00276295">
              <w:rPr>
                <w:i/>
                <w:iCs/>
                <w:spacing w:val="2"/>
                <w:sz w:val="18"/>
                <w:szCs w:val="18"/>
              </w:rPr>
              <w:t>u</w:t>
            </w:r>
            <w:r w:rsidRPr="00276295">
              <w:rPr>
                <w:i/>
                <w:iCs/>
                <w:spacing w:val="-1"/>
                <w:sz w:val="18"/>
                <w:szCs w:val="18"/>
              </w:rPr>
              <w:t>l</w:t>
            </w:r>
            <w:r w:rsidRPr="00276295">
              <w:rPr>
                <w:i/>
                <w:iCs/>
                <w:sz w:val="18"/>
                <w:szCs w:val="18"/>
              </w:rPr>
              <w:t>a</w:t>
            </w:r>
            <w:r w:rsidRPr="00276295">
              <w:rPr>
                <w:i/>
                <w:iCs/>
                <w:spacing w:val="2"/>
                <w:sz w:val="18"/>
                <w:szCs w:val="18"/>
              </w:rPr>
              <w:t>t</w:t>
            </w:r>
            <w:r w:rsidRPr="00276295">
              <w:rPr>
                <w:i/>
                <w:iCs/>
                <w:spacing w:val="1"/>
                <w:sz w:val="18"/>
                <w:szCs w:val="18"/>
              </w:rPr>
              <w:t>i</w:t>
            </w:r>
            <w:r w:rsidRPr="00276295">
              <w:rPr>
                <w:i/>
                <w:iCs/>
                <w:sz w:val="18"/>
                <w:szCs w:val="18"/>
              </w:rPr>
              <w:t>o</w:t>
            </w:r>
            <w:r w:rsidRPr="00276295">
              <w:rPr>
                <w:i/>
                <w:iCs/>
                <w:spacing w:val="-1"/>
                <w:sz w:val="18"/>
                <w:szCs w:val="18"/>
              </w:rPr>
              <w:t>n</w:t>
            </w:r>
            <w:r w:rsidRPr="00276295">
              <w:rPr>
                <w:i/>
                <w:iCs/>
                <w:sz w:val="18"/>
                <w:szCs w:val="18"/>
              </w:rPr>
              <w:t>g</w:t>
            </w:r>
            <w:r w:rsidRPr="00276295">
              <w:rPr>
                <w:i/>
                <w:iCs/>
                <w:spacing w:val="-7"/>
                <w:sz w:val="18"/>
                <w:szCs w:val="18"/>
              </w:rPr>
              <w:t xml:space="preserve"> </w:t>
            </w:r>
            <w:r w:rsidRPr="00276295">
              <w:rPr>
                <w:i/>
                <w:iCs/>
                <w:sz w:val="18"/>
                <w:szCs w:val="18"/>
              </w:rPr>
              <w:t>d</w:t>
            </w:r>
            <w:r w:rsidRPr="00276295">
              <w:rPr>
                <w:i/>
                <w:iCs/>
                <w:spacing w:val="1"/>
                <w:sz w:val="18"/>
                <w:szCs w:val="18"/>
              </w:rPr>
              <w:t>i</w:t>
            </w:r>
            <w:r w:rsidRPr="00276295">
              <w:rPr>
                <w:i/>
                <w:iCs/>
                <w:spacing w:val="-1"/>
                <w:sz w:val="18"/>
                <w:szCs w:val="18"/>
              </w:rPr>
              <w:t>l</w:t>
            </w:r>
            <w:r w:rsidRPr="00276295">
              <w:rPr>
                <w:i/>
                <w:iCs/>
                <w:sz w:val="18"/>
                <w:szCs w:val="18"/>
              </w:rPr>
              <w:t>u</w:t>
            </w:r>
            <w:r w:rsidRPr="00276295">
              <w:rPr>
                <w:i/>
                <w:iCs/>
                <w:spacing w:val="2"/>
                <w:sz w:val="18"/>
                <w:szCs w:val="18"/>
              </w:rPr>
              <w:t>t</w:t>
            </w:r>
            <w:r w:rsidRPr="00276295">
              <w:rPr>
                <w:i/>
                <w:iCs/>
                <w:sz w:val="18"/>
                <w:szCs w:val="18"/>
              </w:rPr>
              <w:t>ed</w:t>
            </w:r>
            <w:r w:rsidRPr="00276295">
              <w:rPr>
                <w:i/>
                <w:iCs/>
                <w:spacing w:val="-2"/>
                <w:sz w:val="18"/>
                <w:szCs w:val="18"/>
              </w:rPr>
              <w:t xml:space="preserve"> </w:t>
            </w:r>
            <w:r w:rsidRPr="00276295">
              <w:rPr>
                <w:i/>
                <w:iCs/>
                <w:sz w:val="18"/>
                <w:szCs w:val="18"/>
              </w:rPr>
              <w:t>e</w:t>
            </w:r>
            <w:r w:rsidRPr="00276295">
              <w:rPr>
                <w:i/>
                <w:iCs/>
                <w:spacing w:val="-1"/>
                <w:sz w:val="18"/>
                <w:szCs w:val="18"/>
              </w:rPr>
              <w:t>a</w:t>
            </w:r>
            <w:r w:rsidRPr="00276295">
              <w:rPr>
                <w:i/>
                <w:iCs/>
                <w:spacing w:val="1"/>
                <w:sz w:val="18"/>
                <w:szCs w:val="18"/>
              </w:rPr>
              <w:t>r</w:t>
            </w:r>
            <w:r w:rsidRPr="00276295">
              <w:rPr>
                <w:i/>
                <w:iCs/>
                <w:spacing w:val="2"/>
                <w:sz w:val="18"/>
                <w:szCs w:val="18"/>
              </w:rPr>
              <w:t>n</w:t>
            </w:r>
            <w:r w:rsidRPr="00276295">
              <w:rPr>
                <w:i/>
                <w:iCs/>
                <w:spacing w:val="-1"/>
                <w:sz w:val="18"/>
                <w:szCs w:val="18"/>
              </w:rPr>
              <w:t>i</w:t>
            </w:r>
            <w:r w:rsidRPr="00276295">
              <w:rPr>
                <w:i/>
                <w:iCs/>
                <w:sz w:val="18"/>
                <w:szCs w:val="18"/>
              </w:rPr>
              <w:t>n</w:t>
            </w:r>
            <w:r w:rsidRPr="00276295">
              <w:rPr>
                <w:i/>
                <w:iCs/>
                <w:spacing w:val="-1"/>
                <w:sz w:val="18"/>
                <w:szCs w:val="18"/>
              </w:rPr>
              <w:t>g</w:t>
            </w:r>
            <w:r w:rsidRPr="00276295">
              <w:rPr>
                <w:i/>
                <w:iCs/>
                <w:sz w:val="18"/>
                <w:szCs w:val="18"/>
              </w:rPr>
              <w:t>s p</w:t>
            </w:r>
            <w:r w:rsidRPr="00276295">
              <w:rPr>
                <w:i/>
                <w:iCs/>
                <w:spacing w:val="-1"/>
                <w:sz w:val="18"/>
                <w:szCs w:val="18"/>
              </w:rPr>
              <w:t>e</w:t>
            </w:r>
            <w:r w:rsidRPr="00276295">
              <w:rPr>
                <w:i/>
                <w:iCs/>
                <w:sz w:val="18"/>
                <w:szCs w:val="18"/>
              </w:rPr>
              <w:t>r</w:t>
            </w:r>
            <w:r w:rsidRPr="00276295">
              <w:rPr>
                <w:i/>
                <w:iCs/>
                <w:spacing w:val="4"/>
                <w:sz w:val="18"/>
                <w:szCs w:val="18"/>
              </w:rPr>
              <w:t xml:space="preserve"> </w:t>
            </w:r>
            <w:r w:rsidRPr="00276295">
              <w:rPr>
                <w:i/>
                <w:iCs/>
                <w:spacing w:val="1"/>
                <w:sz w:val="18"/>
                <w:szCs w:val="18"/>
              </w:rPr>
              <w:t>s</w:t>
            </w:r>
            <w:r w:rsidRPr="00276295">
              <w:rPr>
                <w:i/>
                <w:iCs/>
                <w:sz w:val="18"/>
                <w:szCs w:val="18"/>
              </w:rPr>
              <w:t>h</w:t>
            </w:r>
            <w:r w:rsidRPr="00276295">
              <w:rPr>
                <w:i/>
                <w:iCs/>
                <w:spacing w:val="-1"/>
                <w:sz w:val="18"/>
                <w:szCs w:val="18"/>
              </w:rPr>
              <w:t>a</w:t>
            </w:r>
            <w:r w:rsidRPr="00276295">
              <w:rPr>
                <w:i/>
                <w:iCs/>
                <w:spacing w:val="1"/>
                <w:sz w:val="18"/>
                <w:szCs w:val="18"/>
              </w:rPr>
              <w:t>r</w:t>
            </w:r>
            <w:r w:rsidRPr="00276295">
              <w:rPr>
                <w:i/>
                <w:iCs/>
                <w:sz w:val="18"/>
                <w:szCs w:val="18"/>
              </w:rPr>
              <w:t>e</w:t>
            </w:r>
            <w:r w:rsidR="002523B0">
              <w:rPr>
                <w:i/>
                <w:iCs/>
                <w:sz w:val="18"/>
                <w:szCs w:val="18"/>
              </w:rPr>
              <w:t>,</w:t>
            </w:r>
            <w:r w:rsidRPr="00276295">
              <w:rPr>
                <w:i/>
                <w:iCs/>
                <w:sz w:val="18"/>
                <w:szCs w:val="18"/>
              </w:rPr>
              <w:t xml:space="preserve"> the</w:t>
            </w:r>
            <w:r w:rsidRPr="00276295">
              <w:rPr>
                <w:i/>
                <w:iCs/>
                <w:spacing w:val="3"/>
                <w:sz w:val="18"/>
                <w:szCs w:val="18"/>
              </w:rPr>
              <w:t xml:space="preserve"> </w:t>
            </w:r>
            <w:r w:rsidRPr="00276295">
              <w:rPr>
                <w:i/>
                <w:iCs/>
                <w:spacing w:val="1"/>
                <w:sz w:val="18"/>
                <w:szCs w:val="18"/>
              </w:rPr>
              <w:t>Gr</w:t>
            </w:r>
            <w:r w:rsidRPr="00276295">
              <w:rPr>
                <w:i/>
                <w:iCs/>
                <w:sz w:val="18"/>
                <w:szCs w:val="18"/>
              </w:rPr>
              <w:t>o</w:t>
            </w:r>
            <w:r w:rsidRPr="00276295">
              <w:rPr>
                <w:i/>
                <w:iCs/>
                <w:spacing w:val="1"/>
                <w:sz w:val="18"/>
                <w:szCs w:val="18"/>
              </w:rPr>
              <w:t>u</w:t>
            </w:r>
            <w:r w:rsidRPr="00276295">
              <w:rPr>
                <w:i/>
                <w:iCs/>
                <w:sz w:val="18"/>
                <w:szCs w:val="18"/>
              </w:rPr>
              <w:t xml:space="preserve">p </w:t>
            </w:r>
            <w:r w:rsidRPr="00276295">
              <w:rPr>
                <w:i/>
                <w:iCs/>
                <w:spacing w:val="1"/>
                <w:sz w:val="18"/>
                <w:szCs w:val="18"/>
              </w:rPr>
              <w:t>s</w:t>
            </w:r>
            <w:r w:rsidRPr="00276295">
              <w:rPr>
                <w:i/>
                <w:iCs/>
                <w:sz w:val="18"/>
                <w:szCs w:val="18"/>
              </w:rPr>
              <w:t>h</w:t>
            </w:r>
            <w:r w:rsidRPr="00276295">
              <w:rPr>
                <w:i/>
                <w:iCs/>
                <w:spacing w:val="-1"/>
                <w:sz w:val="18"/>
                <w:szCs w:val="18"/>
              </w:rPr>
              <w:t>a</w:t>
            </w:r>
            <w:r w:rsidRPr="00276295">
              <w:rPr>
                <w:i/>
                <w:iCs/>
                <w:spacing w:val="1"/>
                <w:sz w:val="18"/>
                <w:szCs w:val="18"/>
              </w:rPr>
              <w:t>l</w:t>
            </w:r>
            <w:r w:rsidRPr="00276295">
              <w:rPr>
                <w:i/>
                <w:iCs/>
                <w:sz w:val="18"/>
                <w:szCs w:val="18"/>
              </w:rPr>
              <w:t>l</w:t>
            </w:r>
            <w:r w:rsidRPr="00276295">
              <w:rPr>
                <w:i/>
                <w:iCs/>
                <w:spacing w:val="3"/>
                <w:sz w:val="18"/>
                <w:szCs w:val="18"/>
              </w:rPr>
              <w:t xml:space="preserve"> </w:t>
            </w:r>
            <w:r w:rsidRPr="00276295">
              <w:rPr>
                <w:i/>
                <w:iCs/>
                <w:sz w:val="18"/>
                <w:szCs w:val="18"/>
              </w:rPr>
              <w:t>a</w:t>
            </w:r>
            <w:r w:rsidRPr="00276295">
              <w:rPr>
                <w:i/>
                <w:iCs/>
                <w:spacing w:val="-1"/>
                <w:sz w:val="18"/>
                <w:szCs w:val="18"/>
              </w:rPr>
              <w:t>dj</w:t>
            </w:r>
            <w:r w:rsidRPr="00276295">
              <w:rPr>
                <w:i/>
                <w:iCs/>
                <w:sz w:val="18"/>
                <w:szCs w:val="18"/>
              </w:rPr>
              <w:t>u</w:t>
            </w:r>
            <w:r w:rsidRPr="00276295">
              <w:rPr>
                <w:i/>
                <w:iCs/>
                <w:spacing w:val="1"/>
                <w:sz w:val="18"/>
                <w:szCs w:val="18"/>
              </w:rPr>
              <w:t>s</w:t>
            </w:r>
            <w:r w:rsidRPr="00276295">
              <w:rPr>
                <w:i/>
                <w:iCs/>
                <w:sz w:val="18"/>
                <w:szCs w:val="18"/>
              </w:rPr>
              <w:t>t pro</w:t>
            </w:r>
            <w:r w:rsidRPr="00276295">
              <w:rPr>
                <w:i/>
                <w:iCs/>
                <w:spacing w:val="2"/>
                <w:sz w:val="18"/>
                <w:szCs w:val="18"/>
              </w:rPr>
              <w:t>f</w:t>
            </w:r>
            <w:r w:rsidRPr="00276295">
              <w:rPr>
                <w:i/>
                <w:iCs/>
                <w:spacing w:val="-1"/>
                <w:sz w:val="18"/>
                <w:szCs w:val="18"/>
              </w:rPr>
              <w:t>i</w:t>
            </w:r>
            <w:r w:rsidRPr="00276295">
              <w:rPr>
                <w:i/>
                <w:iCs/>
                <w:sz w:val="18"/>
                <w:szCs w:val="18"/>
              </w:rPr>
              <w:t>t</w:t>
            </w:r>
            <w:r w:rsidRPr="00276295">
              <w:rPr>
                <w:i/>
                <w:iCs/>
                <w:spacing w:val="1"/>
                <w:sz w:val="18"/>
                <w:szCs w:val="18"/>
              </w:rPr>
              <w:t xml:space="preserve"> </w:t>
            </w:r>
            <w:r w:rsidRPr="00276295">
              <w:rPr>
                <w:i/>
                <w:iCs/>
                <w:sz w:val="18"/>
                <w:szCs w:val="18"/>
              </w:rPr>
              <w:t>or</w:t>
            </w:r>
            <w:r w:rsidRPr="00276295">
              <w:rPr>
                <w:i/>
                <w:iCs/>
                <w:spacing w:val="5"/>
                <w:sz w:val="18"/>
                <w:szCs w:val="18"/>
              </w:rPr>
              <w:t xml:space="preserve"> </w:t>
            </w:r>
            <w:r w:rsidRPr="00276295">
              <w:rPr>
                <w:i/>
                <w:iCs/>
                <w:spacing w:val="-1"/>
                <w:sz w:val="18"/>
                <w:szCs w:val="18"/>
              </w:rPr>
              <w:t>l</w:t>
            </w:r>
            <w:r w:rsidRPr="00276295">
              <w:rPr>
                <w:i/>
                <w:iCs/>
                <w:sz w:val="18"/>
                <w:szCs w:val="18"/>
              </w:rPr>
              <w:t>o</w:t>
            </w:r>
            <w:r w:rsidRPr="00276295">
              <w:rPr>
                <w:i/>
                <w:iCs/>
                <w:spacing w:val="1"/>
                <w:sz w:val="18"/>
                <w:szCs w:val="18"/>
              </w:rPr>
              <w:t>s</w:t>
            </w:r>
            <w:r w:rsidRPr="00276295">
              <w:rPr>
                <w:i/>
                <w:iCs/>
                <w:sz w:val="18"/>
                <w:szCs w:val="18"/>
              </w:rPr>
              <w:t xml:space="preserve">s </w:t>
            </w:r>
            <w:r w:rsidRPr="00276295">
              <w:rPr>
                <w:i/>
                <w:iCs/>
                <w:spacing w:val="-1"/>
                <w:sz w:val="18"/>
                <w:szCs w:val="18"/>
              </w:rPr>
              <w:t>attributable</w:t>
            </w:r>
            <w:r w:rsidRPr="00276295">
              <w:rPr>
                <w:i/>
                <w:iCs/>
                <w:spacing w:val="52"/>
                <w:sz w:val="18"/>
                <w:szCs w:val="18"/>
              </w:rPr>
              <w:t xml:space="preserve"> </w:t>
            </w:r>
            <w:r w:rsidRPr="00276295">
              <w:rPr>
                <w:i/>
                <w:iCs/>
                <w:spacing w:val="2"/>
                <w:sz w:val="18"/>
                <w:szCs w:val="18"/>
              </w:rPr>
              <w:t>t</w:t>
            </w:r>
            <w:r w:rsidRPr="00276295">
              <w:rPr>
                <w:i/>
                <w:iCs/>
                <w:sz w:val="18"/>
                <w:szCs w:val="18"/>
              </w:rPr>
              <w:t xml:space="preserve">o common stock </w:t>
            </w:r>
            <w:r w:rsidRPr="00276295">
              <w:rPr>
                <w:i/>
                <w:iCs/>
                <w:spacing w:val="2"/>
                <w:sz w:val="18"/>
                <w:szCs w:val="18"/>
              </w:rPr>
              <w:t>h</w:t>
            </w:r>
            <w:r w:rsidRPr="00276295">
              <w:rPr>
                <w:i/>
                <w:iCs/>
                <w:sz w:val="18"/>
                <w:szCs w:val="18"/>
              </w:rPr>
              <w:t>o</w:t>
            </w:r>
            <w:r w:rsidRPr="00276295">
              <w:rPr>
                <w:i/>
                <w:iCs/>
                <w:spacing w:val="-1"/>
                <w:sz w:val="18"/>
                <w:szCs w:val="18"/>
              </w:rPr>
              <w:t>l</w:t>
            </w:r>
            <w:r w:rsidRPr="00276295">
              <w:rPr>
                <w:i/>
                <w:iCs/>
                <w:spacing w:val="2"/>
                <w:sz w:val="18"/>
                <w:szCs w:val="18"/>
              </w:rPr>
              <w:t>d</w:t>
            </w:r>
            <w:r w:rsidRPr="00276295">
              <w:rPr>
                <w:i/>
                <w:iCs/>
                <w:sz w:val="18"/>
                <w:szCs w:val="18"/>
              </w:rPr>
              <w:t>ers of the P</w:t>
            </w:r>
            <w:r w:rsidRPr="00276295">
              <w:rPr>
                <w:i/>
                <w:iCs/>
                <w:spacing w:val="-1"/>
                <w:sz w:val="18"/>
                <w:szCs w:val="18"/>
              </w:rPr>
              <w:t>a</w:t>
            </w:r>
            <w:r w:rsidRPr="00276295">
              <w:rPr>
                <w:i/>
                <w:iCs/>
                <w:spacing w:val="1"/>
                <w:sz w:val="18"/>
                <w:szCs w:val="18"/>
              </w:rPr>
              <w:t>r</w:t>
            </w:r>
            <w:r w:rsidRPr="00276295">
              <w:rPr>
                <w:i/>
                <w:iCs/>
                <w:sz w:val="18"/>
                <w:szCs w:val="18"/>
              </w:rPr>
              <w:t>e</w:t>
            </w:r>
            <w:r w:rsidRPr="00276295">
              <w:rPr>
                <w:i/>
                <w:iCs/>
                <w:spacing w:val="-1"/>
                <w:sz w:val="18"/>
                <w:szCs w:val="18"/>
              </w:rPr>
              <w:t>n</w:t>
            </w:r>
            <w:r w:rsidRPr="00276295">
              <w:rPr>
                <w:i/>
                <w:iCs/>
                <w:sz w:val="18"/>
                <w:szCs w:val="18"/>
              </w:rPr>
              <w:t>t E</w:t>
            </w:r>
            <w:r w:rsidRPr="00276295">
              <w:rPr>
                <w:i/>
                <w:iCs/>
                <w:spacing w:val="-1"/>
                <w:sz w:val="18"/>
                <w:szCs w:val="18"/>
              </w:rPr>
              <w:t>n</w:t>
            </w:r>
            <w:r w:rsidRPr="00276295">
              <w:rPr>
                <w:i/>
                <w:iCs/>
                <w:spacing w:val="2"/>
                <w:sz w:val="18"/>
                <w:szCs w:val="18"/>
              </w:rPr>
              <w:t>t</w:t>
            </w:r>
            <w:r w:rsidRPr="00276295">
              <w:rPr>
                <w:i/>
                <w:iCs/>
                <w:spacing w:val="-1"/>
                <w:sz w:val="18"/>
                <w:szCs w:val="18"/>
              </w:rPr>
              <w:t>i</w:t>
            </w:r>
            <w:r w:rsidRPr="00276295">
              <w:rPr>
                <w:i/>
                <w:iCs/>
                <w:sz w:val="18"/>
                <w:szCs w:val="18"/>
              </w:rPr>
              <w:t>t</w:t>
            </w:r>
            <w:r w:rsidRPr="00276295">
              <w:rPr>
                <w:i/>
                <w:iCs/>
                <w:spacing w:val="1"/>
                <w:sz w:val="18"/>
                <w:szCs w:val="18"/>
              </w:rPr>
              <w:t>y</w:t>
            </w:r>
            <w:r w:rsidR="002523B0">
              <w:rPr>
                <w:i/>
                <w:iCs/>
                <w:sz w:val="18"/>
                <w:szCs w:val="18"/>
              </w:rPr>
              <w:t>,</w:t>
            </w:r>
            <w:r w:rsidRPr="00276295">
              <w:rPr>
                <w:i/>
                <w:iCs/>
                <w:sz w:val="18"/>
                <w:szCs w:val="18"/>
              </w:rPr>
              <w:t xml:space="preserve"> a</w:t>
            </w:r>
            <w:r w:rsidRPr="00276295">
              <w:rPr>
                <w:i/>
                <w:iCs/>
                <w:spacing w:val="-1"/>
                <w:sz w:val="18"/>
                <w:szCs w:val="18"/>
              </w:rPr>
              <w:t>n</w:t>
            </w:r>
            <w:r w:rsidRPr="00276295">
              <w:rPr>
                <w:i/>
                <w:iCs/>
                <w:sz w:val="18"/>
                <w:szCs w:val="18"/>
              </w:rPr>
              <w:t xml:space="preserve">d </w:t>
            </w:r>
            <w:r w:rsidRPr="00276295">
              <w:rPr>
                <w:i/>
                <w:iCs/>
                <w:spacing w:val="2"/>
                <w:sz w:val="18"/>
                <w:szCs w:val="18"/>
              </w:rPr>
              <w:t>t</w:t>
            </w:r>
            <w:r w:rsidRPr="00276295">
              <w:rPr>
                <w:i/>
                <w:iCs/>
                <w:sz w:val="18"/>
                <w:szCs w:val="18"/>
              </w:rPr>
              <w:t>he we</w:t>
            </w:r>
            <w:r w:rsidRPr="00276295">
              <w:rPr>
                <w:i/>
                <w:iCs/>
                <w:spacing w:val="-1"/>
                <w:sz w:val="18"/>
                <w:szCs w:val="18"/>
              </w:rPr>
              <w:t>i</w:t>
            </w:r>
            <w:r w:rsidRPr="00276295">
              <w:rPr>
                <w:i/>
                <w:iCs/>
                <w:spacing w:val="2"/>
                <w:sz w:val="18"/>
                <w:szCs w:val="18"/>
              </w:rPr>
              <w:t>g</w:t>
            </w:r>
            <w:r w:rsidRPr="00276295">
              <w:rPr>
                <w:i/>
                <w:iCs/>
                <w:sz w:val="18"/>
                <w:szCs w:val="18"/>
              </w:rPr>
              <w:t>ht</w:t>
            </w:r>
            <w:r w:rsidRPr="00276295">
              <w:rPr>
                <w:i/>
                <w:iCs/>
                <w:spacing w:val="-1"/>
                <w:sz w:val="18"/>
                <w:szCs w:val="18"/>
              </w:rPr>
              <w:t>e</w:t>
            </w:r>
            <w:r w:rsidRPr="00276295">
              <w:rPr>
                <w:i/>
                <w:iCs/>
                <w:sz w:val="18"/>
                <w:szCs w:val="18"/>
              </w:rPr>
              <w:t>d a</w:t>
            </w:r>
            <w:r w:rsidRPr="00276295">
              <w:rPr>
                <w:i/>
                <w:iCs/>
                <w:spacing w:val="1"/>
                <w:sz w:val="18"/>
                <w:szCs w:val="18"/>
              </w:rPr>
              <w:t>v</w:t>
            </w:r>
            <w:r w:rsidRPr="00276295">
              <w:rPr>
                <w:i/>
                <w:iCs/>
                <w:sz w:val="18"/>
                <w:szCs w:val="18"/>
              </w:rPr>
              <w:t>erage n</w:t>
            </w:r>
            <w:r w:rsidRPr="00276295">
              <w:rPr>
                <w:i/>
                <w:iCs/>
                <w:spacing w:val="-1"/>
                <w:sz w:val="18"/>
                <w:szCs w:val="18"/>
              </w:rPr>
              <w:t>u</w:t>
            </w:r>
            <w:r w:rsidRPr="00276295">
              <w:rPr>
                <w:i/>
                <w:iCs/>
                <w:sz w:val="18"/>
                <w:szCs w:val="18"/>
              </w:rPr>
              <w:t>m</w:t>
            </w:r>
            <w:r w:rsidRPr="00276295">
              <w:rPr>
                <w:i/>
                <w:iCs/>
                <w:spacing w:val="2"/>
                <w:sz w:val="18"/>
                <w:szCs w:val="18"/>
              </w:rPr>
              <w:t>b</w:t>
            </w:r>
            <w:r w:rsidRPr="00276295">
              <w:rPr>
                <w:i/>
                <w:iCs/>
                <w:sz w:val="18"/>
                <w:szCs w:val="18"/>
              </w:rPr>
              <w:t>er</w:t>
            </w:r>
            <w:r w:rsidRPr="00276295">
              <w:rPr>
                <w:i/>
                <w:iCs/>
                <w:spacing w:val="2"/>
                <w:sz w:val="18"/>
                <w:szCs w:val="18"/>
              </w:rPr>
              <w:t xml:space="preserve"> </w:t>
            </w:r>
            <w:r w:rsidRPr="00276295">
              <w:rPr>
                <w:i/>
                <w:iCs/>
                <w:sz w:val="18"/>
                <w:szCs w:val="18"/>
              </w:rPr>
              <w:t>of</w:t>
            </w:r>
            <w:r w:rsidRPr="00276295">
              <w:rPr>
                <w:i/>
                <w:iCs/>
                <w:spacing w:val="8"/>
                <w:sz w:val="18"/>
                <w:szCs w:val="18"/>
              </w:rPr>
              <w:t xml:space="preserve"> </w:t>
            </w:r>
            <w:r w:rsidRPr="00276295">
              <w:rPr>
                <w:i/>
                <w:iCs/>
                <w:spacing w:val="1"/>
                <w:sz w:val="18"/>
                <w:szCs w:val="18"/>
              </w:rPr>
              <w:t>common stock outstanding</w:t>
            </w:r>
            <w:r w:rsidR="002523B0">
              <w:rPr>
                <w:i/>
                <w:iCs/>
                <w:sz w:val="18"/>
                <w:szCs w:val="18"/>
              </w:rPr>
              <w:t>,</w:t>
            </w:r>
            <w:r w:rsidRPr="00276295">
              <w:rPr>
                <w:i/>
                <w:iCs/>
                <w:sz w:val="18"/>
                <w:szCs w:val="18"/>
              </w:rPr>
              <w:t xml:space="preserve"> for</w:t>
            </w:r>
            <w:r w:rsidRPr="00276295">
              <w:rPr>
                <w:i/>
                <w:iCs/>
                <w:spacing w:val="9"/>
                <w:sz w:val="18"/>
                <w:szCs w:val="18"/>
              </w:rPr>
              <w:t xml:space="preserve"> </w:t>
            </w:r>
            <w:r w:rsidRPr="00276295">
              <w:rPr>
                <w:i/>
                <w:iCs/>
                <w:sz w:val="18"/>
                <w:szCs w:val="18"/>
              </w:rPr>
              <w:t>the</w:t>
            </w:r>
            <w:r w:rsidRPr="00276295">
              <w:rPr>
                <w:i/>
                <w:iCs/>
                <w:spacing w:val="7"/>
                <w:sz w:val="18"/>
                <w:szCs w:val="18"/>
              </w:rPr>
              <w:t xml:space="preserve"> </w:t>
            </w:r>
            <w:r w:rsidRPr="00276295">
              <w:rPr>
                <w:i/>
                <w:iCs/>
                <w:sz w:val="18"/>
                <w:szCs w:val="18"/>
              </w:rPr>
              <w:t>ef</w:t>
            </w:r>
            <w:r w:rsidRPr="00276295">
              <w:rPr>
                <w:i/>
                <w:iCs/>
                <w:spacing w:val="1"/>
                <w:sz w:val="18"/>
                <w:szCs w:val="18"/>
              </w:rPr>
              <w:t>f</w:t>
            </w:r>
            <w:r w:rsidRPr="00276295">
              <w:rPr>
                <w:i/>
                <w:iCs/>
                <w:sz w:val="18"/>
                <w:szCs w:val="18"/>
              </w:rPr>
              <w:t>e</w:t>
            </w:r>
            <w:r w:rsidRPr="00276295">
              <w:rPr>
                <w:i/>
                <w:iCs/>
                <w:spacing w:val="1"/>
                <w:sz w:val="18"/>
                <w:szCs w:val="18"/>
              </w:rPr>
              <w:t>c</w:t>
            </w:r>
            <w:r w:rsidRPr="00276295">
              <w:rPr>
                <w:i/>
                <w:iCs/>
                <w:sz w:val="18"/>
                <w:szCs w:val="18"/>
              </w:rPr>
              <w:t>t</w:t>
            </w:r>
            <w:r w:rsidRPr="00276295">
              <w:rPr>
                <w:i/>
                <w:iCs/>
                <w:spacing w:val="4"/>
                <w:sz w:val="18"/>
                <w:szCs w:val="18"/>
              </w:rPr>
              <w:t xml:space="preserve"> </w:t>
            </w:r>
            <w:r w:rsidRPr="00276295">
              <w:rPr>
                <w:i/>
                <w:iCs/>
                <w:sz w:val="18"/>
                <w:szCs w:val="18"/>
              </w:rPr>
              <w:t>of a</w:t>
            </w:r>
            <w:r w:rsidRPr="00276295">
              <w:rPr>
                <w:i/>
                <w:iCs/>
                <w:spacing w:val="-1"/>
                <w:sz w:val="18"/>
                <w:szCs w:val="18"/>
              </w:rPr>
              <w:t>l</w:t>
            </w:r>
            <w:r w:rsidRPr="00276295">
              <w:rPr>
                <w:i/>
                <w:iCs/>
                <w:sz w:val="18"/>
                <w:szCs w:val="18"/>
              </w:rPr>
              <w:t>l</w:t>
            </w:r>
            <w:r w:rsidRPr="00276295">
              <w:rPr>
                <w:i/>
                <w:iCs/>
                <w:spacing w:val="-1"/>
                <w:sz w:val="18"/>
                <w:szCs w:val="18"/>
              </w:rPr>
              <w:t xml:space="preserve"> </w:t>
            </w:r>
            <w:r w:rsidRPr="00276295">
              <w:rPr>
                <w:i/>
                <w:iCs/>
                <w:sz w:val="18"/>
                <w:szCs w:val="18"/>
              </w:rPr>
              <w:t>d</w:t>
            </w:r>
            <w:r w:rsidRPr="00276295">
              <w:rPr>
                <w:i/>
                <w:iCs/>
                <w:spacing w:val="1"/>
                <w:sz w:val="18"/>
                <w:szCs w:val="18"/>
              </w:rPr>
              <w:t>i</w:t>
            </w:r>
            <w:r w:rsidRPr="00276295">
              <w:rPr>
                <w:i/>
                <w:iCs/>
                <w:spacing w:val="-1"/>
                <w:sz w:val="18"/>
                <w:szCs w:val="18"/>
              </w:rPr>
              <w:t>l</w:t>
            </w:r>
            <w:r w:rsidRPr="00276295">
              <w:rPr>
                <w:i/>
                <w:iCs/>
                <w:sz w:val="18"/>
                <w:szCs w:val="18"/>
              </w:rPr>
              <w:t>u</w:t>
            </w:r>
            <w:r w:rsidRPr="00276295">
              <w:rPr>
                <w:i/>
                <w:iCs/>
                <w:spacing w:val="2"/>
                <w:sz w:val="18"/>
                <w:szCs w:val="18"/>
              </w:rPr>
              <w:t>t</w:t>
            </w:r>
            <w:r w:rsidRPr="00276295">
              <w:rPr>
                <w:i/>
                <w:iCs/>
                <w:spacing w:val="-1"/>
                <w:sz w:val="18"/>
                <w:szCs w:val="18"/>
              </w:rPr>
              <w:t>i</w:t>
            </w:r>
            <w:r w:rsidRPr="00276295">
              <w:rPr>
                <w:i/>
                <w:iCs/>
                <w:spacing w:val="1"/>
                <w:sz w:val="18"/>
                <w:szCs w:val="18"/>
              </w:rPr>
              <w:t>v</w:t>
            </w:r>
            <w:r w:rsidRPr="00276295">
              <w:rPr>
                <w:i/>
                <w:iCs/>
                <w:sz w:val="18"/>
                <w:szCs w:val="18"/>
              </w:rPr>
              <w:t>e</w:t>
            </w:r>
            <w:r w:rsidRPr="00276295">
              <w:rPr>
                <w:i/>
                <w:iCs/>
                <w:spacing w:val="-6"/>
                <w:sz w:val="18"/>
                <w:szCs w:val="18"/>
              </w:rPr>
              <w:t xml:space="preserve"> </w:t>
            </w:r>
            <w:r w:rsidRPr="00276295">
              <w:rPr>
                <w:i/>
                <w:iCs/>
                <w:spacing w:val="1"/>
                <w:sz w:val="18"/>
                <w:szCs w:val="18"/>
              </w:rPr>
              <w:t>p</w:t>
            </w:r>
            <w:r w:rsidRPr="00276295">
              <w:rPr>
                <w:i/>
                <w:iCs/>
                <w:sz w:val="18"/>
                <w:szCs w:val="18"/>
              </w:rPr>
              <w:t>ot</w:t>
            </w:r>
            <w:r w:rsidRPr="00276295">
              <w:rPr>
                <w:i/>
                <w:iCs/>
                <w:spacing w:val="1"/>
                <w:sz w:val="18"/>
                <w:szCs w:val="18"/>
              </w:rPr>
              <w:t>e</w:t>
            </w:r>
            <w:r w:rsidRPr="00276295">
              <w:rPr>
                <w:i/>
                <w:iCs/>
                <w:sz w:val="18"/>
                <w:szCs w:val="18"/>
              </w:rPr>
              <w:t>nt</w:t>
            </w:r>
            <w:r w:rsidRPr="00276295">
              <w:rPr>
                <w:i/>
                <w:iCs/>
                <w:spacing w:val="1"/>
                <w:sz w:val="18"/>
                <w:szCs w:val="18"/>
              </w:rPr>
              <w:t>i</w:t>
            </w:r>
            <w:r w:rsidRPr="00276295">
              <w:rPr>
                <w:i/>
                <w:iCs/>
                <w:sz w:val="18"/>
                <w:szCs w:val="18"/>
              </w:rPr>
              <w:t>al</w:t>
            </w:r>
            <w:r w:rsidRPr="00276295">
              <w:rPr>
                <w:i/>
                <w:iCs/>
                <w:spacing w:val="-7"/>
                <w:sz w:val="18"/>
                <w:szCs w:val="18"/>
              </w:rPr>
              <w:t xml:space="preserve"> </w:t>
            </w:r>
            <w:r w:rsidRPr="00276295">
              <w:rPr>
                <w:i/>
                <w:iCs/>
                <w:sz w:val="18"/>
                <w:szCs w:val="18"/>
              </w:rPr>
              <w:t>common stock.</w:t>
            </w:r>
          </w:p>
        </w:tc>
      </w:tr>
      <w:tr w:rsidR="006977B6" w:rsidRPr="00A928CB" w14:paraId="6E3245AF" w14:textId="77777777" w:rsidTr="00D215E4">
        <w:tc>
          <w:tcPr>
            <w:tcW w:w="4708" w:type="dxa"/>
          </w:tcPr>
          <w:p w14:paraId="3CA0E910" w14:textId="77777777" w:rsidR="006977B6" w:rsidRPr="00A928CB" w:rsidRDefault="006977B6" w:rsidP="00D215E4">
            <w:pPr>
              <w:pStyle w:val="ListParagraph"/>
              <w:ind w:left="317"/>
              <w:contextualSpacing/>
              <w:jc w:val="both"/>
              <w:rPr>
                <w:sz w:val="12"/>
                <w:szCs w:val="14"/>
                <w:highlight w:val="cyan"/>
              </w:rPr>
            </w:pPr>
          </w:p>
        </w:tc>
        <w:tc>
          <w:tcPr>
            <w:tcW w:w="4708" w:type="dxa"/>
          </w:tcPr>
          <w:p w14:paraId="0419D5F8" w14:textId="77777777" w:rsidR="006977B6" w:rsidRPr="00A928CB" w:rsidRDefault="006977B6" w:rsidP="00D215E4">
            <w:pPr>
              <w:pStyle w:val="ListParagraph"/>
              <w:ind w:left="289"/>
              <w:contextualSpacing/>
              <w:jc w:val="both"/>
              <w:rPr>
                <w:b/>
                <w:i/>
                <w:sz w:val="12"/>
                <w:szCs w:val="14"/>
                <w:highlight w:val="cyan"/>
              </w:rPr>
            </w:pPr>
          </w:p>
        </w:tc>
      </w:tr>
      <w:tr w:rsidR="006977B6" w:rsidRPr="00A928CB" w14:paraId="61B52795" w14:textId="77777777" w:rsidTr="00D215E4">
        <w:tc>
          <w:tcPr>
            <w:tcW w:w="4708" w:type="dxa"/>
          </w:tcPr>
          <w:p w14:paraId="19A84C6D" w14:textId="77777777" w:rsidR="006977B6" w:rsidRPr="00276295" w:rsidRDefault="006977B6" w:rsidP="00070D1F">
            <w:pPr>
              <w:pStyle w:val="ListParagraph"/>
              <w:numPr>
                <w:ilvl w:val="0"/>
                <w:numId w:val="88"/>
              </w:numPr>
              <w:ind w:left="568" w:hanging="284"/>
              <w:contextualSpacing/>
              <w:jc w:val="both"/>
              <w:rPr>
                <w:rStyle w:val="hps"/>
                <w:b/>
                <w:bCs w:val="0"/>
                <w:sz w:val="18"/>
                <w:szCs w:val="18"/>
              </w:rPr>
            </w:pPr>
            <w:r w:rsidRPr="00276295">
              <w:rPr>
                <w:b/>
                <w:bCs w:val="0"/>
                <w:spacing w:val="-1"/>
                <w:sz w:val="18"/>
                <w:szCs w:val="18"/>
              </w:rPr>
              <w:t>Pengakuan</w:t>
            </w:r>
            <w:r w:rsidRPr="00276295">
              <w:rPr>
                <w:rStyle w:val="hps"/>
                <w:b/>
                <w:bCs w:val="0"/>
                <w:sz w:val="18"/>
                <w:szCs w:val="18"/>
              </w:rPr>
              <w:t xml:space="preserve"> Pendapatan dan Beban</w:t>
            </w:r>
          </w:p>
        </w:tc>
        <w:tc>
          <w:tcPr>
            <w:tcW w:w="4708" w:type="dxa"/>
          </w:tcPr>
          <w:p w14:paraId="6888C331" w14:textId="77777777" w:rsidR="006977B6" w:rsidRPr="00276295" w:rsidRDefault="006977B6" w:rsidP="00070D1F">
            <w:pPr>
              <w:pStyle w:val="ListParagraph"/>
              <w:numPr>
                <w:ilvl w:val="0"/>
                <w:numId w:val="89"/>
              </w:numPr>
              <w:ind w:left="568" w:hanging="284"/>
              <w:contextualSpacing/>
              <w:jc w:val="both"/>
              <w:rPr>
                <w:b/>
                <w:bCs w:val="0"/>
                <w:i/>
                <w:sz w:val="18"/>
                <w:szCs w:val="18"/>
              </w:rPr>
            </w:pPr>
            <w:r w:rsidRPr="00276295">
              <w:rPr>
                <w:b/>
                <w:bCs w:val="0"/>
                <w:i/>
                <w:sz w:val="18"/>
                <w:szCs w:val="18"/>
              </w:rPr>
              <w:t>Revenue and Expense Recognition</w:t>
            </w:r>
          </w:p>
        </w:tc>
      </w:tr>
      <w:tr w:rsidR="006977B6" w:rsidRPr="00A928CB" w14:paraId="4EBFEAB2" w14:textId="77777777" w:rsidTr="00D215E4">
        <w:tc>
          <w:tcPr>
            <w:tcW w:w="4708" w:type="dxa"/>
          </w:tcPr>
          <w:p w14:paraId="7DBC77D6" w14:textId="77777777" w:rsidR="006977B6" w:rsidRPr="00276295" w:rsidRDefault="006977B6" w:rsidP="00D215E4">
            <w:pPr>
              <w:tabs>
                <w:tab w:val="left" w:pos="1020"/>
              </w:tabs>
              <w:jc w:val="both"/>
              <w:rPr>
                <w:rStyle w:val="hps"/>
                <w:b/>
                <w:sz w:val="12"/>
                <w:szCs w:val="14"/>
              </w:rPr>
            </w:pPr>
          </w:p>
        </w:tc>
        <w:tc>
          <w:tcPr>
            <w:tcW w:w="4708" w:type="dxa"/>
          </w:tcPr>
          <w:p w14:paraId="424E3E7C" w14:textId="77777777" w:rsidR="006977B6" w:rsidRPr="00276295" w:rsidRDefault="006977B6" w:rsidP="00D215E4">
            <w:pPr>
              <w:ind w:left="426"/>
              <w:jc w:val="both"/>
              <w:rPr>
                <w:bCs w:val="0"/>
                <w:i/>
                <w:sz w:val="12"/>
                <w:szCs w:val="14"/>
              </w:rPr>
            </w:pPr>
          </w:p>
        </w:tc>
      </w:tr>
      <w:tr w:rsidR="006977B6" w:rsidRPr="00A928CB" w14:paraId="11CCC076" w14:textId="77777777" w:rsidTr="00D215E4">
        <w:tc>
          <w:tcPr>
            <w:tcW w:w="4708" w:type="dxa"/>
          </w:tcPr>
          <w:p w14:paraId="339B8BBA" w14:textId="7011559D" w:rsidR="006977B6" w:rsidRPr="00276295" w:rsidRDefault="006977B6" w:rsidP="002523B0">
            <w:pPr>
              <w:pStyle w:val="ListParagraph"/>
              <w:ind w:left="567" w:right="-57"/>
              <w:jc w:val="both"/>
              <w:rPr>
                <w:rStyle w:val="hps"/>
                <w:sz w:val="18"/>
                <w:szCs w:val="18"/>
              </w:rPr>
            </w:pPr>
            <w:r w:rsidRPr="00276295">
              <w:rPr>
                <w:spacing w:val="-1"/>
                <w:sz w:val="18"/>
                <w:szCs w:val="18"/>
              </w:rPr>
              <w:t>P</w:t>
            </w:r>
            <w:r w:rsidRPr="00276295">
              <w:rPr>
                <w:sz w:val="18"/>
                <w:szCs w:val="18"/>
              </w:rPr>
              <w:t>e</w:t>
            </w:r>
            <w:r w:rsidRPr="00276295">
              <w:rPr>
                <w:spacing w:val="1"/>
                <w:sz w:val="18"/>
                <w:szCs w:val="18"/>
              </w:rPr>
              <w:t>n</w:t>
            </w:r>
            <w:r w:rsidRPr="00276295">
              <w:rPr>
                <w:sz w:val="18"/>
                <w:szCs w:val="18"/>
              </w:rPr>
              <w:t>d</w:t>
            </w:r>
            <w:r w:rsidRPr="00276295">
              <w:rPr>
                <w:spacing w:val="-1"/>
                <w:sz w:val="18"/>
                <w:szCs w:val="18"/>
              </w:rPr>
              <w:t>a</w:t>
            </w:r>
            <w:r w:rsidRPr="00276295">
              <w:rPr>
                <w:spacing w:val="2"/>
                <w:sz w:val="18"/>
                <w:szCs w:val="18"/>
              </w:rPr>
              <w:t>p</w:t>
            </w:r>
            <w:r w:rsidRPr="00276295">
              <w:rPr>
                <w:sz w:val="18"/>
                <w:szCs w:val="18"/>
              </w:rPr>
              <w:t>at</w:t>
            </w:r>
            <w:r w:rsidRPr="00276295">
              <w:rPr>
                <w:spacing w:val="1"/>
                <w:sz w:val="18"/>
                <w:szCs w:val="18"/>
              </w:rPr>
              <w:t>a</w:t>
            </w:r>
            <w:r w:rsidRPr="00276295">
              <w:rPr>
                <w:sz w:val="18"/>
                <w:szCs w:val="18"/>
              </w:rPr>
              <w:t>n d</w:t>
            </w:r>
            <w:r w:rsidRPr="00276295">
              <w:rPr>
                <w:spacing w:val="-1"/>
                <w:sz w:val="18"/>
                <w:szCs w:val="18"/>
              </w:rPr>
              <w:t>i</w:t>
            </w:r>
            <w:r w:rsidRPr="00276295">
              <w:rPr>
                <w:sz w:val="18"/>
                <w:szCs w:val="18"/>
              </w:rPr>
              <w:t>a</w:t>
            </w:r>
            <w:r w:rsidRPr="00276295">
              <w:rPr>
                <w:spacing w:val="3"/>
                <w:sz w:val="18"/>
                <w:szCs w:val="18"/>
              </w:rPr>
              <w:t>k</w:t>
            </w:r>
            <w:r w:rsidRPr="00276295">
              <w:rPr>
                <w:sz w:val="18"/>
                <w:szCs w:val="18"/>
              </w:rPr>
              <w:t>ui</w:t>
            </w:r>
            <w:r w:rsidRPr="00276295">
              <w:rPr>
                <w:spacing w:val="5"/>
                <w:sz w:val="18"/>
                <w:szCs w:val="18"/>
              </w:rPr>
              <w:t xml:space="preserve"> </w:t>
            </w:r>
            <w:r w:rsidRPr="00276295">
              <w:rPr>
                <w:sz w:val="18"/>
                <w:szCs w:val="18"/>
              </w:rPr>
              <w:t>b</w:t>
            </w:r>
            <w:r w:rsidRPr="00276295">
              <w:rPr>
                <w:spacing w:val="1"/>
                <w:sz w:val="18"/>
                <w:szCs w:val="18"/>
              </w:rPr>
              <w:t>i</w:t>
            </w:r>
            <w:r w:rsidRPr="00276295">
              <w:rPr>
                <w:spacing w:val="-1"/>
                <w:sz w:val="18"/>
                <w:szCs w:val="18"/>
              </w:rPr>
              <w:t>l</w:t>
            </w:r>
            <w:r w:rsidRPr="00276295">
              <w:rPr>
                <w:sz w:val="18"/>
                <w:szCs w:val="18"/>
              </w:rPr>
              <w:t>a</w:t>
            </w:r>
            <w:r w:rsidRPr="00276295">
              <w:rPr>
                <w:spacing w:val="10"/>
                <w:sz w:val="18"/>
                <w:szCs w:val="18"/>
              </w:rPr>
              <w:t xml:space="preserve"> </w:t>
            </w:r>
            <w:r w:rsidRPr="00276295">
              <w:rPr>
                <w:sz w:val="18"/>
                <w:szCs w:val="18"/>
              </w:rPr>
              <w:t>b</w:t>
            </w:r>
            <w:r w:rsidRPr="00276295">
              <w:rPr>
                <w:spacing w:val="-1"/>
                <w:sz w:val="18"/>
                <w:szCs w:val="18"/>
              </w:rPr>
              <w:t>e</w:t>
            </w:r>
            <w:r w:rsidRPr="00276295">
              <w:rPr>
                <w:spacing w:val="1"/>
                <w:sz w:val="18"/>
                <w:szCs w:val="18"/>
              </w:rPr>
              <w:t>s</w:t>
            </w:r>
            <w:r w:rsidRPr="00276295">
              <w:rPr>
                <w:sz w:val="18"/>
                <w:szCs w:val="18"/>
              </w:rPr>
              <w:t>ar</w:t>
            </w:r>
            <w:r w:rsidRPr="00276295">
              <w:rPr>
                <w:spacing w:val="7"/>
                <w:sz w:val="18"/>
                <w:szCs w:val="18"/>
              </w:rPr>
              <w:t xml:space="preserve"> </w:t>
            </w:r>
            <w:r w:rsidRPr="00276295">
              <w:rPr>
                <w:spacing w:val="3"/>
                <w:sz w:val="18"/>
                <w:szCs w:val="18"/>
              </w:rPr>
              <w:t>k</w:t>
            </w:r>
            <w:r w:rsidRPr="00276295">
              <w:rPr>
                <w:spacing w:val="-3"/>
                <w:sz w:val="18"/>
                <w:szCs w:val="18"/>
              </w:rPr>
              <w:t>e</w:t>
            </w:r>
            <w:r w:rsidRPr="00276295">
              <w:rPr>
                <w:spacing w:val="4"/>
                <w:sz w:val="18"/>
                <w:szCs w:val="18"/>
              </w:rPr>
              <w:t>m</w:t>
            </w:r>
            <w:r w:rsidRPr="00276295">
              <w:rPr>
                <w:sz w:val="18"/>
                <w:szCs w:val="18"/>
              </w:rPr>
              <w:t>u</w:t>
            </w:r>
            <w:r w:rsidRPr="00276295">
              <w:rPr>
                <w:spacing w:val="-1"/>
                <w:sz w:val="18"/>
                <w:szCs w:val="18"/>
              </w:rPr>
              <w:t>n</w:t>
            </w:r>
            <w:r w:rsidRPr="00276295">
              <w:rPr>
                <w:spacing w:val="-3"/>
                <w:sz w:val="18"/>
                <w:szCs w:val="18"/>
              </w:rPr>
              <w:t>g</w:t>
            </w:r>
            <w:r w:rsidRPr="00276295">
              <w:rPr>
                <w:spacing w:val="3"/>
                <w:sz w:val="18"/>
                <w:szCs w:val="18"/>
              </w:rPr>
              <w:t>k</w:t>
            </w:r>
            <w:r w:rsidRPr="00276295">
              <w:rPr>
                <w:spacing w:val="-1"/>
                <w:sz w:val="18"/>
                <w:szCs w:val="18"/>
              </w:rPr>
              <w:t>i</w:t>
            </w:r>
            <w:r w:rsidRPr="00276295">
              <w:rPr>
                <w:sz w:val="18"/>
                <w:szCs w:val="18"/>
              </w:rPr>
              <w:t>n</w:t>
            </w:r>
            <w:r w:rsidRPr="00276295">
              <w:rPr>
                <w:spacing w:val="-1"/>
                <w:sz w:val="18"/>
                <w:szCs w:val="18"/>
              </w:rPr>
              <w:t>a</w:t>
            </w:r>
            <w:r w:rsidRPr="00276295">
              <w:rPr>
                <w:sz w:val="18"/>
                <w:szCs w:val="18"/>
              </w:rPr>
              <w:t xml:space="preserve">n </w:t>
            </w:r>
            <w:r w:rsidRPr="00276295">
              <w:rPr>
                <w:spacing w:val="4"/>
                <w:sz w:val="18"/>
                <w:szCs w:val="18"/>
              </w:rPr>
              <w:t>m</w:t>
            </w:r>
            <w:r w:rsidRPr="00276295">
              <w:rPr>
                <w:sz w:val="18"/>
                <w:szCs w:val="18"/>
              </w:rPr>
              <w:t>a</w:t>
            </w:r>
            <w:r w:rsidRPr="00276295">
              <w:rPr>
                <w:spacing w:val="-3"/>
                <w:sz w:val="18"/>
                <w:szCs w:val="18"/>
              </w:rPr>
              <w:t>n</w:t>
            </w:r>
            <w:r w:rsidRPr="00276295">
              <w:rPr>
                <w:spacing w:val="2"/>
                <w:sz w:val="18"/>
                <w:szCs w:val="18"/>
              </w:rPr>
              <w:t>f</w:t>
            </w:r>
            <w:r w:rsidRPr="00276295">
              <w:rPr>
                <w:sz w:val="18"/>
                <w:szCs w:val="18"/>
              </w:rPr>
              <w:t>a</w:t>
            </w:r>
            <w:r w:rsidRPr="00276295">
              <w:rPr>
                <w:spacing w:val="-1"/>
                <w:sz w:val="18"/>
                <w:szCs w:val="18"/>
              </w:rPr>
              <w:t>a</w:t>
            </w:r>
            <w:r w:rsidRPr="00276295">
              <w:rPr>
                <w:sz w:val="18"/>
                <w:szCs w:val="18"/>
              </w:rPr>
              <w:t>t e</w:t>
            </w:r>
            <w:r w:rsidRPr="00276295">
              <w:rPr>
                <w:spacing w:val="3"/>
                <w:sz w:val="18"/>
                <w:szCs w:val="18"/>
              </w:rPr>
              <w:t>k</w:t>
            </w:r>
            <w:r w:rsidRPr="00276295">
              <w:rPr>
                <w:sz w:val="18"/>
                <w:szCs w:val="18"/>
              </w:rPr>
              <w:t>o</w:t>
            </w:r>
            <w:r w:rsidRPr="00276295">
              <w:rPr>
                <w:spacing w:val="-1"/>
                <w:sz w:val="18"/>
                <w:szCs w:val="18"/>
              </w:rPr>
              <w:t>n</w:t>
            </w:r>
            <w:r w:rsidRPr="00276295">
              <w:rPr>
                <w:sz w:val="18"/>
                <w:szCs w:val="18"/>
              </w:rPr>
              <w:t>o</w:t>
            </w:r>
            <w:r w:rsidRPr="00276295">
              <w:rPr>
                <w:spacing w:val="4"/>
                <w:sz w:val="18"/>
                <w:szCs w:val="18"/>
              </w:rPr>
              <w:t>m</w:t>
            </w:r>
            <w:r w:rsidRPr="00276295">
              <w:rPr>
                <w:sz w:val="18"/>
                <w:szCs w:val="18"/>
              </w:rPr>
              <w:t xml:space="preserve">i </w:t>
            </w:r>
            <w:r w:rsidRPr="00276295">
              <w:rPr>
                <w:spacing w:val="-3"/>
                <w:sz w:val="18"/>
                <w:szCs w:val="18"/>
              </w:rPr>
              <w:t>a</w:t>
            </w:r>
            <w:r w:rsidRPr="00276295">
              <w:rPr>
                <w:spacing w:val="3"/>
                <w:sz w:val="18"/>
                <w:szCs w:val="18"/>
              </w:rPr>
              <w:t>k</w:t>
            </w:r>
            <w:r w:rsidRPr="00276295">
              <w:rPr>
                <w:sz w:val="18"/>
                <w:szCs w:val="18"/>
              </w:rPr>
              <w:t>an d</w:t>
            </w:r>
            <w:r w:rsidRPr="00276295">
              <w:rPr>
                <w:spacing w:val="1"/>
                <w:sz w:val="18"/>
                <w:szCs w:val="18"/>
              </w:rPr>
              <w:t>i</w:t>
            </w:r>
            <w:r w:rsidRPr="00276295">
              <w:rPr>
                <w:sz w:val="18"/>
                <w:szCs w:val="18"/>
              </w:rPr>
              <w:t>p</w:t>
            </w:r>
            <w:r w:rsidRPr="00276295">
              <w:rPr>
                <w:spacing w:val="-1"/>
                <w:sz w:val="18"/>
                <w:szCs w:val="18"/>
              </w:rPr>
              <w:t>e</w:t>
            </w:r>
            <w:r w:rsidRPr="00276295">
              <w:rPr>
                <w:spacing w:val="1"/>
                <w:sz w:val="18"/>
                <w:szCs w:val="18"/>
              </w:rPr>
              <w:t>r</w:t>
            </w:r>
            <w:r w:rsidRPr="00276295">
              <w:rPr>
                <w:sz w:val="18"/>
                <w:szCs w:val="18"/>
              </w:rPr>
              <w:t>o</w:t>
            </w:r>
            <w:r w:rsidRPr="00276295">
              <w:rPr>
                <w:spacing w:val="1"/>
                <w:sz w:val="18"/>
                <w:szCs w:val="18"/>
              </w:rPr>
              <w:t>l</w:t>
            </w:r>
            <w:r w:rsidRPr="00276295">
              <w:rPr>
                <w:sz w:val="18"/>
                <w:szCs w:val="18"/>
              </w:rPr>
              <w:t xml:space="preserve">eh </w:t>
            </w:r>
            <w:r w:rsidRPr="00276295">
              <w:rPr>
                <w:spacing w:val="1"/>
                <w:sz w:val="18"/>
                <w:szCs w:val="18"/>
              </w:rPr>
              <w:t>oleh</w:t>
            </w:r>
            <w:r w:rsidRPr="00276295">
              <w:rPr>
                <w:sz w:val="18"/>
                <w:szCs w:val="18"/>
              </w:rPr>
              <w:t xml:space="preserve"> </w:t>
            </w:r>
            <w:r w:rsidRPr="00276295">
              <w:rPr>
                <w:spacing w:val="1"/>
                <w:sz w:val="18"/>
                <w:szCs w:val="18"/>
              </w:rPr>
              <w:t>Kelompok Usaha</w:t>
            </w:r>
            <w:r w:rsidRPr="00276295">
              <w:rPr>
                <w:sz w:val="18"/>
                <w:szCs w:val="18"/>
              </w:rPr>
              <w:t xml:space="preserve"> d</w:t>
            </w:r>
            <w:r w:rsidRPr="00276295">
              <w:rPr>
                <w:spacing w:val="-1"/>
                <w:sz w:val="18"/>
                <w:szCs w:val="18"/>
              </w:rPr>
              <w:t>a</w:t>
            </w:r>
            <w:r w:rsidRPr="00276295">
              <w:rPr>
                <w:sz w:val="18"/>
                <w:szCs w:val="18"/>
              </w:rPr>
              <w:t>n</w:t>
            </w:r>
            <w:r w:rsidRPr="00276295">
              <w:rPr>
                <w:spacing w:val="4"/>
                <w:sz w:val="18"/>
                <w:szCs w:val="18"/>
              </w:rPr>
              <w:t xml:space="preserve"> </w:t>
            </w:r>
            <w:r w:rsidRPr="00276295">
              <w:rPr>
                <w:spacing w:val="1"/>
                <w:sz w:val="18"/>
                <w:szCs w:val="18"/>
              </w:rPr>
              <w:t>j</w:t>
            </w:r>
            <w:r w:rsidRPr="00276295">
              <w:rPr>
                <w:sz w:val="18"/>
                <w:szCs w:val="18"/>
              </w:rPr>
              <w:t>u</w:t>
            </w:r>
            <w:r w:rsidRPr="00276295">
              <w:rPr>
                <w:spacing w:val="4"/>
                <w:sz w:val="18"/>
                <w:szCs w:val="18"/>
              </w:rPr>
              <w:t>m</w:t>
            </w:r>
            <w:r w:rsidRPr="00276295">
              <w:rPr>
                <w:spacing w:val="-1"/>
                <w:sz w:val="18"/>
                <w:szCs w:val="18"/>
              </w:rPr>
              <w:t>l</w:t>
            </w:r>
            <w:r w:rsidRPr="00276295">
              <w:rPr>
                <w:sz w:val="18"/>
                <w:szCs w:val="18"/>
              </w:rPr>
              <w:t>a</w:t>
            </w:r>
            <w:r w:rsidRPr="00276295">
              <w:rPr>
                <w:spacing w:val="-1"/>
                <w:sz w:val="18"/>
                <w:szCs w:val="18"/>
              </w:rPr>
              <w:t>h</w:t>
            </w:r>
            <w:r w:rsidRPr="00276295">
              <w:rPr>
                <w:spacing w:val="2"/>
                <w:sz w:val="18"/>
                <w:szCs w:val="18"/>
              </w:rPr>
              <w:t>n</w:t>
            </w:r>
            <w:r w:rsidRPr="00276295">
              <w:rPr>
                <w:spacing w:val="-4"/>
                <w:sz w:val="18"/>
                <w:szCs w:val="18"/>
              </w:rPr>
              <w:t>y</w:t>
            </w:r>
            <w:r w:rsidRPr="00276295">
              <w:rPr>
                <w:sz w:val="18"/>
                <w:szCs w:val="18"/>
              </w:rPr>
              <w:t>a d</w:t>
            </w:r>
            <w:r w:rsidRPr="00276295">
              <w:rPr>
                <w:spacing w:val="1"/>
                <w:sz w:val="18"/>
                <w:szCs w:val="18"/>
              </w:rPr>
              <w:t>a</w:t>
            </w:r>
            <w:r w:rsidRPr="00276295">
              <w:rPr>
                <w:sz w:val="18"/>
                <w:szCs w:val="18"/>
              </w:rPr>
              <w:t>p</w:t>
            </w:r>
            <w:r w:rsidRPr="00276295">
              <w:rPr>
                <w:spacing w:val="1"/>
                <w:sz w:val="18"/>
                <w:szCs w:val="18"/>
              </w:rPr>
              <w:t>a</w:t>
            </w:r>
            <w:r w:rsidRPr="00276295">
              <w:rPr>
                <w:sz w:val="18"/>
                <w:szCs w:val="18"/>
              </w:rPr>
              <w:t>t</w:t>
            </w:r>
            <w:r w:rsidRPr="00276295">
              <w:rPr>
                <w:spacing w:val="5"/>
                <w:sz w:val="18"/>
                <w:szCs w:val="18"/>
              </w:rPr>
              <w:t xml:space="preserve"> </w:t>
            </w:r>
            <w:r w:rsidRPr="00276295">
              <w:rPr>
                <w:sz w:val="18"/>
                <w:szCs w:val="18"/>
              </w:rPr>
              <w:t>d</w:t>
            </w:r>
            <w:r w:rsidRPr="00276295">
              <w:rPr>
                <w:spacing w:val="-1"/>
                <w:sz w:val="18"/>
                <w:szCs w:val="18"/>
              </w:rPr>
              <w:t>i</w:t>
            </w:r>
            <w:r w:rsidRPr="00276295">
              <w:rPr>
                <w:spacing w:val="2"/>
                <w:sz w:val="18"/>
                <w:szCs w:val="18"/>
              </w:rPr>
              <w:t>u</w:t>
            </w:r>
            <w:r w:rsidRPr="00276295">
              <w:rPr>
                <w:spacing w:val="3"/>
                <w:sz w:val="18"/>
                <w:szCs w:val="18"/>
              </w:rPr>
              <w:t>k</w:t>
            </w:r>
            <w:r w:rsidRPr="00276295">
              <w:rPr>
                <w:sz w:val="18"/>
                <w:szCs w:val="18"/>
              </w:rPr>
              <w:t>ur</w:t>
            </w:r>
            <w:r w:rsidRPr="00276295">
              <w:rPr>
                <w:spacing w:val="1"/>
                <w:sz w:val="18"/>
                <w:szCs w:val="18"/>
              </w:rPr>
              <w:t xml:space="preserve"> s</w:t>
            </w:r>
            <w:r w:rsidRPr="00276295">
              <w:rPr>
                <w:sz w:val="18"/>
                <w:szCs w:val="18"/>
              </w:rPr>
              <w:t>e</w:t>
            </w:r>
            <w:r w:rsidRPr="00276295">
              <w:rPr>
                <w:spacing w:val="1"/>
                <w:sz w:val="18"/>
                <w:szCs w:val="18"/>
              </w:rPr>
              <w:t>c</w:t>
            </w:r>
            <w:r w:rsidRPr="00276295">
              <w:rPr>
                <w:sz w:val="18"/>
                <w:szCs w:val="18"/>
              </w:rPr>
              <w:t>ara</w:t>
            </w:r>
            <w:r w:rsidRPr="00276295">
              <w:rPr>
                <w:spacing w:val="2"/>
                <w:sz w:val="18"/>
                <w:szCs w:val="18"/>
              </w:rPr>
              <w:t xml:space="preserve"> </w:t>
            </w:r>
            <w:r w:rsidRPr="00276295">
              <w:rPr>
                <w:sz w:val="18"/>
                <w:szCs w:val="18"/>
              </w:rPr>
              <w:t>h</w:t>
            </w:r>
            <w:r w:rsidRPr="00276295">
              <w:rPr>
                <w:spacing w:val="-1"/>
                <w:sz w:val="18"/>
                <w:szCs w:val="18"/>
              </w:rPr>
              <w:t>a</w:t>
            </w:r>
            <w:r w:rsidRPr="00276295">
              <w:rPr>
                <w:sz w:val="18"/>
                <w:szCs w:val="18"/>
              </w:rPr>
              <w:t>n</w:t>
            </w:r>
            <w:r w:rsidRPr="00276295">
              <w:rPr>
                <w:spacing w:val="1"/>
                <w:sz w:val="18"/>
                <w:szCs w:val="18"/>
              </w:rPr>
              <w:t>d</w:t>
            </w:r>
            <w:r w:rsidRPr="00276295">
              <w:rPr>
                <w:sz w:val="18"/>
                <w:szCs w:val="18"/>
              </w:rPr>
              <w:t>a</w:t>
            </w:r>
            <w:r w:rsidRPr="00276295">
              <w:rPr>
                <w:spacing w:val="-1"/>
                <w:sz w:val="18"/>
                <w:szCs w:val="18"/>
              </w:rPr>
              <w:t>l</w:t>
            </w:r>
            <w:r w:rsidRPr="00276295">
              <w:rPr>
                <w:sz w:val="18"/>
                <w:szCs w:val="18"/>
              </w:rPr>
              <w:t xml:space="preserve">. </w:t>
            </w:r>
            <w:r w:rsidRPr="00276295">
              <w:rPr>
                <w:spacing w:val="-1"/>
                <w:sz w:val="18"/>
                <w:szCs w:val="18"/>
              </w:rPr>
              <w:t>P</w:t>
            </w:r>
            <w:r w:rsidRPr="00276295">
              <w:rPr>
                <w:sz w:val="18"/>
                <w:szCs w:val="18"/>
              </w:rPr>
              <w:t>e</w:t>
            </w:r>
            <w:r w:rsidRPr="00276295">
              <w:rPr>
                <w:spacing w:val="1"/>
                <w:sz w:val="18"/>
                <w:szCs w:val="18"/>
              </w:rPr>
              <w:t>n</w:t>
            </w:r>
            <w:r w:rsidRPr="00276295">
              <w:rPr>
                <w:sz w:val="18"/>
                <w:szCs w:val="18"/>
              </w:rPr>
              <w:t>d</w:t>
            </w:r>
            <w:r w:rsidRPr="00276295">
              <w:rPr>
                <w:spacing w:val="-1"/>
                <w:sz w:val="18"/>
                <w:szCs w:val="18"/>
              </w:rPr>
              <w:t>a</w:t>
            </w:r>
            <w:r w:rsidRPr="00276295">
              <w:rPr>
                <w:spacing w:val="2"/>
                <w:sz w:val="18"/>
                <w:szCs w:val="18"/>
              </w:rPr>
              <w:t>p</w:t>
            </w:r>
            <w:r w:rsidRPr="00276295">
              <w:rPr>
                <w:sz w:val="18"/>
                <w:szCs w:val="18"/>
              </w:rPr>
              <w:t>at</w:t>
            </w:r>
            <w:r w:rsidRPr="00276295">
              <w:rPr>
                <w:spacing w:val="1"/>
                <w:sz w:val="18"/>
                <w:szCs w:val="18"/>
              </w:rPr>
              <w:t>a</w:t>
            </w:r>
            <w:r w:rsidRPr="00276295">
              <w:rPr>
                <w:sz w:val="18"/>
                <w:szCs w:val="18"/>
              </w:rPr>
              <w:t>n d</w:t>
            </w:r>
            <w:r w:rsidRPr="00276295">
              <w:rPr>
                <w:spacing w:val="-1"/>
                <w:sz w:val="18"/>
                <w:szCs w:val="18"/>
              </w:rPr>
              <w:t>i</w:t>
            </w:r>
            <w:r w:rsidRPr="00276295">
              <w:rPr>
                <w:sz w:val="18"/>
                <w:szCs w:val="18"/>
              </w:rPr>
              <w:t>u</w:t>
            </w:r>
            <w:r w:rsidRPr="00276295">
              <w:rPr>
                <w:spacing w:val="3"/>
                <w:sz w:val="18"/>
                <w:szCs w:val="18"/>
              </w:rPr>
              <w:t>k</w:t>
            </w:r>
            <w:r w:rsidRPr="00276295">
              <w:rPr>
                <w:sz w:val="18"/>
                <w:szCs w:val="18"/>
              </w:rPr>
              <w:t>ur</w:t>
            </w:r>
            <w:r w:rsidRPr="00276295">
              <w:rPr>
                <w:spacing w:val="6"/>
                <w:sz w:val="18"/>
                <w:szCs w:val="18"/>
              </w:rPr>
              <w:t xml:space="preserve"> </w:t>
            </w:r>
            <w:r w:rsidRPr="00276295">
              <w:rPr>
                <w:sz w:val="18"/>
                <w:szCs w:val="18"/>
              </w:rPr>
              <w:t>p</w:t>
            </w:r>
            <w:r w:rsidRPr="00276295">
              <w:rPr>
                <w:spacing w:val="-1"/>
                <w:sz w:val="18"/>
                <w:szCs w:val="18"/>
              </w:rPr>
              <w:t>a</w:t>
            </w:r>
            <w:r w:rsidRPr="00276295">
              <w:rPr>
                <w:sz w:val="18"/>
                <w:szCs w:val="18"/>
              </w:rPr>
              <w:t>da</w:t>
            </w:r>
            <w:r w:rsidRPr="00276295">
              <w:rPr>
                <w:spacing w:val="6"/>
                <w:sz w:val="18"/>
                <w:szCs w:val="18"/>
              </w:rPr>
              <w:t xml:space="preserve"> </w:t>
            </w:r>
            <w:r w:rsidRPr="00276295">
              <w:rPr>
                <w:sz w:val="18"/>
                <w:szCs w:val="18"/>
              </w:rPr>
              <w:t>n</w:t>
            </w:r>
            <w:r w:rsidRPr="00276295">
              <w:rPr>
                <w:spacing w:val="1"/>
                <w:sz w:val="18"/>
                <w:szCs w:val="18"/>
              </w:rPr>
              <w:t>i</w:t>
            </w:r>
            <w:r w:rsidRPr="00276295">
              <w:rPr>
                <w:spacing w:val="-1"/>
                <w:sz w:val="18"/>
                <w:szCs w:val="18"/>
              </w:rPr>
              <w:t>l</w:t>
            </w:r>
            <w:r w:rsidRPr="00276295">
              <w:rPr>
                <w:spacing w:val="2"/>
                <w:sz w:val="18"/>
                <w:szCs w:val="18"/>
              </w:rPr>
              <w:t>a</w:t>
            </w:r>
            <w:r w:rsidRPr="00276295">
              <w:rPr>
                <w:sz w:val="18"/>
                <w:szCs w:val="18"/>
              </w:rPr>
              <w:t>i</w:t>
            </w:r>
            <w:r w:rsidRPr="00276295">
              <w:rPr>
                <w:spacing w:val="9"/>
                <w:sz w:val="18"/>
                <w:szCs w:val="18"/>
              </w:rPr>
              <w:t xml:space="preserve"> </w:t>
            </w:r>
            <w:r w:rsidRPr="00276295">
              <w:rPr>
                <w:spacing w:val="3"/>
                <w:sz w:val="18"/>
                <w:szCs w:val="18"/>
              </w:rPr>
              <w:t>wajar</w:t>
            </w:r>
            <w:r w:rsidRPr="00276295">
              <w:rPr>
                <w:sz w:val="18"/>
                <w:szCs w:val="18"/>
              </w:rPr>
              <w:t xml:space="preserve"> p</w:t>
            </w:r>
            <w:r w:rsidRPr="00276295">
              <w:rPr>
                <w:spacing w:val="-1"/>
                <w:sz w:val="18"/>
                <w:szCs w:val="18"/>
              </w:rPr>
              <w:t>e</w:t>
            </w:r>
            <w:r w:rsidRPr="00276295">
              <w:rPr>
                <w:spacing w:val="4"/>
                <w:sz w:val="18"/>
                <w:szCs w:val="18"/>
              </w:rPr>
              <w:t>m</w:t>
            </w:r>
            <w:r w:rsidRPr="00276295">
              <w:rPr>
                <w:sz w:val="18"/>
                <w:szCs w:val="18"/>
              </w:rPr>
              <w:t>b</w:t>
            </w:r>
            <w:r w:rsidRPr="00276295">
              <w:rPr>
                <w:spacing w:val="1"/>
                <w:sz w:val="18"/>
                <w:szCs w:val="18"/>
              </w:rPr>
              <w:t>a</w:t>
            </w:r>
            <w:r w:rsidRPr="00276295">
              <w:rPr>
                <w:spacing w:val="-4"/>
                <w:sz w:val="18"/>
                <w:szCs w:val="18"/>
              </w:rPr>
              <w:t>y</w:t>
            </w:r>
            <w:r w:rsidRPr="00276295">
              <w:rPr>
                <w:sz w:val="18"/>
                <w:szCs w:val="18"/>
              </w:rPr>
              <w:t>aran</w:t>
            </w:r>
            <w:r w:rsidRPr="00276295">
              <w:rPr>
                <w:spacing w:val="1"/>
                <w:sz w:val="18"/>
                <w:szCs w:val="18"/>
              </w:rPr>
              <w:t xml:space="preserve"> </w:t>
            </w:r>
            <w:r w:rsidRPr="00276295">
              <w:rPr>
                <w:spacing w:val="-4"/>
                <w:sz w:val="18"/>
                <w:szCs w:val="18"/>
              </w:rPr>
              <w:t>y</w:t>
            </w:r>
            <w:r w:rsidRPr="00276295">
              <w:rPr>
                <w:spacing w:val="2"/>
                <w:sz w:val="18"/>
                <w:szCs w:val="18"/>
              </w:rPr>
              <w:t>a</w:t>
            </w:r>
            <w:r w:rsidRPr="00276295">
              <w:rPr>
                <w:sz w:val="18"/>
                <w:szCs w:val="18"/>
              </w:rPr>
              <w:t>ng</w:t>
            </w:r>
            <w:r w:rsidRPr="00276295">
              <w:rPr>
                <w:spacing w:val="4"/>
                <w:sz w:val="18"/>
                <w:szCs w:val="18"/>
              </w:rPr>
              <w:t xml:space="preserve"> </w:t>
            </w:r>
            <w:r w:rsidRPr="00276295">
              <w:rPr>
                <w:spacing w:val="2"/>
                <w:sz w:val="18"/>
                <w:szCs w:val="18"/>
              </w:rPr>
              <w:t>d</w:t>
            </w:r>
            <w:r w:rsidRPr="00276295">
              <w:rPr>
                <w:spacing w:val="-1"/>
                <w:sz w:val="18"/>
                <w:szCs w:val="18"/>
              </w:rPr>
              <w:t>i</w:t>
            </w:r>
            <w:r w:rsidRPr="00276295">
              <w:rPr>
                <w:sz w:val="18"/>
                <w:szCs w:val="18"/>
              </w:rPr>
              <w:t>ter</w:t>
            </w:r>
            <w:r w:rsidRPr="00276295">
              <w:rPr>
                <w:spacing w:val="2"/>
                <w:sz w:val="18"/>
                <w:szCs w:val="18"/>
              </w:rPr>
              <w:t>i</w:t>
            </w:r>
            <w:r w:rsidRPr="00276295">
              <w:rPr>
                <w:spacing w:val="4"/>
                <w:sz w:val="18"/>
                <w:szCs w:val="18"/>
              </w:rPr>
              <w:t>m</w:t>
            </w:r>
            <w:r w:rsidRPr="00276295">
              <w:rPr>
                <w:sz w:val="18"/>
                <w:szCs w:val="18"/>
              </w:rPr>
              <w:t>a</w:t>
            </w:r>
            <w:r w:rsidR="00870FD0">
              <w:rPr>
                <w:sz w:val="18"/>
                <w:szCs w:val="18"/>
              </w:rPr>
              <w:t>.</w:t>
            </w:r>
            <w:r w:rsidRPr="00276295">
              <w:rPr>
                <w:sz w:val="18"/>
                <w:szCs w:val="18"/>
              </w:rPr>
              <w:t xml:space="preserve"> </w:t>
            </w:r>
            <w:proofErr w:type="gramStart"/>
            <w:r w:rsidRPr="00276295">
              <w:rPr>
                <w:sz w:val="18"/>
                <w:szCs w:val="18"/>
              </w:rPr>
              <w:t>t</w:t>
            </w:r>
            <w:r w:rsidRPr="00276295">
              <w:rPr>
                <w:spacing w:val="-1"/>
                <w:sz w:val="18"/>
                <w:szCs w:val="18"/>
              </w:rPr>
              <w:t>i</w:t>
            </w:r>
            <w:r w:rsidRPr="00276295">
              <w:rPr>
                <w:sz w:val="18"/>
                <w:szCs w:val="18"/>
              </w:rPr>
              <w:t>d</w:t>
            </w:r>
            <w:r w:rsidRPr="00276295">
              <w:rPr>
                <w:spacing w:val="-1"/>
                <w:sz w:val="18"/>
                <w:szCs w:val="18"/>
              </w:rPr>
              <w:t>a</w:t>
            </w:r>
            <w:r w:rsidRPr="00276295">
              <w:rPr>
                <w:sz w:val="18"/>
                <w:szCs w:val="18"/>
              </w:rPr>
              <w:t>k</w:t>
            </w:r>
            <w:proofErr w:type="gramEnd"/>
            <w:r w:rsidRPr="00276295">
              <w:rPr>
                <w:spacing w:val="6"/>
                <w:sz w:val="18"/>
                <w:szCs w:val="18"/>
              </w:rPr>
              <w:t xml:space="preserve"> </w:t>
            </w:r>
            <w:r w:rsidRPr="00276295">
              <w:rPr>
                <w:sz w:val="18"/>
                <w:szCs w:val="18"/>
              </w:rPr>
              <w:t>te</w:t>
            </w:r>
            <w:r w:rsidRPr="00276295">
              <w:rPr>
                <w:spacing w:val="-2"/>
                <w:sz w:val="18"/>
                <w:szCs w:val="18"/>
              </w:rPr>
              <w:t>r</w:t>
            </w:r>
            <w:r w:rsidRPr="00276295">
              <w:rPr>
                <w:spacing w:val="4"/>
                <w:sz w:val="18"/>
                <w:szCs w:val="18"/>
              </w:rPr>
              <w:t>m</w:t>
            </w:r>
            <w:r w:rsidRPr="00276295">
              <w:rPr>
                <w:sz w:val="18"/>
                <w:szCs w:val="18"/>
              </w:rPr>
              <w:t>a</w:t>
            </w:r>
            <w:r w:rsidRPr="00276295">
              <w:rPr>
                <w:spacing w:val="1"/>
                <w:sz w:val="18"/>
                <w:szCs w:val="18"/>
              </w:rPr>
              <w:t>s</w:t>
            </w:r>
            <w:r w:rsidRPr="00276295">
              <w:rPr>
                <w:spacing w:val="-3"/>
                <w:sz w:val="18"/>
                <w:szCs w:val="18"/>
              </w:rPr>
              <w:t>u</w:t>
            </w:r>
            <w:r w:rsidRPr="00276295">
              <w:rPr>
                <w:sz w:val="18"/>
                <w:szCs w:val="18"/>
              </w:rPr>
              <w:t>k d</w:t>
            </w:r>
            <w:r w:rsidRPr="00276295">
              <w:rPr>
                <w:spacing w:val="-1"/>
                <w:sz w:val="18"/>
                <w:szCs w:val="18"/>
              </w:rPr>
              <w:t>i</w:t>
            </w:r>
            <w:r w:rsidRPr="00276295">
              <w:rPr>
                <w:spacing w:val="1"/>
                <w:sz w:val="18"/>
                <w:szCs w:val="18"/>
              </w:rPr>
              <w:t>s</w:t>
            </w:r>
            <w:r w:rsidRPr="00276295">
              <w:rPr>
                <w:spacing w:val="3"/>
                <w:sz w:val="18"/>
                <w:szCs w:val="18"/>
              </w:rPr>
              <w:t>k</w:t>
            </w:r>
            <w:r w:rsidRPr="00276295">
              <w:rPr>
                <w:sz w:val="18"/>
                <w:szCs w:val="18"/>
              </w:rPr>
              <w:t>o</w:t>
            </w:r>
            <w:r w:rsidRPr="00276295">
              <w:rPr>
                <w:spacing w:val="-1"/>
                <w:sz w:val="18"/>
                <w:szCs w:val="18"/>
              </w:rPr>
              <w:t>n</w:t>
            </w:r>
            <w:r w:rsidR="002523B0">
              <w:rPr>
                <w:sz w:val="18"/>
                <w:szCs w:val="18"/>
              </w:rPr>
              <w:t>,</w:t>
            </w:r>
            <w:r w:rsidRPr="00276295">
              <w:rPr>
                <w:spacing w:val="7"/>
                <w:sz w:val="18"/>
                <w:szCs w:val="18"/>
              </w:rPr>
              <w:t xml:space="preserve"> </w:t>
            </w:r>
            <w:r w:rsidRPr="00276295">
              <w:rPr>
                <w:spacing w:val="1"/>
                <w:sz w:val="18"/>
                <w:szCs w:val="18"/>
              </w:rPr>
              <w:t>r</w:t>
            </w:r>
            <w:r w:rsidRPr="00276295">
              <w:rPr>
                <w:sz w:val="18"/>
                <w:szCs w:val="18"/>
              </w:rPr>
              <w:t>a</w:t>
            </w:r>
            <w:r w:rsidRPr="00276295">
              <w:rPr>
                <w:spacing w:val="-1"/>
                <w:sz w:val="18"/>
                <w:szCs w:val="18"/>
              </w:rPr>
              <w:t>b</w:t>
            </w:r>
            <w:r w:rsidRPr="00276295">
              <w:rPr>
                <w:sz w:val="18"/>
                <w:szCs w:val="18"/>
              </w:rPr>
              <w:t>at</w:t>
            </w:r>
            <w:r w:rsidRPr="00276295">
              <w:rPr>
                <w:spacing w:val="7"/>
                <w:sz w:val="18"/>
                <w:szCs w:val="18"/>
              </w:rPr>
              <w:t xml:space="preserve"> </w:t>
            </w:r>
            <w:r w:rsidRPr="00276295">
              <w:rPr>
                <w:sz w:val="18"/>
                <w:szCs w:val="18"/>
              </w:rPr>
              <w:t>d</w:t>
            </w:r>
            <w:r w:rsidRPr="00276295">
              <w:rPr>
                <w:spacing w:val="1"/>
                <w:sz w:val="18"/>
                <w:szCs w:val="18"/>
              </w:rPr>
              <w:t>a</w:t>
            </w:r>
            <w:r w:rsidRPr="00276295">
              <w:rPr>
                <w:sz w:val="18"/>
                <w:szCs w:val="18"/>
              </w:rPr>
              <w:t>n</w:t>
            </w:r>
            <w:r w:rsidRPr="00276295">
              <w:rPr>
                <w:spacing w:val="9"/>
                <w:sz w:val="18"/>
                <w:szCs w:val="18"/>
              </w:rPr>
              <w:t xml:space="preserve"> </w:t>
            </w:r>
            <w:r w:rsidRPr="00276295">
              <w:rPr>
                <w:spacing w:val="-1"/>
                <w:sz w:val="18"/>
                <w:szCs w:val="18"/>
              </w:rPr>
              <w:t>P</w:t>
            </w:r>
            <w:r w:rsidRPr="00276295">
              <w:rPr>
                <w:sz w:val="18"/>
                <w:szCs w:val="18"/>
              </w:rPr>
              <w:t>a</w:t>
            </w:r>
            <w:r w:rsidRPr="00276295">
              <w:rPr>
                <w:spacing w:val="1"/>
                <w:sz w:val="18"/>
                <w:szCs w:val="18"/>
              </w:rPr>
              <w:t>j</w:t>
            </w:r>
            <w:r w:rsidRPr="00276295">
              <w:rPr>
                <w:sz w:val="18"/>
                <w:szCs w:val="18"/>
              </w:rPr>
              <w:t>ak</w:t>
            </w:r>
            <w:r w:rsidRPr="00276295">
              <w:rPr>
                <w:spacing w:val="10"/>
                <w:sz w:val="18"/>
                <w:szCs w:val="18"/>
              </w:rPr>
              <w:t xml:space="preserve"> </w:t>
            </w:r>
            <w:r w:rsidRPr="00276295">
              <w:rPr>
                <w:spacing w:val="-1"/>
                <w:sz w:val="18"/>
                <w:szCs w:val="18"/>
              </w:rPr>
              <w:t>P</w:t>
            </w:r>
            <w:r w:rsidRPr="00276295">
              <w:rPr>
                <w:sz w:val="18"/>
                <w:szCs w:val="18"/>
              </w:rPr>
              <w:t>erta</w:t>
            </w:r>
            <w:r w:rsidRPr="00276295">
              <w:rPr>
                <w:spacing w:val="4"/>
                <w:sz w:val="18"/>
                <w:szCs w:val="18"/>
              </w:rPr>
              <w:t>m</w:t>
            </w:r>
            <w:r w:rsidRPr="00276295">
              <w:rPr>
                <w:sz w:val="18"/>
                <w:szCs w:val="18"/>
              </w:rPr>
              <w:t>b</w:t>
            </w:r>
            <w:r w:rsidRPr="00276295">
              <w:rPr>
                <w:spacing w:val="-1"/>
                <w:sz w:val="18"/>
                <w:szCs w:val="18"/>
              </w:rPr>
              <w:t>a</w:t>
            </w:r>
            <w:r w:rsidRPr="00276295">
              <w:rPr>
                <w:sz w:val="18"/>
                <w:szCs w:val="18"/>
              </w:rPr>
              <w:t>h</w:t>
            </w:r>
            <w:r w:rsidRPr="00276295">
              <w:rPr>
                <w:spacing w:val="-1"/>
                <w:sz w:val="18"/>
                <w:szCs w:val="18"/>
              </w:rPr>
              <w:t>a</w:t>
            </w:r>
            <w:r w:rsidRPr="00276295">
              <w:rPr>
                <w:sz w:val="18"/>
                <w:szCs w:val="18"/>
              </w:rPr>
              <w:t xml:space="preserve">n </w:t>
            </w:r>
            <w:r w:rsidRPr="00276295">
              <w:rPr>
                <w:spacing w:val="2"/>
                <w:sz w:val="18"/>
                <w:szCs w:val="18"/>
              </w:rPr>
              <w:t>N</w:t>
            </w:r>
            <w:r w:rsidRPr="00276295">
              <w:rPr>
                <w:spacing w:val="-1"/>
                <w:sz w:val="18"/>
                <w:szCs w:val="18"/>
              </w:rPr>
              <w:t>il</w:t>
            </w:r>
            <w:r w:rsidRPr="00276295">
              <w:rPr>
                <w:spacing w:val="2"/>
                <w:sz w:val="18"/>
                <w:szCs w:val="18"/>
              </w:rPr>
              <w:t>a</w:t>
            </w:r>
            <w:r w:rsidRPr="00276295">
              <w:rPr>
                <w:sz w:val="18"/>
                <w:szCs w:val="18"/>
              </w:rPr>
              <w:t xml:space="preserve">i </w:t>
            </w:r>
            <w:r w:rsidRPr="00276295">
              <w:rPr>
                <w:spacing w:val="1"/>
                <w:sz w:val="18"/>
                <w:szCs w:val="18"/>
              </w:rPr>
              <w:t>(</w:t>
            </w:r>
            <w:r w:rsidRPr="00276295">
              <w:rPr>
                <w:spacing w:val="-1"/>
                <w:sz w:val="18"/>
                <w:szCs w:val="18"/>
              </w:rPr>
              <w:t>PP</w:t>
            </w:r>
            <w:r w:rsidRPr="00276295">
              <w:rPr>
                <w:sz w:val="18"/>
                <w:szCs w:val="18"/>
              </w:rPr>
              <w:t>N</w:t>
            </w:r>
            <w:r w:rsidRPr="00276295">
              <w:rPr>
                <w:spacing w:val="1"/>
                <w:sz w:val="18"/>
                <w:szCs w:val="18"/>
              </w:rPr>
              <w:t>)</w:t>
            </w:r>
            <w:r w:rsidRPr="00276295">
              <w:rPr>
                <w:sz w:val="18"/>
                <w:szCs w:val="18"/>
              </w:rPr>
              <w:t>.</w:t>
            </w:r>
          </w:p>
        </w:tc>
        <w:tc>
          <w:tcPr>
            <w:tcW w:w="4708" w:type="dxa"/>
          </w:tcPr>
          <w:p w14:paraId="714C28F9" w14:textId="09F246E6" w:rsidR="006977B6" w:rsidRPr="00276295" w:rsidRDefault="006977B6" w:rsidP="002523B0">
            <w:pPr>
              <w:pStyle w:val="ListParagraph"/>
              <w:tabs>
                <w:tab w:val="left" w:pos="5590"/>
                <w:tab w:val="right" w:pos="7620"/>
                <w:tab w:val="right" w:pos="9460"/>
                <w:tab w:val="right" w:pos="10080"/>
              </w:tabs>
              <w:ind w:left="567" w:right="-57"/>
              <w:jc w:val="both"/>
              <w:rPr>
                <w:sz w:val="18"/>
                <w:szCs w:val="18"/>
              </w:rPr>
            </w:pPr>
            <w:r w:rsidRPr="00276295">
              <w:rPr>
                <w:i/>
                <w:iCs/>
                <w:sz w:val="18"/>
                <w:szCs w:val="18"/>
              </w:rPr>
              <w:t>Re</w:t>
            </w:r>
            <w:r w:rsidRPr="00276295">
              <w:rPr>
                <w:i/>
                <w:iCs/>
                <w:spacing w:val="1"/>
                <w:sz w:val="18"/>
                <w:szCs w:val="18"/>
              </w:rPr>
              <w:t>v</w:t>
            </w:r>
            <w:r w:rsidRPr="00276295">
              <w:rPr>
                <w:i/>
                <w:iCs/>
                <w:sz w:val="18"/>
                <w:szCs w:val="18"/>
              </w:rPr>
              <w:t>e</w:t>
            </w:r>
            <w:r w:rsidRPr="00276295">
              <w:rPr>
                <w:i/>
                <w:iCs/>
                <w:spacing w:val="-1"/>
                <w:sz w:val="18"/>
                <w:szCs w:val="18"/>
              </w:rPr>
              <w:t>n</w:t>
            </w:r>
            <w:r w:rsidRPr="00276295">
              <w:rPr>
                <w:i/>
                <w:iCs/>
                <w:spacing w:val="2"/>
                <w:sz w:val="18"/>
                <w:szCs w:val="18"/>
              </w:rPr>
              <w:t>u</w:t>
            </w:r>
            <w:r w:rsidRPr="00276295">
              <w:rPr>
                <w:i/>
                <w:iCs/>
                <w:sz w:val="18"/>
                <w:szCs w:val="18"/>
              </w:rPr>
              <w:t>e</w:t>
            </w:r>
            <w:r w:rsidRPr="00276295">
              <w:rPr>
                <w:i/>
                <w:iCs/>
                <w:spacing w:val="2"/>
                <w:sz w:val="18"/>
                <w:szCs w:val="18"/>
              </w:rPr>
              <w:t xml:space="preserve"> </w:t>
            </w:r>
            <w:r w:rsidRPr="00276295">
              <w:rPr>
                <w:i/>
                <w:iCs/>
                <w:spacing w:val="-1"/>
                <w:sz w:val="18"/>
                <w:szCs w:val="18"/>
              </w:rPr>
              <w:t>i</w:t>
            </w:r>
            <w:r w:rsidRPr="00276295">
              <w:rPr>
                <w:i/>
                <w:iCs/>
                <w:sz w:val="18"/>
                <w:szCs w:val="18"/>
              </w:rPr>
              <w:t>s</w:t>
            </w:r>
            <w:r w:rsidRPr="00276295">
              <w:rPr>
                <w:i/>
                <w:iCs/>
                <w:spacing w:val="10"/>
                <w:sz w:val="18"/>
                <w:szCs w:val="18"/>
              </w:rPr>
              <w:t xml:space="preserve"> </w:t>
            </w:r>
            <w:r w:rsidRPr="00276295">
              <w:rPr>
                <w:i/>
                <w:iCs/>
                <w:spacing w:val="1"/>
                <w:sz w:val="18"/>
                <w:szCs w:val="18"/>
              </w:rPr>
              <w:t>r</w:t>
            </w:r>
            <w:r w:rsidRPr="00276295">
              <w:rPr>
                <w:i/>
                <w:iCs/>
                <w:sz w:val="18"/>
                <w:szCs w:val="18"/>
              </w:rPr>
              <w:t>e</w:t>
            </w:r>
            <w:r w:rsidRPr="00276295">
              <w:rPr>
                <w:i/>
                <w:iCs/>
                <w:spacing w:val="1"/>
                <w:sz w:val="18"/>
                <w:szCs w:val="18"/>
              </w:rPr>
              <w:t>c</w:t>
            </w:r>
            <w:r w:rsidRPr="00276295">
              <w:rPr>
                <w:i/>
                <w:iCs/>
                <w:sz w:val="18"/>
                <w:szCs w:val="18"/>
              </w:rPr>
              <w:t>o</w:t>
            </w:r>
            <w:r w:rsidRPr="00276295">
              <w:rPr>
                <w:i/>
                <w:iCs/>
                <w:spacing w:val="1"/>
                <w:sz w:val="18"/>
                <w:szCs w:val="18"/>
              </w:rPr>
              <w:t>g</w:t>
            </w:r>
            <w:r w:rsidRPr="00276295">
              <w:rPr>
                <w:i/>
                <w:iCs/>
                <w:sz w:val="18"/>
                <w:szCs w:val="18"/>
              </w:rPr>
              <w:t>n</w:t>
            </w:r>
            <w:r w:rsidRPr="00276295">
              <w:rPr>
                <w:i/>
                <w:iCs/>
                <w:spacing w:val="1"/>
                <w:sz w:val="18"/>
                <w:szCs w:val="18"/>
              </w:rPr>
              <w:t>i</w:t>
            </w:r>
            <w:r w:rsidRPr="00276295">
              <w:rPr>
                <w:i/>
                <w:iCs/>
                <w:spacing w:val="-1"/>
                <w:sz w:val="18"/>
                <w:szCs w:val="18"/>
              </w:rPr>
              <w:t>z</w:t>
            </w:r>
            <w:r w:rsidRPr="00276295">
              <w:rPr>
                <w:i/>
                <w:iCs/>
                <w:spacing w:val="2"/>
                <w:sz w:val="18"/>
                <w:szCs w:val="18"/>
              </w:rPr>
              <w:t>e</w:t>
            </w:r>
            <w:r w:rsidRPr="00276295">
              <w:rPr>
                <w:i/>
                <w:iCs/>
                <w:sz w:val="18"/>
                <w:szCs w:val="18"/>
              </w:rPr>
              <w:t>d w</w:t>
            </w:r>
            <w:r w:rsidRPr="00276295">
              <w:rPr>
                <w:i/>
                <w:iCs/>
                <w:spacing w:val="2"/>
                <w:sz w:val="18"/>
                <w:szCs w:val="18"/>
              </w:rPr>
              <w:t>h</w:t>
            </w:r>
            <w:r w:rsidRPr="00276295">
              <w:rPr>
                <w:i/>
                <w:iCs/>
                <w:sz w:val="18"/>
                <w:szCs w:val="18"/>
              </w:rPr>
              <w:t>en</w:t>
            </w:r>
            <w:r w:rsidRPr="00276295">
              <w:rPr>
                <w:i/>
                <w:iCs/>
                <w:spacing w:val="5"/>
                <w:sz w:val="18"/>
                <w:szCs w:val="18"/>
              </w:rPr>
              <w:t xml:space="preserve"> </w:t>
            </w:r>
            <w:r w:rsidRPr="00276295">
              <w:rPr>
                <w:i/>
                <w:iCs/>
                <w:spacing w:val="-1"/>
                <w:sz w:val="18"/>
                <w:szCs w:val="18"/>
              </w:rPr>
              <w:t>i</w:t>
            </w:r>
            <w:r w:rsidRPr="00276295">
              <w:rPr>
                <w:i/>
                <w:iCs/>
                <w:sz w:val="18"/>
                <w:szCs w:val="18"/>
              </w:rPr>
              <w:t>t</w:t>
            </w:r>
            <w:r w:rsidRPr="00276295">
              <w:rPr>
                <w:i/>
                <w:iCs/>
                <w:spacing w:val="12"/>
                <w:sz w:val="18"/>
                <w:szCs w:val="18"/>
              </w:rPr>
              <w:t xml:space="preserve"> </w:t>
            </w:r>
            <w:r w:rsidRPr="00276295">
              <w:rPr>
                <w:i/>
                <w:iCs/>
                <w:spacing w:val="-1"/>
                <w:sz w:val="18"/>
                <w:szCs w:val="18"/>
              </w:rPr>
              <w:t>i</w:t>
            </w:r>
            <w:r w:rsidRPr="00276295">
              <w:rPr>
                <w:i/>
                <w:iCs/>
                <w:sz w:val="18"/>
                <w:szCs w:val="18"/>
              </w:rPr>
              <w:t>s</w:t>
            </w:r>
            <w:r w:rsidRPr="00276295">
              <w:rPr>
                <w:i/>
                <w:iCs/>
                <w:spacing w:val="10"/>
                <w:sz w:val="18"/>
                <w:szCs w:val="18"/>
              </w:rPr>
              <w:t xml:space="preserve"> </w:t>
            </w:r>
            <w:r w:rsidRPr="00276295">
              <w:rPr>
                <w:i/>
                <w:iCs/>
                <w:sz w:val="18"/>
                <w:szCs w:val="18"/>
              </w:rPr>
              <w:t>pr</w:t>
            </w:r>
            <w:r w:rsidRPr="00276295">
              <w:rPr>
                <w:i/>
                <w:iCs/>
                <w:spacing w:val="2"/>
                <w:sz w:val="18"/>
                <w:szCs w:val="18"/>
              </w:rPr>
              <w:t>o</w:t>
            </w:r>
            <w:r w:rsidRPr="00276295">
              <w:rPr>
                <w:i/>
                <w:iCs/>
                <w:sz w:val="18"/>
                <w:szCs w:val="18"/>
              </w:rPr>
              <w:t>b</w:t>
            </w:r>
            <w:r w:rsidRPr="00276295">
              <w:rPr>
                <w:i/>
                <w:iCs/>
                <w:spacing w:val="-1"/>
                <w:sz w:val="18"/>
                <w:szCs w:val="18"/>
              </w:rPr>
              <w:t>a</w:t>
            </w:r>
            <w:r w:rsidRPr="00276295">
              <w:rPr>
                <w:i/>
                <w:iCs/>
                <w:spacing w:val="2"/>
                <w:sz w:val="18"/>
                <w:szCs w:val="18"/>
              </w:rPr>
              <w:t>b</w:t>
            </w:r>
            <w:r w:rsidRPr="00276295">
              <w:rPr>
                <w:i/>
                <w:iCs/>
                <w:spacing w:val="-1"/>
                <w:sz w:val="18"/>
                <w:szCs w:val="18"/>
              </w:rPr>
              <w:t>l</w:t>
            </w:r>
            <w:r w:rsidRPr="00276295">
              <w:rPr>
                <w:i/>
                <w:iCs/>
                <w:sz w:val="18"/>
                <w:szCs w:val="18"/>
              </w:rPr>
              <w:t>e</w:t>
            </w:r>
            <w:r w:rsidRPr="00276295">
              <w:rPr>
                <w:i/>
                <w:iCs/>
                <w:spacing w:val="2"/>
                <w:sz w:val="18"/>
                <w:szCs w:val="18"/>
              </w:rPr>
              <w:t xml:space="preserve"> t</w:t>
            </w:r>
            <w:r w:rsidRPr="00276295">
              <w:rPr>
                <w:i/>
                <w:iCs/>
                <w:sz w:val="18"/>
                <w:szCs w:val="18"/>
              </w:rPr>
              <w:t>h</w:t>
            </w:r>
            <w:r w:rsidRPr="00276295">
              <w:rPr>
                <w:i/>
                <w:iCs/>
                <w:spacing w:val="-1"/>
                <w:sz w:val="18"/>
                <w:szCs w:val="18"/>
              </w:rPr>
              <w:t>a</w:t>
            </w:r>
            <w:r w:rsidRPr="00276295">
              <w:rPr>
                <w:i/>
                <w:iCs/>
                <w:sz w:val="18"/>
                <w:szCs w:val="18"/>
              </w:rPr>
              <w:t>t the</w:t>
            </w:r>
            <w:r w:rsidRPr="00276295">
              <w:rPr>
                <w:i/>
                <w:iCs/>
                <w:spacing w:val="52"/>
                <w:sz w:val="18"/>
                <w:szCs w:val="18"/>
              </w:rPr>
              <w:t xml:space="preserve"> </w:t>
            </w:r>
            <w:r w:rsidRPr="00276295">
              <w:rPr>
                <w:i/>
                <w:iCs/>
                <w:sz w:val="18"/>
                <w:szCs w:val="18"/>
              </w:rPr>
              <w:t>e</w:t>
            </w:r>
            <w:r w:rsidRPr="00276295">
              <w:rPr>
                <w:i/>
                <w:iCs/>
                <w:spacing w:val="1"/>
                <w:sz w:val="18"/>
                <w:szCs w:val="18"/>
              </w:rPr>
              <w:t>c</w:t>
            </w:r>
            <w:r w:rsidRPr="00276295">
              <w:rPr>
                <w:i/>
                <w:iCs/>
                <w:sz w:val="18"/>
                <w:szCs w:val="18"/>
              </w:rPr>
              <w:t>o</w:t>
            </w:r>
            <w:r w:rsidRPr="00276295">
              <w:rPr>
                <w:i/>
                <w:iCs/>
                <w:spacing w:val="-1"/>
                <w:sz w:val="18"/>
                <w:szCs w:val="18"/>
              </w:rPr>
              <w:t>n</w:t>
            </w:r>
            <w:r w:rsidRPr="00276295">
              <w:rPr>
                <w:i/>
                <w:iCs/>
                <w:spacing w:val="2"/>
                <w:sz w:val="18"/>
                <w:szCs w:val="18"/>
              </w:rPr>
              <w:t>o</w:t>
            </w:r>
            <w:r w:rsidRPr="00276295">
              <w:rPr>
                <w:i/>
                <w:iCs/>
                <w:sz w:val="18"/>
                <w:szCs w:val="18"/>
              </w:rPr>
              <w:t>m</w:t>
            </w:r>
            <w:r w:rsidRPr="00276295">
              <w:rPr>
                <w:i/>
                <w:iCs/>
                <w:spacing w:val="-1"/>
                <w:sz w:val="18"/>
                <w:szCs w:val="18"/>
              </w:rPr>
              <w:t>i</w:t>
            </w:r>
            <w:r w:rsidRPr="00276295">
              <w:rPr>
                <w:i/>
                <w:iCs/>
                <w:sz w:val="18"/>
                <w:szCs w:val="18"/>
              </w:rPr>
              <w:t>c</w:t>
            </w:r>
            <w:r w:rsidRPr="00276295">
              <w:rPr>
                <w:i/>
                <w:iCs/>
                <w:spacing w:val="47"/>
                <w:sz w:val="18"/>
                <w:szCs w:val="18"/>
              </w:rPr>
              <w:t xml:space="preserve"> </w:t>
            </w:r>
            <w:r w:rsidRPr="00276295">
              <w:rPr>
                <w:i/>
                <w:iCs/>
                <w:sz w:val="18"/>
                <w:szCs w:val="18"/>
              </w:rPr>
              <w:t>b</w:t>
            </w:r>
            <w:r w:rsidRPr="00276295">
              <w:rPr>
                <w:i/>
                <w:iCs/>
                <w:spacing w:val="-1"/>
                <w:sz w:val="18"/>
                <w:szCs w:val="18"/>
              </w:rPr>
              <w:t>e</w:t>
            </w:r>
            <w:r w:rsidRPr="00276295">
              <w:rPr>
                <w:i/>
                <w:iCs/>
                <w:spacing w:val="2"/>
                <w:sz w:val="18"/>
                <w:szCs w:val="18"/>
              </w:rPr>
              <w:t>n</w:t>
            </w:r>
            <w:r w:rsidRPr="00276295">
              <w:rPr>
                <w:i/>
                <w:iCs/>
                <w:sz w:val="18"/>
                <w:szCs w:val="18"/>
              </w:rPr>
              <w:t>ef</w:t>
            </w:r>
            <w:r w:rsidRPr="00276295">
              <w:rPr>
                <w:i/>
                <w:iCs/>
                <w:spacing w:val="-2"/>
                <w:sz w:val="18"/>
                <w:szCs w:val="18"/>
              </w:rPr>
              <w:t>i</w:t>
            </w:r>
            <w:r w:rsidRPr="00276295">
              <w:rPr>
                <w:i/>
                <w:iCs/>
                <w:sz w:val="18"/>
                <w:szCs w:val="18"/>
              </w:rPr>
              <w:t>ts</w:t>
            </w:r>
            <w:r w:rsidRPr="00276295">
              <w:rPr>
                <w:i/>
                <w:iCs/>
                <w:spacing w:val="48"/>
                <w:sz w:val="18"/>
                <w:szCs w:val="18"/>
              </w:rPr>
              <w:t xml:space="preserve"> </w:t>
            </w:r>
            <w:r w:rsidRPr="00276295">
              <w:rPr>
                <w:i/>
                <w:iCs/>
                <w:sz w:val="18"/>
                <w:szCs w:val="18"/>
              </w:rPr>
              <w:t>w</w:t>
            </w:r>
            <w:r w:rsidRPr="00276295">
              <w:rPr>
                <w:i/>
                <w:iCs/>
                <w:spacing w:val="1"/>
                <w:sz w:val="18"/>
                <w:szCs w:val="18"/>
              </w:rPr>
              <w:t>i</w:t>
            </w:r>
            <w:r w:rsidRPr="00276295">
              <w:rPr>
                <w:i/>
                <w:iCs/>
                <w:spacing w:val="-1"/>
                <w:sz w:val="18"/>
                <w:szCs w:val="18"/>
              </w:rPr>
              <w:t>l</w:t>
            </w:r>
            <w:r w:rsidRPr="00276295">
              <w:rPr>
                <w:i/>
                <w:iCs/>
                <w:sz w:val="18"/>
                <w:szCs w:val="18"/>
              </w:rPr>
              <w:t>l</w:t>
            </w:r>
            <w:r w:rsidRPr="00276295">
              <w:rPr>
                <w:i/>
                <w:iCs/>
                <w:spacing w:val="51"/>
                <w:sz w:val="18"/>
                <w:szCs w:val="18"/>
              </w:rPr>
              <w:t xml:space="preserve"> </w:t>
            </w:r>
            <w:r w:rsidRPr="00276295">
              <w:rPr>
                <w:i/>
                <w:iCs/>
                <w:sz w:val="18"/>
                <w:szCs w:val="18"/>
              </w:rPr>
              <w:t>f</w:t>
            </w:r>
            <w:r w:rsidRPr="00276295">
              <w:rPr>
                <w:i/>
                <w:iCs/>
                <w:spacing w:val="-1"/>
                <w:sz w:val="18"/>
                <w:szCs w:val="18"/>
              </w:rPr>
              <w:t>l</w:t>
            </w:r>
            <w:r w:rsidRPr="00276295">
              <w:rPr>
                <w:i/>
                <w:iCs/>
                <w:spacing w:val="2"/>
                <w:sz w:val="18"/>
                <w:szCs w:val="18"/>
              </w:rPr>
              <w:t>o</w:t>
            </w:r>
            <w:r w:rsidRPr="00276295">
              <w:rPr>
                <w:i/>
                <w:iCs/>
                <w:sz w:val="18"/>
                <w:szCs w:val="18"/>
              </w:rPr>
              <w:t>w</w:t>
            </w:r>
            <w:r w:rsidRPr="00276295">
              <w:rPr>
                <w:i/>
                <w:iCs/>
                <w:spacing w:val="49"/>
                <w:sz w:val="18"/>
                <w:szCs w:val="18"/>
              </w:rPr>
              <w:t xml:space="preserve"> </w:t>
            </w:r>
            <w:r w:rsidRPr="00276295">
              <w:rPr>
                <w:i/>
                <w:iCs/>
                <w:sz w:val="18"/>
                <w:szCs w:val="18"/>
              </w:rPr>
              <w:t>to</w:t>
            </w:r>
            <w:r w:rsidRPr="00276295">
              <w:rPr>
                <w:i/>
                <w:iCs/>
                <w:spacing w:val="53"/>
                <w:sz w:val="18"/>
                <w:szCs w:val="18"/>
              </w:rPr>
              <w:t xml:space="preserve"> </w:t>
            </w:r>
            <w:r w:rsidRPr="00276295">
              <w:rPr>
                <w:i/>
                <w:iCs/>
                <w:sz w:val="18"/>
                <w:szCs w:val="18"/>
              </w:rPr>
              <w:t>t</w:t>
            </w:r>
            <w:r w:rsidRPr="00276295">
              <w:rPr>
                <w:i/>
                <w:iCs/>
                <w:spacing w:val="2"/>
                <w:sz w:val="18"/>
                <w:szCs w:val="18"/>
              </w:rPr>
              <w:t>h</w:t>
            </w:r>
            <w:r w:rsidRPr="00276295">
              <w:rPr>
                <w:i/>
                <w:iCs/>
                <w:sz w:val="18"/>
                <w:szCs w:val="18"/>
              </w:rPr>
              <w:t>e</w:t>
            </w:r>
            <w:r w:rsidRPr="00276295">
              <w:rPr>
                <w:i/>
                <w:iCs/>
                <w:spacing w:val="50"/>
                <w:sz w:val="18"/>
                <w:szCs w:val="18"/>
              </w:rPr>
              <w:t xml:space="preserve"> </w:t>
            </w:r>
            <w:r w:rsidRPr="00276295">
              <w:rPr>
                <w:i/>
                <w:iCs/>
                <w:spacing w:val="1"/>
                <w:sz w:val="18"/>
                <w:szCs w:val="18"/>
              </w:rPr>
              <w:t>Gr</w:t>
            </w:r>
            <w:r w:rsidRPr="00276295">
              <w:rPr>
                <w:i/>
                <w:iCs/>
                <w:sz w:val="18"/>
                <w:szCs w:val="18"/>
              </w:rPr>
              <w:t>o</w:t>
            </w:r>
            <w:r w:rsidRPr="00276295">
              <w:rPr>
                <w:i/>
                <w:iCs/>
                <w:spacing w:val="-1"/>
                <w:sz w:val="18"/>
                <w:szCs w:val="18"/>
              </w:rPr>
              <w:t>u</w:t>
            </w:r>
            <w:r w:rsidRPr="00276295">
              <w:rPr>
                <w:i/>
                <w:iCs/>
                <w:sz w:val="18"/>
                <w:szCs w:val="18"/>
              </w:rPr>
              <w:t>p a</w:t>
            </w:r>
            <w:r w:rsidRPr="00276295">
              <w:rPr>
                <w:i/>
                <w:iCs/>
                <w:spacing w:val="-1"/>
                <w:sz w:val="18"/>
                <w:szCs w:val="18"/>
              </w:rPr>
              <w:t>n</w:t>
            </w:r>
            <w:r w:rsidRPr="00276295">
              <w:rPr>
                <w:i/>
                <w:iCs/>
                <w:sz w:val="18"/>
                <w:szCs w:val="18"/>
              </w:rPr>
              <w:t>d</w:t>
            </w:r>
            <w:r w:rsidRPr="00276295">
              <w:rPr>
                <w:i/>
                <w:iCs/>
                <w:spacing w:val="7"/>
                <w:sz w:val="18"/>
                <w:szCs w:val="18"/>
              </w:rPr>
              <w:t xml:space="preserve"> </w:t>
            </w:r>
            <w:r w:rsidRPr="00276295">
              <w:rPr>
                <w:i/>
                <w:iCs/>
                <w:sz w:val="18"/>
                <w:szCs w:val="18"/>
              </w:rPr>
              <w:t>the</w:t>
            </w:r>
            <w:r w:rsidRPr="00276295">
              <w:rPr>
                <w:i/>
                <w:iCs/>
                <w:spacing w:val="6"/>
                <w:sz w:val="18"/>
                <w:szCs w:val="18"/>
              </w:rPr>
              <w:t xml:space="preserve"> </w:t>
            </w:r>
            <w:r w:rsidRPr="00276295">
              <w:rPr>
                <w:i/>
                <w:iCs/>
                <w:sz w:val="18"/>
                <w:szCs w:val="18"/>
              </w:rPr>
              <w:t>a</w:t>
            </w:r>
            <w:r w:rsidRPr="00276295">
              <w:rPr>
                <w:i/>
                <w:iCs/>
                <w:spacing w:val="2"/>
                <w:sz w:val="18"/>
                <w:szCs w:val="18"/>
              </w:rPr>
              <w:t>m</w:t>
            </w:r>
            <w:r w:rsidRPr="00276295">
              <w:rPr>
                <w:i/>
                <w:iCs/>
                <w:sz w:val="18"/>
                <w:szCs w:val="18"/>
              </w:rPr>
              <w:t>o</w:t>
            </w:r>
            <w:r w:rsidRPr="00276295">
              <w:rPr>
                <w:i/>
                <w:iCs/>
                <w:spacing w:val="-1"/>
                <w:sz w:val="18"/>
                <w:szCs w:val="18"/>
              </w:rPr>
              <w:t>u</w:t>
            </w:r>
            <w:r w:rsidRPr="00276295">
              <w:rPr>
                <w:i/>
                <w:iCs/>
                <w:spacing w:val="2"/>
                <w:sz w:val="18"/>
                <w:szCs w:val="18"/>
              </w:rPr>
              <w:t>n</w:t>
            </w:r>
            <w:r w:rsidRPr="00276295">
              <w:rPr>
                <w:i/>
                <w:iCs/>
                <w:sz w:val="18"/>
                <w:szCs w:val="18"/>
              </w:rPr>
              <w:t>t</w:t>
            </w:r>
            <w:r w:rsidRPr="00276295">
              <w:rPr>
                <w:i/>
                <w:iCs/>
                <w:spacing w:val="3"/>
                <w:sz w:val="18"/>
                <w:szCs w:val="18"/>
              </w:rPr>
              <w:t xml:space="preserve"> </w:t>
            </w:r>
            <w:r w:rsidRPr="00276295">
              <w:rPr>
                <w:i/>
                <w:iCs/>
                <w:sz w:val="18"/>
                <w:szCs w:val="18"/>
              </w:rPr>
              <w:t>of</w:t>
            </w:r>
            <w:r w:rsidRPr="00276295">
              <w:rPr>
                <w:i/>
                <w:iCs/>
                <w:spacing w:val="8"/>
                <w:sz w:val="18"/>
                <w:szCs w:val="18"/>
              </w:rPr>
              <w:t xml:space="preserve"> </w:t>
            </w:r>
            <w:r w:rsidRPr="00276295">
              <w:rPr>
                <w:i/>
                <w:iCs/>
                <w:spacing w:val="1"/>
                <w:sz w:val="18"/>
                <w:szCs w:val="18"/>
              </w:rPr>
              <w:t>r</w:t>
            </w:r>
            <w:r w:rsidRPr="00276295">
              <w:rPr>
                <w:i/>
                <w:iCs/>
                <w:sz w:val="18"/>
                <w:szCs w:val="18"/>
              </w:rPr>
              <w:t>e</w:t>
            </w:r>
            <w:r w:rsidRPr="00276295">
              <w:rPr>
                <w:i/>
                <w:iCs/>
                <w:spacing w:val="1"/>
                <w:sz w:val="18"/>
                <w:szCs w:val="18"/>
              </w:rPr>
              <w:t>v</w:t>
            </w:r>
            <w:r w:rsidRPr="00276295">
              <w:rPr>
                <w:i/>
                <w:iCs/>
                <w:sz w:val="18"/>
                <w:szCs w:val="18"/>
              </w:rPr>
              <w:t>e</w:t>
            </w:r>
            <w:r w:rsidRPr="00276295">
              <w:rPr>
                <w:i/>
                <w:iCs/>
                <w:spacing w:val="1"/>
                <w:sz w:val="18"/>
                <w:szCs w:val="18"/>
              </w:rPr>
              <w:t>n</w:t>
            </w:r>
            <w:r w:rsidRPr="00276295">
              <w:rPr>
                <w:i/>
                <w:iCs/>
                <w:spacing w:val="2"/>
                <w:sz w:val="18"/>
                <w:szCs w:val="18"/>
              </w:rPr>
              <w:t>u</w:t>
            </w:r>
            <w:r w:rsidRPr="00276295">
              <w:rPr>
                <w:i/>
                <w:iCs/>
                <w:sz w:val="18"/>
                <w:szCs w:val="18"/>
              </w:rPr>
              <w:t xml:space="preserve">e </w:t>
            </w:r>
            <w:r w:rsidRPr="00276295">
              <w:rPr>
                <w:i/>
                <w:iCs/>
                <w:spacing w:val="1"/>
                <w:sz w:val="18"/>
                <w:szCs w:val="18"/>
              </w:rPr>
              <w:t>c</w:t>
            </w:r>
            <w:r w:rsidRPr="00276295">
              <w:rPr>
                <w:i/>
                <w:iCs/>
                <w:sz w:val="18"/>
                <w:szCs w:val="18"/>
              </w:rPr>
              <w:t>an</w:t>
            </w:r>
            <w:r w:rsidRPr="00276295">
              <w:rPr>
                <w:i/>
                <w:iCs/>
                <w:spacing w:val="6"/>
                <w:sz w:val="18"/>
                <w:szCs w:val="18"/>
              </w:rPr>
              <w:t xml:space="preserve"> </w:t>
            </w:r>
            <w:r w:rsidRPr="00276295">
              <w:rPr>
                <w:i/>
                <w:iCs/>
                <w:sz w:val="18"/>
                <w:szCs w:val="18"/>
              </w:rPr>
              <w:t>be</w:t>
            </w:r>
            <w:r w:rsidRPr="00276295">
              <w:rPr>
                <w:i/>
                <w:iCs/>
                <w:spacing w:val="7"/>
                <w:sz w:val="18"/>
                <w:szCs w:val="18"/>
              </w:rPr>
              <w:t xml:space="preserve"> </w:t>
            </w:r>
            <w:r w:rsidRPr="00276295">
              <w:rPr>
                <w:i/>
                <w:iCs/>
                <w:sz w:val="18"/>
                <w:szCs w:val="18"/>
              </w:rPr>
              <w:t>m</w:t>
            </w:r>
            <w:r w:rsidRPr="00276295">
              <w:rPr>
                <w:i/>
                <w:iCs/>
                <w:spacing w:val="2"/>
                <w:sz w:val="18"/>
                <w:szCs w:val="18"/>
              </w:rPr>
              <w:t>e</w:t>
            </w:r>
            <w:r w:rsidRPr="00276295">
              <w:rPr>
                <w:i/>
                <w:iCs/>
                <w:sz w:val="18"/>
                <w:szCs w:val="18"/>
              </w:rPr>
              <w:t>a</w:t>
            </w:r>
            <w:r w:rsidRPr="00276295">
              <w:rPr>
                <w:i/>
                <w:iCs/>
                <w:spacing w:val="1"/>
                <w:sz w:val="18"/>
                <w:szCs w:val="18"/>
              </w:rPr>
              <w:t>s</w:t>
            </w:r>
            <w:r w:rsidRPr="00276295">
              <w:rPr>
                <w:i/>
                <w:iCs/>
                <w:sz w:val="18"/>
                <w:szCs w:val="18"/>
              </w:rPr>
              <w:t xml:space="preserve">ured </w:t>
            </w:r>
            <w:r w:rsidRPr="00276295">
              <w:rPr>
                <w:i/>
                <w:iCs/>
                <w:spacing w:val="1"/>
                <w:sz w:val="18"/>
                <w:szCs w:val="18"/>
              </w:rPr>
              <w:t>r</w:t>
            </w:r>
            <w:r w:rsidRPr="00276295">
              <w:rPr>
                <w:i/>
                <w:iCs/>
                <w:sz w:val="18"/>
                <w:szCs w:val="18"/>
              </w:rPr>
              <w:t>e</w:t>
            </w:r>
            <w:r w:rsidRPr="00276295">
              <w:rPr>
                <w:i/>
                <w:iCs/>
                <w:spacing w:val="-1"/>
                <w:sz w:val="18"/>
                <w:szCs w:val="18"/>
              </w:rPr>
              <w:t>li</w:t>
            </w:r>
            <w:r w:rsidRPr="00276295">
              <w:rPr>
                <w:i/>
                <w:iCs/>
                <w:spacing w:val="2"/>
                <w:sz w:val="18"/>
                <w:szCs w:val="18"/>
              </w:rPr>
              <w:t>a</w:t>
            </w:r>
            <w:r w:rsidRPr="00276295">
              <w:rPr>
                <w:i/>
                <w:iCs/>
                <w:sz w:val="18"/>
                <w:szCs w:val="18"/>
              </w:rPr>
              <w:t>b</w:t>
            </w:r>
            <w:r w:rsidRPr="00276295">
              <w:rPr>
                <w:i/>
                <w:iCs/>
                <w:spacing w:val="-1"/>
                <w:sz w:val="18"/>
                <w:szCs w:val="18"/>
              </w:rPr>
              <w:t>l</w:t>
            </w:r>
            <w:r w:rsidRPr="00276295">
              <w:rPr>
                <w:i/>
                <w:iCs/>
                <w:spacing w:val="1"/>
                <w:sz w:val="18"/>
                <w:szCs w:val="18"/>
              </w:rPr>
              <w:t>y</w:t>
            </w:r>
            <w:r w:rsidRPr="00276295">
              <w:rPr>
                <w:i/>
                <w:iCs/>
                <w:sz w:val="18"/>
                <w:szCs w:val="18"/>
              </w:rPr>
              <w:t>.</w:t>
            </w:r>
            <w:r w:rsidRPr="00276295">
              <w:rPr>
                <w:i/>
                <w:iCs/>
                <w:spacing w:val="2"/>
                <w:sz w:val="18"/>
                <w:szCs w:val="18"/>
              </w:rPr>
              <w:t xml:space="preserve"> R</w:t>
            </w:r>
            <w:r w:rsidRPr="00276295">
              <w:rPr>
                <w:i/>
                <w:iCs/>
                <w:sz w:val="18"/>
                <w:szCs w:val="18"/>
              </w:rPr>
              <w:t>e</w:t>
            </w:r>
            <w:r w:rsidRPr="00276295">
              <w:rPr>
                <w:i/>
                <w:iCs/>
                <w:spacing w:val="1"/>
                <w:sz w:val="18"/>
                <w:szCs w:val="18"/>
              </w:rPr>
              <w:t>v</w:t>
            </w:r>
            <w:r w:rsidRPr="00276295">
              <w:rPr>
                <w:i/>
                <w:iCs/>
                <w:sz w:val="18"/>
                <w:szCs w:val="18"/>
              </w:rPr>
              <w:t>e</w:t>
            </w:r>
            <w:r w:rsidRPr="00276295">
              <w:rPr>
                <w:i/>
                <w:iCs/>
                <w:spacing w:val="1"/>
                <w:sz w:val="18"/>
                <w:szCs w:val="18"/>
              </w:rPr>
              <w:t>n</w:t>
            </w:r>
            <w:r w:rsidRPr="00276295">
              <w:rPr>
                <w:i/>
                <w:iCs/>
                <w:sz w:val="18"/>
                <w:szCs w:val="18"/>
              </w:rPr>
              <w:t>ue</w:t>
            </w:r>
            <w:r w:rsidRPr="00276295">
              <w:rPr>
                <w:i/>
                <w:iCs/>
                <w:spacing w:val="1"/>
                <w:sz w:val="18"/>
                <w:szCs w:val="18"/>
              </w:rPr>
              <w:t xml:space="preserve"> </w:t>
            </w:r>
            <w:r w:rsidRPr="00276295">
              <w:rPr>
                <w:i/>
                <w:iCs/>
                <w:spacing w:val="-1"/>
                <w:sz w:val="18"/>
                <w:szCs w:val="18"/>
              </w:rPr>
              <w:t>i</w:t>
            </w:r>
            <w:r w:rsidRPr="00276295">
              <w:rPr>
                <w:i/>
                <w:iCs/>
                <w:sz w:val="18"/>
                <w:szCs w:val="18"/>
              </w:rPr>
              <w:t>s</w:t>
            </w:r>
            <w:r w:rsidRPr="00276295">
              <w:rPr>
                <w:i/>
                <w:iCs/>
                <w:spacing w:val="11"/>
                <w:sz w:val="18"/>
                <w:szCs w:val="18"/>
              </w:rPr>
              <w:t xml:space="preserve"> </w:t>
            </w:r>
            <w:r w:rsidRPr="00276295">
              <w:rPr>
                <w:i/>
                <w:iCs/>
                <w:sz w:val="18"/>
                <w:szCs w:val="18"/>
              </w:rPr>
              <w:t>m</w:t>
            </w:r>
            <w:r w:rsidRPr="00276295">
              <w:rPr>
                <w:i/>
                <w:iCs/>
                <w:spacing w:val="-1"/>
                <w:sz w:val="18"/>
                <w:szCs w:val="18"/>
              </w:rPr>
              <w:t>e</w:t>
            </w:r>
            <w:r w:rsidRPr="00276295">
              <w:rPr>
                <w:i/>
                <w:iCs/>
                <w:sz w:val="18"/>
                <w:szCs w:val="18"/>
              </w:rPr>
              <w:t>a</w:t>
            </w:r>
            <w:r w:rsidRPr="00276295">
              <w:rPr>
                <w:i/>
                <w:iCs/>
                <w:spacing w:val="1"/>
                <w:sz w:val="18"/>
                <w:szCs w:val="18"/>
              </w:rPr>
              <w:t>s</w:t>
            </w:r>
            <w:r w:rsidRPr="00276295">
              <w:rPr>
                <w:i/>
                <w:iCs/>
                <w:spacing w:val="2"/>
                <w:sz w:val="18"/>
                <w:szCs w:val="18"/>
              </w:rPr>
              <w:t>u</w:t>
            </w:r>
            <w:r w:rsidRPr="00276295">
              <w:rPr>
                <w:i/>
                <w:iCs/>
                <w:spacing w:val="1"/>
                <w:sz w:val="18"/>
                <w:szCs w:val="18"/>
              </w:rPr>
              <w:t>r</w:t>
            </w:r>
            <w:r w:rsidRPr="00276295">
              <w:rPr>
                <w:i/>
                <w:iCs/>
                <w:sz w:val="18"/>
                <w:szCs w:val="18"/>
              </w:rPr>
              <w:t>ed at</w:t>
            </w:r>
            <w:r w:rsidRPr="00276295">
              <w:rPr>
                <w:i/>
                <w:iCs/>
                <w:spacing w:val="7"/>
                <w:sz w:val="18"/>
                <w:szCs w:val="18"/>
              </w:rPr>
              <w:t xml:space="preserve"> </w:t>
            </w:r>
            <w:r w:rsidRPr="00276295">
              <w:rPr>
                <w:i/>
                <w:iCs/>
                <w:spacing w:val="2"/>
                <w:sz w:val="18"/>
                <w:szCs w:val="18"/>
              </w:rPr>
              <w:t>t</w:t>
            </w:r>
            <w:r w:rsidRPr="00276295">
              <w:rPr>
                <w:i/>
                <w:iCs/>
                <w:sz w:val="18"/>
                <w:szCs w:val="18"/>
              </w:rPr>
              <w:t>he</w:t>
            </w:r>
            <w:r w:rsidRPr="00276295">
              <w:rPr>
                <w:i/>
                <w:iCs/>
                <w:spacing w:val="6"/>
                <w:sz w:val="18"/>
                <w:szCs w:val="18"/>
              </w:rPr>
              <w:t xml:space="preserve"> </w:t>
            </w:r>
            <w:r w:rsidRPr="00276295">
              <w:rPr>
                <w:i/>
                <w:iCs/>
                <w:spacing w:val="2"/>
                <w:sz w:val="18"/>
                <w:szCs w:val="18"/>
              </w:rPr>
              <w:t>f</w:t>
            </w:r>
            <w:r w:rsidRPr="00276295">
              <w:rPr>
                <w:i/>
                <w:iCs/>
                <w:sz w:val="18"/>
                <w:szCs w:val="18"/>
              </w:rPr>
              <w:t>a</w:t>
            </w:r>
            <w:r w:rsidRPr="00276295">
              <w:rPr>
                <w:i/>
                <w:iCs/>
                <w:spacing w:val="-1"/>
                <w:sz w:val="18"/>
                <w:szCs w:val="18"/>
              </w:rPr>
              <w:t>i</w:t>
            </w:r>
            <w:r w:rsidRPr="00276295">
              <w:rPr>
                <w:i/>
                <w:iCs/>
                <w:sz w:val="18"/>
                <w:szCs w:val="18"/>
              </w:rPr>
              <w:t>r</w:t>
            </w:r>
            <w:r w:rsidRPr="00276295">
              <w:rPr>
                <w:i/>
                <w:iCs/>
                <w:spacing w:val="7"/>
                <w:sz w:val="18"/>
                <w:szCs w:val="18"/>
              </w:rPr>
              <w:t xml:space="preserve"> </w:t>
            </w:r>
            <w:r w:rsidRPr="00276295">
              <w:rPr>
                <w:i/>
                <w:iCs/>
                <w:spacing w:val="1"/>
                <w:sz w:val="18"/>
                <w:szCs w:val="18"/>
              </w:rPr>
              <w:t>v</w:t>
            </w:r>
            <w:r w:rsidRPr="00276295">
              <w:rPr>
                <w:i/>
                <w:iCs/>
                <w:spacing w:val="2"/>
                <w:sz w:val="18"/>
                <w:szCs w:val="18"/>
              </w:rPr>
              <w:t>a</w:t>
            </w:r>
            <w:r w:rsidRPr="00276295">
              <w:rPr>
                <w:i/>
                <w:iCs/>
                <w:spacing w:val="-1"/>
                <w:sz w:val="18"/>
                <w:szCs w:val="18"/>
              </w:rPr>
              <w:t>l</w:t>
            </w:r>
            <w:r w:rsidRPr="00276295">
              <w:rPr>
                <w:i/>
                <w:iCs/>
                <w:sz w:val="18"/>
                <w:szCs w:val="18"/>
              </w:rPr>
              <w:t>ue of</w:t>
            </w:r>
            <w:r w:rsidRPr="00276295">
              <w:rPr>
                <w:i/>
                <w:iCs/>
                <w:spacing w:val="10"/>
                <w:sz w:val="18"/>
                <w:szCs w:val="18"/>
              </w:rPr>
              <w:t xml:space="preserve"> </w:t>
            </w:r>
            <w:r w:rsidRPr="00276295">
              <w:rPr>
                <w:i/>
                <w:iCs/>
                <w:sz w:val="18"/>
                <w:szCs w:val="18"/>
              </w:rPr>
              <w:t>the</w:t>
            </w:r>
            <w:r w:rsidRPr="00276295">
              <w:rPr>
                <w:i/>
                <w:iCs/>
                <w:spacing w:val="9"/>
                <w:sz w:val="18"/>
                <w:szCs w:val="18"/>
              </w:rPr>
              <w:t xml:space="preserve"> </w:t>
            </w:r>
            <w:r w:rsidRPr="00276295">
              <w:rPr>
                <w:i/>
                <w:iCs/>
                <w:spacing w:val="-1"/>
                <w:sz w:val="18"/>
                <w:szCs w:val="18"/>
              </w:rPr>
              <w:t>consideration</w:t>
            </w:r>
            <w:r w:rsidRPr="00276295">
              <w:rPr>
                <w:i/>
                <w:iCs/>
                <w:sz w:val="18"/>
                <w:szCs w:val="18"/>
              </w:rPr>
              <w:t xml:space="preserve"> </w:t>
            </w:r>
            <w:r w:rsidRPr="00276295">
              <w:rPr>
                <w:i/>
                <w:iCs/>
                <w:spacing w:val="1"/>
                <w:sz w:val="18"/>
                <w:szCs w:val="18"/>
              </w:rPr>
              <w:t>r</w:t>
            </w:r>
            <w:r w:rsidRPr="00276295">
              <w:rPr>
                <w:i/>
                <w:iCs/>
                <w:sz w:val="18"/>
                <w:szCs w:val="18"/>
              </w:rPr>
              <w:t>e</w:t>
            </w:r>
            <w:r w:rsidRPr="00276295">
              <w:rPr>
                <w:i/>
                <w:iCs/>
                <w:spacing w:val="1"/>
                <w:sz w:val="18"/>
                <w:szCs w:val="18"/>
              </w:rPr>
              <w:t>c</w:t>
            </w:r>
            <w:r w:rsidRPr="00276295">
              <w:rPr>
                <w:i/>
                <w:iCs/>
                <w:sz w:val="18"/>
                <w:szCs w:val="18"/>
              </w:rPr>
              <w:t>e</w:t>
            </w:r>
            <w:r w:rsidRPr="00276295">
              <w:rPr>
                <w:i/>
                <w:iCs/>
                <w:spacing w:val="-1"/>
                <w:sz w:val="18"/>
                <w:szCs w:val="18"/>
              </w:rPr>
              <w:t>i</w:t>
            </w:r>
            <w:r w:rsidRPr="00276295">
              <w:rPr>
                <w:i/>
                <w:iCs/>
                <w:spacing w:val="1"/>
                <w:sz w:val="18"/>
                <w:szCs w:val="18"/>
              </w:rPr>
              <w:t>v</w:t>
            </w:r>
            <w:r w:rsidRPr="00276295">
              <w:rPr>
                <w:i/>
                <w:iCs/>
                <w:sz w:val="18"/>
                <w:szCs w:val="18"/>
              </w:rPr>
              <w:t>e</w:t>
            </w:r>
            <w:r w:rsidRPr="00276295">
              <w:rPr>
                <w:i/>
                <w:iCs/>
                <w:spacing w:val="-1"/>
                <w:sz w:val="18"/>
                <w:szCs w:val="18"/>
              </w:rPr>
              <w:t>d</w:t>
            </w:r>
            <w:r w:rsidR="00870FD0">
              <w:rPr>
                <w:i/>
                <w:iCs/>
                <w:sz w:val="18"/>
                <w:szCs w:val="18"/>
              </w:rPr>
              <w:t>.</w:t>
            </w:r>
            <w:r w:rsidRPr="00276295">
              <w:rPr>
                <w:i/>
                <w:iCs/>
                <w:spacing w:val="7"/>
                <w:sz w:val="18"/>
                <w:szCs w:val="18"/>
              </w:rPr>
              <w:t xml:space="preserve"> </w:t>
            </w:r>
            <w:proofErr w:type="gramStart"/>
            <w:r w:rsidRPr="00276295">
              <w:rPr>
                <w:i/>
                <w:iCs/>
                <w:sz w:val="18"/>
                <w:szCs w:val="18"/>
              </w:rPr>
              <w:t>e</w:t>
            </w:r>
            <w:r w:rsidRPr="00276295">
              <w:rPr>
                <w:i/>
                <w:iCs/>
                <w:spacing w:val="1"/>
                <w:sz w:val="18"/>
                <w:szCs w:val="18"/>
              </w:rPr>
              <w:t>xc</w:t>
            </w:r>
            <w:r w:rsidRPr="00276295">
              <w:rPr>
                <w:i/>
                <w:iCs/>
                <w:spacing w:val="-1"/>
                <w:sz w:val="18"/>
                <w:szCs w:val="18"/>
              </w:rPr>
              <w:t>l</w:t>
            </w:r>
            <w:r w:rsidRPr="00276295">
              <w:rPr>
                <w:i/>
                <w:iCs/>
                <w:sz w:val="18"/>
                <w:szCs w:val="18"/>
              </w:rPr>
              <w:t>u</w:t>
            </w:r>
            <w:r w:rsidRPr="00276295">
              <w:rPr>
                <w:i/>
                <w:iCs/>
                <w:spacing w:val="1"/>
                <w:sz w:val="18"/>
                <w:szCs w:val="18"/>
              </w:rPr>
              <w:t>d</w:t>
            </w:r>
            <w:r w:rsidRPr="00276295">
              <w:rPr>
                <w:i/>
                <w:iCs/>
                <w:spacing w:val="-1"/>
                <w:sz w:val="18"/>
                <w:szCs w:val="18"/>
              </w:rPr>
              <w:t>i</w:t>
            </w:r>
            <w:r w:rsidRPr="00276295">
              <w:rPr>
                <w:i/>
                <w:iCs/>
                <w:sz w:val="18"/>
                <w:szCs w:val="18"/>
              </w:rPr>
              <w:t>ng</w:t>
            </w:r>
            <w:proofErr w:type="gramEnd"/>
            <w:r w:rsidRPr="00276295">
              <w:rPr>
                <w:i/>
                <w:iCs/>
                <w:sz w:val="18"/>
                <w:szCs w:val="18"/>
              </w:rPr>
              <w:t xml:space="preserve"> d</w:t>
            </w:r>
            <w:r w:rsidRPr="00276295">
              <w:rPr>
                <w:i/>
                <w:iCs/>
                <w:spacing w:val="-1"/>
                <w:sz w:val="18"/>
                <w:szCs w:val="18"/>
              </w:rPr>
              <w:t>i</w:t>
            </w:r>
            <w:r w:rsidRPr="00276295">
              <w:rPr>
                <w:i/>
                <w:iCs/>
                <w:spacing w:val="1"/>
                <w:sz w:val="18"/>
                <w:szCs w:val="18"/>
              </w:rPr>
              <w:t>sc</w:t>
            </w:r>
            <w:r w:rsidRPr="00276295">
              <w:rPr>
                <w:i/>
                <w:iCs/>
                <w:sz w:val="18"/>
                <w:szCs w:val="18"/>
              </w:rPr>
              <w:t>o</w:t>
            </w:r>
            <w:r w:rsidRPr="00276295">
              <w:rPr>
                <w:i/>
                <w:iCs/>
                <w:spacing w:val="-1"/>
                <w:sz w:val="18"/>
                <w:szCs w:val="18"/>
              </w:rPr>
              <w:t>u</w:t>
            </w:r>
            <w:r w:rsidRPr="00276295">
              <w:rPr>
                <w:i/>
                <w:iCs/>
                <w:sz w:val="18"/>
                <w:szCs w:val="18"/>
              </w:rPr>
              <w:t>nts</w:t>
            </w:r>
            <w:r w:rsidR="002523B0">
              <w:rPr>
                <w:i/>
                <w:iCs/>
                <w:sz w:val="18"/>
                <w:szCs w:val="18"/>
              </w:rPr>
              <w:t>,</w:t>
            </w:r>
            <w:r w:rsidRPr="00276295">
              <w:rPr>
                <w:i/>
                <w:iCs/>
                <w:sz w:val="18"/>
                <w:szCs w:val="18"/>
              </w:rPr>
              <w:t xml:space="preserve"> </w:t>
            </w:r>
            <w:r w:rsidRPr="00276295">
              <w:rPr>
                <w:i/>
                <w:iCs/>
                <w:spacing w:val="1"/>
                <w:sz w:val="18"/>
                <w:szCs w:val="18"/>
              </w:rPr>
              <w:t>r</w:t>
            </w:r>
            <w:r w:rsidRPr="00276295">
              <w:rPr>
                <w:i/>
                <w:iCs/>
                <w:sz w:val="18"/>
                <w:szCs w:val="18"/>
              </w:rPr>
              <w:t>e</w:t>
            </w:r>
            <w:r w:rsidRPr="00276295">
              <w:rPr>
                <w:i/>
                <w:iCs/>
                <w:spacing w:val="-1"/>
                <w:sz w:val="18"/>
                <w:szCs w:val="18"/>
              </w:rPr>
              <w:t>b</w:t>
            </w:r>
            <w:r w:rsidRPr="00276295">
              <w:rPr>
                <w:i/>
                <w:iCs/>
                <w:spacing w:val="2"/>
                <w:sz w:val="18"/>
                <w:szCs w:val="18"/>
              </w:rPr>
              <w:t>a</w:t>
            </w:r>
            <w:r w:rsidRPr="00276295">
              <w:rPr>
                <w:i/>
                <w:iCs/>
                <w:sz w:val="18"/>
                <w:szCs w:val="18"/>
              </w:rPr>
              <w:t xml:space="preserve">tes </w:t>
            </w:r>
            <w:r w:rsidRPr="00276295">
              <w:rPr>
                <w:i/>
                <w:iCs/>
                <w:spacing w:val="2"/>
                <w:sz w:val="18"/>
                <w:szCs w:val="18"/>
              </w:rPr>
              <w:t>a</w:t>
            </w:r>
            <w:r w:rsidRPr="00276295">
              <w:rPr>
                <w:i/>
                <w:iCs/>
                <w:sz w:val="18"/>
                <w:szCs w:val="18"/>
              </w:rPr>
              <w:t xml:space="preserve">nd </w:t>
            </w:r>
            <w:r w:rsidRPr="00276295">
              <w:rPr>
                <w:i/>
                <w:iCs/>
                <w:spacing w:val="-1"/>
                <w:sz w:val="18"/>
                <w:szCs w:val="18"/>
              </w:rPr>
              <w:t>V</w:t>
            </w:r>
            <w:r w:rsidRPr="00276295">
              <w:rPr>
                <w:i/>
                <w:iCs/>
                <w:sz w:val="18"/>
                <w:szCs w:val="18"/>
              </w:rPr>
              <w:t>a</w:t>
            </w:r>
            <w:r w:rsidRPr="00276295">
              <w:rPr>
                <w:i/>
                <w:iCs/>
                <w:spacing w:val="1"/>
                <w:sz w:val="18"/>
                <w:szCs w:val="18"/>
              </w:rPr>
              <w:t>l</w:t>
            </w:r>
            <w:r w:rsidRPr="00276295">
              <w:rPr>
                <w:i/>
                <w:iCs/>
                <w:sz w:val="18"/>
                <w:szCs w:val="18"/>
              </w:rPr>
              <w:t xml:space="preserve">ue </w:t>
            </w:r>
            <w:r w:rsidRPr="00276295">
              <w:rPr>
                <w:i/>
                <w:iCs/>
                <w:spacing w:val="1"/>
                <w:sz w:val="18"/>
                <w:szCs w:val="18"/>
              </w:rPr>
              <w:t>A</w:t>
            </w:r>
            <w:r w:rsidRPr="00276295">
              <w:rPr>
                <w:i/>
                <w:iCs/>
                <w:sz w:val="18"/>
                <w:szCs w:val="18"/>
              </w:rPr>
              <w:t>d</w:t>
            </w:r>
            <w:r w:rsidRPr="00276295">
              <w:rPr>
                <w:i/>
                <w:iCs/>
                <w:spacing w:val="-1"/>
                <w:sz w:val="18"/>
                <w:szCs w:val="18"/>
              </w:rPr>
              <w:t>d</w:t>
            </w:r>
            <w:r w:rsidRPr="00276295">
              <w:rPr>
                <w:i/>
                <w:iCs/>
                <w:spacing w:val="2"/>
                <w:sz w:val="18"/>
                <w:szCs w:val="18"/>
              </w:rPr>
              <w:t>e</w:t>
            </w:r>
            <w:r w:rsidRPr="00276295">
              <w:rPr>
                <w:i/>
                <w:iCs/>
                <w:sz w:val="18"/>
                <w:szCs w:val="18"/>
              </w:rPr>
              <w:t xml:space="preserve">d Tax </w:t>
            </w:r>
            <w:r w:rsidRPr="00276295">
              <w:rPr>
                <w:i/>
                <w:iCs/>
                <w:spacing w:val="1"/>
                <w:sz w:val="18"/>
                <w:szCs w:val="18"/>
              </w:rPr>
              <w:t>(</w:t>
            </w:r>
            <w:r w:rsidRPr="00276295">
              <w:rPr>
                <w:i/>
                <w:iCs/>
                <w:spacing w:val="-1"/>
                <w:sz w:val="18"/>
                <w:szCs w:val="18"/>
              </w:rPr>
              <w:t>VA</w:t>
            </w:r>
            <w:r w:rsidRPr="00276295">
              <w:rPr>
                <w:i/>
                <w:iCs/>
                <w:sz w:val="18"/>
                <w:szCs w:val="18"/>
              </w:rPr>
              <w:t>T</w:t>
            </w:r>
            <w:r w:rsidRPr="00276295">
              <w:rPr>
                <w:i/>
                <w:iCs/>
                <w:spacing w:val="1"/>
                <w:sz w:val="18"/>
                <w:szCs w:val="18"/>
              </w:rPr>
              <w:t>)</w:t>
            </w:r>
            <w:r w:rsidRPr="00276295">
              <w:rPr>
                <w:i/>
                <w:iCs/>
                <w:sz w:val="18"/>
                <w:szCs w:val="18"/>
              </w:rPr>
              <w:t>.</w:t>
            </w:r>
          </w:p>
        </w:tc>
      </w:tr>
      <w:tr w:rsidR="006977B6" w:rsidRPr="00A928CB" w14:paraId="0E734D90" w14:textId="77777777" w:rsidTr="00D215E4">
        <w:tc>
          <w:tcPr>
            <w:tcW w:w="4708" w:type="dxa"/>
          </w:tcPr>
          <w:p w14:paraId="770026D6" w14:textId="77777777" w:rsidR="006977B6" w:rsidRPr="00276295" w:rsidRDefault="006977B6" w:rsidP="00D215E4">
            <w:pPr>
              <w:pStyle w:val="ListParagraph"/>
              <w:ind w:left="567"/>
              <w:jc w:val="both"/>
              <w:rPr>
                <w:spacing w:val="-1"/>
                <w:sz w:val="12"/>
                <w:szCs w:val="14"/>
              </w:rPr>
            </w:pPr>
          </w:p>
        </w:tc>
        <w:tc>
          <w:tcPr>
            <w:tcW w:w="4708" w:type="dxa"/>
          </w:tcPr>
          <w:p w14:paraId="5BDED3E1" w14:textId="77777777" w:rsidR="006977B6" w:rsidRPr="00276295" w:rsidRDefault="006977B6" w:rsidP="00D215E4">
            <w:pPr>
              <w:pStyle w:val="ListParagraph"/>
              <w:tabs>
                <w:tab w:val="left" w:pos="5590"/>
                <w:tab w:val="right" w:pos="7620"/>
                <w:tab w:val="right" w:pos="9460"/>
                <w:tab w:val="right" w:pos="10080"/>
              </w:tabs>
              <w:ind w:left="567"/>
              <w:jc w:val="both"/>
              <w:rPr>
                <w:i/>
                <w:iCs/>
                <w:sz w:val="12"/>
                <w:szCs w:val="14"/>
              </w:rPr>
            </w:pPr>
          </w:p>
        </w:tc>
      </w:tr>
      <w:tr w:rsidR="006977B6" w:rsidRPr="00A928CB" w14:paraId="5014AF57" w14:textId="77777777" w:rsidTr="00D215E4">
        <w:tc>
          <w:tcPr>
            <w:tcW w:w="4708" w:type="dxa"/>
          </w:tcPr>
          <w:p w14:paraId="78733339" w14:textId="77777777" w:rsidR="006977B6" w:rsidRPr="00276295" w:rsidRDefault="006977B6" w:rsidP="00D215E4">
            <w:pPr>
              <w:pStyle w:val="ListParagraph"/>
              <w:ind w:left="567" w:right="-57"/>
              <w:jc w:val="both"/>
              <w:rPr>
                <w:rStyle w:val="hps"/>
                <w:sz w:val="18"/>
                <w:szCs w:val="18"/>
              </w:rPr>
            </w:pPr>
            <w:r w:rsidRPr="00276295">
              <w:rPr>
                <w:spacing w:val="-1"/>
                <w:sz w:val="18"/>
                <w:szCs w:val="18"/>
              </w:rPr>
              <w:t>K</w:t>
            </w:r>
            <w:r w:rsidRPr="00276295">
              <w:rPr>
                <w:spacing w:val="1"/>
                <w:sz w:val="18"/>
                <w:szCs w:val="18"/>
              </w:rPr>
              <w:t>r</w:t>
            </w:r>
            <w:r w:rsidRPr="00276295">
              <w:rPr>
                <w:spacing w:val="-1"/>
                <w:sz w:val="18"/>
                <w:szCs w:val="18"/>
              </w:rPr>
              <w:t>i</w:t>
            </w:r>
            <w:r w:rsidRPr="00276295">
              <w:rPr>
                <w:sz w:val="18"/>
                <w:szCs w:val="18"/>
              </w:rPr>
              <w:t>te</w:t>
            </w:r>
            <w:r w:rsidRPr="00276295">
              <w:rPr>
                <w:spacing w:val="3"/>
                <w:sz w:val="18"/>
                <w:szCs w:val="18"/>
              </w:rPr>
              <w:t>r</w:t>
            </w:r>
            <w:r w:rsidRPr="00276295">
              <w:rPr>
                <w:spacing w:val="-1"/>
                <w:sz w:val="18"/>
                <w:szCs w:val="18"/>
              </w:rPr>
              <w:t>i</w:t>
            </w:r>
            <w:r w:rsidRPr="00276295">
              <w:rPr>
                <w:sz w:val="18"/>
                <w:szCs w:val="18"/>
              </w:rPr>
              <w:t xml:space="preserve">a </w:t>
            </w:r>
            <w:r w:rsidRPr="00276295">
              <w:rPr>
                <w:spacing w:val="1"/>
                <w:sz w:val="18"/>
                <w:szCs w:val="18"/>
              </w:rPr>
              <w:t>s</w:t>
            </w:r>
            <w:r w:rsidRPr="00276295">
              <w:rPr>
                <w:sz w:val="18"/>
                <w:szCs w:val="18"/>
              </w:rPr>
              <w:t>p</w:t>
            </w:r>
            <w:r w:rsidRPr="00276295">
              <w:rPr>
                <w:spacing w:val="-1"/>
                <w:sz w:val="18"/>
                <w:szCs w:val="18"/>
              </w:rPr>
              <w:t>e</w:t>
            </w:r>
            <w:r w:rsidRPr="00276295">
              <w:rPr>
                <w:spacing w:val="1"/>
                <w:sz w:val="18"/>
                <w:szCs w:val="18"/>
              </w:rPr>
              <w:t>s</w:t>
            </w:r>
            <w:r w:rsidRPr="00276295">
              <w:rPr>
                <w:spacing w:val="-1"/>
                <w:sz w:val="18"/>
                <w:szCs w:val="18"/>
              </w:rPr>
              <w:t>i</w:t>
            </w:r>
            <w:r w:rsidRPr="00276295">
              <w:rPr>
                <w:spacing w:val="2"/>
                <w:sz w:val="18"/>
                <w:szCs w:val="18"/>
              </w:rPr>
              <w:t>f</w:t>
            </w:r>
            <w:r w:rsidRPr="00276295">
              <w:rPr>
                <w:spacing w:val="-1"/>
                <w:sz w:val="18"/>
                <w:szCs w:val="18"/>
              </w:rPr>
              <w:t>i</w:t>
            </w:r>
            <w:r w:rsidRPr="00276295">
              <w:rPr>
                <w:sz w:val="18"/>
                <w:szCs w:val="18"/>
              </w:rPr>
              <w:t xml:space="preserve">k </w:t>
            </w:r>
            <w:r w:rsidRPr="00276295">
              <w:rPr>
                <w:rStyle w:val="hps"/>
                <w:sz w:val="18"/>
                <w:szCs w:val="18"/>
              </w:rPr>
              <w:t>berikut</w:t>
            </w:r>
            <w:r w:rsidRPr="00276295">
              <w:rPr>
                <w:sz w:val="18"/>
                <w:szCs w:val="18"/>
              </w:rPr>
              <w:t xml:space="preserve"> </w:t>
            </w:r>
            <w:r w:rsidRPr="00276295">
              <w:rPr>
                <w:spacing w:val="1"/>
                <w:sz w:val="18"/>
                <w:szCs w:val="18"/>
              </w:rPr>
              <w:t>j</w:t>
            </w:r>
            <w:r w:rsidRPr="00276295">
              <w:rPr>
                <w:sz w:val="18"/>
                <w:szCs w:val="18"/>
              </w:rPr>
              <w:t>u</w:t>
            </w:r>
            <w:r w:rsidRPr="00276295">
              <w:rPr>
                <w:spacing w:val="-1"/>
                <w:sz w:val="18"/>
                <w:szCs w:val="18"/>
              </w:rPr>
              <w:t>g</w:t>
            </w:r>
            <w:r w:rsidRPr="00276295">
              <w:rPr>
                <w:sz w:val="18"/>
                <w:szCs w:val="18"/>
              </w:rPr>
              <w:t>a h</w:t>
            </w:r>
            <w:r w:rsidRPr="00276295">
              <w:rPr>
                <w:spacing w:val="-1"/>
                <w:sz w:val="18"/>
                <w:szCs w:val="18"/>
              </w:rPr>
              <w:t>a</w:t>
            </w:r>
            <w:r w:rsidRPr="00276295">
              <w:rPr>
                <w:spacing w:val="1"/>
                <w:sz w:val="18"/>
                <w:szCs w:val="18"/>
              </w:rPr>
              <w:t>r</w:t>
            </w:r>
            <w:r w:rsidRPr="00276295">
              <w:rPr>
                <w:sz w:val="18"/>
                <w:szCs w:val="18"/>
              </w:rPr>
              <w:t xml:space="preserve">us </w:t>
            </w:r>
            <w:r w:rsidRPr="00276295">
              <w:rPr>
                <w:spacing w:val="2"/>
                <w:sz w:val="18"/>
                <w:szCs w:val="18"/>
              </w:rPr>
              <w:t>d</w:t>
            </w:r>
            <w:r w:rsidRPr="00276295">
              <w:rPr>
                <w:spacing w:val="-1"/>
                <w:sz w:val="18"/>
                <w:szCs w:val="18"/>
              </w:rPr>
              <w:t>i</w:t>
            </w:r>
            <w:r w:rsidRPr="00276295">
              <w:rPr>
                <w:spacing w:val="2"/>
                <w:sz w:val="18"/>
                <w:szCs w:val="18"/>
              </w:rPr>
              <w:t>p</w:t>
            </w:r>
            <w:r w:rsidRPr="00276295">
              <w:rPr>
                <w:sz w:val="18"/>
                <w:szCs w:val="18"/>
              </w:rPr>
              <w:t>e</w:t>
            </w:r>
            <w:r w:rsidRPr="00276295">
              <w:rPr>
                <w:spacing w:val="-1"/>
                <w:sz w:val="18"/>
                <w:szCs w:val="18"/>
              </w:rPr>
              <w:t>n</w:t>
            </w:r>
            <w:r w:rsidRPr="00276295">
              <w:rPr>
                <w:spacing w:val="2"/>
                <w:sz w:val="18"/>
                <w:szCs w:val="18"/>
              </w:rPr>
              <w:t>u</w:t>
            </w:r>
            <w:r w:rsidRPr="00276295">
              <w:rPr>
                <w:sz w:val="18"/>
                <w:szCs w:val="18"/>
              </w:rPr>
              <w:t xml:space="preserve">hi </w:t>
            </w:r>
            <w:r w:rsidRPr="00276295">
              <w:rPr>
                <w:spacing w:val="1"/>
                <w:sz w:val="18"/>
                <w:szCs w:val="18"/>
              </w:rPr>
              <w:t>s</w:t>
            </w:r>
            <w:r w:rsidRPr="00276295">
              <w:rPr>
                <w:sz w:val="18"/>
                <w:szCs w:val="18"/>
              </w:rPr>
              <w:t>e</w:t>
            </w:r>
            <w:r w:rsidRPr="00276295">
              <w:rPr>
                <w:spacing w:val="-1"/>
                <w:sz w:val="18"/>
                <w:szCs w:val="18"/>
              </w:rPr>
              <w:t>b</w:t>
            </w:r>
            <w:r w:rsidRPr="00276295">
              <w:rPr>
                <w:sz w:val="18"/>
                <w:szCs w:val="18"/>
              </w:rPr>
              <w:t>e</w:t>
            </w:r>
            <w:r w:rsidRPr="00276295">
              <w:rPr>
                <w:spacing w:val="1"/>
                <w:sz w:val="18"/>
                <w:szCs w:val="18"/>
              </w:rPr>
              <w:t>l</w:t>
            </w:r>
            <w:r w:rsidRPr="00276295">
              <w:rPr>
                <w:sz w:val="18"/>
                <w:szCs w:val="18"/>
              </w:rPr>
              <w:t>um</w:t>
            </w:r>
            <w:r w:rsidRPr="00276295">
              <w:rPr>
                <w:spacing w:val="-4"/>
                <w:sz w:val="18"/>
                <w:szCs w:val="18"/>
              </w:rPr>
              <w:t xml:space="preserve"> </w:t>
            </w:r>
            <w:r w:rsidRPr="00276295">
              <w:rPr>
                <w:sz w:val="18"/>
                <w:szCs w:val="18"/>
              </w:rPr>
              <w:t>p</w:t>
            </w:r>
            <w:r w:rsidRPr="00276295">
              <w:rPr>
                <w:spacing w:val="-1"/>
                <w:sz w:val="18"/>
                <w:szCs w:val="18"/>
              </w:rPr>
              <w:t>e</w:t>
            </w:r>
            <w:r w:rsidRPr="00276295">
              <w:rPr>
                <w:sz w:val="18"/>
                <w:szCs w:val="18"/>
              </w:rPr>
              <w:t>n</w:t>
            </w:r>
            <w:r w:rsidRPr="00276295">
              <w:rPr>
                <w:spacing w:val="-1"/>
                <w:sz w:val="18"/>
                <w:szCs w:val="18"/>
              </w:rPr>
              <w:t>d</w:t>
            </w:r>
            <w:r w:rsidRPr="00276295">
              <w:rPr>
                <w:sz w:val="18"/>
                <w:szCs w:val="18"/>
              </w:rPr>
              <w:t>a</w:t>
            </w:r>
            <w:r w:rsidRPr="00276295">
              <w:rPr>
                <w:spacing w:val="1"/>
                <w:sz w:val="18"/>
                <w:szCs w:val="18"/>
              </w:rPr>
              <w:t>p</w:t>
            </w:r>
            <w:r w:rsidRPr="00276295">
              <w:rPr>
                <w:sz w:val="18"/>
                <w:szCs w:val="18"/>
              </w:rPr>
              <w:t>at</w:t>
            </w:r>
            <w:r w:rsidRPr="00276295">
              <w:rPr>
                <w:spacing w:val="-1"/>
                <w:sz w:val="18"/>
                <w:szCs w:val="18"/>
              </w:rPr>
              <w:t>a</w:t>
            </w:r>
            <w:r w:rsidRPr="00276295">
              <w:rPr>
                <w:sz w:val="18"/>
                <w:szCs w:val="18"/>
              </w:rPr>
              <w:t>n</w:t>
            </w:r>
            <w:r w:rsidRPr="00276295">
              <w:rPr>
                <w:spacing w:val="-9"/>
                <w:sz w:val="18"/>
                <w:szCs w:val="18"/>
              </w:rPr>
              <w:t xml:space="preserve"> </w:t>
            </w:r>
            <w:r w:rsidRPr="00276295">
              <w:rPr>
                <w:sz w:val="18"/>
                <w:szCs w:val="18"/>
              </w:rPr>
              <w:t>d</w:t>
            </w:r>
            <w:r w:rsidRPr="00276295">
              <w:rPr>
                <w:spacing w:val="1"/>
                <w:sz w:val="18"/>
                <w:szCs w:val="18"/>
              </w:rPr>
              <w:t>i</w:t>
            </w:r>
            <w:r w:rsidRPr="00276295">
              <w:rPr>
                <w:sz w:val="18"/>
                <w:szCs w:val="18"/>
              </w:rPr>
              <w:t>a</w:t>
            </w:r>
            <w:r w:rsidRPr="00276295">
              <w:rPr>
                <w:spacing w:val="3"/>
                <w:sz w:val="18"/>
                <w:szCs w:val="18"/>
              </w:rPr>
              <w:t>k</w:t>
            </w:r>
            <w:r w:rsidRPr="00276295">
              <w:rPr>
                <w:sz w:val="18"/>
                <w:szCs w:val="18"/>
              </w:rPr>
              <w:t>u</w:t>
            </w:r>
            <w:r w:rsidRPr="00276295">
              <w:rPr>
                <w:spacing w:val="-1"/>
                <w:sz w:val="18"/>
                <w:szCs w:val="18"/>
              </w:rPr>
              <w:t>i</w:t>
            </w:r>
            <w:r w:rsidRPr="00276295">
              <w:rPr>
                <w:sz w:val="18"/>
                <w:szCs w:val="18"/>
              </w:rPr>
              <w:t>:</w:t>
            </w:r>
          </w:p>
        </w:tc>
        <w:tc>
          <w:tcPr>
            <w:tcW w:w="4708" w:type="dxa"/>
          </w:tcPr>
          <w:p w14:paraId="76810E76" w14:textId="77777777" w:rsidR="006977B6" w:rsidRPr="00276295" w:rsidRDefault="006977B6" w:rsidP="00D215E4">
            <w:pPr>
              <w:pStyle w:val="ListParagraph"/>
              <w:tabs>
                <w:tab w:val="left" w:pos="5590"/>
                <w:tab w:val="right" w:pos="7620"/>
                <w:tab w:val="right" w:pos="9460"/>
                <w:tab w:val="right" w:pos="10080"/>
              </w:tabs>
              <w:ind w:left="567" w:right="-57"/>
              <w:jc w:val="both"/>
              <w:rPr>
                <w:bCs w:val="0"/>
                <w:i/>
                <w:sz w:val="18"/>
                <w:szCs w:val="18"/>
                <w:u w:val="single"/>
              </w:rPr>
            </w:pPr>
            <w:r w:rsidRPr="00276295">
              <w:rPr>
                <w:i/>
                <w:iCs/>
                <w:sz w:val="18"/>
                <w:szCs w:val="18"/>
              </w:rPr>
              <w:t>The</w:t>
            </w:r>
            <w:r w:rsidRPr="00276295">
              <w:rPr>
                <w:i/>
                <w:iCs/>
                <w:spacing w:val="27"/>
                <w:sz w:val="18"/>
                <w:szCs w:val="18"/>
              </w:rPr>
              <w:t xml:space="preserve"> </w:t>
            </w:r>
            <w:r w:rsidRPr="00276295">
              <w:rPr>
                <w:i/>
                <w:iCs/>
                <w:sz w:val="18"/>
                <w:szCs w:val="18"/>
              </w:rPr>
              <w:t>fo</w:t>
            </w:r>
            <w:r w:rsidRPr="00276295">
              <w:rPr>
                <w:i/>
                <w:iCs/>
                <w:spacing w:val="1"/>
                <w:sz w:val="18"/>
                <w:szCs w:val="18"/>
              </w:rPr>
              <w:t>l</w:t>
            </w:r>
            <w:r w:rsidRPr="00276295">
              <w:rPr>
                <w:i/>
                <w:iCs/>
                <w:spacing w:val="-1"/>
                <w:sz w:val="18"/>
                <w:szCs w:val="18"/>
              </w:rPr>
              <w:t>l</w:t>
            </w:r>
            <w:r w:rsidRPr="00276295">
              <w:rPr>
                <w:i/>
                <w:iCs/>
                <w:sz w:val="18"/>
                <w:szCs w:val="18"/>
              </w:rPr>
              <w:t>o</w:t>
            </w:r>
            <w:r w:rsidRPr="00276295">
              <w:rPr>
                <w:i/>
                <w:iCs/>
                <w:spacing w:val="2"/>
                <w:sz w:val="18"/>
                <w:szCs w:val="18"/>
              </w:rPr>
              <w:t>w</w:t>
            </w:r>
            <w:r w:rsidRPr="00276295">
              <w:rPr>
                <w:i/>
                <w:iCs/>
                <w:spacing w:val="-1"/>
                <w:sz w:val="18"/>
                <w:szCs w:val="18"/>
              </w:rPr>
              <w:t>i</w:t>
            </w:r>
            <w:r w:rsidRPr="00276295">
              <w:rPr>
                <w:i/>
                <w:iCs/>
                <w:spacing w:val="2"/>
                <w:sz w:val="18"/>
                <w:szCs w:val="18"/>
              </w:rPr>
              <w:t>n</w:t>
            </w:r>
            <w:r w:rsidRPr="00276295">
              <w:rPr>
                <w:i/>
                <w:iCs/>
                <w:sz w:val="18"/>
                <w:szCs w:val="18"/>
              </w:rPr>
              <w:t>g</w:t>
            </w:r>
            <w:r w:rsidRPr="00276295">
              <w:rPr>
                <w:i/>
                <w:iCs/>
                <w:spacing w:val="24"/>
                <w:sz w:val="18"/>
                <w:szCs w:val="18"/>
              </w:rPr>
              <w:t xml:space="preserve"> </w:t>
            </w:r>
            <w:r w:rsidRPr="00276295">
              <w:rPr>
                <w:i/>
                <w:iCs/>
                <w:spacing w:val="3"/>
                <w:sz w:val="18"/>
                <w:szCs w:val="18"/>
              </w:rPr>
              <w:t>specific</w:t>
            </w:r>
            <w:r w:rsidRPr="00276295">
              <w:rPr>
                <w:i/>
                <w:iCs/>
                <w:spacing w:val="25"/>
                <w:sz w:val="18"/>
                <w:szCs w:val="18"/>
              </w:rPr>
              <w:t xml:space="preserve"> </w:t>
            </w:r>
            <w:r w:rsidRPr="00276295">
              <w:rPr>
                <w:i/>
                <w:iCs/>
                <w:spacing w:val="1"/>
                <w:sz w:val="18"/>
                <w:szCs w:val="18"/>
              </w:rPr>
              <w:t>r</w:t>
            </w:r>
            <w:r w:rsidRPr="00276295">
              <w:rPr>
                <w:i/>
                <w:iCs/>
                <w:sz w:val="18"/>
                <w:szCs w:val="18"/>
              </w:rPr>
              <w:t>e</w:t>
            </w:r>
            <w:r w:rsidRPr="00276295">
              <w:rPr>
                <w:i/>
                <w:iCs/>
                <w:spacing w:val="1"/>
                <w:sz w:val="18"/>
                <w:szCs w:val="18"/>
              </w:rPr>
              <w:t>c</w:t>
            </w:r>
            <w:r w:rsidRPr="00276295">
              <w:rPr>
                <w:i/>
                <w:iCs/>
                <w:sz w:val="18"/>
                <w:szCs w:val="18"/>
              </w:rPr>
              <w:t>o</w:t>
            </w:r>
            <w:r w:rsidRPr="00276295">
              <w:rPr>
                <w:i/>
                <w:iCs/>
                <w:spacing w:val="-1"/>
                <w:sz w:val="18"/>
                <w:szCs w:val="18"/>
              </w:rPr>
              <w:t>g</w:t>
            </w:r>
            <w:r w:rsidRPr="00276295">
              <w:rPr>
                <w:i/>
                <w:iCs/>
                <w:sz w:val="18"/>
                <w:szCs w:val="18"/>
              </w:rPr>
              <w:t>n</w:t>
            </w:r>
            <w:r w:rsidRPr="00276295">
              <w:rPr>
                <w:i/>
                <w:iCs/>
                <w:spacing w:val="-1"/>
                <w:sz w:val="18"/>
                <w:szCs w:val="18"/>
              </w:rPr>
              <w:t>i</w:t>
            </w:r>
            <w:r w:rsidRPr="00276295">
              <w:rPr>
                <w:i/>
                <w:iCs/>
                <w:spacing w:val="2"/>
                <w:sz w:val="18"/>
                <w:szCs w:val="18"/>
              </w:rPr>
              <w:t>t</w:t>
            </w:r>
            <w:r w:rsidRPr="00276295">
              <w:rPr>
                <w:i/>
                <w:iCs/>
                <w:spacing w:val="-1"/>
                <w:sz w:val="18"/>
                <w:szCs w:val="18"/>
              </w:rPr>
              <w:t>i</w:t>
            </w:r>
            <w:r w:rsidRPr="00276295">
              <w:rPr>
                <w:i/>
                <w:iCs/>
                <w:spacing w:val="2"/>
                <w:sz w:val="18"/>
                <w:szCs w:val="18"/>
              </w:rPr>
              <w:t>o</w:t>
            </w:r>
            <w:r w:rsidRPr="00276295">
              <w:rPr>
                <w:i/>
                <w:iCs/>
                <w:sz w:val="18"/>
                <w:szCs w:val="18"/>
              </w:rPr>
              <w:t>n</w:t>
            </w:r>
            <w:r w:rsidRPr="00276295">
              <w:rPr>
                <w:i/>
                <w:iCs/>
                <w:spacing w:val="21"/>
                <w:sz w:val="18"/>
                <w:szCs w:val="18"/>
              </w:rPr>
              <w:t xml:space="preserve"> </w:t>
            </w:r>
            <w:r w:rsidRPr="00276295">
              <w:rPr>
                <w:i/>
                <w:iCs/>
                <w:spacing w:val="1"/>
                <w:sz w:val="18"/>
                <w:szCs w:val="18"/>
              </w:rPr>
              <w:t>cr</w:t>
            </w:r>
            <w:r w:rsidRPr="00276295">
              <w:rPr>
                <w:i/>
                <w:iCs/>
                <w:spacing w:val="-1"/>
                <w:sz w:val="18"/>
                <w:szCs w:val="18"/>
              </w:rPr>
              <w:t>i</w:t>
            </w:r>
            <w:r w:rsidRPr="00276295">
              <w:rPr>
                <w:i/>
                <w:iCs/>
                <w:sz w:val="18"/>
                <w:szCs w:val="18"/>
              </w:rPr>
              <w:t>ter</w:t>
            </w:r>
            <w:r w:rsidRPr="00276295">
              <w:rPr>
                <w:i/>
                <w:iCs/>
                <w:spacing w:val="-1"/>
                <w:sz w:val="18"/>
                <w:szCs w:val="18"/>
              </w:rPr>
              <w:t>i</w:t>
            </w:r>
            <w:r w:rsidRPr="00276295">
              <w:rPr>
                <w:i/>
                <w:iCs/>
                <w:sz w:val="18"/>
                <w:szCs w:val="18"/>
              </w:rPr>
              <w:t>a</w:t>
            </w:r>
            <w:r w:rsidRPr="00276295">
              <w:rPr>
                <w:i/>
                <w:iCs/>
                <w:spacing w:val="24"/>
                <w:sz w:val="18"/>
                <w:szCs w:val="18"/>
              </w:rPr>
              <w:t xml:space="preserve"> </w:t>
            </w:r>
            <w:r w:rsidRPr="00276295">
              <w:rPr>
                <w:i/>
                <w:iCs/>
                <w:spacing w:val="2"/>
                <w:sz w:val="18"/>
                <w:szCs w:val="18"/>
              </w:rPr>
              <w:t>m</w:t>
            </w:r>
            <w:r w:rsidRPr="00276295">
              <w:rPr>
                <w:i/>
                <w:iCs/>
                <w:sz w:val="18"/>
                <w:szCs w:val="18"/>
              </w:rPr>
              <w:t>u</w:t>
            </w:r>
            <w:r w:rsidRPr="00276295">
              <w:rPr>
                <w:i/>
                <w:iCs/>
                <w:spacing w:val="1"/>
                <w:sz w:val="18"/>
                <w:szCs w:val="18"/>
              </w:rPr>
              <w:t>s</w:t>
            </w:r>
            <w:r w:rsidRPr="00276295">
              <w:rPr>
                <w:i/>
                <w:iCs/>
                <w:sz w:val="18"/>
                <w:szCs w:val="18"/>
              </w:rPr>
              <w:t>t a</w:t>
            </w:r>
            <w:r w:rsidRPr="00276295">
              <w:rPr>
                <w:i/>
                <w:iCs/>
                <w:spacing w:val="-1"/>
                <w:sz w:val="18"/>
                <w:szCs w:val="18"/>
              </w:rPr>
              <w:t>l</w:t>
            </w:r>
            <w:r w:rsidRPr="00276295">
              <w:rPr>
                <w:i/>
                <w:iCs/>
                <w:spacing w:val="1"/>
                <w:sz w:val="18"/>
                <w:szCs w:val="18"/>
              </w:rPr>
              <w:t>s</w:t>
            </w:r>
            <w:r w:rsidRPr="00276295">
              <w:rPr>
                <w:i/>
                <w:iCs/>
                <w:sz w:val="18"/>
                <w:szCs w:val="18"/>
              </w:rPr>
              <w:t>o</w:t>
            </w:r>
            <w:r w:rsidRPr="00276295">
              <w:rPr>
                <w:i/>
                <w:iCs/>
                <w:spacing w:val="-4"/>
                <w:sz w:val="18"/>
                <w:szCs w:val="18"/>
              </w:rPr>
              <w:t xml:space="preserve"> </w:t>
            </w:r>
            <w:r w:rsidRPr="00276295">
              <w:rPr>
                <w:i/>
                <w:iCs/>
                <w:spacing w:val="1"/>
                <w:sz w:val="18"/>
                <w:szCs w:val="18"/>
              </w:rPr>
              <w:t>b</w:t>
            </w:r>
            <w:r w:rsidRPr="00276295">
              <w:rPr>
                <w:i/>
                <w:iCs/>
                <w:sz w:val="18"/>
                <w:szCs w:val="18"/>
              </w:rPr>
              <w:t>e</w:t>
            </w:r>
            <w:r w:rsidRPr="00276295">
              <w:rPr>
                <w:i/>
                <w:iCs/>
                <w:spacing w:val="-2"/>
                <w:sz w:val="18"/>
                <w:szCs w:val="18"/>
              </w:rPr>
              <w:t xml:space="preserve"> </w:t>
            </w:r>
            <w:r w:rsidRPr="00276295">
              <w:rPr>
                <w:i/>
                <w:iCs/>
                <w:spacing w:val="1"/>
                <w:sz w:val="18"/>
                <w:szCs w:val="18"/>
              </w:rPr>
              <w:t>m</w:t>
            </w:r>
            <w:r w:rsidRPr="00276295">
              <w:rPr>
                <w:i/>
                <w:iCs/>
                <w:sz w:val="18"/>
                <w:szCs w:val="18"/>
              </w:rPr>
              <w:t>et</w:t>
            </w:r>
            <w:r w:rsidRPr="00276295">
              <w:rPr>
                <w:i/>
                <w:iCs/>
                <w:spacing w:val="-4"/>
                <w:sz w:val="18"/>
                <w:szCs w:val="18"/>
              </w:rPr>
              <w:t xml:space="preserve"> </w:t>
            </w:r>
            <w:r w:rsidRPr="00276295">
              <w:rPr>
                <w:i/>
                <w:iCs/>
                <w:spacing w:val="-1"/>
                <w:sz w:val="18"/>
                <w:szCs w:val="18"/>
              </w:rPr>
              <w:t>before</w:t>
            </w:r>
            <w:r w:rsidRPr="00276295">
              <w:rPr>
                <w:i/>
                <w:iCs/>
                <w:spacing w:val="-6"/>
                <w:sz w:val="18"/>
                <w:szCs w:val="18"/>
              </w:rPr>
              <w:t xml:space="preserve"> </w:t>
            </w:r>
            <w:r w:rsidRPr="00276295">
              <w:rPr>
                <w:i/>
                <w:iCs/>
                <w:spacing w:val="3"/>
                <w:sz w:val="18"/>
                <w:szCs w:val="18"/>
              </w:rPr>
              <w:t>r</w:t>
            </w:r>
            <w:r w:rsidRPr="00276295">
              <w:rPr>
                <w:i/>
                <w:iCs/>
                <w:sz w:val="18"/>
                <w:szCs w:val="18"/>
              </w:rPr>
              <w:t>e</w:t>
            </w:r>
            <w:r w:rsidRPr="00276295">
              <w:rPr>
                <w:i/>
                <w:iCs/>
                <w:spacing w:val="1"/>
                <w:sz w:val="18"/>
                <w:szCs w:val="18"/>
              </w:rPr>
              <w:t>v</w:t>
            </w:r>
            <w:r w:rsidRPr="00276295">
              <w:rPr>
                <w:i/>
                <w:iCs/>
                <w:sz w:val="18"/>
                <w:szCs w:val="18"/>
              </w:rPr>
              <w:t>e</w:t>
            </w:r>
            <w:r w:rsidRPr="00276295">
              <w:rPr>
                <w:i/>
                <w:iCs/>
                <w:spacing w:val="-1"/>
                <w:sz w:val="18"/>
                <w:szCs w:val="18"/>
              </w:rPr>
              <w:t>n</w:t>
            </w:r>
            <w:r w:rsidRPr="00276295">
              <w:rPr>
                <w:i/>
                <w:iCs/>
                <w:spacing w:val="2"/>
                <w:sz w:val="18"/>
                <w:szCs w:val="18"/>
              </w:rPr>
              <w:t>u</w:t>
            </w:r>
            <w:r w:rsidRPr="00276295">
              <w:rPr>
                <w:i/>
                <w:iCs/>
                <w:sz w:val="18"/>
                <w:szCs w:val="18"/>
              </w:rPr>
              <w:t>e</w:t>
            </w:r>
            <w:r w:rsidRPr="00276295">
              <w:rPr>
                <w:i/>
                <w:iCs/>
                <w:spacing w:val="-5"/>
                <w:sz w:val="18"/>
                <w:szCs w:val="18"/>
              </w:rPr>
              <w:t xml:space="preserve"> </w:t>
            </w:r>
            <w:r w:rsidRPr="00276295">
              <w:rPr>
                <w:i/>
                <w:iCs/>
                <w:spacing w:val="-1"/>
                <w:sz w:val="18"/>
                <w:szCs w:val="18"/>
              </w:rPr>
              <w:t>i</w:t>
            </w:r>
            <w:r w:rsidRPr="00276295">
              <w:rPr>
                <w:i/>
                <w:iCs/>
                <w:sz w:val="18"/>
                <w:szCs w:val="18"/>
              </w:rPr>
              <w:t xml:space="preserve">s </w:t>
            </w:r>
            <w:r w:rsidRPr="00276295">
              <w:rPr>
                <w:i/>
                <w:iCs/>
                <w:spacing w:val="1"/>
                <w:sz w:val="18"/>
                <w:szCs w:val="18"/>
              </w:rPr>
              <w:t>recognized</w:t>
            </w:r>
            <w:r w:rsidRPr="00276295">
              <w:rPr>
                <w:i/>
                <w:iCs/>
                <w:sz w:val="18"/>
                <w:szCs w:val="18"/>
              </w:rPr>
              <w:t>:</w:t>
            </w:r>
          </w:p>
        </w:tc>
      </w:tr>
      <w:tr w:rsidR="006977B6" w:rsidRPr="00A928CB" w14:paraId="1834B40B" w14:textId="77777777" w:rsidTr="00D215E4">
        <w:tc>
          <w:tcPr>
            <w:tcW w:w="4708" w:type="dxa"/>
          </w:tcPr>
          <w:p w14:paraId="44977ACA" w14:textId="77777777" w:rsidR="006977B6" w:rsidRPr="00A928CB" w:rsidRDefault="006977B6" w:rsidP="00D215E4">
            <w:pPr>
              <w:tabs>
                <w:tab w:val="left" w:pos="1020"/>
              </w:tabs>
              <w:ind w:left="624"/>
              <w:jc w:val="both"/>
              <w:rPr>
                <w:rStyle w:val="hps"/>
                <w:sz w:val="12"/>
                <w:szCs w:val="14"/>
                <w:highlight w:val="cyan"/>
              </w:rPr>
            </w:pPr>
          </w:p>
        </w:tc>
        <w:tc>
          <w:tcPr>
            <w:tcW w:w="4708" w:type="dxa"/>
          </w:tcPr>
          <w:p w14:paraId="024E7D97" w14:textId="77777777" w:rsidR="006977B6" w:rsidRPr="00A928CB" w:rsidRDefault="006977B6" w:rsidP="00D215E4">
            <w:pPr>
              <w:ind w:left="624" w:right="-40"/>
              <w:jc w:val="both"/>
              <w:rPr>
                <w:bCs w:val="0"/>
                <w:i/>
                <w:sz w:val="12"/>
                <w:szCs w:val="14"/>
                <w:highlight w:val="cyan"/>
              </w:rPr>
            </w:pPr>
          </w:p>
        </w:tc>
      </w:tr>
      <w:tr w:rsidR="006977B6" w:rsidRPr="00A928CB" w14:paraId="76A9F569" w14:textId="77777777" w:rsidTr="00D215E4">
        <w:tc>
          <w:tcPr>
            <w:tcW w:w="4708" w:type="dxa"/>
          </w:tcPr>
          <w:p w14:paraId="38EBC797" w14:textId="77777777" w:rsidR="006977B6" w:rsidRPr="00276295" w:rsidRDefault="006977B6" w:rsidP="00D215E4">
            <w:pPr>
              <w:widowControl w:val="0"/>
              <w:tabs>
                <w:tab w:val="left" w:pos="4490"/>
              </w:tabs>
              <w:autoSpaceDE w:val="0"/>
              <w:autoSpaceDN w:val="0"/>
              <w:adjustRightInd w:val="0"/>
              <w:spacing w:before="36"/>
              <w:ind w:left="567"/>
              <w:jc w:val="both"/>
              <w:rPr>
                <w:rStyle w:val="hps"/>
                <w:sz w:val="18"/>
                <w:szCs w:val="18"/>
              </w:rPr>
            </w:pPr>
            <w:r w:rsidRPr="00276295">
              <w:rPr>
                <w:spacing w:val="-1"/>
                <w:sz w:val="18"/>
                <w:szCs w:val="18"/>
                <w:u w:val="single"/>
              </w:rPr>
              <w:t>P</w:t>
            </w:r>
            <w:r w:rsidRPr="00276295">
              <w:rPr>
                <w:sz w:val="18"/>
                <w:szCs w:val="18"/>
                <w:u w:val="single"/>
              </w:rPr>
              <w:t>e</w:t>
            </w:r>
            <w:r w:rsidRPr="00276295">
              <w:rPr>
                <w:spacing w:val="-1"/>
                <w:sz w:val="18"/>
                <w:szCs w:val="18"/>
                <w:u w:val="single"/>
              </w:rPr>
              <w:t>n</w:t>
            </w:r>
            <w:r w:rsidRPr="00276295">
              <w:rPr>
                <w:spacing w:val="1"/>
                <w:sz w:val="18"/>
                <w:szCs w:val="18"/>
                <w:u w:val="single"/>
              </w:rPr>
              <w:t>j</w:t>
            </w:r>
            <w:r w:rsidRPr="00276295">
              <w:rPr>
                <w:spacing w:val="2"/>
                <w:sz w:val="18"/>
                <w:szCs w:val="18"/>
                <w:u w:val="single"/>
              </w:rPr>
              <w:t>u</w:t>
            </w:r>
            <w:r w:rsidRPr="00276295">
              <w:rPr>
                <w:sz w:val="18"/>
                <w:szCs w:val="18"/>
                <w:u w:val="single"/>
              </w:rPr>
              <w:t>a</w:t>
            </w:r>
            <w:r w:rsidRPr="00276295">
              <w:rPr>
                <w:spacing w:val="-1"/>
                <w:sz w:val="18"/>
                <w:szCs w:val="18"/>
                <w:u w:val="single"/>
              </w:rPr>
              <w:t>l</w:t>
            </w:r>
            <w:r w:rsidRPr="00276295">
              <w:rPr>
                <w:spacing w:val="2"/>
                <w:sz w:val="18"/>
                <w:szCs w:val="18"/>
                <w:u w:val="single"/>
              </w:rPr>
              <w:t>a</w:t>
            </w:r>
            <w:r w:rsidRPr="00276295">
              <w:rPr>
                <w:sz w:val="18"/>
                <w:szCs w:val="18"/>
                <w:u w:val="single"/>
              </w:rPr>
              <w:t>n</w:t>
            </w:r>
            <w:r w:rsidRPr="00276295">
              <w:rPr>
                <w:spacing w:val="-9"/>
                <w:sz w:val="18"/>
                <w:szCs w:val="18"/>
                <w:u w:val="single"/>
              </w:rPr>
              <w:t xml:space="preserve"> </w:t>
            </w:r>
            <w:r w:rsidRPr="00276295">
              <w:rPr>
                <w:spacing w:val="1"/>
                <w:sz w:val="18"/>
                <w:szCs w:val="18"/>
                <w:u w:val="single"/>
              </w:rPr>
              <w:t>b</w:t>
            </w:r>
            <w:r w:rsidRPr="00276295">
              <w:rPr>
                <w:sz w:val="18"/>
                <w:szCs w:val="18"/>
                <w:u w:val="single"/>
              </w:rPr>
              <w:t>arang dan jasa</w:t>
            </w:r>
          </w:p>
        </w:tc>
        <w:tc>
          <w:tcPr>
            <w:tcW w:w="4708" w:type="dxa"/>
          </w:tcPr>
          <w:p w14:paraId="4854C22C" w14:textId="77777777" w:rsidR="006977B6" w:rsidRPr="00276295" w:rsidRDefault="006977B6" w:rsidP="00D215E4">
            <w:pPr>
              <w:widowControl w:val="0"/>
              <w:autoSpaceDE w:val="0"/>
              <w:autoSpaceDN w:val="0"/>
              <w:adjustRightInd w:val="0"/>
              <w:spacing w:before="34"/>
              <w:ind w:left="567"/>
              <w:jc w:val="both"/>
              <w:rPr>
                <w:sz w:val="18"/>
                <w:szCs w:val="18"/>
              </w:rPr>
            </w:pPr>
            <w:r w:rsidRPr="00276295">
              <w:rPr>
                <w:i/>
                <w:iCs/>
                <w:spacing w:val="-1"/>
                <w:sz w:val="18"/>
                <w:szCs w:val="18"/>
                <w:u w:val="single"/>
              </w:rPr>
              <w:t>S</w:t>
            </w:r>
            <w:r w:rsidRPr="00276295">
              <w:rPr>
                <w:i/>
                <w:iCs/>
                <w:sz w:val="18"/>
                <w:szCs w:val="18"/>
                <w:u w:val="single"/>
              </w:rPr>
              <w:t>a</w:t>
            </w:r>
            <w:r w:rsidRPr="00276295">
              <w:rPr>
                <w:i/>
                <w:iCs/>
                <w:spacing w:val="1"/>
                <w:sz w:val="18"/>
                <w:szCs w:val="18"/>
                <w:u w:val="single"/>
              </w:rPr>
              <w:t>l</w:t>
            </w:r>
            <w:r w:rsidRPr="00276295">
              <w:rPr>
                <w:i/>
                <w:iCs/>
                <w:sz w:val="18"/>
                <w:szCs w:val="18"/>
                <w:u w:val="single"/>
              </w:rPr>
              <w:t>e</w:t>
            </w:r>
            <w:r w:rsidRPr="00276295">
              <w:rPr>
                <w:i/>
                <w:iCs/>
                <w:spacing w:val="-5"/>
                <w:sz w:val="18"/>
                <w:szCs w:val="18"/>
                <w:u w:val="single"/>
              </w:rPr>
              <w:t xml:space="preserve"> </w:t>
            </w:r>
            <w:r w:rsidRPr="00276295">
              <w:rPr>
                <w:i/>
                <w:iCs/>
                <w:spacing w:val="-1"/>
                <w:sz w:val="18"/>
                <w:szCs w:val="18"/>
                <w:u w:val="single"/>
              </w:rPr>
              <w:t>o</w:t>
            </w:r>
            <w:r w:rsidRPr="00276295">
              <w:rPr>
                <w:i/>
                <w:iCs/>
                <w:sz w:val="18"/>
                <w:szCs w:val="18"/>
                <w:u w:val="single"/>
              </w:rPr>
              <w:t>f g</w:t>
            </w:r>
            <w:r w:rsidRPr="00276295">
              <w:rPr>
                <w:i/>
                <w:iCs/>
                <w:spacing w:val="1"/>
                <w:sz w:val="18"/>
                <w:szCs w:val="18"/>
                <w:u w:val="single"/>
              </w:rPr>
              <w:t>o</w:t>
            </w:r>
            <w:r w:rsidRPr="00276295">
              <w:rPr>
                <w:i/>
                <w:iCs/>
                <w:sz w:val="18"/>
                <w:szCs w:val="18"/>
                <w:u w:val="single"/>
              </w:rPr>
              <w:t>o</w:t>
            </w:r>
            <w:r w:rsidRPr="00276295">
              <w:rPr>
                <w:i/>
                <w:iCs/>
                <w:spacing w:val="-1"/>
                <w:sz w:val="18"/>
                <w:szCs w:val="18"/>
                <w:u w:val="single"/>
              </w:rPr>
              <w:t>d</w:t>
            </w:r>
            <w:r w:rsidRPr="00276295">
              <w:rPr>
                <w:i/>
                <w:iCs/>
                <w:sz w:val="18"/>
                <w:szCs w:val="18"/>
                <w:u w:val="single"/>
              </w:rPr>
              <w:t>s and services</w:t>
            </w:r>
          </w:p>
        </w:tc>
      </w:tr>
      <w:tr w:rsidR="006977B6" w:rsidRPr="00A928CB" w14:paraId="50D2887E" w14:textId="77777777" w:rsidTr="00D215E4">
        <w:tc>
          <w:tcPr>
            <w:tcW w:w="4708" w:type="dxa"/>
          </w:tcPr>
          <w:p w14:paraId="7138BEC5" w14:textId="77777777" w:rsidR="006977B6" w:rsidRPr="00276295" w:rsidRDefault="006977B6" w:rsidP="00D215E4">
            <w:pPr>
              <w:widowControl w:val="0"/>
              <w:tabs>
                <w:tab w:val="left" w:pos="4490"/>
              </w:tabs>
              <w:autoSpaceDE w:val="0"/>
              <w:autoSpaceDN w:val="0"/>
              <w:adjustRightInd w:val="0"/>
              <w:spacing w:before="36"/>
              <w:ind w:left="624"/>
              <w:jc w:val="both"/>
              <w:rPr>
                <w:spacing w:val="-1"/>
                <w:sz w:val="12"/>
                <w:szCs w:val="14"/>
                <w:u w:val="single"/>
              </w:rPr>
            </w:pPr>
          </w:p>
        </w:tc>
        <w:tc>
          <w:tcPr>
            <w:tcW w:w="4708" w:type="dxa"/>
          </w:tcPr>
          <w:p w14:paraId="28FB6EB3" w14:textId="77777777" w:rsidR="006977B6" w:rsidRPr="00276295" w:rsidRDefault="006977B6" w:rsidP="00D215E4">
            <w:pPr>
              <w:ind w:left="624" w:right="-40"/>
              <w:jc w:val="both"/>
              <w:rPr>
                <w:bCs w:val="0"/>
                <w:i/>
                <w:sz w:val="12"/>
                <w:szCs w:val="14"/>
              </w:rPr>
            </w:pPr>
          </w:p>
        </w:tc>
      </w:tr>
      <w:tr w:rsidR="006977B6" w:rsidRPr="00A928CB" w14:paraId="15939291" w14:textId="77777777" w:rsidTr="00D215E4">
        <w:tc>
          <w:tcPr>
            <w:tcW w:w="4708" w:type="dxa"/>
          </w:tcPr>
          <w:p w14:paraId="37CB1DD8" w14:textId="5B77FD99" w:rsidR="006977B6" w:rsidRPr="00276295" w:rsidRDefault="001B2B98" w:rsidP="00D215E4">
            <w:pPr>
              <w:pStyle w:val="ListParagraph"/>
              <w:ind w:left="567" w:right="-57"/>
              <w:jc w:val="both"/>
              <w:rPr>
                <w:spacing w:val="1"/>
                <w:sz w:val="18"/>
                <w:szCs w:val="18"/>
              </w:rPr>
            </w:pPr>
            <w:r>
              <w:rPr>
                <w:spacing w:val="1"/>
                <w:sz w:val="18"/>
                <w:szCs w:val="18"/>
              </w:rPr>
              <w:t>Pendapatan diakui pada saat jasa pelayanan kesehatan diberikan atau barang medis diserahkan kepada pasien.</w:t>
            </w:r>
          </w:p>
        </w:tc>
        <w:tc>
          <w:tcPr>
            <w:tcW w:w="4708" w:type="dxa"/>
          </w:tcPr>
          <w:p w14:paraId="0644B9AB" w14:textId="0B61689C" w:rsidR="006977B6" w:rsidRPr="00276295" w:rsidRDefault="001B2B98" w:rsidP="00D215E4">
            <w:pPr>
              <w:pStyle w:val="ListParagraph"/>
              <w:tabs>
                <w:tab w:val="left" w:pos="5590"/>
                <w:tab w:val="right" w:pos="7620"/>
                <w:tab w:val="right" w:pos="9460"/>
                <w:tab w:val="right" w:pos="10080"/>
              </w:tabs>
              <w:ind w:left="567" w:right="-57"/>
              <w:jc w:val="both"/>
              <w:rPr>
                <w:bCs w:val="0"/>
                <w:i/>
                <w:sz w:val="18"/>
                <w:szCs w:val="18"/>
              </w:rPr>
            </w:pPr>
            <w:r>
              <w:rPr>
                <w:bCs w:val="0"/>
                <w:i/>
                <w:sz w:val="18"/>
                <w:szCs w:val="18"/>
              </w:rPr>
              <w:t>Revenue is recognized when medical services are rendered or when medical supplies are delivered to patients.</w:t>
            </w:r>
          </w:p>
        </w:tc>
      </w:tr>
      <w:tr w:rsidR="006977B6" w:rsidRPr="00A928CB" w14:paraId="7D87198E" w14:textId="77777777" w:rsidTr="00D215E4">
        <w:tc>
          <w:tcPr>
            <w:tcW w:w="4708" w:type="dxa"/>
          </w:tcPr>
          <w:p w14:paraId="596A760D" w14:textId="77777777" w:rsidR="006977B6" w:rsidRPr="00276295" w:rsidRDefault="006977B6" w:rsidP="00D215E4">
            <w:pPr>
              <w:tabs>
                <w:tab w:val="left" w:pos="1020"/>
              </w:tabs>
              <w:ind w:left="624"/>
              <w:jc w:val="both"/>
              <w:rPr>
                <w:rStyle w:val="hps"/>
                <w:sz w:val="12"/>
                <w:szCs w:val="14"/>
              </w:rPr>
            </w:pPr>
          </w:p>
        </w:tc>
        <w:tc>
          <w:tcPr>
            <w:tcW w:w="4708" w:type="dxa"/>
          </w:tcPr>
          <w:p w14:paraId="643FC576" w14:textId="77777777" w:rsidR="006977B6" w:rsidRPr="00276295" w:rsidRDefault="006977B6" w:rsidP="00D215E4">
            <w:pPr>
              <w:ind w:left="624" w:right="-40"/>
              <w:jc w:val="both"/>
              <w:rPr>
                <w:bCs w:val="0"/>
                <w:i/>
                <w:sz w:val="12"/>
                <w:szCs w:val="14"/>
              </w:rPr>
            </w:pPr>
          </w:p>
        </w:tc>
      </w:tr>
      <w:tr w:rsidR="006977B6" w:rsidRPr="00A928CB" w14:paraId="7B7C83BA" w14:textId="77777777" w:rsidTr="00D215E4">
        <w:tc>
          <w:tcPr>
            <w:tcW w:w="4708" w:type="dxa"/>
          </w:tcPr>
          <w:p w14:paraId="42EC46AF" w14:textId="77777777" w:rsidR="006977B6" w:rsidRPr="00276295" w:rsidRDefault="006977B6" w:rsidP="00D215E4">
            <w:pPr>
              <w:widowControl w:val="0"/>
              <w:tabs>
                <w:tab w:val="left" w:pos="4490"/>
              </w:tabs>
              <w:autoSpaceDE w:val="0"/>
              <w:autoSpaceDN w:val="0"/>
              <w:adjustRightInd w:val="0"/>
              <w:spacing w:before="36"/>
              <w:ind w:left="567"/>
              <w:jc w:val="both"/>
              <w:rPr>
                <w:rStyle w:val="hps"/>
                <w:sz w:val="18"/>
                <w:szCs w:val="18"/>
              </w:rPr>
            </w:pPr>
            <w:r w:rsidRPr="00276295">
              <w:rPr>
                <w:spacing w:val="-1"/>
                <w:sz w:val="18"/>
                <w:szCs w:val="18"/>
                <w:u w:val="single"/>
              </w:rPr>
              <w:t>Beban</w:t>
            </w:r>
          </w:p>
        </w:tc>
        <w:tc>
          <w:tcPr>
            <w:tcW w:w="4708" w:type="dxa"/>
          </w:tcPr>
          <w:p w14:paraId="7D608934" w14:textId="77777777" w:rsidR="006977B6" w:rsidRPr="00276295" w:rsidRDefault="006977B6" w:rsidP="00D215E4">
            <w:pPr>
              <w:widowControl w:val="0"/>
              <w:autoSpaceDE w:val="0"/>
              <w:autoSpaceDN w:val="0"/>
              <w:adjustRightInd w:val="0"/>
              <w:spacing w:before="34"/>
              <w:ind w:left="567"/>
              <w:jc w:val="both"/>
              <w:rPr>
                <w:i/>
                <w:iCs/>
                <w:sz w:val="18"/>
                <w:szCs w:val="18"/>
                <w:u w:val="single"/>
              </w:rPr>
            </w:pPr>
            <w:r w:rsidRPr="00276295">
              <w:rPr>
                <w:i/>
                <w:iCs/>
                <w:sz w:val="18"/>
                <w:szCs w:val="18"/>
                <w:u w:val="single"/>
              </w:rPr>
              <w:t>Expenses</w:t>
            </w:r>
          </w:p>
        </w:tc>
      </w:tr>
      <w:tr w:rsidR="006977B6" w:rsidRPr="00A928CB" w14:paraId="3056CE57" w14:textId="77777777" w:rsidTr="00D215E4">
        <w:tc>
          <w:tcPr>
            <w:tcW w:w="4708" w:type="dxa"/>
          </w:tcPr>
          <w:p w14:paraId="72D66FE0" w14:textId="77777777" w:rsidR="006977B6" w:rsidRPr="00276295" w:rsidRDefault="006977B6" w:rsidP="00D215E4">
            <w:pPr>
              <w:widowControl w:val="0"/>
              <w:tabs>
                <w:tab w:val="left" w:pos="4490"/>
              </w:tabs>
              <w:autoSpaceDE w:val="0"/>
              <w:autoSpaceDN w:val="0"/>
              <w:adjustRightInd w:val="0"/>
              <w:spacing w:before="36"/>
              <w:ind w:left="567"/>
              <w:jc w:val="both"/>
              <w:rPr>
                <w:spacing w:val="-1"/>
                <w:sz w:val="12"/>
                <w:szCs w:val="14"/>
                <w:u w:val="single"/>
              </w:rPr>
            </w:pPr>
          </w:p>
        </w:tc>
        <w:tc>
          <w:tcPr>
            <w:tcW w:w="4708" w:type="dxa"/>
          </w:tcPr>
          <w:p w14:paraId="278EE794" w14:textId="77777777" w:rsidR="006977B6" w:rsidRPr="00276295" w:rsidRDefault="006977B6" w:rsidP="00D215E4">
            <w:pPr>
              <w:widowControl w:val="0"/>
              <w:autoSpaceDE w:val="0"/>
              <w:autoSpaceDN w:val="0"/>
              <w:adjustRightInd w:val="0"/>
              <w:spacing w:before="34"/>
              <w:ind w:left="567"/>
              <w:jc w:val="both"/>
              <w:rPr>
                <w:i/>
                <w:iCs/>
                <w:sz w:val="12"/>
                <w:szCs w:val="14"/>
                <w:u w:val="single"/>
              </w:rPr>
            </w:pPr>
          </w:p>
        </w:tc>
      </w:tr>
      <w:tr w:rsidR="006977B6" w:rsidRPr="00A928CB" w14:paraId="32E26E7D" w14:textId="77777777" w:rsidTr="00D215E4">
        <w:tc>
          <w:tcPr>
            <w:tcW w:w="4708" w:type="dxa"/>
          </w:tcPr>
          <w:p w14:paraId="0D36B494" w14:textId="77777777" w:rsidR="006977B6" w:rsidRPr="00276295" w:rsidRDefault="006977B6" w:rsidP="00D215E4">
            <w:pPr>
              <w:pStyle w:val="ListParagraph"/>
              <w:ind w:left="567" w:right="-57"/>
              <w:jc w:val="both"/>
              <w:rPr>
                <w:spacing w:val="-1"/>
                <w:sz w:val="18"/>
                <w:szCs w:val="18"/>
                <w:u w:val="single"/>
              </w:rPr>
            </w:pPr>
            <w:r w:rsidRPr="00276295">
              <w:rPr>
                <w:rStyle w:val="hps"/>
                <w:sz w:val="18"/>
                <w:szCs w:val="18"/>
              </w:rPr>
              <w:t>Beban</w:t>
            </w:r>
            <w:r w:rsidRPr="00276295">
              <w:rPr>
                <w:sz w:val="18"/>
                <w:szCs w:val="18"/>
              </w:rPr>
              <w:t xml:space="preserve"> d</w:t>
            </w:r>
            <w:r w:rsidRPr="00276295">
              <w:rPr>
                <w:spacing w:val="1"/>
                <w:sz w:val="18"/>
                <w:szCs w:val="18"/>
              </w:rPr>
              <w:t>i</w:t>
            </w:r>
            <w:r w:rsidRPr="00276295">
              <w:rPr>
                <w:sz w:val="18"/>
                <w:szCs w:val="18"/>
              </w:rPr>
              <w:t>a</w:t>
            </w:r>
            <w:r w:rsidRPr="00276295">
              <w:rPr>
                <w:spacing w:val="3"/>
                <w:sz w:val="18"/>
                <w:szCs w:val="18"/>
              </w:rPr>
              <w:t>k</w:t>
            </w:r>
            <w:r w:rsidRPr="00276295">
              <w:rPr>
                <w:sz w:val="18"/>
                <w:szCs w:val="18"/>
              </w:rPr>
              <w:t>ui p</w:t>
            </w:r>
            <w:r w:rsidRPr="00276295">
              <w:rPr>
                <w:spacing w:val="-1"/>
                <w:sz w:val="18"/>
                <w:szCs w:val="18"/>
              </w:rPr>
              <w:t>a</w:t>
            </w:r>
            <w:r w:rsidRPr="00276295">
              <w:rPr>
                <w:spacing w:val="2"/>
                <w:sz w:val="18"/>
                <w:szCs w:val="18"/>
              </w:rPr>
              <w:t>d</w:t>
            </w:r>
            <w:r w:rsidRPr="00276295">
              <w:rPr>
                <w:sz w:val="18"/>
                <w:szCs w:val="18"/>
              </w:rPr>
              <w:t xml:space="preserve">a </w:t>
            </w:r>
            <w:r w:rsidRPr="00276295">
              <w:rPr>
                <w:spacing w:val="1"/>
                <w:sz w:val="18"/>
                <w:szCs w:val="18"/>
              </w:rPr>
              <w:t>s</w:t>
            </w:r>
            <w:r w:rsidRPr="00276295">
              <w:rPr>
                <w:sz w:val="18"/>
                <w:szCs w:val="18"/>
              </w:rPr>
              <w:t>a</w:t>
            </w:r>
            <w:r w:rsidRPr="00276295">
              <w:rPr>
                <w:spacing w:val="1"/>
                <w:sz w:val="18"/>
                <w:szCs w:val="18"/>
              </w:rPr>
              <w:t>a</w:t>
            </w:r>
            <w:r w:rsidRPr="00276295">
              <w:rPr>
                <w:sz w:val="18"/>
                <w:szCs w:val="18"/>
              </w:rPr>
              <w:t xml:space="preserve">t terjadinya </w:t>
            </w:r>
            <w:r w:rsidRPr="00276295">
              <w:rPr>
                <w:spacing w:val="2"/>
                <w:sz w:val="18"/>
                <w:szCs w:val="18"/>
              </w:rPr>
              <w:t>d</w:t>
            </w:r>
            <w:r w:rsidRPr="00276295">
              <w:rPr>
                <w:sz w:val="18"/>
                <w:szCs w:val="18"/>
              </w:rPr>
              <w:t>e</w:t>
            </w:r>
            <w:r w:rsidRPr="00276295">
              <w:rPr>
                <w:spacing w:val="-1"/>
                <w:sz w:val="18"/>
                <w:szCs w:val="18"/>
              </w:rPr>
              <w:t>n</w:t>
            </w:r>
            <w:r w:rsidRPr="00276295">
              <w:rPr>
                <w:spacing w:val="2"/>
                <w:sz w:val="18"/>
                <w:szCs w:val="18"/>
              </w:rPr>
              <w:t>g</w:t>
            </w:r>
            <w:r w:rsidRPr="00276295">
              <w:rPr>
                <w:sz w:val="18"/>
                <w:szCs w:val="18"/>
              </w:rPr>
              <w:t>an d</w:t>
            </w:r>
            <w:r w:rsidRPr="00276295">
              <w:rPr>
                <w:spacing w:val="-1"/>
                <w:sz w:val="18"/>
                <w:szCs w:val="18"/>
              </w:rPr>
              <w:t>a</w:t>
            </w:r>
            <w:r w:rsidRPr="00276295">
              <w:rPr>
                <w:spacing w:val="1"/>
                <w:sz w:val="18"/>
                <w:szCs w:val="18"/>
              </w:rPr>
              <w:t>s</w:t>
            </w:r>
            <w:r w:rsidRPr="00276295">
              <w:rPr>
                <w:sz w:val="18"/>
                <w:szCs w:val="18"/>
              </w:rPr>
              <w:t>ar</w:t>
            </w:r>
            <w:r w:rsidRPr="00276295">
              <w:rPr>
                <w:spacing w:val="-5"/>
                <w:sz w:val="18"/>
                <w:szCs w:val="18"/>
              </w:rPr>
              <w:t xml:space="preserve"> </w:t>
            </w:r>
            <w:r w:rsidRPr="00276295">
              <w:rPr>
                <w:sz w:val="18"/>
                <w:szCs w:val="18"/>
              </w:rPr>
              <w:t>a</w:t>
            </w:r>
            <w:r w:rsidRPr="00276295">
              <w:rPr>
                <w:spacing w:val="3"/>
                <w:sz w:val="18"/>
                <w:szCs w:val="18"/>
              </w:rPr>
              <w:t>k</w:t>
            </w:r>
            <w:r w:rsidRPr="00276295">
              <w:rPr>
                <w:spacing w:val="1"/>
                <w:sz w:val="18"/>
                <w:szCs w:val="18"/>
              </w:rPr>
              <w:t>r</w:t>
            </w:r>
            <w:r w:rsidRPr="00276295">
              <w:rPr>
                <w:sz w:val="18"/>
                <w:szCs w:val="18"/>
              </w:rPr>
              <w:t>u</w:t>
            </w:r>
            <w:r w:rsidRPr="00276295">
              <w:rPr>
                <w:spacing w:val="-1"/>
                <w:sz w:val="18"/>
                <w:szCs w:val="18"/>
              </w:rPr>
              <w:t>al</w:t>
            </w:r>
            <w:r w:rsidRPr="00276295">
              <w:rPr>
                <w:sz w:val="18"/>
                <w:szCs w:val="18"/>
              </w:rPr>
              <w:t>.</w:t>
            </w:r>
          </w:p>
        </w:tc>
        <w:tc>
          <w:tcPr>
            <w:tcW w:w="4708" w:type="dxa"/>
          </w:tcPr>
          <w:p w14:paraId="06BA447F" w14:textId="77777777" w:rsidR="006977B6" w:rsidRPr="00276295" w:rsidRDefault="006977B6" w:rsidP="00D215E4">
            <w:pPr>
              <w:pStyle w:val="ListParagraph"/>
              <w:tabs>
                <w:tab w:val="left" w:pos="5590"/>
                <w:tab w:val="right" w:pos="7620"/>
                <w:tab w:val="right" w:pos="9460"/>
                <w:tab w:val="right" w:pos="10080"/>
              </w:tabs>
              <w:ind w:left="567" w:right="-57"/>
              <w:jc w:val="both"/>
              <w:rPr>
                <w:i/>
                <w:iCs/>
                <w:sz w:val="18"/>
                <w:szCs w:val="18"/>
                <w:u w:val="single"/>
              </w:rPr>
            </w:pPr>
            <w:r w:rsidRPr="00276295">
              <w:rPr>
                <w:i/>
                <w:iCs/>
                <w:spacing w:val="-1"/>
                <w:sz w:val="18"/>
                <w:szCs w:val="18"/>
              </w:rPr>
              <w:t>E</w:t>
            </w:r>
            <w:r w:rsidRPr="00276295">
              <w:rPr>
                <w:i/>
                <w:iCs/>
                <w:spacing w:val="1"/>
                <w:sz w:val="18"/>
                <w:szCs w:val="18"/>
              </w:rPr>
              <w:t>x</w:t>
            </w:r>
            <w:r w:rsidRPr="00276295">
              <w:rPr>
                <w:i/>
                <w:iCs/>
                <w:sz w:val="18"/>
                <w:szCs w:val="18"/>
              </w:rPr>
              <w:t>p</w:t>
            </w:r>
            <w:r w:rsidRPr="00276295">
              <w:rPr>
                <w:i/>
                <w:iCs/>
                <w:spacing w:val="-1"/>
                <w:sz w:val="18"/>
                <w:szCs w:val="18"/>
              </w:rPr>
              <w:t>e</w:t>
            </w:r>
            <w:r w:rsidRPr="00276295">
              <w:rPr>
                <w:i/>
                <w:iCs/>
                <w:sz w:val="18"/>
                <w:szCs w:val="18"/>
              </w:rPr>
              <w:t>n</w:t>
            </w:r>
            <w:r w:rsidRPr="00276295">
              <w:rPr>
                <w:i/>
                <w:iCs/>
                <w:spacing w:val="1"/>
                <w:sz w:val="18"/>
                <w:szCs w:val="18"/>
              </w:rPr>
              <w:t>s</w:t>
            </w:r>
            <w:r w:rsidRPr="00276295">
              <w:rPr>
                <w:i/>
                <w:iCs/>
                <w:sz w:val="18"/>
                <w:szCs w:val="18"/>
              </w:rPr>
              <w:t>es</w:t>
            </w:r>
            <w:r w:rsidRPr="00276295">
              <w:rPr>
                <w:i/>
                <w:iCs/>
                <w:spacing w:val="54"/>
                <w:sz w:val="18"/>
                <w:szCs w:val="18"/>
              </w:rPr>
              <w:t xml:space="preserve"> </w:t>
            </w:r>
            <w:r w:rsidRPr="00276295">
              <w:rPr>
                <w:i/>
                <w:iCs/>
                <w:sz w:val="18"/>
                <w:szCs w:val="18"/>
              </w:rPr>
              <w:t>are recognised</w:t>
            </w:r>
            <w:r w:rsidRPr="00276295">
              <w:rPr>
                <w:i/>
                <w:iCs/>
                <w:spacing w:val="54"/>
                <w:sz w:val="18"/>
                <w:szCs w:val="18"/>
              </w:rPr>
              <w:t xml:space="preserve"> </w:t>
            </w:r>
            <w:r w:rsidRPr="00276295">
              <w:rPr>
                <w:i/>
                <w:iCs/>
                <w:sz w:val="18"/>
                <w:szCs w:val="18"/>
              </w:rPr>
              <w:t xml:space="preserve">as </w:t>
            </w:r>
            <w:r w:rsidRPr="00276295">
              <w:rPr>
                <w:i/>
                <w:iCs/>
                <w:spacing w:val="-1"/>
                <w:sz w:val="18"/>
                <w:szCs w:val="18"/>
              </w:rPr>
              <w:t>i</w:t>
            </w:r>
            <w:r w:rsidRPr="00276295">
              <w:rPr>
                <w:i/>
                <w:iCs/>
                <w:sz w:val="18"/>
                <w:szCs w:val="18"/>
              </w:rPr>
              <w:t>n</w:t>
            </w:r>
            <w:r w:rsidRPr="00276295">
              <w:rPr>
                <w:i/>
                <w:iCs/>
                <w:spacing w:val="1"/>
                <w:sz w:val="18"/>
                <w:szCs w:val="18"/>
              </w:rPr>
              <w:t>c</w:t>
            </w:r>
            <w:r w:rsidRPr="00276295">
              <w:rPr>
                <w:i/>
                <w:iCs/>
                <w:sz w:val="18"/>
                <w:szCs w:val="18"/>
              </w:rPr>
              <w:t>ur</w:t>
            </w:r>
            <w:r w:rsidRPr="00276295">
              <w:rPr>
                <w:i/>
                <w:iCs/>
                <w:spacing w:val="1"/>
                <w:sz w:val="18"/>
                <w:szCs w:val="18"/>
              </w:rPr>
              <w:t>r</w:t>
            </w:r>
            <w:r w:rsidRPr="00276295">
              <w:rPr>
                <w:i/>
                <w:iCs/>
                <w:sz w:val="18"/>
                <w:szCs w:val="18"/>
              </w:rPr>
              <w:t>ed</w:t>
            </w:r>
            <w:r w:rsidRPr="00276295">
              <w:rPr>
                <w:i/>
                <w:iCs/>
                <w:spacing w:val="54"/>
                <w:sz w:val="18"/>
                <w:szCs w:val="18"/>
              </w:rPr>
              <w:t xml:space="preserve"> </w:t>
            </w:r>
            <w:r w:rsidRPr="00276295">
              <w:rPr>
                <w:i/>
                <w:iCs/>
                <w:spacing w:val="2"/>
                <w:sz w:val="18"/>
                <w:szCs w:val="18"/>
              </w:rPr>
              <w:t>o</w:t>
            </w:r>
            <w:r w:rsidRPr="00276295">
              <w:rPr>
                <w:i/>
                <w:iCs/>
                <w:sz w:val="18"/>
                <w:szCs w:val="18"/>
              </w:rPr>
              <w:t>n an a</w:t>
            </w:r>
            <w:r w:rsidRPr="00276295">
              <w:rPr>
                <w:i/>
                <w:iCs/>
                <w:spacing w:val="1"/>
                <w:sz w:val="18"/>
                <w:szCs w:val="18"/>
              </w:rPr>
              <w:t>ccr</w:t>
            </w:r>
            <w:r w:rsidRPr="00276295">
              <w:rPr>
                <w:i/>
                <w:iCs/>
                <w:sz w:val="18"/>
                <w:szCs w:val="18"/>
              </w:rPr>
              <w:t>u</w:t>
            </w:r>
            <w:r w:rsidRPr="00276295">
              <w:rPr>
                <w:i/>
                <w:iCs/>
                <w:spacing w:val="-1"/>
                <w:sz w:val="18"/>
                <w:szCs w:val="18"/>
              </w:rPr>
              <w:t>al</w:t>
            </w:r>
            <w:r w:rsidRPr="00276295">
              <w:rPr>
                <w:i/>
                <w:iCs/>
                <w:sz w:val="18"/>
                <w:szCs w:val="18"/>
              </w:rPr>
              <w:t>s</w:t>
            </w:r>
            <w:r w:rsidRPr="00276295">
              <w:rPr>
                <w:i/>
                <w:iCs/>
                <w:spacing w:val="-6"/>
                <w:sz w:val="18"/>
                <w:szCs w:val="18"/>
              </w:rPr>
              <w:t xml:space="preserve"> </w:t>
            </w:r>
            <w:r w:rsidRPr="00276295">
              <w:rPr>
                <w:i/>
                <w:iCs/>
                <w:sz w:val="18"/>
                <w:szCs w:val="18"/>
              </w:rPr>
              <w:t>b</w:t>
            </w:r>
            <w:r w:rsidRPr="00276295">
              <w:rPr>
                <w:i/>
                <w:iCs/>
                <w:spacing w:val="-1"/>
                <w:sz w:val="18"/>
                <w:szCs w:val="18"/>
              </w:rPr>
              <w:t>a</w:t>
            </w:r>
            <w:r w:rsidRPr="00276295">
              <w:rPr>
                <w:i/>
                <w:iCs/>
                <w:spacing w:val="1"/>
                <w:sz w:val="18"/>
                <w:szCs w:val="18"/>
              </w:rPr>
              <w:t>s</w:t>
            </w:r>
            <w:r w:rsidRPr="00276295">
              <w:rPr>
                <w:i/>
                <w:iCs/>
                <w:spacing w:val="-1"/>
                <w:sz w:val="18"/>
                <w:szCs w:val="18"/>
              </w:rPr>
              <w:t>i</w:t>
            </w:r>
            <w:r w:rsidRPr="00276295">
              <w:rPr>
                <w:i/>
                <w:iCs/>
                <w:spacing w:val="1"/>
                <w:sz w:val="18"/>
                <w:szCs w:val="18"/>
              </w:rPr>
              <w:t>s</w:t>
            </w:r>
            <w:r w:rsidRPr="00276295">
              <w:rPr>
                <w:i/>
                <w:iCs/>
                <w:sz w:val="18"/>
                <w:szCs w:val="18"/>
              </w:rPr>
              <w:t>.</w:t>
            </w:r>
          </w:p>
        </w:tc>
      </w:tr>
    </w:tbl>
    <w:p w14:paraId="6042BC9B" w14:textId="0666B932" w:rsidR="00B16EDC" w:rsidRPr="00497B24" w:rsidRDefault="00497B24" w:rsidP="0013526B">
      <w:pPr>
        <w:rPr>
          <w:sz w:val="4"/>
          <w:szCs w:val="18"/>
          <w:lang w:val="id-ID"/>
        </w:rPr>
      </w:pPr>
      <w:r>
        <w:rPr>
          <w:sz w:val="4"/>
          <w:szCs w:val="18"/>
          <w:lang w:val="id-ID"/>
        </w:rPr>
        <w:br w:type="page"/>
      </w:r>
    </w:p>
    <w:tbl>
      <w:tblPr>
        <w:tblW w:w="9197" w:type="dxa"/>
        <w:tblInd w:w="392" w:type="dxa"/>
        <w:tblLayout w:type="fixed"/>
        <w:tblLook w:val="0000" w:firstRow="0" w:lastRow="0" w:firstColumn="0" w:lastColumn="0" w:noHBand="0" w:noVBand="0"/>
      </w:tblPr>
      <w:tblGrid>
        <w:gridCol w:w="4599"/>
        <w:gridCol w:w="4598"/>
      </w:tblGrid>
      <w:tr w:rsidR="00CF77CD" w:rsidRPr="00236F16" w14:paraId="6D364FCF" w14:textId="77777777" w:rsidTr="006977B6">
        <w:tc>
          <w:tcPr>
            <w:tcW w:w="4599" w:type="dxa"/>
          </w:tcPr>
          <w:p w14:paraId="4C3C346F" w14:textId="0E19074A" w:rsidR="00CF77CD" w:rsidRPr="00236F16" w:rsidRDefault="00CF77CD" w:rsidP="00070D1F">
            <w:pPr>
              <w:pStyle w:val="ListParagraph"/>
              <w:numPr>
                <w:ilvl w:val="0"/>
                <w:numId w:val="111"/>
              </w:numPr>
              <w:ind w:left="284" w:right="-57" w:hanging="284"/>
              <w:contextualSpacing/>
              <w:jc w:val="both"/>
              <w:rPr>
                <w:rStyle w:val="hps"/>
                <w:b/>
                <w:sz w:val="18"/>
                <w:szCs w:val="18"/>
              </w:rPr>
            </w:pPr>
            <w:r w:rsidRPr="0013526B">
              <w:rPr>
                <w:sz w:val="18"/>
                <w:szCs w:val="18"/>
              </w:rPr>
              <w:lastRenderedPageBreak/>
              <w:br w:type="page"/>
            </w:r>
            <w:r w:rsidRPr="00236F16">
              <w:rPr>
                <w:rStyle w:val="hps"/>
                <w:b/>
                <w:sz w:val="18"/>
                <w:szCs w:val="18"/>
              </w:rPr>
              <w:t xml:space="preserve">IKHTISAR KEBIJAKAN AKUNTANSI </w:t>
            </w:r>
            <w:r w:rsidR="00C85EDE" w:rsidRPr="00236F16">
              <w:rPr>
                <w:rStyle w:val="hps"/>
                <w:b/>
                <w:sz w:val="18"/>
                <w:szCs w:val="18"/>
                <w:lang w:val="id-ID"/>
              </w:rPr>
              <w:t xml:space="preserve">YANG </w:t>
            </w:r>
            <w:r w:rsidRPr="00236F16">
              <w:rPr>
                <w:rStyle w:val="hps"/>
                <w:b/>
                <w:sz w:val="18"/>
                <w:szCs w:val="18"/>
              </w:rPr>
              <w:t xml:space="preserve">PENTING </w:t>
            </w:r>
            <w:r w:rsidR="000054FB">
              <w:rPr>
                <w:rStyle w:val="hps"/>
                <w:b/>
                <w:sz w:val="18"/>
                <w:szCs w:val="18"/>
              </w:rPr>
              <w:t>–</w:t>
            </w:r>
            <w:r w:rsidRPr="00236F16">
              <w:rPr>
                <w:rStyle w:val="hps"/>
                <w:b/>
                <w:sz w:val="18"/>
                <w:szCs w:val="18"/>
              </w:rPr>
              <w:t xml:space="preserve"> Lanjutan</w:t>
            </w:r>
          </w:p>
        </w:tc>
        <w:tc>
          <w:tcPr>
            <w:tcW w:w="4598" w:type="dxa"/>
          </w:tcPr>
          <w:p w14:paraId="3CB45539" w14:textId="77777777" w:rsidR="00CF77CD" w:rsidRPr="00236F16" w:rsidRDefault="00CF77CD" w:rsidP="00070D1F">
            <w:pPr>
              <w:pStyle w:val="ListParagraph"/>
              <w:numPr>
                <w:ilvl w:val="0"/>
                <w:numId w:val="112"/>
              </w:numPr>
              <w:ind w:left="284" w:right="-57" w:hanging="284"/>
              <w:contextualSpacing/>
              <w:jc w:val="both"/>
              <w:rPr>
                <w:b/>
                <w:i/>
                <w:sz w:val="18"/>
                <w:szCs w:val="18"/>
              </w:rPr>
            </w:pPr>
            <w:r w:rsidRPr="00236F16">
              <w:rPr>
                <w:b/>
                <w:i/>
                <w:sz w:val="18"/>
                <w:szCs w:val="18"/>
              </w:rPr>
              <w:t>SUMMARY OF SIGNIFICANT ACCOUNTING POLICIES - Continued</w:t>
            </w:r>
          </w:p>
        </w:tc>
      </w:tr>
      <w:tr w:rsidR="007B4D1F" w:rsidRPr="00236F16" w14:paraId="04CFC2FD" w14:textId="77777777" w:rsidTr="006977B6">
        <w:tc>
          <w:tcPr>
            <w:tcW w:w="4599" w:type="dxa"/>
          </w:tcPr>
          <w:p w14:paraId="57A0ABD0" w14:textId="77777777" w:rsidR="007B4D1F" w:rsidRPr="00236F16" w:rsidRDefault="007B4D1F" w:rsidP="0013526B">
            <w:pPr>
              <w:widowControl w:val="0"/>
              <w:autoSpaceDE w:val="0"/>
              <w:autoSpaceDN w:val="0"/>
              <w:adjustRightInd w:val="0"/>
              <w:spacing w:before="36"/>
              <w:ind w:left="564" w:right="-34"/>
              <w:jc w:val="both"/>
              <w:rPr>
                <w:spacing w:val="-1"/>
                <w:sz w:val="12"/>
                <w:szCs w:val="14"/>
              </w:rPr>
            </w:pPr>
          </w:p>
        </w:tc>
        <w:tc>
          <w:tcPr>
            <w:tcW w:w="4598" w:type="dxa"/>
          </w:tcPr>
          <w:p w14:paraId="49EC2EE4" w14:textId="77777777" w:rsidR="007B4D1F" w:rsidRPr="00236F16" w:rsidRDefault="007B4D1F" w:rsidP="0013526B">
            <w:pPr>
              <w:ind w:left="907"/>
              <w:jc w:val="both"/>
              <w:rPr>
                <w:bCs w:val="0"/>
                <w:i/>
                <w:sz w:val="12"/>
                <w:szCs w:val="14"/>
              </w:rPr>
            </w:pPr>
          </w:p>
        </w:tc>
      </w:tr>
      <w:tr w:rsidR="003B3749" w:rsidRPr="00236F16" w14:paraId="6892879D" w14:textId="77777777" w:rsidTr="006977B6">
        <w:tc>
          <w:tcPr>
            <w:tcW w:w="4599" w:type="dxa"/>
          </w:tcPr>
          <w:p w14:paraId="4022692B" w14:textId="77777777" w:rsidR="003B3749" w:rsidRPr="00236F16" w:rsidRDefault="003B3749" w:rsidP="00070D1F">
            <w:pPr>
              <w:pStyle w:val="ListParagraph"/>
              <w:numPr>
                <w:ilvl w:val="0"/>
                <w:numId w:val="88"/>
              </w:numPr>
              <w:ind w:left="568" w:hanging="284"/>
              <w:contextualSpacing/>
              <w:jc w:val="both"/>
              <w:rPr>
                <w:b/>
                <w:bCs w:val="0"/>
                <w:sz w:val="18"/>
                <w:szCs w:val="18"/>
              </w:rPr>
            </w:pPr>
            <w:r w:rsidRPr="00236F16">
              <w:rPr>
                <w:b/>
                <w:bCs w:val="0"/>
                <w:sz w:val="18"/>
                <w:szCs w:val="18"/>
              </w:rPr>
              <w:t>Segmen</w:t>
            </w:r>
            <w:r w:rsidR="00B17861" w:rsidRPr="00236F16">
              <w:rPr>
                <w:b/>
                <w:bCs w:val="0"/>
                <w:sz w:val="18"/>
                <w:szCs w:val="18"/>
              </w:rPr>
              <w:t xml:space="preserve"> O</w:t>
            </w:r>
            <w:r w:rsidRPr="00236F16">
              <w:rPr>
                <w:b/>
                <w:bCs w:val="0"/>
                <w:sz w:val="18"/>
                <w:szCs w:val="18"/>
              </w:rPr>
              <w:t>perasi</w:t>
            </w:r>
          </w:p>
        </w:tc>
        <w:tc>
          <w:tcPr>
            <w:tcW w:w="4598" w:type="dxa"/>
          </w:tcPr>
          <w:p w14:paraId="032975A2" w14:textId="77777777" w:rsidR="003B3749" w:rsidRPr="00236F16" w:rsidRDefault="003B3749" w:rsidP="00070D1F">
            <w:pPr>
              <w:pStyle w:val="ListParagraph"/>
              <w:numPr>
                <w:ilvl w:val="0"/>
                <w:numId w:val="89"/>
              </w:numPr>
              <w:ind w:left="568" w:hanging="284"/>
              <w:contextualSpacing/>
              <w:jc w:val="both"/>
              <w:rPr>
                <w:b/>
                <w:bCs w:val="0"/>
                <w:i/>
                <w:sz w:val="18"/>
                <w:szCs w:val="18"/>
              </w:rPr>
            </w:pPr>
            <w:r w:rsidRPr="00236F16">
              <w:rPr>
                <w:b/>
                <w:bCs w:val="0"/>
                <w:i/>
                <w:sz w:val="18"/>
                <w:szCs w:val="18"/>
              </w:rPr>
              <w:t xml:space="preserve">Operating </w:t>
            </w:r>
            <w:r w:rsidR="00B17861" w:rsidRPr="00236F16">
              <w:rPr>
                <w:b/>
                <w:bCs w:val="0"/>
                <w:i/>
                <w:sz w:val="18"/>
                <w:szCs w:val="18"/>
              </w:rPr>
              <w:t>S</w:t>
            </w:r>
            <w:r w:rsidRPr="00236F16">
              <w:rPr>
                <w:b/>
                <w:bCs w:val="0"/>
                <w:i/>
                <w:sz w:val="18"/>
                <w:szCs w:val="18"/>
              </w:rPr>
              <w:t>egment</w:t>
            </w:r>
          </w:p>
        </w:tc>
      </w:tr>
      <w:tr w:rsidR="003B3749" w:rsidRPr="00236F16" w14:paraId="07F51DCC" w14:textId="77777777" w:rsidTr="006977B6">
        <w:tc>
          <w:tcPr>
            <w:tcW w:w="4599" w:type="dxa"/>
          </w:tcPr>
          <w:p w14:paraId="586981FB" w14:textId="77777777" w:rsidR="003B3749" w:rsidRPr="00236F16" w:rsidRDefault="003B3749" w:rsidP="0013526B">
            <w:pPr>
              <w:ind w:left="522" w:right="-57"/>
              <w:jc w:val="both"/>
              <w:rPr>
                <w:bCs w:val="0"/>
                <w:sz w:val="12"/>
                <w:szCs w:val="14"/>
              </w:rPr>
            </w:pPr>
          </w:p>
        </w:tc>
        <w:tc>
          <w:tcPr>
            <w:tcW w:w="4598" w:type="dxa"/>
          </w:tcPr>
          <w:p w14:paraId="62AC52E6" w14:textId="77777777" w:rsidR="003B3749" w:rsidRPr="00236F16" w:rsidRDefault="003B3749" w:rsidP="0013526B">
            <w:pPr>
              <w:tabs>
                <w:tab w:val="left" w:pos="5590"/>
                <w:tab w:val="right" w:pos="7620"/>
                <w:tab w:val="right" w:pos="9460"/>
                <w:tab w:val="right" w:pos="10080"/>
              </w:tabs>
              <w:ind w:left="651" w:right="-57"/>
              <w:jc w:val="both"/>
              <w:rPr>
                <w:bCs w:val="0"/>
                <w:i/>
                <w:sz w:val="12"/>
                <w:szCs w:val="14"/>
              </w:rPr>
            </w:pPr>
          </w:p>
        </w:tc>
      </w:tr>
      <w:tr w:rsidR="003B3749" w:rsidRPr="00236F16" w14:paraId="3526B310" w14:textId="77777777" w:rsidTr="006977B6">
        <w:tc>
          <w:tcPr>
            <w:tcW w:w="4599" w:type="dxa"/>
          </w:tcPr>
          <w:p w14:paraId="6184BF39" w14:textId="77777777" w:rsidR="003B3749" w:rsidRPr="00236F16" w:rsidRDefault="003B3749" w:rsidP="0013526B">
            <w:pPr>
              <w:pStyle w:val="ListParagraph"/>
              <w:ind w:left="567" w:right="-57"/>
              <w:jc w:val="both"/>
              <w:rPr>
                <w:bCs w:val="0"/>
                <w:sz w:val="18"/>
                <w:szCs w:val="18"/>
              </w:rPr>
            </w:pPr>
            <w:r w:rsidRPr="00236F16">
              <w:rPr>
                <w:bCs w:val="0"/>
                <w:sz w:val="18"/>
                <w:szCs w:val="18"/>
              </w:rPr>
              <w:t xml:space="preserve">Kelompok Usaha melaporkan informasi segmen yang memungkinkan pengguna laporan keuangan untuk mengevaluasi sifat dan </w:t>
            </w:r>
            <w:r w:rsidRPr="00236F16">
              <w:rPr>
                <w:spacing w:val="1"/>
                <w:sz w:val="18"/>
                <w:szCs w:val="18"/>
              </w:rPr>
              <w:t>dampak</w:t>
            </w:r>
            <w:r w:rsidRPr="00236F16">
              <w:rPr>
                <w:bCs w:val="0"/>
                <w:sz w:val="18"/>
                <w:szCs w:val="18"/>
              </w:rPr>
              <w:t xml:space="preserve"> keuangan dari aktivitas bisnis yang mana entitas terlibat dan lingkungan ekonomi dimana entitas beroperasi.</w:t>
            </w:r>
          </w:p>
        </w:tc>
        <w:tc>
          <w:tcPr>
            <w:tcW w:w="4598" w:type="dxa"/>
          </w:tcPr>
          <w:p w14:paraId="3CA8DCAD" w14:textId="77777777" w:rsidR="003B3749" w:rsidRPr="00236F16" w:rsidRDefault="003B3749" w:rsidP="0013526B">
            <w:pPr>
              <w:pStyle w:val="ListParagraph"/>
              <w:tabs>
                <w:tab w:val="left" w:pos="5590"/>
                <w:tab w:val="right" w:pos="7620"/>
                <w:tab w:val="right" w:pos="9460"/>
                <w:tab w:val="right" w:pos="10080"/>
              </w:tabs>
              <w:ind w:left="567" w:right="-57"/>
              <w:jc w:val="both"/>
              <w:rPr>
                <w:bCs w:val="0"/>
                <w:i/>
                <w:sz w:val="18"/>
                <w:szCs w:val="18"/>
              </w:rPr>
            </w:pPr>
            <w:r w:rsidRPr="00236F16">
              <w:rPr>
                <w:bCs w:val="0"/>
                <w:i/>
                <w:sz w:val="18"/>
                <w:szCs w:val="18"/>
              </w:rPr>
              <w:t xml:space="preserve">The Group discloses segment information that will enable users of financial statements to evaluate the nature and </w:t>
            </w:r>
            <w:r w:rsidRPr="00236F16">
              <w:rPr>
                <w:i/>
                <w:iCs/>
                <w:sz w:val="18"/>
                <w:szCs w:val="18"/>
              </w:rPr>
              <w:t>financial</w:t>
            </w:r>
            <w:r w:rsidRPr="00236F16">
              <w:rPr>
                <w:bCs w:val="0"/>
                <w:i/>
                <w:sz w:val="18"/>
                <w:szCs w:val="18"/>
              </w:rPr>
              <w:t xml:space="preserve"> effects of the business activities in which the entity engages and economic environments in which it operates.</w:t>
            </w:r>
          </w:p>
        </w:tc>
      </w:tr>
      <w:tr w:rsidR="005751DB" w:rsidRPr="00236F16" w14:paraId="3315CA0D" w14:textId="77777777" w:rsidTr="006977B6">
        <w:tc>
          <w:tcPr>
            <w:tcW w:w="4599" w:type="dxa"/>
          </w:tcPr>
          <w:p w14:paraId="28B03AF7" w14:textId="77777777" w:rsidR="005751DB" w:rsidRPr="00236F16" w:rsidRDefault="005751DB" w:rsidP="0013526B">
            <w:pPr>
              <w:ind w:left="567"/>
              <w:jc w:val="both"/>
              <w:rPr>
                <w:bCs w:val="0"/>
                <w:sz w:val="12"/>
                <w:szCs w:val="14"/>
              </w:rPr>
            </w:pPr>
          </w:p>
        </w:tc>
        <w:tc>
          <w:tcPr>
            <w:tcW w:w="4598" w:type="dxa"/>
          </w:tcPr>
          <w:p w14:paraId="0BD2DA85" w14:textId="77777777" w:rsidR="005751DB" w:rsidRPr="00236F16" w:rsidRDefault="005751DB" w:rsidP="0013526B">
            <w:pPr>
              <w:tabs>
                <w:tab w:val="left" w:pos="5590"/>
                <w:tab w:val="right" w:pos="7620"/>
                <w:tab w:val="right" w:pos="9460"/>
                <w:tab w:val="right" w:pos="10080"/>
              </w:tabs>
              <w:ind w:left="567"/>
              <w:jc w:val="both"/>
              <w:rPr>
                <w:bCs w:val="0"/>
                <w:i/>
                <w:sz w:val="12"/>
                <w:szCs w:val="14"/>
              </w:rPr>
            </w:pPr>
          </w:p>
        </w:tc>
      </w:tr>
      <w:tr w:rsidR="005751DB" w:rsidRPr="00236F16" w14:paraId="4AA13C34" w14:textId="77777777" w:rsidTr="006977B6">
        <w:tc>
          <w:tcPr>
            <w:tcW w:w="4599" w:type="dxa"/>
          </w:tcPr>
          <w:p w14:paraId="65F5353A" w14:textId="77777777" w:rsidR="005751DB" w:rsidRPr="00236F16" w:rsidRDefault="005751DB" w:rsidP="0013526B">
            <w:pPr>
              <w:pStyle w:val="ListParagraph"/>
              <w:ind w:left="567" w:right="-57"/>
              <w:jc w:val="both"/>
              <w:rPr>
                <w:bCs w:val="0"/>
                <w:sz w:val="18"/>
                <w:szCs w:val="18"/>
              </w:rPr>
            </w:pPr>
            <w:r w:rsidRPr="00236F16">
              <w:rPr>
                <w:bCs w:val="0"/>
                <w:sz w:val="18"/>
                <w:szCs w:val="18"/>
              </w:rPr>
              <w:t>Sebuah segmen operasi adalah sebuah komponen dari entitas yang:</w:t>
            </w:r>
          </w:p>
        </w:tc>
        <w:tc>
          <w:tcPr>
            <w:tcW w:w="4598" w:type="dxa"/>
          </w:tcPr>
          <w:p w14:paraId="0B07F07A" w14:textId="77777777" w:rsidR="005751DB" w:rsidRPr="00236F16" w:rsidRDefault="005751DB" w:rsidP="0013526B">
            <w:pPr>
              <w:pStyle w:val="ListParagraph"/>
              <w:tabs>
                <w:tab w:val="left" w:pos="5590"/>
                <w:tab w:val="right" w:pos="7620"/>
                <w:tab w:val="right" w:pos="9460"/>
                <w:tab w:val="right" w:pos="10080"/>
              </w:tabs>
              <w:ind w:left="567" w:right="-57"/>
              <w:rPr>
                <w:bCs w:val="0"/>
                <w:i/>
                <w:sz w:val="18"/>
                <w:szCs w:val="18"/>
              </w:rPr>
            </w:pPr>
            <w:r w:rsidRPr="00236F16">
              <w:rPr>
                <w:bCs w:val="0"/>
                <w:i/>
                <w:sz w:val="18"/>
                <w:szCs w:val="18"/>
              </w:rPr>
              <w:t>An operating segment is a component of an entity:</w:t>
            </w:r>
          </w:p>
        </w:tc>
      </w:tr>
      <w:tr w:rsidR="005751DB" w:rsidRPr="00A928CB" w14:paraId="30F712FE" w14:textId="77777777" w:rsidTr="006977B6">
        <w:tc>
          <w:tcPr>
            <w:tcW w:w="4599" w:type="dxa"/>
          </w:tcPr>
          <w:p w14:paraId="268F8676" w14:textId="77777777" w:rsidR="005751DB" w:rsidRPr="00236F16" w:rsidRDefault="005751DB" w:rsidP="00070D1F">
            <w:pPr>
              <w:pStyle w:val="ListParagraph"/>
              <w:numPr>
                <w:ilvl w:val="0"/>
                <w:numId w:val="113"/>
              </w:numPr>
              <w:tabs>
                <w:tab w:val="left" w:pos="851"/>
                <w:tab w:val="left" w:pos="884"/>
              </w:tabs>
              <w:ind w:left="851" w:right="-57" w:hanging="284"/>
              <w:contextualSpacing/>
              <w:jc w:val="both"/>
              <w:rPr>
                <w:bCs w:val="0"/>
                <w:sz w:val="18"/>
                <w:szCs w:val="18"/>
              </w:rPr>
            </w:pPr>
            <w:r w:rsidRPr="00236F16">
              <w:rPr>
                <w:bCs w:val="0"/>
                <w:sz w:val="18"/>
                <w:szCs w:val="18"/>
              </w:rPr>
              <w:t>terlibat dalam aktivitas bisnis yang mana memperoleh pendapatan dan menimbulkan beban (termasuk pendapatan dan beban terkait dengan transaksi dengan komponen lain dari entitas yang sama);</w:t>
            </w:r>
          </w:p>
        </w:tc>
        <w:tc>
          <w:tcPr>
            <w:tcW w:w="4598" w:type="dxa"/>
          </w:tcPr>
          <w:p w14:paraId="6B262219" w14:textId="77777777" w:rsidR="005751DB" w:rsidRPr="00236F16" w:rsidRDefault="005751DB" w:rsidP="00070D1F">
            <w:pPr>
              <w:pStyle w:val="ListParagraph"/>
              <w:numPr>
                <w:ilvl w:val="0"/>
                <w:numId w:val="114"/>
              </w:numPr>
              <w:tabs>
                <w:tab w:val="left" w:pos="854"/>
              </w:tabs>
              <w:ind w:left="851" w:right="-57" w:hanging="284"/>
              <w:contextualSpacing/>
              <w:jc w:val="both"/>
              <w:rPr>
                <w:bCs w:val="0"/>
                <w:i/>
                <w:sz w:val="18"/>
                <w:szCs w:val="18"/>
              </w:rPr>
            </w:pPr>
            <w:r w:rsidRPr="00236F16">
              <w:rPr>
                <w:bCs w:val="0"/>
                <w:i/>
                <w:sz w:val="18"/>
                <w:szCs w:val="18"/>
              </w:rPr>
              <w:t>that engages in business activities which it may earn revenue and incur expenses (including revenue and expenses relating to the transaction with other components of the same entity);</w:t>
            </w:r>
          </w:p>
        </w:tc>
      </w:tr>
      <w:tr w:rsidR="005751DB" w:rsidRPr="00236F16" w14:paraId="7328DAE2" w14:textId="77777777" w:rsidTr="006977B6">
        <w:tc>
          <w:tcPr>
            <w:tcW w:w="4599" w:type="dxa"/>
          </w:tcPr>
          <w:p w14:paraId="11A06222" w14:textId="77777777" w:rsidR="005751DB" w:rsidRPr="00236F16" w:rsidRDefault="005751DB" w:rsidP="00070D1F">
            <w:pPr>
              <w:pStyle w:val="ListParagraph"/>
              <w:numPr>
                <w:ilvl w:val="0"/>
                <w:numId w:val="113"/>
              </w:numPr>
              <w:tabs>
                <w:tab w:val="left" w:pos="851"/>
                <w:tab w:val="left" w:pos="884"/>
              </w:tabs>
              <w:ind w:left="851" w:right="-57" w:hanging="284"/>
              <w:contextualSpacing/>
              <w:jc w:val="both"/>
              <w:rPr>
                <w:bCs w:val="0"/>
                <w:sz w:val="18"/>
                <w:szCs w:val="18"/>
              </w:rPr>
            </w:pPr>
            <w:r w:rsidRPr="00236F16">
              <w:rPr>
                <w:bCs w:val="0"/>
                <w:sz w:val="18"/>
                <w:szCs w:val="18"/>
              </w:rPr>
              <w:t>hasil operasinya dikaji ulang secara reguler oleh pengambil keputusan operasional untuk membuat keputusan tentang sumber daya yang dialokasikan pada segmen tersebut dan menilai kinerjanya; dan</w:t>
            </w:r>
          </w:p>
        </w:tc>
        <w:tc>
          <w:tcPr>
            <w:tcW w:w="4598" w:type="dxa"/>
          </w:tcPr>
          <w:p w14:paraId="50E16D3F" w14:textId="77777777" w:rsidR="005751DB" w:rsidRPr="00236F16" w:rsidRDefault="005751DB" w:rsidP="00070D1F">
            <w:pPr>
              <w:pStyle w:val="ListParagraph"/>
              <w:numPr>
                <w:ilvl w:val="0"/>
                <w:numId w:val="114"/>
              </w:numPr>
              <w:tabs>
                <w:tab w:val="left" w:pos="854"/>
              </w:tabs>
              <w:ind w:left="851" w:right="-57" w:hanging="284"/>
              <w:contextualSpacing/>
              <w:jc w:val="both"/>
              <w:rPr>
                <w:bCs w:val="0"/>
                <w:i/>
                <w:sz w:val="18"/>
                <w:szCs w:val="18"/>
              </w:rPr>
            </w:pPr>
            <w:r w:rsidRPr="00236F16">
              <w:rPr>
                <w:bCs w:val="0"/>
                <w:i/>
                <w:sz w:val="18"/>
                <w:szCs w:val="18"/>
              </w:rPr>
              <w:t>whose operating results are reviewed regularly by the entity’s chief operating decision maker to make decision about resources to be allocated to the segments and assess its performance; and</w:t>
            </w:r>
          </w:p>
        </w:tc>
      </w:tr>
      <w:tr w:rsidR="005751DB" w:rsidRPr="00236F16" w14:paraId="6D04064E" w14:textId="77777777" w:rsidTr="006977B6">
        <w:tc>
          <w:tcPr>
            <w:tcW w:w="4599" w:type="dxa"/>
          </w:tcPr>
          <w:p w14:paraId="0161F782" w14:textId="77777777" w:rsidR="005751DB" w:rsidRPr="00236F16" w:rsidRDefault="005751DB" w:rsidP="00070D1F">
            <w:pPr>
              <w:pStyle w:val="ListParagraph"/>
              <w:numPr>
                <w:ilvl w:val="0"/>
                <w:numId w:val="113"/>
              </w:numPr>
              <w:tabs>
                <w:tab w:val="left" w:pos="851"/>
                <w:tab w:val="left" w:pos="884"/>
              </w:tabs>
              <w:ind w:left="851" w:right="-57" w:hanging="284"/>
              <w:contextualSpacing/>
              <w:jc w:val="both"/>
              <w:rPr>
                <w:bCs w:val="0"/>
                <w:sz w:val="18"/>
                <w:szCs w:val="18"/>
              </w:rPr>
            </w:pPr>
            <w:proofErr w:type="gramStart"/>
            <w:r w:rsidRPr="00236F16">
              <w:rPr>
                <w:bCs w:val="0"/>
                <w:sz w:val="18"/>
                <w:szCs w:val="18"/>
              </w:rPr>
              <w:t>tersedia</w:t>
            </w:r>
            <w:proofErr w:type="gramEnd"/>
            <w:r w:rsidRPr="00236F16">
              <w:rPr>
                <w:bCs w:val="0"/>
                <w:sz w:val="18"/>
                <w:szCs w:val="18"/>
              </w:rPr>
              <w:t xml:space="preserve"> informasi keuangan yang dapat dipisahkan.</w:t>
            </w:r>
          </w:p>
        </w:tc>
        <w:tc>
          <w:tcPr>
            <w:tcW w:w="4598" w:type="dxa"/>
          </w:tcPr>
          <w:p w14:paraId="2660DCD1" w14:textId="77777777" w:rsidR="005751DB" w:rsidRPr="00236F16" w:rsidRDefault="005751DB" w:rsidP="00070D1F">
            <w:pPr>
              <w:pStyle w:val="ListParagraph"/>
              <w:numPr>
                <w:ilvl w:val="0"/>
                <w:numId w:val="114"/>
              </w:numPr>
              <w:tabs>
                <w:tab w:val="left" w:pos="854"/>
              </w:tabs>
              <w:ind w:left="851" w:right="-57" w:hanging="284"/>
              <w:contextualSpacing/>
              <w:jc w:val="both"/>
              <w:rPr>
                <w:bCs w:val="0"/>
                <w:i/>
                <w:sz w:val="18"/>
                <w:szCs w:val="18"/>
              </w:rPr>
            </w:pPr>
            <w:proofErr w:type="gramStart"/>
            <w:r w:rsidRPr="00236F16">
              <w:rPr>
                <w:bCs w:val="0"/>
                <w:i/>
                <w:sz w:val="18"/>
                <w:szCs w:val="18"/>
              </w:rPr>
              <w:t>for</w:t>
            </w:r>
            <w:proofErr w:type="gramEnd"/>
            <w:r w:rsidRPr="00236F16">
              <w:rPr>
                <w:bCs w:val="0"/>
                <w:i/>
                <w:sz w:val="18"/>
                <w:szCs w:val="18"/>
              </w:rPr>
              <w:t xml:space="preserve"> which discrete financial information is available.</w:t>
            </w:r>
          </w:p>
        </w:tc>
      </w:tr>
    </w:tbl>
    <w:p w14:paraId="4E72D582" w14:textId="322309F8" w:rsidR="00276295" w:rsidRPr="00236F16" w:rsidRDefault="00276295" w:rsidP="0013526B">
      <w:pPr>
        <w:rPr>
          <w:sz w:val="18"/>
          <w:szCs w:val="18"/>
        </w:rPr>
      </w:pPr>
    </w:p>
    <w:tbl>
      <w:tblPr>
        <w:tblW w:w="9197" w:type="dxa"/>
        <w:tblInd w:w="392" w:type="dxa"/>
        <w:tblLayout w:type="fixed"/>
        <w:tblLook w:val="0000" w:firstRow="0" w:lastRow="0" w:firstColumn="0" w:lastColumn="0" w:noHBand="0" w:noVBand="0"/>
      </w:tblPr>
      <w:tblGrid>
        <w:gridCol w:w="4599"/>
        <w:gridCol w:w="4598"/>
      </w:tblGrid>
      <w:tr w:rsidR="00276295" w:rsidRPr="00236F16" w14:paraId="43813B5C" w14:textId="77777777" w:rsidTr="00D215E4">
        <w:tc>
          <w:tcPr>
            <w:tcW w:w="4708" w:type="dxa"/>
          </w:tcPr>
          <w:p w14:paraId="143A8854" w14:textId="77777777" w:rsidR="00276295" w:rsidRPr="00236F16" w:rsidRDefault="00276295" w:rsidP="00D215E4">
            <w:pPr>
              <w:ind w:left="567" w:right="-57"/>
              <w:jc w:val="both"/>
              <w:rPr>
                <w:bCs w:val="0"/>
                <w:sz w:val="18"/>
                <w:szCs w:val="18"/>
              </w:rPr>
            </w:pPr>
            <w:r w:rsidRPr="00236F16">
              <w:rPr>
                <w:bCs w:val="0"/>
                <w:sz w:val="18"/>
                <w:szCs w:val="18"/>
              </w:rPr>
              <w:t>Kelompok usaha melakukan segmentasi pelaporan berdasarkan informasi keuangan yang digunakan oleh pengambil keputusan operasional dalam mengevaluasi kinerja segmen dan menentukan alokasi sumber daya yang dimilikinya. Segmentasi berdasarkan aktivitas dari setiap kegiatan operasi entitas legal di dalam kelompok usaha.</w:t>
            </w:r>
          </w:p>
        </w:tc>
        <w:tc>
          <w:tcPr>
            <w:tcW w:w="4708" w:type="dxa"/>
          </w:tcPr>
          <w:p w14:paraId="248CAACD" w14:textId="77777777" w:rsidR="00276295" w:rsidRPr="00236F16" w:rsidRDefault="00276295" w:rsidP="00D215E4">
            <w:pPr>
              <w:tabs>
                <w:tab w:val="left" w:pos="5590"/>
                <w:tab w:val="right" w:pos="7620"/>
                <w:tab w:val="right" w:pos="9460"/>
                <w:tab w:val="right" w:pos="10080"/>
              </w:tabs>
              <w:ind w:left="567" w:right="-57"/>
              <w:jc w:val="both"/>
              <w:rPr>
                <w:bCs w:val="0"/>
                <w:i/>
                <w:sz w:val="18"/>
                <w:szCs w:val="18"/>
              </w:rPr>
            </w:pPr>
            <w:r w:rsidRPr="00236F16">
              <w:rPr>
                <w:bCs w:val="0"/>
                <w:i/>
                <w:sz w:val="18"/>
                <w:szCs w:val="18"/>
              </w:rPr>
              <w:t xml:space="preserve">Segment reporting made by the </w:t>
            </w:r>
            <w:r w:rsidRPr="00236F16">
              <w:rPr>
                <w:bCs w:val="0"/>
                <w:i/>
                <w:sz w:val="18"/>
                <w:szCs w:val="18"/>
                <w:lang w:val="id-ID"/>
              </w:rPr>
              <w:t>G</w:t>
            </w:r>
            <w:r w:rsidRPr="00236F16">
              <w:rPr>
                <w:bCs w:val="0"/>
                <w:i/>
                <w:sz w:val="18"/>
                <w:szCs w:val="18"/>
              </w:rPr>
              <w:t>roup is based on the financial information used by operating decision makers in evaluating operating segment performance and determining the allocation of its resources. Segmentation based on the activity of each legal entity operating activities in the group.</w:t>
            </w:r>
          </w:p>
        </w:tc>
      </w:tr>
    </w:tbl>
    <w:p w14:paraId="62CF6287" w14:textId="77777777" w:rsidR="00276295" w:rsidRPr="00236F16" w:rsidRDefault="00276295" w:rsidP="0013526B">
      <w:pPr>
        <w:rPr>
          <w:sz w:val="18"/>
          <w:szCs w:val="18"/>
        </w:rPr>
      </w:pPr>
    </w:p>
    <w:tbl>
      <w:tblPr>
        <w:tblW w:w="9197" w:type="dxa"/>
        <w:tblInd w:w="392" w:type="dxa"/>
        <w:tblLayout w:type="fixed"/>
        <w:tblLook w:val="0000" w:firstRow="0" w:lastRow="0" w:firstColumn="0" w:lastColumn="0" w:noHBand="0" w:noVBand="0"/>
      </w:tblPr>
      <w:tblGrid>
        <w:gridCol w:w="4599"/>
        <w:gridCol w:w="4598"/>
      </w:tblGrid>
      <w:tr w:rsidR="00276295" w:rsidRPr="00236F16" w14:paraId="5D466716" w14:textId="77777777" w:rsidTr="00D215E4">
        <w:tc>
          <w:tcPr>
            <w:tcW w:w="4599" w:type="dxa"/>
          </w:tcPr>
          <w:p w14:paraId="4903CF40" w14:textId="77777777" w:rsidR="00276295" w:rsidRPr="00236F16" w:rsidRDefault="00276295" w:rsidP="00070D1F">
            <w:pPr>
              <w:pStyle w:val="ListParagraph"/>
              <w:numPr>
                <w:ilvl w:val="0"/>
                <w:numId w:val="88"/>
              </w:numPr>
              <w:ind w:left="568" w:hanging="284"/>
              <w:contextualSpacing/>
              <w:jc w:val="both"/>
              <w:rPr>
                <w:b/>
                <w:bCs w:val="0"/>
                <w:sz w:val="18"/>
                <w:szCs w:val="18"/>
              </w:rPr>
            </w:pPr>
            <w:r w:rsidRPr="00236F16">
              <w:rPr>
                <w:b/>
                <w:bCs w:val="0"/>
                <w:sz w:val="18"/>
                <w:szCs w:val="18"/>
              </w:rPr>
              <w:t>Instrumen Keuangan</w:t>
            </w:r>
          </w:p>
        </w:tc>
        <w:tc>
          <w:tcPr>
            <w:tcW w:w="4598" w:type="dxa"/>
          </w:tcPr>
          <w:p w14:paraId="3232ADE8" w14:textId="77777777" w:rsidR="00276295" w:rsidRPr="00236F16" w:rsidRDefault="00276295" w:rsidP="00070D1F">
            <w:pPr>
              <w:pStyle w:val="ListParagraph"/>
              <w:numPr>
                <w:ilvl w:val="0"/>
                <w:numId w:val="89"/>
              </w:numPr>
              <w:ind w:left="568" w:hanging="284"/>
              <w:contextualSpacing/>
              <w:jc w:val="both"/>
              <w:rPr>
                <w:b/>
                <w:bCs w:val="0"/>
                <w:i/>
                <w:sz w:val="18"/>
                <w:szCs w:val="18"/>
              </w:rPr>
            </w:pPr>
            <w:r w:rsidRPr="00236F16">
              <w:rPr>
                <w:b/>
                <w:bCs w:val="0"/>
                <w:i/>
                <w:sz w:val="18"/>
                <w:szCs w:val="18"/>
              </w:rPr>
              <w:t>Financial Instruments</w:t>
            </w:r>
          </w:p>
        </w:tc>
      </w:tr>
      <w:tr w:rsidR="00276295" w:rsidRPr="00A928CB" w14:paraId="165FBBE4" w14:textId="77777777" w:rsidTr="00D215E4">
        <w:tc>
          <w:tcPr>
            <w:tcW w:w="4599" w:type="dxa"/>
            <w:tcBorders>
              <w:top w:val="nil"/>
              <w:left w:val="nil"/>
              <w:bottom w:val="nil"/>
              <w:right w:val="nil"/>
            </w:tcBorders>
          </w:tcPr>
          <w:p w14:paraId="70ED8D9B" w14:textId="77777777" w:rsidR="00276295" w:rsidRPr="00A928CB" w:rsidRDefault="00276295" w:rsidP="00D215E4">
            <w:pPr>
              <w:pStyle w:val="ListParagraph"/>
              <w:ind w:left="641" w:right="-57"/>
              <w:contextualSpacing/>
              <w:jc w:val="both"/>
              <w:rPr>
                <w:sz w:val="18"/>
                <w:szCs w:val="18"/>
                <w:highlight w:val="cyan"/>
              </w:rPr>
            </w:pPr>
          </w:p>
        </w:tc>
        <w:tc>
          <w:tcPr>
            <w:tcW w:w="4598" w:type="dxa"/>
            <w:tcBorders>
              <w:top w:val="nil"/>
              <w:left w:val="nil"/>
              <w:bottom w:val="nil"/>
              <w:right w:val="nil"/>
            </w:tcBorders>
          </w:tcPr>
          <w:p w14:paraId="645E729C" w14:textId="77777777" w:rsidR="00276295" w:rsidRPr="00A928CB" w:rsidRDefault="00276295" w:rsidP="00D215E4">
            <w:pPr>
              <w:pStyle w:val="ListParagraph"/>
              <w:ind w:left="641" w:right="-57"/>
              <w:jc w:val="both"/>
              <w:rPr>
                <w:i/>
                <w:sz w:val="18"/>
                <w:szCs w:val="18"/>
                <w:highlight w:val="cyan"/>
              </w:rPr>
            </w:pPr>
          </w:p>
        </w:tc>
      </w:tr>
      <w:tr w:rsidR="00276295" w:rsidRPr="00236F16" w14:paraId="3F8C897F" w14:textId="77777777" w:rsidTr="00D215E4">
        <w:tc>
          <w:tcPr>
            <w:tcW w:w="4599" w:type="dxa"/>
            <w:tcBorders>
              <w:top w:val="nil"/>
              <w:left w:val="nil"/>
              <w:bottom w:val="nil"/>
              <w:right w:val="nil"/>
            </w:tcBorders>
          </w:tcPr>
          <w:p w14:paraId="71B7DEE9" w14:textId="73C8AF71" w:rsidR="00276295" w:rsidRPr="00236F16" w:rsidRDefault="00276295" w:rsidP="002523B0">
            <w:pPr>
              <w:ind w:left="567" w:right="-57"/>
              <w:jc w:val="both"/>
              <w:rPr>
                <w:sz w:val="18"/>
                <w:szCs w:val="18"/>
              </w:rPr>
            </w:pPr>
            <w:r w:rsidRPr="00236F16">
              <w:rPr>
                <w:sz w:val="18"/>
                <w:szCs w:val="18"/>
                <w:lang w:val="id-ID"/>
              </w:rPr>
              <w:t xml:space="preserve">Kelompok Usaha </w:t>
            </w:r>
            <w:r w:rsidRPr="00236F16">
              <w:rPr>
                <w:sz w:val="18"/>
                <w:szCs w:val="18"/>
              </w:rPr>
              <w:t>menerapkan PSAK No. 50</w:t>
            </w:r>
            <w:r w:rsidRPr="00236F16">
              <w:rPr>
                <w:sz w:val="18"/>
                <w:szCs w:val="18"/>
                <w:lang w:val="id-ID"/>
              </w:rPr>
              <w:br/>
            </w:r>
            <w:r w:rsidRPr="00236F16">
              <w:rPr>
                <w:sz w:val="18"/>
                <w:szCs w:val="18"/>
              </w:rPr>
              <w:t>(Revisi 2014)</w:t>
            </w:r>
            <w:r w:rsidR="002523B0">
              <w:rPr>
                <w:sz w:val="18"/>
                <w:szCs w:val="18"/>
              </w:rPr>
              <w:t>,</w:t>
            </w:r>
            <w:r w:rsidRPr="00236F16">
              <w:rPr>
                <w:sz w:val="18"/>
                <w:szCs w:val="18"/>
              </w:rPr>
              <w:t xml:space="preserve"> “Instrumen Keuangan: Penyajian”</w:t>
            </w:r>
            <w:proofErr w:type="gramStart"/>
            <w:r w:rsidR="002523B0">
              <w:rPr>
                <w:sz w:val="18"/>
                <w:szCs w:val="18"/>
              </w:rPr>
              <w:t>,</w:t>
            </w:r>
            <w:proofErr w:type="gramEnd"/>
            <w:r w:rsidRPr="00236F16">
              <w:rPr>
                <w:sz w:val="18"/>
                <w:szCs w:val="18"/>
                <w:lang w:val="id-ID"/>
              </w:rPr>
              <w:br/>
            </w:r>
            <w:r w:rsidRPr="00236F16">
              <w:rPr>
                <w:sz w:val="18"/>
                <w:szCs w:val="18"/>
              </w:rPr>
              <w:t>PSAK No. 55 (Revisi 2014)</w:t>
            </w:r>
            <w:r w:rsidR="002523B0">
              <w:rPr>
                <w:sz w:val="18"/>
                <w:szCs w:val="18"/>
              </w:rPr>
              <w:t>,</w:t>
            </w:r>
            <w:r w:rsidRPr="00236F16">
              <w:rPr>
                <w:sz w:val="18"/>
                <w:szCs w:val="18"/>
              </w:rPr>
              <w:t xml:space="preserve"> Instrumen </w:t>
            </w:r>
            <w:r w:rsidRPr="00236F16">
              <w:rPr>
                <w:bCs w:val="0"/>
                <w:sz w:val="18"/>
                <w:szCs w:val="18"/>
              </w:rPr>
              <w:t>Keuangan</w:t>
            </w:r>
            <w:r w:rsidRPr="00236F16">
              <w:rPr>
                <w:sz w:val="18"/>
                <w:szCs w:val="18"/>
              </w:rPr>
              <w:t>: Pengakuan dan Pengukuran” dan PSAK No. 60 (Revisi 2014)</w:t>
            </w:r>
            <w:r w:rsidR="002523B0">
              <w:rPr>
                <w:sz w:val="18"/>
                <w:szCs w:val="18"/>
              </w:rPr>
              <w:t>,</w:t>
            </w:r>
            <w:r w:rsidRPr="00236F16">
              <w:rPr>
                <w:sz w:val="18"/>
                <w:szCs w:val="18"/>
              </w:rPr>
              <w:t xml:space="preserve"> “Instrumen Keuangan: Pengungkapan”</w:t>
            </w:r>
            <w:r w:rsidR="002523B0">
              <w:rPr>
                <w:sz w:val="18"/>
                <w:szCs w:val="18"/>
              </w:rPr>
              <w:t>,</w:t>
            </w:r>
            <w:r w:rsidRPr="00236F16">
              <w:rPr>
                <w:sz w:val="18"/>
                <w:szCs w:val="18"/>
              </w:rPr>
              <w:t xml:space="preserve"> termasuk Penyesuaian 2016 PSAK No. 60. Selain itu</w:t>
            </w:r>
            <w:r w:rsidR="00870FD0">
              <w:rPr>
                <w:sz w:val="18"/>
                <w:szCs w:val="18"/>
              </w:rPr>
              <w:t>.</w:t>
            </w:r>
            <w:r w:rsidRPr="00236F16">
              <w:rPr>
                <w:sz w:val="18"/>
                <w:szCs w:val="18"/>
              </w:rPr>
              <w:t xml:space="preserve"> </w:t>
            </w:r>
            <w:r w:rsidRPr="00236F16">
              <w:rPr>
                <w:sz w:val="18"/>
                <w:szCs w:val="18"/>
                <w:lang w:val="id-ID"/>
              </w:rPr>
              <w:t xml:space="preserve">Kelompok Usaha </w:t>
            </w:r>
            <w:r w:rsidRPr="00236F16">
              <w:rPr>
                <w:sz w:val="18"/>
                <w:szCs w:val="18"/>
              </w:rPr>
              <w:t>juga menerapkan ISAK No. 13</w:t>
            </w:r>
            <w:r w:rsidR="002523B0">
              <w:rPr>
                <w:sz w:val="18"/>
                <w:szCs w:val="18"/>
              </w:rPr>
              <w:t>,</w:t>
            </w:r>
            <w:r w:rsidRPr="00236F16">
              <w:rPr>
                <w:sz w:val="18"/>
                <w:szCs w:val="18"/>
              </w:rPr>
              <w:t xml:space="preserve"> “Lindung Nilai Investasi Neto Dalam Kegiatan Usaha Luar Negeri” dan ISAK No. 26 (2014)</w:t>
            </w:r>
            <w:r w:rsidR="002523B0">
              <w:rPr>
                <w:sz w:val="18"/>
                <w:szCs w:val="18"/>
              </w:rPr>
              <w:t>,</w:t>
            </w:r>
            <w:r w:rsidRPr="00236F16">
              <w:rPr>
                <w:sz w:val="18"/>
                <w:szCs w:val="18"/>
              </w:rPr>
              <w:t xml:space="preserve"> “Penilaian Ulang Derivatif Melekat”.</w:t>
            </w:r>
          </w:p>
        </w:tc>
        <w:tc>
          <w:tcPr>
            <w:tcW w:w="4598" w:type="dxa"/>
            <w:tcBorders>
              <w:top w:val="nil"/>
              <w:left w:val="nil"/>
              <w:bottom w:val="nil"/>
              <w:right w:val="nil"/>
            </w:tcBorders>
          </w:tcPr>
          <w:p w14:paraId="35EF7C9E" w14:textId="33AC104B" w:rsidR="00276295" w:rsidRPr="00236F16" w:rsidRDefault="00276295" w:rsidP="002523B0">
            <w:pPr>
              <w:tabs>
                <w:tab w:val="left" w:pos="5590"/>
                <w:tab w:val="right" w:pos="7620"/>
                <w:tab w:val="right" w:pos="9460"/>
                <w:tab w:val="right" w:pos="10080"/>
              </w:tabs>
              <w:ind w:left="567" w:right="-57"/>
              <w:jc w:val="both"/>
              <w:rPr>
                <w:i/>
                <w:sz w:val="18"/>
                <w:szCs w:val="18"/>
              </w:rPr>
            </w:pPr>
            <w:r w:rsidRPr="00236F16">
              <w:rPr>
                <w:i/>
                <w:sz w:val="18"/>
                <w:szCs w:val="18"/>
              </w:rPr>
              <w:t xml:space="preserve">The </w:t>
            </w:r>
            <w:r w:rsidRPr="00236F16">
              <w:rPr>
                <w:i/>
                <w:sz w:val="18"/>
                <w:szCs w:val="18"/>
                <w:lang w:val="id-ID"/>
              </w:rPr>
              <w:t>Group</w:t>
            </w:r>
            <w:r w:rsidRPr="00236F16">
              <w:rPr>
                <w:i/>
                <w:sz w:val="18"/>
                <w:szCs w:val="18"/>
              </w:rPr>
              <w:t xml:space="preserve"> adopted PSAK No. 50 (Revised 2014)</w:t>
            </w:r>
            <w:r w:rsidR="002523B0">
              <w:rPr>
                <w:i/>
                <w:sz w:val="18"/>
                <w:szCs w:val="18"/>
              </w:rPr>
              <w:t>,</w:t>
            </w:r>
            <w:r w:rsidRPr="00236F16">
              <w:rPr>
                <w:i/>
                <w:sz w:val="18"/>
                <w:szCs w:val="18"/>
              </w:rPr>
              <w:t xml:space="preserve"> “Financial Instruments: Presentation”</w:t>
            </w:r>
            <w:r w:rsidR="002523B0">
              <w:rPr>
                <w:i/>
                <w:sz w:val="18"/>
                <w:szCs w:val="18"/>
              </w:rPr>
              <w:t>,</w:t>
            </w:r>
            <w:r w:rsidRPr="00236F16">
              <w:rPr>
                <w:i/>
                <w:sz w:val="18"/>
                <w:szCs w:val="18"/>
              </w:rPr>
              <w:t xml:space="preserve"> PSAK No. 55 (Revised 2014)</w:t>
            </w:r>
            <w:r w:rsidR="002523B0">
              <w:rPr>
                <w:i/>
                <w:sz w:val="18"/>
                <w:szCs w:val="18"/>
              </w:rPr>
              <w:t>,</w:t>
            </w:r>
            <w:r w:rsidRPr="00236F16">
              <w:rPr>
                <w:i/>
                <w:sz w:val="18"/>
                <w:szCs w:val="18"/>
              </w:rPr>
              <w:t xml:space="preserve"> “</w:t>
            </w:r>
            <w:r w:rsidRPr="00236F16">
              <w:rPr>
                <w:bCs w:val="0"/>
                <w:i/>
                <w:sz w:val="18"/>
                <w:szCs w:val="18"/>
              </w:rPr>
              <w:t>Financial</w:t>
            </w:r>
            <w:r w:rsidRPr="00236F16">
              <w:rPr>
                <w:i/>
                <w:sz w:val="18"/>
                <w:szCs w:val="18"/>
              </w:rPr>
              <w:t xml:space="preserve"> Instruments: Recognition and Measurement”</w:t>
            </w:r>
            <w:r w:rsidR="002523B0">
              <w:rPr>
                <w:i/>
                <w:sz w:val="18"/>
                <w:szCs w:val="18"/>
              </w:rPr>
              <w:t>,</w:t>
            </w:r>
            <w:r w:rsidRPr="00236F16">
              <w:rPr>
                <w:i/>
                <w:sz w:val="18"/>
                <w:szCs w:val="18"/>
              </w:rPr>
              <w:t xml:space="preserve"> and PSAK No. 60 (Revised 2014)</w:t>
            </w:r>
            <w:r w:rsidR="002523B0">
              <w:rPr>
                <w:i/>
                <w:sz w:val="18"/>
                <w:szCs w:val="18"/>
              </w:rPr>
              <w:t>,</w:t>
            </w:r>
            <w:r w:rsidRPr="00236F16">
              <w:rPr>
                <w:i/>
                <w:sz w:val="18"/>
                <w:szCs w:val="18"/>
              </w:rPr>
              <w:t xml:space="preserve"> “Financial Instruments: Disclosures”</w:t>
            </w:r>
            <w:r w:rsidR="002523B0">
              <w:rPr>
                <w:i/>
                <w:sz w:val="18"/>
                <w:szCs w:val="18"/>
              </w:rPr>
              <w:t>,</w:t>
            </w:r>
            <w:r w:rsidRPr="00236F16">
              <w:rPr>
                <w:i/>
                <w:sz w:val="18"/>
                <w:szCs w:val="18"/>
              </w:rPr>
              <w:t xml:space="preserve"> including Improvement 2016 to PSAK No. 60. In addition</w:t>
            </w:r>
            <w:r w:rsidR="00870FD0">
              <w:rPr>
                <w:i/>
                <w:sz w:val="18"/>
                <w:szCs w:val="18"/>
              </w:rPr>
              <w:t>.</w:t>
            </w:r>
            <w:r w:rsidRPr="00236F16">
              <w:rPr>
                <w:i/>
                <w:sz w:val="18"/>
                <w:szCs w:val="18"/>
              </w:rPr>
              <w:t xml:space="preserve"> </w:t>
            </w:r>
            <w:proofErr w:type="gramStart"/>
            <w:r w:rsidRPr="00236F16">
              <w:rPr>
                <w:i/>
                <w:sz w:val="18"/>
                <w:szCs w:val="18"/>
              </w:rPr>
              <w:t>the</w:t>
            </w:r>
            <w:proofErr w:type="gramEnd"/>
            <w:r w:rsidRPr="00236F16">
              <w:rPr>
                <w:i/>
                <w:sz w:val="18"/>
                <w:szCs w:val="18"/>
              </w:rPr>
              <w:t xml:space="preserve"> </w:t>
            </w:r>
            <w:r w:rsidRPr="00236F16">
              <w:rPr>
                <w:i/>
                <w:sz w:val="18"/>
                <w:szCs w:val="18"/>
                <w:lang w:val="id-ID"/>
              </w:rPr>
              <w:t>Group</w:t>
            </w:r>
            <w:r w:rsidRPr="00236F16">
              <w:rPr>
                <w:i/>
                <w:sz w:val="18"/>
                <w:szCs w:val="18"/>
              </w:rPr>
              <w:t xml:space="preserve"> also adopted ISAK No. 13</w:t>
            </w:r>
            <w:r w:rsidR="002523B0">
              <w:rPr>
                <w:i/>
                <w:sz w:val="18"/>
                <w:szCs w:val="18"/>
              </w:rPr>
              <w:t>,</w:t>
            </w:r>
            <w:r w:rsidRPr="00236F16">
              <w:rPr>
                <w:i/>
                <w:sz w:val="18"/>
                <w:szCs w:val="18"/>
              </w:rPr>
              <w:t xml:space="preserve"> “Hedges of a Net Investment in a Foreign Operation” and ISAK No. 26 (Revised 2014)</w:t>
            </w:r>
            <w:r w:rsidR="002523B0">
              <w:rPr>
                <w:i/>
                <w:sz w:val="18"/>
                <w:szCs w:val="18"/>
              </w:rPr>
              <w:t>,</w:t>
            </w:r>
            <w:r w:rsidRPr="00236F16">
              <w:rPr>
                <w:i/>
                <w:sz w:val="18"/>
                <w:szCs w:val="18"/>
              </w:rPr>
              <w:t xml:space="preserve"> “Reassessment of Embedded Derivatives”.</w:t>
            </w:r>
          </w:p>
        </w:tc>
      </w:tr>
    </w:tbl>
    <w:p w14:paraId="25BB8E2B" w14:textId="77777777" w:rsidR="00276295" w:rsidRPr="00236F16" w:rsidRDefault="00276295" w:rsidP="0013526B">
      <w:pPr>
        <w:rPr>
          <w:sz w:val="18"/>
          <w:szCs w:val="18"/>
        </w:rPr>
      </w:pPr>
    </w:p>
    <w:tbl>
      <w:tblPr>
        <w:tblW w:w="9197" w:type="dxa"/>
        <w:tblInd w:w="392" w:type="dxa"/>
        <w:tblLayout w:type="fixed"/>
        <w:tblLook w:val="0000" w:firstRow="0" w:lastRow="0" w:firstColumn="0" w:lastColumn="0" w:noHBand="0" w:noVBand="0"/>
      </w:tblPr>
      <w:tblGrid>
        <w:gridCol w:w="4599"/>
        <w:gridCol w:w="4598"/>
      </w:tblGrid>
      <w:tr w:rsidR="00276295" w:rsidRPr="00A928CB" w14:paraId="4B3A7D55" w14:textId="77777777" w:rsidTr="00D215E4">
        <w:tc>
          <w:tcPr>
            <w:tcW w:w="4599" w:type="dxa"/>
            <w:tcBorders>
              <w:top w:val="nil"/>
              <w:left w:val="nil"/>
              <w:bottom w:val="nil"/>
              <w:right w:val="nil"/>
            </w:tcBorders>
          </w:tcPr>
          <w:p w14:paraId="2749DE2A" w14:textId="79207D0B" w:rsidR="00276295" w:rsidRPr="00236F16" w:rsidRDefault="00276295" w:rsidP="002523B0">
            <w:pPr>
              <w:ind w:left="567" w:right="-57"/>
              <w:jc w:val="both"/>
              <w:rPr>
                <w:sz w:val="18"/>
                <w:szCs w:val="18"/>
              </w:rPr>
            </w:pPr>
            <w:r w:rsidRPr="00236F16">
              <w:rPr>
                <w:sz w:val="18"/>
                <w:szCs w:val="18"/>
              </w:rPr>
              <w:t>PSAK No. 50 (Revisi 2014) menguraikan persyaratan akuntansi penyajian dari instrumen keuangan</w:t>
            </w:r>
            <w:r w:rsidR="00870FD0">
              <w:rPr>
                <w:sz w:val="18"/>
                <w:szCs w:val="18"/>
              </w:rPr>
              <w:t>.</w:t>
            </w:r>
            <w:r w:rsidRPr="00236F16">
              <w:rPr>
                <w:sz w:val="18"/>
                <w:szCs w:val="18"/>
              </w:rPr>
              <w:t xml:space="preserve"> </w:t>
            </w:r>
            <w:proofErr w:type="gramStart"/>
            <w:r w:rsidRPr="00236F16">
              <w:rPr>
                <w:sz w:val="18"/>
                <w:szCs w:val="18"/>
              </w:rPr>
              <w:t>terutama</w:t>
            </w:r>
            <w:proofErr w:type="gramEnd"/>
            <w:r w:rsidRPr="00236F16">
              <w:rPr>
                <w:sz w:val="18"/>
                <w:szCs w:val="18"/>
              </w:rPr>
              <w:t xml:space="preserve"> untuk klasifikasi instrumen tersebut dalam aset keuangan</w:t>
            </w:r>
            <w:r w:rsidR="00870FD0">
              <w:rPr>
                <w:sz w:val="18"/>
                <w:szCs w:val="18"/>
              </w:rPr>
              <w:t>.</w:t>
            </w:r>
            <w:r w:rsidRPr="00236F16">
              <w:rPr>
                <w:sz w:val="18"/>
                <w:szCs w:val="18"/>
              </w:rPr>
              <w:t xml:space="preserve"> </w:t>
            </w:r>
            <w:proofErr w:type="gramStart"/>
            <w:r w:rsidRPr="00236F16">
              <w:rPr>
                <w:sz w:val="18"/>
                <w:szCs w:val="18"/>
              </w:rPr>
              <w:t>liabilitas</w:t>
            </w:r>
            <w:proofErr w:type="gramEnd"/>
            <w:r w:rsidRPr="00236F16">
              <w:rPr>
                <w:sz w:val="18"/>
                <w:szCs w:val="18"/>
              </w:rPr>
              <w:t xml:space="preserve"> keuangan dan instrumen ekuitas. Standar ini juga memberikan panduan pada klasifikasi terkait dengan suku bunga</w:t>
            </w:r>
            <w:r w:rsidR="002523B0">
              <w:rPr>
                <w:sz w:val="18"/>
                <w:szCs w:val="18"/>
              </w:rPr>
              <w:t>,</w:t>
            </w:r>
            <w:r w:rsidRPr="00236F16">
              <w:rPr>
                <w:sz w:val="18"/>
                <w:szCs w:val="18"/>
              </w:rPr>
              <w:t xml:space="preserve"> dividen dan keuntungan/ kerugian</w:t>
            </w:r>
            <w:r w:rsidR="002523B0">
              <w:rPr>
                <w:sz w:val="18"/>
                <w:szCs w:val="18"/>
              </w:rPr>
              <w:t>,</w:t>
            </w:r>
            <w:r w:rsidRPr="00236F16">
              <w:rPr>
                <w:sz w:val="18"/>
                <w:szCs w:val="18"/>
              </w:rPr>
              <w:t xml:space="preserve"> dan ketika aset keuangan dan liabilitas keuangan dapat di saling hapus.</w:t>
            </w:r>
          </w:p>
        </w:tc>
        <w:tc>
          <w:tcPr>
            <w:tcW w:w="4598" w:type="dxa"/>
            <w:tcBorders>
              <w:top w:val="nil"/>
              <w:left w:val="nil"/>
              <w:bottom w:val="nil"/>
              <w:right w:val="nil"/>
            </w:tcBorders>
          </w:tcPr>
          <w:p w14:paraId="57DCC33A" w14:textId="7E6DD95F" w:rsidR="00276295" w:rsidRPr="00236F16" w:rsidRDefault="00276295" w:rsidP="002523B0">
            <w:pPr>
              <w:tabs>
                <w:tab w:val="left" w:pos="5590"/>
                <w:tab w:val="right" w:pos="7620"/>
                <w:tab w:val="right" w:pos="9460"/>
                <w:tab w:val="right" w:pos="10080"/>
              </w:tabs>
              <w:ind w:left="567" w:right="-57"/>
              <w:jc w:val="both"/>
              <w:rPr>
                <w:i/>
                <w:sz w:val="18"/>
                <w:szCs w:val="18"/>
              </w:rPr>
            </w:pPr>
            <w:r w:rsidRPr="00236F16">
              <w:rPr>
                <w:i/>
                <w:sz w:val="18"/>
                <w:szCs w:val="18"/>
              </w:rPr>
              <w:t>PSAK No. 50 (Revised 2014) outlines the accounting requirements for the presentation of financial instruments</w:t>
            </w:r>
            <w:r w:rsidR="00870FD0">
              <w:rPr>
                <w:i/>
                <w:sz w:val="18"/>
                <w:szCs w:val="18"/>
              </w:rPr>
              <w:t>.</w:t>
            </w:r>
            <w:r w:rsidRPr="00236F16">
              <w:rPr>
                <w:i/>
                <w:sz w:val="18"/>
                <w:szCs w:val="18"/>
              </w:rPr>
              <w:t xml:space="preserve"> </w:t>
            </w:r>
            <w:proofErr w:type="gramStart"/>
            <w:r w:rsidRPr="00236F16">
              <w:rPr>
                <w:i/>
                <w:sz w:val="18"/>
                <w:szCs w:val="18"/>
              </w:rPr>
              <w:t>particularly</w:t>
            </w:r>
            <w:proofErr w:type="gramEnd"/>
            <w:r w:rsidRPr="00236F16">
              <w:rPr>
                <w:i/>
                <w:sz w:val="18"/>
                <w:szCs w:val="18"/>
              </w:rPr>
              <w:t xml:space="preserve"> as to the classification of such instruments into financial assets</w:t>
            </w:r>
            <w:r w:rsidR="00870FD0">
              <w:rPr>
                <w:i/>
                <w:sz w:val="18"/>
                <w:szCs w:val="18"/>
              </w:rPr>
              <w:t>.</w:t>
            </w:r>
            <w:r w:rsidRPr="00236F16">
              <w:rPr>
                <w:i/>
                <w:sz w:val="18"/>
                <w:szCs w:val="18"/>
              </w:rPr>
              <w:t xml:space="preserve"> </w:t>
            </w:r>
            <w:proofErr w:type="gramStart"/>
            <w:r w:rsidRPr="00236F16">
              <w:rPr>
                <w:i/>
                <w:sz w:val="18"/>
                <w:szCs w:val="18"/>
              </w:rPr>
              <w:t>financial</w:t>
            </w:r>
            <w:proofErr w:type="gramEnd"/>
            <w:r w:rsidRPr="00236F16">
              <w:rPr>
                <w:i/>
                <w:sz w:val="18"/>
                <w:szCs w:val="18"/>
              </w:rPr>
              <w:t xml:space="preserve"> liabilities and equity instruments. The standard also provides guidance on the classification of related interest</w:t>
            </w:r>
            <w:r w:rsidR="002523B0">
              <w:rPr>
                <w:i/>
                <w:sz w:val="18"/>
                <w:szCs w:val="18"/>
              </w:rPr>
              <w:t>,</w:t>
            </w:r>
            <w:r w:rsidRPr="00236F16">
              <w:rPr>
                <w:i/>
                <w:sz w:val="18"/>
                <w:szCs w:val="18"/>
              </w:rPr>
              <w:t xml:space="preserve"> dividends and gains/losses</w:t>
            </w:r>
            <w:r w:rsidR="002523B0">
              <w:rPr>
                <w:i/>
                <w:sz w:val="18"/>
                <w:szCs w:val="18"/>
              </w:rPr>
              <w:t>,</w:t>
            </w:r>
            <w:r w:rsidRPr="00236F16">
              <w:rPr>
                <w:i/>
                <w:sz w:val="18"/>
                <w:szCs w:val="18"/>
              </w:rPr>
              <w:t xml:space="preserve"> and when financial assets and financial liabilities can be offset.</w:t>
            </w:r>
          </w:p>
        </w:tc>
      </w:tr>
      <w:tr w:rsidR="00276295" w:rsidRPr="00A928CB" w14:paraId="4371178D" w14:textId="77777777" w:rsidTr="00D215E4">
        <w:tc>
          <w:tcPr>
            <w:tcW w:w="4599" w:type="dxa"/>
            <w:tcBorders>
              <w:top w:val="nil"/>
              <w:left w:val="nil"/>
              <w:bottom w:val="nil"/>
              <w:right w:val="nil"/>
            </w:tcBorders>
          </w:tcPr>
          <w:p w14:paraId="5CC9912F" w14:textId="77777777" w:rsidR="00276295" w:rsidRPr="00A928CB" w:rsidRDefault="00276295" w:rsidP="00D215E4">
            <w:pPr>
              <w:ind w:left="567" w:right="-57"/>
              <w:jc w:val="both"/>
              <w:rPr>
                <w:sz w:val="18"/>
                <w:szCs w:val="18"/>
                <w:highlight w:val="cyan"/>
              </w:rPr>
            </w:pPr>
          </w:p>
        </w:tc>
        <w:tc>
          <w:tcPr>
            <w:tcW w:w="4598" w:type="dxa"/>
            <w:tcBorders>
              <w:top w:val="nil"/>
              <w:left w:val="nil"/>
              <w:bottom w:val="nil"/>
              <w:right w:val="nil"/>
            </w:tcBorders>
          </w:tcPr>
          <w:p w14:paraId="3BD3B26F" w14:textId="77777777" w:rsidR="00276295" w:rsidRPr="00A928CB" w:rsidRDefault="00276295" w:rsidP="00D215E4">
            <w:pPr>
              <w:tabs>
                <w:tab w:val="left" w:pos="5590"/>
                <w:tab w:val="right" w:pos="7620"/>
                <w:tab w:val="right" w:pos="9460"/>
                <w:tab w:val="right" w:pos="10080"/>
              </w:tabs>
              <w:ind w:left="567" w:right="-57"/>
              <w:jc w:val="both"/>
              <w:rPr>
                <w:i/>
                <w:sz w:val="18"/>
                <w:szCs w:val="18"/>
                <w:highlight w:val="cyan"/>
              </w:rPr>
            </w:pPr>
          </w:p>
        </w:tc>
      </w:tr>
      <w:tr w:rsidR="00276295" w:rsidRPr="00A928CB" w14:paraId="75CBA087" w14:textId="77777777" w:rsidTr="00276295">
        <w:tc>
          <w:tcPr>
            <w:tcW w:w="4599" w:type="dxa"/>
            <w:tcBorders>
              <w:top w:val="nil"/>
              <w:left w:val="nil"/>
              <w:bottom w:val="nil"/>
              <w:right w:val="nil"/>
            </w:tcBorders>
          </w:tcPr>
          <w:p w14:paraId="0BF6E5FA" w14:textId="43599053" w:rsidR="00276295" w:rsidRPr="00236F16" w:rsidRDefault="00276295" w:rsidP="002523B0">
            <w:pPr>
              <w:ind w:left="567" w:right="-57"/>
              <w:jc w:val="both"/>
              <w:rPr>
                <w:sz w:val="18"/>
                <w:szCs w:val="18"/>
              </w:rPr>
            </w:pPr>
            <w:r w:rsidRPr="00236F16">
              <w:rPr>
                <w:sz w:val="18"/>
                <w:szCs w:val="18"/>
              </w:rPr>
              <w:t>Prinsip-prinsip dalam standar ini melengkapi prinsip untuk pengakuan dan pengukuran aset keuangan dan kewajiban keuangan dalam PSAK No. 55</w:t>
            </w:r>
            <w:r w:rsidRPr="00236F16">
              <w:rPr>
                <w:sz w:val="18"/>
                <w:szCs w:val="18"/>
              </w:rPr>
              <w:br/>
              <w:t>(Revisi 2014)</w:t>
            </w:r>
            <w:r w:rsidR="002523B0">
              <w:rPr>
                <w:sz w:val="18"/>
                <w:szCs w:val="18"/>
              </w:rPr>
              <w:t>,</w:t>
            </w:r>
            <w:r w:rsidRPr="00236F16">
              <w:rPr>
                <w:sz w:val="18"/>
                <w:szCs w:val="18"/>
              </w:rPr>
              <w:t xml:space="preserve"> “Instrumen Keuangan: Pengakuan dan Pengukuran”</w:t>
            </w:r>
            <w:r w:rsidR="002523B0">
              <w:rPr>
                <w:sz w:val="18"/>
                <w:szCs w:val="18"/>
              </w:rPr>
              <w:t>,</w:t>
            </w:r>
            <w:r w:rsidRPr="00236F16">
              <w:rPr>
                <w:sz w:val="18"/>
                <w:szCs w:val="18"/>
              </w:rPr>
              <w:t xml:space="preserve"> dan untuk mengungkapkan informasi tentang instrumen keuangan di PSAK No. 60</w:t>
            </w:r>
            <w:r w:rsidRPr="00236F16">
              <w:rPr>
                <w:sz w:val="18"/>
                <w:szCs w:val="18"/>
              </w:rPr>
              <w:br/>
              <w:t>(Revisi 2014)</w:t>
            </w:r>
            <w:r w:rsidR="002523B0">
              <w:rPr>
                <w:sz w:val="18"/>
                <w:szCs w:val="18"/>
              </w:rPr>
              <w:t>,</w:t>
            </w:r>
            <w:r w:rsidRPr="00236F16">
              <w:rPr>
                <w:sz w:val="18"/>
                <w:szCs w:val="18"/>
              </w:rPr>
              <w:t xml:space="preserve"> “Instrumen Keuangan: Pengungkapan”.</w:t>
            </w:r>
          </w:p>
        </w:tc>
        <w:tc>
          <w:tcPr>
            <w:tcW w:w="4598" w:type="dxa"/>
            <w:tcBorders>
              <w:top w:val="nil"/>
              <w:left w:val="nil"/>
              <w:bottom w:val="nil"/>
              <w:right w:val="nil"/>
            </w:tcBorders>
          </w:tcPr>
          <w:p w14:paraId="19E15D79" w14:textId="25B49619" w:rsidR="00276295" w:rsidRPr="00236F16" w:rsidRDefault="00276295" w:rsidP="002523B0">
            <w:pPr>
              <w:tabs>
                <w:tab w:val="left" w:pos="5590"/>
                <w:tab w:val="right" w:pos="7620"/>
                <w:tab w:val="right" w:pos="9460"/>
                <w:tab w:val="right" w:pos="10080"/>
              </w:tabs>
              <w:ind w:left="567" w:right="-57"/>
              <w:jc w:val="both"/>
              <w:rPr>
                <w:i/>
                <w:sz w:val="18"/>
                <w:szCs w:val="18"/>
              </w:rPr>
            </w:pPr>
            <w:r w:rsidRPr="00236F16">
              <w:rPr>
                <w:i/>
                <w:sz w:val="18"/>
                <w:szCs w:val="18"/>
              </w:rPr>
              <w:t>The principles in this standard complement the principles for recognizing and measuring financial assets and financial liabilities in PSAK No. 55 (Revised 2014)</w:t>
            </w:r>
            <w:r w:rsidR="002523B0">
              <w:rPr>
                <w:i/>
                <w:sz w:val="18"/>
                <w:szCs w:val="18"/>
              </w:rPr>
              <w:t>,</w:t>
            </w:r>
            <w:r w:rsidRPr="00236F16">
              <w:rPr>
                <w:i/>
                <w:sz w:val="18"/>
                <w:szCs w:val="18"/>
              </w:rPr>
              <w:t xml:space="preserve"> “Financial Instruments: Recognition and Measurement”</w:t>
            </w:r>
            <w:r w:rsidR="002523B0">
              <w:rPr>
                <w:i/>
                <w:sz w:val="18"/>
                <w:szCs w:val="18"/>
              </w:rPr>
              <w:t>,</w:t>
            </w:r>
            <w:r w:rsidRPr="00236F16">
              <w:rPr>
                <w:i/>
                <w:sz w:val="18"/>
                <w:szCs w:val="18"/>
              </w:rPr>
              <w:t xml:space="preserve"> and for disclosing information about them in PSAK No. 60 (Revised 2014)</w:t>
            </w:r>
            <w:r w:rsidR="002523B0">
              <w:rPr>
                <w:i/>
                <w:sz w:val="18"/>
                <w:szCs w:val="18"/>
              </w:rPr>
              <w:t>,</w:t>
            </w:r>
            <w:r w:rsidRPr="00236F16">
              <w:rPr>
                <w:i/>
                <w:sz w:val="18"/>
                <w:szCs w:val="18"/>
              </w:rPr>
              <w:t xml:space="preserve"> “Financial Instruments: Disclosures”.</w:t>
            </w:r>
          </w:p>
        </w:tc>
      </w:tr>
    </w:tbl>
    <w:p w14:paraId="3B2916B7" w14:textId="64A16425" w:rsidR="00276295" w:rsidRPr="0013526B" w:rsidRDefault="00276295" w:rsidP="0013526B">
      <w:pPr>
        <w:rPr>
          <w:sz w:val="18"/>
          <w:szCs w:val="18"/>
        </w:rPr>
      </w:pPr>
      <w:r>
        <w:rPr>
          <w:sz w:val="18"/>
          <w:szCs w:val="18"/>
        </w:rPr>
        <w:br w:type="page"/>
      </w:r>
    </w:p>
    <w:tbl>
      <w:tblPr>
        <w:tblW w:w="9197" w:type="dxa"/>
        <w:tblInd w:w="392" w:type="dxa"/>
        <w:tblLayout w:type="fixed"/>
        <w:tblLook w:val="0000" w:firstRow="0" w:lastRow="0" w:firstColumn="0" w:lastColumn="0" w:noHBand="0" w:noVBand="0"/>
      </w:tblPr>
      <w:tblGrid>
        <w:gridCol w:w="4599"/>
        <w:gridCol w:w="4598"/>
      </w:tblGrid>
      <w:tr w:rsidR="00147A84" w:rsidRPr="00236F16" w14:paraId="580342B2" w14:textId="77777777" w:rsidTr="00276295">
        <w:tc>
          <w:tcPr>
            <w:tcW w:w="4599" w:type="dxa"/>
          </w:tcPr>
          <w:p w14:paraId="2675C581" w14:textId="5134C40E" w:rsidR="00147A84" w:rsidRPr="00236F16" w:rsidRDefault="001102F9" w:rsidP="005F361E">
            <w:pPr>
              <w:pStyle w:val="ListParagraph"/>
              <w:numPr>
                <w:ilvl w:val="0"/>
                <w:numId w:val="62"/>
              </w:numPr>
              <w:ind w:left="284" w:right="-57" w:hanging="284"/>
              <w:contextualSpacing/>
              <w:jc w:val="both"/>
              <w:rPr>
                <w:rStyle w:val="hps"/>
                <w:b/>
                <w:sz w:val="18"/>
                <w:szCs w:val="18"/>
              </w:rPr>
            </w:pPr>
            <w:r w:rsidRPr="0013526B">
              <w:rPr>
                <w:sz w:val="18"/>
                <w:szCs w:val="18"/>
              </w:rPr>
              <w:lastRenderedPageBreak/>
              <w:br w:type="page"/>
            </w:r>
            <w:r w:rsidR="00D81BAE" w:rsidRPr="0013526B">
              <w:rPr>
                <w:sz w:val="18"/>
                <w:szCs w:val="18"/>
              </w:rPr>
              <w:br w:type="page"/>
            </w:r>
            <w:r w:rsidR="00147A84" w:rsidRPr="00236F16">
              <w:rPr>
                <w:rStyle w:val="hps"/>
                <w:b/>
                <w:sz w:val="18"/>
                <w:szCs w:val="18"/>
              </w:rPr>
              <w:t xml:space="preserve">IKHTISAR KEBIJAKAN AKUNTANSI </w:t>
            </w:r>
            <w:r w:rsidR="00C85EDE" w:rsidRPr="00236F16">
              <w:rPr>
                <w:rStyle w:val="hps"/>
                <w:b/>
                <w:sz w:val="18"/>
                <w:szCs w:val="18"/>
                <w:lang w:val="id-ID"/>
              </w:rPr>
              <w:t xml:space="preserve">YANG </w:t>
            </w:r>
            <w:r w:rsidR="00147A84" w:rsidRPr="00236F16">
              <w:rPr>
                <w:rStyle w:val="hps"/>
                <w:b/>
                <w:sz w:val="18"/>
                <w:szCs w:val="18"/>
              </w:rPr>
              <w:t xml:space="preserve">PENTING </w:t>
            </w:r>
            <w:r w:rsidR="00F43772">
              <w:rPr>
                <w:rStyle w:val="hps"/>
                <w:b/>
                <w:sz w:val="18"/>
                <w:szCs w:val="18"/>
              </w:rPr>
              <w:t>–</w:t>
            </w:r>
            <w:r w:rsidR="00147A84" w:rsidRPr="00236F16">
              <w:rPr>
                <w:rStyle w:val="hps"/>
                <w:b/>
                <w:sz w:val="18"/>
                <w:szCs w:val="18"/>
              </w:rPr>
              <w:t xml:space="preserve"> Lanjutan</w:t>
            </w:r>
          </w:p>
        </w:tc>
        <w:tc>
          <w:tcPr>
            <w:tcW w:w="4598" w:type="dxa"/>
          </w:tcPr>
          <w:p w14:paraId="0F26A136" w14:textId="77777777" w:rsidR="00147A84" w:rsidRPr="00236F16" w:rsidRDefault="00147A84" w:rsidP="005F361E">
            <w:pPr>
              <w:pStyle w:val="ListParagraph"/>
              <w:numPr>
                <w:ilvl w:val="0"/>
                <w:numId w:val="63"/>
              </w:numPr>
              <w:ind w:left="284" w:right="-57" w:hanging="284"/>
              <w:contextualSpacing/>
              <w:jc w:val="both"/>
              <w:rPr>
                <w:b/>
                <w:bCs w:val="0"/>
                <w:i/>
                <w:sz w:val="18"/>
                <w:szCs w:val="18"/>
              </w:rPr>
            </w:pPr>
            <w:r w:rsidRPr="00236F16">
              <w:rPr>
                <w:b/>
                <w:i/>
                <w:sz w:val="18"/>
                <w:szCs w:val="18"/>
              </w:rPr>
              <w:t xml:space="preserve">SUMMARY OF SIGNIFICANT ACCOUNTING POLICIES </w:t>
            </w:r>
            <w:r w:rsidR="00037369" w:rsidRPr="00236F16">
              <w:rPr>
                <w:b/>
                <w:i/>
                <w:sz w:val="18"/>
                <w:szCs w:val="18"/>
              </w:rPr>
              <w:t>-</w:t>
            </w:r>
            <w:r w:rsidRPr="00236F16">
              <w:rPr>
                <w:b/>
                <w:i/>
                <w:sz w:val="18"/>
                <w:szCs w:val="18"/>
              </w:rPr>
              <w:t xml:space="preserve"> Continued</w:t>
            </w:r>
          </w:p>
        </w:tc>
      </w:tr>
      <w:tr w:rsidR="00147A84" w:rsidRPr="00236F16" w14:paraId="3CE1D578" w14:textId="77777777" w:rsidTr="00276295">
        <w:tc>
          <w:tcPr>
            <w:tcW w:w="4599" w:type="dxa"/>
          </w:tcPr>
          <w:p w14:paraId="10229BB5" w14:textId="77777777" w:rsidR="00147A84" w:rsidRPr="00236F16" w:rsidRDefault="00147A84" w:rsidP="0013526B">
            <w:pPr>
              <w:tabs>
                <w:tab w:val="left" w:pos="1020"/>
              </w:tabs>
              <w:ind w:left="1134"/>
              <w:jc w:val="both"/>
              <w:rPr>
                <w:rStyle w:val="hps"/>
                <w:sz w:val="18"/>
                <w:szCs w:val="18"/>
              </w:rPr>
            </w:pPr>
          </w:p>
        </w:tc>
        <w:tc>
          <w:tcPr>
            <w:tcW w:w="4598" w:type="dxa"/>
          </w:tcPr>
          <w:p w14:paraId="1ABC1798" w14:textId="77777777" w:rsidR="00147A84" w:rsidRPr="00236F16" w:rsidRDefault="00147A84" w:rsidP="0013526B">
            <w:pPr>
              <w:ind w:left="1134"/>
              <w:jc w:val="both"/>
              <w:rPr>
                <w:bCs w:val="0"/>
                <w:i/>
                <w:sz w:val="18"/>
                <w:szCs w:val="18"/>
              </w:rPr>
            </w:pPr>
          </w:p>
        </w:tc>
      </w:tr>
      <w:tr w:rsidR="00276295" w:rsidRPr="00236F16" w14:paraId="57063BAA" w14:textId="77777777" w:rsidTr="00D215E4">
        <w:tc>
          <w:tcPr>
            <w:tcW w:w="4599" w:type="dxa"/>
          </w:tcPr>
          <w:p w14:paraId="46BCBB1B" w14:textId="72579FA4" w:rsidR="00276295" w:rsidRPr="00236F16" w:rsidRDefault="00276295" w:rsidP="00070D1F">
            <w:pPr>
              <w:pStyle w:val="ListParagraph"/>
              <w:numPr>
                <w:ilvl w:val="0"/>
                <w:numId w:val="338"/>
              </w:numPr>
              <w:ind w:left="545"/>
              <w:contextualSpacing/>
              <w:jc w:val="both"/>
              <w:rPr>
                <w:b/>
                <w:bCs w:val="0"/>
                <w:sz w:val="18"/>
                <w:szCs w:val="18"/>
              </w:rPr>
            </w:pPr>
            <w:r w:rsidRPr="00236F16">
              <w:rPr>
                <w:b/>
                <w:bCs w:val="0"/>
                <w:sz w:val="18"/>
                <w:szCs w:val="18"/>
              </w:rPr>
              <w:t>Instrumen Keuangan - Lanjutan</w:t>
            </w:r>
          </w:p>
        </w:tc>
        <w:tc>
          <w:tcPr>
            <w:tcW w:w="4598" w:type="dxa"/>
          </w:tcPr>
          <w:p w14:paraId="5162D15A" w14:textId="41B9AD6A" w:rsidR="00276295" w:rsidRPr="00A64AB2" w:rsidRDefault="00276295" w:rsidP="00070D1F">
            <w:pPr>
              <w:pStyle w:val="ListParagraph"/>
              <w:numPr>
                <w:ilvl w:val="0"/>
                <w:numId w:val="339"/>
              </w:numPr>
              <w:ind w:left="576"/>
              <w:contextualSpacing/>
              <w:jc w:val="both"/>
              <w:rPr>
                <w:b/>
                <w:bCs w:val="0"/>
                <w:i/>
                <w:iCs/>
                <w:sz w:val="18"/>
                <w:szCs w:val="18"/>
              </w:rPr>
            </w:pPr>
            <w:r w:rsidRPr="00A64AB2">
              <w:rPr>
                <w:b/>
                <w:bCs w:val="0"/>
                <w:i/>
                <w:iCs/>
                <w:sz w:val="18"/>
                <w:szCs w:val="18"/>
              </w:rPr>
              <w:t>Financial Instruments - Continued</w:t>
            </w:r>
          </w:p>
        </w:tc>
      </w:tr>
      <w:tr w:rsidR="00276295" w:rsidRPr="00236F16" w14:paraId="3BE5844E" w14:textId="77777777" w:rsidTr="00276295">
        <w:tc>
          <w:tcPr>
            <w:tcW w:w="4599" w:type="dxa"/>
          </w:tcPr>
          <w:p w14:paraId="73CB5008" w14:textId="77777777" w:rsidR="00276295" w:rsidRPr="00236F16" w:rsidRDefault="00276295" w:rsidP="0013526B">
            <w:pPr>
              <w:tabs>
                <w:tab w:val="left" w:pos="1020"/>
              </w:tabs>
              <w:ind w:left="1134"/>
              <w:jc w:val="both"/>
              <w:rPr>
                <w:rStyle w:val="hps"/>
                <w:sz w:val="18"/>
                <w:szCs w:val="18"/>
              </w:rPr>
            </w:pPr>
          </w:p>
        </w:tc>
        <w:tc>
          <w:tcPr>
            <w:tcW w:w="4598" w:type="dxa"/>
          </w:tcPr>
          <w:p w14:paraId="59CA2B21" w14:textId="77777777" w:rsidR="00276295" w:rsidRPr="00236F16" w:rsidRDefault="00276295" w:rsidP="0013526B">
            <w:pPr>
              <w:ind w:left="1134"/>
              <w:jc w:val="both"/>
              <w:rPr>
                <w:bCs w:val="0"/>
                <w:i/>
                <w:sz w:val="18"/>
                <w:szCs w:val="18"/>
              </w:rPr>
            </w:pPr>
          </w:p>
        </w:tc>
      </w:tr>
      <w:tr w:rsidR="008B2957" w:rsidRPr="00236F16" w14:paraId="551DC466" w14:textId="77777777" w:rsidTr="00276295">
        <w:tc>
          <w:tcPr>
            <w:tcW w:w="4599" w:type="dxa"/>
            <w:tcBorders>
              <w:top w:val="nil"/>
              <w:left w:val="nil"/>
              <w:bottom w:val="nil"/>
              <w:right w:val="nil"/>
            </w:tcBorders>
          </w:tcPr>
          <w:p w14:paraId="602D13F6" w14:textId="387DE29D" w:rsidR="008B2957" w:rsidRPr="00236F16" w:rsidRDefault="008B2957" w:rsidP="00147D9A">
            <w:pPr>
              <w:ind w:left="567" w:right="-57"/>
              <w:jc w:val="both"/>
              <w:rPr>
                <w:sz w:val="18"/>
                <w:szCs w:val="18"/>
                <w:lang w:val="id-ID"/>
              </w:rPr>
            </w:pPr>
            <w:r w:rsidRPr="00236F16">
              <w:rPr>
                <w:sz w:val="18"/>
                <w:szCs w:val="18"/>
              </w:rPr>
              <w:t>PSAK No. 55 (Revisi 2014) berkaitan dengan</w:t>
            </w:r>
            <w:r w:rsidR="00870FD0">
              <w:rPr>
                <w:sz w:val="18"/>
                <w:szCs w:val="18"/>
              </w:rPr>
              <w:t>.</w:t>
            </w:r>
            <w:r w:rsidRPr="00236F16">
              <w:rPr>
                <w:sz w:val="18"/>
                <w:szCs w:val="18"/>
              </w:rPr>
              <w:t xml:space="preserve"> </w:t>
            </w:r>
            <w:proofErr w:type="gramStart"/>
            <w:r w:rsidRPr="00236F16">
              <w:rPr>
                <w:sz w:val="18"/>
                <w:szCs w:val="18"/>
              </w:rPr>
              <w:t>antara</w:t>
            </w:r>
            <w:proofErr w:type="gramEnd"/>
            <w:r w:rsidRPr="00236F16">
              <w:rPr>
                <w:sz w:val="18"/>
                <w:szCs w:val="18"/>
              </w:rPr>
              <w:t xml:space="preserve"> lain</w:t>
            </w:r>
            <w:r w:rsidR="00147D9A">
              <w:rPr>
                <w:sz w:val="18"/>
                <w:szCs w:val="18"/>
              </w:rPr>
              <w:t>,</w:t>
            </w:r>
            <w:r w:rsidRPr="00236F16">
              <w:rPr>
                <w:sz w:val="18"/>
                <w:szCs w:val="18"/>
              </w:rPr>
              <w:t xml:space="preserve"> pengakuan awal dari aset dan liabilitas keuangan</w:t>
            </w:r>
            <w:r w:rsidR="00147D9A">
              <w:rPr>
                <w:sz w:val="18"/>
                <w:szCs w:val="18"/>
              </w:rPr>
              <w:t>,</w:t>
            </w:r>
            <w:r w:rsidRPr="00236F16">
              <w:rPr>
                <w:sz w:val="18"/>
                <w:szCs w:val="18"/>
              </w:rPr>
              <w:t xml:space="preserve"> pengukuran setelah pengakuan awal</w:t>
            </w:r>
            <w:r w:rsidR="00147D9A">
              <w:rPr>
                <w:sz w:val="18"/>
                <w:szCs w:val="18"/>
              </w:rPr>
              <w:t>,</w:t>
            </w:r>
            <w:r w:rsidRPr="00236F16">
              <w:rPr>
                <w:sz w:val="18"/>
                <w:szCs w:val="18"/>
              </w:rPr>
              <w:t xml:space="preserve"> penurunan nilai</w:t>
            </w:r>
            <w:r w:rsidR="00147D9A">
              <w:rPr>
                <w:sz w:val="18"/>
                <w:szCs w:val="18"/>
              </w:rPr>
              <w:t>,</w:t>
            </w:r>
            <w:r w:rsidRPr="00236F16">
              <w:rPr>
                <w:sz w:val="18"/>
                <w:szCs w:val="18"/>
              </w:rPr>
              <w:t xml:space="preserve"> penghentian pengakuan</w:t>
            </w:r>
            <w:r w:rsidR="00870FD0">
              <w:rPr>
                <w:sz w:val="18"/>
                <w:szCs w:val="18"/>
              </w:rPr>
              <w:t>.</w:t>
            </w:r>
            <w:r w:rsidRPr="00236F16">
              <w:rPr>
                <w:sz w:val="18"/>
                <w:szCs w:val="18"/>
              </w:rPr>
              <w:t xml:space="preserve"> </w:t>
            </w:r>
            <w:proofErr w:type="gramStart"/>
            <w:r w:rsidRPr="00236F16">
              <w:rPr>
                <w:sz w:val="18"/>
                <w:szCs w:val="18"/>
              </w:rPr>
              <w:t>dan</w:t>
            </w:r>
            <w:proofErr w:type="gramEnd"/>
            <w:r w:rsidRPr="00236F16">
              <w:rPr>
                <w:sz w:val="18"/>
                <w:szCs w:val="18"/>
              </w:rPr>
              <w:t xml:space="preserve"> akuntansi lindung nilai.</w:t>
            </w:r>
          </w:p>
        </w:tc>
        <w:tc>
          <w:tcPr>
            <w:tcW w:w="4598" w:type="dxa"/>
            <w:tcBorders>
              <w:top w:val="nil"/>
              <w:left w:val="nil"/>
              <w:bottom w:val="nil"/>
              <w:right w:val="nil"/>
            </w:tcBorders>
          </w:tcPr>
          <w:p w14:paraId="3C63A0D4" w14:textId="48A7302A" w:rsidR="008B2957" w:rsidRPr="00236F16" w:rsidRDefault="008B2957" w:rsidP="00147D9A">
            <w:pPr>
              <w:tabs>
                <w:tab w:val="left" w:pos="5590"/>
                <w:tab w:val="right" w:pos="7620"/>
                <w:tab w:val="right" w:pos="9460"/>
                <w:tab w:val="right" w:pos="10080"/>
              </w:tabs>
              <w:ind w:left="567" w:right="-57"/>
              <w:jc w:val="both"/>
              <w:rPr>
                <w:i/>
                <w:sz w:val="18"/>
                <w:szCs w:val="18"/>
              </w:rPr>
            </w:pPr>
            <w:r w:rsidRPr="00236F16">
              <w:rPr>
                <w:i/>
                <w:sz w:val="18"/>
                <w:szCs w:val="18"/>
              </w:rPr>
              <w:t>PSAK No. 55 (Revised 2014) deals with</w:t>
            </w:r>
            <w:r w:rsidR="00870FD0">
              <w:rPr>
                <w:i/>
                <w:sz w:val="18"/>
                <w:szCs w:val="18"/>
              </w:rPr>
              <w:t>.</w:t>
            </w:r>
            <w:r w:rsidRPr="00236F16">
              <w:rPr>
                <w:i/>
                <w:sz w:val="18"/>
                <w:szCs w:val="18"/>
              </w:rPr>
              <w:t xml:space="preserve"> </w:t>
            </w:r>
            <w:proofErr w:type="gramStart"/>
            <w:r w:rsidRPr="00236F16">
              <w:rPr>
                <w:i/>
                <w:sz w:val="18"/>
                <w:szCs w:val="18"/>
              </w:rPr>
              <w:t>among</w:t>
            </w:r>
            <w:proofErr w:type="gramEnd"/>
            <w:r w:rsidRPr="00236F16">
              <w:rPr>
                <w:i/>
                <w:sz w:val="18"/>
                <w:szCs w:val="18"/>
              </w:rPr>
              <w:t xml:space="preserve"> other things</w:t>
            </w:r>
            <w:r w:rsidR="00147D9A">
              <w:rPr>
                <w:i/>
                <w:sz w:val="18"/>
                <w:szCs w:val="18"/>
              </w:rPr>
              <w:t>,</w:t>
            </w:r>
            <w:r w:rsidRPr="00236F16">
              <w:rPr>
                <w:i/>
                <w:sz w:val="18"/>
                <w:szCs w:val="18"/>
              </w:rPr>
              <w:t xml:space="preserve"> initial recognition of financial assets and liabilities</w:t>
            </w:r>
            <w:r w:rsidR="00147D9A">
              <w:rPr>
                <w:i/>
                <w:sz w:val="18"/>
                <w:szCs w:val="18"/>
              </w:rPr>
              <w:t>,</w:t>
            </w:r>
            <w:r w:rsidRPr="00236F16">
              <w:rPr>
                <w:i/>
                <w:sz w:val="18"/>
                <w:szCs w:val="18"/>
              </w:rPr>
              <w:t xml:space="preserve"> measurement subsequent to initial recognition</w:t>
            </w:r>
            <w:r w:rsidR="00147D9A">
              <w:rPr>
                <w:i/>
                <w:sz w:val="18"/>
                <w:szCs w:val="18"/>
              </w:rPr>
              <w:t>,</w:t>
            </w:r>
            <w:r w:rsidRPr="00236F16">
              <w:rPr>
                <w:i/>
                <w:sz w:val="18"/>
                <w:szCs w:val="18"/>
              </w:rPr>
              <w:t xml:space="preserve"> impairment</w:t>
            </w:r>
            <w:r w:rsidR="00147D9A">
              <w:rPr>
                <w:i/>
                <w:sz w:val="18"/>
                <w:szCs w:val="18"/>
              </w:rPr>
              <w:t>,</w:t>
            </w:r>
            <w:r w:rsidRPr="00236F16">
              <w:rPr>
                <w:i/>
                <w:sz w:val="18"/>
                <w:szCs w:val="18"/>
              </w:rPr>
              <w:t xml:space="preserve"> derecognition</w:t>
            </w:r>
            <w:r w:rsidR="00147D9A">
              <w:rPr>
                <w:i/>
                <w:sz w:val="18"/>
                <w:szCs w:val="18"/>
              </w:rPr>
              <w:t>,</w:t>
            </w:r>
            <w:r w:rsidRPr="00236F16">
              <w:rPr>
                <w:i/>
                <w:sz w:val="18"/>
                <w:szCs w:val="18"/>
              </w:rPr>
              <w:t xml:space="preserve"> and hedge accounting.</w:t>
            </w:r>
          </w:p>
        </w:tc>
      </w:tr>
      <w:tr w:rsidR="008B2957" w:rsidRPr="00236F16" w14:paraId="436D3CF5" w14:textId="77777777" w:rsidTr="00276295">
        <w:tc>
          <w:tcPr>
            <w:tcW w:w="4599" w:type="dxa"/>
            <w:tcBorders>
              <w:top w:val="nil"/>
              <w:left w:val="nil"/>
              <w:bottom w:val="nil"/>
              <w:right w:val="nil"/>
            </w:tcBorders>
          </w:tcPr>
          <w:p w14:paraId="72045FA8" w14:textId="77777777" w:rsidR="008B2957" w:rsidRPr="00236F16" w:rsidRDefault="008B2957" w:rsidP="0013526B">
            <w:pPr>
              <w:ind w:left="357" w:right="-57"/>
              <w:jc w:val="both"/>
              <w:rPr>
                <w:sz w:val="18"/>
                <w:szCs w:val="18"/>
              </w:rPr>
            </w:pPr>
          </w:p>
        </w:tc>
        <w:tc>
          <w:tcPr>
            <w:tcW w:w="4598" w:type="dxa"/>
            <w:tcBorders>
              <w:top w:val="nil"/>
              <w:left w:val="nil"/>
              <w:bottom w:val="nil"/>
              <w:right w:val="nil"/>
            </w:tcBorders>
          </w:tcPr>
          <w:p w14:paraId="2CD6B1BC" w14:textId="77777777" w:rsidR="008B2957" w:rsidRPr="00236F16" w:rsidRDefault="008B2957" w:rsidP="0013526B">
            <w:pPr>
              <w:ind w:left="357" w:right="-57"/>
              <w:jc w:val="both"/>
              <w:rPr>
                <w:i/>
                <w:sz w:val="18"/>
                <w:szCs w:val="18"/>
              </w:rPr>
            </w:pPr>
          </w:p>
        </w:tc>
      </w:tr>
      <w:tr w:rsidR="008B2957" w:rsidRPr="0013526B" w14:paraId="69DF7743" w14:textId="77777777" w:rsidTr="00276295">
        <w:tc>
          <w:tcPr>
            <w:tcW w:w="4599" w:type="dxa"/>
            <w:tcBorders>
              <w:top w:val="nil"/>
              <w:left w:val="nil"/>
              <w:bottom w:val="nil"/>
              <w:right w:val="nil"/>
            </w:tcBorders>
          </w:tcPr>
          <w:p w14:paraId="50C85DAB" w14:textId="29404059" w:rsidR="008B2957" w:rsidRPr="00236F16" w:rsidRDefault="008B2957" w:rsidP="00147D9A">
            <w:pPr>
              <w:ind w:left="567" w:right="-57"/>
              <w:jc w:val="both"/>
              <w:rPr>
                <w:sz w:val="18"/>
                <w:szCs w:val="18"/>
              </w:rPr>
            </w:pPr>
            <w:r w:rsidRPr="00236F16">
              <w:rPr>
                <w:sz w:val="18"/>
                <w:szCs w:val="18"/>
              </w:rPr>
              <w:t>PSAK No. 60 (Revisi 2014) mensyaratkan pengungkapan kuantitatif dan kualitatif dalam laporan keuangan yang memungkinkan para pengguna untuk mengevaluasi signifikansi instrumen keuangan atas posisi dan kinerja keuangan</w:t>
            </w:r>
            <w:r w:rsidR="00147D9A">
              <w:rPr>
                <w:sz w:val="18"/>
                <w:szCs w:val="18"/>
              </w:rPr>
              <w:t>,</w:t>
            </w:r>
            <w:r w:rsidRPr="00236F16">
              <w:rPr>
                <w:sz w:val="18"/>
                <w:szCs w:val="18"/>
              </w:rPr>
              <w:t xml:space="preserve"> dan sifat dan tingkat risiko yang timbul dari instrumen keuangan yang mana </w:t>
            </w:r>
            <w:r w:rsidR="00716854" w:rsidRPr="00236F16">
              <w:rPr>
                <w:sz w:val="18"/>
                <w:szCs w:val="18"/>
                <w:lang w:val="id-ID"/>
              </w:rPr>
              <w:t>Kelompok Usaha</w:t>
            </w:r>
            <w:r w:rsidRPr="00236F16">
              <w:rPr>
                <w:sz w:val="18"/>
                <w:szCs w:val="18"/>
              </w:rPr>
              <w:t xml:space="preserve"> adalah terekspos selama periode dan pada akhir periode pelaporan dan bagaimana </w:t>
            </w:r>
            <w:r w:rsidR="00716854" w:rsidRPr="00236F16">
              <w:rPr>
                <w:sz w:val="18"/>
                <w:szCs w:val="18"/>
                <w:lang w:val="id-ID"/>
              </w:rPr>
              <w:t xml:space="preserve">Kelompok Usaha </w:t>
            </w:r>
            <w:r w:rsidRPr="00236F16">
              <w:rPr>
                <w:sz w:val="18"/>
                <w:szCs w:val="18"/>
              </w:rPr>
              <w:t>mengelola risiko-risiko tersebut. Selain itu</w:t>
            </w:r>
            <w:r w:rsidR="00147D9A">
              <w:rPr>
                <w:sz w:val="18"/>
                <w:szCs w:val="18"/>
              </w:rPr>
              <w:t>,</w:t>
            </w:r>
            <w:r w:rsidRPr="00236F16">
              <w:rPr>
                <w:sz w:val="18"/>
                <w:szCs w:val="18"/>
              </w:rPr>
              <w:t xml:space="preserve"> standar ini menjelaskan persyaratan untuk pengungkapan risiko likuiditas.</w:t>
            </w:r>
          </w:p>
        </w:tc>
        <w:tc>
          <w:tcPr>
            <w:tcW w:w="4598" w:type="dxa"/>
            <w:tcBorders>
              <w:top w:val="nil"/>
              <w:left w:val="nil"/>
              <w:bottom w:val="nil"/>
              <w:right w:val="nil"/>
            </w:tcBorders>
          </w:tcPr>
          <w:p w14:paraId="31BE3AB8" w14:textId="58665602" w:rsidR="008B2957" w:rsidRPr="0013526B" w:rsidRDefault="008B2957" w:rsidP="00147D9A">
            <w:pPr>
              <w:tabs>
                <w:tab w:val="left" w:pos="5590"/>
                <w:tab w:val="right" w:pos="7620"/>
                <w:tab w:val="right" w:pos="9460"/>
                <w:tab w:val="right" w:pos="10080"/>
              </w:tabs>
              <w:ind w:left="567" w:right="-57"/>
              <w:jc w:val="both"/>
              <w:rPr>
                <w:i/>
                <w:sz w:val="18"/>
                <w:szCs w:val="18"/>
              </w:rPr>
            </w:pPr>
            <w:r w:rsidRPr="00236F16">
              <w:rPr>
                <w:i/>
                <w:sz w:val="18"/>
                <w:szCs w:val="18"/>
              </w:rPr>
              <w:t>PSAK No. 60 (Revised 2014) requires quantitative and qualitative disclosures in the financial statements that enable users to evaluate the significance of financial instruments on the financial position and performance</w:t>
            </w:r>
            <w:r w:rsidR="00147D9A">
              <w:rPr>
                <w:i/>
                <w:sz w:val="18"/>
                <w:szCs w:val="18"/>
              </w:rPr>
              <w:t>,</w:t>
            </w:r>
            <w:r w:rsidRPr="00236F16">
              <w:rPr>
                <w:i/>
                <w:sz w:val="18"/>
                <w:szCs w:val="18"/>
              </w:rPr>
              <w:t xml:space="preserve"> and the nature and extent of risks arising from financial instruments to which the </w:t>
            </w:r>
            <w:r w:rsidR="00716854" w:rsidRPr="00236F16">
              <w:rPr>
                <w:i/>
                <w:sz w:val="18"/>
                <w:szCs w:val="18"/>
                <w:lang w:val="id-ID"/>
              </w:rPr>
              <w:t>Group</w:t>
            </w:r>
            <w:r w:rsidRPr="00236F16">
              <w:rPr>
                <w:i/>
                <w:sz w:val="18"/>
                <w:szCs w:val="18"/>
              </w:rPr>
              <w:t xml:space="preserve"> is exposed during the period and at the end of the reporting period and how the </w:t>
            </w:r>
            <w:r w:rsidR="00716854" w:rsidRPr="00236F16">
              <w:rPr>
                <w:i/>
                <w:sz w:val="18"/>
                <w:szCs w:val="18"/>
                <w:lang w:val="id-ID"/>
              </w:rPr>
              <w:t>Group</w:t>
            </w:r>
            <w:r w:rsidRPr="00236F16">
              <w:rPr>
                <w:i/>
                <w:sz w:val="18"/>
                <w:szCs w:val="18"/>
              </w:rPr>
              <w:t xml:space="preserve"> manages such risks. In addition</w:t>
            </w:r>
            <w:r w:rsidR="00147D9A">
              <w:rPr>
                <w:i/>
                <w:sz w:val="18"/>
                <w:szCs w:val="18"/>
              </w:rPr>
              <w:t>,</w:t>
            </w:r>
            <w:r w:rsidRPr="00236F16">
              <w:rPr>
                <w:i/>
                <w:sz w:val="18"/>
                <w:szCs w:val="18"/>
              </w:rPr>
              <w:t xml:space="preserve"> this standard describes the requirement for disclosure of liquidity risk.</w:t>
            </w:r>
          </w:p>
        </w:tc>
      </w:tr>
    </w:tbl>
    <w:p w14:paraId="3CEF3E0D" w14:textId="77777777" w:rsidR="008B2957" w:rsidRPr="0013526B" w:rsidRDefault="008B2957" w:rsidP="0013526B">
      <w:pPr>
        <w:rPr>
          <w:sz w:val="18"/>
          <w:szCs w:val="18"/>
        </w:rPr>
      </w:pPr>
    </w:p>
    <w:tbl>
      <w:tblPr>
        <w:tblW w:w="9197" w:type="dxa"/>
        <w:tblInd w:w="392" w:type="dxa"/>
        <w:tblLayout w:type="fixed"/>
        <w:tblLook w:val="0000" w:firstRow="0" w:lastRow="0" w:firstColumn="0" w:lastColumn="0" w:noHBand="0" w:noVBand="0"/>
      </w:tblPr>
      <w:tblGrid>
        <w:gridCol w:w="4599"/>
        <w:gridCol w:w="4598"/>
      </w:tblGrid>
      <w:tr w:rsidR="00276295" w:rsidRPr="00A928CB" w14:paraId="764FBCB3" w14:textId="77777777" w:rsidTr="00D215E4">
        <w:tc>
          <w:tcPr>
            <w:tcW w:w="4708" w:type="dxa"/>
            <w:tcBorders>
              <w:top w:val="nil"/>
              <w:left w:val="nil"/>
              <w:bottom w:val="nil"/>
              <w:right w:val="nil"/>
            </w:tcBorders>
          </w:tcPr>
          <w:p w14:paraId="0BF56937" w14:textId="77777777" w:rsidR="00276295" w:rsidRPr="00236F16" w:rsidRDefault="00276295" w:rsidP="00D215E4">
            <w:pPr>
              <w:ind w:left="567" w:right="-57"/>
              <w:jc w:val="both"/>
              <w:rPr>
                <w:sz w:val="18"/>
                <w:szCs w:val="18"/>
              </w:rPr>
            </w:pPr>
            <w:r w:rsidRPr="00236F16">
              <w:rPr>
                <w:sz w:val="18"/>
                <w:szCs w:val="18"/>
              </w:rPr>
              <w:t xml:space="preserve">ISAK No. 26 (Revisi 2014) menegaskan perlakuan di PSAK No. 55 (Revisi 2014) bahwa </w:t>
            </w:r>
            <w:r w:rsidRPr="00236F16">
              <w:rPr>
                <w:sz w:val="18"/>
                <w:szCs w:val="18"/>
                <w:lang w:val="id-ID"/>
              </w:rPr>
              <w:t>Kelompok Usaha</w:t>
            </w:r>
            <w:r w:rsidRPr="00236F16">
              <w:rPr>
                <w:sz w:val="18"/>
                <w:szCs w:val="18"/>
              </w:rPr>
              <w:t xml:space="preserve"> harus menilai apakah derivatif melekat disyaratkan untuk dipisahkan dari kontrak utama dan dicatat sebagai derivatif ketika </w:t>
            </w:r>
            <w:r w:rsidRPr="00236F16">
              <w:rPr>
                <w:sz w:val="18"/>
                <w:szCs w:val="18"/>
                <w:lang w:val="id-ID"/>
              </w:rPr>
              <w:t>Kelompok Usaha</w:t>
            </w:r>
            <w:r w:rsidRPr="00236F16">
              <w:rPr>
                <w:sz w:val="18"/>
                <w:szCs w:val="18"/>
              </w:rPr>
              <w:t xml:space="preserve"> menjadi pihak dalam kontrak tersebut.</w:t>
            </w:r>
          </w:p>
        </w:tc>
        <w:tc>
          <w:tcPr>
            <w:tcW w:w="4708" w:type="dxa"/>
            <w:tcBorders>
              <w:top w:val="nil"/>
              <w:left w:val="nil"/>
              <w:bottom w:val="nil"/>
              <w:right w:val="nil"/>
            </w:tcBorders>
          </w:tcPr>
          <w:p w14:paraId="60D213D5" w14:textId="77777777" w:rsidR="00276295" w:rsidRPr="00236F16" w:rsidRDefault="00276295" w:rsidP="00D215E4">
            <w:pPr>
              <w:tabs>
                <w:tab w:val="left" w:pos="5590"/>
                <w:tab w:val="right" w:pos="7620"/>
                <w:tab w:val="right" w:pos="9460"/>
                <w:tab w:val="right" w:pos="10080"/>
              </w:tabs>
              <w:ind w:left="567" w:right="-57"/>
              <w:jc w:val="both"/>
              <w:rPr>
                <w:i/>
                <w:sz w:val="18"/>
                <w:szCs w:val="18"/>
              </w:rPr>
            </w:pPr>
            <w:r w:rsidRPr="00236F16">
              <w:rPr>
                <w:i/>
                <w:sz w:val="18"/>
                <w:szCs w:val="18"/>
              </w:rPr>
              <w:t xml:space="preserve">ISAK No. 26 (Revised 2014) confirms the treatment in PSAK No. 55 (Revised 2014) that </w:t>
            </w:r>
            <w:r w:rsidRPr="00236F16">
              <w:rPr>
                <w:i/>
                <w:sz w:val="18"/>
                <w:szCs w:val="18"/>
                <w:lang w:val="id-ID"/>
              </w:rPr>
              <w:t xml:space="preserve">the Group </w:t>
            </w:r>
            <w:r w:rsidRPr="00236F16">
              <w:rPr>
                <w:i/>
                <w:sz w:val="18"/>
                <w:szCs w:val="18"/>
              </w:rPr>
              <w:t xml:space="preserve">should assess whether an embedded derivative is required to be separated from the host contract and accounted for as a derivative when the </w:t>
            </w:r>
            <w:r w:rsidRPr="00236F16">
              <w:rPr>
                <w:i/>
                <w:sz w:val="18"/>
                <w:szCs w:val="18"/>
                <w:lang w:val="id-ID"/>
              </w:rPr>
              <w:t>Group</w:t>
            </w:r>
            <w:r w:rsidRPr="00236F16">
              <w:rPr>
                <w:i/>
                <w:sz w:val="18"/>
                <w:szCs w:val="18"/>
              </w:rPr>
              <w:t xml:space="preserve"> first becomes</w:t>
            </w:r>
            <w:r w:rsidRPr="00236F16">
              <w:rPr>
                <w:i/>
                <w:sz w:val="18"/>
                <w:szCs w:val="18"/>
              </w:rPr>
              <w:br/>
              <w:t>a party to the contract.</w:t>
            </w:r>
          </w:p>
        </w:tc>
      </w:tr>
    </w:tbl>
    <w:p w14:paraId="412C441A" w14:textId="77777777" w:rsidR="008B2957" w:rsidRPr="0013526B" w:rsidRDefault="008B2957" w:rsidP="0013526B">
      <w:pPr>
        <w:rPr>
          <w:sz w:val="18"/>
          <w:szCs w:val="18"/>
        </w:rPr>
      </w:pPr>
    </w:p>
    <w:tbl>
      <w:tblPr>
        <w:tblW w:w="9197" w:type="dxa"/>
        <w:tblInd w:w="392" w:type="dxa"/>
        <w:tblLayout w:type="fixed"/>
        <w:tblLook w:val="0000" w:firstRow="0" w:lastRow="0" w:firstColumn="0" w:lastColumn="0" w:noHBand="0" w:noVBand="0"/>
      </w:tblPr>
      <w:tblGrid>
        <w:gridCol w:w="4599"/>
        <w:gridCol w:w="4598"/>
      </w:tblGrid>
      <w:tr w:rsidR="00276295" w:rsidRPr="00236F16" w14:paraId="0792222B" w14:textId="77777777" w:rsidTr="00D215E4">
        <w:trPr>
          <w:trHeight w:val="20"/>
        </w:trPr>
        <w:tc>
          <w:tcPr>
            <w:tcW w:w="4599" w:type="dxa"/>
            <w:tcBorders>
              <w:top w:val="nil"/>
              <w:left w:val="nil"/>
              <w:bottom w:val="nil"/>
              <w:right w:val="nil"/>
            </w:tcBorders>
          </w:tcPr>
          <w:p w14:paraId="35CD972D" w14:textId="77777777" w:rsidR="00276295" w:rsidRPr="00236F16" w:rsidRDefault="00276295" w:rsidP="00070D1F">
            <w:pPr>
              <w:pStyle w:val="Default"/>
              <w:numPr>
                <w:ilvl w:val="0"/>
                <w:numId w:val="120"/>
              </w:numPr>
              <w:ind w:left="851" w:right="-57" w:hanging="284"/>
              <w:jc w:val="both"/>
              <w:rPr>
                <w:rFonts w:ascii="Times New Roman" w:eastAsia="Times New Roman" w:hAnsi="Times New Roman" w:cs="Times New Roman"/>
                <w:b/>
                <w:bCs/>
                <w:sz w:val="18"/>
                <w:szCs w:val="18"/>
              </w:rPr>
            </w:pPr>
            <w:r w:rsidRPr="00236F16">
              <w:rPr>
                <w:rFonts w:ascii="Times New Roman" w:eastAsia="Times New Roman" w:hAnsi="Times New Roman" w:cs="Times New Roman"/>
                <w:b/>
                <w:bCs/>
                <w:sz w:val="18"/>
                <w:szCs w:val="18"/>
              </w:rPr>
              <w:t>Aset Keuangan</w:t>
            </w:r>
          </w:p>
        </w:tc>
        <w:tc>
          <w:tcPr>
            <w:tcW w:w="4598" w:type="dxa"/>
            <w:tcBorders>
              <w:top w:val="nil"/>
              <w:left w:val="nil"/>
              <w:bottom w:val="nil"/>
              <w:right w:val="nil"/>
            </w:tcBorders>
          </w:tcPr>
          <w:p w14:paraId="2B2D6540" w14:textId="77777777" w:rsidR="00276295" w:rsidRPr="00236F16" w:rsidRDefault="00276295" w:rsidP="00070D1F">
            <w:pPr>
              <w:pStyle w:val="ListParagraph"/>
              <w:numPr>
                <w:ilvl w:val="0"/>
                <w:numId w:val="121"/>
              </w:numPr>
              <w:ind w:left="851" w:right="-57" w:hanging="284"/>
              <w:jc w:val="both"/>
              <w:rPr>
                <w:b/>
                <w:bCs w:val="0"/>
                <w:i/>
                <w:sz w:val="18"/>
                <w:szCs w:val="18"/>
              </w:rPr>
            </w:pPr>
            <w:r w:rsidRPr="00236F16">
              <w:rPr>
                <w:b/>
                <w:i/>
                <w:sz w:val="18"/>
                <w:szCs w:val="18"/>
              </w:rPr>
              <w:t>Financial Assets</w:t>
            </w:r>
          </w:p>
        </w:tc>
      </w:tr>
      <w:tr w:rsidR="00276295" w:rsidRPr="00236F16" w14:paraId="56EB2E40" w14:textId="77777777" w:rsidTr="00D215E4">
        <w:trPr>
          <w:trHeight w:val="20"/>
        </w:trPr>
        <w:tc>
          <w:tcPr>
            <w:tcW w:w="4599" w:type="dxa"/>
            <w:tcBorders>
              <w:top w:val="nil"/>
              <w:left w:val="nil"/>
              <w:bottom w:val="nil"/>
              <w:right w:val="nil"/>
            </w:tcBorders>
          </w:tcPr>
          <w:p w14:paraId="0C357DE7" w14:textId="77777777" w:rsidR="00276295" w:rsidRPr="00236F16" w:rsidRDefault="00276295" w:rsidP="00D215E4">
            <w:pPr>
              <w:pStyle w:val="Default"/>
              <w:ind w:left="925" w:right="-57"/>
              <w:jc w:val="both"/>
              <w:rPr>
                <w:rFonts w:ascii="Times New Roman" w:eastAsia="Times New Roman" w:hAnsi="Times New Roman" w:cs="Times New Roman"/>
                <w:b/>
                <w:bCs/>
                <w:sz w:val="18"/>
                <w:szCs w:val="18"/>
              </w:rPr>
            </w:pPr>
          </w:p>
        </w:tc>
        <w:tc>
          <w:tcPr>
            <w:tcW w:w="4598" w:type="dxa"/>
            <w:tcBorders>
              <w:top w:val="nil"/>
              <w:left w:val="nil"/>
              <w:bottom w:val="nil"/>
              <w:right w:val="nil"/>
            </w:tcBorders>
          </w:tcPr>
          <w:p w14:paraId="7B2BB5D2" w14:textId="77777777" w:rsidR="00276295" w:rsidRPr="00236F16" w:rsidRDefault="00276295" w:rsidP="00D215E4">
            <w:pPr>
              <w:pStyle w:val="ListParagraph"/>
              <w:ind w:left="925" w:right="-57"/>
              <w:jc w:val="both"/>
              <w:rPr>
                <w:b/>
                <w:i/>
                <w:sz w:val="18"/>
                <w:szCs w:val="18"/>
              </w:rPr>
            </w:pPr>
          </w:p>
        </w:tc>
      </w:tr>
      <w:tr w:rsidR="00276295" w:rsidRPr="00236F16" w14:paraId="1819368A" w14:textId="77777777" w:rsidTr="00D215E4">
        <w:trPr>
          <w:trHeight w:val="20"/>
        </w:trPr>
        <w:tc>
          <w:tcPr>
            <w:tcW w:w="4599" w:type="dxa"/>
            <w:tcBorders>
              <w:top w:val="nil"/>
              <w:left w:val="nil"/>
              <w:bottom w:val="nil"/>
              <w:right w:val="nil"/>
            </w:tcBorders>
          </w:tcPr>
          <w:p w14:paraId="175A3BEC" w14:textId="77777777" w:rsidR="00276295" w:rsidRPr="00236F16" w:rsidRDefault="00276295" w:rsidP="00D215E4">
            <w:pPr>
              <w:ind w:left="851" w:right="-57"/>
              <w:jc w:val="both"/>
              <w:rPr>
                <w:b/>
                <w:sz w:val="18"/>
                <w:szCs w:val="18"/>
              </w:rPr>
            </w:pPr>
            <w:r w:rsidRPr="00236F16">
              <w:rPr>
                <w:b/>
                <w:sz w:val="18"/>
                <w:szCs w:val="18"/>
              </w:rPr>
              <w:t>Pengakuan dan Pengukuran Awal</w:t>
            </w:r>
          </w:p>
        </w:tc>
        <w:tc>
          <w:tcPr>
            <w:tcW w:w="4598" w:type="dxa"/>
            <w:tcBorders>
              <w:top w:val="nil"/>
              <w:left w:val="nil"/>
              <w:bottom w:val="nil"/>
              <w:right w:val="nil"/>
            </w:tcBorders>
          </w:tcPr>
          <w:p w14:paraId="7BB98B12" w14:textId="77777777" w:rsidR="00276295" w:rsidRPr="00236F16" w:rsidRDefault="00276295" w:rsidP="00D215E4">
            <w:pPr>
              <w:tabs>
                <w:tab w:val="left" w:pos="5590"/>
                <w:tab w:val="right" w:pos="7620"/>
                <w:tab w:val="right" w:pos="9460"/>
                <w:tab w:val="right" w:pos="10080"/>
              </w:tabs>
              <w:ind w:left="851" w:right="-57"/>
              <w:jc w:val="both"/>
              <w:rPr>
                <w:b/>
                <w:bCs w:val="0"/>
                <w:i/>
                <w:sz w:val="18"/>
                <w:szCs w:val="18"/>
              </w:rPr>
            </w:pPr>
            <w:r w:rsidRPr="00236F16">
              <w:rPr>
                <w:b/>
                <w:i/>
                <w:sz w:val="18"/>
                <w:szCs w:val="18"/>
              </w:rPr>
              <w:t>Initial Recognition and Measurement</w:t>
            </w:r>
          </w:p>
        </w:tc>
      </w:tr>
      <w:tr w:rsidR="00276295" w:rsidRPr="00236F16" w14:paraId="267C1B2E" w14:textId="77777777" w:rsidTr="00D215E4">
        <w:trPr>
          <w:trHeight w:val="20"/>
        </w:trPr>
        <w:tc>
          <w:tcPr>
            <w:tcW w:w="4599" w:type="dxa"/>
            <w:tcBorders>
              <w:top w:val="nil"/>
              <w:left w:val="nil"/>
              <w:bottom w:val="nil"/>
              <w:right w:val="nil"/>
            </w:tcBorders>
          </w:tcPr>
          <w:p w14:paraId="1A4E0F7F" w14:textId="77777777" w:rsidR="00276295" w:rsidRPr="00236F16" w:rsidRDefault="00276295" w:rsidP="00D215E4">
            <w:pPr>
              <w:ind w:left="522" w:right="-57"/>
              <w:jc w:val="both"/>
              <w:rPr>
                <w:bCs w:val="0"/>
                <w:sz w:val="18"/>
                <w:szCs w:val="18"/>
              </w:rPr>
            </w:pPr>
          </w:p>
        </w:tc>
        <w:tc>
          <w:tcPr>
            <w:tcW w:w="4598" w:type="dxa"/>
            <w:tcBorders>
              <w:top w:val="nil"/>
              <w:left w:val="nil"/>
              <w:bottom w:val="nil"/>
              <w:right w:val="nil"/>
            </w:tcBorders>
          </w:tcPr>
          <w:p w14:paraId="3FB539ED" w14:textId="77777777" w:rsidR="00276295" w:rsidRPr="00236F16" w:rsidRDefault="00276295" w:rsidP="00D215E4">
            <w:pPr>
              <w:tabs>
                <w:tab w:val="left" w:pos="5590"/>
                <w:tab w:val="right" w:pos="7620"/>
                <w:tab w:val="right" w:pos="9460"/>
                <w:tab w:val="right" w:pos="10080"/>
              </w:tabs>
              <w:ind w:left="651" w:right="-57"/>
              <w:jc w:val="both"/>
              <w:rPr>
                <w:bCs w:val="0"/>
                <w:i/>
                <w:sz w:val="18"/>
                <w:szCs w:val="18"/>
              </w:rPr>
            </w:pPr>
          </w:p>
        </w:tc>
      </w:tr>
      <w:tr w:rsidR="00276295" w:rsidRPr="00236F16" w14:paraId="4BFF9098" w14:textId="77777777" w:rsidTr="00D215E4">
        <w:trPr>
          <w:trHeight w:val="20"/>
        </w:trPr>
        <w:tc>
          <w:tcPr>
            <w:tcW w:w="4599" w:type="dxa"/>
            <w:tcBorders>
              <w:top w:val="nil"/>
              <w:left w:val="nil"/>
              <w:bottom w:val="nil"/>
              <w:right w:val="nil"/>
            </w:tcBorders>
          </w:tcPr>
          <w:p w14:paraId="022B84A3" w14:textId="77777777" w:rsidR="00276295" w:rsidRPr="00236F16" w:rsidRDefault="00276295" w:rsidP="00D215E4">
            <w:pPr>
              <w:ind w:left="851" w:right="-57"/>
              <w:jc w:val="both"/>
              <w:rPr>
                <w:bCs w:val="0"/>
                <w:sz w:val="18"/>
                <w:szCs w:val="18"/>
              </w:rPr>
            </w:pPr>
            <w:r w:rsidRPr="00236F16">
              <w:rPr>
                <w:sz w:val="18"/>
                <w:szCs w:val="18"/>
              </w:rPr>
              <w:t xml:space="preserve">Aset keuangan diakui pada posisi keuangan ketika </w:t>
            </w:r>
            <w:r w:rsidRPr="00236F16">
              <w:rPr>
                <w:sz w:val="18"/>
                <w:szCs w:val="18"/>
                <w:lang w:val="id-ID"/>
              </w:rPr>
              <w:t xml:space="preserve">Entitas </w:t>
            </w:r>
            <w:r w:rsidRPr="00236F16">
              <w:rPr>
                <w:sz w:val="18"/>
                <w:szCs w:val="18"/>
              </w:rPr>
              <w:t>menjadi pihak dalam provisi kontrak instrumen.</w:t>
            </w:r>
          </w:p>
        </w:tc>
        <w:tc>
          <w:tcPr>
            <w:tcW w:w="4598" w:type="dxa"/>
            <w:tcBorders>
              <w:top w:val="nil"/>
              <w:left w:val="nil"/>
              <w:bottom w:val="nil"/>
              <w:right w:val="nil"/>
            </w:tcBorders>
          </w:tcPr>
          <w:p w14:paraId="5A8C1B48" w14:textId="77777777" w:rsidR="00276295" w:rsidRPr="00236F16" w:rsidRDefault="00276295" w:rsidP="00D215E4">
            <w:pPr>
              <w:tabs>
                <w:tab w:val="left" w:pos="5590"/>
                <w:tab w:val="right" w:pos="7620"/>
                <w:tab w:val="right" w:pos="9460"/>
                <w:tab w:val="right" w:pos="10080"/>
              </w:tabs>
              <w:ind w:left="851" w:right="-57"/>
              <w:jc w:val="both"/>
              <w:rPr>
                <w:bCs w:val="0"/>
                <w:i/>
                <w:sz w:val="18"/>
                <w:szCs w:val="18"/>
              </w:rPr>
            </w:pPr>
            <w:r w:rsidRPr="00236F16">
              <w:rPr>
                <w:i/>
                <w:sz w:val="18"/>
                <w:szCs w:val="18"/>
              </w:rPr>
              <w:t xml:space="preserve">Financial assets are recognized on the financial position when the </w:t>
            </w:r>
            <w:r w:rsidRPr="00236F16">
              <w:rPr>
                <w:i/>
                <w:sz w:val="18"/>
                <w:szCs w:val="18"/>
                <w:lang w:val="id-ID"/>
              </w:rPr>
              <w:t>Entity</w:t>
            </w:r>
            <w:r w:rsidRPr="00236F16">
              <w:rPr>
                <w:i/>
                <w:sz w:val="18"/>
                <w:szCs w:val="18"/>
              </w:rPr>
              <w:t xml:space="preserve"> becomes a party to the contractual provision of the instrument.</w:t>
            </w:r>
          </w:p>
        </w:tc>
      </w:tr>
    </w:tbl>
    <w:p w14:paraId="624A317A" w14:textId="77777777" w:rsidR="00276295" w:rsidRPr="00236F16" w:rsidRDefault="00276295">
      <w:pPr>
        <w:rPr>
          <w:sz w:val="18"/>
          <w:szCs w:val="18"/>
          <w:lang w:val="id-ID"/>
        </w:rPr>
      </w:pPr>
    </w:p>
    <w:tbl>
      <w:tblPr>
        <w:tblW w:w="9197" w:type="dxa"/>
        <w:tblInd w:w="392" w:type="dxa"/>
        <w:tblLayout w:type="fixed"/>
        <w:tblLook w:val="0000" w:firstRow="0" w:lastRow="0" w:firstColumn="0" w:lastColumn="0" w:noHBand="0" w:noVBand="0"/>
      </w:tblPr>
      <w:tblGrid>
        <w:gridCol w:w="4599"/>
        <w:gridCol w:w="4598"/>
      </w:tblGrid>
      <w:tr w:rsidR="00276295" w:rsidRPr="00A928CB" w14:paraId="3CCF8089" w14:textId="77777777" w:rsidTr="00D215E4">
        <w:trPr>
          <w:trHeight w:val="20"/>
        </w:trPr>
        <w:tc>
          <w:tcPr>
            <w:tcW w:w="4599" w:type="dxa"/>
            <w:tcBorders>
              <w:top w:val="nil"/>
              <w:left w:val="nil"/>
              <w:bottom w:val="nil"/>
              <w:right w:val="nil"/>
            </w:tcBorders>
          </w:tcPr>
          <w:p w14:paraId="53590C4E" w14:textId="6A483C1F" w:rsidR="00276295" w:rsidRPr="00236F16" w:rsidRDefault="00276295" w:rsidP="00147D9A">
            <w:pPr>
              <w:ind w:left="851" w:right="-57"/>
              <w:jc w:val="both"/>
              <w:rPr>
                <w:bCs w:val="0"/>
                <w:sz w:val="18"/>
                <w:szCs w:val="18"/>
              </w:rPr>
            </w:pPr>
            <w:r w:rsidRPr="00236F16">
              <w:rPr>
                <w:sz w:val="18"/>
                <w:szCs w:val="18"/>
              </w:rPr>
              <w:t>Aset keuangan dalam ruang lingkup PSAK No. 55 (Revisi 2014) diklasifikasikan sebagai aset keuangan pada nilai wajar melalui laporan laba rugi (FVTPL)</w:t>
            </w:r>
            <w:r w:rsidR="00147D9A">
              <w:rPr>
                <w:sz w:val="18"/>
                <w:szCs w:val="18"/>
              </w:rPr>
              <w:t>,</w:t>
            </w:r>
            <w:r w:rsidRPr="00236F16">
              <w:rPr>
                <w:sz w:val="18"/>
                <w:szCs w:val="18"/>
              </w:rPr>
              <w:t xml:space="preserve"> investasi dimiliki hingga jatuh tempo (HTM)</w:t>
            </w:r>
            <w:r w:rsidR="00147D9A">
              <w:rPr>
                <w:sz w:val="18"/>
                <w:szCs w:val="18"/>
              </w:rPr>
              <w:t>,</w:t>
            </w:r>
            <w:r w:rsidRPr="00236F16">
              <w:rPr>
                <w:sz w:val="18"/>
                <w:szCs w:val="18"/>
              </w:rPr>
              <w:t xml:space="preserve"> pinjaman yang diberikan dan piutang</w:t>
            </w:r>
            <w:r w:rsidR="00147D9A">
              <w:rPr>
                <w:sz w:val="18"/>
                <w:szCs w:val="18"/>
              </w:rPr>
              <w:t>,</w:t>
            </w:r>
            <w:r w:rsidRPr="00236F16">
              <w:rPr>
                <w:sz w:val="18"/>
                <w:szCs w:val="18"/>
              </w:rPr>
              <w:t xml:space="preserve"> atau aset keuangan tersedia untuk dijual (AFS). </w:t>
            </w:r>
            <w:r w:rsidRPr="00236F16">
              <w:rPr>
                <w:sz w:val="18"/>
                <w:szCs w:val="18"/>
                <w:lang w:val="id-ID"/>
              </w:rPr>
              <w:t xml:space="preserve">Kelompok Usaha </w:t>
            </w:r>
            <w:r w:rsidRPr="00236F16">
              <w:rPr>
                <w:sz w:val="18"/>
                <w:szCs w:val="18"/>
              </w:rPr>
              <w:t>menentukan klasifikasi aset keuangan tersebut pada pengakuan awal dan</w:t>
            </w:r>
            <w:r w:rsidR="00870FD0">
              <w:rPr>
                <w:sz w:val="18"/>
                <w:szCs w:val="18"/>
              </w:rPr>
              <w:t>.</w:t>
            </w:r>
            <w:r w:rsidRPr="00236F16">
              <w:rPr>
                <w:sz w:val="18"/>
                <w:szCs w:val="18"/>
              </w:rPr>
              <w:t xml:space="preserve"> </w:t>
            </w:r>
            <w:proofErr w:type="gramStart"/>
            <w:r w:rsidRPr="00236F16">
              <w:rPr>
                <w:sz w:val="18"/>
                <w:szCs w:val="18"/>
              </w:rPr>
              <w:t>jika</w:t>
            </w:r>
            <w:proofErr w:type="gramEnd"/>
            <w:r w:rsidRPr="00236F16">
              <w:rPr>
                <w:sz w:val="18"/>
                <w:szCs w:val="18"/>
              </w:rPr>
              <w:t xml:space="preserve"> diperbolehkan dan sesuai</w:t>
            </w:r>
            <w:r w:rsidR="00147D9A">
              <w:rPr>
                <w:sz w:val="18"/>
                <w:szCs w:val="18"/>
              </w:rPr>
              <w:t>,</w:t>
            </w:r>
            <w:r w:rsidRPr="00236F16">
              <w:rPr>
                <w:sz w:val="18"/>
                <w:szCs w:val="18"/>
              </w:rPr>
              <w:t xml:space="preserve"> akan dievaluasi kembali klasifikasi aset pada setiap tanggal pelaporan.</w:t>
            </w:r>
          </w:p>
        </w:tc>
        <w:tc>
          <w:tcPr>
            <w:tcW w:w="4598" w:type="dxa"/>
            <w:tcBorders>
              <w:top w:val="nil"/>
              <w:left w:val="nil"/>
              <w:bottom w:val="nil"/>
              <w:right w:val="nil"/>
            </w:tcBorders>
          </w:tcPr>
          <w:p w14:paraId="1A39F743" w14:textId="190EB402" w:rsidR="00276295" w:rsidRPr="00236F16" w:rsidRDefault="00276295" w:rsidP="00147D9A">
            <w:pPr>
              <w:tabs>
                <w:tab w:val="left" w:pos="5590"/>
                <w:tab w:val="right" w:pos="7620"/>
                <w:tab w:val="right" w:pos="9460"/>
                <w:tab w:val="right" w:pos="10080"/>
              </w:tabs>
              <w:ind w:left="851" w:right="-57"/>
              <w:jc w:val="both"/>
              <w:rPr>
                <w:bCs w:val="0"/>
                <w:i/>
                <w:sz w:val="18"/>
                <w:szCs w:val="18"/>
              </w:rPr>
            </w:pPr>
            <w:r w:rsidRPr="00236F16">
              <w:rPr>
                <w:i/>
                <w:sz w:val="18"/>
                <w:szCs w:val="18"/>
              </w:rPr>
              <w:t>Financial assets within the scope of PSAK No. 55 (Revised 2014) are classified as financial assets at fair value through profit or loss (FVTPL)</w:t>
            </w:r>
            <w:r w:rsidR="00147D9A">
              <w:rPr>
                <w:i/>
                <w:sz w:val="18"/>
                <w:szCs w:val="18"/>
              </w:rPr>
              <w:t>,</w:t>
            </w:r>
            <w:r w:rsidRPr="00236F16">
              <w:rPr>
                <w:i/>
                <w:sz w:val="18"/>
                <w:szCs w:val="18"/>
              </w:rPr>
              <w:t xml:space="preserve"> held-to-maturity investments (HTM)</w:t>
            </w:r>
            <w:r w:rsidR="00147D9A">
              <w:rPr>
                <w:i/>
                <w:sz w:val="18"/>
                <w:szCs w:val="18"/>
              </w:rPr>
              <w:t>,</w:t>
            </w:r>
            <w:r w:rsidRPr="00236F16">
              <w:rPr>
                <w:i/>
                <w:sz w:val="18"/>
                <w:szCs w:val="18"/>
              </w:rPr>
              <w:t xml:space="preserve"> loans and receivables</w:t>
            </w:r>
            <w:r w:rsidR="00147D9A">
              <w:rPr>
                <w:i/>
                <w:sz w:val="18"/>
                <w:szCs w:val="18"/>
              </w:rPr>
              <w:t>,</w:t>
            </w:r>
            <w:r w:rsidRPr="00236F16">
              <w:rPr>
                <w:i/>
                <w:sz w:val="18"/>
                <w:szCs w:val="18"/>
              </w:rPr>
              <w:t xml:space="preserve"> or available-for-sale (AFS) financial assets. The </w:t>
            </w:r>
            <w:r w:rsidRPr="00236F16">
              <w:rPr>
                <w:i/>
                <w:sz w:val="18"/>
                <w:szCs w:val="18"/>
                <w:lang w:val="id-ID"/>
              </w:rPr>
              <w:t xml:space="preserve">Group </w:t>
            </w:r>
            <w:r w:rsidRPr="00236F16">
              <w:rPr>
                <w:i/>
                <w:sz w:val="18"/>
                <w:szCs w:val="18"/>
              </w:rPr>
              <w:t>determines the classification of its financial assets at initial recognition and</w:t>
            </w:r>
            <w:r w:rsidR="00147D9A">
              <w:rPr>
                <w:i/>
                <w:sz w:val="18"/>
                <w:szCs w:val="18"/>
              </w:rPr>
              <w:t>,</w:t>
            </w:r>
            <w:r w:rsidRPr="00236F16">
              <w:rPr>
                <w:i/>
                <w:sz w:val="18"/>
                <w:szCs w:val="18"/>
              </w:rPr>
              <w:t xml:space="preserve"> where allowed and appropriate</w:t>
            </w:r>
            <w:r w:rsidR="00147D9A">
              <w:rPr>
                <w:i/>
                <w:sz w:val="18"/>
                <w:szCs w:val="18"/>
              </w:rPr>
              <w:t>,</w:t>
            </w:r>
            <w:r w:rsidRPr="00236F16">
              <w:rPr>
                <w:i/>
                <w:sz w:val="18"/>
                <w:szCs w:val="18"/>
              </w:rPr>
              <w:t xml:space="preserve"> re-evaluates the classification of the assets at each reporting date.</w:t>
            </w:r>
          </w:p>
        </w:tc>
      </w:tr>
    </w:tbl>
    <w:p w14:paraId="565B35DB" w14:textId="77777777" w:rsidR="00276295" w:rsidRDefault="00276295">
      <w:pPr>
        <w:rPr>
          <w:sz w:val="18"/>
          <w:szCs w:val="18"/>
          <w:lang w:val="id-ID"/>
        </w:rPr>
      </w:pPr>
    </w:p>
    <w:tbl>
      <w:tblPr>
        <w:tblW w:w="9197" w:type="dxa"/>
        <w:tblInd w:w="392" w:type="dxa"/>
        <w:tblLayout w:type="fixed"/>
        <w:tblLook w:val="0000" w:firstRow="0" w:lastRow="0" w:firstColumn="0" w:lastColumn="0" w:noHBand="0" w:noVBand="0"/>
      </w:tblPr>
      <w:tblGrid>
        <w:gridCol w:w="4599"/>
        <w:gridCol w:w="4598"/>
      </w:tblGrid>
      <w:tr w:rsidR="00276295" w:rsidRPr="00A928CB" w14:paraId="577F8D0A" w14:textId="77777777" w:rsidTr="00D215E4">
        <w:trPr>
          <w:trHeight w:val="20"/>
        </w:trPr>
        <w:tc>
          <w:tcPr>
            <w:tcW w:w="4599" w:type="dxa"/>
            <w:tcBorders>
              <w:top w:val="nil"/>
              <w:left w:val="nil"/>
              <w:bottom w:val="nil"/>
              <w:right w:val="nil"/>
            </w:tcBorders>
          </w:tcPr>
          <w:p w14:paraId="042DF492" w14:textId="6DDD8913" w:rsidR="00276295" w:rsidRPr="00236F16" w:rsidRDefault="00276295" w:rsidP="00147D9A">
            <w:pPr>
              <w:ind w:left="851" w:right="-57"/>
              <w:jc w:val="both"/>
              <w:rPr>
                <w:bCs w:val="0"/>
                <w:sz w:val="18"/>
                <w:szCs w:val="18"/>
              </w:rPr>
            </w:pPr>
            <w:r w:rsidRPr="00236F16">
              <w:rPr>
                <w:sz w:val="18"/>
                <w:szCs w:val="18"/>
              </w:rPr>
              <w:t>Aset keuangan pada awalnya diukur pada nilai wajar</w:t>
            </w:r>
            <w:r w:rsidR="00147D9A">
              <w:rPr>
                <w:sz w:val="18"/>
                <w:szCs w:val="18"/>
              </w:rPr>
              <w:t>,</w:t>
            </w:r>
            <w:r w:rsidRPr="00236F16">
              <w:rPr>
                <w:sz w:val="18"/>
                <w:szCs w:val="18"/>
              </w:rPr>
              <w:t xml:space="preserve"> dalam hal investasi tidak diklasifikasikan sebagai FVTPL</w:t>
            </w:r>
            <w:r w:rsidR="00147D9A">
              <w:rPr>
                <w:sz w:val="18"/>
                <w:szCs w:val="18"/>
              </w:rPr>
              <w:t>,</w:t>
            </w:r>
            <w:r w:rsidRPr="00236F16">
              <w:rPr>
                <w:sz w:val="18"/>
                <w:szCs w:val="18"/>
              </w:rPr>
              <w:t xml:space="preserve"> nilai wajar ditambah biaya transaksi yang dapat diatribusikan secara langsung dengan perolehan atau penerbitan aset keuangan.</w:t>
            </w:r>
          </w:p>
        </w:tc>
        <w:tc>
          <w:tcPr>
            <w:tcW w:w="4598" w:type="dxa"/>
            <w:tcBorders>
              <w:top w:val="nil"/>
              <w:left w:val="nil"/>
              <w:bottom w:val="nil"/>
              <w:right w:val="nil"/>
            </w:tcBorders>
          </w:tcPr>
          <w:p w14:paraId="720C28A1" w14:textId="23675224" w:rsidR="00276295" w:rsidRPr="00236F16" w:rsidRDefault="00276295" w:rsidP="00147D9A">
            <w:pPr>
              <w:tabs>
                <w:tab w:val="left" w:pos="5590"/>
                <w:tab w:val="right" w:pos="7620"/>
                <w:tab w:val="right" w:pos="9460"/>
                <w:tab w:val="right" w:pos="10080"/>
              </w:tabs>
              <w:ind w:left="851" w:right="-57"/>
              <w:jc w:val="both"/>
              <w:rPr>
                <w:bCs w:val="0"/>
                <w:i/>
                <w:sz w:val="18"/>
                <w:szCs w:val="18"/>
              </w:rPr>
            </w:pPr>
            <w:r w:rsidRPr="00236F16">
              <w:rPr>
                <w:i/>
                <w:sz w:val="18"/>
                <w:szCs w:val="18"/>
              </w:rPr>
              <w:t>Financial assets are initially measured at fair value</w:t>
            </w:r>
            <w:r w:rsidR="00147D9A">
              <w:rPr>
                <w:i/>
                <w:sz w:val="18"/>
                <w:szCs w:val="18"/>
              </w:rPr>
              <w:t>,</w:t>
            </w:r>
            <w:r w:rsidRPr="00236F16">
              <w:rPr>
                <w:i/>
                <w:sz w:val="18"/>
                <w:szCs w:val="18"/>
              </w:rPr>
              <w:t xml:space="preserve"> in the case of investments not classified as FVTPL</w:t>
            </w:r>
            <w:r w:rsidR="00147D9A">
              <w:rPr>
                <w:i/>
                <w:sz w:val="18"/>
                <w:szCs w:val="18"/>
              </w:rPr>
              <w:t>,</w:t>
            </w:r>
            <w:r w:rsidRPr="00236F16">
              <w:rPr>
                <w:i/>
                <w:sz w:val="18"/>
                <w:szCs w:val="18"/>
              </w:rPr>
              <w:t xml:space="preserve"> fair value plus transaction costs that are directly attributable to the acquisition or issuance of financial assets.</w:t>
            </w:r>
          </w:p>
        </w:tc>
      </w:tr>
    </w:tbl>
    <w:p w14:paraId="0CB2E148" w14:textId="5352AFD8" w:rsidR="00B16EDC" w:rsidRPr="0013526B" w:rsidRDefault="00276295" w:rsidP="0013526B">
      <w:pPr>
        <w:rPr>
          <w:sz w:val="18"/>
          <w:szCs w:val="18"/>
          <w:lang w:val="id-ID"/>
        </w:rPr>
      </w:pPr>
      <w:r>
        <w:rPr>
          <w:sz w:val="18"/>
          <w:szCs w:val="18"/>
          <w:lang w:val="id-ID"/>
        </w:rPr>
        <w:br w:type="page"/>
      </w:r>
    </w:p>
    <w:tbl>
      <w:tblPr>
        <w:tblW w:w="9197" w:type="dxa"/>
        <w:tblInd w:w="392" w:type="dxa"/>
        <w:tblLayout w:type="fixed"/>
        <w:tblLook w:val="0000" w:firstRow="0" w:lastRow="0" w:firstColumn="0" w:lastColumn="0" w:noHBand="0" w:noVBand="0"/>
      </w:tblPr>
      <w:tblGrid>
        <w:gridCol w:w="4599"/>
        <w:gridCol w:w="4598"/>
      </w:tblGrid>
      <w:tr w:rsidR="008B2957" w:rsidRPr="00AE3B43" w14:paraId="682076AF" w14:textId="77777777" w:rsidTr="00276295">
        <w:tc>
          <w:tcPr>
            <w:tcW w:w="4599" w:type="dxa"/>
            <w:tcBorders>
              <w:top w:val="nil"/>
              <w:left w:val="nil"/>
              <w:bottom w:val="nil"/>
              <w:right w:val="nil"/>
            </w:tcBorders>
          </w:tcPr>
          <w:p w14:paraId="4579480C" w14:textId="77777777" w:rsidR="008B2957" w:rsidRPr="00AE3B43" w:rsidRDefault="00614135" w:rsidP="00070D1F">
            <w:pPr>
              <w:numPr>
                <w:ilvl w:val="0"/>
                <w:numId w:val="116"/>
              </w:numPr>
              <w:ind w:left="284" w:right="-57" w:hanging="284"/>
              <w:jc w:val="both"/>
              <w:rPr>
                <w:b/>
                <w:sz w:val="18"/>
                <w:szCs w:val="18"/>
              </w:rPr>
            </w:pPr>
            <w:r w:rsidRPr="00AE3B43">
              <w:rPr>
                <w:rStyle w:val="hps"/>
                <w:b/>
                <w:sz w:val="18"/>
                <w:szCs w:val="18"/>
              </w:rPr>
              <w:lastRenderedPageBreak/>
              <w:t xml:space="preserve">IKHTISAR KEBIJAKAN AKUNTANSI </w:t>
            </w:r>
            <w:r w:rsidR="00C85EDE" w:rsidRPr="00AE3B43">
              <w:rPr>
                <w:rStyle w:val="hps"/>
                <w:b/>
                <w:sz w:val="18"/>
                <w:szCs w:val="18"/>
                <w:lang w:val="id-ID"/>
              </w:rPr>
              <w:t xml:space="preserve">YANG </w:t>
            </w:r>
            <w:r w:rsidRPr="00AE3B43">
              <w:rPr>
                <w:rStyle w:val="hps"/>
                <w:b/>
                <w:sz w:val="18"/>
                <w:szCs w:val="18"/>
              </w:rPr>
              <w:t>PENTING - Lanjutan</w:t>
            </w:r>
          </w:p>
        </w:tc>
        <w:tc>
          <w:tcPr>
            <w:tcW w:w="4598" w:type="dxa"/>
            <w:tcBorders>
              <w:top w:val="nil"/>
              <w:left w:val="nil"/>
              <w:bottom w:val="nil"/>
              <w:right w:val="nil"/>
            </w:tcBorders>
          </w:tcPr>
          <w:p w14:paraId="58CDBEE0" w14:textId="77777777" w:rsidR="008B2957" w:rsidRPr="00AE3B43" w:rsidRDefault="00614135" w:rsidP="00070D1F">
            <w:pPr>
              <w:numPr>
                <w:ilvl w:val="0"/>
                <w:numId w:val="117"/>
              </w:numPr>
              <w:ind w:left="284" w:right="-57" w:hanging="284"/>
              <w:jc w:val="both"/>
              <w:rPr>
                <w:b/>
                <w:i/>
                <w:sz w:val="18"/>
                <w:szCs w:val="18"/>
              </w:rPr>
            </w:pPr>
            <w:r w:rsidRPr="00AE3B43">
              <w:rPr>
                <w:b/>
                <w:i/>
                <w:sz w:val="18"/>
                <w:szCs w:val="18"/>
              </w:rPr>
              <w:t>SUMMARY OF SIGNIFICANT ACCOUNTING POLICIES - Continued</w:t>
            </w:r>
          </w:p>
        </w:tc>
      </w:tr>
      <w:tr w:rsidR="008B2957" w:rsidRPr="00904393" w14:paraId="0C5A487B" w14:textId="77777777" w:rsidTr="00276295">
        <w:tc>
          <w:tcPr>
            <w:tcW w:w="4599" w:type="dxa"/>
            <w:tcBorders>
              <w:top w:val="nil"/>
              <w:left w:val="nil"/>
              <w:bottom w:val="nil"/>
              <w:right w:val="nil"/>
            </w:tcBorders>
          </w:tcPr>
          <w:p w14:paraId="4075F336" w14:textId="77777777" w:rsidR="008B2957" w:rsidRPr="00904393" w:rsidRDefault="008B2957" w:rsidP="0013526B">
            <w:pPr>
              <w:ind w:left="357" w:right="-57"/>
              <w:jc w:val="both"/>
              <w:rPr>
                <w:sz w:val="10"/>
                <w:szCs w:val="10"/>
              </w:rPr>
            </w:pPr>
          </w:p>
        </w:tc>
        <w:tc>
          <w:tcPr>
            <w:tcW w:w="4598" w:type="dxa"/>
            <w:tcBorders>
              <w:top w:val="nil"/>
              <w:left w:val="nil"/>
              <w:bottom w:val="nil"/>
              <w:right w:val="nil"/>
            </w:tcBorders>
          </w:tcPr>
          <w:p w14:paraId="08003E14" w14:textId="77777777" w:rsidR="008B2957" w:rsidRPr="00904393" w:rsidRDefault="008B2957" w:rsidP="0013526B">
            <w:pPr>
              <w:ind w:left="357" w:right="-57"/>
              <w:jc w:val="both"/>
              <w:rPr>
                <w:i/>
                <w:sz w:val="10"/>
                <w:szCs w:val="10"/>
              </w:rPr>
            </w:pPr>
          </w:p>
        </w:tc>
      </w:tr>
      <w:tr w:rsidR="008B2957" w:rsidRPr="00AE3B43" w14:paraId="717891F7" w14:textId="77777777" w:rsidTr="00276295">
        <w:tc>
          <w:tcPr>
            <w:tcW w:w="4599" w:type="dxa"/>
            <w:tcBorders>
              <w:top w:val="nil"/>
              <w:left w:val="nil"/>
              <w:bottom w:val="nil"/>
              <w:right w:val="nil"/>
            </w:tcBorders>
          </w:tcPr>
          <w:p w14:paraId="7E9B4789" w14:textId="12B9A97C" w:rsidR="008B2957" w:rsidRPr="00AE3B43" w:rsidRDefault="008B2957" w:rsidP="00070D1F">
            <w:pPr>
              <w:widowControl w:val="0"/>
              <w:numPr>
                <w:ilvl w:val="0"/>
                <w:numId w:val="166"/>
              </w:numPr>
              <w:autoSpaceDE w:val="0"/>
              <w:autoSpaceDN w:val="0"/>
              <w:adjustRightInd w:val="0"/>
              <w:ind w:left="568" w:right="-57" w:hanging="284"/>
              <w:jc w:val="both"/>
              <w:rPr>
                <w:b/>
                <w:sz w:val="18"/>
                <w:szCs w:val="18"/>
              </w:rPr>
            </w:pPr>
            <w:r w:rsidRPr="00AE3B43">
              <w:rPr>
                <w:b/>
                <w:bCs w:val="0"/>
                <w:sz w:val="18"/>
                <w:szCs w:val="18"/>
              </w:rPr>
              <w:t>Instrumen</w:t>
            </w:r>
            <w:r w:rsidRPr="00AE3B43">
              <w:rPr>
                <w:b/>
                <w:sz w:val="18"/>
                <w:szCs w:val="18"/>
              </w:rPr>
              <w:t xml:space="preserve"> Keuangan </w:t>
            </w:r>
            <w:r w:rsidR="002E1E21" w:rsidRPr="00AE3B43">
              <w:rPr>
                <w:b/>
                <w:sz w:val="18"/>
                <w:szCs w:val="18"/>
              </w:rPr>
              <w:t>-</w:t>
            </w:r>
            <w:r w:rsidRPr="00AE3B43">
              <w:rPr>
                <w:b/>
                <w:sz w:val="18"/>
                <w:szCs w:val="18"/>
              </w:rPr>
              <w:t xml:space="preserve"> Lanjutan</w:t>
            </w:r>
          </w:p>
        </w:tc>
        <w:tc>
          <w:tcPr>
            <w:tcW w:w="4598" w:type="dxa"/>
            <w:tcBorders>
              <w:top w:val="nil"/>
              <w:left w:val="nil"/>
              <w:bottom w:val="nil"/>
              <w:right w:val="nil"/>
            </w:tcBorders>
          </w:tcPr>
          <w:p w14:paraId="26143D18" w14:textId="77777777" w:rsidR="008B2957" w:rsidRPr="00AE3B43" w:rsidRDefault="008B2957" w:rsidP="00070D1F">
            <w:pPr>
              <w:pStyle w:val="ListParagraph"/>
              <w:numPr>
                <w:ilvl w:val="0"/>
                <w:numId w:val="167"/>
              </w:numPr>
              <w:ind w:left="568" w:right="-57" w:hanging="284"/>
              <w:contextualSpacing/>
              <w:jc w:val="both"/>
              <w:rPr>
                <w:b/>
                <w:i/>
                <w:sz w:val="18"/>
                <w:szCs w:val="18"/>
              </w:rPr>
            </w:pPr>
            <w:r w:rsidRPr="00AE3B43">
              <w:rPr>
                <w:b/>
                <w:bCs w:val="0"/>
                <w:i/>
                <w:sz w:val="18"/>
                <w:szCs w:val="18"/>
              </w:rPr>
              <w:t>Financial</w:t>
            </w:r>
            <w:r w:rsidRPr="00AE3B43">
              <w:rPr>
                <w:b/>
                <w:i/>
                <w:sz w:val="18"/>
                <w:szCs w:val="18"/>
              </w:rPr>
              <w:t xml:space="preserve"> Instruments - Continued</w:t>
            </w:r>
          </w:p>
        </w:tc>
      </w:tr>
      <w:tr w:rsidR="00D215E4" w:rsidRPr="00904393" w14:paraId="7A670974" w14:textId="77777777" w:rsidTr="00276295">
        <w:tc>
          <w:tcPr>
            <w:tcW w:w="4599" w:type="dxa"/>
            <w:tcBorders>
              <w:top w:val="nil"/>
              <w:left w:val="nil"/>
              <w:bottom w:val="nil"/>
              <w:right w:val="nil"/>
            </w:tcBorders>
          </w:tcPr>
          <w:p w14:paraId="301BA9AC" w14:textId="77777777" w:rsidR="00D215E4" w:rsidRPr="00904393" w:rsidRDefault="00D215E4" w:rsidP="00D215E4">
            <w:pPr>
              <w:widowControl w:val="0"/>
              <w:autoSpaceDE w:val="0"/>
              <w:autoSpaceDN w:val="0"/>
              <w:adjustRightInd w:val="0"/>
              <w:ind w:left="568" w:right="-57"/>
              <w:jc w:val="both"/>
              <w:rPr>
                <w:b/>
                <w:bCs w:val="0"/>
                <w:sz w:val="8"/>
                <w:szCs w:val="8"/>
              </w:rPr>
            </w:pPr>
          </w:p>
        </w:tc>
        <w:tc>
          <w:tcPr>
            <w:tcW w:w="4598" w:type="dxa"/>
            <w:tcBorders>
              <w:top w:val="nil"/>
              <w:left w:val="nil"/>
              <w:bottom w:val="nil"/>
              <w:right w:val="nil"/>
            </w:tcBorders>
          </w:tcPr>
          <w:p w14:paraId="3048F836" w14:textId="77777777" w:rsidR="00D215E4" w:rsidRPr="00904393" w:rsidRDefault="00D215E4" w:rsidP="00D215E4">
            <w:pPr>
              <w:pStyle w:val="ListParagraph"/>
              <w:ind w:left="568" w:right="-57"/>
              <w:contextualSpacing/>
              <w:jc w:val="both"/>
              <w:rPr>
                <w:b/>
                <w:bCs w:val="0"/>
                <w:i/>
                <w:sz w:val="8"/>
                <w:szCs w:val="8"/>
              </w:rPr>
            </w:pPr>
          </w:p>
        </w:tc>
      </w:tr>
      <w:tr w:rsidR="00D215E4" w:rsidRPr="00AE3B43" w14:paraId="5FDD97E9" w14:textId="77777777" w:rsidTr="00D215E4">
        <w:trPr>
          <w:trHeight w:val="20"/>
        </w:trPr>
        <w:tc>
          <w:tcPr>
            <w:tcW w:w="4599" w:type="dxa"/>
            <w:tcBorders>
              <w:top w:val="nil"/>
              <w:left w:val="nil"/>
              <w:bottom w:val="nil"/>
              <w:right w:val="nil"/>
            </w:tcBorders>
          </w:tcPr>
          <w:p w14:paraId="1514F3FF" w14:textId="0C046CF7" w:rsidR="00D215E4" w:rsidRPr="00AE3B43" w:rsidRDefault="00D215E4" w:rsidP="00070D1F">
            <w:pPr>
              <w:pStyle w:val="Default"/>
              <w:numPr>
                <w:ilvl w:val="0"/>
                <w:numId w:val="340"/>
              </w:numPr>
              <w:ind w:left="867" w:right="-57"/>
              <w:jc w:val="both"/>
              <w:rPr>
                <w:rFonts w:ascii="Times New Roman" w:eastAsia="Times New Roman" w:hAnsi="Times New Roman" w:cs="Times New Roman"/>
                <w:b/>
                <w:bCs/>
                <w:sz w:val="18"/>
                <w:szCs w:val="18"/>
              </w:rPr>
            </w:pPr>
            <w:r w:rsidRPr="00AE3B43">
              <w:rPr>
                <w:rFonts w:ascii="Times New Roman" w:eastAsia="Times New Roman" w:hAnsi="Times New Roman" w:cs="Times New Roman"/>
                <w:b/>
                <w:bCs/>
                <w:sz w:val="18"/>
                <w:szCs w:val="18"/>
              </w:rPr>
              <w:t>Aset Keuangan</w:t>
            </w:r>
            <w:r w:rsidR="005B47F7">
              <w:rPr>
                <w:rFonts w:ascii="Times New Roman" w:eastAsia="Times New Roman" w:hAnsi="Times New Roman" w:cs="Times New Roman"/>
                <w:b/>
                <w:bCs/>
                <w:sz w:val="18"/>
                <w:szCs w:val="18"/>
              </w:rPr>
              <w:t xml:space="preserve"> - Lanjutan</w:t>
            </w:r>
          </w:p>
        </w:tc>
        <w:tc>
          <w:tcPr>
            <w:tcW w:w="4598" w:type="dxa"/>
            <w:tcBorders>
              <w:top w:val="nil"/>
              <w:left w:val="nil"/>
              <w:bottom w:val="nil"/>
              <w:right w:val="nil"/>
            </w:tcBorders>
          </w:tcPr>
          <w:p w14:paraId="5FE1433E" w14:textId="78967F93" w:rsidR="00D215E4" w:rsidRPr="00AE3B43" w:rsidRDefault="00D215E4" w:rsidP="00070D1F">
            <w:pPr>
              <w:pStyle w:val="ListParagraph"/>
              <w:numPr>
                <w:ilvl w:val="0"/>
                <w:numId w:val="341"/>
              </w:numPr>
              <w:ind w:left="842" w:right="-57"/>
              <w:jc w:val="both"/>
              <w:rPr>
                <w:b/>
                <w:bCs w:val="0"/>
                <w:i/>
                <w:sz w:val="18"/>
                <w:szCs w:val="18"/>
              </w:rPr>
            </w:pPr>
            <w:r w:rsidRPr="00AE3B43">
              <w:rPr>
                <w:b/>
                <w:i/>
                <w:sz w:val="18"/>
                <w:szCs w:val="18"/>
              </w:rPr>
              <w:t>Financial Assets</w:t>
            </w:r>
            <w:r w:rsidR="005B47F7">
              <w:rPr>
                <w:b/>
                <w:i/>
                <w:sz w:val="18"/>
                <w:szCs w:val="18"/>
              </w:rPr>
              <w:t xml:space="preserve"> - Continued</w:t>
            </w:r>
          </w:p>
        </w:tc>
      </w:tr>
      <w:tr w:rsidR="008B2957" w:rsidRPr="00904393" w14:paraId="0BCAA32F" w14:textId="77777777" w:rsidTr="00276295">
        <w:tc>
          <w:tcPr>
            <w:tcW w:w="4599" w:type="dxa"/>
            <w:tcBorders>
              <w:top w:val="nil"/>
              <w:left w:val="nil"/>
              <w:bottom w:val="nil"/>
              <w:right w:val="nil"/>
            </w:tcBorders>
          </w:tcPr>
          <w:p w14:paraId="39849F2D" w14:textId="77777777" w:rsidR="008B2957" w:rsidRPr="00904393" w:rsidRDefault="008B2957" w:rsidP="0013526B">
            <w:pPr>
              <w:ind w:left="357" w:right="-57"/>
              <w:jc w:val="both"/>
              <w:rPr>
                <w:sz w:val="8"/>
                <w:szCs w:val="8"/>
              </w:rPr>
            </w:pPr>
          </w:p>
        </w:tc>
        <w:tc>
          <w:tcPr>
            <w:tcW w:w="4598" w:type="dxa"/>
            <w:tcBorders>
              <w:top w:val="nil"/>
              <w:left w:val="nil"/>
              <w:bottom w:val="nil"/>
              <w:right w:val="nil"/>
            </w:tcBorders>
          </w:tcPr>
          <w:p w14:paraId="2FDB514C" w14:textId="77777777" w:rsidR="008B2957" w:rsidRPr="00904393" w:rsidRDefault="008B2957" w:rsidP="0013526B">
            <w:pPr>
              <w:ind w:left="357" w:right="-57"/>
              <w:jc w:val="both"/>
              <w:rPr>
                <w:i/>
                <w:sz w:val="8"/>
                <w:szCs w:val="8"/>
              </w:rPr>
            </w:pPr>
          </w:p>
        </w:tc>
      </w:tr>
      <w:tr w:rsidR="008B2957" w:rsidRPr="00AE3B43" w14:paraId="5F1724CB" w14:textId="77777777" w:rsidTr="00276295">
        <w:trPr>
          <w:trHeight w:val="20"/>
        </w:trPr>
        <w:tc>
          <w:tcPr>
            <w:tcW w:w="4599" w:type="dxa"/>
            <w:tcBorders>
              <w:top w:val="nil"/>
              <w:left w:val="nil"/>
              <w:bottom w:val="nil"/>
              <w:right w:val="nil"/>
            </w:tcBorders>
          </w:tcPr>
          <w:p w14:paraId="57467978" w14:textId="7DF65E38" w:rsidR="008B2957" w:rsidRPr="00AE3B43" w:rsidRDefault="008B2957" w:rsidP="0013526B">
            <w:pPr>
              <w:ind w:left="851" w:right="-57"/>
              <w:jc w:val="both"/>
              <w:rPr>
                <w:b/>
                <w:bCs w:val="0"/>
                <w:sz w:val="18"/>
                <w:szCs w:val="18"/>
              </w:rPr>
            </w:pPr>
            <w:r w:rsidRPr="00AE3B43">
              <w:rPr>
                <w:b/>
                <w:sz w:val="18"/>
                <w:szCs w:val="18"/>
              </w:rPr>
              <w:t>Pengukuran Setelah Pengakuan Awal</w:t>
            </w:r>
            <w:r w:rsidR="005B47F7">
              <w:rPr>
                <w:b/>
                <w:sz w:val="18"/>
                <w:szCs w:val="18"/>
              </w:rPr>
              <w:t xml:space="preserve"> </w:t>
            </w:r>
            <w:r w:rsidR="005B47F7">
              <w:rPr>
                <w:b/>
                <w:bCs w:val="0"/>
                <w:sz w:val="18"/>
                <w:szCs w:val="18"/>
              </w:rPr>
              <w:t>- Lanjutan</w:t>
            </w:r>
          </w:p>
        </w:tc>
        <w:tc>
          <w:tcPr>
            <w:tcW w:w="4598" w:type="dxa"/>
            <w:tcBorders>
              <w:top w:val="nil"/>
              <w:left w:val="nil"/>
              <w:bottom w:val="nil"/>
              <w:right w:val="nil"/>
            </w:tcBorders>
          </w:tcPr>
          <w:p w14:paraId="45AED466" w14:textId="7AA153B2" w:rsidR="008B2957" w:rsidRPr="00AE3B43" w:rsidRDefault="008B2957" w:rsidP="0013526B">
            <w:pPr>
              <w:tabs>
                <w:tab w:val="left" w:pos="5590"/>
                <w:tab w:val="right" w:pos="7620"/>
                <w:tab w:val="right" w:pos="9460"/>
                <w:tab w:val="right" w:pos="10080"/>
              </w:tabs>
              <w:ind w:left="851" w:right="-57"/>
              <w:jc w:val="both"/>
              <w:rPr>
                <w:b/>
                <w:bCs w:val="0"/>
                <w:i/>
                <w:sz w:val="18"/>
                <w:szCs w:val="18"/>
              </w:rPr>
            </w:pPr>
            <w:r w:rsidRPr="00AE3B43">
              <w:rPr>
                <w:b/>
                <w:i/>
                <w:sz w:val="18"/>
                <w:szCs w:val="18"/>
              </w:rPr>
              <w:t>Subsequent Measurement</w:t>
            </w:r>
            <w:r w:rsidR="005B47F7">
              <w:rPr>
                <w:b/>
                <w:i/>
                <w:sz w:val="18"/>
                <w:szCs w:val="18"/>
              </w:rPr>
              <w:t xml:space="preserve"> - Continued</w:t>
            </w:r>
          </w:p>
        </w:tc>
      </w:tr>
      <w:tr w:rsidR="008B2957" w:rsidRPr="00904393" w14:paraId="366A2065" w14:textId="77777777" w:rsidTr="00276295">
        <w:trPr>
          <w:trHeight w:val="20"/>
        </w:trPr>
        <w:tc>
          <w:tcPr>
            <w:tcW w:w="4599" w:type="dxa"/>
            <w:tcBorders>
              <w:top w:val="nil"/>
              <w:left w:val="nil"/>
              <w:bottom w:val="nil"/>
              <w:right w:val="nil"/>
            </w:tcBorders>
          </w:tcPr>
          <w:p w14:paraId="15EB747D" w14:textId="77777777" w:rsidR="008B2957" w:rsidRPr="00904393" w:rsidRDefault="008B2957" w:rsidP="0013526B">
            <w:pPr>
              <w:ind w:left="522" w:right="-57"/>
              <w:jc w:val="both"/>
              <w:rPr>
                <w:bCs w:val="0"/>
                <w:sz w:val="8"/>
                <w:szCs w:val="8"/>
              </w:rPr>
            </w:pPr>
          </w:p>
        </w:tc>
        <w:tc>
          <w:tcPr>
            <w:tcW w:w="4598" w:type="dxa"/>
            <w:tcBorders>
              <w:top w:val="nil"/>
              <w:left w:val="nil"/>
              <w:bottom w:val="nil"/>
              <w:right w:val="nil"/>
            </w:tcBorders>
          </w:tcPr>
          <w:p w14:paraId="04E092BD" w14:textId="77777777" w:rsidR="008B2957" w:rsidRPr="00904393" w:rsidRDefault="008B2957" w:rsidP="0013526B">
            <w:pPr>
              <w:tabs>
                <w:tab w:val="left" w:pos="5590"/>
                <w:tab w:val="right" w:pos="7620"/>
                <w:tab w:val="right" w:pos="9460"/>
                <w:tab w:val="right" w:pos="10080"/>
              </w:tabs>
              <w:ind w:left="651" w:right="-57"/>
              <w:jc w:val="both"/>
              <w:rPr>
                <w:bCs w:val="0"/>
                <w:i/>
                <w:sz w:val="8"/>
                <w:szCs w:val="8"/>
              </w:rPr>
            </w:pPr>
          </w:p>
        </w:tc>
      </w:tr>
      <w:tr w:rsidR="008B2957" w:rsidRPr="00AE3B43" w14:paraId="7F63E048" w14:textId="77777777" w:rsidTr="00276295">
        <w:trPr>
          <w:trHeight w:val="20"/>
        </w:trPr>
        <w:tc>
          <w:tcPr>
            <w:tcW w:w="4599" w:type="dxa"/>
            <w:tcBorders>
              <w:top w:val="nil"/>
              <w:left w:val="nil"/>
              <w:bottom w:val="nil"/>
              <w:right w:val="nil"/>
            </w:tcBorders>
          </w:tcPr>
          <w:p w14:paraId="2069A453" w14:textId="77777777" w:rsidR="008B2957" w:rsidRPr="00AE3B43" w:rsidRDefault="008B2957" w:rsidP="0013526B">
            <w:pPr>
              <w:ind w:left="851" w:right="-57"/>
              <w:jc w:val="both"/>
              <w:rPr>
                <w:bCs w:val="0"/>
                <w:sz w:val="18"/>
                <w:szCs w:val="18"/>
              </w:rPr>
            </w:pPr>
            <w:r w:rsidRPr="00AE3B43">
              <w:rPr>
                <w:sz w:val="18"/>
                <w:szCs w:val="18"/>
              </w:rPr>
              <w:t>Pengukuran aset keuangan setelah pengakuan awal tergantung pada klasifikasinya sebagai berikut:</w:t>
            </w:r>
          </w:p>
        </w:tc>
        <w:tc>
          <w:tcPr>
            <w:tcW w:w="4598" w:type="dxa"/>
            <w:tcBorders>
              <w:top w:val="nil"/>
              <w:left w:val="nil"/>
              <w:bottom w:val="nil"/>
              <w:right w:val="nil"/>
            </w:tcBorders>
          </w:tcPr>
          <w:p w14:paraId="0FD1D1A2" w14:textId="77777777" w:rsidR="008B2957" w:rsidRPr="00AE3B43" w:rsidRDefault="008B2957" w:rsidP="0013526B">
            <w:pPr>
              <w:tabs>
                <w:tab w:val="left" w:pos="5590"/>
                <w:tab w:val="right" w:pos="7620"/>
                <w:tab w:val="right" w:pos="9460"/>
                <w:tab w:val="right" w:pos="10080"/>
              </w:tabs>
              <w:ind w:left="851" w:right="-57"/>
              <w:jc w:val="both"/>
              <w:rPr>
                <w:bCs w:val="0"/>
                <w:i/>
                <w:sz w:val="18"/>
                <w:szCs w:val="18"/>
              </w:rPr>
            </w:pPr>
            <w:r w:rsidRPr="00AE3B43">
              <w:rPr>
                <w:i/>
                <w:sz w:val="18"/>
                <w:szCs w:val="18"/>
              </w:rPr>
              <w:t>Subsequent measurement of financial assets depends on their classification as follows:</w:t>
            </w:r>
          </w:p>
        </w:tc>
      </w:tr>
      <w:tr w:rsidR="008B2957" w:rsidRPr="00904393" w14:paraId="4410ED2E" w14:textId="77777777" w:rsidTr="00276295">
        <w:trPr>
          <w:trHeight w:val="20"/>
        </w:trPr>
        <w:tc>
          <w:tcPr>
            <w:tcW w:w="4599" w:type="dxa"/>
            <w:tcBorders>
              <w:top w:val="nil"/>
              <w:left w:val="nil"/>
              <w:bottom w:val="nil"/>
              <w:right w:val="nil"/>
            </w:tcBorders>
          </w:tcPr>
          <w:p w14:paraId="35A01F58" w14:textId="77777777" w:rsidR="008B2957" w:rsidRPr="00904393" w:rsidRDefault="008B2957" w:rsidP="0013526B">
            <w:pPr>
              <w:ind w:left="522" w:right="-57"/>
              <w:jc w:val="both"/>
              <w:rPr>
                <w:bCs w:val="0"/>
                <w:sz w:val="8"/>
                <w:szCs w:val="8"/>
              </w:rPr>
            </w:pPr>
          </w:p>
        </w:tc>
        <w:tc>
          <w:tcPr>
            <w:tcW w:w="4598" w:type="dxa"/>
            <w:tcBorders>
              <w:top w:val="nil"/>
              <w:left w:val="nil"/>
              <w:bottom w:val="nil"/>
              <w:right w:val="nil"/>
            </w:tcBorders>
          </w:tcPr>
          <w:p w14:paraId="5ADF501A" w14:textId="77777777" w:rsidR="008B2957" w:rsidRPr="00904393" w:rsidRDefault="008B2957" w:rsidP="0013526B">
            <w:pPr>
              <w:tabs>
                <w:tab w:val="left" w:pos="5590"/>
                <w:tab w:val="right" w:pos="7620"/>
                <w:tab w:val="right" w:pos="9460"/>
                <w:tab w:val="right" w:pos="10080"/>
              </w:tabs>
              <w:ind w:left="651" w:right="-57"/>
              <w:jc w:val="both"/>
              <w:rPr>
                <w:bCs w:val="0"/>
                <w:i/>
                <w:sz w:val="8"/>
                <w:szCs w:val="8"/>
              </w:rPr>
            </w:pPr>
          </w:p>
        </w:tc>
      </w:tr>
      <w:tr w:rsidR="008B2957" w:rsidRPr="00AE3B43" w14:paraId="358E50EE" w14:textId="77777777" w:rsidTr="00276295">
        <w:trPr>
          <w:trHeight w:val="20"/>
        </w:trPr>
        <w:tc>
          <w:tcPr>
            <w:tcW w:w="4599" w:type="dxa"/>
            <w:tcBorders>
              <w:top w:val="nil"/>
              <w:left w:val="nil"/>
              <w:bottom w:val="nil"/>
              <w:right w:val="nil"/>
            </w:tcBorders>
          </w:tcPr>
          <w:p w14:paraId="5867E197" w14:textId="77777777" w:rsidR="008B2957" w:rsidRPr="00AE3B43" w:rsidRDefault="008B2957" w:rsidP="00070D1F">
            <w:pPr>
              <w:numPr>
                <w:ilvl w:val="0"/>
                <w:numId w:val="122"/>
              </w:numPr>
              <w:ind w:left="1135" w:right="-57" w:hanging="284"/>
              <w:jc w:val="both"/>
              <w:rPr>
                <w:bCs w:val="0"/>
                <w:sz w:val="18"/>
                <w:szCs w:val="18"/>
              </w:rPr>
            </w:pPr>
            <w:r w:rsidRPr="00AE3B43">
              <w:rPr>
                <w:sz w:val="18"/>
                <w:szCs w:val="18"/>
              </w:rPr>
              <w:t>Aset Keuangan pada Nilai Wajar Melalui Laba atau Rugi (FVTPL)</w:t>
            </w:r>
          </w:p>
        </w:tc>
        <w:tc>
          <w:tcPr>
            <w:tcW w:w="4598" w:type="dxa"/>
            <w:tcBorders>
              <w:top w:val="nil"/>
              <w:left w:val="nil"/>
              <w:bottom w:val="nil"/>
              <w:right w:val="nil"/>
            </w:tcBorders>
          </w:tcPr>
          <w:p w14:paraId="24463C91" w14:textId="77777777" w:rsidR="008B2957" w:rsidRPr="00AE3B43" w:rsidRDefault="008B2957" w:rsidP="00070D1F">
            <w:pPr>
              <w:pStyle w:val="ListParagraph"/>
              <w:numPr>
                <w:ilvl w:val="0"/>
                <w:numId w:val="123"/>
              </w:numPr>
              <w:ind w:left="1135" w:right="-57" w:hanging="284"/>
              <w:jc w:val="both"/>
              <w:rPr>
                <w:bCs w:val="0"/>
                <w:i/>
                <w:sz w:val="18"/>
                <w:szCs w:val="18"/>
              </w:rPr>
            </w:pPr>
            <w:r w:rsidRPr="00AE3B43">
              <w:rPr>
                <w:i/>
                <w:sz w:val="18"/>
                <w:szCs w:val="18"/>
              </w:rPr>
              <w:t>Financial Assets at Fair Value Through Profit or Loss (FVTPL)</w:t>
            </w:r>
          </w:p>
        </w:tc>
      </w:tr>
      <w:tr w:rsidR="008B2957" w:rsidRPr="00904393" w14:paraId="2C271401" w14:textId="77777777" w:rsidTr="00276295">
        <w:trPr>
          <w:trHeight w:val="20"/>
        </w:trPr>
        <w:tc>
          <w:tcPr>
            <w:tcW w:w="4599" w:type="dxa"/>
            <w:tcBorders>
              <w:top w:val="nil"/>
              <w:left w:val="nil"/>
              <w:bottom w:val="nil"/>
              <w:right w:val="nil"/>
            </w:tcBorders>
          </w:tcPr>
          <w:p w14:paraId="2FC39487" w14:textId="77777777" w:rsidR="008B2957" w:rsidRPr="00904393" w:rsidRDefault="008B2957" w:rsidP="0013526B">
            <w:pPr>
              <w:ind w:left="522" w:right="-57"/>
              <w:jc w:val="both"/>
              <w:rPr>
                <w:bCs w:val="0"/>
                <w:sz w:val="8"/>
                <w:szCs w:val="8"/>
              </w:rPr>
            </w:pPr>
          </w:p>
        </w:tc>
        <w:tc>
          <w:tcPr>
            <w:tcW w:w="4598" w:type="dxa"/>
            <w:tcBorders>
              <w:top w:val="nil"/>
              <w:left w:val="nil"/>
              <w:bottom w:val="nil"/>
              <w:right w:val="nil"/>
            </w:tcBorders>
          </w:tcPr>
          <w:p w14:paraId="7D25BF41" w14:textId="77777777" w:rsidR="008B2957" w:rsidRPr="00904393" w:rsidRDefault="008B2957" w:rsidP="0013526B">
            <w:pPr>
              <w:tabs>
                <w:tab w:val="left" w:pos="5590"/>
                <w:tab w:val="right" w:pos="7620"/>
                <w:tab w:val="right" w:pos="9460"/>
                <w:tab w:val="right" w:pos="10080"/>
              </w:tabs>
              <w:ind w:left="651" w:right="-57"/>
              <w:jc w:val="both"/>
              <w:rPr>
                <w:bCs w:val="0"/>
                <w:i/>
                <w:sz w:val="8"/>
                <w:szCs w:val="8"/>
              </w:rPr>
            </w:pPr>
          </w:p>
        </w:tc>
      </w:tr>
      <w:tr w:rsidR="008B2957" w:rsidRPr="0013526B" w14:paraId="68DD9528" w14:textId="77777777" w:rsidTr="00276295">
        <w:trPr>
          <w:trHeight w:val="20"/>
        </w:trPr>
        <w:tc>
          <w:tcPr>
            <w:tcW w:w="4599" w:type="dxa"/>
            <w:tcBorders>
              <w:top w:val="nil"/>
              <w:left w:val="nil"/>
              <w:bottom w:val="nil"/>
              <w:right w:val="nil"/>
            </w:tcBorders>
          </w:tcPr>
          <w:p w14:paraId="723739B6" w14:textId="77777777" w:rsidR="008B2957" w:rsidRPr="00AE3B43" w:rsidRDefault="008B2957" w:rsidP="0013526B">
            <w:pPr>
              <w:ind w:left="1134" w:right="-57"/>
              <w:jc w:val="both"/>
              <w:rPr>
                <w:bCs w:val="0"/>
                <w:sz w:val="18"/>
                <w:szCs w:val="18"/>
              </w:rPr>
            </w:pPr>
            <w:r w:rsidRPr="00AE3B43">
              <w:rPr>
                <w:sz w:val="18"/>
                <w:szCs w:val="18"/>
              </w:rPr>
              <w:t>Aset keuangan diklasifikasikan sebagai FVTPL pada saat aset keuangan diperoleh untuk diperdagangan atau ditetapkan pada saat pengakuan awal sebagai FVTPL. Aset keuangan diklasifikasikan sebagai kelompok diperdagangkan jika diperoleh untuk tujuan dijual atau dibeli kembali dalam waktu dekat. Aset derivatif juga diklasifikasikan sebagai kelompok diperdagangkan kecuali aset derivatif tersebut ditetapkan sebagai instrumen lindung nilai efektif.</w:t>
            </w:r>
          </w:p>
        </w:tc>
        <w:tc>
          <w:tcPr>
            <w:tcW w:w="4598" w:type="dxa"/>
            <w:tcBorders>
              <w:top w:val="nil"/>
              <w:left w:val="nil"/>
              <w:bottom w:val="nil"/>
              <w:right w:val="nil"/>
            </w:tcBorders>
          </w:tcPr>
          <w:p w14:paraId="4BADE2AB" w14:textId="77777777" w:rsidR="008B2957" w:rsidRPr="0013526B" w:rsidRDefault="008B2957" w:rsidP="0013526B">
            <w:pPr>
              <w:pStyle w:val="ListParagraph"/>
              <w:ind w:left="1134" w:right="-57"/>
              <w:jc w:val="both"/>
              <w:rPr>
                <w:bCs w:val="0"/>
                <w:i/>
                <w:sz w:val="18"/>
                <w:szCs w:val="18"/>
              </w:rPr>
            </w:pPr>
            <w:r w:rsidRPr="00AE3B43">
              <w:rPr>
                <w:i/>
                <w:sz w:val="18"/>
                <w:szCs w:val="18"/>
              </w:rPr>
              <w:t>Financial assets are classified as FVTPL when the financial assets acquired for trading or designated upon initial recognition as FVTPL. Financial assets are classified as held for trading if acquired for the purpose of selling or repurchasing in the near future. Derivative assets are also classified as held for trading unless they are designated as derivative assets effective hedging instruments.</w:t>
            </w:r>
          </w:p>
        </w:tc>
      </w:tr>
    </w:tbl>
    <w:p w14:paraId="17B013F9" w14:textId="77777777" w:rsidR="008B2957" w:rsidRPr="00904393" w:rsidRDefault="008B2957" w:rsidP="0013526B">
      <w:pPr>
        <w:rPr>
          <w:sz w:val="8"/>
          <w:szCs w:val="8"/>
        </w:rPr>
      </w:pPr>
    </w:p>
    <w:tbl>
      <w:tblPr>
        <w:tblW w:w="9197" w:type="dxa"/>
        <w:tblInd w:w="392" w:type="dxa"/>
        <w:tblLayout w:type="fixed"/>
        <w:tblLook w:val="0000" w:firstRow="0" w:lastRow="0" w:firstColumn="0" w:lastColumn="0" w:noHBand="0" w:noVBand="0"/>
      </w:tblPr>
      <w:tblGrid>
        <w:gridCol w:w="4598"/>
        <w:gridCol w:w="4599"/>
      </w:tblGrid>
      <w:tr w:rsidR="00582218" w:rsidRPr="00A928CB" w14:paraId="06B3F21F" w14:textId="77777777" w:rsidTr="005B47F7">
        <w:trPr>
          <w:trHeight w:val="20"/>
        </w:trPr>
        <w:tc>
          <w:tcPr>
            <w:tcW w:w="4598" w:type="dxa"/>
            <w:tcBorders>
              <w:top w:val="nil"/>
              <w:left w:val="nil"/>
              <w:bottom w:val="nil"/>
              <w:right w:val="nil"/>
            </w:tcBorders>
          </w:tcPr>
          <w:p w14:paraId="56C55D2B" w14:textId="77777777" w:rsidR="00582218" w:rsidRPr="00AE3B43" w:rsidRDefault="00582218" w:rsidP="00D215E4">
            <w:pPr>
              <w:ind w:left="1134" w:right="-57"/>
              <w:jc w:val="both"/>
              <w:rPr>
                <w:bCs w:val="0"/>
                <w:sz w:val="18"/>
                <w:szCs w:val="18"/>
              </w:rPr>
            </w:pPr>
            <w:r w:rsidRPr="00AE3B43">
              <w:rPr>
                <w:sz w:val="18"/>
                <w:szCs w:val="18"/>
              </w:rPr>
              <w:t xml:space="preserve">Aset keuangan FVTPL termasuk aset keuangan untuk diperdagangkan dan aset keuangan yang ditetapkan pada saat pengakuan awal sebagai FVTPL disajikan dalam laporan posisi keuangan </w:t>
            </w:r>
            <w:r w:rsidRPr="00AE3B43">
              <w:rPr>
                <w:sz w:val="18"/>
                <w:szCs w:val="18"/>
                <w:lang w:val="id-ID"/>
              </w:rPr>
              <w:t xml:space="preserve">konsolidasian </w:t>
            </w:r>
            <w:r w:rsidRPr="00AE3B43">
              <w:rPr>
                <w:sz w:val="18"/>
                <w:szCs w:val="18"/>
              </w:rPr>
              <w:t xml:space="preserve">pada nilai wajar dengan keuntungan atau kerugian dari perubahan nilai wajar diakui dalam laporan laba rugi dan penghasilan komprehensif lain </w:t>
            </w:r>
            <w:r w:rsidRPr="00AE3B43">
              <w:rPr>
                <w:sz w:val="18"/>
                <w:szCs w:val="18"/>
                <w:lang w:val="id-ID"/>
              </w:rPr>
              <w:t xml:space="preserve">konsolidasian </w:t>
            </w:r>
            <w:r w:rsidRPr="00AE3B43">
              <w:rPr>
                <w:sz w:val="18"/>
                <w:szCs w:val="18"/>
              </w:rPr>
              <w:t>termasuk dividen atau bunga yang diperoleh dari aset keuangan tanpa dikurangi biaya transaksi yang mungkin terjadi pada saat penjualan atau pelepasan lainnya.</w:t>
            </w:r>
          </w:p>
        </w:tc>
        <w:tc>
          <w:tcPr>
            <w:tcW w:w="4599" w:type="dxa"/>
            <w:tcBorders>
              <w:top w:val="nil"/>
              <w:left w:val="nil"/>
              <w:bottom w:val="nil"/>
              <w:right w:val="nil"/>
            </w:tcBorders>
          </w:tcPr>
          <w:p w14:paraId="6C940C97" w14:textId="77777777" w:rsidR="00582218" w:rsidRPr="00AE3B43" w:rsidRDefault="00582218" w:rsidP="00D215E4">
            <w:pPr>
              <w:pStyle w:val="ListParagraph"/>
              <w:ind w:left="1134" w:right="-57"/>
              <w:jc w:val="both"/>
              <w:rPr>
                <w:bCs w:val="0"/>
                <w:i/>
                <w:sz w:val="18"/>
                <w:szCs w:val="18"/>
              </w:rPr>
            </w:pPr>
            <w:r w:rsidRPr="00AE3B43">
              <w:rPr>
                <w:i/>
                <w:sz w:val="18"/>
                <w:szCs w:val="18"/>
              </w:rPr>
              <w:t xml:space="preserve">Financial assets at FVTPL include financial assets held for trading and financial assets designated upon initial recognition as FVTPL are presented in the </w:t>
            </w:r>
            <w:r w:rsidRPr="00AE3B43">
              <w:rPr>
                <w:i/>
                <w:sz w:val="18"/>
                <w:szCs w:val="18"/>
                <w:lang w:val="id-ID"/>
              </w:rPr>
              <w:t xml:space="preserve">consolidated </w:t>
            </w:r>
            <w:r w:rsidRPr="00AE3B43">
              <w:rPr>
                <w:i/>
                <w:sz w:val="18"/>
                <w:szCs w:val="18"/>
              </w:rPr>
              <w:t xml:space="preserve">statement of financial position at fair value with gains or losses from changes in fair value recognized in the </w:t>
            </w:r>
            <w:r w:rsidRPr="00AE3B43">
              <w:rPr>
                <w:i/>
                <w:sz w:val="18"/>
                <w:szCs w:val="18"/>
                <w:lang w:val="id-ID"/>
              </w:rPr>
              <w:t xml:space="preserve">consolidated </w:t>
            </w:r>
            <w:r w:rsidRPr="00AE3B43">
              <w:rPr>
                <w:i/>
                <w:sz w:val="18"/>
                <w:szCs w:val="18"/>
              </w:rPr>
              <w:t>statement of profit or loss and other comprehensive income include dividends or interest earned on financial assets without deducting transaction costs that may occur upon the sale or other disposal.</w:t>
            </w:r>
          </w:p>
        </w:tc>
      </w:tr>
      <w:tr w:rsidR="00582218" w:rsidRPr="00904393" w14:paraId="6982912D" w14:textId="77777777" w:rsidTr="005B47F7">
        <w:trPr>
          <w:trHeight w:val="20"/>
        </w:trPr>
        <w:tc>
          <w:tcPr>
            <w:tcW w:w="4598" w:type="dxa"/>
            <w:tcBorders>
              <w:top w:val="nil"/>
              <w:left w:val="nil"/>
              <w:bottom w:val="nil"/>
              <w:right w:val="nil"/>
            </w:tcBorders>
          </w:tcPr>
          <w:p w14:paraId="405C4D14" w14:textId="77777777" w:rsidR="00582218" w:rsidRPr="00904393" w:rsidRDefault="00582218" w:rsidP="00D215E4">
            <w:pPr>
              <w:ind w:left="522" w:right="-57"/>
              <w:jc w:val="both"/>
              <w:rPr>
                <w:bCs w:val="0"/>
                <w:sz w:val="8"/>
                <w:szCs w:val="8"/>
                <w:highlight w:val="cyan"/>
              </w:rPr>
            </w:pPr>
          </w:p>
        </w:tc>
        <w:tc>
          <w:tcPr>
            <w:tcW w:w="4599" w:type="dxa"/>
            <w:tcBorders>
              <w:top w:val="nil"/>
              <w:left w:val="nil"/>
              <w:bottom w:val="nil"/>
              <w:right w:val="nil"/>
            </w:tcBorders>
          </w:tcPr>
          <w:p w14:paraId="3005CC7C" w14:textId="77777777" w:rsidR="00582218" w:rsidRPr="00904393" w:rsidRDefault="00582218" w:rsidP="00D215E4">
            <w:pPr>
              <w:tabs>
                <w:tab w:val="left" w:pos="5590"/>
                <w:tab w:val="right" w:pos="7620"/>
                <w:tab w:val="right" w:pos="9460"/>
                <w:tab w:val="right" w:pos="10080"/>
              </w:tabs>
              <w:ind w:left="651" w:right="-57"/>
              <w:jc w:val="both"/>
              <w:rPr>
                <w:bCs w:val="0"/>
                <w:i/>
                <w:sz w:val="8"/>
                <w:szCs w:val="8"/>
                <w:highlight w:val="cyan"/>
              </w:rPr>
            </w:pPr>
          </w:p>
        </w:tc>
      </w:tr>
      <w:tr w:rsidR="00582218" w:rsidRPr="00A928CB" w14:paraId="145E9B12" w14:textId="77777777" w:rsidTr="005B47F7">
        <w:trPr>
          <w:trHeight w:val="20"/>
        </w:trPr>
        <w:tc>
          <w:tcPr>
            <w:tcW w:w="4598" w:type="dxa"/>
            <w:tcBorders>
              <w:top w:val="nil"/>
              <w:left w:val="nil"/>
              <w:bottom w:val="nil"/>
              <w:right w:val="nil"/>
            </w:tcBorders>
          </w:tcPr>
          <w:p w14:paraId="51086D46" w14:textId="77777777" w:rsidR="00582218" w:rsidRPr="00AE3B43" w:rsidRDefault="00582218" w:rsidP="00070D1F">
            <w:pPr>
              <w:numPr>
                <w:ilvl w:val="0"/>
                <w:numId w:val="122"/>
              </w:numPr>
              <w:ind w:left="1135" w:right="-57" w:hanging="284"/>
              <w:jc w:val="both"/>
              <w:rPr>
                <w:bCs w:val="0"/>
                <w:sz w:val="18"/>
                <w:szCs w:val="18"/>
              </w:rPr>
            </w:pPr>
            <w:r w:rsidRPr="00AE3B43">
              <w:rPr>
                <w:sz w:val="18"/>
                <w:szCs w:val="18"/>
              </w:rPr>
              <w:t xml:space="preserve">Invetasi </w:t>
            </w:r>
            <w:r w:rsidRPr="00AE3B43">
              <w:rPr>
                <w:bCs w:val="0"/>
                <w:sz w:val="18"/>
                <w:szCs w:val="18"/>
              </w:rPr>
              <w:t>yang</w:t>
            </w:r>
            <w:r w:rsidRPr="00AE3B43">
              <w:rPr>
                <w:sz w:val="18"/>
                <w:szCs w:val="18"/>
              </w:rPr>
              <w:t xml:space="preserve"> Dimiliki Hingga Jatuh Tempo (HTM)</w:t>
            </w:r>
          </w:p>
        </w:tc>
        <w:tc>
          <w:tcPr>
            <w:tcW w:w="4599" w:type="dxa"/>
            <w:tcBorders>
              <w:top w:val="nil"/>
              <w:left w:val="nil"/>
              <w:bottom w:val="nil"/>
              <w:right w:val="nil"/>
            </w:tcBorders>
          </w:tcPr>
          <w:p w14:paraId="4B54EEEB" w14:textId="77777777" w:rsidR="00582218" w:rsidRPr="00AE3B43" w:rsidRDefault="00582218" w:rsidP="00070D1F">
            <w:pPr>
              <w:pStyle w:val="ListParagraph"/>
              <w:numPr>
                <w:ilvl w:val="0"/>
                <w:numId w:val="123"/>
              </w:numPr>
              <w:ind w:left="1135" w:hanging="284"/>
              <w:jc w:val="both"/>
              <w:rPr>
                <w:bCs w:val="0"/>
                <w:i/>
                <w:sz w:val="18"/>
                <w:szCs w:val="18"/>
              </w:rPr>
            </w:pPr>
            <w:r w:rsidRPr="00AE3B43">
              <w:rPr>
                <w:i/>
                <w:sz w:val="18"/>
                <w:szCs w:val="18"/>
              </w:rPr>
              <w:t>Held-to-Maturity Investments (HTM)</w:t>
            </w:r>
          </w:p>
        </w:tc>
      </w:tr>
      <w:tr w:rsidR="00582218" w:rsidRPr="00904393" w14:paraId="79291562" w14:textId="77777777" w:rsidTr="005B47F7">
        <w:trPr>
          <w:trHeight w:val="20"/>
        </w:trPr>
        <w:tc>
          <w:tcPr>
            <w:tcW w:w="4598" w:type="dxa"/>
            <w:tcBorders>
              <w:top w:val="nil"/>
              <w:left w:val="nil"/>
              <w:bottom w:val="nil"/>
              <w:right w:val="nil"/>
            </w:tcBorders>
          </w:tcPr>
          <w:p w14:paraId="0C6FB205" w14:textId="77777777" w:rsidR="00582218" w:rsidRPr="00904393" w:rsidRDefault="00582218" w:rsidP="00D215E4">
            <w:pPr>
              <w:ind w:left="522" w:right="-57"/>
              <w:jc w:val="both"/>
              <w:rPr>
                <w:bCs w:val="0"/>
                <w:sz w:val="8"/>
                <w:szCs w:val="8"/>
                <w:highlight w:val="cyan"/>
              </w:rPr>
            </w:pPr>
          </w:p>
        </w:tc>
        <w:tc>
          <w:tcPr>
            <w:tcW w:w="4599" w:type="dxa"/>
            <w:tcBorders>
              <w:top w:val="nil"/>
              <w:left w:val="nil"/>
              <w:bottom w:val="nil"/>
              <w:right w:val="nil"/>
            </w:tcBorders>
          </w:tcPr>
          <w:p w14:paraId="340D314D" w14:textId="77777777" w:rsidR="00582218" w:rsidRPr="00904393" w:rsidRDefault="00582218" w:rsidP="00D215E4">
            <w:pPr>
              <w:tabs>
                <w:tab w:val="left" w:pos="5590"/>
                <w:tab w:val="right" w:pos="7620"/>
                <w:tab w:val="right" w:pos="9460"/>
                <w:tab w:val="right" w:pos="10080"/>
              </w:tabs>
              <w:ind w:left="651" w:right="-57"/>
              <w:jc w:val="both"/>
              <w:rPr>
                <w:bCs w:val="0"/>
                <w:i/>
                <w:sz w:val="8"/>
                <w:szCs w:val="8"/>
                <w:highlight w:val="cyan"/>
              </w:rPr>
            </w:pPr>
          </w:p>
        </w:tc>
      </w:tr>
      <w:tr w:rsidR="00582218" w:rsidRPr="00AE3B43" w14:paraId="26730574" w14:textId="77777777" w:rsidTr="005B47F7">
        <w:trPr>
          <w:trHeight w:val="20"/>
        </w:trPr>
        <w:tc>
          <w:tcPr>
            <w:tcW w:w="4598" w:type="dxa"/>
            <w:tcBorders>
              <w:top w:val="nil"/>
              <w:left w:val="nil"/>
              <w:bottom w:val="nil"/>
              <w:right w:val="nil"/>
            </w:tcBorders>
          </w:tcPr>
          <w:p w14:paraId="38265C92" w14:textId="77777777" w:rsidR="00582218" w:rsidRPr="00AE3B43" w:rsidRDefault="00582218" w:rsidP="00D215E4">
            <w:pPr>
              <w:ind w:left="1134" w:right="-57"/>
              <w:jc w:val="both"/>
              <w:rPr>
                <w:bCs w:val="0"/>
                <w:sz w:val="18"/>
                <w:szCs w:val="18"/>
              </w:rPr>
            </w:pPr>
            <w:r w:rsidRPr="00AE3B43">
              <w:rPr>
                <w:sz w:val="18"/>
                <w:szCs w:val="18"/>
              </w:rPr>
              <w:t xml:space="preserve">Aset keuangan non-derivatif dengan pembayaran tetap atau telah ditentukan dan jatuh temponya telah ditetapkan diklasifikasikan sebagai investasi dimiliki hingga jatuh tempo (HTM) ketika </w:t>
            </w:r>
            <w:r w:rsidRPr="00AE3B43">
              <w:rPr>
                <w:sz w:val="18"/>
                <w:szCs w:val="18"/>
                <w:lang w:val="id-ID"/>
              </w:rPr>
              <w:t>Kelompok Usaha</w:t>
            </w:r>
            <w:r w:rsidRPr="00AE3B43">
              <w:rPr>
                <w:sz w:val="18"/>
                <w:szCs w:val="18"/>
              </w:rPr>
              <w:t xml:space="preserve"> mempunyai maksud positif dan kemampuan untuk memiliki aset keuangan hingga jatuh tempo.</w:t>
            </w:r>
          </w:p>
        </w:tc>
        <w:tc>
          <w:tcPr>
            <w:tcW w:w="4599" w:type="dxa"/>
            <w:tcBorders>
              <w:top w:val="nil"/>
              <w:left w:val="nil"/>
              <w:bottom w:val="nil"/>
              <w:right w:val="nil"/>
            </w:tcBorders>
          </w:tcPr>
          <w:p w14:paraId="32BA0C34" w14:textId="77777777" w:rsidR="00582218" w:rsidRPr="00AE3B43" w:rsidRDefault="00582218" w:rsidP="00D215E4">
            <w:pPr>
              <w:pStyle w:val="ListParagraph"/>
              <w:ind w:left="1134" w:right="-57"/>
              <w:jc w:val="both"/>
              <w:rPr>
                <w:i/>
                <w:sz w:val="18"/>
                <w:szCs w:val="18"/>
              </w:rPr>
            </w:pPr>
            <w:r w:rsidRPr="00AE3B43">
              <w:rPr>
                <w:i/>
                <w:sz w:val="18"/>
                <w:szCs w:val="18"/>
              </w:rPr>
              <w:t xml:space="preserve">Non-derivative financial assets with fixed or determinable payments and maturity are classified as HTM investments when the </w:t>
            </w:r>
            <w:r w:rsidRPr="00AE3B43">
              <w:rPr>
                <w:i/>
                <w:sz w:val="18"/>
                <w:szCs w:val="18"/>
                <w:lang w:val="id-ID"/>
              </w:rPr>
              <w:t xml:space="preserve">Group </w:t>
            </w:r>
            <w:r w:rsidRPr="00AE3B43">
              <w:rPr>
                <w:i/>
                <w:sz w:val="18"/>
                <w:szCs w:val="18"/>
              </w:rPr>
              <w:t>has the positive intention and ability to hold them until maturity.</w:t>
            </w:r>
          </w:p>
        </w:tc>
      </w:tr>
      <w:tr w:rsidR="00582218" w:rsidRPr="00904393" w14:paraId="1CE71407" w14:textId="77777777" w:rsidTr="005B47F7">
        <w:trPr>
          <w:trHeight w:val="20"/>
        </w:trPr>
        <w:tc>
          <w:tcPr>
            <w:tcW w:w="4598" w:type="dxa"/>
            <w:tcBorders>
              <w:top w:val="nil"/>
              <w:left w:val="nil"/>
              <w:bottom w:val="nil"/>
              <w:right w:val="nil"/>
            </w:tcBorders>
          </w:tcPr>
          <w:p w14:paraId="25A4EF76" w14:textId="77777777" w:rsidR="00582218" w:rsidRPr="00904393" w:rsidRDefault="00582218" w:rsidP="00D215E4">
            <w:pPr>
              <w:ind w:left="522" w:right="-57"/>
              <w:jc w:val="both"/>
              <w:rPr>
                <w:bCs w:val="0"/>
                <w:sz w:val="8"/>
                <w:szCs w:val="8"/>
              </w:rPr>
            </w:pPr>
          </w:p>
        </w:tc>
        <w:tc>
          <w:tcPr>
            <w:tcW w:w="4599" w:type="dxa"/>
            <w:tcBorders>
              <w:top w:val="nil"/>
              <w:left w:val="nil"/>
              <w:bottom w:val="nil"/>
              <w:right w:val="nil"/>
            </w:tcBorders>
          </w:tcPr>
          <w:p w14:paraId="43833DCF" w14:textId="77777777" w:rsidR="00582218" w:rsidRPr="00904393" w:rsidRDefault="00582218" w:rsidP="00D215E4">
            <w:pPr>
              <w:tabs>
                <w:tab w:val="left" w:pos="5590"/>
                <w:tab w:val="right" w:pos="7620"/>
                <w:tab w:val="right" w:pos="9460"/>
                <w:tab w:val="right" w:pos="10080"/>
              </w:tabs>
              <w:ind w:left="651" w:right="-57"/>
              <w:jc w:val="both"/>
              <w:rPr>
                <w:bCs w:val="0"/>
                <w:i/>
                <w:sz w:val="8"/>
                <w:szCs w:val="8"/>
              </w:rPr>
            </w:pPr>
          </w:p>
        </w:tc>
      </w:tr>
      <w:tr w:rsidR="00582218" w:rsidRPr="00AE3B43" w14:paraId="0CE8543E" w14:textId="77777777" w:rsidTr="005B47F7">
        <w:trPr>
          <w:trHeight w:val="20"/>
        </w:trPr>
        <w:tc>
          <w:tcPr>
            <w:tcW w:w="4598" w:type="dxa"/>
            <w:tcBorders>
              <w:top w:val="nil"/>
              <w:left w:val="nil"/>
              <w:bottom w:val="nil"/>
              <w:right w:val="nil"/>
            </w:tcBorders>
          </w:tcPr>
          <w:p w14:paraId="67F8249C" w14:textId="08EC767C" w:rsidR="00582218" w:rsidRPr="00AE3B43" w:rsidRDefault="00582218" w:rsidP="005B47F7">
            <w:pPr>
              <w:ind w:left="1134" w:right="-57"/>
              <w:jc w:val="both"/>
              <w:rPr>
                <w:sz w:val="18"/>
                <w:szCs w:val="18"/>
              </w:rPr>
            </w:pPr>
            <w:r w:rsidRPr="00AE3B43">
              <w:rPr>
                <w:sz w:val="18"/>
                <w:szCs w:val="18"/>
              </w:rPr>
              <w:t>Setelah pengukuran awal</w:t>
            </w:r>
            <w:r w:rsidR="005B47F7">
              <w:rPr>
                <w:sz w:val="18"/>
                <w:szCs w:val="18"/>
              </w:rPr>
              <w:t>,</w:t>
            </w:r>
            <w:r w:rsidRPr="00AE3B43">
              <w:rPr>
                <w:sz w:val="18"/>
                <w:szCs w:val="18"/>
              </w:rPr>
              <w:t xml:space="preserve"> investasi HTM diukur pada biaya perolehan diamortisasi dengan menggunakan metode suku bunga efektif (EIR).</w:t>
            </w:r>
          </w:p>
        </w:tc>
        <w:tc>
          <w:tcPr>
            <w:tcW w:w="4599" w:type="dxa"/>
            <w:tcBorders>
              <w:top w:val="nil"/>
              <w:left w:val="nil"/>
              <w:bottom w:val="nil"/>
              <w:right w:val="nil"/>
            </w:tcBorders>
          </w:tcPr>
          <w:p w14:paraId="35A16D3C" w14:textId="4EB6AD77" w:rsidR="00582218" w:rsidRPr="00AE3B43" w:rsidRDefault="00582218" w:rsidP="005B47F7">
            <w:pPr>
              <w:pStyle w:val="ListParagraph"/>
              <w:ind w:left="1134" w:right="-57"/>
              <w:jc w:val="both"/>
              <w:rPr>
                <w:bCs w:val="0"/>
                <w:i/>
                <w:sz w:val="18"/>
                <w:szCs w:val="18"/>
              </w:rPr>
            </w:pPr>
            <w:r w:rsidRPr="00AE3B43">
              <w:rPr>
                <w:i/>
                <w:sz w:val="18"/>
                <w:szCs w:val="18"/>
              </w:rPr>
              <w:t>After initial measurement</w:t>
            </w:r>
            <w:r w:rsidR="005B47F7">
              <w:rPr>
                <w:i/>
                <w:sz w:val="18"/>
                <w:szCs w:val="18"/>
              </w:rPr>
              <w:t>,</w:t>
            </w:r>
            <w:r w:rsidRPr="00AE3B43">
              <w:rPr>
                <w:i/>
                <w:sz w:val="18"/>
                <w:szCs w:val="18"/>
              </w:rPr>
              <w:t xml:space="preserve"> investments HTM are measured at amortized cost using the effective interest </w:t>
            </w:r>
            <w:r w:rsidRPr="00AE3B43">
              <w:rPr>
                <w:bCs w:val="0"/>
                <w:i/>
                <w:sz w:val="18"/>
                <w:szCs w:val="18"/>
              </w:rPr>
              <w:t>method</w:t>
            </w:r>
            <w:r w:rsidRPr="00AE3B43">
              <w:rPr>
                <w:i/>
                <w:sz w:val="18"/>
                <w:szCs w:val="18"/>
              </w:rPr>
              <w:t xml:space="preserve"> (EIR).</w:t>
            </w:r>
          </w:p>
        </w:tc>
      </w:tr>
      <w:tr w:rsidR="00582218" w:rsidRPr="00904393" w14:paraId="471509EF" w14:textId="77777777" w:rsidTr="005B47F7">
        <w:trPr>
          <w:trHeight w:val="20"/>
        </w:trPr>
        <w:tc>
          <w:tcPr>
            <w:tcW w:w="4598" w:type="dxa"/>
            <w:tcBorders>
              <w:top w:val="nil"/>
              <w:left w:val="nil"/>
              <w:bottom w:val="nil"/>
              <w:right w:val="nil"/>
            </w:tcBorders>
          </w:tcPr>
          <w:p w14:paraId="47F47FE7" w14:textId="77777777" w:rsidR="00582218" w:rsidRPr="00904393" w:rsidRDefault="00582218" w:rsidP="00D215E4">
            <w:pPr>
              <w:ind w:left="522" w:right="-57"/>
              <w:jc w:val="both"/>
              <w:rPr>
                <w:bCs w:val="0"/>
                <w:sz w:val="8"/>
                <w:szCs w:val="8"/>
              </w:rPr>
            </w:pPr>
          </w:p>
        </w:tc>
        <w:tc>
          <w:tcPr>
            <w:tcW w:w="4599" w:type="dxa"/>
            <w:tcBorders>
              <w:top w:val="nil"/>
              <w:left w:val="nil"/>
              <w:bottom w:val="nil"/>
              <w:right w:val="nil"/>
            </w:tcBorders>
          </w:tcPr>
          <w:p w14:paraId="09DB8F4C" w14:textId="77777777" w:rsidR="00582218" w:rsidRPr="00904393" w:rsidRDefault="00582218" w:rsidP="00D215E4">
            <w:pPr>
              <w:tabs>
                <w:tab w:val="left" w:pos="5590"/>
                <w:tab w:val="right" w:pos="7620"/>
                <w:tab w:val="right" w:pos="9460"/>
                <w:tab w:val="right" w:pos="10080"/>
              </w:tabs>
              <w:ind w:left="651" w:right="-57"/>
              <w:jc w:val="both"/>
              <w:rPr>
                <w:bCs w:val="0"/>
                <w:i/>
                <w:sz w:val="8"/>
                <w:szCs w:val="8"/>
              </w:rPr>
            </w:pPr>
          </w:p>
        </w:tc>
      </w:tr>
      <w:tr w:rsidR="00582218" w:rsidRPr="00A928CB" w14:paraId="7B00FD9F" w14:textId="77777777" w:rsidTr="005B47F7">
        <w:trPr>
          <w:trHeight w:val="20"/>
        </w:trPr>
        <w:tc>
          <w:tcPr>
            <w:tcW w:w="4598" w:type="dxa"/>
            <w:tcBorders>
              <w:top w:val="nil"/>
              <w:left w:val="nil"/>
              <w:bottom w:val="nil"/>
              <w:right w:val="nil"/>
            </w:tcBorders>
          </w:tcPr>
          <w:p w14:paraId="0D2AFFED" w14:textId="77777777" w:rsidR="00582218" w:rsidRPr="00AE3B43" w:rsidRDefault="00582218" w:rsidP="00D215E4">
            <w:pPr>
              <w:ind w:left="1134" w:right="-57"/>
              <w:jc w:val="both"/>
              <w:rPr>
                <w:bCs w:val="0"/>
                <w:sz w:val="18"/>
                <w:szCs w:val="18"/>
              </w:rPr>
            </w:pPr>
            <w:r w:rsidRPr="00AE3B43">
              <w:rPr>
                <w:sz w:val="18"/>
                <w:szCs w:val="18"/>
              </w:rPr>
              <w:t>Metode ini menggunakan EIR untuk estimasi penerimaan kas di masa datang yang didiskontokan selama perkiraan umur dari aset keuangan ke nilai tercatat bersih dari aset keuangan.</w:t>
            </w:r>
          </w:p>
        </w:tc>
        <w:tc>
          <w:tcPr>
            <w:tcW w:w="4599" w:type="dxa"/>
            <w:tcBorders>
              <w:top w:val="nil"/>
              <w:left w:val="nil"/>
              <w:bottom w:val="nil"/>
              <w:right w:val="nil"/>
            </w:tcBorders>
          </w:tcPr>
          <w:p w14:paraId="45A8E25E" w14:textId="77777777" w:rsidR="00582218" w:rsidRPr="00AE3B43" w:rsidRDefault="00582218" w:rsidP="00D215E4">
            <w:pPr>
              <w:pStyle w:val="ListParagraph"/>
              <w:ind w:left="1134" w:right="-57"/>
              <w:jc w:val="both"/>
              <w:rPr>
                <w:bCs w:val="0"/>
                <w:i/>
                <w:sz w:val="18"/>
                <w:szCs w:val="18"/>
              </w:rPr>
            </w:pPr>
            <w:r w:rsidRPr="00AE3B43">
              <w:rPr>
                <w:i/>
                <w:sz w:val="18"/>
                <w:szCs w:val="18"/>
              </w:rPr>
              <w:t>This method uses the EIR for discounted estimated future cash receipts through the expected life of the financial asset to the net carrying amount of the financial asset.</w:t>
            </w:r>
          </w:p>
        </w:tc>
      </w:tr>
      <w:tr w:rsidR="005B47F7" w:rsidRPr="00A928CB" w14:paraId="5C31D2D5" w14:textId="77777777" w:rsidTr="005B47F7">
        <w:trPr>
          <w:trHeight w:val="20"/>
        </w:trPr>
        <w:tc>
          <w:tcPr>
            <w:tcW w:w="4598" w:type="dxa"/>
            <w:tcBorders>
              <w:top w:val="nil"/>
              <w:left w:val="nil"/>
              <w:bottom w:val="nil"/>
              <w:right w:val="nil"/>
            </w:tcBorders>
          </w:tcPr>
          <w:p w14:paraId="0A7D6510" w14:textId="77777777" w:rsidR="005B47F7" w:rsidRDefault="005B47F7" w:rsidP="00D215E4">
            <w:pPr>
              <w:ind w:left="1134" w:right="-57"/>
              <w:jc w:val="both"/>
              <w:rPr>
                <w:sz w:val="18"/>
                <w:szCs w:val="18"/>
                <w:lang w:val="id-ID"/>
              </w:rPr>
            </w:pPr>
          </w:p>
          <w:p w14:paraId="0E12F901" w14:textId="77777777" w:rsidR="0050709A" w:rsidRPr="0050709A" w:rsidRDefault="0050709A" w:rsidP="00D215E4">
            <w:pPr>
              <w:ind w:left="1134" w:right="-57"/>
              <w:jc w:val="both"/>
              <w:rPr>
                <w:sz w:val="18"/>
                <w:szCs w:val="18"/>
                <w:lang w:val="id-ID"/>
              </w:rPr>
            </w:pPr>
          </w:p>
          <w:p w14:paraId="55A72B2B" w14:textId="77777777" w:rsidR="005B47F7" w:rsidRDefault="005B47F7" w:rsidP="00D215E4">
            <w:pPr>
              <w:ind w:left="1134" w:right="-57"/>
              <w:jc w:val="both"/>
              <w:rPr>
                <w:sz w:val="18"/>
                <w:szCs w:val="18"/>
              </w:rPr>
            </w:pPr>
          </w:p>
          <w:p w14:paraId="44FA6251" w14:textId="77777777" w:rsidR="005B47F7" w:rsidRDefault="005B47F7" w:rsidP="00D215E4">
            <w:pPr>
              <w:ind w:left="1134" w:right="-57"/>
              <w:jc w:val="both"/>
              <w:rPr>
                <w:sz w:val="18"/>
                <w:szCs w:val="18"/>
              </w:rPr>
            </w:pPr>
          </w:p>
          <w:p w14:paraId="21F4B8DB" w14:textId="50D2E079" w:rsidR="005B47F7" w:rsidRPr="00AE3B43" w:rsidRDefault="005B47F7" w:rsidP="00D215E4">
            <w:pPr>
              <w:ind w:left="1134" w:right="-57"/>
              <w:jc w:val="both"/>
              <w:rPr>
                <w:sz w:val="18"/>
                <w:szCs w:val="18"/>
              </w:rPr>
            </w:pPr>
          </w:p>
        </w:tc>
        <w:tc>
          <w:tcPr>
            <w:tcW w:w="4599" w:type="dxa"/>
            <w:tcBorders>
              <w:top w:val="nil"/>
              <w:left w:val="nil"/>
              <w:bottom w:val="nil"/>
              <w:right w:val="nil"/>
            </w:tcBorders>
          </w:tcPr>
          <w:p w14:paraId="44647037" w14:textId="77777777" w:rsidR="005B47F7" w:rsidRPr="00AE3B43" w:rsidRDefault="005B47F7" w:rsidP="00D215E4">
            <w:pPr>
              <w:pStyle w:val="ListParagraph"/>
              <w:ind w:left="1134" w:right="-57"/>
              <w:jc w:val="both"/>
              <w:rPr>
                <w:i/>
                <w:sz w:val="18"/>
                <w:szCs w:val="18"/>
              </w:rPr>
            </w:pPr>
          </w:p>
        </w:tc>
      </w:tr>
      <w:tr w:rsidR="00582218" w:rsidRPr="00904393" w14:paraId="045A4409" w14:textId="77777777" w:rsidTr="005B47F7">
        <w:trPr>
          <w:trHeight w:val="20"/>
        </w:trPr>
        <w:tc>
          <w:tcPr>
            <w:tcW w:w="4598" w:type="dxa"/>
            <w:tcBorders>
              <w:top w:val="nil"/>
              <w:left w:val="nil"/>
              <w:bottom w:val="nil"/>
              <w:right w:val="nil"/>
            </w:tcBorders>
          </w:tcPr>
          <w:p w14:paraId="700EB5EB" w14:textId="77777777" w:rsidR="00582218" w:rsidRPr="00904393" w:rsidRDefault="00582218" w:rsidP="00D215E4">
            <w:pPr>
              <w:ind w:left="522" w:right="-57"/>
              <w:jc w:val="both"/>
              <w:rPr>
                <w:bCs w:val="0"/>
                <w:sz w:val="8"/>
                <w:szCs w:val="8"/>
                <w:highlight w:val="cyan"/>
              </w:rPr>
            </w:pPr>
          </w:p>
        </w:tc>
        <w:tc>
          <w:tcPr>
            <w:tcW w:w="4599" w:type="dxa"/>
            <w:tcBorders>
              <w:top w:val="nil"/>
              <w:left w:val="nil"/>
              <w:bottom w:val="nil"/>
              <w:right w:val="nil"/>
            </w:tcBorders>
          </w:tcPr>
          <w:p w14:paraId="7F65EDA1" w14:textId="77777777" w:rsidR="00582218" w:rsidRPr="00904393" w:rsidRDefault="00582218" w:rsidP="00D215E4">
            <w:pPr>
              <w:tabs>
                <w:tab w:val="left" w:pos="5590"/>
                <w:tab w:val="right" w:pos="7620"/>
                <w:tab w:val="right" w:pos="9460"/>
                <w:tab w:val="right" w:pos="10080"/>
              </w:tabs>
              <w:ind w:left="651" w:right="-57"/>
              <w:jc w:val="both"/>
              <w:rPr>
                <w:bCs w:val="0"/>
                <w:i/>
                <w:sz w:val="8"/>
                <w:szCs w:val="8"/>
                <w:highlight w:val="cyan"/>
              </w:rPr>
            </w:pPr>
          </w:p>
        </w:tc>
      </w:tr>
    </w:tbl>
    <w:p w14:paraId="1690BEE7" w14:textId="37D40854" w:rsidR="00B16EDC" w:rsidRPr="00582218" w:rsidRDefault="00B16EDC" w:rsidP="0013526B">
      <w:pPr>
        <w:rPr>
          <w:sz w:val="2"/>
          <w:szCs w:val="2"/>
          <w:lang w:val="id-ID"/>
        </w:rPr>
      </w:pPr>
    </w:p>
    <w:tbl>
      <w:tblPr>
        <w:tblW w:w="9197" w:type="dxa"/>
        <w:tblInd w:w="392" w:type="dxa"/>
        <w:tblLayout w:type="fixed"/>
        <w:tblLook w:val="0000" w:firstRow="0" w:lastRow="0" w:firstColumn="0" w:lastColumn="0" w:noHBand="0" w:noVBand="0"/>
      </w:tblPr>
      <w:tblGrid>
        <w:gridCol w:w="4598"/>
        <w:gridCol w:w="4599"/>
      </w:tblGrid>
      <w:tr w:rsidR="008B2957" w:rsidRPr="00904393" w14:paraId="73222CFB" w14:textId="77777777" w:rsidTr="00582218">
        <w:trPr>
          <w:trHeight w:val="20"/>
        </w:trPr>
        <w:tc>
          <w:tcPr>
            <w:tcW w:w="4598" w:type="dxa"/>
            <w:tcBorders>
              <w:top w:val="nil"/>
              <w:left w:val="nil"/>
              <w:bottom w:val="nil"/>
              <w:right w:val="nil"/>
            </w:tcBorders>
          </w:tcPr>
          <w:p w14:paraId="49F86B66" w14:textId="77777777" w:rsidR="008B2957" w:rsidRPr="00904393" w:rsidRDefault="00614135" w:rsidP="00070D1F">
            <w:pPr>
              <w:numPr>
                <w:ilvl w:val="0"/>
                <w:numId w:val="124"/>
              </w:numPr>
              <w:ind w:left="284" w:right="-57" w:hanging="284"/>
              <w:jc w:val="both"/>
              <w:rPr>
                <w:b/>
                <w:sz w:val="18"/>
                <w:szCs w:val="18"/>
              </w:rPr>
            </w:pPr>
            <w:r w:rsidRPr="00904393">
              <w:rPr>
                <w:rStyle w:val="hps"/>
                <w:b/>
                <w:sz w:val="18"/>
                <w:szCs w:val="18"/>
              </w:rPr>
              <w:lastRenderedPageBreak/>
              <w:t xml:space="preserve">IKHTISAR KEBIJAKAN AKUNTANSI </w:t>
            </w:r>
            <w:r w:rsidR="00C85EDE" w:rsidRPr="00904393">
              <w:rPr>
                <w:rStyle w:val="hps"/>
                <w:b/>
                <w:sz w:val="18"/>
                <w:szCs w:val="18"/>
                <w:lang w:val="id-ID"/>
              </w:rPr>
              <w:t xml:space="preserve">YANG </w:t>
            </w:r>
            <w:r w:rsidRPr="00904393">
              <w:rPr>
                <w:rStyle w:val="hps"/>
                <w:b/>
                <w:sz w:val="18"/>
                <w:szCs w:val="18"/>
              </w:rPr>
              <w:t>PENTING - Lanjutan</w:t>
            </w:r>
          </w:p>
        </w:tc>
        <w:tc>
          <w:tcPr>
            <w:tcW w:w="4599" w:type="dxa"/>
            <w:tcBorders>
              <w:top w:val="nil"/>
              <w:left w:val="nil"/>
              <w:bottom w:val="nil"/>
              <w:right w:val="nil"/>
            </w:tcBorders>
          </w:tcPr>
          <w:p w14:paraId="5A3D0CD5" w14:textId="77777777" w:rsidR="008B2957" w:rsidRPr="00904393" w:rsidRDefault="00614135" w:rsidP="00070D1F">
            <w:pPr>
              <w:numPr>
                <w:ilvl w:val="0"/>
                <w:numId w:val="125"/>
              </w:numPr>
              <w:ind w:left="284" w:right="-57" w:hanging="284"/>
              <w:jc w:val="both"/>
              <w:rPr>
                <w:b/>
                <w:i/>
                <w:sz w:val="18"/>
                <w:szCs w:val="18"/>
              </w:rPr>
            </w:pPr>
            <w:r w:rsidRPr="00904393">
              <w:rPr>
                <w:b/>
                <w:i/>
                <w:sz w:val="18"/>
                <w:szCs w:val="18"/>
              </w:rPr>
              <w:t>SUMMARY OF SIGNIFICANT ACCOUNTING POLICIES - Continued</w:t>
            </w:r>
          </w:p>
        </w:tc>
      </w:tr>
      <w:tr w:rsidR="008B2957" w:rsidRPr="00904393" w14:paraId="46C3B166" w14:textId="77777777" w:rsidTr="00582218">
        <w:trPr>
          <w:trHeight w:val="20"/>
        </w:trPr>
        <w:tc>
          <w:tcPr>
            <w:tcW w:w="4598" w:type="dxa"/>
            <w:tcBorders>
              <w:top w:val="nil"/>
              <w:left w:val="nil"/>
              <w:bottom w:val="nil"/>
              <w:right w:val="nil"/>
            </w:tcBorders>
          </w:tcPr>
          <w:p w14:paraId="01247EB7" w14:textId="77777777" w:rsidR="008B2957" w:rsidRPr="00904393" w:rsidRDefault="008B2957" w:rsidP="0013526B">
            <w:pPr>
              <w:ind w:left="357" w:right="-57"/>
              <w:jc w:val="both"/>
              <w:rPr>
                <w:sz w:val="18"/>
                <w:szCs w:val="18"/>
              </w:rPr>
            </w:pPr>
          </w:p>
        </w:tc>
        <w:tc>
          <w:tcPr>
            <w:tcW w:w="4599" w:type="dxa"/>
            <w:tcBorders>
              <w:top w:val="nil"/>
              <w:left w:val="nil"/>
              <w:bottom w:val="nil"/>
              <w:right w:val="nil"/>
            </w:tcBorders>
          </w:tcPr>
          <w:p w14:paraId="701DEAC0" w14:textId="77777777" w:rsidR="008B2957" w:rsidRPr="00904393" w:rsidRDefault="008B2957" w:rsidP="0013526B">
            <w:pPr>
              <w:ind w:left="357" w:right="-57"/>
              <w:jc w:val="both"/>
              <w:rPr>
                <w:i/>
                <w:sz w:val="18"/>
                <w:szCs w:val="18"/>
              </w:rPr>
            </w:pPr>
          </w:p>
        </w:tc>
      </w:tr>
      <w:tr w:rsidR="008B2957" w:rsidRPr="00904393" w14:paraId="5FF4297E" w14:textId="77777777" w:rsidTr="00582218">
        <w:trPr>
          <w:trHeight w:val="20"/>
        </w:trPr>
        <w:tc>
          <w:tcPr>
            <w:tcW w:w="4598" w:type="dxa"/>
            <w:tcBorders>
              <w:top w:val="nil"/>
              <w:left w:val="nil"/>
              <w:bottom w:val="nil"/>
              <w:right w:val="nil"/>
            </w:tcBorders>
          </w:tcPr>
          <w:p w14:paraId="5C797FC7" w14:textId="77777777" w:rsidR="008B2957" w:rsidRPr="00904393" w:rsidRDefault="008B2957" w:rsidP="00070D1F">
            <w:pPr>
              <w:pStyle w:val="ListParagraph"/>
              <w:numPr>
                <w:ilvl w:val="0"/>
                <w:numId w:val="168"/>
              </w:numPr>
              <w:ind w:left="568" w:right="-57" w:hanging="284"/>
              <w:contextualSpacing/>
              <w:jc w:val="both"/>
              <w:rPr>
                <w:b/>
                <w:sz w:val="18"/>
                <w:szCs w:val="18"/>
              </w:rPr>
            </w:pPr>
            <w:r w:rsidRPr="00904393">
              <w:rPr>
                <w:b/>
                <w:sz w:val="18"/>
                <w:szCs w:val="18"/>
              </w:rPr>
              <w:t xml:space="preserve">Instrumen Keuangan </w:t>
            </w:r>
            <w:r w:rsidR="003151BF" w:rsidRPr="00904393">
              <w:rPr>
                <w:b/>
                <w:sz w:val="18"/>
                <w:szCs w:val="18"/>
                <w:lang w:val="id-ID"/>
              </w:rPr>
              <w:t>-</w:t>
            </w:r>
            <w:r w:rsidRPr="00904393">
              <w:rPr>
                <w:b/>
                <w:sz w:val="18"/>
                <w:szCs w:val="18"/>
              </w:rPr>
              <w:t xml:space="preserve"> Lanjutan</w:t>
            </w:r>
          </w:p>
        </w:tc>
        <w:tc>
          <w:tcPr>
            <w:tcW w:w="4599" w:type="dxa"/>
            <w:tcBorders>
              <w:top w:val="nil"/>
              <w:left w:val="nil"/>
              <w:bottom w:val="nil"/>
              <w:right w:val="nil"/>
            </w:tcBorders>
          </w:tcPr>
          <w:p w14:paraId="3C27DA72" w14:textId="77777777" w:rsidR="008B2957" w:rsidRPr="00904393" w:rsidRDefault="008B2957" w:rsidP="00070D1F">
            <w:pPr>
              <w:pStyle w:val="ListParagraph"/>
              <w:numPr>
                <w:ilvl w:val="0"/>
                <w:numId w:val="169"/>
              </w:numPr>
              <w:tabs>
                <w:tab w:val="left" w:pos="641"/>
                <w:tab w:val="left" w:pos="5590"/>
                <w:tab w:val="right" w:pos="7620"/>
                <w:tab w:val="right" w:pos="9460"/>
                <w:tab w:val="right" w:pos="10080"/>
              </w:tabs>
              <w:ind w:left="568" w:right="-57" w:hanging="284"/>
              <w:contextualSpacing/>
              <w:jc w:val="both"/>
              <w:rPr>
                <w:b/>
                <w:i/>
                <w:sz w:val="18"/>
                <w:szCs w:val="18"/>
              </w:rPr>
            </w:pPr>
            <w:r w:rsidRPr="00904393">
              <w:rPr>
                <w:b/>
                <w:i/>
                <w:sz w:val="18"/>
                <w:szCs w:val="18"/>
              </w:rPr>
              <w:t>Financial Instruments - Continued</w:t>
            </w:r>
          </w:p>
        </w:tc>
      </w:tr>
      <w:tr w:rsidR="008B2957" w:rsidRPr="00904393" w14:paraId="4F4A202C" w14:textId="77777777" w:rsidTr="00582218">
        <w:trPr>
          <w:trHeight w:val="20"/>
        </w:trPr>
        <w:tc>
          <w:tcPr>
            <w:tcW w:w="4598" w:type="dxa"/>
            <w:tcBorders>
              <w:top w:val="nil"/>
              <w:left w:val="nil"/>
              <w:bottom w:val="nil"/>
              <w:right w:val="nil"/>
            </w:tcBorders>
          </w:tcPr>
          <w:p w14:paraId="34E8BE0F" w14:textId="77777777" w:rsidR="008B2957" w:rsidRPr="00904393" w:rsidRDefault="008B2957" w:rsidP="0013526B">
            <w:pPr>
              <w:ind w:left="522" w:right="-57"/>
              <w:jc w:val="both"/>
              <w:rPr>
                <w:bCs w:val="0"/>
                <w:sz w:val="18"/>
                <w:szCs w:val="18"/>
              </w:rPr>
            </w:pPr>
          </w:p>
        </w:tc>
        <w:tc>
          <w:tcPr>
            <w:tcW w:w="4599" w:type="dxa"/>
            <w:tcBorders>
              <w:top w:val="nil"/>
              <w:left w:val="nil"/>
              <w:bottom w:val="nil"/>
              <w:right w:val="nil"/>
            </w:tcBorders>
          </w:tcPr>
          <w:p w14:paraId="5FD025E1" w14:textId="77777777" w:rsidR="008B2957" w:rsidRPr="00904393"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904393" w14:paraId="5B5EA895" w14:textId="77777777" w:rsidTr="00582218">
        <w:trPr>
          <w:trHeight w:val="20"/>
        </w:trPr>
        <w:tc>
          <w:tcPr>
            <w:tcW w:w="4598" w:type="dxa"/>
            <w:tcBorders>
              <w:top w:val="nil"/>
              <w:left w:val="nil"/>
              <w:bottom w:val="nil"/>
              <w:right w:val="nil"/>
            </w:tcBorders>
          </w:tcPr>
          <w:p w14:paraId="69C1265A" w14:textId="77777777" w:rsidR="008B2957" w:rsidRPr="00904393" w:rsidRDefault="008B2957" w:rsidP="00070D1F">
            <w:pPr>
              <w:pStyle w:val="Default"/>
              <w:numPr>
                <w:ilvl w:val="0"/>
                <w:numId w:val="126"/>
              </w:numPr>
              <w:ind w:left="851" w:right="-57" w:hanging="284"/>
              <w:jc w:val="both"/>
              <w:rPr>
                <w:rFonts w:ascii="Times New Roman" w:eastAsia="Times New Roman" w:hAnsi="Times New Roman" w:cs="Times New Roman"/>
                <w:b/>
                <w:bCs/>
                <w:sz w:val="18"/>
                <w:szCs w:val="18"/>
              </w:rPr>
            </w:pPr>
            <w:r w:rsidRPr="00904393">
              <w:rPr>
                <w:rFonts w:ascii="Times New Roman" w:eastAsia="Times New Roman" w:hAnsi="Times New Roman" w:cs="Times New Roman"/>
                <w:b/>
                <w:bCs/>
                <w:sz w:val="18"/>
                <w:szCs w:val="18"/>
              </w:rPr>
              <w:t>Aset Keuangan</w:t>
            </w:r>
            <w:r w:rsidR="00650ED9" w:rsidRPr="00904393">
              <w:rPr>
                <w:rFonts w:ascii="Times New Roman" w:eastAsia="Times New Roman" w:hAnsi="Times New Roman" w:cs="Times New Roman"/>
                <w:b/>
                <w:bCs/>
                <w:sz w:val="18"/>
                <w:szCs w:val="18"/>
              </w:rPr>
              <w:t xml:space="preserve"> </w:t>
            </w:r>
            <w:r w:rsidR="003151BF" w:rsidRPr="00904393">
              <w:rPr>
                <w:rFonts w:ascii="Times New Roman" w:eastAsia="Times New Roman" w:hAnsi="Times New Roman" w:cs="Times New Roman"/>
                <w:b/>
                <w:bCs/>
                <w:sz w:val="18"/>
                <w:szCs w:val="18"/>
                <w:lang w:val="id-ID"/>
              </w:rPr>
              <w:t>-</w:t>
            </w:r>
            <w:r w:rsidRPr="00904393">
              <w:rPr>
                <w:rFonts w:ascii="Times New Roman" w:eastAsia="Times New Roman" w:hAnsi="Times New Roman" w:cs="Times New Roman"/>
                <w:b/>
                <w:bCs/>
                <w:sz w:val="18"/>
                <w:szCs w:val="18"/>
              </w:rPr>
              <w:t xml:space="preserve"> Lanjutan</w:t>
            </w:r>
          </w:p>
        </w:tc>
        <w:tc>
          <w:tcPr>
            <w:tcW w:w="4599" w:type="dxa"/>
            <w:tcBorders>
              <w:top w:val="nil"/>
              <w:left w:val="nil"/>
              <w:bottom w:val="nil"/>
              <w:right w:val="nil"/>
            </w:tcBorders>
          </w:tcPr>
          <w:p w14:paraId="31E939E4" w14:textId="77777777" w:rsidR="008B2957" w:rsidRPr="00904393" w:rsidRDefault="008B2957" w:rsidP="00070D1F">
            <w:pPr>
              <w:pStyle w:val="ListParagraph"/>
              <w:numPr>
                <w:ilvl w:val="0"/>
                <w:numId w:val="127"/>
              </w:numPr>
              <w:ind w:left="851" w:right="-57" w:hanging="284"/>
              <w:jc w:val="both"/>
              <w:rPr>
                <w:b/>
                <w:bCs w:val="0"/>
                <w:i/>
                <w:sz w:val="18"/>
                <w:szCs w:val="18"/>
              </w:rPr>
            </w:pPr>
            <w:r w:rsidRPr="00904393">
              <w:rPr>
                <w:b/>
                <w:i/>
                <w:sz w:val="18"/>
                <w:szCs w:val="18"/>
              </w:rPr>
              <w:t>Financial Assets - Continued</w:t>
            </w:r>
          </w:p>
        </w:tc>
      </w:tr>
      <w:tr w:rsidR="008B2957" w:rsidRPr="00904393" w14:paraId="2A49F6BB" w14:textId="77777777" w:rsidTr="00582218">
        <w:trPr>
          <w:trHeight w:val="20"/>
        </w:trPr>
        <w:tc>
          <w:tcPr>
            <w:tcW w:w="4598" w:type="dxa"/>
            <w:tcBorders>
              <w:top w:val="nil"/>
              <w:left w:val="nil"/>
              <w:bottom w:val="nil"/>
              <w:right w:val="nil"/>
            </w:tcBorders>
          </w:tcPr>
          <w:p w14:paraId="00FDE02D" w14:textId="0D403083" w:rsidR="008B2957" w:rsidRPr="00904393" w:rsidRDefault="008B2957" w:rsidP="0013526B">
            <w:pPr>
              <w:ind w:left="851" w:right="-57"/>
              <w:jc w:val="both"/>
              <w:rPr>
                <w:b/>
                <w:bCs w:val="0"/>
                <w:sz w:val="18"/>
                <w:szCs w:val="18"/>
              </w:rPr>
            </w:pPr>
            <w:r w:rsidRPr="00904393">
              <w:rPr>
                <w:b/>
                <w:sz w:val="18"/>
                <w:szCs w:val="18"/>
              </w:rPr>
              <w:t xml:space="preserve">Pengukuran Setelah Pengakuan Awal </w:t>
            </w:r>
            <w:r w:rsidR="002E1E21" w:rsidRPr="00904393">
              <w:rPr>
                <w:b/>
                <w:bCs w:val="0"/>
                <w:sz w:val="18"/>
                <w:szCs w:val="18"/>
                <w:lang w:val="id-ID"/>
              </w:rPr>
              <w:t>-</w:t>
            </w:r>
            <w:r w:rsidRPr="00904393">
              <w:rPr>
                <w:b/>
                <w:bCs w:val="0"/>
                <w:sz w:val="18"/>
                <w:szCs w:val="18"/>
              </w:rPr>
              <w:t xml:space="preserve"> Lanjutan</w:t>
            </w:r>
          </w:p>
        </w:tc>
        <w:tc>
          <w:tcPr>
            <w:tcW w:w="4599" w:type="dxa"/>
            <w:tcBorders>
              <w:top w:val="nil"/>
              <w:left w:val="nil"/>
              <w:bottom w:val="nil"/>
              <w:right w:val="nil"/>
            </w:tcBorders>
          </w:tcPr>
          <w:p w14:paraId="268DD5A6" w14:textId="77777777" w:rsidR="008B2957" w:rsidRPr="00904393" w:rsidRDefault="008B2957" w:rsidP="0013526B">
            <w:pPr>
              <w:tabs>
                <w:tab w:val="left" w:pos="5590"/>
                <w:tab w:val="right" w:pos="7620"/>
                <w:tab w:val="right" w:pos="9460"/>
                <w:tab w:val="right" w:pos="10080"/>
              </w:tabs>
              <w:ind w:left="851" w:right="-57"/>
              <w:jc w:val="both"/>
              <w:rPr>
                <w:b/>
                <w:bCs w:val="0"/>
                <w:i/>
                <w:sz w:val="18"/>
                <w:szCs w:val="18"/>
              </w:rPr>
            </w:pPr>
            <w:r w:rsidRPr="00904393">
              <w:rPr>
                <w:b/>
                <w:i/>
                <w:sz w:val="18"/>
                <w:szCs w:val="18"/>
              </w:rPr>
              <w:t>Subsequent Measurement - Continued</w:t>
            </w:r>
          </w:p>
        </w:tc>
      </w:tr>
      <w:tr w:rsidR="005B47F7" w:rsidRPr="00904393" w14:paraId="79258918" w14:textId="77777777" w:rsidTr="00582218">
        <w:trPr>
          <w:trHeight w:val="20"/>
        </w:trPr>
        <w:tc>
          <w:tcPr>
            <w:tcW w:w="4598" w:type="dxa"/>
            <w:tcBorders>
              <w:top w:val="nil"/>
              <w:left w:val="nil"/>
              <w:bottom w:val="nil"/>
              <w:right w:val="nil"/>
            </w:tcBorders>
          </w:tcPr>
          <w:p w14:paraId="18231DCF" w14:textId="31969004" w:rsidR="005B47F7" w:rsidRPr="00904393" w:rsidRDefault="005B47F7" w:rsidP="005B47F7">
            <w:pPr>
              <w:ind w:right="-57"/>
              <w:jc w:val="both"/>
              <w:rPr>
                <w:b/>
                <w:sz w:val="18"/>
                <w:szCs w:val="18"/>
              </w:rPr>
            </w:pPr>
          </w:p>
        </w:tc>
        <w:tc>
          <w:tcPr>
            <w:tcW w:w="4599" w:type="dxa"/>
            <w:tcBorders>
              <w:top w:val="nil"/>
              <w:left w:val="nil"/>
              <w:bottom w:val="nil"/>
              <w:right w:val="nil"/>
            </w:tcBorders>
          </w:tcPr>
          <w:p w14:paraId="163B39CF" w14:textId="77777777" w:rsidR="005B47F7" w:rsidRPr="00904393" w:rsidRDefault="005B47F7" w:rsidP="0013526B">
            <w:pPr>
              <w:tabs>
                <w:tab w:val="left" w:pos="5590"/>
                <w:tab w:val="right" w:pos="7620"/>
                <w:tab w:val="right" w:pos="9460"/>
                <w:tab w:val="right" w:pos="10080"/>
              </w:tabs>
              <w:ind w:left="851" w:right="-57"/>
              <w:jc w:val="both"/>
              <w:rPr>
                <w:b/>
                <w:i/>
                <w:sz w:val="18"/>
                <w:szCs w:val="18"/>
              </w:rPr>
            </w:pPr>
          </w:p>
        </w:tc>
      </w:tr>
      <w:tr w:rsidR="005B47F7" w:rsidRPr="00A928CB" w14:paraId="7555678E" w14:textId="77777777" w:rsidTr="005B47F7">
        <w:trPr>
          <w:trHeight w:val="20"/>
        </w:trPr>
        <w:tc>
          <w:tcPr>
            <w:tcW w:w="4598" w:type="dxa"/>
            <w:tcBorders>
              <w:top w:val="nil"/>
              <w:left w:val="nil"/>
              <w:bottom w:val="nil"/>
              <w:right w:val="nil"/>
            </w:tcBorders>
          </w:tcPr>
          <w:p w14:paraId="3A002580" w14:textId="77777777" w:rsidR="005B47F7" w:rsidRPr="00AE3B43" w:rsidRDefault="005B47F7" w:rsidP="00C25313">
            <w:pPr>
              <w:pStyle w:val="ListParagraph"/>
              <w:ind w:left="1134" w:right="-57"/>
              <w:jc w:val="both"/>
              <w:rPr>
                <w:bCs w:val="0"/>
                <w:sz w:val="18"/>
                <w:szCs w:val="18"/>
              </w:rPr>
            </w:pPr>
            <w:r w:rsidRPr="00AE3B43">
              <w:rPr>
                <w:sz w:val="18"/>
                <w:szCs w:val="18"/>
              </w:rPr>
              <w:t xml:space="preserve">Keuntungan dan kerugian diakui dalam laporan laba rugi dan penghasilan komprehensif lain </w:t>
            </w:r>
            <w:r w:rsidRPr="00AE3B43">
              <w:rPr>
                <w:sz w:val="18"/>
                <w:szCs w:val="18"/>
                <w:lang w:val="id-ID"/>
              </w:rPr>
              <w:t xml:space="preserve">konsolidasian </w:t>
            </w:r>
            <w:r w:rsidRPr="00AE3B43">
              <w:rPr>
                <w:sz w:val="18"/>
                <w:szCs w:val="18"/>
              </w:rPr>
              <w:t>pada saat investasi tersebut dihentikan pengakuannya atau mengalami penurunan nilai</w:t>
            </w:r>
            <w:r>
              <w:rPr>
                <w:sz w:val="18"/>
                <w:szCs w:val="18"/>
              </w:rPr>
              <w:t>.</w:t>
            </w:r>
            <w:r w:rsidRPr="00AE3B43">
              <w:rPr>
                <w:sz w:val="18"/>
                <w:szCs w:val="18"/>
              </w:rPr>
              <w:t xml:space="preserve"> </w:t>
            </w:r>
            <w:proofErr w:type="gramStart"/>
            <w:r w:rsidRPr="00AE3B43">
              <w:rPr>
                <w:sz w:val="18"/>
                <w:szCs w:val="18"/>
              </w:rPr>
              <w:t>maupun</w:t>
            </w:r>
            <w:proofErr w:type="gramEnd"/>
            <w:r w:rsidRPr="00AE3B43">
              <w:rPr>
                <w:sz w:val="18"/>
                <w:szCs w:val="18"/>
              </w:rPr>
              <w:t xml:space="preserve"> melalui proses amortisasi.</w:t>
            </w:r>
          </w:p>
        </w:tc>
        <w:tc>
          <w:tcPr>
            <w:tcW w:w="4599" w:type="dxa"/>
            <w:tcBorders>
              <w:top w:val="nil"/>
              <w:left w:val="nil"/>
              <w:bottom w:val="nil"/>
              <w:right w:val="nil"/>
            </w:tcBorders>
          </w:tcPr>
          <w:p w14:paraId="32AB6BDA" w14:textId="77777777" w:rsidR="005B47F7" w:rsidRPr="00AE3B43" w:rsidRDefault="005B47F7" w:rsidP="00C25313">
            <w:pPr>
              <w:pStyle w:val="ListParagraph"/>
              <w:ind w:left="1134" w:right="-57"/>
              <w:jc w:val="both"/>
              <w:rPr>
                <w:bCs w:val="0"/>
                <w:i/>
                <w:sz w:val="18"/>
                <w:szCs w:val="18"/>
              </w:rPr>
            </w:pPr>
            <w:r w:rsidRPr="00AE3B43">
              <w:rPr>
                <w:i/>
                <w:sz w:val="18"/>
                <w:szCs w:val="18"/>
              </w:rPr>
              <w:t>Gains and losses are recognized in</w:t>
            </w:r>
            <w:r w:rsidRPr="00AE3B43">
              <w:rPr>
                <w:i/>
                <w:sz w:val="18"/>
                <w:szCs w:val="18"/>
                <w:lang w:val="id-ID"/>
              </w:rPr>
              <w:br/>
            </w:r>
            <w:r w:rsidRPr="00AE3B43">
              <w:rPr>
                <w:i/>
                <w:sz w:val="18"/>
                <w:szCs w:val="18"/>
              </w:rPr>
              <w:t xml:space="preserve">the </w:t>
            </w:r>
            <w:r w:rsidRPr="00AE3B43">
              <w:rPr>
                <w:i/>
                <w:sz w:val="18"/>
                <w:szCs w:val="18"/>
                <w:lang w:val="id-ID"/>
              </w:rPr>
              <w:t xml:space="preserve">consolidated </w:t>
            </w:r>
            <w:r w:rsidRPr="00AE3B43">
              <w:rPr>
                <w:i/>
                <w:sz w:val="18"/>
                <w:szCs w:val="18"/>
              </w:rPr>
              <w:t>statement of profit or loss and other comprehensive income when the investments are derecognized or impaired</w:t>
            </w:r>
            <w:r>
              <w:rPr>
                <w:i/>
                <w:sz w:val="18"/>
                <w:szCs w:val="18"/>
              </w:rPr>
              <w:t>.</w:t>
            </w:r>
            <w:r w:rsidRPr="00AE3B43">
              <w:rPr>
                <w:i/>
                <w:sz w:val="18"/>
                <w:szCs w:val="18"/>
              </w:rPr>
              <w:t xml:space="preserve"> </w:t>
            </w:r>
            <w:proofErr w:type="gramStart"/>
            <w:r w:rsidRPr="00AE3B43">
              <w:rPr>
                <w:i/>
                <w:sz w:val="18"/>
                <w:szCs w:val="18"/>
              </w:rPr>
              <w:t>as</w:t>
            </w:r>
            <w:proofErr w:type="gramEnd"/>
            <w:r w:rsidRPr="00AE3B43">
              <w:rPr>
                <w:i/>
                <w:sz w:val="18"/>
                <w:szCs w:val="18"/>
              </w:rPr>
              <w:t xml:space="preserve"> well as through the amortization process.</w:t>
            </w:r>
          </w:p>
        </w:tc>
      </w:tr>
      <w:tr w:rsidR="008B2957" w:rsidRPr="00904393" w14:paraId="06ABE71C" w14:textId="77777777" w:rsidTr="00582218">
        <w:trPr>
          <w:trHeight w:val="20"/>
        </w:trPr>
        <w:tc>
          <w:tcPr>
            <w:tcW w:w="4598" w:type="dxa"/>
            <w:tcBorders>
              <w:top w:val="nil"/>
              <w:left w:val="nil"/>
              <w:bottom w:val="nil"/>
              <w:right w:val="nil"/>
            </w:tcBorders>
          </w:tcPr>
          <w:p w14:paraId="728B3677" w14:textId="77777777" w:rsidR="008B2957" w:rsidRPr="00904393" w:rsidRDefault="008B2957" w:rsidP="0013526B">
            <w:pPr>
              <w:ind w:left="1208" w:right="-57"/>
              <w:jc w:val="both"/>
              <w:rPr>
                <w:sz w:val="18"/>
                <w:szCs w:val="18"/>
              </w:rPr>
            </w:pPr>
          </w:p>
        </w:tc>
        <w:tc>
          <w:tcPr>
            <w:tcW w:w="4599" w:type="dxa"/>
            <w:tcBorders>
              <w:top w:val="nil"/>
              <w:left w:val="nil"/>
              <w:bottom w:val="nil"/>
              <w:right w:val="nil"/>
            </w:tcBorders>
          </w:tcPr>
          <w:p w14:paraId="61B56336" w14:textId="77777777" w:rsidR="008B2957" w:rsidRPr="00904393" w:rsidRDefault="008B2957" w:rsidP="0013526B">
            <w:pPr>
              <w:pStyle w:val="ListParagraph"/>
              <w:ind w:left="1208" w:right="-57"/>
              <w:jc w:val="both"/>
              <w:rPr>
                <w:i/>
                <w:sz w:val="18"/>
                <w:szCs w:val="18"/>
              </w:rPr>
            </w:pPr>
          </w:p>
        </w:tc>
      </w:tr>
      <w:tr w:rsidR="008B2957" w:rsidRPr="00904393" w14:paraId="04DDDB9A" w14:textId="77777777" w:rsidTr="00582218">
        <w:trPr>
          <w:trHeight w:val="20"/>
        </w:trPr>
        <w:tc>
          <w:tcPr>
            <w:tcW w:w="4598" w:type="dxa"/>
            <w:tcBorders>
              <w:top w:val="nil"/>
              <w:left w:val="nil"/>
              <w:bottom w:val="nil"/>
              <w:right w:val="nil"/>
            </w:tcBorders>
          </w:tcPr>
          <w:p w14:paraId="1ADE0009" w14:textId="77777777" w:rsidR="008B2957" w:rsidRPr="00904393" w:rsidRDefault="008B2957" w:rsidP="00070D1F">
            <w:pPr>
              <w:numPr>
                <w:ilvl w:val="0"/>
                <w:numId w:val="122"/>
              </w:numPr>
              <w:ind w:left="1135" w:hanging="284"/>
              <w:jc w:val="both"/>
              <w:rPr>
                <w:bCs w:val="0"/>
                <w:sz w:val="18"/>
                <w:szCs w:val="18"/>
              </w:rPr>
            </w:pPr>
            <w:r w:rsidRPr="00904393">
              <w:rPr>
                <w:sz w:val="18"/>
                <w:szCs w:val="18"/>
              </w:rPr>
              <w:t xml:space="preserve">Pinjaman </w:t>
            </w:r>
            <w:r w:rsidRPr="00904393">
              <w:rPr>
                <w:bCs w:val="0"/>
                <w:sz w:val="18"/>
                <w:szCs w:val="18"/>
              </w:rPr>
              <w:t>yang</w:t>
            </w:r>
            <w:r w:rsidRPr="00904393">
              <w:rPr>
                <w:sz w:val="18"/>
                <w:szCs w:val="18"/>
              </w:rPr>
              <w:t xml:space="preserve"> Diberikan dan Piutang</w:t>
            </w:r>
          </w:p>
        </w:tc>
        <w:tc>
          <w:tcPr>
            <w:tcW w:w="4599" w:type="dxa"/>
            <w:tcBorders>
              <w:top w:val="nil"/>
              <w:left w:val="nil"/>
              <w:bottom w:val="nil"/>
              <w:right w:val="nil"/>
            </w:tcBorders>
          </w:tcPr>
          <w:p w14:paraId="51B416DC" w14:textId="77777777" w:rsidR="008B2957" w:rsidRPr="00904393" w:rsidRDefault="008B2957" w:rsidP="00070D1F">
            <w:pPr>
              <w:pStyle w:val="ListParagraph"/>
              <w:numPr>
                <w:ilvl w:val="0"/>
                <w:numId w:val="123"/>
              </w:numPr>
              <w:ind w:left="1135" w:hanging="284"/>
              <w:jc w:val="both"/>
              <w:rPr>
                <w:bCs w:val="0"/>
                <w:i/>
                <w:sz w:val="18"/>
                <w:szCs w:val="18"/>
              </w:rPr>
            </w:pPr>
            <w:r w:rsidRPr="00904393">
              <w:rPr>
                <w:i/>
                <w:sz w:val="18"/>
                <w:szCs w:val="18"/>
              </w:rPr>
              <w:t>Loans and Receivables</w:t>
            </w:r>
          </w:p>
        </w:tc>
      </w:tr>
      <w:tr w:rsidR="008B2957" w:rsidRPr="00904393" w14:paraId="23A52273" w14:textId="77777777" w:rsidTr="00582218">
        <w:trPr>
          <w:trHeight w:val="20"/>
        </w:trPr>
        <w:tc>
          <w:tcPr>
            <w:tcW w:w="4598" w:type="dxa"/>
            <w:tcBorders>
              <w:top w:val="nil"/>
              <w:left w:val="nil"/>
              <w:bottom w:val="nil"/>
              <w:right w:val="nil"/>
            </w:tcBorders>
          </w:tcPr>
          <w:p w14:paraId="4E3E6914" w14:textId="77777777" w:rsidR="008B2957" w:rsidRPr="00904393" w:rsidRDefault="008B2957" w:rsidP="0013526B">
            <w:pPr>
              <w:ind w:left="522" w:right="-57"/>
              <w:jc w:val="both"/>
              <w:rPr>
                <w:bCs w:val="0"/>
                <w:sz w:val="18"/>
                <w:szCs w:val="18"/>
              </w:rPr>
            </w:pPr>
          </w:p>
        </w:tc>
        <w:tc>
          <w:tcPr>
            <w:tcW w:w="4599" w:type="dxa"/>
            <w:tcBorders>
              <w:top w:val="nil"/>
              <w:left w:val="nil"/>
              <w:bottom w:val="nil"/>
              <w:right w:val="nil"/>
            </w:tcBorders>
          </w:tcPr>
          <w:p w14:paraId="4B51FEB4" w14:textId="77777777" w:rsidR="008B2957" w:rsidRPr="00904393"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904393" w14:paraId="29685AB2" w14:textId="77777777" w:rsidTr="00582218">
        <w:trPr>
          <w:trHeight w:val="20"/>
        </w:trPr>
        <w:tc>
          <w:tcPr>
            <w:tcW w:w="4598" w:type="dxa"/>
            <w:tcBorders>
              <w:top w:val="nil"/>
              <w:left w:val="nil"/>
              <w:bottom w:val="nil"/>
              <w:right w:val="nil"/>
            </w:tcBorders>
          </w:tcPr>
          <w:p w14:paraId="11274E34" w14:textId="77777777" w:rsidR="008B2957" w:rsidRPr="00904393" w:rsidRDefault="008B2957" w:rsidP="0013526B">
            <w:pPr>
              <w:ind w:left="1134" w:right="-57"/>
              <w:jc w:val="both"/>
              <w:rPr>
                <w:bCs w:val="0"/>
                <w:sz w:val="18"/>
                <w:szCs w:val="18"/>
              </w:rPr>
            </w:pPr>
            <w:r w:rsidRPr="00904393">
              <w:rPr>
                <w:sz w:val="18"/>
                <w:szCs w:val="18"/>
              </w:rPr>
              <w:t>Pinjaman yang diberikan dan piutang adalah aset keuangan non-derivatif dengan pembayaran tetap atau telah ditentukan dan tidak mempunyai kuotasi di pasar aktif.</w:t>
            </w:r>
          </w:p>
        </w:tc>
        <w:tc>
          <w:tcPr>
            <w:tcW w:w="4599" w:type="dxa"/>
            <w:tcBorders>
              <w:top w:val="nil"/>
              <w:left w:val="nil"/>
              <w:bottom w:val="nil"/>
              <w:right w:val="nil"/>
            </w:tcBorders>
          </w:tcPr>
          <w:p w14:paraId="2BEFCBC0" w14:textId="77777777" w:rsidR="008B2957" w:rsidRPr="00904393" w:rsidRDefault="008B2957" w:rsidP="0013526B">
            <w:pPr>
              <w:pStyle w:val="ListParagraph"/>
              <w:ind w:left="1134" w:right="-57"/>
              <w:jc w:val="both"/>
              <w:rPr>
                <w:bCs w:val="0"/>
                <w:i/>
                <w:sz w:val="18"/>
                <w:szCs w:val="18"/>
              </w:rPr>
            </w:pPr>
            <w:r w:rsidRPr="00904393">
              <w:rPr>
                <w:i/>
                <w:sz w:val="18"/>
                <w:szCs w:val="18"/>
              </w:rPr>
              <w:t>Loans and receivables are non-derivative financial assets with fixed or determinable payments and have no quotations in an active market.</w:t>
            </w:r>
          </w:p>
        </w:tc>
      </w:tr>
    </w:tbl>
    <w:p w14:paraId="236C1F41" w14:textId="0CB95341" w:rsidR="00582218" w:rsidRPr="00904393" w:rsidRDefault="00582218" w:rsidP="0013526B">
      <w:pPr>
        <w:rPr>
          <w:sz w:val="18"/>
          <w:lang w:val="id-ID"/>
        </w:rPr>
      </w:pPr>
    </w:p>
    <w:tbl>
      <w:tblPr>
        <w:tblW w:w="9197" w:type="dxa"/>
        <w:tblInd w:w="392" w:type="dxa"/>
        <w:tblLayout w:type="fixed"/>
        <w:tblLook w:val="0000" w:firstRow="0" w:lastRow="0" w:firstColumn="0" w:lastColumn="0" w:noHBand="0" w:noVBand="0"/>
      </w:tblPr>
      <w:tblGrid>
        <w:gridCol w:w="4598"/>
        <w:gridCol w:w="4599"/>
      </w:tblGrid>
      <w:tr w:rsidR="00582218" w:rsidRPr="00904393" w14:paraId="234F73AA" w14:textId="77777777" w:rsidTr="00912B96">
        <w:trPr>
          <w:trHeight w:val="20"/>
        </w:trPr>
        <w:tc>
          <w:tcPr>
            <w:tcW w:w="4598" w:type="dxa"/>
            <w:tcBorders>
              <w:top w:val="nil"/>
              <w:left w:val="nil"/>
              <w:bottom w:val="nil"/>
              <w:right w:val="nil"/>
            </w:tcBorders>
          </w:tcPr>
          <w:p w14:paraId="30C12D0F" w14:textId="4A749B32" w:rsidR="00582218" w:rsidRPr="00904393" w:rsidRDefault="00582218" w:rsidP="00D215E4">
            <w:pPr>
              <w:ind w:left="1134" w:right="-57"/>
              <w:jc w:val="both"/>
              <w:rPr>
                <w:bCs w:val="0"/>
                <w:sz w:val="18"/>
                <w:szCs w:val="18"/>
              </w:rPr>
            </w:pPr>
            <w:r w:rsidRPr="00904393">
              <w:rPr>
                <w:sz w:val="18"/>
                <w:szCs w:val="18"/>
              </w:rPr>
              <w:br w:type="page"/>
              <w:t>Setelah pengakuan awal</w:t>
            </w:r>
            <w:r w:rsidR="00870FD0">
              <w:rPr>
                <w:sz w:val="18"/>
                <w:szCs w:val="18"/>
              </w:rPr>
              <w:t>.</w:t>
            </w:r>
            <w:r w:rsidRPr="00904393">
              <w:rPr>
                <w:sz w:val="18"/>
                <w:szCs w:val="18"/>
              </w:rPr>
              <w:t xml:space="preserve"> </w:t>
            </w:r>
            <w:proofErr w:type="gramStart"/>
            <w:r w:rsidRPr="00904393">
              <w:rPr>
                <w:sz w:val="18"/>
                <w:szCs w:val="18"/>
              </w:rPr>
              <w:t>aset</w:t>
            </w:r>
            <w:proofErr w:type="gramEnd"/>
            <w:r w:rsidRPr="00904393">
              <w:rPr>
                <w:sz w:val="18"/>
                <w:szCs w:val="18"/>
              </w:rPr>
              <w:t xml:space="preserve"> keuangan dalam kelompok ini diukur sebesar biaya perolehan diamortisasi dengan menggunakan EIR.</w:t>
            </w:r>
          </w:p>
        </w:tc>
        <w:tc>
          <w:tcPr>
            <w:tcW w:w="4599" w:type="dxa"/>
            <w:tcBorders>
              <w:top w:val="nil"/>
              <w:left w:val="nil"/>
              <w:bottom w:val="nil"/>
              <w:right w:val="nil"/>
            </w:tcBorders>
          </w:tcPr>
          <w:p w14:paraId="7DEA5F1A" w14:textId="29B3E98F" w:rsidR="00582218" w:rsidRPr="00904393" w:rsidRDefault="00582218" w:rsidP="00D215E4">
            <w:pPr>
              <w:pStyle w:val="ListParagraph"/>
              <w:ind w:left="1134" w:right="-57"/>
              <w:jc w:val="both"/>
              <w:rPr>
                <w:i/>
                <w:sz w:val="18"/>
                <w:szCs w:val="18"/>
              </w:rPr>
            </w:pPr>
            <w:r w:rsidRPr="00904393">
              <w:rPr>
                <w:i/>
                <w:sz w:val="18"/>
                <w:szCs w:val="18"/>
              </w:rPr>
              <w:t>After initial recognition</w:t>
            </w:r>
            <w:r w:rsidR="00870FD0">
              <w:rPr>
                <w:i/>
                <w:sz w:val="18"/>
                <w:szCs w:val="18"/>
              </w:rPr>
              <w:t>.</w:t>
            </w:r>
            <w:r w:rsidRPr="00904393">
              <w:rPr>
                <w:i/>
                <w:sz w:val="18"/>
                <w:szCs w:val="18"/>
              </w:rPr>
              <w:t xml:space="preserve"> </w:t>
            </w:r>
            <w:proofErr w:type="gramStart"/>
            <w:r w:rsidRPr="00904393">
              <w:rPr>
                <w:i/>
                <w:sz w:val="18"/>
                <w:szCs w:val="18"/>
              </w:rPr>
              <w:t>the</w:t>
            </w:r>
            <w:proofErr w:type="gramEnd"/>
            <w:r w:rsidRPr="00904393">
              <w:rPr>
                <w:i/>
                <w:sz w:val="18"/>
                <w:szCs w:val="18"/>
              </w:rPr>
              <w:t xml:space="preserve"> financial assets are measured at amortized cost using the EIR.</w:t>
            </w:r>
          </w:p>
        </w:tc>
      </w:tr>
      <w:tr w:rsidR="00582218" w:rsidRPr="00871465" w14:paraId="5AACD86E" w14:textId="77777777" w:rsidTr="00912B96">
        <w:trPr>
          <w:trHeight w:val="20"/>
        </w:trPr>
        <w:tc>
          <w:tcPr>
            <w:tcW w:w="4598" w:type="dxa"/>
            <w:tcBorders>
              <w:top w:val="nil"/>
              <w:left w:val="nil"/>
              <w:bottom w:val="nil"/>
              <w:right w:val="nil"/>
            </w:tcBorders>
          </w:tcPr>
          <w:p w14:paraId="3A15071E" w14:textId="77777777" w:rsidR="00582218" w:rsidRPr="00904393" w:rsidRDefault="00582218" w:rsidP="00D215E4">
            <w:pPr>
              <w:ind w:left="522" w:right="-57"/>
              <w:jc w:val="both"/>
              <w:rPr>
                <w:bCs w:val="0"/>
                <w:sz w:val="18"/>
                <w:szCs w:val="18"/>
              </w:rPr>
            </w:pPr>
            <w:r w:rsidRPr="00904393">
              <w:rPr>
                <w:sz w:val="18"/>
                <w:szCs w:val="18"/>
              </w:rPr>
              <w:br w:type="page"/>
            </w:r>
          </w:p>
        </w:tc>
        <w:tc>
          <w:tcPr>
            <w:tcW w:w="4599" w:type="dxa"/>
            <w:tcBorders>
              <w:top w:val="nil"/>
              <w:left w:val="nil"/>
              <w:bottom w:val="nil"/>
              <w:right w:val="nil"/>
            </w:tcBorders>
          </w:tcPr>
          <w:p w14:paraId="53BED2E1" w14:textId="77777777" w:rsidR="00582218" w:rsidRPr="00904393" w:rsidRDefault="00582218" w:rsidP="00D215E4">
            <w:pPr>
              <w:tabs>
                <w:tab w:val="left" w:pos="5590"/>
                <w:tab w:val="right" w:pos="7620"/>
                <w:tab w:val="right" w:pos="9460"/>
                <w:tab w:val="right" w:pos="10080"/>
              </w:tabs>
              <w:ind w:left="651" w:right="-57"/>
              <w:jc w:val="both"/>
              <w:rPr>
                <w:bCs w:val="0"/>
                <w:i/>
                <w:sz w:val="18"/>
                <w:szCs w:val="18"/>
              </w:rPr>
            </w:pPr>
          </w:p>
        </w:tc>
      </w:tr>
      <w:tr w:rsidR="00582218" w:rsidRPr="00912B96" w14:paraId="078FFCFA" w14:textId="77777777" w:rsidTr="00912B96">
        <w:trPr>
          <w:trHeight w:val="20"/>
        </w:trPr>
        <w:tc>
          <w:tcPr>
            <w:tcW w:w="4598" w:type="dxa"/>
            <w:tcBorders>
              <w:top w:val="nil"/>
              <w:left w:val="nil"/>
              <w:bottom w:val="nil"/>
              <w:right w:val="nil"/>
            </w:tcBorders>
          </w:tcPr>
          <w:p w14:paraId="33F7D3DF" w14:textId="7EDCC968" w:rsidR="00582218" w:rsidRPr="00912B96" w:rsidRDefault="00582218" w:rsidP="005B47F7">
            <w:pPr>
              <w:ind w:left="1134" w:right="-57"/>
              <w:jc w:val="both"/>
              <w:rPr>
                <w:bCs w:val="0"/>
                <w:sz w:val="18"/>
                <w:szCs w:val="18"/>
              </w:rPr>
            </w:pPr>
            <w:r w:rsidRPr="00912B96">
              <w:rPr>
                <w:sz w:val="18"/>
                <w:szCs w:val="18"/>
              </w:rPr>
              <w:t>Keuntungan dan kerugian diakui dalam laporan laba rugi dan penghasilan komprehensif</w:t>
            </w:r>
            <w:r w:rsidRPr="00912B96">
              <w:rPr>
                <w:sz w:val="18"/>
                <w:szCs w:val="18"/>
                <w:lang w:val="id-ID"/>
              </w:rPr>
              <w:t xml:space="preserve"> </w:t>
            </w:r>
            <w:r w:rsidRPr="00912B96">
              <w:rPr>
                <w:sz w:val="18"/>
                <w:szCs w:val="18"/>
              </w:rPr>
              <w:t>lain</w:t>
            </w:r>
            <w:r w:rsidRPr="00912B96">
              <w:rPr>
                <w:sz w:val="18"/>
                <w:szCs w:val="18"/>
                <w:lang w:val="id-ID"/>
              </w:rPr>
              <w:t xml:space="preserve"> konsolidasian </w:t>
            </w:r>
            <w:r w:rsidRPr="00912B96">
              <w:rPr>
                <w:sz w:val="18"/>
                <w:szCs w:val="18"/>
              </w:rPr>
              <w:t>pada saat pinjaman yang diberikan dan piutang dihentikan pengakuannya atau mengalami penurunan nilai</w:t>
            </w:r>
            <w:r w:rsidR="005B47F7">
              <w:rPr>
                <w:sz w:val="18"/>
                <w:szCs w:val="18"/>
              </w:rPr>
              <w:t>,</w:t>
            </w:r>
            <w:r w:rsidRPr="00912B96">
              <w:rPr>
                <w:sz w:val="18"/>
                <w:szCs w:val="18"/>
              </w:rPr>
              <w:t xml:space="preserve"> maupun melalui proses amortisasi.</w:t>
            </w:r>
          </w:p>
        </w:tc>
        <w:tc>
          <w:tcPr>
            <w:tcW w:w="4599" w:type="dxa"/>
            <w:tcBorders>
              <w:top w:val="nil"/>
              <w:left w:val="nil"/>
              <w:bottom w:val="nil"/>
              <w:right w:val="nil"/>
            </w:tcBorders>
          </w:tcPr>
          <w:p w14:paraId="4587D8AB" w14:textId="22CAA223" w:rsidR="00582218" w:rsidRPr="00912B96" w:rsidRDefault="00582218" w:rsidP="005B47F7">
            <w:pPr>
              <w:pStyle w:val="ListParagraph"/>
              <w:ind w:left="1134" w:right="-57"/>
              <w:jc w:val="both"/>
              <w:rPr>
                <w:bCs w:val="0"/>
                <w:i/>
                <w:sz w:val="18"/>
                <w:szCs w:val="18"/>
              </w:rPr>
            </w:pPr>
            <w:r w:rsidRPr="00912B96">
              <w:rPr>
                <w:i/>
                <w:sz w:val="18"/>
                <w:szCs w:val="18"/>
              </w:rPr>
              <w:t>Gains and losses are recognized in</w:t>
            </w:r>
            <w:r w:rsidRPr="00912B96">
              <w:rPr>
                <w:i/>
                <w:sz w:val="18"/>
                <w:szCs w:val="18"/>
                <w:lang w:val="id-ID"/>
              </w:rPr>
              <w:br/>
            </w:r>
            <w:r w:rsidRPr="00912B96">
              <w:rPr>
                <w:i/>
                <w:sz w:val="18"/>
                <w:szCs w:val="18"/>
              </w:rPr>
              <w:t xml:space="preserve">the </w:t>
            </w:r>
            <w:r w:rsidRPr="00912B96">
              <w:rPr>
                <w:i/>
                <w:sz w:val="18"/>
                <w:szCs w:val="18"/>
                <w:lang w:val="id-ID"/>
              </w:rPr>
              <w:t xml:space="preserve">consolidated </w:t>
            </w:r>
            <w:r w:rsidRPr="00912B96">
              <w:rPr>
                <w:i/>
                <w:sz w:val="18"/>
                <w:szCs w:val="18"/>
              </w:rPr>
              <w:t>statement of profit or loss and other comprehensive income when the loans and receivables are derecognized or impaired</w:t>
            </w:r>
            <w:r w:rsidR="005B47F7">
              <w:rPr>
                <w:i/>
                <w:sz w:val="18"/>
                <w:szCs w:val="18"/>
              </w:rPr>
              <w:t>,</w:t>
            </w:r>
            <w:r w:rsidRPr="00912B96">
              <w:rPr>
                <w:i/>
                <w:sz w:val="18"/>
                <w:szCs w:val="18"/>
              </w:rPr>
              <w:t xml:space="preserve"> as well as through the amortization process.</w:t>
            </w:r>
          </w:p>
        </w:tc>
      </w:tr>
      <w:tr w:rsidR="00582218" w:rsidRPr="00912B96" w14:paraId="4B993336" w14:textId="77777777" w:rsidTr="00912B96">
        <w:trPr>
          <w:trHeight w:val="20"/>
        </w:trPr>
        <w:tc>
          <w:tcPr>
            <w:tcW w:w="4598" w:type="dxa"/>
            <w:tcBorders>
              <w:top w:val="nil"/>
              <w:left w:val="nil"/>
              <w:bottom w:val="nil"/>
              <w:right w:val="nil"/>
            </w:tcBorders>
          </w:tcPr>
          <w:p w14:paraId="39E8C907" w14:textId="77777777" w:rsidR="00582218" w:rsidRPr="00912B96" w:rsidRDefault="00582218" w:rsidP="00D215E4">
            <w:pPr>
              <w:ind w:left="522" w:right="-57"/>
              <w:jc w:val="both"/>
              <w:rPr>
                <w:bCs w:val="0"/>
                <w:sz w:val="18"/>
                <w:szCs w:val="18"/>
              </w:rPr>
            </w:pPr>
          </w:p>
        </w:tc>
        <w:tc>
          <w:tcPr>
            <w:tcW w:w="4599" w:type="dxa"/>
            <w:tcBorders>
              <w:top w:val="nil"/>
              <w:left w:val="nil"/>
              <w:bottom w:val="nil"/>
              <w:right w:val="nil"/>
            </w:tcBorders>
          </w:tcPr>
          <w:p w14:paraId="3274F2F3" w14:textId="77777777" w:rsidR="00582218" w:rsidRPr="00912B96" w:rsidRDefault="00582218" w:rsidP="00D215E4">
            <w:pPr>
              <w:tabs>
                <w:tab w:val="left" w:pos="5590"/>
                <w:tab w:val="right" w:pos="7620"/>
                <w:tab w:val="right" w:pos="9460"/>
                <w:tab w:val="right" w:pos="10080"/>
              </w:tabs>
              <w:ind w:left="651" w:right="-57"/>
              <w:jc w:val="both"/>
              <w:rPr>
                <w:bCs w:val="0"/>
                <w:i/>
                <w:sz w:val="18"/>
                <w:szCs w:val="18"/>
              </w:rPr>
            </w:pPr>
          </w:p>
        </w:tc>
      </w:tr>
      <w:tr w:rsidR="00582218" w:rsidRPr="00871465" w14:paraId="4731DFF9" w14:textId="77777777" w:rsidTr="00912B96">
        <w:trPr>
          <w:trHeight w:val="20"/>
        </w:trPr>
        <w:tc>
          <w:tcPr>
            <w:tcW w:w="4598" w:type="dxa"/>
            <w:tcBorders>
              <w:top w:val="nil"/>
              <w:left w:val="nil"/>
              <w:bottom w:val="nil"/>
              <w:right w:val="nil"/>
            </w:tcBorders>
          </w:tcPr>
          <w:p w14:paraId="4F4E7DC7" w14:textId="77777777" w:rsidR="00582218" w:rsidRPr="00912B96" w:rsidRDefault="00582218" w:rsidP="00070D1F">
            <w:pPr>
              <w:numPr>
                <w:ilvl w:val="0"/>
                <w:numId w:val="122"/>
              </w:numPr>
              <w:ind w:left="1135" w:right="-57" w:hanging="284"/>
              <w:jc w:val="both"/>
              <w:rPr>
                <w:bCs w:val="0"/>
                <w:sz w:val="18"/>
                <w:szCs w:val="18"/>
              </w:rPr>
            </w:pPr>
            <w:r w:rsidRPr="00912B96">
              <w:rPr>
                <w:sz w:val="18"/>
                <w:szCs w:val="18"/>
              </w:rPr>
              <w:t xml:space="preserve">Aset Keuangan Tersedia </w:t>
            </w:r>
            <w:r w:rsidRPr="00912B96">
              <w:rPr>
                <w:bCs w:val="0"/>
                <w:sz w:val="18"/>
                <w:szCs w:val="18"/>
              </w:rPr>
              <w:t>Untuk</w:t>
            </w:r>
            <w:r w:rsidRPr="00912B96">
              <w:rPr>
                <w:sz w:val="18"/>
                <w:szCs w:val="18"/>
              </w:rPr>
              <w:t xml:space="preserve"> Dijual (AFS)</w:t>
            </w:r>
          </w:p>
        </w:tc>
        <w:tc>
          <w:tcPr>
            <w:tcW w:w="4599" w:type="dxa"/>
            <w:tcBorders>
              <w:top w:val="nil"/>
              <w:left w:val="nil"/>
              <w:bottom w:val="nil"/>
              <w:right w:val="nil"/>
            </w:tcBorders>
          </w:tcPr>
          <w:p w14:paraId="113C08FF" w14:textId="77777777" w:rsidR="00582218" w:rsidRPr="00912B96" w:rsidRDefault="00582218" w:rsidP="00070D1F">
            <w:pPr>
              <w:pStyle w:val="ListParagraph"/>
              <w:numPr>
                <w:ilvl w:val="0"/>
                <w:numId w:val="123"/>
              </w:numPr>
              <w:ind w:left="1135" w:right="-57" w:hanging="284"/>
              <w:jc w:val="both"/>
              <w:rPr>
                <w:bCs w:val="0"/>
                <w:i/>
                <w:sz w:val="18"/>
                <w:szCs w:val="18"/>
              </w:rPr>
            </w:pPr>
            <w:r w:rsidRPr="00912B96">
              <w:rPr>
                <w:i/>
                <w:sz w:val="18"/>
                <w:szCs w:val="18"/>
              </w:rPr>
              <w:t>Available-for-Sales (AFS) Financial Assets</w:t>
            </w:r>
          </w:p>
        </w:tc>
      </w:tr>
      <w:tr w:rsidR="00582218" w:rsidRPr="00871465" w14:paraId="1259F3AE" w14:textId="77777777" w:rsidTr="00912B96">
        <w:trPr>
          <w:trHeight w:val="20"/>
        </w:trPr>
        <w:tc>
          <w:tcPr>
            <w:tcW w:w="4598" w:type="dxa"/>
            <w:tcBorders>
              <w:top w:val="nil"/>
              <w:left w:val="nil"/>
              <w:bottom w:val="nil"/>
              <w:right w:val="nil"/>
            </w:tcBorders>
          </w:tcPr>
          <w:p w14:paraId="5F6A3C48" w14:textId="77777777" w:rsidR="00582218" w:rsidRPr="00871465" w:rsidRDefault="00582218" w:rsidP="00D215E4">
            <w:pPr>
              <w:ind w:left="522" w:right="-57"/>
              <w:jc w:val="both"/>
              <w:rPr>
                <w:bCs w:val="0"/>
                <w:sz w:val="18"/>
                <w:szCs w:val="18"/>
                <w:highlight w:val="cyan"/>
              </w:rPr>
            </w:pPr>
          </w:p>
        </w:tc>
        <w:tc>
          <w:tcPr>
            <w:tcW w:w="4599" w:type="dxa"/>
            <w:tcBorders>
              <w:top w:val="nil"/>
              <w:left w:val="nil"/>
              <w:bottom w:val="nil"/>
              <w:right w:val="nil"/>
            </w:tcBorders>
          </w:tcPr>
          <w:p w14:paraId="0997746B" w14:textId="77777777" w:rsidR="00582218" w:rsidRPr="00871465" w:rsidRDefault="00582218" w:rsidP="00D215E4">
            <w:pPr>
              <w:tabs>
                <w:tab w:val="left" w:pos="5590"/>
                <w:tab w:val="right" w:pos="7620"/>
                <w:tab w:val="right" w:pos="9460"/>
                <w:tab w:val="right" w:pos="10080"/>
              </w:tabs>
              <w:ind w:left="651" w:right="-57"/>
              <w:jc w:val="both"/>
              <w:rPr>
                <w:bCs w:val="0"/>
                <w:i/>
                <w:sz w:val="18"/>
                <w:szCs w:val="18"/>
                <w:highlight w:val="cyan"/>
              </w:rPr>
            </w:pPr>
          </w:p>
        </w:tc>
      </w:tr>
      <w:tr w:rsidR="00582218" w:rsidRPr="00912B96" w14:paraId="5177F9A7" w14:textId="77777777" w:rsidTr="00912B96">
        <w:trPr>
          <w:trHeight w:val="20"/>
        </w:trPr>
        <w:tc>
          <w:tcPr>
            <w:tcW w:w="4598" w:type="dxa"/>
            <w:tcBorders>
              <w:top w:val="nil"/>
              <w:left w:val="nil"/>
              <w:bottom w:val="nil"/>
              <w:right w:val="nil"/>
            </w:tcBorders>
          </w:tcPr>
          <w:p w14:paraId="1FE626A4" w14:textId="77777777" w:rsidR="00582218" w:rsidRPr="00912B96" w:rsidRDefault="00582218" w:rsidP="00D215E4">
            <w:pPr>
              <w:ind w:left="1134" w:right="-57"/>
              <w:jc w:val="both"/>
              <w:rPr>
                <w:bCs w:val="0"/>
                <w:sz w:val="18"/>
                <w:szCs w:val="18"/>
              </w:rPr>
            </w:pPr>
            <w:r w:rsidRPr="00912B96">
              <w:rPr>
                <w:sz w:val="18"/>
                <w:szCs w:val="18"/>
              </w:rPr>
              <w:t>Aset keuangan AFS adalah aset keuangan non-derivatif yang ditetapkan sebagai tersedia untuk dijual atau yang tidak diklasifikasikan ke dalam tiga kategori sebelumnya. Aset keuangan ini diklasifikasikan sebagai aset tidak lancar kecuali aset keuangan tersebut ditujukan untuk dilepaskan dalam waktu dua belas bulan dari tanggal laporan posisi keuangan</w:t>
            </w:r>
            <w:r w:rsidRPr="00912B96">
              <w:rPr>
                <w:sz w:val="18"/>
                <w:szCs w:val="18"/>
                <w:lang w:val="id-ID"/>
              </w:rPr>
              <w:t xml:space="preserve"> konsolidasian</w:t>
            </w:r>
            <w:r w:rsidRPr="00912B96">
              <w:rPr>
                <w:sz w:val="18"/>
                <w:szCs w:val="18"/>
              </w:rPr>
              <w:t>.</w:t>
            </w:r>
          </w:p>
        </w:tc>
        <w:tc>
          <w:tcPr>
            <w:tcW w:w="4599" w:type="dxa"/>
            <w:tcBorders>
              <w:top w:val="nil"/>
              <w:left w:val="nil"/>
              <w:bottom w:val="nil"/>
              <w:right w:val="nil"/>
            </w:tcBorders>
          </w:tcPr>
          <w:p w14:paraId="5B651F8B" w14:textId="77777777" w:rsidR="00582218" w:rsidRPr="00912B96" w:rsidRDefault="00582218" w:rsidP="00D215E4">
            <w:pPr>
              <w:pStyle w:val="ListParagraph"/>
              <w:ind w:left="1134" w:right="-57"/>
              <w:jc w:val="both"/>
              <w:rPr>
                <w:bCs w:val="0"/>
                <w:i/>
                <w:sz w:val="18"/>
                <w:szCs w:val="18"/>
              </w:rPr>
            </w:pPr>
            <w:r w:rsidRPr="00912B96">
              <w:rPr>
                <w:i/>
                <w:sz w:val="18"/>
                <w:szCs w:val="18"/>
              </w:rPr>
              <w:t xml:space="preserve">AFS financial assets are non-derivative financial assets that are designated as AFS or are not classified into the three preceding categories. Financial assets are classified as non-current assets unless the asset is intended to be released within twelve months from the date of the </w:t>
            </w:r>
            <w:r w:rsidRPr="00912B96">
              <w:rPr>
                <w:i/>
                <w:sz w:val="18"/>
                <w:szCs w:val="18"/>
                <w:lang w:val="id-ID"/>
              </w:rPr>
              <w:t xml:space="preserve">consolidated statement of </w:t>
            </w:r>
            <w:r w:rsidRPr="00912B96">
              <w:rPr>
                <w:i/>
                <w:sz w:val="18"/>
                <w:szCs w:val="18"/>
              </w:rPr>
              <w:t>financial position.</w:t>
            </w:r>
          </w:p>
        </w:tc>
      </w:tr>
      <w:tr w:rsidR="00582218" w:rsidRPr="00912B96" w14:paraId="0208E8CB" w14:textId="77777777" w:rsidTr="00912B96">
        <w:trPr>
          <w:trHeight w:val="20"/>
        </w:trPr>
        <w:tc>
          <w:tcPr>
            <w:tcW w:w="4598" w:type="dxa"/>
            <w:tcBorders>
              <w:top w:val="nil"/>
              <w:left w:val="nil"/>
              <w:bottom w:val="nil"/>
              <w:right w:val="nil"/>
            </w:tcBorders>
          </w:tcPr>
          <w:p w14:paraId="02B15390" w14:textId="77777777" w:rsidR="00582218" w:rsidRPr="00912B96" w:rsidRDefault="00582218" w:rsidP="00D215E4">
            <w:pPr>
              <w:ind w:left="522" w:right="-57"/>
              <w:jc w:val="both"/>
              <w:rPr>
                <w:bCs w:val="0"/>
                <w:sz w:val="18"/>
                <w:szCs w:val="18"/>
              </w:rPr>
            </w:pPr>
          </w:p>
        </w:tc>
        <w:tc>
          <w:tcPr>
            <w:tcW w:w="4599" w:type="dxa"/>
            <w:tcBorders>
              <w:top w:val="nil"/>
              <w:left w:val="nil"/>
              <w:bottom w:val="nil"/>
              <w:right w:val="nil"/>
            </w:tcBorders>
          </w:tcPr>
          <w:p w14:paraId="67DF7142" w14:textId="77777777" w:rsidR="00582218" w:rsidRPr="00912B96" w:rsidRDefault="00582218" w:rsidP="00D215E4">
            <w:pPr>
              <w:tabs>
                <w:tab w:val="left" w:pos="5590"/>
                <w:tab w:val="right" w:pos="7620"/>
                <w:tab w:val="right" w:pos="9460"/>
                <w:tab w:val="right" w:pos="10080"/>
              </w:tabs>
              <w:ind w:left="651" w:right="-57"/>
              <w:jc w:val="both"/>
              <w:rPr>
                <w:bCs w:val="0"/>
                <w:i/>
                <w:sz w:val="18"/>
                <w:szCs w:val="18"/>
              </w:rPr>
            </w:pPr>
          </w:p>
        </w:tc>
      </w:tr>
      <w:tr w:rsidR="00582218" w:rsidRPr="00871465" w14:paraId="1ABDDE3A" w14:textId="77777777" w:rsidTr="00912B96">
        <w:trPr>
          <w:trHeight w:val="20"/>
        </w:trPr>
        <w:tc>
          <w:tcPr>
            <w:tcW w:w="4598" w:type="dxa"/>
            <w:tcBorders>
              <w:top w:val="nil"/>
              <w:left w:val="nil"/>
              <w:bottom w:val="nil"/>
              <w:right w:val="nil"/>
            </w:tcBorders>
          </w:tcPr>
          <w:p w14:paraId="2AD768DF" w14:textId="5EC36CF5" w:rsidR="00582218" w:rsidRPr="00912B96" w:rsidRDefault="00582218" w:rsidP="005B47F7">
            <w:pPr>
              <w:ind w:left="1134" w:right="-57"/>
              <w:jc w:val="both"/>
              <w:rPr>
                <w:bCs w:val="0"/>
                <w:sz w:val="18"/>
                <w:szCs w:val="18"/>
              </w:rPr>
            </w:pPr>
            <w:r w:rsidRPr="00912B96">
              <w:rPr>
                <w:sz w:val="18"/>
                <w:szCs w:val="18"/>
              </w:rPr>
              <w:t>Setelah pengukuran awal</w:t>
            </w:r>
            <w:r w:rsidR="00870FD0">
              <w:rPr>
                <w:sz w:val="18"/>
                <w:szCs w:val="18"/>
              </w:rPr>
              <w:t>.</w:t>
            </w:r>
            <w:r w:rsidRPr="00912B96">
              <w:rPr>
                <w:sz w:val="18"/>
                <w:szCs w:val="18"/>
              </w:rPr>
              <w:t xml:space="preserve"> </w:t>
            </w:r>
            <w:proofErr w:type="gramStart"/>
            <w:r w:rsidRPr="00912B96">
              <w:rPr>
                <w:sz w:val="18"/>
                <w:szCs w:val="18"/>
              </w:rPr>
              <w:t>aset</w:t>
            </w:r>
            <w:proofErr w:type="gramEnd"/>
            <w:r w:rsidRPr="00912B96">
              <w:rPr>
                <w:sz w:val="18"/>
                <w:szCs w:val="18"/>
              </w:rPr>
              <w:t xml:space="preserve"> keuangan AFS diukur pada nilai wajar tanpa dikurangi biaya transaksi yang mungkin terjadi saat penjualan atau pelepasan lain</w:t>
            </w:r>
            <w:r w:rsidR="005B47F7">
              <w:rPr>
                <w:sz w:val="18"/>
                <w:szCs w:val="18"/>
              </w:rPr>
              <w:t>,</w:t>
            </w:r>
            <w:r w:rsidRPr="00912B96">
              <w:rPr>
                <w:sz w:val="18"/>
                <w:szCs w:val="18"/>
              </w:rPr>
              <w:t xml:space="preserve"> dengan keuntungan atau kerugian yang belum terealisasi diakui sebagai OCI dalam komponen ekuitas sampai investasi tersebut dihentikan pengakuannya.</w:t>
            </w:r>
          </w:p>
        </w:tc>
        <w:tc>
          <w:tcPr>
            <w:tcW w:w="4599" w:type="dxa"/>
            <w:tcBorders>
              <w:top w:val="nil"/>
              <w:left w:val="nil"/>
              <w:bottom w:val="nil"/>
              <w:right w:val="nil"/>
            </w:tcBorders>
          </w:tcPr>
          <w:p w14:paraId="24DF048A" w14:textId="44BF14C3" w:rsidR="00582218" w:rsidRPr="00912B96" w:rsidRDefault="00582218" w:rsidP="005B47F7">
            <w:pPr>
              <w:pStyle w:val="ListParagraph"/>
              <w:ind w:left="1134" w:right="-57"/>
              <w:jc w:val="both"/>
              <w:rPr>
                <w:bCs w:val="0"/>
                <w:i/>
                <w:sz w:val="18"/>
                <w:szCs w:val="18"/>
              </w:rPr>
            </w:pPr>
            <w:r w:rsidRPr="00912B96">
              <w:rPr>
                <w:i/>
                <w:sz w:val="18"/>
                <w:szCs w:val="18"/>
              </w:rPr>
              <w:t>After initial measurement</w:t>
            </w:r>
            <w:r w:rsidR="00870FD0">
              <w:rPr>
                <w:i/>
                <w:sz w:val="18"/>
                <w:szCs w:val="18"/>
              </w:rPr>
              <w:t>.</w:t>
            </w:r>
            <w:r w:rsidRPr="00912B96">
              <w:rPr>
                <w:i/>
                <w:sz w:val="18"/>
                <w:szCs w:val="18"/>
              </w:rPr>
              <w:t xml:space="preserve"> AFS financial assets are measured at fair value without deducting transaction costs that may occur when a sale or other disposal</w:t>
            </w:r>
            <w:r w:rsidR="005B47F7">
              <w:rPr>
                <w:i/>
                <w:sz w:val="18"/>
                <w:szCs w:val="18"/>
              </w:rPr>
              <w:t>,</w:t>
            </w:r>
            <w:r w:rsidRPr="00912B96">
              <w:rPr>
                <w:i/>
                <w:sz w:val="18"/>
                <w:szCs w:val="18"/>
              </w:rPr>
              <w:t xml:space="preserve"> with unrealized gains or losses recognized as OCI in equity component until the investment is derecognized.</w:t>
            </w:r>
          </w:p>
        </w:tc>
      </w:tr>
      <w:tr w:rsidR="00582218" w:rsidRPr="00871465" w14:paraId="05A04EF8" w14:textId="77777777" w:rsidTr="00912B96">
        <w:trPr>
          <w:trHeight w:val="20"/>
        </w:trPr>
        <w:tc>
          <w:tcPr>
            <w:tcW w:w="4598" w:type="dxa"/>
            <w:tcBorders>
              <w:top w:val="nil"/>
              <w:left w:val="nil"/>
              <w:bottom w:val="nil"/>
              <w:right w:val="nil"/>
            </w:tcBorders>
          </w:tcPr>
          <w:p w14:paraId="0103247A" w14:textId="77777777" w:rsidR="00582218" w:rsidRPr="00871465" w:rsidRDefault="00582218" w:rsidP="00D215E4">
            <w:pPr>
              <w:ind w:left="522" w:right="-57"/>
              <w:jc w:val="both"/>
              <w:rPr>
                <w:bCs w:val="0"/>
                <w:sz w:val="18"/>
                <w:szCs w:val="18"/>
                <w:highlight w:val="cyan"/>
              </w:rPr>
            </w:pPr>
          </w:p>
        </w:tc>
        <w:tc>
          <w:tcPr>
            <w:tcW w:w="4599" w:type="dxa"/>
            <w:tcBorders>
              <w:top w:val="nil"/>
              <w:left w:val="nil"/>
              <w:bottom w:val="nil"/>
              <w:right w:val="nil"/>
            </w:tcBorders>
          </w:tcPr>
          <w:p w14:paraId="709B01C8" w14:textId="77777777" w:rsidR="00582218" w:rsidRPr="00871465" w:rsidRDefault="00582218" w:rsidP="00D215E4">
            <w:pPr>
              <w:tabs>
                <w:tab w:val="left" w:pos="5590"/>
                <w:tab w:val="right" w:pos="7620"/>
                <w:tab w:val="right" w:pos="9460"/>
                <w:tab w:val="right" w:pos="10080"/>
              </w:tabs>
              <w:ind w:left="651" w:right="-57"/>
              <w:jc w:val="both"/>
              <w:rPr>
                <w:bCs w:val="0"/>
                <w:i/>
                <w:sz w:val="18"/>
                <w:szCs w:val="18"/>
                <w:highlight w:val="cyan"/>
              </w:rPr>
            </w:pPr>
          </w:p>
        </w:tc>
      </w:tr>
      <w:tr w:rsidR="00582218" w:rsidRPr="0013526B" w14:paraId="5EEC134B" w14:textId="77777777" w:rsidTr="00912B96">
        <w:trPr>
          <w:trHeight w:val="20"/>
        </w:trPr>
        <w:tc>
          <w:tcPr>
            <w:tcW w:w="4598" w:type="dxa"/>
            <w:tcBorders>
              <w:top w:val="nil"/>
              <w:left w:val="nil"/>
              <w:bottom w:val="nil"/>
              <w:right w:val="nil"/>
            </w:tcBorders>
          </w:tcPr>
          <w:p w14:paraId="7202421A" w14:textId="56413D21" w:rsidR="00582218" w:rsidRPr="00912B96" w:rsidRDefault="00582218" w:rsidP="00D215E4">
            <w:pPr>
              <w:ind w:left="1134" w:right="-57"/>
              <w:jc w:val="both"/>
              <w:rPr>
                <w:bCs w:val="0"/>
                <w:sz w:val="18"/>
                <w:szCs w:val="18"/>
              </w:rPr>
            </w:pPr>
            <w:r w:rsidRPr="00912B96">
              <w:rPr>
                <w:sz w:val="18"/>
                <w:szCs w:val="18"/>
              </w:rPr>
              <w:t>Pada saat pengukuran awal</w:t>
            </w:r>
            <w:r w:rsidR="00870FD0">
              <w:rPr>
                <w:sz w:val="18"/>
                <w:szCs w:val="18"/>
              </w:rPr>
              <w:t>.</w:t>
            </w:r>
            <w:r w:rsidRPr="00912B96">
              <w:rPr>
                <w:sz w:val="18"/>
                <w:szCs w:val="18"/>
              </w:rPr>
              <w:t xml:space="preserve"> </w:t>
            </w:r>
            <w:proofErr w:type="gramStart"/>
            <w:r w:rsidRPr="00912B96">
              <w:rPr>
                <w:sz w:val="18"/>
                <w:szCs w:val="18"/>
              </w:rPr>
              <w:t>laba</w:t>
            </w:r>
            <w:proofErr w:type="gramEnd"/>
            <w:r w:rsidRPr="00912B96">
              <w:rPr>
                <w:sz w:val="18"/>
                <w:szCs w:val="18"/>
              </w:rPr>
              <w:t xml:space="preserve"> atau rugi kumulatif yang sebelumnya diakui dalam komponen ekuitas sampai pengakuannya aset keuangan tersebut dihentikan atau sampai ditetapkan ada penurunan nilainya dan pada saat yang sama keuntungan atau kerugian kumulatif yang sebelumnya diakui dalam ekuitas harus diakui ke laporan laba rugi dan penghasila</w:t>
            </w:r>
            <w:r w:rsidRPr="00912B96">
              <w:rPr>
                <w:sz w:val="18"/>
                <w:szCs w:val="18"/>
                <w:lang w:val="id-ID"/>
              </w:rPr>
              <w:t>n</w:t>
            </w:r>
            <w:r w:rsidRPr="00912B96">
              <w:rPr>
                <w:sz w:val="18"/>
                <w:szCs w:val="18"/>
              </w:rPr>
              <w:t xml:space="preserve"> komprehensif </w:t>
            </w:r>
            <w:r w:rsidRPr="00912B96">
              <w:rPr>
                <w:sz w:val="18"/>
                <w:szCs w:val="18"/>
                <w:lang w:val="id-ID"/>
              </w:rPr>
              <w:t xml:space="preserve">lain konsolidasian </w:t>
            </w:r>
            <w:r w:rsidRPr="00912B96">
              <w:rPr>
                <w:sz w:val="18"/>
                <w:szCs w:val="18"/>
              </w:rPr>
              <w:t>sebagai</w:t>
            </w:r>
            <w:r w:rsidRPr="00912B96">
              <w:rPr>
                <w:sz w:val="18"/>
                <w:szCs w:val="18"/>
                <w:lang w:val="id-ID"/>
              </w:rPr>
              <w:t xml:space="preserve"> </w:t>
            </w:r>
            <w:r w:rsidRPr="00912B96">
              <w:rPr>
                <w:sz w:val="18"/>
                <w:szCs w:val="18"/>
              </w:rPr>
              <w:t>penyesuaian reklasifikasi.</w:t>
            </w:r>
          </w:p>
        </w:tc>
        <w:tc>
          <w:tcPr>
            <w:tcW w:w="4599" w:type="dxa"/>
            <w:tcBorders>
              <w:top w:val="nil"/>
              <w:left w:val="nil"/>
              <w:bottom w:val="nil"/>
              <w:right w:val="nil"/>
            </w:tcBorders>
          </w:tcPr>
          <w:p w14:paraId="5BAEE09F" w14:textId="7D37C177" w:rsidR="00582218" w:rsidRPr="0013526B" w:rsidRDefault="00582218" w:rsidP="00D215E4">
            <w:pPr>
              <w:pStyle w:val="ListParagraph"/>
              <w:ind w:left="1134" w:right="-57"/>
              <w:jc w:val="both"/>
              <w:rPr>
                <w:i/>
                <w:sz w:val="18"/>
                <w:szCs w:val="18"/>
              </w:rPr>
            </w:pPr>
            <w:r w:rsidRPr="00912B96">
              <w:rPr>
                <w:i/>
                <w:sz w:val="18"/>
                <w:szCs w:val="18"/>
              </w:rPr>
              <w:t>At that time</w:t>
            </w:r>
            <w:r w:rsidR="00870FD0">
              <w:rPr>
                <w:i/>
                <w:sz w:val="18"/>
                <w:szCs w:val="18"/>
              </w:rPr>
              <w:t>.</w:t>
            </w:r>
            <w:r w:rsidRPr="00912B96">
              <w:rPr>
                <w:i/>
                <w:sz w:val="18"/>
                <w:szCs w:val="18"/>
              </w:rPr>
              <w:t xml:space="preserve"> the cumulative gain or loss previously recognized in equity component until the financial asset is derecognized or until to be determined impaired and at the same time the cumulative gain or loss previously recognized in equity should be recognized to the </w:t>
            </w:r>
            <w:r w:rsidRPr="00912B96">
              <w:rPr>
                <w:i/>
                <w:sz w:val="18"/>
                <w:szCs w:val="18"/>
                <w:lang w:val="id-ID"/>
              </w:rPr>
              <w:t xml:space="preserve">consolidated </w:t>
            </w:r>
            <w:r w:rsidRPr="00912B96">
              <w:rPr>
                <w:i/>
                <w:sz w:val="18"/>
                <w:szCs w:val="18"/>
              </w:rPr>
              <w:t>statement of profit or loss and other comprehensive income as a reclassification adjustment.</w:t>
            </w:r>
          </w:p>
        </w:tc>
      </w:tr>
      <w:tr w:rsidR="008B2957" w:rsidRPr="00912B96" w14:paraId="454ED3AA" w14:textId="77777777" w:rsidTr="00582218">
        <w:trPr>
          <w:trHeight w:val="20"/>
        </w:trPr>
        <w:tc>
          <w:tcPr>
            <w:tcW w:w="4598" w:type="dxa"/>
            <w:tcBorders>
              <w:top w:val="nil"/>
              <w:left w:val="nil"/>
              <w:bottom w:val="nil"/>
              <w:right w:val="nil"/>
            </w:tcBorders>
          </w:tcPr>
          <w:p w14:paraId="0E11C202" w14:textId="5A1807A5" w:rsidR="008B2957" w:rsidRPr="00912B96" w:rsidRDefault="00582218" w:rsidP="00070D1F">
            <w:pPr>
              <w:numPr>
                <w:ilvl w:val="0"/>
                <w:numId w:val="128"/>
              </w:numPr>
              <w:ind w:left="284" w:right="-57" w:hanging="284"/>
              <w:jc w:val="both"/>
              <w:rPr>
                <w:b/>
                <w:sz w:val="18"/>
                <w:szCs w:val="18"/>
              </w:rPr>
            </w:pPr>
            <w:r>
              <w:rPr>
                <w:sz w:val="18"/>
                <w:lang w:val="id-ID"/>
              </w:rPr>
              <w:lastRenderedPageBreak/>
              <w:br w:type="page"/>
            </w:r>
            <w:r w:rsidR="0043068B" w:rsidRPr="00912B96">
              <w:rPr>
                <w:rStyle w:val="hps"/>
                <w:b/>
                <w:sz w:val="18"/>
                <w:szCs w:val="18"/>
              </w:rPr>
              <w:t xml:space="preserve">IKHTISAR KEBIJAKAN AKUNTANSI </w:t>
            </w:r>
            <w:r w:rsidR="00C85EDE" w:rsidRPr="00912B96">
              <w:rPr>
                <w:rStyle w:val="hps"/>
                <w:b/>
                <w:sz w:val="18"/>
                <w:szCs w:val="18"/>
                <w:lang w:val="id-ID"/>
              </w:rPr>
              <w:t xml:space="preserve">YANG </w:t>
            </w:r>
            <w:r w:rsidR="0043068B" w:rsidRPr="00912B96">
              <w:rPr>
                <w:rStyle w:val="hps"/>
                <w:b/>
                <w:sz w:val="18"/>
                <w:szCs w:val="18"/>
              </w:rPr>
              <w:t xml:space="preserve">PENTING </w:t>
            </w:r>
            <w:r w:rsidR="003151BF" w:rsidRPr="00912B96">
              <w:rPr>
                <w:rStyle w:val="hps"/>
                <w:b/>
                <w:sz w:val="18"/>
                <w:szCs w:val="18"/>
                <w:lang w:val="id-ID"/>
              </w:rPr>
              <w:t>-</w:t>
            </w:r>
            <w:r w:rsidR="0043068B" w:rsidRPr="00912B96">
              <w:rPr>
                <w:rStyle w:val="hps"/>
                <w:b/>
                <w:sz w:val="18"/>
                <w:szCs w:val="18"/>
              </w:rPr>
              <w:t xml:space="preserve"> Lanjutan</w:t>
            </w:r>
          </w:p>
        </w:tc>
        <w:tc>
          <w:tcPr>
            <w:tcW w:w="4599" w:type="dxa"/>
            <w:tcBorders>
              <w:top w:val="nil"/>
              <w:left w:val="nil"/>
              <w:bottom w:val="nil"/>
              <w:right w:val="nil"/>
            </w:tcBorders>
          </w:tcPr>
          <w:p w14:paraId="5A4C89C9" w14:textId="77777777" w:rsidR="008B2957" w:rsidRPr="00912B96" w:rsidRDefault="008B2957" w:rsidP="00070D1F">
            <w:pPr>
              <w:numPr>
                <w:ilvl w:val="0"/>
                <w:numId w:val="129"/>
              </w:numPr>
              <w:ind w:left="284" w:right="-57" w:hanging="284"/>
              <w:jc w:val="both"/>
              <w:rPr>
                <w:b/>
                <w:i/>
                <w:sz w:val="18"/>
                <w:szCs w:val="18"/>
              </w:rPr>
            </w:pPr>
            <w:r w:rsidRPr="00912B96">
              <w:rPr>
                <w:b/>
                <w:i/>
                <w:sz w:val="18"/>
                <w:szCs w:val="18"/>
              </w:rPr>
              <w:t xml:space="preserve">SUMMARY OF </w:t>
            </w:r>
            <w:r w:rsidR="00C85EDE" w:rsidRPr="00912B96">
              <w:rPr>
                <w:b/>
                <w:i/>
                <w:sz w:val="18"/>
                <w:szCs w:val="18"/>
              </w:rPr>
              <w:t>SIGNIFICANT ACCOUNTING POLICIE</w:t>
            </w:r>
            <w:r w:rsidR="00C85EDE" w:rsidRPr="00912B96">
              <w:rPr>
                <w:b/>
                <w:i/>
                <w:sz w:val="18"/>
                <w:szCs w:val="18"/>
                <w:lang w:val="id-ID"/>
              </w:rPr>
              <w:t xml:space="preserve">S </w:t>
            </w:r>
            <w:r w:rsidRPr="00912B96">
              <w:rPr>
                <w:b/>
                <w:i/>
                <w:sz w:val="18"/>
                <w:szCs w:val="18"/>
              </w:rPr>
              <w:t>- Continued</w:t>
            </w:r>
          </w:p>
        </w:tc>
      </w:tr>
      <w:tr w:rsidR="008B2957" w:rsidRPr="00912B96" w14:paraId="411DFBE7" w14:textId="77777777" w:rsidTr="00582218">
        <w:trPr>
          <w:trHeight w:val="20"/>
        </w:trPr>
        <w:tc>
          <w:tcPr>
            <w:tcW w:w="4598" w:type="dxa"/>
            <w:tcBorders>
              <w:top w:val="nil"/>
              <w:left w:val="nil"/>
              <w:bottom w:val="nil"/>
              <w:right w:val="nil"/>
            </w:tcBorders>
          </w:tcPr>
          <w:p w14:paraId="7C1AECF5" w14:textId="77777777" w:rsidR="008B2957" w:rsidRPr="00912B96" w:rsidRDefault="008B2957" w:rsidP="0013526B">
            <w:pPr>
              <w:ind w:left="357" w:right="-57"/>
              <w:jc w:val="both"/>
              <w:rPr>
                <w:sz w:val="18"/>
                <w:szCs w:val="18"/>
              </w:rPr>
            </w:pPr>
          </w:p>
        </w:tc>
        <w:tc>
          <w:tcPr>
            <w:tcW w:w="4599" w:type="dxa"/>
            <w:tcBorders>
              <w:top w:val="nil"/>
              <w:left w:val="nil"/>
              <w:bottom w:val="nil"/>
              <w:right w:val="nil"/>
            </w:tcBorders>
          </w:tcPr>
          <w:p w14:paraId="300168CB" w14:textId="77777777" w:rsidR="008B2957" w:rsidRPr="00912B96" w:rsidRDefault="008B2957" w:rsidP="0013526B">
            <w:pPr>
              <w:ind w:left="357" w:right="-57"/>
              <w:jc w:val="both"/>
              <w:rPr>
                <w:i/>
                <w:sz w:val="18"/>
                <w:szCs w:val="18"/>
              </w:rPr>
            </w:pPr>
          </w:p>
        </w:tc>
      </w:tr>
      <w:tr w:rsidR="008B2957" w:rsidRPr="00912B96" w14:paraId="46A8BFAD" w14:textId="77777777" w:rsidTr="00582218">
        <w:trPr>
          <w:trHeight w:val="20"/>
        </w:trPr>
        <w:tc>
          <w:tcPr>
            <w:tcW w:w="4598" w:type="dxa"/>
            <w:tcBorders>
              <w:top w:val="nil"/>
              <w:left w:val="nil"/>
              <w:bottom w:val="nil"/>
              <w:right w:val="nil"/>
            </w:tcBorders>
          </w:tcPr>
          <w:p w14:paraId="3655A3B0" w14:textId="77777777" w:rsidR="008B2957" w:rsidRPr="00912B96" w:rsidRDefault="008B2957" w:rsidP="00070D1F">
            <w:pPr>
              <w:pStyle w:val="ListParagraph"/>
              <w:numPr>
                <w:ilvl w:val="0"/>
                <w:numId w:val="170"/>
              </w:numPr>
              <w:ind w:left="568" w:right="-57" w:hanging="284"/>
              <w:contextualSpacing/>
              <w:jc w:val="both"/>
              <w:rPr>
                <w:b/>
                <w:sz w:val="18"/>
                <w:szCs w:val="18"/>
              </w:rPr>
            </w:pPr>
            <w:r w:rsidRPr="00912B96">
              <w:rPr>
                <w:b/>
                <w:sz w:val="18"/>
                <w:szCs w:val="18"/>
              </w:rPr>
              <w:t xml:space="preserve">Instrumen Keuangan </w:t>
            </w:r>
            <w:r w:rsidR="003151BF" w:rsidRPr="00912B96">
              <w:rPr>
                <w:b/>
                <w:sz w:val="18"/>
                <w:szCs w:val="18"/>
                <w:lang w:val="id-ID"/>
              </w:rPr>
              <w:t>-</w:t>
            </w:r>
            <w:r w:rsidRPr="00912B96">
              <w:rPr>
                <w:b/>
                <w:sz w:val="18"/>
                <w:szCs w:val="18"/>
              </w:rPr>
              <w:t xml:space="preserve"> Lanjutan</w:t>
            </w:r>
          </w:p>
        </w:tc>
        <w:tc>
          <w:tcPr>
            <w:tcW w:w="4599" w:type="dxa"/>
            <w:tcBorders>
              <w:top w:val="nil"/>
              <w:left w:val="nil"/>
              <w:bottom w:val="nil"/>
              <w:right w:val="nil"/>
            </w:tcBorders>
          </w:tcPr>
          <w:p w14:paraId="0E755774" w14:textId="77777777" w:rsidR="008B2957" w:rsidRPr="00912B96" w:rsidRDefault="008B2957" w:rsidP="00070D1F">
            <w:pPr>
              <w:pStyle w:val="ListParagraph"/>
              <w:numPr>
                <w:ilvl w:val="0"/>
                <w:numId w:val="171"/>
              </w:numPr>
              <w:tabs>
                <w:tab w:val="left" w:pos="641"/>
                <w:tab w:val="left" w:pos="5590"/>
                <w:tab w:val="right" w:pos="7620"/>
                <w:tab w:val="right" w:pos="9460"/>
                <w:tab w:val="right" w:pos="10080"/>
              </w:tabs>
              <w:ind w:left="568" w:right="-57" w:hanging="284"/>
              <w:contextualSpacing/>
              <w:jc w:val="both"/>
              <w:rPr>
                <w:b/>
                <w:i/>
                <w:sz w:val="18"/>
                <w:szCs w:val="18"/>
              </w:rPr>
            </w:pPr>
            <w:r w:rsidRPr="00912B96">
              <w:rPr>
                <w:b/>
                <w:i/>
                <w:sz w:val="18"/>
                <w:szCs w:val="18"/>
              </w:rPr>
              <w:t>Financial Instruments - Continued</w:t>
            </w:r>
          </w:p>
        </w:tc>
      </w:tr>
    </w:tbl>
    <w:p w14:paraId="69D30829" w14:textId="77777777" w:rsidR="00B16EDC" w:rsidRPr="00912B96" w:rsidRDefault="00B16EDC" w:rsidP="0013526B">
      <w:pPr>
        <w:rPr>
          <w:sz w:val="18"/>
          <w:lang w:val="id-ID"/>
        </w:rPr>
      </w:pPr>
    </w:p>
    <w:tbl>
      <w:tblPr>
        <w:tblW w:w="9197" w:type="dxa"/>
        <w:tblInd w:w="392" w:type="dxa"/>
        <w:tblLayout w:type="fixed"/>
        <w:tblLook w:val="0000" w:firstRow="0" w:lastRow="0" w:firstColumn="0" w:lastColumn="0" w:noHBand="0" w:noVBand="0"/>
      </w:tblPr>
      <w:tblGrid>
        <w:gridCol w:w="4598"/>
        <w:gridCol w:w="4599"/>
      </w:tblGrid>
      <w:tr w:rsidR="008B2957" w:rsidRPr="00912B96" w14:paraId="5768975E" w14:textId="77777777" w:rsidTr="00582218">
        <w:trPr>
          <w:trHeight w:val="20"/>
        </w:trPr>
        <w:tc>
          <w:tcPr>
            <w:tcW w:w="4598" w:type="dxa"/>
            <w:tcBorders>
              <w:top w:val="nil"/>
              <w:left w:val="nil"/>
              <w:bottom w:val="nil"/>
              <w:right w:val="nil"/>
            </w:tcBorders>
          </w:tcPr>
          <w:p w14:paraId="059B6623" w14:textId="77777777" w:rsidR="008B2957" w:rsidRPr="00912B96" w:rsidRDefault="008B2957" w:rsidP="00070D1F">
            <w:pPr>
              <w:pStyle w:val="Default"/>
              <w:numPr>
                <w:ilvl w:val="0"/>
                <w:numId w:val="126"/>
              </w:numPr>
              <w:ind w:left="851" w:right="-57" w:hanging="284"/>
              <w:jc w:val="both"/>
              <w:rPr>
                <w:rFonts w:ascii="Times New Roman" w:eastAsia="Times New Roman" w:hAnsi="Times New Roman" w:cs="Times New Roman"/>
                <w:b/>
                <w:bCs/>
                <w:sz w:val="18"/>
                <w:szCs w:val="18"/>
              </w:rPr>
            </w:pPr>
            <w:r w:rsidRPr="00912B96">
              <w:rPr>
                <w:rFonts w:ascii="Times New Roman" w:eastAsia="Times New Roman" w:hAnsi="Times New Roman" w:cs="Times New Roman"/>
                <w:b/>
                <w:bCs/>
                <w:sz w:val="18"/>
                <w:szCs w:val="18"/>
              </w:rPr>
              <w:t>Liabilitas Keuangan</w:t>
            </w:r>
          </w:p>
        </w:tc>
        <w:tc>
          <w:tcPr>
            <w:tcW w:w="4599" w:type="dxa"/>
            <w:tcBorders>
              <w:top w:val="nil"/>
              <w:left w:val="nil"/>
              <w:bottom w:val="nil"/>
              <w:right w:val="nil"/>
            </w:tcBorders>
          </w:tcPr>
          <w:p w14:paraId="35AA0AAE" w14:textId="77777777" w:rsidR="008B2957" w:rsidRPr="00912B96" w:rsidRDefault="008B2957" w:rsidP="00070D1F">
            <w:pPr>
              <w:pStyle w:val="ListParagraph"/>
              <w:numPr>
                <w:ilvl w:val="0"/>
                <w:numId w:val="127"/>
              </w:numPr>
              <w:ind w:left="851" w:right="-57" w:hanging="284"/>
              <w:jc w:val="both"/>
              <w:rPr>
                <w:b/>
                <w:i/>
                <w:sz w:val="18"/>
                <w:szCs w:val="18"/>
              </w:rPr>
            </w:pPr>
            <w:r w:rsidRPr="00912B96">
              <w:rPr>
                <w:b/>
                <w:i/>
                <w:sz w:val="18"/>
                <w:szCs w:val="18"/>
              </w:rPr>
              <w:t>Financial Liabilities</w:t>
            </w:r>
          </w:p>
        </w:tc>
      </w:tr>
      <w:tr w:rsidR="008B2957" w:rsidRPr="00912B96" w14:paraId="2CC7F55D" w14:textId="77777777" w:rsidTr="00582218">
        <w:trPr>
          <w:trHeight w:val="20"/>
        </w:trPr>
        <w:tc>
          <w:tcPr>
            <w:tcW w:w="4598" w:type="dxa"/>
            <w:tcBorders>
              <w:top w:val="nil"/>
              <w:left w:val="nil"/>
              <w:bottom w:val="nil"/>
              <w:right w:val="nil"/>
            </w:tcBorders>
          </w:tcPr>
          <w:p w14:paraId="6283C90A" w14:textId="77777777" w:rsidR="008B2957" w:rsidRPr="00912B96" w:rsidRDefault="008B2957" w:rsidP="0013526B">
            <w:pPr>
              <w:ind w:left="522" w:right="-57"/>
              <w:jc w:val="both"/>
              <w:rPr>
                <w:bCs w:val="0"/>
                <w:sz w:val="18"/>
                <w:szCs w:val="18"/>
              </w:rPr>
            </w:pPr>
          </w:p>
        </w:tc>
        <w:tc>
          <w:tcPr>
            <w:tcW w:w="4599" w:type="dxa"/>
            <w:tcBorders>
              <w:top w:val="nil"/>
              <w:left w:val="nil"/>
              <w:bottom w:val="nil"/>
              <w:right w:val="nil"/>
            </w:tcBorders>
          </w:tcPr>
          <w:p w14:paraId="74C460F1"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912B96" w14:paraId="234A4B8D" w14:textId="77777777" w:rsidTr="00582218">
        <w:trPr>
          <w:trHeight w:val="20"/>
        </w:trPr>
        <w:tc>
          <w:tcPr>
            <w:tcW w:w="4598" w:type="dxa"/>
            <w:tcBorders>
              <w:top w:val="nil"/>
              <w:left w:val="nil"/>
              <w:bottom w:val="nil"/>
              <w:right w:val="nil"/>
            </w:tcBorders>
          </w:tcPr>
          <w:p w14:paraId="0E1CB559" w14:textId="77777777" w:rsidR="008B2957" w:rsidRPr="00912B96" w:rsidRDefault="008B2957" w:rsidP="0013526B">
            <w:pPr>
              <w:ind w:left="851" w:right="-57"/>
              <w:jc w:val="both"/>
              <w:rPr>
                <w:b/>
                <w:bCs w:val="0"/>
                <w:sz w:val="18"/>
                <w:szCs w:val="18"/>
              </w:rPr>
            </w:pPr>
            <w:r w:rsidRPr="00912B96">
              <w:rPr>
                <w:b/>
                <w:bCs w:val="0"/>
                <w:sz w:val="18"/>
                <w:szCs w:val="18"/>
              </w:rPr>
              <w:t>Pengakuan</w:t>
            </w:r>
            <w:r w:rsidRPr="00912B96">
              <w:rPr>
                <w:b/>
                <w:sz w:val="18"/>
                <w:szCs w:val="18"/>
              </w:rPr>
              <w:t xml:space="preserve"> dan Pengukuran Awal</w:t>
            </w:r>
          </w:p>
        </w:tc>
        <w:tc>
          <w:tcPr>
            <w:tcW w:w="4599" w:type="dxa"/>
            <w:tcBorders>
              <w:top w:val="nil"/>
              <w:left w:val="nil"/>
              <w:bottom w:val="nil"/>
              <w:right w:val="nil"/>
            </w:tcBorders>
          </w:tcPr>
          <w:p w14:paraId="7E65D286" w14:textId="77777777" w:rsidR="008B2957" w:rsidRPr="00912B96" w:rsidRDefault="008B2957" w:rsidP="0013526B">
            <w:pPr>
              <w:tabs>
                <w:tab w:val="left" w:pos="5590"/>
                <w:tab w:val="right" w:pos="7620"/>
                <w:tab w:val="right" w:pos="9460"/>
                <w:tab w:val="right" w:pos="10080"/>
              </w:tabs>
              <w:ind w:left="851" w:right="-57"/>
              <w:jc w:val="both"/>
              <w:rPr>
                <w:b/>
                <w:bCs w:val="0"/>
                <w:i/>
                <w:sz w:val="18"/>
                <w:szCs w:val="18"/>
              </w:rPr>
            </w:pPr>
            <w:r w:rsidRPr="00912B96">
              <w:rPr>
                <w:b/>
                <w:i/>
                <w:sz w:val="18"/>
                <w:szCs w:val="18"/>
              </w:rPr>
              <w:t>Initial Recognition and Measurement</w:t>
            </w:r>
          </w:p>
        </w:tc>
      </w:tr>
      <w:tr w:rsidR="008B2957" w:rsidRPr="00912B96" w14:paraId="08653B98" w14:textId="77777777" w:rsidTr="00582218">
        <w:trPr>
          <w:trHeight w:val="20"/>
        </w:trPr>
        <w:tc>
          <w:tcPr>
            <w:tcW w:w="4598" w:type="dxa"/>
            <w:tcBorders>
              <w:top w:val="nil"/>
              <w:left w:val="nil"/>
              <w:bottom w:val="nil"/>
              <w:right w:val="nil"/>
            </w:tcBorders>
          </w:tcPr>
          <w:p w14:paraId="74413736" w14:textId="77777777" w:rsidR="008B2957" w:rsidRPr="00912B96" w:rsidRDefault="008B2957" w:rsidP="0013526B">
            <w:pPr>
              <w:ind w:left="924" w:right="-57"/>
              <w:jc w:val="both"/>
              <w:rPr>
                <w:sz w:val="18"/>
                <w:szCs w:val="18"/>
              </w:rPr>
            </w:pPr>
          </w:p>
        </w:tc>
        <w:tc>
          <w:tcPr>
            <w:tcW w:w="4599" w:type="dxa"/>
            <w:tcBorders>
              <w:top w:val="nil"/>
              <w:left w:val="nil"/>
              <w:bottom w:val="nil"/>
              <w:right w:val="nil"/>
            </w:tcBorders>
          </w:tcPr>
          <w:p w14:paraId="04F00E67" w14:textId="77777777" w:rsidR="008B2957" w:rsidRPr="00912B96" w:rsidRDefault="008B2957" w:rsidP="0013526B">
            <w:pPr>
              <w:tabs>
                <w:tab w:val="left" w:pos="5590"/>
                <w:tab w:val="right" w:pos="7620"/>
                <w:tab w:val="right" w:pos="9460"/>
                <w:tab w:val="right" w:pos="10080"/>
              </w:tabs>
              <w:ind w:left="924" w:right="-57"/>
              <w:jc w:val="both"/>
              <w:rPr>
                <w:i/>
                <w:sz w:val="18"/>
                <w:szCs w:val="18"/>
              </w:rPr>
            </w:pPr>
          </w:p>
        </w:tc>
      </w:tr>
      <w:tr w:rsidR="008B2957" w:rsidRPr="0011757A" w14:paraId="2C148760" w14:textId="77777777" w:rsidTr="00582218">
        <w:trPr>
          <w:trHeight w:val="20"/>
        </w:trPr>
        <w:tc>
          <w:tcPr>
            <w:tcW w:w="4598" w:type="dxa"/>
            <w:tcBorders>
              <w:top w:val="nil"/>
              <w:left w:val="nil"/>
              <w:bottom w:val="nil"/>
              <w:right w:val="nil"/>
            </w:tcBorders>
          </w:tcPr>
          <w:p w14:paraId="2EABF635" w14:textId="77777777" w:rsidR="008B2957" w:rsidRPr="00912B96" w:rsidRDefault="008B2957" w:rsidP="0013526B">
            <w:pPr>
              <w:ind w:left="851" w:right="-57"/>
              <w:jc w:val="both"/>
              <w:rPr>
                <w:bCs w:val="0"/>
                <w:sz w:val="18"/>
                <w:szCs w:val="18"/>
              </w:rPr>
            </w:pPr>
            <w:r w:rsidRPr="00912B96">
              <w:rPr>
                <w:sz w:val="18"/>
                <w:szCs w:val="18"/>
              </w:rPr>
              <w:br w:type="page"/>
              <w:t xml:space="preserve">Liabilitas keuangan diakui pada posisi keuangan </w:t>
            </w:r>
            <w:r w:rsidRPr="00912B96">
              <w:rPr>
                <w:bCs w:val="0"/>
                <w:sz w:val="18"/>
                <w:szCs w:val="18"/>
              </w:rPr>
              <w:t>ketika</w:t>
            </w:r>
            <w:r w:rsidRPr="00912B96">
              <w:rPr>
                <w:sz w:val="18"/>
                <w:szCs w:val="18"/>
              </w:rPr>
              <w:t xml:space="preserve"> </w:t>
            </w:r>
            <w:r w:rsidR="00B05CAB" w:rsidRPr="00912B96">
              <w:rPr>
                <w:sz w:val="18"/>
                <w:szCs w:val="18"/>
                <w:lang w:val="id-ID"/>
              </w:rPr>
              <w:t xml:space="preserve">Entitas </w:t>
            </w:r>
            <w:r w:rsidRPr="00912B96">
              <w:rPr>
                <w:sz w:val="18"/>
                <w:szCs w:val="18"/>
              </w:rPr>
              <w:t>menjadi pihak dalam provisi kontrak instrumen.</w:t>
            </w:r>
          </w:p>
        </w:tc>
        <w:tc>
          <w:tcPr>
            <w:tcW w:w="4599" w:type="dxa"/>
            <w:tcBorders>
              <w:top w:val="nil"/>
              <w:left w:val="nil"/>
              <w:bottom w:val="nil"/>
              <w:right w:val="nil"/>
            </w:tcBorders>
          </w:tcPr>
          <w:p w14:paraId="16112DBE" w14:textId="77777777" w:rsidR="008B2957" w:rsidRPr="00912B96" w:rsidRDefault="008B2957" w:rsidP="0013526B">
            <w:pPr>
              <w:tabs>
                <w:tab w:val="left" w:pos="5590"/>
                <w:tab w:val="right" w:pos="7620"/>
                <w:tab w:val="right" w:pos="9460"/>
                <w:tab w:val="right" w:pos="10080"/>
              </w:tabs>
              <w:ind w:left="851" w:right="-57"/>
              <w:jc w:val="both"/>
              <w:rPr>
                <w:bCs w:val="0"/>
                <w:i/>
                <w:sz w:val="18"/>
                <w:szCs w:val="18"/>
              </w:rPr>
            </w:pPr>
            <w:r w:rsidRPr="00912B96">
              <w:rPr>
                <w:i/>
                <w:sz w:val="18"/>
                <w:szCs w:val="18"/>
              </w:rPr>
              <w:t xml:space="preserve">Financial liabilities are recognized on the financial position when the </w:t>
            </w:r>
            <w:r w:rsidR="00B05CAB" w:rsidRPr="00912B96">
              <w:rPr>
                <w:i/>
                <w:sz w:val="18"/>
                <w:szCs w:val="18"/>
                <w:lang w:val="id-ID"/>
              </w:rPr>
              <w:t xml:space="preserve">Entity </w:t>
            </w:r>
            <w:r w:rsidRPr="00912B96">
              <w:rPr>
                <w:i/>
                <w:sz w:val="18"/>
                <w:szCs w:val="18"/>
              </w:rPr>
              <w:t>becomes a party to the contractual provision of the instrument.</w:t>
            </w:r>
          </w:p>
        </w:tc>
      </w:tr>
      <w:tr w:rsidR="008B2957" w:rsidRPr="0011757A" w14:paraId="15D3AC2C" w14:textId="77777777" w:rsidTr="00582218">
        <w:trPr>
          <w:trHeight w:val="20"/>
        </w:trPr>
        <w:tc>
          <w:tcPr>
            <w:tcW w:w="4598" w:type="dxa"/>
            <w:tcBorders>
              <w:top w:val="nil"/>
              <w:left w:val="nil"/>
              <w:bottom w:val="nil"/>
              <w:right w:val="nil"/>
            </w:tcBorders>
          </w:tcPr>
          <w:p w14:paraId="2A9A2DF1" w14:textId="77777777" w:rsidR="008B2957" w:rsidRPr="0011757A" w:rsidRDefault="008B2957" w:rsidP="0013526B">
            <w:pPr>
              <w:ind w:left="522" w:right="-57"/>
              <w:jc w:val="both"/>
              <w:rPr>
                <w:bCs w:val="0"/>
                <w:sz w:val="18"/>
                <w:szCs w:val="18"/>
                <w:highlight w:val="cyan"/>
              </w:rPr>
            </w:pPr>
          </w:p>
        </w:tc>
        <w:tc>
          <w:tcPr>
            <w:tcW w:w="4599" w:type="dxa"/>
            <w:tcBorders>
              <w:top w:val="nil"/>
              <w:left w:val="nil"/>
              <w:bottom w:val="nil"/>
              <w:right w:val="nil"/>
            </w:tcBorders>
          </w:tcPr>
          <w:p w14:paraId="77E135A3" w14:textId="77777777" w:rsidR="008B2957" w:rsidRPr="0011757A" w:rsidRDefault="008B2957" w:rsidP="0013526B">
            <w:pPr>
              <w:tabs>
                <w:tab w:val="left" w:pos="5590"/>
                <w:tab w:val="right" w:pos="7620"/>
                <w:tab w:val="right" w:pos="9460"/>
                <w:tab w:val="right" w:pos="10080"/>
              </w:tabs>
              <w:ind w:left="749" w:right="-57"/>
              <w:jc w:val="both"/>
              <w:rPr>
                <w:bCs w:val="0"/>
                <w:i/>
                <w:sz w:val="18"/>
                <w:szCs w:val="18"/>
                <w:highlight w:val="cyan"/>
              </w:rPr>
            </w:pPr>
          </w:p>
        </w:tc>
      </w:tr>
      <w:tr w:rsidR="008B2957" w:rsidRPr="0011757A" w14:paraId="75193F7F" w14:textId="77777777" w:rsidTr="00582218">
        <w:trPr>
          <w:trHeight w:val="20"/>
        </w:trPr>
        <w:tc>
          <w:tcPr>
            <w:tcW w:w="4598" w:type="dxa"/>
            <w:tcBorders>
              <w:top w:val="nil"/>
              <w:left w:val="nil"/>
              <w:bottom w:val="nil"/>
              <w:right w:val="nil"/>
            </w:tcBorders>
          </w:tcPr>
          <w:p w14:paraId="7480D47F" w14:textId="23696D53" w:rsidR="008B2957" w:rsidRPr="00912B96" w:rsidRDefault="008B2957" w:rsidP="005B47F7">
            <w:pPr>
              <w:ind w:left="851" w:right="-57"/>
              <w:jc w:val="both"/>
              <w:rPr>
                <w:bCs w:val="0"/>
                <w:sz w:val="18"/>
                <w:szCs w:val="18"/>
              </w:rPr>
            </w:pPr>
            <w:r w:rsidRPr="00912B96">
              <w:rPr>
                <w:sz w:val="18"/>
                <w:szCs w:val="18"/>
              </w:rPr>
              <w:t>Liabilitas keuangan dalam ruang lingkup</w:t>
            </w:r>
            <w:r w:rsidRPr="00912B96">
              <w:rPr>
                <w:sz w:val="18"/>
                <w:szCs w:val="18"/>
              </w:rPr>
              <w:br/>
              <w:t>PSAK No. 55 (Revisi 2014) diklasifikasikan sebagai liabilitas keuangan pada nilai wajar melalui laba rugi (FVTPL) liabilitas keuangan pada</w:t>
            </w:r>
            <w:r w:rsidR="00B05CAB" w:rsidRPr="00912B96">
              <w:rPr>
                <w:sz w:val="18"/>
                <w:szCs w:val="18"/>
              </w:rPr>
              <w:t xml:space="preserve"> biaya perolehan diamortisasi (</w:t>
            </w:r>
            <w:r w:rsidRPr="00912B96">
              <w:rPr>
                <w:sz w:val="18"/>
                <w:szCs w:val="18"/>
              </w:rPr>
              <w:t>utang lain-lain dan derivatif yang ditentukan sebagai instrumen lindung nilai efektif</w:t>
            </w:r>
            <w:r w:rsidR="005B47F7">
              <w:rPr>
                <w:sz w:val="18"/>
                <w:szCs w:val="18"/>
              </w:rPr>
              <w:t>,</w:t>
            </w:r>
            <w:r w:rsidRPr="00912B96">
              <w:rPr>
                <w:sz w:val="18"/>
                <w:szCs w:val="18"/>
              </w:rPr>
              <w:t xml:space="preserve"> mana yang sesuai). </w:t>
            </w:r>
            <w:r w:rsidR="00716854" w:rsidRPr="00912B96">
              <w:rPr>
                <w:sz w:val="18"/>
                <w:szCs w:val="18"/>
                <w:lang w:val="id-ID"/>
              </w:rPr>
              <w:t>Kelompok Usaha</w:t>
            </w:r>
            <w:r w:rsidRPr="00912B96">
              <w:rPr>
                <w:sz w:val="18"/>
                <w:szCs w:val="18"/>
              </w:rPr>
              <w:t xml:space="preserve"> menetapkan klasifikasi atas liabilitas keuangan pada saat pengakuan awal.</w:t>
            </w:r>
          </w:p>
        </w:tc>
        <w:tc>
          <w:tcPr>
            <w:tcW w:w="4599" w:type="dxa"/>
            <w:tcBorders>
              <w:top w:val="nil"/>
              <w:left w:val="nil"/>
              <w:bottom w:val="nil"/>
              <w:right w:val="nil"/>
            </w:tcBorders>
          </w:tcPr>
          <w:p w14:paraId="0D64F50A" w14:textId="031F9266" w:rsidR="008B2957" w:rsidRPr="00912B96" w:rsidRDefault="008B2957" w:rsidP="005B47F7">
            <w:pPr>
              <w:tabs>
                <w:tab w:val="left" w:pos="5590"/>
                <w:tab w:val="right" w:pos="7620"/>
                <w:tab w:val="right" w:pos="9460"/>
                <w:tab w:val="right" w:pos="10080"/>
              </w:tabs>
              <w:ind w:left="851" w:right="-57"/>
              <w:jc w:val="both"/>
              <w:rPr>
                <w:bCs w:val="0"/>
                <w:i/>
                <w:sz w:val="18"/>
                <w:szCs w:val="18"/>
              </w:rPr>
            </w:pPr>
            <w:r w:rsidRPr="00912B96">
              <w:rPr>
                <w:i/>
                <w:sz w:val="18"/>
                <w:szCs w:val="18"/>
              </w:rPr>
              <w:t>Financial liabilities within the scope of</w:t>
            </w:r>
            <w:r w:rsidRPr="00912B96">
              <w:rPr>
                <w:i/>
                <w:sz w:val="18"/>
                <w:szCs w:val="18"/>
              </w:rPr>
              <w:br/>
              <w:t>PSAK No. 55 (Revised 2014) are classified as financial liabilities measured at fair value through profit or loss (FVTPL)</w:t>
            </w:r>
            <w:r w:rsidR="00870FD0">
              <w:rPr>
                <w:i/>
                <w:sz w:val="18"/>
                <w:szCs w:val="18"/>
              </w:rPr>
              <w:t>.</w:t>
            </w:r>
            <w:r w:rsidRPr="00912B96">
              <w:rPr>
                <w:i/>
                <w:sz w:val="18"/>
                <w:szCs w:val="18"/>
              </w:rPr>
              <w:t xml:space="preserve"> </w:t>
            </w:r>
            <w:proofErr w:type="gramStart"/>
            <w:r w:rsidRPr="00912B96">
              <w:rPr>
                <w:i/>
                <w:sz w:val="18"/>
                <w:szCs w:val="18"/>
              </w:rPr>
              <w:t>financial</w:t>
            </w:r>
            <w:proofErr w:type="gramEnd"/>
            <w:r w:rsidRPr="00912B96">
              <w:rPr>
                <w:i/>
                <w:sz w:val="18"/>
                <w:szCs w:val="18"/>
              </w:rPr>
              <w:t xml:space="preserve"> liabilities that are measured at amortized cost (other payables and derivatives designated as effective hedging instruments</w:t>
            </w:r>
            <w:r w:rsidR="005B47F7">
              <w:rPr>
                <w:i/>
                <w:sz w:val="18"/>
                <w:szCs w:val="18"/>
              </w:rPr>
              <w:t>,</w:t>
            </w:r>
            <w:r w:rsidRPr="00912B96">
              <w:rPr>
                <w:i/>
                <w:sz w:val="18"/>
                <w:szCs w:val="18"/>
              </w:rPr>
              <w:t xml:space="preserve"> which appropriate). The </w:t>
            </w:r>
            <w:r w:rsidR="00716854" w:rsidRPr="00912B96">
              <w:rPr>
                <w:i/>
                <w:sz w:val="18"/>
                <w:szCs w:val="18"/>
                <w:lang w:val="id-ID"/>
              </w:rPr>
              <w:t>Group</w:t>
            </w:r>
            <w:r w:rsidRPr="00912B96">
              <w:rPr>
                <w:i/>
                <w:sz w:val="18"/>
                <w:szCs w:val="18"/>
              </w:rPr>
              <w:t xml:space="preserve"> determines the classification of its financial liabilities at initial recognition.</w:t>
            </w:r>
          </w:p>
        </w:tc>
      </w:tr>
      <w:tr w:rsidR="008B2957" w:rsidRPr="0011757A" w14:paraId="08CA7EB6" w14:textId="77777777" w:rsidTr="00582218">
        <w:trPr>
          <w:trHeight w:val="20"/>
        </w:trPr>
        <w:tc>
          <w:tcPr>
            <w:tcW w:w="4598" w:type="dxa"/>
            <w:tcBorders>
              <w:top w:val="nil"/>
              <w:left w:val="nil"/>
              <w:bottom w:val="nil"/>
              <w:right w:val="nil"/>
            </w:tcBorders>
          </w:tcPr>
          <w:p w14:paraId="64A5D42F" w14:textId="77777777" w:rsidR="008B2957" w:rsidRPr="0011757A" w:rsidRDefault="008B2957" w:rsidP="0013526B">
            <w:pPr>
              <w:ind w:left="522" w:right="-57"/>
              <w:jc w:val="both"/>
              <w:rPr>
                <w:bCs w:val="0"/>
                <w:sz w:val="18"/>
                <w:szCs w:val="18"/>
                <w:highlight w:val="cyan"/>
              </w:rPr>
            </w:pPr>
          </w:p>
        </w:tc>
        <w:tc>
          <w:tcPr>
            <w:tcW w:w="4599" w:type="dxa"/>
            <w:tcBorders>
              <w:top w:val="nil"/>
              <w:left w:val="nil"/>
              <w:bottom w:val="nil"/>
              <w:right w:val="nil"/>
            </w:tcBorders>
          </w:tcPr>
          <w:p w14:paraId="48CA0263" w14:textId="77777777" w:rsidR="008B2957" w:rsidRPr="0011757A" w:rsidRDefault="008B2957" w:rsidP="0013526B">
            <w:pPr>
              <w:tabs>
                <w:tab w:val="left" w:pos="5590"/>
                <w:tab w:val="right" w:pos="7620"/>
                <w:tab w:val="right" w:pos="9460"/>
                <w:tab w:val="right" w:pos="10080"/>
              </w:tabs>
              <w:ind w:left="651" w:right="-57"/>
              <w:jc w:val="both"/>
              <w:rPr>
                <w:bCs w:val="0"/>
                <w:i/>
                <w:sz w:val="18"/>
                <w:szCs w:val="18"/>
                <w:highlight w:val="cyan"/>
              </w:rPr>
            </w:pPr>
          </w:p>
        </w:tc>
      </w:tr>
      <w:tr w:rsidR="008B2957" w:rsidRPr="00912B96" w14:paraId="19BFA533" w14:textId="77777777" w:rsidTr="00582218">
        <w:trPr>
          <w:trHeight w:val="20"/>
        </w:trPr>
        <w:tc>
          <w:tcPr>
            <w:tcW w:w="4598" w:type="dxa"/>
            <w:tcBorders>
              <w:top w:val="nil"/>
              <w:left w:val="nil"/>
              <w:bottom w:val="nil"/>
              <w:right w:val="nil"/>
            </w:tcBorders>
          </w:tcPr>
          <w:p w14:paraId="5B6BD16D" w14:textId="423B540E" w:rsidR="008B2957" w:rsidRPr="00912B96" w:rsidRDefault="008B2957" w:rsidP="005B47F7">
            <w:pPr>
              <w:ind w:left="851" w:right="-57"/>
              <w:jc w:val="both"/>
              <w:rPr>
                <w:bCs w:val="0"/>
                <w:sz w:val="18"/>
                <w:szCs w:val="18"/>
              </w:rPr>
            </w:pPr>
            <w:r w:rsidRPr="00912B96">
              <w:rPr>
                <w:sz w:val="18"/>
                <w:szCs w:val="18"/>
              </w:rPr>
              <w:t>Liabilitas keuangan pada awalnya diukur pada nilai wajar dan dalam hal liabilitas keuangan tidak diklasifikasikan sebagai FVTPL</w:t>
            </w:r>
            <w:r w:rsidR="005B47F7">
              <w:rPr>
                <w:sz w:val="18"/>
                <w:szCs w:val="18"/>
              </w:rPr>
              <w:t>,</w:t>
            </w:r>
            <w:r w:rsidRPr="00912B96">
              <w:rPr>
                <w:sz w:val="18"/>
                <w:szCs w:val="18"/>
              </w:rPr>
              <w:t xml:space="preserve"> nilai wajar ditambah biaya transaksi yang dapat diatribusikan secara langsung dengan penerbitan liabilitas keuangan tersebut.</w:t>
            </w:r>
          </w:p>
        </w:tc>
        <w:tc>
          <w:tcPr>
            <w:tcW w:w="4599" w:type="dxa"/>
            <w:tcBorders>
              <w:top w:val="nil"/>
              <w:left w:val="nil"/>
              <w:bottom w:val="nil"/>
              <w:right w:val="nil"/>
            </w:tcBorders>
          </w:tcPr>
          <w:p w14:paraId="524E1D1C" w14:textId="3C333DC4" w:rsidR="008B2957" w:rsidRPr="00912B96" w:rsidRDefault="008B2957" w:rsidP="005B47F7">
            <w:pPr>
              <w:tabs>
                <w:tab w:val="left" w:pos="5590"/>
                <w:tab w:val="right" w:pos="7620"/>
                <w:tab w:val="right" w:pos="9460"/>
                <w:tab w:val="right" w:pos="10080"/>
              </w:tabs>
              <w:ind w:left="851" w:right="-57"/>
              <w:jc w:val="both"/>
              <w:rPr>
                <w:bCs w:val="0"/>
                <w:i/>
                <w:sz w:val="18"/>
                <w:szCs w:val="18"/>
              </w:rPr>
            </w:pPr>
            <w:r w:rsidRPr="00912B96">
              <w:rPr>
                <w:i/>
                <w:sz w:val="18"/>
                <w:szCs w:val="18"/>
              </w:rPr>
              <w:t>Financial liabilities are initially measured at fair value and in the case of financial liabilities not classified as at FVTPL</w:t>
            </w:r>
            <w:r w:rsidR="005B47F7">
              <w:rPr>
                <w:i/>
                <w:sz w:val="18"/>
                <w:szCs w:val="18"/>
              </w:rPr>
              <w:t>,</w:t>
            </w:r>
            <w:r w:rsidRPr="00912B96">
              <w:rPr>
                <w:i/>
                <w:sz w:val="18"/>
                <w:szCs w:val="18"/>
              </w:rPr>
              <w:t xml:space="preserve"> fair value plus transaction costs that are directly attributable to the issuance of financial liabilities.</w:t>
            </w:r>
          </w:p>
        </w:tc>
      </w:tr>
      <w:tr w:rsidR="008B2957" w:rsidRPr="00912B96" w14:paraId="41322875" w14:textId="77777777" w:rsidTr="00582218">
        <w:trPr>
          <w:trHeight w:val="20"/>
        </w:trPr>
        <w:tc>
          <w:tcPr>
            <w:tcW w:w="4598" w:type="dxa"/>
            <w:tcBorders>
              <w:top w:val="nil"/>
              <w:left w:val="nil"/>
              <w:bottom w:val="nil"/>
              <w:right w:val="nil"/>
            </w:tcBorders>
          </w:tcPr>
          <w:p w14:paraId="683149D3" w14:textId="77777777" w:rsidR="008B2957" w:rsidRPr="00912B96" w:rsidRDefault="008B2957" w:rsidP="0013526B">
            <w:pPr>
              <w:ind w:left="522" w:right="-57"/>
              <w:jc w:val="both"/>
              <w:rPr>
                <w:bCs w:val="0"/>
                <w:sz w:val="18"/>
                <w:szCs w:val="18"/>
              </w:rPr>
            </w:pPr>
          </w:p>
        </w:tc>
        <w:tc>
          <w:tcPr>
            <w:tcW w:w="4599" w:type="dxa"/>
            <w:tcBorders>
              <w:top w:val="nil"/>
              <w:left w:val="nil"/>
              <w:bottom w:val="nil"/>
              <w:right w:val="nil"/>
            </w:tcBorders>
          </w:tcPr>
          <w:p w14:paraId="45EA1B9D"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912B96" w14:paraId="00AC26E8" w14:textId="77777777" w:rsidTr="00582218">
        <w:trPr>
          <w:trHeight w:val="20"/>
        </w:trPr>
        <w:tc>
          <w:tcPr>
            <w:tcW w:w="4598" w:type="dxa"/>
            <w:tcBorders>
              <w:top w:val="nil"/>
              <w:left w:val="nil"/>
              <w:bottom w:val="nil"/>
              <w:right w:val="nil"/>
            </w:tcBorders>
          </w:tcPr>
          <w:p w14:paraId="3C46E2DA" w14:textId="77777777" w:rsidR="008B2957" w:rsidRPr="00912B96" w:rsidRDefault="008B2957" w:rsidP="0013526B">
            <w:pPr>
              <w:ind w:left="851" w:right="-57"/>
              <w:jc w:val="both"/>
              <w:rPr>
                <w:b/>
                <w:bCs w:val="0"/>
                <w:sz w:val="18"/>
                <w:szCs w:val="18"/>
              </w:rPr>
            </w:pPr>
            <w:r w:rsidRPr="00912B96">
              <w:rPr>
                <w:b/>
                <w:bCs w:val="0"/>
                <w:sz w:val="18"/>
                <w:szCs w:val="18"/>
              </w:rPr>
              <w:t>Pengukuran</w:t>
            </w:r>
            <w:r w:rsidRPr="00912B96">
              <w:rPr>
                <w:b/>
                <w:sz w:val="18"/>
                <w:szCs w:val="18"/>
              </w:rPr>
              <w:t xml:space="preserve"> Setelah Pengakuan Awal</w:t>
            </w:r>
          </w:p>
        </w:tc>
        <w:tc>
          <w:tcPr>
            <w:tcW w:w="4599" w:type="dxa"/>
            <w:tcBorders>
              <w:top w:val="nil"/>
              <w:left w:val="nil"/>
              <w:bottom w:val="nil"/>
              <w:right w:val="nil"/>
            </w:tcBorders>
          </w:tcPr>
          <w:p w14:paraId="06799094" w14:textId="77777777" w:rsidR="008B2957" w:rsidRPr="00912B96" w:rsidRDefault="008B2957" w:rsidP="0013526B">
            <w:pPr>
              <w:tabs>
                <w:tab w:val="left" w:pos="5590"/>
                <w:tab w:val="right" w:pos="7620"/>
                <w:tab w:val="right" w:pos="9460"/>
                <w:tab w:val="right" w:pos="10080"/>
              </w:tabs>
              <w:ind w:left="851" w:right="-57"/>
              <w:jc w:val="both"/>
              <w:rPr>
                <w:b/>
                <w:bCs w:val="0"/>
                <w:i/>
                <w:sz w:val="18"/>
                <w:szCs w:val="18"/>
              </w:rPr>
            </w:pPr>
            <w:r w:rsidRPr="00912B96">
              <w:rPr>
                <w:b/>
                <w:i/>
                <w:sz w:val="18"/>
                <w:szCs w:val="18"/>
              </w:rPr>
              <w:t>Subsequent Measurement</w:t>
            </w:r>
          </w:p>
        </w:tc>
      </w:tr>
      <w:tr w:rsidR="008B2957" w:rsidRPr="00912B96" w14:paraId="16F9714C" w14:textId="77777777" w:rsidTr="00582218">
        <w:trPr>
          <w:trHeight w:val="20"/>
        </w:trPr>
        <w:tc>
          <w:tcPr>
            <w:tcW w:w="4598" w:type="dxa"/>
            <w:tcBorders>
              <w:top w:val="nil"/>
              <w:left w:val="nil"/>
              <w:bottom w:val="nil"/>
              <w:right w:val="nil"/>
            </w:tcBorders>
          </w:tcPr>
          <w:p w14:paraId="675D3B0A" w14:textId="77777777" w:rsidR="008B2957" w:rsidRPr="00912B96" w:rsidRDefault="008B2957" w:rsidP="0013526B">
            <w:pPr>
              <w:ind w:left="522" w:right="-57"/>
              <w:jc w:val="both"/>
              <w:rPr>
                <w:bCs w:val="0"/>
                <w:sz w:val="18"/>
                <w:szCs w:val="18"/>
              </w:rPr>
            </w:pPr>
          </w:p>
        </w:tc>
        <w:tc>
          <w:tcPr>
            <w:tcW w:w="4599" w:type="dxa"/>
            <w:tcBorders>
              <w:top w:val="nil"/>
              <w:left w:val="nil"/>
              <w:bottom w:val="nil"/>
              <w:right w:val="nil"/>
            </w:tcBorders>
          </w:tcPr>
          <w:p w14:paraId="7EAEE7A4"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912B96" w14:paraId="2F8EFB0D" w14:textId="77777777" w:rsidTr="00582218">
        <w:trPr>
          <w:trHeight w:val="20"/>
        </w:trPr>
        <w:tc>
          <w:tcPr>
            <w:tcW w:w="4598" w:type="dxa"/>
            <w:tcBorders>
              <w:top w:val="nil"/>
              <w:left w:val="nil"/>
              <w:bottom w:val="nil"/>
              <w:right w:val="nil"/>
            </w:tcBorders>
          </w:tcPr>
          <w:p w14:paraId="7A7C27AE" w14:textId="77777777" w:rsidR="008B2957" w:rsidRPr="00912B96" w:rsidRDefault="008B2957" w:rsidP="0013526B">
            <w:pPr>
              <w:ind w:left="851" w:right="-57"/>
              <w:jc w:val="both"/>
              <w:rPr>
                <w:bCs w:val="0"/>
                <w:sz w:val="18"/>
                <w:szCs w:val="18"/>
              </w:rPr>
            </w:pPr>
            <w:r w:rsidRPr="00912B96">
              <w:rPr>
                <w:sz w:val="18"/>
                <w:szCs w:val="18"/>
              </w:rPr>
              <w:t>Pengukuran liabilitas keuangan setelah pengakuan awal tergantung pada klasifikasinya sebagai berikut:</w:t>
            </w:r>
          </w:p>
        </w:tc>
        <w:tc>
          <w:tcPr>
            <w:tcW w:w="4599" w:type="dxa"/>
            <w:tcBorders>
              <w:top w:val="nil"/>
              <w:left w:val="nil"/>
              <w:bottom w:val="nil"/>
              <w:right w:val="nil"/>
            </w:tcBorders>
          </w:tcPr>
          <w:p w14:paraId="080B2B76" w14:textId="77777777" w:rsidR="008B2957" w:rsidRPr="00912B96" w:rsidRDefault="008B2957" w:rsidP="0013526B">
            <w:pPr>
              <w:tabs>
                <w:tab w:val="left" w:pos="5590"/>
                <w:tab w:val="right" w:pos="7620"/>
                <w:tab w:val="right" w:pos="9460"/>
                <w:tab w:val="right" w:pos="10080"/>
              </w:tabs>
              <w:ind w:left="851" w:right="-57"/>
              <w:jc w:val="both"/>
              <w:rPr>
                <w:i/>
                <w:sz w:val="18"/>
                <w:szCs w:val="18"/>
              </w:rPr>
            </w:pPr>
            <w:r w:rsidRPr="00912B96">
              <w:rPr>
                <w:i/>
                <w:sz w:val="18"/>
                <w:szCs w:val="18"/>
              </w:rPr>
              <w:t>Subsequent measurement of financial liabilities depends on their classification as follows:</w:t>
            </w:r>
          </w:p>
        </w:tc>
      </w:tr>
      <w:tr w:rsidR="008B2957" w:rsidRPr="00912B96" w14:paraId="2382B14A" w14:textId="77777777" w:rsidTr="00582218">
        <w:trPr>
          <w:trHeight w:val="20"/>
        </w:trPr>
        <w:tc>
          <w:tcPr>
            <w:tcW w:w="4598" w:type="dxa"/>
            <w:tcBorders>
              <w:top w:val="nil"/>
              <w:left w:val="nil"/>
              <w:bottom w:val="nil"/>
              <w:right w:val="nil"/>
            </w:tcBorders>
          </w:tcPr>
          <w:p w14:paraId="1B41E982" w14:textId="77777777" w:rsidR="008B2957" w:rsidRPr="00912B96" w:rsidRDefault="008B2957" w:rsidP="0013526B">
            <w:pPr>
              <w:ind w:left="522" w:right="-57"/>
              <w:jc w:val="both"/>
              <w:rPr>
                <w:bCs w:val="0"/>
                <w:sz w:val="18"/>
                <w:szCs w:val="18"/>
              </w:rPr>
            </w:pPr>
          </w:p>
        </w:tc>
        <w:tc>
          <w:tcPr>
            <w:tcW w:w="4599" w:type="dxa"/>
            <w:tcBorders>
              <w:top w:val="nil"/>
              <w:left w:val="nil"/>
              <w:bottom w:val="nil"/>
              <w:right w:val="nil"/>
            </w:tcBorders>
          </w:tcPr>
          <w:p w14:paraId="4AA7D427"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71CA9CDD" w14:textId="77777777" w:rsidTr="00582218">
        <w:trPr>
          <w:trHeight w:val="20"/>
        </w:trPr>
        <w:tc>
          <w:tcPr>
            <w:tcW w:w="4598" w:type="dxa"/>
            <w:tcBorders>
              <w:top w:val="nil"/>
              <w:left w:val="nil"/>
              <w:bottom w:val="nil"/>
              <w:right w:val="nil"/>
            </w:tcBorders>
          </w:tcPr>
          <w:p w14:paraId="67D8248B" w14:textId="77777777" w:rsidR="008B2957" w:rsidRPr="00912B96" w:rsidRDefault="008B2957" w:rsidP="00070D1F">
            <w:pPr>
              <w:numPr>
                <w:ilvl w:val="0"/>
                <w:numId w:val="122"/>
              </w:numPr>
              <w:ind w:left="1135" w:right="-57" w:hanging="284"/>
              <w:jc w:val="both"/>
              <w:rPr>
                <w:bCs w:val="0"/>
                <w:sz w:val="18"/>
                <w:szCs w:val="18"/>
              </w:rPr>
            </w:pPr>
            <w:r w:rsidRPr="00912B96">
              <w:rPr>
                <w:sz w:val="18"/>
                <w:szCs w:val="18"/>
              </w:rPr>
              <w:t>Liabilitas Keuangan pada Nilai Wajar Melalui Laba Rugi (FVTPL)</w:t>
            </w:r>
          </w:p>
        </w:tc>
        <w:tc>
          <w:tcPr>
            <w:tcW w:w="4599" w:type="dxa"/>
            <w:tcBorders>
              <w:top w:val="nil"/>
              <w:left w:val="nil"/>
              <w:bottom w:val="nil"/>
              <w:right w:val="nil"/>
            </w:tcBorders>
          </w:tcPr>
          <w:p w14:paraId="69FEDF55" w14:textId="77777777" w:rsidR="008B2957" w:rsidRPr="00912B96" w:rsidRDefault="008B2957" w:rsidP="00070D1F">
            <w:pPr>
              <w:pStyle w:val="ListParagraph"/>
              <w:numPr>
                <w:ilvl w:val="0"/>
                <w:numId w:val="123"/>
              </w:numPr>
              <w:ind w:left="1135" w:right="-57" w:hanging="284"/>
              <w:jc w:val="both"/>
              <w:rPr>
                <w:bCs w:val="0"/>
                <w:i/>
                <w:sz w:val="18"/>
                <w:szCs w:val="18"/>
              </w:rPr>
            </w:pPr>
            <w:r w:rsidRPr="00912B96">
              <w:rPr>
                <w:i/>
                <w:sz w:val="18"/>
                <w:szCs w:val="18"/>
              </w:rPr>
              <w:t>Financial Liabilities at Fair Value Through Profit or Loss (FVTPL)</w:t>
            </w:r>
          </w:p>
        </w:tc>
      </w:tr>
      <w:tr w:rsidR="008B2957" w:rsidRPr="0011757A" w14:paraId="346724B6" w14:textId="77777777" w:rsidTr="00582218">
        <w:trPr>
          <w:trHeight w:val="20"/>
        </w:trPr>
        <w:tc>
          <w:tcPr>
            <w:tcW w:w="4598" w:type="dxa"/>
            <w:tcBorders>
              <w:top w:val="nil"/>
              <w:left w:val="nil"/>
              <w:bottom w:val="nil"/>
              <w:right w:val="nil"/>
            </w:tcBorders>
          </w:tcPr>
          <w:p w14:paraId="04F0B416" w14:textId="77777777" w:rsidR="008B2957" w:rsidRPr="0011757A" w:rsidRDefault="008B2957" w:rsidP="0013526B">
            <w:pPr>
              <w:ind w:left="522" w:right="-57"/>
              <w:jc w:val="both"/>
              <w:rPr>
                <w:bCs w:val="0"/>
                <w:sz w:val="18"/>
                <w:szCs w:val="18"/>
                <w:highlight w:val="cyan"/>
              </w:rPr>
            </w:pPr>
          </w:p>
        </w:tc>
        <w:tc>
          <w:tcPr>
            <w:tcW w:w="4599" w:type="dxa"/>
            <w:tcBorders>
              <w:top w:val="nil"/>
              <w:left w:val="nil"/>
              <w:bottom w:val="nil"/>
              <w:right w:val="nil"/>
            </w:tcBorders>
          </w:tcPr>
          <w:p w14:paraId="213975C1" w14:textId="77777777" w:rsidR="008B2957" w:rsidRPr="0011757A" w:rsidRDefault="008B2957" w:rsidP="0013526B">
            <w:pPr>
              <w:tabs>
                <w:tab w:val="left" w:pos="5590"/>
                <w:tab w:val="right" w:pos="7620"/>
                <w:tab w:val="right" w:pos="9460"/>
                <w:tab w:val="right" w:pos="10080"/>
              </w:tabs>
              <w:ind w:left="651" w:right="-57"/>
              <w:jc w:val="both"/>
              <w:rPr>
                <w:bCs w:val="0"/>
                <w:i/>
                <w:sz w:val="18"/>
                <w:szCs w:val="18"/>
                <w:highlight w:val="cyan"/>
              </w:rPr>
            </w:pPr>
          </w:p>
        </w:tc>
      </w:tr>
      <w:tr w:rsidR="008B2957" w:rsidRPr="0011757A" w14:paraId="138111B4" w14:textId="77777777" w:rsidTr="00582218">
        <w:trPr>
          <w:trHeight w:val="20"/>
        </w:trPr>
        <w:tc>
          <w:tcPr>
            <w:tcW w:w="4598" w:type="dxa"/>
            <w:tcBorders>
              <w:top w:val="nil"/>
              <w:left w:val="nil"/>
              <w:bottom w:val="nil"/>
              <w:right w:val="nil"/>
            </w:tcBorders>
          </w:tcPr>
          <w:p w14:paraId="73F82B69" w14:textId="77777777" w:rsidR="008B2957" w:rsidRPr="00912B96" w:rsidRDefault="008B2957" w:rsidP="0013526B">
            <w:pPr>
              <w:ind w:left="1134" w:right="-57"/>
              <w:jc w:val="both"/>
              <w:rPr>
                <w:bCs w:val="0"/>
                <w:sz w:val="18"/>
                <w:szCs w:val="18"/>
              </w:rPr>
            </w:pPr>
            <w:r w:rsidRPr="00912B96">
              <w:rPr>
                <w:sz w:val="18"/>
                <w:szCs w:val="18"/>
              </w:rPr>
              <w:t>Liabilitas keuangan diklasifikasikan sebagai kelompok diperdagangkan jika mereka diperoleh untuk tujuan dijual atau dibeli kembali dalam waktu dekat. Derivatif juga diklasifikasikan sebagai kelompok diperdagangkan kecuali mereka ditetapkan sebagai derivative liabilitas instrumen lindung nilai efektif. Keuntungan atau kerugian atas liabilitas yang dimiliki untuk diperdagangkan diakui dalam laporan laba rugi dan penghasilan komprehensif lain</w:t>
            </w:r>
            <w:r w:rsidR="00B05CAB" w:rsidRPr="00912B96">
              <w:rPr>
                <w:sz w:val="18"/>
                <w:szCs w:val="18"/>
                <w:lang w:val="id-ID"/>
              </w:rPr>
              <w:t xml:space="preserve"> konsolidasian</w:t>
            </w:r>
            <w:r w:rsidRPr="00912B96">
              <w:rPr>
                <w:sz w:val="18"/>
                <w:szCs w:val="18"/>
              </w:rPr>
              <w:t>.</w:t>
            </w:r>
          </w:p>
        </w:tc>
        <w:tc>
          <w:tcPr>
            <w:tcW w:w="4599" w:type="dxa"/>
            <w:tcBorders>
              <w:top w:val="nil"/>
              <w:left w:val="nil"/>
              <w:bottom w:val="nil"/>
              <w:right w:val="nil"/>
            </w:tcBorders>
          </w:tcPr>
          <w:p w14:paraId="12A65E6C" w14:textId="77777777" w:rsidR="008B2957" w:rsidRPr="00912B96" w:rsidRDefault="008B2957" w:rsidP="0013526B">
            <w:pPr>
              <w:pStyle w:val="ListParagraph"/>
              <w:ind w:left="1134" w:right="-57"/>
              <w:jc w:val="both"/>
              <w:rPr>
                <w:bCs w:val="0"/>
                <w:i/>
                <w:sz w:val="18"/>
                <w:szCs w:val="18"/>
              </w:rPr>
            </w:pPr>
            <w:r w:rsidRPr="00912B96">
              <w:rPr>
                <w:i/>
                <w:sz w:val="18"/>
                <w:szCs w:val="18"/>
              </w:rPr>
              <w:t xml:space="preserve">Financial liabilities are classified as held for trading if they are acquired for the purpose of selling or repurchasing in the near future. Derivatives are also classified as held for trading unless they are designated as derivative liabilities effective hedging instruments. Gains or losses on liabilities held for trading are recognized in the </w:t>
            </w:r>
            <w:r w:rsidR="00B05CAB" w:rsidRPr="00912B96">
              <w:rPr>
                <w:i/>
                <w:sz w:val="18"/>
                <w:szCs w:val="18"/>
                <w:lang w:val="id-ID"/>
              </w:rPr>
              <w:t xml:space="preserve">consolidated </w:t>
            </w:r>
            <w:r w:rsidRPr="00912B96">
              <w:rPr>
                <w:i/>
                <w:sz w:val="18"/>
                <w:szCs w:val="18"/>
              </w:rPr>
              <w:t>statement of profit or loss and other comprehensive income.</w:t>
            </w:r>
          </w:p>
        </w:tc>
      </w:tr>
      <w:tr w:rsidR="008B2957" w:rsidRPr="0011757A" w14:paraId="48482F7D" w14:textId="77777777" w:rsidTr="00582218">
        <w:trPr>
          <w:trHeight w:val="20"/>
        </w:trPr>
        <w:tc>
          <w:tcPr>
            <w:tcW w:w="4598" w:type="dxa"/>
            <w:tcBorders>
              <w:top w:val="nil"/>
              <w:left w:val="nil"/>
              <w:bottom w:val="nil"/>
              <w:right w:val="nil"/>
            </w:tcBorders>
          </w:tcPr>
          <w:p w14:paraId="5990F045" w14:textId="77777777" w:rsidR="008B2957" w:rsidRPr="00912B96" w:rsidRDefault="008B2957" w:rsidP="0013526B">
            <w:pPr>
              <w:ind w:left="522" w:right="-57"/>
              <w:jc w:val="both"/>
              <w:rPr>
                <w:bCs w:val="0"/>
                <w:sz w:val="18"/>
                <w:szCs w:val="18"/>
              </w:rPr>
            </w:pPr>
          </w:p>
        </w:tc>
        <w:tc>
          <w:tcPr>
            <w:tcW w:w="4599" w:type="dxa"/>
            <w:tcBorders>
              <w:top w:val="nil"/>
              <w:left w:val="nil"/>
              <w:bottom w:val="nil"/>
              <w:right w:val="nil"/>
            </w:tcBorders>
          </w:tcPr>
          <w:p w14:paraId="285E64A7"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3526B" w14:paraId="2AC8D48E" w14:textId="77777777" w:rsidTr="00582218">
        <w:trPr>
          <w:trHeight w:val="20"/>
        </w:trPr>
        <w:tc>
          <w:tcPr>
            <w:tcW w:w="4598" w:type="dxa"/>
            <w:tcBorders>
              <w:top w:val="nil"/>
              <w:left w:val="nil"/>
              <w:bottom w:val="nil"/>
              <w:right w:val="nil"/>
            </w:tcBorders>
          </w:tcPr>
          <w:p w14:paraId="14529991" w14:textId="77777777" w:rsidR="008B2957" w:rsidRPr="00912B96" w:rsidRDefault="008B2957" w:rsidP="0013526B">
            <w:pPr>
              <w:ind w:left="1134" w:right="-57"/>
              <w:jc w:val="both"/>
              <w:rPr>
                <w:bCs w:val="0"/>
                <w:sz w:val="18"/>
                <w:szCs w:val="18"/>
              </w:rPr>
            </w:pPr>
            <w:r w:rsidRPr="00912B96">
              <w:rPr>
                <w:sz w:val="18"/>
                <w:szCs w:val="18"/>
              </w:rPr>
              <w:t xml:space="preserve">Liabilitas keuangan yang ditetapkan sebagai liabilitas keuangan FVTPL termasuk liabilitas keuangan untuk diperdagangkan dan ditetapkan pada saat pengakuan awal sebagai FVTPL disajikan dalam laporan posisi keuangan </w:t>
            </w:r>
            <w:r w:rsidR="00B05CAB" w:rsidRPr="00912B96">
              <w:rPr>
                <w:sz w:val="18"/>
                <w:szCs w:val="18"/>
                <w:lang w:val="id-ID"/>
              </w:rPr>
              <w:t xml:space="preserve">konsolidasian </w:t>
            </w:r>
            <w:r w:rsidRPr="00912B96">
              <w:rPr>
                <w:sz w:val="18"/>
                <w:szCs w:val="18"/>
              </w:rPr>
              <w:t>pada nilai wajar dengan keuntungan atau kerugian dari perubahan nilai wajar diakui dalam laporan laba rugi dan penghasilan komprehensif lain</w:t>
            </w:r>
            <w:r w:rsidR="00B05CAB" w:rsidRPr="00912B96">
              <w:rPr>
                <w:sz w:val="18"/>
                <w:szCs w:val="18"/>
                <w:lang w:val="id-ID"/>
              </w:rPr>
              <w:t xml:space="preserve"> konsolidasian</w:t>
            </w:r>
            <w:r w:rsidRPr="00912B96">
              <w:rPr>
                <w:sz w:val="18"/>
                <w:szCs w:val="18"/>
              </w:rPr>
              <w:t>.</w:t>
            </w:r>
          </w:p>
        </w:tc>
        <w:tc>
          <w:tcPr>
            <w:tcW w:w="4599" w:type="dxa"/>
            <w:tcBorders>
              <w:top w:val="nil"/>
              <w:left w:val="nil"/>
              <w:bottom w:val="nil"/>
              <w:right w:val="nil"/>
            </w:tcBorders>
          </w:tcPr>
          <w:p w14:paraId="3FDA0A45" w14:textId="77777777" w:rsidR="008B2957" w:rsidRPr="00912B96" w:rsidRDefault="008B2957" w:rsidP="0013526B">
            <w:pPr>
              <w:pStyle w:val="ListParagraph"/>
              <w:ind w:left="1134" w:right="-57"/>
              <w:jc w:val="both"/>
              <w:rPr>
                <w:bCs w:val="0"/>
                <w:i/>
                <w:sz w:val="18"/>
                <w:szCs w:val="18"/>
              </w:rPr>
            </w:pPr>
            <w:r w:rsidRPr="00912B96">
              <w:rPr>
                <w:i/>
                <w:sz w:val="18"/>
                <w:szCs w:val="18"/>
              </w:rPr>
              <w:t xml:space="preserve">Financial liabilities that are designated as financial liabilities at FVTPL include financial liabilities held for trading and designated upon initial recognition as FVTPL are presented in the </w:t>
            </w:r>
            <w:r w:rsidR="00B05CAB" w:rsidRPr="00912B96">
              <w:rPr>
                <w:i/>
                <w:sz w:val="18"/>
                <w:szCs w:val="18"/>
                <w:lang w:val="id-ID"/>
              </w:rPr>
              <w:t xml:space="preserve">consolidated </w:t>
            </w:r>
            <w:r w:rsidRPr="00912B96">
              <w:rPr>
                <w:i/>
                <w:sz w:val="18"/>
                <w:szCs w:val="18"/>
              </w:rPr>
              <w:t xml:space="preserve">statement of financial position at fair value with gains or losses from changes in fair value recognized in </w:t>
            </w:r>
            <w:r w:rsidR="00B05CAB" w:rsidRPr="00912B96">
              <w:rPr>
                <w:i/>
                <w:sz w:val="18"/>
                <w:szCs w:val="18"/>
                <w:lang w:val="id-ID"/>
              </w:rPr>
              <w:t xml:space="preserve">consolidated </w:t>
            </w:r>
            <w:r w:rsidRPr="00912B96">
              <w:rPr>
                <w:i/>
                <w:sz w:val="18"/>
                <w:szCs w:val="18"/>
              </w:rPr>
              <w:t>statement of profit or loss and other comprehensive income.</w:t>
            </w:r>
          </w:p>
        </w:tc>
      </w:tr>
    </w:tbl>
    <w:p w14:paraId="758F1D1B" w14:textId="77777777" w:rsidR="008B2957" w:rsidRPr="0013526B" w:rsidRDefault="008B2957" w:rsidP="0013526B">
      <w:pPr>
        <w:rPr>
          <w:sz w:val="18"/>
          <w:szCs w:val="18"/>
        </w:rPr>
      </w:pPr>
    </w:p>
    <w:p w14:paraId="0E5C86A1" w14:textId="77777777" w:rsidR="0043068B" w:rsidRPr="0013526B" w:rsidRDefault="0043068B" w:rsidP="0013526B">
      <w:pPr>
        <w:rPr>
          <w:sz w:val="18"/>
          <w:szCs w:val="18"/>
          <w:lang w:val="id-ID"/>
        </w:rPr>
      </w:pPr>
    </w:p>
    <w:p w14:paraId="0EA57EAC" w14:textId="77777777" w:rsidR="00C85EDE" w:rsidRPr="0013526B" w:rsidRDefault="00C85EDE" w:rsidP="0013526B">
      <w:pPr>
        <w:rPr>
          <w:sz w:val="18"/>
          <w:szCs w:val="18"/>
          <w:lang w:val="id-ID"/>
        </w:rPr>
      </w:pPr>
    </w:p>
    <w:p w14:paraId="7DF93817" w14:textId="77777777" w:rsidR="00C85EDE" w:rsidRPr="0013526B" w:rsidRDefault="00C85EDE" w:rsidP="0013526B">
      <w:pPr>
        <w:rPr>
          <w:sz w:val="18"/>
          <w:szCs w:val="18"/>
          <w:lang w:val="id-ID"/>
        </w:rPr>
      </w:pPr>
    </w:p>
    <w:tbl>
      <w:tblPr>
        <w:tblW w:w="9197" w:type="dxa"/>
        <w:tblInd w:w="392" w:type="dxa"/>
        <w:tblLayout w:type="fixed"/>
        <w:tblLook w:val="0000" w:firstRow="0" w:lastRow="0" w:firstColumn="0" w:lastColumn="0" w:noHBand="0" w:noVBand="0"/>
      </w:tblPr>
      <w:tblGrid>
        <w:gridCol w:w="4598"/>
        <w:gridCol w:w="4599"/>
      </w:tblGrid>
      <w:tr w:rsidR="008B2957" w:rsidRPr="0011757A" w14:paraId="6B7BA5FC" w14:textId="77777777" w:rsidTr="0011757A">
        <w:trPr>
          <w:trHeight w:val="20"/>
        </w:trPr>
        <w:tc>
          <w:tcPr>
            <w:tcW w:w="4706" w:type="dxa"/>
            <w:tcBorders>
              <w:top w:val="nil"/>
              <w:left w:val="nil"/>
              <w:bottom w:val="nil"/>
              <w:right w:val="nil"/>
            </w:tcBorders>
          </w:tcPr>
          <w:p w14:paraId="5CE9BF9E" w14:textId="1953A6D5" w:rsidR="008B2957" w:rsidRPr="00912B96" w:rsidRDefault="008B2957" w:rsidP="00070D1F">
            <w:pPr>
              <w:numPr>
                <w:ilvl w:val="0"/>
                <w:numId w:val="130"/>
              </w:numPr>
              <w:ind w:left="284" w:right="-57" w:hanging="284"/>
              <w:jc w:val="both"/>
              <w:rPr>
                <w:b/>
                <w:sz w:val="18"/>
                <w:szCs w:val="18"/>
              </w:rPr>
            </w:pPr>
            <w:r w:rsidRPr="00912B96">
              <w:rPr>
                <w:b/>
                <w:sz w:val="18"/>
                <w:szCs w:val="18"/>
              </w:rPr>
              <w:lastRenderedPageBreak/>
              <w:t>IKHTISAR K</w:t>
            </w:r>
            <w:r w:rsidR="00C85EDE" w:rsidRPr="00912B96">
              <w:rPr>
                <w:b/>
                <w:sz w:val="18"/>
                <w:szCs w:val="18"/>
              </w:rPr>
              <w:t>EBIJAKAN AKUNTANSI YANG PENTING</w:t>
            </w:r>
            <w:r w:rsidR="00C85EDE" w:rsidRPr="00912B96">
              <w:rPr>
                <w:b/>
                <w:sz w:val="18"/>
                <w:szCs w:val="18"/>
                <w:lang w:val="id-ID"/>
              </w:rPr>
              <w:t xml:space="preserve"> </w:t>
            </w:r>
            <w:r w:rsidR="0011757A" w:rsidRPr="00912B96">
              <w:rPr>
                <w:b/>
                <w:sz w:val="18"/>
                <w:szCs w:val="18"/>
              </w:rPr>
              <w:t xml:space="preserve">- </w:t>
            </w:r>
            <w:r w:rsidRPr="00912B96">
              <w:rPr>
                <w:b/>
                <w:sz w:val="18"/>
                <w:szCs w:val="18"/>
              </w:rPr>
              <w:t>Lanjutan</w:t>
            </w:r>
          </w:p>
        </w:tc>
        <w:tc>
          <w:tcPr>
            <w:tcW w:w="4707" w:type="dxa"/>
            <w:tcBorders>
              <w:top w:val="nil"/>
              <w:left w:val="nil"/>
              <w:bottom w:val="nil"/>
              <w:right w:val="nil"/>
            </w:tcBorders>
          </w:tcPr>
          <w:p w14:paraId="0E68F495" w14:textId="77777777" w:rsidR="008B2957" w:rsidRPr="00912B96" w:rsidRDefault="008B2957" w:rsidP="00070D1F">
            <w:pPr>
              <w:numPr>
                <w:ilvl w:val="0"/>
                <w:numId w:val="131"/>
              </w:numPr>
              <w:ind w:left="284" w:right="-57" w:hanging="284"/>
              <w:jc w:val="both"/>
              <w:rPr>
                <w:b/>
                <w:i/>
                <w:sz w:val="18"/>
                <w:szCs w:val="18"/>
              </w:rPr>
            </w:pPr>
            <w:r w:rsidRPr="00912B96">
              <w:rPr>
                <w:b/>
                <w:i/>
                <w:sz w:val="18"/>
                <w:szCs w:val="18"/>
              </w:rPr>
              <w:t xml:space="preserve">SUMMARY OF </w:t>
            </w:r>
            <w:r w:rsidR="00C85EDE" w:rsidRPr="00912B96">
              <w:rPr>
                <w:b/>
                <w:i/>
                <w:sz w:val="18"/>
                <w:szCs w:val="18"/>
              </w:rPr>
              <w:t xml:space="preserve">SIGNIFICANT ACCOUNTING POLICIES </w:t>
            </w:r>
            <w:r w:rsidRPr="00912B96">
              <w:rPr>
                <w:b/>
                <w:i/>
                <w:sz w:val="18"/>
                <w:szCs w:val="18"/>
              </w:rPr>
              <w:t>- Continued</w:t>
            </w:r>
          </w:p>
        </w:tc>
      </w:tr>
      <w:tr w:rsidR="008B2957" w:rsidRPr="0011757A" w14:paraId="4B110E4B" w14:textId="77777777" w:rsidTr="0011757A">
        <w:trPr>
          <w:trHeight w:val="20"/>
        </w:trPr>
        <w:tc>
          <w:tcPr>
            <w:tcW w:w="4706" w:type="dxa"/>
            <w:tcBorders>
              <w:top w:val="nil"/>
              <w:left w:val="nil"/>
              <w:bottom w:val="nil"/>
              <w:right w:val="nil"/>
            </w:tcBorders>
          </w:tcPr>
          <w:p w14:paraId="019B94AF" w14:textId="77777777" w:rsidR="008B2957" w:rsidRPr="00912B96" w:rsidRDefault="008B2957" w:rsidP="0013526B">
            <w:pPr>
              <w:ind w:left="357" w:right="-57"/>
              <w:jc w:val="both"/>
              <w:rPr>
                <w:sz w:val="18"/>
                <w:szCs w:val="18"/>
              </w:rPr>
            </w:pPr>
          </w:p>
        </w:tc>
        <w:tc>
          <w:tcPr>
            <w:tcW w:w="4707" w:type="dxa"/>
            <w:tcBorders>
              <w:top w:val="nil"/>
              <w:left w:val="nil"/>
              <w:bottom w:val="nil"/>
              <w:right w:val="nil"/>
            </w:tcBorders>
          </w:tcPr>
          <w:p w14:paraId="48A3B2D9" w14:textId="77777777" w:rsidR="008B2957" w:rsidRPr="00912B96" w:rsidRDefault="008B2957" w:rsidP="0013526B">
            <w:pPr>
              <w:ind w:left="357" w:right="-57"/>
              <w:jc w:val="both"/>
              <w:rPr>
                <w:i/>
                <w:sz w:val="18"/>
                <w:szCs w:val="18"/>
              </w:rPr>
            </w:pPr>
          </w:p>
        </w:tc>
      </w:tr>
      <w:tr w:rsidR="008B2957" w:rsidRPr="0011757A" w14:paraId="317D8F71" w14:textId="77777777" w:rsidTr="0011757A">
        <w:trPr>
          <w:trHeight w:val="20"/>
        </w:trPr>
        <w:tc>
          <w:tcPr>
            <w:tcW w:w="4706" w:type="dxa"/>
            <w:tcBorders>
              <w:top w:val="nil"/>
              <w:left w:val="nil"/>
              <w:bottom w:val="nil"/>
              <w:right w:val="nil"/>
            </w:tcBorders>
          </w:tcPr>
          <w:p w14:paraId="685E21EB" w14:textId="2E38D595" w:rsidR="008B2957" w:rsidRPr="00912B96" w:rsidRDefault="008B2957" w:rsidP="00070D1F">
            <w:pPr>
              <w:pStyle w:val="ListParagraph"/>
              <w:numPr>
                <w:ilvl w:val="0"/>
                <w:numId w:val="172"/>
              </w:numPr>
              <w:ind w:left="568" w:right="-57" w:hanging="284"/>
              <w:contextualSpacing/>
              <w:jc w:val="both"/>
              <w:rPr>
                <w:b/>
                <w:sz w:val="18"/>
                <w:szCs w:val="18"/>
              </w:rPr>
            </w:pPr>
            <w:r w:rsidRPr="00912B96">
              <w:rPr>
                <w:b/>
                <w:sz w:val="18"/>
                <w:szCs w:val="18"/>
              </w:rPr>
              <w:t xml:space="preserve">Instrumen Keuangan </w:t>
            </w:r>
            <w:r w:rsidR="0011757A" w:rsidRPr="00912B96">
              <w:rPr>
                <w:b/>
                <w:sz w:val="18"/>
                <w:szCs w:val="18"/>
              </w:rPr>
              <w:t>-</w:t>
            </w:r>
            <w:r w:rsidRPr="00912B96">
              <w:rPr>
                <w:b/>
                <w:sz w:val="18"/>
                <w:szCs w:val="18"/>
              </w:rPr>
              <w:t xml:space="preserve"> Lanjutan</w:t>
            </w:r>
          </w:p>
        </w:tc>
        <w:tc>
          <w:tcPr>
            <w:tcW w:w="4707" w:type="dxa"/>
            <w:tcBorders>
              <w:top w:val="nil"/>
              <w:left w:val="nil"/>
              <w:bottom w:val="nil"/>
              <w:right w:val="nil"/>
            </w:tcBorders>
          </w:tcPr>
          <w:p w14:paraId="7E4829EE" w14:textId="77777777" w:rsidR="008B2957" w:rsidRPr="00912B96" w:rsidRDefault="008B2957" w:rsidP="00070D1F">
            <w:pPr>
              <w:pStyle w:val="ListParagraph"/>
              <w:numPr>
                <w:ilvl w:val="0"/>
                <w:numId w:val="173"/>
              </w:numPr>
              <w:tabs>
                <w:tab w:val="left" w:pos="641"/>
                <w:tab w:val="left" w:pos="5590"/>
                <w:tab w:val="right" w:pos="7620"/>
                <w:tab w:val="right" w:pos="9460"/>
                <w:tab w:val="right" w:pos="10080"/>
              </w:tabs>
              <w:ind w:left="568" w:right="-57" w:hanging="284"/>
              <w:contextualSpacing/>
              <w:jc w:val="both"/>
              <w:rPr>
                <w:b/>
                <w:i/>
                <w:sz w:val="18"/>
                <w:szCs w:val="18"/>
              </w:rPr>
            </w:pPr>
            <w:r w:rsidRPr="00912B96">
              <w:rPr>
                <w:b/>
                <w:i/>
                <w:sz w:val="18"/>
                <w:szCs w:val="18"/>
              </w:rPr>
              <w:t>Financial Instruments - Continued</w:t>
            </w:r>
          </w:p>
        </w:tc>
      </w:tr>
      <w:tr w:rsidR="008B2957" w:rsidRPr="0011757A" w14:paraId="3D16E950" w14:textId="77777777" w:rsidTr="0011757A">
        <w:trPr>
          <w:trHeight w:val="20"/>
        </w:trPr>
        <w:tc>
          <w:tcPr>
            <w:tcW w:w="4706" w:type="dxa"/>
            <w:tcBorders>
              <w:top w:val="nil"/>
              <w:left w:val="nil"/>
              <w:bottom w:val="nil"/>
              <w:right w:val="nil"/>
            </w:tcBorders>
          </w:tcPr>
          <w:p w14:paraId="38F49ED2" w14:textId="77777777" w:rsidR="008B2957" w:rsidRPr="00912B96" w:rsidRDefault="008B2957" w:rsidP="0013526B">
            <w:pPr>
              <w:ind w:left="924" w:right="-57"/>
              <w:jc w:val="both"/>
              <w:rPr>
                <w:sz w:val="18"/>
                <w:szCs w:val="18"/>
              </w:rPr>
            </w:pPr>
          </w:p>
        </w:tc>
        <w:tc>
          <w:tcPr>
            <w:tcW w:w="4707" w:type="dxa"/>
            <w:tcBorders>
              <w:top w:val="nil"/>
              <w:left w:val="nil"/>
              <w:bottom w:val="nil"/>
              <w:right w:val="nil"/>
            </w:tcBorders>
          </w:tcPr>
          <w:p w14:paraId="1B7D9DAE" w14:textId="77777777" w:rsidR="008B2957" w:rsidRPr="00912B96" w:rsidRDefault="008B2957" w:rsidP="0013526B">
            <w:pPr>
              <w:tabs>
                <w:tab w:val="left" w:pos="5590"/>
                <w:tab w:val="right" w:pos="7620"/>
                <w:tab w:val="right" w:pos="9460"/>
                <w:tab w:val="right" w:pos="10080"/>
              </w:tabs>
              <w:ind w:left="924" w:right="-57"/>
              <w:jc w:val="both"/>
              <w:rPr>
                <w:i/>
                <w:sz w:val="18"/>
                <w:szCs w:val="18"/>
              </w:rPr>
            </w:pPr>
          </w:p>
        </w:tc>
      </w:tr>
      <w:tr w:rsidR="008B2957" w:rsidRPr="0011757A" w14:paraId="2FE3EF63" w14:textId="77777777" w:rsidTr="0011757A">
        <w:trPr>
          <w:trHeight w:val="20"/>
        </w:trPr>
        <w:tc>
          <w:tcPr>
            <w:tcW w:w="4706" w:type="dxa"/>
            <w:tcBorders>
              <w:top w:val="nil"/>
              <w:left w:val="nil"/>
              <w:bottom w:val="nil"/>
              <w:right w:val="nil"/>
            </w:tcBorders>
          </w:tcPr>
          <w:p w14:paraId="33017862" w14:textId="77D071B4" w:rsidR="008B2957" w:rsidRPr="00912B96" w:rsidRDefault="008B2957" w:rsidP="00070D1F">
            <w:pPr>
              <w:pStyle w:val="Default"/>
              <w:numPr>
                <w:ilvl w:val="0"/>
                <w:numId w:val="132"/>
              </w:numPr>
              <w:ind w:left="851" w:right="-57" w:hanging="284"/>
              <w:jc w:val="both"/>
              <w:rPr>
                <w:rFonts w:ascii="Times New Roman" w:eastAsia="Times New Roman" w:hAnsi="Times New Roman" w:cs="Times New Roman"/>
                <w:b/>
                <w:bCs/>
                <w:sz w:val="18"/>
                <w:szCs w:val="18"/>
              </w:rPr>
            </w:pPr>
            <w:r w:rsidRPr="00912B96">
              <w:rPr>
                <w:rFonts w:ascii="Times New Roman" w:eastAsia="Times New Roman" w:hAnsi="Times New Roman" w:cs="Times New Roman"/>
                <w:b/>
                <w:bCs/>
                <w:sz w:val="18"/>
                <w:szCs w:val="18"/>
              </w:rPr>
              <w:t xml:space="preserve">Liabilitas Keuangan </w:t>
            </w:r>
            <w:r w:rsidR="0011757A" w:rsidRPr="00912B96">
              <w:rPr>
                <w:rFonts w:ascii="Times New Roman" w:hAnsi="Times New Roman" w:cs="Times New Roman"/>
                <w:b/>
                <w:sz w:val="18"/>
                <w:szCs w:val="18"/>
              </w:rPr>
              <w:t>-</w:t>
            </w:r>
            <w:r w:rsidRPr="00912B96">
              <w:rPr>
                <w:rFonts w:ascii="Times New Roman" w:hAnsi="Times New Roman" w:cs="Times New Roman"/>
                <w:b/>
                <w:sz w:val="18"/>
                <w:szCs w:val="18"/>
              </w:rPr>
              <w:t xml:space="preserve"> Lanjutan</w:t>
            </w:r>
          </w:p>
        </w:tc>
        <w:tc>
          <w:tcPr>
            <w:tcW w:w="4707" w:type="dxa"/>
            <w:tcBorders>
              <w:top w:val="nil"/>
              <w:left w:val="nil"/>
              <w:bottom w:val="nil"/>
              <w:right w:val="nil"/>
            </w:tcBorders>
          </w:tcPr>
          <w:p w14:paraId="5A7404AB" w14:textId="77777777" w:rsidR="008B2957" w:rsidRPr="00912B96" w:rsidRDefault="008B2957" w:rsidP="00070D1F">
            <w:pPr>
              <w:pStyle w:val="ListParagraph"/>
              <w:numPr>
                <w:ilvl w:val="0"/>
                <w:numId w:val="133"/>
              </w:numPr>
              <w:ind w:left="851" w:right="-57" w:hanging="284"/>
              <w:jc w:val="both"/>
              <w:rPr>
                <w:b/>
                <w:bCs w:val="0"/>
                <w:i/>
                <w:sz w:val="18"/>
                <w:szCs w:val="18"/>
              </w:rPr>
            </w:pPr>
            <w:r w:rsidRPr="00912B96">
              <w:rPr>
                <w:b/>
                <w:i/>
                <w:sz w:val="18"/>
                <w:szCs w:val="18"/>
              </w:rPr>
              <w:t>Financial Liabilities - Continued</w:t>
            </w:r>
          </w:p>
        </w:tc>
      </w:tr>
      <w:tr w:rsidR="008B2957" w:rsidRPr="0011757A" w14:paraId="3FF50542" w14:textId="77777777" w:rsidTr="0011757A">
        <w:trPr>
          <w:trHeight w:val="20"/>
        </w:trPr>
        <w:tc>
          <w:tcPr>
            <w:tcW w:w="4706" w:type="dxa"/>
            <w:tcBorders>
              <w:top w:val="nil"/>
              <w:left w:val="nil"/>
              <w:bottom w:val="nil"/>
              <w:right w:val="nil"/>
            </w:tcBorders>
          </w:tcPr>
          <w:p w14:paraId="56636595" w14:textId="77777777" w:rsidR="008B2957" w:rsidRPr="00912B96" w:rsidRDefault="008B2957" w:rsidP="0013526B">
            <w:pPr>
              <w:ind w:left="522" w:right="-57"/>
              <w:jc w:val="both"/>
              <w:rPr>
                <w:bCs w:val="0"/>
                <w:sz w:val="18"/>
                <w:szCs w:val="18"/>
              </w:rPr>
            </w:pPr>
          </w:p>
        </w:tc>
        <w:tc>
          <w:tcPr>
            <w:tcW w:w="4707" w:type="dxa"/>
            <w:tcBorders>
              <w:top w:val="nil"/>
              <w:left w:val="nil"/>
              <w:bottom w:val="nil"/>
              <w:right w:val="nil"/>
            </w:tcBorders>
          </w:tcPr>
          <w:p w14:paraId="3E3CDCF2"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55C56834" w14:textId="77777777" w:rsidTr="0011757A">
        <w:trPr>
          <w:trHeight w:val="20"/>
        </w:trPr>
        <w:tc>
          <w:tcPr>
            <w:tcW w:w="4706" w:type="dxa"/>
            <w:tcBorders>
              <w:top w:val="nil"/>
              <w:left w:val="nil"/>
              <w:bottom w:val="nil"/>
              <w:right w:val="nil"/>
            </w:tcBorders>
          </w:tcPr>
          <w:p w14:paraId="35D78A8C" w14:textId="1C1D30AD" w:rsidR="008B2957" w:rsidRPr="00912B96" w:rsidRDefault="008B2957" w:rsidP="0013526B">
            <w:pPr>
              <w:ind w:left="851" w:right="-57"/>
              <w:jc w:val="both"/>
              <w:rPr>
                <w:b/>
                <w:bCs w:val="0"/>
                <w:sz w:val="18"/>
                <w:szCs w:val="18"/>
              </w:rPr>
            </w:pPr>
            <w:r w:rsidRPr="00912B96">
              <w:rPr>
                <w:b/>
                <w:sz w:val="18"/>
                <w:szCs w:val="18"/>
              </w:rPr>
              <w:t xml:space="preserve">Pengukuran Setelah Pengakuan Awal </w:t>
            </w:r>
            <w:r w:rsidR="0011757A" w:rsidRPr="00912B96">
              <w:rPr>
                <w:b/>
                <w:sz w:val="18"/>
                <w:szCs w:val="18"/>
              </w:rPr>
              <w:t>-</w:t>
            </w:r>
            <w:r w:rsidRPr="00912B96">
              <w:rPr>
                <w:b/>
                <w:sz w:val="18"/>
                <w:szCs w:val="18"/>
              </w:rPr>
              <w:t xml:space="preserve"> Lanjutan</w:t>
            </w:r>
          </w:p>
        </w:tc>
        <w:tc>
          <w:tcPr>
            <w:tcW w:w="4707" w:type="dxa"/>
            <w:tcBorders>
              <w:top w:val="nil"/>
              <w:left w:val="nil"/>
              <w:bottom w:val="nil"/>
              <w:right w:val="nil"/>
            </w:tcBorders>
          </w:tcPr>
          <w:p w14:paraId="28EAE0F9" w14:textId="3F915C2C" w:rsidR="008B2957" w:rsidRPr="00912B96" w:rsidRDefault="008B2957" w:rsidP="0013526B">
            <w:pPr>
              <w:tabs>
                <w:tab w:val="left" w:pos="5590"/>
                <w:tab w:val="right" w:pos="7620"/>
                <w:tab w:val="right" w:pos="9460"/>
                <w:tab w:val="right" w:pos="10080"/>
              </w:tabs>
              <w:ind w:left="851" w:right="-57"/>
              <w:jc w:val="both"/>
              <w:rPr>
                <w:b/>
                <w:bCs w:val="0"/>
                <w:i/>
                <w:sz w:val="18"/>
                <w:szCs w:val="18"/>
              </w:rPr>
            </w:pPr>
            <w:r w:rsidRPr="00912B96">
              <w:rPr>
                <w:b/>
                <w:i/>
                <w:sz w:val="18"/>
                <w:szCs w:val="18"/>
              </w:rPr>
              <w:t xml:space="preserve">Subsequent Measurement - </w:t>
            </w:r>
            <w:r w:rsidR="00E6799A">
              <w:rPr>
                <w:b/>
                <w:i/>
                <w:sz w:val="18"/>
                <w:szCs w:val="18"/>
              </w:rPr>
              <w:t>Continued</w:t>
            </w:r>
          </w:p>
        </w:tc>
      </w:tr>
      <w:tr w:rsidR="008B2957" w:rsidRPr="0011757A" w14:paraId="0715C2D4" w14:textId="77777777" w:rsidTr="0011757A">
        <w:trPr>
          <w:trHeight w:val="20"/>
        </w:trPr>
        <w:tc>
          <w:tcPr>
            <w:tcW w:w="4706" w:type="dxa"/>
            <w:tcBorders>
              <w:top w:val="nil"/>
              <w:left w:val="nil"/>
              <w:bottom w:val="nil"/>
              <w:right w:val="nil"/>
            </w:tcBorders>
          </w:tcPr>
          <w:p w14:paraId="113B7221" w14:textId="77777777" w:rsidR="008B2957" w:rsidRPr="00912B96" w:rsidRDefault="008B2957" w:rsidP="0013526B">
            <w:pPr>
              <w:ind w:left="522" w:right="-57"/>
              <w:jc w:val="both"/>
              <w:rPr>
                <w:bCs w:val="0"/>
                <w:sz w:val="18"/>
                <w:szCs w:val="18"/>
              </w:rPr>
            </w:pPr>
          </w:p>
        </w:tc>
        <w:tc>
          <w:tcPr>
            <w:tcW w:w="4707" w:type="dxa"/>
            <w:tcBorders>
              <w:top w:val="nil"/>
              <w:left w:val="nil"/>
              <w:bottom w:val="nil"/>
              <w:right w:val="nil"/>
            </w:tcBorders>
          </w:tcPr>
          <w:p w14:paraId="30960A4C"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3415C364" w14:textId="77777777" w:rsidTr="0011757A">
        <w:trPr>
          <w:trHeight w:val="20"/>
        </w:trPr>
        <w:tc>
          <w:tcPr>
            <w:tcW w:w="4706" w:type="dxa"/>
            <w:tcBorders>
              <w:top w:val="nil"/>
              <w:left w:val="nil"/>
              <w:bottom w:val="nil"/>
              <w:right w:val="nil"/>
            </w:tcBorders>
          </w:tcPr>
          <w:p w14:paraId="68E001D9" w14:textId="77777777" w:rsidR="008B2957" w:rsidRPr="00912B96" w:rsidRDefault="008B2957" w:rsidP="00070D1F">
            <w:pPr>
              <w:numPr>
                <w:ilvl w:val="0"/>
                <w:numId w:val="122"/>
              </w:numPr>
              <w:ind w:left="1135" w:right="-57" w:hanging="284"/>
              <w:jc w:val="both"/>
              <w:rPr>
                <w:bCs w:val="0"/>
                <w:sz w:val="18"/>
                <w:szCs w:val="18"/>
              </w:rPr>
            </w:pPr>
            <w:r w:rsidRPr="00912B96">
              <w:rPr>
                <w:sz w:val="18"/>
                <w:szCs w:val="18"/>
              </w:rPr>
              <w:t>Liabilitas Keuangan pada Biaya Perolehan Diamortisasi</w:t>
            </w:r>
          </w:p>
        </w:tc>
        <w:tc>
          <w:tcPr>
            <w:tcW w:w="4707" w:type="dxa"/>
            <w:tcBorders>
              <w:top w:val="nil"/>
              <w:left w:val="nil"/>
              <w:bottom w:val="nil"/>
              <w:right w:val="nil"/>
            </w:tcBorders>
          </w:tcPr>
          <w:p w14:paraId="74B3E2EE" w14:textId="77777777" w:rsidR="008B2957" w:rsidRPr="00912B96" w:rsidRDefault="008B2957" w:rsidP="00070D1F">
            <w:pPr>
              <w:pStyle w:val="ListParagraph"/>
              <w:numPr>
                <w:ilvl w:val="0"/>
                <w:numId w:val="123"/>
              </w:numPr>
              <w:ind w:left="1135" w:right="-57" w:hanging="284"/>
              <w:jc w:val="both"/>
              <w:rPr>
                <w:bCs w:val="0"/>
                <w:i/>
                <w:sz w:val="18"/>
                <w:szCs w:val="18"/>
              </w:rPr>
            </w:pPr>
            <w:r w:rsidRPr="00912B96">
              <w:rPr>
                <w:i/>
                <w:sz w:val="18"/>
                <w:szCs w:val="18"/>
              </w:rPr>
              <w:t>Financial Liabilities at Amortized Cost</w:t>
            </w:r>
          </w:p>
        </w:tc>
      </w:tr>
      <w:tr w:rsidR="008B2957" w:rsidRPr="0011757A" w14:paraId="10D86342" w14:textId="77777777" w:rsidTr="0011757A">
        <w:trPr>
          <w:trHeight w:val="20"/>
        </w:trPr>
        <w:tc>
          <w:tcPr>
            <w:tcW w:w="4706" w:type="dxa"/>
            <w:tcBorders>
              <w:top w:val="nil"/>
              <w:left w:val="nil"/>
              <w:bottom w:val="nil"/>
              <w:right w:val="nil"/>
            </w:tcBorders>
          </w:tcPr>
          <w:p w14:paraId="41F5A1C7" w14:textId="77777777" w:rsidR="008B2957" w:rsidRPr="00912B96" w:rsidRDefault="008B2957" w:rsidP="0013526B">
            <w:pPr>
              <w:ind w:left="522" w:right="-57"/>
              <w:jc w:val="both"/>
              <w:rPr>
                <w:bCs w:val="0"/>
                <w:sz w:val="18"/>
                <w:szCs w:val="18"/>
              </w:rPr>
            </w:pPr>
          </w:p>
        </w:tc>
        <w:tc>
          <w:tcPr>
            <w:tcW w:w="4707" w:type="dxa"/>
            <w:tcBorders>
              <w:top w:val="nil"/>
              <w:left w:val="nil"/>
              <w:bottom w:val="nil"/>
              <w:right w:val="nil"/>
            </w:tcBorders>
          </w:tcPr>
          <w:p w14:paraId="074C2FF4"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7A7B2008" w14:textId="77777777" w:rsidTr="0011757A">
        <w:trPr>
          <w:trHeight w:val="20"/>
        </w:trPr>
        <w:tc>
          <w:tcPr>
            <w:tcW w:w="4706" w:type="dxa"/>
            <w:tcBorders>
              <w:top w:val="nil"/>
              <w:left w:val="nil"/>
              <w:bottom w:val="nil"/>
              <w:right w:val="nil"/>
            </w:tcBorders>
          </w:tcPr>
          <w:p w14:paraId="5864969E" w14:textId="3A557573" w:rsidR="008B2957" w:rsidRPr="00912B96" w:rsidRDefault="008B2957" w:rsidP="0013526B">
            <w:pPr>
              <w:ind w:left="1134" w:right="-57"/>
              <w:jc w:val="both"/>
              <w:rPr>
                <w:bCs w:val="0"/>
                <w:sz w:val="18"/>
                <w:szCs w:val="18"/>
              </w:rPr>
            </w:pPr>
            <w:r w:rsidRPr="00912B96">
              <w:rPr>
                <w:sz w:val="18"/>
                <w:szCs w:val="18"/>
              </w:rPr>
              <w:t>Setelah pengakuan awal</w:t>
            </w:r>
            <w:r w:rsidR="00870FD0">
              <w:rPr>
                <w:sz w:val="18"/>
                <w:szCs w:val="18"/>
              </w:rPr>
              <w:t>.</w:t>
            </w:r>
            <w:r w:rsidRPr="00912B96">
              <w:rPr>
                <w:sz w:val="18"/>
                <w:szCs w:val="18"/>
              </w:rPr>
              <w:t xml:space="preserve"> </w:t>
            </w:r>
            <w:proofErr w:type="gramStart"/>
            <w:r w:rsidRPr="00912B96">
              <w:rPr>
                <w:sz w:val="18"/>
                <w:szCs w:val="18"/>
              </w:rPr>
              <w:t>selanjutnya</w:t>
            </w:r>
            <w:proofErr w:type="gramEnd"/>
            <w:r w:rsidRPr="00912B96">
              <w:rPr>
                <w:sz w:val="18"/>
                <w:szCs w:val="18"/>
              </w:rPr>
              <w:t xml:space="preserve"> liabilitas keuangan yang diukur pada biaya perolehan diamortisasi dengan menggunakan metode EIR.</w:t>
            </w:r>
          </w:p>
        </w:tc>
        <w:tc>
          <w:tcPr>
            <w:tcW w:w="4707" w:type="dxa"/>
            <w:tcBorders>
              <w:top w:val="nil"/>
              <w:left w:val="nil"/>
              <w:bottom w:val="nil"/>
              <w:right w:val="nil"/>
            </w:tcBorders>
          </w:tcPr>
          <w:p w14:paraId="25F31BB8" w14:textId="1B5980B2" w:rsidR="008B2957" w:rsidRPr="00912B96" w:rsidRDefault="008B2957" w:rsidP="0013526B">
            <w:pPr>
              <w:pStyle w:val="ListParagraph"/>
              <w:ind w:left="1134" w:right="-57"/>
              <w:jc w:val="both"/>
              <w:rPr>
                <w:bCs w:val="0"/>
                <w:i/>
                <w:sz w:val="18"/>
                <w:szCs w:val="18"/>
              </w:rPr>
            </w:pPr>
            <w:r w:rsidRPr="00912B96">
              <w:rPr>
                <w:i/>
                <w:sz w:val="18"/>
                <w:szCs w:val="18"/>
              </w:rPr>
              <w:t>After initial recognition</w:t>
            </w:r>
            <w:r w:rsidR="00870FD0">
              <w:rPr>
                <w:i/>
                <w:sz w:val="18"/>
                <w:szCs w:val="18"/>
              </w:rPr>
              <w:t>.</w:t>
            </w:r>
            <w:r w:rsidRPr="00912B96">
              <w:rPr>
                <w:i/>
                <w:sz w:val="18"/>
                <w:szCs w:val="18"/>
              </w:rPr>
              <w:t xml:space="preserve"> </w:t>
            </w:r>
            <w:proofErr w:type="gramStart"/>
            <w:r w:rsidRPr="00912B96">
              <w:rPr>
                <w:i/>
                <w:sz w:val="18"/>
                <w:szCs w:val="18"/>
              </w:rPr>
              <w:t>financial</w:t>
            </w:r>
            <w:proofErr w:type="gramEnd"/>
            <w:r w:rsidRPr="00912B96">
              <w:rPr>
                <w:i/>
                <w:sz w:val="18"/>
                <w:szCs w:val="18"/>
              </w:rPr>
              <w:t xml:space="preserve"> liabilities are measured at amortized cost using the EIR.</w:t>
            </w:r>
          </w:p>
        </w:tc>
      </w:tr>
      <w:tr w:rsidR="008B2957" w:rsidRPr="0011757A" w14:paraId="25766312" w14:textId="77777777" w:rsidTr="0011757A">
        <w:trPr>
          <w:trHeight w:val="20"/>
        </w:trPr>
        <w:tc>
          <w:tcPr>
            <w:tcW w:w="4706" w:type="dxa"/>
            <w:tcBorders>
              <w:top w:val="nil"/>
              <w:left w:val="nil"/>
              <w:bottom w:val="nil"/>
              <w:right w:val="nil"/>
            </w:tcBorders>
          </w:tcPr>
          <w:p w14:paraId="6088C9F7" w14:textId="77777777" w:rsidR="008B2957" w:rsidRPr="0011757A" w:rsidRDefault="008B2957" w:rsidP="0013526B">
            <w:pPr>
              <w:ind w:left="522" w:right="-57"/>
              <w:jc w:val="both"/>
              <w:rPr>
                <w:bCs w:val="0"/>
                <w:sz w:val="18"/>
                <w:szCs w:val="18"/>
                <w:highlight w:val="cyan"/>
              </w:rPr>
            </w:pPr>
          </w:p>
        </w:tc>
        <w:tc>
          <w:tcPr>
            <w:tcW w:w="4707" w:type="dxa"/>
            <w:tcBorders>
              <w:top w:val="nil"/>
              <w:left w:val="nil"/>
              <w:bottom w:val="nil"/>
              <w:right w:val="nil"/>
            </w:tcBorders>
          </w:tcPr>
          <w:p w14:paraId="7AB8FAB1" w14:textId="77777777" w:rsidR="008B2957" w:rsidRPr="0011757A" w:rsidRDefault="008B2957" w:rsidP="0013526B">
            <w:pPr>
              <w:tabs>
                <w:tab w:val="left" w:pos="5590"/>
                <w:tab w:val="right" w:pos="7620"/>
                <w:tab w:val="right" w:pos="9460"/>
                <w:tab w:val="right" w:pos="10080"/>
              </w:tabs>
              <w:ind w:left="651" w:right="-57"/>
              <w:jc w:val="both"/>
              <w:rPr>
                <w:bCs w:val="0"/>
                <w:i/>
                <w:sz w:val="18"/>
                <w:szCs w:val="18"/>
                <w:highlight w:val="cyan"/>
              </w:rPr>
            </w:pPr>
          </w:p>
        </w:tc>
      </w:tr>
      <w:tr w:rsidR="008B2957" w:rsidRPr="0011757A" w14:paraId="55FCEAB5" w14:textId="77777777" w:rsidTr="0011757A">
        <w:trPr>
          <w:trHeight w:val="20"/>
        </w:trPr>
        <w:tc>
          <w:tcPr>
            <w:tcW w:w="4706" w:type="dxa"/>
            <w:tcBorders>
              <w:top w:val="nil"/>
              <w:left w:val="nil"/>
              <w:bottom w:val="nil"/>
              <w:right w:val="nil"/>
            </w:tcBorders>
          </w:tcPr>
          <w:p w14:paraId="49C36C4D" w14:textId="77777777" w:rsidR="008B2957" w:rsidRPr="00912B96" w:rsidRDefault="008B2957" w:rsidP="0013526B">
            <w:pPr>
              <w:ind w:left="1134" w:right="-57"/>
              <w:jc w:val="both"/>
              <w:rPr>
                <w:bCs w:val="0"/>
                <w:sz w:val="18"/>
                <w:szCs w:val="18"/>
              </w:rPr>
            </w:pPr>
            <w:r w:rsidRPr="00912B96">
              <w:rPr>
                <w:sz w:val="18"/>
                <w:szCs w:val="18"/>
              </w:rPr>
              <w:t>Biaya perolehan diamortisasi dihitung dengan menggunakan metode EIR dikurangi dengan penyisihan penurunan nilai dan pembiayaan atau pengurangan pokok. Perhitungan tersebut memperhitungkan premium atau diskonto pada saat akuisisi dan mencakup biaya transaksi dan biaya yang merupakan bagian yang tak terpisahkan dari suku bunga efektif.</w:t>
            </w:r>
          </w:p>
        </w:tc>
        <w:tc>
          <w:tcPr>
            <w:tcW w:w="4707" w:type="dxa"/>
            <w:tcBorders>
              <w:top w:val="nil"/>
              <w:left w:val="nil"/>
              <w:bottom w:val="nil"/>
              <w:right w:val="nil"/>
            </w:tcBorders>
          </w:tcPr>
          <w:p w14:paraId="691E99BE" w14:textId="77777777" w:rsidR="008B2957" w:rsidRPr="00912B96" w:rsidRDefault="008B2957" w:rsidP="0013526B">
            <w:pPr>
              <w:pStyle w:val="ListParagraph"/>
              <w:ind w:left="1134" w:right="-57"/>
              <w:jc w:val="both"/>
              <w:rPr>
                <w:bCs w:val="0"/>
                <w:i/>
                <w:sz w:val="18"/>
                <w:szCs w:val="18"/>
              </w:rPr>
            </w:pPr>
            <w:r w:rsidRPr="00912B96">
              <w:rPr>
                <w:i/>
                <w:sz w:val="18"/>
                <w:szCs w:val="18"/>
              </w:rPr>
              <w:t>Amortized cost is calculated by using the EIR method less any allowance for impairment and financing or principal reduction. The calculation takes into account any premium or discount on acquisition and includes transaction costs and fees that are an integral part of the effective interest rate.</w:t>
            </w:r>
          </w:p>
        </w:tc>
      </w:tr>
      <w:tr w:rsidR="008B2957" w:rsidRPr="0011757A" w14:paraId="0DBD52A0" w14:textId="77777777" w:rsidTr="0011757A">
        <w:trPr>
          <w:trHeight w:val="20"/>
        </w:trPr>
        <w:tc>
          <w:tcPr>
            <w:tcW w:w="4706" w:type="dxa"/>
            <w:tcBorders>
              <w:top w:val="nil"/>
              <w:left w:val="nil"/>
              <w:bottom w:val="nil"/>
              <w:right w:val="nil"/>
            </w:tcBorders>
          </w:tcPr>
          <w:p w14:paraId="62C5160A" w14:textId="77777777" w:rsidR="008B2957" w:rsidRPr="0011757A" w:rsidRDefault="008B2957" w:rsidP="0013526B">
            <w:pPr>
              <w:ind w:left="522" w:right="-57"/>
              <w:jc w:val="both"/>
              <w:rPr>
                <w:bCs w:val="0"/>
                <w:sz w:val="18"/>
                <w:szCs w:val="18"/>
                <w:highlight w:val="cyan"/>
              </w:rPr>
            </w:pPr>
          </w:p>
        </w:tc>
        <w:tc>
          <w:tcPr>
            <w:tcW w:w="4707" w:type="dxa"/>
            <w:tcBorders>
              <w:top w:val="nil"/>
              <w:left w:val="nil"/>
              <w:bottom w:val="nil"/>
              <w:right w:val="nil"/>
            </w:tcBorders>
          </w:tcPr>
          <w:p w14:paraId="3DEB7A3D" w14:textId="77777777" w:rsidR="008B2957" w:rsidRPr="0011757A" w:rsidRDefault="008B2957" w:rsidP="0013526B">
            <w:pPr>
              <w:tabs>
                <w:tab w:val="left" w:pos="5590"/>
                <w:tab w:val="right" w:pos="7620"/>
                <w:tab w:val="right" w:pos="9460"/>
                <w:tab w:val="right" w:pos="10080"/>
              </w:tabs>
              <w:ind w:left="651" w:right="-57"/>
              <w:jc w:val="both"/>
              <w:rPr>
                <w:bCs w:val="0"/>
                <w:i/>
                <w:sz w:val="18"/>
                <w:szCs w:val="18"/>
                <w:highlight w:val="cyan"/>
              </w:rPr>
            </w:pPr>
          </w:p>
        </w:tc>
      </w:tr>
      <w:tr w:rsidR="008B2957" w:rsidRPr="0011757A" w14:paraId="64CEC2B2" w14:textId="77777777" w:rsidTr="0011757A">
        <w:trPr>
          <w:trHeight w:val="20"/>
        </w:trPr>
        <w:tc>
          <w:tcPr>
            <w:tcW w:w="4706" w:type="dxa"/>
            <w:tcBorders>
              <w:top w:val="nil"/>
              <w:left w:val="nil"/>
              <w:bottom w:val="nil"/>
              <w:right w:val="nil"/>
            </w:tcBorders>
          </w:tcPr>
          <w:p w14:paraId="33177D26" w14:textId="77777777" w:rsidR="008B2957" w:rsidRPr="00912B96" w:rsidRDefault="008B2957" w:rsidP="0013526B">
            <w:pPr>
              <w:ind w:left="1134" w:right="-57"/>
              <w:jc w:val="both"/>
              <w:rPr>
                <w:bCs w:val="0"/>
                <w:sz w:val="18"/>
                <w:szCs w:val="18"/>
              </w:rPr>
            </w:pPr>
            <w:r w:rsidRPr="00912B96">
              <w:rPr>
                <w:sz w:val="18"/>
                <w:szCs w:val="18"/>
              </w:rPr>
              <w:t xml:space="preserve">Keuntungan dan kerugian diakui dalam laporan laba rugi dan penghasilan komprehensif lain </w:t>
            </w:r>
            <w:r w:rsidR="00B05CAB" w:rsidRPr="00912B96">
              <w:rPr>
                <w:sz w:val="18"/>
                <w:szCs w:val="18"/>
                <w:lang w:val="id-ID"/>
              </w:rPr>
              <w:t xml:space="preserve">konsolidasian </w:t>
            </w:r>
            <w:r w:rsidRPr="00912B96">
              <w:rPr>
                <w:sz w:val="18"/>
                <w:szCs w:val="18"/>
              </w:rPr>
              <w:t>pada saat liabilitas tersebut dihentikan pengakuannya maupun melalui proses amortisasi.</w:t>
            </w:r>
          </w:p>
        </w:tc>
        <w:tc>
          <w:tcPr>
            <w:tcW w:w="4707" w:type="dxa"/>
            <w:tcBorders>
              <w:top w:val="nil"/>
              <w:left w:val="nil"/>
              <w:bottom w:val="nil"/>
              <w:right w:val="nil"/>
            </w:tcBorders>
          </w:tcPr>
          <w:p w14:paraId="2728D70D" w14:textId="77777777" w:rsidR="008B2957" w:rsidRPr="00912B96" w:rsidRDefault="008B2957" w:rsidP="0013526B">
            <w:pPr>
              <w:pStyle w:val="ListParagraph"/>
              <w:ind w:left="1134" w:right="-57"/>
              <w:jc w:val="both"/>
              <w:rPr>
                <w:bCs w:val="0"/>
                <w:i/>
                <w:sz w:val="18"/>
                <w:szCs w:val="18"/>
              </w:rPr>
            </w:pPr>
            <w:r w:rsidRPr="00912B96">
              <w:rPr>
                <w:i/>
                <w:sz w:val="18"/>
                <w:szCs w:val="18"/>
              </w:rPr>
              <w:t>Gai</w:t>
            </w:r>
            <w:r w:rsidR="00B05CAB" w:rsidRPr="00912B96">
              <w:rPr>
                <w:i/>
                <w:sz w:val="18"/>
                <w:szCs w:val="18"/>
              </w:rPr>
              <w:t>ns and losses are recognized in</w:t>
            </w:r>
            <w:r w:rsidR="00B05CAB" w:rsidRPr="00912B96">
              <w:rPr>
                <w:i/>
                <w:sz w:val="18"/>
                <w:szCs w:val="18"/>
                <w:lang w:val="id-ID"/>
              </w:rPr>
              <w:br/>
            </w:r>
            <w:r w:rsidRPr="00912B96">
              <w:rPr>
                <w:i/>
                <w:sz w:val="18"/>
                <w:szCs w:val="18"/>
              </w:rPr>
              <w:t xml:space="preserve">the </w:t>
            </w:r>
            <w:r w:rsidR="00B05CAB" w:rsidRPr="00912B96">
              <w:rPr>
                <w:i/>
                <w:sz w:val="18"/>
                <w:szCs w:val="18"/>
                <w:lang w:val="id-ID"/>
              </w:rPr>
              <w:t xml:space="preserve">consolidated </w:t>
            </w:r>
            <w:r w:rsidRPr="00912B96">
              <w:rPr>
                <w:i/>
                <w:sz w:val="18"/>
                <w:szCs w:val="18"/>
              </w:rPr>
              <w:t>statement of profit or loss and other comprehensive income when the liabilities are derecognized as well as through the amortization process.</w:t>
            </w:r>
          </w:p>
        </w:tc>
      </w:tr>
      <w:tr w:rsidR="008B2957" w:rsidRPr="0011757A" w14:paraId="38261DBA" w14:textId="77777777" w:rsidTr="0011757A">
        <w:trPr>
          <w:trHeight w:val="20"/>
        </w:trPr>
        <w:tc>
          <w:tcPr>
            <w:tcW w:w="4706" w:type="dxa"/>
            <w:tcBorders>
              <w:top w:val="nil"/>
              <w:left w:val="nil"/>
              <w:bottom w:val="nil"/>
              <w:right w:val="nil"/>
            </w:tcBorders>
          </w:tcPr>
          <w:p w14:paraId="6B10109C" w14:textId="77777777" w:rsidR="008B2957" w:rsidRPr="00912B96" w:rsidRDefault="008B2957" w:rsidP="0013526B">
            <w:pPr>
              <w:ind w:left="522" w:right="-57"/>
              <w:jc w:val="both"/>
              <w:rPr>
                <w:bCs w:val="0"/>
                <w:sz w:val="18"/>
                <w:szCs w:val="18"/>
              </w:rPr>
            </w:pPr>
          </w:p>
        </w:tc>
        <w:tc>
          <w:tcPr>
            <w:tcW w:w="4707" w:type="dxa"/>
            <w:tcBorders>
              <w:top w:val="nil"/>
              <w:left w:val="nil"/>
              <w:bottom w:val="nil"/>
              <w:right w:val="nil"/>
            </w:tcBorders>
          </w:tcPr>
          <w:p w14:paraId="625A2ABA"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2567A985" w14:textId="77777777" w:rsidTr="0011757A">
        <w:trPr>
          <w:trHeight w:val="20"/>
        </w:trPr>
        <w:tc>
          <w:tcPr>
            <w:tcW w:w="4706" w:type="dxa"/>
            <w:tcBorders>
              <w:top w:val="nil"/>
              <w:left w:val="nil"/>
              <w:bottom w:val="nil"/>
              <w:right w:val="nil"/>
            </w:tcBorders>
          </w:tcPr>
          <w:p w14:paraId="294F4196" w14:textId="77777777" w:rsidR="008B2957" w:rsidRPr="00912B96" w:rsidRDefault="008B2957" w:rsidP="00070D1F">
            <w:pPr>
              <w:pStyle w:val="Default"/>
              <w:numPr>
                <w:ilvl w:val="0"/>
                <w:numId w:val="132"/>
              </w:numPr>
              <w:ind w:left="851" w:right="-57" w:hanging="284"/>
              <w:jc w:val="both"/>
              <w:rPr>
                <w:rFonts w:ascii="Times New Roman" w:hAnsi="Times New Roman" w:cs="Times New Roman"/>
                <w:b/>
                <w:bCs/>
                <w:sz w:val="18"/>
                <w:szCs w:val="18"/>
              </w:rPr>
            </w:pPr>
            <w:r w:rsidRPr="00912B96">
              <w:rPr>
                <w:rFonts w:ascii="Times New Roman" w:hAnsi="Times New Roman" w:cs="Times New Roman"/>
                <w:b/>
                <w:sz w:val="18"/>
                <w:szCs w:val="18"/>
              </w:rPr>
              <w:t>Saling Hapus Instrumen Keuangan</w:t>
            </w:r>
          </w:p>
        </w:tc>
        <w:tc>
          <w:tcPr>
            <w:tcW w:w="4707" w:type="dxa"/>
            <w:tcBorders>
              <w:top w:val="nil"/>
              <w:left w:val="nil"/>
              <w:bottom w:val="nil"/>
              <w:right w:val="nil"/>
            </w:tcBorders>
          </w:tcPr>
          <w:p w14:paraId="6093E93D" w14:textId="77777777" w:rsidR="008B2957" w:rsidRPr="00912B96" w:rsidRDefault="008B2957" w:rsidP="00070D1F">
            <w:pPr>
              <w:pStyle w:val="ListParagraph"/>
              <w:numPr>
                <w:ilvl w:val="0"/>
                <w:numId w:val="133"/>
              </w:numPr>
              <w:ind w:left="851" w:right="-57" w:hanging="284"/>
              <w:jc w:val="both"/>
              <w:rPr>
                <w:b/>
                <w:bCs w:val="0"/>
                <w:i/>
                <w:sz w:val="18"/>
                <w:szCs w:val="18"/>
              </w:rPr>
            </w:pPr>
            <w:r w:rsidRPr="00912B96">
              <w:rPr>
                <w:b/>
                <w:i/>
                <w:sz w:val="18"/>
                <w:szCs w:val="18"/>
              </w:rPr>
              <w:t>Offsetting of Financial Instruments</w:t>
            </w:r>
          </w:p>
        </w:tc>
      </w:tr>
      <w:tr w:rsidR="008B2957" w:rsidRPr="0011757A" w14:paraId="007AAC3F" w14:textId="77777777" w:rsidTr="0011757A">
        <w:trPr>
          <w:trHeight w:val="20"/>
        </w:trPr>
        <w:tc>
          <w:tcPr>
            <w:tcW w:w="4706" w:type="dxa"/>
            <w:tcBorders>
              <w:top w:val="nil"/>
              <w:left w:val="nil"/>
              <w:bottom w:val="nil"/>
              <w:right w:val="nil"/>
            </w:tcBorders>
          </w:tcPr>
          <w:p w14:paraId="14DF1D6C" w14:textId="77777777" w:rsidR="008B2957" w:rsidRPr="00912B96" w:rsidRDefault="008B2957" w:rsidP="0013526B">
            <w:pPr>
              <w:ind w:left="522" w:right="-57"/>
              <w:jc w:val="both"/>
              <w:rPr>
                <w:bCs w:val="0"/>
                <w:sz w:val="18"/>
                <w:szCs w:val="18"/>
              </w:rPr>
            </w:pPr>
          </w:p>
        </w:tc>
        <w:tc>
          <w:tcPr>
            <w:tcW w:w="4707" w:type="dxa"/>
            <w:tcBorders>
              <w:top w:val="nil"/>
              <w:left w:val="nil"/>
              <w:bottom w:val="nil"/>
              <w:right w:val="nil"/>
            </w:tcBorders>
          </w:tcPr>
          <w:p w14:paraId="4E78845C"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0A6F4C4D" w14:textId="77777777" w:rsidTr="0011757A">
        <w:trPr>
          <w:trHeight w:val="20"/>
        </w:trPr>
        <w:tc>
          <w:tcPr>
            <w:tcW w:w="4706" w:type="dxa"/>
            <w:tcBorders>
              <w:top w:val="nil"/>
              <w:left w:val="nil"/>
              <w:bottom w:val="nil"/>
              <w:right w:val="nil"/>
            </w:tcBorders>
          </w:tcPr>
          <w:p w14:paraId="7D2E92CC" w14:textId="201989A4" w:rsidR="008B2957" w:rsidRPr="00912B96" w:rsidRDefault="008B2957" w:rsidP="005B47F7">
            <w:pPr>
              <w:ind w:left="851" w:right="-57"/>
              <w:jc w:val="both"/>
              <w:rPr>
                <w:bCs w:val="0"/>
                <w:sz w:val="18"/>
                <w:szCs w:val="18"/>
              </w:rPr>
            </w:pPr>
            <w:r w:rsidRPr="00912B96">
              <w:rPr>
                <w:sz w:val="18"/>
                <w:szCs w:val="18"/>
              </w:rPr>
              <w:t xml:space="preserve">Aset keuangan dan liabilitas keuangan saling-hapus buku dan nilai bersihnya disajikan dalam laporan posisi keuangan </w:t>
            </w:r>
            <w:r w:rsidR="00B05CAB" w:rsidRPr="00912B96">
              <w:rPr>
                <w:sz w:val="18"/>
                <w:szCs w:val="18"/>
                <w:lang w:val="id-ID"/>
              </w:rPr>
              <w:t xml:space="preserve">konsolidasian </w:t>
            </w:r>
            <w:r w:rsidR="00B05CAB" w:rsidRPr="00912B96">
              <w:rPr>
                <w:sz w:val="18"/>
                <w:szCs w:val="18"/>
              </w:rPr>
              <w:t>jika</w:t>
            </w:r>
            <w:r w:rsidR="00870FD0">
              <w:rPr>
                <w:sz w:val="18"/>
                <w:szCs w:val="18"/>
              </w:rPr>
              <w:t>.</w:t>
            </w:r>
            <w:r w:rsidR="00B05CAB" w:rsidRPr="00912B96">
              <w:rPr>
                <w:sz w:val="18"/>
                <w:szCs w:val="18"/>
                <w:lang w:val="id-ID"/>
              </w:rPr>
              <w:br/>
            </w:r>
            <w:proofErr w:type="gramStart"/>
            <w:r w:rsidRPr="00912B96">
              <w:rPr>
                <w:sz w:val="18"/>
                <w:szCs w:val="18"/>
              </w:rPr>
              <w:t>dan</w:t>
            </w:r>
            <w:proofErr w:type="gramEnd"/>
            <w:r w:rsidRPr="00912B96">
              <w:rPr>
                <w:sz w:val="18"/>
                <w:szCs w:val="18"/>
              </w:rPr>
              <w:t xml:space="preserve"> hanya jika</w:t>
            </w:r>
            <w:r w:rsidR="005B47F7">
              <w:rPr>
                <w:sz w:val="18"/>
                <w:szCs w:val="18"/>
              </w:rPr>
              <w:t>,</w:t>
            </w:r>
            <w:r w:rsidRPr="00912B96">
              <w:rPr>
                <w:sz w:val="18"/>
                <w:szCs w:val="18"/>
              </w:rPr>
              <w:t xml:space="preserve"> terdapat hak secara hukum untuk melakukan saling hapus buku atas jumlah tercatat dari aset keuangan dan liabilitas keuangan tersebut dan terdapat maksud untuk menyelesaikan secara bersih</w:t>
            </w:r>
            <w:r w:rsidR="005B47F7">
              <w:rPr>
                <w:sz w:val="18"/>
                <w:szCs w:val="18"/>
              </w:rPr>
              <w:t>,</w:t>
            </w:r>
            <w:r w:rsidRPr="00912B96">
              <w:rPr>
                <w:sz w:val="18"/>
                <w:szCs w:val="18"/>
              </w:rPr>
              <w:t xml:space="preserve"> atau untuk merealisasikan aset dan menyelesaikan liabilitas secara bersamaan.</w:t>
            </w:r>
          </w:p>
        </w:tc>
        <w:tc>
          <w:tcPr>
            <w:tcW w:w="4707" w:type="dxa"/>
            <w:tcBorders>
              <w:top w:val="nil"/>
              <w:left w:val="nil"/>
              <w:bottom w:val="nil"/>
              <w:right w:val="nil"/>
            </w:tcBorders>
          </w:tcPr>
          <w:p w14:paraId="7EC298DD" w14:textId="1906FED0" w:rsidR="008B2957" w:rsidRPr="00912B96" w:rsidRDefault="008B2957" w:rsidP="005B47F7">
            <w:pPr>
              <w:tabs>
                <w:tab w:val="left" w:pos="5590"/>
                <w:tab w:val="right" w:pos="7620"/>
                <w:tab w:val="right" w:pos="9460"/>
                <w:tab w:val="right" w:pos="10080"/>
              </w:tabs>
              <w:ind w:left="851" w:right="-57"/>
              <w:jc w:val="both"/>
              <w:rPr>
                <w:bCs w:val="0"/>
                <w:i/>
                <w:sz w:val="18"/>
                <w:szCs w:val="18"/>
              </w:rPr>
            </w:pPr>
            <w:r w:rsidRPr="00912B96">
              <w:rPr>
                <w:i/>
                <w:sz w:val="18"/>
                <w:szCs w:val="18"/>
              </w:rPr>
              <w:t xml:space="preserve">Financial assets and financial liabilities are offset and the net amount presented in the </w:t>
            </w:r>
            <w:r w:rsidR="00B05CAB" w:rsidRPr="00912B96">
              <w:rPr>
                <w:i/>
                <w:sz w:val="18"/>
                <w:szCs w:val="18"/>
                <w:lang w:val="id-ID"/>
              </w:rPr>
              <w:t xml:space="preserve">consolidated </w:t>
            </w:r>
            <w:r w:rsidRPr="00912B96">
              <w:rPr>
                <w:i/>
                <w:sz w:val="18"/>
                <w:szCs w:val="18"/>
              </w:rPr>
              <w:t>statement of financial position if</w:t>
            </w:r>
            <w:r w:rsidR="005B47F7">
              <w:rPr>
                <w:i/>
                <w:sz w:val="18"/>
                <w:szCs w:val="18"/>
              </w:rPr>
              <w:t>,</w:t>
            </w:r>
            <w:r w:rsidRPr="00912B96">
              <w:rPr>
                <w:i/>
                <w:sz w:val="18"/>
                <w:szCs w:val="18"/>
              </w:rPr>
              <w:t xml:space="preserve"> and only if</w:t>
            </w:r>
            <w:r w:rsidR="00870FD0">
              <w:rPr>
                <w:i/>
                <w:sz w:val="18"/>
                <w:szCs w:val="18"/>
              </w:rPr>
              <w:t>.</w:t>
            </w:r>
            <w:r w:rsidRPr="00912B96">
              <w:rPr>
                <w:i/>
                <w:sz w:val="18"/>
                <w:szCs w:val="18"/>
              </w:rPr>
              <w:t xml:space="preserve"> </w:t>
            </w:r>
            <w:proofErr w:type="gramStart"/>
            <w:r w:rsidRPr="00912B96">
              <w:rPr>
                <w:i/>
                <w:sz w:val="18"/>
                <w:szCs w:val="18"/>
              </w:rPr>
              <w:t>there</w:t>
            </w:r>
            <w:proofErr w:type="gramEnd"/>
            <w:r w:rsidRPr="00912B96">
              <w:rPr>
                <w:i/>
                <w:sz w:val="18"/>
                <w:szCs w:val="18"/>
              </w:rPr>
              <w:t xml:space="preserve"> is a legal right to offset the carrying amount of financial assets and financial liabilities and there is an intention to settle on a net basis</w:t>
            </w:r>
            <w:r w:rsidR="005B47F7">
              <w:rPr>
                <w:i/>
                <w:sz w:val="18"/>
                <w:szCs w:val="18"/>
              </w:rPr>
              <w:t>,</w:t>
            </w:r>
            <w:r w:rsidRPr="00912B96">
              <w:rPr>
                <w:i/>
                <w:sz w:val="18"/>
                <w:szCs w:val="18"/>
              </w:rPr>
              <w:t xml:space="preserve"> or to realize the asset and settle the liability simultaneously.</w:t>
            </w:r>
          </w:p>
        </w:tc>
      </w:tr>
      <w:tr w:rsidR="008B2957" w:rsidRPr="0011757A" w14:paraId="58AE6281" w14:textId="77777777" w:rsidTr="0011757A">
        <w:trPr>
          <w:trHeight w:val="20"/>
        </w:trPr>
        <w:tc>
          <w:tcPr>
            <w:tcW w:w="4706" w:type="dxa"/>
            <w:tcBorders>
              <w:top w:val="nil"/>
              <w:left w:val="nil"/>
              <w:bottom w:val="nil"/>
              <w:right w:val="nil"/>
            </w:tcBorders>
          </w:tcPr>
          <w:p w14:paraId="6ACEDCBE" w14:textId="77777777" w:rsidR="008B2957" w:rsidRPr="0011757A" w:rsidRDefault="008B2957" w:rsidP="0013526B">
            <w:pPr>
              <w:ind w:left="522" w:right="-57"/>
              <w:jc w:val="both"/>
              <w:rPr>
                <w:bCs w:val="0"/>
                <w:sz w:val="18"/>
                <w:szCs w:val="18"/>
                <w:highlight w:val="cyan"/>
              </w:rPr>
            </w:pPr>
          </w:p>
        </w:tc>
        <w:tc>
          <w:tcPr>
            <w:tcW w:w="4707" w:type="dxa"/>
            <w:tcBorders>
              <w:top w:val="nil"/>
              <w:left w:val="nil"/>
              <w:bottom w:val="nil"/>
              <w:right w:val="nil"/>
            </w:tcBorders>
          </w:tcPr>
          <w:p w14:paraId="1CF75CC3" w14:textId="77777777" w:rsidR="008B2957" w:rsidRPr="0011757A" w:rsidRDefault="008B2957" w:rsidP="0013526B">
            <w:pPr>
              <w:tabs>
                <w:tab w:val="left" w:pos="5590"/>
                <w:tab w:val="right" w:pos="7620"/>
                <w:tab w:val="right" w:pos="9460"/>
                <w:tab w:val="right" w:pos="10080"/>
              </w:tabs>
              <w:ind w:left="651" w:right="-57"/>
              <w:jc w:val="both"/>
              <w:rPr>
                <w:bCs w:val="0"/>
                <w:i/>
                <w:sz w:val="18"/>
                <w:szCs w:val="18"/>
                <w:highlight w:val="cyan"/>
              </w:rPr>
            </w:pPr>
          </w:p>
        </w:tc>
      </w:tr>
      <w:tr w:rsidR="008B2957" w:rsidRPr="0011757A" w14:paraId="1DE1D8C3" w14:textId="77777777" w:rsidTr="0011757A">
        <w:trPr>
          <w:trHeight w:val="20"/>
        </w:trPr>
        <w:tc>
          <w:tcPr>
            <w:tcW w:w="4706" w:type="dxa"/>
            <w:tcBorders>
              <w:top w:val="nil"/>
              <w:left w:val="nil"/>
              <w:bottom w:val="nil"/>
              <w:right w:val="nil"/>
            </w:tcBorders>
          </w:tcPr>
          <w:p w14:paraId="3505DB83" w14:textId="77777777" w:rsidR="008B2957" w:rsidRPr="00912B96" w:rsidRDefault="008B2957" w:rsidP="00070D1F">
            <w:pPr>
              <w:pStyle w:val="Default"/>
              <w:numPr>
                <w:ilvl w:val="0"/>
                <w:numId w:val="132"/>
              </w:numPr>
              <w:ind w:left="851" w:right="-57" w:hanging="284"/>
              <w:jc w:val="both"/>
              <w:rPr>
                <w:rFonts w:ascii="Times New Roman" w:hAnsi="Times New Roman" w:cs="Times New Roman"/>
                <w:b/>
                <w:bCs/>
                <w:sz w:val="18"/>
                <w:szCs w:val="18"/>
              </w:rPr>
            </w:pPr>
            <w:r w:rsidRPr="00912B96">
              <w:rPr>
                <w:rFonts w:ascii="Times New Roman" w:hAnsi="Times New Roman" w:cs="Times New Roman"/>
                <w:b/>
                <w:sz w:val="18"/>
                <w:szCs w:val="18"/>
              </w:rPr>
              <w:t>Nilai Wajar Instrumen Keuangan</w:t>
            </w:r>
          </w:p>
        </w:tc>
        <w:tc>
          <w:tcPr>
            <w:tcW w:w="4707" w:type="dxa"/>
            <w:tcBorders>
              <w:top w:val="nil"/>
              <w:left w:val="nil"/>
              <w:bottom w:val="nil"/>
              <w:right w:val="nil"/>
            </w:tcBorders>
          </w:tcPr>
          <w:p w14:paraId="3CC2F29A" w14:textId="77777777" w:rsidR="008B2957" w:rsidRPr="00912B96" w:rsidRDefault="008B2957" w:rsidP="00070D1F">
            <w:pPr>
              <w:pStyle w:val="ListParagraph"/>
              <w:numPr>
                <w:ilvl w:val="0"/>
                <w:numId w:val="133"/>
              </w:numPr>
              <w:ind w:left="851" w:right="-57" w:hanging="284"/>
              <w:jc w:val="both"/>
              <w:rPr>
                <w:b/>
                <w:bCs w:val="0"/>
                <w:i/>
                <w:sz w:val="18"/>
                <w:szCs w:val="18"/>
              </w:rPr>
            </w:pPr>
            <w:r w:rsidRPr="00912B96">
              <w:rPr>
                <w:b/>
                <w:i/>
                <w:sz w:val="18"/>
                <w:szCs w:val="18"/>
              </w:rPr>
              <w:t>Fair Value of Financial Instruments</w:t>
            </w:r>
          </w:p>
        </w:tc>
      </w:tr>
      <w:tr w:rsidR="008B2957" w:rsidRPr="0011757A" w14:paraId="4DB68D50" w14:textId="77777777" w:rsidTr="0011757A">
        <w:trPr>
          <w:trHeight w:val="20"/>
        </w:trPr>
        <w:tc>
          <w:tcPr>
            <w:tcW w:w="4706" w:type="dxa"/>
            <w:tcBorders>
              <w:top w:val="nil"/>
              <w:left w:val="nil"/>
              <w:bottom w:val="nil"/>
              <w:right w:val="nil"/>
            </w:tcBorders>
          </w:tcPr>
          <w:p w14:paraId="7C456A02" w14:textId="77777777" w:rsidR="008B2957" w:rsidRPr="00912B96" w:rsidRDefault="008B2957" w:rsidP="0013526B">
            <w:pPr>
              <w:ind w:left="522" w:right="-57"/>
              <w:jc w:val="both"/>
              <w:rPr>
                <w:bCs w:val="0"/>
                <w:sz w:val="18"/>
                <w:szCs w:val="18"/>
              </w:rPr>
            </w:pPr>
          </w:p>
        </w:tc>
        <w:tc>
          <w:tcPr>
            <w:tcW w:w="4707" w:type="dxa"/>
            <w:tcBorders>
              <w:top w:val="nil"/>
              <w:left w:val="nil"/>
              <w:bottom w:val="nil"/>
              <w:right w:val="nil"/>
            </w:tcBorders>
          </w:tcPr>
          <w:p w14:paraId="0E00BF46"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3526B" w14:paraId="2447CD5D" w14:textId="77777777" w:rsidTr="0011757A">
        <w:trPr>
          <w:trHeight w:val="20"/>
        </w:trPr>
        <w:tc>
          <w:tcPr>
            <w:tcW w:w="4706" w:type="dxa"/>
            <w:tcBorders>
              <w:top w:val="nil"/>
              <w:left w:val="nil"/>
              <w:bottom w:val="nil"/>
              <w:right w:val="nil"/>
            </w:tcBorders>
          </w:tcPr>
          <w:p w14:paraId="6F580855" w14:textId="0A5E73B5" w:rsidR="008B2957" w:rsidRPr="00912B96" w:rsidRDefault="008B2957" w:rsidP="0013526B">
            <w:pPr>
              <w:ind w:left="851" w:right="-57"/>
              <w:jc w:val="both"/>
              <w:rPr>
                <w:bCs w:val="0"/>
                <w:sz w:val="18"/>
                <w:szCs w:val="18"/>
              </w:rPr>
            </w:pPr>
            <w:r w:rsidRPr="00912B96">
              <w:rPr>
                <w:sz w:val="18"/>
                <w:szCs w:val="18"/>
              </w:rPr>
              <w:t>Nilai wajar instrumen keuangan yang diperdagangkan secara aktif di pasar keuangan yang terorganisasi ditentukan dengan mengacu pada kuotasi harga di pasar aktif pada penutupan bisnis pada akhir periode pelaporan tanpa pengurangan untuk biaya transaksi. Untuk instrumen keuangan yang tidak memiliki pasar aktif</w:t>
            </w:r>
            <w:r w:rsidR="00870FD0">
              <w:rPr>
                <w:sz w:val="18"/>
                <w:szCs w:val="18"/>
              </w:rPr>
              <w:t>.</w:t>
            </w:r>
            <w:r w:rsidRPr="00912B96">
              <w:rPr>
                <w:sz w:val="18"/>
                <w:szCs w:val="18"/>
              </w:rPr>
              <w:t xml:space="preserve"> </w:t>
            </w:r>
            <w:proofErr w:type="gramStart"/>
            <w:r w:rsidRPr="00912B96">
              <w:rPr>
                <w:sz w:val="18"/>
                <w:szCs w:val="18"/>
              </w:rPr>
              <w:t>nilai</w:t>
            </w:r>
            <w:proofErr w:type="gramEnd"/>
            <w:r w:rsidRPr="00912B96">
              <w:rPr>
                <w:sz w:val="18"/>
                <w:szCs w:val="18"/>
              </w:rPr>
              <w:t xml:space="preserve"> wajar ditentukan dengan menggunakan teknik penilaian.</w:t>
            </w:r>
          </w:p>
        </w:tc>
        <w:tc>
          <w:tcPr>
            <w:tcW w:w="4707" w:type="dxa"/>
            <w:tcBorders>
              <w:top w:val="nil"/>
              <w:left w:val="nil"/>
              <w:bottom w:val="nil"/>
              <w:right w:val="nil"/>
            </w:tcBorders>
          </w:tcPr>
          <w:p w14:paraId="1F448FA7" w14:textId="1080DD7E" w:rsidR="008B2957" w:rsidRPr="00912B96" w:rsidRDefault="008B2957" w:rsidP="0013526B">
            <w:pPr>
              <w:tabs>
                <w:tab w:val="left" w:pos="5590"/>
                <w:tab w:val="right" w:pos="7620"/>
                <w:tab w:val="right" w:pos="9460"/>
                <w:tab w:val="right" w:pos="10080"/>
              </w:tabs>
              <w:ind w:left="851" w:right="-57"/>
              <w:jc w:val="both"/>
              <w:rPr>
                <w:bCs w:val="0"/>
                <w:i/>
                <w:sz w:val="18"/>
                <w:szCs w:val="18"/>
              </w:rPr>
            </w:pPr>
            <w:r w:rsidRPr="00912B96">
              <w:rPr>
                <w:i/>
                <w:sz w:val="18"/>
                <w:szCs w:val="18"/>
              </w:rPr>
              <w:t>The fair value of financial instruments that are actively traded in organized financial markets is determined by reference to their quoted prices in an active market at the close of business on the financial position date without any deduction for transaction costs. For financial instruments with no active market</w:t>
            </w:r>
            <w:r w:rsidR="00870FD0">
              <w:rPr>
                <w:i/>
                <w:sz w:val="18"/>
                <w:szCs w:val="18"/>
              </w:rPr>
              <w:t>.</w:t>
            </w:r>
            <w:r w:rsidRPr="00912B96">
              <w:rPr>
                <w:i/>
                <w:sz w:val="18"/>
                <w:szCs w:val="18"/>
              </w:rPr>
              <w:t xml:space="preserve"> </w:t>
            </w:r>
            <w:proofErr w:type="gramStart"/>
            <w:r w:rsidRPr="00912B96">
              <w:rPr>
                <w:i/>
                <w:sz w:val="18"/>
                <w:szCs w:val="18"/>
              </w:rPr>
              <w:t>fair</w:t>
            </w:r>
            <w:proofErr w:type="gramEnd"/>
            <w:r w:rsidRPr="00912B96">
              <w:rPr>
                <w:i/>
                <w:sz w:val="18"/>
                <w:szCs w:val="18"/>
              </w:rPr>
              <w:t xml:space="preserve"> value is determined using valuation techniques.</w:t>
            </w:r>
          </w:p>
        </w:tc>
      </w:tr>
    </w:tbl>
    <w:p w14:paraId="719E3E80" w14:textId="77777777" w:rsidR="008B2957" w:rsidRPr="0013526B" w:rsidRDefault="008B2957" w:rsidP="0013526B">
      <w:pPr>
        <w:rPr>
          <w:sz w:val="18"/>
          <w:szCs w:val="18"/>
        </w:rPr>
      </w:pPr>
    </w:p>
    <w:p w14:paraId="5ED0ACE9" w14:textId="77777777" w:rsidR="008B2957" w:rsidRPr="0013526B" w:rsidRDefault="008B2957" w:rsidP="0013526B">
      <w:pPr>
        <w:rPr>
          <w:sz w:val="18"/>
          <w:szCs w:val="18"/>
        </w:rPr>
      </w:pPr>
    </w:p>
    <w:p w14:paraId="06863C97" w14:textId="77777777" w:rsidR="008B2957" w:rsidRPr="0013526B" w:rsidRDefault="008B2957" w:rsidP="0013526B">
      <w:pPr>
        <w:rPr>
          <w:sz w:val="18"/>
          <w:szCs w:val="18"/>
        </w:rPr>
      </w:pPr>
    </w:p>
    <w:p w14:paraId="66CF2D71" w14:textId="77777777" w:rsidR="008B2957" w:rsidRPr="0013526B" w:rsidRDefault="008B2957" w:rsidP="0013526B">
      <w:pPr>
        <w:rPr>
          <w:sz w:val="18"/>
          <w:szCs w:val="18"/>
        </w:rPr>
      </w:pPr>
    </w:p>
    <w:p w14:paraId="350F37EB" w14:textId="77777777" w:rsidR="00E140BC" w:rsidRPr="0013526B" w:rsidRDefault="00E140BC" w:rsidP="0013526B">
      <w:pPr>
        <w:rPr>
          <w:sz w:val="18"/>
          <w:szCs w:val="18"/>
        </w:rPr>
      </w:pPr>
    </w:p>
    <w:p w14:paraId="23E1137B" w14:textId="77777777" w:rsidR="00E140BC" w:rsidRPr="0013526B" w:rsidRDefault="00E140BC" w:rsidP="0013526B">
      <w:pPr>
        <w:rPr>
          <w:sz w:val="18"/>
          <w:szCs w:val="18"/>
          <w:lang w:val="id-ID"/>
        </w:rPr>
      </w:pPr>
    </w:p>
    <w:p w14:paraId="0CB518BF" w14:textId="77777777" w:rsidR="00C85EDE" w:rsidRPr="0013526B" w:rsidRDefault="00C85EDE" w:rsidP="0013526B">
      <w:pPr>
        <w:rPr>
          <w:sz w:val="18"/>
          <w:szCs w:val="18"/>
          <w:lang w:val="id-ID"/>
        </w:rPr>
      </w:pPr>
    </w:p>
    <w:p w14:paraId="33890C53" w14:textId="77777777" w:rsidR="00B16EDC" w:rsidRPr="0013526B" w:rsidRDefault="00B16EDC" w:rsidP="0013526B">
      <w:pPr>
        <w:rPr>
          <w:sz w:val="18"/>
          <w:szCs w:val="18"/>
          <w:lang w:val="id-ID"/>
        </w:rPr>
      </w:pPr>
    </w:p>
    <w:tbl>
      <w:tblPr>
        <w:tblW w:w="9197" w:type="dxa"/>
        <w:tblInd w:w="392" w:type="dxa"/>
        <w:tblLayout w:type="fixed"/>
        <w:tblLook w:val="0000" w:firstRow="0" w:lastRow="0" w:firstColumn="0" w:lastColumn="0" w:noHBand="0" w:noVBand="0"/>
      </w:tblPr>
      <w:tblGrid>
        <w:gridCol w:w="4598"/>
        <w:gridCol w:w="4599"/>
      </w:tblGrid>
      <w:tr w:rsidR="008B2957" w:rsidRPr="0011757A" w14:paraId="09A3E881" w14:textId="77777777" w:rsidTr="0011757A">
        <w:trPr>
          <w:trHeight w:val="20"/>
        </w:trPr>
        <w:tc>
          <w:tcPr>
            <w:tcW w:w="4706" w:type="dxa"/>
            <w:tcBorders>
              <w:top w:val="nil"/>
              <w:left w:val="nil"/>
              <w:bottom w:val="nil"/>
              <w:right w:val="nil"/>
            </w:tcBorders>
          </w:tcPr>
          <w:p w14:paraId="2BAA9B94" w14:textId="77777777" w:rsidR="008B2957" w:rsidRPr="00912B96" w:rsidRDefault="008B2957" w:rsidP="00070D1F">
            <w:pPr>
              <w:numPr>
                <w:ilvl w:val="0"/>
                <w:numId w:val="134"/>
              </w:numPr>
              <w:ind w:left="284" w:right="-57" w:hanging="284"/>
              <w:jc w:val="both"/>
              <w:rPr>
                <w:b/>
                <w:sz w:val="18"/>
                <w:szCs w:val="18"/>
              </w:rPr>
            </w:pPr>
            <w:r w:rsidRPr="00912B96">
              <w:rPr>
                <w:b/>
                <w:sz w:val="18"/>
                <w:szCs w:val="18"/>
              </w:rPr>
              <w:lastRenderedPageBreak/>
              <w:t>IKHTISAR K</w:t>
            </w:r>
            <w:r w:rsidR="00C85EDE" w:rsidRPr="00912B96">
              <w:rPr>
                <w:b/>
                <w:sz w:val="18"/>
                <w:szCs w:val="18"/>
              </w:rPr>
              <w:t>EBIJAKAN AKUNTANSI YANG PENTING</w:t>
            </w:r>
            <w:r w:rsidR="00C85EDE" w:rsidRPr="00912B96">
              <w:rPr>
                <w:b/>
                <w:sz w:val="18"/>
                <w:szCs w:val="18"/>
                <w:lang w:val="id-ID"/>
              </w:rPr>
              <w:t xml:space="preserve"> </w:t>
            </w:r>
            <w:r w:rsidR="003151BF" w:rsidRPr="00912B96">
              <w:rPr>
                <w:b/>
                <w:sz w:val="18"/>
                <w:szCs w:val="18"/>
                <w:lang w:val="id-ID"/>
              </w:rPr>
              <w:t>-</w:t>
            </w:r>
            <w:r w:rsidRPr="00912B96">
              <w:rPr>
                <w:b/>
                <w:sz w:val="18"/>
                <w:szCs w:val="18"/>
              </w:rPr>
              <w:t xml:space="preserve"> Lanjutan</w:t>
            </w:r>
          </w:p>
        </w:tc>
        <w:tc>
          <w:tcPr>
            <w:tcW w:w="4707" w:type="dxa"/>
            <w:tcBorders>
              <w:top w:val="nil"/>
              <w:left w:val="nil"/>
              <w:bottom w:val="nil"/>
              <w:right w:val="nil"/>
            </w:tcBorders>
          </w:tcPr>
          <w:p w14:paraId="4B1F44EC" w14:textId="77777777" w:rsidR="008B2957" w:rsidRPr="00912B96" w:rsidRDefault="008B2957" w:rsidP="00070D1F">
            <w:pPr>
              <w:numPr>
                <w:ilvl w:val="0"/>
                <w:numId w:val="135"/>
              </w:numPr>
              <w:ind w:left="284" w:right="-57" w:hanging="284"/>
              <w:jc w:val="both"/>
              <w:rPr>
                <w:b/>
                <w:i/>
                <w:sz w:val="18"/>
                <w:szCs w:val="18"/>
              </w:rPr>
            </w:pPr>
            <w:r w:rsidRPr="00912B96">
              <w:rPr>
                <w:b/>
                <w:i/>
                <w:sz w:val="18"/>
                <w:szCs w:val="18"/>
              </w:rPr>
              <w:t>SUMMARY OF SIGNIFIC</w:t>
            </w:r>
            <w:r w:rsidR="00C85EDE" w:rsidRPr="00912B96">
              <w:rPr>
                <w:b/>
                <w:i/>
                <w:sz w:val="18"/>
                <w:szCs w:val="18"/>
              </w:rPr>
              <w:t>ANT ACCOUNTING POLICIES</w:t>
            </w:r>
            <w:r w:rsidR="00C85EDE" w:rsidRPr="00912B96">
              <w:rPr>
                <w:b/>
                <w:i/>
                <w:sz w:val="18"/>
                <w:szCs w:val="18"/>
                <w:lang w:val="id-ID"/>
              </w:rPr>
              <w:t xml:space="preserve"> </w:t>
            </w:r>
            <w:r w:rsidRPr="00912B96">
              <w:rPr>
                <w:b/>
                <w:i/>
                <w:sz w:val="18"/>
                <w:szCs w:val="18"/>
              </w:rPr>
              <w:t>- Continued</w:t>
            </w:r>
          </w:p>
        </w:tc>
      </w:tr>
      <w:tr w:rsidR="008B2957" w:rsidRPr="0011757A" w14:paraId="1D5BD529" w14:textId="77777777" w:rsidTr="0011757A">
        <w:trPr>
          <w:trHeight w:val="20"/>
        </w:trPr>
        <w:tc>
          <w:tcPr>
            <w:tcW w:w="4706" w:type="dxa"/>
            <w:tcBorders>
              <w:top w:val="nil"/>
              <w:left w:val="nil"/>
              <w:bottom w:val="nil"/>
              <w:right w:val="nil"/>
            </w:tcBorders>
          </w:tcPr>
          <w:p w14:paraId="701B5D60" w14:textId="77777777" w:rsidR="008B2957" w:rsidRPr="00912B96" w:rsidRDefault="008B2957" w:rsidP="0013526B">
            <w:pPr>
              <w:ind w:left="357" w:right="-57"/>
              <w:jc w:val="both"/>
              <w:rPr>
                <w:sz w:val="18"/>
                <w:szCs w:val="18"/>
              </w:rPr>
            </w:pPr>
          </w:p>
        </w:tc>
        <w:tc>
          <w:tcPr>
            <w:tcW w:w="4707" w:type="dxa"/>
            <w:tcBorders>
              <w:top w:val="nil"/>
              <w:left w:val="nil"/>
              <w:bottom w:val="nil"/>
              <w:right w:val="nil"/>
            </w:tcBorders>
          </w:tcPr>
          <w:p w14:paraId="64DA14C6" w14:textId="77777777" w:rsidR="008B2957" w:rsidRPr="00912B96" w:rsidRDefault="008B2957" w:rsidP="0013526B">
            <w:pPr>
              <w:ind w:left="357" w:right="-57"/>
              <w:jc w:val="both"/>
              <w:rPr>
                <w:i/>
                <w:sz w:val="18"/>
                <w:szCs w:val="18"/>
              </w:rPr>
            </w:pPr>
          </w:p>
        </w:tc>
      </w:tr>
      <w:tr w:rsidR="008B2957" w:rsidRPr="0011757A" w14:paraId="1D48B345" w14:textId="77777777" w:rsidTr="0011757A">
        <w:trPr>
          <w:trHeight w:val="20"/>
        </w:trPr>
        <w:tc>
          <w:tcPr>
            <w:tcW w:w="4706" w:type="dxa"/>
            <w:tcBorders>
              <w:top w:val="nil"/>
              <w:left w:val="nil"/>
              <w:bottom w:val="nil"/>
              <w:right w:val="nil"/>
            </w:tcBorders>
          </w:tcPr>
          <w:p w14:paraId="670D4894" w14:textId="77777777" w:rsidR="008B2957" w:rsidRPr="00912B96" w:rsidRDefault="008B2957" w:rsidP="00070D1F">
            <w:pPr>
              <w:pStyle w:val="ListParagraph"/>
              <w:numPr>
                <w:ilvl w:val="0"/>
                <w:numId w:val="174"/>
              </w:numPr>
              <w:ind w:left="641" w:right="-57" w:hanging="284"/>
              <w:contextualSpacing/>
              <w:jc w:val="both"/>
              <w:rPr>
                <w:b/>
                <w:sz w:val="18"/>
                <w:szCs w:val="18"/>
              </w:rPr>
            </w:pPr>
            <w:r w:rsidRPr="00912B96">
              <w:rPr>
                <w:b/>
                <w:sz w:val="18"/>
                <w:szCs w:val="18"/>
              </w:rPr>
              <w:t>Instrumen Keuangan - Lanjutan</w:t>
            </w:r>
          </w:p>
        </w:tc>
        <w:tc>
          <w:tcPr>
            <w:tcW w:w="4707" w:type="dxa"/>
            <w:tcBorders>
              <w:top w:val="nil"/>
              <w:left w:val="nil"/>
              <w:bottom w:val="nil"/>
              <w:right w:val="nil"/>
            </w:tcBorders>
          </w:tcPr>
          <w:p w14:paraId="03A648EF" w14:textId="77777777" w:rsidR="008B2957" w:rsidRPr="00912B96" w:rsidRDefault="008B2957" w:rsidP="00070D1F">
            <w:pPr>
              <w:pStyle w:val="ListParagraph"/>
              <w:numPr>
                <w:ilvl w:val="0"/>
                <w:numId w:val="175"/>
              </w:numPr>
              <w:tabs>
                <w:tab w:val="left" w:pos="641"/>
                <w:tab w:val="left" w:pos="5590"/>
                <w:tab w:val="right" w:pos="7620"/>
                <w:tab w:val="right" w:pos="9460"/>
                <w:tab w:val="right" w:pos="10080"/>
              </w:tabs>
              <w:ind w:left="641" w:right="-57" w:hanging="284"/>
              <w:contextualSpacing/>
              <w:jc w:val="both"/>
              <w:rPr>
                <w:b/>
                <w:i/>
                <w:sz w:val="18"/>
                <w:szCs w:val="18"/>
              </w:rPr>
            </w:pPr>
            <w:r w:rsidRPr="00912B96">
              <w:rPr>
                <w:b/>
                <w:i/>
                <w:sz w:val="18"/>
                <w:szCs w:val="18"/>
              </w:rPr>
              <w:t>Financial Instruments - Continued</w:t>
            </w:r>
          </w:p>
        </w:tc>
      </w:tr>
      <w:tr w:rsidR="008B2957" w:rsidRPr="0011757A" w14:paraId="0164E3F7" w14:textId="77777777" w:rsidTr="0011757A">
        <w:trPr>
          <w:trHeight w:val="20"/>
        </w:trPr>
        <w:tc>
          <w:tcPr>
            <w:tcW w:w="4706" w:type="dxa"/>
            <w:tcBorders>
              <w:top w:val="nil"/>
              <w:left w:val="nil"/>
              <w:bottom w:val="nil"/>
              <w:right w:val="nil"/>
            </w:tcBorders>
          </w:tcPr>
          <w:p w14:paraId="09122B9F" w14:textId="77777777" w:rsidR="008B2957" w:rsidRPr="00912B96" w:rsidRDefault="008B2957" w:rsidP="0013526B">
            <w:pPr>
              <w:ind w:left="924" w:right="-57"/>
              <w:jc w:val="both"/>
              <w:rPr>
                <w:sz w:val="18"/>
                <w:szCs w:val="18"/>
              </w:rPr>
            </w:pPr>
          </w:p>
        </w:tc>
        <w:tc>
          <w:tcPr>
            <w:tcW w:w="4707" w:type="dxa"/>
            <w:tcBorders>
              <w:top w:val="nil"/>
              <w:left w:val="nil"/>
              <w:bottom w:val="nil"/>
              <w:right w:val="nil"/>
            </w:tcBorders>
          </w:tcPr>
          <w:p w14:paraId="1920262A" w14:textId="77777777" w:rsidR="008B2957" w:rsidRPr="00912B96" w:rsidRDefault="008B2957" w:rsidP="0013526B">
            <w:pPr>
              <w:tabs>
                <w:tab w:val="left" w:pos="5590"/>
                <w:tab w:val="right" w:pos="7620"/>
                <w:tab w:val="right" w:pos="9460"/>
                <w:tab w:val="right" w:pos="10080"/>
              </w:tabs>
              <w:ind w:left="924" w:right="-57"/>
              <w:jc w:val="both"/>
              <w:rPr>
                <w:i/>
                <w:sz w:val="18"/>
                <w:szCs w:val="18"/>
              </w:rPr>
            </w:pPr>
          </w:p>
        </w:tc>
      </w:tr>
      <w:tr w:rsidR="008B2957" w:rsidRPr="0011757A" w14:paraId="2A7545A2" w14:textId="77777777" w:rsidTr="0011757A">
        <w:trPr>
          <w:trHeight w:val="20"/>
        </w:trPr>
        <w:tc>
          <w:tcPr>
            <w:tcW w:w="4706" w:type="dxa"/>
            <w:tcBorders>
              <w:top w:val="nil"/>
              <w:left w:val="nil"/>
              <w:bottom w:val="nil"/>
              <w:right w:val="nil"/>
            </w:tcBorders>
          </w:tcPr>
          <w:p w14:paraId="168A31E1" w14:textId="77777777" w:rsidR="008B2957" w:rsidRPr="00912B96" w:rsidRDefault="008B2957" w:rsidP="00070D1F">
            <w:pPr>
              <w:pStyle w:val="Default"/>
              <w:numPr>
                <w:ilvl w:val="0"/>
                <w:numId w:val="136"/>
              </w:numPr>
              <w:ind w:left="851" w:right="-57" w:hanging="284"/>
              <w:jc w:val="both"/>
              <w:rPr>
                <w:rFonts w:ascii="Times New Roman" w:hAnsi="Times New Roman" w:cs="Times New Roman"/>
                <w:b/>
                <w:bCs/>
                <w:sz w:val="18"/>
                <w:szCs w:val="18"/>
              </w:rPr>
            </w:pPr>
            <w:r w:rsidRPr="00912B96">
              <w:rPr>
                <w:rFonts w:ascii="Times New Roman" w:hAnsi="Times New Roman" w:cs="Times New Roman"/>
                <w:b/>
                <w:sz w:val="18"/>
                <w:szCs w:val="18"/>
              </w:rPr>
              <w:t>Nilai Wajar Instrumen Keuangan - Lanjutan</w:t>
            </w:r>
          </w:p>
        </w:tc>
        <w:tc>
          <w:tcPr>
            <w:tcW w:w="4707" w:type="dxa"/>
            <w:tcBorders>
              <w:top w:val="nil"/>
              <w:left w:val="nil"/>
              <w:bottom w:val="nil"/>
              <w:right w:val="nil"/>
            </w:tcBorders>
          </w:tcPr>
          <w:p w14:paraId="4EA85297" w14:textId="77777777" w:rsidR="008B2957" w:rsidRPr="00912B96" w:rsidRDefault="008B2957" w:rsidP="00070D1F">
            <w:pPr>
              <w:pStyle w:val="ListParagraph"/>
              <w:numPr>
                <w:ilvl w:val="0"/>
                <w:numId w:val="137"/>
              </w:numPr>
              <w:ind w:left="851" w:right="-57" w:hanging="284"/>
              <w:jc w:val="both"/>
              <w:rPr>
                <w:b/>
                <w:bCs w:val="0"/>
                <w:i/>
                <w:sz w:val="18"/>
                <w:szCs w:val="18"/>
              </w:rPr>
            </w:pPr>
            <w:r w:rsidRPr="00912B96">
              <w:rPr>
                <w:b/>
                <w:i/>
                <w:sz w:val="18"/>
                <w:szCs w:val="18"/>
              </w:rPr>
              <w:t>Fair Value of Financial Instruments - Continued</w:t>
            </w:r>
          </w:p>
        </w:tc>
      </w:tr>
      <w:tr w:rsidR="008B2957" w:rsidRPr="0011757A" w14:paraId="70EF58BD" w14:textId="77777777" w:rsidTr="0011757A">
        <w:trPr>
          <w:trHeight w:val="20"/>
        </w:trPr>
        <w:tc>
          <w:tcPr>
            <w:tcW w:w="4706" w:type="dxa"/>
            <w:tcBorders>
              <w:top w:val="nil"/>
              <w:left w:val="nil"/>
              <w:bottom w:val="nil"/>
              <w:right w:val="nil"/>
            </w:tcBorders>
          </w:tcPr>
          <w:p w14:paraId="6FFD20AE" w14:textId="77777777" w:rsidR="008B2957" w:rsidRPr="00912B96" w:rsidRDefault="008B2957" w:rsidP="0013526B">
            <w:pPr>
              <w:ind w:left="924" w:right="-57"/>
              <w:jc w:val="both"/>
              <w:rPr>
                <w:sz w:val="18"/>
                <w:szCs w:val="18"/>
              </w:rPr>
            </w:pPr>
          </w:p>
        </w:tc>
        <w:tc>
          <w:tcPr>
            <w:tcW w:w="4707" w:type="dxa"/>
            <w:tcBorders>
              <w:top w:val="nil"/>
              <w:left w:val="nil"/>
              <w:bottom w:val="nil"/>
              <w:right w:val="nil"/>
            </w:tcBorders>
          </w:tcPr>
          <w:p w14:paraId="5CDBA254" w14:textId="77777777" w:rsidR="008B2957" w:rsidRPr="00912B96" w:rsidRDefault="008B2957" w:rsidP="0013526B">
            <w:pPr>
              <w:tabs>
                <w:tab w:val="left" w:pos="5590"/>
                <w:tab w:val="right" w:pos="7620"/>
                <w:tab w:val="right" w:pos="9460"/>
                <w:tab w:val="right" w:pos="10080"/>
              </w:tabs>
              <w:ind w:left="924" w:right="-57"/>
              <w:jc w:val="both"/>
              <w:rPr>
                <w:i/>
                <w:sz w:val="18"/>
                <w:szCs w:val="18"/>
              </w:rPr>
            </w:pPr>
          </w:p>
        </w:tc>
      </w:tr>
      <w:tr w:rsidR="008B2957" w:rsidRPr="0011757A" w14:paraId="0333AE0E" w14:textId="77777777" w:rsidTr="0011757A">
        <w:trPr>
          <w:trHeight w:val="20"/>
        </w:trPr>
        <w:tc>
          <w:tcPr>
            <w:tcW w:w="4706" w:type="dxa"/>
            <w:tcBorders>
              <w:top w:val="nil"/>
              <w:left w:val="nil"/>
              <w:bottom w:val="nil"/>
              <w:right w:val="nil"/>
            </w:tcBorders>
          </w:tcPr>
          <w:p w14:paraId="292C3DE7" w14:textId="7F94E48D" w:rsidR="008B2957" w:rsidRPr="00912B96" w:rsidRDefault="008B2957" w:rsidP="0013526B">
            <w:pPr>
              <w:ind w:left="851" w:right="-57"/>
              <w:jc w:val="both"/>
              <w:rPr>
                <w:bCs w:val="0"/>
                <w:sz w:val="18"/>
                <w:szCs w:val="18"/>
              </w:rPr>
            </w:pPr>
            <w:r w:rsidRPr="00912B96">
              <w:rPr>
                <w:sz w:val="18"/>
                <w:szCs w:val="18"/>
              </w:rPr>
              <w:t>Teknik penilaian tersebut mencakup penggunaan transaksi-transaksi pasar yang wajar antara pihak-pihak yang mengerti dan berkeinginan</w:t>
            </w:r>
            <w:r w:rsidR="00870FD0">
              <w:rPr>
                <w:sz w:val="18"/>
                <w:szCs w:val="18"/>
              </w:rPr>
              <w:t>.</w:t>
            </w:r>
            <w:r w:rsidRPr="00912B96">
              <w:rPr>
                <w:sz w:val="18"/>
                <w:szCs w:val="18"/>
              </w:rPr>
              <w:t xml:space="preserve"> </w:t>
            </w:r>
            <w:proofErr w:type="gramStart"/>
            <w:r w:rsidRPr="00912B96">
              <w:rPr>
                <w:sz w:val="18"/>
                <w:szCs w:val="18"/>
              </w:rPr>
              <w:t>mengacu</w:t>
            </w:r>
            <w:proofErr w:type="gramEnd"/>
            <w:r w:rsidRPr="00912B96">
              <w:rPr>
                <w:sz w:val="18"/>
                <w:szCs w:val="18"/>
              </w:rPr>
              <w:t xml:space="preserve"> pada nilai wajar terkini dari instrumen lain yang secara substansial sama</w:t>
            </w:r>
            <w:r w:rsidR="00870FD0">
              <w:rPr>
                <w:sz w:val="18"/>
                <w:szCs w:val="18"/>
              </w:rPr>
              <w:t>.</w:t>
            </w:r>
            <w:r w:rsidRPr="00912B96">
              <w:rPr>
                <w:sz w:val="18"/>
                <w:szCs w:val="18"/>
              </w:rPr>
              <w:t xml:space="preserve"> </w:t>
            </w:r>
            <w:proofErr w:type="gramStart"/>
            <w:r w:rsidRPr="00912B96">
              <w:rPr>
                <w:sz w:val="18"/>
                <w:szCs w:val="18"/>
              </w:rPr>
              <w:t>analisis</w:t>
            </w:r>
            <w:proofErr w:type="gramEnd"/>
            <w:r w:rsidRPr="00912B96">
              <w:rPr>
                <w:sz w:val="18"/>
                <w:szCs w:val="18"/>
              </w:rPr>
              <w:t xml:space="preserve"> arus kas yang didiskontokan</w:t>
            </w:r>
            <w:r w:rsidR="00870FD0">
              <w:rPr>
                <w:sz w:val="18"/>
                <w:szCs w:val="18"/>
              </w:rPr>
              <w:t>.</w:t>
            </w:r>
            <w:r w:rsidRPr="00912B96">
              <w:rPr>
                <w:sz w:val="18"/>
                <w:szCs w:val="18"/>
              </w:rPr>
              <w:t xml:space="preserve"> </w:t>
            </w:r>
            <w:proofErr w:type="gramStart"/>
            <w:r w:rsidRPr="00912B96">
              <w:rPr>
                <w:sz w:val="18"/>
                <w:szCs w:val="18"/>
              </w:rPr>
              <w:t>atau</w:t>
            </w:r>
            <w:proofErr w:type="gramEnd"/>
            <w:r w:rsidRPr="00912B96">
              <w:rPr>
                <w:sz w:val="18"/>
                <w:szCs w:val="18"/>
              </w:rPr>
              <w:t xml:space="preserve"> model penilaian lain sebagaimana disyaratkan di PSAK No. 68</w:t>
            </w:r>
            <w:r w:rsidR="00870FD0">
              <w:rPr>
                <w:sz w:val="18"/>
                <w:szCs w:val="18"/>
              </w:rPr>
              <w:t>.</w:t>
            </w:r>
            <w:r w:rsidRPr="00912B96">
              <w:rPr>
                <w:sz w:val="18"/>
                <w:szCs w:val="18"/>
              </w:rPr>
              <w:t xml:space="preserve"> “Pengukuran Nilai Wajar”.</w:t>
            </w:r>
          </w:p>
        </w:tc>
        <w:tc>
          <w:tcPr>
            <w:tcW w:w="4707" w:type="dxa"/>
            <w:tcBorders>
              <w:top w:val="nil"/>
              <w:left w:val="nil"/>
              <w:bottom w:val="nil"/>
              <w:right w:val="nil"/>
            </w:tcBorders>
          </w:tcPr>
          <w:p w14:paraId="214F887C" w14:textId="2898BF8D" w:rsidR="008B2957" w:rsidRPr="00912B96" w:rsidRDefault="008B2957" w:rsidP="0013526B">
            <w:pPr>
              <w:tabs>
                <w:tab w:val="left" w:pos="5590"/>
                <w:tab w:val="right" w:pos="7620"/>
                <w:tab w:val="right" w:pos="9460"/>
                <w:tab w:val="right" w:pos="10080"/>
              </w:tabs>
              <w:ind w:left="851" w:right="-57"/>
              <w:jc w:val="both"/>
              <w:rPr>
                <w:bCs w:val="0"/>
                <w:i/>
                <w:sz w:val="18"/>
                <w:szCs w:val="18"/>
              </w:rPr>
            </w:pPr>
            <w:r w:rsidRPr="00912B96">
              <w:rPr>
                <w:i/>
                <w:sz w:val="18"/>
                <w:szCs w:val="18"/>
              </w:rPr>
              <w:t>Such techniques may include the use of fair market transactions between the parties who understand and are willing to (arm’s length transactions)</w:t>
            </w:r>
            <w:r w:rsidR="00870FD0">
              <w:rPr>
                <w:i/>
                <w:sz w:val="18"/>
                <w:szCs w:val="18"/>
              </w:rPr>
              <w:t>.</w:t>
            </w:r>
            <w:r w:rsidRPr="00912B96">
              <w:rPr>
                <w:i/>
                <w:sz w:val="18"/>
                <w:szCs w:val="18"/>
              </w:rPr>
              <w:t xml:space="preserve"> </w:t>
            </w:r>
            <w:proofErr w:type="gramStart"/>
            <w:r w:rsidRPr="00912B96">
              <w:rPr>
                <w:i/>
                <w:sz w:val="18"/>
                <w:szCs w:val="18"/>
              </w:rPr>
              <w:t>referring</w:t>
            </w:r>
            <w:proofErr w:type="gramEnd"/>
            <w:r w:rsidRPr="00912B96">
              <w:rPr>
                <w:i/>
                <w:sz w:val="18"/>
                <w:szCs w:val="18"/>
              </w:rPr>
              <w:t xml:space="preserve"> to the current fair value of another instrument that is substantially the same</w:t>
            </w:r>
            <w:r w:rsidR="00870FD0">
              <w:rPr>
                <w:i/>
                <w:sz w:val="18"/>
                <w:szCs w:val="18"/>
              </w:rPr>
              <w:t>.</w:t>
            </w:r>
            <w:r w:rsidRPr="00912B96">
              <w:rPr>
                <w:i/>
                <w:sz w:val="18"/>
                <w:szCs w:val="18"/>
              </w:rPr>
              <w:t xml:space="preserve"> </w:t>
            </w:r>
            <w:proofErr w:type="gramStart"/>
            <w:r w:rsidRPr="00912B96">
              <w:rPr>
                <w:i/>
                <w:sz w:val="18"/>
                <w:szCs w:val="18"/>
              </w:rPr>
              <w:t>discounted</w:t>
            </w:r>
            <w:proofErr w:type="gramEnd"/>
            <w:r w:rsidRPr="00912B96">
              <w:rPr>
                <w:i/>
                <w:sz w:val="18"/>
                <w:szCs w:val="18"/>
              </w:rPr>
              <w:t xml:space="preserve"> cash flow analysis or other valuation mo</w:t>
            </w:r>
            <w:r w:rsidR="00E140BC" w:rsidRPr="00912B96">
              <w:rPr>
                <w:i/>
                <w:sz w:val="18"/>
                <w:szCs w:val="18"/>
              </w:rPr>
              <w:t>dels as required in PSAK No. 68</w:t>
            </w:r>
            <w:r w:rsidR="00E140BC" w:rsidRPr="00912B96">
              <w:rPr>
                <w:i/>
                <w:sz w:val="18"/>
                <w:szCs w:val="18"/>
              </w:rPr>
              <w:br/>
            </w:r>
            <w:r w:rsidRPr="00912B96">
              <w:rPr>
                <w:i/>
                <w:sz w:val="18"/>
                <w:szCs w:val="18"/>
              </w:rPr>
              <w:t>“Fair Value Measurement”.</w:t>
            </w:r>
          </w:p>
        </w:tc>
      </w:tr>
      <w:tr w:rsidR="008B2957" w:rsidRPr="0011757A" w14:paraId="21B41E9B" w14:textId="77777777" w:rsidTr="0011757A">
        <w:trPr>
          <w:trHeight w:val="20"/>
        </w:trPr>
        <w:tc>
          <w:tcPr>
            <w:tcW w:w="4706" w:type="dxa"/>
            <w:tcBorders>
              <w:top w:val="nil"/>
              <w:left w:val="nil"/>
              <w:bottom w:val="nil"/>
              <w:right w:val="nil"/>
            </w:tcBorders>
          </w:tcPr>
          <w:p w14:paraId="70A8FA9E" w14:textId="77777777" w:rsidR="008B2957" w:rsidRPr="0011757A" w:rsidRDefault="008B2957" w:rsidP="0013526B">
            <w:pPr>
              <w:ind w:left="522" w:right="-57"/>
              <w:jc w:val="both"/>
              <w:rPr>
                <w:bCs w:val="0"/>
                <w:sz w:val="18"/>
                <w:szCs w:val="18"/>
                <w:highlight w:val="cyan"/>
              </w:rPr>
            </w:pPr>
          </w:p>
        </w:tc>
        <w:tc>
          <w:tcPr>
            <w:tcW w:w="4707" w:type="dxa"/>
            <w:tcBorders>
              <w:top w:val="nil"/>
              <w:left w:val="nil"/>
              <w:bottom w:val="nil"/>
              <w:right w:val="nil"/>
            </w:tcBorders>
          </w:tcPr>
          <w:p w14:paraId="1DA36DB3" w14:textId="77777777" w:rsidR="008B2957" w:rsidRPr="0011757A" w:rsidRDefault="008B2957" w:rsidP="0013526B">
            <w:pPr>
              <w:tabs>
                <w:tab w:val="left" w:pos="5590"/>
                <w:tab w:val="right" w:pos="7620"/>
                <w:tab w:val="right" w:pos="9460"/>
                <w:tab w:val="right" w:pos="10080"/>
              </w:tabs>
              <w:ind w:left="651" w:right="-57"/>
              <w:jc w:val="both"/>
              <w:rPr>
                <w:bCs w:val="0"/>
                <w:i/>
                <w:sz w:val="18"/>
                <w:szCs w:val="18"/>
                <w:highlight w:val="cyan"/>
              </w:rPr>
            </w:pPr>
          </w:p>
        </w:tc>
      </w:tr>
      <w:tr w:rsidR="008B2957" w:rsidRPr="0011757A" w14:paraId="130DDEB1" w14:textId="77777777" w:rsidTr="0011757A">
        <w:trPr>
          <w:trHeight w:val="20"/>
        </w:trPr>
        <w:tc>
          <w:tcPr>
            <w:tcW w:w="4706" w:type="dxa"/>
            <w:tcBorders>
              <w:top w:val="nil"/>
              <w:left w:val="nil"/>
              <w:bottom w:val="nil"/>
              <w:right w:val="nil"/>
            </w:tcBorders>
          </w:tcPr>
          <w:p w14:paraId="1606EB17" w14:textId="77777777" w:rsidR="008B2957" w:rsidRPr="00912B96" w:rsidRDefault="008B2957" w:rsidP="0013526B">
            <w:pPr>
              <w:ind w:left="851" w:right="-57"/>
              <w:jc w:val="both"/>
              <w:rPr>
                <w:b/>
                <w:bCs w:val="0"/>
                <w:sz w:val="18"/>
                <w:szCs w:val="18"/>
              </w:rPr>
            </w:pPr>
            <w:r w:rsidRPr="00912B96">
              <w:rPr>
                <w:b/>
                <w:sz w:val="18"/>
                <w:szCs w:val="18"/>
              </w:rPr>
              <w:t>Penyesuaian Risiko Kredit</w:t>
            </w:r>
          </w:p>
        </w:tc>
        <w:tc>
          <w:tcPr>
            <w:tcW w:w="4707" w:type="dxa"/>
            <w:tcBorders>
              <w:top w:val="nil"/>
              <w:left w:val="nil"/>
              <w:bottom w:val="nil"/>
              <w:right w:val="nil"/>
            </w:tcBorders>
          </w:tcPr>
          <w:p w14:paraId="22758F79" w14:textId="77777777" w:rsidR="008B2957" w:rsidRPr="00912B96" w:rsidRDefault="008B2957" w:rsidP="0013526B">
            <w:pPr>
              <w:tabs>
                <w:tab w:val="left" w:pos="5590"/>
                <w:tab w:val="right" w:pos="7620"/>
                <w:tab w:val="right" w:pos="9460"/>
                <w:tab w:val="right" w:pos="10080"/>
              </w:tabs>
              <w:ind w:left="851" w:right="-57"/>
              <w:jc w:val="both"/>
              <w:rPr>
                <w:b/>
                <w:bCs w:val="0"/>
                <w:i/>
                <w:sz w:val="18"/>
                <w:szCs w:val="18"/>
              </w:rPr>
            </w:pPr>
            <w:r w:rsidRPr="00912B96">
              <w:rPr>
                <w:b/>
                <w:i/>
                <w:sz w:val="18"/>
                <w:szCs w:val="18"/>
              </w:rPr>
              <w:t>Credit Risk Adjustment</w:t>
            </w:r>
          </w:p>
        </w:tc>
      </w:tr>
      <w:tr w:rsidR="008B2957" w:rsidRPr="0011757A" w14:paraId="350EE9FE" w14:textId="77777777" w:rsidTr="0011757A">
        <w:trPr>
          <w:trHeight w:val="20"/>
        </w:trPr>
        <w:tc>
          <w:tcPr>
            <w:tcW w:w="4706" w:type="dxa"/>
            <w:tcBorders>
              <w:top w:val="nil"/>
              <w:left w:val="nil"/>
              <w:bottom w:val="nil"/>
              <w:right w:val="nil"/>
            </w:tcBorders>
          </w:tcPr>
          <w:p w14:paraId="1624D597" w14:textId="77777777" w:rsidR="008B2957" w:rsidRPr="00912B96" w:rsidRDefault="008B2957" w:rsidP="0013526B">
            <w:pPr>
              <w:ind w:left="522" w:right="-57"/>
              <w:jc w:val="both"/>
              <w:rPr>
                <w:bCs w:val="0"/>
                <w:sz w:val="18"/>
                <w:szCs w:val="18"/>
              </w:rPr>
            </w:pPr>
          </w:p>
        </w:tc>
        <w:tc>
          <w:tcPr>
            <w:tcW w:w="4707" w:type="dxa"/>
            <w:tcBorders>
              <w:top w:val="nil"/>
              <w:left w:val="nil"/>
              <w:bottom w:val="nil"/>
              <w:right w:val="nil"/>
            </w:tcBorders>
          </w:tcPr>
          <w:p w14:paraId="1E22B88E"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1BC3B8F6" w14:textId="77777777" w:rsidTr="0011757A">
        <w:trPr>
          <w:trHeight w:val="20"/>
        </w:trPr>
        <w:tc>
          <w:tcPr>
            <w:tcW w:w="4706" w:type="dxa"/>
            <w:tcBorders>
              <w:top w:val="nil"/>
              <w:left w:val="nil"/>
              <w:bottom w:val="nil"/>
              <w:right w:val="nil"/>
            </w:tcBorders>
          </w:tcPr>
          <w:p w14:paraId="183376EA" w14:textId="4A03A6B8" w:rsidR="008B2957" w:rsidRPr="00912B96" w:rsidRDefault="00716854" w:rsidP="005B47F7">
            <w:pPr>
              <w:ind w:left="851" w:right="-57"/>
              <w:jc w:val="both"/>
              <w:rPr>
                <w:bCs w:val="0"/>
                <w:sz w:val="18"/>
                <w:szCs w:val="18"/>
              </w:rPr>
            </w:pPr>
            <w:r w:rsidRPr="00912B96">
              <w:rPr>
                <w:sz w:val="18"/>
                <w:szCs w:val="18"/>
                <w:lang w:val="id-ID"/>
              </w:rPr>
              <w:t>Kelompok Usaha</w:t>
            </w:r>
            <w:r w:rsidR="008B2957" w:rsidRPr="00912B96">
              <w:rPr>
                <w:sz w:val="18"/>
                <w:szCs w:val="18"/>
              </w:rPr>
              <w:t xml:space="preserve"> menyesuaikan harga di pasar yang lebih menguntungkan untuk mencerminkan adanya perbedaan risiko kredit pihak lawan </w:t>
            </w:r>
            <w:r w:rsidR="008B2957" w:rsidRPr="00912B96">
              <w:rPr>
                <w:i/>
                <w:sz w:val="18"/>
                <w:szCs w:val="18"/>
              </w:rPr>
              <w:t>(counterparty)</w:t>
            </w:r>
            <w:r w:rsidR="008B2957" w:rsidRPr="00912B96">
              <w:rPr>
                <w:sz w:val="18"/>
                <w:szCs w:val="18"/>
              </w:rPr>
              <w:t xml:space="preserve"> antara instrumen yang diperdagangkan di pasar tersebut dengan instrumen yang dinilai untuk posisi aset keuangan. Dalam menentukan nilai wajar posisi liabilitas keuangan</w:t>
            </w:r>
            <w:r w:rsidR="005B47F7">
              <w:rPr>
                <w:sz w:val="18"/>
                <w:szCs w:val="18"/>
              </w:rPr>
              <w:t>,</w:t>
            </w:r>
            <w:r w:rsidR="008B2957" w:rsidRPr="00912B96">
              <w:rPr>
                <w:sz w:val="18"/>
                <w:szCs w:val="18"/>
              </w:rPr>
              <w:t xml:space="preserve"> risiko kredit entitas terkait dengan instrumen harus diperhitungkan.</w:t>
            </w:r>
          </w:p>
        </w:tc>
        <w:tc>
          <w:tcPr>
            <w:tcW w:w="4707" w:type="dxa"/>
            <w:tcBorders>
              <w:top w:val="nil"/>
              <w:left w:val="nil"/>
              <w:bottom w:val="nil"/>
              <w:right w:val="nil"/>
            </w:tcBorders>
          </w:tcPr>
          <w:p w14:paraId="0965A6FC" w14:textId="3AAFD34F" w:rsidR="008B2957" w:rsidRPr="00912B96" w:rsidRDefault="008B2957" w:rsidP="005B47F7">
            <w:pPr>
              <w:tabs>
                <w:tab w:val="left" w:pos="5590"/>
                <w:tab w:val="right" w:pos="7620"/>
                <w:tab w:val="right" w:pos="9460"/>
                <w:tab w:val="right" w:pos="10080"/>
              </w:tabs>
              <w:ind w:left="851" w:right="-57"/>
              <w:jc w:val="both"/>
              <w:rPr>
                <w:bCs w:val="0"/>
                <w:i/>
                <w:sz w:val="18"/>
                <w:szCs w:val="18"/>
              </w:rPr>
            </w:pPr>
            <w:r w:rsidRPr="00912B96">
              <w:rPr>
                <w:i/>
                <w:sz w:val="18"/>
                <w:szCs w:val="18"/>
              </w:rPr>
              <w:t xml:space="preserve">The </w:t>
            </w:r>
            <w:r w:rsidR="00716854" w:rsidRPr="00912B96">
              <w:rPr>
                <w:i/>
                <w:sz w:val="18"/>
                <w:szCs w:val="18"/>
                <w:lang w:val="id-ID"/>
              </w:rPr>
              <w:t>Group</w:t>
            </w:r>
            <w:r w:rsidRPr="00912B96">
              <w:rPr>
                <w:i/>
                <w:sz w:val="18"/>
                <w:szCs w:val="18"/>
              </w:rPr>
              <w:t xml:space="preserve"> adjusts the price in the more advantageous market to reflect any differences in counterparty credit risk between instruments traded in that market and the instruments being valued for financial asset positions. In determining the fair value of financial liabilities position</w:t>
            </w:r>
            <w:r w:rsidR="005B47F7">
              <w:rPr>
                <w:i/>
                <w:sz w:val="18"/>
                <w:szCs w:val="18"/>
              </w:rPr>
              <w:t>,</w:t>
            </w:r>
            <w:r w:rsidRPr="00912B96">
              <w:rPr>
                <w:i/>
                <w:sz w:val="18"/>
                <w:szCs w:val="18"/>
              </w:rPr>
              <w:t xml:space="preserve"> the </w:t>
            </w:r>
            <w:r w:rsidR="00716854" w:rsidRPr="00912B96">
              <w:rPr>
                <w:i/>
                <w:sz w:val="18"/>
                <w:szCs w:val="18"/>
                <w:lang w:val="id-ID"/>
              </w:rPr>
              <w:t xml:space="preserve">Group </w:t>
            </w:r>
            <w:r w:rsidRPr="00912B96">
              <w:rPr>
                <w:i/>
                <w:sz w:val="18"/>
                <w:szCs w:val="18"/>
              </w:rPr>
              <w:t>credit risk associated with the instrument should be taken into account.</w:t>
            </w:r>
          </w:p>
        </w:tc>
      </w:tr>
      <w:tr w:rsidR="008B2957" w:rsidRPr="0011757A" w14:paraId="6BE05412" w14:textId="77777777" w:rsidTr="0011757A">
        <w:trPr>
          <w:trHeight w:val="20"/>
        </w:trPr>
        <w:tc>
          <w:tcPr>
            <w:tcW w:w="4706" w:type="dxa"/>
            <w:tcBorders>
              <w:top w:val="nil"/>
              <w:left w:val="nil"/>
              <w:bottom w:val="nil"/>
              <w:right w:val="nil"/>
            </w:tcBorders>
          </w:tcPr>
          <w:p w14:paraId="3E9B7DAC" w14:textId="77777777" w:rsidR="008B2957" w:rsidRPr="00912B96" w:rsidRDefault="008B2957" w:rsidP="0013526B">
            <w:pPr>
              <w:ind w:left="522" w:right="-57"/>
              <w:jc w:val="both"/>
              <w:rPr>
                <w:bCs w:val="0"/>
                <w:sz w:val="18"/>
                <w:szCs w:val="18"/>
              </w:rPr>
            </w:pPr>
          </w:p>
        </w:tc>
        <w:tc>
          <w:tcPr>
            <w:tcW w:w="4707" w:type="dxa"/>
            <w:tcBorders>
              <w:top w:val="nil"/>
              <w:left w:val="nil"/>
              <w:bottom w:val="nil"/>
              <w:right w:val="nil"/>
            </w:tcBorders>
          </w:tcPr>
          <w:p w14:paraId="6E31142F" w14:textId="77777777" w:rsidR="008B2957" w:rsidRPr="00912B96"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1C6096BA" w14:textId="77777777" w:rsidTr="0011757A">
        <w:trPr>
          <w:trHeight w:val="20"/>
        </w:trPr>
        <w:tc>
          <w:tcPr>
            <w:tcW w:w="4706" w:type="dxa"/>
            <w:tcBorders>
              <w:top w:val="nil"/>
              <w:left w:val="nil"/>
              <w:bottom w:val="nil"/>
              <w:right w:val="nil"/>
            </w:tcBorders>
          </w:tcPr>
          <w:p w14:paraId="18062044" w14:textId="77777777" w:rsidR="008B2957" w:rsidRPr="00912B96" w:rsidRDefault="008B2957" w:rsidP="00070D1F">
            <w:pPr>
              <w:pStyle w:val="Default"/>
              <w:numPr>
                <w:ilvl w:val="0"/>
                <w:numId w:val="136"/>
              </w:numPr>
              <w:ind w:left="851" w:right="-57" w:hanging="284"/>
              <w:jc w:val="both"/>
              <w:rPr>
                <w:rFonts w:ascii="Times New Roman" w:hAnsi="Times New Roman" w:cs="Times New Roman"/>
                <w:b/>
                <w:bCs/>
                <w:sz w:val="18"/>
                <w:szCs w:val="18"/>
              </w:rPr>
            </w:pPr>
            <w:r w:rsidRPr="00912B96">
              <w:rPr>
                <w:rFonts w:ascii="Times New Roman" w:hAnsi="Times New Roman" w:cs="Times New Roman"/>
                <w:b/>
                <w:sz w:val="18"/>
                <w:szCs w:val="18"/>
              </w:rPr>
              <w:t>Penurunan Nilai Aset Keuangan</w:t>
            </w:r>
          </w:p>
        </w:tc>
        <w:tc>
          <w:tcPr>
            <w:tcW w:w="4707" w:type="dxa"/>
            <w:tcBorders>
              <w:top w:val="nil"/>
              <w:left w:val="nil"/>
              <w:bottom w:val="nil"/>
              <w:right w:val="nil"/>
            </w:tcBorders>
          </w:tcPr>
          <w:p w14:paraId="3E108F92" w14:textId="77777777" w:rsidR="008B2957" w:rsidRPr="00912B96" w:rsidRDefault="008B2957" w:rsidP="00070D1F">
            <w:pPr>
              <w:pStyle w:val="ListParagraph"/>
              <w:numPr>
                <w:ilvl w:val="0"/>
                <w:numId w:val="137"/>
              </w:numPr>
              <w:ind w:left="851" w:right="-57" w:hanging="284"/>
              <w:jc w:val="both"/>
              <w:rPr>
                <w:b/>
                <w:bCs w:val="0"/>
                <w:i/>
                <w:sz w:val="18"/>
                <w:szCs w:val="18"/>
              </w:rPr>
            </w:pPr>
            <w:r w:rsidRPr="00912B96">
              <w:rPr>
                <w:b/>
                <w:i/>
                <w:sz w:val="18"/>
                <w:szCs w:val="18"/>
              </w:rPr>
              <w:t>Impairment of Financial Assets</w:t>
            </w:r>
          </w:p>
        </w:tc>
      </w:tr>
      <w:tr w:rsidR="008B2957" w:rsidRPr="0011757A" w14:paraId="4D3E9A57" w14:textId="77777777" w:rsidTr="0011757A">
        <w:trPr>
          <w:trHeight w:val="20"/>
        </w:trPr>
        <w:tc>
          <w:tcPr>
            <w:tcW w:w="4706" w:type="dxa"/>
            <w:tcBorders>
              <w:top w:val="nil"/>
              <w:left w:val="nil"/>
              <w:bottom w:val="nil"/>
              <w:right w:val="nil"/>
            </w:tcBorders>
          </w:tcPr>
          <w:p w14:paraId="40832A5F" w14:textId="77777777" w:rsidR="008B2957" w:rsidRPr="00912B96" w:rsidRDefault="008B2957" w:rsidP="0013526B">
            <w:pPr>
              <w:ind w:left="522" w:right="-57"/>
              <w:jc w:val="both"/>
              <w:rPr>
                <w:bCs w:val="0"/>
                <w:sz w:val="18"/>
                <w:szCs w:val="18"/>
              </w:rPr>
            </w:pPr>
          </w:p>
        </w:tc>
        <w:tc>
          <w:tcPr>
            <w:tcW w:w="4707" w:type="dxa"/>
            <w:tcBorders>
              <w:top w:val="nil"/>
              <w:left w:val="nil"/>
              <w:bottom w:val="nil"/>
              <w:right w:val="nil"/>
            </w:tcBorders>
          </w:tcPr>
          <w:p w14:paraId="02FD5F53" w14:textId="77777777" w:rsidR="008B2957" w:rsidRPr="00912B96" w:rsidRDefault="008B2957" w:rsidP="0013526B">
            <w:pPr>
              <w:tabs>
                <w:tab w:val="left" w:pos="5590"/>
                <w:tab w:val="right" w:pos="7620"/>
                <w:tab w:val="right" w:pos="9460"/>
                <w:tab w:val="right" w:pos="10080"/>
              </w:tabs>
              <w:ind w:left="924" w:right="-57"/>
              <w:jc w:val="both"/>
              <w:rPr>
                <w:bCs w:val="0"/>
                <w:i/>
                <w:sz w:val="18"/>
                <w:szCs w:val="18"/>
              </w:rPr>
            </w:pPr>
          </w:p>
        </w:tc>
      </w:tr>
      <w:tr w:rsidR="008B2957" w:rsidRPr="0011757A" w14:paraId="13D65BCA" w14:textId="77777777" w:rsidTr="0011757A">
        <w:trPr>
          <w:trHeight w:val="20"/>
        </w:trPr>
        <w:tc>
          <w:tcPr>
            <w:tcW w:w="4706" w:type="dxa"/>
            <w:tcBorders>
              <w:top w:val="nil"/>
              <w:left w:val="nil"/>
              <w:bottom w:val="nil"/>
              <w:right w:val="nil"/>
            </w:tcBorders>
          </w:tcPr>
          <w:p w14:paraId="75B3D55E" w14:textId="77777777" w:rsidR="008B2957" w:rsidRPr="00912B96" w:rsidRDefault="00716854" w:rsidP="0013526B">
            <w:pPr>
              <w:ind w:left="851" w:right="-57"/>
              <w:jc w:val="both"/>
              <w:rPr>
                <w:bCs w:val="0"/>
                <w:sz w:val="18"/>
                <w:szCs w:val="18"/>
              </w:rPr>
            </w:pPr>
            <w:r w:rsidRPr="00912B96">
              <w:rPr>
                <w:sz w:val="18"/>
                <w:szCs w:val="18"/>
                <w:lang w:val="id-ID"/>
              </w:rPr>
              <w:t xml:space="preserve">Kelompok Usaha </w:t>
            </w:r>
            <w:r w:rsidR="008B2957" w:rsidRPr="00912B96">
              <w:rPr>
                <w:sz w:val="18"/>
                <w:szCs w:val="18"/>
              </w:rPr>
              <w:t>pada setiap akhir periode pelaporan mengevaluasi apakah terdapat bukti yang obyektif bahwa aset keuangan atau kelompok aset keuangan mengalami penurunan.</w:t>
            </w:r>
          </w:p>
        </w:tc>
        <w:tc>
          <w:tcPr>
            <w:tcW w:w="4707" w:type="dxa"/>
            <w:tcBorders>
              <w:top w:val="nil"/>
              <w:left w:val="nil"/>
              <w:bottom w:val="nil"/>
              <w:right w:val="nil"/>
            </w:tcBorders>
          </w:tcPr>
          <w:p w14:paraId="0F0D7F39" w14:textId="77777777" w:rsidR="008B2957" w:rsidRPr="00912B96" w:rsidRDefault="008B2957" w:rsidP="0013526B">
            <w:pPr>
              <w:tabs>
                <w:tab w:val="left" w:pos="5590"/>
                <w:tab w:val="right" w:pos="7620"/>
                <w:tab w:val="right" w:pos="9460"/>
                <w:tab w:val="right" w:pos="10080"/>
              </w:tabs>
              <w:ind w:left="851" w:right="-57"/>
              <w:jc w:val="both"/>
              <w:rPr>
                <w:bCs w:val="0"/>
                <w:i/>
                <w:sz w:val="18"/>
                <w:szCs w:val="18"/>
              </w:rPr>
            </w:pPr>
            <w:r w:rsidRPr="00912B96">
              <w:rPr>
                <w:i/>
                <w:sz w:val="18"/>
                <w:szCs w:val="18"/>
              </w:rPr>
              <w:t xml:space="preserve">The </w:t>
            </w:r>
            <w:r w:rsidR="00716854" w:rsidRPr="00912B96">
              <w:rPr>
                <w:i/>
                <w:sz w:val="18"/>
                <w:szCs w:val="18"/>
                <w:lang w:val="id-ID"/>
              </w:rPr>
              <w:t>Group</w:t>
            </w:r>
            <w:r w:rsidRPr="00912B96">
              <w:rPr>
                <w:i/>
                <w:sz w:val="18"/>
                <w:szCs w:val="18"/>
              </w:rPr>
              <w:t xml:space="preserve"> evaluates at the end of each reporting period whether there is objective evidence that a financial asset or group of financial assets has been impaired.</w:t>
            </w:r>
          </w:p>
        </w:tc>
      </w:tr>
      <w:tr w:rsidR="008B2957" w:rsidRPr="0011757A" w14:paraId="15904AEC" w14:textId="77777777" w:rsidTr="0011757A">
        <w:trPr>
          <w:trHeight w:val="20"/>
        </w:trPr>
        <w:tc>
          <w:tcPr>
            <w:tcW w:w="4706" w:type="dxa"/>
            <w:tcBorders>
              <w:top w:val="nil"/>
              <w:left w:val="nil"/>
              <w:bottom w:val="nil"/>
              <w:right w:val="nil"/>
            </w:tcBorders>
          </w:tcPr>
          <w:p w14:paraId="218C230F" w14:textId="77777777" w:rsidR="008B2957" w:rsidRPr="0011757A" w:rsidRDefault="008B2957" w:rsidP="0013526B">
            <w:pPr>
              <w:ind w:left="522" w:right="-57"/>
              <w:jc w:val="both"/>
              <w:rPr>
                <w:bCs w:val="0"/>
                <w:sz w:val="18"/>
                <w:szCs w:val="18"/>
                <w:highlight w:val="cyan"/>
              </w:rPr>
            </w:pPr>
          </w:p>
        </w:tc>
        <w:tc>
          <w:tcPr>
            <w:tcW w:w="4707" w:type="dxa"/>
            <w:tcBorders>
              <w:top w:val="nil"/>
              <w:left w:val="nil"/>
              <w:bottom w:val="nil"/>
              <w:right w:val="nil"/>
            </w:tcBorders>
          </w:tcPr>
          <w:p w14:paraId="1829C5A7" w14:textId="77777777" w:rsidR="008B2957" w:rsidRPr="0011757A" w:rsidRDefault="008B2957" w:rsidP="0013526B">
            <w:pPr>
              <w:tabs>
                <w:tab w:val="left" w:pos="5590"/>
                <w:tab w:val="right" w:pos="7620"/>
                <w:tab w:val="right" w:pos="9460"/>
                <w:tab w:val="right" w:pos="10080"/>
              </w:tabs>
              <w:ind w:left="651" w:right="-57"/>
              <w:jc w:val="both"/>
              <w:rPr>
                <w:bCs w:val="0"/>
                <w:i/>
                <w:sz w:val="18"/>
                <w:szCs w:val="18"/>
                <w:highlight w:val="cyan"/>
              </w:rPr>
            </w:pPr>
          </w:p>
        </w:tc>
      </w:tr>
      <w:tr w:rsidR="008B2957" w:rsidRPr="0011757A" w14:paraId="1E4DAAB8" w14:textId="77777777" w:rsidTr="0011757A">
        <w:trPr>
          <w:trHeight w:val="20"/>
        </w:trPr>
        <w:tc>
          <w:tcPr>
            <w:tcW w:w="4706" w:type="dxa"/>
            <w:tcBorders>
              <w:top w:val="nil"/>
              <w:left w:val="nil"/>
              <w:bottom w:val="nil"/>
              <w:right w:val="nil"/>
            </w:tcBorders>
          </w:tcPr>
          <w:p w14:paraId="5B96FC80" w14:textId="77777777" w:rsidR="008B2957" w:rsidRPr="0001539D" w:rsidRDefault="008B2957" w:rsidP="00070D1F">
            <w:pPr>
              <w:numPr>
                <w:ilvl w:val="0"/>
                <w:numId w:val="122"/>
              </w:numPr>
              <w:ind w:left="1135" w:right="-57" w:hanging="284"/>
              <w:jc w:val="both"/>
              <w:rPr>
                <w:bCs w:val="0"/>
                <w:sz w:val="18"/>
                <w:szCs w:val="18"/>
              </w:rPr>
            </w:pPr>
            <w:r w:rsidRPr="0001539D">
              <w:rPr>
                <w:sz w:val="18"/>
                <w:szCs w:val="18"/>
              </w:rPr>
              <w:t>Aset Keuangan Dicatat pada Biaya Perolehan Diamortisasi</w:t>
            </w:r>
          </w:p>
        </w:tc>
        <w:tc>
          <w:tcPr>
            <w:tcW w:w="4707" w:type="dxa"/>
            <w:tcBorders>
              <w:top w:val="nil"/>
              <w:left w:val="nil"/>
              <w:bottom w:val="nil"/>
              <w:right w:val="nil"/>
            </w:tcBorders>
          </w:tcPr>
          <w:p w14:paraId="4A61A041" w14:textId="77777777" w:rsidR="008B2957" w:rsidRPr="0001539D" w:rsidRDefault="008B2957" w:rsidP="00070D1F">
            <w:pPr>
              <w:pStyle w:val="ListParagraph"/>
              <w:numPr>
                <w:ilvl w:val="0"/>
                <w:numId w:val="123"/>
              </w:numPr>
              <w:ind w:left="1135" w:right="-57" w:hanging="284"/>
              <w:jc w:val="both"/>
              <w:rPr>
                <w:bCs w:val="0"/>
                <w:i/>
                <w:sz w:val="18"/>
                <w:szCs w:val="18"/>
              </w:rPr>
            </w:pPr>
            <w:r w:rsidRPr="0001539D">
              <w:rPr>
                <w:i/>
                <w:sz w:val="18"/>
                <w:szCs w:val="18"/>
              </w:rPr>
              <w:t>Financial Assets Measured at Amortized Cost</w:t>
            </w:r>
          </w:p>
        </w:tc>
      </w:tr>
      <w:tr w:rsidR="008B2957" w:rsidRPr="0011757A" w14:paraId="18F32E66" w14:textId="77777777" w:rsidTr="0011757A">
        <w:trPr>
          <w:trHeight w:val="20"/>
        </w:trPr>
        <w:tc>
          <w:tcPr>
            <w:tcW w:w="4706" w:type="dxa"/>
            <w:tcBorders>
              <w:top w:val="nil"/>
              <w:left w:val="nil"/>
              <w:bottom w:val="nil"/>
              <w:right w:val="nil"/>
            </w:tcBorders>
          </w:tcPr>
          <w:p w14:paraId="249B04CD" w14:textId="77777777" w:rsidR="008B2957" w:rsidRPr="0001539D" w:rsidRDefault="008B2957" w:rsidP="0013526B">
            <w:pPr>
              <w:ind w:left="522" w:right="-57"/>
              <w:jc w:val="both"/>
              <w:rPr>
                <w:bCs w:val="0"/>
                <w:sz w:val="18"/>
                <w:szCs w:val="18"/>
              </w:rPr>
            </w:pPr>
          </w:p>
        </w:tc>
        <w:tc>
          <w:tcPr>
            <w:tcW w:w="4707" w:type="dxa"/>
            <w:tcBorders>
              <w:top w:val="nil"/>
              <w:left w:val="nil"/>
              <w:bottom w:val="nil"/>
              <w:right w:val="nil"/>
            </w:tcBorders>
          </w:tcPr>
          <w:p w14:paraId="6A13E989"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49F49851" w14:textId="77777777" w:rsidTr="0011757A">
        <w:trPr>
          <w:trHeight w:val="20"/>
        </w:trPr>
        <w:tc>
          <w:tcPr>
            <w:tcW w:w="4706" w:type="dxa"/>
            <w:tcBorders>
              <w:top w:val="nil"/>
              <w:left w:val="nil"/>
              <w:bottom w:val="nil"/>
              <w:right w:val="nil"/>
            </w:tcBorders>
          </w:tcPr>
          <w:p w14:paraId="4447BBAC" w14:textId="7DC423F9" w:rsidR="008B2957" w:rsidRPr="0001539D" w:rsidRDefault="008B2957" w:rsidP="0013526B">
            <w:pPr>
              <w:ind w:left="1134" w:right="-57"/>
              <w:jc w:val="both"/>
              <w:rPr>
                <w:bCs w:val="0"/>
                <w:sz w:val="18"/>
                <w:szCs w:val="18"/>
              </w:rPr>
            </w:pPr>
            <w:r w:rsidRPr="0001539D">
              <w:rPr>
                <w:sz w:val="18"/>
                <w:szCs w:val="18"/>
              </w:rPr>
              <w:t>Untuk pinjaman yang diberikan dan piutang yang dicatat pada biaya perolehan diamortisasi</w:t>
            </w:r>
            <w:r w:rsidR="00870FD0">
              <w:rPr>
                <w:sz w:val="18"/>
                <w:szCs w:val="18"/>
              </w:rPr>
              <w:t>.</w:t>
            </w:r>
            <w:r w:rsidRPr="0001539D">
              <w:rPr>
                <w:sz w:val="18"/>
                <w:szCs w:val="18"/>
              </w:rPr>
              <w:t xml:space="preserve"> </w:t>
            </w:r>
            <w:r w:rsidR="00716854" w:rsidRPr="0001539D">
              <w:rPr>
                <w:sz w:val="18"/>
                <w:szCs w:val="18"/>
                <w:lang w:val="id-ID"/>
              </w:rPr>
              <w:t>Kelompok Usaha</w:t>
            </w:r>
            <w:r w:rsidRPr="0001539D">
              <w:rPr>
                <w:sz w:val="18"/>
                <w:szCs w:val="18"/>
              </w:rPr>
              <w:t xml:space="preserve"> menentukan penurunan nilai berdasarkan bukti obyektif secara individual atas penurunan nilai.</w:t>
            </w:r>
          </w:p>
        </w:tc>
        <w:tc>
          <w:tcPr>
            <w:tcW w:w="4707" w:type="dxa"/>
            <w:tcBorders>
              <w:top w:val="nil"/>
              <w:left w:val="nil"/>
              <w:bottom w:val="nil"/>
              <w:right w:val="nil"/>
            </w:tcBorders>
          </w:tcPr>
          <w:p w14:paraId="0EF78D4E" w14:textId="1BF8E92E" w:rsidR="008B2957" w:rsidRPr="0001539D" w:rsidRDefault="008B2957" w:rsidP="0013526B">
            <w:pPr>
              <w:pStyle w:val="ListParagraph"/>
              <w:ind w:left="1134" w:right="-57"/>
              <w:jc w:val="both"/>
              <w:rPr>
                <w:bCs w:val="0"/>
                <w:i/>
                <w:sz w:val="18"/>
                <w:szCs w:val="18"/>
              </w:rPr>
            </w:pPr>
            <w:r w:rsidRPr="0001539D">
              <w:rPr>
                <w:i/>
                <w:sz w:val="18"/>
                <w:szCs w:val="18"/>
              </w:rPr>
              <w:t>For loans and receivables carried at amortized cost</w:t>
            </w:r>
            <w:r w:rsidR="00870FD0">
              <w:rPr>
                <w:i/>
                <w:sz w:val="18"/>
                <w:szCs w:val="18"/>
              </w:rPr>
              <w:t>.</w:t>
            </w:r>
            <w:r w:rsidRPr="0001539D">
              <w:rPr>
                <w:i/>
                <w:sz w:val="18"/>
                <w:szCs w:val="18"/>
              </w:rPr>
              <w:t xml:space="preserve"> </w:t>
            </w:r>
            <w:proofErr w:type="gramStart"/>
            <w:r w:rsidRPr="0001539D">
              <w:rPr>
                <w:i/>
                <w:sz w:val="18"/>
                <w:szCs w:val="18"/>
              </w:rPr>
              <w:t>the</w:t>
            </w:r>
            <w:proofErr w:type="gramEnd"/>
            <w:r w:rsidRPr="0001539D">
              <w:rPr>
                <w:i/>
                <w:sz w:val="18"/>
                <w:szCs w:val="18"/>
              </w:rPr>
              <w:t xml:space="preserve"> </w:t>
            </w:r>
            <w:r w:rsidR="00716854" w:rsidRPr="0001539D">
              <w:rPr>
                <w:i/>
                <w:sz w:val="18"/>
                <w:szCs w:val="18"/>
                <w:lang w:val="id-ID"/>
              </w:rPr>
              <w:t>Group</w:t>
            </w:r>
            <w:r w:rsidRPr="0001539D">
              <w:rPr>
                <w:i/>
                <w:sz w:val="18"/>
                <w:szCs w:val="18"/>
              </w:rPr>
              <w:t xml:space="preserve"> determines individually for impairment based on objective evidence of impairment exists.</w:t>
            </w:r>
          </w:p>
        </w:tc>
      </w:tr>
      <w:tr w:rsidR="008B2957" w:rsidRPr="0011757A" w14:paraId="1C03FF80" w14:textId="77777777" w:rsidTr="0011757A">
        <w:trPr>
          <w:trHeight w:val="20"/>
        </w:trPr>
        <w:tc>
          <w:tcPr>
            <w:tcW w:w="4706" w:type="dxa"/>
            <w:tcBorders>
              <w:top w:val="nil"/>
              <w:left w:val="nil"/>
              <w:bottom w:val="nil"/>
              <w:right w:val="nil"/>
            </w:tcBorders>
          </w:tcPr>
          <w:p w14:paraId="478430FE" w14:textId="77777777" w:rsidR="008B2957" w:rsidRPr="0001539D" w:rsidRDefault="008B2957" w:rsidP="0013526B">
            <w:pPr>
              <w:ind w:left="522" w:right="-57"/>
              <w:jc w:val="both"/>
              <w:rPr>
                <w:bCs w:val="0"/>
                <w:sz w:val="18"/>
                <w:szCs w:val="18"/>
              </w:rPr>
            </w:pPr>
          </w:p>
        </w:tc>
        <w:tc>
          <w:tcPr>
            <w:tcW w:w="4707" w:type="dxa"/>
            <w:tcBorders>
              <w:top w:val="nil"/>
              <w:left w:val="nil"/>
              <w:bottom w:val="nil"/>
              <w:right w:val="nil"/>
            </w:tcBorders>
          </w:tcPr>
          <w:p w14:paraId="35586ABF"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3526B" w14:paraId="03524F4B" w14:textId="77777777" w:rsidTr="0011757A">
        <w:trPr>
          <w:trHeight w:val="20"/>
        </w:trPr>
        <w:tc>
          <w:tcPr>
            <w:tcW w:w="4706" w:type="dxa"/>
            <w:tcBorders>
              <w:top w:val="nil"/>
              <w:left w:val="nil"/>
              <w:bottom w:val="nil"/>
              <w:right w:val="nil"/>
            </w:tcBorders>
          </w:tcPr>
          <w:p w14:paraId="606D8A5E" w14:textId="04B90361" w:rsidR="008B2957" w:rsidRPr="0001539D" w:rsidRDefault="008B2957" w:rsidP="00FF0724">
            <w:pPr>
              <w:ind w:left="1134" w:right="-57"/>
              <w:jc w:val="both"/>
              <w:rPr>
                <w:bCs w:val="0"/>
                <w:sz w:val="18"/>
                <w:szCs w:val="18"/>
              </w:rPr>
            </w:pPr>
            <w:r w:rsidRPr="0001539D">
              <w:rPr>
                <w:sz w:val="18"/>
                <w:szCs w:val="18"/>
              </w:rPr>
              <w:t>Nilai tercatat aset tersebut berkurang melalui penggunaan akun penyisihan dan jumlah kerugian diakui dalam laporan laba rugi dan penghasilan komprehensif</w:t>
            </w:r>
            <w:r w:rsidR="007E5740" w:rsidRPr="0001539D">
              <w:rPr>
                <w:sz w:val="18"/>
                <w:szCs w:val="18"/>
                <w:lang w:val="id-ID"/>
              </w:rPr>
              <w:t xml:space="preserve"> lain konsolidasian</w:t>
            </w:r>
            <w:r w:rsidRPr="0001539D">
              <w:rPr>
                <w:sz w:val="18"/>
                <w:szCs w:val="18"/>
              </w:rPr>
              <w:t>. Penghasilan bunga selanjutnya diakui sebesar nilai tercatat yang diturunkan nilainya</w:t>
            </w:r>
            <w:r w:rsidR="00870FD0">
              <w:rPr>
                <w:sz w:val="18"/>
                <w:szCs w:val="18"/>
              </w:rPr>
              <w:t>.</w:t>
            </w:r>
            <w:r w:rsidRPr="0001539D">
              <w:rPr>
                <w:sz w:val="18"/>
                <w:szCs w:val="18"/>
              </w:rPr>
              <w:t xml:space="preserve"> </w:t>
            </w:r>
            <w:proofErr w:type="gramStart"/>
            <w:r w:rsidRPr="0001539D">
              <w:rPr>
                <w:sz w:val="18"/>
                <w:szCs w:val="18"/>
              </w:rPr>
              <w:t>berdasarkan</w:t>
            </w:r>
            <w:proofErr w:type="gramEnd"/>
            <w:r w:rsidRPr="0001539D">
              <w:rPr>
                <w:sz w:val="18"/>
                <w:szCs w:val="18"/>
              </w:rPr>
              <w:t xml:space="preserve"> tingkat EIR awal dari aset tersebut. Pinjaman yang diberikan dan piutang</w:t>
            </w:r>
            <w:r w:rsidR="00FF0724">
              <w:rPr>
                <w:sz w:val="18"/>
                <w:szCs w:val="18"/>
              </w:rPr>
              <w:t>,</w:t>
            </w:r>
            <w:r w:rsidRPr="0001539D">
              <w:rPr>
                <w:sz w:val="18"/>
                <w:szCs w:val="18"/>
              </w:rPr>
              <w:t xml:space="preserve"> beserta dengan penyisihan terkait</w:t>
            </w:r>
            <w:r w:rsidR="00870FD0">
              <w:rPr>
                <w:sz w:val="18"/>
                <w:szCs w:val="18"/>
              </w:rPr>
              <w:t>.</w:t>
            </w:r>
            <w:r w:rsidRPr="0001539D">
              <w:rPr>
                <w:sz w:val="18"/>
                <w:szCs w:val="18"/>
              </w:rPr>
              <w:t xml:space="preserve"> </w:t>
            </w:r>
            <w:proofErr w:type="gramStart"/>
            <w:r w:rsidRPr="0001539D">
              <w:rPr>
                <w:sz w:val="18"/>
                <w:szCs w:val="18"/>
              </w:rPr>
              <w:t>dihapuskan</w:t>
            </w:r>
            <w:proofErr w:type="gramEnd"/>
            <w:r w:rsidRPr="0001539D">
              <w:rPr>
                <w:sz w:val="18"/>
                <w:szCs w:val="18"/>
              </w:rPr>
              <w:t xml:space="preserve"> jika tidak terdapat kemungkinan pemulihan dimasa depan yang realistis dan semua jaminan telah terealisasi atau telah dialihkan kepada </w:t>
            </w:r>
            <w:r w:rsidR="00716854" w:rsidRPr="0001539D">
              <w:rPr>
                <w:sz w:val="18"/>
                <w:szCs w:val="18"/>
                <w:lang w:val="id-ID"/>
              </w:rPr>
              <w:t>Kelompok Usaha</w:t>
            </w:r>
            <w:r w:rsidRPr="0001539D">
              <w:rPr>
                <w:sz w:val="18"/>
                <w:szCs w:val="18"/>
              </w:rPr>
              <w:t>.</w:t>
            </w:r>
          </w:p>
        </w:tc>
        <w:tc>
          <w:tcPr>
            <w:tcW w:w="4707" w:type="dxa"/>
            <w:tcBorders>
              <w:top w:val="nil"/>
              <w:left w:val="nil"/>
              <w:bottom w:val="nil"/>
              <w:right w:val="nil"/>
            </w:tcBorders>
          </w:tcPr>
          <w:p w14:paraId="6562332E" w14:textId="2DF40BA5" w:rsidR="008B2957" w:rsidRPr="0001539D" w:rsidRDefault="008B2957" w:rsidP="00FF0724">
            <w:pPr>
              <w:pStyle w:val="ListParagraph"/>
              <w:ind w:left="1134" w:right="-57"/>
              <w:jc w:val="both"/>
              <w:rPr>
                <w:bCs w:val="0"/>
                <w:i/>
                <w:sz w:val="18"/>
                <w:szCs w:val="18"/>
              </w:rPr>
            </w:pPr>
            <w:r w:rsidRPr="0001539D">
              <w:rPr>
                <w:i/>
                <w:sz w:val="18"/>
                <w:szCs w:val="18"/>
              </w:rPr>
              <w:t>The carrying amount of the asset is reduced through the use of an allowance account and the amou</w:t>
            </w:r>
            <w:r w:rsidR="007E5740" w:rsidRPr="0001539D">
              <w:rPr>
                <w:i/>
                <w:sz w:val="18"/>
                <w:szCs w:val="18"/>
              </w:rPr>
              <w:t>nt of the loss is recognized in</w:t>
            </w:r>
            <w:r w:rsidR="007E5740" w:rsidRPr="0001539D">
              <w:rPr>
                <w:i/>
                <w:sz w:val="18"/>
                <w:szCs w:val="18"/>
                <w:lang w:val="id-ID"/>
              </w:rPr>
              <w:br/>
            </w:r>
            <w:r w:rsidRPr="0001539D">
              <w:rPr>
                <w:i/>
                <w:sz w:val="18"/>
                <w:szCs w:val="18"/>
              </w:rPr>
              <w:t xml:space="preserve">the </w:t>
            </w:r>
            <w:r w:rsidR="007E5740" w:rsidRPr="0001539D">
              <w:rPr>
                <w:i/>
                <w:sz w:val="18"/>
                <w:szCs w:val="18"/>
                <w:lang w:val="id-ID"/>
              </w:rPr>
              <w:t xml:space="preserve">consolidated </w:t>
            </w:r>
            <w:r w:rsidRPr="0001539D">
              <w:rPr>
                <w:i/>
                <w:sz w:val="18"/>
                <w:szCs w:val="18"/>
              </w:rPr>
              <w:t>statement of profit or loss and other comprehensive income. Interest income is recognized further at the carrying reduced value</w:t>
            </w:r>
            <w:r w:rsidR="00870FD0">
              <w:rPr>
                <w:i/>
                <w:sz w:val="18"/>
                <w:szCs w:val="18"/>
              </w:rPr>
              <w:t>.</w:t>
            </w:r>
            <w:r w:rsidRPr="0001539D">
              <w:rPr>
                <w:i/>
                <w:sz w:val="18"/>
                <w:szCs w:val="18"/>
              </w:rPr>
              <w:t xml:space="preserve"> </w:t>
            </w:r>
            <w:proofErr w:type="gramStart"/>
            <w:r w:rsidRPr="0001539D">
              <w:rPr>
                <w:i/>
                <w:sz w:val="18"/>
                <w:szCs w:val="18"/>
              </w:rPr>
              <w:t>based</w:t>
            </w:r>
            <w:proofErr w:type="gramEnd"/>
            <w:r w:rsidRPr="0001539D">
              <w:rPr>
                <w:i/>
                <w:sz w:val="18"/>
                <w:szCs w:val="18"/>
              </w:rPr>
              <w:t xml:space="preserve"> on the beginning EIR of the asset. Loans and receivables</w:t>
            </w:r>
            <w:r w:rsidR="00FF0724">
              <w:rPr>
                <w:i/>
                <w:sz w:val="18"/>
                <w:szCs w:val="18"/>
              </w:rPr>
              <w:t>,</w:t>
            </w:r>
            <w:r w:rsidRPr="0001539D">
              <w:rPr>
                <w:i/>
                <w:sz w:val="18"/>
                <w:szCs w:val="18"/>
              </w:rPr>
              <w:t xml:space="preserve"> together with the associated allowance are written-off when there is no realistic possibility of future recovery and all collateral has been realized or has been transferred to the </w:t>
            </w:r>
            <w:r w:rsidR="00716854" w:rsidRPr="0001539D">
              <w:rPr>
                <w:i/>
                <w:sz w:val="18"/>
                <w:szCs w:val="18"/>
                <w:lang w:val="id-ID"/>
              </w:rPr>
              <w:t>Group</w:t>
            </w:r>
            <w:r w:rsidRPr="0001539D">
              <w:rPr>
                <w:i/>
                <w:sz w:val="18"/>
                <w:szCs w:val="18"/>
              </w:rPr>
              <w:t>.</w:t>
            </w:r>
          </w:p>
        </w:tc>
      </w:tr>
    </w:tbl>
    <w:p w14:paraId="07B8B316" w14:textId="77777777" w:rsidR="008B2957" w:rsidRDefault="008B2957" w:rsidP="0013526B">
      <w:pPr>
        <w:rPr>
          <w:sz w:val="18"/>
        </w:rPr>
      </w:pPr>
    </w:p>
    <w:p w14:paraId="78958514" w14:textId="77777777" w:rsidR="003C0B13" w:rsidRDefault="003C0B13" w:rsidP="0013526B">
      <w:pPr>
        <w:rPr>
          <w:sz w:val="18"/>
        </w:rPr>
      </w:pPr>
    </w:p>
    <w:p w14:paraId="1B1F4FB9" w14:textId="77777777" w:rsidR="003C0B13" w:rsidRDefault="003C0B13" w:rsidP="0013526B">
      <w:pPr>
        <w:rPr>
          <w:sz w:val="18"/>
        </w:rPr>
      </w:pPr>
    </w:p>
    <w:p w14:paraId="1B421EA3" w14:textId="77777777" w:rsidR="003C0B13" w:rsidRDefault="003C0B13" w:rsidP="0013526B">
      <w:pPr>
        <w:rPr>
          <w:sz w:val="18"/>
        </w:rPr>
      </w:pPr>
    </w:p>
    <w:p w14:paraId="529E100E" w14:textId="77777777" w:rsidR="003C0B13" w:rsidRPr="0013526B" w:rsidRDefault="003C0B13" w:rsidP="0013526B">
      <w:pPr>
        <w:rPr>
          <w:sz w:val="18"/>
        </w:rPr>
      </w:pPr>
    </w:p>
    <w:p w14:paraId="1A34C745" w14:textId="77777777" w:rsidR="004F6871" w:rsidRPr="0050709A" w:rsidRDefault="004F6871" w:rsidP="0013526B">
      <w:pPr>
        <w:rPr>
          <w:sz w:val="18"/>
          <w:lang w:val="id-ID"/>
        </w:rPr>
      </w:pPr>
    </w:p>
    <w:tbl>
      <w:tblPr>
        <w:tblW w:w="9197" w:type="dxa"/>
        <w:tblInd w:w="392" w:type="dxa"/>
        <w:tblLayout w:type="fixed"/>
        <w:tblLook w:val="0000" w:firstRow="0" w:lastRow="0" w:firstColumn="0" w:lastColumn="0" w:noHBand="0" w:noVBand="0"/>
      </w:tblPr>
      <w:tblGrid>
        <w:gridCol w:w="4599"/>
        <w:gridCol w:w="4598"/>
      </w:tblGrid>
      <w:tr w:rsidR="008B2957" w:rsidRPr="0011757A" w14:paraId="3ED5AFB2" w14:textId="77777777" w:rsidTr="0011757A">
        <w:trPr>
          <w:trHeight w:val="20"/>
        </w:trPr>
        <w:tc>
          <w:tcPr>
            <w:tcW w:w="4706" w:type="dxa"/>
            <w:tcBorders>
              <w:top w:val="nil"/>
              <w:left w:val="nil"/>
              <w:bottom w:val="nil"/>
              <w:right w:val="nil"/>
            </w:tcBorders>
          </w:tcPr>
          <w:p w14:paraId="75CD5311" w14:textId="77777777" w:rsidR="008B2957" w:rsidRPr="0001539D" w:rsidRDefault="008B2957" w:rsidP="00070D1F">
            <w:pPr>
              <w:numPr>
                <w:ilvl w:val="0"/>
                <w:numId w:val="138"/>
              </w:numPr>
              <w:ind w:left="284" w:right="-57" w:hanging="284"/>
              <w:jc w:val="both"/>
              <w:rPr>
                <w:b/>
                <w:sz w:val="18"/>
                <w:szCs w:val="18"/>
              </w:rPr>
            </w:pPr>
            <w:r w:rsidRPr="0001539D">
              <w:rPr>
                <w:b/>
                <w:sz w:val="18"/>
                <w:szCs w:val="18"/>
              </w:rPr>
              <w:lastRenderedPageBreak/>
              <w:t>IKHTISAR K</w:t>
            </w:r>
            <w:r w:rsidR="00C85EDE" w:rsidRPr="0001539D">
              <w:rPr>
                <w:b/>
                <w:sz w:val="18"/>
                <w:szCs w:val="18"/>
              </w:rPr>
              <w:t>EBIJAKAN AKUNTANSI YANG PENTING</w:t>
            </w:r>
            <w:r w:rsidR="00C85EDE" w:rsidRPr="0001539D">
              <w:rPr>
                <w:b/>
                <w:sz w:val="18"/>
                <w:szCs w:val="18"/>
                <w:lang w:val="id-ID"/>
              </w:rPr>
              <w:t xml:space="preserve"> </w:t>
            </w:r>
            <w:r w:rsidR="003151BF" w:rsidRPr="0001539D">
              <w:rPr>
                <w:b/>
                <w:sz w:val="18"/>
                <w:szCs w:val="18"/>
                <w:lang w:val="id-ID"/>
              </w:rPr>
              <w:t>-</w:t>
            </w:r>
            <w:r w:rsidRPr="0001539D">
              <w:rPr>
                <w:b/>
                <w:sz w:val="18"/>
                <w:szCs w:val="18"/>
              </w:rPr>
              <w:t xml:space="preserve"> Lanjutan</w:t>
            </w:r>
          </w:p>
        </w:tc>
        <w:tc>
          <w:tcPr>
            <w:tcW w:w="4706" w:type="dxa"/>
            <w:tcBorders>
              <w:top w:val="nil"/>
              <w:left w:val="nil"/>
              <w:bottom w:val="nil"/>
              <w:right w:val="nil"/>
            </w:tcBorders>
          </w:tcPr>
          <w:p w14:paraId="60F8AB6F" w14:textId="77777777" w:rsidR="008B2957" w:rsidRPr="0001539D" w:rsidRDefault="008B2957" w:rsidP="00070D1F">
            <w:pPr>
              <w:numPr>
                <w:ilvl w:val="0"/>
                <w:numId w:val="139"/>
              </w:numPr>
              <w:ind w:left="284" w:right="-57" w:hanging="284"/>
              <w:jc w:val="both"/>
              <w:rPr>
                <w:b/>
                <w:i/>
                <w:sz w:val="18"/>
                <w:szCs w:val="18"/>
              </w:rPr>
            </w:pPr>
            <w:r w:rsidRPr="0001539D">
              <w:rPr>
                <w:b/>
                <w:i/>
                <w:sz w:val="18"/>
                <w:szCs w:val="18"/>
              </w:rPr>
              <w:t xml:space="preserve">SUMMARY OF </w:t>
            </w:r>
            <w:r w:rsidR="00C85EDE" w:rsidRPr="0001539D">
              <w:rPr>
                <w:b/>
                <w:i/>
                <w:sz w:val="18"/>
                <w:szCs w:val="18"/>
              </w:rPr>
              <w:t>SIGNIFICANT ACCOUNTING POLICIES</w:t>
            </w:r>
            <w:r w:rsidR="00C85EDE" w:rsidRPr="0001539D">
              <w:rPr>
                <w:b/>
                <w:i/>
                <w:sz w:val="18"/>
                <w:szCs w:val="18"/>
                <w:lang w:val="id-ID"/>
              </w:rPr>
              <w:t xml:space="preserve"> </w:t>
            </w:r>
            <w:r w:rsidRPr="0001539D">
              <w:rPr>
                <w:b/>
                <w:i/>
                <w:sz w:val="18"/>
                <w:szCs w:val="18"/>
              </w:rPr>
              <w:t>- Continued</w:t>
            </w:r>
          </w:p>
        </w:tc>
      </w:tr>
      <w:tr w:rsidR="008B2957" w:rsidRPr="0011757A" w14:paraId="54DDEAFA" w14:textId="77777777" w:rsidTr="0011757A">
        <w:trPr>
          <w:trHeight w:val="20"/>
        </w:trPr>
        <w:tc>
          <w:tcPr>
            <w:tcW w:w="4706" w:type="dxa"/>
            <w:tcBorders>
              <w:top w:val="nil"/>
              <w:left w:val="nil"/>
              <w:bottom w:val="nil"/>
              <w:right w:val="nil"/>
            </w:tcBorders>
          </w:tcPr>
          <w:p w14:paraId="26C2087F" w14:textId="77777777" w:rsidR="008B2957" w:rsidRPr="0001539D" w:rsidRDefault="008B2957" w:rsidP="0013526B">
            <w:pPr>
              <w:ind w:left="357" w:right="-57"/>
              <w:jc w:val="both"/>
              <w:rPr>
                <w:sz w:val="18"/>
                <w:szCs w:val="18"/>
              </w:rPr>
            </w:pPr>
          </w:p>
        </w:tc>
        <w:tc>
          <w:tcPr>
            <w:tcW w:w="4706" w:type="dxa"/>
            <w:tcBorders>
              <w:top w:val="nil"/>
              <w:left w:val="nil"/>
              <w:bottom w:val="nil"/>
              <w:right w:val="nil"/>
            </w:tcBorders>
          </w:tcPr>
          <w:p w14:paraId="7CCCB8E4" w14:textId="77777777" w:rsidR="008B2957" w:rsidRPr="0001539D" w:rsidRDefault="008B2957" w:rsidP="0013526B">
            <w:pPr>
              <w:ind w:left="357" w:right="-57"/>
              <w:jc w:val="both"/>
              <w:rPr>
                <w:i/>
                <w:sz w:val="18"/>
                <w:szCs w:val="18"/>
              </w:rPr>
            </w:pPr>
          </w:p>
        </w:tc>
      </w:tr>
      <w:tr w:rsidR="008B2957" w:rsidRPr="0011757A" w14:paraId="0A55CD74" w14:textId="77777777" w:rsidTr="0011757A">
        <w:trPr>
          <w:trHeight w:val="20"/>
        </w:trPr>
        <w:tc>
          <w:tcPr>
            <w:tcW w:w="4706" w:type="dxa"/>
            <w:tcBorders>
              <w:top w:val="nil"/>
              <w:left w:val="nil"/>
              <w:bottom w:val="nil"/>
              <w:right w:val="nil"/>
            </w:tcBorders>
          </w:tcPr>
          <w:p w14:paraId="608C653D" w14:textId="77777777" w:rsidR="008B2957" w:rsidRPr="0001539D" w:rsidRDefault="008B2957" w:rsidP="00070D1F">
            <w:pPr>
              <w:pStyle w:val="ListParagraph"/>
              <w:numPr>
                <w:ilvl w:val="0"/>
                <w:numId w:val="176"/>
              </w:numPr>
              <w:ind w:left="568" w:right="-57" w:hanging="284"/>
              <w:contextualSpacing/>
              <w:jc w:val="both"/>
              <w:rPr>
                <w:b/>
                <w:sz w:val="18"/>
                <w:szCs w:val="18"/>
              </w:rPr>
            </w:pPr>
            <w:r w:rsidRPr="0001539D">
              <w:rPr>
                <w:b/>
                <w:sz w:val="18"/>
                <w:szCs w:val="18"/>
              </w:rPr>
              <w:t>Instrumen Keuangan - Lanjutan</w:t>
            </w:r>
          </w:p>
        </w:tc>
        <w:tc>
          <w:tcPr>
            <w:tcW w:w="4706" w:type="dxa"/>
            <w:tcBorders>
              <w:top w:val="nil"/>
              <w:left w:val="nil"/>
              <w:bottom w:val="nil"/>
              <w:right w:val="nil"/>
            </w:tcBorders>
          </w:tcPr>
          <w:p w14:paraId="0514CEFF" w14:textId="77777777" w:rsidR="008B2957" w:rsidRPr="0001539D" w:rsidRDefault="008B2957" w:rsidP="00070D1F">
            <w:pPr>
              <w:pStyle w:val="ListParagraph"/>
              <w:numPr>
                <w:ilvl w:val="0"/>
                <w:numId w:val="177"/>
              </w:numPr>
              <w:tabs>
                <w:tab w:val="left" w:pos="641"/>
                <w:tab w:val="left" w:pos="5590"/>
                <w:tab w:val="right" w:pos="7620"/>
                <w:tab w:val="right" w:pos="9460"/>
                <w:tab w:val="right" w:pos="10080"/>
              </w:tabs>
              <w:ind w:left="568" w:right="-57" w:hanging="284"/>
              <w:contextualSpacing/>
              <w:jc w:val="both"/>
              <w:rPr>
                <w:b/>
                <w:i/>
                <w:sz w:val="18"/>
                <w:szCs w:val="18"/>
              </w:rPr>
            </w:pPr>
            <w:r w:rsidRPr="0001539D">
              <w:rPr>
                <w:b/>
                <w:i/>
                <w:sz w:val="18"/>
                <w:szCs w:val="18"/>
              </w:rPr>
              <w:t>Financial Instruments - Continued</w:t>
            </w:r>
          </w:p>
        </w:tc>
      </w:tr>
      <w:tr w:rsidR="008B2957" w:rsidRPr="0011757A" w14:paraId="06E76843" w14:textId="77777777" w:rsidTr="0011757A">
        <w:trPr>
          <w:trHeight w:val="20"/>
        </w:trPr>
        <w:tc>
          <w:tcPr>
            <w:tcW w:w="4706" w:type="dxa"/>
            <w:tcBorders>
              <w:top w:val="nil"/>
              <w:left w:val="nil"/>
              <w:bottom w:val="nil"/>
              <w:right w:val="nil"/>
            </w:tcBorders>
          </w:tcPr>
          <w:p w14:paraId="18B79331" w14:textId="77777777" w:rsidR="008B2957" w:rsidRPr="0001539D" w:rsidRDefault="008B2957" w:rsidP="0013526B">
            <w:pPr>
              <w:ind w:left="1208" w:right="-57"/>
              <w:jc w:val="both"/>
              <w:rPr>
                <w:sz w:val="18"/>
                <w:szCs w:val="18"/>
              </w:rPr>
            </w:pPr>
          </w:p>
        </w:tc>
        <w:tc>
          <w:tcPr>
            <w:tcW w:w="4706" w:type="dxa"/>
            <w:tcBorders>
              <w:top w:val="nil"/>
              <w:left w:val="nil"/>
              <w:bottom w:val="nil"/>
              <w:right w:val="nil"/>
            </w:tcBorders>
          </w:tcPr>
          <w:p w14:paraId="55966D2E" w14:textId="77777777" w:rsidR="008B2957" w:rsidRPr="0001539D" w:rsidRDefault="008B2957" w:rsidP="0013526B">
            <w:pPr>
              <w:pStyle w:val="ListParagraph"/>
              <w:ind w:left="1208" w:right="-57"/>
              <w:jc w:val="both"/>
              <w:rPr>
                <w:i/>
                <w:sz w:val="18"/>
                <w:szCs w:val="18"/>
              </w:rPr>
            </w:pPr>
          </w:p>
        </w:tc>
      </w:tr>
      <w:tr w:rsidR="008B2957" w:rsidRPr="0011757A" w14:paraId="59C8F692" w14:textId="77777777" w:rsidTr="0011757A">
        <w:trPr>
          <w:trHeight w:val="20"/>
        </w:trPr>
        <w:tc>
          <w:tcPr>
            <w:tcW w:w="4706" w:type="dxa"/>
            <w:tcBorders>
              <w:top w:val="nil"/>
              <w:left w:val="nil"/>
              <w:bottom w:val="nil"/>
              <w:right w:val="nil"/>
            </w:tcBorders>
          </w:tcPr>
          <w:p w14:paraId="7697910D" w14:textId="77777777" w:rsidR="008B2957" w:rsidRPr="0001539D" w:rsidRDefault="008B2957" w:rsidP="00070D1F">
            <w:pPr>
              <w:pStyle w:val="Default"/>
              <w:numPr>
                <w:ilvl w:val="0"/>
                <w:numId w:val="140"/>
              </w:numPr>
              <w:ind w:left="851" w:right="-57" w:hanging="284"/>
              <w:jc w:val="both"/>
              <w:rPr>
                <w:rFonts w:ascii="Times New Roman" w:hAnsi="Times New Roman" w:cs="Times New Roman"/>
                <w:b/>
                <w:bCs/>
                <w:sz w:val="18"/>
                <w:szCs w:val="18"/>
              </w:rPr>
            </w:pPr>
            <w:r w:rsidRPr="0001539D">
              <w:rPr>
                <w:rFonts w:ascii="Times New Roman" w:hAnsi="Times New Roman" w:cs="Times New Roman"/>
                <w:b/>
                <w:sz w:val="18"/>
                <w:szCs w:val="18"/>
              </w:rPr>
              <w:t>Penurunan Nilai Aset Keuangan - Lanjutan</w:t>
            </w:r>
          </w:p>
        </w:tc>
        <w:tc>
          <w:tcPr>
            <w:tcW w:w="4706" w:type="dxa"/>
            <w:tcBorders>
              <w:top w:val="nil"/>
              <w:left w:val="nil"/>
              <w:bottom w:val="nil"/>
              <w:right w:val="nil"/>
            </w:tcBorders>
          </w:tcPr>
          <w:p w14:paraId="2FA4A133" w14:textId="77777777" w:rsidR="008B2957" w:rsidRPr="0001539D" w:rsidRDefault="008B2957" w:rsidP="00070D1F">
            <w:pPr>
              <w:pStyle w:val="ListParagraph"/>
              <w:numPr>
                <w:ilvl w:val="0"/>
                <w:numId w:val="141"/>
              </w:numPr>
              <w:ind w:left="851" w:right="-57" w:hanging="284"/>
              <w:jc w:val="both"/>
              <w:rPr>
                <w:b/>
                <w:bCs w:val="0"/>
                <w:i/>
                <w:sz w:val="18"/>
                <w:szCs w:val="18"/>
              </w:rPr>
            </w:pPr>
            <w:r w:rsidRPr="0001539D">
              <w:rPr>
                <w:b/>
                <w:i/>
                <w:sz w:val="18"/>
                <w:szCs w:val="18"/>
              </w:rPr>
              <w:t>Impairment of Financial Assets - Continued</w:t>
            </w:r>
          </w:p>
        </w:tc>
      </w:tr>
      <w:tr w:rsidR="008B2957" w:rsidRPr="0011757A" w14:paraId="5EE18775" w14:textId="77777777" w:rsidTr="0011757A">
        <w:trPr>
          <w:trHeight w:val="20"/>
        </w:trPr>
        <w:tc>
          <w:tcPr>
            <w:tcW w:w="4706" w:type="dxa"/>
            <w:tcBorders>
              <w:top w:val="nil"/>
              <w:left w:val="nil"/>
              <w:bottom w:val="nil"/>
              <w:right w:val="nil"/>
            </w:tcBorders>
          </w:tcPr>
          <w:p w14:paraId="0DA81F1A" w14:textId="77777777" w:rsidR="008B2957" w:rsidRPr="0001539D" w:rsidRDefault="008B2957" w:rsidP="0013526B">
            <w:pPr>
              <w:ind w:left="1208" w:right="-57"/>
              <w:jc w:val="both"/>
              <w:rPr>
                <w:sz w:val="18"/>
                <w:szCs w:val="18"/>
              </w:rPr>
            </w:pPr>
          </w:p>
        </w:tc>
        <w:tc>
          <w:tcPr>
            <w:tcW w:w="4706" w:type="dxa"/>
            <w:tcBorders>
              <w:top w:val="nil"/>
              <w:left w:val="nil"/>
              <w:bottom w:val="nil"/>
              <w:right w:val="nil"/>
            </w:tcBorders>
          </w:tcPr>
          <w:p w14:paraId="05BDD6AE" w14:textId="77777777" w:rsidR="008B2957" w:rsidRPr="0001539D" w:rsidRDefault="008B2957" w:rsidP="0013526B">
            <w:pPr>
              <w:pStyle w:val="ListParagraph"/>
              <w:ind w:left="1208" w:right="-57"/>
              <w:jc w:val="both"/>
              <w:rPr>
                <w:i/>
                <w:sz w:val="18"/>
                <w:szCs w:val="18"/>
              </w:rPr>
            </w:pPr>
          </w:p>
        </w:tc>
      </w:tr>
      <w:tr w:rsidR="008B2957" w:rsidRPr="0011757A" w14:paraId="7755EA89" w14:textId="77777777" w:rsidTr="0011757A">
        <w:trPr>
          <w:trHeight w:val="20"/>
        </w:trPr>
        <w:tc>
          <w:tcPr>
            <w:tcW w:w="4706" w:type="dxa"/>
            <w:tcBorders>
              <w:top w:val="nil"/>
              <w:left w:val="nil"/>
              <w:bottom w:val="nil"/>
              <w:right w:val="nil"/>
            </w:tcBorders>
          </w:tcPr>
          <w:p w14:paraId="0D1680D4" w14:textId="77777777" w:rsidR="008B2957" w:rsidRPr="0001539D" w:rsidRDefault="008B2957" w:rsidP="00070D1F">
            <w:pPr>
              <w:numPr>
                <w:ilvl w:val="0"/>
                <w:numId w:val="122"/>
              </w:numPr>
              <w:ind w:left="1135" w:right="-57" w:hanging="284"/>
              <w:jc w:val="both"/>
              <w:rPr>
                <w:bCs w:val="0"/>
                <w:sz w:val="18"/>
                <w:szCs w:val="18"/>
              </w:rPr>
            </w:pPr>
            <w:r w:rsidRPr="0001539D">
              <w:rPr>
                <w:sz w:val="18"/>
                <w:szCs w:val="18"/>
              </w:rPr>
              <w:t>Aset Keuangan Dicatat pada Biaya Perolehan Diamortisasi</w:t>
            </w:r>
            <w:r w:rsidR="00650ED9" w:rsidRPr="0001539D">
              <w:rPr>
                <w:sz w:val="18"/>
                <w:szCs w:val="18"/>
              </w:rPr>
              <w:t xml:space="preserve"> </w:t>
            </w:r>
            <w:r w:rsidRPr="0001539D">
              <w:rPr>
                <w:sz w:val="18"/>
                <w:szCs w:val="18"/>
              </w:rPr>
              <w:t>- Lanjutan</w:t>
            </w:r>
          </w:p>
        </w:tc>
        <w:tc>
          <w:tcPr>
            <w:tcW w:w="4706" w:type="dxa"/>
            <w:tcBorders>
              <w:top w:val="nil"/>
              <w:left w:val="nil"/>
              <w:bottom w:val="nil"/>
              <w:right w:val="nil"/>
            </w:tcBorders>
          </w:tcPr>
          <w:p w14:paraId="3358F904" w14:textId="77777777" w:rsidR="008B2957" w:rsidRPr="0001539D" w:rsidRDefault="008B2957" w:rsidP="00070D1F">
            <w:pPr>
              <w:pStyle w:val="ListParagraph"/>
              <w:numPr>
                <w:ilvl w:val="0"/>
                <w:numId w:val="123"/>
              </w:numPr>
              <w:ind w:left="1135" w:right="-57" w:hanging="284"/>
              <w:jc w:val="both"/>
              <w:rPr>
                <w:bCs w:val="0"/>
                <w:i/>
                <w:sz w:val="18"/>
                <w:szCs w:val="18"/>
              </w:rPr>
            </w:pPr>
            <w:r w:rsidRPr="0001539D">
              <w:rPr>
                <w:i/>
                <w:sz w:val="18"/>
                <w:szCs w:val="18"/>
              </w:rPr>
              <w:t>Financial Assets Measured at Amortized Cost - Continued</w:t>
            </w:r>
          </w:p>
        </w:tc>
      </w:tr>
      <w:tr w:rsidR="008B2957" w:rsidRPr="0011757A" w14:paraId="2517C326" w14:textId="77777777" w:rsidTr="0011757A">
        <w:trPr>
          <w:trHeight w:val="20"/>
        </w:trPr>
        <w:tc>
          <w:tcPr>
            <w:tcW w:w="4706" w:type="dxa"/>
            <w:tcBorders>
              <w:top w:val="nil"/>
              <w:left w:val="nil"/>
              <w:bottom w:val="nil"/>
              <w:right w:val="nil"/>
            </w:tcBorders>
          </w:tcPr>
          <w:p w14:paraId="3613930A" w14:textId="77777777" w:rsidR="008B2957" w:rsidRPr="0001539D" w:rsidRDefault="008B2957" w:rsidP="0013526B">
            <w:pPr>
              <w:ind w:left="1208" w:right="-57"/>
              <w:jc w:val="both"/>
              <w:rPr>
                <w:sz w:val="18"/>
                <w:szCs w:val="18"/>
              </w:rPr>
            </w:pPr>
          </w:p>
        </w:tc>
        <w:tc>
          <w:tcPr>
            <w:tcW w:w="4706" w:type="dxa"/>
            <w:tcBorders>
              <w:top w:val="nil"/>
              <w:left w:val="nil"/>
              <w:bottom w:val="nil"/>
              <w:right w:val="nil"/>
            </w:tcBorders>
          </w:tcPr>
          <w:p w14:paraId="27FCB77B" w14:textId="77777777" w:rsidR="008B2957" w:rsidRPr="0001539D" w:rsidRDefault="008B2957" w:rsidP="0013526B">
            <w:pPr>
              <w:pStyle w:val="ListParagraph"/>
              <w:ind w:left="1208" w:right="-57"/>
              <w:jc w:val="both"/>
              <w:rPr>
                <w:i/>
                <w:sz w:val="18"/>
                <w:szCs w:val="18"/>
              </w:rPr>
            </w:pPr>
          </w:p>
        </w:tc>
      </w:tr>
      <w:tr w:rsidR="008B2957" w:rsidRPr="0011757A" w14:paraId="7F592C33" w14:textId="77777777" w:rsidTr="0011757A">
        <w:trPr>
          <w:trHeight w:val="20"/>
        </w:trPr>
        <w:tc>
          <w:tcPr>
            <w:tcW w:w="4706" w:type="dxa"/>
            <w:tcBorders>
              <w:top w:val="nil"/>
              <w:left w:val="nil"/>
              <w:bottom w:val="nil"/>
              <w:right w:val="nil"/>
            </w:tcBorders>
          </w:tcPr>
          <w:p w14:paraId="1BA65E00" w14:textId="7000415B" w:rsidR="008B2957" w:rsidRPr="0001539D" w:rsidRDefault="008B2957" w:rsidP="00FF0724">
            <w:pPr>
              <w:ind w:left="1134" w:right="-57"/>
              <w:jc w:val="both"/>
              <w:rPr>
                <w:bCs w:val="0"/>
                <w:sz w:val="18"/>
                <w:szCs w:val="18"/>
              </w:rPr>
            </w:pPr>
            <w:r w:rsidRPr="0001539D">
              <w:rPr>
                <w:sz w:val="18"/>
                <w:szCs w:val="18"/>
              </w:rPr>
              <w:t>Jika</w:t>
            </w:r>
            <w:r w:rsidR="00FF0724">
              <w:rPr>
                <w:sz w:val="18"/>
                <w:szCs w:val="18"/>
              </w:rPr>
              <w:t>,</w:t>
            </w:r>
            <w:r w:rsidRPr="0001539D">
              <w:rPr>
                <w:sz w:val="18"/>
                <w:szCs w:val="18"/>
              </w:rPr>
              <w:t xml:space="preserve"> pada periode berikutnya</w:t>
            </w:r>
            <w:r w:rsidR="00870FD0">
              <w:rPr>
                <w:sz w:val="18"/>
                <w:szCs w:val="18"/>
              </w:rPr>
              <w:t>.</w:t>
            </w:r>
            <w:r w:rsidRPr="0001539D">
              <w:rPr>
                <w:sz w:val="18"/>
                <w:szCs w:val="18"/>
              </w:rPr>
              <w:t xml:space="preserve"> </w:t>
            </w:r>
            <w:proofErr w:type="gramStart"/>
            <w:r w:rsidRPr="0001539D">
              <w:rPr>
                <w:sz w:val="18"/>
                <w:szCs w:val="18"/>
              </w:rPr>
              <w:t>nilai</w:t>
            </w:r>
            <w:proofErr w:type="gramEnd"/>
            <w:r w:rsidRPr="0001539D">
              <w:rPr>
                <w:sz w:val="18"/>
                <w:szCs w:val="18"/>
              </w:rPr>
              <w:t xml:space="preserve"> estimasi kerugian penurunan nilai aset keuangan bertambah atau berkurang karena suatu peristiwa yang terjadi setelah penurunan nilai tersebut diakui</w:t>
            </w:r>
            <w:r w:rsidR="00FF0724">
              <w:rPr>
                <w:sz w:val="18"/>
                <w:szCs w:val="18"/>
              </w:rPr>
              <w:t>,</w:t>
            </w:r>
            <w:r w:rsidRPr="0001539D">
              <w:rPr>
                <w:sz w:val="18"/>
                <w:szCs w:val="18"/>
              </w:rPr>
              <w:t xml:space="preserve"> maka kerugian penurunan nilai yang sebelumnya diakui ditambah atau dikurangi dengan menyesuaikan akun penyisihan. Jika dimasa mendatang penghapusan tersebut dapat dipulihkan</w:t>
            </w:r>
            <w:r w:rsidR="00870FD0">
              <w:rPr>
                <w:sz w:val="18"/>
                <w:szCs w:val="18"/>
              </w:rPr>
              <w:t>.</w:t>
            </w:r>
            <w:r w:rsidRPr="0001539D">
              <w:rPr>
                <w:sz w:val="18"/>
                <w:szCs w:val="18"/>
              </w:rPr>
              <w:t xml:space="preserve"> </w:t>
            </w:r>
            <w:proofErr w:type="gramStart"/>
            <w:r w:rsidRPr="0001539D">
              <w:rPr>
                <w:sz w:val="18"/>
                <w:szCs w:val="18"/>
              </w:rPr>
              <w:t>maka</w:t>
            </w:r>
            <w:proofErr w:type="gramEnd"/>
            <w:r w:rsidRPr="0001539D">
              <w:rPr>
                <w:sz w:val="18"/>
                <w:szCs w:val="18"/>
              </w:rPr>
              <w:t xml:space="preserve"> jumlah pemulihan tersebut diakui pada laporan laba rugi dan penghasilan komprehensif lain</w:t>
            </w:r>
            <w:r w:rsidR="007E5740" w:rsidRPr="0001539D">
              <w:rPr>
                <w:sz w:val="18"/>
                <w:szCs w:val="18"/>
                <w:lang w:val="id-ID"/>
              </w:rPr>
              <w:t xml:space="preserve"> konsolidasian</w:t>
            </w:r>
            <w:r w:rsidRPr="0001539D">
              <w:rPr>
                <w:sz w:val="18"/>
                <w:szCs w:val="18"/>
              </w:rPr>
              <w:t>.</w:t>
            </w:r>
          </w:p>
        </w:tc>
        <w:tc>
          <w:tcPr>
            <w:tcW w:w="4706" w:type="dxa"/>
            <w:tcBorders>
              <w:top w:val="nil"/>
              <w:left w:val="nil"/>
              <w:bottom w:val="nil"/>
              <w:right w:val="nil"/>
            </w:tcBorders>
          </w:tcPr>
          <w:p w14:paraId="5870EDA1" w14:textId="4046E7B7" w:rsidR="008B2957" w:rsidRPr="0001539D" w:rsidRDefault="008B2957" w:rsidP="00FF0724">
            <w:pPr>
              <w:pStyle w:val="ListParagraph"/>
              <w:ind w:left="1134" w:right="-57"/>
              <w:jc w:val="both"/>
              <w:rPr>
                <w:bCs w:val="0"/>
                <w:i/>
                <w:sz w:val="18"/>
                <w:szCs w:val="18"/>
              </w:rPr>
            </w:pPr>
            <w:r w:rsidRPr="0001539D">
              <w:rPr>
                <w:i/>
                <w:sz w:val="18"/>
                <w:szCs w:val="18"/>
              </w:rPr>
              <w:t>If</w:t>
            </w:r>
            <w:r w:rsidR="00FF0724">
              <w:rPr>
                <w:i/>
                <w:sz w:val="18"/>
                <w:szCs w:val="18"/>
              </w:rPr>
              <w:t>,</w:t>
            </w:r>
            <w:r w:rsidRPr="0001539D">
              <w:rPr>
                <w:i/>
                <w:sz w:val="18"/>
                <w:szCs w:val="18"/>
              </w:rPr>
              <w:t xml:space="preserve"> in a subsequent period</w:t>
            </w:r>
            <w:r w:rsidR="00870FD0">
              <w:rPr>
                <w:i/>
                <w:sz w:val="18"/>
                <w:szCs w:val="18"/>
              </w:rPr>
              <w:t>.</w:t>
            </w:r>
            <w:r w:rsidRPr="0001539D">
              <w:rPr>
                <w:i/>
                <w:sz w:val="18"/>
                <w:szCs w:val="18"/>
              </w:rPr>
              <w:t xml:space="preserve"> </w:t>
            </w:r>
            <w:proofErr w:type="gramStart"/>
            <w:r w:rsidRPr="0001539D">
              <w:rPr>
                <w:i/>
                <w:sz w:val="18"/>
                <w:szCs w:val="18"/>
              </w:rPr>
              <w:t>the</w:t>
            </w:r>
            <w:proofErr w:type="gramEnd"/>
            <w:r w:rsidRPr="0001539D">
              <w:rPr>
                <w:i/>
                <w:sz w:val="18"/>
                <w:szCs w:val="18"/>
              </w:rPr>
              <w:t xml:space="preserve"> estimated value of the financial asset impairment loss increases or decreases because of an event occurring after the impairment was recognized</w:t>
            </w:r>
            <w:r w:rsidR="00FF0724">
              <w:rPr>
                <w:i/>
                <w:sz w:val="18"/>
                <w:szCs w:val="18"/>
              </w:rPr>
              <w:t>,</w:t>
            </w:r>
            <w:r w:rsidRPr="0001539D">
              <w:rPr>
                <w:i/>
                <w:sz w:val="18"/>
                <w:szCs w:val="18"/>
              </w:rPr>
              <w:t xml:space="preserve"> the impairment loss previously recognized increased or reduced by adjusting the allowance account. If future removal can be recovered</w:t>
            </w:r>
            <w:r w:rsidR="00FF0724">
              <w:rPr>
                <w:i/>
                <w:sz w:val="18"/>
                <w:szCs w:val="18"/>
              </w:rPr>
              <w:t>,</w:t>
            </w:r>
            <w:r w:rsidRPr="0001539D">
              <w:rPr>
                <w:i/>
                <w:sz w:val="18"/>
                <w:szCs w:val="18"/>
              </w:rPr>
              <w:t xml:space="preserve"> the recovery amount is recognized in the </w:t>
            </w:r>
            <w:r w:rsidR="007E5740" w:rsidRPr="0001539D">
              <w:rPr>
                <w:i/>
                <w:sz w:val="18"/>
                <w:szCs w:val="18"/>
                <w:lang w:val="id-ID"/>
              </w:rPr>
              <w:t xml:space="preserve">consolidated </w:t>
            </w:r>
            <w:r w:rsidRPr="0001539D">
              <w:rPr>
                <w:i/>
                <w:sz w:val="18"/>
                <w:szCs w:val="18"/>
              </w:rPr>
              <w:t>statement of profit or loss and other comprehensive income.</w:t>
            </w:r>
          </w:p>
        </w:tc>
      </w:tr>
      <w:tr w:rsidR="008B2957" w:rsidRPr="0011757A" w14:paraId="0F3DFF4E" w14:textId="77777777" w:rsidTr="0011757A">
        <w:trPr>
          <w:trHeight w:val="20"/>
        </w:trPr>
        <w:tc>
          <w:tcPr>
            <w:tcW w:w="4706" w:type="dxa"/>
            <w:tcBorders>
              <w:top w:val="nil"/>
              <w:left w:val="nil"/>
              <w:bottom w:val="nil"/>
              <w:right w:val="nil"/>
            </w:tcBorders>
          </w:tcPr>
          <w:p w14:paraId="1B01A441" w14:textId="77777777" w:rsidR="008B2957" w:rsidRPr="0011757A" w:rsidRDefault="008B2957" w:rsidP="0013526B">
            <w:pPr>
              <w:ind w:left="522" w:right="-57"/>
              <w:jc w:val="both"/>
              <w:rPr>
                <w:bCs w:val="0"/>
                <w:sz w:val="18"/>
                <w:szCs w:val="18"/>
                <w:highlight w:val="cyan"/>
              </w:rPr>
            </w:pPr>
          </w:p>
        </w:tc>
        <w:tc>
          <w:tcPr>
            <w:tcW w:w="4706" w:type="dxa"/>
            <w:tcBorders>
              <w:top w:val="nil"/>
              <w:left w:val="nil"/>
              <w:bottom w:val="nil"/>
              <w:right w:val="nil"/>
            </w:tcBorders>
          </w:tcPr>
          <w:p w14:paraId="290711AE" w14:textId="77777777" w:rsidR="008B2957" w:rsidRPr="0011757A" w:rsidRDefault="008B2957" w:rsidP="0013526B">
            <w:pPr>
              <w:tabs>
                <w:tab w:val="left" w:pos="5590"/>
                <w:tab w:val="right" w:pos="7620"/>
                <w:tab w:val="right" w:pos="9460"/>
                <w:tab w:val="right" w:pos="10080"/>
              </w:tabs>
              <w:ind w:left="651" w:right="-57"/>
              <w:jc w:val="both"/>
              <w:rPr>
                <w:bCs w:val="0"/>
                <w:i/>
                <w:sz w:val="18"/>
                <w:szCs w:val="18"/>
                <w:highlight w:val="cyan"/>
              </w:rPr>
            </w:pPr>
          </w:p>
        </w:tc>
      </w:tr>
      <w:tr w:rsidR="008B2957" w:rsidRPr="0011757A" w14:paraId="22090D78" w14:textId="77777777" w:rsidTr="0011757A">
        <w:trPr>
          <w:trHeight w:val="20"/>
        </w:trPr>
        <w:tc>
          <w:tcPr>
            <w:tcW w:w="4706" w:type="dxa"/>
            <w:tcBorders>
              <w:top w:val="nil"/>
              <w:left w:val="nil"/>
              <w:bottom w:val="nil"/>
              <w:right w:val="nil"/>
            </w:tcBorders>
          </w:tcPr>
          <w:p w14:paraId="58780490" w14:textId="77777777" w:rsidR="008B2957" w:rsidRPr="0001539D" w:rsidRDefault="008B2957" w:rsidP="00070D1F">
            <w:pPr>
              <w:numPr>
                <w:ilvl w:val="0"/>
                <w:numId w:val="122"/>
              </w:numPr>
              <w:ind w:left="1135" w:right="-57" w:hanging="284"/>
              <w:jc w:val="both"/>
              <w:rPr>
                <w:bCs w:val="0"/>
                <w:sz w:val="18"/>
                <w:szCs w:val="18"/>
              </w:rPr>
            </w:pPr>
            <w:r w:rsidRPr="0001539D">
              <w:rPr>
                <w:sz w:val="18"/>
                <w:szCs w:val="18"/>
              </w:rPr>
              <w:t>Aset Keuangan yang Tersedia Untuk Dijual</w:t>
            </w:r>
          </w:p>
        </w:tc>
        <w:tc>
          <w:tcPr>
            <w:tcW w:w="4706" w:type="dxa"/>
            <w:tcBorders>
              <w:top w:val="nil"/>
              <w:left w:val="nil"/>
              <w:bottom w:val="nil"/>
              <w:right w:val="nil"/>
            </w:tcBorders>
          </w:tcPr>
          <w:p w14:paraId="0F53EF1E" w14:textId="77777777" w:rsidR="008B2957" w:rsidRPr="0001539D" w:rsidRDefault="008B2957" w:rsidP="00070D1F">
            <w:pPr>
              <w:pStyle w:val="ListParagraph"/>
              <w:numPr>
                <w:ilvl w:val="0"/>
                <w:numId w:val="123"/>
              </w:numPr>
              <w:ind w:left="1135" w:right="-57" w:hanging="284"/>
              <w:jc w:val="both"/>
              <w:rPr>
                <w:bCs w:val="0"/>
                <w:i/>
                <w:sz w:val="18"/>
                <w:szCs w:val="18"/>
              </w:rPr>
            </w:pPr>
            <w:r w:rsidRPr="0001539D">
              <w:rPr>
                <w:i/>
                <w:sz w:val="18"/>
                <w:szCs w:val="18"/>
              </w:rPr>
              <w:t>Available-for-Sales (AFS) Financial Assets</w:t>
            </w:r>
          </w:p>
        </w:tc>
      </w:tr>
      <w:tr w:rsidR="008B2957" w:rsidRPr="0011757A" w14:paraId="5EDF2C5F" w14:textId="77777777" w:rsidTr="0011757A">
        <w:trPr>
          <w:trHeight w:val="20"/>
        </w:trPr>
        <w:tc>
          <w:tcPr>
            <w:tcW w:w="4706" w:type="dxa"/>
            <w:tcBorders>
              <w:top w:val="nil"/>
              <w:left w:val="nil"/>
              <w:bottom w:val="nil"/>
              <w:right w:val="nil"/>
            </w:tcBorders>
          </w:tcPr>
          <w:p w14:paraId="50567794" w14:textId="77777777" w:rsidR="008B2957" w:rsidRPr="0001539D" w:rsidRDefault="008B2957" w:rsidP="0013526B">
            <w:pPr>
              <w:ind w:left="522" w:right="-57"/>
              <w:jc w:val="both"/>
              <w:rPr>
                <w:bCs w:val="0"/>
                <w:sz w:val="18"/>
                <w:szCs w:val="18"/>
              </w:rPr>
            </w:pPr>
          </w:p>
        </w:tc>
        <w:tc>
          <w:tcPr>
            <w:tcW w:w="4706" w:type="dxa"/>
            <w:tcBorders>
              <w:top w:val="nil"/>
              <w:left w:val="nil"/>
              <w:bottom w:val="nil"/>
              <w:right w:val="nil"/>
            </w:tcBorders>
          </w:tcPr>
          <w:p w14:paraId="20365171"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0AB39F4E" w14:textId="77777777" w:rsidTr="0011757A">
        <w:trPr>
          <w:trHeight w:val="20"/>
        </w:trPr>
        <w:tc>
          <w:tcPr>
            <w:tcW w:w="4706" w:type="dxa"/>
            <w:tcBorders>
              <w:top w:val="nil"/>
              <w:left w:val="nil"/>
              <w:bottom w:val="nil"/>
              <w:right w:val="nil"/>
            </w:tcBorders>
          </w:tcPr>
          <w:p w14:paraId="32B62DED" w14:textId="33D33CBE" w:rsidR="008B2957" w:rsidRPr="0001539D" w:rsidRDefault="008B2957" w:rsidP="00C25313">
            <w:pPr>
              <w:ind w:left="1134" w:right="-57"/>
              <w:jc w:val="both"/>
              <w:rPr>
                <w:bCs w:val="0"/>
                <w:sz w:val="18"/>
                <w:szCs w:val="18"/>
              </w:rPr>
            </w:pPr>
            <w:r w:rsidRPr="0001539D">
              <w:rPr>
                <w:sz w:val="18"/>
                <w:szCs w:val="18"/>
              </w:rPr>
              <w:t>Dalam hal ini instrumen ekuitas yang diklasifikasikan sebagai aset keuangan yang tersedia untuk dijual (AFS)</w:t>
            </w:r>
            <w:r w:rsidR="00C25313">
              <w:rPr>
                <w:sz w:val="18"/>
                <w:szCs w:val="18"/>
              </w:rPr>
              <w:t>,</w:t>
            </w:r>
            <w:r w:rsidRPr="0001539D">
              <w:rPr>
                <w:sz w:val="18"/>
                <w:szCs w:val="18"/>
              </w:rPr>
              <w:t xml:space="preserve"> bukti obyektif terjadinya penurunan nilai</w:t>
            </w:r>
            <w:r w:rsidR="00C25313">
              <w:rPr>
                <w:sz w:val="18"/>
                <w:szCs w:val="18"/>
              </w:rPr>
              <w:t>,</w:t>
            </w:r>
            <w:r w:rsidRPr="0001539D">
              <w:rPr>
                <w:sz w:val="18"/>
                <w:szCs w:val="18"/>
              </w:rPr>
              <w:t xml:space="preserve"> termasuk penurunan yang signifikan atau penurunan jangka panjang pada nilai wajar dari investasi di bawah biaya perolehannya.</w:t>
            </w:r>
          </w:p>
        </w:tc>
        <w:tc>
          <w:tcPr>
            <w:tcW w:w="4706" w:type="dxa"/>
            <w:tcBorders>
              <w:top w:val="nil"/>
              <w:left w:val="nil"/>
              <w:bottom w:val="nil"/>
              <w:right w:val="nil"/>
            </w:tcBorders>
          </w:tcPr>
          <w:p w14:paraId="120CA8C7" w14:textId="7BBF674A" w:rsidR="008B2957" w:rsidRPr="0001539D" w:rsidRDefault="008B2957" w:rsidP="00C25313">
            <w:pPr>
              <w:pStyle w:val="ListParagraph"/>
              <w:ind w:left="1134" w:right="-57"/>
              <w:jc w:val="both"/>
              <w:rPr>
                <w:bCs w:val="0"/>
                <w:i/>
                <w:sz w:val="18"/>
                <w:szCs w:val="18"/>
              </w:rPr>
            </w:pPr>
            <w:r w:rsidRPr="0001539D">
              <w:rPr>
                <w:i/>
                <w:sz w:val="18"/>
                <w:szCs w:val="18"/>
              </w:rPr>
              <w:t>In this case the equity instruments are classified as AFS financial assets</w:t>
            </w:r>
            <w:r w:rsidR="00C25313">
              <w:rPr>
                <w:i/>
                <w:sz w:val="18"/>
                <w:szCs w:val="18"/>
              </w:rPr>
              <w:t>,</w:t>
            </w:r>
            <w:r w:rsidRPr="0001539D">
              <w:rPr>
                <w:i/>
                <w:sz w:val="18"/>
                <w:szCs w:val="18"/>
              </w:rPr>
              <w:t xml:space="preserve"> objective evidence of impairment</w:t>
            </w:r>
            <w:r w:rsidR="00C25313">
              <w:rPr>
                <w:i/>
                <w:sz w:val="18"/>
                <w:szCs w:val="18"/>
              </w:rPr>
              <w:t>,</w:t>
            </w:r>
            <w:r w:rsidRPr="0001539D">
              <w:rPr>
                <w:i/>
                <w:sz w:val="18"/>
                <w:szCs w:val="18"/>
              </w:rPr>
              <w:t xml:space="preserve"> including the significant or long-term decline in the fair value of the investment below its acquisition cost.</w:t>
            </w:r>
          </w:p>
        </w:tc>
      </w:tr>
      <w:tr w:rsidR="008B2957" w:rsidRPr="0011757A" w14:paraId="6B9137E5" w14:textId="77777777" w:rsidTr="0011757A">
        <w:trPr>
          <w:trHeight w:val="20"/>
        </w:trPr>
        <w:tc>
          <w:tcPr>
            <w:tcW w:w="4706" w:type="dxa"/>
            <w:tcBorders>
              <w:top w:val="nil"/>
              <w:left w:val="nil"/>
              <w:bottom w:val="nil"/>
              <w:right w:val="nil"/>
            </w:tcBorders>
          </w:tcPr>
          <w:p w14:paraId="27F331FA" w14:textId="77777777" w:rsidR="008B2957" w:rsidRPr="0011757A" w:rsidRDefault="008B2957" w:rsidP="0013526B">
            <w:pPr>
              <w:ind w:left="522" w:right="-57"/>
              <w:jc w:val="both"/>
              <w:rPr>
                <w:bCs w:val="0"/>
                <w:sz w:val="18"/>
                <w:szCs w:val="18"/>
                <w:highlight w:val="cyan"/>
              </w:rPr>
            </w:pPr>
          </w:p>
        </w:tc>
        <w:tc>
          <w:tcPr>
            <w:tcW w:w="4706" w:type="dxa"/>
            <w:tcBorders>
              <w:top w:val="nil"/>
              <w:left w:val="nil"/>
              <w:bottom w:val="nil"/>
              <w:right w:val="nil"/>
            </w:tcBorders>
          </w:tcPr>
          <w:p w14:paraId="37D117F7" w14:textId="77777777" w:rsidR="008B2957" w:rsidRPr="0011757A" w:rsidRDefault="008B2957" w:rsidP="0013526B">
            <w:pPr>
              <w:tabs>
                <w:tab w:val="left" w:pos="5590"/>
                <w:tab w:val="right" w:pos="7620"/>
                <w:tab w:val="right" w:pos="9460"/>
                <w:tab w:val="right" w:pos="10080"/>
              </w:tabs>
              <w:ind w:left="651" w:right="-57"/>
              <w:jc w:val="both"/>
              <w:rPr>
                <w:bCs w:val="0"/>
                <w:i/>
                <w:sz w:val="18"/>
                <w:szCs w:val="18"/>
                <w:highlight w:val="cyan"/>
              </w:rPr>
            </w:pPr>
          </w:p>
        </w:tc>
      </w:tr>
      <w:tr w:rsidR="008B2957" w:rsidRPr="0011757A" w14:paraId="3EDF747F" w14:textId="77777777" w:rsidTr="0011757A">
        <w:trPr>
          <w:trHeight w:val="20"/>
        </w:trPr>
        <w:tc>
          <w:tcPr>
            <w:tcW w:w="4706" w:type="dxa"/>
            <w:tcBorders>
              <w:top w:val="nil"/>
              <w:left w:val="nil"/>
              <w:bottom w:val="nil"/>
              <w:right w:val="nil"/>
            </w:tcBorders>
          </w:tcPr>
          <w:p w14:paraId="3D1A2BE0" w14:textId="77777777" w:rsidR="008B2957" w:rsidRPr="0001539D" w:rsidRDefault="008B2957" w:rsidP="00070D1F">
            <w:pPr>
              <w:pStyle w:val="Default"/>
              <w:numPr>
                <w:ilvl w:val="0"/>
                <w:numId w:val="140"/>
              </w:numPr>
              <w:ind w:left="851" w:right="-57" w:hanging="284"/>
              <w:jc w:val="both"/>
              <w:rPr>
                <w:rFonts w:ascii="Times New Roman" w:hAnsi="Times New Roman" w:cs="Times New Roman"/>
                <w:b/>
                <w:bCs/>
                <w:sz w:val="18"/>
                <w:szCs w:val="18"/>
              </w:rPr>
            </w:pPr>
            <w:r w:rsidRPr="0001539D">
              <w:rPr>
                <w:rFonts w:ascii="Times New Roman" w:hAnsi="Times New Roman" w:cs="Times New Roman"/>
                <w:b/>
                <w:sz w:val="18"/>
                <w:szCs w:val="18"/>
              </w:rPr>
              <w:t>Penghentian Pengakuan Aset dan Liabilitas Keuangan</w:t>
            </w:r>
          </w:p>
        </w:tc>
        <w:tc>
          <w:tcPr>
            <w:tcW w:w="4706" w:type="dxa"/>
            <w:tcBorders>
              <w:top w:val="nil"/>
              <w:left w:val="nil"/>
              <w:bottom w:val="nil"/>
              <w:right w:val="nil"/>
            </w:tcBorders>
          </w:tcPr>
          <w:p w14:paraId="30120891" w14:textId="77777777" w:rsidR="008B2957" w:rsidRPr="0001539D" w:rsidRDefault="008B2957" w:rsidP="00070D1F">
            <w:pPr>
              <w:pStyle w:val="ListParagraph"/>
              <w:numPr>
                <w:ilvl w:val="0"/>
                <w:numId w:val="141"/>
              </w:numPr>
              <w:ind w:left="851" w:right="-57" w:hanging="284"/>
              <w:jc w:val="both"/>
              <w:rPr>
                <w:b/>
                <w:bCs w:val="0"/>
                <w:i/>
                <w:sz w:val="18"/>
                <w:szCs w:val="18"/>
              </w:rPr>
            </w:pPr>
            <w:r w:rsidRPr="0001539D">
              <w:rPr>
                <w:b/>
                <w:i/>
                <w:sz w:val="18"/>
                <w:szCs w:val="18"/>
              </w:rPr>
              <w:t>Derecognition of Financial Assets and Financial Liabilities</w:t>
            </w:r>
          </w:p>
        </w:tc>
      </w:tr>
      <w:tr w:rsidR="008B2957" w:rsidRPr="0011757A" w14:paraId="19B8447C" w14:textId="77777777" w:rsidTr="0011757A">
        <w:trPr>
          <w:trHeight w:val="20"/>
        </w:trPr>
        <w:tc>
          <w:tcPr>
            <w:tcW w:w="4706" w:type="dxa"/>
            <w:tcBorders>
              <w:top w:val="nil"/>
              <w:left w:val="nil"/>
              <w:bottom w:val="nil"/>
              <w:right w:val="nil"/>
            </w:tcBorders>
          </w:tcPr>
          <w:p w14:paraId="1D851377" w14:textId="77777777" w:rsidR="008B2957" w:rsidRPr="0001539D" w:rsidRDefault="008B2957" w:rsidP="0013526B">
            <w:pPr>
              <w:ind w:left="522" w:right="-57"/>
              <w:jc w:val="both"/>
              <w:rPr>
                <w:bCs w:val="0"/>
                <w:sz w:val="18"/>
                <w:szCs w:val="18"/>
              </w:rPr>
            </w:pPr>
          </w:p>
        </w:tc>
        <w:tc>
          <w:tcPr>
            <w:tcW w:w="4706" w:type="dxa"/>
            <w:tcBorders>
              <w:top w:val="nil"/>
              <w:left w:val="nil"/>
              <w:bottom w:val="nil"/>
              <w:right w:val="nil"/>
            </w:tcBorders>
          </w:tcPr>
          <w:p w14:paraId="15488237"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53B9209C" w14:textId="77777777" w:rsidTr="0011757A">
        <w:trPr>
          <w:trHeight w:val="20"/>
        </w:trPr>
        <w:tc>
          <w:tcPr>
            <w:tcW w:w="4706" w:type="dxa"/>
            <w:tcBorders>
              <w:top w:val="nil"/>
              <w:left w:val="nil"/>
              <w:bottom w:val="nil"/>
              <w:right w:val="nil"/>
            </w:tcBorders>
          </w:tcPr>
          <w:p w14:paraId="4D280DFB" w14:textId="77777777" w:rsidR="008B2957" w:rsidRPr="0001539D" w:rsidRDefault="008B2957" w:rsidP="0013526B">
            <w:pPr>
              <w:ind w:left="851" w:right="-57"/>
              <w:jc w:val="both"/>
              <w:rPr>
                <w:b/>
                <w:bCs w:val="0"/>
                <w:sz w:val="18"/>
                <w:szCs w:val="18"/>
              </w:rPr>
            </w:pPr>
            <w:r w:rsidRPr="0001539D">
              <w:rPr>
                <w:b/>
                <w:sz w:val="18"/>
                <w:szCs w:val="18"/>
              </w:rPr>
              <w:t>Aset Keuangan</w:t>
            </w:r>
          </w:p>
        </w:tc>
        <w:tc>
          <w:tcPr>
            <w:tcW w:w="4706" w:type="dxa"/>
            <w:tcBorders>
              <w:top w:val="nil"/>
              <w:left w:val="nil"/>
              <w:bottom w:val="nil"/>
              <w:right w:val="nil"/>
            </w:tcBorders>
          </w:tcPr>
          <w:p w14:paraId="14AD3439" w14:textId="77777777" w:rsidR="008B2957" w:rsidRPr="0001539D" w:rsidRDefault="008B2957" w:rsidP="0013526B">
            <w:pPr>
              <w:tabs>
                <w:tab w:val="left" w:pos="5590"/>
                <w:tab w:val="right" w:pos="7620"/>
                <w:tab w:val="right" w:pos="9460"/>
                <w:tab w:val="right" w:pos="10080"/>
              </w:tabs>
              <w:ind w:left="851" w:right="-57"/>
              <w:jc w:val="both"/>
              <w:rPr>
                <w:b/>
                <w:bCs w:val="0"/>
                <w:i/>
                <w:sz w:val="18"/>
                <w:szCs w:val="18"/>
              </w:rPr>
            </w:pPr>
            <w:r w:rsidRPr="0001539D">
              <w:rPr>
                <w:b/>
                <w:i/>
                <w:sz w:val="18"/>
                <w:szCs w:val="18"/>
              </w:rPr>
              <w:t>Financial Assets</w:t>
            </w:r>
          </w:p>
        </w:tc>
      </w:tr>
      <w:tr w:rsidR="008B2957" w:rsidRPr="0011757A" w14:paraId="36FA0A43" w14:textId="77777777" w:rsidTr="0011757A">
        <w:trPr>
          <w:trHeight w:val="20"/>
        </w:trPr>
        <w:tc>
          <w:tcPr>
            <w:tcW w:w="4706" w:type="dxa"/>
            <w:tcBorders>
              <w:top w:val="nil"/>
              <w:left w:val="nil"/>
              <w:bottom w:val="nil"/>
              <w:right w:val="nil"/>
            </w:tcBorders>
          </w:tcPr>
          <w:p w14:paraId="0024D977" w14:textId="77777777" w:rsidR="008B2957" w:rsidRPr="0001539D" w:rsidRDefault="008B2957" w:rsidP="0013526B">
            <w:pPr>
              <w:ind w:left="522" w:right="-57"/>
              <w:jc w:val="both"/>
              <w:rPr>
                <w:bCs w:val="0"/>
                <w:sz w:val="18"/>
                <w:szCs w:val="18"/>
              </w:rPr>
            </w:pPr>
          </w:p>
        </w:tc>
        <w:tc>
          <w:tcPr>
            <w:tcW w:w="4706" w:type="dxa"/>
            <w:tcBorders>
              <w:top w:val="nil"/>
              <w:left w:val="nil"/>
              <w:bottom w:val="nil"/>
              <w:right w:val="nil"/>
            </w:tcBorders>
          </w:tcPr>
          <w:p w14:paraId="20B76713"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3526B" w14:paraId="6E157D42" w14:textId="77777777" w:rsidTr="0011757A">
        <w:trPr>
          <w:trHeight w:val="20"/>
        </w:trPr>
        <w:tc>
          <w:tcPr>
            <w:tcW w:w="4706" w:type="dxa"/>
            <w:tcBorders>
              <w:top w:val="nil"/>
              <w:left w:val="nil"/>
              <w:bottom w:val="nil"/>
              <w:right w:val="nil"/>
            </w:tcBorders>
          </w:tcPr>
          <w:p w14:paraId="316883B5" w14:textId="20728092" w:rsidR="008B2957" w:rsidRPr="0001539D" w:rsidRDefault="008B2957" w:rsidP="0013526B">
            <w:pPr>
              <w:ind w:left="851" w:right="-57"/>
              <w:jc w:val="both"/>
              <w:rPr>
                <w:bCs w:val="0"/>
                <w:sz w:val="18"/>
                <w:szCs w:val="18"/>
              </w:rPr>
            </w:pPr>
            <w:r w:rsidRPr="0001539D">
              <w:rPr>
                <w:sz w:val="18"/>
                <w:szCs w:val="18"/>
              </w:rPr>
              <w:t>Aset keuangan (atau mana yang lebih sesuai</w:t>
            </w:r>
            <w:r w:rsidR="00870FD0">
              <w:rPr>
                <w:sz w:val="18"/>
                <w:szCs w:val="18"/>
              </w:rPr>
              <w:t>.</w:t>
            </w:r>
            <w:r w:rsidRPr="0001539D">
              <w:rPr>
                <w:sz w:val="18"/>
                <w:szCs w:val="18"/>
              </w:rPr>
              <w:t xml:space="preserve"> bagian dari aset keuangan atau bagian dari kelompok aset keuangan serupa) dihentikan pengakuannya pada saat: </w:t>
            </w:r>
          </w:p>
          <w:p w14:paraId="119188A7" w14:textId="77777777" w:rsidR="008B2957" w:rsidRPr="0001539D" w:rsidRDefault="008B2957" w:rsidP="00070D1F">
            <w:pPr>
              <w:numPr>
                <w:ilvl w:val="0"/>
                <w:numId w:val="142"/>
              </w:numPr>
              <w:ind w:left="1135" w:right="-57" w:hanging="284"/>
              <w:jc w:val="both"/>
              <w:rPr>
                <w:bCs w:val="0"/>
                <w:sz w:val="18"/>
                <w:szCs w:val="18"/>
              </w:rPr>
            </w:pPr>
            <w:r w:rsidRPr="0001539D">
              <w:rPr>
                <w:bCs w:val="0"/>
                <w:sz w:val="18"/>
                <w:szCs w:val="18"/>
              </w:rPr>
              <w:t>hak</w:t>
            </w:r>
            <w:r w:rsidRPr="0001539D">
              <w:rPr>
                <w:sz w:val="18"/>
                <w:szCs w:val="18"/>
              </w:rPr>
              <w:t xml:space="preserve"> kontraktual atas arus kas yang berasal dari </w:t>
            </w:r>
            <w:r w:rsidRPr="0001539D">
              <w:rPr>
                <w:bCs w:val="0"/>
                <w:sz w:val="18"/>
                <w:szCs w:val="18"/>
              </w:rPr>
              <w:t>aset</w:t>
            </w:r>
            <w:r w:rsidRPr="0001539D">
              <w:rPr>
                <w:sz w:val="18"/>
                <w:szCs w:val="18"/>
              </w:rPr>
              <w:t xml:space="preserve"> keuangan tersebut telah berakhir; atau</w:t>
            </w:r>
          </w:p>
          <w:p w14:paraId="1734369A" w14:textId="77777777" w:rsidR="008B2957" w:rsidRPr="0001539D" w:rsidRDefault="00716854" w:rsidP="00070D1F">
            <w:pPr>
              <w:numPr>
                <w:ilvl w:val="0"/>
                <w:numId w:val="142"/>
              </w:numPr>
              <w:ind w:left="1135" w:right="-57" w:hanging="284"/>
              <w:jc w:val="both"/>
              <w:rPr>
                <w:bCs w:val="0"/>
                <w:sz w:val="18"/>
                <w:szCs w:val="18"/>
              </w:rPr>
            </w:pPr>
            <w:r w:rsidRPr="0001539D">
              <w:rPr>
                <w:sz w:val="18"/>
                <w:szCs w:val="18"/>
                <w:lang w:val="id-ID"/>
              </w:rPr>
              <w:t>Kelompok Usaha</w:t>
            </w:r>
            <w:r w:rsidR="008B2957" w:rsidRPr="0001539D">
              <w:rPr>
                <w:sz w:val="18"/>
                <w:szCs w:val="18"/>
              </w:rPr>
              <w:t xml:space="preserve"> telah mentransfer hak kontraktual mereka </w:t>
            </w:r>
            <w:r w:rsidR="008B2957" w:rsidRPr="0001539D">
              <w:rPr>
                <w:bCs w:val="0"/>
                <w:sz w:val="18"/>
                <w:szCs w:val="18"/>
              </w:rPr>
              <w:t>untuk</w:t>
            </w:r>
            <w:r w:rsidR="008B2957" w:rsidRPr="0001539D">
              <w:rPr>
                <w:sz w:val="18"/>
                <w:szCs w:val="18"/>
              </w:rPr>
              <w:t xml:space="preserve"> menerima arus kas yang berasal dari aset keuangan atau berkewajiban untuk membayar arus kas yang diterima secara penuh tanpa penundaan yang signifikan kepada pihak ketiga dalam perjanjian </w:t>
            </w:r>
            <w:r w:rsidR="008B2957" w:rsidRPr="0001539D">
              <w:rPr>
                <w:i/>
                <w:sz w:val="18"/>
                <w:szCs w:val="18"/>
              </w:rPr>
              <w:t>pass-through</w:t>
            </w:r>
            <w:r w:rsidR="008B2957" w:rsidRPr="0001539D">
              <w:rPr>
                <w:sz w:val="18"/>
                <w:szCs w:val="18"/>
              </w:rPr>
              <w:t xml:space="preserve">; dan baik </w:t>
            </w:r>
          </w:p>
          <w:p w14:paraId="491F73CF" w14:textId="244ADF96" w:rsidR="008B2957" w:rsidRPr="0001539D" w:rsidRDefault="00716854" w:rsidP="00070D1F">
            <w:pPr>
              <w:pStyle w:val="ListParagraph"/>
              <w:numPr>
                <w:ilvl w:val="0"/>
                <w:numId w:val="118"/>
              </w:numPr>
              <w:tabs>
                <w:tab w:val="left" w:pos="1491"/>
              </w:tabs>
              <w:ind w:left="1418" w:right="-57" w:hanging="284"/>
              <w:contextualSpacing/>
              <w:jc w:val="both"/>
              <w:rPr>
                <w:bCs w:val="0"/>
                <w:sz w:val="18"/>
                <w:szCs w:val="18"/>
              </w:rPr>
            </w:pPr>
            <w:r w:rsidRPr="0001539D">
              <w:rPr>
                <w:sz w:val="18"/>
                <w:szCs w:val="18"/>
                <w:lang w:val="id-ID"/>
              </w:rPr>
              <w:t>Kelompok Usaha</w:t>
            </w:r>
            <w:r w:rsidR="008B2957" w:rsidRPr="0001539D">
              <w:rPr>
                <w:sz w:val="18"/>
                <w:szCs w:val="18"/>
              </w:rPr>
              <w:t xml:space="preserve"> telah secara substansial mentransfer seluruh risiko dan manfaat dari aset</w:t>
            </w:r>
            <w:r w:rsidR="00C25313">
              <w:rPr>
                <w:sz w:val="18"/>
                <w:szCs w:val="18"/>
              </w:rPr>
              <w:t>,</w:t>
            </w:r>
            <w:r w:rsidR="008B2957" w:rsidRPr="0001539D">
              <w:rPr>
                <w:sz w:val="18"/>
                <w:szCs w:val="18"/>
              </w:rPr>
              <w:t xml:space="preserve"> atau</w:t>
            </w:r>
          </w:p>
          <w:p w14:paraId="56AA9913" w14:textId="7B1CA802" w:rsidR="008B2957" w:rsidRPr="0001539D" w:rsidRDefault="00716854" w:rsidP="00070D1F">
            <w:pPr>
              <w:pStyle w:val="ListParagraph"/>
              <w:numPr>
                <w:ilvl w:val="0"/>
                <w:numId w:val="118"/>
              </w:numPr>
              <w:tabs>
                <w:tab w:val="left" w:pos="1491"/>
              </w:tabs>
              <w:ind w:left="1418" w:right="-57" w:hanging="284"/>
              <w:contextualSpacing/>
              <w:jc w:val="both"/>
              <w:rPr>
                <w:bCs w:val="0"/>
                <w:sz w:val="18"/>
                <w:szCs w:val="18"/>
              </w:rPr>
            </w:pPr>
            <w:r w:rsidRPr="0001539D">
              <w:rPr>
                <w:sz w:val="18"/>
                <w:szCs w:val="18"/>
                <w:lang w:val="id-ID"/>
              </w:rPr>
              <w:t>Kelompok Usaha</w:t>
            </w:r>
            <w:r w:rsidR="008B2957" w:rsidRPr="0001539D">
              <w:rPr>
                <w:sz w:val="18"/>
                <w:szCs w:val="18"/>
              </w:rPr>
              <w:t xml:space="preserve"> secara substansial tidak mentransfer atau tidak memiliki seluruh risiko dan manfaat suatu aset</w:t>
            </w:r>
            <w:r w:rsidR="00C25313">
              <w:rPr>
                <w:sz w:val="18"/>
                <w:szCs w:val="18"/>
              </w:rPr>
              <w:t>,</w:t>
            </w:r>
            <w:r w:rsidR="008B2957" w:rsidRPr="0001539D">
              <w:rPr>
                <w:sz w:val="18"/>
                <w:szCs w:val="18"/>
              </w:rPr>
              <w:t xml:space="preserve"> namun telah mentransfer kendali atas aset tersebut.</w:t>
            </w:r>
          </w:p>
        </w:tc>
        <w:tc>
          <w:tcPr>
            <w:tcW w:w="4706" w:type="dxa"/>
            <w:tcBorders>
              <w:top w:val="nil"/>
              <w:left w:val="nil"/>
              <w:bottom w:val="nil"/>
              <w:right w:val="nil"/>
            </w:tcBorders>
          </w:tcPr>
          <w:p w14:paraId="69BF55AD" w14:textId="31241A7D" w:rsidR="008B2957" w:rsidRPr="0001539D" w:rsidRDefault="008B2957" w:rsidP="0013526B">
            <w:pPr>
              <w:tabs>
                <w:tab w:val="left" w:pos="5590"/>
                <w:tab w:val="right" w:pos="7620"/>
                <w:tab w:val="right" w:pos="9460"/>
                <w:tab w:val="right" w:pos="10080"/>
              </w:tabs>
              <w:ind w:left="851" w:right="-57"/>
              <w:jc w:val="both"/>
              <w:rPr>
                <w:i/>
                <w:sz w:val="18"/>
                <w:szCs w:val="18"/>
              </w:rPr>
            </w:pPr>
            <w:r w:rsidRPr="0001539D">
              <w:rPr>
                <w:i/>
                <w:sz w:val="18"/>
                <w:szCs w:val="18"/>
              </w:rPr>
              <w:t>Financial assets (or whichever is appropriate</w:t>
            </w:r>
            <w:r w:rsidR="00870FD0">
              <w:rPr>
                <w:i/>
                <w:sz w:val="18"/>
                <w:szCs w:val="18"/>
              </w:rPr>
              <w:t>.</w:t>
            </w:r>
            <w:r w:rsidRPr="0001539D">
              <w:rPr>
                <w:i/>
                <w:sz w:val="18"/>
                <w:szCs w:val="18"/>
              </w:rPr>
              <w:t xml:space="preserve"> part of a financial asset or part of a group of similar financial assets) are derecognized when:</w:t>
            </w:r>
          </w:p>
          <w:p w14:paraId="6C46BDA3" w14:textId="77777777" w:rsidR="008B2957" w:rsidRPr="0001539D" w:rsidRDefault="008B2957" w:rsidP="0013526B">
            <w:pPr>
              <w:tabs>
                <w:tab w:val="left" w:pos="5590"/>
                <w:tab w:val="right" w:pos="7620"/>
                <w:tab w:val="right" w:pos="9460"/>
                <w:tab w:val="right" w:pos="10080"/>
              </w:tabs>
              <w:ind w:left="924" w:right="-57"/>
              <w:jc w:val="both"/>
              <w:rPr>
                <w:bCs w:val="0"/>
                <w:i/>
                <w:sz w:val="18"/>
                <w:szCs w:val="18"/>
              </w:rPr>
            </w:pPr>
          </w:p>
          <w:p w14:paraId="70E616B7" w14:textId="77777777" w:rsidR="008B2957" w:rsidRPr="0001539D" w:rsidRDefault="008B2957" w:rsidP="00070D1F">
            <w:pPr>
              <w:pStyle w:val="ListParagraph"/>
              <w:numPr>
                <w:ilvl w:val="0"/>
                <w:numId w:val="143"/>
              </w:numPr>
              <w:ind w:left="1135" w:right="-57" w:hanging="284"/>
              <w:jc w:val="both"/>
              <w:rPr>
                <w:bCs w:val="0"/>
                <w:i/>
                <w:sz w:val="18"/>
                <w:szCs w:val="18"/>
              </w:rPr>
            </w:pPr>
            <w:r w:rsidRPr="0001539D">
              <w:rPr>
                <w:i/>
                <w:sz w:val="18"/>
                <w:szCs w:val="18"/>
              </w:rPr>
              <w:t xml:space="preserve">the </w:t>
            </w:r>
            <w:r w:rsidRPr="0001539D">
              <w:rPr>
                <w:bCs w:val="0"/>
                <w:i/>
                <w:sz w:val="18"/>
                <w:szCs w:val="18"/>
              </w:rPr>
              <w:t>contractual</w:t>
            </w:r>
            <w:r w:rsidRPr="0001539D">
              <w:rPr>
                <w:i/>
                <w:sz w:val="18"/>
                <w:szCs w:val="18"/>
              </w:rPr>
              <w:t xml:space="preserve"> rights to receive the cash flows from the asset have ceased to exist;</w:t>
            </w:r>
            <w:r w:rsidRPr="0001539D">
              <w:rPr>
                <w:i/>
                <w:sz w:val="18"/>
                <w:szCs w:val="18"/>
              </w:rPr>
              <w:br/>
              <w:t>or</w:t>
            </w:r>
          </w:p>
          <w:p w14:paraId="4602581A" w14:textId="77777777" w:rsidR="008B2957" w:rsidRPr="0001539D" w:rsidRDefault="008B2957" w:rsidP="00070D1F">
            <w:pPr>
              <w:pStyle w:val="ListParagraph"/>
              <w:numPr>
                <w:ilvl w:val="0"/>
                <w:numId w:val="143"/>
              </w:numPr>
              <w:ind w:left="1135" w:right="-57" w:hanging="284"/>
              <w:jc w:val="both"/>
              <w:rPr>
                <w:bCs w:val="0"/>
                <w:i/>
                <w:sz w:val="18"/>
                <w:szCs w:val="18"/>
              </w:rPr>
            </w:pPr>
            <w:r w:rsidRPr="0001539D">
              <w:rPr>
                <w:i/>
                <w:sz w:val="18"/>
                <w:szCs w:val="18"/>
              </w:rPr>
              <w:t xml:space="preserve">the </w:t>
            </w:r>
            <w:r w:rsidR="00716854" w:rsidRPr="0001539D">
              <w:rPr>
                <w:i/>
                <w:sz w:val="18"/>
                <w:szCs w:val="18"/>
                <w:lang w:val="id-ID"/>
              </w:rPr>
              <w:t>Group</w:t>
            </w:r>
            <w:r w:rsidRPr="0001539D">
              <w:rPr>
                <w:i/>
                <w:sz w:val="18"/>
                <w:szCs w:val="18"/>
              </w:rPr>
              <w:t xml:space="preserve"> has transferred its contractual rights to receive the cash flows from the </w:t>
            </w:r>
            <w:r w:rsidRPr="0001539D">
              <w:rPr>
                <w:bCs w:val="0"/>
                <w:i/>
                <w:sz w:val="18"/>
                <w:szCs w:val="18"/>
              </w:rPr>
              <w:t>financial</w:t>
            </w:r>
            <w:r w:rsidRPr="0001539D">
              <w:rPr>
                <w:i/>
                <w:sz w:val="18"/>
                <w:szCs w:val="18"/>
              </w:rPr>
              <w:t xml:space="preserve"> asset or an obligation to pay the received cash flows in full without significant delay to a third party in the pass-through; and either</w:t>
            </w:r>
          </w:p>
          <w:p w14:paraId="62FAAD64" w14:textId="4675ADBB" w:rsidR="008B2957" w:rsidRPr="0001539D" w:rsidRDefault="008B2957" w:rsidP="00070D1F">
            <w:pPr>
              <w:pStyle w:val="ListParagraph"/>
              <w:numPr>
                <w:ilvl w:val="0"/>
                <w:numId w:val="119"/>
              </w:numPr>
              <w:tabs>
                <w:tab w:val="left" w:pos="1491"/>
                <w:tab w:val="left" w:pos="5590"/>
                <w:tab w:val="right" w:pos="7620"/>
                <w:tab w:val="right" w:pos="9460"/>
                <w:tab w:val="right" w:pos="10080"/>
              </w:tabs>
              <w:ind w:left="1418" w:right="-57" w:hanging="284"/>
              <w:contextualSpacing/>
              <w:jc w:val="both"/>
              <w:rPr>
                <w:bCs w:val="0"/>
                <w:i/>
                <w:sz w:val="18"/>
                <w:szCs w:val="18"/>
              </w:rPr>
            </w:pPr>
            <w:r w:rsidRPr="0001539D">
              <w:rPr>
                <w:i/>
                <w:sz w:val="18"/>
                <w:szCs w:val="18"/>
              </w:rPr>
              <w:t xml:space="preserve">the </w:t>
            </w:r>
            <w:r w:rsidR="00716854" w:rsidRPr="0001539D">
              <w:rPr>
                <w:i/>
                <w:sz w:val="18"/>
                <w:szCs w:val="18"/>
                <w:lang w:val="id-ID"/>
              </w:rPr>
              <w:t>Group</w:t>
            </w:r>
            <w:r w:rsidRPr="0001539D">
              <w:rPr>
                <w:i/>
                <w:sz w:val="18"/>
                <w:szCs w:val="18"/>
              </w:rPr>
              <w:t xml:space="preserve"> has transferred substantially all the risks and rewards of the assets</w:t>
            </w:r>
            <w:r w:rsidR="00C25313">
              <w:rPr>
                <w:i/>
                <w:sz w:val="18"/>
                <w:szCs w:val="18"/>
              </w:rPr>
              <w:t>,</w:t>
            </w:r>
            <w:r w:rsidRPr="0001539D">
              <w:rPr>
                <w:i/>
                <w:sz w:val="18"/>
                <w:szCs w:val="18"/>
              </w:rPr>
              <w:t xml:space="preserve"> or</w:t>
            </w:r>
          </w:p>
          <w:p w14:paraId="45DACE43" w14:textId="77777777" w:rsidR="008B2957" w:rsidRPr="0001539D" w:rsidRDefault="008B2957" w:rsidP="0013526B">
            <w:pPr>
              <w:pStyle w:val="ListParagraph"/>
              <w:tabs>
                <w:tab w:val="left" w:pos="1491"/>
                <w:tab w:val="left" w:pos="5590"/>
                <w:tab w:val="right" w:pos="7620"/>
                <w:tab w:val="right" w:pos="9460"/>
                <w:tab w:val="right" w:pos="10080"/>
              </w:tabs>
              <w:ind w:left="1492" w:right="-57"/>
              <w:contextualSpacing/>
              <w:jc w:val="both"/>
              <w:rPr>
                <w:bCs w:val="0"/>
                <w:i/>
                <w:sz w:val="18"/>
                <w:szCs w:val="18"/>
              </w:rPr>
            </w:pPr>
            <w:r w:rsidRPr="0001539D">
              <w:rPr>
                <w:i/>
                <w:sz w:val="18"/>
                <w:szCs w:val="18"/>
              </w:rPr>
              <w:t xml:space="preserve"> </w:t>
            </w:r>
          </w:p>
          <w:p w14:paraId="7627C09F" w14:textId="23D1114C" w:rsidR="008B2957" w:rsidRPr="0001539D" w:rsidRDefault="008B2957" w:rsidP="00070D1F">
            <w:pPr>
              <w:pStyle w:val="ListParagraph"/>
              <w:numPr>
                <w:ilvl w:val="0"/>
                <w:numId w:val="119"/>
              </w:numPr>
              <w:tabs>
                <w:tab w:val="left" w:pos="1491"/>
                <w:tab w:val="left" w:pos="5590"/>
                <w:tab w:val="right" w:pos="7620"/>
                <w:tab w:val="right" w:pos="9460"/>
                <w:tab w:val="right" w:pos="10080"/>
              </w:tabs>
              <w:ind w:left="1418" w:right="-57" w:hanging="284"/>
              <w:contextualSpacing/>
              <w:jc w:val="both"/>
              <w:rPr>
                <w:bCs w:val="0"/>
                <w:i/>
                <w:sz w:val="18"/>
                <w:szCs w:val="18"/>
              </w:rPr>
            </w:pPr>
            <w:proofErr w:type="gramStart"/>
            <w:r w:rsidRPr="0001539D">
              <w:rPr>
                <w:i/>
                <w:sz w:val="18"/>
                <w:szCs w:val="18"/>
              </w:rPr>
              <w:t>the</w:t>
            </w:r>
            <w:proofErr w:type="gramEnd"/>
            <w:r w:rsidRPr="0001539D">
              <w:rPr>
                <w:i/>
                <w:sz w:val="18"/>
                <w:szCs w:val="18"/>
              </w:rPr>
              <w:t xml:space="preserve"> </w:t>
            </w:r>
            <w:r w:rsidR="00716854" w:rsidRPr="0001539D">
              <w:rPr>
                <w:i/>
                <w:sz w:val="18"/>
                <w:szCs w:val="18"/>
                <w:lang w:val="id-ID"/>
              </w:rPr>
              <w:t>Group</w:t>
            </w:r>
            <w:r w:rsidRPr="0001539D">
              <w:rPr>
                <w:i/>
                <w:sz w:val="18"/>
                <w:szCs w:val="18"/>
              </w:rPr>
              <w:t xml:space="preserve"> has neither transferred nor retained substantially all the risks and rewards of the asset</w:t>
            </w:r>
            <w:r w:rsidR="00C25313">
              <w:rPr>
                <w:i/>
                <w:sz w:val="18"/>
                <w:szCs w:val="18"/>
              </w:rPr>
              <w:t>,</w:t>
            </w:r>
            <w:r w:rsidRPr="0001539D">
              <w:rPr>
                <w:i/>
                <w:sz w:val="18"/>
                <w:szCs w:val="18"/>
              </w:rPr>
              <w:t xml:space="preserve"> but has transferred control of the asset.</w:t>
            </w:r>
          </w:p>
        </w:tc>
      </w:tr>
    </w:tbl>
    <w:p w14:paraId="49734396" w14:textId="77777777" w:rsidR="008B2957" w:rsidRPr="0013526B" w:rsidRDefault="008B2957" w:rsidP="0013526B">
      <w:pPr>
        <w:rPr>
          <w:sz w:val="18"/>
          <w:szCs w:val="18"/>
        </w:rPr>
      </w:pPr>
    </w:p>
    <w:p w14:paraId="65F4C002" w14:textId="77777777" w:rsidR="008B2957" w:rsidRPr="0013526B" w:rsidRDefault="008B2957" w:rsidP="0013526B">
      <w:pPr>
        <w:rPr>
          <w:sz w:val="18"/>
          <w:szCs w:val="18"/>
        </w:rPr>
      </w:pPr>
    </w:p>
    <w:p w14:paraId="797709DB" w14:textId="77777777" w:rsidR="004F4BE8" w:rsidRPr="0013526B" w:rsidRDefault="004F4BE8" w:rsidP="0013526B">
      <w:pPr>
        <w:rPr>
          <w:sz w:val="18"/>
          <w:szCs w:val="18"/>
          <w:lang w:val="id-ID"/>
        </w:rPr>
      </w:pPr>
    </w:p>
    <w:p w14:paraId="66C1FD6F" w14:textId="77777777" w:rsidR="00C85EDE" w:rsidRPr="0013526B" w:rsidRDefault="00C85EDE" w:rsidP="0013526B">
      <w:pPr>
        <w:rPr>
          <w:sz w:val="18"/>
          <w:szCs w:val="18"/>
          <w:lang w:val="id-ID"/>
        </w:rPr>
      </w:pPr>
    </w:p>
    <w:p w14:paraId="3B24744D" w14:textId="77777777" w:rsidR="00C85EDE" w:rsidRPr="0013526B" w:rsidRDefault="00C85EDE" w:rsidP="0013526B">
      <w:pPr>
        <w:rPr>
          <w:sz w:val="18"/>
          <w:szCs w:val="18"/>
          <w:lang w:val="id-ID"/>
        </w:rPr>
      </w:pPr>
    </w:p>
    <w:p w14:paraId="008E73CF" w14:textId="77777777" w:rsidR="007E5740" w:rsidRPr="0013526B" w:rsidRDefault="007E5740" w:rsidP="0013526B">
      <w:pPr>
        <w:rPr>
          <w:sz w:val="18"/>
          <w:szCs w:val="18"/>
          <w:lang w:val="id-ID"/>
        </w:rPr>
      </w:pPr>
    </w:p>
    <w:tbl>
      <w:tblPr>
        <w:tblW w:w="9197" w:type="dxa"/>
        <w:tblInd w:w="392" w:type="dxa"/>
        <w:tblLayout w:type="fixed"/>
        <w:tblLook w:val="0000" w:firstRow="0" w:lastRow="0" w:firstColumn="0" w:lastColumn="0" w:noHBand="0" w:noVBand="0"/>
      </w:tblPr>
      <w:tblGrid>
        <w:gridCol w:w="4599"/>
        <w:gridCol w:w="4598"/>
      </w:tblGrid>
      <w:tr w:rsidR="008B2957" w:rsidRPr="0011757A" w14:paraId="674FEC12" w14:textId="77777777" w:rsidTr="0011757A">
        <w:trPr>
          <w:trHeight w:val="20"/>
        </w:trPr>
        <w:tc>
          <w:tcPr>
            <w:tcW w:w="4602" w:type="dxa"/>
            <w:tcBorders>
              <w:top w:val="nil"/>
              <w:left w:val="nil"/>
              <w:bottom w:val="nil"/>
              <w:right w:val="nil"/>
            </w:tcBorders>
          </w:tcPr>
          <w:p w14:paraId="60C14E61" w14:textId="48A80113" w:rsidR="008B2957" w:rsidRPr="0001539D" w:rsidRDefault="008B2957" w:rsidP="00070D1F">
            <w:pPr>
              <w:numPr>
                <w:ilvl w:val="0"/>
                <w:numId w:val="144"/>
              </w:numPr>
              <w:ind w:left="284" w:right="-57" w:hanging="284"/>
              <w:jc w:val="both"/>
              <w:rPr>
                <w:b/>
                <w:sz w:val="18"/>
                <w:szCs w:val="18"/>
              </w:rPr>
            </w:pPr>
            <w:r w:rsidRPr="0001539D">
              <w:rPr>
                <w:b/>
                <w:sz w:val="18"/>
                <w:szCs w:val="18"/>
              </w:rPr>
              <w:lastRenderedPageBreak/>
              <w:t>IKHTISAR K</w:t>
            </w:r>
            <w:r w:rsidR="00C85EDE" w:rsidRPr="0001539D">
              <w:rPr>
                <w:b/>
                <w:sz w:val="18"/>
                <w:szCs w:val="18"/>
              </w:rPr>
              <w:t>EBIJAKAN AKUNTANSI YANG PENTING</w:t>
            </w:r>
            <w:r w:rsidR="00C85EDE" w:rsidRPr="0001539D">
              <w:rPr>
                <w:b/>
                <w:sz w:val="18"/>
                <w:szCs w:val="18"/>
                <w:lang w:val="id-ID"/>
              </w:rPr>
              <w:t xml:space="preserve"> </w:t>
            </w:r>
            <w:r w:rsidR="001130B3" w:rsidRPr="0001539D">
              <w:rPr>
                <w:b/>
                <w:sz w:val="18"/>
                <w:szCs w:val="18"/>
                <w:lang w:val="id-ID"/>
              </w:rPr>
              <w:t>-</w:t>
            </w:r>
            <w:r w:rsidRPr="0001539D">
              <w:rPr>
                <w:b/>
                <w:sz w:val="18"/>
                <w:szCs w:val="18"/>
              </w:rPr>
              <w:t xml:space="preserve"> Lanjutan</w:t>
            </w:r>
          </w:p>
        </w:tc>
        <w:tc>
          <w:tcPr>
            <w:tcW w:w="4602" w:type="dxa"/>
            <w:tcBorders>
              <w:top w:val="nil"/>
              <w:left w:val="nil"/>
              <w:bottom w:val="nil"/>
              <w:right w:val="nil"/>
            </w:tcBorders>
          </w:tcPr>
          <w:p w14:paraId="72E8C80F" w14:textId="77777777" w:rsidR="008B2957" w:rsidRPr="0001539D" w:rsidRDefault="008B2957" w:rsidP="00070D1F">
            <w:pPr>
              <w:numPr>
                <w:ilvl w:val="0"/>
                <w:numId w:val="145"/>
              </w:numPr>
              <w:ind w:left="284" w:right="-57" w:hanging="284"/>
              <w:jc w:val="both"/>
              <w:rPr>
                <w:b/>
                <w:i/>
                <w:sz w:val="18"/>
                <w:szCs w:val="18"/>
              </w:rPr>
            </w:pPr>
            <w:r w:rsidRPr="0001539D">
              <w:rPr>
                <w:b/>
                <w:i/>
                <w:sz w:val="18"/>
                <w:szCs w:val="18"/>
              </w:rPr>
              <w:t xml:space="preserve">SUMMARY OF </w:t>
            </w:r>
            <w:r w:rsidR="00044E4B" w:rsidRPr="0001539D">
              <w:rPr>
                <w:b/>
                <w:i/>
                <w:sz w:val="18"/>
                <w:szCs w:val="18"/>
              </w:rPr>
              <w:t xml:space="preserve">SIGNIFICANT ACCOUNTING POLICIES </w:t>
            </w:r>
            <w:r w:rsidRPr="0001539D">
              <w:rPr>
                <w:b/>
                <w:i/>
                <w:sz w:val="18"/>
                <w:szCs w:val="18"/>
              </w:rPr>
              <w:t>- Continued</w:t>
            </w:r>
          </w:p>
        </w:tc>
      </w:tr>
      <w:tr w:rsidR="008B2957" w:rsidRPr="0011757A" w14:paraId="297F899C" w14:textId="77777777" w:rsidTr="0011757A">
        <w:trPr>
          <w:trHeight w:val="20"/>
        </w:trPr>
        <w:tc>
          <w:tcPr>
            <w:tcW w:w="4602" w:type="dxa"/>
            <w:tcBorders>
              <w:top w:val="nil"/>
              <w:left w:val="nil"/>
              <w:bottom w:val="nil"/>
              <w:right w:val="nil"/>
            </w:tcBorders>
          </w:tcPr>
          <w:p w14:paraId="00205BDD" w14:textId="77777777" w:rsidR="008B2957" w:rsidRPr="0001539D" w:rsidRDefault="008B2957" w:rsidP="0013526B">
            <w:pPr>
              <w:ind w:left="357" w:right="-57"/>
              <w:jc w:val="both"/>
              <w:rPr>
                <w:sz w:val="10"/>
                <w:szCs w:val="18"/>
              </w:rPr>
            </w:pPr>
          </w:p>
        </w:tc>
        <w:tc>
          <w:tcPr>
            <w:tcW w:w="4602" w:type="dxa"/>
            <w:tcBorders>
              <w:top w:val="nil"/>
              <w:left w:val="nil"/>
              <w:bottom w:val="nil"/>
              <w:right w:val="nil"/>
            </w:tcBorders>
          </w:tcPr>
          <w:p w14:paraId="7470E148" w14:textId="77777777" w:rsidR="008B2957" w:rsidRPr="0001539D" w:rsidRDefault="008B2957" w:rsidP="0013526B">
            <w:pPr>
              <w:ind w:left="357" w:right="-57"/>
              <w:jc w:val="both"/>
              <w:rPr>
                <w:i/>
                <w:sz w:val="10"/>
                <w:szCs w:val="18"/>
              </w:rPr>
            </w:pPr>
          </w:p>
        </w:tc>
      </w:tr>
      <w:tr w:rsidR="008B2957" w:rsidRPr="0011757A" w14:paraId="2E45FB61" w14:textId="77777777" w:rsidTr="0011757A">
        <w:trPr>
          <w:trHeight w:val="20"/>
        </w:trPr>
        <w:tc>
          <w:tcPr>
            <w:tcW w:w="4602" w:type="dxa"/>
            <w:tcBorders>
              <w:top w:val="nil"/>
              <w:left w:val="nil"/>
              <w:bottom w:val="nil"/>
              <w:right w:val="nil"/>
            </w:tcBorders>
          </w:tcPr>
          <w:p w14:paraId="1CCEF0AD" w14:textId="77777777" w:rsidR="008B2957" w:rsidRPr="0001539D" w:rsidRDefault="008B2957" w:rsidP="00070D1F">
            <w:pPr>
              <w:pStyle w:val="ListParagraph"/>
              <w:numPr>
                <w:ilvl w:val="0"/>
                <w:numId w:val="178"/>
              </w:numPr>
              <w:ind w:left="568" w:right="-57" w:hanging="284"/>
              <w:contextualSpacing/>
              <w:jc w:val="both"/>
              <w:rPr>
                <w:b/>
                <w:sz w:val="18"/>
                <w:szCs w:val="18"/>
              </w:rPr>
            </w:pPr>
            <w:r w:rsidRPr="0001539D">
              <w:rPr>
                <w:b/>
                <w:sz w:val="18"/>
                <w:szCs w:val="18"/>
              </w:rPr>
              <w:t>Instrumen Keuangan - Lanjutan</w:t>
            </w:r>
          </w:p>
        </w:tc>
        <w:tc>
          <w:tcPr>
            <w:tcW w:w="4602" w:type="dxa"/>
            <w:tcBorders>
              <w:top w:val="nil"/>
              <w:left w:val="nil"/>
              <w:bottom w:val="nil"/>
              <w:right w:val="nil"/>
            </w:tcBorders>
          </w:tcPr>
          <w:p w14:paraId="49F3EFDE" w14:textId="77777777" w:rsidR="008B2957" w:rsidRPr="0001539D" w:rsidRDefault="008B2957" w:rsidP="00070D1F">
            <w:pPr>
              <w:pStyle w:val="ListParagraph"/>
              <w:numPr>
                <w:ilvl w:val="0"/>
                <w:numId w:val="179"/>
              </w:numPr>
              <w:tabs>
                <w:tab w:val="left" w:pos="5590"/>
                <w:tab w:val="right" w:pos="7620"/>
                <w:tab w:val="right" w:pos="9460"/>
                <w:tab w:val="right" w:pos="10080"/>
              </w:tabs>
              <w:ind w:left="568" w:right="-57" w:hanging="284"/>
              <w:contextualSpacing/>
              <w:jc w:val="both"/>
              <w:rPr>
                <w:b/>
                <w:i/>
                <w:sz w:val="18"/>
                <w:szCs w:val="18"/>
              </w:rPr>
            </w:pPr>
            <w:r w:rsidRPr="0001539D">
              <w:rPr>
                <w:b/>
                <w:i/>
                <w:sz w:val="18"/>
                <w:szCs w:val="18"/>
              </w:rPr>
              <w:t>Financial Instruments - Continued</w:t>
            </w:r>
          </w:p>
        </w:tc>
      </w:tr>
      <w:tr w:rsidR="008B2957" w:rsidRPr="0011757A" w14:paraId="7B94F5CE" w14:textId="77777777" w:rsidTr="0011757A">
        <w:trPr>
          <w:trHeight w:val="20"/>
        </w:trPr>
        <w:tc>
          <w:tcPr>
            <w:tcW w:w="4602" w:type="dxa"/>
            <w:tcBorders>
              <w:top w:val="nil"/>
              <w:left w:val="nil"/>
              <w:bottom w:val="nil"/>
              <w:right w:val="nil"/>
            </w:tcBorders>
          </w:tcPr>
          <w:p w14:paraId="4DC98903" w14:textId="77777777" w:rsidR="008B2957" w:rsidRPr="0001539D" w:rsidRDefault="008B2957" w:rsidP="0013526B">
            <w:pPr>
              <w:ind w:left="522" w:right="-57"/>
              <w:jc w:val="both"/>
              <w:rPr>
                <w:bCs w:val="0"/>
                <w:sz w:val="10"/>
                <w:szCs w:val="18"/>
              </w:rPr>
            </w:pPr>
          </w:p>
        </w:tc>
        <w:tc>
          <w:tcPr>
            <w:tcW w:w="4602" w:type="dxa"/>
            <w:tcBorders>
              <w:top w:val="nil"/>
              <w:left w:val="nil"/>
              <w:bottom w:val="nil"/>
              <w:right w:val="nil"/>
            </w:tcBorders>
          </w:tcPr>
          <w:p w14:paraId="479A0A96" w14:textId="77777777" w:rsidR="008B2957" w:rsidRPr="0001539D" w:rsidRDefault="008B2957" w:rsidP="0013526B">
            <w:pPr>
              <w:tabs>
                <w:tab w:val="left" w:pos="5590"/>
                <w:tab w:val="right" w:pos="7620"/>
                <w:tab w:val="right" w:pos="9460"/>
                <w:tab w:val="right" w:pos="10080"/>
              </w:tabs>
              <w:ind w:left="651" w:right="-57"/>
              <w:jc w:val="both"/>
              <w:rPr>
                <w:bCs w:val="0"/>
                <w:i/>
                <w:sz w:val="10"/>
                <w:szCs w:val="18"/>
              </w:rPr>
            </w:pPr>
          </w:p>
        </w:tc>
      </w:tr>
      <w:tr w:rsidR="008B2957" w:rsidRPr="0011757A" w14:paraId="0D8421B7" w14:textId="77777777" w:rsidTr="0011757A">
        <w:trPr>
          <w:trHeight w:val="20"/>
        </w:trPr>
        <w:tc>
          <w:tcPr>
            <w:tcW w:w="4602" w:type="dxa"/>
            <w:tcBorders>
              <w:top w:val="nil"/>
              <w:left w:val="nil"/>
              <w:bottom w:val="nil"/>
              <w:right w:val="nil"/>
            </w:tcBorders>
          </w:tcPr>
          <w:p w14:paraId="1CA6CD75" w14:textId="77777777" w:rsidR="008B2957" w:rsidRPr="0001539D" w:rsidRDefault="008B2957" w:rsidP="00070D1F">
            <w:pPr>
              <w:pStyle w:val="Default"/>
              <w:numPr>
                <w:ilvl w:val="0"/>
                <w:numId w:val="146"/>
              </w:numPr>
              <w:ind w:left="851" w:right="-57" w:hanging="284"/>
              <w:jc w:val="both"/>
              <w:rPr>
                <w:rFonts w:ascii="Times New Roman" w:hAnsi="Times New Roman" w:cs="Times New Roman"/>
                <w:b/>
                <w:bCs/>
                <w:sz w:val="18"/>
                <w:szCs w:val="18"/>
              </w:rPr>
            </w:pPr>
            <w:r w:rsidRPr="0001539D">
              <w:rPr>
                <w:rFonts w:ascii="Times New Roman" w:hAnsi="Times New Roman" w:cs="Times New Roman"/>
                <w:b/>
                <w:sz w:val="18"/>
                <w:szCs w:val="18"/>
              </w:rPr>
              <w:t xml:space="preserve">Penghentian Pengakuan Aset dan Liabilitas Keuangan </w:t>
            </w:r>
            <w:r w:rsidR="003151BF" w:rsidRPr="0001539D">
              <w:rPr>
                <w:rFonts w:ascii="Times New Roman" w:hAnsi="Times New Roman" w:cs="Times New Roman"/>
                <w:b/>
                <w:sz w:val="18"/>
                <w:szCs w:val="18"/>
                <w:lang w:val="id-ID"/>
              </w:rPr>
              <w:t>-</w:t>
            </w:r>
            <w:r w:rsidRPr="0001539D">
              <w:rPr>
                <w:rFonts w:ascii="Times New Roman" w:hAnsi="Times New Roman" w:cs="Times New Roman"/>
                <w:b/>
                <w:sz w:val="18"/>
                <w:szCs w:val="18"/>
              </w:rPr>
              <w:t xml:space="preserve"> Lanjutan</w:t>
            </w:r>
          </w:p>
        </w:tc>
        <w:tc>
          <w:tcPr>
            <w:tcW w:w="4602" w:type="dxa"/>
            <w:tcBorders>
              <w:top w:val="nil"/>
              <w:left w:val="nil"/>
              <w:bottom w:val="nil"/>
              <w:right w:val="nil"/>
            </w:tcBorders>
          </w:tcPr>
          <w:p w14:paraId="4624D174" w14:textId="77777777" w:rsidR="008B2957" w:rsidRPr="0001539D" w:rsidRDefault="008B2957" w:rsidP="00070D1F">
            <w:pPr>
              <w:pStyle w:val="ListParagraph"/>
              <w:numPr>
                <w:ilvl w:val="0"/>
                <w:numId w:val="147"/>
              </w:numPr>
              <w:ind w:left="851" w:right="-57" w:hanging="284"/>
              <w:jc w:val="both"/>
              <w:rPr>
                <w:b/>
                <w:bCs w:val="0"/>
                <w:i/>
                <w:sz w:val="18"/>
                <w:szCs w:val="18"/>
              </w:rPr>
            </w:pPr>
            <w:r w:rsidRPr="0001539D">
              <w:rPr>
                <w:b/>
                <w:i/>
                <w:sz w:val="18"/>
                <w:szCs w:val="18"/>
              </w:rPr>
              <w:t>Derecognition of Financial Assets and Financial Liabilities - Continued</w:t>
            </w:r>
          </w:p>
        </w:tc>
      </w:tr>
      <w:tr w:rsidR="008B2957" w:rsidRPr="0011757A" w14:paraId="24BCBCD6" w14:textId="77777777" w:rsidTr="0011757A">
        <w:trPr>
          <w:trHeight w:val="20"/>
        </w:trPr>
        <w:tc>
          <w:tcPr>
            <w:tcW w:w="4602" w:type="dxa"/>
            <w:tcBorders>
              <w:top w:val="nil"/>
              <w:left w:val="nil"/>
              <w:bottom w:val="nil"/>
              <w:right w:val="nil"/>
            </w:tcBorders>
          </w:tcPr>
          <w:p w14:paraId="210E2367" w14:textId="77777777" w:rsidR="008B2957" w:rsidRPr="0001539D" w:rsidRDefault="008B2957" w:rsidP="0013526B">
            <w:pPr>
              <w:ind w:left="522" w:right="-57"/>
              <w:jc w:val="both"/>
              <w:rPr>
                <w:bCs w:val="0"/>
                <w:sz w:val="10"/>
                <w:szCs w:val="18"/>
              </w:rPr>
            </w:pPr>
          </w:p>
        </w:tc>
        <w:tc>
          <w:tcPr>
            <w:tcW w:w="4602" w:type="dxa"/>
            <w:tcBorders>
              <w:top w:val="nil"/>
              <w:left w:val="nil"/>
              <w:bottom w:val="nil"/>
              <w:right w:val="nil"/>
            </w:tcBorders>
          </w:tcPr>
          <w:p w14:paraId="3670E98E" w14:textId="77777777" w:rsidR="008B2957" w:rsidRPr="0001539D" w:rsidRDefault="008B2957" w:rsidP="0013526B">
            <w:pPr>
              <w:tabs>
                <w:tab w:val="left" w:pos="5590"/>
                <w:tab w:val="right" w:pos="7620"/>
                <w:tab w:val="right" w:pos="9460"/>
                <w:tab w:val="right" w:pos="10080"/>
              </w:tabs>
              <w:ind w:left="651" w:right="-57"/>
              <w:jc w:val="both"/>
              <w:rPr>
                <w:bCs w:val="0"/>
                <w:i/>
                <w:sz w:val="10"/>
                <w:szCs w:val="18"/>
              </w:rPr>
            </w:pPr>
          </w:p>
        </w:tc>
      </w:tr>
      <w:tr w:rsidR="008B2957" w:rsidRPr="0011757A" w14:paraId="0A9129DA" w14:textId="77777777" w:rsidTr="0011757A">
        <w:trPr>
          <w:trHeight w:val="20"/>
        </w:trPr>
        <w:tc>
          <w:tcPr>
            <w:tcW w:w="4602" w:type="dxa"/>
            <w:tcBorders>
              <w:top w:val="nil"/>
              <w:left w:val="nil"/>
              <w:bottom w:val="nil"/>
              <w:right w:val="nil"/>
            </w:tcBorders>
          </w:tcPr>
          <w:p w14:paraId="77A525D2" w14:textId="77777777" w:rsidR="008B2957" w:rsidRPr="0001539D" w:rsidRDefault="008B2957" w:rsidP="0013526B">
            <w:pPr>
              <w:ind w:left="851" w:right="-57"/>
              <w:jc w:val="both"/>
              <w:rPr>
                <w:b/>
                <w:bCs w:val="0"/>
                <w:sz w:val="18"/>
                <w:szCs w:val="18"/>
              </w:rPr>
            </w:pPr>
            <w:r w:rsidRPr="0001539D">
              <w:rPr>
                <w:b/>
                <w:sz w:val="18"/>
                <w:szCs w:val="18"/>
              </w:rPr>
              <w:t>Liabilitas Keuangan</w:t>
            </w:r>
          </w:p>
        </w:tc>
        <w:tc>
          <w:tcPr>
            <w:tcW w:w="4602" w:type="dxa"/>
            <w:tcBorders>
              <w:top w:val="nil"/>
              <w:left w:val="nil"/>
              <w:bottom w:val="nil"/>
              <w:right w:val="nil"/>
            </w:tcBorders>
          </w:tcPr>
          <w:p w14:paraId="15A8DF74" w14:textId="77777777" w:rsidR="008B2957" w:rsidRPr="0001539D" w:rsidRDefault="008B2957" w:rsidP="0013526B">
            <w:pPr>
              <w:tabs>
                <w:tab w:val="left" w:pos="5590"/>
                <w:tab w:val="right" w:pos="7620"/>
                <w:tab w:val="right" w:pos="9460"/>
                <w:tab w:val="right" w:pos="10080"/>
              </w:tabs>
              <w:ind w:left="851" w:right="-57"/>
              <w:jc w:val="both"/>
              <w:rPr>
                <w:b/>
                <w:bCs w:val="0"/>
                <w:i/>
                <w:sz w:val="18"/>
                <w:szCs w:val="18"/>
              </w:rPr>
            </w:pPr>
            <w:r w:rsidRPr="0001539D">
              <w:rPr>
                <w:b/>
                <w:i/>
                <w:sz w:val="18"/>
                <w:szCs w:val="18"/>
              </w:rPr>
              <w:t>Financial Liabilities</w:t>
            </w:r>
          </w:p>
        </w:tc>
      </w:tr>
      <w:tr w:rsidR="008B2957" w:rsidRPr="0011757A" w14:paraId="0F083567" w14:textId="77777777" w:rsidTr="0011757A">
        <w:trPr>
          <w:trHeight w:val="20"/>
        </w:trPr>
        <w:tc>
          <w:tcPr>
            <w:tcW w:w="4602" w:type="dxa"/>
            <w:tcBorders>
              <w:top w:val="nil"/>
              <w:left w:val="nil"/>
              <w:bottom w:val="nil"/>
              <w:right w:val="nil"/>
            </w:tcBorders>
          </w:tcPr>
          <w:p w14:paraId="7DFF5952" w14:textId="77777777" w:rsidR="008B2957" w:rsidRPr="0001539D" w:rsidRDefault="008B2957" w:rsidP="0013526B">
            <w:pPr>
              <w:ind w:left="522" w:right="-57"/>
              <w:jc w:val="both"/>
              <w:rPr>
                <w:bCs w:val="0"/>
                <w:sz w:val="10"/>
                <w:szCs w:val="18"/>
              </w:rPr>
            </w:pPr>
          </w:p>
        </w:tc>
        <w:tc>
          <w:tcPr>
            <w:tcW w:w="4602" w:type="dxa"/>
            <w:tcBorders>
              <w:top w:val="nil"/>
              <w:left w:val="nil"/>
              <w:bottom w:val="nil"/>
              <w:right w:val="nil"/>
            </w:tcBorders>
          </w:tcPr>
          <w:p w14:paraId="4812A9C8" w14:textId="77777777" w:rsidR="008B2957" w:rsidRPr="0001539D" w:rsidRDefault="008B2957" w:rsidP="0013526B">
            <w:pPr>
              <w:tabs>
                <w:tab w:val="left" w:pos="5590"/>
                <w:tab w:val="right" w:pos="7620"/>
                <w:tab w:val="right" w:pos="9460"/>
                <w:tab w:val="right" w:pos="10080"/>
              </w:tabs>
              <w:ind w:left="651" w:right="-57"/>
              <w:jc w:val="both"/>
              <w:rPr>
                <w:bCs w:val="0"/>
                <w:i/>
                <w:sz w:val="10"/>
                <w:szCs w:val="18"/>
              </w:rPr>
            </w:pPr>
          </w:p>
        </w:tc>
      </w:tr>
      <w:tr w:rsidR="008B2957" w:rsidRPr="0011757A" w14:paraId="6205C367" w14:textId="77777777" w:rsidTr="0011757A">
        <w:trPr>
          <w:trHeight w:val="20"/>
        </w:trPr>
        <w:tc>
          <w:tcPr>
            <w:tcW w:w="4602" w:type="dxa"/>
            <w:tcBorders>
              <w:top w:val="nil"/>
              <w:left w:val="nil"/>
              <w:bottom w:val="nil"/>
              <w:right w:val="nil"/>
            </w:tcBorders>
          </w:tcPr>
          <w:p w14:paraId="48F5586E" w14:textId="70C11409" w:rsidR="008B2957" w:rsidRPr="0001539D" w:rsidRDefault="008B2957" w:rsidP="00C25313">
            <w:pPr>
              <w:ind w:left="851" w:right="-57"/>
              <w:jc w:val="both"/>
              <w:rPr>
                <w:bCs w:val="0"/>
                <w:sz w:val="18"/>
                <w:szCs w:val="18"/>
              </w:rPr>
            </w:pPr>
            <w:r w:rsidRPr="0001539D">
              <w:rPr>
                <w:sz w:val="18"/>
                <w:szCs w:val="18"/>
              </w:rPr>
              <w:t>Liabilitas keuangan dihentikan pengakuannya pada saat liabilitas tersebut dihentikan atau dibatalkan atau kadaluarsa. Ketika suatu liabilitas keuangan yang ada digantikan oleh liabilitas keuangan lain dari pemberi pinjaman yang sama dengan persyaratan yang berbeda secara substansial</w:t>
            </w:r>
            <w:r w:rsidR="00C25313">
              <w:rPr>
                <w:sz w:val="18"/>
                <w:szCs w:val="18"/>
              </w:rPr>
              <w:t>,</w:t>
            </w:r>
            <w:r w:rsidRPr="0001539D">
              <w:rPr>
                <w:sz w:val="18"/>
                <w:szCs w:val="18"/>
              </w:rPr>
              <w:t xml:space="preserve"> atau modifikasi secara substansial persyaratan dari suatu liabilitas yang saat ini ada</w:t>
            </w:r>
            <w:r w:rsidR="00C25313">
              <w:rPr>
                <w:sz w:val="18"/>
                <w:szCs w:val="18"/>
              </w:rPr>
              <w:t>,</w:t>
            </w:r>
            <w:r w:rsidRPr="0001539D">
              <w:rPr>
                <w:sz w:val="18"/>
                <w:szCs w:val="18"/>
              </w:rPr>
              <w:t xml:space="preserve"> pertukaran atau modifikasi tersebut diperlakukan sebagai penghentian pengakuan liabilitas awal dan pengakuan suatu liabilitas baru</w:t>
            </w:r>
            <w:r w:rsidR="00C25313">
              <w:rPr>
                <w:sz w:val="18"/>
                <w:szCs w:val="18"/>
              </w:rPr>
              <w:t>,</w:t>
            </w:r>
            <w:r w:rsidRPr="0001539D">
              <w:rPr>
                <w:sz w:val="18"/>
                <w:szCs w:val="18"/>
              </w:rPr>
              <w:t xml:space="preserve"> dan selisih antara nilai tercatat masing-masing liabilitas diakui dalam laporan laba rugi dan penghasilan komprehensif lain</w:t>
            </w:r>
            <w:r w:rsidR="007E5740" w:rsidRPr="0001539D">
              <w:rPr>
                <w:sz w:val="18"/>
                <w:szCs w:val="18"/>
                <w:lang w:val="id-ID"/>
              </w:rPr>
              <w:t xml:space="preserve"> konsolidasian</w:t>
            </w:r>
            <w:r w:rsidRPr="0001539D">
              <w:rPr>
                <w:sz w:val="18"/>
                <w:szCs w:val="18"/>
              </w:rPr>
              <w:t>.</w:t>
            </w:r>
          </w:p>
        </w:tc>
        <w:tc>
          <w:tcPr>
            <w:tcW w:w="4602" w:type="dxa"/>
            <w:tcBorders>
              <w:top w:val="nil"/>
              <w:left w:val="nil"/>
              <w:bottom w:val="nil"/>
              <w:right w:val="nil"/>
            </w:tcBorders>
          </w:tcPr>
          <w:p w14:paraId="074E4DA7" w14:textId="0C651DCE" w:rsidR="008B2957" w:rsidRPr="0001539D" w:rsidRDefault="008B2957" w:rsidP="00C25313">
            <w:pPr>
              <w:tabs>
                <w:tab w:val="left" w:pos="5590"/>
                <w:tab w:val="right" w:pos="7620"/>
                <w:tab w:val="right" w:pos="9460"/>
                <w:tab w:val="right" w:pos="10080"/>
              </w:tabs>
              <w:ind w:left="851" w:right="-57"/>
              <w:jc w:val="both"/>
              <w:rPr>
                <w:bCs w:val="0"/>
                <w:i/>
                <w:sz w:val="18"/>
                <w:szCs w:val="18"/>
              </w:rPr>
            </w:pPr>
            <w:r w:rsidRPr="0001539D">
              <w:rPr>
                <w:i/>
                <w:sz w:val="18"/>
                <w:szCs w:val="18"/>
              </w:rPr>
              <w:t>Financial liabilities are derecognized when the liability is terminated or canceled or expired. When an existing financial liability is replaced by another financial liabilities from the same lender on substantially different terms</w:t>
            </w:r>
            <w:r w:rsidR="00C25313">
              <w:rPr>
                <w:i/>
                <w:sz w:val="18"/>
                <w:szCs w:val="18"/>
              </w:rPr>
              <w:t>,</w:t>
            </w:r>
            <w:r w:rsidRPr="0001539D">
              <w:rPr>
                <w:i/>
                <w:sz w:val="18"/>
                <w:szCs w:val="18"/>
              </w:rPr>
              <w:t xml:space="preserve"> or substantially modify the terms of a liability that currently exists</w:t>
            </w:r>
            <w:r w:rsidR="00C25313">
              <w:rPr>
                <w:i/>
                <w:sz w:val="18"/>
                <w:szCs w:val="18"/>
              </w:rPr>
              <w:t>,</w:t>
            </w:r>
            <w:r w:rsidRPr="0001539D">
              <w:rPr>
                <w:i/>
                <w:sz w:val="18"/>
                <w:szCs w:val="18"/>
              </w:rPr>
              <w:t xml:space="preserve"> an exchange or modification is treated as a derecognition of the initial liability and the recognition of a new liability</w:t>
            </w:r>
            <w:r w:rsidR="00C25313">
              <w:rPr>
                <w:i/>
                <w:sz w:val="18"/>
                <w:szCs w:val="18"/>
              </w:rPr>
              <w:t>,</w:t>
            </w:r>
            <w:r w:rsidRPr="0001539D">
              <w:rPr>
                <w:i/>
                <w:sz w:val="18"/>
                <w:szCs w:val="18"/>
              </w:rPr>
              <w:t xml:space="preserve"> and the difference between the carrying amount of each liability recognized in the </w:t>
            </w:r>
            <w:r w:rsidR="007E5740" w:rsidRPr="0001539D">
              <w:rPr>
                <w:i/>
                <w:sz w:val="18"/>
                <w:szCs w:val="18"/>
                <w:lang w:val="id-ID"/>
              </w:rPr>
              <w:t xml:space="preserve">consolidated </w:t>
            </w:r>
            <w:r w:rsidRPr="0001539D">
              <w:rPr>
                <w:i/>
                <w:sz w:val="18"/>
                <w:szCs w:val="18"/>
              </w:rPr>
              <w:t>statement of profit or loss and other comprehensive income.</w:t>
            </w:r>
          </w:p>
        </w:tc>
      </w:tr>
      <w:tr w:rsidR="008B2957" w:rsidRPr="0011757A" w14:paraId="636D9F52" w14:textId="77777777" w:rsidTr="0011757A">
        <w:trPr>
          <w:trHeight w:val="20"/>
        </w:trPr>
        <w:tc>
          <w:tcPr>
            <w:tcW w:w="4602" w:type="dxa"/>
            <w:tcBorders>
              <w:top w:val="nil"/>
              <w:left w:val="nil"/>
              <w:bottom w:val="nil"/>
              <w:right w:val="nil"/>
            </w:tcBorders>
          </w:tcPr>
          <w:p w14:paraId="1226280D" w14:textId="77777777" w:rsidR="008B2957" w:rsidRPr="0011757A" w:rsidRDefault="008B2957" w:rsidP="0013526B">
            <w:pPr>
              <w:ind w:left="522" w:right="-57"/>
              <w:jc w:val="both"/>
              <w:rPr>
                <w:bCs w:val="0"/>
                <w:sz w:val="10"/>
                <w:szCs w:val="18"/>
                <w:highlight w:val="cyan"/>
              </w:rPr>
            </w:pPr>
          </w:p>
        </w:tc>
        <w:tc>
          <w:tcPr>
            <w:tcW w:w="4602" w:type="dxa"/>
            <w:tcBorders>
              <w:top w:val="nil"/>
              <w:left w:val="nil"/>
              <w:bottom w:val="nil"/>
              <w:right w:val="nil"/>
            </w:tcBorders>
          </w:tcPr>
          <w:p w14:paraId="5CDB4832" w14:textId="77777777" w:rsidR="008B2957" w:rsidRPr="0011757A" w:rsidRDefault="008B2957" w:rsidP="0013526B">
            <w:pPr>
              <w:tabs>
                <w:tab w:val="left" w:pos="5590"/>
                <w:tab w:val="right" w:pos="7620"/>
                <w:tab w:val="right" w:pos="9460"/>
                <w:tab w:val="right" w:pos="10080"/>
              </w:tabs>
              <w:ind w:left="651" w:right="-57"/>
              <w:jc w:val="both"/>
              <w:rPr>
                <w:bCs w:val="0"/>
                <w:i/>
                <w:sz w:val="10"/>
                <w:szCs w:val="18"/>
                <w:highlight w:val="cyan"/>
              </w:rPr>
            </w:pPr>
          </w:p>
        </w:tc>
      </w:tr>
      <w:tr w:rsidR="008B2957" w:rsidRPr="0001539D" w14:paraId="42BF7873" w14:textId="77777777" w:rsidTr="0011757A">
        <w:trPr>
          <w:trHeight w:val="20"/>
        </w:trPr>
        <w:tc>
          <w:tcPr>
            <w:tcW w:w="4602" w:type="dxa"/>
            <w:tcBorders>
              <w:top w:val="nil"/>
              <w:left w:val="nil"/>
              <w:bottom w:val="nil"/>
              <w:right w:val="nil"/>
            </w:tcBorders>
          </w:tcPr>
          <w:p w14:paraId="7F8601F9" w14:textId="77777777" w:rsidR="008B2957" w:rsidRPr="0001539D" w:rsidRDefault="008B2957" w:rsidP="00070D1F">
            <w:pPr>
              <w:pStyle w:val="Default"/>
              <w:numPr>
                <w:ilvl w:val="0"/>
                <w:numId w:val="146"/>
              </w:numPr>
              <w:ind w:left="851" w:right="-57" w:hanging="284"/>
              <w:jc w:val="both"/>
              <w:rPr>
                <w:rFonts w:ascii="Times New Roman" w:hAnsi="Times New Roman" w:cs="Times New Roman"/>
                <w:b/>
                <w:bCs/>
                <w:sz w:val="18"/>
                <w:szCs w:val="18"/>
              </w:rPr>
            </w:pPr>
            <w:r w:rsidRPr="0001539D">
              <w:rPr>
                <w:rFonts w:ascii="Times New Roman" w:hAnsi="Times New Roman" w:cs="Times New Roman"/>
                <w:b/>
                <w:sz w:val="18"/>
                <w:szCs w:val="18"/>
              </w:rPr>
              <w:t>Instrumen Derivatif</w:t>
            </w:r>
          </w:p>
        </w:tc>
        <w:tc>
          <w:tcPr>
            <w:tcW w:w="4602" w:type="dxa"/>
            <w:tcBorders>
              <w:top w:val="nil"/>
              <w:left w:val="nil"/>
              <w:bottom w:val="nil"/>
              <w:right w:val="nil"/>
            </w:tcBorders>
          </w:tcPr>
          <w:p w14:paraId="5306B0F5" w14:textId="77777777" w:rsidR="008B2957" w:rsidRPr="0001539D" w:rsidRDefault="008B2957" w:rsidP="00070D1F">
            <w:pPr>
              <w:pStyle w:val="ListParagraph"/>
              <w:numPr>
                <w:ilvl w:val="0"/>
                <w:numId w:val="147"/>
              </w:numPr>
              <w:ind w:left="851" w:right="-57" w:hanging="284"/>
              <w:jc w:val="both"/>
              <w:rPr>
                <w:b/>
                <w:bCs w:val="0"/>
                <w:i/>
                <w:sz w:val="18"/>
                <w:szCs w:val="18"/>
              </w:rPr>
            </w:pPr>
            <w:r w:rsidRPr="0001539D">
              <w:rPr>
                <w:b/>
                <w:i/>
                <w:sz w:val="18"/>
                <w:szCs w:val="18"/>
              </w:rPr>
              <w:t>Derivative Instruments</w:t>
            </w:r>
          </w:p>
        </w:tc>
      </w:tr>
      <w:tr w:rsidR="00C0202D" w:rsidRPr="0001539D" w14:paraId="2138691C" w14:textId="77777777" w:rsidTr="0011757A">
        <w:trPr>
          <w:trHeight w:val="20"/>
        </w:trPr>
        <w:tc>
          <w:tcPr>
            <w:tcW w:w="4602" w:type="dxa"/>
            <w:tcBorders>
              <w:top w:val="nil"/>
              <w:left w:val="nil"/>
              <w:bottom w:val="nil"/>
              <w:right w:val="nil"/>
            </w:tcBorders>
          </w:tcPr>
          <w:p w14:paraId="467CBEA0" w14:textId="77777777" w:rsidR="00C0202D" w:rsidRPr="0001539D" w:rsidRDefault="00C0202D" w:rsidP="00C0202D">
            <w:pPr>
              <w:ind w:left="522" w:right="-57"/>
              <w:jc w:val="both"/>
              <w:rPr>
                <w:bCs w:val="0"/>
                <w:sz w:val="8"/>
                <w:szCs w:val="18"/>
              </w:rPr>
            </w:pPr>
          </w:p>
        </w:tc>
        <w:tc>
          <w:tcPr>
            <w:tcW w:w="4602" w:type="dxa"/>
            <w:tcBorders>
              <w:top w:val="nil"/>
              <w:left w:val="nil"/>
              <w:bottom w:val="nil"/>
              <w:right w:val="nil"/>
            </w:tcBorders>
          </w:tcPr>
          <w:p w14:paraId="3AA9DAB7" w14:textId="77777777" w:rsidR="00C0202D" w:rsidRPr="0001539D" w:rsidRDefault="00C0202D" w:rsidP="00C0202D">
            <w:pPr>
              <w:tabs>
                <w:tab w:val="left" w:pos="5590"/>
                <w:tab w:val="right" w:pos="7620"/>
                <w:tab w:val="right" w:pos="9460"/>
                <w:tab w:val="right" w:pos="10080"/>
              </w:tabs>
              <w:ind w:left="651" w:right="-57"/>
              <w:jc w:val="both"/>
              <w:rPr>
                <w:bCs w:val="0"/>
                <w:i/>
                <w:sz w:val="8"/>
                <w:szCs w:val="18"/>
              </w:rPr>
            </w:pPr>
          </w:p>
        </w:tc>
      </w:tr>
      <w:tr w:rsidR="008B2957" w:rsidRPr="0001539D" w14:paraId="005A0C0B" w14:textId="77777777" w:rsidTr="0011757A">
        <w:trPr>
          <w:trHeight w:val="20"/>
        </w:trPr>
        <w:tc>
          <w:tcPr>
            <w:tcW w:w="4602" w:type="dxa"/>
            <w:tcBorders>
              <w:top w:val="nil"/>
              <w:left w:val="nil"/>
              <w:bottom w:val="nil"/>
              <w:right w:val="nil"/>
            </w:tcBorders>
          </w:tcPr>
          <w:p w14:paraId="0C252DB8" w14:textId="73F08FF7" w:rsidR="008B2957" w:rsidRPr="0001539D" w:rsidRDefault="008B2957" w:rsidP="00C25313">
            <w:pPr>
              <w:ind w:left="851" w:right="-57"/>
              <w:jc w:val="both"/>
              <w:rPr>
                <w:bCs w:val="0"/>
                <w:sz w:val="18"/>
                <w:szCs w:val="18"/>
              </w:rPr>
            </w:pPr>
            <w:r w:rsidRPr="0001539D">
              <w:rPr>
                <w:sz w:val="18"/>
                <w:szCs w:val="18"/>
              </w:rPr>
              <w:t>Instrumen keuangan derivatif pada awalnya diakui berdasarkan nilai wajar pada tanggal kontrak derivatif itu dimulai dan selanjutnya dinilai kembali berdasarkan nilai wajarnya. Metode untuk mengakui adanya keuntungan atau kerugian yang terjadi tergantung apakah derivatif itu ditujukan untuk instrumen derivatif</w:t>
            </w:r>
            <w:r w:rsidR="00C25313">
              <w:rPr>
                <w:sz w:val="18"/>
                <w:szCs w:val="18"/>
              </w:rPr>
              <w:t>,</w:t>
            </w:r>
            <w:r w:rsidRPr="0001539D">
              <w:rPr>
                <w:sz w:val="18"/>
                <w:szCs w:val="18"/>
              </w:rPr>
              <w:t xml:space="preserve"> dan sifat dari objek yang dilindungi nilainya.</w:t>
            </w:r>
          </w:p>
        </w:tc>
        <w:tc>
          <w:tcPr>
            <w:tcW w:w="4602" w:type="dxa"/>
            <w:tcBorders>
              <w:top w:val="nil"/>
              <w:left w:val="nil"/>
              <w:bottom w:val="nil"/>
              <w:right w:val="nil"/>
            </w:tcBorders>
          </w:tcPr>
          <w:p w14:paraId="09579775" w14:textId="77777777" w:rsidR="008B2957" w:rsidRPr="0001539D" w:rsidRDefault="008B2957" w:rsidP="0013526B">
            <w:pPr>
              <w:tabs>
                <w:tab w:val="left" w:pos="5590"/>
                <w:tab w:val="right" w:pos="7620"/>
                <w:tab w:val="right" w:pos="9460"/>
                <w:tab w:val="right" w:pos="10080"/>
              </w:tabs>
              <w:ind w:left="851" w:right="-57"/>
              <w:jc w:val="both"/>
              <w:rPr>
                <w:bCs w:val="0"/>
                <w:i/>
                <w:sz w:val="18"/>
                <w:szCs w:val="18"/>
              </w:rPr>
            </w:pPr>
            <w:r w:rsidRPr="0001539D">
              <w:rPr>
                <w:i/>
                <w:sz w:val="18"/>
                <w:szCs w:val="18"/>
              </w:rPr>
              <w:t>Derivative financial instruments are initially recognized at fair value on the date a derivative contract is initiated and subsequently remeasured at fair value. The method of recognizing the resulting gain or loss is dependent whether the derivative is intended for derivative instruments and the nature of the item being hedged.</w:t>
            </w:r>
          </w:p>
        </w:tc>
      </w:tr>
      <w:tr w:rsidR="008B2957" w:rsidRPr="0001539D" w14:paraId="0D3F1745" w14:textId="77777777" w:rsidTr="0011757A">
        <w:trPr>
          <w:trHeight w:val="20"/>
        </w:trPr>
        <w:tc>
          <w:tcPr>
            <w:tcW w:w="4602" w:type="dxa"/>
            <w:tcBorders>
              <w:top w:val="nil"/>
              <w:left w:val="nil"/>
              <w:bottom w:val="nil"/>
              <w:right w:val="nil"/>
            </w:tcBorders>
          </w:tcPr>
          <w:p w14:paraId="198CBFBD" w14:textId="77777777" w:rsidR="008B2957" w:rsidRPr="0001539D" w:rsidRDefault="008B2957" w:rsidP="0013526B">
            <w:pPr>
              <w:ind w:left="522" w:right="-57"/>
              <w:jc w:val="both"/>
              <w:rPr>
                <w:bCs w:val="0"/>
                <w:sz w:val="10"/>
                <w:szCs w:val="18"/>
              </w:rPr>
            </w:pPr>
          </w:p>
        </w:tc>
        <w:tc>
          <w:tcPr>
            <w:tcW w:w="4602" w:type="dxa"/>
            <w:tcBorders>
              <w:top w:val="nil"/>
              <w:left w:val="nil"/>
              <w:bottom w:val="nil"/>
              <w:right w:val="nil"/>
            </w:tcBorders>
          </w:tcPr>
          <w:p w14:paraId="47A482EA" w14:textId="77777777" w:rsidR="008B2957" w:rsidRPr="0001539D" w:rsidRDefault="008B2957" w:rsidP="0013526B">
            <w:pPr>
              <w:tabs>
                <w:tab w:val="left" w:pos="5590"/>
                <w:tab w:val="right" w:pos="7620"/>
                <w:tab w:val="right" w:pos="9460"/>
                <w:tab w:val="right" w:pos="10080"/>
              </w:tabs>
              <w:ind w:left="651" w:right="-57"/>
              <w:jc w:val="both"/>
              <w:rPr>
                <w:bCs w:val="0"/>
                <w:i/>
                <w:sz w:val="10"/>
                <w:szCs w:val="18"/>
              </w:rPr>
            </w:pPr>
          </w:p>
        </w:tc>
      </w:tr>
      <w:tr w:rsidR="008B2957" w:rsidRPr="0001539D" w14:paraId="63EEDC68" w14:textId="77777777" w:rsidTr="0011757A">
        <w:trPr>
          <w:trHeight w:val="20"/>
        </w:trPr>
        <w:tc>
          <w:tcPr>
            <w:tcW w:w="4602" w:type="dxa"/>
            <w:tcBorders>
              <w:top w:val="nil"/>
              <w:left w:val="nil"/>
              <w:bottom w:val="nil"/>
              <w:right w:val="nil"/>
            </w:tcBorders>
          </w:tcPr>
          <w:p w14:paraId="486C69F6" w14:textId="224504EC" w:rsidR="008B2957" w:rsidRPr="0001539D" w:rsidRDefault="00716854" w:rsidP="0013526B">
            <w:pPr>
              <w:ind w:left="851" w:right="-57"/>
              <w:jc w:val="both"/>
              <w:rPr>
                <w:bCs w:val="0"/>
                <w:sz w:val="18"/>
                <w:szCs w:val="18"/>
              </w:rPr>
            </w:pPr>
            <w:r w:rsidRPr="0001539D">
              <w:rPr>
                <w:sz w:val="18"/>
                <w:szCs w:val="18"/>
              </w:rPr>
              <w:t>Kelompok Usaha</w:t>
            </w:r>
            <w:r w:rsidR="008B2957" w:rsidRPr="0001539D">
              <w:rPr>
                <w:sz w:val="18"/>
                <w:szCs w:val="18"/>
              </w:rPr>
              <w:t xml:space="preserve"> mengelompokkan tujuan dari derivatif sebagai</w:t>
            </w:r>
            <w:r w:rsidR="009D4C03" w:rsidRPr="0001539D">
              <w:rPr>
                <w:sz w:val="18"/>
                <w:szCs w:val="18"/>
              </w:rPr>
              <w:t>:</w:t>
            </w:r>
          </w:p>
          <w:p w14:paraId="0229EF8B" w14:textId="1A53EE2F" w:rsidR="008B2957" w:rsidRPr="0001539D" w:rsidRDefault="008B2957" w:rsidP="00070D1F">
            <w:pPr>
              <w:numPr>
                <w:ilvl w:val="0"/>
                <w:numId w:val="148"/>
              </w:numPr>
              <w:ind w:left="1135" w:right="-57" w:hanging="284"/>
              <w:jc w:val="both"/>
              <w:rPr>
                <w:bCs w:val="0"/>
                <w:sz w:val="18"/>
                <w:szCs w:val="18"/>
              </w:rPr>
            </w:pPr>
            <w:r w:rsidRPr="0001539D">
              <w:rPr>
                <w:sz w:val="18"/>
                <w:szCs w:val="18"/>
              </w:rPr>
              <w:t xml:space="preserve">suatu lindung nilai terhadap eksposur perubahan nilai wajar atas aset atau liabilitas yang telah diakui atau komitmen pasti yang </w:t>
            </w:r>
            <w:r w:rsidRPr="0001539D">
              <w:rPr>
                <w:bCs w:val="0"/>
                <w:sz w:val="18"/>
                <w:szCs w:val="18"/>
              </w:rPr>
              <w:t>belum</w:t>
            </w:r>
            <w:r w:rsidRPr="0001539D">
              <w:rPr>
                <w:sz w:val="18"/>
                <w:szCs w:val="18"/>
              </w:rPr>
              <w:t xml:space="preserve"> diakui</w:t>
            </w:r>
            <w:r w:rsidR="00C25313">
              <w:rPr>
                <w:sz w:val="18"/>
                <w:szCs w:val="18"/>
              </w:rPr>
              <w:t>,</w:t>
            </w:r>
            <w:r w:rsidRPr="0001539D">
              <w:rPr>
                <w:sz w:val="18"/>
                <w:szCs w:val="18"/>
              </w:rPr>
              <w:t xml:space="preserve"> atau bagian yang telah diidentifikasi dari </w:t>
            </w:r>
            <w:r w:rsidR="00C25313">
              <w:rPr>
                <w:sz w:val="18"/>
                <w:szCs w:val="18"/>
              </w:rPr>
              <w:t>asset,</w:t>
            </w:r>
            <w:r w:rsidRPr="0001539D">
              <w:rPr>
                <w:sz w:val="18"/>
                <w:szCs w:val="18"/>
              </w:rPr>
              <w:t xml:space="preserve"> liabilitas atau komitmen pasti tersebut</w:t>
            </w:r>
            <w:r w:rsidR="00C25313">
              <w:rPr>
                <w:sz w:val="18"/>
                <w:szCs w:val="18"/>
              </w:rPr>
              <w:t>,</w:t>
            </w:r>
            <w:r w:rsidRPr="0001539D">
              <w:rPr>
                <w:sz w:val="18"/>
                <w:szCs w:val="18"/>
              </w:rPr>
              <w:t xml:space="preserve"> yang diatribusikan pada risiko tertentu dan dapat mempengaruhi laba-rugi (lindung nilai atas nilai wajar); atau</w:t>
            </w:r>
          </w:p>
          <w:p w14:paraId="1DD74D90" w14:textId="77777777" w:rsidR="008B2957" w:rsidRPr="0001539D" w:rsidRDefault="008B2957" w:rsidP="00070D1F">
            <w:pPr>
              <w:numPr>
                <w:ilvl w:val="0"/>
                <w:numId w:val="148"/>
              </w:numPr>
              <w:ind w:left="1135" w:right="-57" w:hanging="284"/>
              <w:jc w:val="both"/>
              <w:rPr>
                <w:bCs w:val="0"/>
                <w:sz w:val="18"/>
                <w:szCs w:val="18"/>
              </w:rPr>
            </w:pPr>
            <w:r w:rsidRPr="0001539D">
              <w:rPr>
                <w:sz w:val="18"/>
                <w:szCs w:val="18"/>
              </w:rPr>
              <w:t xml:space="preserve">suatu lindung nilai terhadap eksposur variabilitas arus kas yang </w:t>
            </w:r>
          </w:p>
          <w:p w14:paraId="67C74B47" w14:textId="6C5507C8" w:rsidR="008B2957" w:rsidRPr="0001539D" w:rsidRDefault="008B2957" w:rsidP="00070D1F">
            <w:pPr>
              <w:pStyle w:val="ListParagraph"/>
              <w:numPr>
                <w:ilvl w:val="0"/>
                <w:numId w:val="150"/>
              </w:numPr>
              <w:ind w:left="1418" w:right="-57" w:hanging="284"/>
              <w:contextualSpacing/>
              <w:jc w:val="both"/>
              <w:rPr>
                <w:bCs w:val="0"/>
                <w:sz w:val="18"/>
                <w:szCs w:val="18"/>
              </w:rPr>
            </w:pPr>
            <w:r w:rsidRPr="0001539D">
              <w:rPr>
                <w:sz w:val="18"/>
                <w:szCs w:val="18"/>
              </w:rPr>
              <w:t xml:space="preserve">dapat diatribusikan pada risiko tertentu yang terkait dengan aset atau liabilitas yang telah diakui atau yang dapat diatribusikan pada risiko tertentu yang terkait </w:t>
            </w:r>
            <w:r w:rsidRPr="0001539D">
              <w:rPr>
                <w:bCs w:val="0"/>
                <w:sz w:val="18"/>
                <w:szCs w:val="18"/>
              </w:rPr>
              <w:t>dengan</w:t>
            </w:r>
            <w:r w:rsidRPr="0001539D">
              <w:rPr>
                <w:sz w:val="18"/>
                <w:szCs w:val="18"/>
              </w:rPr>
              <w:t xml:space="preserve"> </w:t>
            </w:r>
            <w:r w:rsidRPr="0001539D">
              <w:rPr>
                <w:bCs w:val="0"/>
                <w:sz w:val="18"/>
                <w:szCs w:val="18"/>
              </w:rPr>
              <w:t>prakiraan</w:t>
            </w:r>
            <w:r w:rsidRPr="0001539D">
              <w:rPr>
                <w:sz w:val="18"/>
                <w:szCs w:val="18"/>
              </w:rPr>
              <w:t xml:space="preserve"> transaksi yang kemungkinan besar terjadi</w:t>
            </w:r>
            <w:r w:rsidR="00C25313">
              <w:rPr>
                <w:sz w:val="18"/>
                <w:szCs w:val="18"/>
              </w:rPr>
              <w:t>,</w:t>
            </w:r>
            <w:r w:rsidRPr="0001539D">
              <w:rPr>
                <w:sz w:val="18"/>
                <w:szCs w:val="18"/>
              </w:rPr>
              <w:t xml:space="preserve"> dan</w:t>
            </w:r>
          </w:p>
          <w:p w14:paraId="639FDBF3" w14:textId="77777777" w:rsidR="008B2957" w:rsidRPr="0001539D" w:rsidRDefault="008B2957" w:rsidP="00070D1F">
            <w:pPr>
              <w:pStyle w:val="ListParagraph"/>
              <w:numPr>
                <w:ilvl w:val="0"/>
                <w:numId w:val="150"/>
              </w:numPr>
              <w:ind w:left="1418" w:right="-57" w:hanging="284"/>
              <w:contextualSpacing/>
              <w:jc w:val="both"/>
              <w:rPr>
                <w:bCs w:val="0"/>
                <w:sz w:val="18"/>
                <w:szCs w:val="18"/>
              </w:rPr>
            </w:pPr>
            <w:proofErr w:type="gramStart"/>
            <w:r w:rsidRPr="0001539D">
              <w:rPr>
                <w:sz w:val="18"/>
                <w:szCs w:val="18"/>
              </w:rPr>
              <w:t>dapat</w:t>
            </w:r>
            <w:proofErr w:type="gramEnd"/>
            <w:r w:rsidRPr="0001539D">
              <w:rPr>
                <w:sz w:val="18"/>
                <w:szCs w:val="18"/>
              </w:rPr>
              <w:t xml:space="preserve"> mempengaruhi laba-rugi (lindung nilai arus kas).</w:t>
            </w:r>
          </w:p>
        </w:tc>
        <w:tc>
          <w:tcPr>
            <w:tcW w:w="4602" w:type="dxa"/>
            <w:tcBorders>
              <w:top w:val="nil"/>
              <w:left w:val="nil"/>
              <w:bottom w:val="nil"/>
              <w:right w:val="nil"/>
            </w:tcBorders>
          </w:tcPr>
          <w:p w14:paraId="06C5EE78" w14:textId="6B151149" w:rsidR="008B2957" w:rsidRPr="0001539D" w:rsidRDefault="008B2957" w:rsidP="0013526B">
            <w:pPr>
              <w:tabs>
                <w:tab w:val="left" w:pos="5590"/>
                <w:tab w:val="right" w:pos="7620"/>
                <w:tab w:val="right" w:pos="9460"/>
                <w:tab w:val="right" w:pos="10080"/>
              </w:tabs>
              <w:ind w:left="851" w:right="-57"/>
              <w:jc w:val="both"/>
              <w:rPr>
                <w:bCs w:val="0"/>
                <w:i/>
                <w:sz w:val="18"/>
                <w:szCs w:val="18"/>
              </w:rPr>
            </w:pPr>
            <w:r w:rsidRPr="0001539D">
              <w:rPr>
                <w:i/>
                <w:sz w:val="18"/>
                <w:szCs w:val="18"/>
              </w:rPr>
              <w:t xml:space="preserve">The </w:t>
            </w:r>
            <w:r w:rsidR="00716854" w:rsidRPr="0001539D">
              <w:rPr>
                <w:i/>
                <w:sz w:val="18"/>
                <w:szCs w:val="18"/>
                <w:lang w:val="id-ID"/>
              </w:rPr>
              <w:t>Group</w:t>
            </w:r>
            <w:r w:rsidRPr="0001539D">
              <w:rPr>
                <w:i/>
                <w:sz w:val="18"/>
                <w:szCs w:val="18"/>
              </w:rPr>
              <w:t xml:space="preserve"> classifies the objectives of th</w:t>
            </w:r>
            <w:r w:rsidR="009D4C03" w:rsidRPr="0001539D">
              <w:rPr>
                <w:i/>
                <w:sz w:val="18"/>
                <w:szCs w:val="18"/>
              </w:rPr>
              <w:t>e derivative as:</w:t>
            </w:r>
          </w:p>
          <w:p w14:paraId="725A285D" w14:textId="30F699B2" w:rsidR="008B2957" w:rsidRPr="0001539D" w:rsidRDefault="008B2957" w:rsidP="00070D1F">
            <w:pPr>
              <w:pStyle w:val="ListParagraph"/>
              <w:numPr>
                <w:ilvl w:val="0"/>
                <w:numId w:val="149"/>
              </w:numPr>
              <w:ind w:left="1135" w:right="-57" w:hanging="284"/>
              <w:jc w:val="both"/>
              <w:rPr>
                <w:bCs w:val="0"/>
                <w:i/>
                <w:sz w:val="18"/>
                <w:szCs w:val="18"/>
              </w:rPr>
            </w:pPr>
            <w:proofErr w:type="gramStart"/>
            <w:r w:rsidRPr="0001539D">
              <w:rPr>
                <w:i/>
                <w:sz w:val="18"/>
                <w:szCs w:val="18"/>
              </w:rPr>
              <w:t>a</w:t>
            </w:r>
            <w:proofErr w:type="gramEnd"/>
            <w:r w:rsidRPr="0001539D">
              <w:rPr>
                <w:i/>
                <w:sz w:val="18"/>
                <w:szCs w:val="18"/>
              </w:rPr>
              <w:t xml:space="preserve"> hedge against exposure to changes in fair value of assets or liabilities that have been recognized or unrecognized definite commitment</w:t>
            </w:r>
            <w:r w:rsidR="00C25313">
              <w:rPr>
                <w:i/>
                <w:sz w:val="18"/>
                <w:szCs w:val="18"/>
              </w:rPr>
              <w:t>,</w:t>
            </w:r>
            <w:r w:rsidRPr="0001539D">
              <w:rPr>
                <w:i/>
                <w:sz w:val="18"/>
                <w:szCs w:val="18"/>
              </w:rPr>
              <w:t xml:space="preserve"> or an identified portion of an asset</w:t>
            </w:r>
            <w:r w:rsidR="00870FD0">
              <w:rPr>
                <w:i/>
                <w:sz w:val="18"/>
                <w:szCs w:val="18"/>
              </w:rPr>
              <w:t>.</w:t>
            </w:r>
            <w:r w:rsidRPr="0001539D">
              <w:rPr>
                <w:i/>
                <w:sz w:val="18"/>
                <w:szCs w:val="18"/>
              </w:rPr>
              <w:t xml:space="preserve"> liability or definite commitment</w:t>
            </w:r>
            <w:r w:rsidR="00C25313">
              <w:rPr>
                <w:i/>
                <w:sz w:val="18"/>
                <w:szCs w:val="18"/>
              </w:rPr>
              <w:t>,</w:t>
            </w:r>
            <w:r w:rsidRPr="0001539D">
              <w:rPr>
                <w:i/>
                <w:sz w:val="18"/>
                <w:szCs w:val="18"/>
              </w:rPr>
              <w:t xml:space="preserve"> which is attributable to the particular risk and could affect profit or loss (fair value hedge); or </w:t>
            </w:r>
          </w:p>
          <w:p w14:paraId="07CB6F86" w14:textId="77777777" w:rsidR="008B2957" w:rsidRPr="0001539D" w:rsidRDefault="008B2957" w:rsidP="0013526B">
            <w:pPr>
              <w:pStyle w:val="ListParagraph"/>
              <w:ind w:left="1208" w:right="-57"/>
              <w:jc w:val="both"/>
              <w:rPr>
                <w:bCs w:val="0"/>
                <w:i/>
                <w:sz w:val="18"/>
                <w:szCs w:val="18"/>
              </w:rPr>
            </w:pPr>
          </w:p>
          <w:p w14:paraId="22822559" w14:textId="77777777" w:rsidR="008B2957" w:rsidRPr="0001539D" w:rsidRDefault="008B2957" w:rsidP="00070D1F">
            <w:pPr>
              <w:pStyle w:val="ListParagraph"/>
              <w:numPr>
                <w:ilvl w:val="0"/>
                <w:numId w:val="149"/>
              </w:numPr>
              <w:ind w:left="1135" w:right="-57" w:hanging="284"/>
              <w:jc w:val="both"/>
              <w:rPr>
                <w:bCs w:val="0"/>
                <w:i/>
                <w:sz w:val="18"/>
                <w:szCs w:val="18"/>
              </w:rPr>
            </w:pPr>
            <w:r w:rsidRPr="0001539D">
              <w:rPr>
                <w:i/>
                <w:sz w:val="18"/>
                <w:szCs w:val="18"/>
              </w:rPr>
              <w:t xml:space="preserve">a hedge of the exposure to variability in cash flows that </w:t>
            </w:r>
          </w:p>
          <w:p w14:paraId="75DF8D9D" w14:textId="1E4A7107" w:rsidR="008B2957" w:rsidRPr="0001539D" w:rsidRDefault="008B2957" w:rsidP="00070D1F">
            <w:pPr>
              <w:pStyle w:val="ListParagraph"/>
              <w:numPr>
                <w:ilvl w:val="0"/>
                <w:numId w:val="151"/>
              </w:numPr>
              <w:tabs>
                <w:tab w:val="left" w:pos="5590"/>
                <w:tab w:val="right" w:pos="7620"/>
                <w:tab w:val="right" w:pos="9460"/>
                <w:tab w:val="right" w:pos="10080"/>
              </w:tabs>
              <w:ind w:left="1418" w:right="-57" w:hanging="284"/>
              <w:contextualSpacing/>
              <w:jc w:val="both"/>
              <w:rPr>
                <w:bCs w:val="0"/>
                <w:i/>
                <w:sz w:val="18"/>
                <w:szCs w:val="18"/>
              </w:rPr>
            </w:pPr>
            <w:r w:rsidRPr="0001539D">
              <w:rPr>
                <w:i/>
                <w:sz w:val="18"/>
                <w:szCs w:val="18"/>
              </w:rPr>
              <w:t xml:space="preserve">are attributable to a particular risk </w:t>
            </w:r>
            <w:r w:rsidRPr="0001539D">
              <w:rPr>
                <w:bCs w:val="0"/>
                <w:i/>
                <w:sz w:val="18"/>
                <w:szCs w:val="18"/>
              </w:rPr>
              <w:t>associated</w:t>
            </w:r>
            <w:r w:rsidRPr="0001539D">
              <w:rPr>
                <w:i/>
                <w:sz w:val="18"/>
                <w:szCs w:val="18"/>
              </w:rPr>
              <w:t xml:space="preserve"> with a recognized asset or liability or are attributable to a particular risk associated with the forecast transactions likely to occur</w:t>
            </w:r>
            <w:r w:rsidR="00C25313">
              <w:rPr>
                <w:i/>
                <w:sz w:val="18"/>
                <w:szCs w:val="18"/>
              </w:rPr>
              <w:t>,</w:t>
            </w:r>
            <w:r w:rsidRPr="0001539D">
              <w:rPr>
                <w:i/>
                <w:sz w:val="18"/>
                <w:szCs w:val="18"/>
              </w:rPr>
              <w:t xml:space="preserve"> and</w:t>
            </w:r>
          </w:p>
          <w:p w14:paraId="1C48A86A" w14:textId="77777777" w:rsidR="008B2957" w:rsidRPr="0001539D" w:rsidRDefault="008B2957" w:rsidP="0013526B">
            <w:pPr>
              <w:pStyle w:val="ListParagraph"/>
              <w:tabs>
                <w:tab w:val="left" w:pos="1491"/>
                <w:tab w:val="left" w:pos="5590"/>
                <w:tab w:val="right" w:pos="7620"/>
                <w:tab w:val="right" w:pos="9460"/>
                <w:tab w:val="right" w:pos="10080"/>
              </w:tabs>
              <w:ind w:left="1492" w:right="-57"/>
              <w:contextualSpacing/>
              <w:jc w:val="both"/>
              <w:rPr>
                <w:bCs w:val="0"/>
                <w:i/>
                <w:sz w:val="18"/>
                <w:szCs w:val="18"/>
              </w:rPr>
            </w:pPr>
          </w:p>
          <w:p w14:paraId="2A719F09" w14:textId="77777777" w:rsidR="008B2957" w:rsidRPr="0001539D" w:rsidRDefault="008B2957" w:rsidP="00070D1F">
            <w:pPr>
              <w:pStyle w:val="ListParagraph"/>
              <w:numPr>
                <w:ilvl w:val="0"/>
                <w:numId w:val="151"/>
              </w:numPr>
              <w:tabs>
                <w:tab w:val="left" w:pos="5590"/>
                <w:tab w:val="right" w:pos="7620"/>
                <w:tab w:val="right" w:pos="9460"/>
                <w:tab w:val="right" w:pos="10080"/>
              </w:tabs>
              <w:ind w:left="1418" w:right="-57" w:hanging="284"/>
              <w:contextualSpacing/>
              <w:jc w:val="both"/>
              <w:rPr>
                <w:bCs w:val="0"/>
                <w:i/>
                <w:sz w:val="18"/>
                <w:szCs w:val="18"/>
              </w:rPr>
            </w:pPr>
            <w:proofErr w:type="gramStart"/>
            <w:r w:rsidRPr="0001539D">
              <w:rPr>
                <w:i/>
                <w:sz w:val="18"/>
                <w:szCs w:val="18"/>
              </w:rPr>
              <w:t>could</w:t>
            </w:r>
            <w:proofErr w:type="gramEnd"/>
            <w:r w:rsidRPr="0001539D">
              <w:rPr>
                <w:i/>
                <w:sz w:val="18"/>
                <w:szCs w:val="18"/>
              </w:rPr>
              <w:t xml:space="preserve"> affect profit or loss (cash flow hedge).</w:t>
            </w:r>
          </w:p>
        </w:tc>
      </w:tr>
    </w:tbl>
    <w:p w14:paraId="6C007BDF" w14:textId="77777777" w:rsidR="0011757A" w:rsidRPr="0001539D" w:rsidRDefault="0011757A">
      <w:pPr>
        <w:rPr>
          <w:sz w:val="6"/>
          <w:szCs w:val="6"/>
        </w:rPr>
      </w:pPr>
    </w:p>
    <w:tbl>
      <w:tblPr>
        <w:tblW w:w="4831" w:type="pct"/>
        <w:tblInd w:w="392" w:type="dxa"/>
        <w:tblLayout w:type="fixed"/>
        <w:tblLook w:val="0000" w:firstRow="0" w:lastRow="0" w:firstColumn="0" w:lastColumn="0" w:noHBand="0" w:noVBand="0"/>
      </w:tblPr>
      <w:tblGrid>
        <w:gridCol w:w="4602"/>
        <w:gridCol w:w="4602"/>
      </w:tblGrid>
      <w:tr w:rsidR="00C0202D" w:rsidRPr="0011757A" w14:paraId="3A252EB2" w14:textId="77777777" w:rsidTr="00C95D12">
        <w:trPr>
          <w:trHeight w:val="20"/>
        </w:trPr>
        <w:tc>
          <w:tcPr>
            <w:tcW w:w="4602" w:type="dxa"/>
            <w:tcBorders>
              <w:top w:val="nil"/>
              <w:left w:val="nil"/>
              <w:bottom w:val="nil"/>
              <w:right w:val="nil"/>
            </w:tcBorders>
          </w:tcPr>
          <w:p w14:paraId="40BAFB21" w14:textId="58DB245E" w:rsidR="002F464B" w:rsidRPr="0001539D" w:rsidRDefault="00C0202D" w:rsidP="00C25313">
            <w:pPr>
              <w:ind w:left="851" w:right="-57"/>
              <w:jc w:val="both"/>
              <w:rPr>
                <w:sz w:val="18"/>
                <w:szCs w:val="18"/>
              </w:rPr>
            </w:pPr>
            <w:r w:rsidRPr="0001539D">
              <w:rPr>
                <w:sz w:val="18"/>
                <w:szCs w:val="18"/>
              </w:rPr>
              <w:t>Pada saat terjadinya transaksi</w:t>
            </w:r>
            <w:r w:rsidR="00870FD0">
              <w:rPr>
                <w:sz w:val="18"/>
                <w:szCs w:val="18"/>
              </w:rPr>
              <w:t>.</w:t>
            </w:r>
            <w:r w:rsidRPr="0001539D">
              <w:rPr>
                <w:sz w:val="18"/>
                <w:szCs w:val="18"/>
              </w:rPr>
              <w:t xml:space="preserve"> </w:t>
            </w:r>
            <w:r w:rsidRPr="0001539D">
              <w:rPr>
                <w:sz w:val="18"/>
                <w:szCs w:val="18"/>
                <w:lang w:val="id-ID"/>
              </w:rPr>
              <w:t>Kelompok Usaha</w:t>
            </w:r>
            <w:r w:rsidRPr="0001539D">
              <w:rPr>
                <w:sz w:val="18"/>
                <w:szCs w:val="18"/>
              </w:rPr>
              <w:t xml:space="preserve"> mendokumentasi hubungan antara instrumen lindung nilai dan item yang dilindung nilai</w:t>
            </w:r>
            <w:r w:rsidR="00C25313">
              <w:rPr>
                <w:sz w:val="18"/>
                <w:szCs w:val="18"/>
              </w:rPr>
              <w:t>,</w:t>
            </w:r>
            <w:r w:rsidRPr="0001539D">
              <w:rPr>
                <w:sz w:val="18"/>
                <w:szCs w:val="18"/>
              </w:rPr>
              <w:t xml:space="preserve"> juga tujuan manajemen risiko dan strategi yang diterapkan dalam melakukan berbagai macam transaksi lindung nilai. Kelompok Usaha juga mendokumentasikan penilaiannya</w:t>
            </w:r>
            <w:r w:rsidR="00C25313">
              <w:rPr>
                <w:sz w:val="18"/>
                <w:szCs w:val="18"/>
              </w:rPr>
              <w:t>,</w:t>
            </w:r>
            <w:r w:rsidRPr="0001539D">
              <w:rPr>
                <w:sz w:val="18"/>
                <w:szCs w:val="18"/>
              </w:rPr>
              <w:t xml:space="preserve"> pada saat terjadinya dan secara berkesinambungan</w:t>
            </w:r>
            <w:r w:rsidR="00870FD0">
              <w:rPr>
                <w:sz w:val="18"/>
                <w:szCs w:val="18"/>
              </w:rPr>
              <w:t>.</w:t>
            </w:r>
            <w:r w:rsidRPr="0001539D">
              <w:rPr>
                <w:sz w:val="18"/>
                <w:szCs w:val="18"/>
              </w:rPr>
              <w:t xml:space="preserve"> </w:t>
            </w:r>
            <w:proofErr w:type="gramStart"/>
            <w:r w:rsidRPr="0001539D">
              <w:rPr>
                <w:sz w:val="18"/>
                <w:szCs w:val="18"/>
              </w:rPr>
              <w:t>apakah</w:t>
            </w:r>
            <w:proofErr w:type="gramEnd"/>
            <w:r w:rsidRPr="0001539D">
              <w:rPr>
                <w:sz w:val="18"/>
                <w:szCs w:val="18"/>
              </w:rPr>
              <w:t xml:space="preserve"> derivatif yang digunakan untuk transaksi lindung nilai memiliki efektivitas yang tinggi dalam rangka saling menghapuskan perubahan nilai wajar atau arus kas dari item yang dilindung nilai.</w:t>
            </w:r>
          </w:p>
        </w:tc>
        <w:tc>
          <w:tcPr>
            <w:tcW w:w="4602" w:type="dxa"/>
            <w:tcBorders>
              <w:top w:val="nil"/>
              <w:left w:val="nil"/>
              <w:bottom w:val="nil"/>
              <w:right w:val="nil"/>
            </w:tcBorders>
          </w:tcPr>
          <w:p w14:paraId="604109E3" w14:textId="3A16478F" w:rsidR="00C0202D" w:rsidRPr="0001539D" w:rsidRDefault="00C0202D" w:rsidP="00C25313">
            <w:pPr>
              <w:tabs>
                <w:tab w:val="left" w:pos="5590"/>
                <w:tab w:val="right" w:pos="7620"/>
                <w:tab w:val="right" w:pos="9460"/>
                <w:tab w:val="right" w:pos="10080"/>
              </w:tabs>
              <w:ind w:left="851" w:right="-57"/>
              <w:jc w:val="both"/>
              <w:rPr>
                <w:bCs w:val="0"/>
                <w:i/>
                <w:sz w:val="18"/>
                <w:szCs w:val="18"/>
              </w:rPr>
            </w:pPr>
            <w:r w:rsidRPr="0001539D">
              <w:rPr>
                <w:i/>
                <w:sz w:val="18"/>
                <w:szCs w:val="18"/>
              </w:rPr>
              <w:t>At the time of the transaction</w:t>
            </w:r>
            <w:r w:rsidR="00870FD0">
              <w:rPr>
                <w:i/>
                <w:sz w:val="18"/>
                <w:szCs w:val="18"/>
              </w:rPr>
              <w:t>.</w:t>
            </w:r>
            <w:r w:rsidRPr="0001539D">
              <w:rPr>
                <w:i/>
                <w:sz w:val="18"/>
                <w:szCs w:val="18"/>
              </w:rPr>
              <w:t xml:space="preserve"> </w:t>
            </w:r>
            <w:proofErr w:type="gramStart"/>
            <w:r w:rsidRPr="0001539D">
              <w:rPr>
                <w:i/>
                <w:sz w:val="18"/>
                <w:szCs w:val="18"/>
              </w:rPr>
              <w:t>the</w:t>
            </w:r>
            <w:proofErr w:type="gramEnd"/>
            <w:r w:rsidRPr="0001539D">
              <w:rPr>
                <w:i/>
                <w:sz w:val="18"/>
                <w:szCs w:val="18"/>
              </w:rPr>
              <w:t xml:space="preserve"> </w:t>
            </w:r>
            <w:r w:rsidRPr="0001539D">
              <w:rPr>
                <w:i/>
                <w:sz w:val="18"/>
                <w:szCs w:val="18"/>
                <w:lang w:val="id-ID"/>
              </w:rPr>
              <w:t>Group</w:t>
            </w:r>
            <w:r w:rsidRPr="0001539D">
              <w:rPr>
                <w:i/>
                <w:sz w:val="18"/>
                <w:szCs w:val="18"/>
              </w:rPr>
              <w:t xml:space="preserve"> documents the relationship between hedging instruments and hedged items</w:t>
            </w:r>
            <w:r w:rsidR="00C25313">
              <w:rPr>
                <w:i/>
                <w:sz w:val="18"/>
                <w:szCs w:val="18"/>
              </w:rPr>
              <w:t>,</w:t>
            </w:r>
            <w:r w:rsidRPr="0001539D">
              <w:rPr>
                <w:i/>
                <w:sz w:val="18"/>
                <w:szCs w:val="18"/>
              </w:rPr>
              <w:t xml:space="preserve"> as well as the risk management objective and strategy for undertaking various hedge transactions.</w:t>
            </w:r>
            <w:r w:rsidRPr="0001539D">
              <w:rPr>
                <w:i/>
                <w:sz w:val="18"/>
                <w:szCs w:val="18"/>
                <w:lang w:val="id-ID"/>
              </w:rPr>
              <w:br/>
            </w:r>
            <w:r w:rsidRPr="0001539D">
              <w:rPr>
                <w:i/>
                <w:sz w:val="18"/>
                <w:szCs w:val="18"/>
              </w:rPr>
              <w:t xml:space="preserve">The </w:t>
            </w:r>
            <w:r w:rsidRPr="0001539D">
              <w:rPr>
                <w:i/>
                <w:sz w:val="18"/>
                <w:szCs w:val="18"/>
                <w:lang w:val="id-ID"/>
              </w:rPr>
              <w:t>Group</w:t>
            </w:r>
            <w:r w:rsidRPr="0001539D">
              <w:rPr>
                <w:i/>
                <w:sz w:val="18"/>
                <w:szCs w:val="18"/>
              </w:rPr>
              <w:t xml:space="preserve"> also documents its judgment</w:t>
            </w:r>
            <w:r w:rsidR="00C25313">
              <w:rPr>
                <w:i/>
                <w:sz w:val="18"/>
                <w:szCs w:val="18"/>
              </w:rPr>
              <w:t>,</w:t>
            </w:r>
            <w:r w:rsidRPr="0001539D">
              <w:rPr>
                <w:i/>
                <w:sz w:val="18"/>
                <w:szCs w:val="18"/>
              </w:rPr>
              <w:t xml:space="preserve"> at the time of occurrence and continuously</w:t>
            </w:r>
            <w:r w:rsidR="00C25313">
              <w:rPr>
                <w:i/>
                <w:sz w:val="18"/>
                <w:szCs w:val="18"/>
              </w:rPr>
              <w:t>,</w:t>
            </w:r>
            <w:r w:rsidRPr="0001539D">
              <w:rPr>
                <w:i/>
                <w:sz w:val="18"/>
                <w:szCs w:val="18"/>
              </w:rPr>
              <w:t xml:space="preserve"> whether the derivatives used to hedge transactions have a high effectiveness in order to mutually eliminate changes in fair value or cash flows of hedged items.</w:t>
            </w:r>
          </w:p>
        </w:tc>
      </w:tr>
    </w:tbl>
    <w:p w14:paraId="5F686781" w14:textId="77777777" w:rsidR="0011757A" w:rsidRPr="0011757A" w:rsidRDefault="0011757A">
      <w:pPr>
        <w:rPr>
          <w:sz w:val="2"/>
          <w:szCs w:val="2"/>
        </w:rPr>
      </w:pPr>
    </w:p>
    <w:tbl>
      <w:tblPr>
        <w:tblW w:w="9197" w:type="dxa"/>
        <w:tblInd w:w="392" w:type="dxa"/>
        <w:tblLayout w:type="fixed"/>
        <w:tblLook w:val="0000" w:firstRow="0" w:lastRow="0" w:firstColumn="0" w:lastColumn="0" w:noHBand="0" w:noVBand="0"/>
      </w:tblPr>
      <w:tblGrid>
        <w:gridCol w:w="4599"/>
        <w:gridCol w:w="4598"/>
      </w:tblGrid>
      <w:tr w:rsidR="008B2957" w:rsidRPr="0011757A" w14:paraId="23D4752C" w14:textId="77777777" w:rsidTr="0011757A">
        <w:trPr>
          <w:trHeight w:val="20"/>
        </w:trPr>
        <w:tc>
          <w:tcPr>
            <w:tcW w:w="4602" w:type="dxa"/>
            <w:tcBorders>
              <w:top w:val="nil"/>
              <w:left w:val="nil"/>
              <w:bottom w:val="nil"/>
              <w:right w:val="nil"/>
            </w:tcBorders>
          </w:tcPr>
          <w:p w14:paraId="52B76695" w14:textId="77777777" w:rsidR="008B2957" w:rsidRPr="0001539D" w:rsidRDefault="008B2957" w:rsidP="00070D1F">
            <w:pPr>
              <w:numPr>
                <w:ilvl w:val="0"/>
                <w:numId w:val="152"/>
              </w:numPr>
              <w:ind w:left="284" w:right="-57" w:hanging="284"/>
              <w:jc w:val="both"/>
              <w:rPr>
                <w:b/>
                <w:sz w:val="18"/>
                <w:szCs w:val="18"/>
              </w:rPr>
            </w:pPr>
            <w:r w:rsidRPr="0001539D">
              <w:rPr>
                <w:b/>
                <w:sz w:val="18"/>
                <w:szCs w:val="18"/>
              </w:rPr>
              <w:lastRenderedPageBreak/>
              <w:t>IKHTISAR K</w:t>
            </w:r>
            <w:r w:rsidR="00C85EDE" w:rsidRPr="0001539D">
              <w:rPr>
                <w:b/>
                <w:sz w:val="18"/>
                <w:szCs w:val="18"/>
              </w:rPr>
              <w:t>EBIJAKAN AKUNTANSI YANG PENTING</w:t>
            </w:r>
            <w:r w:rsidR="00C85EDE" w:rsidRPr="0001539D">
              <w:rPr>
                <w:b/>
                <w:sz w:val="18"/>
                <w:szCs w:val="18"/>
                <w:lang w:val="id-ID"/>
              </w:rPr>
              <w:t xml:space="preserve"> </w:t>
            </w:r>
            <w:r w:rsidR="009C5262" w:rsidRPr="0001539D">
              <w:rPr>
                <w:b/>
                <w:sz w:val="18"/>
                <w:szCs w:val="18"/>
                <w:lang w:val="id-ID"/>
              </w:rPr>
              <w:t>-</w:t>
            </w:r>
            <w:r w:rsidRPr="0001539D">
              <w:rPr>
                <w:b/>
                <w:sz w:val="18"/>
                <w:szCs w:val="18"/>
              </w:rPr>
              <w:t xml:space="preserve"> Lanjutan</w:t>
            </w:r>
          </w:p>
        </w:tc>
        <w:tc>
          <w:tcPr>
            <w:tcW w:w="4602" w:type="dxa"/>
            <w:tcBorders>
              <w:top w:val="nil"/>
              <w:left w:val="nil"/>
              <w:bottom w:val="nil"/>
              <w:right w:val="nil"/>
            </w:tcBorders>
          </w:tcPr>
          <w:p w14:paraId="60E7487B" w14:textId="77777777" w:rsidR="008B2957" w:rsidRPr="0001539D" w:rsidRDefault="008B2957" w:rsidP="00070D1F">
            <w:pPr>
              <w:numPr>
                <w:ilvl w:val="0"/>
                <w:numId w:val="153"/>
              </w:numPr>
              <w:ind w:left="284" w:right="-57" w:hanging="284"/>
              <w:jc w:val="both"/>
              <w:rPr>
                <w:b/>
                <w:i/>
                <w:sz w:val="18"/>
                <w:szCs w:val="18"/>
              </w:rPr>
            </w:pPr>
            <w:r w:rsidRPr="0001539D">
              <w:rPr>
                <w:b/>
                <w:i/>
                <w:sz w:val="18"/>
                <w:szCs w:val="18"/>
              </w:rPr>
              <w:t xml:space="preserve">SUMMARY OF </w:t>
            </w:r>
            <w:r w:rsidR="00C85EDE" w:rsidRPr="0001539D">
              <w:rPr>
                <w:b/>
                <w:i/>
                <w:sz w:val="18"/>
                <w:szCs w:val="18"/>
              </w:rPr>
              <w:t>SIGNIFICANT ACCOUNTING POLICIES</w:t>
            </w:r>
            <w:r w:rsidR="00C85EDE" w:rsidRPr="0001539D">
              <w:rPr>
                <w:b/>
                <w:i/>
                <w:sz w:val="18"/>
                <w:szCs w:val="18"/>
                <w:lang w:val="id-ID"/>
              </w:rPr>
              <w:t xml:space="preserve"> </w:t>
            </w:r>
            <w:r w:rsidRPr="0001539D">
              <w:rPr>
                <w:b/>
                <w:i/>
                <w:sz w:val="18"/>
                <w:szCs w:val="18"/>
              </w:rPr>
              <w:t>- Continued</w:t>
            </w:r>
          </w:p>
        </w:tc>
      </w:tr>
      <w:tr w:rsidR="008B2957" w:rsidRPr="0011757A" w14:paraId="54298ACA" w14:textId="77777777" w:rsidTr="0011757A">
        <w:trPr>
          <w:trHeight w:val="20"/>
        </w:trPr>
        <w:tc>
          <w:tcPr>
            <w:tcW w:w="4602" w:type="dxa"/>
            <w:tcBorders>
              <w:top w:val="nil"/>
              <w:left w:val="nil"/>
              <w:bottom w:val="nil"/>
              <w:right w:val="nil"/>
            </w:tcBorders>
          </w:tcPr>
          <w:p w14:paraId="289FCE56" w14:textId="77777777" w:rsidR="008B2957" w:rsidRPr="0001539D" w:rsidRDefault="008B2957" w:rsidP="0013526B">
            <w:pPr>
              <w:ind w:left="357" w:right="-57"/>
              <w:jc w:val="both"/>
              <w:rPr>
                <w:sz w:val="18"/>
                <w:szCs w:val="18"/>
              </w:rPr>
            </w:pPr>
          </w:p>
        </w:tc>
        <w:tc>
          <w:tcPr>
            <w:tcW w:w="4602" w:type="dxa"/>
            <w:tcBorders>
              <w:top w:val="nil"/>
              <w:left w:val="nil"/>
              <w:bottom w:val="nil"/>
              <w:right w:val="nil"/>
            </w:tcBorders>
          </w:tcPr>
          <w:p w14:paraId="15BB794F" w14:textId="77777777" w:rsidR="008B2957" w:rsidRPr="0001539D" w:rsidRDefault="008B2957" w:rsidP="0013526B">
            <w:pPr>
              <w:ind w:left="357" w:right="-57"/>
              <w:jc w:val="both"/>
              <w:rPr>
                <w:i/>
                <w:sz w:val="18"/>
                <w:szCs w:val="18"/>
              </w:rPr>
            </w:pPr>
          </w:p>
        </w:tc>
      </w:tr>
      <w:tr w:rsidR="008B2957" w:rsidRPr="0011757A" w14:paraId="53A36EE8" w14:textId="77777777" w:rsidTr="0011757A">
        <w:trPr>
          <w:trHeight w:val="20"/>
        </w:trPr>
        <w:tc>
          <w:tcPr>
            <w:tcW w:w="4602" w:type="dxa"/>
            <w:tcBorders>
              <w:top w:val="nil"/>
              <w:left w:val="nil"/>
              <w:bottom w:val="nil"/>
              <w:right w:val="nil"/>
            </w:tcBorders>
          </w:tcPr>
          <w:p w14:paraId="58BE3EF9" w14:textId="77777777" w:rsidR="008B2957" w:rsidRPr="0001539D" w:rsidRDefault="008B2957" w:rsidP="00070D1F">
            <w:pPr>
              <w:pStyle w:val="ListParagraph"/>
              <w:numPr>
                <w:ilvl w:val="0"/>
                <w:numId w:val="180"/>
              </w:numPr>
              <w:ind w:left="568" w:right="-57" w:hanging="284"/>
              <w:contextualSpacing/>
              <w:jc w:val="both"/>
              <w:rPr>
                <w:b/>
                <w:sz w:val="18"/>
                <w:szCs w:val="18"/>
              </w:rPr>
            </w:pPr>
            <w:r w:rsidRPr="0001539D">
              <w:rPr>
                <w:b/>
                <w:sz w:val="18"/>
                <w:szCs w:val="18"/>
              </w:rPr>
              <w:t>Instrumen Keuangan - Lanjutan</w:t>
            </w:r>
          </w:p>
        </w:tc>
        <w:tc>
          <w:tcPr>
            <w:tcW w:w="4602" w:type="dxa"/>
            <w:tcBorders>
              <w:top w:val="nil"/>
              <w:left w:val="nil"/>
              <w:bottom w:val="nil"/>
              <w:right w:val="nil"/>
            </w:tcBorders>
          </w:tcPr>
          <w:p w14:paraId="1582BD43" w14:textId="77777777" w:rsidR="008B2957" w:rsidRPr="0001539D" w:rsidRDefault="008B2957" w:rsidP="00070D1F">
            <w:pPr>
              <w:pStyle w:val="ListParagraph"/>
              <w:numPr>
                <w:ilvl w:val="0"/>
                <w:numId w:val="181"/>
              </w:numPr>
              <w:tabs>
                <w:tab w:val="left" w:pos="5590"/>
                <w:tab w:val="right" w:pos="7620"/>
                <w:tab w:val="right" w:pos="9460"/>
                <w:tab w:val="right" w:pos="10080"/>
              </w:tabs>
              <w:ind w:left="568" w:right="-57" w:hanging="284"/>
              <w:contextualSpacing/>
              <w:jc w:val="both"/>
              <w:rPr>
                <w:b/>
                <w:i/>
                <w:sz w:val="18"/>
                <w:szCs w:val="18"/>
              </w:rPr>
            </w:pPr>
            <w:r w:rsidRPr="0001539D">
              <w:rPr>
                <w:b/>
                <w:i/>
                <w:sz w:val="18"/>
                <w:szCs w:val="18"/>
              </w:rPr>
              <w:t>Financial Instruments - Continued</w:t>
            </w:r>
          </w:p>
        </w:tc>
      </w:tr>
      <w:tr w:rsidR="008B2957" w:rsidRPr="0011757A" w14:paraId="0F265B96" w14:textId="77777777" w:rsidTr="0011757A">
        <w:trPr>
          <w:trHeight w:val="20"/>
        </w:trPr>
        <w:tc>
          <w:tcPr>
            <w:tcW w:w="4602" w:type="dxa"/>
            <w:tcBorders>
              <w:top w:val="nil"/>
              <w:left w:val="nil"/>
              <w:bottom w:val="nil"/>
              <w:right w:val="nil"/>
            </w:tcBorders>
          </w:tcPr>
          <w:p w14:paraId="3FE2A3A1" w14:textId="77777777" w:rsidR="008B2957" w:rsidRPr="0001539D" w:rsidRDefault="008B2957" w:rsidP="0013526B">
            <w:pPr>
              <w:ind w:left="522" w:right="-57"/>
              <w:jc w:val="both"/>
              <w:rPr>
                <w:bCs w:val="0"/>
                <w:sz w:val="14"/>
                <w:szCs w:val="18"/>
              </w:rPr>
            </w:pPr>
          </w:p>
        </w:tc>
        <w:tc>
          <w:tcPr>
            <w:tcW w:w="4602" w:type="dxa"/>
            <w:tcBorders>
              <w:top w:val="nil"/>
              <w:left w:val="nil"/>
              <w:bottom w:val="nil"/>
              <w:right w:val="nil"/>
            </w:tcBorders>
          </w:tcPr>
          <w:p w14:paraId="74AC4029" w14:textId="77777777" w:rsidR="008B2957" w:rsidRPr="0001539D" w:rsidRDefault="008B2957" w:rsidP="0013526B">
            <w:pPr>
              <w:tabs>
                <w:tab w:val="left" w:pos="5590"/>
                <w:tab w:val="right" w:pos="7620"/>
                <w:tab w:val="right" w:pos="9460"/>
                <w:tab w:val="right" w:pos="10080"/>
              </w:tabs>
              <w:ind w:left="651" w:right="-57"/>
              <w:jc w:val="both"/>
              <w:rPr>
                <w:bCs w:val="0"/>
                <w:i/>
                <w:sz w:val="14"/>
                <w:szCs w:val="18"/>
              </w:rPr>
            </w:pPr>
          </w:p>
        </w:tc>
      </w:tr>
      <w:tr w:rsidR="008B2957" w:rsidRPr="0011757A" w14:paraId="7DA7F355" w14:textId="77777777" w:rsidTr="0011757A">
        <w:trPr>
          <w:trHeight w:val="20"/>
        </w:trPr>
        <w:tc>
          <w:tcPr>
            <w:tcW w:w="4602" w:type="dxa"/>
            <w:tcBorders>
              <w:top w:val="nil"/>
              <w:left w:val="nil"/>
              <w:bottom w:val="nil"/>
              <w:right w:val="nil"/>
            </w:tcBorders>
          </w:tcPr>
          <w:p w14:paraId="4D94322E" w14:textId="77777777" w:rsidR="008B2957" w:rsidRPr="0001539D" w:rsidRDefault="008B2957" w:rsidP="00070D1F">
            <w:pPr>
              <w:pStyle w:val="Default"/>
              <w:numPr>
                <w:ilvl w:val="0"/>
                <w:numId w:val="154"/>
              </w:numPr>
              <w:ind w:left="851" w:right="-57" w:hanging="284"/>
              <w:jc w:val="both"/>
              <w:rPr>
                <w:rFonts w:ascii="Times New Roman" w:hAnsi="Times New Roman" w:cs="Times New Roman"/>
                <w:b/>
                <w:bCs/>
                <w:sz w:val="18"/>
                <w:szCs w:val="18"/>
              </w:rPr>
            </w:pPr>
            <w:r w:rsidRPr="0001539D">
              <w:rPr>
                <w:rFonts w:ascii="Times New Roman" w:hAnsi="Times New Roman" w:cs="Times New Roman"/>
                <w:b/>
                <w:sz w:val="18"/>
                <w:szCs w:val="18"/>
              </w:rPr>
              <w:t>Instrumen Derivatif - Lanjutan</w:t>
            </w:r>
          </w:p>
        </w:tc>
        <w:tc>
          <w:tcPr>
            <w:tcW w:w="4602" w:type="dxa"/>
            <w:tcBorders>
              <w:top w:val="nil"/>
              <w:left w:val="nil"/>
              <w:bottom w:val="nil"/>
              <w:right w:val="nil"/>
            </w:tcBorders>
          </w:tcPr>
          <w:p w14:paraId="4955DA63" w14:textId="77777777" w:rsidR="008B2957" w:rsidRPr="0001539D" w:rsidRDefault="008B2957" w:rsidP="00070D1F">
            <w:pPr>
              <w:pStyle w:val="ListParagraph"/>
              <w:numPr>
                <w:ilvl w:val="0"/>
                <w:numId w:val="155"/>
              </w:numPr>
              <w:ind w:left="851" w:right="-57" w:hanging="284"/>
              <w:jc w:val="both"/>
              <w:rPr>
                <w:b/>
                <w:bCs w:val="0"/>
                <w:i/>
                <w:sz w:val="18"/>
                <w:szCs w:val="18"/>
              </w:rPr>
            </w:pPr>
            <w:r w:rsidRPr="0001539D">
              <w:rPr>
                <w:b/>
                <w:i/>
                <w:sz w:val="18"/>
                <w:szCs w:val="18"/>
              </w:rPr>
              <w:t>Derivative Instruments - Continued</w:t>
            </w:r>
          </w:p>
        </w:tc>
      </w:tr>
      <w:tr w:rsidR="008B2957" w:rsidRPr="0011757A" w14:paraId="58B3378C" w14:textId="77777777" w:rsidTr="0011757A">
        <w:trPr>
          <w:trHeight w:val="20"/>
        </w:trPr>
        <w:tc>
          <w:tcPr>
            <w:tcW w:w="4602" w:type="dxa"/>
            <w:tcBorders>
              <w:top w:val="nil"/>
              <w:left w:val="nil"/>
              <w:bottom w:val="nil"/>
              <w:right w:val="nil"/>
            </w:tcBorders>
          </w:tcPr>
          <w:p w14:paraId="78B85562" w14:textId="77777777" w:rsidR="008B2957" w:rsidRPr="0001539D" w:rsidRDefault="008B2957" w:rsidP="0013526B">
            <w:pPr>
              <w:ind w:left="522" w:right="-57"/>
              <w:jc w:val="both"/>
              <w:rPr>
                <w:bCs w:val="0"/>
                <w:sz w:val="16"/>
                <w:szCs w:val="18"/>
              </w:rPr>
            </w:pPr>
          </w:p>
        </w:tc>
        <w:tc>
          <w:tcPr>
            <w:tcW w:w="4602" w:type="dxa"/>
            <w:tcBorders>
              <w:top w:val="nil"/>
              <w:left w:val="nil"/>
              <w:bottom w:val="nil"/>
              <w:right w:val="nil"/>
            </w:tcBorders>
          </w:tcPr>
          <w:p w14:paraId="52B0838A" w14:textId="77777777" w:rsidR="008B2957" w:rsidRPr="0001539D" w:rsidRDefault="008B2957" w:rsidP="0013526B">
            <w:pPr>
              <w:tabs>
                <w:tab w:val="left" w:pos="5590"/>
                <w:tab w:val="right" w:pos="7620"/>
                <w:tab w:val="right" w:pos="9460"/>
                <w:tab w:val="right" w:pos="10080"/>
              </w:tabs>
              <w:ind w:left="651" w:right="-57"/>
              <w:jc w:val="both"/>
              <w:rPr>
                <w:bCs w:val="0"/>
                <w:i/>
                <w:sz w:val="16"/>
                <w:szCs w:val="18"/>
              </w:rPr>
            </w:pPr>
          </w:p>
        </w:tc>
      </w:tr>
      <w:tr w:rsidR="008B2957" w:rsidRPr="0011757A" w14:paraId="6EE1210B" w14:textId="77777777" w:rsidTr="0011757A">
        <w:trPr>
          <w:trHeight w:val="20"/>
        </w:trPr>
        <w:tc>
          <w:tcPr>
            <w:tcW w:w="4602" w:type="dxa"/>
            <w:tcBorders>
              <w:top w:val="nil"/>
              <w:left w:val="nil"/>
              <w:bottom w:val="nil"/>
              <w:right w:val="nil"/>
            </w:tcBorders>
          </w:tcPr>
          <w:p w14:paraId="6E66DDB5" w14:textId="77777777" w:rsidR="008B2957" w:rsidRPr="0001539D" w:rsidRDefault="008B2957" w:rsidP="0013526B">
            <w:pPr>
              <w:ind w:left="851" w:right="-57"/>
              <w:jc w:val="both"/>
              <w:rPr>
                <w:bCs w:val="0"/>
                <w:sz w:val="18"/>
                <w:szCs w:val="18"/>
              </w:rPr>
            </w:pPr>
            <w:r w:rsidRPr="0001539D">
              <w:rPr>
                <w:sz w:val="18"/>
                <w:szCs w:val="18"/>
              </w:rPr>
              <w:t>Nilai penuh dari derivatif lindung nilai dikelompokan sebagai aset atau liabilitas tidak lancar apabila jatuh tempo item yang dilindung nilai tersebut melebihi 12 (dua belas) bulan dan sebagai aset atau liabilitas lancar apabila jatuh tempo item lin</w:t>
            </w:r>
            <w:r w:rsidR="00B967CA" w:rsidRPr="0001539D">
              <w:rPr>
                <w:sz w:val="18"/>
                <w:szCs w:val="18"/>
              </w:rPr>
              <w:t>dung nilai tersebut kurang dari</w:t>
            </w:r>
            <w:r w:rsidR="00B967CA" w:rsidRPr="0001539D">
              <w:rPr>
                <w:sz w:val="18"/>
                <w:szCs w:val="18"/>
              </w:rPr>
              <w:br/>
            </w:r>
            <w:r w:rsidRPr="0001539D">
              <w:rPr>
                <w:sz w:val="18"/>
                <w:szCs w:val="18"/>
              </w:rPr>
              <w:t>12 (dua belas) bulan.</w:t>
            </w:r>
          </w:p>
        </w:tc>
        <w:tc>
          <w:tcPr>
            <w:tcW w:w="4602" w:type="dxa"/>
            <w:tcBorders>
              <w:top w:val="nil"/>
              <w:left w:val="nil"/>
              <w:bottom w:val="nil"/>
              <w:right w:val="nil"/>
            </w:tcBorders>
          </w:tcPr>
          <w:p w14:paraId="7B545F83" w14:textId="77777777" w:rsidR="008B2957" w:rsidRPr="0001539D" w:rsidRDefault="008B2957" w:rsidP="0013526B">
            <w:pPr>
              <w:tabs>
                <w:tab w:val="left" w:pos="5590"/>
                <w:tab w:val="right" w:pos="7620"/>
                <w:tab w:val="right" w:pos="9460"/>
                <w:tab w:val="right" w:pos="10080"/>
              </w:tabs>
              <w:ind w:left="851" w:right="-57"/>
              <w:jc w:val="both"/>
              <w:rPr>
                <w:bCs w:val="0"/>
                <w:i/>
                <w:sz w:val="18"/>
                <w:szCs w:val="18"/>
              </w:rPr>
            </w:pPr>
            <w:r w:rsidRPr="0001539D">
              <w:rPr>
                <w:i/>
                <w:sz w:val="18"/>
                <w:szCs w:val="18"/>
              </w:rPr>
              <w:t xml:space="preserve">The full value of the hedging derivative is classified as non-current asset or liability if the maturity </w:t>
            </w:r>
            <w:r w:rsidR="00B967CA" w:rsidRPr="0001539D">
              <w:rPr>
                <w:i/>
                <w:sz w:val="18"/>
                <w:szCs w:val="18"/>
              </w:rPr>
              <w:t>of the hedged item is more than</w:t>
            </w:r>
            <w:r w:rsidR="00B967CA" w:rsidRPr="0001539D">
              <w:rPr>
                <w:i/>
                <w:sz w:val="18"/>
                <w:szCs w:val="18"/>
              </w:rPr>
              <w:br/>
            </w:r>
            <w:r w:rsidRPr="0001539D">
              <w:rPr>
                <w:i/>
                <w:sz w:val="18"/>
                <w:szCs w:val="18"/>
              </w:rPr>
              <w:t>12 (twelve) months and as a current asset or liability if the maturity of the hedged item is less than 12 (twelve) months.</w:t>
            </w:r>
          </w:p>
        </w:tc>
      </w:tr>
      <w:tr w:rsidR="00C0202D" w:rsidRPr="0011757A" w14:paraId="06042B31" w14:textId="77777777" w:rsidTr="0011757A">
        <w:trPr>
          <w:trHeight w:val="20"/>
        </w:trPr>
        <w:tc>
          <w:tcPr>
            <w:tcW w:w="4602" w:type="dxa"/>
            <w:tcBorders>
              <w:top w:val="nil"/>
              <w:left w:val="nil"/>
              <w:bottom w:val="nil"/>
              <w:right w:val="nil"/>
            </w:tcBorders>
          </w:tcPr>
          <w:p w14:paraId="4DBD97F5" w14:textId="77777777" w:rsidR="00C0202D" w:rsidRPr="0001539D" w:rsidRDefault="00C0202D" w:rsidP="00C0202D">
            <w:pPr>
              <w:ind w:left="522" w:right="-57"/>
              <w:jc w:val="both"/>
              <w:rPr>
                <w:bCs w:val="0"/>
                <w:sz w:val="14"/>
                <w:szCs w:val="18"/>
              </w:rPr>
            </w:pPr>
          </w:p>
        </w:tc>
        <w:tc>
          <w:tcPr>
            <w:tcW w:w="4602" w:type="dxa"/>
            <w:tcBorders>
              <w:top w:val="nil"/>
              <w:left w:val="nil"/>
              <w:bottom w:val="nil"/>
              <w:right w:val="nil"/>
            </w:tcBorders>
          </w:tcPr>
          <w:p w14:paraId="7D7B80AB" w14:textId="77777777" w:rsidR="00C0202D" w:rsidRPr="0001539D" w:rsidRDefault="00C0202D" w:rsidP="00C0202D">
            <w:pPr>
              <w:tabs>
                <w:tab w:val="left" w:pos="5590"/>
                <w:tab w:val="right" w:pos="7620"/>
                <w:tab w:val="right" w:pos="9460"/>
                <w:tab w:val="right" w:pos="10080"/>
              </w:tabs>
              <w:ind w:left="651" w:right="-57"/>
              <w:jc w:val="both"/>
              <w:rPr>
                <w:bCs w:val="0"/>
                <w:i/>
                <w:sz w:val="14"/>
                <w:szCs w:val="18"/>
              </w:rPr>
            </w:pPr>
          </w:p>
        </w:tc>
      </w:tr>
      <w:tr w:rsidR="008B2957" w:rsidRPr="0011757A" w14:paraId="142522A0" w14:textId="77777777" w:rsidTr="0011757A">
        <w:trPr>
          <w:trHeight w:val="20"/>
        </w:trPr>
        <w:tc>
          <w:tcPr>
            <w:tcW w:w="4602" w:type="dxa"/>
            <w:tcBorders>
              <w:top w:val="nil"/>
              <w:left w:val="nil"/>
              <w:bottom w:val="nil"/>
              <w:right w:val="nil"/>
            </w:tcBorders>
          </w:tcPr>
          <w:p w14:paraId="68F9AF12" w14:textId="77777777" w:rsidR="008B2957" w:rsidRPr="0001539D" w:rsidRDefault="008B2957" w:rsidP="00070D1F">
            <w:pPr>
              <w:numPr>
                <w:ilvl w:val="0"/>
                <w:numId w:val="156"/>
              </w:numPr>
              <w:ind w:left="1135" w:right="-57" w:hanging="284"/>
              <w:jc w:val="both"/>
              <w:rPr>
                <w:b/>
                <w:bCs w:val="0"/>
                <w:sz w:val="18"/>
                <w:szCs w:val="18"/>
              </w:rPr>
            </w:pPr>
            <w:r w:rsidRPr="0001539D">
              <w:rPr>
                <w:b/>
                <w:sz w:val="18"/>
                <w:szCs w:val="18"/>
              </w:rPr>
              <w:t>lindung nilai atas nilai wajar</w:t>
            </w:r>
          </w:p>
        </w:tc>
        <w:tc>
          <w:tcPr>
            <w:tcW w:w="4602" w:type="dxa"/>
            <w:tcBorders>
              <w:top w:val="nil"/>
              <w:left w:val="nil"/>
              <w:bottom w:val="nil"/>
              <w:right w:val="nil"/>
            </w:tcBorders>
          </w:tcPr>
          <w:p w14:paraId="4DBE2F30" w14:textId="77777777" w:rsidR="008B2957" w:rsidRPr="0001539D" w:rsidRDefault="008B2957" w:rsidP="00070D1F">
            <w:pPr>
              <w:pStyle w:val="ListParagraph"/>
              <w:numPr>
                <w:ilvl w:val="0"/>
                <w:numId w:val="157"/>
              </w:numPr>
              <w:ind w:left="1135" w:right="-57" w:hanging="284"/>
              <w:jc w:val="both"/>
              <w:rPr>
                <w:b/>
                <w:bCs w:val="0"/>
                <w:i/>
                <w:sz w:val="18"/>
                <w:szCs w:val="18"/>
              </w:rPr>
            </w:pPr>
            <w:r w:rsidRPr="0001539D">
              <w:rPr>
                <w:b/>
                <w:i/>
                <w:sz w:val="18"/>
                <w:szCs w:val="18"/>
              </w:rPr>
              <w:t>fair value of hedges</w:t>
            </w:r>
          </w:p>
        </w:tc>
      </w:tr>
      <w:tr w:rsidR="008B2957" w:rsidRPr="0011757A" w14:paraId="425D76D3" w14:textId="77777777" w:rsidTr="0011757A">
        <w:trPr>
          <w:trHeight w:val="20"/>
        </w:trPr>
        <w:tc>
          <w:tcPr>
            <w:tcW w:w="4602" w:type="dxa"/>
            <w:tcBorders>
              <w:top w:val="nil"/>
              <w:left w:val="nil"/>
              <w:bottom w:val="nil"/>
              <w:right w:val="nil"/>
            </w:tcBorders>
          </w:tcPr>
          <w:p w14:paraId="6FAE13F6" w14:textId="77777777" w:rsidR="008B2957" w:rsidRPr="0001539D" w:rsidRDefault="008B2957" w:rsidP="0013526B">
            <w:pPr>
              <w:ind w:left="1440" w:right="-57"/>
              <w:jc w:val="both"/>
              <w:rPr>
                <w:sz w:val="14"/>
                <w:szCs w:val="18"/>
              </w:rPr>
            </w:pPr>
          </w:p>
        </w:tc>
        <w:tc>
          <w:tcPr>
            <w:tcW w:w="4602" w:type="dxa"/>
            <w:tcBorders>
              <w:top w:val="nil"/>
              <w:left w:val="nil"/>
              <w:bottom w:val="nil"/>
              <w:right w:val="nil"/>
            </w:tcBorders>
          </w:tcPr>
          <w:p w14:paraId="0440BB48" w14:textId="77777777" w:rsidR="008B2957" w:rsidRPr="0001539D" w:rsidRDefault="008B2957" w:rsidP="0013526B">
            <w:pPr>
              <w:tabs>
                <w:tab w:val="left" w:pos="5590"/>
                <w:tab w:val="right" w:pos="7620"/>
                <w:tab w:val="right" w:pos="9460"/>
                <w:tab w:val="right" w:pos="10080"/>
              </w:tabs>
              <w:ind w:left="1440" w:right="-57"/>
              <w:jc w:val="both"/>
              <w:rPr>
                <w:i/>
                <w:sz w:val="14"/>
                <w:szCs w:val="18"/>
              </w:rPr>
            </w:pPr>
          </w:p>
        </w:tc>
      </w:tr>
      <w:tr w:rsidR="008B2957" w:rsidRPr="0011757A" w14:paraId="00EF8658" w14:textId="77777777" w:rsidTr="0011757A">
        <w:trPr>
          <w:trHeight w:val="20"/>
        </w:trPr>
        <w:tc>
          <w:tcPr>
            <w:tcW w:w="4602" w:type="dxa"/>
            <w:tcBorders>
              <w:top w:val="nil"/>
              <w:left w:val="nil"/>
              <w:bottom w:val="nil"/>
              <w:right w:val="nil"/>
            </w:tcBorders>
          </w:tcPr>
          <w:p w14:paraId="16A442F0" w14:textId="06971871" w:rsidR="008B2957" w:rsidRPr="0001539D" w:rsidRDefault="008B2957" w:rsidP="00C25313">
            <w:pPr>
              <w:ind w:left="1134" w:right="-57"/>
              <w:jc w:val="both"/>
              <w:rPr>
                <w:bCs w:val="0"/>
                <w:sz w:val="18"/>
                <w:szCs w:val="18"/>
              </w:rPr>
            </w:pPr>
            <w:r w:rsidRPr="0001539D">
              <w:rPr>
                <w:sz w:val="18"/>
                <w:szCs w:val="18"/>
              </w:rPr>
              <w:t>Perubahan nilai wajar derivatif yang ditujukan dan dikualifikasikan sebagai lindung nilai atas nilai wajar</w:t>
            </w:r>
            <w:r w:rsidR="00C25313">
              <w:rPr>
                <w:sz w:val="18"/>
                <w:szCs w:val="18"/>
              </w:rPr>
              <w:t>,</w:t>
            </w:r>
            <w:r w:rsidRPr="0001539D">
              <w:rPr>
                <w:sz w:val="18"/>
                <w:szCs w:val="18"/>
              </w:rPr>
              <w:t xml:space="preserve"> dicatat didalam laporan laba rugi dan penghasilan komprehensif lain</w:t>
            </w:r>
            <w:r w:rsidR="009D4C03" w:rsidRPr="0001539D">
              <w:rPr>
                <w:sz w:val="18"/>
                <w:szCs w:val="18"/>
              </w:rPr>
              <w:t xml:space="preserve"> konsolidasian</w:t>
            </w:r>
            <w:r w:rsidR="00C25313">
              <w:rPr>
                <w:sz w:val="18"/>
                <w:szCs w:val="18"/>
              </w:rPr>
              <w:t>,</w:t>
            </w:r>
            <w:r w:rsidRPr="0001539D">
              <w:rPr>
                <w:sz w:val="18"/>
                <w:szCs w:val="18"/>
              </w:rPr>
              <w:t xml:space="preserve"> bersamaan dengan perubahan yang terjadi pada nilai wajar aset atau liabilitas yang dilindung nilai yang dapat diatribusikan pada resiko yang dilindung nilai.</w:t>
            </w:r>
          </w:p>
        </w:tc>
        <w:tc>
          <w:tcPr>
            <w:tcW w:w="4602" w:type="dxa"/>
            <w:tcBorders>
              <w:top w:val="nil"/>
              <w:left w:val="nil"/>
              <w:bottom w:val="nil"/>
              <w:right w:val="nil"/>
            </w:tcBorders>
          </w:tcPr>
          <w:p w14:paraId="36A8B333" w14:textId="5946D833" w:rsidR="008B2957" w:rsidRPr="0001539D" w:rsidRDefault="008B2957" w:rsidP="00C25313">
            <w:pPr>
              <w:pStyle w:val="ListParagraph"/>
              <w:ind w:left="1105" w:right="-57"/>
              <w:jc w:val="both"/>
              <w:rPr>
                <w:bCs w:val="0"/>
                <w:i/>
                <w:sz w:val="18"/>
                <w:szCs w:val="18"/>
              </w:rPr>
            </w:pPr>
            <w:r w:rsidRPr="0001539D">
              <w:rPr>
                <w:i/>
                <w:sz w:val="18"/>
                <w:szCs w:val="18"/>
              </w:rPr>
              <w:t>Changes in fair value of derivatives that are designated and qualify as fair value hedges are recorded in the</w:t>
            </w:r>
            <w:r w:rsidR="009D4C03" w:rsidRPr="0001539D">
              <w:rPr>
                <w:i/>
                <w:sz w:val="18"/>
                <w:szCs w:val="18"/>
              </w:rPr>
              <w:t xml:space="preserve"> consolidated</w:t>
            </w:r>
            <w:r w:rsidRPr="0001539D">
              <w:rPr>
                <w:i/>
                <w:sz w:val="18"/>
                <w:szCs w:val="18"/>
              </w:rPr>
              <w:t xml:space="preserve"> statement of profit or loss and other comprehensive income</w:t>
            </w:r>
            <w:r w:rsidR="00C25313">
              <w:rPr>
                <w:i/>
                <w:sz w:val="18"/>
                <w:szCs w:val="18"/>
              </w:rPr>
              <w:t>,</w:t>
            </w:r>
            <w:r w:rsidRPr="0001539D">
              <w:rPr>
                <w:i/>
                <w:sz w:val="18"/>
                <w:szCs w:val="18"/>
              </w:rPr>
              <w:t xml:space="preserve"> along with changes in the fair value of the hedged asset or liability value attributable to the hedged risk.</w:t>
            </w:r>
          </w:p>
        </w:tc>
      </w:tr>
      <w:tr w:rsidR="008B2957" w:rsidRPr="0011757A" w14:paraId="7A666491" w14:textId="77777777" w:rsidTr="0011757A">
        <w:trPr>
          <w:trHeight w:val="20"/>
        </w:trPr>
        <w:tc>
          <w:tcPr>
            <w:tcW w:w="4602" w:type="dxa"/>
            <w:tcBorders>
              <w:top w:val="nil"/>
              <w:left w:val="nil"/>
              <w:bottom w:val="nil"/>
              <w:right w:val="nil"/>
            </w:tcBorders>
          </w:tcPr>
          <w:p w14:paraId="00019725" w14:textId="77777777" w:rsidR="008B2957" w:rsidRPr="0001539D" w:rsidRDefault="008B2957" w:rsidP="0013526B">
            <w:pPr>
              <w:ind w:left="522" w:right="-57"/>
              <w:jc w:val="both"/>
              <w:rPr>
                <w:bCs w:val="0"/>
                <w:sz w:val="14"/>
                <w:szCs w:val="18"/>
              </w:rPr>
            </w:pPr>
          </w:p>
        </w:tc>
        <w:tc>
          <w:tcPr>
            <w:tcW w:w="4602" w:type="dxa"/>
            <w:tcBorders>
              <w:top w:val="nil"/>
              <w:left w:val="nil"/>
              <w:bottom w:val="nil"/>
              <w:right w:val="nil"/>
            </w:tcBorders>
          </w:tcPr>
          <w:p w14:paraId="58100A42" w14:textId="77777777" w:rsidR="008B2957" w:rsidRPr="0001539D" w:rsidRDefault="008B2957" w:rsidP="0013526B">
            <w:pPr>
              <w:tabs>
                <w:tab w:val="left" w:pos="5590"/>
                <w:tab w:val="right" w:pos="7620"/>
                <w:tab w:val="right" w:pos="9460"/>
                <w:tab w:val="right" w:pos="10080"/>
              </w:tabs>
              <w:ind w:left="651" w:right="-57"/>
              <w:jc w:val="both"/>
              <w:rPr>
                <w:bCs w:val="0"/>
                <w:i/>
                <w:sz w:val="14"/>
                <w:szCs w:val="18"/>
              </w:rPr>
            </w:pPr>
          </w:p>
        </w:tc>
      </w:tr>
      <w:tr w:rsidR="008B2957" w:rsidRPr="0011757A" w14:paraId="5EF252AE" w14:textId="77777777" w:rsidTr="0011757A">
        <w:trPr>
          <w:trHeight w:val="20"/>
        </w:trPr>
        <w:tc>
          <w:tcPr>
            <w:tcW w:w="4602" w:type="dxa"/>
            <w:tcBorders>
              <w:top w:val="nil"/>
              <w:left w:val="nil"/>
              <w:bottom w:val="nil"/>
              <w:right w:val="nil"/>
            </w:tcBorders>
          </w:tcPr>
          <w:p w14:paraId="452D19BE" w14:textId="58B59AB6" w:rsidR="008B2957" w:rsidRPr="0001539D" w:rsidRDefault="008B2957" w:rsidP="0013526B">
            <w:pPr>
              <w:ind w:left="1134" w:right="-57"/>
              <w:jc w:val="both"/>
              <w:rPr>
                <w:bCs w:val="0"/>
                <w:sz w:val="18"/>
                <w:szCs w:val="18"/>
              </w:rPr>
            </w:pPr>
            <w:r w:rsidRPr="0001539D">
              <w:rPr>
                <w:sz w:val="18"/>
                <w:szCs w:val="18"/>
              </w:rPr>
              <w:t>Keuntungan atau kerugian yang terkait dengan bagian efektif dari lindung nilai atas nilai wajar diakui di dalam laporan laba rugi dan penghasilan komprehensif lain</w:t>
            </w:r>
            <w:r w:rsidR="009D4C03" w:rsidRPr="0001539D">
              <w:rPr>
                <w:sz w:val="18"/>
                <w:szCs w:val="18"/>
              </w:rPr>
              <w:t xml:space="preserve"> konsolidasian</w:t>
            </w:r>
            <w:r w:rsidR="00870FD0">
              <w:rPr>
                <w:sz w:val="18"/>
                <w:szCs w:val="18"/>
              </w:rPr>
              <w:t>.</w:t>
            </w:r>
            <w:r w:rsidRPr="0001539D">
              <w:rPr>
                <w:sz w:val="18"/>
                <w:szCs w:val="18"/>
              </w:rPr>
              <w:t xml:space="preserve"> </w:t>
            </w:r>
            <w:proofErr w:type="gramStart"/>
            <w:r w:rsidRPr="0001539D">
              <w:rPr>
                <w:sz w:val="18"/>
                <w:szCs w:val="18"/>
              </w:rPr>
              <w:t>di</w:t>
            </w:r>
            <w:proofErr w:type="gramEnd"/>
            <w:r w:rsidRPr="0001539D">
              <w:rPr>
                <w:sz w:val="18"/>
                <w:szCs w:val="18"/>
              </w:rPr>
              <w:t xml:space="preserve"> baris yang sama dengan perubahan nilai wajar item yang dilindung nilai.</w:t>
            </w:r>
          </w:p>
        </w:tc>
        <w:tc>
          <w:tcPr>
            <w:tcW w:w="4602" w:type="dxa"/>
            <w:tcBorders>
              <w:top w:val="nil"/>
              <w:left w:val="nil"/>
              <w:bottom w:val="nil"/>
              <w:right w:val="nil"/>
            </w:tcBorders>
          </w:tcPr>
          <w:p w14:paraId="6E416CA8" w14:textId="0FC2F1DB" w:rsidR="008B2957" w:rsidRPr="0001539D" w:rsidRDefault="008B2957" w:rsidP="00A64AB2">
            <w:pPr>
              <w:pStyle w:val="ListParagraph"/>
              <w:ind w:left="1105" w:right="-57"/>
              <w:jc w:val="both"/>
              <w:rPr>
                <w:bCs w:val="0"/>
                <w:i/>
                <w:sz w:val="18"/>
                <w:szCs w:val="18"/>
              </w:rPr>
            </w:pPr>
            <w:r w:rsidRPr="0001539D">
              <w:rPr>
                <w:i/>
                <w:sz w:val="18"/>
                <w:szCs w:val="18"/>
              </w:rPr>
              <w:t>Gains or losses related to the effective portion of fair value hedges are recognized in the</w:t>
            </w:r>
            <w:r w:rsidR="009D4C03" w:rsidRPr="0001539D">
              <w:rPr>
                <w:i/>
                <w:sz w:val="18"/>
                <w:szCs w:val="18"/>
              </w:rPr>
              <w:t xml:space="preserve"> consolidated</w:t>
            </w:r>
            <w:r w:rsidRPr="0001539D">
              <w:rPr>
                <w:i/>
                <w:sz w:val="18"/>
                <w:szCs w:val="18"/>
              </w:rPr>
              <w:t xml:space="preserve"> statement of profit or loss and other comprehensive income</w:t>
            </w:r>
            <w:r w:rsidR="00870FD0">
              <w:rPr>
                <w:i/>
                <w:sz w:val="18"/>
                <w:szCs w:val="18"/>
              </w:rPr>
              <w:t>.</w:t>
            </w:r>
            <w:r w:rsidRPr="0001539D">
              <w:rPr>
                <w:i/>
                <w:sz w:val="18"/>
                <w:szCs w:val="18"/>
              </w:rPr>
              <w:t xml:space="preserve"> </w:t>
            </w:r>
            <w:proofErr w:type="gramStart"/>
            <w:r w:rsidRPr="0001539D">
              <w:rPr>
                <w:i/>
                <w:sz w:val="18"/>
                <w:szCs w:val="18"/>
              </w:rPr>
              <w:t>in</w:t>
            </w:r>
            <w:proofErr w:type="gramEnd"/>
            <w:r w:rsidRPr="0001539D">
              <w:rPr>
                <w:i/>
                <w:sz w:val="18"/>
                <w:szCs w:val="18"/>
              </w:rPr>
              <w:t xml:space="preserve"> the same line with changes in the fair value of the hedged item.</w:t>
            </w:r>
          </w:p>
        </w:tc>
      </w:tr>
      <w:tr w:rsidR="00C0202D" w:rsidRPr="0011757A" w14:paraId="1B66B086" w14:textId="77777777" w:rsidTr="0011757A">
        <w:trPr>
          <w:trHeight w:val="20"/>
        </w:trPr>
        <w:tc>
          <w:tcPr>
            <w:tcW w:w="4602" w:type="dxa"/>
            <w:tcBorders>
              <w:top w:val="nil"/>
              <w:left w:val="nil"/>
              <w:bottom w:val="nil"/>
              <w:right w:val="nil"/>
            </w:tcBorders>
          </w:tcPr>
          <w:p w14:paraId="115ABB8D" w14:textId="77777777" w:rsidR="00C0202D" w:rsidRPr="0001539D" w:rsidRDefault="00C0202D" w:rsidP="00C0202D">
            <w:pPr>
              <w:ind w:left="522" w:right="-57"/>
              <w:jc w:val="both"/>
              <w:rPr>
                <w:bCs w:val="0"/>
                <w:sz w:val="14"/>
                <w:szCs w:val="18"/>
              </w:rPr>
            </w:pPr>
          </w:p>
        </w:tc>
        <w:tc>
          <w:tcPr>
            <w:tcW w:w="4602" w:type="dxa"/>
            <w:tcBorders>
              <w:top w:val="nil"/>
              <w:left w:val="nil"/>
              <w:bottom w:val="nil"/>
              <w:right w:val="nil"/>
            </w:tcBorders>
          </w:tcPr>
          <w:p w14:paraId="60D9B7A2" w14:textId="77777777" w:rsidR="00C0202D" w:rsidRPr="0001539D" w:rsidRDefault="00C0202D" w:rsidP="00C0202D">
            <w:pPr>
              <w:tabs>
                <w:tab w:val="left" w:pos="5590"/>
                <w:tab w:val="right" w:pos="7620"/>
                <w:tab w:val="right" w:pos="9460"/>
                <w:tab w:val="right" w:pos="10080"/>
              </w:tabs>
              <w:ind w:left="651" w:right="-57"/>
              <w:jc w:val="both"/>
              <w:rPr>
                <w:bCs w:val="0"/>
                <w:i/>
                <w:sz w:val="14"/>
                <w:szCs w:val="18"/>
              </w:rPr>
            </w:pPr>
          </w:p>
        </w:tc>
      </w:tr>
      <w:tr w:rsidR="00C0202D" w:rsidRPr="0011757A" w14:paraId="3C92A66D" w14:textId="77777777" w:rsidTr="0011757A">
        <w:trPr>
          <w:trHeight w:val="20"/>
        </w:trPr>
        <w:tc>
          <w:tcPr>
            <w:tcW w:w="4602" w:type="dxa"/>
            <w:tcBorders>
              <w:top w:val="nil"/>
              <w:left w:val="nil"/>
              <w:bottom w:val="nil"/>
              <w:right w:val="nil"/>
            </w:tcBorders>
          </w:tcPr>
          <w:p w14:paraId="4D8EC305" w14:textId="64C04147" w:rsidR="00C0202D" w:rsidRPr="0001539D" w:rsidRDefault="00C0202D" w:rsidP="00C25313">
            <w:pPr>
              <w:ind w:left="1134" w:right="-57"/>
              <w:jc w:val="both"/>
              <w:rPr>
                <w:bCs w:val="0"/>
                <w:sz w:val="18"/>
                <w:szCs w:val="18"/>
              </w:rPr>
            </w:pPr>
            <w:r w:rsidRPr="0001539D">
              <w:rPr>
                <w:sz w:val="18"/>
                <w:szCs w:val="18"/>
              </w:rPr>
              <w:t>Keuntungan atau kerugian yang terkait dengan bagian yang tidak efektif diakui di dalam laporan laba rugi dan penghasilan komprehensif lain</w:t>
            </w:r>
            <w:r w:rsidR="0001539D" w:rsidRPr="0001539D">
              <w:rPr>
                <w:sz w:val="18"/>
                <w:szCs w:val="18"/>
              </w:rPr>
              <w:t xml:space="preserve"> konsolidasian</w:t>
            </w:r>
            <w:r w:rsidR="00C25313">
              <w:rPr>
                <w:sz w:val="18"/>
                <w:szCs w:val="18"/>
              </w:rPr>
              <w:t>,</w:t>
            </w:r>
            <w:r w:rsidRPr="0001539D">
              <w:rPr>
                <w:sz w:val="18"/>
                <w:szCs w:val="18"/>
              </w:rPr>
              <w:t xml:space="preserve"> dalam akun “Keuntungan</w:t>
            </w:r>
            <w:proofErr w:type="gramStart"/>
            <w:r w:rsidRPr="0001539D">
              <w:rPr>
                <w:sz w:val="18"/>
                <w:szCs w:val="18"/>
              </w:rPr>
              <w:t>/(</w:t>
            </w:r>
            <w:proofErr w:type="gramEnd"/>
            <w:r w:rsidRPr="0001539D">
              <w:rPr>
                <w:bCs w:val="0"/>
                <w:sz w:val="18"/>
                <w:szCs w:val="18"/>
              </w:rPr>
              <w:t>Kerugian</w:t>
            </w:r>
            <w:r w:rsidRPr="0001539D">
              <w:rPr>
                <w:sz w:val="18"/>
                <w:szCs w:val="18"/>
              </w:rPr>
              <w:t>) lain-lain -bersih”.</w:t>
            </w:r>
          </w:p>
        </w:tc>
        <w:tc>
          <w:tcPr>
            <w:tcW w:w="4602" w:type="dxa"/>
            <w:tcBorders>
              <w:top w:val="nil"/>
              <w:left w:val="nil"/>
              <w:bottom w:val="nil"/>
              <w:right w:val="nil"/>
            </w:tcBorders>
          </w:tcPr>
          <w:p w14:paraId="78DC7573" w14:textId="08E23D7C" w:rsidR="00C0202D" w:rsidRPr="0001539D" w:rsidRDefault="00C0202D" w:rsidP="00C25313">
            <w:pPr>
              <w:pStyle w:val="ListParagraph"/>
              <w:ind w:left="1119" w:right="-57"/>
              <w:jc w:val="both"/>
              <w:rPr>
                <w:bCs w:val="0"/>
                <w:i/>
                <w:sz w:val="18"/>
                <w:szCs w:val="18"/>
              </w:rPr>
            </w:pPr>
            <w:r w:rsidRPr="0001539D">
              <w:rPr>
                <w:i/>
                <w:sz w:val="18"/>
                <w:szCs w:val="18"/>
              </w:rPr>
              <w:t xml:space="preserve">Gains or losses related to the ineffective portion are recognized in the </w:t>
            </w:r>
            <w:r w:rsidR="0001539D" w:rsidRPr="0001539D">
              <w:rPr>
                <w:i/>
                <w:sz w:val="18"/>
                <w:szCs w:val="18"/>
              </w:rPr>
              <w:t xml:space="preserve">consolidated </w:t>
            </w:r>
            <w:r w:rsidRPr="0001539D">
              <w:rPr>
                <w:i/>
                <w:sz w:val="18"/>
                <w:szCs w:val="18"/>
              </w:rPr>
              <w:t>statement of profit or loss and other comprehensive income</w:t>
            </w:r>
            <w:r w:rsidR="00C25313">
              <w:rPr>
                <w:i/>
                <w:sz w:val="18"/>
                <w:szCs w:val="18"/>
              </w:rPr>
              <w:t>,</w:t>
            </w:r>
            <w:r w:rsidRPr="0001539D">
              <w:rPr>
                <w:i/>
                <w:sz w:val="18"/>
                <w:szCs w:val="18"/>
              </w:rPr>
              <w:t xml:space="preserve"> in the account “Gain</w:t>
            </w:r>
            <w:proofErr w:type="gramStart"/>
            <w:r w:rsidRPr="0001539D">
              <w:rPr>
                <w:i/>
                <w:sz w:val="18"/>
                <w:szCs w:val="18"/>
              </w:rPr>
              <w:t>/(</w:t>
            </w:r>
            <w:proofErr w:type="gramEnd"/>
            <w:r w:rsidRPr="0001539D">
              <w:rPr>
                <w:i/>
                <w:sz w:val="18"/>
                <w:szCs w:val="18"/>
              </w:rPr>
              <w:t>Loss) other - net”.</w:t>
            </w:r>
          </w:p>
        </w:tc>
      </w:tr>
      <w:tr w:rsidR="00C0202D" w:rsidRPr="0011757A" w14:paraId="2B628B41" w14:textId="77777777" w:rsidTr="0011757A">
        <w:trPr>
          <w:trHeight w:val="20"/>
        </w:trPr>
        <w:tc>
          <w:tcPr>
            <w:tcW w:w="4602" w:type="dxa"/>
            <w:tcBorders>
              <w:top w:val="nil"/>
              <w:left w:val="nil"/>
              <w:bottom w:val="nil"/>
              <w:right w:val="nil"/>
            </w:tcBorders>
          </w:tcPr>
          <w:p w14:paraId="610781EE" w14:textId="77777777" w:rsidR="00C0202D" w:rsidRPr="0001539D" w:rsidRDefault="00C0202D" w:rsidP="00C0202D">
            <w:pPr>
              <w:ind w:left="1208" w:right="-57"/>
              <w:jc w:val="both"/>
              <w:rPr>
                <w:sz w:val="14"/>
                <w:szCs w:val="18"/>
              </w:rPr>
            </w:pPr>
          </w:p>
        </w:tc>
        <w:tc>
          <w:tcPr>
            <w:tcW w:w="4602" w:type="dxa"/>
            <w:tcBorders>
              <w:top w:val="nil"/>
              <w:left w:val="nil"/>
              <w:bottom w:val="nil"/>
              <w:right w:val="nil"/>
            </w:tcBorders>
          </w:tcPr>
          <w:p w14:paraId="78107B99" w14:textId="77777777" w:rsidR="00C0202D" w:rsidRPr="0001539D" w:rsidRDefault="00C0202D" w:rsidP="00C0202D">
            <w:pPr>
              <w:tabs>
                <w:tab w:val="left" w:pos="5590"/>
                <w:tab w:val="right" w:pos="7620"/>
                <w:tab w:val="right" w:pos="9460"/>
                <w:tab w:val="right" w:pos="10080"/>
              </w:tabs>
              <w:ind w:left="1440" w:right="-57"/>
              <w:jc w:val="both"/>
              <w:rPr>
                <w:i/>
                <w:sz w:val="14"/>
                <w:szCs w:val="18"/>
              </w:rPr>
            </w:pPr>
          </w:p>
        </w:tc>
      </w:tr>
      <w:tr w:rsidR="00C0202D" w:rsidRPr="0011757A" w14:paraId="49C76DF8" w14:textId="77777777" w:rsidTr="0011757A">
        <w:trPr>
          <w:trHeight w:val="20"/>
        </w:trPr>
        <w:tc>
          <w:tcPr>
            <w:tcW w:w="4602" w:type="dxa"/>
            <w:tcBorders>
              <w:top w:val="nil"/>
              <w:left w:val="nil"/>
              <w:bottom w:val="nil"/>
              <w:right w:val="nil"/>
            </w:tcBorders>
          </w:tcPr>
          <w:p w14:paraId="7E84FB06" w14:textId="77777777" w:rsidR="00C0202D" w:rsidRPr="0001539D" w:rsidRDefault="00C0202D" w:rsidP="00070D1F">
            <w:pPr>
              <w:numPr>
                <w:ilvl w:val="0"/>
                <w:numId w:val="156"/>
              </w:numPr>
              <w:ind w:left="1135" w:right="-57" w:hanging="284"/>
              <w:jc w:val="both"/>
              <w:rPr>
                <w:b/>
                <w:bCs w:val="0"/>
                <w:sz w:val="18"/>
                <w:szCs w:val="18"/>
              </w:rPr>
            </w:pPr>
            <w:r w:rsidRPr="0001539D">
              <w:rPr>
                <w:b/>
                <w:sz w:val="18"/>
                <w:szCs w:val="18"/>
              </w:rPr>
              <w:t>lindung nilai arus kas</w:t>
            </w:r>
          </w:p>
        </w:tc>
        <w:tc>
          <w:tcPr>
            <w:tcW w:w="4602" w:type="dxa"/>
            <w:tcBorders>
              <w:top w:val="nil"/>
              <w:left w:val="nil"/>
              <w:bottom w:val="nil"/>
              <w:right w:val="nil"/>
            </w:tcBorders>
          </w:tcPr>
          <w:p w14:paraId="4E9F2125" w14:textId="77777777" w:rsidR="00C0202D" w:rsidRPr="0001539D" w:rsidRDefault="00C0202D" w:rsidP="00070D1F">
            <w:pPr>
              <w:pStyle w:val="ListParagraph"/>
              <w:numPr>
                <w:ilvl w:val="0"/>
                <w:numId w:val="157"/>
              </w:numPr>
              <w:ind w:left="1135" w:right="-57" w:hanging="284"/>
              <w:jc w:val="both"/>
              <w:rPr>
                <w:b/>
                <w:bCs w:val="0"/>
                <w:i/>
                <w:sz w:val="18"/>
                <w:szCs w:val="18"/>
              </w:rPr>
            </w:pPr>
            <w:r w:rsidRPr="0001539D">
              <w:rPr>
                <w:b/>
                <w:i/>
                <w:sz w:val="18"/>
                <w:szCs w:val="18"/>
              </w:rPr>
              <w:t>cash flow hedges</w:t>
            </w:r>
          </w:p>
        </w:tc>
      </w:tr>
      <w:tr w:rsidR="00C0202D" w:rsidRPr="0011757A" w14:paraId="6FB346A3" w14:textId="77777777" w:rsidTr="0011757A">
        <w:trPr>
          <w:trHeight w:val="20"/>
        </w:trPr>
        <w:tc>
          <w:tcPr>
            <w:tcW w:w="4602" w:type="dxa"/>
            <w:tcBorders>
              <w:top w:val="nil"/>
              <w:left w:val="nil"/>
              <w:bottom w:val="nil"/>
              <w:right w:val="nil"/>
            </w:tcBorders>
          </w:tcPr>
          <w:p w14:paraId="02D2A1A8" w14:textId="77777777" w:rsidR="00C0202D" w:rsidRPr="0001539D" w:rsidRDefault="00C0202D" w:rsidP="00C0202D">
            <w:pPr>
              <w:ind w:left="1208" w:right="-57"/>
              <w:jc w:val="both"/>
              <w:rPr>
                <w:b/>
                <w:sz w:val="14"/>
                <w:szCs w:val="18"/>
              </w:rPr>
            </w:pPr>
          </w:p>
        </w:tc>
        <w:tc>
          <w:tcPr>
            <w:tcW w:w="4602" w:type="dxa"/>
            <w:tcBorders>
              <w:top w:val="nil"/>
              <w:left w:val="nil"/>
              <w:bottom w:val="nil"/>
              <w:right w:val="nil"/>
            </w:tcBorders>
          </w:tcPr>
          <w:p w14:paraId="65906659" w14:textId="77777777" w:rsidR="00C0202D" w:rsidRPr="0001539D" w:rsidRDefault="00C0202D" w:rsidP="00C0202D">
            <w:pPr>
              <w:pStyle w:val="ListParagraph"/>
              <w:ind w:left="1208" w:right="-57"/>
              <w:jc w:val="both"/>
              <w:rPr>
                <w:b/>
                <w:i/>
                <w:sz w:val="14"/>
                <w:szCs w:val="18"/>
              </w:rPr>
            </w:pPr>
          </w:p>
        </w:tc>
      </w:tr>
      <w:tr w:rsidR="00C0202D" w:rsidRPr="0011757A" w14:paraId="0EA9F58D" w14:textId="77777777" w:rsidTr="0011757A">
        <w:trPr>
          <w:trHeight w:val="20"/>
        </w:trPr>
        <w:tc>
          <w:tcPr>
            <w:tcW w:w="4602" w:type="dxa"/>
            <w:tcBorders>
              <w:top w:val="nil"/>
              <w:left w:val="nil"/>
              <w:bottom w:val="nil"/>
              <w:right w:val="nil"/>
            </w:tcBorders>
          </w:tcPr>
          <w:p w14:paraId="4BA9D80C" w14:textId="186982F6" w:rsidR="00C0202D" w:rsidRPr="0001539D" w:rsidRDefault="00C0202D" w:rsidP="00C25313">
            <w:pPr>
              <w:ind w:left="1134" w:right="-57"/>
              <w:jc w:val="both"/>
              <w:rPr>
                <w:bCs w:val="0"/>
                <w:sz w:val="18"/>
                <w:szCs w:val="18"/>
              </w:rPr>
            </w:pPr>
            <w:r w:rsidRPr="0001539D">
              <w:rPr>
                <w:sz w:val="18"/>
                <w:szCs w:val="18"/>
              </w:rPr>
              <w:t>Bagian efektif dari perubahan nilai wajar derivatif yang ditujukan dan dikualifikasikan sebagai lindung nilai arus kas</w:t>
            </w:r>
            <w:r w:rsidR="00870FD0">
              <w:rPr>
                <w:sz w:val="18"/>
                <w:szCs w:val="18"/>
              </w:rPr>
              <w:t>.</w:t>
            </w:r>
            <w:r w:rsidRPr="0001539D">
              <w:rPr>
                <w:sz w:val="18"/>
                <w:szCs w:val="18"/>
              </w:rPr>
              <w:t xml:space="preserve"> </w:t>
            </w:r>
            <w:proofErr w:type="gramStart"/>
            <w:r w:rsidRPr="0001539D">
              <w:rPr>
                <w:sz w:val="18"/>
                <w:szCs w:val="18"/>
              </w:rPr>
              <w:t>diakui</w:t>
            </w:r>
            <w:proofErr w:type="gramEnd"/>
            <w:r w:rsidRPr="0001539D">
              <w:rPr>
                <w:sz w:val="18"/>
                <w:szCs w:val="18"/>
              </w:rPr>
              <w:t xml:space="preserve"> dalam bagian ekuitas</w:t>
            </w:r>
            <w:r w:rsidR="00C25313">
              <w:rPr>
                <w:sz w:val="18"/>
                <w:szCs w:val="18"/>
              </w:rPr>
              <w:t>,</w:t>
            </w:r>
            <w:r w:rsidRPr="0001539D">
              <w:rPr>
                <w:sz w:val="18"/>
                <w:szCs w:val="18"/>
              </w:rPr>
              <w:t xml:space="preserve"> didalam akun “Perubahan Bersih Nilai Wajar - Lindung Nilai Arus Kas”.</w:t>
            </w:r>
          </w:p>
        </w:tc>
        <w:tc>
          <w:tcPr>
            <w:tcW w:w="4602" w:type="dxa"/>
            <w:tcBorders>
              <w:top w:val="nil"/>
              <w:left w:val="nil"/>
              <w:bottom w:val="nil"/>
              <w:right w:val="nil"/>
            </w:tcBorders>
          </w:tcPr>
          <w:p w14:paraId="4DD20F83" w14:textId="282B0A2A" w:rsidR="00C0202D" w:rsidRPr="0001539D" w:rsidRDefault="00C0202D" w:rsidP="00C0202D">
            <w:pPr>
              <w:pStyle w:val="ListParagraph"/>
              <w:ind w:left="1134" w:right="-57"/>
              <w:jc w:val="both"/>
              <w:rPr>
                <w:bCs w:val="0"/>
                <w:i/>
                <w:sz w:val="18"/>
                <w:szCs w:val="18"/>
              </w:rPr>
            </w:pPr>
            <w:r w:rsidRPr="0001539D">
              <w:rPr>
                <w:i/>
                <w:sz w:val="18"/>
                <w:szCs w:val="18"/>
              </w:rPr>
              <w:t>The effective portion of changes in fair value of derivatives that are designated and qualify as cash flow hedges is recognized in equity</w:t>
            </w:r>
            <w:r w:rsidR="00870FD0">
              <w:rPr>
                <w:i/>
                <w:sz w:val="18"/>
                <w:szCs w:val="18"/>
              </w:rPr>
              <w:t>.</w:t>
            </w:r>
            <w:r w:rsidRPr="0001539D">
              <w:rPr>
                <w:i/>
                <w:sz w:val="18"/>
                <w:szCs w:val="18"/>
              </w:rPr>
              <w:t xml:space="preserve"> </w:t>
            </w:r>
            <w:proofErr w:type="gramStart"/>
            <w:r w:rsidRPr="0001539D">
              <w:rPr>
                <w:i/>
                <w:sz w:val="18"/>
                <w:szCs w:val="18"/>
              </w:rPr>
              <w:t>in</w:t>
            </w:r>
            <w:proofErr w:type="gramEnd"/>
            <w:r w:rsidRPr="0001539D">
              <w:rPr>
                <w:i/>
                <w:sz w:val="18"/>
                <w:szCs w:val="18"/>
              </w:rPr>
              <w:t xml:space="preserve"> the account "Net Changes in Fair Value of Cash Flow Hedges".</w:t>
            </w:r>
          </w:p>
        </w:tc>
      </w:tr>
      <w:tr w:rsidR="00C0202D" w:rsidRPr="0011757A" w14:paraId="55204430" w14:textId="77777777" w:rsidTr="0011757A">
        <w:trPr>
          <w:trHeight w:val="20"/>
        </w:trPr>
        <w:tc>
          <w:tcPr>
            <w:tcW w:w="4602" w:type="dxa"/>
            <w:tcBorders>
              <w:top w:val="nil"/>
              <w:left w:val="nil"/>
              <w:bottom w:val="nil"/>
              <w:right w:val="nil"/>
            </w:tcBorders>
          </w:tcPr>
          <w:p w14:paraId="422D9DE9" w14:textId="77777777" w:rsidR="00C0202D" w:rsidRPr="0001539D" w:rsidRDefault="00C0202D" w:rsidP="00C0202D">
            <w:pPr>
              <w:ind w:left="1134" w:right="-57"/>
              <w:jc w:val="both"/>
              <w:rPr>
                <w:sz w:val="14"/>
                <w:szCs w:val="18"/>
              </w:rPr>
            </w:pPr>
          </w:p>
        </w:tc>
        <w:tc>
          <w:tcPr>
            <w:tcW w:w="4602" w:type="dxa"/>
            <w:tcBorders>
              <w:top w:val="nil"/>
              <w:left w:val="nil"/>
              <w:bottom w:val="nil"/>
              <w:right w:val="nil"/>
            </w:tcBorders>
          </w:tcPr>
          <w:p w14:paraId="6B0FB85A" w14:textId="77777777" w:rsidR="00C0202D" w:rsidRPr="0001539D" w:rsidRDefault="00C0202D" w:rsidP="00C0202D">
            <w:pPr>
              <w:pStyle w:val="ListParagraph"/>
              <w:ind w:left="1134" w:right="-57"/>
              <w:jc w:val="both"/>
              <w:rPr>
                <w:i/>
                <w:sz w:val="14"/>
                <w:szCs w:val="18"/>
              </w:rPr>
            </w:pPr>
          </w:p>
        </w:tc>
      </w:tr>
      <w:tr w:rsidR="00C0202D" w:rsidRPr="0013526B" w14:paraId="525555FE" w14:textId="77777777" w:rsidTr="0011757A">
        <w:trPr>
          <w:trHeight w:val="20"/>
        </w:trPr>
        <w:tc>
          <w:tcPr>
            <w:tcW w:w="4602" w:type="dxa"/>
            <w:tcBorders>
              <w:top w:val="nil"/>
              <w:left w:val="nil"/>
              <w:bottom w:val="nil"/>
              <w:right w:val="nil"/>
            </w:tcBorders>
          </w:tcPr>
          <w:p w14:paraId="6D60D056" w14:textId="7FD433A0" w:rsidR="00C0202D" w:rsidRPr="0001539D" w:rsidRDefault="00C0202D" w:rsidP="00C25313">
            <w:pPr>
              <w:ind w:left="1134" w:right="-57"/>
              <w:jc w:val="both"/>
              <w:rPr>
                <w:bCs w:val="0"/>
                <w:sz w:val="18"/>
                <w:szCs w:val="18"/>
              </w:rPr>
            </w:pPr>
            <w:r w:rsidRPr="0001539D">
              <w:rPr>
                <w:sz w:val="18"/>
                <w:szCs w:val="18"/>
              </w:rPr>
              <w:t>Keuntungan atau kerugian yang terkait dengan bagian yang tidak efektif diakui segera di dalam laporan laba rugi dan penghasilan komprehensif lain</w:t>
            </w:r>
            <w:r w:rsidR="0001539D" w:rsidRPr="0001539D">
              <w:rPr>
                <w:sz w:val="18"/>
                <w:szCs w:val="18"/>
              </w:rPr>
              <w:t xml:space="preserve"> konsolidasian</w:t>
            </w:r>
            <w:r w:rsidR="00870FD0">
              <w:rPr>
                <w:sz w:val="18"/>
                <w:szCs w:val="18"/>
              </w:rPr>
              <w:t>.</w:t>
            </w:r>
            <w:r w:rsidRPr="0001539D">
              <w:rPr>
                <w:sz w:val="18"/>
                <w:szCs w:val="18"/>
              </w:rPr>
              <w:t xml:space="preserve"> </w:t>
            </w:r>
            <w:proofErr w:type="gramStart"/>
            <w:r w:rsidRPr="0001539D">
              <w:rPr>
                <w:sz w:val="18"/>
                <w:szCs w:val="18"/>
              </w:rPr>
              <w:t>dalam</w:t>
            </w:r>
            <w:proofErr w:type="gramEnd"/>
            <w:r w:rsidRPr="0001539D">
              <w:rPr>
                <w:sz w:val="18"/>
                <w:szCs w:val="18"/>
              </w:rPr>
              <w:t xml:space="preserve"> akun “Keuntungan/(Kerugian) Lain-lain-bersih”. Akan tetapi</w:t>
            </w:r>
            <w:r w:rsidR="00C25313">
              <w:rPr>
                <w:sz w:val="18"/>
                <w:szCs w:val="18"/>
              </w:rPr>
              <w:t>,</w:t>
            </w:r>
            <w:r w:rsidRPr="0001539D">
              <w:rPr>
                <w:sz w:val="18"/>
                <w:szCs w:val="18"/>
              </w:rPr>
              <w:t xml:space="preserve"> ketika prakiraan transaksi yang dilindungi nilai menimbulkan aset non-keuangan</w:t>
            </w:r>
            <w:r w:rsidR="00870FD0">
              <w:rPr>
                <w:sz w:val="18"/>
                <w:szCs w:val="18"/>
              </w:rPr>
              <w:t>.</w:t>
            </w:r>
            <w:r w:rsidRPr="0001539D">
              <w:rPr>
                <w:sz w:val="18"/>
                <w:szCs w:val="18"/>
              </w:rPr>
              <w:t xml:space="preserve"> </w:t>
            </w:r>
            <w:proofErr w:type="gramStart"/>
            <w:r w:rsidRPr="0001539D">
              <w:rPr>
                <w:sz w:val="18"/>
                <w:szCs w:val="18"/>
              </w:rPr>
              <w:t>keuntungan</w:t>
            </w:r>
            <w:proofErr w:type="gramEnd"/>
            <w:r w:rsidRPr="0001539D">
              <w:rPr>
                <w:sz w:val="18"/>
                <w:szCs w:val="18"/>
              </w:rPr>
              <w:t xml:space="preserve"> dan kerugian yang sebelumnya ditangguhkan di ekuitas akan dialihkan dari ekuitas dan dimasukan di dalam pengukuran awal biaya perolehan aset tersebut.</w:t>
            </w:r>
          </w:p>
        </w:tc>
        <w:tc>
          <w:tcPr>
            <w:tcW w:w="4602" w:type="dxa"/>
            <w:tcBorders>
              <w:top w:val="nil"/>
              <w:left w:val="nil"/>
              <w:bottom w:val="nil"/>
              <w:right w:val="nil"/>
            </w:tcBorders>
          </w:tcPr>
          <w:p w14:paraId="36255C5E" w14:textId="0BCFC065" w:rsidR="00C0202D" w:rsidRPr="0001539D" w:rsidRDefault="00C0202D" w:rsidP="00C25313">
            <w:pPr>
              <w:pStyle w:val="ListParagraph"/>
              <w:ind w:left="1134" w:right="-57"/>
              <w:jc w:val="both"/>
              <w:rPr>
                <w:bCs w:val="0"/>
                <w:i/>
                <w:sz w:val="18"/>
                <w:szCs w:val="18"/>
              </w:rPr>
            </w:pPr>
            <w:r w:rsidRPr="0001539D">
              <w:rPr>
                <w:i/>
                <w:sz w:val="18"/>
                <w:szCs w:val="18"/>
              </w:rPr>
              <w:t xml:space="preserve">Gains or losses related to the ineffective portion are recognized immediately in the </w:t>
            </w:r>
            <w:r w:rsidR="0001539D" w:rsidRPr="0001539D">
              <w:rPr>
                <w:i/>
                <w:sz w:val="18"/>
                <w:szCs w:val="18"/>
              </w:rPr>
              <w:t xml:space="preserve">consolidated </w:t>
            </w:r>
            <w:r w:rsidRPr="0001539D">
              <w:rPr>
                <w:i/>
                <w:sz w:val="18"/>
                <w:szCs w:val="18"/>
              </w:rPr>
              <w:t>statement of profit or loss and other comprehensive income</w:t>
            </w:r>
            <w:r w:rsidR="00870FD0">
              <w:rPr>
                <w:i/>
                <w:sz w:val="18"/>
                <w:szCs w:val="18"/>
              </w:rPr>
              <w:t>.</w:t>
            </w:r>
            <w:r w:rsidRPr="0001539D">
              <w:rPr>
                <w:i/>
                <w:sz w:val="18"/>
                <w:szCs w:val="18"/>
              </w:rPr>
              <w:t xml:space="preserve"> </w:t>
            </w:r>
            <w:proofErr w:type="gramStart"/>
            <w:r w:rsidRPr="0001539D">
              <w:rPr>
                <w:i/>
                <w:sz w:val="18"/>
                <w:szCs w:val="18"/>
              </w:rPr>
              <w:t>in</w:t>
            </w:r>
            <w:proofErr w:type="gramEnd"/>
            <w:r w:rsidRPr="0001539D">
              <w:rPr>
                <w:i/>
                <w:sz w:val="18"/>
                <w:szCs w:val="18"/>
              </w:rPr>
              <w:t xml:space="preserve"> the account “Gain/(Loss) Other-Net”. However</w:t>
            </w:r>
            <w:r w:rsidR="00C25313">
              <w:rPr>
                <w:i/>
                <w:sz w:val="18"/>
                <w:szCs w:val="18"/>
              </w:rPr>
              <w:t>,</w:t>
            </w:r>
            <w:r w:rsidRPr="0001539D">
              <w:rPr>
                <w:i/>
                <w:sz w:val="18"/>
                <w:szCs w:val="18"/>
              </w:rPr>
              <w:t xml:space="preserve"> when the forecast transaction that is hedged raises non-financial assets</w:t>
            </w:r>
            <w:r w:rsidR="00870FD0">
              <w:rPr>
                <w:i/>
                <w:sz w:val="18"/>
                <w:szCs w:val="18"/>
              </w:rPr>
              <w:t>.</w:t>
            </w:r>
            <w:r w:rsidRPr="0001539D">
              <w:rPr>
                <w:i/>
                <w:sz w:val="18"/>
                <w:szCs w:val="18"/>
              </w:rPr>
              <w:t xml:space="preserve"> </w:t>
            </w:r>
            <w:proofErr w:type="gramStart"/>
            <w:r w:rsidRPr="0001539D">
              <w:rPr>
                <w:i/>
                <w:sz w:val="18"/>
                <w:szCs w:val="18"/>
              </w:rPr>
              <w:t>gains</w:t>
            </w:r>
            <w:proofErr w:type="gramEnd"/>
            <w:r w:rsidRPr="0001539D">
              <w:rPr>
                <w:i/>
                <w:sz w:val="18"/>
                <w:szCs w:val="18"/>
              </w:rPr>
              <w:t xml:space="preserve"> and losses previously deferred in equity are transferred from equity and included in the initial measurement of the cost of that asset.</w:t>
            </w:r>
          </w:p>
        </w:tc>
      </w:tr>
    </w:tbl>
    <w:p w14:paraId="293DD759" w14:textId="77777777" w:rsidR="008B2957" w:rsidRDefault="008B2957" w:rsidP="0013526B">
      <w:pPr>
        <w:rPr>
          <w:sz w:val="4"/>
          <w:szCs w:val="4"/>
        </w:rPr>
      </w:pPr>
    </w:p>
    <w:p w14:paraId="5FFDFFA9" w14:textId="1A0D1FDA" w:rsidR="004F6871" w:rsidRDefault="004F6871" w:rsidP="0013526B">
      <w:pPr>
        <w:rPr>
          <w:sz w:val="4"/>
          <w:szCs w:val="4"/>
          <w:lang w:val="id-ID"/>
        </w:rPr>
      </w:pPr>
    </w:p>
    <w:p w14:paraId="048BADF7" w14:textId="7D9D7FF1" w:rsidR="00C0202D" w:rsidRDefault="00C0202D" w:rsidP="0013526B">
      <w:pPr>
        <w:rPr>
          <w:sz w:val="4"/>
          <w:szCs w:val="4"/>
          <w:lang w:val="id-ID"/>
        </w:rPr>
      </w:pPr>
    </w:p>
    <w:p w14:paraId="1E424EFE" w14:textId="70DD2549" w:rsidR="00C0202D" w:rsidRDefault="00C0202D" w:rsidP="0013526B">
      <w:pPr>
        <w:rPr>
          <w:sz w:val="4"/>
          <w:szCs w:val="4"/>
          <w:lang w:val="id-ID"/>
        </w:rPr>
      </w:pPr>
    </w:p>
    <w:p w14:paraId="6EEC5881" w14:textId="7C0C37C8" w:rsidR="00C0202D" w:rsidRDefault="00C0202D" w:rsidP="0013526B">
      <w:pPr>
        <w:rPr>
          <w:sz w:val="4"/>
          <w:szCs w:val="4"/>
          <w:lang w:val="id-ID"/>
        </w:rPr>
      </w:pPr>
    </w:p>
    <w:p w14:paraId="7BC4FBA6" w14:textId="4EF70338" w:rsidR="00C0202D" w:rsidRDefault="00C0202D" w:rsidP="0013526B">
      <w:pPr>
        <w:rPr>
          <w:sz w:val="4"/>
          <w:szCs w:val="4"/>
          <w:lang w:val="id-ID"/>
        </w:rPr>
      </w:pPr>
    </w:p>
    <w:p w14:paraId="7543552E" w14:textId="3327BDBF" w:rsidR="00C0202D" w:rsidRDefault="00C0202D" w:rsidP="0013526B">
      <w:pPr>
        <w:rPr>
          <w:sz w:val="4"/>
          <w:szCs w:val="4"/>
          <w:lang w:val="id-ID"/>
        </w:rPr>
      </w:pPr>
    </w:p>
    <w:p w14:paraId="16A721EE" w14:textId="24CD5D43" w:rsidR="00C0202D" w:rsidRDefault="00C0202D" w:rsidP="0013526B">
      <w:pPr>
        <w:rPr>
          <w:sz w:val="4"/>
          <w:szCs w:val="4"/>
          <w:lang w:val="id-ID"/>
        </w:rPr>
      </w:pPr>
    </w:p>
    <w:p w14:paraId="757F96D9" w14:textId="3ACAF5EC" w:rsidR="00C0202D" w:rsidRDefault="00C0202D" w:rsidP="0013526B">
      <w:pPr>
        <w:rPr>
          <w:sz w:val="4"/>
          <w:szCs w:val="4"/>
          <w:lang w:val="id-ID"/>
        </w:rPr>
      </w:pPr>
    </w:p>
    <w:p w14:paraId="17493894" w14:textId="6F0C3112" w:rsidR="00C0202D" w:rsidRDefault="00C0202D" w:rsidP="0013526B">
      <w:pPr>
        <w:rPr>
          <w:sz w:val="4"/>
          <w:szCs w:val="4"/>
          <w:lang w:val="id-ID"/>
        </w:rPr>
      </w:pPr>
    </w:p>
    <w:p w14:paraId="41C37F4B" w14:textId="03F72E8D" w:rsidR="00C0202D" w:rsidRDefault="00C0202D" w:rsidP="0013526B">
      <w:pPr>
        <w:rPr>
          <w:sz w:val="4"/>
          <w:szCs w:val="4"/>
          <w:lang w:val="id-ID"/>
        </w:rPr>
      </w:pPr>
    </w:p>
    <w:p w14:paraId="3CC18395" w14:textId="66E1B2FC" w:rsidR="00C0202D" w:rsidRDefault="00C0202D" w:rsidP="0013526B">
      <w:pPr>
        <w:rPr>
          <w:sz w:val="4"/>
          <w:szCs w:val="4"/>
          <w:lang w:val="id-ID"/>
        </w:rPr>
      </w:pPr>
    </w:p>
    <w:p w14:paraId="7B9C4ECD" w14:textId="368805D6" w:rsidR="00C0202D" w:rsidRDefault="00C0202D" w:rsidP="0013526B">
      <w:pPr>
        <w:rPr>
          <w:sz w:val="4"/>
          <w:szCs w:val="4"/>
          <w:lang w:val="id-ID"/>
        </w:rPr>
      </w:pPr>
    </w:p>
    <w:p w14:paraId="1B54A3DC" w14:textId="191EDC7B" w:rsidR="00C0202D" w:rsidRDefault="00C0202D" w:rsidP="0013526B">
      <w:pPr>
        <w:rPr>
          <w:sz w:val="4"/>
          <w:szCs w:val="4"/>
          <w:lang w:val="id-ID"/>
        </w:rPr>
      </w:pPr>
    </w:p>
    <w:p w14:paraId="4FFD1EF1" w14:textId="3C98EF99" w:rsidR="00C0202D" w:rsidRDefault="00C0202D" w:rsidP="0013526B">
      <w:pPr>
        <w:rPr>
          <w:sz w:val="4"/>
          <w:szCs w:val="4"/>
          <w:lang w:val="id-ID"/>
        </w:rPr>
      </w:pPr>
    </w:p>
    <w:p w14:paraId="522C9793" w14:textId="13BFB7D3" w:rsidR="00C0202D" w:rsidRDefault="00C0202D" w:rsidP="0013526B">
      <w:pPr>
        <w:rPr>
          <w:sz w:val="4"/>
          <w:szCs w:val="4"/>
          <w:lang w:val="id-ID"/>
        </w:rPr>
      </w:pPr>
    </w:p>
    <w:p w14:paraId="3CFBCFD3" w14:textId="2360B802" w:rsidR="00C0202D" w:rsidRDefault="00C0202D" w:rsidP="0013526B">
      <w:pPr>
        <w:rPr>
          <w:sz w:val="4"/>
          <w:szCs w:val="4"/>
          <w:lang w:val="id-ID"/>
        </w:rPr>
      </w:pPr>
    </w:p>
    <w:p w14:paraId="507FDCD9" w14:textId="54484C8B" w:rsidR="00C0202D" w:rsidRDefault="00C0202D" w:rsidP="0013526B">
      <w:pPr>
        <w:rPr>
          <w:sz w:val="4"/>
          <w:szCs w:val="4"/>
          <w:lang w:val="id-ID"/>
        </w:rPr>
      </w:pPr>
    </w:p>
    <w:p w14:paraId="74AD56EC" w14:textId="38EC8130" w:rsidR="00C0202D" w:rsidRDefault="00C0202D" w:rsidP="0013526B">
      <w:pPr>
        <w:rPr>
          <w:sz w:val="4"/>
          <w:szCs w:val="4"/>
          <w:lang w:val="id-ID"/>
        </w:rPr>
      </w:pPr>
    </w:p>
    <w:p w14:paraId="6424E62D" w14:textId="769F4115" w:rsidR="00C0202D" w:rsidRDefault="00C0202D" w:rsidP="0013526B">
      <w:pPr>
        <w:rPr>
          <w:sz w:val="4"/>
          <w:szCs w:val="4"/>
          <w:lang w:val="id-ID"/>
        </w:rPr>
      </w:pPr>
    </w:p>
    <w:p w14:paraId="5690C2AE" w14:textId="0A897763" w:rsidR="00C0202D" w:rsidRDefault="00C0202D" w:rsidP="0013526B">
      <w:pPr>
        <w:rPr>
          <w:sz w:val="4"/>
          <w:szCs w:val="4"/>
          <w:lang w:val="id-ID"/>
        </w:rPr>
      </w:pPr>
    </w:p>
    <w:p w14:paraId="56B5D333" w14:textId="18743B40" w:rsidR="00C0202D" w:rsidRDefault="00C0202D" w:rsidP="0013526B">
      <w:pPr>
        <w:rPr>
          <w:sz w:val="4"/>
          <w:szCs w:val="4"/>
          <w:lang w:val="id-ID"/>
        </w:rPr>
      </w:pPr>
    </w:p>
    <w:p w14:paraId="3E11B30F" w14:textId="480F11C1" w:rsidR="00C0202D" w:rsidRDefault="00C0202D" w:rsidP="0013526B">
      <w:pPr>
        <w:rPr>
          <w:sz w:val="4"/>
          <w:szCs w:val="4"/>
          <w:lang w:val="id-ID"/>
        </w:rPr>
      </w:pPr>
    </w:p>
    <w:p w14:paraId="0528E1A6" w14:textId="0C654A31" w:rsidR="00C0202D" w:rsidRDefault="00C0202D" w:rsidP="0013526B">
      <w:pPr>
        <w:rPr>
          <w:sz w:val="4"/>
          <w:szCs w:val="4"/>
          <w:lang w:val="id-ID"/>
        </w:rPr>
      </w:pPr>
    </w:p>
    <w:p w14:paraId="24DBE5B6" w14:textId="23083B87" w:rsidR="00C0202D" w:rsidRDefault="00C0202D" w:rsidP="0013526B">
      <w:pPr>
        <w:rPr>
          <w:sz w:val="4"/>
          <w:szCs w:val="4"/>
          <w:lang w:val="id-ID"/>
        </w:rPr>
      </w:pPr>
    </w:p>
    <w:p w14:paraId="0DE07DAB" w14:textId="7841B181" w:rsidR="00C0202D" w:rsidRDefault="00C0202D" w:rsidP="0013526B">
      <w:pPr>
        <w:rPr>
          <w:sz w:val="4"/>
          <w:szCs w:val="4"/>
          <w:lang w:val="id-ID"/>
        </w:rPr>
      </w:pPr>
    </w:p>
    <w:p w14:paraId="0B439E66" w14:textId="3C205E56" w:rsidR="00C0202D" w:rsidRDefault="00C0202D" w:rsidP="0013526B">
      <w:pPr>
        <w:rPr>
          <w:sz w:val="4"/>
          <w:szCs w:val="4"/>
          <w:lang w:val="id-ID"/>
        </w:rPr>
      </w:pPr>
    </w:p>
    <w:p w14:paraId="40CFD452" w14:textId="001127C8" w:rsidR="00C0202D" w:rsidRDefault="00C0202D" w:rsidP="0013526B">
      <w:pPr>
        <w:rPr>
          <w:sz w:val="4"/>
          <w:szCs w:val="4"/>
          <w:lang w:val="id-ID"/>
        </w:rPr>
      </w:pPr>
    </w:p>
    <w:p w14:paraId="2D2FDCE7" w14:textId="77777777" w:rsidR="00C0202D" w:rsidRPr="00497B24" w:rsidRDefault="00C0202D" w:rsidP="0013526B">
      <w:pPr>
        <w:rPr>
          <w:sz w:val="4"/>
          <w:szCs w:val="4"/>
          <w:lang w:val="id-ID"/>
        </w:rPr>
      </w:pPr>
    </w:p>
    <w:tbl>
      <w:tblPr>
        <w:tblW w:w="9197" w:type="dxa"/>
        <w:tblInd w:w="392" w:type="dxa"/>
        <w:tblLayout w:type="fixed"/>
        <w:tblLook w:val="0000" w:firstRow="0" w:lastRow="0" w:firstColumn="0" w:lastColumn="0" w:noHBand="0" w:noVBand="0"/>
      </w:tblPr>
      <w:tblGrid>
        <w:gridCol w:w="4598"/>
        <w:gridCol w:w="4599"/>
      </w:tblGrid>
      <w:tr w:rsidR="008B2957" w:rsidRPr="0011757A" w14:paraId="1A73F18E" w14:textId="77777777" w:rsidTr="0011757A">
        <w:trPr>
          <w:trHeight w:val="20"/>
        </w:trPr>
        <w:tc>
          <w:tcPr>
            <w:tcW w:w="4706" w:type="dxa"/>
            <w:tcBorders>
              <w:top w:val="nil"/>
              <w:left w:val="nil"/>
              <w:bottom w:val="nil"/>
              <w:right w:val="nil"/>
            </w:tcBorders>
          </w:tcPr>
          <w:p w14:paraId="2E45DA20" w14:textId="77777777" w:rsidR="008B2957" w:rsidRPr="0001539D" w:rsidRDefault="008B2957" w:rsidP="00070D1F">
            <w:pPr>
              <w:numPr>
                <w:ilvl w:val="0"/>
                <w:numId w:val="158"/>
              </w:numPr>
              <w:ind w:left="284" w:right="-57" w:hanging="284"/>
              <w:jc w:val="both"/>
              <w:rPr>
                <w:b/>
                <w:sz w:val="18"/>
                <w:szCs w:val="18"/>
              </w:rPr>
            </w:pPr>
            <w:r w:rsidRPr="0001539D">
              <w:rPr>
                <w:b/>
                <w:sz w:val="18"/>
                <w:szCs w:val="18"/>
              </w:rPr>
              <w:lastRenderedPageBreak/>
              <w:t>IKHTISAR K</w:t>
            </w:r>
            <w:r w:rsidR="00C85EDE" w:rsidRPr="0001539D">
              <w:rPr>
                <w:b/>
                <w:sz w:val="18"/>
                <w:szCs w:val="18"/>
              </w:rPr>
              <w:t>EBIJAKAN AKUNTANSI YANG PENTING</w:t>
            </w:r>
            <w:r w:rsidR="00C85EDE" w:rsidRPr="0001539D">
              <w:rPr>
                <w:b/>
                <w:sz w:val="18"/>
                <w:szCs w:val="18"/>
                <w:lang w:val="id-ID"/>
              </w:rPr>
              <w:t xml:space="preserve"> </w:t>
            </w:r>
            <w:r w:rsidRPr="0001539D">
              <w:rPr>
                <w:b/>
                <w:sz w:val="18"/>
                <w:szCs w:val="18"/>
              </w:rPr>
              <w:t>- Lanjutan</w:t>
            </w:r>
          </w:p>
        </w:tc>
        <w:tc>
          <w:tcPr>
            <w:tcW w:w="4707" w:type="dxa"/>
            <w:tcBorders>
              <w:top w:val="nil"/>
              <w:left w:val="nil"/>
              <w:bottom w:val="nil"/>
              <w:right w:val="nil"/>
            </w:tcBorders>
          </w:tcPr>
          <w:p w14:paraId="48CDCE66" w14:textId="77777777" w:rsidR="008B2957" w:rsidRPr="0001539D" w:rsidRDefault="008B2957" w:rsidP="00070D1F">
            <w:pPr>
              <w:numPr>
                <w:ilvl w:val="0"/>
                <w:numId w:val="159"/>
              </w:numPr>
              <w:ind w:left="284" w:right="-57" w:hanging="284"/>
              <w:jc w:val="both"/>
              <w:rPr>
                <w:b/>
                <w:i/>
                <w:sz w:val="18"/>
                <w:szCs w:val="18"/>
              </w:rPr>
            </w:pPr>
            <w:r w:rsidRPr="0001539D">
              <w:rPr>
                <w:b/>
                <w:i/>
                <w:sz w:val="18"/>
                <w:szCs w:val="18"/>
              </w:rPr>
              <w:t xml:space="preserve">SUMMARY OF </w:t>
            </w:r>
            <w:r w:rsidR="00C85EDE" w:rsidRPr="0001539D">
              <w:rPr>
                <w:b/>
                <w:i/>
                <w:sz w:val="18"/>
                <w:szCs w:val="18"/>
              </w:rPr>
              <w:t>SIGNIFICANT ACCOUNTING POLICIES</w:t>
            </w:r>
            <w:r w:rsidR="00C85EDE" w:rsidRPr="0001539D">
              <w:rPr>
                <w:b/>
                <w:i/>
                <w:sz w:val="18"/>
                <w:szCs w:val="18"/>
                <w:lang w:val="id-ID"/>
              </w:rPr>
              <w:t xml:space="preserve"> </w:t>
            </w:r>
            <w:r w:rsidR="009C5262" w:rsidRPr="0001539D">
              <w:rPr>
                <w:b/>
                <w:i/>
                <w:sz w:val="18"/>
                <w:szCs w:val="18"/>
              </w:rPr>
              <w:t>-</w:t>
            </w:r>
            <w:r w:rsidRPr="0001539D">
              <w:rPr>
                <w:b/>
                <w:i/>
                <w:sz w:val="18"/>
                <w:szCs w:val="18"/>
              </w:rPr>
              <w:t xml:space="preserve"> Continued</w:t>
            </w:r>
          </w:p>
        </w:tc>
      </w:tr>
      <w:tr w:rsidR="008B2957" w:rsidRPr="0011757A" w14:paraId="126C4C48" w14:textId="77777777" w:rsidTr="0011757A">
        <w:trPr>
          <w:trHeight w:val="20"/>
        </w:trPr>
        <w:tc>
          <w:tcPr>
            <w:tcW w:w="4706" w:type="dxa"/>
            <w:tcBorders>
              <w:top w:val="nil"/>
              <w:left w:val="nil"/>
              <w:bottom w:val="nil"/>
              <w:right w:val="nil"/>
            </w:tcBorders>
          </w:tcPr>
          <w:p w14:paraId="6D068789" w14:textId="77777777" w:rsidR="008B2957" w:rsidRPr="0001539D" w:rsidRDefault="008B2957" w:rsidP="0013526B">
            <w:pPr>
              <w:ind w:left="357" w:right="-57"/>
              <w:jc w:val="both"/>
              <w:rPr>
                <w:sz w:val="18"/>
                <w:szCs w:val="18"/>
              </w:rPr>
            </w:pPr>
          </w:p>
        </w:tc>
        <w:tc>
          <w:tcPr>
            <w:tcW w:w="4707" w:type="dxa"/>
            <w:tcBorders>
              <w:top w:val="nil"/>
              <w:left w:val="nil"/>
              <w:bottom w:val="nil"/>
              <w:right w:val="nil"/>
            </w:tcBorders>
          </w:tcPr>
          <w:p w14:paraId="2E8A8064" w14:textId="77777777" w:rsidR="008B2957" w:rsidRPr="0001539D" w:rsidRDefault="008B2957" w:rsidP="0013526B">
            <w:pPr>
              <w:ind w:left="357" w:right="-57"/>
              <w:jc w:val="both"/>
              <w:rPr>
                <w:i/>
                <w:sz w:val="18"/>
                <w:szCs w:val="18"/>
              </w:rPr>
            </w:pPr>
          </w:p>
        </w:tc>
      </w:tr>
      <w:tr w:rsidR="008B2957" w:rsidRPr="0011757A" w14:paraId="2BB427AD" w14:textId="77777777" w:rsidTr="0011757A">
        <w:trPr>
          <w:trHeight w:val="20"/>
        </w:trPr>
        <w:tc>
          <w:tcPr>
            <w:tcW w:w="4706" w:type="dxa"/>
            <w:tcBorders>
              <w:top w:val="nil"/>
              <w:left w:val="nil"/>
              <w:bottom w:val="nil"/>
              <w:right w:val="nil"/>
            </w:tcBorders>
          </w:tcPr>
          <w:p w14:paraId="5FB7125D" w14:textId="77777777" w:rsidR="008B2957" w:rsidRPr="0001539D" w:rsidRDefault="008B2957" w:rsidP="00070D1F">
            <w:pPr>
              <w:pStyle w:val="ListParagraph"/>
              <w:numPr>
                <w:ilvl w:val="0"/>
                <w:numId w:val="182"/>
              </w:numPr>
              <w:ind w:left="568" w:right="-57" w:hanging="284"/>
              <w:contextualSpacing/>
              <w:jc w:val="both"/>
              <w:rPr>
                <w:b/>
                <w:sz w:val="18"/>
                <w:szCs w:val="18"/>
              </w:rPr>
            </w:pPr>
            <w:r w:rsidRPr="0001539D">
              <w:rPr>
                <w:b/>
                <w:sz w:val="18"/>
                <w:szCs w:val="18"/>
              </w:rPr>
              <w:t>Instrumen Keuangan - Lanjutan</w:t>
            </w:r>
          </w:p>
        </w:tc>
        <w:tc>
          <w:tcPr>
            <w:tcW w:w="4707" w:type="dxa"/>
            <w:tcBorders>
              <w:top w:val="nil"/>
              <w:left w:val="nil"/>
              <w:bottom w:val="nil"/>
              <w:right w:val="nil"/>
            </w:tcBorders>
          </w:tcPr>
          <w:p w14:paraId="0D485A12" w14:textId="154B0F65" w:rsidR="008B2957" w:rsidRPr="0001539D" w:rsidRDefault="008B2957" w:rsidP="00070D1F">
            <w:pPr>
              <w:pStyle w:val="ListParagraph"/>
              <w:numPr>
                <w:ilvl w:val="0"/>
                <w:numId w:val="183"/>
              </w:numPr>
              <w:tabs>
                <w:tab w:val="left" w:pos="5590"/>
                <w:tab w:val="right" w:pos="7620"/>
                <w:tab w:val="right" w:pos="9460"/>
                <w:tab w:val="right" w:pos="10080"/>
              </w:tabs>
              <w:ind w:left="568" w:right="-57" w:hanging="284"/>
              <w:contextualSpacing/>
              <w:jc w:val="both"/>
              <w:rPr>
                <w:b/>
                <w:i/>
                <w:sz w:val="18"/>
                <w:szCs w:val="18"/>
              </w:rPr>
            </w:pPr>
            <w:r w:rsidRPr="0001539D">
              <w:rPr>
                <w:b/>
                <w:i/>
                <w:sz w:val="18"/>
                <w:szCs w:val="18"/>
              </w:rPr>
              <w:t xml:space="preserve">Financial Instruments </w:t>
            </w:r>
            <w:r w:rsidR="00F43772">
              <w:rPr>
                <w:b/>
                <w:i/>
                <w:sz w:val="18"/>
                <w:szCs w:val="18"/>
              </w:rPr>
              <w:t>–</w:t>
            </w:r>
            <w:r w:rsidRPr="0001539D">
              <w:rPr>
                <w:b/>
                <w:i/>
                <w:sz w:val="18"/>
                <w:szCs w:val="18"/>
              </w:rPr>
              <w:t xml:space="preserve"> Continued</w:t>
            </w:r>
          </w:p>
        </w:tc>
      </w:tr>
      <w:tr w:rsidR="008B2957" w:rsidRPr="0011757A" w14:paraId="100E4E0F" w14:textId="77777777" w:rsidTr="0011757A">
        <w:trPr>
          <w:trHeight w:val="20"/>
        </w:trPr>
        <w:tc>
          <w:tcPr>
            <w:tcW w:w="4706" w:type="dxa"/>
            <w:tcBorders>
              <w:top w:val="nil"/>
              <w:left w:val="nil"/>
              <w:bottom w:val="nil"/>
              <w:right w:val="nil"/>
            </w:tcBorders>
          </w:tcPr>
          <w:p w14:paraId="3962E819" w14:textId="77777777" w:rsidR="008B2957" w:rsidRPr="0001539D" w:rsidRDefault="008B2957" w:rsidP="0013526B">
            <w:pPr>
              <w:ind w:left="522" w:right="-57"/>
              <w:jc w:val="both"/>
              <w:rPr>
                <w:bCs w:val="0"/>
                <w:sz w:val="18"/>
                <w:szCs w:val="18"/>
              </w:rPr>
            </w:pPr>
          </w:p>
        </w:tc>
        <w:tc>
          <w:tcPr>
            <w:tcW w:w="4707" w:type="dxa"/>
            <w:tcBorders>
              <w:top w:val="nil"/>
              <w:left w:val="nil"/>
              <w:bottom w:val="nil"/>
              <w:right w:val="nil"/>
            </w:tcBorders>
          </w:tcPr>
          <w:p w14:paraId="226ECF2A"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69F180EA" w14:textId="77777777" w:rsidTr="0011757A">
        <w:trPr>
          <w:trHeight w:val="20"/>
        </w:trPr>
        <w:tc>
          <w:tcPr>
            <w:tcW w:w="4706" w:type="dxa"/>
            <w:tcBorders>
              <w:top w:val="nil"/>
              <w:left w:val="nil"/>
              <w:bottom w:val="nil"/>
              <w:right w:val="nil"/>
            </w:tcBorders>
          </w:tcPr>
          <w:p w14:paraId="0FD55A16" w14:textId="77777777" w:rsidR="008B2957" w:rsidRPr="0001539D" w:rsidRDefault="008B2957" w:rsidP="00070D1F">
            <w:pPr>
              <w:pStyle w:val="Default"/>
              <w:numPr>
                <w:ilvl w:val="0"/>
                <w:numId w:val="161"/>
              </w:numPr>
              <w:ind w:left="851" w:right="-57" w:hanging="284"/>
              <w:jc w:val="both"/>
              <w:rPr>
                <w:rFonts w:ascii="Times New Roman" w:hAnsi="Times New Roman" w:cs="Times New Roman"/>
                <w:b/>
                <w:bCs/>
                <w:sz w:val="18"/>
                <w:szCs w:val="18"/>
              </w:rPr>
            </w:pPr>
            <w:r w:rsidRPr="0001539D">
              <w:rPr>
                <w:rFonts w:ascii="Times New Roman" w:hAnsi="Times New Roman" w:cs="Times New Roman"/>
                <w:b/>
                <w:sz w:val="18"/>
                <w:szCs w:val="18"/>
              </w:rPr>
              <w:t>Instrumen Derivatif - Lanjutan</w:t>
            </w:r>
          </w:p>
        </w:tc>
        <w:tc>
          <w:tcPr>
            <w:tcW w:w="4707" w:type="dxa"/>
            <w:tcBorders>
              <w:top w:val="nil"/>
              <w:left w:val="nil"/>
              <w:bottom w:val="nil"/>
              <w:right w:val="nil"/>
            </w:tcBorders>
          </w:tcPr>
          <w:p w14:paraId="06EDC028" w14:textId="5591F864" w:rsidR="008B2957" w:rsidRPr="0001539D" w:rsidRDefault="008B2957" w:rsidP="00070D1F">
            <w:pPr>
              <w:pStyle w:val="ListParagraph"/>
              <w:numPr>
                <w:ilvl w:val="0"/>
                <w:numId w:val="160"/>
              </w:numPr>
              <w:ind w:left="851" w:right="-57" w:hanging="284"/>
              <w:jc w:val="both"/>
              <w:rPr>
                <w:b/>
                <w:bCs w:val="0"/>
                <w:i/>
                <w:sz w:val="18"/>
                <w:szCs w:val="18"/>
              </w:rPr>
            </w:pPr>
            <w:r w:rsidRPr="0001539D">
              <w:rPr>
                <w:b/>
                <w:i/>
                <w:sz w:val="18"/>
                <w:szCs w:val="18"/>
              </w:rPr>
              <w:t xml:space="preserve">Derivative Instruments </w:t>
            </w:r>
            <w:r w:rsidR="00F43772">
              <w:rPr>
                <w:b/>
                <w:i/>
                <w:sz w:val="18"/>
                <w:szCs w:val="18"/>
              </w:rPr>
              <w:t>–</w:t>
            </w:r>
            <w:r w:rsidRPr="0001539D">
              <w:rPr>
                <w:b/>
                <w:i/>
                <w:sz w:val="18"/>
                <w:szCs w:val="18"/>
              </w:rPr>
              <w:t xml:space="preserve"> Continued</w:t>
            </w:r>
          </w:p>
        </w:tc>
      </w:tr>
      <w:tr w:rsidR="008B2957" w:rsidRPr="0011757A" w14:paraId="28EE5DFE" w14:textId="77777777" w:rsidTr="0011757A">
        <w:trPr>
          <w:trHeight w:val="20"/>
        </w:trPr>
        <w:tc>
          <w:tcPr>
            <w:tcW w:w="4706" w:type="dxa"/>
            <w:tcBorders>
              <w:top w:val="nil"/>
              <w:left w:val="nil"/>
              <w:bottom w:val="nil"/>
              <w:right w:val="nil"/>
            </w:tcBorders>
          </w:tcPr>
          <w:p w14:paraId="70EB8EA9" w14:textId="77777777" w:rsidR="008B2957" w:rsidRPr="0001539D" w:rsidRDefault="008B2957" w:rsidP="0013526B">
            <w:pPr>
              <w:ind w:left="522" w:right="-57"/>
              <w:jc w:val="both"/>
              <w:rPr>
                <w:bCs w:val="0"/>
                <w:sz w:val="18"/>
                <w:szCs w:val="18"/>
              </w:rPr>
            </w:pPr>
          </w:p>
        </w:tc>
        <w:tc>
          <w:tcPr>
            <w:tcW w:w="4707" w:type="dxa"/>
            <w:tcBorders>
              <w:top w:val="nil"/>
              <w:left w:val="nil"/>
              <w:bottom w:val="nil"/>
              <w:right w:val="nil"/>
            </w:tcBorders>
          </w:tcPr>
          <w:p w14:paraId="17CCDAB0"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3134292E" w14:textId="77777777" w:rsidTr="0011757A">
        <w:trPr>
          <w:trHeight w:val="20"/>
        </w:trPr>
        <w:tc>
          <w:tcPr>
            <w:tcW w:w="4706" w:type="dxa"/>
            <w:tcBorders>
              <w:top w:val="nil"/>
              <w:left w:val="nil"/>
              <w:bottom w:val="nil"/>
              <w:right w:val="nil"/>
            </w:tcBorders>
          </w:tcPr>
          <w:p w14:paraId="5B989AC2" w14:textId="77777777" w:rsidR="008B2957" w:rsidRPr="0001539D" w:rsidRDefault="008B2957" w:rsidP="00070D1F">
            <w:pPr>
              <w:numPr>
                <w:ilvl w:val="0"/>
                <w:numId w:val="162"/>
              </w:numPr>
              <w:ind w:left="1135" w:right="-57" w:hanging="284"/>
              <w:jc w:val="both"/>
              <w:rPr>
                <w:b/>
                <w:bCs w:val="0"/>
                <w:sz w:val="18"/>
                <w:szCs w:val="18"/>
              </w:rPr>
            </w:pPr>
            <w:r w:rsidRPr="0001539D">
              <w:rPr>
                <w:b/>
                <w:sz w:val="18"/>
                <w:szCs w:val="18"/>
              </w:rPr>
              <w:t>lindung nilai arus kas - Lanjutan</w:t>
            </w:r>
          </w:p>
        </w:tc>
        <w:tc>
          <w:tcPr>
            <w:tcW w:w="4707" w:type="dxa"/>
            <w:tcBorders>
              <w:top w:val="nil"/>
              <w:left w:val="nil"/>
              <w:bottom w:val="nil"/>
              <w:right w:val="nil"/>
            </w:tcBorders>
          </w:tcPr>
          <w:p w14:paraId="0875FB3E" w14:textId="2953319F" w:rsidR="008B2957" w:rsidRPr="0001539D" w:rsidRDefault="008B2957" w:rsidP="00070D1F">
            <w:pPr>
              <w:pStyle w:val="ListParagraph"/>
              <w:numPr>
                <w:ilvl w:val="0"/>
                <w:numId w:val="163"/>
              </w:numPr>
              <w:ind w:left="1135" w:right="-57" w:hanging="284"/>
              <w:jc w:val="both"/>
              <w:rPr>
                <w:b/>
                <w:bCs w:val="0"/>
                <w:i/>
                <w:sz w:val="18"/>
                <w:szCs w:val="18"/>
              </w:rPr>
            </w:pPr>
            <w:r w:rsidRPr="0001539D">
              <w:rPr>
                <w:b/>
                <w:i/>
                <w:sz w:val="18"/>
                <w:szCs w:val="18"/>
              </w:rPr>
              <w:t xml:space="preserve">cash flow hedges </w:t>
            </w:r>
            <w:r w:rsidR="00F43772">
              <w:rPr>
                <w:b/>
                <w:i/>
                <w:sz w:val="18"/>
                <w:szCs w:val="18"/>
              </w:rPr>
              <w:t>–</w:t>
            </w:r>
            <w:r w:rsidRPr="0001539D">
              <w:rPr>
                <w:b/>
                <w:i/>
                <w:sz w:val="18"/>
                <w:szCs w:val="18"/>
              </w:rPr>
              <w:t xml:space="preserve"> Continued</w:t>
            </w:r>
          </w:p>
        </w:tc>
      </w:tr>
      <w:tr w:rsidR="008B2957" w:rsidRPr="0011757A" w14:paraId="3986916E" w14:textId="77777777" w:rsidTr="0011757A">
        <w:trPr>
          <w:trHeight w:val="20"/>
        </w:trPr>
        <w:tc>
          <w:tcPr>
            <w:tcW w:w="4706" w:type="dxa"/>
            <w:tcBorders>
              <w:top w:val="nil"/>
              <w:left w:val="nil"/>
              <w:bottom w:val="nil"/>
              <w:right w:val="nil"/>
            </w:tcBorders>
          </w:tcPr>
          <w:p w14:paraId="08FB6B55" w14:textId="77777777" w:rsidR="008B2957" w:rsidRPr="0001539D" w:rsidRDefault="008B2957" w:rsidP="0013526B">
            <w:pPr>
              <w:ind w:left="522" w:right="-57"/>
              <w:jc w:val="both"/>
              <w:rPr>
                <w:bCs w:val="0"/>
                <w:sz w:val="18"/>
                <w:szCs w:val="18"/>
              </w:rPr>
            </w:pPr>
          </w:p>
        </w:tc>
        <w:tc>
          <w:tcPr>
            <w:tcW w:w="4707" w:type="dxa"/>
            <w:tcBorders>
              <w:top w:val="nil"/>
              <w:left w:val="nil"/>
              <w:bottom w:val="nil"/>
              <w:right w:val="nil"/>
            </w:tcBorders>
          </w:tcPr>
          <w:p w14:paraId="305149BC"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79649C63" w14:textId="77777777" w:rsidTr="0011757A">
        <w:trPr>
          <w:trHeight w:val="20"/>
        </w:trPr>
        <w:tc>
          <w:tcPr>
            <w:tcW w:w="4706" w:type="dxa"/>
            <w:tcBorders>
              <w:top w:val="nil"/>
              <w:left w:val="nil"/>
              <w:bottom w:val="nil"/>
              <w:right w:val="nil"/>
            </w:tcBorders>
          </w:tcPr>
          <w:p w14:paraId="7A860485" w14:textId="4EC60547" w:rsidR="008B2957" w:rsidRPr="0001539D" w:rsidRDefault="008B2957" w:rsidP="0013526B">
            <w:pPr>
              <w:ind w:left="1134" w:right="-57"/>
              <w:jc w:val="both"/>
              <w:rPr>
                <w:bCs w:val="0"/>
                <w:sz w:val="18"/>
                <w:szCs w:val="18"/>
              </w:rPr>
            </w:pPr>
            <w:r w:rsidRPr="0001539D">
              <w:rPr>
                <w:sz w:val="18"/>
                <w:szCs w:val="18"/>
              </w:rPr>
              <w:t>Jumlah yang diakumulasikan di ekuitas direklasifikasi ke laporan laba rugi dan penghasilan komprehensif lain</w:t>
            </w:r>
            <w:r w:rsidR="00484BA4" w:rsidRPr="0001539D">
              <w:rPr>
                <w:sz w:val="18"/>
                <w:szCs w:val="18"/>
                <w:lang w:val="id-ID"/>
              </w:rPr>
              <w:t xml:space="preserve"> konsolidasian</w:t>
            </w:r>
            <w:r w:rsidRPr="0001539D">
              <w:rPr>
                <w:sz w:val="18"/>
                <w:szCs w:val="18"/>
              </w:rPr>
              <w:t xml:space="preserve"> pada saat item yang dilindung nilai mempengaruhi laba atau rugi.</w:t>
            </w:r>
          </w:p>
        </w:tc>
        <w:tc>
          <w:tcPr>
            <w:tcW w:w="4707" w:type="dxa"/>
            <w:tcBorders>
              <w:top w:val="nil"/>
              <w:left w:val="nil"/>
              <w:bottom w:val="nil"/>
              <w:right w:val="nil"/>
            </w:tcBorders>
          </w:tcPr>
          <w:p w14:paraId="0268612D" w14:textId="20D470E3" w:rsidR="008B2957" w:rsidRPr="0001539D" w:rsidRDefault="008B2957" w:rsidP="0013526B">
            <w:pPr>
              <w:pStyle w:val="ListParagraph"/>
              <w:ind w:left="1134" w:right="-57"/>
              <w:jc w:val="both"/>
              <w:rPr>
                <w:bCs w:val="0"/>
                <w:i/>
                <w:sz w:val="18"/>
                <w:szCs w:val="18"/>
              </w:rPr>
            </w:pPr>
            <w:r w:rsidRPr="0001539D">
              <w:rPr>
                <w:i/>
                <w:sz w:val="18"/>
                <w:szCs w:val="18"/>
              </w:rPr>
              <w:t>Accumulated amounts in equity are reclassified to the</w:t>
            </w:r>
            <w:r w:rsidR="00484BA4" w:rsidRPr="0001539D">
              <w:rPr>
                <w:i/>
                <w:sz w:val="18"/>
                <w:szCs w:val="18"/>
                <w:lang w:val="id-ID"/>
              </w:rPr>
              <w:t xml:space="preserve"> consolidated</w:t>
            </w:r>
            <w:r w:rsidRPr="0001539D">
              <w:rPr>
                <w:i/>
                <w:sz w:val="18"/>
                <w:szCs w:val="18"/>
              </w:rPr>
              <w:t xml:space="preserve"> statement of profit or loss and other comprehensive income when the hedged item affects profit or loss.</w:t>
            </w:r>
          </w:p>
        </w:tc>
      </w:tr>
      <w:tr w:rsidR="008B2957" w:rsidRPr="0011757A" w14:paraId="31C2C402" w14:textId="77777777" w:rsidTr="0011757A">
        <w:trPr>
          <w:trHeight w:val="20"/>
        </w:trPr>
        <w:tc>
          <w:tcPr>
            <w:tcW w:w="4706" w:type="dxa"/>
            <w:tcBorders>
              <w:top w:val="nil"/>
              <w:left w:val="nil"/>
              <w:bottom w:val="nil"/>
              <w:right w:val="nil"/>
            </w:tcBorders>
          </w:tcPr>
          <w:p w14:paraId="23D08625" w14:textId="77777777" w:rsidR="008B2957" w:rsidRPr="0001539D" w:rsidRDefault="008B2957" w:rsidP="0013526B">
            <w:pPr>
              <w:ind w:left="522" w:right="-57"/>
              <w:jc w:val="both"/>
              <w:rPr>
                <w:bCs w:val="0"/>
                <w:sz w:val="18"/>
                <w:szCs w:val="18"/>
              </w:rPr>
            </w:pPr>
          </w:p>
        </w:tc>
        <w:tc>
          <w:tcPr>
            <w:tcW w:w="4707" w:type="dxa"/>
            <w:tcBorders>
              <w:top w:val="nil"/>
              <w:left w:val="nil"/>
              <w:bottom w:val="nil"/>
              <w:right w:val="nil"/>
            </w:tcBorders>
          </w:tcPr>
          <w:p w14:paraId="11B6ED85"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7FE50280" w14:textId="77777777" w:rsidTr="0011757A">
        <w:trPr>
          <w:trHeight w:val="20"/>
        </w:trPr>
        <w:tc>
          <w:tcPr>
            <w:tcW w:w="4706" w:type="dxa"/>
            <w:tcBorders>
              <w:top w:val="nil"/>
              <w:left w:val="nil"/>
              <w:bottom w:val="nil"/>
              <w:right w:val="nil"/>
            </w:tcBorders>
          </w:tcPr>
          <w:p w14:paraId="17E65F83" w14:textId="6F91C36F" w:rsidR="008B2957" w:rsidRPr="0001539D" w:rsidRDefault="008B2957" w:rsidP="0013526B">
            <w:pPr>
              <w:ind w:left="1134" w:right="-57"/>
              <w:jc w:val="both"/>
              <w:rPr>
                <w:bCs w:val="0"/>
                <w:sz w:val="18"/>
                <w:szCs w:val="18"/>
              </w:rPr>
            </w:pPr>
            <w:r w:rsidRPr="0001539D">
              <w:rPr>
                <w:sz w:val="18"/>
                <w:szCs w:val="18"/>
              </w:rPr>
              <w:t>Keuntungan atau kerugian yang terkait dengan bagian efektif dari lindung nilai arus kas diakui di dalam laporan laba rugi dan penghasilan komprehensif lain</w:t>
            </w:r>
            <w:r w:rsidR="00484BA4" w:rsidRPr="0001539D">
              <w:rPr>
                <w:sz w:val="18"/>
                <w:szCs w:val="18"/>
                <w:lang w:val="id-ID"/>
              </w:rPr>
              <w:t xml:space="preserve"> konsolidasian</w:t>
            </w:r>
            <w:r w:rsidR="00870FD0">
              <w:rPr>
                <w:sz w:val="18"/>
                <w:szCs w:val="18"/>
              </w:rPr>
              <w:t>.</w:t>
            </w:r>
            <w:r w:rsidRPr="0001539D">
              <w:rPr>
                <w:sz w:val="18"/>
                <w:szCs w:val="18"/>
              </w:rPr>
              <w:t xml:space="preserve"> </w:t>
            </w:r>
            <w:proofErr w:type="gramStart"/>
            <w:r w:rsidRPr="0001539D">
              <w:rPr>
                <w:sz w:val="18"/>
                <w:szCs w:val="18"/>
              </w:rPr>
              <w:t>di</w:t>
            </w:r>
            <w:proofErr w:type="gramEnd"/>
            <w:r w:rsidRPr="0001539D">
              <w:rPr>
                <w:sz w:val="18"/>
                <w:szCs w:val="18"/>
              </w:rPr>
              <w:t xml:space="preserve"> baris yang sama dengan item yang dilindung nilai.</w:t>
            </w:r>
          </w:p>
        </w:tc>
        <w:tc>
          <w:tcPr>
            <w:tcW w:w="4707" w:type="dxa"/>
            <w:tcBorders>
              <w:top w:val="nil"/>
              <w:left w:val="nil"/>
              <w:bottom w:val="nil"/>
              <w:right w:val="nil"/>
            </w:tcBorders>
          </w:tcPr>
          <w:p w14:paraId="7BEAF5CF" w14:textId="0D6E4C66" w:rsidR="008B2957" w:rsidRPr="0001539D" w:rsidRDefault="008B2957" w:rsidP="0013526B">
            <w:pPr>
              <w:pStyle w:val="ListParagraph"/>
              <w:ind w:left="1134" w:right="-57"/>
              <w:jc w:val="both"/>
              <w:rPr>
                <w:bCs w:val="0"/>
                <w:i/>
                <w:sz w:val="18"/>
                <w:szCs w:val="18"/>
              </w:rPr>
            </w:pPr>
            <w:r w:rsidRPr="0001539D">
              <w:rPr>
                <w:i/>
                <w:sz w:val="18"/>
                <w:szCs w:val="18"/>
              </w:rPr>
              <w:t>Gains or losses related to the effective portion of cash flow hedges are recognized in the</w:t>
            </w:r>
            <w:r w:rsidR="00484BA4" w:rsidRPr="0001539D">
              <w:rPr>
                <w:i/>
                <w:sz w:val="18"/>
                <w:szCs w:val="18"/>
                <w:lang w:val="id-ID"/>
              </w:rPr>
              <w:t xml:space="preserve"> consolidated</w:t>
            </w:r>
            <w:r w:rsidRPr="0001539D">
              <w:rPr>
                <w:i/>
                <w:sz w:val="18"/>
                <w:szCs w:val="18"/>
              </w:rPr>
              <w:t xml:space="preserve"> statement of profit or loss and other comprehensive income</w:t>
            </w:r>
            <w:r w:rsidR="00870FD0">
              <w:rPr>
                <w:i/>
                <w:sz w:val="18"/>
                <w:szCs w:val="18"/>
              </w:rPr>
              <w:t>.</w:t>
            </w:r>
            <w:r w:rsidRPr="0001539D">
              <w:rPr>
                <w:i/>
                <w:sz w:val="18"/>
                <w:szCs w:val="18"/>
              </w:rPr>
              <w:t xml:space="preserve"> </w:t>
            </w:r>
            <w:proofErr w:type="gramStart"/>
            <w:r w:rsidRPr="0001539D">
              <w:rPr>
                <w:i/>
                <w:sz w:val="18"/>
                <w:szCs w:val="18"/>
              </w:rPr>
              <w:t>in</w:t>
            </w:r>
            <w:proofErr w:type="gramEnd"/>
            <w:r w:rsidRPr="0001539D">
              <w:rPr>
                <w:i/>
                <w:sz w:val="18"/>
                <w:szCs w:val="18"/>
              </w:rPr>
              <w:t xml:space="preserve"> the same line as the hedged item.</w:t>
            </w:r>
          </w:p>
        </w:tc>
      </w:tr>
      <w:tr w:rsidR="008B2957" w:rsidRPr="0011757A" w14:paraId="2054D2D5" w14:textId="77777777" w:rsidTr="0011757A">
        <w:trPr>
          <w:trHeight w:val="20"/>
        </w:trPr>
        <w:tc>
          <w:tcPr>
            <w:tcW w:w="4706" w:type="dxa"/>
            <w:tcBorders>
              <w:top w:val="nil"/>
              <w:left w:val="nil"/>
              <w:bottom w:val="nil"/>
              <w:right w:val="nil"/>
            </w:tcBorders>
          </w:tcPr>
          <w:p w14:paraId="0F9DF5E5" w14:textId="77777777" w:rsidR="008B2957" w:rsidRPr="0001539D" w:rsidRDefault="008B2957" w:rsidP="0013526B">
            <w:pPr>
              <w:ind w:left="522" w:right="-57"/>
              <w:jc w:val="both"/>
              <w:rPr>
                <w:bCs w:val="0"/>
                <w:sz w:val="18"/>
                <w:szCs w:val="18"/>
              </w:rPr>
            </w:pPr>
          </w:p>
        </w:tc>
        <w:tc>
          <w:tcPr>
            <w:tcW w:w="4707" w:type="dxa"/>
            <w:tcBorders>
              <w:top w:val="nil"/>
              <w:left w:val="nil"/>
              <w:bottom w:val="nil"/>
              <w:right w:val="nil"/>
            </w:tcBorders>
          </w:tcPr>
          <w:p w14:paraId="39EEFC60"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74B76A8C" w14:textId="77777777" w:rsidTr="0011757A">
        <w:trPr>
          <w:trHeight w:val="20"/>
        </w:trPr>
        <w:tc>
          <w:tcPr>
            <w:tcW w:w="4706" w:type="dxa"/>
            <w:tcBorders>
              <w:top w:val="nil"/>
              <w:left w:val="nil"/>
              <w:bottom w:val="nil"/>
              <w:right w:val="nil"/>
            </w:tcBorders>
          </w:tcPr>
          <w:p w14:paraId="7128F4B1" w14:textId="170D865A" w:rsidR="008B2957" w:rsidRPr="0001539D" w:rsidRDefault="008B2957" w:rsidP="00C25313">
            <w:pPr>
              <w:ind w:left="1134" w:right="-57"/>
              <w:jc w:val="both"/>
              <w:rPr>
                <w:bCs w:val="0"/>
                <w:sz w:val="18"/>
                <w:szCs w:val="18"/>
              </w:rPr>
            </w:pPr>
            <w:r w:rsidRPr="0001539D">
              <w:rPr>
                <w:sz w:val="18"/>
                <w:szCs w:val="18"/>
              </w:rPr>
              <w:t>Ketika instrumen lindung nilai kadaluarsa atau dijual</w:t>
            </w:r>
            <w:r w:rsidR="00C25313">
              <w:rPr>
                <w:sz w:val="18"/>
                <w:szCs w:val="18"/>
              </w:rPr>
              <w:t>,</w:t>
            </w:r>
            <w:r w:rsidRPr="0001539D">
              <w:rPr>
                <w:sz w:val="18"/>
                <w:szCs w:val="18"/>
              </w:rPr>
              <w:t xml:space="preserve"> atau ketika lindung nilai tidak lagi memenuhi kriteria akuntansi lindung nilai</w:t>
            </w:r>
            <w:r w:rsidR="00C25313">
              <w:rPr>
                <w:sz w:val="18"/>
                <w:szCs w:val="18"/>
              </w:rPr>
              <w:t>,</w:t>
            </w:r>
            <w:r w:rsidRPr="0001539D">
              <w:rPr>
                <w:sz w:val="18"/>
                <w:szCs w:val="18"/>
              </w:rPr>
              <w:t xml:space="preserve"> keuntungan atau kerugian kumulatif yang ada di ekuitas saat itu tetap berada di bagian ekuitas dan akan diakui pada saat prakiraan transaksi yang pada akhirnya diakui dalam laporan laba rugi dan penghasilan komprehensif lain</w:t>
            </w:r>
            <w:r w:rsidR="00484BA4" w:rsidRPr="0001539D">
              <w:rPr>
                <w:sz w:val="18"/>
                <w:szCs w:val="18"/>
                <w:lang w:val="id-ID"/>
              </w:rPr>
              <w:t xml:space="preserve"> konsolidasian</w:t>
            </w:r>
            <w:r w:rsidRPr="0001539D">
              <w:rPr>
                <w:sz w:val="18"/>
                <w:szCs w:val="18"/>
              </w:rPr>
              <w:t>.</w:t>
            </w:r>
          </w:p>
        </w:tc>
        <w:tc>
          <w:tcPr>
            <w:tcW w:w="4707" w:type="dxa"/>
            <w:tcBorders>
              <w:top w:val="nil"/>
              <w:left w:val="nil"/>
              <w:bottom w:val="nil"/>
              <w:right w:val="nil"/>
            </w:tcBorders>
          </w:tcPr>
          <w:p w14:paraId="4B4016CC" w14:textId="4B81C1A5" w:rsidR="008B2957" w:rsidRPr="0001539D" w:rsidRDefault="008B2957" w:rsidP="00C25313">
            <w:pPr>
              <w:pStyle w:val="ListParagraph"/>
              <w:ind w:left="1134" w:right="-57"/>
              <w:jc w:val="both"/>
              <w:rPr>
                <w:bCs w:val="0"/>
                <w:i/>
                <w:sz w:val="18"/>
                <w:szCs w:val="18"/>
              </w:rPr>
            </w:pPr>
            <w:r w:rsidRPr="0001539D">
              <w:rPr>
                <w:i/>
                <w:sz w:val="18"/>
                <w:szCs w:val="18"/>
              </w:rPr>
              <w:t>When a hedging instrument is expired or sold</w:t>
            </w:r>
            <w:r w:rsidR="00C25313">
              <w:rPr>
                <w:i/>
                <w:sz w:val="18"/>
                <w:szCs w:val="18"/>
              </w:rPr>
              <w:t>,</w:t>
            </w:r>
            <w:r w:rsidRPr="0001539D">
              <w:rPr>
                <w:i/>
                <w:sz w:val="18"/>
                <w:szCs w:val="18"/>
              </w:rPr>
              <w:t xml:space="preserve"> or when a hedge no longer meets the criteria for hedge accounting</w:t>
            </w:r>
            <w:r w:rsidR="00C25313">
              <w:rPr>
                <w:i/>
                <w:sz w:val="18"/>
                <w:szCs w:val="18"/>
              </w:rPr>
              <w:t>,</w:t>
            </w:r>
            <w:r w:rsidRPr="0001539D">
              <w:rPr>
                <w:i/>
                <w:sz w:val="18"/>
                <w:szCs w:val="18"/>
              </w:rPr>
              <w:t xml:space="preserve"> the cumulative gain or loss existing in equity at that time remains in equity and is recognized when the forecast transaction ultimately is recognized in the</w:t>
            </w:r>
            <w:r w:rsidR="00484BA4" w:rsidRPr="0001539D">
              <w:rPr>
                <w:i/>
                <w:sz w:val="18"/>
                <w:szCs w:val="18"/>
                <w:lang w:val="id-ID"/>
              </w:rPr>
              <w:t xml:space="preserve"> consolidated</w:t>
            </w:r>
            <w:r w:rsidRPr="0001539D">
              <w:rPr>
                <w:i/>
                <w:sz w:val="18"/>
                <w:szCs w:val="18"/>
              </w:rPr>
              <w:t xml:space="preserve"> statement of profit or loss and other comprehensive income.</w:t>
            </w:r>
          </w:p>
        </w:tc>
      </w:tr>
      <w:tr w:rsidR="008B2957" w:rsidRPr="0011757A" w14:paraId="3A3966B6" w14:textId="77777777" w:rsidTr="0011757A">
        <w:trPr>
          <w:trHeight w:val="20"/>
        </w:trPr>
        <w:tc>
          <w:tcPr>
            <w:tcW w:w="4706" w:type="dxa"/>
            <w:tcBorders>
              <w:top w:val="nil"/>
              <w:left w:val="nil"/>
              <w:bottom w:val="nil"/>
              <w:right w:val="nil"/>
            </w:tcBorders>
          </w:tcPr>
          <w:p w14:paraId="3B7F5FEA" w14:textId="77777777" w:rsidR="008B2957" w:rsidRPr="0001539D" w:rsidRDefault="008B2957" w:rsidP="0013526B">
            <w:pPr>
              <w:ind w:left="522" w:right="-57"/>
              <w:jc w:val="both"/>
              <w:rPr>
                <w:bCs w:val="0"/>
                <w:sz w:val="18"/>
                <w:szCs w:val="18"/>
              </w:rPr>
            </w:pPr>
          </w:p>
        </w:tc>
        <w:tc>
          <w:tcPr>
            <w:tcW w:w="4707" w:type="dxa"/>
            <w:tcBorders>
              <w:top w:val="nil"/>
              <w:left w:val="nil"/>
              <w:bottom w:val="nil"/>
              <w:right w:val="nil"/>
            </w:tcBorders>
          </w:tcPr>
          <w:p w14:paraId="208F72F2"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2CF880F3" w14:textId="77777777" w:rsidTr="0011757A">
        <w:trPr>
          <w:trHeight w:val="20"/>
        </w:trPr>
        <w:tc>
          <w:tcPr>
            <w:tcW w:w="4706" w:type="dxa"/>
            <w:tcBorders>
              <w:top w:val="nil"/>
              <w:left w:val="nil"/>
              <w:bottom w:val="nil"/>
              <w:right w:val="nil"/>
            </w:tcBorders>
          </w:tcPr>
          <w:p w14:paraId="472621D1" w14:textId="0B299C23" w:rsidR="008B2957" w:rsidRPr="0001539D" w:rsidRDefault="008B2957" w:rsidP="00C25313">
            <w:pPr>
              <w:ind w:left="1134" w:right="-57"/>
              <w:jc w:val="both"/>
              <w:rPr>
                <w:bCs w:val="0"/>
                <w:sz w:val="18"/>
                <w:szCs w:val="18"/>
              </w:rPr>
            </w:pPr>
            <w:r w:rsidRPr="0001539D">
              <w:rPr>
                <w:sz w:val="18"/>
                <w:szCs w:val="18"/>
              </w:rPr>
              <w:t>Apabila prakiraan transaksi tidak lagi diharapkan akan terjadi</w:t>
            </w:r>
            <w:r w:rsidR="00C25313">
              <w:rPr>
                <w:sz w:val="18"/>
                <w:szCs w:val="18"/>
              </w:rPr>
              <w:t>,</w:t>
            </w:r>
            <w:r w:rsidRPr="0001539D">
              <w:rPr>
                <w:sz w:val="18"/>
                <w:szCs w:val="18"/>
              </w:rPr>
              <w:t xml:space="preserve"> keuntungan atau kerugian kumulatif yang telah dicatat di bagian ekuitas segera dialihkan ke dalam laporan laba rugi dan penghasilan komprehensif lain</w:t>
            </w:r>
            <w:r w:rsidR="00484BA4" w:rsidRPr="0001539D">
              <w:rPr>
                <w:sz w:val="18"/>
                <w:szCs w:val="18"/>
                <w:lang w:val="id-ID"/>
              </w:rPr>
              <w:t xml:space="preserve"> konsolidasian</w:t>
            </w:r>
            <w:r w:rsidR="00C25313">
              <w:rPr>
                <w:sz w:val="18"/>
                <w:szCs w:val="18"/>
              </w:rPr>
              <w:t>,</w:t>
            </w:r>
            <w:r w:rsidR="00484BA4" w:rsidRPr="0001539D">
              <w:rPr>
                <w:sz w:val="18"/>
                <w:szCs w:val="18"/>
                <w:lang w:val="id-ID"/>
              </w:rPr>
              <w:t xml:space="preserve"> </w:t>
            </w:r>
            <w:r w:rsidRPr="0001539D">
              <w:rPr>
                <w:sz w:val="18"/>
                <w:szCs w:val="18"/>
              </w:rPr>
              <w:t>dalam akun “Keuntungan</w:t>
            </w:r>
            <w:proofErr w:type="gramStart"/>
            <w:r w:rsidRPr="0001539D">
              <w:rPr>
                <w:sz w:val="18"/>
                <w:szCs w:val="18"/>
              </w:rPr>
              <w:t>/(</w:t>
            </w:r>
            <w:proofErr w:type="gramEnd"/>
            <w:r w:rsidRPr="0001539D">
              <w:rPr>
                <w:sz w:val="18"/>
                <w:szCs w:val="18"/>
              </w:rPr>
              <w:t>Kerugian) Lain-lain-bersih”.</w:t>
            </w:r>
          </w:p>
        </w:tc>
        <w:tc>
          <w:tcPr>
            <w:tcW w:w="4707" w:type="dxa"/>
            <w:tcBorders>
              <w:top w:val="nil"/>
              <w:left w:val="nil"/>
              <w:bottom w:val="nil"/>
              <w:right w:val="nil"/>
            </w:tcBorders>
          </w:tcPr>
          <w:p w14:paraId="1CEC36A1" w14:textId="06F05E1C" w:rsidR="008B2957" w:rsidRPr="0001539D" w:rsidRDefault="008B2957" w:rsidP="00C25313">
            <w:pPr>
              <w:pStyle w:val="ListParagraph"/>
              <w:ind w:left="1134" w:right="-57"/>
              <w:jc w:val="both"/>
              <w:rPr>
                <w:i/>
                <w:sz w:val="18"/>
                <w:szCs w:val="18"/>
              </w:rPr>
            </w:pPr>
            <w:r w:rsidRPr="0001539D">
              <w:rPr>
                <w:i/>
                <w:sz w:val="18"/>
                <w:szCs w:val="18"/>
              </w:rPr>
              <w:t>If the forecast transaction is no longer expected to occur</w:t>
            </w:r>
            <w:r w:rsidR="00870FD0">
              <w:rPr>
                <w:i/>
                <w:sz w:val="18"/>
                <w:szCs w:val="18"/>
              </w:rPr>
              <w:t>.</w:t>
            </w:r>
            <w:r w:rsidRPr="0001539D">
              <w:rPr>
                <w:i/>
                <w:sz w:val="18"/>
                <w:szCs w:val="18"/>
              </w:rPr>
              <w:t xml:space="preserve"> </w:t>
            </w:r>
            <w:proofErr w:type="gramStart"/>
            <w:r w:rsidRPr="0001539D">
              <w:rPr>
                <w:i/>
                <w:sz w:val="18"/>
                <w:szCs w:val="18"/>
              </w:rPr>
              <w:t>the</w:t>
            </w:r>
            <w:proofErr w:type="gramEnd"/>
            <w:r w:rsidRPr="0001539D">
              <w:rPr>
                <w:i/>
                <w:sz w:val="18"/>
                <w:szCs w:val="18"/>
              </w:rPr>
              <w:t xml:space="preserve"> cumulative gain or loss that was reported in equity is immediately transferred to the </w:t>
            </w:r>
            <w:r w:rsidR="004D0383" w:rsidRPr="0001539D">
              <w:rPr>
                <w:i/>
                <w:sz w:val="18"/>
                <w:szCs w:val="18"/>
                <w:lang w:val="id-ID"/>
              </w:rPr>
              <w:t xml:space="preserve">consolidated </w:t>
            </w:r>
            <w:r w:rsidRPr="0001539D">
              <w:rPr>
                <w:i/>
                <w:sz w:val="18"/>
                <w:szCs w:val="18"/>
              </w:rPr>
              <w:t>statement of profit or loss and other comprehensive income</w:t>
            </w:r>
            <w:r w:rsidR="00C25313">
              <w:rPr>
                <w:i/>
                <w:sz w:val="18"/>
                <w:szCs w:val="18"/>
              </w:rPr>
              <w:t>,</w:t>
            </w:r>
            <w:r w:rsidRPr="0001539D">
              <w:rPr>
                <w:i/>
                <w:sz w:val="18"/>
                <w:szCs w:val="18"/>
              </w:rPr>
              <w:t xml:space="preserve"> in the account "Gain/(Loss) Other-net".</w:t>
            </w:r>
          </w:p>
        </w:tc>
      </w:tr>
      <w:tr w:rsidR="008B2957" w:rsidRPr="0011757A" w14:paraId="664415FA" w14:textId="77777777" w:rsidTr="0011757A">
        <w:trPr>
          <w:trHeight w:val="20"/>
        </w:trPr>
        <w:tc>
          <w:tcPr>
            <w:tcW w:w="4706" w:type="dxa"/>
            <w:tcBorders>
              <w:top w:val="nil"/>
              <w:left w:val="nil"/>
              <w:bottom w:val="nil"/>
              <w:right w:val="nil"/>
            </w:tcBorders>
          </w:tcPr>
          <w:p w14:paraId="5477C889" w14:textId="77777777" w:rsidR="008B2957" w:rsidRPr="0001539D" w:rsidRDefault="008B2957" w:rsidP="0013526B">
            <w:pPr>
              <w:ind w:left="522" w:right="-57"/>
              <w:jc w:val="both"/>
              <w:rPr>
                <w:bCs w:val="0"/>
                <w:sz w:val="18"/>
                <w:szCs w:val="18"/>
              </w:rPr>
            </w:pPr>
          </w:p>
        </w:tc>
        <w:tc>
          <w:tcPr>
            <w:tcW w:w="4707" w:type="dxa"/>
            <w:tcBorders>
              <w:top w:val="nil"/>
              <w:left w:val="nil"/>
              <w:bottom w:val="nil"/>
              <w:right w:val="nil"/>
            </w:tcBorders>
          </w:tcPr>
          <w:p w14:paraId="12551CF1" w14:textId="77777777" w:rsidR="008B2957" w:rsidRPr="0001539D" w:rsidRDefault="008B2957" w:rsidP="0013526B">
            <w:pPr>
              <w:tabs>
                <w:tab w:val="left" w:pos="5590"/>
                <w:tab w:val="right" w:pos="7620"/>
                <w:tab w:val="right" w:pos="9460"/>
                <w:tab w:val="right" w:pos="10080"/>
              </w:tabs>
              <w:ind w:left="651" w:right="-57"/>
              <w:jc w:val="both"/>
              <w:rPr>
                <w:bCs w:val="0"/>
                <w:i/>
                <w:sz w:val="18"/>
                <w:szCs w:val="18"/>
              </w:rPr>
            </w:pPr>
          </w:p>
        </w:tc>
      </w:tr>
      <w:tr w:rsidR="008B2957" w:rsidRPr="0011757A" w14:paraId="1E37F843" w14:textId="77777777" w:rsidTr="0011757A">
        <w:trPr>
          <w:trHeight w:val="20"/>
        </w:trPr>
        <w:tc>
          <w:tcPr>
            <w:tcW w:w="4706" w:type="dxa"/>
            <w:tcBorders>
              <w:top w:val="nil"/>
              <w:left w:val="nil"/>
              <w:bottom w:val="nil"/>
              <w:right w:val="nil"/>
            </w:tcBorders>
          </w:tcPr>
          <w:p w14:paraId="5D0BFC26" w14:textId="6BD407AA" w:rsidR="008B2957" w:rsidRPr="0001539D" w:rsidRDefault="008B2957" w:rsidP="0013526B">
            <w:pPr>
              <w:ind w:left="1134" w:right="-57"/>
              <w:jc w:val="both"/>
              <w:rPr>
                <w:bCs w:val="0"/>
                <w:sz w:val="18"/>
                <w:szCs w:val="18"/>
              </w:rPr>
            </w:pPr>
            <w:r w:rsidRPr="0001539D">
              <w:rPr>
                <w:sz w:val="18"/>
                <w:szCs w:val="18"/>
              </w:rPr>
              <w:t>Perubahan nilai wajar atas instrumen derivatif apapun yang tidak ditujukan atau tidak dikualifikasikan sebagai akuntansi lindung nilai diakui segera dalam laporan laba rugi dan penghasilan komprehensif lain</w:t>
            </w:r>
            <w:r w:rsidR="004D0383" w:rsidRPr="0001539D">
              <w:rPr>
                <w:sz w:val="18"/>
                <w:szCs w:val="18"/>
                <w:lang w:val="id-ID"/>
              </w:rPr>
              <w:t xml:space="preserve"> konsolidasian</w:t>
            </w:r>
            <w:r w:rsidR="00870FD0">
              <w:rPr>
                <w:sz w:val="18"/>
                <w:szCs w:val="18"/>
              </w:rPr>
              <w:t>.</w:t>
            </w:r>
            <w:r w:rsidRPr="0001539D">
              <w:rPr>
                <w:sz w:val="18"/>
                <w:szCs w:val="18"/>
              </w:rPr>
              <w:t xml:space="preserve"> </w:t>
            </w:r>
            <w:proofErr w:type="gramStart"/>
            <w:r w:rsidRPr="0001539D">
              <w:rPr>
                <w:sz w:val="18"/>
                <w:szCs w:val="18"/>
              </w:rPr>
              <w:t>dalam</w:t>
            </w:r>
            <w:proofErr w:type="gramEnd"/>
            <w:r w:rsidRPr="0001539D">
              <w:rPr>
                <w:sz w:val="18"/>
                <w:szCs w:val="18"/>
              </w:rPr>
              <w:t xml:space="preserve"> akun “Keuntungan/(Kerugian) Lain-lain-bersih”.</w:t>
            </w:r>
          </w:p>
        </w:tc>
        <w:tc>
          <w:tcPr>
            <w:tcW w:w="4707" w:type="dxa"/>
            <w:tcBorders>
              <w:top w:val="nil"/>
              <w:left w:val="nil"/>
              <w:bottom w:val="nil"/>
              <w:right w:val="nil"/>
            </w:tcBorders>
          </w:tcPr>
          <w:p w14:paraId="2FD51FF6" w14:textId="17FA37CF" w:rsidR="008B2957" w:rsidRPr="0001539D" w:rsidRDefault="008B2957" w:rsidP="0013526B">
            <w:pPr>
              <w:pStyle w:val="ListParagraph"/>
              <w:ind w:left="1134" w:right="-57"/>
              <w:jc w:val="both"/>
              <w:rPr>
                <w:bCs w:val="0"/>
                <w:i/>
                <w:sz w:val="18"/>
                <w:szCs w:val="18"/>
              </w:rPr>
            </w:pPr>
            <w:r w:rsidRPr="0001539D">
              <w:rPr>
                <w:i/>
                <w:sz w:val="18"/>
                <w:szCs w:val="18"/>
              </w:rPr>
              <w:t>Changes in the fair value of any derivative instruments that are not designated or do not qualify for hedge accounting are recognized immediately in the</w:t>
            </w:r>
            <w:r w:rsidR="004D0383" w:rsidRPr="0001539D">
              <w:rPr>
                <w:i/>
                <w:sz w:val="18"/>
                <w:szCs w:val="18"/>
                <w:lang w:val="id-ID"/>
              </w:rPr>
              <w:t xml:space="preserve"> consolidated</w:t>
            </w:r>
            <w:r w:rsidRPr="0001539D">
              <w:rPr>
                <w:i/>
                <w:sz w:val="18"/>
                <w:szCs w:val="18"/>
              </w:rPr>
              <w:t xml:space="preserve"> statement of profit or loss and other comprehensive income</w:t>
            </w:r>
            <w:r w:rsidR="00870FD0">
              <w:rPr>
                <w:i/>
                <w:sz w:val="18"/>
                <w:szCs w:val="18"/>
              </w:rPr>
              <w:t>.</w:t>
            </w:r>
            <w:r w:rsidRPr="0001539D">
              <w:rPr>
                <w:i/>
                <w:sz w:val="18"/>
                <w:szCs w:val="18"/>
              </w:rPr>
              <w:t xml:space="preserve"> </w:t>
            </w:r>
            <w:proofErr w:type="gramStart"/>
            <w:r w:rsidRPr="0001539D">
              <w:rPr>
                <w:i/>
                <w:sz w:val="18"/>
                <w:szCs w:val="18"/>
              </w:rPr>
              <w:t>in</w:t>
            </w:r>
            <w:proofErr w:type="gramEnd"/>
            <w:r w:rsidRPr="0001539D">
              <w:rPr>
                <w:i/>
                <w:sz w:val="18"/>
                <w:szCs w:val="18"/>
              </w:rPr>
              <w:t xml:space="preserve"> the account "Gain/(Loss) </w:t>
            </w:r>
            <w:r w:rsidR="0001539D" w:rsidRPr="0001539D">
              <w:rPr>
                <w:i/>
                <w:sz w:val="18"/>
                <w:szCs w:val="18"/>
              </w:rPr>
              <w:t>O</w:t>
            </w:r>
            <w:r w:rsidRPr="0001539D">
              <w:rPr>
                <w:i/>
                <w:sz w:val="18"/>
                <w:szCs w:val="18"/>
              </w:rPr>
              <w:t>ther-net".</w:t>
            </w:r>
          </w:p>
        </w:tc>
      </w:tr>
      <w:tr w:rsidR="00497B24" w:rsidRPr="0011757A" w14:paraId="06C7998E" w14:textId="77777777" w:rsidTr="0011757A">
        <w:trPr>
          <w:trHeight w:val="20"/>
        </w:trPr>
        <w:tc>
          <w:tcPr>
            <w:tcW w:w="4706" w:type="dxa"/>
            <w:tcBorders>
              <w:top w:val="nil"/>
              <w:left w:val="nil"/>
              <w:bottom w:val="nil"/>
              <w:right w:val="nil"/>
            </w:tcBorders>
          </w:tcPr>
          <w:p w14:paraId="42F6CD57" w14:textId="77777777" w:rsidR="00497B24" w:rsidRPr="0001539D" w:rsidRDefault="00497B24" w:rsidP="0013526B">
            <w:pPr>
              <w:ind w:left="1134" w:right="-57"/>
              <w:jc w:val="both"/>
              <w:rPr>
                <w:sz w:val="18"/>
                <w:szCs w:val="18"/>
              </w:rPr>
            </w:pPr>
          </w:p>
        </w:tc>
        <w:tc>
          <w:tcPr>
            <w:tcW w:w="4707" w:type="dxa"/>
            <w:tcBorders>
              <w:top w:val="nil"/>
              <w:left w:val="nil"/>
              <w:bottom w:val="nil"/>
              <w:right w:val="nil"/>
            </w:tcBorders>
          </w:tcPr>
          <w:p w14:paraId="113058B4" w14:textId="77777777" w:rsidR="00497B24" w:rsidRPr="0001539D" w:rsidRDefault="00497B24" w:rsidP="0013526B">
            <w:pPr>
              <w:pStyle w:val="ListParagraph"/>
              <w:ind w:left="1134" w:right="-57"/>
              <w:jc w:val="both"/>
              <w:rPr>
                <w:i/>
                <w:sz w:val="18"/>
                <w:szCs w:val="18"/>
              </w:rPr>
            </w:pPr>
          </w:p>
        </w:tc>
      </w:tr>
      <w:tr w:rsidR="00497B24" w:rsidRPr="0013526B" w14:paraId="49D79551" w14:textId="77777777" w:rsidTr="0011757A">
        <w:trPr>
          <w:trHeight w:val="20"/>
        </w:trPr>
        <w:tc>
          <w:tcPr>
            <w:tcW w:w="4706" w:type="dxa"/>
            <w:tcBorders>
              <w:top w:val="nil"/>
              <w:left w:val="nil"/>
              <w:bottom w:val="nil"/>
              <w:right w:val="nil"/>
            </w:tcBorders>
          </w:tcPr>
          <w:p w14:paraId="325A9DDA" w14:textId="2C9CB15D" w:rsidR="00497B24" w:rsidRPr="0001539D" w:rsidRDefault="00497B24" w:rsidP="00C25313">
            <w:pPr>
              <w:ind w:left="851" w:right="-57"/>
              <w:jc w:val="both"/>
              <w:rPr>
                <w:bCs w:val="0"/>
                <w:sz w:val="18"/>
                <w:szCs w:val="18"/>
              </w:rPr>
            </w:pPr>
            <w:r w:rsidRPr="0001539D">
              <w:rPr>
                <w:sz w:val="18"/>
                <w:szCs w:val="18"/>
                <w:lang w:val="id-ID"/>
              </w:rPr>
              <w:t xml:space="preserve">Kelompok Usaha </w:t>
            </w:r>
            <w:r w:rsidRPr="0001539D">
              <w:rPr>
                <w:sz w:val="18"/>
                <w:szCs w:val="18"/>
              </w:rPr>
              <w:t>tidak mengklasifikasikan aset keuangan sebagai investasi HTM</w:t>
            </w:r>
            <w:r w:rsidR="00C25313">
              <w:rPr>
                <w:sz w:val="18"/>
                <w:szCs w:val="18"/>
              </w:rPr>
              <w:t>,</w:t>
            </w:r>
            <w:r w:rsidRPr="0001539D">
              <w:rPr>
                <w:sz w:val="18"/>
                <w:szCs w:val="18"/>
              </w:rPr>
              <w:t xml:space="preserve"> jika dalam tahun berjalan atau dalam kurun waktu dua tahun sebelumnya</w:t>
            </w:r>
            <w:r w:rsidR="00C25313">
              <w:rPr>
                <w:sz w:val="18"/>
                <w:szCs w:val="18"/>
              </w:rPr>
              <w:t>,</w:t>
            </w:r>
            <w:r w:rsidRPr="0001539D">
              <w:rPr>
                <w:sz w:val="18"/>
                <w:szCs w:val="18"/>
              </w:rPr>
              <w:t xml:space="preserve"> telah menjual atau mereklasifikasi investasi HTM dalam jumlah yang lebih dari jumlah yang tidak signifikan sebelum jatuh tempo (lebih dari jumlah yang tidak signifikan dibandingkan dengan total nilai investasi HTM)</w:t>
            </w:r>
            <w:r w:rsidR="00870FD0">
              <w:rPr>
                <w:sz w:val="18"/>
                <w:szCs w:val="18"/>
              </w:rPr>
              <w:t>.</w:t>
            </w:r>
            <w:r w:rsidRPr="0001539D">
              <w:rPr>
                <w:sz w:val="18"/>
                <w:szCs w:val="18"/>
              </w:rPr>
              <w:t xml:space="preserve"> kecuali penjualan atau reklasifikasi tersebut:</w:t>
            </w:r>
          </w:p>
        </w:tc>
        <w:tc>
          <w:tcPr>
            <w:tcW w:w="4707" w:type="dxa"/>
            <w:tcBorders>
              <w:top w:val="nil"/>
              <w:left w:val="nil"/>
              <w:bottom w:val="nil"/>
              <w:right w:val="nil"/>
            </w:tcBorders>
          </w:tcPr>
          <w:p w14:paraId="59666FB0" w14:textId="3C89059D" w:rsidR="00497B24" w:rsidRPr="0001539D" w:rsidRDefault="00497B24" w:rsidP="00C25313">
            <w:pPr>
              <w:tabs>
                <w:tab w:val="left" w:pos="5590"/>
                <w:tab w:val="right" w:pos="7620"/>
                <w:tab w:val="right" w:pos="9460"/>
                <w:tab w:val="right" w:pos="10080"/>
              </w:tabs>
              <w:ind w:left="851" w:right="-57"/>
              <w:jc w:val="both"/>
              <w:rPr>
                <w:bCs w:val="0"/>
                <w:i/>
                <w:sz w:val="18"/>
                <w:szCs w:val="18"/>
              </w:rPr>
            </w:pPr>
            <w:r w:rsidRPr="0001539D">
              <w:rPr>
                <w:i/>
                <w:sz w:val="18"/>
                <w:szCs w:val="18"/>
              </w:rPr>
              <w:t xml:space="preserve">The </w:t>
            </w:r>
            <w:r w:rsidRPr="0001539D">
              <w:rPr>
                <w:i/>
                <w:sz w:val="18"/>
                <w:szCs w:val="18"/>
                <w:lang w:val="id-ID"/>
              </w:rPr>
              <w:t>Group</w:t>
            </w:r>
            <w:r w:rsidRPr="0001539D">
              <w:rPr>
                <w:i/>
                <w:sz w:val="18"/>
                <w:szCs w:val="18"/>
              </w:rPr>
              <w:t xml:space="preserve"> does not classify financial assets as HTM investments</w:t>
            </w:r>
            <w:r w:rsidR="00C25313">
              <w:rPr>
                <w:i/>
                <w:sz w:val="18"/>
                <w:szCs w:val="18"/>
              </w:rPr>
              <w:t>,</w:t>
            </w:r>
            <w:r w:rsidRPr="0001539D">
              <w:rPr>
                <w:i/>
                <w:sz w:val="18"/>
                <w:szCs w:val="18"/>
              </w:rPr>
              <w:t xml:space="preserve"> if in the current year or during the two previous years</w:t>
            </w:r>
            <w:r w:rsidR="00C25313">
              <w:rPr>
                <w:i/>
                <w:sz w:val="18"/>
                <w:szCs w:val="18"/>
              </w:rPr>
              <w:t>,</w:t>
            </w:r>
            <w:r w:rsidRPr="0001539D">
              <w:rPr>
                <w:i/>
                <w:sz w:val="18"/>
                <w:szCs w:val="18"/>
              </w:rPr>
              <w:t xml:space="preserve"> sold or reclassified as HTM investments in amounts of more than an insignificant amount before maturity (more than the insignificant amount compared to the total value of investments HTM</w:t>
            </w:r>
            <w:r w:rsidR="00C25313">
              <w:rPr>
                <w:i/>
                <w:sz w:val="18"/>
                <w:szCs w:val="18"/>
              </w:rPr>
              <w:t>),</w:t>
            </w:r>
            <w:r w:rsidRPr="0001539D">
              <w:rPr>
                <w:i/>
                <w:sz w:val="18"/>
                <w:szCs w:val="18"/>
              </w:rPr>
              <w:t xml:space="preserve"> except for sales or reclassifications that:</w:t>
            </w:r>
          </w:p>
        </w:tc>
      </w:tr>
      <w:tr w:rsidR="00497B24" w:rsidRPr="0013526B" w14:paraId="40592264" w14:textId="77777777" w:rsidTr="0011757A">
        <w:trPr>
          <w:trHeight w:val="20"/>
        </w:trPr>
        <w:tc>
          <w:tcPr>
            <w:tcW w:w="4706" w:type="dxa"/>
            <w:tcBorders>
              <w:top w:val="nil"/>
              <w:left w:val="nil"/>
              <w:bottom w:val="nil"/>
              <w:right w:val="nil"/>
            </w:tcBorders>
          </w:tcPr>
          <w:p w14:paraId="22599CAE" w14:textId="77777777" w:rsidR="00497B24" w:rsidRPr="0013526B" w:rsidRDefault="00497B24" w:rsidP="0013526B">
            <w:pPr>
              <w:ind w:left="1134" w:right="-57"/>
              <w:jc w:val="both"/>
              <w:rPr>
                <w:sz w:val="18"/>
                <w:szCs w:val="18"/>
              </w:rPr>
            </w:pPr>
          </w:p>
        </w:tc>
        <w:tc>
          <w:tcPr>
            <w:tcW w:w="4707" w:type="dxa"/>
            <w:tcBorders>
              <w:top w:val="nil"/>
              <w:left w:val="nil"/>
              <w:bottom w:val="nil"/>
              <w:right w:val="nil"/>
            </w:tcBorders>
          </w:tcPr>
          <w:p w14:paraId="62DC814C" w14:textId="77777777" w:rsidR="00497B24" w:rsidRPr="0013526B" w:rsidRDefault="00497B24" w:rsidP="0013526B">
            <w:pPr>
              <w:pStyle w:val="ListParagraph"/>
              <w:ind w:left="1134" w:right="-57"/>
              <w:jc w:val="both"/>
              <w:rPr>
                <w:i/>
                <w:sz w:val="18"/>
                <w:szCs w:val="18"/>
              </w:rPr>
            </w:pPr>
          </w:p>
        </w:tc>
      </w:tr>
    </w:tbl>
    <w:p w14:paraId="643BD849" w14:textId="77777777" w:rsidR="008B2957" w:rsidRPr="0013526B" w:rsidRDefault="008B2957" w:rsidP="0013526B">
      <w:pPr>
        <w:rPr>
          <w:sz w:val="18"/>
          <w:szCs w:val="18"/>
        </w:rPr>
      </w:pPr>
    </w:p>
    <w:p w14:paraId="66E56054" w14:textId="77777777" w:rsidR="008B2957" w:rsidRPr="0013526B" w:rsidRDefault="008B2957" w:rsidP="0013526B">
      <w:pPr>
        <w:rPr>
          <w:sz w:val="18"/>
          <w:szCs w:val="18"/>
        </w:rPr>
      </w:pPr>
    </w:p>
    <w:p w14:paraId="08AD615E" w14:textId="77777777" w:rsidR="008B2957" w:rsidRPr="0013526B" w:rsidRDefault="008B2957" w:rsidP="0013526B">
      <w:pPr>
        <w:rPr>
          <w:sz w:val="18"/>
          <w:szCs w:val="18"/>
        </w:rPr>
      </w:pPr>
    </w:p>
    <w:p w14:paraId="7E7D075F" w14:textId="77777777" w:rsidR="00B967CA" w:rsidRPr="0013526B" w:rsidRDefault="00B967CA" w:rsidP="0013526B">
      <w:pPr>
        <w:rPr>
          <w:sz w:val="18"/>
          <w:szCs w:val="18"/>
          <w:lang w:val="id-ID"/>
        </w:rPr>
      </w:pPr>
    </w:p>
    <w:p w14:paraId="12A67EC2" w14:textId="77777777" w:rsidR="00C85EDE" w:rsidRDefault="00C85EDE" w:rsidP="0013526B">
      <w:pPr>
        <w:rPr>
          <w:sz w:val="4"/>
          <w:szCs w:val="4"/>
          <w:lang w:val="id-ID"/>
        </w:rPr>
      </w:pPr>
    </w:p>
    <w:p w14:paraId="7B4A646A" w14:textId="77777777" w:rsidR="00497B24" w:rsidRDefault="00497B24" w:rsidP="0013526B">
      <w:pPr>
        <w:rPr>
          <w:sz w:val="4"/>
          <w:szCs w:val="4"/>
          <w:lang w:val="id-ID"/>
        </w:rPr>
      </w:pPr>
    </w:p>
    <w:p w14:paraId="6FFB3C1A" w14:textId="77777777" w:rsidR="00497B24" w:rsidRDefault="00497B24" w:rsidP="0013526B">
      <w:pPr>
        <w:rPr>
          <w:sz w:val="4"/>
          <w:szCs w:val="4"/>
          <w:lang w:val="id-ID"/>
        </w:rPr>
      </w:pPr>
    </w:p>
    <w:p w14:paraId="44955584" w14:textId="0BE8C8BA" w:rsidR="00497B24" w:rsidRPr="00497B24" w:rsidRDefault="00497B24" w:rsidP="0013526B">
      <w:pPr>
        <w:rPr>
          <w:sz w:val="4"/>
          <w:szCs w:val="4"/>
          <w:lang w:val="id-ID"/>
        </w:rPr>
      </w:pPr>
      <w:r>
        <w:rPr>
          <w:sz w:val="4"/>
          <w:szCs w:val="4"/>
          <w:lang w:val="id-ID"/>
        </w:rPr>
        <w:br w:type="page"/>
      </w:r>
    </w:p>
    <w:tbl>
      <w:tblPr>
        <w:tblW w:w="9197" w:type="dxa"/>
        <w:tblInd w:w="392" w:type="dxa"/>
        <w:tblLayout w:type="fixed"/>
        <w:tblLook w:val="0000" w:firstRow="0" w:lastRow="0" w:firstColumn="0" w:lastColumn="0" w:noHBand="0" w:noVBand="0"/>
      </w:tblPr>
      <w:tblGrid>
        <w:gridCol w:w="4598"/>
        <w:gridCol w:w="4599"/>
      </w:tblGrid>
      <w:tr w:rsidR="008B2957" w:rsidRPr="0001539D" w14:paraId="2DD9D9C3" w14:textId="77777777" w:rsidTr="0011757A">
        <w:trPr>
          <w:trHeight w:val="20"/>
        </w:trPr>
        <w:tc>
          <w:tcPr>
            <w:tcW w:w="4706" w:type="dxa"/>
            <w:tcBorders>
              <w:top w:val="nil"/>
              <w:left w:val="nil"/>
              <w:bottom w:val="nil"/>
              <w:right w:val="nil"/>
            </w:tcBorders>
          </w:tcPr>
          <w:p w14:paraId="3CB73432" w14:textId="1D134819" w:rsidR="008B2957" w:rsidRPr="0001539D" w:rsidRDefault="008B2957" w:rsidP="00070D1F">
            <w:pPr>
              <w:numPr>
                <w:ilvl w:val="0"/>
                <w:numId w:val="164"/>
              </w:numPr>
              <w:ind w:left="284" w:right="-57" w:hanging="284"/>
              <w:jc w:val="both"/>
              <w:rPr>
                <w:b/>
                <w:sz w:val="18"/>
                <w:szCs w:val="18"/>
              </w:rPr>
            </w:pPr>
            <w:r w:rsidRPr="0001539D">
              <w:rPr>
                <w:b/>
                <w:sz w:val="18"/>
                <w:szCs w:val="18"/>
              </w:rPr>
              <w:lastRenderedPageBreak/>
              <w:t>IKHTISAR K</w:t>
            </w:r>
            <w:r w:rsidR="00C85EDE" w:rsidRPr="0001539D">
              <w:rPr>
                <w:b/>
                <w:sz w:val="18"/>
                <w:szCs w:val="18"/>
              </w:rPr>
              <w:t>EBIJAKAN AKUNTANSI YANG PENTING</w:t>
            </w:r>
            <w:r w:rsidR="00C85EDE" w:rsidRPr="0001539D">
              <w:rPr>
                <w:b/>
                <w:sz w:val="18"/>
                <w:szCs w:val="18"/>
                <w:lang w:val="id-ID"/>
              </w:rPr>
              <w:t xml:space="preserve"> </w:t>
            </w:r>
            <w:r w:rsidR="00F43772">
              <w:rPr>
                <w:b/>
                <w:sz w:val="18"/>
                <w:szCs w:val="18"/>
              </w:rPr>
              <w:t>–</w:t>
            </w:r>
            <w:r w:rsidRPr="0001539D">
              <w:rPr>
                <w:b/>
                <w:sz w:val="18"/>
                <w:szCs w:val="18"/>
              </w:rPr>
              <w:t xml:space="preserve"> Lanjutan</w:t>
            </w:r>
          </w:p>
        </w:tc>
        <w:tc>
          <w:tcPr>
            <w:tcW w:w="4707" w:type="dxa"/>
            <w:tcBorders>
              <w:top w:val="nil"/>
              <w:left w:val="nil"/>
              <w:bottom w:val="nil"/>
              <w:right w:val="nil"/>
            </w:tcBorders>
          </w:tcPr>
          <w:p w14:paraId="5B5A2F6A" w14:textId="77777777" w:rsidR="008B2957" w:rsidRPr="0001539D" w:rsidRDefault="008B2957" w:rsidP="00070D1F">
            <w:pPr>
              <w:numPr>
                <w:ilvl w:val="0"/>
                <w:numId w:val="165"/>
              </w:numPr>
              <w:ind w:left="284" w:right="-57" w:hanging="284"/>
              <w:jc w:val="both"/>
              <w:rPr>
                <w:b/>
                <w:i/>
                <w:sz w:val="18"/>
                <w:szCs w:val="18"/>
              </w:rPr>
            </w:pPr>
            <w:r w:rsidRPr="0001539D">
              <w:rPr>
                <w:b/>
                <w:i/>
                <w:sz w:val="18"/>
                <w:szCs w:val="18"/>
              </w:rPr>
              <w:t xml:space="preserve">SUMMARY OF </w:t>
            </w:r>
            <w:r w:rsidR="00C85EDE" w:rsidRPr="0001539D">
              <w:rPr>
                <w:b/>
                <w:i/>
                <w:sz w:val="18"/>
                <w:szCs w:val="18"/>
              </w:rPr>
              <w:t>SIGNIFICANT ACCOUNTING POLICIES</w:t>
            </w:r>
            <w:r w:rsidR="00C85EDE" w:rsidRPr="0001539D">
              <w:rPr>
                <w:b/>
                <w:i/>
                <w:sz w:val="18"/>
                <w:szCs w:val="18"/>
                <w:lang w:val="id-ID"/>
              </w:rPr>
              <w:t xml:space="preserve"> </w:t>
            </w:r>
            <w:r w:rsidRPr="0001539D">
              <w:rPr>
                <w:b/>
                <w:i/>
                <w:sz w:val="18"/>
                <w:szCs w:val="18"/>
              </w:rPr>
              <w:t>- Continued</w:t>
            </w:r>
          </w:p>
        </w:tc>
      </w:tr>
      <w:tr w:rsidR="008B2957" w:rsidRPr="0001539D" w14:paraId="42365C86" w14:textId="77777777" w:rsidTr="0011757A">
        <w:trPr>
          <w:trHeight w:val="20"/>
        </w:trPr>
        <w:tc>
          <w:tcPr>
            <w:tcW w:w="4706" w:type="dxa"/>
            <w:tcBorders>
              <w:top w:val="nil"/>
              <w:left w:val="nil"/>
              <w:bottom w:val="nil"/>
              <w:right w:val="nil"/>
            </w:tcBorders>
          </w:tcPr>
          <w:p w14:paraId="1983E908" w14:textId="77777777" w:rsidR="008B2957" w:rsidRPr="0001539D" w:rsidRDefault="008B2957" w:rsidP="0013526B">
            <w:pPr>
              <w:ind w:left="357" w:right="-57"/>
              <w:jc w:val="both"/>
              <w:rPr>
                <w:sz w:val="12"/>
                <w:szCs w:val="18"/>
              </w:rPr>
            </w:pPr>
          </w:p>
        </w:tc>
        <w:tc>
          <w:tcPr>
            <w:tcW w:w="4707" w:type="dxa"/>
            <w:tcBorders>
              <w:top w:val="nil"/>
              <w:left w:val="nil"/>
              <w:bottom w:val="nil"/>
              <w:right w:val="nil"/>
            </w:tcBorders>
          </w:tcPr>
          <w:p w14:paraId="748F8D8D" w14:textId="77777777" w:rsidR="008B2957" w:rsidRPr="0001539D" w:rsidRDefault="008B2957" w:rsidP="0013526B">
            <w:pPr>
              <w:ind w:left="357" w:right="-57"/>
              <w:jc w:val="both"/>
              <w:rPr>
                <w:i/>
                <w:sz w:val="12"/>
                <w:szCs w:val="18"/>
              </w:rPr>
            </w:pPr>
          </w:p>
        </w:tc>
      </w:tr>
      <w:tr w:rsidR="008B2957" w:rsidRPr="0001539D" w14:paraId="0658574D" w14:textId="77777777" w:rsidTr="0011757A">
        <w:trPr>
          <w:trHeight w:val="20"/>
        </w:trPr>
        <w:tc>
          <w:tcPr>
            <w:tcW w:w="4706" w:type="dxa"/>
            <w:tcBorders>
              <w:top w:val="nil"/>
              <w:left w:val="nil"/>
              <w:bottom w:val="nil"/>
              <w:right w:val="nil"/>
            </w:tcBorders>
          </w:tcPr>
          <w:p w14:paraId="3A8855B9" w14:textId="77777777" w:rsidR="008B2957" w:rsidRPr="0001539D" w:rsidRDefault="008B2957" w:rsidP="00070D1F">
            <w:pPr>
              <w:pStyle w:val="ListParagraph"/>
              <w:numPr>
                <w:ilvl w:val="0"/>
                <w:numId w:val="184"/>
              </w:numPr>
              <w:ind w:left="568" w:right="-57" w:hanging="284"/>
              <w:contextualSpacing/>
              <w:jc w:val="both"/>
              <w:rPr>
                <w:b/>
                <w:sz w:val="18"/>
                <w:szCs w:val="18"/>
              </w:rPr>
            </w:pPr>
            <w:r w:rsidRPr="0001539D">
              <w:rPr>
                <w:b/>
                <w:sz w:val="18"/>
                <w:szCs w:val="18"/>
              </w:rPr>
              <w:t xml:space="preserve">Instrumen Keuangan </w:t>
            </w:r>
            <w:r w:rsidR="003151BF" w:rsidRPr="0001539D">
              <w:rPr>
                <w:b/>
                <w:sz w:val="18"/>
                <w:szCs w:val="18"/>
                <w:lang w:val="id-ID"/>
              </w:rPr>
              <w:t>-</w:t>
            </w:r>
            <w:r w:rsidRPr="0001539D">
              <w:rPr>
                <w:b/>
                <w:sz w:val="18"/>
                <w:szCs w:val="18"/>
              </w:rPr>
              <w:t xml:space="preserve"> Lanjutan</w:t>
            </w:r>
          </w:p>
        </w:tc>
        <w:tc>
          <w:tcPr>
            <w:tcW w:w="4707" w:type="dxa"/>
            <w:tcBorders>
              <w:top w:val="nil"/>
              <w:left w:val="nil"/>
              <w:bottom w:val="nil"/>
              <w:right w:val="nil"/>
            </w:tcBorders>
          </w:tcPr>
          <w:p w14:paraId="1B4D7A45" w14:textId="77777777" w:rsidR="008B2957" w:rsidRPr="0001539D" w:rsidRDefault="008B2957" w:rsidP="00070D1F">
            <w:pPr>
              <w:pStyle w:val="ListParagraph"/>
              <w:numPr>
                <w:ilvl w:val="0"/>
                <w:numId w:val="185"/>
              </w:numPr>
              <w:tabs>
                <w:tab w:val="left" w:pos="641"/>
                <w:tab w:val="left" w:pos="5590"/>
                <w:tab w:val="right" w:pos="7620"/>
                <w:tab w:val="right" w:pos="9460"/>
                <w:tab w:val="right" w:pos="10080"/>
              </w:tabs>
              <w:ind w:left="568" w:right="-57" w:hanging="284"/>
              <w:contextualSpacing/>
              <w:jc w:val="both"/>
              <w:rPr>
                <w:b/>
                <w:i/>
                <w:sz w:val="18"/>
                <w:szCs w:val="18"/>
              </w:rPr>
            </w:pPr>
            <w:r w:rsidRPr="0001539D">
              <w:rPr>
                <w:b/>
                <w:i/>
                <w:sz w:val="18"/>
                <w:szCs w:val="18"/>
              </w:rPr>
              <w:t>Financial Instruments - Continued</w:t>
            </w:r>
          </w:p>
        </w:tc>
      </w:tr>
      <w:tr w:rsidR="008B2957" w:rsidRPr="0001539D" w14:paraId="61E6B41F" w14:textId="77777777" w:rsidTr="0011757A">
        <w:trPr>
          <w:trHeight w:val="20"/>
        </w:trPr>
        <w:tc>
          <w:tcPr>
            <w:tcW w:w="4706" w:type="dxa"/>
            <w:tcBorders>
              <w:top w:val="nil"/>
              <w:left w:val="nil"/>
              <w:bottom w:val="nil"/>
              <w:right w:val="nil"/>
            </w:tcBorders>
          </w:tcPr>
          <w:p w14:paraId="0619DB39" w14:textId="77777777" w:rsidR="008B2957" w:rsidRPr="0001539D" w:rsidRDefault="008B2957" w:rsidP="0013526B">
            <w:pPr>
              <w:ind w:left="522" w:right="-57"/>
              <w:jc w:val="both"/>
              <w:rPr>
                <w:bCs w:val="0"/>
                <w:sz w:val="12"/>
                <w:szCs w:val="18"/>
              </w:rPr>
            </w:pPr>
          </w:p>
        </w:tc>
        <w:tc>
          <w:tcPr>
            <w:tcW w:w="4707" w:type="dxa"/>
            <w:tcBorders>
              <w:top w:val="nil"/>
              <w:left w:val="nil"/>
              <w:bottom w:val="nil"/>
              <w:right w:val="nil"/>
            </w:tcBorders>
          </w:tcPr>
          <w:p w14:paraId="28FBE0AA" w14:textId="77777777" w:rsidR="008B2957" w:rsidRPr="0001539D" w:rsidRDefault="008B2957" w:rsidP="0013526B">
            <w:pPr>
              <w:tabs>
                <w:tab w:val="left" w:pos="5590"/>
                <w:tab w:val="right" w:pos="7620"/>
                <w:tab w:val="right" w:pos="9460"/>
                <w:tab w:val="right" w:pos="10080"/>
              </w:tabs>
              <w:ind w:left="651" w:right="-57"/>
              <w:jc w:val="both"/>
              <w:rPr>
                <w:bCs w:val="0"/>
                <w:i/>
                <w:sz w:val="12"/>
                <w:szCs w:val="18"/>
              </w:rPr>
            </w:pPr>
          </w:p>
        </w:tc>
      </w:tr>
      <w:tr w:rsidR="008B2957" w:rsidRPr="0001539D" w14:paraId="462F7702" w14:textId="77777777" w:rsidTr="0011757A">
        <w:trPr>
          <w:trHeight w:val="20"/>
        </w:trPr>
        <w:tc>
          <w:tcPr>
            <w:tcW w:w="4706" w:type="dxa"/>
            <w:tcBorders>
              <w:top w:val="nil"/>
              <w:left w:val="nil"/>
              <w:bottom w:val="nil"/>
              <w:right w:val="nil"/>
            </w:tcBorders>
          </w:tcPr>
          <w:p w14:paraId="6A98E559" w14:textId="77777777" w:rsidR="008B2957" w:rsidRPr="0001539D" w:rsidRDefault="008B2957" w:rsidP="00070D1F">
            <w:pPr>
              <w:pStyle w:val="Default"/>
              <w:numPr>
                <w:ilvl w:val="0"/>
                <w:numId w:val="161"/>
              </w:numPr>
              <w:ind w:left="851" w:right="-57" w:hanging="284"/>
              <w:jc w:val="both"/>
              <w:rPr>
                <w:rFonts w:ascii="Times New Roman" w:hAnsi="Times New Roman" w:cs="Times New Roman"/>
                <w:b/>
                <w:bCs/>
                <w:sz w:val="18"/>
                <w:szCs w:val="18"/>
              </w:rPr>
            </w:pPr>
            <w:r w:rsidRPr="0001539D">
              <w:rPr>
                <w:rFonts w:ascii="Times New Roman" w:hAnsi="Times New Roman" w:cs="Times New Roman"/>
                <w:b/>
                <w:sz w:val="18"/>
                <w:szCs w:val="18"/>
              </w:rPr>
              <w:t>Reklasifikasi Instrumen Keuangan</w:t>
            </w:r>
          </w:p>
        </w:tc>
        <w:tc>
          <w:tcPr>
            <w:tcW w:w="4707" w:type="dxa"/>
            <w:tcBorders>
              <w:top w:val="nil"/>
              <w:left w:val="nil"/>
              <w:bottom w:val="nil"/>
              <w:right w:val="nil"/>
            </w:tcBorders>
          </w:tcPr>
          <w:p w14:paraId="06A36A3E" w14:textId="77777777" w:rsidR="008B2957" w:rsidRPr="0001539D" w:rsidRDefault="008B2957" w:rsidP="00070D1F">
            <w:pPr>
              <w:pStyle w:val="ListParagraph"/>
              <w:numPr>
                <w:ilvl w:val="0"/>
                <w:numId w:val="160"/>
              </w:numPr>
              <w:ind w:left="851" w:right="-57" w:hanging="284"/>
              <w:jc w:val="both"/>
              <w:rPr>
                <w:b/>
                <w:bCs w:val="0"/>
                <w:i/>
                <w:sz w:val="18"/>
                <w:szCs w:val="18"/>
              </w:rPr>
            </w:pPr>
            <w:r w:rsidRPr="0001539D">
              <w:rPr>
                <w:b/>
                <w:i/>
                <w:sz w:val="18"/>
                <w:szCs w:val="18"/>
              </w:rPr>
              <w:t>Reclassification of Financial Instruments</w:t>
            </w:r>
          </w:p>
        </w:tc>
      </w:tr>
      <w:tr w:rsidR="008B2957" w:rsidRPr="0001539D" w14:paraId="45552345" w14:textId="77777777" w:rsidTr="0011757A">
        <w:trPr>
          <w:trHeight w:val="20"/>
        </w:trPr>
        <w:tc>
          <w:tcPr>
            <w:tcW w:w="4706" w:type="dxa"/>
            <w:tcBorders>
              <w:top w:val="nil"/>
              <w:left w:val="nil"/>
              <w:bottom w:val="nil"/>
              <w:right w:val="nil"/>
            </w:tcBorders>
          </w:tcPr>
          <w:p w14:paraId="25F56131" w14:textId="77777777" w:rsidR="008B2957" w:rsidRPr="0001539D" w:rsidRDefault="008B2957" w:rsidP="0013526B">
            <w:pPr>
              <w:ind w:left="522" w:right="-57"/>
              <w:jc w:val="both"/>
              <w:rPr>
                <w:bCs w:val="0"/>
                <w:sz w:val="12"/>
                <w:szCs w:val="18"/>
              </w:rPr>
            </w:pPr>
          </w:p>
        </w:tc>
        <w:tc>
          <w:tcPr>
            <w:tcW w:w="4707" w:type="dxa"/>
            <w:tcBorders>
              <w:top w:val="nil"/>
              <w:left w:val="nil"/>
              <w:bottom w:val="nil"/>
              <w:right w:val="nil"/>
            </w:tcBorders>
          </w:tcPr>
          <w:p w14:paraId="519E69FE" w14:textId="77777777" w:rsidR="008B2957" w:rsidRPr="0001539D" w:rsidRDefault="008B2957" w:rsidP="0013526B">
            <w:pPr>
              <w:tabs>
                <w:tab w:val="left" w:pos="5590"/>
                <w:tab w:val="right" w:pos="7620"/>
                <w:tab w:val="right" w:pos="9460"/>
                <w:tab w:val="right" w:pos="10080"/>
              </w:tabs>
              <w:ind w:left="651" w:right="-57"/>
              <w:jc w:val="both"/>
              <w:rPr>
                <w:bCs w:val="0"/>
                <w:i/>
                <w:sz w:val="12"/>
                <w:szCs w:val="18"/>
              </w:rPr>
            </w:pPr>
          </w:p>
        </w:tc>
      </w:tr>
      <w:tr w:rsidR="008B2957" w:rsidRPr="0001539D" w14:paraId="2BFFF8C5" w14:textId="77777777" w:rsidTr="0011757A">
        <w:trPr>
          <w:trHeight w:val="20"/>
        </w:trPr>
        <w:tc>
          <w:tcPr>
            <w:tcW w:w="4706" w:type="dxa"/>
            <w:tcBorders>
              <w:top w:val="nil"/>
              <w:left w:val="nil"/>
              <w:bottom w:val="nil"/>
              <w:right w:val="nil"/>
            </w:tcBorders>
          </w:tcPr>
          <w:p w14:paraId="465B949E" w14:textId="77777777" w:rsidR="008B2957" w:rsidRPr="0001539D" w:rsidRDefault="008B2957" w:rsidP="00070D1F">
            <w:pPr>
              <w:pStyle w:val="ListParagraph"/>
              <w:numPr>
                <w:ilvl w:val="0"/>
                <w:numId w:val="115"/>
              </w:numPr>
              <w:ind w:left="1135" w:right="-57" w:hanging="284"/>
              <w:contextualSpacing/>
              <w:jc w:val="both"/>
              <w:rPr>
                <w:bCs w:val="0"/>
                <w:sz w:val="18"/>
                <w:szCs w:val="18"/>
              </w:rPr>
            </w:pPr>
            <w:r w:rsidRPr="0001539D">
              <w:rPr>
                <w:sz w:val="18"/>
                <w:szCs w:val="18"/>
              </w:rPr>
              <w:t>dilakukan ketika aset keuangan sudah mendekati jatuh tempo atau tanggal pembelian kembali di mana perubahan suku bunga tidak akan berpengaruh secara signifikan terhadap nilai wajar aset keuangan tersebut;</w:t>
            </w:r>
          </w:p>
        </w:tc>
        <w:tc>
          <w:tcPr>
            <w:tcW w:w="4707" w:type="dxa"/>
            <w:tcBorders>
              <w:top w:val="nil"/>
              <w:left w:val="nil"/>
              <w:bottom w:val="nil"/>
              <w:right w:val="nil"/>
            </w:tcBorders>
          </w:tcPr>
          <w:p w14:paraId="42615B7F" w14:textId="77777777" w:rsidR="008B2957" w:rsidRPr="0001539D" w:rsidRDefault="008B2957" w:rsidP="00070D1F">
            <w:pPr>
              <w:numPr>
                <w:ilvl w:val="0"/>
                <w:numId w:val="115"/>
              </w:numPr>
              <w:ind w:left="1135" w:right="-57" w:hanging="284"/>
              <w:jc w:val="both"/>
              <w:rPr>
                <w:bCs w:val="0"/>
                <w:i/>
                <w:sz w:val="18"/>
                <w:szCs w:val="18"/>
              </w:rPr>
            </w:pPr>
            <w:r w:rsidRPr="0001539D">
              <w:rPr>
                <w:i/>
                <w:sz w:val="18"/>
                <w:szCs w:val="18"/>
              </w:rPr>
              <w:t>done when the financial asset is approaching maturity or date of redemption in which changes in interest rates will not significantly affect the fair value of the financial asset;</w:t>
            </w:r>
          </w:p>
        </w:tc>
      </w:tr>
      <w:tr w:rsidR="008B2957" w:rsidRPr="0001539D" w14:paraId="537ED592" w14:textId="77777777" w:rsidTr="0011757A">
        <w:trPr>
          <w:trHeight w:val="20"/>
        </w:trPr>
        <w:tc>
          <w:tcPr>
            <w:tcW w:w="4706" w:type="dxa"/>
            <w:tcBorders>
              <w:top w:val="nil"/>
              <w:left w:val="nil"/>
              <w:bottom w:val="nil"/>
              <w:right w:val="nil"/>
            </w:tcBorders>
          </w:tcPr>
          <w:p w14:paraId="15F76B0C" w14:textId="77777777" w:rsidR="008B2957" w:rsidRPr="0001539D" w:rsidRDefault="008B2957" w:rsidP="0013526B">
            <w:pPr>
              <w:ind w:left="522" w:right="-57"/>
              <w:jc w:val="both"/>
              <w:rPr>
                <w:bCs w:val="0"/>
                <w:sz w:val="8"/>
                <w:szCs w:val="18"/>
              </w:rPr>
            </w:pPr>
          </w:p>
        </w:tc>
        <w:tc>
          <w:tcPr>
            <w:tcW w:w="4707" w:type="dxa"/>
            <w:tcBorders>
              <w:top w:val="nil"/>
              <w:left w:val="nil"/>
              <w:bottom w:val="nil"/>
              <w:right w:val="nil"/>
            </w:tcBorders>
          </w:tcPr>
          <w:p w14:paraId="4FD257CB" w14:textId="77777777" w:rsidR="008B2957" w:rsidRPr="0001539D" w:rsidRDefault="008B2957" w:rsidP="0013526B">
            <w:pPr>
              <w:tabs>
                <w:tab w:val="left" w:pos="5590"/>
                <w:tab w:val="right" w:pos="7620"/>
                <w:tab w:val="right" w:pos="9460"/>
                <w:tab w:val="right" w:pos="10080"/>
              </w:tabs>
              <w:ind w:left="651" w:right="-57"/>
              <w:jc w:val="both"/>
              <w:rPr>
                <w:bCs w:val="0"/>
                <w:i/>
                <w:sz w:val="8"/>
                <w:szCs w:val="18"/>
              </w:rPr>
            </w:pPr>
          </w:p>
        </w:tc>
      </w:tr>
      <w:tr w:rsidR="008B2957" w:rsidRPr="0001539D" w14:paraId="55ECC0B9" w14:textId="77777777" w:rsidTr="0011757A">
        <w:trPr>
          <w:trHeight w:val="20"/>
        </w:trPr>
        <w:tc>
          <w:tcPr>
            <w:tcW w:w="4706" w:type="dxa"/>
            <w:tcBorders>
              <w:top w:val="nil"/>
              <w:left w:val="nil"/>
              <w:bottom w:val="nil"/>
              <w:right w:val="nil"/>
            </w:tcBorders>
          </w:tcPr>
          <w:p w14:paraId="43D41F2D" w14:textId="77777777" w:rsidR="008B2957" w:rsidRPr="0001539D" w:rsidRDefault="008B2957" w:rsidP="00070D1F">
            <w:pPr>
              <w:pStyle w:val="ListParagraph"/>
              <w:numPr>
                <w:ilvl w:val="0"/>
                <w:numId w:val="115"/>
              </w:numPr>
              <w:ind w:left="1135" w:right="-57" w:hanging="284"/>
              <w:contextualSpacing/>
              <w:jc w:val="both"/>
              <w:rPr>
                <w:bCs w:val="0"/>
                <w:sz w:val="18"/>
                <w:szCs w:val="18"/>
              </w:rPr>
            </w:pPr>
            <w:r w:rsidRPr="0001539D">
              <w:rPr>
                <w:sz w:val="18"/>
                <w:szCs w:val="18"/>
              </w:rPr>
              <w:t>terjadi setelah entitas telah memperoleh secara substansial seluruh jumlah pokok aset keuangan tersebut sesuai jadwal pembayaran atau pelunasan dipercepat; atau</w:t>
            </w:r>
          </w:p>
        </w:tc>
        <w:tc>
          <w:tcPr>
            <w:tcW w:w="4707" w:type="dxa"/>
            <w:tcBorders>
              <w:top w:val="nil"/>
              <w:left w:val="nil"/>
              <w:bottom w:val="nil"/>
              <w:right w:val="nil"/>
            </w:tcBorders>
          </w:tcPr>
          <w:p w14:paraId="3BBCD2B8" w14:textId="77777777" w:rsidR="008B2957" w:rsidRPr="0001539D" w:rsidRDefault="008B2957" w:rsidP="00070D1F">
            <w:pPr>
              <w:numPr>
                <w:ilvl w:val="0"/>
                <w:numId w:val="115"/>
              </w:numPr>
              <w:ind w:left="1135" w:right="-57" w:hanging="284"/>
              <w:jc w:val="both"/>
              <w:rPr>
                <w:bCs w:val="0"/>
                <w:i/>
                <w:sz w:val="18"/>
                <w:szCs w:val="18"/>
              </w:rPr>
            </w:pPr>
            <w:r w:rsidRPr="0001539D">
              <w:rPr>
                <w:i/>
                <w:sz w:val="18"/>
                <w:szCs w:val="18"/>
              </w:rPr>
              <w:t>occurred after the entiy has acquired substantially all of the principal amount of the financial asset in accordance with the payment schedule or accelerated settlement; or</w:t>
            </w:r>
          </w:p>
        </w:tc>
      </w:tr>
      <w:tr w:rsidR="008B2957" w:rsidRPr="0001539D" w14:paraId="72B48043" w14:textId="77777777" w:rsidTr="0011757A">
        <w:trPr>
          <w:trHeight w:val="20"/>
        </w:trPr>
        <w:tc>
          <w:tcPr>
            <w:tcW w:w="4706" w:type="dxa"/>
            <w:tcBorders>
              <w:top w:val="nil"/>
              <w:left w:val="nil"/>
              <w:bottom w:val="nil"/>
              <w:right w:val="nil"/>
            </w:tcBorders>
          </w:tcPr>
          <w:p w14:paraId="76AA57EA" w14:textId="77777777" w:rsidR="008B2957" w:rsidRPr="0001539D" w:rsidRDefault="008B2957" w:rsidP="0013526B">
            <w:pPr>
              <w:ind w:left="522" w:right="-57"/>
              <w:jc w:val="both"/>
              <w:rPr>
                <w:bCs w:val="0"/>
                <w:sz w:val="8"/>
                <w:szCs w:val="18"/>
              </w:rPr>
            </w:pPr>
          </w:p>
        </w:tc>
        <w:tc>
          <w:tcPr>
            <w:tcW w:w="4707" w:type="dxa"/>
            <w:tcBorders>
              <w:top w:val="nil"/>
              <w:left w:val="nil"/>
              <w:bottom w:val="nil"/>
              <w:right w:val="nil"/>
            </w:tcBorders>
          </w:tcPr>
          <w:p w14:paraId="7FFB9C9F" w14:textId="77777777" w:rsidR="008B2957" w:rsidRPr="0001539D" w:rsidRDefault="008B2957" w:rsidP="0013526B">
            <w:pPr>
              <w:tabs>
                <w:tab w:val="left" w:pos="5590"/>
                <w:tab w:val="right" w:pos="7620"/>
                <w:tab w:val="right" w:pos="9460"/>
                <w:tab w:val="right" w:pos="10080"/>
              </w:tabs>
              <w:ind w:left="651" w:right="-57"/>
              <w:jc w:val="both"/>
              <w:rPr>
                <w:bCs w:val="0"/>
                <w:i/>
                <w:sz w:val="8"/>
                <w:szCs w:val="18"/>
              </w:rPr>
            </w:pPr>
          </w:p>
        </w:tc>
      </w:tr>
      <w:tr w:rsidR="008B2957" w:rsidRPr="0001539D" w14:paraId="1FBC3E00" w14:textId="77777777" w:rsidTr="0011757A">
        <w:trPr>
          <w:trHeight w:val="20"/>
        </w:trPr>
        <w:tc>
          <w:tcPr>
            <w:tcW w:w="4706" w:type="dxa"/>
            <w:tcBorders>
              <w:top w:val="nil"/>
              <w:left w:val="nil"/>
              <w:bottom w:val="nil"/>
              <w:right w:val="nil"/>
            </w:tcBorders>
          </w:tcPr>
          <w:p w14:paraId="11A977F7" w14:textId="4F94FBFA" w:rsidR="008B2957" w:rsidRPr="0001539D" w:rsidRDefault="008B2957" w:rsidP="00070D1F">
            <w:pPr>
              <w:pStyle w:val="ListParagraph"/>
              <w:numPr>
                <w:ilvl w:val="0"/>
                <w:numId w:val="115"/>
              </w:numPr>
              <w:ind w:left="1135" w:right="-57" w:hanging="284"/>
              <w:contextualSpacing/>
              <w:jc w:val="both"/>
              <w:rPr>
                <w:bCs w:val="0"/>
                <w:sz w:val="18"/>
                <w:szCs w:val="18"/>
              </w:rPr>
            </w:pPr>
            <w:proofErr w:type="gramStart"/>
            <w:r w:rsidRPr="0001539D">
              <w:rPr>
                <w:sz w:val="18"/>
                <w:szCs w:val="18"/>
              </w:rPr>
              <w:t>terkait</w:t>
            </w:r>
            <w:proofErr w:type="gramEnd"/>
            <w:r w:rsidRPr="0001539D">
              <w:rPr>
                <w:sz w:val="18"/>
                <w:szCs w:val="18"/>
              </w:rPr>
              <w:t xml:space="preserve"> dengan kejadian tertentu yang berada di luar kendali </w:t>
            </w:r>
            <w:r w:rsidR="00716854" w:rsidRPr="0001539D">
              <w:rPr>
                <w:sz w:val="18"/>
                <w:szCs w:val="18"/>
                <w:lang w:val="id-ID"/>
              </w:rPr>
              <w:t>Kelompok Usaha</w:t>
            </w:r>
            <w:r w:rsidR="00C25313">
              <w:rPr>
                <w:sz w:val="18"/>
                <w:szCs w:val="18"/>
              </w:rPr>
              <w:t>,</w:t>
            </w:r>
            <w:r w:rsidRPr="0001539D">
              <w:rPr>
                <w:sz w:val="18"/>
                <w:szCs w:val="18"/>
              </w:rPr>
              <w:t xml:space="preserve"> tidak berulang dan tidak dapat diantisipasi secara wajar oleh </w:t>
            </w:r>
            <w:r w:rsidR="00716854" w:rsidRPr="0001539D">
              <w:rPr>
                <w:sz w:val="18"/>
                <w:szCs w:val="18"/>
                <w:lang w:val="id-ID"/>
              </w:rPr>
              <w:t>Kelompok Usaha</w:t>
            </w:r>
            <w:r w:rsidRPr="0001539D">
              <w:rPr>
                <w:sz w:val="18"/>
                <w:szCs w:val="18"/>
              </w:rPr>
              <w:t>.</w:t>
            </w:r>
          </w:p>
        </w:tc>
        <w:tc>
          <w:tcPr>
            <w:tcW w:w="4707" w:type="dxa"/>
            <w:tcBorders>
              <w:top w:val="nil"/>
              <w:left w:val="nil"/>
              <w:bottom w:val="nil"/>
              <w:right w:val="nil"/>
            </w:tcBorders>
          </w:tcPr>
          <w:p w14:paraId="2D6BE851" w14:textId="6820934E" w:rsidR="008B2957" w:rsidRPr="0001539D" w:rsidRDefault="008B2957" w:rsidP="00070D1F">
            <w:pPr>
              <w:numPr>
                <w:ilvl w:val="0"/>
                <w:numId w:val="115"/>
              </w:numPr>
              <w:ind w:left="1135" w:right="-57" w:hanging="284"/>
              <w:jc w:val="both"/>
              <w:rPr>
                <w:bCs w:val="0"/>
                <w:i/>
                <w:sz w:val="18"/>
                <w:szCs w:val="18"/>
              </w:rPr>
            </w:pPr>
            <w:proofErr w:type="gramStart"/>
            <w:r w:rsidRPr="0001539D">
              <w:rPr>
                <w:i/>
                <w:sz w:val="18"/>
                <w:szCs w:val="18"/>
              </w:rPr>
              <w:t>associated</w:t>
            </w:r>
            <w:proofErr w:type="gramEnd"/>
            <w:r w:rsidRPr="0001539D">
              <w:rPr>
                <w:i/>
                <w:sz w:val="18"/>
                <w:szCs w:val="18"/>
              </w:rPr>
              <w:t xml:space="preserve"> with certain events that are beyond the control of the </w:t>
            </w:r>
            <w:r w:rsidR="00716854" w:rsidRPr="0001539D">
              <w:rPr>
                <w:i/>
                <w:sz w:val="18"/>
                <w:szCs w:val="18"/>
                <w:lang w:val="id-ID"/>
              </w:rPr>
              <w:t>Group</w:t>
            </w:r>
            <w:r w:rsidR="00C25313">
              <w:rPr>
                <w:i/>
                <w:sz w:val="18"/>
                <w:szCs w:val="18"/>
              </w:rPr>
              <w:t>,</w:t>
            </w:r>
            <w:r w:rsidRPr="0001539D">
              <w:rPr>
                <w:i/>
                <w:sz w:val="18"/>
                <w:szCs w:val="18"/>
              </w:rPr>
              <w:t xml:space="preserve"> non-recurring and could not have been reasonably anticipated by the </w:t>
            </w:r>
            <w:r w:rsidR="00716854" w:rsidRPr="0001539D">
              <w:rPr>
                <w:i/>
                <w:sz w:val="18"/>
                <w:szCs w:val="18"/>
                <w:lang w:val="id-ID"/>
              </w:rPr>
              <w:t>Group</w:t>
            </w:r>
            <w:r w:rsidRPr="0001539D">
              <w:rPr>
                <w:i/>
                <w:sz w:val="18"/>
                <w:szCs w:val="18"/>
              </w:rPr>
              <w:t>.</w:t>
            </w:r>
          </w:p>
        </w:tc>
      </w:tr>
      <w:tr w:rsidR="008B2957" w:rsidRPr="0001539D" w14:paraId="12195243" w14:textId="77777777" w:rsidTr="0011757A">
        <w:trPr>
          <w:trHeight w:val="20"/>
        </w:trPr>
        <w:tc>
          <w:tcPr>
            <w:tcW w:w="4706" w:type="dxa"/>
            <w:tcBorders>
              <w:top w:val="nil"/>
              <w:left w:val="nil"/>
              <w:bottom w:val="nil"/>
              <w:right w:val="nil"/>
            </w:tcBorders>
          </w:tcPr>
          <w:p w14:paraId="13A33FEC" w14:textId="77777777" w:rsidR="008B2957" w:rsidRPr="0001539D" w:rsidRDefault="008B2957" w:rsidP="0013526B">
            <w:pPr>
              <w:ind w:left="522" w:right="-57"/>
              <w:jc w:val="both"/>
              <w:rPr>
                <w:bCs w:val="0"/>
                <w:sz w:val="8"/>
                <w:szCs w:val="18"/>
              </w:rPr>
            </w:pPr>
          </w:p>
        </w:tc>
        <w:tc>
          <w:tcPr>
            <w:tcW w:w="4707" w:type="dxa"/>
            <w:tcBorders>
              <w:top w:val="nil"/>
              <w:left w:val="nil"/>
              <w:bottom w:val="nil"/>
              <w:right w:val="nil"/>
            </w:tcBorders>
          </w:tcPr>
          <w:p w14:paraId="78D803DE" w14:textId="77777777" w:rsidR="008B2957" w:rsidRPr="0001539D" w:rsidRDefault="008B2957" w:rsidP="0013526B">
            <w:pPr>
              <w:tabs>
                <w:tab w:val="left" w:pos="5590"/>
                <w:tab w:val="right" w:pos="7620"/>
                <w:tab w:val="right" w:pos="9460"/>
                <w:tab w:val="right" w:pos="10080"/>
              </w:tabs>
              <w:ind w:left="651" w:right="-57"/>
              <w:jc w:val="both"/>
              <w:rPr>
                <w:bCs w:val="0"/>
                <w:i/>
                <w:sz w:val="8"/>
                <w:szCs w:val="18"/>
              </w:rPr>
            </w:pPr>
          </w:p>
        </w:tc>
      </w:tr>
      <w:tr w:rsidR="008B2957" w:rsidRPr="0001539D" w14:paraId="353AA6F2" w14:textId="77777777" w:rsidTr="0011757A">
        <w:trPr>
          <w:trHeight w:val="20"/>
        </w:trPr>
        <w:tc>
          <w:tcPr>
            <w:tcW w:w="4706" w:type="dxa"/>
            <w:tcBorders>
              <w:top w:val="nil"/>
              <w:left w:val="nil"/>
              <w:bottom w:val="nil"/>
              <w:right w:val="nil"/>
            </w:tcBorders>
          </w:tcPr>
          <w:p w14:paraId="70759C7E" w14:textId="2CDD1D15" w:rsidR="008B2957" w:rsidRPr="0001539D" w:rsidRDefault="008B2957" w:rsidP="0013526B">
            <w:pPr>
              <w:ind w:left="924" w:right="-57"/>
              <w:jc w:val="both"/>
              <w:rPr>
                <w:bCs w:val="0"/>
                <w:sz w:val="18"/>
                <w:szCs w:val="18"/>
              </w:rPr>
            </w:pPr>
            <w:r w:rsidRPr="0001539D">
              <w:rPr>
                <w:sz w:val="18"/>
                <w:szCs w:val="18"/>
              </w:rPr>
              <w:t>Reklasifikasi aset keuangan dari kelompok HTM ke kelompok AFS dicatat sebesar nilai wajarnya. Keuntungan atau kerugian yang belum direalisasi diakui dalam komponen ekuitas sampai aset keuangan tersebut dihentikan pengakuannya</w:t>
            </w:r>
            <w:r w:rsidR="00870FD0">
              <w:rPr>
                <w:sz w:val="18"/>
                <w:szCs w:val="18"/>
              </w:rPr>
              <w:t>.</w:t>
            </w:r>
            <w:r w:rsidRPr="0001539D">
              <w:rPr>
                <w:sz w:val="18"/>
                <w:szCs w:val="18"/>
              </w:rPr>
              <w:t xml:space="preserve"> </w:t>
            </w:r>
            <w:proofErr w:type="gramStart"/>
            <w:r w:rsidRPr="0001539D">
              <w:rPr>
                <w:sz w:val="18"/>
                <w:szCs w:val="18"/>
              </w:rPr>
              <w:t>dan</w:t>
            </w:r>
            <w:proofErr w:type="gramEnd"/>
            <w:r w:rsidRPr="0001539D">
              <w:rPr>
                <w:sz w:val="18"/>
                <w:szCs w:val="18"/>
              </w:rPr>
              <w:t xml:space="preserve"> pada keuntungan atau kerugian kumulatif yang sebelumnya diakui dalam ekuitas harus diakui pada laporan laba rugi dan penghasilan komprehensif lain</w:t>
            </w:r>
            <w:r w:rsidR="004D0383" w:rsidRPr="0001539D">
              <w:rPr>
                <w:sz w:val="18"/>
                <w:szCs w:val="18"/>
                <w:lang w:val="id-ID"/>
              </w:rPr>
              <w:t xml:space="preserve"> konsolidasian</w:t>
            </w:r>
            <w:r w:rsidRPr="0001539D">
              <w:rPr>
                <w:sz w:val="18"/>
                <w:szCs w:val="18"/>
              </w:rPr>
              <w:t>.</w:t>
            </w:r>
          </w:p>
        </w:tc>
        <w:tc>
          <w:tcPr>
            <w:tcW w:w="4707" w:type="dxa"/>
            <w:tcBorders>
              <w:top w:val="nil"/>
              <w:left w:val="nil"/>
              <w:bottom w:val="nil"/>
              <w:right w:val="nil"/>
            </w:tcBorders>
          </w:tcPr>
          <w:p w14:paraId="6B018AE7" w14:textId="501D46E4" w:rsidR="008B2957" w:rsidRPr="0001539D" w:rsidRDefault="008B2957" w:rsidP="00C25313">
            <w:pPr>
              <w:tabs>
                <w:tab w:val="left" w:pos="5590"/>
                <w:tab w:val="right" w:pos="7620"/>
                <w:tab w:val="right" w:pos="9460"/>
                <w:tab w:val="right" w:pos="10080"/>
              </w:tabs>
              <w:ind w:left="851" w:right="-57"/>
              <w:jc w:val="both"/>
              <w:rPr>
                <w:bCs w:val="0"/>
                <w:i/>
                <w:sz w:val="18"/>
                <w:szCs w:val="18"/>
              </w:rPr>
            </w:pPr>
            <w:r w:rsidRPr="0001539D">
              <w:rPr>
                <w:i/>
                <w:sz w:val="18"/>
                <w:szCs w:val="18"/>
              </w:rPr>
              <w:t>Reclassification of financial assets HTM to AFS is recorded at fair value. Unrealized gains or losses are recognized in the equity until the financial asset is derecognized</w:t>
            </w:r>
            <w:r w:rsidR="00C25313">
              <w:rPr>
                <w:i/>
                <w:sz w:val="18"/>
                <w:szCs w:val="18"/>
              </w:rPr>
              <w:t>,</w:t>
            </w:r>
            <w:r w:rsidRPr="0001539D">
              <w:rPr>
                <w:i/>
                <w:sz w:val="18"/>
                <w:szCs w:val="18"/>
              </w:rPr>
              <w:t xml:space="preserve"> and the cumulative gain or loss previously recognized in equity should be recognized in the</w:t>
            </w:r>
            <w:r w:rsidR="004D0383" w:rsidRPr="0001539D">
              <w:rPr>
                <w:i/>
                <w:sz w:val="18"/>
                <w:szCs w:val="18"/>
                <w:lang w:val="id-ID"/>
              </w:rPr>
              <w:t xml:space="preserve"> consolidated</w:t>
            </w:r>
            <w:r w:rsidRPr="0001539D">
              <w:rPr>
                <w:i/>
                <w:sz w:val="18"/>
                <w:szCs w:val="18"/>
              </w:rPr>
              <w:t xml:space="preserve"> statement of profit or loss and other comprehensive income.</w:t>
            </w:r>
          </w:p>
        </w:tc>
      </w:tr>
    </w:tbl>
    <w:p w14:paraId="26236277" w14:textId="77777777" w:rsidR="008B2957" w:rsidRPr="00BB7A83" w:rsidRDefault="008B2957" w:rsidP="0013526B">
      <w:pPr>
        <w:rPr>
          <w:sz w:val="14"/>
          <w:szCs w:val="14"/>
        </w:rPr>
      </w:pPr>
    </w:p>
    <w:tbl>
      <w:tblPr>
        <w:tblStyle w:val="TableGrid"/>
        <w:tblW w:w="9197" w:type="dxa"/>
        <w:tblInd w:w="392" w:type="dxa"/>
        <w:tblLayout w:type="fixed"/>
        <w:tblLook w:val="04A0" w:firstRow="1" w:lastRow="0" w:firstColumn="1" w:lastColumn="0" w:noHBand="0" w:noVBand="1"/>
      </w:tblPr>
      <w:tblGrid>
        <w:gridCol w:w="4598"/>
        <w:gridCol w:w="4599"/>
      </w:tblGrid>
      <w:tr w:rsidR="0001539D" w:rsidRPr="00B8576F" w14:paraId="0FED1538" w14:textId="77777777" w:rsidTr="00BB7A83">
        <w:tc>
          <w:tcPr>
            <w:tcW w:w="4598" w:type="dxa"/>
            <w:tcBorders>
              <w:top w:val="nil"/>
              <w:left w:val="nil"/>
              <w:bottom w:val="nil"/>
              <w:right w:val="nil"/>
            </w:tcBorders>
          </w:tcPr>
          <w:p w14:paraId="337EFEE0" w14:textId="77777777" w:rsidR="0001539D" w:rsidRPr="00BB7A83" w:rsidRDefault="0001539D" w:rsidP="00070D1F">
            <w:pPr>
              <w:pStyle w:val="ListParagraph"/>
              <w:numPr>
                <w:ilvl w:val="0"/>
                <w:numId w:val="198"/>
              </w:numPr>
              <w:ind w:left="568" w:right="-57" w:hanging="284"/>
              <w:rPr>
                <w:sz w:val="18"/>
                <w:szCs w:val="18"/>
              </w:rPr>
            </w:pPr>
            <w:r w:rsidRPr="00BB7A83">
              <w:rPr>
                <w:b/>
                <w:sz w:val="18"/>
                <w:szCs w:val="18"/>
              </w:rPr>
              <w:t>Pengukuran Nilai Wajar</w:t>
            </w:r>
          </w:p>
        </w:tc>
        <w:tc>
          <w:tcPr>
            <w:tcW w:w="4599" w:type="dxa"/>
            <w:tcBorders>
              <w:top w:val="nil"/>
              <w:left w:val="nil"/>
              <w:bottom w:val="nil"/>
              <w:right w:val="nil"/>
            </w:tcBorders>
          </w:tcPr>
          <w:p w14:paraId="2A04A9A6" w14:textId="77777777" w:rsidR="0001539D" w:rsidRPr="00BB7A83" w:rsidRDefault="0001539D" w:rsidP="00070D1F">
            <w:pPr>
              <w:pStyle w:val="ListParagraph"/>
              <w:numPr>
                <w:ilvl w:val="0"/>
                <w:numId w:val="199"/>
              </w:numPr>
              <w:ind w:left="568" w:right="-57" w:hanging="284"/>
              <w:rPr>
                <w:sz w:val="18"/>
                <w:szCs w:val="18"/>
              </w:rPr>
            </w:pPr>
            <w:r w:rsidRPr="00BB7A83">
              <w:rPr>
                <w:b/>
                <w:i/>
                <w:sz w:val="18"/>
                <w:szCs w:val="18"/>
              </w:rPr>
              <w:t>Fair Value Measurement</w:t>
            </w:r>
          </w:p>
        </w:tc>
      </w:tr>
    </w:tbl>
    <w:p w14:paraId="22C4C36F" w14:textId="77777777" w:rsidR="00BB7A83" w:rsidRPr="00BB7A83" w:rsidRDefault="00BB7A83">
      <w:pPr>
        <w:rPr>
          <w:sz w:val="14"/>
          <w:szCs w:val="14"/>
        </w:rPr>
      </w:pPr>
    </w:p>
    <w:tbl>
      <w:tblPr>
        <w:tblW w:w="4801" w:type="pct"/>
        <w:tblInd w:w="392" w:type="dxa"/>
        <w:tblLayout w:type="fixed"/>
        <w:tblLook w:val="0000" w:firstRow="0" w:lastRow="0" w:firstColumn="0" w:lastColumn="0" w:noHBand="0" w:noVBand="0"/>
      </w:tblPr>
      <w:tblGrid>
        <w:gridCol w:w="4572"/>
        <w:gridCol w:w="4575"/>
      </w:tblGrid>
      <w:tr w:rsidR="001D4D59" w:rsidRPr="0001539D" w14:paraId="1C387044" w14:textId="77777777" w:rsidTr="00EB0557">
        <w:trPr>
          <w:trHeight w:val="20"/>
        </w:trPr>
        <w:tc>
          <w:tcPr>
            <w:tcW w:w="2499" w:type="pct"/>
            <w:tcBorders>
              <w:top w:val="nil"/>
              <w:left w:val="nil"/>
              <w:bottom w:val="nil"/>
              <w:right w:val="nil"/>
            </w:tcBorders>
          </w:tcPr>
          <w:p w14:paraId="57E2E2CF" w14:textId="5C09E050" w:rsidR="001D4D59" w:rsidRPr="0001539D" w:rsidRDefault="001D4D59" w:rsidP="00C25313">
            <w:pPr>
              <w:ind w:left="601" w:right="-57"/>
              <w:jc w:val="both"/>
              <w:rPr>
                <w:sz w:val="18"/>
                <w:szCs w:val="18"/>
              </w:rPr>
            </w:pPr>
            <w:r w:rsidRPr="0001539D">
              <w:rPr>
                <w:sz w:val="18"/>
                <w:szCs w:val="18"/>
              </w:rPr>
              <w:t>PSAK No. 68 menjelaskan tig</w:t>
            </w:r>
            <w:r w:rsidR="009D4C03" w:rsidRPr="0001539D">
              <w:rPr>
                <w:sz w:val="18"/>
                <w:szCs w:val="18"/>
              </w:rPr>
              <w:t>a teknik penilaian suatu Kelompok Usaha</w:t>
            </w:r>
            <w:r w:rsidRPr="0001539D">
              <w:rPr>
                <w:sz w:val="18"/>
                <w:szCs w:val="18"/>
              </w:rPr>
              <w:t xml:space="preserve"> mungkin digunakan untuk menentukan nilai wajar</w:t>
            </w:r>
            <w:r w:rsidR="00C25313">
              <w:rPr>
                <w:sz w:val="18"/>
                <w:szCs w:val="18"/>
              </w:rPr>
              <w:t>,</w:t>
            </w:r>
            <w:r w:rsidRPr="0001539D">
              <w:rPr>
                <w:sz w:val="18"/>
                <w:szCs w:val="18"/>
              </w:rPr>
              <w:t xml:space="preserve"> sebagai berikut:</w:t>
            </w:r>
          </w:p>
        </w:tc>
        <w:tc>
          <w:tcPr>
            <w:tcW w:w="2501" w:type="pct"/>
            <w:tcBorders>
              <w:top w:val="nil"/>
              <w:left w:val="nil"/>
              <w:bottom w:val="nil"/>
              <w:right w:val="nil"/>
            </w:tcBorders>
          </w:tcPr>
          <w:p w14:paraId="3623F345" w14:textId="7583A2EF" w:rsidR="001D4D59" w:rsidRPr="0001539D" w:rsidRDefault="001D4D59" w:rsidP="00C25313">
            <w:pPr>
              <w:tabs>
                <w:tab w:val="left" w:pos="5590"/>
                <w:tab w:val="right" w:pos="7620"/>
                <w:tab w:val="right" w:pos="9460"/>
                <w:tab w:val="right" w:pos="10080"/>
              </w:tabs>
              <w:ind w:left="603" w:right="-57"/>
              <w:jc w:val="both"/>
              <w:rPr>
                <w:bCs w:val="0"/>
                <w:i/>
                <w:sz w:val="18"/>
                <w:szCs w:val="18"/>
              </w:rPr>
            </w:pPr>
            <w:r w:rsidRPr="0001539D">
              <w:rPr>
                <w:i/>
                <w:sz w:val="18"/>
                <w:szCs w:val="18"/>
              </w:rPr>
              <w:t>PSAK No. 68 describes thre</w:t>
            </w:r>
            <w:r w:rsidR="009D4C03" w:rsidRPr="0001539D">
              <w:rPr>
                <w:i/>
                <w:sz w:val="18"/>
                <w:szCs w:val="18"/>
              </w:rPr>
              <w:t>e valuation techniques an Group</w:t>
            </w:r>
            <w:r w:rsidRPr="0001539D">
              <w:rPr>
                <w:i/>
                <w:sz w:val="18"/>
                <w:szCs w:val="18"/>
              </w:rPr>
              <w:t xml:space="preserve"> might use to determine fair value</w:t>
            </w:r>
            <w:r w:rsidR="00C25313">
              <w:rPr>
                <w:i/>
                <w:sz w:val="18"/>
                <w:szCs w:val="18"/>
              </w:rPr>
              <w:t>,</w:t>
            </w:r>
            <w:r w:rsidRPr="0001539D">
              <w:rPr>
                <w:i/>
                <w:sz w:val="18"/>
                <w:szCs w:val="18"/>
              </w:rPr>
              <w:t xml:space="preserve"> as follows:   </w:t>
            </w:r>
          </w:p>
        </w:tc>
      </w:tr>
      <w:tr w:rsidR="001D4D59" w:rsidRPr="0001539D" w14:paraId="64C4DE73" w14:textId="77777777" w:rsidTr="00EB0557">
        <w:trPr>
          <w:trHeight w:val="20"/>
        </w:trPr>
        <w:tc>
          <w:tcPr>
            <w:tcW w:w="2499" w:type="pct"/>
            <w:tcBorders>
              <w:top w:val="nil"/>
              <w:left w:val="nil"/>
              <w:bottom w:val="nil"/>
              <w:right w:val="nil"/>
            </w:tcBorders>
          </w:tcPr>
          <w:p w14:paraId="3C379E25" w14:textId="5EDA1237" w:rsidR="001D4D59" w:rsidRPr="0001539D" w:rsidRDefault="00EB0557" w:rsidP="00070D1F">
            <w:pPr>
              <w:pStyle w:val="ListParagraph"/>
              <w:numPr>
                <w:ilvl w:val="0"/>
                <w:numId w:val="216"/>
              </w:numPr>
              <w:ind w:left="884" w:right="-57" w:hanging="261"/>
              <w:jc w:val="both"/>
              <w:rPr>
                <w:bCs w:val="0"/>
                <w:sz w:val="18"/>
                <w:szCs w:val="18"/>
              </w:rPr>
            </w:pPr>
            <w:r w:rsidRPr="0001539D">
              <w:rPr>
                <w:sz w:val="18"/>
                <w:szCs w:val="18"/>
              </w:rPr>
              <w:t>P</w:t>
            </w:r>
            <w:r w:rsidR="001D4D59" w:rsidRPr="0001539D">
              <w:rPr>
                <w:sz w:val="18"/>
                <w:szCs w:val="18"/>
              </w:rPr>
              <w:t>endekatan  pasar  (</w:t>
            </w:r>
            <w:r w:rsidR="001D4D59" w:rsidRPr="0001539D">
              <w:rPr>
                <w:i/>
                <w:sz w:val="18"/>
                <w:szCs w:val="18"/>
              </w:rPr>
              <w:t>market  approach</w:t>
            </w:r>
            <w:r w:rsidR="009D4C03" w:rsidRPr="0001539D">
              <w:rPr>
                <w:sz w:val="18"/>
                <w:szCs w:val="18"/>
              </w:rPr>
              <w:t>)  - Kelompok Usaha</w:t>
            </w:r>
            <w:r w:rsidR="001D4D59" w:rsidRPr="0001539D">
              <w:rPr>
                <w:sz w:val="18"/>
                <w:szCs w:val="18"/>
              </w:rPr>
              <w:t xml:space="preserve"> menggunakan  harga  dan  informasi  relevan  lain  yang  dihasilkan  oleh transaksi  pasar  yang  melibatkan  </w:t>
            </w:r>
            <w:r w:rsidR="00C25313">
              <w:rPr>
                <w:sz w:val="18"/>
                <w:szCs w:val="18"/>
              </w:rPr>
              <w:t>asset,</w:t>
            </w:r>
            <w:r w:rsidR="001D4D59" w:rsidRPr="0001539D">
              <w:rPr>
                <w:sz w:val="18"/>
                <w:szCs w:val="18"/>
              </w:rPr>
              <w:t xml:space="preserve">  liabilitas  atau  sekelompok  aset atau  liabilitas  (seperti  suatu  bisnis)  yang  identik  atau  sebanding  (yaitu serupa)</w:t>
            </w:r>
            <w:r w:rsidR="00C25313">
              <w:rPr>
                <w:sz w:val="18"/>
                <w:szCs w:val="18"/>
              </w:rPr>
              <w:t>;</w:t>
            </w:r>
          </w:p>
        </w:tc>
        <w:tc>
          <w:tcPr>
            <w:tcW w:w="2501" w:type="pct"/>
            <w:tcBorders>
              <w:top w:val="nil"/>
              <w:left w:val="nil"/>
              <w:bottom w:val="nil"/>
              <w:right w:val="nil"/>
            </w:tcBorders>
          </w:tcPr>
          <w:p w14:paraId="3CBAC92F" w14:textId="1A92DA7F" w:rsidR="001D4D59" w:rsidRPr="0001539D" w:rsidRDefault="00EB0557" w:rsidP="00070D1F">
            <w:pPr>
              <w:pStyle w:val="ListParagraph"/>
              <w:numPr>
                <w:ilvl w:val="0"/>
                <w:numId w:val="217"/>
              </w:numPr>
              <w:tabs>
                <w:tab w:val="left" w:pos="5590"/>
                <w:tab w:val="right" w:pos="7620"/>
                <w:tab w:val="right" w:pos="9460"/>
                <w:tab w:val="right" w:pos="10080"/>
              </w:tabs>
              <w:ind w:left="887" w:right="-57" w:hanging="283"/>
              <w:jc w:val="both"/>
              <w:rPr>
                <w:bCs w:val="0"/>
                <w:i/>
                <w:sz w:val="18"/>
                <w:szCs w:val="18"/>
              </w:rPr>
            </w:pPr>
            <w:r w:rsidRPr="0001539D">
              <w:rPr>
                <w:i/>
                <w:sz w:val="18"/>
                <w:szCs w:val="18"/>
              </w:rPr>
              <w:t>M</w:t>
            </w:r>
            <w:r w:rsidR="009D4C03" w:rsidRPr="0001539D">
              <w:rPr>
                <w:i/>
                <w:sz w:val="18"/>
                <w:szCs w:val="18"/>
              </w:rPr>
              <w:t>arket approach - The Group uses</w:t>
            </w:r>
            <w:r w:rsidR="001D4D59" w:rsidRPr="0001539D">
              <w:rPr>
                <w:i/>
                <w:sz w:val="18"/>
                <w:szCs w:val="18"/>
              </w:rPr>
              <w:t xml:space="preserve"> prices and other relevant information generated by market transactions involving identical or comparable (i.e</w:t>
            </w:r>
            <w:r w:rsidR="00C25313">
              <w:rPr>
                <w:i/>
                <w:sz w:val="18"/>
                <w:szCs w:val="18"/>
              </w:rPr>
              <w:t>,</w:t>
            </w:r>
            <w:r w:rsidR="001D4D59" w:rsidRPr="0001539D">
              <w:rPr>
                <w:i/>
                <w:sz w:val="18"/>
                <w:szCs w:val="18"/>
              </w:rPr>
              <w:t xml:space="preserve"> similar) assets</w:t>
            </w:r>
            <w:r w:rsidR="00C25313">
              <w:rPr>
                <w:i/>
                <w:sz w:val="18"/>
                <w:szCs w:val="18"/>
              </w:rPr>
              <w:t>,</w:t>
            </w:r>
            <w:r w:rsidR="001D4D59" w:rsidRPr="0001539D">
              <w:rPr>
                <w:i/>
                <w:sz w:val="18"/>
                <w:szCs w:val="18"/>
              </w:rPr>
              <w:t xml:space="preserve"> liabilities</w:t>
            </w:r>
            <w:r w:rsidR="00C25313">
              <w:rPr>
                <w:i/>
                <w:sz w:val="18"/>
                <w:szCs w:val="18"/>
              </w:rPr>
              <w:t>,</w:t>
            </w:r>
            <w:r w:rsidR="001D4D59" w:rsidRPr="0001539D">
              <w:rPr>
                <w:i/>
                <w:sz w:val="18"/>
                <w:szCs w:val="18"/>
              </w:rPr>
              <w:t xml:space="preserve"> or a group of assets and liabilities (e.g</w:t>
            </w:r>
            <w:r w:rsidR="00C25313">
              <w:rPr>
                <w:i/>
                <w:sz w:val="18"/>
                <w:szCs w:val="18"/>
              </w:rPr>
              <w:t>,</w:t>
            </w:r>
            <w:r w:rsidR="001D4D59" w:rsidRPr="0001539D">
              <w:rPr>
                <w:i/>
                <w:sz w:val="18"/>
                <w:szCs w:val="18"/>
              </w:rPr>
              <w:t xml:space="preserve"> a business);</w:t>
            </w:r>
          </w:p>
        </w:tc>
      </w:tr>
      <w:tr w:rsidR="001D4D59" w:rsidRPr="0001539D" w14:paraId="7006AE25" w14:textId="77777777" w:rsidTr="00EB0557">
        <w:trPr>
          <w:trHeight w:val="20"/>
        </w:trPr>
        <w:tc>
          <w:tcPr>
            <w:tcW w:w="2499" w:type="pct"/>
            <w:tcBorders>
              <w:top w:val="nil"/>
              <w:left w:val="nil"/>
              <w:bottom w:val="nil"/>
              <w:right w:val="nil"/>
            </w:tcBorders>
          </w:tcPr>
          <w:p w14:paraId="6F96BB77" w14:textId="2C8D7DCB" w:rsidR="001D4D59" w:rsidRPr="0001539D" w:rsidRDefault="00EB0557" w:rsidP="00070D1F">
            <w:pPr>
              <w:pStyle w:val="ListParagraph"/>
              <w:numPr>
                <w:ilvl w:val="0"/>
                <w:numId w:val="217"/>
              </w:numPr>
              <w:ind w:left="884" w:right="-57" w:hanging="261"/>
              <w:jc w:val="both"/>
              <w:rPr>
                <w:bCs w:val="0"/>
                <w:sz w:val="18"/>
                <w:szCs w:val="18"/>
              </w:rPr>
            </w:pPr>
            <w:r w:rsidRPr="0001539D">
              <w:rPr>
                <w:sz w:val="18"/>
                <w:szCs w:val="18"/>
              </w:rPr>
              <w:t>Pendekatan  penghasilan  (</w:t>
            </w:r>
            <w:r w:rsidR="001D4D59" w:rsidRPr="0001539D">
              <w:rPr>
                <w:i/>
                <w:sz w:val="18"/>
                <w:szCs w:val="18"/>
              </w:rPr>
              <w:t>income  approach</w:t>
            </w:r>
            <w:r w:rsidR="009D4C03" w:rsidRPr="0001539D">
              <w:rPr>
                <w:sz w:val="18"/>
                <w:szCs w:val="18"/>
              </w:rPr>
              <w:t>)   - Kelompok Usaha</w:t>
            </w:r>
            <w:r w:rsidR="001D4D59" w:rsidRPr="0001539D">
              <w:rPr>
                <w:sz w:val="18"/>
                <w:szCs w:val="18"/>
              </w:rPr>
              <w:t xml:space="preserve"> mengkonversikan  jumlah  masa  depan  (contohnya  arus  kas atau  penghasilan  dan  beban)  ke  suatu  jumlah  tunggal  kini  (yaitu didiskontokan)</w:t>
            </w:r>
            <w:r w:rsidR="00870FD0">
              <w:rPr>
                <w:sz w:val="18"/>
                <w:szCs w:val="18"/>
              </w:rPr>
              <w:t>.</w:t>
            </w:r>
            <w:r w:rsidR="001D4D59" w:rsidRPr="0001539D">
              <w:rPr>
                <w:sz w:val="18"/>
                <w:szCs w:val="18"/>
              </w:rPr>
              <w:t xml:space="preserve"> mencerminkan nilai yang diindikasikan oleh harapan pasar saat ini mengenai jumlah masa depan tersebut</w:t>
            </w:r>
            <w:r w:rsidR="00C25313">
              <w:rPr>
                <w:sz w:val="18"/>
                <w:szCs w:val="18"/>
              </w:rPr>
              <w:t>;</w:t>
            </w:r>
          </w:p>
        </w:tc>
        <w:tc>
          <w:tcPr>
            <w:tcW w:w="2501" w:type="pct"/>
            <w:tcBorders>
              <w:top w:val="nil"/>
              <w:left w:val="nil"/>
              <w:bottom w:val="nil"/>
              <w:right w:val="nil"/>
            </w:tcBorders>
          </w:tcPr>
          <w:p w14:paraId="04A2AE55" w14:textId="501DD707" w:rsidR="001D4D59" w:rsidRPr="0001539D" w:rsidRDefault="00EB0557" w:rsidP="00070D1F">
            <w:pPr>
              <w:pStyle w:val="ListParagraph"/>
              <w:numPr>
                <w:ilvl w:val="0"/>
                <w:numId w:val="218"/>
              </w:numPr>
              <w:tabs>
                <w:tab w:val="left" w:pos="5590"/>
                <w:tab w:val="right" w:pos="7620"/>
                <w:tab w:val="right" w:pos="9460"/>
                <w:tab w:val="right" w:pos="10080"/>
              </w:tabs>
              <w:ind w:left="887" w:right="-57" w:hanging="284"/>
              <w:jc w:val="both"/>
              <w:rPr>
                <w:bCs w:val="0"/>
                <w:i/>
                <w:sz w:val="18"/>
                <w:szCs w:val="18"/>
              </w:rPr>
            </w:pPr>
            <w:r w:rsidRPr="0001539D">
              <w:rPr>
                <w:i/>
                <w:sz w:val="18"/>
                <w:szCs w:val="18"/>
              </w:rPr>
              <w:t>I</w:t>
            </w:r>
            <w:r w:rsidR="009D4C03" w:rsidRPr="0001539D">
              <w:rPr>
                <w:i/>
                <w:sz w:val="18"/>
                <w:szCs w:val="18"/>
              </w:rPr>
              <w:t xml:space="preserve">ncome approach </w:t>
            </w:r>
            <w:r w:rsidR="007752E5" w:rsidRPr="0001539D">
              <w:rPr>
                <w:i/>
                <w:sz w:val="18"/>
                <w:szCs w:val="18"/>
              </w:rPr>
              <w:t>-</w:t>
            </w:r>
            <w:r w:rsidR="009D4C03" w:rsidRPr="0001539D">
              <w:rPr>
                <w:i/>
                <w:sz w:val="18"/>
                <w:szCs w:val="18"/>
              </w:rPr>
              <w:t xml:space="preserve"> The Group</w:t>
            </w:r>
            <w:r w:rsidR="001D4D59" w:rsidRPr="0001539D">
              <w:rPr>
                <w:i/>
                <w:sz w:val="18"/>
                <w:szCs w:val="18"/>
              </w:rPr>
              <w:t xml:space="preserve"> converts future amounts (e.g</w:t>
            </w:r>
            <w:r w:rsidR="00C25313">
              <w:rPr>
                <w:i/>
                <w:sz w:val="18"/>
                <w:szCs w:val="18"/>
              </w:rPr>
              <w:t>,</w:t>
            </w:r>
            <w:r w:rsidR="001D4D59" w:rsidRPr="0001539D">
              <w:rPr>
                <w:i/>
                <w:sz w:val="18"/>
                <w:szCs w:val="18"/>
              </w:rPr>
              <w:t xml:space="preserve"> cash flows or income and expenses) to a single current (i.e</w:t>
            </w:r>
            <w:r w:rsidR="00C25313">
              <w:rPr>
                <w:i/>
                <w:sz w:val="18"/>
                <w:szCs w:val="18"/>
              </w:rPr>
              <w:t>,</w:t>
            </w:r>
            <w:r w:rsidR="001D4D59" w:rsidRPr="0001539D">
              <w:rPr>
                <w:i/>
                <w:sz w:val="18"/>
                <w:szCs w:val="18"/>
              </w:rPr>
              <w:t xml:space="preserve"> discounted) amount</w:t>
            </w:r>
            <w:r w:rsidR="00870FD0">
              <w:rPr>
                <w:i/>
                <w:sz w:val="18"/>
                <w:szCs w:val="18"/>
              </w:rPr>
              <w:t>.</w:t>
            </w:r>
            <w:r w:rsidR="001D4D59" w:rsidRPr="0001539D">
              <w:rPr>
                <w:i/>
                <w:sz w:val="18"/>
                <w:szCs w:val="18"/>
              </w:rPr>
              <w:t xml:space="preserve"> reflecting current market expectations about those future amounts;</w:t>
            </w:r>
          </w:p>
        </w:tc>
      </w:tr>
      <w:tr w:rsidR="001D4D59" w:rsidRPr="0001539D" w14:paraId="704CE834" w14:textId="77777777" w:rsidTr="00EB0557">
        <w:trPr>
          <w:trHeight w:val="20"/>
        </w:trPr>
        <w:tc>
          <w:tcPr>
            <w:tcW w:w="2499" w:type="pct"/>
            <w:tcBorders>
              <w:top w:val="nil"/>
              <w:left w:val="nil"/>
              <w:bottom w:val="nil"/>
              <w:right w:val="nil"/>
            </w:tcBorders>
          </w:tcPr>
          <w:p w14:paraId="4B53B548" w14:textId="06CF80B0" w:rsidR="001D4D59" w:rsidRPr="0001539D" w:rsidRDefault="00EB0557" w:rsidP="00070D1F">
            <w:pPr>
              <w:pStyle w:val="ListParagraph"/>
              <w:numPr>
                <w:ilvl w:val="0"/>
                <w:numId w:val="218"/>
              </w:numPr>
              <w:ind w:left="884" w:right="-57" w:hanging="283"/>
              <w:jc w:val="both"/>
              <w:rPr>
                <w:bCs w:val="0"/>
                <w:sz w:val="18"/>
                <w:szCs w:val="18"/>
              </w:rPr>
            </w:pPr>
            <w:proofErr w:type="gramStart"/>
            <w:r w:rsidRPr="0001539D">
              <w:rPr>
                <w:sz w:val="18"/>
                <w:szCs w:val="18"/>
              </w:rPr>
              <w:t>P</w:t>
            </w:r>
            <w:r w:rsidR="001D4D59" w:rsidRPr="0001539D">
              <w:rPr>
                <w:sz w:val="18"/>
                <w:szCs w:val="18"/>
              </w:rPr>
              <w:t>endekatan  biaya</w:t>
            </w:r>
            <w:proofErr w:type="gramEnd"/>
            <w:r w:rsidR="001D4D59" w:rsidRPr="0001539D">
              <w:rPr>
                <w:sz w:val="18"/>
                <w:szCs w:val="18"/>
              </w:rPr>
              <w:t xml:space="preserve">  (</w:t>
            </w:r>
            <w:r w:rsidR="001D4D59" w:rsidRPr="0001539D">
              <w:rPr>
                <w:i/>
                <w:sz w:val="18"/>
                <w:szCs w:val="18"/>
              </w:rPr>
              <w:t>cost  approach</w:t>
            </w:r>
            <w:r w:rsidR="009D4C03" w:rsidRPr="0001539D">
              <w:rPr>
                <w:sz w:val="18"/>
                <w:szCs w:val="18"/>
              </w:rPr>
              <w:t>)   - Kelompok Usaha</w:t>
            </w:r>
            <w:r w:rsidR="001D4D59" w:rsidRPr="0001539D">
              <w:rPr>
                <w:sz w:val="18"/>
                <w:szCs w:val="18"/>
              </w:rPr>
              <w:t xml:space="preserve"> menentukan nilai yang mencerminkan jumlah yang akan dibutuhkan saat ini untuk menggantikan kapasitas manfaat (</w:t>
            </w:r>
            <w:r w:rsidR="001D4D59" w:rsidRPr="0001539D">
              <w:rPr>
                <w:i/>
                <w:sz w:val="18"/>
                <w:szCs w:val="18"/>
              </w:rPr>
              <w:t>service</w:t>
            </w:r>
            <w:r w:rsidR="001D4D59" w:rsidRPr="0001539D">
              <w:rPr>
                <w:sz w:val="18"/>
                <w:szCs w:val="18"/>
              </w:rPr>
              <w:t xml:space="preserve"> </w:t>
            </w:r>
            <w:r w:rsidR="001D4D59" w:rsidRPr="0001539D">
              <w:rPr>
                <w:i/>
                <w:sz w:val="18"/>
                <w:szCs w:val="18"/>
              </w:rPr>
              <w:t>capacity</w:t>
            </w:r>
            <w:r w:rsidR="001D4D59" w:rsidRPr="0001539D">
              <w:rPr>
                <w:sz w:val="18"/>
                <w:szCs w:val="18"/>
              </w:rPr>
              <w:t>) suatu aset (biaya pengganti kini (</w:t>
            </w:r>
            <w:r w:rsidR="001D4D59" w:rsidRPr="0001539D">
              <w:rPr>
                <w:i/>
                <w:sz w:val="18"/>
                <w:szCs w:val="18"/>
              </w:rPr>
              <w:t>current replacement cost</w:t>
            </w:r>
            <w:r w:rsidR="001D4D59" w:rsidRPr="0001539D">
              <w:rPr>
                <w:sz w:val="18"/>
                <w:szCs w:val="18"/>
              </w:rPr>
              <w:t>)).</w:t>
            </w:r>
          </w:p>
        </w:tc>
        <w:tc>
          <w:tcPr>
            <w:tcW w:w="2501" w:type="pct"/>
            <w:tcBorders>
              <w:top w:val="nil"/>
              <w:left w:val="nil"/>
              <w:bottom w:val="nil"/>
              <w:right w:val="nil"/>
            </w:tcBorders>
          </w:tcPr>
          <w:p w14:paraId="655E5E1A" w14:textId="1A19ED5A" w:rsidR="001D4D59" w:rsidRPr="0001539D" w:rsidRDefault="00EB0557" w:rsidP="00070D1F">
            <w:pPr>
              <w:pStyle w:val="ListParagraph"/>
              <w:numPr>
                <w:ilvl w:val="0"/>
                <w:numId w:val="219"/>
              </w:numPr>
              <w:tabs>
                <w:tab w:val="left" w:pos="5590"/>
                <w:tab w:val="right" w:pos="7620"/>
                <w:tab w:val="right" w:pos="9460"/>
                <w:tab w:val="right" w:pos="10080"/>
              </w:tabs>
              <w:ind w:left="887" w:right="-57" w:hanging="284"/>
              <w:jc w:val="both"/>
              <w:rPr>
                <w:bCs w:val="0"/>
                <w:i/>
                <w:sz w:val="18"/>
                <w:szCs w:val="18"/>
              </w:rPr>
            </w:pPr>
            <w:proofErr w:type="gramStart"/>
            <w:r w:rsidRPr="0001539D">
              <w:rPr>
                <w:i/>
                <w:sz w:val="18"/>
                <w:szCs w:val="18"/>
              </w:rPr>
              <w:t>C</w:t>
            </w:r>
            <w:r w:rsidR="009D4C03" w:rsidRPr="0001539D">
              <w:rPr>
                <w:i/>
                <w:sz w:val="18"/>
                <w:szCs w:val="18"/>
              </w:rPr>
              <w:t>ost  approach</w:t>
            </w:r>
            <w:proofErr w:type="gramEnd"/>
            <w:r w:rsidR="009D4C03" w:rsidRPr="0001539D">
              <w:rPr>
                <w:i/>
                <w:sz w:val="18"/>
                <w:szCs w:val="18"/>
              </w:rPr>
              <w:t xml:space="preserve"> </w:t>
            </w:r>
            <w:r w:rsidR="00007C5F">
              <w:rPr>
                <w:i/>
                <w:sz w:val="18"/>
                <w:szCs w:val="18"/>
              </w:rPr>
              <w:t>-</w:t>
            </w:r>
            <w:r w:rsidR="009D4C03" w:rsidRPr="0001539D">
              <w:rPr>
                <w:i/>
                <w:sz w:val="18"/>
                <w:szCs w:val="18"/>
              </w:rPr>
              <w:t xml:space="preserve"> The Group</w:t>
            </w:r>
            <w:r w:rsidR="001D4D59" w:rsidRPr="0001539D">
              <w:rPr>
                <w:i/>
                <w:sz w:val="18"/>
                <w:szCs w:val="18"/>
              </w:rPr>
              <w:t xml:space="preserve"> determines a value which “reflect  the amount that would be required currently to replace the service capacity of an asset (often referred to as current replacement cost).</w:t>
            </w:r>
          </w:p>
        </w:tc>
      </w:tr>
    </w:tbl>
    <w:p w14:paraId="6E838A34" w14:textId="77777777" w:rsidR="00E43E08" w:rsidRPr="0001539D" w:rsidRDefault="00E43E08">
      <w:pPr>
        <w:rPr>
          <w:sz w:val="10"/>
          <w:szCs w:val="10"/>
        </w:rPr>
      </w:pPr>
    </w:p>
    <w:tbl>
      <w:tblPr>
        <w:tblW w:w="4801" w:type="pct"/>
        <w:tblInd w:w="392" w:type="dxa"/>
        <w:tblLayout w:type="fixed"/>
        <w:tblLook w:val="0000" w:firstRow="0" w:lastRow="0" w:firstColumn="0" w:lastColumn="0" w:noHBand="0" w:noVBand="0"/>
      </w:tblPr>
      <w:tblGrid>
        <w:gridCol w:w="4572"/>
        <w:gridCol w:w="4575"/>
      </w:tblGrid>
      <w:tr w:rsidR="001D4D59" w:rsidRPr="00C608D0" w14:paraId="2F57F0C6" w14:textId="77777777" w:rsidTr="00EB0557">
        <w:trPr>
          <w:trHeight w:val="20"/>
        </w:trPr>
        <w:tc>
          <w:tcPr>
            <w:tcW w:w="2499" w:type="pct"/>
            <w:tcBorders>
              <w:top w:val="nil"/>
              <w:left w:val="nil"/>
              <w:bottom w:val="nil"/>
              <w:right w:val="nil"/>
            </w:tcBorders>
          </w:tcPr>
          <w:p w14:paraId="55C31793" w14:textId="481E10A2" w:rsidR="001D4D59" w:rsidRPr="0001539D" w:rsidRDefault="009D4C03" w:rsidP="00C25313">
            <w:pPr>
              <w:ind w:left="522" w:right="-57"/>
              <w:jc w:val="both"/>
              <w:rPr>
                <w:bCs w:val="0"/>
                <w:sz w:val="18"/>
                <w:szCs w:val="18"/>
              </w:rPr>
            </w:pPr>
            <w:r w:rsidRPr="0001539D">
              <w:rPr>
                <w:sz w:val="18"/>
                <w:szCs w:val="18"/>
              </w:rPr>
              <w:t>Kelompok Usaha</w:t>
            </w:r>
            <w:r w:rsidR="001D4D59" w:rsidRPr="0001539D">
              <w:rPr>
                <w:sz w:val="18"/>
                <w:szCs w:val="18"/>
              </w:rPr>
              <w:t xml:space="preserve"> menggunakan teknik penilaian yang sesuai dalam keadaan dan dimana data yang memadai tersedia untuk mengukur nilai wajar</w:t>
            </w:r>
            <w:r w:rsidR="00C25313">
              <w:rPr>
                <w:sz w:val="18"/>
                <w:szCs w:val="18"/>
              </w:rPr>
              <w:t>,</w:t>
            </w:r>
            <w:r w:rsidR="001D4D59" w:rsidRPr="0001539D">
              <w:rPr>
                <w:sz w:val="18"/>
                <w:szCs w:val="18"/>
              </w:rPr>
              <w:t xml:space="preserve"> memaksimalkan penggunaan input yang dapat diobservasi yang relevan dan meminimalkan penggunaan input tidak dapat diob</w:t>
            </w:r>
            <w:r w:rsidRPr="0001539D">
              <w:rPr>
                <w:sz w:val="18"/>
                <w:szCs w:val="18"/>
              </w:rPr>
              <w:t>s</w:t>
            </w:r>
            <w:r w:rsidR="001D4D59" w:rsidRPr="0001539D">
              <w:rPr>
                <w:sz w:val="18"/>
                <w:szCs w:val="18"/>
              </w:rPr>
              <w:t>ervasi.</w:t>
            </w:r>
          </w:p>
        </w:tc>
        <w:tc>
          <w:tcPr>
            <w:tcW w:w="2501" w:type="pct"/>
            <w:tcBorders>
              <w:top w:val="nil"/>
              <w:left w:val="nil"/>
              <w:bottom w:val="nil"/>
              <w:right w:val="nil"/>
            </w:tcBorders>
          </w:tcPr>
          <w:p w14:paraId="386C5725" w14:textId="55FCEB87" w:rsidR="001D4D59" w:rsidRPr="00B17649" w:rsidRDefault="009D4C03" w:rsidP="00C25313">
            <w:pPr>
              <w:tabs>
                <w:tab w:val="left" w:pos="5590"/>
                <w:tab w:val="right" w:pos="7620"/>
                <w:tab w:val="right" w:pos="9460"/>
                <w:tab w:val="right" w:pos="10080"/>
              </w:tabs>
              <w:ind w:left="704" w:right="-57"/>
              <w:jc w:val="both"/>
              <w:rPr>
                <w:bCs w:val="0"/>
                <w:i/>
                <w:sz w:val="18"/>
                <w:szCs w:val="18"/>
              </w:rPr>
            </w:pPr>
            <w:r w:rsidRPr="0001539D">
              <w:rPr>
                <w:i/>
                <w:sz w:val="18"/>
                <w:szCs w:val="18"/>
              </w:rPr>
              <w:t>The Group</w:t>
            </w:r>
            <w:r w:rsidR="001D4D59" w:rsidRPr="0001539D">
              <w:rPr>
                <w:i/>
                <w:sz w:val="18"/>
                <w:szCs w:val="18"/>
              </w:rPr>
              <w:t xml:space="preserve"> uses valuation techniques appropriate in the circumstances and for which sufficient data are available to measure fair value</w:t>
            </w:r>
            <w:r w:rsidR="00C25313">
              <w:rPr>
                <w:i/>
                <w:sz w:val="18"/>
                <w:szCs w:val="18"/>
              </w:rPr>
              <w:t>,</w:t>
            </w:r>
            <w:r w:rsidR="001D4D59" w:rsidRPr="0001539D">
              <w:rPr>
                <w:i/>
                <w:sz w:val="18"/>
                <w:szCs w:val="18"/>
              </w:rPr>
              <w:t xml:space="preserve"> maximizing the use of relevant observable inputs and minimizing the use of unobservable inputs.</w:t>
            </w:r>
          </w:p>
        </w:tc>
      </w:tr>
    </w:tbl>
    <w:p w14:paraId="36852CD3" w14:textId="77777777" w:rsidR="00DF1016" w:rsidRPr="00BB7A83" w:rsidRDefault="00DF1016" w:rsidP="0013526B">
      <w:pPr>
        <w:rPr>
          <w:sz w:val="2"/>
          <w:szCs w:val="2"/>
        </w:rPr>
      </w:pPr>
    </w:p>
    <w:tbl>
      <w:tblPr>
        <w:tblStyle w:val="TableGrid"/>
        <w:tblW w:w="9197" w:type="dxa"/>
        <w:tblInd w:w="392" w:type="dxa"/>
        <w:tblLayout w:type="fixed"/>
        <w:tblLook w:val="04A0" w:firstRow="1" w:lastRow="0" w:firstColumn="1" w:lastColumn="0" w:noHBand="0" w:noVBand="1"/>
      </w:tblPr>
      <w:tblGrid>
        <w:gridCol w:w="4598"/>
        <w:gridCol w:w="4599"/>
      </w:tblGrid>
      <w:tr w:rsidR="00497B24" w:rsidRPr="00BB7A83" w14:paraId="652816E3" w14:textId="77777777" w:rsidTr="00BB7A83">
        <w:trPr>
          <w:trHeight w:val="20"/>
        </w:trPr>
        <w:tc>
          <w:tcPr>
            <w:tcW w:w="4598" w:type="dxa"/>
            <w:tcBorders>
              <w:top w:val="nil"/>
              <w:left w:val="nil"/>
              <w:bottom w:val="nil"/>
              <w:right w:val="nil"/>
            </w:tcBorders>
          </w:tcPr>
          <w:p w14:paraId="5CBC19FE" w14:textId="5E91D2E0" w:rsidR="00497B24" w:rsidRPr="00BB7A83" w:rsidRDefault="00497B24" w:rsidP="00070D1F">
            <w:pPr>
              <w:numPr>
                <w:ilvl w:val="0"/>
                <w:numId w:val="207"/>
              </w:numPr>
              <w:ind w:left="252" w:right="-57" w:hanging="252"/>
              <w:jc w:val="both"/>
              <w:rPr>
                <w:b/>
                <w:bCs w:val="0"/>
                <w:sz w:val="18"/>
                <w:szCs w:val="18"/>
              </w:rPr>
            </w:pPr>
            <w:r>
              <w:rPr>
                <w:sz w:val="18"/>
                <w:szCs w:val="18"/>
              </w:rPr>
              <w:lastRenderedPageBreak/>
              <w:br w:type="page"/>
            </w:r>
            <w:r w:rsidRPr="00BB7A83">
              <w:rPr>
                <w:b/>
                <w:sz w:val="18"/>
                <w:szCs w:val="18"/>
              </w:rPr>
              <w:t>IKHTISAR KEBIJAKAN AKUNTANSI YANG PENTING</w:t>
            </w:r>
            <w:r w:rsidRPr="00BB7A83">
              <w:rPr>
                <w:sz w:val="18"/>
                <w:szCs w:val="18"/>
              </w:rPr>
              <w:t xml:space="preserve"> </w:t>
            </w:r>
            <w:r w:rsidR="009A267A" w:rsidRPr="00BB7A83">
              <w:rPr>
                <w:b/>
                <w:sz w:val="18"/>
                <w:szCs w:val="18"/>
              </w:rPr>
              <w:t>-</w:t>
            </w:r>
            <w:r w:rsidR="000629D6" w:rsidRPr="00BB7A83">
              <w:rPr>
                <w:b/>
                <w:sz w:val="18"/>
                <w:szCs w:val="18"/>
              </w:rPr>
              <w:t xml:space="preserve"> Lanjutan</w:t>
            </w:r>
          </w:p>
        </w:tc>
        <w:tc>
          <w:tcPr>
            <w:tcW w:w="4599" w:type="dxa"/>
            <w:tcBorders>
              <w:top w:val="nil"/>
              <w:left w:val="nil"/>
              <w:bottom w:val="nil"/>
              <w:right w:val="nil"/>
            </w:tcBorders>
          </w:tcPr>
          <w:p w14:paraId="373E1E95" w14:textId="7A5E8901" w:rsidR="00497B24" w:rsidRPr="00BB7A83" w:rsidRDefault="00497B24" w:rsidP="00070D1F">
            <w:pPr>
              <w:numPr>
                <w:ilvl w:val="0"/>
                <w:numId w:val="220"/>
              </w:numPr>
              <w:tabs>
                <w:tab w:val="clear" w:pos="720"/>
                <w:tab w:val="left" w:pos="5590"/>
                <w:tab w:val="right" w:pos="7620"/>
                <w:tab w:val="right" w:pos="9460"/>
                <w:tab w:val="right" w:pos="10080"/>
              </w:tabs>
              <w:ind w:left="460" w:right="-57" w:hanging="425"/>
              <w:jc w:val="both"/>
              <w:rPr>
                <w:b/>
                <w:bCs w:val="0"/>
                <w:i/>
                <w:sz w:val="18"/>
                <w:szCs w:val="18"/>
              </w:rPr>
            </w:pPr>
            <w:r w:rsidRPr="00BB7A83">
              <w:rPr>
                <w:b/>
                <w:i/>
                <w:sz w:val="18"/>
                <w:szCs w:val="18"/>
              </w:rPr>
              <w:t xml:space="preserve">SUMMARY OF SIGNIFICANT ACCOUNTING POLICIES </w:t>
            </w:r>
            <w:r w:rsidR="000629D6" w:rsidRPr="00BB7A83">
              <w:rPr>
                <w:b/>
                <w:i/>
                <w:sz w:val="18"/>
                <w:szCs w:val="18"/>
              </w:rPr>
              <w:t>- Continued</w:t>
            </w:r>
          </w:p>
        </w:tc>
      </w:tr>
      <w:tr w:rsidR="00497B24" w:rsidRPr="00BB7A83" w14:paraId="5AB8C020" w14:textId="77777777" w:rsidTr="00BB7A83">
        <w:tc>
          <w:tcPr>
            <w:tcW w:w="4598" w:type="dxa"/>
            <w:tcBorders>
              <w:top w:val="nil"/>
              <w:left w:val="nil"/>
              <w:bottom w:val="nil"/>
              <w:right w:val="nil"/>
            </w:tcBorders>
          </w:tcPr>
          <w:p w14:paraId="011A72CD" w14:textId="77777777" w:rsidR="00497B24" w:rsidRPr="00BB7A83" w:rsidRDefault="00497B24" w:rsidP="00497B24">
            <w:pPr>
              <w:pStyle w:val="ListParagraph"/>
              <w:ind w:left="601"/>
              <w:rPr>
                <w:b/>
                <w:sz w:val="18"/>
                <w:szCs w:val="18"/>
              </w:rPr>
            </w:pPr>
          </w:p>
        </w:tc>
        <w:tc>
          <w:tcPr>
            <w:tcW w:w="4599" w:type="dxa"/>
            <w:tcBorders>
              <w:top w:val="nil"/>
              <w:left w:val="nil"/>
              <w:bottom w:val="nil"/>
              <w:right w:val="nil"/>
            </w:tcBorders>
          </w:tcPr>
          <w:p w14:paraId="6EB2C191" w14:textId="77777777" w:rsidR="00497B24" w:rsidRPr="00BB7A83" w:rsidRDefault="00497B24" w:rsidP="00497B24">
            <w:pPr>
              <w:pStyle w:val="ListParagraph"/>
              <w:ind w:left="742"/>
              <w:rPr>
                <w:b/>
                <w:i/>
                <w:sz w:val="18"/>
                <w:szCs w:val="18"/>
              </w:rPr>
            </w:pPr>
          </w:p>
        </w:tc>
      </w:tr>
      <w:tr w:rsidR="00BB7A83" w:rsidRPr="00BB7A83" w14:paraId="52F08698" w14:textId="77777777" w:rsidTr="00BB7A83">
        <w:tc>
          <w:tcPr>
            <w:tcW w:w="4598" w:type="dxa"/>
            <w:tcBorders>
              <w:top w:val="nil"/>
              <w:left w:val="nil"/>
              <w:bottom w:val="nil"/>
              <w:right w:val="nil"/>
            </w:tcBorders>
          </w:tcPr>
          <w:p w14:paraId="6C2D20EE" w14:textId="48900F94" w:rsidR="00BB7A83" w:rsidRPr="00BB7A83" w:rsidRDefault="00BB7A83" w:rsidP="00070D1F">
            <w:pPr>
              <w:pStyle w:val="ListParagraph"/>
              <w:numPr>
                <w:ilvl w:val="0"/>
                <w:numId w:val="185"/>
              </w:numPr>
              <w:ind w:left="568" w:right="-57" w:hanging="284"/>
              <w:rPr>
                <w:b/>
                <w:sz w:val="18"/>
                <w:szCs w:val="18"/>
              </w:rPr>
            </w:pPr>
            <w:r w:rsidRPr="00BB7A83">
              <w:rPr>
                <w:b/>
                <w:sz w:val="18"/>
                <w:szCs w:val="18"/>
              </w:rPr>
              <w:t>Pengukuran Nilai Wajar - Lanjutan</w:t>
            </w:r>
          </w:p>
        </w:tc>
        <w:tc>
          <w:tcPr>
            <w:tcW w:w="4599" w:type="dxa"/>
            <w:tcBorders>
              <w:top w:val="nil"/>
              <w:left w:val="nil"/>
              <w:bottom w:val="nil"/>
              <w:right w:val="nil"/>
            </w:tcBorders>
          </w:tcPr>
          <w:p w14:paraId="1A553C21" w14:textId="353D8021" w:rsidR="00BB7A83" w:rsidRPr="00BB7A83" w:rsidRDefault="00BB7A83" w:rsidP="00070D1F">
            <w:pPr>
              <w:pStyle w:val="ListParagraph"/>
              <w:numPr>
                <w:ilvl w:val="0"/>
                <w:numId w:val="342"/>
              </w:numPr>
              <w:ind w:left="568" w:right="-57" w:hanging="284"/>
              <w:rPr>
                <w:b/>
                <w:i/>
                <w:sz w:val="18"/>
                <w:szCs w:val="18"/>
              </w:rPr>
            </w:pPr>
            <w:r w:rsidRPr="00BB7A83">
              <w:rPr>
                <w:b/>
                <w:i/>
                <w:sz w:val="18"/>
                <w:szCs w:val="18"/>
              </w:rPr>
              <w:t>Fair Value Measurement - Continued</w:t>
            </w:r>
          </w:p>
        </w:tc>
      </w:tr>
      <w:tr w:rsidR="001D4D59" w:rsidRPr="00BB7A83" w14:paraId="2F454471" w14:textId="77777777" w:rsidTr="00BB7A83">
        <w:tc>
          <w:tcPr>
            <w:tcW w:w="4598" w:type="dxa"/>
            <w:tcBorders>
              <w:top w:val="nil"/>
              <w:left w:val="nil"/>
              <w:bottom w:val="nil"/>
              <w:right w:val="nil"/>
            </w:tcBorders>
          </w:tcPr>
          <w:p w14:paraId="28D73431" w14:textId="77777777" w:rsidR="001D4D59" w:rsidRPr="00BB7A83" w:rsidRDefault="001D4D59" w:rsidP="003903E3">
            <w:pPr>
              <w:rPr>
                <w:sz w:val="18"/>
                <w:szCs w:val="18"/>
              </w:rPr>
            </w:pPr>
          </w:p>
        </w:tc>
        <w:tc>
          <w:tcPr>
            <w:tcW w:w="4599" w:type="dxa"/>
            <w:tcBorders>
              <w:top w:val="nil"/>
              <w:left w:val="nil"/>
              <w:bottom w:val="nil"/>
              <w:right w:val="nil"/>
            </w:tcBorders>
          </w:tcPr>
          <w:p w14:paraId="62FA16B0" w14:textId="77777777" w:rsidR="001D4D59" w:rsidRPr="00BB7A83" w:rsidRDefault="001D4D59" w:rsidP="003903E3">
            <w:pPr>
              <w:rPr>
                <w:sz w:val="18"/>
                <w:szCs w:val="18"/>
              </w:rPr>
            </w:pPr>
          </w:p>
        </w:tc>
      </w:tr>
      <w:tr w:rsidR="001D4D59" w:rsidRPr="00BB7A83" w14:paraId="5080BCC1" w14:textId="77777777" w:rsidTr="00BB7A83">
        <w:tc>
          <w:tcPr>
            <w:tcW w:w="4598" w:type="dxa"/>
            <w:tcBorders>
              <w:top w:val="nil"/>
              <w:left w:val="nil"/>
              <w:bottom w:val="nil"/>
              <w:right w:val="nil"/>
            </w:tcBorders>
          </w:tcPr>
          <w:p w14:paraId="0F5F691D" w14:textId="28DEEDF5" w:rsidR="001D4D59" w:rsidRPr="00BB7A83" w:rsidRDefault="001D4D59" w:rsidP="00C25313">
            <w:pPr>
              <w:ind w:left="601"/>
              <w:jc w:val="both"/>
              <w:rPr>
                <w:sz w:val="18"/>
                <w:szCs w:val="18"/>
              </w:rPr>
            </w:pPr>
            <w:r w:rsidRPr="00BB7A83">
              <w:rPr>
                <w:sz w:val="18"/>
                <w:szCs w:val="18"/>
              </w:rPr>
              <w:t>Kelompok Usaha menerapkan secara prospektif PSAK No.</w:t>
            </w:r>
            <w:r w:rsidR="009D4C03" w:rsidRPr="00BB7A83">
              <w:rPr>
                <w:sz w:val="18"/>
                <w:szCs w:val="18"/>
              </w:rPr>
              <w:t xml:space="preserve"> </w:t>
            </w:r>
            <w:r w:rsidRPr="00BB7A83">
              <w:rPr>
                <w:sz w:val="18"/>
                <w:szCs w:val="18"/>
              </w:rPr>
              <w:t>68</w:t>
            </w:r>
            <w:r w:rsidR="00C25313">
              <w:rPr>
                <w:sz w:val="18"/>
                <w:szCs w:val="18"/>
              </w:rPr>
              <w:t>,</w:t>
            </w:r>
            <w:r w:rsidRPr="00BB7A83">
              <w:rPr>
                <w:sz w:val="18"/>
                <w:szCs w:val="18"/>
              </w:rPr>
              <w:t xml:space="preserve"> “Pengukuran Nilai Wajar”</w:t>
            </w:r>
            <w:r w:rsidR="00C25313">
              <w:rPr>
                <w:sz w:val="18"/>
                <w:szCs w:val="18"/>
              </w:rPr>
              <w:t>,</w:t>
            </w:r>
            <w:r w:rsidRPr="00BB7A83">
              <w:rPr>
                <w:sz w:val="18"/>
                <w:szCs w:val="18"/>
              </w:rPr>
              <w:t xml:space="preserve"> dan PSAK No. 68 (Penyesuaian 2015)</w:t>
            </w:r>
            <w:r w:rsidR="00C25313">
              <w:rPr>
                <w:sz w:val="18"/>
                <w:szCs w:val="18"/>
              </w:rPr>
              <w:t>,</w:t>
            </w:r>
            <w:r w:rsidRPr="00BB7A83">
              <w:rPr>
                <w:sz w:val="18"/>
                <w:szCs w:val="18"/>
              </w:rPr>
              <w:t xml:space="preserve"> “Pengukuran Nilai Wajar”.</w:t>
            </w:r>
          </w:p>
        </w:tc>
        <w:tc>
          <w:tcPr>
            <w:tcW w:w="4599" w:type="dxa"/>
            <w:tcBorders>
              <w:top w:val="nil"/>
              <w:left w:val="nil"/>
              <w:bottom w:val="nil"/>
              <w:right w:val="nil"/>
            </w:tcBorders>
          </w:tcPr>
          <w:p w14:paraId="5A502AA4" w14:textId="0A540783" w:rsidR="001D4D59" w:rsidRPr="00BB7A83" w:rsidRDefault="001D4D59" w:rsidP="00C25313">
            <w:pPr>
              <w:tabs>
                <w:tab w:val="left" w:pos="5590"/>
                <w:tab w:val="right" w:pos="7620"/>
                <w:tab w:val="right" w:pos="9460"/>
                <w:tab w:val="right" w:pos="10080"/>
              </w:tabs>
              <w:ind w:left="573" w:right="-57"/>
              <w:jc w:val="both"/>
              <w:rPr>
                <w:sz w:val="18"/>
                <w:szCs w:val="18"/>
              </w:rPr>
            </w:pPr>
            <w:r w:rsidRPr="00BB7A83">
              <w:rPr>
                <w:i/>
                <w:sz w:val="18"/>
                <w:szCs w:val="18"/>
              </w:rPr>
              <w:t>The Group applies prospectively PSAK No.68</w:t>
            </w:r>
            <w:r w:rsidR="00C25313">
              <w:rPr>
                <w:i/>
                <w:sz w:val="18"/>
                <w:szCs w:val="18"/>
              </w:rPr>
              <w:t>,</w:t>
            </w:r>
            <w:r w:rsidRPr="00BB7A83">
              <w:rPr>
                <w:i/>
                <w:sz w:val="18"/>
                <w:szCs w:val="18"/>
              </w:rPr>
              <w:t xml:space="preserve"> “Fair Value Measurement” and PSAK No. 68 (Improvement 2015)</w:t>
            </w:r>
            <w:r w:rsidR="00C25313">
              <w:rPr>
                <w:i/>
                <w:sz w:val="18"/>
                <w:szCs w:val="18"/>
              </w:rPr>
              <w:t>,</w:t>
            </w:r>
            <w:r w:rsidRPr="00BB7A83">
              <w:rPr>
                <w:i/>
                <w:sz w:val="18"/>
                <w:szCs w:val="18"/>
              </w:rPr>
              <w:t xml:space="preserve"> “Fair Value Measurements”.</w:t>
            </w:r>
          </w:p>
        </w:tc>
      </w:tr>
      <w:tr w:rsidR="001D4D59" w:rsidRPr="00BB7A83" w14:paraId="55FD04DB" w14:textId="77777777" w:rsidTr="00BB7A83">
        <w:tc>
          <w:tcPr>
            <w:tcW w:w="4598" w:type="dxa"/>
            <w:tcBorders>
              <w:top w:val="nil"/>
              <w:left w:val="nil"/>
              <w:bottom w:val="nil"/>
              <w:right w:val="nil"/>
            </w:tcBorders>
          </w:tcPr>
          <w:p w14:paraId="75D61685" w14:textId="77777777" w:rsidR="001D4D59" w:rsidRPr="00BB7A83" w:rsidRDefault="001D4D59" w:rsidP="003903E3">
            <w:pPr>
              <w:rPr>
                <w:sz w:val="18"/>
                <w:szCs w:val="18"/>
              </w:rPr>
            </w:pPr>
          </w:p>
        </w:tc>
        <w:tc>
          <w:tcPr>
            <w:tcW w:w="4599" w:type="dxa"/>
            <w:tcBorders>
              <w:top w:val="nil"/>
              <w:left w:val="nil"/>
              <w:bottom w:val="nil"/>
              <w:right w:val="nil"/>
            </w:tcBorders>
          </w:tcPr>
          <w:p w14:paraId="312AE76D" w14:textId="77777777" w:rsidR="001D4D59" w:rsidRPr="00BB7A83" w:rsidRDefault="001D4D59" w:rsidP="003903E3">
            <w:pPr>
              <w:rPr>
                <w:sz w:val="18"/>
                <w:szCs w:val="18"/>
              </w:rPr>
            </w:pPr>
          </w:p>
        </w:tc>
      </w:tr>
    </w:tbl>
    <w:tbl>
      <w:tblPr>
        <w:tblW w:w="9197" w:type="dxa"/>
        <w:tblInd w:w="392" w:type="dxa"/>
        <w:tblLayout w:type="fixed"/>
        <w:tblLook w:val="0000" w:firstRow="0" w:lastRow="0" w:firstColumn="0" w:lastColumn="0" w:noHBand="0" w:noVBand="0"/>
      </w:tblPr>
      <w:tblGrid>
        <w:gridCol w:w="4598"/>
        <w:gridCol w:w="4599"/>
      </w:tblGrid>
      <w:tr w:rsidR="001D4D59" w:rsidRPr="00BB7A83" w14:paraId="153C0565" w14:textId="77777777" w:rsidTr="0011757A">
        <w:trPr>
          <w:trHeight w:val="20"/>
        </w:trPr>
        <w:tc>
          <w:tcPr>
            <w:tcW w:w="3464" w:type="dxa"/>
            <w:tcBorders>
              <w:top w:val="nil"/>
              <w:left w:val="nil"/>
              <w:bottom w:val="nil"/>
              <w:right w:val="nil"/>
            </w:tcBorders>
          </w:tcPr>
          <w:p w14:paraId="66B0319A" w14:textId="79A96BCA" w:rsidR="001D4D59" w:rsidRPr="00BB7A83" w:rsidRDefault="001D4D59" w:rsidP="00C25313">
            <w:pPr>
              <w:ind w:left="601"/>
              <w:jc w:val="both"/>
              <w:rPr>
                <w:bCs w:val="0"/>
                <w:sz w:val="18"/>
                <w:szCs w:val="18"/>
              </w:rPr>
            </w:pPr>
            <w:r w:rsidRPr="00BB7A83">
              <w:rPr>
                <w:sz w:val="18"/>
                <w:szCs w:val="18"/>
              </w:rPr>
              <w:t xml:space="preserve">PSAK ini menetapkan satu sumber untuk pengukuran nilai wajar di bawah PSAK. Beberapa standar membutuhkan item-item yang akan diukur pada nilai wajar atas dasar berkelanjutan atau  “nilai wajar secara berulang </w:t>
            </w:r>
            <w:r w:rsidRPr="00BB7A83">
              <w:rPr>
                <w:i/>
                <w:sz w:val="18"/>
                <w:szCs w:val="18"/>
              </w:rPr>
              <w:t>(recurring)</w:t>
            </w:r>
            <w:r w:rsidRPr="00BB7A83">
              <w:rPr>
                <w:sz w:val="18"/>
                <w:szCs w:val="18"/>
              </w:rPr>
              <w:t>”</w:t>
            </w:r>
            <w:r w:rsidR="00C25313">
              <w:rPr>
                <w:sz w:val="18"/>
                <w:szCs w:val="18"/>
              </w:rPr>
              <w:t>,</w:t>
            </w:r>
            <w:r w:rsidRPr="00BB7A83">
              <w:rPr>
                <w:sz w:val="18"/>
                <w:szCs w:val="18"/>
              </w:rPr>
              <w:t xml:space="preserve"> beberapa memerlukan nilai wajar hanya dalam keadaan tertentu atau  “nilai wajar pada secara tidak berulang </w:t>
            </w:r>
            <w:r w:rsidRPr="00BB7A83">
              <w:rPr>
                <w:i/>
                <w:sz w:val="18"/>
                <w:szCs w:val="18"/>
              </w:rPr>
              <w:t>(non-recurring)</w:t>
            </w:r>
            <w:r w:rsidRPr="00BB7A83">
              <w:rPr>
                <w:sz w:val="18"/>
                <w:szCs w:val="18"/>
              </w:rPr>
              <w:t>”</w:t>
            </w:r>
            <w:r w:rsidR="00C25313">
              <w:rPr>
                <w:sz w:val="18"/>
                <w:szCs w:val="18"/>
              </w:rPr>
              <w:t>,</w:t>
            </w:r>
            <w:r w:rsidRPr="00BB7A83">
              <w:rPr>
                <w:sz w:val="18"/>
                <w:szCs w:val="18"/>
              </w:rPr>
              <w:t xml:space="preserve"> beberapa memerlukan nilai wajar hanya pada pengakuan awal dari item.</w:t>
            </w:r>
          </w:p>
        </w:tc>
        <w:tc>
          <w:tcPr>
            <w:tcW w:w="3464" w:type="dxa"/>
            <w:tcBorders>
              <w:top w:val="nil"/>
              <w:left w:val="nil"/>
              <w:bottom w:val="nil"/>
              <w:right w:val="nil"/>
            </w:tcBorders>
          </w:tcPr>
          <w:p w14:paraId="106BDE4E" w14:textId="1764800A" w:rsidR="001D4D59" w:rsidRPr="00BB7A83" w:rsidRDefault="001D4D59" w:rsidP="00C25313">
            <w:pPr>
              <w:tabs>
                <w:tab w:val="left" w:pos="5590"/>
                <w:tab w:val="right" w:pos="7620"/>
                <w:tab w:val="right" w:pos="9460"/>
                <w:tab w:val="right" w:pos="10080"/>
              </w:tabs>
              <w:ind w:left="587" w:right="-57"/>
              <w:jc w:val="both"/>
              <w:rPr>
                <w:bCs w:val="0"/>
                <w:i/>
                <w:sz w:val="18"/>
                <w:szCs w:val="18"/>
              </w:rPr>
            </w:pPr>
            <w:r w:rsidRPr="00BB7A83">
              <w:rPr>
                <w:i/>
                <w:sz w:val="18"/>
                <w:szCs w:val="18"/>
              </w:rPr>
              <w:t xml:space="preserve">This PSAK establishes a single source of guidance for fair value measurement under PSAKs. Some standards require items to be measured at fair value on </w:t>
            </w:r>
            <w:proofErr w:type="gramStart"/>
            <w:r w:rsidRPr="00BB7A83">
              <w:rPr>
                <w:i/>
                <w:sz w:val="18"/>
                <w:szCs w:val="18"/>
              </w:rPr>
              <w:t>an</w:t>
            </w:r>
            <w:proofErr w:type="gramEnd"/>
            <w:r w:rsidRPr="00BB7A83">
              <w:rPr>
                <w:i/>
                <w:sz w:val="18"/>
                <w:szCs w:val="18"/>
              </w:rPr>
              <w:t xml:space="preserve"> going basis or “fair value on a recurring basis”</w:t>
            </w:r>
            <w:r w:rsidR="00C25313">
              <w:rPr>
                <w:i/>
                <w:sz w:val="18"/>
                <w:szCs w:val="18"/>
              </w:rPr>
              <w:t>,</w:t>
            </w:r>
            <w:r w:rsidRPr="00BB7A83">
              <w:rPr>
                <w:i/>
                <w:sz w:val="18"/>
                <w:szCs w:val="18"/>
              </w:rPr>
              <w:t xml:space="preserve"> some require fair value only in certain circumstances or “fair value on a non-recurring basis”</w:t>
            </w:r>
            <w:r w:rsidR="00C25313">
              <w:rPr>
                <w:i/>
                <w:sz w:val="18"/>
                <w:szCs w:val="18"/>
              </w:rPr>
              <w:t>,</w:t>
            </w:r>
            <w:r w:rsidRPr="00BB7A83">
              <w:rPr>
                <w:i/>
                <w:sz w:val="18"/>
                <w:szCs w:val="18"/>
              </w:rPr>
              <w:t xml:space="preserve"> some require fair value only on initial recognition of an item.</w:t>
            </w:r>
          </w:p>
        </w:tc>
      </w:tr>
      <w:tr w:rsidR="001D4D59" w:rsidRPr="00BB7A83" w14:paraId="3BDD70B3" w14:textId="77777777" w:rsidTr="0011757A">
        <w:trPr>
          <w:trHeight w:val="20"/>
        </w:trPr>
        <w:tc>
          <w:tcPr>
            <w:tcW w:w="3464" w:type="dxa"/>
            <w:tcBorders>
              <w:top w:val="nil"/>
              <w:left w:val="nil"/>
              <w:bottom w:val="nil"/>
              <w:right w:val="nil"/>
            </w:tcBorders>
          </w:tcPr>
          <w:p w14:paraId="3AA7A9DD" w14:textId="77777777" w:rsidR="001D4D59" w:rsidRPr="00BB7A83" w:rsidRDefault="001D4D59" w:rsidP="003903E3">
            <w:pPr>
              <w:ind w:left="522" w:right="-57"/>
              <w:jc w:val="both"/>
              <w:rPr>
                <w:bCs w:val="0"/>
                <w:sz w:val="14"/>
                <w:szCs w:val="18"/>
              </w:rPr>
            </w:pPr>
          </w:p>
        </w:tc>
        <w:tc>
          <w:tcPr>
            <w:tcW w:w="3464" w:type="dxa"/>
            <w:tcBorders>
              <w:top w:val="nil"/>
              <w:left w:val="nil"/>
              <w:bottom w:val="nil"/>
              <w:right w:val="nil"/>
            </w:tcBorders>
          </w:tcPr>
          <w:p w14:paraId="4D2C69A3" w14:textId="77777777" w:rsidR="001D4D59" w:rsidRPr="00BB7A83" w:rsidRDefault="001D4D59" w:rsidP="003903E3">
            <w:pPr>
              <w:tabs>
                <w:tab w:val="left" w:pos="5590"/>
                <w:tab w:val="right" w:pos="7620"/>
                <w:tab w:val="right" w:pos="9460"/>
                <w:tab w:val="right" w:pos="10080"/>
              </w:tabs>
              <w:ind w:left="704" w:right="-57"/>
              <w:jc w:val="both"/>
              <w:rPr>
                <w:bCs w:val="0"/>
                <w:i/>
                <w:sz w:val="14"/>
                <w:szCs w:val="18"/>
              </w:rPr>
            </w:pPr>
          </w:p>
        </w:tc>
      </w:tr>
      <w:tr w:rsidR="001D4D59" w:rsidRPr="00BB7A83" w14:paraId="01F0B473" w14:textId="77777777" w:rsidTr="0011757A">
        <w:trPr>
          <w:trHeight w:val="20"/>
        </w:trPr>
        <w:tc>
          <w:tcPr>
            <w:tcW w:w="3464" w:type="dxa"/>
            <w:tcBorders>
              <w:top w:val="nil"/>
              <w:left w:val="nil"/>
              <w:bottom w:val="nil"/>
              <w:right w:val="nil"/>
            </w:tcBorders>
          </w:tcPr>
          <w:p w14:paraId="39395EBE" w14:textId="77777777" w:rsidR="001D4D59" w:rsidRPr="00BB7A83" w:rsidRDefault="001D4D59" w:rsidP="00F5631A">
            <w:pPr>
              <w:ind w:left="601"/>
              <w:jc w:val="both"/>
              <w:rPr>
                <w:bCs w:val="0"/>
                <w:sz w:val="18"/>
                <w:szCs w:val="18"/>
              </w:rPr>
            </w:pPr>
            <w:r w:rsidRPr="00BB7A83">
              <w:rPr>
                <w:sz w:val="18"/>
                <w:szCs w:val="18"/>
              </w:rPr>
              <w:t>PSAK ini berlaku untuk semua transaksi dan saldo (apakah keuangan atau non-keuangan)  yang mana Pernyataan (PSAK) lain mensyaratkan atau mengizinkan pengukuran nilai wajar dengan pengecualian:</w:t>
            </w:r>
          </w:p>
        </w:tc>
        <w:tc>
          <w:tcPr>
            <w:tcW w:w="3464" w:type="dxa"/>
            <w:tcBorders>
              <w:top w:val="nil"/>
              <w:left w:val="nil"/>
              <w:bottom w:val="nil"/>
              <w:right w:val="nil"/>
            </w:tcBorders>
          </w:tcPr>
          <w:p w14:paraId="68F45F16" w14:textId="77777777" w:rsidR="001D4D59" w:rsidRPr="00BB7A83" w:rsidRDefault="001D4D59" w:rsidP="00A64AB2">
            <w:pPr>
              <w:tabs>
                <w:tab w:val="left" w:pos="5590"/>
                <w:tab w:val="right" w:pos="7620"/>
                <w:tab w:val="right" w:pos="9460"/>
                <w:tab w:val="right" w:pos="10080"/>
              </w:tabs>
              <w:ind w:left="573" w:right="-57"/>
              <w:jc w:val="both"/>
              <w:rPr>
                <w:bCs w:val="0"/>
                <w:i/>
                <w:sz w:val="18"/>
                <w:szCs w:val="18"/>
              </w:rPr>
            </w:pPr>
            <w:r w:rsidRPr="00BB7A83">
              <w:rPr>
                <w:i/>
                <w:sz w:val="18"/>
                <w:szCs w:val="18"/>
              </w:rPr>
              <w:t>This PSAK applies to all transactions and balances (whether financial or non-financial) for which other PSAKs require or permit fair value measurements with the exception of:</w:t>
            </w:r>
          </w:p>
        </w:tc>
      </w:tr>
      <w:tr w:rsidR="001D4D59" w:rsidRPr="00BB7A83" w14:paraId="068A9630" w14:textId="77777777" w:rsidTr="0011757A">
        <w:trPr>
          <w:trHeight w:val="20"/>
        </w:trPr>
        <w:tc>
          <w:tcPr>
            <w:tcW w:w="3464" w:type="dxa"/>
            <w:tcBorders>
              <w:top w:val="nil"/>
              <w:left w:val="nil"/>
              <w:bottom w:val="nil"/>
              <w:right w:val="nil"/>
            </w:tcBorders>
          </w:tcPr>
          <w:p w14:paraId="0A475102" w14:textId="7E32EDF3" w:rsidR="001D4D59" w:rsidRPr="00BB7A83" w:rsidRDefault="00F5631A" w:rsidP="00070D1F">
            <w:pPr>
              <w:pStyle w:val="ListParagraph"/>
              <w:numPr>
                <w:ilvl w:val="0"/>
                <w:numId w:val="200"/>
              </w:numPr>
              <w:ind w:left="884" w:right="-57" w:hanging="251"/>
              <w:jc w:val="both"/>
              <w:rPr>
                <w:bCs w:val="0"/>
                <w:sz w:val="18"/>
                <w:szCs w:val="18"/>
              </w:rPr>
            </w:pPr>
            <w:r w:rsidRPr="00BB7A83">
              <w:rPr>
                <w:sz w:val="18"/>
                <w:szCs w:val="18"/>
              </w:rPr>
              <w:t>T</w:t>
            </w:r>
            <w:r w:rsidR="001D4D59" w:rsidRPr="00BB7A83">
              <w:rPr>
                <w:sz w:val="18"/>
                <w:szCs w:val="18"/>
              </w:rPr>
              <w:t>ransaksi pembayaran berbasis saham dalam lingkup PSAK No. 53 (Revisi 2010)</w:t>
            </w:r>
            <w:r w:rsidR="00870FD0">
              <w:rPr>
                <w:sz w:val="18"/>
                <w:szCs w:val="18"/>
              </w:rPr>
              <w:t>.</w:t>
            </w:r>
            <w:r w:rsidR="001D4D59" w:rsidRPr="00BB7A83">
              <w:rPr>
                <w:sz w:val="18"/>
                <w:szCs w:val="18"/>
              </w:rPr>
              <w:t xml:space="preserve"> “Pembayaran Berbasis Saham”;</w:t>
            </w:r>
          </w:p>
        </w:tc>
        <w:tc>
          <w:tcPr>
            <w:tcW w:w="3464" w:type="dxa"/>
            <w:tcBorders>
              <w:top w:val="nil"/>
              <w:left w:val="nil"/>
              <w:bottom w:val="nil"/>
              <w:right w:val="nil"/>
            </w:tcBorders>
          </w:tcPr>
          <w:p w14:paraId="6CFB7A2A" w14:textId="513754B6" w:rsidR="001D4D59" w:rsidRPr="00BB7A83" w:rsidRDefault="00F5631A" w:rsidP="00070D1F">
            <w:pPr>
              <w:pStyle w:val="ListParagraph"/>
              <w:numPr>
                <w:ilvl w:val="0"/>
                <w:numId w:val="201"/>
              </w:numPr>
              <w:tabs>
                <w:tab w:val="left" w:pos="5590"/>
                <w:tab w:val="right" w:pos="7620"/>
                <w:tab w:val="right" w:pos="9460"/>
                <w:tab w:val="right" w:pos="10080"/>
              </w:tabs>
              <w:ind w:right="-57"/>
              <w:jc w:val="both"/>
              <w:rPr>
                <w:bCs w:val="0"/>
                <w:i/>
                <w:sz w:val="18"/>
                <w:szCs w:val="18"/>
              </w:rPr>
            </w:pPr>
            <w:r w:rsidRPr="00BB7A83">
              <w:rPr>
                <w:i/>
                <w:sz w:val="18"/>
                <w:szCs w:val="18"/>
              </w:rPr>
              <w:t>S</w:t>
            </w:r>
            <w:r w:rsidR="001D4D59" w:rsidRPr="00BB7A83">
              <w:rPr>
                <w:i/>
                <w:sz w:val="18"/>
                <w:szCs w:val="18"/>
              </w:rPr>
              <w:t>hare-based payment transactions within the scope of PSAK No. 53 (Revised 2010)</w:t>
            </w:r>
            <w:r w:rsidR="00870FD0">
              <w:rPr>
                <w:i/>
                <w:sz w:val="18"/>
                <w:szCs w:val="18"/>
              </w:rPr>
              <w:t>.</w:t>
            </w:r>
            <w:r w:rsidR="001D4D59" w:rsidRPr="00BB7A83">
              <w:rPr>
                <w:i/>
                <w:sz w:val="18"/>
                <w:szCs w:val="18"/>
              </w:rPr>
              <w:t xml:space="preserve"> </w:t>
            </w:r>
            <w:r w:rsidRPr="00BB7A83">
              <w:rPr>
                <w:i/>
                <w:sz w:val="18"/>
                <w:szCs w:val="18"/>
              </w:rPr>
              <w:br/>
            </w:r>
            <w:r w:rsidR="001D4D59" w:rsidRPr="00BB7A83">
              <w:rPr>
                <w:i/>
                <w:sz w:val="18"/>
                <w:szCs w:val="18"/>
              </w:rPr>
              <w:t>“Share-based Payment”;</w:t>
            </w:r>
          </w:p>
        </w:tc>
      </w:tr>
      <w:tr w:rsidR="001D4D59" w:rsidRPr="00BB7A83" w14:paraId="3506FD49" w14:textId="77777777" w:rsidTr="0011757A">
        <w:trPr>
          <w:trHeight w:val="20"/>
        </w:trPr>
        <w:tc>
          <w:tcPr>
            <w:tcW w:w="3464" w:type="dxa"/>
            <w:tcBorders>
              <w:top w:val="nil"/>
              <w:left w:val="nil"/>
              <w:bottom w:val="nil"/>
              <w:right w:val="nil"/>
            </w:tcBorders>
          </w:tcPr>
          <w:p w14:paraId="0DB05A3A" w14:textId="7684BCB4" w:rsidR="001D4D59" w:rsidRPr="00BB7A83" w:rsidRDefault="00F5631A" w:rsidP="00070D1F">
            <w:pPr>
              <w:pStyle w:val="ListParagraph"/>
              <w:numPr>
                <w:ilvl w:val="0"/>
                <w:numId w:val="201"/>
              </w:numPr>
              <w:ind w:left="884" w:right="-57" w:hanging="251"/>
              <w:jc w:val="both"/>
              <w:rPr>
                <w:bCs w:val="0"/>
                <w:sz w:val="18"/>
                <w:szCs w:val="18"/>
              </w:rPr>
            </w:pPr>
            <w:r w:rsidRPr="00BB7A83">
              <w:rPr>
                <w:sz w:val="18"/>
                <w:szCs w:val="18"/>
              </w:rPr>
              <w:t>T</w:t>
            </w:r>
            <w:r w:rsidR="001D4D59" w:rsidRPr="00BB7A83">
              <w:rPr>
                <w:sz w:val="18"/>
                <w:szCs w:val="18"/>
              </w:rPr>
              <w:t>ransaksi sewa dalam lingkup PSAK No. 30 (Revisi 2011)</w:t>
            </w:r>
            <w:r w:rsidR="00C25313">
              <w:rPr>
                <w:sz w:val="18"/>
                <w:szCs w:val="18"/>
              </w:rPr>
              <w:t>,</w:t>
            </w:r>
            <w:r w:rsidR="001D4D59" w:rsidRPr="00BB7A83">
              <w:rPr>
                <w:sz w:val="18"/>
                <w:szCs w:val="18"/>
              </w:rPr>
              <w:t xml:space="preserve"> “Sewa”;</w:t>
            </w:r>
          </w:p>
        </w:tc>
        <w:tc>
          <w:tcPr>
            <w:tcW w:w="3464" w:type="dxa"/>
            <w:tcBorders>
              <w:top w:val="nil"/>
              <w:left w:val="nil"/>
              <w:bottom w:val="nil"/>
              <w:right w:val="nil"/>
            </w:tcBorders>
          </w:tcPr>
          <w:p w14:paraId="41820BAF" w14:textId="406EFB44" w:rsidR="001D4D59" w:rsidRPr="00BB7A83" w:rsidRDefault="00F5631A" w:rsidP="00070D1F">
            <w:pPr>
              <w:pStyle w:val="ListParagraph"/>
              <w:numPr>
                <w:ilvl w:val="0"/>
                <w:numId w:val="202"/>
              </w:numPr>
              <w:tabs>
                <w:tab w:val="left" w:pos="5590"/>
                <w:tab w:val="right" w:pos="7620"/>
                <w:tab w:val="right" w:pos="9460"/>
                <w:tab w:val="right" w:pos="10080"/>
              </w:tabs>
              <w:ind w:right="-57"/>
              <w:jc w:val="both"/>
              <w:rPr>
                <w:bCs w:val="0"/>
                <w:i/>
                <w:sz w:val="18"/>
                <w:szCs w:val="18"/>
              </w:rPr>
            </w:pPr>
            <w:r w:rsidRPr="00BB7A83">
              <w:rPr>
                <w:i/>
                <w:sz w:val="18"/>
                <w:szCs w:val="18"/>
              </w:rPr>
              <w:t>L</w:t>
            </w:r>
            <w:r w:rsidR="001D4D59" w:rsidRPr="00BB7A83">
              <w:rPr>
                <w:i/>
                <w:sz w:val="18"/>
                <w:szCs w:val="18"/>
              </w:rPr>
              <w:t xml:space="preserve">easing transactions within the scope of  </w:t>
            </w:r>
            <w:r w:rsidRPr="00BB7A83">
              <w:rPr>
                <w:i/>
                <w:sz w:val="18"/>
                <w:szCs w:val="18"/>
              </w:rPr>
              <w:br/>
            </w:r>
            <w:r w:rsidR="001D4D59" w:rsidRPr="00BB7A83">
              <w:rPr>
                <w:i/>
                <w:sz w:val="18"/>
                <w:szCs w:val="18"/>
              </w:rPr>
              <w:t>PSAK No. 30 (Revised 2011)</w:t>
            </w:r>
            <w:r w:rsidR="00C25313">
              <w:rPr>
                <w:i/>
                <w:sz w:val="18"/>
                <w:szCs w:val="18"/>
              </w:rPr>
              <w:t>,</w:t>
            </w:r>
            <w:r w:rsidR="001D4D59" w:rsidRPr="00BB7A83">
              <w:rPr>
                <w:i/>
                <w:sz w:val="18"/>
                <w:szCs w:val="18"/>
              </w:rPr>
              <w:t xml:space="preserve"> “Leases”;</w:t>
            </w:r>
          </w:p>
        </w:tc>
      </w:tr>
      <w:tr w:rsidR="001D4D59" w:rsidRPr="00BB7A83" w14:paraId="69010E7D" w14:textId="77777777" w:rsidTr="0011757A">
        <w:trPr>
          <w:trHeight w:val="20"/>
        </w:trPr>
        <w:tc>
          <w:tcPr>
            <w:tcW w:w="3464" w:type="dxa"/>
            <w:tcBorders>
              <w:top w:val="nil"/>
              <w:left w:val="nil"/>
              <w:bottom w:val="nil"/>
              <w:right w:val="nil"/>
            </w:tcBorders>
          </w:tcPr>
          <w:p w14:paraId="682FA2A6" w14:textId="2E5F5DD8" w:rsidR="001D4D59" w:rsidRPr="00BB7A83" w:rsidRDefault="00F5631A" w:rsidP="00070D1F">
            <w:pPr>
              <w:pStyle w:val="ListParagraph"/>
              <w:numPr>
                <w:ilvl w:val="0"/>
                <w:numId w:val="202"/>
              </w:numPr>
              <w:ind w:left="884" w:right="-57" w:hanging="251"/>
              <w:jc w:val="both"/>
              <w:rPr>
                <w:bCs w:val="0"/>
                <w:sz w:val="18"/>
                <w:szCs w:val="18"/>
              </w:rPr>
            </w:pPr>
            <w:r w:rsidRPr="00BB7A83">
              <w:rPr>
                <w:sz w:val="18"/>
                <w:szCs w:val="18"/>
              </w:rPr>
              <w:t>P</w:t>
            </w:r>
            <w:r w:rsidR="001D4D59" w:rsidRPr="00BB7A83">
              <w:rPr>
                <w:sz w:val="18"/>
                <w:szCs w:val="18"/>
              </w:rPr>
              <w:t>engukuran yang memiliki beberapa keserupaan dengan nilai wajar tetapi bukan merupakan nilai wajar</w:t>
            </w:r>
            <w:r w:rsidR="00870FD0">
              <w:rPr>
                <w:sz w:val="18"/>
                <w:szCs w:val="18"/>
              </w:rPr>
              <w:t>.</w:t>
            </w:r>
            <w:r w:rsidR="001D4D59" w:rsidRPr="00BB7A83">
              <w:rPr>
                <w:sz w:val="18"/>
                <w:szCs w:val="18"/>
              </w:rPr>
              <w:t xml:space="preserve"> </w:t>
            </w:r>
            <w:proofErr w:type="gramStart"/>
            <w:r w:rsidR="001D4D59" w:rsidRPr="00BB7A83">
              <w:rPr>
                <w:sz w:val="18"/>
                <w:szCs w:val="18"/>
              </w:rPr>
              <w:t>seperti</w:t>
            </w:r>
            <w:proofErr w:type="gramEnd"/>
            <w:r w:rsidR="001D4D59" w:rsidRPr="00BB7A83">
              <w:rPr>
                <w:sz w:val="18"/>
                <w:szCs w:val="18"/>
              </w:rPr>
              <w:t xml:space="preserve"> nilai realisasi neto dalam </w:t>
            </w:r>
            <w:r w:rsidR="00BB7A83">
              <w:rPr>
                <w:sz w:val="18"/>
                <w:szCs w:val="18"/>
              </w:rPr>
              <w:br/>
            </w:r>
            <w:r w:rsidR="001D4D59" w:rsidRPr="00BB7A83">
              <w:rPr>
                <w:sz w:val="18"/>
                <w:szCs w:val="18"/>
              </w:rPr>
              <w:t>PSAK No. 14</w:t>
            </w:r>
            <w:r w:rsidR="00C25313">
              <w:rPr>
                <w:sz w:val="18"/>
                <w:szCs w:val="18"/>
              </w:rPr>
              <w:t>,</w:t>
            </w:r>
            <w:r w:rsidR="001D4D59" w:rsidRPr="00BB7A83">
              <w:rPr>
                <w:sz w:val="18"/>
                <w:szCs w:val="18"/>
              </w:rPr>
              <w:t xml:space="preserve"> “Persediaan” atau nilai pakai dalam PSAK No. 48 (Revisi 2013)</w:t>
            </w:r>
            <w:r w:rsidR="00C25313">
              <w:rPr>
                <w:sz w:val="18"/>
                <w:szCs w:val="18"/>
              </w:rPr>
              <w:t>,</w:t>
            </w:r>
            <w:r w:rsidR="001D4D59" w:rsidRPr="00BB7A83">
              <w:rPr>
                <w:sz w:val="18"/>
                <w:szCs w:val="18"/>
              </w:rPr>
              <w:t xml:space="preserve"> “Penurunan Nilai Aset”.</w:t>
            </w:r>
          </w:p>
        </w:tc>
        <w:tc>
          <w:tcPr>
            <w:tcW w:w="3464" w:type="dxa"/>
            <w:tcBorders>
              <w:top w:val="nil"/>
              <w:left w:val="nil"/>
              <w:bottom w:val="nil"/>
              <w:right w:val="nil"/>
            </w:tcBorders>
          </w:tcPr>
          <w:p w14:paraId="067F9EF0" w14:textId="0DC28B1A" w:rsidR="001D4D59" w:rsidRPr="00BB7A83" w:rsidRDefault="00F5631A" w:rsidP="00070D1F">
            <w:pPr>
              <w:pStyle w:val="ListParagraph"/>
              <w:numPr>
                <w:ilvl w:val="0"/>
                <w:numId w:val="203"/>
              </w:numPr>
              <w:tabs>
                <w:tab w:val="left" w:pos="5590"/>
                <w:tab w:val="right" w:pos="7620"/>
                <w:tab w:val="right" w:pos="9460"/>
                <w:tab w:val="right" w:pos="10080"/>
              </w:tabs>
              <w:ind w:right="-57"/>
              <w:jc w:val="both"/>
              <w:rPr>
                <w:bCs w:val="0"/>
                <w:i/>
                <w:sz w:val="18"/>
                <w:szCs w:val="18"/>
              </w:rPr>
            </w:pPr>
            <w:r w:rsidRPr="00BB7A83">
              <w:rPr>
                <w:i/>
                <w:sz w:val="18"/>
                <w:szCs w:val="18"/>
              </w:rPr>
              <w:t>M</w:t>
            </w:r>
            <w:r w:rsidR="001D4D59" w:rsidRPr="00BB7A83">
              <w:rPr>
                <w:i/>
                <w:sz w:val="18"/>
                <w:szCs w:val="18"/>
              </w:rPr>
              <w:t>easurements that have some similarities to fair value but that are not fair value</w:t>
            </w:r>
            <w:r w:rsidR="00870FD0">
              <w:rPr>
                <w:i/>
                <w:sz w:val="18"/>
                <w:szCs w:val="18"/>
              </w:rPr>
              <w:t>.</w:t>
            </w:r>
            <w:r w:rsidR="001D4D59" w:rsidRPr="00BB7A83">
              <w:rPr>
                <w:i/>
                <w:sz w:val="18"/>
                <w:szCs w:val="18"/>
              </w:rPr>
              <w:t xml:space="preserve"> </w:t>
            </w:r>
            <w:proofErr w:type="gramStart"/>
            <w:r w:rsidR="001D4D59" w:rsidRPr="00BB7A83">
              <w:rPr>
                <w:i/>
                <w:sz w:val="18"/>
                <w:szCs w:val="18"/>
              </w:rPr>
              <w:t>such</w:t>
            </w:r>
            <w:proofErr w:type="gramEnd"/>
            <w:r w:rsidR="001D4D59" w:rsidRPr="00BB7A83">
              <w:rPr>
                <w:i/>
                <w:sz w:val="18"/>
                <w:szCs w:val="18"/>
              </w:rPr>
              <w:t xml:space="preserve"> as net realizable value in PSAK No. 14</w:t>
            </w:r>
            <w:r w:rsidR="00870FD0">
              <w:rPr>
                <w:i/>
                <w:sz w:val="18"/>
                <w:szCs w:val="18"/>
              </w:rPr>
              <w:t>.</w:t>
            </w:r>
            <w:r w:rsidR="001D4D59" w:rsidRPr="00BB7A83">
              <w:rPr>
                <w:i/>
                <w:sz w:val="18"/>
                <w:szCs w:val="18"/>
              </w:rPr>
              <w:t xml:space="preserve"> “Inventories” or value in use in PSAK No. 48 (Revised 2013)</w:t>
            </w:r>
            <w:r w:rsidR="00C25313">
              <w:rPr>
                <w:i/>
                <w:sz w:val="18"/>
                <w:szCs w:val="18"/>
              </w:rPr>
              <w:t>,</w:t>
            </w:r>
            <w:r w:rsidR="001D4D59" w:rsidRPr="00BB7A83">
              <w:rPr>
                <w:i/>
                <w:sz w:val="18"/>
                <w:szCs w:val="18"/>
              </w:rPr>
              <w:t xml:space="preserve"> “Impairment of Assets”.</w:t>
            </w:r>
          </w:p>
        </w:tc>
      </w:tr>
      <w:tr w:rsidR="001D4D59" w:rsidRPr="00BB7A83" w14:paraId="0CB0490B" w14:textId="77777777" w:rsidTr="0011757A">
        <w:trPr>
          <w:trHeight w:val="20"/>
        </w:trPr>
        <w:tc>
          <w:tcPr>
            <w:tcW w:w="3464" w:type="dxa"/>
            <w:tcBorders>
              <w:top w:val="nil"/>
              <w:left w:val="nil"/>
              <w:bottom w:val="nil"/>
              <w:right w:val="nil"/>
            </w:tcBorders>
          </w:tcPr>
          <w:p w14:paraId="6895BF2E" w14:textId="77777777" w:rsidR="001D4D59" w:rsidRPr="00BB7A83" w:rsidRDefault="001D4D59" w:rsidP="003903E3">
            <w:pPr>
              <w:ind w:left="522" w:right="-57"/>
              <w:jc w:val="both"/>
              <w:rPr>
                <w:bCs w:val="0"/>
                <w:sz w:val="18"/>
                <w:szCs w:val="18"/>
              </w:rPr>
            </w:pPr>
          </w:p>
        </w:tc>
        <w:tc>
          <w:tcPr>
            <w:tcW w:w="3464" w:type="dxa"/>
            <w:tcBorders>
              <w:top w:val="nil"/>
              <w:left w:val="nil"/>
              <w:bottom w:val="nil"/>
              <w:right w:val="nil"/>
            </w:tcBorders>
          </w:tcPr>
          <w:p w14:paraId="53D42585" w14:textId="77777777" w:rsidR="001D4D59" w:rsidRPr="00BB7A83"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BB7A83" w14:paraId="7970045D" w14:textId="77777777" w:rsidTr="0011757A">
        <w:trPr>
          <w:trHeight w:val="20"/>
        </w:trPr>
        <w:tc>
          <w:tcPr>
            <w:tcW w:w="3464" w:type="dxa"/>
            <w:tcBorders>
              <w:top w:val="nil"/>
              <w:left w:val="nil"/>
              <w:bottom w:val="nil"/>
              <w:right w:val="nil"/>
            </w:tcBorders>
          </w:tcPr>
          <w:p w14:paraId="61EEE9C9" w14:textId="77777777" w:rsidR="001D4D59" w:rsidRPr="00BB7A83" w:rsidRDefault="001D4D59" w:rsidP="00A64AB2">
            <w:pPr>
              <w:ind w:left="619" w:right="-57"/>
              <w:jc w:val="both"/>
              <w:rPr>
                <w:bCs w:val="0"/>
                <w:sz w:val="18"/>
                <w:szCs w:val="18"/>
              </w:rPr>
            </w:pPr>
            <w:r w:rsidRPr="00BB7A83">
              <w:rPr>
                <w:sz w:val="18"/>
                <w:szCs w:val="18"/>
              </w:rPr>
              <w:t>PSAK ini memberikan keringanan dari persyaratan pengungkapan sehubungan item berikut:</w:t>
            </w:r>
          </w:p>
        </w:tc>
        <w:tc>
          <w:tcPr>
            <w:tcW w:w="3464" w:type="dxa"/>
            <w:tcBorders>
              <w:top w:val="nil"/>
              <w:left w:val="nil"/>
              <w:bottom w:val="nil"/>
              <w:right w:val="nil"/>
            </w:tcBorders>
          </w:tcPr>
          <w:p w14:paraId="258BA61A" w14:textId="77777777" w:rsidR="001D4D59" w:rsidRPr="00BB7A83" w:rsidRDefault="001D4D59" w:rsidP="00A64AB2">
            <w:pPr>
              <w:tabs>
                <w:tab w:val="left" w:pos="5590"/>
                <w:tab w:val="right" w:pos="7620"/>
                <w:tab w:val="right" w:pos="9460"/>
                <w:tab w:val="right" w:pos="10080"/>
              </w:tabs>
              <w:ind w:left="601" w:right="-57"/>
              <w:jc w:val="both"/>
              <w:rPr>
                <w:bCs w:val="0"/>
                <w:i/>
                <w:sz w:val="18"/>
                <w:szCs w:val="18"/>
              </w:rPr>
            </w:pPr>
            <w:r w:rsidRPr="00BB7A83">
              <w:rPr>
                <w:i/>
                <w:sz w:val="18"/>
                <w:szCs w:val="18"/>
              </w:rPr>
              <w:t>This PSAK gives relief from disclosures requirements in respect of the following items:</w:t>
            </w:r>
          </w:p>
        </w:tc>
      </w:tr>
      <w:tr w:rsidR="00A64AB2" w:rsidRPr="00BB7A83" w14:paraId="05E4F80A" w14:textId="77777777" w:rsidTr="0011757A">
        <w:trPr>
          <w:trHeight w:val="20"/>
        </w:trPr>
        <w:tc>
          <w:tcPr>
            <w:tcW w:w="3464" w:type="dxa"/>
            <w:tcBorders>
              <w:top w:val="nil"/>
              <w:left w:val="nil"/>
              <w:bottom w:val="nil"/>
              <w:right w:val="nil"/>
            </w:tcBorders>
          </w:tcPr>
          <w:p w14:paraId="596F0C2D" w14:textId="77777777" w:rsidR="00A64AB2" w:rsidRPr="00BB7A83" w:rsidRDefault="00A64AB2" w:rsidP="00A64AB2">
            <w:pPr>
              <w:ind w:left="619" w:right="-57"/>
              <w:jc w:val="both"/>
              <w:rPr>
                <w:sz w:val="18"/>
                <w:szCs w:val="18"/>
              </w:rPr>
            </w:pPr>
          </w:p>
        </w:tc>
        <w:tc>
          <w:tcPr>
            <w:tcW w:w="3464" w:type="dxa"/>
            <w:tcBorders>
              <w:top w:val="nil"/>
              <w:left w:val="nil"/>
              <w:bottom w:val="nil"/>
              <w:right w:val="nil"/>
            </w:tcBorders>
          </w:tcPr>
          <w:p w14:paraId="14330F77" w14:textId="77777777" w:rsidR="00A64AB2" w:rsidRPr="00BB7A83" w:rsidRDefault="00A64AB2" w:rsidP="00A64AB2">
            <w:pPr>
              <w:tabs>
                <w:tab w:val="left" w:pos="5590"/>
                <w:tab w:val="right" w:pos="7620"/>
                <w:tab w:val="right" w:pos="9460"/>
                <w:tab w:val="right" w:pos="10080"/>
              </w:tabs>
              <w:ind w:left="601" w:right="-57"/>
              <w:jc w:val="both"/>
              <w:rPr>
                <w:i/>
                <w:sz w:val="18"/>
                <w:szCs w:val="18"/>
              </w:rPr>
            </w:pPr>
          </w:p>
        </w:tc>
      </w:tr>
      <w:tr w:rsidR="001D4D59" w:rsidRPr="00BB7A83" w14:paraId="16731DC5" w14:textId="77777777" w:rsidTr="0011757A">
        <w:trPr>
          <w:trHeight w:val="20"/>
        </w:trPr>
        <w:tc>
          <w:tcPr>
            <w:tcW w:w="3464" w:type="dxa"/>
            <w:tcBorders>
              <w:top w:val="nil"/>
              <w:left w:val="nil"/>
              <w:bottom w:val="nil"/>
              <w:right w:val="nil"/>
            </w:tcBorders>
          </w:tcPr>
          <w:p w14:paraId="59646A94" w14:textId="446A57B5" w:rsidR="001D4D59" w:rsidRPr="00BB7A83" w:rsidRDefault="00F5631A" w:rsidP="00070D1F">
            <w:pPr>
              <w:pStyle w:val="ListParagraph"/>
              <w:numPr>
                <w:ilvl w:val="0"/>
                <w:numId w:val="204"/>
              </w:numPr>
              <w:ind w:left="884" w:right="-57" w:hanging="283"/>
              <w:jc w:val="both"/>
              <w:rPr>
                <w:bCs w:val="0"/>
                <w:sz w:val="18"/>
                <w:szCs w:val="18"/>
              </w:rPr>
            </w:pPr>
            <w:r w:rsidRPr="00BB7A83">
              <w:rPr>
                <w:sz w:val="18"/>
                <w:szCs w:val="18"/>
              </w:rPr>
              <w:t>A</w:t>
            </w:r>
            <w:r w:rsidR="001D4D59" w:rsidRPr="00BB7A83">
              <w:rPr>
                <w:sz w:val="18"/>
                <w:szCs w:val="18"/>
              </w:rPr>
              <w:t>set program yang diukur pada nilai wajar sesuai dengan PSAK No.</w:t>
            </w:r>
            <w:r w:rsidRPr="00BB7A83">
              <w:rPr>
                <w:sz w:val="18"/>
                <w:szCs w:val="18"/>
              </w:rPr>
              <w:t xml:space="preserve"> </w:t>
            </w:r>
            <w:r w:rsidR="001D4D59" w:rsidRPr="00BB7A83">
              <w:rPr>
                <w:sz w:val="18"/>
                <w:szCs w:val="18"/>
              </w:rPr>
              <w:t>24 (Revisi 2013)</w:t>
            </w:r>
            <w:r w:rsidR="00C25313">
              <w:rPr>
                <w:sz w:val="18"/>
                <w:szCs w:val="18"/>
              </w:rPr>
              <w:t>,</w:t>
            </w:r>
            <w:r w:rsidR="001D4D59" w:rsidRPr="00BB7A83">
              <w:rPr>
                <w:sz w:val="18"/>
                <w:szCs w:val="18"/>
              </w:rPr>
              <w:t xml:space="preserve"> “Imbalan Kerja”;</w:t>
            </w:r>
          </w:p>
        </w:tc>
        <w:tc>
          <w:tcPr>
            <w:tcW w:w="3464" w:type="dxa"/>
            <w:tcBorders>
              <w:top w:val="nil"/>
              <w:left w:val="nil"/>
              <w:bottom w:val="nil"/>
              <w:right w:val="nil"/>
            </w:tcBorders>
          </w:tcPr>
          <w:p w14:paraId="7C59A746" w14:textId="7D0EF946" w:rsidR="001D4D59" w:rsidRPr="00BB7A83" w:rsidRDefault="00F5631A" w:rsidP="00070D1F">
            <w:pPr>
              <w:pStyle w:val="ListParagraph"/>
              <w:numPr>
                <w:ilvl w:val="0"/>
                <w:numId w:val="205"/>
              </w:numPr>
              <w:tabs>
                <w:tab w:val="left" w:pos="5590"/>
                <w:tab w:val="right" w:pos="7620"/>
                <w:tab w:val="right" w:pos="9460"/>
                <w:tab w:val="right" w:pos="10080"/>
              </w:tabs>
              <w:ind w:left="1025" w:right="-57" w:hanging="284"/>
              <w:jc w:val="both"/>
              <w:rPr>
                <w:bCs w:val="0"/>
                <w:i/>
                <w:sz w:val="18"/>
                <w:szCs w:val="18"/>
              </w:rPr>
            </w:pPr>
            <w:r w:rsidRPr="00BB7A83">
              <w:rPr>
                <w:i/>
                <w:sz w:val="18"/>
                <w:szCs w:val="18"/>
              </w:rPr>
              <w:t>P</w:t>
            </w:r>
            <w:r w:rsidR="001D4D59" w:rsidRPr="00BB7A83">
              <w:rPr>
                <w:i/>
                <w:sz w:val="18"/>
                <w:szCs w:val="18"/>
              </w:rPr>
              <w:t>lan assets that are measured at fair value in accordance with PSAK No.</w:t>
            </w:r>
            <w:r w:rsidRPr="00BB7A83">
              <w:rPr>
                <w:i/>
                <w:sz w:val="18"/>
                <w:szCs w:val="18"/>
              </w:rPr>
              <w:t xml:space="preserve"> </w:t>
            </w:r>
            <w:r w:rsidR="001D4D59" w:rsidRPr="00BB7A83">
              <w:rPr>
                <w:i/>
                <w:sz w:val="18"/>
                <w:szCs w:val="18"/>
              </w:rPr>
              <w:t>24 (Revised 2013)</w:t>
            </w:r>
            <w:r w:rsidR="00C25313">
              <w:rPr>
                <w:i/>
                <w:sz w:val="18"/>
                <w:szCs w:val="18"/>
              </w:rPr>
              <w:t>,</w:t>
            </w:r>
            <w:r w:rsidR="001D4D59" w:rsidRPr="00BB7A83">
              <w:rPr>
                <w:i/>
                <w:sz w:val="18"/>
                <w:szCs w:val="18"/>
              </w:rPr>
              <w:t xml:space="preserve"> “Employee Benefits”;</w:t>
            </w:r>
          </w:p>
        </w:tc>
      </w:tr>
      <w:tr w:rsidR="001D4D59" w:rsidRPr="00BB7A83" w14:paraId="5204FD25" w14:textId="77777777" w:rsidTr="0011757A">
        <w:trPr>
          <w:trHeight w:val="20"/>
        </w:trPr>
        <w:tc>
          <w:tcPr>
            <w:tcW w:w="3464" w:type="dxa"/>
            <w:tcBorders>
              <w:top w:val="nil"/>
              <w:left w:val="nil"/>
              <w:bottom w:val="nil"/>
              <w:right w:val="nil"/>
            </w:tcBorders>
          </w:tcPr>
          <w:p w14:paraId="5949D36D" w14:textId="194E3093" w:rsidR="001D4D59" w:rsidRPr="00BB7A83" w:rsidRDefault="00F5631A" w:rsidP="00070D1F">
            <w:pPr>
              <w:pStyle w:val="ListParagraph"/>
              <w:numPr>
                <w:ilvl w:val="0"/>
                <w:numId w:val="204"/>
              </w:numPr>
              <w:ind w:left="884" w:right="-57" w:hanging="283"/>
              <w:jc w:val="both"/>
              <w:rPr>
                <w:bCs w:val="0"/>
                <w:sz w:val="18"/>
                <w:szCs w:val="18"/>
              </w:rPr>
            </w:pPr>
            <w:r w:rsidRPr="00BB7A83">
              <w:rPr>
                <w:sz w:val="18"/>
                <w:szCs w:val="18"/>
              </w:rPr>
              <w:t>P</w:t>
            </w:r>
            <w:r w:rsidR="001D4D59" w:rsidRPr="00BB7A83">
              <w:rPr>
                <w:sz w:val="18"/>
                <w:szCs w:val="18"/>
              </w:rPr>
              <w:t>enilaian investasi program manfaat purnakarya yang diukur pada nilai wajar sesuai dengan PSAK No. 18 (Revisi 2010)</w:t>
            </w:r>
            <w:r w:rsidR="00C25313">
              <w:rPr>
                <w:sz w:val="18"/>
                <w:szCs w:val="18"/>
              </w:rPr>
              <w:t>,</w:t>
            </w:r>
            <w:r w:rsidR="001D4D59" w:rsidRPr="00BB7A83">
              <w:rPr>
                <w:sz w:val="18"/>
                <w:szCs w:val="18"/>
              </w:rPr>
              <w:t xml:space="preserve"> “Akuntansi dan Pelaporan Program Manfaat Purnakarya”;</w:t>
            </w:r>
          </w:p>
        </w:tc>
        <w:tc>
          <w:tcPr>
            <w:tcW w:w="3464" w:type="dxa"/>
            <w:tcBorders>
              <w:top w:val="nil"/>
              <w:left w:val="nil"/>
              <w:bottom w:val="nil"/>
              <w:right w:val="nil"/>
            </w:tcBorders>
          </w:tcPr>
          <w:p w14:paraId="0040D3AB" w14:textId="02F7E984" w:rsidR="001D4D59" w:rsidRPr="00BB7A83" w:rsidRDefault="00F5631A" w:rsidP="00070D1F">
            <w:pPr>
              <w:pStyle w:val="ListParagraph"/>
              <w:numPr>
                <w:ilvl w:val="0"/>
                <w:numId w:val="206"/>
              </w:numPr>
              <w:tabs>
                <w:tab w:val="left" w:pos="5590"/>
                <w:tab w:val="right" w:pos="7620"/>
                <w:tab w:val="right" w:pos="9460"/>
                <w:tab w:val="right" w:pos="10080"/>
              </w:tabs>
              <w:ind w:left="1025" w:right="-57" w:hanging="284"/>
              <w:jc w:val="both"/>
              <w:rPr>
                <w:bCs w:val="0"/>
                <w:i/>
                <w:sz w:val="18"/>
                <w:szCs w:val="18"/>
              </w:rPr>
            </w:pPr>
            <w:r w:rsidRPr="00BB7A83">
              <w:rPr>
                <w:i/>
                <w:sz w:val="18"/>
                <w:szCs w:val="18"/>
              </w:rPr>
              <w:t>R</w:t>
            </w:r>
            <w:r w:rsidR="001D4D59" w:rsidRPr="00BB7A83">
              <w:rPr>
                <w:i/>
                <w:sz w:val="18"/>
                <w:szCs w:val="18"/>
              </w:rPr>
              <w:t xml:space="preserve">etirement benefit plan investments that are measured at fair value in accordance with </w:t>
            </w:r>
            <w:r w:rsidRPr="00BB7A83">
              <w:rPr>
                <w:i/>
                <w:sz w:val="18"/>
                <w:szCs w:val="18"/>
              </w:rPr>
              <w:br/>
            </w:r>
            <w:r w:rsidR="001D4D59" w:rsidRPr="00BB7A83">
              <w:rPr>
                <w:i/>
                <w:sz w:val="18"/>
                <w:szCs w:val="18"/>
              </w:rPr>
              <w:t xml:space="preserve"> PSAK No. 18 (Revised 2010)</w:t>
            </w:r>
            <w:r w:rsidR="00C25313">
              <w:rPr>
                <w:i/>
                <w:sz w:val="18"/>
                <w:szCs w:val="18"/>
              </w:rPr>
              <w:t>,</w:t>
            </w:r>
            <w:r w:rsidR="001D4D59" w:rsidRPr="00BB7A83">
              <w:rPr>
                <w:i/>
                <w:sz w:val="18"/>
                <w:szCs w:val="18"/>
              </w:rPr>
              <w:t xml:space="preserve"> “Accounting and Reporting by Retirement Benefit Plans”;</w:t>
            </w:r>
          </w:p>
        </w:tc>
      </w:tr>
      <w:tr w:rsidR="001D4D59" w:rsidRPr="00BB7A83" w14:paraId="7E7336A6" w14:textId="77777777" w:rsidTr="0011757A">
        <w:trPr>
          <w:trHeight w:val="20"/>
        </w:trPr>
        <w:tc>
          <w:tcPr>
            <w:tcW w:w="3464" w:type="dxa"/>
            <w:tcBorders>
              <w:top w:val="nil"/>
              <w:left w:val="nil"/>
              <w:bottom w:val="nil"/>
              <w:right w:val="nil"/>
            </w:tcBorders>
          </w:tcPr>
          <w:p w14:paraId="24704CDC" w14:textId="1CC9365C" w:rsidR="001D4D59" w:rsidRPr="00BB7A83" w:rsidRDefault="00F5631A" w:rsidP="00070D1F">
            <w:pPr>
              <w:pStyle w:val="ListParagraph"/>
              <w:numPr>
                <w:ilvl w:val="0"/>
                <w:numId w:val="206"/>
              </w:numPr>
              <w:ind w:left="884" w:right="-57" w:hanging="283"/>
              <w:jc w:val="both"/>
              <w:rPr>
                <w:bCs w:val="0"/>
                <w:sz w:val="18"/>
                <w:szCs w:val="18"/>
              </w:rPr>
            </w:pPr>
            <w:r w:rsidRPr="00BB7A83">
              <w:rPr>
                <w:sz w:val="18"/>
                <w:szCs w:val="18"/>
              </w:rPr>
              <w:t>U</w:t>
            </w:r>
            <w:r w:rsidR="001D4D59" w:rsidRPr="00BB7A83">
              <w:rPr>
                <w:sz w:val="18"/>
                <w:szCs w:val="18"/>
              </w:rPr>
              <w:t>ntuk aset yang nilai pemulihannya adalah nilai wajar dikurangi biaya pelepasan sesuai dengan PSAK No. 48 (Revisi 2013)</w:t>
            </w:r>
            <w:r w:rsidR="00C25313">
              <w:rPr>
                <w:sz w:val="18"/>
                <w:szCs w:val="18"/>
              </w:rPr>
              <w:t>,</w:t>
            </w:r>
            <w:r w:rsidR="001D4D59" w:rsidRPr="00BB7A83">
              <w:rPr>
                <w:sz w:val="18"/>
                <w:szCs w:val="18"/>
              </w:rPr>
              <w:t xml:space="preserve"> "Penurunan Nilai Aset";</w:t>
            </w:r>
          </w:p>
        </w:tc>
        <w:tc>
          <w:tcPr>
            <w:tcW w:w="3464" w:type="dxa"/>
            <w:tcBorders>
              <w:top w:val="nil"/>
              <w:left w:val="nil"/>
              <w:bottom w:val="nil"/>
              <w:right w:val="nil"/>
            </w:tcBorders>
          </w:tcPr>
          <w:p w14:paraId="034162AD" w14:textId="7E0FC5CF" w:rsidR="001D4D59" w:rsidRPr="00BB7A83" w:rsidRDefault="00F5631A" w:rsidP="00070D1F">
            <w:pPr>
              <w:pStyle w:val="ListParagraph"/>
              <w:numPr>
                <w:ilvl w:val="0"/>
                <w:numId w:val="208"/>
              </w:numPr>
              <w:tabs>
                <w:tab w:val="left" w:pos="5590"/>
                <w:tab w:val="right" w:pos="7620"/>
                <w:tab w:val="right" w:pos="9460"/>
                <w:tab w:val="right" w:pos="10080"/>
              </w:tabs>
              <w:ind w:left="1025" w:right="-57" w:hanging="284"/>
              <w:jc w:val="both"/>
              <w:rPr>
                <w:bCs w:val="0"/>
                <w:i/>
                <w:sz w:val="18"/>
                <w:szCs w:val="18"/>
              </w:rPr>
            </w:pPr>
            <w:r w:rsidRPr="00BB7A83">
              <w:rPr>
                <w:i/>
                <w:sz w:val="18"/>
                <w:szCs w:val="18"/>
              </w:rPr>
              <w:t>A</w:t>
            </w:r>
            <w:r w:rsidR="001D4D59" w:rsidRPr="00BB7A83">
              <w:rPr>
                <w:i/>
                <w:sz w:val="18"/>
                <w:szCs w:val="18"/>
              </w:rPr>
              <w:t xml:space="preserve">ssets for which recoverable amount is fair value less costs of disposal in accordance with </w:t>
            </w:r>
            <w:r w:rsidRPr="00BB7A83">
              <w:rPr>
                <w:i/>
                <w:sz w:val="18"/>
                <w:szCs w:val="18"/>
              </w:rPr>
              <w:br/>
            </w:r>
            <w:r w:rsidR="001D4D59" w:rsidRPr="00BB7A83">
              <w:rPr>
                <w:i/>
                <w:sz w:val="18"/>
                <w:szCs w:val="18"/>
              </w:rPr>
              <w:t>PSAK No. 48 (Revised 2013)</w:t>
            </w:r>
            <w:r w:rsidR="00C25313">
              <w:rPr>
                <w:i/>
                <w:sz w:val="18"/>
                <w:szCs w:val="18"/>
              </w:rPr>
              <w:t>,</w:t>
            </w:r>
            <w:r w:rsidR="001D4D59" w:rsidRPr="00BB7A83">
              <w:rPr>
                <w:i/>
                <w:sz w:val="18"/>
                <w:szCs w:val="18"/>
              </w:rPr>
              <w:t xml:space="preserve"> “Impairment of Assets”;</w:t>
            </w:r>
          </w:p>
        </w:tc>
      </w:tr>
      <w:tr w:rsidR="001D4D59" w:rsidRPr="00C608D0" w14:paraId="2C3E5596" w14:textId="77777777" w:rsidTr="0011757A">
        <w:trPr>
          <w:trHeight w:val="20"/>
        </w:trPr>
        <w:tc>
          <w:tcPr>
            <w:tcW w:w="3464" w:type="dxa"/>
            <w:tcBorders>
              <w:top w:val="nil"/>
              <w:left w:val="nil"/>
              <w:bottom w:val="nil"/>
              <w:right w:val="nil"/>
            </w:tcBorders>
          </w:tcPr>
          <w:p w14:paraId="25047A2A" w14:textId="09F719AA" w:rsidR="001D4D59" w:rsidRPr="00BB7A83" w:rsidRDefault="00F5631A" w:rsidP="00070D1F">
            <w:pPr>
              <w:pStyle w:val="ListParagraph"/>
              <w:numPr>
                <w:ilvl w:val="0"/>
                <w:numId w:val="208"/>
              </w:numPr>
              <w:ind w:left="884" w:right="-57" w:hanging="283"/>
              <w:jc w:val="both"/>
              <w:rPr>
                <w:bCs w:val="0"/>
                <w:sz w:val="18"/>
                <w:szCs w:val="18"/>
              </w:rPr>
            </w:pPr>
            <w:r w:rsidRPr="00BB7A83">
              <w:rPr>
                <w:sz w:val="18"/>
                <w:szCs w:val="18"/>
              </w:rPr>
              <w:t>P</w:t>
            </w:r>
            <w:r w:rsidR="001D4D59" w:rsidRPr="00BB7A83">
              <w:rPr>
                <w:sz w:val="18"/>
                <w:szCs w:val="18"/>
              </w:rPr>
              <w:t>engukuran nilai wajar yang hanya disyaratkan pada pengakuan awal</w:t>
            </w:r>
            <w:r w:rsidR="00C25313">
              <w:rPr>
                <w:sz w:val="18"/>
                <w:szCs w:val="18"/>
              </w:rPr>
              <w:t>,</w:t>
            </w:r>
            <w:r w:rsidR="001D4D59" w:rsidRPr="00BB7A83">
              <w:rPr>
                <w:sz w:val="18"/>
                <w:szCs w:val="18"/>
              </w:rPr>
              <w:t xml:space="preserve"> seperti pengukuran berikutnya atas aset dan liabilitas yang diperoleh dalam kombinasi bisnis.</w:t>
            </w:r>
          </w:p>
        </w:tc>
        <w:tc>
          <w:tcPr>
            <w:tcW w:w="3464" w:type="dxa"/>
            <w:tcBorders>
              <w:top w:val="nil"/>
              <w:left w:val="nil"/>
              <w:bottom w:val="nil"/>
              <w:right w:val="nil"/>
            </w:tcBorders>
          </w:tcPr>
          <w:p w14:paraId="37CF7167" w14:textId="5550F91C" w:rsidR="001D4D59" w:rsidRPr="00BB7A83" w:rsidRDefault="00F5631A" w:rsidP="00070D1F">
            <w:pPr>
              <w:pStyle w:val="ListParagraph"/>
              <w:numPr>
                <w:ilvl w:val="0"/>
                <w:numId w:val="209"/>
              </w:numPr>
              <w:tabs>
                <w:tab w:val="left" w:pos="5590"/>
                <w:tab w:val="right" w:pos="7620"/>
                <w:tab w:val="right" w:pos="9460"/>
                <w:tab w:val="right" w:pos="10080"/>
              </w:tabs>
              <w:ind w:left="1025" w:right="-57" w:hanging="284"/>
              <w:jc w:val="both"/>
              <w:rPr>
                <w:bCs w:val="0"/>
                <w:i/>
                <w:sz w:val="18"/>
                <w:szCs w:val="18"/>
              </w:rPr>
            </w:pPr>
            <w:r w:rsidRPr="00BB7A83">
              <w:rPr>
                <w:i/>
                <w:sz w:val="18"/>
                <w:szCs w:val="18"/>
              </w:rPr>
              <w:t>F</w:t>
            </w:r>
            <w:r w:rsidR="001D4D59" w:rsidRPr="00BB7A83">
              <w:rPr>
                <w:i/>
                <w:sz w:val="18"/>
                <w:szCs w:val="18"/>
              </w:rPr>
              <w:t>air value measurements that are only required at initial recognition</w:t>
            </w:r>
            <w:r w:rsidR="00C25313">
              <w:rPr>
                <w:i/>
                <w:sz w:val="18"/>
                <w:szCs w:val="18"/>
              </w:rPr>
              <w:t>,</w:t>
            </w:r>
            <w:r w:rsidR="001D4D59" w:rsidRPr="00BB7A83">
              <w:rPr>
                <w:i/>
                <w:sz w:val="18"/>
                <w:szCs w:val="18"/>
              </w:rPr>
              <w:t xml:space="preserve"> such as subsequent measurement of assets acquired and liabilities assumed in a business combination.</w:t>
            </w:r>
          </w:p>
        </w:tc>
      </w:tr>
    </w:tbl>
    <w:p w14:paraId="098C1C19" w14:textId="0F7FBDC7" w:rsidR="001D4D59" w:rsidRDefault="001D4D59"/>
    <w:p w14:paraId="4381685B" w14:textId="77777777" w:rsidR="00D75D5C" w:rsidRDefault="00D75D5C"/>
    <w:p w14:paraId="568D4545" w14:textId="77777777" w:rsidR="00D75D5C" w:rsidRDefault="00D75D5C"/>
    <w:p w14:paraId="32A041BA" w14:textId="77777777" w:rsidR="001D4D59" w:rsidRDefault="001D4D59">
      <w:pPr>
        <w:rPr>
          <w:sz w:val="6"/>
          <w:szCs w:val="6"/>
        </w:rPr>
      </w:pPr>
    </w:p>
    <w:p w14:paraId="39D8C66F" w14:textId="11D2C0A5" w:rsidR="00497B24" w:rsidRPr="00497B24" w:rsidRDefault="00497B24">
      <w:pPr>
        <w:rPr>
          <w:sz w:val="6"/>
          <w:szCs w:val="6"/>
        </w:rPr>
      </w:pPr>
      <w:r>
        <w:rPr>
          <w:sz w:val="6"/>
          <w:szCs w:val="6"/>
        </w:rPr>
        <w:br w:type="page"/>
      </w:r>
    </w:p>
    <w:tbl>
      <w:tblPr>
        <w:tblW w:w="4801" w:type="pct"/>
        <w:tblInd w:w="392" w:type="dxa"/>
        <w:tblLayout w:type="fixed"/>
        <w:tblLook w:val="0000" w:firstRow="0" w:lastRow="0" w:firstColumn="0" w:lastColumn="0" w:noHBand="0" w:noVBand="0"/>
      </w:tblPr>
      <w:tblGrid>
        <w:gridCol w:w="4575"/>
        <w:gridCol w:w="4572"/>
      </w:tblGrid>
      <w:tr w:rsidR="001D4D59" w:rsidRPr="00BB7A83" w14:paraId="223827FC" w14:textId="77777777" w:rsidTr="00BB7A83">
        <w:trPr>
          <w:trHeight w:val="20"/>
        </w:trPr>
        <w:tc>
          <w:tcPr>
            <w:tcW w:w="2501" w:type="pct"/>
            <w:tcBorders>
              <w:top w:val="nil"/>
              <w:left w:val="nil"/>
              <w:bottom w:val="nil"/>
              <w:right w:val="nil"/>
            </w:tcBorders>
            <w:shd w:val="clear" w:color="auto" w:fill="auto"/>
          </w:tcPr>
          <w:p w14:paraId="15EAB6CA" w14:textId="2E9EEF70" w:rsidR="001D4D59" w:rsidRPr="00BB7A83" w:rsidRDefault="001D4D59" w:rsidP="00070D1F">
            <w:pPr>
              <w:numPr>
                <w:ilvl w:val="0"/>
                <w:numId w:val="221"/>
              </w:numPr>
              <w:tabs>
                <w:tab w:val="clear" w:pos="720"/>
                <w:tab w:val="num" w:pos="317"/>
              </w:tabs>
              <w:ind w:left="175" w:right="-57" w:hanging="283"/>
              <w:jc w:val="both"/>
              <w:rPr>
                <w:b/>
                <w:bCs w:val="0"/>
                <w:sz w:val="18"/>
                <w:szCs w:val="18"/>
              </w:rPr>
            </w:pPr>
            <w:r w:rsidRPr="00BB7A83">
              <w:rPr>
                <w:b/>
                <w:sz w:val="18"/>
                <w:szCs w:val="18"/>
              </w:rPr>
              <w:lastRenderedPageBreak/>
              <w:t>IKHTISAR KEBIJAKAN AKUNTANSI YANG PENTING</w:t>
            </w:r>
            <w:r w:rsidRPr="00BB7A83">
              <w:rPr>
                <w:sz w:val="18"/>
                <w:szCs w:val="18"/>
              </w:rPr>
              <w:t xml:space="preserve"> </w:t>
            </w:r>
            <w:r w:rsidR="000629D6" w:rsidRPr="00BB7A83">
              <w:rPr>
                <w:b/>
                <w:sz w:val="18"/>
                <w:szCs w:val="18"/>
              </w:rPr>
              <w:t>- Lanjutan</w:t>
            </w:r>
          </w:p>
        </w:tc>
        <w:tc>
          <w:tcPr>
            <w:tcW w:w="2499" w:type="pct"/>
            <w:tcBorders>
              <w:top w:val="nil"/>
              <w:left w:val="nil"/>
              <w:bottom w:val="nil"/>
              <w:right w:val="nil"/>
            </w:tcBorders>
            <w:shd w:val="clear" w:color="auto" w:fill="auto"/>
          </w:tcPr>
          <w:p w14:paraId="687316A2" w14:textId="7A339CAD" w:rsidR="001D4D59" w:rsidRPr="00BB7A83" w:rsidRDefault="001D4D59" w:rsidP="00070D1F">
            <w:pPr>
              <w:numPr>
                <w:ilvl w:val="0"/>
                <w:numId w:val="222"/>
              </w:numPr>
              <w:tabs>
                <w:tab w:val="clear" w:pos="720"/>
                <w:tab w:val="left" w:pos="5590"/>
                <w:tab w:val="right" w:pos="7620"/>
                <w:tab w:val="right" w:pos="9460"/>
                <w:tab w:val="right" w:pos="10080"/>
              </w:tabs>
              <w:ind w:left="458" w:right="-57" w:hanging="426"/>
              <w:jc w:val="both"/>
              <w:rPr>
                <w:b/>
                <w:bCs w:val="0"/>
                <w:i/>
                <w:sz w:val="18"/>
                <w:szCs w:val="18"/>
              </w:rPr>
            </w:pPr>
            <w:r w:rsidRPr="00BB7A83">
              <w:rPr>
                <w:b/>
                <w:i/>
                <w:sz w:val="18"/>
                <w:szCs w:val="18"/>
              </w:rPr>
              <w:t xml:space="preserve">SUMMARY OF SIGNIFICANT ACCOUNTING POLICIES </w:t>
            </w:r>
            <w:r w:rsidR="000629D6" w:rsidRPr="00BB7A83">
              <w:rPr>
                <w:b/>
                <w:i/>
                <w:sz w:val="18"/>
                <w:szCs w:val="18"/>
              </w:rPr>
              <w:t>- Continued</w:t>
            </w:r>
          </w:p>
        </w:tc>
      </w:tr>
      <w:tr w:rsidR="001D4D59" w:rsidRPr="00BB7A83" w14:paraId="0A19F634" w14:textId="77777777" w:rsidTr="00BB7A83">
        <w:trPr>
          <w:trHeight w:val="20"/>
        </w:trPr>
        <w:tc>
          <w:tcPr>
            <w:tcW w:w="2501" w:type="pct"/>
            <w:tcBorders>
              <w:top w:val="nil"/>
              <w:left w:val="nil"/>
              <w:bottom w:val="nil"/>
              <w:right w:val="nil"/>
            </w:tcBorders>
            <w:shd w:val="clear" w:color="auto" w:fill="auto"/>
          </w:tcPr>
          <w:p w14:paraId="5F62ADEF" w14:textId="77777777" w:rsidR="001D4D59" w:rsidRPr="00BB7A83" w:rsidRDefault="001D4D59" w:rsidP="003903E3">
            <w:pPr>
              <w:ind w:left="522" w:right="-57"/>
              <w:jc w:val="both"/>
              <w:rPr>
                <w:bCs w:val="0"/>
                <w:sz w:val="18"/>
                <w:szCs w:val="18"/>
              </w:rPr>
            </w:pPr>
          </w:p>
        </w:tc>
        <w:tc>
          <w:tcPr>
            <w:tcW w:w="2499" w:type="pct"/>
            <w:tcBorders>
              <w:top w:val="nil"/>
              <w:left w:val="nil"/>
              <w:bottom w:val="nil"/>
              <w:right w:val="nil"/>
            </w:tcBorders>
            <w:shd w:val="clear" w:color="auto" w:fill="auto"/>
          </w:tcPr>
          <w:p w14:paraId="67B79D49" w14:textId="77777777" w:rsidR="001D4D59" w:rsidRPr="00BB7A83" w:rsidRDefault="001D4D59" w:rsidP="003903E3">
            <w:pPr>
              <w:tabs>
                <w:tab w:val="left" w:pos="5590"/>
                <w:tab w:val="right" w:pos="7620"/>
                <w:tab w:val="right" w:pos="9460"/>
                <w:tab w:val="right" w:pos="10080"/>
              </w:tabs>
              <w:ind w:left="704" w:right="-57"/>
              <w:jc w:val="both"/>
              <w:rPr>
                <w:bCs w:val="0"/>
                <w:i/>
                <w:sz w:val="18"/>
                <w:szCs w:val="18"/>
              </w:rPr>
            </w:pPr>
          </w:p>
        </w:tc>
      </w:tr>
      <w:tr w:rsidR="00D75D5C" w:rsidRPr="00BB7A83" w14:paraId="383FEAAF" w14:textId="77777777" w:rsidTr="00BB7A83">
        <w:trPr>
          <w:trHeight w:val="20"/>
        </w:trPr>
        <w:tc>
          <w:tcPr>
            <w:tcW w:w="2501" w:type="pct"/>
            <w:tcBorders>
              <w:top w:val="nil"/>
              <w:left w:val="nil"/>
              <w:bottom w:val="nil"/>
              <w:right w:val="nil"/>
            </w:tcBorders>
            <w:shd w:val="clear" w:color="auto" w:fill="auto"/>
          </w:tcPr>
          <w:p w14:paraId="2106E5F6" w14:textId="0A3D1D8A" w:rsidR="00D75D5C" w:rsidRPr="00BB7A83" w:rsidRDefault="00D75D5C" w:rsidP="00070D1F">
            <w:pPr>
              <w:pStyle w:val="ListParagraph"/>
              <w:numPr>
                <w:ilvl w:val="0"/>
                <w:numId w:val="343"/>
              </w:numPr>
              <w:ind w:left="488" w:right="-57" w:hanging="284"/>
              <w:jc w:val="both"/>
              <w:rPr>
                <w:b/>
                <w:bCs w:val="0"/>
                <w:sz w:val="18"/>
                <w:szCs w:val="18"/>
              </w:rPr>
            </w:pPr>
            <w:r w:rsidRPr="00BB7A83">
              <w:rPr>
                <w:b/>
                <w:sz w:val="18"/>
                <w:szCs w:val="18"/>
              </w:rPr>
              <w:t>Pengukuran Nilai Wajar</w:t>
            </w:r>
            <w:r w:rsidR="009A267A" w:rsidRPr="00BB7A83">
              <w:rPr>
                <w:b/>
                <w:sz w:val="18"/>
                <w:szCs w:val="18"/>
              </w:rPr>
              <w:t xml:space="preserve"> - Lanjutan</w:t>
            </w:r>
          </w:p>
        </w:tc>
        <w:tc>
          <w:tcPr>
            <w:tcW w:w="2499" w:type="pct"/>
            <w:tcBorders>
              <w:top w:val="nil"/>
              <w:left w:val="nil"/>
              <w:bottom w:val="nil"/>
              <w:right w:val="nil"/>
            </w:tcBorders>
            <w:shd w:val="clear" w:color="auto" w:fill="auto"/>
          </w:tcPr>
          <w:p w14:paraId="20B0C345" w14:textId="65A2DB65" w:rsidR="00D75D5C" w:rsidRPr="00BB7A83" w:rsidRDefault="00D75D5C" w:rsidP="00070D1F">
            <w:pPr>
              <w:pStyle w:val="ListParagraph"/>
              <w:numPr>
                <w:ilvl w:val="0"/>
                <w:numId w:val="210"/>
              </w:numPr>
              <w:tabs>
                <w:tab w:val="left" w:pos="5590"/>
                <w:tab w:val="right" w:pos="7620"/>
                <w:tab w:val="right" w:pos="9460"/>
                <w:tab w:val="right" w:pos="10080"/>
              </w:tabs>
              <w:ind w:right="-57" w:hanging="262"/>
              <w:jc w:val="both"/>
              <w:rPr>
                <w:b/>
                <w:bCs w:val="0"/>
                <w:i/>
                <w:sz w:val="18"/>
                <w:szCs w:val="18"/>
              </w:rPr>
            </w:pPr>
            <w:r w:rsidRPr="00BB7A83">
              <w:rPr>
                <w:b/>
                <w:i/>
                <w:sz w:val="18"/>
                <w:szCs w:val="18"/>
              </w:rPr>
              <w:t>Fair Value Measurement</w:t>
            </w:r>
            <w:r w:rsidR="009A267A" w:rsidRPr="00BB7A83">
              <w:rPr>
                <w:b/>
                <w:i/>
                <w:sz w:val="18"/>
                <w:szCs w:val="18"/>
              </w:rPr>
              <w:t xml:space="preserve"> - Continued</w:t>
            </w:r>
          </w:p>
        </w:tc>
      </w:tr>
      <w:tr w:rsidR="001D4D59" w:rsidRPr="00BB7A83" w14:paraId="5390740D" w14:textId="77777777" w:rsidTr="00BB7A83">
        <w:trPr>
          <w:trHeight w:val="20"/>
        </w:trPr>
        <w:tc>
          <w:tcPr>
            <w:tcW w:w="2501" w:type="pct"/>
            <w:tcBorders>
              <w:top w:val="nil"/>
              <w:left w:val="nil"/>
              <w:bottom w:val="nil"/>
              <w:right w:val="nil"/>
            </w:tcBorders>
            <w:shd w:val="clear" w:color="auto" w:fill="auto"/>
          </w:tcPr>
          <w:p w14:paraId="071B1365" w14:textId="77777777" w:rsidR="001D4D59" w:rsidRPr="00BB7A83" w:rsidRDefault="001D4D59" w:rsidP="003903E3">
            <w:pPr>
              <w:ind w:left="522" w:right="-57"/>
              <w:jc w:val="both"/>
              <w:rPr>
                <w:bCs w:val="0"/>
                <w:sz w:val="18"/>
                <w:szCs w:val="18"/>
              </w:rPr>
            </w:pPr>
          </w:p>
        </w:tc>
        <w:tc>
          <w:tcPr>
            <w:tcW w:w="2499" w:type="pct"/>
            <w:tcBorders>
              <w:top w:val="nil"/>
              <w:left w:val="nil"/>
              <w:bottom w:val="nil"/>
              <w:right w:val="nil"/>
            </w:tcBorders>
            <w:shd w:val="clear" w:color="auto" w:fill="auto"/>
          </w:tcPr>
          <w:p w14:paraId="34C3B8AC" w14:textId="77777777" w:rsidR="001D4D59" w:rsidRPr="00BB7A83"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BB7A83" w14:paraId="2A6B91AA" w14:textId="77777777" w:rsidTr="00BB7A83">
        <w:trPr>
          <w:trHeight w:val="20"/>
        </w:trPr>
        <w:tc>
          <w:tcPr>
            <w:tcW w:w="2501" w:type="pct"/>
            <w:tcBorders>
              <w:top w:val="nil"/>
              <w:left w:val="nil"/>
              <w:bottom w:val="nil"/>
              <w:right w:val="nil"/>
            </w:tcBorders>
            <w:shd w:val="clear" w:color="auto" w:fill="auto"/>
          </w:tcPr>
          <w:p w14:paraId="67C10132" w14:textId="020D8DA8" w:rsidR="001D4D59" w:rsidRPr="00BB7A83" w:rsidRDefault="001D4D59" w:rsidP="00C25313">
            <w:pPr>
              <w:ind w:left="522" w:right="-57"/>
              <w:jc w:val="both"/>
              <w:rPr>
                <w:bCs w:val="0"/>
                <w:sz w:val="18"/>
                <w:szCs w:val="18"/>
              </w:rPr>
            </w:pPr>
            <w:r w:rsidRPr="00BB7A83">
              <w:rPr>
                <w:sz w:val="18"/>
                <w:szCs w:val="18"/>
              </w:rPr>
              <w:t>PSAK No. 68 (Penyesuaian 2015) memberikan klarifikasi bahwa pengecualian portofolio</w:t>
            </w:r>
            <w:r w:rsidR="00C25313">
              <w:rPr>
                <w:sz w:val="18"/>
                <w:szCs w:val="18"/>
              </w:rPr>
              <w:t>,</w:t>
            </w:r>
            <w:r w:rsidRPr="00BB7A83">
              <w:rPr>
                <w:sz w:val="18"/>
                <w:szCs w:val="18"/>
              </w:rPr>
              <w:t xml:space="preserve"> yang memperkenankan entitas mengukur nilai wajar kelompok aset keuangan dan liabilitas keuangan secara neto</w:t>
            </w:r>
            <w:r w:rsidR="00C25313">
              <w:rPr>
                <w:sz w:val="18"/>
                <w:szCs w:val="18"/>
              </w:rPr>
              <w:t>,</w:t>
            </w:r>
            <w:r w:rsidRPr="00BB7A83">
              <w:rPr>
                <w:sz w:val="18"/>
                <w:szCs w:val="18"/>
              </w:rPr>
              <w:t xml:space="preserve"> diterapkan pada seluruh kontrak (termasuk kontrak non-keuangan) dalam ruang lingkup PSAK No. 55.</w:t>
            </w:r>
          </w:p>
        </w:tc>
        <w:tc>
          <w:tcPr>
            <w:tcW w:w="2499" w:type="pct"/>
            <w:tcBorders>
              <w:top w:val="nil"/>
              <w:left w:val="nil"/>
              <w:bottom w:val="nil"/>
              <w:right w:val="nil"/>
            </w:tcBorders>
            <w:shd w:val="clear" w:color="auto" w:fill="auto"/>
          </w:tcPr>
          <w:p w14:paraId="7257B945" w14:textId="5CFBF5F3" w:rsidR="001D4D59" w:rsidRPr="00BB7A83" w:rsidRDefault="001D4D59" w:rsidP="00C25313">
            <w:pPr>
              <w:tabs>
                <w:tab w:val="left" w:pos="5590"/>
                <w:tab w:val="right" w:pos="7620"/>
                <w:tab w:val="right" w:pos="9460"/>
                <w:tab w:val="right" w:pos="10080"/>
              </w:tabs>
              <w:ind w:left="704" w:right="-57"/>
              <w:jc w:val="both"/>
              <w:rPr>
                <w:bCs w:val="0"/>
                <w:i/>
                <w:sz w:val="18"/>
                <w:szCs w:val="18"/>
              </w:rPr>
            </w:pPr>
            <w:r w:rsidRPr="00BB7A83">
              <w:rPr>
                <w:i/>
                <w:sz w:val="18"/>
                <w:szCs w:val="18"/>
              </w:rPr>
              <w:t>PSAK No. 68 (Improvement 2015) clarifies that the portfolio exception</w:t>
            </w:r>
            <w:r w:rsidR="00C25313">
              <w:rPr>
                <w:i/>
                <w:sz w:val="18"/>
                <w:szCs w:val="18"/>
              </w:rPr>
              <w:t>,</w:t>
            </w:r>
            <w:r w:rsidRPr="00BB7A83">
              <w:rPr>
                <w:i/>
                <w:sz w:val="18"/>
                <w:szCs w:val="18"/>
              </w:rPr>
              <w:t xml:space="preserve"> which permits entity to measure the fair value of the group's financial assets and financial liabilities on a net basis</w:t>
            </w:r>
            <w:r w:rsidR="00C25313">
              <w:rPr>
                <w:i/>
                <w:sz w:val="18"/>
                <w:szCs w:val="18"/>
              </w:rPr>
              <w:t>,</w:t>
            </w:r>
            <w:r w:rsidRPr="00BB7A83">
              <w:rPr>
                <w:i/>
                <w:sz w:val="18"/>
                <w:szCs w:val="18"/>
              </w:rPr>
              <w:t xml:space="preserve"> applied to all contracts (including non-financial contracts) within the scope of PSAK No. 55.</w:t>
            </w:r>
          </w:p>
        </w:tc>
      </w:tr>
      <w:tr w:rsidR="001D4D59" w:rsidRPr="00BB7A83" w14:paraId="6478D996" w14:textId="77777777" w:rsidTr="00BB7A83">
        <w:trPr>
          <w:trHeight w:val="20"/>
        </w:trPr>
        <w:tc>
          <w:tcPr>
            <w:tcW w:w="2501" w:type="pct"/>
            <w:tcBorders>
              <w:top w:val="nil"/>
              <w:left w:val="nil"/>
              <w:bottom w:val="nil"/>
              <w:right w:val="nil"/>
            </w:tcBorders>
            <w:shd w:val="clear" w:color="auto" w:fill="auto"/>
          </w:tcPr>
          <w:p w14:paraId="7BBFFB80" w14:textId="77777777" w:rsidR="001D4D59" w:rsidRPr="00BB7A83" w:rsidRDefault="001D4D59" w:rsidP="003903E3">
            <w:pPr>
              <w:ind w:left="522" w:right="-57"/>
              <w:jc w:val="both"/>
              <w:rPr>
                <w:bCs w:val="0"/>
                <w:sz w:val="18"/>
                <w:szCs w:val="18"/>
              </w:rPr>
            </w:pPr>
          </w:p>
        </w:tc>
        <w:tc>
          <w:tcPr>
            <w:tcW w:w="2499" w:type="pct"/>
            <w:tcBorders>
              <w:top w:val="nil"/>
              <w:left w:val="nil"/>
              <w:bottom w:val="nil"/>
              <w:right w:val="nil"/>
            </w:tcBorders>
            <w:shd w:val="clear" w:color="auto" w:fill="auto"/>
          </w:tcPr>
          <w:p w14:paraId="0F20480D" w14:textId="77777777" w:rsidR="001D4D59" w:rsidRPr="00BB7A83"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B8576F" w14:paraId="7AF9B96A" w14:textId="77777777" w:rsidTr="00BB7A83">
        <w:trPr>
          <w:trHeight w:val="20"/>
        </w:trPr>
        <w:tc>
          <w:tcPr>
            <w:tcW w:w="2501" w:type="pct"/>
            <w:tcBorders>
              <w:top w:val="nil"/>
              <w:left w:val="nil"/>
              <w:bottom w:val="nil"/>
              <w:right w:val="nil"/>
            </w:tcBorders>
            <w:shd w:val="clear" w:color="auto" w:fill="auto"/>
          </w:tcPr>
          <w:p w14:paraId="0B40388C" w14:textId="77777777" w:rsidR="001D4D59" w:rsidRPr="00BB7A83" w:rsidRDefault="001D4D59" w:rsidP="003903E3">
            <w:pPr>
              <w:ind w:left="522" w:right="-57"/>
              <w:jc w:val="both"/>
              <w:rPr>
                <w:bCs w:val="0"/>
                <w:sz w:val="18"/>
                <w:szCs w:val="18"/>
              </w:rPr>
            </w:pPr>
            <w:r w:rsidRPr="00BB7A83">
              <w:rPr>
                <w:sz w:val="18"/>
                <w:szCs w:val="18"/>
              </w:rPr>
              <w:t>Tujuan dari pengukuran nilai wajar adalah untuk memperkirakan harga di mana transaksi teratur (</w:t>
            </w:r>
            <w:r w:rsidRPr="00BB7A83">
              <w:rPr>
                <w:i/>
                <w:sz w:val="18"/>
                <w:szCs w:val="18"/>
              </w:rPr>
              <w:t>orderly transaction</w:t>
            </w:r>
            <w:r w:rsidRPr="00BB7A83">
              <w:rPr>
                <w:sz w:val="18"/>
                <w:szCs w:val="18"/>
              </w:rPr>
              <w:t>) untuk menjual suatu aset atau untuk mengalihkan suatu liabilitas akan berlangsung antara pelaku pasar (</w:t>
            </w:r>
            <w:r w:rsidRPr="00BB7A83">
              <w:rPr>
                <w:i/>
                <w:sz w:val="18"/>
                <w:szCs w:val="18"/>
              </w:rPr>
              <w:t>market participants</w:t>
            </w:r>
            <w:r w:rsidRPr="00BB7A83">
              <w:rPr>
                <w:sz w:val="18"/>
                <w:szCs w:val="18"/>
              </w:rPr>
              <w:t xml:space="preserve">) pada tanggal pengukuran dalam kondisi pasar saat </w:t>
            </w:r>
            <w:proofErr w:type="gramStart"/>
            <w:r w:rsidRPr="00BB7A83">
              <w:rPr>
                <w:sz w:val="18"/>
                <w:szCs w:val="18"/>
              </w:rPr>
              <w:t>ini  yaitu</w:t>
            </w:r>
            <w:proofErr w:type="gramEnd"/>
            <w:r w:rsidRPr="00BB7A83">
              <w:rPr>
                <w:sz w:val="18"/>
                <w:szCs w:val="18"/>
              </w:rPr>
              <w:t xml:space="preserve"> harga keluaran (</w:t>
            </w:r>
            <w:r w:rsidRPr="00BB7A83">
              <w:rPr>
                <w:i/>
                <w:sz w:val="18"/>
                <w:szCs w:val="18"/>
              </w:rPr>
              <w:t>exit price</w:t>
            </w:r>
            <w:r w:rsidRPr="00BB7A83">
              <w:rPr>
                <w:sz w:val="18"/>
                <w:szCs w:val="18"/>
              </w:rPr>
              <w:t>).</w:t>
            </w:r>
          </w:p>
        </w:tc>
        <w:tc>
          <w:tcPr>
            <w:tcW w:w="2499" w:type="pct"/>
            <w:tcBorders>
              <w:top w:val="nil"/>
              <w:left w:val="nil"/>
              <w:bottom w:val="nil"/>
              <w:right w:val="nil"/>
            </w:tcBorders>
            <w:shd w:val="clear" w:color="auto" w:fill="auto"/>
          </w:tcPr>
          <w:p w14:paraId="39C5F94C" w14:textId="77777777" w:rsidR="001D4D59" w:rsidRPr="00BB7A83" w:rsidRDefault="001D4D59" w:rsidP="003903E3">
            <w:pPr>
              <w:tabs>
                <w:tab w:val="left" w:pos="5590"/>
                <w:tab w:val="right" w:pos="7620"/>
                <w:tab w:val="right" w:pos="9460"/>
                <w:tab w:val="right" w:pos="10080"/>
              </w:tabs>
              <w:ind w:left="704" w:right="-57"/>
              <w:jc w:val="both"/>
              <w:rPr>
                <w:bCs w:val="0"/>
                <w:i/>
                <w:sz w:val="18"/>
                <w:szCs w:val="18"/>
              </w:rPr>
            </w:pPr>
            <w:r w:rsidRPr="00BB7A83">
              <w:rPr>
                <w:i/>
                <w:sz w:val="18"/>
                <w:szCs w:val="18"/>
              </w:rPr>
              <w:t>The objective of a fair value measurement is to estimate the price at which an orderly transaction to sell the asset or to transfer the liability would take place between market participants at the measurement date under current market conditions (exit price).</w:t>
            </w:r>
          </w:p>
        </w:tc>
      </w:tr>
      <w:tr w:rsidR="001D4D59" w:rsidRPr="00B8576F" w14:paraId="7BFC9292" w14:textId="77777777" w:rsidTr="00D75D5C">
        <w:trPr>
          <w:trHeight w:val="20"/>
        </w:trPr>
        <w:tc>
          <w:tcPr>
            <w:tcW w:w="2501" w:type="pct"/>
            <w:tcBorders>
              <w:top w:val="nil"/>
              <w:left w:val="nil"/>
              <w:bottom w:val="nil"/>
              <w:right w:val="nil"/>
            </w:tcBorders>
          </w:tcPr>
          <w:p w14:paraId="594B0B6C" w14:textId="77777777" w:rsidR="001D4D59" w:rsidRPr="00B8576F" w:rsidRDefault="001D4D59" w:rsidP="003903E3">
            <w:pPr>
              <w:ind w:left="522" w:right="-57"/>
              <w:jc w:val="both"/>
              <w:rPr>
                <w:bCs w:val="0"/>
                <w:sz w:val="18"/>
                <w:szCs w:val="18"/>
                <w:highlight w:val="cyan"/>
              </w:rPr>
            </w:pPr>
          </w:p>
        </w:tc>
        <w:tc>
          <w:tcPr>
            <w:tcW w:w="2499" w:type="pct"/>
            <w:tcBorders>
              <w:top w:val="nil"/>
              <w:left w:val="nil"/>
              <w:bottom w:val="nil"/>
              <w:right w:val="nil"/>
            </w:tcBorders>
          </w:tcPr>
          <w:p w14:paraId="2F020813" w14:textId="77777777" w:rsidR="001D4D59" w:rsidRPr="00B8576F" w:rsidRDefault="001D4D59" w:rsidP="003903E3">
            <w:pPr>
              <w:tabs>
                <w:tab w:val="left" w:pos="5590"/>
                <w:tab w:val="right" w:pos="7620"/>
                <w:tab w:val="right" w:pos="9460"/>
                <w:tab w:val="right" w:pos="10080"/>
              </w:tabs>
              <w:ind w:left="704" w:right="-57"/>
              <w:jc w:val="both"/>
              <w:rPr>
                <w:bCs w:val="0"/>
                <w:i/>
                <w:sz w:val="18"/>
                <w:szCs w:val="18"/>
                <w:highlight w:val="cyan"/>
              </w:rPr>
            </w:pPr>
          </w:p>
        </w:tc>
      </w:tr>
      <w:tr w:rsidR="001D4D59" w:rsidRPr="00BB7A83" w14:paraId="261F6B15" w14:textId="77777777" w:rsidTr="00D75D5C">
        <w:trPr>
          <w:trHeight w:val="20"/>
        </w:trPr>
        <w:tc>
          <w:tcPr>
            <w:tcW w:w="2501" w:type="pct"/>
            <w:tcBorders>
              <w:top w:val="nil"/>
              <w:left w:val="nil"/>
              <w:bottom w:val="nil"/>
              <w:right w:val="nil"/>
            </w:tcBorders>
          </w:tcPr>
          <w:p w14:paraId="238FEACB" w14:textId="77777777" w:rsidR="001D4D59" w:rsidRPr="00BB7A83" w:rsidRDefault="001D4D59" w:rsidP="003903E3">
            <w:pPr>
              <w:ind w:left="522" w:right="-57"/>
              <w:jc w:val="both"/>
              <w:rPr>
                <w:bCs w:val="0"/>
                <w:sz w:val="18"/>
                <w:szCs w:val="18"/>
              </w:rPr>
            </w:pPr>
            <w:r w:rsidRPr="00BB7A83">
              <w:rPr>
                <w:sz w:val="18"/>
                <w:szCs w:val="18"/>
              </w:rPr>
              <w:t>Pengukuran nilai wajar yang sesuai mensyaratkan entitas untuk menentukan semua hal berikut:</w:t>
            </w:r>
          </w:p>
        </w:tc>
        <w:tc>
          <w:tcPr>
            <w:tcW w:w="2499" w:type="pct"/>
            <w:tcBorders>
              <w:top w:val="nil"/>
              <w:left w:val="nil"/>
              <w:bottom w:val="nil"/>
              <w:right w:val="nil"/>
            </w:tcBorders>
          </w:tcPr>
          <w:p w14:paraId="632F3C0B" w14:textId="77777777" w:rsidR="001D4D59" w:rsidRPr="00BB7A83" w:rsidRDefault="001D4D59" w:rsidP="003903E3">
            <w:pPr>
              <w:tabs>
                <w:tab w:val="left" w:pos="5590"/>
                <w:tab w:val="right" w:pos="7620"/>
                <w:tab w:val="right" w:pos="9460"/>
                <w:tab w:val="right" w:pos="10080"/>
              </w:tabs>
              <w:ind w:left="704" w:right="-57"/>
              <w:jc w:val="both"/>
              <w:rPr>
                <w:bCs w:val="0"/>
                <w:i/>
                <w:sz w:val="18"/>
                <w:szCs w:val="18"/>
              </w:rPr>
            </w:pPr>
            <w:r w:rsidRPr="00BB7A83">
              <w:rPr>
                <w:i/>
                <w:sz w:val="18"/>
                <w:szCs w:val="18"/>
              </w:rPr>
              <w:t>An appropriate  fair value measurement requires an entity to determine all of the following:</w:t>
            </w:r>
          </w:p>
        </w:tc>
      </w:tr>
      <w:tr w:rsidR="001D4D59" w:rsidRPr="00BB7A83" w14:paraId="70B98B55" w14:textId="77777777" w:rsidTr="00D75D5C">
        <w:trPr>
          <w:trHeight w:val="20"/>
        </w:trPr>
        <w:tc>
          <w:tcPr>
            <w:tcW w:w="2501" w:type="pct"/>
            <w:tcBorders>
              <w:top w:val="nil"/>
              <w:left w:val="nil"/>
              <w:bottom w:val="nil"/>
              <w:right w:val="nil"/>
            </w:tcBorders>
          </w:tcPr>
          <w:p w14:paraId="1E5BCC7D" w14:textId="77777777" w:rsidR="001D4D59" w:rsidRPr="00BB7A83" w:rsidRDefault="001D4D59" w:rsidP="00070D1F">
            <w:pPr>
              <w:pStyle w:val="ListParagraph"/>
              <w:numPr>
                <w:ilvl w:val="0"/>
                <w:numId w:val="211"/>
              </w:numPr>
              <w:ind w:left="884" w:right="-57" w:hanging="283"/>
              <w:jc w:val="both"/>
              <w:rPr>
                <w:bCs w:val="0"/>
                <w:sz w:val="18"/>
                <w:szCs w:val="18"/>
              </w:rPr>
            </w:pPr>
            <w:r w:rsidRPr="00BB7A83">
              <w:rPr>
                <w:sz w:val="18"/>
                <w:szCs w:val="18"/>
              </w:rPr>
              <w:t>aset tertentu atau liabilitas yang merupakan subjek dari pengukuran (konsisten dengan unit akun);</w:t>
            </w:r>
          </w:p>
        </w:tc>
        <w:tc>
          <w:tcPr>
            <w:tcW w:w="2499" w:type="pct"/>
            <w:tcBorders>
              <w:top w:val="nil"/>
              <w:left w:val="nil"/>
              <w:bottom w:val="nil"/>
              <w:right w:val="nil"/>
            </w:tcBorders>
          </w:tcPr>
          <w:p w14:paraId="42C0924E" w14:textId="77777777" w:rsidR="001D4D59" w:rsidRPr="00BB7A83" w:rsidRDefault="001D4D59" w:rsidP="00070D1F">
            <w:pPr>
              <w:pStyle w:val="ListParagraph"/>
              <w:numPr>
                <w:ilvl w:val="0"/>
                <w:numId w:val="212"/>
              </w:numPr>
              <w:tabs>
                <w:tab w:val="left" w:pos="5590"/>
                <w:tab w:val="right" w:pos="7620"/>
                <w:tab w:val="right" w:pos="9460"/>
                <w:tab w:val="right" w:pos="10080"/>
              </w:tabs>
              <w:ind w:right="-57"/>
              <w:jc w:val="both"/>
              <w:rPr>
                <w:bCs w:val="0"/>
                <w:i/>
                <w:sz w:val="18"/>
                <w:szCs w:val="18"/>
              </w:rPr>
            </w:pPr>
            <w:r w:rsidRPr="00BB7A83">
              <w:rPr>
                <w:i/>
                <w:sz w:val="18"/>
                <w:szCs w:val="18"/>
              </w:rPr>
              <w:t>the particular asset or liability that is the subject of the measurement (consistently with its unit of account);</w:t>
            </w:r>
          </w:p>
        </w:tc>
      </w:tr>
      <w:tr w:rsidR="001D4D59" w:rsidRPr="00BB7A83" w14:paraId="3D7A508E" w14:textId="77777777" w:rsidTr="00D75D5C">
        <w:trPr>
          <w:trHeight w:val="20"/>
        </w:trPr>
        <w:tc>
          <w:tcPr>
            <w:tcW w:w="2501" w:type="pct"/>
            <w:tcBorders>
              <w:top w:val="nil"/>
              <w:left w:val="nil"/>
              <w:bottom w:val="nil"/>
              <w:right w:val="nil"/>
            </w:tcBorders>
          </w:tcPr>
          <w:p w14:paraId="19232348" w14:textId="77777777" w:rsidR="001D4D59" w:rsidRPr="00BB7A83" w:rsidRDefault="001D4D59" w:rsidP="00070D1F">
            <w:pPr>
              <w:pStyle w:val="ListParagraph"/>
              <w:numPr>
                <w:ilvl w:val="0"/>
                <w:numId w:val="212"/>
              </w:numPr>
              <w:ind w:left="884" w:right="-57" w:hanging="283"/>
              <w:jc w:val="both"/>
              <w:rPr>
                <w:bCs w:val="0"/>
                <w:sz w:val="18"/>
                <w:szCs w:val="18"/>
              </w:rPr>
            </w:pPr>
            <w:r w:rsidRPr="00BB7A83">
              <w:rPr>
                <w:sz w:val="18"/>
                <w:szCs w:val="18"/>
              </w:rPr>
              <w:t>pasar utama (</w:t>
            </w:r>
            <w:r w:rsidRPr="00BB7A83">
              <w:rPr>
                <w:i/>
                <w:sz w:val="18"/>
                <w:szCs w:val="18"/>
              </w:rPr>
              <w:t>Principal market</w:t>
            </w:r>
            <w:r w:rsidRPr="00BB7A83">
              <w:rPr>
                <w:sz w:val="18"/>
                <w:szCs w:val="18"/>
              </w:rPr>
              <w:t>) atau pasar yang paling menguntungkan (</w:t>
            </w:r>
            <w:r w:rsidRPr="00BB7A83">
              <w:rPr>
                <w:i/>
                <w:sz w:val="18"/>
                <w:szCs w:val="18"/>
              </w:rPr>
              <w:t>most advantageous market</w:t>
            </w:r>
            <w:r w:rsidRPr="00BB7A83">
              <w:rPr>
                <w:sz w:val="18"/>
                <w:szCs w:val="18"/>
              </w:rPr>
              <w:t>) untuk aset atau liabilitas;</w:t>
            </w:r>
          </w:p>
        </w:tc>
        <w:tc>
          <w:tcPr>
            <w:tcW w:w="2499" w:type="pct"/>
            <w:tcBorders>
              <w:top w:val="nil"/>
              <w:left w:val="nil"/>
              <w:bottom w:val="nil"/>
              <w:right w:val="nil"/>
            </w:tcBorders>
          </w:tcPr>
          <w:p w14:paraId="740D4E1B" w14:textId="77777777" w:rsidR="001D4D59" w:rsidRPr="00BB7A83" w:rsidRDefault="001D4D59" w:rsidP="00070D1F">
            <w:pPr>
              <w:pStyle w:val="ListParagraph"/>
              <w:numPr>
                <w:ilvl w:val="0"/>
                <w:numId w:val="213"/>
              </w:numPr>
              <w:tabs>
                <w:tab w:val="left" w:pos="5590"/>
                <w:tab w:val="right" w:pos="7620"/>
                <w:tab w:val="right" w:pos="9460"/>
                <w:tab w:val="right" w:pos="10080"/>
              </w:tabs>
              <w:ind w:right="-57"/>
              <w:jc w:val="both"/>
              <w:rPr>
                <w:bCs w:val="0"/>
                <w:i/>
                <w:sz w:val="18"/>
                <w:szCs w:val="18"/>
              </w:rPr>
            </w:pPr>
            <w:r w:rsidRPr="00BB7A83">
              <w:rPr>
                <w:i/>
                <w:sz w:val="18"/>
                <w:szCs w:val="18"/>
              </w:rPr>
              <w:t>the principal (or most advantageous) market for the asset or liability;</w:t>
            </w:r>
          </w:p>
        </w:tc>
      </w:tr>
      <w:tr w:rsidR="001D4D59" w:rsidRPr="00B8576F" w14:paraId="6EB45231" w14:textId="77777777" w:rsidTr="00D75D5C">
        <w:trPr>
          <w:trHeight w:val="20"/>
        </w:trPr>
        <w:tc>
          <w:tcPr>
            <w:tcW w:w="2501" w:type="pct"/>
            <w:tcBorders>
              <w:top w:val="nil"/>
              <w:left w:val="nil"/>
              <w:bottom w:val="nil"/>
              <w:right w:val="nil"/>
            </w:tcBorders>
          </w:tcPr>
          <w:p w14:paraId="18711D0C" w14:textId="40B39CF9" w:rsidR="001D4D59" w:rsidRPr="00BB7A83" w:rsidRDefault="001D4D59" w:rsidP="00070D1F">
            <w:pPr>
              <w:pStyle w:val="ListParagraph"/>
              <w:numPr>
                <w:ilvl w:val="0"/>
                <w:numId w:val="213"/>
              </w:numPr>
              <w:ind w:left="884" w:right="-57" w:hanging="283"/>
              <w:jc w:val="both"/>
              <w:rPr>
                <w:bCs w:val="0"/>
                <w:sz w:val="18"/>
                <w:szCs w:val="18"/>
              </w:rPr>
            </w:pPr>
            <w:proofErr w:type="gramStart"/>
            <w:r w:rsidRPr="00BB7A83">
              <w:rPr>
                <w:sz w:val="18"/>
                <w:szCs w:val="18"/>
              </w:rPr>
              <w:t>untuk</w:t>
            </w:r>
            <w:proofErr w:type="gramEnd"/>
            <w:r w:rsidRPr="00BB7A83">
              <w:rPr>
                <w:sz w:val="18"/>
                <w:szCs w:val="18"/>
              </w:rPr>
              <w:t xml:space="preserve"> aset non-keuangan</w:t>
            </w:r>
            <w:r w:rsidR="00C25313">
              <w:rPr>
                <w:sz w:val="18"/>
                <w:szCs w:val="18"/>
              </w:rPr>
              <w:t>,</w:t>
            </w:r>
            <w:r w:rsidRPr="00BB7A83">
              <w:rPr>
                <w:sz w:val="18"/>
                <w:szCs w:val="18"/>
              </w:rPr>
              <w:t xml:space="preserve"> penggunaan tertinggi dan terbaik dari aset (</w:t>
            </w:r>
            <w:r w:rsidRPr="00BB7A83">
              <w:rPr>
                <w:i/>
                <w:sz w:val="18"/>
                <w:szCs w:val="18"/>
              </w:rPr>
              <w:t>highest and best use</w:t>
            </w:r>
            <w:r w:rsidRPr="00BB7A83">
              <w:rPr>
                <w:sz w:val="18"/>
                <w:szCs w:val="18"/>
              </w:rPr>
              <w:t>) dan apakah aset tersebut digunakan dalam kombinasi dengan aset lainnya atau secara berdiri sendiri (</w:t>
            </w:r>
            <w:r w:rsidRPr="00BB7A83">
              <w:rPr>
                <w:i/>
                <w:sz w:val="18"/>
                <w:szCs w:val="18"/>
              </w:rPr>
              <w:t>standing alone</w:t>
            </w:r>
            <w:r w:rsidRPr="00BB7A83">
              <w:rPr>
                <w:sz w:val="18"/>
                <w:szCs w:val="18"/>
              </w:rPr>
              <w:t>).</w:t>
            </w:r>
          </w:p>
        </w:tc>
        <w:tc>
          <w:tcPr>
            <w:tcW w:w="2499" w:type="pct"/>
            <w:tcBorders>
              <w:top w:val="nil"/>
              <w:left w:val="nil"/>
              <w:bottom w:val="nil"/>
              <w:right w:val="nil"/>
            </w:tcBorders>
          </w:tcPr>
          <w:p w14:paraId="46741772" w14:textId="58683C68" w:rsidR="001D4D59" w:rsidRPr="00BB7A83" w:rsidRDefault="001D4D59" w:rsidP="00070D1F">
            <w:pPr>
              <w:pStyle w:val="ListParagraph"/>
              <w:numPr>
                <w:ilvl w:val="0"/>
                <w:numId w:val="214"/>
              </w:numPr>
              <w:tabs>
                <w:tab w:val="left" w:pos="5590"/>
                <w:tab w:val="right" w:pos="7620"/>
                <w:tab w:val="right" w:pos="9460"/>
                <w:tab w:val="right" w:pos="10080"/>
              </w:tabs>
              <w:ind w:right="-57"/>
              <w:jc w:val="both"/>
              <w:rPr>
                <w:bCs w:val="0"/>
                <w:i/>
                <w:sz w:val="18"/>
                <w:szCs w:val="18"/>
              </w:rPr>
            </w:pPr>
            <w:proofErr w:type="gramStart"/>
            <w:r w:rsidRPr="00BB7A83">
              <w:rPr>
                <w:i/>
                <w:sz w:val="18"/>
                <w:szCs w:val="18"/>
              </w:rPr>
              <w:t>for</w:t>
            </w:r>
            <w:proofErr w:type="gramEnd"/>
            <w:r w:rsidRPr="00BB7A83">
              <w:rPr>
                <w:i/>
                <w:sz w:val="18"/>
                <w:szCs w:val="18"/>
              </w:rPr>
              <w:t xml:space="preserve"> a non-financial asset</w:t>
            </w:r>
            <w:r w:rsidR="00C25313">
              <w:rPr>
                <w:i/>
                <w:sz w:val="18"/>
                <w:szCs w:val="18"/>
              </w:rPr>
              <w:t>,</w:t>
            </w:r>
            <w:r w:rsidRPr="00BB7A83">
              <w:rPr>
                <w:i/>
                <w:sz w:val="18"/>
                <w:szCs w:val="18"/>
              </w:rPr>
              <w:t xml:space="preserve"> the highest and best use of the asset and whether the asset is used in combination with other asset or a stand-alone basis.</w:t>
            </w:r>
          </w:p>
        </w:tc>
      </w:tr>
      <w:tr w:rsidR="001D4D59" w:rsidRPr="00DA22B2" w14:paraId="76E1AC5C" w14:textId="77777777" w:rsidTr="00D75D5C">
        <w:trPr>
          <w:trHeight w:val="20"/>
        </w:trPr>
        <w:tc>
          <w:tcPr>
            <w:tcW w:w="2501" w:type="pct"/>
            <w:tcBorders>
              <w:top w:val="nil"/>
              <w:left w:val="nil"/>
              <w:bottom w:val="nil"/>
              <w:right w:val="nil"/>
            </w:tcBorders>
          </w:tcPr>
          <w:p w14:paraId="16C22394" w14:textId="7CEF4DB0" w:rsidR="001D4D59" w:rsidRPr="00DA22B2" w:rsidRDefault="001D4D59" w:rsidP="00070D1F">
            <w:pPr>
              <w:pStyle w:val="ListParagraph"/>
              <w:numPr>
                <w:ilvl w:val="0"/>
                <w:numId w:val="214"/>
              </w:numPr>
              <w:ind w:left="884" w:right="-57" w:hanging="283"/>
              <w:jc w:val="both"/>
              <w:rPr>
                <w:bCs w:val="0"/>
                <w:sz w:val="18"/>
                <w:szCs w:val="18"/>
              </w:rPr>
            </w:pPr>
            <w:proofErr w:type="gramStart"/>
            <w:r w:rsidRPr="00DA22B2">
              <w:rPr>
                <w:sz w:val="18"/>
                <w:szCs w:val="18"/>
              </w:rPr>
              <w:t>teknik</w:t>
            </w:r>
            <w:proofErr w:type="gramEnd"/>
            <w:r w:rsidRPr="00DA22B2">
              <w:rPr>
                <w:sz w:val="18"/>
                <w:szCs w:val="18"/>
              </w:rPr>
              <w:t xml:space="preserve"> penilaian yang sesuai untuk pengukuran</w:t>
            </w:r>
            <w:r w:rsidR="00C25313">
              <w:rPr>
                <w:sz w:val="18"/>
                <w:szCs w:val="18"/>
              </w:rPr>
              <w:t>,</w:t>
            </w:r>
            <w:r w:rsidRPr="00DA22B2">
              <w:rPr>
                <w:sz w:val="18"/>
                <w:szCs w:val="18"/>
              </w:rPr>
              <w:t xml:space="preserve">  mempertimbangkan ketersediaan data yang dapat digunakan untuk mengembangkan input yang mewakili asumsi-asumsi  yang mana pelaku pasar (</w:t>
            </w:r>
            <w:r w:rsidRPr="00DA22B2">
              <w:rPr>
                <w:i/>
                <w:sz w:val="18"/>
                <w:szCs w:val="18"/>
              </w:rPr>
              <w:t>market participants</w:t>
            </w:r>
            <w:r w:rsidRPr="00DA22B2">
              <w:rPr>
                <w:sz w:val="18"/>
                <w:szCs w:val="18"/>
              </w:rPr>
              <w:t>) akan menggunakan ketika menentukan harga aset atau liabilitas dan hirarki tingkat nilai wajar di mana input yang dikategorikan.</w:t>
            </w:r>
          </w:p>
        </w:tc>
        <w:tc>
          <w:tcPr>
            <w:tcW w:w="2499" w:type="pct"/>
            <w:tcBorders>
              <w:top w:val="nil"/>
              <w:left w:val="nil"/>
              <w:bottom w:val="nil"/>
              <w:right w:val="nil"/>
            </w:tcBorders>
          </w:tcPr>
          <w:p w14:paraId="30DBAF52" w14:textId="2E653D0B" w:rsidR="001D4D59" w:rsidRPr="00DA22B2" w:rsidRDefault="001D4D59" w:rsidP="00070D1F">
            <w:pPr>
              <w:pStyle w:val="ListParagraph"/>
              <w:numPr>
                <w:ilvl w:val="0"/>
                <w:numId w:val="215"/>
              </w:numPr>
              <w:tabs>
                <w:tab w:val="left" w:pos="5590"/>
                <w:tab w:val="right" w:pos="7620"/>
                <w:tab w:val="right" w:pos="9460"/>
                <w:tab w:val="right" w:pos="10080"/>
              </w:tabs>
              <w:ind w:right="-57"/>
              <w:jc w:val="both"/>
              <w:rPr>
                <w:bCs w:val="0"/>
                <w:i/>
                <w:sz w:val="18"/>
                <w:szCs w:val="18"/>
              </w:rPr>
            </w:pPr>
            <w:proofErr w:type="gramStart"/>
            <w:r w:rsidRPr="00DA22B2">
              <w:rPr>
                <w:i/>
                <w:sz w:val="18"/>
                <w:szCs w:val="18"/>
              </w:rPr>
              <w:t>the</w:t>
            </w:r>
            <w:proofErr w:type="gramEnd"/>
            <w:r w:rsidRPr="00DA22B2">
              <w:rPr>
                <w:i/>
                <w:sz w:val="18"/>
                <w:szCs w:val="18"/>
              </w:rPr>
              <w:t xml:space="preserve"> valuation technique(s) appropriate for the measurement</w:t>
            </w:r>
            <w:r w:rsidR="00C25313">
              <w:rPr>
                <w:i/>
                <w:sz w:val="18"/>
                <w:szCs w:val="18"/>
              </w:rPr>
              <w:t>,</w:t>
            </w:r>
            <w:r w:rsidRPr="00DA22B2">
              <w:rPr>
                <w:i/>
                <w:sz w:val="18"/>
                <w:szCs w:val="18"/>
              </w:rPr>
              <w:t xml:space="preserve"> considering the availability of data with which to develop inputs that represent the assumptions that market participants would use when pricing the asset or liability and the level of the fair value hierarchy within which the inputs are categorized.</w:t>
            </w:r>
          </w:p>
        </w:tc>
      </w:tr>
      <w:tr w:rsidR="001D4D59" w:rsidRPr="00DA22B2" w14:paraId="4E2288D6" w14:textId="77777777" w:rsidTr="00D75D5C">
        <w:trPr>
          <w:trHeight w:val="20"/>
        </w:trPr>
        <w:tc>
          <w:tcPr>
            <w:tcW w:w="2501" w:type="pct"/>
            <w:tcBorders>
              <w:top w:val="nil"/>
              <w:left w:val="nil"/>
              <w:bottom w:val="nil"/>
              <w:right w:val="nil"/>
            </w:tcBorders>
          </w:tcPr>
          <w:p w14:paraId="4A9E41E1" w14:textId="77777777" w:rsidR="001D4D59" w:rsidRPr="00DA22B2" w:rsidRDefault="001D4D59" w:rsidP="003903E3">
            <w:pPr>
              <w:ind w:left="522" w:right="-57"/>
              <w:jc w:val="both"/>
              <w:rPr>
                <w:bCs w:val="0"/>
                <w:sz w:val="18"/>
                <w:szCs w:val="18"/>
              </w:rPr>
            </w:pPr>
          </w:p>
        </w:tc>
        <w:tc>
          <w:tcPr>
            <w:tcW w:w="2499" w:type="pct"/>
            <w:tcBorders>
              <w:top w:val="nil"/>
              <w:left w:val="nil"/>
              <w:bottom w:val="nil"/>
              <w:right w:val="nil"/>
            </w:tcBorders>
          </w:tcPr>
          <w:p w14:paraId="34522357" w14:textId="77777777" w:rsidR="001D4D59" w:rsidRPr="00DA22B2"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B8576F" w14:paraId="026BB02E" w14:textId="77777777" w:rsidTr="00D75D5C">
        <w:trPr>
          <w:trHeight w:val="20"/>
        </w:trPr>
        <w:tc>
          <w:tcPr>
            <w:tcW w:w="2501" w:type="pct"/>
            <w:tcBorders>
              <w:top w:val="nil"/>
              <w:left w:val="nil"/>
              <w:bottom w:val="nil"/>
              <w:right w:val="nil"/>
            </w:tcBorders>
          </w:tcPr>
          <w:p w14:paraId="1DE8577B" w14:textId="77777777" w:rsidR="001D4D59" w:rsidRPr="00DA22B2" w:rsidRDefault="001D4D59" w:rsidP="003903E3">
            <w:pPr>
              <w:ind w:left="522" w:right="-57"/>
              <w:jc w:val="both"/>
              <w:rPr>
                <w:b/>
                <w:bCs w:val="0"/>
                <w:sz w:val="18"/>
                <w:szCs w:val="18"/>
              </w:rPr>
            </w:pPr>
            <w:r w:rsidRPr="00DA22B2">
              <w:rPr>
                <w:b/>
                <w:sz w:val="18"/>
                <w:szCs w:val="18"/>
              </w:rPr>
              <w:t>Pengukuran</w:t>
            </w:r>
          </w:p>
        </w:tc>
        <w:tc>
          <w:tcPr>
            <w:tcW w:w="2499" w:type="pct"/>
            <w:tcBorders>
              <w:top w:val="nil"/>
              <w:left w:val="nil"/>
              <w:bottom w:val="nil"/>
              <w:right w:val="nil"/>
            </w:tcBorders>
          </w:tcPr>
          <w:p w14:paraId="7570C613" w14:textId="77777777" w:rsidR="001D4D59" w:rsidRPr="00DA22B2" w:rsidRDefault="001D4D59" w:rsidP="003903E3">
            <w:pPr>
              <w:tabs>
                <w:tab w:val="left" w:pos="5590"/>
                <w:tab w:val="right" w:pos="7620"/>
                <w:tab w:val="right" w:pos="9460"/>
                <w:tab w:val="right" w:pos="10080"/>
              </w:tabs>
              <w:ind w:left="704" w:right="-57"/>
              <w:jc w:val="both"/>
              <w:rPr>
                <w:b/>
                <w:bCs w:val="0"/>
                <w:i/>
                <w:sz w:val="18"/>
                <w:szCs w:val="18"/>
              </w:rPr>
            </w:pPr>
            <w:r w:rsidRPr="00DA22B2">
              <w:rPr>
                <w:b/>
                <w:i/>
                <w:sz w:val="18"/>
                <w:szCs w:val="18"/>
              </w:rPr>
              <w:t>Measurement</w:t>
            </w:r>
          </w:p>
        </w:tc>
      </w:tr>
      <w:tr w:rsidR="008252E1" w:rsidRPr="00B8576F" w14:paraId="1D0335F0" w14:textId="77777777" w:rsidTr="00D75D5C">
        <w:trPr>
          <w:trHeight w:val="20"/>
        </w:trPr>
        <w:tc>
          <w:tcPr>
            <w:tcW w:w="2501" w:type="pct"/>
            <w:tcBorders>
              <w:top w:val="nil"/>
              <w:left w:val="nil"/>
              <w:bottom w:val="nil"/>
              <w:right w:val="nil"/>
            </w:tcBorders>
          </w:tcPr>
          <w:p w14:paraId="4A96E541" w14:textId="77777777" w:rsidR="008252E1" w:rsidRPr="00B8576F" w:rsidRDefault="008252E1" w:rsidP="003903E3">
            <w:pPr>
              <w:ind w:left="522" w:right="-57"/>
              <w:jc w:val="both"/>
              <w:rPr>
                <w:sz w:val="18"/>
                <w:szCs w:val="18"/>
                <w:highlight w:val="cyan"/>
              </w:rPr>
            </w:pPr>
          </w:p>
        </w:tc>
        <w:tc>
          <w:tcPr>
            <w:tcW w:w="2499" w:type="pct"/>
            <w:tcBorders>
              <w:top w:val="nil"/>
              <w:left w:val="nil"/>
              <w:bottom w:val="nil"/>
              <w:right w:val="nil"/>
            </w:tcBorders>
          </w:tcPr>
          <w:p w14:paraId="19E5B952" w14:textId="77777777" w:rsidR="008252E1" w:rsidRPr="00B8576F" w:rsidRDefault="008252E1" w:rsidP="003903E3">
            <w:pPr>
              <w:tabs>
                <w:tab w:val="left" w:pos="5590"/>
                <w:tab w:val="right" w:pos="7620"/>
                <w:tab w:val="right" w:pos="9460"/>
                <w:tab w:val="right" w:pos="10080"/>
              </w:tabs>
              <w:ind w:left="704" w:right="-57"/>
              <w:jc w:val="both"/>
              <w:rPr>
                <w:i/>
                <w:sz w:val="18"/>
                <w:szCs w:val="18"/>
                <w:highlight w:val="cyan"/>
              </w:rPr>
            </w:pPr>
          </w:p>
        </w:tc>
      </w:tr>
      <w:tr w:rsidR="001D4D59" w:rsidRPr="00DA22B2" w14:paraId="7224DA0C" w14:textId="77777777" w:rsidTr="00D75D5C">
        <w:trPr>
          <w:trHeight w:val="20"/>
        </w:trPr>
        <w:tc>
          <w:tcPr>
            <w:tcW w:w="2501" w:type="pct"/>
            <w:tcBorders>
              <w:top w:val="nil"/>
              <w:left w:val="nil"/>
              <w:bottom w:val="nil"/>
              <w:right w:val="nil"/>
            </w:tcBorders>
          </w:tcPr>
          <w:p w14:paraId="78529020" w14:textId="77777777" w:rsidR="001D4D59" w:rsidRPr="00DA22B2" w:rsidRDefault="001D4D59" w:rsidP="003903E3">
            <w:pPr>
              <w:ind w:left="522" w:right="-57"/>
              <w:jc w:val="both"/>
              <w:rPr>
                <w:bCs w:val="0"/>
                <w:sz w:val="18"/>
                <w:szCs w:val="18"/>
              </w:rPr>
            </w:pPr>
            <w:r w:rsidRPr="00DA22B2">
              <w:rPr>
                <w:sz w:val="18"/>
                <w:szCs w:val="18"/>
              </w:rPr>
              <w:t>Kelompok usaha mempertimbangkan hal-hal berikut pada pengukuran nilai wajar:</w:t>
            </w:r>
          </w:p>
        </w:tc>
        <w:tc>
          <w:tcPr>
            <w:tcW w:w="2499" w:type="pct"/>
            <w:tcBorders>
              <w:top w:val="nil"/>
              <w:left w:val="nil"/>
              <w:bottom w:val="nil"/>
              <w:right w:val="nil"/>
            </w:tcBorders>
          </w:tcPr>
          <w:p w14:paraId="12701D68" w14:textId="77777777" w:rsidR="001D4D59" w:rsidRPr="00DA22B2" w:rsidRDefault="001D4D59" w:rsidP="003903E3">
            <w:pPr>
              <w:tabs>
                <w:tab w:val="left" w:pos="5590"/>
                <w:tab w:val="right" w:pos="7620"/>
                <w:tab w:val="right" w:pos="9460"/>
                <w:tab w:val="right" w:pos="10080"/>
              </w:tabs>
              <w:ind w:left="704" w:right="-57"/>
              <w:jc w:val="both"/>
              <w:rPr>
                <w:bCs w:val="0"/>
                <w:i/>
                <w:sz w:val="18"/>
                <w:szCs w:val="18"/>
              </w:rPr>
            </w:pPr>
            <w:r w:rsidRPr="00DA22B2">
              <w:rPr>
                <w:i/>
                <w:sz w:val="18"/>
                <w:szCs w:val="18"/>
              </w:rPr>
              <w:t>The group considers the following on the measurement of fair value:</w:t>
            </w:r>
          </w:p>
        </w:tc>
      </w:tr>
      <w:tr w:rsidR="000629D6" w:rsidRPr="00DA22B2" w14:paraId="48275F10" w14:textId="77777777" w:rsidTr="00D75D5C">
        <w:trPr>
          <w:trHeight w:val="20"/>
        </w:trPr>
        <w:tc>
          <w:tcPr>
            <w:tcW w:w="2501" w:type="pct"/>
            <w:tcBorders>
              <w:top w:val="nil"/>
              <w:left w:val="nil"/>
              <w:bottom w:val="nil"/>
              <w:right w:val="nil"/>
            </w:tcBorders>
          </w:tcPr>
          <w:p w14:paraId="7B9F6351" w14:textId="77777777" w:rsidR="000629D6" w:rsidRPr="00DA22B2" w:rsidRDefault="000629D6" w:rsidP="003903E3">
            <w:pPr>
              <w:ind w:left="522" w:right="-57"/>
              <w:jc w:val="both"/>
              <w:rPr>
                <w:sz w:val="18"/>
                <w:szCs w:val="18"/>
              </w:rPr>
            </w:pPr>
          </w:p>
        </w:tc>
        <w:tc>
          <w:tcPr>
            <w:tcW w:w="2499" w:type="pct"/>
            <w:tcBorders>
              <w:top w:val="nil"/>
              <w:left w:val="nil"/>
              <w:bottom w:val="nil"/>
              <w:right w:val="nil"/>
            </w:tcBorders>
          </w:tcPr>
          <w:p w14:paraId="2CB21DA0" w14:textId="77777777" w:rsidR="000629D6" w:rsidRPr="00DA22B2" w:rsidRDefault="000629D6" w:rsidP="003903E3">
            <w:pPr>
              <w:tabs>
                <w:tab w:val="left" w:pos="5590"/>
                <w:tab w:val="right" w:pos="7620"/>
                <w:tab w:val="right" w:pos="9460"/>
                <w:tab w:val="right" w:pos="10080"/>
              </w:tabs>
              <w:ind w:left="704" w:right="-57"/>
              <w:jc w:val="both"/>
              <w:rPr>
                <w:i/>
                <w:sz w:val="18"/>
                <w:szCs w:val="18"/>
              </w:rPr>
            </w:pPr>
          </w:p>
        </w:tc>
      </w:tr>
      <w:tr w:rsidR="001D4D59" w:rsidRPr="00DA22B2" w14:paraId="10953BB9" w14:textId="77777777" w:rsidTr="00D75D5C">
        <w:trPr>
          <w:trHeight w:val="20"/>
        </w:trPr>
        <w:tc>
          <w:tcPr>
            <w:tcW w:w="2501" w:type="pct"/>
            <w:tcBorders>
              <w:top w:val="nil"/>
              <w:left w:val="nil"/>
              <w:bottom w:val="nil"/>
              <w:right w:val="nil"/>
            </w:tcBorders>
          </w:tcPr>
          <w:p w14:paraId="0ACDF234" w14:textId="442EB731" w:rsidR="001D4D59" w:rsidRPr="00DA22B2" w:rsidRDefault="001D4D59" w:rsidP="00070D1F">
            <w:pPr>
              <w:numPr>
                <w:ilvl w:val="0"/>
                <w:numId w:val="223"/>
              </w:numPr>
              <w:tabs>
                <w:tab w:val="clear" w:pos="720"/>
                <w:tab w:val="num" w:pos="884"/>
              </w:tabs>
              <w:ind w:left="884" w:right="-57" w:hanging="283"/>
              <w:jc w:val="both"/>
              <w:rPr>
                <w:bCs w:val="0"/>
                <w:sz w:val="18"/>
                <w:szCs w:val="18"/>
              </w:rPr>
            </w:pPr>
            <w:r w:rsidRPr="00DA22B2">
              <w:rPr>
                <w:sz w:val="18"/>
                <w:szCs w:val="18"/>
              </w:rPr>
              <w:t>memperhitungkan karakteristik aset atau liabilitas jika pelaku pasar (</w:t>
            </w:r>
            <w:r w:rsidRPr="00DA22B2">
              <w:rPr>
                <w:i/>
                <w:sz w:val="18"/>
                <w:szCs w:val="18"/>
              </w:rPr>
              <w:t>market participants</w:t>
            </w:r>
            <w:r w:rsidRPr="00DA22B2">
              <w:rPr>
                <w:sz w:val="18"/>
                <w:szCs w:val="18"/>
              </w:rPr>
              <w:t>) akan memperhitungkan karakteristik tersebut ketika menentukan harga aset atau liabilitas pada tanggal pengukuran (misalnya kondisi dan lokasi aset dan pembatasan</w:t>
            </w:r>
            <w:r w:rsidR="00870FD0">
              <w:rPr>
                <w:sz w:val="18"/>
                <w:szCs w:val="18"/>
              </w:rPr>
              <w:t>.</w:t>
            </w:r>
            <w:r w:rsidRPr="00DA22B2">
              <w:rPr>
                <w:sz w:val="18"/>
                <w:szCs w:val="18"/>
              </w:rPr>
              <w:t xml:space="preserve"> jika ada</w:t>
            </w:r>
            <w:r w:rsidR="00C25313">
              <w:rPr>
                <w:sz w:val="18"/>
                <w:szCs w:val="18"/>
              </w:rPr>
              <w:t>,</w:t>
            </w:r>
            <w:r w:rsidRPr="00DA22B2">
              <w:rPr>
                <w:sz w:val="18"/>
                <w:szCs w:val="18"/>
              </w:rPr>
              <w:t xml:space="preserve"> atas penjualan dan penggunaan aset);</w:t>
            </w:r>
          </w:p>
        </w:tc>
        <w:tc>
          <w:tcPr>
            <w:tcW w:w="2499" w:type="pct"/>
            <w:tcBorders>
              <w:top w:val="nil"/>
              <w:left w:val="nil"/>
              <w:bottom w:val="nil"/>
              <w:right w:val="nil"/>
            </w:tcBorders>
          </w:tcPr>
          <w:p w14:paraId="19D1617A" w14:textId="05FCB5E1" w:rsidR="001D4D59" w:rsidRPr="00DA22B2" w:rsidRDefault="001D4D59" w:rsidP="00070D1F">
            <w:pPr>
              <w:numPr>
                <w:ilvl w:val="0"/>
                <w:numId w:val="225"/>
              </w:numPr>
              <w:tabs>
                <w:tab w:val="clear" w:pos="720"/>
                <w:tab w:val="left" w:pos="5590"/>
                <w:tab w:val="right" w:pos="7620"/>
                <w:tab w:val="right" w:pos="9460"/>
                <w:tab w:val="right" w:pos="10080"/>
              </w:tabs>
              <w:ind w:left="1074" w:right="-57" w:hanging="364"/>
              <w:jc w:val="both"/>
              <w:rPr>
                <w:bCs w:val="0"/>
                <w:i/>
                <w:sz w:val="18"/>
                <w:szCs w:val="18"/>
              </w:rPr>
            </w:pPr>
            <w:r w:rsidRPr="00DA22B2">
              <w:rPr>
                <w:i/>
                <w:sz w:val="18"/>
                <w:szCs w:val="18"/>
              </w:rPr>
              <w:t>taking  into account the characteristics of the asset or liability being measured that a market participant would take into account when pricing the asset or liability at measurement date (e.g</w:t>
            </w:r>
            <w:r w:rsidR="00C25313">
              <w:rPr>
                <w:i/>
                <w:sz w:val="18"/>
                <w:szCs w:val="18"/>
              </w:rPr>
              <w:t>,</w:t>
            </w:r>
            <w:r w:rsidRPr="00DA22B2">
              <w:rPr>
                <w:i/>
                <w:sz w:val="18"/>
                <w:szCs w:val="18"/>
              </w:rPr>
              <w:t xml:space="preserve"> the condition and location of the asset and any restrictions on the sale and use of the asset);</w:t>
            </w:r>
          </w:p>
        </w:tc>
      </w:tr>
      <w:tr w:rsidR="001D4D59" w:rsidRPr="000379AE" w14:paraId="1E3AEF7F" w14:textId="77777777" w:rsidTr="00D75D5C">
        <w:trPr>
          <w:trHeight w:val="20"/>
        </w:trPr>
        <w:tc>
          <w:tcPr>
            <w:tcW w:w="2501" w:type="pct"/>
            <w:tcBorders>
              <w:top w:val="nil"/>
              <w:left w:val="nil"/>
              <w:bottom w:val="nil"/>
              <w:right w:val="nil"/>
            </w:tcBorders>
          </w:tcPr>
          <w:p w14:paraId="4820D6BD" w14:textId="77777777" w:rsidR="001D4D59" w:rsidRPr="00DA22B2" w:rsidRDefault="001D4D59" w:rsidP="00070D1F">
            <w:pPr>
              <w:numPr>
                <w:ilvl w:val="0"/>
                <w:numId w:val="224"/>
              </w:numPr>
              <w:tabs>
                <w:tab w:val="clear" w:pos="720"/>
                <w:tab w:val="num" w:pos="1026"/>
              </w:tabs>
              <w:ind w:left="884" w:right="-57" w:hanging="283"/>
              <w:jc w:val="both"/>
              <w:rPr>
                <w:bCs w:val="0"/>
                <w:sz w:val="18"/>
                <w:szCs w:val="18"/>
              </w:rPr>
            </w:pPr>
            <w:r w:rsidRPr="00DA22B2">
              <w:rPr>
                <w:sz w:val="18"/>
                <w:szCs w:val="18"/>
              </w:rPr>
              <w:t>pengukuran  nilai  wajar  mengasumsikan  bahwa  aset  atau liabilitas dipertukarkan dalam suatu transaksi teratur (</w:t>
            </w:r>
            <w:r w:rsidRPr="00DA22B2">
              <w:rPr>
                <w:i/>
                <w:sz w:val="18"/>
                <w:szCs w:val="18"/>
              </w:rPr>
              <w:t>orderly transaction</w:t>
            </w:r>
            <w:r w:rsidRPr="00DA22B2">
              <w:rPr>
                <w:sz w:val="18"/>
                <w:szCs w:val="18"/>
              </w:rPr>
              <w:t>) antara pelaku pasar  (</w:t>
            </w:r>
            <w:r w:rsidRPr="00DA22B2">
              <w:rPr>
                <w:i/>
                <w:sz w:val="18"/>
                <w:szCs w:val="18"/>
              </w:rPr>
              <w:t>market participants</w:t>
            </w:r>
            <w:r w:rsidRPr="00DA22B2">
              <w:rPr>
                <w:sz w:val="18"/>
                <w:szCs w:val="18"/>
              </w:rPr>
              <w:t>) untuk  menjual  aset  atau  mengalihkan  liabilitas  pada  tanggal pengukuran berdasarkan kondisi pasar saat ini;</w:t>
            </w:r>
          </w:p>
        </w:tc>
        <w:tc>
          <w:tcPr>
            <w:tcW w:w="2499" w:type="pct"/>
            <w:tcBorders>
              <w:top w:val="nil"/>
              <w:left w:val="nil"/>
              <w:bottom w:val="nil"/>
              <w:right w:val="nil"/>
            </w:tcBorders>
          </w:tcPr>
          <w:p w14:paraId="2EDAE2C8" w14:textId="77777777" w:rsidR="001D4D59" w:rsidRPr="00DA22B2" w:rsidRDefault="001D4D59" w:rsidP="00070D1F">
            <w:pPr>
              <w:numPr>
                <w:ilvl w:val="0"/>
                <w:numId w:val="226"/>
              </w:numPr>
              <w:tabs>
                <w:tab w:val="clear" w:pos="720"/>
                <w:tab w:val="left" w:pos="5590"/>
                <w:tab w:val="right" w:pos="7620"/>
                <w:tab w:val="right" w:pos="9460"/>
                <w:tab w:val="right" w:pos="10080"/>
              </w:tabs>
              <w:ind w:left="1088" w:right="-57" w:hanging="425"/>
              <w:jc w:val="both"/>
              <w:rPr>
                <w:bCs w:val="0"/>
                <w:i/>
                <w:sz w:val="18"/>
                <w:szCs w:val="18"/>
              </w:rPr>
            </w:pPr>
            <w:r w:rsidRPr="00DA22B2">
              <w:rPr>
                <w:i/>
                <w:sz w:val="18"/>
                <w:szCs w:val="18"/>
              </w:rPr>
              <w:t>fair value measurement assumes an orderly transaction between market participants at the measurement date under current market conditions;</w:t>
            </w:r>
          </w:p>
        </w:tc>
      </w:tr>
    </w:tbl>
    <w:p w14:paraId="29DF7029" w14:textId="77777777" w:rsidR="001D4D59" w:rsidRDefault="001D4D59"/>
    <w:p w14:paraId="4C416285" w14:textId="77777777" w:rsidR="00497B24" w:rsidRDefault="00497B24">
      <w:pPr>
        <w:rPr>
          <w:sz w:val="6"/>
          <w:szCs w:val="6"/>
        </w:rPr>
      </w:pPr>
    </w:p>
    <w:p w14:paraId="036D6C20" w14:textId="17D9B901" w:rsidR="00497B24" w:rsidRDefault="00497B24">
      <w:pPr>
        <w:rPr>
          <w:sz w:val="6"/>
          <w:szCs w:val="6"/>
        </w:rPr>
      </w:pPr>
      <w:r>
        <w:rPr>
          <w:sz w:val="6"/>
          <w:szCs w:val="6"/>
        </w:rPr>
        <w:br w:type="page"/>
      </w:r>
    </w:p>
    <w:tbl>
      <w:tblPr>
        <w:tblW w:w="9197" w:type="dxa"/>
        <w:tblInd w:w="392" w:type="dxa"/>
        <w:tblLayout w:type="fixed"/>
        <w:tblLook w:val="0000" w:firstRow="0" w:lastRow="0" w:firstColumn="0" w:lastColumn="0" w:noHBand="0" w:noVBand="0"/>
      </w:tblPr>
      <w:tblGrid>
        <w:gridCol w:w="4598"/>
        <w:gridCol w:w="4599"/>
      </w:tblGrid>
      <w:tr w:rsidR="001D4D59" w:rsidRPr="00DA22B2" w14:paraId="4CF456D3" w14:textId="77777777" w:rsidTr="00B8576F">
        <w:trPr>
          <w:trHeight w:val="20"/>
        </w:trPr>
        <w:tc>
          <w:tcPr>
            <w:tcW w:w="4598" w:type="dxa"/>
            <w:tcBorders>
              <w:top w:val="nil"/>
              <w:left w:val="nil"/>
              <w:bottom w:val="nil"/>
              <w:right w:val="nil"/>
            </w:tcBorders>
          </w:tcPr>
          <w:p w14:paraId="44182224" w14:textId="646746CC" w:rsidR="001D4D59" w:rsidRPr="00DA22B2" w:rsidRDefault="001D4D59" w:rsidP="00070D1F">
            <w:pPr>
              <w:numPr>
                <w:ilvl w:val="0"/>
                <w:numId w:val="226"/>
              </w:numPr>
              <w:ind w:left="317" w:right="-57" w:hanging="317"/>
              <w:jc w:val="both"/>
              <w:rPr>
                <w:b/>
                <w:bCs w:val="0"/>
                <w:sz w:val="18"/>
                <w:szCs w:val="18"/>
              </w:rPr>
            </w:pPr>
            <w:r w:rsidRPr="00DA22B2">
              <w:rPr>
                <w:b/>
                <w:sz w:val="18"/>
                <w:szCs w:val="18"/>
              </w:rPr>
              <w:lastRenderedPageBreak/>
              <w:t>IKHTISAR KEBIJAKAN AKUNTANSI YANG PENTING</w:t>
            </w:r>
            <w:r w:rsidR="000629D6" w:rsidRPr="00DA22B2">
              <w:rPr>
                <w:b/>
                <w:sz w:val="18"/>
                <w:szCs w:val="18"/>
              </w:rPr>
              <w:t xml:space="preserve"> </w:t>
            </w:r>
            <w:r w:rsidR="005B720B" w:rsidRPr="00DA22B2">
              <w:rPr>
                <w:b/>
                <w:sz w:val="18"/>
                <w:szCs w:val="18"/>
              </w:rPr>
              <w:t>-</w:t>
            </w:r>
            <w:r w:rsidR="000629D6" w:rsidRPr="00DA22B2">
              <w:rPr>
                <w:sz w:val="18"/>
                <w:szCs w:val="18"/>
              </w:rPr>
              <w:t xml:space="preserve"> </w:t>
            </w:r>
            <w:r w:rsidR="000629D6" w:rsidRPr="00DA22B2">
              <w:rPr>
                <w:b/>
                <w:sz w:val="18"/>
                <w:szCs w:val="18"/>
              </w:rPr>
              <w:t>L</w:t>
            </w:r>
            <w:r w:rsidRPr="00DA22B2">
              <w:rPr>
                <w:b/>
                <w:sz w:val="18"/>
                <w:szCs w:val="18"/>
              </w:rPr>
              <w:t>anjutan</w:t>
            </w:r>
          </w:p>
        </w:tc>
        <w:tc>
          <w:tcPr>
            <w:tcW w:w="4598" w:type="dxa"/>
            <w:tcBorders>
              <w:top w:val="nil"/>
              <w:left w:val="nil"/>
              <w:bottom w:val="nil"/>
              <w:right w:val="nil"/>
            </w:tcBorders>
          </w:tcPr>
          <w:p w14:paraId="6CE29ED6" w14:textId="1A171148" w:rsidR="001D4D59" w:rsidRPr="00DA22B2" w:rsidRDefault="001D4D59" w:rsidP="00070D1F">
            <w:pPr>
              <w:numPr>
                <w:ilvl w:val="0"/>
                <w:numId w:val="229"/>
              </w:numPr>
              <w:tabs>
                <w:tab w:val="clear" w:pos="720"/>
                <w:tab w:val="num" w:pos="333"/>
                <w:tab w:val="left" w:pos="5590"/>
                <w:tab w:val="right" w:pos="7620"/>
                <w:tab w:val="right" w:pos="9460"/>
                <w:tab w:val="right" w:pos="10080"/>
              </w:tabs>
              <w:ind w:left="333" w:right="-57" w:hanging="333"/>
              <w:jc w:val="both"/>
              <w:rPr>
                <w:b/>
                <w:bCs w:val="0"/>
                <w:i/>
                <w:sz w:val="18"/>
                <w:szCs w:val="18"/>
              </w:rPr>
            </w:pPr>
            <w:r w:rsidRPr="00DA22B2">
              <w:rPr>
                <w:b/>
                <w:i/>
                <w:sz w:val="18"/>
                <w:szCs w:val="18"/>
              </w:rPr>
              <w:t xml:space="preserve">SUMMARY OF SIGNIFICANT ACCOUNTING POLICIES </w:t>
            </w:r>
            <w:r w:rsidR="000629D6" w:rsidRPr="00DA22B2">
              <w:rPr>
                <w:b/>
                <w:i/>
                <w:sz w:val="18"/>
                <w:szCs w:val="18"/>
              </w:rPr>
              <w:t>- Continued</w:t>
            </w:r>
          </w:p>
        </w:tc>
      </w:tr>
      <w:tr w:rsidR="001D4D59" w:rsidRPr="00DA22B2" w14:paraId="45A29398" w14:textId="77777777" w:rsidTr="00B8576F">
        <w:trPr>
          <w:trHeight w:val="20"/>
        </w:trPr>
        <w:tc>
          <w:tcPr>
            <w:tcW w:w="4598" w:type="dxa"/>
            <w:tcBorders>
              <w:top w:val="nil"/>
              <w:left w:val="nil"/>
              <w:bottom w:val="nil"/>
              <w:right w:val="nil"/>
            </w:tcBorders>
          </w:tcPr>
          <w:p w14:paraId="54B3C9D2" w14:textId="77777777" w:rsidR="001D4D59" w:rsidRPr="00DA22B2" w:rsidRDefault="001D4D59" w:rsidP="003903E3">
            <w:pPr>
              <w:ind w:left="522" w:right="-57"/>
              <w:jc w:val="both"/>
              <w:rPr>
                <w:bCs w:val="0"/>
                <w:sz w:val="18"/>
                <w:szCs w:val="18"/>
              </w:rPr>
            </w:pPr>
          </w:p>
        </w:tc>
        <w:tc>
          <w:tcPr>
            <w:tcW w:w="4598" w:type="dxa"/>
            <w:tcBorders>
              <w:top w:val="nil"/>
              <w:left w:val="nil"/>
              <w:bottom w:val="nil"/>
              <w:right w:val="nil"/>
            </w:tcBorders>
          </w:tcPr>
          <w:p w14:paraId="10527015" w14:textId="77777777" w:rsidR="001D4D59" w:rsidRPr="00DA22B2"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DA22B2" w14:paraId="4073DD84" w14:textId="77777777" w:rsidTr="00B8576F">
        <w:trPr>
          <w:trHeight w:val="20"/>
        </w:trPr>
        <w:tc>
          <w:tcPr>
            <w:tcW w:w="4598" w:type="dxa"/>
            <w:tcBorders>
              <w:top w:val="nil"/>
              <w:left w:val="nil"/>
              <w:bottom w:val="nil"/>
              <w:right w:val="nil"/>
            </w:tcBorders>
          </w:tcPr>
          <w:p w14:paraId="09051061" w14:textId="256B02B2" w:rsidR="001D4D59" w:rsidRPr="00DA22B2" w:rsidRDefault="001D4D59" w:rsidP="00070D1F">
            <w:pPr>
              <w:pStyle w:val="ListParagraph"/>
              <w:numPr>
                <w:ilvl w:val="0"/>
                <w:numId w:val="227"/>
              </w:numPr>
              <w:ind w:left="601" w:right="-57" w:hanging="284"/>
              <w:jc w:val="both"/>
              <w:rPr>
                <w:b/>
                <w:bCs w:val="0"/>
                <w:sz w:val="18"/>
                <w:szCs w:val="18"/>
              </w:rPr>
            </w:pPr>
            <w:r w:rsidRPr="00DA22B2">
              <w:rPr>
                <w:b/>
                <w:sz w:val="18"/>
                <w:szCs w:val="18"/>
              </w:rPr>
              <w:t xml:space="preserve">Pengukuran Nilai Wajar </w:t>
            </w:r>
            <w:r w:rsidR="000629D6" w:rsidRPr="00DA22B2">
              <w:rPr>
                <w:b/>
                <w:sz w:val="18"/>
                <w:szCs w:val="18"/>
              </w:rPr>
              <w:t>- Lanjutan</w:t>
            </w:r>
          </w:p>
        </w:tc>
        <w:tc>
          <w:tcPr>
            <w:tcW w:w="4598" w:type="dxa"/>
            <w:tcBorders>
              <w:top w:val="nil"/>
              <w:left w:val="nil"/>
              <w:bottom w:val="nil"/>
              <w:right w:val="nil"/>
            </w:tcBorders>
          </w:tcPr>
          <w:p w14:paraId="22520AC5" w14:textId="4D0F03A0" w:rsidR="001D4D59" w:rsidRPr="00DA22B2" w:rsidRDefault="00B172E2" w:rsidP="00070D1F">
            <w:pPr>
              <w:pStyle w:val="ListParagraph"/>
              <w:numPr>
                <w:ilvl w:val="0"/>
                <w:numId w:val="228"/>
              </w:numPr>
              <w:tabs>
                <w:tab w:val="left" w:pos="5590"/>
                <w:tab w:val="right" w:pos="7620"/>
                <w:tab w:val="right" w:pos="9460"/>
                <w:tab w:val="right" w:pos="10080"/>
              </w:tabs>
              <w:ind w:left="475" w:right="-57" w:hanging="142"/>
              <w:jc w:val="both"/>
              <w:rPr>
                <w:b/>
                <w:bCs w:val="0"/>
                <w:i/>
                <w:sz w:val="18"/>
                <w:szCs w:val="18"/>
              </w:rPr>
            </w:pPr>
            <w:r w:rsidRPr="00DA22B2">
              <w:rPr>
                <w:b/>
                <w:i/>
                <w:sz w:val="18"/>
                <w:szCs w:val="18"/>
              </w:rPr>
              <w:t xml:space="preserve"> </w:t>
            </w:r>
            <w:r w:rsidR="001D4D59" w:rsidRPr="00DA22B2">
              <w:rPr>
                <w:b/>
                <w:i/>
                <w:sz w:val="18"/>
                <w:szCs w:val="18"/>
              </w:rPr>
              <w:t xml:space="preserve">Fair Value Measurement </w:t>
            </w:r>
            <w:r w:rsidR="000629D6" w:rsidRPr="00DA22B2">
              <w:rPr>
                <w:b/>
                <w:i/>
                <w:sz w:val="18"/>
                <w:szCs w:val="18"/>
              </w:rPr>
              <w:t>- Continued</w:t>
            </w:r>
          </w:p>
        </w:tc>
      </w:tr>
      <w:tr w:rsidR="001D4D59" w:rsidRPr="00DA22B2" w14:paraId="16787182" w14:textId="77777777" w:rsidTr="00B8576F">
        <w:trPr>
          <w:trHeight w:val="20"/>
        </w:trPr>
        <w:tc>
          <w:tcPr>
            <w:tcW w:w="4598" w:type="dxa"/>
            <w:tcBorders>
              <w:top w:val="nil"/>
              <w:left w:val="nil"/>
              <w:bottom w:val="nil"/>
              <w:right w:val="nil"/>
            </w:tcBorders>
          </w:tcPr>
          <w:p w14:paraId="3805E267" w14:textId="77777777" w:rsidR="001D4D59" w:rsidRPr="00DA22B2" w:rsidRDefault="001D4D59" w:rsidP="003903E3">
            <w:pPr>
              <w:ind w:left="972" w:right="-57"/>
              <w:jc w:val="both"/>
              <w:rPr>
                <w:bCs w:val="0"/>
                <w:sz w:val="18"/>
                <w:szCs w:val="18"/>
              </w:rPr>
            </w:pPr>
          </w:p>
        </w:tc>
        <w:tc>
          <w:tcPr>
            <w:tcW w:w="4598" w:type="dxa"/>
            <w:tcBorders>
              <w:top w:val="nil"/>
              <w:left w:val="nil"/>
              <w:bottom w:val="nil"/>
              <w:right w:val="nil"/>
            </w:tcBorders>
          </w:tcPr>
          <w:p w14:paraId="54CB4DE7" w14:textId="77777777" w:rsidR="001D4D59" w:rsidRPr="00DA22B2" w:rsidRDefault="001D4D59" w:rsidP="003903E3">
            <w:pPr>
              <w:tabs>
                <w:tab w:val="left" w:pos="5590"/>
                <w:tab w:val="right" w:pos="7620"/>
                <w:tab w:val="right" w:pos="9460"/>
                <w:tab w:val="right" w:pos="10080"/>
              </w:tabs>
              <w:ind w:left="1242" w:right="-57"/>
              <w:jc w:val="both"/>
              <w:rPr>
                <w:bCs w:val="0"/>
                <w:i/>
                <w:sz w:val="18"/>
                <w:szCs w:val="18"/>
              </w:rPr>
            </w:pPr>
          </w:p>
        </w:tc>
      </w:tr>
      <w:tr w:rsidR="001D4D59" w:rsidRPr="00DA22B2" w14:paraId="0780216C" w14:textId="77777777" w:rsidTr="00B8576F">
        <w:trPr>
          <w:trHeight w:val="20"/>
        </w:trPr>
        <w:tc>
          <w:tcPr>
            <w:tcW w:w="4598" w:type="dxa"/>
            <w:tcBorders>
              <w:top w:val="nil"/>
              <w:left w:val="nil"/>
              <w:bottom w:val="nil"/>
              <w:right w:val="nil"/>
            </w:tcBorders>
          </w:tcPr>
          <w:p w14:paraId="25A752DB" w14:textId="139744EA" w:rsidR="001D4D59" w:rsidRPr="00DA22B2" w:rsidRDefault="001D4D59" w:rsidP="007752E5">
            <w:pPr>
              <w:ind w:left="742" w:right="-57" w:hanging="141"/>
              <w:jc w:val="both"/>
              <w:rPr>
                <w:b/>
                <w:bCs w:val="0"/>
                <w:sz w:val="18"/>
                <w:szCs w:val="18"/>
              </w:rPr>
            </w:pPr>
            <w:r w:rsidRPr="00DA22B2">
              <w:rPr>
                <w:b/>
                <w:sz w:val="18"/>
                <w:szCs w:val="18"/>
              </w:rPr>
              <w:t xml:space="preserve">Pengukuran </w:t>
            </w:r>
            <w:r w:rsidR="007752E5" w:rsidRPr="00DA22B2">
              <w:rPr>
                <w:b/>
                <w:sz w:val="18"/>
                <w:szCs w:val="18"/>
              </w:rPr>
              <w:t>-</w:t>
            </w:r>
            <w:r w:rsidR="000629D6" w:rsidRPr="00DA22B2">
              <w:rPr>
                <w:b/>
                <w:sz w:val="18"/>
                <w:szCs w:val="18"/>
              </w:rPr>
              <w:t xml:space="preserve"> Lanjutan</w:t>
            </w:r>
          </w:p>
        </w:tc>
        <w:tc>
          <w:tcPr>
            <w:tcW w:w="4598" w:type="dxa"/>
            <w:tcBorders>
              <w:top w:val="nil"/>
              <w:left w:val="nil"/>
              <w:bottom w:val="nil"/>
              <w:right w:val="nil"/>
            </w:tcBorders>
          </w:tcPr>
          <w:p w14:paraId="1F22721A" w14:textId="5E8F92F3" w:rsidR="001D4D59" w:rsidRPr="00DA22B2" w:rsidRDefault="001D4D59" w:rsidP="00A036F7">
            <w:pPr>
              <w:tabs>
                <w:tab w:val="left" w:pos="5590"/>
                <w:tab w:val="right" w:pos="7620"/>
                <w:tab w:val="right" w:pos="9460"/>
                <w:tab w:val="right" w:pos="10080"/>
              </w:tabs>
              <w:ind w:left="532" w:right="-57"/>
              <w:jc w:val="both"/>
              <w:rPr>
                <w:b/>
                <w:bCs w:val="0"/>
                <w:i/>
                <w:sz w:val="18"/>
                <w:szCs w:val="18"/>
              </w:rPr>
            </w:pPr>
            <w:r w:rsidRPr="00DA22B2">
              <w:rPr>
                <w:b/>
                <w:i/>
                <w:sz w:val="18"/>
                <w:szCs w:val="18"/>
              </w:rPr>
              <w:t xml:space="preserve">Measurement </w:t>
            </w:r>
            <w:r w:rsidR="007752E5" w:rsidRPr="00DA22B2">
              <w:rPr>
                <w:b/>
                <w:i/>
                <w:sz w:val="18"/>
                <w:szCs w:val="18"/>
              </w:rPr>
              <w:t>-</w:t>
            </w:r>
            <w:r w:rsidR="000629D6" w:rsidRPr="00DA22B2">
              <w:rPr>
                <w:b/>
                <w:i/>
                <w:sz w:val="18"/>
                <w:szCs w:val="18"/>
              </w:rPr>
              <w:t xml:space="preserve"> Continued</w:t>
            </w:r>
          </w:p>
        </w:tc>
      </w:tr>
      <w:tr w:rsidR="001D4D59" w:rsidRPr="00DA22B2" w14:paraId="34CD2CBD" w14:textId="77777777" w:rsidTr="00B8576F">
        <w:trPr>
          <w:trHeight w:val="20"/>
        </w:trPr>
        <w:tc>
          <w:tcPr>
            <w:tcW w:w="4598" w:type="dxa"/>
            <w:tcBorders>
              <w:top w:val="nil"/>
              <w:left w:val="nil"/>
              <w:bottom w:val="nil"/>
              <w:right w:val="nil"/>
            </w:tcBorders>
          </w:tcPr>
          <w:p w14:paraId="598ED4C5" w14:textId="77777777" w:rsidR="001D4D59" w:rsidRPr="00DA22B2" w:rsidRDefault="001D4D59" w:rsidP="003903E3">
            <w:pPr>
              <w:ind w:left="972" w:right="-57"/>
              <w:jc w:val="both"/>
              <w:rPr>
                <w:bCs w:val="0"/>
                <w:sz w:val="18"/>
                <w:szCs w:val="18"/>
              </w:rPr>
            </w:pPr>
          </w:p>
        </w:tc>
        <w:tc>
          <w:tcPr>
            <w:tcW w:w="4598" w:type="dxa"/>
            <w:tcBorders>
              <w:top w:val="nil"/>
              <w:left w:val="nil"/>
              <w:bottom w:val="nil"/>
              <w:right w:val="nil"/>
            </w:tcBorders>
          </w:tcPr>
          <w:p w14:paraId="57856DAB" w14:textId="77777777" w:rsidR="001D4D59" w:rsidRPr="00DA22B2" w:rsidRDefault="001D4D59" w:rsidP="003903E3">
            <w:pPr>
              <w:tabs>
                <w:tab w:val="left" w:pos="5590"/>
                <w:tab w:val="right" w:pos="7620"/>
                <w:tab w:val="right" w:pos="9460"/>
                <w:tab w:val="right" w:pos="10080"/>
              </w:tabs>
              <w:ind w:left="1242" w:right="-57"/>
              <w:jc w:val="both"/>
              <w:rPr>
                <w:bCs w:val="0"/>
                <w:i/>
                <w:sz w:val="18"/>
                <w:szCs w:val="18"/>
              </w:rPr>
            </w:pPr>
          </w:p>
        </w:tc>
      </w:tr>
      <w:tr w:rsidR="001D4D59" w:rsidRPr="00DA22B2" w14:paraId="2C4C9028" w14:textId="77777777" w:rsidTr="00B8576F">
        <w:trPr>
          <w:trHeight w:val="20"/>
        </w:trPr>
        <w:tc>
          <w:tcPr>
            <w:tcW w:w="4598" w:type="dxa"/>
            <w:tcBorders>
              <w:top w:val="nil"/>
              <w:left w:val="nil"/>
              <w:bottom w:val="nil"/>
              <w:right w:val="nil"/>
            </w:tcBorders>
          </w:tcPr>
          <w:p w14:paraId="3E3A0C8D" w14:textId="5198D0BD" w:rsidR="001D4D59" w:rsidRPr="00DA22B2" w:rsidRDefault="001D4D59" w:rsidP="00070D1F">
            <w:pPr>
              <w:numPr>
                <w:ilvl w:val="0"/>
                <w:numId w:val="230"/>
              </w:numPr>
              <w:tabs>
                <w:tab w:val="clear" w:pos="720"/>
                <w:tab w:val="num" w:pos="884"/>
              </w:tabs>
              <w:ind w:left="884" w:right="-57" w:hanging="283"/>
              <w:jc w:val="both"/>
              <w:rPr>
                <w:bCs w:val="0"/>
                <w:sz w:val="18"/>
                <w:szCs w:val="18"/>
              </w:rPr>
            </w:pPr>
            <w:r w:rsidRPr="00DA22B2">
              <w:rPr>
                <w:sz w:val="18"/>
                <w:szCs w:val="18"/>
              </w:rPr>
              <w:t>pengukuran nilai wajar mengasumsikan bahwa transaksi untuk menjual aset atau mengalihkan liabilitas terjadi di  pasar  utama  (</w:t>
            </w:r>
            <w:r w:rsidRPr="00DA22B2">
              <w:rPr>
                <w:i/>
                <w:sz w:val="18"/>
                <w:szCs w:val="18"/>
              </w:rPr>
              <w:t>principal  market</w:t>
            </w:r>
            <w:r w:rsidRPr="00DA22B2">
              <w:rPr>
                <w:sz w:val="18"/>
                <w:szCs w:val="18"/>
              </w:rPr>
              <w:t>)  untuk  aset  atau  liabilitas tersebut; atau  jika tidak terdapat pasar utama</w:t>
            </w:r>
            <w:r w:rsidR="00C25313">
              <w:rPr>
                <w:sz w:val="18"/>
                <w:szCs w:val="18"/>
              </w:rPr>
              <w:t>,</w:t>
            </w:r>
            <w:r w:rsidRPr="00DA22B2">
              <w:rPr>
                <w:sz w:val="18"/>
                <w:szCs w:val="18"/>
              </w:rPr>
              <w:t xml:space="preserve"> di pasar yang paling menguntungkan (</w:t>
            </w:r>
            <w:r w:rsidRPr="00DA22B2">
              <w:rPr>
                <w:i/>
                <w:sz w:val="18"/>
                <w:szCs w:val="18"/>
              </w:rPr>
              <w:t>most advantageous market</w:t>
            </w:r>
            <w:r w:rsidRPr="00DA22B2">
              <w:rPr>
                <w:sz w:val="18"/>
                <w:szCs w:val="18"/>
              </w:rPr>
              <w:t>) untuk aset atau liabilitas tersebut.</w:t>
            </w:r>
          </w:p>
        </w:tc>
        <w:tc>
          <w:tcPr>
            <w:tcW w:w="4598" w:type="dxa"/>
            <w:tcBorders>
              <w:top w:val="nil"/>
              <w:left w:val="nil"/>
              <w:bottom w:val="nil"/>
              <w:right w:val="nil"/>
            </w:tcBorders>
          </w:tcPr>
          <w:p w14:paraId="54005869" w14:textId="10BDA582" w:rsidR="001D4D59" w:rsidRPr="00DA22B2" w:rsidRDefault="001D4D59" w:rsidP="00070D1F">
            <w:pPr>
              <w:numPr>
                <w:ilvl w:val="0"/>
                <w:numId w:val="231"/>
              </w:numPr>
              <w:tabs>
                <w:tab w:val="clear" w:pos="720"/>
                <w:tab w:val="num" w:pos="900"/>
                <w:tab w:val="left" w:pos="5590"/>
                <w:tab w:val="right" w:pos="7620"/>
                <w:tab w:val="right" w:pos="9460"/>
                <w:tab w:val="right" w:pos="10080"/>
              </w:tabs>
              <w:ind w:left="900" w:right="-57" w:hanging="354"/>
              <w:jc w:val="both"/>
              <w:rPr>
                <w:bCs w:val="0"/>
                <w:i/>
                <w:sz w:val="18"/>
                <w:szCs w:val="18"/>
              </w:rPr>
            </w:pPr>
            <w:proofErr w:type="gramStart"/>
            <w:r w:rsidRPr="00DA22B2">
              <w:rPr>
                <w:i/>
                <w:sz w:val="18"/>
                <w:szCs w:val="18"/>
              </w:rPr>
              <w:t>fair</w:t>
            </w:r>
            <w:proofErr w:type="gramEnd"/>
            <w:r w:rsidRPr="00DA22B2">
              <w:rPr>
                <w:i/>
                <w:sz w:val="18"/>
                <w:szCs w:val="18"/>
              </w:rPr>
              <w:t xml:space="preserve"> value measurement assumes a transaction taking place in the principal market for the asset or liability</w:t>
            </w:r>
            <w:r w:rsidR="00C25313">
              <w:rPr>
                <w:i/>
                <w:sz w:val="18"/>
                <w:szCs w:val="18"/>
              </w:rPr>
              <w:t>,</w:t>
            </w:r>
            <w:r w:rsidRPr="00DA22B2">
              <w:rPr>
                <w:i/>
                <w:sz w:val="18"/>
                <w:szCs w:val="18"/>
              </w:rPr>
              <w:t xml:space="preserve"> or in the absence of a principal market</w:t>
            </w:r>
            <w:r w:rsidR="00870FD0">
              <w:rPr>
                <w:i/>
                <w:sz w:val="18"/>
                <w:szCs w:val="18"/>
              </w:rPr>
              <w:t>.</w:t>
            </w:r>
            <w:r w:rsidRPr="00DA22B2">
              <w:rPr>
                <w:i/>
                <w:sz w:val="18"/>
                <w:szCs w:val="18"/>
              </w:rPr>
              <w:t xml:space="preserve"> the most advantageous market for the asset or liability;</w:t>
            </w:r>
          </w:p>
        </w:tc>
      </w:tr>
      <w:tr w:rsidR="001D4D59" w:rsidRPr="00B8576F" w14:paraId="38F1F767" w14:textId="77777777" w:rsidTr="00B8576F">
        <w:trPr>
          <w:trHeight w:val="20"/>
        </w:trPr>
        <w:tc>
          <w:tcPr>
            <w:tcW w:w="4598" w:type="dxa"/>
            <w:tcBorders>
              <w:top w:val="nil"/>
              <w:left w:val="nil"/>
              <w:bottom w:val="nil"/>
              <w:right w:val="nil"/>
            </w:tcBorders>
          </w:tcPr>
          <w:p w14:paraId="10432A79" w14:textId="77777777" w:rsidR="001D4D59" w:rsidRPr="00DA22B2" w:rsidRDefault="001D4D59" w:rsidP="00070D1F">
            <w:pPr>
              <w:numPr>
                <w:ilvl w:val="0"/>
                <w:numId w:val="231"/>
              </w:numPr>
              <w:tabs>
                <w:tab w:val="clear" w:pos="720"/>
                <w:tab w:val="num" w:pos="884"/>
              </w:tabs>
              <w:ind w:left="884" w:right="-57" w:hanging="283"/>
              <w:jc w:val="both"/>
              <w:rPr>
                <w:bCs w:val="0"/>
                <w:sz w:val="18"/>
                <w:szCs w:val="18"/>
              </w:rPr>
            </w:pPr>
            <w:proofErr w:type="gramStart"/>
            <w:r w:rsidRPr="00DA22B2">
              <w:rPr>
                <w:sz w:val="18"/>
                <w:szCs w:val="18"/>
              </w:rPr>
              <w:t>pengukuran</w:t>
            </w:r>
            <w:proofErr w:type="gramEnd"/>
            <w:r w:rsidRPr="00DA22B2">
              <w:rPr>
                <w:sz w:val="18"/>
                <w:szCs w:val="18"/>
              </w:rPr>
              <w:t xml:space="preserve"> nilai wajar aset nonkeuangan memperhitungkan kemampuan  penggunaan tertinggi dan terbaiknya (</w:t>
            </w:r>
            <w:r w:rsidRPr="00DA22B2">
              <w:rPr>
                <w:i/>
                <w:sz w:val="18"/>
                <w:szCs w:val="18"/>
              </w:rPr>
              <w:t>highest and best use</w:t>
            </w:r>
            <w:r w:rsidRPr="00DA22B2">
              <w:rPr>
                <w:sz w:val="18"/>
                <w:szCs w:val="18"/>
              </w:rPr>
              <w:t>).</w:t>
            </w:r>
          </w:p>
        </w:tc>
        <w:tc>
          <w:tcPr>
            <w:tcW w:w="4598" w:type="dxa"/>
            <w:tcBorders>
              <w:top w:val="nil"/>
              <w:left w:val="nil"/>
              <w:bottom w:val="nil"/>
              <w:right w:val="nil"/>
            </w:tcBorders>
          </w:tcPr>
          <w:p w14:paraId="7BC1128F" w14:textId="77777777" w:rsidR="001D4D59" w:rsidRPr="00DA22B2" w:rsidRDefault="001D4D59" w:rsidP="00070D1F">
            <w:pPr>
              <w:numPr>
                <w:ilvl w:val="0"/>
                <w:numId w:val="232"/>
              </w:numPr>
              <w:tabs>
                <w:tab w:val="clear" w:pos="720"/>
                <w:tab w:val="num" w:pos="900"/>
                <w:tab w:val="left" w:pos="5590"/>
                <w:tab w:val="right" w:pos="7620"/>
                <w:tab w:val="right" w:pos="9460"/>
                <w:tab w:val="right" w:pos="10080"/>
              </w:tabs>
              <w:ind w:left="900" w:right="-57" w:hanging="354"/>
              <w:jc w:val="both"/>
              <w:rPr>
                <w:bCs w:val="0"/>
                <w:i/>
                <w:sz w:val="18"/>
                <w:szCs w:val="18"/>
              </w:rPr>
            </w:pPr>
            <w:r w:rsidRPr="00DA22B2">
              <w:rPr>
                <w:i/>
                <w:sz w:val="18"/>
                <w:szCs w:val="18"/>
              </w:rPr>
              <w:t>a fair value measurement of a non-financial asset takes into account its highest and best use;</w:t>
            </w:r>
          </w:p>
        </w:tc>
      </w:tr>
      <w:tr w:rsidR="001D4D59" w:rsidRPr="00DA22B2" w14:paraId="2635D43A" w14:textId="77777777" w:rsidTr="00B8576F">
        <w:trPr>
          <w:trHeight w:val="20"/>
        </w:trPr>
        <w:tc>
          <w:tcPr>
            <w:tcW w:w="4598" w:type="dxa"/>
            <w:tcBorders>
              <w:top w:val="nil"/>
              <w:left w:val="nil"/>
              <w:bottom w:val="nil"/>
              <w:right w:val="nil"/>
            </w:tcBorders>
          </w:tcPr>
          <w:p w14:paraId="35AD0335" w14:textId="20933CE3" w:rsidR="001D4D59" w:rsidRPr="00DA22B2" w:rsidRDefault="001D4D59" w:rsidP="00070D1F">
            <w:pPr>
              <w:numPr>
                <w:ilvl w:val="0"/>
                <w:numId w:val="232"/>
              </w:numPr>
              <w:tabs>
                <w:tab w:val="clear" w:pos="720"/>
                <w:tab w:val="num" w:pos="884"/>
              </w:tabs>
              <w:ind w:left="884" w:right="-57" w:hanging="283"/>
              <w:jc w:val="both"/>
              <w:rPr>
                <w:bCs w:val="0"/>
                <w:sz w:val="18"/>
                <w:szCs w:val="18"/>
              </w:rPr>
            </w:pPr>
            <w:r w:rsidRPr="00DA22B2">
              <w:rPr>
                <w:sz w:val="18"/>
                <w:szCs w:val="18"/>
              </w:rPr>
              <w:t>pengukuran nilai wajar dari liabilitas keuangan atau liabilitas  non-keuangan atau instrumen ekuitas milik entitas sendiri mengasumsikan bahwa hal itu dialihkan  ke pelaku pasar (</w:t>
            </w:r>
            <w:r w:rsidRPr="00DA22B2">
              <w:rPr>
                <w:i/>
                <w:sz w:val="18"/>
                <w:szCs w:val="18"/>
              </w:rPr>
              <w:t>market participants</w:t>
            </w:r>
            <w:r w:rsidRPr="00DA22B2">
              <w:rPr>
                <w:sz w:val="18"/>
                <w:szCs w:val="18"/>
              </w:rPr>
              <w:t>) pada tanggal pengukuran</w:t>
            </w:r>
            <w:r w:rsidR="00C25313">
              <w:rPr>
                <w:sz w:val="18"/>
                <w:szCs w:val="18"/>
              </w:rPr>
              <w:t>,</w:t>
            </w:r>
            <w:r w:rsidRPr="00DA22B2">
              <w:rPr>
                <w:sz w:val="18"/>
                <w:szCs w:val="18"/>
              </w:rPr>
              <w:t xml:space="preserve"> tanpa penyelesaian</w:t>
            </w:r>
            <w:r w:rsidR="00C25313">
              <w:rPr>
                <w:sz w:val="18"/>
                <w:szCs w:val="18"/>
              </w:rPr>
              <w:t>,</w:t>
            </w:r>
            <w:r w:rsidRPr="00DA22B2">
              <w:rPr>
                <w:sz w:val="18"/>
                <w:szCs w:val="18"/>
              </w:rPr>
              <w:t xml:space="preserve"> pelunasan</w:t>
            </w:r>
            <w:r w:rsidR="00C25313">
              <w:rPr>
                <w:sz w:val="18"/>
                <w:szCs w:val="18"/>
              </w:rPr>
              <w:t>,</w:t>
            </w:r>
            <w:r w:rsidRPr="00DA22B2">
              <w:rPr>
                <w:sz w:val="18"/>
                <w:szCs w:val="18"/>
              </w:rPr>
              <w:t xml:space="preserve"> atau pembatalan pada tanggal pengukuran;</w:t>
            </w:r>
          </w:p>
        </w:tc>
        <w:tc>
          <w:tcPr>
            <w:tcW w:w="4598" w:type="dxa"/>
            <w:tcBorders>
              <w:top w:val="nil"/>
              <w:left w:val="nil"/>
              <w:bottom w:val="nil"/>
              <w:right w:val="nil"/>
            </w:tcBorders>
          </w:tcPr>
          <w:p w14:paraId="4960EB75" w14:textId="04190985" w:rsidR="001D4D59" w:rsidRPr="00DA22B2" w:rsidRDefault="001D4D59" w:rsidP="00070D1F">
            <w:pPr>
              <w:numPr>
                <w:ilvl w:val="0"/>
                <w:numId w:val="233"/>
              </w:numPr>
              <w:tabs>
                <w:tab w:val="clear" w:pos="720"/>
                <w:tab w:val="num" w:pos="900"/>
                <w:tab w:val="left" w:pos="5590"/>
                <w:tab w:val="right" w:pos="7620"/>
                <w:tab w:val="right" w:pos="9460"/>
                <w:tab w:val="right" w:pos="10080"/>
              </w:tabs>
              <w:ind w:left="900" w:right="-57" w:hanging="354"/>
              <w:jc w:val="both"/>
              <w:rPr>
                <w:bCs w:val="0"/>
                <w:i/>
                <w:sz w:val="18"/>
                <w:szCs w:val="18"/>
              </w:rPr>
            </w:pPr>
            <w:r w:rsidRPr="00DA22B2">
              <w:rPr>
                <w:i/>
                <w:sz w:val="18"/>
                <w:szCs w:val="18"/>
              </w:rPr>
              <w:t>a fair value measurement of a financial or non-financial liability or an entity's own equity instruments assumes it is transferred to a market participant at the measurement date</w:t>
            </w:r>
            <w:r w:rsidR="00C25313">
              <w:rPr>
                <w:i/>
                <w:sz w:val="18"/>
                <w:szCs w:val="18"/>
              </w:rPr>
              <w:t>,</w:t>
            </w:r>
            <w:r w:rsidRPr="00DA22B2">
              <w:rPr>
                <w:i/>
                <w:sz w:val="18"/>
                <w:szCs w:val="18"/>
              </w:rPr>
              <w:t xml:space="preserve"> without settlement</w:t>
            </w:r>
            <w:r w:rsidR="00C25313">
              <w:rPr>
                <w:i/>
                <w:sz w:val="18"/>
                <w:szCs w:val="18"/>
              </w:rPr>
              <w:t>,</w:t>
            </w:r>
            <w:r w:rsidRPr="00DA22B2">
              <w:rPr>
                <w:i/>
                <w:sz w:val="18"/>
                <w:szCs w:val="18"/>
              </w:rPr>
              <w:t xml:space="preserve"> extinguishment</w:t>
            </w:r>
            <w:r w:rsidR="00C25313">
              <w:rPr>
                <w:i/>
                <w:sz w:val="18"/>
                <w:szCs w:val="18"/>
              </w:rPr>
              <w:t>,</w:t>
            </w:r>
            <w:r w:rsidRPr="00DA22B2">
              <w:rPr>
                <w:i/>
                <w:sz w:val="18"/>
                <w:szCs w:val="18"/>
              </w:rPr>
              <w:t xml:space="preserve"> or cancellation at the measurement date;</w:t>
            </w:r>
          </w:p>
        </w:tc>
      </w:tr>
      <w:tr w:rsidR="001D4D59" w:rsidRPr="00DA22B2" w14:paraId="4EEDB57E" w14:textId="77777777" w:rsidTr="00B8576F">
        <w:trPr>
          <w:trHeight w:val="20"/>
        </w:trPr>
        <w:tc>
          <w:tcPr>
            <w:tcW w:w="4598" w:type="dxa"/>
            <w:tcBorders>
              <w:top w:val="nil"/>
              <w:left w:val="nil"/>
              <w:bottom w:val="nil"/>
              <w:right w:val="nil"/>
            </w:tcBorders>
          </w:tcPr>
          <w:p w14:paraId="7A1B7E0C" w14:textId="16002A39" w:rsidR="001D4D59" w:rsidRPr="00DA22B2" w:rsidRDefault="001D4D59" w:rsidP="00070D1F">
            <w:pPr>
              <w:numPr>
                <w:ilvl w:val="0"/>
                <w:numId w:val="233"/>
              </w:numPr>
              <w:tabs>
                <w:tab w:val="clear" w:pos="720"/>
                <w:tab w:val="num" w:pos="884"/>
              </w:tabs>
              <w:ind w:left="884" w:right="-57" w:hanging="283"/>
              <w:jc w:val="both"/>
              <w:rPr>
                <w:bCs w:val="0"/>
                <w:sz w:val="18"/>
                <w:szCs w:val="18"/>
              </w:rPr>
            </w:pPr>
            <w:proofErr w:type="gramStart"/>
            <w:r w:rsidRPr="00DA22B2">
              <w:rPr>
                <w:sz w:val="18"/>
                <w:szCs w:val="18"/>
              </w:rPr>
              <w:t>nilai</w:t>
            </w:r>
            <w:proofErr w:type="gramEnd"/>
            <w:r w:rsidRPr="00DA22B2">
              <w:rPr>
                <w:sz w:val="18"/>
                <w:szCs w:val="18"/>
              </w:rPr>
              <w:t xml:space="preserve"> wajar liabilitas mencerminkan risiko wanprestasi (</w:t>
            </w:r>
            <w:r w:rsidRPr="00DA22B2">
              <w:rPr>
                <w:i/>
                <w:sz w:val="18"/>
                <w:szCs w:val="18"/>
              </w:rPr>
              <w:t>non-performance risk</w:t>
            </w:r>
            <w:r w:rsidRPr="00DA22B2">
              <w:rPr>
                <w:sz w:val="18"/>
                <w:szCs w:val="18"/>
              </w:rPr>
              <w:t>) yaitu risiko entitas tidak akan memenuhi liabilitas</w:t>
            </w:r>
            <w:r w:rsidR="00870FD0">
              <w:rPr>
                <w:sz w:val="18"/>
                <w:szCs w:val="18"/>
              </w:rPr>
              <w:t>.</w:t>
            </w:r>
            <w:r w:rsidRPr="00DA22B2">
              <w:rPr>
                <w:sz w:val="18"/>
                <w:szCs w:val="18"/>
              </w:rPr>
              <w:t xml:space="preserve"> termasuk risiko kredit entitas dan  mengasumsikan  risiko wanprestasi </w:t>
            </w:r>
            <w:r w:rsidRPr="00DA22B2">
              <w:rPr>
                <w:i/>
                <w:sz w:val="18"/>
                <w:szCs w:val="18"/>
              </w:rPr>
              <w:t>(non-performance risk)</w:t>
            </w:r>
            <w:r w:rsidRPr="00DA22B2">
              <w:rPr>
                <w:sz w:val="18"/>
                <w:szCs w:val="18"/>
              </w:rPr>
              <w:t xml:space="preserve"> sama sebelum dan sesudah pengalihan liabilitas;</w:t>
            </w:r>
          </w:p>
        </w:tc>
        <w:tc>
          <w:tcPr>
            <w:tcW w:w="4598" w:type="dxa"/>
            <w:tcBorders>
              <w:top w:val="nil"/>
              <w:left w:val="nil"/>
              <w:bottom w:val="nil"/>
              <w:right w:val="nil"/>
            </w:tcBorders>
          </w:tcPr>
          <w:p w14:paraId="0BBF8F6B" w14:textId="195E66AC" w:rsidR="001D4D59" w:rsidRPr="00DA22B2" w:rsidRDefault="001D4D59" w:rsidP="00070D1F">
            <w:pPr>
              <w:numPr>
                <w:ilvl w:val="0"/>
                <w:numId w:val="234"/>
              </w:numPr>
              <w:tabs>
                <w:tab w:val="clear" w:pos="720"/>
                <w:tab w:val="num" w:pos="900"/>
                <w:tab w:val="left" w:pos="5590"/>
                <w:tab w:val="right" w:pos="7620"/>
                <w:tab w:val="right" w:pos="9460"/>
                <w:tab w:val="right" w:pos="10080"/>
              </w:tabs>
              <w:ind w:left="900" w:right="-57" w:hanging="354"/>
              <w:jc w:val="both"/>
              <w:rPr>
                <w:bCs w:val="0"/>
                <w:i/>
                <w:sz w:val="18"/>
                <w:szCs w:val="18"/>
              </w:rPr>
            </w:pPr>
            <w:r w:rsidRPr="00DA22B2">
              <w:rPr>
                <w:i/>
                <w:sz w:val="18"/>
                <w:szCs w:val="18"/>
              </w:rPr>
              <w:t>the fair value of a liability reflects non-performance risk (the risk the entity will not fulfil an obligation)</w:t>
            </w:r>
            <w:r w:rsidR="0048229C">
              <w:rPr>
                <w:i/>
                <w:sz w:val="18"/>
                <w:szCs w:val="18"/>
              </w:rPr>
              <w:t>,</w:t>
            </w:r>
            <w:r w:rsidRPr="00DA22B2">
              <w:rPr>
                <w:i/>
                <w:sz w:val="18"/>
                <w:szCs w:val="18"/>
              </w:rPr>
              <w:t xml:space="preserve"> including an entity's own credit risk and assuming the same non-performance risk before and after the transfer of the liability;</w:t>
            </w:r>
          </w:p>
        </w:tc>
      </w:tr>
      <w:tr w:rsidR="001D4D59" w:rsidRPr="00B8576F" w14:paraId="529BE0F7" w14:textId="77777777" w:rsidTr="00B8576F">
        <w:trPr>
          <w:trHeight w:val="20"/>
        </w:trPr>
        <w:tc>
          <w:tcPr>
            <w:tcW w:w="4598" w:type="dxa"/>
            <w:tcBorders>
              <w:top w:val="nil"/>
              <w:left w:val="nil"/>
              <w:bottom w:val="nil"/>
              <w:right w:val="nil"/>
            </w:tcBorders>
          </w:tcPr>
          <w:p w14:paraId="10587067" w14:textId="2AE8FD92" w:rsidR="001D4D59" w:rsidRPr="00DA22B2" w:rsidRDefault="001D4D59" w:rsidP="00070D1F">
            <w:pPr>
              <w:numPr>
                <w:ilvl w:val="0"/>
                <w:numId w:val="234"/>
              </w:numPr>
              <w:tabs>
                <w:tab w:val="clear" w:pos="720"/>
                <w:tab w:val="num" w:pos="884"/>
              </w:tabs>
              <w:ind w:left="884" w:right="-57" w:hanging="283"/>
              <w:jc w:val="both"/>
              <w:rPr>
                <w:bCs w:val="0"/>
                <w:sz w:val="18"/>
                <w:szCs w:val="18"/>
              </w:rPr>
            </w:pPr>
            <w:r w:rsidRPr="00DA22B2">
              <w:rPr>
                <w:sz w:val="18"/>
                <w:szCs w:val="18"/>
              </w:rPr>
              <w:t xml:space="preserve">pengecualian berlaku opsional untuk aset keuangan dan liabilitas keuangan dengan  posisi saling hapus di pasar atau risiko risiko kredit pihak lawan </w:t>
            </w:r>
            <w:r w:rsidRPr="00DA22B2">
              <w:rPr>
                <w:i/>
                <w:sz w:val="18"/>
                <w:szCs w:val="18"/>
              </w:rPr>
              <w:t>(counterparty credit risk</w:t>
            </w:r>
            <w:r w:rsidRPr="00DA22B2">
              <w:rPr>
                <w:sz w:val="18"/>
                <w:szCs w:val="18"/>
              </w:rPr>
              <w:t>)</w:t>
            </w:r>
            <w:r w:rsidR="0048229C">
              <w:rPr>
                <w:sz w:val="18"/>
                <w:szCs w:val="18"/>
              </w:rPr>
              <w:t>,</w:t>
            </w:r>
            <w:r w:rsidRPr="00DA22B2">
              <w:rPr>
                <w:sz w:val="18"/>
                <w:szCs w:val="18"/>
              </w:rPr>
              <w:t xml:space="preserve"> sepanjang kondisi terpenuhi  yaitu entitas telah melakukan seluruh hal berikut:</w:t>
            </w:r>
          </w:p>
        </w:tc>
        <w:tc>
          <w:tcPr>
            <w:tcW w:w="4598" w:type="dxa"/>
            <w:tcBorders>
              <w:top w:val="nil"/>
              <w:left w:val="nil"/>
              <w:bottom w:val="nil"/>
              <w:right w:val="nil"/>
            </w:tcBorders>
          </w:tcPr>
          <w:p w14:paraId="2BDCD9CA" w14:textId="161F45FA" w:rsidR="001D4D59" w:rsidRPr="00DA22B2" w:rsidRDefault="001D4D59" w:rsidP="00070D1F">
            <w:pPr>
              <w:numPr>
                <w:ilvl w:val="0"/>
                <w:numId w:val="235"/>
              </w:numPr>
              <w:tabs>
                <w:tab w:val="clear" w:pos="720"/>
                <w:tab w:val="num" w:pos="900"/>
                <w:tab w:val="left" w:pos="5590"/>
                <w:tab w:val="right" w:pos="7620"/>
                <w:tab w:val="right" w:pos="9460"/>
                <w:tab w:val="right" w:pos="10080"/>
              </w:tabs>
              <w:ind w:left="900" w:right="-57" w:hanging="354"/>
              <w:jc w:val="both"/>
              <w:rPr>
                <w:bCs w:val="0"/>
                <w:i/>
                <w:sz w:val="18"/>
                <w:szCs w:val="18"/>
              </w:rPr>
            </w:pPr>
            <w:r w:rsidRPr="00DA22B2">
              <w:rPr>
                <w:i/>
                <w:sz w:val="18"/>
                <w:szCs w:val="18"/>
              </w:rPr>
              <w:t>an optional exception applies for certain financial assets and financial liabilities with offsetting positions in market risks or counterparty credit risk</w:t>
            </w:r>
            <w:r w:rsidR="0048229C">
              <w:rPr>
                <w:i/>
                <w:sz w:val="18"/>
                <w:szCs w:val="18"/>
              </w:rPr>
              <w:t>,</w:t>
            </w:r>
            <w:r w:rsidRPr="00DA22B2">
              <w:rPr>
                <w:i/>
                <w:sz w:val="18"/>
                <w:szCs w:val="18"/>
              </w:rPr>
              <w:t xml:space="preserve"> provided conditions are met that is the entity does the following:</w:t>
            </w:r>
          </w:p>
        </w:tc>
      </w:tr>
      <w:tr w:rsidR="001D4D59" w:rsidRPr="008834CA" w14:paraId="7164049A" w14:textId="77777777" w:rsidTr="00B8576F">
        <w:trPr>
          <w:trHeight w:val="20"/>
        </w:trPr>
        <w:tc>
          <w:tcPr>
            <w:tcW w:w="4598" w:type="dxa"/>
            <w:tcBorders>
              <w:top w:val="nil"/>
              <w:left w:val="nil"/>
              <w:bottom w:val="nil"/>
              <w:right w:val="nil"/>
            </w:tcBorders>
            <w:shd w:val="clear" w:color="auto" w:fill="auto"/>
          </w:tcPr>
          <w:p w14:paraId="4112419E" w14:textId="77777777" w:rsidR="001D4D59" w:rsidRPr="008834CA" w:rsidRDefault="001D4D59" w:rsidP="00070D1F">
            <w:pPr>
              <w:pStyle w:val="ListParagraph"/>
              <w:numPr>
                <w:ilvl w:val="0"/>
                <w:numId w:val="248"/>
              </w:numPr>
              <w:ind w:left="1168" w:right="-57" w:hanging="284"/>
              <w:jc w:val="both"/>
              <w:rPr>
                <w:bCs w:val="0"/>
                <w:sz w:val="18"/>
                <w:szCs w:val="18"/>
              </w:rPr>
            </w:pPr>
            <w:r w:rsidRPr="008834CA">
              <w:rPr>
                <w:sz w:val="18"/>
                <w:szCs w:val="18"/>
              </w:rPr>
              <w:t xml:space="preserve">mengelola  kelompok  aset  keuangan  dan  liabilitas  keuangan berdasarkan eksposur neto entitas terhadap  risiko pasar tertentu atau  terhadap  risiko  kredit  dari  pihak  lawan </w:t>
            </w:r>
            <w:r w:rsidRPr="008834CA">
              <w:rPr>
                <w:i/>
                <w:sz w:val="18"/>
                <w:szCs w:val="18"/>
              </w:rPr>
              <w:t>(counterparty credit risk)</w:t>
            </w:r>
            <w:r w:rsidRPr="008834CA">
              <w:rPr>
                <w:sz w:val="18"/>
                <w:szCs w:val="18"/>
              </w:rPr>
              <w:t xml:space="preserve"> tertentu  sesuai dengan  risiko  manajemen  atau  strategi  investasi  entitas  yang terdokumentasi;</w:t>
            </w:r>
          </w:p>
        </w:tc>
        <w:tc>
          <w:tcPr>
            <w:tcW w:w="4598" w:type="dxa"/>
            <w:tcBorders>
              <w:top w:val="nil"/>
              <w:left w:val="nil"/>
              <w:bottom w:val="nil"/>
              <w:right w:val="nil"/>
            </w:tcBorders>
            <w:shd w:val="clear" w:color="auto" w:fill="auto"/>
          </w:tcPr>
          <w:p w14:paraId="746C14B9" w14:textId="77777777" w:rsidR="001D4D59" w:rsidRPr="008834CA" w:rsidRDefault="001D4D59" w:rsidP="00070D1F">
            <w:pPr>
              <w:pStyle w:val="ListParagraph"/>
              <w:numPr>
                <w:ilvl w:val="0"/>
                <w:numId w:val="249"/>
              </w:numPr>
              <w:tabs>
                <w:tab w:val="left" w:pos="5590"/>
                <w:tab w:val="right" w:pos="7620"/>
                <w:tab w:val="right" w:pos="9460"/>
                <w:tab w:val="right" w:pos="10080"/>
              </w:tabs>
              <w:ind w:left="1184" w:right="-57" w:hanging="284"/>
              <w:jc w:val="both"/>
              <w:rPr>
                <w:bCs w:val="0"/>
                <w:i/>
                <w:sz w:val="18"/>
                <w:szCs w:val="18"/>
              </w:rPr>
            </w:pPr>
            <w:r w:rsidRPr="008834CA">
              <w:rPr>
                <w:i/>
                <w:sz w:val="18"/>
                <w:szCs w:val="18"/>
              </w:rPr>
              <w:t>manages the group of financial assets and financial liabilities on the basis of the entity’s net exposure to a particular market risk (or  risks) or to the credit risk of a particular counterparty in accordance with the entity’s documented risk management or investment strategy;</w:t>
            </w:r>
          </w:p>
        </w:tc>
      </w:tr>
      <w:tr w:rsidR="001D4D59" w:rsidRPr="00B8576F" w14:paraId="1F8D93E1" w14:textId="77777777" w:rsidTr="00B8576F">
        <w:trPr>
          <w:trHeight w:val="20"/>
        </w:trPr>
        <w:tc>
          <w:tcPr>
            <w:tcW w:w="4598" w:type="dxa"/>
            <w:tcBorders>
              <w:top w:val="nil"/>
              <w:left w:val="nil"/>
              <w:bottom w:val="nil"/>
              <w:right w:val="nil"/>
            </w:tcBorders>
          </w:tcPr>
          <w:p w14:paraId="25116A7A" w14:textId="1D67763F" w:rsidR="001D4D59" w:rsidRPr="008834CA" w:rsidRDefault="001D4D59" w:rsidP="00070D1F">
            <w:pPr>
              <w:pStyle w:val="ListParagraph"/>
              <w:numPr>
                <w:ilvl w:val="0"/>
                <w:numId w:val="248"/>
              </w:numPr>
              <w:ind w:left="1168" w:right="-57" w:hanging="284"/>
              <w:jc w:val="both"/>
              <w:rPr>
                <w:bCs w:val="0"/>
                <w:sz w:val="18"/>
                <w:szCs w:val="18"/>
              </w:rPr>
            </w:pPr>
            <w:proofErr w:type="gramStart"/>
            <w:r w:rsidRPr="008834CA">
              <w:rPr>
                <w:sz w:val="18"/>
                <w:szCs w:val="18"/>
              </w:rPr>
              <w:t>menyediakan</w:t>
            </w:r>
            <w:proofErr w:type="gramEnd"/>
            <w:r w:rsidRPr="008834CA">
              <w:rPr>
                <w:sz w:val="18"/>
                <w:szCs w:val="18"/>
              </w:rPr>
              <w:t xml:space="preserve"> informasi atas dasar tersebut</w:t>
            </w:r>
            <w:r w:rsidR="00870FD0">
              <w:rPr>
                <w:sz w:val="18"/>
                <w:szCs w:val="18"/>
              </w:rPr>
              <w:t>.</w:t>
            </w:r>
            <w:r w:rsidRPr="008834CA">
              <w:rPr>
                <w:sz w:val="18"/>
                <w:szCs w:val="18"/>
              </w:rPr>
              <w:t xml:space="preserve"> </w:t>
            </w:r>
            <w:proofErr w:type="gramStart"/>
            <w:r w:rsidRPr="008834CA">
              <w:rPr>
                <w:sz w:val="18"/>
                <w:szCs w:val="18"/>
              </w:rPr>
              <w:t>mengenai</w:t>
            </w:r>
            <w:proofErr w:type="gramEnd"/>
            <w:r w:rsidRPr="008834CA">
              <w:rPr>
                <w:sz w:val="18"/>
                <w:szCs w:val="18"/>
              </w:rPr>
              <w:t xml:space="preserve"> kelompok aset keuangan dan liabilitas keuangan kepada anggota manajemen kunci entitas</w:t>
            </w:r>
            <w:r w:rsidR="00870FD0">
              <w:rPr>
                <w:sz w:val="18"/>
                <w:szCs w:val="18"/>
              </w:rPr>
              <w:t>.</w:t>
            </w:r>
            <w:r w:rsidRPr="008834CA">
              <w:rPr>
                <w:sz w:val="18"/>
                <w:szCs w:val="18"/>
              </w:rPr>
              <w:t xml:space="preserve"> </w:t>
            </w:r>
            <w:proofErr w:type="gramStart"/>
            <w:r w:rsidRPr="008834CA">
              <w:rPr>
                <w:sz w:val="18"/>
                <w:szCs w:val="18"/>
              </w:rPr>
              <w:t>sebagaimana</w:t>
            </w:r>
            <w:proofErr w:type="gramEnd"/>
            <w:r w:rsidRPr="008834CA">
              <w:rPr>
                <w:sz w:val="18"/>
                <w:szCs w:val="18"/>
              </w:rPr>
              <w:t xml:space="preserve"> didefinisikan dalam PSAK No. 7 (Revisi 2010)</w:t>
            </w:r>
            <w:r w:rsidR="00870FD0">
              <w:rPr>
                <w:sz w:val="18"/>
                <w:szCs w:val="18"/>
              </w:rPr>
              <w:t>.</w:t>
            </w:r>
            <w:r w:rsidRPr="008834CA">
              <w:rPr>
                <w:sz w:val="18"/>
                <w:szCs w:val="18"/>
              </w:rPr>
              <w:t xml:space="preserve"> “Pengungkapan Pihak-pihak Berelasi”; dan</w:t>
            </w:r>
          </w:p>
        </w:tc>
        <w:tc>
          <w:tcPr>
            <w:tcW w:w="4598" w:type="dxa"/>
            <w:tcBorders>
              <w:top w:val="nil"/>
              <w:left w:val="nil"/>
              <w:bottom w:val="nil"/>
              <w:right w:val="nil"/>
            </w:tcBorders>
          </w:tcPr>
          <w:p w14:paraId="282E9EC4" w14:textId="1F90A9DA" w:rsidR="001D4D59" w:rsidRPr="008834CA" w:rsidRDefault="001D4D59" w:rsidP="00070D1F">
            <w:pPr>
              <w:pStyle w:val="ListParagraph"/>
              <w:numPr>
                <w:ilvl w:val="0"/>
                <w:numId w:val="249"/>
              </w:numPr>
              <w:tabs>
                <w:tab w:val="left" w:pos="5590"/>
                <w:tab w:val="right" w:pos="7620"/>
                <w:tab w:val="right" w:pos="9460"/>
                <w:tab w:val="right" w:pos="10080"/>
              </w:tabs>
              <w:ind w:left="1184" w:right="-57" w:hanging="284"/>
              <w:jc w:val="both"/>
              <w:rPr>
                <w:bCs w:val="0"/>
                <w:i/>
                <w:sz w:val="18"/>
                <w:szCs w:val="18"/>
              </w:rPr>
            </w:pPr>
            <w:proofErr w:type="gramStart"/>
            <w:r w:rsidRPr="008834CA">
              <w:rPr>
                <w:i/>
                <w:sz w:val="18"/>
                <w:szCs w:val="18"/>
              </w:rPr>
              <w:t>provides</w:t>
            </w:r>
            <w:proofErr w:type="gramEnd"/>
            <w:r w:rsidRPr="008834CA">
              <w:rPr>
                <w:i/>
                <w:sz w:val="18"/>
                <w:szCs w:val="18"/>
              </w:rPr>
              <w:t xml:space="preserve"> information on that basis about the group of financial assets and financial liabilities to the entity’s key management personnel</w:t>
            </w:r>
            <w:r w:rsidR="00870FD0">
              <w:rPr>
                <w:i/>
                <w:sz w:val="18"/>
                <w:szCs w:val="18"/>
              </w:rPr>
              <w:t>.</w:t>
            </w:r>
            <w:r w:rsidRPr="008834CA">
              <w:rPr>
                <w:i/>
                <w:sz w:val="18"/>
                <w:szCs w:val="18"/>
              </w:rPr>
              <w:t xml:space="preserve"> </w:t>
            </w:r>
            <w:proofErr w:type="gramStart"/>
            <w:r w:rsidRPr="008834CA">
              <w:rPr>
                <w:i/>
                <w:sz w:val="18"/>
                <w:szCs w:val="18"/>
              </w:rPr>
              <w:t>as</w:t>
            </w:r>
            <w:proofErr w:type="gramEnd"/>
            <w:r w:rsidRPr="008834CA">
              <w:rPr>
                <w:i/>
                <w:sz w:val="18"/>
                <w:szCs w:val="18"/>
              </w:rPr>
              <w:t xml:space="preserve"> defined in PSAK No. 7 (Revised 2010)</w:t>
            </w:r>
            <w:r w:rsidR="00870FD0">
              <w:rPr>
                <w:i/>
                <w:sz w:val="18"/>
                <w:szCs w:val="18"/>
              </w:rPr>
              <w:t>.</w:t>
            </w:r>
            <w:r w:rsidRPr="008834CA">
              <w:rPr>
                <w:i/>
                <w:sz w:val="18"/>
                <w:szCs w:val="18"/>
              </w:rPr>
              <w:t xml:space="preserve"> “Related Party Disclosures”; and</w:t>
            </w:r>
          </w:p>
        </w:tc>
      </w:tr>
      <w:tr w:rsidR="001D4D59" w:rsidRPr="000379AE" w14:paraId="46D8409A" w14:textId="77777777" w:rsidTr="00B8576F">
        <w:trPr>
          <w:trHeight w:val="20"/>
        </w:trPr>
        <w:tc>
          <w:tcPr>
            <w:tcW w:w="4598" w:type="dxa"/>
            <w:tcBorders>
              <w:top w:val="nil"/>
              <w:left w:val="nil"/>
              <w:bottom w:val="nil"/>
              <w:right w:val="nil"/>
            </w:tcBorders>
          </w:tcPr>
          <w:p w14:paraId="156EEDF1" w14:textId="77777777" w:rsidR="001D4D59" w:rsidRPr="008834CA" w:rsidRDefault="001D4D59" w:rsidP="00070D1F">
            <w:pPr>
              <w:pStyle w:val="ListParagraph"/>
              <w:numPr>
                <w:ilvl w:val="0"/>
                <w:numId w:val="248"/>
              </w:numPr>
              <w:ind w:left="1168" w:right="-57" w:hanging="284"/>
              <w:jc w:val="both"/>
              <w:rPr>
                <w:bCs w:val="0"/>
                <w:sz w:val="18"/>
                <w:szCs w:val="18"/>
              </w:rPr>
            </w:pPr>
            <w:r w:rsidRPr="008834CA">
              <w:rPr>
                <w:sz w:val="18"/>
                <w:szCs w:val="18"/>
              </w:rPr>
              <w:t>disyaratkan atau telah menentukan untuk mengukur aset keuangan dan  liabilitas  keuangan  tersebut  pada  nilai  wajar  dalam  laporan posisi keuangan pada setiap akhir periode pelaporan.</w:t>
            </w:r>
          </w:p>
        </w:tc>
        <w:tc>
          <w:tcPr>
            <w:tcW w:w="4598" w:type="dxa"/>
            <w:tcBorders>
              <w:top w:val="nil"/>
              <w:left w:val="nil"/>
              <w:bottom w:val="nil"/>
              <w:right w:val="nil"/>
            </w:tcBorders>
          </w:tcPr>
          <w:p w14:paraId="5BAAE9CD" w14:textId="77777777" w:rsidR="001D4D59" w:rsidRPr="008834CA" w:rsidRDefault="001D4D59" w:rsidP="00070D1F">
            <w:pPr>
              <w:pStyle w:val="ListParagraph"/>
              <w:numPr>
                <w:ilvl w:val="0"/>
                <w:numId w:val="249"/>
              </w:numPr>
              <w:tabs>
                <w:tab w:val="left" w:pos="5590"/>
                <w:tab w:val="right" w:pos="7620"/>
                <w:tab w:val="right" w:pos="9460"/>
                <w:tab w:val="right" w:pos="10080"/>
              </w:tabs>
              <w:ind w:left="1184" w:right="-57" w:hanging="284"/>
              <w:jc w:val="both"/>
              <w:rPr>
                <w:bCs w:val="0"/>
                <w:i/>
                <w:sz w:val="18"/>
                <w:szCs w:val="18"/>
              </w:rPr>
            </w:pPr>
            <w:proofErr w:type="gramStart"/>
            <w:r w:rsidRPr="008834CA">
              <w:rPr>
                <w:i/>
                <w:sz w:val="18"/>
                <w:szCs w:val="18"/>
              </w:rPr>
              <w:t>is</w:t>
            </w:r>
            <w:proofErr w:type="gramEnd"/>
            <w:r w:rsidRPr="008834CA">
              <w:rPr>
                <w:i/>
                <w:sz w:val="18"/>
                <w:szCs w:val="18"/>
              </w:rPr>
              <w:t xml:space="preserve"> required or has elected to measure those financial assets and financial liabilities at fair value in the statement of financial position at the end of each reporting period.</w:t>
            </w:r>
          </w:p>
        </w:tc>
      </w:tr>
      <w:tr w:rsidR="001D4D59" w:rsidRPr="000379AE" w14:paraId="4DEA7E0C" w14:textId="77777777" w:rsidTr="00B8576F">
        <w:trPr>
          <w:trHeight w:val="20"/>
        </w:trPr>
        <w:tc>
          <w:tcPr>
            <w:tcW w:w="4598" w:type="dxa"/>
            <w:tcBorders>
              <w:top w:val="nil"/>
              <w:left w:val="nil"/>
              <w:bottom w:val="nil"/>
              <w:right w:val="nil"/>
            </w:tcBorders>
          </w:tcPr>
          <w:p w14:paraId="22E479B8" w14:textId="77777777" w:rsidR="001D4D59" w:rsidRPr="000379AE" w:rsidRDefault="001D4D59" w:rsidP="003903E3">
            <w:pPr>
              <w:ind w:left="972" w:right="-57"/>
              <w:jc w:val="both"/>
              <w:rPr>
                <w:bCs w:val="0"/>
                <w:sz w:val="18"/>
                <w:szCs w:val="18"/>
              </w:rPr>
            </w:pPr>
          </w:p>
        </w:tc>
        <w:tc>
          <w:tcPr>
            <w:tcW w:w="4598" w:type="dxa"/>
            <w:tcBorders>
              <w:top w:val="nil"/>
              <w:left w:val="nil"/>
              <w:bottom w:val="nil"/>
              <w:right w:val="nil"/>
            </w:tcBorders>
          </w:tcPr>
          <w:p w14:paraId="321E4284" w14:textId="77777777" w:rsidR="001D4D59" w:rsidRPr="000379AE" w:rsidRDefault="001D4D59" w:rsidP="003903E3">
            <w:pPr>
              <w:tabs>
                <w:tab w:val="left" w:pos="5590"/>
                <w:tab w:val="right" w:pos="7620"/>
                <w:tab w:val="right" w:pos="9460"/>
                <w:tab w:val="right" w:pos="10080"/>
              </w:tabs>
              <w:ind w:left="1242" w:right="-57"/>
              <w:jc w:val="both"/>
              <w:rPr>
                <w:bCs w:val="0"/>
                <w:i/>
                <w:sz w:val="18"/>
                <w:szCs w:val="18"/>
              </w:rPr>
            </w:pPr>
          </w:p>
        </w:tc>
      </w:tr>
    </w:tbl>
    <w:p w14:paraId="1F093474" w14:textId="77777777" w:rsidR="002F03EF" w:rsidRDefault="002F03EF">
      <w:pPr>
        <w:rPr>
          <w:sz w:val="6"/>
          <w:szCs w:val="6"/>
        </w:rPr>
      </w:pPr>
    </w:p>
    <w:p w14:paraId="3F2E0229" w14:textId="77777777" w:rsidR="002F03EF" w:rsidRDefault="002F03EF">
      <w:pPr>
        <w:rPr>
          <w:sz w:val="6"/>
          <w:szCs w:val="6"/>
        </w:rPr>
      </w:pPr>
    </w:p>
    <w:p w14:paraId="6315A553" w14:textId="77777777" w:rsidR="002F03EF" w:rsidRDefault="002F03EF">
      <w:pPr>
        <w:rPr>
          <w:sz w:val="6"/>
          <w:szCs w:val="6"/>
        </w:rPr>
      </w:pPr>
    </w:p>
    <w:p w14:paraId="50745777" w14:textId="77777777" w:rsidR="002F03EF" w:rsidRDefault="002F03EF">
      <w:pPr>
        <w:rPr>
          <w:sz w:val="6"/>
          <w:szCs w:val="6"/>
        </w:rPr>
      </w:pPr>
    </w:p>
    <w:p w14:paraId="2329DF9D" w14:textId="700CF3B3" w:rsidR="002F03EF" w:rsidRPr="002F03EF" w:rsidRDefault="002F03EF">
      <w:pPr>
        <w:rPr>
          <w:sz w:val="6"/>
          <w:szCs w:val="6"/>
        </w:rPr>
      </w:pPr>
      <w:r>
        <w:rPr>
          <w:sz w:val="6"/>
          <w:szCs w:val="6"/>
        </w:rPr>
        <w:br w:type="page"/>
      </w:r>
    </w:p>
    <w:tbl>
      <w:tblPr>
        <w:tblW w:w="9197" w:type="dxa"/>
        <w:tblInd w:w="392" w:type="dxa"/>
        <w:tblLayout w:type="fixed"/>
        <w:tblLook w:val="0000" w:firstRow="0" w:lastRow="0" w:firstColumn="0" w:lastColumn="0" w:noHBand="0" w:noVBand="0"/>
      </w:tblPr>
      <w:tblGrid>
        <w:gridCol w:w="4598"/>
        <w:gridCol w:w="4599"/>
      </w:tblGrid>
      <w:tr w:rsidR="001D4D59" w:rsidRPr="008834CA" w14:paraId="74717E10" w14:textId="77777777" w:rsidTr="00B8576F">
        <w:trPr>
          <w:trHeight w:val="20"/>
        </w:trPr>
        <w:tc>
          <w:tcPr>
            <w:tcW w:w="4598" w:type="dxa"/>
            <w:tcBorders>
              <w:top w:val="nil"/>
              <w:left w:val="nil"/>
              <w:bottom w:val="nil"/>
              <w:right w:val="nil"/>
            </w:tcBorders>
          </w:tcPr>
          <w:p w14:paraId="37F25FC3" w14:textId="5E17F898" w:rsidR="001D4D59" w:rsidRPr="008834CA" w:rsidRDefault="001D4D59" w:rsidP="00070D1F">
            <w:pPr>
              <w:numPr>
                <w:ilvl w:val="0"/>
                <w:numId w:val="236"/>
              </w:numPr>
              <w:tabs>
                <w:tab w:val="clear" w:pos="720"/>
                <w:tab w:val="num" w:pos="317"/>
              </w:tabs>
              <w:ind w:left="317" w:right="-57" w:hanging="317"/>
              <w:jc w:val="both"/>
              <w:rPr>
                <w:b/>
                <w:bCs w:val="0"/>
                <w:sz w:val="18"/>
                <w:szCs w:val="18"/>
              </w:rPr>
            </w:pPr>
            <w:r w:rsidRPr="008834CA">
              <w:rPr>
                <w:b/>
                <w:sz w:val="18"/>
                <w:szCs w:val="18"/>
              </w:rPr>
              <w:lastRenderedPageBreak/>
              <w:t>IKHTISAR KEBIJAKAN AKUNTANSI YANG PENTING</w:t>
            </w:r>
            <w:r w:rsidRPr="008834CA">
              <w:rPr>
                <w:sz w:val="18"/>
                <w:szCs w:val="18"/>
              </w:rPr>
              <w:t xml:space="preserve"> </w:t>
            </w:r>
            <w:r w:rsidR="00807BDA" w:rsidRPr="008834CA">
              <w:rPr>
                <w:b/>
                <w:sz w:val="18"/>
                <w:szCs w:val="18"/>
              </w:rPr>
              <w:t>-</w:t>
            </w:r>
            <w:r w:rsidR="000629D6" w:rsidRPr="008834CA">
              <w:rPr>
                <w:b/>
                <w:sz w:val="18"/>
                <w:szCs w:val="18"/>
              </w:rPr>
              <w:t xml:space="preserve"> Lanjutan</w:t>
            </w:r>
          </w:p>
        </w:tc>
        <w:tc>
          <w:tcPr>
            <w:tcW w:w="4598" w:type="dxa"/>
            <w:tcBorders>
              <w:top w:val="nil"/>
              <w:left w:val="nil"/>
              <w:bottom w:val="nil"/>
              <w:right w:val="nil"/>
            </w:tcBorders>
          </w:tcPr>
          <w:p w14:paraId="685087AA" w14:textId="5EFDC185" w:rsidR="001D4D59" w:rsidRPr="008834CA" w:rsidRDefault="001D4D59" w:rsidP="00070D1F">
            <w:pPr>
              <w:numPr>
                <w:ilvl w:val="0"/>
                <w:numId w:val="237"/>
              </w:numPr>
              <w:tabs>
                <w:tab w:val="clear" w:pos="720"/>
                <w:tab w:val="num" w:pos="333"/>
                <w:tab w:val="left" w:pos="5590"/>
                <w:tab w:val="right" w:pos="7620"/>
                <w:tab w:val="right" w:pos="9460"/>
                <w:tab w:val="right" w:pos="10080"/>
              </w:tabs>
              <w:ind w:left="333" w:right="-57" w:hanging="333"/>
              <w:jc w:val="both"/>
              <w:rPr>
                <w:b/>
                <w:bCs w:val="0"/>
                <w:i/>
                <w:sz w:val="18"/>
                <w:szCs w:val="18"/>
              </w:rPr>
            </w:pPr>
            <w:r w:rsidRPr="008834CA">
              <w:rPr>
                <w:b/>
                <w:i/>
                <w:sz w:val="18"/>
                <w:szCs w:val="18"/>
              </w:rPr>
              <w:t xml:space="preserve">SUMMARY OF SIGNIFICANT ACCOUNTING POLICIES </w:t>
            </w:r>
            <w:r w:rsidR="00807BDA" w:rsidRPr="008834CA">
              <w:rPr>
                <w:b/>
                <w:i/>
                <w:sz w:val="18"/>
                <w:szCs w:val="18"/>
              </w:rPr>
              <w:t>-</w:t>
            </w:r>
            <w:r w:rsidR="000629D6" w:rsidRPr="008834CA">
              <w:rPr>
                <w:b/>
                <w:i/>
                <w:sz w:val="18"/>
                <w:szCs w:val="18"/>
              </w:rPr>
              <w:t xml:space="preserve"> Continued</w:t>
            </w:r>
          </w:p>
        </w:tc>
      </w:tr>
      <w:tr w:rsidR="001D4D59" w:rsidRPr="008834CA" w14:paraId="3B9FF17E" w14:textId="77777777" w:rsidTr="00B8576F">
        <w:trPr>
          <w:trHeight w:val="20"/>
        </w:trPr>
        <w:tc>
          <w:tcPr>
            <w:tcW w:w="4598" w:type="dxa"/>
            <w:tcBorders>
              <w:top w:val="nil"/>
              <w:left w:val="nil"/>
              <w:bottom w:val="nil"/>
              <w:right w:val="nil"/>
            </w:tcBorders>
          </w:tcPr>
          <w:p w14:paraId="40FE2EF0" w14:textId="77777777" w:rsidR="001D4D59" w:rsidRPr="008834CA" w:rsidRDefault="001D4D59" w:rsidP="003903E3">
            <w:pPr>
              <w:ind w:left="522" w:right="-57"/>
              <w:jc w:val="both"/>
              <w:rPr>
                <w:bCs w:val="0"/>
                <w:sz w:val="18"/>
                <w:szCs w:val="18"/>
              </w:rPr>
            </w:pPr>
          </w:p>
        </w:tc>
        <w:tc>
          <w:tcPr>
            <w:tcW w:w="4598" w:type="dxa"/>
            <w:tcBorders>
              <w:top w:val="nil"/>
              <w:left w:val="nil"/>
              <w:bottom w:val="nil"/>
              <w:right w:val="nil"/>
            </w:tcBorders>
          </w:tcPr>
          <w:p w14:paraId="725B823A"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8834CA" w14:paraId="11185895" w14:textId="77777777" w:rsidTr="00B8576F">
        <w:trPr>
          <w:trHeight w:val="20"/>
        </w:trPr>
        <w:tc>
          <w:tcPr>
            <w:tcW w:w="4598" w:type="dxa"/>
            <w:tcBorders>
              <w:top w:val="nil"/>
              <w:left w:val="nil"/>
              <w:bottom w:val="nil"/>
              <w:right w:val="nil"/>
            </w:tcBorders>
          </w:tcPr>
          <w:p w14:paraId="02004385" w14:textId="4A74043E" w:rsidR="001D4D59" w:rsidRPr="008834CA" w:rsidRDefault="00B172E2" w:rsidP="00070D1F">
            <w:pPr>
              <w:pStyle w:val="ListParagraph"/>
              <w:numPr>
                <w:ilvl w:val="0"/>
                <w:numId w:val="238"/>
              </w:numPr>
              <w:ind w:left="459" w:right="-57" w:hanging="142"/>
              <w:jc w:val="both"/>
              <w:rPr>
                <w:b/>
                <w:bCs w:val="0"/>
                <w:sz w:val="18"/>
                <w:szCs w:val="18"/>
              </w:rPr>
            </w:pPr>
            <w:r w:rsidRPr="008834CA">
              <w:rPr>
                <w:b/>
                <w:sz w:val="18"/>
                <w:szCs w:val="18"/>
              </w:rPr>
              <w:t xml:space="preserve"> </w:t>
            </w:r>
            <w:r w:rsidR="001D4D59" w:rsidRPr="008834CA">
              <w:rPr>
                <w:b/>
                <w:sz w:val="18"/>
                <w:szCs w:val="18"/>
              </w:rPr>
              <w:t xml:space="preserve">Pengukuran Nilai Wajar </w:t>
            </w:r>
            <w:r w:rsidR="000629D6" w:rsidRPr="008834CA">
              <w:rPr>
                <w:b/>
                <w:sz w:val="18"/>
                <w:szCs w:val="18"/>
              </w:rPr>
              <w:t>- Lanjutan</w:t>
            </w:r>
          </w:p>
        </w:tc>
        <w:tc>
          <w:tcPr>
            <w:tcW w:w="4598" w:type="dxa"/>
            <w:tcBorders>
              <w:top w:val="nil"/>
              <w:left w:val="nil"/>
              <w:bottom w:val="nil"/>
              <w:right w:val="nil"/>
            </w:tcBorders>
          </w:tcPr>
          <w:p w14:paraId="5F2B0980" w14:textId="4B362A08" w:rsidR="001D4D59" w:rsidRPr="008834CA" w:rsidRDefault="001D4D59" w:rsidP="00070D1F">
            <w:pPr>
              <w:pStyle w:val="ListParagraph"/>
              <w:numPr>
                <w:ilvl w:val="0"/>
                <w:numId w:val="184"/>
              </w:numPr>
              <w:tabs>
                <w:tab w:val="left" w:pos="5590"/>
                <w:tab w:val="right" w:pos="7620"/>
                <w:tab w:val="right" w:pos="9460"/>
                <w:tab w:val="right" w:pos="10080"/>
              </w:tabs>
              <w:ind w:left="617" w:right="-57" w:hanging="284"/>
              <w:jc w:val="both"/>
              <w:rPr>
                <w:b/>
                <w:bCs w:val="0"/>
                <w:i/>
                <w:sz w:val="18"/>
                <w:szCs w:val="18"/>
              </w:rPr>
            </w:pPr>
            <w:r w:rsidRPr="008834CA">
              <w:rPr>
                <w:b/>
                <w:i/>
                <w:sz w:val="18"/>
                <w:szCs w:val="18"/>
              </w:rPr>
              <w:t xml:space="preserve">Fair Value Measurement </w:t>
            </w:r>
            <w:r w:rsidR="000629D6" w:rsidRPr="008834CA">
              <w:rPr>
                <w:b/>
                <w:i/>
                <w:sz w:val="18"/>
                <w:szCs w:val="18"/>
              </w:rPr>
              <w:t>- Continued</w:t>
            </w:r>
          </w:p>
        </w:tc>
      </w:tr>
      <w:tr w:rsidR="001D4D59" w:rsidRPr="008834CA" w14:paraId="27EFB14D" w14:textId="77777777" w:rsidTr="00B8576F">
        <w:trPr>
          <w:trHeight w:val="20"/>
        </w:trPr>
        <w:tc>
          <w:tcPr>
            <w:tcW w:w="4598" w:type="dxa"/>
            <w:tcBorders>
              <w:top w:val="nil"/>
              <w:left w:val="nil"/>
              <w:bottom w:val="nil"/>
              <w:right w:val="nil"/>
            </w:tcBorders>
          </w:tcPr>
          <w:p w14:paraId="6E0B17E1" w14:textId="77777777" w:rsidR="001D4D59" w:rsidRPr="008834CA" w:rsidRDefault="001D4D59" w:rsidP="003903E3">
            <w:pPr>
              <w:ind w:left="972" w:right="-57"/>
              <w:jc w:val="both"/>
              <w:rPr>
                <w:bCs w:val="0"/>
                <w:sz w:val="18"/>
                <w:szCs w:val="18"/>
              </w:rPr>
            </w:pPr>
          </w:p>
        </w:tc>
        <w:tc>
          <w:tcPr>
            <w:tcW w:w="4598" w:type="dxa"/>
            <w:tcBorders>
              <w:top w:val="nil"/>
              <w:left w:val="nil"/>
              <w:bottom w:val="nil"/>
              <w:right w:val="nil"/>
            </w:tcBorders>
          </w:tcPr>
          <w:p w14:paraId="3AA00514" w14:textId="77777777" w:rsidR="001D4D59" w:rsidRPr="008834CA" w:rsidRDefault="001D4D59" w:rsidP="003903E3">
            <w:pPr>
              <w:tabs>
                <w:tab w:val="left" w:pos="5590"/>
                <w:tab w:val="right" w:pos="7620"/>
                <w:tab w:val="right" w:pos="9460"/>
                <w:tab w:val="right" w:pos="10080"/>
              </w:tabs>
              <w:ind w:left="1242" w:right="-57"/>
              <w:jc w:val="both"/>
              <w:rPr>
                <w:bCs w:val="0"/>
                <w:i/>
                <w:sz w:val="18"/>
                <w:szCs w:val="18"/>
              </w:rPr>
            </w:pPr>
          </w:p>
        </w:tc>
      </w:tr>
      <w:tr w:rsidR="001D4D59" w:rsidRPr="008834CA" w14:paraId="0F9FB999" w14:textId="77777777" w:rsidTr="00B8576F">
        <w:trPr>
          <w:trHeight w:val="20"/>
        </w:trPr>
        <w:tc>
          <w:tcPr>
            <w:tcW w:w="4598" w:type="dxa"/>
            <w:tcBorders>
              <w:top w:val="nil"/>
              <w:left w:val="nil"/>
              <w:bottom w:val="nil"/>
              <w:right w:val="nil"/>
            </w:tcBorders>
          </w:tcPr>
          <w:p w14:paraId="31719311" w14:textId="40A63841" w:rsidR="001D4D59" w:rsidRPr="008834CA" w:rsidRDefault="001D4D59" w:rsidP="003903E3">
            <w:pPr>
              <w:ind w:left="522" w:right="-57"/>
              <w:jc w:val="both"/>
              <w:rPr>
                <w:b/>
                <w:bCs w:val="0"/>
                <w:sz w:val="18"/>
                <w:szCs w:val="18"/>
              </w:rPr>
            </w:pPr>
            <w:r w:rsidRPr="008834CA">
              <w:rPr>
                <w:b/>
                <w:sz w:val="18"/>
                <w:szCs w:val="18"/>
              </w:rPr>
              <w:t xml:space="preserve">Pengukuran </w:t>
            </w:r>
            <w:r w:rsidR="000629D6" w:rsidRPr="008834CA">
              <w:rPr>
                <w:b/>
                <w:sz w:val="18"/>
                <w:szCs w:val="18"/>
              </w:rPr>
              <w:t>- Lanjutan</w:t>
            </w:r>
          </w:p>
        </w:tc>
        <w:tc>
          <w:tcPr>
            <w:tcW w:w="4598" w:type="dxa"/>
            <w:tcBorders>
              <w:top w:val="nil"/>
              <w:left w:val="nil"/>
              <w:bottom w:val="nil"/>
              <w:right w:val="nil"/>
            </w:tcBorders>
          </w:tcPr>
          <w:p w14:paraId="6D23C093" w14:textId="4CCDBA08" w:rsidR="001D4D59" w:rsidRPr="008834CA" w:rsidRDefault="001D4D59" w:rsidP="00B172E2">
            <w:pPr>
              <w:tabs>
                <w:tab w:val="left" w:pos="5590"/>
                <w:tab w:val="right" w:pos="7620"/>
                <w:tab w:val="right" w:pos="9460"/>
                <w:tab w:val="right" w:pos="10080"/>
              </w:tabs>
              <w:ind w:left="617" w:right="-57"/>
              <w:jc w:val="both"/>
              <w:rPr>
                <w:b/>
                <w:bCs w:val="0"/>
                <w:i/>
                <w:sz w:val="18"/>
                <w:szCs w:val="18"/>
              </w:rPr>
            </w:pPr>
            <w:r w:rsidRPr="008834CA">
              <w:rPr>
                <w:b/>
                <w:i/>
                <w:sz w:val="18"/>
                <w:szCs w:val="18"/>
              </w:rPr>
              <w:t xml:space="preserve">Measurement </w:t>
            </w:r>
            <w:r w:rsidR="000629D6" w:rsidRPr="008834CA">
              <w:rPr>
                <w:b/>
                <w:i/>
                <w:sz w:val="18"/>
                <w:szCs w:val="18"/>
              </w:rPr>
              <w:t>- Continued</w:t>
            </w:r>
          </w:p>
        </w:tc>
      </w:tr>
      <w:tr w:rsidR="001D4D59" w:rsidRPr="008834CA" w14:paraId="583FA3DC" w14:textId="77777777" w:rsidTr="00B8576F">
        <w:trPr>
          <w:trHeight w:val="20"/>
        </w:trPr>
        <w:tc>
          <w:tcPr>
            <w:tcW w:w="4598" w:type="dxa"/>
            <w:tcBorders>
              <w:top w:val="nil"/>
              <w:left w:val="nil"/>
              <w:bottom w:val="nil"/>
              <w:right w:val="nil"/>
            </w:tcBorders>
          </w:tcPr>
          <w:p w14:paraId="7D9FCF29" w14:textId="77777777" w:rsidR="001D4D59" w:rsidRPr="008834CA" w:rsidRDefault="001D4D59" w:rsidP="003903E3">
            <w:pPr>
              <w:ind w:left="972" w:right="-57"/>
              <w:jc w:val="both"/>
              <w:rPr>
                <w:bCs w:val="0"/>
                <w:sz w:val="18"/>
                <w:szCs w:val="18"/>
              </w:rPr>
            </w:pPr>
          </w:p>
        </w:tc>
        <w:tc>
          <w:tcPr>
            <w:tcW w:w="4598" w:type="dxa"/>
            <w:tcBorders>
              <w:top w:val="nil"/>
              <w:left w:val="nil"/>
              <w:bottom w:val="nil"/>
              <w:right w:val="nil"/>
            </w:tcBorders>
          </w:tcPr>
          <w:p w14:paraId="76DB5B04" w14:textId="77777777" w:rsidR="001D4D59" w:rsidRPr="008834CA" w:rsidRDefault="001D4D59" w:rsidP="003903E3">
            <w:pPr>
              <w:tabs>
                <w:tab w:val="left" w:pos="5590"/>
                <w:tab w:val="right" w:pos="7620"/>
                <w:tab w:val="right" w:pos="9460"/>
                <w:tab w:val="right" w:pos="10080"/>
              </w:tabs>
              <w:ind w:left="1242" w:right="-57"/>
              <w:jc w:val="both"/>
              <w:rPr>
                <w:bCs w:val="0"/>
                <w:i/>
                <w:sz w:val="18"/>
                <w:szCs w:val="18"/>
              </w:rPr>
            </w:pPr>
          </w:p>
        </w:tc>
      </w:tr>
      <w:tr w:rsidR="001D4D59" w:rsidRPr="008834CA" w14:paraId="48D923CB" w14:textId="77777777" w:rsidTr="00B8576F">
        <w:trPr>
          <w:trHeight w:val="20"/>
        </w:trPr>
        <w:tc>
          <w:tcPr>
            <w:tcW w:w="4598" w:type="dxa"/>
            <w:tcBorders>
              <w:top w:val="nil"/>
              <w:left w:val="nil"/>
              <w:bottom w:val="nil"/>
              <w:right w:val="nil"/>
            </w:tcBorders>
          </w:tcPr>
          <w:p w14:paraId="1C7E0F0F" w14:textId="77777777" w:rsidR="001D4D59" w:rsidRPr="008834CA" w:rsidRDefault="001D4D59" w:rsidP="003903E3">
            <w:pPr>
              <w:ind w:left="522" w:right="-57"/>
              <w:jc w:val="both"/>
              <w:rPr>
                <w:b/>
                <w:bCs w:val="0"/>
                <w:sz w:val="18"/>
                <w:szCs w:val="18"/>
              </w:rPr>
            </w:pPr>
            <w:r w:rsidRPr="008834CA">
              <w:rPr>
                <w:b/>
                <w:sz w:val="18"/>
                <w:szCs w:val="18"/>
              </w:rPr>
              <w:t>Pasar Utama (</w:t>
            </w:r>
            <w:r w:rsidRPr="008834CA">
              <w:rPr>
                <w:b/>
                <w:i/>
                <w:sz w:val="18"/>
                <w:szCs w:val="18"/>
              </w:rPr>
              <w:t>Principal market</w:t>
            </w:r>
            <w:r w:rsidRPr="008834CA">
              <w:rPr>
                <w:b/>
                <w:sz w:val="18"/>
                <w:szCs w:val="18"/>
              </w:rPr>
              <w:t>) atau paling menguntungkan (</w:t>
            </w:r>
            <w:r w:rsidRPr="008834CA">
              <w:rPr>
                <w:b/>
                <w:i/>
                <w:sz w:val="18"/>
                <w:szCs w:val="18"/>
              </w:rPr>
              <w:t>most advantageous</w:t>
            </w:r>
            <w:r w:rsidRPr="008834CA">
              <w:rPr>
                <w:b/>
                <w:sz w:val="18"/>
                <w:szCs w:val="18"/>
              </w:rPr>
              <w:t>)</w:t>
            </w:r>
          </w:p>
        </w:tc>
        <w:tc>
          <w:tcPr>
            <w:tcW w:w="4598" w:type="dxa"/>
            <w:tcBorders>
              <w:top w:val="nil"/>
              <w:left w:val="nil"/>
              <w:bottom w:val="nil"/>
              <w:right w:val="nil"/>
            </w:tcBorders>
          </w:tcPr>
          <w:p w14:paraId="2B1467A6" w14:textId="77777777" w:rsidR="001D4D59" w:rsidRPr="008834CA" w:rsidRDefault="001D4D59" w:rsidP="00B172E2">
            <w:pPr>
              <w:tabs>
                <w:tab w:val="left" w:pos="5590"/>
                <w:tab w:val="right" w:pos="7620"/>
                <w:tab w:val="right" w:pos="9460"/>
                <w:tab w:val="right" w:pos="10080"/>
              </w:tabs>
              <w:ind w:left="900" w:right="-57" w:hanging="283"/>
              <w:jc w:val="both"/>
              <w:rPr>
                <w:b/>
                <w:bCs w:val="0"/>
                <w:i/>
                <w:sz w:val="18"/>
                <w:szCs w:val="18"/>
              </w:rPr>
            </w:pPr>
            <w:r w:rsidRPr="008834CA">
              <w:rPr>
                <w:b/>
                <w:i/>
                <w:sz w:val="18"/>
                <w:szCs w:val="18"/>
              </w:rPr>
              <w:t>Principal (or Most Advantageous) Market</w:t>
            </w:r>
          </w:p>
        </w:tc>
      </w:tr>
      <w:tr w:rsidR="001D4D59" w:rsidRPr="008834CA" w14:paraId="059139AD" w14:textId="77777777" w:rsidTr="00B8576F">
        <w:trPr>
          <w:trHeight w:val="20"/>
        </w:trPr>
        <w:tc>
          <w:tcPr>
            <w:tcW w:w="4598" w:type="dxa"/>
            <w:tcBorders>
              <w:top w:val="nil"/>
              <w:left w:val="nil"/>
              <w:bottom w:val="nil"/>
              <w:right w:val="nil"/>
            </w:tcBorders>
          </w:tcPr>
          <w:p w14:paraId="4D3F1071" w14:textId="77777777" w:rsidR="001D4D59" w:rsidRPr="008834CA" w:rsidRDefault="001D4D59" w:rsidP="003903E3">
            <w:pPr>
              <w:ind w:left="972" w:right="-57"/>
              <w:jc w:val="both"/>
              <w:rPr>
                <w:bCs w:val="0"/>
                <w:sz w:val="18"/>
                <w:szCs w:val="18"/>
              </w:rPr>
            </w:pPr>
          </w:p>
        </w:tc>
        <w:tc>
          <w:tcPr>
            <w:tcW w:w="4598" w:type="dxa"/>
            <w:tcBorders>
              <w:top w:val="nil"/>
              <w:left w:val="nil"/>
              <w:bottom w:val="nil"/>
              <w:right w:val="nil"/>
            </w:tcBorders>
          </w:tcPr>
          <w:p w14:paraId="076695E5"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B8576F" w14:paraId="57F93614" w14:textId="77777777" w:rsidTr="00B8576F">
        <w:trPr>
          <w:trHeight w:val="20"/>
        </w:trPr>
        <w:tc>
          <w:tcPr>
            <w:tcW w:w="4598" w:type="dxa"/>
            <w:tcBorders>
              <w:top w:val="nil"/>
              <w:left w:val="nil"/>
              <w:bottom w:val="nil"/>
              <w:right w:val="nil"/>
            </w:tcBorders>
          </w:tcPr>
          <w:p w14:paraId="2F5E6044" w14:textId="3236E435" w:rsidR="001D4D59" w:rsidRPr="008834CA" w:rsidRDefault="001D4D59" w:rsidP="0048229C">
            <w:pPr>
              <w:ind w:left="522" w:right="-57"/>
              <w:jc w:val="both"/>
              <w:rPr>
                <w:bCs w:val="0"/>
                <w:sz w:val="18"/>
                <w:szCs w:val="18"/>
              </w:rPr>
            </w:pPr>
            <w:r w:rsidRPr="008834CA">
              <w:rPr>
                <w:sz w:val="18"/>
                <w:szCs w:val="18"/>
              </w:rPr>
              <w:t>Nilai wajar adalah harga yang akan diterima untuk menjual suatu  aset  atau  harga  yang  akan  dibayar  untuk  mengalihkan  suatu liabilitas  kepada pelaku pasar dalam  transaksi  teratur  (</w:t>
            </w:r>
            <w:r w:rsidRPr="008834CA">
              <w:rPr>
                <w:i/>
                <w:sz w:val="18"/>
                <w:szCs w:val="18"/>
              </w:rPr>
              <w:t>orderly transaction</w:t>
            </w:r>
            <w:r w:rsidRPr="008834CA">
              <w:rPr>
                <w:sz w:val="18"/>
                <w:szCs w:val="18"/>
              </w:rPr>
              <w:t>) di  pasar  utama (</w:t>
            </w:r>
            <w:r w:rsidRPr="0048229C">
              <w:rPr>
                <w:i/>
                <w:sz w:val="18"/>
                <w:szCs w:val="18"/>
              </w:rPr>
              <w:t>principal market</w:t>
            </w:r>
            <w:r w:rsidR="0048229C">
              <w:rPr>
                <w:sz w:val="18"/>
                <w:szCs w:val="18"/>
              </w:rPr>
              <w:t>,</w:t>
            </w:r>
            <w:r w:rsidRPr="008834CA">
              <w:rPr>
                <w:sz w:val="18"/>
                <w:szCs w:val="18"/>
              </w:rPr>
              <w:t xml:space="preserve"> pasar  dengan volume dan frekuensi aktivitas terbanyak untuk aset atau liabilitas tersebut). Jika tidak terdapat pasar utama (</w:t>
            </w:r>
            <w:r w:rsidRPr="008834CA">
              <w:rPr>
                <w:i/>
                <w:sz w:val="18"/>
                <w:szCs w:val="18"/>
              </w:rPr>
              <w:t>principal market</w:t>
            </w:r>
            <w:r w:rsidRPr="008834CA">
              <w:rPr>
                <w:sz w:val="18"/>
                <w:szCs w:val="18"/>
              </w:rPr>
              <w:t>)</w:t>
            </w:r>
            <w:r w:rsidR="0048229C">
              <w:rPr>
                <w:sz w:val="18"/>
                <w:szCs w:val="18"/>
              </w:rPr>
              <w:t>,</w:t>
            </w:r>
            <w:r w:rsidRPr="008834CA">
              <w:rPr>
                <w:sz w:val="18"/>
                <w:szCs w:val="18"/>
              </w:rPr>
              <w:t xml:space="preserve"> harga dalam pasar yang paling menguntungkan (</w:t>
            </w:r>
            <w:r w:rsidRPr="008834CA">
              <w:rPr>
                <w:i/>
                <w:sz w:val="18"/>
                <w:szCs w:val="18"/>
              </w:rPr>
              <w:t>most advantageous market</w:t>
            </w:r>
            <w:r w:rsidRPr="008834CA">
              <w:rPr>
                <w:sz w:val="18"/>
                <w:szCs w:val="18"/>
              </w:rPr>
              <w:t>) digunakan yaitu pasar dimana entitas bias mencapai harga yang paling menguntungkan.</w:t>
            </w:r>
          </w:p>
        </w:tc>
        <w:tc>
          <w:tcPr>
            <w:tcW w:w="4598" w:type="dxa"/>
            <w:tcBorders>
              <w:top w:val="nil"/>
              <w:left w:val="nil"/>
              <w:bottom w:val="nil"/>
              <w:right w:val="nil"/>
            </w:tcBorders>
          </w:tcPr>
          <w:p w14:paraId="529FCFF1" w14:textId="65A3F01E" w:rsidR="001D4D59" w:rsidRPr="008834CA" w:rsidRDefault="001D4D59" w:rsidP="00B172E2">
            <w:pPr>
              <w:tabs>
                <w:tab w:val="left" w:pos="5590"/>
                <w:tab w:val="right" w:pos="7620"/>
                <w:tab w:val="right" w:pos="9460"/>
                <w:tab w:val="right" w:pos="10080"/>
              </w:tabs>
              <w:ind w:left="617" w:right="-57"/>
              <w:jc w:val="both"/>
              <w:rPr>
                <w:bCs w:val="0"/>
                <w:i/>
                <w:sz w:val="18"/>
                <w:szCs w:val="18"/>
              </w:rPr>
            </w:pPr>
            <w:r w:rsidRPr="008834CA">
              <w:rPr>
                <w:i/>
                <w:sz w:val="18"/>
                <w:szCs w:val="18"/>
              </w:rPr>
              <w:t>Fair value is the price that would be received if an asset were sold or a liability transferred between market participant in an orderly transaction in the principal market (the market with the greatest volume and level of activity for that asset or liability). If there is no principal market</w:t>
            </w:r>
            <w:r w:rsidR="00870FD0">
              <w:rPr>
                <w:i/>
                <w:sz w:val="18"/>
                <w:szCs w:val="18"/>
              </w:rPr>
              <w:t>.</w:t>
            </w:r>
            <w:r w:rsidRPr="008834CA">
              <w:rPr>
                <w:i/>
                <w:sz w:val="18"/>
                <w:szCs w:val="18"/>
              </w:rPr>
              <w:t xml:space="preserve"> </w:t>
            </w:r>
            <w:proofErr w:type="gramStart"/>
            <w:r w:rsidRPr="008834CA">
              <w:rPr>
                <w:i/>
                <w:sz w:val="18"/>
                <w:szCs w:val="18"/>
              </w:rPr>
              <w:t>the</w:t>
            </w:r>
            <w:proofErr w:type="gramEnd"/>
            <w:r w:rsidRPr="008834CA">
              <w:rPr>
                <w:i/>
                <w:sz w:val="18"/>
                <w:szCs w:val="18"/>
              </w:rPr>
              <w:t xml:space="preserve"> price in the most advantageous market  is used that is the market in which the entity could achieve the most beneficial price.</w:t>
            </w:r>
          </w:p>
        </w:tc>
      </w:tr>
      <w:tr w:rsidR="001D4D59" w:rsidRPr="00B8576F" w14:paraId="5A160F2F" w14:textId="77777777" w:rsidTr="00B8576F">
        <w:trPr>
          <w:trHeight w:val="20"/>
        </w:trPr>
        <w:tc>
          <w:tcPr>
            <w:tcW w:w="4598" w:type="dxa"/>
            <w:tcBorders>
              <w:top w:val="nil"/>
              <w:left w:val="nil"/>
              <w:bottom w:val="nil"/>
              <w:right w:val="nil"/>
            </w:tcBorders>
          </w:tcPr>
          <w:p w14:paraId="0E9C7BD4" w14:textId="77777777" w:rsidR="001D4D59" w:rsidRPr="00B8576F" w:rsidRDefault="001D4D59" w:rsidP="003903E3">
            <w:pPr>
              <w:ind w:left="522" w:right="-57"/>
              <w:jc w:val="both"/>
              <w:rPr>
                <w:bCs w:val="0"/>
                <w:sz w:val="18"/>
                <w:szCs w:val="18"/>
                <w:highlight w:val="cyan"/>
              </w:rPr>
            </w:pPr>
          </w:p>
        </w:tc>
        <w:tc>
          <w:tcPr>
            <w:tcW w:w="4598" w:type="dxa"/>
            <w:tcBorders>
              <w:top w:val="nil"/>
              <w:left w:val="nil"/>
              <w:bottom w:val="nil"/>
              <w:right w:val="nil"/>
            </w:tcBorders>
          </w:tcPr>
          <w:p w14:paraId="24473056" w14:textId="77777777" w:rsidR="001D4D59" w:rsidRPr="00B8576F" w:rsidRDefault="001D4D59" w:rsidP="003903E3">
            <w:pPr>
              <w:tabs>
                <w:tab w:val="left" w:pos="5590"/>
                <w:tab w:val="right" w:pos="7620"/>
                <w:tab w:val="right" w:pos="9460"/>
                <w:tab w:val="right" w:pos="10080"/>
              </w:tabs>
              <w:ind w:left="704" w:right="-57"/>
              <w:jc w:val="both"/>
              <w:rPr>
                <w:bCs w:val="0"/>
                <w:i/>
                <w:sz w:val="18"/>
                <w:szCs w:val="18"/>
                <w:highlight w:val="cyan"/>
              </w:rPr>
            </w:pPr>
          </w:p>
        </w:tc>
      </w:tr>
      <w:tr w:rsidR="001D4D59" w:rsidRPr="00B8576F" w14:paraId="6C32841B" w14:textId="77777777" w:rsidTr="00B8576F">
        <w:trPr>
          <w:trHeight w:val="20"/>
        </w:trPr>
        <w:tc>
          <w:tcPr>
            <w:tcW w:w="4598" w:type="dxa"/>
            <w:tcBorders>
              <w:top w:val="nil"/>
              <w:left w:val="nil"/>
              <w:bottom w:val="nil"/>
              <w:right w:val="nil"/>
            </w:tcBorders>
          </w:tcPr>
          <w:p w14:paraId="1B5163E8" w14:textId="3CD1179A" w:rsidR="001D4D59" w:rsidRPr="008834CA" w:rsidRDefault="001D4D59" w:rsidP="0048229C">
            <w:pPr>
              <w:ind w:left="522" w:right="-57"/>
              <w:jc w:val="both"/>
              <w:rPr>
                <w:bCs w:val="0"/>
                <w:sz w:val="18"/>
                <w:szCs w:val="18"/>
              </w:rPr>
            </w:pPr>
            <w:r w:rsidRPr="008834CA">
              <w:rPr>
                <w:sz w:val="18"/>
                <w:szCs w:val="18"/>
              </w:rPr>
              <w:t>Sebaliknya</w:t>
            </w:r>
            <w:r w:rsidR="00870FD0">
              <w:rPr>
                <w:sz w:val="18"/>
                <w:szCs w:val="18"/>
              </w:rPr>
              <w:t>.</w:t>
            </w:r>
            <w:r w:rsidRPr="008834CA">
              <w:rPr>
                <w:sz w:val="18"/>
                <w:szCs w:val="18"/>
              </w:rPr>
              <w:t xml:space="preserve"> </w:t>
            </w:r>
            <w:proofErr w:type="gramStart"/>
            <w:r w:rsidRPr="008834CA">
              <w:rPr>
                <w:sz w:val="18"/>
                <w:szCs w:val="18"/>
              </w:rPr>
              <w:t>dengan</w:t>
            </w:r>
            <w:proofErr w:type="gramEnd"/>
            <w:r w:rsidRPr="008834CA">
              <w:rPr>
                <w:sz w:val="18"/>
                <w:szCs w:val="18"/>
              </w:rPr>
              <w:t xml:space="preserve"> tidak adanya bukti</w:t>
            </w:r>
            <w:r w:rsidR="0048229C">
              <w:rPr>
                <w:sz w:val="18"/>
                <w:szCs w:val="18"/>
              </w:rPr>
              <w:t>,</w:t>
            </w:r>
            <w:r w:rsidRPr="008834CA">
              <w:rPr>
                <w:sz w:val="18"/>
                <w:szCs w:val="18"/>
              </w:rPr>
              <w:t xml:space="preserve"> pasar di mana entitas biasanya bertransaksi akan dianggap menjadi pasar utama (</w:t>
            </w:r>
            <w:r w:rsidRPr="008834CA">
              <w:rPr>
                <w:i/>
                <w:sz w:val="18"/>
                <w:szCs w:val="18"/>
              </w:rPr>
              <w:t>principal market</w:t>
            </w:r>
            <w:r w:rsidRPr="008834CA">
              <w:rPr>
                <w:sz w:val="18"/>
                <w:szCs w:val="18"/>
              </w:rPr>
              <w:t>) atau pasar yang paling menguntungkan (</w:t>
            </w:r>
            <w:r w:rsidRPr="008834CA">
              <w:rPr>
                <w:i/>
                <w:sz w:val="18"/>
                <w:szCs w:val="18"/>
              </w:rPr>
              <w:t>most advantageous market</w:t>
            </w:r>
            <w:r w:rsidRPr="008834CA">
              <w:rPr>
                <w:sz w:val="18"/>
                <w:szCs w:val="18"/>
              </w:rPr>
              <w:t>). Jika lokasi (</w:t>
            </w:r>
            <w:r w:rsidRPr="008834CA">
              <w:rPr>
                <w:i/>
                <w:sz w:val="18"/>
                <w:szCs w:val="18"/>
              </w:rPr>
              <w:t>premise</w:t>
            </w:r>
            <w:r w:rsidRPr="008834CA">
              <w:rPr>
                <w:sz w:val="18"/>
                <w:szCs w:val="18"/>
              </w:rPr>
              <w:t>) merupakan karakteristik dari aset</w:t>
            </w:r>
            <w:r w:rsidR="00870FD0">
              <w:rPr>
                <w:sz w:val="18"/>
                <w:szCs w:val="18"/>
              </w:rPr>
              <w:t>.</w:t>
            </w:r>
            <w:r w:rsidRPr="008834CA">
              <w:rPr>
                <w:sz w:val="18"/>
                <w:szCs w:val="18"/>
              </w:rPr>
              <w:t xml:space="preserve"> </w:t>
            </w:r>
            <w:proofErr w:type="gramStart"/>
            <w:r w:rsidRPr="008834CA">
              <w:rPr>
                <w:sz w:val="18"/>
                <w:szCs w:val="18"/>
              </w:rPr>
              <w:t>harga</w:t>
            </w:r>
            <w:proofErr w:type="gramEnd"/>
            <w:r w:rsidRPr="008834CA">
              <w:rPr>
                <w:sz w:val="18"/>
                <w:szCs w:val="18"/>
              </w:rPr>
              <w:t xml:space="preserve"> harus disesuaikan untuk biaya-biaya yang akan dikeluarkan untuk mengangkut aset ke atau dari pasar utama atau pasar paling menguntungkan (</w:t>
            </w:r>
            <w:r w:rsidRPr="008834CA">
              <w:rPr>
                <w:i/>
                <w:sz w:val="18"/>
                <w:szCs w:val="18"/>
              </w:rPr>
              <w:t>most advantageous market</w:t>
            </w:r>
            <w:r w:rsidRPr="008834CA">
              <w:rPr>
                <w:sz w:val="18"/>
                <w:szCs w:val="18"/>
              </w:rPr>
              <w:t>).</w:t>
            </w:r>
            <w:r w:rsidRPr="008834CA">
              <w:t xml:space="preserve"> </w:t>
            </w:r>
            <w:r w:rsidRPr="008834CA">
              <w:rPr>
                <w:sz w:val="18"/>
                <w:szCs w:val="18"/>
              </w:rPr>
              <w:t>Namun</w:t>
            </w:r>
            <w:r w:rsidR="00870FD0">
              <w:rPr>
                <w:sz w:val="18"/>
                <w:szCs w:val="18"/>
              </w:rPr>
              <w:t>.</w:t>
            </w:r>
            <w:r w:rsidRPr="008834CA">
              <w:rPr>
                <w:sz w:val="18"/>
                <w:szCs w:val="18"/>
              </w:rPr>
              <w:t xml:space="preserve"> </w:t>
            </w:r>
            <w:proofErr w:type="gramStart"/>
            <w:r w:rsidRPr="008834CA">
              <w:rPr>
                <w:sz w:val="18"/>
                <w:szCs w:val="18"/>
              </w:rPr>
              <w:t>biaya</w:t>
            </w:r>
            <w:proofErr w:type="gramEnd"/>
            <w:r w:rsidRPr="008834CA">
              <w:rPr>
                <w:sz w:val="18"/>
                <w:szCs w:val="18"/>
              </w:rPr>
              <w:t xml:space="preserve"> transaksi tidak akan disertakan dalam pengukuran nilai wajar karena biaya tersebut bukan merupakan karakteristik dari aset atau liabilitas.</w:t>
            </w:r>
          </w:p>
        </w:tc>
        <w:tc>
          <w:tcPr>
            <w:tcW w:w="4598" w:type="dxa"/>
            <w:tcBorders>
              <w:top w:val="nil"/>
              <w:left w:val="nil"/>
              <w:bottom w:val="nil"/>
              <w:right w:val="nil"/>
            </w:tcBorders>
          </w:tcPr>
          <w:p w14:paraId="1C7268FD" w14:textId="5EFEA2B1" w:rsidR="001D4D59" w:rsidRPr="008834CA" w:rsidRDefault="001D4D59" w:rsidP="0048229C">
            <w:pPr>
              <w:tabs>
                <w:tab w:val="left" w:pos="5590"/>
                <w:tab w:val="right" w:pos="7620"/>
                <w:tab w:val="right" w:pos="9460"/>
                <w:tab w:val="right" w:pos="10080"/>
              </w:tabs>
              <w:ind w:left="617" w:right="-57"/>
              <w:jc w:val="both"/>
              <w:rPr>
                <w:bCs w:val="0"/>
                <w:i/>
                <w:sz w:val="18"/>
                <w:szCs w:val="18"/>
              </w:rPr>
            </w:pPr>
            <w:r w:rsidRPr="008834CA">
              <w:rPr>
                <w:i/>
                <w:sz w:val="18"/>
                <w:szCs w:val="18"/>
              </w:rPr>
              <w:t>In the absence of evidence to the contrary</w:t>
            </w:r>
            <w:r w:rsidR="0048229C">
              <w:rPr>
                <w:i/>
                <w:sz w:val="18"/>
                <w:szCs w:val="18"/>
              </w:rPr>
              <w:t>,</w:t>
            </w:r>
            <w:r w:rsidRPr="008834CA">
              <w:rPr>
                <w:i/>
                <w:sz w:val="18"/>
                <w:szCs w:val="18"/>
              </w:rPr>
              <w:t xml:space="preserve"> the market in which the entity </w:t>
            </w:r>
            <w:proofErr w:type="gramStart"/>
            <w:r w:rsidRPr="008834CA">
              <w:rPr>
                <w:i/>
                <w:sz w:val="18"/>
                <w:szCs w:val="18"/>
              </w:rPr>
              <w:t>normally  transacts</w:t>
            </w:r>
            <w:proofErr w:type="gramEnd"/>
            <w:r w:rsidRPr="008834CA">
              <w:rPr>
                <w:i/>
                <w:sz w:val="18"/>
                <w:szCs w:val="18"/>
              </w:rPr>
              <w:t xml:space="preserve">  would be presumed to be the principal or most advantageous market. If location (premise) is a characteristic of an asset</w:t>
            </w:r>
            <w:r w:rsidR="0048229C">
              <w:rPr>
                <w:i/>
                <w:sz w:val="18"/>
                <w:szCs w:val="18"/>
              </w:rPr>
              <w:t>,</w:t>
            </w:r>
            <w:r w:rsidRPr="008834CA">
              <w:rPr>
                <w:i/>
                <w:sz w:val="18"/>
                <w:szCs w:val="18"/>
              </w:rPr>
              <w:t xml:space="preserve"> the price should be adjusted for costs that would be incurred to transport the asset to or from the principal (or most advantageous) market. However</w:t>
            </w:r>
            <w:r w:rsidR="00870FD0">
              <w:rPr>
                <w:i/>
                <w:sz w:val="18"/>
                <w:szCs w:val="18"/>
              </w:rPr>
              <w:t>.</w:t>
            </w:r>
            <w:r w:rsidRPr="008834CA">
              <w:rPr>
                <w:i/>
                <w:sz w:val="18"/>
                <w:szCs w:val="18"/>
              </w:rPr>
              <w:t xml:space="preserve"> </w:t>
            </w:r>
            <w:proofErr w:type="gramStart"/>
            <w:r w:rsidRPr="008834CA">
              <w:rPr>
                <w:i/>
                <w:sz w:val="18"/>
                <w:szCs w:val="18"/>
              </w:rPr>
              <w:t>transaction</w:t>
            </w:r>
            <w:proofErr w:type="gramEnd"/>
            <w:r w:rsidRPr="008834CA">
              <w:rPr>
                <w:i/>
                <w:sz w:val="18"/>
                <w:szCs w:val="18"/>
              </w:rPr>
              <w:t xml:space="preserve"> costs would not be included in a fair value measurement because such costs are not a characteristic of the asset or liability.</w:t>
            </w:r>
          </w:p>
        </w:tc>
      </w:tr>
      <w:tr w:rsidR="001D4D59" w:rsidRPr="00B8576F" w14:paraId="4F3001AB" w14:textId="77777777" w:rsidTr="00B8576F">
        <w:trPr>
          <w:trHeight w:val="20"/>
        </w:trPr>
        <w:tc>
          <w:tcPr>
            <w:tcW w:w="4598" w:type="dxa"/>
            <w:tcBorders>
              <w:top w:val="nil"/>
              <w:left w:val="nil"/>
              <w:bottom w:val="nil"/>
              <w:right w:val="nil"/>
            </w:tcBorders>
          </w:tcPr>
          <w:p w14:paraId="6902E39C" w14:textId="77777777" w:rsidR="001D4D59" w:rsidRPr="00B8576F" w:rsidRDefault="001D4D59" w:rsidP="003903E3">
            <w:pPr>
              <w:ind w:left="522" w:right="-57"/>
              <w:jc w:val="both"/>
              <w:rPr>
                <w:bCs w:val="0"/>
                <w:sz w:val="18"/>
                <w:szCs w:val="18"/>
                <w:highlight w:val="cyan"/>
              </w:rPr>
            </w:pPr>
          </w:p>
        </w:tc>
        <w:tc>
          <w:tcPr>
            <w:tcW w:w="4598" w:type="dxa"/>
            <w:tcBorders>
              <w:top w:val="nil"/>
              <w:left w:val="nil"/>
              <w:bottom w:val="nil"/>
              <w:right w:val="nil"/>
            </w:tcBorders>
          </w:tcPr>
          <w:p w14:paraId="2EE2D5C7" w14:textId="77777777" w:rsidR="001D4D59" w:rsidRPr="00B8576F" w:rsidRDefault="001D4D59" w:rsidP="003903E3">
            <w:pPr>
              <w:tabs>
                <w:tab w:val="left" w:pos="5590"/>
                <w:tab w:val="right" w:pos="7620"/>
                <w:tab w:val="right" w:pos="9460"/>
                <w:tab w:val="right" w:pos="10080"/>
              </w:tabs>
              <w:ind w:left="704" w:right="-57"/>
              <w:jc w:val="both"/>
              <w:rPr>
                <w:bCs w:val="0"/>
                <w:i/>
                <w:sz w:val="18"/>
                <w:szCs w:val="18"/>
                <w:highlight w:val="cyan"/>
              </w:rPr>
            </w:pPr>
          </w:p>
        </w:tc>
      </w:tr>
      <w:tr w:rsidR="001D4D59" w:rsidRPr="008834CA" w14:paraId="5ECA1E3D" w14:textId="77777777" w:rsidTr="00B8576F">
        <w:trPr>
          <w:trHeight w:val="20"/>
        </w:trPr>
        <w:tc>
          <w:tcPr>
            <w:tcW w:w="4598" w:type="dxa"/>
            <w:tcBorders>
              <w:top w:val="nil"/>
              <w:left w:val="nil"/>
              <w:bottom w:val="nil"/>
              <w:right w:val="nil"/>
            </w:tcBorders>
          </w:tcPr>
          <w:p w14:paraId="7FBCD6CF" w14:textId="77777777" w:rsidR="001D4D59" w:rsidRPr="008834CA" w:rsidRDefault="001D4D59" w:rsidP="003903E3">
            <w:pPr>
              <w:ind w:left="522" w:right="-57"/>
              <w:jc w:val="both"/>
              <w:rPr>
                <w:b/>
                <w:bCs w:val="0"/>
                <w:sz w:val="18"/>
                <w:szCs w:val="18"/>
              </w:rPr>
            </w:pPr>
            <w:r w:rsidRPr="008834CA">
              <w:rPr>
                <w:b/>
                <w:sz w:val="18"/>
                <w:szCs w:val="18"/>
              </w:rPr>
              <w:t>Penggunaan Tertinggi dan Terbaik (</w:t>
            </w:r>
            <w:r w:rsidRPr="008834CA">
              <w:rPr>
                <w:b/>
                <w:i/>
                <w:sz w:val="18"/>
                <w:szCs w:val="18"/>
              </w:rPr>
              <w:t>Highest and Best Use</w:t>
            </w:r>
            <w:r w:rsidRPr="008834CA">
              <w:rPr>
                <w:b/>
                <w:sz w:val="18"/>
                <w:szCs w:val="18"/>
              </w:rPr>
              <w:t>)</w:t>
            </w:r>
          </w:p>
        </w:tc>
        <w:tc>
          <w:tcPr>
            <w:tcW w:w="4598" w:type="dxa"/>
            <w:tcBorders>
              <w:top w:val="nil"/>
              <w:left w:val="nil"/>
              <w:bottom w:val="nil"/>
              <w:right w:val="nil"/>
            </w:tcBorders>
          </w:tcPr>
          <w:p w14:paraId="0A89AD4D" w14:textId="77777777" w:rsidR="001D4D59" w:rsidRPr="008834CA" w:rsidRDefault="001D4D59" w:rsidP="003903E3">
            <w:pPr>
              <w:tabs>
                <w:tab w:val="left" w:pos="5590"/>
                <w:tab w:val="right" w:pos="7620"/>
                <w:tab w:val="right" w:pos="9460"/>
                <w:tab w:val="right" w:pos="10080"/>
              </w:tabs>
              <w:ind w:left="704" w:right="-57"/>
              <w:jc w:val="both"/>
              <w:rPr>
                <w:b/>
                <w:bCs w:val="0"/>
                <w:i/>
                <w:sz w:val="18"/>
                <w:szCs w:val="18"/>
              </w:rPr>
            </w:pPr>
            <w:r w:rsidRPr="008834CA">
              <w:rPr>
                <w:b/>
                <w:i/>
                <w:sz w:val="18"/>
                <w:szCs w:val="18"/>
              </w:rPr>
              <w:t>Highest and Best Use</w:t>
            </w:r>
          </w:p>
        </w:tc>
      </w:tr>
      <w:tr w:rsidR="001D4D59" w:rsidRPr="008834CA" w14:paraId="4D7318EF" w14:textId="77777777" w:rsidTr="00B8576F">
        <w:trPr>
          <w:trHeight w:val="20"/>
        </w:trPr>
        <w:tc>
          <w:tcPr>
            <w:tcW w:w="4598" w:type="dxa"/>
            <w:tcBorders>
              <w:top w:val="nil"/>
              <w:left w:val="nil"/>
              <w:bottom w:val="nil"/>
              <w:right w:val="nil"/>
            </w:tcBorders>
          </w:tcPr>
          <w:p w14:paraId="0AF6FE01" w14:textId="77777777" w:rsidR="001D4D59" w:rsidRPr="008834CA" w:rsidRDefault="001D4D59" w:rsidP="003903E3">
            <w:pPr>
              <w:ind w:left="522" w:right="-57"/>
              <w:jc w:val="both"/>
              <w:rPr>
                <w:bCs w:val="0"/>
                <w:sz w:val="18"/>
                <w:szCs w:val="18"/>
              </w:rPr>
            </w:pPr>
          </w:p>
        </w:tc>
        <w:tc>
          <w:tcPr>
            <w:tcW w:w="4598" w:type="dxa"/>
            <w:tcBorders>
              <w:top w:val="nil"/>
              <w:left w:val="nil"/>
              <w:bottom w:val="nil"/>
              <w:right w:val="nil"/>
            </w:tcBorders>
          </w:tcPr>
          <w:p w14:paraId="407B18CC"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B8576F" w14:paraId="6DF9B989" w14:textId="77777777" w:rsidTr="00B8576F">
        <w:trPr>
          <w:trHeight w:val="20"/>
        </w:trPr>
        <w:tc>
          <w:tcPr>
            <w:tcW w:w="4598" w:type="dxa"/>
            <w:tcBorders>
              <w:top w:val="nil"/>
              <w:left w:val="nil"/>
              <w:bottom w:val="nil"/>
              <w:right w:val="nil"/>
            </w:tcBorders>
          </w:tcPr>
          <w:p w14:paraId="539065F6" w14:textId="633FC4D6" w:rsidR="001D4D59" w:rsidRPr="008834CA" w:rsidRDefault="001D4D59" w:rsidP="0048229C">
            <w:pPr>
              <w:ind w:left="522" w:right="-57"/>
              <w:jc w:val="both"/>
              <w:rPr>
                <w:bCs w:val="0"/>
                <w:sz w:val="18"/>
                <w:szCs w:val="18"/>
              </w:rPr>
            </w:pPr>
            <w:r w:rsidRPr="008834CA">
              <w:rPr>
                <w:sz w:val="18"/>
                <w:szCs w:val="18"/>
              </w:rPr>
              <w:t>Pengukuran nilai wajar aset nonkeuangan diukur atas dasar penggunaan tertinggi dan terbaik (</w:t>
            </w:r>
            <w:r w:rsidRPr="008834CA">
              <w:rPr>
                <w:i/>
                <w:sz w:val="18"/>
                <w:szCs w:val="18"/>
              </w:rPr>
              <w:t>highest and best use</w:t>
            </w:r>
            <w:r w:rsidRPr="008834CA">
              <w:rPr>
                <w:sz w:val="18"/>
                <w:szCs w:val="18"/>
              </w:rPr>
              <w:t>) dari aset oleh pelaku pasar.  Dalam menentukan penggunaan tertinggi dan terbaik   (</w:t>
            </w:r>
            <w:r w:rsidRPr="008834CA">
              <w:rPr>
                <w:i/>
                <w:sz w:val="18"/>
                <w:szCs w:val="18"/>
              </w:rPr>
              <w:t>highest and best use</w:t>
            </w:r>
            <w:r w:rsidRPr="008834CA">
              <w:rPr>
                <w:sz w:val="18"/>
                <w:szCs w:val="18"/>
              </w:rPr>
              <w:t>)</w:t>
            </w:r>
            <w:proofErr w:type="gramStart"/>
            <w:r w:rsidR="0048229C">
              <w:rPr>
                <w:sz w:val="18"/>
                <w:szCs w:val="18"/>
              </w:rPr>
              <w:t>,</w:t>
            </w:r>
            <w:r w:rsidRPr="008834CA">
              <w:rPr>
                <w:sz w:val="18"/>
                <w:szCs w:val="18"/>
              </w:rPr>
              <w:t xml:space="preserve">  entitas</w:t>
            </w:r>
            <w:proofErr w:type="gramEnd"/>
            <w:r w:rsidRPr="008834CA">
              <w:rPr>
                <w:sz w:val="18"/>
                <w:szCs w:val="18"/>
              </w:rPr>
              <w:t xml:space="preserve"> harus memperhitungkan apakah penggunaan aset adalah penggunaan yang “secara fisik dimungkinkan (</w:t>
            </w:r>
            <w:r w:rsidRPr="008834CA">
              <w:rPr>
                <w:i/>
                <w:sz w:val="18"/>
                <w:szCs w:val="18"/>
              </w:rPr>
              <w:t>phycically possible</w:t>
            </w:r>
            <w:r w:rsidRPr="008834CA">
              <w:rPr>
                <w:sz w:val="18"/>
                <w:szCs w:val="18"/>
              </w:rPr>
              <w:t>)</w:t>
            </w:r>
            <w:r w:rsidR="0048229C">
              <w:rPr>
                <w:sz w:val="18"/>
                <w:szCs w:val="18"/>
              </w:rPr>
              <w:t>,</w:t>
            </w:r>
            <w:r w:rsidRPr="008834CA">
              <w:rPr>
                <w:sz w:val="18"/>
                <w:szCs w:val="18"/>
              </w:rPr>
              <w:t xml:space="preserve"> secara hukum diijinkan (</w:t>
            </w:r>
            <w:r w:rsidRPr="008834CA">
              <w:rPr>
                <w:i/>
                <w:sz w:val="18"/>
                <w:szCs w:val="18"/>
              </w:rPr>
              <w:t>legally  permissible</w:t>
            </w:r>
            <w:r w:rsidRPr="008834CA">
              <w:rPr>
                <w:sz w:val="18"/>
                <w:szCs w:val="18"/>
              </w:rPr>
              <w:t>) dan secara keuangan layak  (</w:t>
            </w:r>
            <w:r w:rsidRPr="008834CA">
              <w:rPr>
                <w:i/>
                <w:sz w:val="18"/>
                <w:szCs w:val="18"/>
              </w:rPr>
              <w:t>financially  feasible</w:t>
            </w:r>
            <w:r w:rsidRPr="008834CA">
              <w:rPr>
                <w:sz w:val="18"/>
                <w:szCs w:val="18"/>
              </w:rPr>
              <w:t>)”. Kecuali pasar atau faktor lain menyarankan sebaliknya</w:t>
            </w:r>
            <w:r w:rsidR="00870FD0">
              <w:rPr>
                <w:sz w:val="18"/>
                <w:szCs w:val="18"/>
              </w:rPr>
              <w:t>.</w:t>
            </w:r>
            <w:r w:rsidRPr="008834CA">
              <w:rPr>
                <w:sz w:val="18"/>
                <w:szCs w:val="18"/>
              </w:rPr>
              <w:t xml:space="preserve"> </w:t>
            </w:r>
            <w:proofErr w:type="gramStart"/>
            <w:r w:rsidRPr="008834CA">
              <w:rPr>
                <w:sz w:val="18"/>
                <w:szCs w:val="18"/>
              </w:rPr>
              <w:t>penggunaan</w:t>
            </w:r>
            <w:proofErr w:type="gramEnd"/>
            <w:r w:rsidRPr="008834CA">
              <w:rPr>
                <w:sz w:val="18"/>
                <w:szCs w:val="18"/>
              </w:rPr>
              <w:t xml:space="preserve"> aset oleh entitas saat kini dianggap sebagai penggunaan tertinggi dan terbaik (</w:t>
            </w:r>
            <w:r w:rsidRPr="008834CA">
              <w:rPr>
                <w:i/>
                <w:sz w:val="18"/>
                <w:szCs w:val="18"/>
              </w:rPr>
              <w:t>highest and best use</w:t>
            </w:r>
            <w:r w:rsidRPr="008834CA">
              <w:rPr>
                <w:sz w:val="18"/>
                <w:szCs w:val="18"/>
              </w:rPr>
              <w:t xml:space="preserve">).  </w:t>
            </w:r>
          </w:p>
        </w:tc>
        <w:tc>
          <w:tcPr>
            <w:tcW w:w="4598" w:type="dxa"/>
            <w:tcBorders>
              <w:top w:val="nil"/>
              <w:left w:val="nil"/>
              <w:bottom w:val="nil"/>
              <w:right w:val="nil"/>
            </w:tcBorders>
          </w:tcPr>
          <w:p w14:paraId="65A45FBD" w14:textId="0599B3EF" w:rsidR="001D4D59" w:rsidRPr="008834CA" w:rsidRDefault="001D4D59" w:rsidP="0048229C">
            <w:pPr>
              <w:tabs>
                <w:tab w:val="left" w:pos="5590"/>
                <w:tab w:val="right" w:pos="7620"/>
                <w:tab w:val="right" w:pos="9460"/>
                <w:tab w:val="right" w:pos="10080"/>
              </w:tabs>
              <w:ind w:left="617" w:right="-57"/>
              <w:jc w:val="both"/>
              <w:rPr>
                <w:bCs w:val="0"/>
                <w:i/>
                <w:sz w:val="18"/>
                <w:szCs w:val="18"/>
              </w:rPr>
            </w:pPr>
            <w:r w:rsidRPr="008834CA">
              <w:rPr>
                <w:i/>
                <w:sz w:val="18"/>
                <w:szCs w:val="18"/>
              </w:rPr>
              <w:t xml:space="preserve">The fair value of a non-financial asset is measured on the basis of the highest and best use of the asset by a </w:t>
            </w:r>
            <w:proofErr w:type="gramStart"/>
            <w:r w:rsidRPr="008834CA">
              <w:rPr>
                <w:i/>
                <w:sz w:val="18"/>
                <w:szCs w:val="18"/>
              </w:rPr>
              <w:t>market  participant</w:t>
            </w:r>
            <w:proofErr w:type="gramEnd"/>
            <w:r w:rsidRPr="008834CA">
              <w:rPr>
                <w:i/>
                <w:sz w:val="18"/>
                <w:szCs w:val="18"/>
              </w:rPr>
              <w:t xml:space="preserve">. </w:t>
            </w:r>
            <w:proofErr w:type="gramStart"/>
            <w:r w:rsidRPr="008834CA">
              <w:rPr>
                <w:i/>
                <w:sz w:val="18"/>
                <w:szCs w:val="18"/>
              </w:rPr>
              <w:t>In  determining</w:t>
            </w:r>
            <w:proofErr w:type="gramEnd"/>
            <w:r w:rsidRPr="008834CA">
              <w:rPr>
                <w:i/>
                <w:sz w:val="18"/>
                <w:szCs w:val="18"/>
              </w:rPr>
              <w:t xml:space="preserve"> the  highest and best use</w:t>
            </w:r>
            <w:r w:rsidR="00870FD0">
              <w:rPr>
                <w:i/>
                <w:sz w:val="18"/>
                <w:szCs w:val="18"/>
              </w:rPr>
              <w:t>.</w:t>
            </w:r>
            <w:r w:rsidRPr="008834CA">
              <w:rPr>
                <w:i/>
                <w:sz w:val="18"/>
                <w:szCs w:val="18"/>
              </w:rPr>
              <w:t xml:space="preserve"> </w:t>
            </w:r>
            <w:proofErr w:type="gramStart"/>
            <w:r w:rsidRPr="008834CA">
              <w:rPr>
                <w:i/>
                <w:sz w:val="18"/>
                <w:szCs w:val="18"/>
              </w:rPr>
              <w:t>an</w:t>
            </w:r>
            <w:proofErr w:type="gramEnd"/>
            <w:r w:rsidRPr="008834CA">
              <w:rPr>
                <w:i/>
                <w:sz w:val="18"/>
                <w:szCs w:val="18"/>
              </w:rPr>
              <w:t xml:space="preserve"> entity  must contemplate whether the use of the asset is “physically possible</w:t>
            </w:r>
            <w:r w:rsidR="00870FD0">
              <w:rPr>
                <w:i/>
                <w:sz w:val="18"/>
                <w:szCs w:val="18"/>
              </w:rPr>
              <w:t>.</w:t>
            </w:r>
            <w:r w:rsidRPr="008834CA">
              <w:rPr>
                <w:i/>
                <w:sz w:val="18"/>
                <w:szCs w:val="18"/>
              </w:rPr>
              <w:t xml:space="preserve"> </w:t>
            </w:r>
            <w:proofErr w:type="gramStart"/>
            <w:r w:rsidRPr="008834CA">
              <w:rPr>
                <w:i/>
                <w:sz w:val="18"/>
                <w:szCs w:val="18"/>
              </w:rPr>
              <w:t>legally</w:t>
            </w:r>
            <w:proofErr w:type="gramEnd"/>
            <w:r w:rsidRPr="008834CA">
              <w:rPr>
                <w:i/>
                <w:sz w:val="18"/>
                <w:szCs w:val="18"/>
              </w:rPr>
              <w:t xml:space="preserve"> permissible</w:t>
            </w:r>
            <w:r w:rsidR="0048229C">
              <w:rPr>
                <w:i/>
                <w:sz w:val="18"/>
                <w:szCs w:val="18"/>
              </w:rPr>
              <w:t>,</w:t>
            </w:r>
            <w:r w:rsidRPr="008834CA">
              <w:rPr>
                <w:i/>
                <w:sz w:val="18"/>
                <w:szCs w:val="18"/>
              </w:rPr>
              <w:t xml:space="preserve"> and financially feasible”. Unless market or other factors suggest otherwise</w:t>
            </w:r>
            <w:r w:rsidR="00870FD0">
              <w:rPr>
                <w:i/>
                <w:sz w:val="18"/>
                <w:szCs w:val="18"/>
              </w:rPr>
              <w:t>.</w:t>
            </w:r>
            <w:r w:rsidRPr="008834CA">
              <w:rPr>
                <w:i/>
                <w:sz w:val="18"/>
                <w:szCs w:val="18"/>
              </w:rPr>
              <w:t xml:space="preserve"> </w:t>
            </w:r>
            <w:proofErr w:type="gramStart"/>
            <w:r w:rsidRPr="008834CA">
              <w:rPr>
                <w:i/>
                <w:sz w:val="18"/>
                <w:szCs w:val="18"/>
              </w:rPr>
              <w:t>an</w:t>
            </w:r>
            <w:proofErr w:type="gramEnd"/>
            <w:r w:rsidRPr="008834CA">
              <w:rPr>
                <w:i/>
                <w:sz w:val="18"/>
                <w:szCs w:val="18"/>
              </w:rPr>
              <w:t xml:space="preserve"> entity’s current use of a non-financial asset is presumed to be its highest and best use.</w:t>
            </w:r>
          </w:p>
        </w:tc>
      </w:tr>
      <w:tr w:rsidR="001D4D59" w:rsidRPr="00B8576F" w14:paraId="6D9BA445" w14:textId="77777777" w:rsidTr="00B8576F">
        <w:trPr>
          <w:trHeight w:val="20"/>
        </w:trPr>
        <w:tc>
          <w:tcPr>
            <w:tcW w:w="4598" w:type="dxa"/>
            <w:tcBorders>
              <w:top w:val="nil"/>
              <w:left w:val="nil"/>
              <w:bottom w:val="nil"/>
              <w:right w:val="nil"/>
            </w:tcBorders>
          </w:tcPr>
          <w:p w14:paraId="204FC1D8" w14:textId="77777777" w:rsidR="001D4D59" w:rsidRPr="00B8576F" w:rsidRDefault="001D4D59" w:rsidP="003903E3">
            <w:pPr>
              <w:ind w:left="522" w:right="-57"/>
              <w:jc w:val="both"/>
              <w:rPr>
                <w:bCs w:val="0"/>
                <w:sz w:val="18"/>
                <w:szCs w:val="18"/>
                <w:highlight w:val="cyan"/>
              </w:rPr>
            </w:pPr>
          </w:p>
        </w:tc>
        <w:tc>
          <w:tcPr>
            <w:tcW w:w="4598" w:type="dxa"/>
            <w:tcBorders>
              <w:top w:val="nil"/>
              <w:left w:val="nil"/>
              <w:bottom w:val="nil"/>
              <w:right w:val="nil"/>
            </w:tcBorders>
          </w:tcPr>
          <w:p w14:paraId="2ECC45B9" w14:textId="77777777" w:rsidR="001D4D59" w:rsidRPr="00B8576F" w:rsidRDefault="001D4D59" w:rsidP="003903E3">
            <w:pPr>
              <w:tabs>
                <w:tab w:val="left" w:pos="5590"/>
                <w:tab w:val="right" w:pos="7620"/>
                <w:tab w:val="right" w:pos="9460"/>
                <w:tab w:val="right" w:pos="10080"/>
              </w:tabs>
              <w:ind w:left="704" w:right="-57"/>
              <w:jc w:val="both"/>
              <w:rPr>
                <w:bCs w:val="0"/>
                <w:i/>
                <w:sz w:val="18"/>
                <w:szCs w:val="18"/>
                <w:highlight w:val="cyan"/>
              </w:rPr>
            </w:pPr>
          </w:p>
        </w:tc>
      </w:tr>
      <w:tr w:rsidR="001D4D59" w:rsidRPr="00C608D0" w14:paraId="622CA050" w14:textId="77777777" w:rsidTr="00B8576F">
        <w:trPr>
          <w:trHeight w:val="20"/>
        </w:trPr>
        <w:tc>
          <w:tcPr>
            <w:tcW w:w="4598" w:type="dxa"/>
            <w:tcBorders>
              <w:top w:val="nil"/>
              <w:left w:val="nil"/>
              <w:bottom w:val="nil"/>
              <w:right w:val="nil"/>
            </w:tcBorders>
          </w:tcPr>
          <w:p w14:paraId="06F9D1A6" w14:textId="663BD466" w:rsidR="001D4D59" w:rsidRPr="008834CA" w:rsidRDefault="001D4D59" w:rsidP="0048229C">
            <w:pPr>
              <w:ind w:left="522" w:right="-57"/>
              <w:jc w:val="both"/>
              <w:rPr>
                <w:bCs w:val="0"/>
                <w:sz w:val="18"/>
                <w:szCs w:val="18"/>
              </w:rPr>
            </w:pPr>
            <w:r w:rsidRPr="008834CA">
              <w:rPr>
                <w:sz w:val="18"/>
                <w:szCs w:val="18"/>
              </w:rPr>
              <w:t>Beberapa entitas secara sengaja mungkin memutuskan untuk tidak menggunakan aset pada penggunaan tertinggi dan terbaik (</w:t>
            </w:r>
            <w:r w:rsidRPr="008834CA">
              <w:rPr>
                <w:i/>
                <w:sz w:val="18"/>
                <w:szCs w:val="18"/>
              </w:rPr>
              <w:t>highest and best use</w:t>
            </w:r>
            <w:r w:rsidRPr="008834CA">
              <w:rPr>
                <w:sz w:val="18"/>
                <w:szCs w:val="18"/>
              </w:rPr>
              <w:t>) (misalnya ketika entitas memegang aset defensif untuk mencegah orang lain menggunakannya). Dalam keadaan seperti itu</w:t>
            </w:r>
            <w:r w:rsidR="0048229C">
              <w:rPr>
                <w:sz w:val="18"/>
                <w:szCs w:val="18"/>
              </w:rPr>
              <w:t>,</w:t>
            </w:r>
            <w:r w:rsidRPr="008834CA">
              <w:rPr>
                <w:sz w:val="18"/>
                <w:szCs w:val="18"/>
              </w:rPr>
              <w:t xml:space="preserve"> standar tetap mensyaratkan pengukuran berdasarkan penggunaan tertinggi dan terbaik (</w:t>
            </w:r>
            <w:r w:rsidRPr="008834CA">
              <w:rPr>
                <w:i/>
                <w:sz w:val="18"/>
                <w:szCs w:val="18"/>
              </w:rPr>
              <w:t>highest and best use</w:t>
            </w:r>
            <w:r w:rsidRPr="008834CA">
              <w:rPr>
                <w:sz w:val="18"/>
                <w:szCs w:val="18"/>
              </w:rPr>
              <w:t>) dan juga membutuhkan pengungkapan fakta bahwa aset tersebut tidak digunakan dengan cara tersebut.</w:t>
            </w:r>
          </w:p>
        </w:tc>
        <w:tc>
          <w:tcPr>
            <w:tcW w:w="4598" w:type="dxa"/>
            <w:tcBorders>
              <w:top w:val="nil"/>
              <w:left w:val="nil"/>
              <w:bottom w:val="nil"/>
              <w:right w:val="nil"/>
            </w:tcBorders>
          </w:tcPr>
          <w:p w14:paraId="38EC740B" w14:textId="28C9475B" w:rsidR="001D4D59" w:rsidRPr="008F6B22" w:rsidRDefault="001D4D59" w:rsidP="0048229C">
            <w:pPr>
              <w:tabs>
                <w:tab w:val="left" w:pos="5590"/>
                <w:tab w:val="right" w:pos="7620"/>
                <w:tab w:val="right" w:pos="9460"/>
                <w:tab w:val="right" w:pos="10080"/>
              </w:tabs>
              <w:ind w:left="704" w:right="-57"/>
              <w:jc w:val="both"/>
              <w:rPr>
                <w:bCs w:val="0"/>
                <w:i/>
                <w:sz w:val="18"/>
                <w:szCs w:val="18"/>
              </w:rPr>
            </w:pPr>
            <w:r w:rsidRPr="008834CA">
              <w:rPr>
                <w:i/>
                <w:sz w:val="18"/>
                <w:szCs w:val="18"/>
              </w:rPr>
              <w:t>Some entities may purposefully decide not to employ an asset at its highest and best use (e.g</w:t>
            </w:r>
            <w:r w:rsidR="0048229C">
              <w:rPr>
                <w:i/>
                <w:sz w:val="18"/>
                <w:szCs w:val="18"/>
              </w:rPr>
              <w:t>,</w:t>
            </w:r>
            <w:r w:rsidRPr="008834CA">
              <w:rPr>
                <w:i/>
                <w:sz w:val="18"/>
                <w:szCs w:val="18"/>
              </w:rPr>
              <w:t xml:space="preserve"> when an entity holds an asset defensively to prevent others from using it). In such circumstances</w:t>
            </w:r>
            <w:r w:rsidR="0048229C">
              <w:rPr>
                <w:i/>
                <w:sz w:val="18"/>
                <w:szCs w:val="18"/>
              </w:rPr>
              <w:t>,</w:t>
            </w:r>
            <w:r w:rsidRPr="008834CA">
              <w:rPr>
                <w:i/>
                <w:sz w:val="18"/>
                <w:szCs w:val="18"/>
              </w:rPr>
              <w:t xml:space="preserve"> standard continues to require measurement based on the highest and best use and also requires disclosure of the fact that the asset is not used in that way.</w:t>
            </w:r>
          </w:p>
        </w:tc>
      </w:tr>
      <w:tr w:rsidR="001D4D59" w:rsidRPr="008F6B22" w14:paraId="176AE541" w14:textId="77777777" w:rsidTr="00B8576F">
        <w:trPr>
          <w:trHeight w:val="20"/>
        </w:trPr>
        <w:tc>
          <w:tcPr>
            <w:tcW w:w="4598" w:type="dxa"/>
            <w:tcBorders>
              <w:top w:val="nil"/>
              <w:left w:val="nil"/>
              <w:bottom w:val="nil"/>
              <w:right w:val="nil"/>
            </w:tcBorders>
          </w:tcPr>
          <w:p w14:paraId="650F007E" w14:textId="77777777" w:rsidR="001D4D59" w:rsidRPr="008F6B22" w:rsidRDefault="001D4D59" w:rsidP="003903E3">
            <w:pPr>
              <w:ind w:left="522" w:right="-57"/>
              <w:jc w:val="both"/>
              <w:rPr>
                <w:bCs w:val="0"/>
                <w:sz w:val="18"/>
                <w:szCs w:val="18"/>
              </w:rPr>
            </w:pPr>
          </w:p>
        </w:tc>
        <w:tc>
          <w:tcPr>
            <w:tcW w:w="4598" w:type="dxa"/>
            <w:tcBorders>
              <w:top w:val="nil"/>
              <w:left w:val="nil"/>
              <w:bottom w:val="nil"/>
              <w:right w:val="nil"/>
            </w:tcBorders>
          </w:tcPr>
          <w:p w14:paraId="0B92BD0A" w14:textId="77777777" w:rsidR="001D4D59" w:rsidRPr="008F6B22" w:rsidRDefault="001D4D59" w:rsidP="003903E3">
            <w:pPr>
              <w:tabs>
                <w:tab w:val="left" w:pos="5590"/>
                <w:tab w:val="right" w:pos="7620"/>
                <w:tab w:val="right" w:pos="9460"/>
                <w:tab w:val="right" w:pos="10080"/>
              </w:tabs>
              <w:ind w:left="704" w:right="-57"/>
              <w:jc w:val="both"/>
              <w:rPr>
                <w:bCs w:val="0"/>
                <w:i/>
                <w:sz w:val="18"/>
                <w:szCs w:val="18"/>
              </w:rPr>
            </w:pPr>
          </w:p>
        </w:tc>
      </w:tr>
    </w:tbl>
    <w:p w14:paraId="328160ED" w14:textId="77777777" w:rsidR="002F03EF" w:rsidRDefault="002F03EF">
      <w:pPr>
        <w:rPr>
          <w:sz w:val="6"/>
          <w:szCs w:val="6"/>
        </w:rPr>
      </w:pPr>
    </w:p>
    <w:p w14:paraId="28703A1E" w14:textId="77777777" w:rsidR="002F03EF" w:rsidRDefault="002F03EF">
      <w:pPr>
        <w:rPr>
          <w:sz w:val="6"/>
          <w:szCs w:val="6"/>
        </w:rPr>
      </w:pPr>
    </w:p>
    <w:p w14:paraId="74725874" w14:textId="77777777" w:rsidR="002F03EF" w:rsidRDefault="002F03EF">
      <w:pPr>
        <w:rPr>
          <w:sz w:val="6"/>
          <w:szCs w:val="6"/>
        </w:rPr>
      </w:pPr>
    </w:p>
    <w:p w14:paraId="61B845E3" w14:textId="77777777" w:rsidR="002F03EF" w:rsidRDefault="002F03EF">
      <w:pPr>
        <w:rPr>
          <w:sz w:val="6"/>
          <w:szCs w:val="6"/>
        </w:rPr>
      </w:pPr>
    </w:p>
    <w:p w14:paraId="755DF718" w14:textId="77777777" w:rsidR="002F03EF" w:rsidRDefault="002F03EF">
      <w:pPr>
        <w:rPr>
          <w:sz w:val="6"/>
          <w:szCs w:val="6"/>
        </w:rPr>
      </w:pPr>
    </w:p>
    <w:p w14:paraId="40482CF4" w14:textId="3BEE07B9" w:rsidR="002F03EF" w:rsidRPr="002F03EF" w:rsidRDefault="002F03EF">
      <w:pPr>
        <w:rPr>
          <w:sz w:val="6"/>
          <w:szCs w:val="6"/>
        </w:rPr>
      </w:pPr>
      <w:r>
        <w:rPr>
          <w:sz w:val="6"/>
          <w:szCs w:val="6"/>
        </w:rPr>
        <w:br w:type="page"/>
      </w:r>
    </w:p>
    <w:tbl>
      <w:tblPr>
        <w:tblW w:w="9197" w:type="dxa"/>
        <w:tblInd w:w="392" w:type="dxa"/>
        <w:tblLayout w:type="fixed"/>
        <w:tblLook w:val="0000" w:firstRow="0" w:lastRow="0" w:firstColumn="0" w:lastColumn="0" w:noHBand="0" w:noVBand="0"/>
      </w:tblPr>
      <w:tblGrid>
        <w:gridCol w:w="4598"/>
        <w:gridCol w:w="4599"/>
      </w:tblGrid>
      <w:tr w:rsidR="001D4D59" w:rsidRPr="008834CA" w14:paraId="14ABA0F6" w14:textId="77777777" w:rsidTr="00B8576F">
        <w:trPr>
          <w:trHeight w:val="20"/>
        </w:trPr>
        <w:tc>
          <w:tcPr>
            <w:tcW w:w="4598" w:type="dxa"/>
            <w:tcBorders>
              <w:top w:val="nil"/>
              <w:left w:val="nil"/>
              <w:bottom w:val="nil"/>
              <w:right w:val="nil"/>
            </w:tcBorders>
          </w:tcPr>
          <w:p w14:paraId="7AE9A010" w14:textId="612242BD" w:rsidR="001D4D59" w:rsidRPr="008834CA" w:rsidRDefault="001D4D59" w:rsidP="00070D1F">
            <w:pPr>
              <w:numPr>
                <w:ilvl w:val="0"/>
                <w:numId w:val="239"/>
              </w:numPr>
              <w:tabs>
                <w:tab w:val="clear" w:pos="720"/>
                <w:tab w:val="num" w:pos="317"/>
              </w:tabs>
              <w:ind w:left="317" w:right="-57" w:hanging="317"/>
              <w:jc w:val="both"/>
              <w:rPr>
                <w:b/>
                <w:bCs w:val="0"/>
                <w:sz w:val="18"/>
                <w:szCs w:val="18"/>
              </w:rPr>
            </w:pPr>
            <w:r w:rsidRPr="008834CA">
              <w:rPr>
                <w:b/>
                <w:sz w:val="18"/>
                <w:szCs w:val="18"/>
              </w:rPr>
              <w:lastRenderedPageBreak/>
              <w:t>IKHTISAR KEBIJAKAN AKUNTANSI YANG PENTING</w:t>
            </w:r>
            <w:r w:rsidRPr="008834CA">
              <w:rPr>
                <w:sz w:val="18"/>
                <w:szCs w:val="18"/>
              </w:rPr>
              <w:t xml:space="preserve"> </w:t>
            </w:r>
            <w:r w:rsidR="005B720B" w:rsidRPr="008834CA">
              <w:rPr>
                <w:sz w:val="18"/>
                <w:szCs w:val="18"/>
              </w:rPr>
              <w:t>-</w:t>
            </w:r>
            <w:r w:rsidR="000629D6" w:rsidRPr="008834CA">
              <w:rPr>
                <w:b/>
                <w:sz w:val="18"/>
                <w:szCs w:val="18"/>
              </w:rPr>
              <w:t xml:space="preserve"> Lanjutan</w:t>
            </w:r>
          </w:p>
        </w:tc>
        <w:tc>
          <w:tcPr>
            <w:tcW w:w="4598" w:type="dxa"/>
            <w:tcBorders>
              <w:top w:val="nil"/>
              <w:left w:val="nil"/>
              <w:bottom w:val="nil"/>
              <w:right w:val="nil"/>
            </w:tcBorders>
          </w:tcPr>
          <w:p w14:paraId="6FAE8184" w14:textId="7BE1CBAD" w:rsidR="001D4D59" w:rsidRPr="008834CA" w:rsidRDefault="001D4D59" w:rsidP="00070D1F">
            <w:pPr>
              <w:numPr>
                <w:ilvl w:val="0"/>
                <w:numId w:val="240"/>
              </w:numPr>
              <w:tabs>
                <w:tab w:val="clear" w:pos="720"/>
                <w:tab w:val="num" w:pos="475"/>
                <w:tab w:val="left" w:pos="5590"/>
                <w:tab w:val="right" w:pos="7620"/>
                <w:tab w:val="right" w:pos="9460"/>
                <w:tab w:val="right" w:pos="10080"/>
              </w:tabs>
              <w:ind w:left="333" w:right="-57" w:hanging="333"/>
              <w:jc w:val="both"/>
              <w:rPr>
                <w:b/>
                <w:bCs w:val="0"/>
                <w:i/>
                <w:sz w:val="18"/>
                <w:szCs w:val="18"/>
              </w:rPr>
            </w:pPr>
            <w:r w:rsidRPr="008834CA">
              <w:rPr>
                <w:b/>
                <w:i/>
                <w:sz w:val="18"/>
                <w:szCs w:val="18"/>
              </w:rPr>
              <w:t xml:space="preserve">SUMMARY OF SIGNIFICANT ACCOUNTING POLICIES </w:t>
            </w:r>
            <w:r w:rsidR="000629D6" w:rsidRPr="008834CA">
              <w:rPr>
                <w:b/>
                <w:i/>
                <w:sz w:val="18"/>
                <w:szCs w:val="18"/>
              </w:rPr>
              <w:t>- Continued</w:t>
            </w:r>
          </w:p>
        </w:tc>
      </w:tr>
      <w:tr w:rsidR="001D4D59" w:rsidRPr="008834CA" w14:paraId="0C1B93EC" w14:textId="77777777" w:rsidTr="00B8576F">
        <w:trPr>
          <w:trHeight w:val="20"/>
        </w:trPr>
        <w:tc>
          <w:tcPr>
            <w:tcW w:w="4598" w:type="dxa"/>
            <w:tcBorders>
              <w:top w:val="nil"/>
              <w:left w:val="nil"/>
              <w:bottom w:val="nil"/>
              <w:right w:val="nil"/>
            </w:tcBorders>
          </w:tcPr>
          <w:p w14:paraId="174AC886" w14:textId="77777777" w:rsidR="001D4D59" w:rsidRPr="008834CA" w:rsidRDefault="001D4D59" w:rsidP="003903E3">
            <w:pPr>
              <w:ind w:left="522" w:right="-57"/>
              <w:jc w:val="both"/>
              <w:rPr>
                <w:bCs w:val="0"/>
                <w:sz w:val="18"/>
                <w:szCs w:val="18"/>
              </w:rPr>
            </w:pPr>
          </w:p>
        </w:tc>
        <w:tc>
          <w:tcPr>
            <w:tcW w:w="4598" w:type="dxa"/>
            <w:tcBorders>
              <w:top w:val="nil"/>
              <w:left w:val="nil"/>
              <w:bottom w:val="nil"/>
              <w:right w:val="nil"/>
            </w:tcBorders>
          </w:tcPr>
          <w:p w14:paraId="2AFB7746"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8834CA" w14:paraId="306AE369" w14:textId="77777777" w:rsidTr="00B8576F">
        <w:trPr>
          <w:trHeight w:val="20"/>
        </w:trPr>
        <w:tc>
          <w:tcPr>
            <w:tcW w:w="4598" w:type="dxa"/>
            <w:tcBorders>
              <w:top w:val="nil"/>
              <w:left w:val="nil"/>
              <w:bottom w:val="nil"/>
              <w:right w:val="nil"/>
            </w:tcBorders>
          </w:tcPr>
          <w:p w14:paraId="19066FE5" w14:textId="624DE6DF" w:rsidR="001D4D59" w:rsidRPr="008834CA" w:rsidRDefault="007609DC" w:rsidP="00070D1F">
            <w:pPr>
              <w:pStyle w:val="ListParagraph"/>
              <w:numPr>
                <w:ilvl w:val="0"/>
                <w:numId w:val="241"/>
              </w:numPr>
              <w:ind w:left="494" w:right="-57" w:hanging="177"/>
              <w:jc w:val="both"/>
              <w:rPr>
                <w:b/>
                <w:bCs w:val="0"/>
                <w:sz w:val="18"/>
                <w:szCs w:val="18"/>
              </w:rPr>
            </w:pPr>
            <w:r w:rsidRPr="008834CA">
              <w:rPr>
                <w:b/>
                <w:sz w:val="18"/>
                <w:szCs w:val="18"/>
              </w:rPr>
              <w:t xml:space="preserve"> </w:t>
            </w:r>
            <w:r w:rsidR="001D4D59" w:rsidRPr="008834CA">
              <w:rPr>
                <w:b/>
                <w:sz w:val="18"/>
                <w:szCs w:val="18"/>
              </w:rPr>
              <w:t xml:space="preserve">Pengukuran Nilai Wajar </w:t>
            </w:r>
            <w:r w:rsidR="000629D6" w:rsidRPr="008834CA">
              <w:rPr>
                <w:b/>
                <w:sz w:val="18"/>
                <w:szCs w:val="18"/>
              </w:rPr>
              <w:t>- Lanjutan</w:t>
            </w:r>
          </w:p>
        </w:tc>
        <w:tc>
          <w:tcPr>
            <w:tcW w:w="4598" w:type="dxa"/>
            <w:tcBorders>
              <w:top w:val="nil"/>
              <w:left w:val="nil"/>
              <w:bottom w:val="nil"/>
              <w:right w:val="nil"/>
            </w:tcBorders>
          </w:tcPr>
          <w:p w14:paraId="26FF6FA5" w14:textId="7321F27A" w:rsidR="001D4D59" w:rsidRPr="008834CA" w:rsidRDefault="001D4D59" w:rsidP="00070D1F">
            <w:pPr>
              <w:pStyle w:val="ListParagraph"/>
              <w:numPr>
                <w:ilvl w:val="0"/>
                <w:numId w:val="242"/>
              </w:numPr>
              <w:tabs>
                <w:tab w:val="left" w:pos="5590"/>
                <w:tab w:val="right" w:pos="7620"/>
                <w:tab w:val="right" w:pos="9460"/>
                <w:tab w:val="right" w:pos="10080"/>
              </w:tabs>
              <w:ind w:left="617" w:right="-57" w:hanging="284"/>
              <w:jc w:val="both"/>
              <w:rPr>
                <w:b/>
                <w:bCs w:val="0"/>
                <w:i/>
                <w:sz w:val="18"/>
                <w:szCs w:val="18"/>
              </w:rPr>
            </w:pPr>
            <w:r w:rsidRPr="008834CA">
              <w:rPr>
                <w:b/>
                <w:i/>
                <w:sz w:val="18"/>
                <w:szCs w:val="18"/>
              </w:rPr>
              <w:t xml:space="preserve">Fair Value Measurement </w:t>
            </w:r>
            <w:r w:rsidR="000629D6" w:rsidRPr="008834CA">
              <w:rPr>
                <w:b/>
                <w:i/>
                <w:sz w:val="18"/>
                <w:szCs w:val="18"/>
              </w:rPr>
              <w:t>- Continued</w:t>
            </w:r>
          </w:p>
        </w:tc>
      </w:tr>
      <w:tr w:rsidR="001D4D59" w:rsidRPr="008834CA" w14:paraId="4EFDE462" w14:textId="77777777" w:rsidTr="00B8576F">
        <w:trPr>
          <w:trHeight w:val="20"/>
        </w:trPr>
        <w:tc>
          <w:tcPr>
            <w:tcW w:w="4598" w:type="dxa"/>
            <w:tcBorders>
              <w:top w:val="nil"/>
              <w:left w:val="nil"/>
              <w:bottom w:val="nil"/>
              <w:right w:val="nil"/>
            </w:tcBorders>
          </w:tcPr>
          <w:p w14:paraId="0FA2FE27" w14:textId="77777777" w:rsidR="001D4D59" w:rsidRPr="008834CA" w:rsidRDefault="001D4D59" w:rsidP="007609DC">
            <w:pPr>
              <w:ind w:left="601" w:right="-57"/>
              <w:jc w:val="both"/>
              <w:rPr>
                <w:bCs w:val="0"/>
                <w:sz w:val="18"/>
                <w:szCs w:val="18"/>
              </w:rPr>
            </w:pPr>
          </w:p>
        </w:tc>
        <w:tc>
          <w:tcPr>
            <w:tcW w:w="4598" w:type="dxa"/>
            <w:tcBorders>
              <w:top w:val="nil"/>
              <w:left w:val="nil"/>
              <w:bottom w:val="nil"/>
              <w:right w:val="nil"/>
            </w:tcBorders>
          </w:tcPr>
          <w:p w14:paraId="7AFCCAD2" w14:textId="77777777" w:rsidR="001D4D59" w:rsidRPr="008834CA" w:rsidRDefault="001D4D59" w:rsidP="003903E3">
            <w:pPr>
              <w:tabs>
                <w:tab w:val="left" w:pos="5590"/>
                <w:tab w:val="right" w:pos="7620"/>
                <w:tab w:val="right" w:pos="9460"/>
                <w:tab w:val="right" w:pos="10080"/>
              </w:tabs>
              <w:ind w:left="1242" w:right="-57"/>
              <w:jc w:val="both"/>
              <w:rPr>
                <w:bCs w:val="0"/>
                <w:i/>
                <w:sz w:val="18"/>
                <w:szCs w:val="18"/>
              </w:rPr>
            </w:pPr>
          </w:p>
        </w:tc>
      </w:tr>
      <w:tr w:rsidR="001D4D59" w:rsidRPr="008834CA" w14:paraId="534EB4DE" w14:textId="77777777" w:rsidTr="00B8576F">
        <w:trPr>
          <w:trHeight w:val="20"/>
        </w:trPr>
        <w:tc>
          <w:tcPr>
            <w:tcW w:w="4598" w:type="dxa"/>
            <w:tcBorders>
              <w:top w:val="nil"/>
              <w:left w:val="nil"/>
              <w:bottom w:val="nil"/>
              <w:right w:val="nil"/>
            </w:tcBorders>
          </w:tcPr>
          <w:p w14:paraId="7D2F5472" w14:textId="16A5EDEB" w:rsidR="001D4D59" w:rsidRPr="008834CA" w:rsidRDefault="007609DC" w:rsidP="000A0364">
            <w:pPr>
              <w:ind w:left="494" w:right="-57"/>
              <w:jc w:val="both"/>
              <w:rPr>
                <w:b/>
                <w:bCs w:val="0"/>
                <w:sz w:val="18"/>
                <w:szCs w:val="18"/>
              </w:rPr>
            </w:pPr>
            <w:r w:rsidRPr="008834CA">
              <w:rPr>
                <w:b/>
                <w:sz w:val="18"/>
                <w:szCs w:val="18"/>
              </w:rPr>
              <w:t xml:space="preserve"> </w:t>
            </w:r>
            <w:r w:rsidR="001D4D59" w:rsidRPr="008834CA">
              <w:rPr>
                <w:b/>
                <w:sz w:val="18"/>
                <w:szCs w:val="18"/>
              </w:rPr>
              <w:t xml:space="preserve">Pengukuran </w:t>
            </w:r>
            <w:r w:rsidR="000629D6" w:rsidRPr="008834CA">
              <w:rPr>
                <w:b/>
                <w:sz w:val="18"/>
                <w:szCs w:val="18"/>
              </w:rPr>
              <w:t>- Lanjutan</w:t>
            </w:r>
          </w:p>
        </w:tc>
        <w:tc>
          <w:tcPr>
            <w:tcW w:w="4598" w:type="dxa"/>
            <w:tcBorders>
              <w:top w:val="nil"/>
              <w:left w:val="nil"/>
              <w:bottom w:val="nil"/>
              <w:right w:val="nil"/>
            </w:tcBorders>
          </w:tcPr>
          <w:p w14:paraId="1BC7993F" w14:textId="7E30997C" w:rsidR="001D4D59" w:rsidRPr="008834CA" w:rsidRDefault="001D4D59" w:rsidP="007609DC">
            <w:pPr>
              <w:tabs>
                <w:tab w:val="left" w:pos="5590"/>
                <w:tab w:val="right" w:pos="7620"/>
                <w:tab w:val="right" w:pos="9460"/>
                <w:tab w:val="right" w:pos="10080"/>
              </w:tabs>
              <w:ind w:left="617" w:right="-57"/>
              <w:jc w:val="both"/>
              <w:rPr>
                <w:b/>
                <w:bCs w:val="0"/>
                <w:i/>
                <w:sz w:val="18"/>
                <w:szCs w:val="18"/>
              </w:rPr>
            </w:pPr>
            <w:r w:rsidRPr="008834CA">
              <w:rPr>
                <w:b/>
                <w:i/>
                <w:sz w:val="18"/>
                <w:szCs w:val="18"/>
              </w:rPr>
              <w:t xml:space="preserve">Measurement </w:t>
            </w:r>
            <w:r w:rsidR="000629D6" w:rsidRPr="008834CA">
              <w:rPr>
                <w:b/>
                <w:i/>
                <w:sz w:val="18"/>
                <w:szCs w:val="18"/>
              </w:rPr>
              <w:t>- Continued</w:t>
            </w:r>
          </w:p>
        </w:tc>
      </w:tr>
      <w:tr w:rsidR="001D4D59" w:rsidRPr="008834CA" w14:paraId="554BB640" w14:textId="77777777" w:rsidTr="00B8576F">
        <w:trPr>
          <w:trHeight w:val="20"/>
        </w:trPr>
        <w:tc>
          <w:tcPr>
            <w:tcW w:w="4598" w:type="dxa"/>
            <w:tcBorders>
              <w:top w:val="nil"/>
              <w:left w:val="nil"/>
              <w:bottom w:val="nil"/>
              <w:right w:val="nil"/>
            </w:tcBorders>
          </w:tcPr>
          <w:p w14:paraId="0D7D7E38" w14:textId="77777777" w:rsidR="001D4D59" w:rsidRPr="008834CA" w:rsidRDefault="001D4D59" w:rsidP="007609DC">
            <w:pPr>
              <w:ind w:left="601" w:right="-57"/>
              <w:jc w:val="both"/>
              <w:rPr>
                <w:bCs w:val="0"/>
                <w:sz w:val="18"/>
                <w:szCs w:val="18"/>
              </w:rPr>
            </w:pPr>
          </w:p>
        </w:tc>
        <w:tc>
          <w:tcPr>
            <w:tcW w:w="4598" w:type="dxa"/>
            <w:tcBorders>
              <w:top w:val="nil"/>
              <w:left w:val="nil"/>
              <w:bottom w:val="nil"/>
              <w:right w:val="nil"/>
            </w:tcBorders>
          </w:tcPr>
          <w:p w14:paraId="225FEE75" w14:textId="77777777" w:rsidR="001D4D59" w:rsidRPr="008834CA" w:rsidRDefault="001D4D59" w:rsidP="007609DC">
            <w:pPr>
              <w:tabs>
                <w:tab w:val="left" w:pos="5590"/>
                <w:tab w:val="right" w:pos="7620"/>
                <w:tab w:val="right" w:pos="9460"/>
                <w:tab w:val="right" w:pos="10080"/>
              </w:tabs>
              <w:ind w:left="617" w:right="-57"/>
              <w:jc w:val="both"/>
              <w:rPr>
                <w:bCs w:val="0"/>
                <w:i/>
                <w:sz w:val="18"/>
                <w:szCs w:val="18"/>
              </w:rPr>
            </w:pPr>
          </w:p>
        </w:tc>
      </w:tr>
      <w:tr w:rsidR="001D4D59" w:rsidRPr="008834CA" w14:paraId="5592A90F" w14:textId="77777777" w:rsidTr="00B8576F">
        <w:trPr>
          <w:trHeight w:val="20"/>
        </w:trPr>
        <w:tc>
          <w:tcPr>
            <w:tcW w:w="4598" w:type="dxa"/>
            <w:tcBorders>
              <w:top w:val="nil"/>
              <w:left w:val="nil"/>
              <w:bottom w:val="nil"/>
              <w:right w:val="nil"/>
            </w:tcBorders>
          </w:tcPr>
          <w:p w14:paraId="549B947C" w14:textId="0669273A" w:rsidR="001D4D59" w:rsidRPr="008834CA" w:rsidRDefault="001D4D59" w:rsidP="000A0364">
            <w:pPr>
              <w:ind w:left="551" w:right="-57"/>
              <w:jc w:val="both"/>
              <w:rPr>
                <w:b/>
                <w:bCs w:val="0"/>
                <w:sz w:val="18"/>
                <w:szCs w:val="18"/>
              </w:rPr>
            </w:pPr>
            <w:r w:rsidRPr="008834CA">
              <w:rPr>
                <w:b/>
                <w:sz w:val="18"/>
                <w:szCs w:val="18"/>
              </w:rPr>
              <w:t>Penggunaan Tertinggi dan Terbaik (</w:t>
            </w:r>
            <w:r w:rsidRPr="008834CA">
              <w:rPr>
                <w:b/>
                <w:i/>
                <w:sz w:val="18"/>
                <w:szCs w:val="18"/>
              </w:rPr>
              <w:t>Highest and Best Use</w:t>
            </w:r>
            <w:r w:rsidRPr="008834CA">
              <w:rPr>
                <w:b/>
                <w:sz w:val="18"/>
                <w:szCs w:val="18"/>
              </w:rPr>
              <w:t xml:space="preserve">) </w:t>
            </w:r>
            <w:r w:rsidR="000629D6" w:rsidRPr="008834CA">
              <w:rPr>
                <w:b/>
                <w:sz w:val="18"/>
                <w:szCs w:val="18"/>
              </w:rPr>
              <w:t>- Lanjutan</w:t>
            </w:r>
          </w:p>
        </w:tc>
        <w:tc>
          <w:tcPr>
            <w:tcW w:w="4598" w:type="dxa"/>
            <w:tcBorders>
              <w:top w:val="nil"/>
              <w:left w:val="nil"/>
              <w:bottom w:val="nil"/>
              <w:right w:val="nil"/>
            </w:tcBorders>
          </w:tcPr>
          <w:p w14:paraId="6F9C2DB7" w14:textId="3EDC6CD3" w:rsidR="001D4D59" w:rsidRPr="008834CA" w:rsidRDefault="001D4D59" w:rsidP="007609DC">
            <w:pPr>
              <w:tabs>
                <w:tab w:val="left" w:pos="5590"/>
                <w:tab w:val="right" w:pos="7620"/>
                <w:tab w:val="right" w:pos="9460"/>
                <w:tab w:val="right" w:pos="10080"/>
              </w:tabs>
              <w:ind w:left="617" w:right="-57"/>
              <w:jc w:val="both"/>
              <w:rPr>
                <w:b/>
                <w:bCs w:val="0"/>
                <w:i/>
                <w:sz w:val="18"/>
                <w:szCs w:val="18"/>
              </w:rPr>
            </w:pPr>
            <w:r w:rsidRPr="008834CA">
              <w:rPr>
                <w:b/>
                <w:i/>
                <w:sz w:val="18"/>
                <w:szCs w:val="18"/>
              </w:rPr>
              <w:t xml:space="preserve">Highest and Best Use </w:t>
            </w:r>
            <w:r w:rsidR="000629D6" w:rsidRPr="008834CA">
              <w:rPr>
                <w:b/>
                <w:i/>
                <w:sz w:val="18"/>
                <w:szCs w:val="18"/>
              </w:rPr>
              <w:t>- Continued</w:t>
            </w:r>
          </w:p>
        </w:tc>
      </w:tr>
      <w:tr w:rsidR="001D4D59" w:rsidRPr="008834CA" w14:paraId="521F8C74" w14:textId="77777777" w:rsidTr="00B8576F">
        <w:trPr>
          <w:trHeight w:val="20"/>
        </w:trPr>
        <w:tc>
          <w:tcPr>
            <w:tcW w:w="4598" w:type="dxa"/>
            <w:tcBorders>
              <w:top w:val="nil"/>
              <w:left w:val="nil"/>
              <w:bottom w:val="nil"/>
              <w:right w:val="nil"/>
            </w:tcBorders>
          </w:tcPr>
          <w:p w14:paraId="766C8DB8" w14:textId="77777777" w:rsidR="001D4D59" w:rsidRPr="008834CA" w:rsidRDefault="001D4D59" w:rsidP="003903E3">
            <w:pPr>
              <w:ind w:left="522" w:right="-57"/>
              <w:jc w:val="both"/>
              <w:rPr>
                <w:bCs w:val="0"/>
                <w:sz w:val="18"/>
                <w:szCs w:val="18"/>
              </w:rPr>
            </w:pPr>
          </w:p>
        </w:tc>
        <w:tc>
          <w:tcPr>
            <w:tcW w:w="4598" w:type="dxa"/>
            <w:tcBorders>
              <w:top w:val="nil"/>
              <w:left w:val="nil"/>
              <w:bottom w:val="nil"/>
              <w:right w:val="nil"/>
            </w:tcBorders>
          </w:tcPr>
          <w:p w14:paraId="3D85D3EA"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B8576F" w14:paraId="0F210E3E" w14:textId="77777777" w:rsidTr="00B8576F">
        <w:trPr>
          <w:trHeight w:val="20"/>
        </w:trPr>
        <w:tc>
          <w:tcPr>
            <w:tcW w:w="4598" w:type="dxa"/>
            <w:tcBorders>
              <w:top w:val="nil"/>
              <w:left w:val="nil"/>
              <w:bottom w:val="nil"/>
              <w:right w:val="nil"/>
            </w:tcBorders>
          </w:tcPr>
          <w:p w14:paraId="1F5C0CD1" w14:textId="195E88B5" w:rsidR="001D4D59" w:rsidRPr="008834CA" w:rsidRDefault="001D4D59" w:rsidP="0048229C">
            <w:pPr>
              <w:ind w:left="550" w:right="-57"/>
              <w:jc w:val="both"/>
              <w:rPr>
                <w:bCs w:val="0"/>
                <w:sz w:val="18"/>
                <w:szCs w:val="18"/>
              </w:rPr>
            </w:pPr>
            <w:r w:rsidRPr="008834CA">
              <w:rPr>
                <w:sz w:val="18"/>
                <w:szCs w:val="18"/>
              </w:rPr>
              <w:t>Dalam keadaan di mana penggunaan tertinggi dan terbaik (</w:t>
            </w:r>
            <w:r w:rsidRPr="008834CA">
              <w:rPr>
                <w:i/>
                <w:sz w:val="18"/>
                <w:szCs w:val="18"/>
              </w:rPr>
              <w:t>highest and best use</w:t>
            </w:r>
            <w:r w:rsidRPr="008834CA">
              <w:rPr>
                <w:sz w:val="18"/>
                <w:szCs w:val="18"/>
              </w:rPr>
              <w:t>) dari aset dalam kombinasi dengan kelompok aset tetapi unit akun adalah aset individu</w:t>
            </w:r>
            <w:r w:rsidR="0048229C">
              <w:rPr>
                <w:sz w:val="18"/>
                <w:szCs w:val="18"/>
              </w:rPr>
              <w:t>,</w:t>
            </w:r>
            <w:r w:rsidRPr="008834CA">
              <w:rPr>
                <w:sz w:val="18"/>
                <w:szCs w:val="18"/>
              </w:rPr>
              <w:t xml:space="preserve"> nilai wajar aset tersebut diukur dengan asumsi bahwa pelaku pasar memiliki</w:t>
            </w:r>
            <w:r w:rsidR="0048229C">
              <w:rPr>
                <w:sz w:val="18"/>
                <w:szCs w:val="18"/>
              </w:rPr>
              <w:t>,</w:t>
            </w:r>
            <w:r w:rsidRPr="008834CA">
              <w:rPr>
                <w:sz w:val="18"/>
                <w:szCs w:val="18"/>
              </w:rPr>
              <w:t xml:space="preserve"> atau dapat memperoleh</w:t>
            </w:r>
            <w:r w:rsidR="0048229C">
              <w:rPr>
                <w:sz w:val="18"/>
                <w:szCs w:val="18"/>
              </w:rPr>
              <w:t>,</w:t>
            </w:r>
            <w:r w:rsidRPr="008834CA">
              <w:rPr>
                <w:sz w:val="18"/>
                <w:szCs w:val="18"/>
              </w:rPr>
              <w:t xml:space="preserve"> aset atau liabilitas pengganti.</w:t>
            </w:r>
          </w:p>
        </w:tc>
        <w:tc>
          <w:tcPr>
            <w:tcW w:w="4598" w:type="dxa"/>
            <w:tcBorders>
              <w:top w:val="nil"/>
              <w:left w:val="nil"/>
              <w:bottom w:val="nil"/>
              <w:right w:val="nil"/>
            </w:tcBorders>
          </w:tcPr>
          <w:p w14:paraId="29647D20" w14:textId="1C2902E0" w:rsidR="001D4D59" w:rsidRPr="008834CA" w:rsidRDefault="001D4D59" w:rsidP="0048229C">
            <w:pPr>
              <w:tabs>
                <w:tab w:val="left" w:pos="5590"/>
                <w:tab w:val="right" w:pos="7620"/>
                <w:tab w:val="right" w:pos="9460"/>
                <w:tab w:val="right" w:pos="10080"/>
              </w:tabs>
              <w:ind w:left="617" w:right="-57"/>
              <w:jc w:val="both"/>
              <w:rPr>
                <w:bCs w:val="0"/>
                <w:i/>
                <w:sz w:val="18"/>
                <w:szCs w:val="18"/>
              </w:rPr>
            </w:pPr>
            <w:r w:rsidRPr="008834CA">
              <w:rPr>
                <w:i/>
                <w:sz w:val="18"/>
                <w:szCs w:val="18"/>
              </w:rPr>
              <w:t>In circumstances in which the highest and best use of an asset is in combination with an asset’s group but the unit of account is the individual asset</w:t>
            </w:r>
            <w:r w:rsidR="0048229C">
              <w:rPr>
                <w:i/>
                <w:sz w:val="18"/>
                <w:szCs w:val="18"/>
              </w:rPr>
              <w:t>,</w:t>
            </w:r>
            <w:r w:rsidRPr="008834CA">
              <w:rPr>
                <w:i/>
                <w:sz w:val="18"/>
                <w:szCs w:val="18"/>
              </w:rPr>
              <w:t xml:space="preserve"> the fair value of that asset would be measured under the assumption that a market participant has</w:t>
            </w:r>
            <w:r w:rsidR="0048229C">
              <w:rPr>
                <w:i/>
                <w:sz w:val="18"/>
                <w:szCs w:val="18"/>
              </w:rPr>
              <w:t>,</w:t>
            </w:r>
            <w:r w:rsidRPr="008834CA">
              <w:rPr>
                <w:i/>
                <w:sz w:val="18"/>
                <w:szCs w:val="18"/>
              </w:rPr>
              <w:t xml:space="preserve"> or can obtain</w:t>
            </w:r>
            <w:r w:rsidR="0048229C">
              <w:rPr>
                <w:i/>
                <w:sz w:val="18"/>
                <w:szCs w:val="18"/>
              </w:rPr>
              <w:t>,</w:t>
            </w:r>
            <w:r w:rsidRPr="008834CA">
              <w:rPr>
                <w:i/>
                <w:sz w:val="18"/>
                <w:szCs w:val="18"/>
              </w:rPr>
              <w:t xml:space="preserve"> the complementary assets or liabilities.</w:t>
            </w:r>
          </w:p>
        </w:tc>
      </w:tr>
      <w:tr w:rsidR="001D4D59" w:rsidRPr="00B8576F" w14:paraId="6B4F8B51" w14:textId="77777777" w:rsidTr="00B8576F">
        <w:trPr>
          <w:trHeight w:val="20"/>
        </w:trPr>
        <w:tc>
          <w:tcPr>
            <w:tcW w:w="4598" w:type="dxa"/>
            <w:tcBorders>
              <w:top w:val="nil"/>
              <w:left w:val="nil"/>
              <w:bottom w:val="nil"/>
              <w:right w:val="nil"/>
            </w:tcBorders>
          </w:tcPr>
          <w:p w14:paraId="022C1D4B" w14:textId="77777777" w:rsidR="001D4D59" w:rsidRPr="00B8576F" w:rsidRDefault="001D4D59" w:rsidP="003903E3">
            <w:pPr>
              <w:ind w:left="522" w:right="-57"/>
              <w:jc w:val="both"/>
              <w:rPr>
                <w:bCs w:val="0"/>
                <w:sz w:val="18"/>
                <w:szCs w:val="18"/>
                <w:highlight w:val="cyan"/>
              </w:rPr>
            </w:pPr>
          </w:p>
        </w:tc>
        <w:tc>
          <w:tcPr>
            <w:tcW w:w="4598" w:type="dxa"/>
            <w:tcBorders>
              <w:top w:val="nil"/>
              <w:left w:val="nil"/>
              <w:bottom w:val="nil"/>
              <w:right w:val="nil"/>
            </w:tcBorders>
          </w:tcPr>
          <w:p w14:paraId="716C85A2" w14:textId="77777777" w:rsidR="001D4D59" w:rsidRPr="00B8576F" w:rsidRDefault="001D4D59" w:rsidP="003903E3">
            <w:pPr>
              <w:tabs>
                <w:tab w:val="left" w:pos="5590"/>
                <w:tab w:val="right" w:pos="7620"/>
                <w:tab w:val="right" w:pos="9460"/>
                <w:tab w:val="right" w:pos="10080"/>
              </w:tabs>
              <w:ind w:left="704" w:right="-57"/>
              <w:jc w:val="both"/>
              <w:rPr>
                <w:bCs w:val="0"/>
                <w:i/>
                <w:sz w:val="18"/>
                <w:szCs w:val="18"/>
                <w:highlight w:val="cyan"/>
              </w:rPr>
            </w:pPr>
          </w:p>
        </w:tc>
      </w:tr>
      <w:tr w:rsidR="001D4D59" w:rsidRPr="008834CA" w14:paraId="26D6BDB6" w14:textId="77777777" w:rsidTr="00B8576F">
        <w:trPr>
          <w:trHeight w:val="20"/>
        </w:trPr>
        <w:tc>
          <w:tcPr>
            <w:tcW w:w="4598" w:type="dxa"/>
            <w:tcBorders>
              <w:top w:val="nil"/>
              <w:left w:val="nil"/>
              <w:bottom w:val="nil"/>
              <w:right w:val="nil"/>
            </w:tcBorders>
          </w:tcPr>
          <w:p w14:paraId="65A08FBF" w14:textId="77777777" w:rsidR="001D4D59" w:rsidRPr="008834CA" w:rsidRDefault="001D4D59" w:rsidP="000A0364">
            <w:pPr>
              <w:ind w:left="550" w:right="-57"/>
              <w:jc w:val="both"/>
              <w:rPr>
                <w:b/>
                <w:bCs w:val="0"/>
                <w:sz w:val="18"/>
                <w:szCs w:val="18"/>
              </w:rPr>
            </w:pPr>
            <w:r w:rsidRPr="008834CA">
              <w:rPr>
                <w:b/>
                <w:sz w:val="18"/>
                <w:szCs w:val="18"/>
              </w:rPr>
              <w:t>Liabilitas dan Instrumen Ekuitas Milik Sendiri</w:t>
            </w:r>
          </w:p>
        </w:tc>
        <w:tc>
          <w:tcPr>
            <w:tcW w:w="4598" w:type="dxa"/>
            <w:tcBorders>
              <w:top w:val="nil"/>
              <w:left w:val="nil"/>
              <w:bottom w:val="nil"/>
              <w:right w:val="nil"/>
            </w:tcBorders>
          </w:tcPr>
          <w:p w14:paraId="5BB76CD3" w14:textId="77777777" w:rsidR="001D4D59" w:rsidRPr="008834CA" w:rsidRDefault="001D4D59" w:rsidP="00F55BA8">
            <w:pPr>
              <w:tabs>
                <w:tab w:val="left" w:pos="5590"/>
                <w:tab w:val="right" w:pos="7620"/>
                <w:tab w:val="right" w:pos="9460"/>
                <w:tab w:val="right" w:pos="10080"/>
              </w:tabs>
              <w:ind w:left="617" w:right="-57"/>
              <w:jc w:val="both"/>
              <w:rPr>
                <w:b/>
                <w:bCs w:val="0"/>
                <w:i/>
                <w:sz w:val="18"/>
                <w:szCs w:val="18"/>
              </w:rPr>
            </w:pPr>
            <w:r w:rsidRPr="008834CA">
              <w:rPr>
                <w:b/>
                <w:i/>
                <w:sz w:val="18"/>
                <w:szCs w:val="18"/>
              </w:rPr>
              <w:t>Liabilities and Own Equity Instrument</w:t>
            </w:r>
          </w:p>
        </w:tc>
      </w:tr>
      <w:tr w:rsidR="001D4D59" w:rsidRPr="008834CA" w14:paraId="16E5BB01" w14:textId="77777777" w:rsidTr="00B8576F">
        <w:trPr>
          <w:trHeight w:val="20"/>
        </w:trPr>
        <w:tc>
          <w:tcPr>
            <w:tcW w:w="4598" w:type="dxa"/>
            <w:tcBorders>
              <w:top w:val="nil"/>
              <w:left w:val="nil"/>
              <w:bottom w:val="nil"/>
              <w:right w:val="nil"/>
            </w:tcBorders>
          </w:tcPr>
          <w:p w14:paraId="1738A78A" w14:textId="77777777" w:rsidR="001D4D59" w:rsidRPr="008834CA" w:rsidRDefault="001D4D59" w:rsidP="003903E3">
            <w:pPr>
              <w:ind w:left="522" w:right="-57"/>
              <w:jc w:val="both"/>
              <w:rPr>
                <w:bCs w:val="0"/>
                <w:sz w:val="18"/>
                <w:szCs w:val="18"/>
              </w:rPr>
            </w:pPr>
          </w:p>
        </w:tc>
        <w:tc>
          <w:tcPr>
            <w:tcW w:w="4598" w:type="dxa"/>
            <w:tcBorders>
              <w:top w:val="nil"/>
              <w:left w:val="nil"/>
              <w:bottom w:val="nil"/>
              <w:right w:val="nil"/>
            </w:tcBorders>
          </w:tcPr>
          <w:p w14:paraId="73802A5A"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8834CA" w14:paraId="2825C571" w14:textId="77777777" w:rsidTr="00B8576F">
        <w:trPr>
          <w:trHeight w:val="20"/>
        </w:trPr>
        <w:tc>
          <w:tcPr>
            <w:tcW w:w="4598" w:type="dxa"/>
            <w:tcBorders>
              <w:top w:val="nil"/>
              <w:left w:val="nil"/>
              <w:bottom w:val="nil"/>
              <w:right w:val="nil"/>
            </w:tcBorders>
          </w:tcPr>
          <w:p w14:paraId="0643D608" w14:textId="71207363" w:rsidR="001D4D59" w:rsidRPr="008834CA" w:rsidRDefault="001D4D59" w:rsidP="0048229C">
            <w:pPr>
              <w:ind w:left="550" w:right="-57"/>
              <w:jc w:val="both"/>
              <w:rPr>
                <w:bCs w:val="0"/>
                <w:sz w:val="18"/>
                <w:szCs w:val="18"/>
              </w:rPr>
            </w:pPr>
            <w:proofErr w:type="gramStart"/>
            <w:r w:rsidRPr="008834CA">
              <w:rPr>
                <w:sz w:val="18"/>
                <w:szCs w:val="18"/>
              </w:rPr>
              <w:t>Pengukuran  nilai</w:t>
            </w:r>
            <w:proofErr w:type="gramEnd"/>
            <w:r w:rsidRPr="008834CA">
              <w:rPr>
                <w:sz w:val="18"/>
                <w:szCs w:val="18"/>
              </w:rPr>
              <w:t xml:space="preserve">  wajar  liabilitas atau instrumen ekuitas milik entitas sendiri ditentukan dengan mengasumsikan bahwa instrumen tersebut akan dialihkan pada tanggal pengukuran</w:t>
            </w:r>
            <w:r w:rsidR="00870FD0">
              <w:rPr>
                <w:sz w:val="18"/>
                <w:szCs w:val="18"/>
              </w:rPr>
              <w:t>.</w:t>
            </w:r>
            <w:r w:rsidRPr="008834CA">
              <w:rPr>
                <w:sz w:val="18"/>
                <w:szCs w:val="18"/>
              </w:rPr>
              <w:t xml:space="preserve"> </w:t>
            </w:r>
            <w:proofErr w:type="gramStart"/>
            <w:r w:rsidRPr="008834CA">
              <w:rPr>
                <w:sz w:val="18"/>
                <w:szCs w:val="18"/>
              </w:rPr>
              <w:t>tetapi</w:t>
            </w:r>
            <w:proofErr w:type="gramEnd"/>
            <w:r w:rsidRPr="008834CA">
              <w:rPr>
                <w:sz w:val="18"/>
                <w:szCs w:val="18"/>
              </w:rPr>
              <w:t xml:space="preserve"> tetap beredar (yaitu nilai transfer</w:t>
            </w:r>
            <w:r w:rsidR="0048229C">
              <w:rPr>
                <w:sz w:val="18"/>
                <w:szCs w:val="18"/>
              </w:rPr>
              <w:t>,</w:t>
            </w:r>
            <w:r w:rsidRPr="008834CA">
              <w:rPr>
                <w:sz w:val="18"/>
                <w:szCs w:val="18"/>
              </w:rPr>
              <w:t xml:space="preserve"> bukan nilai penghentian atau biaya penyelesaian).</w:t>
            </w:r>
          </w:p>
        </w:tc>
        <w:tc>
          <w:tcPr>
            <w:tcW w:w="4598" w:type="dxa"/>
            <w:tcBorders>
              <w:top w:val="nil"/>
              <w:left w:val="nil"/>
              <w:bottom w:val="nil"/>
              <w:right w:val="nil"/>
            </w:tcBorders>
          </w:tcPr>
          <w:p w14:paraId="73769B03" w14:textId="12789BEA" w:rsidR="001D4D59" w:rsidRPr="008834CA" w:rsidRDefault="001D4D59" w:rsidP="0048229C">
            <w:pPr>
              <w:tabs>
                <w:tab w:val="left" w:pos="5590"/>
                <w:tab w:val="right" w:pos="7620"/>
                <w:tab w:val="right" w:pos="9460"/>
                <w:tab w:val="right" w:pos="10080"/>
              </w:tabs>
              <w:ind w:left="617" w:right="-57"/>
              <w:jc w:val="both"/>
              <w:rPr>
                <w:bCs w:val="0"/>
                <w:i/>
                <w:sz w:val="18"/>
                <w:szCs w:val="18"/>
              </w:rPr>
            </w:pPr>
            <w:r w:rsidRPr="008834CA">
              <w:rPr>
                <w:i/>
                <w:sz w:val="18"/>
                <w:szCs w:val="18"/>
              </w:rPr>
              <w:t>The fair value of a liability or equity instrument of the entity is determined under the assumption that the instrument would be transferred on the measurement date</w:t>
            </w:r>
            <w:r w:rsidR="00870FD0">
              <w:rPr>
                <w:i/>
                <w:sz w:val="18"/>
                <w:szCs w:val="18"/>
              </w:rPr>
              <w:t>.</w:t>
            </w:r>
            <w:r w:rsidRPr="008834CA">
              <w:rPr>
                <w:i/>
                <w:sz w:val="18"/>
                <w:szCs w:val="18"/>
              </w:rPr>
              <w:t xml:space="preserve"> </w:t>
            </w:r>
            <w:proofErr w:type="gramStart"/>
            <w:r w:rsidRPr="008834CA">
              <w:rPr>
                <w:i/>
                <w:sz w:val="18"/>
                <w:szCs w:val="18"/>
              </w:rPr>
              <w:t>but</w:t>
            </w:r>
            <w:proofErr w:type="gramEnd"/>
            <w:r w:rsidRPr="008834CA">
              <w:rPr>
                <w:i/>
                <w:sz w:val="18"/>
                <w:szCs w:val="18"/>
              </w:rPr>
              <w:t xml:space="preserve"> would remain outstanding (i.e</w:t>
            </w:r>
            <w:r w:rsidR="0048229C">
              <w:rPr>
                <w:i/>
                <w:sz w:val="18"/>
                <w:szCs w:val="18"/>
              </w:rPr>
              <w:t>,</w:t>
            </w:r>
            <w:r w:rsidRPr="008834CA">
              <w:rPr>
                <w:i/>
                <w:sz w:val="18"/>
                <w:szCs w:val="18"/>
              </w:rPr>
              <w:t xml:space="preserve"> it is a transfer value</w:t>
            </w:r>
            <w:r w:rsidR="0048229C">
              <w:rPr>
                <w:i/>
                <w:sz w:val="18"/>
                <w:szCs w:val="18"/>
              </w:rPr>
              <w:t>,</w:t>
            </w:r>
            <w:r w:rsidRPr="008834CA">
              <w:rPr>
                <w:i/>
                <w:sz w:val="18"/>
                <w:szCs w:val="18"/>
              </w:rPr>
              <w:t xml:space="preserve"> not a distinguishment or settlement cost).</w:t>
            </w:r>
          </w:p>
        </w:tc>
      </w:tr>
      <w:tr w:rsidR="001D4D59" w:rsidRPr="008834CA" w14:paraId="3F513179" w14:textId="77777777" w:rsidTr="00B8576F">
        <w:trPr>
          <w:trHeight w:val="20"/>
        </w:trPr>
        <w:tc>
          <w:tcPr>
            <w:tcW w:w="4598" w:type="dxa"/>
            <w:tcBorders>
              <w:top w:val="nil"/>
              <w:left w:val="nil"/>
              <w:bottom w:val="nil"/>
              <w:right w:val="nil"/>
            </w:tcBorders>
          </w:tcPr>
          <w:p w14:paraId="4C144390" w14:textId="77777777" w:rsidR="001D4D59" w:rsidRPr="008834CA" w:rsidRDefault="001D4D59" w:rsidP="000A0364">
            <w:pPr>
              <w:ind w:left="550" w:right="-57"/>
              <w:jc w:val="both"/>
              <w:rPr>
                <w:bCs w:val="0"/>
                <w:sz w:val="18"/>
                <w:szCs w:val="18"/>
              </w:rPr>
            </w:pPr>
          </w:p>
        </w:tc>
        <w:tc>
          <w:tcPr>
            <w:tcW w:w="4598" w:type="dxa"/>
            <w:tcBorders>
              <w:top w:val="nil"/>
              <w:left w:val="nil"/>
              <w:bottom w:val="nil"/>
              <w:right w:val="nil"/>
            </w:tcBorders>
          </w:tcPr>
          <w:p w14:paraId="4070B80A"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B8576F" w14:paraId="7424BAF6" w14:textId="77777777" w:rsidTr="00B8576F">
        <w:trPr>
          <w:trHeight w:val="20"/>
        </w:trPr>
        <w:tc>
          <w:tcPr>
            <w:tcW w:w="4598" w:type="dxa"/>
            <w:tcBorders>
              <w:top w:val="nil"/>
              <w:left w:val="nil"/>
              <w:bottom w:val="nil"/>
              <w:right w:val="nil"/>
            </w:tcBorders>
          </w:tcPr>
          <w:p w14:paraId="28E3C0A1" w14:textId="697E3B71" w:rsidR="001D4D59" w:rsidRPr="008834CA" w:rsidRDefault="001D4D59" w:rsidP="0048229C">
            <w:pPr>
              <w:ind w:left="550" w:right="-57"/>
              <w:jc w:val="both"/>
              <w:rPr>
                <w:bCs w:val="0"/>
                <w:sz w:val="18"/>
                <w:szCs w:val="18"/>
              </w:rPr>
            </w:pPr>
            <w:r w:rsidRPr="008834CA">
              <w:rPr>
                <w:sz w:val="18"/>
                <w:szCs w:val="18"/>
              </w:rPr>
              <w:t>Standar ini memberikan metode hirarki untuk mendapatkan  nilai wajar tersebut</w:t>
            </w:r>
            <w:r w:rsidR="0048229C">
              <w:rPr>
                <w:sz w:val="18"/>
                <w:szCs w:val="18"/>
              </w:rPr>
              <w:t>,</w:t>
            </w:r>
            <w:r w:rsidRPr="008834CA">
              <w:rPr>
                <w:sz w:val="18"/>
                <w:szCs w:val="18"/>
              </w:rPr>
              <w:t xml:space="preserve"> menyatakan bahwa ketika harga kuotasian untuk pengalihan liabilitas atau ekuitas milik entitas sendiri tidak tersedia</w:t>
            </w:r>
            <w:r w:rsidR="0048229C">
              <w:rPr>
                <w:sz w:val="18"/>
                <w:szCs w:val="18"/>
              </w:rPr>
              <w:t>,</w:t>
            </w:r>
            <w:r w:rsidRPr="008834CA">
              <w:rPr>
                <w:sz w:val="18"/>
                <w:szCs w:val="18"/>
              </w:rPr>
              <w:t xml:space="preserve"> nilai wajar dari liabilitas atau instrumen  ekuitas dari perspektif pelaku pasar yang memiliki item tersebut sebagai aset digunakan dalam preferensi untuk nilai yang ditentukan dengan menggunakan teknik penilaian.</w:t>
            </w:r>
          </w:p>
        </w:tc>
        <w:tc>
          <w:tcPr>
            <w:tcW w:w="4598" w:type="dxa"/>
            <w:tcBorders>
              <w:top w:val="nil"/>
              <w:left w:val="nil"/>
              <w:bottom w:val="nil"/>
              <w:right w:val="nil"/>
            </w:tcBorders>
          </w:tcPr>
          <w:p w14:paraId="4461B9E1" w14:textId="644269D0" w:rsidR="001D4D59" w:rsidRPr="008834CA" w:rsidRDefault="001D4D59" w:rsidP="0048229C">
            <w:pPr>
              <w:tabs>
                <w:tab w:val="left" w:pos="5590"/>
                <w:tab w:val="right" w:pos="7620"/>
                <w:tab w:val="right" w:pos="9460"/>
                <w:tab w:val="right" w:pos="10080"/>
              </w:tabs>
              <w:ind w:left="617" w:right="-57"/>
              <w:jc w:val="both"/>
              <w:rPr>
                <w:bCs w:val="0"/>
                <w:i/>
                <w:sz w:val="18"/>
                <w:szCs w:val="18"/>
              </w:rPr>
            </w:pPr>
            <w:r w:rsidRPr="008834CA">
              <w:rPr>
                <w:i/>
                <w:sz w:val="18"/>
                <w:szCs w:val="18"/>
              </w:rPr>
              <w:t>The standard provides a hierarchy of methods for arriving at this value</w:t>
            </w:r>
            <w:r w:rsidR="0048229C">
              <w:rPr>
                <w:i/>
                <w:sz w:val="18"/>
                <w:szCs w:val="18"/>
              </w:rPr>
              <w:t>,</w:t>
            </w:r>
            <w:r w:rsidRPr="008834CA">
              <w:rPr>
                <w:i/>
                <w:sz w:val="18"/>
                <w:szCs w:val="18"/>
              </w:rPr>
              <w:t xml:space="preserve"> stating that when a quoted price for the transfer of the liability or equity instrument is not available</w:t>
            </w:r>
            <w:r w:rsidR="0048229C">
              <w:rPr>
                <w:i/>
                <w:sz w:val="18"/>
                <w:szCs w:val="18"/>
              </w:rPr>
              <w:t>,</w:t>
            </w:r>
            <w:r w:rsidRPr="008834CA">
              <w:rPr>
                <w:i/>
                <w:sz w:val="18"/>
                <w:szCs w:val="18"/>
              </w:rPr>
              <w:t xml:space="preserve"> the fair value of the liability or equity instrument from the perspective of a market participant holding the item as an asset is used in preference to a value determined using a valuation techniques.</w:t>
            </w:r>
          </w:p>
        </w:tc>
      </w:tr>
      <w:tr w:rsidR="001D4D59" w:rsidRPr="00B8576F" w14:paraId="72D30CEE" w14:textId="77777777" w:rsidTr="00B8576F">
        <w:trPr>
          <w:trHeight w:val="20"/>
        </w:trPr>
        <w:tc>
          <w:tcPr>
            <w:tcW w:w="4598" w:type="dxa"/>
            <w:tcBorders>
              <w:top w:val="nil"/>
              <w:left w:val="nil"/>
              <w:bottom w:val="nil"/>
              <w:right w:val="nil"/>
            </w:tcBorders>
          </w:tcPr>
          <w:p w14:paraId="4025617C" w14:textId="77777777" w:rsidR="001D4D59" w:rsidRPr="00B8576F" w:rsidRDefault="001D4D59" w:rsidP="000A0364">
            <w:pPr>
              <w:ind w:left="550" w:right="-57"/>
              <w:jc w:val="both"/>
              <w:rPr>
                <w:bCs w:val="0"/>
                <w:sz w:val="18"/>
                <w:szCs w:val="18"/>
                <w:highlight w:val="cyan"/>
              </w:rPr>
            </w:pPr>
          </w:p>
        </w:tc>
        <w:tc>
          <w:tcPr>
            <w:tcW w:w="4598" w:type="dxa"/>
            <w:tcBorders>
              <w:top w:val="nil"/>
              <w:left w:val="nil"/>
              <w:bottom w:val="nil"/>
              <w:right w:val="nil"/>
            </w:tcBorders>
          </w:tcPr>
          <w:p w14:paraId="75199E19" w14:textId="77777777" w:rsidR="001D4D59" w:rsidRPr="00B8576F" w:rsidRDefault="001D4D59" w:rsidP="003903E3">
            <w:pPr>
              <w:tabs>
                <w:tab w:val="left" w:pos="5590"/>
                <w:tab w:val="right" w:pos="7620"/>
                <w:tab w:val="right" w:pos="9460"/>
                <w:tab w:val="right" w:pos="10080"/>
              </w:tabs>
              <w:ind w:left="704" w:right="-57"/>
              <w:jc w:val="both"/>
              <w:rPr>
                <w:bCs w:val="0"/>
                <w:i/>
                <w:sz w:val="18"/>
                <w:szCs w:val="18"/>
                <w:highlight w:val="cyan"/>
              </w:rPr>
            </w:pPr>
          </w:p>
        </w:tc>
      </w:tr>
      <w:tr w:rsidR="001D4D59" w:rsidRPr="008834CA" w14:paraId="5D46DFC7" w14:textId="77777777" w:rsidTr="00B8576F">
        <w:trPr>
          <w:trHeight w:val="20"/>
        </w:trPr>
        <w:tc>
          <w:tcPr>
            <w:tcW w:w="4598" w:type="dxa"/>
            <w:tcBorders>
              <w:top w:val="nil"/>
              <w:left w:val="nil"/>
              <w:bottom w:val="nil"/>
              <w:right w:val="nil"/>
            </w:tcBorders>
          </w:tcPr>
          <w:p w14:paraId="25A3FD60" w14:textId="08587B30" w:rsidR="001D4D59" w:rsidRPr="008834CA" w:rsidRDefault="001D4D59" w:rsidP="0048229C">
            <w:pPr>
              <w:ind w:left="550" w:right="-57"/>
              <w:jc w:val="both"/>
              <w:rPr>
                <w:bCs w:val="0"/>
                <w:sz w:val="18"/>
                <w:szCs w:val="18"/>
              </w:rPr>
            </w:pPr>
            <w:r w:rsidRPr="008834CA">
              <w:rPr>
                <w:sz w:val="18"/>
                <w:szCs w:val="18"/>
              </w:rPr>
              <w:t>Terlepas dari metode yang digunakan</w:t>
            </w:r>
            <w:r w:rsidR="0048229C">
              <w:rPr>
                <w:sz w:val="18"/>
                <w:szCs w:val="18"/>
              </w:rPr>
              <w:t>,</w:t>
            </w:r>
            <w:r w:rsidRPr="008834CA">
              <w:rPr>
                <w:sz w:val="18"/>
                <w:szCs w:val="18"/>
              </w:rPr>
              <w:t xml:space="preserve"> nilai wajar liabilitas harus memperhatikan risiko wanprestasi termasuk risiko kredit entitas sendiri.</w:t>
            </w:r>
          </w:p>
        </w:tc>
        <w:tc>
          <w:tcPr>
            <w:tcW w:w="4598" w:type="dxa"/>
            <w:tcBorders>
              <w:top w:val="nil"/>
              <w:left w:val="nil"/>
              <w:bottom w:val="nil"/>
              <w:right w:val="nil"/>
            </w:tcBorders>
          </w:tcPr>
          <w:p w14:paraId="1F3C098B" w14:textId="0BE7730C" w:rsidR="001D4D59" w:rsidRPr="008834CA" w:rsidRDefault="001D4D59" w:rsidP="0048229C">
            <w:pPr>
              <w:tabs>
                <w:tab w:val="left" w:pos="5590"/>
                <w:tab w:val="right" w:pos="7620"/>
                <w:tab w:val="right" w:pos="9460"/>
                <w:tab w:val="right" w:pos="10080"/>
              </w:tabs>
              <w:ind w:left="617" w:right="-57"/>
              <w:jc w:val="both"/>
              <w:rPr>
                <w:bCs w:val="0"/>
                <w:i/>
                <w:sz w:val="18"/>
                <w:szCs w:val="18"/>
              </w:rPr>
            </w:pPr>
            <w:r w:rsidRPr="008834CA">
              <w:rPr>
                <w:i/>
                <w:sz w:val="18"/>
                <w:szCs w:val="18"/>
              </w:rPr>
              <w:t>Regardless of the method used</w:t>
            </w:r>
            <w:r w:rsidR="0048229C">
              <w:rPr>
                <w:i/>
                <w:sz w:val="18"/>
                <w:szCs w:val="18"/>
              </w:rPr>
              <w:t>,</w:t>
            </w:r>
            <w:r w:rsidRPr="008834CA">
              <w:rPr>
                <w:i/>
                <w:sz w:val="18"/>
                <w:szCs w:val="18"/>
              </w:rPr>
              <w:t xml:space="preserve"> the fair value of a liability must take account of non-performance risk including the entity’s own credit risk.</w:t>
            </w:r>
          </w:p>
        </w:tc>
      </w:tr>
      <w:tr w:rsidR="001D4D59" w:rsidRPr="008834CA" w14:paraId="51BF675C" w14:textId="77777777" w:rsidTr="00B8576F">
        <w:trPr>
          <w:trHeight w:val="20"/>
        </w:trPr>
        <w:tc>
          <w:tcPr>
            <w:tcW w:w="4598" w:type="dxa"/>
            <w:tcBorders>
              <w:top w:val="nil"/>
              <w:left w:val="nil"/>
              <w:bottom w:val="nil"/>
              <w:right w:val="nil"/>
            </w:tcBorders>
          </w:tcPr>
          <w:p w14:paraId="0303BDAC" w14:textId="77777777" w:rsidR="001D4D59" w:rsidRPr="008834CA" w:rsidRDefault="001D4D59" w:rsidP="000A0364">
            <w:pPr>
              <w:ind w:left="550" w:right="-57"/>
              <w:jc w:val="both"/>
              <w:rPr>
                <w:bCs w:val="0"/>
                <w:sz w:val="18"/>
                <w:szCs w:val="18"/>
              </w:rPr>
            </w:pPr>
          </w:p>
        </w:tc>
        <w:tc>
          <w:tcPr>
            <w:tcW w:w="4598" w:type="dxa"/>
            <w:tcBorders>
              <w:top w:val="nil"/>
              <w:left w:val="nil"/>
              <w:bottom w:val="nil"/>
              <w:right w:val="nil"/>
            </w:tcBorders>
          </w:tcPr>
          <w:p w14:paraId="419023EF"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8834CA" w14:paraId="236DBFC4" w14:textId="77777777" w:rsidTr="00B8576F">
        <w:trPr>
          <w:trHeight w:val="20"/>
        </w:trPr>
        <w:tc>
          <w:tcPr>
            <w:tcW w:w="4598" w:type="dxa"/>
            <w:tcBorders>
              <w:top w:val="nil"/>
              <w:left w:val="nil"/>
              <w:bottom w:val="nil"/>
              <w:right w:val="nil"/>
            </w:tcBorders>
          </w:tcPr>
          <w:p w14:paraId="36ED159B" w14:textId="77777777" w:rsidR="001D4D59" w:rsidRPr="008834CA" w:rsidRDefault="001D4D59" w:rsidP="000A0364">
            <w:pPr>
              <w:ind w:left="550" w:right="-57"/>
              <w:jc w:val="both"/>
              <w:rPr>
                <w:b/>
                <w:bCs w:val="0"/>
                <w:sz w:val="18"/>
                <w:szCs w:val="18"/>
              </w:rPr>
            </w:pPr>
            <w:r w:rsidRPr="008834CA">
              <w:rPr>
                <w:b/>
                <w:sz w:val="18"/>
                <w:szCs w:val="18"/>
              </w:rPr>
              <w:t>Saling Hapus Risiko Pasar dan Risiko Kredit Pihak Lawan</w:t>
            </w:r>
          </w:p>
        </w:tc>
        <w:tc>
          <w:tcPr>
            <w:tcW w:w="4598" w:type="dxa"/>
            <w:tcBorders>
              <w:top w:val="nil"/>
              <w:left w:val="nil"/>
              <w:bottom w:val="nil"/>
              <w:right w:val="nil"/>
            </w:tcBorders>
          </w:tcPr>
          <w:p w14:paraId="4062A557" w14:textId="77777777" w:rsidR="001D4D59" w:rsidRPr="008834CA" w:rsidRDefault="001D4D59" w:rsidP="00F55BA8">
            <w:pPr>
              <w:tabs>
                <w:tab w:val="left" w:pos="5590"/>
                <w:tab w:val="right" w:pos="7620"/>
                <w:tab w:val="right" w:pos="9460"/>
                <w:tab w:val="right" w:pos="10080"/>
              </w:tabs>
              <w:ind w:left="617" w:right="-57"/>
              <w:jc w:val="both"/>
              <w:rPr>
                <w:b/>
                <w:bCs w:val="0"/>
                <w:i/>
                <w:sz w:val="18"/>
                <w:szCs w:val="18"/>
              </w:rPr>
            </w:pPr>
            <w:r w:rsidRPr="008834CA">
              <w:rPr>
                <w:b/>
                <w:i/>
                <w:sz w:val="18"/>
                <w:szCs w:val="18"/>
              </w:rPr>
              <w:t>Offsetting Market Risks or Counterparty Credit Risk</w:t>
            </w:r>
          </w:p>
        </w:tc>
      </w:tr>
      <w:tr w:rsidR="001D4D59" w:rsidRPr="008834CA" w14:paraId="38FAF9DD" w14:textId="77777777" w:rsidTr="00B8576F">
        <w:trPr>
          <w:trHeight w:val="20"/>
        </w:trPr>
        <w:tc>
          <w:tcPr>
            <w:tcW w:w="4598" w:type="dxa"/>
            <w:tcBorders>
              <w:top w:val="nil"/>
              <w:left w:val="nil"/>
              <w:bottom w:val="nil"/>
              <w:right w:val="nil"/>
            </w:tcBorders>
          </w:tcPr>
          <w:p w14:paraId="44628EC8" w14:textId="77777777" w:rsidR="001D4D59" w:rsidRPr="008834CA" w:rsidRDefault="001D4D59" w:rsidP="000A0364">
            <w:pPr>
              <w:ind w:left="550" w:right="-57"/>
              <w:jc w:val="both"/>
              <w:rPr>
                <w:bCs w:val="0"/>
                <w:sz w:val="18"/>
                <w:szCs w:val="18"/>
              </w:rPr>
            </w:pPr>
          </w:p>
        </w:tc>
        <w:tc>
          <w:tcPr>
            <w:tcW w:w="4598" w:type="dxa"/>
            <w:tcBorders>
              <w:top w:val="nil"/>
              <w:left w:val="nil"/>
              <w:bottom w:val="nil"/>
              <w:right w:val="nil"/>
            </w:tcBorders>
          </w:tcPr>
          <w:p w14:paraId="140C5A90"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C608D0" w14:paraId="63043CBF" w14:textId="77777777" w:rsidTr="00B8576F">
        <w:trPr>
          <w:trHeight w:val="20"/>
        </w:trPr>
        <w:tc>
          <w:tcPr>
            <w:tcW w:w="4598" w:type="dxa"/>
            <w:tcBorders>
              <w:top w:val="nil"/>
              <w:left w:val="nil"/>
              <w:bottom w:val="nil"/>
              <w:right w:val="nil"/>
            </w:tcBorders>
          </w:tcPr>
          <w:p w14:paraId="0F506BEE" w14:textId="2108CED3" w:rsidR="001D4D59" w:rsidRPr="008834CA" w:rsidRDefault="001D4D59" w:rsidP="0048229C">
            <w:pPr>
              <w:ind w:left="550" w:right="-57"/>
              <w:jc w:val="both"/>
              <w:rPr>
                <w:bCs w:val="0"/>
                <w:sz w:val="18"/>
                <w:szCs w:val="18"/>
              </w:rPr>
            </w:pPr>
            <w:r w:rsidRPr="008834CA">
              <w:rPr>
                <w:sz w:val="18"/>
                <w:szCs w:val="18"/>
              </w:rPr>
              <w:t>Standar ini mengijinkan pengecualian terbatas pada prinsip-prinsip dasar pengukuran nilai wajar untuk entitas pelapor yang memiliki kelompok aset keuangan dan liabilitas keuangan dengan posisi saling hapus risiko pasar tertentu sebagaimana didefinisikan dalam PSAK No. 60 (Revisi 2014)</w:t>
            </w:r>
            <w:r w:rsidR="00870FD0">
              <w:rPr>
                <w:sz w:val="18"/>
                <w:szCs w:val="18"/>
              </w:rPr>
              <w:t>.</w:t>
            </w:r>
            <w:r w:rsidRPr="008834CA">
              <w:rPr>
                <w:sz w:val="18"/>
                <w:szCs w:val="18"/>
              </w:rPr>
              <w:t xml:space="preserve"> “Instrumen Keuangan: Pengungkapan” atau risiko kredit pihak lawan (</w:t>
            </w:r>
            <w:r w:rsidRPr="008834CA">
              <w:rPr>
                <w:i/>
                <w:sz w:val="18"/>
                <w:szCs w:val="18"/>
              </w:rPr>
              <w:t>counterparty credit risk</w:t>
            </w:r>
            <w:r w:rsidRPr="008834CA">
              <w:rPr>
                <w:sz w:val="18"/>
                <w:szCs w:val="18"/>
              </w:rPr>
              <w:t>) dan mengelola kepemilikan tersebut atas dasar eksposur neto entitas untuk risiko tersebut. Pengecualian ini memungkinkan entitas pelapor</w:t>
            </w:r>
            <w:r w:rsidR="0048229C">
              <w:rPr>
                <w:sz w:val="18"/>
                <w:szCs w:val="18"/>
              </w:rPr>
              <w:t>,</w:t>
            </w:r>
            <w:r w:rsidRPr="008834CA">
              <w:rPr>
                <w:sz w:val="18"/>
                <w:szCs w:val="18"/>
              </w:rPr>
              <w:t xml:space="preserve"> jika kriteria tertentu terpenuhi</w:t>
            </w:r>
            <w:r w:rsidR="0048229C">
              <w:rPr>
                <w:sz w:val="18"/>
                <w:szCs w:val="18"/>
              </w:rPr>
              <w:t>,</w:t>
            </w:r>
            <w:r w:rsidRPr="008834CA">
              <w:rPr>
                <w:sz w:val="18"/>
                <w:szCs w:val="18"/>
              </w:rPr>
              <w:t xml:space="preserve"> untuk mengukur nilai wajar aset neto atau liabilitas neto dengan cara yang konsisten dengan bagaimana pelaku pasar akan memberikan harga posisi risiko neto.</w:t>
            </w:r>
          </w:p>
        </w:tc>
        <w:tc>
          <w:tcPr>
            <w:tcW w:w="4598" w:type="dxa"/>
            <w:tcBorders>
              <w:top w:val="nil"/>
              <w:left w:val="nil"/>
              <w:bottom w:val="nil"/>
              <w:right w:val="nil"/>
            </w:tcBorders>
          </w:tcPr>
          <w:p w14:paraId="1B49385E" w14:textId="0A89924C" w:rsidR="001D4D59" w:rsidRPr="008F6B22" w:rsidRDefault="001D4D59" w:rsidP="0048229C">
            <w:pPr>
              <w:tabs>
                <w:tab w:val="left" w:pos="5590"/>
                <w:tab w:val="right" w:pos="7620"/>
                <w:tab w:val="right" w:pos="9460"/>
                <w:tab w:val="right" w:pos="10080"/>
              </w:tabs>
              <w:ind w:left="617" w:right="-57"/>
              <w:jc w:val="both"/>
              <w:rPr>
                <w:bCs w:val="0"/>
                <w:i/>
                <w:sz w:val="18"/>
                <w:szCs w:val="18"/>
              </w:rPr>
            </w:pPr>
            <w:r w:rsidRPr="008834CA">
              <w:rPr>
                <w:i/>
                <w:sz w:val="18"/>
                <w:szCs w:val="18"/>
              </w:rPr>
              <w:t>The standard allows a limited exception to the basic fair value measurement principles for a reporting entity that holds a group of financial assets and financial liabilities with offsetting positions in particular market risk as defined in PSAK No. 60 (Revised 2014)</w:t>
            </w:r>
            <w:r w:rsidR="00870FD0">
              <w:rPr>
                <w:i/>
                <w:sz w:val="18"/>
                <w:szCs w:val="18"/>
              </w:rPr>
              <w:t>.</w:t>
            </w:r>
            <w:r w:rsidRPr="008834CA">
              <w:rPr>
                <w:i/>
                <w:sz w:val="18"/>
                <w:szCs w:val="18"/>
              </w:rPr>
              <w:t xml:space="preserve"> “Financial Instruments: Disclosures” or counter party credit risk and manages those holdings on the basis of the entity’s net exposure to either risk. This exception allows the reporting entity</w:t>
            </w:r>
            <w:r w:rsidR="0048229C">
              <w:rPr>
                <w:i/>
                <w:sz w:val="18"/>
                <w:szCs w:val="18"/>
              </w:rPr>
              <w:t>,</w:t>
            </w:r>
            <w:r w:rsidRPr="008834CA">
              <w:rPr>
                <w:i/>
                <w:sz w:val="18"/>
                <w:szCs w:val="18"/>
              </w:rPr>
              <w:t xml:space="preserve"> if certain criteria are met</w:t>
            </w:r>
            <w:r w:rsidR="0048229C">
              <w:rPr>
                <w:i/>
                <w:sz w:val="18"/>
                <w:szCs w:val="18"/>
              </w:rPr>
              <w:t>,</w:t>
            </w:r>
            <w:r w:rsidRPr="008834CA">
              <w:rPr>
                <w:i/>
                <w:sz w:val="18"/>
                <w:szCs w:val="18"/>
              </w:rPr>
              <w:t xml:space="preserve"> to measure the fair value of the net asset or liability position in a manner consistent with how market participants would price the net risk position.</w:t>
            </w:r>
          </w:p>
        </w:tc>
      </w:tr>
    </w:tbl>
    <w:p w14:paraId="2BF16189" w14:textId="77777777" w:rsidR="002F03EF" w:rsidRDefault="002F03EF">
      <w:pPr>
        <w:rPr>
          <w:sz w:val="6"/>
          <w:szCs w:val="6"/>
        </w:rPr>
      </w:pPr>
    </w:p>
    <w:p w14:paraId="663796E4" w14:textId="77777777" w:rsidR="002F03EF" w:rsidRDefault="002F03EF">
      <w:pPr>
        <w:rPr>
          <w:sz w:val="6"/>
          <w:szCs w:val="6"/>
        </w:rPr>
      </w:pPr>
    </w:p>
    <w:p w14:paraId="7DA485A9" w14:textId="77777777" w:rsidR="002F03EF" w:rsidRDefault="002F03EF">
      <w:pPr>
        <w:rPr>
          <w:sz w:val="6"/>
          <w:szCs w:val="6"/>
        </w:rPr>
      </w:pPr>
    </w:p>
    <w:p w14:paraId="2BA8A69F" w14:textId="77777777" w:rsidR="002F03EF" w:rsidRDefault="002F03EF">
      <w:pPr>
        <w:rPr>
          <w:sz w:val="6"/>
          <w:szCs w:val="6"/>
        </w:rPr>
      </w:pPr>
    </w:p>
    <w:p w14:paraId="000CEFEB" w14:textId="77777777" w:rsidR="002F03EF" w:rsidRDefault="002F03EF">
      <w:pPr>
        <w:rPr>
          <w:sz w:val="6"/>
          <w:szCs w:val="6"/>
        </w:rPr>
      </w:pPr>
    </w:p>
    <w:p w14:paraId="0B5CA8CC" w14:textId="77777777" w:rsidR="002F03EF" w:rsidRDefault="002F03EF">
      <w:pPr>
        <w:rPr>
          <w:sz w:val="6"/>
          <w:szCs w:val="6"/>
        </w:rPr>
      </w:pPr>
    </w:p>
    <w:p w14:paraId="0C71505A" w14:textId="35AB1B0D" w:rsidR="002F03EF" w:rsidRPr="002F03EF" w:rsidRDefault="002F03EF">
      <w:pPr>
        <w:rPr>
          <w:sz w:val="6"/>
          <w:szCs w:val="6"/>
        </w:rPr>
      </w:pPr>
      <w:r>
        <w:rPr>
          <w:sz w:val="6"/>
          <w:szCs w:val="6"/>
        </w:rPr>
        <w:br w:type="page"/>
      </w:r>
    </w:p>
    <w:tbl>
      <w:tblPr>
        <w:tblW w:w="9197" w:type="dxa"/>
        <w:tblInd w:w="392" w:type="dxa"/>
        <w:tblLayout w:type="fixed"/>
        <w:tblLook w:val="0000" w:firstRow="0" w:lastRow="0" w:firstColumn="0" w:lastColumn="0" w:noHBand="0" w:noVBand="0"/>
      </w:tblPr>
      <w:tblGrid>
        <w:gridCol w:w="4598"/>
        <w:gridCol w:w="4599"/>
      </w:tblGrid>
      <w:tr w:rsidR="001D4D59" w:rsidRPr="008834CA" w14:paraId="69F69B6E" w14:textId="77777777" w:rsidTr="00B8576F">
        <w:trPr>
          <w:trHeight w:val="20"/>
        </w:trPr>
        <w:tc>
          <w:tcPr>
            <w:tcW w:w="4598" w:type="dxa"/>
            <w:tcBorders>
              <w:top w:val="nil"/>
              <w:left w:val="nil"/>
              <w:bottom w:val="nil"/>
              <w:right w:val="nil"/>
            </w:tcBorders>
          </w:tcPr>
          <w:p w14:paraId="36C3F3A1" w14:textId="01E2EB5E" w:rsidR="001D4D59" w:rsidRPr="008834CA" w:rsidRDefault="001D4D59" w:rsidP="00070D1F">
            <w:pPr>
              <w:numPr>
                <w:ilvl w:val="0"/>
                <w:numId w:val="243"/>
              </w:numPr>
              <w:tabs>
                <w:tab w:val="clear" w:pos="720"/>
              </w:tabs>
              <w:ind w:left="209" w:right="-57" w:hanging="283"/>
              <w:jc w:val="both"/>
              <w:rPr>
                <w:b/>
                <w:bCs w:val="0"/>
                <w:sz w:val="18"/>
                <w:szCs w:val="18"/>
              </w:rPr>
            </w:pPr>
            <w:r w:rsidRPr="008834CA">
              <w:rPr>
                <w:b/>
                <w:sz w:val="18"/>
                <w:szCs w:val="18"/>
              </w:rPr>
              <w:lastRenderedPageBreak/>
              <w:t>IKHTISAR KEBIJAKAN AKUNTANSI YANG PENTING</w:t>
            </w:r>
            <w:r w:rsidRPr="008834CA">
              <w:rPr>
                <w:sz w:val="18"/>
                <w:szCs w:val="18"/>
              </w:rPr>
              <w:t xml:space="preserve"> </w:t>
            </w:r>
            <w:r w:rsidR="005B720B" w:rsidRPr="008834CA">
              <w:rPr>
                <w:sz w:val="18"/>
                <w:szCs w:val="18"/>
              </w:rPr>
              <w:t>-</w:t>
            </w:r>
            <w:r w:rsidR="000629D6" w:rsidRPr="008834CA">
              <w:rPr>
                <w:b/>
                <w:sz w:val="18"/>
                <w:szCs w:val="18"/>
              </w:rPr>
              <w:t xml:space="preserve"> Lanjutan</w:t>
            </w:r>
          </w:p>
        </w:tc>
        <w:tc>
          <w:tcPr>
            <w:tcW w:w="4598" w:type="dxa"/>
            <w:tcBorders>
              <w:top w:val="nil"/>
              <w:left w:val="nil"/>
              <w:bottom w:val="nil"/>
              <w:right w:val="nil"/>
            </w:tcBorders>
          </w:tcPr>
          <w:p w14:paraId="16663471" w14:textId="41201DB6" w:rsidR="001D4D59" w:rsidRPr="008834CA" w:rsidRDefault="001D4D59" w:rsidP="00070D1F">
            <w:pPr>
              <w:numPr>
                <w:ilvl w:val="0"/>
                <w:numId w:val="244"/>
              </w:numPr>
              <w:tabs>
                <w:tab w:val="clear" w:pos="720"/>
                <w:tab w:val="num" w:pos="333"/>
                <w:tab w:val="left" w:pos="5590"/>
                <w:tab w:val="right" w:pos="7620"/>
                <w:tab w:val="right" w:pos="9460"/>
                <w:tab w:val="right" w:pos="10080"/>
              </w:tabs>
              <w:ind w:left="333" w:right="-57" w:hanging="333"/>
              <w:jc w:val="both"/>
              <w:rPr>
                <w:b/>
                <w:bCs w:val="0"/>
                <w:i/>
                <w:sz w:val="18"/>
                <w:szCs w:val="18"/>
              </w:rPr>
            </w:pPr>
            <w:r w:rsidRPr="008834CA">
              <w:rPr>
                <w:b/>
                <w:i/>
                <w:sz w:val="18"/>
                <w:szCs w:val="18"/>
              </w:rPr>
              <w:t xml:space="preserve">SUMMARY OF SIGNIFICANT ACCOUNTING POLICIES </w:t>
            </w:r>
            <w:r w:rsidR="000629D6" w:rsidRPr="008834CA">
              <w:rPr>
                <w:b/>
                <w:i/>
                <w:sz w:val="18"/>
                <w:szCs w:val="18"/>
              </w:rPr>
              <w:t>- Continued</w:t>
            </w:r>
          </w:p>
        </w:tc>
      </w:tr>
      <w:tr w:rsidR="001D4D59" w:rsidRPr="008834CA" w14:paraId="4E87BCCF" w14:textId="77777777" w:rsidTr="00B8576F">
        <w:trPr>
          <w:trHeight w:val="20"/>
        </w:trPr>
        <w:tc>
          <w:tcPr>
            <w:tcW w:w="4598" w:type="dxa"/>
            <w:tcBorders>
              <w:top w:val="nil"/>
              <w:left w:val="nil"/>
              <w:bottom w:val="nil"/>
              <w:right w:val="nil"/>
            </w:tcBorders>
          </w:tcPr>
          <w:p w14:paraId="34B5B6A2" w14:textId="77777777" w:rsidR="001D4D59" w:rsidRPr="008834CA" w:rsidRDefault="001D4D59" w:rsidP="003903E3">
            <w:pPr>
              <w:ind w:left="522" w:right="-57"/>
              <w:jc w:val="both"/>
              <w:rPr>
                <w:bCs w:val="0"/>
                <w:sz w:val="18"/>
                <w:szCs w:val="18"/>
              </w:rPr>
            </w:pPr>
          </w:p>
        </w:tc>
        <w:tc>
          <w:tcPr>
            <w:tcW w:w="4598" w:type="dxa"/>
            <w:tcBorders>
              <w:top w:val="nil"/>
              <w:left w:val="nil"/>
              <w:bottom w:val="nil"/>
              <w:right w:val="nil"/>
            </w:tcBorders>
          </w:tcPr>
          <w:p w14:paraId="3A2C3F5E"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8834CA" w14:paraId="6DF44685" w14:textId="77777777" w:rsidTr="00B8576F">
        <w:trPr>
          <w:trHeight w:val="20"/>
        </w:trPr>
        <w:tc>
          <w:tcPr>
            <w:tcW w:w="4598" w:type="dxa"/>
            <w:tcBorders>
              <w:top w:val="nil"/>
              <w:left w:val="nil"/>
              <w:bottom w:val="nil"/>
              <w:right w:val="nil"/>
            </w:tcBorders>
          </w:tcPr>
          <w:p w14:paraId="48632BDD" w14:textId="14DAFF1E" w:rsidR="001D4D59" w:rsidRPr="008834CA" w:rsidRDefault="001D4D59" w:rsidP="00070D1F">
            <w:pPr>
              <w:pStyle w:val="ListParagraph"/>
              <w:numPr>
                <w:ilvl w:val="0"/>
                <w:numId w:val="245"/>
              </w:numPr>
              <w:ind w:left="493" w:right="-57" w:hanging="284"/>
              <w:jc w:val="both"/>
              <w:rPr>
                <w:b/>
                <w:bCs w:val="0"/>
                <w:sz w:val="18"/>
                <w:szCs w:val="18"/>
              </w:rPr>
            </w:pPr>
            <w:r w:rsidRPr="008834CA">
              <w:rPr>
                <w:b/>
                <w:sz w:val="18"/>
                <w:szCs w:val="18"/>
              </w:rPr>
              <w:t xml:space="preserve">Pengukuran Nilai Wajar </w:t>
            </w:r>
            <w:r w:rsidR="000629D6" w:rsidRPr="008834CA">
              <w:rPr>
                <w:b/>
                <w:sz w:val="18"/>
                <w:szCs w:val="18"/>
              </w:rPr>
              <w:t>- Lanjutan</w:t>
            </w:r>
          </w:p>
        </w:tc>
        <w:tc>
          <w:tcPr>
            <w:tcW w:w="4598" w:type="dxa"/>
            <w:tcBorders>
              <w:top w:val="nil"/>
              <w:left w:val="nil"/>
              <w:bottom w:val="nil"/>
              <w:right w:val="nil"/>
            </w:tcBorders>
          </w:tcPr>
          <w:p w14:paraId="1F968EE2" w14:textId="234E667A" w:rsidR="001D4D59" w:rsidRPr="008834CA" w:rsidRDefault="001D4D59" w:rsidP="00070D1F">
            <w:pPr>
              <w:pStyle w:val="ListParagraph"/>
              <w:numPr>
                <w:ilvl w:val="0"/>
                <w:numId w:val="246"/>
              </w:numPr>
              <w:tabs>
                <w:tab w:val="left" w:pos="5590"/>
                <w:tab w:val="right" w:pos="7620"/>
                <w:tab w:val="right" w:pos="9460"/>
                <w:tab w:val="right" w:pos="10080"/>
              </w:tabs>
              <w:ind w:right="-57"/>
              <w:jc w:val="both"/>
              <w:rPr>
                <w:b/>
                <w:bCs w:val="0"/>
                <w:i/>
                <w:sz w:val="18"/>
                <w:szCs w:val="18"/>
              </w:rPr>
            </w:pPr>
            <w:r w:rsidRPr="008834CA">
              <w:rPr>
                <w:b/>
                <w:i/>
                <w:sz w:val="18"/>
                <w:szCs w:val="18"/>
              </w:rPr>
              <w:t xml:space="preserve">Fair Value Measurement </w:t>
            </w:r>
            <w:r w:rsidR="000629D6" w:rsidRPr="008834CA">
              <w:rPr>
                <w:b/>
                <w:i/>
                <w:sz w:val="18"/>
                <w:szCs w:val="18"/>
              </w:rPr>
              <w:t>- Continued</w:t>
            </w:r>
          </w:p>
        </w:tc>
      </w:tr>
      <w:tr w:rsidR="001D4D59" w:rsidRPr="008834CA" w14:paraId="1BF9E51B" w14:textId="77777777" w:rsidTr="00B8576F">
        <w:trPr>
          <w:trHeight w:val="20"/>
        </w:trPr>
        <w:tc>
          <w:tcPr>
            <w:tcW w:w="4598" w:type="dxa"/>
            <w:tcBorders>
              <w:top w:val="nil"/>
              <w:left w:val="nil"/>
              <w:bottom w:val="nil"/>
              <w:right w:val="nil"/>
            </w:tcBorders>
          </w:tcPr>
          <w:p w14:paraId="4F425506" w14:textId="77777777" w:rsidR="001D4D59" w:rsidRPr="008834CA" w:rsidRDefault="001D4D59" w:rsidP="003903E3">
            <w:pPr>
              <w:ind w:left="972" w:right="-57"/>
              <w:jc w:val="both"/>
              <w:rPr>
                <w:bCs w:val="0"/>
                <w:sz w:val="18"/>
                <w:szCs w:val="18"/>
              </w:rPr>
            </w:pPr>
          </w:p>
        </w:tc>
        <w:tc>
          <w:tcPr>
            <w:tcW w:w="4598" w:type="dxa"/>
            <w:tcBorders>
              <w:top w:val="nil"/>
              <w:left w:val="nil"/>
              <w:bottom w:val="nil"/>
              <w:right w:val="nil"/>
            </w:tcBorders>
          </w:tcPr>
          <w:p w14:paraId="3EC4B8FF" w14:textId="77777777" w:rsidR="001D4D59" w:rsidRPr="008834CA" w:rsidRDefault="001D4D59" w:rsidP="003903E3">
            <w:pPr>
              <w:tabs>
                <w:tab w:val="left" w:pos="5590"/>
                <w:tab w:val="right" w:pos="7620"/>
                <w:tab w:val="right" w:pos="9460"/>
                <w:tab w:val="right" w:pos="10080"/>
              </w:tabs>
              <w:ind w:left="1242" w:right="-57"/>
              <w:jc w:val="both"/>
              <w:rPr>
                <w:bCs w:val="0"/>
                <w:i/>
                <w:sz w:val="18"/>
                <w:szCs w:val="18"/>
              </w:rPr>
            </w:pPr>
          </w:p>
        </w:tc>
      </w:tr>
      <w:tr w:rsidR="001D4D59" w:rsidRPr="008834CA" w14:paraId="5FD1FCDB" w14:textId="77777777" w:rsidTr="00B8576F">
        <w:trPr>
          <w:trHeight w:val="20"/>
        </w:trPr>
        <w:tc>
          <w:tcPr>
            <w:tcW w:w="4598" w:type="dxa"/>
            <w:tcBorders>
              <w:top w:val="nil"/>
              <w:left w:val="nil"/>
              <w:bottom w:val="nil"/>
              <w:right w:val="nil"/>
            </w:tcBorders>
          </w:tcPr>
          <w:p w14:paraId="5CD707CF" w14:textId="5EE77D93" w:rsidR="001D4D59" w:rsidRPr="008834CA" w:rsidRDefault="001D4D59" w:rsidP="003903E3">
            <w:pPr>
              <w:ind w:left="522" w:right="-57"/>
              <w:jc w:val="both"/>
              <w:rPr>
                <w:b/>
                <w:bCs w:val="0"/>
                <w:sz w:val="18"/>
                <w:szCs w:val="18"/>
              </w:rPr>
            </w:pPr>
            <w:r w:rsidRPr="008834CA">
              <w:rPr>
                <w:b/>
                <w:sz w:val="18"/>
                <w:szCs w:val="18"/>
              </w:rPr>
              <w:t xml:space="preserve">Pengukuran </w:t>
            </w:r>
            <w:r w:rsidR="000629D6" w:rsidRPr="008834CA">
              <w:rPr>
                <w:b/>
                <w:sz w:val="18"/>
                <w:szCs w:val="18"/>
              </w:rPr>
              <w:t>- Lanjutan</w:t>
            </w:r>
          </w:p>
        </w:tc>
        <w:tc>
          <w:tcPr>
            <w:tcW w:w="4598" w:type="dxa"/>
            <w:tcBorders>
              <w:top w:val="nil"/>
              <w:left w:val="nil"/>
              <w:bottom w:val="nil"/>
              <w:right w:val="nil"/>
            </w:tcBorders>
          </w:tcPr>
          <w:p w14:paraId="40538995" w14:textId="306C9809" w:rsidR="001D4D59" w:rsidRPr="008834CA" w:rsidRDefault="001D4D59" w:rsidP="003903E3">
            <w:pPr>
              <w:tabs>
                <w:tab w:val="left" w:pos="5590"/>
                <w:tab w:val="right" w:pos="7620"/>
                <w:tab w:val="right" w:pos="9460"/>
                <w:tab w:val="right" w:pos="10080"/>
              </w:tabs>
              <w:ind w:left="704" w:right="-57"/>
              <w:jc w:val="both"/>
              <w:rPr>
                <w:b/>
                <w:bCs w:val="0"/>
                <w:i/>
                <w:sz w:val="18"/>
                <w:szCs w:val="18"/>
              </w:rPr>
            </w:pPr>
            <w:r w:rsidRPr="008834CA">
              <w:rPr>
                <w:b/>
                <w:i/>
                <w:sz w:val="18"/>
                <w:szCs w:val="18"/>
              </w:rPr>
              <w:t xml:space="preserve">Measurement </w:t>
            </w:r>
            <w:r w:rsidR="000629D6" w:rsidRPr="008834CA">
              <w:rPr>
                <w:b/>
                <w:i/>
                <w:sz w:val="18"/>
                <w:szCs w:val="18"/>
              </w:rPr>
              <w:t>- Continued</w:t>
            </w:r>
          </w:p>
        </w:tc>
      </w:tr>
      <w:tr w:rsidR="001D4D59" w:rsidRPr="008834CA" w14:paraId="50DA1535" w14:textId="77777777" w:rsidTr="00B8576F">
        <w:trPr>
          <w:trHeight w:val="20"/>
        </w:trPr>
        <w:tc>
          <w:tcPr>
            <w:tcW w:w="4598" w:type="dxa"/>
            <w:tcBorders>
              <w:top w:val="nil"/>
              <w:left w:val="nil"/>
              <w:bottom w:val="nil"/>
              <w:right w:val="nil"/>
            </w:tcBorders>
          </w:tcPr>
          <w:p w14:paraId="15DE54B3" w14:textId="77777777" w:rsidR="001D4D59" w:rsidRPr="008834CA" w:rsidRDefault="001D4D59" w:rsidP="003903E3">
            <w:pPr>
              <w:ind w:left="522" w:right="-57"/>
              <w:jc w:val="both"/>
              <w:rPr>
                <w:bCs w:val="0"/>
                <w:sz w:val="18"/>
                <w:szCs w:val="18"/>
              </w:rPr>
            </w:pPr>
          </w:p>
        </w:tc>
        <w:tc>
          <w:tcPr>
            <w:tcW w:w="4598" w:type="dxa"/>
            <w:tcBorders>
              <w:top w:val="nil"/>
              <w:left w:val="nil"/>
              <w:bottom w:val="nil"/>
              <w:right w:val="nil"/>
            </w:tcBorders>
          </w:tcPr>
          <w:p w14:paraId="0D64032A"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8834CA" w14:paraId="6E4856DA" w14:textId="77777777" w:rsidTr="00B8576F">
        <w:trPr>
          <w:trHeight w:val="20"/>
        </w:trPr>
        <w:tc>
          <w:tcPr>
            <w:tcW w:w="4598" w:type="dxa"/>
            <w:tcBorders>
              <w:top w:val="nil"/>
              <w:left w:val="nil"/>
              <w:bottom w:val="nil"/>
              <w:right w:val="nil"/>
            </w:tcBorders>
          </w:tcPr>
          <w:p w14:paraId="596C7FDF" w14:textId="553FDB05" w:rsidR="001D4D59" w:rsidRPr="008834CA" w:rsidRDefault="001D4D59" w:rsidP="003903E3">
            <w:pPr>
              <w:ind w:left="522" w:right="-57"/>
              <w:jc w:val="both"/>
              <w:rPr>
                <w:b/>
                <w:bCs w:val="0"/>
                <w:sz w:val="18"/>
                <w:szCs w:val="18"/>
              </w:rPr>
            </w:pPr>
            <w:r w:rsidRPr="008834CA">
              <w:rPr>
                <w:b/>
                <w:sz w:val="18"/>
                <w:szCs w:val="18"/>
              </w:rPr>
              <w:t xml:space="preserve">Saling Hapus Risiko Pasar dan Risiko Kredit Pihak Lawan </w:t>
            </w:r>
            <w:r w:rsidR="000629D6" w:rsidRPr="008834CA">
              <w:rPr>
                <w:b/>
                <w:sz w:val="18"/>
                <w:szCs w:val="18"/>
              </w:rPr>
              <w:t>- Lanjutan</w:t>
            </w:r>
          </w:p>
        </w:tc>
        <w:tc>
          <w:tcPr>
            <w:tcW w:w="4598" w:type="dxa"/>
            <w:tcBorders>
              <w:top w:val="nil"/>
              <w:left w:val="nil"/>
              <w:bottom w:val="nil"/>
              <w:right w:val="nil"/>
            </w:tcBorders>
          </w:tcPr>
          <w:p w14:paraId="32728440" w14:textId="23B72950" w:rsidR="001D4D59" w:rsidRPr="008834CA" w:rsidRDefault="001D4D59" w:rsidP="003903E3">
            <w:pPr>
              <w:tabs>
                <w:tab w:val="left" w:pos="5590"/>
                <w:tab w:val="right" w:pos="7620"/>
                <w:tab w:val="right" w:pos="9460"/>
                <w:tab w:val="right" w:pos="10080"/>
              </w:tabs>
              <w:ind w:left="704" w:right="-57"/>
              <w:jc w:val="both"/>
              <w:rPr>
                <w:b/>
                <w:bCs w:val="0"/>
                <w:i/>
                <w:sz w:val="18"/>
                <w:szCs w:val="18"/>
              </w:rPr>
            </w:pPr>
            <w:r w:rsidRPr="008834CA">
              <w:rPr>
                <w:b/>
                <w:i/>
                <w:sz w:val="18"/>
                <w:szCs w:val="18"/>
              </w:rPr>
              <w:t xml:space="preserve">Offsetting Market Risks or Counterparty Credit Risk </w:t>
            </w:r>
            <w:r w:rsidR="000629D6" w:rsidRPr="008834CA">
              <w:rPr>
                <w:b/>
                <w:i/>
                <w:sz w:val="18"/>
                <w:szCs w:val="18"/>
              </w:rPr>
              <w:t>- Continued</w:t>
            </w:r>
          </w:p>
        </w:tc>
      </w:tr>
      <w:tr w:rsidR="001D4D59" w:rsidRPr="008834CA" w14:paraId="7FE2A685" w14:textId="77777777" w:rsidTr="00B8576F">
        <w:trPr>
          <w:trHeight w:val="20"/>
        </w:trPr>
        <w:tc>
          <w:tcPr>
            <w:tcW w:w="4598" w:type="dxa"/>
            <w:tcBorders>
              <w:top w:val="nil"/>
              <w:left w:val="nil"/>
              <w:bottom w:val="nil"/>
              <w:right w:val="nil"/>
            </w:tcBorders>
          </w:tcPr>
          <w:p w14:paraId="6838CD99" w14:textId="77777777" w:rsidR="001D4D59" w:rsidRPr="008834CA" w:rsidRDefault="001D4D59" w:rsidP="003903E3">
            <w:pPr>
              <w:ind w:left="522" w:right="-57"/>
              <w:jc w:val="both"/>
              <w:rPr>
                <w:bCs w:val="0"/>
                <w:sz w:val="18"/>
                <w:szCs w:val="18"/>
              </w:rPr>
            </w:pPr>
          </w:p>
        </w:tc>
        <w:tc>
          <w:tcPr>
            <w:tcW w:w="4598" w:type="dxa"/>
            <w:tcBorders>
              <w:top w:val="nil"/>
              <w:left w:val="nil"/>
              <w:bottom w:val="nil"/>
              <w:right w:val="nil"/>
            </w:tcBorders>
          </w:tcPr>
          <w:p w14:paraId="66344FB4"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8834CA" w14:paraId="4296DA04" w14:textId="77777777" w:rsidTr="00B8576F">
        <w:trPr>
          <w:trHeight w:val="20"/>
        </w:trPr>
        <w:tc>
          <w:tcPr>
            <w:tcW w:w="4598" w:type="dxa"/>
            <w:tcBorders>
              <w:top w:val="nil"/>
              <w:left w:val="nil"/>
              <w:bottom w:val="nil"/>
              <w:right w:val="nil"/>
            </w:tcBorders>
          </w:tcPr>
          <w:p w14:paraId="351B3F5E" w14:textId="6F2DB6F1" w:rsidR="001D4D59" w:rsidRPr="008834CA" w:rsidRDefault="001D4D59" w:rsidP="003903E3">
            <w:pPr>
              <w:ind w:left="522" w:right="-57"/>
              <w:jc w:val="both"/>
              <w:rPr>
                <w:bCs w:val="0"/>
                <w:sz w:val="18"/>
                <w:szCs w:val="18"/>
              </w:rPr>
            </w:pPr>
            <w:r w:rsidRPr="008834CA">
              <w:rPr>
                <w:sz w:val="18"/>
                <w:szCs w:val="18"/>
              </w:rPr>
              <w:t>Ketika suatu entitas telah memilih kebijakan untuk menerapkan pengecualian untuk portofolio di mana risiko pasar yang disaling-hapuskan secara substansial sama</w:t>
            </w:r>
            <w:r w:rsidR="00870FD0">
              <w:rPr>
                <w:sz w:val="18"/>
                <w:szCs w:val="18"/>
              </w:rPr>
              <w:t>.</w:t>
            </w:r>
            <w:r w:rsidRPr="008834CA">
              <w:rPr>
                <w:sz w:val="18"/>
                <w:szCs w:val="18"/>
              </w:rPr>
              <w:t xml:space="preserve"> </w:t>
            </w:r>
            <w:proofErr w:type="gramStart"/>
            <w:r w:rsidRPr="008834CA">
              <w:rPr>
                <w:sz w:val="18"/>
                <w:szCs w:val="18"/>
              </w:rPr>
              <w:t>entitas</w:t>
            </w:r>
            <w:proofErr w:type="gramEnd"/>
            <w:r w:rsidRPr="008834CA">
              <w:rPr>
                <w:sz w:val="18"/>
                <w:szCs w:val="18"/>
              </w:rPr>
              <w:t xml:space="preserve"> harus menerapkan harga dalam </w:t>
            </w:r>
            <w:r w:rsidRPr="008834CA">
              <w:rPr>
                <w:i/>
                <w:sz w:val="18"/>
                <w:szCs w:val="18"/>
              </w:rPr>
              <w:t>bid-ask spread</w:t>
            </w:r>
            <w:r w:rsidRPr="008834CA">
              <w:rPr>
                <w:sz w:val="18"/>
                <w:szCs w:val="18"/>
              </w:rPr>
              <w:t xml:space="preserve"> yang paling merepresentasikan nilai wajar kepada eksposur neto entitas untuk risiko pasar.</w:t>
            </w:r>
          </w:p>
        </w:tc>
        <w:tc>
          <w:tcPr>
            <w:tcW w:w="4598" w:type="dxa"/>
            <w:tcBorders>
              <w:top w:val="nil"/>
              <w:left w:val="nil"/>
              <w:bottom w:val="nil"/>
              <w:right w:val="nil"/>
            </w:tcBorders>
          </w:tcPr>
          <w:p w14:paraId="715AC725" w14:textId="1A3810CC" w:rsidR="001D4D59" w:rsidRPr="008834CA" w:rsidRDefault="001D4D59" w:rsidP="003903E3">
            <w:pPr>
              <w:tabs>
                <w:tab w:val="left" w:pos="5590"/>
                <w:tab w:val="right" w:pos="7620"/>
                <w:tab w:val="right" w:pos="9460"/>
                <w:tab w:val="right" w:pos="10080"/>
              </w:tabs>
              <w:ind w:left="704" w:right="-57"/>
              <w:jc w:val="both"/>
              <w:rPr>
                <w:bCs w:val="0"/>
                <w:i/>
                <w:sz w:val="18"/>
                <w:szCs w:val="18"/>
              </w:rPr>
            </w:pPr>
            <w:r w:rsidRPr="008834CA">
              <w:rPr>
                <w:i/>
                <w:sz w:val="18"/>
                <w:szCs w:val="18"/>
              </w:rPr>
              <w:t>When an entity has elected a policy to apply the exception to a portfolio in which the market risks being offset are substantially the same</w:t>
            </w:r>
            <w:r w:rsidR="00870FD0">
              <w:rPr>
                <w:i/>
                <w:sz w:val="18"/>
                <w:szCs w:val="18"/>
              </w:rPr>
              <w:t>.</w:t>
            </w:r>
            <w:r w:rsidRPr="008834CA">
              <w:rPr>
                <w:i/>
                <w:sz w:val="18"/>
                <w:szCs w:val="18"/>
              </w:rPr>
              <w:t xml:space="preserve"> </w:t>
            </w:r>
            <w:proofErr w:type="gramStart"/>
            <w:r w:rsidRPr="008834CA">
              <w:rPr>
                <w:i/>
                <w:sz w:val="18"/>
                <w:szCs w:val="18"/>
              </w:rPr>
              <w:t>the</w:t>
            </w:r>
            <w:proofErr w:type="gramEnd"/>
            <w:r w:rsidRPr="008834CA">
              <w:rPr>
                <w:i/>
                <w:sz w:val="18"/>
                <w:szCs w:val="18"/>
              </w:rPr>
              <w:t xml:space="preserve"> entity should apply the price within the bid-ask spread that is most representative of fair value to the entity’s net exposure to those market risks.</w:t>
            </w:r>
          </w:p>
        </w:tc>
      </w:tr>
      <w:tr w:rsidR="001D4D59" w:rsidRPr="008834CA" w14:paraId="35396DF3" w14:textId="77777777" w:rsidTr="00B8576F">
        <w:trPr>
          <w:trHeight w:val="20"/>
        </w:trPr>
        <w:tc>
          <w:tcPr>
            <w:tcW w:w="4598" w:type="dxa"/>
            <w:tcBorders>
              <w:top w:val="nil"/>
              <w:left w:val="nil"/>
              <w:bottom w:val="nil"/>
              <w:right w:val="nil"/>
            </w:tcBorders>
          </w:tcPr>
          <w:p w14:paraId="3036A3CB" w14:textId="77777777" w:rsidR="001D4D59" w:rsidRPr="008834CA" w:rsidRDefault="001D4D59" w:rsidP="003903E3">
            <w:pPr>
              <w:ind w:left="522" w:right="-57"/>
              <w:jc w:val="both"/>
              <w:rPr>
                <w:bCs w:val="0"/>
                <w:sz w:val="18"/>
                <w:szCs w:val="18"/>
              </w:rPr>
            </w:pPr>
          </w:p>
        </w:tc>
        <w:tc>
          <w:tcPr>
            <w:tcW w:w="4598" w:type="dxa"/>
            <w:tcBorders>
              <w:top w:val="nil"/>
              <w:left w:val="nil"/>
              <w:bottom w:val="nil"/>
              <w:right w:val="nil"/>
            </w:tcBorders>
          </w:tcPr>
          <w:p w14:paraId="3B368281" w14:textId="77777777" w:rsidR="001D4D59" w:rsidRPr="008834CA" w:rsidRDefault="001D4D59" w:rsidP="003903E3">
            <w:pPr>
              <w:tabs>
                <w:tab w:val="left" w:pos="5590"/>
                <w:tab w:val="right" w:pos="7620"/>
                <w:tab w:val="right" w:pos="9460"/>
                <w:tab w:val="right" w:pos="10080"/>
              </w:tabs>
              <w:ind w:left="704" w:right="-57"/>
              <w:jc w:val="both"/>
              <w:rPr>
                <w:bCs w:val="0"/>
                <w:i/>
                <w:sz w:val="18"/>
                <w:szCs w:val="18"/>
              </w:rPr>
            </w:pPr>
          </w:p>
        </w:tc>
      </w:tr>
      <w:tr w:rsidR="001D4D59" w:rsidRPr="00C608D0" w14:paraId="5D52D562" w14:textId="77777777" w:rsidTr="00B8576F">
        <w:trPr>
          <w:trHeight w:val="20"/>
        </w:trPr>
        <w:tc>
          <w:tcPr>
            <w:tcW w:w="4598" w:type="dxa"/>
            <w:tcBorders>
              <w:top w:val="nil"/>
              <w:left w:val="nil"/>
              <w:bottom w:val="nil"/>
              <w:right w:val="nil"/>
            </w:tcBorders>
          </w:tcPr>
          <w:p w14:paraId="773BCA02" w14:textId="51C27815" w:rsidR="001D4D59" w:rsidRPr="008834CA" w:rsidRDefault="001D4D59" w:rsidP="003903E3">
            <w:pPr>
              <w:ind w:left="522" w:right="-57"/>
              <w:jc w:val="both"/>
              <w:rPr>
                <w:bCs w:val="0"/>
                <w:sz w:val="18"/>
                <w:szCs w:val="18"/>
              </w:rPr>
            </w:pPr>
            <w:r w:rsidRPr="008834CA">
              <w:rPr>
                <w:sz w:val="18"/>
                <w:szCs w:val="18"/>
              </w:rPr>
              <w:t>Standar ini juga mengindikasikan bahwa ketika menyelesaikan secara neto eksposur risiko kredit dengan pihak lawan (</w:t>
            </w:r>
            <w:r w:rsidRPr="008834CA">
              <w:rPr>
                <w:i/>
                <w:iCs/>
                <w:sz w:val="18"/>
                <w:szCs w:val="18"/>
              </w:rPr>
              <w:t>counterparty</w:t>
            </w:r>
            <w:r w:rsidRPr="008834CA">
              <w:rPr>
                <w:sz w:val="18"/>
                <w:szCs w:val="18"/>
              </w:rPr>
              <w:t>) tertentu dalam pengukuran nilai wajar</w:t>
            </w:r>
            <w:r w:rsidR="00870FD0">
              <w:rPr>
                <w:sz w:val="18"/>
                <w:szCs w:val="18"/>
              </w:rPr>
              <w:t>.</w:t>
            </w:r>
            <w:r w:rsidRPr="008834CA">
              <w:rPr>
                <w:sz w:val="18"/>
                <w:szCs w:val="18"/>
              </w:rPr>
              <w:t xml:space="preserve"> </w:t>
            </w:r>
            <w:proofErr w:type="gramStart"/>
            <w:r w:rsidRPr="008834CA">
              <w:rPr>
                <w:sz w:val="18"/>
                <w:szCs w:val="18"/>
              </w:rPr>
              <w:t>entitas</w:t>
            </w:r>
            <w:proofErr w:type="gramEnd"/>
            <w:r w:rsidRPr="008834CA">
              <w:rPr>
                <w:sz w:val="18"/>
                <w:szCs w:val="18"/>
              </w:rPr>
              <w:t xml:space="preserve"> harus mempertimbangkan apakah pelaku pasar (</w:t>
            </w:r>
            <w:r w:rsidRPr="008834CA">
              <w:rPr>
                <w:i/>
                <w:iCs/>
                <w:sz w:val="18"/>
                <w:szCs w:val="18"/>
              </w:rPr>
              <w:t>market participants</w:t>
            </w:r>
            <w:r w:rsidRPr="008834CA">
              <w:rPr>
                <w:sz w:val="18"/>
                <w:szCs w:val="18"/>
              </w:rPr>
              <w:t>) akan memperhitungkan setiap pengaturan yang ada yang mengurangi eksposur risiko (misalnya perjanjian induk untuk menyelesaikan secara neto (</w:t>
            </w:r>
            <w:r w:rsidRPr="008834CA">
              <w:rPr>
                <w:i/>
                <w:sz w:val="18"/>
                <w:szCs w:val="18"/>
              </w:rPr>
              <w:t>master netting agreement</w:t>
            </w:r>
            <w:r w:rsidRPr="008834CA">
              <w:rPr>
                <w:sz w:val="18"/>
                <w:szCs w:val="18"/>
              </w:rPr>
              <w:t>) dalam hal gagal bayar.</w:t>
            </w:r>
          </w:p>
        </w:tc>
        <w:tc>
          <w:tcPr>
            <w:tcW w:w="4598" w:type="dxa"/>
            <w:tcBorders>
              <w:top w:val="nil"/>
              <w:left w:val="nil"/>
              <w:bottom w:val="nil"/>
              <w:right w:val="nil"/>
            </w:tcBorders>
          </w:tcPr>
          <w:p w14:paraId="4BC19A8C" w14:textId="1ED3C874" w:rsidR="001D4D59" w:rsidRPr="007C689F" w:rsidRDefault="001D4D59" w:rsidP="003903E3">
            <w:pPr>
              <w:tabs>
                <w:tab w:val="left" w:pos="5590"/>
                <w:tab w:val="right" w:pos="7620"/>
                <w:tab w:val="right" w:pos="9460"/>
                <w:tab w:val="right" w:pos="10080"/>
              </w:tabs>
              <w:ind w:left="704" w:right="-57"/>
              <w:jc w:val="both"/>
              <w:rPr>
                <w:bCs w:val="0"/>
                <w:i/>
                <w:sz w:val="18"/>
                <w:szCs w:val="18"/>
              </w:rPr>
            </w:pPr>
            <w:r w:rsidRPr="008834CA">
              <w:rPr>
                <w:i/>
                <w:sz w:val="18"/>
                <w:szCs w:val="18"/>
              </w:rPr>
              <w:t>The standard also indicates that when netting credit risk exposures with a particular counterparty in a fair value measurement</w:t>
            </w:r>
            <w:r w:rsidR="00870FD0">
              <w:rPr>
                <w:i/>
                <w:sz w:val="18"/>
                <w:szCs w:val="18"/>
              </w:rPr>
              <w:t>.</w:t>
            </w:r>
            <w:r w:rsidRPr="008834CA">
              <w:rPr>
                <w:i/>
                <w:sz w:val="18"/>
                <w:szCs w:val="18"/>
              </w:rPr>
              <w:t xml:space="preserve"> </w:t>
            </w:r>
            <w:proofErr w:type="gramStart"/>
            <w:r w:rsidRPr="008834CA">
              <w:rPr>
                <w:i/>
                <w:sz w:val="18"/>
                <w:szCs w:val="18"/>
              </w:rPr>
              <w:t>the</w:t>
            </w:r>
            <w:proofErr w:type="gramEnd"/>
            <w:r w:rsidRPr="008834CA">
              <w:rPr>
                <w:i/>
                <w:sz w:val="18"/>
                <w:szCs w:val="18"/>
              </w:rPr>
              <w:t xml:space="preserve"> entity should consider whether market participants would take into account any existing arrangements that mitigate risk exposure (e.g. a master netting agreement) in the event of default.</w:t>
            </w:r>
            <w:r w:rsidRPr="007C689F">
              <w:rPr>
                <w:i/>
                <w:sz w:val="18"/>
                <w:szCs w:val="18"/>
              </w:rPr>
              <w:t xml:space="preserve">  </w:t>
            </w:r>
          </w:p>
        </w:tc>
      </w:tr>
      <w:tr w:rsidR="001D4D59" w:rsidRPr="00C608D0" w14:paraId="03FD5CD8" w14:textId="77777777" w:rsidTr="00B8576F">
        <w:trPr>
          <w:trHeight w:val="20"/>
        </w:trPr>
        <w:tc>
          <w:tcPr>
            <w:tcW w:w="4598" w:type="dxa"/>
            <w:tcBorders>
              <w:top w:val="nil"/>
              <w:left w:val="nil"/>
              <w:bottom w:val="nil"/>
              <w:right w:val="nil"/>
            </w:tcBorders>
          </w:tcPr>
          <w:p w14:paraId="4DD0F95A" w14:textId="77777777" w:rsidR="001D4D59" w:rsidRPr="00C608D0" w:rsidRDefault="001D4D59" w:rsidP="003903E3">
            <w:pPr>
              <w:ind w:left="522" w:right="-57"/>
              <w:jc w:val="both"/>
              <w:rPr>
                <w:bCs w:val="0"/>
                <w:sz w:val="18"/>
                <w:szCs w:val="18"/>
              </w:rPr>
            </w:pPr>
          </w:p>
        </w:tc>
        <w:tc>
          <w:tcPr>
            <w:tcW w:w="4598" w:type="dxa"/>
            <w:tcBorders>
              <w:top w:val="nil"/>
              <w:left w:val="nil"/>
              <w:bottom w:val="nil"/>
              <w:right w:val="nil"/>
            </w:tcBorders>
          </w:tcPr>
          <w:p w14:paraId="64FAC8FC" w14:textId="77777777" w:rsidR="001D4D59" w:rsidRPr="00C608D0" w:rsidRDefault="001D4D59" w:rsidP="003903E3">
            <w:pPr>
              <w:tabs>
                <w:tab w:val="left" w:pos="5590"/>
                <w:tab w:val="right" w:pos="7620"/>
                <w:tab w:val="right" w:pos="9460"/>
                <w:tab w:val="right" w:pos="10080"/>
              </w:tabs>
              <w:ind w:left="704" w:right="-57"/>
              <w:jc w:val="both"/>
              <w:rPr>
                <w:bCs w:val="0"/>
                <w:i/>
                <w:sz w:val="18"/>
                <w:szCs w:val="18"/>
              </w:rPr>
            </w:pPr>
          </w:p>
        </w:tc>
      </w:tr>
    </w:tbl>
    <w:p w14:paraId="2DCACB38" w14:textId="77777777" w:rsidR="001D4D59" w:rsidRDefault="001D4D59" w:rsidP="0013526B">
      <w:pPr>
        <w:rPr>
          <w:sz w:val="18"/>
          <w:szCs w:val="18"/>
        </w:rPr>
      </w:pPr>
    </w:p>
    <w:tbl>
      <w:tblPr>
        <w:tblW w:w="9197" w:type="dxa"/>
        <w:tblInd w:w="392" w:type="dxa"/>
        <w:tblLayout w:type="fixed"/>
        <w:tblLook w:val="0000" w:firstRow="0" w:lastRow="0" w:firstColumn="0" w:lastColumn="0" w:noHBand="0" w:noVBand="0"/>
      </w:tblPr>
      <w:tblGrid>
        <w:gridCol w:w="4598"/>
        <w:gridCol w:w="4599"/>
      </w:tblGrid>
      <w:tr w:rsidR="004619BC" w:rsidRPr="008834CA" w14:paraId="3E519C82" w14:textId="77777777" w:rsidTr="00B8576F">
        <w:tc>
          <w:tcPr>
            <w:tcW w:w="4598" w:type="dxa"/>
            <w:tcBorders>
              <w:top w:val="nil"/>
              <w:left w:val="nil"/>
              <w:bottom w:val="nil"/>
              <w:right w:val="nil"/>
            </w:tcBorders>
          </w:tcPr>
          <w:p w14:paraId="2E1559F8" w14:textId="77777777" w:rsidR="004619BC" w:rsidRPr="008834CA" w:rsidRDefault="004619BC" w:rsidP="005F361E">
            <w:pPr>
              <w:pStyle w:val="ListParagraph"/>
              <w:numPr>
                <w:ilvl w:val="0"/>
                <w:numId w:val="64"/>
              </w:numPr>
              <w:ind w:left="284" w:right="-57" w:hanging="284"/>
              <w:contextualSpacing/>
              <w:jc w:val="both"/>
              <w:rPr>
                <w:b/>
                <w:bCs w:val="0"/>
                <w:sz w:val="18"/>
                <w:szCs w:val="18"/>
              </w:rPr>
            </w:pPr>
            <w:r w:rsidRPr="008834CA">
              <w:rPr>
                <w:b/>
                <w:bCs w:val="0"/>
                <w:sz w:val="18"/>
                <w:szCs w:val="18"/>
              </w:rPr>
              <w:t>ESTIMASI DAN PERTIMBANGAN AKUNTANSI YANG PENTING</w:t>
            </w:r>
          </w:p>
        </w:tc>
        <w:tc>
          <w:tcPr>
            <w:tcW w:w="4598" w:type="dxa"/>
            <w:tcBorders>
              <w:top w:val="nil"/>
              <w:left w:val="nil"/>
              <w:bottom w:val="nil"/>
              <w:right w:val="nil"/>
            </w:tcBorders>
          </w:tcPr>
          <w:p w14:paraId="0429453B" w14:textId="77777777" w:rsidR="004619BC" w:rsidRPr="008834CA" w:rsidRDefault="004619BC" w:rsidP="005F361E">
            <w:pPr>
              <w:pStyle w:val="ListParagraph"/>
              <w:numPr>
                <w:ilvl w:val="0"/>
                <w:numId w:val="40"/>
              </w:numPr>
              <w:ind w:left="284" w:right="-57" w:hanging="284"/>
              <w:contextualSpacing/>
              <w:jc w:val="both"/>
              <w:rPr>
                <w:b/>
                <w:bCs w:val="0"/>
                <w:i/>
                <w:sz w:val="18"/>
                <w:szCs w:val="18"/>
              </w:rPr>
            </w:pPr>
            <w:r w:rsidRPr="008834CA">
              <w:rPr>
                <w:b/>
                <w:bCs w:val="0"/>
                <w:i/>
                <w:sz w:val="18"/>
                <w:szCs w:val="18"/>
              </w:rPr>
              <w:t>ESTIMATES AND JUDGEMENT OF SIGNIFICANT ACCOUNTING</w:t>
            </w:r>
          </w:p>
        </w:tc>
      </w:tr>
      <w:tr w:rsidR="004619BC" w:rsidRPr="008834CA" w14:paraId="5700D0C6" w14:textId="77777777" w:rsidTr="00B8576F">
        <w:tc>
          <w:tcPr>
            <w:tcW w:w="4598" w:type="dxa"/>
            <w:tcBorders>
              <w:top w:val="nil"/>
              <w:left w:val="nil"/>
              <w:bottom w:val="nil"/>
              <w:right w:val="nil"/>
            </w:tcBorders>
          </w:tcPr>
          <w:p w14:paraId="5BEE0A48" w14:textId="77777777" w:rsidR="004619BC" w:rsidRPr="008834CA" w:rsidRDefault="004619BC" w:rsidP="0013526B">
            <w:pPr>
              <w:pStyle w:val="Default"/>
              <w:ind w:left="318"/>
              <w:jc w:val="both"/>
              <w:rPr>
                <w:rFonts w:ascii="Times New Roman" w:hAnsi="Times New Roman" w:cs="Times New Roman"/>
                <w:bCs/>
                <w:sz w:val="12"/>
                <w:szCs w:val="18"/>
              </w:rPr>
            </w:pPr>
          </w:p>
        </w:tc>
        <w:tc>
          <w:tcPr>
            <w:tcW w:w="4598" w:type="dxa"/>
            <w:tcBorders>
              <w:top w:val="nil"/>
              <w:left w:val="nil"/>
              <w:bottom w:val="nil"/>
              <w:right w:val="nil"/>
            </w:tcBorders>
          </w:tcPr>
          <w:p w14:paraId="560D4AF1" w14:textId="77777777" w:rsidR="004619BC" w:rsidRPr="008834CA" w:rsidRDefault="004619BC" w:rsidP="0013526B">
            <w:pPr>
              <w:pStyle w:val="Default"/>
              <w:tabs>
                <w:tab w:val="left" w:pos="573"/>
              </w:tabs>
              <w:ind w:left="289"/>
              <w:jc w:val="both"/>
              <w:rPr>
                <w:rFonts w:ascii="Times New Roman" w:hAnsi="Times New Roman" w:cs="Times New Roman"/>
                <w:bCs/>
                <w:i/>
                <w:sz w:val="12"/>
                <w:szCs w:val="18"/>
              </w:rPr>
            </w:pPr>
          </w:p>
        </w:tc>
      </w:tr>
      <w:tr w:rsidR="005E4E39" w:rsidRPr="008834CA" w14:paraId="152B933D" w14:textId="77777777" w:rsidTr="00B8576F">
        <w:tc>
          <w:tcPr>
            <w:tcW w:w="4598" w:type="dxa"/>
            <w:tcBorders>
              <w:top w:val="nil"/>
              <w:left w:val="nil"/>
              <w:bottom w:val="nil"/>
              <w:right w:val="nil"/>
            </w:tcBorders>
          </w:tcPr>
          <w:p w14:paraId="555611DF" w14:textId="365C02D3" w:rsidR="005E4E39" w:rsidRPr="008834CA" w:rsidRDefault="005E4E39" w:rsidP="0013526B">
            <w:pPr>
              <w:pStyle w:val="Default"/>
              <w:ind w:left="284" w:right="-57"/>
              <w:jc w:val="both"/>
              <w:rPr>
                <w:rFonts w:ascii="Times New Roman" w:hAnsi="Times New Roman" w:cs="Times New Roman"/>
                <w:b/>
                <w:bCs/>
                <w:sz w:val="18"/>
                <w:szCs w:val="18"/>
                <w:u w:val="single"/>
              </w:rPr>
            </w:pPr>
            <w:r w:rsidRPr="008834CA">
              <w:rPr>
                <w:rFonts w:ascii="Times New Roman" w:eastAsia="Times New Roman" w:hAnsi="Times New Roman" w:cs="Times New Roman"/>
                <w:b/>
                <w:bCs/>
                <w:sz w:val="18"/>
                <w:szCs w:val="18"/>
                <w:u w:val="single"/>
              </w:rPr>
              <w:t>Pertimbangan</w:t>
            </w:r>
            <w:r w:rsidR="00870FD0">
              <w:rPr>
                <w:rFonts w:ascii="Times New Roman" w:hAnsi="Times New Roman" w:cs="Times New Roman"/>
                <w:b/>
                <w:bCs/>
                <w:sz w:val="18"/>
                <w:szCs w:val="18"/>
                <w:u w:val="single"/>
              </w:rPr>
              <w:t>.</w:t>
            </w:r>
            <w:r w:rsidRPr="008834CA">
              <w:rPr>
                <w:rFonts w:ascii="Times New Roman" w:hAnsi="Times New Roman" w:cs="Times New Roman"/>
                <w:b/>
                <w:bCs/>
                <w:sz w:val="18"/>
                <w:szCs w:val="18"/>
                <w:u w:val="single"/>
              </w:rPr>
              <w:t xml:space="preserve"> Estimasi dan Asumsi</w:t>
            </w:r>
          </w:p>
        </w:tc>
        <w:tc>
          <w:tcPr>
            <w:tcW w:w="4598" w:type="dxa"/>
            <w:tcBorders>
              <w:top w:val="nil"/>
              <w:left w:val="nil"/>
              <w:bottom w:val="nil"/>
              <w:right w:val="nil"/>
            </w:tcBorders>
          </w:tcPr>
          <w:p w14:paraId="61F87EF6" w14:textId="2E199A16" w:rsidR="005E4E39" w:rsidRPr="008834CA" w:rsidRDefault="005E4E39" w:rsidP="0013526B">
            <w:pPr>
              <w:pStyle w:val="Default"/>
              <w:tabs>
                <w:tab w:val="left" w:pos="573"/>
              </w:tabs>
              <w:ind w:left="289"/>
              <w:jc w:val="both"/>
              <w:rPr>
                <w:rFonts w:ascii="Times New Roman" w:hAnsi="Times New Roman" w:cs="Times New Roman"/>
                <w:b/>
                <w:i/>
                <w:sz w:val="18"/>
                <w:szCs w:val="18"/>
                <w:u w:val="single"/>
              </w:rPr>
            </w:pPr>
            <w:r w:rsidRPr="008834CA">
              <w:rPr>
                <w:rFonts w:ascii="Times New Roman" w:hAnsi="Times New Roman" w:cs="Times New Roman"/>
                <w:b/>
                <w:i/>
                <w:sz w:val="18"/>
                <w:szCs w:val="18"/>
                <w:u w:val="single"/>
              </w:rPr>
              <w:t>Judgments</w:t>
            </w:r>
            <w:r w:rsidR="00870FD0">
              <w:rPr>
                <w:rFonts w:ascii="Times New Roman" w:hAnsi="Times New Roman" w:cs="Times New Roman"/>
                <w:b/>
                <w:i/>
                <w:sz w:val="18"/>
                <w:szCs w:val="18"/>
                <w:u w:val="single"/>
              </w:rPr>
              <w:t>.</w:t>
            </w:r>
            <w:r w:rsidRPr="008834CA">
              <w:rPr>
                <w:rFonts w:ascii="Times New Roman" w:hAnsi="Times New Roman" w:cs="Times New Roman"/>
                <w:b/>
                <w:i/>
                <w:sz w:val="18"/>
                <w:szCs w:val="18"/>
                <w:u w:val="single"/>
              </w:rPr>
              <w:t xml:space="preserve"> Estimates and Assumptions</w:t>
            </w:r>
          </w:p>
        </w:tc>
      </w:tr>
      <w:tr w:rsidR="005E4E39" w:rsidRPr="008834CA" w14:paraId="322B3140" w14:textId="77777777" w:rsidTr="00B8576F">
        <w:tc>
          <w:tcPr>
            <w:tcW w:w="4598" w:type="dxa"/>
            <w:tcBorders>
              <w:top w:val="nil"/>
              <w:left w:val="nil"/>
              <w:bottom w:val="nil"/>
              <w:right w:val="nil"/>
            </w:tcBorders>
          </w:tcPr>
          <w:p w14:paraId="43BC45E7" w14:textId="77777777" w:rsidR="005E4E39" w:rsidRPr="008834CA" w:rsidRDefault="005E4E39" w:rsidP="0013526B">
            <w:pPr>
              <w:pStyle w:val="Default"/>
              <w:ind w:left="284"/>
              <w:jc w:val="both"/>
              <w:rPr>
                <w:rFonts w:ascii="Times New Roman" w:eastAsia="Times New Roman" w:hAnsi="Times New Roman" w:cs="Times New Roman"/>
                <w:bCs/>
                <w:sz w:val="18"/>
                <w:szCs w:val="18"/>
              </w:rPr>
            </w:pPr>
          </w:p>
        </w:tc>
        <w:tc>
          <w:tcPr>
            <w:tcW w:w="4598" w:type="dxa"/>
            <w:tcBorders>
              <w:top w:val="nil"/>
              <w:left w:val="nil"/>
              <w:bottom w:val="nil"/>
              <w:right w:val="nil"/>
            </w:tcBorders>
          </w:tcPr>
          <w:p w14:paraId="28D29858" w14:textId="77777777" w:rsidR="005E4E39" w:rsidRPr="008834CA" w:rsidRDefault="005E4E39" w:rsidP="0013526B">
            <w:pPr>
              <w:pStyle w:val="Default"/>
              <w:tabs>
                <w:tab w:val="left" w:pos="573"/>
              </w:tabs>
              <w:ind w:left="289"/>
              <w:jc w:val="both"/>
              <w:rPr>
                <w:rFonts w:ascii="Times New Roman" w:hAnsi="Times New Roman" w:cs="Times New Roman"/>
                <w:bCs/>
                <w:i/>
                <w:sz w:val="18"/>
                <w:szCs w:val="18"/>
              </w:rPr>
            </w:pPr>
          </w:p>
        </w:tc>
      </w:tr>
      <w:tr w:rsidR="005E4E39" w:rsidRPr="00B8576F" w14:paraId="352AFFD5" w14:textId="77777777" w:rsidTr="00B8576F">
        <w:tc>
          <w:tcPr>
            <w:tcW w:w="4598" w:type="dxa"/>
            <w:tcBorders>
              <w:top w:val="nil"/>
              <w:left w:val="nil"/>
              <w:bottom w:val="nil"/>
              <w:right w:val="nil"/>
            </w:tcBorders>
          </w:tcPr>
          <w:p w14:paraId="3E0D3074" w14:textId="1F9E8D98" w:rsidR="005E4E39" w:rsidRPr="008834CA" w:rsidRDefault="005E4E39" w:rsidP="00415DAD">
            <w:pPr>
              <w:pStyle w:val="Default"/>
              <w:ind w:left="284" w:right="-57"/>
              <w:jc w:val="both"/>
              <w:rPr>
                <w:rFonts w:ascii="Times New Roman" w:eastAsia="Times New Roman" w:hAnsi="Times New Roman" w:cs="Times New Roman"/>
                <w:bCs/>
                <w:sz w:val="18"/>
                <w:szCs w:val="18"/>
              </w:rPr>
            </w:pPr>
            <w:r w:rsidRPr="008834CA">
              <w:rPr>
                <w:rFonts w:ascii="Times New Roman" w:eastAsia="Times New Roman" w:hAnsi="Times New Roman" w:cs="Times New Roman"/>
                <w:bCs/>
                <w:sz w:val="18"/>
                <w:szCs w:val="18"/>
              </w:rPr>
              <w:t>Penyusunan laporan keuangan</w:t>
            </w:r>
            <w:r w:rsidR="00650ED9" w:rsidRPr="008834CA">
              <w:rPr>
                <w:rFonts w:ascii="Times New Roman" w:eastAsia="Times New Roman" w:hAnsi="Times New Roman" w:cs="Times New Roman"/>
                <w:bCs/>
                <w:sz w:val="18"/>
                <w:szCs w:val="18"/>
              </w:rPr>
              <w:t xml:space="preserve"> </w:t>
            </w:r>
            <w:r w:rsidRPr="008834CA">
              <w:rPr>
                <w:rFonts w:ascii="Times New Roman" w:eastAsia="Times New Roman" w:hAnsi="Times New Roman" w:cs="Times New Roman"/>
                <w:bCs/>
                <w:sz w:val="18"/>
                <w:szCs w:val="18"/>
              </w:rPr>
              <w:t>konsolidasian mengharuskan manajemen Kelompok Usaha untuk membuat pertimbangan</w:t>
            </w:r>
            <w:r w:rsidR="00870FD0">
              <w:rPr>
                <w:rFonts w:ascii="Times New Roman" w:eastAsia="Times New Roman" w:hAnsi="Times New Roman" w:cs="Times New Roman"/>
                <w:bCs/>
                <w:sz w:val="18"/>
                <w:szCs w:val="18"/>
              </w:rPr>
              <w:t>.</w:t>
            </w:r>
            <w:r w:rsidRPr="008834CA">
              <w:rPr>
                <w:rFonts w:ascii="Times New Roman" w:eastAsia="Times New Roman" w:hAnsi="Times New Roman" w:cs="Times New Roman"/>
                <w:bCs/>
                <w:sz w:val="18"/>
                <w:szCs w:val="18"/>
              </w:rPr>
              <w:t xml:space="preserve"> </w:t>
            </w:r>
            <w:proofErr w:type="gramStart"/>
            <w:r w:rsidRPr="008834CA">
              <w:rPr>
                <w:rFonts w:ascii="Times New Roman" w:eastAsia="Times New Roman" w:hAnsi="Times New Roman" w:cs="Times New Roman"/>
                <w:bCs/>
                <w:sz w:val="18"/>
                <w:szCs w:val="18"/>
              </w:rPr>
              <w:t>estimasi</w:t>
            </w:r>
            <w:proofErr w:type="gramEnd"/>
            <w:r w:rsidRPr="008834CA">
              <w:rPr>
                <w:rFonts w:ascii="Times New Roman" w:eastAsia="Times New Roman" w:hAnsi="Times New Roman" w:cs="Times New Roman"/>
                <w:bCs/>
                <w:sz w:val="18"/>
                <w:szCs w:val="18"/>
              </w:rPr>
              <w:t xml:space="preserve"> dan asumsi yang mempengaruhi jumlah yang dilaporkan dari pendapatan</w:t>
            </w:r>
            <w:r w:rsidR="00415DAD">
              <w:rPr>
                <w:rFonts w:ascii="Times New Roman" w:eastAsia="Times New Roman" w:hAnsi="Times New Roman" w:cs="Times New Roman"/>
                <w:bCs/>
                <w:sz w:val="18"/>
                <w:szCs w:val="18"/>
              </w:rPr>
              <w:t>,</w:t>
            </w:r>
            <w:r w:rsidRPr="008834CA">
              <w:rPr>
                <w:rFonts w:ascii="Times New Roman" w:eastAsia="Times New Roman" w:hAnsi="Times New Roman" w:cs="Times New Roman"/>
                <w:bCs/>
                <w:sz w:val="18"/>
                <w:szCs w:val="18"/>
              </w:rPr>
              <w:t xml:space="preserve"> beban</w:t>
            </w:r>
            <w:r w:rsidR="00415DAD">
              <w:rPr>
                <w:rFonts w:ascii="Times New Roman" w:eastAsia="Times New Roman" w:hAnsi="Times New Roman" w:cs="Times New Roman"/>
                <w:bCs/>
                <w:sz w:val="18"/>
                <w:szCs w:val="18"/>
              </w:rPr>
              <w:t>,</w:t>
            </w:r>
            <w:r w:rsidRPr="008834CA">
              <w:rPr>
                <w:rFonts w:ascii="Times New Roman" w:eastAsia="Times New Roman" w:hAnsi="Times New Roman" w:cs="Times New Roman"/>
                <w:bCs/>
                <w:sz w:val="18"/>
                <w:szCs w:val="18"/>
              </w:rPr>
              <w:t xml:space="preserve"> aset dan liabilitas</w:t>
            </w:r>
            <w:r w:rsidR="00415DAD">
              <w:rPr>
                <w:rFonts w:ascii="Times New Roman" w:eastAsia="Times New Roman" w:hAnsi="Times New Roman" w:cs="Times New Roman"/>
                <w:bCs/>
                <w:sz w:val="18"/>
                <w:szCs w:val="18"/>
              </w:rPr>
              <w:t>,</w:t>
            </w:r>
            <w:r w:rsidRPr="008834CA">
              <w:rPr>
                <w:rFonts w:ascii="Times New Roman" w:eastAsia="Times New Roman" w:hAnsi="Times New Roman" w:cs="Times New Roman"/>
                <w:bCs/>
                <w:sz w:val="18"/>
                <w:szCs w:val="18"/>
              </w:rPr>
              <w:t xml:space="preserve"> dan pengungkapan atas liabilitas kontijensi</w:t>
            </w:r>
            <w:r w:rsidR="00415DAD">
              <w:rPr>
                <w:rFonts w:ascii="Times New Roman" w:eastAsia="Times New Roman" w:hAnsi="Times New Roman" w:cs="Times New Roman"/>
                <w:bCs/>
                <w:sz w:val="18"/>
                <w:szCs w:val="18"/>
              </w:rPr>
              <w:t>,</w:t>
            </w:r>
            <w:r w:rsidRPr="008834CA">
              <w:rPr>
                <w:rFonts w:ascii="Times New Roman" w:eastAsia="Times New Roman" w:hAnsi="Times New Roman" w:cs="Times New Roman"/>
                <w:bCs/>
                <w:sz w:val="18"/>
                <w:szCs w:val="18"/>
              </w:rPr>
              <w:t xml:space="preserve"> pada akhir periode pelaporan. Ketidakpastian mengenai pertimbangan</w:t>
            </w:r>
            <w:r w:rsidR="00415DAD">
              <w:rPr>
                <w:rFonts w:ascii="Times New Roman" w:eastAsia="Times New Roman" w:hAnsi="Times New Roman" w:cs="Times New Roman"/>
                <w:bCs/>
                <w:sz w:val="18"/>
                <w:szCs w:val="18"/>
              </w:rPr>
              <w:t>,</w:t>
            </w:r>
            <w:r w:rsidRPr="008834CA">
              <w:rPr>
                <w:rFonts w:ascii="Times New Roman" w:eastAsia="Times New Roman" w:hAnsi="Times New Roman" w:cs="Times New Roman"/>
                <w:bCs/>
                <w:sz w:val="18"/>
                <w:szCs w:val="18"/>
              </w:rPr>
              <w:t xml:space="preserve"> estimasi dan asumsi tersebut dapat mengakibatkan penyesuaian material terhadap nilai tercatat pada aset dan liabilitas dalam periode pelaporan berikutnya.</w:t>
            </w:r>
          </w:p>
        </w:tc>
        <w:tc>
          <w:tcPr>
            <w:tcW w:w="4598" w:type="dxa"/>
            <w:tcBorders>
              <w:top w:val="nil"/>
              <w:left w:val="nil"/>
              <w:bottom w:val="nil"/>
              <w:right w:val="nil"/>
            </w:tcBorders>
          </w:tcPr>
          <w:p w14:paraId="1B08A191" w14:textId="7A00FA61" w:rsidR="005E4E39" w:rsidRPr="008834CA" w:rsidRDefault="005E4E39" w:rsidP="00415DAD">
            <w:pPr>
              <w:pStyle w:val="Default"/>
              <w:ind w:left="284" w:right="-57"/>
              <w:jc w:val="both"/>
              <w:rPr>
                <w:rFonts w:ascii="Times New Roman" w:hAnsi="Times New Roman" w:cs="Times New Roman"/>
                <w:bCs/>
                <w:i/>
                <w:sz w:val="18"/>
                <w:szCs w:val="18"/>
              </w:rPr>
            </w:pPr>
            <w:r w:rsidRPr="008834CA">
              <w:rPr>
                <w:rFonts w:ascii="Times New Roman" w:hAnsi="Times New Roman" w:cs="Times New Roman"/>
                <w:bCs/>
                <w:i/>
                <w:sz w:val="18"/>
                <w:szCs w:val="18"/>
              </w:rPr>
              <w:t>The preparation of consolidated</w:t>
            </w:r>
            <w:r w:rsidR="00650ED9" w:rsidRPr="008834CA">
              <w:rPr>
                <w:rFonts w:ascii="Times New Roman" w:hAnsi="Times New Roman" w:cs="Times New Roman"/>
                <w:bCs/>
                <w:i/>
                <w:sz w:val="18"/>
                <w:szCs w:val="18"/>
              </w:rPr>
              <w:t xml:space="preserve"> </w:t>
            </w:r>
            <w:r w:rsidRPr="008834CA">
              <w:rPr>
                <w:rFonts w:ascii="Times New Roman" w:hAnsi="Times New Roman" w:cs="Times New Roman"/>
                <w:bCs/>
                <w:i/>
                <w:sz w:val="18"/>
                <w:szCs w:val="18"/>
              </w:rPr>
              <w:t>financial statements requires management of the Group to make judgments</w:t>
            </w:r>
            <w:r w:rsidR="00870FD0">
              <w:rPr>
                <w:rFonts w:ascii="Times New Roman" w:hAnsi="Times New Roman" w:cs="Times New Roman"/>
                <w:bCs/>
                <w:i/>
                <w:sz w:val="18"/>
                <w:szCs w:val="18"/>
              </w:rPr>
              <w:t>.</w:t>
            </w:r>
            <w:r w:rsidRPr="008834CA">
              <w:rPr>
                <w:rFonts w:ascii="Times New Roman" w:hAnsi="Times New Roman" w:cs="Times New Roman"/>
                <w:bCs/>
                <w:i/>
                <w:sz w:val="18"/>
                <w:szCs w:val="18"/>
              </w:rPr>
              <w:t xml:space="preserve"> </w:t>
            </w:r>
            <w:proofErr w:type="gramStart"/>
            <w:r w:rsidRPr="008834CA">
              <w:rPr>
                <w:rFonts w:ascii="Times New Roman" w:hAnsi="Times New Roman" w:cs="Times New Roman"/>
                <w:bCs/>
                <w:i/>
                <w:sz w:val="18"/>
                <w:szCs w:val="18"/>
              </w:rPr>
              <w:t>estimates</w:t>
            </w:r>
            <w:proofErr w:type="gramEnd"/>
            <w:r w:rsidRPr="008834CA">
              <w:rPr>
                <w:rFonts w:ascii="Times New Roman" w:hAnsi="Times New Roman" w:cs="Times New Roman"/>
                <w:bCs/>
                <w:i/>
                <w:sz w:val="18"/>
                <w:szCs w:val="18"/>
              </w:rPr>
              <w:t xml:space="preserve"> and assumptions that affect the reported amounts of revenues</w:t>
            </w:r>
            <w:r w:rsidR="00415DAD">
              <w:rPr>
                <w:rFonts w:ascii="Times New Roman" w:hAnsi="Times New Roman" w:cs="Times New Roman"/>
                <w:bCs/>
                <w:i/>
                <w:sz w:val="18"/>
                <w:szCs w:val="18"/>
              </w:rPr>
              <w:t>,</w:t>
            </w:r>
            <w:r w:rsidRPr="008834CA">
              <w:rPr>
                <w:rFonts w:ascii="Times New Roman" w:hAnsi="Times New Roman" w:cs="Times New Roman"/>
                <w:bCs/>
                <w:i/>
                <w:sz w:val="18"/>
                <w:szCs w:val="18"/>
              </w:rPr>
              <w:t xml:space="preserve"> expenses</w:t>
            </w:r>
            <w:r w:rsidR="00415DAD">
              <w:rPr>
                <w:rFonts w:ascii="Times New Roman" w:hAnsi="Times New Roman" w:cs="Times New Roman"/>
                <w:bCs/>
                <w:i/>
                <w:sz w:val="18"/>
                <w:szCs w:val="18"/>
              </w:rPr>
              <w:t>,</w:t>
            </w:r>
            <w:r w:rsidRPr="008834CA">
              <w:rPr>
                <w:rFonts w:ascii="Times New Roman" w:hAnsi="Times New Roman" w:cs="Times New Roman"/>
                <w:bCs/>
                <w:i/>
                <w:sz w:val="18"/>
                <w:szCs w:val="18"/>
              </w:rPr>
              <w:t xml:space="preserve"> assets and liabilities and disclosure of contingent liabilities</w:t>
            </w:r>
            <w:r w:rsidR="00415DAD">
              <w:rPr>
                <w:rFonts w:ascii="Times New Roman" w:hAnsi="Times New Roman" w:cs="Times New Roman"/>
                <w:bCs/>
                <w:i/>
                <w:sz w:val="18"/>
                <w:szCs w:val="18"/>
              </w:rPr>
              <w:t>,</w:t>
            </w:r>
            <w:r w:rsidRPr="008834CA">
              <w:rPr>
                <w:rFonts w:ascii="Times New Roman" w:hAnsi="Times New Roman" w:cs="Times New Roman"/>
                <w:bCs/>
                <w:i/>
                <w:sz w:val="18"/>
                <w:szCs w:val="18"/>
              </w:rPr>
              <w:t xml:space="preserve"> at the end of the reporting period. Uncertainty about the judgment</w:t>
            </w:r>
            <w:r w:rsidR="00870FD0">
              <w:rPr>
                <w:rFonts w:ascii="Times New Roman" w:hAnsi="Times New Roman" w:cs="Times New Roman"/>
                <w:bCs/>
                <w:i/>
                <w:sz w:val="18"/>
                <w:szCs w:val="18"/>
              </w:rPr>
              <w:t>.</w:t>
            </w:r>
            <w:r w:rsidRPr="008834CA">
              <w:rPr>
                <w:rFonts w:ascii="Times New Roman" w:hAnsi="Times New Roman" w:cs="Times New Roman"/>
                <w:bCs/>
                <w:i/>
                <w:sz w:val="18"/>
                <w:szCs w:val="18"/>
              </w:rPr>
              <w:t xml:space="preserve"> </w:t>
            </w:r>
            <w:proofErr w:type="gramStart"/>
            <w:r w:rsidRPr="008834CA">
              <w:rPr>
                <w:rFonts w:ascii="Times New Roman" w:hAnsi="Times New Roman" w:cs="Times New Roman"/>
                <w:bCs/>
                <w:i/>
                <w:sz w:val="18"/>
                <w:szCs w:val="18"/>
              </w:rPr>
              <w:t>estimates</w:t>
            </w:r>
            <w:proofErr w:type="gramEnd"/>
            <w:r w:rsidRPr="008834CA">
              <w:rPr>
                <w:rFonts w:ascii="Times New Roman" w:hAnsi="Times New Roman" w:cs="Times New Roman"/>
                <w:bCs/>
                <w:i/>
                <w:sz w:val="18"/>
                <w:szCs w:val="18"/>
              </w:rPr>
              <w:t xml:space="preserve"> and assumptions could result in material adjustments to the carrying value of assets and liabilities in future period.</w:t>
            </w:r>
          </w:p>
        </w:tc>
      </w:tr>
      <w:tr w:rsidR="004A63DC" w:rsidRPr="00B8576F" w14:paraId="1012254F" w14:textId="77777777" w:rsidTr="00B8576F">
        <w:tc>
          <w:tcPr>
            <w:tcW w:w="4598" w:type="dxa"/>
            <w:tcBorders>
              <w:top w:val="nil"/>
              <w:left w:val="nil"/>
              <w:bottom w:val="nil"/>
              <w:right w:val="nil"/>
            </w:tcBorders>
          </w:tcPr>
          <w:p w14:paraId="2BF7B887" w14:textId="77777777" w:rsidR="004A63DC" w:rsidRPr="00B8576F" w:rsidRDefault="004A63DC" w:rsidP="0013526B">
            <w:pPr>
              <w:pStyle w:val="Default"/>
              <w:ind w:left="284"/>
              <w:jc w:val="both"/>
              <w:rPr>
                <w:rFonts w:ascii="Times New Roman" w:eastAsia="Times New Roman" w:hAnsi="Times New Roman" w:cs="Times New Roman"/>
                <w:bCs/>
                <w:sz w:val="12"/>
                <w:szCs w:val="18"/>
                <w:highlight w:val="cyan"/>
              </w:rPr>
            </w:pPr>
          </w:p>
        </w:tc>
        <w:tc>
          <w:tcPr>
            <w:tcW w:w="4598" w:type="dxa"/>
            <w:tcBorders>
              <w:top w:val="nil"/>
              <w:left w:val="nil"/>
              <w:bottom w:val="nil"/>
              <w:right w:val="nil"/>
            </w:tcBorders>
          </w:tcPr>
          <w:p w14:paraId="596EF0A1" w14:textId="77777777" w:rsidR="004A63DC" w:rsidRPr="00B8576F" w:rsidRDefault="004A63DC" w:rsidP="0013526B">
            <w:pPr>
              <w:pStyle w:val="Default"/>
              <w:tabs>
                <w:tab w:val="left" w:pos="573"/>
              </w:tabs>
              <w:ind w:left="289"/>
              <w:jc w:val="both"/>
              <w:rPr>
                <w:rFonts w:ascii="Times New Roman" w:hAnsi="Times New Roman" w:cs="Times New Roman"/>
                <w:bCs/>
                <w:i/>
                <w:sz w:val="12"/>
                <w:szCs w:val="18"/>
                <w:highlight w:val="cyan"/>
              </w:rPr>
            </w:pPr>
          </w:p>
        </w:tc>
      </w:tr>
      <w:tr w:rsidR="005E4E39" w:rsidRPr="008834CA" w14:paraId="32345BD7" w14:textId="77777777" w:rsidTr="00B8576F">
        <w:tc>
          <w:tcPr>
            <w:tcW w:w="4598" w:type="dxa"/>
            <w:tcBorders>
              <w:top w:val="nil"/>
              <w:left w:val="nil"/>
              <w:bottom w:val="nil"/>
              <w:right w:val="nil"/>
            </w:tcBorders>
          </w:tcPr>
          <w:p w14:paraId="3F635073" w14:textId="77777777" w:rsidR="005E4E39" w:rsidRPr="008834CA" w:rsidRDefault="005E4E39" w:rsidP="0013526B">
            <w:pPr>
              <w:pStyle w:val="Default"/>
              <w:ind w:left="284" w:right="-57"/>
              <w:jc w:val="both"/>
              <w:rPr>
                <w:rFonts w:ascii="Times New Roman" w:eastAsia="Times New Roman" w:hAnsi="Times New Roman" w:cs="Times New Roman"/>
                <w:bCs/>
                <w:sz w:val="18"/>
                <w:szCs w:val="18"/>
              </w:rPr>
            </w:pPr>
            <w:r w:rsidRPr="008834CA">
              <w:rPr>
                <w:rFonts w:ascii="Times New Roman" w:eastAsia="Times New Roman" w:hAnsi="Times New Roman" w:cs="Times New Roman"/>
                <w:bCs/>
                <w:sz w:val="18"/>
                <w:szCs w:val="18"/>
              </w:rPr>
              <w:t>Asumsi utama masa depan dan sumber utama estimasi ketidakpastian lain pada tanggal pelaporan yang memiliki risiko signifikan bagi penyesuaian yang material terhadap nilai tercatat aset dan liabilitas untuk periode berikutnya diungkapkan dibawah ini.</w:t>
            </w:r>
          </w:p>
        </w:tc>
        <w:tc>
          <w:tcPr>
            <w:tcW w:w="4598" w:type="dxa"/>
            <w:tcBorders>
              <w:top w:val="nil"/>
              <w:left w:val="nil"/>
              <w:bottom w:val="nil"/>
              <w:right w:val="nil"/>
            </w:tcBorders>
          </w:tcPr>
          <w:p w14:paraId="60121ECC" w14:textId="77777777" w:rsidR="005E4E39" w:rsidRPr="008834CA" w:rsidRDefault="00BE04A0" w:rsidP="0013526B">
            <w:pPr>
              <w:pStyle w:val="Default"/>
              <w:tabs>
                <w:tab w:val="left" w:pos="573"/>
              </w:tabs>
              <w:ind w:left="284" w:right="-57"/>
              <w:jc w:val="both"/>
              <w:rPr>
                <w:rFonts w:ascii="Times New Roman" w:hAnsi="Times New Roman" w:cs="Times New Roman"/>
                <w:bCs/>
                <w:i/>
                <w:sz w:val="18"/>
                <w:szCs w:val="18"/>
              </w:rPr>
            </w:pPr>
            <w:r w:rsidRPr="008834CA">
              <w:rPr>
                <w:rFonts w:ascii="Times New Roman" w:hAnsi="Times New Roman" w:cs="Times New Roman"/>
                <w:bCs/>
                <w:i/>
                <w:sz w:val="18"/>
                <w:szCs w:val="18"/>
              </w:rPr>
              <w:t>The key assumptions of the future and the other key source of uncertainty in estimation at the reporting date that have a significant risk of material adjustment to the carrying amounts of assets and liabilities for the future period described below.</w:t>
            </w:r>
          </w:p>
        </w:tc>
      </w:tr>
      <w:tr w:rsidR="004A63DC" w:rsidRPr="008834CA" w14:paraId="53DB081C" w14:textId="77777777" w:rsidTr="00B8576F">
        <w:tc>
          <w:tcPr>
            <w:tcW w:w="4598" w:type="dxa"/>
            <w:tcBorders>
              <w:top w:val="nil"/>
              <w:left w:val="nil"/>
              <w:bottom w:val="nil"/>
              <w:right w:val="nil"/>
            </w:tcBorders>
          </w:tcPr>
          <w:p w14:paraId="1DB417E1" w14:textId="77777777" w:rsidR="004A63DC" w:rsidRPr="008834CA" w:rsidRDefault="004A63DC" w:rsidP="0013526B">
            <w:pPr>
              <w:pStyle w:val="Default"/>
              <w:ind w:left="284"/>
              <w:jc w:val="both"/>
              <w:rPr>
                <w:rFonts w:ascii="Times New Roman" w:eastAsia="Times New Roman" w:hAnsi="Times New Roman" w:cs="Times New Roman"/>
                <w:bCs/>
                <w:sz w:val="12"/>
                <w:szCs w:val="18"/>
              </w:rPr>
            </w:pPr>
          </w:p>
        </w:tc>
        <w:tc>
          <w:tcPr>
            <w:tcW w:w="4598" w:type="dxa"/>
            <w:tcBorders>
              <w:top w:val="nil"/>
              <w:left w:val="nil"/>
              <w:bottom w:val="nil"/>
              <w:right w:val="nil"/>
            </w:tcBorders>
          </w:tcPr>
          <w:p w14:paraId="2104E53D" w14:textId="77777777" w:rsidR="004A63DC" w:rsidRPr="008834CA" w:rsidRDefault="004A63DC" w:rsidP="0013526B">
            <w:pPr>
              <w:pStyle w:val="Default"/>
              <w:tabs>
                <w:tab w:val="left" w:pos="573"/>
              </w:tabs>
              <w:ind w:left="289"/>
              <w:jc w:val="both"/>
              <w:rPr>
                <w:rFonts w:ascii="Times New Roman" w:hAnsi="Times New Roman" w:cs="Times New Roman"/>
                <w:bCs/>
                <w:i/>
                <w:sz w:val="12"/>
                <w:szCs w:val="18"/>
              </w:rPr>
            </w:pPr>
          </w:p>
        </w:tc>
      </w:tr>
      <w:tr w:rsidR="00C14321" w:rsidRPr="008834CA" w14:paraId="43768D5D" w14:textId="77777777" w:rsidTr="00B8576F">
        <w:tc>
          <w:tcPr>
            <w:tcW w:w="4598" w:type="dxa"/>
            <w:tcBorders>
              <w:top w:val="nil"/>
              <w:left w:val="nil"/>
              <w:bottom w:val="nil"/>
              <w:right w:val="nil"/>
            </w:tcBorders>
          </w:tcPr>
          <w:p w14:paraId="14D307CC" w14:textId="77777777" w:rsidR="00C14321" w:rsidRPr="008834CA" w:rsidRDefault="00C14321" w:rsidP="0013526B">
            <w:pPr>
              <w:pStyle w:val="Default"/>
              <w:ind w:left="284" w:right="-57"/>
              <w:jc w:val="both"/>
              <w:rPr>
                <w:rFonts w:ascii="Times New Roman" w:eastAsia="Times New Roman" w:hAnsi="Times New Roman" w:cs="Times New Roman"/>
                <w:bCs/>
                <w:sz w:val="18"/>
                <w:szCs w:val="18"/>
              </w:rPr>
            </w:pPr>
            <w:r w:rsidRPr="008834CA">
              <w:rPr>
                <w:rFonts w:ascii="Times New Roman" w:eastAsia="Times New Roman" w:hAnsi="Times New Roman" w:cs="Times New Roman"/>
                <w:bCs/>
                <w:sz w:val="18"/>
                <w:szCs w:val="18"/>
              </w:rPr>
              <w:t>Kelompok Usaha mendasarkan estimasi dan asumsi pada parameter yang tersedia pada saat laporan keuangan konsolidasian disusun. Asumsi dan situasi mengenai perkembangan masa depan mungkin berubah akibat perubahan pasar atau situasi diluar kendali Kelompok Usaha. Perubahan tersebut dicerminkan dalam asumsi terkait pada saat terjadinya.</w:t>
            </w:r>
          </w:p>
        </w:tc>
        <w:tc>
          <w:tcPr>
            <w:tcW w:w="4598" w:type="dxa"/>
            <w:tcBorders>
              <w:top w:val="nil"/>
              <w:left w:val="nil"/>
              <w:bottom w:val="nil"/>
              <w:right w:val="nil"/>
            </w:tcBorders>
          </w:tcPr>
          <w:p w14:paraId="7EDEC69E" w14:textId="77777777" w:rsidR="00C14321" w:rsidRPr="008834CA" w:rsidRDefault="00C14321" w:rsidP="0013526B">
            <w:pPr>
              <w:pStyle w:val="Default"/>
              <w:tabs>
                <w:tab w:val="left" w:pos="573"/>
              </w:tabs>
              <w:ind w:left="284" w:right="-57"/>
              <w:jc w:val="both"/>
              <w:rPr>
                <w:rFonts w:ascii="Times New Roman" w:hAnsi="Times New Roman" w:cs="Times New Roman"/>
                <w:bCs/>
                <w:i/>
                <w:sz w:val="18"/>
                <w:szCs w:val="18"/>
              </w:rPr>
            </w:pPr>
            <w:r w:rsidRPr="008834CA">
              <w:rPr>
                <w:rFonts w:ascii="Times New Roman" w:hAnsi="Times New Roman" w:cs="Times New Roman"/>
                <w:bCs/>
                <w:i/>
                <w:sz w:val="18"/>
                <w:szCs w:val="18"/>
              </w:rPr>
              <w:t>The Group bases its estimates and assumptions on the parameters available at the time the consolidated</w:t>
            </w:r>
            <w:r w:rsidR="00650ED9" w:rsidRPr="008834CA">
              <w:rPr>
                <w:rFonts w:ascii="Times New Roman" w:hAnsi="Times New Roman" w:cs="Times New Roman"/>
                <w:bCs/>
                <w:i/>
                <w:sz w:val="18"/>
                <w:szCs w:val="18"/>
              </w:rPr>
              <w:t xml:space="preserve"> </w:t>
            </w:r>
            <w:r w:rsidRPr="008834CA">
              <w:rPr>
                <w:rFonts w:ascii="Times New Roman" w:hAnsi="Times New Roman" w:cs="Times New Roman"/>
                <w:bCs/>
                <w:i/>
                <w:sz w:val="18"/>
                <w:szCs w:val="18"/>
              </w:rPr>
              <w:t>financial statements are prepared. Assumptions and situation concerning the future development may change due to market changes or circumstances beyond the control of the Group. The changes are reflected in the related assumptions as incurred.</w:t>
            </w:r>
          </w:p>
        </w:tc>
      </w:tr>
      <w:tr w:rsidR="004B2990" w:rsidRPr="008834CA" w14:paraId="449F78F9" w14:textId="77777777" w:rsidTr="00B8576F">
        <w:tc>
          <w:tcPr>
            <w:tcW w:w="4598" w:type="dxa"/>
            <w:tcBorders>
              <w:top w:val="nil"/>
              <w:left w:val="nil"/>
              <w:bottom w:val="nil"/>
              <w:right w:val="nil"/>
            </w:tcBorders>
          </w:tcPr>
          <w:p w14:paraId="361A0D44" w14:textId="77777777" w:rsidR="004B2990" w:rsidRPr="008834CA" w:rsidRDefault="004B2990" w:rsidP="0013526B">
            <w:pPr>
              <w:pStyle w:val="Default"/>
              <w:ind w:left="284"/>
              <w:jc w:val="both"/>
              <w:rPr>
                <w:rFonts w:ascii="Times New Roman" w:eastAsia="Times New Roman" w:hAnsi="Times New Roman" w:cs="Times New Roman"/>
                <w:bCs/>
                <w:sz w:val="12"/>
                <w:szCs w:val="18"/>
              </w:rPr>
            </w:pPr>
          </w:p>
        </w:tc>
        <w:tc>
          <w:tcPr>
            <w:tcW w:w="4598" w:type="dxa"/>
            <w:tcBorders>
              <w:top w:val="nil"/>
              <w:left w:val="nil"/>
              <w:bottom w:val="nil"/>
              <w:right w:val="nil"/>
            </w:tcBorders>
          </w:tcPr>
          <w:p w14:paraId="207BB36F" w14:textId="77777777" w:rsidR="004B2990" w:rsidRPr="008834CA" w:rsidRDefault="004B2990" w:rsidP="0013526B">
            <w:pPr>
              <w:pStyle w:val="Default"/>
              <w:tabs>
                <w:tab w:val="left" w:pos="573"/>
              </w:tabs>
              <w:ind w:left="289"/>
              <w:jc w:val="both"/>
              <w:rPr>
                <w:rFonts w:ascii="Times New Roman" w:hAnsi="Times New Roman" w:cs="Times New Roman"/>
                <w:bCs/>
                <w:i/>
                <w:sz w:val="12"/>
                <w:szCs w:val="18"/>
              </w:rPr>
            </w:pPr>
          </w:p>
        </w:tc>
      </w:tr>
      <w:tr w:rsidR="004B2990" w:rsidRPr="0013526B" w14:paraId="1ED6FFD9" w14:textId="77777777" w:rsidTr="00B8576F">
        <w:tc>
          <w:tcPr>
            <w:tcW w:w="4598" w:type="dxa"/>
            <w:tcBorders>
              <w:top w:val="nil"/>
              <w:left w:val="nil"/>
              <w:bottom w:val="nil"/>
              <w:right w:val="nil"/>
            </w:tcBorders>
          </w:tcPr>
          <w:p w14:paraId="34F0C585" w14:textId="5E9F3B26" w:rsidR="004B2990" w:rsidRPr="008834CA" w:rsidRDefault="004B2990" w:rsidP="0013526B">
            <w:pPr>
              <w:pStyle w:val="Default"/>
              <w:ind w:left="284" w:right="-57"/>
              <w:jc w:val="both"/>
              <w:rPr>
                <w:rFonts w:ascii="Times New Roman" w:eastAsia="Times New Roman" w:hAnsi="Times New Roman" w:cs="Times New Roman"/>
                <w:bCs/>
                <w:sz w:val="18"/>
                <w:szCs w:val="18"/>
              </w:rPr>
            </w:pPr>
            <w:r w:rsidRPr="008834CA">
              <w:rPr>
                <w:rFonts w:ascii="Times New Roman" w:eastAsia="Times New Roman" w:hAnsi="Times New Roman" w:cs="Times New Roman"/>
                <w:bCs/>
                <w:sz w:val="18"/>
                <w:szCs w:val="18"/>
              </w:rPr>
              <w:t>Pertimbangan</w:t>
            </w:r>
            <w:r w:rsidR="00870FD0">
              <w:rPr>
                <w:rFonts w:ascii="Times New Roman" w:eastAsia="Times New Roman" w:hAnsi="Times New Roman" w:cs="Times New Roman"/>
                <w:bCs/>
                <w:sz w:val="18"/>
                <w:szCs w:val="18"/>
              </w:rPr>
              <w:t>.</w:t>
            </w:r>
            <w:r w:rsidRPr="008834CA">
              <w:rPr>
                <w:rFonts w:ascii="Times New Roman" w:eastAsia="Times New Roman" w:hAnsi="Times New Roman" w:cs="Times New Roman"/>
                <w:bCs/>
                <w:sz w:val="18"/>
                <w:szCs w:val="18"/>
              </w:rPr>
              <w:t xml:space="preserve"> estimasi dan asumsi berikut ini dibuat oleh manajemen dalam rangka penerapan kebijakan akuntansi Kelompok Usaha yang memiliki pengaruh paling signifikan atas jumlah yang diakui dalam laporan keuangan konsolidasian:</w:t>
            </w:r>
          </w:p>
        </w:tc>
        <w:tc>
          <w:tcPr>
            <w:tcW w:w="4598" w:type="dxa"/>
            <w:tcBorders>
              <w:top w:val="nil"/>
              <w:left w:val="nil"/>
              <w:bottom w:val="nil"/>
              <w:right w:val="nil"/>
            </w:tcBorders>
          </w:tcPr>
          <w:p w14:paraId="13D649B9" w14:textId="14B8A855" w:rsidR="004B2990" w:rsidRPr="0013526B" w:rsidRDefault="004B2990" w:rsidP="0013526B">
            <w:pPr>
              <w:pStyle w:val="Default"/>
              <w:tabs>
                <w:tab w:val="left" w:pos="573"/>
              </w:tabs>
              <w:ind w:left="284" w:right="-57"/>
              <w:jc w:val="both"/>
              <w:rPr>
                <w:rFonts w:ascii="Times New Roman" w:hAnsi="Times New Roman" w:cs="Times New Roman"/>
                <w:bCs/>
                <w:i/>
                <w:sz w:val="18"/>
                <w:szCs w:val="18"/>
              </w:rPr>
            </w:pPr>
            <w:r w:rsidRPr="008834CA">
              <w:rPr>
                <w:rFonts w:ascii="Times New Roman" w:hAnsi="Times New Roman" w:cs="Times New Roman"/>
                <w:bCs/>
                <w:i/>
                <w:sz w:val="18"/>
                <w:szCs w:val="18"/>
              </w:rPr>
              <w:t>The following judgments</w:t>
            </w:r>
            <w:r w:rsidR="00870FD0">
              <w:rPr>
                <w:rFonts w:ascii="Times New Roman" w:hAnsi="Times New Roman" w:cs="Times New Roman"/>
                <w:bCs/>
                <w:i/>
                <w:sz w:val="18"/>
                <w:szCs w:val="18"/>
              </w:rPr>
              <w:t>.</w:t>
            </w:r>
            <w:r w:rsidRPr="008834CA">
              <w:rPr>
                <w:rFonts w:ascii="Times New Roman" w:hAnsi="Times New Roman" w:cs="Times New Roman"/>
                <w:bCs/>
                <w:i/>
                <w:sz w:val="18"/>
                <w:szCs w:val="18"/>
              </w:rPr>
              <w:t xml:space="preserve"> estimates and assumptions made by management in implementing accounting policies of the Group has the most significant effect on the amount recognized in the</w:t>
            </w:r>
            <w:r w:rsidR="00650ED9" w:rsidRPr="008834CA">
              <w:rPr>
                <w:rFonts w:ascii="Times New Roman" w:hAnsi="Times New Roman" w:cs="Times New Roman"/>
                <w:bCs/>
                <w:i/>
                <w:sz w:val="18"/>
                <w:szCs w:val="18"/>
              </w:rPr>
              <w:t xml:space="preserve"> </w:t>
            </w:r>
            <w:r w:rsidRPr="008834CA">
              <w:rPr>
                <w:rFonts w:ascii="Times New Roman" w:hAnsi="Times New Roman" w:cs="Times New Roman"/>
                <w:bCs/>
                <w:i/>
                <w:sz w:val="18"/>
                <w:szCs w:val="18"/>
              </w:rPr>
              <w:t>consolidated financial statements:</w:t>
            </w:r>
          </w:p>
        </w:tc>
      </w:tr>
    </w:tbl>
    <w:p w14:paraId="6121CCDF" w14:textId="77777777" w:rsidR="002F03EF" w:rsidRDefault="002F03EF">
      <w:pPr>
        <w:rPr>
          <w:sz w:val="6"/>
          <w:szCs w:val="6"/>
        </w:rPr>
      </w:pPr>
    </w:p>
    <w:p w14:paraId="257C3D4C" w14:textId="204C68E8" w:rsidR="002F03EF" w:rsidRPr="002F03EF" w:rsidRDefault="002F03EF">
      <w:pPr>
        <w:rPr>
          <w:sz w:val="6"/>
          <w:szCs w:val="6"/>
        </w:rPr>
      </w:pPr>
      <w:r>
        <w:rPr>
          <w:sz w:val="6"/>
          <w:szCs w:val="6"/>
        </w:rPr>
        <w:br w:type="page"/>
      </w:r>
    </w:p>
    <w:tbl>
      <w:tblPr>
        <w:tblW w:w="9197" w:type="dxa"/>
        <w:tblInd w:w="392" w:type="dxa"/>
        <w:tblLayout w:type="fixed"/>
        <w:tblLook w:val="0000" w:firstRow="0" w:lastRow="0" w:firstColumn="0" w:lastColumn="0" w:noHBand="0" w:noVBand="0"/>
      </w:tblPr>
      <w:tblGrid>
        <w:gridCol w:w="4598"/>
        <w:gridCol w:w="4599"/>
      </w:tblGrid>
      <w:tr w:rsidR="002F03EF" w:rsidRPr="0013526B" w14:paraId="3257E2D1" w14:textId="77777777" w:rsidTr="004F376A">
        <w:tc>
          <w:tcPr>
            <w:tcW w:w="4598" w:type="dxa"/>
            <w:tcBorders>
              <w:top w:val="nil"/>
              <w:left w:val="nil"/>
              <w:bottom w:val="nil"/>
              <w:right w:val="nil"/>
            </w:tcBorders>
          </w:tcPr>
          <w:p w14:paraId="4D9CB508" w14:textId="0F2D52C2" w:rsidR="002F03EF" w:rsidRPr="008834CA" w:rsidRDefault="002F03EF" w:rsidP="00070D1F">
            <w:pPr>
              <w:pStyle w:val="ListParagraph"/>
              <w:numPr>
                <w:ilvl w:val="0"/>
                <w:numId w:val="92"/>
              </w:numPr>
              <w:ind w:left="284" w:right="-57" w:hanging="284"/>
              <w:contextualSpacing/>
              <w:jc w:val="both"/>
              <w:rPr>
                <w:b/>
                <w:color w:val="000000"/>
                <w:sz w:val="18"/>
                <w:szCs w:val="18"/>
              </w:rPr>
            </w:pPr>
            <w:r w:rsidRPr="0013526B">
              <w:rPr>
                <w:sz w:val="18"/>
                <w:szCs w:val="18"/>
              </w:rPr>
              <w:lastRenderedPageBreak/>
              <w:br w:type="page"/>
            </w:r>
            <w:r w:rsidRPr="008834CA">
              <w:rPr>
                <w:b/>
                <w:color w:val="000000"/>
                <w:sz w:val="18"/>
                <w:szCs w:val="18"/>
              </w:rPr>
              <w:t>ESTIMASI DAN PERTIMBANGAN AKUNTANSI YANG PENTING - Lanjutan</w:t>
            </w:r>
          </w:p>
        </w:tc>
        <w:tc>
          <w:tcPr>
            <w:tcW w:w="4598" w:type="dxa"/>
            <w:tcBorders>
              <w:top w:val="nil"/>
              <w:left w:val="nil"/>
              <w:bottom w:val="nil"/>
              <w:right w:val="nil"/>
            </w:tcBorders>
          </w:tcPr>
          <w:p w14:paraId="0FD9D1F2" w14:textId="58CC93EC" w:rsidR="002F03EF" w:rsidRPr="008834CA" w:rsidRDefault="002F03EF" w:rsidP="00070D1F">
            <w:pPr>
              <w:pStyle w:val="ListParagraph"/>
              <w:numPr>
                <w:ilvl w:val="0"/>
                <w:numId w:val="93"/>
              </w:numPr>
              <w:ind w:left="284" w:right="-57" w:hanging="284"/>
              <w:contextualSpacing/>
              <w:jc w:val="both"/>
              <w:rPr>
                <w:rFonts w:eastAsia="Calibri"/>
                <w:b/>
                <w:i/>
                <w:color w:val="000000"/>
                <w:sz w:val="18"/>
                <w:szCs w:val="18"/>
              </w:rPr>
            </w:pPr>
            <w:r w:rsidRPr="008834CA">
              <w:rPr>
                <w:rFonts w:eastAsia="Calibri"/>
                <w:b/>
                <w:i/>
                <w:color w:val="000000"/>
                <w:sz w:val="18"/>
                <w:szCs w:val="18"/>
              </w:rPr>
              <w:t>ESTIMATES AND JUDGEMENT OF SIGNIFICANT ACCOUNTING - Continued</w:t>
            </w:r>
          </w:p>
        </w:tc>
      </w:tr>
    </w:tbl>
    <w:p w14:paraId="46FF5CEC" w14:textId="77777777" w:rsidR="002F03EF" w:rsidRPr="00E251D4" w:rsidRDefault="002F03EF">
      <w:pPr>
        <w:rPr>
          <w:sz w:val="16"/>
        </w:rPr>
      </w:pPr>
    </w:p>
    <w:tbl>
      <w:tblPr>
        <w:tblW w:w="9197" w:type="dxa"/>
        <w:tblInd w:w="392" w:type="dxa"/>
        <w:tblLayout w:type="fixed"/>
        <w:tblLook w:val="0000" w:firstRow="0" w:lastRow="0" w:firstColumn="0" w:lastColumn="0" w:noHBand="0" w:noVBand="0"/>
      </w:tblPr>
      <w:tblGrid>
        <w:gridCol w:w="4598"/>
        <w:gridCol w:w="4599"/>
      </w:tblGrid>
      <w:tr w:rsidR="00E251D4" w:rsidRPr="00B8576F" w14:paraId="26AA91BA" w14:textId="77777777" w:rsidTr="00497C83">
        <w:tc>
          <w:tcPr>
            <w:tcW w:w="4598" w:type="dxa"/>
            <w:tcBorders>
              <w:top w:val="nil"/>
              <w:left w:val="nil"/>
              <w:bottom w:val="nil"/>
              <w:right w:val="nil"/>
            </w:tcBorders>
          </w:tcPr>
          <w:p w14:paraId="3FEF8B9E" w14:textId="1AF20478" w:rsidR="00E251D4" w:rsidRPr="00B8576F" w:rsidRDefault="00E251D4" w:rsidP="0013526B">
            <w:pPr>
              <w:pStyle w:val="Default"/>
              <w:ind w:left="284"/>
              <w:jc w:val="both"/>
              <w:rPr>
                <w:rFonts w:ascii="Times New Roman" w:eastAsia="Times New Roman" w:hAnsi="Times New Roman" w:cs="Times New Roman"/>
                <w:b/>
                <w:bCs/>
                <w:sz w:val="18"/>
                <w:szCs w:val="18"/>
                <w:u w:val="single"/>
              </w:rPr>
            </w:pPr>
            <w:r w:rsidRPr="00B8576F">
              <w:rPr>
                <w:rFonts w:ascii="Times New Roman" w:eastAsia="Times New Roman" w:hAnsi="Times New Roman" w:cs="Times New Roman"/>
                <w:b/>
                <w:bCs/>
                <w:sz w:val="18"/>
                <w:szCs w:val="18"/>
                <w:u w:val="single"/>
              </w:rPr>
              <w:t xml:space="preserve">Alokasi Harga Pembelian dan Penurunan Nilai </w:t>
            </w:r>
            <w:r w:rsidRPr="008834CA">
              <w:rPr>
                <w:rFonts w:ascii="Times New Roman" w:eastAsia="Times New Roman" w:hAnsi="Times New Roman" w:cs="Times New Roman"/>
                <w:b/>
                <w:bCs/>
                <w:i/>
                <w:iCs/>
                <w:sz w:val="18"/>
                <w:szCs w:val="18"/>
                <w:u w:val="single"/>
              </w:rPr>
              <w:t>Goodwill</w:t>
            </w:r>
          </w:p>
        </w:tc>
        <w:tc>
          <w:tcPr>
            <w:tcW w:w="4599" w:type="dxa"/>
            <w:tcBorders>
              <w:top w:val="nil"/>
              <w:left w:val="nil"/>
              <w:bottom w:val="nil"/>
              <w:right w:val="nil"/>
            </w:tcBorders>
          </w:tcPr>
          <w:p w14:paraId="63CC10BA" w14:textId="51A2380D" w:rsidR="00E251D4" w:rsidRPr="00B8576F" w:rsidRDefault="00E251D4" w:rsidP="0013526B">
            <w:pPr>
              <w:pStyle w:val="Default"/>
              <w:tabs>
                <w:tab w:val="left" w:pos="573"/>
              </w:tabs>
              <w:ind w:left="284" w:right="-57"/>
              <w:jc w:val="both"/>
              <w:rPr>
                <w:rFonts w:ascii="Times New Roman" w:hAnsi="Times New Roman" w:cs="Times New Roman"/>
                <w:b/>
                <w:i/>
                <w:sz w:val="18"/>
                <w:szCs w:val="18"/>
                <w:u w:val="single"/>
              </w:rPr>
            </w:pPr>
            <w:r w:rsidRPr="00B8576F">
              <w:rPr>
                <w:rFonts w:ascii="Times New Roman" w:eastAsia="Times New Roman" w:hAnsi="Times New Roman" w:cs="Times New Roman"/>
                <w:b/>
                <w:bCs/>
                <w:i/>
                <w:sz w:val="18"/>
                <w:szCs w:val="18"/>
                <w:u w:val="single"/>
              </w:rPr>
              <w:t>Purchase Price Allocation and Goodwill Impairment</w:t>
            </w:r>
          </w:p>
        </w:tc>
      </w:tr>
      <w:tr w:rsidR="00E251D4" w:rsidRPr="0013526B" w14:paraId="0FFB4548" w14:textId="77777777" w:rsidTr="00497C83">
        <w:tc>
          <w:tcPr>
            <w:tcW w:w="4598" w:type="dxa"/>
            <w:tcBorders>
              <w:top w:val="nil"/>
              <w:left w:val="nil"/>
              <w:bottom w:val="nil"/>
              <w:right w:val="nil"/>
            </w:tcBorders>
          </w:tcPr>
          <w:p w14:paraId="5CFA5D85" w14:textId="77777777" w:rsidR="00E251D4" w:rsidRPr="005B552A" w:rsidRDefault="00E251D4" w:rsidP="0013526B">
            <w:pPr>
              <w:pStyle w:val="Default"/>
              <w:ind w:left="284"/>
              <w:jc w:val="both"/>
              <w:rPr>
                <w:rFonts w:ascii="Times New Roman" w:eastAsia="Times New Roman" w:hAnsi="Times New Roman" w:cs="Times New Roman"/>
                <w:b/>
                <w:bCs/>
                <w:sz w:val="16"/>
                <w:szCs w:val="18"/>
                <w:u w:val="single"/>
              </w:rPr>
            </w:pPr>
          </w:p>
        </w:tc>
        <w:tc>
          <w:tcPr>
            <w:tcW w:w="4599" w:type="dxa"/>
            <w:tcBorders>
              <w:top w:val="nil"/>
              <w:left w:val="nil"/>
              <w:bottom w:val="nil"/>
              <w:right w:val="nil"/>
            </w:tcBorders>
          </w:tcPr>
          <w:p w14:paraId="0BE29F05" w14:textId="77777777" w:rsidR="00E251D4" w:rsidRPr="005B552A" w:rsidRDefault="00E251D4" w:rsidP="0013526B">
            <w:pPr>
              <w:pStyle w:val="Default"/>
              <w:tabs>
                <w:tab w:val="left" w:pos="573"/>
              </w:tabs>
              <w:ind w:left="284" w:right="-57"/>
              <w:jc w:val="both"/>
              <w:rPr>
                <w:rFonts w:ascii="Times New Roman" w:hAnsi="Times New Roman" w:cs="Times New Roman"/>
                <w:b/>
                <w:i/>
                <w:sz w:val="16"/>
                <w:szCs w:val="18"/>
                <w:u w:val="single"/>
              </w:rPr>
            </w:pPr>
          </w:p>
        </w:tc>
      </w:tr>
      <w:tr w:rsidR="00E251D4" w:rsidRPr="0013526B" w14:paraId="0CDCFF0F" w14:textId="77777777" w:rsidTr="00497C83">
        <w:tc>
          <w:tcPr>
            <w:tcW w:w="4598" w:type="dxa"/>
            <w:tcBorders>
              <w:top w:val="nil"/>
              <w:left w:val="nil"/>
              <w:bottom w:val="nil"/>
              <w:right w:val="nil"/>
            </w:tcBorders>
          </w:tcPr>
          <w:p w14:paraId="65A499BC" w14:textId="574D2280" w:rsidR="00E251D4" w:rsidRPr="0013526B" w:rsidRDefault="00E251D4" w:rsidP="0013526B">
            <w:pPr>
              <w:pStyle w:val="Default"/>
              <w:ind w:left="284"/>
              <w:jc w:val="both"/>
              <w:rPr>
                <w:rFonts w:ascii="Times New Roman" w:eastAsia="Times New Roman" w:hAnsi="Times New Roman" w:cs="Times New Roman"/>
                <w:b/>
                <w:bCs/>
                <w:sz w:val="18"/>
                <w:szCs w:val="18"/>
                <w:u w:val="single"/>
              </w:rPr>
            </w:pPr>
            <w:r w:rsidRPr="008834CA">
              <w:rPr>
                <w:rFonts w:ascii="Times New Roman" w:eastAsia="Times New Roman" w:hAnsi="Times New Roman" w:cs="Times New Roman"/>
                <w:bCs/>
                <w:i/>
                <w:iCs/>
                <w:sz w:val="18"/>
                <w:szCs w:val="18"/>
              </w:rPr>
              <w:t>Goodwill</w:t>
            </w:r>
            <w:r w:rsidRPr="005B07D9">
              <w:rPr>
                <w:rFonts w:ascii="Times New Roman" w:eastAsia="Times New Roman" w:hAnsi="Times New Roman" w:cs="Times New Roman"/>
                <w:bCs/>
                <w:sz w:val="18"/>
                <w:szCs w:val="18"/>
              </w:rPr>
              <w:t xml:space="preserve"> harus dilakukan uji penurunan nilai setiap tahun dan bilamana ada indikasi bahwa </w:t>
            </w:r>
            <w:r w:rsidRPr="008834CA">
              <w:rPr>
                <w:rFonts w:ascii="Times New Roman" w:eastAsia="Times New Roman" w:hAnsi="Times New Roman" w:cs="Times New Roman"/>
                <w:bCs/>
                <w:i/>
                <w:iCs/>
                <w:sz w:val="18"/>
                <w:szCs w:val="18"/>
              </w:rPr>
              <w:t>goodwill</w:t>
            </w:r>
            <w:r w:rsidRPr="005B07D9">
              <w:rPr>
                <w:rFonts w:ascii="Times New Roman" w:eastAsia="Times New Roman" w:hAnsi="Times New Roman" w:cs="Times New Roman"/>
                <w:bCs/>
                <w:sz w:val="18"/>
                <w:szCs w:val="18"/>
              </w:rPr>
              <w:t xml:space="preserve"> tersebut mungkin menurun nilainya. Manajemen menggunakan pertimbangan dalam mengestimasi nilai yang dapat dipulihkan dan dapat </w:t>
            </w:r>
            <w:proofErr w:type="gramStart"/>
            <w:r w:rsidRPr="005B07D9">
              <w:rPr>
                <w:rFonts w:ascii="Times New Roman" w:eastAsia="Times New Roman" w:hAnsi="Times New Roman" w:cs="Times New Roman"/>
                <w:bCs/>
                <w:sz w:val="18"/>
                <w:szCs w:val="18"/>
              </w:rPr>
              <w:t>menyebabkan  beban</w:t>
            </w:r>
            <w:proofErr w:type="gramEnd"/>
            <w:r w:rsidRPr="005B07D9">
              <w:rPr>
                <w:rFonts w:ascii="Times New Roman" w:eastAsia="Times New Roman" w:hAnsi="Times New Roman" w:cs="Times New Roman"/>
                <w:bCs/>
                <w:sz w:val="18"/>
                <w:szCs w:val="18"/>
              </w:rPr>
              <w:t xml:space="preserve">  penurunan nilai masa depan dalam PSAK 48 (Revisi 2013) "Penurunan Nilai Aset".</w:t>
            </w:r>
          </w:p>
        </w:tc>
        <w:tc>
          <w:tcPr>
            <w:tcW w:w="4599" w:type="dxa"/>
            <w:tcBorders>
              <w:top w:val="nil"/>
              <w:left w:val="nil"/>
              <w:bottom w:val="nil"/>
              <w:right w:val="nil"/>
            </w:tcBorders>
          </w:tcPr>
          <w:p w14:paraId="76AAADDD" w14:textId="45316D94" w:rsidR="00E251D4" w:rsidRPr="0013526B" w:rsidRDefault="00E251D4" w:rsidP="0013526B">
            <w:pPr>
              <w:pStyle w:val="Default"/>
              <w:tabs>
                <w:tab w:val="left" w:pos="573"/>
              </w:tabs>
              <w:ind w:left="284" w:right="-57"/>
              <w:jc w:val="both"/>
              <w:rPr>
                <w:rFonts w:ascii="Times New Roman" w:hAnsi="Times New Roman" w:cs="Times New Roman"/>
                <w:b/>
                <w:i/>
                <w:sz w:val="18"/>
                <w:szCs w:val="18"/>
                <w:u w:val="single"/>
              </w:rPr>
            </w:pPr>
            <w:r w:rsidRPr="005B07D9">
              <w:rPr>
                <w:rFonts w:ascii="Times New Roman" w:eastAsia="Times New Roman" w:hAnsi="Times New Roman" w:cs="Times New Roman"/>
                <w:bCs/>
                <w:i/>
                <w:sz w:val="18"/>
                <w:szCs w:val="18"/>
              </w:rPr>
              <w:t>Goodwill is subject to annual impairment test and whenever there is an indication that such goodwill may be impaired. Management uses its judgment in estimating the recoverable value and may lead to future impairment charges under PSAK 48 (Revised 2013) “Impairment of Assets”.</w:t>
            </w:r>
          </w:p>
        </w:tc>
      </w:tr>
    </w:tbl>
    <w:p w14:paraId="5B3D9F9D" w14:textId="77777777" w:rsidR="00497C83" w:rsidRDefault="00497C83">
      <w:pPr>
        <w:rPr>
          <w:sz w:val="6"/>
          <w:szCs w:val="6"/>
        </w:rPr>
      </w:pPr>
    </w:p>
    <w:p w14:paraId="2307DBEA" w14:textId="77777777" w:rsidR="00497C83" w:rsidRDefault="00497C83">
      <w:pPr>
        <w:rPr>
          <w:sz w:val="6"/>
          <w:szCs w:val="6"/>
        </w:rPr>
      </w:pPr>
    </w:p>
    <w:tbl>
      <w:tblPr>
        <w:tblW w:w="9197" w:type="dxa"/>
        <w:tblInd w:w="392" w:type="dxa"/>
        <w:tblLayout w:type="fixed"/>
        <w:tblLook w:val="0000" w:firstRow="0" w:lastRow="0" w:firstColumn="0" w:lastColumn="0" w:noHBand="0" w:noVBand="0"/>
      </w:tblPr>
      <w:tblGrid>
        <w:gridCol w:w="4598"/>
        <w:gridCol w:w="4599"/>
      </w:tblGrid>
      <w:tr w:rsidR="00497C83" w:rsidRPr="00B8576F" w14:paraId="4B35BDA0" w14:textId="77777777" w:rsidTr="00A811B5">
        <w:tc>
          <w:tcPr>
            <w:tcW w:w="4598" w:type="dxa"/>
            <w:tcBorders>
              <w:top w:val="nil"/>
              <w:left w:val="nil"/>
              <w:bottom w:val="nil"/>
              <w:right w:val="nil"/>
            </w:tcBorders>
          </w:tcPr>
          <w:p w14:paraId="7F8C7845" w14:textId="77777777" w:rsidR="00497C83" w:rsidRPr="00B8576F" w:rsidRDefault="00497C83" w:rsidP="00A811B5">
            <w:pPr>
              <w:ind w:left="284" w:right="-57"/>
              <w:jc w:val="both"/>
              <w:rPr>
                <w:b/>
                <w:bCs w:val="0"/>
                <w:sz w:val="18"/>
                <w:szCs w:val="18"/>
                <w:u w:val="single"/>
              </w:rPr>
            </w:pPr>
            <w:r w:rsidRPr="00B8576F">
              <w:rPr>
                <w:b/>
                <w:bCs w:val="0"/>
                <w:sz w:val="18"/>
                <w:szCs w:val="18"/>
                <w:u w:val="single"/>
              </w:rPr>
              <w:t>Menentukan Klasifikasi Aset Keuangan dan Liabilitas Keuangan</w:t>
            </w:r>
          </w:p>
        </w:tc>
        <w:tc>
          <w:tcPr>
            <w:tcW w:w="4598" w:type="dxa"/>
            <w:tcBorders>
              <w:top w:val="nil"/>
              <w:left w:val="nil"/>
              <w:bottom w:val="nil"/>
              <w:right w:val="nil"/>
            </w:tcBorders>
          </w:tcPr>
          <w:p w14:paraId="4AEEEE38" w14:textId="77777777" w:rsidR="00497C83" w:rsidRPr="00B8576F" w:rsidRDefault="00497C83" w:rsidP="00A811B5">
            <w:pPr>
              <w:tabs>
                <w:tab w:val="left" w:pos="5590"/>
                <w:tab w:val="right" w:pos="7620"/>
                <w:tab w:val="right" w:pos="9460"/>
                <w:tab w:val="right" w:pos="10080"/>
              </w:tabs>
              <w:ind w:left="284" w:right="-57"/>
              <w:jc w:val="both"/>
              <w:rPr>
                <w:b/>
                <w:bCs w:val="0"/>
                <w:i/>
                <w:sz w:val="18"/>
                <w:szCs w:val="18"/>
                <w:u w:val="single"/>
              </w:rPr>
            </w:pPr>
            <w:r w:rsidRPr="00B8576F">
              <w:rPr>
                <w:b/>
                <w:bCs w:val="0"/>
                <w:i/>
                <w:sz w:val="18"/>
                <w:szCs w:val="18"/>
                <w:u w:val="single"/>
              </w:rPr>
              <w:t>Determining Classification of Financial Assets and Financial Liabilities</w:t>
            </w:r>
          </w:p>
        </w:tc>
      </w:tr>
      <w:tr w:rsidR="00497C83" w:rsidRPr="0013526B" w14:paraId="194AF212" w14:textId="77777777" w:rsidTr="00A811B5">
        <w:tc>
          <w:tcPr>
            <w:tcW w:w="4598" w:type="dxa"/>
            <w:tcBorders>
              <w:top w:val="nil"/>
              <w:left w:val="nil"/>
              <w:bottom w:val="nil"/>
              <w:right w:val="nil"/>
            </w:tcBorders>
          </w:tcPr>
          <w:p w14:paraId="67B87073" w14:textId="77777777" w:rsidR="00497C83" w:rsidRPr="0013526B" w:rsidRDefault="00497C83" w:rsidP="00A811B5">
            <w:pPr>
              <w:ind w:left="252" w:right="-57"/>
              <w:jc w:val="both"/>
              <w:rPr>
                <w:bCs w:val="0"/>
                <w:sz w:val="18"/>
                <w:szCs w:val="18"/>
              </w:rPr>
            </w:pPr>
          </w:p>
        </w:tc>
        <w:tc>
          <w:tcPr>
            <w:tcW w:w="4598" w:type="dxa"/>
            <w:tcBorders>
              <w:top w:val="nil"/>
              <w:left w:val="nil"/>
              <w:bottom w:val="nil"/>
              <w:right w:val="nil"/>
            </w:tcBorders>
          </w:tcPr>
          <w:p w14:paraId="29BED700" w14:textId="77777777" w:rsidR="00497C83" w:rsidRPr="0013526B" w:rsidRDefault="00497C83" w:rsidP="00A811B5">
            <w:pPr>
              <w:tabs>
                <w:tab w:val="left" w:pos="5590"/>
                <w:tab w:val="right" w:pos="7620"/>
                <w:tab w:val="right" w:pos="9460"/>
                <w:tab w:val="right" w:pos="10080"/>
              </w:tabs>
              <w:ind w:left="434" w:right="-57"/>
              <w:jc w:val="both"/>
              <w:rPr>
                <w:bCs w:val="0"/>
                <w:i/>
                <w:sz w:val="18"/>
                <w:szCs w:val="18"/>
              </w:rPr>
            </w:pPr>
          </w:p>
        </w:tc>
      </w:tr>
      <w:tr w:rsidR="00497C83" w:rsidRPr="0013526B" w14:paraId="4B19644C" w14:textId="77777777" w:rsidTr="00A811B5">
        <w:tc>
          <w:tcPr>
            <w:tcW w:w="4598" w:type="dxa"/>
            <w:tcBorders>
              <w:top w:val="nil"/>
              <w:left w:val="nil"/>
              <w:bottom w:val="nil"/>
              <w:right w:val="nil"/>
            </w:tcBorders>
          </w:tcPr>
          <w:p w14:paraId="6B35528F" w14:textId="60F70699" w:rsidR="00497C83" w:rsidRPr="0013526B" w:rsidRDefault="00497C83" w:rsidP="004E4129">
            <w:pPr>
              <w:ind w:left="284" w:right="-57"/>
              <w:jc w:val="both"/>
              <w:rPr>
                <w:bCs w:val="0"/>
                <w:sz w:val="18"/>
                <w:szCs w:val="18"/>
              </w:rPr>
            </w:pPr>
            <w:r w:rsidRPr="0013526B">
              <w:rPr>
                <w:bCs w:val="0"/>
                <w:sz w:val="18"/>
                <w:szCs w:val="18"/>
              </w:rPr>
              <w:t>Kelompok Usaha menetapkan klasifikasi atas aset dan liabilitas tertentu sebagai aset keuangan dan liabilitas keuangan dengan mempertimbangkan definisi yang ditetapkan PSAK No. 55 (Revisi 2014) dipenuhi. Dengan demikian</w:t>
            </w:r>
            <w:r w:rsidR="00870FD0">
              <w:rPr>
                <w:bCs w:val="0"/>
                <w:sz w:val="18"/>
                <w:szCs w:val="18"/>
              </w:rPr>
              <w:t>.</w:t>
            </w:r>
            <w:r w:rsidRPr="0013526B">
              <w:rPr>
                <w:bCs w:val="0"/>
                <w:sz w:val="18"/>
                <w:szCs w:val="18"/>
              </w:rPr>
              <w:t xml:space="preserve"> </w:t>
            </w:r>
            <w:proofErr w:type="gramStart"/>
            <w:r w:rsidRPr="0013526B">
              <w:rPr>
                <w:bCs w:val="0"/>
                <w:sz w:val="18"/>
                <w:szCs w:val="18"/>
              </w:rPr>
              <w:t>aset</w:t>
            </w:r>
            <w:proofErr w:type="gramEnd"/>
            <w:r w:rsidRPr="0013526B">
              <w:rPr>
                <w:bCs w:val="0"/>
                <w:sz w:val="18"/>
                <w:szCs w:val="18"/>
              </w:rPr>
              <w:t xml:space="preserve"> keuangan dan liabilitas keuangan diakui sesuai dengan kebijakan akuntansi Kelompok Usaha seperti diungkapkan pada </w:t>
            </w:r>
            <w:r w:rsidRPr="005704C5">
              <w:rPr>
                <w:bCs w:val="0"/>
                <w:sz w:val="18"/>
                <w:szCs w:val="18"/>
              </w:rPr>
              <w:t xml:space="preserve">catatan 3r dan catatan </w:t>
            </w:r>
            <w:r w:rsidR="004E4129">
              <w:rPr>
                <w:bCs w:val="0"/>
                <w:sz w:val="18"/>
                <w:szCs w:val="18"/>
              </w:rPr>
              <w:t>39.</w:t>
            </w:r>
          </w:p>
        </w:tc>
        <w:tc>
          <w:tcPr>
            <w:tcW w:w="4598" w:type="dxa"/>
            <w:tcBorders>
              <w:top w:val="nil"/>
              <w:left w:val="nil"/>
              <w:bottom w:val="nil"/>
              <w:right w:val="nil"/>
            </w:tcBorders>
          </w:tcPr>
          <w:p w14:paraId="77AD36BA" w14:textId="7D821740" w:rsidR="00497C83" w:rsidRPr="0013526B" w:rsidRDefault="00497C83" w:rsidP="004E4129">
            <w:pPr>
              <w:tabs>
                <w:tab w:val="left" w:pos="5590"/>
                <w:tab w:val="right" w:pos="7620"/>
                <w:tab w:val="right" w:pos="9460"/>
                <w:tab w:val="right" w:pos="10080"/>
              </w:tabs>
              <w:ind w:left="284" w:right="-57"/>
              <w:jc w:val="both"/>
              <w:rPr>
                <w:bCs w:val="0"/>
                <w:i/>
                <w:sz w:val="18"/>
                <w:szCs w:val="18"/>
              </w:rPr>
            </w:pPr>
            <w:r w:rsidRPr="0013526B">
              <w:rPr>
                <w:bCs w:val="0"/>
                <w:i/>
                <w:sz w:val="18"/>
                <w:szCs w:val="18"/>
              </w:rPr>
              <w:t>The Group determines classification of certain assets and liabilities as financial assets and financial liabilities by considering the definitions set forth in PSAK No. 55 (Revised 2014) are met. Accordingly</w:t>
            </w:r>
            <w:r w:rsidR="00870FD0">
              <w:rPr>
                <w:bCs w:val="0"/>
                <w:i/>
                <w:sz w:val="18"/>
                <w:szCs w:val="18"/>
              </w:rPr>
              <w:t>.</w:t>
            </w:r>
            <w:r w:rsidRPr="0013526B">
              <w:rPr>
                <w:bCs w:val="0"/>
                <w:i/>
                <w:sz w:val="18"/>
                <w:szCs w:val="18"/>
              </w:rPr>
              <w:t xml:space="preserve"> </w:t>
            </w:r>
            <w:proofErr w:type="gramStart"/>
            <w:r w:rsidRPr="0013526B">
              <w:rPr>
                <w:bCs w:val="0"/>
                <w:i/>
                <w:sz w:val="18"/>
                <w:szCs w:val="18"/>
              </w:rPr>
              <w:t>financial</w:t>
            </w:r>
            <w:proofErr w:type="gramEnd"/>
            <w:r w:rsidRPr="0013526B">
              <w:rPr>
                <w:bCs w:val="0"/>
                <w:i/>
                <w:sz w:val="18"/>
                <w:szCs w:val="18"/>
              </w:rPr>
              <w:t xml:space="preserve"> assets and financial liabilities are recognized in accordance with the Group’s accounting policies as disclosed in </w:t>
            </w:r>
            <w:r w:rsidRPr="00497C83">
              <w:rPr>
                <w:bCs w:val="0"/>
                <w:i/>
                <w:sz w:val="18"/>
                <w:szCs w:val="18"/>
              </w:rPr>
              <w:t xml:space="preserve">the note 3r </w:t>
            </w:r>
            <w:r w:rsidRPr="005704C5">
              <w:rPr>
                <w:bCs w:val="0"/>
                <w:i/>
                <w:sz w:val="18"/>
                <w:szCs w:val="18"/>
              </w:rPr>
              <w:t xml:space="preserve">and note </w:t>
            </w:r>
            <w:r w:rsidR="004E4129">
              <w:rPr>
                <w:bCs w:val="0"/>
                <w:i/>
                <w:sz w:val="18"/>
                <w:szCs w:val="18"/>
              </w:rPr>
              <w:t>39</w:t>
            </w:r>
            <w:r w:rsidRPr="005704C5">
              <w:rPr>
                <w:bCs w:val="0"/>
                <w:i/>
                <w:sz w:val="18"/>
                <w:szCs w:val="18"/>
              </w:rPr>
              <w:t>.</w:t>
            </w:r>
          </w:p>
        </w:tc>
      </w:tr>
      <w:tr w:rsidR="00497C83" w:rsidRPr="0013526B" w14:paraId="370D456B" w14:textId="77777777" w:rsidTr="00A811B5">
        <w:tc>
          <w:tcPr>
            <w:tcW w:w="4598" w:type="dxa"/>
            <w:tcBorders>
              <w:top w:val="nil"/>
              <w:left w:val="nil"/>
              <w:bottom w:val="nil"/>
              <w:right w:val="nil"/>
            </w:tcBorders>
          </w:tcPr>
          <w:p w14:paraId="282992A6" w14:textId="77777777" w:rsidR="00497C83" w:rsidRPr="0013526B" w:rsidRDefault="00497C83" w:rsidP="00A811B5">
            <w:pPr>
              <w:ind w:left="252" w:right="-57"/>
              <w:jc w:val="both"/>
              <w:rPr>
                <w:bCs w:val="0"/>
                <w:sz w:val="18"/>
                <w:szCs w:val="18"/>
              </w:rPr>
            </w:pPr>
          </w:p>
        </w:tc>
        <w:tc>
          <w:tcPr>
            <w:tcW w:w="4598" w:type="dxa"/>
            <w:tcBorders>
              <w:top w:val="nil"/>
              <w:left w:val="nil"/>
              <w:bottom w:val="nil"/>
              <w:right w:val="nil"/>
            </w:tcBorders>
          </w:tcPr>
          <w:p w14:paraId="5DEBB861" w14:textId="77777777" w:rsidR="00497C83" w:rsidRPr="0013526B" w:rsidRDefault="00497C83" w:rsidP="00A811B5">
            <w:pPr>
              <w:tabs>
                <w:tab w:val="left" w:pos="5590"/>
                <w:tab w:val="right" w:pos="7620"/>
                <w:tab w:val="right" w:pos="9460"/>
                <w:tab w:val="right" w:pos="10080"/>
              </w:tabs>
              <w:ind w:left="434" w:right="-57"/>
              <w:jc w:val="both"/>
              <w:rPr>
                <w:bCs w:val="0"/>
                <w:i/>
                <w:sz w:val="18"/>
                <w:szCs w:val="18"/>
              </w:rPr>
            </w:pPr>
          </w:p>
        </w:tc>
      </w:tr>
      <w:tr w:rsidR="00497C83" w:rsidRPr="00B8576F" w14:paraId="28363EF9" w14:textId="77777777" w:rsidTr="00A811B5">
        <w:tc>
          <w:tcPr>
            <w:tcW w:w="4598" w:type="dxa"/>
            <w:tcBorders>
              <w:top w:val="nil"/>
              <w:left w:val="nil"/>
              <w:bottom w:val="nil"/>
              <w:right w:val="nil"/>
            </w:tcBorders>
          </w:tcPr>
          <w:p w14:paraId="132CEE18" w14:textId="77777777" w:rsidR="00497C83" w:rsidRPr="00B8576F" w:rsidRDefault="00497C83" w:rsidP="00A811B5">
            <w:pPr>
              <w:ind w:left="284" w:right="-57"/>
              <w:jc w:val="both"/>
              <w:rPr>
                <w:b/>
                <w:bCs w:val="0"/>
                <w:sz w:val="18"/>
                <w:szCs w:val="18"/>
                <w:u w:val="single"/>
              </w:rPr>
            </w:pPr>
            <w:r w:rsidRPr="00B8576F">
              <w:rPr>
                <w:b/>
                <w:bCs w:val="0"/>
                <w:sz w:val="18"/>
                <w:szCs w:val="18"/>
                <w:u w:val="single"/>
              </w:rPr>
              <w:t>Menentukan Nilai Wajar dan Perhitungan Amortisasi Biaya Perolehan dari Instrumen Keuangan</w:t>
            </w:r>
          </w:p>
        </w:tc>
        <w:tc>
          <w:tcPr>
            <w:tcW w:w="4598" w:type="dxa"/>
            <w:tcBorders>
              <w:top w:val="nil"/>
              <w:left w:val="nil"/>
              <w:bottom w:val="nil"/>
              <w:right w:val="nil"/>
            </w:tcBorders>
          </w:tcPr>
          <w:p w14:paraId="3DB6C87D" w14:textId="77777777" w:rsidR="00497C83" w:rsidRPr="00B8576F" w:rsidRDefault="00497C83" w:rsidP="00A811B5">
            <w:pPr>
              <w:tabs>
                <w:tab w:val="left" w:pos="5590"/>
                <w:tab w:val="right" w:pos="7620"/>
                <w:tab w:val="right" w:pos="9460"/>
                <w:tab w:val="right" w:pos="10080"/>
              </w:tabs>
              <w:ind w:left="284" w:right="-57"/>
              <w:jc w:val="both"/>
              <w:rPr>
                <w:b/>
                <w:bCs w:val="0"/>
                <w:i/>
                <w:sz w:val="18"/>
                <w:szCs w:val="18"/>
                <w:u w:val="single"/>
              </w:rPr>
            </w:pPr>
            <w:r w:rsidRPr="00B8576F">
              <w:rPr>
                <w:b/>
                <w:bCs w:val="0"/>
                <w:i/>
                <w:sz w:val="18"/>
                <w:szCs w:val="18"/>
                <w:u w:val="single"/>
              </w:rPr>
              <w:t>Determining Fair Value and Calculation of Cost Amortization of Financial Instruments</w:t>
            </w:r>
          </w:p>
        </w:tc>
      </w:tr>
      <w:tr w:rsidR="00497C83" w:rsidRPr="0013526B" w14:paraId="46B1A284" w14:textId="77777777" w:rsidTr="00A811B5">
        <w:tc>
          <w:tcPr>
            <w:tcW w:w="4598" w:type="dxa"/>
            <w:tcBorders>
              <w:top w:val="nil"/>
              <w:left w:val="nil"/>
              <w:bottom w:val="nil"/>
              <w:right w:val="nil"/>
            </w:tcBorders>
          </w:tcPr>
          <w:p w14:paraId="441AAEF3" w14:textId="77777777" w:rsidR="00497C83" w:rsidRPr="0013526B" w:rsidRDefault="00497C83" w:rsidP="00A811B5">
            <w:pPr>
              <w:ind w:left="252" w:right="-57"/>
              <w:jc w:val="both"/>
              <w:rPr>
                <w:bCs w:val="0"/>
                <w:sz w:val="18"/>
                <w:szCs w:val="18"/>
              </w:rPr>
            </w:pPr>
          </w:p>
        </w:tc>
        <w:tc>
          <w:tcPr>
            <w:tcW w:w="4598" w:type="dxa"/>
            <w:tcBorders>
              <w:top w:val="nil"/>
              <w:left w:val="nil"/>
              <w:bottom w:val="nil"/>
              <w:right w:val="nil"/>
            </w:tcBorders>
          </w:tcPr>
          <w:p w14:paraId="4EB6679C" w14:textId="77777777" w:rsidR="00497C83" w:rsidRPr="0013526B" w:rsidRDefault="00497C83" w:rsidP="00A811B5">
            <w:pPr>
              <w:tabs>
                <w:tab w:val="left" w:pos="5590"/>
                <w:tab w:val="right" w:pos="7620"/>
                <w:tab w:val="right" w:pos="9460"/>
                <w:tab w:val="right" w:pos="10080"/>
              </w:tabs>
              <w:ind w:left="434" w:right="-57"/>
              <w:jc w:val="both"/>
              <w:rPr>
                <w:bCs w:val="0"/>
                <w:i/>
                <w:sz w:val="18"/>
                <w:szCs w:val="18"/>
              </w:rPr>
            </w:pPr>
          </w:p>
        </w:tc>
      </w:tr>
      <w:tr w:rsidR="00497C83" w:rsidRPr="0013526B" w14:paraId="0C00470D" w14:textId="77777777" w:rsidTr="00A811B5">
        <w:tc>
          <w:tcPr>
            <w:tcW w:w="4598" w:type="dxa"/>
            <w:tcBorders>
              <w:top w:val="nil"/>
              <w:left w:val="nil"/>
              <w:bottom w:val="nil"/>
              <w:right w:val="nil"/>
            </w:tcBorders>
          </w:tcPr>
          <w:p w14:paraId="27B46970" w14:textId="5DB34DD3" w:rsidR="00497C83" w:rsidRPr="0013526B" w:rsidRDefault="00497C83" w:rsidP="004E4129">
            <w:pPr>
              <w:ind w:left="284" w:right="-57"/>
              <w:jc w:val="both"/>
              <w:rPr>
                <w:bCs w:val="0"/>
                <w:sz w:val="18"/>
                <w:szCs w:val="18"/>
              </w:rPr>
            </w:pPr>
            <w:r w:rsidRPr="0013526B">
              <w:rPr>
                <w:bCs w:val="0"/>
                <w:sz w:val="18"/>
                <w:szCs w:val="18"/>
              </w:rPr>
              <w:t>Kelompok Usaha mencatat aset keuangan dan liabilitas keuangan tertentu pada nilai wajar dan pada biaya perolehan yang diamortisasi</w:t>
            </w:r>
            <w:r w:rsidR="00F32DFB">
              <w:rPr>
                <w:bCs w:val="0"/>
                <w:sz w:val="18"/>
                <w:szCs w:val="18"/>
              </w:rPr>
              <w:t>,</w:t>
            </w:r>
            <w:r w:rsidRPr="0013526B">
              <w:rPr>
                <w:bCs w:val="0"/>
                <w:sz w:val="18"/>
                <w:szCs w:val="18"/>
              </w:rPr>
              <w:t xml:space="preserve"> yang mengharuskan penggunaan estimasi akuntansi. Sementara komponen signifikan atas pengukuran nilai wajar dan asumsi yang digunakan dalam perhitungan amortisasi biaya perolehan ditentukan menggunakan bukti obyektif yang dapat diverifikasi</w:t>
            </w:r>
            <w:r w:rsidR="00F32DFB">
              <w:rPr>
                <w:bCs w:val="0"/>
                <w:sz w:val="18"/>
                <w:szCs w:val="18"/>
              </w:rPr>
              <w:t>,</w:t>
            </w:r>
            <w:r w:rsidRPr="0013526B">
              <w:rPr>
                <w:bCs w:val="0"/>
                <w:sz w:val="18"/>
                <w:szCs w:val="18"/>
              </w:rPr>
              <w:t xml:space="preserve"> jumlah nilai wajar atau amortisasi dapat berbeda bila Kelompok Usaha menggunakan metodologi penilaian atau asumsi yang berbeda. Perubahan tersebut dapat mempengaruhi secara langsung laba atau rugi </w:t>
            </w:r>
            <w:r w:rsidRPr="005704C5">
              <w:rPr>
                <w:bCs w:val="0"/>
                <w:sz w:val="18"/>
                <w:szCs w:val="18"/>
              </w:rPr>
              <w:t xml:space="preserve">Kelompok Usaha. Penjelasan lebih rinci diungkapkan dalam catatan </w:t>
            </w:r>
            <w:r w:rsidR="004E4129">
              <w:rPr>
                <w:bCs w:val="0"/>
                <w:sz w:val="18"/>
                <w:szCs w:val="18"/>
              </w:rPr>
              <w:t>39</w:t>
            </w:r>
            <w:r w:rsidRPr="005704C5">
              <w:rPr>
                <w:bCs w:val="0"/>
                <w:sz w:val="18"/>
                <w:szCs w:val="18"/>
              </w:rPr>
              <w:t>.</w:t>
            </w:r>
          </w:p>
        </w:tc>
        <w:tc>
          <w:tcPr>
            <w:tcW w:w="4598" w:type="dxa"/>
            <w:tcBorders>
              <w:top w:val="nil"/>
              <w:left w:val="nil"/>
              <w:bottom w:val="nil"/>
              <w:right w:val="nil"/>
            </w:tcBorders>
          </w:tcPr>
          <w:p w14:paraId="4F3DAC1A" w14:textId="1CFA30DE" w:rsidR="00497C83" w:rsidRPr="0013526B" w:rsidRDefault="00497C83" w:rsidP="004E4129">
            <w:pPr>
              <w:tabs>
                <w:tab w:val="left" w:pos="5590"/>
                <w:tab w:val="right" w:pos="7620"/>
                <w:tab w:val="right" w:pos="9460"/>
                <w:tab w:val="right" w:pos="10080"/>
              </w:tabs>
              <w:ind w:left="284" w:right="-57"/>
              <w:jc w:val="both"/>
              <w:rPr>
                <w:bCs w:val="0"/>
                <w:i/>
                <w:sz w:val="18"/>
                <w:szCs w:val="18"/>
              </w:rPr>
            </w:pPr>
            <w:r w:rsidRPr="0013526B">
              <w:rPr>
                <w:bCs w:val="0"/>
                <w:i/>
                <w:sz w:val="18"/>
                <w:szCs w:val="18"/>
              </w:rPr>
              <w:t>The Group records certain financial assets and financial liabilities at fair value and at amortized cost</w:t>
            </w:r>
            <w:r w:rsidR="00F32DFB">
              <w:rPr>
                <w:bCs w:val="0"/>
                <w:i/>
                <w:sz w:val="18"/>
                <w:szCs w:val="18"/>
              </w:rPr>
              <w:t>,</w:t>
            </w:r>
            <w:r w:rsidRPr="0013526B">
              <w:rPr>
                <w:bCs w:val="0"/>
                <w:i/>
                <w:sz w:val="18"/>
                <w:szCs w:val="18"/>
              </w:rPr>
              <w:t xml:space="preserve"> which requires the use of accounting estimates. While significant components of fair value measurement and assumptions used in the calculation of cost amortization is determined using verifiable objective evidence</w:t>
            </w:r>
            <w:r w:rsidR="00F32DFB">
              <w:rPr>
                <w:bCs w:val="0"/>
                <w:i/>
                <w:sz w:val="18"/>
                <w:szCs w:val="18"/>
              </w:rPr>
              <w:t>,</w:t>
            </w:r>
            <w:r w:rsidRPr="0013526B">
              <w:rPr>
                <w:bCs w:val="0"/>
                <w:i/>
                <w:sz w:val="18"/>
                <w:szCs w:val="18"/>
              </w:rPr>
              <w:t xml:space="preserve"> the amount of the fair value or amortized cost may differ if the Group uses different valuation methodologies or assumptions.</w:t>
            </w:r>
            <w:r w:rsidRPr="0013526B">
              <w:rPr>
                <w:bCs w:val="0"/>
                <w:i/>
                <w:sz w:val="18"/>
                <w:szCs w:val="18"/>
                <w:lang w:val="id-ID"/>
              </w:rPr>
              <w:br/>
            </w:r>
            <w:r w:rsidRPr="0013526B">
              <w:rPr>
                <w:bCs w:val="0"/>
                <w:i/>
                <w:sz w:val="18"/>
                <w:szCs w:val="18"/>
              </w:rPr>
              <w:t xml:space="preserve">These changes directly affect the Group’s profit or loss. More detailed information </w:t>
            </w:r>
            <w:r w:rsidRPr="005168D2">
              <w:rPr>
                <w:bCs w:val="0"/>
                <w:i/>
                <w:sz w:val="18"/>
                <w:szCs w:val="18"/>
              </w:rPr>
              <w:t xml:space="preserve">is </w:t>
            </w:r>
            <w:r w:rsidRPr="005704C5">
              <w:rPr>
                <w:bCs w:val="0"/>
                <w:i/>
                <w:sz w:val="18"/>
                <w:szCs w:val="18"/>
              </w:rPr>
              <w:t xml:space="preserve">disclosed in note </w:t>
            </w:r>
            <w:r w:rsidR="004E4129">
              <w:rPr>
                <w:bCs w:val="0"/>
                <w:i/>
                <w:sz w:val="18"/>
                <w:szCs w:val="18"/>
              </w:rPr>
              <w:t>39</w:t>
            </w:r>
            <w:r w:rsidRPr="005704C5">
              <w:rPr>
                <w:bCs w:val="0"/>
                <w:i/>
                <w:sz w:val="18"/>
                <w:szCs w:val="18"/>
              </w:rPr>
              <w:t>.</w:t>
            </w:r>
          </w:p>
        </w:tc>
      </w:tr>
    </w:tbl>
    <w:p w14:paraId="137243EC" w14:textId="77777777" w:rsidR="00497C83" w:rsidRDefault="00497C83">
      <w:pPr>
        <w:rPr>
          <w:sz w:val="6"/>
          <w:szCs w:val="6"/>
        </w:rPr>
      </w:pPr>
    </w:p>
    <w:tbl>
      <w:tblPr>
        <w:tblW w:w="9197" w:type="dxa"/>
        <w:tblInd w:w="392" w:type="dxa"/>
        <w:tblLayout w:type="fixed"/>
        <w:tblLook w:val="0000" w:firstRow="0" w:lastRow="0" w:firstColumn="0" w:lastColumn="0" w:noHBand="0" w:noVBand="0"/>
      </w:tblPr>
      <w:tblGrid>
        <w:gridCol w:w="4598"/>
        <w:gridCol w:w="4599"/>
      </w:tblGrid>
      <w:tr w:rsidR="00497C83" w:rsidRPr="00B8576F" w14:paraId="5B64A5FE" w14:textId="77777777" w:rsidTr="00A811B5">
        <w:tc>
          <w:tcPr>
            <w:tcW w:w="4598" w:type="dxa"/>
            <w:tcBorders>
              <w:top w:val="nil"/>
              <w:left w:val="nil"/>
              <w:bottom w:val="nil"/>
              <w:right w:val="nil"/>
            </w:tcBorders>
          </w:tcPr>
          <w:p w14:paraId="21A46A76" w14:textId="77777777" w:rsidR="00497C83" w:rsidRPr="00B8576F" w:rsidRDefault="00497C83" w:rsidP="00A811B5">
            <w:pPr>
              <w:ind w:left="284" w:right="-57"/>
              <w:jc w:val="both"/>
              <w:rPr>
                <w:b/>
                <w:bCs w:val="0"/>
                <w:sz w:val="18"/>
                <w:szCs w:val="18"/>
                <w:u w:val="single"/>
              </w:rPr>
            </w:pPr>
            <w:r w:rsidRPr="00B8576F">
              <w:rPr>
                <w:b/>
                <w:bCs w:val="0"/>
                <w:sz w:val="18"/>
                <w:szCs w:val="18"/>
                <w:u w:val="single"/>
              </w:rPr>
              <w:t>Menentukan Jumlah Terpulihkan dari Aset Keuangan</w:t>
            </w:r>
          </w:p>
        </w:tc>
        <w:tc>
          <w:tcPr>
            <w:tcW w:w="4599" w:type="dxa"/>
            <w:tcBorders>
              <w:top w:val="nil"/>
              <w:left w:val="nil"/>
              <w:bottom w:val="nil"/>
              <w:right w:val="nil"/>
            </w:tcBorders>
          </w:tcPr>
          <w:p w14:paraId="3B94ED69" w14:textId="77777777" w:rsidR="00497C83" w:rsidRPr="00B8576F" w:rsidRDefault="00497C83" w:rsidP="00A811B5">
            <w:pPr>
              <w:tabs>
                <w:tab w:val="left" w:pos="5590"/>
                <w:tab w:val="right" w:pos="7620"/>
                <w:tab w:val="right" w:pos="9460"/>
                <w:tab w:val="right" w:pos="10080"/>
              </w:tabs>
              <w:ind w:left="284" w:right="-57"/>
              <w:jc w:val="both"/>
              <w:rPr>
                <w:b/>
                <w:bCs w:val="0"/>
                <w:i/>
                <w:sz w:val="18"/>
                <w:szCs w:val="18"/>
                <w:u w:val="single"/>
              </w:rPr>
            </w:pPr>
            <w:r w:rsidRPr="00B8576F">
              <w:rPr>
                <w:b/>
                <w:bCs w:val="0"/>
                <w:i/>
                <w:sz w:val="18"/>
                <w:szCs w:val="18"/>
                <w:u w:val="single"/>
              </w:rPr>
              <w:t xml:space="preserve">Determining </w:t>
            </w:r>
            <w:r w:rsidRPr="00B8576F">
              <w:rPr>
                <w:b/>
                <w:bCs w:val="0"/>
                <w:sz w:val="18"/>
                <w:szCs w:val="18"/>
                <w:u w:val="single"/>
              </w:rPr>
              <w:t>Recoverable</w:t>
            </w:r>
            <w:r w:rsidRPr="00B8576F">
              <w:rPr>
                <w:b/>
                <w:bCs w:val="0"/>
                <w:i/>
                <w:sz w:val="18"/>
                <w:szCs w:val="18"/>
                <w:u w:val="single"/>
              </w:rPr>
              <w:t xml:space="preserve"> Amount of Financial Assets</w:t>
            </w:r>
          </w:p>
        </w:tc>
      </w:tr>
      <w:tr w:rsidR="00497C83" w:rsidRPr="0013526B" w14:paraId="45C7EE31" w14:textId="77777777" w:rsidTr="00A811B5">
        <w:tc>
          <w:tcPr>
            <w:tcW w:w="4598" w:type="dxa"/>
            <w:tcBorders>
              <w:top w:val="nil"/>
              <w:left w:val="nil"/>
              <w:bottom w:val="nil"/>
              <w:right w:val="nil"/>
            </w:tcBorders>
          </w:tcPr>
          <w:p w14:paraId="3F40DABD" w14:textId="77777777" w:rsidR="00497C83" w:rsidRPr="0013526B" w:rsidRDefault="00497C83" w:rsidP="00A811B5">
            <w:pPr>
              <w:ind w:left="252" w:right="-57"/>
              <w:jc w:val="both"/>
              <w:rPr>
                <w:bCs w:val="0"/>
                <w:sz w:val="18"/>
                <w:szCs w:val="18"/>
                <w:u w:val="single"/>
              </w:rPr>
            </w:pPr>
          </w:p>
        </w:tc>
        <w:tc>
          <w:tcPr>
            <w:tcW w:w="4599" w:type="dxa"/>
            <w:tcBorders>
              <w:top w:val="nil"/>
              <w:left w:val="nil"/>
              <w:bottom w:val="nil"/>
              <w:right w:val="nil"/>
            </w:tcBorders>
          </w:tcPr>
          <w:p w14:paraId="361459DB" w14:textId="77777777" w:rsidR="00497C83" w:rsidRPr="0013526B" w:rsidRDefault="00497C83" w:rsidP="00A811B5">
            <w:pPr>
              <w:tabs>
                <w:tab w:val="left" w:pos="5590"/>
                <w:tab w:val="right" w:pos="7620"/>
                <w:tab w:val="right" w:pos="9460"/>
                <w:tab w:val="right" w:pos="10080"/>
              </w:tabs>
              <w:ind w:left="434" w:right="-57"/>
              <w:jc w:val="both"/>
              <w:rPr>
                <w:bCs w:val="0"/>
                <w:i/>
                <w:sz w:val="18"/>
                <w:szCs w:val="18"/>
                <w:u w:val="single"/>
              </w:rPr>
            </w:pPr>
          </w:p>
        </w:tc>
      </w:tr>
      <w:tr w:rsidR="00497C83" w:rsidRPr="0013526B" w14:paraId="6E06CC51" w14:textId="77777777" w:rsidTr="00A811B5">
        <w:tc>
          <w:tcPr>
            <w:tcW w:w="4598" w:type="dxa"/>
            <w:tcBorders>
              <w:top w:val="nil"/>
              <w:left w:val="nil"/>
              <w:bottom w:val="nil"/>
              <w:right w:val="nil"/>
            </w:tcBorders>
          </w:tcPr>
          <w:p w14:paraId="22099A28" w14:textId="0EFCACF7" w:rsidR="00497C83" w:rsidRPr="0013526B" w:rsidRDefault="00497C83" w:rsidP="004E4129">
            <w:pPr>
              <w:ind w:left="284" w:right="-57"/>
              <w:jc w:val="both"/>
              <w:rPr>
                <w:bCs w:val="0"/>
                <w:sz w:val="18"/>
                <w:szCs w:val="18"/>
              </w:rPr>
            </w:pPr>
            <w:r w:rsidRPr="0013526B">
              <w:rPr>
                <w:bCs w:val="0"/>
                <w:sz w:val="18"/>
                <w:szCs w:val="18"/>
              </w:rPr>
              <w:t>Kelompok Usaha mengevaluasi akun tertentu yang diketahui bahwa pelanggan tertentu tidak dapat memenuhi liabilitas keuangannya. Dalam hal tersebut</w:t>
            </w:r>
            <w:r w:rsidR="00870FD0">
              <w:rPr>
                <w:bCs w:val="0"/>
                <w:sz w:val="18"/>
                <w:szCs w:val="18"/>
              </w:rPr>
              <w:t>.</w:t>
            </w:r>
            <w:r w:rsidRPr="0013526B">
              <w:rPr>
                <w:bCs w:val="0"/>
                <w:sz w:val="18"/>
                <w:szCs w:val="18"/>
              </w:rPr>
              <w:t xml:space="preserve"> Kelompok Usaha menggunakan pertimbangan berdasarkan fakta dan situasi yang tersedia</w:t>
            </w:r>
            <w:r w:rsidR="00F32DFB">
              <w:rPr>
                <w:bCs w:val="0"/>
                <w:sz w:val="18"/>
                <w:szCs w:val="18"/>
              </w:rPr>
              <w:t>,</w:t>
            </w:r>
            <w:r w:rsidRPr="0013526B">
              <w:rPr>
                <w:bCs w:val="0"/>
                <w:sz w:val="18"/>
                <w:szCs w:val="18"/>
              </w:rPr>
              <w:t xml:space="preserve"> termasuk namun tidak terbatas pada</w:t>
            </w:r>
            <w:r w:rsidR="00870FD0">
              <w:rPr>
                <w:bCs w:val="0"/>
                <w:sz w:val="18"/>
                <w:szCs w:val="18"/>
              </w:rPr>
              <w:t>.</w:t>
            </w:r>
            <w:r w:rsidRPr="0013526B">
              <w:rPr>
                <w:bCs w:val="0"/>
                <w:sz w:val="18"/>
                <w:szCs w:val="18"/>
              </w:rPr>
              <w:t xml:space="preserve"> </w:t>
            </w:r>
            <w:proofErr w:type="gramStart"/>
            <w:r w:rsidRPr="0013526B">
              <w:rPr>
                <w:bCs w:val="0"/>
                <w:sz w:val="18"/>
                <w:szCs w:val="18"/>
              </w:rPr>
              <w:t>jangka</w:t>
            </w:r>
            <w:proofErr w:type="gramEnd"/>
            <w:r w:rsidRPr="0013526B">
              <w:rPr>
                <w:bCs w:val="0"/>
                <w:sz w:val="18"/>
                <w:szCs w:val="18"/>
              </w:rPr>
              <w:t xml:space="preserve"> waktu dan hubungan dengan pelanggan dan status kredit dari pelanggan </w:t>
            </w:r>
            <w:r w:rsidRPr="0013526B">
              <w:rPr>
                <w:sz w:val="18"/>
                <w:szCs w:val="18"/>
              </w:rPr>
              <w:t>berdasarkan</w:t>
            </w:r>
            <w:r w:rsidRPr="0013526B">
              <w:rPr>
                <w:bCs w:val="0"/>
                <w:sz w:val="18"/>
                <w:szCs w:val="18"/>
              </w:rPr>
              <w:t xml:space="preserve"> catatan kredit dari pihak ketiga yang tersedia dan faktor pasar yang telah diketahui</w:t>
            </w:r>
            <w:r w:rsidR="00870FD0">
              <w:rPr>
                <w:bCs w:val="0"/>
                <w:sz w:val="18"/>
                <w:szCs w:val="18"/>
              </w:rPr>
              <w:t>.</w:t>
            </w:r>
            <w:r w:rsidRPr="0013526B">
              <w:rPr>
                <w:bCs w:val="0"/>
                <w:sz w:val="18"/>
                <w:szCs w:val="18"/>
              </w:rPr>
              <w:t xml:space="preserve"> </w:t>
            </w:r>
            <w:proofErr w:type="gramStart"/>
            <w:r w:rsidRPr="0013526B">
              <w:rPr>
                <w:bCs w:val="0"/>
                <w:sz w:val="18"/>
                <w:szCs w:val="18"/>
              </w:rPr>
              <w:t>untuk</w:t>
            </w:r>
            <w:proofErr w:type="gramEnd"/>
            <w:r w:rsidRPr="0013526B">
              <w:rPr>
                <w:bCs w:val="0"/>
                <w:sz w:val="18"/>
                <w:szCs w:val="18"/>
              </w:rPr>
              <w:t xml:space="preserve"> mencatat penyisihan spesifik atas pelanggan terhadap jumlah terutang guna mengurangi jumlah piutang yang diharapkan dapat diterima oleh Kelompok Usaha. Penyisihan spesifik ini dievaluasi kembali dan disesuaikan jika tambahan informasi yang diterima </w:t>
            </w:r>
            <w:r w:rsidRPr="005704C5">
              <w:rPr>
                <w:bCs w:val="0"/>
                <w:sz w:val="18"/>
                <w:szCs w:val="18"/>
              </w:rPr>
              <w:t xml:space="preserve">mempengaruhi jumlah penyisihan atas penurunan nilai piutang. Penjelasan lebih rinci diungkapkan dalam catatan </w:t>
            </w:r>
            <w:r w:rsidR="004E4129">
              <w:rPr>
                <w:bCs w:val="0"/>
                <w:sz w:val="18"/>
                <w:szCs w:val="18"/>
              </w:rPr>
              <w:t>39</w:t>
            </w:r>
            <w:r w:rsidRPr="005704C5">
              <w:rPr>
                <w:bCs w:val="0"/>
                <w:sz w:val="18"/>
                <w:szCs w:val="18"/>
              </w:rPr>
              <w:t>.</w:t>
            </w:r>
          </w:p>
        </w:tc>
        <w:tc>
          <w:tcPr>
            <w:tcW w:w="4599" w:type="dxa"/>
            <w:tcBorders>
              <w:top w:val="nil"/>
              <w:left w:val="nil"/>
              <w:bottom w:val="nil"/>
              <w:right w:val="nil"/>
            </w:tcBorders>
          </w:tcPr>
          <w:p w14:paraId="656BA787" w14:textId="112764FE" w:rsidR="00497C83" w:rsidRPr="0013526B" w:rsidRDefault="00497C83" w:rsidP="004E4129">
            <w:pPr>
              <w:tabs>
                <w:tab w:val="left" w:pos="5590"/>
                <w:tab w:val="right" w:pos="7620"/>
                <w:tab w:val="right" w:pos="9460"/>
                <w:tab w:val="right" w:pos="10080"/>
              </w:tabs>
              <w:ind w:left="284" w:right="-57"/>
              <w:jc w:val="both"/>
              <w:rPr>
                <w:i/>
                <w:iCs/>
                <w:sz w:val="18"/>
                <w:szCs w:val="18"/>
              </w:rPr>
            </w:pPr>
            <w:r w:rsidRPr="0013526B">
              <w:rPr>
                <w:i/>
                <w:iCs/>
                <w:sz w:val="18"/>
                <w:szCs w:val="18"/>
              </w:rPr>
              <w:t xml:space="preserve">The Group evaluates specific accounts where it has </w:t>
            </w:r>
            <w:r w:rsidRPr="0013526B">
              <w:rPr>
                <w:bCs w:val="0"/>
                <w:i/>
                <w:sz w:val="18"/>
                <w:szCs w:val="18"/>
              </w:rPr>
              <w:t>information</w:t>
            </w:r>
            <w:r w:rsidRPr="0013526B">
              <w:rPr>
                <w:i/>
                <w:iCs/>
                <w:sz w:val="18"/>
                <w:szCs w:val="18"/>
              </w:rPr>
              <w:t xml:space="preserve"> that a particular customer cannot meet its financial liabilities. In this case</w:t>
            </w:r>
            <w:r w:rsidR="00F32DFB">
              <w:rPr>
                <w:i/>
                <w:iCs/>
                <w:sz w:val="18"/>
                <w:szCs w:val="18"/>
              </w:rPr>
              <w:t>,</w:t>
            </w:r>
            <w:r w:rsidRPr="0013526B">
              <w:rPr>
                <w:i/>
                <w:iCs/>
                <w:sz w:val="18"/>
                <w:szCs w:val="18"/>
              </w:rPr>
              <w:t xml:space="preserve"> the Group uses judgment based on available facts and circumstances</w:t>
            </w:r>
            <w:r w:rsidR="00870FD0">
              <w:rPr>
                <w:i/>
                <w:iCs/>
                <w:sz w:val="18"/>
                <w:szCs w:val="18"/>
              </w:rPr>
              <w:t>.</w:t>
            </w:r>
            <w:r w:rsidRPr="0013526B">
              <w:rPr>
                <w:i/>
                <w:iCs/>
                <w:sz w:val="18"/>
                <w:szCs w:val="18"/>
              </w:rPr>
              <w:t xml:space="preserve"> </w:t>
            </w:r>
            <w:proofErr w:type="gramStart"/>
            <w:r w:rsidRPr="0013526B">
              <w:rPr>
                <w:i/>
                <w:iCs/>
                <w:sz w:val="18"/>
                <w:szCs w:val="18"/>
              </w:rPr>
              <w:t>including</w:t>
            </w:r>
            <w:proofErr w:type="gramEnd"/>
            <w:r w:rsidRPr="0013526B">
              <w:rPr>
                <w:i/>
                <w:iCs/>
                <w:sz w:val="18"/>
                <w:szCs w:val="18"/>
              </w:rPr>
              <w:t xml:space="preserve"> but not limited to</w:t>
            </w:r>
            <w:r w:rsidR="00F32DFB">
              <w:rPr>
                <w:i/>
                <w:iCs/>
                <w:sz w:val="18"/>
                <w:szCs w:val="18"/>
              </w:rPr>
              <w:t>,</w:t>
            </w:r>
            <w:r w:rsidRPr="0013526B">
              <w:rPr>
                <w:i/>
                <w:iCs/>
                <w:sz w:val="18"/>
                <w:szCs w:val="18"/>
              </w:rPr>
              <w:t xml:space="preserve"> terms and relationships with customers and the credit status of customers based on available credit records from third parties and known market factors</w:t>
            </w:r>
            <w:r w:rsidR="00F32DFB">
              <w:rPr>
                <w:i/>
                <w:iCs/>
                <w:sz w:val="18"/>
                <w:szCs w:val="18"/>
              </w:rPr>
              <w:t>,</w:t>
            </w:r>
            <w:r w:rsidRPr="0013526B">
              <w:rPr>
                <w:i/>
                <w:iCs/>
                <w:sz w:val="18"/>
                <w:szCs w:val="18"/>
              </w:rPr>
              <w:t xml:space="preserve"> to record specific allowance for the customer against the amount owed in order to reduce the amount of the receivables that the Group expects to collect. Specific allowance is re-evaluated and adjusted if additional information received affects the amount of allowance for impairment of receivables. More detailed information is </w:t>
            </w:r>
            <w:r w:rsidRPr="005704C5">
              <w:rPr>
                <w:i/>
                <w:iCs/>
                <w:sz w:val="18"/>
                <w:szCs w:val="18"/>
              </w:rPr>
              <w:t xml:space="preserve">disclosed in note </w:t>
            </w:r>
            <w:r w:rsidR="004E4129">
              <w:rPr>
                <w:i/>
                <w:iCs/>
                <w:sz w:val="18"/>
                <w:szCs w:val="18"/>
              </w:rPr>
              <w:t>39</w:t>
            </w:r>
            <w:r w:rsidRPr="005704C5">
              <w:rPr>
                <w:i/>
                <w:iCs/>
                <w:sz w:val="18"/>
                <w:szCs w:val="18"/>
              </w:rPr>
              <w:t>.</w:t>
            </w:r>
          </w:p>
        </w:tc>
      </w:tr>
    </w:tbl>
    <w:p w14:paraId="76A8B15F" w14:textId="14FB9AE7" w:rsidR="002F03EF" w:rsidRPr="002F03EF" w:rsidRDefault="002F03EF">
      <w:pPr>
        <w:rPr>
          <w:sz w:val="6"/>
          <w:szCs w:val="6"/>
        </w:rPr>
      </w:pPr>
      <w:r>
        <w:rPr>
          <w:sz w:val="6"/>
          <w:szCs w:val="6"/>
        </w:rPr>
        <w:br w:type="page"/>
      </w:r>
    </w:p>
    <w:tbl>
      <w:tblPr>
        <w:tblW w:w="9197" w:type="dxa"/>
        <w:tblInd w:w="392" w:type="dxa"/>
        <w:tblLayout w:type="fixed"/>
        <w:tblLook w:val="0000" w:firstRow="0" w:lastRow="0" w:firstColumn="0" w:lastColumn="0" w:noHBand="0" w:noVBand="0"/>
      </w:tblPr>
      <w:tblGrid>
        <w:gridCol w:w="4598"/>
        <w:gridCol w:w="4599"/>
      </w:tblGrid>
      <w:tr w:rsidR="002F03EF" w:rsidRPr="0013526B" w14:paraId="0DF7DAD5" w14:textId="77777777" w:rsidTr="004F376A">
        <w:tc>
          <w:tcPr>
            <w:tcW w:w="4598" w:type="dxa"/>
            <w:tcBorders>
              <w:top w:val="nil"/>
              <w:left w:val="nil"/>
              <w:bottom w:val="nil"/>
              <w:right w:val="nil"/>
            </w:tcBorders>
          </w:tcPr>
          <w:p w14:paraId="7C639368" w14:textId="77777777" w:rsidR="002F03EF" w:rsidRPr="0013526B" w:rsidRDefault="002F03EF" w:rsidP="00070D1F">
            <w:pPr>
              <w:pStyle w:val="ListParagraph"/>
              <w:numPr>
                <w:ilvl w:val="0"/>
                <w:numId w:val="84"/>
              </w:numPr>
              <w:ind w:left="284" w:right="-57" w:hanging="284"/>
              <w:contextualSpacing/>
              <w:jc w:val="both"/>
              <w:rPr>
                <w:sz w:val="18"/>
                <w:szCs w:val="18"/>
              </w:rPr>
            </w:pPr>
            <w:r w:rsidRPr="0013526B">
              <w:rPr>
                <w:sz w:val="18"/>
                <w:szCs w:val="18"/>
              </w:rPr>
              <w:lastRenderedPageBreak/>
              <w:br w:type="page"/>
            </w:r>
            <w:r w:rsidRPr="0013526B">
              <w:rPr>
                <w:b/>
                <w:bCs w:val="0"/>
                <w:sz w:val="18"/>
                <w:szCs w:val="18"/>
              </w:rPr>
              <w:t>ESTIMASI DAN PERTIMBANGAN AKUNTANSI YANG PENTING - Lanjutan</w:t>
            </w:r>
          </w:p>
        </w:tc>
        <w:tc>
          <w:tcPr>
            <w:tcW w:w="4598" w:type="dxa"/>
            <w:tcBorders>
              <w:top w:val="nil"/>
              <w:left w:val="nil"/>
              <w:bottom w:val="nil"/>
              <w:right w:val="nil"/>
            </w:tcBorders>
          </w:tcPr>
          <w:p w14:paraId="131B00BC" w14:textId="77777777" w:rsidR="002F03EF" w:rsidRPr="0013526B" w:rsidRDefault="002F03EF" w:rsidP="00070D1F">
            <w:pPr>
              <w:pStyle w:val="ListParagraph"/>
              <w:numPr>
                <w:ilvl w:val="0"/>
                <w:numId w:val="85"/>
              </w:numPr>
              <w:ind w:left="284" w:right="-57" w:hanging="284"/>
              <w:contextualSpacing/>
              <w:jc w:val="both"/>
              <w:rPr>
                <w:b/>
                <w:bCs w:val="0"/>
                <w:i/>
                <w:sz w:val="18"/>
                <w:szCs w:val="18"/>
              </w:rPr>
            </w:pPr>
            <w:r w:rsidRPr="0013526B">
              <w:rPr>
                <w:b/>
                <w:bCs w:val="0"/>
                <w:i/>
                <w:sz w:val="18"/>
                <w:szCs w:val="18"/>
              </w:rPr>
              <w:t>ESTIMATES AND JUDGEMENT OF SIGNIFICANT ACCOUNTING - Continued</w:t>
            </w:r>
          </w:p>
        </w:tc>
      </w:tr>
    </w:tbl>
    <w:p w14:paraId="1458A3A9" w14:textId="77777777" w:rsidR="002F03EF" w:rsidRPr="005B552A" w:rsidRDefault="002F03EF">
      <w:pPr>
        <w:rPr>
          <w:sz w:val="18"/>
        </w:rPr>
      </w:pPr>
    </w:p>
    <w:tbl>
      <w:tblPr>
        <w:tblW w:w="9197" w:type="dxa"/>
        <w:tblInd w:w="392" w:type="dxa"/>
        <w:tblLayout w:type="fixed"/>
        <w:tblLook w:val="0000" w:firstRow="0" w:lastRow="0" w:firstColumn="0" w:lastColumn="0" w:noHBand="0" w:noVBand="0"/>
      </w:tblPr>
      <w:tblGrid>
        <w:gridCol w:w="4598"/>
        <w:gridCol w:w="4599"/>
      </w:tblGrid>
      <w:tr w:rsidR="005B552A" w:rsidRPr="00B8576F" w14:paraId="078EE739" w14:textId="77777777" w:rsidTr="00497C83">
        <w:tc>
          <w:tcPr>
            <w:tcW w:w="4598" w:type="dxa"/>
            <w:tcBorders>
              <w:top w:val="nil"/>
              <w:left w:val="nil"/>
              <w:bottom w:val="nil"/>
              <w:right w:val="nil"/>
            </w:tcBorders>
          </w:tcPr>
          <w:p w14:paraId="02F9948E" w14:textId="3525AC4C" w:rsidR="005B552A" w:rsidRPr="00B8576F" w:rsidRDefault="005B552A" w:rsidP="00007C5F">
            <w:pPr>
              <w:ind w:left="293" w:right="-57"/>
              <w:jc w:val="both"/>
              <w:rPr>
                <w:bCs w:val="0"/>
                <w:sz w:val="18"/>
                <w:szCs w:val="18"/>
                <w:u w:val="single"/>
              </w:rPr>
            </w:pPr>
            <w:r w:rsidRPr="00B8576F">
              <w:rPr>
                <w:b/>
                <w:sz w:val="18"/>
                <w:szCs w:val="18"/>
                <w:u w:val="single"/>
              </w:rPr>
              <w:t>Menentukan Jumlah Terpulihkan dari Aset Non-Keuangan</w:t>
            </w:r>
            <w:r w:rsidR="00497C83">
              <w:rPr>
                <w:b/>
                <w:sz w:val="18"/>
                <w:szCs w:val="18"/>
                <w:u w:val="single"/>
              </w:rPr>
              <w:t xml:space="preserve"> - Lanjutan</w:t>
            </w:r>
          </w:p>
        </w:tc>
        <w:tc>
          <w:tcPr>
            <w:tcW w:w="4599" w:type="dxa"/>
            <w:tcBorders>
              <w:top w:val="nil"/>
              <w:left w:val="nil"/>
              <w:bottom w:val="nil"/>
              <w:right w:val="nil"/>
            </w:tcBorders>
          </w:tcPr>
          <w:p w14:paraId="3BC4CA3A" w14:textId="49BFDF10" w:rsidR="005B552A" w:rsidRPr="00B8576F" w:rsidRDefault="005B552A" w:rsidP="005B552A">
            <w:pPr>
              <w:tabs>
                <w:tab w:val="left" w:pos="5590"/>
                <w:tab w:val="right" w:pos="7620"/>
                <w:tab w:val="right" w:pos="9460"/>
                <w:tab w:val="right" w:pos="10080"/>
              </w:tabs>
              <w:ind w:left="290" w:right="-57"/>
              <w:jc w:val="both"/>
              <w:rPr>
                <w:bCs w:val="0"/>
                <w:i/>
                <w:sz w:val="18"/>
                <w:szCs w:val="18"/>
                <w:u w:val="single"/>
              </w:rPr>
            </w:pPr>
            <w:r w:rsidRPr="00B8576F">
              <w:rPr>
                <w:b/>
                <w:i/>
                <w:sz w:val="18"/>
                <w:szCs w:val="18"/>
                <w:u w:val="single"/>
              </w:rPr>
              <w:t>Determining Recoverable Amount of Non-financial Assets</w:t>
            </w:r>
            <w:r w:rsidR="00497C83">
              <w:rPr>
                <w:b/>
                <w:i/>
                <w:sz w:val="18"/>
                <w:szCs w:val="18"/>
                <w:u w:val="single"/>
              </w:rPr>
              <w:t xml:space="preserve"> - Continued</w:t>
            </w:r>
          </w:p>
        </w:tc>
      </w:tr>
      <w:tr w:rsidR="005B552A" w:rsidRPr="0013526B" w14:paraId="768CCE1A" w14:textId="77777777" w:rsidTr="00497C83">
        <w:tc>
          <w:tcPr>
            <w:tcW w:w="4598" w:type="dxa"/>
            <w:tcBorders>
              <w:top w:val="nil"/>
              <w:left w:val="nil"/>
              <w:bottom w:val="nil"/>
              <w:right w:val="nil"/>
            </w:tcBorders>
          </w:tcPr>
          <w:p w14:paraId="18E2112D" w14:textId="77777777" w:rsidR="005B552A" w:rsidRPr="0013526B" w:rsidRDefault="005B552A" w:rsidP="0013526B">
            <w:pPr>
              <w:ind w:left="252" w:right="-57"/>
              <w:jc w:val="both"/>
              <w:rPr>
                <w:bCs w:val="0"/>
                <w:sz w:val="18"/>
                <w:szCs w:val="18"/>
              </w:rPr>
            </w:pPr>
          </w:p>
        </w:tc>
        <w:tc>
          <w:tcPr>
            <w:tcW w:w="4599" w:type="dxa"/>
            <w:tcBorders>
              <w:top w:val="nil"/>
              <w:left w:val="nil"/>
              <w:bottom w:val="nil"/>
              <w:right w:val="nil"/>
            </w:tcBorders>
          </w:tcPr>
          <w:p w14:paraId="33B9B621" w14:textId="77777777" w:rsidR="005B552A" w:rsidRPr="0013526B" w:rsidRDefault="005B552A" w:rsidP="0013526B">
            <w:pPr>
              <w:tabs>
                <w:tab w:val="left" w:pos="5590"/>
                <w:tab w:val="right" w:pos="7620"/>
                <w:tab w:val="right" w:pos="9460"/>
                <w:tab w:val="right" w:pos="10080"/>
              </w:tabs>
              <w:ind w:left="434" w:right="-57"/>
              <w:jc w:val="both"/>
              <w:rPr>
                <w:bCs w:val="0"/>
                <w:i/>
                <w:sz w:val="18"/>
                <w:szCs w:val="18"/>
              </w:rPr>
            </w:pPr>
          </w:p>
        </w:tc>
      </w:tr>
      <w:tr w:rsidR="005B552A" w:rsidRPr="0013526B" w14:paraId="673AA169" w14:textId="77777777" w:rsidTr="00497C83">
        <w:tc>
          <w:tcPr>
            <w:tcW w:w="4598" w:type="dxa"/>
            <w:tcBorders>
              <w:top w:val="nil"/>
              <w:left w:val="nil"/>
              <w:bottom w:val="nil"/>
              <w:right w:val="nil"/>
            </w:tcBorders>
          </w:tcPr>
          <w:p w14:paraId="09093B33" w14:textId="0B81D523" w:rsidR="005B552A" w:rsidRPr="0013526B" w:rsidRDefault="005B552A" w:rsidP="00F32DFB">
            <w:pPr>
              <w:ind w:left="284" w:right="-57"/>
              <w:jc w:val="both"/>
              <w:rPr>
                <w:bCs w:val="0"/>
                <w:sz w:val="18"/>
                <w:szCs w:val="18"/>
              </w:rPr>
            </w:pPr>
            <w:r w:rsidRPr="0013526B">
              <w:rPr>
                <w:bCs w:val="0"/>
                <w:sz w:val="18"/>
                <w:szCs w:val="18"/>
              </w:rPr>
              <w:t>Penyisihan penurunan nilai pasar dan keusangan persediaan diestimasi berdasarkan fakta dan situasi yang tersedia</w:t>
            </w:r>
            <w:r w:rsidR="00F32DFB">
              <w:rPr>
                <w:bCs w:val="0"/>
                <w:sz w:val="18"/>
                <w:szCs w:val="18"/>
              </w:rPr>
              <w:t>,</w:t>
            </w:r>
            <w:r w:rsidRPr="0013526B">
              <w:rPr>
                <w:bCs w:val="0"/>
                <w:sz w:val="18"/>
                <w:szCs w:val="18"/>
              </w:rPr>
              <w:t xml:space="preserve"> termasuk namun tidak terbatas pada</w:t>
            </w:r>
            <w:r w:rsidR="00F32DFB">
              <w:rPr>
                <w:bCs w:val="0"/>
                <w:sz w:val="18"/>
                <w:szCs w:val="18"/>
              </w:rPr>
              <w:t>,</w:t>
            </w:r>
            <w:r w:rsidRPr="0013526B">
              <w:rPr>
                <w:bCs w:val="0"/>
                <w:sz w:val="18"/>
                <w:szCs w:val="18"/>
              </w:rPr>
              <w:t xml:space="preserve"> kondisi fisik persediaan yang dimiliki</w:t>
            </w:r>
            <w:r w:rsidR="00F32DFB">
              <w:rPr>
                <w:bCs w:val="0"/>
                <w:sz w:val="18"/>
                <w:szCs w:val="18"/>
              </w:rPr>
              <w:t>,</w:t>
            </w:r>
            <w:r w:rsidRPr="0013526B">
              <w:rPr>
                <w:bCs w:val="0"/>
                <w:sz w:val="18"/>
                <w:szCs w:val="18"/>
              </w:rPr>
              <w:t xml:space="preserve"> harga jual pasar</w:t>
            </w:r>
            <w:r w:rsidR="00F32DFB">
              <w:rPr>
                <w:bCs w:val="0"/>
                <w:sz w:val="18"/>
                <w:szCs w:val="18"/>
              </w:rPr>
              <w:t>,</w:t>
            </w:r>
            <w:r w:rsidRPr="0013526B">
              <w:rPr>
                <w:bCs w:val="0"/>
                <w:sz w:val="18"/>
                <w:szCs w:val="18"/>
              </w:rPr>
              <w:t xml:space="preserve"> estimasi biaya penyelesaian dan estimasi biaya yang timbul untuk penjualan.</w:t>
            </w:r>
          </w:p>
        </w:tc>
        <w:tc>
          <w:tcPr>
            <w:tcW w:w="4599" w:type="dxa"/>
            <w:tcBorders>
              <w:top w:val="nil"/>
              <w:left w:val="nil"/>
              <w:bottom w:val="nil"/>
              <w:right w:val="nil"/>
            </w:tcBorders>
          </w:tcPr>
          <w:p w14:paraId="4230DA7C" w14:textId="4F416099" w:rsidR="005B552A" w:rsidRPr="0013526B" w:rsidRDefault="005B552A" w:rsidP="00F32DFB">
            <w:pPr>
              <w:tabs>
                <w:tab w:val="left" w:pos="5590"/>
                <w:tab w:val="right" w:pos="7620"/>
                <w:tab w:val="right" w:pos="9460"/>
                <w:tab w:val="right" w:pos="10080"/>
              </w:tabs>
              <w:ind w:left="284" w:right="-57"/>
              <w:jc w:val="both"/>
              <w:rPr>
                <w:bCs w:val="0"/>
                <w:i/>
                <w:sz w:val="18"/>
                <w:szCs w:val="18"/>
              </w:rPr>
            </w:pPr>
            <w:r w:rsidRPr="0013526B">
              <w:rPr>
                <w:i/>
                <w:iCs/>
                <w:sz w:val="18"/>
                <w:szCs w:val="18"/>
              </w:rPr>
              <w:t>Provision</w:t>
            </w:r>
            <w:r w:rsidRPr="0013526B">
              <w:rPr>
                <w:bCs w:val="0"/>
                <w:i/>
                <w:sz w:val="18"/>
                <w:szCs w:val="18"/>
              </w:rPr>
              <w:t xml:space="preserve"> for decline in market value and obsolescence of inventories is estimated based on available facts and circumstances</w:t>
            </w:r>
            <w:r w:rsidR="00F32DFB">
              <w:rPr>
                <w:bCs w:val="0"/>
                <w:i/>
                <w:sz w:val="18"/>
                <w:szCs w:val="18"/>
              </w:rPr>
              <w:t>,</w:t>
            </w:r>
            <w:r w:rsidRPr="0013526B">
              <w:rPr>
                <w:bCs w:val="0"/>
                <w:i/>
                <w:sz w:val="18"/>
                <w:szCs w:val="18"/>
              </w:rPr>
              <w:t xml:space="preserve"> including but not limited to</w:t>
            </w:r>
            <w:r w:rsidR="00F32DFB">
              <w:rPr>
                <w:bCs w:val="0"/>
                <w:i/>
                <w:sz w:val="18"/>
                <w:szCs w:val="18"/>
              </w:rPr>
              <w:t>,</w:t>
            </w:r>
            <w:r w:rsidRPr="0013526B">
              <w:rPr>
                <w:bCs w:val="0"/>
                <w:i/>
                <w:sz w:val="18"/>
                <w:szCs w:val="18"/>
              </w:rPr>
              <w:t xml:space="preserve"> the physical condition of inventory on hand</w:t>
            </w:r>
            <w:r w:rsidR="00F32DFB">
              <w:rPr>
                <w:bCs w:val="0"/>
                <w:i/>
                <w:sz w:val="18"/>
                <w:szCs w:val="18"/>
              </w:rPr>
              <w:t>,</w:t>
            </w:r>
            <w:r w:rsidRPr="0013526B">
              <w:rPr>
                <w:bCs w:val="0"/>
                <w:i/>
                <w:sz w:val="18"/>
                <w:szCs w:val="18"/>
              </w:rPr>
              <w:t xml:space="preserve"> the selling price of the market</w:t>
            </w:r>
            <w:r w:rsidR="00F32DFB">
              <w:rPr>
                <w:bCs w:val="0"/>
                <w:i/>
                <w:sz w:val="18"/>
                <w:szCs w:val="18"/>
              </w:rPr>
              <w:t>,</w:t>
            </w:r>
            <w:r w:rsidRPr="0013526B">
              <w:rPr>
                <w:bCs w:val="0"/>
                <w:i/>
                <w:sz w:val="18"/>
                <w:szCs w:val="18"/>
              </w:rPr>
              <w:t xml:space="preserve"> estimated costs of completion and the estimated costs incurred for the sale.</w:t>
            </w:r>
          </w:p>
        </w:tc>
      </w:tr>
      <w:tr w:rsidR="005B552A" w:rsidRPr="0013526B" w14:paraId="7E32E973" w14:textId="77777777" w:rsidTr="00497C83">
        <w:tc>
          <w:tcPr>
            <w:tcW w:w="4598" w:type="dxa"/>
            <w:tcBorders>
              <w:top w:val="nil"/>
              <w:left w:val="nil"/>
              <w:bottom w:val="nil"/>
              <w:right w:val="nil"/>
            </w:tcBorders>
          </w:tcPr>
          <w:p w14:paraId="4F4F153B" w14:textId="77777777" w:rsidR="005B552A" w:rsidRPr="0013526B" w:rsidRDefault="005B552A" w:rsidP="0013526B">
            <w:pPr>
              <w:ind w:left="252" w:right="-57"/>
              <w:jc w:val="both"/>
              <w:rPr>
                <w:bCs w:val="0"/>
                <w:sz w:val="18"/>
                <w:szCs w:val="18"/>
              </w:rPr>
            </w:pPr>
          </w:p>
        </w:tc>
        <w:tc>
          <w:tcPr>
            <w:tcW w:w="4599" w:type="dxa"/>
            <w:tcBorders>
              <w:top w:val="nil"/>
              <w:left w:val="nil"/>
              <w:bottom w:val="nil"/>
              <w:right w:val="nil"/>
            </w:tcBorders>
          </w:tcPr>
          <w:p w14:paraId="27EE5B57" w14:textId="77777777" w:rsidR="005B552A" w:rsidRPr="0013526B" w:rsidRDefault="005B552A" w:rsidP="0013526B">
            <w:pPr>
              <w:tabs>
                <w:tab w:val="left" w:pos="5590"/>
                <w:tab w:val="right" w:pos="7620"/>
                <w:tab w:val="right" w:pos="9460"/>
                <w:tab w:val="right" w:pos="10080"/>
              </w:tabs>
              <w:ind w:left="434" w:right="-57"/>
              <w:jc w:val="both"/>
              <w:rPr>
                <w:bCs w:val="0"/>
                <w:i/>
                <w:sz w:val="18"/>
                <w:szCs w:val="18"/>
              </w:rPr>
            </w:pPr>
          </w:p>
        </w:tc>
      </w:tr>
      <w:tr w:rsidR="005B552A" w:rsidRPr="0013526B" w14:paraId="3ACB2F3D" w14:textId="77777777" w:rsidTr="00497C83">
        <w:tc>
          <w:tcPr>
            <w:tcW w:w="4598" w:type="dxa"/>
            <w:tcBorders>
              <w:top w:val="nil"/>
              <w:left w:val="nil"/>
              <w:bottom w:val="nil"/>
              <w:right w:val="nil"/>
            </w:tcBorders>
          </w:tcPr>
          <w:p w14:paraId="0232E09C" w14:textId="77777777" w:rsidR="005B552A" w:rsidRPr="0013526B" w:rsidRDefault="005B552A" w:rsidP="0013526B">
            <w:pPr>
              <w:ind w:left="284" w:right="-57"/>
              <w:jc w:val="both"/>
              <w:rPr>
                <w:bCs w:val="0"/>
                <w:sz w:val="18"/>
                <w:szCs w:val="18"/>
              </w:rPr>
            </w:pPr>
            <w:r w:rsidRPr="0013526B">
              <w:rPr>
                <w:bCs w:val="0"/>
                <w:sz w:val="18"/>
                <w:szCs w:val="18"/>
              </w:rPr>
              <w:t>Provisi dievaluasi kembali dan disesuaikan jika tambahan informasi yang mempengaruhi jumlah yang diestimasi.</w:t>
            </w:r>
          </w:p>
        </w:tc>
        <w:tc>
          <w:tcPr>
            <w:tcW w:w="4599" w:type="dxa"/>
            <w:tcBorders>
              <w:top w:val="nil"/>
              <w:left w:val="nil"/>
              <w:bottom w:val="nil"/>
              <w:right w:val="nil"/>
            </w:tcBorders>
          </w:tcPr>
          <w:p w14:paraId="74DF6FA6" w14:textId="77777777" w:rsidR="005B552A" w:rsidRPr="0013526B" w:rsidRDefault="005B552A" w:rsidP="0013526B">
            <w:pPr>
              <w:tabs>
                <w:tab w:val="left" w:pos="5590"/>
                <w:tab w:val="right" w:pos="7620"/>
                <w:tab w:val="right" w:pos="9460"/>
                <w:tab w:val="right" w:pos="10080"/>
              </w:tabs>
              <w:ind w:left="284" w:right="-57"/>
              <w:jc w:val="both"/>
              <w:rPr>
                <w:bCs w:val="0"/>
                <w:i/>
                <w:sz w:val="18"/>
                <w:szCs w:val="18"/>
              </w:rPr>
            </w:pPr>
            <w:r w:rsidRPr="0013526B">
              <w:rPr>
                <w:bCs w:val="0"/>
                <w:i/>
                <w:sz w:val="18"/>
                <w:szCs w:val="18"/>
              </w:rPr>
              <w:t>Provision re-evaluated and adjusted if additional information that affect the estimated amounts.</w:t>
            </w:r>
          </w:p>
        </w:tc>
      </w:tr>
    </w:tbl>
    <w:p w14:paraId="6302EB39" w14:textId="77777777" w:rsidR="002F03EF" w:rsidRDefault="002F03EF">
      <w:pPr>
        <w:rPr>
          <w:sz w:val="6"/>
          <w:szCs w:val="6"/>
        </w:rPr>
      </w:pPr>
    </w:p>
    <w:p w14:paraId="0206E724" w14:textId="77777777" w:rsidR="002F03EF" w:rsidRDefault="002F03EF">
      <w:pPr>
        <w:rPr>
          <w:sz w:val="6"/>
          <w:szCs w:val="6"/>
        </w:rPr>
      </w:pPr>
    </w:p>
    <w:tbl>
      <w:tblPr>
        <w:tblW w:w="9197" w:type="dxa"/>
        <w:tblInd w:w="392" w:type="dxa"/>
        <w:tblLayout w:type="fixed"/>
        <w:tblLook w:val="0000" w:firstRow="0" w:lastRow="0" w:firstColumn="0" w:lastColumn="0" w:noHBand="0" w:noVBand="0"/>
      </w:tblPr>
      <w:tblGrid>
        <w:gridCol w:w="4598"/>
        <w:gridCol w:w="4599"/>
      </w:tblGrid>
      <w:tr w:rsidR="00497C83" w:rsidRPr="0013526B" w14:paraId="5E2899C2" w14:textId="77777777" w:rsidTr="00A811B5">
        <w:tc>
          <w:tcPr>
            <w:tcW w:w="4598" w:type="dxa"/>
            <w:tcBorders>
              <w:top w:val="nil"/>
              <w:left w:val="nil"/>
              <w:bottom w:val="nil"/>
              <w:right w:val="nil"/>
            </w:tcBorders>
          </w:tcPr>
          <w:p w14:paraId="5A623986" w14:textId="77777777" w:rsidR="00497C83" w:rsidRPr="0013526B" w:rsidRDefault="00497C83" w:rsidP="00A811B5">
            <w:pPr>
              <w:ind w:left="284" w:right="-57"/>
              <w:jc w:val="both"/>
              <w:rPr>
                <w:bCs w:val="0"/>
                <w:sz w:val="18"/>
                <w:szCs w:val="18"/>
              </w:rPr>
            </w:pPr>
            <w:r w:rsidRPr="0013526B">
              <w:rPr>
                <w:bCs w:val="0"/>
                <w:sz w:val="18"/>
                <w:szCs w:val="18"/>
              </w:rPr>
              <w:t>Jumlah pemulihan atas aset tetap didasarkan pada estimasi dan asumsi khususnya mengenai prospek pasar dan arus kas terkait dengan aset. Estimasi arus kas masa depan mencakup perkiraan mengenai pendapatan masa depan. Setiap perubahan dalam asumsi-asumsi ini mungkin memiliki dampak material terhadap pengukuran jumlah terpulihkan dan bisa mengakibatkan penyesuaian penyisihan penurunan nilai yang sudah dibukukan.</w:t>
            </w:r>
          </w:p>
        </w:tc>
        <w:tc>
          <w:tcPr>
            <w:tcW w:w="4598" w:type="dxa"/>
            <w:tcBorders>
              <w:top w:val="nil"/>
              <w:left w:val="nil"/>
              <w:bottom w:val="nil"/>
              <w:right w:val="nil"/>
            </w:tcBorders>
          </w:tcPr>
          <w:p w14:paraId="0545B475" w14:textId="1193AF3A" w:rsidR="00497C83" w:rsidRPr="0013526B" w:rsidRDefault="00497C83" w:rsidP="00A811B5">
            <w:pPr>
              <w:tabs>
                <w:tab w:val="left" w:pos="5590"/>
                <w:tab w:val="right" w:pos="7620"/>
                <w:tab w:val="right" w:pos="9460"/>
                <w:tab w:val="right" w:pos="10080"/>
              </w:tabs>
              <w:ind w:left="284" w:right="-57"/>
              <w:jc w:val="both"/>
              <w:rPr>
                <w:bCs w:val="0"/>
                <w:i/>
                <w:sz w:val="18"/>
                <w:szCs w:val="18"/>
              </w:rPr>
            </w:pPr>
            <w:r w:rsidRPr="0013526B">
              <w:rPr>
                <w:bCs w:val="0"/>
                <w:i/>
                <w:sz w:val="18"/>
                <w:szCs w:val="18"/>
              </w:rPr>
              <w:t>The recovery amounts of property</w:t>
            </w:r>
            <w:r w:rsidR="00870FD0">
              <w:rPr>
                <w:bCs w:val="0"/>
                <w:i/>
                <w:sz w:val="18"/>
                <w:szCs w:val="18"/>
              </w:rPr>
              <w:t>.</w:t>
            </w:r>
            <w:r w:rsidRPr="0013526B">
              <w:rPr>
                <w:bCs w:val="0"/>
                <w:i/>
                <w:sz w:val="18"/>
                <w:szCs w:val="18"/>
              </w:rPr>
              <w:t xml:space="preserve"> </w:t>
            </w:r>
            <w:proofErr w:type="gramStart"/>
            <w:r w:rsidRPr="0013526B">
              <w:rPr>
                <w:bCs w:val="0"/>
                <w:i/>
                <w:sz w:val="18"/>
                <w:szCs w:val="18"/>
              </w:rPr>
              <w:t>plant</w:t>
            </w:r>
            <w:proofErr w:type="gramEnd"/>
            <w:r w:rsidRPr="0013526B">
              <w:rPr>
                <w:bCs w:val="0"/>
                <w:i/>
                <w:sz w:val="18"/>
                <w:szCs w:val="18"/>
              </w:rPr>
              <w:t xml:space="preserve"> and equipment are based on estimates and assumptions especially about market prospects and cash flows associated with the asset. Estimates of future cash flows include estimates of future revenues. Any changes in these assumptions may have a material impact on the measurement of recoverable amount and could result in adjustments to the allowance for impairment already booked.</w:t>
            </w:r>
          </w:p>
        </w:tc>
      </w:tr>
    </w:tbl>
    <w:p w14:paraId="6DC52BC5" w14:textId="77777777" w:rsidR="00497C83" w:rsidRDefault="00497C83">
      <w:pPr>
        <w:rPr>
          <w:sz w:val="6"/>
          <w:szCs w:val="6"/>
        </w:rPr>
      </w:pPr>
    </w:p>
    <w:p w14:paraId="1A705ECA" w14:textId="77777777" w:rsidR="00497C83" w:rsidRDefault="00497C83">
      <w:pPr>
        <w:rPr>
          <w:sz w:val="6"/>
          <w:szCs w:val="6"/>
        </w:rPr>
      </w:pPr>
    </w:p>
    <w:tbl>
      <w:tblPr>
        <w:tblW w:w="9197" w:type="dxa"/>
        <w:tblInd w:w="392" w:type="dxa"/>
        <w:tblLayout w:type="fixed"/>
        <w:tblLook w:val="0000" w:firstRow="0" w:lastRow="0" w:firstColumn="0" w:lastColumn="0" w:noHBand="0" w:noVBand="0"/>
      </w:tblPr>
      <w:tblGrid>
        <w:gridCol w:w="4598"/>
        <w:gridCol w:w="4599"/>
      </w:tblGrid>
      <w:tr w:rsidR="00497C83" w:rsidRPr="00B8576F" w14:paraId="575811DF" w14:textId="77777777" w:rsidTr="00A811B5">
        <w:tc>
          <w:tcPr>
            <w:tcW w:w="4598" w:type="dxa"/>
            <w:tcBorders>
              <w:top w:val="nil"/>
              <w:left w:val="nil"/>
              <w:bottom w:val="nil"/>
              <w:right w:val="nil"/>
            </w:tcBorders>
          </w:tcPr>
          <w:p w14:paraId="63F11BEF" w14:textId="77777777" w:rsidR="00497C83" w:rsidRPr="00B8576F" w:rsidRDefault="00497C83" w:rsidP="00A811B5">
            <w:pPr>
              <w:ind w:left="284" w:right="-57"/>
              <w:jc w:val="both"/>
              <w:rPr>
                <w:b/>
                <w:bCs w:val="0"/>
                <w:sz w:val="18"/>
                <w:szCs w:val="18"/>
                <w:u w:val="single"/>
              </w:rPr>
            </w:pPr>
            <w:r w:rsidRPr="00B8576F">
              <w:rPr>
                <w:sz w:val="18"/>
                <w:szCs w:val="18"/>
                <w:u w:val="single"/>
              </w:rPr>
              <w:br w:type="page"/>
            </w:r>
            <w:r w:rsidRPr="00B8576F">
              <w:rPr>
                <w:b/>
                <w:bCs w:val="0"/>
                <w:sz w:val="18"/>
                <w:szCs w:val="18"/>
                <w:u w:val="single"/>
              </w:rPr>
              <w:t xml:space="preserve">Menentukan Metode Penyusutan dan Estimasi Masa Manfaat Aset Tetap </w:t>
            </w:r>
          </w:p>
        </w:tc>
        <w:tc>
          <w:tcPr>
            <w:tcW w:w="4598" w:type="dxa"/>
            <w:tcBorders>
              <w:top w:val="nil"/>
              <w:left w:val="nil"/>
              <w:bottom w:val="nil"/>
              <w:right w:val="nil"/>
            </w:tcBorders>
          </w:tcPr>
          <w:p w14:paraId="33C994A3" w14:textId="06FD2F7B" w:rsidR="00497C83" w:rsidRPr="00B8576F" w:rsidRDefault="00497C83" w:rsidP="00A811B5">
            <w:pPr>
              <w:tabs>
                <w:tab w:val="left" w:pos="5590"/>
                <w:tab w:val="right" w:pos="7620"/>
                <w:tab w:val="right" w:pos="9460"/>
                <w:tab w:val="right" w:pos="10080"/>
              </w:tabs>
              <w:ind w:left="284" w:right="-57"/>
              <w:jc w:val="both"/>
              <w:rPr>
                <w:b/>
                <w:bCs w:val="0"/>
                <w:i/>
                <w:sz w:val="18"/>
                <w:szCs w:val="18"/>
                <w:u w:val="single"/>
              </w:rPr>
            </w:pPr>
            <w:r w:rsidRPr="00B8576F">
              <w:rPr>
                <w:b/>
                <w:bCs w:val="0"/>
                <w:i/>
                <w:sz w:val="18"/>
                <w:szCs w:val="18"/>
                <w:u w:val="single"/>
              </w:rPr>
              <w:t>Determining Depreciation Method and Estimated Useful Lives of Property</w:t>
            </w:r>
            <w:r w:rsidR="00870FD0">
              <w:rPr>
                <w:b/>
                <w:bCs w:val="0"/>
                <w:i/>
                <w:sz w:val="18"/>
                <w:szCs w:val="18"/>
                <w:u w:val="single"/>
              </w:rPr>
              <w:t>.</w:t>
            </w:r>
            <w:r w:rsidRPr="00B8576F">
              <w:rPr>
                <w:b/>
                <w:bCs w:val="0"/>
                <w:i/>
                <w:sz w:val="18"/>
                <w:szCs w:val="18"/>
                <w:u w:val="single"/>
              </w:rPr>
              <w:t xml:space="preserve"> Plant and Equipment </w:t>
            </w:r>
          </w:p>
        </w:tc>
      </w:tr>
      <w:tr w:rsidR="00497C83" w:rsidRPr="0013526B" w14:paraId="4432E553" w14:textId="77777777" w:rsidTr="00A811B5">
        <w:tc>
          <w:tcPr>
            <w:tcW w:w="4598" w:type="dxa"/>
            <w:tcBorders>
              <w:top w:val="nil"/>
              <w:left w:val="nil"/>
              <w:bottom w:val="nil"/>
              <w:right w:val="nil"/>
            </w:tcBorders>
          </w:tcPr>
          <w:p w14:paraId="68B27DFD" w14:textId="77777777" w:rsidR="00497C83" w:rsidRPr="0013526B" w:rsidRDefault="00497C83" w:rsidP="00A811B5">
            <w:pPr>
              <w:pStyle w:val="ListParagraph"/>
              <w:ind w:left="284"/>
              <w:contextualSpacing/>
              <w:jc w:val="both"/>
              <w:rPr>
                <w:b/>
                <w:bCs w:val="0"/>
                <w:sz w:val="18"/>
                <w:szCs w:val="18"/>
              </w:rPr>
            </w:pPr>
          </w:p>
        </w:tc>
        <w:tc>
          <w:tcPr>
            <w:tcW w:w="4598" w:type="dxa"/>
            <w:tcBorders>
              <w:top w:val="nil"/>
              <w:left w:val="nil"/>
              <w:bottom w:val="nil"/>
              <w:right w:val="nil"/>
            </w:tcBorders>
          </w:tcPr>
          <w:p w14:paraId="229834EB" w14:textId="77777777" w:rsidR="00497C83" w:rsidRPr="0013526B" w:rsidRDefault="00497C83" w:rsidP="00A811B5">
            <w:pPr>
              <w:pStyle w:val="ListParagraph"/>
              <w:ind w:left="284"/>
              <w:contextualSpacing/>
              <w:jc w:val="both"/>
              <w:rPr>
                <w:b/>
                <w:bCs w:val="0"/>
                <w:i/>
                <w:sz w:val="18"/>
                <w:szCs w:val="18"/>
              </w:rPr>
            </w:pPr>
          </w:p>
        </w:tc>
      </w:tr>
      <w:tr w:rsidR="00497C83" w:rsidRPr="0013526B" w14:paraId="630DCABE" w14:textId="77777777" w:rsidTr="00A811B5">
        <w:tc>
          <w:tcPr>
            <w:tcW w:w="4598" w:type="dxa"/>
            <w:tcBorders>
              <w:top w:val="nil"/>
              <w:left w:val="nil"/>
              <w:bottom w:val="nil"/>
              <w:right w:val="nil"/>
            </w:tcBorders>
          </w:tcPr>
          <w:p w14:paraId="6F9485B4" w14:textId="77777777" w:rsidR="00497C83" w:rsidRPr="0013526B" w:rsidRDefault="00497C83" w:rsidP="00A811B5">
            <w:pPr>
              <w:ind w:left="284" w:right="-57"/>
              <w:jc w:val="both"/>
              <w:rPr>
                <w:bCs w:val="0"/>
                <w:sz w:val="18"/>
                <w:szCs w:val="18"/>
              </w:rPr>
            </w:pPr>
            <w:r w:rsidRPr="0013526B">
              <w:rPr>
                <w:bCs w:val="0"/>
                <w:sz w:val="18"/>
                <w:szCs w:val="18"/>
              </w:rPr>
              <w:t>Kelompok Usaha mengestimasi masa manfaat ekonomis asset tetap berdasarkan utilisasi dari aset yang diharapkan dan didukung</w:t>
            </w:r>
            <w:r>
              <w:rPr>
                <w:bCs w:val="0"/>
                <w:sz w:val="18"/>
                <w:szCs w:val="18"/>
              </w:rPr>
              <w:t xml:space="preserve"> </w:t>
            </w:r>
            <w:r w:rsidRPr="0013526B">
              <w:rPr>
                <w:bCs w:val="0"/>
                <w:sz w:val="18"/>
                <w:szCs w:val="18"/>
              </w:rPr>
              <w:t>dengan rencana dan strategi usaha dan perilaku pasar.</w:t>
            </w:r>
          </w:p>
        </w:tc>
        <w:tc>
          <w:tcPr>
            <w:tcW w:w="4598" w:type="dxa"/>
            <w:tcBorders>
              <w:top w:val="nil"/>
              <w:left w:val="nil"/>
              <w:bottom w:val="nil"/>
              <w:right w:val="nil"/>
            </w:tcBorders>
          </w:tcPr>
          <w:p w14:paraId="2FDA4174" w14:textId="0DF6B70D" w:rsidR="00497C83" w:rsidRPr="0013526B" w:rsidRDefault="00497C83" w:rsidP="00A811B5">
            <w:pPr>
              <w:tabs>
                <w:tab w:val="left" w:pos="5590"/>
                <w:tab w:val="right" w:pos="7620"/>
                <w:tab w:val="right" w:pos="9460"/>
                <w:tab w:val="right" w:pos="10080"/>
              </w:tabs>
              <w:ind w:left="284" w:right="-57"/>
              <w:jc w:val="both"/>
              <w:rPr>
                <w:bCs w:val="0"/>
                <w:i/>
                <w:sz w:val="18"/>
                <w:szCs w:val="18"/>
              </w:rPr>
            </w:pPr>
            <w:r w:rsidRPr="0013526B">
              <w:rPr>
                <w:bCs w:val="0"/>
                <w:i/>
                <w:sz w:val="18"/>
                <w:szCs w:val="18"/>
              </w:rPr>
              <w:t>The Group estimates the useful lives of property</w:t>
            </w:r>
            <w:r w:rsidR="00870FD0">
              <w:rPr>
                <w:bCs w:val="0"/>
                <w:i/>
                <w:sz w:val="18"/>
                <w:szCs w:val="18"/>
              </w:rPr>
              <w:t>.</w:t>
            </w:r>
            <w:r w:rsidRPr="0013526B">
              <w:rPr>
                <w:bCs w:val="0"/>
                <w:i/>
                <w:sz w:val="18"/>
                <w:szCs w:val="18"/>
              </w:rPr>
              <w:t xml:space="preserve"> </w:t>
            </w:r>
            <w:proofErr w:type="gramStart"/>
            <w:r w:rsidRPr="0013526B">
              <w:rPr>
                <w:bCs w:val="0"/>
                <w:i/>
                <w:sz w:val="18"/>
                <w:szCs w:val="18"/>
              </w:rPr>
              <w:t>plant</w:t>
            </w:r>
            <w:proofErr w:type="gramEnd"/>
            <w:r w:rsidRPr="0013526B">
              <w:rPr>
                <w:bCs w:val="0"/>
                <w:i/>
                <w:sz w:val="18"/>
                <w:szCs w:val="18"/>
              </w:rPr>
              <w:t xml:space="preserve"> and equipment based on the expected utilization of assets and supported by plans and business strategy and market behavior. </w:t>
            </w:r>
          </w:p>
        </w:tc>
      </w:tr>
      <w:tr w:rsidR="00497C83" w:rsidRPr="0013526B" w14:paraId="3F3409FA" w14:textId="77777777" w:rsidTr="00A811B5">
        <w:tc>
          <w:tcPr>
            <w:tcW w:w="4598" w:type="dxa"/>
            <w:tcBorders>
              <w:top w:val="nil"/>
              <w:left w:val="nil"/>
              <w:bottom w:val="nil"/>
              <w:right w:val="nil"/>
            </w:tcBorders>
          </w:tcPr>
          <w:p w14:paraId="2327BF6E" w14:textId="77777777" w:rsidR="00497C83" w:rsidRPr="0013526B" w:rsidRDefault="00497C83" w:rsidP="00A811B5">
            <w:pPr>
              <w:ind w:left="252" w:right="-57"/>
              <w:jc w:val="both"/>
              <w:rPr>
                <w:bCs w:val="0"/>
                <w:sz w:val="18"/>
                <w:szCs w:val="18"/>
              </w:rPr>
            </w:pPr>
          </w:p>
        </w:tc>
        <w:tc>
          <w:tcPr>
            <w:tcW w:w="4598" w:type="dxa"/>
            <w:tcBorders>
              <w:top w:val="nil"/>
              <w:left w:val="nil"/>
              <w:bottom w:val="nil"/>
              <w:right w:val="nil"/>
            </w:tcBorders>
          </w:tcPr>
          <w:p w14:paraId="46E7A1B9" w14:textId="77777777" w:rsidR="00497C83" w:rsidRPr="0013526B" w:rsidRDefault="00497C83" w:rsidP="00A811B5">
            <w:pPr>
              <w:tabs>
                <w:tab w:val="left" w:pos="5590"/>
                <w:tab w:val="right" w:pos="7620"/>
                <w:tab w:val="right" w:pos="9460"/>
                <w:tab w:val="right" w:pos="10080"/>
              </w:tabs>
              <w:ind w:left="434" w:right="-57"/>
              <w:jc w:val="both"/>
              <w:rPr>
                <w:bCs w:val="0"/>
                <w:i/>
                <w:sz w:val="18"/>
                <w:szCs w:val="18"/>
              </w:rPr>
            </w:pPr>
          </w:p>
        </w:tc>
      </w:tr>
      <w:tr w:rsidR="00497C83" w:rsidRPr="0013526B" w14:paraId="7D798B68" w14:textId="77777777" w:rsidTr="00A811B5">
        <w:tc>
          <w:tcPr>
            <w:tcW w:w="4598" w:type="dxa"/>
            <w:tcBorders>
              <w:top w:val="nil"/>
              <w:left w:val="nil"/>
              <w:bottom w:val="nil"/>
              <w:right w:val="nil"/>
            </w:tcBorders>
          </w:tcPr>
          <w:p w14:paraId="4A6F9882" w14:textId="44118E36" w:rsidR="00497C83" w:rsidRPr="0013526B" w:rsidRDefault="00497C83" w:rsidP="00A811B5">
            <w:pPr>
              <w:ind w:left="284" w:right="-57"/>
              <w:jc w:val="both"/>
              <w:rPr>
                <w:bCs w:val="0"/>
                <w:sz w:val="18"/>
                <w:szCs w:val="18"/>
              </w:rPr>
            </w:pPr>
            <w:r w:rsidRPr="0013526B">
              <w:rPr>
                <w:bCs w:val="0"/>
                <w:sz w:val="18"/>
                <w:szCs w:val="18"/>
              </w:rPr>
              <w:t>Estimasi dari masa manfaat aset tetap adalah berdasarkan penelaahan Kelompok Usaha terhadap praktek industri</w:t>
            </w:r>
            <w:r w:rsidR="00870FD0">
              <w:rPr>
                <w:bCs w:val="0"/>
                <w:sz w:val="18"/>
                <w:szCs w:val="18"/>
              </w:rPr>
              <w:t>.</w:t>
            </w:r>
            <w:r w:rsidRPr="0013526B">
              <w:rPr>
                <w:bCs w:val="0"/>
                <w:sz w:val="18"/>
                <w:szCs w:val="18"/>
              </w:rPr>
              <w:t xml:space="preserve"> </w:t>
            </w:r>
            <w:proofErr w:type="gramStart"/>
            <w:r w:rsidRPr="0013526B">
              <w:rPr>
                <w:bCs w:val="0"/>
                <w:sz w:val="18"/>
                <w:szCs w:val="18"/>
              </w:rPr>
              <w:t>evaluasi</w:t>
            </w:r>
            <w:proofErr w:type="gramEnd"/>
            <w:r w:rsidRPr="0013526B">
              <w:rPr>
                <w:bCs w:val="0"/>
                <w:sz w:val="18"/>
                <w:szCs w:val="18"/>
              </w:rPr>
              <w:t xml:space="preserve"> teknis internal dan pengalaman untuk aset yang setara.</w:t>
            </w:r>
          </w:p>
        </w:tc>
        <w:tc>
          <w:tcPr>
            <w:tcW w:w="4598" w:type="dxa"/>
            <w:tcBorders>
              <w:top w:val="nil"/>
              <w:left w:val="nil"/>
              <w:bottom w:val="nil"/>
              <w:right w:val="nil"/>
            </w:tcBorders>
          </w:tcPr>
          <w:p w14:paraId="363A8127" w14:textId="5CAFA434" w:rsidR="00497C83" w:rsidRPr="0013526B" w:rsidRDefault="00497C83" w:rsidP="00A811B5">
            <w:pPr>
              <w:tabs>
                <w:tab w:val="left" w:pos="5590"/>
                <w:tab w:val="right" w:pos="7620"/>
                <w:tab w:val="right" w:pos="9460"/>
                <w:tab w:val="right" w:pos="10080"/>
              </w:tabs>
              <w:ind w:left="284" w:right="-57"/>
              <w:jc w:val="both"/>
              <w:rPr>
                <w:bCs w:val="0"/>
                <w:i/>
                <w:sz w:val="18"/>
                <w:szCs w:val="18"/>
              </w:rPr>
            </w:pPr>
            <w:r w:rsidRPr="0013526B">
              <w:rPr>
                <w:bCs w:val="0"/>
                <w:i/>
                <w:sz w:val="18"/>
                <w:szCs w:val="18"/>
              </w:rPr>
              <w:t>Estimation of useful lives of property</w:t>
            </w:r>
            <w:r w:rsidR="00870FD0">
              <w:rPr>
                <w:bCs w:val="0"/>
                <w:i/>
                <w:sz w:val="18"/>
                <w:szCs w:val="18"/>
              </w:rPr>
              <w:t>.</w:t>
            </w:r>
            <w:r w:rsidRPr="0013526B">
              <w:rPr>
                <w:bCs w:val="0"/>
                <w:i/>
                <w:sz w:val="18"/>
                <w:szCs w:val="18"/>
              </w:rPr>
              <w:t xml:space="preserve"> </w:t>
            </w:r>
            <w:proofErr w:type="gramStart"/>
            <w:r w:rsidRPr="0013526B">
              <w:rPr>
                <w:bCs w:val="0"/>
                <w:i/>
                <w:sz w:val="18"/>
                <w:szCs w:val="18"/>
              </w:rPr>
              <w:t>plant</w:t>
            </w:r>
            <w:proofErr w:type="gramEnd"/>
            <w:r w:rsidRPr="0013526B">
              <w:rPr>
                <w:bCs w:val="0"/>
                <w:i/>
                <w:sz w:val="18"/>
                <w:szCs w:val="18"/>
              </w:rPr>
              <w:t xml:space="preserve"> and equipment are provided based on the Group’s evaluation on industry practice</w:t>
            </w:r>
            <w:r w:rsidR="00870FD0">
              <w:rPr>
                <w:bCs w:val="0"/>
                <w:i/>
                <w:sz w:val="18"/>
                <w:szCs w:val="18"/>
              </w:rPr>
              <w:t>.</w:t>
            </w:r>
            <w:r w:rsidRPr="0013526B">
              <w:rPr>
                <w:bCs w:val="0"/>
                <w:i/>
                <w:sz w:val="18"/>
                <w:szCs w:val="18"/>
              </w:rPr>
              <w:t xml:space="preserve"> </w:t>
            </w:r>
            <w:proofErr w:type="gramStart"/>
            <w:r w:rsidRPr="0013526B">
              <w:rPr>
                <w:bCs w:val="0"/>
                <w:i/>
                <w:sz w:val="18"/>
                <w:szCs w:val="18"/>
              </w:rPr>
              <w:t>internal</w:t>
            </w:r>
            <w:proofErr w:type="gramEnd"/>
            <w:r w:rsidRPr="0013526B">
              <w:rPr>
                <w:bCs w:val="0"/>
                <w:i/>
                <w:sz w:val="18"/>
                <w:szCs w:val="18"/>
              </w:rPr>
              <w:t xml:space="preserve"> technical evaluation and experience for assets equivalent.</w:t>
            </w:r>
          </w:p>
        </w:tc>
      </w:tr>
    </w:tbl>
    <w:p w14:paraId="3AE6179B" w14:textId="77777777" w:rsidR="00497C83" w:rsidRPr="0013526B" w:rsidRDefault="00497C83" w:rsidP="00497C83">
      <w:pPr>
        <w:rPr>
          <w:sz w:val="18"/>
          <w:szCs w:val="18"/>
        </w:rPr>
      </w:pPr>
    </w:p>
    <w:tbl>
      <w:tblPr>
        <w:tblW w:w="9197" w:type="dxa"/>
        <w:tblInd w:w="392" w:type="dxa"/>
        <w:tblLayout w:type="fixed"/>
        <w:tblLook w:val="0000" w:firstRow="0" w:lastRow="0" w:firstColumn="0" w:lastColumn="0" w:noHBand="0" w:noVBand="0"/>
      </w:tblPr>
      <w:tblGrid>
        <w:gridCol w:w="4598"/>
        <w:gridCol w:w="4599"/>
      </w:tblGrid>
      <w:tr w:rsidR="00497C83" w:rsidRPr="0013526B" w14:paraId="28C04F67" w14:textId="77777777" w:rsidTr="00A811B5">
        <w:tc>
          <w:tcPr>
            <w:tcW w:w="4598" w:type="dxa"/>
            <w:tcBorders>
              <w:top w:val="nil"/>
              <w:left w:val="nil"/>
              <w:bottom w:val="nil"/>
              <w:right w:val="nil"/>
            </w:tcBorders>
          </w:tcPr>
          <w:p w14:paraId="282474D8" w14:textId="4F9A7400" w:rsidR="00497C83" w:rsidRPr="0013526B" w:rsidRDefault="00497C83" w:rsidP="00A811B5">
            <w:pPr>
              <w:ind w:left="284" w:right="-57"/>
              <w:jc w:val="both"/>
              <w:rPr>
                <w:bCs w:val="0"/>
                <w:sz w:val="18"/>
                <w:szCs w:val="18"/>
              </w:rPr>
            </w:pPr>
            <w:r w:rsidRPr="0013526B">
              <w:rPr>
                <w:bCs w:val="0"/>
                <w:sz w:val="18"/>
                <w:szCs w:val="18"/>
              </w:rPr>
              <w:t>Estimasi masa manfaat ditelaah minimal setiap akhir tahun pelaporan dan diperbarui jika ekspektasi berbeda dari estimasi sebelumnya dikarenakan pemakaian dan kerusakan fisik</w:t>
            </w:r>
            <w:r w:rsidR="00870FD0">
              <w:rPr>
                <w:bCs w:val="0"/>
                <w:sz w:val="18"/>
                <w:szCs w:val="18"/>
              </w:rPr>
              <w:t>.</w:t>
            </w:r>
            <w:r w:rsidRPr="0013526B">
              <w:rPr>
                <w:bCs w:val="0"/>
                <w:sz w:val="18"/>
                <w:szCs w:val="18"/>
              </w:rPr>
              <w:t xml:space="preserve"> </w:t>
            </w:r>
            <w:proofErr w:type="gramStart"/>
            <w:r w:rsidRPr="0013526B">
              <w:rPr>
                <w:bCs w:val="0"/>
                <w:sz w:val="18"/>
                <w:szCs w:val="18"/>
              </w:rPr>
              <w:t>keusangan</w:t>
            </w:r>
            <w:proofErr w:type="gramEnd"/>
            <w:r w:rsidRPr="0013526B">
              <w:rPr>
                <w:bCs w:val="0"/>
                <w:sz w:val="18"/>
                <w:szCs w:val="18"/>
              </w:rPr>
              <w:t xml:space="preserve"> secara teknis atau komersial dan hukum atau pembatasan lain atas penggunaan dari aset serta perkembangan teknologi.</w:t>
            </w:r>
          </w:p>
        </w:tc>
        <w:tc>
          <w:tcPr>
            <w:tcW w:w="4598" w:type="dxa"/>
            <w:tcBorders>
              <w:top w:val="nil"/>
              <w:left w:val="nil"/>
              <w:bottom w:val="nil"/>
              <w:right w:val="nil"/>
            </w:tcBorders>
          </w:tcPr>
          <w:p w14:paraId="19A34CA7" w14:textId="6EA5C85B" w:rsidR="00497C83" w:rsidRPr="0013526B" w:rsidRDefault="00497C83" w:rsidP="00A811B5">
            <w:pPr>
              <w:tabs>
                <w:tab w:val="left" w:pos="5590"/>
                <w:tab w:val="right" w:pos="7620"/>
                <w:tab w:val="right" w:pos="9460"/>
                <w:tab w:val="right" w:pos="10080"/>
              </w:tabs>
              <w:ind w:left="284" w:right="-57"/>
              <w:jc w:val="both"/>
              <w:rPr>
                <w:bCs w:val="0"/>
                <w:i/>
                <w:sz w:val="18"/>
                <w:szCs w:val="18"/>
              </w:rPr>
            </w:pPr>
            <w:r w:rsidRPr="0013526B">
              <w:rPr>
                <w:bCs w:val="0"/>
                <w:i/>
                <w:sz w:val="18"/>
                <w:szCs w:val="18"/>
              </w:rPr>
              <w:t>The estimated useful lives are reviewed at least at each year end reporting and updated if expectations differ from previous estimates due to physical wear and tear</w:t>
            </w:r>
            <w:r w:rsidR="00870FD0">
              <w:rPr>
                <w:bCs w:val="0"/>
                <w:i/>
                <w:sz w:val="18"/>
                <w:szCs w:val="18"/>
              </w:rPr>
              <w:t>.</w:t>
            </w:r>
            <w:r w:rsidRPr="0013526B">
              <w:rPr>
                <w:bCs w:val="0"/>
                <w:i/>
                <w:sz w:val="18"/>
                <w:szCs w:val="18"/>
              </w:rPr>
              <w:t xml:space="preserve"> </w:t>
            </w:r>
            <w:proofErr w:type="gramStart"/>
            <w:r w:rsidRPr="0013526B">
              <w:rPr>
                <w:bCs w:val="0"/>
                <w:i/>
                <w:sz w:val="18"/>
                <w:szCs w:val="18"/>
              </w:rPr>
              <w:t>technical</w:t>
            </w:r>
            <w:proofErr w:type="gramEnd"/>
            <w:r w:rsidRPr="0013526B">
              <w:rPr>
                <w:bCs w:val="0"/>
                <w:i/>
                <w:sz w:val="18"/>
                <w:szCs w:val="18"/>
              </w:rPr>
              <w:t xml:space="preserve"> or commercial obsolescence and legal or other restrictions on the use of assets as well as technological developments.</w:t>
            </w:r>
          </w:p>
        </w:tc>
      </w:tr>
      <w:tr w:rsidR="00497C83" w:rsidRPr="0013526B" w14:paraId="78E6A025" w14:textId="77777777" w:rsidTr="00A811B5">
        <w:tc>
          <w:tcPr>
            <w:tcW w:w="4598" w:type="dxa"/>
            <w:tcBorders>
              <w:top w:val="nil"/>
              <w:left w:val="nil"/>
              <w:bottom w:val="nil"/>
              <w:right w:val="nil"/>
            </w:tcBorders>
          </w:tcPr>
          <w:p w14:paraId="74B2E6C0" w14:textId="77777777" w:rsidR="00497C83" w:rsidRPr="0013526B" w:rsidRDefault="00497C83" w:rsidP="00A811B5">
            <w:pPr>
              <w:ind w:left="284"/>
              <w:jc w:val="both"/>
              <w:rPr>
                <w:bCs w:val="0"/>
                <w:sz w:val="18"/>
                <w:szCs w:val="18"/>
              </w:rPr>
            </w:pPr>
          </w:p>
        </w:tc>
        <w:tc>
          <w:tcPr>
            <w:tcW w:w="4598" w:type="dxa"/>
            <w:tcBorders>
              <w:top w:val="nil"/>
              <w:left w:val="nil"/>
              <w:bottom w:val="nil"/>
              <w:right w:val="nil"/>
            </w:tcBorders>
          </w:tcPr>
          <w:p w14:paraId="0E4B46C5" w14:textId="77777777" w:rsidR="00497C83" w:rsidRPr="0013526B" w:rsidRDefault="00497C83" w:rsidP="00A811B5">
            <w:pPr>
              <w:tabs>
                <w:tab w:val="left" w:pos="5590"/>
                <w:tab w:val="right" w:pos="7620"/>
                <w:tab w:val="right" w:pos="9460"/>
                <w:tab w:val="right" w:pos="10080"/>
              </w:tabs>
              <w:ind w:left="284"/>
              <w:jc w:val="both"/>
              <w:rPr>
                <w:bCs w:val="0"/>
                <w:i/>
                <w:sz w:val="18"/>
                <w:szCs w:val="18"/>
              </w:rPr>
            </w:pPr>
          </w:p>
        </w:tc>
      </w:tr>
      <w:tr w:rsidR="00497C83" w:rsidRPr="0013526B" w14:paraId="67D903E6" w14:textId="77777777" w:rsidTr="00A811B5">
        <w:tc>
          <w:tcPr>
            <w:tcW w:w="4598" w:type="dxa"/>
            <w:tcBorders>
              <w:top w:val="nil"/>
              <w:left w:val="nil"/>
              <w:bottom w:val="nil"/>
              <w:right w:val="nil"/>
            </w:tcBorders>
          </w:tcPr>
          <w:p w14:paraId="429AAE91" w14:textId="23989FF8" w:rsidR="00497C83" w:rsidRPr="0013526B" w:rsidRDefault="00497C83" w:rsidP="00F32DFB">
            <w:pPr>
              <w:ind w:left="284" w:right="-57"/>
              <w:jc w:val="both"/>
              <w:rPr>
                <w:bCs w:val="0"/>
                <w:sz w:val="18"/>
                <w:szCs w:val="18"/>
              </w:rPr>
            </w:pPr>
            <w:r w:rsidRPr="0013526B">
              <w:rPr>
                <w:bCs w:val="0"/>
                <w:sz w:val="18"/>
                <w:szCs w:val="18"/>
              </w:rPr>
              <w:t>Namun demikian</w:t>
            </w:r>
            <w:r w:rsidR="00870FD0">
              <w:rPr>
                <w:bCs w:val="0"/>
                <w:sz w:val="18"/>
                <w:szCs w:val="18"/>
              </w:rPr>
              <w:t>.</w:t>
            </w:r>
            <w:r w:rsidRPr="0013526B">
              <w:rPr>
                <w:bCs w:val="0"/>
                <w:sz w:val="18"/>
                <w:szCs w:val="18"/>
              </w:rPr>
              <w:t xml:space="preserve"> </w:t>
            </w:r>
            <w:proofErr w:type="gramStart"/>
            <w:r w:rsidRPr="0013526B">
              <w:rPr>
                <w:bCs w:val="0"/>
                <w:sz w:val="18"/>
                <w:szCs w:val="18"/>
              </w:rPr>
              <w:t>adalah</w:t>
            </w:r>
            <w:proofErr w:type="gramEnd"/>
            <w:r w:rsidRPr="0013526B">
              <w:rPr>
                <w:bCs w:val="0"/>
                <w:sz w:val="18"/>
                <w:szCs w:val="18"/>
              </w:rPr>
              <w:t xml:space="preserve"> mungkin</w:t>
            </w:r>
            <w:r w:rsidR="00870FD0">
              <w:rPr>
                <w:bCs w:val="0"/>
                <w:sz w:val="18"/>
                <w:szCs w:val="18"/>
              </w:rPr>
              <w:t>.</w:t>
            </w:r>
            <w:r w:rsidRPr="0013526B">
              <w:rPr>
                <w:bCs w:val="0"/>
                <w:sz w:val="18"/>
                <w:szCs w:val="18"/>
              </w:rPr>
              <w:t xml:space="preserve"> </w:t>
            </w:r>
            <w:proofErr w:type="gramStart"/>
            <w:r w:rsidRPr="0013526B">
              <w:rPr>
                <w:bCs w:val="0"/>
                <w:sz w:val="18"/>
                <w:szCs w:val="18"/>
              </w:rPr>
              <w:t>hasil</w:t>
            </w:r>
            <w:proofErr w:type="gramEnd"/>
            <w:r w:rsidRPr="0013526B">
              <w:rPr>
                <w:bCs w:val="0"/>
                <w:sz w:val="18"/>
                <w:szCs w:val="18"/>
              </w:rPr>
              <w:t xml:space="preserve"> di masa depan dari operasi dapat dipengaruhi secara material oleh perubahan-perubahan dalam estimasi yang diakibatkan oleh perubahan faktor-faktor yang disebutkan di atas</w:t>
            </w:r>
            <w:r w:rsidR="00F32DFB">
              <w:rPr>
                <w:bCs w:val="0"/>
                <w:sz w:val="18"/>
                <w:szCs w:val="18"/>
              </w:rPr>
              <w:t>,</w:t>
            </w:r>
            <w:r w:rsidRPr="0013526B">
              <w:rPr>
                <w:bCs w:val="0"/>
                <w:sz w:val="18"/>
                <w:szCs w:val="18"/>
              </w:rPr>
              <w:t xml:space="preserve"> dan karenanya biaya penyusutan masa depan mungkin direvisi.</w:t>
            </w:r>
          </w:p>
        </w:tc>
        <w:tc>
          <w:tcPr>
            <w:tcW w:w="4598" w:type="dxa"/>
            <w:tcBorders>
              <w:top w:val="nil"/>
              <w:left w:val="nil"/>
              <w:bottom w:val="nil"/>
              <w:right w:val="nil"/>
            </w:tcBorders>
          </w:tcPr>
          <w:p w14:paraId="4327C5B8" w14:textId="58AC1F84" w:rsidR="00497C83" w:rsidRPr="0013526B" w:rsidRDefault="00497C83" w:rsidP="00F32DFB">
            <w:pPr>
              <w:tabs>
                <w:tab w:val="left" w:pos="5590"/>
                <w:tab w:val="right" w:pos="7620"/>
                <w:tab w:val="right" w:pos="9460"/>
                <w:tab w:val="right" w:pos="10080"/>
              </w:tabs>
              <w:ind w:left="284" w:right="-57"/>
              <w:jc w:val="both"/>
              <w:rPr>
                <w:bCs w:val="0"/>
                <w:i/>
                <w:sz w:val="18"/>
                <w:szCs w:val="18"/>
              </w:rPr>
            </w:pPr>
            <w:r w:rsidRPr="0013526B">
              <w:rPr>
                <w:bCs w:val="0"/>
                <w:i/>
                <w:sz w:val="18"/>
                <w:szCs w:val="18"/>
              </w:rPr>
              <w:t>However</w:t>
            </w:r>
            <w:r w:rsidR="00870FD0">
              <w:rPr>
                <w:bCs w:val="0"/>
                <w:i/>
                <w:sz w:val="18"/>
                <w:szCs w:val="18"/>
              </w:rPr>
              <w:t>.</w:t>
            </w:r>
            <w:r w:rsidRPr="0013526B">
              <w:rPr>
                <w:bCs w:val="0"/>
                <w:i/>
                <w:sz w:val="18"/>
                <w:szCs w:val="18"/>
              </w:rPr>
              <w:t xml:space="preserve"> </w:t>
            </w:r>
            <w:proofErr w:type="gramStart"/>
            <w:r w:rsidRPr="0013526B">
              <w:rPr>
                <w:bCs w:val="0"/>
                <w:i/>
                <w:sz w:val="18"/>
                <w:szCs w:val="18"/>
              </w:rPr>
              <w:t>it</w:t>
            </w:r>
            <w:proofErr w:type="gramEnd"/>
            <w:r w:rsidRPr="0013526B">
              <w:rPr>
                <w:bCs w:val="0"/>
                <w:i/>
                <w:sz w:val="18"/>
                <w:szCs w:val="18"/>
              </w:rPr>
              <w:t xml:space="preserve"> is possible</w:t>
            </w:r>
            <w:r w:rsidR="00870FD0">
              <w:rPr>
                <w:bCs w:val="0"/>
                <w:i/>
                <w:sz w:val="18"/>
                <w:szCs w:val="18"/>
              </w:rPr>
              <w:t>.</w:t>
            </w:r>
            <w:r w:rsidRPr="0013526B">
              <w:rPr>
                <w:bCs w:val="0"/>
                <w:i/>
                <w:sz w:val="18"/>
                <w:szCs w:val="18"/>
              </w:rPr>
              <w:t xml:space="preserve"> </w:t>
            </w:r>
            <w:proofErr w:type="gramStart"/>
            <w:r w:rsidRPr="0013526B">
              <w:rPr>
                <w:bCs w:val="0"/>
                <w:i/>
                <w:sz w:val="18"/>
                <w:szCs w:val="18"/>
              </w:rPr>
              <w:t>future</w:t>
            </w:r>
            <w:proofErr w:type="gramEnd"/>
            <w:r w:rsidRPr="0013526B">
              <w:rPr>
                <w:bCs w:val="0"/>
                <w:i/>
                <w:sz w:val="18"/>
                <w:szCs w:val="18"/>
              </w:rPr>
              <w:t xml:space="preserve"> results of operations could be materially affected by changes in the estimates due to changes in the factors mentioned above</w:t>
            </w:r>
            <w:r w:rsidR="00F32DFB">
              <w:rPr>
                <w:bCs w:val="0"/>
                <w:i/>
                <w:sz w:val="18"/>
                <w:szCs w:val="18"/>
              </w:rPr>
              <w:t>,</w:t>
            </w:r>
            <w:r w:rsidRPr="0013526B">
              <w:rPr>
                <w:bCs w:val="0"/>
                <w:i/>
                <w:sz w:val="18"/>
                <w:szCs w:val="18"/>
              </w:rPr>
              <w:t xml:space="preserve"> and therefore the future depreciation charges may be revised.</w:t>
            </w:r>
          </w:p>
        </w:tc>
      </w:tr>
    </w:tbl>
    <w:p w14:paraId="30A50541" w14:textId="77777777" w:rsidR="00497C83" w:rsidRDefault="00497C83">
      <w:pPr>
        <w:rPr>
          <w:sz w:val="6"/>
          <w:szCs w:val="6"/>
        </w:rPr>
      </w:pPr>
    </w:p>
    <w:p w14:paraId="099B0E62" w14:textId="77777777" w:rsidR="00497C83" w:rsidRDefault="00497C83">
      <w:pPr>
        <w:rPr>
          <w:sz w:val="6"/>
          <w:szCs w:val="6"/>
        </w:rPr>
      </w:pPr>
    </w:p>
    <w:tbl>
      <w:tblPr>
        <w:tblW w:w="9197" w:type="dxa"/>
        <w:tblInd w:w="392" w:type="dxa"/>
        <w:tblLayout w:type="fixed"/>
        <w:tblLook w:val="0000" w:firstRow="0" w:lastRow="0" w:firstColumn="0" w:lastColumn="0" w:noHBand="0" w:noVBand="0"/>
      </w:tblPr>
      <w:tblGrid>
        <w:gridCol w:w="4598"/>
        <w:gridCol w:w="4599"/>
      </w:tblGrid>
      <w:tr w:rsidR="00497C83" w:rsidRPr="0013526B" w14:paraId="5BFE501F" w14:textId="77777777" w:rsidTr="00A811B5">
        <w:tc>
          <w:tcPr>
            <w:tcW w:w="4598" w:type="dxa"/>
            <w:tcBorders>
              <w:top w:val="nil"/>
              <w:left w:val="nil"/>
              <w:bottom w:val="nil"/>
              <w:right w:val="nil"/>
            </w:tcBorders>
          </w:tcPr>
          <w:p w14:paraId="1C8378B5" w14:textId="05D5C20E" w:rsidR="00497C83" w:rsidRPr="005704C5" w:rsidRDefault="00497C83" w:rsidP="00A811B5">
            <w:pPr>
              <w:ind w:left="284" w:right="-57"/>
              <w:jc w:val="both"/>
              <w:rPr>
                <w:bCs w:val="0"/>
                <w:sz w:val="18"/>
                <w:szCs w:val="18"/>
              </w:rPr>
            </w:pPr>
            <w:r w:rsidRPr="005704C5">
              <w:rPr>
                <w:bCs w:val="0"/>
                <w:sz w:val="18"/>
                <w:szCs w:val="18"/>
              </w:rPr>
              <w:t>Biaya perolehan aset tetap disusutkan dengan menggunakan metode garis lurus berdasarkan taksiran masa manfaat ekonomisnya. Manajemen mengestimasi masa manfaat ekonomis aset tetap antara 4 sampai dengan 25 tahun. Ini adalah umur yang secara umum diharapkan dalam industri dimana Kelompok Usaha menjalankan bisnisnya. Penjelasan lebih rinci diungkapkan dalam catatan 1</w:t>
            </w:r>
            <w:r w:rsidR="005704C5" w:rsidRPr="005704C5">
              <w:rPr>
                <w:bCs w:val="0"/>
                <w:sz w:val="18"/>
                <w:szCs w:val="18"/>
              </w:rPr>
              <w:t>1</w:t>
            </w:r>
            <w:r w:rsidRPr="005704C5">
              <w:rPr>
                <w:bCs w:val="0"/>
                <w:sz w:val="18"/>
                <w:szCs w:val="18"/>
              </w:rPr>
              <w:t xml:space="preserve"> untuk aset tetap.</w:t>
            </w:r>
          </w:p>
        </w:tc>
        <w:tc>
          <w:tcPr>
            <w:tcW w:w="4599" w:type="dxa"/>
            <w:tcBorders>
              <w:top w:val="nil"/>
              <w:left w:val="nil"/>
              <w:bottom w:val="nil"/>
              <w:right w:val="nil"/>
            </w:tcBorders>
          </w:tcPr>
          <w:p w14:paraId="7ABA6695" w14:textId="6272A060" w:rsidR="00497C83" w:rsidRPr="005704C5" w:rsidRDefault="00497C83" w:rsidP="00A811B5">
            <w:pPr>
              <w:tabs>
                <w:tab w:val="left" w:pos="5590"/>
                <w:tab w:val="right" w:pos="7620"/>
                <w:tab w:val="right" w:pos="9460"/>
                <w:tab w:val="right" w:pos="10080"/>
              </w:tabs>
              <w:ind w:left="284" w:right="-57"/>
              <w:jc w:val="both"/>
              <w:rPr>
                <w:bCs w:val="0"/>
                <w:i/>
                <w:sz w:val="18"/>
                <w:szCs w:val="18"/>
              </w:rPr>
            </w:pPr>
            <w:r w:rsidRPr="005704C5">
              <w:rPr>
                <w:bCs w:val="0"/>
                <w:i/>
                <w:sz w:val="18"/>
                <w:szCs w:val="18"/>
              </w:rPr>
              <w:t>The costs of property</w:t>
            </w:r>
            <w:r w:rsidR="00870FD0">
              <w:rPr>
                <w:bCs w:val="0"/>
                <w:i/>
                <w:sz w:val="18"/>
                <w:szCs w:val="18"/>
              </w:rPr>
              <w:t>.</w:t>
            </w:r>
            <w:r w:rsidRPr="005704C5">
              <w:rPr>
                <w:bCs w:val="0"/>
                <w:i/>
                <w:sz w:val="18"/>
                <w:szCs w:val="18"/>
              </w:rPr>
              <w:t xml:space="preserve"> </w:t>
            </w:r>
            <w:proofErr w:type="gramStart"/>
            <w:r w:rsidRPr="005704C5">
              <w:rPr>
                <w:bCs w:val="0"/>
                <w:i/>
                <w:sz w:val="18"/>
                <w:szCs w:val="18"/>
              </w:rPr>
              <w:t>plant</w:t>
            </w:r>
            <w:proofErr w:type="gramEnd"/>
            <w:r w:rsidRPr="005704C5">
              <w:rPr>
                <w:bCs w:val="0"/>
                <w:i/>
                <w:sz w:val="18"/>
                <w:szCs w:val="18"/>
              </w:rPr>
              <w:t xml:space="preserve"> and equipment are depreciated using the straight-line method over the estimated economic useful lives. Management estimates the useful lives of property</w:t>
            </w:r>
            <w:r w:rsidR="00870FD0">
              <w:rPr>
                <w:bCs w:val="0"/>
                <w:i/>
                <w:sz w:val="18"/>
                <w:szCs w:val="18"/>
              </w:rPr>
              <w:t>.</w:t>
            </w:r>
            <w:r w:rsidRPr="005704C5">
              <w:rPr>
                <w:bCs w:val="0"/>
                <w:i/>
                <w:sz w:val="18"/>
                <w:szCs w:val="18"/>
              </w:rPr>
              <w:t xml:space="preserve"> </w:t>
            </w:r>
            <w:proofErr w:type="gramStart"/>
            <w:r w:rsidRPr="005704C5">
              <w:rPr>
                <w:bCs w:val="0"/>
                <w:i/>
                <w:sz w:val="18"/>
                <w:szCs w:val="18"/>
              </w:rPr>
              <w:t>plant</w:t>
            </w:r>
            <w:proofErr w:type="gramEnd"/>
            <w:r w:rsidRPr="005704C5">
              <w:rPr>
                <w:bCs w:val="0"/>
                <w:i/>
                <w:sz w:val="18"/>
                <w:szCs w:val="18"/>
              </w:rPr>
              <w:t xml:space="preserve"> and equipment between</w:t>
            </w:r>
            <w:r w:rsidRPr="005704C5">
              <w:rPr>
                <w:bCs w:val="0"/>
                <w:i/>
                <w:sz w:val="18"/>
                <w:szCs w:val="18"/>
                <w:lang w:val="id-ID"/>
              </w:rPr>
              <w:br/>
            </w:r>
            <w:r w:rsidRPr="005704C5">
              <w:rPr>
                <w:bCs w:val="0"/>
                <w:i/>
                <w:sz w:val="18"/>
                <w:szCs w:val="18"/>
              </w:rPr>
              <w:t>4 to 25 years. This is the age that is generally expected in the industry in which the Group does business. More detailed information disclosed in the note 1</w:t>
            </w:r>
            <w:r w:rsidR="005704C5" w:rsidRPr="005704C5">
              <w:rPr>
                <w:bCs w:val="0"/>
                <w:i/>
                <w:sz w:val="18"/>
                <w:szCs w:val="18"/>
              </w:rPr>
              <w:t>1</w:t>
            </w:r>
            <w:r w:rsidRPr="005704C5">
              <w:rPr>
                <w:bCs w:val="0"/>
                <w:i/>
                <w:sz w:val="18"/>
                <w:szCs w:val="18"/>
              </w:rPr>
              <w:t xml:space="preserve"> for property</w:t>
            </w:r>
            <w:r w:rsidR="00870FD0">
              <w:rPr>
                <w:bCs w:val="0"/>
                <w:i/>
                <w:sz w:val="18"/>
                <w:szCs w:val="18"/>
              </w:rPr>
              <w:t>.</w:t>
            </w:r>
            <w:r w:rsidRPr="005704C5">
              <w:rPr>
                <w:bCs w:val="0"/>
                <w:i/>
                <w:sz w:val="18"/>
                <w:szCs w:val="18"/>
              </w:rPr>
              <w:t xml:space="preserve"> </w:t>
            </w:r>
            <w:proofErr w:type="gramStart"/>
            <w:r w:rsidRPr="005704C5">
              <w:rPr>
                <w:bCs w:val="0"/>
                <w:i/>
                <w:sz w:val="18"/>
                <w:szCs w:val="18"/>
              </w:rPr>
              <w:t>plant</w:t>
            </w:r>
            <w:proofErr w:type="gramEnd"/>
            <w:r w:rsidRPr="005704C5">
              <w:rPr>
                <w:bCs w:val="0"/>
                <w:i/>
                <w:sz w:val="18"/>
                <w:szCs w:val="18"/>
              </w:rPr>
              <w:t xml:space="preserve"> and equipment.</w:t>
            </w:r>
          </w:p>
        </w:tc>
      </w:tr>
    </w:tbl>
    <w:p w14:paraId="5DDE061A" w14:textId="45C74B28" w:rsidR="002F03EF" w:rsidRDefault="002F03EF">
      <w:pPr>
        <w:rPr>
          <w:sz w:val="6"/>
          <w:szCs w:val="6"/>
        </w:rPr>
      </w:pPr>
      <w:r>
        <w:rPr>
          <w:sz w:val="6"/>
          <w:szCs w:val="6"/>
        </w:rPr>
        <w:br w:type="page"/>
      </w:r>
    </w:p>
    <w:tbl>
      <w:tblPr>
        <w:tblW w:w="9197" w:type="dxa"/>
        <w:tblInd w:w="392" w:type="dxa"/>
        <w:tblLayout w:type="fixed"/>
        <w:tblLook w:val="0000" w:firstRow="0" w:lastRow="0" w:firstColumn="0" w:lastColumn="0" w:noHBand="0" w:noVBand="0"/>
      </w:tblPr>
      <w:tblGrid>
        <w:gridCol w:w="4598"/>
        <w:gridCol w:w="4599"/>
      </w:tblGrid>
      <w:tr w:rsidR="002F03EF" w:rsidRPr="0013526B" w14:paraId="05CE8CA6" w14:textId="77777777" w:rsidTr="004F376A">
        <w:tc>
          <w:tcPr>
            <w:tcW w:w="4598" w:type="dxa"/>
            <w:tcBorders>
              <w:top w:val="nil"/>
              <w:left w:val="nil"/>
              <w:bottom w:val="nil"/>
              <w:right w:val="nil"/>
            </w:tcBorders>
          </w:tcPr>
          <w:p w14:paraId="3E90EE9B" w14:textId="77777777" w:rsidR="002F03EF" w:rsidRPr="0013526B" w:rsidRDefault="002F03EF" w:rsidP="00070D1F">
            <w:pPr>
              <w:pStyle w:val="ListParagraph"/>
              <w:numPr>
                <w:ilvl w:val="0"/>
                <w:numId w:val="90"/>
              </w:numPr>
              <w:ind w:left="284" w:right="-57" w:hanging="284"/>
              <w:contextualSpacing/>
              <w:jc w:val="both"/>
              <w:rPr>
                <w:sz w:val="18"/>
                <w:szCs w:val="18"/>
              </w:rPr>
            </w:pPr>
            <w:r w:rsidRPr="0013526B">
              <w:rPr>
                <w:sz w:val="18"/>
                <w:szCs w:val="18"/>
              </w:rPr>
              <w:lastRenderedPageBreak/>
              <w:br w:type="page"/>
            </w:r>
            <w:r w:rsidRPr="0013526B">
              <w:rPr>
                <w:b/>
                <w:bCs w:val="0"/>
                <w:sz w:val="18"/>
                <w:szCs w:val="18"/>
              </w:rPr>
              <w:t>ESTIMASI DAN PERTIMBANGAN AKUNTANSI YANG PENTING - Lanjutan</w:t>
            </w:r>
          </w:p>
        </w:tc>
        <w:tc>
          <w:tcPr>
            <w:tcW w:w="4598" w:type="dxa"/>
            <w:tcBorders>
              <w:top w:val="nil"/>
              <w:left w:val="nil"/>
              <w:bottom w:val="nil"/>
              <w:right w:val="nil"/>
            </w:tcBorders>
          </w:tcPr>
          <w:p w14:paraId="591E9888" w14:textId="77777777" w:rsidR="002F03EF" w:rsidRPr="0013526B" w:rsidRDefault="002F03EF" w:rsidP="00070D1F">
            <w:pPr>
              <w:pStyle w:val="ListParagraph"/>
              <w:numPr>
                <w:ilvl w:val="0"/>
                <w:numId w:val="91"/>
              </w:numPr>
              <w:ind w:left="284" w:right="-57" w:hanging="284"/>
              <w:contextualSpacing/>
              <w:jc w:val="both"/>
              <w:rPr>
                <w:b/>
                <w:bCs w:val="0"/>
                <w:i/>
                <w:sz w:val="18"/>
                <w:szCs w:val="18"/>
              </w:rPr>
            </w:pPr>
            <w:r w:rsidRPr="0013526B">
              <w:rPr>
                <w:b/>
                <w:bCs w:val="0"/>
                <w:i/>
                <w:sz w:val="18"/>
                <w:szCs w:val="18"/>
              </w:rPr>
              <w:t>ESTIMATES AND JUDGEMENT OF SIGNIFICANT ACCOUNTING - Continued</w:t>
            </w:r>
          </w:p>
        </w:tc>
      </w:tr>
    </w:tbl>
    <w:p w14:paraId="03346759" w14:textId="77777777" w:rsidR="003B3749" w:rsidRPr="0013526B" w:rsidRDefault="003B3749" w:rsidP="0013526B">
      <w:pPr>
        <w:rPr>
          <w:sz w:val="18"/>
          <w:szCs w:val="18"/>
        </w:rPr>
      </w:pPr>
    </w:p>
    <w:tbl>
      <w:tblPr>
        <w:tblW w:w="9197" w:type="dxa"/>
        <w:tblInd w:w="392" w:type="dxa"/>
        <w:tblLayout w:type="fixed"/>
        <w:tblLook w:val="0000" w:firstRow="0" w:lastRow="0" w:firstColumn="0" w:lastColumn="0" w:noHBand="0" w:noVBand="0"/>
      </w:tblPr>
      <w:tblGrid>
        <w:gridCol w:w="4598"/>
        <w:gridCol w:w="4599"/>
      </w:tblGrid>
      <w:tr w:rsidR="002F03EF" w:rsidRPr="00B8576F" w14:paraId="50A6C7FF" w14:textId="77777777" w:rsidTr="004F376A">
        <w:tc>
          <w:tcPr>
            <w:tcW w:w="4598" w:type="dxa"/>
            <w:tcBorders>
              <w:top w:val="nil"/>
              <w:left w:val="nil"/>
              <w:bottom w:val="nil"/>
              <w:right w:val="nil"/>
            </w:tcBorders>
          </w:tcPr>
          <w:p w14:paraId="6A67DC5D" w14:textId="77777777" w:rsidR="002F03EF" w:rsidRPr="00B8576F" w:rsidRDefault="002F03EF" w:rsidP="00EF2EF8">
            <w:pPr>
              <w:ind w:left="284" w:right="-57"/>
              <w:jc w:val="both"/>
              <w:rPr>
                <w:bCs w:val="0"/>
                <w:sz w:val="18"/>
                <w:szCs w:val="18"/>
                <w:u w:val="single"/>
              </w:rPr>
            </w:pPr>
            <w:r w:rsidRPr="00B8576F">
              <w:rPr>
                <w:b/>
                <w:bCs w:val="0"/>
                <w:sz w:val="18"/>
                <w:szCs w:val="18"/>
                <w:u w:val="single"/>
              </w:rPr>
              <w:t>Menentukan Pajak Penghasilan</w:t>
            </w:r>
          </w:p>
        </w:tc>
        <w:tc>
          <w:tcPr>
            <w:tcW w:w="4598" w:type="dxa"/>
            <w:tcBorders>
              <w:top w:val="nil"/>
              <w:left w:val="nil"/>
              <w:bottom w:val="nil"/>
              <w:right w:val="nil"/>
            </w:tcBorders>
          </w:tcPr>
          <w:p w14:paraId="2D7DDD7D" w14:textId="77777777" w:rsidR="002F03EF" w:rsidRPr="00B8576F" w:rsidRDefault="002F03EF" w:rsidP="00EF2EF8">
            <w:pPr>
              <w:tabs>
                <w:tab w:val="left" w:pos="5590"/>
                <w:tab w:val="right" w:pos="7620"/>
                <w:tab w:val="right" w:pos="9460"/>
                <w:tab w:val="right" w:pos="10080"/>
              </w:tabs>
              <w:ind w:left="284" w:right="-57"/>
              <w:jc w:val="both"/>
              <w:rPr>
                <w:bCs w:val="0"/>
                <w:i/>
                <w:sz w:val="18"/>
                <w:szCs w:val="18"/>
                <w:u w:val="single"/>
              </w:rPr>
            </w:pPr>
            <w:r w:rsidRPr="00B8576F">
              <w:rPr>
                <w:b/>
                <w:bCs w:val="0"/>
                <w:i/>
                <w:sz w:val="18"/>
                <w:szCs w:val="18"/>
                <w:u w:val="single"/>
              </w:rPr>
              <w:t>Determining Income Taxes</w:t>
            </w:r>
          </w:p>
        </w:tc>
      </w:tr>
      <w:tr w:rsidR="00CC5BB9" w:rsidRPr="0013526B" w14:paraId="3D925A93" w14:textId="77777777" w:rsidTr="004F376A">
        <w:tc>
          <w:tcPr>
            <w:tcW w:w="4598" w:type="dxa"/>
            <w:tcBorders>
              <w:top w:val="nil"/>
              <w:left w:val="nil"/>
              <w:bottom w:val="nil"/>
              <w:right w:val="nil"/>
            </w:tcBorders>
          </w:tcPr>
          <w:p w14:paraId="1721E6E4" w14:textId="77777777" w:rsidR="00CC5BB9" w:rsidRPr="0013526B" w:rsidRDefault="00CC5BB9" w:rsidP="0013526B">
            <w:pPr>
              <w:ind w:left="284"/>
              <w:jc w:val="both"/>
              <w:rPr>
                <w:bCs w:val="0"/>
                <w:sz w:val="18"/>
                <w:szCs w:val="18"/>
              </w:rPr>
            </w:pPr>
          </w:p>
        </w:tc>
        <w:tc>
          <w:tcPr>
            <w:tcW w:w="4598" w:type="dxa"/>
            <w:tcBorders>
              <w:top w:val="nil"/>
              <w:left w:val="nil"/>
              <w:bottom w:val="nil"/>
              <w:right w:val="nil"/>
            </w:tcBorders>
          </w:tcPr>
          <w:p w14:paraId="0AA380D6" w14:textId="77777777" w:rsidR="00CC5BB9" w:rsidRPr="0013526B" w:rsidRDefault="00CC5BB9" w:rsidP="0013526B">
            <w:pPr>
              <w:tabs>
                <w:tab w:val="left" w:pos="5590"/>
                <w:tab w:val="right" w:pos="7620"/>
                <w:tab w:val="right" w:pos="9460"/>
                <w:tab w:val="right" w:pos="10080"/>
              </w:tabs>
              <w:ind w:left="284"/>
              <w:jc w:val="both"/>
              <w:rPr>
                <w:bCs w:val="0"/>
                <w:i/>
                <w:sz w:val="18"/>
                <w:szCs w:val="18"/>
              </w:rPr>
            </w:pPr>
          </w:p>
        </w:tc>
      </w:tr>
      <w:tr w:rsidR="00CC5BB9" w:rsidRPr="0013526B" w14:paraId="29399F7C" w14:textId="77777777" w:rsidTr="004F376A">
        <w:tc>
          <w:tcPr>
            <w:tcW w:w="4598" w:type="dxa"/>
            <w:tcBorders>
              <w:top w:val="nil"/>
              <w:left w:val="nil"/>
              <w:bottom w:val="nil"/>
              <w:right w:val="nil"/>
            </w:tcBorders>
          </w:tcPr>
          <w:p w14:paraId="32A98229" w14:textId="77777777" w:rsidR="00CC5BB9" w:rsidRPr="0013526B" w:rsidRDefault="00CC5BB9" w:rsidP="0013526B">
            <w:pPr>
              <w:ind w:left="284" w:right="-57"/>
              <w:jc w:val="both"/>
              <w:rPr>
                <w:bCs w:val="0"/>
                <w:sz w:val="18"/>
                <w:szCs w:val="18"/>
              </w:rPr>
            </w:pPr>
            <w:r w:rsidRPr="0013526B">
              <w:rPr>
                <w:bCs w:val="0"/>
                <w:sz w:val="18"/>
                <w:szCs w:val="18"/>
              </w:rPr>
              <w:t>Pertimbangan signifikan dilakukan dalam menentukan provisi atas pajak penghasilan badan.Terdapat transaksi dan perhitungan tertentu yang penentuan pajak akhirnya adalah tidak pasti sepanjang kegiatan usaha normal. Kelompok Usaha mengakui liabilitas atas pajak penghasilan badan berdasarkan estimasi apakah akan terdapat tambahan pajak penghasilan badan.</w:t>
            </w:r>
          </w:p>
        </w:tc>
        <w:tc>
          <w:tcPr>
            <w:tcW w:w="4598" w:type="dxa"/>
            <w:tcBorders>
              <w:top w:val="nil"/>
              <w:left w:val="nil"/>
              <w:bottom w:val="nil"/>
              <w:right w:val="nil"/>
            </w:tcBorders>
          </w:tcPr>
          <w:p w14:paraId="2BF320AF" w14:textId="77777777" w:rsidR="00CC5BB9" w:rsidRPr="0013526B" w:rsidRDefault="00CC5BB9" w:rsidP="0013526B">
            <w:pPr>
              <w:tabs>
                <w:tab w:val="left" w:pos="5590"/>
                <w:tab w:val="right" w:pos="7620"/>
                <w:tab w:val="right" w:pos="9460"/>
                <w:tab w:val="right" w:pos="10080"/>
              </w:tabs>
              <w:ind w:left="284" w:right="-57"/>
              <w:jc w:val="both"/>
              <w:rPr>
                <w:bCs w:val="0"/>
                <w:i/>
                <w:sz w:val="18"/>
                <w:szCs w:val="18"/>
              </w:rPr>
            </w:pPr>
            <w:r w:rsidRPr="0013526B">
              <w:rPr>
                <w:bCs w:val="0"/>
                <w:i/>
                <w:sz w:val="18"/>
                <w:szCs w:val="18"/>
              </w:rPr>
              <w:t>Significant judgments made in determining the provision for income tax. There are certain transactions and computations for which the ultimate tax determination is uncertain during the ordinary course of business activities. The Group recognizes a liability for corporate income tax based on estimates of whether there will be an additional income tax.</w:t>
            </w:r>
          </w:p>
        </w:tc>
      </w:tr>
      <w:tr w:rsidR="00CC5BB9" w:rsidRPr="0013526B" w14:paraId="238B36BD" w14:textId="77777777" w:rsidTr="004F376A">
        <w:tc>
          <w:tcPr>
            <w:tcW w:w="4598" w:type="dxa"/>
            <w:tcBorders>
              <w:top w:val="nil"/>
              <w:left w:val="nil"/>
              <w:bottom w:val="nil"/>
              <w:right w:val="nil"/>
            </w:tcBorders>
          </w:tcPr>
          <w:p w14:paraId="22A81D95" w14:textId="77777777" w:rsidR="00CC5BB9" w:rsidRPr="0013526B" w:rsidRDefault="00CC5BB9" w:rsidP="0013526B">
            <w:pPr>
              <w:ind w:left="284"/>
              <w:jc w:val="both"/>
              <w:rPr>
                <w:bCs w:val="0"/>
                <w:sz w:val="18"/>
                <w:szCs w:val="18"/>
              </w:rPr>
            </w:pPr>
          </w:p>
        </w:tc>
        <w:tc>
          <w:tcPr>
            <w:tcW w:w="4598" w:type="dxa"/>
            <w:tcBorders>
              <w:top w:val="nil"/>
              <w:left w:val="nil"/>
              <w:bottom w:val="nil"/>
              <w:right w:val="nil"/>
            </w:tcBorders>
          </w:tcPr>
          <w:p w14:paraId="2683A630" w14:textId="77777777" w:rsidR="00CC5BB9" w:rsidRPr="0013526B" w:rsidRDefault="00CC5BB9" w:rsidP="0013526B">
            <w:pPr>
              <w:tabs>
                <w:tab w:val="left" w:pos="5590"/>
                <w:tab w:val="right" w:pos="7620"/>
                <w:tab w:val="right" w:pos="9460"/>
                <w:tab w:val="right" w:pos="10080"/>
              </w:tabs>
              <w:ind w:left="284"/>
              <w:jc w:val="both"/>
              <w:rPr>
                <w:bCs w:val="0"/>
                <w:i/>
                <w:sz w:val="18"/>
                <w:szCs w:val="18"/>
              </w:rPr>
            </w:pPr>
          </w:p>
        </w:tc>
      </w:tr>
    </w:tbl>
    <w:p w14:paraId="7E5EC799" w14:textId="77777777" w:rsidR="002F03EF" w:rsidRDefault="002F03EF">
      <w:pPr>
        <w:rPr>
          <w:sz w:val="6"/>
          <w:szCs w:val="6"/>
        </w:rPr>
      </w:pPr>
    </w:p>
    <w:p w14:paraId="43005390" w14:textId="77777777" w:rsidR="002F03EF" w:rsidRDefault="002F03EF">
      <w:pPr>
        <w:rPr>
          <w:sz w:val="6"/>
          <w:szCs w:val="6"/>
        </w:rPr>
      </w:pPr>
    </w:p>
    <w:tbl>
      <w:tblPr>
        <w:tblW w:w="9197" w:type="dxa"/>
        <w:tblInd w:w="392" w:type="dxa"/>
        <w:tblLayout w:type="fixed"/>
        <w:tblLook w:val="0000" w:firstRow="0" w:lastRow="0" w:firstColumn="0" w:lastColumn="0" w:noHBand="0" w:noVBand="0"/>
      </w:tblPr>
      <w:tblGrid>
        <w:gridCol w:w="4598"/>
        <w:gridCol w:w="4599"/>
      </w:tblGrid>
      <w:tr w:rsidR="00497C83" w:rsidRPr="0013526B" w14:paraId="551F736E" w14:textId="77777777" w:rsidTr="00A811B5">
        <w:tc>
          <w:tcPr>
            <w:tcW w:w="4598" w:type="dxa"/>
            <w:tcBorders>
              <w:top w:val="nil"/>
              <w:left w:val="nil"/>
              <w:bottom w:val="nil"/>
              <w:right w:val="nil"/>
            </w:tcBorders>
          </w:tcPr>
          <w:p w14:paraId="2F962FA4" w14:textId="676B4F41" w:rsidR="00497C83" w:rsidRPr="0013526B" w:rsidRDefault="00497C83" w:rsidP="00F32DFB">
            <w:pPr>
              <w:ind w:left="284" w:right="-57"/>
              <w:jc w:val="both"/>
              <w:rPr>
                <w:bCs w:val="0"/>
                <w:sz w:val="18"/>
                <w:szCs w:val="18"/>
              </w:rPr>
            </w:pPr>
            <w:r w:rsidRPr="0013526B">
              <w:rPr>
                <w:bCs w:val="0"/>
                <w:sz w:val="18"/>
                <w:szCs w:val="18"/>
              </w:rPr>
              <w:t>Dalam situasi tertentu</w:t>
            </w:r>
            <w:r w:rsidR="00F32DFB">
              <w:rPr>
                <w:bCs w:val="0"/>
                <w:sz w:val="18"/>
                <w:szCs w:val="18"/>
              </w:rPr>
              <w:t>,</w:t>
            </w:r>
            <w:r w:rsidRPr="0013526B">
              <w:rPr>
                <w:bCs w:val="0"/>
                <w:sz w:val="18"/>
                <w:szCs w:val="18"/>
              </w:rPr>
              <w:t xml:space="preserve"> Kelompok Usaha tidak dapat menentukan secara pasti jumlah liabilitas pajak mereka pada saat ini atau masa depan karena proses pemeriksaan</w:t>
            </w:r>
            <w:r w:rsidR="00F32DFB">
              <w:rPr>
                <w:bCs w:val="0"/>
                <w:sz w:val="18"/>
                <w:szCs w:val="18"/>
              </w:rPr>
              <w:t>,</w:t>
            </w:r>
            <w:r w:rsidRPr="0013526B">
              <w:rPr>
                <w:bCs w:val="0"/>
                <w:sz w:val="18"/>
                <w:szCs w:val="18"/>
              </w:rPr>
              <w:t xml:space="preserve"> atau negosiasi dengan otoritas perpajakan. Ketidakpastian timbul terkait dengan interpretasi dari peraturan perpajakan yang kompleks serta jumlah dan waktu dari penghasilan kena pajak di masa depan.</w:t>
            </w:r>
          </w:p>
        </w:tc>
        <w:tc>
          <w:tcPr>
            <w:tcW w:w="4598" w:type="dxa"/>
            <w:tcBorders>
              <w:top w:val="nil"/>
              <w:left w:val="nil"/>
              <w:bottom w:val="nil"/>
              <w:right w:val="nil"/>
            </w:tcBorders>
          </w:tcPr>
          <w:p w14:paraId="2FAE848A" w14:textId="508F94B2" w:rsidR="00497C83" w:rsidRPr="0013526B" w:rsidRDefault="00497C83" w:rsidP="00F32DFB">
            <w:pPr>
              <w:tabs>
                <w:tab w:val="left" w:pos="5590"/>
                <w:tab w:val="right" w:pos="7620"/>
                <w:tab w:val="right" w:pos="9460"/>
                <w:tab w:val="right" w:pos="10080"/>
              </w:tabs>
              <w:ind w:left="284" w:right="-57"/>
              <w:jc w:val="both"/>
              <w:rPr>
                <w:bCs w:val="0"/>
                <w:i/>
                <w:sz w:val="18"/>
                <w:szCs w:val="18"/>
              </w:rPr>
            </w:pPr>
            <w:r w:rsidRPr="0013526B">
              <w:rPr>
                <w:bCs w:val="0"/>
                <w:i/>
                <w:sz w:val="18"/>
                <w:szCs w:val="18"/>
              </w:rPr>
              <w:t>In certain situations</w:t>
            </w:r>
            <w:r w:rsidR="00F32DFB">
              <w:rPr>
                <w:bCs w:val="0"/>
                <w:i/>
                <w:sz w:val="18"/>
                <w:szCs w:val="18"/>
              </w:rPr>
              <w:t>,</w:t>
            </w:r>
            <w:r w:rsidRPr="0013526B">
              <w:rPr>
                <w:bCs w:val="0"/>
                <w:i/>
                <w:sz w:val="18"/>
                <w:szCs w:val="18"/>
              </w:rPr>
              <w:t xml:space="preserve"> the Group cannot determine the exact amount of their current or future tax liability due to on going investigation</w:t>
            </w:r>
            <w:r w:rsidR="00F32DFB">
              <w:rPr>
                <w:bCs w:val="0"/>
                <w:i/>
                <w:sz w:val="18"/>
                <w:szCs w:val="18"/>
              </w:rPr>
              <w:t>,</w:t>
            </w:r>
            <w:r w:rsidRPr="0013526B">
              <w:rPr>
                <w:bCs w:val="0"/>
                <w:i/>
                <w:sz w:val="18"/>
                <w:szCs w:val="18"/>
              </w:rPr>
              <w:t xml:space="preserve"> or the negotiations with tax authorities. Uncertainties arise concerning the interpretation of complex tax regulations and the amount and timing of the taxable income in the future.</w:t>
            </w:r>
          </w:p>
        </w:tc>
      </w:tr>
      <w:tr w:rsidR="00497C83" w:rsidRPr="0013526B" w14:paraId="7AE47858" w14:textId="77777777" w:rsidTr="00A811B5">
        <w:tc>
          <w:tcPr>
            <w:tcW w:w="4598" w:type="dxa"/>
            <w:tcBorders>
              <w:top w:val="nil"/>
              <w:left w:val="nil"/>
              <w:bottom w:val="nil"/>
              <w:right w:val="nil"/>
            </w:tcBorders>
          </w:tcPr>
          <w:p w14:paraId="329C1FE0" w14:textId="77777777" w:rsidR="00497C83" w:rsidRPr="0013526B" w:rsidRDefault="00497C83" w:rsidP="00A811B5">
            <w:pPr>
              <w:ind w:left="284"/>
              <w:jc w:val="both"/>
              <w:rPr>
                <w:bCs w:val="0"/>
                <w:sz w:val="18"/>
                <w:szCs w:val="18"/>
              </w:rPr>
            </w:pPr>
          </w:p>
        </w:tc>
        <w:tc>
          <w:tcPr>
            <w:tcW w:w="4598" w:type="dxa"/>
            <w:tcBorders>
              <w:top w:val="nil"/>
              <w:left w:val="nil"/>
              <w:bottom w:val="nil"/>
              <w:right w:val="nil"/>
            </w:tcBorders>
          </w:tcPr>
          <w:p w14:paraId="2A7F90D8" w14:textId="77777777" w:rsidR="00497C83" w:rsidRPr="0013526B" w:rsidRDefault="00497C83" w:rsidP="00A811B5">
            <w:pPr>
              <w:tabs>
                <w:tab w:val="left" w:pos="5590"/>
                <w:tab w:val="right" w:pos="7620"/>
                <w:tab w:val="right" w:pos="9460"/>
                <w:tab w:val="right" w:pos="10080"/>
              </w:tabs>
              <w:ind w:left="284"/>
              <w:jc w:val="both"/>
              <w:rPr>
                <w:bCs w:val="0"/>
                <w:i/>
                <w:sz w:val="18"/>
                <w:szCs w:val="18"/>
              </w:rPr>
            </w:pPr>
          </w:p>
        </w:tc>
      </w:tr>
      <w:tr w:rsidR="00497C83" w:rsidRPr="0013526B" w14:paraId="15C2C1D4" w14:textId="77777777" w:rsidTr="00A811B5">
        <w:tc>
          <w:tcPr>
            <w:tcW w:w="4598" w:type="dxa"/>
            <w:tcBorders>
              <w:top w:val="nil"/>
              <w:left w:val="nil"/>
              <w:bottom w:val="nil"/>
              <w:right w:val="nil"/>
            </w:tcBorders>
          </w:tcPr>
          <w:p w14:paraId="29E9CBEB" w14:textId="318150B0" w:rsidR="00497C83" w:rsidRPr="0013526B" w:rsidRDefault="00497C83" w:rsidP="00F32DFB">
            <w:pPr>
              <w:ind w:left="284" w:right="-57"/>
              <w:jc w:val="both"/>
              <w:rPr>
                <w:bCs w:val="0"/>
                <w:sz w:val="18"/>
                <w:szCs w:val="18"/>
              </w:rPr>
            </w:pPr>
            <w:r w:rsidRPr="0013526B">
              <w:rPr>
                <w:bCs w:val="0"/>
                <w:sz w:val="18"/>
                <w:szCs w:val="18"/>
              </w:rPr>
              <w:t>Dalam menentukan jumlah yang harus diakui terkait dengan liabilitas pajak yang tidak pasti</w:t>
            </w:r>
            <w:r w:rsidR="00F32DFB">
              <w:rPr>
                <w:bCs w:val="0"/>
                <w:sz w:val="18"/>
                <w:szCs w:val="18"/>
              </w:rPr>
              <w:t>,</w:t>
            </w:r>
            <w:r w:rsidRPr="0013526B">
              <w:rPr>
                <w:bCs w:val="0"/>
                <w:sz w:val="18"/>
                <w:szCs w:val="18"/>
              </w:rPr>
              <w:t xml:space="preserve"> Kelompok Usaha menerapkan pertimbangan yang sama yang akan mereka gunakan dalam menentukan jumlah cadangan yang harus diakui sesuai dengan PSAK No. 57 (Revisi 2009)</w:t>
            </w:r>
            <w:r w:rsidR="00870FD0">
              <w:rPr>
                <w:bCs w:val="0"/>
                <w:sz w:val="18"/>
                <w:szCs w:val="18"/>
              </w:rPr>
              <w:t>.</w:t>
            </w:r>
            <w:r w:rsidRPr="0013526B">
              <w:rPr>
                <w:bCs w:val="0"/>
                <w:sz w:val="18"/>
                <w:szCs w:val="18"/>
              </w:rPr>
              <w:t xml:space="preserve"> “Provisi</w:t>
            </w:r>
            <w:r w:rsidR="00870FD0">
              <w:rPr>
                <w:bCs w:val="0"/>
                <w:sz w:val="18"/>
                <w:szCs w:val="18"/>
              </w:rPr>
              <w:t>.</w:t>
            </w:r>
            <w:r w:rsidRPr="0013526B">
              <w:rPr>
                <w:bCs w:val="0"/>
                <w:sz w:val="18"/>
                <w:szCs w:val="18"/>
              </w:rPr>
              <w:t xml:space="preserve"> Liabilitas Kontijensi dan Aset Kontijensi”. Kelompok Usaha membuat analisis untuk semua posisi pajak terkait dengan pajak penghasilan untuk menentukan jika liabilitas pajak untuk manfaat pajak yang belum diakui harus diakui.</w:t>
            </w:r>
          </w:p>
        </w:tc>
        <w:tc>
          <w:tcPr>
            <w:tcW w:w="4598" w:type="dxa"/>
            <w:tcBorders>
              <w:top w:val="nil"/>
              <w:left w:val="nil"/>
              <w:bottom w:val="nil"/>
              <w:right w:val="nil"/>
            </w:tcBorders>
          </w:tcPr>
          <w:p w14:paraId="0940CB45" w14:textId="2AAE46B5" w:rsidR="00497C83" w:rsidRPr="0013526B" w:rsidRDefault="00497C83" w:rsidP="00F32DFB">
            <w:pPr>
              <w:tabs>
                <w:tab w:val="left" w:pos="5590"/>
                <w:tab w:val="right" w:pos="7620"/>
                <w:tab w:val="right" w:pos="9460"/>
                <w:tab w:val="right" w:pos="10080"/>
              </w:tabs>
              <w:ind w:left="284" w:right="-57"/>
              <w:jc w:val="both"/>
              <w:rPr>
                <w:bCs w:val="0"/>
                <w:i/>
                <w:sz w:val="18"/>
                <w:szCs w:val="18"/>
              </w:rPr>
            </w:pPr>
            <w:r w:rsidRPr="0013526B">
              <w:rPr>
                <w:bCs w:val="0"/>
                <w:i/>
                <w:sz w:val="18"/>
                <w:szCs w:val="18"/>
              </w:rPr>
              <w:t>In determining the amount to be recognized related to uncertain tax liabilities</w:t>
            </w:r>
            <w:r w:rsidR="00F32DFB">
              <w:rPr>
                <w:bCs w:val="0"/>
                <w:i/>
                <w:sz w:val="18"/>
                <w:szCs w:val="18"/>
              </w:rPr>
              <w:t>,</w:t>
            </w:r>
            <w:r w:rsidRPr="0013526B">
              <w:rPr>
                <w:bCs w:val="0"/>
                <w:i/>
                <w:sz w:val="18"/>
                <w:szCs w:val="18"/>
              </w:rPr>
              <w:t xml:space="preserve"> the Group applies the similar consideration that they will use in determining the amount of provision that must be recognized in accordance with PSAK No. 57 (Revised 2009)</w:t>
            </w:r>
            <w:r w:rsidR="00870FD0">
              <w:rPr>
                <w:bCs w:val="0"/>
                <w:i/>
                <w:sz w:val="18"/>
                <w:szCs w:val="18"/>
              </w:rPr>
              <w:t>.</w:t>
            </w:r>
            <w:r w:rsidRPr="0013526B">
              <w:rPr>
                <w:bCs w:val="0"/>
                <w:i/>
                <w:sz w:val="18"/>
                <w:szCs w:val="18"/>
              </w:rPr>
              <w:t xml:space="preserve"> "Provisions</w:t>
            </w:r>
            <w:r w:rsidR="00870FD0">
              <w:rPr>
                <w:bCs w:val="0"/>
                <w:i/>
                <w:sz w:val="18"/>
                <w:szCs w:val="18"/>
              </w:rPr>
              <w:t>.</w:t>
            </w:r>
            <w:r w:rsidRPr="0013526B">
              <w:rPr>
                <w:bCs w:val="0"/>
                <w:i/>
                <w:sz w:val="18"/>
                <w:szCs w:val="18"/>
              </w:rPr>
              <w:t xml:space="preserve"> Contingent Liabilities and Contingent Assets". The Group makes the analysis to all tax positions related to income taxes to determine if tax liability for unrecognized tax benefits should be recognized.</w:t>
            </w:r>
          </w:p>
        </w:tc>
      </w:tr>
    </w:tbl>
    <w:p w14:paraId="7E929D04" w14:textId="77777777" w:rsidR="002F03EF" w:rsidRDefault="002F03EF">
      <w:pPr>
        <w:rPr>
          <w:sz w:val="6"/>
          <w:szCs w:val="6"/>
        </w:rPr>
      </w:pPr>
    </w:p>
    <w:p w14:paraId="119766FB" w14:textId="77777777" w:rsidR="00497C83" w:rsidRDefault="00497C83">
      <w:pPr>
        <w:rPr>
          <w:sz w:val="6"/>
          <w:szCs w:val="6"/>
        </w:rPr>
      </w:pPr>
    </w:p>
    <w:tbl>
      <w:tblPr>
        <w:tblW w:w="9197" w:type="dxa"/>
        <w:tblInd w:w="392" w:type="dxa"/>
        <w:tblLayout w:type="fixed"/>
        <w:tblLook w:val="0000" w:firstRow="0" w:lastRow="0" w:firstColumn="0" w:lastColumn="0" w:noHBand="0" w:noVBand="0"/>
      </w:tblPr>
      <w:tblGrid>
        <w:gridCol w:w="4598"/>
        <w:gridCol w:w="4599"/>
      </w:tblGrid>
      <w:tr w:rsidR="00497C83" w:rsidRPr="0013526B" w14:paraId="27F8B4D9" w14:textId="77777777" w:rsidTr="00A811B5">
        <w:tc>
          <w:tcPr>
            <w:tcW w:w="4598" w:type="dxa"/>
            <w:tcBorders>
              <w:top w:val="nil"/>
              <w:left w:val="nil"/>
              <w:bottom w:val="nil"/>
              <w:right w:val="nil"/>
            </w:tcBorders>
          </w:tcPr>
          <w:p w14:paraId="78566134" w14:textId="2A388883" w:rsidR="00497C83" w:rsidRPr="00D122F4" w:rsidRDefault="00497C83" w:rsidP="00A811B5">
            <w:pPr>
              <w:ind w:left="284" w:right="-57"/>
              <w:jc w:val="both"/>
              <w:rPr>
                <w:bCs w:val="0"/>
                <w:sz w:val="18"/>
                <w:szCs w:val="18"/>
              </w:rPr>
            </w:pPr>
            <w:r w:rsidRPr="00D122F4">
              <w:rPr>
                <w:bCs w:val="0"/>
                <w:sz w:val="18"/>
                <w:szCs w:val="18"/>
              </w:rPr>
              <w:t xml:space="preserve">Kelompok Usaha menelaah aset pajak tangguhan pada setiap tanggal pelaporan dan mengurangi nilai tercatat sepanjang tidak ada kemungkinan bahwa laba kena pajak memadai untuk mengkompensasi sebagian atau seluruh aset pajak tangguhan. Kelompok Usaha juga menelaah waktu yang diharapkan dan tarif pajak atas pemulihan perbedaan temporer dan menyesuaikan pengaruh atas pajak tangguhan yang sesuai. Penjelasan lebih rinci diungkapkan dalam </w:t>
            </w:r>
            <w:r w:rsidRPr="005704C5">
              <w:rPr>
                <w:bCs w:val="0"/>
                <w:sz w:val="18"/>
                <w:szCs w:val="18"/>
              </w:rPr>
              <w:t xml:space="preserve">catatan </w:t>
            </w:r>
            <w:r w:rsidR="005704C5" w:rsidRPr="005704C5">
              <w:rPr>
                <w:bCs w:val="0"/>
                <w:sz w:val="18"/>
                <w:szCs w:val="18"/>
              </w:rPr>
              <w:t>17f</w:t>
            </w:r>
            <w:r w:rsidRPr="005704C5">
              <w:rPr>
                <w:bCs w:val="0"/>
                <w:sz w:val="18"/>
                <w:szCs w:val="18"/>
              </w:rPr>
              <w:t>.</w:t>
            </w:r>
          </w:p>
        </w:tc>
        <w:tc>
          <w:tcPr>
            <w:tcW w:w="4599" w:type="dxa"/>
            <w:tcBorders>
              <w:top w:val="nil"/>
              <w:left w:val="nil"/>
              <w:bottom w:val="nil"/>
              <w:right w:val="nil"/>
            </w:tcBorders>
          </w:tcPr>
          <w:p w14:paraId="24DC06AC" w14:textId="01A25F4C" w:rsidR="00497C83" w:rsidRPr="00D122F4" w:rsidRDefault="00497C83" w:rsidP="00A811B5">
            <w:pPr>
              <w:tabs>
                <w:tab w:val="left" w:pos="5590"/>
                <w:tab w:val="right" w:pos="7620"/>
                <w:tab w:val="right" w:pos="9460"/>
                <w:tab w:val="right" w:pos="10080"/>
              </w:tabs>
              <w:ind w:left="284" w:right="-57"/>
              <w:jc w:val="both"/>
              <w:rPr>
                <w:bCs w:val="0"/>
                <w:i/>
                <w:sz w:val="18"/>
                <w:szCs w:val="18"/>
              </w:rPr>
            </w:pPr>
            <w:r w:rsidRPr="00D122F4">
              <w:rPr>
                <w:bCs w:val="0"/>
                <w:i/>
                <w:sz w:val="18"/>
                <w:szCs w:val="18"/>
              </w:rPr>
              <w:t>The Group reviews the deferred tax assets at each reporting date and reduces the carrying amount to the extent that it is no longer probable that sufficient taxable income will be available to allow for part or all of the deferred tax assets to be utilized. The Group also reviews the expected timing and tax rates on the reversal of temporary differences and adjusts the impact of deferred tax ac</w:t>
            </w:r>
            <w:r w:rsidRPr="005704C5">
              <w:rPr>
                <w:bCs w:val="0"/>
                <w:i/>
                <w:sz w:val="18"/>
                <w:szCs w:val="18"/>
              </w:rPr>
              <w:t xml:space="preserve">cordingly. More detailed information is disclosed in note </w:t>
            </w:r>
            <w:r w:rsidR="005704C5" w:rsidRPr="005704C5">
              <w:rPr>
                <w:bCs w:val="0"/>
                <w:i/>
                <w:sz w:val="18"/>
                <w:szCs w:val="18"/>
              </w:rPr>
              <w:t>17f</w:t>
            </w:r>
            <w:r w:rsidRPr="005704C5">
              <w:rPr>
                <w:bCs w:val="0"/>
                <w:i/>
                <w:sz w:val="18"/>
                <w:szCs w:val="18"/>
              </w:rPr>
              <w:t>.</w:t>
            </w:r>
          </w:p>
        </w:tc>
      </w:tr>
    </w:tbl>
    <w:p w14:paraId="2076BF44" w14:textId="4D70BC94" w:rsidR="00497C83" w:rsidRDefault="00497C83">
      <w:pPr>
        <w:rPr>
          <w:sz w:val="6"/>
          <w:szCs w:val="6"/>
        </w:rPr>
      </w:pPr>
    </w:p>
    <w:p w14:paraId="78FF69C8" w14:textId="798A0CB2" w:rsidR="00497C83" w:rsidRDefault="00497C83">
      <w:pPr>
        <w:rPr>
          <w:sz w:val="6"/>
          <w:szCs w:val="6"/>
        </w:rPr>
      </w:pPr>
    </w:p>
    <w:p w14:paraId="4016105C" w14:textId="77777777" w:rsidR="00497C83" w:rsidRDefault="00497C83">
      <w:pPr>
        <w:rPr>
          <w:sz w:val="6"/>
          <w:szCs w:val="6"/>
        </w:rPr>
      </w:pPr>
    </w:p>
    <w:tbl>
      <w:tblPr>
        <w:tblW w:w="9197" w:type="dxa"/>
        <w:tblInd w:w="392" w:type="dxa"/>
        <w:tblLayout w:type="fixed"/>
        <w:tblLook w:val="0000" w:firstRow="0" w:lastRow="0" w:firstColumn="0" w:lastColumn="0" w:noHBand="0" w:noVBand="0"/>
      </w:tblPr>
      <w:tblGrid>
        <w:gridCol w:w="4598"/>
        <w:gridCol w:w="4599"/>
      </w:tblGrid>
      <w:tr w:rsidR="00497C83" w:rsidRPr="0013526B" w14:paraId="0EEC1597" w14:textId="77777777" w:rsidTr="00A811B5">
        <w:tc>
          <w:tcPr>
            <w:tcW w:w="4598" w:type="dxa"/>
            <w:tcBorders>
              <w:top w:val="nil"/>
              <w:left w:val="nil"/>
              <w:bottom w:val="nil"/>
              <w:right w:val="nil"/>
            </w:tcBorders>
          </w:tcPr>
          <w:p w14:paraId="069469BA" w14:textId="77777777" w:rsidR="00497C83" w:rsidRPr="0013526B" w:rsidRDefault="00497C83" w:rsidP="00A811B5">
            <w:pPr>
              <w:ind w:left="284" w:right="-57"/>
              <w:jc w:val="both"/>
              <w:rPr>
                <w:bCs w:val="0"/>
                <w:sz w:val="18"/>
                <w:szCs w:val="18"/>
              </w:rPr>
            </w:pPr>
            <w:r w:rsidRPr="0013526B">
              <w:rPr>
                <w:b/>
                <w:bCs w:val="0"/>
                <w:sz w:val="18"/>
                <w:szCs w:val="18"/>
                <w:u w:val="single"/>
              </w:rPr>
              <w:t>Estimasi Beban Pensiun dan Imbalan Kerja</w:t>
            </w:r>
          </w:p>
        </w:tc>
        <w:tc>
          <w:tcPr>
            <w:tcW w:w="4599" w:type="dxa"/>
            <w:tcBorders>
              <w:top w:val="nil"/>
              <w:left w:val="nil"/>
              <w:bottom w:val="nil"/>
              <w:right w:val="nil"/>
            </w:tcBorders>
          </w:tcPr>
          <w:p w14:paraId="06A8A5C4" w14:textId="77777777" w:rsidR="00497C83" w:rsidRPr="0013526B" w:rsidRDefault="00497C83" w:rsidP="00A811B5">
            <w:pPr>
              <w:tabs>
                <w:tab w:val="left" w:pos="5590"/>
                <w:tab w:val="right" w:pos="7620"/>
                <w:tab w:val="right" w:pos="9460"/>
                <w:tab w:val="right" w:pos="10080"/>
              </w:tabs>
              <w:ind w:left="284" w:right="-57"/>
              <w:jc w:val="both"/>
              <w:rPr>
                <w:bCs w:val="0"/>
                <w:i/>
                <w:sz w:val="18"/>
                <w:szCs w:val="18"/>
              </w:rPr>
            </w:pPr>
            <w:r w:rsidRPr="0013526B">
              <w:rPr>
                <w:b/>
                <w:bCs w:val="0"/>
                <w:i/>
                <w:sz w:val="18"/>
                <w:szCs w:val="18"/>
                <w:u w:val="single"/>
              </w:rPr>
              <w:t>Estimated Pension Costs and Employee Benefits</w:t>
            </w:r>
          </w:p>
        </w:tc>
      </w:tr>
      <w:tr w:rsidR="00497C83" w:rsidRPr="0013526B" w14:paraId="48521E76" w14:textId="77777777" w:rsidTr="00A811B5">
        <w:tc>
          <w:tcPr>
            <w:tcW w:w="4598" w:type="dxa"/>
            <w:tcBorders>
              <w:top w:val="nil"/>
              <w:left w:val="nil"/>
              <w:bottom w:val="nil"/>
              <w:right w:val="nil"/>
            </w:tcBorders>
          </w:tcPr>
          <w:p w14:paraId="1204FCFA" w14:textId="77777777" w:rsidR="00497C83" w:rsidRPr="0013526B" w:rsidRDefault="00497C83" w:rsidP="00A811B5">
            <w:pPr>
              <w:ind w:left="284"/>
              <w:jc w:val="both"/>
              <w:rPr>
                <w:bCs w:val="0"/>
                <w:sz w:val="18"/>
                <w:szCs w:val="18"/>
              </w:rPr>
            </w:pPr>
          </w:p>
        </w:tc>
        <w:tc>
          <w:tcPr>
            <w:tcW w:w="4599" w:type="dxa"/>
            <w:tcBorders>
              <w:top w:val="nil"/>
              <w:left w:val="nil"/>
              <w:bottom w:val="nil"/>
              <w:right w:val="nil"/>
            </w:tcBorders>
          </w:tcPr>
          <w:p w14:paraId="6469C25C" w14:textId="77777777" w:rsidR="00497C83" w:rsidRPr="0013526B" w:rsidRDefault="00497C83" w:rsidP="00A811B5">
            <w:pPr>
              <w:tabs>
                <w:tab w:val="left" w:pos="5590"/>
                <w:tab w:val="right" w:pos="7620"/>
                <w:tab w:val="right" w:pos="9460"/>
                <w:tab w:val="right" w:pos="10080"/>
              </w:tabs>
              <w:ind w:left="284"/>
              <w:jc w:val="both"/>
              <w:rPr>
                <w:bCs w:val="0"/>
                <w:i/>
                <w:sz w:val="18"/>
                <w:szCs w:val="18"/>
              </w:rPr>
            </w:pPr>
          </w:p>
        </w:tc>
      </w:tr>
      <w:tr w:rsidR="00497C83" w:rsidRPr="0013526B" w14:paraId="5DA22927" w14:textId="77777777" w:rsidTr="00A811B5">
        <w:tc>
          <w:tcPr>
            <w:tcW w:w="4598" w:type="dxa"/>
            <w:tcBorders>
              <w:top w:val="nil"/>
              <w:left w:val="nil"/>
              <w:bottom w:val="nil"/>
              <w:right w:val="nil"/>
            </w:tcBorders>
          </w:tcPr>
          <w:p w14:paraId="116762F2" w14:textId="77777777" w:rsidR="00497C83" w:rsidRPr="0013526B" w:rsidRDefault="00497C83" w:rsidP="00A811B5">
            <w:pPr>
              <w:ind w:left="284" w:right="-57"/>
              <w:jc w:val="both"/>
              <w:rPr>
                <w:bCs w:val="0"/>
                <w:sz w:val="18"/>
                <w:szCs w:val="18"/>
              </w:rPr>
            </w:pPr>
            <w:r w:rsidRPr="0013526B">
              <w:rPr>
                <w:bCs w:val="0"/>
                <w:sz w:val="18"/>
                <w:szCs w:val="18"/>
              </w:rPr>
              <w:t>Penentuan liabilitas atas pensiun dan kewajiban imbalan kerja Kelompok Usaha bergantung pada pemilihan asumsi yang digunakan oleh aktuaris independen dalam menghitung jumlah-jumlah tersebut.</w:t>
            </w:r>
          </w:p>
        </w:tc>
        <w:tc>
          <w:tcPr>
            <w:tcW w:w="4599" w:type="dxa"/>
            <w:tcBorders>
              <w:top w:val="nil"/>
              <w:left w:val="nil"/>
              <w:bottom w:val="nil"/>
              <w:right w:val="nil"/>
            </w:tcBorders>
          </w:tcPr>
          <w:p w14:paraId="464B9BBB" w14:textId="77777777" w:rsidR="00497C83" w:rsidRPr="0013526B" w:rsidRDefault="00497C83" w:rsidP="00A811B5">
            <w:pPr>
              <w:tabs>
                <w:tab w:val="left" w:pos="5590"/>
                <w:tab w:val="right" w:pos="7620"/>
                <w:tab w:val="right" w:pos="9460"/>
                <w:tab w:val="right" w:pos="10080"/>
              </w:tabs>
              <w:ind w:left="284" w:right="-57"/>
              <w:jc w:val="both"/>
              <w:rPr>
                <w:bCs w:val="0"/>
                <w:i/>
                <w:sz w:val="18"/>
                <w:szCs w:val="18"/>
              </w:rPr>
            </w:pPr>
            <w:r w:rsidRPr="0013526B">
              <w:rPr>
                <w:bCs w:val="0"/>
                <w:i/>
                <w:sz w:val="18"/>
                <w:szCs w:val="18"/>
              </w:rPr>
              <w:t>The determination of liability for pension and employee benefits obligation and net employee benefits expense is subject to the selection of certain assumptions used by independent actuaries in calculating such amounts.</w:t>
            </w:r>
          </w:p>
        </w:tc>
      </w:tr>
      <w:tr w:rsidR="00497C83" w:rsidRPr="0013526B" w14:paraId="3CB95643" w14:textId="77777777" w:rsidTr="00A811B5">
        <w:tc>
          <w:tcPr>
            <w:tcW w:w="4598" w:type="dxa"/>
            <w:tcBorders>
              <w:top w:val="nil"/>
              <w:left w:val="nil"/>
              <w:bottom w:val="nil"/>
              <w:right w:val="nil"/>
            </w:tcBorders>
          </w:tcPr>
          <w:p w14:paraId="31119D4D" w14:textId="77777777" w:rsidR="00497C83" w:rsidRPr="0013526B" w:rsidRDefault="00497C83" w:rsidP="00A811B5">
            <w:pPr>
              <w:ind w:left="284"/>
              <w:jc w:val="both"/>
              <w:rPr>
                <w:bCs w:val="0"/>
                <w:sz w:val="18"/>
                <w:szCs w:val="18"/>
              </w:rPr>
            </w:pPr>
          </w:p>
        </w:tc>
        <w:tc>
          <w:tcPr>
            <w:tcW w:w="4599" w:type="dxa"/>
            <w:tcBorders>
              <w:top w:val="nil"/>
              <w:left w:val="nil"/>
              <w:bottom w:val="nil"/>
              <w:right w:val="nil"/>
            </w:tcBorders>
          </w:tcPr>
          <w:p w14:paraId="0BCC6E8A" w14:textId="77777777" w:rsidR="00497C83" w:rsidRPr="0013526B" w:rsidRDefault="00497C83" w:rsidP="00A811B5">
            <w:pPr>
              <w:tabs>
                <w:tab w:val="left" w:pos="5590"/>
                <w:tab w:val="right" w:pos="7620"/>
                <w:tab w:val="right" w:pos="9460"/>
                <w:tab w:val="right" w:pos="10080"/>
              </w:tabs>
              <w:ind w:left="284"/>
              <w:jc w:val="both"/>
              <w:rPr>
                <w:bCs w:val="0"/>
                <w:i/>
                <w:sz w:val="18"/>
                <w:szCs w:val="18"/>
              </w:rPr>
            </w:pPr>
          </w:p>
        </w:tc>
      </w:tr>
      <w:tr w:rsidR="00497C83" w:rsidRPr="0013526B" w14:paraId="1C742E00" w14:textId="77777777" w:rsidTr="00A811B5">
        <w:tc>
          <w:tcPr>
            <w:tcW w:w="4598" w:type="dxa"/>
            <w:tcBorders>
              <w:top w:val="nil"/>
              <w:left w:val="nil"/>
              <w:bottom w:val="nil"/>
              <w:right w:val="nil"/>
            </w:tcBorders>
          </w:tcPr>
          <w:p w14:paraId="2D2F0FAC" w14:textId="2757C308" w:rsidR="00497C83" w:rsidRPr="0013526B" w:rsidRDefault="00497C83" w:rsidP="00A811B5">
            <w:pPr>
              <w:ind w:left="284" w:right="-57"/>
              <w:jc w:val="both"/>
              <w:rPr>
                <w:bCs w:val="0"/>
                <w:sz w:val="18"/>
                <w:szCs w:val="18"/>
              </w:rPr>
            </w:pPr>
            <w:r w:rsidRPr="0013526B">
              <w:rPr>
                <w:bCs w:val="0"/>
                <w:sz w:val="18"/>
                <w:szCs w:val="18"/>
              </w:rPr>
              <w:t>Asumsi tersebut termasuk antara lain</w:t>
            </w:r>
            <w:r w:rsidR="00870FD0">
              <w:rPr>
                <w:bCs w:val="0"/>
                <w:sz w:val="18"/>
                <w:szCs w:val="18"/>
              </w:rPr>
              <w:t>.</w:t>
            </w:r>
            <w:r w:rsidRPr="0013526B">
              <w:rPr>
                <w:bCs w:val="0"/>
                <w:sz w:val="18"/>
                <w:szCs w:val="18"/>
              </w:rPr>
              <w:t xml:space="preserve"> </w:t>
            </w:r>
            <w:proofErr w:type="gramStart"/>
            <w:r w:rsidRPr="0013526B">
              <w:rPr>
                <w:bCs w:val="0"/>
                <w:sz w:val="18"/>
                <w:szCs w:val="18"/>
              </w:rPr>
              <w:t>tingkat</w:t>
            </w:r>
            <w:proofErr w:type="gramEnd"/>
            <w:r w:rsidRPr="0013526B">
              <w:rPr>
                <w:bCs w:val="0"/>
                <w:sz w:val="18"/>
                <w:szCs w:val="18"/>
              </w:rPr>
              <w:t xml:space="preserve"> diskonto</w:t>
            </w:r>
            <w:r w:rsidR="00870FD0">
              <w:rPr>
                <w:bCs w:val="0"/>
                <w:sz w:val="18"/>
                <w:szCs w:val="18"/>
              </w:rPr>
              <w:t>.</w:t>
            </w:r>
            <w:r w:rsidRPr="0013526B">
              <w:rPr>
                <w:bCs w:val="0"/>
                <w:sz w:val="18"/>
                <w:szCs w:val="18"/>
              </w:rPr>
              <w:t xml:space="preserve"> </w:t>
            </w:r>
            <w:proofErr w:type="gramStart"/>
            <w:r w:rsidRPr="0013526B">
              <w:rPr>
                <w:bCs w:val="0"/>
                <w:sz w:val="18"/>
                <w:szCs w:val="18"/>
              </w:rPr>
              <w:t>tingkat</w:t>
            </w:r>
            <w:proofErr w:type="gramEnd"/>
            <w:r w:rsidRPr="0013526B">
              <w:rPr>
                <w:bCs w:val="0"/>
                <w:sz w:val="18"/>
                <w:szCs w:val="18"/>
              </w:rPr>
              <w:t xml:space="preserve"> kenaikan gaji tahunan</w:t>
            </w:r>
            <w:r w:rsidR="00870FD0">
              <w:rPr>
                <w:bCs w:val="0"/>
                <w:sz w:val="18"/>
                <w:szCs w:val="18"/>
              </w:rPr>
              <w:t>.</w:t>
            </w:r>
            <w:r w:rsidRPr="0013526B">
              <w:rPr>
                <w:bCs w:val="0"/>
                <w:sz w:val="18"/>
                <w:szCs w:val="18"/>
              </w:rPr>
              <w:t xml:space="preserve"> </w:t>
            </w:r>
            <w:proofErr w:type="gramStart"/>
            <w:r w:rsidRPr="0013526B">
              <w:rPr>
                <w:bCs w:val="0"/>
                <w:sz w:val="18"/>
                <w:szCs w:val="18"/>
              </w:rPr>
              <w:t>tingkat</w:t>
            </w:r>
            <w:proofErr w:type="gramEnd"/>
            <w:r w:rsidRPr="0013526B">
              <w:rPr>
                <w:bCs w:val="0"/>
                <w:sz w:val="18"/>
                <w:szCs w:val="18"/>
              </w:rPr>
              <w:t xml:space="preserve"> pengunduran diri karyawan tahunan</w:t>
            </w:r>
            <w:r w:rsidR="00870FD0">
              <w:rPr>
                <w:bCs w:val="0"/>
                <w:sz w:val="18"/>
                <w:szCs w:val="18"/>
              </w:rPr>
              <w:t>.</w:t>
            </w:r>
            <w:r w:rsidRPr="0013526B">
              <w:rPr>
                <w:bCs w:val="0"/>
                <w:sz w:val="18"/>
                <w:szCs w:val="18"/>
              </w:rPr>
              <w:t xml:space="preserve"> </w:t>
            </w:r>
            <w:proofErr w:type="gramStart"/>
            <w:r w:rsidRPr="0013526B">
              <w:rPr>
                <w:bCs w:val="0"/>
                <w:sz w:val="18"/>
                <w:szCs w:val="18"/>
              </w:rPr>
              <w:t>tingkat</w:t>
            </w:r>
            <w:proofErr w:type="gramEnd"/>
            <w:r w:rsidRPr="0013526B">
              <w:rPr>
                <w:bCs w:val="0"/>
                <w:sz w:val="18"/>
                <w:szCs w:val="18"/>
              </w:rPr>
              <w:t xml:space="preserve"> kecacatan</w:t>
            </w:r>
            <w:r w:rsidR="00870FD0">
              <w:rPr>
                <w:bCs w:val="0"/>
                <w:sz w:val="18"/>
                <w:szCs w:val="18"/>
              </w:rPr>
              <w:t>.</w:t>
            </w:r>
            <w:r w:rsidRPr="0013526B">
              <w:rPr>
                <w:bCs w:val="0"/>
                <w:sz w:val="18"/>
                <w:szCs w:val="18"/>
              </w:rPr>
              <w:t xml:space="preserve"> </w:t>
            </w:r>
            <w:proofErr w:type="gramStart"/>
            <w:r w:rsidRPr="0013526B">
              <w:rPr>
                <w:bCs w:val="0"/>
                <w:sz w:val="18"/>
                <w:szCs w:val="18"/>
              </w:rPr>
              <w:t>umur</w:t>
            </w:r>
            <w:proofErr w:type="gramEnd"/>
            <w:r w:rsidRPr="0013526B">
              <w:rPr>
                <w:bCs w:val="0"/>
                <w:sz w:val="18"/>
                <w:szCs w:val="18"/>
              </w:rPr>
              <w:t xml:space="preserve"> pensiun dan tingkat kematian dan tingkat pengembalian aset program yang diharapkan.</w:t>
            </w:r>
          </w:p>
        </w:tc>
        <w:tc>
          <w:tcPr>
            <w:tcW w:w="4599" w:type="dxa"/>
            <w:tcBorders>
              <w:top w:val="nil"/>
              <w:left w:val="nil"/>
              <w:bottom w:val="nil"/>
              <w:right w:val="nil"/>
            </w:tcBorders>
          </w:tcPr>
          <w:p w14:paraId="01791055" w14:textId="3AEEDAB2" w:rsidR="00497C83" w:rsidRPr="0013526B" w:rsidRDefault="00497C83" w:rsidP="00A811B5">
            <w:pPr>
              <w:tabs>
                <w:tab w:val="left" w:pos="5590"/>
                <w:tab w:val="right" w:pos="7620"/>
                <w:tab w:val="right" w:pos="9460"/>
                <w:tab w:val="right" w:pos="10080"/>
              </w:tabs>
              <w:ind w:left="284" w:right="-54"/>
              <w:jc w:val="both"/>
              <w:rPr>
                <w:bCs w:val="0"/>
                <w:i/>
                <w:sz w:val="18"/>
                <w:szCs w:val="18"/>
              </w:rPr>
            </w:pPr>
            <w:r w:rsidRPr="0013526B">
              <w:rPr>
                <w:bCs w:val="0"/>
                <w:i/>
                <w:sz w:val="18"/>
                <w:szCs w:val="18"/>
              </w:rPr>
              <w:t>Those assumptions include</w:t>
            </w:r>
            <w:r w:rsidR="00870FD0">
              <w:rPr>
                <w:bCs w:val="0"/>
                <w:i/>
                <w:sz w:val="18"/>
                <w:szCs w:val="18"/>
              </w:rPr>
              <w:t>.</w:t>
            </w:r>
            <w:r w:rsidRPr="0013526B">
              <w:rPr>
                <w:bCs w:val="0"/>
                <w:i/>
                <w:sz w:val="18"/>
                <w:szCs w:val="18"/>
              </w:rPr>
              <w:t xml:space="preserve"> </w:t>
            </w:r>
            <w:proofErr w:type="gramStart"/>
            <w:r w:rsidRPr="0013526B">
              <w:rPr>
                <w:bCs w:val="0"/>
                <w:i/>
                <w:sz w:val="18"/>
                <w:szCs w:val="18"/>
              </w:rPr>
              <w:t>among</w:t>
            </w:r>
            <w:proofErr w:type="gramEnd"/>
            <w:r w:rsidRPr="0013526B">
              <w:rPr>
                <w:bCs w:val="0"/>
                <w:i/>
                <w:sz w:val="18"/>
                <w:szCs w:val="18"/>
              </w:rPr>
              <w:t xml:space="preserve"> others</w:t>
            </w:r>
            <w:r w:rsidR="00870FD0">
              <w:rPr>
                <w:bCs w:val="0"/>
                <w:i/>
                <w:sz w:val="18"/>
                <w:szCs w:val="18"/>
              </w:rPr>
              <w:t>.</w:t>
            </w:r>
            <w:r w:rsidRPr="0013526B">
              <w:rPr>
                <w:bCs w:val="0"/>
                <w:i/>
                <w:sz w:val="18"/>
                <w:szCs w:val="18"/>
              </w:rPr>
              <w:t xml:space="preserve"> </w:t>
            </w:r>
            <w:proofErr w:type="gramStart"/>
            <w:r w:rsidRPr="0013526B">
              <w:rPr>
                <w:bCs w:val="0"/>
                <w:i/>
                <w:sz w:val="18"/>
                <w:szCs w:val="18"/>
              </w:rPr>
              <w:t>the</w:t>
            </w:r>
            <w:proofErr w:type="gramEnd"/>
            <w:r w:rsidRPr="0013526B">
              <w:rPr>
                <w:bCs w:val="0"/>
                <w:i/>
                <w:sz w:val="18"/>
                <w:szCs w:val="18"/>
              </w:rPr>
              <w:t xml:space="preserve"> discount rate</w:t>
            </w:r>
            <w:r w:rsidR="00870FD0">
              <w:rPr>
                <w:bCs w:val="0"/>
                <w:i/>
                <w:sz w:val="18"/>
                <w:szCs w:val="18"/>
              </w:rPr>
              <w:t>.</w:t>
            </w:r>
            <w:r w:rsidRPr="0013526B">
              <w:rPr>
                <w:bCs w:val="0"/>
                <w:i/>
                <w:sz w:val="18"/>
                <w:szCs w:val="18"/>
              </w:rPr>
              <w:t xml:space="preserve"> </w:t>
            </w:r>
            <w:proofErr w:type="gramStart"/>
            <w:r w:rsidRPr="0013526B">
              <w:rPr>
                <w:bCs w:val="0"/>
                <w:i/>
                <w:sz w:val="18"/>
                <w:szCs w:val="18"/>
              </w:rPr>
              <w:t>annual</w:t>
            </w:r>
            <w:proofErr w:type="gramEnd"/>
            <w:r w:rsidRPr="0013526B">
              <w:rPr>
                <w:bCs w:val="0"/>
                <w:i/>
                <w:sz w:val="18"/>
                <w:szCs w:val="18"/>
              </w:rPr>
              <w:t xml:space="preserve"> salary increase</w:t>
            </w:r>
            <w:r w:rsidR="00870FD0">
              <w:rPr>
                <w:bCs w:val="0"/>
                <w:i/>
                <w:sz w:val="18"/>
                <w:szCs w:val="18"/>
              </w:rPr>
              <w:t>.</w:t>
            </w:r>
            <w:r w:rsidRPr="0013526B">
              <w:rPr>
                <w:bCs w:val="0"/>
                <w:i/>
                <w:sz w:val="18"/>
                <w:szCs w:val="18"/>
              </w:rPr>
              <w:t xml:space="preserve"> </w:t>
            </w:r>
            <w:proofErr w:type="gramStart"/>
            <w:r w:rsidRPr="0013526B">
              <w:rPr>
                <w:bCs w:val="0"/>
                <w:i/>
                <w:sz w:val="18"/>
                <w:szCs w:val="18"/>
              </w:rPr>
              <w:t>the</w:t>
            </w:r>
            <w:proofErr w:type="gramEnd"/>
            <w:r w:rsidRPr="0013526B">
              <w:rPr>
                <w:bCs w:val="0"/>
                <w:i/>
                <w:sz w:val="18"/>
                <w:szCs w:val="18"/>
              </w:rPr>
              <w:t xml:space="preserve"> annual rate of resignation of employees</w:t>
            </w:r>
            <w:r w:rsidR="00870FD0">
              <w:rPr>
                <w:bCs w:val="0"/>
                <w:i/>
                <w:sz w:val="18"/>
                <w:szCs w:val="18"/>
              </w:rPr>
              <w:t>.</w:t>
            </w:r>
            <w:r w:rsidRPr="0013526B">
              <w:rPr>
                <w:bCs w:val="0"/>
                <w:i/>
                <w:sz w:val="18"/>
                <w:szCs w:val="18"/>
              </w:rPr>
              <w:t xml:space="preserve"> </w:t>
            </w:r>
            <w:proofErr w:type="gramStart"/>
            <w:r w:rsidRPr="0013526B">
              <w:rPr>
                <w:bCs w:val="0"/>
                <w:i/>
                <w:sz w:val="18"/>
                <w:szCs w:val="18"/>
              </w:rPr>
              <w:t>level</w:t>
            </w:r>
            <w:proofErr w:type="gramEnd"/>
            <w:r w:rsidRPr="0013526B">
              <w:rPr>
                <w:bCs w:val="0"/>
                <w:i/>
                <w:sz w:val="18"/>
                <w:szCs w:val="18"/>
              </w:rPr>
              <w:t xml:space="preserve"> of disability</w:t>
            </w:r>
            <w:r w:rsidR="00870FD0">
              <w:rPr>
                <w:bCs w:val="0"/>
                <w:i/>
                <w:sz w:val="18"/>
                <w:szCs w:val="18"/>
              </w:rPr>
              <w:t>.</w:t>
            </w:r>
            <w:r w:rsidRPr="0013526B">
              <w:rPr>
                <w:bCs w:val="0"/>
                <w:i/>
                <w:sz w:val="18"/>
                <w:szCs w:val="18"/>
              </w:rPr>
              <w:t xml:space="preserve"> </w:t>
            </w:r>
            <w:proofErr w:type="gramStart"/>
            <w:r w:rsidRPr="0013526B">
              <w:rPr>
                <w:bCs w:val="0"/>
                <w:i/>
                <w:sz w:val="18"/>
                <w:szCs w:val="18"/>
              </w:rPr>
              <w:t>retirement</w:t>
            </w:r>
            <w:proofErr w:type="gramEnd"/>
            <w:r w:rsidRPr="0013526B">
              <w:rPr>
                <w:bCs w:val="0"/>
                <w:i/>
                <w:sz w:val="18"/>
                <w:szCs w:val="18"/>
              </w:rPr>
              <w:t xml:space="preserve"> age and mortality and the expected rate of return of plan assets.</w:t>
            </w:r>
          </w:p>
        </w:tc>
      </w:tr>
      <w:tr w:rsidR="00497C83" w:rsidRPr="0013526B" w14:paraId="5F6B0FD9" w14:textId="77777777" w:rsidTr="00A811B5">
        <w:tc>
          <w:tcPr>
            <w:tcW w:w="4598" w:type="dxa"/>
            <w:tcBorders>
              <w:top w:val="nil"/>
              <w:left w:val="nil"/>
              <w:bottom w:val="nil"/>
              <w:right w:val="nil"/>
            </w:tcBorders>
          </w:tcPr>
          <w:p w14:paraId="3015746B" w14:textId="77777777" w:rsidR="00497C83" w:rsidRPr="0013526B" w:rsidRDefault="00497C83" w:rsidP="00A811B5">
            <w:pPr>
              <w:ind w:left="284"/>
              <w:jc w:val="both"/>
              <w:rPr>
                <w:bCs w:val="0"/>
                <w:sz w:val="18"/>
                <w:szCs w:val="18"/>
              </w:rPr>
            </w:pPr>
          </w:p>
        </w:tc>
        <w:tc>
          <w:tcPr>
            <w:tcW w:w="4599" w:type="dxa"/>
            <w:tcBorders>
              <w:top w:val="nil"/>
              <w:left w:val="nil"/>
              <w:bottom w:val="nil"/>
              <w:right w:val="nil"/>
            </w:tcBorders>
          </w:tcPr>
          <w:p w14:paraId="421FF79D" w14:textId="77777777" w:rsidR="00497C83" w:rsidRPr="0013526B" w:rsidRDefault="00497C83" w:rsidP="00A811B5">
            <w:pPr>
              <w:tabs>
                <w:tab w:val="left" w:pos="5590"/>
                <w:tab w:val="right" w:pos="7620"/>
                <w:tab w:val="right" w:pos="9460"/>
                <w:tab w:val="right" w:pos="10080"/>
              </w:tabs>
              <w:ind w:left="284"/>
              <w:jc w:val="both"/>
              <w:rPr>
                <w:bCs w:val="0"/>
                <w:i/>
                <w:sz w:val="18"/>
                <w:szCs w:val="18"/>
              </w:rPr>
            </w:pPr>
          </w:p>
        </w:tc>
      </w:tr>
      <w:tr w:rsidR="00497C83" w:rsidRPr="0013526B" w14:paraId="4076B360" w14:textId="77777777" w:rsidTr="00A811B5">
        <w:tc>
          <w:tcPr>
            <w:tcW w:w="4598" w:type="dxa"/>
            <w:tcBorders>
              <w:top w:val="nil"/>
              <w:left w:val="nil"/>
              <w:bottom w:val="nil"/>
              <w:right w:val="nil"/>
            </w:tcBorders>
          </w:tcPr>
          <w:p w14:paraId="294BD6D8" w14:textId="47F7EC81" w:rsidR="00497C83" w:rsidRPr="00D122F4" w:rsidRDefault="00497C83" w:rsidP="004E4129">
            <w:pPr>
              <w:ind w:left="284" w:right="-57"/>
              <w:jc w:val="both"/>
              <w:rPr>
                <w:bCs w:val="0"/>
                <w:sz w:val="18"/>
                <w:szCs w:val="18"/>
              </w:rPr>
            </w:pPr>
            <w:r w:rsidRPr="00D122F4">
              <w:rPr>
                <w:bCs w:val="0"/>
                <w:sz w:val="18"/>
                <w:szCs w:val="18"/>
              </w:rPr>
              <w:t>Sementara Kelompok Usaha berkeyakinan bahwa asumsi tersebut adalah wajar dan sesuai</w:t>
            </w:r>
            <w:r w:rsidR="00F32DFB">
              <w:rPr>
                <w:bCs w:val="0"/>
                <w:sz w:val="18"/>
                <w:szCs w:val="18"/>
              </w:rPr>
              <w:t>,</w:t>
            </w:r>
            <w:r w:rsidRPr="00D122F4">
              <w:rPr>
                <w:bCs w:val="0"/>
                <w:sz w:val="18"/>
                <w:szCs w:val="18"/>
              </w:rPr>
              <w:t xml:space="preserve"> perbedaan signifikan pada hasil aktual atau perubahan signifikan dalam asumsi yang ditetapkan Kelompok Usaha dapat mempengaruhi secara material liabilitas diestimasi atas pensiun dan imbalan kerja dan beban imbalan kerja neto. </w:t>
            </w:r>
            <w:r w:rsidRPr="00D122F4">
              <w:rPr>
                <w:bCs w:val="0"/>
                <w:sz w:val="18"/>
                <w:szCs w:val="18"/>
              </w:rPr>
              <w:br/>
              <w:t xml:space="preserve">Penjelasan lebih rinci diungkapan </w:t>
            </w:r>
            <w:r w:rsidRPr="005704C5">
              <w:rPr>
                <w:bCs w:val="0"/>
                <w:sz w:val="18"/>
                <w:szCs w:val="18"/>
              </w:rPr>
              <w:t xml:space="preserve">dalam catatan </w:t>
            </w:r>
            <w:r w:rsidR="004E4129">
              <w:rPr>
                <w:bCs w:val="0"/>
                <w:sz w:val="18"/>
                <w:szCs w:val="18"/>
              </w:rPr>
              <w:t>21</w:t>
            </w:r>
            <w:r w:rsidRPr="005704C5">
              <w:rPr>
                <w:bCs w:val="0"/>
                <w:sz w:val="18"/>
                <w:szCs w:val="18"/>
              </w:rPr>
              <w:t>.</w:t>
            </w:r>
          </w:p>
        </w:tc>
        <w:tc>
          <w:tcPr>
            <w:tcW w:w="4599" w:type="dxa"/>
            <w:tcBorders>
              <w:top w:val="nil"/>
              <w:left w:val="nil"/>
              <w:bottom w:val="nil"/>
              <w:right w:val="nil"/>
            </w:tcBorders>
          </w:tcPr>
          <w:p w14:paraId="5D7DDC3B" w14:textId="51AD53CC" w:rsidR="00497C83" w:rsidRPr="00D122F4" w:rsidRDefault="00497C83" w:rsidP="004E4129">
            <w:pPr>
              <w:tabs>
                <w:tab w:val="left" w:pos="5590"/>
                <w:tab w:val="right" w:pos="7620"/>
                <w:tab w:val="right" w:pos="9460"/>
                <w:tab w:val="right" w:pos="10080"/>
              </w:tabs>
              <w:ind w:left="284" w:right="-68"/>
              <w:jc w:val="both"/>
              <w:rPr>
                <w:bCs w:val="0"/>
                <w:i/>
                <w:sz w:val="18"/>
                <w:szCs w:val="18"/>
              </w:rPr>
            </w:pPr>
            <w:r w:rsidRPr="00D122F4">
              <w:rPr>
                <w:bCs w:val="0"/>
                <w:i/>
                <w:sz w:val="18"/>
                <w:szCs w:val="18"/>
              </w:rPr>
              <w:t>While the Group believes that the assumptions are reasonable and appropriate</w:t>
            </w:r>
            <w:r w:rsidR="00F32DFB">
              <w:rPr>
                <w:bCs w:val="0"/>
                <w:i/>
                <w:sz w:val="18"/>
                <w:szCs w:val="18"/>
              </w:rPr>
              <w:t>,</w:t>
            </w:r>
            <w:r w:rsidRPr="00D122F4">
              <w:rPr>
                <w:bCs w:val="0"/>
                <w:i/>
                <w:sz w:val="18"/>
                <w:szCs w:val="18"/>
              </w:rPr>
              <w:t xml:space="preserve"> significant differences in actual results or significant changes in assumptions defined by the Group can materially affect the estimated liability for employee benefits and pensions and net employee benefits expense. More detailed information disclosed in </w:t>
            </w:r>
            <w:r w:rsidRPr="005704C5">
              <w:rPr>
                <w:bCs w:val="0"/>
                <w:i/>
                <w:sz w:val="18"/>
                <w:szCs w:val="18"/>
              </w:rPr>
              <w:t xml:space="preserve">the note </w:t>
            </w:r>
            <w:r w:rsidR="004E4129">
              <w:rPr>
                <w:bCs w:val="0"/>
                <w:i/>
                <w:sz w:val="18"/>
                <w:szCs w:val="18"/>
              </w:rPr>
              <w:t>21</w:t>
            </w:r>
            <w:r w:rsidRPr="005704C5">
              <w:rPr>
                <w:bCs w:val="0"/>
                <w:i/>
                <w:sz w:val="18"/>
                <w:szCs w:val="18"/>
              </w:rPr>
              <w:t>.</w:t>
            </w:r>
          </w:p>
        </w:tc>
      </w:tr>
    </w:tbl>
    <w:p w14:paraId="4F201248" w14:textId="77777777" w:rsidR="0015255D" w:rsidRDefault="002F03EF" w:rsidP="0015255D">
      <w:pPr>
        <w:rPr>
          <w:sz w:val="6"/>
          <w:szCs w:val="6"/>
        </w:rPr>
      </w:pPr>
      <w:r>
        <w:rPr>
          <w:sz w:val="6"/>
          <w:szCs w:val="6"/>
        </w:rPr>
        <w:br w:type="page"/>
      </w:r>
    </w:p>
    <w:tbl>
      <w:tblPr>
        <w:tblW w:w="9197" w:type="dxa"/>
        <w:tblInd w:w="392" w:type="dxa"/>
        <w:tblLayout w:type="fixed"/>
        <w:tblLook w:val="0000" w:firstRow="0" w:lastRow="0" w:firstColumn="0" w:lastColumn="0" w:noHBand="0" w:noVBand="0"/>
      </w:tblPr>
      <w:tblGrid>
        <w:gridCol w:w="4598"/>
        <w:gridCol w:w="4599"/>
      </w:tblGrid>
      <w:tr w:rsidR="0015255D" w:rsidRPr="0013526B" w14:paraId="33DCA4EF" w14:textId="77777777" w:rsidTr="00A811B5">
        <w:tc>
          <w:tcPr>
            <w:tcW w:w="4598" w:type="dxa"/>
            <w:tcBorders>
              <w:top w:val="nil"/>
              <w:left w:val="nil"/>
              <w:bottom w:val="nil"/>
              <w:right w:val="nil"/>
            </w:tcBorders>
          </w:tcPr>
          <w:p w14:paraId="1C6A30D8" w14:textId="77777777" w:rsidR="0015255D" w:rsidRPr="0013526B" w:rsidRDefault="0015255D" w:rsidP="00070D1F">
            <w:pPr>
              <w:pStyle w:val="ListParagraph"/>
              <w:numPr>
                <w:ilvl w:val="0"/>
                <w:numId w:val="345"/>
              </w:numPr>
              <w:ind w:left="284" w:right="-57" w:hanging="284"/>
              <w:contextualSpacing/>
              <w:jc w:val="both"/>
              <w:rPr>
                <w:sz w:val="18"/>
                <w:szCs w:val="18"/>
              </w:rPr>
            </w:pPr>
            <w:r w:rsidRPr="0013526B">
              <w:rPr>
                <w:sz w:val="18"/>
                <w:szCs w:val="18"/>
              </w:rPr>
              <w:lastRenderedPageBreak/>
              <w:br w:type="page"/>
            </w:r>
            <w:r w:rsidRPr="0013526B">
              <w:rPr>
                <w:b/>
                <w:bCs w:val="0"/>
                <w:sz w:val="18"/>
                <w:szCs w:val="18"/>
              </w:rPr>
              <w:t>ESTIMASI DAN PERTIMBANGAN AKUNTANSI YANG PENTING - Lanjutan</w:t>
            </w:r>
          </w:p>
        </w:tc>
        <w:tc>
          <w:tcPr>
            <w:tcW w:w="4598" w:type="dxa"/>
            <w:tcBorders>
              <w:top w:val="nil"/>
              <w:left w:val="nil"/>
              <w:bottom w:val="nil"/>
              <w:right w:val="nil"/>
            </w:tcBorders>
          </w:tcPr>
          <w:p w14:paraId="30E09C65" w14:textId="77777777" w:rsidR="0015255D" w:rsidRPr="0013526B" w:rsidRDefault="0015255D" w:rsidP="00070D1F">
            <w:pPr>
              <w:pStyle w:val="ListParagraph"/>
              <w:numPr>
                <w:ilvl w:val="0"/>
                <w:numId w:val="346"/>
              </w:numPr>
              <w:ind w:left="284" w:right="-57" w:hanging="284"/>
              <w:contextualSpacing/>
              <w:jc w:val="both"/>
              <w:rPr>
                <w:b/>
                <w:bCs w:val="0"/>
                <w:i/>
                <w:sz w:val="18"/>
                <w:szCs w:val="18"/>
              </w:rPr>
            </w:pPr>
            <w:r w:rsidRPr="0013526B">
              <w:rPr>
                <w:b/>
                <w:bCs w:val="0"/>
                <w:i/>
                <w:sz w:val="18"/>
                <w:szCs w:val="18"/>
              </w:rPr>
              <w:t>ESTIMATES AND JUDGEMENT OF SIGNIFICANT ACCOUNTING - Continued</w:t>
            </w:r>
          </w:p>
        </w:tc>
      </w:tr>
    </w:tbl>
    <w:p w14:paraId="32B04149" w14:textId="77777777" w:rsidR="0015255D" w:rsidRPr="0013526B" w:rsidRDefault="0015255D" w:rsidP="0015255D">
      <w:pPr>
        <w:rPr>
          <w:sz w:val="18"/>
          <w:szCs w:val="18"/>
        </w:rPr>
      </w:pPr>
    </w:p>
    <w:tbl>
      <w:tblPr>
        <w:tblW w:w="9197" w:type="dxa"/>
        <w:tblInd w:w="392" w:type="dxa"/>
        <w:tblLayout w:type="fixed"/>
        <w:tblLook w:val="0000" w:firstRow="0" w:lastRow="0" w:firstColumn="0" w:lastColumn="0" w:noHBand="0" w:noVBand="0"/>
      </w:tblPr>
      <w:tblGrid>
        <w:gridCol w:w="4598"/>
        <w:gridCol w:w="4599"/>
      </w:tblGrid>
      <w:tr w:rsidR="0015255D" w:rsidRPr="00B8576F" w14:paraId="16203C05" w14:textId="77777777" w:rsidTr="0015255D">
        <w:tc>
          <w:tcPr>
            <w:tcW w:w="4598" w:type="dxa"/>
            <w:tcBorders>
              <w:top w:val="nil"/>
              <w:left w:val="nil"/>
              <w:bottom w:val="nil"/>
              <w:right w:val="nil"/>
            </w:tcBorders>
          </w:tcPr>
          <w:p w14:paraId="2EC56CE8" w14:textId="0EA0BB87" w:rsidR="0015255D" w:rsidRPr="00B8576F" w:rsidRDefault="0015255D" w:rsidP="00A811B5">
            <w:pPr>
              <w:ind w:left="284" w:right="-57"/>
              <w:jc w:val="both"/>
              <w:rPr>
                <w:bCs w:val="0"/>
                <w:sz w:val="18"/>
                <w:szCs w:val="18"/>
                <w:u w:val="single"/>
              </w:rPr>
            </w:pPr>
            <w:r>
              <w:rPr>
                <w:b/>
                <w:bCs w:val="0"/>
                <w:sz w:val="18"/>
                <w:szCs w:val="18"/>
                <w:u w:val="single"/>
              </w:rPr>
              <w:t>Rugi Penurunan Nilai Pinjaman yang Diberikan dan Piutang</w:t>
            </w:r>
          </w:p>
        </w:tc>
        <w:tc>
          <w:tcPr>
            <w:tcW w:w="4599" w:type="dxa"/>
            <w:tcBorders>
              <w:top w:val="nil"/>
              <w:left w:val="nil"/>
              <w:bottom w:val="nil"/>
              <w:right w:val="nil"/>
            </w:tcBorders>
          </w:tcPr>
          <w:p w14:paraId="66EFBC86" w14:textId="77777777" w:rsidR="0015255D" w:rsidRPr="00B8576F" w:rsidRDefault="0015255D" w:rsidP="00A811B5">
            <w:pPr>
              <w:tabs>
                <w:tab w:val="left" w:pos="5590"/>
                <w:tab w:val="right" w:pos="7620"/>
                <w:tab w:val="right" w:pos="9460"/>
                <w:tab w:val="right" w:pos="10080"/>
              </w:tabs>
              <w:ind w:left="284" w:right="-57"/>
              <w:jc w:val="both"/>
              <w:rPr>
                <w:bCs w:val="0"/>
                <w:i/>
                <w:sz w:val="18"/>
                <w:szCs w:val="18"/>
                <w:u w:val="single"/>
              </w:rPr>
            </w:pPr>
            <w:r w:rsidRPr="00B8576F">
              <w:rPr>
                <w:b/>
                <w:bCs w:val="0"/>
                <w:i/>
                <w:sz w:val="18"/>
                <w:szCs w:val="18"/>
                <w:u w:val="single"/>
              </w:rPr>
              <w:t>Determining Income Taxes</w:t>
            </w:r>
          </w:p>
        </w:tc>
      </w:tr>
      <w:tr w:rsidR="0015255D" w:rsidRPr="00B8576F" w14:paraId="398FD1F9" w14:textId="77777777" w:rsidTr="0015255D">
        <w:tc>
          <w:tcPr>
            <w:tcW w:w="4598" w:type="dxa"/>
            <w:tcBorders>
              <w:top w:val="nil"/>
              <w:left w:val="nil"/>
              <w:bottom w:val="nil"/>
              <w:right w:val="nil"/>
            </w:tcBorders>
          </w:tcPr>
          <w:p w14:paraId="6C5E158D" w14:textId="77777777" w:rsidR="0015255D" w:rsidRDefault="0015255D" w:rsidP="00A811B5">
            <w:pPr>
              <w:ind w:left="284" w:right="-57"/>
              <w:jc w:val="both"/>
              <w:rPr>
                <w:b/>
                <w:bCs w:val="0"/>
                <w:sz w:val="18"/>
                <w:szCs w:val="18"/>
                <w:u w:val="single"/>
              </w:rPr>
            </w:pPr>
          </w:p>
        </w:tc>
        <w:tc>
          <w:tcPr>
            <w:tcW w:w="4599" w:type="dxa"/>
            <w:tcBorders>
              <w:top w:val="nil"/>
              <w:left w:val="nil"/>
              <w:bottom w:val="nil"/>
              <w:right w:val="nil"/>
            </w:tcBorders>
          </w:tcPr>
          <w:p w14:paraId="706DA640" w14:textId="77777777" w:rsidR="0015255D" w:rsidRPr="00B8576F" w:rsidRDefault="0015255D" w:rsidP="00A811B5">
            <w:pPr>
              <w:tabs>
                <w:tab w:val="left" w:pos="5590"/>
                <w:tab w:val="right" w:pos="7620"/>
                <w:tab w:val="right" w:pos="9460"/>
                <w:tab w:val="right" w:pos="10080"/>
              </w:tabs>
              <w:ind w:left="284" w:right="-57"/>
              <w:jc w:val="both"/>
              <w:rPr>
                <w:b/>
                <w:bCs w:val="0"/>
                <w:i/>
                <w:sz w:val="18"/>
                <w:szCs w:val="18"/>
                <w:u w:val="single"/>
              </w:rPr>
            </w:pPr>
          </w:p>
        </w:tc>
      </w:tr>
      <w:tr w:rsidR="0015255D" w:rsidRPr="0013526B" w14:paraId="21E5CB53" w14:textId="77777777" w:rsidTr="0015255D">
        <w:tc>
          <w:tcPr>
            <w:tcW w:w="4598" w:type="dxa"/>
            <w:tcBorders>
              <w:top w:val="nil"/>
              <w:left w:val="nil"/>
              <w:bottom w:val="nil"/>
              <w:right w:val="nil"/>
            </w:tcBorders>
          </w:tcPr>
          <w:p w14:paraId="1491E2AB" w14:textId="05BA40DE" w:rsidR="0015255D" w:rsidRPr="0013526B" w:rsidRDefault="0015255D" w:rsidP="00F32DFB">
            <w:pPr>
              <w:ind w:left="284" w:right="-57"/>
              <w:jc w:val="both"/>
              <w:rPr>
                <w:bCs w:val="0"/>
                <w:sz w:val="18"/>
                <w:szCs w:val="18"/>
              </w:rPr>
            </w:pPr>
            <w:r>
              <w:rPr>
                <w:bCs w:val="0"/>
                <w:sz w:val="18"/>
                <w:szCs w:val="18"/>
              </w:rPr>
              <w:t>Grup menilai penurunan nilai pinjaman yang diberikan dan piutang pada setiap tanggal pelaporan. Dalam menentukan apakah rugi penurunan nilai harus dicatat dalam laporan laba rugi</w:t>
            </w:r>
            <w:r w:rsidR="00F32DFB">
              <w:rPr>
                <w:bCs w:val="0"/>
                <w:sz w:val="18"/>
                <w:szCs w:val="18"/>
              </w:rPr>
              <w:t>,</w:t>
            </w:r>
            <w:r>
              <w:rPr>
                <w:bCs w:val="0"/>
                <w:sz w:val="18"/>
                <w:szCs w:val="18"/>
              </w:rPr>
              <w:t xml:space="preserve"> manajemen membuat penilaian</w:t>
            </w:r>
            <w:r w:rsidR="00870FD0">
              <w:rPr>
                <w:bCs w:val="0"/>
                <w:sz w:val="18"/>
                <w:szCs w:val="18"/>
              </w:rPr>
              <w:t>.</w:t>
            </w:r>
            <w:r>
              <w:rPr>
                <w:bCs w:val="0"/>
                <w:sz w:val="18"/>
                <w:szCs w:val="18"/>
              </w:rPr>
              <w:t xml:space="preserve"> </w:t>
            </w:r>
            <w:proofErr w:type="gramStart"/>
            <w:r>
              <w:rPr>
                <w:bCs w:val="0"/>
                <w:sz w:val="18"/>
                <w:szCs w:val="18"/>
              </w:rPr>
              <w:t>apakah</w:t>
            </w:r>
            <w:proofErr w:type="gramEnd"/>
            <w:r>
              <w:rPr>
                <w:bCs w:val="0"/>
                <w:sz w:val="18"/>
                <w:szCs w:val="18"/>
              </w:rPr>
              <w:t xml:space="preserve"> terdapat bukti objektif bahwa kerugian telah terjadi. Manajemen juga membuat penilaian atas metodologi dan asumsi untuk memperkirakan jumlah dan waktu arus kas masa depan yang ditelaah secara berkala untuk mengurangi perbedaan antara estimasi kerugian dan kerugian aktualnya. Nilai tercatat pinjaman yang diberikan dan piutang telah diungkap dalam catatan </w:t>
            </w:r>
            <w:r w:rsidR="00467189">
              <w:rPr>
                <w:bCs w:val="0"/>
                <w:sz w:val="18"/>
                <w:szCs w:val="18"/>
              </w:rPr>
              <w:t>6</w:t>
            </w:r>
            <w:r>
              <w:rPr>
                <w:bCs w:val="0"/>
                <w:sz w:val="18"/>
                <w:szCs w:val="18"/>
              </w:rPr>
              <w:t>.</w:t>
            </w:r>
          </w:p>
        </w:tc>
        <w:tc>
          <w:tcPr>
            <w:tcW w:w="4599" w:type="dxa"/>
            <w:tcBorders>
              <w:top w:val="nil"/>
              <w:left w:val="nil"/>
              <w:bottom w:val="nil"/>
              <w:right w:val="nil"/>
            </w:tcBorders>
          </w:tcPr>
          <w:p w14:paraId="3BB17517" w14:textId="0C564F3B" w:rsidR="0015255D" w:rsidRPr="0013526B" w:rsidRDefault="0015255D" w:rsidP="00A811B5">
            <w:pPr>
              <w:tabs>
                <w:tab w:val="left" w:pos="5590"/>
                <w:tab w:val="right" w:pos="7620"/>
                <w:tab w:val="right" w:pos="9460"/>
                <w:tab w:val="right" w:pos="10080"/>
              </w:tabs>
              <w:ind w:left="284" w:right="-57"/>
              <w:jc w:val="both"/>
              <w:rPr>
                <w:bCs w:val="0"/>
                <w:i/>
                <w:sz w:val="18"/>
                <w:szCs w:val="18"/>
              </w:rPr>
            </w:pPr>
            <w:r>
              <w:rPr>
                <w:bCs w:val="0"/>
                <w:i/>
                <w:sz w:val="18"/>
                <w:szCs w:val="18"/>
              </w:rPr>
              <w:t>The Group assess their loans and receivables for impairment at each reporting date. In determining whether and impairment loss should be recorded in profit or loss</w:t>
            </w:r>
            <w:r w:rsidR="00870FD0">
              <w:rPr>
                <w:bCs w:val="0"/>
                <w:i/>
                <w:sz w:val="18"/>
                <w:szCs w:val="18"/>
              </w:rPr>
              <w:t>.</w:t>
            </w:r>
            <w:r>
              <w:rPr>
                <w:bCs w:val="0"/>
                <w:i/>
                <w:sz w:val="18"/>
                <w:szCs w:val="18"/>
              </w:rPr>
              <w:t xml:space="preserve"> </w:t>
            </w:r>
            <w:proofErr w:type="gramStart"/>
            <w:r>
              <w:rPr>
                <w:bCs w:val="0"/>
                <w:i/>
                <w:sz w:val="18"/>
                <w:szCs w:val="18"/>
              </w:rPr>
              <w:t>management</w:t>
            </w:r>
            <w:proofErr w:type="gramEnd"/>
            <w:r>
              <w:rPr>
                <w:bCs w:val="0"/>
                <w:i/>
                <w:sz w:val="18"/>
                <w:szCs w:val="18"/>
              </w:rPr>
              <w:t xml:space="preserve"> makes judgement as to whether there is objective evidence that loss event has occurred. Management also makes judgement as to the methodology and as</w:t>
            </w:r>
            <w:r w:rsidR="00C8159A">
              <w:rPr>
                <w:bCs w:val="0"/>
                <w:i/>
                <w:sz w:val="18"/>
                <w:szCs w:val="18"/>
              </w:rPr>
              <w:t xml:space="preserve">sumptions for estimating the amount and timing of future cash flows which are reviewed regulary to reduce any difference between loss estimate and actual loss. The carrying amount of loans and receivables are disclosed in note </w:t>
            </w:r>
            <w:r w:rsidR="00467189">
              <w:rPr>
                <w:bCs w:val="0"/>
                <w:i/>
                <w:sz w:val="18"/>
                <w:szCs w:val="18"/>
              </w:rPr>
              <w:t>6</w:t>
            </w:r>
            <w:r w:rsidR="00C8159A">
              <w:rPr>
                <w:bCs w:val="0"/>
                <w:i/>
                <w:sz w:val="18"/>
                <w:szCs w:val="18"/>
              </w:rPr>
              <w:t>.</w:t>
            </w:r>
          </w:p>
        </w:tc>
      </w:tr>
      <w:tr w:rsidR="0015255D" w:rsidRPr="00B8576F" w14:paraId="38113221" w14:textId="77777777" w:rsidTr="0015255D">
        <w:tc>
          <w:tcPr>
            <w:tcW w:w="4598" w:type="dxa"/>
            <w:tcBorders>
              <w:top w:val="nil"/>
              <w:left w:val="nil"/>
              <w:bottom w:val="nil"/>
              <w:right w:val="nil"/>
            </w:tcBorders>
          </w:tcPr>
          <w:p w14:paraId="320E164F" w14:textId="77777777" w:rsidR="0015255D" w:rsidRDefault="0015255D" w:rsidP="00A811B5">
            <w:pPr>
              <w:ind w:left="284" w:right="-57"/>
              <w:jc w:val="both"/>
              <w:rPr>
                <w:b/>
                <w:bCs w:val="0"/>
                <w:sz w:val="18"/>
                <w:szCs w:val="18"/>
                <w:u w:val="single"/>
              </w:rPr>
            </w:pPr>
          </w:p>
        </w:tc>
        <w:tc>
          <w:tcPr>
            <w:tcW w:w="4599" w:type="dxa"/>
            <w:tcBorders>
              <w:top w:val="nil"/>
              <w:left w:val="nil"/>
              <w:bottom w:val="nil"/>
              <w:right w:val="nil"/>
            </w:tcBorders>
          </w:tcPr>
          <w:p w14:paraId="617A9E21" w14:textId="77777777" w:rsidR="0015255D" w:rsidRPr="00B8576F" w:rsidRDefault="0015255D" w:rsidP="00A811B5">
            <w:pPr>
              <w:tabs>
                <w:tab w:val="left" w:pos="5590"/>
                <w:tab w:val="right" w:pos="7620"/>
                <w:tab w:val="right" w:pos="9460"/>
                <w:tab w:val="right" w:pos="10080"/>
              </w:tabs>
              <w:ind w:left="284" w:right="-57"/>
              <w:jc w:val="both"/>
              <w:rPr>
                <w:b/>
                <w:bCs w:val="0"/>
                <w:i/>
                <w:sz w:val="18"/>
                <w:szCs w:val="18"/>
                <w:u w:val="single"/>
              </w:rPr>
            </w:pPr>
          </w:p>
        </w:tc>
      </w:tr>
      <w:tr w:rsidR="00C8159A" w:rsidRPr="00B8576F" w14:paraId="51A64D00" w14:textId="77777777" w:rsidTr="00A811B5">
        <w:tc>
          <w:tcPr>
            <w:tcW w:w="4598" w:type="dxa"/>
            <w:tcBorders>
              <w:top w:val="nil"/>
              <w:left w:val="nil"/>
              <w:bottom w:val="nil"/>
              <w:right w:val="nil"/>
            </w:tcBorders>
          </w:tcPr>
          <w:p w14:paraId="1D1D467C" w14:textId="13871168" w:rsidR="00C8159A" w:rsidRPr="00B8576F" w:rsidRDefault="00C8159A" w:rsidP="00A811B5">
            <w:pPr>
              <w:ind w:left="284" w:right="-57"/>
              <w:jc w:val="both"/>
              <w:rPr>
                <w:bCs w:val="0"/>
                <w:sz w:val="18"/>
                <w:szCs w:val="18"/>
                <w:u w:val="single"/>
              </w:rPr>
            </w:pPr>
            <w:r>
              <w:rPr>
                <w:b/>
                <w:bCs w:val="0"/>
                <w:sz w:val="18"/>
                <w:szCs w:val="18"/>
                <w:u w:val="single"/>
              </w:rPr>
              <w:t>Penyisihan Penurun Nilai Persediaan</w:t>
            </w:r>
          </w:p>
        </w:tc>
        <w:tc>
          <w:tcPr>
            <w:tcW w:w="4599" w:type="dxa"/>
            <w:tcBorders>
              <w:top w:val="nil"/>
              <w:left w:val="nil"/>
              <w:bottom w:val="nil"/>
              <w:right w:val="nil"/>
            </w:tcBorders>
          </w:tcPr>
          <w:p w14:paraId="0725D699" w14:textId="0D16EE29" w:rsidR="00C8159A" w:rsidRPr="00B8576F" w:rsidRDefault="00C8159A" w:rsidP="00A811B5">
            <w:pPr>
              <w:tabs>
                <w:tab w:val="left" w:pos="5590"/>
                <w:tab w:val="right" w:pos="7620"/>
                <w:tab w:val="right" w:pos="9460"/>
                <w:tab w:val="right" w:pos="10080"/>
              </w:tabs>
              <w:ind w:left="284" w:right="-57"/>
              <w:jc w:val="both"/>
              <w:rPr>
                <w:bCs w:val="0"/>
                <w:i/>
                <w:sz w:val="18"/>
                <w:szCs w:val="18"/>
                <w:u w:val="single"/>
              </w:rPr>
            </w:pPr>
            <w:r>
              <w:rPr>
                <w:b/>
                <w:bCs w:val="0"/>
                <w:i/>
                <w:sz w:val="18"/>
                <w:szCs w:val="18"/>
                <w:u w:val="single"/>
              </w:rPr>
              <w:t>Allowance for Decline in Value of Inventory</w:t>
            </w:r>
          </w:p>
        </w:tc>
      </w:tr>
      <w:tr w:rsidR="00C8159A" w:rsidRPr="00B8576F" w14:paraId="0B6BAC55" w14:textId="77777777" w:rsidTr="0015255D">
        <w:tc>
          <w:tcPr>
            <w:tcW w:w="4598" w:type="dxa"/>
            <w:tcBorders>
              <w:top w:val="nil"/>
              <w:left w:val="nil"/>
              <w:bottom w:val="nil"/>
              <w:right w:val="nil"/>
            </w:tcBorders>
          </w:tcPr>
          <w:p w14:paraId="7051B211" w14:textId="77777777" w:rsidR="00C8159A" w:rsidRDefault="00C8159A" w:rsidP="00A811B5">
            <w:pPr>
              <w:ind w:left="284" w:right="-57"/>
              <w:jc w:val="both"/>
              <w:rPr>
                <w:b/>
                <w:bCs w:val="0"/>
                <w:sz w:val="18"/>
                <w:szCs w:val="18"/>
                <w:u w:val="single"/>
              </w:rPr>
            </w:pPr>
          </w:p>
        </w:tc>
        <w:tc>
          <w:tcPr>
            <w:tcW w:w="4599" w:type="dxa"/>
            <w:tcBorders>
              <w:top w:val="nil"/>
              <w:left w:val="nil"/>
              <w:bottom w:val="nil"/>
              <w:right w:val="nil"/>
            </w:tcBorders>
          </w:tcPr>
          <w:p w14:paraId="09292B38" w14:textId="77777777" w:rsidR="00C8159A" w:rsidRPr="00B8576F" w:rsidRDefault="00C8159A" w:rsidP="00A811B5">
            <w:pPr>
              <w:tabs>
                <w:tab w:val="left" w:pos="5590"/>
                <w:tab w:val="right" w:pos="7620"/>
                <w:tab w:val="right" w:pos="9460"/>
                <w:tab w:val="right" w:pos="10080"/>
              </w:tabs>
              <w:ind w:left="284" w:right="-57"/>
              <w:jc w:val="both"/>
              <w:rPr>
                <w:b/>
                <w:bCs w:val="0"/>
                <w:i/>
                <w:sz w:val="18"/>
                <w:szCs w:val="18"/>
                <w:u w:val="single"/>
              </w:rPr>
            </w:pPr>
          </w:p>
        </w:tc>
      </w:tr>
      <w:tr w:rsidR="00C8159A" w:rsidRPr="0013526B" w14:paraId="2E4A961D" w14:textId="77777777" w:rsidTr="00A811B5">
        <w:tc>
          <w:tcPr>
            <w:tcW w:w="4598" w:type="dxa"/>
            <w:tcBorders>
              <w:top w:val="nil"/>
              <w:left w:val="nil"/>
              <w:bottom w:val="nil"/>
              <w:right w:val="nil"/>
            </w:tcBorders>
          </w:tcPr>
          <w:p w14:paraId="44AB4238" w14:textId="7FCC2FCA" w:rsidR="00C8159A" w:rsidRPr="0013526B" w:rsidRDefault="00C8159A" w:rsidP="00F32DFB">
            <w:pPr>
              <w:ind w:left="284" w:right="-57"/>
              <w:jc w:val="both"/>
              <w:rPr>
                <w:bCs w:val="0"/>
                <w:sz w:val="18"/>
                <w:szCs w:val="18"/>
              </w:rPr>
            </w:pPr>
            <w:r>
              <w:rPr>
                <w:bCs w:val="0"/>
                <w:sz w:val="18"/>
                <w:szCs w:val="18"/>
              </w:rPr>
              <w:t>Grup membuat penyisihan penurunan nilai persediaan berdasarkan estimasi persediaan yang digunakan pada masa mendatang. Walaupun asumsi yang digunakan dalam mengestimasi penyisihan penurunan nilai persediaan telah sesuai dan wajar</w:t>
            </w:r>
            <w:r w:rsidR="00F32DFB">
              <w:rPr>
                <w:bCs w:val="0"/>
                <w:sz w:val="18"/>
                <w:szCs w:val="18"/>
              </w:rPr>
              <w:t>,</w:t>
            </w:r>
            <w:r>
              <w:rPr>
                <w:bCs w:val="0"/>
                <w:sz w:val="18"/>
                <w:szCs w:val="18"/>
              </w:rPr>
              <w:t xml:space="preserve"> namun perubahan signigfikan atas asumsi ini akan berdampak material terhadap penyisihan penurunan nilai persediaan</w:t>
            </w:r>
            <w:r w:rsidR="00F32DFB">
              <w:rPr>
                <w:bCs w:val="0"/>
                <w:sz w:val="18"/>
                <w:szCs w:val="18"/>
              </w:rPr>
              <w:t>,</w:t>
            </w:r>
            <w:r>
              <w:rPr>
                <w:bCs w:val="0"/>
                <w:sz w:val="18"/>
                <w:szCs w:val="18"/>
              </w:rPr>
              <w:t xml:space="preserve"> yang pada akhirnya akan mempengaruhi hasil usaha Grup. Nilai tercatat persediaan diungkapkan dalam catatan </w:t>
            </w:r>
            <w:r w:rsidR="00467189" w:rsidRPr="00467189">
              <w:rPr>
                <w:bCs w:val="0"/>
                <w:sz w:val="18"/>
                <w:szCs w:val="18"/>
              </w:rPr>
              <w:t>8</w:t>
            </w:r>
            <w:r w:rsidRPr="00467189">
              <w:rPr>
                <w:bCs w:val="0"/>
                <w:sz w:val="18"/>
                <w:szCs w:val="18"/>
              </w:rPr>
              <w:t>.</w:t>
            </w:r>
          </w:p>
        </w:tc>
        <w:tc>
          <w:tcPr>
            <w:tcW w:w="4599" w:type="dxa"/>
            <w:tcBorders>
              <w:top w:val="nil"/>
              <w:left w:val="nil"/>
              <w:bottom w:val="nil"/>
              <w:right w:val="nil"/>
            </w:tcBorders>
          </w:tcPr>
          <w:p w14:paraId="791824D9" w14:textId="09DF5131" w:rsidR="00C8159A" w:rsidRPr="0013526B" w:rsidRDefault="00C8159A" w:rsidP="00F32DFB">
            <w:pPr>
              <w:tabs>
                <w:tab w:val="left" w:pos="5590"/>
                <w:tab w:val="right" w:pos="7620"/>
                <w:tab w:val="right" w:pos="9460"/>
                <w:tab w:val="right" w:pos="10080"/>
              </w:tabs>
              <w:ind w:left="284" w:right="-57"/>
              <w:jc w:val="both"/>
              <w:rPr>
                <w:bCs w:val="0"/>
                <w:i/>
                <w:sz w:val="18"/>
                <w:szCs w:val="18"/>
              </w:rPr>
            </w:pPr>
            <w:r>
              <w:rPr>
                <w:bCs w:val="0"/>
                <w:i/>
                <w:sz w:val="18"/>
                <w:szCs w:val="18"/>
              </w:rPr>
              <w:t>The Group provides allowance for decline in value of inventories based on estimated future usage of such inventories. While it is believed that the assumptions used in the estimation of inventories are appropriate and reasonable</w:t>
            </w:r>
            <w:r w:rsidR="00F32DFB">
              <w:rPr>
                <w:bCs w:val="0"/>
                <w:i/>
                <w:sz w:val="18"/>
                <w:szCs w:val="18"/>
              </w:rPr>
              <w:t>,</w:t>
            </w:r>
            <w:r>
              <w:rPr>
                <w:bCs w:val="0"/>
                <w:i/>
                <w:sz w:val="18"/>
                <w:szCs w:val="18"/>
              </w:rPr>
              <w:t xml:space="preserve"> significant changes in these assumptions may materially affect the assessment of the allowance for decline in value of inventories</w:t>
            </w:r>
            <w:r w:rsidR="00F32DFB">
              <w:rPr>
                <w:bCs w:val="0"/>
                <w:i/>
                <w:sz w:val="18"/>
                <w:szCs w:val="18"/>
              </w:rPr>
              <w:t>,</w:t>
            </w:r>
            <w:r>
              <w:rPr>
                <w:bCs w:val="0"/>
                <w:i/>
                <w:sz w:val="18"/>
                <w:szCs w:val="18"/>
              </w:rPr>
              <w:t xml:space="preserve"> which ultimately will impact the result of the Group’s operations. The carrying amount of inventories is disclose</w:t>
            </w:r>
            <w:r w:rsidR="00862634">
              <w:rPr>
                <w:bCs w:val="0"/>
                <w:i/>
                <w:sz w:val="18"/>
                <w:szCs w:val="18"/>
              </w:rPr>
              <w:t xml:space="preserve">d in </w:t>
            </w:r>
            <w:r w:rsidR="00862634" w:rsidRPr="00467189">
              <w:rPr>
                <w:bCs w:val="0"/>
                <w:i/>
                <w:sz w:val="18"/>
                <w:szCs w:val="18"/>
              </w:rPr>
              <w:t xml:space="preserve">note </w:t>
            </w:r>
            <w:r w:rsidR="00467189">
              <w:rPr>
                <w:bCs w:val="0"/>
                <w:i/>
                <w:sz w:val="18"/>
                <w:szCs w:val="18"/>
              </w:rPr>
              <w:t>8</w:t>
            </w:r>
            <w:r w:rsidR="00862634" w:rsidRPr="00467189">
              <w:rPr>
                <w:bCs w:val="0"/>
                <w:i/>
                <w:sz w:val="18"/>
                <w:szCs w:val="18"/>
              </w:rPr>
              <w:t>.</w:t>
            </w:r>
          </w:p>
        </w:tc>
      </w:tr>
      <w:tr w:rsidR="00052DDE" w:rsidRPr="0013526B" w14:paraId="003ACF0A" w14:textId="77777777" w:rsidTr="00A811B5">
        <w:tc>
          <w:tcPr>
            <w:tcW w:w="4598" w:type="dxa"/>
            <w:tcBorders>
              <w:top w:val="nil"/>
              <w:left w:val="nil"/>
              <w:bottom w:val="nil"/>
              <w:right w:val="nil"/>
            </w:tcBorders>
          </w:tcPr>
          <w:p w14:paraId="53D28B35" w14:textId="77777777" w:rsidR="00052DDE" w:rsidRDefault="00052DDE" w:rsidP="00A811B5">
            <w:pPr>
              <w:ind w:left="284" w:right="-57"/>
              <w:jc w:val="both"/>
              <w:rPr>
                <w:bCs w:val="0"/>
                <w:sz w:val="18"/>
                <w:szCs w:val="18"/>
              </w:rPr>
            </w:pPr>
          </w:p>
        </w:tc>
        <w:tc>
          <w:tcPr>
            <w:tcW w:w="4599" w:type="dxa"/>
            <w:tcBorders>
              <w:top w:val="nil"/>
              <w:left w:val="nil"/>
              <w:bottom w:val="nil"/>
              <w:right w:val="nil"/>
            </w:tcBorders>
          </w:tcPr>
          <w:p w14:paraId="4F335B1A" w14:textId="77777777" w:rsidR="00052DDE" w:rsidRDefault="00052DDE" w:rsidP="00A811B5">
            <w:pPr>
              <w:tabs>
                <w:tab w:val="left" w:pos="5590"/>
                <w:tab w:val="right" w:pos="7620"/>
                <w:tab w:val="right" w:pos="9460"/>
                <w:tab w:val="right" w:pos="10080"/>
              </w:tabs>
              <w:ind w:left="284" w:right="-57"/>
              <w:jc w:val="both"/>
              <w:rPr>
                <w:bCs w:val="0"/>
                <w:i/>
                <w:sz w:val="18"/>
                <w:szCs w:val="18"/>
              </w:rPr>
            </w:pPr>
          </w:p>
        </w:tc>
      </w:tr>
      <w:tr w:rsidR="00052DDE" w:rsidRPr="00B8576F" w14:paraId="16C983D6" w14:textId="77777777" w:rsidTr="00A811B5">
        <w:tc>
          <w:tcPr>
            <w:tcW w:w="4598" w:type="dxa"/>
            <w:tcBorders>
              <w:top w:val="nil"/>
              <w:left w:val="nil"/>
              <w:bottom w:val="nil"/>
              <w:right w:val="nil"/>
            </w:tcBorders>
          </w:tcPr>
          <w:p w14:paraId="6161C0C2" w14:textId="01948C46" w:rsidR="00052DDE" w:rsidRPr="00052DDE" w:rsidRDefault="00052DDE" w:rsidP="00A811B5">
            <w:pPr>
              <w:ind w:left="284" w:right="-57"/>
              <w:jc w:val="both"/>
              <w:rPr>
                <w:b/>
                <w:sz w:val="18"/>
                <w:szCs w:val="18"/>
                <w:u w:val="single"/>
              </w:rPr>
            </w:pPr>
            <w:r>
              <w:rPr>
                <w:b/>
                <w:sz w:val="18"/>
                <w:szCs w:val="18"/>
                <w:u w:val="single"/>
              </w:rPr>
              <w:t>Aset Pajak Tangguhan yang Dapat Direalisasi</w:t>
            </w:r>
          </w:p>
        </w:tc>
        <w:tc>
          <w:tcPr>
            <w:tcW w:w="4599" w:type="dxa"/>
            <w:tcBorders>
              <w:top w:val="nil"/>
              <w:left w:val="nil"/>
              <w:bottom w:val="nil"/>
              <w:right w:val="nil"/>
            </w:tcBorders>
          </w:tcPr>
          <w:p w14:paraId="7E2CC689" w14:textId="5B150CA5" w:rsidR="00052DDE" w:rsidRPr="00052DDE" w:rsidRDefault="00052DDE" w:rsidP="00A811B5">
            <w:pPr>
              <w:tabs>
                <w:tab w:val="left" w:pos="5590"/>
                <w:tab w:val="right" w:pos="7620"/>
                <w:tab w:val="right" w:pos="9460"/>
                <w:tab w:val="right" w:pos="10080"/>
              </w:tabs>
              <w:ind w:left="284" w:right="-57"/>
              <w:jc w:val="both"/>
              <w:rPr>
                <w:b/>
                <w:i/>
                <w:sz w:val="18"/>
                <w:szCs w:val="18"/>
                <w:u w:val="single"/>
              </w:rPr>
            </w:pPr>
            <w:r>
              <w:rPr>
                <w:b/>
                <w:i/>
                <w:sz w:val="18"/>
                <w:szCs w:val="18"/>
                <w:u w:val="single"/>
              </w:rPr>
              <w:t>Recoverability of Deferred Tax Assets</w:t>
            </w:r>
          </w:p>
        </w:tc>
      </w:tr>
      <w:tr w:rsidR="00052DDE" w:rsidRPr="00B8576F" w14:paraId="76A806F9" w14:textId="77777777" w:rsidTr="00A811B5">
        <w:tc>
          <w:tcPr>
            <w:tcW w:w="4598" w:type="dxa"/>
            <w:tcBorders>
              <w:top w:val="nil"/>
              <w:left w:val="nil"/>
              <w:bottom w:val="nil"/>
              <w:right w:val="nil"/>
            </w:tcBorders>
          </w:tcPr>
          <w:p w14:paraId="4BD36B34" w14:textId="77777777" w:rsidR="00052DDE" w:rsidRDefault="00052DDE" w:rsidP="00A811B5">
            <w:pPr>
              <w:ind w:left="284" w:right="-57"/>
              <w:jc w:val="both"/>
              <w:rPr>
                <w:b/>
                <w:bCs w:val="0"/>
                <w:sz w:val="18"/>
                <w:szCs w:val="18"/>
                <w:u w:val="single"/>
              </w:rPr>
            </w:pPr>
          </w:p>
        </w:tc>
        <w:tc>
          <w:tcPr>
            <w:tcW w:w="4599" w:type="dxa"/>
            <w:tcBorders>
              <w:top w:val="nil"/>
              <w:left w:val="nil"/>
              <w:bottom w:val="nil"/>
              <w:right w:val="nil"/>
            </w:tcBorders>
          </w:tcPr>
          <w:p w14:paraId="08C48827" w14:textId="77777777" w:rsidR="00052DDE" w:rsidRPr="00B8576F" w:rsidRDefault="00052DDE" w:rsidP="00A811B5">
            <w:pPr>
              <w:tabs>
                <w:tab w:val="left" w:pos="5590"/>
                <w:tab w:val="right" w:pos="7620"/>
                <w:tab w:val="right" w:pos="9460"/>
                <w:tab w:val="right" w:pos="10080"/>
              </w:tabs>
              <w:ind w:left="284" w:right="-57"/>
              <w:jc w:val="both"/>
              <w:rPr>
                <w:b/>
                <w:bCs w:val="0"/>
                <w:i/>
                <w:sz w:val="18"/>
                <w:szCs w:val="18"/>
                <w:u w:val="single"/>
              </w:rPr>
            </w:pPr>
          </w:p>
        </w:tc>
      </w:tr>
      <w:tr w:rsidR="00052DDE" w:rsidRPr="0013526B" w14:paraId="3DB5BA23" w14:textId="77777777" w:rsidTr="00A811B5">
        <w:tc>
          <w:tcPr>
            <w:tcW w:w="4598" w:type="dxa"/>
            <w:tcBorders>
              <w:top w:val="nil"/>
              <w:left w:val="nil"/>
              <w:bottom w:val="nil"/>
              <w:right w:val="nil"/>
            </w:tcBorders>
          </w:tcPr>
          <w:p w14:paraId="27207140" w14:textId="259683FF" w:rsidR="00052DDE" w:rsidRPr="0013526B" w:rsidRDefault="00052DDE" w:rsidP="00F32DFB">
            <w:pPr>
              <w:ind w:left="284" w:right="-57"/>
              <w:jc w:val="both"/>
              <w:rPr>
                <w:bCs w:val="0"/>
                <w:sz w:val="18"/>
                <w:szCs w:val="18"/>
              </w:rPr>
            </w:pPr>
            <w:r>
              <w:rPr>
                <w:bCs w:val="0"/>
                <w:sz w:val="18"/>
                <w:szCs w:val="18"/>
              </w:rPr>
              <w:t>Nilai tercatat aset pajak tangguhan ditelaah pada setiap tanggal pelaporan dan diturunkan apabila terdapat kemungkinan bahwa jumlah laba fis</w:t>
            </w:r>
            <w:r w:rsidR="00F32DFB">
              <w:rPr>
                <w:bCs w:val="0"/>
                <w:sz w:val="18"/>
                <w:szCs w:val="18"/>
              </w:rPr>
              <w:t>k</w:t>
            </w:r>
            <w:r>
              <w:rPr>
                <w:bCs w:val="0"/>
                <w:sz w:val="18"/>
                <w:szCs w:val="18"/>
              </w:rPr>
              <w:t>al pada masa mendatang kemungkinan tidak memadai untuk mengkompensasi sebagian atau seluruh aset pajak tangguhan</w:t>
            </w:r>
            <w:r w:rsidR="00F32DFB">
              <w:rPr>
                <w:bCs w:val="0"/>
                <w:sz w:val="18"/>
                <w:szCs w:val="18"/>
              </w:rPr>
              <w:t>,</w:t>
            </w:r>
            <w:r>
              <w:rPr>
                <w:bCs w:val="0"/>
                <w:sz w:val="18"/>
                <w:szCs w:val="18"/>
              </w:rPr>
              <w:t xml:space="preserve"> aset tersebut tidak diakui di laporan posisi keuangan konsolidasian. Catatan </w:t>
            </w:r>
            <w:r w:rsidR="00467189">
              <w:rPr>
                <w:bCs w:val="0"/>
                <w:sz w:val="18"/>
                <w:szCs w:val="18"/>
              </w:rPr>
              <w:t>17</w:t>
            </w:r>
            <w:r>
              <w:rPr>
                <w:bCs w:val="0"/>
                <w:sz w:val="18"/>
                <w:szCs w:val="18"/>
              </w:rPr>
              <w:t xml:space="preserve"> menyajikan nilai tercatat aset pajak tangguhan Grup. </w:t>
            </w:r>
          </w:p>
        </w:tc>
        <w:tc>
          <w:tcPr>
            <w:tcW w:w="4599" w:type="dxa"/>
            <w:tcBorders>
              <w:top w:val="nil"/>
              <w:left w:val="nil"/>
              <w:bottom w:val="nil"/>
              <w:right w:val="nil"/>
            </w:tcBorders>
          </w:tcPr>
          <w:p w14:paraId="22A56238" w14:textId="517A3062" w:rsidR="00052DDE" w:rsidRPr="0013526B" w:rsidRDefault="00052DDE" w:rsidP="00F32DFB">
            <w:pPr>
              <w:tabs>
                <w:tab w:val="left" w:pos="5590"/>
                <w:tab w:val="right" w:pos="7620"/>
                <w:tab w:val="right" w:pos="9460"/>
                <w:tab w:val="right" w:pos="10080"/>
              </w:tabs>
              <w:ind w:left="284" w:right="-57"/>
              <w:jc w:val="both"/>
              <w:rPr>
                <w:bCs w:val="0"/>
                <w:i/>
                <w:sz w:val="18"/>
                <w:szCs w:val="18"/>
              </w:rPr>
            </w:pPr>
            <w:r>
              <w:rPr>
                <w:bCs w:val="0"/>
                <w:i/>
                <w:sz w:val="18"/>
                <w:szCs w:val="18"/>
              </w:rPr>
              <w:t>The carrying amount of deferred tax assets is reviewed at each reporting date and reduced to the extent that is no longer probable that sufficient future taxable profit will be available to allow all of part of the deferred income tax assets to be utilized. However</w:t>
            </w:r>
            <w:r w:rsidR="00F32DFB">
              <w:rPr>
                <w:bCs w:val="0"/>
                <w:i/>
                <w:sz w:val="18"/>
                <w:szCs w:val="18"/>
              </w:rPr>
              <w:t>,</w:t>
            </w:r>
            <w:r>
              <w:rPr>
                <w:bCs w:val="0"/>
                <w:i/>
                <w:sz w:val="18"/>
                <w:szCs w:val="18"/>
              </w:rPr>
              <w:t xml:space="preserve"> if there is no assurance that the Group will generate sufficient future taxable profit to allow all or part of deferred tax assets to be utilitized</w:t>
            </w:r>
            <w:r w:rsidR="00870FD0">
              <w:rPr>
                <w:bCs w:val="0"/>
                <w:i/>
                <w:sz w:val="18"/>
                <w:szCs w:val="18"/>
              </w:rPr>
              <w:t>.</w:t>
            </w:r>
            <w:r>
              <w:rPr>
                <w:bCs w:val="0"/>
                <w:i/>
                <w:sz w:val="18"/>
                <w:szCs w:val="18"/>
              </w:rPr>
              <w:t xml:space="preserve"> </w:t>
            </w:r>
            <w:proofErr w:type="gramStart"/>
            <w:r>
              <w:rPr>
                <w:bCs w:val="0"/>
                <w:i/>
                <w:sz w:val="18"/>
                <w:szCs w:val="18"/>
              </w:rPr>
              <w:t>the</w:t>
            </w:r>
            <w:proofErr w:type="gramEnd"/>
            <w:r>
              <w:rPr>
                <w:bCs w:val="0"/>
                <w:i/>
                <w:sz w:val="18"/>
                <w:szCs w:val="18"/>
              </w:rPr>
              <w:t xml:space="preserve"> assets are not recognized in the consolidated statement of  financial position. Note </w:t>
            </w:r>
            <w:r w:rsidR="00467189">
              <w:rPr>
                <w:bCs w:val="0"/>
                <w:i/>
                <w:sz w:val="18"/>
                <w:szCs w:val="18"/>
              </w:rPr>
              <w:t>17</w:t>
            </w:r>
            <w:r>
              <w:rPr>
                <w:bCs w:val="0"/>
                <w:i/>
                <w:sz w:val="18"/>
                <w:szCs w:val="18"/>
              </w:rPr>
              <w:t xml:space="preserve"> disclosed the carrying amount of deferred tax assets of the Group.</w:t>
            </w:r>
          </w:p>
        </w:tc>
      </w:tr>
      <w:tr w:rsidR="00C8159A" w:rsidRPr="00B8576F" w14:paraId="01E1BEA9" w14:textId="77777777" w:rsidTr="0015255D">
        <w:tc>
          <w:tcPr>
            <w:tcW w:w="4598" w:type="dxa"/>
            <w:tcBorders>
              <w:top w:val="nil"/>
              <w:left w:val="nil"/>
              <w:bottom w:val="nil"/>
              <w:right w:val="nil"/>
            </w:tcBorders>
          </w:tcPr>
          <w:p w14:paraId="3E419B62" w14:textId="77777777" w:rsidR="00C8159A" w:rsidRDefault="00C8159A" w:rsidP="00A811B5">
            <w:pPr>
              <w:ind w:left="284" w:right="-57"/>
              <w:jc w:val="both"/>
              <w:rPr>
                <w:b/>
                <w:bCs w:val="0"/>
                <w:sz w:val="18"/>
                <w:szCs w:val="18"/>
                <w:u w:val="single"/>
              </w:rPr>
            </w:pPr>
          </w:p>
        </w:tc>
        <w:tc>
          <w:tcPr>
            <w:tcW w:w="4599" w:type="dxa"/>
            <w:tcBorders>
              <w:top w:val="nil"/>
              <w:left w:val="nil"/>
              <w:bottom w:val="nil"/>
              <w:right w:val="nil"/>
            </w:tcBorders>
          </w:tcPr>
          <w:p w14:paraId="75F2E255" w14:textId="77777777" w:rsidR="00C8159A" w:rsidRPr="00B8576F" w:rsidRDefault="00C8159A" w:rsidP="00A811B5">
            <w:pPr>
              <w:tabs>
                <w:tab w:val="left" w:pos="5590"/>
                <w:tab w:val="right" w:pos="7620"/>
                <w:tab w:val="right" w:pos="9460"/>
                <w:tab w:val="right" w:pos="10080"/>
              </w:tabs>
              <w:ind w:left="284" w:right="-57"/>
              <w:jc w:val="both"/>
              <w:rPr>
                <w:b/>
                <w:bCs w:val="0"/>
                <w:i/>
                <w:sz w:val="18"/>
                <w:szCs w:val="18"/>
                <w:u w:val="single"/>
              </w:rPr>
            </w:pPr>
          </w:p>
        </w:tc>
      </w:tr>
    </w:tbl>
    <w:p w14:paraId="28AEDF81" w14:textId="5D84EA5E" w:rsidR="00BC327D" w:rsidRPr="0015255D" w:rsidRDefault="0015255D" w:rsidP="0015255D">
      <w:pPr>
        <w:rPr>
          <w:rStyle w:val="hps"/>
          <w:sz w:val="6"/>
          <w:szCs w:val="6"/>
        </w:rPr>
        <w:sectPr w:rsidR="00BC327D" w:rsidRPr="0015255D" w:rsidSect="00037369">
          <w:pgSz w:w="11907" w:h="16839" w:code="9"/>
          <w:pgMar w:top="1363" w:right="1100" w:bottom="278" w:left="1281" w:header="850" w:footer="397" w:gutter="0"/>
          <w:cols w:space="708"/>
          <w:noEndnote/>
          <w:docGrid w:linePitch="326"/>
        </w:sectPr>
      </w:pPr>
      <w:r>
        <w:rPr>
          <w:sz w:val="6"/>
          <w:szCs w:val="6"/>
        </w:rPr>
        <w:br w:type="page"/>
      </w:r>
    </w:p>
    <w:tbl>
      <w:tblPr>
        <w:tblW w:w="9197" w:type="dxa"/>
        <w:tblInd w:w="108" w:type="dxa"/>
        <w:tblLayout w:type="fixed"/>
        <w:tblLook w:val="0000" w:firstRow="0" w:lastRow="0" w:firstColumn="0" w:lastColumn="0" w:noHBand="0" w:noVBand="0"/>
      </w:tblPr>
      <w:tblGrid>
        <w:gridCol w:w="4598"/>
        <w:gridCol w:w="4599"/>
      </w:tblGrid>
      <w:tr w:rsidR="00D4141B" w:rsidRPr="008448C1" w14:paraId="6A7074F7" w14:textId="77777777" w:rsidTr="004F376A">
        <w:tc>
          <w:tcPr>
            <w:tcW w:w="4600" w:type="dxa"/>
            <w:tcBorders>
              <w:top w:val="nil"/>
              <w:left w:val="nil"/>
              <w:bottom w:val="nil"/>
              <w:right w:val="nil"/>
            </w:tcBorders>
          </w:tcPr>
          <w:p w14:paraId="57C11514" w14:textId="77777777" w:rsidR="00D4141B" w:rsidRPr="008448C1" w:rsidRDefault="00B36CC1" w:rsidP="00070D1F">
            <w:pPr>
              <w:pStyle w:val="ListParagraph"/>
              <w:numPr>
                <w:ilvl w:val="0"/>
                <w:numId w:val="345"/>
              </w:numPr>
              <w:ind w:left="284" w:right="-57" w:hanging="284"/>
              <w:contextualSpacing/>
              <w:jc w:val="both"/>
              <w:rPr>
                <w:b/>
                <w:bCs w:val="0"/>
                <w:sz w:val="18"/>
                <w:szCs w:val="18"/>
              </w:rPr>
            </w:pPr>
            <w:r w:rsidRPr="008448C1">
              <w:rPr>
                <w:b/>
                <w:bCs w:val="0"/>
                <w:sz w:val="18"/>
                <w:szCs w:val="18"/>
              </w:rPr>
              <w:lastRenderedPageBreak/>
              <w:br w:type="page"/>
            </w:r>
            <w:r w:rsidR="003C45AA" w:rsidRPr="008448C1">
              <w:rPr>
                <w:b/>
                <w:bCs w:val="0"/>
                <w:sz w:val="18"/>
                <w:szCs w:val="18"/>
              </w:rPr>
              <w:br w:type="page"/>
            </w:r>
            <w:r w:rsidR="00D4141B" w:rsidRPr="008448C1">
              <w:rPr>
                <w:b/>
                <w:bCs w:val="0"/>
                <w:sz w:val="18"/>
                <w:szCs w:val="18"/>
              </w:rPr>
              <w:br w:type="page"/>
            </w:r>
            <w:r w:rsidR="00D4141B" w:rsidRPr="008448C1">
              <w:rPr>
                <w:b/>
                <w:bCs w:val="0"/>
                <w:sz w:val="18"/>
                <w:szCs w:val="18"/>
              </w:rPr>
              <w:br w:type="page"/>
            </w:r>
            <w:r w:rsidR="00D4141B" w:rsidRPr="008448C1">
              <w:rPr>
                <w:b/>
                <w:bCs w:val="0"/>
                <w:sz w:val="18"/>
                <w:szCs w:val="18"/>
              </w:rPr>
              <w:br w:type="page"/>
              <w:t>KAS DAN SETARA KAS</w:t>
            </w:r>
          </w:p>
        </w:tc>
        <w:tc>
          <w:tcPr>
            <w:tcW w:w="4601" w:type="dxa"/>
            <w:tcBorders>
              <w:top w:val="nil"/>
              <w:left w:val="nil"/>
              <w:bottom w:val="nil"/>
              <w:right w:val="nil"/>
            </w:tcBorders>
          </w:tcPr>
          <w:p w14:paraId="25528978" w14:textId="77777777" w:rsidR="00D4141B" w:rsidRPr="000A0364" w:rsidRDefault="00D4141B" w:rsidP="00070D1F">
            <w:pPr>
              <w:pStyle w:val="ListParagraph"/>
              <w:numPr>
                <w:ilvl w:val="0"/>
                <w:numId w:val="344"/>
              </w:numPr>
              <w:ind w:left="284" w:right="-57" w:hanging="284"/>
              <w:contextualSpacing/>
              <w:jc w:val="both"/>
              <w:rPr>
                <w:b/>
                <w:bCs w:val="0"/>
                <w:i/>
                <w:iCs/>
                <w:sz w:val="18"/>
                <w:szCs w:val="18"/>
              </w:rPr>
            </w:pPr>
            <w:r w:rsidRPr="000A0364">
              <w:rPr>
                <w:b/>
                <w:bCs w:val="0"/>
                <w:i/>
                <w:iCs/>
                <w:sz w:val="18"/>
                <w:szCs w:val="18"/>
              </w:rPr>
              <w:t>CASH AND CASH EQUIVALENTS</w:t>
            </w:r>
          </w:p>
        </w:tc>
      </w:tr>
      <w:tr w:rsidR="00D4141B" w:rsidRPr="0013526B" w14:paraId="6F775275" w14:textId="77777777" w:rsidTr="004F376A">
        <w:tc>
          <w:tcPr>
            <w:tcW w:w="4600" w:type="dxa"/>
            <w:tcBorders>
              <w:top w:val="nil"/>
              <w:left w:val="nil"/>
              <w:bottom w:val="nil"/>
              <w:right w:val="nil"/>
            </w:tcBorders>
          </w:tcPr>
          <w:p w14:paraId="774426A8" w14:textId="77777777" w:rsidR="00D4141B" w:rsidRPr="0013526B" w:rsidRDefault="00D4141B" w:rsidP="0013526B">
            <w:pPr>
              <w:ind w:left="1027"/>
              <w:jc w:val="both"/>
              <w:rPr>
                <w:bCs w:val="0"/>
                <w:sz w:val="16"/>
                <w:szCs w:val="18"/>
              </w:rPr>
            </w:pPr>
          </w:p>
        </w:tc>
        <w:tc>
          <w:tcPr>
            <w:tcW w:w="4601" w:type="dxa"/>
            <w:tcBorders>
              <w:top w:val="nil"/>
              <w:left w:val="nil"/>
              <w:bottom w:val="nil"/>
              <w:right w:val="nil"/>
            </w:tcBorders>
          </w:tcPr>
          <w:p w14:paraId="0C8BEFB3" w14:textId="77777777" w:rsidR="00D4141B" w:rsidRPr="0013526B" w:rsidRDefault="00D4141B" w:rsidP="0013526B">
            <w:pPr>
              <w:ind w:left="1027"/>
              <w:jc w:val="both"/>
              <w:rPr>
                <w:bCs w:val="0"/>
                <w:sz w:val="16"/>
                <w:szCs w:val="18"/>
              </w:rPr>
            </w:pPr>
          </w:p>
        </w:tc>
      </w:tr>
      <w:tr w:rsidR="00D4141B" w:rsidRPr="0013526B" w14:paraId="5CBC500F" w14:textId="77777777" w:rsidTr="004F376A">
        <w:tc>
          <w:tcPr>
            <w:tcW w:w="4600" w:type="dxa"/>
            <w:tcBorders>
              <w:top w:val="nil"/>
              <w:left w:val="nil"/>
              <w:bottom w:val="nil"/>
              <w:right w:val="nil"/>
            </w:tcBorders>
          </w:tcPr>
          <w:p w14:paraId="4FA347B1" w14:textId="77777777" w:rsidR="00D4141B" w:rsidRPr="0013526B" w:rsidRDefault="009A331C" w:rsidP="0013526B">
            <w:pPr>
              <w:pStyle w:val="ListParagraph"/>
              <w:ind w:left="284"/>
              <w:jc w:val="both"/>
              <w:rPr>
                <w:sz w:val="18"/>
                <w:szCs w:val="18"/>
              </w:rPr>
            </w:pPr>
            <w:r w:rsidRPr="0013526B">
              <w:rPr>
                <w:sz w:val="18"/>
                <w:szCs w:val="18"/>
              </w:rPr>
              <w:t>Saldo kas dan setara kas terdiri dari:</w:t>
            </w:r>
          </w:p>
        </w:tc>
        <w:tc>
          <w:tcPr>
            <w:tcW w:w="4601" w:type="dxa"/>
            <w:tcBorders>
              <w:top w:val="nil"/>
              <w:left w:val="nil"/>
              <w:bottom w:val="nil"/>
              <w:right w:val="nil"/>
            </w:tcBorders>
          </w:tcPr>
          <w:p w14:paraId="46022E70" w14:textId="77777777" w:rsidR="00D4141B" w:rsidRPr="0013526B" w:rsidRDefault="009A331C" w:rsidP="000A0364">
            <w:pPr>
              <w:pStyle w:val="ListParagraph"/>
              <w:tabs>
                <w:tab w:val="right" w:pos="9340"/>
                <w:tab w:val="right" w:pos="10080"/>
              </w:tabs>
              <w:ind w:left="284" w:right="-57"/>
              <w:jc w:val="both"/>
              <w:rPr>
                <w:i/>
                <w:sz w:val="18"/>
                <w:szCs w:val="18"/>
              </w:rPr>
            </w:pPr>
            <w:r w:rsidRPr="0013526B">
              <w:rPr>
                <w:i/>
                <w:sz w:val="18"/>
                <w:szCs w:val="18"/>
              </w:rPr>
              <w:t>The balance of cash and cash equivalents consist of:</w:t>
            </w:r>
          </w:p>
        </w:tc>
      </w:tr>
    </w:tbl>
    <w:p w14:paraId="3F583354" w14:textId="77777777" w:rsidR="00D4141B" w:rsidRPr="0013526B" w:rsidRDefault="00D4141B" w:rsidP="0013526B">
      <w:pPr>
        <w:rPr>
          <w:sz w:val="16"/>
          <w:szCs w:val="18"/>
        </w:rPr>
      </w:pPr>
    </w:p>
    <w:tbl>
      <w:tblPr>
        <w:tblW w:w="9214" w:type="dxa"/>
        <w:tblInd w:w="113" w:type="dxa"/>
        <w:tblCellMar>
          <w:left w:w="0" w:type="dxa"/>
          <w:right w:w="0" w:type="dxa"/>
        </w:tblCellMar>
        <w:tblLook w:val="04A0" w:firstRow="1" w:lastRow="0" w:firstColumn="1" w:lastColumn="0" w:noHBand="0" w:noVBand="1"/>
      </w:tblPr>
      <w:tblGrid>
        <w:gridCol w:w="2866"/>
        <w:gridCol w:w="1682"/>
        <w:gridCol w:w="108"/>
        <w:gridCol w:w="1682"/>
        <w:gridCol w:w="2876"/>
      </w:tblGrid>
      <w:tr w:rsidR="004500BD" w:rsidRPr="0013526B" w14:paraId="5549C52B" w14:textId="77777777" w:rsidTr="007B7431">
        <w:tc>
          <w:tcPr>
            <w:tcW w:w="2866" w:type="dxa"/>
            <w:shd w:val="clear" w:color="auto" w:fill="auto"/>
          </w:tcPr>
          <w:p w14:paraId="35B5FC3A" w14:textId="77777777" w:rsidR="004500BD" w:rsidRPr="0013526B" w:rsidRDefault="004500BD" w:rsidP="0013526B">
            <w:pPr>
              <w:ind w:left="317"/>
              <w:rPr>
                <w:sz w:val="18"/>
                <w:szCs w:val="18"/>
              </w:rPr>
            </w:pPr>
          </w:p>
        </w:tc>
        <w:tc>
          <w:tcPr>
            <w:tcW w:w="1682" w:type="dxa"/>
            <w:tcBorders>
              <w:bottom w:val="single" w:sz="4" w:space="0" w:color="auto"/>
            </w:tcBorders>
            <w:shd w:val="clear" w:color="auto" w:fill="auto"/>
          </w:tcPr>
          <w:p w14:paraId="27A10EDA" w14:textId="77777777" w:rsidR="00C66E38" w:rsidRDefault="00C66E38" w:rsidP="00C66E38">
            <w:pPr>
              <w:jc w:val="center"/>
              <w:rPr>
                <w:b/>
                <w:sz w:val="18"/>
                <w:szCs w:val="18"/>
              </w:rPr>
            </w:pPr>
            <w:r>
              <w:rPr>
                <w:b/>
                <w:sz w:val="18"/>
                <w:szCs w:val="18"/>
              </w:rPr>
              <w:t>31 Maret/</w:t>
            </w:r>
          </w:p>
          <w:p w14:paraId="219A0754" w14:textId="4B5E29B8" w:rsidR="004500BD" w:rsidRPr="0013526B" w:rsidRDefault="00C66E38" w:rsidP="00F32DFB">
            <w:pPr>
              <w:jc w:val="center"/>
              <w:rPr>
                <w:b/>
                <w:sz w:val="18"/>
                <w:szCs w:val="18"/>
              </w:rPr>
            </w:pPr>
            <w:r>
              <w:rPr>
                <w:b/>
                <w:sz w:val="18"/>
                <w:szCs w:val="18"/>
              </w:rPr>
              <w:t>March 31</w:t>
            </w:r>
            <w:r w:rsidR="00F32DFB">
              <w:rPr>
                <w:b/>
                <w:sz w:val="18"/>
                <w:szCs w:val="18"/>
              </w:rPr>
              <w:t>,</w:t>
            </w:r>
            <w:r>
              <w:rPr>
                <w:b/>
                <w:sz w:val="18"/>
                <w:szCs w:val="18"/>
              </w:rPr>
              <w:t xml:space="preserve"> 2020</w:t>
            </w:r>
          </w:p>
        </w:tc>
        <w:tc>
          <w:tcPr>
            <w:tcW w:w="108" w:type="dxa"/>
            <w:shd w:val="clear" w:color="auto" w:fill="auto"/>
          </w:tcPr>
          <w:p w14:paraId="2D17D538" w14:textId="77777777" w:rsidR="004500BD" w:rsidRPr="0013526B" w:rsidRDefault="004500BD" w:rsidP="0013526B">
            <w:pPr>
              <w:rPr>
                <w:b/>
                <w:sz w:val="18"/>
                <w:szCs w:val="18"/>
              </w:rPr>
            </w:pPr>
          </w:p>
        </w:tc>
        <w:tc>
          <w:tcPr>
            <w:tcW w:w="1682" w:type="dxa"/>
            <w:tcBorders>
              <w:bottom w:val="single" w:sz="4" w:space="0" w:color="auto"/>
            </w:tcBorders>
          </w:tcPr>
          <w:p w14:paraId="26C35052" w14:textId="77777777" w:rsidR="00C66E38" w:rsidRDefault="00C66E38" w:rsidP="0013526B">
            <w:pPr>
              <w:jc w:val="center"/>
              <w:rPr>
                <w:b/>
                <w:sz w:val="18"/>
                <w:szCs w:val="18"/>
              </w:rPr>
            </w:pPr>
            <w:r>
              <w:rPr>
                <w:b/>
                <w:sz w:val="18"/>
                <w:szCs w:val="18"/>
              </w:rPr>
              <w:t>31 Desember/</w:t>
            </w:r>
          </w:p>
          <w:p w14:paraId="065B8590" w14:textId="780D7721" w:rsidR="004500BD" w:rsidRPr="0013526B" w:rsidRDefault="00C66E38" w:rsidP="00F32DFB">
            <w:pPr>
              <w:jc w:val="center"/>
              <w:rPr>
                <w:b/>
                <w:sz w:val="18"/>
                <w:szCs w:val="18"/>
              </w:rPr>
            </w:pPr>
            <w:r>
              <w:rPr>
                <w:b/>
                <w:sz w:val="18"/>
                <w:szCs w:val="18"/>
              </w:rPr>
              <w:t>December 31</w:t>
            </w:r>
            <w:r w:rsidR="00F32DFB">
              <w:rPr>
                <w:b/>
                <w:sz w:val="18"/>
                <w:szCs w:val="18"/>
              </w:rPr>
              <w:t>,</w:t>
            </w:r>
            <w:r>
              <w:rPr>
                <w:b/>
                <w:sz w:val="18"/>
                <w:szCs w:val="18"/>
              </w:rPr>
              <w:t xml:space="preserve"> </w:t>
            </w:r>
            <w:r w:rsidR="004500BD" w:rsidRPr="0013526B">
              <w:rPr>
                <w:b/>
                <w:sz w:val="18"/>
                <w:szCs w:val="18"/>
              </w:rPr>
              <w:t>201</w:t>
            </w:r>
            <w:r>
              <w:rPr>
                <w:b/>
                <w:sz w:val="18"/>
                <w:szCs w:val="18"/>
              </w:rPr>
              <w:t>9</w:t>
            </w:r>
          </w:p>
        </w:tc>
        <w:tc>
          <w:tcPr>
            <w:tcW w:w="2876" w:type="dxa"/>
            <w:shd w:val="clear" w:color="auto" w:fill="auto"/>
          </w:tcPr>
          <w:p w14:paraId="001F8BFB" w14:textId="77777777" w:rsidR="004500BD" w:rsidRPr="0013526B" w:rsidRDefault="004500BD" w:rsidP="0013526B">
            <w:pPr>
              <w:rPr>
                <w:sz w:val="18"/>
                <w:szCs w:val="18"/>
              </w:rPr>
            </w:pPr>
          </w:p>
        </w:tc>
      </w:tr>
      <w:tr w:rsidR="004500BD" w:rsidRPr="0013526B" w14:paraId="30D9F0D8" w14:textId="77777777" w:rsidTr="007B7431">
        <w:tc>
          <w:tcPr>
            <w:tcW w:w="2866" w:type="dxa"/>
            <w:shd w:val="clear" w:color="auto" w:fill="auto"/>
            <w:vAlign w:val="bottom"/>
          </w:tcPr>
          <w:p w14:paraId="0A1DEA2D" w14:textId="2DED12E3" w:rsidR="004500BD" w:rsidRPr="0013526B" w:rsidRDefault="004500BD" w:rsidP="0013526B">
            <w:pPr>
              <w:rPr>
                <w:sz w:val="14"/>
                <w:szCs w:val="18"/>
              </w:rPr>
            </w:pPr>
          </w:p>
        </w:tc>
        <w:tc>
          <w:tcPr>
            <w:tcW w:w="1682" w:type="dxa"/>
            <w:tcBorders>
              <w:top w:val="single" w:sz="4" w:space="0" w:color="auto"/>
            </w:tcBorders>
            <w:shd w:val="clear" w:color="auto" w:fill="auto"/>
            <w:vAlign w:val="bottom"/>
          </w:tcPr>
          <w:p w14:paraId="38AD8342" w14:textId="77777777" w:rsidR="004500BD" w:rsidRPr="0013526B" w:rsidRDefault="004500BD" w:rsidP="0013526B">
            <w:pPr>
              <w:jc w:val="right"/>
              <w:rPr>
                <w:sz w:val="14"/>
                <w:szCs w:val="18"/>
              </w:rPr>
            </w:pPr>
          </w:p>
        </w:tc>
        <w:tc>
          <w:tcPr>
            <w:tcW w:w="108" w:type="dxa"/>
            <w:shd w:val="clear" w:color="auto" w:fill="auto"/>
            <w:vAlign w:val="bottom"/>
          </w:tcPr>
          <w:p w14:paraId="73915CAE" w14:textId="77777777" w:rsidR="004500BD" w:rsidRPr="0013526B" w:rsidRDefault="004500BD" w:rsidP="0013526B">
            <w:pPr>
              <w:jc w:val="right"/>
              <w:rPr>
                <w:sz w:val="14"/>
                <w:szCs w:val="18"/>
              </w:rPr>
            </w:pPr>
          </w:p>
        </w:tc>
        <w:tc>
          <w:tcPr>
            <w:tcW w:w="1682" w:type="dxa"/>
            <w:tcBorders>
              <w:top w:val="single" w:sz="4" w:space="0" w:color="auto"/>
            </w:tcBorders>
            <w:vAlign w:val="bottom"/>
          </w:tcPr>
          <w:p w14:paraId="2A9D7A05" w14:textId="77777777" w:rsidR="004500BD" w:rsidRPr="0013526B" w:rsidRDefault="004500BD" w:rsidP="0013526B">
            <w:pPr>
              <w:jc w:val="right"/>
              <w:rPr>
                <w:sz w:val="14"/>
                <w:szCs w:val="18"/>
              </w:rPr>
            </w:pPr>
          </w:p>
        </w:tc>
        <w:tc>
          <w:tcPr>
            <w:tcW w:w="2876" w:type="dxa"/>
            <w:shd w:val="clear" w:color="auto" w:fill="auto"/>
          </w:tcPr>
          <w:p w14:paraId="765EE090" w14:textId="77777777" w:rsidR="004500BD" w:rsidRPr="0013526B" w:rsidRDefault="004500BD" w:rsidP="0013526B">
            <w:pPr>
              <w:rPr>
                <w:sz w:val="14"/>
                <w:szCs w:val="18"/>
              </w:rPr>
            </w:pPr>
          </w:p>
        </w:tc>
      </w:tr>
      <w:tr w:rsidR="004500BD" w:rsidRPr="0013526B" w14:paraId="43E7F586" w14:textId="77777777" w:rsidTr="007B7431">
        <w:tc>
          <w:tcPr>
            <w:tcW w:w="2866" w:type="dxa"/>
            <w:shd w:val="clear" w:color="auto" w:fill="auto"/>
            <w:vAlign w:val="bottom"/>
          </w:tcPr>
          <w:p w14:paraId="33F9641D" w14:textId="77777777" w:rsidR="004500BD" w:rsidRPr="0013526B" w:rsidRDefault="004500BD" w:rsidP="00853200">
            <w:pPr>
              <w:ind w:left="397"/>
              <w:rPr>
                <w:sz w:val="18"/>
                <w:szCs w:val="18"/>
              </w:rPr>
            </w:pPr>
            <w:r w:rsidRPr="0013526B">
              <w:rPr>
                <w:sz w:val="18"/>
                <w:szCs w:val="18"/>
              </w:rPr>
              <w:t>Kas</w:t>
            </w:r>
          </w:p>
        </w:tc>
        <w:tc>
          <w:tcPr>
            <w:tcW w:w="1682" w:type="dxa"/>
            <w:shd w:val="clear" w:color="auto" w:fill="auto"/>
            <w:vAlign w:val="bottom"/>
          </w:tcPr>
          <w:p w14:paraId="0182779E" w14:textId="4726442F" w:rsidR="004500BD" w:rsidRPr="00C66E38" w:rsidRDefault="00F32DFB" w:rsidP="0013526B">
            <w:pPr>
              <w:ind w:right="57"/>
              <w:jc w:val="right"/>
              <w:rPr>
                <w:sz w:val="18"/>
                <w:szCs w:val="18"/>
                <w:highlight w:val="green"/>
              </w:rPr>
            </w:pPr>
            <w:r>
              <w:rPr>
                <w:sz w:val="18"/>
                <w:szCs w:val="18"/>
              </w:rPr>
              <w:t>1.523.804.</w:t>
            </w:r>
            <w:r w:rsidR="00E43458" w:rsidRPr="00E43458">
              <w:rPr>
                <w:sz w:val="18"/>
                <w:szCs w:val="18"/>
              </w:rPr>
              <w:t>500</w:t>
            </w:r>
          </w:p>
        </w:tc>
        <w:tc>
          <w:tcPr>
            <w:tcW w:w="108" w:type="dxa"/>
            <w:shd w:val="clear" w:color="auto" w:fill="auto"/>
            <w:vAlign w:val="bottom"/>
          </w:tcPr>
          <w:p w14:paraId="05339C07" w14:textId="77777777" w:rsidR="004500BD" w:rsidRPr="00C66E38" w:rsidRDefault="004500BD" w:rsidP="0013526B">
            <w:pPr>
              <w:jc w:val="right"/>
              <w:rPr>
                <w:sz w:val="18"/>
                <w:szCs w:val="18"/>
                <w:highlight w:val="green"/>
              </w:rPr>
            </w:pPr>
          </w:p>
        </w:tc>
        <w:tc>
          <w:tcPr>
            <w:tcW w:w="1682" w:type="dxa"/>
            <w:vAlign w:val="bottom"/>
          </w:tcPr>
          <w:p w14:paraId="27F571CB" w14:textId="6310FCF6" w:rsidR="004500BD" w:rsidRPr="00EE76D0" w:rsidRDefault="007B7431" w:rsidP="0013526B">
            <w:pPr>
              <w:ind w:right="57"/>
              <w:jc w:val="right"/>
              <w:rPr>
                <w:sz w:val="18"/>
                <w:szCs w:val="18"/>
              </w:rPr>
            </w:pPr>
            <w:r w:rsidRPr="00EE76D0">
              <w:rPr>
                <w:sz w:val="18"/>
                <w:szCs w:val="18"/>
              </w:rPr>
              <w:t>869.970.613</w:t>
            </w:r>
          </w:p>
        </w:tc>
        <w:tc>
          <w:tcPr>
            <w:tcW w:w="2876" w:type="dxa"/>
            <w:shd w:val="clear" w:color="auto" w:fill="auto"/>
            <w:vAlign w:val="bottom"/>
          </w:tcPr>
          <w:p w14:paraId="0E1B2F08" w14:textId="77777777" w:rsidR="004500BD" w:rsidRPr="0013526B" w:rsidRDefault="004500BD" w:rsidP="0013526B">
            <w:pPr>
              <w:ind w:right="57"/>
              <w:jc w:val="right"/>
              <w:rPr>
                <w:i/>
                <w:sz w:val="18"/>
                <w:szCs w:val="18"/>
              </w:rPr>
            </w:pPr>
            <w:r w:rsidRPr="0013526B">
              <w:rPr>
                <w:i/>
                <w:sz w:val="18"/>
                <w:szCs w:val="18"/>
              </w:rPr>
              <w:t>Cash on Hand</w:t>
            </w:r>
          </w:p>
        </w:tc>
      </w:tr>
      <w:tr w:rsidR="004500BD" w:rsidRPr="0013526B" w14:paraId="30A7C68C" w14:textId="77777777" w:rsidTr="007B7431">
        <w:trPr>
          <w:trHeight w:val="80"/>
        </w:trPr>
        <w:tc>
          <w:tcPr>
            <w:tcW w:w="2866" w:type="dxa"/>
            <w:shd w:val="clear" w:color="auto" w:fill="auto"/>
            <w:vAlign w:val="bottom"/>
          </w:tcPr>
          <w:p w14:paraId="34C2ECEF" w14:textId="77777777" w:rsidR="004500BD" w:rsidRPr="0013526B" w:rsidRDefault="004500BD" w:rsidP="00853200">
            <w:pPr>
              <w:ind w:left="397"/>
              <w:rPr>
                <w:sz w:val="18"/>
                <w:szCs w:val="18"/>
              </w:rPr>
            </w:pPr>
            <w:r w:rsidRPr="0013526B">
              <w:rPr>
                <w:sz w:val="18"/>
                <w:szCs w:val="18"/>
              </w:rPr>
              <w:t>Bank</w:t>
            </w:r>
          </w:p>
        </w:tc>
        <w:tc>
          <w:tcPr>
            <w:tcW w:w="1682" w:type="dxa"/>
            <w:shd w:val="clear" w:color="auto" w:fill="auto"/>
            <w:vAlign w:val="bottom"/>
          </w:tcPr>
          <w:p w14:paraId="3508677D" w14:textId="77777777" w:rsidR="004500BD" w:rsidRPr="00C66E38" w:rsidRDefault="004500BD" w:rsidP="0013526B">
            <w:pPr>
              <w:ind w:right="57"/>
              <w:jc w:val="right"/>
              <w:rPr>
                <w:sz w:val="18"/>
                <w:szCs w:val="18"/>
                <w:highlight w:val="green"/>
              </w:rPr>
            </w:pPr>
          </w:p>
        </w:tc>
        <w:tc>
          <w:tcPr>
            <w:tcW w:w="108" w:type="dxa"/>
            <w:shd w:val="clear" w:color="auto" w:fill="auto"/>
            <w:vAlign w:val="bottom"/>
          </w:tcPr>
          <w:p w14:paraId="1E76F802" w14:textId="77777777" w:rsidR="004500BD" w:rsidRPr="00C66E38" w:rsidRDefault="004500BD" w:rsidP="0013526B">
            <w:pPr>
              <w:jc w:val="right"/>
              <w:rPr>
                <w:sz w:val="18"/>
                <w:szCs w:val="18"/>
                <w:highlight w:val="green"/>
              </w:rPr>
            </w:pPr>
          </w:p>
        </w:tc>
        <w:tc>
          <w:tcPr>
            <w:tcW w:w="1682" w:type="dxa"/>
            <w:vAlign w:val="bottom"/>
          </w:tcPr>
          <w:p w14:paraId="55153726" w14:textId="77777777" w:rsidR="004500BD" w:rsidRPr="00EE76D0" w:rsidRDefault="004500BD" w:rsidP="0013526B">
            <w:pPr>
              <w:ind w:right="57"/>
              <w:jc w:val="right"/>
              <w:rPr>
                <w:sz w:val="18"/>
                <w:szCs w:val="18"/>
              </w:rPr>
            </w:pPr>
          </w:p>
        </w:tc>
        <w:tc>
          <w:tcPr>
            <w:tcW w:w="2876" w:type="dxa"/>
            <w:shd w:val="clear" w:color="auto" w:fill="auto"/>
            <w:vAlign w:val="bottom"/>
          </w:tcPr>
          <w:p w14:paraId="29F17F27" w14:textId="77777777" w:rsidR="004500BD" w:rsidRPr="0013526B" w:rsidRDefault="004500BD" w:rsidP="0013526B">
            <w:pPr>
              <w:ind w:right="57"/>
              <w:jc w:val="right"/>
              <w:rPr>
                <w:i/>
                <w:sz w:val="18"/>
                <w:szCs w:val="18"/>
              </w:rPr>
            </w:pPr>
            <w:r w:rsidRPr="0013526B">
              <w:rPr>
                <w:i/>
                <w:sz w:val="18"/>
                <w:szCs w:val="18"/>
              </w:rPr>
              <w:t>Cash in Banks</w:t>
            </w:r>
          </w:p>
        </w:tc>
      </w:tr>
      <w:tr w:rsidR="004500BD" w:rsidRPr="0013526B" w14:paraId="40AD97A2" w14:textId="77777777" w:rsidTr="007B7431">
        <w:tc>
          <w:tcPr>
            <w:tcW w:w="2866" w:type="dxa"/>
            <w:shd w:val="clear" w:color="auto" w:fill="auto"/>
            <w:vAlign w:val="bottom"/>
          </w:tcPr>
          <w:p w14:paraId="2F78B85C" w14:textId="44BEDFAB" w:rsidR="004500BD" w:rsidRPr="0013526B" w:rsidRDefault="00853200" w:rsidP="009B371A">
            <w:pPr>
              <w:ind w:left="83"/>
              <w:rPr>
                <w:sz w:val="18"/>
                <w:szCs w:val="18"/>
              </w:rPr>
            </w:pPr>
            <w:r>
              <w:rPr>
                <w:sz w:val="18"/>
                <w:szCs w:val="18"/>
              </w:rPr>
              <w:t xml:space="preserve">          </w:t>
            </w:r>
            <w:r w:rsidR="00E66765">
              <w:rPr>
                <w:sz w:val="18"/>
                <w:szCs w:val="18"/>
              </w:rPr>
              <w:t>Pihak berelasi</w:t>
            </w:r>
          </w:p>
        </w:tc>
        <w:tc>
          <w:tcPr>
            <w:tcW w:w="1682" w:type="dxa"/>
            <w:shd w:val="clear" w:color="auto" w:fill="auto"/>
            <w:vAlign w:val="bottom"/>
          </w:tcPr>
          <w:p w14:paraId="4545708C" w14:textId="77777777" w:rsidR="004500BD" w:rsidRPr="00C66E38" w:rsidRDefault="004500BD" w:rsidP="0013526B">
            <w:pPr>
              <w:ind w:right="57"/>
              <w:jc w:val="right"/>
              <w:rPr>
                <w:sz w:val="18"/>
                <w:szCs w:val="18"/>
                <w:highlight w:val="green"/>
                <w:lang w:val="id-ID"/>
              </w:rPr>
            </w:pPr>
          </w:p>
        </w:tc>
        <w:tc>
          <w:tcPr>
            <w:tcW w:w="108" w:type="dxa"/>
            <w:shd w:val="clear" w:color="auto" w:fill="auto"/>
            <w:vAlign w:val="bottom"/>
          </w:tcPr>
          <w:p w14:paraId="13FB7D82" w14:textId="77777777" w:rsidR="004500BD" w:rsidRPr="00C66E38" w:rsidRDefault="004500BD" w:rsidP="0013526B">
            <w:pPr>
              <w:jc w:val="right"/>
              <w:rPr>
                <w:sz w:val="18"/>
                <w:szCs w:val="18"/>
                <w:highlight w:val="green"/>
              </w:rPr>
            </w:pPr>
          </w:p>
        </w:tc>
        <w:tc>
          <w:tcPr>
            <w:tcW w:w="1682" w:type="dxa"/>
            <w:vAlign w:val="bottom"/>
          </w:tcPr>
          <w:p w14:paraId="320AA51E" w14:textId="77777777" w:rsidR="004500BD" w:rsidRPr="00EE76D0" w:rsidRDefault="004500BD" w:rsidP="0013526B">
            <w:pPr>
              <w:ind w:right="57"/>
              <w:jc w:val="right"/>
              <w:rPr>
                <w:sz w:val="18"/>
                <w:szCs w:val="18"/>
              </w:rPr>
            </w:pPr>
          </w:p>
        </w:tc>
        <w:tc>
          <w:tcPr>
            <w:tcW w:w="2876" w:type="dxa"/>
            <w:shd w:val="clear" w:color="auto" w:fill="auto"/>
            <w:vAlign w:val="bottom"/>
          </w:tcPr>
          <w:p w14:paraId="5D6D2EE9" w14:textId="398F1004" w:rsidR="004500BD" w:rsidRPr="0013526B" w:rsidRDefault="00A54951" w:rsidP="009B371A">
            <w:pPr>
              <w:ind w:right="202"/>
              <w:jc w:val="right"/>
              <w:rPr>
                <w:i/>
                <w:sz w:val="18"/>
                <w:szCs w:val="18"/>
              </w:rPr>
            </w:pPr>
            <w:r>
              <w:rPr>
                <w:i/>
                <w:sz w:val="18"/>
                <w:szCs w:val="18"/>
              </w:rPr>
              <w:t>Related party</w:t>
            </w:r>
          </w:p>
        </w:tc>
      </w:tr>
      <w:tr w:rsidR="007B7431" w:rsidRPr="0013526B" w14:paraId="693CBA83" w14:textId="77777777" w:rsidTr="007B7431">
        <w:tc>
          <w:tcPr>
            <w:tcW w:w="2866" w:type="dxa"/>
            <w:shd w:val="clear" w:color="auto" w:fill="auto"/>
            <w:vAlign w:val="bottom"/>
          </w:tcPr>
          <w:p w14:paraId="78DEE8E0" w14:textId="77777777" w:rsidR="007B7431" w:rsidRDefault="007B7431" w:rsidP="007B7431">
            <w:pPr>
              <w:ind w:left="195"/>
              <w:rPr>
                <w:sz w:val="18"/>
                <w:szCs w:val="18"/>
              </w:rPr>
            </w:pPr>
            <w:r>
              <w:rPr>
                <w:sz w:val="18"/>
                <w:szCs w:val="18"/>
              </w:rPr>
              <w:t xml:space="preserve">          </w:t>
            </w:r>
            <w:r w:rsidRPr="0013526B">
              <w:rPr>
                <w:sz w:val="18"/>
                <w:szCs w:val="18"/>
              </w:rPr>
              <w:t>PT Bank M</w:t>
            </w:r>
            <w:r>
              <w:rPr>
                <w:sz w:val="18"/>
                <w:szCs w:val="18"/>
              </w:rPr>
              <w:t xml:space="preserve">ayapada </w:t>
            </w:r>
          </w:p>
          <w:p w14:paraId="5E9EE669" w14:textId="133FE6FB" w:rsidR="007B7431" w:rsidRPr="0013526B" w:rsidRDefault="007B7431" w:rsidP="007B7431">
            <w:pPr>
              <w:ind w:left="741"/>
              <w:rPr>
                <w:sz w:val="18"/>
                <w:szCs w:val="18"/>
              </w:rPr>
            </w:pPr>
            <w:r>
              <w:rPr>
                <w:sz w:val="18"/>
                <w:szCs w:val="18"/>
              </w:rPr>
              <w:t>International</w:t>
            </w:r>
            <w:r w:rsidRPr="0013526B">
              <w:rPr>
                <w:sz w:val="18"/>
                <w:szCs w:val="18"/>
              </w:rPr>
              <w:t xml:space="preserve"> Tb</w:t>
            </w:r>
            <w:r>
              <w:rPr>
                <w:sz w:val="18"/>
                <w:szCs w:val="18"/>
              </w:rPr>
              <w:t>k Rupiah</w:t>
            </w:r>
          </w:p>
        </w:tc>
        <w:tc>
          <w:tcPr>
            <w:tcW w:w="1682" w:type="dxa"/>
            <w:shd w:val="clear" w:color="auto" w:fill="auto"/>
            <w:vAlign w:val="bottom"/>
          </w:tcPr>
          <w:p w14:paraId="10FA2BB4" w14:textId="1E774097" w:rsidR="007B7431" w:rsidRPr="00C66E38" w:rsidRDefault="00F32DFB" w:rsidP="007B7431">
            <w:pPr>
              <w:ind w:right="57"/>
              <w:jc w:val="right"/>
              <w:rPr>
                <w:sz w:val="18"/>
                <w:szCs w:val="18"/>
                <w:highlight w:val="green"/>
              </w:rPr>
            </w:pPr>
            <w:r>
              <w:rPr>
                <w:sz w:val="18"/>
                <w:szCs w:val="18"/>
              </w:rPr>
              <w:t>38.624.354.</w:t>
            </w:r>
            <w:r w:rsidR="00E43458" w:rsidRPr="00E43458">
              <w:rPr>
                <w:sz w:val="18"/>
                <w:szCs w:val="18"/>
              </w:rPr>
              <w:t>247</w:t>
            </w:r>
          </w:p>
        </w:tc>
        <w:tc>
          <w:tcPr>
            <w:tcW w:w="108" w:type="dxa"/>
            <w:shd w:val="clear" w:color="auto" w:fill="auto"/>
            <w:vAlign w:val="bottom"/>
          </w:tcPr>
          <w:p w14:paraId="686B5EE5" w14:textId="77777777" w:rsidR="007B7431" w:rsidRPr="00C66E38" w:rsidRDefault="007B7431" w:rsidP="007B7431">
            <w:pPr>
              <w:jc w:val="right"/>
              <w:rPr>
                <w:sz w:val="18"/>
                <w:szCs w:val="18"/>
                <w:highlight w:val="green"/>
              </w:rPr>
            </w:pPr>
          </w:p>
        </w:tc>
        <w:tc>
          <w:tcPr>
            <w:tcW w:w="1682" w:type="dxa"/>
            <w:vAlign w:val="bottom"/>
          </w:tcPr>
          <w:p w14:paraId="7A247478" w14:textId="5511FD5E" w:rsidR="007B7431" w:rsidRPr="00EE76D0" w:rsidRDefault="007B7431" w:rsidP="007B7431">
            <w:pPr>
              <w:ind w:right="57"/>
              <w:jc w:val="right"/>
              <w:rPr>
                <w:sz w:val="18"/>
                <w:szCs w:val="18"/>
              </w:rPr>
            </w:pPr>
            <w:r w:rsidRPr="00EE76D0">
              <w:rPr>
                <w:sz w:val="18"/>
                <w:szCs w:val="18"/>
              </w:rPr>
              <w:t xml:space="preserve">   53.376.424.944</w:t>
            </w:r>
          </w:p>
        </w:tc>
        <w:tc>
          <w:tcPr>
            <w:tcW w:w="2876" w:type="dxa"/>
            <w:shd w:val="clear" w:color="auto" w:fill="auto"/>
            <w:vAlign w:val="bottom"/>
          </w:tcPr>
          <w:p w14:paraId="05C2E822" w14:textId="77777777" w:rsidR="007B7431" w:rsidRDefault="007B7431" w:rsidP="007B7431">
            <w:pPr>
              <w:ind w:right="398"/>
              <w:jc w:val="right"/>
              <w:rPr>
                <w:i/>
                <w:sz w:val="18"/>
                <w:szCs w:val="18"/>
              </w:rPr>
            </w:pPr>
            <w:r w:rsidRPr="0013526B">
              <w:rPr>
                <w:i/>
                <w:sz w:val="18"/>
                <w:szCs w:val="18"/>
              </w:rPr>
              <w:t>PT Bank Ma</w:t>
            </w:r>
            <w:r>
              <w:rPr>
                <w:i/>
                <w:sz w:val="18"/>
                <w:szCs w:val="18"/>
              </w:rPr>
              <w:t xml:space="preserve">yapada </w:t>
            </w:r>
          </w:p>
          <w:p w14:paraId="63951468" w14:textId="18A53739" w:rsidR="007B7431" w:rsidRPr="0013526B" w:rsidRDefault="007B7431" w:rsidP="007B7431">
            <w:pPr>
              <w:ind w:right="540"/>
              <w:jc w:val="right"/>
              <w:rPr>
                <w:i/>
                <w:sz w:val="18"/>
                <w:szCs w:val="18"/>
              </w:rPr>
            </w:pPr>
            <w:r>
              <w:rPr>
                <w:i/>
                <w:sz w:val="18"/>
                <w:szCs w:val="18"/>
              </w:rPr>
              <w:t xml:space="preserve">International </w:t>
            </w:r>
            <w:r w:rsidRPr="0013526B">
              <w:rPr>
                <w:i/>
                <w:sz w:val="18"/>
                <w:szCs w:val="18"/>
              </w:rPr>
              <w:t>Tbk</w:t>
            </w:r>
            <w:r>
              <w:rPr>
                <w:i/>
                <w:sz w:val="18"/>
                <w:szCs w:val="18"/>
              </w:rPr>
              <w:t xml:space="preserve"> Rupiah</w:t>
            </w:r>
          </w:p>
        </w:tc>
      </w:tr>
      <w:tr w:rsidR="007B7431" w:rsidRPr="0013526B" w14:paraId="05C1DF5C" w14:textId="77777777" w:rsidTr="007B7431">
        <w:tc>
          <w:tcPr>
            <w:tcW w:w="2866" w:type="dxa"/>
            <w:shd w:val="clear" w:color="auto" w:fill="auto"/>
            <w:vAlign w:val="bottom"/>
          </w:tcPr>
          <w:p w14:paraId="59CC2089" w14:textId="69977936" w:rsidR="007B7431" w:rsidRPr="0013526B" w:rsidRDefault="007B7431" w:rsidP="007B7431">
            <w:pPr>
              <w:ind w:left="587"/>
              <w:rPr>
                <w:sz w:val="18"/>
                <w:szCs w:val="18"/>
              </w:rPr>
            </w:pPr>
            <w:r>
              <w:rPr>
                <w:sz w:val="18"/>
                <w:szCs w:val="18"/>
              </w:rPr>
              <w:t xml:space="preserve"> Dolar Amerika Serikat</w:t>
            </w:r>
          </w:p>
        </w:tc>
        <w:tc>
          <w:tcPr>
            <w:tcW w:w="1682" w:type="dxa"/>
            <w:tcBorders>
              <w:bottom w:val="single" w:sz="4" w:space="0" w:color="auto"/>
            </w:tcBorders>
            <w:shd w:val="clear" w:color="auto" w:fill="auto"/>
            <w:vAlign w:val="bottom"/>
          </w:tcPr>
          <w:p w14:paraId="070905A9" w14:textId="1B33848A" w:rsidR="007B7431" w:rsidRPr="00C66E38" w:rsidRDefault="00F32DFB" w:rsidP="007B7431">
            <w:pPr>
              <w:ind w:right="57"/>
              <w:jc w:val="right"/>
              <w:rPr>
                <w:sz w:val="18"/>
                <w:szCs w:val="18"/>
                <w:highlight w:val="green"/>
              </w:rPr>
            </w:pPr>
            <w:r>
              <w:rPr>
                <w:sz w:val="18"/>
                <w:szCs w:val="18"/>
              </w:rPr>
              <w:t>3.663.438.</w:t>
            </w:r>
            <w:r w:rsidR="002A0E87" w:rsidRPr="002A0E87">
              <w:rPr>
                <w:sz w:val="18"/>
                <w:szCs w:val="18"/>
              </w:rPr>
              <w:t>454</w:t>
            </w:r>
          </w:p>
        </w:tc>
        <w:tc>
          <w:tcPr>
            <w:tcW w:w="108" w:type="dxa"/>
            <w:shd w:val="clear" w:color="auto" w:fill="auto"/>
            <w:vAlign w:val="bottom"/>
          </w:tcPr>
          <w:p w14:paraId="002AC85D" w14:textId="77777777" w:rsidR="007B7431" w:rsidRPr="00C66E38" w:rsidRDefault="007B7431" w:rsidP="007B7431">
            <w:pPr>
              <w:jc w:val="right"/>
              <w:rPr>
                <w:sz w:val="18"/>
                <w:szCs w:val="18"/>
                <w:highlight w:val="green"/>
              </w:rPr>
            </w:pPr>
          </w:p>
        </w:tc>
        <w:tc>
          <w:tcPr>
            <w:tcW w:w="1682" w:type="dxa"/>
            <w:tcBorders>
              <w:bottom w:val="single" w:sz="4" w:space="0" w:color="auto"/>
            </w:tcBorders>
            <w:vAlign w:val="bottom"/>
          </w:tcPr>
          <w:p w14:paraId="04555275" w14:textId="489D9C3F" w:rsidR="007B7431" w:rsidRPr="00EE76D0" w:rsidRDefault="007B7431" w:rsidP="007B7431">
            <w:pPr>
              <w:ind w:right="57"/>
              <w:jc w:val="right"/>
              <w:rPr>
                <w:sz w:val="18"/>
                <w:szCs w:val="18"/>
              </w:rPr>
            </w:pPr>
            <w:r w:rsidRPr="00EE76D0">
              <w:rPr>
                <w:sz w:val="18"/>
                <w:szCs w:val="18"/>
              </w:rPr>
              <w:t>3.188.035.184</w:t>
            </w:r>
          </w:p>
        </w:tc>
        <w:tc>
          <w:tcPr>
            <w:tcW w:w="2876" w:type="dxa"/>
            <w:shd w:val="clear" w:color="auto" w:fill="auto"/>
            <w:vAlign w:val="bottom"/>
          </w:tcPr>
          <w:p w14:paraId="58490E99" w14:textId="7D954D12" w:rsidR="007B7431" w:rsidRPr="0013526B" w:rsidRDefault="007B7431" w:rsidP="007B7431">
            <w:pPr>
              <w:ind w:right="412"/>
              <w:jc w:val="right"/>
              <w:rPr>
                <w:i/>
                <w:sz w:val="18"/>
                <w:szCs w:val="18"/>
              </w:rPr>
            </w:pPr>
            <w:r>
              <w:rPr>
                <w:i/>
                <w:sz w:val="18"/>
                <w:szCs w:val="18"/>
              </w:rPr>
              <w:t>U.S Dollar</w:t>
            </w:r>
          </w:p>
        </w:tc>
      </w:tr>
      <w:tr w:rsidR="007B7431" w:rsidRPr="0013526B" w14:paraId="34CB0DA6" w14:textId="77777777" w:rsidTr="007B7431">
        <w:tc>
          <w:tcPr>
            <w:tcW w:w="2866" w:type="dxa"/>
            <w:shd w:val="clear" w:color="auto" w:fill="auto"/>
            <w:vAlign w:val="bottom"/>
          </w:tcPr>
          <w:p w14:paraId="79A27C99" w14:textId="239900D1" w:rsidR="007B7431" w:rsidRPr="0013526B" w:rsidRDefault="007B7431" w:rsidP="007B7431">
            <w:pPr>
              <w:ind w:left="397" w:hanging="142"/>
              <w:rPr>
                <w:sz w:val="18"/>
                <w:szCs w:val="18"/>
              </w:rPr>
            </w:pPr>
          </w:p>
        </w:tc>
        <w:tc>
          <w:tcPr>
            <w:tcW w:w="1682" w:type="dxa"/>
            <w:tcBorders>
              <w:top w:val="single" w:sz="4" w:space="0" w:color="auto"/>
            </w:tcBorders>
            <w:shd w:val="clear" w:color="auto" w:fill="auto"/>
            <w:vAlign w:val="bottom"/>
          </w:tcPr>
          <w:p w14:paraId="6992F1EA" w14:textId="7D251EE8" w:rsidR="007B7431" w:rsidRPr="00C66E38" w:rsidRDefault="007B7431" w:rsidP="007B7431">
            <w:pPr>
              <w:ind w:right="57"/>
              <w:jc w:val="right"/>
              <w:rPr>
                <w:sz w:val="18"/>
                <w:szCs w:val="18"/>
                <w:highlight w:val="green"/>
              </w:rPr>
            </w:pPr>
          </w:p>
        </w:tc>
        <w:tc>
          <w:tcPr>
            <w:tcW w:w="108" w:type="dxa"/>
            <w:shd w:val="clear" w:color="auto" w:fill="auto"/>
            <w:vAlign w:val="bottom"/>
          </w:tcPr>
          <w:p w14:paraId="4557936C" w14:textId="77777777" w:rsidR="007B7431" w:rsidRPr="00C66E38" w:rsidRDefault="007B7431" w:rsidP="007B7431">
            <w:pPr>
              <w:jc w:val="right"/>
              <w:rPr>
                <w:sz w:val="18"/>
                <w:szCs w:val="18"/>
                <w:highlight w:val="green"/>
              </w:rPr>
            </w:pPr>
          </w:p>
        </w:tc>
        <w:tc>
          <w:tcPr>
            <w:tcW w:w="1682" w:type="dxa"/>
            <w:tcBorders>
              <w:top w:val="single" w:sz="4" w:space="0" w:color="auto"/>
            </w:tcBorders>
            <w:vAlign w:val="bottom"/>
          </w:tcPr>
          <w:p w14:paraId="4BBF61E9" w14:textId="0DDD4823" w:rsidR="007B7431" w:rsidRPr="00EE76D0" w:rsidRDefault="007B7431" w:rsidP="007B7431">
            <w:pPr>
              <w:ind w:right="57"/>
              <w:jc w:val="right"/>
              <w:rPr>
                <w:sz w:val="18"/>
                <w:szCs w:val="18"/>
              </w:rPr>
            </w:pPr>
          </w:p>
        </w:tc>
        <w:tc>
          <w:tcPr>
            <w:tcW w:w="2876" w:type="dxa"/>
            <w:shd w:val="clear" w:color="auto" w:fill="auto"/>
            <w:vAlign w:val="bottom"/>
          </w:tcPr>
          <w:p w14:paraId="38126575" w14:textId="0DEC1BE1" w:rsidR="007B7431" w:rsidRPr="0013526B" w:rsidRDefault="007B7431" w:rsidP="007B7431">
            <w:pPr>
              <w:ind w:right="482"/>
              <w:jc w:val="right"/>
              <w:rPr>
                <w:i/>
                <w:sz w:val="18"/>
                <w:szCs w:val="18"/>
              </w:rPr>
            </w:pPr>
          </w:p>
        </w:tc>
      </w:tr>
      <w:tr w:rsidR="007B7431" w:rsidRPr="0013526B" w14:paraId="793AB04D" w14:textId="77777777" w:rsidTr="007B7431">
        <w:tc>
          <w:tcPr>
            <w:tcW w:w="2866" w:type="dxa"/>
            <w:shd w:val="clear" w:color="auto" w:fill="auto"/>
            <w:vAlign w:val="bottom"/>
          </w:tcPr>
          <w:p w14:paraId="6CD77278" w14:textId="06C76D51" w:rsidR="007B7431" w:rsidRPr="0013526B" w:rsidRDefault="007B7431" w:rsidP="007B7431">
            <w:pPr>
              <w:ind w:left="531"/>
              <w:rPr>
                <w:sz w:val="18"/>
                <w:szCs w:val="18"/>
              </w:rPr>
            </w:pPr>
            <w:r>
              <w:rPr>
                <w:sz w:val="18"/>
                <w:szCs w:val="18"/>
              </w:rPr>
              <w:t>Sub-jumlah bank pihak berelasi</w:t>
            </w:r>
          </w:p>
        </w:tc>
        <w:tc>
          <w:tcPr>
            <w:tcW w:w="1682" w:type="dxa"/>
            <w:tcBorders>
              <w:bottom w:val="single" w:sz="4" w:space="0" w:color="auto"/>
            </w:tcBorders>
            <w:shd w:val="clear" w:color="auto" w:fill="auto"/>
            <w:vAlign w:val="bottom"/>
          </w:tcPr>
          <w:p w14:paraId="204F4548" w14:textId="6507860A" w:rsidR="007B7431" w:rsidRPr="00C66E38" w:rsidRDefault="002A0E87" w:rsidP="007B7431">
            <w:pPr>
              <w:ind w:right="57"/>
              <w:jc w:val="right"/>
              <w:rPr>
                <w:sz w:val="18"/>
                <w:szCs w:val="18"/>
                <w:highlight w:val="green"/>
              </w:rPr>
            </w:pPr>
            <w:r w:rsidRPr="002A0E87">
              <w:rPr>
                <w:sz w:val="18"/>
                <w:szCs w:val="18"/>
              </w:rPr>
              <w:t>42.287.792.701</w:t>
            </w:r>
          </w:p>
        </w:tc>
        <w:tc>
          <w:tcPr>
            <w:tcW w:w="108" w:type="dxa"/>
            <w:shd w:val="clear" w:color="auto" w:fill="auto"/>
            <w:vAlign w:val="bottom"/>
          </w:tcPr>
          <w:p w14:paraId="1C218CFC" w14:textId="77777777" w:rsidR="007B7431" w:rsidRPr="00C66E38" w:rsidRDefault="007B7431" w:rsidP="007B7431">
            <w:pPr>
              <w:jc w:val="right"/>
              <w:rPr>
                <w:sz w:val="18"/>
                <w:szCs w:val="18"/>
                <w:highlight w:val="green"/>
              </w:rPr>
            </w:pPr>
          </w:p>
        </w:tc>
        <w:tc>
          <w:tcPr>
            <w:tcW w:w="1682" w:type="dxa"/>
            <w:tcBorders>
              <w:bottom w:val="single" w:sz="4" w:space="0" w:color="auto"/>
            </w:tcBorders>
            <w:vAlign w:val="bottom"/>
          </w:tcPr>
          <w:p w14:paraId="4E2A715E" w14:textId="7F5BE286" w:rsidR="007B7431" w:rsidRPr="00EE76D0" w:rsidRDefault="007B7431" w:rsidP="007B7431">
            <w:pPr>
              <w:ind w:right="57"/>
              <w:jc w:val="right"/>
              <w:rPr>
                <w:sz w:val="18"/>
                <w:szCs w:val="18"/>
              </w:rPr>
            </w:pPr>
            <w:r w:rsidRPr="00EE76D0">
              <w:rPr>
                <w:sz w:val="18"/>
                <w:szCs w:val="18"/>
              </w:rPr>
              <w:t>56.564.460.128</w:t>
            </w:r>
          </w:p>
        </w:tc>
        <w:tc>
          <w:tcPr>
            <w:tcW w:w="2876" w:type="dxa"/>
            <w:shd w:val="clear" w:color="auto" w:fill="auto"/>
            <w:vAlign w:val="bottom"/>
          </w:tcPr>
          <w:p w14:paraId="4D4C0A79" w14:textId="66F7E073" w:rsidR="007B7431" w:rsidRPr="0013526B" w:rsidRDefault="007B7431" w:rsidP="007B7431">
            <w:pPr>
              <w:ind w:right="202"/>
              <w:jc w:val="right"/>
              <w:rPr>
                <w:i/>
                <w:sz w:val="18"/>
                <w:szCs w:val="18"/>
              </w:rPr>
            </w:pPr>
            <w:r>
              <w:rPr>
                <w:i/>
                <w:sz w:val="18"/>
                <w:szCs w:val="18"/>
              </w:rPr>
              <w:t>Sub-total related party bank</w:t>
            </w:r>
          </w:p>
        </w:tc>
      </w:tr>
      <w:tr w:rsidR="007B7431" w:rsidRPr="0013526B" w14:paraId="75646EAF" w14:textId="77777777" w:rsidTr="007B7431">
        <w:tc>
          <w:tcPr>
            <w:tcW w:w="2866" w:type="dxa"/>
            <w:shd w:val="clear" w:color="auto" w:fill="auto"/>
            <w:vAlign w:val="bottom"/>
          </w:tcPr>
          <w:p w14:paraId="5B8A6CD6" w14:textId="3E87D531" w:rsidR="007B7431" w:rsidRPr="0013526B" w:rsidRDefault="007B7431" w:rsidP="007B7431">
            <w:pPr>
              <w:ind w:left="397"/>
              <w:rPr>
                <w:sz w:val="18"/>
                <w:szCs w:val="18"/>
              </w:rPr>
            </w:pPr>
          </w:p>
        </w:tc>
        <w:tc>
          <w:tcPr>
            <w:tcW w:w="1682" w:type="dxa"/>
            <w:tcBorders>
              <w:top w:val="single" w:sz="4" w:space="0" w:color="auto"/>
            </w:tcBorders>
            <w:shd w:val="clear" w:color="auto" w:fill="auto"/>
            <w:vAlign w:val="bottom"/>
          </w:tcPr>
          <w:p w14:paraId="687E391D" w14:textId="77777777" w:rsidR="007B7431" w:rsidRPr="00C66E38" w:rsidRDefault="007B7431" w:rsidP="007B7431">
            <w:pPr>
              <w:ind w:right="57"/>
              <w:jc w:val="right"/>
              <w:rPr>
                <w:sz w:val="18"/>
                <w:szCs w:val="18"/>
                <w:highlight w:val="green"/>
              </w:rPr>
            </w:pPr>
          </w:p>
        </w:tc>
        <w:tc>
          <w:tcPr>
            <w:tcW w:w="108" w:type="dxa"/>
            <w:shd w:val="clear" w:color="auto" w:fill="auto"/>
            <w:vAlign w:val="bottom"/>
          </w:tcPr>
          <w:p w14:paraId="4D61F28A" w14:textId="77777777" w:rsidR="007B7431" w:rsidRPr="00C66E38" w:rsidRDefault="007B7431" w:rsidP="007B7431">
            <w:pPr>
              <w:jc w:val="right"/>
              <w:rPr>
                <w:sz w:val="18"/>
                <w:szCs w:val="18"/>
                <w:highlight w:val="green"/>
              </w:rPr>
            </w:pPr>
          </w:p>
        </w:tc>
        <w:tc>
          <w:tcPr>
            <w:tcW w:w="1682" w:type="dxa"/>
            <w:tcBorders>
              <w:top w:val="single" w:sz="4" w:space="0" w:color="auto"/>
            </w:tcBorders>
            <w:vAlign w:val="bottom"/>
          </w:tcPr>
          <w:p w14:paraId="41A26C47" w14:textId="77777777" w:rsidR="007B7431" w:rsidRPr="00EE76D0" w:rsidRDefault="007B7431" w:rsidP="007B7431">
            <w:pPr>
              <w:ind w:right="57"/>
              <w:jc w:val="right"/>
              <w:rPr>
                <w:sz w:val="18"/>
                <w:szCs w:val="18"/>
              </w:rPr>
            </w:pPr>
          </w:p>
        </w:tc>
        <w:tc>
          <w:tcPr>
            <w:tcW w:w="2876" w:type="dxa"/>
            <w:shd w:val="clear" w:color="auto" w:fill="auto"/>
            <w:vAlign w:val="bottom"/>
          </w:tcPr>
          <w:p w14:paraId="0F20B8F6" w14:textId="676C3DB2" w:rsidR="007B7431" w:rsidRPr="0013526B" w:rsidRDefault="007B7431" w:rsidP="007B7431">
            <w:pPr>
              <w:ind w:right="198"/>
              <w:jc w:val="right"/>
              <w:rPr>
                <w:i/>
                <w:sz w:val="18"/>
                <w:szCs w:val="18"/>
              </w:rPr>
            </w:pPr>
          </w:p>
        </w:tc>
      </w:tr>
      <w:tr w:rsidR="007B7431" w:rsidRPr="0013526B" w14:paraId="505B5163" w14:textId="77777777" w:rsidTr="007B7431">
        <w:tc>
          <w:tcPr>
            <w:tcW w:w="2866" w:type="dxa"/>
            <w:shd w:val="clear" w:color="auto" w:fill="auto"/>
            <w:vAlign w:val="bottom"/>
          </w:tcPr>
          <w:p w14:paraId="28F72E0E" w14:textId="666B31D8" w:rsidR="007B7431" w:rsidRPr="00A54951" w:rsidRDefault="007B7431" w:rsidP="007B7431">
            <w:pPr>
              <w:ind w:left="545"/>
              <w:rPr>
                <w:sz w:val="18"/>
                <w:szCs w:val="18"/>
              </w:rPr>
            </w:pPr>
            <w:r w:rsidRPr="00A54951">
              <w:rPr>
                <w:sz w:val="18"/>
                <w:szCs w:val="18"/>
              </w:rPr>
              <w:t>Pihak ketiga</w:t>
            </w:r>
          </w:p>
        </w:tc>
        <w:tc>
          <w:tcPr>
            <w:tcW w:w="1682" w:type="dxa"/>
            <w:shd w:val="clear" w:color="auto" w:fill="auto"/>
            <w:vAlign w:val="bottom"/>
          </w:tcPr>
          <w:p w14:paraId="2DAE99F1" w14:textId="77777777" w:rsidR="007B7431" w:rsidRPr="00C66E38" w:rsidRDefault="007B7431" w:rsidP="007B7431">
            <w:pPr>
              <w:ind w:right="57"/>
              <w:jc w:val="right"/>
              <w:rPr>
                <w:sz w:val="18"/>
                <w:szCs w:val="18"/>
                <w:highlight w:val="green"/>
              </w:rPr>
            </w:pPr>
          </w:p>
        </w:tc>
        <w:tc>
          <w:tcPr>
            <w:tcW w:w="108" w:type="dxa"/>
            <w:shd w:val="clear" w:color="auto" w:fill="auto"/>
            <w:vAlign w:val="bottom"/>
          </w:tcPr>
          <w:p w14:paraId="1E5477A3" w14:textId="77777777" w:rsidR="007B7431" w:rsidRPr="00C66E38" w:rsidRDefault="007B7431" w:rsidP="007B7431">
            <w:pPr>
              <w:jc w:val="right"/>
              <w:rPr>
                <w:sz w:val="18"/>
                <w:szCs w:val="18"/>
                <w:highlight w:val="green"/>
              </w:rPr>
            </w:pPr>
          </w:p>
        </w:tc>
        <w:tc>
          <w:tcPr>
            <w:tcW w:w="1682" w:type="dxa"/>
            <w:vAlign w:val="bottom"/>
          </w:tcPr>
          <w:p w14:paraId="297E6DD3" w14:textId="77777777" w:rsidR="007B7431" w:rsidRPr="00EE76D0" w:rsidRDefault="007B7431" w:rsidP="007B7431">
            <w:pPr>
              <w:ind w:right="57"/>
              <w:jc w:val="right"/>
              <w:rPr>
                <w:sz w:val="18"/>
                <w:szCs w:val="18"/>
              </w:rPr>
            </w:pPr>
          </w:p>
        </w:tc>
        <w:tc>
          <w:tcPr>
            <w:tcW w:w="2876" w:type="dxa"/>
            <w:shd w:val="clear" w:color="auto" w:fill="auto"/>
            <w:vAlign w:val="bottom"/>
          </w:tcPr>
          <w:p w14:paraId="724807AC" w14:textId="266D7148" w:rsidR="007B7431" w:rsidRPr="00A54951" w:rsidRDefault="007B7431" w:rsidP="007B7431">
            <w:pPr>
              <w:ind w:right="188"/>
              <w:jc w:val="right"/>
              <w:rPr>
                <w:i/>
                <w:sz w:val="18"/>
                <w:szCs w:val="18"/>
              </w:rPr>
            </w:pPr>
            <w:r w:rsidRPr="00A54951">
              <w:rPr>
                <w:i/>
                <w:sz w:val="18"/>
                <w:szCs w:val="18"/>
              </w:rPr>
              <w:t>Third parties</w:t>
            </w:r>
          </w:p>
        </w:tc>
      </w:tr>
      <w:tr w:rsidR="007B7431" w:rsidRPr="0013526B" w14:paraId="4712BD2B" w14:textId="77777777" w:rsidTr="007B7431">
        <w:tc>
          <w:tcPr>
            <w:tcW w:w="2866" w:type="dxa"/>
            <w:shd w:val="clear" w:color="auto" w:fill="auto"/>
            <w:vAlign w:val="bottom"/>
          </w:tcPr>
          <w:p w14:paraId="5A4E1F33" w14:textId="14D0997E" w:rsidR="007B7431" w:rsidRPr="0013526B" w:rsidRDefault="007B7431" w:rsidP="007B7431">
            <w:pPr>
              <w:ind w:left="531"/>
              <w:rPr>
                <w:sz w:val="18"/>
                <w:szCs w:val="18"/>
              </w:rPr>
            </w:pPr>
            <w:r>
              <w:rPr>
                <w:sz w:val="18"/>
                <w:szCs w:val="18"/>
              </w:rPr>
              <w:t xml:space="preserve">  Rupiah</w:t>
            </w:r>
          </w:p>
        </w:tc>
        <w:tc>
          <w:tcPr>
            <w:tcW w:w="1682" w:type="dxa"/>
            <w:shd w:val="clear" w:color="auto" w:fill="auto"/>
            <w:vAlign w:val="bottom"/>
          </w:tcPr>
          <w:p w14:paraId="020FD860" w14:textId="77777777" w:rsidR="007B7431" w:rsidRPr="00C66E38" w:rsidRDefault="007B7431" w:rsidP="007B7431">
            <w:pPr>
              <w:ind w:right="57"/>
              <w:jc w:val="right"/>
              <w:rPr>
                <w:sz w:val="18"/>
                <w:szCs w:val="18"/>
                <w:highlight w:val="green"/>
              </w:rPr>
            </w:pPr>
          </w:p>
        </w:tc>
        <w:tc>
          <w:tcPr>
            <w:tcW w:w="108" w:type="dxa"/>
            <w:shd w:val="clear" w:color="auto" w:fill="auto"/>
            <w:vAlign w:val="bottom"/>
          </w:tcPr>
          <w:p w14:paraId="34EC7D1E" w14:textId="77777777" w:rsidR="007B7431" w:rsidRPr="00C66E38" w:rsidRDefault="007B7431" w:rsidP="007B7431">
            <w:pPr>
              <w:jc w:val="right"/>
              <w:rPr>
                <w:sz w:val="18"/>
                <w:szCs w:val="18"/>
                <w:highlight w:val="green"/>
              </w:rPr>
            </w:pPr>
          </w:p>
        </w:tc>
        <w:tc>
          <w:tcPr>
            <w:tcW w:w="1682" w:type="dxa"/>
            <w:vAlign w:val="bottom"/>
          </w:tcPr>
          <w:p w14:paraId="6F88C21D" w14:textId="77777777" w:rsidR="007B7431" w:rsidRPr="00EE76D0" w:rsidRDefault="007B7431" w:rsidP="007B7431">
            <w:pPr>
              <w:ind w:right="57"/>
              <w:jc w:val="right"/>
              <w:rPr>
                <w:sz w:val="18"/>
                <w:szCs w:val="18"/>
              </w:rPr>
            </w:pPr>
          </w:p>
        </w:tc>
        <w:tc>
          <w:tcPr>
            <w:tcW w:w="2876" w:type="dxa"/>
            <w:shd w:val="clear" w:color="auto" w:fill="auto"/>
            <w:vAlign w:val="bottom"/>
          </w:tcPr>
          <w:p w14:paraId="6C8BB7B0" w14:textId="39C975AB" w:rsidR="007B7431" w:rsidRPr="0013526B" w:rsidRDefault="007B7431" w:rsidP="007B7431">
            <w:pPr>
              <w:tabs>
                <w:tab w:val="left" w:pos="2302"/>
              </w:tabs>
              <w:ind w:right="398"/>
              <w:jc w:val="right"/>
              <w:rPr>
                <w:i/>
                <w:sz w:val="18"/>
                <w:szCs w:val="18"/>
              </w:rPr>
            </w:pPr>
            <w:r>
              <w:rPr>
                <w:i/>
                <w:sz w:val="18"/>
                <w:szCs w:val="18"/>
              </w:rPr>
              <w:t>Rupiah</w:t>
            </w:r>
          </w:p>
        </w:tc>
      </w:tr>
      <w:tr w:rsidR="007B7431" w:rsidRPr="0013526B" w14:paraId="23AB0F00" w14:textId="77777777" w:rsidTr="007B7431">
        <w:tc>
          <w:tcPr>
            <w:tcW w:w="2866" w:type="dxa"/>
            <w:shd w:val="clear" w:color="auto" w:fill="auto"/>
            <w:vAlign w:val="bottom"/>
          </w:tcPr>
          <w:p w14:paraId="367F703D" w14:textId="77777777" w:rsidR="007B7431" w:rsidRDefault="007B7431" w:rsidP="007B7431">
            <w:pPr>
              <w:ind w:left="769"/>
              <w:rPr>
                <w:sz w:val="18"/>
                <w:szCs w:val="18"/>
              </w:rPr>
            </w:pPr>
            <w:r>
              <w:rPr>
                <w:sz w:val="18"/>
                <w:szCs w:val="18"/>
              </w:rPr>
              <w:t xml:space="preserve">PT Bank Mandiri </w:t>
            </w:r>
          </w:p>
          <w:p w14:paraId="54DBB6CF" w14:textId="57AA2CA4" w:rsidR="007B7431" w:rsidRPr="0013526B" w:rsidRDefault="007B7431" w:rsidP="007B7431">
            <w:pPr>
              <w:ind w:left="974"/>
              <w:rPr>
                <w:sz w:val="18"/>
                <w:szCs w:val="18"/>
              </w:rPr>
            </w:pPr>
            <w:r>
              <w:rPr>
                <w:sz w:val="18"/>
                <w:szCs w:val="18"/>
              </w:rPr>
              <w:t>(Persero) Tbk</w:t>
            </w:r>
          </w:p>
        </w:tc>
        <w:tc>
          <w:tcPr>
            <w:tcW w:w="1682" w:type="dxa"/>
            <w:shd w:val="clear" w:color="auto" w:fill="auto"/>
            <w:vAlign w:val="bottom"/>
          </w:tcPr>
          <w:p w14:paraId="0C0107D5" w14:textId="4C02EF0D" w:rsidR="007B7431" w:rsidRPr="00C66E38" w:rsidRDefault="00F32DFB" w:rsidP="007B7431">
            <w:pPr>
              <w:ind w:right="57"/>
              <w:jc w:val="right"/>
              <w:rPr>
                <w:sz w:val="18"/>
                <w:szCs w:val="18"/>
                <w:highlight w:val="green"/>
              </w:rPr>
            </w:pPr>
            <w:r>
              <w:rPr>
                <w:sz w:val="18"/>
                <w:szCs w:val="18"/>
              </w:rPr>
              <w:t>12.798.493.</w:t>
            </w:r>
            <w:r w:rsidR="002A0E87" w:rsidRPr="002A0E87">
              <w:rPr>
                <w:sz w:val="18"/>
                <w:szCs w:val="18"/>
              </w:rPr>
              <w:t>463</w:t>
            </w:r>
          </w:p>
        </w:tc>
        <w:tc>
          <w:tcPr>
            <w:tcW w:w="108" w:type="dxa"/>
            <w:shd w:val="clear" w:color="auto" w:fill="auto"/>
            <w:vAlign w:val="bottom"/>
          </w:tcPr>
          <w:p w14:paraId="1E9627AF" w14:textId="77777777" w:rsidR="007B7431" w:rsidRPr="00C66E38" w:rsidRDefault="007B7431" w:rsidP="007B7431">
            <w:pPr>
              <w:jc w:val="right"/>
              <w:rPr>
                <w:sz w:val="18"/>
                <w:szCs w:val="18"/>
                <w:highlight w:val="green"/>
              </w:rPr>
            </w:pPr>
          </w:p>
        </w:tc>
        <w:tc>
          <w:tcPr>
            <w:tcW w:w="1682" w:type="dxa"/>
            <w:vAlign w:val="bottom"/>
          </w:tcPr>
          <w:p w14:paraId="017D2BFC" w14:textId="1C6341CB" w:rsidR="007B7431" w:rsidRPr="00EE76D0" w:rsidRDefault="007B7431" w:rsidP="007B7431">
            <w:pPr>
              <w:ind w:right="57"/>
              <w:jc w:val="right"/>
              <w:rPr>
                <w:sz w:val="18"/>
                <w:szCs w:val="18"/>
              </w:rPr>
            </w:pPr>
            <w:r w:rsidRPr="00EE76D0">
              <w:rPr>
                <w:sz w:val="18"/>
                <w:szCs w:val="18"/>
              </w:rPr>
              <w:t>16.308.002.998</w:t>
            </w:r>
          </w:p>
        </w:tc>
        <w:tc>
          <w:tcPr>
            <w:tcW w:w="2876" w:type="dxa"/>
            <w:shd w:val="clear" w:color="auto" w:fill="auto"/>
            <w:vAlign w:val="bottom"/>
          </w:tcPr>
          <w:p w14:paraId="1C68F1A3" w14:textId="77777777" w:rsidR="007B7431" w:rsidRDefault="007B7431" w:rsidP="007B7431">
            <w:pPr>
              <w:ind w:right="538"/>
              <w:jc w:val="right"/>
              <w:rPr>
                <w:i/>
                <w:sz w:val="18"/>
                <w:szCs w:val="18"/>
              </w:rPr>
            </w:pPr>
            <w:r w:rsidRPr="00580CC7">
              <w:rPr>
                <w:i/>
                <w:sz w:val="18"/>
                <w:szCs w:val="18"/>
              </w:rPr>
              <w:t xml:space="preserve">PT Bank Mandiri </w:t>
            </w:r>
          </w:p>
          <w:p w14:paraId="3A0D19FF" w14:textId="131EB741" w:rsidR="007B7431" w:rsidRPr="0013526B" w:rsidRDefault="007B7431" w:rsidP="007B7431">
            <w:pPr>
              <w:ind w:right="747"/>
              <w:jc w:val="right"/>
              <w:rPr>
                <w:i/>
                <w:sz w:val="18"/>
                <w:szCs w:val="18"/>
              </w:rPr>
            </w:pPr>
            <w:r w:rsidRPr="00580CC7">
              <w:rPr>
                <w:i/>
                <w:sz w:val="18"/>
                <w:szCs w:val="18"/>
              </w:rPr>
              <w:t>(Persero) Tbk</w:t>
            </w:r>
          </w:p>
        </w:tc>
      </w:tr>
      <w:tr w:rsidR="007B7431" w:rsidRPr="0013526B" w14:paraId="0BFF227B" w14:textId="77777777" w:rsidTr="007B7431">
        <w:tc>
          <w:tcPr>
            <w:tcW w:w="2866" w:type="dxa"/>
            <w:shd w:val="clear" w:color="auto" w:fill="auto"/>
            <w:vAlign w:val="bottom"/>
          </w:tcPr>
          <w:p w14:paraId="34EFF98E" w14:textId="5879571D" w:rsidR="007B7431" w:rsidRPr="0013526B" w:rsidRDefault="007B7431" w:rsidP="007B7431">
            <w:pPr>
              <w:ind w:left="769"/>
              <w:rPr>
                <w:sz w:val="18"/>
                <w:szCs w:val="18"/>
              </w:rPr>
            </w:pPr>
            <w:r>
              <w:rPr>
                <w:sz w:val="18"/>
                <w:szCs w:val="18"/>
              </w:rPr>
              <w:t>PT Bank Central Asia Tbk</w:t>
            </w:r>
          </w:p>
        </w:tc>
        <w:tc>
          <w:tcPr>
            <w:tcW w:w="1682" w:type="dxa"/>
            <w:shd w:val="clear" w:color="auto" w:fill="auto"/>
            <w:vAlign w:val="bottom"/>
          </w:tcPr>
          <w:p w14:paraId="75459BBE" w14:textId="424997D2" w:rsidR="007B7431" w:rsidRPr="00C66E38" w:rsidRDefault="00F32DFB" w:rsidP="007B7431">
            <w:pPr>
              <w:ind w:right="57"/>
              <w:jc w:val="right"/>
              <w:rPr>
                <w:sz w:val="18"/>
                <w:szCs w:val="18"/>
                <w:highlight w:val="green"/>
              </w:rPr>
            </w:pPr>
            <w:r>
              <w:rPr>
                <w:sz w:val="18"/>
                <w:szCs w:val="18"/>
              </w:rPr>
              <w:t>12.725.781.</w:t>
            </w:r>
            <w:r w:rsidR="002A0E87" w:rsidRPr="002A0E87">
              <w:rPr>
                <w:sz w:val="18"/>
                <w:szCs w:val="18"/>
              </w:rPr>
              <w:t>397</w:t>
            </w:r>
          </w:p>
        </w:tc>
        <w:tc>
          <w:tcPr>
            <w:tcW w:w="108" w:type="dxa"/>
            <w:shd w:val="clear" w:color="auto" w:fill="auto"/>
            <w:vAlign w:val="bottom"/>
          </w:tcPr>
          <w:p w14:paraId="0A74BC17" w14:textId="77777777" w:rsidR="007B7431" w:rsidRPr="00C66E38" w:rsidRDefault="007B7431" w:rsidP="007B7431">
            <w:pPr>
              <w:jc w:val="right"/>
              <w:rPr>
                <w:sz w:val="18"/>
                <w:szCs w:val="18"/>
                <w:highlight w:val="green"/>
              </w:rPr>
            </w:pPr>
          </w:p>
        </w:tc>
        <w:tc>
          <w:tcPr>
            <w:tcW w:w="1682" w:type="dxa"/>
            <w:vAlign w:val="bottom"/>
          </w:tcPr>
          <w:p w14:paraId="3B607FC5" w14:textId="71D71645" w:rsidR="007B7431" w:rsidRPr="00EE76D0" w:rsidRDefault="007B7431" w:rsidP="007B7431">
            <w:pPr>
              <w:ind w:right="57"/>
              <w:jc w:val="right"/>
              <w:rPr>
                <w:sz w:val="18"/>
                <w:szCs w:val="18"/>
              </w:rPr>
            </w:pPr>
            <w:r w:rsidRPr="00EE76D0">
              <w:rPr>
                <w:sz w:val="18"/>
                <w:szCs w:val="18"/>
              </w:rPr>
              <w:t>10.479.470.573</w:t>
            </w:r>
          </w:p>
        </w:tc>
        <w:tc>
          <w:tcPr>
            <w:tcW w:w="2876" w:type="dxa"/>
            <w:shd w:val="clear" w:color="auto" w:fill="auto"/>
            <w:vAlign w:val="bottom"/>
          </w:tcPr>
          <w:p w14:paraId="5EAC1DC6" w14:textId="7790BC24" w:rsidR="007B7431" w:rsidRPr="0013526B" w:rsidRDefault="007B7431" w:rsidP="007B7431">
            <w:pPr>
              <w:ind w:right="538"/>
              <w:jc w:val="right"/>
              <w:rPr>
                <w:i/>
                <w:sz w:val="18"/>
                <w:szCs w:val="18"/>
              </w:rPr>
            </w:pPr>
            <w:r>
              <w:rPr>
                <w:i/>
                <w:sz w:val="18"/>
                <w:szCs w:val="18"/>
              </w:rPr>
              <w:t>PT Bank Central Asia Tbk</w:t>
            </w:r>
          </w:p>
        </w:tc>
      </w:tr>
      <w:tr w:rsidR="007B7431" w:rsidRPr="0013526B" w14:paraId="31EFEDF9" w14:textId="77777777" w:rsidTr="007B7431">
        <w:tc>
          <w:tcPr>
            <w:tcW w:w="2866" w:type="dxa"/>
            <w:shd w:val="clear" w:color="auto" w:fill="auto"/>
            <w:vAlign w:val="bottom"/>
          </w:tcPr>
          <w:p w14:paraId="18C6719B" w14:textId="6EF2B86D" w:rsidR="007B7431" w:rsidRPr="0013526B" w:rsidRDefault="007B7431" w:rsidP="007B7431">
            <w:pPr>
              <w:ind w:left="769"/>
              <w:rPr>
                <w:sz w:val="18"/>
                <w:szCs w:val="18"/>
              </w:rPr>
            </w:pPr>
            <w:r>
              <w:rPr>
                <w:sz w:val="18"/>
                <w:szCs w:val="18"/>
              </w:rPr>
              <w:t>PT Bank CIMB Niaga Tbk</w:t>
            </w:r>
          </w:p>
        </w:tc>
        <w:tc>
          <w:tcPr>
            <w:tcW w:w="1682" w:type="dxa"/>
            <w:shd w:val="clear" w:color="auto" w:fill="auto"/>
            <w:vAlign w:val="bottom"/>
          </w:tcPr>
          <w:p w14:paraId="10010AE6" w14:textId="15D9F193" w:rsidR="007B7431" w:rsidRPr="00C66E38" w:rsidRDefault="00F32DFB" w:rsidP="007B7431">
            <w:pPr>
              <w:ind w:right="57"/>
              <w:jc w:val="right"/>
              <w:rPr>
                <w:sz w:val="18"/>
                <w:szCs w:val="18"/>
                <w:highlight w:val="green"/>
              </w:rPr>
            </w:pPr>
            <w:r>
              <w:rPr>
                <w:sz w:val="18"/>
                <w:szCs w:val="18"/>
              </w:rPr>
              <w:t>6.772.409.</w:t>
            </w:r>
            <w:r w:rsidR="002A0E87" w:rsidRPr="002A0E87">
              <w:rPr>
                <w:sz w:val="18"/>
                <w:szCs w:val="18"/>
              </w:rPr>
              <w:t>352</w:t>
            </w:r>
          </w:p>
        </w:tc>
        <w:tc>
          <w:tcPr>
            <w:tcW w:w="108" w:type="dxa"/>
            <w:shd w:val="clear" w:color="auto" w:fill="auto"/>
            <w:vAlign w:val="bottom"/>
          </w:tcPr>
          <w:p w14:paraId="130BC6E4" w14:textId="77777777" w:rsidR="007B7431" w:rsidRPr="00C66E38" w:rsidRDefault="007B7431" w:rsidP="007B7431">
            <w:pPr>
              <w:jc w:val="right"/>
              <w:rPr>
                <w:sz w:val="18"/>
                <w:szCs w:val="18"/>
                <w:highlight w:val="green"/>
              </w:rPr>
            </w:pPr>
          </w:p>
        </w:tc>
        <w:tc>
          <w:tcPr>
            <w:tcW w:w="1682" w:type="dxa"/>
            <w:vAlign w:val="bottom"/>
          </w:tcPr>
          <w:p w14:paraId="45D9C82F" w14:textId="004F4D2E" w:rsidR="007B7431" w:rsidRPr="00EE76D0" w:rsidRDefault="007B7431" w:rsidP="007B7431">
            <w:pPr>
              <w:ind w:right="57"/>
              <w:jc w:val="right"/>
              <w:rPr>
                <w:sz w:val="18"/>
                <w:szCs w:val="18"/>
              </w:rPr>
            </w:pPr>
            <w:r w:rsidRPr="00EE76D0">
              <w:rPr>
                <w:sz w:val="18"/>
                <w:szCs w:val="18"/>
              </w:rPr>
              <w:t>7.449.764.972</w:t>
            </w:r>
          </w:p>
        </w:tc>
        <w:tc>
          <w:tcPr>
            <w:tcW w:w="2876" w:type="dxa"/>
            <w:shd w:val="clear" w:color="auto" w:fill="auto"/>
            <w:vAlign w:val="bottom"/>
          </w:tcPr>
          <w:p w14:paraId="3CBCCC21" w14:textId="6B33ECAD" w:rsidR="007B7431" w:rsidRPr="00580CC7" w:rsidRDefault="007B7431" w:rsidP="007B7431">
            <w:pPr>
              <w:ind w:right="538"/>
              <w:jc w:val="right"/>
              <w:rPr>
                <w:i/>
                <w:sz w:val="18"/>
                <w:szCs w:val="18"/>
              </w:rPr>
            </w:pPr>
            <w:r w:rsidRPr="00580CC7">
              <w:rPr>
                <w:i/>
                <w:sz w:val="18"/>
                <w:szCs w:val="18"/>
              </w:rPr>
              <w:t>PT Bank CIMB Niaga Tbk</w:t>
            </w:r>
          </w:p>
        </w:tc>
      </w:tr>
      <w:tr w:rsidR="007B7431" w:rsidRPr="0013526B" w14:paraId="4666789D" w14:textId="77777777" w:rsidTr="007B7431">
        <w:tc>
          <w:tcPr>
            <w:tcW w:w="2866" w:type="dxa"/>
            <w:shd w:val="clear" w:color="auto" w:fill="auto"/>
            <w:vAlign w:val="bottom"/>
          </w:tcPr>
          <w:p w14:paraId="5C893715" w14:textId="5230A29D" w:rsidR="007B7431" w:rsidRPr="0013526B" w:rsidRDefault="007B7431" w:rsidP="007B7431">
            <w:pPr>
              <w:ind w:left="769"/>
              <w:rPr>
                <w:sz w:val="18"/>
                <w:szCs w:val="18"/>
              </w:rPr>
            </w:pPr>
            <w:r>
              <w:rPr>
                <w:sz w:val="18"/>
                <w:szCs w:val="18"/>
              </w:rPr>
              <w:t>PT Bank Bukopin Tbk</w:t>
            </w:r>
          </w:p>
        </w:tc>
        <w:tc>
          <w:tcPr>
            <w:tcW w:w="1682" w:type="dxa"/>
            <w:shd w:val="clear" w:color="auto" w:fill="auto"/>
            <w:vAlign w:val="bottom"/>
          </w:tcPr>
          <w:p w14:paraId="1713015D" w14:textId="2A251688" w:rsidR="007B7431" w:rsidRPr="00C66E38" w:rsidRDefault="00F32DFB" w:rsidP="007B7431">
            <w:pPr>
              <w:ind w:right="57"/>
              <w:jc w:val="right"/>
              <w:rPr>
                <w:sz w:val="18"/>
                <w:szCs w:val="18"/>
                <w:highlight w:val="green"/>
              </w:rPr>
            </w:pPr>
            <w:r>
              <w:rPr>
                <w:sz w:val="18"/>
                <w:szCs w:val="18"/>
              </w:rPr>
              <w:t>508.632.</w:t>
            </w:r>
            <w:r w:rsidR="002A0E87" w:rsidRPr="002A0E87">
              <w:rPr>
                <w:sz w:val="18"/>
                <w:szCs w:val="18"/>
              </w:rPr>
              <w:t>278</w:t>
            </w:r>
          </w:p>
        </w:tc>
        <w:tc>
          <w:tcPr>
            <w:tcW w:w="108" w:type="dxa"/>
            <w:shd w:val="clear" w:color="auto" w:fill="auto"/>
            <w:vAlign w:val="bottom"/>
          </w:tcPr>
          <w:p w14:paraId="4F28135E" w14:textId="77777777" w:rsidR="007B7431" w:rsidRPr="00C66E38" w:rsidRDefault="007B7431" w:rsidP="007B7431">
            <w:pPr>
              <w:jc w:val="right"/>
              <w:rPr>
                <w:sz w:val="18"/>
                <w:szCs w:val="18"/>
                <w:highlight w:val="green"/>
              </w:rPr>
            </w:pPr>
          </w:p>
        </w:tc>
        <w:tc>
          <w:tcPr>
            <w:tcW w:w="1682" w:type="dxa"/>
            <w:vAlign w:val="bottom"/>
          </w:tcPr>
          <w:p w14:paraId="4F7BDB08" w14:textId="16A81292" w:rsidR="007B7431" w:rsidRPr="00EE76D0" w:rsidRDefault="007B7431" w:rsidP="007B7431">
            <w:pPr>
              <w:ind w:right="57"/>
              <w:jc w:val="right"/>
              <w:rPr>
                <w:sz w:val="18"/>
                <w:szCs w:val="18"/>
              </w:rPr>
            </w:pPr>
            <w:r w:rsidRPr="00EE76D0">
              <w:rPr>
                <w:sz w:val="18"/>
                <w:szCs w:val="18"/>
              </w:rPr>
              <w:t>399.936.359</w:t>
            </w:r>
          </w:p>
        </w:tc>
        <w:tc>
          <w:tcPr>
            <w:tcW w:w="2876" w:type="dxa"/>
            <w:shd w:val="clear" w:color="auto" w:fill="auto"/>
            <w:vAlign w:val="bottom"/>
          </w:tcPr>
          <w:p w14:paraId="5D8EB299" w14:textId="1079805C" w:rsidR="007B7431" w:rsidRPr="0013526B" w:rsidRDefault="007B7431" w:rsidP="007B7431">
            <w:pPr>
              <w:ind w:right="538"/>
              <w:jc w:val="right"/>
              <w:rPr>
                <w:i/>
                <w:sz w:val="18"/>
                <w:szCs w:val="18"/>
                <w:lang w:val="id-ID"/>
              </w:rPr>
            </w:pPr>
            <w:r w:rsidRPr="00580CC7">
              <w:rPr>
                <w:i/>
                <w:sz w:val="18"/>
                <w:szCs w:val="18"/>
              </w:rPr>
              <w:t>PT Bank Bukopin Tbk</w:t>
            </w:r>
          </w:p>
        </w:tc>
      </w:tr>
      <w:tr w:rsidR="007B7431" w:rsidRPr="0013526B" w14:paraId="6CDFEA9E" w14:textId="77777777" w:rsidTr="007B7431">
        <w:tc>
          <w:tcPr>
            <w:tcW w:w="2866" w:type="dxa"/>
            <w:shd w:val="clear" w:color="auto" w:fill="auto"/>
            <w:vAlign w:val="bottom"/>
          </w:tcPr>
          <w:p w14:paraId="2F5554B7" w14:textId="77777777" w:rsidR="007B7431" w:rsidRDefault="007B7431" w:rsidP="007B7431">
            <w:pPr>
              <w:ind w:left="951" w:hanging="182"/>
              <w:rPr>
                <w:sz w:val="18"/>
                <w:szCs w:val="18"/>
              </w:rPr>
            </w:pPr>
            <w:r>
              <w:rPr>
                <w:sz w:val="18"/>
                <w:szCs w:val="18"/>
              </w:rPr>
              <w:t xml:space="preserve">PT Bank Pembangunan Daerah Jawa Barat </w:t>
            </w:r>
          </w:p>
          <w:p w14:paraId="642E017D" w14:textId="328B9163" w:rsidR="007B7431" w:rsidRPr="0013526B" w:rsidRDefault="007B7431" w:rsidP="007B7431">
            <w:pPr>
              <w:ind w:left="951" w:hanging="19"/>
              <w:rPr>
                <w:sz w:val="18"/>
                <w:szCs w:val="18"/>
              </w:rPr>
            </w:pPr>
            <w:r>
              <w:rPr>
                <w:sz w:val="18"/>
                <w:szCs w:val="18"/>
              </w:rPr>
              <w:t>dan Banten Tbk</w:t>
            </w:r>
          </w:p>
        </w:tc>
        <w:tc>
          <w:tcPr>
            <w:tcW w:w="1682" w:type="dxa"/>
            <w:shd w:val="clear" w:color="auto" w:fill="auto"/>
            <w:vAlign w:val="bottom"/>
          </w:tcPr>
          <w:p w14:paraId="53FC0C2C" w14:textId="0AB7A377" w:rsidR="007B7431" w:rsidRPr="00C66E38" w:rsidRDefault="00F32DFB" w:rsidP="007B7431">
            <w:pPr>
              <w:ind w:right="57"/>
              <w:jc w:val="right"/>
              <w:rPr>
                <w:sz w:val="18"/>
                <w:szCs w:val="18"/>
                <w:highlight w:val="green"/>
              </w:rPr>
            </w:pPr>
            <w:r>
              <w:rPr>
                <w:sz w:val="18"/>
                <w:szCs w:val="18"/>
              </w:rPr>
              <w:t>35.572.</w:t>
            </w:r>
            <w:r w:rsidR="002A0E87" w:rsidRPr="002A0E87">
              <w:rPr>
                <w:sz w:val="18"/>
                <w:szCs w:val="18"/>
              </w:rPr>
              <w:t>608</w:t>
            </w:r>
          </w:p>
        </w:tc>
        <w:tc>
          <w:tcPr>
            <w:tcW w:w="108" w:type="dxa"/>
            <w:shd w:val="clear" w:color="auto" w:fill="auto"/>
            <w:vAlign w:val="bottom"/>
          </w:tcPr>
          <w:p w14:paraId="076BE62E" w14:textId="77777777" w:rsidR="007B7431" w:rsidRPr="00C66E38" w:rsidRDefault="007B7431" w:rsidP="007B7431">
            <w:pPr>
              <w:jc w:val="right"/>
              <w:rPr>
                <w:sz w:val="18"/>
                <w:szCs w:val="18"/>
                <w:highlight w:val="green"/>
              </w:rPr>
            </w:pPr>
          </w:p>
        </w:tc>
        <w:tc>
          <w:tcPr>
            <w:tcW w:w="1682" w:type="dxa"/>
            <w:vAlign w:val="bottom"/>
          </w:tcPr>
          <w:p w14:paraId="516A1F4B" w14:textId="50E04450" w:rsidR="007B7431" w:rsidRPr="00EE76D0" w:rsidRDefault="007B7431" w:rsidP="007B7431">
            <w:pPr>
              <w:ind w:right="57"/>
              <w:jc w:val="right"/>
              <w:rPr>
                <w:sz w:val="18"/>
                <w:szCs w:val="18"/>
              </w:rPr>
            </w:pPr>
            <w:r w:rsidRPr="00EE76D0">
              <w:rPr>
                <w:sz w:val="18"/>
                <w:szCs w:val="18"/>
              </w:rPr>
              <w:t>35.632.608</w:t>
            </w:r>
          </w:p>
        </w:tc>
        <w:tc>
          <w:tcPr>
            <w:tcW w:w="2876" w:type="dxa"/>
            <w:shd w:val="clear" w:color="auto" w:fill="auto"/>
            <w:vAlign w:val="bottom"/>
          </w:tcPr>
          <w:p w14:paraId="069C90DB" w14:textId="77777777" w:rsidR="007B7431" w:rsidRDefault="007B7431" w:rsidP="007B7431">
            <w:pPr>
              <w:ind w:right="524"/>
              <w:jc w:val="right"/>
              <w:rPr>
                <w:i/>
                <w:sz w:val="18"/>
                <w:szCs w:val="18"/>
              </w:rPr>
            </w:pPr>
            <w:r w:rsidRPr="00580CC7">
              <w:rPr>
                <w:i/>
                <w:sz w:val="18"/>
                <w:szCs w:val="18"/>
              </w:rPr>
              <w:t xml:space="preserve">PT Bank Pembangunan </w:t>
            </w:r>
          </w:p>
          <w:p w14:paraId="40702856" w14:textId="77777777" w:rsidR="007B7431" w:rsidRDefault="007B7431" w:rsidP="007B7431">
            <w:pPr>
              <w:ind w:right="733"/>
              <w:jc w:val="right"/>
              <w:rPr>
                <w:i/>
                <w:sz w:val="18"/>
                <w:szCs w:val="18"/>
              </w:rPr>
            </w:pPr>
            <w:r w:rsidRPr="00580CC7">
              <w:rPr>
                <w:i/>
                <w:sz w:val="18"/>
                <w:szCs w:val="18"/>
              </w:rPr>
              <w:t xml:space="preserve">Daerah Jawa Barat </w:t>
            </w:r>
          </w:p>
          <w:p w14:paraId="6F3F5D01" w14:textId="35D4D15A" w:rsidR="007B7431" w:rsidRPr="0013526B" w:rsidRDefault="007B7431" w:rsidP="007B7431">
            <w:pPr>
              <w:ind w:right="747"/>
              <w:jc w:val="right"/>
              <w:rPr>
                <w:i/>
                <w:sz w:val="18"/>
                <w:szCs w:val="18"/>
              </w:rPr>
            </w:pPr>
            <w:r w:rsidRPr="00580CC7">
              <w:rPr>
                <w:i/>
                <w:sz w:val="18"/>
                <w:szCs w:val="18"/>
              </w:rPr>
              <w:t>dan Banten Tbk</w:t>
            </w:r>
          </w:p>
        </w:tc>
      </w:tr>
      <w:tr w:rsidR="007B7431" w:rsidRPr="0013526B" w14:paraId="5659CD7C" w14:textId="77777777" w:rsidTr="007B7431">
        <w:tc>
          <w:tcPr>
            <w:tcW w:w="2866" w:type="dxa"/>
            <w:shd w:val="clear" w:color="auto" w:fill="auto"/>
            <w:vAlign w:val="bottom"/>
          </w:tcPr>
          <w:p w14:paraId="6538A7F5" w14:textId="323EF5E7" w:rsidR="007B7431" w:rsidRPr="00580CC7" w:rsidRDefault="007B7431" w:rsidP="007B7431">
            <w:pPr>
              <w:ind w:left="783"/>
              <w:rPr>
                <w:sz w:val="18"/>
                <w:szCs w:val="18"/>
              </w:rPr>
            </w:pPr>
            <w:r w:rsidRPr="00580CC7">
              <w:rPr>
                <w:sz w:val="18"/>
                <w:szCs w:val="18"/>
              </w:rPr>
              <w:t>PT Bank Mega Tbk</w:t>
            </w:r>
          </w:p>
        </w:tc>
        <w:tc>
          <w:tcPr>
            <w:tcW w:w="1682" w:type="dxa"/>
            <w:shd w:val="clear" w:color="auto" w:fill="auto"/>
            <w:vAlign w:val="bottom"/>
          </w:tcPr>
          <w:p w14:paraId="499045E2" w14:textId="0CD48477" w:rsidR="007B7431" w:rsidRPr="00C66E38" w:rsidRDefault="00F32DFB" w:rsidP="007B7431">
            <w:pPr>
              <w:ind w:right="57"/>
              <w:jc w:val="right"/>
              <w:rPr>
                <w:sz w:val="18"/>
                <w:szCs w:val="18"/>
                <w:highlight w:val="green"/>
              </w:rPr>
            </w:pPr>
            <w:r>
              <w:rPr>
                <w:sz w:val="18"/>
                <w:szCs w:val="18"/>
              </w:rPr>
              <w:t>9.812.</w:t>
            </w:r>
            <w:r w:rsidR="002A0E87" w:rsidRPr="002A0E87">
              <w:rPr>
                <w:sz w:val="18"/>
                <w:szCs w:val="18"/>
              </w:rPr>
              <w:t>990</w:t>
            </w:r>
          </w:p>
        </w:tc>
        <w:tc>
          <w:tcPr>
            <w:tcW w:w="108" w:type="dxa"/>
            <w:shd w:val="clear" w:color="auto" w:fill="auto"/>
            <w:vAlign w:val="bottom"/>
          </w:tcPr>
          <w:p w14:paraId="3ED5CDD0" w14:textId="77777777" w:rsidR="007B7431" w:rsidRPr="00C66E38" w:rsidRDefault="007B7431" w:rsidP="007B7431">
            <w:pPr>
              <w:jc w:val="right"/>
              <w:rPr>
                <w:sz w:val="18"/>
                <w:szCs w:val="18"/>
                <w:highlight w:val="green"/>
              </w:rPr>
            </w:pPr>
          </w:p>
        </w:tc>
        <w:tc>
          <w:tcPr>
            <w:tcW w:w="1682" w:type="dxa"/>
            <w:vAlign w:val="bottom"/>
          </w:tcPr>
          <w:p w14:paraId="2B456ED1" w14:textId="6F7C6605" w:rsidR="007B7431" w:rsidRPr="00EE76D0" w:rsidRDefault="007B7431" w:rsidP="007B7431">
            <w:pPr>
              <w:ind w:right="57"/>
              <w:jc w:val="right"/>
              <w:rPr>
                <w:sz w:val="18"/>
                <w:szCs w:val="18"/>
              </w:rPr>
            </w:pPr>
            <w:r w:rsidRPr="00EE76D0">
              <w:rPr>
                <w:sz w:val="18"/>
                <w:szCs w:val="18"/>
              </w:rPr>
              <w:t>9.950.990</w:t>
            </w:r>
          </w:p>
        </w:tc>
        <w:tc>
          <w:tcPr>
            <w:tcW w:w="2876" w:type="dxa"/>
            <w:shd w:val="clear" w:color="auto" w:fill="auto"/>
            <w:vAlign w:val="bottom"/>
          </w:tcPr>
          <w:p w14:paraId="21B921FE" w14:textId="6CE5AE72" w:rsidR="007B7431" w:rsidRPr="00580CC7" w:rsidRDefault="007B7431" w:rsidP="007B7431">
            <w:pPr>
              <w:ind w:right="524"/>
              <w:jc w:val="right"/>
              <w:rPr>
                <w:i/>
                <w:sz w:val="18"/>
                <w:szCs w:val="18"/>
              </w:rPr>
            </w:pPr>
            <w:r w:rsidRPr="00580CC7">
              <w:rPr>
                <w:i/>
                <w:sz w:val="18"/>
                <w:szCs w:val="18"/>
              </w:rPr>
              <w:t>PT Bank Mega Tbk</w:t>
            </w:r>
          </w:p>
        </w:tc>
      </w:tr>
      <w:tr w:rsidR="007B7431" w:rsidRPr="0013526B" w14:paraId="33A89159" w14:textId="77777777" w:rsidTr="007B7431">
        <w:tc>
          <w:tcPr>
            <w:tcW w:w="2866" w:type="dxa"/>
            <w:shd w:val="clear" w:color="auto" w:fill="auto"/>
            <w:vAlign w:val="bottom"/>
          </w:tcPr>
          <w:p w14:paraId="1A311216" w14:textId="7A9A676D" w:rsidR="007B7431" w:rsidRPr="0013526B" w:rsidRDefault="007B7431" w:rsidP="007B7431">
            <w:pPr>
              <w:ind w:left="397"/>
              <w:rPr>
                <w:sz w:val="18"/>
                <w:szCs w:val="18"/>
              </w:rPr>
            </w:pPr>
          </w:p>
        </w:tc>
        <w:tc>
          <w:tcPr>
            <w:tcW w:w="1682" w:type="dxa"/>
            <w:tcBorders>
              <w:top w:val="single" w:sz="4" w:space="0" w:color="auto"/>
            </w:tcBorders>
            <w:shd w:val="clear" w:color="auto" w:fill="auto"/>
            <w:vAlign w:val="bottom"/>
          </w:tcPr>
          <w:p w14:paraId="678F96CE" w14:textId="079E3A16" w:rsidR="007B7431" w:rsidRPr="00C66E38" w:rsidRDefault="007B7431" w:rsidP="007B7431">
            <w:pPr>
              <w:ind w:right="57"/>
              <w:jc w:val="right"/>
              <w:rPr>
                <w:sz w:val="18"/>
                <w:szCs w:val="18"/>
                <w:highlight w:val="green"/>
              </w:rPr>
            </w:pPr>
          </w:p>
        </w:tc>
        <w:tc>
          <w:tcPr>
            <w:tcW w:w="108" w:type="dxa"/>
            <w:shd w:val="clear" w:color="auto" w:fill="auto"/>
            <w:vAlign w:val="bottom"/>
          </w:tcPr>
          <w:p w14:paraId="0A993B40" w14:textId="77777777" w:rsidR="007B7431" w:rsidRPr="00C66E38" w:rsidRDefault="007B7431" w:rsidP="007B7431">
            <w:pPr>
              <w:jc w:val="right"/>
              <w:rPr>
                <w:sz w:val="18"/>
                <w:szCs w:val="18"/>
                <w:highlight w:val="green"/>
              </w:rPr>
            </w:pPr>
          </w:p>
        </w:tc>
        <w:tc>
          <w:tcPr>
            <w:tcW w:w="1682" w:type="dxa"/>
            <w:tcBorders>
              <w:top w:val="single" w:sz="4" w:space="0" w:color="auto"/>
            </w:tcBorders>
            <w:vAlign w:val="bottom"/>
          </w:tcPr>
          <w:p w14:paraId="3382B4A2" w14:textId="236C23DA" w:rsidR="007B7431" w:rsidRPr="00EE76D0" w:rsidRDefault="007B7431" w:rsidP="007B7431">
            <w:pPr>
              <w:ind w:right="57"/>
              <w:jc w:val="right"/>
              <w:rPr>
                <w:sz w:val="18"/>
                <w:szCs w:val="18"/>
              </w:rPr>
            </w:pPr>
          </w:p>
        </w:tc>
        <w:tc>
          <w:tcPr>
            <w:tcW w:w="2876" w:type="dxa"/>
            <w:shd w:val="clear" w:color="auto" w:fill="auto"/>
            <w:vAlign w:val="bottom"/>
          </w:tcPr>
          <w:p w14:paraId="38586F09" w14:textId="4B9A5422" w:rsidR="007B7431" w:rsidRPr="0013526B" w:rsidRDefault="007B7431" w:rsidP="007B7431">
            <w:pPr>
              <w:ind w:right="624"/>
              <w:jc w:val="right"/>
              <w:rPr>
                <w:i/>
                <w:sz w:val="18"/>
                <w:szCs w:val="18"/>
              </w:rPr>
            </w:pPr>
          </w:p>
        </w:tc>
      </w:tr>
      <w:tr w:rsidR="007B7431" w:rsidRPr="0013526B" w14:paraId="3EF37826" w14:textId="77777777" w:rsidTr="007B7431">
        <w:tc>
          <w:tcPr>
            <w:tcW w:w="2866" w:type="dxa"/>
            <w:shd w:val="clear" w:color="auto" w:fill="auto"/>
            <w:vAlign w:val="bottom"/>
          </w:tcPr>
          <w:p w14:paraId="64DCDE71" w14:textId="3BB54250" w:rsidR="007B7431" w:rsidRPr="0013526B" w:rsidRDefault="007B7431" w:rsidP="007B7431">
            <w:pPr>
              <w:ind w:left="629"/>
              <w:rPr>
                <w:sz w:val="18"/>
                <w:szCs w:val="18"/>
              </w:rPr>
            </w:pPr>
            <w:r>
              <w:rPr>
                <w:sz w:val="18"/>
                <w:szCs w:val="18"/>
              </w:rPr>
              <w:t xml:space="preserve">Sub-jumlah Rupiah </w:t>
            </w:r>
          </w:p>
        </w:tc>
        <w:tc>
          <w:tcPr>
            <w:tcW w:w="1682" w:type="dxa"/>
            <w:tcBorders>
              <w:bottom w:val="single" w:sz="4" w:space="0" w:color="auto"/>
            </w:tcBorders>
            <w:shd w:val="clear" w:color="auto" w:fill="auto"/>
            <w:vAlign w:val="bottom"/>
          </w:tcPr>
          <w:p w14:paraId="084E9076" w14:textId="20DE1F2F" w:rsidR="007B7431" w:rsidRPr="00C66E38" w:rsidRDefault="002A0E87" w:rsidP="00F32DFB">
            <w:pPr>
              <w:ind w:right="57"/>
              <w:jc w:val="right"/>
              <w:rPr>
                <w:sz w:val="18"/>
                <w:szCs w:val="18"/>
                <w:highlight w:val="green"/>
              </w:rPr>
            </w:pPr>
            <w:r w:rsidRPr="002A0E87">
              <w:rPr>
                <w:sz w:val="18"/>
                <w:szCs w:val="18"/>
              </w:rPr>
              <w:t>32</w:t>
            </w:r>
            <w:r w:rsidR="00F32DFB">
              <w:rPr>
                <w:sz w:val="18"/>
                <w:szCs w:val="18"/>
              </w:rPr>
              <w:t>.850.702.</w:t>
            </w:r>
            <w:r w:rsidRPr="002A0E87">
              <w:rPr>
                <w:sz w:val="18"/>
                <w:szCs w:val="18"/>
              </w:rPr>
              <w:t>088</w:t>
            </w:r>
          </w:p>
        </w:tc>
        <w:tc>
          <w:tcPr>
            <w:tcW w:w="108" w:type="dxa"/>
            <w:shd w:val="clear" w:color="auto" w:fill="auto"/>
            <w:vAlign w:val="bottom"/>
          </w:tcPr>
          <w:p w14:paraId="4908B890" w14:textId="77777777" w:rsidR="007B7431" w:rsidRPr="00C66E38" w:rsidRDefault="007B7431" w:rsidP="007B7431">
            <w:pPr>
              <w:jc w:val="right"/>
              <w:rPr>
                <w:sz w:val="18"/>
                <w:szCs w:val="18"/>
                <w:highlight w:val="green"/>
              </w:rPr>
            </w:pPr>
          </w:p>
        </w:tc>
        <w:tc>
          <w:tcPr>
            <w:tcW w:w="1682" w:type="dxa"/>
            <w:tcBorders>
              <w:bottom w:val="single" w:sz="4" w:space="0" w:color="auto"/>
            </w:tcBorders>
            <w:vAlign w:val="bottom"/>
          </w:tcPr>
          <w:p w14:paraId="6E9D40E7" w14:textId="68BF99DB" w:rsidR="007B7431" w:rsidRPr="00EE76D0" w:rsidRDefault="007B7431" w:rsidP="007B7431">
            <w:pPr>
              <w:ind w:right="57"/>
              <w:jc w:val="right"/>
              <w:rPr>
                <w:sz w:val="18"/>
                <w:szCs w:val="18"/>
              </w:rPr>
            </w:pPr>
            <w:r w:rsidRPr="00EE76D0">
              <w:rPr>
                <w:sz w:val="18"/>
                <w:szCs w:val="18"/>
              </w:rPr>
              <w:t>34.682.758.500</w:t>
            </w:r>
          </w:p>
        </w:tc>
        <w:tc>
          <w:tcPr>
            <w:tcW w:w="2876" w:type="dxa"/>
            <w:shd w:val="clear" w:color="auto" w:fill="auto"/>
            <w:vAlign w:val="bottom"/>
          </w:tcPr>
          <w:p w14:paraId="21CFE0E5" w14:textId="128E5068" w:rsidR="007B7431" w:rsidRPr="0013526B" w:rsidRDefault="007B7431" w:rsidP="007B7431">
            <w:pPr>
              <w:ind w:right="370"/>
              <w:jc w:val="right"/>
              <w:rPr>
                <w:i/>
                <w:sz w:val="18"/>
                <w:szCs w:val="18"/>
              </w:rPr>
            </w:pPr>
            <w:r>
              <w:rPr>
                <w:i/>
                <w:sz w:val="18"/>
                <w:szCs w:val="18"/>
              </w:rPr>
              <w:t>Sub-total Rupiah</w:t>
            </w:r>
          </w:p>
        </w:tc>
      </w:tr>
      <w:tr w:rsidR="007B7431" w:rsidRPr="0013526B" w14:paraId="1463D471" w14:textId="77777777" w:rsidTr="007B7431">
        <w:tc>
          <w:tcPr>
            <w:tcW w:w="2866" w:type="dxa"/>
            <w:shd w:val="clear" w:color="auto" w:fill="auto"/>
            <w:vAlign w:val="bottom"/>
          </w:tcPr>
          <w:p w14:paraId="1D55242C" w14:textId="291D31E7" w:rsidR="007B7431" w:rsidRPr="0013526B" w:rsidRDefault="007B7431" w:rsidP="007B7431">
            <w:pPr>
              <w:ind w:left="397"/>
              <w:rPr>
                <w:sz w:val="18"/>
                <w:szCs w:val="18"/>
              </w:rPr>
            </w:pPr>
          </w:p>
        </w:tc>
        <w:tc>
          <w:tcPr>
            <w:tcW w:w="1682" w:type="dxa"/>
            <w:tcBorders>
              <w:top w:val="single" w:sz="4" w:space="0" w:color="auto"/>
            </w:tcBorders>
            <w:shd w:val="clear" w:color="auto" w:fill="auto"/>
            <w:vAlign w:val="bottom"/>
          </w:tcPr>
          <w:p w14:paraId="665961B5" w14:textId="4ABAEEAB" w:rsidR="007B7431" w:rsidRPr="00C66E38" w:rsidRDefault="007B7431" w:rsidP="007B7431">
            <w:pPr>
              <w:ind w:right="57"/>
              <w:jc w:val="right"/>
              <w:rPr>
                <w:sz w:val="18"/>
                <w:szCs w:val="18"/>
                <w:highlight w:val="green"/>
              </w:rPr>
            </w:pPr>
          </w:p>
        </w:tc>
        <w:tc>
          <w:tcPr>
            <w:tcW w:w="108" w:type="dxa"/>
            <w:shd w:val="clear" w:color="auto" w:fill="auto"/>
            <w:vAlign w:val="bottom"/>
          </w:tcPr>
          <w:p w14:paraId="0E063FAA" w14:textId="77777777" w:rsidR="007B7431" w:rsidRPr="00C66E38" w:rsidRDefault="007B7431" w:rsidP="007B7431">
            <w:pPr>
              <w:jc w:val="right"/>
              <w:rPr>
                <w:sz w:val="18"/>
                <w:szCs w:val="18"/>
                <w:highlight w:val="green"/>
              </w:rPr>
            </w:pPr>
          </w:p>
        </w:tc>
        <w:tc>
          <w:tcPr>
            <w:tcW w:w="1682" w:type="dxa"/>
            <w:tcBorders>
              <w:top w:val="single" w:sz="4" w:space="0" w:color="auto"/>
            </w:tcBorders>
            <w:vAlign w:val="bottom"/>
          </w:tcPr>
          <w:p w14:paraId="20C5073F" w14:textId="79263B39" w:rsidR="007B7431" w:rsidRPr="00EE76D0" w:rsidRDefault="007B7431" w:rsidP="007B7431">
            <w:pPr>
              <w:ind w:right="57"/>
              <w:jc w:val="right"/>
              <w:rPr>
                <w:sz w:val="18"/>
                <w:szCs w:val="18"/>
              </w:rPr>
            </w:pPr>
          </w:p>
        </w:tc>
        <w:tc>
          <w:tcPr>
            <w:tcW w:w="2876" w:type="dxa"/>
            <w:shd w:val="clear" w:color="auto" w:fill="auto"/>
            <w:vAlign w:val="bottom"/>
          </w:tcPr>
          <w:p w14:paraId="254CF51B" w14:textId="1433FA7C" w:rsidR="007B7431" w:rsidRPr="0013526B" w:rsidRDefault="007B7431" w:rsidP="007B7431">
            <w:pPr>
              <w:ind w:right="198"/>
              <w:jc w:val="right"/>
              <w:rPr>
                <w:i/>
                <w:sz w:val="18"/>
                <w:szCs w:val="18"/>
              </w:rPr>
            </w:pPr>
          </w:p>
        </w:tc>
      </w:tr>
      <w:tr w:rsidR="007B7431" w:rsidRPr="0013526B" w14:paraId="1C8708ED" w14:textId="77777777" w:rsidTr="007B7431">
        <w:trPr>
          <w:trHeight w:val="63"/>
        </w:trPr>
        <w:tc>
          <w:tcPr>
            <w:tcW w:w="2866" w:type="dxa"/>
            <w:shd w:val="clear" w:color="auto" w:fill="auto"/>
            <w:vAlign w:val="bottom"/>
          </w:tcPr>
          <w:p w14:paraId="54D9BF67" w14:textId="180B6E79" w:rsidR="007B7431" w:rsidRPr="0013526B" w:rsidRDefault="007B7431" w:rsidP="007B7431">
            <w:pPr>
              <w:ind w:left="531"/>
              <w:rPr>
                <w:sz w:val="18"/>
                <w:szCs w:val="18"/>
              </w:rPr>
            </w:pPr>
            <w:r>
              <w:rPr>
                <w:sz w:val="18"/>
                <w:szCs w:val="18"/>
              </w:rPr>
              <w:t>Sub-jumlah bank pihak ketiga</w:t>
            </w:r>
          </w:p>
        </w:tc>
        <w:tc>
          <w:tcPr>
            <w:tcW w:w="1682" w:type="dxa"/>
            <w:tcBorders>
              <w:bottom w:val="single" w:sz="4" w:space="0" w:color="auto"/>
            </w:tcBorders>
            <w:shd w:val="clear" w:color="auto" w:fill="auto"/>
            <w:vAlign w:val="bottom"/>
          </w:tcPr>
          <w:p w14:paraId="4090AFC7" w14:textId="6B3C70FE" w:rsidR="007B7431" w:rsidRPr="00C66E38" w:rsidRDefault="00F32DFB" w:rsidP="007B7431">
            <w:pPr>
              <w:ind w:right="57"/>
              <w:jc w:val="right"/>
              <w:rPr>
                <w:sz w:val="18"/>
                <w:szCs w:val="18"/>
                <w:highlight w:val="green"/>
              </w:rPr>
            </w:pPr>
            <w:r>
              <w:rPr>
                <w:sz w:val="18"/>
                <w:szCs w:val="18"/>
              </w:rPr>
              <w:t>32.850.702.</w:t>
            </w:r>
            <w:r w:rsidR="002A0E87" w:rsidRPr="002A0E87">
              <w:rPr>
                <w:sz w:val="18"/>
                <w:szCs w:val="18"/>
              </w:rPr>
              <w:t>088</w:t>
            </w:r>
          </w:p>
        </w:tc>
        <w:tc>
          <w:tcPr>
            <w:tcW w:w="108" w:type="dxa"/>
            <w:shd w:val="clear" w:color="auto" w:fill="auto"/>
            <w:vAlign w:val="bottom"/>
          </w:tcPr>
          <w:p w14:paraId="09B44B93" w14:textId="77777777" w:rsidR="007B7431" w:rsidRPr="00C66E38" w:rsidRDefault="007B7431" w:rsidP="007B7431">
            <w:pPr>
              <w:jc w:val="right"/>
              <w:rPr>
                <w:sz w:val="18"/>
                <w:szCs w:val="18"/>
                <w:highlight w:val="green"/>
              </w:rPr>
            </w:pPr>
          </w:p>
        </w:tc>
        <w:tc>
          <w:tcPr>
            <w:tcW w:w="1682" w:type="dxa"/>
            <w:tcBorders>
              <w:bottom w:val="single" w:sz="4" w:space="0" w:color="auto"/>
            </w:tcBorders>
            <w:vAlign w:val="bottom"/>
          </w:tcPr>
          <w:p w14:paraId="64C3F78E" w14:textId="74D616F4" w:rsidR="007B7431" w:rsidRPr="00EE76D0" w:rsidRDefault="007B7431" w:rsidP="007B7431">
            <w:pPr>
              <w:ind w:right="57"/>
              <w:jc w:val="right"/>
              <w:rPr>
                <w:sz w:val="18"/>
                <w:szCs w:val="18"/>
              </w:rPr>
            </w:pPr>
            <w:r w:rsidRPr="00EE76D0">
              <w:rPr>
                <w:sz w:val="18"/>
                <w:szCs w:val="18"/>
              </w:rPr>
              <w:t>34.682.758.500</w:t>
            </w:r>
          </w:p>
        </w:tc>
        <w:tc>
          <w:tcPr>
            <w:tcW w:w="2876" w:type="dxa"/>
            <w:shd w:val="clear" w:color="auto" w:fill="auto"/>
            <w:vAlign w:val="bottom"/>
          </w:tcPr>
          <w:p w14:paraId="4CFCE26B" w14:textId="6B5E5AFF" w:rsidR="007B7431" w:rsidRPr="0013526B" w:rsidRDefault="007B7431" w:rsidP="007B7431">
            <w:pPr>
              <w:ind w:right="188"/>
              <w:jc w:val="right"/>
              <w:rPr>
                <w:i/>
                <w:sz w:val="18"/>
                <w:szCs w:val="18"/>
              </w:rPr>
            </w:pPr>
            <w:r>
              <w:rPr>
                <w:i/>
                <w:sz w:val="18"/>
                <w:szCs w:val="18"/>
              </w:rPr>
              <w:t>Sub-total third parties bank</w:t>
            </w:r>
          </w:p>
        </w:tc>
      </w:tr>
      <w:tr w:rsidR="007B7431" w:rsidRPr="0013526B" w14:paraId="24FD0CC0" w14:textId="77777777" w:rsidTr="007B7431">
        <w:tc>
          <w:tcPr>
            <w:tcW w:w="2866" w:type="dxa"/>
            <w:shd w:val="clear" w:color="auto" w:fill="auto"/>
            <w:vAlign w:val="bottom"/>
          </w:tcPr>
          <w:p w14:paraId="036E2EB7" w14:textId="1E895B3A" w:rsidR="007B7431" w:rsidRPr="0013526B" w:rsidRDefault="007B7431" w:rsidP="007B7431">
            <w:pPr>
              <w:ind w:left="397"/>
              <w:rPr>
                <w:sz w:val="18"/>
                <w:szCs w:val="18"/>
                <w:lang w:val="id-ID"/>
              </w:rPr>
            </w:pPr>
          </w:p>
        </w:tc>
        <w:tc>
          <w:tcPr>
            <w:tcW w:w="1682" w:type="dxa"/>
            <w:tcBorders>
              <w:top w:val="single" w:sz="4" w:space="0" w:color="auto"/>
            </w:tcBorders>
            <w:shd w:val="clear" w:color="auto" w:fill="auto"/>
            <w:vAlign w:val="bottom"/>
          </w:tcPr>
          <w:p w14:paraId="3502C1F4" w14:textId="79871E3F" w:rsidR="007B7431" w:rsidRPr="00C66E38" w:rsidRDefault="007B7431" w:rsidP="007B7431">
            <w:pPr>
              <w:ind w:right="57"/>
              <w:jc w:val="right"/>
              <w:rPr>
                <w:sz w:val="18"/>
                <w:szCs w:val="18"/>
                <w:highlight w:val="green"/>
              </w:rPr>
            </w:pPr>
          </w:p>
        </w:tc>
        <w:tc>
          <w:tcPr>
            <w:tcW w:w="108" w:type="dxa"/>
            <w:shd w:val="clear" w:color="auto" w:fill="auto"/>
            <w:vAlign w:val="bottom"/>
          </w:tcPr>
          <w:p w14:paraId="45D76C35" w14:textId="77777777" w:rsidR="007B7431" w:rsidRPr="00C66E38" w:rsidRDefault="007B7431" w:rsidP="007B7431">
            <w:pPr>
              <w:jc w:val="right"/>
              <w:rPr>
                <w:sz w:val="18"/>
                <w:szCs w:val="18"/>
                <w:highlight w:val="green"/>
              </w:rPr>
            </w:pPr>
          </w:p>
        </w:tc>
        <w:tc>
          <w:tcPr>
            <w:tcW w:w="1682" w:type="dxa"/>
            <w:tcBorders>
              <w:top w:val="single" w:sz="4" w:space="0" w:color="auto"/>
            </w:tcBorders>
            <w:vAlign w:val="bottom"/>
          </w:tcPr>
          <w:p w14:paraId="745EFA6D" w14:textId="006304CB" w:rsidR="007B7431" w:rsidRPr="00EE76D0" w:rsidRDefault="007B7431" w:rsidP="007B7431">
            <w:pPr>
              <w:ind w:right="57"/>
              <w:jc w:val="right"/>
              <w:rPr>
                <w:sz w:val="18"/>
                <w:szCs w:val="18"/>
              </w:rPr>
            </w:pPr>
          </w:p>
        </w:tc>
        <w:tc>
          <w:tcPr>
            <w:tcW w:w="2876" w:type="dxa"/>
            <w:shd w:val="clear" w:color="auto" w:fill="auto"/>
            <w:vAlign w:val="bottom"/>
          </w:tcPr>
          <w:p w14:paraId="5319EF45" w14:textId="09EB2F7C" w:rsidR="007B7431" w:rsidRPr="0013526B" w:rsidRDefault="007B7431" w:rsidP="007B7431">
            <w:pPr>
              <w:ind w:right="624"/>
              <w:jc w:val="right"/>
              <w:rPr>
                <w:i/>
                <w:sz w:val="18"/>
                <w:szCs w:val="18"/>
              </w:rPr>
            </w:pPr>
          </w:p>
        </w:tc>
      </w:tr>
      <w:tr w:rsidR="007B7431" w:rsidRPr="0013526B" w14:paraId="1A013FC7" w14:textId="77777777" w:rsidTr="007B7431">
        <w:tc>
          <w:tcPr>
            <w:tcW w:w="2866" w:type="dxa"/>
            <w:shd w:val="clear" w:color="auto" w:fill="auto"/>
            <w:vAlign w:val="bottom"/>
          </w:tcPr>
          <w:p w14:paraId="23C01D45" w14:textId="3FFB5EDB" w:rsidR="007B7431" w:rsidRPr="0013526B" w:rsidRDefault="007B7431" w:rsidP="007B7431">
            <w:pPr>
              <w:ind w:left="397"/>
              <w:rPr>
                <w:sz w:val="18"/>
                <w:szCs w:val="18"/>
              </w:rPr>
            </w:pPr>
            <w:r w:rsidRPr="00580CC7">
              <w:rPr>
                <w:sz w:val="18"/>
                <w:szCs w:val="18"/>
              </w:rPr>
              <w:t>Jumlah kas di bank</w:t>
            </w:r>
          </w:p>
        </w:tc>
        <w:tc>
          <w:tcPr>
            <w:tcW w:w="1682" w:type="dxa"/>
            <w:tcBorders>
              <w:bottom w:val="single" w:sz="4" w:space="0" w:color="auto"/>
            </w:tcBorders>
            <w:shd w:val="clear" w:color="auto" w:fill="auto"/>
            <w:vAlign w:val="bottom"/>
          </w:tcPr>
          <w:p w14:paraId="1C2FA694" w14:textId="245A62A1" w:rsidR="007B7431" w:rsidRPr="00C66E38" w:rsidRDefault="00D24E4C" w:rsidP="007B7431">
            <w:pPr>
              <w:ind w:right="57"/>
              <w:jc w:val="right"/>
              <w:rPr>
                <w:sz w:val="18"/>
                <w:szCs w:val="18"/>
                <w:highlight w:val="green"/>
              </w:rPr>
            </w:pPr>
            <w:r w:rsidRPr="002F012D">
              <w:rPr>
                <w:sz w:val="18"/>
                <w:szCs w:val="18"/>
              </w:rPr>
              <w:t>75.138.494.789</w:t>
            </w:r>
          </w:p>
        </w:tc>
        <w:tc>
          <w:tcPr>
            <w:tcW w:w="108" w:type="dxa"/>
            <w:shd w:val="clear" w:color="auto" w:fill="auto"/>
            <w:vAlign w:val="bottom"/>
          </w:tcPr>
          <w:p w14:paraId="6B162C51" w14:textId="77777777" w:rsidR="007B7431" w:rsidRPr="00C66E38" w:rsidRDefault="007B7431" w:rsidP="007B7431">
            <w:pPr>
              <w:jc w:val="right"/>
              <w:rPr>
                <w:sz w:val="18"/>
                <w:szCs w:val="18"/>
                <w:highlight w:val="green"/>
              </w:rPr>
            </w:pPr>
          </w:p>
        </w:tc>
        <w:tc>
          <w:tcPr>
            <w:tcW w:w="1682" w:type="dxa"/>
            <w:tcBorders>
              <w:bottom w:val="single" w:sz="4" w:space="0" w:color="auto"/>
            </w:tcBorders>
            <w:vAlign w:val="bottom"/>
          </w:tcPr>
          <w:p w14:paraId="4CAF143D" w14:textId="44FEB6E7" w:rsidR="007B7431" w:rsidRPr="00EE76D0" w:rsidRDefault="007B7431" w:rsidP="007B7431">
            <w:pPr>
              <w:ind w:right="57"/>
              <w:jc w:val="right"/>
              <w:rPr>
                <w:sz w:val="18"/>
                <w:szCs w:val="18"/>
              </w:rPr>
            </w:pPr>
            <w:r w:rsidRPr="00EE76D0">
              <w:rPr>
                <w:sz w:val="18"/>
                <w:szCs w:val="18"/>
              </w:rPr>
              <w:t>92.117.189.241</w:t>
            </w:r>
          </w:p>
        </w:tc>
        <w:tc>
          <w:tcPr>
            <w:tcW w:w="2876" w:type="dxa"/>
            <w:shd w:val="clear" w:color="auto" w:fill="auto"/>
            <w:vAlign w:val="bottom"/>
          </w:tcPr>
          <w:p w14:paraId="73A848E4" w14:textId="31AD6C33" w:rsidR="007B7431" w:rsidRPr="0013526B" w:rsidRDefault="007B7431" w:rsidP="007B7431">
            <w:pPr>
              <w:ind w:right="48"/>
              <w:jc w:val="right"/>
              <w:rPr>
                <w:i/>
                <w:sz w:val="18"/>
                <w:szCs w:val="18"/>
              </w:rPr>
            </w:pPr>
            <w:r w:rsidRPr="00580CC7">
              <w:rPr>
                <w:i/>
                <w:sz w:val="18"/>
                <w:szCs w:val="18"/>
              </w:rPr>
              <w:t>Total cash in banks</w:t>
            </w:r>
          </w:p>
        </w:tc>
      </w:tr>
      <w:tr w:rsidR="007B7431" w:rsidRPr="0013526B" w14:paraId="4D8A4225" w14:textId="77777777" w:rsidTr="007B7431">
        <w:tc>
          <w:tcPr>
            <w:tcW w:w="2866" w:type="dxa"/>
            <w:shd w:val="clear" w:color="auto" w:fill="auto"/>
            <w:vAlign w:val="bottom"/>
          </w:tcPr>
          <w:p w14:paraId="3CF86CF7" w14:textId="77777777" w:rsidR="007B7431" w:rsidRPr="0013526B" w:rsidRDefault="007B7431" w:rsidP="007B7431">
            <w:pPr>
              <w:ind w:left="397"/>
              <w:rPr>
                <w:sz w:val="14"/>
                <w:szCs w:val="18"/>
              </w:rPr>
            </w:pPr>
          </w:p>
        </w:tc>
        <w:tc>
          <w:tcPr>
            <w:tcW w:w="1682" w:type="dxa"/>
            <w:tcBorders>
              <w:top w:val="single" w:sz="4" w:space="0" w:color="auto"/>
            </w:tcBorders>
            <w:shd w:val="clear" w:color="auto" w:fill="auto"/>
            <w:vAlign w:val="bottom"/>
          </w:tcPr>
          <w:p w14:paraId="21791800" w14:textId="77777777" w:rsidR="007B7431" w:rsidRPr="00C66E38" w:rsidRDefault="007B7431" w:rsidP="007B7431">
            <w:pPr>
              <w:ind w:right="57"/>
              <w:jc w:val="right"/>
              <w:rPr>
                <w:sz w:val="14"/>
                <w:szCs w:val="18"/>
                <w:highlight w:val="green"/>
              </w:rPr>
            </w:pPr>
          </w:p>
        </w:tc>
        <w:tc>
          <w:tcPr>
            <w:tcW w:w="108" w:type="dxa"/>
            <w:shd w:val="clear" w:color="auto" w:fill="auto"/>
            <w:vAlign w:val="bottom"/>
          </w:tcPr>
          <w:p w14:paraId="3D9A6A6D" w14:textId="77777777" w:rsidR="007B7431" w:rsidRPr="00C66E38" w:rsidRDefault="007B7431" w:rsidP="007B7431">
            <w:pPr>
              <w:jc w:val="right"/>
              <w:rPr>
                <w:sz w:val="14"/>
                <w:szCs w:val="18"/>
                <w:highlight w:val="green"/>
              </w:rPr>
            </w:pPr>
          </w:p>
        </w:tc>
        <w:tc>
          <w:tcPr>
            <w:tcW w:w="1682" w:type="dxa"/>
            <w:tcBorders>
              <w:top w:val="single" w:sz="4" w:space="0" w:color="auto"/>
            </w:tcBorders>
            <w:vAlign w:val="bottom"/>
          </w:tcPr>
          <w:p w14:paraId="67F1BACD" w14:textId="77777777" w:rsidR="007B7431" w:rsidRPr="00EE76D0" w:rsidRDefault="007B7431" w:rsidP="007B7431">
            <w:pPr>
              <w:ind w:right="57"/>
              <w:jc w:val="right"/>
              <w:rPr>
                <w:sz w:val="14"/>
                <w:szCs w:val="18"/>
              </w:rPr>
            </w:pPr>
          </w:p>
        </w:tc>
        <w:tc>
          <w:tcPr>
            <w:tcW w:w="2876" w:type="dxa"/>
            <w:shd w:val="clear" w:color="auto" w:fill="auto"/>
            <w:vAlign w:val="bottom"/>
          </w:tcPr>
          <w:p w14:paraId="3F983732" w14:textId="77777777" w:rsidR="007B7431" w:rsidRPr="0013526B" w:rsidRDefault="007B7431" w:rsidP="007B7431">
            <w:pPr>
              <w:jc w:val="right"/>
              <w:rPr>
                <w:i/>
                <w:sz w:val="14"/>
                <w:szCs w:val="18"/>
              </w:rPr>
            </w:pPr>
          </w:p>
        </w:tc>
      </w:tr>
      <w:tr w:rsidR="007B7431" w:rsidRPr="0013526B" w14:paraId="6013D055" w14:textId="77777777" w:rsidTr="007B7431">
        <w:tc>
          <w:tcPr>
            <w:tcW w:w="2866" w:type="dxa"/>
            <w:shd w:val="clear" w:color="auto" w:fill="auto"/>
            <w:vAlign w:val="bottom"/>
          </w:tcPr>
          <w:p w14:paraId="4C185C22" w14:textId="3F1A61D0" w:rsidR="007B7431" w:rsidRPr="0013526B" w:rsidRDefault="007B7431" w:rsidP="007B7431">
            <w:pPr>
              <w:ind w:left="397"/>
              <w:rPr>
                <w:sz w:val="18"/>
                <w:szCs w:val="18"/>
              </w:rPr>
            </w:pPr>
            <w:r>
              <w:rPr>
                <w:sz w:val="18"/>
                <w:szCs w:val="18"/>
              </w:rPr>
              <w:t>Deposito berjangka</w:t>
            </w:r>
          </w:p>
        </w:tc>
        <w:tc>
          <w:tcPr>
            <w:tcW w:w="1682" w:type="dxa"/>
            <w:shd w:val="clear" w:color="auto" w:fill="auto"/>
            <w:vAlign w:val="bottom"/>
          </w:tcPr>
          <w:p w14:paraId="5D936442" w14:textId="05F3039D" w:rsidR="007B7431" w:rsidRPr="00C66E38" w:rsidRDefault="007B7431" w:rsidP="007B7431">
            <w:pPr>
              <w:ind w:right="57"/>
              <w:jc w:val="right"/>
              <w:rPr>
                <w:sz w:val="18"/>
                <w:szCs w:val="18"/>
                <w:highlight w:val="green"/>
              </w:rPr>
            </w:pPr>
          </w:p>
        </w:tc>
        <w:tc>
          <w:tcPr>
            <w:tcW w:w="108" w:type="dxa"/>
            <w:shd w:val="clear" w:color="auto" w:fill="auto"/>
            <w:vAlign w:val="bottom"/>
          </w:tcPr>
          <w:p w14:paraId="7A7A24FE" w14:textId="77777777" w:rsidR="007B7431" w:rsidRPr="00C66E38" w:rsidRDefault="007B7431" w:rsidP="007B7431">
            <w:pPr>
              <w:jc w:val="right"/>
              <w:rPr>
                <w:sz w:val="18"/>
                <w:szCs w:val="18"/>
                <w:highlight w:val="green"/>
              </w:rPr>
            </w:pPr>
          </w:p>
        </w:tc>
        <w:tc>
          <w:tcPr>
            <w:tcW w:w="1682" w:type="dxa"/>
            <w:vAlign w:val="bottom"/>
          </w:tcPr>
          <w:p w14:paraId="3AEA2F7E" w14:textId="0E55A04B" w:rsidR="007B7431" w:rsidRPr="00EE76D0" w:rsidRDefault="007B7431" w:rsidP="007B7431">
            <w:pPr>
              <w:ind w:right="57"/>
              <w:jc w:val="right"/>
              <w:rPr>
                <w:sz w:val="18"/>
                <w:szCs w:val="18"/>
              </w:rPr>
            </w:pPr>
          </w:p>
        </w:tc>
        <w:tc>
          <w:tcPr>
            <w:tcW w:w="2876" w:type="dxa"/>
            <w:shd w:val="clear" w:color="auto" w:fill="auto"/>
            <w:vAlign w:val="bottom"/>
          </w:tcPr>
          <w:p w14:paraId="452CBB22" w14:textId="55ADD7FE" w:rsidR="007B7431" w:rsidRPr="0013526B" w:rsidRDefault="007B7431" w:rsidP="007B7431">
            <w:pPr>
              <w:ind w:right="57"/>
              <w:jc w:val="right"/>
              <w:rPr>
                <w:i/>
                <w:sz w:val="18"/>
                <w:szCs w:val="18"/>
              </w:rPr>
            </w:pPr>
            <w:r>
              <w:rPr>
                <w:i/>
                <w:sz w:val="18"/>
                <w:szCs w:val="18"/>
              </w:rPr>
              <w:t>Time deposits</w:t>
            </w:r>
          </w:p>
        </w:tc>
      </w:tr>
      <w:tr w:rsidR="007B7431" w:rsidRPr="0013526B" w14:paraId="003A5D2C" w14:textId="77777777" w:rsidTr="007B7431">
        <w:tc>
          <w:tcPr>
            <w:tcW w:w="2866" w:type="dxa"/>
            <w:shd w:val="clear" w:color="auto" w:fill="auto"/>
            <w:vAlign w:val="bottom"/>
          </w:tcPr>
          <w:p w14:paraId="732C2391" w14:textId="72273DAE" w:rsidR="007B7431" w:rsidRPr="00C1734A" w:rsidRDefault="007B7431" w:rsidP="007B7431">
            <w:pPr>
              <w:ind w:left="493"/>
              <w:rPr>
                <w:sz w:val="18"/>
                <w:szCs w:val="18"/>
              </w:rPr>
            </w:pPr>
            <w:r w:rsidRPr="00C1734A">
              <w:rPr>
                <w:sz w:val="18"/>
                <w:szCs w:val="18"/>
              </w:rPr>
              <w:t>Pihak berelasi</w:t>
            </w:r>
          </w:p>
        </w:tc>
        <w:tc>
          <w:tcPr>
            <w:tcW w:w="1682" w:type="dxa"/>
            <w:shd w:val="clear" w:color="auto" w:fill="auto"/>
            <w:vAlign w:val="bottom"/>
          </w:tcPr>
          <w:p w14:paraId="7F5D77F2" w14:textId="77777777" w:rsidR="007B7431" w:rsidRPr="00C66E38" w:rsidRDefault="007B7431" w:rsidP="007B7431">
            <w:pPr>
              <w:ind w:right="57"/>
              <w:jc w:val="right"/>
              <w:rPr>
                <w:sz w:val="14"/>
                <w:szCs w:val="18"/>
                <w:highlight w:val="green"/>
              </w:rPr>
            </w:pPr>
          </w:p>
        </w:tc>
        <w:tc>
          <w:tcPr>
            <w:tcW w:w="108" w:type="dxa"/>
            <w:shd w:val="clear" w:color="auto" w:fill="auto"/>
            <w:vAlign w:val="bottom"/>
          </w:tcPr>
          <w:p w14:paraId="3FCF6BEF" w14:textId="77777777" w:rsidR="007B7431" w:rsidRPr="00C66E38" w:rsidRDefault="007B7431" w:rsidP="007B7431">
            <w:pPr>
              <w:jc w:val="right"/>
              <w:rPr>
                <w:sz w:val="14"/>
                <w:szCs w:val="18"/>
                <w:highlight w:val="green"/>
              </w:rPr>
            </w:pPr>
          </w:p>
        </w:tc>
        <w:tc>
          <w:tcPr>
            <w:tcW w:w="1682" w:type="dxa"/>
            <w:vAlign w:val="bottom"/>
          </w:tcPr>
          <w:p w14:paraId="136C94C1" w14:textId="77777777" w:rsidR="007B7431" w:rsidRPr="00EE76D0" w:rsidRDefault="007B7431" w:rsidP="007B7431">
            <w:pPr>
              <w:ind w:right="57"/>
              <w:jc w:val="right"/>
              <w:rPr>
                <w:sz w:val="14"/>
                <w:szCs w:val="18"/>
              </w:rPr>
            </w:pPr>
          </w:p>
        </w:tc>
        <w:tc>
          <w:tcPr>
            <w:tcW w:w="2876" w:type="dxa"/>
            <w:shd w:val="clear" w:color="auto" w:fill="auto"/>
            <w:vAlign w:val="bottom"/>
          </w:tcPr>
          <w:p w14:paraId="47937D4A" w14:textId="17C85C83" w:rsidR="007B7431" w:rsidRPr="0013526B" w:rsidRDefault="007B7431" w:rsidP="007B7431">
            <w:pPr>
              <w:ind w:right="230"/>
              <w:jc w:val="right"/>
              <w:rPr>
                <w:i/>
                <w:sz w:val="14"/>
                <w:szCs w:val="18"/>
              </w:rPr>
            </w:pPr>
            <w:r>
              <w:rPr>
                <w:i/>
                <w:sz w:val="18"/>
                <w:szCs w:val="18"/>
              </w:rPr>
              <w:t>Related party</w:t>
            </w:r>
          </w:p>
        </w:tc>
      </w:tr>
      <w:tr w:rsidR="007B7431" w:rsidRPr="0013526B" w14:paraId="21A295B1" w14:textId="77777777" w:rsidTr="007B7431">
        <w:tc>
          <w:tcPr>
            <w:tcW w:w="2866" w:type="dxa"/>
            <w:shd w:val="clear" w:color="auto" w:fill="auto"/>
            <w:vAlign w:val="bottom"/>
          </w:tcPr>
          <w:p w14:paraId="647CF0E7" w14:textId="77777777" w:rsidR="007B7431" w:rsidRDefault="007B7431" w:rsidP="007B7431">
            <w:pPr>
              <w:ind w:left="633"/>
              <w:rPr>
                <w:sz w:val="18"/>
                <w:szCs w:val="18"/>
              </w:rPr>
            </w:pPr>
            <w:r w:rsidRPr="0013526B">
              <w:rPr>
                <w:sz w:val="18"/>
                <w:szCs w:val="18"/>
              </w:rPr>
              <w:t>PT Bank M</w:t>
            </w:r>
            <w:r>
              <w:rPr>
                <w:sz w:val="18"/>
                <w:szCs w:val="18"/>
              </w:rPr>
              <w:t xml:space="preserve">ayapada </w:t>
            </w:r>
          </w:p>
          <w:p w14:paraId="1518BEF5" w14:textId="6C327249" w:rsidR="007B7431" w:rsidRPr="0013526B" w:rsidRDefault="007B7431" w:rsidP="007B7431">
            <w:pPr>
              <w:ind w:left="736"/>
              <w:rPr>
                <w:sz w:val="18"/>
                <w:szCs w:val="18"/>
              </w:rPr>
            </w:pPr>
            <w:r>
              <w:rPr>
                <w:sz w:val="18"/>
                <w:szCs w:val="18"/>
              </w:rPr>
              <w:t>International</w:t>
            </w:r>
            <w:r w:rsidRPr="0013526B">
              <w:rPr>
                <w:sz w:val="18"/>
                <w:szCs w:val="18"/>
              </w:rPr>
              <w:t xml:space="preserve"> Tbk</w:t>
            </w:r>
            <w:r>
              <w:rPr>
                <w:sz w:val="18"/>
                <w:szCs w:val="18"/>
              </w:rPr>
              <w:t xml:space="preserve"> Rupiah</w:t>
            </w:r>
          </w:p>
        </w:tc>
        <w:tc>
          <w:tcPr>
            <w:tcW w:w="1682" w:type="dxa"/>
            <w:tcBorders>
              <w:bottom w:val="single" w:sz="4" w:space="0" w:color="auto"/>
            </w:tcBorders>
            <w:shd w:val="clear" w:color="auto" w:fill="auto"/>
            <w:vAlign w:val="bottom"/>
          </w:tcPr>
          <w:p w14:paraId="716284EF" w14:textId="4C17FC3A" w:rsidR="007B7431" w:rsidRPr="00C66E38" w:rsidRDefault="002A0E87" w:rsidP="007B7431">
            <w:pPr>
              <w:ind w:right="57"/>
              <w:jc w:val="right"/>
              <w:rPr>
                <w:sz w:val="18"/>
                <w:szCs w:val="18"/>
                <w:highlight w:val="green"/>
              </w:rPr>
            </w:pPr>
            <w:r w:rsidRPr="002A0E87">
              <w:rPr>
                <w:sz w:val="18"/>
                <w:szCs w:val="18"/>
              </w:rPr>
              <w:t>140.000.000.000</w:t>
            </w:r>
          </w:p>
        </w:tc>
        <w:tc>
          <w:tcPr>
            <w:tcW w:w="108" w:type="dxa"/>
            <w:shd w:val="clear" w:color="auto" w:fill="auto"/>
            <w:vAlign w:val="bottom"/>
          </w:tcPr>
          <w:p w14:paraId="6B92AD0C" w14:textId="77777777" w:rsidR="007B7431" w:rsidRPr="00C66E38" w:rsidRDefault="007B7431" w:rsidP="007B7431">
            <w:pPr>
              <w:jc w:val="right"/>
              <w:rPr>
                <w:sz w:val="18"/>
                <w:szCs w:val="18"/>
                <w:highlight w:val="green"/>
              </w:rPr>
            </w:pPr>
          </w:p>
        </w:tc>
        <w:tc>
          <w:tcPr>
            <w:tcW w:w="1682" w:type="dxa"/>
            <w:tcBorders>
              <w:bottom w:val="single" w:sz="4" w:space="0" w:color="auto"/>
            </w:tcBorders>
            <w:vAlign w:val="bottom"/>
          </w:tcPr>
          <w:p w14:paraId="750598AC" w14:textId="300F62BC" w:rsidR="007B7431" w:rsidRPr="00EE76D0" w:rsidRDefault="007B7431" w:rsidP="007B7431">
            <w:pPr>
              <w:ind w:right="57"/>
              <w:jc w:val="right"/>
              <w:rPr>
                <w:sz w:val="18"/>
                <w:szCs w:val="18"/>
              </w:rPr>
            </w:pPr>
            <w:r w:rsidRPr="00EE76D0">
              <w:rPr>
                <w:sz w:val="18"/>
                <w:szCs w:val="18"/>
              </w:rPr>
              <w:t>140.000.000.000</w:t>
            </w:r>
          </w:p>
        </w:tc>
        <w:tc>
          <w:tcPr>
            <w:tcW w:w="2876" w:type="dxa"/>
            <w:shd w:val="clear" w:color="auto" w:fill="auto"/>
            <w:vAlign w:val="bottom"/>
          </w:tcPr>
          <w:p w14:paraId="36B3D4D3" w14:textId="77777777" w:rsidR="007B7431" w:rsidRDefault="007B7431" w:rsidP="007B7431">
            <w:pPr>
              <w:ind w:right="328"/>
              <w:jc w:val="right"/>
              <w:rPr>
                <w:i/>
                <w:sz w:val="18"/>
                <w:szCs w:val="18"/>
              </w:rPr>
            </w:pPr>
            <w:r w:rsidRPr="0013526B">
              <w:rPr>
                <w:i/>
                <w:sz w:val="18"/>
                <w:szCs w:val="18"/>
              </w:rPr>
              <w:t>PT Bank Ma</w:t>
            </w:r>
            <w:r>
              <w:rPr>
                <w:i/>
                <w:sz w:val="18"/>
                <w:szCs w:val="18"/>
              </w:rPr>
              <w:t xml:space="preserve">yapada </w:t>
            </w:r>
          </w:p>
          <w:p w14:paraId="72BEED4D" w14:textId="741ADE7B" w:rsidR="007B7431" w:rsidRPr="0013526B" w:rsidRDefault="007B7431" w:rsidP="007B7431">
            <w:pPr>
              <w:ind w:right="538"/>
              <w:jc w:val="right"/>
              <w:rPr>
                <w:i/>
                <w:sz w:val="18"/>
                <w:szCs w:val="18"/>
              </w:rPr>
            </w:pPr>
            <w:r>
              <w:rPr>
                <w:i/>
                <w:sz w:val="18"/>
                <w:szCs w:val="18"/>
              </w:rPr>
              <w:t xml:space="preserve">International </w:t>
            </w:r>
            <w:r w:rsidRPr="0013526B">
              <w:rPr>
                <w:i/>
                <w:sz w:val="18"/>
                <w:szCs w:val="18"/>
              </w:rPr>
              <w:t>Tbk</w:t>
            </w:r>
            <w:r>
              <w:rPr>
                <w:i/>
                <w:sz w:val="18"/>
                <w:szCs w:val="18"/>
              </w:rPr>
              <w:t xml:space="preserve"> Rupiah</w:t>
            </w:r>
          </w:p>
        </w:tc>
      </w:tr>
      <w:tr w:rsidR="007B7431" w:rsidRPr="0013526B" w14:paraId="00609B9B" w14:textId="77777777" w:rsidTr="007B7431">
        <w:tc>
          <w:tcPr>
            <w:tcW w:w="2866" w:type="dxa"/>
            <w:shd w:val="clear" w:color="auto" w:fill="auto"/>
            <w:vAlign w:val="bottom"/>
          </w:tcPr>
          <w:p w14:paraId="7E83DA40" w14:textId="52B104C3" w:rsidR="007B7431" w:rsidRPr="0013526B" w:rsidRDefault="007B7431" w:rsidP="007B7431">
            <w:pPr>
              <w:ind w:left="397"/>
              <w:rPr>
                <w:sz w:val="18"/>
                <w:szCs w:val="18"/>
              </w:rPr>
            </w:pPr>
          </w:p>
        </w:tc>
        <w:tc>
          <w:tcPr>
            <w:tcW w:w="1682" w:type="dxa"/>
            <w:tcBorders>
              <w:top w:val="single" w:sz="4" w:space="0" w:color="auto"/>
            </w:tcBorders>
            <w:shd w:val="clear" w:color="auto" w:fill="auto"/>
            <w:vAlign w:val="bottom"/>
          </w:tcPr>
          <w:p w14:paraId="2358CB08" w14:textId="77777777" w:rsidR="007B7431" w:rsidRPr="00C66E38" w:rsidRDefault="007B7431" w:rsidP="007B7431">
            <w:pPr>
              <w:ind w:right="57"/>
              <w:jc w:val="right"/>
              <w:rPr>
                <w:sz w:val="18"/>
                <w:szCs w:val="18"/>
                <w:highlight w:val="green"/>
              </w:rPr>
            </w:pPr>
          </w:p>
        </w:tc>
        <w:tc>
          <w:tcPr>
            <w:tcW w:w="108" w:type="dxa"/>
            <w:shd w:val="clear" w:color="auto" w:fill="auto"/>
            <w:vAlign w:val="bottom"/>
          </w:tcPr>
          <w:p w14:paraId="2071AD2D" w14:textId="77777777" w:rsidR="007B7431" w:rsidRPr="00C66E38" w:rsidRDefault="007B7431" w:rsidP="007B7431">
            <w:pPr>
              <w:jc w:val="right"/>
              <w:rPr>
                <w:sz w:val="18"/>
                <w:szCs w:val="18"/>
                <w:highlight w:val="green"/>
              </w:rPr>
            </w:pPr>
          </w:p>
        </w:tc>
        <w:tc>
          <w:tcPr>
            <w:tcW w:w="1682" w:type="dxa"/>
            <w:tcBorders>
              <w:top w:val="single" w:sz="4" w:space="0" w:color="auto"/>
            </w:tcBorders>
            <w:vAlign w:val="bottom"/>
          </w:tcPr>
          <w:p w14:paraId="440D64D3" w14:textId="77777777" w:rsidR="007B7431" w:rsidRPr="00EE76D0" w:rsidRDefault="007B7431" w:rsidP="007B7431">
            <w:pPr>
              <w:ind w:right="57"/>
              <w:jc w:val="right"/>
              <w:rPr>
                <w:sz w:val="18"/>
                <w:szCs w:val="18"/>
              </w:rPr>
            </w:pPr>
          </w:p>
        </w:tc>
        <w:tc>
          <w:tcPr>
            <w:tcW w:w="2876" w:type="dxa"/>
            <w:shd w:val="clear" w:color="auto" w:fill="auto"/>
            <w:vAlign w:val="bottom"/>
          </w:tcPr>
          <w:p w14:paraId="50E1C573" w14:textId="05C4E4C8" w:rsidR="007B7431" w:rsidRPr="0013526B" w:rsidRDefault="007B7431" w:rsidP="007B7431">
            <w:pPr>
              <w:ind w:right="57"/>
              <w:jc w:val="right"/>
              <w:rPr>
                <w:i/>
                <w:sz w:val="18"/>
                <w:szCs w:val="18"/>
              </w:rPr>
            </w:pPr>
          </w:p>
        </w:tc>
      </w:tr>
      <w:tr w:rsidR="007B7431" w:rsidRPr="0013526B" w14:paraId="2A16CB82" w14:textId="77777777" w:rsidTr="007B7431">
        <w:tc>
          <w:tcPr>
            <w:tcW w:w="2866" w:type="dxa"/>
            <w:shd w:val="clear" w:color="auto" w:fill="auto"/>
            <w:vAlign w:val="bottom"/>
          </w:tcPr>
          <w:p w14:paraId="12885FA9" w14:textId="6C108999" w:rsidR="007B7431" w:rsidRPr="0013526B" w:rsidRDefault="007B7431" w:rsidP="007B7431">
            <w:pPr>
              <w:ind w:left="397"/>
              <w:rPr>
                <w:sz w:val="18"/>
                <w:szCs w:val="18"/>
              </w:rPr>
            </w:pPr>
            <w:r>
              <w:rPr>
                <w:sz w:val="18"/>
                <w:szCs w:val="18"/>
              </w:rPr>
              <w:t>Jumlah deposito berjangka</w:t>
            </w:r>
          </w:p>
        </w:tc>
        <w:tc>
          <w:tcPr>
            <w:tcW w:w="1682" w:type="dxa"/>
            <w:tcBorders>
              <w:bottom w:val="single" w:sz="4" w:space="0" w:color="auto"/>
            </w:tcBorders>
            <w:shd w:val="clear" w:color="auto" w:fill="auto"/>
            <w:vAlign w:val="bottom"/>
          </w:tcPr>
          <w:p w14:paraId="14CA8587" w14:textId="5B8E63FA" w:rsidR="007B7431" w:rsidRPr="00C66E38" w:rsidRDefault="002A0E87" w:rsidP="007B7431">
            <w:pPr>
              <w:ind w:right="57"/>
              <w:jc w:val="right"/>
              <w:rPr>
                <w:sz w:val="18"/>
                <w:szCs w:val="18"/>
                <w:highlight w:val="green"/>
              </w:rPr>
            </w:pPr>
            <w:r w:rsidRPr="002A0E87">
              <w:rPr>
                <w:sz w:val="18"/>
                <w:szCs w:val="18"/>
              </w:rPr>
              <w:t>140.000.000.000</w:t>
            </w:r>
          </w:p>
        </w:tc>
        <w:tc>
          <w:tcPr>
            <w:tcW w:w="108" w:type="dxa"/>
            <w:shd w:val="clear" w:color="auto" w:fill="auto"/>
            <w:vAlign w:val="bottom"/>
          </w:tcPr>
          <w:p w14:paraId="3871492F" w14:textId="77777777" w:rsidR="007B7431" w:rsidRPr="00C66E38" w:rsidRDefault="007B7431" w:rsidP="007B7431">
            <w:pPr>
              <w:jc w:val="center"/>
              <w:rPr>
                <w:sz w:val="18"/>
                <w:szCs w:val="18"/>
                <w:highlight w:val="green"/>
              </w:rPr>
            </w:pPr>
          </w:p>
        </w:tc>
        <w:tc>
          <w:tcPr>
            <w:tcW w:w="1682" w:type="dxa"/>
            <w:tcBorders>
              <w:bottom w:val="single" w:sz="4" w:space="0" w:color="auto"/>
            </w:tcBorders>
            <w:vAlign w:val="bottom"/>
          </w:tcPr>
          <w:p w14:paraId="6D11724E" w14:textId="2F3326E4" w:rsidR="007B7431" w:rsidRPr="00EE76D0" w:rsidRDefault="007B7431" w:rsidP="007B7431">
            <w:pPr>
              <w:ind w:right="57"/>
              <w:jc w:val="right"/>
              <w:rPr>
                <w:sz w:val="18"/>
                <w:szCs w:val="18"/>
              </w:rPr>
            </w:pPr>
            <w:r w:rsidRPr="00EE76D0">
              <w:rPr>
                <w:sz w:val="18"/>
                <w:szCs w:val="18"/>
              </w:rPr>
              <w:t>140.000.000.000</w:t>
            </w:r>
          </w:p>
        </w:tc>
        <w:tc>
          <w:tcPr>
            <w:tcW w:w="2876" w:type="dxa"/>
            <w:shd w:val="clear" w:color="auto" w:fill="auto"/>
            <w:vAlign w:val="bottom"/>
          </w:tcPr>
          <w:p w14:paraId="515AF932" w14:textId="6D897E08" w:rsidR="007B7431" w:rsidRPr="0013526B" w:rsidRDefault="007B7431" w:rsidP="007B7431">
            <w:pPr>
              <w:ind w:right="57"/>
              <w:jc w:val="right"/>
              <w:rPr>
                <w:i/>
                <w:sz w:val="18"/>
                <w:szCs w:val="18"/>
              </w:rPr>
            </w:pPr>
            <w:r>
              <w:rPr>
                <w:i/>
                <w:sz w:val="18"/>
                <w:szCs w:val="18"/>
              </w:rPr>
              <w:t>Total time deposits</w:t>
            </w:r>
          </w:p>
        </w:tc>
      </w:tr>
      <w:tr w:rsidR="007B7431" w:rsidRPr="0013526B" w14:paraId="00124F27" w14:textId="77777777" w:rsidTr="007B7431">
        <w:tc>
          <w:tcPr>
            <w:tcW w:w="2866" w:type="dxa"/>
            <w:shd w:val="clear" w:color="auto" w:fill="auto"/>
            <w:vAlign w:val="bottom"/>
          </w:tcPr>
          <w:p w14:paraId="75555E5F" w14:textId="77777777" w:rsidR="007B7431" w:rsidRPr="00C1734A" w:rsidRDefault="007B7431" w:rsidP="007B7431">
            <w:pPr>
              <w:ind w:left="397"/>
              <w:rPr>
                <w:sz w:val="18"/>
                <w:szCs w:val="18"/>
              </w:rPr>
            </w:pPr>
          </w:p>
        </w:tc>
        <w:tc>
          <w:tcPr>
            <w:tcW w:w="1682" w:type="dxa"/>
            <w:tcBorders>
              <w:top w:val="single" w:sz="4" w:space="0" w:color="auto"/>
            </w:tcBorders>
            <w:shd w:val="clear" w:color="auto" w:fill="auto"/>
            <w:vAlign w:val="bottom"/>
          </w:tcPr>
          <w:p w14:paraId="67124FC1" w14:textId="77777777" w:rsidR="007B7431" w:rsidRPr="009F7DE1" w:rsidRDefault="007B7431" w:rsidP="007B7431">
            <w:pPr>
              <w:ind w:right="57"/>
              <w:jc w:val="right"/>
              <w:rPr>
                <w:sz w:val="14"/>
                <w:szCs w:val="18"/>
                <w:highlight w:val="yellow"/>
              </w:rPr>
            </w:pPr>
          </w:p>
        </w:tc>
        <w:tc>
          <w:tcPr>
            <w:tcW w:w="108" w:type="dxa"/>
            <w:shd w:val="clear" w:color="auto" w:fill="auto"/>
            <w:vAlign w:val="bottom"/>
          </w:tcPr>
          <w:p w14:paraId="448A9906" w14:textId="77777777" w:rsidR="007B7431" w:rsidRPr="00C66E38" w:rsidRDefault="007B7431" w:rsidP="007B7431">
            <w:pPr>
              <w:jc w:val="right"/>
              <w:rPr>
                <w:sz w:val="14"/>
                <w:szCs w:val="18"/>
                <w:highlight w:val="green"/>
              </w:rPr>
            </w:pPr>
          </w:p>
        </w:tc>
        <w:tc>
          <w:tcPr>
            <w:tcW w:w="1682" w:type="dxa"/>
            <w:tcBorders>
              <w:top w:val="single" w:sz="4" w:space="0" w:color="auto"/>
            </w:tcBorders>
            <w:vAlign w:val="bottom"/>
          </w:tcPr>
          <w:p w14:paraId="141D42F7" w14:textId="77777777" w:rsidR="007B7431" w:rsidRPr="00EE76D0" w:rsidRDefault="007B7431" w:rsidP="007B7431">
            <w:pPr>
              <w:ind w:right="57"/>
              <w:jc w:val="right"/>
              <w:rPr>
                <w:sz w:val="14"/>
                <w:szCs w:val="18"/>
              </w:rPr>
            </w:pPr>
          </w:p>
        </w:tc>
        <w:tc>
          <w:tcPr>
            <w:tcW w:w="2876" w:type="dxa"/>
            <w:shd w:val="clear" w:color="auto" w:fill="auto"/>
            <w:vAlign w:val="bottom"/>
          </w:tcPr>
          <w:p w14:paraId="419EB1A8" w14:textId="77777777" w:rsidR="007B7431" w:rsidRPr="0013526B" w:rsidRDefault="007B7431" w:rsidP="007B7431">
            <w:pPr>
              <w:jc w:val="right"/>
              <w:rPr>
                <w:i/>
                <w:sz w:val="14"/>
                <w:szCs w:val="18"/>
              </w:rPr>
            </w:pPr>
          </w:p>
        </w:tc>
      </w:tr>
      <w:tr w:rsidR="007B7431" w:rsidRPr="0013526B" w14:paraId="66C8E3EF" w14:textId="77777777" w:rsidTr="007B7431">
        <w:tc>
          <w:tcPr>
            <w:tcW w:w="2866" w:type="dxa"/>
            <w:shd w:val="clear" w:color="auto" w:fill="auto"/>
            <w:vAlign w:val="bottom"/>
          </w:tcPr>
          <w:p w14:paraId="59734BD4" w14:textId="00CFC294" w:rsidR="007B7431" w:rsidRPr="0000080B" w:rsidRDefault="007B7431" w:rsidP="007B7431">
            <w:pPr>
              <w:ind w:left="397"/>
              <w:rPr>
                <w:b/>
                <w:bCs w:val="0"/>
                <w:sz w:val="18"/>
                <w:szCs w:val="18"/>
              </w:rPr>
            </w:pPr>
            <w:r w:rsidRPr="0000080B">
              <w:rPr>
                <w:b/>
                <w:bCs w:val="0"/>
                <w:sz w:val="18"/>
                <w:szCs w:val="18"/>
              </w:rPr>
              <w:t>Jumlah</w:t>
            </w:r>
          </w:p>
        </w:tc>
        <w:tc>
          <w:tcPr>
            <w:tcW w:w="1682" w:type="dxa"/>
            <w:tcBorders>
              <w:bottom w:val="double" w:sz="4" w:space="0" w:color="auto"/>
            </w:tcBorders>
            <w:shd w:val="clear" w:color="auto" w:fill="auto"/>
            <w:vAlign w:val="bottom"/>
          </w:tcPr>
          <w:p w14:paraId="3730FADB" w14:textId="647FF742" w:rsidR="007B7431" w:rsidRPr="009F7DE1" w:rsidRDefault="00F32DFB" w:rsidP="007B7431">
            <w:pPr>
              <w:ind w:right="57"/>
              <w:jc w:val="right"/>
              <w:rPr>
                <w:b/>
                <w:sz w:val="18"/>
                <w:szCs w:val="18"/>
                <w:highlight w:val="yellow"/>
              </w:rPr>
            </w:pPr>
            <w:r w:rsidRPr="003C0B13">
              <w:rPr>
                <w:b/>
                <w:sz w:val="18"/>
                <w:szCs w:val="18"/>
              </w:rPr>
              <w:t>216.662.299.</w:t>
            </w:r>
            <w:r w:rsidR="002A0E87" w:rsidRPr="003C0B13">
              <w:rPr>
                <w:b/>
                <w:sz w:val="18"/>
                <w:szCs w:val="18"/>
              </w:rPr>
              <w:t>289</w:t>
            </w:r>
          </w:p>
        </w:tc>
        <w:tc>
          <w:tcPr>
            <w:tcW w:w="108" w:type="dxa"/>
            <w:shd w:val="clear" w:color="auto" w:fill="auto"/>
            <w:vAlign w:val="bottom"/>
          </w:tcPr>
          <w:p w14:paraId="6D1467D1" w14:textId="77777777" w:rsidR="007B7431" w:rsidRPr="00C66E38" w:rsidRDefault="007B7431" w:rsidP="007B7431">
            <w:pPr>
              <w:jc w:val="right"/>
              <w:rPr>
                <w:b/>
                <w:sz w:val="18"/>
                <w:szCs w:val="18"/>
                <w:highlight w:val="green"/>
              </w:rPr>
            </w:pPr>
          </w:p>
        </w:tc>
        <w:tc>
          <w:tcPr>
            <w:tcW w:w="1682" w:type="dxa"/>
            <w:tcBorders>
              <w:bottom w:val="double" w:sz="4" w:space="0" w:color="auto"/>
            </w:tcBorders>
            <w:vAlign w:val="bottom"/>
          </w:tcPr>
          <w:p w14:paraId="42DFA8F9" w14:textId="301B1E8B" w:rsidR="007B7431" w:rsidRPr="00EE76D0" w:rsidRDefault="007B7431" w:rsidP="007B7431">
            <w:pPr>
              <w:ind w:right="57"/>
              <w:jc w:val="right"/>
              <w:rPr>
                <w:b/>
                <w:sz w:val="18"/>
                <w:szCs w:val="18"/>
              </w:rPr>
            </w:pPr>
            <w:r w:rsidRPr="00EE76D0">
              <w:rPr>
                <w:b/>
                <w:sz w:val="18"/>
                <w:szCs w:val="18"/>
              </w:rPr>
              <w:t>232.117.189.241</w:t>
            </w:r>
          </w:p>
        </w:tc>
        <w:tc>
          <w:tcPr>
            <w:tcW w:w="2876" w:type="dxa"/>
            <w:shd w:val="clear" w:color="auto" w:fill="auto"/>
            <w:vAlign w:val="bottom"/>
          </w:tcPr>
          <w:p w14:paraId="19622F9A" w14:textId="366DE90A" w:rsidR="007B7431" w:rsidRPr="0013526B" w:rsidRDefault="007B7431" w:rsidP="007B7431">
            <w:pPr>
              <w:ind w:right="115"/>
              <w:jc w:val="right"/>
              <w:rPr>
                <w:b/>
                <w:i/>
                <w:sz w:val="18"/>
                <w:szCs w:val="18"/>
              </w:rPr>
            </w:pPr>
            <w:r>
              <w:rPr>
                <w:b/>
                <w:i/>
                <w:sz w:val="18"/>
                <w:szCs w:val="18"/>
              </w:rPr>
              <w:t>Total</w:t>
            </w:r>
          </w:p>
        </w:tc>
      </w:tr>
      <w:tr w:rsidR="007B7431" w:rsidRPr="0013526B" w14:paraId="00553027" w14:textId="77777777" w:rsidTr="007B7431">
        <w:tc>
          <w:tcPr>
            <w:tcW w:w="2866" w:type="dxa"/>
            <w:shd w:val="clear" w:color="auto" w:fill="auto"/>
            <w:vAlign w:val="bottom"/>
          </w:tcPr>
          <w:p w14:paraId="43DD427B" w14:textId="77777777" w:rsidR="007B7431" w:rsidRPr="00C1734A" w:rsidRDefault="007B7431" w:rsidP="007B7431">
            <w:pPr>
              <w:ind w:left="397"/>
              <w:rPr>
                <w:sz w:val="18"/>
                <w:szCs w:val="18"/>
              </w:rPr>
            </w:pPr>
          </w:p>
        </w:tc>
        <w:tc>
          <w:tcPr>
            <w:tcW w:w="1682" w:type="dxa"/>
            <w:tcBorders>
              <w:top w:val="double" w:sz="4" w:space="0" w:color="auto"/>
            </w:tcBorders>
            <w:shd w:val="clear" w:color="auto" w:fill="auto"/>
            <w:vAlign w:val="bottom"/>
          </w:tcPr>
          <w:p w14:paraId="1A4C4FCA" w14:textId="77777777" w:rsidR="007B7431" w:rsidRPr="00C66E38" w:rsidRDefault="007B7431" w:rsidP="007B7431">
            <w:pPr>
              <w:ind w:right="57"/>
              <w:jc w:val="right"/>
              <w:rPr>
                <w:sz w:val="12"/>
                <w:szCs w:val="18"/>
                <w:highlight w:val="green"/>
              </w:rPr>
            </w:pPr>
          </w:p>
        </w:tc>
        <w:tc>
          <w:tcPr>
            <w:tcW w:w="108" w:type="dxa"/>
            <w:shd w:val="clear" w:color="auto" w:fill="auto"/>
            <w:vAlign w:val="bottom"/>
          </w:tcPr>
          <w:p w14:paraId="7C9DA975" w14:textId="77777777" w:rsidR="007B7431" w:rsidRPr="00C66E38" w:rsidRDefault="007B7431" w:rsidP="007B7431">
            <w:pPr>
              <w:jc w:val="right"/>
              <w:rPr>
                <w:sz w:val="12"/>
                <w:szCs w:val="18"/>
                <w:highlight w:val="green"/>
              </w:rPr>
            </w:pPr>
          </w:p>
        </w:tc>
        <w:tc>
          <w:tcPr>
            <w:tcW w:w="1682" w:type="dxa"/>
            <w:tcBorders>
              <w:top w:val="double" w:sz="4" w:space="0" w:color="auto"/>
            </w:tcBorders>
            <w:vAlign w:val="bottom"/>
          </w:tcPr>
          <w:p w14:paraId="477AECBB" w14:textId="77777777" w:rsidR="007B7431" w:rsidRPr="00C66E38" w:rsidRDefault="007B7431" w:rsidP="007B7431">
            <w:pPr>
              <w:ind w:right="57"/>
              <w:jc w:val="right"/>
              <w:rPr>
                <w:sz w:val="12"/>
                <w:szCs w:val="18"/>
                <w:highlight w:val="green"/>
              </w:rPr>
            </w:pPr>
          </w:p>
        </w:tc>
        <w:tc>
          <w:tcPr>
            <w:tcW w:w="2876" w:type="dxa"/>
            <w:shd w:val="clear" w:color="auto" w:fill="auto"/>
            <w:vAlign w:val="bottom"/>
          </w:tcPr>
          <w:p w14:paraId="51D8AC42" w14:textId="77777777" w:rsidR="007B7431" w:rsidRPr="0013526B" w:rsidRDefault="007B7431" w:rsidP="007B7431">
            <w:pPr>
              <w:jc w:val="right"/>
              <w:rPr>
                <w:i/>
                <w:sz w:val="12"/>
                <w:szCs w:val="18"/>
              </w:rPr>
            </w:pPr>
          </w:p>
        </w:tc>
      </w:tr>
      <w:tr w:rsidR="007B7431" w:rsidRPr="0013526B" w14:paraId="3500CE51" w14:textId="77777777" w:rsidTr="007B7431">
        <w:tc>
          <w:tcPr>
            <w:tcW w:w="2866" w:type="dxa"/>
            <w:shd w:val="clear" w:color="auto" w:fill="auto"/>
            <w:vAlign w:val="bottom"/>
          </w:tcPr>
          <w:p w14:paraId="61F5EE46" w14:textId="77777777" w:rsidR="007B7431" w:rsidRDefault="007B7431" w:rsidP="007B7431">
            <w:pPr>
              <w:ind w:left="405" w:firstLine="12"/>
              <w:rPr>
                <w:color w:val="000000"/>
                <w:sz w:val="18"/>
                <w:szCs w:val="18"/>
              </w:rPr>
            </w:pPr>
            <w:r w:rsidRPr="0013526B">
              <w:rPr>
                <w:color w:val="000000"/>
                <w:sz w:val="18"/>
                <w:szCs w:val="18"/>
              </w:rPr>
              <w:t xml:space="preserve">Tingkat bunga tahunan deposito </w:t>
            </w:r>
          </w:p>
          <w:p w14:paraId="5F250947" w14:textId="6F2B0F46" w:rsidR="007B7431" w:rsidRPr="009B371A" w:rsidRDefault="007B7431" w:rsidP="007B7431">
            <w:pPr>
              <w:ind w:left="638"/>
              <w:rPr>
                <w:color w:val="000000"/>
                <w:sz w:val="18"/>
                <w:szCs w:val="18"/>
              </w:rPr>
            </w:pPr>
            <w:r w:rsidRPr="0013526B">
              <w:rPr>
                <w:color w:val="000000"/>
                <w:sz w:val="18"/>
                <w:szCs w:val="18"/>
              </w:rPr>
              <w:t>berjangka</w:t>
            </w:r>
            <w:r>
              <w:rPr>
                <w:color w:val="000000"/>
                <w:sz w:val="18"/>
                <w:szCs w:val="18"/>
              </w:rPr>
              <w:t xml:space="preserve"> </w:t>
            </w:r>
            <w:r w:rsidRPr="0013526B">
              <w:rPr>
                <w:color w:val="000000"/>
                <w:sz w:val="18"/>
                <w:szCs w:val="18"/>
              </w:rPr>
              <w:t>adalah sebagai berikut:</w:t>
            </w:r>
          </w:p>
        </w:tc>
        <w:tc>
          <w:tcPr>
            <w:tcW w:w="1682" w:type="dxa"/>
            <w:shd w:val="clear" w:color="auto" w:fill="auto"/>
            <w:vAlign w:val="bottom"/>
          </w:tcPr>
          <w:p w14:paraId="2AE1E314" w14:textId="77777777" w:rsidR="007B7431" w:rsidRPr="00C66E38" w:rsidRDefault="007B7431" w:rsidP="007B7431">
            <w:pPr>
              <w:ind w:right="57"/>
              <w:jc w:val="center"/>
              <w:rPr>
                <w:sz w:val="18"/>
                <w:szCs w:val="18"/>
                <w:highlight w:val="green"/>
              </w:rPr>
            </w:pPr>
          </w:p>
        </w:tc>
        <w:tc>
          <w:tcPr>
            <w:tcW w:w="108" w:type="dxa"/>
            <w:shd w:val="clear" w:color="auto" w:fill="auto"/>
            <w:vAlign w:val="bottom"/>
          </w:tcPr>
          <w:p w14:paraId="36D148EA" w14:textId="77777777" w:rsidR="007B7431" w:rsidRPr="00C66E38" w:rsidRDefault="007B7431" w:rsidP="007B7431">
            <w:pPr>
              <w:jc w:val="center"/>
              <w:rPr>
                <w:sz w:val="18"/>
                <w:szCs w:val="18"/>
                <w:highlight w:val="green"/>
              </w:rPr>
            </w:pPr>
          </w:p>
        </w:tc>
        <w:tc>
          <w:tcPr>
            <w:tcW w:w="1682" w:type="dxa"/>
            <w:vAlign w:val="bottom"/>
          </w:tcPr>
          <w:p w14:paraId="15E6F9E6" w14:textId="77777777" w:rsidR="007B7431" w:rsidRPr="00C66E38" w:rsidRDefault="007B7431" w:rsidP="007B7431">
            <w:pPr>
              <w:ind w:right="57"/>
              <w:jc w:val="center"/>
              <w:rPr>
                <w:sz w:val="18"/>
                <w:szCs w:val="18"/>
                <w:highlight w:val="green"/>
              </w:rPr>
            </w:pPr>
          </w:p>
        </w:tc>
        <w:tc>
          <w:tcPr>
            <w:tcW w:w="2876" w:type="dxa"/>
            <w:shd w:val="clear" w:color="auto" w:fill="auto"/>
            <w:vAlign w:val="bottom"/>
          </w:tcPr>
          <w:p w14:paraId="590DAB91" w14:textId="77777777" w:rsidR="007B7431" w:rsidRPr="0013526B" w:rsidRDefault="007B7431" w:rsidP="007B7431">
            <w:pPr>
              <w:ind w:right="57"/>
              <w:jc w:val="right"/>
              <w:rPr>
                <w:i/>
                <w:color w:val="000000"/>
                <w:sz w:val="18"/>
                <w:szCs w:val="18"/>
              </w:rPr>
            </w:pPr>
            <w:r w:rsidRPr="0013526B">
              <w:rPr>
                <w:i/>
                <w:color w:val="000000"/>
                <w:sz w:val="18"/>
                <w:szCs w:val="18"/>
              </w:rPr>
              <w:t xml:space="preserve">The annual interest rates of time </w:t>
            </w:r>
          </w:p>
          <w:p w14:paraId="7C7BD0A9" w14:textId="500D58B1" w:rsidR="007B7431" w:rsidRPr="0013526B" w:rsidRDefault="007B7431" w:rsidP="007B7431">
            <w:pPr>
              <w:ind w:right="314"/>
              <w:jc w:val="right"/>
              <w:rPr>
                <w:i/>
                <w:sz w:val="18"/>
                <w:szCs w:val="18"/>
              </w:rPr>
            </w:pPr>
            <w:proofErr w:type="gramStart"/>
            <w:r w:rsidRPr="0013526B">
              <w:rPr>
                <w:i/>
                <w:color w:val="000000"/>
                <w:sz w:val="18"/>
                <w:szCs w:val="18"/>
              </w:rPr>
              <w:t>deposits</w:t>
            </w:r>
            <w:proofErr w:type="gramEnd"/>
            <w:r w:rsidR="00870FD0">
              <w:rPr>
                <w:i/>
                <w:color w:val="000000"/>
                <w:sz w:val="18"/>
                <w:szCs w:val="18"/>
              </w:rPr>
              <w:t>.</w:t>
            </w:r>
            <w:r w:rsidRPr="0013526B">
              <w:rPr>
                <w:i/>
                <w:color w:val="000000"/>
                <w:sz w:val="18"/>
                <w:szCs w:val="18"/>
              </w:rPr>
              <w:t xml:space="preserve"> as follows:</w:t>
            </w:r>
          </w:p>
        </w:tc>
      </w:tr>
      <w:tr w:rsidR="007B7431" w:rsidRPr="0013526B" w14:paraId="004C49A4" w14:textId="77777777" w:rsidTr="007B7431">
        <w:tc>
          <w:tcPr>
            <w:tcW w:w="2866" w:type="dxa"/>
            <w:shd w:val="clear" w:color="auto" w:fill="auto"/>
            <w:vAlign w:val="bottom"/>
          </w:tcPr>
          <w:p w14:paraId="7AF7DB0E" w14:textId="70CC7535" w:rsidR="007B7431" w:rsidRPr="0013526B" w:rsidRDefault="007B7431" w:rsidP="007B7431">
            <w:pPr>
              <w:ind w:left="745"/>
              <w:rPr>
                <w:sz w:val="18"/>
                <w:szCs w:val="18"/>
              </w:rPr>
            </w:pPr>
            <w:r w:rsidRPr="0013526B">
              <w:rPr>
                <w:sz w:val="18"/>
                <w:szCs w:val="18"/>
              </w:rPr>
              <w:t>Rupiah</w:t>
            </w:r>
          </w:p>
        </w:tc>
        <w:tc>
          <w:tcPr>
            <w:tcW w:w="1682" w:type="dxa"/>
            <w:tcBorders>
              <w:bottom w:val="single" w:sz="4" w:space="0" w:color="auto"/>
            </w:tcBorders>
            <w:shd w:val="clear" w:color="auto" w:fill="auto"/>
            <w:vAlign w:val="bottom"/>
          </w:tcPr>
          <w:p w14:paraId="119B9BEE" w14:textId="30D8034C" w:rsidR="007B7431" w:rsidRPr="00C66E38" w:rsidRDefault="007B7431" w:rsidP="007B7431">
            <w:pPr>
              <w:ind w:right="57"/>
              <w:jc w:val="center"/>
              <w:rPr>
                <w:sz w:val="18"/>
                <w:szCs w:val="18"/>
                <w:highlight w:val="green"/>
              </w:rPr>
            </w:pPr>
            <w:r w:rsidRPr="00EE76D0">
              <w:rPr>
                <w:sz w:val="18"/>
                <w:szCs w:val="18"/>
              </w:rPr>
              <w:t>6</w:t>
            </w:r>
            <w:r w:rsidR="00870FD0" w:rsidRPr="00EE76D0">
              <w:rPr>
                <w:sz w:val="18"/>
                <w:szCs w:val="18"/>
              </w:rPr>
              <w:t>.</w:t>
            </w:r>
            <w:r w:rsidRPr="00EE76D0">
              <w:rPr>
                <w:sz w:val="18"/>
                <w:szCs w:val="18"/>
              </w:rPr>
              <w:t>50%</w:t>
            </w:r>
          </w:p>
        </w:tc>
        <w:tc>
          <w:tcPr>
            <w:tcW w:w="108" w:type="dxa"/>
            <w:shd w:val="clear" w:color="auto" w:fill="auto"/>
            <w:vAlign w:val="bottom"/>
          </w:tcPr>
          <w:p w14:paraId="19B9A60C" w14:textId="77777777" w:rsidR="007B7431" w:rsidRPr="00C66E38" w:rsidRDefault="007B7431" w:rsidP="007B7431">
            <w:pPr>
              <w:ind w:right="57"/>
              <w:jc w:val="center"/>
              <w:rPr>
                <w:sz w:val="18"/>
                <w:szCs w:val="18"/>
                <w:highlight w:val="green"/>
              </w:rPr>
            </w:pPr>
          </w:p>
        </w:tc>
        <w:tc>
          <w:tcPr>
            <w:tcW w:w="1682" w:type="dxa"/>
            <w:tcBorders>
              <w:bottom w:val="single" w:sz="4" w:space="0" w:color="auto"/>
            </w:tcBorders>
            <w:vAlign w:val="bottom"/>
          </w:tcPr>
          <w:p w14:paraId="0223D0C3" w14:textId="1C30586F" w:rsidR="007B7431" w:rsidRPr="00C66E38" w:rsidRDefault="007B7431" w:rsidP="007B7431">
            <w:pPr>
              <w:ind w:right="57"/>
              <w:jc w:val="center"/>
              <w:rPr>
                <w:sz w:val="18"/>
                <w:szCs w:val="18"/>
                <w:highlight w:val="green"/>
              </w:rPr>
            </w:pPr>
            <w:r w:rsidRPr="00EE76D0">
              <w:rPr>
                <w:sz w:val="18"/>
                <w:szCs w:val="18"/>
              </w:rPr>
              <w:t>6</w:t>
            </w:r>
            <w:r w:rsidR="00870FD0" w:rsidRPr="00EE76D0">
              <w:rPr>
                <w:sz w:val="18"/>
                <w:szCs w:val="18"/>
              </w:rPr>
              <w:t>.</w:t>
            </w:r>
            <w:r w:rsidRPr="00EE76D0">
              <w:rPr>
                <w:sz w:val="18"/>
                <w:szCs w:val="18"/>
              </w:rPr>
              <w:t>50%</w:t>
            </w:r>
          </w:p>
        </w:tc>
        <w:tc>
          <w:tcPr>
            <w:tcW w:w="2876" w:type="dxa"/>
            <w:shd w:val="clear" w:color="auto" w:fill="auto"/>
            <w:vAlign w:val="bottom"/>
          </w:tcPr>
          <w:p w14:paraId="330C775F" w14:textId="2255725C" w:rsidR="007B7431" w:rsidRPr="0013526B" w:rsidRDefault="007B7431" w:rsidP="007B7431">
            <w:pPr>
              <w:ind w:right="524"/>
              <w:jc w:val="right"/>
              <w:rPr>
                <w:i/>
                <w:sz w:val="18"/>
                <w:szCs w:val="18"/>
              </w:rPr>
            </w:pPr>
            <w:r w:rsidRPr="0013526B">
              <w:rPr>
                <w:i/>
                <w:sz w:val="18"/>
                <w:szCs w:val="18"/>
              </w:rPr>
              <w:t xml:space="preserve">Rupiah </w:t>
            </w:r>
          </w:p>
        </w:tc>
      </w:tr>
    </w:tbl>
    <w:p w14:paraId="09B1BFB2" w14:textId="77777777" w:rsidR="00D4141B" w:rsidRPr="0013526B" w:rsidRDefault="00D4141B" w:rsidP="0013526B">
      <w:pPr>
        <w:rPr>
          <w:sz w:val="14"/>
          <w:szCs w:val="18"/>
        </w:rPr>
      </w:pPr>
    </w:p>
    <w:tbl>
      <w:tblPr>
        <w:tblW w:w="9197" w:type="dxa"/>
        <w:tblInd w:w="113" w:type="dxa"/>
        <w:tblLayout w:type="fixed"/>
        <w:tblLook w:val="0000" w:firstRow="0" w:lastRow="0" w:firstColumn="0" w:lastColumn="0" w:noHBand="0" w:noVBand="0"/>
      </w:tblPr>
      <w:tblGrid>
        <w:gridCol w:w="4598"/>
        <w:gridCol w:w="4599"/>
      </w:tblGrid>
      <w:tr w:rsidR="00D4141B" w:rsidRPr="0013526B" w14:paraId="2793019B" w14:textId="77777777" w:rsidTr="00AA5485">
        <w:tc>
          <w:tcPr>
            <w:tcW w:w="4600" w:type="dxa"/>
            <w:tcBorders>
              <w:top w:val="nil"/>
              <w:left w:val="nil"/>
              <w:bottom w:val="nil"/>
              <w:right w:val="nil"/>
            </w:tcBorders>
          </w:tcPr>
          <w:p w14:paraId="0313BC1A" w14:textId="305334A7" w:rsidR="00D4141B" w:rsidRPr="00EF58BF" w:rsidRDefault="002A0E87" w:rsidP="00F32DFB">
            <w:pPr>
              <w:pStyle w:val="ListParagraph"/>
              <w:ind w:left="307" w:right="-57"/>
              <w:jc w:val="both"/>
              <w:rPr>
                <w:sz w:val="18"/>
                <w:szCs w:val="18"/>
              </w:rPr>
            </w:pPr>
            <w:r>
              <w:rPr>
                <w:sz w:val="18"/>
                <w:szCs w:val="18"/>
              </w:rPr>
              <w:t>Pada tanggal 31 Maret 2020</w:t>
            </w:r>
            <w:r w:rsidR="0001673F" w:rsidRPr="00EF58BF">
              <w:rPr>
                <w:sz w:val="18"/>
                <w:szCs w:val="18"/>
              </w:rPr>
              <w:t xml:space="preserve"> dan </w:t>
            </w:r>
            <w:r>
              <w:rPr>
                <w:sz w:val="18"/>
                <w:szCs w:val="18"/>
              </w:rPr>
              <w:t xml:space="preserve">31 Desember </w:t>
            </w:r>
            <w:r w:rsidR="0001673F" w:rsidRPr="00EF58BF">
              <w:rPr>
                <w:sz w:val="18"/>
                <w:szCs w:val="18"/>
              </w:rPr>
              <w:t>20</w:t>
            </w:r>
            <w:r>
              <w:rPr>
                <w:sz w:val="18"/>
                <w:szCs w:val="18"/>
              </w:rPr>
              <w:t>19</w:t>
            </w:r>
            <w:r w:rsidR="00F32DFB">
              <w:rPr>
                <w:sz w:val="18"/>
                <w:szCs w:val="18"/>
              </w:rPr>
              <w:t>,</w:t>
            </w:r>
            <w:r w:rsidR="00D4141B" w:rsidRPr="00EF58BF">
              <w:rPr>
                <w:sz w:val="18"/>
                <w:szCs w:val="18"/>
              </w:rPr>
              <w:t xml:space="preserve"> tidak terdapat kas dan setara kas </w:t>
            </w:r>
            <w:r w:rsidR="002A66D1" w:rsidRPr="00EF58BF">
              <w:rPr>
                <w:sz w:val="18"/>
                <w:szCs w:val="18"/>
              </w:rPr>
              <w:t>Kelompok Usaha</w:t>
            </w:r>
            <w:r w:rsidR="00D4141B" w:rsidRPr="00EF58BF">
              <w:rPr>
                <w:sz w:val="18"/>
                <w:szCs w:val="18"/>
              </w:rPr>
              <w:t xml:space="preserve"> yang dibatasi penggunaannya atau ditempatkan pada pihak berelasi.</w:t>
            </w:r>
          </w:p>
        </w:tc>
        <w:tc>
          <w:tcPr>
            <w:tcW w:w="4601" w:type="dxa"/>
            <w:tcBorders>
              <w:top w:val="nil"/>
              <w:left w:val="nil"/>
              <w:bottom w:val="nil"/>
              <w:right w:val="nil"/>
            </w:tcBorders>
          </w:tcPr>
          <w:p w14:paraId="2723E849" w14:textId="1758C59F" w:rsidR="00D4141B" w:rsidRPr="00EF58BF" w:rsidRDefault="002A0E87" w:rsidP="00F32DFB">
            <w:pPr>
              <w:pStyle w:val="ListParagraph"/>
              <w:tabs>
                <w:tab w:val="right" w:pos="9340"/>
                <w:tab w:val="right" w:pos="10080"/>
              </w:tabs>
              <w:ind w:left="284" w:right="-57"/>
              <w:jc w:val="both"/>
              <w:rPr>
                <w:i/>
                <w:sz w:val="18"/>
                <w:szCs w:val="18"/>
              </w:rPr>
            </w:pPr>
            <w:r>
              <w:rPr>
                <w:i/>
                <w:sz w:val="18"/>
                <w:szCs w:val="18"/>
              </w:rPr>
              <w:t>As of March</w:t>
            </w:r>
            <w:r w:rsidR="00D4141B" w:rsidRPr="00EF58BF">
              <w:rPr>
                <w:i/>
                <w:sz w:val="18"/>
                <w:szCs w:val="18"/>
              </w:rPr>
              <w:t xml:space="preserve"> 31</w:t>
            </w:r>
            <w:r w:rsidR="00F32DFB">
              <w:rPr>
                <w:i/>
                <w:sz w:val="18"/>
                <w:szCs w:val="18"/>
              </w:rPr>
              <w:t>,</w:t>
            </w:r>
            <w:r>
              <w:rPr>
                <w:i/>
                <w:sz w:val="18"/>
                <w:szCs w:val="18"/>
              </w:rPr>
              <w:t xml:space="preserve"> 2020</w:t>
            </w:r>
            <w:r w:rsidR="0001673F" w:rsidRPr="00EF58BF">
              <w:rPr>
                <w:i/>
                <w:sz w:val="18"/>
                <w:szCs w:val="18"/>
              </w:rPr>
              <w:t xml:space="preserve"> and</w:t>
            </w:r>
            <w:r>
              <w:rPr>
                <w:i/>
                <w:sz w:val="18"/>
                <w:szCs w:val="18"/>
              </w:rPr>
              <w:t xml:space="preserve"> December 31</w:t>
            </w:r>
            <w:r w:rsidR="00F32DFB">
              <w:rPr>
                <w:i/>
                <w:sz w:val="18"/>
                <w:szCs w:val="18"/>
              </w:rPr>
              <w:t>,</w:t>
            </w:r>
            <w:r w:rsidR="0001673F" w:rsidRPr="00EF58BF">
              <w:rPr>
                <w:i/>
                <w:sz w:val="18"/>
                <w:szCs w:val="18"/>
              </w:rPr>
              <w:t xml:space="preserve"> 201</w:t>
            </w:r>
            <w:r>
              <w:rPr>
                <w:i/>
                <w:sz w:val="18"/>
                <w:szCs w:val="18"/>
              </w:rPr>
              <w:t>9</w:t>
            </w:r>
            <w:r w:rsidR="00F32DFB">
              <w:rPr>
                <w:i/>
                <w:sz w:val="18"/>
                <w:szCs w:val="18"/>
              </w:rPr>
              <w:t>,</w:t>
            </w:r>
            <w:r w:rsidR="00D4141B" w:rsidRPr="00EF58BF">
              <w:rPr>
                <w:i/>
                <w:sz w:val="18"/>
                <w:szCs w:val="18"/>
              </w:rPr>
              <w:t xml:space="preserve"> none of </w:t>
            </w:r>
            <w:r w:rsidR="002A66D1" w:rsidRPr="00EF58BF">
              <w:rPr>
                <w:i/>
                <w:sz w:val="18"/>
                <w:szCs w:val="18"/>
              </w:rPr>
              <w:t>the G</w:t>
            </w:r>
            <w:r w:rsidR="009C5BAC" w:rsidRPr="00EF58BF">
              <w:rPr>
                <w:i/>
                <w:sz w:val="18"/>
                <w:szCs w:val="18"/>
              </w:rPr>
              <w:t>r</w:t>
            </w:r>
            <w:r w:rsidR="002A66D1" w:rsidRPr="00EF58BF">
              <w:rPr>
                <w:i/>
                <w:sz w:val="18"/>
                <w:szCs w:val="18"/>
              </w:rPr>
              <w:t>oup</w:t>
            </w:r>
            <w:r w:rsidR="00D4141B" w:rsidRPr="00EF58BF">
              <w:rPr>
                <w:i/>
                <w:sz w:val="18"/>
                <w:szCs w:val="18"/>
              </w:rPr>
              <w:t xml:space="preserve"> cash and cas</w:t>
            </w:r>
            <w:r w:rsidR="00EF69AD">
              <w:rPr>
                <w:i/>
                <w:sz w:val="18"/>
                <w:szCs w:val="18"/>
              </w:rPr>
              <w:t>h</w:t>
            </w:r>
            <w:r w:rsidR="00D4141B" w:rsidRPr="00EF58BF">
              <w:rPr>
                <w:i/>
                <w:sz w:val="18"/>
                <w:szCs w:val="18"/>
              </w:rPr>
              <w:t xml:space="preserve"> equivalents are restricted in use or placed in related parties.</w:t>
            </w:r>
          </w:p>
        </w:tc>
      </w:tr>
    </w:tbl>
    <w:p w14:paraId="4DB16D07" w14:textId="77777777" w:rsidR="00BF0481" w:rsidRPr="00302451" w:rsidRDefault="00BF0481" w:rsidP="0013526B">
      <w:pPr>
        <w:rPr>
          <w:sz w:val="18"/>
          <w:szCs w:val="18"/>
        </w:rPr>
      </w:pPr>
    </w:p>
    <w:p w14:paraId="2AB07797" w14:textId="77777777" w:rsidR="00BF0481" w:rsidRPr="00302451" w:rsidRDefault="00BF0481" w:rsidP="0013526B">
      <w:pPr>
        <w:rPr>
          <w:sz w:val="18"/>
          <w:szCs w:val="18"/>
        </w:rPr>
      </w:pPr>
    </w:p>
    <w:p w14:paraId="4EE8B1B9" w14:textId="6331056B" w:rsidR="00BF0481" w:rsidRDefault="00302451" w:rsidP="0013526B">
      <w:pPr>
        <w:rPr>
          <w:sz w:val="18"/>
          <w:szCs w:val="18"/>
        </w:rPr>
      </w:pPr>
      <w:r>
        <w:rPr>
          <w:sz w:val="8"/>
        </w:rPr>
        <w:br/>
      </w:r>
    </w:p>
    <w:p w14:paraId="166E0D71" w14:textId="77777777" w:rsidR="00C602E4" w:rsidRDefault="00C602E4" w:rsidP="0013526B">
      <w:pPr>
        <w:rPr>
          <w:sz w:val="18"/>
          <w:szCs w:val="18"/>
        </w:rPr>
      </w:pPr>
    </w:p>
    <w:p w14:paraId="17067202" w14:textId="77777777" w:rsidR="00C602E4" w:rsidRDefault="00C602E4" w:rsidP="0013526B">
      <w:pPr>
        <w:rPr>
          <w:sz w:val="18"/>
          <w:szCs w:val="18"/>
        </w:rPr>
      </w:pPr>
    </w:p>
    <w:p w14:paraId="3DAA4654" w14:textId="77777777" w:rsidR="00C1734A" w:rsidRDefault="00C1734A" w:rsidP="0013526B">
      <w:pPr>
        <w:rPr>
          <w:sz w:val="18"/>
          <w:szCs w:val="18"/>
        </w:rPr>
      </w:pPr>
    </w:p>
    <w:p w14:paraId="4858DDE8" w14:textId="77777777" w:rsidR="00C1734A" w:rsidRDefault="00C1734A" w:rsidP="0013526B">
      <w:pPr>
        <w:rPr>
          <w:sz w:val="18"/>
          <w:szCs w:val="18"/>
        </w:rPr>
      </w:pPr>
    </w:p>
    <w:p w14:paraId="1445DB82" w14:textId="77777777" w:rsidR="00C1734A" w:rsidRDefault="00C1734A" w:rsidP="0013526B">
      <w:pPr>
        <w:rPr>
          <w:sz w:val="18"/>
          <w:szCs w:val="18"/>
        </w:rPr>
      </w:pPr>
    </w:p>
    <w:p w14:paraId="5702D5FA" w14:textId="77777777" w:rsidR="00C1734A" w:rsidRDefault="00C1734A" w:rsidP="0013526B">
      <w:pPr>
        <w:rPr>
          <w:sz w:val="18"/>
          <w:szCs w:val="18"/>
        </w:rPr>
      </w:pPr>
    </w:p>
    <w:p w14:paraId="22D7CA2A" w14:textId="77777777" w:rsidR="00C1734A" w:rsidRDefault="00C1734A" w:rsidP="0013526B">
      <w:pPr>
        <w:rPr>
          <w:sz w:val="18"/>
          <w:szCs w:val="18"/>
        </w:rPr>
      </w:pPr>
    </w:p>
    <w:p w14:paraId="4B7367C7" w14:textId="77777777" w:rsidR="00C1734A" w:rsidRDefault="00C1734A" w:rsidP="0013526B">
      <w:pPr>
        <w:rPr>
          <w:sz w:val="18"/>
          <w:szCs w:val="18"/>
        </w:rPr>
      </w:pPr>
    </w:p>
    <w:p w14:paraId="6D5074EA" w14:textId="77777777" w:rsidR="00C602E4" w:rsidRDefault="00C602E4" w:rsidP="0013526B">
      <w:pPr>
        <w:rPr>
          <w:sz w:val="18"/>
          <w:szCs w:val="18"/>
        </w:rPr>
      </w:pPr>
    </w:p>
    <w:p w14:paraId="00E2EA89" w14:textId="7A559D09" w:rsidR="00D26E47" w:rsidRPr="00D26E47" w:rsidRDefault="00D26E47" w:rsidP="00AA5485">
      <w:pPr>
        <w:rPr>
          <w:sz w:val="4"/>
          <w:szCs w:val="18"/>
        </w:rPr>
      </w:pPr>
      <w:r>
        <w:rPr>
          <w:sz w:val="4"/>
          <w:szCs w:val="18"/>
        </w:rPr>
        <w:br w:type="page"/>
      </w:r>
    </w:p>
    <w:tbl>
      <w:tblPr>
        <w:tblW w:w="9197" w:type="dxa"/>
        <w:tblInd w:w="108" w:type="dxa"/>
        <w:tblLayout w:type="fixed"/>
        <w:tblLook w:val="0000" w:firstRow="0" w:lastRow="0" w:firstColumn="0" w:lastColumn="0" w:noHBand="0" w:noVBand="0"/>
      </w:tblPr>
      <w:tblGrid>
        <w:gridCol w:w="4598"/>
        <w:gridCol w:w="4599"/>
      </w:tblGrid>
      <w:tr w:rsidR="00D4141B" w:rsidRPr="0013526B" w14:paraId="2AE7E577" w14:textId="77777777" w:rsidTr="00AA5485">
        <w:tc>
          <w:tcPr>
            <w:tcW w:w="4598" w:type="dxa"/>
            <w:tcBorders>
              <w:top w:val="nil"/>
              <w:left w:val="nil"/>
              <w:bottom w:val="nil"/>
              <w:right w:val="nil"/>
            </w:tcBorders>
          </w:tcPr>
          <w:p w14:paraId="247ADB47" w14:textId="07A5B2B3" w:rsidR="00D4141B" w:rsidRPr="0013526B" w:rsidRDefault="00B21E19" w:rsidP="00070D1F">
            <w:pPr>
              <w:pStyle w:val="ListParagraph"/>
              <w:numPr>
                <w:ilvl w:val="0"/>
                <w:numId w:val="344"/>
              </w:numPr>
              <w:ind w:left="284" w:hanging="284"/>
              <w:contextualSpacing/>
              <w:jc w:val="both"/>
              <w:rPr>
                <w:b/>
                <w:sz w:val="18"/>
                <w:szCs w:val="18"/>
              </w:rPr>
            </w:pPr>
            <w:r w:rsidRPr="0013526B">
              <w:rPr>
                <w:b/>
                <w:sz w:val="18"/>
                <w:szCs w:val="18"/>
              </w:rPr>
              <w:lastRenderedPageBreak/>
              <w:t>PIUTANG USAHA</w:t>
            </w:r>
            <w:r w:rsidR="0007301F">
              <w:rPr>
                <w:b/>
                <w:sz w:val="18"/>
                <w:szCs w:val="18"/>
              </w:rPr>
              <w:t xml:space="preserve"> </w:t>
            </w:r>
          </w:p>
        </w:tc>
        <w:tc>
          <w:tcPr>
            <w:tcW w:w="4598" w:type="dxa"/>
            <w:tcBorders>
              <w:top w:val="nil"/>
              <w:left w:val="nil"/>
              <w:bottom w:val="nil"/>
              <w:right w:val="nil"/>
            </w:tcBorders>
          </w:tcPr>
          <w:p w14:paraId="183B02D2" w14:textId="77A77FF6" w:rsidR="00D4141B" w:rsidRPr="0013526B" w:rsidRDefault="00B21E19" w:rsidP="00070D1F">
            <w:pPr>
              <w:pStyle w:val="ListParagraph"/>
              <w:numPr>
                <w:ilvl w:val="0"/>
                <w:numId w:val="347"/>
              </w:numPr>
              <w:ind w:left="287" w:hanging="283"/>
              <w:contextualSpacing/>
              <w:jc w:val="both"/>
              <w:rPr>
                <w:b/>
                <w:i/>
                <w:sz w:val="18"/>
                <w:szCs w:val="18"/>
              </w:rPr>
            </w:pPr>
            <w:r w:rsidRPr="0013526B">
              <w:rPr>
                <w:b/>
                <w:i/>
                <w:sz w:val="18"/>
                <w:szCs w:val="18"/>
              </w:rPr>
              <w:t>TRADE RECEIVABLES</w:t>
            </w:r>
            <w:r w:rsidR="0007301F">
              <w:rPr>
                <w:b/>
                <w:i/>
                <w:sz w:val="18"/>
                <w:szCs w:val="18"/>
              </w:rPr>
              <w:t xml:space="preserve"> </w:t>
            </w:r>
          </w:p>
        </w:tc>
      </w:tr>
      <w:tr w:rsidR="00D4141B" w:rsidRPr="00D208FC" w14:paraId="5B90979E" w14:textId="77777777" w:rsidTr="00AA5485">
        <w:tc>
          <w:tcPr>
            <w:tcW w:w="4598" w:type="dxa"/>
            <w:tcBorders>
              <w:top w:val="nil"/>
              <w:left w:val="nil"/>
              <w:bottom w:val="nil"/>
              <w:right w:val="nil"/>
            </w:tcBorders>
          </w:tcPr>
          <w:p w14:paraId="1D5AE265" w14:textId="77777777" w:rsidR="00D4141B" w:rsidRPr="00D208FC" w:rsidRDefault="00D4141B" w:rsidP="00106288">
            <w:pPr>
              <w:ind w:left="709" w:hanging="284"/>
              <w:jc w:val="both"/>
              <w:rPr>
                <w:sz w:val="10"/>
                <w:szCs w:val="10"/>
              </w:rPr>
            </w:pPr>
          </w:p>
        </w:tc>
        <w:tc>
          <w:tcPr>
            <w:tcW w:w="4598" w:type="dxa"/>
            <w:tcBorders>
              <w:top w:val="nil"/>
              <w:left w:val="nil"/>
              <w:bottom w:val="nil"/>
              <w:right w:val="nil"/>
            </w:tcBorders>
          </w:tcPr>
          <w:p w14:paraId="42AC0034" w14:textId="77777777" w:rsidR="00D4141B" w:rsidRPr="00D208FC" w:rsidRDefault="00D4141B" w:rsidP="0013526B">
            <w:pPr>
              <w:pStyle w:val="ListParagraph"/>
              <w:ind w:left="743"/>
              <w:jc w:val="both"/>
              <w:rPr>
                <w:i/>
                <w:sz w:val="10"/>
                <w:szCs w:val="10"/>
              </w:rPr>
            </w:pPr>
          </w:p>
        </w:tc>
      </w:tr>
      <w:tr w:rsidR="00D6169A" w:rsidRPr="0013526B" w14:paraId="7C9996D0" w14:textId="77777777" w:rsidTr="00AA5485">
        <w:tc>
          <w:tcPr>
            <w:tcW w:w="4598" w:type="dxa"/>
            <w:tcBorders>
              <w:top w:val="nil"/>
              <w:left w:val="nil"/>
              <w:bottom w:val="nil"/>
              <w:right w:val="nil"/>
            </w:tcBorders>
          </w:tcPr>
          <w:p w14:paraId="3B0C5C70" w14:textId="7D31B1C3" w:rsidR="00D6169A" w:rsidRPr="00D6169A" w:rsidRDefault="00D6169A" w:rsidP="00070D1F">
            <w:pPr>
              <w:pStyle w:val="ListParagraph"/>
              <w:numPr>
                <w:ilvl w:val="0"/>
                <w:numId w:val="251"/>
              </w:numPr>
              <w:tabs>
                <w:tab w:val="left" w:pos="487"/>
              </w:tabs>
              <w:ind w:left="568" w:hanging="284"/>
              <w:jc w:val="both"/>
              <w:rPr>
                <w:sz w:val="18"/>
                <w:szCs w:val="18"/>
              </w:rPr>
            </w:pPr>
            <w:r>
              <w:rPr>
                <w:sz w:val="18"/>
                <w:szCs w:val="18"/>
              </w:rPr>
              <w:t>Berdasarkan pelanggan</w:t>
            </w:r>
          </w:p>
        </w:tc>
        <w:tc>
          <w:tcPr>
            <w:tcW w:w="4598" w:type="dxa"/>
            <w:tcBorders>
              <w:top w:val="nil"/>
              <w:left w:val="nil"/>
              <w:bottom w:val="nil"/>
              <w:right w:val="nil"/>
            </w:tcBorders>
          </w:tcPr>
          <w:p w14:paraId="6443156B" w14:textId="192E6ADD" w:rsidR="00D6169A" w:rsidRPr="00D6169A" w:rsidRDefault="00D6169A" w:rsidP="00070D1F">
            <w:pPr>
              <w:pStyle w:val="ListParagraph"/>
              <w:numPr>
                <w:ilvl w:val="3"/>
                <w:numId w:val="104"/>
              </w:numPr>
              <w:ind w:left="494" w:hanging="210"/>
              <w:jc w:val="both"/>
              <w:rPr>
                <w:i/>
                <w:sz w:val="18"/>
                <w:szCs w:val="18"/>
              </w:rPr>
            </w:pPr>
            <w:r>
              <w:rPr>
                <w:i/>
                <w:sz w:val="18"/>
                <w:szCs w:val="18"/>
              </w:rPr>
              <w:t>By customer</w:t>
            </w:r>
          </w:p>
        </w:tc>
      </w:tr>
    </w:tbl>
    <w:p w14:paraId="089ECECC" w14:textId="77777777" w:rsidR="00D4141B" w:rsidRPr="00672A8A" w:rsidRDefault="00D4141B" w:rsidP="0013526B">
      <w:pPr>
        <w:ind w:left="567"/>
        <w:jc w:val="both"/>
        <w:rPr>
          <w:sz w:val="10"/>
          <w:szCs w:val="10"/>
        </w:rPr>
      </w:pPr>
    </w:p>
    <w:tbl>
      <w:tblPr>
        <w:tblW w:w="9197" w:type="dxa"/>
        <w:tblInd w:w="98" w:type="dxa"/>
        <w:tblCellMar>
          <w:left w:w="0" w:type="dxa"/>
          <w:right w:w="0" w:type="dxa"/>
        </w:tblCellMar>
        <w:tblLook w:val="04A0" w:firstRow="1" w:lastRow="0" w:firstColumn="1" w:lastColumn="0" w:noHBand="0" w:noVBand="1"/>
      </w:tblPr>
      <w:tblGrid>
        <w:gridCol w:w="2859"/>
        <w:gridCol w:w="1678"/>
        <w:gridCol w:w="112"/>
        <w:gridCol w:w="1678"/>
        <w:gridCol w:w="2870"/>
      </w:tblGrid>
      <w:tr w:rsidR="00C66E38" w:rsidRPr="00D208FC" w14:paraId="67428FEC" w14:textId="77777777" w:rsidTr="00D718AE">
        <w:tc>
          <w:tcPr>
            <w:tcW w:w="2859" w:type="dxa"/>
            <w:shd w:val="clear" w:color="auto" w:fill="auto"/>
          </w:tcPr>
          <w:p w14:paraId="4F700D7F" w14:textId="77777777" w:rsidR="00C66E38" w:rsidRPr="00D208FC" w:rsidRDefault="00C66E38" w:rsidP="00C66E38">
            <w:pPr>
              <w:rPr>
                <w:sz w:val="17"/>
                <w:szCs w:val="17"/>
              </w:rPr>
            </w:pPr>
          </w:p>
        </w:tc>
        <w:tc>
          <w:tcPr>
            <w:tcW w:w="1678" w:type="dxa"/>
            <w:tcBorders>
              <w:bottom w:val="single" w:sz="4" w:space="0" w:color="auto"/>
            </w:tcBorders>
            <w:shd w:val="clear" w:color="auto" w:fill="auto"/>
          </w:tcPr>
          <w:p w14:paraId="502E32BB" w14:textId="77777777" w:rsidR="00C66E38" w:rsidRDefault="00C66E38" w:rsidP="00C66E38">
            <w:pPr>
              <w:jc w:val="center"/>
              <w:rPr>
                <w:b/>
                <w:sz w:val="18"/>
                <w:szCs w:val="18"/>
              </w:rPr>
            </w:pPr>
            <w:r>
              <w:rPr>
                <w:b/>
                <w:sz w:val="18"/>
                <w:szCs w:val="18"/>
              </w:rPr>
              <w:t>31 Maret/</w:t>
            </w:r>
          </w:p>
          <w:p w14:paraId="18C2B37B" w14:textId="41B7C215" w:rsidR="00C66E38" w:rsidRPr="00D208FC" w:rsidRDefault="00C66E38" w:rsidP="00F32DFB">
            <w:pPr>
              <w:jc w:val="center"/>
              <w:rPr>
                <w:b/>
                <w:sz w:val="17"/>
                <w:szCs w:val="17"/>
              </w:rPr>
            </w:pPr>
            <w:r>
              <w:rPr>
                <w:b/>
                <w:sz w:val="18"/>
                <w:szCs w:val="18"/>
              </w:rPr>
              <w:t>March 31</w:t>
            </w:r>
            <w:r w:rsidR="00F32DFB">
              <w:rPr>
                <w:b/>
                <w:sz w:val="18"/>
                <w:szCs w:val="18"/>
              </w:rPr>
              <w:t>,</w:t>
            </w:r>
            <w:r>
              <w:rPr>
                <w:b/>
                <w:sz w:val="18"/>
                <w:szCs w:val="18"/>
              </w:rPr>
              <w:t xml:space="preserve"> 2020</w:t>
            </w:r>
          </w:p>
        </w:tc>
        <w:tc>
          <w:tcPr>
            <w:tcW w:w="112" w:type="dxa"/>
            <w:shd w:val="clear" w:color="auto" w:fill="auto"/>
          </w:tcPr>
          <w:p w14:paraId="006C3035" w14:textId="77777777" w:rsidR="00C66E38" w:rsidRPr="00D208FC" w:rsidRDefault="00C66E38" w:rsidP="00C66E38">
            <w:pPr>
              <w:rPr>
                <w:b/>
                <w:sz w:val="17"/>
                <w:szCs w:val="17"/>
              </w:rPr>
            </w:pPr>
          </w:p>
        </w:tc>
        <w:tc>
          <w:tcPr>
            <w:tcW w:w="1678" w:type="dxa"/>
            <w:tcBorders>
              <w:bottom w:val="single" w:sz="4" w:space="0" w:color="auto"/>
            </w:tcBorders>
          </w:tcPr>
          <w:p w14:paraId="45BFD832" w14:textId="77777777" w:rsidR="00C66E38" w:rsidRDefault="00C66E38" w:rsidP="00C66E38">
            <w:pPr>
              <w:jc w:val="center"/>
              <w:rPr>
                <w:b/>
                <w:sz w:val="18"/>
                <w:szCs w:val="18"/>
              </w:rPr>
            </w:pPr>
            <w:r>
              <w:rPr>
                <w:b/>
                <w:sz w:val="18"/>
                <w:szCs w:val="18"/>
              </w:rPr>
              <w:t>31 Desember/</w:t>
            </w:r>
          </w:p>
          <w:p w14:paraId="51820F69" w14:textId="6C9F14CD" w:rsidR="00C66E38" w:rsidRPr="00D208FC" w:rsidRDefault="00C66E38" w:rsidP="00F32DFB">
            <w:pPr>
              <w:jc w:val="center"/>
              <w:rPr>
                <w:b/>
                <w:sz w:val="17"/>
                <w:szCs w:val="17"/>
              </w:rPr>
            </w:pPr>
            <w:r>
              <w:rPr>
                <w:b/>
                <w:sz w:val="18"/>
                <w:szCs w:val="18"/>
              </w:rPr>
              <w:t>December 31</w:t>
            </w:r>
            <w:r w:rsidR="00F32DFB">
              <w:rPr>
                <w:b/>
                <w:sz w:val="18"/>
                <w:szCs w:val="18"/>
              </w:rPr>
              <w:t>,</w:t>
            </w:r>
            <w:r>
              <w:rPr>
                <w:b/>
                <w:sz w:val="18"/>
                <w:szCs w:val="18"/>
              </w:rPr>
              <w:t xml:space="preserve"> </w:t>
            </w:r>
            <w:r w:rsidRPr="0013526B">
              <w:rPr>
                <w:b/>
                <w:sz w:val="18"/>
                <w:szCs w:val="18"/>
              </w:rPr>
              <w:t>201</w:t>
            </w:r>
            <w:r>
              <w:rPr>
                <w:b/>
                <w:sz w:val="18"/>
                <w:szCs w:val="18"/>
              </w:rPr>
              <w:t>9</w:t>
            </w:r>
          </w:p>
        </w:tc>
        <w:tc>
          <w:tcPr>
            <w:tcW w:w="2870" w:type="dxa"/>
            <w:shd w:val="clear" w:color="auto" w:fill="auto"/>
          </w:tcPr>
          <w:p w14:paraId="059604CB" w14:textId="77777777" w:rsidR="00C66E38" w:rsidRPr="00D208FC" w:rsidRDefault="00C66E38" w:rsidP="00C66E38">
            <w:pPr>
              <w:rPr>
                <w:sz w:val="17"/>
                <w:szCs w:val="17"/>
              </w:rPr>
            </w:pPr>
          </w:p>
        </w:tc>
      </w:tr>
      <w:tr w:rsidR="000D161F" w:rsidRPr="00D208FC" w14:paraId="1D4A024C" w14:textId="77777777" w:rsidTr="00D718AE">
        <w:tc>
          <w:tcPr>
            <w:tcW w:w="2859" w:type="dxa"/>
            <w:shd w:val="clear" w:color="auto" w:fill="auto"/>
          </w:tcPr>
          <w:p w14:paraId="7F984911" w14:textId="77777777" w:rsidR="00B10D64" w:rsidRPr="00D718AE" w:rsidRDefault="00B10D64" w:rsidP="0013526B">
            <w:pPr>
              <w:rPr>
                <w:sz w:val="10"/>
                <w:szCs w:val="10"/>
              </w:rPr>
            </w:pPr>
          </w:p>
        </w:tc>
        <w:tc>
          <w:tcPr>
            <w:tcW w:w="1678" w:type="dxa"/>
            <w:tcBorders>
              <w:top w:val="single" w:sz="4" w:space="0" w:color="auto"/>
            </w:tcBorders>
            <w:shd w:val="clear" w:color="auto" w:fill="auto"/>
            <w:vAlign w:val="bottom"/>
          </w:tcPr>
          <w:p w14:paraId="10380671" w14:textId="77777777" w:rsidR="00B10D64" w:rsidRPr="00D718AE" w:rsidRDefault="00B10D64" w:rsidP="0013526B">
            <w:pPr>
              <w:jc w:val="right"/>
              <w:rPr>
                <w:sz w:val="10"/>
                <w:szCs w:val="10"/>
              </w:rPr>
            </w:pPr>
          </w:p>
        </w:tc>
        <w:tc>
          <w:tcPr>
            <w:tcW w:w="112" w:type="dxa"/>
            <w:shd w:val="clear" w:color="auto" w:fill="auto"/>
            <w:vAlign w:val="bottom"/>
          </w:tcPr>
          <w:p w14:paraId="505BDADE" w14:textId="77777777" w:rsidR="00B10D64" w:rsidRPr="00D718AE" w:rsidRDefault="00B10D64" w:rsidP="0013526B">
            <w:pPr>
              <w:jc w:val="right"/>
              <w:rPr>
                <w:sz w:val="10"/>
                <w:szCs w:val="10"/>
              </w:rPr>
            </w:pPr>
          </w:p>
        </w:tc>
        <w:tc>
          <w:tcPr>
            <w:tcW w:w="1678" w:type="dxa"/>
            <w:tcBorders>
              <w:top w:val="single" w:sz="4" w:space="0" w:color="auto"/>
            </w:tcBorders>
            <w:vAlign w:val="bottom"/>
          </w:tcPr>
          <w:p w14:paraId="6EE84ADE" w14:textId="77777777" w:rsidR="00B10D64" w:rsidRPr="00D718AE" w:rsidRDefault="00B10D64" w:rsidP="0013526B">
            <w:pPr>
              <w:jc w:val="right"/>
              <w:rPr>
                <w:sz w:val="10"/>
                <w:szCs w:val="10"/>
              </w:rPr>
            </w:pPr>
          </w:p>
        </w:tc>
        <w:tc>
          <w:tcPr>
            <w:tcW w:w="2870" w:type="dxa"/>
            <w:shd w:val="clear" w:color="auto" w:fill="auto"/>
          </w:tcPr>
          <w:p w14:paraId="608D06C8" w14:textId="77777777" w:rsidR="00B10D64" w:rsidRPr="00D718AE" w:rsidRDefault="00B10D64" w:rsidP="0013526B">
            <w:pPr>
              <w:rPr>
                <w:sz w:val="10"/>
                <w:szCs w:val="10"/>
              </w:rPr>
            </w:pPr>
          </w:p>
        </w:tc>
      </w:tr>
      <w:tr w:rsidR="000D161F" w:rsidRPr="000140D1" w14:paraId="2861485B" w14:textId="77777777" w:rsidTr="00D718AE">
        <w:tc>
          <w:tcPr>
            <w:tcW w:w="2859" w:type="dxa"/>
            <w:shd w:val="clear" w:color="auto" w:fill="auto"/>
          </w:tcPr>
          <w:p w14:paraId="3B46D6B5" w14:textId="13B3F158" w:rsidR="00B10D64" w:rsidRPr="000140D1" w:rsidRDefault="000140D1" w:rsidP="000140D1">
            <w:pPr>
              <w:tabs>
                <w:tab w:val="right" w:pos="2859"/>
              </w:tabs>
              <w:ind w:left="586"/>
              <w:rPr>
                <w:b/>
                <w:bCs w:val="0"/>
                <w:sz w:val="18"/>
                <w:szCs w:val="18"/>
              </w:rPr>
            </w:pPr>
            <w:r w:rsidRPr="000140D1">
              <w:rPr>
                <w:b/>
                <w:bCs w:val="0"/>
                <w:sz w:val="18"/>
                <w:szCs w:val="18"/>
              </w:rPr>
              <w:t>Pihak ketiga</w:t>
            </w:r>
          </w:p>
        </w:tc>
        <w:tc>
          <w:tcPr>
            <w:tcW w:w="1678" w:type="dxa"/>
            <w:shd w:val="clear" w:color="auto" w:fill="auto"/>
            <w:vAlign w:val="bottom"/>
          </w:tcPr>
          <w:p w14:paraId="27A7A0F7" w14:textId="79EF9DAF" w:rsidR="00B10D64" w:rsidRPr="000140D1" w:rsidRDefault="00B10D64" w:rsidP="00C2351A">
            <w:pPr>
              <w:ind w:right="57"/>
              <w:jc w:val="right"/>
              <w:rPr>
                <w:b/>
                <w:bCs w:val="0"/>
                <w:sz w:val="18"/>
                <w:szCs w:val="18"/>
              </w:rPr>
            </w:pPr>
          </w:p>
        </w:tc>
        <w:tc>
          <w:tcPr>
            <w:tcW w:w="112" w:type="dxa"/>
            <w:shd w:val="clear" w:color="auto" w:fill="auto"/>
            <w:vAlign w:val="bottom"/>
          </w:tcPr>
          <w:p w14:paraId="64D6FAF2" w14:textId="77777777" w:rsidR="00B10D64" w:rsidRPr="000140D1" w:rsidRDefault="00B10D64" w:rsidP="0013526B">
            <w:pPr>
              <w:jc w:val="right"/>
              <w:rPr>
                <w:b/>
                <w:bCs w:val="0"/>
                <w:sz w:val="18"/>
                <w:szCs w:val="18"/>
              </w:rPr>
            </w:pPr>
          </w:p>
        </w:tc>
        <w:tc>
          <w:tcPr>
            <w:tcW w:w="1678" w:type="dxa"/>
            <w:vAlign w:val="bottom"/>
          </w:tcPr>
          <w:p w14:paraId="2666003D" w14:textId="784E9679" w:rsidR="00B10D64" w:rsidRPr="000140D1" w:rsidRDefault="00B10D64" w:rsidP="0013526B">
            <w:pPr>
              <w:ind w:right="57"/>
              <w:jc w:val="right"/>
              <w:rPr>
                <w:b/>
                <w:bCs w:val="0"/>
                <w:sz w:val="18"/>
                <w:szCs w:val="18"/>
              </w:rPr>
            </w:pPr>
          </w:p>
        </w:tc>
        <w:tc>
          <w:tcPr>
            <w:tcW w:w="2870" w:type="dxa"/>
            <w:shd w:val="clear" w:color="auto" w:fill="auto"/>
            <w:vAlign w:val="bottom"/>
          </w:tcPr>
          <w:p w14:paraId="3223F456" w14:textId="2C2256B0" w:rsidR="00B10D64" w:rsidRPr="000140D1" w:rsidRDefault="00D718AE" w:rsidP="0013526B">
            <w:pPr>
              <w:tabs>
                <w:tab w:val="left" w:pos="2727"/>
              </w:tabs>
              <w:ind w:right="57"/>
              <w:jc w:val="right"/>
              <w:rPr>
                <w:b/>
                <w:bCs w:val="0"/>
                <w:i/>
                <w:sz w:val="18"/>
                <w:szCs w:val="18"/>
              </w:rPr>
            </w:pPr>
            <w:r>
              <w:rPr>
                <w:b/>
                <w:bCs w:val="0"/>
                <w:i/>
                <w:sz w:val="18"/>
                <w:szCs w:val="18"/>
              </w:rPr>
              <w:t>Third parties</w:t>
            </w:r>
          </w:p>
        </w:tc>
      </w:tr>
      <w:tr w:rsidR="007B7431" w:rsidRPr="000140D1" w14:paraId="3F62C032" w14:textId="77777777" w:rsidTr="00D718AE">
        <w:tc>
          <w:tcPr>
            <w:tcW w:w="2859" w:type="dxa"/>
            <w:shd w:val="clear" w:color="auto" w:fill="auto"/>
          </w:tcPr>
          <w:p w14:paraId="37219EFB" w14:textId="519ABC13" w:rsidR="007B7431" w:rsidRPr="0013686D" w:rsidRDefault="007B7431" w:rsidP="007B7431">
            <w:pPr>
              <w:ind w:left="751"/>
              <w:rPr>
                <w:bCs w:val="0"/>
                <w:sz w:val="18"/>
                <w:szCs w:val="18"/>
              </w:rPr>
            </w:pPr>
            <w:r w:rsidRPr="0013686D">
              <w:rPr>
                <w:bCs w:val="0"/>
                <w:sz w:val="18"/>
                <w:szCs w:val="18"/>
              </w:rPr>
              <w:t>Perusahaan</w:t>
            </w:r>
          </w:p>
        </w:tc>
        <w:tc>
          <w:tcPr>
            <w:tcW w:w="1678" w:type="dxa"/>
            <w:shd w:val="clear" w:color="auto" w:fill="auto"/>
            <w:vAlign w:val="bottom"/>
          </w:tcPr>
          <w:p w14:paraId="1FDCC772" w14:textId="49828077" w:rsidR="007B7431" w:rsidRPr="002F012D" w:rsidRDefault="00091DE4" w:rsidP="00A61C2B">
            <w:pPr>
              <w:ind w:right="57"/>
              <w:jc w:val="right"/>
              <w:rPr>
                <w:sz w:val="18"/>
                <w:szCs w:val="18"/>
              </w:rPr>
            </w:pPr>
            <w:r w:rsidRPr="002F012D">
              <w:rPr>
                <w:sz w:val="18"/>
                <w:szCs w:val="18"/>
              </w:rPr>
              <w:t>131.919.140.</w:t>
            </w:r>
            <w:r w:rsidR="00A61C2B">
              <w:rPr>
                <w:sz w:val="18"/>
                <w:szCs w:val="18"/>
              </w:rPr>
              <w:t>190</w:t>
            </w:r>
          </w:p>
        </w:tc>
        <w:tc>
          <w:tcPr>
            <w:tcW w:w="112" w:type="dxa"/>
            <w:shd w:val="clear" w:color="auto" w:fill="auto"/>
            <w:vAlign w:val="bottom"/>
          </w:tcPr>
          <w:p w14:paraId="73DC2618" w14:textId="77777777" w:rsidR="007B7431" w:rsidRPr="004A2301" w:rsidRDefault="007B7431" w:rsidP="007B7431">
            <w:pPr>
              <w:jc w:val="right"/>
              <w:rPr>
                <w:sz w:val="18"/>
                <w:szCs w:val="18"/>
              </w:rPr>
            </w:pPr>
          </w:p>
        </w:tc>
        <w:tc>
          <w:tcPr>
            <w:tcW w:w="1678" w:type="dxa"/>
            <w:vAlign w:val="bottom"/>
          </w:tcPr>
          <w:p w14:paraId="5FAE6412" w14:textId="64F5CF74" w:rsidR="007B7431" w:rsidRPr="004A2301" w:rsidRDefault="007B7431" w:rsidP="007B7431">
            <w:pPr>
              <w:ind w:right="57"/>
              <w:jc w:val="right"/>
              <w:rPr>
                <w:sz w:val="18"/>
                <w:szCs w:val="18"/>
              </w:rPr>
            </w:pPr>
            <w:r w:rsidRPr="004A2301">
              <w:rPr>
                <w:sz w:val="18"/>
                <w:szCs w:val="18"/>
              </w:rPr>
              <w:t>106.933.980.675</w:t>
            </w:r>
          </w:p>
        </w:tc>
        <w:tc>
          <w:tcPr>
            <w:tcW w:w="2870" w:type="dxa"/>
            <w:shd w:val="clear" w:color="auto" w:fill="auto"/>
          </w:tcPr>
          <w:p w14:paraId="40420265" w14:textId="386EEE43" w:rsidR="007B7431" w:rsidRPr="000140D1" w:rsidRDefault="007B7431" w:rsidP="007B7431">
            <w:pPr>
              <w:ind w:right="198"/>
              <w:jc w:val="right"/>
              <w:rPr>
                <w:bCs w:val="0"/>
                <w:i/>
                <w:sz w:val="18"/>
                <w:szCs w:val="18"/>
              </w:rPr>
            </w:pPr>
            <w:r>
              <w:rPr>
                <w:bCs w:val="0"/>
                <w:i/>
                <w:sz w:val="18"/>
                <w:szCs w:val="18"/>
              </w:rPr>
              <w:t>Company</w:t>
            </w:r>
          </w:p>
        </w:tc>
      </w:tr>
      <w:tr w:rsidR="007B7431" w:rsidRPr="000140D1" w14:paraId="4AE22F74" w14:textId="77777777" w:rsidTr="00D718AE">
        <w:tc>
          <w:tcPr>
            <w:tcW w:w="2859" w:type="dxa"/>
            <w:shd w:val="clear" w:color="auto" w:fill="auto"/>
            <w:vAlign w:val="bottom"/>
          </w:tcPr>
          <w:p w14:paraId="4A742065" w14:textId="5C04172B" w:rsidR="007B7431" w:rsidRPr="0013686D" w:rsidRDefault="007B7431" w:rsidP="007B7431">
            <w:pPr>
              <w:ind w:left="751"/>
              <w:rPr>
                <w:bCs w:val="0"/>
                <w:sz w:val="18"/>
                <w:szCs w:val="18"/>
              </w:rPr>
            </w:pPr>
            <w:r w:rsidRPr="0013686D">
              <w:rPr>
                <w:bCs w:val="0"/>
                <w:sz w:val="18"/>
                <w:szCs w:val="18"/>
              </w:rPr>
              <w:t>BPJS Kesehatan</w:t>
            </w:r>
          </w:p>
        </w:tc>
        <w:tc>
          <w:tcPr>
            <w:tcW w:w="1678" w:type="dxa"/>
            <w:shd w:val="clear" w:color="auto" w:fill="auto"/>
            <w:vAlign w:val="bottom"/>
          </w:tcPr>
          <w:p w14:paraId="640BA18C" w14:textId="6199E48F" w:rsidR="007B7431" w:rsidRPr="002F012D" w:rsidRDefault="00091DE4" w:rsidP="007B7431">
            <w:pPr>
              <w:ind w:right="57"/>
              <w:jc w:val="right"/>
              <w:rPr>
                <w:sz w:val="18"/>
                <w:szCs w:val="18"/>
              </w:rPr>
            </w:pPr>
            <w:r w:rsidRPr="002F012D">
              <w:rPr>
                <w:sz w:val="18"/>
                <w:szCs w:val="18"/>
              </w:rPr>
              <w:t>27.305.766.340</w:t>
            </w:r>
          </w:p>
        </w:tc>
        <w:tc>
          <w:tcPr>
            <w:tcW w:w="112" w:type="dxa"/>
            <w:shd w:val="clear" w:color="auto" w:fill="auto"/>
            <w:vAlign w:val="bottom"/>
          </w:tcPr>
          <w:p w14:paraId="2D41766A" w14:textId="77777777" w:rsidR="007B7431" w:rsidRPr="004A2301" w:rsidRDefault="007B7431" w:rsidP="007B7431">
            <w:pPr>
              <w:jc w:val="right"/>
              <w:rPr>
                <w:sz w:val="18"/>
                <w:szCs w:val="18"/>
              </w:rPr>
            </w:pPr>
          </w:p>
        </w:tc>
        <w:tc>
          <w:tcPr>
            <w:tcW w:w="1678" w:type="dxa"/>
            <w:vAlign w:val="bottom"/>
          </w:tcPr>
          <w:p w14:paraId="43689254" w14:textId="21E2036F" w:rsidR="007B7431" w:rsidRPr="004A2301" w:rsidRDefault="007B7431" w:rsidP="007B7431">
            <w:pPr>
              <w:ind w:right="57"/>
              <w:jc w:val="right"/>
              <w:rPr>
                <w:sz w:val="18"/>
                <w:szCs w:val="18"/>
              </w:rPr>
            </w:pPr>
            <w:r w:rsidRPr="004A2301">
              <w:rPr>
                <w:sz w:val="18"/>
                <w:szCs w:val="18"/>
              </w:rPr>
              <w:t>45.290.802.801</w:t>
            </w:r>
          </w:p>
        </w:tc>
        <w:tc>
          <w:tcPr>
            <w:tcW w:w="2870" w:type="dxa"/>
            <w:shd w:val="clear" w:color="auto" w:fill="auto"/>
            <w:vAlign w:val="bottom"/>
          </w:tcPr>
          <w:p w14:paraId="1DC287D8" w14:textId="2A76CF8F" w:rsidR="007B7431" w:rsidRPr="000140D1" w:rsidRDefault="007B7431" w:rsidP="007B7431">
            <w:pPr>
              <w:ind w:right="198"/>
              <w:jc w:val="right"/>
              <w:rPr>
                <w:bCs w:val="0"/>
                <w:i/>
                <w:sz w:val="18"/>
                <w:szCs w:val="18"/>
              </w:rPr>
            </w:pPr>
            <w:r>
              <w:rPr>
                <w:bCs w:val="0"/>
                <w:i/>
                <w:sz w:val="18"/>
                <w:szCs w:val="18"/>
              </w:rPr>
              <w:t>BPJS Kesehatan</w:t>
            </w:r>
          </w:p>
        </w:tc>
      </w:tr>
      <w:tr w:rsidR="007B7431" w:rsidRPr="000140D1" w14:paraId="562BE207" w14:textId="77777777" w:rsidTr="00D718AE">
        <w:tc>
          <w:tcPr>
            <w:tcW w:w="2859" w:type="dxa"/>
            <w:shd w:val="clear" w:color="auto" w:fill="auto"/>
          </w:tcPr>
          <w:p w14:paraId="624341A4" w14:textId="765D15D6" w:rsidR="007B7431" w:rsidRPr="000140D1" w:rsidRDefault="007B7431" w:rsidP="007B7431">
            <w:pPr>
              <w:ind w:left="751"/>
              <w:rPr>
                <w:bCs w:val="0"/>
                <w:sz w:val="18"/>
                <w:szCs w:val="18"/>
              </w:rPr>
            </w:pPr>
            <w:r>
              <w:rPr>
                <w:bCs w:val="0"/>
                <w:sz w:val="18"/>
                <w:szCs w:val="18"/>
              </w:rPr>
              <w:t>Pribadi</w:t>
            </w:r>
          </w:p>
        </w:tc>
        <w:tc>
          <w:tcPr>
            <w:tcW w:w="1678" w:type="dxa"/>
            <w:tcBorders>
              <w:bottom w:val="single" w:sz="4" w:space="0" w:color="auto"/>
            </w:tcBorders>
            <w:shd w:val="clear" w:color="auto" w:fill="auto"/>
            <w:vAlign w:val="bottom"/>
          </w:tcPr>
          <w:p w14:paraId="493A1BE0" w14:textId="04107F4F" w:rsidR="007B7431" w:rsidRPr="002F012D" w:rsidRDefault="00091DE4" w:rsidP="007B7431">
            <w:pPr>
              <w:ind w:right="57"/>
              <w:jc w:val="right"/>
              <w:rPr>
                <w:sz w:val="18"/>
                <w:szCs w:val="18"/>
              </w:rPr>
            </w:pPr>
            <w:r w:rsidRPr="002F012D">
              <w:rPr>
                <w:sz w:val="18"/>
                <w:szCs w:val="18"/>
              </w:rPr>
              <w:t>15.258.390.800</w:t>
            </w:r>
          </w:p>
        </w:tc>
        <w:tc>
          <w:tcPr>
            <w:tcW w:w="112" w:type="dxa"/>
            <w:shd w:val="clear" w:color="auto" w:fill="auto"/>
            <w:vAlign w:val="bottom"/>
          </w:tcPr>
          <w:p w14:paraId="554C3E69" w14:textId="77777777" w:rsidR="007B7431" w:rsidRPr="004A2301" w:rsidRDefault="007B7431" w:rsidP="007B7431">
            <w:pPr>
              <w:jc w:val="right"/>
              <w:rPr>
                <w:sz w:val="18"/>
                <w:szCs w:val="18"/>
              </w:rPr>
            </w:pPr>
          </w:p>
        </w:tc>
        <w:tc>
          <w:tcPr>
            <w:tcW w:w="1678" w:type="dxa"/>
            <w:tcBorders>
              <w:bottom w:val="single" w:sz="4" w:space="0" w:color="auto"/>
            </w:tcBorders>
            <w:vAlign w:val="bottom"/>
          </w:tcPr>
          <w:p w14:paraId="69031A68" w14:textId="07BFF0BD" w:rsidR="007B7431" w:rsidRPr="004A2301" w:rsidRDefault="007B7431" w:rsidP="007B7431">
            <w:pPr>
              <w:ind w:right="57"/>
              <w:jc w:val="right"/>
              <w:rPr>
                <w:sz w:val="18"/>
                <w:szCs w:val="18"/>
              </w:rPr>
            </w:pPr>
            <w:r w:rsidRPr="004A2301">
              <w:rPr>
                <w:sz w:val="18"/>
                <w:szCs w:val="18"/>
              </w:rPr>
              <w:t>12.229.817.733</w:t>
            </w:r>
          </w:p>
        </w:tc>
        <w:tc>
          <w:tcPr>
            <w:tcW w:w="2870" w:type="dxa"/>
            <w:shd w:val="clear" w:color="auto" w:fill="auto"/>
          </w:tcPr>
          <w:p w14:paraId="371906EF" w14:textId="31E69BD6" w:rsidR="007B7431" w:rsidRPr="00D718AE" w:rsidRDefault="007B7431" w:rsidP="007B7431">
            <w:pPr>
              <w:ind w:right="198"/>
              <w:jc w:val="right"/>
              <w:rPr>
                <w:bCs w:val="0"/>
                <w:i/>
                <w:sz w:val="18"/>
                <w:szCs w:val="18"/>
              </w:rPr>
            </w:pPr>
            <w:r>
              <w:rPr>
                <w:bCs w:val="0"/>
                <w:i/>
                <w:sz w:val="18"/>
                <w:szCs w:val="18"/>
              </w:rPr>
              <w:t>Private</w:t>
            </w:r>
          </w:p>
        </w:tc>
      </w:tr>
      <w:tr w:rsidR="000D161F" w:rsidRPr="000140D1" w14:paraId="5E37844D" w14:textId="77777777" w:rsidTr="00D718AE">
        <w:tc>
          <w:tcPr>
            <w:tcW w:w="2859" w:type="dxa"/>
            <w:shd w:val="clear" w:color="auto" w:fill="auto"/>
          </w:tcPr>
          <w:p w14:paraId="6C8B1343" w14:textId="5F5D9955" w:rsidR="00D6169A" w:rsidRPr="00D718AE" w:rsidRDefault="00D6169A" w:rsidP="00A64AB2">
            <w:pPr>
              <w:ind w:left="586"/>
              <w:rPr>
                <w:bCs w:val="0"/>
                <w:sz w:val="10"/>
                <w:szCs w:val="10"/>
              </w:rPr>
            </w:pPr>
          </w:p>
        </w:tc>
        <w:tc>
          <w:tcPr>
            <w:tcW w:w="1678" w:type="dxa"/>
            <w:tcBorders>
              <w:top w:val="single" w:sz="4" w:space="0" w:color="auto"/>
            </w:tcBorders>
            <w:shd w:val="clear" w:color="auto" w:fill="auto"/>
            <w:vAlign w:val="bottom"/>
          </w:tcPr>
          <w:p w14:paraId="2E6EE0AF" w14:textId="24A815EB" w:rsidR="00D6169A" w:rsidRPr="002F012D" w:rsidRDefault="00D6169A" w:rsidP="0013526B">
            <w:pPr>
              <w:ind w:right="57"/>
              <w:jc w:val="right"/>
              <w:rPr>
                <w:sz w:val="10"/>
                <w:szCs w:val="10"/>
              </w:rPr>
            </w:pPr>
          </w:p>
        </w:tc>
        <w:tc>
          <w:tcPr>
            <w:tcW w:w="112" w:type="dxa"/>
            <w:shd w:val="clear" w:color="auto" w:fill="auto"/>
            <w:vAlign w:val="bottom"/>
          </w:tcPr>
          <w:p w14:paraId="6EAE706A" w14:textId="77777777" w:rsidR="00D6169A" w:rsidRPr="004A2301" w:rsidRDefault="00D6169A" w:rsidP="0013526B">
            <w:pPr>
              <w:jc w:val="right"/>
              <w:rPr>
                <w:sz w:val="10"/>
                <w:szCs w:val="10"/>
              </w:rPr>
            </w:pPr>
          </w:p>
        </w:tc>
        <w:tc>
          <w:tcPr>
            <w:tcW w:w="1678" w:type="dxa"/>
            <w:tcBorders>
              <w:top w:val="single" w:sz="4" w:space="0" w:color="auto"/>
            </w:tcBorders>
            <w:vAlign w:val="bottom"/>
          </w:tcPr>
          <w:p w14:paraId="351B805B" w14:textId="5C78E2F7" w:rsidR="00D6169A" w:rsidRPr="004A2301" w:rsidRDefault="00D6169A" w:rsidP="0013526B">
            <w:pPr>
              <w:ind w:right="57"/>
              <w:jc w:val="right"/>
              <w:rPr>
                <w:sz w:val="10"/>
                <w:szCs w:val="10"/>
              </w:rPr>
            </w:pPr>
          </w:p>
        </w:tc>
        <w:tc>
          <w:tcPr>
            <w:tcW w:w="2870" w:type="dxa"/>
            <w:shd w:val="clear" w:color="auto" w:fill="auto"/>
          </w:tcPr>
          <w:p w14:paraId="7B17E19F" w14:textId="5F9B1B73" w:rsidR="00D6169A" w:rsidRPr="00D718AE" w:rsidRDefault="00D6169A" w:rsidP="00EC6869">
            <w:pPr>
              <w:ind w:right="47"/>
              <w:jc w:val="right"/>
              <w:rPr>
                <w:bCs w:val="0"/>
                <w:i/>
                <w:iCs/>
                <w:sz w:val="10"/>
                <w:szCs w:val="10"/>
              </w:rPr>
            </w:pPr>
          </w:p>
        </w:tc>
      </w:tr>
      <w:tr w:rsidR="000D161F" w:rsidRPr="000140D1" w14:paraId="79758C13" w14:textId="77777777" w:rsidTr="00D718AE">
        <w:tc>
          <w:tcPr>
            <w:tcW w:w="2859" w:type="dxa"/>
            <w:shd w:val="clear" w:color="auto" w:fill="auto"/>
          </w:tcPr>
          <w:p w14:paraId="12DB5B69" w14:textId="22657ADD" w:rsidR="00D6169A" w:rsidRPr="000140D1" w:rsidRDefault="000140D1" w:rsidP="00A64AB2">
            <w:pPr>
              <w:ind w:left="586"/>
              <w:rPr>
                <w:sz w:val="18"/>
                <w:szCs w:val="18"/>
              </w:rPr>
            </w:pPr>
            <w:r>
              <w:rPr>
                <w:sz w:val="18"/>
                <w:szCs w:val="18"/>
              </w:rPr>
              <w:t>Sub jumlah</w:t>
            </w:r>
          </w:p>
        </w:tc>
        <w:tc>
          <w:tcPr>
            <w:tcW w:w="1678" w:type="dxa"/>
            <w:tcBorders>
              <w:bottom w:val="single" w:sz="4" w:space="0" w:color="auto"/>
            </w:tcBorders>
            <w:shd w:val="clear" w:color="auto" w:fill="auto"/>
            <w:vAlign w:val="bottom"/>
          </w:tcPr>
          <w:p w14:paraId="044E9208" w14:textId="3A0B8191" w:rsidR="00D6169A" w:rsidRPr="002F012D" w:rsidRDefault="00196293" w:rsidP="00A61C2B">
            <w:pPr>
              <w:ind w:right="57"/>
              <w:jc w:val="right"/>
              <w:rPr>
                <w:sz w:val="18"/>
                <w:szCs w:val="18"/>
              </w:rPr>
            </w:pPr>
            <w:r w:rsidRPr="002F012D">
              <w:rPr>
                <w:sz w:val="18"/>
                <w:szCs w:val="18"/>
              </w:rPr>
              <w:t>174.483.297.</w:t>
            </w:r>
            <w:r w:rsidR="00A61C2B">
              <w:rPr>
                <w:sz w:val="18"/>
                <w:szCs w:val="18"/>
              </w:rPr>
              <w:t>330</w:t>
            </w:r>
          </w:p>
        </w:tc>
        <w:tc>
          <w:tcPr>
            <w:tcW w:w="112" w:type="dxa"/>
            <w:shd w:val="clear" w:color="auto" w:fill="auto"/>
            <w:vAlign w:val="bottom"/>
          </w:tcPr>
          <w:p w14:paraId="5544E9F0" w14:textId="77777777" w:rsidR="00D6169A" w:rsidRPr="004A2301" w:rsidRDefault="00D6169A" w:rsidP="0013526B">
            <w:pPr>
              <w:jc w:val="right"/>
              <w:rPr>
                <w:sz w:val="18"/>
                <w:szCs w:val="18"/>
              </w:rPr>
            </w:pPr>
          </w:p>
        </w:tc>
        <w:tc>
          <w:tcPr>
            <w:tcW w:w="1678" w:type="dxa"/>
            <w:tcBorders>
              <w:bottom w:val="single" w:sz="4" w:space="0" w:color="auto"/>
            </w:tcBorders>
            <w:vAlign w:val="bottom"/>
          </w:tcPr>
          <w:p w14:paraId="4FCF7C65" w14:textId="6B1F7A58" w:rsidR="00D6169A" w:rsidRPr="004A2301" w:rsidRDefault="007B7431" w:rsidP="0013526B">
            <w:pPr>
              <w:ind w:right="57"/>
              <w:jc w:val="right"/>
              <w:rPr>
                <w:sz w:val="18"/>
                <w:szCs w:val="18"/>
              </w:rPr>
            </w:pPr>
            <w:r w:rsidRPr="004A2301">
              <w:rPr>
                <w:bCs w:val="0"/>
                <w:sz w:val="18"/>
                <w:szCs w:val="18"/>
              </w:rPr>
              <w:t>164.454.601.209</w:t>
            </w:r>
          </w:p>
        </w:tc>
        <w:tc>
          <w:tcPr>
            <w:tcW w:w="2870" w:type="dxa"/>
            <w:shd w:val="clear" w:color="auto" w:fill="auto"/>
            <w:vAlign w:val="bottom"/>
          </w:tcPr>
          <w:p w14:paraId="65E41138" w14:textId="0C3941B3" w:rsidR="00D6169A" w:rsidRPr="000140D1" w:rsidRDefault="00D718AE" w:rsidP="0013526B">
            <w:pPr>
              <w:ind w:right="57"/>
              <w:jc w:val="right"/>
              <w:rPr>
                <w:i/>
                <w:sz w:val="18"/>
                <w:szCs w:val="18"/>
              </w:rPr>
            </w:pPr>
            <w:r>
              <w:rPr>
                <w:i/>
                <w:sz w:val="18"/>
                <w:szCs w:val="18"/>
              </w:rPr>
              <w:t>Sub total</w:t>
            </w:r>
          </w:p>
        </w:tc>
      </w:tr>
      <w:tr w:rsidR="00D718AE" w:rsidRPr="000140D1" w14:paraId="1AB0ABDE" w14:textId="77777777" w:rsidTr="00D718AE">
        <w:tc>
          <w:tcPr>
            <w:tcW w:w="2859" w:type="dxa"/>
            <w:shd w:val="clear" w:color="auto" w:fill="auto"/>
          </w:tcPr>
          <w:p w14:paraId="34AFFC88" w14:textId="77777777" w:rsidR="00D718AE" w:rsidRPr="00D718AE" w:rsidRDefault="00D718AE" w:rsidP="00A64AB2">
            <w:pPr>
              <w:ind w:left="586"/>
              <w:rPr>
                <w:sz w:val="10"/>
                <w:szCs w:val="10"/>
              </w:rPr>
            </w:pPr>
          </w:p>
        </w:tc>
        <w:tc>
          <w:tcPr>
            <w:tcW w:w="1678" w:type="dxa"/>
            <w:tcBorders>
              <w:top w:val="single" w:sz="4" w:space="0" w:color="auto"/>
            </w:tcBorders>
            <w:shd w:val="clear" w:color="auto" w:fill="auto"/>
            <w:vAlign w:val="bottom"/>
          </w:tcPr>
          <w:p w14:paraId="5E77CDB0" w14:textId="77777777" w:rsidR="00D718AE" w:rsidRPr="002F012D" w:rsidRDefault="00D718AE" w:rsidP="0013526B">
            <w:pPr>
              <w:ind w:right="57"/>
              <w:jc w:val="right"/>
              <w:rPr>
                <w:sz w:val="10"/>
                <w:szCs w:val="10"/>
              </w:rPr>
            </w:pPr>
          </w:p>
        </w:tc>
        <w:tc>
          <w:tcPr>
            <w:tcW w:w="112" w:type="dxa"/>
            <w:shd w:val="clear" w:color="auto" w:fill="auto"/>
            <w:vAlign w:val="bottom"/>
          </w:tcPr>
          <w:p w14:paraId="351AC270" w14:textId="77777777" w:rsidR="00D718AE" w:rsidRPr="004A2301" w:rsidRDefault="00D718AE" w:rsidP="0013526B">
            <w:pPr>
              <w:jc w:val="right"/>
              <w:rPr>
                <w:sz w:val="10"/>
                <w:szCs w:val="10"/>
              </w:rPr>
            </w:pPr>
          </w:p>
        </w:tc>
        <w:tc>
          <w:tcPr>
            <w:tcW w:w="1678" w:type="dxa"/>
            <w:tcBorders>
              <w:top w:val="single" w:sz="4" w:space="0" w:color="auto"/>
            </w:tcBorders>
            <w:vAlign w:val="bottom"/>
          </w:tcPr>
          <w:p w14:paraId="5EA212EF" w14:textId="77777777" w:rsidR="00D718AE" w:rsidRPr="004A2301" w:rsidRDefault="00D718AE" w:rsidP="0013526B">
            <w:pPr>
              <w:ind w:right="57"/>
              <w:jc w:val="right"/>
              <w:rPr>
                <w:sz w:val="10"/>
                <w:szCs w:val="10"/>
              </w:rPr>
            </w:pPr>
          </w:p>
        </w:tc>
        <w:tc>
          <w:tcPr>
            <w:tcW w:w="2870" w:type="dxa"/>
            <w:shd w:val="clear" w:color="auto" w:fill="auto"/>
            <w:vAlign w:val="bottom"/>
          </w:tcPr>
          <w:p w14:paraId="0ABD4946" w14:textId="77777777" w:rsidR="00D718AE" w:rsidRPr="00D718AE" w:rsidRDefault="00D718AE" w:rsidP="0013526B">
            <w:pPr>
              <w:ind w:right="57"/>
              <w:jc w:val="right"/>
              <w:rPr>
                <w:i/>
                <w:sz w:val="10"/>
                <w:szCs w:val="10"/>
              </w:rPr>
            </w:pPr>
          </w:p>
        </w:tc>
      </w:tr>
      <w:tr w:rsidR="00D718AE" w:rsidRPr="000140D1" w14:paraId="44069381" w14:textId="77777777" w:rsidTr="00D718AE">
        <w:tc>
          <w:tcPr>
            <w:tcW w:w="2859" w:type="dxa"/>
            <w:shd w:val="clear" w:color="auto" w:fill="auto"/>
          </w:tcPr>
          <w:p w14:paraId="5CD9C2A6" w14:textId="77777777" w:rsidR="0013686D" w:rsidRDefault="00D718AE" w:rsidP="0013686D">
            <w:pPr>
              <w:ind w:left="586"/>
              <w:rPr>
                <w:bCs w:val="0"/>
                <w:sz w:val="18"/>
                <w:szCs w:val="18"/>
              </w:rPr>
            </w:pPr>
            <w:r w:rsidRPr="00D718AE">
              <w:rPr>
                <w:bCs w:val="0"/>
                <w:sz w:val="18"/>
                <w:szCs w:val="18"/>
              </w:rPr>
              <w:t>Cadangan kerugian penurunan</w:t>
            </w:r>
          </w:p>
          <w:p w14:paraId="26AC4516" w14:textId="7DE532C6" w:rsidR="00D718AE" w:rsidRPr="00D718AE" w:rsidRDefault="00D718AE" w:rsidP="0013686D">
            <w:pPr>
              <w:ind w:left="751"/>
              <w:rPr>
                <w:bCs w:val="0"/>
                <w:sz w:val="18"/>
                <w:szCs w:val="18"/>
              </w:rPr>
            </w:pPr>
            <w:r w:rsidRPr="00D718AE">
              <w:rPr>
                <w:bCs w:val="0"/>
                <w:sz w:val="18"/>
                <w:szCs w:val="18"/>
              </w:rPr>
              <w:t>nilai</w:t>
            </w:r>
          </w:p>
        </w:tc>
        <w:tc>
          <w:tcPr>
            <w:tcW w:w="1678" w:type="dxa"/>
            <w:tcBorders>
              <w:bottom w:val="single" w:sz="4" w:space="0" w:color="auto"/>
            </w:tcBorders>
            <w:shd w:val="clear" w:color="auto" w:fill="auto"/>
            <w:vAlign w:val="bottom"/>
          </w:tcPr>
          <w:p w14:paraId="39E31D6E" w14:textId="15BCF6D6" w:rsidR="00D718AE" w:rsidRPr="002F012D" w:rsidRDefault="00F32DFB" w:rsidP="00F32DFB">
            <w:pPr>
              <w:ind w:right="57"/>
              <w:jc w:val="right"/>
              <w:rPr>
                <w:sz w:val="18"/>
                <w:szCs w:val="18"/>
              </w:rPr>
            </w:pPr>
            <w:r w:rsidRPr="002F012D">
              <w:rPr>
                <w:sz w:val="18"/>
                <w:szCs w:val="18"/>
              </w:rPr>
              <w:t>(17.624.</w:t>
            </w:r>
            <w:r w:rsidR="004A2301" w:rsidRPr="002F012D">
              <w:rPr>
                <w:sz w:val="18"/>
                <w:szCs w:val="18"/>
              </w:rPr>
              <w:t>947</w:t>
            </w:r>
            <w:r w:rsidRPr="002F012D">
              <w:rPr>
                <w:sz w:val="18"/>
                <w:szCs w:val="18"/>
              </w:rPr>
              <w:t>.</w:t>
            </w:r>
            <w:r w:rsidR="004A2301" w:rsidRPr="002F012D">
              <w:rPr>
                <w:sz w:val="18"/>
                <w:szCs w:val="18"/>
              </w:rPr>
              <w:t>621)</w:t>
            </w:r>
          </w:p>
        </w:tc>
        <w:tc>
          <w:tcPr>
            <w:tcW w:w="112" w:type="dxa"/>
            <w:shd w:val="clear" w:color="auto" w:fill="auto"/>
            <w:vAlign w:val="bottom"/>
          </w:tcPr>
          <w:p w14:paraId="58ECE6E4" w14:textId="77777777" w:rsidR="00D718AE" w:rsidRPr="004A2301" w:rsidRDefault="00D718AE" w:rsidP="0013526B">
            <w:pPr>
              <w:jc w:val="right"/>
              <w:rPr>
                <w:sz w:val="18"/>
                <w:szCs w:val="18"/>
              </w:rPr>
            </w:pPr>
          </w:p>
        </w:tc>
        <w:tc>
          <w:tcPr>
            <w:tcW w:w="1678" w:type="dxa"/>
            <w:tcBorders>
              <w:bottom w:val="single" w:sz="4" w:space="0" w:color="auto"/>
            </w:tcBorders>
            <w:vAlign w:val="bottom"/>
          </w:tcPr>
          <w:p w14:paraId="1362A22E" w14:textId="4A3EA402" w:rsidR="00D718AE" w:rsidRPr="004A2301" w:rsidRDefault="007B7431" w:rsidP="0013526B">
            <w:pPr>
              <w:ind w:right="57"/>
              <w:jc w:val="right"/>
              <w:rPr>
                <w:sz w:val="18"/>
                <w:szCs w:val="18"/>
              </w:rPr>
            </w:pPr>
            <w:r w:rsidRPr="004A2301">
              <w:rPr>
                <w:sz w:val="18"/>
                <w:szCs w:val="18"/>
              </w:rPr>
              <w:t>(18.639.298.120)</w:t>
            </w:r>
          </w:p>
        </w:tc>
        <w:tc>
          <w:tcPr>
            <w:tcW w:w="2870" w:type="dxa"/>
            <w:shd w:val="clear" w:color="auto" w:fill="auto"/>
            <w:vAlign w:val="bottom"/>
          </w:tcPr>
          <w:p w14:paraId="55383859" w14:textId="77777777" w:rsidR="0013686D" w:rsidRDefault="00D718AE" w:rsidP="0013526B">
            <w:pPr>
              <w:ind w:right="57"/>
              <w:jc w:val="right"/>
              <w:rPr>
                <w:i/>
                <w:sz w:val="18"/>
                <w:szCs w:val="18"/>
              </w:rPr>
            </w:pPr>
            <w:r>
              <w:rPr>
                <w:i/>
                <w:sz w:val="18"/>
                <w:szCs w:val="18"/>
              </w:rPr>
              <w:t xml:space="preserve">Allowance for impairment </w:t>
            </w:r>
          </w:p>
          <w:p w14:paraId="49F48106" w14:textId="4B1DE71E" w:rsidR="00D718AE" w:rsidRPr="000140D1" w:rsidRDefault="00D718AE" w:rsidP="0013686D">
            <w:pPr>
              <w:ind w:right="228"/>
              <w:jc w:val="right"/>
              <w:rPr>
                <w:i/>
                <w:sz w:val="18"/>
                <w:szCs w:val="18"/>
              </w:rPr>
            </w:pPr>
            <w:r>
              <w:rPr>
                <w:i/>
                <w:sz w:val="18"/>
                <w:szCs w:val="18"/>
              </w:rPr>
              <w:t>losses</w:t>
            </w:r>
          </w:p>
        </w:tc>
      </w:tr>
      <w:tr w:rsidR="00D718AE" w:rsidRPr="000140D1" w14:paraId="401DB111" w14:textId="77777777" w:rsidTr="00D718AE">
        <w:tc>
          <w:tcPr>
            <w:tcW w:w="2859" w:type="dxa"/>
            <w:shd w:val="clear" w:color="auto" w:fill="auto"/>
          </w:tcPr>
          <w:p w14:paraId="080358F1" w14:textId="77777777" w:rsidR="00D718AE" w:rsidRPr="00D718AE" w:rsidRDefault="00D718AE" w:rsidP="00A64AB2">
            <w:pPr>
              <w:ind w:left="586"/>
              <w:rPr>
                <w:sz w:val="10"/>
                <w:szCs w:val="10"/>
              </w:rPr>
            </w:pPr>
          </w:p>
        </w:tc>
        <w:tc>
          <w:tcPr>
            <w:tcW w:w="1678" w:type="dxa"/>
            <w:tcBorders>
              <w:top w:val="single" w:sz="4" w:space="0" w:color="auto"/>
            </w:tcBorders>
            <w:shd w:val="clear" w:color="auto" w:fill="auto"/>
            <w:vAlign w:val="bottom"/>
          </w:tcPr>
          <w:p w14:paraId="0377D9D1" w14:textId="77777777" w:rsidR="00D718AE" w:rsidRPr="002F012D" w:rsidRDefault="00D718AE" w:rsidP="0013526B">
            <w:pPr>
              <w:ind w:right="57"/>
              <w:jc w:val="right"/>
              <w:rPr>
                <w:sz w:val="10"/>
                <w:szCs w:val="10"/>
              </w:rPr>
            </w:pPr>
          </w:p>
        </w:tc>
        <w:tc>
          <w:tcPr>
            <w:tcW w:w="112" w:type="dxa"/>
            <w:shd w:val="clear" w:color="auto" w:fill="auto"/>
            <w:vAlign w:val="bottom"/>
          </w:tcPr>
          <w:p w14:paraId="27EBC63F" w14:textId="77777777" w:rsidR="00D718AE" w:rsidRPr="004A2301" w:rsidRDefault="00D718AE" w:rsidP="0013526B">
            <w:pPr>
              <w:jc w:val="right"/>
              <w:rPr>
                <w:sz w:val="10"/>
                <w:szCs w:val="10"/>
              </w:rPr>
            </w:pPr>
          </w:p>
        </w:tc>
        <w:tc>
          <w:tcPr>
            <w:tcW w:w="1678" w:type="dxa"/>
            <w:tcBorders>
              <w:top w:val="single" w:sz="4" w:space="0" w:color="auto"/>
            </w:tcBorders>
            <w:vAlign w:val="bottom"/>
          </w:tcPr>
          <w:p w14:paraId="1B2135E2" w14:textId="77777777" w:rsidR="00D718AE" w:rsidRPr="004A2301" w:rsidRDefault="00D718AE" w:rsidP="0013526B">
            <w:pPr>
              <w:ind w:right="57"/>
              <w:jc w:val="right"/>
              <w:rPr>
                <w:sz w:val="10"/>
                <w:szCs w:val="10"/>
              </w:rPr>
            </w:pPr>
          </w:p>
        </w:tc>
        <w:tc>
          <w:tcPr>
            <w:tcW w:w="2870" w:type="dxa"/>
            <w:shd w:val="clear" w:color="auto" w:fill="auto"/>
            <w:vAlign w:val="bottom"/>
          </w:tcPr>
          <w:p w14:paraId="641CCE28" w14:textId="77777777" w:rsidR="00D718AE" w:rsidRPr="00D718AE" w:rsidRDefault="00D718AE" w:rsidP="0013526B">
            <w:pPr>
              <w:ind w:right="57"/>
              <w:jc w:val="right"/>
              <w:rPr>
                <w:i/>
                <w:sz w:val="10"/>
                <w:szCs w:val="10"/>
              </w:rPr>
            </w:pPr>
          </w:p>
        </w:tc>
      </w:tr>
      <w:tr w:rsidR="00D718AE" w:rsidRPr="000140D1" w14:paraId="447F60AB" w14:textId="77777777" w:rsidTr="00D718AE">
        <w:tc>
          <w:tcPr>
            <w:tcW w:w="2859" w:type="dxa"/>
            <w:shd w:val="clear" w:color="auto" w:fill="auto"/>
          </w:tcPr>
          <w:p w14:paraId="6AB44039" w14:textId="44BF7C40" w:rsidR="00D718AE" w:rsidRDefault="00D718AE" w:rsidP="00A64AB2">
            <w:pPr>
              <w:ind w:left="586"/>
              <w:rPr>
                <w:sz w:val="18"/>
                <w:szCs w:val="18"/>
              </w:rPr>
            </w:pPr>
            <w:r>
              <w:rPr>
                <w:sz w:val="18"/>
                <w:szCs w:val="18"/>
              </w:rPr>
              <w:t>Piutang pihak berelasi</w:t>
            </w:r>
          </w:p>
        </w:tc>
        <w:tc>
          <w:tcPr>
            <w:tcW w:w="1678" w:type="dxa"/>
            <w:tcBorders>
              <w:bottom w:val="single" w:sz="4" w:space="0" w:color="auto"/>
            </w:tcBorders>
            <w:shd w:val="clear" w:color="auto" w:fill="auto"/>
            <w:vAlign w:val="bottom"/>
          </w:tcPr>
          <w:p w14:paraId="2010CC7C" w14:textId="337739D2" w:rsidR="00D718AE" w:rsidRPr="002F012D" w:rsidRDefault="004A2301" w:rsidP="0013526B">
            <w:pPr>
              <w:ind w:right="57"/>
              <w:jc w:val="right"/>
              <w:rPr>
                <w:sz w:val="18"/>
                <w:szCs w:val="18"/>
              </w:rPr>
            </w:pPr>
            <w:r w:rsidRPr="002F012D">
              <w:rPr>
                <w:sz w:val="18"/>
                <w:szCs w:val="18"/>
              </w:rPr>
              <w:t>-</w:t>
            </w:r>
          </w:p>
        </w:tc>
        <w:tc>
          <w:tcPr>
            <w:tcW w:w="112" w:type="dxa"/>
            <w:shd w:val="clear" w:color="auto" w:fill="auto"/>
            <w:vAlign w:val="bottom"/>
          </w:tcPr>
          <w:p w14:paraId="3F817B9A" w14:textId="77777777" w:rsidR="00D718AE" w:rsidRPr="004A2301" w:rsidRDefault="00D718AE" w:rsidP="0013526B">
            <w:pPr>
              <w:jc w:val="right"/>
              <w:rPr>
                <w:sz w:val="18"/>
                <w:szCs w:val="18"/>
              </w:rPr>
            </w:pPr>
          </w:p>
        </w:tc>
        <w:tc>
          <w:tcPr>
            <w:tcW w:w="1678" w:type="dxa"/>
            <w:tcBorders>
              <w:bottom w:val="single" w:sz="4" w:space="0" w:color="auto"/>
            </w:tcBorders>
            <w:vAlign w:val="bottom"/>
          </w:tcPr>
          <w:p w14:paraId="656F9284" w14:textId="731CF703" w:rsidR="00D718AE" w:rsidRPr="004A2301" w:rsidRDefault="007B7431" w:rsidP="0013526B">
            <w:pPr>
              <w:ind w:right="57"/>
              <w:jc w:val="right"/>
              <w:rPr>
                <w:sz w:val="18"/>
                <w:szCs w:val="18"/>
              </w:rPr>
            </w:pPr>
            <w:r w:rsidRPr="004A2301">
              <w:rPr>
                <w:sz w:val="18"/>
                <w:szCs w:val="18"/>
              </w:rPr>
              <w:t>1.927.400</w:t>
            </w:r>
          </w:p>
        </w:tc>
        <w:tc>
          <w:tcPr>
            <w:tcW w:w="2870" w:type="dxa"/>
            <w:shd w:val="clear" w:color="auto" w:fill="auto"/>
            <w:vAlign w:val="bottom"/>
          </w:tcPr>
          <w:p w14:paraId="0454CE6A" w14:textId="58FB1271" w:rsidR="00D718AE" w:rsidRPr="000140D1" w:rsidRDefault="00D718AE" w:rsidP="0013526B">
            <w:pPr>
              <w:ind w:right="57"/>
              <w:jc w:val="right"/>
              <w:rPr>
                <w:i/>
                <w:sz w:val="18"/>
                <w:szCs w:val="18"/>
              </w:rPr>
            </w:pPr>
            <w:r>
              <w:rPr>
                <w:i/>
                <w:sz w:val="18"/>
                <w:szCs w:val="18"/>
              </w:rPr>
              <w:t>Related parties</w:t>
            </w:r>
          </w:p>
        </w:tc>
      </w:tr>
      <w:tr w:rsidR="00D718AE" w:rsidRPr="000140D1" w14:paraId="31DF4C62" w14:textId="77777777" w:rsidTr="00D718AE">
        <w:tc>
          <w:tcPr>
            <w:tcW w:w="2859" w:type="dxa"/>
            <w:shd w:val="clear" w:color="auto" w:fill="auto"/>
          </w:tcPr>
          <w:p w14:paraId="6798A8EC" w14:textId="77777777" w:rsidR="00D718AE" w:rsidRPr="00D718AE" w:rsidRDefault="00D718AE" w:rsidP="00A64AB2">
            <w:pPr>
              <w:ind w:left="586"/>
              <w:rPr>
                <w:sz w:val="10"/>
                <w:szCs w:val="10"/>
              </w:rPr>
            </w:pPr>
          </w:p>
        </w:tc>
        <w:tc>
          <w:tcPr>
            <w:tcW w:w="1678" w:type="dxa"/>
            <w:tcBorders>
              <w:top w:val="single" w:sz="4" w:space="0" w:color="auto"/>
            </w:tcBorders>
            <w:shd w:val="clear" w:color="auto" w:fill="auto"/>
            <w:vAlign w:val="bottom"/>
          </w:tcPr>
          <w:p w14:paraId="66956197" w14:textId="77777777" w:rsidR="00D718AE" w:rsidRPr="004A2301" w:rsidRDefault="00D718AE" w:rsidP="0013526B">
            <w:pPr>
              <w:ind w:right="57"/>
              <w:jc w:val="right"/>
              <w:rPr>
                <w:sz w:val="10"/>
                <w:szCs w:val="10"/>
              </w:rPr>
            </w:pPr>
          </w:p>
        </w:tc>
        <w:tc>
          <w:tcPr>
            <w:tcW w:w="112" w:type="dxa"/>
            <w:shd w:val="clear" w:color="auto" w:fill="auto"/>
            <w:vAlign w:val="bottom"/>
          </w:tcPr>
          <w:p w14:paraId="0BCDC15D" w14:textId="77777777" w:rsidR="00D718AE" w:rsidRPr="004A2301" w:rsidRDefault="00D718AE" w:rsidP="0013526B">
            <w:pPr>
              <w:jc w:val="right"/>
              <w:rPr>
                <w:sz w:val="10"/>
                <w:szCs w:val="10"/>
              </w:rPr>
            </w:pPr>
          </w:p>
        </w:tc>
        <w:tc>
          <w:tcPr>
            <w:tcW w:w="1678" w:type="dxa"/>
            <w:tcBorders>
              <w:top w:val="single" w:sz="4" w:space="0" w:color="auto"/>
            </w:tcBorders>
            <w:vAlign w:val="bottom"/>
          </w:tcPr>
          <w:p w14:paraId="6F7FC8A6" w14:textId="77777777" w:rsidR="00D718AE" w:rsidRPr="004A2301" w:rsidRDefault="00D718AE" w:rsidP="0013526B">
            <w:pPr>
              <w:ind w:right="57"/>
              <w:jc w:val="right"/>
              <w:rPr>
                <w:sz w:val="10"/>
                <w:szCs w:val="10"/>
              </w:rPr>
            </w:pPr>
          </w:p>
        </w:tc>
        <w:tc>
          <w:tcPr>
            <w:tcW w:w="2870" w:type="dxa"/>
            <w:shd w:val="clear" w:color="auto" w:fill="auto"/>
            <w:vAlign w:val="bottom"/>
          </w:tcPr>
          <w:p w14:paraId="14418D88" w14:textId="77777777" w:rsidR="00D718AE" w:rsidRPr="00D718AE" w:rsidRDefault="00D718AE" w:rsidP="0013526B">
            <w:pPr>
              <w:ind w:right="57"/>
              <w:jc w:val="right"/>
              <w:rPr>
                <w:i/>
                <w:sz w:val="10"/>
                <w:szCs w:val="10"/>
              </w:rPr>
            </w:pPr>
          </w:p>
        </w:tc>
      </w:tr>
      <w:tr w:rsidR="00D718AE" w:rsidRPr="000140D1" w14:paraId="1E94AC3B" w14:textId="77777777" w:rsidTr="00A61C2B">
        <w:tc>
          <w:tcPr>
            <w:tcW w:w="2859" w:type="dxa"/>
            <w:shd w:val="clear" w:color="auto" w:fill="auto"/>
          </w:tcPr>
          <w:p w14:paraId="75151472" w14:textId="3620E142" w:rsidR="00D718AE" w:rsidRPr="00D718AE" w:rsidRDefault="00D718AE" w:rsidP="00A64AB2">
            <w:pPr>
              <w:ind w:left="586"/>
              <w:rPr>
                <w:b/>
                <w:bCs w:val="0"/>
                <w:sz w:val="18"/>
                <w:szCs w:val="18"/>
              </w:rPr>
            </w:pPr>
            <w:r w:rsidRPr="00D718AE">
              <w:rPr>
                <w:b/>
                <w:bCs w:val="0"/>
                <w:sz w:val="18"/>
                <w:szCs w:val="18"/>
              </w:rPr>
              <w:t>Jumlah</w:t>
            </w:r>
          </w:p>
        </w:tc>
        <w:tc>
          <w:tcPr>
            <w:tcW w:w="1678" w:type="dxa"/>
            <w:tcBorders>
              <w:bottom w:val="double" w:sz="4" w:space="0" w:color="auto"/>
            </w:tcBorders>
            <w:shd w:val="clear" w:color="auto" w:fill="auto"/>
            <w:vAlign w:val="bottom"/>
          </w:tcPr>
          <w:p w14:paraId="44BE5977" w14:textId="65F9A8A3" w:rsidR="00D718AE" w:rsidRPr="00A61C2B" w:rsidRDefault="00F32DFB" w:rsidP="00A61C2B">
            <w:pPr>
              <w:ind w:right="57"/>
              <w:jc w:val="right"/>
              <w:rPr>
                <w:b/>
                <w:bCs w:val="0"/>
                <w:sz w:val="18"/>
                <w:szCs w:val="18"/>
              </w:rPr>
            </w:pPr>
            <w:r w:rsidRPr="00A61C2B">
              <w:rPr>
                <w:b/>
                <w:bCs w:val="0"/>
                <w:sz w:val="18"/>
                <w:szCs w:val="18"/>
              </w:rPr>
              <w:t>156.858.349.</w:t>
            </w:r>
            <w:r w:rsidR="00A61C2B" w:rsidRPr="00A61C2B">
              <w:rPr>
                <w:b/>
                <w:bCs w:val="0"/>
                <w:sz w:val="18"/>
                <w:szCs w:val="18"/>
              </w:rPr>
              <w:t>709</w:t>
            </w:r>
          </w:p>
        </w:tc>
        <w:tc>
          <w:tcPr>
            <w:tcW w:w="112" w:type="dxa"/>
            <w:shd w:val="clear" w:color="auto" w:fill="auto"/>
            <w:vAlign w:val="bottom"/>
          </w:tcPr>
          <w:p w14:paraId="557B1467" w14:textId="77777777" w:rsidR="00D718AE" w:rsidRPr="00A61C2B" w:rsidRDefault="00D718AE" w:rsidP="0013526B">
            <w:pPr>
              <w:jc w:val="right"/>
              <w:rPr>
                <w:b/>
                <w:bCs w:val="0"/>
                <w:sz w:val="18"/>
                <w:szCs w:val="18"/>
              </w:rPr>
            </w:pPr>
          </w:p>
        </w:tc>
        <w:tc>
          <w:tcPr>
            <w:tcW w:w="1678" w:type="dxa"/>
            <w:tcBorders>
              <w:bottom w:val="double" w:sz="4" w:space="0" w:color="auto"/>
            </w:tcBorders>
            <w:shd w:val="clear" w:color="auto" w:fill="auto"/>
            <w:vAlign w:val="bottom"/>
          </w:tcPr>
          <w:p w14:paraId="6DCA9C04" w14:textId="165539EF" w:rsidR="00D718AE" w:rsidRPr="00A61C2B" w:rsidRDefault="007B7431" w:rsidP="0013526B">
            <w:pPr>
              <w:ind w:right="57"/>
              <w:jc w:val="right"/>
              <w:rPr>
                <w:b/>
                <w:bCs w:val="0"/>
                <w:sz w:val="18"/>
                <w:szCs w:val="18"/>
              </w:rPr>
            </w:pPr>
            <w:r w:rsidRPr="00A61C2B">
              <w:rPr>
                <w:b/>
                <w:bCs w:val="0"/>
                <w:sz w:val="18"/>
                <w:szCs w:val="18"/>
              </w:rPr>
              <w:t>145.817.230.489</w:t>
            </w:r>
          </w:p>
        </w:tc>
        <w:tc>
          <w:tcPr>
            <w:tcW w:w="2870" w:type="dxa"/>
            <w:shd w:val="clear" w:color="auto" w:fill="auto"/>
            <w:vAlign w:val="bottom"/>
          </w:tcPr>
          <w:p w14:paraId="10D0352D" w14:textId="668AA760" w:rsidR="00D718AE" w:rsidRPr="00D718AE" w:rsidRDefault="00D718AE" w:rsidP="0013526B">
            <w:pPr>
              <w:ind w:right="57"/>
              <w:jc w:val="right"/>
              <w:rPr>
                <w:b/>
                <w:bCs w:val="0"/>
                <w:i/>
                <w:sz w:val="18"/>
                <w:szCs w:val="18"/>
              </w:rPr>
            </w:pPr>
            <w:r>
              <w:rPr>
                <w:b/>
                <w:bCs w:val="0"/>
                <w:i/>
                <w:sz w:val="18"/>
                <w:szCs w:val="18"/>
              </w:rPr>
              <w:t>Total</w:t>
            </w:r>
          </w:p>
        </w:tc>
      </w:tr>
    </w:tbl>
    <w:p w14:paraId="24D03E3A" w14:textId="77777777" w:rsidR="000140D1" w:rsidRPr="00D718AE" w:rsidRDefault="000140D1">
      <w:pPr>
        <w:rPr>
          <w:sz w:val="10"/>
          <w:szCs w:val="10"/>
        </w:rPr>
      </w:pPr>
    </w:p>
    <w:p w14:paraId="1773F985" w14:textId="43DA4E9E" w:rsidR="00D4141B" w:rsidRDefault="00D4141B" w:rsidP="00943A87">
      <w:pPr>
        <w:jc w:val="both"/>
        <w:rPr>
          <w:sz w:val="2"/>
          <w:szCs w:val="18"/>
        </w:rPr>
      </w:pPr>
    </w:p>
    <w:tbl>
      <w:tblPr>
        <w:tblW w:w="9197" w:type="dxa"/>
        <w:tblInd w:w="108" w:type="dxa"/>
        <w:tblLayout w:type="fixed"/>
        <w:tblLook w:val="0000" w:firstRow="0" w:lastRow="0" w:firstColumn="0" w:lastColumn="0" w:noHBand="0" w:noVBand="0"/>
      </w:tblPr>
      <w:tblGrid>
        <w:gridCol w:w="4598"/>
        <w:gridCol w:w="4599"/>
      </w:tblGrid>
      <w:tr w:rsidR="00943A87" w:rsidRPr="0013526B" w14:paraId="6F9D3F24" w14:textId="77777777" w:rsidTr="00D718AE">
        <w:tc>
          <w:tcPr>
            <w:tcW w:w="4598" w:type="dxa"/>
            <w:tcBorders>
              <w:top w:val="nil"/>
              <w:left w:val="nil"/>
              <w:bottom w:val="nil"/>
              <w:right w:val="nil"/>
            </w:tcBorders>
          </w:tcPr>
          <w:p w14:paraId="65EECA88" w14:textId="3C1CB35C" w:rsidR="00943A87" w:rsidRPr="00D6169A" w:rsidRDefault="00943A87" w:rsidP="00070D1F">
            <w:pPr>
              <w:pStyle w:val="ListParagraph"/>
              <w:numPr>
                <w:ilvl w:val="0"/>
                <w:numId w:val="313"/>
              </w:numPr>
              <w:ind w:left="568" w:hanging="284"/>
              <w:jc w:val="both"/>
              <w:rPr>
                <w:sz w:val="18"/>
                <w:szCs w:val="18"/>
              </w:rPr>
            </w:pPr>
            <w:r>
              <w:rPr>
                <w:sz w:val="18"/>
                <w:szCs w:val="18"/>
              </w:rPr>
              <w:t xml:space="preserve">Berdasarkan </w:t>
            </w:r>
            <w:r w:rsidR="00D71EA4">
              <w:rPr>
                <w:sz w:val="18"/>
                <w:szCs w:val="18"/>
              </w:rPr>
              <w:t>umur</w:t>
            </w:r>
          </w:p>
        </w:tc>
        <w:tc>
          <w:tcPr>
            <w:tcW w:w="4599" w:type="dxa"/>
            <w:tcBorders>
              <w:top w:val="nil"/>
              <w:left w:val="nil"/>
              <w:bottom w:val="nil"/>
              <w:right w:val="nil"/>
            </w:tcBorders>
          </w:tcPr>
          <w:p w14:paraId="14DCA471" w14:textId="56FEE583" w:rsidR="00943A87" w:rsidRPr="00D6169A" w:rsidRDefault="00943A87" w:rsidP="00070D1F">
            <w:pPr>
              <w:pStyle w:val="ListParagraph"/>
              <w:numPr>
                <w:ilvl w:val="0"/>
                <w:numId w:val="314"/>
              </w:numPr>
              <w:ind w:left="574" w:hanging="280"/>
              <w:jc w:val="both"/>
              <w:rPr>
                <w:i/>
                <w:sz w:val="18"/>
                <w:szCs w:val="18"/>
              </w:rPr>
            </w:pPr>
            <w:r>
              <w:rPr>
                <w:i/>
                <w:sz w:val="18"/>
                <w:szCs w:val="18"/>
              </w:rPr>
              <w:t xml:space="preserve">By </w:t>
            </w:r>
            <w:r w:rsidR="00D71EA4">
              <w:rPr>
                <w:i/>
                <w:sz w:val="18"/>
                <w:szCs w:val="18"/>
              </w:rPr>
              <w:t>age</w:t>
            </w:r>
          </w:p>
        </w:tc>
      </w:tr>
    </w:tbl>
    <w:p w14:paraId="6C70C0C5" w14:textId="77777777" w:rsidR="00D4141B" w:rsidRPr="00D71B91" w:rsidRDefault="00D4141B" w:rsidP="00D71EA4">
      <w:pPr>
        <w:jc w:val="both"/>
        <w:rPr>
          <w:sz w:val="10"/>
          <w:szCs w:val="14"/>
        </w:rPr>
      </w:pPr>
    </w:p>
    <w:tbl>
      <w:tblPr>
        <w:tblW w:w="9239" w:type="dxa"/>
        <w:tblInd w:w="112" w:type="dxa"/>
        <w:tblCellMar>
          <w:left w:w="0" w:type="dxa"/>
          <w:right w:w="0" w:type="dxa"/>
        </w:tblCellMar>
        <w:tblLook w:val="04A0" w:firstRow="1" w:lastRow="0" w:firstColumn="1" w:lastColumn="0" w:noHBand="0" w:noVBand="1"/>
      </w:tblPr>
      <w:tblGrid>
        <w:gridCol w:w="2876"/>
        <w:gridCol w:w="1689"/>
        <w:gridCol w:w="109"/>
        <w:gridCol w:w="1689"/>
        <w:gridCol w:w="2876"/>
      </w:tblGrid>
      <w:tr w:rsidR="00C66E38" w:rsidRPr="0013526B" w14:paraId="45590FFC" w14:textId="77777777" w:rsidTr="00C66E38">
        <w:tc>
          <w:tcPr>
            <w:tcW w:w="2876" w:type="dxa"/>
            <w:shd w:val="clear" w:color="auto" w:fill="auto"/>
            <w:vAlign w:val="bottom"/>
          </w:tcPr>
          <w:p w14:paraId="3CA03F2D" w14:textId="77777777" w:rsidR="00C66E38" w:rsidRPr="0013526B" w:rsidRDefault="00C66E38" w:rsidP="00C66E38">
            <w:pPr>
              <w:rPr>
                <w:sz w:val="18"/>
                <w:szCs w:val="18"/>
              </w:rPr>
            </w:pPr>
          </w:p>
        </w:tc>
        <w:tc>
          <w:tcPr>
            <w:tcW w:w="1689" w:type="dxa"/>
            <w:tcBorders>
              <w:bottom w:val="single" w:sz="4" w:space="0" w:color="auto"/>
            </w:tcBorders>
            <w:shd w:val="clear" w:color="auto" w:fill="auto"/>
          </w:tcPr>
          <w:p w14:paraId="697FD511" w14:textId="77777777" w:rsidR="00C66E38" w:rsidRDefault="00C66E38" w:rsidP="00C66E38">
            <w:pPr>
              <w:jc w:val="center"/>
              <w:rPr>
                <w:b/>
                <w:sz w:val="18"/>
                <w:szCs w:val="18"/>
              </w:rPr>
            </w:pPr>
            <w:r>
              <w:rPr>
                <w:b/>
                <w:sz w:val="18"/>
                <w:szCs w:val="18"/>
              </w:rPr>
              <w:t>31 Maret/</w:t>
            </w:r>
          </w:p>
          <w:p w14:paraId="6AA473B1" w14:textId="2AAF58C3" w:rsidR="00C66E38" w:rsidRPr="0013526B" w:rsidRDefault="00C66E38" w:rsidP="00F32DFB">
            <w:pPr>
              <w:jc w:val="center"/>
              <w:rPr>
                <w:b/>
                <w:sz w:val="18"/>
                <w:szCs w:val="18"/>
              </w:rPr>
            </w:pPr>
            <w:r>
              <w:rPr>
                <w:b/>
                <w:sz w:val="18"/>
                <w:szCs w:val="18"/>
              </w:rPr>
              <w:t>March 31</w:t>
            </w:r>
            <w:r w:rsidR="00F32DFB">
              <w:rPr>
                <w:b/>
                <w:sz w:val="18"/>
                <w:szCs w:val="18"/>
              </w:rPr>
              <w:t>.</w:t>
            </w:r>
            <w:r>
              <w:rPr>
                <w:b/>
                <w:sz w:val="18"/>
                <w:szCs w:val="18"/>
              </w:rPr>
              <w:t xml:space="preserve"> 2020</w:t>
            </w:r>
          </w:p>
        </w:tc>
        <w:tc>
          <w:tcPr>
            <w:tcW w:w="109" w:type="dxa"/>
            <w:shd w:val="clear" w:color="auto" w:fill="auto"/>
          </w:tcPr>
          <w:p w14:paraId="41F73F0B" w14:textId="77777777" w:rsidR="00C66E38" w:rsidRPr="0013526B" w:rsidRDefault="00C66E38" w:rsidP="00C66E38">
            <w:pPr>
              <w:rPr>
                <w:b/>
                <w:sz w:val="18"/>
                <w:szCs w:val="18"/>
              </w:rPr>
            </w:pPr>
          </w:p>
        </w:tc>
        <w:tc>
          <w:tcPr>
            <w:tcW w:w="1689" w:type="dxa"/>
            <w:tcBorders>
              <w:bottom w:val="single" w:sz="4" w:space="0" w:color="auto"/>
            </w:tcBorders>
          </w:tcPr>
          <w:p w14:paraId="6F061A2C" w14:textId="77777777" w:rsidR="00C66E38" w:rsidRDefault="00C66E38" w:rsidP="00C66E38">
            <w:pPr>
              <w:jc w:val="center"/>
              <w:rPr>
                <w:b/>
                <w:sz w:val="18"/>
                <w:szCs w:val="18"/>
              </w:rPr>
            </w:pPr>
            <w:r>
              <w:rPr>
                <w:b/>
                <w:sz w:val="18"/>
                <w:szCs w:val="18"/>
              </w:rPr>
              <w:t>31 Desember/</w:t>
            </w:r>
          </w:p>
          <w:p w14:paraId="453A587F" w14:textId="420904B9" w:rsidR="00C66E38" w:rsidRPr="0013526B" w:rsidRDefault="00C66E38" w:rsidP="00F32DFB">
            <w:pPr>
              <w:jc w:val="center"/>
              <w:rPr>
                <w:b/>
                <w:sz w:val="18"/>
                <w:szCs w:val="18"/>
              </w:rPr>
            </w:pPr>
            <w:r>
              <w:rPr>
                <w:b/>
                <w:sz w:val="18"/>
                <w:szCs w:val="18"/>
              </w:rPr>
              <w:t>December 31</w:t>
            </w:r>
            <w:r w:rsidR="00F32DFB">
              <w:rPr>
                <w:b/>
                <w:sz w:val="18"/>
                <w:szCs w:val="18"/>
              </w:rPr>
              <w:t>.</w:t>
            </w:r>
            <w:r>
              <w:rPr>
                <w:b/>
                <w:sz w:val="18"/>
                <w:szCs w:val="18"/>
              </w:rPr>
              <w:t xml:space="preserve"> </w:t>
            </w:r>
            <w:r w:rsidRPr="0013526B">
              <w:rPr>
                <w:b/>
                <w:sz w:val="18"/>
                <w:szCs w:val="18"/>
              </w:rPr>
              <w:t>201</w:t>
            </w:r>
            <w:r>
              <w:rPr>
                <w:b/>
                <w:sz w:val="18"/>
                <w:szCs w:val="18"/>
              </w:rPr>
              <w:t>9</w:t>
            </w:r>
          </w:p>
        </w:tc>
        <w:tc>
          <w:tcPr>
            <w:tcW w:w="2876" w:type="dxa"/>
            <w:shd w:val="clear" w:color="auto" w:fill="auto"/>
            <w:vAlign w:val="bottom"/>
          </w:tcPr>
          <w:p w14:paraId="6A61CF42" w14:textId="77777777" w:rsidR="00C66E38" w:rsidRPr="0013526B" w:rsidRDefault="00C66E38" w:rsidP="00C66E38">
            <w:pPr>
              <w:jc w:val="right"/>
              <w:rPr>
                <w:sz w:val="18"/>
                <w:szCs w:val="18"/>
              </w:rPr>
            </w:pPr>
          </w:p>
        </w:tc>
      </w:tr>
      <w:tr w:rsidR="009960FF" w:rsidRPr="0013526B" w14:paraId="5F799CE9" w14:textId="77777777" w:rsidTr="00C66E38">
        <w:tc>
          <w:tcPr>
            <w:tcW w:w="2876" w:type="dxa"/>
            <w:shd w:val="clear" w:color="auto" w:fill="auto"/>
            <w:vAlign w:val="bottom"/>
          </w:tcPr>
          <w:p w14:paraId="04C71DCD" w14:textId="77777777" w:rsidR="00B10D64" w:rsidRPr="0088482C" w:rsidRDefault="00B10D64" w:rsidP="0013526B">
            <w:pPr>
              <w:rPr>
                <w:sz w:val="12"/>
                <w:szCs w:val="18"/>
              </w:rPr>
            </w:pPr>
          </w:p>
        </w:tc>
        <w:tc>
          <w:tcPr>
            <w:tcW w:w="1689" w:type="dxa"/>
            <w:tcBorders>
              <w:top w:val="single" w:sz="4" w:space="0" w:color="auto"/>
            </w:tcBorders>
            <w:shd w:val="clear" w:color="auto" w:fill="auto"/>
            <w:vAlign w:val="bottom"/>
          </w:tcPr>
          <w:p w14:paraId="65CF007C" w14:textId="77777777" w:rsidR="00B10D64" w:rsidRPr="0088482C" w:rsidRDefault="00B10D64" w:rsidP="0013526B">
            <w:pPr>
              <w:jc w:val="right"/>
              <w:rPr>
                <w:sz w:val="12"/>
                <w:szCs w:val="18"/>
              </w:rPr>
            </w:pPr>
          </w:p>
        </w:tc>
        <w:tc>
          <w:tcPr>
            <w:tcW w:w="109" w:type="dxa"/>
            <w:shd w:val="clear" w:color="auto" w:fill="auto"/>
            <w:vAlign w:val="bottom"/>
          </w:tcPr>
          <w:p w14:paraId="51528C08" w14:textId="77777777" w:rsidR="00B10D64" w:rsidRPr="0088482C" w:rsidRDefault="00B10D64" w:rsidP="0013526B">
            <w:pPr>
              <w:jc w:val="right"/>
              <w:rPr>
                <w:sz w:val="12"/>
                <w:szCs w:val="18"/>
              </w:rPr>
            </w:pPr>
          </w:p>
        </w:tc>
        <w:tc>
          <w:tcPr>
            <w:tcW w:w="1689" w:type="dxa"/>
            <w:tcBorders>
              <w:top w:val="single" w:sz="4" w:space="0" w:color="auto"/>
            </w:tcBorders>
            <w:vAlign w:val="bottom"/>
          </w:tcPr>
          <w:p w14:paraId="66D2F9D4" w14:textId="77777777" w:rsidR="00B10D64" w:rsidRPr="0088482C" w:rsidRDefault="00B10D64" w:rsidP="0013526B">
            <w:pPr>
              <w:jc w:val="right"/>
              <w:rPr>
                <w:sz w:val="12"/>
                <w:szCs w:val="18"/>
              </w:rPr>
            </w:pPr>
          </w:p>
        </w:tc>
        <w:tc>
          <w:tcPr>
            <w:tcW w:w="2876" w:type="dxa"/>
            <w:shd w:val="clear" w:color="auto" w:fill="auto"/>
            <w:vAlign w:val="bottom"/>
          </w:tcPr>
          <w:p w14:paraId="46C71B92" w14:textId="77777777" w:rsidR="00B10D64" w:rsidRPr="0088482C" w:rsidRDefault="00B10D64" w:rsidP="0013526B">
            <w:pPr>
              <w:jc w:val="right"/>
              <w:rPr>
                <w:sz w:val="12"/>
                <w:szCs w:val="18"/>
              </w:rPr>
            </w:pPr>
          </w:p>
        </w:tc>
      </w:tr>
      <w:tr w:rsidR="009960FF" w:rsidRPr="0013526B" w14:paraId="4B33F673" w14:textId="77777777" w:rsidTr="00C66E38">
        <w:tc>
          <w:tcPr>
            <w:tcW w:w="2876" w:type="dxa"/>
            <w:shd w:val="clear" w:color="auto" w:fill="auto"/>
          </w:tcPr>
          <w:p w14:paraId="57856D8F" w14:textId="5037C87E" w:rsidR="00B10D64" w:rsidRPr="0013526B" w:rsidRDefault="00D71EA4" w:rsidP="009B16B0">
            <w:pPr>
              <w:ind w:left="686"/>
              <w:rPr>
                <w:sz w:val="18"/>
                <w:szCs w:val="18"/>
              </w:rPr>
            </w:pPr>
            <w:r>
              <w:rPr>
                <w:sz w:val="18"/>
                <w:szCs w:val="18"/>
              </w:rPr>
              <w:t>Belum jatuh tempo</w:t>
            </w:r>
          </w:p>
        </w:tc>
        <w:tc>
          <w:tcPr>
            <w:tcW w:w="1689" w:type="dxa"/>
            <w:shd w:val="clear" w:color="auto" w:fill="auto"/>
            <w:vAlign w:val="bottom"/>
          </w:tcPr>
          <w:p w14:paraId="34C8FBC3" w14:textId="214466D0" w:rsidR="00B10D64" w:rsidRPr="002F012D" w:rsidRDefault="00091DE4" w:rsidP="008F7E35">
            <w:pPr>
              <w:ind w:right="57"/>
              <w:jc w:val="right"/>
              <w:rPr>
                <w:sz w:val="18"/>
                <w:szCs w:val="18"/>
              </w:rPr>
            </w:pPr>
            <w:r w:rsidRPr="002F012D">
              <w:rPr>
                <w:sz w:val="18"/>
                <w:szCs w:val="18"/>
              </w:rPr>
              <w:t>92,901,408,</w:t>
            </w:r>
            <w:r w:rsidR="008F7E35">
              <w:rPr>
                <w:sz w:val="18"/>
                <w:szCs w:val="18"/>
              </w:rPr>
              <w:t>319</w:t>
            </w:r>
          </w:p>
        </w:tc>
        <w:tc>
          <w:tcPr>
            <w:tcW w:w="109" w:type="dxa"/>
            <w:shd w:val="clear" w:color="auto" w:fill="auto"/>
            <w:vAlign w:val="bottom"/>
          </w:tcPr>
          <w:p w14:paraId="1D6F4880" w14:textId="77777777" w:rsidR="00B10D64" w:rsidRPr="00C66E38" w:rsidRDefault="00B10D64" w:rsidP="0013526B">
            <w:pPr>
              <w:jc w:val="right"/>
              <w:rPr>
                <w:sz w:val="18"/>
                <w:szCs w:val="18"/>
                <w:highlight w:val="green"/>
              </w:rPr>
            </w:pPr>
          </w:p>
        </w:tc>
        <w:tc>
          <w:tcPr>
            <w:tcW w:w="1689" w:type="dxa"/>
            <w:vAlign w:val="bottom"/>
          </w:tcPr>
          <w:p w14:paraId="513D161D" w14:textId="142AF12B" w:rsidR="00B10D64" w:rsidRPr="004A2301" w:rsidRDefault="007B7431" w:rsidP="0013526B">
            <w:pPr>
              <w:ind w:right="57"/>
              <w:jc w:val="right"/>
              <w:rPr>
                <w:sz w:val="18"/>
                <w:szCs w:val="18"/>
              </w:rPr>
            </w:pPr>
            <w:r w:rsidRPr="004A2301">
              <w:rPr>
                <w:sz w:val="18"/>
                <w:szCs w:val="18"/>
              </w:rPr>
              <w:t>84.779.174.433</w:t>
            </w:r>
          </w:p>
        </w:tc>
        <w:tc>
          <w:tcPr>
            <w:tcW w:w="2876" w:type="dxa"/>
            <w:shd w:val="clear" w:color="auto" w:fill="auto"/>
          </w:tcPr>
          <w:p w14:paraId="2F86388B" w14:textId="4C22A881" w:rsidR="00B10D64" w:rsidRPr="0013526B" w:rsidRDefault="00D71EA4" w:rsidP="00853200">
            <w:pPr>
              <w:pStyle w:val="BodyTextIndent3"/>
              <w:tabs>
                <w:tab w:val="left" w:pos="336"/>
              </w:tabs>
              <w:ind w:left="336" w:right="148" w:hanging="406"/>
              <w:jc w:val="right"/>
              <w:rPr>
                <w:i/>
                <w:sz w:val="18"/>
                <w:szCs w:val="18"/>
                <w:lang w:val="en-US"/>
              </w:rPr>
            </w:pPr>
            <w:r>
              <w:rPr>
                <w:i/>
                <w:sz w:val="18"/>
                <w:szCs w:val="18"/>
                <w:lang w:val="en-US"/>
              </w:rPr>
              <w:t>Not yet due</w:t>
            </w:r>
          </w:p>
        </w:tc>
      </w:tr>
      <w:tr w:rsidR="009960FF" w:rsidRPr="0013526B" w14:paraId="2E8F45D9" w14:textId="77777777" w:rsidTr="00C66E38">
        <w:tc>
          <w:tcPr>
            <w:tcW w:w="2876" w:type="dxa"/>
            <w:shd w:val="clear" w:color="auto" w:fill="auto"/>
          </w:tcPr>
          <w:p w14:paraId="23827E55" w14:textId="0713577A" w:rsidR="00B10D64" w:rsidRPr="0013526B" w:rsidRDefault="00D71EA4" w:rsidP="009B16B0">
            <w:pPr>
              <w:ind w:left="686"/>
              <w:rPr>
                <w:sz w:val="18"/>
                <w:szCs w:val="18"/>
              </w:rPr>
            </w:pPr>
            <w:r>
              <w:rPr>
                <w:sz w:val="18"/>
                <w:szCs w:val="18"/>
              </w:rPr>
              <w:t>Sudah jatuh tempo</w:t>
            </w:r>
          </w:p>
        </w:tc>
        <w:tc>
          <w:tcPr>
            <w:tcW w:w="1689" w:type="dxa"/>
            <w:shd w:val="clear" w:color="auto" w:fill="auto"/>
            <w:vAlign w:val="bottom"/>
          </w:tcPr>
          <w:p w14:paraId="60355393" w14:textId="2A12EBD2" w:rsidR="00B10D64" w:rsidRPr="002F012D" w:rsidRDefault="00B10D64" w:rsidP="0013526B">
            <w:pPr>
              <w:ind w:right="57"/>
              <w:jc w:val="right"/>
              <w:rPr>
                <w:sz w:val="18"/>
                <w:szCs w:val="18"/>
              </w:rPr>
            </w:pPr>
          </w:p>
        </w:tc>
        <w:tc>
          <w:tcPr>
            <w:tcW w:w="109" w:type="dxa"/>
            <w:shd w:val="clear" w:color="auto" w:fill="auto"/>
            <w:vAlign w:val="bottom"/>
          </w:tcPr>
          <w:p w14:paraId="78D4204A" w14:textId="77777777" w:rsidR="00B10D64" w:rsidRPr="00C66E38" w:rsidRDefault="00B10D64" w:rsidP="0013526B">
            <w:pPr>
              <w:jc w:val="right"/>
              <w:rPr>
                <w:sz w:val="18"/>
                <w:szCs w:val="18"/>
                <w:highlight w:val="green"/>
              </w:rPr>
            </w:pPr>
          </w:p>
        </w:tc>
        <w:tc>
          <w:tcPr>
            <w:tcW w:w="1689" w:type="dxa"/>
            <w:vAlign w:val="bottom"/>
          </w:tcPr>
          <w:p w14:paraId="7CE7BAAE" w14:textId="05A5B6DC" w:rsidR="00B10D64" w:rsidRPr="004A2301" w:rsidRDefault="00B10D64" w:rsidP="0013526B">
            <w:pPr>
              <w:ind w:right="57"/>
              <w:jc w:val="right"/>
              <w:rPr>
                <w:sz w:val="18"/>
                <w:szCs w:val="18"/>
              </w:rPr>
            </w:pPr>
          </w:p>
        </w:tc>
        <w:tc>
          <w:tcPr>
            <w:tcW w:w="2876" w:type="dxa"/>
            <w:shd w:val="clear" w:color="auto" w:fill="auto"/>
          </w:tcPr>
          <w:p w14:paraId="60F19288" w14:textId="68A73101" w:rsidR="00B10D64" w:rsidRPr="0013526B" w:rsidRDefault="00D71EA4" w:rsidP="00853200">
            <w:pPr>
              <w:pStyle w:val="BodyTextIndent3"/>
              <w:tabs>
                <w:tab w:val="left" w:pos="336"/>
              </w:tabs>
              <w:ind w:left="336" w:right="148" w:hanging="406"/>
              <w:jc w:val="right"/>
              <w:rPr>
                <w:i/>
                <w:sz w:val="18"/>
                <w:szCs w:val="18"/>
                <w:lang w:val="en-US"/>
              </w:rPr>
            </w:pPr>
            <w:r>
              <w:rPr>
                <w:i/>
                <w:sz w:val="18"/>
                <w:szCs w:val="18"/>
                <w:lang w:val="en-US"/>
              </w:rPr>
              <w:t>Past due</w:t>
            </w:r>
          </w:p>
        </w:tc>
      </w:tr>
      <w:tr w:rsidR="007B7431" w:rsidRPr="0013526B" w14:paraId="282CC8D9" w14:textId="77777777" w:rsidTr="00C66E38">
        <w:trPr>
          <w:trHeight w:val="210"/>
        </w:trPr>
        <w:tc>
          <w:tcPr>
            <w:tcW w:w="2876" w:type="dxa"/>
            <w:shd w:val="clear" w:color="auto" w:fill="auto"/>
          </w:tcPr>
          <w:p w14:paraId="49775286" w14:textId="1540E45E" w:rsidR="007B7431" w:rsidRPr="0013526B" w:rsidRDefault="007B7431" w:rsidP="007B7431">
            <w:pPr>
              <w:ind w:left="882"/>
              <w:jc w:val="both"/>
              <w:rPr>
                <w:sz w:val="18"/>
                <w:szCs w:val="18"/>
              </w:rPr>
            </w:pPr>
            <w:r>
              <w:rPr>
                <w:sz w:val="18"/>
                <w:szCs w:val="18"/>
              </w:rPr>
              <w:t>1 s/d 30 hari</w:t>
            </w:r>
          </w:p>
        </w:tc>
        <w:tc>
          <w:tcPr>
            <w:tcW w:w="1689" w:type="dxa"/>
            <w:shd w:val="clear" w:color="auto" w:fill="auto"/>
            <w:vAlign w:val="bottom"/>
          </w:tcPr>
          <w:p w14:paraId="01A5BD78" w14:textId="2BFDCE60" w:rsidR="007B7431" w:rsidRPr="002F012D" w:rsidRDefault="00091DE4" w:rsidP="007B7431">
            <w:pPr>
              <w:ind w:right="57"/>
              <w:jc w:val="right"/>
              <w:rPr>
                <w:sz w:val="18"/>
                <w:szCs w:val="18"/>
              </w:rPr>
            </w:pPr>
            <w:r w:rsidRPr="002F012D">
              <w:rPr>
                <w:sz w:val="18"/>
                <w:szCs w:val="18"/>
              </w:rPr>
              <w:t>22,309,200,057</w:t>
            </w:r>
          </w:p>
        </w:tc>
        <w:tc>
          <w:tcPr>
            <w:tcW w:w="109" w:type="dxa"/>
            <w:shd w:val="clear" w:color="auto" w:fill="auto"/>
            <w:vAlign w:val="bottom"/>
          </w:tcPr>
          <w:p w14:paraId="4E624F74" w14:textId="77777777" w:rsidR="007B7431" w:rsidRPr="00C66E38" w:rsidRDefault="007B7431" w:rsidP="007B7431">
            <w:pPr>
              <w:jc w:val="right"/>
              <w:rPr>
                <w:sz w:val="18"/>
                <w:szCs w:val="18"/>
                <w:highlight w:val="green"/>
              </w:rPr>
            </w:pPr>
          </w:p>
        </w:tc>
        <w:tc>
          <w:tcPr>
            <w:tcW w:w="1689" w:type="dxa"/>
            <w:vAlign w:val="bottom"/>
          </w:tcPr>
          <w:p w14:paraId="2C8EEB16" w14:textId="0CF20A31" w:rsidR="007B7431" w:rsidRPr="004A2301" w:rsidRDefault="007B7431" w:rsidP="007B7431">
            <w:pPr>
              <w:ind w:right="57"/>
              <w:jc w:val="right"/>
              <w:rPr>
                <w:sz w:val="18"/>
                <w:szCs w:val="18"/>
              </w:rPr>
            </w:pPr>
            <w:r w:rsidRPr="004A2301">
              <w:rPr>
                <w:sz w:val="18"/>
                <w:szCs w:val="18"/>
              </w:rPr>
              <w:t>26.925.307.664</w:t>
            </w:r>
          </w:p>
        </w:tc>
        <w:tc>
          <w:tcPr>
            <w:tcW w:w="2876" w:type="dxa"/>
            <w:shd w:val="clear" w:color="auto" w:fill="auto"/>
          </w:tcPr>
          <w:p w14:paraId="01DD770C" w14:textId="0C05F31E" w:rsidR="007B7431" w:rsidRPr="00D71EA4" w:rsidRDefault="007B7431" w:rsidP="007B7431">
            <w:pPr>
              <w:pStyle w:val="BodyTextIndent3"/>
              <w:tabs>
                <w:tab w:val="left" w:pos="336"/>
              </w:tabs>
              <w:ind w:left="336" w:right="416" w:hanging="406"/>
              <w:jc w:val="right"/>
              <w:rPr>
                <w:i/>
                <w:sz w:val="18"/>
                <w:szCs w:val="18"/>
                <w:lang w:val="en-US"/>
              </w:rPr>
            </w:pPr>
            <w:r w:rsidRPr="00D71EA4">
              <w:rPr>
                <w:i/>
                <w:sz w:val="18"/>
                <w:szCs w:val="18"/>
              </w:rPr>
              <w:t xml:space="preserve">1 </w:t>
            </w:r>
            <w:r>
              <w:rPr>
                <w:i/>
                <w:sz w:val="18"/>
                <w:szCs w:val="18"/>
              </w:rPr>
              <w:t>until</w:t>
            </w:r>
            <w:r w:rsidRPr="00D71EA4">
              <w:rPr>
                <w:i/>
                <w:sz w:val="18"/>
                <w:szCs w:val="18"/>
              </w:rPr>
              <w:t xml:space="preserve"> 30 </w:t>
            </w:r>
            <w:r>
              <w:rPr>
                <w:i/>
                <w:sz w:val="18"/>
                <w:szCs w:val="18"/>
              </w:rPr>
              <w:t>days</w:t>
            </w:r>
          </w:p>
        </w:tc>
      </w:tr>
      <w:tr w:rsidR="007B7431" w:rsidRPr="0013526B" w14:paraId="6437CA4F" w14:textId="77777777" w:rsidTr="00C66E38">
        <w:trPr>
          <w:trHeight w:val="210"/>
        </w:trPr>
        <w:tc>
          <w:tcPr>
            <w:tcW w:w="2876" w:type="dxa"/>
            <w:shd w:val="clear" w:color="auto" w:fill="auto"/>
          </w:tcPr>
          <w:p w14:paraId="5921FD3B" w14:textId="21087FCB" w:rsidR="007B7431" w:rsidRPr="0013526B" w:rsidRDefault="007B7431" w:rsidP="007B7431">
            <w:pPr>
              <w:ind w:left="882"/>
              <w:jc w:val="both"/>
              <w:rPr>
                <w:sz w:val="18"/>
                <w:szCs w:val="18"/>
              </w:rPr>
            </w:pPr>
            <w:r>
              <w:rPr>
                <w:sz w:val="18"/>
                <w:szCs w:val="18"/>
              </w:rPr>
              <w:t>31 s/d 60 hari</w:t>
            </w:r>
          </w:p>
        </w:tc>
        <w:tc>
          <w:tcPr>
            <w:tcW w:w="1689" w:type="dxa"/>
            <w:shd w:val="clear" w:color="auto" w:fill="auto"/>
            <w:vAlign w:val="bottom"/>
          </w:tcPr>
          <w:p w14:paraId="07FCAD75" w14:textId="1DAD584E" w:rsidR="007B7431" w:rsidRPr="002F012D" w:rsidRDefault="00091DE4" w:rsidP="007B7431">
            <w:pPr>
              <w:ind w:right="57"/>
              <w:jc w:val="right"/>
              <w:rPr>
                <w:sz w:val="18"/>
                <w:szCs w:val="18"/>
              </w:rPr>
            </w:pPr>
            <w:r w:rsidRPr="002F012D">
              <w:rPr>
                <w:sz w:val="18"/>
                <w:szCs w:val="18"/>
              </w:rPr>
              <w:t>15,781,465,969</w:t>
            </w:r>
          </w:p>
        </w:tc>
        <w:tc>
          <w:tcPr>
            <w:tcW w:w="109" w:type="dxa"/>
            <w:shd w:val="clear" w:color="auto" w:fill="auto"/>
            <w:vAlign w:val="bottom"/>
          </w:tcPr>
          <w:p w14:paraId="03972000" w14:textId="77777777" w:rsidR="007B7431" w:rsidRPr="00C66E38" w:rsidRDefault="007B7431" w:rsidP="007B7431">
            <w:pPr>
              <w:jc w:val="right"/>
              <w:rPr>
                <w:sz w:val="18"/>
                <w:szCs w:val="18"/>
                <w:highlight w:val="green"/>
              </w:rPr>
            </w:pPr>
          </w:p>
        </w:tc>
        <w:tc>
          <w:tcPr>
            <w:tcW w:w="1689" w:type="dxa"/>
            <w:vAlign w:val="bottom"/>
          </w:tcPr>
          <w:p w14:paraId="57B33FD8" w14:textId="3EB4D436" w:rsidR="007B7431" w:rsidRPr="004A2301" w:rsidRDefault="007B7431" w:rsidP="007B7431">
            <w:pPr>
              <w:ind w:right="57"/>
              <w:jc w:val="right"/>
              <w:rPr>
                <w:sz w:val="18"/>
                <w:szCs w:val="18"/>
              </w:rPr>
            </w:pPr>
            <w:r w:rsidRPr="004A2301">
              <w:rPr>
                <w:sz w:val="18"/>
                <w:szCs w:val="18"/>
              </w:rPr>
              <w:t>11.496.927.844</w:t>
            </w:r>
          </w:p>
        </w:tc>
        <w:tc>
          <w:tcPr>
            <w:tcW w:w="2876" w:type="dxa"/>
            <w:shd w:val="clear" w:color="auto" w:fill="auto"/>
          </w:tcPr>
          <w:p w14:paraId="12A522E1" w14:textId="77232D09" w:rsidR="007B7431" w:rsidRPr="00D71EA4" w:rsidRDefault="007B7431" w:rsidP="007B7431">
            <w:pPr>
              <w:pStyle w:val="BodyTextIndent3"/>
              <w:tabs>
                <w:tab w:val="left" w:pos="336"/>
              </w:tabs>
              <w:ind w:left="336" w:right="416" w:hanging="406"/>
              <w:jc w:val="right"/>
              <w:rPr>
                <w:i/>
                <w:sz w:val="18"/>
                <w:szCs w:val="18"/>
              </w:rPr>
            </w:pPr>
            <w:r w:rsidRPr="00D71EA4">
              <w:rPr>
                <w:i/>
                <w:sz w:val="18"/>
                <w:szCs w:val="18"/>
              </w:rPr>
              <w:t xml:space="preserve">31 </w:t>
            </w:r>
            <w:r>
              <w:rPr>
                <w:i/>
                <w:sz w:val="18"/>
                <w:szCs w:val="18"/>
              </w:rPr>
              <w:t>until</w:t>
            </w:r>
            <w:r w:rsidRPr="00D71EA4">
              <w:rPr>
                <w:i/>
                <w:sz w:val="18"/>
                <w:szCs w:val="18"/>
              </w:rPr>
              <w:t xml:space="preserve"> 60 </w:t>
            </w:r>
            <w:r>
              <w:rPr>
                <w:i/>
                <w:sz w:val="18"/>
                <w:szCs w:val="18"/>
              </w:rPr>
              <w:t>days</w:t>
            </w:r>
          </w:p>
        </w:tc>
      </w:tr>
      <w:tr w:rsidR="007B7431" w:rsidRPr="0013526B" w14:paraId="4098051F" w14:textId="77777777" w:rsidTr="00C66E38">
        <w:tc>
          <w:tcPr>
            <w:tcW w:w="2876" w:type="dxa"/>
            <w:shd w:val="clear" w:color="auto" w:fill="auto"/>
          </w:tcPr>
          <w:p w14:paraId="4B5917DC" w14:textId="5E1B46DE" w:rsidR="007B7431" w:rsidRPr="0013526B" w:rsidRDefault="007B7431" w:rsidP="007B7431">
            <w:pPr>
              <w:ind w:left="882"/>
              <w:jc w:val="both"/>
              <w:rPr>
                <w:sz w:val="18"/>
                <w:szCs w:val="18"/>
              </w:rPr>
            </w:pPr>
            <w:r>
              <w:rPr>
                <w:sz w:val="18"/>
                <w:szCs w:val="18"/>
              </w:rPr>
              <w:t>&gt;60 hari</w:t>
            </w:r>
          </w:p>
        </w:tc>
        <w:tc>
          <w:tcPr>
            <w:tcW w:w="1689" w:type="dxa"/>
            <w:shd w:val="clear" w:color="auto" w:fill="auto"/>
            <w:vAlign w:val="bottom"/>
          </w:tcPr>
          <w:p w14:paraId="33F520A0" w14:textId="499179FE" w:rsidR="007B7431" w:rsidRPr="002F012D" w:rsidRDefault="00091DE4" w:rsidP="007B7431">
            <w:pPr>
              <w:ind w:right="57"/>
              <w:jc w:val="right"/>
              <w:rPr>
                <w:sz w:val="18"/>
                <w:szCs w:val="18"/>
              </w:rPr>
            </w:pPr>
            <w:r w:rsidRPr="002F012D">
              <w:rPr>
                <w:sz w:val="18"/>
                <w:szCs w:val="18"/>
              </w:rPr>
              <w:t>25,866,275,36</w:t>
            </w:r>
            <w:r w:rsidR="009021C4" w:rsidRPr="002F012D">
              <w:rPr>
                <w:sz w:val="18"/>
                <w:szCs w:val="18"/>
              </w:rPr>
              <w:t>4</w:t>
            </w:r>
          </w:p>
        </w:tc>
        <w:tc>
          <w:tcPr>
            <w:tcW w:w="109" w:type="dxa"/>
            <w:shd w:val="clear" w:color="auto" w:fill="auto"/>
            <w:vAlign w:val="bottom"/>
          </w:tcPr>
          <w:p w14:paraId="5DF15B76" w14:textId="77777777" w:rsidR="007B7431" w:rsidRPr="00C66E38" w:rsidRDefault="007B7431" w:rsidP="007B7431">
            <w:pPr>
              <w:jc w:val="right"/>
              <w:rPr>
                <w:sz w:val="18"/>
                <w:szCs w:val="18"/>
                <w:highlight w:val="green"/>
              </w:rPr>
            </w:pPr>
          </w:p>
        </w:tc>
        <w:tc>
          <w:tcPr>
            <w:tcW w:w="1689" w:type="dxa"/>
            <w:vAlign w:val="bottom"/>
          </w:tcPr>
          <w:p w14:paraId="0F4EA6B2" w14:textId="7709AF25" w:rsidR="007B7431" w:rsidRPr="004A2301" w:rsidRDefault="007B7431" w:rsidP="007B7431">
            <w:pPr>
              <w:ind w:right="57"/>
              <w:jc w:val="right"/>
              <w:rPr>
                <w:sz w:val="18"/>
                <w:szCs w:val="18"/>
              </w:rPr>
            </w:pPr>
            <w:r w:rsidRPr="004A2301">
              <w:rPr>
                <w:sz w:val="18"/>
                <w:szCs w:val="18"/>
              </w:rPr>
              <w:t>22.615.820.548</w:t>
            </w:r>
          </w:p>
        </w:tc>
        <w:tc>
          <w:tcPr>
            <w:tcW w:w="2876" w:type="dxa"/>
            <w:shd w:val="clear" w:color="auto" w:fill="auto"/>
          </w:tcPr>
          <w:p w14:paraId="575DB28F" w14:textId="046C2592" w:rsidR="007B7431" w:rsidRPr="00D71EA4" w:rsidRDefault="007B7431" w:rsidP="007B7431">
            <w:pPr>
              <w:pStyle w:val="BodyTextIndent3"/>
              <w:tabs>
                <w:tab w:val="left" w:pos="336"/>
              </w:tabs>
              <w:ind w:left="336" w:right="416" w:hanging="406"/>
              <w:jc w:val="right"/>
              <w:rPr>
                <w:i/>
                <w:sz w:val="18"/>
                <w:szCs w:val="18"/>
              </w:rPr>
            </w:pPr>
            <w:r w:rsidRPr="00D71EA4">
              <w:rPr>
                <w:i/>
                <w:sz w:val="18"/>
                <w:szCs w:val="18"/>
              </w:rPr>
              <w:t xml:space="preserve">&gt;60 </w:t>
            </w:r>
            <w:r>
              <w:rPr>
                <w:i/>
                <w:sz w:val="18"/>
                <w:szCs w:val="18"/>
              </w:rPr>
              <w:t>days</w:t>
            </w:r>
          </w:p>
        </w:tc>
      </w:tr>
      <w:tr w:rsidR="009960FF" w:rsidRPr="0013526B" w14:paraId="0FF96CD3" w14:textId="77777777" w:rsidTr="00C66E38">
        <w:tc>
          <w:tcPr>
            <w:tcW w:w="2876" w:type="dxa"/>
            <w:shd w:val="clear" w:color="auto" w:fill="auto"/>
            <w:vAlign w:val="bottom"/>
          </w:tcPr>
          <w:p w14:paraId="230942B1" w14:textId="77777777" w:rsidR="00D71EA4" w:rsidRPr="002C6284" w:rsidRDefault="00D71EA4" w:rsidP="003D05B9">
            <w:pPr>
              <w:ind w:left="461"/>
              <w:rPr>
                <w:sz w:val="12"/>
                <w:szCs w:val="18"/>
              </w:rPr>
            </w:pPr>
          </w:p>
        </w:tc>
        <w:tc>
          <w:tcPr>
            <w:tcW w:w="1689" w:type="dxa"/>
            <w:tcBorders>
              <w:top w:val="single" w:sz="4" w:space="0" w:color="auto"/>
            </w:tcBorders>
            <w:shd w:val="clear" w:color="auto" w:fill="auto"/>
            <w:vAlign w:val="bottom"/>
          </w:tcPr>
          <w:p w14:paraId="35503E44" w14:textId="77777777" w:rsidR="00D71EA4" w:rsidRPr="002F012D" w:rsidRDefault="00D71EA4" w:rsidP="0088482C">
            <w:pPr>
              <w:ind w:right="57"/>
              <w:jc w:val="right"/>
              <w:rPr>
                <w:sz w:val="12"/>
                <w:szCs w:val="18"/>
              </w:rPr>
            </w:pPr>
          </w:p>
        </w:tc>
        <w:tc>
          <w:tcPr>
            <w:tcW w:w="109" w:type="dxa"/>
            <w:shd w:val="clear" w:color="auto" w:fill="auto"/>
            <w:vAlign w:val="bottom"/>
          </w:tcPr>
          <w:p w14:paraId="627198DB" w14:textId="77777777" w:rsidR="00D71EA4" w:rsidRPr="00C66E38" w:rsidRDefault="00D71EA4" w:rsidP="0088482C">
            <w:pPr>
              <w:jc w:val="right"/>
              <w:rPr>
                <w:sz w:val="12"/>
                <w:szCs w:val="18"/>
                <w:highlight w:val="green"/>
              </w:rPr>
            </w:pPr>
          </w:p>
        </w:tc>
        <w:tc>
          <w:tcPr>
            <w:tcW w:w="1689" w:type="dxa"/>
            <w:tcBorders>
              <w:top w:val="single" w:sz="4" w:space="0" w:color="auto"/>
            </w:tcBorders>
            <w:vAlign w:val="bottom"/>
          </w:tcPr>
          <w:p w14:paraId="3B0207D0" w14:textId="77777777" w:rsidR="00D71EA4" w:rsidRPr="004A2301" w:rsidRDefault="00D71EA4" w:rsidP="0088482C">
            <w:pPr>
              <w:ind w:right="57"/>
              <w:jc w:val="right"/>
              <w:rPr>
                <w:sz w:val="12"/>
                <w:szCs w:val="18"/>
              </w:rPr>
            </w:pPr>
          </w:p>
        </w:tc>
        <w:tc>
          <w:tcPr>
            <w:tcW w:w="2876" w:type="dxa"/>
            <w:shd w:val="clear" w:color="auto" w:fill="auto"/>
            <w:vAlign w:val="bottom"/>
          </w:tcPr>
          <w:p w14:paraId="57F292DF" w14:textId="77777777" w:rsidR="00D71EA4" w:rsidRPr="002C6284" w:rsidRDefault="00D71EA4" w:rsidP="00853200">
            <w:pPr>
              <w:ind w:right="148"/>
              <w:jc w:val="right"/>
              <w:rPr>
                <w:i/>
                <w:sz w:val="12"/>
                <w:szCs w:val="18"/>
              </w:rPr>
            </w:pPr>
          </w:p>
        </w:tc>
      </w:tr>
      <w:tr w:rsidR="009960FF" w:rsidRPr="0013526B" w14:paraId="4E376985" w14:textId="77777777" w:rsidTr="00C66E38">
        <w:tc>
          <w:tcPr>
            <w:tcW w:w="2876" w:type="dxa"/>
            <w:shd w:val="clear" w:color="auto" w:fill="auto"/>
            <w:vAlign w:val="bottom"/>
          </w:tcPr>
          <w:p w14:paraId="6ED09F22" w14:textId="77777777" w:rsidR="00D71EA4" w:rsidRPr="009B16B0" w:rsidRDefault="00D71EA4" w:rsidP="009B16B0">
            <w:pPr>
              <w:ind w:left="686"/>
              <w:rPr>
                <w:b/>
                <w:bCs w:val="0"/>
                <w:sz w:val="18"/>
                <w:szCs w:val="18"/>
              </w:rPr>
            </w:pPr>
            <w:r w:rsidRPr="009B16B0">
              <w:rPr>
                <w:b/>
                <w:bCs w:val="0"/>
                <w:sz w:val="18"/>
                <w:szCs w:val="18"/>
              </w:rPr>
              <w:t>Jumlah</w:t>
            </w:r>
          </w:p>
        </w:tc>
        <w:tc>
          <w:tcPr>
            <w:tcW w:w="1689" w:type="dxa"/>
            <w:tcBorders>
              <w:bottom w:val="double" w:sz="4" w:space="0" w:color="auto"/>
            </w:tcBorders>
            <w:shd w:val="clear" w:color="auto" w:fill="auto"/>
            <w:vAlign w:val="bottom"/>
          </w:tcPr>
          <w:p w14:paraId="5475DC4D" w14:textId="387BA361" w:rsidR="00D71EA4" w:rsidRPr="00C66E38" w:rsidRDefault="00F32DFB" w:rsidP="008F7E35">
            <w:pPr>
              <w:ind w:right="57"/>
              <w:jc w:val="right"/>
              <w:rPr>
                <w:b/>
                <w:bCs w:val="0"/>
                <w:sz w:val="18"/>
                <w:szCs w:val="18"/>
                <w:highlight w:val="green"/>
              </w:rPr>
            </w:pPr>
            <w:r>
              <w:rPr>
                <w:b/>
                <w:bCs w:val="0"/>
                <w:sz w:val="18"/>
                <w:szCs w:val="18"/>
              </w:rPr>
              <w:t>156.858.349.</w:t>
            </w:r>
            <w:r w:rsidR="008F7E35">
              <w:rPr>
                <w:b/>
                <w:bCs w:val="0"/>
                <w:sz w:val="18"/>
                <w:szCs w:val="18"/>
              </w:rPr>
              <w:t>709</w:t>
            </w:r>
          </w:p>
        </w:tc>
        <w:tc>
          <w:tcPr>
            <w:tcW w:w="109" w:type="dxa"/>
            <w:shd w:val="clear" w:color="auto" w:fill="auto"/>
            <w:vAlign w:val="bottom"/>
          </w:tcPr>
          <w:p w14:paraId="4891670A" w14:textId="77777777" w:rsidR="00D71EA4" w:rsidRPr="00C66E38" w:rsidRDefault="00D71EA4" w:rsidP="0088482C">
            <w:pPr>
              <w:jc w:val="right"/>
              <w:rPr>
                <w:b/>
                <w:sz w:val="18"/>
                <w:szCs w:val="18"/>
                <w:highlight w:val="green"/>
              </w:rPr>
            </w:pPr>
          </w:p>
        </w:tc>
        <w:tc>
          <w:tcPr>
            <w:tcW w:w="1689" w:type="dxa"/>
            <w:tcBorders>
              <w:bottom w:val="double" w:sz="4" w:space="0" w:color="auto"/>
            </w:tcBorders>
            <w:vAlign w:val="bottom"/>
          </w:tcPr>
          <w:p w14:paraId="0D2AC826" w14:textId="5AE1425C" w:rsidR="00D71EA4" w:rsidRPr="004A2301" w:rsidRDefault="007B7431" w:rsidP="0088482C">
            <w:pPr>
              <w:ind w:right="57"/>
              <w:jc w:val="right"/>
              <w:rPr>
                <w:b/>
                <w:sz w:val="18"/>
                <w:szCs w:val="18"/>
              </w:rPr>
            </w:pPr>
            <w:r w:rsidRPr="004A2301">
              <w:rPr>
                <w:b/>
                <w:bCs w:val="0"/>
                <w:sz w:val="18"/>
                <w:szCs w:val="18"/>
              </w:rPr>
              <w:t>145.817.230.489</w:t>
            </w:r>
          </w:p>
        </w:tc>
        <w:tc>
          <w:tcPr>
            <w:tcW w:w="2876" w:type="dxa"/>
            <w:shd w:val="clear" w:color="auto" w:fill="auto"/>
            <w:vAlign w:val="bottom"/>
          </w:tcPr>
          <w:p w14:paraId="3D4D014B" w14:textId="77777777" w:rsidR="00D71EA4" w:rsidRPr="0013526B" w:rsidRDefault="00D71EA4" w:rsidP="00853200">
            <w:pPr>
              <w:tabs>
                <w:tab w:val="left" w:pos="2727"/>
              </w:tabs>
              <w:ind w:right="148"/>
              <w:jc w:val="right"/>
              <w:rPr>
                <w:b/>
                <w:i/>
                <w:sz w:val="18"/>
                <w:szCs w:val="18"/>
              </w:rPr>
            </w:pPr>
            <w:r w:rsidRPr="0013526B">
              <w:rPr>
                <w:b/>
                <w:i/>
                <w:sz w:val="18"/>
                <w:szCs w:val="18"/>
              </w:rPr>
              <w:t>Total</w:t>
            </w:r>
          </w:p>
        </w:tc>
      </w:tr>
    </w:tbl>
    <w:p w14:paraId="3ED7F3E6" w14:textId="77777777" w:rsidR="00D4141B" w:rsidRPr="00D718AE" w:rsidRDefault="00D4141B" w:rsidP="0013526B">
      <w:pPr>
        <w:ind w:left="567"/>
        <w:jc w:val="both"/>
        <w:rPr>
          <w:sz w:val="10"/>
          <w:szCs w:val="10"/>
        </w:rPr>
      </w:pPr>
    </w:p>
    <w:tbl>
      <w:tblPr>
        <w:tblW w:w="9197" w:type="dxa"/>
        <w:tblInd w:w="113" w:type="dxa"/>
        <w:tblLayout w:type="fixed"/>
        <w:tblLook w:val="0000" w:firstRow="0" w:lastRow="0" w:firstColumn="0" w:lastColumn="0" w:noHBand="0" w:noVBand="0"/>
      </w:tblPr>
      <w:tblGrid>
        <w:gridCol w:w="4598"/>
        <w:gridCol w:w="4599"/>
      </w:tblGrid>
      <w:tr w:rsidR="00D4141B" w:rsidRPr="0013526B" w14:paraId="42784FB5" w14:textId="77777777" w:rsidTr="00853200">
        <w:tc>
          <w:tcPr>
            <w:tcW w:w="4598" w:type="dxa"/>
            <w:tcBorders>
              <w:top w:val="nil"/>
              <w:left w:val="nil"/>
              <w:bottom w:val="nil"/>
              <w:right w:val="nil"/>
            </w:tcBorders>
          </w:tcPr>
          <w:p w14:paraId="7DB49D8F" w14:textId="77777777" w:rsidR="00D4141B" w:rsidRPr="00EF58BF" w:rsidRDefault="00D4141B" w:rsidP="009B16B0">
            <w:pPr>
              <w:pStyle w:val="ListParagraph"/>
              <w:ind w:left="204" w:right="-57"/>
              <w:jc w:val="both"/>
              <w:rPr>
                <w:sz w:val="18"/>
                <w:szCs w:val="18"/>
              </w:rPr>
            </w:pPr>
            <w:r w:rsidRPr="00EF58BF">
              <w:rPr>
                <w:sz w:val="18"/>
                <w:szCs w:val="18"/>
              </w:rPr>
              <w:t>Mutasi penyisihan penurunan nilai piutang usaha adalah sebagai berikut:</w:t>
            </w:r>
          </w:p>
        </w:tc>
        <w:tc>
          <w:tcPr>
            <w:tcW w:w="4599" w:type="dxa"/>
            <w:tcBorders>
              <w:top w:val="nil"/>
              <w:left w:val="nil"/>
              <w:bottom w:val="nil"/>
              <w:right w:val="nil"/>
            </w:tcBorders>
          </w:tcPr>
          <w:p w14:paraId="150D8371" w14:textId="77777777" w:rsidR="00D4141B" w:rsidRPr="00EF58BF" w:rsidRDefault="00D4141B" w:rsidP="0013526B">
            <w:pPr>
              <w:pStyle w:val="ListParagraph"/>
              <w:tabs>
                <w:tab w:val="right" w:pos="9340"/>
                <w:tab w:val="right" w:pos="10080"/>
              </w:tabs>
              <w:ind w:left="284" w:right="-57"/>
              <w:jc w:val="both"/>
              <w:rPr>
                <w:i/>
                <w:sz w:val="18"/>
                <w:szCs w:val="18"/>
              </w:rPr>
            </w:pPr>
            <w:r w:rsidRPr="00EF58BF">
              <w:rPr>
                <w:i/>
                <w:sz w:val="18"/>
                <w:szCs w:val="18"/>
              </w:rPr>
              <w:t>Movement of net of allowance for impairment of trade receivables are as follows:</w:t>
            </w:r>
          </w:p>
        </w:tc>
      </w:tr>
    </w:tbl>
    <w:p w14:paraId="1C969B70" w14:textId="77777777" w:rsidR="00D4141B" w:rsidRPr="00D6335E" w:rsidRDefault="00D4141B" w:rsidP="0013526B">
      <w:pPr>
        <w:ind w:left="567"/>
        <w:jc w:val="both"/>
        <w:rPr>
          <w:sz w:val="12"/>
          <w:szCs w:val="12"/>
        </w:rPr>
      </w:pPr>
    </w:p>
    <w:tbl>
      <w:tblPr>
        <w:tblW w:w="9183" w:type="dxa"/>
        <w:tblInd w:w="126" w:type="dxa"/>
        <w:tblCellMar>
          <w:left w:w="0" w:type="dxa"/>
          <w:right w:w="0" w:type="dxa"/>
        </w:tblCellMar>
        <w:tblLook w:val="04A0" w:firstRow="1" w:lastRow="0" w:firstColumn="1" w:lastColumn="0" w:noHBand="0" w:noVBand="1"/>
      </w:tblPr>
      <w:tblGrid>
        <w:gridCol w:w="2854"/>
        <w:gridCol w:w="1677"/>
        <w:gridCol w:w="113"/>
        <w:gridCol w:w="1676"/>
        <w:gridCol w:w="2863"/>
      </w:tblGrid>
      <w:tr w:rsidR="00C66E38" w:rsidRPr="0013526B" w14:paraId="142D7FB9" w14:textId="77777777" w:rsidTr="001C319D">
        <w:tc>
          <w:tcPr>
            <w:tcW w:w="2854" w:type="dxa"/>
            <w:shd w:val="clear" w:color="auto" w:fill="auto"/>
          </w:tcPr>
          <w:p w14:paraId="58D5D281" w14:textId="77777777" w:rsidR="00C66E38" w:rsidRPr="0013526B" w:rsidRDefault="00C66E38" w:rsidP="00C66E38">
            <w:pPr>
              <w:rPr>
                <w:sz w:val="18"/>
                <w:szCs w:val="18"/>
              </w:rPr>
            </w:pPr>
          </w:p>
        </w:tc>
        <w:tc>
          <w:tcPr>
            <w:tcW w:w="1677" w:type="dxa"/>
            <w:tcBorders>
              <w:bottom w:val="single" w:sz="4" w:space="0" w:color="auto"/>
            </w:tcBorders>
            <w:shd w:val="clear" w:color="auto" w:fill="auto"/>
          </w:tcPr>
          <w:p w14:paraId="3C521B14" w14:textId="77777777" w:rsidR="00C66E38" w:rsidRDefault="00C66E38" w:rsidP="00C66E38">
            <w:pPr>
              <w:jc w:val="center"/>
              <w:rPr>
                <w:b/>
                <w:sz w:val="18"/>
                <w:szCs w:val="18"/>
              </w:rPr>
            </w:pPr>
            <w:r>
              <w:rPr>
                <w:b/>
                <w:sz w:val="18"/>
                <w:szCs w:val="18"/>
              </w:rPr>
              <w:t>31 Maret/</w:t>
            </w:r>
          </w:p>
          <w:p w14:paraId="1DF98F42" w14:textId="67B0D911" w:rsidR="00C66E38" w:rsidRPr="0013526B" w:rsidRDefault="00C66E38" w:rsidP="00F32DFB">
            <w:pPr>
              <w:jc w:val="center"/>
              <w:rPr>
                <w:b/>
                <w:sz w:val="18"/>
                <w:szCs w:val="18"/>
              </w:rPr>
            </w:pPr>
            <w:r>
              <w:rPr>
                <w:b/>
                <w:sz w:val="18"/>
                <w:szCs w:val="18"/>
              </w:rPr>
              <w:t>March 31</w:t>
            </w:r>
            <w:r w:rsidR="00F32DFB">
              <w:rPr>
                <w:b/>
                <w:sz w:val="18"/>
                <w:szCs w:val="18"/>
              </w:rPr>
              <w:t>,</w:t>
            </w:r>
            <w:r>
              <w:rPr>
                <w:b/>
                <w:sz w:val="18"/>
                <w:szCs w:val="18"/>
              </w:rPr>
              <w:t xml:space="preserve"> 2020</w:t>
            </w:r>
          </w:p>
        </w:tc>
        <w:tc>
          <w:tcPr>
            <w:tcW w:w="113" w:type="dxa"/>
            <w:shd w:val="clear" w:color="auto" w:fill="auto"/>
          </w:tcPr>
          <w:p w14:paraId="09F99C24" w14:textId="77777777" w:rsidR="00C66E38" w:rsidRPr="0013526B" w:rsidRDefault="00C66E38" w:rsidP="00C66E38">
            <w:pPr>
              <w:rPr>
                <w:b/>
                <w:sz w:val="18"/>
                <w:szCs w:val="18"/>
              </w:rPr>
            </w:pPr>
          </w:p>
        </w:tc>
        <w:tc>
          <w:tcPr>
            <w:tcW w:w="1676" w:type="dxa"/>
            <w:tcBorders>
              <w:bottom w:val="single" w:sz="4" w:space="0" w:color="auto"/>
            </w:tcBorders>
          </w:tcPr>
          <w:p w14:paraId="5C6077E7" w14:textId="77777777" w:rsidR="00C66E38" w:rsidRDefault="00C66E38" w:rsidP="00C66E38">
            <w:pPr>
              <w:jc w:val="center"/>
              <w:rPr>
                <w:b/>
                <w:sz w:val="18"/>
                <w:szCs w:val="18"/>
              </w:rPr>
            </w:pPr>
            <w:r>
              <w:rPr>
                <w:b/>
                <w:sz w:val="18"/>
                <w:szCs w:val="18"/>
              </w:rPr>
              <w:t>31 Desember/</w:t>
            </w:r>
          </w:p>
          <w:p w14:paraId="47E7B74B" w14:textId="44C75AA0" w:rsidR="00C66E38" w:rsidRPr="0013526B" w:rsidRDefault="00C66E38" w:rsidP="00F32DFB">
            <w:pPr>
              <w:jc w:val="center"/>
              <w:rPr>
                <w:b/>
                <w:sz w:val="18"/>
                <w:szCs w:val="18"/>
              </w:rPr>
            </w:pPr>
            <w:r>
              <w:rPr>
                <w:b/>
                <w:sz w:val="18"/>
                <w:szCs w:val="18"/>
              </w:rPr>
              <w:t>December 31</w:t>
            </w:r>
            <w:r w:rsidR="00F32DFB">
              <w:rPr>
                <w:b/>
                <w:sz w:val="18"/>
                <w:szCs w:val="18"/>
              </w:rPr>
              <w:t>,</w:t>
            </w:r>
            <w:r>
              <w:rPr>
                <w:b/>
                <w:sz w:val="18"/>
                <w:szCs w:val="18"/>
              </w:rPr>
              <w:t xml:space="preserve"> </w:t>
            </w:r>
            <w:r w:rsidRPr="0013526B">
              <w:rPr>
                <w:b/>
                <w:sz w:val="18"/>
                <w:szCs w:val="18"/>
              </w:rPr>
              <w:t>201</w:t>
            </w:r>
            <w:r>
              <w:rPr>
                <w:b/>
                <w:sz w:val="18"/>
                <w:szCs w:val="18"/>
              </w:rPr>
              <w:t>9</w:t>
            </w:r>
          </w:p>
        </w:tc>
        <w:tc>
          <w:tcPr>
            <w:tcW w:w="2863" w:type="dxa"/>
            <w:shd w:val="clear" w:color="auto" w:fill="auto"/>
          </w:tcPr>
          <w:p w14:paraId="1F6F8427" w14:textId="77777777" w:rsidR="00C66E38" w:rsidRPr="0013526B" w:rsidRDefault="00C66E38" w:rsidP="00C66E38">
            <w:pPr>
              <w:rPr>
                <w:sz w:val="18"/>
                <w:szCs w:val="18"/>
              </w:rPr>
            </w:pPr>
          </w:p>
        </w:tc>
      </w:tr>
      <w:tr w:rsidR="00B10D64" w:rsidRPr="003B0801" w14:paraId="63C84F83" w14:textId="77777777" w:rsidTr="001C319D">
        <w:tc>
          <w:tcPr>
            <w:tcW w:w="2854" w:type="dxa"/>
            <w:shd w:val="clear" w:color="auto" w:fill="auto"/>
          </w:tcPr>
          <w:p w14:paraId="30898E7C" w14:textId="77777777" w:rsidR="00B10D64" w:rsidRPr="003B0801" w:rsidRDefault="00B10D64" w:rsidP="0013526B">
            <w:pPr>
              <w:rPr>
                <w:sz w:val="10"/>
                <w:szCs w:val="10"/>
              </w:rPr>
            </w:pPr>
          </w:p>
        </w:tc>
        <w:tc>
          <w:tcPr>
            <w:tcW w:w="1677" w:type="dxa"/>
            <w:tcBorders>
              <w:top w:val="single" w:sz="4" w:space="0" w:color="auto"/>
            </w:tcBorders>
            <w:shd w:val="clear" w:color="auto" w:fill="auto"/>
          </w:tcPr>
          <w:p w14:paraId="282C0051" w14:textId="77777777" w:rsidR="00B10D64" w:rsidRPr="003B0801" w:rsidRDefault="00B10D64" w:rsidP="002778CA">
            <w:pPr>
              <w:jc w:val="center"/>
              <w:rPr>
                <w:sz w:val="10"/>
                <w:szCs w:val="10"/>
              </w:rPr>
            </w:pPr>
          </w:p>
        </w:tc>
        <w:tc>
          <w:tcPr>
            <w:tcW w:w="113" w:type="dxa"/>
            <w:shd w:val="clear" w:color="auto" w:fill="auto"/>
          </w:tcPr>
          <w:p w14:paraId="3B14F207" w14:textId="77777777" w:rsidR="00B10D64" w:rsidRPr="003B0801" w:rsidRDefault="00B10D64" w:rsidP="0013526B">
            <w:pPr>
              <w:rPr>
                <w:sz w:val="10"/>
                <w:szCs w:val="10"/>
              </w:rPr>
            </w:pPr>
          </w:p>
        </w:tc>
        <w:tc>
          <w:tcPr>
            <w:tcW w:w="1676" w:type="dxa"/>
            <w:tcBorders>
              <w:top w:val="single" w:sz="4" w:space="0" w:color="auto"/>
            </w:tcBorders>
          </w:tcPr>
          <w:p w14:paraId="2D95BEC6" w14:textId="77777777" w:rsidR="00B10D64" w:rsidRPr="003B0801" w:rsidRDefault="00B10D64" w:rsidP="0013526B">
            <w:pPr>
              <w:rPr>
                <w:sz w:val="10"/>
                <w:szCs w:val="10"/>
              </w:rPr>
            </w:pPr>
          </w:p>
        </w:tc>
        <w:tc>
          <w:tcPr>
            <w:tcW w:w="2863" w:type="dxa"/>
            <w:shd w:val="clear" w:color="auto" w:fill="auto"/>
          </w:tcPr>
          <w:p w14:paraId="64C48FAA" w14:textId="77777777" w:rsidR="00B10D64" w:rsidRPr="003B0801" w:rsidRDefault="00B10D64" w:rsidP="0013526B">
            <w:pPr>
              <w:rPr>
                <w:sz w:val="10"/>
                <w:szCs w:val="10"/>
              </w:rPr>
            </w:pPr>
          </w:p>
        </w:tc>
      </w:tr>
      <w:tr w:rsidR="007B7431" w:rsidRPr="0013526B" w14:paraId="6226F975" w14:textId="77777777" w:rsidTr="001C319D">
        <w:tc>
          <w:tcPr>
            <w:tcW w:w="2854" w:type="dxa"/>
            <w:shd w:val="clear" w:color="auto" w:fill="auto"/>
          </w:tcPr>
          <w:p w14:paraId="169F3DDE" w14:textId="77777777" w:rsidR="007B7431" w:rsidRPr="0013526B" w:rsidRDefault="007B7431" w:rsidP="007B7431">
            <w:pPr>
              <w:ind w:left="324"/>
              <w:rPr>
                <w:sz w:val="18"/>
                <w:szCs w:val="18"/>
              </w:rPr>
            </w:pPr>
            <w:r w:rsidRPr="0013526B">
              <w:rPr>
                <w:sz w:val="18"/>
                <w:szCs w:val="18"/>
              </w:rPr>
              <w:t>Saldo awal tahun</w:t>
            </w:r>
          </w:p>
        </w:tc>
        <w:tc>
          <w:tcPr>
            <w:tcW w:w="1677" w:type="dxa"/>
            <w:shd w:val="clear" w:color="auto" w:fill="auto"/>
            <w:vAlign w:val="bottom"/>
          </w:tcPr>
          <w:p w14:paraId="761528FD" w14:textId="18A9CF0D" w:rsidR="007B7431" w:rsidRPr="00627E9C" w:rsidRDefault="00627E9C" w:rsidP="007B7431">
            <w:pPr>
              <w:ind w:right="57"/>
              <w:jc w:val="right"/>
              <w:rPr>
                <w:bCs w:val="0"/>
                <w:sz w:val="18"/>
                <w:szCs w:val="18"/>
                <w:lang w:val="id-ID"/>
              </w:rPr>
            </w:pPr>
            <w:r w:rsidRPr="00627E9C">
              <w:rPr>
                <w:bCs w:val="0"/>
                <w:sz w:val="18"/>
                <w:szCs w:val="18"/>
                <w:lang w:val="id-ID"/>
              </w:rPr>
              <w:t>18.639.298.120</w:t>
            </w:r>
          </w:p>
        </w:tc>
        <w:tc>
          <w:tcPr>
            <w:tcW w:w="113" w:type="dxa"/>
            <w:shd w:val="clear" w:color="auto" w:fill="auto"/>
            <w:vAlign w:val="bottom"/>
          </w:tcPr>
          <w:p w14:paraId="24D26CB8" w14:textId="77777777" w:rsidR="007B7431" w:rsidRPr="00C66E38" w:rsidRDefault="007B7431" w:rsidP="007B7431">
            <w:pPr>
              <w:ind w:right="57"/>
              <w:jc w:val="right"/>
              <w:rPr>
                <w:sz w:val="18"/>
                <w:szCs w:val="18"/>
                <w:highlight w:val="green"/>
              </w:rPr>
            </w:pPr>
          </w:p>
        </w:tc>
        <w:tc>
          <w:tcPr>
            <w:tcW w:w="1676" w:type="dxa"/>
            <w:vAlign w:val="bottom"/>
          </w:tcPr>
          <w:p w14:paraId="37A19D98" w14:textId="42F18EA4" w:rsidR="007B7431" w:rsidRPr="006B3AB6" w:rsidRDefault="007B7431" w:rsidP="007B7431">
            <w:pPr>
              <w:ind w:right="57"/>
              <w:jc w:val="right"/>
              <w:rPr>
                <w:sz w:val="18"/>
                <w:szCs w:val="18"/>
              </w:rPr>
            </w:pPr>
            <w:r w:rsidRPr="006B3AB6">
              <w:rPr>
                <w:bCs w:val="0"/>
                <w:sz w:val="18"/>
                <w:szCs w:val="18"/>
              </w:rPr>
              <w:t>8.746.009.886</w:t>
            </w:r>
          </w:p>
        </w:tc>
        <w:tc>
          <w:tcPr>
            <w:tcW w:w="2863" w:type="dxa"/>
            <w:shd w:val="clear" w:color="auto" w:fill="auto"/>
          </w:tcPr>
          <w:p w14:paraId="4E27A663" w14:textId="77777777" w:rsidR="007B7431" w:rsidRPr="006B3AB6" w:rsidRDefault="007B7431" w:rsidP="007B7431">
            <w:pPr>
              <w:ind w:right="57"/>
              <w:jc w:val="right"/>
              <w:rPr>
                <w:i/>
                <w:sz w:val="18"/>
                <w:szCs w:val="18"/>
              </w:rPr>
            </w:pPr>
            <w:r w:rsidRPr="006B3AB6">
              <w:rPr>
                <w:i/>
                <w:sz w:val="18"/>
                <w:szCs w:val="18"/>
              </w:rPr>
              <w:t>Balance at beginning of the year</w:t>
            </w:r>
          </w:p>
        </w:tc>
      </w:tr>
      <w:tr w:rsidR="007B7431" w:rsidRPr="0013526B" w14:paraId="1A7329C9" w14:textId="77777777" w:rsidTr="001C319D">
        <w:tc>
          <w:tcPr>
            <w:tcW w:w="2854" w:type="dxa"/>
            <w:shd w:val="clear" w:color="auto" w:fill="auto"/>
          </w:tcPr>
          <w:p w14:paraId="6FA0678D" w14:textId="4F16B40C" w:rsidR="007B7431" w:rsidRPr="0013526B" w:rsidRDefault="007B7431" w:rsidP="007B7431">
            <w:pPr>
              <w:ind w:left="324"/>
              <w:rPr>
                <w:sz w:val="18"/>
                <w:szCs w:val="18"/>
              </w:rPr>
            </w:pPr>
            <w:r>
              <w:rPr>
                <w:sz w:val="18"/>
                <w:szCs w:val="18"/>
              </w:rPr>
              <w:t>Dampak penggabungan usha</w:t>
            </w:r>
          </w:p>
        </w:tc>
        <w:tc>
          <w:tcPr>
            <w:tcW w:w="1677" w:type="dxa"/>
            <w:shd w:val="clear" w:color="auto" w:fill="auto"/>
            <w:vAlign w:val="bottom"/>
          </w:tcPr>
          <w:p w14:paraId="77B17C2A" w14:textId="4578F200" w:rsidR="007B7431" w:rsidRPr="00627E9C" w:rsidRDefault="00627E9C" w:rsidP="007B7431">
            <w:pPr>
              <w:ind w:right="57"/>
              <w:jc w:val="right"/>
              <w:rPr>
                <w:sz w:val="18"/>
                <w:szCs w:val="18"/>
              </w:rPr>
            </w:pPr>
            <w:r>
              <w:rPr>
                <w:sz w:val="18"/>
                <w:szCs w:val="18"/>
              </w:rPr>
              <w:t>-</w:t>
            </w:r>
          </w:p>
        </w:tc>
        <w:tc>
          <w:tcPr>
            <w:tcW w:w="113" w:type="dxa"/>
            <w:shd w:val="clear" w:color="auto" w:fill="auto"/>
            <w:vAlign w:val="bottom"/>
          </w:tcPr>
          <w:p w14:paraId="6EF53F7B" w14:textId="77777777" w:rsidR="007B7431" w:rsidRPr="00C66E38" w:rsidRDefault="007B7431" w:rsidP="007B7431">
            <w:pPr>
              <w:ind w:right="57"/>
              <w:jc w:val="right"/>
              <w:rPr>
                <w:sz w:val="18"/>
                <w:szCs w:val="18"/>
                <w:highlight w:val="green"/>
              </w:rPr>
            </w:pPr>
          </w:p>
        </w:tc>
        <w:tc>
          <w:tcPr>
            <w:tcW w:w="1676" w:type="dxa"/>
            <w:vAlign w:val="bottom"/>
          </w:tcPr>
          <w:p w14:paraId="519144FF" w14:textId="5FC35620" w:rsidR="007B7431" w:rsidRPr="006B3AB6" w:rsidRDefault="007B7431" w:rsidP="007B7431">
            <w:pPr>
              <w:ind w:right="57"/>
              <w:jc w:val="right"/>
              <w:rPr>
                <w:sz w:val="18"/>
                <w:szCs w:val="18"/>
              </w:rPr>
            </w:pPr>
            <w:r w:rsidRPr="006B3AB6">
              <w:rPr>
                <w:sz w:val="18"/>
                <w:szCs w:val="18"/>
              </w:rPr>
              <w:t>-</w:t>
            </w:r>
          </w:p>
        </w:tc>
        <w:tc>
          <w:tcPr>
            <w:tcW w:w="2863" w:type="dxa"/>
            <w:shd w:val="clear" w:color="auto" w:fill="auto"/>
          </w:tcPr>
          <w:p w14:paraId="4D10D975" w14:textId="4F5B394B" w:rsidR="007B7431" w:rsidRPr="006B3AB6" w:rsidRDefault="007B7431" w:rsidP="007B7431">
            <w:pPr>
              <w:tabs>
                <w:tab w:val="left" w:pos="2727"/>
              </w:tabs>
              <w:ind w:right="57"/>
              <w:jc w:val="right"/>
              <w:rPr>
                <w:i/>
                <w:sz w:val="18"/>
                <w:szCs w:val="18"/>
              </w:rPr>
            </w:pPr>
            <w:r w:rsidRPr="006B3AB6">
              <w:rPr>
                <w:i/>
                <w:sz w:val="18"/>
                <w:szCs w:val="18"/>
              </w:rPr>
              <w:t>Impact from merger</w:t>
            </w:r>
          </w:p>
        </w:tc>
      </w:tr>
      <w:tr w:rsidR="007B7431" w:rsidRPr="0013526B" w14:paraId="112BA868" w14:textId="77777777" w:rsidTr="001C319D">
        <w:tc>
          <w:tcPr>
            <w:tcW w:w="2854" w:type="dxa"/>
            <w:shd w:val="clear" w:color="auto" w:fill="auto"/>
          </w:tcPr>
          <w:p w14:paraId="61A0DC1A" w14:textId="77777777" w:rsidR="007B7431" w:rsidRDefault="007B7431" w:rsidP="007B7431">
            <w:pPr>
              <w:ind w:left="338"/>
              <w:rPr>
                <w:sz w:val="18"/>
                <w:szCs w:val="18"/>
              </w:rPr>
            </w:pPr>
            <w:r>
              <w:rPr>
                <w:sz w:val="18"/>
                <w:szCs w:val="18"/>
              </w:rPr>
              <w:t>Cadangan kerugian penurunan</w:t>
            </w:r>
          </w:p>
          <w:p w14:paraId="0C3CE103" w14:textId="0D62C33A" w:rsidR="007B7431" w:rsidRPr="0013526B" w:rsidRDefault="00EC6677" w:rsidP="007B7431">
            <w:pPr>
              <w:ind w:left="562"/>
              <w:rPr>
                <w:sz w:val="18"/>
                <w:szCs w:val="18"/>
              </w:rPr>
            </w:pPr>
            <w:r>
              <w:rPr>
                <w:sz w:val="18"/>
                <w:szCs w:val="18"/>
              </w:rPr>
              <w:t>N</w:t>
            </w:r>
            <w:r w:rsidR="007B7431">
              <w:rPr>
                <w:sz w:val="18"/>
                <w:szCs w:val="18"/>
              </w:rPr>
              <w:t>ilai</w:t>
            </w:r>
          </w:p>
        </w:tc>
        <w:tc>
          <w:tcPr>
            <w:tcW w:w="1677" w:type="dxa"/>
            <w:shd w:val="clear" w:color="auto" w:fill="auto"/>
            <w:vAlign w:val="bottom"/>
          </w:tcPr>
          <w:p w14:paraId="1690EBF6" w14:textId="4BE8C064" w:rsidR="007B7431" w:rsidRPr="00627E9C" w:rsidRDefault="00627E9C" w:rsidP="007B7431">
            <w:pPr>
              <w:ind w:right="57"/>
              <w:jc w:val="right"/>
              <w:rPr>
                <w:sz w:val="18"/>
                <w:szCs w:val="18"/>
              </w:rPr>
            </w:pPr>
            <w:r>
              <w:rPr>
                <w:sz w:val="18"/>
                <w:szCs w:val="18"/>
              </w:rPr>
              <w:t>-</w:t>
            </w:r>
          </w:p>
        </w:tc>
        <w:tc>
          <w:tcPr>
            <w:tcW w:w="113" w:type="dxa"/>
            <w:shd w:val="clear" w:color="auto" w:fill="auto"/>
            <w:vAlign w:val="bottom"/>
          </w:tcPr>
          <w:p w14:paraId="50B8F4DD" w14:textId="77777777" w:rsidR="007B7431" w:rsidRPr="00C66E38" w:rsidRDefault="007B7431" w:rsidP="007B7431">
            <w:pPr>
              <w:ind w:right="57"/>
              <w:jc w:val="right"/>
              <w:rPr>
                <w:sz w:val="18"/>
                <w:szCs w:val="18"/>
                <w:highlight w:val="green"/>
              </w:rPr>
            </w:pPr>
          </w:p>
        </w:tc>
        <w:tc>
          <w:tcPr>
            <w:tcW w:w="1676" w:type="dxa"/>
            <w:vAlign w:val="bottom"/>
          </w:tcPr>
          <w:p w14:paraId="62969A79" w14:textId="211E4FAE" w:rsidR="007B7431" w:rsidRPr="006B3AB6" w:rsidRDefault="007B7431" w:rsidP="007B7431">
            <w:pPr>
              <w:ind w:right="57"/>
              <w:jc w:val="right"/>
              <w:rPr>
                <w:sz w:val="18"/>
                <w:szCs w:val="18"/>
              </w:rPr>
            </w:pPr>
            <w:r w:rsidRPr="006B3AB6">
              <w:rPr>
                <w:sz w:val="18"/>
                <w:szCs w:val="18"/>
              </w:rPr>
              <w:t>11.056.817.898</w:t>
            </w:r>
          </w:p>
        </w:tc>
        <w:tc>
          <w:tcPr>
            <w:tcW w:w="2863" w:type="dxa"/>
            <w:shd w:val="clear" w:color="auto" w:fill="auto"/>
            <w:vAlign w:val="bottom"/>
          </w:tcPr>
          <w:p w14:paraId="46B10C24" w14:textId="6650B92B" w:rsidR="007B7431" w:rsidRPr="006B3AB6" w:rsidRDefault="007B7431" w:rsidP="007B7431">
            <w:pPr>
              <w:tabs>
                <w:tab w:val="left" w:pos="2727"/>
              </w:tabs>
              <w:ind w:right="57"/>
              <w:jc w:val="right"/>
              <w:rPr>
                <w:i/>
                <w:sz w:val="18"/>
                <w:szCs w:val="18"/>
              </w:rPr>
            </w:pPr>
            <w:r w:rsidRPr="006B3AB6">
              <w:rPr>
                <w:i/>
                <w:sz w:val="18"/>
                <w:szCs w:val="18"/>
              </w:rPr>
              <w:t xml:space="preserve">Allowance impairment losses </w:t>
            </w:r>
          </w:p>
        </w:tc>
      </w:tr>
      <w:tr w:rsidR="007B7431" w:rsidRPr="0013526B" w14:paraId="11A23500" w14:textId="77777777" w:rsidTr="001C319D">
        <w:tc>
          <w:tcPr>
            <w:tcW w:w="2854" w:type="dxa"/>
            <w:shd w:val="clear" w:color="auto" w:fill="auto"/>
          </w:tcPr>
          <w:p w14:paraId="52E863C3" w14:textId="65C9BE42" w:rsidR="007B7431" w:rsidRPr="0013526B" w:rsidRDefault="007B7431" w:rsidP="007B7431">
            <w:pPr>
              <w:ind w:left="534" w:hanging="185"/>
              <w:rPr>
                <w:sz w:val="18"/>
                <w:szCs w:val="18"/>
              </w:rPr>
            </w:pPr>
            <w:r>
              <w:rPr>
                <w:sz w:val="18"/>
                <w:szCs w:val="18"/>
              </w:rPr>
              <w:t>Penyesuaian - piutang  dapat ditagih kembali</w:t>
            </w:r>
          </w:p>
        </w:tc>
        <w:tc>
          <w:tcPr>
            <w:tcW w:w="1677" w:type="dxa"/>
            <w:shd w:val="clear" w:color="auto" w:fill="auto"/>
            <w:vAlign w:val="bottom"/>
          </w:tcPr>
          <w:p w14:paraId="384822B5" w14:textId="11379D7A" w:rsidR="007B7431" w:rsidRPr="00627E9C" w:rsidRDefault="00627E9C" w:rsidP="007B7431">
            <w:pPr>
              <w:ind w:right="57"/>
              <w:jc w:val="right"/>
              <w:rPr>
                <w:sz w:val="18"/>
                <w:szCs w:val="18"/>
              </w:rPr>
            </w:pPr>
            <w:r>
              <w:rPr>
                <w:sz w:val="18"/>
                <w:szCs w:val="18"/>
              </w:rPr>
              <w:t>(1.014.350.499)</w:t>
            </w:r>
          </w:p>
        </w:tc>
        <w:tc>
          <w:tcPr>
            <w:tcW w:w="113" w:type="dxa"/>
            <w:shd w:val="clear" w:color="auto" w:fill="auto"/>
            <w:vAlign w:val="bottom"/>
          </w:tcPr>
          <w:p w14:paraId="42683EB0" w14:textId="77777777" w:rsidR="007B7431" w:rsidRPr="00C66E38" w:rsidRDefault="007B7431" w:rsidP="007B7431">
            <w:pPr>
              <w:ind w:right="57"/>
              <w:jc w:val="right"/>
              <w:rPr>
                <w:sz w:val="18"/>
                <w:szCs w:val="18"/>
                <w:highlight w:val="green"/>
              </w:rPr>
            </w:pPr>
          </w:p>
        </w:tc>
        <w:tc>
          <w:tcPr>
            <w:tcW w:w="1676" w:type="dxa"/>
            <w:tcBorders>
              <w:bottom w:val="single" w:sz="4" w:space="0" w:color="auto"/>
            </w:tcBorders>
            <w:vAlign w:val="bottom"/>
          </w:tcPr>
          <w:p w14:paraId="3439C3F9" w14:textId="0CBD1B3B" w:rsidR="007B7431" w:rsidRPr="006B3AB6" w:rsidRDefault="007B7431" w:rsidP="007B7431">
            <w:pPr>
              <w:ind w:right="57"/>
              <w:jc w:val="right"/>
              <w:rPr>
                <w:sz w:val="18"/>
                <w:szCs w:val="18"/>
              </w:rPr>
            </w:pPr>
            <w:r w:rsidRPr="006B3AB6">
              <w:rPr>
                <w:sz w:val="18"/>
                <w:szCs w:val="18"/>
              </w:rPr>
              <w:t>(1.163.529.664)</w:t>
            </w:r>
          </w:p>
        </w:tc>
        <w:tc>
          <w:tcPr>
            <w:tcW w:w="2863" w:type="dxa"/>
            <w:shd w:val="clear" w:color="auto" w:fill="auto"/>
            <w:vAlign w:val="bottom"/>
          </w:tcPr>
          <w:p w14:paraId="271FFFB9" w14:textId="412E9C25" w:rsidR="007B7431" w:rsidRPr="006B3AB6" w:rsidRDefault="007B7431" w:rsidP="007B7431">
            <w:pPr>
              <w:tabs>
                <w:tab w:val="left" w:pos="2727"/>
              </w:tabs>
              <w:ind w:right="57"/>
              <w:jc w:val="right"/>
              <w:rPr>
                <w:i/>
                <w:sz w:val="18"/>
                <w:szCs w:val="18"/>
              </w:rPr>
            </w:pPr>
            <w:r w:rsidRPr="006B3AB6">
              <w:rPr>
                <w:i/>
                <w:sz w:val="18"/>
                <w:szCs w:val="18"/>
              </w:rPr>
              <w:t>Reversal of impairment</w:t>
            </w:r>
          </w:p>
        </w:tc>
      </w:tr>
      <w:tr w:rsidR="00B10D64" w:rsidRPr="003B0801" w14:paraId="763A6109" w14:textId="77777777" w:rsidTr="001C319D">
        <w:tc>
          <w:tcPr>
            <w:tcW w:w="2854" w:type="dxa"/>
            <w:shd w:val="clear" w:color="auto" w:fill="auto"/>
          </w:tcPr>
          <w:p w14:paraId="16D7FDD8" w14:textId="77777777" w:rsidR="00B10D64" w:rsidRPr="003B0801" w:rsidRDefault="00B10D64" w:rsidP="003D05B9">
            <w:pPr>
              <w:ind w:left="477"/>
              <w:rPr>
                <w:sz w:val="10"/>
                <w:szCs w:val="10"/>
              </w:rPr>
            </w:pPr>
          </w:p>
        </w:tc>
        <w:tc>
          <w:tcPr>
            <w:tcW w:w="1677" w:type="dxa"/>
            <w:tcBorders>
              <w:top w:val="single" w:sz="4" w:space="0" w:color="auto"/>
            </w:tcBorders>
            <w:shd w:val="clear" w:color="auto" w:fill="auto"/>
            <w:vAlign w:val="bottom"/>
          </w:tcPr>
          <w:p w14:paraId="77320DD3" w14:textId="77777777" w:rsidR="00B10D64" w:rsidRPr="00C66E38" w:rsidRDefault="00B10D64" w:rsidP="0013526B">
            <w:pPr>
              <w:ind w:right="57"/>
              <w:jc w:val="right"/>
              <w:rPr>
                <w:sz w:val="10"/>
                <w:szCs w:val="10"/>
                <w:highlight w:val="green"/>
              </w:rPr>
            </w:pPr>
          </w:p>
        </w:tc>
        <w:tc>
          <w:tcPr>
            <w:tcW w:w="113" w:type="dxa"/>
            <w:shd w:val="clear" w:color="auto" w:fill="auto"/>
            <w:vAlign w:val="bottom"/>
          </w:tcPr>
          <w:p w14:paraId="564946FF" w14:textId="77777777" w:rsidR="00B10D64" w:rsidRPr="00C66E38" w:rsidRDefault="00B10D64" w:rsidP="0013526B">
            <w:pPr>
              <w:ind w:right="57"/>
              <w:jc w:val="right"/>
              <w:rPr>
                <w:sz w:val="10"/>
                <w:szCs w:val="10"/>
                <w:highlight w:val="green"/>
              </w:rPr>
            </w:pPr>
          </w:p>
        </w:tc>
        <w:tc>
          <w:tcPr>
            <w:tcW w:w="1676" w:type="dxa"/>
            <w:tcBorders>
              <w:top w:val="single" w:sz="4" w:space="0" w:color="auto"/>
            </w:tcBorders>
            <w:vAlign w:val="bottom"/>
          </w:tcPr>
          <w:p w14:paraId="54357B7A" w14:textId="77777777" w:rsidR="00B10D64" w:rsidRPr="006B3AB6" w:rsidRDefault="00B10D64" w:rsidP="0013526B">
            <w:pPr>
              <w:ind w:right="57"/>
              <w:jc w:val="right"/>
              <w:rPr>
                <w:sz w:val="10"/>
                <w:szCs w:val="10"/>
              </w:rPr>
            </w:pPr>
          </w:p>
        </w:tc>
        <w:tc>
          <w:tcPr>
            <w:tcW w:w="2863" w:type="dxa"/>
            <w:shd w:val="clear" w:color="auto" w:fill="auto"/>
          </w:tcPr>
          <w:p w14:paraId="22CEE52B" w14:textId="77777777" w:rsidR="00B10D64" w:rsidRPr="006B3AB6" w:rsidRDefault="00B10D64" w:rsidP="0013526B">
            <w:pPr>
              <w:ind w:right="57"/>
              <w:jc w:val="right"/>
              <w:rPr>
                <w:i/>
                <w:sz w:val="10"/>
                <w:szCs w:val="10"/>
              </w:rPr>
            </w:pPr>
          </w:p>
        </w:tc>
      </w:tr>
      <w:tr w:rsidR="001C319D" w:rsidRPr="0013526B" w14:paraId="764C573C" w14:textId="77777777" w:rsidTr="001C319D">
        <w:tc>
          <w:tcPr>
            <w:tcW w:w="2854" w:type="dxa"/>
            <w:shd w:val="clear" w:color="auto" w:fill="auto"/>
          </w:tcPr>
          <w:p w14:paraId="38A97BE0" w14:textId="77777777" w:rsidR="001C319D" w:rsidRPr="0013526B" w:rsidRDefault="001C319D" w:rsidP="001C319D">
            <w:pPr>
              <w:ind w:left="366"/>
              <w:rPr>
                <w:b/>
                <w:sz w:val="18"/>
                <w:szCs w:val="18"/>
              </w:rPr>
            </w:pPr>
            <w:r w:rsidRPr="0013526B">
              <w:rPr>
                <w:b/>
                <w:sz w:val="18"/>
                <w:szCs w:val="18"/>
              </w:rPr>
              <w:t>Saldo akhir tahun</w:t>
            </w:r>
          </w:p>
        </w:tc>
        <w:tc>
          <w:tcPr>
            <w:tcW w:w="1677" w:type="dxa"/>
            <w:tcBorders>
              <w:bottom w:val="double" w:sz="4" w:space="0" w:color="auto"/>
            </w:tcBorders>
            <w:shd w:val="clear" w:color="auto" w:fill="auto"/>
            <w:vAlign w:val="bottom"/>
          </w:tcPr>
          <w:p w14:paraId="5901FF8A" w14:textId="0BBC2301" w:rsidR="001C319D" w:rsidRPr="00C66E38" w:rsidRDefault="00F32DFB" w:rsidP="001C319D">
            <w:pPr>
              <w:ind w:right="57"/>
              <w:jc w:val="right"/>
              <w:rPr>
                <w:b/>
                <w:bCs w:val="0"/>
                <w:sz w:val="18"/>
                <w:szCs w:val="18"/>
                <w:highlight w:val="green"/>
              </w:rPr>
            </w:pPr>
            <w:r>
              <w:rPr>
                <w:b/>
                <w:bCs w:val="0"/>
                <w:sz w:val="18"/>
                <w:szCs w:val="18"/>
              </w:rPr>
              <w:t>17.624.947.</w:t>
            </w:r>
            <w:r w:rsidR="00627E9C" w:rsidRPr="00627E9C">
              <w:rPr>
                <w:b/>
                <w:bCs w:val="0"/>
                <w:sz w:val="18"/>
                <w:szCs w:val="18"/>
              </w:rPr>
              <w:t>621</w:t>
            </w:r>
          </w:p>
        </w:tc>
        <w:tc>
          <w:tcPr>
            <w:tcW w:w="113" w:type="dxa"/>
            <w:shd w:val="clear" w:color="auto" w:fill="auto"/>
            <w:vAlign w:val="bottom"/>
          </w:tcPr>
          <w:p w14:paraId="3CB52FB1" w14:textId="77777777" w:rsidR="001C319D" w:rsidRPr="00C66E38" w:rsidRDefault="001C319D" w:rsidP="001C319D">
            <w:pPr>
              <w:ind w:right="57"/>
              <w:jc w:val="right"/>
              <w:rPr>
                <w:b/>
                <w:sz w:val="18"/>
                <w:szCs w:val="18"/>
                <w:highlight w:val="green"/>
              </w:rPr>
            </w:pPr>
          </w:p>
        </w:tc>
        <w:tc>
          <w:tcPr>
            <w:tcW w:w="1676" w:type="dxa"/>
            <w:tcBorders>
              <w:bottom w:val="double" w:sz="4" w:space="0" w:color="auto"/>
            </w:tcBorders>
            <w:vAlign w:val="bottom"/>
          </w:tcPr>
          <w:p w14:paraId="0DF37BFC" w14:textId="774A7FDB" w:rsidR="001C319D" w:rsidRPr="006B3AB6" w:rsidRDefault="007B7431" w:rsidP="001C319D">
            <w:pPr>
              <w:ind w:right="57"/>
              <w:jc w:val="right"/>
              <w:rPr>
                <w:b/>
                <w:sz w:val="18"/>
                <w:szCs w:val="18"/>
              </w:rPr>
            </w:pPr>
            <w:r w:rsidRPr="006B3AB6">
              <w:rPr>
                <w:b/>
                <w:bCs w:val="0"/>
                <w:sz w:val="18"/>
                <w:szCs w:val="18"/>
              </w:rPr>
              <w:t>18.639.298.120</w:t>
            </w:r>
          </w:p>
        </w:tc>
        <w:tc>
          <w:tcPr>
            <w:tcW w:w="2863" w:type="dxa"/>
            <w:shd w:val="clear" w:color="auto" w:fill="auto"/>
          </w:tcPr>
          <w:p w14:paraId="50E82E7D" w14:textId="77777777" w:rsidR="001C319D" w:rsidRPr="006B3AB6" w:rsidRDefault="001C319D" w:rsidP="001C319D">
            <w:pPr>
              <w:tabs>
                <w:tab w:val="left" w:pos="2727"/>
              </w:tabs>
              <w:ind w:right="57"/>
              <w:jc w:val="right"/>
              <w:rPr>
                <w:b/>
                <w:i/>
                <w:sz w:val="18"/>
                <w:szCs w:val="18"/>
              </w:rPr>
            </w:pPr>
            <w:r w:rsidRPr="006B3AB6">
              <w:rPr>
                <w:b/>
                <w:i/>
                <w:sz w:val="18"/>
                <w:szCs w:val="18"/>
              </w:rPr>
              <w:t>Balance at the end of year</w:t>
            </w:r>
          </w:p>
        </w:tc>
      </w:tr>
    </w:tbl>
    <w:p w14:paraId="69BB933A" w14:textId="77777777" w:rsidR="00D4141B" w:rsidRPr="0088482C" w:rsidRDefault="00D4141B" w:rsidP="0013526B">
      <w:pPr>
        <w:ind w:left="567"/>
        <w:jc w:val="both"/>
        <w:rPr>
          <w:sz w:val="12"/>
          <w:szCs w:val="18"/>
        </w:rPr>
      </w:pPr>
    </w:p>
    <w:tbl>
      <w:tblPr>
        <w:tblW w:w="9197" w:type="dxa"/>
        <w:tblInd w:w="108" w:type="dxa"/>
        <w:tblLayout w:type="fixed"/>
        <w:tblLook w:val="0000" w:firstRow="0" w:lastRow="0" w:firstColumn="0" w:lastColumn="0" w:noHBand="0" w:noVBand="0"/>
      </w:tblPr>
      <w:tblGrid>
        <w:gridCol w:w="4598"/>
        <w:gridCol w:w="4599"/>
      </w:tblGrid>
      <w:tr w:rsidR="00363EE0" w:rsidRPr="00A31F1E" w14:paraId="6FF7ECC4" w14:textId="77777777" w:rsidTr="00D40370">
        <w:tc>
          <w:tcPr>
            <w:tcW w:w="4598" w:type="dxa"/>
            <w:tcBorders>
              <w:top w:val="nil"/>
              <w:left w:val="nil"/>
              <w:bottom w:val="nil"/>
              <w:right w:val="nil"/>
            </w:tcBorders>
          </w:tcPr>
          <w:p w14:paraId="5C0C10C7" w14:textId="77777777" w:rsidR="00363EE0" w:rsidRPr="00EF58BF" w:rsidRDefault="00363EE0" w:rsidP="009B16B0">
            <w:pPr>
              <w:pStyle w:val="ListParagraph"/>
              <w:ind w:left="204" w:right="-57"/>
              <w:jc w:val="both"/>
              <w:rPr>
                <w:sz w:val="18"/>
                <w:szCs w:val="18"/>
              </w:rPr>
            </w:pPr>
            <w:r w:rsidRPr="00EF58BF">
              <w:rPr>
                <w:sz w:val="18"/>
                <w:szCs w:val="18"/>
              </w:rPr>
              <w:t>Manajemen melakukan penyisihan kemungkinan tidak tertagihnya piutang usaha berdasarkan penelitian secara periodik atas kondisi saldo piutang usaha secara individu.</w:t>
            </w:r>
          </w:p>
        </w:tc>
        <w:tc>
          <w:tcPr>
            <w:tcW w:w="4598" w:type="dxa"/>
            <w:tcBorders>
              <w:top w:val="nil"/>
              <w:left w:val="nil"/>
              <w:bottom w:val="nil"/>
              <w:right w:val="nil"/>
            </w:tcBorders>
          </w:tcPr>
          <w:p w14:paraId="55EC9408" w14:textId="0A77365D" w:rsidR="00363EE0" w:rsidRPr="00EF58BF" w:rsidRDefault="00363EE0" w:rsidP="0013526B">
            <w:pPr>
              <w:pStyle w:val="ListParagraph"/>
              <w:tabs>
                <w:tab w:val="right" w:pos="9340"/>
                <w:tab w:val="right" w:pos="10080"/>
              </w:tabs>
              <w:ind w:left="284" w:right="-57"/>
              <w:jc w:val="both"/>
              <w:rPr>
                <w:i/>
                <w:sz w:val="18"/>
                <w:szCs w:val="18"/>
              </w:rPr>
            </w:pPr>
            <w:r w:rsidRPr="00EF58BF">
              <w:rPr>
                <w:i/>
                <w:sz w:val="18"/>
                <w:szCs w:val="18"/>
              </w:rPr>
              <w:t>Management provides allowance for possible uncollectible accounts based on perio</w:t>
            </w:r>
            <w:r w:rsidR="006D101D" w:rsidRPr="00EF58BF">
              <w:rPr>
                <w:i/>
                <w:sz w:val="18"/>
                <w:szCs w:val="18"/>
              </w:rPr>
              <w:t>dic reviews of the condition of</w:t>
            </w:r>
            <w:r w:rsidR="002C6284" w:rsidRPr="00EF58BF">
              <w:rPr>
                <w:i/>
                <w:sz w:val="18"/>
                <w:szCs w:val="18"/>
                <w:lang w:val="id-ID"/>
              </w:rPr>
              <w:t xml:space="preserve"> </w:t>
            </w:r>
            <w:r w:rsidRPr="00EF58BF">
              <w:rPr>
                <w:i/>
                <w:sz w:val="18"/>
                <w:szCs w:val="18"/>
              </w:rPr>
              <w:t>the balance of individual accounts.</w:t>
            </w:r>
          </w:p>
        </w:tc>
      </w:tr>
      <w:tr w:rsidR="00363EE0" w:rsidRPr="002C6284" w14:paraId="7403B32A" w14:textId="77777777" w:rsidTr="00D40370">
        <w:tc>
          <w:tcPr>
            <w:tcW w:w="4598" w:type="dxa"/>
            <w:tcBorders>
              <w:top w:val="nil"/>
              <w:left w:val="nil"/>
              <w:bottom w:val="nil"/>
              <w:right w:val="nil"/>
            </w:tcBorders>
          </w:tcPr>
          <w:p w14:paraId="154310B2" w14:textId="77777777" w:rsidR="00363EE0" w:rsidRPr="00EF58BF" w:rsidRDefault="00363EE0" w:rsidP="009B16B0">
            <w:pPr>
              <w:pStyle w:val="ListParagraph"/>
              <w:ind w:left="345" w:right="-57"/>
              <w:jc w:val="both"/>
              <w:rPr>
                <w:sz w:val="12"/>
                <w:szCs w:val="18"/>
              </w:rPr>
            </w:pPr>
          </w:p>
        </w:tc>
        <w:tc>
          <w:tcPr>
            <w:tcW w:w="4598" w:type="dxa"/>
            <w:tcBorders>
              <w:top w:val="nil"/>
              <w:left w:val="nil"/>
              <w:bottom w:val="nil"/>
              <w:right w:val="nil"/>
            </w:tcBorders>
          </w:tcPr>
          <w:p w14:paraId="48E428F2" w14:textId="77777777" w:rsidR="00363EE0" w:rsidRPr="00EF58BF" w:rsidRDefault="00363EE0" w:rsidP="0013526B">
            <w:pPr>
              <w:pStyle w:val="ListParagraph"/>
              <w:tabs>
                <w:tab w:val="right" w:pos="9340"/>
                <w:tab w:val="right" w:pos="10080"/>
              </w:tabs>
              <w:ind w:left="357" w:right="-57"/>
              <w:jc w:val="both"/>
              <w:rPr>
                <w:i/>
                <w:sz w:val="12"/>
                <w:szCs w:val="18"/>
              </w:rPr>
            </w:pPr>
          </w:p>
        </w:tc>
      </w:tr>
      <w:tr w:rsidR="00363EE0" w:rsidRPr="00A31F1E" w14:paraId="6C303488" w14:textId="77777777" w:rsidTr="00D40370">
        <w:tc>
          <w:tcPr>
            <w:tcW w:w="4598" w:type="dxa"/>
            <w:tcBorders>
              <w:top w:val="nil"/>
              <w:left w:val="nil"/>
              <w:bottom w:val="nil"/>
              <w:right w:val="nil"/>
            </w:tcBorders>
          </w:tcPr>
          <w:p w14:paraId="4CFD37A3" w14:textId="01AA78D6" w:rsidR="00363EE0" w:rsidRPr="00EF58BF" w:rsidRDefault="00363EE0" w:rsidP="00627E9C">
            <w:pPr>
              <w:pStyle w:val="ListParagraph"/>
              <w:ind w:left="204" w:right="-57"/>
              <w:jc w:val="both"/>
              <w:rPr>
                <w:sz w:val="18"/>
                <w:szCs w:val="18"/>
              </w:rPr>
            </w:pPr>
            <w:r w:rsidRPr="00EF58BF">
              <w:rPr>
                <w:sz w:val="18"/>
                <w:szCs w:val="18"/>
              </w:rPr>
              <w:t>Manajemen berkeyakinan bahwa penyisihan penuruna</w:t>
            </w:r>
            <w:r w:rsidR="00627E9C">
              <w:rPr>
                <w:sz w:val="18"/>
                <w:szCs w:val="18"/>
              </w:rPr>
              <w:t>n nilai pada tanggal 31 Maret</w:t>
            </w:r>
            <w:r w:rsidRPr="00EF58BF">
              <w:rPr>
                <w:sz w:val="18"/>
                <w:szCs w:val="18"/>
              </w:rPr>
              <w:t xml:space="preserve"> 20</w:t>
            </w:r>
            <w:r w:rsidR="00627E9C">
              <w:rPr>
                <w:sz w:val="18"/>
                <w:szCs w:val="18"/>
              </w:rPr>
              <w:t>20</w:t>
            </w:r>
            <w:r w:rsidRPr="00EF58BF">
              <w:rPr>
                <w:sz w:val="18"/>
                <w:szCs w:val="18"/>
              </w:rPr>
              <w:t xml:space="preserve"> dan</w:t>
            </w:r>
            <w:r w:rsidR="00627E9C">
              <w:rPr>
                <w:sz w:val="18"/>
                <w:szCs w:val="18"/>
              </w:rPr>
              <w:t xml:space="preserve"> 31 Desember</w:t>
            </w:r>
            <w:r w:rsidRPr="00EF58BF">
              <w:rPr>
                <w:sz w:val="18"/>
                <w:szCs w:val="18"/>
              </w:rPr>
              <w:t xml:space="preserve"> </w:t>
            </w:r>
            <w:r w:rsidR="00E633B5" w:rsidRPr="00EF58BF">
              <w:rPr>
                <w:sz w:val="18"/>
                <w:szCs w:val="18"/>
              </w:rPr>
              <w:t>20</w:t>
            </w:r>
            <w:r w:rsidR="00627E9C">
              <w:rPr>
                <w:sz w:val="18"/>
                <w:szCs w:val="18"/>
              </w:rPr>
              <w:t xml:space="preserve">19 </w:t>
            </w:r>
            <w:r w:rsidRPr="00EF58BF">
              <w:rPr>
                <w:sz w:val="18"/>
                <w:szCs w:val="18"/>
              </w:rPr>
              <w:t xml:space="preserve"> adalah cukup untuk menutup kemungkinan kerugian atas tidak tertagihnya piutang usaha.</w:t>
            </w:r>
          </w:p>
        </w:tc>
        <w:tc>
          <w:tcPr>
            <w:tcW w:w="4598" w:type="dxa"/>
            <w:tcBorders>
              <w:top w:val="nil"/>
              <w:left w:val="nil"/>
              <w:bottom w:val="nil"/>
              <w:right w:val="nil"/>
            </w:tcBorders>
          </w:tcPr>
          <w:p w14:paraId="294C38EA" w14:textId="0172A9C7" w:rsidR="00363EE0" w:rsidRPr="00EF58BF" w:rsidRDefault="00363EE0" w:rsidP="00F32DFB">
            <w:pPr>
              <w:pStyle w:val="ListParagraph"/>
              <w:tabs>
                <w:tab w:val="right" w:pos="9340"/>
                <w:tab w:val="right" w:pos="10080"/>
              </w:tabs>
              <w:ind w:left="284" w:right="-57"/>
              <w:jc w:val="both"/>
              <w:rPr>
                <w:i/>
                <w:sz w:val="18"/>
                <w:szCs w:val="18"/>
              </w:rPr>
            </w:pPr>
            <w:r w:rsidRPr="00EF58BF">
              <w:rPr>
                <w:i/>
                <w:sz w:val="18"/>
                <w:szCs w:val="18"/>
              </w:rPr>
              <w:t>Management believes that the allowance f</w:t>
            </w:r>
            <w:r w:rsidR="00C85FA4" w:rsidRPr="00EF58BF">
              <w:rPr>
                <w:i/>
                <w:sz w:val="18"/>
                <w:szCs w:val="18"/>
              </w:rPr>
              <w:t xml:space="preserve">or impairment as at </w:t>
            </w:r>
            <w:r w:rsidR="00627E9C">
              <w:rPr>
                <w:i/>
                <w:sz w:val="18"/>
                <w:szCs w:val="18"/>
              </w:rPr>
              <w:t>March</w:t>
            </w:r>
            <w:r w:rsidR="00C85FA4" w:rsidRPr="00EF58BF">
              <w:rPr>
                <w:i/>
                <w:sz w:val="18"/>
                <w:szCs w:val="18"/>
              </w:rPr>
              <w:t xml:space="preserve"> 31</w:t>
            </w:r>
            <w:r w:rsidR="00F32DFB">
              <w:rPr>
                <w:i/>
                <w:sz w:val="18"/>
                <w:szCs w:val="18"/>
              </w:rPr>
              <w:t>,</w:t>
            </w:r>
            <w:r w:rsidR="00C85FA4" w:rsidRPr="00EF58BF">
              <w:rPr>
                <w:i/>
                <w:sz w:val="18"/>
                <w:szCs w:val="18"/>
              </w:rPr>
              <w:t xml:space="preserve"> </w:t>
            </w:r>
            <w:r w:rsidRPr="00EF58BF">
              <w:rPr>
                <w:i/>
                <w:sz w:val="18"/>
                <w:szCs w:val="18"/>
              </w:rPr>
              <w:t>20</w:t>
            </w:r>
            <w:r w:rsidR="00627E9C">
              <w:rPr>
                <w:i/>
                <w:sz w:val="18"/>
                <w:szCs w:val="18"/>
              </w:rPr>
              <w:t>20</w:t>
            </w:r>
            <w:r w:rsidRPr="00EF58BF">
              <w:rPr>
                <w:i/>
                <w:sz w:val="18"/>
                <w:szCs w:val="18"/>
              </w:rPr>
              <w:t xml:space="preserve"> and </w:t>
            </w:r>
            <w:r w:rsidR="00627E9C">
              <w:rPr>
                <w:i/>
                <w:sz w:val="18"/>
                <w:szCs w:val="18"/>
              </w:rPr>
              <w:t>December 31,</w:t>
            </w:r>
            <w:r w:rsidR="00F32DFB">
              <w:rPr>
                <w:i/>
                <w:sz w:val="18"/>
                <w:szCs w:val="18"/>
              </w:rPr>
              <w:t xml:space="preserve"> </w:t>
            </w:r>
            <w:r w:rsidRPr="00EF58BF">
              <w:rPr>
                <w:i/>
                <w:sz w:val="18"/>
                <w:szCs w:val="18"/>
              </w:rPr>
              <w:t>201</w:t>
            </w:r>
            <w:r w:rsidR="00627E9C">
              <w:rPr>
                <w:i/>
                <w:sz w:val="18"/>
                <w:szCs w:val="18"/>
              </w:rPr>
              <w:t>9</w:t>
            </w:r>
            <w:r w:rsidRPr="00EF58BF">
              <w:rPr>
                <w:i/>
                <w:sz w:val="18"/>
                <w:szCs w:val="18"/>
              </w:rPr>
              <w:t xml:space="preserve"> are adequate to cover possible losses from uncollectible accounts.</w:t>
            </w:r>
          </w:p>
        </w:tc>
      </w:tr>
    </w:tbl>
    <w:p w14:paraId="105C4935" w14:textId="46537833" w:rsidR="004A7DA5" w:rsidRDefault="004A7DA5" w:rsidP="00D6335E">
      <w:pPr>
        <w:jc w:val="both"/>
        <w:rPr>
          <w:sz w:val="12"/>
          <w:szCs w:val="18"/>
        </w:rPr>
      </w:pPr>
    </w:p>
    <w:tbl>
      <w:tblPr>
        <w:tblW w:w="9197" w:type="dxa"/>
        <w:tblInd w:w="113" w:type="dxa"/>
        <w:tblLayout w:type="fixed"/>
        <w:tblLook w:val="0000" w:firstRow="0" w:lastRow="0" w:firstColumn="0" w:lastColumn="0" w:noHBand="0" w:noVBand="0"/>
      </w:tblPr>
      <w:tblGrid>
        <w:gridCol w:w="4598"/>
        <w:gridCol w:w="4599"/>
      </w:tblGrid>
      <w:tr w:rsidR="007874BB" w:rsidRPr="0013526B" w14:paraId="0B4D93F4" w14:textId="77777777" w:rsidTr="003E17A9">
        <w:tc>
          <w:tcPr>
            <w:tcW w:w="2500" w:type="pct"/>
            <w:tcBorders>
              <w:top w:val="nil"/>
              <w:left w:val="nil"/>
              <w:bottom w:val="nil"/>
              <w:right w:val="nil"/>
            </w:tcBorders>
          </w:tcPr>
          <w:p w14:paraId="086E374C" w14:textId="77777777" w:rsidR="007874BB" w:rsidRPr="00302158" w:rsidRDefault="007874BB" w:rsidP="00070D1F">
            <w:pPr>
              <w:pStyle w:val="ListParagraph"/>
              <w:numPr>
                <w:ilvl w:val="0"/>
                <w:numId w:val="298"/>
              </w:numPr>
              <w:ind w:left="284" w:hanging="284"/>
              <w:contextualSpacing/>
              <w:jc w:val="both"/>
              <w:rPr>
                <w:b/>
                <w:sz w:val="18"/>
                <w:szCs w:val="18"/>
              </w:rPr>
            </w:pPr>
            <w:r w:rsidRPr="0013526B">
              <w:rPr>
                <w:sz w:val="18"/>
                <w:szCs w:val="18"/>
              </w:rPr>
              <w:br w:type="page"/>
            </w:r>
            <w:r w:rsidRPr="00302158">
              <w:rPr>
                <w:b/>
                <w:sz w:val="18"/>
                <w:szCs w:val="18"/>
                <w:lang w:val="id-ID"/>
              </w:rPr>
              <w:t>PIUTANG LAIN-LAIN</w:t>
            </w:r>
          </w:p>
        </w:tc>
        <w:tc>
          <w:tcPr>
            <w:tcW w:w="2500" w:type="pct"/>
            <w:tcBorders>
              <w:top w:val="nil"/>
              <w:left w:val="nil"/>
              <w:bottom w:val="nil"/>
              <w:right w:val="nil"/>
            </w:tcBorders>
          </w:tcPr>
          <w:p w14:paraId="074C0AF9" w14:textId="77777777" w:rsidR="007874BB" w:rsidRPr="0013526B" w:rsidRDefault="007874BB" w:rsidP="00070D1F">
            <w:pPr>
              <w:pStyle w:val="ListParagraph"/>
              <w:numPr>
                <w:ilvl w:val="0"/>
                <w:numId w:val="299"/>
              </w:numPr>
              <w:ind w:hanging="286"/>
              <w:contextualSpacing/>
              <w:jc w:val="both"/>
              <w:rPr>
                <w:b/>
                <w:i/>
                <w:sz w:val="18"/>
                <w:szCs w:val="18"/>
              </w:rPr>
            </w:pPr>
            <w:r>
              <w:rPr>
                <w:b/>
                <w:i/>
                <w:sz w:val="18"/>
                <w:szCs w:val="18"/>
                <w:lang w:val="id-ID"/>
              </w:rPr>
              <w:t>OTHER RECEIVABLES</w:t>
            </w:r>
          </w:p>
        </w:tc>
      </w:tr>
    </w:tbl>
    <w:p w14:paraId="3A31B289" w14:textId="77777777" w:rsidR="007874BB" w:rsidRPr="0088482C" w:rsidRDefault="007874BB" w:rsidP="007874BB">
      <w:pPr>
        <w:rPr>
          <w:sz w:val="12"/>
          <w:szCs w:val="18"/>
          <w:lang w:val="id-ID"/>
        </w:rPr>
      </w:pPr>
    </w:p>
    <w:tbl>
      <w:tblPr>
        <w:tblW w:w="9197" w:type="dxa"/>
        <w:tblInd w:w="112" w:type="dxa"/>
        <w:tblCellMar>
          <w:left w:w="0" w:type="dxa"/>
          <w:right w:w="0" w:type="dxa"/>
        </w:tblCellMar>
        <w:tblLook w:val="04A0" w:firstRow="1" w:lastRow="0" w:firstColumn="1" w:lastColumn="0" w:noHBand="0" w:noVBand="1"/>
      </w:tblPr>
      <w:tblGrid>
        <w:gridCol w:w="2857"/>
        <w:gridCol w:w="1680"/>
        <w:gridCol w:w="110"/>
        <w:gridCol w:w="1680"/>
        <w:gridCol w:w="2870"/>
      </w:tblGrid>
      <w:tr w:rsidR="00F32DFB" w:rsidRPr="0013526B" w14:paraId="1D572D49" w14:textId="77777777" w:rsidTr="00BC57BA">
        <w:tc>
          <w:tcPr>
            <w:tcW w:w="2857" w:type="dxa"/>
            <w:shd w:val="clear" w:color="auto" w:fill="auto"/>
          </w:tcPr>
          <w:p w14:paraId="1F9B02C5" w14:textId="77777777" w:rsidR="00F32DFB" w:rsidRPr="0013526B" w:rsidRDefault="00F32DFB" w:rsidP="00F32DFB">
            <w:pPr>
              <w:jc w:val="both"/>
              <w:rPr>
                <w:sz w:val="18"/>
                <w:szCs w:val="18"/>
              </w:rPr>
            </w:pPr>
          </w:p>
        </w:tc>
        <w:tc>
          <w:tcPr>
            <w:tcW w:w="1680" w:type="dxa"/>
            <w:tcBorders>
              <w:bottom w:val="single" w:sz="4" w:space="0" w:color="auto"/>
            </w:tcBorders>
            <w:shd w:val="clear" w:color="auto" w:fill="auto"/>
          </w:tcPr>
          <w:p w14:paraId="66C9D351" w14:textId="77777777" w:rsidR="00F32DFB" w:rsidRDefault="00F32DFB" w:rsidP="00F32DFB">
            <w:pPr>
              <w:jc w:val="center"/>
              <w:rPr>
                <w:b/>
                <w:sz w:val="18"/>
                <w:szCs w:val="18"/>
              </w:rPr>
            </w:pPr>
            <w:r>
              <w:rPr>
                <w:b/>
                <w:sz w:val="18"/>
                <w:szCs w:val="18"/>
              </w:rPr>
              <w:t>31 Maret/</w:t>
            </w:r>
          </w:p>
          <w:p w14:paraId="18C6009B" w14:textId="67BCC1A2" w:rsidR="00F32DFB" w:rsidRPr="0013526B" w:rsidRDefault="00F32DFB" w:rsidP="00F32DFB">
            <w:pPr>
              <w:jc w:val="center"/>
              <w:rPr>
                <w:b/>
                <w:sz w:val="18"/>
                <w:szCs w:val="18"/>
              </w:rPr>
            </w:pPr>
            <w:r>
              <w:rPr>
                <w:b/>
                <w:sz w:val="18"/>
                <w:szCs w:val="18"/>
              </w:rPr>
              <w:t>March 31, 2020</w:t>
            </w:r>
          </w:p>
        </w:tc>
        <w:tc>
          <w:tcPr>
            <w:tcW w:w="110" w:type="dxa"/>
            <w:shd w:val="clear" w:color="auto" w:fill="auto"/>
          </w:tcPr>
          <w:p w14:paraId="7F120742" w14:textId="77777777" w:rsidR="00F32DFB" w:rsidRPr="0013526B" w:rsidRDefault="00F32DFB" w:rsidP="00F32DFB">
            <w:pPr>
              <w:jc w:val="both"/>
              <w:rPr>
                <w:b/>
                <w:sz w:val="18"/>
                <w:szCs w:val="18"/>
              </w:rPr>
            </w:pPr>
          </w:p>
        </w:tc>
        <w:tc>
          <w:tcPr>
            <w:tcW w:w="1680" w:type="dxa"/>
            <w:tcBorders>
              <w:bottom w:val="single" w:sz="4" w:space="0" w:color="auto"/>
            </w:tcBorders>
          </w:tcPr>
          <w:p w14:paraId="4CC5DF67" w14:textId="77777777" w:rsidR="00F32DFB" w:rsidRDefault="00F32DFB" w:rsidP="00F32DFB">
            <w:pPr>
              <w:jc w:val="center"/>
              <w:rPr>
                <w:b/>
                <w:sz w:val="18"/>
                <w:szCs w:val="18"/>
              </w:rPr>
            </w:pPr>
            <w:r>
              <w:rPr>
                <w:b/>
                <w:sz w:val="18"/>
                <w:szCs w:val="18"/>
              </w:rPr>
              <w:t>31 Desember/</w:t>
            </w:r>
          </w:p>
          <w:p w14:paraId="71AD5DB8" w14:textId="5E186069" w:rsidR="00F32DFB" w:rsidRPr="0013526B" w:rsidRDefault="00F32DFB" w:rsidP="00F32DFB">
            <w:pPr>
              <w:jc w:val="center"/>
              <w:rPr>
                <w:b/>
                <w:sz w:val="18"/>
                <w:szCs w:val="18"/>
              </w:rPr>
            </w:pPr>
            <w:r>
              <w:rPr>
                <w:b/>
                <w:sz w:val="18"/>
                <w:szCs w:val="18"/>
              </w:rPr>
              <w:t xml:space="preserve">December 31, </w:t>
            </w:r>
            <w:r w:rsidRPr="0013526B">
              <w:rPr>
                <w:b/>
                <w:sz w:val="18"/>
                <w:szCs w:val="18"/>
              </w:rPr>
              <w:t>201</w:t>
            </w:r>
            <w:r>
              <w:rPr>
                <w:b/>
                <w:sz w:val="18"/>
                <w:szCs w:val="18"/>
              </w:rPr>
              <w:t>9</w:t>
            </w:r>
          </w:p>
        </w:tc>
        <w:tc>
          <w:tcPr>
            <w:tcW w:w="2870" w:type="dxa"/>
            <w:shd w:val="clear" w:color="auto" w:fill="auto"/>
          </w:tcPr>
          <w:p w14:paraId="22F147AB" w14:textId="77777777" w:rsidR="00F32DFB" w:rsidRPr="0013526B" w:rsidRDefault="00F32DFB" w:rsidP="00F32DFB">
            <w:pPr>
              <w:jc w:val="both"/>
              <w:rPr>
                <w:sz w:val="18"/>
                <w:szCs w:val="18"/>
              </w:rPr>
            </w:pPr>
          </w:p>
        </w:tc>
      </w:tr>
      <w:tr w:rsidR="007874BB" w:rsidRPr="0013526B" w14:paraId="5F917375" w14:textId="77777777" w:rsidTr="00BC57BA">
        <w:tc>
          <w:tcPr>
            <w:tcW w:w="2857" w:type="dxa"/>
            <w:shd w:val="clear" w:color="auto" w:fill="auto"/>
          </w:tcPr>
          <w:p w14:paraId="34710BE8" w14:textId="77777777" w:rsidR="007874BB" w:rsidRPr="0088482C" w:rsidRDefault="007874BB" w:rsidP="005B3956">
            <w:pPr>
              <w:jc w:val="both"/>
              <w:rPr>
                <w:sz w:val="12"/>
                <w:szCs w:val="18"/>
              </w:rPr>
            </w:pPr>
          </w:p>
        </w:tc>
        <w:tc>
          <w:tcPr>
            <w:tcW w:w="1680" w:type="dxa"/>
            <w:shd w:val="clear" w:color="auto" w:fill="auto"/>
            <w:vAlign w:val="bottom"/>
          </w:tcPr>
          <w:p w14:paraId="6FE29A92" w14:textId="77777777" w:rsidR="007874BB" w:rsidRPr="0088482C" w:rsidRDefault="007874BB" w:rsidP="003E17A9">
            <w:pPr>
              <w:jc w:val="center"/>
              <w:rPr>
                <w:b/>
                <w:sz w:val="12"/>
                <w:szCs w:val="18"/>
              </w:rPr>
            </w:pPr>
          </w:p>
        </w:tc>
        <w:tc>
          <w:tcPr>
            <w:tcW w:w="110" w:type="dxa"/>
            <w:shd w:val="clear" w:color="auto" w:fill="auto"/>
            <w:vAlign w:val="bottom"/>
          </w:tcPr>
          <w:p w14:paraId="6350C454" w14:textId="77777777" w:rsidR="007874BB" w:rsidRPr="0088482C" w:rsidRDefault="007874BB" w:rsidP="003E17A9">
            <w:pPr>
              <w:jc w:val="center"/>
              <w:rPr>
                <w:b/>
                <w:sz w:val="12"/>
                <w:szCs w:val="18"/>
              </w:rPr>
            </w:pPr>
          </w:p>
        </w:tc>
        <w:tc>
          <w:tcPr>
            <w:tcW w:w="1680" w:type="dxa"/>
            <w:tcBorders>
              <w:top w:val="single" w:sz="4" w:space="0" w:color="auto"/>
            </w:tcBorders>
            <w:vAlign w:val="bottom"/>
          </w:tcPr>
          <w:p w14:paraId="2C88BCEF" w14:textId="77777777" w:rsidR="007874BB" w:rsidRPr="0088482C" w:rsidRDefault="007874BB" w:rsidP="003E17A9">
            <w:pPr>
              <w:jc w:val="center"/>
              <w:rPr>
                <w:b/>
                <w:sz w:val="12"/>
                <w:szCs w:val="18"/>
              </w:rPr>
            </w:pPr>
          </w:p>
        </w:tc>
        <w:tc>
          <w:tcPr>
            <w:tcW w:w="2870" w:type="dxa"/>
            <w:shd w:val="clear" w:color="auto" w:fill="auto"/>
          </w:tcPr>
          <w:p w14:paraId="14C4DE51" w14:textId="77777777" w:rsidR="007874BB" w:rsidRPr="0088482C" w:rsidRDefault="007874BB" w:rsidP="003E17A9">
            <w:pPr>
              <w:jc w:val="both"/>
              <w:rPr>
                <w:sz w:val="12"/>
                <w:szCs w:val="18"/>
              </w:rPr>
            </w:pPr>
          </w:p>
        </w:tc>
      </w:tr>
      <w:tr w:rsidR="007B7431" w:rsidRPr="0013526B" w14:paraId="776391FD" w14:textId="77777777" w:rsidTr="00BC57BA">
        <w:tc>
          <w:tcPr>
            <w:tcW w:w="2857" w:type="dxa"/>
            <w:shd w:val="clear" w:color="auto" w:fill="auto"/>
          </w:tcPr>
          <w:p w14:paraId="53206180" w14:textId="77777777" w:rsidR="007B7431" w:rsidRPr="00D718AE" w:rsidRDefault="007B7431" w:rsidP="007B7431">
            <w:pPr>
              <w:ind w:left="391"/>
              <w:jc w:val="both"/>
              <w:rPr>
                <w:sz w:val="10"/>
                <w:szCs w:val="10"/>
                <w:lang w:val="en-ID"/>
              </w:rPr>
            </w:pPr>
          </w:p>
        </w:tc>
        <w:tc>
          <w:tcPr>
            <w:tcW w:w="1680" w:type="dxa"/>
            <w:shd w:val="clear" w:color="auto" w:fill="auto"/>
            <w:vAlign w:val="bottom"/>
          </w:tcPr>
          <w:p w14:paraId="1C493EE6" w14:textId="77777777" w:rsidR="007B7431" w:rsidRPr="00C66E38" w:rsidRDefault="007B7431" w:rsidP="007B7431">
            <w:pPr>
              <w:ind w:right="57"/>
              <w:jc w:val="right"/>
              <w:rPr>
                <w:sz w:val="10"/>
                <w:szCs w:val="10"/>
                <w:highlight w:val="green"/>
                <w:lang w:val="en-ID"/>
              </w:rPr>
            </w:pPr>
          </w:p>
        </w:tc>
        <w:tc>
          <w:tcPr>
            <w:tcW w:w="110" w:type="dxa"/>
            <w:shd w:val="clear" w:color="auto" w:fill="auto"/>
            <w:vAlign w:val="bottom"/>
          </w:tcPr>
          <w:p w14:paraId="40FEB766" w14:textId="77777777" w:rsidR="007B7431" w:rsidRPr="00C66E38" w:rsidRDefault="007B7431" w:rsidP="007B7431">
            <w:pPr>
              <w:jc w:val="center"/>
              <w:rPr>
                <w:sz w:val="10"/>
                <w:szCs w:val="10"/>
                <w:highlight w:val="green"/>
              </w:rPr>
            </w:pPr>
          </w:p>
        </w:tc>
        <w:tc>
          <w:tcPr>
            <w:tcW w:w="1680" w:type="dxa"/>
            <w:vAlign w:val="bottom"/>
          </w:tcPr>
          <w:p w14:paraId="06CEA697" w14:textId="77777777" w:rsidR="007B7431" w:rsidRPr="00C66E38" w:rsidRDefault="007B7431" w:rsidP="007B7431">
            <w:pPr>
              <w:ind w:right="57"/>
              <w:jc w:val="right"/>
              <w:rPr>
                <w:sz w:val="10"/>
                <w:szCs w:val="10"/>
                <w:highlight w:val="green"/>
                <w:lang w:val="en-ID"/>
              </w:rPr>
            </w:pPr>
          </w:p>
        </w:tc>
        <w:tc>
          <w:tcPr>
            <w:tcW w:w="2870" w:type="dxa"/>
            <w:shd w:val="clear" w:color="auto" w:fill="auto"/>
          </w:tcPr>
          <w:p w14:paraId="40D99CDD" w14:textId="77777777" w:rsidR="007B7431" w:rsidRPr="00D718AE" w:rsidRDefault="007B7431" w:rsidP="007B7431">
            <w:pPr>
              <w:ind w:right="255"/>
              <w:jc w:val="right"/>
              <w:rPr>
                <w:i/>
                <w:sz w:val="10"/>
                <w:szCs w:val="10"/>
              </w:rPr>
            </w:pPr>
          </w:p>
        </w:tc>
      </w:tr>
      <w:tr w:rsidR="007B7431" w:rsidRPr="0013526B" w14:paraId="11773DED" w14:textId="77777777" w:rsidTr="00BC57BA">
        <w:tc>
          <w:tcPr>
            <w:tcW w:w="2857" w:type="dxa"/>
            <w:shd w:val="clear" w:color="auto" w:fill="auto"/>
          </w:tcPr>
          <w:p w14:paraId="41E49098" w14:textId="77777777" w:rsidR="007B7431" w:rsidRPr="00F56361" w:rsidRDefault="007B7431" w:rsidP="007B7431">
            <w:pPr>
              <w:ind w:left="391"/>
              <w:jc w:val="both"/>
              <w:rPr>
                <w:sz w:val="18"/>
                <w:szCs w:val="18"/>
                <w:lang w:val="en-ID"/>
              </w:rPr>
            </w:pPr>
            <w:r>
              <w:rPr>
                <w:sz w:val="18"/>
                <w:szCs w:val="18"/>
                <w:lang w:val="en-ID"/>
              </w:rPr>
              <w:t>Pihak ketiga</w:t>
            </w:r>
          </w:p>
        </w:tc>
        <w:tc>
          <w:tcPr>
            <w:tcW w:w="1680" w:type="dxa"/>
            <w:shd w:val="clear" w:color="auto" w:fill="auto"/>
            <w:vAlign w:val="bottom"/>
          </w:tcPr>
          <w:p w14:paraId="788BF075" w14:textId="77777777" w:rsidR="007B7431" w:rsidRPr="00C66E38" w:rsidRDefault="007B7431" w:rsidP="007B7431">
            <w:pPr>
              <w:ind w:right="57"/>
              <w:jc w:val="right"/>
              <w:rPr>
                <w:sz w:val="18"/>
                <w:szCs w:val="18"/>
                <w:highlight w:val="green"/>
                <w:lang w:val="en-ID"/>
              </w:rPr>
            </w:pPr>
          </w:p>
        </w:tc>
        <w:tc>
          <w:tcPr>
            <w:tcW w:w="110" w:type="dxa"/>
            <w:shd w:val="clear" w:color="auto" w:fill="auto"/>
            <w:vAlign w:val="bottom"/>
          </w:tcPr>
          <w:p w14:paraId="2B949F28" w14:textId="77777777" w:rsidR="007B7431" w:rsidRPr="00C66E38" w:rsidRDefault="007B7431" w:rsidP="007B7431">
            <w:pPr>
              <w:jc w:val="center"/>
              <w:rPr>
                <w:sz w:val="18"/>
                <w:szCs w:val="18"/>
                <w:highlight w:val="green"/>
              </w:rPr>
            </w:pPr>
          </w:p>
        </w:tc>
        <w:tc>
          <w:tcPr>
            <w:tcW w:w="1680" w:type="dxa"/>
            <w:vAlign w:val="bottom"/>
          </w:tcPr>
          <w:p w14:paraId="7FAA95AC" w14:textId="77777777" w:rsidR="007B7431" w:rsidRPr="00C66E38" w:rsidRDefault="007B7431" w:rsidP="007B7431">
            <w:pPr>
              <w:ind w:right="57"/>
              <w:jc w:val="right"/>
              <w:rPr>
                <w:sz w:val="18"/>
                <w:szCs w:val="18"/>
                <w:highlight w:val="green"/>
                <w:lang w:val="en-ID"/>
              </w:rPr>
            </w:pPr>
          </w:p>
        </w:tc>
        <w:tc>
          <w:tcPr>
            <w:tcW w:w="2870" w:type="dxa"/>
            <w:shd w:val="clear" w:color="auto" w:fill="auto"/>
          </w:tcPr>
          <w:p w14:paraId="4E3CE703" w14:textId="77777777" w:rsidR="007B7431" w:rsidRPr="008C5DCC" w:rsidRDefault="007B7431" w:rsidP="007B7431">
            <w:pPr>
              <w:ind w:right="107"/>
              <w:jc w:val="right"/>
              <w:rPr>
                <w:i/>
                <w:sz w:val="18"/>
              </w:rPr>
            </w:pPr>
            <w:r>
              <w:rPr>
                <w:i/>
                <w:sz w:val="18"/>
              </w:rPr>
              <w:t xml:space="preserve">Third parties </w:t>
            </w:r>
          </w:p>
        </w:tc>
      </w:tr>
      <w:tr w:rsidR="007B7431" w:rsidRPr="0013526B" w14:paraId="204BA646" w14:textId="77777777" w:rsidTr="00BC57BA">
        <w:tc>
          <w:tcPr>
            <w:tcW w:w="2857" w:type="dxa"/>
            <w:shd w:val="clear" w:color="auto" w:fill="auto"/>
          </w:tcPr>
          <w:p w14:paraId="403168B0" w14:textId="079D62E8" w:rsidR="007B7431" w:rsidRDefault="007B7431" w:rsidP="007B7431">
            <w:pPr>
              <w:ind w:left="531"/>
              <w:jc w:val="both"/>
              <w:rPr>
                <w:sz w:val="18"/>
                <w:szCs w:val="18"/>
                <w:lang w:val="en-ID"/>
              </w:rPr>
            </w:pPr>
            <w:r>
              <w:rPr>
                <w:sz w:val="18"/>
                <w:szCs w:val="18"/>
                <w:lang w:val="en-ID"/>
              </w:rPr>
              <w:t xml:space="preserve">Lain-lain (masing </w:t>
            </w:r>
            <w:r w:rsidR="00EC6677">
              <w:rPr>
                <w:sz w:val="18"/>
                <w:szCs w:val="18"/>
                <w:lang w:val="en-ID"/>
              </w:rPr>
              <w:t>–</w:t>
            </w:r>
            <w:r>
              <w:rPr>
                <w:sz w:val="18"/>
                <w:szCs w:val="18"/>
                <w:lang w:val="en-ID"/>
              </w:rPr>
              <w:t xml:space="preserve"> masing</w:t>
            </w:r>
          </w:p>
          <w:p w14:paraId="61FB90EE" w14:textId="74D5913B" w:rsidR="007B7431" w:rsidRPr="00F56361" w:rsidRDefault="007B7431" w:rsidP="007B7431">
            <w:pPr>
              <w:ind w:left="643"/>
              <w:jc w:val="both"/>
              <w:rPr>
                <w:sz w:val="18"/>
                <w:szCs w:val="18"/>
                <w:lang w:val="en-ID"/>
              </w:rPr>
            </w:pPr>
            <w:r>
              <w:rPr>
                <w:sz w:val="18"/>
                <w:szCs w:val="18"/>
                <w:lang w:val="en-ID"/>
              </w:rPr>
              <w:t xml:space="preserve">dibawah Rp 100 juta) </w:t>
            </w:r>
          </w:p>
        </w:tc>
        <w:tc>
          <w:tcPr>
            <w:tcW w:w="1680" w:type="dxa"/>
            <w:tcBorders>
              <w:bottom w:val="single" w:sz="4" w:space="0" w:color="auto"/>
            </w:tcBorders>
            <w:shd w:val="clear" w:color="auto" w:fill="auto"/>
            <w:vAlign w:val="bottom"/>
          </w:tcPr>
          <w:p w14:paraId="0AF3D9EC" w14:textId="4021F9D4" w:rsidR="007B7431" w:rsidRPr="008F7E35" w:rsidRDefault="00F32DFB" w:rsidP="008F7E35">
            <w:pPr>
              <w:ind w:right="57"/>
              <w:jc w:val="right"/>
              <w:rPr>
                <w:sz w:val="18"/>
                <w:szCs w:val="18"/>
              </w:rPr>
            </w:pPr>
            <w:r w:rsidRPr="008F7E35">
              <w:rPr>
                <w:sz w:val="18"/>
                <w:szCs w:val="18"/>
                <w:lang w:val="en-ID"/>
              </w:rPr>
              <w:t>3.773.319.</w:t>
            </w:r>
            <w:r w:rsidR="00FE0294" w:rsidRPr="008F7E35">
              <w:rPr>
                <w:sz w:val="18"/>
                <w:szCs w:val="18"/>
                <w:lang w:val="en-ID"/>
              </w:rPr>
              <w:t>5</w:t>
            </w:r>
            <w:r w:rsidR="006A55F7" w:rsidRPr="008F7E35">
              <w:rPr>
                <w:sz w:val="18"/>
                <w:szCs w:val="18"/>
                <w:lang w:val="id-ID"/>
              </w:rPr>
              <w:t>4</w:t>
            </w:r>
            <w:r w:rsidR="008F7E35" w:rsidRPr="008F7E35">
              <w:rPr>
                <w:sz w:val="18"/>
                <w:szCs w:val="18"/>
              </w:rPr>
              <w:t>2</w:t>
            </w:r>
          </w:p>
        </w:tc>
        <w:tc>
          <w:tcPr>
            <w:tcW w:w="110" w:type="dxa"/>
            <w:shd w:val="clear" w:color="auto" w:fill="auto"/>
            <w:vAlign w:val="bottom"/>
          </w:tcPr>
          <w:p w14:paraId="47FBF5F2" w14:textId="77777777" w:rsidR="007B7431" w:rsidRPr="00EC6677" w:rsidRDefault="007B7431" w:rsidP="007B7431">
            <w:pPr>
              <w:jc w:val="center"/>
              <w:rPr>
                <w:sz w:val="18"/>
                <w:szCs w:val="18"/>
              </w:rPr>
            </w:pPr>
          </w:p>
        </w:tc>
        <w:tc>
          <w:tcPr>
            <w:tcW w:w="1680" w:type="dxa"/>
            <w:tcBorders>
              <w:bottom w:val="single" w:sz="4" w:space="0" w:color="auto"/>
            </w:tcBorders>
            <w:vAlign w:val="bottom"/>
          </w:tcPr>
          <w:p w14:paraId="28171C22" w14:textId="524ED130" w:rsidR="007B7431" w:rsidRPr="00EC6677" w:rsidRDefault="007B7431" w:rsidP="007B7431">
            <w:pPr>
              <w:ind w:right="57"/>
              <w:jc w:val="right"/>
              <w:rPr>
                <w:sz w:val="18"/>
                <w:szCs w:val="18"/>
                <w:lang w:val="en-ID"/>
              </w:rPr>
            </w:pPr>
            <w:r w:rsidRPr="00EC6677">
              <w:rPr>
                <w:sz w:val="18"/>
                <w:szCs w:val="18"/>
                <w:lang w:val="en-ID"/>
              </w:rPr>
              <w:t>3.918.547.531</w:t>
            </w:r>
          </w:p>
        </w:tc>
        <w:tc>
          <w:tcPr>
            <w:tcW w:w="2870" w:type="dxa"/>
            <w:shd w:val="clear" w:color="auto" w:fill="auto"/>
          </w:tcPr>
          <w:p w14:paraId="199F0850" w14:textId="77777777" w:rsidR="007B7431" w:rsidRDefault="007B7431" w:rsidP="007B7431">
            <w:pPr>
              <w:ind w:right="255"/>
              <w:jc w:val="right"/>
              <w:rPr>
                <w:i/>
                <w:sz w:val="18"/>
              </w:rPr>
            </w:pPr>
            <w:r>
              <w:rPr>
                <w:i/>
                <w:sz w:val="18"/>
              </w:rPr>
              <w:t xml:space="preserve">Other (each below </w:t>
            </w:r>
          </w:p>
          <w:p w14:paraId="050EB53D" w14:textId="77777777" w:rsidR="007B7431" w:rsidRPr="008C5DCC" w:rsidRDefault="007B7431" w:rsidP="007B7431">
            <w:pPr>
              <w:ind w:left="720" w:right="397" w:hanging="720"/>
              <w:jc w:val="right"/>
              <w:rPr>
                <w:i/>
                <w:sz w:val="18"/>
              </w:rPr>
            </w:pPr>
            <w:r>
              <w:rPr>
                <w:i/>
                <w:sz w:val="18"/>
              </w:rPr>
              <w:t>Rp 100 million)</w:t>
            </w:r>
          </w:p>
        </w:tc>
      </w:tr>
      <w:tr w:rsidR="007B7431" w:rsidRPr="0013526B" w14:paraId="4D35D00E" w14:textId="77777777" w:rsidTr="00BC57BA">
        <w:tc>
          <w:tcPr>
            <w:tcW w:w="2857" w:type="dxa"/>
            <w:shd w:val="clear" w:color="auto" w:fill="auto"/>
          </w:tcPr>
          <w:p w14:paraId="11369F5A" w14:textId="77777777" w:rsidR="007B7431" w:rsidRPr="00D71B91" w:rsidRDefault="007B7431" w:rsidP="007B7431">
            <w:pPr>
              <w:ind w:left="391"/>
              <w:jc w:val="both"/>
              <w:rPr>
                <w:sz w:val="10"/>
                <w:szCs w:val="10"/>
                <w:lang w:val="en-ID"/>
              </w:rPr>
            </w:pPr>
          </w:p>
        </w:tc>
        <w:tc>
          <w:tcPr>
            <w:tcW w:w="1680" w:type="dxa"/>
            <w:tcBorders>
              <w:top w:val="single" w:sz="4" w:space="0" w:color="auto"/>
            </w:tcBorders>
            <w:shd w:val="clear" w:color="auto" w:fill="auto"/>
            <w:vAlign w:val="bottom"/>
          </w:tcPr>
          <w:p w14:paraId="778C03F4" w14:textId="77777777" w:rsidR="007B7431" w:rsidRPr="008F7E35" w:rsidRDefault="007B7431" w:rsidP="007B7431">
            <w:pPr>
              <w:ind w:right="57"/>
              <w:jc w:val="right"/>
              <w:rPr>
                <w:sz w:val="10"/>
                <w:szCs w:val="10"/>
                <w:lang w:val="en-ID"/>
              </w:rPr>
            </w:pPr>
          </w:p>
        </w:tc>
        <w:tc>
          <w:tcPr>
            <w:tcW w:w="110" w:type="dxa"/>
            <w:shd w:val="clear" w:color="auto" w:fill="auto"/>
            <w:vAlign w:val="bottom"/>
          </w:tcPr>
          <w:p w14:paraId="518093B0" w14:textId="77777777" w:rsidR="007B7431" w:rsidRPr="00EC6677" w:rsidRDefault="007B7431" w:rsidP="007B7431">
            <w:pPr>
              <w:jc w:val="center"/>
              <w:rPr>
                <w:sz w:val="10"/>
                <w:szCs w:val="10"/>
              </w:rPr>
            </w:pPr>
          </w:p>
        </w:tc>
        <w:tc>
          <w:tcPr>
            <w:tcW w:w="1680" w:type="dxa"/>
            <w:tcBorders>
              <w:top w:val="single" w:sz="4" w:space="0" w:color="auto"/>
            </w:tcBorders>
            <w:vAlign w:val="bottom"/>
          </w:tcPr>
          <w:p w14:paraId="4CAE9E14" w14:textId="77777777" w:rsidR="007B7431" w:rsidRPr="00EC6677" w:rsidRDefault="007B7431" w:rsidP="007B7431">
            <w:pPr>
              <w:ind w:right="57"/>
              <w:jc w:val="right"/>
              <w:rPr>
                <w:sz w:val="10"/>
                <w:szCs w:val="10"/>
                <w:lang w:val="en-ID"/>
              </w:rPr>
            </w:pPr>
          </w:p>
        </w:tc>
        <w:tc>
          <w:tcPr>
            <w:tcW w:w="2870" w:type="dxa"/>
            <w:shd w:val="clear" w:color="auto" w:fill="auto"/>
          </w:tcPr>
          <w:p w14:paraId="61F3489E" w14:textId="77777777" w:rsidR="007B7431" w:rsidRPr="00D71B91" w:rsidRDefault="007B7431" w:rsidP="007B7431">
            <w:pPr>
              <w:ind w:right="255"/>
              <w:jc w:val="right"/>
              <w:rPr>
                <w:i/>
                <w:sz w:val="10"/>
                <w:szCs w:val="10"/>
              </w:rPr>
            </w:pPr>
          </w:p>
        </w:tc>
      </w:tr>
      <w:tr w:rsidR="007B7431" w:rsidRPr="0013526B" w14:paraId="10A478DC" w14:textId="77777777" w:rsidTr="00BC57BA">
        <w:tc>
          <w:tcPr>
            <w:tcW w:w="2857" w:type="dxa"/>
            <w:shd w:val="clear" w:color="auto" w:fill="auto"/>
          </w:tcPr>
          <w:p w14:paraId="247B9030" w14:textId="77777777" w:rsidR="007B7431" w:rsidRPr="00F56361" w:rsidRDefault="007B7431" w:rsidP="007B7431">
            <w:pPr>
              <w:ind w:left="391"/>
              <w:jc w:val="both"/>
              <w:rPr>
                <w:sz w:val="18"/>
                <w:szCs w:val="18"/>
                <w:lang w:val="en-ID"/>
              </w:rPr>
            </w:pPr>
            <w:r>
              <w:rPr>
                <w:sz w:val="18"/>
                <w:szCs w:val="18"/>
                <w:lang w:val="en-ID"/>
              </w:rPr>
              <w:t>Sub-jumlah pihak ketiga</w:t>
            </w:r>
          </w:p>
        </w:tc>
        <w:tc>
          <w:tcPr>
            <w:tcW w:w="1680" w:type="dxa"/>
            <w:shd w:val="clear" w:color="auto" w:fill="auto"/>
            <w:vAlign w:val="bottom"/>
          </w:tcPr>
          <w:p w14:paraId="335758E1" w14:textId="505E49F9" w:rsidR="007B7431" w:rsidRPr="008F7E35" w:rsidRDefault="00F32DFB" w:rsidP="008F7E35">
            <w:pPr>
              <w:ind w:right="57"/>
              <w:jc w:val="right"/>
              <w:rPr>
                <w:sz w:val="18"/>
                <w:szCs w:val="18"/>
              </w:rPr>
            </w:pPr>
            <w:r w:rsidRPr="008F7E35">
              <w:rPr>
                <w:sz w:val="18"/>
                <w:szCs w:val="18"/>
                <w:lang w:val="en-ID"/>
              </w:rPr>
              <w:t>3.773.319.</w:t>
            </w:r>
            <w:r w:rsidR="00EC6677" w:rsidRPr="008F7E35">
              <w:rPr>
                <w:sz w:val="18"/>
                <w:szCs w:val="18"/>
                <w:lang w:val="en-ID"/>
              </w:rPr>
              <w:t>5</w:t>
            </w:r>
            <w:r w:rsidR="006A55F7" w:rsidRPr="008F7E35">
              <w:rPr>
                <w:sz w:val="18"/>
                <w:szCs w:val="18"/>
                <w:lang w:val="id-ID"/>
              </w:rPr>
              <w:t>4</w:t>
            </w:r>
            <w:r w:rsidR="008F7E35" w:rsidRPr="008F7E35">
              <w:rPr>
                <w:sz w:val="18"/>
                <w:szCs w:val="18"/>
              </w:rPr>
              <w:t>2</w:t>
            </w:r>
          </w:p>
        </w:tc>
        <w:tc>
          <w:tcPr>
            <w:tcW w:w="110" w:type="dxa"/>
            <w:shd w:val="clear" w:color="auto" w:fill="auto"/>
            <w:vAlign w:val="bottom"/>
          </w:tcPr>
          <w:p w14:paraId="38F9889B" w14:textId="77777777" w:rsidR="007B7431" w:rsidRPr="00EC6677" w:rsidRDefault="007B7431" w:rsidP="007B7431">
            <w:pPr>
              <w:jc w:val="center"/>
              <w:rPr>
                <w:sz w:val="18"/>
                <w:szCs w:val="18"/>
              </w:rPr>
            </w:pPr>
          </w:p>
        </w:tc>
        <w:tc>
          <w:tcPr>
            <w:tcW w:w="1680" w:type="dxa"/>
            <w:vAlign w:val="bottom"/>
          </w:tcPr>
          <w:p w14:paraId="57FA661E" w14:textId="7824B6B7" w:rsidR="007B7431" w:rsidRPr="00EC6677" w:rsidRDefault="007B7431" w:rsidP="007B7431">
            <w:pPr>
              <w:ind w:right="57"/>
              <w:jc w:val="right"/>
              <w:rPr>
                <w:sz w:val="18"/>
                <w:szCs w:val="18"/>
                <w:lang w:val="en-ID"/>
              </w:rPr>
            </w:pPr>
            <w:r w:rsidRPr="00EC6677">
              <w:rPr>
                <w:sz w:val="18"/>
                <w:szCs w:val="18"/>
                <w:lang w:val="en-ID"/>
              </w:rPr>
              <w:t>3.918.547.531</w:t>
            </w:r>
          </w:p>
        </w:tc>
        <w:tc>
          <w:tcPr>
            <w:tcW w:w="2870" w:type="dxa"/>
            <w:shd w:val="clear" w:color="auto" w:fill="auto"/>
          </w:tcPr>
          <w:p w14:paraId="3C2C7580" w14:textId="77777777" w:rsidR="007B7431" w:rsidRPr="008C5DCC" w:rsidRDefault="007B7431" w:rsidP="007B7431">
            <w:pPr>
              <w:tabs>
                <w:tab w:val="left" w:pos="2495"/>
              </w:tabs>
              <w:ind w:right="107"/>
              <w:jc w:val="right"/>
              <w:rPr>
                <w:i/>
                <w:sz w:val="18"/>
              </w:rPr>
            </w:pPr>
            <w:r>
              <w:rPr>
                <w:i/>
                <w:sz w:val="18"/>
              </w:rPr>
              <w:t xml:space="preserve">Sub-total third parties </w:t>
            </w:r>
          </w:p>
        </w:tc>
      </w:tr>
      <w:tr w:rsidR="007B7431" w:rsidRPr="00D6335E" w14:paraId="63D8FFC2" w14:textId="77777777" w:rsidTr="00BC57BA">
        <w:tc>
          <w:tcPr>
            <w:tcW w:w="2857" w:type="dxa"/>
            <w:shd w:val="clear" w:color="auto" w:fill="auto"/>
          </w:tcPr>
          <w:p w14:paraId="10BD3CBB" w14:textId="77777777" w:rsidR="007B7431" w:rsidRPr="00D6335E" w:rsidRDefault="007B7431" w:rsidP="007B7431">
            <w:pPr>
              <w:ind w:left="391"/>
              <w:jc w:val="both"/>
              <w:rPr>
                <w:sz w:val="8"/>
                <w:szCs w:val="8"/>
              </w:rPr>
            </w:pPr>
          </w:p>
        </w:tc>
        <w:tc>
          <w:tcPr>
            <w:tcW w:w="1680" w:type="dxa"/>
            <w:tcBorders>
              <w:top w:val="single" w:sz="4" w:space="0" w:color="auto"/>
            </w:tcBorders>
            <w:shd w:val="clear" w:color="auto" w:fill="auto"/>
            <w:vAlign w:val="bottom"/>
          </w:tcPr>
          <w:p w14:paraId="46CF9D3D" w14:textId="77777777" w:rsidR="007B7431" w:rsidRPr="008F7E35" w:rsidRDefault="007B7431" w:rsidP="007B7431">
            <w:pPr>
              <w:ind w:right="57"/>
              <w:jc w:val="right"/>
              <w:rPr>
                <w:sz w:val="8"/>
                <w:szCs w:val="8"/>
              </w:rPr>
            </w:pPr>
          </w:p>
        </w:tc>
        <w:tc>
          <w:tcPr>
            <w:tcW w:w="110" w:type="dxa"/>
            <w:shd w:val="clear" w:color="auto" w:fill="auto"/>
            <w:vAlign w:val="bottom"/>
          </w:tcPr>
          <w:p w14:paraId="25CFF5B1" w14:textId="77777777" w:rsidR="007B7431" w:rsidRPr="00EC6677" w:rsidRDefault="007B7431" w:rsidP="007B7431">
            <w:pPr>
              <w:jc w:val="center"/>
              <w:rPr>
                <w:sz w:val="8"/>
                <w:szCs w:val="8"/>
              </w:rPr>
            </w:pPr>
          </w:p>
        </w:tc>
        <w:tc>
          <w:tcPr>
            <w:tcW w:w="1680" w:type="dxa"/>
            <w:tcBorders>
              <w:top w:val="single" w:sz="4" w:space="0" w:color="auto"/>
            </w:tcBorders>
            <w:vAlign w:val="bottom"/>
          </w:tcPr>
          <w:p w14:paraId="36115A8C" w14:textId="77777777" w:rsidR="007B7431" w:rsidRPr="00EC6677" w:rsidRDefault="007B7431" w:rsidP="007B7431">
            <w:pPr>
              <w:ind w:right="57"/>
              <w:jc w:val="right"/>
              <w:rPr>
                <w:sz w:val="8"/>
                <w:szCs w:val="8"/>
                <w:lang w:val="en-ID"/>
              </w:rPr>
            </w:pPr>
          </w:p>
        </w:tc>
        <w:tc>
          <w:tcPr>
            <w:tcW w:w="2870" w:type="dxa"/>
            <w:shd w:val="clear" w:color="auto" w:fill="auto"/>
          </w:tcPr>
          <w:p w14:paraId="52CB7F21" w14:textId="77777777" w:rsidR="007B7431" w:rsidRPr="00D6335E" w:rsidRDefault="007B7431" w:rsidP="007B7431">
            <w:pPr>
              <w:jc w:val="right"/>
              <w:rPr>
                <w:i/>
                <w:sz w:val="8"/>
                <w:szCs w:val="8"/>
              </w:rPr>
            </w:pPr>
          </w:p>
        </w:tc>
      </w:tr>
      <w:tr w:rsidR="007B7431" w:rsidRPr="0013526B" w14:paraId="5A871DCD" w14:textId="77777777" w:rsidTr="00BC57BA">
        <w:trPr>
          <w:trHeight w:val="292"/>
        </w:trPr>
        <w:tc>
          <w:tcPr>
            <w:tcW w:w="2857" w:type="dxa"/>
            <w:shd w:val="clear" w:color="auto" w:fill="auto"/>
            <w:vAlign w:val="bottom"/>
          </w:tcPr>
          <w:p w14:paraId="16D8AF76" w14:textId="77777777" w:rsidR="007B7431" w:rsidRPr="0000080B" w:rsidRDefault="007B7431" w:rsidP="007B7431">
            <w:pPr>
              <w:ind w:left="391"/>
              <w:jc w:val="both"/>
              <w:rPr>
                <w:b/>
                <w:bCs w:val="0"/>
                <w:sz w:val="18"/>
                <w:szCs w:val="18"/>
              </w:rPr>
            </w:pPr>
            <w:r w:rsidRPr="0000080B">
              <w:rPr>
                <w:b/>
                <w:bCs w:val="0"/>
                <w:sz w:val="18"/>
                <w:szCs w:val="18"/>
                <w:lang w:val="en-ID"/>
              </w:rPr>
              <w:t>Jumlah piutang lain-lain</w:t>
            </w:r>
          </w:p>
        </w:tc>
        <w:tc>
          <w:tcPr>
            <w:tcW w:w="1680" w:type="dxa"/>
            <w:tcBorders>
              <w:bottom w:val="double" w:sz="4" w:space="0" w:color="auto"/>
            </w:tcBorders>
            <w:shd w:val="clear" w:color="auto" w:fill="auto"/>
            <w:vAlign w:val="bottom"/>
          </w:tcPr>
          <w:p w14:paraId="11D0109F" w14:textId="1A2C5749" w:rsidR="007B7431" w:rsidRPr="008F7E35" w:rsidRDefault="00F32DFB" w:rsidP="008F7E35">
            <w:pPr>
              <w:ind w:right="57"/>
              <w:jc w:val="right"/>
              <w:rPr>
                <w:b/>
                <w:sz w:val="18"/>
                <w:szCs w:val="18"/>
              </w:rPr>
            </w:pPr>
            <w:r w:rsidRPr="008F7E35">
              <w:rPr>
                <w:b/>
                <w:sz w:val="18"/>
                <w:szCs w:val="18"/>
              </w:rPr>
              <w:t>3.773.319.</w:t>
            </w:r>
            <w:r w:rsidR="00EC6677" w:rsidRPr="008F7E35">
              <w:rPr>
                <w:b/>
                <w:sz w:val="18"/>
                <w:szCs w:val="18"/>
              </w:rPr>
              <w:t>5</w:t>
            </w:r>
            <w:r w:rsidR="006A55F7" w:rsidRPr="008F7E35">
              <w:rPr>
                <w:b/>
                <w:sz w:val="18"/>
                <w:szCs w:val="18"/>
                <w:lang w:val="id-ID"/>
              </w:rPr>
              <w:t>4</w:t>
            </w:r>
            <w:r w:rsidR="008F7E35" w:rsidRPr="008F7E35">
              <w:rPr>
                <w:b/>
                <w:sz w:val="18"/>
                <w:szCs w:val="18"/>
              </w:rPr>
              <w:t>2</w:t>
            </w:r>
          </w:p>
        </w:tc>
        <w:tc>
          <w:tcPr>
            <w:tcW w:w="110" w:type="dxa"/>
            <w:shd w:val="clear" w:color="auto" w:fill="auto"/>
            <w:vAlign w:val="bottom"/>
          </w:tcPr>
          <w:p w14:paraId="761A5390" w14:textId="77777777" w:rsidR="007B7431" w:rsidRPr="00EC6677" w:rsidRDefault="007B7431" w:rsidP="007B7431">
            <w:pPr>
              <w:jc w:val="center"/>
              <w:rPr>
                <w:b/>
                <w:sz w:val="18"/>
                <w:szCs w:val="18"/>
              </w:rPr>
            </w:pPr>
          </w:p>
        </w:tc>
        <w:tc>
          <w:tcPr>
            <w:tcW w:w="1680" w:type="dxa"/>
            <w:tcBorders>
              <w:bottom w:val="double" w:sz="4" w:space="0" w:color="auto"/>
            </w:tcBorders>
            <w:vAlign w:val="bottom"/>
          </w:tcPr>
          <w:p w14:paraId="6B04B72B" w14:textId="34E85D30" w:rsidR="007B7431" w:rsidRPr="00EC6677" w:rsidRDefault="007B7431" w:rsidP="007B7431">
            <w:pPr>
              <w:ind w:right="57"/>
              <w:jc w:val="right"/>
              <w:rPr>
                <w:b/>
                <w:sz w:val="18"/>
                <w:szCs w:val="18"/>
                <w:lang w:val="en-ID"/>
              </w:rPr>
            </w:pPr>
            <w:r w:rsidRPr="00EC6677">
              <w:rPr>
                <w:b/>
                <w:sz w:val="18"/>
                <w:szCs w:val="18"/>
              </w:rPr>
              <w:t>3.918.547.531</w:t>
            </w:r>
          </w:p>
        </w:tc>
        <w:tc>
          <w:tcPr>
            <w:tcW w:w="2870" w:type="dxa"/>
            <w:shd w:val="clear" w:color="auto" w:fill="auto"/>
            <w:vAlign w:val="bottom"/>
          </w:tcPr>
          <w:p w14:paraId="2EF3D034" w14:textId="77777777" w:rsidR="007B7431" w:rsidRPr="0013526B" w:rsidRDefault="007B7431" w:rsidP="007B7431">
            <w:pPr>
              <w:ind w:right="107"/>
              <w:jc w:val="right"/>
              <w:rPr>
                <w:b/>
                <w:i/>
                <w:sz w:val="18"/>
                <w:szCs w:val="18"/>
              </w:rPr>
            </w:pPr>
            <w:r w:rsidRPr="0013526B">
              <w:rPr>
                <w:b/>
                <w:i/>
                <w:sz w:val="18"/>
                <w:szCs w:val="18"/>
              </w:rPr>
              <w:t>Total</w:t>
            </w:r>
            <w:r>
              <w:rPr>
                <w:b/>
                <w:i/>
                <w:sz w:val="18"/>
                <w:szCs w:val="18"/>
              </w:rPr>
              <w:t xml:space="preserve"> other receivables</w:t>
            </w:r>
          </w:p>
        </w:tc>
      </w:tr>
    </w:tbl>
    <w:p w14:paraId="6D792728" w14:textId="7B136337" w:rsidR="004A1988" w:rsidRDefault="004A1988">
      <w:pPr>
        <w:rPr>
          <w:sz w:val="2"/>
          <w:szCs w:val="2"/>
        </w:rPr>
      </w:pPr>
    </w:p>
    <w:p w14:paraId="31D224ED" w14:textId="2BB4656E" w:rsidR="004A1988" w:rsidRDefault="004A1988">
      <w:pPr>
        <w:rPr>
          <w:sz w:val="2"/>
          <w:szCs w:val="2"/>
        </w:rPr>
      </w:pPr>
    </w:p>
    <w:p w14:paraId="236ED54D" w14:textId="77777777" w:rsidR="004A1988" w:rsidRDefault="004A1988">
      <w:pPr>
        <w:rPr>
          <w:sz w:val="2"/>
          <w:szCs w:val="2"/>
        </w:rPr>
      </w:pPr>
    </w:p>
    <w:p w14:paraId="66699203" w14:textId="77777777" w:rsidR="00D6335E" w:rsidRPr="00D6335E" w:rsidRDefault="00D6335E">
      <w:pPr>
        <w:rPr>
          <w:sz w:val="2"/>
          <w:szCs w:val="2"/>
        </w:rPr>
      </w:pPr>
    </w:p>
    <w:tbl>
      <w:tblPr>
        <w:tblW w:w="9197" w:type="dxa"/>
        <w:tblInd w:w="113" w:type="dxa"/>
        <w:tblLook w:val="0000" w:firstRow="0" w:lastRow="0" w:firstColumn="0" w:lastColumn="0" w:noHBand="0" w:noVBand="0"/>
      </w:tblPr>
      <w:tblGrid>
        <w:gridCol w:w="4598"/>
        <w:gridCol w:w="4599"/>
      </w:tblGrid>
      <w:tr w:rsidR="007874BB" w:rsidRPr="0013526B" w14:paraId="71FC5060" w14:textId="77777777" w:rsidTr="00D6335E">
        <w:tc>
          <w:tcPr>
            <w:tcW w:w="3464" w:type="dxa"/>
            <w:tcBorders>
              <w:top w:val="nil"/>
              <w:left w:val="nil"/>
              <w:bottom w:val="nil"/>
              <w:right w:val="nil"/>
            </w:tcBorders>
          </w:tcPr>
          <w:p w14:paraId="75CD08A7" w14:textId="5F62B82C" w:rsidR="007874BB" w:rsidRPr="00302158" w:rsidRDefault="007874BB" w:rsidP="00070D1F">
            <w:pPr>
              <w:pStyle w:val="ListParagraph"/>
              <w:numPr>
                <w:ilvl w:val="0"/>
                <w:numId w:val="348"/>
              </w:numPr>
              <w:ind w:hanging="239"/>
              <w:contextualSpacing/>
              <w:jc w:val="both"/>
              <w:rPr>
                <w:b/>
                <w:sz w:val="18"/>
                <w:szCs w:val="18"/>
              </w:rPr>
            </w:pPr>
            <w:r w:rsidRPr="0013526B">
              <w:rPr>
                <w:sz w:val="18"/>
                <w:szCs w:val="18"/>
              </w:rPr>
              <w:lastRenderedPageBreak/>
              <w:br w:type="page"/>
            </w:r>
            <w:r w:rsidRPr="00302158">
              <w:rPr>
                <w:b/>
                <w:sz w:val="18"/>
                <w:szCs w:val="18"/>
                <w:lang w:val="id-ID"/>
              </w:rPr>
              <w:t>PIUTANG LAIN-LAIN</w:t>
            </w:r>
            <w:r>
              <w:rPr>
                <w:b/>
                <w:sz w:val="18"/>
                <w:szCs w:val="18"/>
              </w:rPr>
              <w:t xml:space="preserve"> </w:t>
            </w:r>
            <w:r w:rsidR="006B3AB6">
              <w:rPr>
                <w:b/>
                <w:sz w:val="18"/>
                <w:szCs w:val="18"/>
              </w:rPr>
              <w:t>–</w:t>
            </w:r>
            <w:r>
              <w:rPr>
                <w:b/>
                <w:sz w:val="18"/>
                <w:szCs w:val="18"/>
              </w:rPr>
              <w:t xml:space="preserve"> Lanjutan</w:t>
            </w:r>
          </w:p>
        </w:tc>
        <w:tc>
          <w:tcPr>
            <w:tcW w:w="3464" w:type="dxa"/>
            <w:tcBorders>
              <w:top w:val="nil"/>
              <w:left w:val="nil"/>
              <w:bottom w:val="nil"/>
              <w:right w:val="nil"/>
            </w:tcBorders>
          </w:tcPr>
          <w:p w14:paraId="55D1F04B" w14:textId="09B00472" w:rsidR="007874BB" w:rsidRPr="0013526B" w:rsidRDefault="007874BB" w:rsidP="00070D1F">
            <w:pPr>
              <w:pStyle w:val="ListParagraph"/>
              <w:numPr>
                <w:ilvl w:val="0"/>
                <w:numId w:val="349"/>
              </w:numPr>
              <w:ind w:left="280" w:hanging="284"/>
              <w:contextualSpacing/>
              <w:jc w:val="both"/>
              <w:rPr>
                <w:b/>
                <w:i/>
                <w:sz w:val="18"/>
                <w:szCs w:val="18"/>
              </w:rPr>
            </w:pPr>
            <w:r>
              <w:rPr>
                <w:b/>
                <w:i/>
                <w:sz w:val="18"/>
                <w:szCs w:val="18"/>
                <w:lang w:val="id-ID"/>
              </w:rPr>
              <w:t>OTHER RECEIVABLES</w:t>
            </w:r>
            <w:r>
              <w:rPr>
                <w:b/>
                <w:i/>
                <w:sz w:val="18"/>
                <w:szCs w:val="18"/>
              </w:rPr>
              <w:t xml:space="preserve"> - Continued</w:t>
            </w:r>
          </w:p>
        </w:tc>
      </w:tr>
    </w:tbl>
    <w:p w14:paraId="3AF74684" w14:textId="77777777" w:rsidR="00B62D0D" w:rsidRPr="00D71B91" w:rsidRDefault="00B62D0D" w:rsidP="00967601">
      <w:pPr>
        <w:rPr>
          <w:sz w:val="18"/>
          <w:szCs w:val="18"/>
        </w:rPr>
      </w:pPr>
    </w:p>
    <w:tbl>
      <w:tblPr>
        <w:tblW w:w="9197" w:type="dxa"/>
        <w:tblInd w:w="108" w:type="dxa"/>
        <w:tblLayout w:type="fixed"/>
        <w:tblLook w:val="0000" w:firstRow="0" w:lastRow="0" w:firstColumn="0" w:lastColumn="0" w:noHBand="0" w:noVBand="0"/>
      </w:tblPr>
      <w:tblGrid>
        <w:gridCol w:w="4598"/>
        <w:gridCol w:w="4599"/>
      </w:tblGrid>
      <w:tr w:rsidR="007028D5" w:rsidRPr="00A31F1E" w14:paraId="32796CC2" w14:textId="77777777" w:rsidTr="007874BB">
        <w:tc>
          <w:tcPr>
            <w:tcW w:w="4598" w:type="dxa"/>
            <w:tcBorders>
              <w:top w:val="nil"/>
              <w:left w:val="nil"/>
              <w:bottom w:val="nil"/>
              <w:right w:val="nil"/>
            </w:tcBorders>
          </w:tcPr>
          <w:p w14:paraId="190DF6AC" w14:textId="5D2590BB" w:rsidR="007028D5" w:rsidRPr="00EF58BF" w:rsidRDefault="00EC6677" w:rsidP="00EF69AD">
            <w:pPr>
              <w:pStyle w:val="ListParagraph"/>
              <w:ind w:left="284" w:right="-57"/>
              <w:jc w:val="both"/>
              <w:rPr>
                <w:sz w:val="18"/>
                <w:szCs w:val="18"/>
              </w:rPr>
            </w:pPr>
            <w:r>
              <w:rPr>
                <w:sz w:val="18"/>
                <w:szCs w:val="18"/>
              </w:rPr>
              <w:t>Pada 31 Maret 2020</w:t>
            </w:r>
            <w:r w:rsidR="00F40DAF" w:rsidRPr="00EF58BF">
              <w:rPr>
                <w:sz w:val="18"/>
                <w:szCs w:val="18"/>
              </w:rPr>
              <w:t xml:space="preserve"> dan </w:t>
            </w:r>
            <w:r>
              <w:rPr>
                <w:sz w:val="18"/>
                <w:szCs w:val="18"/>
              </w:rPr>
              <w:t>31 Desember 2019</w:t>
            </w:r>
            <w:r w:rsidR="00AC74B4">
              <w:rPr>
                <w:sz w:val="18"/>
                <w:szCs w:val="18"/>
              </w:rPr>
              <w:t>,</w:t>
            </w:r>
            <w:r w:rsidR="007028D5" w:rsidRPr="00EF58BF">
              <w:rPr>
                <w:sz w:val="18"/>
                <w:szCs w:val="18"/>
              </w:rPr>
              <w:t xml:space="preserve"> tidak terdapat pencadangan piutang yang tidak tertagih atas piutang lain-lain</w:t>
            </w:r>
            <w:r w:rsidR="00EF69AD">
              <w:rPr>
                <w:sz w:val="18"/>
                <w:szCs w:val="18"/>
              </w:rPr>
              <w:t>,</w:t>
            </w:r>
            <w:r w:rsidR="007028D5" w:rsidRPr="00EF58BF">
              <w:rPr>
                <w:sz w:val="18"/>
                <w:szCs w:val="18"/>
              </w:rPr>
              <w:t xml:space="preserve"> piutang-piutang tersebut telah dihapusbukukan.</w:t>
            </w:r>
          </w:p>
        </w:tc>
        <w:tc>
          <w:tcPr>
            <w:tcW w:w="4599" w:type="dxa"/>
            <w:tcBorders>
              <w:top w:val="nil"/>
              <w:left w:val="nil"/>
              <w:bottom w:val="nil"/>
              <w:right w:val="nil"/>
            </w:tcBorders>
          </w:tcPr>
          <w:p w14:paraId="47BCD663" w14:textId="41288903" w:rsidR="007028D5" w:rsidRPr="00EF58BF" w:rsidRDefault="00F40DAF" w:rsidP="00EF69AD">
            <w:pPr>
              <w:pStyle w:val="ListParagraph"/>
              <w:tabs>
                <w:tab w:val="right" w:pos="9340"/>
                <w:tab w:val="right" w:pos="10080"/>
              </w:tabs>
              <w:ind w:left="284" w:right="-57"/>
              <w:jc w:val="both"/>
              <w:rPr>
                <w:sz w:val="18"/>
                <w:szCs w:val="18"/>
              </w:rPr>
            </w:pPr>
            <w:r w:rsidRPr="00EF58BF">
              <w:rPr>
                <w:i/>
                <w:sz w:val="18"/>
                <w:szCs w:val="18"/>
              </w:rPr>
              <w:t xml:space="preserve">In </w:t>
            </w:r>
            <w:r w:rsidR="00EC6677">
              <w:rPr>
                <w:i/>
                <w:sz w:val="18"/>
                <w:szCs w:val="18"/>
              </w:rPr>
              <w:t xml:space="preserve">March 31, </w:t>
            </w:r>
            <w:r w:rsidRPr="00EF58BF">
              <w:rPr>
                <w:i/>
                <w:sz w:val="18"/>
                <w:szCs w:val="18"/>
              </w:rPr>
              <w:t>20</w:t>
            </w:r>
            <w:r w:rsidR="00EC6677">
              <w:rPr>
                <w:i/>
                <w:sz w:val="18"/>
                <w:szCs w:val="18"/>
              </w:rPr>
              <w:t>20</w:t>
            </w:r>
            <w:r w:rsidRPr="00EF58BF">
              <w:rPr>
                <w:i/>
                <w:sz w:val="18"/>
                <w:szCs w:val="18"/>
              </w:rPr>
              <w:t xml:space="preserve"> and</w:t>
            </w:r>
            <w:r w:rsidR="00EC6677">
              <w:rPr>
                <w:i/>
                <w:sz w:val="18"/>
                <w:szCs w:val="18"/>
              </w:rPr>
              <w:t xml:space="preserve"> December 31, </w:t>
            </w:r>
            <w:r w:rsidRPr="00EF58BF">
              <w:rPr>
                <w:i/>
                <w:sz w:val="18"/>
                <w:szCs w:val="18"/>
              </w:rPr>
              <w:t>2018</w:t>
            </w:r>
            <w:r w:rsidR="00AC74B4">
              <w:rPr>
                <w:i/>
                <w:sz w:val="18"/>
                <w:szCs w:val="18"/>
              </w:rPr>
              <w:t>,</w:t>
            </w:r>
            <w:r w:rsidR="007028D5" w:rsidRPr="00EF58BF">
              <w:rPr>
                <w:i/>
                <w:sz w:val="18"/>
                <w:szCs w:val="18"/>
              </w:rPr>
              <w:t xml:space="preserve"> there are no allowance for impairment loss that is uncollectible other receivable</w:t>
            </w:r>
            <w:r w:rsidR="00EF69AD">
              <w:rPr>
                <w:i/>
                <w:sz w:val="18"/>
                <w:szCs w:val="18"/>
              </w:rPr>
              <w:t>,</w:t>
            </w:r>
            <w:r w:rsidR="007028D5" w:rsidRPr="00EF58BF">
              <w:rPr>
                <w:i/>
                <w:sz w:val="18"/>
                <w:szCs w:val="18"/>
              </w:rPr>
              <w:t xml:space="preserve"> those receivables had been written off.</w:t>
            </w:r>
          </w:p>
        </w:tc>
      </w:tr>
      <w:tr w:rsidR="007028D5" w:rsidRPr="002C6284" w14:paraId="2AF2EDDD" w14:textId="77777777" w:rsidTr="007874BB">
        <w:tc>
          <w:tcPr>
            <w:tcW w:w="4598" w:type="dxa"/>
            <w:tcBorders>
              <w:top w:val="nil"/>
              <w:left w:val="nil"/>
              <w:bottom w:val="nil"/>
              <w:right w:val="nil"/>
            </w:tcBorders>
          </w:tcPr>
          <w:p w14:paraId="774E0B51" w14:textId="77777777" w:rsidR="007028D5" w:rsidRPr="00EF58BF" w:rsidRDefault="007028D5" w:rsidP="007028D5">
            <w:pPr>
              <w:pStyle w:val="ListParagraph"/>
              <w:ind w:left="284" w:right="-57"/>
              <w:jc w:val="both"/>
              <w:rPr>
                <w:sz w:val="18"/>
                <w:szCs w:val="18"/>
              </w:rPr>
            </w:pPr>
          </w:p>
        </w:tc>
        <w:tc>
          <w:tcPr>
            <w:tcW w:w="4599" w:type="dxa"/>
            <w:tcBorders>
              <w:top w:val="nil"/>
              <w:left w:val="nil"/>
              <w:bottom w:val="nil"/>
              <w:right w:val="nil"/>
            </w:tcBorders>
          </w:tcPr>
          <w:p w14:paraId="08150F27" w14:textId="77777777" w:rsidR="007028D5" w:rsidRPr="00EF58BF" w:rsidRDefault="007028D5" w:rsidP="007028D5">
            <w:pPr>
              <w:pStyle w:val="ListParagraph"/>
              <w:tabs>
                <w:tab w:val="right" w:pos="9340"/>
                <w:tab w:val="right" w:pos="10080"/>
              </w:tabs>
              <w:ind w:left="284" w:right="-57"/>
              <w:jc w:val="both"/>
              <w:rPr>
                <w:sz w:val="18"/>
                <w:szCs w:val="18"/>
              </w:rPr>
            </w:pPr>
          </w:p>
        </w:tc>
      </w:tr>
      <w:tr w:rsidR="007028D5" w:rsidRPr="00A31F1E" w14:paraId="3F15EF67" w14:textId="77777777" w:rsidTr="007874BB">
        <w:tc>
          <w:tcPr>
            <w:tcW w:w="4598" w:type="dxa"/>
            <w:tcBorders>
              <w:top w:val="nil"/>
              <w:left w:val="nil"/>
              <w:bottom w:val="nil"/>
              <w:right w:val="nil"/>
            </w:tcBorders>
          </w:tcPr>
          <w:p w14:paraId="449BEE95" w14:textId="3209B3B2" w:rsidR="007028D5" w:rsidRPr="00EF58BF" w:rsidRDefault="00EC6677" w:rsidP="00AC74B4">
            <w:pPr>
              <w:pStyle w:val="ListParagraph"/>
              <w:ind w:left="284" w:right="-57"/>
              <w:jc w:val="both"/>
              <w:rPr>
                <w:sz w:val="18"/>
                <w:szCs w:val="18"/>
              </w:rPr>
            </w:pPr>
            <w:r>
              <w:rPr>
                <w:sz w:val="18"/>
                <w:szCs w:val="18"/>
              </w:rPr>
              <w:t xml:space="preserve">Pada </w:t>
            </w:r>
            <w:r w:rsidR="00AC74B4">
              <w:rPr>
                <w:sz w:val="18"/>
                <w:szCs w:val="18"/>
              </w:rPr>
              <w:t xml:space="preserve">31 Maret 2020 dan </w:t>
            </w:r>
            <w:r>
              <w:rPr>
                <w:sz w:val="18"/>
                <w:szCs w:val="18"/>
              </w:rPr>
              <w:t xml:space="preserve">31 Desember </w:t>
            </w:r>
            <w:r w:rsidR="00F40DAF" w:rsidRPr="00EF58BF">
              <w:rPr>
                <w:sz w:val="18"/>
                <w:szCs w:val="18"/>
              </w:rPr>
              <w:t>20</w:t>
            </w:r>
            <w:r>
              <w:rPr>
                <w:sz w:val="18"/>
                <w:szCs w:val="18"/>
              </w:rPr>
              <w:t>20</w:t>
            </w:r>
            <w:r w:rsidR="00AC74B4">
              <w:rPr>
                <w:sz w:val="18"/>
                <w:szCs w:val="18"/>
              </w:rPr>
              <w:t>,</w:t>
            </w:r>
            <w:r w:rsidR="007028D5" w:rsidRPr="00EF58BF">
              <w:rPr>
                <w:sz w:val="18"/>
                <w:szCs w:val="18"/>
              </w:rPr>
              <w:t xml:space="preserve"> Manajemen berkeyakinan bahwa seluruh piutang lain-lain tersebut dapat ditagih</w:t>
            </w:r>
            <w:r w:rsidR="00AC74B4">
              <w:rPr>
                <w:sz w:val="18"/>
                <w:szCs w:val="18"/>
              </w:rPr>
              <w:t>,</w:t>
            </w:r>
            <w:r w:rsidR="007028D5" w:rsidRPr="00EF58BF">
              <w:rPr>
                <w:sz w:val="18"/>
                <w:szCs w:val="18"/>
              </w:rPr>
              <w:t xml:space="preserve"> sehingga tidak diadakan cadangan kerugian penurunan nilai.</w:t>
            </w:r>
          </w:p>
        </w:tc>
        <w:tc>
          <w:tcPr>
            <w:tcW w:w="4599" w:type="dxa"/>
            <w:tcBorders>
              <w:top w:val="nil"/>
              <w:left w:val="nil"/>
              <w:bottom w:val="nil"/>
              <w:right w:val="nil"/>
            </w:tcBorders>
          </w:tcPr>
          <w:p w14:paraId="2D1CA5EB" w14:textId="561F18BB" w:rsidR="007028D5" w:rsidRPr="00EF58BF" w:rsidRDefault="00F40DAF" w:rsidP="00AC74B4">
            <w:pPr>
              <w:pStyle w:val="ListParagraph"/>
              <w:tabs>
                <w:tab w:val="right" w:pos="9340"/>
                <w:tab w:val="right" w:pos="10080"/>
              </w:tabs>
              <w:ind w:left="284" w:right="-57"/>
              <w:jc w:val="both"/>
              <w:rPr>
                <w:i/>
                <w:sz w:val="18"/>
                <w:szCs w:val="18"/>
              </w:rPr>
            </w:pPr>
            <w:r w:rsidRPr="00EF58BF">
              <w:rPr>
                <w:i/>
                <w:sz w:val="18"/>
                <w:szCs w:val="18"/>
              </w:rPr>
              <w:t>In</w:t>
            </w:r>
            <w:r w:rsidR="00EC6677">
              <w:rPr>
                <w:i/>
                <w:sz w:val="18"/>
                <w:szCs w:val="18"/>
              </w:rPr>
              <w:t xml:space="preserve"> </w:t>
            </w:r>
            <w:r w:rsidR="00AC74B4">
              <w:rPr>
                <w:i/>
                <w:sz w:val="18"/>
                <w:szCs w:val="18"/>
              </w:rPr>
              <w:t xml:space="preserve">March 31, 2020, and </w:t>
            </w:r>
            <w:r w:rsidR="00EC6677">
              <w:rPr>
                <w:i/>
                <w:sz w:val="18"/>
                <w:szCs w:val="18"/>
              </w:rPr>
              <w:t>December 31,</w:t>
            </w:r>
            <w:r w:rsidRPr="00EF58BF">
              <w:rPr>
                <w:i/>
                <w:sz w:val="18"/>
                <w:szCs w:val="18"/>
              </w:rPr>
              <w:t xml:space="preserve"> 20</w:t>
            </w:r>
            <w:r w:rsidR="00EC6677">
              <w:rPr>
                <w:i/>
                <w:sz w:val="18"/>
                <w:szCs w:val="18"/>
              </w:rPr>
              <w:t>20</w:t>
            </w:r>
            <w:r w:rsidR="00AC74B4">
              <w:rPr>
                <w:i/>
                <w:sz w:val="18"/>
                <w:szCs w:val="18"/>
              </w:rPr>
              <w:t>,</w:t>
            </w:r>
            <w:r w:rsidR="007028D5" w:rsidRPr="00EF58BF">
              <w:rPr>
                <w:i/>
                <w:sz w:val="18"/>
                <w:szCs w:val="18"/>
              </w:rPr>
              <w:t xml:space="preserve"> Management believes that all other receivables are collectible</w:t>
            </w:r>
            <w:r w:rsidR="00AC74B4">
              <w:rPr>
                <w:i/>
                <w:sz w:val="18"/>
                <w:szCs w:val="18"/>
              </w:rPr>
              <w:t>,</w:t>
            </w:r>
            <w:r w:rsidR="007028D5" w:rsidRPr="00EF58BF">
              <w:rPr>
                <w:i/>
                <w:sz w:val="18"/>
                <w:szCs w:val="18"/>
              </w:rPr>
              <w:t xml:space="preserve"> no allowance for impairment was provided.</w:t>
            </w:r>
          </w:p>
        </w:tc>
      </w:tr>
      <w:tr w:rsidR="00B62D0D" w:rsidRPr="0013526B" w14:paraId="76DB8488" w14:textId="77777777" w:rsidTr="007874BB">
        <w:tc>
          <w:tcPr>
            <w:tcW w:w="4598" w:type="dxa"/>
            <w:tcBorders>
              <w:top w:val="nil"/>
              <w:left w:val="nil"/>
              <w:bottom w:val="nil"/>
              <w:right w:val="nil"/>
            </w:tcBorders>
          </w:tcPr>
          <w:p w14:paraId="13290C95" w14:textId="77777777" w:rsidR="00B62D0D" w:rsidRPr="00EF58BF" w:rsidRDefault="00B62D0D" w:rsidP="007028D5">
            <w:pPr>
              <w:pStyle w:val="ListParagraph"/>
              <w:ind w:left="284" w:right="-57"/>
              <w:jc w:val="both"/>
              <w:rPr>
                <w:sz w:val="18"/>
                <w:szCs w:val="18"/>
              </w:rPr>
            </w:pPr>
          </w:p>
        </w:tc>
        <w:tc>
          <w:tcPr>
            <w:tcW w:w="4599" w:type="dxa"/>
            <w:tcBorders>
              <w:top w:val="nil"/>
              <w:left w:val="nil"/>
              <w:bottom w:val="nil"/>
              <w:right w:val="nil"/>
            </w:tcBorders>
          </w:tcPr>
          <w:p w14:paraId="28D462B5" w14:textId="77777777" w:rsidR="00B62D0D" w:rsidRPr="00EF58BF" w:rsidRDefault="00B62D0D" w:rsidP="007028D5">
            <w:pPr>
              <w:pStyle w:val="ListParagraph"/>
              <w:tabs>
                <w:tab w:val="right" w:pos="9340"/>
                <w:tab w:val="right" w:pos="10080"/>
              </w:tabs>
              <w:ind w:left="284" w:right="-57"/>
              <w:jc w:val="both"/>
              <w:rPr>
                <w:i/>
                <w:sz w:val="18"/>
                <w:szCs w:val="18"/>
              </w:rPr>
            </w:pPr>
          </w:p>
        </w:tc>
      </w:tr>
      <w:tr w:rsidR="007028D5" w:rsidRPr="00A31F1E" w14:paraId="48293CCC" w14:textId="77777777" w:rsidTr="007874BB">
        <w:tc>
          <w:tcPr>
            <w:tcW w:w="4598" w:type="dxa"/>
            <w:tcBorders>
              <w:top w:val="nil"/>
              <w:left w:val="nil"/>
              <w:bottom w:val="nil"/>
              <w:right w:val="nil"/>
            </w:tcBorders>
          </w:tcPr>
          <w:p w14:paraId="581D9EDF" w14:textId="79432B63" w:rsidR="007028D5" w:rsidRPr="00EF58BF" w:rsidRDefault="007028D5" w:rsidP="007028D5">
            <w:pPr>
              <w:pStyle w:val="ListParagraph"/>
              <w:ind w:left="284" w:right="-57"/>
              <w:jc w:val="both"/>
              <w:rPr>
                <w:sz w:val="18"/>
                <w:szCs w:val="18"/>
              </w:rPr>
            </w:pPr>
            <w:r w:rsidRPr="00EF58BF">
              <w:rPr>
                <w:sz w:val="18"/>
                <w:szCs w:val="18"/>
              </w:rPr>
              <w:t>Piutang lain-lain Grup tidak dijaminkan sebagai jaminan utang bank.</w:t>
            </w:r>
          </w:p>
        </w:tc>
        <w:tc>
          <w:tcPr>
            <w:tcW w:w="4599" w:type="dxa"/>
            <w:tcBorders>
              <w:top w:val="nil"/>
              <w:left w:val="nil"/>
              <w:bottom w:val="nil"/>
              <w:right w:val="nil"/>
            </w:tcBorders>
          </w:tcPr>
          <w:p w14:paraId="0364AC0E" w14:textId="2FFE7963" w:rsidR="007028D5" w:rsidRPr="00EF58BF" w:rsidRDefault="007028D5" w:rsidP="007028D5">
            <w:pPr>
              <w:pStyle w:val="ListParagraph"/>
              <w:tabs>
                <w:tab w:val="right" w:pos="9340"/>
                <w:tab w:val="right" w:pos="10080"/>
              </w:tabs>
              <w:ind w:left="284" w:right="-57"/>
              <w:jc w:val="both"/>
              <w:rPr>
                <w:i/>
                <w:sz w:val="18"/>
                <w:szCs w:val="18"/>
              </w:rPr>
            </w:pPr>
            <w:r w:rsidRPr="00EF58BF">
              <w:rPr>
                <w:i/>
                <w:sz w:val="18"/>
                <w:szCs w:val="18"/>
              </w:rPr>
              <w:t>There were no portion of other receivables of the Group which used as collateral for bank loan.</w:t>
            </w:r>
          </w:p>
        </w:tc>
      </w:tr>
    </w:tbl>
    <w:p w14:paraId="2AB049BB" w14:textId="6F27AA74" w:rsidR="00164154" w:rsidRPr="00D71B91" w:rsidRDefault="00164154" w:rsidP="0013526B">
      <w:pPr>
        <w:jc w:val="both"/>
        <w:rPr>
          <w:sz w:val="18"/>
          <w:szCs w:val="20"/>
        </w:rPr>
      </w:pPr>
    </w:p>
    <w:tbl>
      <w:tblPr>
        <w:tblW w:w="9214" w:type="dxa"/>
        <w:tblInd w:w="108" w:type="dxa"/>
        <w:tblLayout w:type="fixed"/>
        <w:tblLook w:val="0000" w:firstRow="0" w:lastRow="0" w:firstColumn="0" w:lastColumn="0" w:noHBand="0" w:noVBand="0"/>
      </w:tblPr>
      <w:tblGrid>
        <w:gridCol w:w="4607"/>
        <w:gridCol w:w="4607"/>
      </w:tblGrid>
      <w:tr w:rsidR="004A7DA5" w:rsidRPr="0013526B" w14:paraId="06783CDD" w14:textId="77777777" w:rsidTr="00D71B91">
        <w:tc>
          <w:tcPr>
            <w:tcW w:w="4607" w:type="dxa"/>
            <w:tcBorders>
              <w:top w:val="nil"/>
              <w:left w:val="nil"/>
              <w:bottom w:val="nil"/>
              <w:right w:val="nil"/>
            </w:tcBorders>
          </w:tcPr>
          <w:p w14:paraId="2A5BF965" w14:textId="77777777" w:rsidR="004A7DA5" w:rsidRPr="0013526B" w:rsidRDefault="004A7DA5" w:rsidP="00070D1F">
            <w:pPr>
              <w:pStyle w:val="ListParagraph"/>
              <w:numPr>
                <w:ilvl w:val="0"/>
                <w:numId w:val="349"/>
              </w:numPr>
              <w:ind w:left="276" w:hanging="252"/>
              <w:contextualSpacing/>
              <w:jc w:val="both"/>
              <w:rPr>
                <w:b/>
                <w:sz w:val="18"/>
                <w:szCs w:val="18"/>
              </w:rPr>
            </w:pPr>
            <w:r w:rsidRPr="0013526B">
              <w:rPr>
                <w:b/>
                <w:sz w:val="18"/>
                <w:szCs w:val="18"/>
              </w:rPr>
              <w:t>PERSEDIAAN</w:t>
            </w:r>
          </w:p>
        </w:tc>
        <w:tc>
          <w:tcPr>
            <w:tcW w:w="4607" w:type="dxa"/>
            <w:tcBorders>
              <w:top w:val="nil"/>
              <w:left w:val="nil"/>
              <w:bottom w:val="nil"/>
              <w:right w:val="nil"/>
            </w:tcBorders>
          </w:tcPr>
          <w:p w14:paraId="257B4E51" w14:textId="77777777" w:rsidR="004A7DA5" w:rsidRPr="0013526B" w:rsidRDefault="004A7DA5" w:rsidP="00070D1F">
            <w:pPr>
              <w:pStyle w:val="ListParagraph"/>
              <w:numPr>
                <w:ilvl w:val="0"/>
                <w:numId w:val="315"/>
              </w:numPr>
              <w:ind w:hanging="269"/>
              <w:contextualSpacing/>
              <w:jc w:val="both"/>
              <w:rPr>
                <w:b/>
                <w:i/>
                <w:sz w:val="18"/>
                <w:szCs w:val="18"/>
              </w:rPr>
            </w:pPr>
            <w:r w:rsidRPr="0013526B">
              <w:rPr>
                <w:b/>
                <w:i/>
                <w:sz w:val="18"/>
                <w:szCs w:val="18"/>
              </w:rPr>
              <w:t>INVENTORIES</w:t>
            </w:r>
          </w:p>
        </w:tc>
      </w:tr>
      <w:tr w:rsidR="004A7DA5" w:rsidRPr="0013526B" w14:paraId="6E7E4F4C" w14:textId="77777777" w:rsidTr="00D71B91">
        <w:tc>
          <w:tcPr>
            <w:tcW w:w="4607" w:type="dxa"/>
            <w:tcBorders>
              <w:top w:val="nil"/>
              <w:left w:val="nil"/>
              <w:bottom w:val="nil"/>
              <w:right w:val="nil"/>
            </w:tcBorders>
          </w:tcPr>
          <w:p w14:paraId="4DC3B00B" w14:textId="77777777" w:rsidR="004A7DA5" w:rsidRPr="00D71B91" w:rsidRDefault="004A7DA5" w:rsidP="0013526B">
            <w:pPr>
              <w:ind w:left="709"/>
              <w:jc w:val="both"/>
              <w:rPr>
                <w:sz w:val="18"/>
                <w:szCs w:val="20"/>
              </w:rPr>
            </w:pPr>
          </w:p>
        </w:tc>
        <w:tc>
          <w:tcPr>
            <w:tcW w:w="4607" w:type="dxa"/>
            <w:tcBorders>
              <w:top w:val="nil"/>
              <w:left w:val="nil"/>
              <w:bottom w:val="nil"/>
              <w:right w:val="nil"/>
            </w:tcBorders>
          </w:tcPr>
          <w:p w14:paraId="674573F4" w14:textId="77777777" w:rsidR="004A7DA5" w:rsidRPr="00D71B91" w:rsidRDefault="004A7DA5" w:rsidP="0013526B">
            <w:pPr>
              <w:pStyle w:val="ListParagraph"/>
              <w:ind w:left="743"/>
              <w:jc w:val="both"/>
              <w:rPr>
                <w:i/>
                <w:sz w:val="18"/>
                <w:szCs w:val="20"/>
              </w:rPr>
            </w:pPr>
          </w:p>
        </w:tc>
      </w:tr>
      <w:tr w:rsidR="004A7DA5" w:rsidRPr="0013526B" w14:paraId="4251FBC7" w14:textId="77777777" w:rsidTr="00D71B91">
        <w:tc>
          <w:tcPr>
            <w:tcW w:w="4607" w:type="dxa"/>
            <w:tcBorders>
              <w:top w:val="nil"/>
              <w:left w:val="nil"/>
              <w:bottom w:val="nil"/>
              <w:right w:val="nil"/>
            </w:tcBorders>
          </w:tcPr>
          <w:p w14:paraId="7EB519E1" w14:textId="77777777" w:rsidR="004A7DA5" w:rsidRPr="0013526B" w:rsidRDefault="004F335D" w:rsidP="0013526B">
            <w:pPr>
              <w:pStyle w:val="ListParagraph"/>
              <w:ind w:left="284"/>
              <w:jc w:val="both"/>
              <w:rPr>
                <w:sz w:val="18"/>
                <w:szCs w:val="18"/>
              </w:rPr>
            </w:pPr>
            <w:r w:rsidRPr="0013526B">
              <w:rPr>
                <w:sz w:val="18"/>
                <w:szCs w:val="18"/>
              </w:rPr>
              <w:t>Saldo persediaan terdiri dari:</w:t>
            </w:r>
          </w:p>
        </w:tc>
        <w:tc>
          <w:tcPr>
            <w:tcW w:w="4607" w:type="dxa"/>
            <w:tcBorders>
              <w:top w:val="nil"/>
              <w:left w:val="nil"/>
              <w:bottom w:val="nil"/>
              <w:right w:val="nil"/>
            </w:tcBorders>
          </w:tcPr>
          <w:p w14:paraId="04AED5F0" w14:textId="77777777" w:rsidR="004A7DA5" w:rsidRPr="0013526B" w:rsidRDefault="004F335D" w:rsidP="0013526B">
            <w:pPr>
              <w:pStyle w:val="ListParagraph"/>
              <w:tabs>
                <w:tab w:val="right" w:pos="9340"/>
                <w:tab w:val="right" w:pos="10080"/>
              </w:tabs>
              <w:ind w:left="284"/>
              <w:jc w:val="both"/>
              <w:rPr>
                <w:i/>
                <w:sz w:val="18"/>
                <w:szCs w:val="18"/>
              </w:rPr>
            </w:pPr>
            <w:r w:rsidRPr="0013526B">
              <w:rPr>
                <w:i/>
                <w:sz w:val="18"/>
                <w:szCs w:val="18"/>
              </w:rPr>
              <w:t>The balance of inventories consists of:</w:t>
            </w:r>
          </w:p>
        </w:tc>
      </w:tr>
    </w:tbl>
    <w:p w14:paraId="5E34E5D8" w14:textId="63A136BF" w:rsidR="004A7DA5" w:rsidRPr="00D71B91" w:rsidRDefault="004A7DA5" w:rsidP="0013526B">
      <w:pPr>
        <w:ind w:left="567"/>
        <w:jc w:val="both"/>
        <w:rPr>
          <w:sz w:val="18"/>
          <w:szCs w:val="20"/>
        </w:rPr>
      </w:pPr>
    </w:p>
    <w:tbl>
      <w:tblPr>
        <w:tblW w:w="9197" w:type="dxa"/>
        <w:tblInd w:w="126" w:type="dxa"/>
        <w:tblCellMar>
          <w:left w:w="0" w:type="dxa"/>
          <w:right w:w="0" w:type="dxa"/>
        </w:tblCellMar>
        <w:tblLook w:val="04A0" w:firstRow="1" w:lastRow="0" w:firstColumn="1" w:lastColumn="0" w:noHBand="0" w:noVBand="1"/>
      </w:tblPr>
      <w:tblGrid>
        <w:gridCol w:w="2854"/>
        <w:gridCol w:w="1686"/>
        <w:gridCol w:w="116"/>
        <w:gridCol w:w="1686"/>
        <w:gridCol w:w="2855"/>
      </w:tblGrid>
      <w:tr w:rsidR="00AC74B4" w:rsidRPr="0013526B" w14:paraId="024964A8" w14:textId="77777777" w:rsidTr="00BC57BA">
        <w:tc>
          <w:tcPr>
            <w:tcW w:w="2854" w:type="dxa"/>
            <w:shd w:val="clear" w:color="auto" w:fill="auto"/>
          </w:tcPr>
          <w:p w14:paraId="2E628688" w14:textId="77777777" w:rsidR="00AC74B4" w:rsidRPr="0013526B" w:rsidRDefault="00AC74B4" w:rsidP="00AC74B4">
            <w:pPr>
              <w:jc w:val="both"/>
              <w:rPr>
                <w:sz w:val="18"/>
                <w:szCs w:val="18"/>
              </w:rPr>
            </w:pPr>
          </w:p>
        </w:tc>
        <w:tc>
          <w:tcPr>
            <w:tcW w:w="1686" w:type="dxa"/>
            <w:tcBorders>
              <w:bottom w:val="single" w:sz="4" w:space="0" w:color="auto"/>
            </w:tcBorders>
            <w:shd w:val="clear" w:color="auto" w:fill="auto"/>
          </w:tcPr>
          <w:p w14:paraId="51950259" w14:textId="77777777" w:rsidR="00AC74B4" w:rsidRDefault="00AC74B4" w:rsidP="00AC74B4">
            <w:pPr>
              <w:jc w:val="center"/>
              <w:rPr>
                <w:b/>
                <w:sz w:val="18"/>
                <w:szCs w:val="18"/>
              </w:rPr>
            </w:pPr>
            <w:r>
              <w:rPr>
                <w:b/>
                <w:sz w:val="18"/>
                <w:szCs w:val="18"/>
              </w:rPr>
              <w:t>31 Maret/</w:t>
            </w:r>
          </w:p>
          <w:p w14:paraId="14CFDAF0" w14:textId="5C87ECDE" w:rsidR="00AC74B4" w:rsidRPr="0013526B" w:rsidRDefault="00AC74B4" w:rsidP="00AC74B4">
            <w:pPr>
              <w:jc w:val="center"/>
              <w:rPr>
                <w:b/>
                <w:sz w:val="18"/>
                <w:szCs w:val="18"/>
              </w:rPr>
            </w:pPr>
            <w:r>
              <w:rPr>
                <w:b/>
                <w:sz w:val="18"/>
                <w:szCs w:val="18"/>
              </w:rPr>
              <w:t>March 31, 2020</w:t>
            </w:r>
          </w:p>
        </w:tc>
        <w:tc>
          <w:tcPr>
            <w:tcW w:w="116" w:type="dxa"/>
            <w:shd w:val="clear" w:color="auto" w:fill="auto"/>
          </w:tcPr>
          <w:p w14:paraId="050EE044" w14:textId="77777777" w:rsidR="00AC74B4" w:rsidRPr="0013526B" w:rsidRDefault="00AC74B4" w:rsidP="00AC74B4">
            <w:pPr>
              <w:jc w:val="both"/>
              <w:rPr>
                <w:b/>
                <w:sz w:val="18"/>
                <w:szCs w:val="18"/>
              </w:rPr>
            </w:pPr>
          </w:p>
        </w:tc>
        <w:tc>
          <w:tcPr>
            <w:tcW w:w="1686" w:type="dxa"/>
            <w:tcBorders>
              <w:bottom w:val="single" w:sz="4" w:space="0" w:color="auto"/>
            </w:tcBorders>
          </w:tcPr>
          <w:p w14:paraId="6928C97B" w14:textId="77777777" w:rsidR="00AC74B4" w:rsidRDefault="00AC74B4" w:rsidP="00AC74B4">
            <w:pPr>
              <w:jc w:val="center"/>
              <w:rPr>
                <w:b/>
                <w:sz w:val="18"/>
                <w:szCs w:val="18"/>
              </w:rPr>
            </w:pPr>
            <w:r>
              <w:rPr>
                <w:b/>
                <w:sz w:val="18"/>
                <w:szCs w:val="18"/>
              </w:rPr>
              <w:t>31 Desember/</w:t>
            </w:r>
          </w:p>
          <w:p w14:paraId="26BE3139" w14:textId="5CC675C2" w:rsidR="00AC74B4" w:rsidRPr="0013526B" w:rsidRDefault="00AC74B4" w:rsidP="00AC74B4">
            <w:pPr>
              <w:jc w:val="center"/>
              <w:rPr>
                <w:b/>
                <w:sz w:val="18"/>
                <w:szCs w:val="18"/>
              </w:rPr>
            </w:pPr>
            <w:r>
              <w:rPr>
                <w:b/>
                <w:sz w:val="18"/>
                <w:szCs w:val="18"/>
              </w:rPr>
              <w:t xml:space="preserve">December 31, </w:t>
            </w:r>
            <w:r w:rsidRPr="0013526B">
              <w:rPr>
                <w:b/>
                <w:sz w:val="18"/>
                <w:szCs w:val="18"/>
              </w:rPr>
              <w:t>201</w:t>
            </w:r>
            <w:r>
              <w:rPr>
                <w:b/>
                <w:sz w:val="18"/>
                <w:szCs w:val="18"/>
              </w:rPr>
              <w:t>9</w:t>
            </w:r>
          </w:p>
        </w:tc>
        <w:tc>
          <w:tcPr>
            <w:tcW w:w="2855" w:type="dxa"/>
            <w:shd w:val="clear" w:color="auto" w:fill="auto"/>
          </w:tcPr>
          <w:p w14:paraId="69732B1A" w14:textId="77777777" w:rsidR="00AC74B4" w:rsidRPr="0013526B" w:rsidRDefault="00AC74B4" w:rsidP="00AC74B4">
            <w:pPr>
              <w:jc w:val="both"/>
              <w:rPr>
                <w:sz w:val="18"/>
                <w:szCs w:val="18"/>
              </w:rPr>
            </w:pPr>
          </w:p>
        </w:tc>
      </w:tr>
      <w:tr w:rsidR="007107ED" w:rsidRPr="0013526B" w14:paraId="7BF068B2" w14:textId="77777777" w:rsidTr="00BC57BA">
        <w:tc>
          <w:tcPr>
            <w:tcW w:w="2854" w:type="dxa"/>
            <w:shd w:val="clear" w:color="auto" w:fill="auto"/>
          </w:tcPr>
          <w:p w14:paraId="54A73D33" w14:textId="77777777" w:rsidR="007107ED" w:rsidRPr="00D71B91" w:rsidRDefault="007107ED" w:rsidP="0013526B">
            <w:pPr>
              <w:jc w:val="both"/>
              <w:rPr>
                <w:sz w:val="18"/>
                <w:szCs w:val="20"/>
              </w:rPr>
            </w:pPr>
          </w:p>
        </w:tc>
        <w:tc>
          <w:tcPr>
            <w:tcW w:w="1686" w:type="dxa"/>
            <w:shd w:val="clear" w:color="auto" w:fill="auto"/>
            <w:vAlign w:val="bottom"/>
          </w:tcPr>
          <w:p w14:paraId="2EE3A1E6" w14:textId="77777777" w:rsidR="007107ED" w:rsidRPr="00D71B91" w:rsidRDefault="007107ED" w:rsidP="0013526B">
            <w:pPr>
              <w:jc w:val="right"/>
              <w:rPr>
                <w:b/>
                <w:sz w:val="18"/>
                <w:szCs w:val="20"/>
              </w:rPr>
            </w:pPr>
          </w:p>
        </w:tc>
        <w:tc>
          <w:tcPr>
            <w:tcW w:w="116" w:type="dxa"/>
            <w:shd w:val="clear" w:color="auto" w:fill="auto"/>
            <w:vAlign w:val="bottom"/>
          </w:tcPr>
          <w:p w14:paraId="6DC6D343" w14:textId="77777777" w:rsidR="007107ED" w:rsidRPr="00D71B91" w:rsidRDefault="007107ED" w:rsidP="0013526B">
            <w:pPr>
              <w:jc w:val="right"/>
              <w:rPr>
                <w:b/>
                <w:sz w:val="18"/>
                <w:szCs w:val="20"/>
              </w:rPr>
            </w:pPr>
          </w:p>
        </w:tc>
        <w:tc>
          <w:tcPr>
            <w:tcW w:w="1686" w:type="dxa"/>
            <w:tcBorders>
              <w:top w:val="single" w:sz="4" w:space="0" w:color="auto"/>
            </w:tcBorders>
            <w:vAlign w:val="bottom"/>
          </w:tcPr>
          <w:p w14:paraId="7FA3A1F4" w14:textId="77777777" w:rsidR="007107ED" w:rsidRPr="00D71B91" w:rsidRDefault="007107ED" w:rsidP="0013526B">
            <w:pPr>
              <w:jc w:val="right"/>
              <w:rPr>
                <w:b/>
                <w:sz w:val="18"/>
                <w:szCs w:val="20"/>
              </w:rPr>
            </w:pPr>
          </w:p>
        </w:tc>
        <w:tc>
          <w:tcPr>
            <w:tcW w:w="2855" w:type="dxa"/>
            <w:shd w:val="clear" w:color="auto" w:fill="auto"/>
          </w:tcPr>
          <w:p w14:paraId="43890E25" w14:textId="77777777" w:rsidR="007107ED" w:rsidRPr="00D71B91" w:rsidRDefault="007107ED" w:rsidP="0013526B">
            <w:pPr>
              <w:jc w:val="both"/>
              <w:rPr>
                <w:sz w:val="18"/>
                <w:szCs w:val="20"/>
              </w:rPr>
            </w:pPr>
          </w:p>
        </w:tc>
      </w:tr>
      <w:tr w:rsidR="007B7431" w:rsidRPr="0013526B" w14:paraId="680BFA94" w14:textId="77777777" w:rsidTr="007B7431">
        <w:trPr>
          <w:trHeight w:val="249"/>
        </w:trPr>
        <w:tc>
          <w:tcPr>
            <w:tcW w:w="2854" w:type="dxa"/>
            <w:shd w:val="clear" w:color="auto" w:fill="auto"/>
          </w:tcPr>
          <w:p w14:paraId="50ED6AE6" w14:textId="18A0ADFD" w:rsidR="007B7431" w:rsidRPr="0013526B" w:rsidRDefault="007B7431" w:rsidP="007B7431">
            <w:pPr>
              <w:pStyle w:val="ListParagraph"/>
              <w:ind w:left="379"/>
              <w:jc w:val="both"/>
              <w:rPr>
                <w:sz w:val="18"/>
                <w:szCs w:val="18"/>
              </w:rPr>
            </w:pPr>
            <w:r w:rsidRPr="00164154">
              <w:rPr>
                <w:sz w:val="18"/>
                <w:szCs w:val="18"/>
              </w:rPr>
              <w:t>Obat-obatan</w:t>
            </w:r>
          </w:p>
        </w:tc>
        <w:tc>
          <w:tcPr>
            <w:tcW w:w="1686" w:type="dxa"/>
            <w:shd w:val="clear" w:color="auto" w:fill="auto"/>
            <w:vAlign w:val="bottom"/>
          </w:tcPr>
          <w:p w14:paraId="3F2AEBAC" w14:textId="25EDBF25" w:rsidR="007B7431" w:rsidRPr="00EC6677" w:rsidRDefault="002749CB" w:rsidP="007B7431">
            <w:pPr>
              <w:ind w:right="57"/>
              <w:jc w:val="right"/>
              <w:rPr>
                <w:sz w:val="18"/>
                <w:szCs w:val="18"/>
              </w:rPr>
            </w:pPr>
            <w:r>
              <w:rPr>
                <w:sz w:val="18"/>
                <w:szCs w:val="18"/>
              </w:rPr>
              <w:t>41.510.320.301</w:t>
            </w:r>
          </w:p>
        </w:tc>
        <w:tc>
          <w:tcPr>
            <w:tcW w:w="116" w:type="dxa"/>
            <w:shd w:val="clear" w:color="auto" w:fill="auto"/>
            <w:vAlign w:val="bottom"/>
          </w:tcPr>
          <w:p w14:paraId="6C9FF176" w14:textId="77777777" w:rsidR="007B7431" w:rsidRPr="00EC6677" w:rsidRDefault="007B7431" w:rsidP="007B7431">
            <w:pPr>
              <w:ind w:right="57"/>
              <w:jc w:val="right"/>
              <w:rPr>
                <w:sz w:val="18"/>
                <w:szCs w:val="18"/>
              </w:rPr>
            </w:pPr>
          </w:p>
        </w:tc>
        <w:tc>
          <w:tcPr>
            <w:tcW w:w="1686" w:type="dxa"/>
            <w:vAlign w:val="bottom"/>
          </w:tcPr>
          <w:p w14:paraId="4EFF1CC0" w14:textId="754A30C3" w:rsidR="007B7431" w:rsidRPr="00EC6677" w:rsidRDefault="007B7431" w:rsidP="007B7431">
            <w:pPr>
              <w:ind w:right="57"/>
              <w:jc w:val="right"/>
              <w:rPr>
                <w:sz w:val="18"/>
                <w:szCs w:val="18"/>
              </w:rPr>
            </w:pPr>
            <w:r w:rsidRPr="00EC6677">
              <w:rPr>
                <w:sz w:val="18"/>
                <w:szCs w:val="18"/>
              </w:rPr>
              <w:t>26.867.456.268</w:t>
            </w:r>
          </w:p>
        </w:tc>
        <w:tc>
          <w:tcPr>
            <w:tcW w:w="2855" w:type="dxa"/>
            <w:shd w:val="clear" w:color="auto" w:fill="auto"/>
          </w:tcPr>
          <w:p w14:paraId="2BFEC658" w14:textId="47BFFDD4" w:rsidR="007B7431" w:rsidRPr="0013526B" w:rsidRDefault="007B7431" w:rsidP="007B7431">
            <w:pPr>
              <w:pStyle w:val="ListParagraph"/>
              <w:tabs>
                <w:tab w:val="right" w:pos="9340"/>
                <w:tab w:val="right" w:pos="10080"/>
              </w:tabs>
              <w:ind w:left="284"/>
              <w:jc w:val="right"/>
              <w:rPr>
                <w:i/>
                <w:sz w:val="18"/>
                <w:szCs w:val="18"/>
              </w:rPr>
            </w:pPr>
            <w:r w:rsidRPr="00164154">
              <w:rPr>
                <w:i/>
                <w:sz w:val="18"/>
                <w:szCs w:val="18"/>
              </w:rPr>
              <w:t>Medicines</w:t>
            </w:r>
          </w:p>
        </w:tc>
      </w:tr>
      <w:tr w:rsidR="007B7431" w:rsidRPr="0013526B" w14:paraId="0AE1312E" w14:textId="77777777" w:rsidTr="00BC57BA">
        <w:tc>
          <w:tcPr>
            <w:tcW w:w="2854" w:type="dxa"/>
            <w:shd w:val="clear" w:color="auto" w:fill="auto"/>
            <w:vAlign w:val="bottom"/>
          </w:tcPr>
          <w:p w14:paraId="2E98ED16" w14:textId="673F8FEF" w:rsidR="007B7431" w:rsidRPr="0013526B" w:rsidRDefault="007B7431" w:rsidP="007B7431">
            <w:pPr>
              <w:pStyle w:val="ListParagraph"/>
              <w:ind w:left="379"/>
              <w:jc w:val="both"/>
              <w:rPr>
                <w:sz w:val="18"/>
                <w:szCs w:val="18"/>
              </w:rPr>
            </w:pPr>
            <w:r w:rsidRPr="00164154">
              <w:rPr>
                <w:sz w:val="18"/>
                <w:szCs w:val="18"/>
              </w:rPr>
              <w:t>Obat suntikan dan lain-lain</w:t>
            </w:r>
          </w:p>
        </w:tc>
        <w:tc>
          <w:tcPr>
            <w:tcW w:w="1686" w:type="dxa"/>
            <w:shd w:val="clear" w:color="auto" w:fill="auto"/>
            <w:vAlign w:val="bottom"/>
          </w:tcPr>
          <w:p w14:paraId="3BCC3F5B" w14:textId="32D0F1CA" w:rsidR="007B7431" w:rsidRPr="00EC6677" w:rsidRDefault="00AC74B4" w:rsidP="007B7431">
            <w:pPr>
              <w:ind w:right="57"/>
              <w:jc w:val="right"/>
              <w:rPr>
                <w:sz w:val="18"/>
                <w:szCs w:val="18"/>
              </w:rPr>
            </w:pPr>
            <w:r>
              <w:rPr>
                <w:sz w:val="18"/>
                <w:szCs w:val="18"/>
              </w:rPr>
              <w:t>6.280.030.</w:t>
            </w:r>
            <w:r w:rsidR="002749CB" w:rsidRPr="002749CB">
              <w:rPr>
                <w:sz w:val="18"/>
                <w:szCs w:val="18"/>
              </w:rPr>
              <w:t>378</w:t>
            </w:r>
          </w:p>
        </w:tc>
        <w:tc>
          <w:tcPr>
            <w:tcW w:w="116" w:type="dxa"/>
            <w:shd w:val="clear" w:color="auto" w:fill="auto"/>
            <w:vAlign w:val="bottom"/>
          </w:tcPr>
          <w:p w14:paraId="25A76226" w14:textId="77777777" w:rsidR="007B7431" w:rsidRPr="00EC6677" w:rsidRDefault="007B7431" w:rsidP="007B7431">
            <w:pPr>
              <w:ind w:right="57"/>
              <w:jc w:val="right"/>
              <w:rPr>
                <w:sz w:val="18"/>
                <w:szCs w:val="18"/>
              </w:rPr>
            </w:pPr>
          </w:p>
        </w:tc>
        <w:tc>
          <w:tcPr>
            <w:tcW w:w="1686" w:type="dxa"/>
            <w:vAlign w:val="bottom"/>
          </w:tcPr>
          <w:p w14:paraId="216D0859" w14:textId="6962C9FC" w:rsidR="007B7431" w:rsidRPr="00EC6677" w:rsidRDefault="007B7431" w:rsidP="007B7431">
            <w:pPr>
              <w:ind w:right="57"/>
              <w:jc w:val="right"/>
              <w:rPr>
                <w:sz w:val="18"/>
                <w:szCs w:val="18"/>
              </w:rPr>
            </w:pPr>
            <w:r w:rsidRPr="00EC6677">
              <w:rPr>
                <w:sz w:val="18"/>
                <w:szCs w:val="18"/>
              </w:rPr>
              <w:t>10.744.596.763</w:t>
            </w:r>
          </w:p>
        </w:tc>
        <w:tc>
          <w:tcPr>
            <w:tcW w:w="2855" w:type="dxa"/>
            <w:shd w:val="clear" w:color="auto" w:fill="auto"/>
            <w:vAlign w:val="bottom"/>
          </w:tcPr>
          <w:p w14:paraId="6EE60F2D" w14:textId="71A58520" w:rsidR="007B7431" w:rsidRPr="00BC57BA" w:rsidRDefault="007B7431" w:rsidP="007B7431">
            <w:pPr>
              <w:pStyle w:val="ListParagraph"/>
              <w:tabs>
                <w:tab w:val="right" w:pos="9340"/>
                <w:tab w:val="right" w:pos="10080"/>
              </w:tabs>
              <w:ind w:left="7"/>
              <w:jc w:val="right"/>
              <w:rPr>
                <w:i/>
                <w:sz w:val="18"/>
                <w:szCs w:val="18"/>
              </w:rPr>
            </w:pPr>
            <w:r w:rsidRPr="00164154">
              <w:rPr>
                <w:i/>
                <w:sz w:val="18"/>
                <w:szCs w:val="18"/>
              </w:rPr>
              <w:t>Drug injections and others</w:t>
            </w:r>
            <w:r>
              <w:rPr>
                <w:i/>
                <w:sz w:val="18"/>
                <w:szCs w:val="18"/>
              </w:rPr>
              <w:t xml:space="preserve"> </w:t>
            </w:r>
            <w:r w:rsidRPr="00BC57BA">
              <w:rPr>
                <w:i/>
                <w:sz w:val="18"/>
                <w:szCs w:val="18"/>
              </w:rPr>
              <w:t>disposables</w:t>
            </w:r>
          </w:p>
        </w:tc>
      </w:tr>
      <w:tr w:rsidR="007B7431" w:rsidRPr="0013526B" w14:paraId="7E51D475" w14:textId="77777777" w:rsidTr="007B7431">
        <w:tc>
          <w:tcPr>
            <w:tcW w:w="2854" w:type="dxa"/>
            <w:shd w:val="clear" w:color="auto" w:fill="auto"/>
          </w:tcPr>
          <w:p w14:paraId="7C2860B0" w14:textId="0C81B98A" w:rsidR="007B7431" w:rsidRPr="0013526B" w:rsidRDefault="007B7431" w:rsidP="007B7431">
            <w:pPr>
              <w:pStyle w:val="ListParagraph"/>
              <w:ind w:left="379"/>
              <w:jc w:val="both"/>
              <w:rPr>
                <w:sz w:val="18"/>
                <w:szCs w:val="18"/>
              </w:rPr>
            </w:pPr>
            <w:r w:rsidRPr="00164154">
              <w:rPr>
                <w:sz w:val="18"/>
                <w:szCs w:val="18"/>
              </w:rPr>
              <w:t>Perlengkapan kantor</w:t>
            </w:r>
          </w:p>
        </w:tc>
        <w:tc>
          <w:tcPr>
            <w:tcW w:w="1686" w:type="dxa"/>
            <w:shd w:val="clear" w:color="auto" w:fill="auto"/>
            <w:vAlign w:val="bottom"/>
          </w:tcPr>
          <w:p w14:paraId="34123BDF" w14:textId="7706513F" w:rsidR="007B7431" w:rsidRPr="00EC6677" w:rsidRDefault="00AC74B4" w:rsidP="007B7431">
            <w:pPr>
              <w:ind w:right="57"/>
              <w:jc w:val="right"/>
              <w:rPr>
                <w:sz w:val="18"/>
                <w:szCs w:val="18"/>
              </w:rPr>
            </w:pPr>
            <w:r>
              <w:rPr>
                <w:sz w:val="18"/>
                <w:szCs w:val="18"/>
              </w:rPr>
              <w:t>581.567.</w:t>
            </w:r>
            <w:r w:rsidR="002749CB" w:rsidRPr="002749CB">
              <w:rPr>
                <w:sz w:val="18"/>
                <w:szCs w:val="18"/>
              </w:rPr>
              <w:t>810</w:t>
            </w:r>
          </w:p>
        </w:tc>
        <w:tc>
          <w:tcPr>
            <w:tcW w:w="116" w:type="dxa"/>
            <w:shd w:val="clear" w:color="auto" w:fill="auto"/>
            <w:vAlign w:val="bottom"/>
          </w:tcPr>
          <w:p w14:paraId="3A8F9E46" w14:textId="77777777" w:rsidR="007B7431" w:rsidRPr="00EC6677" w:rsidRDefault="007B7431" w:rsidP="007B7431">
            <w:pPr>
              <w:ind w:right="57"/>
              <w:jc w:val="right"/>
              <w:rPr>
                <w:sz w:val="18"/>
                <w:szCs w:val="18"/>
              </w:rPr>
            </w:pPr>
          </w:p>
        </w:tc>
        <w:tc>
          <w:tcPr>
            <w:tcW w:w="1686" w:type="dxa"/>
            <w:vAlign w:val="bottom"/>
          </w:tcPr>
          <w:p w14:paraId="32B7A91D" w14:textId="29CEDBEF" w:rsidR="007B7431" w:rsidRPr="00EC6677" w:rsidRDefault="007B7431" w:rsidP="007B7431">
            <w:pPr>
              <w:ind w:right="57"/>
              <w:jc w:val="right"/>
              <w:rPr>
                <w:sz w:val="18"/>
                <w:szCs w:val="18"/>
              </w:rPr>
            </w:pPr>
            <w:r w:rsidRPr="00EC6677">
              <w:rPr>
                <w:sz w:val="18"/>
                <w:szCs w:val="18"/>
              </w:rPr>
              <w:t>931.662.849</w:t>
            </w:r>
          </w:p>
        </w:tc>
        <w:tc>
          <w:tcPr>
            <w:tcW w:w="2855" w:type="dxa"/>
            <w:shd w:val="clear" w:color="auto" w:fill="auto"/>
          </w:tcPr>
          <w:p w14:paraId="4ADF9487" w14:textId="73154EEE" w:rsidR="007B7431" w:rsidRPr="0013526B" w:rsidRDefault="007B7431" w:rsidP="007B7431">
            <w:pPr>
              <w:pStyle w:val="ListParagraph"/>
              <w:tabs>
                <w:tab w:val="right" w:pos="9340"/>
                <w:tab w:val="right" w:pos="10080"/>
              </w:tabs>
              <w:ind w:left="284"/>
              <w:jc w:val="right"/>
              <w:rPr>
                <w:i/>
                <w:sz w:val="18"/>
                <w:szCs w:val="18"/>
              </w:rPr>
            </w:pPr>
            <w:r w:rsidRPr="00164154">
              <w:rPr>
                <w:i/>
                <w:sz w:val="18"/>
                <w:szCs w:val="18"/>
              </w:rPr>
              <w:t>Office supplies</w:t>
            </w:r>
          </w:p>
        </w:tc>
      </w:tr>
      <w:tr w:rsidR="007B7431" w:rsidRPr="0013526B" w14:paraId="704B6492" w14:textId="77777777" w:rsidTr="007B7431">
        <w:tc>
          <w:tcPr>
            <w:tcW w:w="2854" w:type="dxa"/>
            <w:shd w:val="clear" w:color="auto" w:fill="auto"/>
          </w:tcPr>
          <w:p w14:paraId="24508F68" w14:textId="67B7A451" w:rsidR="007B7431" w:rsidRPr="0013526B" w:rsidRDefault="007B7431" w:rsidP="007B7431">
            <w:pPr>
              <w:pStyle w:val="ListParagraph"/>
              <w:ind w:left="379"/>
              <w:jc w:val="both"/>
              <w:rPr>
                <w:sz w:val="18"/>
                <w:szCs w:val="18"/>
              </w:rPr>
            </w:pPr>
            <w:r w:rsidRPr="00164154">
              <w:rPr>
                <w:sz w:val="18"/>
                <w:szCs w:val="18"/>
              </w:rPr>
              <w:t>Lain-lain</w:t>
            </w:r>
          </w:p>
        </w:tc>
        <w:tc>
          <w:tcPr>
            <w:tcW w:w="1686" w:type="dxa"/>
            <w:shd w:val="clear" w:color="auto" w:fill="auto"/>
            <w:vAlign w:val="bottom"/>
          </w:tcPr>
          <w:p w14:paraId="419A48D8" w14:textId="346E86EB" w:rsidR="007B7431" w:rsidRPr="00EC6677" w:rsidRDefault="00AC74B4" w:rsidP="00196293">
            <w:pPr>
              <w:ind w:right="57"/>
              <w:jc w:val="right"/>
              <w:rPr>
                <w:sz w:val="18"/>
                <w:szCs w:val="18"/>
              </w:rPr>
            </w:pPr>
            <w:r>
              <w:rPr>
                <w:sz w:val="18"/>
                <w:szCs w:val="18"/>
              </w:rPr>
              <w:t>1.565.187.</w:t>
            </w:r>
            <w:r w:rsidR="002749CB" w:rsidRPr="002749CB">
              <w:rPr>
                <w:sz w:val="18"/>
                <w:szCs w:val="18"/>
              </w:rPr>
              <w:t>67</w:t>
            </w:r>
            <w:r w:rsidR="00196293">
              <w:rPr>
                <w:sz w:val="18"/>
                <w:szCs w:val="18"/>
              </w:rPr>
              <w:t>6</w:t>
            </w:r>
          </w:p>
        </w:tc>
        <w:tc>
          <w:tcPr>
            <w:tcW w:w="116" w:type="dxa"/>
            <w:shd w:val="clear" w:color="auto" w:fill="auto"/>
            <w:vAlign w:val="bottom"/>
          </w:tcPr>
          <w:p w14:paraId="56E96BEC" w14:textId="77777777" w:rsidR="007B7431" w:rsidRPr="00EC6677" w:rsidRDefault="007B7431" w:rsidP="007B7431">
            <w:pPr>
              <w:ind w:right="57"/>
              <w:jc w:val="right"/>
              <w:rPr>
                <w:sz w:val="18"/>
                <w:szCs w:val="18"/>
              </w:rPr>
            </w:pPr>
          </w:p>
        </w:tc>
        <w:tc>
          <w:tcPr>
            <w:tcW w:w="1686" w:type="dxa"/>
            <w:vAlign w:val="bottom"/>
          </w:tcPr>
          <w:p w14:paraId="53DE1453" w14:textId="1FEA9CD4" w:rsidR="007B7431" w:rsidRPr="00EC6677" w:rsidRDefault="007B7431" w:rsidP="007B7431">
            <w:pPr>
              <w:ind w:right="57"/>
              <w:jc w:val="right"/>
              <w:rPr>
                <w:sz w:val="18"/>
                <w:szCs w:val="18"/>
              </w:rPr>
            </w:pPr>
            <w:r w:rsidRPr="00EC6677">
              <w:rPr>
                <w:sz w:val="18"/>
                <w:szCs w:val="18"/>
              </w:rPr>
              <w:t>1.349.678.696</w:t>
            </w:r>
          </w:p>
        </w:tc>
        <w:tc>
          <w:tcPr>
            <w:tcW w:w="2855" w:type="dxa"/>
            <w:shd w:val="clear" w:color="auto" w:fill="auto"/>
          </w:tcPr>
          <w:p w14:paraId="09BE9AF5" w14:textId="1382005E" w:rsidR="007B7431" w:rsidRPr="0013526B" w:rsidRDefault="007B7431" w:rsidP="007B7431">
            <w:pPr>
              <w:pStyle w:val="ListParagraph"/>
              <w:tabs>
                <w:tab w:val="right" w:pos="9340"/>
                <w:tab w:val="right" w:pos="10080"/>
              </w:tabs>
              <w:ind w:left="284"/>
              <w:jc w:val="right"/>
              <w:rPr>
                <w:i/>
                <w:sz w:val="18"/>
                <w:szCs w:val="18"/>
              </w:rPr>
            </w:pPr>
            <w:r w:rsidRPr="00164154">
              <w:rPr>
                <w:i/>
                <w:sz w:val="18"/>
                <w:szCs w:val="18"/>
              </w:rPr>
              <w:t>Others</w:t>
            </w:r>
          </w:p>
        </w:tc>
      </w:tr>
      <w:tr w:rsidR="00164154" w:rsidRPr="0013526B" w14:paraId="17FC8C6F" w14:textId="77777777" w:rsidTr="00BC57BA">
        <w:tc>
          <w:tcPr>
            <w:tcW w:w="2854" w:type="dxa"/>
            <w:shd w:val="clear" w:color="auto" w:fill="auto"/>
          </w:tcPr>
          <w:p w14:paraId="01549327" w14:textId="77777777" w:rsidR="00164154" w:rsidRPr="00D71B91" w:rsidRDefault="00164154" w:rsidP="00BC57BA">
            <w:pPr>
              <w:ind w:left="379"/>
              <w:jc w:val="both"/>
              <w:rPr>
                <w:sz w:val="18"/>
                <w:szCs w:val="20"/>
              </w:rPr>
            </w:pPr>
          </w:p>
        </w:tc>
        <w:tc>
          <w:tcPr>
            <w:tcW w:w="1686" w:type="dxa"/>
            <w:tcBorders>
              <w:top w:val="single" w:sz="4" w:space="0" w:color="auto"/>
            </w:tcBorders>
            <w:shd w:val="clear" w:color="auto" w:fill="auto"/>
            <w:vAlign w:val="bottom"/>
          </w:tcPr>
          <w:p w14:paraId="249DFD96" w14:textId="77777777" w:rsidR="00164154" w:rsidRPr="00EC6677" w:rsidRDefault="00164154" w:rsidP="0013526B">
            <w:pPr>
              <w:ind w:right="57"/>
              <w:jc w:val="right"/>
              <w:rPr>
                <w:sz w:val="18"/>
                <w:szCs w:val="20"/>
              </w:rPr>
            </w:pPr>
          </w:p>
        </w:tc>
        <w:tc>
          <w:tcPr>
            <w:tcW w:w="116" w:type="dxa"/>
            <w:shd w:val="clear" w:color="auto" w:fill="auto"/>
            <w:vAlign w:val="bottom"/>
          </w:tcPr>
          <w:p w14:paraId="5C1622BB" w14:textId="77777777" w:rsidR="00164154" w:rsidRPr="00EC6677" w:rsidRDefault="00164154" w:rsidP="0013526B">
            <w:pPr>
              <w:ind w:right="57"/>
              <w:jc w:val="right"/>
              <w:rPr>
                <w:sz w:val="18"/>
                <w:szCs w:val="20"/>
              </w:rPr>
            </w:pPr>
          </w:p>
        </w:tc>
        <w:tc>
          <w:tcPr>
            <w:tcW w:w="1686" w:type="dxa"/>
            <w:tcBorders>
              <w:top w:val="single" w:sz="4" w:space="0" w:color="auto"/>
            </w:tcBorders>
            <w:vAlign w:val="bottom"/>
          </w:tcPr>
          <w:p w14:paraId="583F50F6" w14:textId="77777777" w:rsidR="00164154" w:rsidRPr="00EC6677" w:rsidRDefault="00164154" w:rsidP="0013526B">
            <w:pPr>
              <w:ind w:right="57"/>
              <w:jc w:val="right"/>
              <w:rPr>
                <w:sz w:val="18"/>
                <w:szCs w:val="20"/>
              </w:rPr>
            </w:pPr>
          </w:p>
        </w:tc>
        <w:tc>
          <w:tcPr>
            <w:tcW w:w="2855" w:type="dxa"/>
            <w:shd w:val="clear" w:color="auto" w:fill="auto"/>
          </w:tcPr>
          <w:p w14:paraId="1011DA9E" w14:textId="77777777" w:rsidR="00164154" w:rsidRPr="00D71B91" w:rsidRDefault="00164154" w:rsidP="0013526B">
            <w:pPr>
              <w:ind w:right="57"/>
              <w:jc w:val="right"/>
              <w:rPr>
                <w:i/>
                <w:sz w:val="18"/>
                <w:szCs w:val="20"/>
              </w:rPr>
            </w:pPr>
          </w:p>
        </w:tc>
      </w:tr>
      <w:tr w:rsidR="00164154" w:rsidRPr="0013526B" w14:paraId="303AD2D7" w14:textId="77777777" w:rsidTr="00BC57BA">
        <w:trPr>
          <w:trHeight w:val="292"/>
        </w:trPr>
        <w:tc>
          <w:tcPr>
            <w:tcW w:w="2854" w:type="dxa"/>
            <w:shd w:val="clear" w:color="auto" w:fill="auto"/>
            <w:vAlign w:val="bottom"/>
          </w:tcPr>
          <w:p w14:paraId="4EA4382B" w14:textId="220F714A" w:rsidR="00164154" w:rsidRPr="00672A8A" w:rsidRDefault="00672A8A" w:rsidP="00BC57BA">
            <w:pPr>
              <w:pStyle w:val="ListParagraph"/>
              <w:ind w:left="379"/>
              <w:jc w:val="both"/>
              <w:rPr>
                <w:b/>
                <w:bCs w:val="0"/>
                <w:sz w:val="18"/>
                <w:szCs w:val="18"/>
              </w:rPr>
            </w:pPr>
            <w:r w:rsidRPr="00672A8A">
              <w:rPr>
                <w:b/>
                <w:bCs w:val="0"/>
                <w:sz w:val="18"/>
                <w:szCs w:val="18"/>
              </w:rPr>
              <w:t>Jumlah</w:t>
            </w:r>
          </w:p>
        </w:tc>
        <w:tc>
          <w:tcPr>
            <w:tcW w:w="1686" w:type="dxa"/>
            <w:tcBorders>
              <w:bottom w:val="double" w:sz="4" w:space="0" w:color="auto"/>
            </w:tcBorders>
            <w:shd w:val="clear" w:color="auto" w:fill="auto"/>
            <w:vAlign w:val="bottom"/>
          </w:tcPr>
          <w:p w14:paraId="0D0BAC28" w14:textId="5DC21CE2" w:rsidR="00164154" w:rsidRPr="00EC6677" w:rsidRDefault="00AC74B4" w:rsidP="0013526B">
            <w:pPr>
              <w:ind w:right="57"/>
              <w:jc w:val="right"/>
              <w:rPr>
                <w:b/>
                <w:bCs w:val="0"/>
                <w:sz w:val="18"/>
                <w:szCs w:val="18"/>
              </w:rPr>
            </w:pPr>
            <w:r w:rsidRPr="008F7E35">
              <w:rPr>
                <w:b/>
                <w:bCs w:val="0"/>
                <w:sz w:val="18"/>
                <w:szCs w:val="18"/>
              </w:rPr>
              <w:t>49.937.106.</w:t>
            </w:r>
            <w:r w:rsidR="00EC6677" w:rsidRPr="008F7E35">
              <w:rPr>
                <w:b/>
                <w:bCs w:val="0"/>
                <w:sz w:val="18"/>
                <w:szCs w:val="18"/>
              </w:rPr>
              <w:t>165</w:t>
            </w:r>
          </w:p>
        </w:tc>
        <w:tc>
          <w:tcPr>
            <w:tcW w:w="116" w:type="dxa"/>
            <w:shd w:val="clear" w:color="auto" w:fill="auto"/>
            <w:vAlign w:val="bottom"/>
          </w:tcPr>
          <w:p w14:paraId="13D8288A" w14:textId="77777777" w:rsidR="00164154" w:rsidRPr="00EC6677" w:rsidRDefault="00164154" w:rsidP="0013526B">
            <w:pPr>
              <w:ind w:right="57"/>
              <w:jc w:val="right"/>
              <w:rPr>
                <w:b/>
                <w:bCs w:val="0"/>
                <w:sz w:val="18"/>
                <w:szCs w:val="18"/>
              </w:rPr>
            </w:pPr>
          </w:p>
        </w:tc>
        <w:tc>
          <w:tcPr>
            <w:tcW w:w="1686" w:type="dxa"/>
            <w:tcBorders>
              <w:bottom w:val="double" w:sz="4" w:space="0" w:color="auto"/>
            </w:tcBorders>
            <w:vAlign w:val="bottom"/>
          </w:tcPr>
          <w:p w14:paraId="6697FDD6" w14:textId="502C510E" w:rsidR="00164154" w:rsidRPr="00EC6677" w:rsidRDefault="007B7431" w:rsidP="0013526B">
            <w:pPr>
              <w:ind w:right="57"/>
              <w:jc w:val="right"/>
              <w:rPr>
                <w:b/>
                <w:bCs w:val="0"/>
                <w:sz w:val="18"/>
                <w:szCs w:val="18"/>
              </w:rPr>
            </w:pPr>
            <w:r w:rsidRPr="00EC6677">
              <w:rPr>
                <w:b/>
                <w:bCs w:val="0"/>
                <w:sz w:val="18"/>
                <w:szCs w:val="18"/>
              </w:rPr>
              <w:t>39.893.394.576</w:t>
            </w:r>
          </w:p>
        </w:tc>
        <w:tc>
          <w:tcPr>
            <w:tcW w:w="2855" w:type="dxa"/>
            <w:shd w:val="clear" w:color="auto" w:fill="auto"/>
            <w:vAlign w:val="bottom"/>
          </w:tcPr>
          <w:p w14:paraId="6FF1F46C" w14:textId="77777777" w:rsidR="00164154" w:rsidRPr="0013526B" w:rsidRDefault="00164154" w:rsidP="0013526B">
            <w:pPr>
              <w:ind w:right="57"/>
              <w:jc w:val="right"/>
              <w:rPr>
                <w:b/>
                <w:bCs w:val="0"/>
                <w:i/>
                <w:sz w:val="18"/>
                <w:szCs w:val="18"/>
              </w:rPr>
            </w:pPr>
            <w:r w:rsidRPr="0013526B">
              <w:rPr>
                <w:b/>
                <w:bCs w:val="0"/>
                <w:i/>
                <w:sz w:val="18"/>
                <w:szCs w:val="18"/>
              </w:rPr>
              <w:t>Total</w:t>
            </w:r>
          </w:p>
        </w:tc>
      </w:tr>
    </w:tbl>
    <w:p w14:paraId="52BBA482" w14:textId="77777777" w:rsidR="00B62D0D" w:rsidRPr="00D71B91" w:rsidRDefault="00B62D0D">
      <w:pPr>
        <w:rPr>
          <w:sz w:val="18"/>
          <w:szCs w:val="18"/>
        </w:rPr>
      </w:pPr>
    </w:p>
    <w:tbl>
      <w:tblPr>
        <w:tblW w:w="9197" w:type="dxa"/>
        <w:tblInd w:w="108" w:type="dxa"/>
        <w:tblLayout w:type="fixed"/>
        <w:tblLook w:val="0000" w:firstRow="0" w:lastRow="0" w:firstColumn="0" w:lastColumn="0" w:noHBand="0" w:noVBand="0"/>
      </w:tblPr>
      <w:tblGrid>
        <w:gridCol w:w="4598"/>
        <w:gridCol w:w="4599"/>
      </w:tblGrid>
      <w:tr w:rsidR="006D5340" w:rsidRPr="0013526B" w14:paraId="61F4D10E" w14:textId="77777777" w:rsidTr="001775FB">
        <w:tc>
          <w:tcPr>
            <w:tcW w:w="2500" w:type="pct"/>
            <w:tcBorders>
              <w:top w:val="nil"/>
              <w:left w:val="nil"/>
              <w:bottom w:val="nil"/>
              <w:right w:val="nil"/>
            </w:tcBorders>
          </w:tcPr>
          <w:p w14:paraId="60F0CEF2" w14:textId="0539A122" w:rsidR="006D5340" w:rsidRPr="00E259B2" w:rsidRDefault="006D5340" w:rsidP="002749CB">
            <w:pPr>
              <w:pStyle w:val="ListParagraph"/>
              <w:ind w:left="284" w:right="-57"/>
              <w:jc w:val="both"/>
              <w:rPr>
                <w:sz w:val="18"/>
                <w:szCs w:val="18"/>
              </w:rPr>
            </w:pPr>
            <w:r w:rsidRPr="00E259B2">
              <w:rPr>
                <w:sz w:val="18"/>
                <w:szCs w:val="18"/>
              </w:rPr>
              <w:t>Seluruh persediaan telah diasuransikan kepada  PT Sompo Insurance Indonesia dengan jumlah pertanggungan masing-masing sebesar Rp</w:t>
            </w:r>
            <w:r w:rsidR="002319CC" w:rsidRPr="00E259B2">
              <w:rPr>
                <w:sz w:val="18"/>
                <w:szCs w:val="18"/>
              </w:rPr>
              <w:t xml:space="preserve"> 59.784.806.000 </w:t>
            </w:r>
            <w:r w:rsidRPr="00E259B2">
              <w:rPr>
                <w:sz w:val="18"/>
                <w:szCs w:val="18"/>
              </w:rPr>
              <w:t xml:space="preserve">dan </w:t>
            </w:r>
            <w:r w:rsidRPr="00E259B2">
              <w:rPr>
                <w:sz w:val="18"/>
                <w:szCs w:val="18"/>
              </w:rPr>
              <w:br/>
            </w:r>
            <w:r w:rsidR="002749CB" w:rsidRPr="00E259B2">
              <w:rPr>
                <w:sz w:val="18"/>
                <w:szCs w:val="18"/>
              </w:rPr>
              <w:t>pada tanggal 31 Maret</w:t>
            </w:r>
            <w:r w:rsidRPr="00E259B2">
              <w:rPr>
                <w:sz w:val="18"/>
                <w:szCs w:val="18"/>
              </w:rPr>
              <w:t xml:space="preserve"> 20</w:t>
            </w:r>
            <w:r w:rsidR="002749CB" w:rsidRPr="00E259B2">
              <w:rPr>
                <w:sz w:val="18"/>
                <w:szCs w:val="18"/>
              </w:rPr>
              <w:t>20</w:t>
            </w:r>
            <w:r w:rsidRPr="00E259B2">
              <w:rPr>
                <w:sz w:val="18"/>
                <w:szCs w:val="18"/>
              </w:rPr>
              <w:t xml:space="preserve"> dan </w:t>
            </w:r>
            <w:r w:rsidR="002749CB" w:rsidRPr="00E259B2">
              <w:rPr>
                <w:sz w:val="18"/>
                <w:szCs w:val="18"/>
              </w:rPr>
              <w:t xml:space="preserve">31 Desember </w:t>
            </w:r>
            <w:r w:rsidRPr="00E259B2">
              <w:rPr>
                <w:sz w:val="18"/>
                <w:szCs w:val="18"/>
              </w:rPr>
              <w:t>201</w:t>
            </w:r>
            <w:r w:rsidR="002749CB" w:rsidRPr="00E259B2">
              <w:rPr>
                <w:sz w:val="18"/>
                <w:szCs w:val="18"/>
              </w:rPr>
              <w:t>9</w:t>
            </w:r>
            <w:r w:rsidRPr="00E259B2">
              <w:rPr>
                <w:sz w:val="18"/>
                <w:szCs w:val="18"/>
              </w:rPr>
              <w:t>. Manajemen berkeyakinan bahwa nilai pertanggungan tersebut cukup untuk mencukupi kerugian yang mungkin terjadi.</w:t>
            </w:r>
          </w:p>
        </w:tc>
        <w:tc>
          <w:tcPr>
            <w:tcW w:w="2500" w:type="pct"/>
            <w:tcBorders>
              <w:top w:val="nil"/>
              <w:left w:val="nil"/>
              <w:bottom w:val="nil"/>
              <w:right w:val="nil"/>
            </w:tcBorders>
          </w:tcPr>
          <w:p w14:paraId="114011BA" w14:textId="06AC9036" w:rsidR="006D5340" w:rsidRPr="004664E3" w:rsidRDefault="006D5340" w:rsidP="00AC74B4">
            <w:pPr>
              <w:pStyle w:val="ListParagraph"/>
              <w:tabs>
                <w:tab w:val="right" w:pos="9340"/>
                <w:tab w:val="right" w:pos="10080"/>
              </w:tabs>
              <w:ind w:left="284" w:right="-57"/>
              <w:jc w:val="both"/>
              <w:rPr>
                <w:i/>
                <w:sz w:val="18"/>
                <w:szCs w:val="18"/>
              </w:rPr>
            </w:pPr>
            <w:proofErr w:type="gramStart"/>
            <w:r w:rsidRPr="00E259B2">
              <w:rPr>
                <w:i/>
                <w:sz w:val="18"/>
                <w:szCs w:val="18"/>
              </w:rPr>
              <w:t>All  inventories</w:t>
            </w:r>
            <w:proofErr w:type="gramEnd"/>
            <w:r w:rsidRPr="00E259B2">
              <w:rPr>
                <w:i/>
                <w:sz w:val="18"/>
                <w:szCs w:val="18"/>
              </w:rPr>
              <w:t xml:space="preserve"> are  insured to PT Sompo Insurance Indonesia for Rp </w:t>
            </w:r>
            <w:r w:rsidR="002319CC" w:rsidRPr="00E259B2">
              <w:rPr>
                <w:i/>
                <w:sz w:val="18"/>
                <w:szCs w:val="18"/>
              </w:rPr>
              <w:t>59</w:t>
            </w:r>
            <w:r w:rsidR="00AC74B4" w:rsidRPr="00E259B2">
              <w:rPr>
                <w:i/>
                <w:sz w:val="18"/>
                <w:szCs w:val="18"/>
              </w:rPr>
              <w:t>,</w:t>
            </w:r>
            <w:r w:rsidR="002319CC" w:rsidRPr="00E259B2">
              <w:rPr>
                <w:i/>
                <w:sz w:val="18"/>
                <w:szCs w:val="18"/>
              </w:rPr>
              <w:t>784</w:t>
            </w:r>
            <w:r w:rsidR="00AC74B4" w:rsidRPr="00E259B2">
              <w:rPr>
                <w:i/>
                <w:sz w:val="18"/>
                <w:szCs w:val="18"/>
              </w:rPr>
              <w:t>,</w:t>
            </w:r>
            <w:r w:rsidR="002319CC" w:rsidRPr="00E259B2">
              <w:rPr>
                <w:i/>
                <w:sz w:val="18"/>
                <w:szCs w:val="18"/>
              </w:rPr>
              <w:t>806</w:t>
            </w:r>
            <w:r w:rsidR="00AC74B4" w:rsidRPr="00E259B2">
              <w:rPr>
                <w:i/>
                <w:sz w:val="18"/>
                <w:szCs w:val="18"/>
              </w:rPr>
              <w:t>,</w:t>
            </w:r>
            <w:r w:rsidR="002319CC" w:rsidRPr="00E259B2">
              <w:rPr>
                <w:i/>
                <w:sz w:val="18"/>
                <w:szCs w:val="18"/>
              </w:rPr>
              <w:t xml:space="preserve">000 </w:t>
            </w:r>
            <w:r w:rsidRPr="00E259B2">
              <w:rPr>
                <w:i/>
                <w:sz w:val="18"/>
                <w:szCs w:val="18"/>
              </w:rPr>
              <w:t xml:space="preserve"> as of </w:t>
            </w:r>
            <w:r w:rsidR="002749CB" w:rsidRPr="00E259B2">
              <w:rPr>
                <w:i/>
                <w:sz w:val="18"/>
                <w:szCs w:val="18"/>
              </w:rPr>
              <w:t>March</w:t>
            </w:r>
            <w:r w:rsidRPr="00E259B2">
              <w:rPr>
                <w:i/>
                <w:sz w:val="18"/>
                <w:szCs w:val="18"/>
              </w:rPr>
              <w:t xml:space="preserve"> 31</w:t>
            </w:r>
            <w:r w:rsidR="00AC74B4" w:rsidRPr="00E259B2">
              <w:rPr>
                <w:i/>
                <w:sz w:val="18"/>
                <w:szCs w:val="18"/>
              </w:rPr>
              <w:t>,</w:t>
            </w:r>
            <w:r w:rsidRPr="00E259B2">
              <w:rPr>
                <w:i/>
                <w:sz w:val="18"/>
                <w:szCs w:val="18"/>
              </w:rPr>
              <w:t xml:space="preserve"> 20</w:t>
            </w:r>
            <w:r w:rsidR="002749CB" w:rsidRPr="00E259B2">
              <w:rPr>
                <w:i/>
                <w:sz w:val="18"/>
                <w:szCs w:val="18"/>
              </w:rPr>
              <w:t xml:space="preserve">20 and December 31, </w:t>
            </w:r>
            <w:r w:rsidRPr="00E259B2">
              <w:rPr>
                <w:i/>
                <w:sz w:val="18"/>
                <w:szCs w:val="18"/>
              </w:rPr>
              <w:t>201</w:t>
            </w:r>
            <w:r w:rsidR="002749CB" w:rsidRPr="00E259B2">
              <w:rPr>
                <w:i/>
                <w:sz w:val="18"/>
                <w:szCs w:val="18"/>
              </w:rPr>
              <w:t>9</w:t>
            </w:r>
            <w:r w:rsidR="00AC74B4" w:rsidRPr="00E259B2">
              <w:rPr>
                <w:i/>
                <w:sz w:val="18"/>
                <w:szCs w:val="18"/>
              </w:rPr>
              <w:t>,</w:t>
            </w:r>
            <w:r w:rsidRPr="00E259B2">
              <w:rPr>
                <w:i/>
                <w:sz w:val="18"/>
                <w:szCs w:val="18"/>
              </w:rPr>
              <w:t xml:space="preserve"> respectively. Management believes that the insurance coverage is adequate to cover losses that may occur.</w:t>
            </w:r>
          </w:p>
        </w:tc>
      </w:tr>
      <w:tr w:rsidR="00B62D0D" w:rsidRPr="0013526B" w14:paraId="2FA3ADB6" w14:textId="77777777" w:rsidTr="001775FB">
        <w:tc>
          <w:tcPr>
            <w:tcW w:w="2500" w:type="pct"/>
            <w:tcBorders>
              <w:top w:val="nil"/>
              <w:left w:val="nil"/>
              <w:bottom w:val="nil"/>
              <w:right w:val="nil"/>
            </w:tcBorders>
          </w:tcPr>
          <w:p w14:paraId="6C84A504" w14:textId="77777777" w:rsidR="00B62D0D" w:rsidRPr="00D71B91" w:rsidRDefault="00B62D0D" w:rsidP="001775FB">
            <w:pPr>
              <w:pStyle w:val="ListParagraph"/>
              <w:ind w:left="284" w:right="-57"/>
              <w:jc w:val="both"/>
              <w:rPr>
                <w:sz w:val="20"/>
                <w:szCs w:val="20"/>
                <w:highlight w:val="yellow"/>
              </w:rPr>
            </w:pPr>
          </w:p>
        </w:tc>
        <w:tc>
          <w:tcPr>
            <w:tcW w:w="2500" w:type="pct"/>
            <w:tcBorders>
              <w:top w:val="nil"/>
              <w:left w:val="nil"/>
              <w:bottom w:val="nil"/>
              <w:right w:val="nil"/>
            </w:tcBorders>
          </w:tcPr>
          <w:p w14:paraId="37BB832A" w14:textId="77777777" w:rsidR="00B62D0D" w:rsidRPr="00D71B91" w:rsidRDefault="00B62D0D" w:rsidP="001775FB">
            <w:pPr>
              <w:pStyle w:val="ListParagraph"/>
              <w:tabs>
                <w:tab w:val="right" w:pos="9340"/>
                <w:tab w:val="right" w:pos="10080"/>
              </w:tabs>
              <w:ind w:left="289" w:right="-57"/>
              <w:jc w:val="both"/>
              <w:rPr>
                <w:i/>
                <w:sz w:val="20"/>
                <w:szCs w:val="20"/>
                <w:highlight w:val="yellow"/>
              </w:rPr>
            </w:pPr>
          </w:p>
        </w:tc>
      </w:tr>
      <w:tr w:rsidR="006D5340" w:rsidRPr="0013526B" w14:paraId="1265EC7B" w14:textId="77777777" w:rsidTr="001775FB">
        <w:tc>
          <w:tcPr>
            <w:tcW w:w="2500" w:type="pct"/>
            <w:tcBorders>
              <w:top w:val="nil"/>
              <w:left w:val="nil"/>
              <w:bottom w:val="nil"/>
              <w:right w:val="nil"/>
            </w:tcBorders>
          </w:tcPr>
          <w:p w14:paraId="1A88E542" w14:textId="77777777" w:rsidR="006D5340" w:rsidRPr="00E86F4A" w:rsidRDefault="006D5340" w:rsidP="001775FB">
            <w:pPr>
              <w:pStyle w:val="ListParagraph"/>
              <w:ind w:left="284" w:right="-57"/>
              <w:jc w:val="both"/>
              <w:rPr>
                <w:sz w:val="18"/>
                <w:szCs w:val="18"/>
              </w:rPr>
            </w:pPr>
            <w:r w:rsidRPr="00E86F4A">
              <w:rPr>
                <w:sz w:val="18"/>
                <w:szCs w:val="18"/>
              </w:rPr>
              <w:t>Manajemen berkeyakinan bahwa tidak terdapat penurunan nilai persediaan sehingga Grup tidak perlu penyisihan penurunan nilai persediaan.</w:t>
            </w:r>
          </w:p>
        </w:tc>
        <w:tc>
          <w:tcPr>
            <w:tcW w:w="2500" w:type="pct"/>
            <w:tcBorders>
              <w:top w:val="nil"/>
              <w:left w:val="nil"/>
              <w:bottom w:val="nil"/>
              <w:right w:val="nil"/>
            </w:tcBorders>
          </w:tcPr>
          <w:p w14:paraId="10CFE3E1" w14:textId="645C8609" w:rsidR="006D5340" w:rsidRPr="00E86F4A" w:rsidRDefault="006D5340" w:rsidP="001775FB">
            <w:pPr>
              <w:pStyle w:val="ListParagraph"/>
              <w:tabs>
                <w:tab w:val="right" w:pos="9340"/>
                <w:tab w:val="right" w:pos="10080"/>
              </w:tabs>
              <w:ind w:left="284" w:right="-57"/>
              <w:jc w:val="both"/>
              <w:rPr>
                <w:i/>
                <w:sz w:val="18"/>
                <w:szCs w:val="18"/>
              </w:rPr>
            </w:pPr>
            <w:r w:rsidRPr="00E86F4A">
              <w:rPr>
                <w:i/>
                <w:sz w:val="18"/>
                <w:szCs w:val="18"/>
              </w:rPr>
              <w:t>Management believes that there is no impairment for inventories therefore</w:t>
            </w:r>
            <w:r w:rsidR="00870FD0">
              <w:rPr>
                <w:i/>
                <w:sz w:val="18"/>
                <w:szCs w:val="18"/>
              </w:rPr>
              <w:t>.</w:t>
            </w:r>
            <w:r w:rsidRPr="00E86F4A">
              <w:rPr>
                <w:i/>
                <w:sz w:val="18"/>
                <w:szCs w:val="18"/>
              </w:rPr>
              <w:t xml:space="preserve"> </w:t>
            </w:r>
            <w:proofErr w:type="gramStart"/>
            <w:r w:rsidRPr="00E86F4A">
              <w:rPr>
                <w:i/>
                <w:sz w:val="18"/>
                <w:szCs w:val="18"/>
              </w:rPr>
              <w:t>the</w:t>
            </w:r>
            <w:proofErr w:type="gramEnd"/>
            <w:r w:rsidRPr="00E86F4A">
              <w:rPr>
                <w:i/>
                <w:sz w:val="18"/>
                <w:szCs w:val="18"/>
              </w:rPr>
              <w:t xml:space="preserve"> Group did not provide an allowance for impairment losses on inventories.</w:t>
            </w:r>
          </w:p>
        </w:tc>
      </w:tr>
      <w:tr w:rsidR="00B62D0D" w:rsidRPr="0013526B" w14:paraId="1B5F461D" w14:textId="77777777" w:rsidTr="001775FB">
        <w:tc>
          <w:tcPr>
            <w:tcW w:w="2500" w:type="pct"/>
            <w:tcBorders>
              <w:top w:val="nil"/>
              <w:left w:val="nil"/>
              <w:bottom w:val="nil"/>
              <w:right w:val="nil"/>
            </w:tcBorders>
          </w:tcPr>
          <w:p w14:paraId="6AB24928" w14:textId="77777777" w:rsidR="00B62D0D" w:rsidRPr="00D7493E" w:rsidRDefault="00B62D0D" w:rsidP="001775FB">
            <w:pPr>
              <w:pStyle w:val="ListParagraph"/>
              <w:ind w:left="284" w:right="-57"/>
              <w:jc w:val="both"/>
              <w:rPr>
                <w:sz w:val="18"/>
                <w:szCs w:val="18"/>
                <w:highlight w:val="yellow"/>
              </w:rPr>
            </w:pPr>
          </w:p>
        </w:tc>
        <w:tc>
          <w:tcPr>
            <w:tcW w:w="2500" w:type="pct"/>
            <w:tcBorders>
              <w:top w:val="nil"/>
              <w:left w:val="nil"/>
              <w:bottom w:val="nil"/>
              <w:right w:val="nil"/>
            </w:tcBorders>
          </w:tcPr>
          <w:p w14:paraId="54AD6743" w14:textId="77777777" w:rsidR="00B62D0D" w:rsidRPr="00D7493E" w:rsidRDefault="00B62D0D" w:rsidP="001775FB">
            <w:pPr>
              <w:pStyle w:val="ListParagraph"/>
              <w:tabs>
                <w:tab w:val="right" w:pos="9340"/>
                <w:tab w:val="right" w:pos="10080"/>
              </w:tabs>
              <w:ind w:left="284" w:right="-57"/>
              <w:jc w:val="both"/>
              <w:rPr>
                <w:i/>
                <w:sz w:val="18"/>
                <w:szCs w:val="18"/>
                <w:highlight w:val="yellow"/>
              </w:rPr>
            </w:pPr>
          </w:p>
        </w:tc>
      </w:tr>
      <w:tr w:rsidR="006D5340" w:rsidRPr="0013526B" w14:paraId="7ED9452E" w14:textId="77777777" w:rsidTr="001775FB">
        <w:tc>
          <w:tcPr>
            <w:tcW w:w="2500" w:type="pct"/>
            <w:tcBorders>
              <w:top w:val="nil"/>
              <w:left w:val="nil"/>
              <w:bottom w:val="nil"/>
              <w:right w:val="nil"/>
            </w:tcBorders>
          </w:tcPr>
          <w:p w14:paraId="39FF1FE5" w14:textId="77777777" w:rsidR="006D5340" w:rsidRPr="00E86F4A" w:rsidRDefault="006D5340" w:rsidP="001775FB">
            <w:pPr>
              <w:pStyle w:val="ListParagraph"/>
              <w:ind w:left="284" w:right="-57"/>
              <w:jc w:val="both"/>
              <w:rPr>
                <w:sz w:val="18"/>
                <w:szCs w:val="18"/>
              </w:rPr>
            </w:pPr>
            <w:r w:rsidRPr="00E86F4A">
              <w:rPr>
                <w:sz w:val="18"/>
                <w:szCs w:val="18"/>
              </w:rPr>
              <w:t>Persediaan Grup tidak digunakan sebagai jaminan utang bank.</w:t>
            </w:r>
          </w:p>
        </w:tc>
        <w:tc>
          <w:tcPr>
            <w:tcW w:w="2500" w:type="pct"/>
            <w:tcBorders>
              <w:top w:val="nil"/>
              <w:left w:val="nil"/>
              <w:bottom w:val="nil"/>
              <w:right w:val="nil"/>
            </w:tcBorders>
          </w:tcPr>
          <w:p w14:paraId="0B7767E4" w14:textId="77777777" w:rsidR="006D5340" w:rsidRPr="00E86F4A" w:rsidRDefault="006D5340" w:rsidP="001775FB">
            <w:pPr>
              <w:pStyle w:val="ListParagraph"/>
              <w:tabs>
                <w:tab w:val="right" w:pos="9340"/>
                <w:tab w:val="right" w:pos="10080"/>
              </w:tabs>
              <w:ind w:left="284" w:right="-57"/>
              <w:jc w:val="both"/>
              <w:rPr>
                <w:i/>
                <w:sz w:val="18"/>
                <w:szCs w:val="18"/>
              </w:rPr>
            </w:pPr>
            <w:r w:rsidRPr="00E86F4A">
              <w:rPr>
                <w:i/>
                <w:sz w:val="18"/>
                <w:szCs w:val="18"/>
              </w:rPr>
              <w:t>Portion of inventories of the Group was not used as collateral bank loans.</w:t>
            </w:r>
          </w:p>
        </w:tc>
      </w:tr>
    </w:tbl>
    <w:p w14:paraId="638A662B" w14:textId="48B5A230" w:rsidR="00B62D0D" w:rsidRDefault="00B62D0D" w:rsidP="00D378F0">
      <w:pPr>
        <w:pStyle w:val="ListParagraph"/>
        <w:ind w:left="252"/>
        <w:contextualSpacing/>
        <w:jc w:val="both"/>
      </w:pPr>
    </w:p>
    <w:p w14:paraId="3430A1A2" w14:textId="23C75BB0" w:rsidR="006D5340" w:rsidRDefault="00B62D0D" w:rsidP="00B62D0D">
      <w:r>
        <w:br w:type="page"/>
      </w:r>
    </w:p>
    <w:tbl>
      <w:tblPr>
        <w:tblW w:w="9197" w:type="dxa"/>
        <w:tblInd w:w="108" w:type="dxa"/>
        <w:tblLayout w:type="fixed"/>
        <w:tblLook w:val="0000" w:firstRow="0" w:lastRow="0" w:firstColumn="0" w:lastColumn="0" w:noHBand="0" w:noVBand="0"/>
      </w:tblPr>
      <w:tblGrid>
        <w:gridCol w:w="4598"/>
        <w:gridCol w:w="4599"/>
      </w:tblGrid>
      <w:tr w:rsidR="006D5340" w:rsidRPr="00EC793E" w14:paraId="349AC7CB" w14:textId="77777777" w:rsidTr="006D5340">
        <w:tc>
          <w:tcPr>
            <w:tcW w:w="2500" w:type="pct"/>
            <w:tcBorders>
              <w:top w:val="nil"/>
              <w:left w:val="nil"/>
              <w:bottom w:val="nil"/>
              <w:right w:val="nil"/>
            </w:tcBorders>
          </w:tcPr>
          <w:p w14:paraId="458B033E" w14:textId="77777777" w:rsidR="006D5340" w:rsidRPr="0013526B" w:rsidRDefault="006D5340" w:rsidP="00070D1F">
            <w:pPr>
              <w:pStyle w:val="ListParagraph"/>
              <w:numPr>
                <w:ilvl w:val="0"/>
                <w:numId w:val="349"/>
              </w:numPr>
              <w:ind w:hanging="252"/>
              <w:contextualSpacing/>
              <w:jc w:val="both"/>
              <w:rPr>
                <w:b/>
                <w:sz w:val="18"/>
                <w:szCs w:val="18"/>
              </w:rPr>
            </w:pPr>
            <w:r w:rsidRPr="0013526B">
              <w:rPr>
                <w:b/>
                <w:sz w:val="18"/>
                <w:szCs w:val="18"/>
              </w:rPr>
              <w:lastRenderedPageBreak/>
              <w:t>UANG MUKA</w:t>
            </w:r>
          </w:p>
        </w:tc>
        <w:tc>
          <w:tcPr>
            <w:tcW w:w="2500" w:type="pct"/>
            <w:tcBorders>
              <w:top w:val="nil"/>
              <w:left w:val="nil"/>
              <w:bottom w:val="nil"/>
              <w:right w:val="nil"/>
            </w:tcBorders>
          </w:tcPr>
          <w:p w14:paraId="01084063" w14:textId="77777777" w:rsidR="006D5340" w:rsidRPr="00EC793E" w:rsidRDefault="006D5340" w:rsidP="00070D1F">
            <w:pPr>
              <w:pStyle w:val="ListParagraph"/>
              <w:numPr>
                <w:ilvl w:val="0"/>
                <w:numId w:val="315"/>
              </w:numPr>
              <w:ind w:hanging="269"/>
              <w:contextualSpacing/>
              <w:jc w:val="both"/>
              <w:rPr>
                <w:b/>
                <w:sz w:val="18"/>
                <w:szCs w:val="18"/>
              </w:rPr>
            </w:pPr>
            <w:r w:rsidRPr="00D378F0">
              <w:rPr>
                <w:b/>
                <w:i/>
                <w:sz w:val="18"/>
                <w:szCs w:val="18"/>
              </w:rPr>
              <w:t>ADVANCE</w:t>
            </w:r>
            <w:r w:rsidRPr="00EC793E">
              <w:rPr>
                <w:b/>
                <w:sz w:val="18"/>
                <w:szCs w:val="18"/>
              </w:rPr>
              <w:t xml:space="preserve"> </w:t>
            </w:r>
          </w:p>
        </w:tc>
      </w:tr>
    </w:tbl>
    <w:p w14:paraId="3F6EC42D" w14:textId="77777777" w:rsidR="00B62D0D" w:rsidRPr="0013526B" w:rsidRDefault="00B62D0D" w:rsidP="006D5340">
      <w:pPr>
        <w:jc w:val="both"/>
        <w:rPr>
          <w:sz w:val="18"/>
          <w:szCs w:val="18"/>
        </w:rPr>
      </w:pPr>
    </w:p>
    <w:tbl>
      <w:tblPr>
        <w:tblW w:w="9214" w:type="dxa"/>
        <w:tblInd w:w="108" w:type="dxa"/>
        <w:tblLayout w:type="fixed"/>
        <w:tblLook w:val="0000" w:firstRow="0" w:lastRow="0" w:firstColumn="0" w:lastColumn="0" w:noHBand="0" w:noVBand="0"/>
      </w:tblPr>
      <w:tblGrid>
        <w:gridCol w:w="4607"/>
        <w:gridCol w:w="4607"/>
      </w:tblGrid>
      <w:tr w:rsidR="006D5340" w:rsidRPr="0013526B" w14:paraId="65C53716" w14:textId="77777777" w:rsidTr="001775FB">
        <w:tc>
          <w:tcPr>
            <w:tcW w:w="4598" w:type="dxa"/>
            <w:tcBorders>
              <w:top w:val="nil"/>
              <w:left w:val="nil"/>
              <w:bottom w:val="nil"/>
              <w:right w:val="nil"/>
            </w:tcBorders>
          </w:tcPr>
          <w:p w14:paraId="70571580" w14:textId="77777777" w:rsidR="006D5340" w:rsidRPr="0013526B" w:rsidRDefault="006D5340" w:rsidP="001775FB">
            <w:pPr>
              <w:pStyle w:val="ListParagraph"/>
              <w:ind w:left="284"/>
              <w:jc w:val="both"/>
              <w:rPr>
                <w:sz w:val="18"/>
                <w:szCs w:val="18"/>
              </w:rPr>
            </w:pPr>
            <w:r w:rsidRPr="0013526B">
              <w:rPr>
                <w:sz w:val="18"/>
                <w:szCs w:val="18"/>
              </w:rPr>
              <w:t>Saldo uang muka</w:t>
            </w:r>
            <w:r>
              <w:rPr>
                <w:sz w:val="18"/>
                <w:szCs w:val="18"/>
              </w:rPr>
              <w:t xml:space="preserve"> </w:t>
            </w:r>
            <w:r w:rsidRPr="0013526B">
              <w:rPr>
                <w:sz w:val="18"/>
                <w:szCs w:val="18"/>
              </w:rPr>
              <w:t>terdiri dari:</w:t>
            </w:r>
          </w:p>
        </w:tc>
        <w:tc>
          <w:tcPr>
            <w:tcW w:w="4598" w:type="dxa"/>
            <w:tcBorders>
              <w:top w:val="nil"/>
              <w:left w:val="nil"/>
              <w:bottom w:val="nil"/>
              <w:right w:val="nil"/>
            </w:tcBorders>
          </w:tcPr>
          <w:p w14:paraId="57E0CA7E" w14:textId="77777777" w:rsidR="006D5340" w:rsidRPr="0013526B" w:rsidRDefault="006D5340" w:rsidP="001775FB">
            <w:pPr>
              <w:pStyle w:val="ListParagraph"/>
              <w:tabs>
                <w:tab w:val="right" w:pos="9340"/>
                <w:tab w:val="right" w:pos="10080"/>
              </w:tabs>
              <w:ind w:left="284" w:firstLine="34"/>
              <w:jc w:val="both"/>
              <w:rPr>
                <w:i/>
                <w:sz w:val="18"/>
                <w:szCs w:val="18"/>
              </w:rPr>
            </w:pPr>
            <w:r w:rsidRPr="0013526B">
              <w:rPr>
                <w:i/>
                <w:sz w:val="18"/>
                <w:szCs w:val="18"/>
              </w:rPr>
              <w:t>The balance of advance</w:t>
            </w:r>
            <w:r>
              <w:rPr>
                <w:i/>
                <w:sz w:val="18"/>
                <w:szCs w:val="18"/>
              </w:rPr>
              <w:t xml:space="preserve"> </w:t>
            </w:r>
            <w:r w:rsidRPr="0013526B">
              <w:rPr>
                <w:i/>
                <w:sz w:val="18"/>
                <w:szCs w:val="18"/>
              </w:rPr>
              <w:t>consists of:</w:t>
            </w:r>
          </w:p>
        </w:tc>
      </w:tr>
    </w:tbl>
    <w:p w14:paraId="2BE0EE6E" w14:textId="77777777" w:rsidR="00B62D0D" w:rsidRPr="0013526B" w:rsidRDefault="00B62D0D" w:rsidP="006D5340">
      <w:pPr>
        <w:ind w:left="567"/>
        <w:jc w:val="both"/>
        <w:rPr>
          <w:sz w:val="18"/>
          <w:szCs w:val="18"/>
        </w:rPr>
      </w:pPr>
    </w:p>
    <w:tbl>
      <w:tblPr>
        <w:tblW w:w="9197" w:type="dxa"/>
        <w:tblInd w:w="112" w:type="dxa"/>
        <w:tblCellMar>
          <w:left w:w="0" w:type="dxa"/>
          <w:right w:w="0" w:type="dxa"/>
        </w:tblCellMar>
        <w:tblLook w:val="04A0" w:firstRow="1" w:lastRow="0" w:firstColumn="1" w:lastColumn="0" w:noHBand="0" w:noVBand="1"/>
      </w:tblPr>
      <w:tblGrid>
        <w:gridCol w:w="2867"/>
        <w:gridCol w:w="1676"/>
        <w:gridCol w:w="111"/>
        <w:gridCol w:w="1676"/>
        <w:gridCol w:w="2867"/>
      </w:tblGrid>
      <w:tr w:rsidR="00C66E38" w:rsidRPr="0013526B" w14:paraId="19D7222F" w14:textId="77777777" w:rsidTr="00E50367">
        <w:tc>
          <w:tcPr>
            <w:tcW w:w="2867" w:type="dxa"/>
            <w:shd w:val="clear" w:color="auto" w:fill="auto"/>
          </w:tcPr>
          <w:p w14:paraId="631D58F8" w14:textId="77777777" w:rsidR="00C66E38" w:rsidRPr="0013526B" w:rsidRDefault="00C66E38" w:rsidP="00C66E38">
            <w:pPr>
              <w:jc w:val="both"/>
              <w:rPr>
                <w:sz w:val="18"/>
                <w:szCs w:val="18"/>
              </w:rPr>
            </w:pPr>
          </w:p>
        </w:tc>
        <w:tc>
          <w:tcPr>
            <w:tcW w:w="1676" w:type="dxa"/>
            <w:tcBorders>
              <w:bottom w:val="single" w:sz="4" w:space="0" w:color="auto"/>
            </w:tcBorders>
            <w:shd w:val="clear" w:color="auto" w:fill="auto"/>
          </w:tcPr>
          <w:p w14:paraId="13AA7E53" w14:textId="77777777" w:rsidR="00C66E38" w:rsidRDefault="00C66E38" w:rsidP="00C66E38">
            <w:pPr>
              <w:jc w:val="center"/>
              <w:rPr>
                <w:b/>
                <w:sz w:val="18"/>
                <w:szCs w:val="18"/>
              </w:rPr>
            </w:pPr>
            <w:r>
              <w:rPr>
                <w:b/>
                <w:sz w:val="18"/>
                <w:szCs w:val="18"/>
              </w:rPr>
              <w:t>31 Maret/</w:t>
            </w:r>
          </w:p>
          <w:p w14:paraId="77EAFC9B" w14:textId="0E177026" w:rsidR="00C66E38" w:rsidRPr="0013526B" w:rsidRDefault="00C66E38" w:rsidP="00AC74B4">
            <w:pPr>
              <w:jc w:val="center"/>
              <w:rPr>
                <w:b/>
                <w:sz w:val="18"/>
                <w:szCs w:val="18"/>
              </w:rPr>
            </w:pPr>
            <w:r>
              <w:rPr>
                <w:b/>
                <w:sz w:val="18"/>
                <w:szCs w:val="18"/>
              </w:rPr>
              <w:t>March 31</w:t>
            </w:r>
            <w:r w:rsidR="00AC74B4">
              <w:rPr>
                <w:b/>
                <w:sz w:val="18"/>
                <w:szCs w:val="18"/>
              </w:rPr>
              <w:t>,</w:t>
            </w:r>
            <w:r>
              <w:rPr>
                <w:b/>
                <w:sz w:val="18"/>
                <w:szCs w:val="18"/>
              </w:rPr>
              <w:t xml:space="preserve"> 2020</w:t>
            </w:r>
          </w:p>
        </w:tc>
        <w:tc>
          <w:tcPr>
            <w:tcW w:w="111" w:type="dxa"/>
            <w:shd w:val="clear" w:color="auto" w:fill="auto"/>
          </w:tcPr>
          <w:p w14:paraId="0CE9B056" w14:textId="77777777" w:rsidR="00C66E38" w:rsidRPr="0013526B" w:rsidRDefault="00C66E38" w:rsidP="00C66E38">
            <w:pPr>
              <w:jc w:val="both"/>
              <w:rPr>
                <w:b/>
                <w:sz w:val="18"/>
                <w:szCs w:val="18"/>
              </w:rPr>
            </w:pPr>
          </w:p>
        </w:tc>
        <w:tc>
          <w:tcPr>
            <w:tcW w:w="1676" w:type="dxa"/>
            <w:tcBorders>
              <w:bottom w:val="single" w:sz="4" w:space="0" w:color="auto"/>
            </w:tcBorders>
          </w:tcPr>
          <w:p w14:paraId="544664DB" w14:textId="77777777" w:rsidR="00C66E38" w:rsidRDefault="00C66E38" w:rsidP="00C66E38">
            <w:pPr>
              <w:jc w:val="center"/>
              <w:rPr>
                <w:b/>
                <w:sz w:val="18"/>
                <w:szCs w:val="18"/>
              </w:rPr>
            </w:pPr>
            <w:r>
              <w:rPr>
                <w:b/>
                <w:sz w:val="18"/>
                <w:szCs w:val="18"/>
              </w:rPr>
              <w:t>31 Desember/</w:t>
            </w:r>
          </w:p>
          <w:p w14:paraId="7C1E879D" w14:textId="3DBF5420" w:rsidR="00C66E38" w:rsidRPr="0013526B" w:rsidRDefault="00C66E38" w:rsidP="00AC74B4">
            <w:pPr>
              <w:jc w:val="center"/>
              <w:rPr>
                <w:b/>
                <w:sz w:val="18"/>
                <w:szCs w:val="18"/>
              </w:rPr>
            </w:pPr>
            <w:r>
              <w:rPr>
                <w:b/>
                <w:sz w:val="18"/>
                <w:szCs w:val="18"/>
              </w:rPr>
              <w:t>December 31</w:t>
            </w:r>
            <w:r w:rsidR="00AC74B4">
              <w:rPr>
                <w:b/>
                <w:sz w:val="18"/>
                <w:szCs w:val="18"/>
              </w:rPr>
              <w:t>,</w:t>
            </w:r>
            <w:r>
              <w:rPr>
                <w:b/>
                <w:sz w:val="18"/>
                <w:szCs w:val="18"/>
              </w:rPr>
              <w:t xml:space="preserve"> </w:t>
            </w:r>
            <w:r w:rsidRPr="0013526B">
              <w:rPr>
                <w:b/>
                <w:sz w:val="18"/>
                <w:szCs w:val="18"/>
              </w:rPr>
              <w:t>201</w:t>
            </w:r>
            <w:r>
              <w:rPr>
                <w:b/>
                <w:sz w:val="18"/>
                <w:szCs w:val="18"/>
              </w:rPr>
              <w:t>9</w:t>
            </w:r>
          </w:p>
        </w:tc>
        <w:tc>
          <w:tcPr>
            <w:tcW w:w="2867" w:type="dxa"/>
            <w:shd w:val="clear" w:color="auto" w:fill="auto"/>
          </w:tcPr>
          <w:p w14:paraId="3A4590F7" w14:textId="77777777" w:rsidR="00C66E38" w:rsidRPr="0013526B" w:rsidRDefault="00C66E38" w:rsidP="00C66E38">
            <w:pPr>
              <w:jc w:val="both"/>
              <w:rPr>
                <w:sz w:val="18"/>
                <w:szCs w:val="18"/>
              </w:rPr>
            </w:pPr>
          </w:p>
        </w:tc>
      </w:tr>
      <w:tr w:rsidR="006D5340" w:rsidRPr="0013526B" w14:paraId="7AB1543A" w14:textId="77777777" w:rsidTr="00E50367">
        <w:tc>
          <w:tcPr>
            <w:tcW w:w="2867" w:type="dxa"/>
            <w:shd w:val="clear" w:color="auto" w:fill="auto"/>
          </w:tcPr>
          <w:p w14:paraId="6D471F5E" w14:textId="77777777" w:rsidR="006D5340" w:rsidRPr="00D71B91" w:rsidRDefault="006D5340" w:rsidP="001775FB">
            <w:pPr>
              <w:jc w:val="both"/>
              <w:rPr>
                <w:sz w:val="18"/>
                <w:szCs w:val="20"/>
              </w:rPr>
            </w:pPr>
          </w:p>
        </w:tc>
        <w:tc>
          <w:tcPr>
            <w:tcW w:w="1676" w:type="dxa"/>
            <w:shd w:val="clear" w:color="auto" w:fill="auto"/>
          </w:tcPr>
          <w:p w14:paraId="5C8B3F20" w14:textId="6D00BB4B" w:rsidR="006D5340" w:rsidRPr="00D71B91" w:rsidRDefault="006D5340" w:rsidP="001775FB">
            <w:pPr>
              <w:jc w:val="center"/>
              <w:rPr>
                <w:b/>
                <w:sz w:val="18"/>
                <w:szCs w:val="20"/>
              </w:rPr>
            </w:pPr>
          </w:p>
        </w:tc>
        <w:tc>
          <w:tcPr>
            <w:tcW w:w="111" w:type="dxa"/>
            <w:shd w:val="clear" w:color="auto" w:fill="auto"/>
          </w:tcPr>
          <w:p w14:paraId="650190B4" w14:textId="77777777" w:rsidR="006D5340" w:rsidRPr="00D71B91" w:rsidRDefault="006D5340" w:rsidP="001775FB">
            <w:pPr>
              <w:jc w:val="both"/>
              <w:rPr>
                <w:b/>
                <w:sz w:val="18"/>
                <w:szCs w:val="20"/>
              </w:rPr>
            </w:pPr>
          </w:p>
        </w:tc>
        <w:tc>
          <w:tcPr>
            <w:tcW w:w="1676" w:type="dxa"/>
            <w:tcBorders>
              <w:top w:val="single" w:sz="4" w:space="0" w:color="auto"/>
            </w:tcBorders>
          </w:tcPr>
          <w:p w14:paraId="081940AE" w14:textId="77777777" w:rsidR="006D5340" w:rsidRPr="00D71B91" w:rsidRDefault="006D5340" w:rsidP="001775FB">
            <w:pPr>
              <w:jc w:val="center"/>
              <w:rPr>
                <w:b/>
                <w:sz w:val="18"/>
                <w:szCs w:val="20"/>
              </w:rPr>
            </w:pPr>
          </w:p>
        </w:tc>
        <w:tc>
          <w:tcPr>
            <w:tcW w:w="2867" w:type="dxa"/>
            <w:shd w:val="clear" w:color="auto" w:fill="auto"/>
          </w:tcPr>
          <w:p w14:paraId="4BD30D48" w14:textId="77777777" w:rsidR="006D5340" w:rsidRPr="00D71B91" w:rsidRDefault="006D5340" w:rsidP="001775FB">
            <w:pPr>
              <w:jc w:val="both"/>
              <w:rPr>
                <w:sz w:val="18"/>
                <w:szCs w:val="20"/>
              </w:rPr>
            </w:pPr>
          </w:p>
        </w:tc>
      </w:tr>
      <w:tr w:rsidR="00457165" w:rsidRPr="0013526B" w14:paraId="10A0A2A7" w14:textId="77777777" w:rsidTr="002B637F">
        <w:trPr>
          <w:trHeight w:val="249"/>
        </w:trPr>
        <w:tc>
          <w:tcPr>
            <w:tcW w:w="2867" w:type="dxa"/>
            <w:shd w:val="clear" w:color="auto" w:fill="auto"/>
            <w:vAlign w:val="bottom"/>
          </w:tcPr>
          <w:p w14:paraId="7FF92370" w14:textId="77777777" w:rsidR="00457165" w:rsidRPr="0013526B" w:rsidRDefault="00457165" w:rsidP="00457165">
            <w:pPr>
              <w:ind w:left="363"/>
              <w:rPr>
                <w:sz w:val="18"/>
                <w:szCs w:val="18"/>
              </w:rPr>
            </w:pPr>
            <w:r>
              <w:rPr>
                <w:sz w:val="18"/>
                <w:szCs w:val="18"/>
              </w:rPr>
              <w:t>Tanah</w:t>
            </w:r>
          </w:p>
        </w:tc>
        <w:tc>
          <w:tcPr>
            <w:tcW w:w="1676" w:type="dxa"/>
            <w:shd w:val="clear" w:color="auto" w:fill="auto"/>
            <w:vAlign w:val="bottom"/>
          </w:tcPr>
          <w:p w14:paraId="13D16EF6" w14:textId="55147F9A" w:rsidR="00457165" w:rsidRPr="00FD59C4" w:rsidRDefault="00FD59C4" w:rsidP="00457165">
            <w:pPr>
              <w:ind w:right="57"/>
              <w:jc w:val="right"/>
              <w:rPr>
                <w:sz w:val="18"/>
                <w:szCs w:val="18"/>
              </w:rPr>
            </w:pPr>
            <w:r w:rsidRPr="00FD59C4">
              <w:rPr>
                <w:sz w:val="18"/>
                <w:szCs w:val="20"/>
              </w:rPr>
              <w:t>166.527.967.161</w:t>
            </w:r>
          </w:p>
        </w:tc>
        <w:tc>
          <w:tcPr>
            <w:tcW w:w="111" w:type="dxa"/>
            <w:shd w:val="clear" w:color="auto" w:fill="auto"/>
            <w:vAlign w:val="bottom"/>
          </w:tcPr>
          <w:p w14:paraId="649A7CCD" w14:textId="77777777" w:rsidR="00457165" w:rsidRPr="00FD59C4" w:rsidRDefault="00457165" w:rsidP="00457165">
            <w:pPr>
              <w:ind w:right="57"/>
              <w:jc w:val="right"/>
              <w:rPr>
                <w:sz w:val="18"/>
                <w:szCs w:val="18"/>
              </w:rPr>
            </w:pPr>
          </w:p>
        </w:tc>
        <w:tc>
          <w:tcPr>
            <w:tcW w:w="1676" w:type="dxa"/>
            <w:vAlign w:val="bottom"/>
          </w:tcPr>
          <w:p w14:paraId="15B2AF79" w14:textId="155E8F4E" w:rsidR="00457165" w:rsidRPr="00FD59C4" w:rsidRDefault="00457165" w:rsidP="00457165">
            <w:pPr>
              <w:ind w:right="57"/>
              <w:jc w:val="right"/>
              <w:rPr>
                <w:sz w:val="18"/>
                <w:szCs w:val="18"/>
              </w:rPr>
            </w:pPr>
            <w:r w:rsidRPr="00FD59C4">
              <w:rPr>
                <w:sz w:val="18"/>
                <w:szCs w:val="20"/>
              </w:rPr>
              <w:t>166.527.967.161</w:t>
            </w:r>
          </w:p>
        </w:tc>
        <w:tc>
          <w:tcPr>
            <w:tcW w:w="2867" w:type="dxa"/>
            <w:shd w:val="clear" w:color="auto" w:fill="auto"/>
            <w:vAlign w:val="bottom"/>
          </w:tcPr>
          <w:p w14:paraId="0302771F" w14:textId="77777777" w:rsidR="00457165" w:rsidRPr="0013526B" w:rsidRDefault="00457165" w:rsidP="00457165">
            <w:pPr>
              <w:ind w:right="57"/>
              <w:jc w:val="right"/>
              <w:rPr>
                <w:i/>
                <w:sz w:val="18"/>
                <w:szCs w:val="18"/>
              </w:rPr>
            </w:pPr>
            <w:r>
              <w:rPr>
                <w:i/>
                <w:sz w:val="18"/>
                <w:szCs w:val="18"/>
              </w:rPr>
              <w:t>Land</w:t>
            </w:r>
          </w:p>
        </w:tc>
      </w:tr>
      <w:tr w:rsidR="00457165" w:rsidRPr="0013526B" w14:paraId="440BFAED" w14:textId="77777777" w:rsidTr="002B637F">
        <w:trPr>
          <w:trHeight w:val="249"/>
        </w:trPr>
        <w:tc>
          <w:tcPr>
            <w:tcW w:w="2867" w:type="dxa"/>
            <w:shd w:val="clear" w:color="auto" w:fill="auto"/>
            <w:vAlign w:val="bottom"/>
          </w:tcPr>
          <w:p w14:paraId="7D8C9198" w14:textId="77777777" w:rsidR="00457165" w:rsidRPr="0013526B" w:rsidRDefault="00457165" w:rsidP="00457165">
            <w:pPr>
              <w:ind w:left="363"/>
              <w:rPr>
                <w:sz w:val="18"/>
                <w:szCs w:val="18"/>
              </w:rPr>
            </w:pPr>
            <w:r>
              <w:rPr>
                <w:sz w:val="18"/>
                <w:szCs w:val="18"/>
              </w:rPr>
              <w:t>Peralatan kesehatan</w:t>
            </w:r>
          </w:p>
        </w:tc>
        <w:tc>
          <w:tcPr>
            <w:tcW w:w="1676" w:type="dxa"/>
            <w:shd w:val="clear" w:color="auto" w:fill="auto"/>
            <w:vAlign w:val="bottom"/>
          </w:tcPr>
          <w:p w14:paraId="14BA7C84" w14:textId="6F27A734" w:rsidR="00457165" w:rsidRPr="00FD59C4" w:rsidRDefault="00AC74B4" w:rsidP="00AC74B4">
            <w:pPr>
              <w:ind w:right="57"/>
              <w:jc w:val="right"/>
              <w:rPr>
                <w:sz w:val="18"/>
                <w:szCs w:val="18"/>
              </w:rPr>
            </w:pPr>
            <w:r>
              <w:rPr>
                <w:sz w:val="18"/>
                <w:szCs w:val="18"/>
              </w:rPr>
              <w:t>32.</w:t>
            </w:r>
            <w:r w:rsidR="00FD59C4" w:rsidRPr="00FD59C4">
              <w:rPr>
                <w:sz w:val="18"/>
                <w:szCs w:val="18"/>
              </w:rPr>
              <w:t>108</w:t>
            </w:r>
            <w:r>
              <w:rPr>
                <w:sz w:val="18"/>
                <w:szCs w:val="18"/>
              </w:rPr>
              <w:t>.290.</w:t>
            </w:r>
            <w:r w:rsidR="00FD59C4" w:rsidRPr="00FD59C4">
              <w:rPr>
                <w:sz w:val="18"/>
                <w:szCs w:val="18"/>
              </w:rPr>
              <w:t>124</w:t>
            </w:r>
          </w:p>
        </w:tc>
        <w:tc>
          <w:tcPr>
            <w:tcW w:w="111" w:type="dxa"/>
            <w:shd w:val="clear" w:color="auto" w:fill="auto"/>
            <w:vAlign w:val="bottom"/>
          </w:tcPr>
          <w:p w14:paraId="51479703" w14:textId="77777777" w:rsidR="00457165" w:rsidRPr="00FD59C4" w:rsidRDefault="00457165" w:rsidP="00457165">
            <w:pPr>
              <w:ind w:right="57"/>
              <w:jc w:val="right"/>
              <w:rPr>
                <w:sz w:val="18"/>
                <w:szCs w:val="18"/>
              </w:rPr>
            </w:pPr>
          </w:p>
        </w:tc>
        <w:tc>
          <w:tcPr>
            <w:tcW w:w="1676" w:type="dxa"/>
            <w:vAlign w:val="bottom"/>
          </w:tcPr>
          <w:p w14:paraId="42793DBC" w14:textId="5CD29578" w:rsidR="00457165" w:rsidRPr="00FD59C4" w:rsidRDefault="00457165" w:rsidP="00457165">
            <w:pPr>
              <w:ind w:right="57"/>
              <w:jc w:val="right"/>
              <w:rPr>
                <w:sz w:val="18"/>
                <w:szCs w:val="18"/>
              </w:rPr>
            </w:pPr>
            <w:r w:rsidRPr="00FD59C4">
              <w:rPr>
                <w:sz w:val="18"/>
                <w:szCs w:val="18"/>
              </w:rPr>
              <w:t>26.682.941.992</w:t>
            </w:r>
          </w:p>
        </w:tc>
        <w:tc>
          <w:tcPr>
            <w:tcW w:w="2867" w:type="dxa"/>
            <w:shd w:val="clear" w:color="auto" w:fill="auto"/>
            <w:vAlign w:val="bottom"/>
          </w:tcPr>
          <w:p w14:paraId="40422180" w14:textId="77777777" w:rsidR="00457165" w:rsidRPr="0013526B" w:rsidRDefault="00457165" w:rsidP="00457165">
            <w:pPr>
              <w:ind w:right="57"/>
              <w:jc w:val="right"/>
              <w:rPr>
                <w:i/>
                <w:sz w:val="18"/>
                <w:szCs w:val="18"/>
              </w:rPr>
            </w:pPr>
            <w:r>
              <w:rPr>
                <w:i/>
                <w:sz w:val="18"/>
                <w:szCs w:val="18"/>
              </w:rPr>
              <w:t>Medical equipment</w:t>
            </w:r>
          </w:p>
        </w:tc>
      </w:tr>
      <w:tr w:rsidR="00457165" w:rsidRPr="0013526B" w14:paraId="498B522A" w14:textId="77777777" w:rsidTr="002B637F">
        <w:trPr>
          <w:trHeight w:val="249"/>
        </w:trPr>
        <w:tc>
          <w:tcPr>
            <w:tcW w:w="2867" w:type="dxa"/>
            <w:shd w:val="clear" w:color="auto" w:fill="auto"/>
            <w:vAlign w:val="bottom"/>
          </w:tcPr>
          <w:p w14:paraId="1AA61E42" w14:textId="77777777" w:rsidR="00457165" w:rsidRPr="0013526B" w:rsidRDefault="00457165" w:rsidP="00457165">
            <w:pPr>
              <w:ind w:left="363"/>
              <w:rPr>
                <w:sz w:val="18"/>
                <w:szCs w:val="18"/>
              </w:rPr>
            </w:pPr>
            <w:r>
              <w:rPr>
                <w:sz w:val="18"/>
                <w:szCs w:val="18"/>
              </w:rPr>
              <w:t>Aset tetap</w:t>
            </w:r>
          </w:p>
        </w:tc>
        <w:tc>
          <w:tcPr>
            <w:tcW w:w="1676" w:type="dxa"/>
            <w:shd w:val="clear" w:color="auto" w:fill="auto"/>
            <w:vAlign w:val="bottom"/>
          </w:tcPr>
          <w:p w14:paraId="71E37A61" w14:textId="3B1F33E3" w:rsidR="00457165" w:rsidRPr="00FD59C4" w:rsidRDefault="00AC74B4" w:rsidP="00457165">
            <w:pPr>
              <w:ind w:right="57"/>
              <w:jc w:val="right"/>
              <w:rPr>
                <w:sz w:val="18"/>
                <w:szCs w:val="18"/>
              </w:rPr>
            </w:pPr>
            <w:r>
              <w:rPr>
                <w:sz w:val="18"/>
                <w:szCs w:val="18"/>
              </w:rPr>
              <w:t>4.037.221.</w:t>
            </w:r>
            <w:r w:rsidR="00FD59C4" w:rsidRPr="00FD59C4">
              <w:rPr>
                <w:sz w:val="18"/>
                <w:szCs w:val="18"/>
              </w:rPr>
              <w:t>796</w:t>
            </w:r>
          </w:p>
        </w:tc>
        <w:tc>
          <w:tcPr>
            <w:tcW w:w="111" w:type="dxa"/>
            <w:shd w:val="clear" w:color="auto" w:fill="auto"/>
            <w:vAlign w:val="bottom"/>
          </w:tcPr>
          <w:p w14:paraId="3EDAC21D" w14:textId="77777777" w:rsidR="00457165" w:rsidRPr="00FD59C4" w:rsidRDefault="00457165" w:rsidP="00457165">
            <w:pPr>
              <w:ind w:right="57"/>
              <w:jc w:val="right"/>
              <w:rPr>
                <w:sz w:val="18"/>
                <w:szCs w:val="18"/>
              </w:rPr>
            </w:pPr>
          </w:p>
        </w:tc>
        <w:tc>
          <w:tcPr>
            <w:tcW w:w="1676" w:type="dxa"/>
            <w:vAlign w:val="bottom"/>
          </w:tcPr>
          <w:p w14:paraId="6955BB82" w14:textId="10D8E8E0" w:rsidR="00457165" w:rsidRPr="00FD59C4" w:rsidRDefault="00457165" w:rsidP="00457165">
            <w:pPr>
              <w:ind w:right="57"/>
              <w:jc w:val="right"/>
              <w:rPr>
                <w:sz w:val="18"/>
                <w:szCs w:val="18"/>
              </w:rPr>
            </w:pPr>
            <w:r w:rsidRPr="00FD59C4">
              <w:rPr>
                <w:sz w:val="18"/>
                <w:szCs w:val="18"/>
              </w:rPr>
              <w:t>4.078.188.602</w:t>
            </w:r>
          </w:p>
        </w:tc>
        <w:tc>
          <w:tcPr>
            <w:tcW w:w="2867" w:type="dxa"/>
            <w:shd w:val="clear" w:color="auto" w:fill="auto"/>
            <w:vAlign w:val="bottom"/>
          </w:tcPr>
          <w:p w14:paraId="1907566D" w14:textId="77777777" w:rsidR="00457165" w:rsidRPr="0013526B" w:rsidRDefault="00457165" w:rsidP="00457165">
            <w:pPr>
              <w:ind w:right="57"/>
              <w:jc w:val="right"/>
              <w:rPr>
                <w:i/>
                <w:sz w:val="18"/>
                <w:szCs w:val="18"/>
              </w:rPr>
            </w:pPr>
            <w:r>
              <w:rPr>
                <w:i/>
                <w:sz w:val="18"/>
                <w:szCs w:val="18"/>
              </w:rPr>
              <w:t>Fixed asset</w:t>
            </w:r>
          </w:p>
        </w:tc>
      </w:tr>
      <w:tr w:rsidR="00457165" w:rsidRPr="0013526B" w14:paraId="667A0BB2" w14:textId="77777777" w:rsidTr="002B637F">
        <w:trPr>
          <w:trHeight w:val="249"/>
        </w:trPr>
        <w:tc>
          <w:tcPr>
            <w:tcW w:w="2867" w:type="dxa"/>
            <w:shd w:val="clear" w:color="auto" w:fill="auto"/>
            <w:vAlign w:val="bottom"/>
          </w:tcPr>
          <w:p w14:paraId="36878D8C" w14:textId="77777777" w:rsidR="00457165" w:rsidRDefault="00457165" w:rsidP="00457165">
            <w:pPr>
              <w:ind w:left="363"/>
              <w:rPr>
                <w:sz w:val="18"/>
                <w:szCs w:val="18"/>
              </w:rPr>
            </w:pPr>
            <w:r w:rsidRPr="00472059">
              <w:rPr>
                <w:sz w:val="18"/>
                <w:szCs w:val="18"/>
              </w:rPr>
              <w:t>Bangunan</w:t>
            </w:r>
          </w:p>
        </w:tc>
        <w:tc>
          <w:tcPr>
            <w:tcW w:w="1676" w:type="dxa"/>
            <w:shd w:val="clear" w:color="auto" w:fill="auto"/>
            <w:vAlign w:val="bottom"/>
          </w:tcPr>
          <w:p w14:paraId="094DF4E7" w14:textId="334859B5" w:rsidR="00457165" w:rsidRPr="00FD59C4" w:rsidRDefault="00AC74B4" w:rsidP="00457165">
            <w:pPr>
              <w:ind w:right="57"/>
              <w:jc w:val="right"/>
              <w:rPr>
                <w:sz w:val="18"/>
                <w:szCs w:val="18"/>
              </w:rPr>
            </w:pPr>
            <w:r>
              <w:rPr>
                <w:sz w:val="18"/>
                <w:szCs w:val="18"/>
              </w:rPr>
              <w:t>580.872.</w:t>
            </w:r>
            <w:r w:rsidR="00FD59C4" w:rsidRPr="00FD59C4">
              <w:rPr>
                <w:sz w:val="18"/>
                <w:szCs w:val="18"/>
              </w:rPr>
              <w:t>042</w:t>
            </w:r>
          </w:p>
        </w:tc>
        <w:tc>
          <w:tcPr>
            <w:tcW w:w="111" w:type="dxa"/>
            <w:shd w:val="clear" w:color="auto" w:fill="auto"/>
            <w:vAlign w:val="bottom"/>
          </w:tcPr>
          <w:p w14:paraId="0EB8E882" w14:textId="77777777" w:rsidR="00457165" w:rsidRPr="00FD59C4" w:rsidRDefault="00457165" w:rsidP="00457165">
            <w:pPr>
              <w:ind w:right="57"/>
              <w:jc w:val="right"/>
              <w:rPr>
                <w:sz w:val="18"/>
                <w:szCs w:val="18"/>
              </w:rPr>
            </w:pPr>
          </w:p>
        </w:tc>
        <w:tc>
          <w:tcPr>
            <w:tcW w:w="1676" w:type="dxa"/>
            <w:vAlign w:val="bottom"/>
          </w:tcPr>
          <w:p w14:paraId="66BC8B9B" w14:textId="4DAD643F" w:rsidR="00457165" w:rsidRPr="00FD59C4" w:rsidRDefault="00457165" w:rsidP="00457165">
            <w:pPr>
              <w:ind w:right="57"/>
              <w:jc w:val="right"/>
              <w:rPr>
                <w:sz w:val="18"/>
                <w:szCs w:val="18"/>
              </w:rPr>
            </w:pPr>
            <w:r w:rsidRPr="00FD59C4">
              <w:rPr>
                <w:sz w:val="18"/>
                <w:szCs w:val="18"/>
              </w:rPr>
              <w:t>169.859.502</w:t>
            </w:r>
          </w:p>
        </w:tc>
        <w:tc>
          <w:tcPr>
            <w:tcW w:w="2867" w:type="dxa"/>
            <w:shd w:val="clear" w:color="auto" w:fill="auto"/>
            <w:vAlign w:val="bottom"/>
          </w:tcPr>
          <w:p w14:paraId="6A44A4FA" w14:textId="77777777" w:rsidR="00457165" w:rsidRDefault="00457165" w:rsidP="00457165">
            <w:pPr>
              <w:ind w:right="57"/>
              <w:jc w:val="right"/>
              <w:rPr>
                <w:i/>
                <w:sz w:val="18"/>
                <w:szCs w:val="18"/>
              </w:rPr>
            </w:pPr>
            <w:r w:rsidRPr="00472059">
              <w:rPr>
                <w:i/>
                <w:sz w:val="18"/>
                <w:szCs w:val="18"/>
              </w:rPr>
              <w:t>Building</w:t>
            </w:r>
          </w:p>
        </w:tc>
      </w:tr>
      <w:tr w:rsidR="00457165" w:rsidRPr="0013526B" w14:paraId="3B0F2BB5" w14:textId="77777777" w:rsidTr="002B637F">
        <w:trPr>
          <w:trHeight w:val="249"/>
        </w:trPr>
        <w:tc>
          <w:tcPr>
            <w:tcW w:w="2867" w:type="dxa"/>
            <w:shd w:val="clear" w:color="auto" w:fill="auto"/>
            <w:vAlign w:val="bottom"/>
          </w:tcPr>
          <w:p w14:paraId="5B335CC1" w14:textId="77777777" w:rsidR="00457165" w:rsidRDefault="00457165" w:rsidP="00457165">
            <w:pPr>
              <w:ind w:left="363"/>
              <w:rPr>
                <w:sz w:val="18"/>
                <w:szCs w:val="18"/>
              </w:rPr>
            </w:pPr>
            <w:r w:rsidRPr="00472059">
              <w:rPr>
                <w:sz w:val="18"/>
                <w:szCs w:val="18"/>
              </w:rPr>
              <w:t>Karyawan</w:t>
            </w:r>
          </w:p>
        </w:tc>
        <w:tc>
          <w:tcPr>
            <w:tcW w:w="1676" w:type="dxa"/>
            <w:shd w:val="clear" w:color="auto" w:fill="auto"/>
            <w:vAlign w:val="bottom"/>
          </w:tcPr>
          <w:p w14:paraId="5C7A48A7" w14:textId="75968C49" w:rsidR="00457165" w:rsidRPr="00FD59C4" w:rsidRDefault="00AC74B4" w:rsidP="00457165">
            <w:pPr>
              <w:ind w:right="57"/>
              <w:jc w:val="right"/>
              <w:rPr>
                <w:sz w:val="18"/>
                <w:szCs w:val="18"/>
              </w:rPr>
            </w:pPr>
            <w:r>
              <w:rPr>
                <w:sz w:val="18"/>
                <w:szCs w:val="18"/>
              </w:rPr>
              <w:t>16.455.</w:t>
            </w:r>
            <w:r w:rsidR="00FD59C4" w:rsidRPr="00FD59C4">
              <w:rPr>
                <w:sz w:val="18"/>
                <w:szCs w:val="18"/>
              </w:rPr>
              <w:t>947</w:t>
            </w:r>
          </w:p>
        </w:tc>
        <w:tc>
          <w:tcPr>
            <w:tcW w:w="111" w:type="dxa"/>
            <w:shd w:val="clear" w:color="auto" w:fill="auto"/>
            <w:vAlign w:val="bottom"/>
          </w:tcPr>
          <w:p w14:paraId="5A422820" w14:textId="77777777" w:rsidR="00457165" w:rsidRPr="00FD59C4" w:rsidRDefault="00457165" w:rsidP="00457165">
            <w:pPr>
              <w:ind w:right="57"/>
              <w:jc w:val="right"/>
              <w:rPr>
                <w:sz w:val="18"/>
                <w:szCs w:val="18"/>
              </w:rPr>
            </w:pPr>
          </w:p>
        </w:tc>
        <w:tc>
          <w:tcPr>
            <w:tcW w:w="1676" w:type="dxa"/>
            <w:vAlign w:val="bottom"/>
          </w:tcPr>
          <w:p w14:paraId="370A3E53" w14:textId="5FC479C1" w:rsidR="00457165" w:rsidRPr="00FD59C4" w:rsidRDefault="00457165" w:rsidP="00457165">
            <w:pPr>
              <w:ind w:right="57"/>
              <w:jc w:val="right"/>
              <w:rPr>
                <w:sz w:val="18"/>
                <w:szCs w:val="18"/>
              </w:rPr>
            </w:pPr>
            <w:r w:rsidRPr="00FD59C4">
              <w:rPr>
                <w:sz w:val="18"/>
                <w:szCs w:val="18"/>
              </w:rPr>
              <w:t>5.475.367</w:t>
            </w:r>
          </w:p>
        </w:tc>
        <w:tc>
          <w:tcPr>
            <w:tcW w:w="2867" w:type="dxa"/>
            <w:shd w:val="clear" w:color="auto" w:fill="auto"/>
            <w:vAlign w:val="bottom"/>
          </w:tcPr>
          <w:p w14:paraId="1F05C2CE" w14:textId="77777777" w:rsidR="00457165" w:rsidRDefault="00457165" w:rsidP="00457165">
            <w:pPr>
              <w:ind w:right="57"/>
              <w:jc w:val="right"/>
              <w:rPr>
                <w:i/>
                <w:sz w:val="18"/>
                <w:szCs w:val="18"/>
              </w:rPr>
            </w:pPr>
            <w:r w:rsidRPr="00472059">
              <w:rPr>
                <w:i/>
                <w:sz w:val="18"/>
                <w:szCs w:val="18"/>
              </w:rPr>
              <w:t>Employee</w:t>
            </w:r>
          </w:p>
        </w:tc>
      </w:tr>
      <w:tr w:rsidR="00457165" w:rsidRPr="0013526B" w14:paraId="33245DA1" w14:textId="77777777" w:rsidTr="002B637F">
        <w:tc>
          <w:tcPr>
            <w:tcW w:w="2867" w:type="dxa"/>
            <w:shd w:val="clear" w:color="auto" w:fill="auto"/>
          </w:tcPr>
          <w:p w14:paraId="731F95AF" w14:textId="77777777" w:rsidR="00457165" w:rsidRPr="0013526B" w:rsidRDefault="00457165" w:rsidP="00457165">
            <w:pPr>
              <w:ind w:left="363"/>
              <w:rPr>
                <w:sz w:val="18"/>
                <w:szCs w:val="18"/>
              </w:rPr>
            </w:pPr>
            <w:r w:rsidRPr="0013526B">
              <w:rPr>
                <w:sz w:val="18"/>
                <w:szCs w:val="18"/>
              </w:rPr>
              <w:t>Lain-lain</w:t>
            </w:r>
          </w:p>
        </w:tc>
        <w:tc>
          <w:tcPr>
            <w:tcW w:w="1676" w:type="dxa"/>
            <w:tcBorders>
              <w:bottom w:val="single" w:sz="4" w:space="0" w:color="auto"/>
            </w:tcBorders>
            <w:shd w:val="clear" w:color="auto" w:fill="auto"/>
            <w:vAlign w:val="bottom"/>
          </w:tcPr>
          <w:p w14:paraId="1DBE5B9A" w14:textId="204A21BD" w:rsidR="00457165" w:rsidRPr="00FD59C4" w:rsidRDefault="00AC74B4" w:rsidP="00457165">
            <w:pPr>
              <w:ind w:right="57"/>
              <w:jc w:val="right"/>
              <w:rPr>
                <w:sz w:val="18"/>
                <w:szCs w:val="18"/>
              </w:rPr>
            </w:pPr>
            <w:r>
              <w:rPr>
                <w:sz w:val="18"/>
                <w:szCs w:val="18"/>
              </w:rPr>
              <w:t>2.645.838.</w:t>
            </w:r>
            <w:r w:rsidR="00FD59C4" w:rsidRPr="00FD59C4">
              <w:rPr>
                <w:sz w:val="18"/>
                <w:szCs w:val="18"/>
              </w:rPr>
              <w:t>242</w:t>
            </w:r>
          </w:p>
        </w:tc>
        <w:tc>
          <w:tcPr>
            <w:tcW w:w="111" w:type="dxa"/>
            <w:shd w:val="clear" w:color="auto" w:fill="auto"/>
            <w:vAlign w:val="bottom"/>
          </w:tcPr>
          <w:p w14:paraId="2ACCF4B2" w14:textId="77777777" w:rsidR="00457165" w:rsidRPr="00FD59C4" w:rsidRDefault="00457165" w:rsidP="00457165">
            <w:pPr>
              <w:ind w:right="57"/>
              <w:jc w:val="right"/>
              <w:rPr>
                <w:sz w:val="18"/>
                <w:szCs w:val="18"/>
              </w:rPr>
            </w:pPr>
          </w:p>
        </w:tc>
        <w:tc>
          <w:tcPr>
            <w:tcW w:w="1676" w:type="dxa"/>
            <w:tcBorders>
              <w:bottom w:val="single" w:sz="4" w:space="0" w:color="auto"/>
            </w:tcBorders>
            <w:vAlign w:val="bottom"/>
          </w:tcPr>
          <w:p w14:paraId="13D40AA9" w14:textId="350E1377" w:rsidR="00457165" w:rsidRPr="00FD59C4" w:rsidRDefault="00457165" w:rsidP="00457165">
            <w:pPr>
              <w:ind w:right="57"/>
              <w:jc w:val="right"/>
              <w:rPr>
                <w:sz w:val="18"/>
                <w:szCs w:val="18"/>
              </w:rPr>
            </w:pPr>
            <w:r w:rsidRPr="00FD59C4">
              <w:rPr>
                <w:sz w:val="18"/>
                <w:szCs w:val="18"/>
              </w:rPr>
              <w:t>4.037.665.621</w:t>
            </w:r>
          </w:p>
        </w:tc>
        <w:tc>
          <w:tcPr>
            <w:tcW w:w="2867" w:type="dxa"/>
            <w:shd w:val="clear" w:color="auto" w:fill="auto"/>
          </w:tcPr>
          <w:p w14:paraId="48A9BF80" w14:textId="77777777" w:rsidR="00457165" w:rsidRPr="0013526B" w:rsidRDefault="00457165" w:rsidP="00457165">
            <w:pPr>
              <w:ind w:right="57"/>
              <w:jc w:val="right"/>
              <w:rPr>
                <w:i/>
                <w:sz w:val="18"/>
                <w:szCs w:val="18"/>
              </w:rPr>
            </w:pPr>
            <w:r w:rsidRPr="0013526B">
              <w:rPr>
                <w:i/>
                <w:sz w:val="18"/>
                <w:szCs w:val="18"/>
              </w:rPr>
              <w:t>Others</w:t>
            </w:r>
          </w:p>
        </w:tc>
      </w:tr>
      <w:tr w:rsidR="006D5340" w:rsidRPr="0013526B" w14:paraId="5DF5D779" w14:textId="77777777" w:rsidTr="00E50367">
        <w:tc>
          <w:tcPr>
            <w:tcW w:w="2867" w:type="dxa"/>
            <w:shd w:val="clear" w:color="auto" w:fill="auto"/>
          </w:tcPr>
          <w:p w14:paraId="1528B1F2" w14:textId="77777777" w:rsidR="006D5340" w:rsidRPr="00277F1B" w:rsidRDefault="006D5340" w:rsidP="00E50367">
            <w:pPr>
              <w:ind w:left="363"/>
              <w:rPr>
                <w:sz w:val="14"/>
                <w:szCs w:val="18"/>
              </w:rPr>
            </w:pPr>
          </w:p>
        </w:tc>
        <w:tc>
          <w:tcPr>
            <w:tcW w:w="1676" w:type="dxa"/>
            <w:shd w:val="clear" w:color="auto" w:fill="auto"/>
            <w:vAlign w:val="bottom"/>
          </w:tcPr>
          <w:p w14:paraId="553F5D31" w14:textId="7DC8BA65" w:rsidR="006D5340" w:rsidRPr="00FD59C4" w:rsidRDefault="006D5340" w:rsidP="001775FB">
            <w:pPr>
              <w:ind w:right="57"/>
              <w:jc w:val="right"/>
              <w:rPr>
                <w:sz w:val="14"/>
                <w:szCs w:val="18"/>
              </w:rPr>
            </w:pPr>
          </w:p>
        </w:tc>
        <w:tc>
          <w:tcPr>
            <w:tcW w:w="111" w:type="dxa"/>
            <w:shd w:val="clear" w:color="auto" w:fill="auto"/>
            <w:vAlign w:val="bottom"/>
          </w:tcPr>
          <w:p w14:paraId="7AE6F731" w14:textId="77777777" w:rsidR="006D5340" w:rsidRPr="00FD59C4" w:rsidRDefault="006D5340" w:rsidP="001775FB">
            <w:pPr>
              <w:ind w:right="57"/>
              <w:jc w:val="right"/>
              <w:rPr>
                <w:sz w:val="14"/>
                <w:szCs w:val="18"/>
              </w:rPr>
            </w:pPr>
          </w:p>
        </w:tc>
        <w:tc>
          <w:tcPr>
            <w:tcW w:w="1676" w:type="dxa"/>
            <w:tcBorders>
              <w:top w:val="single" w:sz="4" w:space="0" w:color="auto"/>
            </w:tcBorders>
            <w:vAlign w:val="bottom"/>
          </w:tcPr>
          <w:p w14:paraId="09A5FD34" w14:textId="77777777" w:rsidR="006D5340" w:rsidRPr="00FD59C4" w:rsidRDefault="006D5340" w:rsidP="001775FB">
            <w:pPr>
              <w:ind w:right="57"/>
              <w:jc w:val="right"/>
              <w:rPr>
                <w:sz w:val="14"/>
                <w:szCs w:val="18"/>
              </w:rPr>
            </w:pPr>
          </w:p>
        </w:tc>
        <w:tc>
          <w:tcPr>
            <w:tcW w:w="2867" w:type="dxa"/>
            <w:shd w:val="clear" w:color="auto" w:fill="auto"/>
          </w:tcPr>
          <w:p w14:paraId="3FEF64AB" w14:textId="77777777" w:rsidR="006D5340" w:rsidRPr="00277F1B" w:rsidRDefault="006D5340" w:rsidP="001775FB">
            <w:pPr>
              <w:ind w:right="57"/>
              <w:jc w:val="right"/>
              <w:rPr>
                <w:i/>
                <w:sz w:val="14"/>
                <w:szCs w:val="18"/>
              </w:rPr>
            </w:pPr>
          </w:p>
        </w:tc>
      </w:tr>
      <w:tr w:rsidR="006D5340" w:rsidRPr="0013526B" w14:paraId="284558E3" w14:textId="77777777" w:rsidTr="00E50367">
        <w:tc>
          <w:tcPr>
            <w:tcW w:w="2867" w:type="dxa"/>
            <w:shd w:val="clear" w:color="auto" w:fill="auto"/>
            <w:vAlign w:val="bottom"/>
          </w:tcPr>
          <w:p w14:paraId="3B58379E" w14:textId="77777777" w:rsidR="006D5340" w:rsidRPr="0013526B" w:rsidRDefault="006D5340" w:rsidP="00E50367">
            <w:pPr>
              <w:ind w:left="363"/>
              <w:rPr>
                <w:b/>
                <w:sz w:val="18"/>
                <w:szCs w:val="18"/>
              </w:rPr>
            </w:pPr>
            <w:r w:rsidRPr="0013526B">
              <w:rPr>
                <w:b/>
                <w:sz w:val="18"/>
                <w:szCs w:val="18"/>
              </w:rPr>
              <w:t>Jumlah</w:t>
            </w:r>
          </w:p>
        </w:tc>
        <w:tc>
          <w:tcPr>
            <w:tcW w:w="1676" w:type="dxa"/>
            <w:tcBorders>
              <w:bottom w:val="double" w:sz="4" w:space="0" w:color="auto"/>
            </w:tcBorders>
            <w:shd w:val="clear" w:color="auto" w:fill="auto"/>
            <w:vAlign w:val="bottom"/>
          </w:tcPr>
          <w:p w14:paraId="425A6923" w14:textId="35BCD34A" w:rsidR="006D5340" w:rsidRPr="00FD59C4" w:rsidRDefault="00196293" w:rsidP="001775FB">
            <w:pPr>
              <w:ind w:right="57"/>
              <w:jc w:val="right"/>
              <w:rPr>
                <w:b/>
                <w:sz w:val="18"/>
                <w:szCs w:val="18"/>
              </w:rPr>
            </w:pPr>
            <w:r w:rsidRPr="008F7E35">
              <w:rPr>
                <w:b/>
                <w:sz w:val="18"/>
                <w:szCs w:val="18"/>
              </w:rPr>
              <w:t>205.916.645.312</w:t>
            </w:r>
          </w:p>
        </w:tc>
        <w:tc>
          <w:tcPr>
            <w:tcW w:w="111" w:type="dxa"/>
            <w:shd w:val="clear" w:color="auto" w:fill="auto"/>
            <w:vAlign w:val="bottom"/>
          </w:tcPr>
          <w:p w14:paraId="21803B29" w14:textId="77777777" w:rsidR="006D5340" w:rsidRPr="00FD59C4" w:rsidRDefault="006D5340" w:rsidP="001775FB">
            <w:pPr>
              <w:ind w:right="57"/>
              <w:jc w:val="right"/>
              <w:rPr>
                <w:b/>
                <w:sz w:val="18"/>
                <w:szCs w:val="18"/>
              </w:rPr>
            </w:pPr>
          </w:p>
        </w:tc>
        <w:tc>
          <w:tcPr>
            <w:tcW w:w="1676" w:type="dxa"/>
            <w:tcBorders>
              <w:bottom w:val="double" w:sz="4" w:space="0" w:color="auto"/>
            </w:tcBorders>
            <w:vAlign w:val="bottom"/>
          </w:tcPr>
          <w:p w14:paraId="4F6A4665" w14:textId="4F2C8BD1" w:rsidR="006D5340" w:rsidRPr="00FD59C4" w:rsidRDefault="00457165" w:rsidP="001775FB">
            <w:pPr>
              <w:ind w:right="57"/>
              <w:jc w:val="right"/>
              <w:rPr>
                <w:b/>
                <w:sz w:val="18"/>
                <w:szCs w:val="18"/>
              </w:rPr>
            </w:pPr>
            <w:r w:rsidRPr="00FD59C4">
              <w:rPr>
                <w:b/>
                <w:sz w:val="18"/>
                <w:szCs w:val="18"/>
              </w:rPr>
              <w:t>201.502.098.245</w:t>
            </w:r>
          </w:p>
        </w:tc>
        <w:tc>
          <w:tcPr>
            <w:tcW w:w="2867" w:type="dxa"/>
            <w:shd w:val="clear" w:color="auto" w:fill="auto"/>
            <w:vAlign w:val="bottom"/>
          </w:tcPr>
          <w:p w14:paraId="3B1B7ADE" w14:textId="77777777" w:rsidR="006D5340" w:rsidRPr="0013526B" w:rsidRDefault="006D5340" w:rsidP="001775FB">
            <w:pPr>
              <w:ind w:right="57"/>
              <w:jc w:val="right"/>
              <w:rPr>
                <w:b/>
                <w:i/>
                <w:sz w:val="18"/>
                <w:szCs w:val="18"/>
              </w:rPr>
            </w:pPr>
            <w:r w:rsidRPr="0013526B">
              <w:rPr>
                <w:b/>
                <w:i/>
                <w:sz w:val="18"/>
                <w:szCs w:val="18"/>
              </w:rPr>
              <w:t>Total</w:t>
            </w:r>
          </w:p>
        </w:tc>
      </w:tr>
    </w:tbl>
    <w:p w14:paraId="15F7D505" w14:textId="77777777" w:rsidR="00B62D0D" w:rsidRPr="00D71B91" w:rsidRDefault="00B62D0D">
      <w:pPr>
        <w:rPr>
          <w:sz w:val="18"/>
          <w:szCs w:val="32"/>
        </w:rPr>
      </w:pPr>
    </w:p>
    <w:tbl>
      <w:tblPr>
        <w:tblW w:w="9197" w:type="dxa"/>
        <w:tblInd w:w="108" w:type="dxa"/>
        <w:tblLook w:val="0000" w:firstRow="0" w:lastRow="0" w:firstColumn="0" w:lastColumn="0" w:noHBand="0" w:noVBand="0"/>
      </w:tblPr>
      <w:tblGrid>
        <w:gridCol w:w="4598"/>
        <w:gridCol w:w="4599"/>
      </w:tblGrid>
      <w:tr w:rsidR="00004447" w:rsidRPr="0013526B" w14:paraId="24B305F9" w14:textId="77777777" w:rsidTr="0000080B">
        <w:tc>
          <w:tcPr>
            <w:tcW w:w="4598" w:type="dxa"/>
            <w:tcBorders>
              <w:top w:val="nil"/>
              <w:left w:val="nil"/>
              <w:bottom w:val="nil"/>
              <w:right w:val="nil"/>
            </w:tcBorders>
          </w:tcPr>
          <w:p w14:paraId="7855D317" w14:textId="0D315583" w:rsidR="00004447" w:rsidRPr="00EF58BF" w:rsidRDefault="00004447" w:rsidP="005E0D03">
            <w:pPr>
              <w:pStyle w:val="ListParagraph"/>
              <w:ind w:left="284" w:right="-57"/>
              <w:jc w:val="both"/>
              <w:rPr>
                <w:sz w:val="18"/>
                <w:szCs w:val="18"/>
                <w:u w:val="single"/>
              </w:rPr>
            </w:pPr>
            <w:r w:rsidRPr="00EF58BF">
              <w:rPr>
                <w:sz w:val="18"/>
                <w:szCs w:val="18"/>
                <w:u w:val="single"/>
              </w:rPr>
              <w:t>KKS</w:t>
            </w:r>
          </w:p>
        </w:tc>
        <w:tc>
          <w:tcPr>
            <w:tcW w:w="4599" w:type="dxa"/>
            <w:tcBorders>
              <w:top w:val="nil"/>
              <w:left w:val="nil"/>
              <w:bottom w:val="nil"/>
              <w:right w:val="nil"/>
            </w:tcBorders>
          </w:tcPr>
          <w:p w14:paraId="0F900F98" w14:textId="77777777" w:rsidR="00004447" w:rsidRPr="00EF58BF" w:rsidRDefault="00004447" w:rsidP="005E0D03">
            <w:pPr>
              <w:pStyle w:val="ListParagraph"/>
              <w:tabs>
                <w:tab w:val="right" w:pos="9340"/>
                <w:tab w:val="right" w:pos="10080"/>
              </w:tabs>
              <w:ind w:left="284" w:right="-57"/>
              <w:jc w:val="both"/>
              <w:rPr>
                <w:i/>
                <w:iCs/>
                <w:sz w:val="18"/>
                <w:szCs w:val="18"/>
              </w:rPr>
            </w:pPr>
            <w:r w:rsidRPr="00EF58BF">
              <w:rPr>
                <w:i/>
                <w:iCs/>
                <w:sz w:val="18"/>
                <w:szCs w:val="18"/>
                <w:u w:val="single"/>
              </w:rPr>
              <w:t>KKS</w:t>
            </w:r>
          </w:p>
        </w:tc>
      </w:tr>
      <w:tr w:rsidR="00004447" w:rsidRPr="0013526B" w14:paraId="53456DCE" w14:textId="77777777" w:rsidTr="0000080B">
        <w:tc>
          <w:tcPr>
            <w:tcW w:w="4598" w:type="dxa"/>
            <w:tcBorders>
              <w:top w:val="nil"/>
              <w:left w:val="nil"/>
              <w:bottom w:val="nil"/>
              <w:right w:val="nil"/>
            </w:tcBorders>
          </w:tcPr>
          <w:p w14:paraId="7DA8D0C8" w14:textId="77777777" w:rsidR="00004447" w:rsidRPr="00D71B91" w:rsidRDefault="00004447" w:rsidP="00CA7B81">
            <w:pPr>
              <w:pStyle w:val="ListParagraph"/>
              <w:ind w:left="284" w:right="-57"/>
              <w:jc w:val="both"/>
              <w:rPr>
                <w:sz w:val="18"/>
                <w:szCs w:val="18"/>
              </w:rPr>
            </w:pPr>
          </w:p>
        </w:tc>
        <w:tc>
          <w:tcPr>
            <w:tcW w:w="4599" w:type="dxa"/>
            <w:tcBorders>
              <w:top w:val="nil"/>
              <w:left w:val="nil"/>
              <w:bottom w:val="nil"/>
              <w:right w:val="nil"/>
            </w:tcBorders>
          </w:tcPr>
          <w:p w14:paraId="505E7899" w14:textId="77777777" w:rsidR="00004447" w:rsidRPr="00D71B91" w:rsidRDefault="00004447" w:rsidP="00A6095E">
            <w:pPr>
              <w:pStyle w:val="ListParagraph"/>
              <w:tabs>
                <w:tab w:val="right" w:pos="9340"/>
                <w:tab w:val="right" w:pos="10080"/>
              </w:tabs>
              <w:ind w:left="284" w:right="-57"/>
              <w:jc w:val="both"/>
              <w:rPr>
                <w:i/>
                <w:sz w:val="18"/>
                <w:szCs w:val="18"/>
              </w:rPr>
            </w:pPr>
          </w:p>
        </w:tc>
      </w:tr>
      <w:tr w:rsidR="00004447" w:rsidRPr="0013526B" w14:paraId="1DCD3773" w14:textId="77777777" w:rsidTr="0000080B">
        <w:tc>
          <w:tcPr>
            <w:tcW w:w="4598" w:type="dxa"/>
            <w:tcBorders>
              <w:top w:val="nil"/>
              <w:left w:val="nil"/>
              <w:bottom w:val="nil"/>
              <w:right w:val="nil"/>
            </w:tcBorders>
          </w:tcPr>
          <w:p w14:paraId="417D30B8" w14:textId="08B6211F" w:rsidR="00004447" w:rsidRPr="00EF58BF" w:rsidRDefault="00004447" w:rsidP="00AC74B4">
            <w:pPr>
              <w:pStyle w:val="ListParagraph"/>
              <w:ind w:left="284" w:right="-57"/>
              <w:jc w:val="both"/>
              <w:rPr>
                <w:sz w:val="18"/>
                <w:szCs w:val="18"/>
              </w:rPr>
            </w:pPr>
            <w:r w:rsidRPr="00EF58BF">
              <w:rPr>
                <w:sz w:val="18"/>
                <w:szCs w:val="18"/>
              </w:rPr>
              <w:t xml:space="preserve">Berdasarkan PPJB No. 007/PPJB-MSS/VI/2015 tanggal </w:t>
            </w:r>
            <w:r w:rsidR="0000080B">
              <w:rPr>
                <w:sz w:val="18"/>
                <w:szCs w:val="18"/>
              </w:rPr>
              <w:br/>
            </w:r>
            <w:r w:rsidRPr="00EF58BF">
              <w:rPr>
                <w:sz w:val="18"/>
                <w:szCs w:val="18"/>
              </w:rPr>
              <w:t>6 Juli 2015</w:t>
            </w:r>
            <w:r w:rsidR="00AC74B4">
              <w:rPr>
                <w:sz w:val="18"/>
                <w:szCs w:val="18"/>
              </w:rPr>
              <w:t>,</w:t>
            </w:r>
            <w:r w:rsidRPr="00EF58BF">
              <w:rPr>
                <w:sz w:val="18"/>
                <w:szCs w:val="18"/>
              </w:rPr>
              <w:t xml:space="preserve"> KKS telah membeli sebidang tanah yang berlokasi di Jakarta Garden City</w:t>
            </w:r>
            <w:r w:rsidR="00AC74B4">
              <w:rPr>
                <w:sz w:val="18"/>
                <w:szCs w:val="18"/>
              </w:rPr>
              <w:t>,</w:t>
            </w:r>
            <w:r w:rsidRPr="00EF58BF">
              <w:rPr>
                <w:sz w:val="18"/>
                <w:szCs w:val="18"/>
              </w:rPr>
              <w:t xml:space="preserve"> Cakung</w:t>
            </w:r>
            <w:r w:rsidR="00AC74B4">
              <w:rPr>
                <w:sz w:val="18"/>
                <w:szCs w:val="18"/>
              </w:rPr>
              <w:t>,</w:t>
            </w:r>
            <w:r w:rsidRPr="00EF58BF">
              <w:rPr>
                <w:sz w:val="18"/>
                <w:szCs w:val="18"/>
              </w:rPr>
              <w:t xml:space="preserve"> Jakarta  Timur  seluas  15.000  m2  dari PT Mitra Sindo Sukses. Saldo uang muka pembelian tanah KKS pada tanggal </w:t>
            </w:r>
            <w:r w:rsidR="0000080B">
              <w:rPr>
                <w:sz w:val="18"/>
                <w:szCs w:val="18"/>
              </w:rPr>
              <w:br/>
            </w:r>
            <w:r w:rsidR="00AC74B4">
              <w:rPr>
                <w:sz w:val="18"/>
                <w:szCs w:val="18"/>
              </w:rPr>
              <w:t xml:space="preserve">31 Maret 2020 dan </w:t>
            </w:r>
            <w:r w:rsidRPr="00EF58BF">
              <w:rPr>
                <w:sz w:val="18"/>
                <w:szCs w:val="18"/>
              </w:rPr>
              <w:t xml:space="preserve">31 Desember 2019 sebesar </w:t>
            </w:r>
            <w:r w:rsidR="00AC2673">
              <w:rPr>
                <w:sz w:val="18"/>
                <w:szCs w:val="18"/>
              </w:rPr>
              <w:t xml:space="preserve">                      </w:t>
            </w:r>
            <w:r w:rsidRPr="00EF58BF">
              <w:rPr>
                <w:sz w:val="18"/>
                <w:szCs w:val="18"/>
              </w:rPr>
              <w:t>Rp</w:t>
            </w:r>
            <w:r w:rsidR="0000080B">
              <w:rPr>
                <w:sz w:val="18"/>
                <w:szCs w:val="18"/>
              </w:rPr>
              <w:t xml:space="preserve"> </w:t>
            </w:r>
            <w:r w:rsidRPr="00EF58BF">
              <w:rPr>
                <w:sz w:val="18"/>
                <w:szCs w:val="18"/>
              </w:rPr>
              <w:t>128.713.333.342.</w:t>
            </w:r>
          </w:p>
        </w:tc>
        <w:tc>
          <w:tcPr>
            <w:tcW w:w="4599" w:type="dxa"/>
            <w:tcBorders>
              <w:top w:val="nil"/>
              <w:left w:val="nil"/>
              <w:bottom w:val="nil"/>
              <w:right w:val="nil"/>
            </w:tcBorders>
          </w:tcPr>
          <w:p w14:paraId="7AC2CA06" w14:textId="2680DC64" w:rsidR="00004447" w:rsidRPr="00EF58BF" w:rsidRDefault="00004447" w:rsidP="00AC74B4">
            <w:pPr>
              <w:pStyle w:val="ListParagraph"/>
              <w:tabs>
                <w:tab w:val="right" w:pos="9340"/>
                <w:tab w:val="right" w:pos="10080"/>
              </w:tabs>
              <w:ind w:left="284" w:right="-57"/>
              <w:jc w:val="both"/>
              <w:rPr>
                <w:i/>
                <w:sz w:val="18"/>
                <w:szCs w:val="18"/>
              </w:rPr>
            </w:pPr>
            <w:r w:rsidRPr="00EF58BF">
              <w:rPr>
                <w:i/>
                <w:sz w:val="18"/>
                <w:szCs w:val="18"/>
              </w:rPr>
              <w:t>Based PPJB No. 007/PPJB-MSS /VI/2015 dated   July   6</w:t>
            </w:r>
            <w:r w:rsidR="00AC74B4">
              <w:rPr>
                <w:i/>
                <w:sz w:val="18"/>
                <w:szCs w:val="18"/>
              </w:rPr>
              <w:t>,</w:t>
            </w:r>
            <w:r w:rsidRPr="00EF58BF">
              <w:rPr>
                <w:i/>
                <w:sz w:val="18"/>
                <w:szCs w:val="18"/>
              </w:rPr>
              <w:t xml:space="preserve">    2015</w:t>
            </w:r>
            <w:r w:rsidR="00AC74B4">
              <w:rPr>
                <w:i/>
                <w:sz w:val="18"/>
                <w:szCs w:val="18"/>
              </w:rPr>
              <w:t>,</w:t>
            </w:r>
            <w:r w:rsidRPr="00EF58BF">
              <w:rPr>
                <w:i/>
                <w:sz w:val="18"/>
                <w:szCs w:val="18"/>
              </w:rPr>
              <w:t xml:space="preserve">    KKS    has    purchased a plot of land located in Jakarta Garden City</w:t>
            </w:r>
            <w:r w:rsidR="00AC74B4">
              <w:rPr>
                <w:i/>
                <w:sz w:val="18"/>
                <w:szCs w:val="18"/>
              </w:rPr>
              <w:t>,</w:t>
            </w:r>
            <w:r w:rsidRPr="00EF58BF">
              <w:rPr>
                <w:i/>
                <w:sz w:val="18"/>
                <w:szCs w:val="18"/>
              </w:rPr>
              <w:t xml:space="preserve"> Cakung</w:t>
            </w:r>
            <w:r w:rsidR="00AC74B4">
              <w:rPr>
                <w:i/>
                <w:sz w:val="18"/>
                <w:szCs w:val="18"/>
              </w:rPr>
              <w:t>,</w:t>
            </w:r>
            <w:r w:rsidRPr="00EF58BF">
              <w:rPr>
                <w:i/>
                <w:sz w:val="18"/>
                <w:szCs w:val="18"/>
              </w:rPr>
              <w:t xml:space="preserve">  East  Jakarta  area  of  15</w:t>
            </w:r>
            <w:r w:rsidR="00AC74B4">
              <w:rPr>
                <w:i/>
                <w:sz w:val="18"/>
                <w:szCs w:val="18"/>
              </w:rPr>
              <w:t>,</w:t>
            </w:r>
            <w:r w:rsidRPr="00EF58BF">
              <w:rPr>
                <w:i/>
                <w:sz w:val="18"/>
                <w:szCs w:val="18"/>
              </w:rPr>
              <w:t xml:space="preserve">000  m2  of  PT Mitra Sindo Sukses. KKS’s balance of advance payment for land purchasing as of </w:t>
            </w:r>
            <w:r w:rsidR="00AC74B4">
              <w:rPr>
                <w:i/>
                <w:sz w:val="18"/>
                <w:szCs w:val="18"/>
              </w:rPr>
              <w:t xml:space="preserve">March 31, 2020 and </w:t>
            </w:r>
            <w:r w:rsidRPr="00EF58BF">
              <w:rPr>
                <w:i/>
                <w:sz w:val="18"/>
                <w:szCs w:val="18"/>
              </w:rPr>
              <w:t>December 31</w:t>
            </w:r>
            <w:r w:rsidR="00AC74B4">
              <w:rPr>
                <w:i/>
                <w:sz w:val="18"/>
                <w:szCs w:val="18"/>
              </w:rPr>
              <w:t>,</w:t>
            </w:r>
            <w:r w:rsidRPr="00EF58BF">
              <w:rPr>
                <w:i/>
                <w:sz w:val="18"/>
                <w:szCs w:val="18"/>
              </w:rPr>
              <w:t xml:space="preserve"> 2019 amounitng to </w:t>
            </w:r>
            <w:r w:rsidR="00AC74B4">
              <w:rPr>
                <w:i/>
                <w:sz w:val="18"/>
                <w:szCs w:val="18"/>
              </w:rPr>
              <w:t xml:space="preserve">                                    </w:t>
            </w:r>
            <w:r w:rsidRPr="00EF58BF">
              <w:rPr>
                <w:i/>
                <w:sz w:val="18"/>
                <w:szCs w:val="18"/>
              </w:rPr>
              <w:t>Rp</w:t>
            </w:r>
            <w:r w:rsidR="0000080B">
              <w:rPr>
                <w:i/>
                <w:sz w:val="18"/>
                <w:szCs w:val="18"/>
              </w:rPr>
              <w:t xml:space="preserve"> </w:t>
            </w:r>
            <w:r w:rsidRPr="00EF58BF">
              <w:rPr>
                <w:i/>
                <w:sz w:val="18"/>
                <w:szCs w:val="18"/>
              </w:rPr>
              <w:t>128</w:t>
            </w:r>
            <w:r w:rsidR="00AC74B4">
              <w:rPr>
                <w:i/>
                <w:sz w:val="18"/>
                <w:szCs w:val="18"/>
              </w:rPr>
              <w:t>,</w:t>
            </w:r>
            <w:r w:rsidRPr="00EF58BF">
              <w:rPr>
                <w:i/>
                <w:sz w:val="18"/>
                <w:szCs w:val="18"/>
              </w:rPr>
              <w:t>713</w:t>
            </w:r>
            <w:r w:rsidR="00AC74B4">
              <w:rPr>
                <w:i/>
                <w:sz w:val="18"/>
                <w:szCs w:val="18"/>
              </w:rPr>
              <w:t>,</w:t>
            </w:r>
            <w:r w:rsidRPr="00EF58BF">
              <w:rPr>
                <w:i/>
                <w:sz w:val="18"/>
                <w:szCs w:val="18"/>
              </w:rPr>
              <w:t>333</w:t>
            </w:r>
            <w:r w:rsidR="00AC74B4">
              <w:rPr>
                <w:i/>
                <w:sz w:val="18"/>
                <w:szCs w:val="18"/>
              </w:rPr>
              <w:t>,</w:t>
            </w:r>
            <w:r w:rsidRPr="00EF58BF">
              <w:rPr>
                <w:i/>
                <w:sz w:val="18"/>
                <w:szCs w:val="18"/>
              </w:rPr>
              <w:t>342</w:t>
            </w:r>
            <w:r w:rsidR="00AC74B4">
              <w:rPr>
                <w:i/>
                <w:sz w:val="18"/>
                <w:szCs w:val="18"/>
              </w:rPr>
              <w:t>.</w:t>
            </w:r>
          </w:p>
        </w:tc>
      </w:tr>
    </w:tbl>
    <w:p w14:paraId="1116461A" w14:textId="77777777" w:rsidR="00B62D0D" w:rsidRDefault="00B62D0D" w:rsidP="0013526B">
      <w:pPr>
        <w:jc w:val="both"/>
        <w:rPr>
          <w:sz w:val="18"/>
          <w:szCs w:val="18"/>
        </w:rPr>
      </w:pPr>
    </w:p>
    <w:tbl>
      <w:tblPr>
        <w:tblW w:w="9197" w:type="dxa"/>
        <w:tblInd w:w="108" w:type="dxa"/>
        <w:tblLook w:val="0000" w:firstRow="0" w:lastRow="0" w:firstColumn="0" w:lastColumn="0" w:noHBand="0" w:noVBand="0"/>
      </w:tblPr>
      <w:tblGrid>
        <w:gridCol w:w="4598"/>
        <w:gridCol w:w="4599"/>
      </w:tblGrid>
      <w:tr w:rsidR="00004447" w:rsidRPr="00D378F0" w14:paraId="6ECF9509" w14:textId="77777777" w:rsidTr="00546596">
        <w:tc>
          <w:tcPr>
            <w:tcW w:w="4598" w:type="dxa"/>
            <w:tcBorders>
              <w:top w:val="nil"/>
              <w:left w:val="nil"/>
              <w:bottom w:val="nil"/>
              <w:right w:val="nil"/>
            </w:tcBorders>
          </w:tcPr>
          <w:p w14:paraId="4BAAE66B" w14:textId="2053FB50" w:rsidR="00004447" w:rsidRPr="0013526B" w:rsidRDefault="00004447" w:rsidP="00070D1F">
            <w:pPr>
              <w:pStyle w:val="ListParagraph"/>
              <w:numPr>
                <w:ilvl w:val="0"/>
                <w:numId w:val="349"/>
              </w:numPr>
              <w:ind w:left="277" w:hanging="322"/>
              <w:contextualSpacing/>
              <w:jc w:val="both"/>
              <w:rPr>
                <w:b/>
                <w:sz w:val="18"/>
                <w:szCs w:val="18"/>
              </w:rPr>
            </w:pPr>
            <w:r>
              <w:rPr>
                <w:b/>
                <w:sz w:val="18"/>
                <w:szCs w:val="18"/>
              </w:rPr>
              <w:t>BIAYA DIBAYAR DIMUKA</w:t>
            </w:r>
          </w:p>
        </w:tc>
        <w:tc>
          <w:tcPr>
            <w:tcW w:w="4598" w:type="dxa"/>
            <w:tcBorders>
              <w:top w:val="nil"/>
              <w:left w:val="nil"/>
              <w:bottom w:val="nil"/>
              <w:right w:val="nil"/>
            </w:tcBorders>
          </w:tcPr>
          <w:p w14:paraId="76567B92" w14:textId="4ACEEA15" w:rsidR="00004447" w:rsidRPr="00C30F19" w:rsidRDefault="00004447" w:rsidP="00070D1F">
            <w:pPr>
              <w:pStyle w:val="ListParagraph"/>
              <w:numPr>
                <w:ilvl w:val="0"/>
                <w:numId w:val="315"/>
              </w:numPr>
              <w:ind w:hanging="269"/>
              <w:contextualSpacing/>
              <w:jc w:val="both"/>
              <w:rPr>
                <w:b/>
                <w:i/>
                <w:iCs/>
                <w:sz w:val="18"/>
                <w:szCs w:val="18"/>
              </w:rPr>
            </w:pPr>
            <w:r w:rsidRPr="00C30F19">
              <w:rPr>
                <w:b/>
                <w:i/>
                <w:iCs/>
                <w:sz w:val="18"/>
                <w:szCs w:val="18"/>
              </w:rPr>
              <w:t>PREPAID EXPENSES</w:t>
            </w:r>
          </w:p>
        </w:tc>
      </w:tr>
    </w:tbl>
    <w:p w14:paraId="06DD3AF3" w14:textId="1E8C0700" w:rsidR="00935EAC" w:rsidRDefault="00935EAC" w:rsidP="00935EAC">
      <w:pPr>
        <w:jc w:val="both"/>
        <w:rPr>
          <w:sz w:val="18"/>
          <w:szCs w:val="18"/>
        </w:rPr>
      </w:pPr>
    </w:p>
    <w:tbl>
      <w:tblPr>
        <w:tblW w:w="9197" w:type="dxa"/>
        <w:tblInd w:w="108" w:type="dxa"/>
        <w:tblLayout w:type="fixed"/>
        <w:tblLook w:val="0000" w:firstRow="0" w:lastRow="0" w:firstColumn="0" w:lastColumn="0" w:noHBand="0" w:noVBand="0"/>
      </w:tblPr>
      <w:tblGrid>
        <w:gridCol w:w="4598"/>
        <w:gridCol w:w="4599"/>
      </w:tblGrid>
      <w:tr w:rsidR="00004447" w:rsidRPr="0013526B" w14:paraId="6C7536F3" w14:textId="77777777" w:rsidTr="00D71B91">
        <w:tc>
          <w:tcPr>
            <w:tcW w:w="4598" w:type="dxa"/>
            <w:tcBorders>
              <w:top w:val="nil"/>
              <w:left w:val="nil"/>
              <w:bottom w:val="nil"/>
              <w:right w:val="nil"/>
            </w:tcBorders>
          </w:tcPr>
          <w:p w14:paraId="3F0A02E8" w14:textId="7697C4DE" w:rsidR="00004447" w:rsidRPr="0013526B" w:rsidRDefault="00004447" w:rsidP="005E0D03">
            <w:pPr>
              <w:pStyle w:val="ListParagraph"/>
              <w:ind w:left="284"/>
              <w:jc w:val="both"/>
              <w:rPr>
                <w:sz w:val="18"/>
                <w:szCs w:val="18"/>
              </w:rPr>
            </w:pPr>
            <w:r w:rsidRPr="0013526B">
              <w:rPr>
                <w:sz w:val="18"/>
                <w:szCs w:val="18"/>
              </w:rPr>
              <w:t xml:space="preserve">Saldo </w:t>
            </w:r>
            <w:r>
              <w:rPr>
                <w:sz w:val="18"/>
                <w:szCs w:val="18"/>
              </w:rPr>
              <w:t xml:space="preserve">biaya dibayar dimuka </w:t>
            </w:r>
            <w:r w:rsidRPr="0013526B">
              <w:rPr>
                <w:sz w:val="18"/>
                <w:szCs w:val="18"/>
              </w:rPr>
              <w:t>terdiri dari:</w:t>
            </w:r>
          </w:p>
        </w:tc>
        <w:tc>
          <w:tcPr>
            <w:tcW w:w="4599" w:type="dxa"/>
            <w:tcBorders>
              <w:top w:val="nil"/>
              <w:left w:val="nil"/>
              <w:bottom w:val="nil"/>
              <w:right w:val="nil"/>
            </w:tcBorders>
          </w:tcPr>
          <w:p w14:paraId="7E1E5379" w14:textId="7B13C09E" w:rsidR="00004447" w:rsidRPr="0013526B" w:rsidRDefault="00004447" w:rsidP="005E0D03">
            <w:pPr>
              <w:pStyle w:val="ListParagraph"/>
              <w:tabs>
                <w:tab w:val="right" w:pos="9340"/>
                <w:tab w:val="right" w:pos="10080"/>
              </w:tabs>
              <w:ind w:left="284" w:firstLine="34"/>
              <w:jc w:val="both"/>
              <w:rPr>
                <w:i/>
                <w:sz w:val="18"/>
                <w:szCs w:val="18"/>
              </w:rPr>
            </w:pPr>
            <w:r w:rsidRPr="0013526B">
              <w:rPr>
                <w:i/>
                <w:sz w:val="18"/>
                <w:szCs w:val="18"/>
              </w:rPr>
              <w:t xml:space="preserve">The balance of </w:t>
            </w:r>
            <w:r>
              <w:rPr>
                <w:i/>
                <w:sz w:val="18"/>
                <w:szCs w:val="18"/>
              </w:rPr>
              <w:t xml:space="preserve">prepaid expenses </w:t>
            </w:r>
            <w:r w:rsidRPr="0013526B">
              <w:rPr>
                <w:i/>
                <w:sz w:val="18"/>
                <w:szCs w:val="18"/>
              </w:rPr>
              <w:t>consists of:</w:t>
            </w:r>
          </w:p>
        </w:tc>
      </w:tr>
    </w:tbl>
    <w:p w14:paraId="1C220E91" w14:textId="77777777" w:rsidR="00B62D0D" w:rsidRPr="0013526B" w:rsidRDefault="00B62D0D" w:rsidP="00935EAC">
      <w:pPr>
        <w:ind w:left="567"/>
        <w:jc w:val="both"/>
        <w:rPr>
          <w:sz w:val="18"/>
          <w:szCs w:val="18"/>
        </w:rPr>
      </w:pPr>
    </w:p>
    <w:tbl>
      <w:tblPr>
        <w:tblW w:w="9197" w:type="dxa"/>
        <w:tblInd w:w="112" w:type="dxa"/>
        <w:tblCellMar>
          <w:left w:w="0" w:type="dxa"/>
          <w:right w:w="0" w:type="dxa"/>
        </w:tblCellMar>
        <w:tblLook w:val="04A0" w:firstRow="1" w:lastRow="0" w:firstColumn="1" w:lastColumn="0" w:noHBand="0" w:noVBand="1"/>
      </w:tblPr>
      <w:tblGrid>
        <w:gridCol w:w="2874"/>
        <w:gridCol w:w="1667"/>
        <w:gridCol w:w="115"/>
        <w:gridCol w:w="1667"/>
        <w:gridCol w:w="2874"/>
      </w:tblGrid>
      <w:tr w:rsidR="00AC74B4" w:rsidRPr="0013526B" w14:paraId="42081125" w14:textId="77777777" w:rsidTr="00E50367">
        <w:tc>
          <w:tcPr>
            <w:tcW w:w="2874" w:type="dxa"/>
            <w:shd w:val="clear" w:color="auto" w:fill="auto"/>
          </w:tcPr>
          <w:p w14:paraId="5DC0F7CE" w14:textId="77777777" w:rsidR="00AC74B4" w:rsidRPr="0013526B" w:rsidRDefault="00AC74B4" w:rsidP="00AC74B4">
            <w:pPr>
              <w:jc w:val="both"/>
              <w:rPr>
                <w:sz w:val="18"/>
                <w:szCs w:val="18"/>
              </w:rPr>
            </w:pPr>
          </w:p>
        </w:tc>
        <w:tc>
          <w:tcPr>
            <w:tcW w:w="1667" w:type="dxa"/>
            <w:tcBorders>
              <w:bottom w:val="single" w:sz="4" w:space="0" w:color="auto"/>
            </w:tcBorders>
            <w:shd w:val="clear" w:color="auto" w:fill="auto"/>
          </w:tcPr>
          <w:p w14:paraId="78D78E61" w14:textId="77777777" w:rsidR="00AC74B4" w:rsidRDefault="00AC74B4" w:rsidP="00AC74B4">
            <w:pPr>
              <w:jc w:val="center"/>
              <w:rPr>
                <w:b/>
                <w:sz w:val="18"/>
                <w:szCs w:val="18"/>
              </w:rPr>
            </w:pPr>
            <w:r>
              <w:rPr>
                <w:b/>
                <w:sz w:val="18"/>
                <w:szCs w:val="18"/>
              </w:rPr>
              <w:t>31 Maret/</w:t>
            </w:r>
          </w:p>
          <w:p w14:paraId="4EEF7A6B" w14:textId="007E07C4" w:rsidR="00AC74B4" w:rsidRPr="0013526B" w:rsidRDefault="00AC74B4" w:rsidP="00AC74B4">
            <w:pPr>
              <w:jc w:val="center"/>
              <w:rPr>
                <w:b/>
                <w:sz w:val="18"/>
                <w:szCs w:val="18"/>
              </w:rPr>
            </w:pPr>
            <w:r>
              <w:rPr>
                <w:b/>
                <w:sz w:val="18"/>
                <w:szCs w:val="18"/>
              </w:rPr>
              <w:t>March 31, 2020</w:t>
            </w:r>
          </w:p>
        </w:tc>
        <w:tc>
          <w:tcPr>
            <w:tcW w:w="115" w:type="dxa"/>
            <w:shd w:val="clear" w:color="auto" w:fill="auto"/>
          </w:tcPr>
          <w:p w14:paraId="543839E1" w14:textId="77777777" w:rsidR="00AC74B4" w:rsidRPr="0013526B" w:rsidRDefault="00AC74B4" w:rsidP="00AC74B4">
            <w:pPr>
              <w:jc w:val="both"/>
              <w:rPr>
                <w:b/>
                <w:sz w:val="18"/>
                <w:szCs w:val="18"/>
              </w:rPr>
            </w:pPr>
          </w:p>
        </w:tc>
        <w:tc>
          <w:tcPr>
            <w:tcW w:w="1667" w:type="dxa"/>
            <w:tcBorders>
              <w:bottom w:val="single" w:sz="4" w:space="0" w:color="auto"/>
            </w:tcBorders>
          </w:tcPr>
          <w:p w14:paraId="6178D404" w14:textId="77777777" w:rsidR="00AC74B4" w:rsidRDefault="00AC74B4" w:rsidP="00AC74B4">
            <w:pPr>
              <w:jc w:val="center"/>
              <w:rPr>
                <w:b/>
                <w:sz w:val="18"/>
                <w:szCs w:val="18"/>
              </w:rPr>
            </w:pPr>
            <w:r>
              <w:rPr>
                <w:b/>
                <w:sz w:val="18"/>
                <w:szCs w:val="18"/>
              </w:rPr>
              <w:t>31 Desember/</w:t>
            </w:r>
          </w:p>
          <w:p w14:paraId="0C1152DE" w14:textId="736A9629" w:rsidR="00AC74B4" w:rsidRPr="0013526B" w:rsidRDefault="00AC74B4" w:rsidP="00AC74B4">
            <w:pPr>
              <w:jc w:val="center"/>
              <w:rPr>
                <w:b/>
                <w:sz w:val="18"/>
                <w:szCs w:val="18"/>
              </w:rPr>
            </w:pPr>
            <w:r>
              <w:rPr>
                <w:b/>
                <w:sz w:val="18"/>
                <w:szCs w:val="18"/>
              </w:rPr>
              <w:t xml:space="preserve">December 31, </w:t>
            </w:r>
            <w:r w:rsidRPr="0013526B">
              <w:rPr>
                <w:b/>
                <w:sz w:val="18"/>
                <w:szCs w:val="18"/>
              </w:rPr>
              <w:t>201</w:t>
            </w:r>
            <w:r>
              <w:rPr>
                <w:b/>
                <w:sz w:val="18"/>
                <w:szCs w:val="18"/>
              </w:rPr>
              <w:t>9</w:t>
            </w:r>
          </w:p>
        </w:tc>
        <w:tc>
          <w:tcPr>
            <w:tcW w:w="2874" w:type="dxa"/>
            <w:shd w:val="clear" w:color="auto" w:fill="auto"/>
          </w:tcPr>
          <w:p w14:paraId="0FA4D83B" w14:textId="77777777" w:rsidR="00AC74B4" w:rsidRPr="0013526B" w:rsidRDefault="00AC74B4" w:rsidP="00AC74B4">
            <w:pPr>
              <w:jc w:val="both"/>
              <w:rPr>
                <w:sz w:val="18"/>
                <w:szCs w:val="18"/>
              </w:rPr>
            </w:pPr>
          </w:p>
        </w:tc>
      </w:tr>
      <w:tr w:rsidR="00004447" w:rsidRPr="0013526B" w14:paraId="296C3E59" w14:textId="77777777" w:rsidTr="00E50367">
        <w:tc>
          <w:tcPr>
            <w:tcW w:w="2874" w:type="dxa"/>
            <w:shd w:val="clear" w:color="auto" w:fill="auto"/>
          </w:tcPr>
          <w:p w14:paraId="4A869DBE" w14:textId="77777777" w:rsidR="00004447" w:rsidRPr="00065C68" w:rsidRDefault="00004447" w:rsidP="005E0D03">
            <w:pPr>
              <w:jc w:val="both"/>
              <w:rPr>
                <w:sz w:val="16"/>
                <w:szCs w:val="18"/>
              </w:rPr>
            </w:pPr>
          </w:p>
        </w:tc>
        <w:tc>
          <w:tcPr>
            <w:tcW w:w="1667" w:type="dxa"/>
            <w:shd w:val="clear" w:color="auto" w:fill="auto"/>
          </w:tcPr>
          <w:p w14:paraId="295E720B" w14:textId="77777777" w:rsidR="00004447" w:rsidRPr="00065C68" w:rsidRDefault="00004447" w:rsidP="005E0D03">
            <w:pPr>
              <w:jc w:val="center"/>
              <w:rPr>
                <w:b/>
                <w:sz w:val="16"/>
                <w:szCs w:val="18"/>
              </w:rPr>
            </w:pPr>
          </w:p>
        </w:tc>
        <w:tc>
          <w:tcPr>
            <w:tcW w:w="115" w:type="dxa"/>
            <w:shd w:val="clear" w:color="auto" w:fill="auto"/>
          </w:tcPr>
          <w:p w14:paraId="2749D8AE" w14:textId="77777777" w:rsidR="00004447" w:rsidRPr="00065C68" w:rsidRDefault="00004447" w:rsidP="005E0D03">
            <w:pPr>
              <w:jc w:val="both"/>
              <w:rPr>
                <w:b/>
                <w:sz w:val="16"/>
                <w:szCs w:val="18"/>
              </w:rPr>
            </w:pPr>
          </w:p>
        </w:tc>
        <w:tc>
          <w:tcPr>
            <w:tcW w:w="1667" w:type="dxa"/>
            <w:tcBorders>
              <w:top w:val="single" w:sz="4" w:space="0" w:color="auto"/>
            </w:tcBorders>
          </w:tcPr>
          <w:p w14:paraId="570A4607" w14:textId="77777777" w:rsidR="00004447" w:rsidRPr="00065C68" w:rsidRDefault="00004447" w:rsidP="005E0D03">
            <w:pPr>
              <w:jc w:val="center"/>
              <w:rPr>
                <w:b/>
                <w:sz w:val="16"/>
                <w:szCs w:val="18"/>
              </w:rPr>
            </w:pPr>
          </w:p>
        </w:tc>
        <w:tc>
          <w:tcPr>
            <w:tcW w:w="2874" w:type="dxa"/>
            <w:shd w:val="clear" w:color="auto" w:fill="auto"/>
          </w:tcPr>
          <w:p w14:paraId="402D6AF0" w14:textId="77777777" w:rsidR="00004447" w:rsidRPr="00065C68" w:rsidRDefault="00004447" w:rsidP="005E0D03">
            <w:pPr>
              <w:jc w:val="both"/>
              <w:rPr>
                <w:sz w:val="16"/>
                <w:szCs w:val="18"/>
              </w:rPr>
            </w:pPr>
          </w:p>
        </w:tc>
      </w:tr>
      <w:tr w:rsidR="00457165" w:rsidRPr="00EC0164" w14:paraId="16CCAB52" w14:textId="77777777" w:rsidTr="002B637F">
        <w:trPr>
          <w:trHeight w:val="249"/>
        </w:trPr>
        <w:tc>
          <w:tcPr>
            <w:tcW w:w="2874" w:type="dxa"/>
            <w:shd w:val="clear" w:color="auto" w:fill="auto"/>
            <w:vAlign w:val="bottom"/>
          </w:tcPr>
          <w:p w14:paraId="1D0D236B" w14:textId="77777777" w:rsidR="00457165" w:rsidRPr="00C8472B" w:rsidRDefault="00457165" w:rsidP="00457165">
            <w:pPr>
              <w:ind w:left="405"/>
              <w:rPr>
                <w:sz w:val="18"/>
                <w:szCs w:val="18"/>
              </w:rPr>
            </w:pPr>
            <w:r w:rsidRPr="00C8472B">
              <w:rPr>
                <w:sz w:val="18"/>
                <w:szCs w:val="18"/>
              </w:rPr>
              <w:t>Asuransi</w:t>
            </w:r>
          </w:p>
        </w:tc>
        <w:tc>
          <w:tcPr>
            <w:tcW w:w="1667" w:type="dxa"/>
            <w:shd w:val="clear" w:color="auto" w:fill="auto"/>
            <w:vAlign w:val="bottom"/>
          </w:tcPr>
          <w:p w14:paraId="1C147BAB" w14:textId="73328E74" w:rsidR="00457165" w:rsidRPr="00FD59C4" w:rsidRDefault="00AC2673" w:rsidP="00457165">
            <w:pPr>
              <w:ind w:right="57"/>
              <w:jc w:val="right"/>
              <w:rPr>
                <w:sz w:val="18"/>
                <w:szCs w:val="18"/>
              </w:rPr>
            </w:pPr>
            <w:r>
              <w:rPr>
                <w:sz w:val="18"/>
                <w:szCs w:val="18"/>
              </w:rPr>
              <w:t>1.509.683.</w:t>
            </w:r>
            <w:r w:rsidR="00FD59C4" w:rsidRPr="00FD59C4">
              <w:rPr>
                <w:sz w:val="18"/>
                <w:szCs w:val="18"/>
              </w:rPr>
              <w:t>424</w:t>
            </w:r>
          </w:p>
        </w:tc>
        <w:tc>
          <w:tcPr>
            <w:tcW w:w="115" w:type="dxa"/>
            <w:shd w:val="clear" w:color="auto" w:fill="auto"/>
            <w:vAlign w:val="bottom"/>
          </w:tcPr>
          <w:p w14:paraId="58D900A6" w14:textId="77777777" w:rsidR="00457165" w:rsidRPr="00FD59C4" w:rsidRDefault="00457165" w:rsidP="00457165">
            <w:pPr>
              <w:ind w:right="57"/>
              <w:jc w:val="right"/>
              <w:rPr>
                <w:sz w:val="18"/>
                <w:szCs w:val="18"/>
              </w:rPr>
            </w:pPr>
          </w:p>
        </w:tc>
        <w:tc>
          <w:tcPr>
            <w:tcW w:w="1667" w:type="dxa"/>
            <w:vAlign w:val="bottom"/>
          </w:tcPr>
          <w:p w14:paraId="17FABC9E" w14:textId="4048A4DF" w:rsidR="00457165" w:rsidRPr="00FD59C4" w:rsidRDefault="00457165" w:rsidP="00457165">
            <w:pPr>
              <w:ind w:right="57"/>
              <w:jc w:val="right"/>
              <w:rPr>
                <w:sz w:val="18"/>
                <w:szCs w:val="18"/>
              </w:rPr>
            </w:pPr>
            <w:r w:rsidRPr="00FD59C4">
              <w:rPr>
                <w:sz w:val="18"/>
                <w:szCs w:val="18"/>
              </w:rPr>
              <w:t>2.217.266.207</w:t>
            </w:r>
          </w:p>
        </w:tc>
        <w:tc>
          <w:tcPr>
            <w:tcW w:w="2874" w:type="dxa"/>
            <w:shd w:val="clear" w:color="auto" w:fill="auto"/>
            <w:vAlign w:val="bottom"/>
          </w:tcPr>
          <w:p w14:paraId="0922CAD9" w14:textId="77777777" w:rsidR="00457165" w:rsidRPr="00C8472B" w:rsidRDefault="00457165" w:rsidP="00457165">
            <w:pPr>
              <w:ind w:right="57"/>
              <w:jc w:val="right"/>
              <w:rPr>
                <w:i/>
                <w:sz w:val="18"/>
                <w:szCs w:val="18"/>
              </w:rPr>
            </w:pPr>
            <w:r w:rsidRPr="00C8472B">
              <w:rPr>
                <w:i/>
                <w:sz w:val="18"/>
                <w:szCs w:val="18"/>
              </w:rPr>
              <w:t>Insurance</w:t>
            </w:r>
          </w:p>
        </w:tc>
      </w:tr>
      <w:tr w:rsidR="00457165" w:rsidRPr="00EC0164" w14:paraId="3F23893F" w14:textId="77777777" w:rsidTr="002B637F">
        <w:trPr>
          <w:trHeight w:val="249"/>
        </w:trPr>
        <w:tc>
          <w:tcPr>
            <w:tcW w:w="2874" w:type="dxa"/>
            <w:shd w:val="clear" w:color="auto" w:fill="auto"/>
            <w:vAlign w:val="bottom"/>
          </w:tcPr>
          <w:p w14:paraId="38A0A8E9" w14:textId="4ECF11CD" w:rsidR="00457165" w:rsidRPr="00C8472B" w:rsidRDefault="00457165" w:rsidP="00457165">
            <w:pPr>
              <w:ind w:left="405"/>
              <w:rPr>
                <w:sz w:val="18"/>
                <w:szCs w:val="18"/>
              </w:rPr>
            </w:pPr>
            <w:r w:rsidRPr="00C8472B">
              <w:rPr>
                <w:sz w:val="18"/>
                <w:szCs w:val="18"/>
              </w:rPr>
              <w:t>Iklan</w:t>
            </w:r>
          </w:p>
        </w:tc>
        <w:tc>
          <w:tcPr>
            <w:tcW w:w="1667" w:type="dxa"/>
            <w:shd w:val="clear" w:color="auto" w:fill="auto"/>
            <w:vAlign w:val="bottom"/>
          </w:tcPr>
          <w:p w14:paraId="067CBE8D" w14:textId="23753492" w:rsidR="00457165" w:rsidRPr="00FD59C4" w:rsidRDefault="00AC2673" w:rsidP="00457165">
            <w:pPr>
              <w:ind w:right="57"/>
              <w:jc w:val="right"/>
              <w:rPr>
                <w:sz w:val="18"/>
                <w:szCs w:val="18"/>
              </w:rPr>
            </w:pPr>
            <w:r>
              <w:rPr>
                <w:sz w:val="18"/>
                <w:szCs w:val="18"/>
              </w:rPr>
              <w:t>832.478.</w:t>
            </w:r>
            <w:r w:rsidR="00FD59C4" w:rsidRPr="00FD59C4">
              <w:rPr>
                <w:sz w:val="18"/>
                <w:szCs w:val="18"/>
              </w:rPr>
              <w:t>340</w:t>
            </w:r>
          </w:p>
        </w:tc>
        <w:tc>
          <w:tcPr>
            <w:tcW w:w="115" w:type="dxa"/>
            <w:shd w:val="clear" w:color="auto" w:fill="auto"/>
            <w:vAlign w:val="bottom"/>
          </w:tcPr>
          <w:p w14:paraId="7AA6DAC5" w14:textId="77777777" w:rsidR="00457165" w:rsidRPr="00FD59C4" w:rsidRDefault="00457165" w:rsidP="00457165">
            <w:pPr>
              <w:ind w:right="57"/>
              <w:jc w:val="right"/>
              <w:rPr>
                <w:sz w:val="18"/>
                <w:szCs w:val="18"/>
              </w:rPr>
            </w:pPr>
          </w:p>
        </w:tc>
        <w:tc>
          <w:tcPr>
            <w:tcW w:w="1667" w:type="dxa"/>
            <w:vAlign w:val="bottom"/>
          </w:tcPr>
          <w:p w14:paraId="6E23B691" w14:textId="4C14B8B1" w:rsidR="00457165" w:rsidRPr="00FD59C4" w:rsidRDefault="00457165" w:rsidP="00457165">
            <w:pPr>
              <w:ind w:right="57"/>
              <w:jc w:val="right"/>
              <w:rPr>
                <w:sz w:val="18"/>
                <w:szCs w:val="18"/>
              </w:rPr>
            </w:pPr>
            <w:r w:rsidRPr="00FD59C4">
              <w:rPr>
                <w:sz w:val="18"/>
                <w:szCs w:val="18"/>
              </w:rPr>
              <w:t>707.208.340</w:t>
            </w:r>
          </w:p>
        </w:tc>
        <w:tc>
          <w:tcPr>
            <w:tcW w:w="2874" w:type="dxa"/>
            <w:shd w:val="clear" w:color="auto" w:fill="auto"/>
            <w:vAlign w:val="bottom"/>
          </w:tcPr>
          <w:p w14:paraId="6B1FD461" w14:textId="237A2FEB" w:rsidR="00457165" w:rsidRPr="00C8472B" w:rsidRDefault="00457165" w:rsidP="00457165">
            <w:pPr>
              <w:ind w:right="57"/>
              <w:jc w:val="right"/>
              <w:rPr>
                <w:i/>
                <w:sz w:val="18"/>
                <w:szCs w:val="18"/>
              </w:rPr>
            </w:pPr>
            <w:r w:rsidRPr="00C8472B">
              <w:rPr>
                <w:i/>
                <w:sz w:val="18"/>
                <w:szCs w:val="18"/>
              </w:rPr>
              <w:t>Advertising</w:t>
            </w:r>
          </w:p>
        </w:tc>
      </w:tr>
      <w:tr w:rsidR="00457165" w:rsidRPr="00EC0164" w14:paraId="30B8F4C1" w14:textId="77777777" w:rsidTr="002B637F">
        <w:trPr>
          <w:trHeight w:val="249"/>
        </w:trPr>
        <w:tc>
          <w:tcPr>
            <w:tcW w:w="2874" w:type="dxa"/>
            <w:shd w:val="clear" w:color="auto" w:fill="auto"/>
            <w:vAlign w:val="bottom"/>
          </w:tcPr>
          <w:p w14:paraId="61A79349" w14:textId="5D5C544B" w:rsidR="00457165" w:rsidRPr="00C8472B" w:rsidRDefault="00457165" w:rsidP="00457165">
            <w:pPr>
              <w:ind w:left="405"/>
              <w:rPr>
                <w:sz w:val="18"/>
                <w:szCs w:val="18"/>
              </w:rPr>
            </w:pPr>
            <w:r w:rsidRPr="00C8472B">
              <w:rPr>
                <w:sz w:val="18"/>
                <w:szCs w:val="18"/>
              </w:rPr>
              <w:t>Sewa</w:t>
            </w:r>
          </w:p>
        </w:tc>
        <w:tc>
          <w:tcPr>
            <w:tcW w:w="1667" w:type="dxa"/>
            <w:shd w:val="clear" w:color="auto" w:fill="auto"/>
            <w:vAlign w:val="bottom"/>
          </w:tcPr>
          <w:p w14:paraId="74CA3879" w14:textId="10485AC1" w:rsidR="00457165" w:rsidRPr="00FD59C4" w:rsidRDefault="00AC2673" w:rsidP="00457165">
            <w:pPr>
              <w:ind w:right="57"/>
              <w:jc w:val="right"/>
              <w:rPr>
                <w:sz w:val="18"/>
                <w:szCs w:val="18"/>
              </w:rPr>
            </w:pPr>
            <w:r>
              <w:rPr>
                <w:sz w:val="18"/>
                <w:szCs w:val="18"/>
              </w:rPr>
              <w:t>131.250.</w:t>
            </w:r>
            <w:r w:rsidR="00FD59C4" w:rsidRPr="00FD59C4">
              <w:rPr>
                <w:sz w:val="18"/>
                <w:szCs w:val="18"/>
              </w:rPr>
              <w:t>000</w:t>
            </w:r>
          </w:p>
        </w:tc>
        <w:tc>
          <w:tcPr>
            <w:tcW w:w="115" w:type="dxa"/>
            <w:shd w:val="clear" w:color="auto" w:fill="auto"/>
            <w:vAlign w:val="bottom"/>
          </w:tcPr>
          <w:p w14:paraId="0CE57BD0" w14:textId="77777777" w:rsidR="00457165" w:rsidRPr="00FD59C4" w:rsidRDefault="00457165" w:rsidP="00457165">
            <w:pPr>
              <w:ind w:right="57"/>
              <w:jc w:val="right"/>
              <w:rPr>
                <w:sz w:val="18"/>
                <w:szCs w:val="18"/>
              </w:rPr>
            </w:pPr>
          </w:p>
        </w:tc>
        <w:tc>
          <w:tcPr>
            <w:tcW w:w="1667" w:type="dxa"/>
            <w:vAlign w:val="bottom"/>
          </w:tcPr>
          <w:p w14:paraId="5ACB85CB" w14:textId="1F43FFB2" w:rsidR="00457165" w:rsidRPr="00FD59C4" w:rsidRDefault="00457165" w:rsidP="00457165">
            <w:pPr>
              <w:ind w:right="57"/>
              <w:jc w:val="right"/>
              <w:rPr>
                <w:sz w:val="18"/>
                <w:szCs w:val="18"/>
              </w:rPr>
            </w:pPr>
            <w:r w:rsidRPr="00FD59C4">
              <w:rPr>
                <w:sz w:val="18"/>
                <w:szCs w:val="18"/>
              </w:rPr>
              <w:t>175.000.000</w:t>
            </w:r>
          </w:p>
        </w:tc>
        <w:tc>
          <w:tcPr>
            <w:tcW w:w="2874" w:type="dxa"/>
            <w:shd w:val="clear" w:color="auto" w:fill="auto"/>
            <w:vAlign w:val="bottom"/>
          </w:tcPr>
          <w:p w14:paraId="4CD8B588" w14:textId="0DF2EAF2" w:rsidR="00457165" w:rsidRPr="00C8472B" w:rsidRDefault="00457165" w:rsidP="00457165">
            <w:pPr>
              <w:ind w:right="57"/>
              <w:jc w:val="right"/>
              <w:rPr>
                <w:i/>
                <w:sz w:val="18"/>
                <w:szCs w:val="18"/>
              </w:rPr>
            </w:pPr>
            <w:r w:rsidRPr="00C8472B">
              <w:rPr>
                <w:i/>
                <w:sz w:val="18"/>
                <w:szCs w:val="18"/>
              </w:rPr>
              <w:t>Rent</w:t>
            </w:r>
          </w:p>
        </w:tc>
      </w:tr>
      <w:tr w:rsidR="00457165" w:rsidRPr="00EC0164" w14:paraId="54A0F1AC" w14:textId="77777777" w:rsidTr="002B637F">
        <w:tc>
          <w:tcPr>
            <w:tcW w:w="2874" w:type="dxa"/>
            <w:shd w:val="clear" w:color="auto" w:fill="auto"/>
          </w:tcPr>
          <w:p w14:paraId="50946D6F" w14:textId="77777777" w:rsidR="00457165" w:rsidRPr="00C8472B" w:rsidRDefault="00457165" w:rsidP="00457165">
            <w:pPr>
              <w:ind w:left="405"/>
              <w:rPr>
                <w:sz w:val="18"/>
                <w:szCs w:val="18"/>
              </w:rPr>
            </w:pPr>
            <w:r w:rsidRPr="00C8472B">
              <w:rPr>
                <w:sz w:val="18"/>
                <w:szCs w:val="18"/>
              </w:rPr>
              <w:t>Lain-lain</w:t>
            </w:r>
          </w:p>
        </w:tc>
        <w:tc>
          <w:tcPr>
            <w:tcW w:w="1667" w:type="dxa"/>
            <w:tcBorders>
              <w:bottom w:val="single" w:sz="4" w:space="0" w:color="auto"/>
            </w:tcBorders>
            <w:shd w:val="clear" w:color="auto" w:fill="auto"/>
            <w:vAlign w:val="bottom"/>
          </w:tcPr>
          <w:p w14:paraId="69370AF9" w14:textId="5D7084F1" w:rsidR="00457165" w:rsidRPr="00FD59C4" w:rsidRDefault="00AC2673" w:rsidP="00457165">
            <w:pPr>
              <w:ind w:right="57"/>
              <w:jc w:val="right"/>
              <w:rPr>
                <w:sz w:val="18"/>
                <w:szCs w:val="18"/>
              </w:rPr>
            </w:pPr>
            <w:r>
              <w:rPr>
                <w:sz w:val="18"/>
                <w:szCs w:val="18"/>
              </w:rPr>
              <w:t>3.194.092.</w:t>
            </w:r>
            <w:r w:rsidR="00FD59C4" w:rsidRPr="00FD59C4">
              <w:rPr>
                <w:sz w:val="18"/>
                <w:szCs w:val="18"/>
              </w:rPr>
              <w:t>25</w:t>
            </w:r>
            <w:r w:rsidR="0095400C">
              <w:rPr>
                <w:sz w:val="18"/>
                <w:szCs w:val="18"/>
              </w:rPr>
              <w:t>8</w:t>
            </w:r>
          </w:p>
        </w:tc>
        <w:tc>
          <w:tcPr>
            <w:tcW w:w="115" w:type="dxa"/>
            <w:shd w:val="clear" w:color="auto" w:fill="auto"/>
            <w:vAlign w:val="bottom"/>
          </w:tcPr>
          <w:p w14:paraId="7FACCF84" w14:textId="77777777" w:rsidR="00457165" w:rsidRPr="00FD59C4" w:rsidRDefault="00457165" w:rsidP="00457165">
            <w:pPr>
              <w:ind w:right="57"/>
              <w:jc w:val="right"/>
              <w:rPr>
                <w:sz w:val="18"/>
                <w:szCs w:val="18"/>
              </w:rPr>
            </w:pPr>
          </w:p>
        </w:tc>
        <w:tc>
          <w:tcPr>
            <w:tcW w:w="1667" w:type="dxa"/>
            <w:tcBorders>
              <w:bottom w:val="single" w:sz="4" w:space="0" w:color="auto"/>
            </w:tcBorders>
            <w:vAlign w:val="bottom"/>
          </w:tcPr>
          <w:p w14:paraId="23A1EBB9" w14:textId="519F69BD" w:rsidR="00457165" w:rsidRPr="00FD59C4" w:rsidRDefault="00457165" w:rsidP="00457165">
            <w:pPr>
              <w:ind w:right="57"/>
              <w:jc w:val="right"/>
              <w:rPr>
                <w:sz w:val="18"/>
                <w:szCs w:val="18"/>
              </w:rPr>
            </w:pPr>
            <w:r w:rsidRPr="00FD59C4">
              <w:rPr>
                <w:sz w:val="18"/>
                <w:szCs w:val="18"/>
              </w:rPr>
              <w:t>37.466.623</w:t>
            </w:r>
          </w:p>
        </w:tc>
        <w:tc>
          <w:tcPr>
            <w:tcW w:w="2874" w:type="dxa"/>
            <w:shd w:val="clear" w:color="auto" w:fill="auto"/>
          </w:tcPr>
          <w:p w14:paraId="15DCD9EC" w14:textId="77777777" w:rsidR="00457165" w:rsidRPr="00C8472B" w:rsidRDefault="00457165" w:rsidP="00457165">
            <w:pPr>
              <w:ind w:right="57"/>
              <w:jc w:val="right"/>
              <w:rPr>
                <w:i/>
                <w:sz w:val="18"/>
                <w:szCs w:val="18"/>
              </w:rPr>
            </w:pPr>
            <w:r w:rsidRPr="00C8472B">
              <w:rPr>
                <w:i/>
                <w:sz w:val="18"/>
                <w:szCs w:val="18"/>
              </w:rPr>
              <w:t>Others</w:t>
            </w:r>
          </w:p>
        </w:tc>
      </w:tr>
      <w:tr w:rsidR="00004447" w:rsidRPr="00EC0164" w14:paraId="5C0A3B26" w14:textId="77777777" w:rsidTr="00E50367">
        <w:tc>
          <w:tcPr>
            <w:tcW w:w="2874" w:type="dxa"/>
            <w:shd w:val="clear" w:color="auto" w:fill="auto"/>
          </w:tcPr>
          <w:p w14:paraId="3D644381" w14:textId="77777777" w:rsidR="00004447" w:rsidRPr="00C8472B" w:rsidRDefault="00004447" w:rsidP="00E50367">
            <w:pPr>
              <w:ind w:left="405"/>
              <w:rPr>
                <w:sz w:val="14"/>
                <w:szCs w:val="18"/>
              </w:rPr>
            </w:pPr>
          </w:p>
        </w:tc>
        <w:tc>
          <w:tcPr>
            <w:tcW w:w="1667" w:type="dxa"/>
            <w:shd w:val="clear" w:color="auto" w:fill="auto"/>
            <w:vAlign w:val="bottom"/>
          </w:tcPr>
          <w:p w14:paraId="4A7E748B" w14:textId="77777777" w:rsidR="00004447" w:rsidRPr="00FD59C4" w:rsidRDefault="00004447" w:rsidP="005E0D03">
            <w:pPr>
              <w:ind w:right="57"/>
              <w:jc w:val="right"/>
              <w:rPr>
                <w:sz w:val="14"/>
                <w:szCs w:val="18"/>
              </w:rPr>
            </w:pPr>
          </w:p>
        </w:tc>
        <w:tc>
          <w:tcPr>
            <w:tcW w:w="115" w:type="dxa"/>
            <w:shd w:val="clear" w:color="auto" w:fill="auto"/>
            <w:vAlign w:val="bottom"/>
          </w:tcPr>
          <w:p w14:paraId="7049D9AD" w14:textId="77777777" w:rsidR="00004447" w:rsidRPr="00FD59C4" w:rsidRDefault="00004447" w:rsidP="005E0D03">
            <w:pPr>
              <w:ind w:right="57"/>
              <w:jc w:val="right"/>
              <w:rPr>
                <w:sz w:val="14"/>
                <w:szCs w:val="18"/>
              </w:rPr>
            </w:pPr>
          </w:p>
        </w:tc>
        <w:tc>
          <w:tcPr>
            <w:tcW w:w="1667" w:type="dxa"/>
            <w:tcBorders>
              <w:top w:val="single" w:sz="4" w:space="0" w:color="auto"/>
            </w:tcBorders>
            <w:vAlign w:val="bottom"/>
          </w:tcPr>
          <w:p w14:paraId="5C30B23D" w14:textId="77777777" w:rsidR="00004447" w:rsidRPr="00FD59C4" w:rsidRDefault="00004447" w:rsidP="005E0D03">
            <w:pPr>
              <w:ind w:right="57"/>
              <w:jc w:val="right"/>
              <w:rPr>
                <w:sz w:val="14"/>
                <w:szCs w:val="18"/>
              </w:rPr>
            </w:pPr>
          </w:p>
        </w:tc>
        <w:tc>
          <w:tcPr>
            <w:tcW w:w="2874" w:type="dxa"/>
            <w:shd w:val="clear" w:color="auto" w:fill="auto"/>
          </w:tcPr>
          <w:p w14:paraId="5332B9AE" w14:textId="77777777" w:rsidR="00004447" w:rsidRPr="00C8472B" w:rsidRDefault="00004447" w:rsidP="005E0D03">
            <w:pPr>
              <w:ind w:right="57"/>
              <w:jc w:val="right"/>
              <w:rPr>
                <w:i/>
                <w:sz w:val="14"/>
                <w:szCs w:val="18"/>
              </w:rPr>
            </w:pPr>
          </w:p>
        </w:tc>
      </w:tr>
      <w:tr w:rsidR="00004447" w:rsidRPr="0013526B" w14:paraId="01635F43" w14:textId="77777777" w:rsidTr="00E50367">
        <w:tc>
          <w:tcPr>
            <w:tcW w:w="2874" w:type="dxa"/>
            <w:shd w:val="clear" w:color="auto" w:fill="auto"/>
            <w:vAlign w:val="bottom"/>
          </w:tcPr>
          <w:p w14:paraId="0F8C1313" w14:textId="77777777" w:rsidR="00004447" w:rsidRPr="00C8472B" w:rsidRDefault="00004447" w:rsidP="00E50367">
            <w:pPr>
              <w:ind w:left="405"/>
              <w:rPr>
                <w:b/>
                <w:sz w:val="18"/>
                <w:szCs w:val="18"/>
              </w:rPr>
            </w:pPr>
            <w:r w:rsidRPr="00C8472B">
              <w:rPr>
                <w:b/>
                <w:sz w:val="18"/>
                <w:szCs w:val="18"/>
              </w:rPr>
              <w:t>Jumlah</w:t>
            </w:r>
          </w:p>
        </w:tc>
        <w:tc>
          <w:tcPr>
            <w:tcW w:w="1667" w:type="dxa"/>
            <w:tcBorders>
              <w:bottom w:val="double" w:sz="4" w:space="0" w:color="auto"/>
            </w:tcBorders>
            <w:shd w:val="clear" w:color="auto" w:fill="auto"/>
            <w:vAlign w:val="bottom"/>
          </w:tcPr>
          <w:p w14:paraId="0BC47375" w14:textId="7F3C1C9F" w:rsidR="00004447" w:rsidRPr="00650FF3" w:rsidRDefault="00AC2673" w:rsidP="005E0D03">
            <w:pPr>
              <w:ind w:right="57"/>
              <w:jc w:val="right"/>
              <w:rPr>
                <w:b/>
                <w:sz w:val="18"/>
                <w:szCs w:val="18"/>
                <w:highlight w:val="yellow"/>
              </w:rPr>
            </w:pPr>
            <w:r w:rsidRPr="008F7E35">
              <w:rPr>
                <w:b/>
                <w:sz w:val="18"/>
                <w:szCs w:val="18"/>
              </w:rPr>
              <w:t>5.667.504.</w:t>
            </w:r>
            <w:r w:rsidR="00FD59C4" w:rsidRPr="008F7E35">
              <w:rPr>
                <w:b/>
                <w:sz w:val="18"/>
                <w:szCs w:val="18"/>
              </w:rPr>
              <w:t>022</w:t>
            </w:r>
          </w:p>
        </w:tc>
        <w:tc>
          <w:tcPr>
            <w:tcW w:w="115" w:type="dxa"/>
            <w:shd w:val="clear" w:color="auto" w:fill="auto"/>
            <w:vAlign w:val="bottom"/>
          </w:tcPr>
          <w:p w14:paraId="0A8E01C9" w14:textId="77777777" w:rsidR="00004447" w:rsidRPr="00650FF3" w:rsidRDefault="00004447" w:rsidP="005E0D03">
            <w:pPr>
              <w:ind w:right="57"/>
              <w:jc w:val="right"/>
              <w:rPr>
                <w:b/>
                <w:sz w:val="18"/>
                <w:szCs w:val="18"/>
                <w:highlight w:val="yellow"/>
              </w:rPr>
            </w:pPr>
          </w:p>
        </w:tc>
        <w:tc>
          <w:tcPr>
            <w:tcW w:w="1667" w:type="dxa"/>
            <w:tcBorders>
              <w:bottom w:val="double" w:sz="4" w:space="0" w:color="auto"/>
            </w:tcBorders>
            <w:vAlign w:val="bottom"/>
          </w:tcPr>
          <w:p w14:paraId="04E72AEE" w14:textId="1A596F9B" w:rsidR="00004447" w:rsidRPr="00FD59C4" w:rsidRDefault="00457165" w:rsidP="005E0D03">
            <w:pPr>
              <w:ind w:right="57"/>
              <w:jc w:val="right"/>
              <w:rPr>
                <w:b/>
                <w:sz w:val="18"/>
                <w:szCs w:val="18"/>
              </w:rPr>
            </w:pPr>
            <w:r w:rsidRPr="00FD59C4">
              <w:rPr>
                <w:b/>
                <w:sz w:val="18"/>
                <w:szCs w:val="18"/>
              </w:rPr>
              <w:t>3.136.941.170</w:t>
            </w:r>
          </w:p>
        </w:tc>
        <w:tc>
          <w:tcPr>
            <w:tcW w:w="2874" w:type="dxa"/>
            <w:shd w:val="clear" w:color="auto" w:fill="auto"/>
            <w:vAlign w:val="bottom"/>
          </w:tcPr>
          <w:p w14:paraId="336694B3" w14:textId="77777777" w:rsidR="00004447" w:rsidRPr="00C8472B" w:rsidRDefault="00004447" w:rsidP="005E0D03">
            <w:pPr>
              <w:ind w:right="57"/>
              <w:jc w:val="right"/>
              <w:rPr>
                <w:b/>
                <w:i/>
                <w:sz w:val="18"/>
                <w:szCs w:val="18"/>
              </w:rPr>
            </w:pPr>
            <w:r w:rsidRPr="00C8472B">
              <w:rPr>
                <w:b/>
                <w:i/>
                <w:sz w:val="18"/>
                <w:szCs w:val="18"/>
              </w:rPr>
              <w:t>Total</w:t>
            </w:r>
          </w:p>
        </w:tc>
      </w:tr>
    </w:tbl>
    <w:p w14:paraId="1CF478E6" w14:textId="298EAFBC" w:rsidR="00B62D0D" w:rsidRDefault="00B62D0D" w:rsidP="0013526B">
      <w:pPr>
        <w:rPr>
          <w:sz w:val="18"/>
          <w:szCs w:val="18"/>
          <w:lang w:val="id-ID"/>
        </w:rPr>
      </w:pPr>
    </w:p>
    <w:p w14:paraId="67789C2A" w14:textId="77777777" w:rsidR="001775FB" w:rsidRDefault="001775FB" w:rsidP="0013526B">
      <w:pPr>
        <w:rPr>
          <w:sz w:val="18"/>
          <w:szCs w:val="18"/>
          <w:lang w:val="id-ID"/>
        </w:rPr>
      </w:pPr>
    </w:p>
    <w:p w14:paraId="08C1D5AF" w14:textId="0F2F5C24" w:rsidR="001775FB" w:rsidRDefault="001775FB">
      <w:pPr>
        <w:rPr>
          <w:sz w:val="20"/>
          <w:szCs w:val="20"/>
        </w:rPr>
      </w:pPr>
    </w:p>
    <w:p w14:paraId="26EE8215" w14:textId="27013187" w:rsidR="001775FB" w:rsidRDefault="001775FB">
      <w:pPr>
        <w:rPr>
          <w:sz w:val="20"/>
          <w:szCs w:val="20"/>
        </w:rPr>
      </w:pPr>
    </w:p>
    <w:p w14:paraId="73D5CFF9" w14:textId="6C986BAE" w:rsidR="001775FB" w:rsidRDefault="001775FB">
      <w:pPr>
        <w:rPr>
          <w:sz w:val="20"/>
          <w:szCs w:val="20"/>
        </w:rPr>
      </w:pPr>
    </w:p>
    <w:p w14:paraId="2E67E587" w14:textId="62DD347F" w:rsidR="001775FB" w:rsidRDefault="001775FB">
      <w:pPr>
        <w:rPr>
          <w:sz w:val="20"/>
          <w:szCs w:val="20"/>
        </w:rPr>
      </w:pPr>
    </w:p>
    <w:p w14:paraId="638C2676" w14:textId="69A1DEA4" w:rsidR="001775FB" w:rsidRDefault="001775FB">
      <w:pPr>
        <w:rPr>
          <w:sz w:val="20"/>
          <w:szCs w:val="20"/>
        </w:rPr>
      </w:pPr>
      <w:r>
        <w:rPr>
          <w:sz w:val="20"/>
          <w:szCs w:val="20"/>
        </w:rPr>
        <w:br w:type="page"/>
      </w:r>
    </w:p>
    <w:tbl>
      <w:tblPr>
        <w:tblW w:w="9197" w:type="dxa"/>
        <w:tblInd w:w="108" w:type="dxa"/>
        <w:tblLayout w:type="fixed"/>
        <w:tblLook w:val="0000" w:firstRow="0" w:lastRow="0" w:firstColumn="0" w:lastColumn="0" w:noHBand="0" w:noVBand="0"/>
      </w:tblPr>
      <w:tblGrid>
        <w:gridCol w:w="4598"/>
        <w:gridCol w:w="4599"/>
      </w:tblGrid>
      <w:tr w:rsidR="004A7DA5" w:rsidRPr="00D378F0" w14:paraId="4FB7E655" w14:textId="77777777" w:rsidTr="001775FB">
        <w:tc>
          <w:tcPr>
            <w:tcW w:w="4598" w:type="dxa"/>
            <w:tcBorders>
              <w:top w:val="nil"/>
              <w:left w:val="nil"/>
              <w:bottom w:val="nil"/>
              <w:right w:val="nil"/>
            </w:tcBorders>
          </w:tcPr>
          <w:p w14:paraId="3DA3C9FE" w14:textId="77777777" w:rsidR="004A7DA5" w:rsidRPr="0013526B" w:rsidRDefault="00B71A51" w:rsidP="00070D1F">
            <w:pPr>
              <w:pStyle w:val="ListParagraph"/>
              <w:numPr>
                <w:ilvl w:val="0"/>
                <w:numId w:val="349"/>
              </w:numPr>
              <w:ind w:left="318" w:hanging="318"/>
              <w:contextualSpacing/>
              <w:jc w:val="both"/>
              <w:rPr>
                <w:b/>
                <w:sz w:val="18"/>
                <w:szCs w:val="18"/>
              </w:rPr>
            </w:pPr>
            <w:r w:rsidRPr="00D378F0">
              <w:rPr>
                <w:b/>
                <w:sz w:val="18"/>
                <w:szCs w:val="18"/>
              </w:rPr>
              <w:lastRenderedPageBreak/>
              <w:br w:type="page"/>
            </w:r>
            <w:r w:rsidR="00AF2C1C" w:rsidRPr="00D378F0">
              <w:rPr>
                <w:b/>
                <w:sz w:val="18"/>
                <w:szCs w:val="18"/>
              </w:rPr>
              <w:br w:type="page"/>
            </w:r>
            <w:r w:rsidR="00B82164" w:rsidRPr="00D378F0">
              <w:rPr>
                <w:b/>
                <w:sz w:val="18"/>
                <w:szCs w:val="18"/>
              </w:rPr>
              <w:br w:type="page"/>
            </w:r>
            <w:r w:rsidR="003B618D" w:rsidRPr="00D378F0">
              <w:rPr>
                <w:b/>
                <w:sz w:val="18"/>
                <w:szCs w:val="18"/>
              </w:rPr>
              <w:br w:type="page"/>
            </w:r>
            <w:r w:rsidR="00DF19CB" w:rsidRPr="00D378F0">
              <w:rPr>
                <w:b/>
                <w:sz w:val="18"/>
                <w:szCs w:val="18"/>
              </w:rPr>
              <w:br w:type="page"/>
            </w:r>
            <w:r w:rsidR="004A7DA5" w:rsidRPr="0013526B">
              <w:rPr>
                <w:b/>
                <w:sz w:val="18"/>
                <w:szCs w:val="18"/>
              </w:rPr>
              <w:t>ASET TETAP</w:t>
            </w:r>
          </w:p>
        </w:tc>
        <w:tc>
          <w:tcPr>
            <w:tcW w:w="4599" w:type="dxa"/>
            <w:tcBorders>
              <w:top w:val="nil"/>
              <w:left w:val="nil"/>
              <w:bottom w:val="nil"/>
              <w:right w:val="nil"/>
            </w:tcBorders>
          </w:tcPr>
          <w:p w14:paraId="4F88D749" w14:textId="3677107E" w:rsidR="004A7DA5" w:rsidRPr="00D378F0" w:rsidRDefault="004A7DA5" w:rsidP="00070D1F">
            <w:pPr>
              <w:pStyle w:val="ListParagraph"/>
              <w:numPr>
                <w:ilvl w:val="0"/>
                <w:numId w:val="315"/>
              </w:numPr>
              <w:ind w:hanging="269"/>
              <w:contextualSpacing/>
              <w:jc w:val="both"/>
              <w:rPr>
                <w:b/>
                <w:sz w:val="18"/>
                <w:szCs w:val="18"/>
              </w:rPr>
            </w:pPr>
            <w:r w:rsidRPr="004A1988">
              <w:rPr>
                <w:b/>
                <w:i/>
                <w:iCs/>
                <w:sz w:val="18"/>
                <w:szCs w:val="18"/>
              </w:rPr>
              <w:t>PROPERTY</w:t>
            </w:r>
            <w:r w:rsidR="00205208" w:rsidRPr="00D378F0">
              <w:rPr>
                <w:b/>
                <w:sz w:val="18"/>
                <w:szCs w:val="18"/>
              </w:rPr>
              <w:t xml:space="preserve"> </w:t>
            </w:r>
            <w:r w:rsidRPr="004A1988">
              <w:rPr>
                <w:b/>
                <w:i/>
                <w:iCs/>
                <w:sz w:val="18"/>
                <w:szCs w:val="18"/>
              </w:rPr>
              <w:t>AND EQUIPMENT</w:t>
            </w:r>
          </w:p>
        </w:tc>
      </w:tr>
      <w:tr w:rsidR="004A7DA5" w:rsidRPr="0013526B" w14:paraId="15A8A909" w14:textId="77777777" w:rsidTr="001775FB">
        <w:tc>
          <w:tcPr>
            <w:tcW w:w="4598" w:type="dxa"/>
            <w:tcBorders>
              <w:top w:val="nil"/>
              <w:left w:val="nil"/>
              <w:bottom w:val="nil"/>
              <w:right w:val="nil"/>
            </w:tcBorders>
          </w:tcPr>
          <w:p w14:paraId="5D0C2A69" w14:textId="77777777" w:rsidR="004A7DA5" w:rsidRPr="0013526B" w:rsidRDefault="004A7DA5" w:rsidP="0013526B">
            <w:pPr>
              <w:ind w:left="709"/>
              <w:jc w:val="both"/>
              <w:rPr>
                <w:sz w:val="10"/>
                <w:szCs w:val="10"/>
              </w:rPr>
            </w:pPr>
          </w:p>
        </w:tc>
        <w:tc>
          <w:tcPr>
            <w:tcW w:w="4599" w:type="dxa"/>
            <w:tcBorders>
              <w:top w:val="nil"/>
              <w:left w:val="nil"/>
              <w:bottom w:val="nil"/>
              <w:right w:val="nil"/>
            </w:tcBorders>
          </w:tcPr>
          <w:p w14:paraId="36C3EEB0" w14:textId="77777777" w:rsidR="004A7DA5" w:rsidRPr="0013526B" w:rsidRDefault="004A7DA5" w:rsidP="0013526B">
            <w:pPr>
              <w:pStyle w:val="ListParagraph"/>
              <w:ind w:left="743"/>
              <w:jc w:val="both"/>
              <w:rPr>
                <w:i/>
                <w:sz w:val="10"/>
                <w:szCs w:val="10"/>
              </w:rPr>
            </w:pPr>
          </w:p>
        </w:tc>
      </w:tr>
      <w:tr w:rsidR="004A7DA5" w:rsidRPr="0013526B" w14:paraId="17FCF03E" w14:textId="77777777" w:rsidTr="001775FB">
        <w:tc>
          <w:tcPr>
            <w:tcW w:w="4598" w:type="dxa"/>
            <w:tcBorders>
              <w:top w:val="nil"/>
              <w:left w:val="nil"/>
              <w:bottom w:val="nil"/>
              <w:right w:val="nil"/>
            </w:tcBorders>
          </w:tcPr>
          <w:p w14:paraId="0269829C" w14:textId="77777777" w:rsidR="004A7DA5" w:rsidRPr="0013526B" w:rsidRDefault="004A7DA5" w:rsidP="001445AB">
            <w:pPr>
              <w:pStyle w:val="ListParagraph"/>
              <w:ind w:left="318"/>
              <w:jc w:val="both"/>
              <w:rPr>
                <w:sz w:val="18"/>
                <w:szCs w:val="18"/>
              </w:rPr>
            </w:pPr>
            <w:r w:rsidRPr="0013526B">
              <w:rPr>
                <w:sz w:val="18"/>
                <w:szCs w:val="18"/>
              </w:rPr>
              <w:t>Aset tetap terdiri dari:</w:t>
            </w:r>
          </w:p>
        </w:tc>
        <w:tc>
          <w:tcPr>
            <w:tcW w:w="4599" w:type="dxa"/>
            <w:tcBorders>
              <w:top w:val="nil"/>
              <w:left w:val="nil"/>
              <w:bottom w:val="nil"/>
              <w:right w:val="nil"/>
            </w:tcBorders>
          </w:tcPr>
          <w:p w14:paraId="24C440F6" w14:textId="67BACBD7" w:rsidR="004A7DA5" w:rsidRPr="0013526B" w:rsidRDefault="004A7DA5" w:rsidP="0013526B">
            <w:pPr>
              <w:pStyle w:val="ListParagraph"/>
              <w:tabs>
                <w:tab w:val="right" w:pos="9340"/>
                <w:tab w:val="right" w:pos="10080"/>
              </w:tabs>
              <w:ind w:left="284"/>
              <w:jc w:val="both"/>
              <w:rPr>
                <w:i/>
                <w:sz w:val="18"/>
                <w:szCs w:val="18"/>
              </w:rPr>
            </w:pPr>
            <w:r w:rsidRPr="0013526B">
              <w:rPr>
                <w:i/>
                <w:sz w:val="18"/>
                <w:szCs w:val="18"/>
              </w:rPr>
              <w:t>Property and equipment consist of the following:</w:t>
            </w:r>
          </w:p>
        </w:tc>
      </w:tr>
    </w:tbl>
    <w:p w14:paraId="5D9940F4" w14:textId="77777777" w:rsidR="004A7DA5" w:rsidRPr="0013526B" w:rsidRDefault="004A7DA5" w:rsidP="0013526B">
      <w:pPr>
        <w:ind w:left="567"/>
        <w:jc w:val="both"/>
        <w:rPr>
          <w:sz w:val="10"/>
          <w:szCs w:val="10"/>
          <w:lang w:val="id-ID"/>
        </w:rPr>
      </w:pPr>
    </w:p>
    <w:tbl>
      <w:tblPr>
        <w:tblW w:w="9197" w:type="dxa"/>
        <w:tblInd w:w="108" w:type="dxa"/>
        <w:tblLayout w:type="fixed"/>
        <w:tblCellMar>
          <w:left w:w="0" w:type="dxa"/>
          <w:right w:w="0" w:type="dxa"/>
        </w:tblCellMar>
        <w:tblLook w:val="04A0" w:firstRow="1" w:lastRow="0" w:firstColumn="1" w:lastColumn="0" w:noHBand="0" w:noVBand="1"/>
      </w:tblPr>
      <w:tblGrid>
        <w:gridCol w:w="1820"/>
        <w:gridCol w:w="1133"/>
        <w:gridCol w:w="94"/>
        <w:gridCol w:w="1047"/>
        <w:gridCol w:w="100"/>
        <w:gridCol w:w="1070"/>
        <w:gridCol w:w="94"/>
        <w:gridCol w:w="1101"/>
        <w:gridCol w:w="94"/>
        <w:gridCol w:w="1133"/>
        <w:gridCol w:w="1511"/>
      </w:tblGrid>
      <w:tr w:rsidR="00FE31F5" w:rsidRPr="001775FB" w14:paraId="1D7E109F" w14:textId="77777777" w:rsidTr="003734F4">
        <w:trPr>
          <w:cantSplit/>
          <w:trHeight w:val="20"/>
        </w:trPr>
        <w:tc>
          <w:tcPr>
            <w:tcW w:w="1820" w:type="dxa"/>
            <w:tcBorders>
              <w:top w:val="nil"/>
              <w:left w:val="nil"/>
              <w:bottom w:val="nil"/>
              <w:right w:val="nil"/>
            </w:tcBorders>
            <w:shd w:val="clear" w:color="auto" w:fill="auto"/>
            <w:vAlign w:val="bottom"/>
          </w:tcPr>
          <w:p w14:paraId="26A08350" w14:textId="01599E3A" w:rsidR="00FE31F5" w:rsidRPr="001775FB" w:rsidRDefault="006B3AB6" w:rsidP="00B1362E">
            <w:pPr>
              <w:spacing w:line="140" w:lineRule="exact"/>
              <w:ind w:left="567" w:right="17" w:hanging="141"/>
              <w:rPr>
                <w:b/>
                <w:sz w:val="14"/>
                <w:szCs w:val="14"/>
                <w:u w:val="single"/>
              </w:rPr>
            </w:pPr>
            <w:r>
              <w:rPr>
                <w:b/>
                <w:sz w:val="14"/>
                <w:szCs w:val="14"/>
                <w:u w:val="single"/>
              </w:rPr>
              <w:t xml:space="preserve">31 Maret </w:t>
            </w:r>
            <w:r w:rsidR="00FE31F5" w:rsidRPr="001775FB">
              <w:rPr>
                <w:b/>
                <w:sz w:val="14"/>
                <w:szCs w:val="14"/>
                <w:u w:val="single"/>
              </w:rPr>
              <w:t>20</w:t>
            </w:r>
            <w:r>
              <w:rPr>
                <w:b/>
                <w:sz w:val="14"/>
                <w:szCs w:val="14"/>
                <w:u w:val="single"/>
              </w:rPr>
              <w:t>20</w:t>
            </w:r>
          </w:p>
        </w:tc>
        <w:tc>
          <w:tcPr>
            <w:tcW w:w="1133" w:type="dxa"/>
            <w:tcBorders>
              <w:top w:val="nil"/>
              <w:left w:val="nil"/>
              <w:bottom w:val="single" w:sz="4" w:space="0" w:color="auto"/>
              <w:right w:val="nil"/>
            </w:tcBorders>
            <w:shd w:val="clear" w:color="auto" w:fill="auto"/>
            <w:vAlign w:val="bottom"/>
          </w:tcPr>
          <w:p w14:paraId="76DA6C53" w14:textId="77777777" w:rsidR="00FE31F5" w:rsidRPr="001775FB" w:rsidRDefault="00FE31F5" w:rsidP="00B1362E">
            <w:pPr>
              <w:spacing w:line="140" w:lineRule="exact"/>
              <w:jc w:val="center"/>
              <w:rPr>
                <w:b/>
                <w:sz w:val="14"/>
                <w:szCs w:val="14"/>
              </w:rPr>
            </w:pPr>
            <w:r w:rsidRPr="001775FB">
              <w:rPr>
                <w:b/>
                <w:sz w:val="14"/>
                <w:szCs w:val="14"/>
              </w:rPr>
              <w:t>Saldo awal/</w:t>
            </w:r>
          </w:p>
          <w:p w14:paraId="347AAB4F" w14:textId="77777777" w:rsidR="00FE31F5" w:rsidRPr="001775FB" w:rsidRDefault="00FE31F5" w:rsidP="00B1362E">
            <w:pPr>
              <w:spacing w:line="140" w:lineRule="exact"/>
              <w:jc w:val="center"/>
              <w:rPr>
                <w:b/>
                <w:sz w:val="14"/>
                <w:szCs w:val="14"/>
              </w:rPr>
            </w:pPr>
            <w:r w:rsidRPr="001775FB">
              <w:rPr>
                <w:b/>
                <w:i/>
                <w:iCs/>
                <w:sz w:val="14"/>
                <w:szCs w:val="14"/>
              </w:rPr>
              <w:t>Beginning balance</w:t>
            </w:r>
          </w:p>
        </w:tc>
        <w:tc>
          <w:tcPr>
            <w:tcW w:w="94" w:type="dxa"/>
            <w:tcBorders>
              <w:top w:val="nil"/>
              <w:left w:val="nil"/>
              <w:right w:val="nil"/>
            </w:tcBorders>
            <w:shd w:val="clear" w:color="auto" w:fill="auto"/>
            <w:vAlign w:val="bottom"/>
          </w:tcPr>
          <w:p w14:paraId="610AB29D" w14:textId="77777777" w:rsidR="00FE31F5" w:rsidRPr="001775FB" w:rsidRDefault="00FE31F5" w:rsidP="00B1362E">
            <w:pPr>
              <w:spacing w:line="140" w:lineRule="exact"/>
              <w:jc w:val="center"/>
              <w:rPr>
                <w:b/>
                <w:sz w:val="14"/>
                <w:szCs w:val="14"/>
              </w:rPr>
            </w:pPr>
          </w:p>
        </w:tc>
        <w:tc>
          <w:tcPr>
            <w:tcW w:w="1047" w:type="dxa"/>
            <w:tcBorders>
              <w:top w:val="nil"/>
              <w:left w:val="nil"/>
              <w:bottom w:val="single" w:sz="4" w:space="0" w:color="auto"/>
              <w:right w:val="nil"/>
            </w:tcBorders>
            <w:shd w:val="clear" w:color="auto" w:fill="auto"/>
            <w:vAlign w:val="bottom"/>
          </w:tcPr>
          <w:p w14:paraId="727324B9" w14:textId="77777777" w:rsidR="00FE31F5" w:rsidRPr="001775FB" w:rsidRDefault="00FE31F5" w:rsidP="006D5340">
            <w:pPr>
              <w:spacing w:line="140" w:lineRule="exact"/>
              <w:jc w:val="center"/>
              <w:rPr>
                <w:b/>
                <w:sz w:val="14"/>
                <w:szCs w:val="14"/>
                <w:lang w:val="id-ID"/>
              </w:rPr>
            </w:pPr>
            <w:r w:rsidRPr="001775FB">
              <w:rPr>
                <w:b/>
                <w:sz w:val="14"/>
                <w:szCs w:val="14"/>
              </w:rPr>
              <w:t>Penambahan/</w:t>
            </w:r>
          </w:p>
          <w:p w14:paraId="3B342B1A" w14:textId="45D33B7D" w:rsidR="00FE31F5" w:rsidRPr="001775FB" w:rsidRDefault="00FE31F5" w:rsidP="006D5340">
            <w:pPr>
              <w:spacing w:line="140" w:lineRule="exact"/>
              <w:jc w:val="center"/>
              <w:rPr>
                <w:b/>
                <w:sz w:val="14"/>
                <w:szCs w:val="14"/>
                <w:lang w:val="id-ID"/>
              </w:rPr>
            </w:pPr>
            <w:r w:rsidRPr="001775FB">
              <w:rPr>
                <w:b/>
                <w:i/>
                <w:sz w:val="14"/>
                <w:szCs w:val="14"/>
              </w:rPr>
              <w:t>Addition</w:t>
            </w:r>
          </w:p>
        </w:tc>
        <w:tc>
          <w:tcPr>
            <w:tcW w:w="100" w:type="dxa"/>
            <w:tcBorders>
              <w:top w:val="nil"/>
              <w:left w:val="nil"/>
              <w:right w:val="nil"/>
            </w:tcBorders>
            <w:shd w:val="clear" w:color="auto" w:fill="auto"/>
            <w:vAlign w:val="bottom"/>
          </w:tcPr>
          <w:p w14:paraId="5B6667CD" w14:textId="77777777" w:rsidR="00FE31F5" w:rsidRPr="001775FB" w:rsidRDefault="00FE31F5" w:rsidP="00B1362E">
            <w:pPr>
              <w:spacing w:line="140" w:lineRule="exact"/>
              <w:jc w:val="center"/>
              <w:rPr>
                <w:b/>
                <w:sz w:val="14"/>
                <w:szCs w:val="14"/>
              </w:rPr>
            </w:pPr>
          </w:p>
        </w:tc>
        <w:tc>
          <w:tcPr>
            <w:tcW w:w="1070" w:type="dxa"/>
            <w:tcBorders>
              <w:top w:val="nil"/>
              <w:left w:val="nil"/>
              <w:bottom w:val="single" w:sz="4" w:space="0" w:color="auto"/>
              <w:right w:val="nil"/>
            </w:tcBorders>
            <w:shd w:val="clear" w:color="auto" w:fill="auto"/>
            <w:vAlign w:val="bottom"/>
          </w:tcPr>
          <w:p w14:paraId="5DDCE4C7" w14:textId="77777777" w:rsidR="00FE31F5" w:rsidRPr="001775FB" w:rsidRDefault="00FE31F5" w:rsidP="00B1362E">
            <w:pPr>
              <w:spacing w:line="140" w:lineRule="exact"/>
              <w:jc w:val="center"/>
              <w:rPr>
                <w:b/>
                <w:sz w:val="14"/>
                <w:szCs w:val="14"/>
              </w:rPr>
            </w:pPr>
            <w:r w:rsidRPr="001775FB">
              <w:rPr>
                <w:b/>
                <w:sz w:val="14"/>
                <w:szCs w:val="14"/>
              </w:rPr>
              <w:t xml:space="preserve">Pengurangan/ </w:t>
            </w:r>
            <w:r w:rsidRPr="001775FB">
              <w:rPr>
                <w:b/>
                <w:i/>
                <w:sz w:val="14"/>
                <w:szCs w:val="14"/>
              </w:rPr>
              <w:t>Deductions</w:t>
            </w:r>
          </w:p>
        </w:tc>
        <w:tc>
          <w:tcPr>
            <w:tcW w:w="94" w:type="dxa"/>
            <w:tcBorders>
              <w:top w:val="nil"/>
              <w:left w:val="nil"/>
              <w:right w:val="nil"/>
            </w:tcBorders>
            <w:shd w:val="clear" w:color="auto" w:fill="auto"/>
            <w:vAlign w:val="bottom"/>
          </w:tcPr>
          <w:p w14:paraId="7E419628" w14:textId="77777777" w:rsidR="00FE31F5" w:rsidRPr="001775FB" w:rsidRDefault="00FE31F5" w:rsidP="00B1362E">
            <w:pPr>
              <w:spacing w:line="140" w:lineRule="exact"/>
              <w:jc w:val="center"/>
              <w:rPr>
                <w:b/>
                <w:sz w:val="14"/>
                <w:szCs w:val="14"/>
              </w:rPr>
            </w:pPr>
          </w:p>
        </w:tc>
        <w:tc>
          <w:tcPr>
            <w:tcW w:w="1101" w:type="dxa"/>
            <w:tcBorders>
              <w:top w:val="nil"/>
              <w:left w:val="nil"/>
              <w:bottom w:val="single" w:sz="4" w:space="0" w:color="auto"/>
              <w:right w:val="nil"/>
            </w:tcBorders>
            <w:vAlign w:val="bottom"/>
          </w:tcPr>
          <w:p w14:paraId="773967E0" w14:textId="77777777" w:rsidR="00FE31F5" w:rsidRPr="001775FB" w:rsidRDefault="00FE31F5" w:rsidP="005F2A60">
            <w:pPr>
              <w:spacing w:line="140" w:lineRule="exact"/>
              <w:jc w:val="center"/>
              <w:rPr>
                <w:b/>
                <w:sz w:val="14"/>
                <w:szCs w:val="14"/>
              </w:rPr>
            </w:pPr>
          </w:p>
          <w:p w14:paraId="7052EEF0" w14:textId="77777777" w:rsidR="00FE31F5" w:rsidRPr="001775FB" w:rsidRDefault="00FE31F5" w:rsidP="005F2A60">
            <w:pPr>
              <w:spacing w:line="140" w:lineRule="exact"/>
              <w:jc w:val="center"/>
              <w:rPr>
                <w:b/>
                <w:i/>
                <w:sz w:val="14"/>
                <w:szCs w:val="14"/>
              </w:rPr>
            </w:pPr>
            <w:r w:rsidRPr="001775FB">
              <w:rPr>
                <w:b/>
                <w:sz w:val="14"/>
                <w:szCs w:val="14"/>
              </w:rPr>
              <w:t xml:space="preserve">Reklasifikasi/ </w:t>
            </w:r>
            <w:r w:rsidRPr="001775FB">
              <w:rPr>
                <w:b/>
                <w:i/>
                <w:sz w:val="14"/>
                <w:szCs w:val="14"/>
              </w:rPr>
              <w:t>reclassifications</w:t>
            </w:r>
          </w:p>
        </w:tc>
        <w:tc>
          <w:tcPr>
            <w:tcW w:w="94" w:type="dxa"/>
            <w:tcBorders>
              <w:top w:val="nil"/>
              <w:left w:val="nil"/>
              <w:right w:val="nil"/>
            </w:tcBorders>
          </w:tcPr>
          <w:p w14:paraId="38A5630D" w14:textId="77777777" w:rsidR="00FE31F5" w:rsidRPr="001775FB" w:rsidRDefault="00FE31F5" w:rsidP="00B1362E">
            <w:pPr>
              <w:spacing w:line="140" w:lineRule="exact"/>
              <w:jc w:val="center"/>
              <w:rPr>
                <w:b/>
                <w:sz w:val="14"/>
                <w:szCs w:val="14"/>
              </w:rPr>
            </w:pPr>
          </w:p>
        </w:tc>
        <w:tc>
          <w:tcPr>
            <w:tcW w:w="1133" w:type="dxa"/>
            <w:tcBorders>
              <w:top w:val="nil"/>
              <w:left w:val="nil"/>
              <w:bottom w:val="single" w:sz="4" w:space="0" w:color="auto"/>
              <w:right w:val="nil"/>
            </w:tcBorders>
            <w:shd w:val="clear" w:color="auto" w:fill="auto"/>
            <w:vAlign w:val="bottom"/>
          </w:tcPr>
          <w:p w14:paraId="3BD5B8EC" w14:textId="77777777" w:rsidR="00FE31F5" w:rsidRPr="001775FB" w:rsidRDefault="00FE31F5" w:rsidP="00B1362E">
            <w:pPr>
              <w:spacing w:line="140" w:lineRule="exact"/>
              <w:jc w:val="center"/>
              <w:rPr>
                <w:b/>
                <w:sz w:val="14"/>
                <w:szCs w:val="14"/>
              </w:rPr>
            </w:pPr>
            <w:r w:rsidRPr="001775FB">
              <w:rPr>
                <w:b/>
                <w:sz w:val="14"/>
                <w:szCs w:val="14"/>
              </w:rPr>
              <w:t>Saldo akhir/</w:t>
            </w:r>
          </w:p>
          <w:p w14:paraId="11240F5A" w14:textId="77777777" w:rsidR="00FE31F5" w:rsidRPr="001775FB" w:rsidRDefault="00FE31F5" w:rsidP="00B1362E">
            <w:pPr>
              <w:spacing w:line="140" w:lineRule="exact"/>
              <w:jc w:val="center"/>
              <w:rPr>
                <w:b/>
                <w:sz w:val="14"/>
                <w:szCs w:val="14"/>
              </w:rPr>
            </w:pPr>
            <w:r w:rsidRPr="001775FB">
              <w:rPr>
                <w:b/>
                <w:i/>
                <w:sz w:val="14"/>
                <w:szCs w:val="14"/>
              </w:rPr>
              <w:t>Ending balance</w:t>
            </w:r>
          </w:p>
        </w:tc>
        <w:tc>
          <w:tcPr>
            <w:tcW w:w="1511" w:type="dxa"/>
            <w:tcBorders>
              <w:top w:val="nil"/>
              <w:left w:val="nil"/>
              <w:bottom w:val="nil"/>
              <w:right w:val="nil"/>
            </w:tcBorders>
            <w:shd w:val="clear" w:color="auto" w:fill="auto"/>
            <w:vAlign w:val="bottom"/>
          </w:tcPr>
          <w:p w14:paraId="2F6DAC77" w14:textId="1D65CFC9" w:rsidR="00FE31F5" w:rsidRPr="001775FB" w:rsidRDefault="006B3AB6" w:rsidP="00AC2673">
            <w:pPr>
              <w:spacing w:line="140" w:lineRule="exact"/>
              <w:ind w:right="72"/>
              <w:jc w:val="right"/>
              <w:rPr>
                <w:b/>
                <w:i/>
                <w:iCs/>
                <w:sz w:val="14"/>
                <w:szCs w:val="14"/>
                <w:u w:val="single"/>
              </w:rPr>
            </w:pPr>
            <w:r>
              <w:rPr>
                <w:b/>
                <w:i/>
                <w:iCs/>
                <w:sz w:val="14"/>
                <w:szCs w:val="14"/>
                <w:u w:val="single"/>
              </w:rPr>
              <w:t xml:space="preserve">March 31, </w:t>
            </w:r>
            <w:r w:rsidR="00FE31F5" w:rsidRPr="001775FB">
              <w:rPr>
                <w:b/>
                <w:i/>
                <w:iCs/>
                <w:sz w:val="14"/>
                <w:szCs w:val="14"/>
                <w:u w:val="single"/>
              </w:rPr>
              <w:t>20</w:t>
            </w:r>
            <w:r w:rsidR="00AC2673">
              <w:rPr>
                <w:b/>
                <w:i/>
                <w:iCs/>
                <w:sz w:val="14"/>
                <w:szCs w:val="14"/>
                <w:u w:val="single"/>
              </w:rPr>
              <w:t>20</w:t>
            </w:r>
          </w:p>
        </w:tc>
      </w:tr>
      <w:tr w:rsidR="00FE31F5" w:rsidRPr="00C61D2A" w14:paraId="4A137ECF" w14:textId="77777777" w:rsidTr="003734F4">
        <w:trPr>
          <w:cantSplit/>
        </w:trPr>
        <w:tc>
          <w:tcPr>
            <w:tcW w:w="1820" w:type="dxa"/>
            <w:tcBorders>
              <w:top w:val="nil"/>
              <w:left w:val="nil"/>
              <w:right w:val="nil"/>
            </w:tcBorders>
            <w:shd w:val="clear" w:color="auto" w:fill="auto"/>
          </w:tcPr>
          <w:p w14:paraId="085070DE" w14:textId="77777777" w:rsidR="00FE31F5" w:rsidRPr="00C61D2A" w:rsidRDefault="00FE31F5" w:rsidP="00B1362E">
            <w:pPr>
              <w:ind w:left="567" w:right="71" w:hanging="141"/>
              <w:jc w:val="center"/>
              <w:rPr>
                <w:bCs w:val="0"/>
                <w:i/>
                <w:iCs/>
                <w:sz w:val="14"/>
                <w:szCs w:val="14"/>
              </w:rPr>
            </w:pPr>
          </w:p>
        </w:tc>
        <w:tc>
          <w:tcPr>
            <w:tcW w:w="1133" w:type="dxa"/>
            <w:tcBorders>
              <w:top w:val="single" w:sz="4" w:space="0" w:color="auto"/>
              <w:left w:val="nil"/>
              <w:right w:val="nil"/>
            </w:tcBorders>
            <w:shd w:val="clear" w:color="auto" w:fill="auto"/>
            <w:vAlign w:val="bottom"/>
          </w:tcPr>
          <w:p w14:paraId="1106A49B" w14:textId="77777777" w:rsidR="00FE31F5" w:rsidRPr="00C61D2A" w:rsidRDefault="00FE31F5" w:rsidP="00B1362E">
            <w:pPr>
              <w:jc w:val="right"/>
              <w:rPr>
                <w:b/>
                <w:i/>
                <w:iCs/>
                <w:sz w:val="14"/>
                <w:szCs w:val="14"/>
              </w:rPr>
            </w:pPr>
          </w:p>
        </w:tc>
        <w:tc>
          <w:tcPr>
            <w:tcW w:w="94" w:type="dxa"/>
            <w:tcBorders>
              <w:left w:val="nil"/>
              <w:right w:val="nil"/>
            </w:tcBorders>
            <w:shd w:val="clear" w:color="auto" w:fill="auto"/>
            <w:vAlign w:val="bottom"/>
          </w:tcPr>
          <w:p w14:paraId="46E58B60" w14:textId="77777777" w:rsidR="00FE31F5" w:rsidRPr="00C61D2A" w:rsidRDefault="00FE31F5" w:rsidP="00B1362E">
            <w:pPr>
              <w:jc w:val="right"/>
              <w:rPr>
                <w:b/>
                <w:i/>
                <w:iCs/>
                <w:sz w:val="14"/>
                <w:szCs w:val="14"/>
              </w:rPr>
            </w:pPr>
          </w:p>
        </w:tc>
        <w:tc>
          <w:tcPr>
            <w:tcW w:w="1047" w:type="dxa"/>
            <w:tcBorders>
              <w:top w:val="single" w:sz="4" w:space="0" w:color="auto"/>
              <w:left w:val="nil"/>
              <w:right w:val="nil"/>
            </w:tcBorders>
            <w:shd w:val="clear" w:color="auto" w:fill="auto"/>
            <w:vAlign w:val="bottom"/>
          </w:tcPr>
          <w:p w14:paraId="6F20BD23" w14:textId="77777777" w:rsidR="00FE31F5" w:rsidRPr="00C61D2A" w:rsidRDefault="00FE31F5" w:rsidP="00B1362E">
            <w:pPr>
              <w:jc w:val="right"/>
              <w:rPr>
                <w:b/>
                <w:i/>
                <w:iCs/>
                <w:sz w:val="14"/>
                <w:szCs w:val="14"/>
              </w:rPr>
            </w:pPr>
          </w:p>
        </w:tc>
        <w:tc>
          <w:tcPr>
            <w:tcW w:w="100" w:type="dxa"/>
            <w:tcBorders>
              <w:left w:val="nil"/>
              <w:right w:val="nil"/>
            </w:tcBorders>
            <w:shd w:val="clear" w:color="auto" w:fill="auto"/>
            <w:vAlign w:val="bottom"/>
          </w:tcPr>
          <w:p w14:paraId="5604CAB2" w14:textId="77777777" w:rsidR="00FE31F5" w:rsidRPr="00C61D2A" w:rsidRDefault="00FE31F5" w:rsidP="00B1362E">
            <w:pPr>
              <w:jc w:val="right"/>
              <w:rPr>
                <w:b/>
                <w:i/>
                <w:iCs/>
                <w:sz w:val="14"/>
                <w:szCs w:val="14"/>
              </w:rPr>
            </w:pPr>
          </w:p>
        </w:tc>
        <w:tc>
          <w:tcPr>
            <w:tcW w:w="1070" w:type="dxa"/>
            <w:tcBorders>
              <w:top w:val="single" w:sz="4" w:space="0" w:color="auto"/>
              <w:left w:val="nil"/>
              <w:right w:val="nil"/>
            </w:tcBorders>
            <w:shd w:val="clear" w:color="auto" w:fill="auto"/>
            <w:vAlign w:val="bottom"/>
          </w:tcPr>
          <w:p w14:paraId="6C2A9600" w14:textId="77777777" w:rsidR="00FE31F5" w:rsidRPr="00C61D2A" w:rsidRDefault="00FE31F5" w:rsidP="00B1362E">
            <w:pPr>
              <w:jc w:val="right"/>
              <w:rPr>
                <w:b/>
                <w:i/>
                <w:iCs/>
                <w:sz w:val="14"/>
                <w:szCs w:val="14"/>
              </w:rPr>
            </w:pPr>
          </w:p>
        </w:tc>
        <w:tc>
          <w:tcPr>
            <w:tcW w:w="94" w:type="dxa"/>
            <w:tcBorders>
              <w:left w:val="nil"/>
              <w:right w:val="nil"/>
            </w:tcBorders>
            <w:shd w:val="clear" w:color="auto" w:fill="auto"/>
            <w:vAlign w:val="bottom"/>
          </w:tcPr>
          <w:p w14:paraId="38C968D9" w14:textId="77777777" w:rsidR="00FE31F5" w:rsidRPr="00C61D2A" w:rsidRDefault="00FE31F5" w:rsidP="00B1362E">
            <w:pPr>
              <w:jc w:val="right"/>
              <w:rPr>
                <w:b/>
                <w:i/>
                <w:iCs/>
                <w:sz w:val="14"/>
                <w:szCs w:val="14"/>
              </w:rPr>
            </w:pPr>
          </w:p>
        </w:tc>
        <w:tc>
          <w:tcPr>
            <w:tcW w:w="1101" w:type="dxa"/>
            <w:tcBorders>
              <w:top w:val="single" w:sz="4" w:space="0" w:color="auto"/>
              <w:left w:val="nil"/>
              <w:right w:val="nil"/>
            </w:tcBorders>
          </w:tcPr>
          <w:p w14:paraId="21C8276C" w14:textId="77777777" w:rsidR="00FE31F5" w:rsidRPr="00C61D2A" w:rsidRDefault="00FE31F5" w:rsidP="00B1362E">
            <w:pPr>
              <w:jc w:val="right"/>
              <w:rPr>
                <w:b/>
                <w:i/>
                <w:iCs/>
                <w:sz w:val="14"/>
                <w:szCs w:val="14"/>
              </w:rPr>
            </w:pPr>
          </w:p>
        </w:tc>
        <w:tc>
          <w:tcPr>
            <w:tcW w:w="94" w:type="dxa"/>
            <w:tcBorders>
              <w:left w:val="nil"/>
              <w:right w:val="nil"/>
            </w:tcBorders>
          </w:tcPr>
          <w:p w14:paraId="169D24DE" w14:textId="77777777" w:rsidR="00FE31F5" w:rsidRPr="00C61D2A" w:rsidRDefault="00FE31F5" w:rsidP="00B1362E">
            <w:pPr>
              <w:jc w:val="right"/>
              <w:rPr>
                <w:b/>
                <w:i/>
                <w:iCs/>
                <w:sz w:val="14"/>
                <w:szCs w:val="14"/>
              </w:rPr>
            </w:pPr>
          </w:p>
        </w:tc>
        <w:tc>
          <w:tcPr>
            <w:tcW w:w="1133" w:type="dxa"/>
            <w:tcBorders>
              <w:top w:val="single" w:sz="4" w:space="0" w:color="auto"/>
              <w:left w:val="nil"/>
              <w:right w:val="nil"/>
            </w:tcBorders>
            <w:shd w:val="clear" w:color="auto" w:fill="auto"/>
            <w:vAlign w:val="bottom"/>
          </w:tcPr>
          <w:p w14:paraId="259C08D4" w14:textId="77777777" w:rsidR="00FE31F5" w:rsidRPr="00C61D2A" w:rsidRDefault="00FE31F5" w:rsidP="00B1362E">
            <w:pPr>
              <w:jc w:val="right"/>
              <w:rPr>
                <w:b/>
                <w:i/>
                <w:iCs/>
                <w:sz w:val="14"/>
                <w:szCs w:val="14"/>
              </w:rPr>
            </w:pPr>
          </w:p>
        </w:tc>
        <w:tc>
          <w:tcPr>
            <w:tcW w:w="1511" w:type="dxa"/>
            <w:tcBorders>
              <w:top w:val="nil"/>
              <w:left w:val="nil"/>
              <w:right w:val="nil"/>
            </w:tcBorders>
            <w:shd w:val="clear" w:color="auto" w:fill="auto"/>
          </w:tcPr>
          <w:p w14:paraId="6E0B7EFC" w14:textId="77777777" w:rsidR="00FE31F5" w:rsidRPr="00C61D2A" w:rsidRDefault="00FE31F5" w:rsidP="00B1362E">
            <w:pPr>
              <w:tabs>
                <w:tab w:val="left" w:pos="1410"/>
              </w:tabs>
              <w:ind w:right="72"/>
              <w:jc w:val="center"/>
              <w:rPr>
                <w:b/>
                <w:i/>
                <w:iCs/>
                <w:sz w:val="14"/>
                <w:szCs w:val="14"/>
              </w:rPr>
            </w:pPr>
          </w:p>
        </w:tc>
      </w:tr>
      <w:tr w:rsidR="00FE31F5" w:rsidRPr="001775FB" w14:paraId="3DC070E0" w14:textId="77777777" w:rsidTr="003734F4">
        <w:trPr>
          <w:cantSplit/>
        </w:trPr>
        <w:tc>
          <w:tcPr>
            <w:tcW w:w="1820" w:type="dxa"/>
            <w:tcBorders>
              <w:top w:val="nil"/>
              <w:left w:val="nil"/>
              <w:bottom w:val="nil"/>
              <w:right w:val="nil"/>
            </w:tcBorders>
            <w:shd w:val="clear" w:color="auto" w:fill="auto"/>
            <w:vAlign w:val="bottom"/>
          </w:tcPr>
          <w:p w14:paraId="68F4AF60" w14:textId="77777777" w:rsidR="00FE31F5" w:rsidRPr="001775FB" w:rsidRDefault="00FE31F5" w:rsidP="00B1362E">
            <w:pPr>
              <w:ind w:left="567" w:right="17" w:hanging="141"/>
              <w:rPr>
                <w:bCs w:val="0"/>
                <w:sz w:val="14"/>
                <w:szCs w:val="14"/>
                <w:u w:val="single"/>
              </w:rPr>
            </w:pPr>
            <w:r w:rsidRPr="001775FB">
              <w:rPr>
                <w:b/>
                <w:sz w:val="14"/>
                <w:szCs w:val="14"/>
                <w:u w:val="single"/>
              </w:rPr>
              <w:t xml:space="preserve">Biaya Perolehan </w:t>
            </w:r>
          </w:p>
        </w:tc>
        <w:tc>
          <w:tcPr>
            <w:tcW w:w="1133" w:type="dxa"/>
            <w:tcBorders>
              <w:top w:val="nil"/>
              <w:left w:val="nil"/>
              <w:bottom w:val="nil"/>
              <w:right w:val="nil"/>
            </w:tcBorders>
            <w:shd w:val="clear" w:color="auto" w:fill="auto"/>
            <w:vAlign w:val="bottom"/>
          </w:tcPr>
          <w:p w14:paraId="0DF8F076" w14:textId="77777777" w:rsidR="00FE31F5" w:rsidRPr="001775FB" w:rsidRDefault="00FE31F5" w:rsidP="00C61D2A">
            <w:pPr>
              <w:ind w:right="28"/>
              <w:jc w:val="right"/>
              <w:rPr>
                <w:bCs w:val="0"/>
                <w:sz w:val="12"/>
                <w:szCs w:val="12"/>
              </w:rPr>
            </w:pPr>
          </w:p>
        </w:tc>
        <w:tc>
          <w:tcPr>
            <w:tcW w:w="94" w:type="dxa"/>
            <w:tcBorders>
              <w:top w:val="nil"/>
              <w:left w:val="nil"/>
              <w:bottom w:val="nil"/>
              <w:right w:val="nil"/>
            </w:tcBorders>
            <w:shd w:val="clear" w:color="auto" w:fill="auto"/>
            <w:vAlign w:val="bottom"/>
          </w:tcPr>
          <w:p w14:paraId="222D98A4" w14:textId="77777777" w:rsidR="00FE31F5" w:rsidRPr="001775FB" w:rsidRDefault="00FE31F5" w:rsidP="00C61D2A">
            <w:pPr>
              <w:jc w:val="right"/>
              <w:rPr>
                <w:bCs w:val="0"/>
                <w:sz w:val="12"/>
                <w:szCs w:val="12"/>
              </w:rPr>
            </w:pPr>
          </w:p>
        </w:tc>
        <w:tc>
          <w:tcPr>
            <w:tcW w:w="1047" w:type="dxa"/>
            <w:tcBorders>
              <w:top w:val="nil"/>
              <w:left w:val="nil"/>
              <w:bottom w:val="nil"/>
              <w:right w:val="nil"/>
            </w:tcBorders>
            <w:shd w:val="clear" w:color="auto" w:fill="auto"/>
            <w:vAlign w:val="bottom"/>
          </w:tcPr>
          <w:p w14:paraId="4A4580C7" w14:textId="77777777" w:rsidR="00FE31F5" w:rsidRPr="001775FB" w:rsidRDefault="00FE31F5" w:rsidP="00C61D2A">
            <w:pPr>
              <w:jc w:val="right"/>
              <w:rPr>
                <w:bCs w:val="0"/>
                <w:sz w:val="12"/>
                <w:szCs w:val="12"/>
              </w:rPr>
            </w:pPr>
          </w:p>
        </w:tc>
        <w:tc>
          <w:tcPr>
            <w:tcW w:w="100" w:type="dxa"/>
            <w:tcBorders>
              <w:top w:val="nil"/>
              <w:left w:val="nil"/>
              <w:bottom w:val="nil"/>
              <w:right w:val="nil"/>
            </w:tcBorders>
            <w:shd w:val="clear" w:color="auto" w:fill="auto"/>
            <w:vAlign w:val="bottom"/>
          </w:tcPr>
          <w:p w14:paraId="676A2AC8" w14:textId="77777777" w:rsidR="00FE31F5" w:rsidRPr="001775FB" w:rsidRDefault="00FE31F5" w:rsidP="00C61D2A">
            <w:pPr>
              <w:jc w:val="right"/>
              <w:rPr>
                <w:bCs w:val="0"/>
                <w:sz w:val="12"/>
                <w:szCs w:val="12"/>
              </w:rPr>
            </w:pPr>
          </w:p>
        </w:tc>
        <w:tc>
          <w:tcPr>
            <w:tcW w:w="1070" w:type="dxa"/>
            <w:tcBorders>
              <w:top w:val="nil"/>
              <w:left w:val="nil"/>
              <w:bottom w:val="nil"/>
              <w:right w:val="nil"/>
            </w:tcBorders>
            <w:shd w:val="clear" w:color="auto" w:fill="auto"/>
            <w:vAlign w:val="bottom"/>
          </w:tcPr>
          <w:p w14:paraId="0A6304B1" w14:textId="77777777" w:rsidR="00FE31F5" w:rsidRPr="001775FB" w:rsidRDefault="00FE31F5" w:rsidP="00C61D2A">
            <w:pPr>
              <w:jc w:val="right"/>
              <w:rPr>
                <w:bCs w:val="0"/>
                <w:sz w:val="12"/>
                <w:szCs w:val="12"/>
              </w:rPr>
            </w:pPr>
          </w:p>
        </w:tc>
        <w:tc>
          <w:tcPr>
            <w:tcW w:w="94" w:type="dxa"/>
            <w:tcBorders>
              <w:top w:val="nil"/>
              <w:left w:val="nil"/>
              <w:bottom w:val="nil"/>
              <w:right w:val="nil"/>
            </w:tcBorders>
            <w:shd w:val="clear" w:color="auto" w:fill="auto"/>
            <w:vAlign w:val="bottom"/>
          </w:tcPr>
          <w:p w14:paraId="13B7BFB0" w14:textId="77777777" w:rsidR="00FE31F5" w:rsidRPr="001775FB" w:rsidRDefault="00FE31F5" w:rsidP="00C61D2A">
            <w:pPr>
              <w:jc w:val="right"/>
              <w:rPr>
                <w:bCs w:val="0"/>
                <w:sz w:val="12"/>
                <w:szCs w:val="12"/>
              </w:rPr>
            </w:pPr>
          </w:p>
        </w:tc>
        <w:tc>
          <w:tcPr>
            <w:tcW w:w="1101" w:type="dxa"/>
            <w:tcBorders>
              <w:top w:val="nil"/>
              <w:left w:val="nil"/>
              <w:bottom w:val="nil"/>
              <w:right w:val="nil"/>
            </w:tcBorders>
            <w:vAlign w:val="bottom"/>
          </w:tcPr>
          <w:p w14:paraId="0B417E0F" w14:textId="77777777" w:rsidR="00FE31F5" w:rsidRPr="001775FB" w:rsidRDefault="00FE31F5" w:rsidP="00C61D2A">
            <w:pPr>
              <w:jc w:val="right"/>
              <w:rPr>
                <w:bCs w:val="0"/>
                <w:sz w:val="12"/>
                <w:szCs w:val="12"/>
              </w:rPr>
            </w:pPr>
          </w:p>
        </w:tc>
        <w:tc>
          <w:tcPr>
            <w:tcW w:w="94" w:type="dxa"/>
            <w:tcBorders>
              <w:left w:val="nil"/>
              <w:bottom w:val="nil"/>
              <w:right w:val="nil"/>
            </w:tcBorders>
            <w:vAlign w:val="bottom"/>
          </w:tcPr>
          <w:p w14:paraId="6A8DC4FC" w14:textId="77777777" w:rsidR="00FE31F5" w:rsidRPr="001775FB" w:rsidRDefault="00FE31F5" w:rsidP="00C61D2A">
            <w:pPr>
              <w:jc w:val="right"/>
              <w:rPr>
                <w:bCs w:val="0"/>
                <w:sz w:val="12"/>
                <w:szCs w:val="12"/>
              </w:rPr>
            </w:pPr>
          </w:p>
        </w:tc>
        <w:tc>
          <w:tcPr>
            <w:tcW w:w="1133" w:type="dxa"/>
            <w:tcBorders>
              <w:top w:val="nil"/>
              <w:left w:val="nil"/>
              <w:bottom w:val="nil"/>
              <w:right w:val="nil"/>
            </w:tcBorders>
            <w:shd w:val="clear" w:color="auto" w:fill="auto"/>
            <w:vAlign w:val="bottom"/>
          </w:tcPr>
          <w:p w14:paraId="5BCAF8F2" w14:textId="77777777" w:rsidR="00FE31F5" w:rsidRPr="001775FB" w:rsidRDefault="00FE31F5" w:rsidP="00C61D2A">
            <w:pPr>
              <w:jc w:val="right"/>
              <w:rPr>
                <w:bCs w:val="0"/>
                <w:sz w:val="12"/>
                <w:szCs w:val="12"/>
              </w:rPr>
            </w:pPr>
          </w:p>
        </w:tc>
        <w:tc>
          <w:tcPr>
            <w:tcW w:w="1511" w:type="dxa"/>
            <w:tcBorders>
              <w:top w:val="nil"/>
              <w:left w:val="nil"/>
              <w:bottom w:val="nil"/>
              <w:right w:val="nil"/>
            </w:tcBorders>
            <w:shd w:val="clear" w:color="auto" w:fill="auto"/>
            <w:vAlign w:val="bottom"/>
          </w:tcPr>
          <w:p w14:paraId="14BD505B" w14:textId="77777777" w:rsidR="00FE31F5" w:rsidRPr="001775FB" w:rsidRDefault="00FE31F5" w:rsidP="00B1362E">
            <w:pPr>
              <w:tabs>
                <w:tab w:val="left" w:pos="1360"/>
                <w:tab w:val="left" w:pos="1410"/>
              </w:tabs>
              <w:ind w:right="72"/>
              <w:jc w:val="right"/>
              <w:rPr>
                <w:i/>
                <w:iCs/>
                <w:sz w:val="14"/>
                <w:szCs w:val="14"/>
                <w:u w:val="single"/>
                <w:lang w:val="id-ID"/>
              </w:rPr>
            </w:pPr>
            <w:r w:rsidRPr="001775FB">
              <w:rPr>
                <w:b/>
                <w:i/>
                <w:iCs/>
                <w:sz w:val="14"/>
                <w:szCs w:val="14"/>
                <w:u w:val="single"/>
              </w:rPr>
              <w:t>Cost</w:t>
            </w:r>
          </w:p>
        </w:tc>
      </w:tr>
      <w:tr w:rsidR="00FE31F5" w:rsidRPr="001775FB" w14:paraId="79B1E0B9" w14:textId="77777777" w:rsidTr="003734F4">
        <w:trPr>
          <w:cantSplit/>
        </w:trPr>
        <w:tc>
          <w:tcPr>
            <w:tcW w:w="1820" w:type="dxa"/>
            <w:tcBorders>
              <w:top w:val="nil"/>
              <w:left w:val="nil"/>
              <w:bottom w:val="nil"/>
              <w:right w:val="nil"/>
            </w:tcBorders>
            <w:shd w:val="clear" w:color="auto" w:fill="auto"/>
            <w:vAlign w:val="bottom"/>
          </w:tcPr>
          <w:p w14:paraId="1AB71599" w14:textId="77777777" w:rsidR="00FE31F5" w:rsidRPr="001775FB" w:rsidRDefault="00FE31F5" w:rsidP="00B1362E">
            <w:pPr>
              <w:ind w:left="567" w:right="17" w:hanging="141"/>
              <w:rPr>
                <w:b/>
                <w:sz w:val="14"/>
                <w:szCs w:val="14"/>
              </w:rPr>
            </w:pPr>
            <w:r w:rsidRPr="001775FB">
              <w:rPr>
                <w:b/>
                <w:sz w:val="14"/>
                <w:szCs w:val="14"/>
              </w:rPr>
              <w:t>Pemilikan langsung</w:t>
            </w:r>
          </w:p>
        </w:tc>
        <w:tc>
          <w:tcPr>
            <w:tcW w:w="1133" w:type="dxa"/>
            <w:tcBorders>
              <w:top w:val="nil"/>
              <w:left w:val="nil"/>
              <w:bottom w:val="nil"/>
              <w:right w:val="nil"/>
            </w:tcBorders>
            <w:shd w:val="clear" w:color="auto" w:fill="auto"/>
            <w:vAlign w:val="bottom"/>
          </w:tcPr>
          <w:p w14:paraId="7CC44859" w14:textId="77777777" w:rsidR="00FE31F5" w:rsidRPr="001775FB" w:rsidRDefault="00FE31F5" w:rsidP="00C61D2A">
            <w:pPr>
              <w:ind w:right="28"/>
              <w:jc w:val="right"/>
              <w:rPr>
                <w:bCs w:val="0"/>
                <w:sz w:val="12"/>
                <w:szCs w:val="12"/>
              </w:rPr>
            </w:pPr>
          </w:p>
        </w:tc>
        <w:tc>
          <w:tcPr>
            <w:tcW w:w="94" w:type="dxa"/>
            <w:tcBorders>
              <w:top w:val="nil"/>
              <w:left w:val="nil"/>
              <w:bottom w:val="nil"/>
              <w:right w:val="nil"/>
            </w:tcBorders>
            <w:shd w:val="clear" w:color="auto" w:fill="auto"/>
            <w:vAlign w:val="bottom"/>
          </w:tcPr>
          <w:p w14:paraId="11188043" w14:textId="77777777" w:rsidR="00FE31F5" w:rsidRPr="001775FB" w:rsidRDefault="00FE31F5" w:rsidP="00C61D2A">
            <w:pPr>
              <w:jc w:val="right"/>
              <w:rPr>
                <w:bCs w:val="0"/>
                <w:sz w:val="12"/>
                <w:szCs w:val="12"/>
              </w:rPr>
            </w:pPr>
          </w:p>
        </w:tc>
        <w:tc>
          <w:tcPr>
            <w:tcW w:w="1047" w:type="dxa"/>
            <w:tcBorders>
              <w:top w:val="nil"/>
              <w:left w:val="nil"/>
              <w:bottom w:val="nil"/>
              <w:right w:val="nil"/>
            </w:tcBorders>
            <w:shd w:val="clear" w:color="auto" w:fill="auto"/>
            <w:vAlign w:val="bottom"/>
          </w:tcPr>
          <w:p w14:paraId="73FD3C77" w14:textId="77777777" w:rsidR="00FE31F5" w:rsidRPr="001775FB" w:rsidRDefault="00FE31F5" w:rsidP="00C61D2A">
            <w:pPr>
              <w:jc w:val="right"/>
              <w:rPr>
                <w:bCs w:val="0"/>
                <w:sz w:val="12"/>
                <w:szCs w:val="12"/>
              </w:rPr>
            </w:pPr>
          </w:p>
        </w:tc>
        <w:tc>
          <w:tcPr>
            <w:tcW w:w="100" w:type="dxa"/>
            <w:tcBorders>
              <w:top w:val="nil"/>
              <w:left w:val="nil"/>
              <w:bottom w:val="nil"/>
              <w:right w:val="nil"/>
            </w:tcBorders>
            <w:shd w:val="clear" w:color="auto" w:fill="auto"/>
            <w:vAlign w:val="bottom"/>
          </w:tcPr>
          <w:p w14:paraId="55058EED" w14:textId="77777777" w:rsidR="00FE31F5" w:rsidRPr="001775FB" w:rsidRDefault="00FE31F5" w:rsidP="00C61D2A">
            <w:pPr>
              <w:jc w:val="right"/>
              <w:rPr>
                <w:bCs w:val="0"/>
                <w:sz w:val="12"/>
                <w:szCs w:val="12"/>
              </w:rPr>
            </w:pPr>
          </w:p>
        </w:tc>
        <w:tc>
          <w:tcPr>
            <w:tcW w:w="1070" w:type="dxa"/>
            <w:tcBorders>
              <w:top w:val="nil"/>
              <w:left w:val="nil"/>
              <w:bottom w:val="nil"/>
              <w:right w:val="nil"/>
            </w:tcBorders>
            <w:shd w:val="clear" w:color="auto" w:fill="auto"/>
            <w:vAlign w:val="bottom"/>
          </w:tcPr>
          <w:p w14:paraId="7943B8AE" w14:textId="77777777" w:rsidR="00FE31F5" w:rsidRPr="001775FB" w:rsidRDefault="00FE31F5" w:rsidP="00C61D2A">
            <w:pPr>
              <w:jc w:val="right"/>
              <w:rPr>
                <w:bCs w:val="0"/>
                <w:sz w:val="12"/>
                <w:szCs w:val="12"/>
              </w:rPr>
            </w:pPr>
          </w:p>
        </w:tc>
        <w:tc>
          <w:tcPr>
            <w:tcW w:w="94" w:type="dxa"/>
            <w:tcBorders>
              <w:top w:val="nil"/>
              <w:left w:val="nil"/>
              <w:bottom w:val="nil"/>
              <w:right w:val="nil"/>
            </w:tcBorders>
            <w:shd w:val="clear" w:color="auto" w:fill="auto"/>
            <w:vAlign w:val="bottom"/>
          </w:tcPr>
          <w:p w14:paraId="3610F741" w14:textId="77777777" w:rsidR="00FE31F5" w:rsidRPr="001775FB" w:rsidRDefault="00FE31F5" w:rsidP="00C61D2A">
            <w:pPr>
              <w:jc w:val="right"/>
              <w:rPr>
                <w:bCs w:val="0"/>
                <w:sz w:val="12"/>
                <w:szCs w:val="12"/>
              </w:rPr>
            </w:pPr>
          </w:p>
        </w:tc>
        <w:tc>
          <w:tcPr>
            <w:tcW w:w="1101" w:type="dxa"/>
            <w:tcBorders>
              <w:top w:val="nil"/>
              <w:left w:val="nil"/>
              <w:bottom w:val="nil"/>
              <w:right w:val="nil"/>
            </w:tcBorders>
            <w:vAlign w:val="bottom"/>
          </w:tcPr>
          <w:p w14:paraId="43EA3ED2" w14:textId="77777777" w:rsidR="00FE31F5" w:rsidRPr="001775FB" w:rsidRDefault="00FE31F5" w:rsidP="00C61D2A">
            <w:pPr>
              <w:jc w:val="right"/>
              <w:rPr>
                <w:bCs w:val="0"/>
                <w:sz w:val="12"/>
                <w:szCs w:val="12"/>
              </w:rPr>
            </w:pPr>
          </w:p>
        </w:tc>
        <w:tc>
          <w:tcPr>
            <w:tcW w:w="94" w:type="dxa"/>
            <w:tcBorders>
              <w:left w:val="nil"/>
              <w:bottom w:val="nil"/>
              <w:right w:val="nil"/>
            </w:tcBorders>
            <w:vAlign w:val="bottom"/>
          </w:tcPr>
          <w:p w14:paraId="0C78DFB3" w14:textId="77777777" w:rsidR="00FE31F5" w:rsidRPr="001775FB" w:rsidRDefault="00FE31F5" w:rsidP="00C61D2A">
            <w:pPr>
              <w:jc w:val="right"/>
              <w:rPr>
                <w:bCs w:val="0"/>
                <w:sz w:val="12"/>
                <w:szCs w:val="12"/>
              </w:rPr>
            </w:pPr>
          </w:p>
        </w:tc>
        <w:tc>
          <w:tcPr>
            <w:tcW w:w="1133" w:type="dxa"/>
            <w:tcBorders>
              <w:top w:val="nil"/>
              <w:left w:val="nil"/>
              <w:bottom w:val="nil"/>
              <w:right w:val="nil"/>
            </w:tcBorders>
            <w:shd w:val="clear" w:color="auto" w:fill="auto"/>
            <w:vAlign w:val="bottom"/>
          </w:tcPr>
          <w:p w14:paraId="142A8E9A" w14:textId="77777777" w:rsidR="00FE31F5" w:rsidRPr="001775FB" w:rsidRDefault="00FE31F5" w:rsidP="00C61D2A">
            <w:pPr>
              <w:jc w:val="right"/>
              <w:rPr>
                <w:bCs w:val="0"/>
                <w:sz w:val="12"/>
                <w:szCs w:val="12"/>
              </w:rPr>
            </w:pPr>
          </w:p>
        </w:tc>
        <w:tc>
          <w:tcPr>
            <w:tcW w:w="1511" w:type="dxa"/>
            <w:tcBorders>
              <w:top w:val="nil"/>
              <w:left w:val="nil"/>
              <w:bottom w:val="nil"/>
              <w:right w:val="nil"/>
            </w:tcBorders>
            <w:shd w:val="clear" w:color="auto" w:fill="auto"/>
            <w:vAlign w:val="bottom"/>
          </w:tcPr>
          <w:p w14:paraId="3FAD62BE" w14:textId="77777777" w:rsidR="00FE31F5" w:rsidRPr="001775FB" w:rsidRDefault="00FE31F5" w:rsidP="00B1362E">
            <w:pPr>
              <w:tabs>
                <w:tab w:val="left" w:pos="1360"/>
                <w:tab w:val="left" w:pos="1410"/>
              </w:tabs>
              <w:ind w:right="72"/>
              <w:jc w:val="right"/>
              <w:rPr>
                <w:b/>
                <w:i/>
                <w:iCs/>
                <w:sz w:val="14"/>
                <w:szCs w:val="14"/>
              </w:rPr>
            </w:pPr>
            <w:r w:rsidRPr="001775FB">
              <w:rPr>
                <w:b/>
                <w:i/>
                <w:iCs/>
                <w:sz w:val="14"/>
                <w:szCs w:val="14"/>
              </w:rPr>
              <w:t>Direct ownership</w:t>
            </w:r>
          </w:p>
        </w:tc>
      </w:tr>
      <w:tr w:rsidR="003734F4" w:rsidRPr="001775FB" w14:paraId="0A4FE7E1" w14:textId="77777777" w:rsidTr="003734F4">
        <w:trPr>
          <w:cantSplit/>
        </w:trPr>
        <w:tc>
          <w:tcPr>
            <w:tcW w:w="1820" w:type="dxa"/>
            <w:tcBorders>
              <w:top w:val="nil"/>
              <w:left w:val="nil"/>
              <w:bottom w:val="nil"/>
              <w:right w:val="nil"/>
            </w:tcBorders>
            <w:shd w:val="clear" w:color="auto" w:fill="auto"/>
            <w:vAlign w:val="bottom"/>
          </w:tcPr>
          <w:p w14:paraId="380700E9" w14:textId="77777777" w:rsidR="003734F4" w:rsidRPr="001775FB" w:rsidRDefault="003734F4" w:rsidP="003734F4">
            <w:pPr>
              <w:spacing w:line="160" w:lineRule="exact"/>
              <w:ind w:left="567" w:right="17" w:hanging="141"/>
              <w:rPr>
                <w:bCs w:val="0"/>
                <w:sz w:val="14"/>
                <w:szCs w:val="14"/>
              </w:rPr>
            </w:pPr>
            <w:r w:rsidRPr="001775FB">
              <w:rPr>
                <w:bCs w:val="0"/>
                <w:sz w:val="14"/>
                <w:szCs w:val="14"/>
              </w:rPr>
              <w:t>Tanah</w:t>
            </w:r>
          </w:p>
        </w:tc>
        <w:tc>
          <w:tcPr>
            <w:tcW w:w="1133" w:type="dxa"/>
            <w:tcBorders>
              <w:top w:val="nil"/>
              <w:left w:val="nil"/>
              <w:right w:val="nil"/>
            </w:tcBorders>
            <w:shd w:val="clear" w:color="auto" w:fill="auto"/>
            <w:vAlign w:val="bottom"/>
          </w:tcPr>
          <w:p w14:paraId="7FBAAD1A" w14:textId="49B79E57" w:rsidR="003734F4" w:rsidRPr="00EF4DEE" w:rsidRDefault="003734F4" w:rsidP="003734F4">
            <w:pPr>
              <w:spacing w:line="160" w:lineRule="exact"/>
              <w:ind w:left="-57" w:right="28"/>
              <w:jc w:val="right"/>
              <w:rPr>
                <w:bCs w:val="0"/>
                <w:sz w:val="12"/>
                <w:szCs w:val="12"/>
              </w:rPr>
            </w:pPr>
            <w:r w:rsidRPr="00EF4DEE">
              <w:rPr>
                <w:bCs w:val="0"/>
                <w:sz w:val="12"/>
                <w:szCs w:val="12"/>
              </w:rPr>
              <w:t>707.674.223.697</w:t>
            </w:r>
          </w:p>
        </w:tc>
        <w:tc>
          <w:tcPr>
            <w:tcW w:w="94" w:type="dxa"/>
            <w:tcBorders>
              <w:top w:val="nil"/>
              <w:left w:val="nil"/>
              <w:right w:val="nil"/>
            </w:tcBorders>
            <w:shd w:val="clear" w:color="auto" w:fill="auto"/>
            <w:vAlign w:val="bottom"/>
          </w:tcPr>
          <w:p w14:paraId="378FC312" w14:textId="77777777" w:rsidR="003734F4" w:rsidRPr="00EF4DEE" w:rsidRDefault="003734F4" w:rsidP="003734F4">
            <w:pPr>
              <w:spacing w:line="160" w:lineRule="exact"/>
              <w:ind w:right="18"/>
              <w:jc w:val="right"/>
              <w:rPr>
                <w:bCs w:val="0"/>
                <w:sz w:val="12"/>
                <w:szCs w:val="12"/>
              </w:rPr>
            </w:pPr>
          </w:p>
        </w:tc>
        <w:tc>
          <w:tcPr>
            <w:tcW w:w="1047" w:type="dxa"/>
            <w:tcBorders>
              <w:top w:val="nil"/>
              <w:left w:val="nil"/>
              <w:right w:val="nil"/>
            </w:tcBorders>
            <w:shd w:val="clear" w:color="auto" w:fill="auto"/>
            <w:vAlign w:val="bottom"/>
          </w:tcPr>
          <w:p w14:paraId="213B5059" w14:textId="7C88F78A" w:rsidR="003734F4" w:rsidRPr="00EF4DEE" w:rsidRDefault="00071C5D" w:rsidP="003734F4">
            <w:pPr>
              <w:spacing w:line="160" w:lineRule="exact"/>
              <w:ind w:right="57"/>
              <w:jc w:val="right"/>
              <w:rPr>
                <w:bCs w:val="0"/>
                <w:sz w:val="12"/>
                <w:szCs w:val="12"/>
              </w:rPr>
            </w:pPr>
            <w:r>
              <w:rPr>
                <w:bCs w:val="0"/>
                <w:sz w:val="12"/>
                <w:szCs w:val="12"/>
              </w:rPr>
              <w:t>-</w:t>
            </w:r>
          </w:p>
        </w:tc>
        <w:tc>
          <w:tcPr>
            <w:tcW w:w="100" w:type="dxa"/>
            <w:tcBorders>
              <w:top w:val="nil"/>
              <w:left w:val="nil"/>
              <w:right w:val="nil"/>
            </w:tcBorders>
            <w:shd w:val="clear" w:color="auto" w:fill="auto"/>
            <w:vAlign w:val="bottom"/>
          </w:tcPr>
          <w:p w14:paraId="7B8632C1" w14:textId="77777777" w:rsidR="003734F4" w:rsidRPr="00EF4DEE" w:rsidRDefault="003734F4" w:rsidP="003734F4">
            <w:pPr>
              <w:spacing w:line="160" w:lineRule="exact"/>
              <w:ind w:right="18"/>
              <w:jc w:val="right"/>
              <w:rPr>
                <w:bCs w:val="0"/>
                <w:sz w:val="12"/>
                <w:szCs w:val="12"/>
              </w:rPr>
            </w:pPr>
          </w:p>
        </w:tc>
        <w:tc>
          <w:tcPr>
            <w:tcW w:w="1070" w:type="dxa"/>
            <w:tcBorders>
              <w:top w:val="nil"/>
              <w:left w:val="nil"/>
              <w:right w:val="nil"/>
            </w:tcBorders>
            <w:shd w:val="clear" w:color="auto" w:fill="auto"/>
          </w:tcPr>
          <w:p w14:paraId="47D9A809" w14:textId="2D8D5867" w:rsidR="003734F4" w:rsidRPr="00EF4DEE" w:rsidRDefault="00071C5D" w:rsidP="003734F4">
            <w:pPr>
              <w:spacing w:line="160" w:lineRule="exact"/>
              <w:ind w:right="28"/>
              <w:jc w:val="right"/>
              <w:rPr>
                <w:bCs w:val="0"/>
                <w:sz w:val="12"/>
                <w:szCs w:val="12"/>
              </w:rPr>
            </w:pPr>
            <w:r>
              <w:rPr>
                <w:bCs w:val="0"/>
                <w:sz w:val="12"/>
                <w:szCs w:val="12"/>
              </w:rPr>
              <w:t>-</w:t>
            </w:r>
          </w:p>
        </w:tc>
        <w:tc>
          <w:tcPr>
            <w:tcW w:w="94" w:type="dxa"/>
            <w:tcBorders>
              <w:top w:val="nil"/>
              <w:left w:val="nil"/>
              <w:right w:val="nil"/>
            </w:tcBorders>
            <w:shd w:val="clear" w:color="auto" w:fill="auto"/>
            <w:vAlign w:val="bottom"/>
          </w:tcPr>
          <w:p w14:paraId="04103977" w14:textId="77777777" w:rsidR="003734F4" w:rsidRPr="00EF4DEE" w:rsidRDefault="003734F4" w:rsidP="003734F4">
            <w:pPr>
              <w:spacing w:line="160" w:lineRule="exact"/>
              <w:ind w:right="28"/>
              <w:jc w:val="right"/>
              <w:rPr>
                <w:bCs w:val="0"/>
                <w:sz w:val="12"/>
                <w:szCs w:val="12"/>
              </w:rPr>
            </w:pPr>
          </w:p>
        </w:tc>
        <w:tc>
          <w:tcPr>
            <w:tcW w:w="1101" w:type="dxa"/>
            <w:tcBorders>
              <w:top w:val="nil"/>
              <w:left w:val="nil"/>
              <w:right w:val="nil"/>
            </w:tcBorders>
            <w:vAlign w:val="bottom"/>
          </w:tcPr>
          <w:p w14:paraId="7D7935AF" w14:textId="22853738" w:rsidR="003734F4" w:rsidRPr="00071C5D" w:rsidRDefault="00071C5D" w:rsidP="003734F4">
            <w:pPr>
              <w:spacing w:line="160" w:lineRule="exact"/>
              <w:ind w:left="-57" w:right="28"/>
              <w:jc w:val="right"/>
              <w:rPr>
                <w:bCs w:val="0"/>
                <w:sz w:val="12"/>
                <w:szCs w:val="12"/>
              </w:rPr>
            </w:pPr>
            <w:r>
              <w:rPr>
                <w:bCs w:val="0"/>
                <w:sz w:val="12"/>
                <w:szCs w:val="12"/>
              </w:rPr>
              <w:t>-</w:t>
            </w:r>
          </w:p>
        </w:tc>
        <w:tc>
          <w:tcPr>
            <w:tcW w:w="94" w:type="dxa"/>
            <w:tcBorders>
              <w:top w:val="nil"/>
              <w:left w:val="nil"/>
              <w:right w:val="nil"/>
            </w:tcBorders>
            <w:vAlign w:val="bottom"/>
          </w:tcPr>
          <w:p w14:paraId="2E0D8844" w14:textId="77777777" w:rsidR="003734F4" w:rsidRPr="00EF4DEE" w:rsidRDefault="003734F4" w:rsidP="003734F4">
            <w:pPr>
              <w:spacing w:line="160" w:lineRule="exact"/>
              <w:ind w:left="-57" w:right="28"/>
              <w:jc w:val="right"/>
              <w:rPr>
                <w:bCs w:val="0"/>
                <w:sz w:val="12"/>
                <w:szCs w:val="12"/>
              </w:rPr>
            </w:pPr>
          </w:p>
        </w:tc>
        <w:tc>
          <w:tcPr>
            <w:tcW w:w="1133" w:type="dxa"/>
            <w:tcBorders>
              <w:top w:val="nil"/>
              <w:left w:val="nil"/>
              <w:right w:val="nil"/>
            </w:tcBorders>
            <w:shd w:val="clear" w:color="auto" w:fill="auto"/>
            <w:vAlign w:val="bottom"/>
          </w:tcPr>
          <w:p w14:paraId="58315EC3" w14:textId="3325487E" w:rsidR="003734F4" w:rsidRPr="00EF4DEE" w:rsidRDefault="009D0B95" w:rsidP="003734F4">
            <w:pPr>
              <w:spacing w:line="160" w:lineRule="exact"/>
              <w:ind w:left="-57" w:right="28"/>
              <w:jc w:val="right"/>
              <w:rPr>
                <w:bCs w:val="0"/>
                <w:sz w:val="12"/>
                <w:szCs w:val="12"/>
              </w:rPr>
            </w:pPr>
            <w:r w:rsidRPr="00EF4DEE">
              <w:rPr>
                <w:bCs w:val="0"/>
                <w:sz w:val="12"/>
                <w:szCs w:val="12"/>
              </w:rPr>
              <w:t>707.674.223.697</w:t>
            </w:r>
          </w:p>
        </w:tc>
        <w:tc>
          <w:tcPr>
            <w:tcW w:w="1511" w:type="dxa"/>
            <w:tcBorders>
              <w:top w:val="nil"/>
              <w:left w:val="nil"/>
              <w:bottom w:val="nil"/>
              <w:right w:val="nil"/>
            </w:tcBorders>
            <w:shd w:val="clear" w:color="auto" w:fill="auto"/>
            <w:vAlign w:val="bottom"/>
          </w:tcPr>
          <w:p w14:paraId="790D324F" w14:textId="77777777" w:rsidR="003734F4" w:rsidRPr="001775FB" w:rsidRDefault="003734F4" w:rsidP="003734F4">
            <w:pPr>
              <w:tabs>
                <w:tab w:val="left" w:pos="1360"/>
                <w:tab w:val="left" w:pos="1410"/>
              </w:tabs>
              <w:spacing w:line="160" w:lineRule="exact"/>
              <w:ind w:right="72"/>
              <w:jc w:val="right"/>
              <w:rPr>
                <w:i/>
                <w:iCs/>
                <w:sz w:val="14"/>
                <w:szCs w:val="14"/>
              </w:rPr>
            </w:pPr>
            <w:r w:rsidRPr="001775FB">
              <w:rPr>
                <w:i/>
                <w:iCs/>
                <w:sz w:val="14"/>
                <w:szCs w:val="14"/>
              </w:rPr>
              <w:t>Land</w:t>
            </w:r>
          </w:p>
        </w:tc>
      </w:tr>
      <w:tr w:rsidR="003734F4" w:rsidRPr="001775FB" w14:paraId="09AA7264" w14:textId="77777777" w:rsidTr="003734F4">
        <w:trPr>
          <w:cantSplit/>
        </w:trPr>
        <w:tc>
          <w:tcPr>
            <w:tcW w:w="1820" w:type="dxa"/>
            <w:tcBorders>
              <w:top w:val="nil"/>
              <w:left w:val="nil"/>
              <w:bottom w:val="nil"/>
              <w:right w:val="nil"/>
            </w:tcBorders>
            <w:shd w:val="clear" w:color="auto" w:fill="auto"/>
            <w:vAlign w:val="bottom"/>
          </w:tcPr>
          <w:p w14:paraId="367F5ADC" w14:textId="5AB76BB7" w:rsidR="003734F4" w:rsidRPr="001775FB" w:rsidRDefault="003734F4" w:rsidP="003734F4">
            <w:pPr>
              <w:spacing w:line="160" w:lineRule="exact"/>
              <w:ind w:left="567" w:right="17" w:hanging="141"/>
              <w:rPr>
                <w:bCs w:val="0"/>
                <w:sz w:val="14"/>
                <w:szCs w:val="14"/>
              </w:rPr>
            </w:pPr>
            <w:r w:rsidRPr="001775FB">
              <w:rPr>
                <w:bCs w:val="0"/>
                <w:sz w:val="14"/>
                <w:szCs w:val="14"/>
              </w:rPr>
              <w:t>Bangunan</w:t>
            </w:r>
          </w:p>
        </w:tc>
        <w:tc>
          <w:tcPr>
            <w:tcW w:w="1133" w:type="dxa"/>
            <w:tcBorders>
              <w:top w:val="nil"/>
              <w:left w:val="nil"/>
              <w:right w:val="nil"/>
            </w:tcBorders>
            <w:shd w:val="clear" w:color="auto" w:fill="auto"/>
            <w:vAlign w:val="bottom"/>
          </w:tcPr>
          <w:p w14:paraId="4ECD85A2" w14:textId="210DA94D" w:rsidR="003734F4" w:rsidRPr="00EF4DEE" w:rsidRDefault="003734F4" w:rsidP="003734F4">
            <w:pPr>
              <w:spacing w:line="160" w:lineRule="exact"/>
              <w:ind w:left="-57" w:right="28"/>
              <w:jc w:val="right"/>
              <w:rPr>
                <w:bCs w:val="0"/>
                <w:sz w:val="12"/>
                <w:szCs w:val="12"/>
              </w:rPr>
            </w:pPr>
            <w:r w:rsidRPr="00EF4DEE">
              <w:rPr>
                <w:bCs w:val="0"/>
                <w:sz w:val="12"/>
                <w:szCs w:val="12"/>
              </w:rPr>
              <w:t>1.103.609.296.415</w:t>
            </w:r>
          </w:p>
        </w:tc>
        <w:tc>
          <w:tcPr>
            <w:tcW w:w="94" w:type="dxa"/>
            <w:tcBorders>
              <w:top w:val="nil"/>
              <w:left w:val="nil"/>
              <w:right w:val="nil"/>
            </w:tcBorders>
            <w:shd w:val="clear" w:color="auto" w:fill="auto"/>
            <w:vAlign w:val="bottom"/>
          </w:tcPr>
          <w:p w14:paraId="3D8C7E47" w14:textId="77777777" w:rsidR="003734F4" w:rsidRPr="00EF4DEE" w:rsidRDefault="003734F4" w:rsidP="003734F4">
            <w:pPr>
              <w:spacing w:line="160" w:lineRule="exact"/>
              <w:ind w:right="18"/>
              <w:jc w:val="right"/>
              <w:rPr>
                <w:bCs w:val="0"/>
                <w:sz w:val="12"/>
                <w:szCs w:val="12"/>
              </w:rPr>
            </w:pPr>
          </w:p>
        </w:tc>
        <w:tc>
          <w:tcPr>
            <w:tcW w:w="1047" w:type="dxa"/>
            <w:tcBorders>
              <w:top w:val="nil"/>
              <w:left w:val="nil"/>
              <w:right w:val="nil"/>
            </w:tcBorders>
            <w:shd w:val="clear" w:color="auto" w:fill="auto"/>
            <w:vAlign w:val="bottom"/>
          </w:tcPr>
          <w:p w14:paraId="51D54F3F" w14:textId="5844440D" w:rsidR="003734F4" w:rsidRPr="00EF4DEE" w:rsidRDefault="009D0B95" w:rsidP="003734F4">
            <w:pPr>
              <w:spacing w:line="160" w:lineRule="exact"/>
              <w:ind w:right="57"/>
              <w:jc w:val="right"/>
              <w:rPr>
                <w:bCs w:val="0"/>
                <w:sz w:val="12"/>
                <w:szCs w:val="12"/>
              </w:rPr>
            </w:pPr>
            <w:r w:rsidRPr="00EF4DEE">
              <w:rPr>
                <w:bCs w:val="0"/>
                <w:sz w:val="12"/>
                <w:szCs w:val="12"/>
              </w:rPr>
              <w:t>1</w:t>
            </w:r>
            <w:r w:rsidR="00EF4DEE">
              <w:rPr>
                <w:bCs w:val="0"/>
                <w:sz w:val="12"/>
                <w:szCs w:val="12"/>
              </w:rPr>
              <w:t>.</w:t>
            </w:r>
            <w:r w:rsidRPr="00EF4DEE">
              <w:rPr>
                <w:bCs w:val="0"/>
                <w:sz w:val="12"/>
                <w:szCs w:val="12"/>
              </w:rPr>
              <w:t>471</w:t>
            </w:r>
            <w:r w:rsidR="00EF4DEE">
              <w:rPr>
                <w:bCs w:val="0"/>
                <w:sz w:val="12"/>
                <w:szCs w:val="12"/>
              </w:rPr>
              <w:t>.</w:t>
            </w:r>
            <w:r w:rsidRPr="00EF4DEE">
              <w:rPr>
                <w:bCs w:val="0"/>
                <w:sz w:val="12"/>
                <w:szCs w:val="12"/>
              </w:rPr>
              <w:t>559</w:t>
            </w:r>
            <w:r w:rsidR="00EF4DEE">
              <w:rPr>
                <w:bCs w:val="0"/>
                <w:sz w:val="12"/>
                <w:szCs w:val="12"/>
              </w:rPr>
              <w:t>.</w:t>
            </w:r>
            <w:r w:rsidRPr="00EF4DEE">
              <w:rPr>
                <w:bCs w:val="0"/>
                <w:sz w:val="12"/>
                <w:szCs w:val="12"/>
              </w:rPr>
              <w:t>766</w:t>
            </w:r>
          </w:p>
        </w:tc>
        <w:tc>
          <w:tcPr>
            <w:tcW w:w="100" w:type="dxa"/>
            <w:tcBorders>
              <w:top w:val="nil"/>
              <w:left w:val="nil"/>
              <w:right w:val="nil"/>
            </w:tcBorders>
            <w:shd w:val="clear" w:color="auto" w:fill="auto"/>
            <w:vAlign w:val="bottom"/>
          </w:tcPr>
          <w:p w14:paraId="7F4DFB79" w14:textId="77777777" w:rsidR="003734F4" w:rsidRPr="00EF4DEE" w:rsidRDefault="003734F4" w:rsidP="003734F4">
            <w:pPr>
              <w:spacing w:line="160" w:lineRule="exact"/>
              <w:ind w:right="18"/>
              <w:jc w:val="right"/>
              <w:rPr>
                <w:bCs w:val="0"/>
                <w:sz w:val="12"/>
                <w:szCs w:val="12"/>
              </w:rPr>
            </w:pPr>
          </w:p>
        </w:tc>
        <w:tc>
          <w:tcPr>
            <w:tcW w:w="1070" w:type="dxa"/>
            <w:tcBorders>
              <w:top w:val="nil"/>
              <w:left w:val="nil"/>
              <w:right w:val="nil"/>
            </w:tcBorders>
            <w:shd w:val="clear" w:color="auto" w:fill="auto"/>
          </w:tcPr>
          <w:p w14:paraId="36491A3A" w14:textId="6BA423FA" w:rsidR="003734F4" w:rsidRPr="00EF4DEE" w:rsidRDefault="00071C5D" w:rsidP="003734F4">
            <w:pPr>
              <w:spacing w:line="160" w:lineRule="exact"/>
              <w:ind w:right="28"/>
              <w:jc w:val="right"/>
              <w:rPr>
                <w:bCs w:val="0"/>
                <w:sz w:val="12"/>
                <w:szCs w:val="12"/>
              </w:rPr>
            </w:pPr>
            <w:r>
              <w:rPr>
                <w:bCs w:val="0"/>
                <w:sz w:val="12"/>
                <w:szCs w:val="12"/>
              </w:rPr>
              <w:t>-</w:t>
            </w:r>
          </w:p>
        </w:tc>
        <w:tc>
          <w:tcPr>
            <w:tcW w:w="94" w:type="dxa"/>
            <w:tcBorders>
              <w:top w:val="nil"/>
              <w:left w:val="nil"/>
              <w:right w:val="nil"/>
            </w:tcBorders>
            <w:shd w:val="clear" w:color="auto" w:fill="auto"/>
            <w:vAlign w:val="bottom"/>
          </w:tcPr>
          <w:p w14:paraId="2D7FEC5A" w14:textId="77777777" w:rsidR="003734F4" w:rsidRPr="00EF4DEE" w:rsidRDefault="003734F4" w:rsidP="003734F4">
            <w:pPr>
              <w:spacing w:line="160" w:lineRule="exact"/>
              <w:ind w:right="28"/>
              <w:jc w:val="right"/>
              <w:rPr>
                <w:bCs w:val="0"/>
                <w:sz w:val="12"/>
                <w:szCs w:val="12"/>
              </w:rPr>
            </w:pPr>
          </w:p>
        </w:tc>
        <w:tc>
          <w:tcPr>
            <w:tcW w:w="1101" w:type="dxa"/>
            <w:tcBorders>
              <w:top w:val="nil"/>
              <w:left w:val="nil"/>
              <w:right w:val="nil"/>
            </w:tcBorders>
            <w:vAlign w:val="bottom"/>
          </w:tcPr>
          <w:p w14:paraId="1F9B04E6" w14:textId="453716CB" w:rsidR="003734F4" w:rsidRPr="00EF4DEE" w:rsidRDefault="00071C5D" w:rsidP="003734F4">
            <w:pPr>
              <w:spacing w:line="160" w:lineRule="exact"/>
              <w:ind w:left="-57" w:right="28"/>
              <w:jc w:val="right"/>
              <w:rPr>
                <w:bCs w:val="0"/>
                <w:sz w:val="12"/>
                <w:szCs w:val="12"/>
              </w:rPr>
            </w:pPr>
            <w:r>
              <w:rPr>
                <w:bCs w:val="0"/>
                <w:sz w:val="12"/>
                <w:szCs w:val="12"/>
              </w:rPr>
              <w:t>-</w:t>
            </w:r>
          </w:p>
        </w:tc>
        <w:tc>
          <w:tcPr>
            <w:tcW w:w="94" w:type="dxa"/>
            <w:tcBorders>
              <w:top w:val="nil"/>
              <w:left w:val="nil"/>
              <w:right w:val="nil"/>
            </w:tcBorders>
            <w:vAlign w:val="bottom"/>
          </w:tcPr>
          <w:p w14:paraId="1917BAFB" w14:textId="13051659" w:rsidR="003734F4" w:rsidRPr="00EF4DEE" w:rsidRDefault="00071C5D" w:rsidP="00071C5D">
            <w:pPr>
              <w:spacing w:line="160" w:lineRule="exact"/>
              <w:ind w:left="-57" w:right="28"/>
              <w:rPr>
                <w:bCs w:val="0"/>
                <w:sz w:val="12"/>
                <w:szCs w:val="12"/>
              </w:rPr>
            </w:pPr>
            <w:r>
              <w:rPr>
                <w:bCs w:val="0"/>
                <w:sz w:val="12"/>
                <w:szCs w:val="12"/>
              </w:rPr>
              <w:t>-</w:t>
            </w:r>
          </w:p>
        </w:tc>
        <w:tc>
          <w:tcPr>
            <w:tcW w:w="1133" w:type="dxa"/>
            <w:tcBorders>
              <w:top w:val="nil"/>
              <w:left w:val="nil"/>
              <w:right w:val="nil"/>
            </w:tcBorders>
            <w:shd w:val="clear" w:color="auto" w:fill="auto"/>
            <w:vAlign w:val="bottom"/>
          </w:tcPr>
          <w:p w14:paraId="3E6CF757" w14:textId="1CB853FF" w:rsidR="003734F4" w:rsidRPr="00EF4DEE" w:rsidRDefault="009D0B95" w:rsidP="003734F4">
            <w:pPr>
              <w:spacing w:line="160" w:lineRule="exact"/>
              <w:ind w:left="-57" w:right="28"/>
              <w:jc w:val="right"/>
              <w:rPr>
                <w:bCs w:val="0"/>
                <w:sz w:val="12"/>
                <w:szCs w:val="12"/>
              </w:rPr>
            </w:pPr>
            <w:r w:rsidRPr="00EF4DEE">
              <w:rPr>
                <w:bCs w:val="0"/>
                <w:sz w:val="12"/>
                <w:szCs w:val="12"/>
              </w:rPr>
              <w:t>1</w:t>
            </w:r>
            <w:r w:rsidR="00EF4DEE">
              <w:rPr>
                <w:bCs w:val="0"/>
                <w:sz w:val="12"/>
                <w:szCs w:val="12"/>
              </w:rPr>
              <w:t>.</w:t>
            </w:r>
            <w:r w:rsidRPr="00EF4DEE">
              <w:rPr>
                <w:bCs w:val="0"/>
                <w:sz w:val="12"/>
                <w:szCs w:val="12"/>
              </w:rPr>
              <w:t>105</w:t>
            </w:r>
            <w:r w:rsidR="00EF4DEE">
              <w:rPr>
                <w:bCs w:val="0"/>
                <w:sz w:val="12"/>
                <w:szCs w:val="12"/>
              </w:rPr>
              <w:t>.</w:t>
            </w:r>
            <w:r w:rsidRPr="00EF4DEE">
              <w:rPr>
                <w:bCs w:val="0"/>
                <w:sz w:val="12"/>
                <w:szCs w:val="12"/>
              </w:rPr>
              <w:t>080</w:t>
            </w:r>
            <w:r w:rsidR="00EF4DEE">
              <w:rPr>
                <w:bCs w:val="0"/>
                <w:sz w:val="12"/>
                <w:szCs w:val="12"/>
              </w:rPr>
              <w:t>.</w:t>
            </w:r>
            <w:r w:rsidRPr="00EF4DEE">
              <w:rPr>
                <w:bCs w:val="0"/>
                <w:sz w:val="12"/>
                <w:szCs w:val="12"/>
              </w:rPr>
              <w:t>856</w:t>
            </w:r>
            <w:r w:rsidR="00EF4DEE">
              <w:rPr>
                <w:bCs w:val="0"/>
                <w:sz w:val="12"/>
                <w:szCs w:val="12"/>
              </w:rPr>
              <w:t>.</w:t>
            </w:r>
            <w:r w:rsidRPr="00EF4DEE">
              <w:rPr>
                <w:bCs w:val="0"/>
                <w:sz w:val="12"/>
                <w:szCs w:val="12"/>
              </w:rPr>
              <w:t>181</w:t>
            </w:r>
          </w:p>
        </w:tc>
        <w:tc>
          <w:tcPr>
            <w:tcW w:w="1511" w:type="dxa"/>
            <w:tcBorders>
              <w:top w:val="nil"/>
              <w:left w:val="nil"/>
              <w:bottom w:val="nil"/>
              <w:right w:val="nil"/>
            </w:tcBorders>
            <w:shd w:val="clear" w:color="auto" w:fill="auto"/>
            <w:vAlign w:val="bottom"/>
          </w:tcPr>
          <w:p w14:paraId="75599B5F" w14:textId="77777777" w:rsidR="003734F4" w:rsidRPr="001775FB" w:rsidRDefault="003734F4" w:rsidP="003734F4">
            <w:pPr>
              <w:tabs>
                <w:tab w:val="left" w:pos="1360"/>
                <w:tab w:val="left" w:pos="1410"/>
              </w:tabs>
              <w:spacing w:line="160" w:lineRule="exact"/>
              <w:ind w:right="72"/>
              <w:jc w:val="right"/>
              <w:rPr>
                <w:i/>
                <w:iCs/>
                <w:sz w:val="14"/>
                <w:szCs w:val="14"/>
              </w:rPr>
            </w:pPr>
            <w:r w:rsidRPr="001775FB">
              <w:rPr>
                <w:i/>
                <w:iCs/>
                <w:sz w:val="14"/>
                <w:szCs w:val="14"/>
              </w:rPr>
              <w:t>Buildings</w:t>
            </w:r>
          </w:p>
        </w:tc>
      </w:tr>
      <w:tr w:rsidR="003734F4" w:rsidRPr="001775FB" w14:paraId="1AB741A4" w14:textId="77777777" w:rsidTr="003734F4">
        <w:trPr>
          <w:cantSplit/>
        </w:trPr>
        <w:tc>
          <w:tcPr>
            <w:tcW w:w="1820" w:type="dxa"/>
            <w:tcBorders>
              <w:top w:val="nil"/>
              <w:left w:val="nil"/>
              <w:bottom w:val="nil"/>
              <w:right w:val="nil"/>
            </w:tcBorders>
            <w:shd w:val="clear" w:color="auto" w:fill="auto"/>
            <w:vAlign w:val="bottom"/>
          </w:tcPr>
          <w:p w14:paraId="6AF328F0" w14:textId="08299E84" w:rsidR="003734F4" w:rsidRPr="001775FB" w:rsidRDefault="003734F4" w:rsidP="003734F4">
            <w:pPr>
              <w:spacing w:line="160" w:lineRule="exact"/>
              <w:ind w:left="567" w:right="17" w:hanging="141"/>
              <w:rPr>
                <w:bCs w:val="0"/>
                <w:sz w:val="14"/>
                <w:szCs w:val="14"/>
              </w:rPr>
            </w:pPr>
            <w:r w:rsidRPr="001775FB">
              <w:rPr>
                <w:bCs w:val="0"/>
                <w:sz w:val="14"/>
                <w:szCs w:val="14"/>
              </w:rPr>
              <w:t>Peralatan kesehatan</w:t>
            </w:r>
          </w:p>
        </w:tc>
        <w:tc>
          <w:tcPr>
            <w:tcW w:w="1133" w:type="dxa"/>
            <w:tcBorders>
              <w:top w:val="nil"/>
              <w:left w:val="nil"/>
              <w:right w:val="nil"/>
            </w:tcBorders>
            <w:shd w:val="clear" w:color="auto" w:fill="auto"/>
            <w:vAlign w:val="bottom"/>
          </w:tcPr>
          <w:p w14:paraId="0D766B63" w14:textId="2D00015F" w:rsidR="003734F4" w:rsidRPr="00EF4DEE" w:rsidRDefault="003734F4" w:rsidP="003734F4">
            <w:pPr>
              <w:spacing w:line="160" w:lineRule="exact"/>
              <w:ind w:left="-57" w:right="28"/>
              <w:jc w:val="right"/>
              <w:rPr>
                <w:bCs w:val="0"/>
                <w:sz w:val="12"/>
                <w:szCs w:val="12"/>
              </w:rPr>
            </w:pPr>
            <w:r w:rsidRPr="00EF4DEE">
              <w:rPr>
                <w:bCs w:val="0"/>
                <w:sz w:val="12"/>
                <w:szCs w:val="12"/>
              </w:rPr>
              <w:t>417.244.239.767</w:t>
            </w:r>
          </w:p>
        </w:tc>
        <w:tc>
          <w:tcPr>
            <w:tcW w:w="94" w:type="dxa"/>
            <w:tcBorders>
              <w:top w:val="nil"/>
              <w:left w:val="nil"/>
              <w:right w:val="nil"/>
            </w:tcBorders>
            <w:shd w:val="clear" w:color="auto" w:fill="auto"/>
            <w:vAlign w:val="bottom"/>
          </w:tcPr>
          <w:p w14:paraId="13027388" w14:textId="77777777" w:rsidR="003734F4" w:rsidRPr="00EF4DEE" w:rsidRDefault="003734F4" w:rsidP="003734F4">
            <w:pPr>
              <w:spacing w:line="160" w:lineRule="exact"/>
              <w:ind w:right="18"/>
              <w:jc w:val="right"/>
              <w:rPr>
                <w:bCs w:val="0"/>
                <w:sz w:val="12"/>
                <w:szCs w:val="12"/>
              </w:rPr>
            </w:pPr>
          </w:p>
        </w:tc>
        <w:tc>
          <w:tcPr>
            <w:tcW w:w="1047" w:type="dxa"/>
            <w:tcBorders>
              <w:top w:val="nil"/>
              <w:left w:val="nil"/>
              <w:right w:val="nil"/>
            </w:tcBorders>
            <w:shd w:val="clear" w:color="auto" w:fill="auto"/>
            <w:vAlign w:val="bottom"/>
          </w:tcPr>
          <w:p w14:paraId="6016F595" w14:textId="59503796" w:rsidR="003734F4" w:rsidRPr="00EF4DEE" w:rsidRDefault="009D0B95" w:rsidP="003734F4">
            <w:pPr>
              <w:spacing w:line="160" w:lineRule="exact"/>
              <w:ind w:right="57"/>
              <w:jc w:val="right"/>
              <w:rPr>
                <w:bCs w:val="0"/>
                <w:sz w:val="12"/>
                <w:szCs w:val="12"/>
              </w:rPr>
            </w:pPr>
            <w:r w:rsidRPr="00EF4DEE">
              <w:rPr>
                <w:bCs w:val="0"/>
                <w:sz w:val="12"/>
                <w:szCs w:val="12"/>
              </w:rPr>
              <w:t>12</w:t>
            </w:r>
            <w:r w:rsidR="00EF4DEE">
              <w:rPr>
                <w:bCs w:val="0"/>
                <w:sz w:val="12"/>
                <w:szCs w:val="12"/>
              </w:rPr>
              <w:t>.</w:t>
            </w:r>
            <w:r w:rsidRPr="00EF4DEE">
              <w:rPr>
                <w:bCs w:val="0"/>
                <w:sz w:val="12"/>
                <w:szCs w:val="12"/>
              </w:rPr>
              <w:t>030</w:t>
            </w:r>
            <w:r w:rsidR="00EF4DEE">
              <w:rPr>
                <w:bCs w:val="0"/>
                <w:sz w:val="12"/>
                <w:szCs w:val="12"/>
              </w:rPr>
              <w:t>.</w:t>
            </w:r>
            <w:r w:rsidRPr="00EF4DEE">
              <w:rPr>
                <w:bCs w:val="0"/>
                <w:sz w:val="12"/>
                <w:szCs w:val="12"/>
              </w:rPr>
              <w:t>494</w:t>
            </w:r>
            <w:r w:rsidR="00EF4DEE">
              <w:rPr>
                <w:bCs w:val="0"/>
                <w:sz w:val="12"/>
                <w:szCs w:val="12"/>
              </w:rPr>
              <w:t>.</w:t>
            </w:r>
            <w:r w:rsidRPr="00EF4DEE">
              <w:rPr>
                <w:bCs w:val="0"/>
                <w:sz w:val="12"/>
                <w:szCs w:val="12"/>
              </w:rPr>
              <w:t>071</w:t>
            </w:r>
          </w:p>
        </w:tc>
        <w:tc>
          <w:tcPr>
            <w:tcW w:w="100" w:type="dxa"/>
            <w:tcBorders>
              <w:top w:val="nil"/>
              <w:left w:val="nil"/>
              <w:right w:val="nil"/>
            </w:tcBorders>
            <w:shd w:val="clear" w:color="auto" w:fill="auto"/>
            <w:vAlign w:val="bottom"/>
          </w:tcPr>
          <w:p w14:paraId="6BD8326A" w14:textId="77777777" w:rsidR="003734F4" w:rsidRPr="00EF4DEE" w:rsidRDefault="003734F4" w:rsidP="003734F4">
            <w:pPr>
              <w:spacing w:line="160" w:lineRule="exact"/>
              <w:ind w:right="18"/>
              <w:jc w:val="right"/>
              <w:rPr>
                <w:bCs w:val="0"/>
                <w:sz w:val="12"/>
                <w:szCs w:val="12"/>
              </w:rPr>
            </w:pPr>
          </w:p>
        </w:tc>
        <w:tc>
          <w:tcPr>
            <w:tcW w:w="1070" w:type="dxa"/>
            <w:tcBorders>
              <w:top w:val="nil"/>
              <w:left w:val="nil"/>
              <w:right w:val="nil"/>
            </w:tcBorders>
            <w:shd w:val="clear" w:color="auto" w:fill="auto"/>
            <w:vAlign w:val="bottom"/>
          </w:tcPr>
          <w:p w14:paraId="44364FC5" w14:textId="6B6CCFDD" w:rsidR="003734F4" w:rsidRPr="00EF4DEE" w:rsidRDefault="003734F4" w:rsidP="003734F4">
            <w:pPr>
              <w:spacing w:line="160" w:lineRule="exact"/>
              <w:ind w:right="28"/>
              <w:jc w:val="right"/>
              <w:rPr>
                <w:bCs w:val="0"/>
                <w:sz w:val="12"/>
                <w:szCs w:val="12"/>
              </w:rPr>
            </w:pPr>
          </w:p>
        </w:tc>
        <w:tc>
          <w:tcPr>
            <w:tcW w:w="94" w:type="dxa"/>
            <w:tcBorders>
              <w:top w:val="nil"/>
              <w:left w:val="nil"/>
              <w:right w:val="nil"/>
            </w:tcBorders>
            <w:shd w:val="clear" w:color="auto" w:fill="auto"/>
            <w:vAlign w:val="bottom"/>
          </w:tcPr>
          <w:p w14:paraId="729F2223" w14:textId="77777777" w:rsidR="003734F4" w:rsidRPr="00EF4DEE" w:rsidRDefault="003734F4" w:rsidP="003734F4">
            <w:pPr>
              <w:spacing w:line="160" w:lineRule="exact"/>
              <w:ind w:right="28"/>
              <w:jc w:val="right"/>
              <w:rPr>
                <w:bCs w:val="0"/>
                <w:sz w:val="12"/>
                <w:szCs w:val="12"/>
              </w:rPr>
            </w:pPr>
          </w:p>
        </w:tc>
        <w:tc>
          <w:tcPr>
            <w:tcW w:w="1101" w:type="dxa"/>
            <w:tcBorders>
              <w:top w:val="nil"/>
              <w:left w:val="nil"/>
              <w:right w:val="nil"/>
            </w:tcBorders>
          </w:tcPr>
          <w:p w14:paraId="5DED964B" w14:textId="2F3A521C" w:rsidR="003734F4" w:rsidRPr="00EF4DEE" w:rsidRDefault="003734F4" w:rsidP="003734F4">
            <w:pPr>
              <w:spacing w:line="160" w:lineRule="exact"/>
              <w:ind w:left="-57" w:right="28"/>
              <w:jc w:val="right"/>
              <w:rPr>
                <w:bCs w:val="0"/>
                <w:sz w:val="12"/>
                <w:szCs w:val="12"/>
              </w:rPr>
            </w:pPr>
          </w:p>
        </w:tc>
        <w:tc>
          <w:tcPr>
            <w:tcW w:w="94" w:type="dxa"/>
            <w:tcBorders>
              <w:top w:val="nil"/>
              <w:left w:val="nil"/>
              <w:right w:val="nil"/>
            </w:tcBorders>
            <w:vAlign w:val="bottom"/>
          </w:tcPr>
          <w:p w14:paraId="7EABA591" w14:textId="77777777" w:rsidR="003734F4" w:rsidRPr="00EF4DEE" w:rsidRDefault="003734F4" w:rsidP="003734F4">
            <w:pPr>
              <w:spacing w:line="160" w:lineRule="exact"/>
              <w:ind w:left="-57" w:right="28"/>
              <w:jc w:val="right"/>
              <w:rPr>
                <w:bCs w:val="0"/>
                <w:sz w:val="12"/>
                <w:szCs w:val="12"/>
              </w:rPr>
            </w:pPr>
          </w:p>
        </w:tc>
        <w:tc>
          <w:tcPr>
            <w:tcW w:w="1133" w:type="dxa"/>
            <w:tcBorders>
              <w:top w:val="nil"/>
              <w:left w:val="nil"/>
              <w:right w:val="nil"/>
            </w:tcBorders>
            <w:shd w:val="clear" w:color="auto" w:fill="auto"/>
            <w:vAlign w:val="bottom"/>
          </w:tcPr>
          <w:p w14:paraId="19FBA237" w14:textId="06D929B6" w:rsidR="003734F4" w:rsidRPr="00EF4DEE" w:rsidRDefault="009D0B95" w:rsidP="003734F4">
            <w:pPr>
              <w:spacing w:line="160" w:lineRule="exact"/>
              <w:ind w:left="-57" w:right="28"/>
              <w:jc w:val="right"/>
              <w:rPr>
                <w:bCs w:val="0"/>
                <w:sz w:val="12"/>
                <w:szCs w:val="12"/>
              </w:rPr>
            </w:pPr>
            <w:r w:rsidRPr="00EF4DEE">
              <w:rPr>
                <w:bCs w:val="0"/>
                <w:sz w:val="12"/>
                <w:szCs w:val="12"/>
              </w:rPr>
              <w:t>429</w:t>
            </w:r>
            <w:r w:rsidR="00EF4DEE">
              <w:rPr>
                <w:bCs w:val="0"/>
                <w:sz w:val="12"/>
                <w:szCs w:val="12"/>
              </w:rPr>
              <w:t>.</w:t>
            </w:r>
            <w:r w:rsidRPr="00EF4DEE">
              <w:rPr>
                <w:bCs w:val="0"/>
                <w:sz w:val="12"/>
                <w:szCs w:val="12"/>
              </w:rPr>
              <w:t>274</w:t>
            </w:r>
            <w:r w:rsidR="00EF4DEE">
              <w:rPr>
                <w:bCs w:val="0"/>
                <w:sz w:val="12"/>
                <w:szCs w:val="12"/>
              </w:rPr>
              <w:t>.</w:t>
            </w:r>
            <w:r w:rsidRPr="00EF4DEE">
              <w:rPr>
                <w:bCs w:val="0"/>
                <w:sz w:val="12"/>
                <w:szCs w:val="12"/>
              </w:rPr>
              <w:t>733</w:t>
            </w:r>
            <w:r w:rsidR="00EF4DEE">
              <w:rPr>
                <w:bCs w:val="0"/>
                <w:sz w:val="12"/>
                <w:szCs w:val="12"/>
              </w:rPr>
              <w:t>.</w:t>
            </w:r>
            <w:r w:rsidRPr="00EF4DEE">
              <w:rPr>
                <w:bCs w:val="0"/>
                <w:sz w:val="12"/>
                <w:szCs w:val="12"/>
              </w:rPr>
              <w:t>838</w:t>
            </w:r>
          </w:p>
        </w:tc>
        <w:tc>
          <w:tcPr>
            <w:tcW w:w="1511" w:type="dxa"/>
            <w:tcBorders>
              <w:top w:val="nil"/>
              <w:left w:val="nil"/>
              <w:bottom w:val="nil"/>
              <w:right w:val="nil"/>
            </w:tcBorders>
            <w:shd w:val="clear" w:color="auto" w:fill="auto"/>
            <w:vAlign w:val="bottom"/>
          </w:tcPr>
          <w:p w14:paraId="658AD917" w14:textId="77777777" w:rsidR="003734F4" w:rsidRPr="001775FB" w:rsidRDefault="003734F4" w:rsidP="003734F4">
            <w:pPr>
              <w:tabs>
                <w:tab w:val="left" w:pos="1360"/>
                <w:tab w:val="left" w:pos="1410"/>
              </w:tabs>
              <w:spacing w:line="160" w:lineRule="exact"/>
              <w:ind w:right="72"/>
              <w:jc w:val="right"/>
              <w:rPr>
                <w:i/>
                <w:iCs/>
                <w:sz w:val="14"/>
                <w:szCs w:val="14"/>
              </w:rPr>
            </w:pPr>
            <w:r w:rsidRPr="001775FB">
              <w:rPr>
                <w:i/>
                <w:iCs/>
                <w:sz w:val="14"/>
                <w:szCs w:val="14"/>
              </w:rPr>
              <w:t>Medical equipment</w:t>
            </w:r>
          </w:p>
        </w:tc>
      </w:tr>
      <w:tr w:rsidR="003734F4" w:rsidRPr="001775FB" w14:paraId="4621809C" w14:textId="77777777" w:rsidTr="003734F4">
        <w:trPr>
          <w:cantSplit/>
        </w:trPr>
        <w:tc>
          <w:tcPr>
            <w:tcW w:w="1820" w:type="dxa"/>
            <w:tcBorders>
              <w:top w:val="nil"/>
              <w:left w:val="nil"/>
              <w:bottom w:val="nil"/>
              <w:right w:val="nil"/>
            </w:tcBorders>
            <w:shd w:val="clear" w:color="auto" w:fill="auto"/>
            <w:vAlign w:val="bottom"/>
          </w:tcPr>
          <w:p w14:paraId="035DF4D8" w14:textId="77777777" w:rsidR="003734F4" w:rsidRPr="001775FB" w:rsidRDefault="003734F4" w:rsidP="003734F4">
            <w:pPr>
              <w:spacing w:line="160" w:lineRule="exact"/>
              <w:ind w:left="567" w:right="17" w:hanging="141"/>
              <w:rPr>
                <w:bCs w:val="0"/>
                <w:sz w:val="14"/>
                <w:szCs w:val="14"/>
              </w:rPr>
            </w:pPr>
            <w:r w:rsidRPr="001775FB">
              <w:rPr>
                <w:bCs w:val="0"/>
                <w:sz w:val="14"/>
                <w:szCs w:val="14"/>
              </w:rPr>
              <w:t>Mesin</w:t>
            </w:r>
          </w:p>
        </w:tc>
        <w:tc>
          <w:tcPr>
            <w:tcW w:w="1133" w:type="dxa"/>
            <w:tcBorders>
              <w:top w:val="nil"/>
              <w:left w:val="nil"/>
              <w:right w:val="nil"/>
            </w:tcBorders>
            <w:shd w:val="clear" w:color="auto" w:fill="auto"/>
            <w:vAlign w:val="bottom"/>
          </w:tcPr>
          <w:p w14:paraId="4686A1CA" w14:textId="0D99F961" w:rsidR="003734F4" w:rsidRPr="00EF4DEE" w:rsidRDefault="003734F4" w:rsidP="003734F4">
            <w:pPr>
              <w:spacing w:line="160" w:lineRule="exact"/>
              <w:ind w:left="-57" w:right="28"/>
              <w:jc w:val="right"/>
              <w:rPr>
                <w:bCs w:val="0"/>
                <w:sz w:val="12"/>
                <w:szCs w:val="12"/>
              </w:rPr>
            </w:pPr>
            <w:r w:rsidRPr="00EF4DEE">
              <w:rPr>
                <w:bCs w:val="0"/>
                <w:sz w:val="12"/>
                <w:szCs w:val="12"/>
              </w:rPr>
              <w:t>79.515.350.004</w:t>
            </w:r>
            <w:r w:rsidRPr="00EF4DEE">
              <w:rPr>
                <w:bCs w:val="0"/>
                <w:sz w:val="12"/>
                <w:szCs w:val="12"/>
                <w:lang w:val="id-ID"/>
              </w:rPr>
              <w:t xml:space="preserve"> </w:t>
            </w:r>
          </w:p>
        </w:tc>
        <w:tc>
          <w:tcPr>
            <w:tcW w:w="94" w:type="dxa"/>
            <w:tcBorders>
              <w:top w:val="nil"/>
              <w:left w:val="nil"/>
              <w:right w:val="nil"/>
            </w:tcBorders>
            <w:shd w:val="clear" w:color="auto" w:fill="auto"/>
            <w:vAlign w:val="bottom"/>
          </w:tcPr>
          <w:p w14:paraId="35F99960" w14:textId="77777777" w:rsidR="003734F4" w:rsidRPr="00EF4DEE" w:rsidRDefault="003734F4" w:rsidP="003734F4">
            <w:pPr>
              <w:spacing w:line="160" w:lineRule="exact"/>
              <w:ind w:right="18"/>
              <w:jc w:val="right"/>
              <w:rPr>
                <w:bCs w:val="0"/>
                <w:sz w:val="12"/>
                <w:szCs w:val="12"/>
              </w:rPr>
            </w:pPr>
          </w:p>
        </w:tc>
        <w:tc>
          <w:tcPr>
            <w:tcW w:w="1047" w:type="dxa"/>
            <w:tcBorders>
              <w:top w:val="nil"/>
              <w:left w:val="nil"/>
              <w:right w:val="nil"/>
            </w:tcBorders>
            <w:shd w:val="clear" w:color="auto" w:fill="auto"/>
            <w:vAlign w:val="bottom"/>
          </w:tcPr>
          <w:p w14:paraId="437DCD4B" w14:textId="6D724801" w:rsidR="003734F4" w:rsidRPr="00EF4DEE" w:rsidRDefault="00071C5D" w:rsidP="003734F4">
            <w:pPr>
              <w:spacing w:line="160" w:lineRule="exact"/>
              <w:ind w:right="57"/>
              <w:jc w:val="right"/>
              <w:rPr>
                <w:bCs w:val="0"/>
                <w:sz w:val="12"/>
                <w:szCs w:val="12"/>
              </w:rPr>
            </w:pPr>
            <w:r>
              <w:rPr>
                <w:bCs w:val="0"/>
                <w:sz w:val="12"/>
                <w:szCs w:val="12"/>
              </w:rPr>
              <w:t>-</w:t>
            </w:r>
          </w:p>
        </w:tc>
        <w:tc>
          <w:tcPr>
            <w:tcW w:w="100" w:type="dxa"/>
            <w:tcBorders>
              <w:top w:val="nil"/>
              <w:left w:val="nil"/>
              <w:right w:val="nil"/>
            </w:tcBorders>
            <w:shd w:val="clear" w:color="auto" w:fill="auto"/>
            <w:vAlign w:val="bottom"/>
          </w:tcPr>
          <w:p w14:paraId="4C3992C8" w14:textId="77777777" w:rsidR="003734F4" w:rsidRPr="00EF4DEE" w:rsidRDefault="003734F4" w:rsidP="003734F4">
            <w:pPr>
              <w:spacing w:line="160" w:lineRule="exact"/>
              <w:ind w:right="18"/>
              <w:jc w:val="right"/>
              <w:rPr>
                <w:bCs w:val="0"/>
                <w:sz w:val="12"/>
                <w:szCs w:val="12"/>
              </w:rPr>
            </w:pPr>
          </w:p>
        </w:tc>
        <w:tc>
          <w:tcPr>
            <w:tcW w:w="1070" w:type="dxa"/>
            <w:tcBorders>
              <w:top w:val="nil"/>
              <w:left w:val="nil"/>
              <w:right w:val="nil"/>
            </w:tcBorders>
            <w:shd w:val="clear" w:color="auto" w:fill="auto"/>
            <w:vAlign w:val="bottom"/>
          </w:tcPr>
          <w:p w14:paraId="0CBB8355" w14:textId="50925D48" w:rsidR="003734F4" w:rsidRPr="00EF4DEE" w:rsidRDefault="009D0B95" w:rsidP="003734F4">
            <w:pPr>
              <w:spacing w:line="160" w:lineRule="exact"/>
              <w:ind w:right="28"/>
              <w:jc w:val="right"/>
              <w:rPr>
                <w:bCs w:val="0"/>
                <w:sz w:val="12"/>
                <w:szCs w:val="12"/>
              </w:rPr>
            </w:pPr>
            <w:r w:rsidRPr="00EF4DEE">
              <w:rPr>
                <w:bCs w:val="0"/>
                <w:sz w:val="12"/>
                <w:szCs w:val="12"/>
              </w:rPr>
              <w:t>(3</w:t>
            </w:r>
            <w:r w:rsidR="00EF4DEE">
              <w:rPr>
                <w:bCs w:val="0"/>
                <w:sz w:val="12"/>
                <w:szCs w:val="12"/>
              </w:rPr>
              <w:t>.</w:t>
            </w:r>
            <w:r w:rsidRPr="00EF4DEE">
              <w:rPr>
                <w:bCs w:val="0"/>
                <w:sz w:val="12"/>
                <w:szCs w:val="12"/>
              </w:rPr>
              <w:t>209</w:t>
            </w:r>
            <w:r w:rsidR="00EF4DEE">
              <w:rPr>
                <w:bCs w:val="0"/>
                <w:sz w:val="12"/>
                <w:szCs w:val="12"/>
              </w:rPr>
              <w:t>.</w:t>
            </w:r>
            <w:r w:rsidRPr="00EF4DEE">
              <w:rPr>
                <w:bCs w:val="0"/>
                <w:sz w:val="12"/>
                <w:szCs w:val="12"/>
              </w:rPr>
              <w:t>295</w:t>
            </w:r>
            <w:r w:rsidR="00EF4DEE">
              <w:rPr>
                <w:bCs w:val="0"/>
                <w:sz w:val="12"/>
                <w:szCs w:val="12"/>
              </w:rPr>
              <w:t>.</w:t>
            </w:r>
            <w:r w:rsidRPr="00EF4DEE">
              <w:rPr>
                <w:bCs w:val="0"/>
                <w:sz w:val="12"/>
                <w:szCs w:val="12"/>
              </w:rPr>
              <w:t>501)</w:t>
            </w:r>
          </w:p>
        </w:tc>
        <w:tc>
          <w:tcPr>
            <w:tcW w:w="94" w:type="dxa"/>
            <w:tcBorders>
              <w:top w:val="nil"/>
              <w:left w:val="nil"/>
              <w:right w:val="nil"/>
            </w:tcBorders>
            <w:shd w:val="clear" w:color="auto" w:fill="auto"/>
            <w:vAlign w:val="bottom"/>
          </w:tcPr>
          <w:p w14:paraId="10AA13F2" w14:textId="77777777" w:rsidR="003734F4" w:rsidRPr="00EF4DEE" w:rsidRDefault="003734F4" w:rsidP="003734F4">
            <w:pPr>
              <w:spacing w:line="160" w:lineRule="exact"/>
              <w:ind w:right="28"/>
              <w:jc w:val="right"/>
              <w:rPr>
                <w:bCs w:val="0"/>
                <w:sz w:val="12"/>
                <w:szCs w:val="12"/>
              </w:rPr>
            </w:pPr>
          </w:p>
        </w:tc>
        <w:tc>
          <w:tcPr>
            <w:tcW w:w="1101" w:type="dxa"/>
            <w:tcBorders>
              <w:top w:val="nil"/>
              <w:left w:val="nil"/>
              <w:right w:val="nil"/>
            </w:tcBorders>
          </w:tcPr>
          <w:p w14:paraId="67CBEA00" w14:textId="54413B88" w:rsidR="003734F4" w:rsidRPr="00EF4DEE" w:rsidRDefault="00071C5D" w:rsidP="003734F4">
            <w:pPr>
              <w:spacing w:line="160" w:lineRule="exact"/>
              <w:ind w:left="-57" w:right="28"/>
              <w:jc w:val="right"/>
              <w:rPr>
                <w:bCs w:val="0"/>
                <w:sz w:val="12"/>
                <w:szCs w:val="12"/>
              </w:rPr>
            </w:pPr>
            <w:r>
              <w:rPr>
                <w:bCs w:val="0"/>
                <w:sz w:val="12"/>
                <w:szCs w:val="12"/>
              </w:rPr>
              <w:t>-</w:t>
            </w:r>
          </w:p>
        </w:tc>
        <w:tc>
          <w:tcPr>
            <w:tcW w:w="94" w:type="dxa"/>
            <w:tcBorders>
              <w:top w:val="nil"/>
              <w:left w:val="nil"/>
              <w:right w:val="nil"/>
            </w:tcBorders>
            <w:vAlign w:val="bottom"/>
          </w:tcPr>
          <w:p w14:paraId="14DCFFF5" w14:textId="77777777" w:rsidR="003734F4" w:rsidRPr="00EF4DEE" w:rsidRDefault="003734F4" w:rsidP="003734F4">
            <w:pPr>
              <w:spacing w:line="160" w:lineRule="exact"/>
              <w:ind w:left="-57" w:right="28"/>
              <w:jc w:val="right"/>
              <w:rPr>
                <w:bCs w:val="0"/>
                <w:sz w:val="12"/>
                <w:szCs w:val="12"/>
              </w:rPr>
            </w:pPr>
          </w:p>
        </w:tc>
        <w:tc>
          <w:tcPr>
            <w:tcW w:w="1133" w:type="dxa"/>
            <w:tcBorders>
              <w:top w:val="nil"/>
              <w:left w:val="nil"/>
              <w:right w:val="nil"/>
            </w:tcBorders>
            <w:shd w:val="clear" w:color="auto" w:fill="auto"/>
            <w:vAlign w:val="bottom"/>
          </w:tcPr>
          <w:p w14:paraId="7D541A70" w14:textId="303BED52" w:rsidR="003734F4" w:rsidRPr="00EF4DEE" w:rsidRDefault="009D0B95" w:rsidP="003734F4">
            <w:pPr>
              <w:spacing w:line="160" w:lineRule="exact"/>
              <w:ind w:left="-57" w:right="28"/>
              <w:jc w:val="right"/>
              <w:rPr>
                <w:bCs w:val="0"/>
                <w:sz w:val="12"/>
                <w:szCs w:val="12"/>
                <w:lang w:val="id-ID"/>
              </w:rPr>
            </w:pPr>
            <w:r w:rsidRPr="00EF4DEE">
              <w:rPr>
                <w:bCs w:val="0"/>
                <w:sz w:val="12"/>
                <w:szCs w:val="12"/>
                <w:lang w:val="id-ID"/>
              </w:rPr>
              <w:t>76</w:t>
            </w:r>
            <w:r w:rsidR="00EF4DEE">
              <w:rPr>
                <w:bCs w:val="0"/>
                <w:sz w:val="12"/>
                <w:szCs w:val="12"/>
                <w:lang w:val="id-ID"/>
              </w:rPr>
              <w:t>.</w:t>
            </w:r>
            <w:r w:rsidRPr="00EF4DEE">
              <w:rPr>
                <w:bCs w:val="0"/>
                <w:sz w:val="12"/>
                <w:szCs w:val="12"/>
                <w:lang w:val="id-ID"/>
              </w:rPr>
              <w:t>306</w:t>
            </w:r>
            <w:r w:rsidR="00EF4DEE">
              <w:rPr>
                <w:bCs w:val="0"/>
                <w:sz w:val="12"/>
                <w:szCs w:val="12"/>
                <w:lang w:val="id-ID"/>
              </w:rPr>
              <w:t>.</w:t>
            </w:r>
            <w:r w:rsidRPr="00EF4DEE">
              <w:rPr>
                <w:bCs w:val="0"/>
                <w:sz w:val="12"/>
                <w:szCs w:val="12"/>
                <w:lang w:val="id-ID"/>
              </w:rPr>
              <w:t>054</w:t>
            </w:r>
            <w:r w:rsidR="00EF4DEE">
              <w:rPr>
                <w:bCs w:val="0"/>
                <w:sz w:val="12"/>
                <w:szCs w:val="12"/>
                <w:lang w:val="id-ID"/>
              </w:rPr>
              <w:t>.</w:t>
            </w:r>
            <w:r w:rsidRPr="00EF4DEE">
              <w:rPr>
                <w:bCs w:val="0"/>
                <w:sz w:val="12"/>
                <w:szCs w:val="12"/>
                <w:lang w:val="id-ID"/>
              </w:rPr>
              <w:t>503</w:t>
            </w:r>
          </w:p>
        </w:tc>
        <w:tc>
          <w:tcPr>
            <w:tcW w:w="1511" w:type="dxa"/>
            <w:tcBorders>
              <w:top w:val="nil"/>
              <w:left w:val="nil"/>
              <w:bottom w:val="nil"/>
              <w:right w:val="nil"/>
            </w:tcBorders>
            <w:shd w:val="clear" w:color="auto" w:fill="auto"/>
            <w:vAlign w:val="bottom"/>
          </w:tcPr>
          <w:p w14:paraId="1E8742FC" w14:textId="77777777" w:rsidR="003734F4" w:rsidRPr="001775FB" w:rsidRDefault="003734F4" w:rsidP="003734F4">
            <w:pPr>
              <w:tabs>
                <w:tab w:val="left" w:pos="1360"/>
                <w:tab w:val="left" w:pos="1410"/>
              </w:tabs>
              <w:spacing w:line="160" w:lineRule="exact"/>
              <w:ind w:right="72"/>
              <w:jc w:val="right"/>
              <w:rPr>
                <w:i/>
                <w:iCs/>
                <w:sz w:val="14"/>
                <w:szCs w:val="14"/>
              </w:rPr>
            </w:pPr>
            <w:r w:rsidRPr="001775FB">
              <w:rPr>
                <w:i/>
                <w:iCs/>
                <w:sz w:val="14"/>
                <w:szCs w:val="14"/>
              </w:rPr>
              <w:t>Mechine</w:t>
            </w:r>
          </w:p>
        </w:tc>
      </w:tr>
      <w:tr w:rsidR="003734F4" w:rsidRPr="001775FB" w14:paraId="5C0E7815" w14:textId="77777777" w:rsidTr="003734F4">
        <w:trPr>
          <w:cantSplit/>
          <w:trHeight w:val="80"/>
        </w:trPr>
        <w:tc>
          <w:tcPr>
            <w:tcW w:w="1820" w:type="dxa"/>
            <w:tcBorders>
              <w:top w:val="nil"/>
              <w:left w:val="nil"/>
              <w:bottom w:val="nil"/>
              <w:right w:val="nil"/>
            </w:tcBorders>
            <w:shd w:val="clear" w:color="auto" w:fill="auto"/>
            <w:vAlign w:val="bottom"/>
          </w:tcPr>
          <w:p w14:paraId="0E4FA9F5" w14:textId="010CEA6C" w:rsidR="003734F4" w:rsidRPr="001775FB" w:rsidRDefault="003734F4" w:rsidP="003734F4">
            <w:pPr>
              <w:spacing w:line="160" w:lineRule="exact"/>
              <w:ind w:left="567" w:right="17" w:hanging="141"/>
              <w:rPr>
                <w:bCs w:val="0"/>
                <w:sz w:val="14"/>
                <w:szCs w:val="14"/>
              </w:rPr>
            </w:pPr>
            <w:r w:rsidRPr="001775FB">
              <w:rPr>
                <w:bCs w:val="0"/>
                <w:sz w:val="14"/>
                <w:szCs w:val="14"/>
              </w:rPr>
              <w:t>Perabotan dan perlengkapan</w:t>
            </w:r>
          </w:p>
        </w:tc>
        <w:tc>
          <w:tcPr>
            <w:tcW w:w="1133" w:type="dxa"/>
            <w:tcBorders>
              <w:top w:val="nil"/>
              <w:left w:val="nil"/>
              <w:right w:val="nil"/>
            </w:tcBorders>
            <w:shd w:val="clear" w:color="auto" w:fill="auto"/>
            <w:vAlign w:val="bottom"/>
          </w:tcPr>
          <w:p w14:paraId="2137C1D8" w14:textId="2285F5F2" w:rsidR="003734F4" w:rsidRPr="00EF4DEE" w:rsidRDefault="003734F4" w:rsidP="003734F4">
            <w:pPr>
              <w:spacing w:line="160" w:lineRule="exact"/>
              <w:ind w:left="-57" w:right="28"/>
              <w:jc w:val="right"/>
              <w:rPr>
                <w:bCs w:val="0"/>
                <w:sz w:val="12"/>
                <w:szCs w:val="12"/>
              </w:rPr>
            </w:pPr>
            <w:r w:rsidRPr="00EF4DEE">
              <w:rPr>
                <w:bCs w:val="0"/>
                <w:sz w:val="12"/>
                <w:szCs w:val="12"/>
              </w:rPr>
              <w:t>12.330.544.436</w:t>
            </w:r>
          </w:p>
        </w:tc>
        <w:tc>
          <w:tcPr>
            <w:tcW w:w="94" w:type="dxa"/>
            <w:tcBorders>
              <w:top w:val="nil"/>
              <w:left w:val="nil"/>
              <w:right w:val="nil"/>
            </w:tcBorders>
            <w:shd w:val="clear" w:color="auto" w:fill="auto"/>
            <w:vAlign w:val="bottom"/>
          </w:tcPr>
          <w:p w14:paraId="73144AE4" w14:textId="77777777" w:rsidR="003734F4" w:rsidRPr="00EF4DEE" w:rsidRDefault="003734F4" w:rsidP="003734F4">
            <w:pPr>
              <w:spacing w:line="160" w:lineRule="exact"/>
              <w:ind w:right="18"/>
              <w:jc w:val="right"/>
              <w:rPr>
                <w:bCs w:val="0"/>
                <w:sz w:val="12"/>
                <w:szCs w:val="12"/>
              </w:rPr>
            </w:pPr>
          </w:p>
        </w:tc>
        <w:tc>
          <w:tcPr>
            <w:tcW w:w="1047" w:type="dxa"/>
            <w:tcBorders>
              <w:top w:val="nil"/>
              <w:left w:val="nil"/>
              <w:right w:val="nil"/>
            </w:tcBorders>
            <w:shd w:val="clear" w:color="auto" w:fill="auto"/>
            <w:vAlign w:val="bottom"/>
          </w:tcPr>
          <w:p w14:paraId="6C89FB58" w14:textId="179D6030" w:rsidR="003734F4" w:rsidRPr="00EF4DEE" w:rsidRDefault="009D0B95" w:rsidP="003734F4">
            <w:pPr>
              <w:spacing w:line="160" w:lineRule="exact"/>
              <w:ind w:right="57"/>
              <w:jc w:val="right"/>
              <w:rPr>
                <w:bCs w:val="0"/>
                <w:sz w:val="12"/>
                <w:szCs w:val="12"/>
              </w:rPr>
            </w:pPr>
            <w:r w:rsidRPr="00EF4DEE">
              <w:rPr>
                <w:bCs w:val="0"/>
                <w:sz w:val="12"/>
                <w:szCs w:val="12"/>
              </w:rPr>
              <w:t>5</w:t>
            </w:r>
            <w:r w:rsidR="00EF4DEE">
              <w:rPr>
                <w:bCs w:val="0"/>
                <w:sz w:val="12"/>
                <w:szCs w:val="12"/>
              </w:rPr>
              <w:t>.</w:t>
            </w:r>
            <w:r w:rsidRPr="00EF4DEE">
              <w:rPr>
                <w:bCs w:val="0"/>
                <w:sz w:val="12"/>
                <w:szCs w:val="12"/>
              </w:rPr>
              <w:t>529</w:t>
            </w:r>
            <w:r w:rsidR="00EF4DEE">
              <w:rPr>
                <w:bCs w:val="0"/>
                <w:sz w:val="12"/>
                <w:szCs w:val="12"/>
              </w:rPr>
              <w:t>.</w:t>
            </w:r>
            <w:r w:rsidRPr="00EF4DEE">
              <w:rPr>
                <w:bCs w:val="0"/>
                <w:sz w:val="12"/>
                <w:szCs w:val="12"/>
              </w:rPr>
              <w:t>798</w:t>
            </w:r>
            <w:r w:rsidR="00EF4DEE">
              <w:rPr>
                <w:bCs w:val="0"/>
                <w:sz w:val="12"/>
                <w:szCs w:val="12"/>
              </w:rPr>
              <w:t>.</w:t>
            </w:r>
            <w:r w:rsidRPr="00EF4DEE">
              <w:rPr>
                <w:bCs w:val="0"/>
                <w:sz w:val="12"/>
                <w:szCs w:val="12"/>
              </w:rPr>
              <w:t>323</w:t>
            </w:r>
          </w:p>
        </w:tc>
        <w:tc>
          <w:tcPr>
            <w:tcW w:w="100" w:type="dxa"/>
            <w:tcBorders>
              <w:top w:val="nil"/>
              <w:left w:val="nil"/>
              <w:right w:val="nil"/>
            </w:tcBorders>
            <w:shd w:val="clear" w:color="auto" w:fill="auto"/>
            <w:vAlign w:val="bottom"/>
          </w:tcPr>
          <w:p w14:paraId="047C5C2E" w14:textId="77777777" w:rsidR="003734F4" w:rsidRPr="00EF4DEE" w:rsidRDefault="003734F4" w:rsidP="003734F4">
            <w:pPr>
              <w:spacing w:line="160" w:lineRule="exact"/>
              <w:ind w:right="18"/>
              <w:jc w:val="right"/>
              <w:rPr>
                <w:bCs w:val="0"/>
                <w:sz w:val="12"/>
                <w:szCs w:val="12"/>
              </w:rPr>
            </w:pPr>
          </w:p>
        </w:tc>
        <w:tc>
          <w:tcPr>
            <w:tcW w:w="1070" w:type="dxa"/>
            <w:tcBorders>
              <w:top w:val="nil"/>
              <w:left w:val="nil"/>
              <w:right w:val="nil"/>
            </w:tcBorders>
            <w:shd w:val="clear" w:color="auto" w:fill="auto"/>
            <w:vAlign w:val="bottom"/>
          </w:tcPr>
          <w:p w14:paraId="0293593E" w14:textId="6595C345" w:rsidR="003734F4" w:rsidRPr="00EF4DEE" w:rsidRDefault="00071C5D" w:rsidP="003734F4">
            <w:pPr>
              <w:spacing w:line="160" w:lineRule="exact"/>
              <w:ind w:right="28"/>
              <w:jc w:val="right"/>
              <w:rPr>
                <w:bCs w:val="0"/>
                <w:sz w:val="12"/>
                <w:szCs w:val="12"/>
              </w:rPr>
            </w:pPr>
            <w:r>
              <w:rPr>
                <w:bCs w:val="0"/>
                <w:sz w:val="12"/>
                <w:szCs w:val="12"/>
              </w:rPr>
              <w:t>-</w:t>
            </w:r>
          </w:p>
        </w:tc>
        <w:tc>
          <w:tcPr>
            <w:tcW w:w="94" w:type="dxa"/>
            <w:tcBorders>
              <w:top w:val="nil"/>
              <w:left w:val="nil"/>
              <w:right w:val="nil"/>
            </w:tcBorders>
            <w:shd w:val="clear" w:color="auto" w:fill="auto"/>
            <w:vAlign w:val="bottom"/>
          </w:tcPr>
          <w:p w14:paraId="69D35F0F" w14:textId="77777777" w:rsidR="003734F4" w:rsidRPr="00EF4DEE" w:rsidRDefault="003734F4" w:rsidP="003734F4">
            <w:pPr>
              <w:spacing w:line="160" w:lineRule="exact"/>
              <w:ind w:right="28"/>
              <w:jc w:val="right"/>
              <w:rPr>
                <w:bCs w:val="0"/>
                <w:sz w:val="12"/>
                <w:szCs w:val="12"/>
              </w:rPr>
            </w:pPr>
          </w:p>
        </w:tc>
        <w:tc>
          <w:tcPr>
            <w:tcW w:w="1101" w:type="dxa"/>
            <w:tcBorders>
              <w:top w:val="nil"/>
              <w:left w:val="nil"/>
              <w:right w:val="nil"/>
            </w:tcBorders>
          </w:tcPr>
          <w:p w14:paraId="6CF2C3DA" w14:textId="26424F41" w:rsidR="003734F4" w:rsidRPr="00EF4DEE" w:rsidRDefault="003734F4" w:rsidP="003734F4">
            <w:pPr>
              <w:spacing w:line="160" w:lineRule="exact"/>
              <w:ind w:left="-57" w:right="28"/>
              <w:jc w:val="right"/>
              <w:rPr>
                <w:bCs w:val="0"/>
                <w:sz w:val="12"/>
                <w:szCs w:val="12"/>
              </w:rPr>
            </w:pPr>
          </w:p>
        </w:tc>
        <w:tc>
          <w:tcPr>
            <w:tcW w:w="94" w:type="dxa"/>
            <w:tcBorders>
              <w:top w:val="nil"/>
              <w:left w:val="nil"/>
              <w:right w:val="nil"/>
            </w:tcBorders>
            <w:vAlign w:val="bottom"/>
          </w:tcPr>
          <w:p w14:paraId="38506746" w14:textId="3D71195D" w:rsidR="003734F4" w:rsidRPr="00EF4DEE" w:rsidRDefault="00071C5D" w:rsidP="003734F4">
            <w:pPr>
              <w:spacing w:line="160" w:lineRule="exact"/>
              <w:ind w:left="-57" w:right="28"/>
              <w:jc w:val="right"/>
              <w:rPr>
                <w:bCs w:val="0"/>
                <w:sz w:val="12"/>
                <w:szCs w:val="12"/>
              </w:rPr>
            </w:pPr>
            <w:r>
              <w:rPr>
                <w:bCs w:val="0"/>
                <w:sz w:val="12"/>
                <w:szCs w:val="12"/>
              </w:rPr>
              <w:t>-</w:t>
            </w:r>
          </w:p>
        </w:tc>
        <w:tc>
          <w:tcPr>
            <w:tcW w:w="1133" w:type="dxa"/>
            <w:tcBorders>
              <w:top w:val="nil"/>
              <w:left w:val="nil"/>
              <w:right w:val="nil"/>
            </w:tcBorders>
            <w:shd w:val="clear" w:color="auto" w:fill="auto"/>
            <w:vAlign w:val="bottom"/>
          </w:tcPr>
          <w:p w14:paraId="7F96C39D" w14:textId="7FB01B27" w:rsidR="003734F4" w:rsidRPr="00EF4DEE" w:rsidRDefault="009D0B95" w:rsidP="003734F4">
            <w:pPr>
              <w:spacing w:line="160" w:lineRule="exact"/>
              <w:ind w:left="-57" w:right="28"/>
              <w:jc w:val="right"/>
              <w:rPr>
                <w:bCs w:val="0"/>
                <w:sz w:val="12"/>
                <w:szCs w:val="12"/>
              </w:rPr>
            </w:pPr>
            <w:r w:rsidRPr="00EF4DEE">
              <w:rPr>
                <w:bCs w:val="0"/>
                <w:sz w:val="12"/>
                <w:szCs w:val="12"/>
              </w:rPr>
              <w:t>17</w:t>
            </w:r>
            <w:r w:rsidR="00EF4DEE">
              <w:rPr>
                <w:bCs w:val="0"/>
                <w:sz w:val="12"/>
                <w:szCs w:val="12"/>
              </w:rPr>
              <w:t>.</w:t>
            </w:r>
            <w:r w:rsidRPr="00EF4DEE">
              <w:rPr>
                <w:bCs w:val="0"/>
                <w:sz w:val="12"/>
                <w:szCs w:val="12"/>
              </w:rPr>
              <w:t>860</w:t>
            </w:r>
            <w:r w:rsidR="00EF4DEE">
              <w:rPr>
                <w:bCs w:val="0"/>
                <w:sz w:val="12"/>
                <w:szCs w:val="12"/>
              </w:rPr>
              <w:t>.</w:t>
            </w:r>
            <w:r w:rsidRPr="00EF4DEE">
              <w:rPr>
                <w:bCs w:val="0"/>
                <w:sz w:val="12"/>
                <w:szCs w:val="12"/>
              </w:rPr>
              <w:t>342</w:t>
            </w:r>
            <w:r w:rsidR="00EF4DEE">
              <w:rPr>
                <w:bCs w:val="0"/>
                <w:sz w:val="12"/>
                <w:szCs w:val="12"/>
              </w:rPr>
              <w:t>.</w:t>
            </w:r>
            <w:r w:rsidRPr="00EF4DEE">
              <w:rPr>
                <w:bCs w:val="0"/>
                <w:sz w:val="12"/>
                <w:szCs w:val="12"/>
              </w:rPr>
              <w:t>759</w:t>
            </w:r>
          </w:p>
        </w:tc>
        <w:tc>
          <w:tcPr>
            <w:tcW w:w="1511" w:type="dxa"/>
            <w:tcBorders>
              <w:top w:val="nil"/>
              <w:left w:val="nil"/>
              <w:bottom w:val="nil"/>
              <w:right w:val="nil"/>
            </w:tcBorders>
            <w:shd w:val="clear" w:color="auto" w:fill="auto"/>
            <w:vAlign w:val="bottom"/>
          </w:tcPr>
          <w:p w14:paraId="6F18E832" w14:textId="77777777" w:rsidR="003734F4" w:rsidRDefault="003734F4" w:rsidP="003734F4">
            <w:pPr>
              <w:tabs>
                <w:tab w:val="left" w:pos="1360"/>
                <w:tab w:val="left" w:pos="1410"/>
              </w:tabs>
              <w:spacing w:line="160" w:lineRule="exact"/>
              <w:ind w:right="72"/>
              <w:jc w:val="right"/>
              <w:rPr>
                <w:i/>
                <w:iCs/>
                <w:sz w:val="14"/>
                <w:szCs w:val="14"/>
              </w:rPr>
            </w:pPr>
            <w:r w:rsidRPr="001775FB">
              <w:rPr>
                <w:i/>
                <w:iCs/>
                <w:sz w:val="14"/>
                <w:szCs w:val="14"/>
              </w:rPr>
              <w:t xml:space="preserve">Funitures and </w:t>
            </w:r>
          </w:p>
          <w:p w14:paraId="55DB6069" w14:textId="2D3BEDA7" w:rsidR="003734F4" w:rsidRPr="008C5534" w:rsidRDefault="003734F4" w:rsidP="003734F4">
            <w:pPr>
              <w:ind w:right="198"/>
              <w:jc w:val="right"/>
              <w:rPr>
                <w:bCs w:val="0"/>
                <w:i/>
                <w:iCs/>
                <w:sz w:val="14"/>
                <w:szCs w:val="14"/>
              </w:rPr>
            </w:pPr>
            <w:r w:rsidRPr="008C5534">
              <w:rPr>
                <w:bCs w:val="0"/>
                <w:i/>
                <w:color w:val="1D1B11"/>
                <w:sz w:val="14"/>
                <w:szCs w:val="14"/>
              </w:rPr>
              <w:t>fixtures</w:t>
            </w:r>
          </w:p>
        </w:tc>
      </w:tr>
      <w:tr w:rsidR="003734F4" w:rsidRPr="001775FB" w14:paraId="067E9300" w14:textId="77777777" w:rsidTr="003734F4">
        <w:trPr>
          <w:cantSplit/>
        </w:trPr>
        <w:tc>
          <w:tcPr>
            <w:tcW w:w="1820" w:type="dxa"/>
            <w:tcBorders>
              <w:top w:val="nil"/>
              <w:left w:val="nil"/>
              <w:bottom w:val="nil"/>
              <w:right w:val="nil"/>
            </w:tcBorders>
            <w:shd w:val="clear" w:color="auto" w:fill="auto"/>
            <w:vAlign w:val="bottom"/>
          </w:tcPr>
          <w:p w14:paraId="32219299" w14:textId="77777777" w:rsidR="003734F4" w:rsidRPr="001775FB" w:rsidRDefault="003734F4" w:rsidP="003734F4">
            <w:pPr>
              <w:spacing w:line="160" w:lineRule="exact"/>
              <w:ind w:left="567" w:right="17" w:hanging="141"/>
              <w:rPr>
                <w:bCs w:val="0"/>
                <w:sz w:val="14"/>
                <w:szCs w:val="14"/>
              </w:rPr>
            </w:pPr>
            <w:r w:rsidRPr="001775FB">
              <w:rPr>
                <w:bCs w:val="0"/>
                <w:sz w:val="14"/>
                <w:szCs w:val="14"/>
              </w:rPr>
              <w:t>Kendaraan</w:t>
            </w:r>
          </w:p>
        </w:tc>
        <w:tc>
          <w:tcPr>
            <w:tcW w:w="1133" w:type="dxa"/>
            <w:tcBorders>
              <w:top w:val="nil"/>
              <w:left w:val="nil"/>
              <w:right w:val="nil"/>
            </w:tcBorders>
            <w:shd w:val="clear" w:color="auto" w:fill="auto"/>
            <w:vAlign w:val="bottom"/>
          </w:tcPr>
          <w:p w14:paraId="4D01D0AC" w14:textId="0EC00D6E" w:rsidR="003734F4" w:rsidRPr="00EF4DEE" w:rsidRDefault="003734F4" w:rsidP="003734F4">
            <w:pPr>
              <w:spacing w:line="160" w:lineRule="exact"/>
              <w:ind w:left="-57" w:right="28"/>
              <w:jc w:val="right"/>
              <w:rPr>
                <w:bCs w:val="0"/>
                <w:sz w:val="12"/>
                <w:szCs w:val="12"/>
              </w:rPr>
            </w:pPr>
            <w:r w:rsidRPr="00EF4DEE">
              <w:rPr>
                <w:bCs w:val="0"/>
                <w:sz w:val="12"/>
                <w:szCs w:val="12"/>
              </w:rPr>
              <w:t>14.790.490.900</w:t>
            </w:r>
          </w:p>
        </w:tc>
        <w:tc>
          <w:tcPr>
            <w:tcW w:w="94" w:type="dxa"/>
            <w:tcBorders>
              <w:top w:val="nil"/>
              <w:left w:val="nil"/>
              <w:right w:val="nil"/>
            </w:tcBorders>
            <w:shd w:val="clear" w:color="auto" w:fill="auto"/>
            <w:vAlign w:val="bottom"/>
          </w:tcPr>
          <w:p w14:paraId="59AF2F33" w14:textId="77777777" w:rsidR="003734F4" w:rsidRPr="00EF4DEE" w:rsidRDefault="003734F4" w:rsidP="003734F4">
            <w:pPr>
              <w:spacing w:line="160" w:lineRule="exact"/>
              <w:ind w:right="18"/>
              <w:jc w:val="right"/>
              <w:rPr>
                <w:bCs w:val="0"/>
                <w:sz w:val="12"/>
                <w:szCs w:val="12"/>
              </w:rPr>
            </w:pPr>
          </w:p>
        </w:tc>
        <w:tc>
          <w:tcPr>
            <w:tcW w:w="1047" w:type="dxa"/>
            <w:tcBorders>
              <w:top w:val="nil"/>
              <w:left w:val="nil"/>
              <w:right w:val="nil"/>
            </w:tcBorders>
            <w:shd w:val="clear" w:color="auto" w:fill="auto"/>
            <w:vAlign w:val="bottom"/>
          </w:tcPr>
          <w:p w14:paraId="30B293C4" w14:textId="3C3CA260" w:rsidR="003734F4" w:rsidRPr="00EF4DEE" w:rsidRDefault="00071C5D" w:rsidP="003734F4">
            <w:pPr>
              <w:spacing w:line="160" w:lineRule="exact"/>
              <w:ind w:right="57"/>
              <w:jc w:val="right"/>
              <w:rPr>
                <w:bCs w:val="0"/>
                <w:sz w:val="12"/>
                <w:szCs w:val="12"/>
              </w:rPr>
            </w:pPr>
            <w:r>
              <w:rPr>
                <w:bCs w:val="0"/>
                <w:sz w:val="12"/>
                <w:szCs w:val="12"/>
              </w:rPr>
              <w:t>-</w:t>
            </w:r>
          </w:p>
        </w:tc>
        <w:tc>
          <w:tcPr>
            <w:tcW w:w="100" w:type="dxa"/>
            <w:tcBorders>
              <w:top w:val="nil"/>
              <w:left w:val="nil"/>
              <w:right w:val="nil"/>
            </w:tcBorders>
            <w:shd w:val="clear" w:color="auto" w:fill="auto"/>
            <w:vAlign w:val="bottom"/>
          </w:tcPr>
          <w:p w14:paraId="4DDB90AE" w14:textId="77777777" w:rsidR="003734F4" w:rsidRPr="00EF4DEE" w:rsidRDefault="003734F4" w:rsidP="003734F4">
            <w:pPr>
              <w:spacing w:line="160" w:lineRule="exact"/>
              <w:ind w:right="18"/>
              <w:jc w:val="right"/>
              <w:rPr>
                <w:bCs w:val="0"/>
                <w:sz w:val="12"/>
                <w:szCs w:val="12"/>
              </w:rPr>
            </w:pPr>
          </w:p>
        </w:tc>
        <w:tc>
          <w:tcPr>
            <w:tcW w:w="1070" w:type="dxa"/>
            <w:tcBorders>
              <w:top w:val="nil"/>
              <w:left w:val="nil"/>
              <w:right w:val="nil"/>
            </w:tcBorders>
            <w:shd w:val="clear" w:color="auto" w:fill="auto"/>
            <w:vAlign w:val="bottom"/>
          </w:tcPr>
          <w:p w14:paraId="3974BA40" w14:textId="6D918BFC" w:rsidR="003734F4" w:rsidRPr="00EF4DEE" w:rsidRDefault="00071C5D" w:rsidP="003734F4">
            <w:pPr>
              <w:spacing w:line="160" w:lineRule="exact"/>
              <w:ind w:right="28"/>
              <w:jc w:val="right"/>
              <w:rPr>
                <w:bCs w:val="0"/>
                <w:sz w:val="12"/>
                <w:szCs w:val="12"/>
              </w:rPr>
            </w:pPr>
            <w:r>
              <w:rPr>
                <w:bCs w:val="0"/>
                <w:sz w:val="12"/>
                <w:szCs w:val="12"/>
              </w:rPr>
              <w:t>-</w:t>
            </w:r>
          </w:p>
        </w:tc>
        <w:tc>
          <w:tcPr>
            <w:tcW w:w="94" w:type="dxa"/>
            <w:tcBorders>
              <w:top w:val="nil"/>
              <w:left w:val="nil"/>
              <w:right w:val="nil"/>
            </w:tcBorders>
            <w:shd w:val="clear" w:color="auto" w:fill="auto"/>
            <w:vAlign w:val="bottom"/>
          </w:tcPr>
          <w:p w14:paraId="4E19EE1C" w14:textId="77777777" w:rsidR="003734F4" w:rsidRPr="00EF4DEE" w:rsidRDefault="003734F4" w:rsidP="003734F4">
            <w:pPr>
              <w:spacing w:line="160" w:lineRule="exact"/>
              <w:ind w:right="28"/>
              <w:jc w:val="right"/>
              <w:rPr>
                <w:bCs w:val="0"/>
                <w:sz w:val="12"/>
                <w:szCs w:val="12"/>
              </w:rPr>
            </w:pPr>
          </w:p>
        </w:tc>
        <w:tc>
          <w:tcPr>
            <w:tcW w:w="1101" w:type="dxa"/>
            <w:tcBorders>
              <w:top w:val="nil"/>
              <w:left w:val="nil"/>
              <w:right w:val="nil"/>
            </w:tcBorders>
            <w:vAlign w:val="bottom"/>
          </w:tcPr>
          <w:p w14:paraId="53D07F3D" w14:textId="03B431F8" w:rsidR="003734F4" w:rsidRPr="00EF4DEE" w:rsidRDefault="00071C5D" w:rsidP="003734F4">
            <w:pPr>
              <w:spacing w:line="160" w:lineRule="exact"/>
              <w:ind w:left="-57" w:right="28"/>
              <w:jc w:val="right"/>
              <w:rPr>
                <w:bCs w:val="0"/>
                <w:sz w:val="12"/>
                <w:szCs w:val="12"/>
              </w:rPr>
            </w:pPr>
            <w:r>
              <w:rPr>
                <w:bCs w:val="0"/>
                <w:sz w:val="12"/>
                <w:szCs w:val="12"/>
              </w:rPr>
              <w:t>-</w:t>
            </w:r>
          </w:p>
        </w:tc>
        <w:tc>
          <w:tcPr>
            <w:tcW w:w="94" w:type="dxa"/>
            <w:tcBorders>
              <w:top w:val="nil"/>
              <w:left w:val="nil"/>
              <w:right w:val="nil"/>
            </w:tcBorders>
            <w:vAlign w:val="bottom"/>
          </w:tcPr>
          <w:p w14:paraId="00AE238D" w14:textId="77777777" w:rsidR="003734F4" w:rsidRPr="00EF4DEE" w:rsidRDefault="003734F4" w:rsidP="003734F4">
            <w:pPr>
              <w:spacing w:line="160" w:lineRule="exact"/>
              <w:ind w:left="-57" w:right="28"/>
              <w:jc w:val="right"/>
              <w:rPr>
                <w:bCs w:val="0"/>
                <w:sz w:val="12"/>
                <w:szCs w:val="12"/>
              </w:rPr>
            </w:pPr>
          </w:p>
        </w:tc>
        <w:tc>
          <w:tcPr>
            <w:tcW w:w="1133" w:type="dxa"/>
            <w:tcBorders>
              <w:top w:val="nil"/>
              <w:left w:val="nil"/>
              <w:right w:val="nil"/>
            </w:tcBorders>
            <w:shd w:val="clear" w:color="auto" w:fill="auto"/>
            <w:vAlign w:val="bottom"/>
          </w:tcPr>
          <w:p w14:paraId="33968A47" w14:textId="7FC168B2" w:rsidR="003734F4" w:rsidRPr="00EF4DEE" w:rsidRDefault="009D0B95" w:rsidP="003734F4">
            <w:pPr>
              <w:spacing w:line="160" w:lineRule="exact"/>
              <w:ind w:left="-57" w:right="28"/>
              <w:jc w:val="right"/>
              <w:rPr>
                <w:bCs w:val="0"/>
                <w:sz w:val="12"/>
                <w:szCs w:val="12"/>
              </w:rPr>
            </w:pPr>
            <w:r w:rsidRPr="00EF4DEE">
              <w:rPr>
                <w:bCs w:val="0"/>
                <w:sz w:val="12"/>
                <w:szCs w:val="12"/>
              </w:rPr>
              <w:t>14</w:t>
            </w:r>
            <w:r w:rsidR="00EF4DEE">
              <w:rPr>
                <w:bCs w:val="0"/>
                <w:sz w:val="12"/>
                <w:szCs w:val="12"/>
              </w:rPr>
              <w:t>.</w:t>
            </w:r>
            <w:r w:rsidRPr="00EF4DEE">
              <w:rPr>
                <w:bCs w:val="0"/>
                <w:sz w:val="12"/>
                <w:szCs w:val="12"/>
              </w:rPr>
              <w:t>790</w:t>
            </w:r>
            <w:r w:rsidR="00EF4DEE">
              <w:rPr>
                <w:bCs w:val="0"/>
                <w:sz w:val="12"/>
                <w:szCs w:val="12"/>
              </w:rPr>
              <w:t>.</w:t>
            </w:r>
            <w:r w:rsidRPr="00EF4DEE">
              <w:rPr>
                <w:bCs w:val="0"/>
                <w:sz w:val="12"/>
                <w:szCs w:val="12"/>
              </w:rPr>
              <w:t>490</w:t>
            </w:r>
            <w:r w:rsidR="00EF4DEE">
              <w:rPr>
                <w:bCs w:val="0"/>
                <w:sz w:val="12"/>
                <w:szCs w:val="12"/>
              </w:rPr>
              <w:t>.</w:t>
            </w:r>
            <w:r w:rsidRPr="00EF4DEE">
              <w:rPr>
                <w:bCs w:val="0"/>
                <w:sz w:val="12"/>
                <w:szCs w:val="12"/>
              </w:rPr>
              <w:t>900</w:t>
            </w:r>
          </w:p>
        </w:tc>
        <w:tc>
          <w:tcPr>
            <w:tcW w:w="1511" w:type="dxa"/>
            <w:tcBorders>
              <w:top w:val="nil"/>
              <w:left w:val="nil"/>
              <w:bottom w:val="nil"/>
              <w:right w:val="nil"/>
            </w:tcBorders>
            <w:shd w:val="clear" w:color="auto" w:fill="auto"/>
            <w:vAlign w:val="bottom"/>
          </w:tcPr>
          <w:p w14:paraId="31438629" w14:textId="77777777" w:rsidR="003734F4" w:rsidRPr="001775FB" w:rsidRDefault="003734F4" w:rsidP="003734F4">
            <w:pPr>
              <w:tabs>
                <w:tab w:val="left" w:pos="1360"/>
                <w:tab w:val="left" w:pos="1410"/>
              </w:tabs>
              <w:spacing w:line="160" w:lineRule="exact"/>
              <w:ind w:right="72"/>
              <w:jc w:val="right"/>
              <w:rPr>
                <w:i/>
                <w:iCs/>
                <w:sz w:val="14"/>
                <w:szCs w:val="14"/>
              </w:rPr>
            </w:pPr>
            <w:r w:rsidRPr="001775FB">
              <w:rPr>
                <w:i/>
                <w:iCs/>
                <w:sz w:val="14"/>
                <w:szCs w:val="14"/>
              </w:rPr>
              <w:t>Vehicles</w:t>
            </w:r>
          </w:p>
        </w:tc>
      </w:tr>
      <w:tr w:rsidR="003734F4" w:rsidRPr="001775FB" w14:paraId="1CA347AE" w14:textId="77777777" w:rsidTr="003734F4">
        <w:trPr>
          <w:cantSplit/>
        </w:trPr>
        <w:tc>
          <w:tcPr>
            <w:tcW w:w="1820" w:type="dxa"/>
            <w:tcBorders>
              <w:top w:val="nil"/>
              <w:left w:val="nil"/>
              <w:bottom w:val="nil"/>
              <w:right w:val="nil"/>
            </w:tcBorders>
            <w:shd w:val="clear" w:color="auto" w:fill="auto"/>
            <w:vAlign w:val="bottom"/>
          </w:tcPr>
          <w:p w14:paraId="40DA1664" w14:textId="77777777" w:rsidR="003734F4" w:rsidRPr="001775FB" w:rsidRDefault="003734F4" w:rsidP="003734F4">
            <w:pPr>
              <w:spacing w:line="160" w:lineRule="exact"/>
              <w:ind w:left="567" w:right="17" w:hanging="141"/>
              <w:rPr>
                <w:bCs w:val="0"/>
                <w:sz w:val="14"/>
                <w:szCs w:val="14"/>
              </w:rPr>
            </w:pPr>
            <w:r w:rsidRPr="001775FB">
              <w:rPr>
                <w:bCs w:val="0"/>
                <w:sz w:val="14"/>
                <w:szCs w:val="14"/>
              </w:rPr>
              <w:t>Peralatan kantor</w:t>
            </w:r>
          </w:p>
        </w:tc>
        <w:tc>
          <w:tcPr>
            <w:tcW w:w="1133" w:type="dxa"/>
            <w:tcBorders>
              <w:top w:val="nil"/>
              <w:left w:val="nil"/>
              <w:right w:val="nil"/>
            </w:tcBorders>
            <w:shd w:val="clear" w:color="auto" w:fill="auto"/>
            <w:vAlign w:val="bottom"/>
          </w:tcPr>
          <w:p w14:paraId="0999E30B" w14:textId="5E67BC14" w:rsidR="003734F4" w:rsidRPr="00EF4DEE" w:rsidRDefault="003734F4" w:rsidP="003734F4">
            <w:pPr>
              <w:spacing w:line="160" w:lineRule="exact"/>
              <w:ind w:left="-57" w:right="28"/>
              <w:jc w:val="right"/>
              <w:rPr>
                <w:bCs w:val="0"/>
                <w:sz w:val="12"/>
                <w:szCs w:val="12"/>
              </w:rPr>
            </w:pPr>
            <w:r w:rsidRPr="00EF4DEE">
              <w:rPr>
                <w:w w:val="105"/>
                <w:sz w:val="12"/>
                <w:szCs w:val="12"/>
              </w:rPr>
              <w:t>47.559.432.369</w:t>
            </w:r>
          </w:p>
        </w:tc>
        <w:tc>
          <w:tcPr>
            <w:tcW w:w="94" w:type="dxa"/>
            <w:tcBorders>
              <w:top w:val="nil"/>
              <w:left w:val="nil"/>
              <w:right w:val="nil"/>
            </w:tcBorders>
            <w:shd w:val="clear" w:color="auto" w:fill="auto"/>
            <w:vAlign w:val="bottom"/>
          </w:tcPr>
          <w:p w14:paraId="6FA7DDA8" w14:textId="77777777" w:rsidR="003734F4" w:rsidRPr="00EF4DEE" w:rsidRDefault="003734F4" w:rsidP="003734F4">
            <w:pPr>
              <w:spacing w:line="160" w:lineRule="exact"/>
              <w:ind w:right="18"/>
              <w:jc w:val="right"/>
              <w:rPr>
                <w:bCs w:val="0"/>
                <w:sz w:val="12"/>
                <w:szCs w:val="12"/>
              </w:rPr>
            </w:pPr>
          </w:p>
        </w:tc>
        <w:tc>
          <w:tcPr>
            <w:tcW w:w="1047" w:type="dxa"/>
            <w:tcBorders>
              <w:top w:val="nil"/>
              <w:left w:val="nil"/>
              <w:right w:val="nil"/>
            </w:tcBorders>
            <w:shd w:val="clear" w:color="auto" w:fill="auto"/>
            <w:vAlign w:val="bottom"/>
          </w:tcPr>
          <w:p w14:paraId="15EF6CDF" w14:textId="7D2E2014" w:rsidR="003734F4" w:rsidRPr="00EF4DEE" w:rsidRDefault="00071C5D" w:rsidP="003734F4">
            <w:pPr>
              <w:spacing w:line="160" w:lineRule="exact"/>
              <w:ind w:right="57"/>
              <w:jc w:val="right"/>
              <w:rPr>
                <w:bCs w:val="0"/>
                <w:sz w:val="12"/>
                <w:szCs w:val="12"/>
              </w:rPr>
            </w:pPr>
            <w:r>
              <w:rPr>
                <w:bCs w:val="0"/>
                <w:sz w:val="12"/>
                <w:szCs w:val="12"/>
              </w:rPr>
              <w:t>-</w:t>
            </w:r>
          </w:p>
        </w:tc>
        <w:tc>
          <w:tcPr>
            <w:tcW w:w="100" w:type="dxa"/>
            <w:tcBorders>
              <w:top w:val="nil"/>
              <w:left w:val="nil"/>
              <w:right w:val="nil"/>
            </w:tcBorders>
            <w:shd w:val="clear" w:color="auto" w:fill="auto"/>
            <w:vAlign w:val="bottom"/>
          </w:tcPr>
          <w:p w14:paraId="1D305DA3" w14:textId="77777777" w:rsidR="003734F4" w:rsidRPr="00EF4DEE" w:rsidRDefault="003734F4" w:rsidP="003734F4">
            <w:pPr>
              <w:spacing w:line="160" w:lineRule="exact"/>
              <w:ind w:right="18"/>
              <w:jc w:val="right"/>
              <w:rPr>
                <w:bCs w:val="0"/>
                <w:sz w:val="12"/>
                <w:szCs w:val="12"/>
              </w:rPr>
            </w:pPr>
          </w:p>
        </w:tc>
        <w:tc>
          <w:tcPr>
            <w:tcW w:w="1070" w:type="dxa"/>
            <w:tcBorders>
              <w:top w:val="nil"/>
              <w:left w:val="nil"/>
              <w:right w:val="nil"/>
            </w:tcBorders>
            <w:shd w:val="clear" w:color="auto" w:fill="auto"/>
            <w:vAlign w:val="bottom"/>
          </w:tcPr>
          <w:p w14:paraId="2A5CD08F" w14:textId="623F5F16" w:rsidR="003734F4" w:rsidRPr="00EF4DEE" w:rsidRDefault="009D0B95" w:rsidP="003734F4">
            <w:pPr>
              <w:spacing w:line="160" w:lineRule="exact"/>
              <w:ind w:right="28"/>
              <w:jc w:val="right"/>
              <w:rPr>
                <w:w w:val="105"/>
                <w:sz w:val="12"/>
                <w:szCs w:val="12"/>
              </w:rPr>
            </w:pPr>
            <w:r w:rsidRPr="00EF4DEE">
              <w:rPr>
                <w:w w:val="105"/>
                <w:sz w:val="12"/>
                <w:szCs w:val="12"/>
              </w:rPr>
              <w:t>(849</w:t>
            </w:r>
            <w:r w:rsidR="00EF4DEE">
              <w:rPr>
                <w:w w:val="105"/>
                <w:sz w:val="12"/>
                <w:szCs w:val="12"/>
              </w:rPr>
              <w:t>.</w:t>
            </w:r>
            <w:r w:rsidRPr="00EF4DEE">
              <w:rPr>
                <w:w w:val="105"/>
                <w:sz w:val="12"/>
                <w:szCs w:val="12"/>
              </w:rPr>
              <w:t>610</w:t>
            </w:r>
            <w:r w:rsidR="00EF4DEE">
              <w:rPr>
                <w:w w:val="105"/>
                <w:sz w:val="12"/>
                <w:szCs w:val="12"/>
              </w:rPr>
              <w:t>.</w:t>
            </w:r>
            <w:r w:rsidRPr="00EF4DEE">
              <w:rPr>
                <w:w w:val="105"/>
                <w:sz w:val="12"/>
                <w:szCs w:val="12"/>
              </w:rPr>
              <w:t>375)</w:t>
            </w:r>
          </w:p>
        </w:tc>
        <w:tc>
          <w:tcPr>
            <w:tcW w:w="94" w:type="dxa"/>
            <w:tcBorders>
              <w:top w:val="nil"/>
              <w:left w:val="nil"/>
              <w:right w:val="nil"/>
            </w:tcBorders>
            <w:shd w:val="clear" w:color="auto" w:fill="auto"/>
            <w:vAlign w:val="bottom"/>
          </w:tcPr>
          <w:p w14:paraId="45B9CF3F" w14:textId="77777777" w:rsidR="003734F4" w:rsidRPr="00EF4DEE" w:rsidRDefault="003734F4" w:rsidP="003734F4">
            <w:pPr>
              <w:spacing w:line="160" w:lineRule="exact"/>
              <w:ind w:right="28"/>
              <w:jc w:val="right"/>
              <w:rPr>
                <w:bCs w:val="0"/>
                <w:sz w:val="12"/>
                <w:szCs w:val="12"/>
              </w:rPr>
            </w:pPr>
          </w:p>
        </w:tc>
        <w:tc>
          <w:tcPr>
            <w:tcW w:w="1101" w:type="dxa"/>
            <w:tcBorders>
              <w:top w:val="nil"/>
              <w:left w:val="nil"/>
              <w:bottom w:val="single" w:sz="4" w:space="0" w:color="auto"/>
              <w:right w:val="nil"/>
            </w:tcBorders>
            <w:vAlign w:val="bottom"/>
          </w:tcPr>
          <w:p w14:paraId="045080CD" w14:textId="32EDAE78" w:rsidR="003734F4" w:rsidRPr="00071C5D" w:rsidRDefault="00071C5D" w:rsidP="003734F4">
            <w:pPr>
              <w:spacing w:line="160" w:lineRule="exact"/>
              <w:ind w:left="-57" w:right="28"/>
              <w:jc w:val="right"/>
              <w:rPr>
                <w:w w:val="105"/>
                <w:sz w:val="12"/>
                <w:szCs w:val="12"/>
              </w:rPr>
            </w:pPr>
            <w:r>
              <w:rPr>
                <w:w w:val="105"/>
                <w:sz w:val="12"/>
                <w:szCs w:val="12"/>
              </w:rPr>
              <w:t>-</w:t>
            </w:r>
          </w:p>
        </w:tc>
        <w:tc>
          <w:tcPr>
            <w:tcW w:w="94" w:type="dxa"/>
            <w:tcBorders>
              <w:top w:val="nil"/>
              <w:left w:val="nil"/>
              <w:right w:val="nil"/>
            </w:tcBorders>
            <w:vAlign w:val="bottom"/>
          </w:tcPr>
          <w:p w14:paraId="1F69F4F1" w14:textId="77777777" w:rsidR="003734F4" w:rsidRPr="00EF4DEE" w:rsidRDefault="003734F4" w:rsidP="003734F4">
            <w:pPr>
              <w:spacing w:line="160" w:lineRule="exact"/>
              <w:ind w:left="-57" w:right="28"/>
              <w:jc w:val="right"/>
              <w:rPr>
                <w:bCs w:val="0"/>
                <w:sz w:val="12"/>
                <w:szCs w:val="12"/>
              </w:rPr>
            </w:pPr>
          </w:p>
        </w:tc>
        <w:tc>
          <w:tcPr>
            <w:tcW w:w="1133" w:type="dxa"/>
            <w:tcBorders>
              <w:top w:val="nil"/>
              <w:left w:val="nil"/>
              <w:right w:val="nil"/>
            </w:tcBorders>
            <w:shd w:val="clear" w:color="auto" w:fill="auto"/>
            <w:vAlign w:val="bottom"/>
          </w:tcPr>
          <w:p w14:paraId="3EE68B6E" w14:textId="50F7BD3C" w:rsidR="003734F4" w:rsidRPr="00EF4DEE" w:rsidRDefault="009D0B95" w:rsidP="003734F4">
            <w:pPr>
              <w:spacing w:line="160" w:lineRule="exact"/>
              <w:ind w:left="-57" w:right="28"/>
              <w:jc w:val="right"/>
              <w:rPr>
                <w:w w:val="105"/>
                <w:sz w:val="12"/>
                <w:szCs w:val="12"/>
              </w:rPr>
            </w:pPr>
            <w:r w:rsidRPr="00EF4DEE">
              <w:rPr>
                <w:w w:val="105"/>
                <w:sz w:val="12"/>
                <w:szCs w:val="12"/>
              </w:rPr>
              <w:t>46</w:t>
            </w:r>
            <w:r w:rsidR="00EF4DEE">
              <w:rPr>
                <w:w w:val="105"/>
                <w:sz w:val="12"/>
                <w:szCs w:val="12"/>
              </w:rPr>
              <w:t>.</w:t>
            </w:r>
            <w:r w:rsidRPr="00EF4DEE">
              <w:rPr>
                <w:w w:val="105"/>
                <w:sz w:val="12"/>
                <w:szCs w:val="12"/>
              </w:rPr>
              <w:t>709</w:t>
            </w:r>
            <w:r w:rsidR="00EF4DEE">
              <w:rPr>
                <w:w w:val="105"/>
                <w:sz w:val="12"/>
                <w:szCs w:val="12"/>
              </w:rPr>
              <w:t>.</w:t>
            </w:r>
            <w:r w:rsidRPr="00EF4DEE">
              <w:rPr>
                <w:w w:val="105"/>
                <w:sz w:val="12"/>
                <w:szCs w:val="12"/>
              </w:rPr>
              <w:t>821</w:t>
            </w:r>
            <w:r w:rsidR="00EF4DEE">
              <w:rPr>
                <w:w w:val="105"/>
                <w:sz w:val="12"/>
                <w:szCs w:val="12"/>
              </w:rPr>
              <w:t>.</w:t>
            </w:r>
            <w:r w:rsidRPr="00EF4DEE">
              <w:rPr>
                <w:w w:val="105"/>
                <w:sz w:val="12"/>
                <w:szCs w:val="12"/>
              </w:rPr>
              <w:t>994</w:t>
            </w:r>
          </w:p>
        </w:tc>
        <w:tc>
          <w:tcPr>
            <w:tcW w:w="1511" w:type="dxa"/>
            <w:tcBorders>
              <w:top w:val="nil"/>
              <w:left w:val="nil"/>
              <w:bottom w:val="nil"/>
              <w:right w:val="nil"/>
            </w:tcBorders>
            <w:shd w:val="clear" w:color="auto" w:fill="auto"/>
            <w:vAlign w:val="bottom"/>
          </w:tcPr>
          <w:p w14:paraId="2D7FD88C" w14:textId="77777777" w:rsidR="003734F4" w:rsidRPr="001775FB" w:rsidRDefault="003734F4" w:rsidP="003734F4">
            <w:pPr>
              <w:tabs>
                <w:tab w:val="left" w:pos="1410"/>
              </w:tabs>
              <w:spacing w:line="160" w:lineRule="exact"/>
              <w:ind w:right="142"/>
              <w:jc w:val="right"/>
              <w:rPr>
                <w:i/>
                <w:iCs/>
                <w:sz w:val="14"/>
                <w:szCs w:val="14"/>
              </w:rPr>
            </w:pPr>
            <w:r w:rsidRPr="001775FB">
              <w:rPr>
                <w:i/>
                <w:iCs/>
                <w:sz w:val="14"/>
                <w:szCs w:val="14"/>
              </w:rPr>
              <w:t>Office equipment</w:t>
            </w:r>
          </w:p>
        </w:tc>
      </w:tr>
      <w:tr w:rsidR="003734F4" w:rsidRPr="00C61D2A" w14:paraId="57B2BB43" w14:textId="77777777" w:rsidTr="003734F4">
        <w:trPr>
          <w:cantSplit/>
        </w:trPr>
        <w:tc>
          <w:tcPr>
            <w:tcW w:w="1820" w:type="dxa"/>
            <w:tcBorders>
              <w:top w:val="nil"/>
              <w:left w:val="nil"/>
              <w:right w:val="nil"/>
            </w:tcBorders>
            <w:shd w:val="clear" w:color="auto" w:fill="auto"/>
          </w:tcPr>
          <w:p w14:paraId="4D6C37CB" w14:textId="77777777" w:rsidR="003734F4" w:rsidRPr="00C61D2A" w:rsidRDefault="003734F4" w:rsidP="003734F4">
            <w:pPr>
              <w:ind w:left="567" w:right="71" w:hanging="141"/>
              <w:jc w:val="center"/>
              <w:rPr>
                <w:bCs w:val="0"/>
                <w:i/>
                <w:iCs/>
                <w:sz w:val="14"/>
                <w:szCs w:val="14"/>
              </w:rPr>
            </w:pPr>
          </w:p>
        </w:tc>
        <w:tc>
          <w:tcPr>
            <w:tcW w:w="1133" w:type="dxa"/>
            <w:tcBorders>
              <w:top w:val="single" w:sz="4" w:space="0" w:color="auto"/>
              <w:left w:val="nil"/>
              <w:right w:val="nil"/>
            </w:tcBorders>
            <w:shd w:val="clear" w:color="auto" w:fill="auto"/>
            <w:vAlign w:val="bottom"/>
          </w:tcPr>
          <w:p w14:paraId="4BA5332C" w14:textId="77777777" w:rsidR="003734F4" w:rsidRPr="00EF4DEE" w:rsidRDefault="003734F4" w:rsidP="003734F4">
            <w:pPr>
              <w:jc w:val="right"/>
              <w:rPr>
                <w:b/>
                <w:i/>
                <w:iCs/>
                <w:sz w:val="14"/>
                <w:szCs w:val="14"/>
              </w:rPr>
            </w:pPr>
          </w:p>
        </w:tc>
        <w:tc>
          <w:tcPr>
            <w:tcW w:w="94" w:type="dxa"/>
            <w:tcBorders>
              <w:left w:val="nil"/>
              <w:right w:val="nil"/>
            </w:tcBorders>
            <w:shd w:val="clear" w:color="auto" w:fill="auto"/>
            <w:vAlign w:val="bottom"/>
          </w:tcPr>
          <w:p w14:paraId="1BA90351" w14:textId="77777777" w:rsidR="003734F4" w:rsidRPr="00EF4DEE" w:rsidRDefault="003734F4" w:rsidP="003734F4">
            <w:pPr>
              <w:jc w:val="right"/>
              <w:rPr>
                <w:b/>
                <w:i/>
                <w:iCs/>
                <w:sz w:val="14"/>
                <w:szCs w:val="14"/>
              </w:rPr>
            </w:pPr>
          </w:p>
        </w:tc>
        <w:tc>
          <w:tcPr>
            <w:tcW w:w="1047" w:type="dxa"/>
            <w:tcBorders>
              <w:top w:val="single" w:sz="4" w:space="0" w:color="auto"/>
              <w:left w:val="nil"/>
              <w:right w:val="nil"/>
            </w:tcBorders>
            <w:shd w:val="clear" w:color="auto" w:fill="auto"/>
            <w:vAlign w:val="bottom"/>
          </w:tcPr>
          <w:p w14:paraId="3DF0F638" w14:textId="77777777" w:rsidR="003734F4" w:rsidRPr="00EF4DEE" w:rsidRDefault="003734F4" w:rsidP="003734F4">
            <w:pPr>
              <w:jc w:val="right"/>
              <w:rPr>
                <w:b/>
                <w:i/>
                <w:iCs/>
                <w:sz w:val="14"/>
                <w:szCs w:val="14"/>
              </w:rPr>
            </w:pPr>
          </w:p>
        </w:tc>
        <w:tc>
          <w:tcPr>
            <w:tcW w:w="100" w:type="dxa"/>
            <w:tcBorders>
              <w:left w:val="nil"/>
              <w:right w:val="nil"/>
            </w:tcBorders>
            <w:shd w:val="clear" w:color="auto" w:fill="auto"/>
            <w:vAlign w:val="bottom"/>
          </w:tcPr>
          <w:p w14:paraId="60229A3C" w14:textId="77777777" w:rsidR="003734F4" w:rsidRPr="00EF4DEE" w:rsidRDefault="003734F4" w:rsidP="003734F4">
            <w:pPr>
              <w:jc w:val="right"/>
              <w:rPr>
                <w:b/>
                <w:i/>
                <w:iCs/>
                <w:sz w:val="14"/>
                <w:szCs w:val="14"/>
              </w:rPr>
            </w:pPr>
          </w:p>
        </w:tc>
        <w:tc>
          <w:tcPr>
            <w:tcW w:w="1070" w:type="dxa"/>
            <w:tcBorders>
              <w:top w:val="single" w:sz="4" w:space="0" w:color="auto"/>
              <w:left w:val="nil"/>
              <w:right w:val="nil"/>
            </w:tcBorders>
            <w:shd w:val="clear" w:color="auto" w:fill="auto"/>
            <w:vAlign w:val="bottom"/>
          </w:tcPr>
          <w:p w14:paraId="59DBDB3F" w14:textId="77777777" w:rsidR="003734F4" w:rsidRPr="00EF4DEE" w:rsidRDefault="003734F4" w:rsidP="003734F4">
            <w:pPr>
              <w:jc w:val="right"/>
              <w:rPr>
                <w:b/>
                <w:i/>
                <w:iCs/>
                <w:sz w:val="14"/>
                <w:szCs w:val="14"/>
              </w:rPr>
            </w:pPr>
          </w:p>
        </w:tc>
        <w:tc>
          <w:tcPr>
            <w:tcW w:w="94" w:type="dxa"/>
            <w:tcBorders>
              <w:left w:val="nil"/>
              <w:right w:val="nil"/>
            </w:tcBorders>
            <w:shd w:val="clear" w:color="auto" w:fill="auto"/>
            <w:vAlign w:val="bottom"/>
          </w:tcPr>
          <w:p w14:paraId="6276DA79" w14:textId="77777777" w:rsidR="003734F4" w:rsidRPr="00EF4DEE" w:rsidRDefault="003734F4" w:rsidP="003734F4">
            <w:pPr>
              <w:jc w:val="right"/>
              <w:rPr>
                <w:b/>
                <w:i/>
                <w:iCs/>
                <w:sz w:val="14"/>
                <w:szCs w:val="14"/>
              </w:rPr>
            </w:pPr>
          </w:p>
        </w:tc>
        <w:tc>
          <w:tcPr>
            <w:tcW w:w="1101" w:type="dxa"/>
            <w:tcBorders>
              <w:top w:val="single" w:sz="4" w:space="0" w:color="auto"/>
              <w:left w:val="nil"/>
              <w:right w:val="nil"/>
            </w:tcBorders>
            <w:vAlign w:val="bottom"/>
          </w:tcPr>
          <w:p w14:paraId="04A844F4" w14:textId="77777777" w:rsidR="003734F4" w:rsidRPr="00EF4DEE" w:rsidRDefault="003734F4" w:rsidP="003734F4">
            <w:pPr>
              <w:jc w:val="right"/>
              <w:rPr>
                <w:b/>
                <w:i/>
                <w:iCs/>
                <w:sz w:val="14"/>
                <w:szCs w:val="14"/>
              </w:rPr>
            </w:pPr>
          </w:p>
        </w:tc>
        <w:tc>
          <w:tcPr>
            <w:tcW w:w="94" w:type="dxa"/>
            <w:tcBorders>
              <w:left w:val="nil"/>
              <w:right w:val="nil"/>
            </w:tcBorders>
            <w:vAlign w:val="bottom"/>
          </w:tcPr>
          <w:p w14:paraId="4669F4D2" w14:textId="77777777" w:rsidR="003734F4" w:rsidRPr="00EF4DEE" w:rsidRDefault="003734F4" w:rsidP="003734F4">
            <w:pPr>
              <w:jc w:val="right"/>
              <w:rPr>
                <w:b/>
                <w:i/>
                <w:iCs/>
                <w:sz w:val="14"/>
                <w:szCs w:val="14"/>
              </w:rPr>
            </w:pPr>
          </w:p>
        </w:tc>
        <w:tc>
          <w:tcPr>
            <w:tcW w:w="1133" w:type="dxa"/>
            <w:tcBorders>
              <w:top w:val="single" w:sz="4" w:space="0" w:color="auto"/>
              <w:left w:val="nil"/>
              <w:right w:val="nil"/>
            </w:tcBorders>
            <w:shd w:val="clear" w:color="auto" w:fill="auto"/>
            <w:vAlign w:val="bottom"/>
          </w:tcPr>
          <w:p w14:paraId="69E1EE42" w14:textId="77777777" w:rsidR="003734F4" w:rsidRPr="00EF4DEE" w:rsidRDefault="003734F4" w:rsidP="003734F4">
            <w:pPr>
              <w:jc w:val="right"/>
              <w:rPr>
                <w:b/>
                <w:i/>
                <w:iCs/>
                <w:sz w:val="14"/>
                <w:szCs w:val="14"/>
              </w:rPr>
            </w:pPr>
          </w:p>
        </w:tc>
        <w:tc>
          <w:tcPr>
            <w:tcW w:w="1511" w:type="dxa"/>
            <w:tcBorders>
              <w:top w:val="nil"/>
              <w:left w:val="nil"/>
              <w:right w:val="nil"/>
            </w:tcBorders>
            <w:shd w:val="clear" w:color="auto" w:fill="auto"/>
          </w:tcPr>
          <w:p w14:paraId="1B7E4F3E" w14:textId="77777777" w:rsidR="003734F4" w:rsidRPr="00C61D2A" w:rsidRDefault="003734F4" w:rsidP="003734F4">
            <w:pPr>
              <w:tabs>
                <w:tab w:val="left" w:pos="1410"/>
              </w:tabs>
              <w:ind w:right="72"/>
              <w:jc w:val="center"/>
              <w:rPr>
                <w:b/>
                <w:i/>
                <w:iCs/>
                <w:sz w:val="14"/>
                <w:szCs w:val="14"/>
              </w:rPr>
            </w:pPr>
          </w:p>
        </w:tc>
      </w:tr>
      <w:tr w:rsidR="003734F4" w:rsidRPr="001775FB" w14:paraId="78582CED" w14:textId="77777777" w:rsidTr="003734F4">
        <w:trPr>
          <w:cantSplit/>
        </w:trPr>
        <w:tc>
          <w:tcPr>
            <w:tcW w:w="1820" w:type="dxa"/>
            <w:tcBorders>
              <w:left w:val="nil"/>
              <w:bottom w:val="nil"/>
              <w:right w:val="nil"/>
            </w:tcBorders>
            <w:shd w:val="clear" w:color="auto" w:fill="auto"/>
            <w:vAlign w:val="bottom"/>
          </w:tcPr>
          <w:p w14:paraId="1682241D" w14:textId="77777777" w:rsidR="003734F4" w:rsidRPr="001775FB" w:rsidRDefault="003734F4" w:rsidP="003734F4">
            <w:pPr>
              <w:spacing w:line="160" w:lineRule="exact"/>
              <w:ind w:left="567" w:right="74" w:hanging="141"/>
              <w:rPr>
                <w:bCs w:val="0"/>
                <w:sz w:val="14"/>
                <w:szCs w:val="14"/>
              </w:rPr>
            </w:pPr>
            <w:r w:rsidRPr="001775FB">
              <w:rPr>
                <w:bCs w:val="0"/>
                <w:sz w:val="14"/>
                <w:szCs w:val="14"/>
              </w:rPr>
              <w:t>Sub jumlah</w:t>
            </w:r>
          </w:p>
        </w:tc>
        <w:tc>
          <w:tcPr>
            <w:tcW w:w="1133" w:type="dxa"/>
            <w:tcBorders>
              <w:left w:val="nil"/>
              <w:bottom w:val="single" w:sz="4" w:space="0" w:color="auto"/>
              <w:right w:val="nil"/>
            </w:tcBorders>
            <w:shd w:val="clear" w:color="auto" w:fill="auto"/>
            <w:vAlign w:val="bottom"/>
          </w:tcPr>
          <w:p w14:paraId="19B02509" w14:textId="4466C18C" w:rsidR="003734F4" w:rsidRPr="00EF4DEE" w:rsidRDefault="003734F4" w:rsidP="003734F4">
            <w:pPr>
              <w:spacing w:line="160" w:lineRule="exact"/>
              <w:ind w:left="-57" w:right="28"/>
              <w:jc w:val="right"/>
              <w:rPr>
                <w:bCs w:val="0"/>
                <w:sz w:val="12"/>
                <w:szCs w:val="12"/>
              </w:rPr>
            </w:pPr>
            <w:r w:rsidRPr="00EF4DEE">
              <w:rPr>
                <w:w w:val="105"/>
                <w:sz w:val="12"/>
                <w:szCs w:val="12"/>
              </w:rPr>
              <w:t>2.382.723.577.588</w:t>
            </w:r>
          </w:p>
        </w:tc>
        <w:tc>
          <w:tcPr>
            <w:tcW w:w="94" w:type="dxa"/>
            <w:tcBorders>
              <w:left w:val="nil"/>
              <w:bottom w:val="nil"/>
              <w:right w:val="nil"/>
            </w:tcBorders>
            <w:shd w:val="clear" w:color="auto" w:fill="auto"/>
            <w:vAlign w:val="bottom"/>
          </w:tcPr>
          <w:p w14:paraId="15897C1A" w14:textId="77777777" w:rsidR="003734F4" w:rsidRPr="00EF4DEE" w:rsidRDefault="003734F4" w:rsidP="003734F4">
            <w:pPr>
              <w:spacing w:line="160" w:lineRule="exact"/>
              <w:ind w:right="18"/>
              <w:jc w:val="right"/>
              <w:rPr>
                <w:bCs w:val="0"/>
                <w:sz w:val="12"/>
                <w:szCs w:val="12"/>
              </w:rPr>
            </w:pPr>
          </w:p>
        </w:tc>
        <w:tc>
          <w:tcPr>
            <w:tcW w:w="1047" w:type="dxa"/>
            <w:tcBorders>
              <w:left w:val="nil"/>
              <w:bottom w:val="single" w:sz="4" w:space="0" w:color="auto"/>
              <w:right w:val="nil"/>
            </w:tcBorders>
            <w:shd w:val="clear" w:color="auto" w:fill="auto"/>
            <w:vAlign w:val="bottom"/>
          </w:tcPr>
          <w:p w14:paraId="566A9CE7" w14:textId="1FE42ADD" w:rsidR="003734F4" w:rsidRPr="00EF4DEE" w:rsidRDefault="009D0B95" w:rsidP="003734F4">
            <w:pPr>
              <w:spacing w:line="160" w:lineRule="exact"/>
              <w:ind w:right="57"/>
              <w:jc w:val="right"/>
              <w:rPr>
                <w:bCs w:val="0"/>
                <w:sz w:val="12"/>
                <w:szCs w:val="12"/>
                <w:lang w:val="id-ID"/>
              </w:rPr>
            </w:pPr>
            <w:r w:rsidRPr="00EF4DEE">
              <w:rPr>
                <w:bCs w:val="0"/>
                <w:sz w:val="12"/>
                <w:szCs w:val="12"/>
                <w:lang w:val="id-ID"/>
              </w:rPr>
              <w:t>19</w:t>
            </w:r>
            <w:r w:rsidR="00EF4DEE">
              <w:rPr>
                <w:bCs w:val="0"/>
                <w:sz w:val="12"/>
                <w:szCs w:val="12"/>
                <w:lang w:val="id-ID"/>
              </w:rPr>
              <w:t>.</w:t>
            </w:r>
            <w:r w:rsidRPr="00EF4DEE">
              <w:rPr>
                <w:bCs w:val="0"/>
                <w:sz w:val="12"/>
                <w:szCs w:val="12"/>
                <w:lang w:val="id-ID"/>
              </w:rPr>
              <w:t>031</w:t>
            </w:r>
            <w:r w:rsidR="00EF4DEE">
              <w:rPr>
                <w:bCs w:val="0"/>
                <w:sz w:val="12"/>
                <w:szCs w:val="12"/>
                <w:lang w:val="id-ID"/>
              </w:rPr>
              <w:t>.</w:t>
            </w:r>
            <w:r w:rsidRPr="00EF4DEE">
              <w:rPr>
                <w:bCs w:val="0"/>
                <w:sz w:val="12"/>
                <w:szCs w:val="12"/>
                <w:lang w:val="id-ID"/>
              </w:rPr>
              <w:t>852</w:t>
            </w:r>
            <w:r w:rsidR="00EF4DEE">
              <w:rPr>
                <w:bCs w:val="0"/>
                <w:sz w:val="12"/>
                <w:szCs w:val="12"/>
                <w:lang w:val="id-ID"/>
              </w:rPr>
              <w:t>.</w:t>
            </w:r>
            <w:r w:rsidRPr="00EF4DEE">
              <w:rPr>
                <w:bCs w:val="0"/>
                <w:sz w:val="12"/>
                <w:szCs w:val="12"/>
                <w:lang w:val="id-ID"/>
              </w:rPr>
              <w:t>160</w:t>
            </w:r>
          </w:p>
        </w:tc>
        <w:tc>
          <w:tcPr>
            <w:tcW w:w="100" w:type="dxa"/>
            <w:tcBorders>
              <w:left w:val="nil"/>
              <w:bottom w:val="nil"/>
              <w:right w:val="nil"/>
            </w:tcBorders>
            <w:shd w:val="clear" w:color="auto" w:fill="auto"/>
            <w:vAlign w:val="bottom"/>
          </w:tcPr>
          <w:p w14:paraId="5312313E" w14:textId="77777777" w:rsidR="003734F4" w:rsidRPr="00EF4DEE" w:rsidRDefault="003734F4" w:rsidP="003734F4">
            <w:pPr>
              <w:spacing w:line="160" w:lineRule="exact"/>
              <w:ind w:right="18"/>
              <w:jc w:val="right"/>
              <w:rPr>
                <w:bCs w:val="0"/>
                <w:sz w:val="12"/>
                <w:szCs w:val="12"/>
              </w:rPr>
            </w:pPr>
          </w:p>
        </w:tc>
        <w:tc>
          <w:tcPr>
            <w:tcW w:w="1070" w:type="dxa"/>
            <w:tcBorders>
              <w:left w:val="nil"/>
              <w:bottom w:val="single" w:sz="4" w:space="0" w:color="auto"/>
              <w:right w:val="nil"/>
            </w:tcBorders>
            <w:shd w:val="clear" w:color="auto" w:fill="auto"/>
            <w:vAlign w:val="bottom"/>
          </w:tcPr>
          <w:p w14:paraId="0405E2F7" w14:textId="1D8A4ACC" w:rsidR="003734F4" w:rsidRPr="00EF4DEE" w:rsidRDefault="009D0B95" w:rsidP="003734F4">
            <w:pPr>
              <w:spacing w:line="160" w:lineRule="exact"/>
              <w:ind w:right="28"/>
              <w:jc w:val="right"/>
              <w:rPr>
                <w:w w:val="105"/>
                <w:sz w:val="12"/>
                <w:szCs w:val="12"/>
              </w:rPr>
            </w:pPr>
            <w:r w:rsidRPr="00EF4DEE">
              <w:rPr>
                <w:w w:val="105"/>
                <w:sz w:val="12"/>
                <w:szCs w:val="12"/>
              </w:rPr>
              <w:t>(4</w:t>
            </w:r>
            <w:r w:rsidR="00EF4DEE">
              <w:rPr>
                <w:w w:val="105"/>
                <w:sz w:val="12"/>
                <w:szCs w:val="12"/>
              </w:rPr>
              <w:t>.</w:t>
            </w:r>
            <w:r w:rsidRPr="00EF4DEE">
              <w:rPr>
                <w:w w:val="105"/>
                <w:sz w:val="12"/>
                <w:szCs w:val="12"/>
              </w:rPr>
              <w:t>058</w:t>
            </w:r>
            <w:r w:rsidR="00EF4DEE">
              <w:rPr>
                <w:w w:val="105"/>
                <w:sz w:val="12"/>
                <w:szCs w:val="12"/>
              </w:rPr>
              <w:t>.</w:t>
            </w:r>
            <w:r w:rsidRPr="00EF4DEE">
              <w:rPr>
                <w:w w:val="105"/>
                <w:sz w:val="12"/>
                <w:szCs w:val="12"/>
              </w:rPr>
              <w:t>905</w:t>
            </w:r>
            <w:r w:rsidR="00EF4DEE">
              <w:rPr>
                <w:w w:val="105"/>
                <w:sz w:val="12"/>
                <w:szCs w:val="12"/>
              </w:rPr>
              <w:t>.</w:t>
            </w:r>
            <w:r w:rsidRPr="00EF4DEE">
              <w:rPr>
                <w:w w:val="105"/>
                <w:sz w:val="12"/>
                <w:szCs w:val="12"/>
              </w:rPr>
              <w:t>876)</w:t>
            </w:r>
          </w:p>
        </w:tc>
        <w:tc>
          <w:tcPr>
            <w:tcW w:w="94" w:type="dxa"/>
            <w:tcBorders>
              <w:left w:val="nil"/>
              <w:right w:val="nil"/>
            </w:tcBorders>
            <w:shd w:val="clear" w:color="auto" w:fill="auto"/>
            <w:vAlign w:val="bottom"/>
          </w:tcPr>
          <w:p w14:paraId="70E0DC71" w14:textId="77777777" w:rsidR="003734F4" w:rsidRPr="00EF4DEE" w:rsidRDefault="003734F4" w:rsidP="003734F4">
            <w:pPr>
              <w:spacing w:line="160" w:lineRule="exact"/>
              <w:ind w:right="28"/>
              <w:jc w:val="right"/>
              <w:rPr>
                <w:bCs w:val="0"/>
                <w:sz w:val="12"/>
                <w:szCs w:val="12"/>
              </w:rPr>
            </w:pPr>
          </w:p>
        </w:tc>
        <w:tc>
          <w:tcPr>
            <w:tcW w:w="1101" w:type="dxa"/>
            <w:tcBorders>
              <w:left w:val="nil"/>
              <w:bottom w:val="single" w:sz="4" w:space="0" w:color="auto"/>
              <w:right w:val="nil"/>
            </w:tcBorders>
            <w:vAlign w:val="bottom"/>
          </w:tcPr>
          <w:p w14:paraId="7D75DC86" w14:textId="59251403" w:rsidR="003734F4" w:rsidRPr="00EF4DEE" w:rsidRDefault="003734F4" w:rsidP="003734F4">
            <w:pPr>
              <w:spacing w:line="160" w:lineRule="exact"/>
              <w:ind w:left="-57" w:right="28"/>
              <w:jc w:val="right"/>
              <w:rPr>
                <w:w w:val="105"/>
                <w:sz w:val="12"/>
                <w:szCs w:val="12"/>
              </w:rPr>
            </w:pPr>
          </w:p>
        </w:tc>
        <w:tc>
          <w:tcPr>
            <w:tcW w:w="94" w:type="dxa"/>
            <w:tcBorders>
              <w:left w:val="nil"/>
              <w:right w:val="nil"/>
            </w:tcBorders>
            <w:vAlign w:val="bottom"/>
          </w:tcPr>
          <w:p w14:paraId="2D99FC17" w14:textId="77777777" w:rsidR="003734F4" w:rsidRPr="00EF4DEE" w:rsidRDefault="003734F4" w:rsidP="003734F4">
            <w:pPr>
              <w:spacing w:line="160" w:lineRule="exact"/>
              <w:ind w:left="-57" w:right="28"/>
              <w:jc w:val="right"/>
              <w:rPr>
                <w:bCs w:val="0"/>
                <w:sz w:val="12"/>
                <w:szCs w:val="12"/>
              </w:rPr>
            </w:pPr>
          </w:p>
        </w:tc>
        <w:tc>
          <w:tcPr>
            <w:tcW w:w="1133" w:type="dxa"/>
            <w:tcBorders>
              <w:left w:val="nil"/>
              <w:bottom w:val="single" w:sz="4" w:space="0" w:color="auto"/>
              <w:right w:val="nil"/>
            </w:tcBorders>
            <w:shd w:val="clear" w:color="auto" w:fill="auto"/>
            <w:vAlign w:val="bottom"/>
          </w:tcPr>
          <w:p w14:paraId="0768B821" w14:textId="2BA6B424" w:rsidR="003734F4" w:rsidRPr="00EF4DEE" w:rsidRDefault="009D0B95" w:rsidP="003734F4">
            <w:pPr>
              <w:spacing w:line="160" w:lineRule="exact"/>
              <w:ind w:left="-57" w:right="28"/>
              <w:jc w:val="right"/>
              <w:rPr>
                <w:w w:val="105"/>
                <w:sz w:val="12"/>
                <w:szCs w:val="12"/>
              </w:rPr>
            </w:pPr>
            <w:r w:rsidRPr="00EF4DEE">
              <w:rPr>
                <w:w w:val="105"/>
                <w:sz w:val="12"/>
                <w:szCs w:val="12"/>
              </w:rPr>
              <w:t>2</w:t>
            </w:r>
            <w:r w:rsidR="00EF4DEE">
              <w:rPr>
                <w:w w:val="105"/>
                <w:sz w:val="12"/>
                <w:szCs w:val="12"/>
              </w:rPr>
              <w:t>.</w:t>
            </w:r>
            <w:r w:rsidRPr="00EF4DEE">
              <w:rPr>
                <w:w w:val="105"/>
                <w:sz w:val="12"/>
                <w:szCs w:val="12"/>
              </w:rPr>
              <w:t>397</w:t>
            </w:r>
            <w:r w:rsidR="00EF4DEE">
              <w:rPr>
                <w:w w:val="105"/>
                <w:sz w:val="12"/>
                <w:szCs w:val="12"/>
              </w:rPr>
              <w:t>.</w:t>
            </w:r>
            <w:r w:rsidRPr="00EF4DEE">
              <w:rPr>
                <w:w w:val="105"/>
                <w:sz w:val="12"/>
                <w:szCs w:val="12"/>
              </w:rPr>
              <w:t>696</w:t>
            </w:r>
            <w:r w:rsidR="00EF4DEE">
              <w:rPr>
                <w:w w:val="105"/>
                <w:sz w:val="12"/>
                <w:szCs w:val="12"/>
              </w:rPr>
              <w:t>.</w:t>
            </w:r>
            <w:r w:rsidRPr="00EF4DEE">
              <w:rPr>
                <w:w w:val="105"/>
                <w:sz w:val="12"/>
                <w:szCs w:val="12"/>
              </w:rPr>
              <w:t>523</w:t>
            </w:r>
            <w:r w:rsidR="00EF4DEE">
              <w:rPr>
                <w:w w:val="105"/>
                <w:sz w:val="12"/>
                <w:szCs w:val="12"/>
              </w:rPr>
              <w:t>.</w:t>
            </w:r>
            <w:r w:rsidRPr="00EF4DEE">
              <w:rPr>
                <w:w w:val="105"/>
                <w:sz w:val="12"/>
                <w:szCs w:val="12"/>
              </w:rPr>
              <w:t>872</w:t>
            </w:r>
          </w:p>
        </w:tc>
        <w:tc>
          <w:tcPr>
            <w:tcW w:w="1511" w:type="dxa"/>
            <w:tcBorders>
              <w:left w:val="nil"/>
              <w:bottom w:val="nil"/>
              <w:right w:val="nil"/>
            </w:tcBorders>
            <w:shd w:val="clear" w:color="auto" w:fill="auto"/>
            <w:vAlign w:val="bottom"/>
          </w:tcPr>
          <w:p w14:paraId="576C7F30" w14:textId="77777777" w:rsidR="003734F4" w:rsidRPr="001775FB" w:rsidRDefault="003734F4" w:rsidP="003734F4">
            <w:pPr>
              <w:tabs>
                <w:tab w:val="left" w:pos="1410"/>
              </w:tabs>
              <w:spacing w:line="160" w:lineRule="exact"/>
              <w:ind w:right="142"/>
              <w:jc w:val="right"/>
              <w:rPr>
                <w:i/>
                <w:sz w:val="14"/>
                <w:szCs w:val="14"/>
              </w:rPr>
            </w:pPr>
            <w:r w:rsidRPr="001775FB">
              <w:rPr>
                <w:i/>
                <w:sz w:val="14"/>
                <w:szCs w:val="14"/>
              </w:rPr>
              <w:t xml:space="preserve">Sub </w:t>
            </w:r>
            <w:r w:rsidRPr="001775FB">
              <w:rPr>
                <w:i/>
                <w:iCs/>
                <w:sz w:val="14"/>
                <w:szCs w:val="14"/>
              </w:rPr>
              <w:t>total</w:t>
            </w:r>
          </w:p>
        </w:tc>
      </w:tr>
      <w:tr w:rsidR="003734F4" w:rsidRPr="00C61D2A" w14:paraId="76AAC1A3" w14:textId="77777777" w:rsidTr="003734F4">
        <w:trPr>
          <w:cantSplit/>
        </w:trPr>
        <w:tc>
          <w:tcPr>
            <w:tcW w:w="1820" w:type="dxa"/>
            <w:tcBorders>
              <w:top w:val="nil"/>
              <w:left w:val="nil"/>
              <w:right w:val="nil"/>
            </w:tcBorders>
            <w:shd w:val="clear" w:color="auto" w:fill="auto"/>
            <w:vAlign w:val="bottom"/>
          </w:tcPr>
          <w:p w14:paraId="69C06DCA" w14:textId="77777777" w:rsidR="003734F4" w:rsidRPr="00C61D2A" w:rsidRDefault="003734F4" w:rsidP="003734F4">
            <w:pPr>
              <w:ind w:left="567" w:right="71" w:hanging="141"/>
              <w:rPr>
                <w:bCs w:val="0"/>
                <w:sz w:val="14"/>
                <w:szCs w:val="14"/>
              </w:rPr>
            </w:pPr>
          </w:p>
        </w:tc>
        <w:tc>
          <w:tcPr>
            <w:tcW w:w="1133" w:type="dxa"/>
            <w:tcBorders>
              <w:top w:val="single" w:sz="4" w:space="0" w:color="auto"/>
              <w:left w:val="nil"/>
              <w:right w:val="nil"/>
            </w:tcBorders>
            <w:shd w:val="clear" w:color="auto" w:fill="auto"/>
            <w:vAlign w:val="bottom"/>
          </w:tcPr>
          <w:p w14:paraId="1640DB97" w14:textId="77777777" w:rsidR="003734F4" w:rsidRPr="00A96055" w:rsidRDefault="003734F4" w:rsidP="003734F4">
            <w:pPr>
              <w:ind w:left="-57" w:right="28"/>
              <w:jc w:val="right"/>
              <w:rPr>
                <w:bCs w:val="0"/>
                <w:sz w:val="14"/>
                <w:szCs w:val="14"/>
                <w:highlight w:val="yellow"/>
              </w:rPr>
            </w:pPr>
          </w:p>
        </w:tc>
        <w:tc>
          <w:tcPr>
            <w:tcW w:w="94" w:type="dxa"/>
            <w:tcBorders>
              <w:top w:val="nil"/>
              <w:left w:val="nil"/>
              <w:right w:val="nil"/>
            </w:tcBorders>
            <w:shd w:val="clear" w:color="auto" w:fill="auto"/>
            <w:vAlign w:val="bottom"/>
          </w:tcPr>
          <w:p w14:paraId="5134F756" w14:textId="77777777" w:rsidR="003734F4" w:rsidRPr="00A96055" w:rsidRDefault="003734F4" w:rsidP="003734F4">
            <w:pPr>
              <w:jc w:val="right"/>
              <w:rPr>
                <w:bCs w:val="0"/>
                <w:sz w:val="14"/>
                <w:szCs w:val="14"/>
                <w:highlight w:val="yellow"/>
              </w:rPr>
            </w:pPr>
          </w:p>
        </w:tc>
        <w:tc>
          <w:tcPr>
            <w:tcW w:w="1047" w:type="dxa"/>
            <w:tcBorders>
              <w:top w:val="single" w:sz="4" w:space="0" w:color="auto"/>
              <w:left w:val="nil"/>
              <w:right w:val="nil"/>
            </w:tcBorders>
            <w:shd w:val="clear" w:color="auto" w:fill="auto"/>
            <w:vAlign w:val="bottom"/>
          </w:tcPr>
          <w:p w14:paraId="78018305" w14:textId="77777777" w:rsidR="003734F4" w:rsidRPr="00A96055" w:rsidRDefault="003734F4" w:rsidP="003734F4">
            <w:pPr>
              <w:ind w:right="57"/>
              <w:jc w:val="right"/>
              <w:rPr>
                <w:bCs w:val="0"/>
                <w:sz w:val="14"/>
                <w:szCs w:val="14"/>
                <w:highlight w:val="yellow"/>
              </w:rPr>
            </w:pPr>
          </w:p>
        </w:tc>
        <w:tc>
          <w:tcPr>
            <w:tcW w:w="100" w:type="dxa"/>
            <w:tcBorders>
              <w:top w:val="nil"/>
              <w:left w:val="nil"/>
              <w:right w:val="nil"/>
            </w:tcBorders>
            <w:shd w:val="clear" w:color="auto" w:fill="auto"/>
            <w:vAlign w:val="bottom"/>
          </w:tcPr>
          <w:p w14:paraId="6D0C3C6B" w14:textId="77777777" w:rsidR="003734F4" w:rsidRPr="00A96055" w:rsidRDefault="003734F4" w:rsidP="003734F4">
            <w:pPr>
              <w:jc w:val="right"/>
              <w:rPr>
                <w:bCs w:val="0"/>
                <w:sz w:val="14"/>
                <w:szCs w:val="14"/>
                <w:highlight w:val="yellow"/>
              </w:rPr>
            </w:pPr>
          </w:p>
        </w:tc>
        <w:tc>
          <w:tcPr>
            <w:tcW w:w="1070" w:type="dxa"/>
            <w:tcBorders>
              <w:top w:val="single" w:sz="4" w:space="0" w:color="auto"/>
              <w:left w:val="nil"/>
              <w:right w:val="nil"/>
            </w:tcBorders>
            <w:shd w:val="clear" w:color="auto" w:fill="auto"/>
            <w:vAlign w:val="bottom"/>
          </w:tcPr>
          <w:p w14:paraId="7DB57E95" w14:textId="77777777" w:rsidR="003734F4" w:rsidRPr="00A96055" w:rsidRDefault="003734F4" w:rsidP="003734F4">
            <w:pPr>
              <w:ind w:left="-57" w:right="28"/>
              <w:jc w:val="right"/>
              <w:rPr>
                <w:bCs w:val="0"/>
                <w:sz w:val="14"/>
                <w:szCs w:val="14"/>
                <w:highlight w:val="yellow"/>
              </w:rPr>
            </w:pPr>
          </w:p>
        </w:tc>
        <w:tc>
          <w:tcPr>
            <w:tcW w:w="94" w:type="dxa"/>
            <w:tcBorders>
              <w:left w:val="nil"/>
              <w:right w:val="nil"/>
            </w:tcBorders>
            <w:shd w:val="clear" w:color="auto" w:fill="auto"/>
            <w:vAlign w:val="bottom"/>
          </w:tcPr>
          <w:p w14:paraId="36C61EAE" w14:textId="77777777" w:rsidR="003734F4" w:rsidRPr="00A96055" w:rsidRDefault="003734F4" w:rsidP="003734F4">
            <w:pPr>
              <w:ind w:right="28"/>
              <w:jc w:val="right"/>
              <w:rPr>
                <w:bCs w:val="0"/>
                <w:sz w:val="14"/>
                <w:szCs w:val="14"/>
                <w:highlight w:val="yellow"/>
              </w:rPr>
            </w:pPr>
          </w:p>
        </w:tc>
        <w:tc>
          <w:tcPr>
            <w:tcW w:w="1101" w:type="dxa"/>
            <w:tcBorders>
              <w:top w:val="single" w:sz="4" w:space="0" w:color="auto"/>
              <w:left w:val="nil"/>
              <w:right w:val="nil"/>
            </w:tcBorders>
            <w:vAlign w:val="bottom"/>
          </w:tcPr>
          <w:p w14:paraId="6993B91F" w14:textId="77777777" w:rsidR="003734F4" w:rsidRPr="00A96055" w:rsidRDefault="003734F4" w:rsidP="003734F4">
            <w:pPr>
              <w:ind w:left="-57" w:right="28"/>
              <w:jc w:val="right"/>
              <w:rPr>
                <w:bCs w:val="0"/>
                <w:sz w:val="14"/>
                <w:szCs w:val="14"/>
                <w:highlight w:val="yellow"/>
              </w:rPr>
            </w:pPr>
          </w:p>
        </w:tc>
        <w:tc>
          <w:tcPr>
            <w:tcW w:w="94" w:type="dxa"/>
            <w:tcBorders>
              <w:left w:val="nil"/>
              <w:right w:val="nil"/>
            </w:tcBorders>
            <w:vAlign w:val="bottom"/>
          </w:tcPr>
          <w:p w14:paraId="6331D824" w14:textId="77777777" w:rsidR="003734F4" w:rsidRPr="00A96055" w:rsidRDefault="003734F4" w:rsidP="003734F4">
            <w:pPr>
              <w:ind w:left="-57" w:right="28"/>
              <w:jc w:val="right"/>
              <w:rPr>
                <w:bCs w:val="0"/>
                <w:sz w:val="14"/>
                <w:szCs w:val="14"/>
                <w:highlight w:val="yellow"/>
              </w:rPr>
            </w:pPr>
          </w:p>
        </w:tc>
        <w:tc>
          <w:tcPr>
            <w:tcW w:w="1133" w:type="dxa"/>
            <w:tcBorders>
              <w:top w:val="single" w:sz="4" w:space="0" w:color="auto"/>
              <w:left w:val="nil"/>
              <w:right w:val="nil"/>
            </w:tcBorders>
            <w:shd w:val="clear" w:color="auto" w:fill="auto"/>
            <w:vAlign w:val="bottom"/>
          </w:tcPr>
          <w:p w14:paraId="0A3DBCEA" w14:textId="77777777" w:rsidR="003734F4" w:rsidRPr="00A96055" w:rsidRDefault="003734F4" w:rsidP="003734F4">
            <w:pPr>
              <w:ind w:left="-57" w:right="28"/>
              <w:jc w:val="right"/>
              <w:rPr>
                <w:bCs w:val="0"/>
                <w:sz w:val="14"/>
                <w:szCs w:val="14"/>
                <w:highlight w:val="yellow"/>
              </w:rPr>
            </w:pPr>
          </w:p>
        </w:tc>
        <w:tc>
          <w:tcPr>
            <w:tcW w:w="1511" w:type="dxa"/>
            <w:tcBorders>
              <w:top w:val="nil"/>
              <w:left w:val="nil"/>
              <w:right w:val="nil"/>
            </w:tcBorders>
            <w:shd w:val="clear" w:color="auto" w:fill="auto"/>
            <w:vAlign w:val="bottom"/>
          </w:tcPr>
          <w:p w14:paraId="7D851CB2" w14:textId="77777777" w:rsidR="003734F4" w:rsidRPr="00C61D2A" w:rsidRDefault="003734F4" w:rsidP="003734F4">
            <w:pPr>
              <w:tabs>
                <w:tab w:val="left" w:pos="1360"/>
                <w:tab w:val="left" w:pos="1410"/>
              </w:tabs>
              <w:ind w:right="72"/>
              <w:jc w:val="right"/>
              <w:rPr>
                <w:i/>
                <w:sz w:val="14"/>
                <w:szCs w:val="14"/>
              </w:rPr>
            </w:pPr>
          </w:p>
        </w:tc>
      </w:tr>
      <w:tr w:rsidR="003734F4" w:rsidRPr="001775FB" w14:paraId="76F615A0" w14:textId="77777777" w:rsidTr="003734F4">
        <w:trPr>
          <w:cantSplit/>
        </w:trPr>
        <w:tc>
          <w:tcPr>
            <w:tcW w:w="1820" w:type="dxa"/>
            <w:tcBorders>
              <w:left w:val="nil"/>
              <w:right w:val="nil"/>
            </w:tcBorders>
            <w:shd w:val="clear" w:color="auto" w:fill="auto"/>
            <w:vAlign w:val="bottom"/>
          </w:tcPr>
          <w:p w14:paraId="0FD3767D" w14:textId="77777777" w:rsidR="003734F4" w:rsidRPr="001775FB" w:rsidRDefault="003734F4" w:rsidP="003734F4">
            <w:pPr>
              <w:spacing w:line="160" w:lineRule="exact"/>
              <w:ind w:left="567" w:right="17" w:hanging="141"/>
              <w:rPr>
                <w:b/>
                <w:bCs w:val="0"/>
                <w:sz w:val="14"/>
                <w:szCs w:val="14"/>
                <w:u w:val="single"/>
              </w:rPr>
            </w:pPr>
            <w:r w:rsidRPr="001775FB">
              <w:rPr>
                <w:b/>
                <w:bCs w:val="0"/>
                <w:sz w:val="14"/>
                <w:szCs w:val="14"/>
                <w:u w:val="single"/>
              </w:rPr>
              <w:t>Aset dalam Penyelesaian</w:t>
            </w:r>
          </w:p>
        </w:tc>
        <w:tc>
          <w:tcPr>
            <w:tcW w:w="1133" w:type="dxa"/>
            <w:tcBorders>
              <w:left w:val="nil"/>
              <w:right w:val="nil"/>
            </w:tcBorders>
            <w:shd w:val="clear" w:color="auto" w:fill="auto"/>
            <w:vAlign w:val="bottom"/>
          </w:tcPr>
          <w:p w14:paraId="3E755F05" w14:textId="77777777" w:rsidR="003734F4" w:rsidRPr="00A96055" w:rsidRDefault="003734F4" w:rsidP="003734F4">
            <w:pPr>
              <w:spacing w:line="160" w:lineRule="exact"/>
              <w:ind w:left="-57" w:right="28"/>
              <w:jc w:val="right"/>
              <w:rPr>
                <w:bCs w:val="0"/>
                <w:sz w:val="12"/>
                <w:szCs w:val="12"/>
                <w:highlight w:val="yellow"/>
              </w:rPr>
            </w:pPr>
          </w:p>
        </w:tc>
        <w:tc>
          <w:tcPr>
            <w:tcW w:w="94" w:type="dxa"/>
            <w:tcBorders>
              <w:left w:val="nil"/>
              <w:right w:val="nil"/>
            </w:tcBorders>
            <w:shd w:val="clear" w:color="auto" w:fill="auto"/>
            <w:vAlign w:val="bottom"/>
          </w:tcPr>
          <w:p w14:paraId="37CB12D7" w14:textId="77777777" w:rsidR="003734F4" w:rsidRPr="00A96055" w:rsidRDefault="003734F4" w:rsidP="003734F4">
            <w:pPr>
              <w:spacing w:line="160" w:lineRule="exact"/>
              <w:jc w:val="right"/>
              <w:rPr>
                <w:bCs w:val="0"/>
                <w:sz w:val="12"/>
                <w:szCs w:val="12"/>
                <w:highlight w:val="yellow"/>
              </w:rPr>
            </w:pPr>
          </w:p>
        </w:tc>
        <w:tc>
          <w:tcPr>
            <w:tcW w:w="1047" w:type="dxa"/>
            <w:tcBorders>
              <w:left w:val="nil"/>
              <w:right w:val="nil"/>
            </w:tcBorders>
            <w:shd w:val="clear" w:color="auto" w:fill="auto"/>
            <w:vAlign w:val="bottom"/>
          </w:tcPr>
          <w:p w14:paraId="049E9BA6" w14:textId="77777777" w:rsidR="003734F4" w:rsidRPr="00A96055" w:rsidRDefault="003734F4" w:rsidP="003734F4">
            <w:pPr>
              <w:spacing w:line="160" w:lineRule="exact"/>
              <w:ind w:right="57"/>
              <w:jc w:val="right"/>
              <w:rPr>
                <w:bCs w:val="0"/>
                <w:sz w:val="12"/>
                <w:szCs w:val="12"/>
                <w:highlight w:val="yellow"/>
              </w:rPr>
            </w:pPr>
          </w:p>
        </w:tc>
        <w:tc>
          <w:tcPr>
            <w:tcW w:w="100" w:type="dxa"/>
            <w:tcBorders>
              <w:left w:val="nil"/>
              <w:right w:val="nil"/>
            </w:tcBorders>
            <w:shd w:val="clear" w:color="auto" w:fill="auto"/>
            <w:vAlign w:val="bottom"/>
          </w:tcPr>
          <w:p w14:paraId="53C5E51A" w14:textId="77777777" w:rsidR="003734F4" w:rsidRPr="00A96055" w:rsidRDefault="003734F4" w:rsidP="003734F4">
            <w:pPr>
              <w:spacing w:line="160" w:lineRule="exact"/>
              <w:jc w:val="right"/>
              <w:rPr>
                <w:bCs w:val="0"/>
                <w:sz w:val="12"/>
                <w:szCs w:val="12"/>
                <w:highlight w:val="yellow"/>
              </w:rPr>
            </w:pPr>
          </w:p>
        </w:tc>
        <w:tc>
          <w:tcPr>
            <w:tcW w:w="1070" w:type="dxa"/>
            <w:tcBorders>
              <w:left w:val="nil"/>
              <w:right w:val="nil"/>
            </w:tcBorders>
            <w:shd w:val="clear" w:color="auto" w:fill="auto"/>
            <w:vAlign w:val="bottom"/>
          </w:tcPr>
          <w:p w14:paraId="434C9FCB" w14:textId="77777777" w:rsidR="003734F4" w:rsidRPr="00A96055" w:rsidRDefault="003734F4" w:rsidP="003734F4">
            <w:pPr>
              <w:spacing w:line="160" w:lineRule="exact"/>
              <w:ind w:left="-57" w:right="28"/>
              <w:jc w:val="right"/>
              <w:rPr>
                <w:bCs w:val="0"/>
                <w:sz w:val="12"/>
                <w:szCs w:val="12"/>
                <w:highlight w:val="yellow"/>
              </w:rPr>
            </w:pPr>
          </w:p>
        </w:tc>
        <w:tc>
          <w:tcPr>
            <w:tcW w:w="94" w:type="dxa"/>
            <w:tcBorders>
              <w:left w:val="nil"/>
              <w:right w:val="nil"/>
            </w:tcBorders>
            <w:shd w:val="clear" w:color="auto" w:fill="auto"/>
            <w:vAlign w:val="bottom"/>
          </w:tcPr>
          <w:p w14:paraId="6D9B006A" w14:textId="77777777" w:rsidR="003734F4" w:rsidRPr="00A96055" w:rsidRDefault="003734F4" w:rsidP="003734F4">
            <w:pPr>
              <w:spacing w:line="160" w:lineRule="exact"/>
              <w:ind w:right="28"/>
              <w:jc w:val="right"/>
              <w:rPr>
                <w:bCs w:val="0"/>
                <w:sz w:val="12"/>
                <w:szCs w:val="12"/>
                <w:highlight w:val="yellow"/>
              </w:rPr>
            </w:pPr>
          </w:p>
        </w:tc>
        <w:tc>
          <w:tcPr>
            <w:tcW w:w="1101" w:type="dxa"/>
            <w:tcBorders>
              <w:left w:val="nil"/>
              <w:right w:val="nil"/>
            </w:tcBorders>
            <w:vAlign w:val="bottom"/>
          </w:tcPr>
          <w:p w14:paraId="6E6BE242" w14:textId="77777777" w:rsidR="003734F4" w:rsidRPr="00A96055" w:rsidRDefault="003734F4" w:rsidP="003734F4">
            <w:pPr>
              <w:spacing w:line="160" w:lineRule="exact"/>
              <w:ind w:left="-57" w:right="28"/>
              <w:jc w:val="right"/>
              <w:rPr>
                <w:bCs w:val="0"/>
                <w:sz w:val="12"/>
                <w:szCs w:val="12"/>
                <w:highlight w:val="yellow"/>
              </w:rPr>
            </w:pPr>
          </w:p>
        </w:tc>
        <w:tc>
          <w:tcPr>
            <w:tcW w:w="94" w:type="dxa"/>
            <w:tcBorders>
              <w:left w:val="nil"/>
              <w:right w:val="nil"/>
            </w:tcBorders>
            <w:vAlign w:val="bottom"/>
          </w:tcPr>
          <w:p w14:paraId="3BD3F2A4" w14:textId="77777777" w:rsidR="003734F4" w:rsidRPr="00A96055" w:rsidRDefault="003734F4" w:rsidP="003734F4">
            <w:pPr>
              <w:spacing w:line="160" w:lineRule="exact"/>
              <w:ind w:left="-57" w:right="28"/>
              <w:jc w:val="right"/>
              <w:rPr>
                <w:bCs w:val="0"/>
                <w:sz w:val="12"/>
                <w:szCs w:val="12"/>
                <w:highlight w:val="yellow"/>
              </w:rPr>
            </w:pPr>
          </w:p>
        </w:tc>
        <w:tc>
          <w:tcPr>
            <w:tcW w:w="1133" w:type="dxa"/>
            <w:tcBorders>
              <w:left w:val="nil"/>
              <w:right w:val="nil"/>
            </w:tcBorders>
            <w:shd w:val="clear" w:color="auto" w:fill="auto"/>
            <w:vAlign w:val="bottom"/>
          </w:tcPr>
          <w:p w14:paraId="4D105060" w14:textId="77777777" w:rsidR="003734F4" w:rsidRPr="00A96055" w:rsidRDefault="003734F4" w:rsidP="003734F4">
            <w:pPr>
              <w:spacing w:line="160" w:lineRule="exact"/>
              <w:ind w:left="-57" w:right="28"/>
              <w:jc w:val="right"/>
              <w:rPr>
                <w:bCs w:val="0"/>
                <w:sz w:val="12"/>
                <w:szCs w:val="12"/>
                <w:highlight w:val="yellow"/>
              </w:rPr>
            </w:pPr>
          </w:p>
        </w:tc>
        <w:tc>
          <w:tcPr>
            <w:tcW w:w="1511" w:type="dxa"/>
            <w:tcBorders>
              <w:left w:val="nil"/>
              <w:bottom w:val="nil"/>
              <w:right w:val="nil"/>
            </w:tcBorders>
            <w:shd w:val="clear" w:color="auto" w:fill="auto"/>
            <w:vAlign w:val="bottom"/>
          </w:tcPr>
          <w:p w14:paraId="31640262" w14:textId="77777777" w:rsidR="003734F4" w:rsidRDefault="003734F4" w:rsidP="003734F4">
            <w:pPr>
              <w:tabs>
                <w:tab w:val="left" w:pos="1360"/>
                <w:tab w:val="left" w:pos="1410"/>
              </w:tabs>
              <w:spacing w:line="160" w:lineRule="exact"/>
              <w:ind w:right="72"/>
              <w:jc w:val="right"/>
              <w:rPr>
                <w:b/>
                <w:i/>
                <w:color w:val="1D1B11"/>
                <w:sz w:val="14"/>
                <w:szCs w:val="14"/>
                <w:u w:val="single"/>
              </w:rPr>
            </w:pPr>
            <w:r w:rsidRPr="001775FB">
              <w:rPr>
                <w:b/>
                <w:i/>
                <w:color w:val="1D1B11"/>
                <w:sz w:val="14"/>
                <w:szCs w:val="14"/>
                <w:u w:val="single"/>
              </w:rPr>
              <w:t>Construction in</w:t>
            </w:r>
          </w:p>
          <w:p w14:paraId="3A2D4D2A" w14:textId="703B6379" w:rsidR="003734F4" w:rsidRPr="001775FB" w:rsidRDefault="003734F4" w:rsidP="003734F4">
            <w:pPr>
              <w:ind w:right="198"/>
              <w:jc w:val="right"/>
              <w:rPr>
                <w:b/>
                <w:i/>
                <w:color w:val="1D1B11"/>
                <w:sz w:val="14"/>
                <w:szCs w:val="14"/>
                <w:u w:val="single"/>
              </w:rPr>
            </w:pPr>
            <w:r w:rsidRPr="001775FB">
              <w:rPr>
                <w:b/>
                <w:i/>
                <w:color w:val="1D1B11"/>
                <w:sz w:val="14"/>
                <w:szCs w:val="14"/>
                <w:u w:val="single"/>
              </w:rPr>
              <w:t>Progress</w:t>
            </w:r>
          </w:p>
        </w:tc>
      </w:tr>
      <w:tr w:rsidR="003734F4" w:rsidRPr="001775FB" w14:paraId="63D2FBB5" w14:textId="77777777" w:rsidTr="003734F4">
        <w:trPr>
          <w:cantSplit/>
        </w:trPr>
        <w:tc>
          <w:tcPr>
            <w:tcW w:w="1820" w:type="dxa"/>
            <w:tcBorders>
              <w:left w:val="nil"/>
              <w:right w:val="nil"/>
            </w:tcBorders>
            <w:shd w:val="clear" w:color="auto" w:fill="auto"/>
            <w:vAlign w:val="bottom"/>
          </w:tcPr>
          <w:p w14:paraId="59A8A55E" w14:textId="77777777" w:rsidR="003734F4" w:rsidRPr="001775FB" w:rsidRDefault="003734F4" w:rsidP="003734F4">
            <w:pPr>
              <w:spacing w:line="160" w:lineRule="exact"/>
              <w:ind w:left="567" w:right="17" w:hanging="141"/>
              <w:rPr>
                <w:bCs w:val="0"/>
                <w:sz w:val="14"/>
                <w:szCs w:val="14"/>
              </w:rPr>
            </w:pPr>
            <w:r w:rsidRPr="001775FB">
              <w:rPr>
                <w:bCs w:val="0"/>
                <w:sz w:val="14"/>
                <w:szCs w:val="14"/>
              </w:rPr>
              <w:t>Bangunan</w:t>
            </w:r>
          </w:p>
        </w:tc>
        <w:tc>
          <w:tcPr>
            <w:tcW w:w="1133" w:type="dxa"/>
            <w:tcBorders>
              <w:left w:val="nil"/>
              <w:right w:val="nil"/>
            </w:tcBorders>
            <w:shd w:val="clear" w:color="auto" w:fill="auto"/>
            <w:vAlign w:val="bottom"/>
          </w:tcPr>
          <w:p w14:paraId="35DCE5EF" w14:textId="0D7E6168" w:rsidR="003734F4" w:rsidRPr="00EF4DEE" w:rsidRDefault="003734F4" w:rsidP="003734F4">
            <w:pPr>
              <w:ind w:left="-57" w:right="28"/>
              <w:jc w:val="right"/>
              <w:rPr>
                <w:bCs w:val="0"/>
                <w:sz w:val="12"/>
                <w:szCs w:val="12"/>
                <w:lang w:val="id-ID"/>
              </w:rPr>
            </w:pPr>
            <w:r w:rsidRPr="00EF4DEE">
              <w:rPr>
                <w:bCs w:val="0"/>
                <w:sz w:val="12"/>
                <w:szCs w:val="12"/>
              </w:rPr>
              <w:t>264.476.392.648</w:t>
            </w:r>
          </w:p>
        </w:tc>
        <w:tc>
          <w:tcPr>
            <w:tcW w:w="94" w:type="dxa"/>
            <w:tcBorders>
              <w:left w:val="nil"/>
              <w:right w:val="nil"/>
            </w:tcBorders>
            <w:shd w:val="clear" w:color="auto" w:fill="auto"/>
            <w:vAlign w:val="bottom"/>
          </w:tcPr>
          <w:p w14:paraId="766DD30B" w14:textId="77777777" w:rsidR="003734F4" w:rsidRPr="00A96055" w:rsidRDefault="003734F4" w:rsidP="003734F4">
            <w:pPr>
              <w:spacing w:line="160" w:lineRule="exact"/>
              <w:jc w:val="right"/>
              <w:rPr>
                <w:bCs w:val="0"/>
                <w:sz w:val="12"/>
                <w:szCs w:val="12"/>
                <w:highlight w:val="yellow"/>
              </w:rPr>
            </w:pPr>
          </w:p>
        </w:tc>
        <w:tc>
          <w:tcPr>
            <w:tcW w:w="1047" w:type="dxa"/>
            <w:tcBorders>
              <w:left w:val="nil"/>
              <w:right w:val="nil"/>
            </w:tcBorders>
            <w:shd w:val="clear" w:color="auto" w:fill="auto"/>
            <w:vAlign w:val="bottom"/>
          </w:tcPr>
          <w:p w14:paraId="6E46494D" w14:textId="5675B40B" w:rsidR="003734F4" w:rsidRPr="00071C5D" w:rsidRDefault="00071C5D" w:rsidP="003734F4">
            <w:pPr>
              <w:spacing w:line="160" w:lineRule="exact"/>
              <w:ind w:left="-57" w:right="28"/>
              <w:jc w:val="right"/>
              <w:rPr>
                <w:bCs w:val="0"/>
                <w:sz w:val="12"/>
                <w:szCs w:val="12"/>
              </w:rPr>
            </w:pPr>
            <w:r w:rsidRPr="00071C5D">
              <w:rPr>
                <w:bCs w:val="0"/>
                <w:sz w:val="12"/>
                <w:szCs w:val="12"/>
              </w:rPr>
              <w:t>147.561.957.139</w:t>
            </w:r>
          </w:p>
        </w:tc>
        <w:tc>
          <w:tcPr>
            <w:tcW w:w="100" w:type="dxa"/>
            <w:tcBorders>
              <w:left w:val="nil"/>
              <w:right w:val="nil"/>
            </w:tcBorders>
            <w:shd w:val="clear" w:color="auto" w:fill="auto"/>
            <w:vAlign w:val="bottom"/>
          </w:tcPr>
          <w:p w14:paraId="1976F600" w14:textId="77777777" w:rsidR="003734F4" w:rsidRPr="00071C5D" w:rsidRDefault="003734F4" w:rsidP="003734F4">
            <w:pPr>
              <w:spacing w:line="160" w:lineRule="exact"/>
              <w:jc w:val="right"/>
              <w:rPr>
                <w:bCs w:val="0"/>
                <w:sz w:val="12"/>
                <w:szCs w:val="12"/>
              </w:rPr>
            </w:pPr>
          </w:p>
        </w:tc>
        <w:tc>
          <w:tcPr>
            <w:tcW w:w="1070" w:type="dxa"/>
            <w:tcBorders>
              <w:left w:val="nil"/>
              <w:right w:val="nil"/>
            </w:tcBorders>
            <w:shd w:val="clear" w:color="auto" w:fill="auto"/>
            <w:vAlign w:val="bottom"/>
          </w:tcPr>
          <w:p w14:paraId="118FD53E" w14:textId="634AEDFC" w:rsidR="003734F4" w:rsidRPr="00071C5D" w:rsidRDefault="00071C5D" w:rsidP="003734F4">
            <w:pPr>
              <w:spacing w:line="160" w:lineRule="exact"/>
              <w:ind w:right="28"/>
              <w:jc w:val="right"/>
              <w:rPr>
                <w:bCs w:val="0"/>
                <w:sz w:val="12"/>
                <w:szCs w:val="12"/>
              </w:rPr>
            </w:pPr>
            <w:r>
              <w:rPr>
                <w:bCs w:val="0"/>
                <w:sz w:val="12"/>
                <w:szCs w:val="12"/>
              </w:rPr>
              <w:t>-</w:t>
            </w:r>
          </w:p>
        </w:tc>
        <w:tc>
          <w:tcPr>
            <w:tcW w:w="94" w:type="dxa"/>
            <w:tcBorders>
              <w:left w:val="nil"/>
              <w:right w:val="nil"/>
            </w:tcBorders>
            <w:shd w:val="clear" w:color="auto" w:fill="auto"/>
            <w:vAlign w:val="bottom"/>
          </w:tcPr>
          <w:p w14:paraId="55F471A8" w14:textId="77777777" w:rsidR="003734F4" w:rsidRPr="00A96055" w:rsidRDefault="003734F4" w:rsidP="003734F4">
            <w:pPr>
              <w:spacing w:line="160" w:lineRule="exact"/>
              <w:ind w:right="18"/>
              <w:jc w:val="right"/>
              <w:rPr>
                <w:bCs w:val="0"/>
                <w:sz w:val="12"/>
                <w:szCs w:val="12"/>
                <w:highlight w:val="yellow"/>
              </w:rPr>
            </w:pPr>
          </w:p>
        </w:tc>
        <w:tc>
          <w:tcPr>
            <w:tcW w:w="1101" w:type="dxa"/>
            <w:tcBorders>
              <w:left w:val="nil"/>
              <w:right w:val="nil"/>
            </w:tcBorders>
            <w:vAlign w:val="bottom"/>
          </w:tcPr>
          <w:p w14:paraId="1DB91479" w14:textId="4C98C5D2" w:rsidR="003734F4" w:rsidRPr="00071C5D" w:rsidRDefault="00071C5D" w:rsidP="003734F4">
            <w:pPr>
              <w:spacing w:line="160" w:lineRule="exact"/>
              <w:ind w:left="-57" w:right="28"/>
              <w:jc w:val="right"/>
              <w:rPr>
                <w:bCs w:val="0"/>
                <w:sz w:val="12"/>
                <w:szCs w:val="12"/>
              </w:rPr>
            </w:pPr>
            <w:r w:rsidRPr="00071C5D">
              <w:rPr>
                <w:bCs w:val="0"/>
                <w:sz w:val="12"/>
                <w:szCs w:val="12"/>
              </w:rPr>
              <w:t>-</w:t>
            </w:r>
          </w:p>
        </w:tc>
        <w:tc>
          <w:tcPr>
            <w:tcW w:w="94" w:type="dxa"/>
            <w:tcBorders>
              <w:left w:val="nil"/>
              <w:right w:val="nil"/>
            </w:tcBorders>
            <w:vAlign w:val="bottom"/>
          </w:tcPr>
          <w:p w14:paraId="605322A6" w14:textId="77777777" w:rsidR="003734F4" w:rsidRPr="00071C5D" w:rsidRDefault="003734F4" w:rsidP="003734F4">
            <w:pPr>
              <w:spacing w:line="160" w:lineRule="exact"/>
              <w:ind w:left="-57" w:right="28"/>
              <w:jc w:val="right"/>
              <w:rPr>
                <w:bCs w:val="0"/>
                <w:sz w:val="12"/>
                <w:szCs w:val="12"/>
              </w:rPr>
            </w:pPr>
          </w:p>
        </w:tc>
        <w:tc>
          <w:tcPr>
            <w:tcW w:w="1133" w:type="dxa"/>
            <w:tcBorders>
              <w:left w:val="nil"/>
              <w:right w:val="nil"/>
            </w:tcBorders>
            <w:shd w:val="clear" w:color="auto" w:fill="auto"/>
            <w:vAlign w:val="bottom"/>
          </w:tcPr>
          <w:p w14:paraId="70651916" w14:textId="479BBB83" w:rsidR="003734F4" w:rsidRPr="00EF4DEE" w:rsidRDefault="00071C5D" w:rsidP="003734F4">
            <w:pPr>
              <w:spacing w:line="160" w:lineRule="exact"/>
              <w:ind w:right="28"/>
              <w:jc w:val="right"/>
              <w:rPr>
                <w:bCs w:val="0"/>
                <w:sz w:val="12"/>
                <w:szCs w:val="12"/>
              </w:rPr>
            </w:pPr>
            <w:r>
              <w:rPr>
                <w:bCs w:val="0"/>
                <w:sz w:val="12"/>
                <w:szCs w:val="12"/>
              </w:rPr>
              <w:t>412.038.349.787</w:t>
            </w:r>
          </w:p>
        </w:tc>
        <w:tc>
          <w:tcPr>
            <w:tcW w:w="1511" w:type="dxa"/>
            <w:tcBorders>
              <w:left w:val="nil"/>
              <w:bottom w:val="nil"/>
              <w:right w:val="nil"/>
            </w:tcBorders>
            <w:shd w:val="clear" w:color="auto" w:fill="auto"/>
            <w:vAlign w:val="bottom"/>
          </w:tcPr>
          <w:p w14:paraId="71805893" w14:textId="77777777" w:rsidR="003734F4" w:rsidRPr="001775FB" w:rsidRDefault="003734F4" w:rsidP="003734F4">
            <w:pPr>
              <w:tabs>
                <w:tab w:val="left" w:pos="1360"/>
                <w:tab w:val="left" w:pos="1410"/>
              </w:tabs>
              <w:spacing w:line="160" w:lineRule="exact"/>
              <w:ind w:right="72"/>
              <w:jc w:val="right"/>
              <w:rPr>
                <w:i/>
                <w:color w:val="1D1B11"/>
                <w:sz w:val="14"/>
                <w:szCs w:val="14"/>
              </w:rPr>
            </w:pPr>
            <w:r w:rsidRPr="001775FB">
              <w:rPr>
                <w:i/>
                <w:color w:val="1D1B11"/>
                <w:sz w:val="14"/>
                <w:szCs w:val="14"/>
              </w:rPr>
              <w:t>Buildings</w:t>
            </w:r>
          </w:p>
        </w:tc>
      </w:tr>
      <w:tr w:rsidR="003734F4" w:rsidRPr="001775FB" w14:paraId="6E09CBFC" w14:textId="77777777" w:rsidTr="003734F4">
        <w:trPr>
          <w:cantSplit/>
        </w:trPr>
        <w:tc>
          <w:tcPr>
            <w:tcW w:w="1820" w:type="dxa"/>
            <w:tcBorders>
              <w:left w:val="nil"/>
              <w:right w:val="nil"/>
            </w:tcBorders>
            <w:shd w:val="clear" w:color="auto" w:fill="auto"/>
            <w:vAlign w:val="bottom"/>
          </w:tcPr>
          <w:p w14:paraId="300F35C8" w14:textId="77777777" w:rsidR="003734F4" w:rsidRPr="001775FB" w:rsidRDefault="003734F4" w:rsidP="003734F4">
            <w:pPr>
              <w:spacing w:line="160" w:lineRule="exact"/>
              <w:ind w:left="567" w:right="74" w:hanging="141"/>
              <w:rPr>
                <w:bCs w:val="0"/>
                <w:sz w:val="14"/>
                <w:szCs w:val="14"/>
              </w:rPr>
            </w:pPr>
            <w:r w:rsidRPr="001775FB">
              <w:rPr>
                <w:bCs w:val="0"/>
                <w:sz w:val="14"/>
                <w:szCs w:val="14"/>
              </w:rPr>
              <w:t>Peralatan kesehatan</w:t>
            </w:r>
          </w:p>
        </w:tc>
        <w:tc>
          <w:tcPr>
            <w:tcW w:w="1133" w:type="dxa"/>
            <w:tcBorders>
              <w:left w:val="nil"/>
              <w:right w:val="nil"/>
            </w:tcBorders>
            <w:shd w:val="clear" w:color="auto" w:fill="auto"/>
            <w:vAlign w:val="bottom"/>
          </w:tcPr>
          <w:p w14:paraId="528F0A21" w14:textId="6EA545A4" w:rsidR="003734F4" w:rsidRPr="00EF4DEE" w:rsidRDefault="003734F4" w:rsidP="003734F4">
            <w:pPr>
              <w:spacing w:line="160" w:lineRule="exact"/>
              <w:ind w:left="-57" w:right="28"/>
              <w:jc w:val="right"/>
              <w:rPr>
                <w:bCs w:val="0"/>
                <w:sz w:val="12"/>
                <w:szCs w:val="12"/>
              </w:rPr>
            </w:pPr>
            <w:r w:rsidRPr="00EF4DEE">
              <w:rPr>
                <w:bCs w:val="0"/>
                <w:sz w:val="12"/>
                <w:szCs w:val="12"/>
              </w:rPr>
              <w:t>27.487.069.175</w:t>
            </w:r>
          </w:p>
        </w:tc>
        <w:tc>
          <w:tcPr>
            <w:tcW w:w="94" w:type="dxa"/>
            <w:tcBorders>
              <w:left w:val="nil"/>
              <w:right w:val="nil"/>
            </w:tcBorders>
            <w:shd w:val="clear" w:color="auto" w:fill="auto"/>
            <w:vAlign w:val="bottom"/>
          </w:tcPr>
          <w:p w14:paraId="548470F9" w14:textId="77777777" w:rsidR="003734F4" w:rsidRPr="00A96055" w:rsidRDefault="003734F4" w:rsidP="003734F4">
            <w:pPr>
              <w:jc w:val="right"/>
              <w:rPr>
                <w:bCs w:val="0"/>
                <w:sz w:val="12"/>
                <w:szCs w:val="12"/>
                <w:highlight w:val="yellow"/>
              </w:rPr>
            </w:pPr>
          </w:p>
        </w:tc>
        <w:tc>
          <w:tcPr>
            <w:tcW w:w="1047" w:type="dxa"/>
            <w:tcBorders>
              <w:left w:val="nil"/>
              <w:right w:val="nil"/>
            </w:tcBorders>
            <w:shd w:val="clear" w:color="auto" w:fill="auto"/>
            <w:vAlign w:val="bottom"/>
          </w:tcPr>
          <w:p w14:paraId="77EEEA41" w14:textId="70DCC045" w:rsidR="003734F4" w:rsidRPr="00EF4DEE" w:rsidRDefault="0014063A" w:rsidP="003734F4">
            <w:pPr>
              <w:ind w:right="57"/>
              <w:jc w:val="right"/>
              <w:rPr>
                <w:bCs w:val="0"/>
                <w:sz w:val="12"/>
                <w:szCs w:val="12"/>
              </w:rPr>
            </w:pPr>
            <w:r>
              <w:rPr>
                <w:bCs w:val="0"/>
                <w:sz w:val="12"/>
                <w:szCs w:val="12"/>
              </w:rPr>
              <w:t>3.979.414.425</w:t>
            </w:r>
          </w:p>
        </w:tc>
        <w:tc>
          <w:tcPr>
            <w:tcW w:w="100" w:type="dxa"/>
            <w:tcBorders>
              <w:left w:val="nil"/>
              <w:right w:val="nil"/>
            </w:tcBorders>
            <w:shd w:val="clear" w:color="auto" w:fill="auto"/>
            <w:vAlign w:val="bottom"/>
          </w:tcPr>
          <w:p w14:paraId="239DABBD" w14:textId="77777777" w:rsidR="003734F4" w:rsidRPr="00A96055" w:rsidRDefault="003734F4" w:rsidP="003734F4">
            <w:pPr>
              <w:jc w:val="right"/>
              <w:rPr>
                <w:bCs w:val="0"/>
                <w:sz w:val="12"/>
                <w:szCs w:val="12"/>
                <w:highlight w:val="yellow"/>
              </w:rPr>
            </w:pPr>
          </w:p>
        </w:tc>
        <w:tc>
          <w:tcPr>
            <w:tcW w:w="1070" w:type="dxa"/>
            <w:tcBorders>
              <w:left w:val="nil"/>
              <w:right w:val="nil"/>
            </w:tcBorders>
            <w:shd w:val="clear" w:color="auto" w:fill="auto"/>
          </w:tcPr>
          <w:p w14:paraId="25C2B63C" w14:textId="1BE9EB00" w:rsidR="003734F4" w:rsidRPr="00071C5D" w:rsidRDefault="00071C5D" w:rsidP="003734F4">
            <w:pPr>
              <w:ind w:left="-57" w:right="28"/>
              <w:jc w:val="right"/>
              <w:rPr>
                <w:bCs w:val="0"/>
                <w:sz w:val="12"/>
                <w:szCs w:val="12"/>
              </w:rPr>
            </w:pPr>
            <w:r w:rsidRPr="00071C5D">
              <w:rPr>
                <w:bCs w:val="0"/>
                <w:sz w:val="12"/>
                <w:szCs w:val="12"/>
              </w:rPr>
              <w:t>-</w:t>
            </w:r>
          </w:p>
        </w:tc>
        <w:tc>
          <w:tcPr>
            <w:tcW w:w="94" w:type="dxa"/>
            <w:tcBorders>
              <w:left w:val="nil"/>
              <w:right w:val="nil"/>
            </w:tcBorders>
            <w:shd w:val="clear" w:color="auto" w:fill="auto"/>
            <w:vAlign w:val="bottom"/>
          </w:tcPr>
          <w:p w14:paraId="39D5D8A4" w14:textId="77777777" w:rsidR="003734F4" w:rsidRPr="00071C5D" w:rsidRDefault="003734F4" w:rsidP="003734F4">
            <w:pPr>
              <w:ind w:right="28"/>
              <w:jc w:val="right"/>
              <w:rPr>
                <w:bCs w:val="0"/>
                <w:sz w:val="12"/>
                <w:szCs w:val="12"/>
              </w:rPr>
            </w:pPr>
          </w:p>
        </w:tc>
        <w:tc>
          <w:tcPr>
            <w:tcW w:w="1101" w:type="dxa"/>
            <w:tcBorders>
              <w:left w:val="nil"/>
              <w:right w:val="nil"/>
            </w:tcBorders>
            <w:vAlign w:val="bottom"/>
          </w:tcPr>
          <w:p w14:paraId="5BE4D1EF" w14:textId="77E90D14" w:rsidR="003734F4" w:rsidRPr="00071C5D" w:rsidRDefault="00071C5D" w:rsidP="003734F4">
            <w:pPr>
              <w:ind w:left="-57" w:right="28"/>
              <w:jc w:val="right"/>
              <w:rPr>
                <w:bCs w:val="0"/>
                <w:sz w:val="12"/>
                <w:szCs w:val="12"/>
              </w:rPr>
            </w:pPr>
            <w:r w:rsidRPr="00071C5D">
              <w:rPr>
                <w:bCs w:val="0"/>
                <w:sz w:val="12"/>
                <w:szCs w:val="12"/>
              </w:rPr>
              <w:t>-</w:t>
            </w:r>
          </w:p>
        </w:tc>
        <w:tc>
          <w:tcPr>
            <w:tcW w:w="94" w:type="dxa"/>
            <w:tcBorders>
              <w:left w:val="nil"/>
              <w:right w:val="nil"/>
            </w:tcBorders>
            <w:vAlign w:val="bottom"/>
          </w:tcPr>
          <w:p w14:paraId="7456AD2A" w14:textId="77777777" w:rsidR="003734F4" w:rsidRPr="00A96055" w:rsidRDefault="003734F4" w:rsidP="003734F4">
            <w:pPr>
              <w:ind w:left="-57" w:right="28"/>
              <w:jc w:val="right"/>
              <w:rPr>
                <w:bCs w:val="0"/>
                <w:sz w:val="12"/>
                <w:szCs w:val="12"/>
                <w:highlight w:val="yellow"/>
              </w:rPr>
            </w:pPr>
          </w:p>
        </w:tc>
        <w:tc>
          <w:tcPr>
            <w:tcW w:w="1133" w:type="dxa"/>
            <w:tcBorders>
              <w:left w:val="nil"/>
              <w:right w:val="nil"/>
            </w:tcBorders>
            <w:shd w:val="clear" w:color="auto" w:fill="auto"/>
            <w:vAlign w:val="bottom"/>
          </w:tcPr>
          <w:p w14:paraId="3C3E2150" w14:textId="2215D140" w:rsidR="003734F4" w:rsidRPr="00EF4DEE" w:rsidRDefault="0014063A" w:rsidP="003734F4">
            <w:pPr>
              <w:spacing w:line="160" w:lineRule="exact"/>
              <w:ind w:right="28"/>
              <w:jc w:val="right"/>
              <w:rPr>
                <w:bCs w:val="0"/>
                <w:sz w:val="12"/>
                <w:szCs w:val="12"/>
              </w:rPr>
            </w:pPr>
            <w:r>
              <w:rPr>
                <w:bCs w:val="0"/>
                <w:sz w:val="12"/>
                <w:szCs w:val="12"/>
              </w:rPr>
              <w:t>31.466.483.600</w:t>
            </w:r>
          </w:p>
        </w:tc>
        <w:tc>
          <w:tcPr>
            <w:tcW w:w="1511" w:type="dxa"/>
            <w:tcBorders>
              <w:left w:val="nil"/>
              <w:right w:val="nil"/>
            </w:tcBorders>
            <w:shd w:val="clear" w:color="auto" w:fill="auto"/>
            <w:vAlign w:val="bottom"/>
          </w:tcPr>
          <w:p w14:paraId="3690DA0C" w14:textId="77777777" w:rsidR="003734F4" w:rsidRPr="001775FB" w:rsidRDefault="003734F4" w:rsidP="003734F4">
            <w:pPr>
              <w:tabs>
                <w:tab w:val="left" w:pos="1360"/>
                <w:tab w:val="left" w:pos="1410"/>
              </w:tabs>
              <w:ind w:right="72"/>
              <w:jc w:val="right"/>
              <w:rPr>
                <w:i/>
                <w:sz w:val="14"/>
                <w:szCs w:val="14"/>
              </w:rPr>
            </w:pPr>
            <w:r w:rsidRPr="001775FB">
              <w:rPr>
                <w:i/>
                <w:iCs/>
                <w:sz w:val="14"/>
                <w:szCs w:val="14"/>
              </w:rPr>
              <w:t>Vehicles</w:t>
            </w:r>
          </w:p>
        </w:tc>
      </w:tr>
      <w:tr w:rsidR="003734F4" w:rsidRPr="001775FB" w14:paraId="59860FAA" w14:textId="77777777" w:rsidTr="003734F4">
        <w:trPr>
          <w:cantSplit/>
        </w:trPr>
        <w:tc>
          <w:tcPr>
            <w:tcW w:w="1820" w:type="dxa"/>
            <w:tcBorders>
              <w:left w:val="nil"/>
              <w:right w:val="nil"/>
            </w:tcBorders>
            <w:shd w:val="clear" w:color="auto" w:fill="auto"/>
            <w:vAlign w:val="bottom"/>
          </w:tcPr>
          <w:p w14:paraId="6F39F4B9" w14:textId="6F0907F6" w:rsidR="003734F4" w:rsidRPr="001775FB" w:rsidRDefault="003734F4" w:rsidP="003734F4">
            <w:pPr>
              <w:spacing w:line="160" w:lineRule="exact"/>
              <w:ind w:left="567" w:right="17" w:hanging="141"/>
              <w:rPr>
                <w:bCs w:val="0"/>
                <w:sz w:val="14"/>
                <w:szCs w:val="14"/>
              </w:rPr>
            </w:pPr>
            <w:r w:rsidRPr="001775FB">
              <w:rPr>
                <w:bCs w:val="0"/>
                <w:sz w:val="14"/>
                <w:szCs w:val="14"/>
              </w:rPr>
              <w:t>Mesin</w:t>
            </w:r>
          </w:p>
        </w:tc>
        <w:tc>
          <w:tcPr>
            <w:tcW w:w="1133" w:type="dxa"/>
            <w:tcBorders>
              <w:left w:val="nil"/>
              <w:right w:val="nil"/>
            </w:tcBorders>
            <w:shd w:val="clear" w:color="auto" w:fill="auto"/>
            <w:vAlign w:val="bottom"/>
          </w:tcPr>
          <w:p w14:paraId="1D6E3DF2" w14:textId="6AB91A01" w:rsidR="003734F4" w:rsidRPr="00EF4DEE" w:rsidRDefault="003734F4" w:rsidP="003734F4">
            <w:pPr>
              <w:spacing w:line="160" w:lineRule="exact"/>
              <w:ind w:left="-57" w:right="28"/>
              <w:jc w:val="right"/>
              <w:rPr>
                <w:bCs w:val="0"/>
                <w:sz w:val="12"/>
                <w:szCs w:val="12"/>
                <w:lang w:val="id-ID"/>
              </w:rPr>
            </w:pPr>
            <w:r w:rsidRPr="00EF4DEE">
              <w:rPr>
                <w:bCs w:val="0"/>
                <w:sz w:val="12"/>
                <w:szCs w:val="12"/>
              </w:rPr>
              <w:t>4.410.859.000</w:t>
            </w:r>
          </w:p>
        </w:tc>
        <w:tc>
          <w:tcPr>
            <w:tcW w:w="94" w:type="dxa"/>
            <w:tcBorders>
              <w:left w:val="nil"/>
              <w:right w:val="nil"/>
            </w:tcBorders>
            <w:shd w:val="clear" w:color="auto" w:fill="auto"/>
            <w:vAlign w:val="bottom"/>
          </w:tcPr>
          <w:p w14:paraId="294B2423" w14:textId="77777777" w:rsidR="003734F4" w:rsidRPr="00A96055" w:rsidRDefault="003734F4" w:rsidP="003734F4">
            <w:pPr>
              <w:jc w:val="right"/>
              <w:rPr>
                <w:bCs w:val="0"/>
                <w:sz w:val="12"/>
                <w:szCs w:val="12"/>
                <w:highlight w:val="yellow"/>
              </w:rPr>
            </w:pPr>
          </w:p>
        </w:tc>
        <w:tc>
          <w:tcPr>
            <w:tcW w:w="1047" w:type="dxa"/>
            <w:tcBorders>
              <w:left w:val="nil"/>
              <w:right w:val="nil"/>
            </w:tcBorders>
            <w:shd w:val="clear" w:color="auto" w:fill="auto"/>
            <w:vAlign w:val="bottom"/>
          </w:tcPr>
          <w:p w14:paraId="42B62789" w14:textId="3254F2A0" w:rsidR="003734F4" w:rsidRPr="00EF4DEE" w:rsidRDefault="009D0B95" w:rsidP="003734F4">
            <w:pPr>
              <w:ind w:right="57"/>
              <w:jc w:val="right"/>
              <w:rPr>
                <w:bCs w:val="0"/>
                <w:sz w:val="12"/>
                <w:szCs w:val="12"/>
                <w:lang w:val="id-ID"/>
              </w:rPr>
            </w:pPr>
            <w:r w:rsidRPr="00EF4DEE">
              <w:rPr>
                <w:bCs w:val="0"/>
                <w:sz w:val="12"/>
                <w:szCs w:val="12"/>
                <w:lang w:val="id-ID"/>
              </w:rPr>
              <w:t>1</w:t>
            </w:r>
            <w:r w:rsidR="00EF4DEE">
              <w:rPr>
                <w:bCs w:val="0"/>
                <w:sz w:val="12"/>
                <w:szCs w:val="12"/>
                <w:lang w:val="id-ID"/>
              </w:rPr>
              <w:t>.</w:t>
            </w:r>
            <w:r w:rsidRPr="00EF4DEE">
              <w:rPr>
                <w:bCs w:val="0"/>
                <w:sz w:val="12"/>
                <w:szCs w:val="12"/>
                <w:lang w:val="id-ID"/>
              </w:rPr>
              <w:t>697</w:t>
            </w:r>
            <w:r w:rsidR="00EF4DEE">
              <w:rPr>
                <w:bCs w:val="0"/>
                <w:sz w:val="12"/>
                <w:szCs w:val="12"/>
                <w:lang w:val="id-ID"/>
              </w:rPr>
              <w:t>.</w:t>
            </w:r>
            <w:r w:rsidRPr="00EF4DEE">
              <w:rPr>
                <w:bCs w:val="0"/>
                <w:sz w:val="12"/>
                <w:szCs w:val="12"/>
                <w:lang w:val="id-ID"/>
              </w:rPr>
              <w:t>675</w:t>
            </w:r>
            <w:r w:rsidR="00EF4DEE">
              <w:rPr>
                <w:bCs w:val="0"/>
                <w:sz w:val="12"/>
                <w:szCs w:val="12"/>
                <w:lang w:val="id-ID"/>
              </w:rPr>
              <w:t>.</w:t>
            </w:r>
            <w:r w:rsidRPr="00EF4DEE">
              <w:rPr>
                <w:bCs w:val="0"/>
                <w:sz w:val="12"/>
                <w:szCs w:val="12"/>
                <w:lang w:val="id-ID"/>
              </w:rPr>
              <w:t>826</w:t>
            </w:r>
          </w:p>
        </w:tc>
        <w:tc>
          <w:tcPr>
            <w:tcW w:w="100" w:type="dxa"/>
            <w:tcBorders>
              <w:left w:val="nil"/>
              <w:right w:val="nil"/>
            </w:tcBorders>
            <w:shd w:val="clear" w:color="auto" w:fill="auto"/>
            <w:vAlign w:val="bottom"/>
          </w:tcPr>
          <w:p w14:paraId="61177DEC" w14:textId="77777777" w:rsidR="003734F4" w:rsidRPr="00A96055" w:rsidRDefault="003734F4" w:rsidP="003734F4">
            <w:pPr>
              <w:jc w:val="right"/>
              <w:rPr>
                <w:bCs w:val="0"/>
                <w:sz w:val="12"/>
                <w:szCs w:val="12"/>
                <w:highlight w:val="yellow"/>
              </w:rPr>
            </w:pPr>
          </w:p>
        </w:tc>
        <w:tc>
          <w:tcPr>
            <w:tcW w:w="1070" w:type="dxa"/>
            <w:tcBorders>
              <w:left w:val="nil"/>
              <w:right w:val="nil"/>
            </w:tcBorders>
            <w:shd w:val="clear" w:color="auto" w:fill="auto"/>
          </w:tcPr>
          <w:p w14:paraId="4FA372E7" w14:textId="42A7AD4E" w:rsidR="003734F4" w:rsidRPr="00071C5D" w:rsidRDefault="00071C5D" w:rsidP="003734F4">
            <w:pPr>
              <w:ind w:left="-57" w:right="28"/>
              <w:jc w:val="right"/>
              <w:rPr>
                <w:bCs w:val="0"/>
                <w:sz w:val="12"/>
                <w:szCs w:val="12"/>
              </w:rPr>
            </w:pPr>
            <w:r>
              <w:rPr>
                <w:bCs w:val="0"/>
                <w:sz w:val="12"/>
                <w:szCs w:val="12"/>
              </w:rPr>
              <w:t>-</w:t>
            </w:r>
          </w:p>
        </w:tc>
        <w:tc>
          <w:tcPr>
            <w:tcW w:w="94" w:type="dxa"/>
            <w:tcBorders>
              <w:left w:val="nil"/>
              <w:right w:val="nil"/>
            </w:tcBorders>
            <w:shd w:val="clear" w:color="auto" w:fill="auto"/>
            <w:vAlign w:val="bottom"/>
          </w:tcPr>
          <w:p w14:paraId="4C7BF9BC" w14:textId="77777777" w:rsidR="003734F4" w:rsidRPr="00071C5D" w:rsidRDefault="003734F4" w:rsidP="003734F4">
            <w:pPr>
              <w:ind w:right="28"/>
              <w:jc w:val="right"/>
              <w:rPr>
                <w:bCs w:val="0"/>
                <w:sz w:val="12"/>
                <w:szCs w:val="12"/>
              </w:rPr>
            </w:pPr>
          </w:p>
        </w:tc>
        <w:tc>
          <w:tcPr>
            <w:tcW w:w="1101" w:type="dxa"/>
            <w:tcBorders>
              <w:left w:val="nil"/>
              <w:right w:val="nil"/>
            </w:tcBorders>
            <w:vAlign w:val="bottom"/>
          </w:tcPr>
          <w:p w14:paraId="4B2877C4" w14:textId="35B058B0" w:rsidR="003734F4" w:rsidRPr="00071C5D" w:rsidRDefault="00071C5D" w:rsidP="003734F4">
            <w:pPr>
              <w:ind w:left="-57" w:right="28"/>
              <w:jc w:val="right"/>
              <w:rPr>
                <w:bCs w:val="0"/>
                <w:sz w:val="12"/>
                <w:szCs w:val="12"/>
              </w:rPr>
            </w:pPr>
            <w:r>
              <w:rPr>
                <w:bCs w:val="0"/>
                <w:sz w:val="12"/>
                <w:szCs w:val="12"/>
              </w:rPr>
              <w:t>-</w:t>
            </w:r>
          </w:p>
        </w:tc>
        <w:tc>
          <w:tcPr>
            <w:tcW w:w="94" w:type="dxa"/>
            <w:tcBorders>
              <w:left w:val="nil"/>
              <w:right w:val="nil"/>
            </w:tcBorders>
            <w:vAlign w:val="bottom"/>
          </w:tcPr>
          <w:p w14:paraId="6A876534" w14:textId="77777777" w:rsidR="003734F4" w:rsidRPr="00A96055" w:rsidRDefault="003734F4" w:rsidP="003734F4">
            <w:pPr>
              <w:ind w:left="-57" w:right="28"/>
              <w:jc w:val="right"/>
              <w:rPr>
                <w:bCs w:val="0"/>
                <w:sz w:val="12"/>
                <w:szCs w:val="12"/>
                <w:highlight w:val="yellow"/>
              </w:rPr>
            </w:pPr>
          </w:p>
        </w:tc>
        <w:tc>
          <w:tcPr>
            <w:tcW w:w="1133" w:type="dxa"/>
            <w:tcBorders>
              <w:left w:val="nil"/>
              <w:right w:val="nil"/>
            </w:tcBorders>
            <w:shd w:val="clear" w:color="auto" w:fill="auto"/>
            <w:vAlign w:val="bottom"/>
          </w:tcPr>
          <w:p w14:paraId="67427546" w14:textId="60077CA1" w:rsidR="003734F4" w:rsidRPr="00EF4DEE" w:rsidRDefault="009D0B95" w:rsidP="003734F4">
            <w:pPr>
              <w:spacing w:line="160" w:lineRule="exact"/>
              <w:ind w:right="28"/>
              <w:jc w:val="right"/>
              <w:rPr>
                <w:bCs w:val="0"/>
                <w:sz w:val="12"/>
                <w:szCs w:val="12"/>
              </w:rPr>
            </w:pPr>
            <w:r w:rsidRPr="00EF4DEE">
              <w:rPr>
                <w:bCs w:val="0"/>
                <w:sz w:val="12"/>
                <w:szCs w:val="12"/>
              </w:rPr>
              <w:t>6</w:t>
            </w:r>
            <w:r w:rsidR="00EF4DEE" w:rsidRPr="00EF4DEE">
              <w:rPr>
                <w:bCs w:val="0"/>
                <w:sz w:val="12"/>
                <w:szCs w:val="12"/>
              </w:rPr>
              <w:t>.</w:t>
            </w:r>
            <w:r w:rsidRPr="00EF4DEE">
              <w:rPr>
                <w:bCs w:val="0"/>
                <w:sz w:val="12"/>
                <w:szCs w:val="12"/>
              </w:rPr>
              <w:t>108</w:t>
            </w:r>
            <w:r w:rsidR="00EF4DEE" w:rsidRPr="00EF4DEE">
              <w:rPr>
                <w:bCs w:val="0"/>
                <w:sz w:val="12"/>
                <w:szCs w:val="12"/>
              </w:rPr>
              <w:t>.</w:t>
            </w:r>
            <w:r w:rsidRPr="00EF4DEE">
              <w:rPr>
                <w:bCs w:val="0"/>
                <w:sz w:val="12"/>
                <w:szCs w:val="12"/>
              </w:rPr>
              <w:t>534</w:t>
            </w:r>
            <w:r w:rsidR="00EF4DEE" w:rsidRPr="00EF4DEE">
              <w:rPr>
                <w:bCs w:val="0"/>
                <w:sz w:val="12"/>
                <w:szCs w:val="12"/>
              </w:rPr>
              <w:t>.</w:t>
            </w:r>
            <w:r w:rsidRPr="00EF4DEE">
              <w:rPr>
                <w:bCs w:val="0"/>
                <w:sz w:val="12"/>
                <w:szCs w:val="12"/>
              </w:rPr>
              <w:t>826</w:t>
            </w:r>
          </w:p>
        </w:tc>
        <w:tc>
          <w:tcPr>
            <w:tcW w:w="1511" w:type="dxa"/>
            <w:tcBorders>
              <w:left w:val="nil"/>
              <w:right w:val="nil"/>
            </w:tcBorders>
            <w:shd w:val="clear" w:color="auto" w:fill="auto"/>
            <w:vAlign w:val="bottom"/>
          </w:tcPr>
          <w:p w14:paraId="7B99E228" w14:textId="606E6923" w:rsidR="003734F4" w:rsidRPr="001775FB" w:rsidRDefault="003734F4" w:rsidP="003734F4">
            <w:pPr>
              <w:tabs>
                <w:tab w:val="left" w:pos="1360"/>
                <w:tab w:val="left" w:pos="1410"/>
              </w:tabs>
              <w:ind w:right="72"/>
              <w:jc w:val="right"/>
              <w:rPr>
                <w:i/>
                <w:sz w:val="14"/>
                <w:szCs w:val="14"/>
                <w:lang w:val="id-ID"/>
              </w:rPr>
            </w:pPr>
            <w:r w:rsidRPr="001775FB">
              <w:rPr>
                <w:i/>
                <w:iCs/>
                <w:sz w:val="14"/>
                <w:szCs w:val="14"/>
              </w:rPr>
              <w:t>Mechine</w:t>
            </w:r>
          </w:p>
        </w:tc>
      </w:tr>
      <w:tr w:rsidR="003734F4" w:rsidRPr="001775FB" w14:paraId="2132F7BB" w14:textId="77777777" w:rsidTr="003734F4">
        <w:trPr>
          <w:cantSplit/>
        </w:trPr>
        <w:tc>
          <w:tcPr>
            <w:tcW w:w="1820" w:type="dxa"/>
            <w:tcBorders>
              <w:left w:val="nil"/>
              <w:right w:val="nil"/>
            </w:tcBorders>
            <w:shd w:val="clear" w:color="auto" w:fill="auto"/>
            <w:vAlign w:val="bottom"/>
          </w:tcPr>
          <w:p w14:paraId="67F43555" w14:textId="4883546A" w:rsidR="003734F4" w:rsidRPr="001775FB" w:rsidRDefault="003734F4" w:rsidP="003734F4">
            <w:pPr>
              <w:spacing w:line="160" w:lineRule="exact"/>
              <w:ind w:left="567" w:right="17" w:hanging="141"/>
              <w:rPr>
                <w:bCs w:val="0"/>
                <w:sz w:val="14"/>
                <w:szCs w:val="14"/>
                <w:vertAlign w:val="superscript"/>
              </w:rPr>
            </w:pPr>
            <w:r w:rsidRPr="001775FB">
              <w:rPr>
                <w:bCs w:val="0"/>
                <w:sz w:val="14"/>
                <w:szCs w:val="14"/>
              </w:rPr>
              <w:t>Perabotan dan perlengkapan</w:t>
            </w:r>
          </w:p>
        </w:tc>
        <w:tc>
          <w:tcPr>
            <w:tcW w:w="1133" w:type="dxa"/>
            <w:tcBorders>
              <w:left w:val="nil"/>
              <w:right w:val="nil"/>
            </w:tcBorders>
            <w:shd w:val="clear" w:color="auto" w:fill="auto"/>
            <w:vAlign w:val="bottom"/>
          </w:tcPr>
          <w:p w14:paraId="1EAEFADD" w14:textId="394EC44B" w:rsidR="003734F4" w:rsidRPr="00EF4DEE" w:rsidRDefault="003734F4" w:rsidP="003734F4">
            <w:pPr>
              <w:spacing w:line="160" w:lineRule="exact"/>
              <w:ind w:left="-57" w:right="28"/>
              <w:jc w:val="right"/>
              <w:rPr>
                <w:bCs w:val="0"/>
                <w:sz w:val="12"/>
                <w:szCs w:val="12"/>
                <w:lang w:val="id-ID"/>
              </w:rPr>
            </w:pPr>
            <w:r w:rsidRPr="00EF4DEE">
              <w:rPr>
                <w:bCs w:val="0"/>
                <w:sz w:val="12"/>
                <w:szCs w:val="12"/>
              </w:rPr>
              <w:t>1.397.344.866</w:t>
            </w:r>
          </w:p>
        </w:tc>
        <w:tc>
          <w:tcPr>
            <w:tcW w:w="94" w:type="dxa"/>
            <w:tcBorders>
              <w:left w:val="nil"/>
              <w:right w:val="nil"/>
            </w:tcBorders>
            <w:shd w:val="clear" w:color="auto" w:fill="auto"/>
            <w:vAlign w:val="bottom"/>
          </w:tcPr>
          <w:p w14:paraId="39DAA2DD" w14:textId="77777777" w:rsidR="003734F4" w:rsidRPr="00A96055" w:rsidRDefault="003734F4" w:rsidP="003734F4">
            <w:pPr>
              <w:ind w:right="57"/>
              <w:jc w:val="right"/>
              <w:rPr>
                <w:bCs w:val="0"/>
                <w:sz w:val="12"/>
                <w:szCs w:val="12"/>
                <w:highlight w:val="yellow"/>
                <w:lang w:val="id-ID"/>
              </w:rPr>
            </w:pPr>
          </w:p>
        </w:tc>
        <w:tc>
          <w:tcPr>
            <w:tcW w:w="1047" w:type="dxa"/>
            <w:tcBorders>
              <w:left w:val="nil"/>
              <w:right w:val="nil"/>
            </w:tcBorders>
            <w:shd w:val="clear" w:color="auto" w:fill="auto"/>
            <w:vAlign w:val="bottom"/>
          </w:tcPr>
          <w:p w14:paraId="13A6C311" w14:textId="63FBB208" w:rsidR="003734F4" w:rsidRPr="00EF4DEE" w:rsidRDefault="003734F4" w:rsidP="003734F4">
            <w:pPr>
              <w:ind w:right="57"/>
              <w:jc w:val="right"/>
              <w:rPr>
                <w:bCs w:val="0"/>
                <w:sz w:val="12"/>
                <w:szCs w:val="12"/>
                <w:lang w:val="id-ID"/>
              </w:rPr>
            </w:pPr>
          </w:p>
        </w:tc>
        <w:tc>
          <w:tcPr>
            <w:tcW w:w="100" w:type="dxa"/>
            <w:tcBorders>
              <w:left w:val="nil"/>
              <w:right w:val="nil"/>
            </w:tcBorders>
            <w:shd w:val="clear" w:color="auto" w:fill="auto"/>
            <w:vAlign w:val="bottom"/>
          </w:tcPr>
          <w:p w14:paraId="7F96214A" w14:textId="77777777" w:rsidR="003734F4" w:rsidRPr="00A96055" w:rsidRDefault="003734F4" w:rsidP="003734F4">
            <w:pPr>
              <w:jc w:val="right"/>
              <w:rPr>
                <w:bCs w:val="0"/>
                <w:sz w:val="12"/>
                <w:szCs w:val="12"/>
                <w:highlight w:val="yellow"/>
                <w:vertAlign w:val="superscript"/>
              </w:rPr>
            </w:pPr>
          </w:p>
        </w:tc>
        <w:tc>
          <w:tcPr>
            <w:tcW w:w="1070" w:type="dxa"/>
            <w:tcBorders>
              <w:left w:val="nil"/>
              <w:right w:val="nil"/>
            </w:tcBorders>
            <w:shd w:val="clear" w:color="auto" w:fill="auto"/>
          </w:tcPr>
          <w:p w14:paraId="69C7A1A7" w14:textId="172AE764" w:rsidR="003734F4" w:rsidRPr="00071C5D" w:rsidRDefault="003734F4" w:rsidP="003734F4">
            <w:pPr>
              <w:ind w:left="-57" w:right="28"/>
              <w:jc w:val="right"/>
              <w:rPr>
                <w:bCs w:val="0"/>
                <w:sz w:val="12"/>
                <w:szCs w:val="12"/>
                <w:lang w:val="id-ID"/>
              </w:rPr>
            </w:pPr>
          </w:p>
        </w:tc>
        <w:tc>
          <w:tcPr>
            <w:tcW w:w="94" w:type="dxa"/>
            <w:tcBorders>
              <w:left w:val="nil"/>
              <w:right w:val="nil"/>
            </w:tcBorders>
            <w:shd w:val="clear" w:color="auto" w:fill="auto"/>
            <w:vAlign w:val="bottom"/>
          </w:tcPr>
          <w:p w14:paraId="2A917470" w14:textId="77777777" w:rsidR="003734F4" w:rsidRPr="00071C5D" w:rsidRDefault="003734F4" w:rsidP="003734F4">
            <w:pPr>
              <w:ind w:right="28"/>
              <w:jc w:val="right"/>
              <w:rPr>
                <w:bCs w:val="0"/>
                <w:sz w:val="12"/>
                <w:szCs w:val="12"/>
                <w:vertAlign w:val="superscript"/>
              </w:rPr>
            </w:pPr>
          </w:p>
        </w:tc>
        <w:tc>
          <w:tcPr>
            <w:tcW w:w="1101" w:type="dxa"/>
            <w:tcBorders>
              <w:left w:val="nil"/>
              <w:right w:val="nil"/>
            </w:tcBorders>
            <w:vAlign w:val="bottom"/>
          </w:tcPr>
          <w:p w14:paraId="292CAE54" w14:textId="7415B7C8" w:rsidR="003734F4" w:rsidRPr="00071C5D" w:rsidRDefault="003734F4" w:rsidP="003734F4">
            <w:pPr>
              <w:ind w:left="-57" w:right="28"/>
              <w:jc w:val="right"/>
              <w:rPr>
                <w:bCs w:val="0"/>
                <w:sz w:val="12"/>
                <w:szCs w:val="12"/>
              </w:rPr>
            </w:pPr>
          </w:p>
        </w:tc>
        <w:tc>
          <w:tcPr>
            <w:tcW w:w="94" w:type="dxa"/>
            <w:tcBorders>
              <w:left w:val="nil"/>
              <w:right w:val="nil"/>
            </w:tcBorders>
            <w:vAlign w:val="bottom"/>
          </w:tcPr>
          <w:p w14:paraId="3228847D" w14:textId="77777777" w:rsidR="003734F4" w:rsidRPr="00A96055" w:rsidRDefault="003734F4" w:rsidP="003734F4">
            <w:pPr>
              <w:ind w:left="-57" w:right="28"/>
              <w:jc w:val="right"/>
              <w:rPr>
                <w:bCs w:val="0"/>
                <w:sz w:val="12"/>
                <w:szCs w:val="12"/>
                <w:highlight w:val="yellow"/>
                <w:vertAlign w:val="superscript"/>
              </w:rPr>
            </w:pPr>
          </w:p>
        </w:tc>
        <w:tc>
          <w:tcPr>
            <w:tcW w:w="1133" w:type="dxa"/>
            <w:tcBorders>
              <w:left w:val="nil"/>
              <w:right w:val="nil"/>
            </w:tcBorders>
            <w:shd w:val="clear" w:color="auto" w:fill="auto"/>
            <w:vAlign w:val="bottom"/>
          </w:tcPr>
          <w:p w14:paraId="576F7D2F" w14:textId="53301C80" w:rsidR="003734F4" w:rsidRPr="00EF4DEE" w:rsidRDefault="0014063A" w:rsidP="003734F4">
            <w:pPr>
              <w:spacing w:line="160" w:lineRule="exact"/>
              <w:ind w:right="28"/>
              <w:jc w:val="right"/>
              <w:rPr>
                <w:bCs w:val="0"/>
                <w:sz w:val="12"/>
                <w:szCs w:val="12"/>
              </w:rPr>
            </w:pPr>
            <w:r>
              <w:rPr>
                <w:bCs w:val="0"/>
                <w:sz w:val="12"/>
                <w:szCs w:val="12"/>
              </w:rPr>
              <w:t>1.397.344.866</w:t>
            </w:r>
          </w:p>
        </w:tc>
        <w:tc>
          <w:tcPr>
            <w:tcW w:w="1511" w:type="dxa"/>
            <w:tcBorders>
              <w:left w:val="nil"/>
              <w:right w:val="nil"/>
            </w:tcBorders>
            <w:shd w:val="clear" w:color="auto" w:fill="auto"/>
            <w:vAlign w:val="bottom"/>
          </w:tcPr>
          <w:p w14:paraId="7F6E79A0" w14:textId="77777777" w:rsidR="003734F4" w:rsidRDefault="003734F4" w:rsidP="003734F4">
            <w:pPr>
              <w:tabs>
                <w:tab w:val="left" w:pos="1360"/>
                <w:tab w:val="left" w:pos="1410"/>
              </w:tabs>
              <w:ind w:right="72"/>
              <w:jc w:val="right"/>
              <w:rPr>
                <w:i/>
                <w:iCs/>
                <w:sz w:val="14"/>
                <w:szCs w:val="14"/>
              </w:rPr>
            </w:pPr>
            <w:r w:rsidRPr="001775FB">
              <w:rPr>
                <w:i/>
                <w:iCs/>
                <w:sz w:val="14"/>
                <w:szCs w:val="14"/>
              </w:rPr>
              <w:t xml:space="preserve">Funitures and </w:t>
            </w:r>
          </w:p>
          <w:p w14:paraId="6B2262BE" w14:textId="56185B2C" w:rsidR="003734F4" w:rsidRPr="001775FB" w:rsidRDefault="003734F4" w:rsidP="003734F4">
            <w:pPr>
              <w:ind w:right="198"/>
              <w:jc w:val="right"/>
              <w:rPr>
                <w:i/>
                <w:sz w:val="14"/>
                <w:szCs w:val="14"/>
                <w:vertAlign w:val="superscript"/>
              </w:rPr>
            </w:pPr>
            <w:r w:rsidRPr="008C5534">
              <w:rPr>
                <w:bCs w:val="0"/>
                <w:i/>
                <w:color w:val="1D1B11"/>
                <w:sz w:val="14"/>
                <w:szCs w:val="14"/>
              </w:rPr>
              <w:t>fixtures</w:t>
            </w:r>
          </w:p>
        </w:tc>
      </w:tr>
      <w:tr w:rsidR="003734F4" w:rsidRPr="001775FB" w14:paraId="48FBA0E8" w14:textId="77777777" w:rsidTr="003734F4">
        <w:trPr>
          <w:cantSplit/>
        </w:trPr>
        <w:tc>
          <w:tcPr>
            <w:tcW w:w="1820" w:type="dxa"/>
            <w:tcBorders>
              <w:left w:val="nil"/>
              <w:right w:val="nil"/>
            </w:tcBorders>
            <w:shd w:val="clear" w:color="auto" w:fill="auto"/>
            <w:vAlign w:val="bottom"/>
          </w:tcPr>
          <w:p w14:paraId="10122A83" w14:textId="714A3D7F" w:rsidR="003734F4" w:rsidRPr="001775FB" w:rsidRDefault="003734F4" w:rsidP="003734F4">
            <w:pPr>
              <w:spacing w:line="160" w:lineRule="exact"/>
              <w:ind w:left="567" w:right="17" w:hanging="141"/>
              <w:rPr>
                <w:bCs w:val="0"/>
                <w:sz w:val="14"/>
                <w:szCs w:val="14"/>
                <w:vertAlign w:val="superscript"/>
              </w:rPr>
            </w:pPr>
            <w:r w:rsidRPr="001775FB">
              <w:rPr>
                <w:bCs w:val="0"/>
                <w:sz w:val="14"/>
                <w:szCs w:val="14"/>
              </w:rPr>
              <w:t>Kendaraan</w:t>
            </w:r>
          </w:p>
        </w:tc>
        <w:tc>
          <w:tcPr>
            <w:tcW w:w="1133" w:type="dxa"/>
            <w:tcBorders>
              <w:left w:val="nil"/>
              <w:right w:val="nil"/>
            </w:tcBorders>
            <w:shd w:val="clear" w:color="auto" w:fill="auto"/>
            <w:vAlign w:val="bottom"/>
          </w:tcPr>
          <w:p w14:paraId="23F5914C" w14:textId="65061C59" w:rsidR="003734F4" w:rsidRPr="00EF4DEE" w:rsidRDefault="003734F4" w:rsidP="003734F4">
            <w:pPr>
              <w:spacing w:line="160" w:lineRule="exact"/>
              <w:ind w:left="-57" w:right="28"/>
              <w:jc w:val="right"/>
              <w:rPr>
                <w:bCs w:val="0"/>
                <w:sz w:val="12"/>
                <w:szCs w:val="12"/>
                <w:lang w:val="id-ID"/>
              </w:rPr>
            </w:pPr>
            <w:r w:rsidRPr="00EF4DEE">
              <w:rPr>
                <w:bCs w:val="0"/>
                <w:sz w:val="12"/>
                <w:szCs w:val="12"/>
              </w:rPr>
              <w:t>876.550.000</w:t>
            </w:r>
          </w:p>
        </w:tc>
        <w:tc>
          <w:tcPr>
            <w:tcW w:w="94" w:type="dxa"/>
            <w:tcBorders>
              <w:left w:val="nil"/>
              <w:right w:val="nil"/>
            </w:tcBorders>
            <w:shd w:val="clear" w:color="auto" w:fill="auto"/>
            <w:vAlign w:val="bottom"/>
          </w:tcPr>
          <w:p w14:paraId="1ED3E2CF" w14:textId="77777777" w:rsidR="003734F4" w:rsidRPr="00A96055" w:rsidRDefault="003734F4" w:rsidP="003734F4">
            <w:pPr>
              <w:jc w:val="right"/>
              <w:rPr>
                <w:bCs w:val="0"/>
                <w:sz w:val="12"/>
                <w:szCs w:val="12"/>
                <w:highlight w:val="yellow"/>
                <w:vertAlign w:val="superscript"/>
              </w:rPr>
            </w:pPr>
          </w:p>
        </w:tc>
        <w:tc>
          <w:tcPr>
            <w:tcW w:w="1047" w:type="dxa"/>
            <w:tcBorders>
              <w:left w:val="nil"/>
              <w:right w:val="nil"/>
            </w:tcBorders>
            <w:shd w:val="clear" w:color="auto" w:fill="auto"/>
            <w:vAlign w:val="bottom"/>
          </w:tcPr>
          <w:p w14:paraId="41B0DCA4" w14:textId="7BC8DD1F" w:rsidR="003734F4" w:rsidRPr="00EF4DEE" w:rsidRDefault="009D0B95" w:rsidP="003734F4">
            <w:pPr>
              <w:ind w:right="57"/>
              <w:jc w:val="right"/>
              <w:rPr>
                <w:bCs w:val="0"/>
                <w:sz w:val="12"/>
                <w:szCs w:val="12"/>
                <w:lang w:val="id-ID"/>
              </w:rPr>
            </w:pPr>
            <w:r w:rsidRPr="00EF4DEE">
              <w:rPr>
                <w:bCs w:val="0"/>
                <w:sz w:val="12"/>
                <w:szCs w:val="12"/>
                <w:lang w:val="id-ID"/>
              </w:rPr>
              <w:t>410,515,000</w:t>
            </w:r>
          </w:p>
        </w:tc>
        <w:tc>
          <w:tcPr>
            <w:tcW w:w="100" w:type="dxa"/>
            <w:tcBorders>
              <w:left w:val="nil"/>
              <w:right w:val="nil"/>
            </w:tcBorders>
            <w:shd w:val="clear" w:color="auto" w:fill="auto"/>
            <w:vAlign w:val="bottom"/>
          </w:tcPr>
          <w:p w14:paraId="390D5752" w14:textId="77777777" w:rsidR="003734F4" w:rsidRPr="00A96055" w:rsidRDefault="003734F4" w:rsidP="003734F4">
            <w:pPr>
              <w:jc w:val="right"/>
              <w:rPr>
                <w:bCs w:val="0"/>
                <w:sz w:val="12"/>
                <w:szCs w:val="12"/>
                <w:highlight w:val="yellow"/>
                <w:vertAlign w:val="superscript"/>
              </w:rPr>
            </w:pPr>
          </w:p>
        </w:tc>
        <w:tc>
          <w:tcPr>
            <w:tcW w:w="1070" w:type="dxa"/>
            <w:tcBorders>
              <w:left w:val="nil"/>
              <w:right w:val="nil"/>
            </w:tcBorders>
            <w:shd w:val="clear" w:color="auto" w:fill="auto"/>
          </w:tcPr>
          <w:p w14:paraId="3C23CD03" w14:textId="193B507C" w:rsidR="003734F4" w:rsidRPr="00071C5D" w:rsidRDefault="003734F4" w:rsidP="003734F4">
            <w:pPr>
              <w:ind w:left="-57" w:right="28"/>
              <w:jc w:val="right"/>
              <w:rPr>
                <w:bCs w:val="0"/>
                <w:sz w:val="12"/>
                <w:szCs w:val="12"/>
                <w:lang w:val="id-ID"/>
              </w:rPr>
            </w:pPr>
          </w:p>
        </w:tc>
        <w:tc>
          <w:tcPr>
            <w:tcW w:w="94" w:type="dxa"/>
            <w:tcBorders>
              <w:left w:val="nil"/>
              <w:right w:val="nil"/>
            </w:tcBorders>
            <w:shd w:val="clear" w:color="auto" w:fill="auto"/>
            <w:vAlign w:val="bottom"/>
          </w:tcPr>
          <w:p w14:paraId="447CCDB9" w14:textId="77777777" w:rsidR="003734F4" w:rsidRPr="00071C5D" w:rsidRDefault="003734F4" w:rsidP="003734F4">
            <w:pPr>
              <w:ind w:right="28"/>
              <w:jc w:val="right"/>
              <w:rPr>
                <w:bCs w:val="0"/>
                <w:sz w:val="12"/>
                <w:szCs w:val="12"/>
                <w:vertAlign w:val="superscript"/>
              </w:rPr>
            </w:pPr>
          </w:p>
        </w:tc>
        <w:tc>
          <w:tcPr>
            <w:tcW w:w="1101" w:type="dxa"/>
            <w:tcBorders>
              <w:left w:val="nil"/>
              <w:right w:val="nil"/>
            </w:tcBorders>
            <w:vAlign w:val="bottom"/>
          </w:tcPr>
          <w:p w14:paraId="02ECFFB0" w14:textId="26A168B9" w:rsidR="003734F4" w:rsidRPr="00071C5D" w:rsidRDefault="003734F4" w:rsidP="003734F4">
            <w:pPr>
              <w:ind w:left="-57" w:right="28"/>
              <w:jc w:val="right"/>
              <w:rPr>
                <w:bCs w:val="0"/>
                <w:sz w:val="12"/>
                <w:szCs w:val="12"/>
                <w:lang w:val="id-ID"/>
              </w:rPr>
            </w:pPr>
          </w:p>
        </w:tc>
        <w:tc>
          <w:tcPr>
            <w:tcW w:w="94" w:type="dxa"/>
            <w:tcBorders>
              <w:left w:val="nil"/>
              <w:right w:val="nil"/>
            </w:tcBorders>
            <w:vAlign w:val="bottom"/>
          </w:tcPr>
          <w:p w14:paraId="5919AF5E" w14:textId="77777777" w:rsidR="003734F4" w:rsidRPr="00A96055" w:rsidRDefault="003734F4" w:rsidP="003734F4">
            <w:pPr>
              <w:ind w:left="-57" w:right="28"/>
              <w:jc w:val="right"/>
              <w:rPr>
                <w:bCs w:val="0"/>
                <w:sz w:val="12"/>
                <w:szCs w:val="12"/>
                <w:highlight w:val="yellow"/>
                <w:vertAlign w:val="superscript"/>
              </w:rPr>
            </w:pPr>
          </w:p>
        </w:tc>
        <w:tc>
          <w:tcPr>
            <w:tcW w:w="1133" w:type="dxa"/>
            <w:tcBorders>
              <w:left w:val="nil"/>
              <w:right w:val="nil"/>
            </w:tcBorders>
            <w:shd w:val="clear" w:color="auto" w:fill="auto"/>
            <w:vAlign w:val="bottom"/>
          </w:tcPr>
          <w:p w14:paraId="49699E57" w14:textId="020425AF" w:rsidR="003734F4" w:rsidRPr="00EF4DEE" w:rsidRDefault="009D0B95" w:rsidP="003734F4">
            <w:pPr>
              <w:spacing w:line="160" w:lineRule="exact"/>
              <w:ind w:right="28"/>
              <w:jc w:val="right"/>
              <w:rPr>
                <w:bCs w:val="0"/>
                <w:sz w:val="12"/>
                <w:szCs w:val="12"/>
              </w:rPr>
            </w:pPr>
            <w:r w:rsidRPr="00EF4DEE">
              <w:rPr>
                <w:bCs w:val="0"/>
                <w:sz w:val="12"/>
                <w:szCs w:val="12"/>
              </w:rPr>
              <w:t>1</w:t>
            </w:r>
            <w:r w:rsidR="00EF4DEE" w:rsidRPr="00EF4DEE">
              <w:rPr>
                <w:bCs w:val="0"/>
                <w:sz w:val="12"/>
                <w:szCs w:val="12"/>
              </w:rPr>
              <w:t>.</w:t>
            </w:r>
            <w:r w:rsidRPr="00EF4DEE">
              <w:rPr>
                <w:bCs w:val="0"/>
                <w:sz w:val="12"/>
                <w:szCs w:val="12"/>
              </w:rPr>
              <w:t>287</w:t>
            </w:r>
            <w:r w:rsidR="00EF4DEE" w:rsidRPr="00EF4DEE">
              <w:rPr>
                <w:bCs w:val="0"/>
                <w:sz w:val="12"/>
                <w:szCs w:val="12"/>
              </w:rPr>
              <w:t>.</w:t>
            </w:r>
            <w:r w:rsidRPr="00EF4DEE">
              <w:rPr>
                <w:bCs w:val="0"/>
                <w:sz w:val="12"/>
                <w:szCs w:val="12"/>
              </w:rPr>
              <w:t>065</w:t>
            </w:r>
            <w:r w:rsidR="00EF4DEE" w:rsidRPr="00EF4DEE">
              <w:rPr>
                <w:bCs w:val="0"/>
                <w:sz w:val="12"/>
                <w:szCs w:val="12"/>
              </w:rPr>
              <w:t>.</w:t>
            </w:r>
            <w:r w:rsidRPr="00EF4DEE">
              <w:rPr>
                <w:bCs w:val="0"/>
                <w:sz w:val="12"/>
                <w:szCs w:val="12"/>
              </w:rPr>
              <w:t>000</w:t>
            </w:r>
          </w:p>
        </w:tc>
        <w:tc>
          <w:tcPr>
            <w:tcW w:w="1511" w:type="dxa"/>
            <w:tcBorders>
              <w:left w:val="nil"/>
              <w:right w:val="nil"/>
            </w:tcBorders>
            <w:shd w:val="clear" w:color="auto" w:fill="auto"/>
            <w:vAlign w:val="bottom"/>
          </w:tcPr>
          <w:p w14:paraId="73EC3D61" w14:textId="34CD1BFA" w:rsidR="003734F4" w:rsidRPr="001775FB" w:rsidRDefault="003734F4" w:rsidP="003734F4">
            <w:pPr>
              <w:tabs>
                <w:tab w:val="left" w:pos="1360"/>
                <w:tab w:val="left" w:pos="1410"/>
              </w:tabs>
              <w:ind w:right="72"/>
              <w:jc w:val="right"/>
              <w:rPr>
                <w:i/>
                <w:sz w:val="14"/>
                <w:szCs w:val="14"/>
                <w:vertAlign w:val="superscript"/>
              </w:rPr>
            </w:pPr>
            <w:r w:rsidRPr="001775FB">
              <w:rPr>
                <w:i/>
                <w:iCs/>
                <w:sz w:val="14"/>
                <w:szCs w:val="14"/>
              </w:rPr>
              <w:t>Vehicles</w:t>
            </w:r>
          </w:p>
        </w:tc>
      </w:tr>
      <w:tr w:rsidR="003734F4" w:rsidRPr="001775FB" w14:paraId="3BFED54F" w14:textId="77777777" w:rsidTr="003734F4">
        <w:trPr>
          <w:cantSplit/>
        </w:trPr>
        <w:tc>
          <w:tcPr>
            <w:tcW w:w="1820" w:type="dxa"/>
            <w:tcBorders>
              <w:left w:val="nil"/>
              <w:right w:val="nil"/>
            </w:tcBorders>
            <w:shd w:val="clear" w:color="auto" w:fill="auto"/>
            <w:vAlign w:val="bottom"/>
          </w:tcPr>
          <w:p w14:paraId="08E36348" w14:textId="48262CEB" w:rsidR="003734F4" w:rsidRPr="001775FB" w:rsidRDefault="003734F4" w:rsidP="003734F4">
            <w:pPr>
              <w:spacing w:line="160" w:lineRule="exact"/>
              <w:ind w:left="567" w:right="17" w:hanging="141"/>
              <w:rPr>
                <w:bCs w:val="0"/>
                <w:sz w:val="14"/>
                <w:szCs w:val="14"/>
              </w:rPr>
            </w:pPr>
            <w:r w:rsidRPr="001775FB">
              <w:rPr>
                <w:bCs w:val="0"/>
                <w:sz w:val="14"/>
                <w:szCs w:val="14"/>
              </w:rPr>
              <w:t>Peralatan kantor</w:t>
            </w:r>
          </w:p>
        </w:tc>
        <w:tc>
          <w:tcPr>
            <w:tcW w:w="1133" w:type="dxa"/>
            <w:tcBorders>
              <w:left w:val="nil"/>
              <w:bottom w:val="single" w:sz="4" w:space="0" w:color="auto"/>
              <w:right w:val="nil"/>
            </w:tcBorders>
            <w:shd w:val="clear" w:color="auto" w:fill="auto"/>
            <w:vAlign w:val="bottom"/>
          </w:tcPr>
          <w:p w14:paraId="166487D1" w14:textId="10F2215B" w:rsidR="003734F4" w:rsidRPr="00EF4DEE" w:rsidRDefault="003734F4" w:rsidP="003734F4">
            <w:pPr>
              <w:spacing w:line="160" w:lineRule="exact"/>
              <w:ind w:left="-57" w:right="28"/>
              <w:jc w:val="right"/>
              <w:rPr>
                <w:bCs w:val="0"/>
                <w:sz w:val="12"/>
                <w:szCs w:val="12"/>
                <w:lang w:val="id-ID"/>
              </w:rPr>
            </w:pPr>
            <w:r w:rsidRPr="00EF4DEE">
              <w:rPr>
                <w:bCs w:val="0"/>
                <w:sz w:val="12"/>
                <w:szCs w:val="12"/>
              </w:rPr>
              <w:t>3.976.670.938</w:t>
            </w:r>
          </w:p>
        </w:tc>
        <w:tc>
          <w:tcPr>
            <w:tcW w:w="94" w:type="dxa"/>
            <w:tcBorders>
              <w:left w:val="nil"/>
              <w:right w:val="nil"/>
            </w:tcBorders>
            <w:shd w:val="clear" w:color="auto" w:fill="auto"/>
            <w:vAlign w:val="bottom"/>
          </w:tcPr>
          <w:p w14:paraId="29BB1B6B" w14:textId="77777777" w:rsidR="003734F4" w:rsidRPr="00A96055" w:rsidRDefault="003734F4" w:rsidP="003734F4">
            <w:pPr>
              <w:jc w:val="right"/>
              <w:rPr>
                <w:bCs w:val="0"/>
                <w:sz w:val="12"/>
                <w:szCs w:val="12"/>
                <w:highlight w:val="yellow"/>
              </w:rPr>
            </w:pPr>
          </w:p>
        </w:tc>
        <w:tc>
          <w:tcPr>
            <w:tcW w:w="1047" w:type="dxa"/>
            <w:tcBorders>
              <w:left w:val="nil"/>
              <w:bottom w:val="single" w:sz="4" w:space="0" w:color="auto"/>
              <w:right w:val="nil"/>
            </w:tcBorders>
            <w:shd w:val="clear" w:color="auto" w:fill="auto"/>
            <w:vAlign w:val="bottom"/>
          </w:tcPr>
          <w:p w14:paraId="0A179E15" w14:textId="6C042CF7" w:rsidR="003734F4" w:rsidRPr="00EF4DEE" w:rsidRDefault="0014063A" w:rsidP="003734F4">
            <w:pPr>
              <w:ind w:right="57"/>
              <w:jc w:val="right"/>
              <w:rPr>
                <w:bCs w:val="0"/>
                <w:sz w:val="12"/>
                <w:szCs w:val="12"/>
              </w:rPr>
            </w:pPr>
            <w:r>
              <w:rPr>
                <w:bCs w:val="0"/>
                <w:sz w:val="12"/>
                <w:szCs w:val="12"/>
              </w:rPr>
              <w:t>22.058.097.803</w:t>
            </w:r>
          </w:p>
        </w:tc>
        <w:tc>
          <w:tcPr>
            <w:tcW w:w="100" w:type="dxa"/>
            <w:tcBorders>
              <w:left w:val="nil"/>
              <w:right w:val="nil"/>
            </w:tcBorders>
            <w:shd w:val="clear" w:color="auto" w:fill="auto"/>
            <w:vAlign w:val="bottom"/>
          </w:tcPr>
          <w:p w14:paraId="471846AC" w14:textId="77777777" w:rsidR="003734F4" w:rsidRPr="00A96055" w:rsidRDefault="003734F4" w:rsidP="003734F4">
            <w:pPr>
              <w:jc w:val="right"/>
              <w:rPr>
                <w:bCs w:val="0"/>
                <w:sz w:val="12"/>
                <w:szCs w:val="12"/>
                <w:highlight w:val="yellow"/>
              </w:rPr>
            </w:pPr>
          </w:p>
        </w:tc>
        <w:tc>
          <w:tcPr>
            <w:tcW w:w="1070" w:type="dxa"/>
            <w:tcBorders>
              <w:left w:val="nil"/>
              <w:bottom w:val="single" w:sz="4" w:space="0" w:color="auto"/>
              <w:right w:val="nil"/>
            </w:tcBorders>
            <w:shd w:val="clear" w:color="auto" w:fill="auto"/>
          </w:tcPr>
          <w:p w14:paraId="3F50339B" w14:textId="7C54D877" w:rsidR="003734F4" w:rsidRPr="00A96055" w:rsidRDefault="003734F4" w:rsidP="003734F4">
            <w:pPr>
              <w:ind w:left="-57" w:right="28"/>
              <w:jc w:val="right"/>
              <w:rPr>
                <w:bCs w:val="0"/>
                <w:sz w:val="12"/>
                <w:szCs w:val="12"/>
                <w:highlight w:val="yellow"/>
                <w:lang w:val="id-ID"/>
              </w:rPr>
            </w:pPr>
          </w:p>
        </w:tc>
        <w:tc>
          <w:tcPr>
            <w:tcW w:w="94" w:type="dxa"/>
            <w:tcBorders>
              <w:left w:val="nil"/>
              <w:right w:val="nil"/>
            </w:tcBorders>
            <w:shd w:val="clear" w:color="auto" w:fill="auto"/>
            <w:vAlign w:val="bottom"/>
          </w:tcPr>
          <w:p w14:paraId="02D8A903" w14:textId="77777777" w:rsidR="003734F4" w:rsidRPr="00A96055" w:rsidRDefault="003734F4" w:rsidP="003734F4">
            <w:pPr>
              <w:ind w:right="28"/>
              <w:jc w:val="right"/>
              <w:rPr>
                <w:bCs w:val="0"/>
                <w:sz w:val="12"/>
                <w:szCs w:val="12"/>
                <w:highlight w:val="yellow"/>
              </w:rPr>
            </w:pPr>
          </w:p>
        </w:tc>
        <w:tc>
          <w:tcPr>
            <w:tcW w:w="1101" w:type="dxa"/>
            <w:tcBorders>
              <w:left w:val="nil"/>
              <w:bottom w:val="single" w:sz="4" w:space="0" w:color="auto"/>
              <w:right w:val="nil"/>
            </w:tcBorders>
            <w:vAlign w:val="bottom"/>
          </w:tcPr>
          <w:p w14:paraId="4CD89A8D" w14:textId="7D53363E" w:rsidR="003734F4" w:rsidRPr="00A96055" w:rsidRDefault="003734F4" w:rsidP="003734F4">
            <w:pPr>
              <w:ind w:left="-57" w:right="28"/>
              <w:jc w:val="right"/>
              <w:rPr>
                <w:bCs w:val="0"/>
                <w:sz w:val="12"/>
                <w:szCs w:val="12"/>
                <w:highlight w:val="yellow"/>
                <w:lang w:val="id-ID"/>
              </w:rPr>
            </w:pPr>
          </w:p>
        </w:tc>
        <w:tc>
          <w:tcPr>
            <w:tcW w:w="94" w:type="dxa"/>
            <w:tcBorders>
              <w:left w:val="nil"/>
              <w:right w:val="nil"/>
            </w:tcBorders>
            <w:vAlign w:val="bottom"/>
          </w:tcPr>
          <w:p w14:paraId="2CADF17C" w14:textId="77777777" w:rsidR="003734F4" w:rsidRPr="00A96055" w:rsidRDefault="003734F4" w:rsidP="003734F4">
            <w:pPr>
              <w:ind w:left="-57" w:right="28"/>
              <w:jc w:val="right"/>
              <w:rPr>
                <w:bCs w:val="0"/>
                <w:sz w:val="12"/>
                <w:szCs w:val="12"/>
                <w:highlight w:val="yellow"/>
              </w:rPr>
            </w:pPr>
          </w:p>
        </w:tc>
        <w:tc>
          <w:tcPr>
            <w:tcW w:w="1133" w:type="dxa"/>
            <w:tcBorders>
              <w:left w:val="nil"/>
              <w:bottom w:val="single" w:sz="4" w:space="0" w:color="auto"/>
              <w:right w:val="nil"/>
            </w:tcBorders>
            <w:shd w:val="clear" w:color="auto" w:fill="auto"/>
            <w:vAlign w:val="bottom"/>
          </w:tcPr>
          <w:p w14:paraId="2815FFDC" w14:textId="2FDA8634" w:rsidR="003734F4" w:rsidRPr="00EF4DEE" w:rsidRDefault="0014063A" w:rsidP="003734F4">
            <w:pPr>
              <w:spacing w:line="160" w:lineRule="exact"/>
              <w:ind w:right="28"/>
              <w:jc w:val="right"/>
              <w:rPr>
                <w:bCs w:val="0"/>
                <w:sz w:val="12"/>
                <w:szCs w:val="12"/>
              </w:rPr>
            </w:pPr>
            <w:r>
              <w:rPr>
                <w:bCs w:val="0"/>
                <w:sz w:val="12"/>
                <w:szCs w:val="12"/>
              </w:rPr>
              <w:t>26.034.768.741</w:t>
            </w:r>
          </w:p>
        </w:tc>
        <w:tc>
          <w:tcPr>
            <w:tcW w:w="1511" w:type="dxa"/>
            <w:tcBorders>
              <w:left w:val="nil"/>
              <w:right w:val="nil"/>
            </w:tcBorders>
            <w:shd w:val="clear" w:color="auto" w:fill="auto"/>
            <w:vAlign w:val="bottom"/>
          </w:tcPr>
          <w:p w14:paraId="6F055E48" w14:textId="3BB72701" w:rsidR="003734F4" w:rsidRPr="001775FB" w:rsidRDefault="003734F4" w:rsidP="003734F4">
            <w:pPr>
              <w:tabs>
                <w:tab w:val="left" w:pos="1360"/>
                <w:tab w:val="left" w:pos="1410"/>
              </w:tabs>
              <w:ind w:right="72"/>
              <w:jc w:val="right"/>
              <w:rPr>
                <w:i/>
                <w:sz w:val="14"/>
                <w:szCs w:val="14"/>
              </w:rPr>
            </w:pPr>
            <w:r w:rsidRPr="001775FB">
              <w:rPr>
                <w:i/>
                <w:iCs/>
                <w:sz w:val="14"/>
                <w:szCs w:val="14"/>
              </w:rPr>
              <w:t>Office equipment</w:t>
            </w:r>
          </w:p>
        </w:tc>
      </w:tr>
      <w:tr w:rsidR="003734F4" w:rsidRPr="00C61D2A" w14:paraId="3FD2D171" w14:textId="77777777" w:rsidTr="003734F4">
        <w:trPr>
          <w:cantSplit/>
        </w:trPr>
        <w:tc>
          <w:tcPr>
            <w:tcW w:w="1820" w:type="dxa"/>
            <w:tcBorders>
              <w:left w:val="nil"/>
              <w:right w:val="nil"/>
            </w:tcBorders>
            <w:shd w:val="clear" w:color="auto" w:fill="auto"/>
            <w:vAlign w:val="bottom"/>
          </w:tcPr>
          <w:p w14:paraId="3090933F" w14:textId="77777777" w:rsidR="003734F4" w:rsidRPr="00C61D2A" w:rsidRDefault="003734F4" w:rsidP="003734F4">
            <w:pPr>
              <w:spacing w:line="160" w:lineRule="exact"/>
              <w:ind w:left="567" w:right="17" w:hanging="141"/>
              <w:rPr>
                <w:bCs w:val="0"/>
                <w:sz w:val="14"/>
                <w:szCs w:val="14"/>
              </w:rPr>
            </w:pPr>
          </w:p>
        </w:tc>
        <w:tc>
          <w:tcPr>
            <w:tcW w:w="1133" w:type="dxa"/>
            <w:tcBorders>
              <w:top w:val="single" w:sz="4" w:space="0" w:color="auto"/>
              <w:left w:val="nil"/>
              <w:right w:val="nil"/>
            </w:tcBorders>
            <w:shd w:val="clear" w:color="auto" w:fill="auto"/>
            <w:vAlign w:val="bottom"/>
          </w:tcPr>
          <w:p w14:paraId="356DAEF4" w14:textId="126D3F66" w:rsidR="003734F4" w:rsidRPr="00EF4DEE" w:rsidRDefault="003734F4" w:rsidP="003734F4">
            <w:pPr>
              <w:spacing w:line="160" w:lineRule="exact"/>
              <w:ind w:left="-57" w:right="28"/>
              <w:jc w:val="right"/>
              <w:rPr>
                <w:bCs w:val="0"/>
                <w:sz w:val="14"/>
                <w:szCs w:val="14"/>
                <w:lang w:val="id-ID"/>
              </w:rPr>
            </w:pPr>
          </w:p>
        </w:tc>
        <w:tc>
          <w:tcPr>
            <w:tcW w:w="94" w:type="dxa"/>
            <w:tcBorders>
              <w:left w:val="nil"/>
              <w:right w:val="nil"/>
            </w:tcBorders>
            <w:shd w:val="clear" w:color="auto" w:fill="auto"/>
            <w:vAlign w:val="bottom"/>
          </w:tcPr>
          <w:p w14:paraId="4BDDA307" w14:textId="77777777" w:rsidR="003734F4" w:rsidRPr="00A96055" w:rsidRDefault="003734F4" w:rsidP="003734F4">
            <w:pPr>
              <w:jc w:val="right"/>
              <w:rPr>
                <w:bCs w:val="0"/>
                <w:sz w:val="14"/>
                <w:szCs w:val="14"/>
                <w:highlight w:val="yellow"/>
              </w:rPr>
            </w:pPr>
          </w:p>
        </w:tc>
        <w:tc>
          <w:tcPr>
            <w:tcW w:w="1047" w:type="dxa"/>
            <w:tcBorders>
              <w:top w:val="single" w:sz="4" w:space="0" w:color="auto"/>
              <w:left w:val="nil"/>
              <w:right w:val="nil"/>
            </w:tcBorders>
            <w:shd w:val="clear" w:color="auto" w:fill="auto"/>
            <w:vAlign w:val="bottom"/>
          </w:tcPr>
          <w:p w14:paraId="10C41BF6" w14:textId="77777777" w:rsidR="003734F4" w:rsidRPr="00EF4DEE" w:rsidRDefault="003734F4" w:rsidP="003734F4">
            <w:pPr>
              <w:ind w:right="57"/>
              <w:jc w:val="right"/>
              <w:rPr>
                <w:bCs w:val="0"/>
                <w:sz w:val="14"/>
                <w:szCs w:val="14"/>
                <w:lang w:val="id-ID"/>
              </w:rPr>
            </w:pPr>
          </w:p>
        </w:tc>
        <w:tc>
          <w:tcPr>
            <w:tcW w:w="100" w:type="dxa"/>
            <w:tcBorders>
              <w:left w:val="nil"/>
              <w:right w:val="nil"/>
            </w:tcBorders>
            <w:shd w:val="clear" w:color="auto" w:fill="auto"/>
            <w:vAlign w:val="bottom"/>
          </w:tcPr>
          <w:p w14:paraId="4E716CBB" w14:textId="77777777" w:rsidR="003734F4" w:rsidRPr="00A96055" w:rsidRDefault="003734F4" w:rsidP="003734F4">
            <w:pPr>
              <w:jc w:val="right"/>
              <w:rPr>
                <w:bCs w:val="0"/>
                <w:sz w:val="14"/>
                <w:szCs w:val="14"/>
                <w:highlight w:val="yellow"/>
              </w:rPr>
            </w:pPr>
          </w:p>
        </w:tc>
        <w:tc>
          <w:tcPr>
            <w:tcW w:w="1070" w:type="dxa"/>
            <w:tcBorders>
              <w:top w:val="single" w:sz="4" w:space="0" w:color="auto"/>
              <w:left w:val="nil"/>
              <w:right w:val="nil"/>
            </w:tcBorders>
            <w:shd w:val="clear" w:color="auto" w:fill="auto"/>
            <w:vAlign w:val="bottom"/>
          </w:tcPr>
          <w:p w14:paraId="4792BDC5" w14:textId="48C98B72" w:rsidR="003734F4" w:rsidRPr="00A96055" w:rsidRDefault="003734F4" w:rsidP="003734F4">
            <w:pPr>
              <w:ind w:left="-57" w:right="28"/>
              <w:jc w:val="right"/>
              <w:rPr>
                <w:bCs w:val="0"/>
                <w:sz w:val="14"/>
                <w:szCs w:val="14"/>
                <w:highlight w:val="yellow"/>
                <w:lang w:val="id-ID"/>
              </w:rPr>
            </w:pPr>
          </w:p>
        </w:tc>
        <w:tc>
          <w:tcPr>
            <w:tcW w:w="94" w:type="dxa"/>
            <w:tcBorders>
              <w:left w:val="nil"/>
              <w:right w:val="nil"/>
            </w:tcBorders>
            <w:shd w:val="clear" w:color="auto" w:fill="auto"/>
            <w:vAlign w:val="bottom"/>
          </w:tcPr>
          <w:p w14:paraId="63870974" w14:textId="77777777" w:rsidR="003734F4" w:rsidRPr="00A96055" w:rsidRDefault="003734F4" w:rsidP="003734F4">
            <w:pPr>
              <w:ind w:right="28"/>
              <w:jc w:val="right"/>
              <w:rPr>
                <w:bCs w:val="0"/>
                <w:sz w:val="14"/>
                <w:szCs w:val="14"/>
                <w:highlight w:val="yellow"/>
              </w:rPr>
            </w:pPr>
          </w:p>
        </w:tc>
        <w:tc>
          <w:tcPr>
            <w:tcW w:w="1101" w:type="dxa"/>
            <w:tcBorders>
              <w:top w:val="single" w:sz="4" w:space="0" w:color="auto"/>
              <w:left w:val="nil"/>
              <w:right w:val="nil"/>
            </w:tcBorders>
            <w:vAlign w:val="bottom"/>
          </w:tcPr>
          <w:p w14:paraId="4E828DA4" w14:textId="4FCEBA2F" w:rsidR="003734F4" w:rsidRPr="00A96055" w:rsidRDefault="003734F4" w:rsidP="003734F4">
            <w:pPr>
              <w:ind w:left="-57" w:right="28"/>
              <w:jc w:val="right"/>
              <w:rPr>
                <w:bCs w:val="0"/>
                <w:sz w:val="14"/>
                <w:szCs w:val="14"/>
                <w:highlight w:val="yellow"/>
                <w:lang w:val="id-ID"/>
              </w:rPr>
            </w:pPr>
          </w:p>
        </w:tc>
        <w:tc>
          <w:tcPr>
            <w:tcW w:w="94" w:type="dxa"/>
            <w:tcBorders>
              <w:left w:val="nil"/>
              <w:right w:val="nil"/>
            </w:tcBorders>
            <w:vAlign w:val="bottom"/>
          </w:tcPr>
          <w:p w14:paraId="0180B901" w14:textId="77777777" w:rsidR="003734F4" w:rsidRPr="00A96055" w:rsidRDefault="003734F4" w:rsidP="003734F4">
            <w:pPr>
              <w:ind w:left="-57" w:right="28"/>
              <w:jc w:val="right"/>
              <w:rPr>
                <w:bCs w:val="0"/>
                <w:sz w:val="14"/>
                <w:szCs w:val="14"/>
                <w:highlight w:val="yellow"/>
              </w:rPr>
            </w:pPr>
          </w:p>
        </w:tc>
        <w:tc>
          <w:tcPr>
            <w:tcW w:w="1133" w:type="dxa"/>
            <w:tcBorders>
              <w:top w:val="single" w:sz="4" w:space="0" w:color="auto"/>
              <w:left w:val="nil"/>
              <w:right w:val="nil"/>
            </w:tcBorders>
            <w:shd w:val="clear" w:color="auto" w:fill="auto"/>
            <w:vAlign w:val="bottom"/>
          </w:tcPr>
          <w:p w14:paraId="42460878" w14:textId="78CF9BAC" w:rsidR="003734F4" w:rsidRPr="00EF4DEE" w:rsidRDefault="003734F4" w:rsidP="003734F4">
            <w:pPr>
              <w:ind w:left="-57" w:right="28"/>
              <w:jc w:val="right"/>
              <w:rPr>
                <w:bCs w:val="0"/>
                <w:sz w:val="14"/>
                <w:szCs w:val="14"/>
              </w:rPr>
            </w:pPr>
          </w:p>
        </w:tc>
        <w:tc>
          <w:tcPr>
            <w:tcW w:w="1511" w:type="dxa"/>
            <w:tcBorders>
              <w:left w:val="nil"/>
              <w:right w:val="nil"/>
            </w:tcBorders>
            <w:shd w:val="clear" w:color="auto" w:fill="auto"/>
            <w:vAlign w:val="bottom"/>
          </w:tcPr>
          <w:p w14:paraId="13BFCAC6" w14:textId="77777777" w:rsidR="003734F4" w:rsidRPr="00C61D2A" w:rsidRDefault="003734F4" w:rsidP="003734F4">
            <w:pPr>
              <w:tabs>
                <w:tab w:val="left" w:pos="1360"/>
                <w:tab w:val="left" w:pos="1410"/>
              </w:tabs>
              <w:ind w:right="72"/>
              <w:jc w:val="right"/>
              <w:rPr>
                <w:i/>
                <w:iCs/>
                <w:sz w:val="14"/>
                <w:szCs w:val="14"/>
              </w:rPr>
            </w:pPr>
          </w:p>
        </w:tc>
      </w:tr>
      <w:tr w:rsidR="003734F4" w:rsidRPr="001775FB" w14:paraId="2AC5FB97" w14:textId="77777777" w:rsidTr="003734F4">
        <w:trPr>
          <w:cantSplit/>
        </w:trPr>
        <w:tc>
          <w:tcPr>
            <w:tcW w:w="1820" w:type="dxa"/>
            <w:tcBorders>
              <w:top w:val="nil"/>
              <w:left w:val="nil"/>
              <w:right w:val="nil"/>
            </w:tcBorders>
            <w:shd w:val="clear" w:color="auto" w:fill="auto"/>
            <w:vAlign w:val="bottom"/>
          </w:tcPr>
          <w:p w14:paraId="3A4A19C8" w14:textId="77777777" w:rsidR="003734F4" w:rsidRPr="001775FB" w:rsidRDefault="003734F4" w:rsidP="003734F4">
            <w:pPr>
              <w:spacing w:line="160" w:lineRule="exact"/>
              <w:ind w:left="567" w:right="74" w:hanging="141"/>
              <w:rPr>
                <w:bCs w:val="0"/>
                <w:sz w:val="14"/>
                <w:szCs w:val="14"/>
              </w:rPr>
            </w:pPr>
            <w:r w:rsidRPr="001775FB">
              <w:rPr>
                <w:bCs w:val="0"/>
                <w:sz w:val="14"/>
                <w:szCs w:val="14"/>
              </w:rPr>
              <w:t>Sub jumlah</w:t>
            </w:r>
          </w:p>
        </w:tc>
        <w:tc>
          <w:tcPr>
            <w:tcW w:w="1133" w:type="dxa"/>
            <w:tcBorders>
              <w:left w:val="nil"/>
              <w:bottom w:val="single" w:sz="4" w:space="0" w:color="auto"/>
              <w:right w:val="nil"/>
            </w:tcBorders>
            <w:shd w:val="clear" w:color="auto" w:fill="auto"/>
            <w:vAlign w:val="bottom"/>
          </w:tcPr>
          <w:p w14:paraId="47CBDE94" w14:textId="0CA4984C" w:rsidR="003734F4" w:rsidRPr="00EF4DEE" w:rsidRDefault="003734F4" w:rsidP="003734F4">
            <w:pPr>
              <w:spacing w:line="160" w:lineRule="exact"/>
              <w:ind w:left="-57" w:right="28"/>
              <w:jc w:val="right"/>
              <w:rPr>
                <w:bCs w:val="0"/>
                <w:sz w:val="12"/>
                <w:szCs w:val="12"/>
              </w:rPr>
            </w:pPr>
            <w:r w:rsidRPr="00EF4DEE">
              <w:rPr>
                <w:bCs w:val="0"/>
                <w:sz w:val="12"/>
                <w:szCs w:val="12"/>
              </w:rPr>
              <w:t>302.624.886.627</w:t>
            </w:r>
          </w:p>
        </w:tc>
        <w:tc>
          <w:tcPr>
            <w:tcW w:w="94" w:type="dxa"/>
            <w:tcBorders>
              <w:left w:val="nil"/>
              <w:right w:val="nil"/>
            </w:tcBorders>
            <w:shd w:val="clear" w:color="auto" w:fill="auto"/>
            <w:vAlign w:val="bottom"/>
          </w:tcPr>
          <w:p w14:paraId="7326B432" w14:textId="77777777" w:rsidR="003734F4" w:rsidRPr="00A96055" w:rsidRDefault="003734F4" w:rsidP="003734F4">
            <w:pPr>
              <w:spacing w:line="160" w:lineRule="exact"/>
              <w:jc w:val="right"/>
              <w:rPr>
                <w:bCs w:val="0"/>
                <w:sz w:val="12"/>
                <w:szCs w:val="12"/>
                <w:highlight w:val="yellow"/>
              </w:rPr>
            </w:pPr>
          </w:p>
        </w:tc>
        <w:tc>
          <w:tcPr>
            <w:tcW w:w="1047" w:type="dxa"/>
            <w:tcBorders>
              <w:left w:val="nil"/>
              <w:bottom w:val="single" w:sz="4" w:space="0" w:color="auto"/>
              <w:right w:val="nil"/>
            </w:tcBorders>
            <w:shd w:val="clear" w:color="auto" w:fill="auto"/>
            <w:vAlign w:val="bottom"/>
          </w:tcPr>
          <w:p w14:paraId="2EDBD99A" w14:textId="3D0D1685" w:rsidR="003734F4" w:rsidRPr="00EF4DEE" w:rsidRDefault="0014063A" w:rsidP="003734F4">
            <w:pPr>
              <w:spacing w:line="160" w:lineRule="exact"/>
              <w:ind w:right="28"/>
              <w:jc w:val="right"/>
              <w:rPr>
                <w:bCs w:val="0"/>
                <w:sz w:val="12"/>
                <w:szCs w:val="12"/>
              </w:rPr>
            </w:pPr>
            <w:r>
              <w:rPr>
                <w:bCs w:val="0"/>
                <w:sz w:val="12"/>
                <w:szCs w:val="12"/>
              </w:rPr>
              <w:t>28.145.703.054</w:t>
            </w:r>
          </w:p>
        </w:tc>
        <w:tc>
          <w:tcPr>
            <w:tcW w:w="100" w:type="dxa"/>
            <w:tcBorders>
              <w:left w:val="nil"/>
              <w:right w:val="nil"/>
            </w:tcBorders>
            <w:shd w:val="clear" w:color="auto" w:fill="auto"/>
            <w:vAlign w:val="bottom"/>
          </w:tcPr>
          <w:p w14:paraId="4337B0F4" w14:textId="77777777" w:rsidR="003734F4" w:rsidRPr="00A96055" w:rsidRDefault="003734F4" w:rsidP="003734F4">
            <w:pPr>
              <w:spacing w:line="160" w:lineRule="exact"/>
              <w:ind w:right="18"/>
              <w:jc w:val="right"/>
              <w:rPr>
                <w:bCs w:val="0"/>
                <w:sz w:val="12"/>
                <w:szCs w:val="12"/>
                <w:highlight w:val="yellow"/>
              </w:rPr>
            </w:pPr>
          </w:p>
        </w:tc>
        <w:tc>
          <w:tcPr>
            <w:tcW w:w="1070" w:type="dxa"/>
            <w:tcBorders>
              <w:left w:val="nil"/>
              <w:bottom w:val="single" w:sz="4" w:space="0" w:color="auto"/>
              <w:right w:val="nil"/>
            </w:tcBorders>
            <w:shd w:val="clear" w:color="auto" w:fill="auto"/>
            <w:vAlign w:val="bottom"/>
          </w:tcPr>
          <w:p w14:paraId="1D298145" w14:textId="06119FED" w:rsidR="003734F4" w:rsidRPr="00A96055" w:rsidRDefault="003734F4" w:rsidP="003734F4">
            <w:pPr>
              <w:spacing w:line="160" w:lineRule="exact"/>
              <w:ind w:right="28"/>
              <w:jc w:val="right"/>
              <w:rPr>
                <w:bCs w:val="0"/>
                <w:sz w:val="12"/>
                <w:szCs w:val="12"/>
                <w:highlight w:val="yellow"/>
              </w:rPr>
            </w:pPr>
          </w:p>
        </w:tc>
        <w:tc>
          <w:tcPr>
            <w:tcW w:w="94" w:type="dxa"/>
            <w:tcBorders>
              <w:left w:val="nil"/>
              <w:right w:val="nil"/>
            </w:tcBorders>
            <w:shd w:val="clear" w:color="auto" w:fill="auto"/>
            <w:vAlign w:val="bottom"/>
          </w:tcPr>
          <w:p w14:paraId="5C50F9FA" w14:textId="77777777" w:rsidR="003734F4" w:rsidRPr="00A96055" w:rsidRDefault="003734F4" w:rsidP="003734F4">
            <w:pPr>
              <w:spacing w:line="160" w:lineRule="exact"/>
              <w:ind w:right="28"/>
              <w:jc w:val="right"/>
              <w:rPr>
                <w:bCs w:val="0"/>
                <w:sz w:val="12"/>
                <w:szCs w:val="12"/>
                <w:highlight w:val="yellow"/>
              </w:rPr>
            </w:pPr>
          </w:p>
        </w:tc>
        <w:tc>
          <w:tcPr>
            <w:tcW w:w="1101" w:type="dxa"/>
            <w:tcBorders>
              <w:left w:val="nil"/>
              <w:bottom w:val="single" w:sz="4" w:space="0" w:color="auto"/>
              <w:right w:val="nil"/>
            </w:tcBorders>
            <w:vAlign w:val="bottom"/>
          </w:tcPr>
          <w:p w14:paraId="7F1D3168" w14:textId="00387703" w:rsidR="003734F4" w:rsidRPr="00A96055" w:rsidRDefault="003734F4" w:rsidP="003734F4">
            <w:pPr>
              <w:spacing w:line="160" w:lineRule="exact"/>
              <w:ind w:right="28"/>
              <w:jc w:val="right"/>
              <w:rPr>
                <w:bCs w:val="0"/>
                <w:sz w:val="12"/>
                <w:szCs w:val="12"/>
                <w:highlight w:val="yellow"/>
              </w:rPr>
            </w:pPr>
          </w:p>
        </w:tc>
        <w:tc>
          <w:tcPr>
            <w:tcW w:w="94" w:type="dxa"/>
            <w:tcBorders>
              <w:left w:val="nil"/>
              <w:right w:val="nil"/>
            </w:tcBorders>
            <w:vAlign w:val="bottom"/>
          </w:tcPr>
          <w:p w14:paraId="1DFD67A2" w14:textId="77777777" w:rsidR="003734F4" w:rsidRPr="00A96055" w:rsidRDefault="003734F4" w:rsidP="003734F4">
            <w:pPr>
              <w:spacing w:line="160" w:lineRule="exact"/>
              <w:ind w:left="-57" w:right="28"/>
              <w:jc w:val="right"/>
              <w:rPr>
                <w:bCs w:val="0"/>
                <w:sz w:val="12"/>
                <w:szCs w:val="12"/>
                <w:highlight w:val="yellow"/>
              </w:rPr>
            </w:pPr>
          </w:p>
        </w:tc>
        <w:tc>
          <w:tcPr>
            <w:tcW w:w="1133" w:type="dxa"/>
            <w:tcBorders>
              <w:left w:val="nil"/>
              <w:bottom w:val="single" w:sz="4" w:space="0" w:color="auto"/>
              <w:right w:val="nil"/>
            </w:tcBorders>
            <w:shd w:val="clear" w:color="auto" w:fill="auto"/>
            <w:vAlign w:val="bottom"/>
          </w:tcPr>
          <w:p w14:paraId="1D7D6747" w14:textId="4DA93204" w:rsidR="003734F4" w:rsidRPr="00EF4DEE" w:rsidRDefault="00071C5D" w:rsidP="003734F4">
            <w:pPr>
              <w:spacing w:line="160" w:lineRule="exact"/>
              <w:ind w:left="-57" w:right="28"/>
              <w:jc w:val="right"/>
              <w:rPr>
                <w:bCs w:val="0"/>
                <w:sz w:val="12"/>
                <w:szCs w:val="12"/>
              </w:rPr>
            </w:pPr>
            <w:r>
              <w:rPr>
                <w:bCs w:val="0"/>
                <w:sz w:val="12"/>
                <w:szCs w:val="12"/>
              </w:rPr>
              <w:t>478.332.546.820</w:t>
            </w:r>
          </w:p>
        </w:tc>
        <w:tc>
          <w:tcPr>
            <w:tcW w:w="1511" w:type="dxa"/>
            <w:tcBorders>
              <w:left w:val="nil"/>
              <w:right w:val="nil"/>
            </w:tcBorders>
            <w:shd w:val="clear" w:color="auto" w:fill="auto"/>
            <w:vAlign w:val="bottom"/>
          </w:tcPr>
          <w:p w14:paraId="01EAE0FD" w14:textId="2565A867" w:rsidR="003734F4" w:rsidRPr="001775FB" w:rsidRDefault="003734F4" w:rsidP="003734F4">
            <w:pPr>
              <w:tabs>
                <w:tab w:val="left" w:pos="1360"/>
                <w:tab w:val="left" w:pos="1410"/>
              </w:tabs>
              <w:spacing w:line="160" w:lineRule="exact"/>
              <w:ind w:right="72"/>
              <w:jc w:val="right"/>
              <w:rPr>
                <w:i/>
                <w:sz w:val="14"/>
                <w:szCs w:val="14"/>
              </w:rPr>
            </w:pPr>
            <w:r>
              <w:rPr>
                <w:i/>
                <w:sz w:val="14"/>
                <w:szCs w:val="14"/>
              </w:rPr>
              <w:t>Sub total</w:t>
            </w:r>
          </w:p>
        </w:tc>
      </w:tr>
      <w:tr w:rsidR="003734F4" w:rsidRPr="00C61D2A" w14:paraId="1341C312" w14:textId="77777777" w:rsidTr="003734F4">
        <w:trPr>
          <w:cantSplit/>
        </w:trPr>
        <w:tc>
          <w:tcPr>
            <w:tcW w:w="1820" w:type="dxa"/>
            <w:tcBorders>
              <w:top w:val="nil"/>
              <w:left w:val="nil"/>
              <w:right w:val="nil"/>
            </w:tcBorders>
            <w:shd w:val="clear" w:color="auto" w:fill="auto"/>
            <w:vAlign w:val="bottom"/>
          </w:tcPr>
          <w:p w14:paraId="085193BF" w14:textId="77777777" w:rsidR="003734F4" w:rsidRPr="00C61D2A" w:rsidRDefault="003734F4" w:rsidP="003734F4">
            <w:pPr>
              <w:ind w:left="567" w:right="17" w:hanging="142"/>
              <w:rPr>
                <w:bCs w:val="0"/>
                <w:sz w:val="14"/>
                <w:szCs w:val="14"/>
              </w:rPr>
            </w:pPr>
          </w:p>
        </w:tc>
        <w:tc>
          <w:tcPr>
            <w:tcW w:w="1133" w:type="dxa"/>
            <w:tcBorders>
              <w:top w:val="nil"/>
              <w:left w:val="nil"/>
              <w:right w:val="nil"/>
            </w:tcBorders>
            <w:shd w:val="clear" w:color="auto" w:fill="auto"/>
            <w:vAlign w:val="bottom"/>
          </w:tcPr>
          <w:p w14:paraId="3C9DC03B" w14:textId="05467734" w:rsidR="003734F4" w:rsidRPr="00A96055" w:rsidRDefault="003734F4" w:rsidP="003734F4">
            <w:pPr>
              <w:ind w:left="-57" w:right="57"/>
              <w:jc w:val="right"/>
              <w:rPr>
                <w:bCs w:val="0"/>
                <w:sz w:val="14"/>
                <w:szCs w:val="14"/>
                <w:highlight w:val="yellow"/>
              </w:rPr>
            </w:pPr>
          </w:p>
        </w:tc>
        <w:tc>
          <w:tcPr>
            <w:tcW w:w="94" w:type="dxa"/>
            <w:tcBorders>
              <w:top w:val="nil"/>
              <w:left w:val="nil"/>
              <w:right w:val="nil"/>
            </w:tcBorders>
            <w:shd w:val="clear" w:color="auto" w:fill="auto"/>
            <w:vAlign w:val="bottom"/>
          </w:tcPr>
          <w:p w14:paraId="0AE479F8" w14:textId="77777777" w:rsidR="003734F4" w:rsidRPr="00A96055" w:rsidRDefault="003734F4" w:rsidP="003734F4">
            <w:pPr>
              <w:ind w:right="18"/>
              <w:jc w:val="right"/>
              <w:rPr>
                <w:bCs w:val="0"/>
                <w:sz w:val="14"/>
                <w:szCs w:val="14"/>
                <w:highlight w:val="yellow"/>
              </w:rPr>
            </w:pPr>
          </w:p>
        </w:tc>
        <w:tc>
          <w:tcPr>
            <w:tcW w:w="1047" w:type="dxa"/>
            <w:tcBorders>
              <w:top w:val="nil"/>
              <w:left w:val="nil"/>
              <w:right w:val="nil"/>
            </w:tcBorders>
            <w:shd w:val="clear" w:color="auto" w:fill="auto"/>
            <w:vAlign w:val="bottom"/>
          </w:tcPr>
          <w:p w14:paraId="7A27CD19" w14:textId="7B30414F" w:rsidR="003734F4" w:rsidRPr="00EF4DEE" w:rsidRDefault="003734F4" w:rsidP="003734F4">
            <w:pPr>
              <w:ind w:right="57"/>
              <w:jc w:val="right"/>
              <w:rPr>
                <w:bCs w:val="0"/>
                <w:sz w:val="14"/>
                <w:szCs w:val="14"/>
              </w:rPr>
            </w:pPr>
          </w:p>
        </w:tc>
        <w:tc>
          <w:tcPr>
            <w:tcW w:w="100" w:type="dxa"/>
            <w:tcBorders>
              <w:top w:val="nil"/>
              <w:left w:val="nil"/>
              <w:right w:val="nil"/>
            </w:tcBorders>
            <w:shd w:val="clear" w:color="auto" w:fill="auto"/>
            <w:vAlign w:val="bottom"/>
          </w:tcPr>
          <w:p w14:paraId="63F42626" w14:textId="77777777" w:rsidR="003734F4" w:rsidRPr="00A96055" w:rsidRDefault="003734F4" w:rsidP="003734F4">
            <w:pPr>
              <w:ind w:right="18"/>
              <w:jc w:val="right"/>
              <w:rPr>
                <w:bCs w:val="0"/>
                <w:sz w:val="14"/>
                <w:szCs w:val="14"/>
                <w:highlight w:val="yellow"/>
              </w:rPr>
            </w:pPr>
          </w:p>
        </w:tc>
        <w:tc>
          <w:tcPr>
            <w:tcW w:w="1070" w:type="dxa"/>
            <w:tcBorders>
              <w:top w:val="nil"/>
              <w:left w:val="nil"/>
              <w:right w:val="nil"/>
            </w:tcBorders>
            <w:shd w:val="clear" w:color="auto" w:fill="auto"/>
            <w:vAlign w:val="bottom"/>
          </w:tcPr>
          <w:p w14:paraId="3638F5D9" w14:textId="7C4B98C2" w:rsidR="003734F4" w:rsidRPr="00A96055" w:rsidRDefault="003734F4" w:rsidP="003734F4">
            <w:pPr>
              <w:ind w:right="57"/>
              <w:jc w:val="right"/>
              <w:rPr>
                <w:bCs w:val="0"/>
                <w:sz w:val="14"/>
                <w:szCs w:val="14"/>
                <w:highlight w:val="yellow"/>
              </w:rPr>
            </w:pPr>
          </w:p>
        </w:tc>
        <w:tc>
          <w:tcPr>
            <w:tcW w:w="94" w:type="dxa"/>
            <w:tcBorders>
              <w:left w:val="nil"/>
              <w:right w:val="nil"/>
            </w:tcBorders>
            <w:shd w:val="clear" w:color="auto" w:fill="auto"/>
            <w:vAlign w:val="bottom"/>
          </w:tcPr>
          <w:p w14:paraId="423C5A34" w14:textId="77777777" w:rsidR="003734F4" w:rsidRPr="00A96055" w:rsidRDefault="003734F4" w:rsidP="003734F4">
            <w:pPr>
              <w:ind w:right="57"/>
              <w:jc w:val="right"/>
              <w:rPr>
                <w:bCs w:val="0"/>
                <w:sz w:val="14"/>
                <w:szCs w:val="14"/>
                <w:highlight w:val="yellow"/>
              </w:rPr>
            </w:pPr>
          </w:p>
        </w:tc>
        <w:tc>
          <w:tcPr>
            <w:tcW w:w="1101" w:type="dxa"/>
            <w:tcBorders>
              <w:top w:val="single" w:sz="4" w:space="0" w:color="auto"/>
              <w:left w:val="nil"/>
              <w:right w:val="nil"/>
            </w:tcBorders>
            <w:vAlign w:val="bottom"/>
          </w:tcPr>
          <w:p w14:paraId="205D4499" w14:textId="5AAB64EC" w:rsidR="003734F4" w:rsidRPr="00A96055" w:rsidRDefault="003734F4" w:rsidP="003734F4">
            <w:pPr>
              <w:ind w:left="-57" w:right="57"/>
              <w:jc w:val="right"/>
              <w:rPr>
                <w:bCs w:val="0"/>
                <w:sz w:val="14"/>
                <w:szCs w:val="14"/>
                <w:highlight w:val="yellow"/>
              </w:rPr>
            </w:pPr>
          </w:p>
        </w:tc>
        <w:tc>
          <w:tcPr>
            <w:tcW w:w="94" w:type="dxa"/>
            <w:tcBorders>
              <w:top w:val="nil"/>
              <w:left w:val="nil"/>
              <w:right w:val="nil"/>
            </w:tcBorders>
            <w:vAlign w:val="bottom"/>
          </w:tcPr>
          <w:p w14:paraId="351D74E7" w14:textId="77777777" w:rsidR="003734F4" w:rsidRPr="00A96055" w:rsidRDefault="003734F4" w:rsidP="003734F4">
            <w:pPr>
              <w:ind w:left="-57" w:right="57"/>
              <w:jc w:val="right"/>
              <w:rPr>
                <w:bCs w:val="0"/>
                <w:sz w:val="14"/>
                <w:szCs w:val="14"/>
                <w:highlight w:val="yellow"/>
              </w:rPr>
            </w:pPr>
          </w:p>
        </w:tc>
        <w:tc>
          <w:tcPr>
            <w:tcW w:w="1133" w:type="dxa"/>
            <w:tcBorders>
              <w:top w:val="nil"/>
              <w:left w:val="nil"/>
              <w:right w:val="nil"/>
            </w:tcBorders>
            <w:shd w:val="clear" w:color="auto" w:fill="auto"/>
            <w:vAlign w:val="bottom"/>
          </w:tcPr>
          <w:p w14:paraId="461A9B28" w14:textId="117D761E" w:rsidR="003734F4" w:rsidRPr="00A96055" w:rsidRDefault="003734F4" w:rsidP="003734F4">
            <w:pPr>
              <w:ind w:left="-57" w:right="57"/>
              <w:jc w:val="right"/>
              <w:rPr>
                <w:bCs w:val="0"/>
                <w:sz w:val="14"/>
                <w:szCs w:val="14"/>
                <w:highlight w:val="yellow"/>
              </w:rPr>
            </w:pPr>
          </w:p>
        </w:tc>
        <w:tc>
          <w:tcPr>
            <w:tcW w:w="1511" w:type="dxa"/>
            <w:tcBorders>
              <w:top w:val="nil"/>
              <w:left w:val="nil"/>
              <w:bottom w:val="nil"/>
              <w:right w:val="nil"/>
            </w:tcBorders>
            <w:shd w:val="clear" w:color="auto" w:fill="auto"/>
            <w:vAlign w:val="bottom"/>
          </w:tcPr>
          <w:p w14:paraId="05BF3430" w14:textId="77777777" w:rsidR="003734F4" w:rsidRPr="00C61D2A" w:rsidRDefault="003734F4" w:rsidP="003734F4">
            <w:pPr>
              <w:tabs>
                <w:tab w:val="left" w:pos="1360"/>
                <w:tab w:val="left" w:pos="1410"/>
              </w:tabs>
              <w:ind w:right="72"/>
              <w:jc w:val="right"/>
              <w:rPr>
                <w:i/>
                <w:iCs/>
                <w:sz w:val="14"/>
                <w:szCs w:val="14"/>
              </w:rPr>
            </w:pPr>
          </w:p>
        </w:tc>
      </w:tr>
      <w:tr w:rsidR="003734F4" w:rsidRPr="001775FB" w14:paraId="5E79A485" w14:textId="77777777" w:rsidTr="003734F4">
        <w:trPr>
          <w:cantSplit/>
        </w:trPr>
        <w:tc>
          <w:tcPr>
            <w:tcW w:w="1820" w:type="dxa"/>
            <w:tcBorders>
              <w:top w:val="nil"/>
              <w:left w:val="nil"/>
              <w:right w:val="nil"/>
            </w:tcBorders>
            <w:shd w:val="clear" w:color="auto" w:fill="auto"/>
            <w:vAlign w:val="bottom"/>
          </w:tcPr>
          <w:p w14:paraId="5CE554C4" w14:textId="7002ED5B" w:rsidR="003734F4" w:rsidRPr="001775FB" w:rsidRDefault="003734F4" w:rsidP="000C441E">
            <w:pPr>
              <w:ind w:left="567" w:right="17" w:hanging="142"/>
              <w:rPr>
                <w:bCs w:val="0"/>
                <w:sz w:val="14"/>
                <w:szCs w:val="14"/>
              </w:rPr>
            </w:pPr>
            <w:r w:rsidRPr="001775FB">
              <w:rPr>
                <w:b/>
                <w:bCs w:val="0"/>
                <w:sz w:val="14"/>
                <w:szCs w:val="14"/>
                <w:u w:val="single"/>
              </w:rPr>
              <w:t xml:space="preserve">Aset </w:t>
            </w:r>
            <w:r w:rsidR="000C441E">
              <w:rPr>
                <w:b/>
                <w:bCs w:val="0"/>
                <w:sz w:val="14"/>
                <w:szCs w:val="14"/>
                <w:u w:val="single"/>
              </w:rPr>
              <w:t>Hak Guna</w:t>
            </w:r>
          </w:p>
        </w:tc>
        <w:tc>
          <w:tcPr>
            <w:tcW w:w="1133" w:type="dxa"/>
            <w:tcBorders>
              <w:top w:val="nil"/>
              <w:left w:val="nil"/>
              <w:right w:val="nil"/>
            </w:tcBorders>
            <w:shd w:val="clear" w:color="auto" w:fill="auto"/>
            <w:vAlign w:val="bottom"/>
          </w:tcPr>
          <w:p w14:paraId="64F1CB20" w14:textId="60CAB8D5" w:rsidR="003734F4" w:rsidRPr="00A96055" w:rsidRDefault="003734F4" w:rsidP="003734F4">
            <w:pPr>
              <w:ind w:left="-57" w:right="57"/>
              <w:jc w:val="right"/>
              <w:rPr>
                <w:bCs w:val="0"/>
                <w:sz w:val="12"/>
                <w:szCs w:val="12"/>
                <w:highlight w:val="yellow"/>
              </w:rPr>
            </w:pPr>
          </w:p>
        </w:tc>
        <w:tc>
          <w:tcPr>
            <w:tcW w:w="94" w:type="dxa"/>
            <w:tcBorders>
              <w:top w:val="nil"/>
              <w:left w:val="nil"/>
              <w:right w:val="nil"/>
            </w:tcBorders>
            <w:shd w:val="clear" w:color="auto" w:fill="auto"/>
            <w:vAlign w:val="bottom"/>
          </w:tcPr>
          <w:p w14:paraId="2B0A885B" w14:textId="77777777" w:rsidR="003734F4" w:rsidRPr="00A96055" w:rsidRDefault="003734F4" w:rsidP="003734F4">
            <w:pPr>
              <w:ind w:right="18"/>
              <w:jc w:val="right"/>
              <w:rPr>
                <w:bCs w:val="0"/>
                <w:sz w:val="12"/>
                <w:szCs w:val="12"/>
                <w:highlight w:val="yellow"/>
              </w:rPr>
            </w:pPr>
          </w:p>
        </w:tc>
        <w:tc>
          <w:tcPr>
            <w:tcW w:w="1047" w:type="dxa"/>
            <w:tcBorders>
              <w:top w:val="nil"/>
              <w:left w:val="nil"/>
              <w:right w:val="nil"/>
            </w:tcBorders>
            <w:shd w:val="clear" w:color="auto" w:fill="auto"/>
            <w:vAlign w:val="bottom"/>
          </w:tcPr>
          <w:p w14:paraId="4E1DDCF4" w14:textId="584BB0AC" w:rsidR="003734F4" w:rsidRPr="00A96055" w:rsidRDefault="003734F4" w:rsidP="003734F4">
            <w:pPr>
              <w:ind w:right="57"/>
              <w:jc w:val="right"/>
              <w:rPr>
                <w:bCs w:val="0"/>
                <w:sz w:val="12"/>
                <w:szCs w:val="12"/>
                <w:highlight w:val="yellow"/>
              </w:rPr>
            </w:pPr>
          </w:p>
        </w:tc>
        <w:tc>
          <w:tcPr>
            <w:tcW w:w="100" w:type="dxa"/>
            <w:tcBorders>
              <w:top w:val="nil"/>
              <w:left w:val="nil"/>
              <w:right w:val="nil"/>
            </w:tcBorders>
            <w:shd w:val="clear" w:color="auto" w:fill="auto"/>
            <w:vAlign w:val="bottom"/>
          </w:tcPr>
          <w:p w14:paraId="6AB26AEF" w14:textId="77777777" w:rsidR="003734F4" w:rsidRPr="00A96055" w:rsidRDefault="003734F4" w:rsidP="003734F4">
            <w:pPr>
              <w:ind w:right="18"/>
              <w:jc w:val="right"/>
              <w:rPr>
                <w:bCs w:val="0"/>
                <w:sz w:val="12"/>
                <w:szCs w:val="12"/>
                <w:highlight w:val="yellow"/>
              </w:rPr>
            </w:pPr>
          </w:p>
        </w:tc>
        <w:tc>
          <w:tcPr>
            <w:tcW w:w="1070" w:type="dxa"/>
            <w:tcBorders>
              <w:top w:val="nil"/>
              <w:left w:val="nil"/>
              <w:right w:val="nil"/>
            </w:tcBorders>
            <w:shd w:val="clear" w:color="auto" w:fill="auto"/>
            <w:vAlign w:val="bottom"/>
          </w:tcPr>
          <w:p w14:paraId="4EFB8B5B" w14:textId="4172B233" w:rsidR="003734F4" w:rsidRPr="00A96055" w:rsidRDefault="003734F4" w:rsidP="003734F4">
            <w:pPr>
              <w:ind w:right="57"/>
              <w:jc w:val="right"/>
              <w:rPr>
                <w:bCs w:val="0"/>
                <w:sz w:val="12"/>
                <w:szCs w:val="12"/>
                <w:highlight w:val="yellow"/>
              </w:rPr>
            </w:pPr>
          </w:p>
        </w:tc>
        <w:tc>
          <w:tcPr>
            <w:tcW w:w="94" w:type="dxa"/>
            <w:tcBorders>
              <w:left w:val="nil"/>
              <w:right w:val="nil"/>
            </w:tcBorders>
            <w:shd w:val="clear" w:color="auto" w:fill="auto"/>
            <w:vAlign w:val="bottom"/>
          </w:tcPr>
          <w:p w14:paraId="231E11DB" w14:textId="77777777" w:rsidR="003734F4" w:rsidRPr="00A96055" w:rsidRDefault="003734F4" w:rsidP="003734F4">
            <w:pPr>
              <w:ind w:right="57"/>
              <w:jc w:val="right"/>
              <w:rPr>
                <w:bCs w:val="0"/>
                <w:sz w:val="12"/>
                <w:szCs w:val="12"/>
                <w:highlight w:val="yellow"/>
              </w:rPr>
            </w:pPr>
          </w:p>
        </w:tc>
        <w:tc>
          <w:tcPr>
            <w:tcW w:w="1101" w:type="dxa"/>
            <w:tcBorders>
              <w:left w:val="nil"/>
              <w:right w:val="nil"/>
            </w:tcBorders>
            <w:vAlign w:val="bottom"/>
          </w:tcPr>
          <w:p w14:paraId="539FB255" w14:textId="688A4D75" w:rsidR="003734F4" w:rsidRPr="00A96055" w:rsidRDefault="003734F4" w:rsidP="003734F4">
            <w:pPr>
              <w:ind w:left="-57" w:right="57"/>
              <w:jc w:val="right"/>
              <w:rPr>
                <w:bCs w:val="0"/>
                <w:sz w:val="12"/>
                <w:szCs w:val="12"/>
                <w:highlight w:val="yellow"/>
              </w:rPr>
            </w:pPr>
          </w:p>
        </w:tc>
        <w:tc>
          <w:tcPr>
            <w:tcW w:w="94" w:type="dxa"/>
            <w:tcBorders>
              <w:top w:val="nil"/>
              <w:left w:val="nil"/>
              <w:right w:val="nil"/>
            </w:tcBorders>
            <w:vAlign w:val="bottom"/>
          </w:tcPr>
          <w:p w14:paraId="3089546D" w14:textId="77777777" w:rsidR="003734F4" w:rsidRPr="00A96055" w:rsidRDefault="003734F4" w:rsidP="003734F4">
            <w:pPr>
              <w:ind w:left="-57" w:right="57"/>
              <w:jc w:val="right"/>
              <w:rPr>
                <w:bCs w:val="0"/>
                <w:sz w:val="12"/>
                <w:szCs w:val="12"/>
                <w:highlight w:val="yellow"/>
              </w:rPr>
            </w:pPr>
          </w:p>
        </w:tc>
        <w:tc>
          <w:tcPr>
            <w:tcW w:w="1133" w:type="dxa"/>
            <w:tcBorders>
              <w:top w:val="nil"/>
              <w:left w:val="nil"/>
              <w:right w:val="nil"/>
            </w:tcBorders>
            <w:shd w:val="clear" w:color="auto" w:fill="auto"/>
            <w:vAlign w:val="bottom"/>
          </w:tcPr>
          <w:p w14:paraId="1F78A281" w14:textId="18F9FC80" w:rsidR="003734F4" w:rsidRPr="00A96055" w:rsidRDefault="003734F4" w:rsidP="003734F4">
            <w:pPr>
              <w:ind w:left="-57" w:right="57"/>
              <w:jc w:val="right"/>
              <w:rPr>
                <w:bCs w:val="0"/>
                <w:sz w:val="12"/>
                <w:szCs w:val="12"/>
                <w:highlight w:val="yellow"/>
              </w:rPr>
            </w:pPr>
          </w:p>
        </w:tc>
        <w:tc>
          <w:tcPr>
            <w:tcW w:w="1511" w:type="dxa"/>
            <w:tcBorders>
              <w:top w:val="nil"/>
              <w:left w:val="nil"/>
              <w:bottom w:val="nil"/>
              <w:right w:val="nil"/>
            </w:tcBorders>
            <w:shd w:val="clear" w:color="auto" w:fill="auto"/>
            <w:vAlign w:val="bottom"/>
          </w:tcPr>
          <w:p w14:paraId="71FEFE96" w14:textId="0831C737" w:rsidR="003734F4" w:rsidRPr="007E5BAC" w:rsidRDefault="007E5BAC" w:rsidP="003734F4">
            <w:pPr>
              <w:tabs>
                <w:tab w:val="left" w:pos="1360"/>
                <w:tab w:val="left" w:pos="1410"/>
              </w:tabs>
              <w:ind w:right="72"/>
              <w:jc w:val="right"/>
              <w:rPr>
                <w:b/>
                <w:i/>
                <w:iCs/>
                <w:sz w:val="14"/>
                <w:szCs w:val="14"/>
                <w:u w:val="single"/>
                <w:lang w:val="id-ID"/>
              </w:rPr>
            </w:pPr>
            <w:r>
              <w:rPr>
                <w:b/>
                <w:i/>
                <w:iCs/>
                <w:sz w:val="14"/>
                <w:szCs w:val="14"/>
                <w:u w:val="single"/>
                <w:lang w:val="id-ID"/>
              </w:rPr>
              <w:t>Right-of-use</w:t>
            </w:r>
          </w:p>
        </w:tc>
      </w:tr>
      <w:tr w:rsidR="003734F4" w:rsidRPr="00C61D2A" w14:paraId="1D4820CD" w14:textId="77777777" w:rsidTr="003734F4">
        <w:trPr>
          <w:cantSplit/>
        </w:trPr>
        <w:tc>
          <w:tcPr>
            <w:tcW w:w="1820" w:type="dxa"/>
            <w:tcBorders>
              <w:top w:val="nil"/>
              <w:left w:val="nil"/>
              <w:right w:val="nil"/>
            </w:tcBorders>
            <w:shd w:val="clear" w:color="auto" w:fill="auto"/>
            <w:vAlign w:val="bottom"/>
          </w:tcPr>
          <w:p w14:paraId="0CEFD343" w14:textId="77777777" w:rsidR="003734F4" w:rsidRPr="00C61D2A" w:rsidRDefault="003734F4" w:rsidP="003734F4">
            <w:pPr>
              <w:ind w:left="567" w:right="17" w:hanging="142"/>
              <w:rPr>
                <w:bCs w:val="0"/>
                <w:sz w:val="14"/>
                <w:szCs w:val="14"/>
              </w:rPr>
            </w:pPr>
          </w:p>
        </w:tc>
        <w:tc>
          <w:tcPr>
            <w:tcW w:w="1133" w:type="dxa"/>
            <w:tcBorders>
              <w:top w:val="nil"/>
              <w:left w:val="nil"/>
              <w:right w:val="nil"/>
            </w:tcBorders>
            <w:shd w:val="clear" w:color="auto" w:fill="auto"/>
            <w:vAlign w:val="bottom"/>
          </w:tcPr>
          <w:p w14:paraId="67886351" w14:textId="77777777" w:rsidR="003734F4" w:rsidRPr="00EF4DEE" w:rsidRDefault="003734F4" w:rsidP="003734F4">
            <w:pPr>
              <w:ind w:left="-57" w:right="57"/>
              <w:jc w:val="right"/>
              <w:rPr>
                <w:bCs w:val="0"/>
                <w:sz w:val="14"/>
                <w:szCs w:val="14"/>
              </w:rPr>
            </w:pPr>
          </w:p>
        </w:tc>
        <w:tc>
          <w:tcPr>
            <w:tcW w:w="94" w:type="dxa"/>
            <w:tcBorders>
              <w:top w:val="nil"/>
              <w:left w:val="nil"/>
              <w:right w:val="nil"/>
            </w:tcBorders>
            <w:shd w:val="clear" w:color="auto" w:fill="auto"/>
            <w:vAlign w:val="bottom"/>
          </w:tcPr>
          <w:p w14:paraId="7656FA2E" w14:textId="77777777" w:rsidR="003734F4" w:rsidRPr="00EF4DEE" w:rsidRDefault="003734F4" w:rsidP="003734F4">
            <w:pPr>
              <w:ind w:right="18"/>
              <w:jc w:val="right"/>
              <w:rPr>
                <w:bCs w:val="0"/>
                <w:sz w:val="14"/>
                <w:szCs w:val="14"/>
              </w:rPr>
            </w:pPr>
          </w:p>
        </w:tc>
        <w:tc>
          <w:tcPr>
            <w:tcW w:w="1047" w:type="dxa"/>
            <w:tcBorders>
              <w:top w:val="nil"/>
              <w:left w:val="nil"/>
              <w:right w:val="nil"/>
            </w:tcBorders>
            <w:shd w:val="clear" w:color="auto" w:fill="auto"/>
            <w:vAlign w:val="bottom"/>
          </w:tcPr>
          <w:p w14:paraId="01C8BC2A" w14:textId="77777777" w:rsidR="003734F4" w:rsidRPr="00EF4DEE" w:rsidRDefault="003734F4" w:rsidP="003734F4">
            <w:pPr>
              <w:ind w:right="57"/>
              <w:jc w:val="right"/>
              <w:rPr>
                <w:bCs w:val="0"/>
                <w:sz w:val="14"/>
                <w:szCs w:val="14"/>
              </w:rPr>
            </w:pPr>
          </w:p>
        </w:tc>
        <w:tc>
          <w:tcPr>
            <w:tcW w:w="100" w:type="dxa"/>
            <w:tcBorders>
              <w:top w:val="nil"/>
              <w:left w:val="nil"/>
              <w:right w:val="nil"/>
            </w:tcBorders>
            <w:shd w:val="clear" w:color="auto" w:fill="auto"/>
            <w:vAlign w:val="bottom"/>
          </w:tcPr>
          <w:p w14:paraId="0CE737B5" w14:textId="77777777" w:rsidR="003734F4" w:rsidRPr="00EF4DEE" w:rsidRDefault="003734F4" w:rsidP="003734F4">
            <w:pPr>
              <w:ind w:right="18"/>
              <w:jc w:val="right"/>
              <w:rPr>
                <w:bCs w:val="0"/>
                <w:sz w:val="14"/>
                <w:szCs w:val="14"/>
              </w:rPr>
            </w:pPr>
          </w:p>
        </w:tc>
        <w:tc>
          <w:tcPr>
            <w:tcW w:w="1070" w:type="dxa"/>
            <w:tcBorders>
              <w:left w:val="nil"/>
              <w:right w:val="nil"/>
            </w:tcBorders>
            <w:shd w:val="clear" w:color="auto" w:fill="auto"/>
            <w:vAlign w:val="bottom"/>
          </w:tcPr>
          <w:p w14:paraId="6FC31A17" w14:textId="77777777" w:rsidR="003734F4" w:rsidRPr="00EF4DEE" w:rsidRDefault="003734F4" w:rsidP="003734F4">
            <w:pPr>
              <w:ind w:right="57"/>
              <w:jc w:val="right"/>
              <w:rPr>
                <w:bCs w:val="0"/>
                <w:sz w:val="14"/>
                <w:szCs w:val="14"/>
              </w:rPr>
            </w:pPr>
          </w:p>
        </w:tc>
        <w:tc>
          <w:tcPr>
            <w:tcW w:w="94" w:type="dxa"/>
            <w:tcBorders>
              <w:left w:val="nil"/>
              <w:right w:val="nil"/>
            </w:tcBorders>
            <w:shd w:val="clear" w:color="auto" w:fill="auto"/>
            <w:vAlign w:val="bottom"/>
          </w:tcPr>
          <w:p w14:paraId="2ACCD19A" w14:textId="77777777" w:rsidR="003734F4" w:rsidRPr="00EF4DEE" w:rsidRDefault="003734F4" w:rsidP="003734F4">
            <w:pPr>
              <w:ind w:right="57"/>
              <w:jc w:val="right"/>
              <w:rPr>
                <w:bCs w:val="0"/>
                <w:sz w:val="14"/>
                <w:szCs w:val="14"/>
              </w:rPr>
            </w:pPr>
          </w:p>
        </w:tc>
        <w:tc>
          <w:tcPr>
            <w:tcW w:w="1101" w:type="dxa"/>
            <w:tcBorders>
              <w:left w:val="nil"/>
              <w:right w:val="nil"/>
            </w:tcBorders>
            <w:vAlign w:val="bottom"/>
          </w:tcPr>
          <w:p w14:paraId="0E91D47E" w14:textId="77777777" w:rsidR="003734F4" w:rsidRPr="00EF4DEE" w:rsidRDefault="003734F4" w:rsidP="003734F4">
            <w:pPr>
              <w:ind w:left="-57" w:right="57"/>
              <w:jc w:val="right"/>
              <w:rPr>
                <w:bCs w:val="0"/>
                <w:sz w:val="14"/>
                <w:szCs w:val="14"/>
              </w:rPr>
            </w:pPr>
          </w:p>
        </w:tc>
        <w:tc>
          <w:tcPr>
            <w:tcW w:w="94" w:type="dxa"/>
            <w:tcBorders>
              <w:left w:val="nil"/>
              <w:right w:val="nil"/>
            </w:tcBorders>
            <w:vAlign w:val="bottom"/>
          </w:tcPr>
          <w:p w14:paraId="0B91AD8F" w14:textId="77777777" w:rsidR="003734F4" w:rsidRPr="00EF4DEE" w:rsidRDefault="003734F4" w:rsidP="003734F4">
            <w:pPr>
              <w:ind w:left="-57" w:right="57"/>
              <w:jc w:val="right"/>
              <w:rPr>
                <w:bCs w:val="0"/>
                <w:sz w:val="14"/>
                <w:szCs w:val="14"/>
              </w:rPr>
            </w:pPr>
          </w:p>
        </w:tc>
        <w:tc>
          <w:tcPr>
            <w:tcW w:w="1133" w:type="dxa"/>
            <w:tcBorders>
              <w:left w:val="nil"/>
              <w:right w:val="nil"/>
            </w:tcBorders>
            <w:shd w:val="clear" w:color="auto" w:fill="auto"/>
            <w:vAlign w:val="bottom"/>
          </w:tcPr>
          <w:p w14:paraId="6EBBFADF" w14:textId="0ED14811" w:rsidR="003734F4" w:rsidRPr="00EF4DEE" w:rsidRDefault="003734F4" w:rsidP="003734F4">
            <w:pPr>
              <w:ind w:left="-57" w:right="57"/>
              <w:jc w:val="right"/>
              <w:rPr>
                <w:bCs w:val="0"/>
                <w:sz w:val="14"/>
                <w:szCs w:val="14"/>
              </w:rPr>
            </w:pPr>
          </w:p>
        </w:tc>
        <w:tc>
          <w:tcPr>
            <w:tcW w:w="1511" w:type="dxa"/>
            <w:tcBorders>
              <w:top w:val="nil"/>
              <w:left w:val="nil"/>
              <w:bottom w:val="nil"/>
              <w:right w:val="nil"/>
            </w:tcBorders>
            <w:shd w:val="clear" w:color="auto" w:fill="auto"/>
            <w:vAlign w:val="bottom"/>
          </w:tcPr>
          <w:p w14:paraId="3C94387E" w14:textId="77777777" w:rsidR="003734F4" w:rsidRPr="00C61D2A" w:rsidRDefault="003734F4" w:rsidP="003734F4">
            <w:pPr>
              <w:tabs>
                <w:tab w:val="left" w:pos="1360"/>
                <w:tab w:val="left" w:pos="1410"/>
              </w:tabs>
              <w:ind w:right="72"/>
              <w:jc w:val="right"/>
              <w:rPr>
                <w:i/>
                <w:iCs/>
                <w:sz w:val="14"/>
                <w:szCs w:val="14"/>
              </w:rPr>
            </w:pPr>
          </w:p>
        </w:tc>
      </w:tr>
      <w:tr w:rsidR="003734F4" w:rsidRPr="001775FB" w14:paraId="7769EB49" w14:textId="77777777" w:rsidTr="003734F4">
        <w:trPr>
          <w:cantSplit/>
        </w:trPr>
        <w:tc>
          <w:tcPr>
            <w:tcW w:w="1820" w:type="dxa"/>
            <w:tcBorders>
              <w:top w:val="nil"/>
              <w:left w:val="nil"/>
              <w:right w:val="nil"/>
            </w:tcBorders>
            <w:shd w:val="clear" w:color="auto" w:fill="auto"/>
            <w:vAlign w:val="bottom"/>
          </w:tcPr>
          <w:p w14:paraId="5A59C139" w14:textId="64D09CD0" w:rsidR="003734F4" w:rsidRPr="007E5BAC" w:rsidRDefault="007E5BAC" w:rsidP="003734F4">
            <w:pPr>
              <w:spacing w:line="160" w:lineRule="exact"/>
              <w:ind w:left="567" w:right="74" w:hanging="141"/>
              <w:rPr>
                <w:bCs w:val="0"/>
                <w:sz w:val="14"/>
                <w:szCs w:val="14"/>
                <w:lang w:val="id-ID"/>
              </w:rPr>
            </w:pPr>
            <w:r>
              <w:rPr>
                <w:bCs w:val="0"/>
                <w:sz w:val="14"/>
                <w:szCs w:val="14"/>
                <w:lang w:val="id-ID"/>
              </w:rPr>
              <w:t>Aset Hak-Guna</w:t>
            </w:r>
          </w:p>
        </w:tc>
        <w:tc>
          <w:tcPr>
            <w:tcW w:w="1133" w:type="dxa"/>
            <w:tcBorders>
              <w:top w:val="nil"/>
              <w:left w:val="nil"/>
              <w:bottom w:val="single" w:sz="4" w:space="0" w:color="auto"/>
              <w:right w:val="nil"/>
            </w:tcBorders>
            <w:shd w:val="clear" w:color="auto" w:fill="auto"/>
            <w:vAlign w:val="bottom"/>
          </w:tcPr>
          <w:p w14:paraId="40569A7F" w14:textId="60F2A20C" w:rsidR="003734F4" w:rsidRPr="00EF4DEE" w:rsidRDefault="003734F4" w:rsidP="003734F4">
            <w:pPr>
              <w:ind w:left="-57" w:right="57"/>
              <w:jc w:val="right"/>
              <w:rPr>
                <w:bCs w:val="0"/>
                <w:sz w:val="12"/>
                <w:szCs w:val="12"/>
              </w:rPr>
            </w:pPr>
            <w:r w:rsidRPr="00EF4DEE">
              <w:rPr>
                <w:bCs w:val="0"/>
                <w:sz w:val="12"/>
                <w:szCs w:val="12"/>
                <w:lang w:val="id-ID"/>
              </w:rPr>
              <w:t>-</w:t>
            </w:r>
          </w:p>
        </w:tc>
        <w:tc>
          <w:tcPr>
            <w:tcW w:w="94" w:type="dxa"/>
            <w:tcBorders>
              <w:top w:val="nil"/>
              <w:left w:val="nil"/>
              <w:right w:val="nil"/>
            </w:tcBorders>
            <w:shd w:val="clear" w:color="auto" w:fill="auto"/>
            <w:vAlign w:val="bottom"/>
          </w:tcPr>
          <w:p w14:paraId="5571DE77" w14:textId="77777777" w:rsidR="003734F4" w:rsidRPr="00EF4DEE" w:rsidRDefault="003734F4" w:rsidP="003734F4">
            <w:pPr>
              <w:ind w:right="18"/>
              <w:jc w:val="right"/>
              <w:rPr>
                <w:bCs w:val="0"/>
                <w:sz w:val="12"/>
                <w:szCs w:val="12"/>
              </w:rPr>
            </w:pPr>
          </w:p>
        </w:tc>
        <w:tc>
          <w:tcPr>
            <w:tcW w:w="1047" w:type="dxa"/>
            <w:tcBorders>
              <w:top w:val="nil"/>
              <w:left w:val="nil"/>
              <w:bottom w:val="single" w:sz="4" w:space="0" w:color="auto"/>
              <w:right w:val="nil"/>
            </w:tcBorders>
            <w:shd w:val="clear" w:color="auto" w:fill="auto"/>
            <w:vAlign w:val="bottom"/>
          </w:tcPr>
          <w:p w14:paraId="0C705D64" w14:textId="1A9D9BED" w:rsidR="003734F4" w:rsidRPr="00EF4DEE" w:rsidRDefault="000C441E" w:rsidP="003734F4">
            <w:pPr>
              <w:ind w:right="57"/>
              <w:jc w:val="right"/>
              <w:rPr>
                <w:bCs w:val="0"/>
                <w:sz w:val="12"/>
                <w:szCs w:val="12"/>
              </w:rPr>
            </w:pPr>
            <w:r w:rsidRPr="00EF4DEE">
              <w:rPr>
                <w:bCs w:val="0"/>
                <w:sz w:val="12"/>
                <w:szCs w:val="12"/>
              </w:rPr>
              <w:t>184.163.944.437</w:t>
            </w:r>
          </w:p>
        </w:tc>
        <w:tc>
          <w:tcPr>
            <w:tcW w:w="100" w:type="dxa"/>
            <w:tcBorders>
              <w:top w:val="nil"/>
              <w:left w:val="nil"/>
              <w:right w:val="nil"/>
            </w:tcBorders>
            <w:shd w:val="clear" w:color="auto" w:fill="auto"/>
            <w:vAlign w:val="bottom"/>
          </w:tcPr>
          <w:p w14:paraId="4DBB76DB" w14:textId="77777777" w:rsidR="003734F4" w:rsidRPr="00EF4DEE" w:rsidRDefault="003734F4" w:rsidP="003734F4">
            <w:pPr>
              <w:ind w:right="18"/>
              <w:jc w:val="right"/>
              <w:rPr>
                <w:bCs w:val="0"/>
                <w:sz w:val="12"/>
                <w:szCs w:val="12"/>
              </w:rPr>
            </w:pPr>
          </w:p>
        </w:tc>
        <w:tc>
          <w:tcPr>
            <w:tcW w:w="1070" w:type="dxa"/>
            <w:tcBorders>
              <w:top w:val="nil"/>
              <w:left w:val="nil"/>
              <w:bottom w:val="single" w:sz="4" w:space="0" w:color="auto"/>
              <w:right w:val="nil"/>
            </w:tcBorders>
            <w:shd w:val="clear" w:color="auto" w:fill="auto"/>
            <w:vAlign w:val="bottom"/>
          </w:tcPr>
          <w:p w14:paraId="3541625A" w14:textId="2A31EFE2" w:rsidR="003734F4" w:rsidRPr="00EF4DEE" w:rsidRDefault="003734F4" w:rsidP="003734F4">
            <w:pPr>
              <w:ind w:right="57"/>
              <w:jc w:val="right"/>
              <w:rPr>
                <w:bCs w:val="0"/>
                <w:sz w:val="12"/>
                <w:szCs w:val="12"/>
                <w:lang w:val="id-ID"/>
              </w:rPr>
            </w:pPr>
          </w:p>
        </w:tc>
        <w:tc>
          <w:tcPr>
            <w:tcW w:w="94" w:type="dxa"/>
            <w:tcBorders>
              <w:left w:val="nil"/>
              <w:right w:val="nil"/>
            </w:tcBorders>
            <w:shd w:val="clear" w:color="auto" w:fill="auto"/>
            <w:vAlign w:val="bottom"/>
          </w:tcPr>
          <w:p w14:paraId="2866F149" w14:textId="77777777" w:rsidR="003734F4" w:rsidRPr="00EF4DEE" w:rsidRDefault="003734F4" w:rsidP="003734F4">
            <w:pPr>
              <w:ind w:right="57"/>
              <w:jc w:val="right"/>
              <w:rPr>
                <w:bCs w:val="0"/>
                <w:sz w:val="12"/>
                <w:szCs w:val="12"/>
              </w:rPr>
            </w:pPr>
          </w:p>
        </w:tc>
        <w:tc>
          <w:tcPr>
            <w:tcW w:w="1101" w:type="dxa"/>
            <w:tcBorders>
              <w:left w:val="nil"/>
              <w:bottom w:val="single" w:sz="4" w:space="0" w:color="auto"/>
              <w:right w:val="nil"/>
            </w:tcBorders>
            <w:vAlign w:val="bottom"/>
          </w:tcPr>
          <w:p w14:paraId="10434827" w14:textId="0C977A0D" w:rsidR="003734F4" w:rsidRPr="00EF4DEE" w:rsidRDefault="003734F4" w:rsidP="003734F4">
            <w:pPr>
              <w:spacing w:line="160" w:lineRule="exact"/>
              <w:ind w:left="-57" w:right="28"/>
              <w:jc w:val="right"/>
              <w:rPr>
                <w:spacing w:val="-1"/>
                <w:w w:val="105"/>
                <w:sz w:val="12"/>
                <w:szCs w:val="12"/>
              </w:rPr>
            </w:pPr>
          </w:p>
        </w:tc>
        <w:tc>
          <w:tcPr>
            <w:tcW w:w="94" w:type="dxa"/>
            <w:tcBorders>
              <w:top w:val="nil"/>
              <w:left w:val="nil"/>
              <w:right w:val="nil"/>
            </w:tcBorders>
            <w:vAlign w:val="bottom"/>
          </w:tcPr>
          <w:p w14:paraId="0033B05A" w14:textId="77777777" w:rsidR="003734F4" w:rsidRPr="00EF4DEE" w:rsidRDefault="003734F4" w:rsidP="003734F4">
            <w:pPr>
              <w:spacing w:line="160" w:lineRule="exact"/>
              <w:ind w:left="-57" w:right="28"/>
              <w:jc w:val="right"/>
              <w:rPr>
                <w:spacing w:val="-1"/>
                <w:w w:val="105"/>
                <w:sz w:val="12"/>
                <w:szCs w:val="12"/>
              </w:rPr>
            </w:pPr>
          </w:p>
        </w:tc>
        <w:tc>
          <w:tcPr>
            <w:tcW w:w="1133" w:type="dxa"/>
            <w:tcBorders>
              <w:top w:val="nil"/>
              <w:left w:val="nil"/>
              <w:bottom w:val="single" w:sz="4" w:space="0" w:color="auto"/>
              <w:right w:val="nil"/>
            </w:tcBorders>
            <w:shd w:val="clear" w:color="auto" w:fill="auto"/>
            <w:vAlign w:val="bottom"/>
          </w:tcPr>
          <w:p w14:paraId="5A01184D" w14:textId="54F98A0C" w:rsidR="003734F4" w:rsidRPr="00EF4DEE" w:rsidRDefault="000C441E" w:rsidP="003734F4">
            <w:pPr>
              <w:ind w:left="-57" w:right="57"/>
              <w:jc w:val="right"/>
              <w:rPr>
                <w:bCs w:val="0"/>
                <w:sz w:val="12"/>
                <w:szCs w:val="12"/>
                <w:lang w:val="id-ID"/>
              </w:rPr>
            </w:pPr>
            <w:r w:rsidRPr="00EF4DEE">
              <w:rPr>
                <w:bCs w:val="0"/>
                <w:sz w:val="12"/>
                <w:szCs w:val="12"/>
              </w:rPr>
              <w:t>184.163.944.437</w:t>
            </w:r>
          </w:p>
        </w:tc>
        <w:tc>
          <w:tcPr>
            <w:tcW w:w="1511" w:type="dxa"/>
            <w:tcBorders>
              <w:top w:val="nil"/>
              <w:left w:val="nil"/>
              <w:bottom w:val="nil"/>
              <w:right w:val="nil"/>
            </w:tcBorders>
            <w:shd w:val="clear" w:color="auto" w:fill="auto"/>
            <w:vAlign w:val="bottom"/>
          </w:tcPr>
          <w:p w14:paraId="770E373C" w14:textId="19E8CB9E" w:rsidR="003734F4" w:rsidRPr="007E5BAC" w:rsidRDefault="007E5BAC" w:rsidP="003734F4">
            <w:pPr>
              <w:tabs>
                <w:tab w:val="left" w:pos="1360"/>
                <w:tab w:val="left" w:pos="1410"/>
              </w:tabs>
              <w:ind w:right="72"/>
              <w:jc w:val="right"/>
              <w:rPr>
                <w:i/>
                <w:iCs/>
                <w:sz w:val="14"/>
                <w:szCs w:val="14"/>
                <w:lang w:val="id-ID"/>
              </w:rPr>
            </w:pPr>
            <w:r>
              <w:rPr>
                <w:i/>
                <w:iCs/>
                <w:sz w:val="14"/>
                <w:szCs w:val="14"/>
                <w:lang w:val="id-ID"/>
              </w:rPr>
              <w:t>Right-of-use</w:t>
            </w:r>
          </w:p>
        </w:tc>
      </w:tr>
      <w:tr w:rsidR="003734F4" w:rsidRPr="00C61D2A" w14:paraId="10616664" w14:textId="77777777" w:rsidTr="003734F4">
        <w:trPr>
          <w:cantSplit/>
        </w:trPr>
        <w:tc>
          <w:tcPr>
            <w:tcW w:w="1820" w:type="dxa"/>
            <w:tcBorders>
              <w:top w:val="nil"/>
              <w:left w:val="nil"/>
              <w:right w:val="nil"/>
            </w:tcBorders>
            <w:shd w:val="clear" w:color="auto" w:fill="auto"/>
            <w:vAlign w:val="bottom"/>
          </w:tcPr>
          <w:p w14:paraId="35743E57" w14:textId="77777777" w:rsidR="003734F4" w:rsidRPr="00C61D2A" w:rsidRDefault="003734F4" w:rsidP="003734F4">
            <w:pPr>
              <w:ind w:left="567" w:right="17" w:hanging="142"/>
              <w:rPr>
                <w:bCs w:val="0"/>
                <w:sz w:val="14"/>
                <w:szCs w:val="14"/>
              </w:rPr>
            </w:pPr>
          </w:p>
        </w:tc>
        <w:tc>
          <w:tcPr>
            <w:tcW w:w="1133" w:type="dxa"/>
            <w:tcBorders>
              <w:top w:val="single" w:sz="4" w:space="0" w:color="auto"/>
              <w:left w:val="nil"/>
              <w:right w:val="nil"/>
            </w:tcBorders>
            <w:shd w:val="clear" w:color="auto" w:fill="auto"/>
            <w:vAlign w:val="bottom"/>
          </w:tcPr>
          <w:p w14:paraId="47885BF5" w14:textId="77777777" w:rsidR="003734F4" w:rsidRPr="00EF4DEE" w:rsidRDefault="003734F4" w:rsidP="003734F4">
            <w:pPr>
              <w:ind w:left="-57" w:right="57"/>
              <w:jc w:val="right"/>
              <w:rPr>
                <w:bCs w:val="0"/>
                <w:sz w:val="14"/>
                <w:szCs w:val="14"/>
              </w:rPr>
            </w:pPr>
          </w:p>
        </w:tc>
        <w:tc>
          <w:tcPr>
            <w:tcW w:w="94" w:type="dxa"/>
            <w:tcBorders>
              <w:top w:val="nil"/>
              <w:left w:val="nil"/>
              <w:right w:val="nil"/>
            </w:tcBorders>
            <w:shd w:val="clear" w:color="auto" w:fill="auto"/>
            <w:vAlign w:val="bottom"/>
          </w:tcPr>
          <w:p w14:paraId="553CA35D" w14:textId="77777777" w:rsidR="003734F4" w:rsidRPr="00EF4DEE" w:rsidRDefault="003734F4" w:rsidP="003734F4">
            <w:pPr>
              <w:ind w:right="18"/>
              <w:jc w:val="right"/>
              <w:rPr>
                <w:bCs w:val="0"/>
                <w:sz w:val="14"/>
                <w:szCs w:val="14"/>
              </w:rPr>
            </w:pPr>
          </w:p>
        </w:tc>
        <w:tc>
          <w:tcPr>
            <w:tcW w:w="1047" w:type="dxa"/>
            <w:tcBorders>
              <w:top w:val="single" w:sz="4" w:space="0" w:color="auto"/>
              <w:left w:val="nil"/>
              <w:right w:val="nil"/>
            </w:tcBorders>
            <w:shd w:val="clear" w:color="auto" w:fill="auto"/>
            <w:vAlign w:val="bottom"/>
          </w:tcPr>
          <w:p w14:paraId="12540D11" w14:textId="77777777" w:rsidR="003734F4" w:rsidRPr="00EF4DEE" w:rsidRDefault="003734F4" w:rsidP="003734F4">
            <w:pPr>
              <w:ind w:right="57"/>
              <w:jc w:val="right"/>
              <w:rPr>
                <w:bCs w:val="0"/>
                <w:sz w:val="14"/>
                <w:szCs w:val="14"/>
              </w:rPr>
            </w:pPr>
          </w:p>
        </w:tc>
        <w:tc>
          <w:tcPr>
            <w:tcW w:w="100" w:type="dxa"/>
            <w:tcBorders>
              <w:top w:val="nil"/>
              <w:left w:val="nil"/>
              <w:right w:val="nil"/>
            </w:tcBorders>
            <w:shd w:val="clear" w:color="auto" w:fill="auto"/>
            <w:vAlign w:val="bottom"/>
          </w:tcPr>
          <w:p w14:paraId="3D85F654" w14:textId="77777777" w:rsidR="003734F4" w:rsidRPr="00EF4DEE" w:rsidRDefault="003734F4" w:rsidP="003734F4">
            <w:pPr>
              <w:ind w:right="18"/>
              <w:jc w:val="right"/>
              <w:rPr>
                <w:bCs w:val="0"/>
                <w:sz w:val="14"/>
                <w:szCs w:val="14"/>
              </w:rPr>
            </w:pPr>
          </w:p>
        </w:tc>
        <w:tc>
          <w:tcPr>
            <w:tcW w:w="1070" w:type="dxa"/>
            <w:tcBorders>
              <w:top w:val="single" w:sz="4" w:space="0" w:color="auto"/>
              <w:left w:val="nil"/>
              <w:right w:val="nil"/>
            </w:tcBorders>
            <w:shd w:val="clear" w:color="auto" w:fill="auto"/>
            <w:vAlign w:val="bottom"/>
          </w:tcPr>
          <w:p w14:paraId="1374D894" w14:textId="77777777" w:rsidR="003734F4" w:rsidRPr="00EF4DEE" w:rsidRDefault="003734F4" w:rsidP="003734F4">
            <w:pPr>
              <w:ind w:right="57"/>
              <w:jc w:val="right"/>
              <w:rPr>
                <w:bCs w:val="0"/>
                <w:sz w:val="14"/>
                <w:szCs w:val="14"/>
              </w:rPr>
            </w:pPr>
          </w:p>
        </w:tc>
        <w:tc>
          <w:tcPr>
            <w:tcW w:w="94" w:type="dxa"/>
            <w:tcBorders>
              <w:left w:val="nil"/>
              <w:right w:val="nil"/>
            </w:tcBorders>
            <w:shd w:val="clear" w:color="auto" w:fill="auto"/>
            <w:vAlign w:val="bottom"/>
          </w:tcPr>
          <w:p w14:paraId="04A56BAD" w14:textId="77777777" w:rsidR="003734F4" w:rsidRPr="00EF4DEE" w:rsidRDefault="003734F4" w:rsidP="003734F4">
            <w:pPr>
              <w:ind w:right="57"/>
              <w:jc w:val="right"/>
              <w:rPr>
                <w:bCs w:val="0"/>
                <w:sz w:val="14"/>
                <w:szCs w:val="14"/>
              </w:rPr>
            </w:pPr>
          </w:p>
        </w:tc>
        <w:tc>
          <w:tcPr>
            <w:tcW w:w="1101" w:type="dxa"/>
            <w:tcBorders>
              <w:top w:val="single" w:sz="4" w:space="0" w:color="auto"/>
              <w:left w:val="nil"/>
              <w:right w:val="nil"/>
            </w:tcBorders>
            <w:vAlign w:val="bottom"/>
          </w:tcPr>
          <w:p w14:paraId="59209161" w14:textId="77777777" w:rsidR="003734F4" w:rsidRPr="00EF4DEE" w:rsidRDefault="003734F4" w:rsidP="003734F4">
            <w:pPr>
              <w:ind w:left="-57" w:right="57"/>
              <w:jc w:val="right"/>
              <w:rPr>
                <w:bCs w:val="0"/>
                <w:sz w:val="14"/>
                <w:szCs w:val="14"/>
              </w:rPr>
            </w:pPr>
          </w:p>
        </w:tc>
        <w:tc>
          <w:tcPr>
            <w:tcW w:w="94" w:type="dxa"/>
            <w:tcBorders>
              <w:top w:val="nil"/>
              <w:left w:val="nil"/>
              <w:right w:val="nil"/>
            </w:tcBorders>
            <w:vAlign w:val="bottom"/>
          </w:tcPr>
          <w:p w14:paraId="517625A8" w14:textId="77777777" w:rsidR="003734F4" w:rsidRPr="00EF4DEE" w:rsidRDefault="003734F4" w:rsidP="003734F4">
            <w:pPr>
              <w:ind w:left="-57" w:right="57"/>
              <w:jc w:val="right"/>
              <w:rPr>
                <w:bCs w:val="0"/>
                <w:sz w:val="14"/>
                <w:szCs w:val="14"/>
              </w:rPr>
            </w:pPr>
          </w:p>
        </w:tc>
        <w:tc>
          <w:tcPr>
            <w:tcW w:w="1133" w:type="dxa"/>
            <w:tcBorders>
              <w:top w:val="single" w:sz="4" w:space="0" w:color="auto"/>
              <w:left w:val="nil"/>
              <w:right w:val="nil"/>
            </w:tcBorders>
            <w:shd w:val="clear" w:color="auto" w:fill="auto"/>
            <w:vAlign w:val="bottom"/>
          </w:tcPr>
          <w:p w14:paraId="3C8F7BB1" w14:textId="77777777" w:rsidR="003734F4" w:rsidRPr="00EF4DEE" w:rsidRDefault="003734F4" w:rsidP="003734F4">
            <w:pPr>
              <w:ind w:left="-57" w:right="57"/>
              <w:jc w:val="right"/>
              <w:rPr>
                <w:bCs w:val="0"/>
                <w:sz w:val="14"/>
                <w:szCs w:val="14"/>
              </w:rPr>
            </w:pPr>
          </w:p>
        </w:tc>
        <w:tc>
          <w:tcPr>
            <w:tcW w:w="1511" w:type="dxa"/>
            <w:tcBorders>
              <w:top w:val="nil"/>
              <w:left w:val="nil"/>
              <w:bottom w:val="nil"/>
              <w:right w:val="nil"/>
            </w:tcBorders>
            <w:shd w:val="clear" w:color="auto" w:fill="auto"/>
            <w:vAlign w:val="bottom"/>
          </w:tcPr>
          <w:p w14:paraId="67891116" w14:textId="77777777" w:rsidR="003734F4" w:rsidRPr="00C61D2A" w:rsidRDefault="003734F4" w:rsidP="003734F4">
            <w:pPr>
              <w:tabs>
                <w:tab w:val="left" w:pos="1360"/>
                <w:tab w:val="left" w:pos="1410"/>
              </w:tabs>
              <w:ind w:right="72"/>
              <w:jc w:val="right"/>
              <w:rPr>
                <w:i/>
                <w:iCs/>
                <w:sz w:val="14"/>
                <w:szCs w:val="14"/>
              </w:rPr>
            </w:pPr>
          </w:p>
        </w:tc>
      </w:tr>
      <w:tr w:rsidR="003734F4" w:rsidRPr="001775FB" w14:paraId="0A74E62B" w14:textId="77777777" w:rsidTr="003734F4">
        <w:trPr>
          <w:cantSplit/>
        </w:trPr>
        <w:tc>
          <w:tcPr>
            <w:tcW w:w="1820" w:type="dxa"/>
            <w:tcBorders>
              <w:top w:val="nil"/>
              <w:left w:val="nil"/>
              <w:right w:val="nil"/>
            </w:tcBorders>
            <w:shd w:val="clear" w:color="auto" w:fill="auto"/>
            <w:vAlign w:val="bottom"/>
          </w:tcPr>
          <w:p w14:paraId="03A1C54D" w14:textId="77777777" w:rsidR="003734F4" w:rsidRPr="001775FB" w:rsidRDefault="003734F4" w:rsidP="003734F4">
            <w:pPr>
              <w:ind w:left="567" w:right="17" w:hanging="142"/>
              <w:rPr>
                <w:bCs w:val="0"/>
                <w:sz w:val="14"/>
                <w:szCs w:val="14"/>
              </w:rPr>
            </w:pPr>
            <w:r w:rsidRPr="001775FB">
              <w:rPr>
                <w:bCs w:val="0"/>
                <w:sz w:val="14"/>
                <w:szCs w:val="14"/>
              </w:rPr>
              <w:t>Sub jumlah</w:t>
            </w:r>
          </w:p>
        </w:tc>
        <w:tc>
          <w:tcPr>
            <w:tcW w:w="1133" w:type="dxa"/>
            <w:tcBorders>
              <w:top w:val="nil"/>
              <w:left w:val="nil"/>
              <w:bottom w:val="single" w:sz="4" w:space="0" w:color="auto"/>
              <w:right w:val="nil"/>
            </w:tcBorders>
            <w:shd w:val="clear" w:color="auto" w:fill="auto"/>
            <w:vAlign w:val="bottom"/>
          </w:tcPr>
          <w:p w14:paraId="701ACC93" w14:textId="3F085DF1" w:rsidR="003734F4" w:rsidRPr="00EF4DEE" w:rsidRDefault="003734F4" w:rsidP="003734F4">
            <w:pPr>
              <w:ind w:left="-57" w:right="57"/>
              <w:jc w:val="right"/>
              <w:rPr>
                <w:bCs w:val="0"/>
                <w:sz w:val="12"/>
                <w:szCs w:val="12"/>
              </w:rPr>
            </w:pPr>
            <w:r w:rsidRPr="00EF4DEE">
              <w:rPr>
                <w:bCs w:val="0"/>
                <w:sz w:val="12"/>
                <w:szCs w:val="12"/>
                <w:lang w:val="id-ID"/>
              </w:rPr>
              <w:t>-</w:t>
            </w:r>
          </w:p>
        </w:tc>
        <w:tc>
          <w:tcPr>
            <w:tcW w:w="94" w:type="dxa"/>
            <w:tcBorders>
              <w:top w:val="nil"/>
              <w:left w:val="nil"/>
              <w:right w:val="nil"/>
            </w:tcBorders>
            <w:shd w:val="clear" w:color="auto" w:fill="auto"/>
            <w:vAlign w:val="bottom"/>
          </w:tcPr>
          <w:p w14:paraId="4F2706AF" w14:textId="77777777" w:rsidR="003734F4" w:rsidRPr="00EF4DEE" w:rsidRDefault="003734F4" w:rsidP="003734F4">
            <w:pPr>
              <w:ind w:right="18"/>
              <w:jc w:val="right"/>
              <w:rPr>
                <w:bCs w:val="0"/>
                <w:sz w:val="12"/>
                <w:szCs w:val="12"/>
              </w:rPr>
            </w:pPr>
          </w:p>
        </w:tc>
        <w:tc>
          <w:tcPr>
            <w:tcW w:w="1047" w:type="dxa"/>
            <w:tcBorders>
              <w:top w:val="nil"/>
              <w:left w:val="nil"/>
              <w:bottom w:val="single" w:sz="4" w:space="0" w:color="auto"/>
              <w:right w:val="nil"/>
            </w:tcBorders>
            <w:shd w:val="clear" w:color="auto" w:fill="auto"/>
            <w:vAlign w:val="bottom"/>
          </w:tcPr>
          <w:p w14:paraId="273834FA" w14:textId="067A5FB3" w:rsidR="003734F4" w:rsidRPr="00EF4DEE" w:rsidRDefault="000C441E" w:rsidP="003734F4">
            <w:pPr>
              <w:ind w:right="57"/>
              <w:jc w:val="right"/>
              <w:rPr>
                <w:bCs w:val="0"/>
                <w:sz w:val="12"/>
                <w:szCs w:val="12"/>
                <w:lang w:val="id-ID"/>
              </w:rPr>
            </w:pPr>
            <w:r w:rsidRPr="00EF4DEE">
              <w:rPr>
                <w:bCs w:val="0"/>
                <w:sz w:val="12"/>
                <w:szCs w:val="12"/>
              </w:rPr>
              <w:t>184.163.944.437</w:t>
            </w:r>
          </w:p>
        </w:tc>
        <w:tc>
          <w:tcPr>
            <w:tcW w:w="100" w:type="dxa"/>
            <w:tcBorders>
              <w:top w:val="nil"/>
              <w:left w:val="nil"/>
              <w:right w:val="nil"/>
            </w:tcBorders>
            <w:shd w:val="clear" w:color="auto" w:fill="auto"/>
            <w:vAlign w:val="bottom"/>
          </w:tcPr>
          <w:p w14:paraId="325526A6" w14:textId="77777777" w:rsidR="003734F4" w:rsidRPr="00EF4DEE" w:rsidRDefault="003734F4" w:rsidP="003734F4">
            <w:pPr>
              <w:ind w:right="18"/>
              <w:jc w:val="right"/>
              <w:rPr>
                <w:bCs w:val="0"/>
                <w:sz w:val="12"/>
                <w:szCs w:val="12"/>
              </w:rPr>
            </w:pPr>
          </w:p>
        </w:tc>
        <w:tc>
          <w:tcPr>
            <w:tcW w:w="1070" w:type="dxa"/>
            <w:tcBorders>
              <w:top w:val="nil"/>
              <w:left w:val="nil"/>
              <w:bottom w:val="single" w:sz="4" w:space="0" w:color="auto"/>
              <w:right w:val="nil"/>
            </w:tcBorders>
            <w:shd w:val="clear" w:color="auto" w:fill="auto"/>
            <w:vAlign w:val="bottom"/>
          </w:tcPr>
          <w:p w14:paraId="4D87B4FC" w14:textId="361F1360" w:rsidR="003734F4" w:rsidRPr="00EF4DEE" w:rsidRDefault="003734F4" w:rsidP="003734F4">
            <w:pPr>
              <w:ind w:right="57"/>
              <w:jc w:val="right"/>
              <w:rPr>
                <w:bCs w:val="0"/>
                <w:sz w:val="12"/>
                <w:szCs w:val="12"/>
                <w:lang w:val="id-ID"/>
              </w:rPr>
            </w:pPr>
          </w:p>
        </w:tc>
        <w:tc>
          <w:tcPr>
            <w:tcW w:w="94" w:type="dxa"/>
            <w:tcBorders>
              <w:left w:val="nil"/>
              <w:right w:val="nil"/>
            </w:tcBorders>
            <w:shd w:val="clear" w:color="auto" w:fill="auto"/>
            <w:vAlign w:val="bottom"/>
          </w:tcPr>
          <w:p w14:paraId="6A36F9AB" w14:textId="77777777" w:rsidR="003734F4" w:rsidRPr="00EF4DEE" w:rsidRDefault="003734F4" w:rsidP="003734F4">
            <w:pPr>
              <w:ind w:right="57"/>
              <w:jc w:val="right"/>
              <w:rPr>
                <w:bCs w:val="0"/>
                <w:sz w:val="12"/>
                <w:szCs w:val="12"/>
              </w:rPr>
            </w:pPr>
          </w:p>
        </w:tc>
        <w:tc>
          <w:tcPr>
            <w:tcW w:w="1101" w:type="dxa"/>
            <w:tcBorders>
              <w:left w:val="nil"/>
              <w:bottom w:val="single" w:sz="4" w:space="0" w:color="auto"/>
              <w:right w:val="nil"/>
            </w:tcBorders>
            <w:vAlign w:val="bottom"/>
          </w:tcPr>
          <w:p w14:paraId="5A14F1F5" w14:textId="3B012617" w:rsidR="003734F4" w:rsidRPr="00EF4DEE" w:rsidRDefault="003734F4" w:rsidP="003734F4">
            <w:pPr>
              <w:ind w:left="-57" w:right="57"/>
              <w:jc w:val="right"/>
              <w:rPr>
                <w:bCs w:val="0"/>
                <w:sz w:val="12"/>
                <w:szCs w:val="12"/>
              </w:rPr>
            </w:pPr>
          </w:p>
        </w:tc>
        <w:tc>
          <w:tcPr>
            <w:tcW w:w="94" w:type="dxa"/>
            <w:tcBorders>
              <w:top w:val="nil"/>
              <w:left w:val="nil"/>
              <w:right w:val="nil"/>
            </w:tcBorders>
            <w:vAlign w:val="bottom"/>
          </w:tcPr>
          <w:p w14:paraId="70931FDD" w14:textId="77777777" w:rsidR="003734F4" w:rsidRPr="00EF4DEE" w:rsidRDefault="003734F4" w:rsidP="003734F4">
            <w:pPr>
              <w:ind w:left="-57" w:right="57"/>
              <w:jc w:val="right"/>
              <w:rPr>
                <w:bCs w:val="0"/>
                <w:sz w:val="12"/>
                <w:szCs w:val="12"/>
              </w:rPr>
            </w:pPr>
          </w:p>
        </w:tc>
        <w:tc>
          <w:tcPr>
            <w:tcW w:w="1133" w:type="dxa"/>
            <w:tcBorders>
              <w:top w:val="nil"/>
              <w:left w:val="nil"/>
              <w:bottom w:val="single" w:sz="4" w:space="0" w:color="auto"/>
              <w:right w:val="nil"/>
            </w:tcBorders>
            <w:shd w:val="clear" w:color="auto" w:fill="auto"/>
            <w:vAlign w:val="bottom"/>
          </w:tcPr>
          <w:p w14:paraId="573A55A6" w14:textId="1FB603E3" w:rsidR="003734F4" w:rsidRPr="00EF4DEE" w:rsidRDefault="000C441E" w:rsidP="003734F4">
            <w:pPr>
              <w:ind w:left="-57" w:right="57"/>
              <w:jc w:val="right"/>
              <w:rPr>
                <w:bCs w:val="0"/>
                <w:sz w:val="12"/>
                <w:szCs w:val="12"/>
                <w:lang w:val="id-ID"/>
              </w:rPr>
            </w:pPr>
            <w:r w:rsidRPr="00EF4DEE">
              <w:rPr>
                <w:bCs w:val="0"/>
                <w:sz w:val="12"/>
                <w:szCs w:val="12"/>
              </w:rPr>
              <w:t>184.163.944.437</w:t>
            </w:r>
          </w:p>
        </w:tc>
        <w:tc>
          <w:tcPr>
            <w:tcW w:w="1511" w:type="dxa"/>
            <w:tcBorders>
              <w:top w:val="nil"/>
              <w:left w:val="nil"/>
              <w:bottom w:val="nil"/>
              <w:right w:val="nil"/>
            </w:tcBorders>
            <w:shd w:val="clear" w:color="auto" w:fill="auto"/>
            <w:vAlign w:val="bottom"/>
          </w:tcPr>
          <w:p w14:paraId="73F49E96" w14:textId="77777777" w:rsidR="003734F4" w:rsidRPr="001775FB" w:rsidRDefault="003734F4" w:rsidP="003734F4">
            <w:pPr>
              <w:tabs>
                <w:tab w:val="left" w:pos="1360"/>
                <w:tab w:val="left" w:pos="1410"/>
              </w:tabs>
              <w:ind w:right="72"/>
              <w:jc w:val="right"/>
              <w:rPr>
                <w:i/>
                <w:iCs/>
                <w:sz w:val="14"/>
                <w:szCs w:val="14"/>
              </w:rPr>
            </w:pPr>
            <w:r w:rsidRPr="001775FB">
              <w:rPr>
                <w:i/>
                <w:iCs/>
                <w:sz w:val="14"/>
                <w:szCs w:val="14"/>
              </w:rPr>
              <w:t>Sub total</w:t>
            </w:r>
          </w:p>
        </w:tc>
      </w:tr>
      <w:tr w:rsidR="003734F4" w:rsidRPr="00C61D2A" w14:paraId="56461C37" w14:textId="77777777" w:rsidTr="003734F4">
        <w:trPr>
          <w:cantSplit/>
        </w:trPr>
        <w:tc>
          <w:tcPr>
            <w:tcW w:w="1820" w:type="dxa"/>
            <w:tcBorders>
              <w:top w:val="nil"/>
              <w:left w:val="nil"/>
              <w:right w:val="nil"/>
            </w:tcBorders>
            <w:shd w:val="clear" w:color="auto" w:fill="auto"/>
            <w:vAlign w:val="bottom"/>
          </w:tcPr>
          <w:p w14:paraId="41AEB4E5" w14:textId="77777777" w:rsidR="003734F4" w:rsidRPr="00C61D2A" w:rsidRDefault="003734F4" w:rsidP="003734F4">
            <w:pPr>
              <w:ind w:left="567" w:right="17" w:hanging="142"/>
              <w:rPr>
                <w:bCs w:val="0"/>
                <w:sz w:val="14"/>
                <w:szCs w:val="14"/>
              </w:rPr>
            </w:pPr>
          </w:p>
        </w:tc>
        <w:tc>
          <w:tcPr>
            <w:tcW w:w="1133" w:type="dxa"/>
            <w:tcBorders>
              <w:top w:val="single" w:sz="4" w:space="0" w:color="auto"/>
              <w:left w:val="nil"/>
              <w:right w:val="nil"/>
            </w:tcBorders>
            <w:shd w:val="clear" w:color="auto" w:fill="auto"/>
            <w:vAlign w:val="bottom"/>
          </w:tcPr>
          <w:p w14:paraId="665E94A6" w14:textId="2BB771D6" w:rsidR="003734F4" w:rsidRPr="00EF4DEE" w:rsidRDefault="003734F4" w:rsidP="003734F4">
            <w:pPr>
              <w:ind w:left="-57" w:right="57"/>
              <w:jc w:val="right"/>
              <w:rPr>
                <w:bCs w:val="0"/>
                <w:sz w:val="14"/>
                <w:szCs w:val="14"/>
              </w:rPr>
            </w:pPr>
          </w:p>
        </w:tc>
        <w:tc>
          <w:tcPr>
            <w:tcW w:w="94" w:type="dxa"/>
            <w:tcBorders>
              <w:top w:val="nil"/>
              <w:left w:val="nil"/>
              <w:right w:val="nil"/>
            </w:tcBorders>
            <w:shd w:val="clear" w:color="auto" w:fill="auto"/>
            <w:vAlign w:val="bottom"/>
          </w:tcPr>
          <w:p w14:paraId="55798DE1" w14:textId="77777777" w:rsidR="003734F4" w:rsidRPr="00EF4DEE" w:rsidRDefault="003734F4" w:rsidP="003734F4">
            <w:pPr>
              <w:ind w:right="18"/>
              <w:jc w:val="right"/>
              <w:rPr>
                <w:bCs w:val="0"/>
                <w:sz w:val="14"/>
                <w:szCs w:val="14"/>
              </w:rPr>
            </w:pPr>
          </w:p>
        </w:tc>
        <w:tc>
          <w:tcPr>
            <w:tcW w:w="1047" w:type="dxa"/>
            <w:tcBorders>
              <w:top w:val="single" w:sz="4" w:space="0" w:color="auto"/>
              <w:left w:val="nil"/>
              <w:right w:val="nil"/>
            </w:tcBorders>
            <w:shd w:val="clear" w:color="auto" w:fill="auto"/>
            <w:vAlign w:val="bottom"/>
          </w:tcPr>
          <w:p w14:paraId="3344C7F5" w14:textId="77777777" w:rsidR="003734F4" w:rsidRPr="00EF4DEE" w:rsidRDefault="003734F4" w:rsidP="003734F4">
            <w:pPr>
              <w:ind w:right="57"/>
              <w:jc w:val="right"/>
              <w:rPr>
                <w:bCs w:val="0"/>
                <w:sz w:val="14"/>
                <w:szCs w:val="14"/>
              </w:rPr>
            </w:pPr>
          </w:p>
        </w:tc>
        <w:tc>
          <w:tcPr>
            <w:tcW w:w="100" w:type="dxa"/>
            <w:tcBorders>
              <w:top w:val="nil"/>
              <w:left w:val="nil"/>
              <w:right w:val="nil"/>
            </w:tcBorders>
            <w:shd w:val="clear" w:color="auto" w:fill="auto"/>
            <w:vAlign w:val="bottom"/>
          </w:tcPr>
          <w:p w14:paraId="70B7C5F6" w14:textId="77777777" w:rsidR="003734F4" w:rsidRPr="00EF4DEE" w:rsidRDefault="003734F4" w:rsidP="003734F4">
            <w:pPr>
              <w:ind w:right="18"/>
              <w:jc w:val="right"/>
              <w:rPr>
                <w:bCs w:val="0"/>
                <w:sz w:val="14"/>
                <w:szCs w:val="14"/>
              </w:rPr>
            </w:pPr>
          </w:p>
        </w:tc>
        <w:tc>
          <w:tcPr>
            <w:tcW w:w="1070" w:type="dxa"/>
            <w:tcBorders>
              <w:top w:val="single" w:sz="4" w:space="0" w:color="auto"/>
              <w:left w:val="nil"/>
              <w:right w:val="nil"/>
            </w:tcBorders>
            <w:shd w:val="clear" w:color="auto" w:fill="auto"/>
            <w:vAlign w:val="bottom"/>
          </w:tcPr>
          <w:p w14:paraId="3D81CB9D" w14:textId="77777777" w:rsidR="003734F4" w:rsidRPr="00EF4DEE" w:rsidRDefault="003734F4" w:rsidP="003734F4">
            <w:pPr>
              <w:ind w:right="57"/>
              <w:jc w:val="right"/>
              <w:rPr>
                <w:bCs w:val="0"/>
                <w:sz w:val="14"/>
                <w:szCs w:val="14"/>
              </w:rPr>
            </w:pPr>
          </w:p>
        </w:tc>
        <w:tc>
          <w:tcPr>
            <w:tcW w:w="94" w:type="dxa"/>
            <w:tcBorders>
              <w:left w:val="nil"/>
              <w:right w:val="nil"/>
            </w:tcBorders>
            <w:shd w:val="clear" w:color="auto" w:fill="auto"/>
            <w:vAlign w:val="bottom"/>
          </w:tcPr>
          <w:p w14:paraId="376D0A4C" w14:textId="77777777" w:rsidR="003734F4" w:rsidRPr="00EF4DEE" w:rsidRDefault="003734F4" w:rsidP="003734F4">
            <w:pPr>
              <w:ind w:right="57"/>
              <w:jc w:val="right"/>
              <w:rPr>
                <w:bCs w:val="0"/>
                <w:sz w:val="14"/>
                <w:szCs w:val="14"/>
              </w:rPr>
            </w:pPr>
          </w:p>
        </w:tc>
        <w:tc>
          <w:tcPr>
            <w:tcW w:w="1101" w:type="dxa"/>
            <w:tcBorders>
              <w:top w:val="single" w:sz="4" w:space="0" w:color="auto"/>
              <w:left w:val="nil"/>
              <w:right w:val="nil"/>
            </w:tcBorders>
            <w:vAlign w:val="bottom"/>
          </w:tcPr>
          <w:p w14:paraId="6D30CB4A" w14:textId="77777777" w:rsidR="003734F4" w:rsidRPr="00EF4DEE" w:rsidRDefault="003734F4" w:rsidP="003734F4">
            <w:pPr>
              <w:ind w:left="-57" w:right="57"/>
              <w:jc w:val="right"/>
              <w:rPr>
                <w:bCs w:val="0"/>
                <w:sz w:val="14"/>
                <w:szCs w:val="14"/>
              </w:rPr>
            </w:pPr>
          </w:p>
        </w:tc>
        <w:tc>
          <w:tcPr>
            <w:tcW w:w="94" w:type="dxa"/>
            <w:tcBorders>
              <w:top w:val="nil"/>
              <w:left w:val="nil"/>
              <w:right w:val="nil"/>
            </w:tcBorders>
            <w:vAlign w:val="bottom"/>
          </w:tcPr>
          <w:p w14:paraId="03F3D33E" w14:textId="77777777" w:rsidR="003734F4" w:rsidRPr="00EF4DEE" w:rsidRDefault="003734F4" w:rsidP="003734F4">
            <w:pPr>
              <w:ind w:left="-57" w:right="57"/>
              <w:jc w:val="right"/>
              <w:rPr>
                <w:bCs w:val="0"/>
                <w:sz w:val="14"/>
                <w:szCs w:val="14"/>
              </w:rPr>
            </w:pPr>
          </w:p>
        </w:tc>
        <w:tc>
          <w:tcPr>
            <w:tcW w:w="1133" w:type="dxa"/>
            <w:tcBorders>
              <w:top w:val="single" w:sz="4" w:space="0" w:color="auto"/>
              <w:left w:val="nil"/>
              <w:right w:val="nil"/>
            </w:tcBorders>
            <w:shd w:val="clear" w:color="auto" w:fill="auto"/>
            <w:vAlign w:val="bottom"/>
          </w:tcPr>
          <w:p w14:paraId="3BFBA0A7" w14:textId="1DB95DCE" w:rsidR="003734F4" w:rsidRPr="00EF4DEE" w:rsidRDefault="003734F4" w:rsidP="003734F4">
            <w:pPr>
              <w:ind w:left="-57" w:right="57"/>
              <w:jc w:val="right"/>
              <w:rPr>
                <w:bCs w:val="0"/>
                <w:sz w:val="14"/>
                <w:szCs w:val="14"/>
              </w:rPr>
            </w:pPr>
          </w:p>
        </w:tc>
        <w:tc>
          <w:tcPr>
            <w:tcW w:w="1511" w:type="dxa"/>
            <w:tcBorders>
              <w:top w:val="nil"/>
              <w:left w:val="nil"/>
              <w:bottom w:val="nil"/>
              <w:right w:val="nil"/>
            </w:tcBorders>
            <w:shd w:val="clear" w:color="auto" w:fill="auto"/>
            <w:vAlign w:val="bottom"/>
          </w:tcPr>
          <w:p w14:paraId="3F4F0A2C" w14:textId="77777777" w:rsidR="003734F4" w:rsidRPr="00C61D2A" w:rsidRDefault="003734F4" w:rsidP="003734F4">
            <w:pPr>
              <w:tabs>
                <w:tab w:val="left" w:pos="1360"/>
                <w:tab w:val="left" w:pos="1410"/>
              </w:tabs>
              <w:ind w:right="72"/>
              <w:jc w:val="right"/>
              <w:rPr>
                <w:i/>
                <w:iCs/>
                <w:sz w:val="14"/>
                <w:szCs w:val="14"/>
              </w:rPr>
            </w:pPr>
          </w:p>
        </w:tc>
      </w:tr>
      <w:tr w:rsidR="003734F4" w:rsidRPr="00D650D2" w14:paraId="744BACDE" w14:textId="77777777" w:rsidTr="003734F4">
        <w:trPr>
          <w:cantSplit/>
        </w:trPr>
        <w:tc>
          <w:tcPr>
            <w:tcW w:w="1820" w:type="dxa"/>
            <w:tcBorders>
              <w:top w:val="nil"/>
              <w:left w:val="nil"/>
              <w:right w:val="nil"/>
            </w:tcBorders>
            <w:shd w:val="clear" w:color="auto" w:fill="auto"/>
            <w:vAlign w:val="bottom"/>
          </w:tcPr>
          <w:p w14:paraId="5AB548D7" w14:textId="77777777" w:rsidR="003734F4" w:rsidRPr="00D650D2" w:rsidRDefault="003734F4" w:rsidP="003734F4">
            <w:pPr>
              <w:ind w:left="567" w:right="17" w:hanging="142"/>
              <w:rPr>
                <w:b/>
                <w:bCs w:val="0"/>
                <w:sz w:val="14"/>
                <w:szCs w:val="14"/>
              </w:rPr>
            </w:pPr>
            <w:r w:rsidRPr="00D650D2">
              <w:rPr>
                <w:b/>
                <w:bCs w:val="0"/>
                <w:sz w:val="14"/>
                <w:szCs w:val="14"/>
              </w:rPr>
              <w:t>Jumlah biaya perolehan</w:t>
            </w:r>
          </w:p>
        </w:tc>
        <w:tc>
          <w:tcPr>
            <w:tcW w:w="1133" w:type="dxa"/>
            <w:tcBorders>
              <w:left w:val="nil"/>
              <w:bottom w:val="single" w:sz="4" w:space="0" w:color="auto"/>
              <w:right w:val="nil"/>
            </w:tcBorders>
            <w:shd w:val="clear" w:color="auto" w:fill="auto"/>
            <w:vAlign w:val="bottom"/>
          </w:tcPr>
          <w:p w14:paraId="77B8384B" w14:textId="4F47DCCD" w:rsidR="003734F4" w:rsidRPr="00EF4DEE" w:rsidRDefault="003734F4" w:rsidP="003734F4">
            <w:pPr>
              <w:ind w:left="-57" w:right="57"/>
              <w:jc w:val="right"/>
              <w:rPr>
                <w:b/>
                <w:bCs w:val="0"/>
                <w:sz w:val="12"/>
                <w:szCs w:val="12"/>
              </w:rPr>
            </w:pPr>
            <w:r w:rsidRPr="00EF4DEE">
              <w:rPr>
                <w:b/>
                <w:bCs w:val="0"/>
                <w:sz w:val="12"/>
                <w:szCs w:val="12"/>
              </w:rPr>
              <w:t>2.685.348.464.215</w:t>
            </w:r>
          </w:p>
        </w:tc>
        <w:tc>
          <w:tcPr>
            <w:tcW w:w="94" w:type="dxa"/>
            <w:tcBorders>
              <w:left w:val="nil"/>
              <w:right w:val="nil"/>
            </w:tcBorders>
            <w:shd w:val="clear" w:color="auto" w:fill="auto"/>
            <w:vAlign w:val="bottom"/>
          </w:tcPr>
          <w:p w14:paraId="71548D6E" w14:textId="77777777" w:rsidR="003734F4" w:rsidRPr="00EF4DEE" w:rsidRDefault="003734F4" w:rsidP="003734F4">
            <w:pPr>
              <w:ind w:right="18"/>
              <w:jc w:val="right"/>
              <w:rPr>
                <w:b/>
                <w:bCs w:val="0"/>
                <w:sz w:val="12"/>
                <w:szCs w:val="12"/>
              </w:rPr>
            </w:pPr>
          </w:p>
        </w:tc>
        <w:tc>
          <w:tcPr>
            <w:tcW w:w="1047" w:type="dxa"/>
            <w:tcBorders>
              <w:left w:val="nil"/>
              <w:bottom w:val="single" w:sz="4" w:space="0" w:color="auto"/>
              <w:right w:val="nil"/>
            </w:tcBorders>
            <w:shd w:val="clear" w:color="auto" w:fill="auto"/>
            <w:vAlign w:val="bottom"/>
          </w:tcPr>
          <w:p w14:paraId="53C29C49" w14:textId="300C34D5" w:rsidR="003734F4" w:rsidRPr="00EF4DEE" w:rsidRDefault="00E42D9B" w:rsidP="003734F4">
            <w:pPr>
              <w:ind w:right="57"/>
              <w:jc w:val="right"/>
              <w:rPr>
                <w:b/>
                <w:bCs w:val="0"/>
                <w:sz w:val="12"/>
                <w:szCs w:val="12"/>
              </w:rPr>
            </w:pPr>
            <w:r>
              <w:rPr>
                <w:b/>
                <w:bCs w:val="0"/>
                <w:sz w:val="12"/>
                <w:szCs w:val="12"/>
              </w:rPr>
              <w:t>231.341.499.651</w:t>
            </w:r>
          </w:p>
        </w:tc>
        <w:tc>
          <w:tcPr>
            <w:tcW w:w="100" w:type="dxa"/>
            <w:tcBorders>
              <w:left w:val="nil"/>
              <w:right w:val="nil"/>
            </w:tcBorders>
            <w:shd w:val="clear" w:color="auto" w:fill="auto"/>
            <w:vAlign w:val="bottom"/>
          </w:tcPr>
          <w:p w14:paraId="6BF288F0" w14:textId="77777777" w:rsidR="003734F4" w:rsidRPr="00EF4DEE" w:rsidRDefault="003734F4" w:rsidP="003734F4">
            <w:pPr>
              <w:ind w:right="18"/>
              <w:jc w:val="right"/>
              <w:rPr>
                <w:b/>
                <w:bCs w:val="0"/>
                <w:sz w:val="12"/>
                <w:szCs w:val="12"/>
              </w:rPr>
            </w:pPr>
          </w:p>
        </w:tc>
        <w:tc>
          <w:tcPr>
            <w:tcW w:w="1070" w:type="dxa"/>
            <w:tcBorders>
              <w:left w:val="nil"/>
              <w:bottom w:val="single" w:sz="4" w:space="0" w:color="auto"/>
              <w:right w:val="nil"/>
            </w:tcBorders>
            <w:shd w:val="clear" w:color="auto" w:fill="auto"/>
            <w:vAlign w:val="bottom"/>
          </w:tcPr>
          <w:p w14:paraId="6E231DAE" w14:textId="2311013D" w:rsidR="003734F4" w:rsidRPr="00EF4DEE" w:rsidRDefault="009D0B95" w:rsidP="003734F4">
            <w:pPr>
              <w:ind w:right="57"/>
              <w:jc w:val="right"/>
              <w:rPr>
                <w:b/>
                <w:bCs w:val="0"/>
                <w:sz w:val="12"/>
                <w:szCs w:val="12"/>
              </w:rPr>
            </w:pPr>
            <w:r w:rsidRPr="00EF4DEE">
              <w:rPr>
                <w:b/>
                <w:w w:val="105"/>
                <w:sz w:val="12"/>
                <w:szCs w:val="12"/>
              </w:rPr>
              <w:t>(4,058,905,876)</w:t>
            </w:r>
          </w:p>
        </w:tc>
        <w:tc>
          <w:tcPr>
            <w:tcW w:w="94" w:type="dxa"/>
            <w:tcBorders>
              <w:left w:val="nil"/>
              <w:right w:val="nil"/>
            </w:tcBorders>
            <w:shd w:val="clear" w:color="auto" w:fill="auto"/>
            <w:vAlign w:val="bottom"/>
          </w:tcPr>
          <w:p w14:paraId="54369751" w14:textId="77777777" w:rsidR="003734F4" w:rsidRPr="00EF4DEE" w:rsidRDefault="003734F4" w:rsidP="003734F4">
            <w:pPr>
              <w:ind w:right="57"/>
              <w:jc w:val="right"/>
              <w:rPr>
                <w:b/>
                <w:bCs w:val="0"/>
                <w:sz w:val="12"/>
                <w:szCs w:val="12"/>
              </w:rPr>
            </w:pPr>
          </w:p>
        </w:tc>
        <w:tc>
          <w:tcPr>
            <w:tcW w:w="1101" w:type="dxa"/>
            <w:tcBorders>
              <w:left w:val="nil"/>
              <w:bottom w:val="single" w:sz="4" w:space="0" w:color="auto"/>
              <w:right w:val="nil"/>
            </w:tcBorders>
            <w:vAlign w:val="bottom"/>
          </w:tcPr>
          <w:p w14:paraId="4D57E90C" w14:textId="60D27B96" w:rsidR="003734F4" w:rsidRPr="00EF4DEE" w:rsidRDefault="003734F4" w:rsidP="003734F4">
            <w:pPr>
              <w:ind w:left="-57" w:right="57"/>
              <w:jc w:val="right"/>
              <w:rPr>
                <w:b/>
                <w:bCs w:val="0"/>
                <w:sz w:val="12"/>
                <w:szCs w:val="12"/>
              </w:rPr>
            </w:pPr>
          </w:p>
        </w:tc>
        <w:tc>
          <w:tcPr>
            <w:tcW w:w="94" w:type="dxa"/>
            <w:tcBorders>
              <w:left w:val="nil"/>
              <w:right w:val="nil"/>
            </w:tcBorders>
            <w:vAlign w:val="bottom"/>
          </w:tcPr>
          <w:p w14:paraId="40945D68" w14:textId="77777777" w:rsidR="003734F4" w:rsidRPr="00EF4DEE" w:rsidRDefault="003734F4" w:rsidP="003734F4">
            <w:pPr>
              <w:ind w:left="-57" w:right="57"/>
              <w:jc w:val="right"/>
              <w:rPr>
                <w:b/>
                <w:bCs w:val="0"/>
                <w:sz w:val="12"/>
                <w:szCs w:val="12"/>
              </w:rPr>
            </w:pPr>
          </w:p>
        </w:tc>
        <w:tc>
          <w:tcPr>
            <w:tcW w:w="1133" w:type="dxa"/>
            <w:tcBorders>
              <w:left w:val="nil"/>
              <w:bottom w:val="single" w:sz="4" w:space="0" w:color="auto"/>
              <w:right w:val="nil"/>
            </w:tcBorders>
            <w:shd w:val="clear" w:color="auto" w:fill="auto"/>
            <w:vAlign w:val="bottom"/>
          </w:tcPr>
          <w:p w14:paraId="16D035C7" w14:textId="6361EEE4" w:rsidR="003734F4" w:rsidRPr="00EF4DEE" w:rsidRDefault="00071C5D" w:rsidP="003734F4">
            <w:pPr>
              <w:ind w:left="-57" w:right="57"/>
              <w:jc w:val="right"/>
              <w:rPr>
                <w:b/>
                <w:bCs w:val="0"/>
                <w:sz w:val="12"/>
                <w:szCs w:val="12"/>
              </w:rPr>
            </w:pPr>
            <w:r>
              <w:rPr>
                <w:b/>
                <w:bCs w:val="0"/>
                <w:sz w:val="12"/>
                <w:szCs w:val="12"/>
              </w:rPr>
              <w:t>3.060.193.015.129</w:t>
            </w:r>
          </w:p>
        </w:tc>
        <w:tc>
          <w:tcPr>
            <w:tcW w:w="1511" w:type="dxa"/>
            <w:tcBorders>
              <w:top w:val="nil"/>
              <w:left w:val="nil"/>
              <w:bottom w:val="nil"/>
              <w:right w:val="nil"/>
            </w:tcBorders>
            <w:shd w:val="clear" w:color="auto" w:fill="auto"/>
            <w:vAlign w:val="bottom"/>
          </w:tcPr>
          <w:p w14:paraId="4CABC259" w14:textId="77777777" w:rsidR="003734F4" w:rsidRPr="00D650D2" w:rsidRDefault="003734F4" w:rsidP="003734F4">
            <w:pPr>
              <w:tabs>
                <w:tab w:val="left" w:pos="1360"/>
                <w:tab w:val="left" w:pos="1410"/>
              </w:tabs>
              <w:ind w:right="72"/>
              <w:jc w:val="right"/>
              <w:rPr>
                <w:b/>
                <w:bCs w:val="0"/>
                <w:i/>
                <w:iCs/>
                <w:sz w:val="14"/>
                <w:szCs w:val="14"/>
              </w:rPr>
            </w:pPr>
            <w:r w:rsidRPr="00D650D2">
              <w:rPr>
                <w:b/>
                <w:bCs w:val="0"/>
                <w:i/>
                <w:iCs/>
                <w:sz w:val="14"/>
                <w:szCs w:val="14"/>
              </w:rPr>
              <w:t>Total cost</w:t>
            </w:r>
          </w:p>
        </w:tc>
      </w:tr>
      <w:tr w:rsidR="003734F4" w:rsidRPr="00C61D2A" w14:paraId="0DFCACDE" w14:textId="77777777" w:rsidTr="003734F4">
        <w:trPr>
          <w:cantSplit/>
        </w:trPr>
        <w:tc>
          <w:tcPr>
            <w:tcW w:w="1820" w:type="dxa"/>
            <w:tcBorders>
              <w:top w:val="nil"/>
              <w:left w:val="nil"/>
              <w:right w:val="nil"/>
            </w:tcBorders>
            <w:shd w:val="clear" w:color="auto" w:fill="auto"/>
            <w:vAlign w:val="bottom"/>
          </w:tcPr>
          <w:p w14:paraId="1633A701" w14:textId="77777777" w:rsidR="003734F4" w:rsidRPr="00C61D2A" w:rsidRDefault="003734F4" w:rsidP="003734F4">
            <w:pPr>
              <w:ind w:left="567" w:right="17" w:hanging="142"/>
              <w:rPr>
                <w:bCs w:val="0"/>
                <w:sz w:val="14"/>
                <w:szCs w:val="14"/>
              </w:rPr>
            </w:pPr>
          </w:p>
        </w:tc>
        <w:tc>
          <w:tcPr>
            <w:tcW w:w="1133" w:type="dxa"/>
            <w:tcBorders>
              <w:top w:val="single" w:sz="4" w:space="0" w:color="auto"/>
              <w:left w:val="nil"/>
              <w:right w:val="nil"/>
            </w:tcBorders>
            <w:shd w:val="clear" w:color="auto" w:fill="auto"/>
            <w:vAlign w:val="bottom"/>
          </w:tcPr>
          <w:p w14:paraId="569A897C" w14:textId="77777777" w:rsidR="003734F4" w:rsidRPr="00A96055" w:rsidRDefault="003734F4" w:rsidP="003734F4">
            <w:pPr>
              <w:ind w:left="-57" w:right="57"/>
              <w:jc w:val="right"/>
              <w:rPr>
                <w:bCs w:val="0"/>
                <w:sz w:val="14"/>
                <w:szCs w:val="14"/>
                <w:highlight w:val="yellow"/>
              </w:rPr>
            </w:pPr>
          </w:p>
        </w:tc>
        <w:tc>
          <w:tcPr>
            <w:tcW w:w="94" w:type="dxa"/>
            <w:tcBorders>
              <w:left w:val="nil"/>
              <w:right w:val="nil"/>
            </w:tcBorders>
            <w:shd w:val="clear" w:color="auto" w:fill="auto"/>
            <w:vAlign w:val="bottom"/>
          </w:tcPr>
          <w:p w14:paraId="019935C3" w14:textId="77777777" w:rsidR="003734F4" w:rsidRPr="00A96055" w:rsidRDefault="003734F4" w:rsidP="003734F4">
            <w:pPr>
              <w:ind w:right="18"/>
              <w:jc w:val="right"/>
              <w:rPr>
                <w:bCs w:val="0"/>
                <w:sz w:val="14"/>
                <w:szCs w:val="14"/>
                <w:highlight w:val="yellow"/>
              </w:rPr>
            </w:pPr>
          </w:p>
        </w:tc>
        <w:tc>
          <w:tcPr>
            <w:tcW w:w="1047" w:type="dxa"/>
            <w:tcBorders>
              <w:top w:val="single" w:sz="4" w:space="0" w:color="auto"/>
              <w:left w:val="nil"/>
              <w:right w:val="nil"/>
            </w:tcBorders>
            <w:shd w:val="clear" w:color="auto" w:fill="auto"/>
            <w:vAlign w:val="bottom"/>
          </w:tcPr>
          <w:p w14:paraId="6DB039E7" w14:textId="77777777" w:rsidR="003734F4" w:rsidRPr="00A96055" w:rsidRDefault="003734F4" w:rsidP="003734F4">
            <w:pPr>
              <w:ind w:right="57"/>
              <w:jc w:val="right"/>
              <w:rPr>
                <w:bCs w:val="0"/>
                <w:sz w:val="14"/>
                <w:szCs w:val="14"/>
                <w:highlight w:val="yellow"/>
              </w:rPr>
            </w:pPr>
          </w:p>
        </w:tc>
        <w:tc>
          <w:tcPr>
            <w:tcW w:w="100" w:type="dxa"/>
            <w:tcBorders>
              <w:left w:val="nil"/>
              <w:right w:val="nil"/>
            </w:tcBorders>
            <w:shd w:val="clear" w:color="auto" w:fill="auto"/>
            <w:vAlign w:val="bottom"/>
          </w:tcPr>
          <w:p w14:paraId="1CAA3860" w14:textId="77777777" w:rsidR="003734F4" w:rsidRPr="00A96055" w:rsidRDefault="003734F4" w:rsidP="003734F4">
            <w:pPr>
              <w:ind w:right="18"/>
              <w:jc w:val="right"/>
              <w:rPr>
                <w:bCs w:val="0"/>
                <w:sz w:val="14"/>
                <w:szCs w:val="14"/>
                <w:highlight w:val="yellow"/>
              </w:rPr>
            </w:pPr>
          </w:p>
        </w:tc>
        <w:tc>
          <w:tcPr>
            <w:tcW w:w="1070" w:type="dxa"/>
            <w:tcBorders>
              <w:top w:val="single" w:sz="4" w:space="0" w:color="auto"/>
              <w:left w:val="nil"/>
              <w:right w:val="nil"/>
            </w:tcBorders>
            <w:shd w:val="clear" w:color="auto" w:fill="auto"/>
            <w:vAlign w:val="bottom"/>
          </w:tcPr>
          <w:p w14:paraId="29EDEDFB" w14:textId="77777777" w:rsidR="003734F4" w:rsidRPr="00A96055" w:rsidRDefault="003734F4" w:rsidP="003734F4">
            <w:pPr>
              <w:ind w:right="57"/>
              <w:jc w:val="right"/>
              <w:rPr>
                <w:bCs w:val="0"/>
                <w:sz w:val="14"/>
                <w:szCs w:val="14"/>
                <w:highlight w:val="yellow"/>
              </w:rPr>
            </w:pPr>
          </w:p>
        </w:tc>
        <w:tc>
          <w:tcPr>
            <w:tcW w:w="94" w:type="dxa"/>
            <w:tcBorders>
              <w:left w:val="nil"/>
              <w:right w:val="nil"/>
            </w:tcBorders>
            <w:shd w:val="clear" w:color="auto" w:fill="auto"/>
            <w:vAlign w:val="bottom"/>
          </w:tcPr>
          <w:p w14:paraId="27CF8C94" w14:textId="77777777" w:rsidR="003734F4" w:rsidRPr="00A96055" w:rsidRDefault="003734F4" w:rsidP="003734F4">
            <w:pPr>
              <w:ind w:right="57"/>
              <w:jc w:val="right"/>
              <w:rPr>
                <w:bCs w:val="0"/>
                <w:sz w:val="14"/>
                <w:szCs w:val="14"/>
                <w:highlight w:val="yellow"/>
              </w:rPr>
            </w:pPr>
          </w:p>
        </w:tc>
        <w:tc>
          <w:tcPr>
            <w:tcW w:w="1101" w:type="dxa"/>
            <w:tcBorders>
              <w:top w:val="single" w:sz="4" w:space="0" w:color="auto"/>
              <w:left w:val="nil"/>
              <w:right w:val="nil"/>
            </w:tcBorders>
            <w:vAlign w:val="bottom"/>
          </w:tcPr>
          <w:p w14:paraId="6050CDCD" w14:textId="77777777" w:rsidR="003734F4" w:rsidRPr="00A96055" w:rsidRDefault="003734F4" w:rsidP="003734F4">
            <w:pPr>
              <w:ind w:left="-57" w:right="57"/>
              <w:jc w:val="right"/>
              <w:rPr>
                <w:bCs w:val="0"/>
                <w:sz w:val="14"/>
                <w:szCs w:val="14"/>
                <w:highlight w:val="yellow"/>
              </w:rPr>
            </w:pPr>
          </w:p>
        </w:tc>
        <w:tc>
          <w:tcPr>
            <w:tcW w:w="94" w:type="dxa"/>
            <w:tcBorders>
              <w:left w:val="nil"/>
              <w:right w:val="nil"/>
            </w:tcBorders>
            <w:vAlign w:val="bottom"/>
          </w:tcPr>
          <w:p w14:paraId="16F4089E" w14:textId="77777777" w:rsidR="003734F4" w:rsidRPr="00A96055" w:rsidRDefault="003734F4" w:rsidP="003734F4">
            <w:pPr>
              <w:ind w:left="-57" w:right="57"/>
              <w:jc w:val="right"/>
              <w:rPr>
                <w:bCs w:val="0"/>
                <w:sz w:val="14"/>
                <w:szCs w:val="14"/>
                <w:highlight w:val="yellow"/>
              </w:rPr>
            </w:pPr>
          </w:p>
        </w:tc>
        <w:tc>
          <w:tcPr>
            <w:tcW w:w="1133" w:type="dxa"/>
            <w:tcBorders>
              <w:top w:val="single" w:sz="4" w:space="0" w:color="auto"/>
              <w:left w:val="nil"/>
              <w:right w:val="nil"/>
            </w:tcBorders>
            <w:shd w:val="clear" w:color="auto" w:fill="auto"/>
            <w:vAlign w:val="bottom"/>
          </w:tcPr>
          <w:p w14:paraId="2AFB5264" w14:textId="77777777" w:rsidR="003734F4" w:rsidRPr="00A96055" w:rsidRDefault="003734F4" w:rsidP="003734F4">
            <w:pPr>
              <w:ind w:left="-57" w:right="57"/>
              <w:jc w:val="right"/>
              <w:rPr>
                <w:bCs w:val="0"/>
                <w:sz w:val="14"/>
                <w:szCs w:val="14"/>
                <w:highlight w:val="yellow"/>
              </w:rPr>
            </w:pPr>
          </w:p>
        </w:tc>
        <w:tc>
          <w:tcPr>
            <w:tcW w:w="1511" w:type="dxa"/>
            <w:tcBorders>
              <w:top w:val="nil"/>
              <w:left w:val="nil"/>
              <w:bottom w:val="nil"/>
              <w:right w:val="nil"/>
            </w:tcBorders>
            <w:shd w:val="clear" w:color="auto" w:fill="auto"/>
            <w:vAlign w:val="bottom"/>
          </w:tcPr>
          <w:p w14:paraId="06949AA0" w14:textId="77777777" w:rsidR="003734F4" w:rsidRPr="00C61D2A" w:rsidRDefault="003734F4" w:rsidP="003734F4">
            <w:pPr>
              <w:tabs>
                <w:tab w:val="left" w:pos="1360"/>
                <w:tab w:val="left" w:pos="1410"/>
              </w:tabs>
              <w:ind w:right="72"/>
              <w:jc w:val="right"/>
              <w:rPr>
                <w:i/>
                <w:iCs/>
                <w:sz w:val="14"/>
                <w:szCs w:val="14"/>
              </w:rPr>
            </w:pPr>
          </w:p>
        </w:tc>
      </w:tr>
      <w:tr w:rsidR="003734F4" w:rsidRPr="001775FB" w14:paraId="5D4EBD42" w14:textId="77777777" w:rsidTr="003734F4">
        <w:trPr>
          <w:cantSplit/>
        </w:trPr>
        <w:tc>
          <w:tcPr>
            <w:tcW w:w="1820" w:type="dxa"/>
            <w:tcBorders>
              <w:top w:val="nil"/>
              <w:left w:val="nil"/>
              <w:bottom w:val="nil"/>
              <w:right w:val="nil"/>
            </w:tcBorders>
            <w:shd w:val="clear" w:color="auto" w:fill="auto"/>
            <w:vAlign w:val="bottom"/>
          </w:tcPr>
          <w:p w14:paraId="318071BA" w14:textId="77777777" w:rsidR="003734F4" w:rsidRPr="001775FB" w:rsidRDefault="003734F4" w:rsidP="003734F4">
            <w:pPr>
              <w:ind w:left="567" w:right="74" w:hanging="142"/>
              <w:rPr>
                <w:bCs w:val="0"/>
                <w:sz w:val="14"/>
                <w:szCs w:val="14"/>
                <w:u w:val="single"/>
              </w:rPr>
            </w:pPr>
            <w:r w:rsidRPr="001775FB">
              <w:rPr>
                <w:b/>
                <w:bCs w:val="0"/>
                <w:sz w:val="14"/>
                <w:szCs w:val="14"/>
                <w:u w:val="single"/>
              </w:rPr>
              <w:t>Akumulasi penyusutan</w:t>
            </w:r>
          </w:p>
        </w:tc>
        <w:tc>
          <w:tcPr>
            <w:tcW w:w="1133" w:type="dxa"/>
            <w:tcBorders>
              <w:top w:val="nil"/>
              <w:left w:val="nil"/>
              <w:bottom w:val="nil"/>
              <w:right w:val="nil"/>
            </w:tcBorders>
            <w:shd w:val="clear" w:color="auto" w:fill="auto"/>
            <w:vAlign w:val="bottom"/>
          </w:tcPr>
          <w:p w14:paraId="2797C570" w14:textId="77777777" w:rsidR="003734F4" w:rsidRPr="00A96055" w:rsidRDefault="003734F4" w:rsidP="003734F4">
            <w:pPr>
              <w:ind w:right="28"/>
              <w:jc w:val="right"/>
              <w:rPr>
                <w:bCs w:val="0"/>
                <w:sz w:val="12"/>
                <w:szCs w:val="12"/>
                <w:highlight w:val="yellow"/>
              </w:rPr>
            </w:pPr>
          </w:p>
        </w:tc>
        <w:tc>
          <w:tcPr>
            <w:tcW w:w="94" w:type="dxa"/>
            <w:tcBorders>
              <w:top w:val="nil"/>
              <w:left w:val="nil"/>
              <w:bottom w:val="nil"/>
              <w:right w:val="nil"/>
            </w:tcBorders>
            <w:shd w:val="clear" w:color="auto" w:fill="auto"/>
            <w:vAlign w:val="bottom"/>
          </w:tcPr>
          <w:p w14:paraId="047E1D80" w14:textId="77777777" w:rsidR="003734F4" w:rsidRPr="00A96055" w:rsidRDefault="003734F4" w:rsidP="003734F4">
            <w:pPr>
              <w:jc w:val="right"/>
              <w:rPr>
                <w:bCs w:val="0"/>
                <w:sz w:val="12"/>
                <w:szCs w:val="12"/>
                <w:highlight w:val="yellow"/>
              </w:rPr>
            </w:pPr>
          </w:p>
        </w:tc>
        <w:tc>
          <w:tcPr>
            <w:tcW w:w="1047" w:type="dxa"/>
            <w:tcBorders>
              <w:top w:val="nil"/>
              <w:left w:val="nil"/>
              <w:bottom w:val="nil"/>
              <w:right w:val="nil"/>
            </w:tcBorders>
            <w:shd w:val="clear" w:color="auto" w:fill="auto"/>
            <w:vAlign w:val="bottom"/>
          </w:tcPr>
          <w:p w14:paraId="753E79BC" w14:textId="77777777" w:rsidR="003734F4" w:rsidRPr="00A96055" w:rsidRDefault="003734F4" w:rsidP="003734F4">
            <w:pPr>
              <w:ind w:right="57"/>
              <w:jc w:val="right"/>
              <w:rPr>
                <w:bCs w:val="0"/>
                <w:sz w:val="12"/>
                <w:szCs w:val="12"/>
                <w:highlight w:val="yellow"/>
              </w:rPr>
            </w:pPr>
          </w:p>
        </w:tc>
        <w:tc>
          <w:tcPr>
            <w:tcW w:w="100" w:type="dxa"/>
            <w:tcBorders>
              <w:top w:val="nil"/>
              <w:left w:val="nil"/>
              <w:bottom w:val="nil"/>
              <w:right w:val="nil"/>
            </w:tcBorders>
            <w:shd w:val="clear" w:color="auto" w:fill="auto"/>
            <w:vAlign w:val="bottom"/>
          </w:tcPr>
          <w:p w14:paraId="78D11103" w14:textId="77777777" w:rsidR="003734F4" w:rsidRPr="00A96055" w:rsidRDefault="003734F4" w:rsidP="003734F4">
            <w:pPr>
              <w:jc w:val="right"/>
              <w:rPr>
                <w:bCs w:val="0"/>
                <w:sz w:val="12"/>
                <w:szCs w:val="12"/>
                <w:highlight w:val="yellow"/>
              </w:rPr>
            </w:pPr>
          </w:p>
        </w:tc>
        <w:tc>
          <w:tcPr>
            <w:tcW w:w="1070" w:type="dxa"/>
            <w:tcBorders>
              <w:top w:val="nil"/>
              <w:left w:val="nil"/>
              <w:bottom w:val="nil"/>
              <w:right w:val="nil"/>
            </w:tcBorders>
            <w:shd w:val="clear" w:color="auto" w:fill="auto"/>
            <w:vAlign w:val="bottom"/>
          </w:tcPr>
          <w:p w14:paraId="49A34041" w14:textId="77777777" w:rsidR="003734F4" w:rsidRPr="00A96055" w:rsidRDefault="003734F4" w:rsidP="003734F4">
            <w:pPr>
              <w:ind w:left="-57" w:right="28"/>
              <w:jc w:val="right"/>
              <w:rPr>
                <w:bCs w:val="0"/>
                <w:sz w:val="12"/>
                <w:szCs w:val="12"/>
                <w:highlight w:val="yellow"/>
              </w:rPr>
            </w:pPr>
          </w:p>
        </w:tc>
        <w:tc>
          <w:tcPr>
            <w:tcW w:w="94" w:type="dxa"/>
            <w:tcBorders>
              <w:top w:val="nil"/>
              <w:left w:val="nil"/>
              <w:bottom w:val="nil"/>
              <w:right w:val="nil"/>
            </w:tcBorders>
            <w:shd w:val="clear" w:color="auto" w:fill="auto"/>
            <w:vAlign w:val="bottom"/>
          </w:tcPr>
          <w:p w14:paraId="16E4CD1D" w14:textId="77777777" w:rsidR="003734F4" w:rsidRPr="00A96055" w:rsidRDefault="003734F4" w:rsidP="003734F4">
            <w:pPr>
              <w:ind w:right="28"/>
              <w:jc w:val="right"/>
              <w:rPr>
                <w:bCs w:val="0"/>
                <w:sz w:val="12"/>
                <w:szCs w:val="12"/>
                <w:highlight w:val="yellow"/>
              </w:rPr>
            </w:pPr>
          </w:p>
        </w:tc>
        <w:tc>
          <w:tcPr>
            <w:tcW w:w="1101" w:type="dxa"/>
            <w:tcBorders>
              <w:left w:val="nil"/>
              <w:bottom w:val="nil"/>
              <w:right w:val="nil"/>
            </w:tcBorders>
            <w:vAlign w:val="bottom"/>
          </w:tcPr>
          <w:p w14:paraId="629DA0A8" w14:textId="77777777" w:rsidR="003734F4" w:rsidRPr="00A96055" w:rsidRDefault="003734F4" w:rsidP="003734F4">
            <w:pPr>
              <w:ind w:left="-57" w:right="28"/>
              <w:jc w:val="right"/>
              <w:rPr>
                <w:bCs w:val="0"/>
                <w:sz w:val="12"/>
                <w:szCs w:val="12"/>
                <w:highlight w:val="yellow"/>
              </w:rPr>
            </w:pPr>
          </w:p>
        </w:tc>
        <w:tc>
          <w:tcPr>
            <w:tcW w:w="94" w:type="dxa"/>
            <w:tcBorders>
              <w:top w:val="nil"/>
              <w:left w:val="nil"/>
              <w:bottom w:val="nil"/>
              <w:right w:val="nil"/>
            </w:tcBorders>
            <w:vAlign w:val="bottom"/>
          </w:tcPr>
          <w:p w14:paraId="5429460A" w14:textId="77777777" w:rsidR="003734F4" w:rsidRPr="00A96055" w:rsidRDefault="003734F4" w:rsidP="003734F4">
            <w:pPr>
              <w:ind w:left="-57" w:right="28"/>
              <w:jc w:val="right"/>
              <w:rPr>
                <w:bCs w:val="0"/>
                <w:sz w:val="12"/>
                <w:szCs w:val="12"/>
                <w:highlight w:val="yellow"/>
              </w:rPr>
            </w:pPr>
          </w:p>
        </w:tc>
        <w:tc>
          <w:tcPr>
            <w:tcW w:w="1133" w:type="dxa"/>
            <w:tcBorders>
              <w:top w:val="nil"/>
              <w:left w:val="nil"/>
              <w:bottom w:val="nil"/>
              <w:right w:val="nil"/>
            </w:tcBorders>
            <w:shd w:val="clear" w:color="auto" w:fill="auto"/>
            <w:vAlign w:val="bottom"/>
          </w:tcPr>
          <w:p w14:paraId="4E70D4E2" w14:textId="77777777" w:rsidR="003734F4" w:rsidRPr="00A96055" w:rsidRDefault="003734F4" w:rsidP="003734F4">
            <w:pPr>
              <w:ind w:left="-57" w:right="28"/>
              <w:jc w:val="right"/>
              <w:rPr>
                <w:bCs w:val="0"/>
                <w:sz w:val="12"/>
                <w:szCs w:val="12"/>
                <w:highlight w:val="yellow"/>
              </w:rPr>
            </w:pPr>
          </w:p>
        </w:tc>
        <w:tc>
          <w:tcPr>
            <w:tcW w:w="1511" w:type="dxa"/>
            <w:tcBorders>
              <w:top w:val="nil"/>
              <w:left w:val="nil"/>
              <w:bottom w:val="nil"/>
              <w:right w:val="nil"/>
            </w:tcBorders>
            <w:shd w:val="clear" w:color="auto" w:fill="auto"/>
            <w:vAlign w:val="bottom"/>
          </w:tcPr>
          <w:p w14:paraId="0707995B" w14:textId="77777777" w:rsidR="003734F4" w:rsidRDefault="003734F4" w:rsidP="003734F4">
            <w:pPr>
              <w:tabs>
                <w:tab w:val="left" w:pos="1360"/>
                <w:tab w:val="left" w:pos="1410"/>
              </w:tabs>
              <w:ind w:right="72"/>
              <w:jc w:val="right"/>
              <w:rPr>
                <w:b/>
                <w:i/>
                <w:iCs/>
                <w:sz w:val="14"/>
                <w:szCs w:val="14"/>
                <w:u w:val="single"/>
              </w:rPr>
            </w:pPr>
            <w:r w:rsidRPr="001775FB">
              <w:rPr>
                <w:b/>
                <w:i/>
                <w:iCs/>
                <w:sz w:val="14"/>
                <w:szCs w:val="14"/>
                <w:u w:val="single"/>
              </w:rPr>
              <w:t>Accumulated</w:t>
            </w:r>
          </w:p>
          <w:p w14:paraId="7B288A4E" w14:textId="66E8AB7C" w:rsidR="003734F4" w:rsidRPr="001775FB" w:rsidRDefault="003734F4" w:rsidP="003734F4">
            <w:pPr>
              <w:ind w:right="198"/>
              <w:jc w:val="right"/>
              <w:rPr>
                <w:b/>
                <w:i/>
                <w:iCs/>
                <w:sz w:val="14"/>
                <w:szCs w:val="14"/>
                <w:u w:val="single"/>
              </w:rPr>
            </w:pPr>
            <w:r w:rsidRPr="008C5534">
              <w:rPr>
                <w:b/>
                <w:i/>
                <w:color w:val="1D1B11"/>
                <w:sz w:val="14"/>
                <w:szCs w:val="14"/>
                <w:u w:val="single"/>
              </w:rPr>
              <w:t>Depreciation</w:t>
            </w:r>
          </w:p>
        </w:tc>
      </w:tr>
      <w:tr w:rsidR="003734F4" w:rsidRPr="001775FB" w14:paraId="31CCBA3C" w14:textId="77777777" w:rsidTr="003734F4">
        <w:trPr>
          <w:cantSplit/>
          <w:trHeight w:val="60"/>
        </w:trPr>
        <w:tc>
          <w:tcPr>
            <w:tcW w:w="1820" w:type="dxa"/>
            <w:tcBorders>
              <w:top w:val="nil"/>
              <w:left w:val="nil"/>
              <w:right w:val="nil"/>
            </w:tcBorders>
            <w:shd w:val="clear" w:color="auto" w:fill="auto"/>
            <w:vAlign w:val="bottom"/>
          </w:tcPr>
          <w:p w14:paraId="30BF6E9C" w14:textId="77777777" w:rsidR="003734F4" w:rsidRPr="001775FB" w:rsidRDefault="003734F4" w:rsidP="003734F4">
            <w:pPr>
              <w:ind w:left="567" w:right="17" w:hanging="142"/>
              <w:rPr>
                <w:bCs w:val="0"/>
                <w:sz w:val="14"/>
                <w:szCs w:val="14"/>
              </w:rPr>
            </w:pPr>
            <w:r w:rsidRPr="001775FB">
              <w:rPr>
                <w:bCs w:val="0"/>
                <w:sz w:val="14"/>
                <w:szCs w:val="14"/>
              </w:rPr>
              <w:t>Bangunan</w:t>
            </w:r>
          </w:p>
        </w:tc>
        <w:tc>
          <w:tcPr>
            <w:tcW w:w="1133" w:type="dxa"/>
            <w:tcBorders>
              <w:top w:val="nil"/>
              <w:left w:val="nil"/>
              <w:right w:val="nil"/>
            </w:tcBorders>
            <w:shd w:val="clear" w:color="auto" w:fill="auto"/>
            <w:vAlign w:val="bottom"/>
          </w:tcPr>
          <w:p w14:paraId="3B032426" w14:textId="60B8C885" w:rsidR="003734F4" w:rsidRPr="00EF4DEE" w:rsidRDefault="003734F4" w:rsidP="003734F4">
            <w:pPr>
              <w:ind w:left="-57" w:right="57"/>
              <w:jc w:val="right"/>
              <w:rPr>
                <w:bCs w:val="0"/>
                <w:sz w:val="12"/>
                <w:szCs w:val="12"/>
              </w:rPr>
            </w:pPr>
            <w:r w:rsidRPr="00EF4DEE">
              <w:rPr>
                <w:bCs w:val="0"/>
                <w:sz w:val="12"/>
                <w:szCs w:val="12"/>
              </w:rPr>
              <w:t>250.511.162.625</w:t>
            </w:r>
          </w:p>
        </w:tc>
        <w:tc>
          <w:tcPr>
            <w:tcW w:w="94" w:type="dxa"/>
            <w:tcBorders>
              <w:top w:val="nil"/>
              <w:left w:val="nil"/>
              <w:right w:val="nil"/>
            </w:tcBorders>
            <w:shd w:val="clear" w:color="auto" w:fill="auto"/>
            <w:vAlign w:val="bottom"/>
          </w:tcPr>
          <w:p w14:paraId="028E989B" w14:textId="77777777" w:rsidR="003734F4" w:rsidRPr="00EF4DEE" w:rsidRDefault="003734F4" w:rsidP="003734F4">
            <w:pPr>
              <w:ind w:right="18"/>
              <w:jc w:val="right"/>
              <w:rPr>
                <w:bCs w:val="0"/>
                <w:sz w:val="12"/>
                <w:szCs w:val="12"/>
              </w:rPr>
            </w:pPr>
          </w:p>
        </w:tc>
        <w:tc>
          <w:tcPr>
            <w:tcW w:w="1047" w:type="dxa"/>
            <w:tcBorders>
              <w:top w:val="nil"/>
              <w:left w:val="nil"/>
              <w:right w:val="nil"/>
            </w:tcBorders>
            <w:shd w:val="clear" w:color="auto" w:fill="auto"/>
            <w:vAlign w:val="bottom"/>
          </w:tcPr>
          <w:p w14:paraId="33811AC5" w14:textId="5F4D8418" w:rsidR="003734F4" w:rsidRPr="00EF4DEE" w:rsidRDefault="009D0B95" w:rsidP="003734F4">
            <w:pPr>
              <w:ind w:right="57"/>
              <w:jc w:val="right"/>
              <w:rPr>
                <w:bCs w:val="0"/>
                <w:sz w:val="12"/>
                <w:szCs w:val="12"/>
              </w:rPr>
            </w:pPr>
            <w:r w:rsidRPr="00EF4DEE">
              <w:rPr>
                <w:bCs w:val="0"/>
                <w:sz w:val="12"/>
                <w:szCs w:val="12"/>
              </w:rPr>
              <w:t>11</w:t>
            </w:r>
            <w:r w:rsidR="00EF4DEE" w:rsidRPr="00EF4DEE">
              <w:rPr>
                <w:bCs w:val="0"/>
                <w:sz w:val="12"/>
                <w:szCs w:val="12"/>
              </w:rPr>
              <w:t>.</w:t>
            </w:r>
            <w:r w:rsidRPr="00EF4DEE">
              <w:rPr>
                <w:bCs w:val="0"/>
                <w:sz w:val="12"/>
                <w:szCs w:val="12"/>
              </w:rPr>
              <w:t>780</w:t>
            </w:r>
            <w:r w:rsidR="00EF4DEE" w:rsidRPr="00EF4DEE">
              <w:rPr>
                <w:bCs w:val="0"/>
                <w:sz w:val="12"/>
                <w:szCs w:val="12"/>
              </w:rPr>
              <w:t>.</w:t>
            </w:r>
            <w:r w:rsidRPr="00EF4DEE">
              <w:rPr>
                <w:bCs w:val="0"/>
                <w:sz w:val="12"/>
                <w:szCs w:val="12"/>
              </w:rPr>
              <w:t>537</w:t>
            </w:r>
            <w:r w:rsidR="00EF4DEE" w:rsidRPr="00EF4DEE">
              <w:rPr>
                <w:bCs w:val="0"/>
                <w:sz w:val="12"/>
                <w:szCs w:val="12"/>
              </w:rPr>
              <w:t>.</w:t>
            </w:r>
            <w:r w:rsidRPr="00EF4DEE">
              <w:rPr>
                <w:bCs w:val="0"/>
                <w:sz w:val="12"/>
                <w:szCs w:val="12"/>
              </w:rPr>
              <w:t>177</w:t>
            </w:r>
          </w:p>
        </w:tc>
        <w:tc>
          <w:tcPr>
            <w:tcW w:w="100" w:type="dxa"/>
            <w:tcBorders>
              <w:top w:val="nil"/>
              <w:left w:val="nil"/>
              <w:right w:val="nil"/>
            </w:tcBorders>
            <w:shd w:val="clear" w:color="auto" w:fill="auto"/>
            <w:vAlign w:val="bottom"/>
          </w:tcPr>
          <w:p w14:paraId="7AECD4B4" w14:textId="77777777" w:rsidR="003734F4" w:rsidRPr="00EF4DEE" w:rsidRDefault="003734F4" w:rsidP="003734F4">
            <w:pPr>
              <w:ind w:right="18"/>
              <w:jc w:val="right"/>
              <w:rPr>
                <w:bCs w:val="0"/>
                <w:sz w:val="12"/>
                <w:szCs w:val="12"/>
              </w:rPr>
            </w:pPr>
          </w:p>
        </w:tc>
        <w:tc>
          <w:tcPr>
            <w:tcW w:w="1070" w:type="dxa"/>
            <w:tcBorders>
              <w:top w:val="nil"/>
              <w:left w:val="nil"/>
              <w:right w:val="nil"/>
            </w:tcBorders>
            <w:shd w:val="clear" w:color="auto" w:fill="auto"/>
            <w:vAlign w:val="bottom"/>
          </w:tcPr>
          <w:p w14:paraId="08B037DC" w14:textId="52A6C920" w:rsidR="003734F4" w:rsidRPr="00EF4DEE" w:rsidRDefault="007308AE" w:rsidP="003734F4">
            <w:pPr>
              <w:ind w:right="57"/>
              <w:jc w:val="right"/>
              <w:rPr>
                <w:bCs w:val="0"/>
                <w:sz w:val="12"/>
                <w:szCs w:val="12"/>
              </w:rPr>
            </w:pPr>
            <w:r>
              <w:rPr>
                <w:bCs w:val="0"/>
                <w:sz w:val="12"/>
                <w:szCs w:val="12"/>
              </w:rPr>
              <w:t>-</w:t>
            </w:r>
          </w:p>
        </w:tc>
        <w:tc>
          <w:tcPr>
            <w:tcW w:w="94" w:type="dxa"/>
            <w:tcBorders>
              <w:top w:val="nil"/>
              <w:left w:val="nil"/>
              <w:right w:val="nil"/>
            </w:tcBorders>
            <w:shd w:val="clear" w:color="auto" w:fill="auto"/>
            <w:vAlign w:val="bottom"/>
          </w:tcPr>
          <w:p w14:paraId="6B5BB8FA" w14:textId="77777777" w:rsidR="003734F4" w:rsidRPr="00EF4DEE" w:rsidRDefault="003734F4" w:rsidP="003734F4">
            <w:pPr>
              <w:ind w:right="57"/>
              <w:jc w:val="right"/>
              <w:rPr>
                <w:bCs w:val="0"/>
                <w:sz w:val="12"/>
                <w:szCs w:val="12"/>
              </w:rPr>
            </w:pPr>
          </w:p>
        </w:tc>
        <w:tc>
          <w:tcPr>
            <w:tcW w:w="1101" w:type="dxa"/>
            <w:tcBorders>
              <w:top w:val="nil"/>
              <w:left w:val="nil"/>
              <w:right w:val="nil"/>
            </w:tcBorders>
            <w:vAlign w:val="bottom"/>
          </w:tcPr>
          <w:p w14:paraId="38D448A8" w14:textId="0F1914FD" w:rsidR="003734F4" w:rsidRPr="00EF4DEE" w:rsidRDefault="007308AE" w:rsidP="003734F4">
            <w:pPr>
              <w:ind w:left="-57" w:right="57"/>
              <w:jc w:val="right"/>
              <w:rPr>
                <w:bCs w:val="0"/>
                <w:sz w:val="12"/>
                <w:szCs w:val="12"/>
              </w:rPr>
            </w:pPr>
            <w:r>
              <w:rPr>
                <w:bCs w:val="0"/>
                <w:sz w:val="12"/>
                <w:szCs w:val="12"/>
              </w:rPr>
              <w:t>-</w:t>
            </w:r>
          </w:p>
        </w:tc>
        <w:tc>
          <w:tcPr>
            <w:tcW w:w="94" w:type="dxa"/>
            <w:tcBorders>
              <w:top w:val="nil"/>
              <w:left w:val="nil"/>
              <w:right w:val="nil"/>
            </w:tcBorders>
            <w:vAlign w:val="bottom"/>
          </w:tcPr>
          <w:p w14:paraId="42F415D8" w14:textId="77777777" w:rsidR="003734F4" w:rsidRPr="00EF4DEE" w:rsidRDefault="003734F4" w:rsidP="003734F4">
            <w:pPr>
              <w:ind w:left="-57" w:right="57"/>
              <w:jc w:val="right"/>
              <w:rPr>
                <w:bCs w:val="0"/>
                <w:sz w:val="12"/>
                <w:szCs w:val="12"/>
              </w:rPr>
            </w:pPr>
          </w:p>
        </w:tc>
        <w:tc>
          <w:tcPr>
            <w:tcW w:w="1133" w:type="dxa"/>
            <w:tcBorders>
              <w:top w:val="nil"/>
              <w:left w:val="nil"/>
              <w:right w:val="nil"/>
            </w:tcBorders>
            <w:shd w:val="clear" w:color="auto" w:fill="auto"/>
            <w:vAlign w:val="bottom"/>
          </w:tcPr>
          <w:p w14:paraId="28F6DDE1" w14:textId="293965DF" w:rsidR="003734F4" w:rsidRPr="00EF4DEE" w:rsidRDefault="00D41B18" w:rsidP="003734F4">
            <w:pPr>
              <w:ind w:left="-57" w:right="57"/>
              <w:jc w:val="right"/>
              <w:rPr>
                <w:bCs w:val="0"/>
                <w:sz w:val="12"/>
                <w:szCs w:val="12"/>
              </w:rPr>
            </w:pPr>
            <w:r w:rsidRPr="00EF4DEE">
              <w:rPr>
                <w:bCs w:val="0"/>
                <w:sz w:val="12"/>
                <w:szCs w:val="12"/>
              </w:rPr>
              <w:t>262</w:t>
            </w:r>
            <w:r w:rsidR="00EF4DEE" w:rsidRPr="00EF4DEE">
              <w:rPr>
                <w:bCs w:val="0"/>
                <w:sz w:val="12"/>
                <w:szCs w:val="12"/>
              </w:rPr>
              <w:t>.</w:t>
            </w:r>
            <w:r w:rsidRPr="00EF4DEE">
              <w:rPr>
                <w:bCs w:val="0"/>
                <w:sz w:val="12"/>
                <w:szCs w:val="12"/>
              </w:rPr>
              <w:t>291</w:t>
            </w:r>
            <w:r w:rsidR="00EF4DEE" w:rsidRPr="00EF4DEE">
              <w:rPr>
                <w:bCs w:val="0"/>
                <w:sz w:val="12"/>
                <w:szCs w:val="12"/>
              </w:rPr>
              <w:t>.</w:t>
            </w:r>
            <w:r w:rsidRPr="00EF4DEE">
              <w:rPr>
                <w:bCs w:val="0"/>
                <w:sz w:val="12"/>
                <w:szCs w:val="12"/>
              </w:rPr>
              <w:t>699</w:t>
            </w:r>
            <w:r w:rsidR="00EF4DEE" w:rsidRPr="00EF4DEE">
              <w:rPr>
                <w:bCs w:val="0"/>
                <w:sz w:val="12"/>
                <w:szCs w:val="12"/>
              </w:rPr>
              <w:t>.</w:t>
            </w:r>
            <w:r w:rsidRPr="00EF4DEE">
              <w:rPr>
                <w:bCs w:val="0"/>
                <w:sz w:val="12"/>
                <w:szCs w:val="12"/>
              </w:rPr>
              <w:t>802</w:t>
            </w:r>
          </w:p>
        </w:tc>
        <w:tc>
          <w:tcPr>
            <w:tcW w:w="1511" w:type="dxa"/>
            <w:tcBorders>
              <w:top w:val="nil"/>
              <w:left w:val="nil"/>
              <w:bottom w:val="nil"/>
              <w:right w:val="nil"/>
            </w:tcBorders>
            <w:shd w:val="clear" w:color="auto" w:fill="auto"/>
            <w:vAlign w:val="bottom"/>
          </w:tcPr>
          <w:p w14:paraId="21AAD57C" w14:textId="77777777" w:rsidR="003734F4" w:rsidRPr="001775FB" w:rsidRDefault="003734F4" w:rsidP="003734F4">
            <w:pPr>
              <w:tabs>
                <w:tab w:val="left" w:pos="1360"/>
                <w:tab w:val="left" w:pos="1410"/>
              </w:tabs>
              <w:ind w:right="72"/>
              <w:jc w:val="right"/>
              <w:rPr>
                <w:i/>
                <w:iCs/>
                <w:sz w:val="14"/>
                <w:szCs w:val="14"/>
              </w:rPr>
            </w:pPr>
            <w:r w:rsidRPr="001775FB">
              <w:rPr>
                <w:i/>
                <w:iCs/>
                <w:sz w:val="14"/>
                <w:szCs w:val="14"/>
              </w:rPr>
              <w:t>Buildings</w:t>
            </w:r>
          </w:p>
        </w:tc>
      </w:tr>
      <w:tr w:rsidR="003734F4" w:rsidRPr="001775FB" w14:paraId="304569A6" w14:textId="77777777" w:rsidTr="003734F4">
        <w:trPr>
          <w:cantSplit/>
        </w:trPr>
        <w:tc>
          <w:tcPr>
            <w:tcW w:w="1820" w:type="dxa"/>
            <w:tcBorders>
              <w:top w:val="nil"/>
              <w:left w:val="nil"/>
              <w:right w:val="nil"/>
            </w:tcBorders>
            <w:shd w:val="clear" w:color="auto" w:fill="auto"/>
            <w:vAlign w:val="bottom"/>
          </w:tcPr>
          <w:p w14:paraId="16114E84" w14:textId="205210C5" w:rsidR="003734F4" w:rsidRPr="001775FB" w:rsidRDefault="003734F4" w:rsidP="003734F4">
            <w:pPr>
              <w:ind w:left="567" w:right="17" w:hanging="142"/>
              <w:rPr>
                <w:bCs w:val="0"/>
                <w:sz w:val="14"/>
                <w:szCs w:val="14"/>
              </w:rPr>
            </w:pPr>
            <w:r w:rsidRPr="001775FB">
              <w:rPr>
                <w:bCs w:val="0"/>
                <w:sz w:val="14"/>
                <w:szCs w:val="14"/>
              </w:rPr>
              <w:t>Peralatan kesehatan</w:t>
            </w:r>
          </w:p>
        </w:tc>
        <w:tc>
          <w:tcPr>
            <w:tcW w:w="1133" w:type="dxa"/>
            <w:tcBorders>
              <w:top w:val="nil"/>
              <w:left w:val="nil"/>
              <w:right w:val="nil"/>
            </w:tcBorders>
            <w:shd w:val="clear" w:color="auto" w:fill="auto"/>
            <w:vAlign w:val="bottom"/>
          </w:tcPr>
          <w:p w14:paraId="30FDD2B4" w14:textId="6AD84423" w:rsidR="003734F4" w:rsidRPr="00EF4DEE" w:rsidRDefault="003734F4" w:rsidP="003734F4">
            <w:pPr>
              <w:ind w:left="-57" w:right="57"/>
              <w:jc w:val="right"/>
              <w:rPr>
                <w:bCs w:val="0"/>
                <w:sz w:val="12"/>
                <w:szCs w:val="12"/>
              </w:rPr>
            </w:pPr>
            <w:r w:rsidRPr="00EF4DEE">
              <w:rPr>
                <w:bCs w:val="0"/>
                <w:sz w:val="12"/>
                <w:szCs w:val="12"/>
              </w:rPr>
              <w:t>245.189.502.828</w:t>
            </w:r>
          </w:p>
        </w:tc>
        <w:tc>
          <w:tcPr>
            <w:tcW w:w="94" w:type="dxa"/>
            <w:tcBorders>
              <w:top w:val="nil"/>
              <w:left w:val="nil"/>
              <w:right w:val="nil"/>
            </w:tcBorders>
            <w:shd w:val="clear" w:color="auto" w:fill="auto"/>
            <w:vAlign w:val="bottom"/>
          </w:tcPr>
          <w:p w14:paraId="14891870" w14:textId="77777777" w:rsidR="003734F4" w:rsidRPr="00EF4DEE" w:rsidRDefault="003734F4" w:rsidP="003734F4">
            <w:pPr>
              <w:ind w:right="18"/>
              <w:jc w:val="right"/>
              <w:rPr>
                <w:bCs w:val="0"/>
                <w:sz w:val="12"/>
                <w:szCs w:val="12"/>
              </w:rPr>
            </w:pPr>
          </w:p>
        </w:tc>
        <w:tc>
          <w:tcPr>
            <w:tcW w:w="1047" w:type="dxa"/>
            <w:tcBorders>
              <w:top w:val="nil"/>
              <w:left w:val="nil"/>
              <w:right w:val="nil"/>
            </w:tcBorders>
            <w:shd w:val="clear" w:color="auto" w:fill="auto"/>
            <w:vAlign w:val="bottom"/>
          </w:tcPr>
          <w:p w14:paraId="6A7B3A61" w14:textId="1122BEF5" w:rsidR="003734F4" w:rsidRPr="00EF4DEE" w:rsidRDefault="009D0B95" w:rsidP="003734F4">
            <w:pPr>
              <w:ind w:right="57"/>
              <w:jc w:val="right"/>
              <w:rPr>
                <w:bCs w:val="0"/>
                <w:sz w:val="12"/>
                <w:szCs w:val="12"/>
              </w:rPr>
            </w:pPr>
            <w:r w:rsidRPr="00EF4DEE">
              <w:rPr>
                <w:bCs w:val="0"/>
                <w:sz w:val="12"/>
                <w:szCs w:val="12"/>
              </w:rPr>
              <w:t>9</w:t>
            </w:r>
            <w:r w:rsidR="00EF4DEE" w:rsidRPr="00EF4DEE">
              <w:rPr>
                <w:bCs w:val="0"/>
                <w:sz w:val="12"/>
                <w:szCs w:val="12"/>
              </w:rPr>
              <w:t>.</w:t>
            </w:r>
            <w:r w:rsidRPr="00EF4DEE">
              <w:rPr>
                <w:bCs w:val="0"/>
                <w:sz w:val="12"/>
                <w:szCs w:val="12"/>
              </w:rPr>
              <w:t>021</w:t>
            </w:r>
            <w:r w:rsidR="00EF4DEE" w:rsidRPr="00EF4DEE">
              <w:rPr>
                <w:bCs w:val="0"/>
                <w:sz w:val="12"/>
                <w:szCs w:val="12"/>
              </w:rPr>
              <w:t>.</w:t>
            </w:r>
            <w:r w:rsidRPr="00EF4DEE">
              <w:rPr>
                <w:bCs w:val="0"/>
                <w:sz w:val="12"/>
                <w:szCs w:val="12"/>
              </w:rPr>
              <w:t>391</w:t>
            </w:r>
            <w:r w:rsidR="00EF4DEE" w:rsidRPr="00EF4DEE">
              <w:rPr>
                <w:bCs w:val="0"/>
                <w:sz w:val="12"/>
                <w:szCs w:val="12"/>
              </w:rPr>
              <w:t>.</w:t>
            </w:r>
            <w:r w:rsidRPr="00EF4DEE">
              <w:rPr>
                <w:bCs w:val="0"/>
                <w:sz w:val="12"/>
                <w:szCs w:val="12"/>
              </w:rPr>
              <w:t>355</w:t>
            </w:r>
          </w:p>
        </w:tc>
        <w:tc>
          <w:tcPr>
            <w:tcW w:w="100" w:type="dxa"/>
            <w:tcBorders>
              <w:top w:val="nil"/>
              <w:left w:val="nil"/>
              <w:right w:val="nil"/>
            </w:tcBorders>
            <w:shd w:val="clear" w:color="auto" w:fill="auto"/>
            <w:vAlign w:val="bottom"/>
          </w:tcPr>
          <w:p w14:paraId="147B9633" w14:textId="77777777" w:rsidR="003734F4" w:rsidRPr="00EF4DEE" w:rsidRDefault="003734F4" w:rsidP="003734F4">
            <w:pPr>
              <w:ind w:right="18"/>
              <w:jc w:val="right"/>
              <w:rPr>
                <w:bCs w:val="0"/>
                <w:sz w:val="12"/>
                <w:szCs w:val="12"/>
              </w:rPr>
            </w:pPr>
          </w:p>
        </w:tc>
        <w:tc>
          <w:tcPr>
            <w:tcW w:w="1070" w:type="dxa"/>
            <w:tcBorders>
              <w:top w:val="nil"/>
              <w:left w:val="nil"/>
              <w:right w:val="nil"/>
            </w:tcBorders>
            <w:shd w:val="clear" w:color="auto" w:fill="auto"/>
            <w:vAlign w:val="bottom"/>
          </w:tcPr>
          <w:p w14:paraId="514C9E9D" w14:textId="637EB600" w:rsidR="003734F4" w:rsidRPr="007308AE" w:rsidRDefault="007308AE" w:rsidP="003734F4">
            <w:pPr>
              <w:ind w:right="57"/>
              <w:jc w:val="right"/>
              <w:rPr>
                <w:bCs w:val="0"/>
                <w:sz w:val="12"/>
                <w:szCs w:val="12"/>
              </w:rPr>
            </w:pPr>
            <w:r>
              <w:rPr>
                <w:bCs w:val="0"/>
                <w:sz w:val="12"/>
                <w:szCs w:val="12"/>
              </w:rPr>
              <w:t>-</w:t>
            </w:r>
          </w:p>
        </w:tc>
        <w:tc>
          <w:tcPr>
            <w:tcW w:w="94" w:type="dxa"/>
            <w:tcBorders>
              <w:top w:val="nil"/>
              <w:left w:val="nil"/>
              <w:right w:val="nil"/>
            </w:tcBorders>
            <w:shd w:val="clear" w:color="auto" w:fill="auto"/>
            <w:vAlign w:val="bottom"/>
          </w:tcPr>
          <w:p w14:paraId="036DC920" w14:textId="77777777" w:rsidR="003734F4" w:rsidRPr="00EF4DEE" w:rsidRDefault="003734F4" w:rsidP="003734F4">
            <w:pPr>
              <w:ind w:right="57"/>
              <w:jc w:val="right"/>
              <w:rPr>
                <w:bCs w:val="0"/>
                <w:sz w:val="12"/>
                <w:szCs w:val="12"/>
              </w:rPr>
            </w:pPr>
          </w:p>
        </w:tc>
        <w:tc>
          <w:tcPr>
            <w:tcW w:w="1101" w:type="dxa"/>
            <w:tcBorders>
              <w:top w:val="nil"/>
              <w:left w:val="nil"/>
              <w:right w:val="nil"/>
            </w:tcBorders>
            <w:vAlign w:val="bottom"/>
          </w:tcPr>
          <w:p w14:paraId="25C98D2B" w14:textId="5046F278" w:rsidR="003734F4" w:rsidRPr="00EF4DEE" w:rsidRDefault="007308AE" w:rsidP="003734F4">
            <w:pPr>
              <w:ind w:left="-57" w:right="57"/>
              <w:jc w:val="right"/>
              <w:rPr>
                <w:bCs w:val="0"/>
                <w:sz w:val="12"/>
                <w:szCs w:val="12"/>
              </w:rPr>
            </w:pPr>
            <w:r>
              <w:rPr>
                <w:bCs w:val="0"/>
                <w:sz w:val="12"/>
                <w:szCs w:val="12"/>
              </w:rPr>
              <w:t>-</w:t>
            </w:r>
          </w:p>
        </w:tc>
        <w:tc>
          <w:tcPr>
            <w:tcW w:w="94" w:type="dxa"/>
            <w:tcBorders>
              <w:top w:val="nil"/>
              <w:left w:val="nil"/>
              <w:right w:val="nil"/>
            </w:tcBorders>
            <w:vAlign w:val="bottom"/>
          </w:tcPr>
          <w:p w14:paraId="40397B78" w14:textId="77777777" w:rsidR="003734F4" w:rsidRPr="00EF4DEE" w:rsidRDefault="003734F4" w:rsidP="003734F4">
            <w:pPr>
              <w:ind w:left="-57" w:right="57"/>
              <w:jc w:val="right"/>
              <w:rPr>
                <w:bCs w:val="0"/>
                <w:sz w:val="12"/>
                <w:szCs w:val="12"/>
              </w:rPr>
            </w:pPr>
          </w:p>
        </w:tc>
        <w:tc>
          <w:tcPr>
            <w:tcW w:w="1133" w:type="dxa"/>
            <w:tcBorders>
              <w:top w:val="nil"/>
              <w:left w:val="nil"/>
              <w:right w:val="nil"/>
            </w:tcBorders>
            <w:shd w:val="clear" w:color="auto" w:fill="auto"/>
            <w:vAlign w:val="bottom"/>
          </w:tcPr>
          <w:p w14:paraId="7842840E" w14:textId="00E5D2FA" w:rsidR="003734F4" w:rsidRPr="00EF4DEE" w:rsidRDefault="00D41B18" w:rsidP="003734F4">
            <w:pPr>
              <w:ind w:left="-57" w:right="57"/>
              <w:jc w:val="right"/>
              <w:rPr>
                <w:bCs w:val="0"/>
                <w:sz w:val="12"/>
                <w:szCs w:val="12"/>
              </w:rPr>
            </w:pPr>
            <w:r w:rsidRPr="00EF4DEE">
              <w:rPr>
                <w:bCs w:val="0"/>
                <w:sz w:val="12"/>
                <w:szCs w:val="12"/>
              </w:rPr>
              <w:t>254</w:t>
            </w:r>
            <w:r w:rsidR="00EF4DEE" w:rsidRPr="00EF4DEE">
              <w:rPr>
                <w:bCs w:val="0"/>
                <w:sz w:val="12"/>
                <w:szCs w:val="12"/>
              </w:rPr>
              <w:t>.</w:t>
            </w:r>
            <w:r w:rsidRPr="00EF4DEE">
              <w:rPr>
                <w:bCs w:val="0"/>
                <w:sz w:val="12"/>
                <w:szCs w:val="12"/>
              </w:rPr>
              <w:t>210</w:t>
            </w:r>
            <w:r w:rsidR="00EF4DEE" w:rsidRPr="00EF4DEE">
              <w:rPr>
                <w:bCs w:val="0"/>
                <w:sz w:val="12"/>
                <w:szCs w:val="12"/>
              </w:rPr>
              <w:t>.</w:t>
            </w:r>
            <w:r w:rsidRPr="00EF4DEE">
              <w:rPr>
                <w:bCs w:val="0"/>
                <w:sz w:val="12"/>
                <w:szCs w:val="12"/>
              </w:rPr>
              <w:t>894</w:t>
            </w:r>
            <w:r w:rsidR="00EF4DEE" w:rsidRPr="00EF4DEE">
              <w:rPr>
                <w:bCs w:val="0"/>
                <w:sz w:val="12"/>
                <w:szCs w:val="12"/>
              </w:rPr>
              <w:t>.</w:t>
            </w:r>
            <w:r w:rsidRPr="00EF4DEE">
              <w:rPr>
                <w:bCs w:val="0"/>
                <w:sz w:val="12"/>
                <w:szCs w:val="12"/>
              </w:rPr>
              <w:t>183</w:t>
            </w:r>
          </w:p>
        </w:tc>
        <w:tc>
          <w:tcPr>
            <w:tcW w:w="1511" w:type="dxa"/>
            <w:tcBorders>
              <w:top w:val="nil"/>
              <w:left w:val="nil"/>
              <w:bottom w:val="nil"/>
              <w:right w:val="nil"/>
            </w:tcBorders>
            <w:shd w:val="clear" w:color="auto" w:fill="auto"/>
            <w:vAlign w:val="bottom"/>
          </w:tcPr>
          <w:p w14:paraId="2AD108A5" w14:textId="77777777" w:rsidR="003734F4" w:rsidRPr="001775FB" w:rsidRDefault="003734F4" w:rsidP="003734F4">
            <w:pPr>
              <w:tabs>
                <w:tab w:val="left" w:pos="1360"/>
                <w:tab w:val="left" w:pos="1410"/>
              </w:tabs>
              <w:ind w:right="72"/>
              <w:jc w:val="right"/>
              <w:rPr>
                <w:i/>
                <w:iCs/>
                <w:sz w:val="14"/>
                <w:szCs w:val="14"/>
              </w:rPr>
            </w:pPr>
            <w:r w:rsidRPr="001775FB">
              <w:rPr>
                <w:i/>
                <w:iCs/>
                <w:sz w:val="14"/>
                <w:szCs w:val="14"/>
              </w:rPr>
              <w:t>Medical equipment</w:t>
            </w:r>
          </w:p>
        </w:tc>
      </w:tr>
      <w:tr w:rsidR="003734F4" w:rsidRPr="001775FB" w14:paraId="33296C6A" w14:textId="77777777" w:rsidTr="003734F4">
        <w:trPr>
          <w:cantSplit/>
        </w:trPr>
        <w:tc>
          <w:tcPr>
            <w:tcW w:w="1820" w:type="dxa"/>
            <w:tcBorders>
              <w:top w:val="nil"/>
              <w:left w:val="nil"/>
              <w:right w:val="nil"/>
            </w:tcBorders>
            <w:shd w:val="clear" w:color="auto" w:fill="auto"/>
            <w:vAlign w:val="bottom"/>
          </w:tcPr>
          <w:p w14:paraId="71F2D89F" w14:textId="77777777" w:rsidR="003734F4" w:rsidRPr="001775FB" w:rsidRDefault="003734F4" w:rsidP="003734F4">
            <w:pPr>
              <w:ind w:left="567" w:right="17" w:hanging="142"/>
              <w:rPr>
                <w:bCs w:val="0"/>
                <w:sz w:val="14"/>
                <w:szCs w:val="14"/>
              </w:rPr>
            </w:pPr>
            <w:r w:rsidRPr="001775FB">
              <w:rPr>
                <w:bCs w:val="0"/>
                <w:sz w:val="14"/>
                <w:szCs w:val="14"/>
              </w:rPr>
              <w:t>Mesin</w:t>
            </w:r>
          </w:p>
        </w:tc>
        <w:tc>
          <w:tcPr>
            <w:tcW w:w="1133" w:type="dxa"/>
            <w:tcBorders>
              <w:top w:val="nil"/>
              <w:left w:val="nil"/>
              <w:right w:val="nil"/>
            </w:tcBorders>
            <w:shd w:val="clear" w:color="auto" w:fill="auto"/>
            <w:vAlign w:val="bottom"/>
          </w:tcPr>
          <w:p w14:paraId="0C6D4B5E" w14:textId="6E2BA887" w:rsidR="003734F4" w:rsidRPr="00EF4DEE" w:rsidRDefault="003734F4" w:rsidP="003734F4">
            <w:pPr>
              <w:ind w:left="-57" w:right="57"/>
              <w:jc w:val="right"/>
              <w:rPr>
                <w:bCs w:val="0"/>
                <w:sz w:val="12"/>
                <w:szCs w:val="12"/>
              </w:rPr>
            </w:pPr>
            <w:r w:rsidRPr="00EF4DEE">
              <w:rPr>
                <w:bCs w:val="0"/>
                <w:sz w:val="12"/>
                <w:szCs w:val="12"/>
              </w:rPr>
              <w:t>73.953.597.940</w:t>
            </w:r>
          </w:p>
        </w:tc>
        <w:tc>
          <w:tcPr>
            <w:tcW w:w="94" w:type="dxa"/>
            <w:tcBorders>
              <w:top w:val="nil"/>
              <w:left w:val="nil"/>
              <w:right w:val="nil"/>
            </w:tcBorders>
            <w:shd w:val="clear" w:color="auto" w:fill="auto"/>
            <w:vAlign w:val="bottom"/>
          </w:tcPr>
          <w:p w14:paraId="57F11583" w14:textId="77777777" w:rsidR="003734F4" w:rsidRPr="00EF4DEE" w:rsidRDefault="003734F4" w:rsidP="003734F4">
            <w:pPr>
              <w:ind w:right="18"/>
              <w:jc w:val="right"/>
              <w:rPr>
                <w:bCs w:val="0"/>
                <w:sz w:val="12"/>
                <w:szCs w:val="12"/>
              </w:rPr>
            </w:pPr>
          </w:p>
        </w:tc>
        <w:tc>
          <w:tcPr>
            <w:tcW w:w="1047" w:type="dxa"/>
            <w:tcBorders>
              <w:top w:val="nil"/>
              <w:left w:val="nil"/>
              <w:right w:val="nil"/>
            </w:tcBorders>
            <w:shd w:val="clear" w:color="auto" w:fill="auto"/>
            <w:vAlign w:val="bottom"/>
          </w:tcPr>
          <w:p w14:paraId="56D31D8D" w14:textId="54FB4846" w:rsidR="003734F4" w:rsidRPr="00EF4DEE" w:rsidRDefault="007308AE" w:rsidP="003734F4">
            <w:pPr>
              <w:ind w:right="57"/>
              <w:jc w:val="right"/>
              <w:rPr>
                <w:bCs w:val="0"/>
                <w:sz w:val="12"/>
                <w:szCs w:val="12"/>
              </w:rPr>
            </w:pPr>
            <w:r>
              <w:rPr>
                <w:bCs w:val="0"/>
                <w:sz w:val="12"/>
                <w:szCs w:val="12"/>
              </w:rPr>
              <w:t>-</w:t>
            </w:r>
          </w:p>
        </w:tc>
        <w:tc>
          <w:tcPr>
            <w:tcW w:w="100" w:type="dxa"/>
            <w:tcBorders>
              <w:top w:val="nil"/>
              <w:left w:val="nil"/>
              <w:right w:val="nil"/>
            </w:tcBorders>
            <w:shd w:val="clear" w:color="auto" w:fill="auto"/>
            <w:vAlign w:val="bottom"/>
          </w:tcPr>
          <w:p w14:paraId="7C2197B1" w14:textId="77777777" w:rsidR="003734F4" w:rsidRPr="00EF4DEE" w:rsidRDefault="003734F4" w:rsidP="003734F4">
            <w:pPr>
              <w:ind w:right="18"/>
              <w:jc w:val="right"/>
              <w:rPr>
                <w:bCs w:val="0"/>
                <w:sz w:val="12"/>
                <w:szCs w:val="12"/>
              </w:rPr>
            </w:pPr>
          </w:p>
        </w:tc>
        <w:tc>
          <w:tcPr>
            <w:tcW w:w="1070" w:type="dxa"/>
            <w:tcBorders>
              <w:top w:val="nil"/>
              <w:left w:val="nil"/>
              <w:right w:val="nil"/>
            </w:tcBorders>
            <w:shd w:val="clear" w:color="auto" w:fill="auto"/>
            <w:vAlign w:val="bottom"/>
          </w:tcPr>
          <w:p w14:paraId="6B4B6509" w14:textId="6DACE9D3" w:rsidR="003734F4" w:rsidRPr="00EF4DEE" w:rsidRDefault="007308AE" w:rsidP="003734F4">
            <w:pPr>
              <w:ind w:right="57"/>
              <w:jc w:val="right"/>
              <w:rPr>
                <w:bCs w:val="0"/>
                <w:sz w:val="12"/>
                <w:szCs w:val="12"/>
              </w:rPr>
            </w:pPr>
            <w:r>
              <w:rPr>
                <w:bCs w:val="0"/>
                <w:sz w:val="12"/>
                <w:szCs w:val="12"/>
              </w:rPr>
              <w:t>-</w:t>
            </w:r>
          </w:p>
        </w:tc>
        <w:tc>
          <w:tcPr>
            <w:tcW w:w="94" w:type="dxa"/>
            <w:tcBorders>
              <w:top w:val="nil"/>
              <w:left w:val="nil"/>
              <w:right w:val="nil"/>
            </w:tcBorders>
            <w:shd w:val="clear" w:color="auto" w:fill="auto"/>
            <w:vAlign w:val="bottom"/>
          </w:tcPr>
          <w:p w14:paraId="466FFA70" w14:textId="77777777" w:rsidR="003734F4" w:rsidRPr="00EF4DEE" w:rsidRDefault="003734F4" w:rsidP="003734F4">
            <w:pPr>
              <w:ind w:right="57"/>
              <w:jc w:val="right"/>
              <w:rPr>
                <w:bCs w:val="0"/>
                <w:sz w:val="12"/>
                <w:szCs w:val="12"/>
              </w:rPr>
            </w:pPr>
          </w:p>
        </w:tc>
        <w:tc>
          <w:tcPr>
            <w:tcW w:w="1101" w:type="dxa"/>
            <w:tcBorders>
              <w:top w:val="nil"/>
              <w:left w:val="nil"/>
              <w:right w:val="nil"/>
            </w:tcBorders>
            <w:vAlign w:val="bottom"/>
          </w:tcPr>
          <w:p w14:paraId="50E77161" w14:textId="4CD0C726" w:rsidR="003734F4" w:rsidRPr="00EF4DEE" w:rsidRDefault="007308AE" w:rsidP="003734F4">
            <w:pPr>
              <w:ind w:left="-57" w:right="57"/>
              <w:jc w:val="right"/>
              <w:rPr>
                <w:bCs w:val="0"/>
                <w:sz w:val="12"/>
                <w:szCs w:val="12"/>
              </w:rPr>
            </w:pPr>
            <w:r>
              <w:rPr>
                <w:bCs w:val="0"/>
                <w:sz w:val="12"/>
                <w:szCs w:val="12"/>
              </w:rPr>
              <w:t>-</w:t>
            </w:r>
          </w:p>
        </w:tc>
        <w:tc>
          <w:tcPr>
            <w:tcW w:w="94" w:type="dxa"/>
            <w:tcBorders>
              <w:top w:val="nil"/>
              <w:left w:val="nil"/>
              <w:right w:val="nil"/>
            </w:tcBorders>
            <w:vAlign w:val="bottom"/>
          </w:tcPr>
          <w:p w14:paraId="59F57625" w14:textId="77777777" w:rsidR="003734F4" w:rsidRPr="00EF4DEE" w:rsidRDefault="003734F4" w:rsidP="003734F4">
            <w:pPr>
              <w:ind w:left="-57" w:right="57"/>
              <w:jc w:val="right"/>
              <w:rPr>
                <w:bCs w:val="0"/>
                <w:sz w:val="12"/>
                <w:szCs w:val="12"/>
              </w:rPr>
            </w:pPr>
          </w:p>
        </w:tc>
        <w:tc>
          <w:tcPr>
            <w:tcW w:w="1133" w:type="dxa"/>
            <w:tcBorders>
              <w:top w:val="nil"/>
              <w:left w:val="nil"/>
              <w:right w:val="nil"/>
            </w:tcBorders>
            <w:shd w:val="clear" w:color="auto" w:fill="auto"/>
            <w:vAlign w:val="bottom"/>
          </w:tcPr>
          <w:p w14:paraId="38C25676" w14:textId="3682DA3E" w:rsidR="003734F4" w:rsidRPr="00EF4DEE" w:rsidRDefault="007308AE" w:rsidP="003734F4">
            <w:pPr>
              <w:ind w:left="-57" w:right="57"/>
              <w:jc w:val="right"/>
              <w:rPr>
                <w:bCs w:val="0"/>
                <w:sz w:val="12"/>
                <w:szCs w:val="12"/>
              </w:rPr>
            </w:pPr>
            <w:r>
              <w:rPr>
                <w:bCs w:val="0"/>
                <w:sz w:val="12"/>
                <w:szCs w:val="12"/>
              </w:rPr>
              <w:t>73.953.597.940</w:t>
            </w:r>
          </w:p>
        </w:tc>
        <w:tc>
          <w:tcPr>
            <w:tcW w:w="1511" w:type="dxa"/>
            <w:tcBorders>
              <w:top w:val="nil"/>
              <w:left w:val="nil"/>
              <w:bottom w:val="nil"/>
              <w:right w:val="nil"/>
            </w:tcBorders>
            <w:shd w:val="clear" w:color="auto" w:fill="auto"/>
            <w:vAlign w:val="bottom"/>
          </w:tcPr>
          <w:p w14:paraId="127BD1B9" w14:textId="77777777" w:rsidR="003734F4" w:rsidRPr="001775FB" w:rsidRDefault="003734F4" w:rsidP="003734F4">
            <w:pPr>
              <w:tabs>
                <w:tab w:val="left" w:pos="1360"/>
                <w:tab w:val="left" w:pos="1410"/>
              </w:tabs>
              <w:ind w:right="72"/>
              <w:jc w:val="right"/>
              <w:rPr>
                <w:i/>
                <w:iCs/>
                <w:sz w:val="14"/>
                <w:szCs w:val="14"/>
              </w:rPr>
            </w:pPr>
            <w:r w:rsidRPr="001775FB">
              <w:rPr>
                <w:i/>
                <w:iCs/>
                <w:sz w:val="14"/>
                <w:szCs w:val="14"/>
              </w:rPr>
              <w:t>Machine</w:t>
            </w:r>
          </w:p>
        </w:tc>
      </w:tr>
      <w:tr w:rsidR="003734F4" w:rsidRPr="001775FB" w14:paraId="74656EE1" w14:textId="77777777" w:rsidTr="003734F4">
        <w:trPr>
          <w:cantSplit/>
        </w:trPr>
        <w:tc>
          <w:tcPr>
            <w:tcW w:w="1820" w:type="dxa"/>
            <w:tcBorders>
              <w:top w:val="nil"/>
              <w:left w:val="nil"/>
              <w:right w:val="nil"/>
            </w:tcBorders>
            <w:shd w:val="clear" w:color="auto" w:fill="auto"/>
            <w:vAlign w:val="bottom"/>
          </w:tcPr>
          <w:p w14:paraId="5730FFEA" w14:textId="77777777" w:rsidR="003734F4" w:rsidRPr="001775FB" w:rsidRDefault="003734F4" w:rsidP="003734F4">
            <w:pPr>
              <w:ind w:left="567" w:right="17" w:hanging="142"/>
              <w:rPr>
                <w:bCs w:val="0"/>
                <w:sz w:val="14"/>
                <w:szCs w:val="14"/>
              </w:rPr>
            </w:pPr>
            <w:r w:rsidRPr="001775FB">
              <w:rPr>
                <w:bCs w:val="0"/>
                <w:sz w:val="14"/>
                <w:szCs w:val="14"/>
              </w:rPr>
              <w:t>Perabotan dan peralatan</w:t>
            </w:r>
          </w:p>
        </w:tc>
        <w:tc>
          <w:tcPr>
            <w:tcW w:w="1133" w:type="dxa"/>
            <w:tcBorders>
              <w:top w:val="nil"/>
              <w:left w:val="nil"/>
              <w:right w:val="nil"/>
            </w:tcBorders>
            <w:shd w:val="clear" w:color="auto" w:fill="auto"/>
            <w:vAlign w:val="bottom"/>
          </w:tcPr>
          <w:p w14:paraId="0DD692F2" w14:textId="78A9B4A9" w:rsidR="003734F4" w:rsidRPr="00EF4DEE" w:rsidRDefault="003734F4" w:rsidP="003734F4">
            <w:pPr>
              <w:ind w:left="-57" w:right="57"/>
              <w:jc w:val="right"/>
              <w:rPr>
                <w:bCs w:val="0"/>
                <w:sz w:val="12"/>
                <w:szCs w:val="12"/>
              </w:rPr>
            </w:pPr>
            <w:r w:rsidRPr="00EF4DEE">
              <w:rPr>
                <w:bCs w:val="0"/>
                <w:sz w:val="12"/>
                <w:szCs w:val="12"/>
              </w:rPr>
              <w:t>10.935.198.652</w:t>
            </w:r>
          </w:p>
        </w:tc>
        <w:tc>
          <w:tcPr>
            <w:tcW w:w="94" w:type="dxa"/>
            <w:tcBorders>
              <w:top w:val="nil"/>
              <w:left w:val="nil"/>
              <w:right w:val="nil"/>
            </w:tcBorders>
            <w:shd w:val="clear" w:color="auto" w:fill="auto"/>
            <w:vAlign w:val="bottom"/>
          </w:tcPr>
          <w:p w14:paraId="7BD006B5" w14:textId="77777777" w:rsidR="003734F4" w:rsidRPr="00EF4DEE" w:rsidRDefault="003734F4" w:rsidP="003734F4">
            <w:pPr>
              <w:ind w:right="18"/>
              <w:jc w:val="right"/>
              <w:rPr>
                <w:bCs w:val="0"/>
                <w:sz w:val="12"/>
                <w:szCs w:val="12"/>
              </w:rPr>
            </w:pPr>
          </w:p>
        </w:tc>
        <w:tc>
          <w:tcPr>
            <w:tcW w:w="1047" w:type="dxa"/>
            <w:tcBorders>
              <w:top w:val="nil"/>
              <w:left w:val="nil"/>
              <w:right w:val="nil"/>
            </w:tcBorders>
            <w:shd w:val="clear" w:color="auto" w:fill="auto"/>
            <w:vAlign w:val="bottom"/>
          </w:tcPr>
          <w:p w14:paraId="769E41D1" w14:textId="47A98504" w:rsidR="003734F4" w:rsidRPr="00EF4DEE" w:rsidRDefault="009D0B95" w:rsidP="007308AE">
            <w:pPr>
              <w:ind w:right="57"/>
              <w:jc w:val="right"/>
              <w:rPr>
                <w:bCs w:val="0"/>
                <w:sz w:val="12"/>
                <w:szCs w:val="12"/>
              </w:rPr>
            </w:pPr>
            <w:r w:rsidRPr="00EF4DEE">
              <w:rPr>
                <w:bCs w:val="0"/>
                <w:sz w:val="12"/>
                <w:szCs w:val="12"/>
              </w:rPr>
              <w:t>1</w:t>
            </w:r>
            <w:r w:rsidR="00EF4DEE" w:rsidRPr="00EF4DEE">
              <w:rPr>
                <w:bCs w:val="0"/>
                <w:sz w:val="12"/>
                <w:szCs w:val="12"/>
              </w:rPr>
              <w:t>.</w:t>
            </w:r>
            <w:r w:rsidR="007308AE">
              <w:rPr>
                <w:bCs w:val="0"/>
                <w:sz w:val="12"/>
                <w:szCs w:val="12"/>
              </w:rPr>
              <w:t>446,922.075</w:t>
            </w:r>
          </w:p>
        </w:tc>
        <w:tc>
          <w:tcPr>
            <w:tcW w:w="100" w:type="dxa"/>
            <w:tcBorders>
              <w:top w:val="nil"/>
              <w:left w:val="nil"/>
              <w:right w:val="nil"/>
            </w:tcBorders>
            <w:shd w:val="clear" w:color="auto" w:fill="auto"/>
            <w:vAlign w:val="bottom"/>
          </w:tcPr>
          <w:p w14:paraId="304FD6B4" w14:textId="77777777" w:rsidR="003734F4" w:rsidRPr="00EF4DEE" w:rsidRDefault="003734F4" w:rsidP="003734F4">
            <w:pPr>
              <w:ind w:right="18"/>
              <w:jc w:val="right"/>
              <w:rPr>
                <w:bCs w:val="0"/>
                <w:sz w:val="12"/>
                <w:szCs w:val="12"/>
              </w:rPr>
            </w:pPr>
          </w:p>
        </w:tc>
        <w:tc>
          <w:tcPr>
            <w:tcW w:w="1070" w:type="dxa"/>
            <w:tcBorders>
              <w:top w:val="nil"/>
              <w:left w:val="nil"/>
              <w:right w:val="nil"/>
            </w:tcBorders>
            <w:shd w:val="clear" w:color="auto" w:fill="auto"/>
            <w:vAlign w:val="bottom"/>
          </w:tcPr>
          <w:p w14:paraId="19D9F70A" w14:textId="792AAD4B" w:rsidR="003734F4" w:rsidRPr="007308AE" w:rsidRDefault="007308AE" w:rsidP="003734F4">
            <w:pPr>
              <w:ind w:right="57"/>
              <w:jc w:val="right"/>
              <w:rPr>
                <w:bCs w:val="0"/>
                <w:sz w:val="12"/>
                <w:szCs w:val="12"/>
              </w:rPr>
            </w:pPr>
            <w:r>
              <w:rPr>
                <w:bCs w:val="0"/>
                <w:sz w:val="12"/>
                <w:szCs w:val="12"/>
              </w:rPr>
              <w:t>-</w:t>
            </w:r>
          </w:p>
        </w:tc>
        <w:tc>
          <w:tcPr>
            <w:tcW w:w="94" w:type="dxa"/>
            <w:tcBorders>
              <w:top w:val="nil"/>
              <w:left w:val="nil"/>
              <w:right w:val="nil"/>
            </w:tcBorders>
            <w:shd w:val="clear" w:color="auto" w:fill="auto"/>
            <w:vAlign w:val="bottom"/>
          </w:tcPr>
          <w:p w14:paraId="59E6F48D" w14:textId="77777777" w:rsidR="003734F4" w:rsidRPr="00EF4DEE" w:rsidRDefault="003734F4" w:rsidP="003734F4">
            <w:pPr>
              <w:ind w:right="57"/>
              <w:jc w:val="right"/>
              <w:rPr>
                <w:bCs w:val="0"/>
                <w:sz w:val="12"/>
                <w:szCs w:val="12"/>
              </w:rPr>
            </w:pPr>
          </w:p>
        </w:tc>
        <w:tc>
          <w:tcPr>
            <w:tcW w:w="1101" w:type="dxa"/>
            <w:tcBorders>
              <w:top w:val="nil"/>
              <w:left w:val="nil"/>
              <w:right w:val="nil"/>
            </w:tcBorders>
            <w:vAlign w:val="bottom"/>
          </w:tcPr>
          <w:p w14:paraId="0C40AEBA" w14:textId="203568C4" w:rsidR="003734F4" w:rsidRPr="00EF4DEE" w:rsidRDefault="007308AE" w:rsidP="003734F4">
            <w:pPr>
              <w:ind w:left="-57" w:right="57"/>
              <w:jc w:val="right"/>
              <w:rPr>
                <w:bCs w:val="0"/>
                <w:sz w:val="12"/>
                <w:szCs w:val="12"/>
              </w:rPr>
            </w:pPr>
            <w:r>
              <w:rPr>
                <w:bCs w:val="0"/>
                <w:sz w:val="12"/>
                <w:szCs w:val="12"/>
              </w:rPr>
              <w:t>-</w:t>
            </w:r>
          </w:p>
        </w:tc>
        <w:tc>
          <w:tcPr>
            <w:tcW w:w="94" w:type="dxa"/>
            <w:tcBorders>
              <w:top w:val="nil"/>
              <w:left w:val="nil"/>
              <w:right w:val="nil"/>
            </w:tcBorders>
            <w:vAlign w:val="bottom"/>
          </w:tcPr>
          <w:p w14:paraId="287BBF75" w14:textId="3C00F5A8" w:rsidR="003734F4" w:rsidRPr="00EF4DEE" w:rsidRDefault="003734F4" w:rsidP="007308AE">
            <w:pPr>
              <w:ind w:left="-57" w:right="57"/>
              <w:jc w:val="center"/>
              <w:rPr>
                <w:bCs w:val="0"/>
                <w:sz w:val="12"/>
                <w:szCs w:val="12"/>
              </w:rPr>
            </w:pPr>
          </w:p>
        </w:tc>
        <w:tc>
          <w:tcPr>
            <w:tcW w:w="1133" w:type="dxa"/>
            <w:tcBorders>
              <w:top w:val="nil"/>
              <w:left w:val="nil"/>
              <w:right w:val="nil"/>
            </w:tcBorders>
            <w:shd w:val="clear" w:color="auto" w:fill="auto"/>
            <w:vAlign w:val="bottom"/>
          </w:tcPr>
          <w:p w14:paraId="2E6CB396" w14:textId="123DBB1B" w:rsidR="003734F4" w:rsidRPr="00EF4DEE" w:rsidRDefault="00D41B18" w:rsidP="007308AE">
            <w:pPr>
              <w:ind w:left="-57" w:right="57"/>
              <w:jc w:val="right"/>
              <w:rPr>
                <w:bCs w:val="0"/>
                <w:sz w:val="12"/>
                <w:szCs w:val="12"/>
              </w:rPr>
            </w:pPr>
            <w:r w:rsidRPr="00EF4DEE">
              <w:rPr>
                <w:bCs w:val="0"/>
                <w:sz w:val="12"/>
                <w:szCs w:val="12"/>
              </w:rPr>
              <w:t>12</w:t>
            </w:r>
            <w:r w:rsidR="00EF4DEE" w:rsidRPr="00EF4DEE">
              <w:rPr>
                <w:bCs w:val="0"/>
                <w:sz w:val="12"/>
                <w:szCs w:val="12"/>
              </w:rPr>
              <w:t>.</w:t>
            </w:r>
            <w:r w:rsidR="007308AE">
              <w:rPr>
                <w:bCs w:val="0"/>
                <w:sz w:val="12"/>
                <w:szCs w:val="12"/>
              </w:rPr>
              <w:t>382,120.727</w:t>
            </w:r>
          </w:p>
        </w:tc>
        <w:tc>
          <w:tcPr>
            <w:tcW w:w="1511" w:type="dxa"/>
            <w:tcBorders>
              <w:top w:val="nil"/>
              <w:left w:val="nil"/>
              <w:bottom w:val="nil"/>
              <w:right w:val="nil"/>
            </w:tcBorders>
            <w:shd w:val="clear" w:color="auto" w:fill="auto"/>
            <w:vAlign w:val="bottom"/>
          </w:tcPr>
          <w:p w14:paraId="4B7C7051" w14:textId="77777777" w:rsidR="003734F4" w:rsidRDefault="003734F4" w:rsidP="003734F4">
            <w:pPr>
              <w:tabs>
                <w:tab w:val="left" w:pos="1360"/>
                <w:tab w:val="left" w:pos="1410"/>
              </w:tabs>
              <w:ind w:right="72"/>
              <w:jc w:val="right"/>
              <w:rPr>
                <w:i/>
                <w:iCs/>
                <w:sz w:val="14"/>
                <w:szCs w:val="14"/>
              </w:rPr>
            </w:pPr>
            <w:r w:rsidRPr="001775FB">
              <w:rPr>
                <w:i/>
                <w:iCs/>
                <w:sz w:val="14"/>
                <w:szCs w:val="14"/>
              </w:rPr>
              <w:t xml:space="preserve">Funitures and </w:t>
            </w:r>
          </w:p>
          <w:p w14:paraId="1B32514B" w14:textId="7D4B43FE" w:rsidR="003734F4" w:rsidRPr="001775FB" w:rsidRDefault="003734F4" w:rsidP="003734F4">
            <w:pPr>
              <w:ind w:right="198"/>
              <w:jc w:val="right"/>
              <w:rPr>
                <w:i/>
                <w:iCs/>
                <w:sz w:val="14"/>
                <w:szCs w:val="14"/>
              </w:rPr>
            </w:pPr>
            <w:r w:rsidRPr="008C5534">
              <w:rPr>
                <w:bCs w:val="0"/>
                <w:i/>
                <w:color w:val="1D1B11"/>
                <w:sz w:val="14"/>
                <w:szCs w:val="14"/>
              </w:rPr>
              <w:t>fixtures</w:t>
            </w:r>
          </w:p>
        </w:tc>
      </w:tr>
      <w:tr w:rsidR="003734F4" w:rsidRPr="001775FB" w14:paraId="56526B00" w14:textId="77777777" w:rsidTr="003734F4">
        <w:trPr>
          <w:cantSplit/>
        </w:trPr>
        <w:tc>
          <w:tcPr>
            <w:tcW w:w="1820" w:type="dxa"/>
            <w:tcBorders>
              <w:top w:val="nil"/>
              <w:left w:val="nil"/>
              <w:right w:val="nil"/>
            </w:tcBorders>
            <w:shd w:val="clear" w:color="auto" w:fill="auto"/>
            <w:vAlign w:val="bottom"/>
          </w:tcPr>
          <w:p w14:paraId="725B9643" w14:textId="77777777" w:rsidR="003734F4" w:rsidRPr="001775FB" w:rsidRDefault="003734F4" w:rsidP="003734F4">
            <w:pPr>
              <w:ind w:left="567" w:right="17" w:hanging="142"/>
              <w:rPr>
                <w:bCs w:val="0"/>
                <w:sz w:val="14"/>
                <w:szCs w:val="14"/>
              </w:rPr>
            </w:pPr>
            <w:r w:rsidRPr="001775FB">
              <w:rPr>
                <w:bCs w:val="0"/>
                <w:sz w:val="14"/>
                <w:szCs w:val="14"/>
              </w:rPr>
              <w:t>Kendaraan</w:t>
            </w:r>
          </w:p>
        </w:tc>
        <w:tc>
          <w:tcPr>
            <w:tcW w:w="1133" w:type="dxa"/>
            <w:tcBorders>
              <w:top w:val="nil"/>
              <w:left w:val="nil"/>
              <w:right w:val="nil"/>
            </w:tcBorders>
            <w:shd w:val="clear" w:color="auto" w:fill="auto"/>
            <w:vAlign w:val="bottom"/>
          </w:tcPr>
          <w:p w14:paraId="3EA0712A" w14:textId="7C72CFAB" w:rsidR="003734F4" w:rsidRPr="00EF4DEE" w:rsidRDefault="003734F4" w:rsidP="003734F4">
            <w:pPr>
              <w:ind w:left="-57" w:right="57"/>
              <w:jc w:val="right"/>
              <w:rPr>
                <w:bCs w:val="0"/>
                <w:sz w:val="12"/>
                <w:szCs w:val="12"/>
              </w:rPr>
            </w:pPr>
            <w:r w:rsidRPr="00EF4DEE">
              <w:rPr>
                <w:bCs w:val="0"/>
                <w:sz w:val="12"/>
                <w:szCs w:val="12"/>
              </w:rPr>
              <w:t>12.407.811.097</w:t>
            </w:r>
          </w:p>
        </w:tc>
        <w:tc>
          <w:tcPr>
            <w:tcW w:w="94" w:type="dxa"/>
            <w:tcBorders>
              <w:top w:val="nil"/>
              <w:left w:val="nil"/>
              <w:right w:val="nil"/>
            </w:tcBorders>
            <w:shd w:val="clear" w:color="auto" w:fill="auto"/>
            <w:vAlign w:val="bottom"/>
          </w:tcPr>
          <w:p w14:paraId="2C223698" w14:textId="77777777" w:rsidR="003734F4" w:rsidRPr="00EF4DEE" w:rsidRDefault="003734F4" w:rsidP="003734F4">
            <w:pPr>
              <w:ind w:right="18"/>
              <w:jc w:val="right"/>
              <w:rPr>
                <w:bCs w:val="0"/>
                <w:sz w:val="12"/>
                <w:szCs w:val="12"/>
              </w:rPr>
            </w:pPr>
          </w:p>
        </w:tc>
        <w:tc>
          <w:tcPr>
            <w:tcW w:w="1047" w:type="dxa"/>
            <w:tcBorders>
              <w:top w:val="nil"/>
              <w:left w:val="nil"/>
              <w:right w:val="nil"/>
            </w:tcBorders>
            <w:shd w:val="clear" w:color="auto" w:fill="auto"/>
            <w:vAlign w:val="bottom"/>
          </w:tcPr>
          <w:p w14:paraId="379532FF" w14:textId="32271C33" w:rsidR="003734F4" w:rsidRPr="00EF4DEE" w:rsidRDefault="009D0B95" w:rsidP="003734F4">
            <w:pPr>
              <w:ind w:right="57"/>
              <w:jc w:val="right"/>
              <w:rPr>
                <w:bCs w:val="0"/>
                <w:sz w:val="12"/>
                <w:szCs w:val="12"/>
              </w:rPr>
            </w:pPr>
            <w:r w:rsidRPr="00EF4DEE">
              <w:rPr>
                <w:bCs w:val="0"/>
                <w:sz w:val="12"/>
                <w:szCs w:val="12"/>
              </w:rPr>
              <w:t>275</w:t>
            </w:r>
            <w:r w:rsidR="00EF4DEE" w:rsidRPr="00EF4DEE">
              <w:rPr>
                <w:bCs w:val="0"/>
                <w:sz w:val="12"/>
                <w:szCs w:val="12"/>
              </w:rPr>
              <w:t>.</w:t>
            </w:r>
            <w:r w:rsidRPr="00EF4DEE">
              <w:rPr>
                <w:bCs w:val="0"/>
                <w:sz w:val="12"/>
                <w:szCs w:val="12"/>
              </w:rPr>
              <w:t>895</w:t>
            </w:r>
            <w:r w:rsidR="00EF4DEE" w:rsidRPr="00EF4DEE">
              <w:rPr>
                <w:bCs w:val="0"/>
                <w:sz w:val="12"/>
                <w:szCs w:val="12"/>
              </w:rPr>
              <w:t>.</w:t>
            </w:r>
            <w:r w:rsidRPr="00EF4DEE">
              <w:rPr>
                <w:bCs w:val="0"/>
                <w:sz w:val="12"/>
                <w:szCs w:val="12"/>
              </w:rPr>
              <w:t>784</w:t>
            </w:r>
          </w:p>
        </w:tc>
        <w:tc>
          <w:tcPr>
            <w:tcW w:w="100" w:type="dxa"/>
            <w:tcBorders>
              <w:top w:val="nil"/>
              <w:left w:val="nil"/>
              <w:right w:val="nil"/>
            </w:tcBorders>
            <w:shd w:val="clear" w:color="auto" w:fill="auto"/>
            <w:vAlign w:val="bottom"/>
          </w:tcPr>
          <w:p w14:paraId="71D228F1" w14:textId="77777777" w:rsidR="003734F4" w:rsidRPr="00EF4DEE" w:rsidRDefault="003734F4" w:rsidP="003734F4">
            <w:pPr>
              <w:ind w:right="18"/>
              <w:jc w:val="right"/>
              <w:rPr>
                <w:bCs w:val="0"/>
                <w:sz w:val="12"/>
                <w:szCs w:val="12"/>
              </w:rPr>
            </w:pPr>
          </w:p>
        </w:tc>
        <w:tc>
          <w:tcPr>
            <w:tcW w:w="1070" w:type="dxa"/>
            <w:tcBorders>
              <w:top w:val="nil"/>
              <w:left w:val="nil"/>
              <w:right w:val="nil"/>
            </w:tcBorders>
            <w:shd w:val="clear" w:color="auto" w:fill="auto"/>
            <w:vAlign w:val="bottom"/>
          </w:tcPr>
          <w:p w14:paraId="33C46089" w14:textId="75471240" w:rsidR="003734F4" w:rsidRPr="007308AE" w:rsidRDefault="007308AE" w:rsidP="003734F4">
            <w:pPr>
              <w:ind w:right="57"/>
              <w:jc w:val="right"/>
              <w:rPr>
                <w:bCs w:val="0"/>
                <w:sz w:val="12"/>
                <w:szCs w:val="12"/>
              </w:rPr>
            </w:pPr>
            <w:r>
              <w:rPr>
                <w:bCs w:val="0"/>
                <w:sz w:val="12"/>
                <w:szCs w:val="12"/>
              </w:rPr>
              <w:t>-</w:t>
            </w:r>
          </w:p>
        </w:tc>
        <w:tc>
          <w:tcPr>
            <w:tcW w:w="94" w:type="dxa"/>
            <w:tcBorders>
              <w:top w:val="nil"/>
              <w:left w:val="nil"/>
              <w:right w:val="nil"/>
            </w:tcBorders>
            <w:shd w:val="clear" w:color="auto" w:fill="auto"/>
            <w:vAlign w:val="bottom"/>
          </w:tcPr>
          <w:p w14:paraId="0FB845F5" w14:textId="77777777" w:rsidR="003734F4" w:rsidRPr="00EF4DEE" w:rsidRDefault="003734F4" w:rsidP="003734F4">
            <w:pPr>
              <w:ind w:right="57"/>
              <w:jc w:val="right"/>
              <w:rPr>
                <w:bCs w:val="0"/>
                <w:sz w:val="12"/>
                <w:szCs w:val="12"/>
              </w:rPr>
            </w:pPr>
          </w:p>
        </w:tc>
        <w:tc>
          <w:tcPr>
            <w:tcW w:w="1101" w:type="dxa"/>
            <w:tcBorders>
              <w:top w:val="nil"/>
              <w:left w:val="nil"/>
              <w:right w:val="nil"/>
            </w:tcBorders>
            <w:vAlign w:val="bottom"/>
          </w:tcPr>
          <w:p w14:paraId="2B6087D8" w14:textId="2A90BD70" w:rsidR="003734F4" w:rsidRPr="00EF4DEE" w:rsidRDefault="003734F4" w:rsidP="003734F4">
            <w:pPr>
              <w:ind w:left="-57" w:right="57"/>
              <w:jc w:val="right"/>
              <w:rPr>
                <w:bCs w:val="0"/>
                <w:sz w:val="12"/>
                <w:szCs w:val="12"/>
              </w:rPr>
            </w:pPr>
          </w:p>
        </w:tc>
        <w:tc>
          <w:tcPr>
            <w:tcW w:w="94" w:type="dxa"/>
            <w:tcBorders>
              <w:top w:val="nil"/>
              <w:left w:val="nil"/>
              <w:right w:val="nil"/>
            </w:tcBorders>
            <w:vAlign w:val="bottom"/>
          </w:tcPr>
          <w:p w14:paraId="31483A05" w14:textId="77777777" w:rsidR="003734F4" w:rsidRPr="00EF4DEE" w:rsidRDefault="003734F4" w:rsidP="003734F4">
            <w:pPr>
              <w:ind w:left="-57" w:right="57"/>
              <w:jc w:val="right"/>
              <w:rPr>
                <w:bCs w:val="0"/>
                <w:sz w:val="12"/>
                <w:szCs w:val="12"/>
              </w:rPr>
            </w:pPr>
          </w:p>
        </w:tc>
        <w:tc>
          <w:tcPr>
            <w:tcW w:w="1133" w:type="dxa"/>
            <w:tcBorders>
              <w:top w:val="nil"/>
              <w:left w:val="nil"/>
              <w:right w:val="nil"/>
            </w:tcBorders>
            <w:shd w:val="clear" w:color="auto" w:fill="auto"/>
            <w:vAlign w:val="bottom"/>
          </w:tcPr>
          <w:p w14:paraId="3AE68F68" w14:textId="3DD1C148" w:rsidR="003734F4" w:rsidRPr="00EF4DEE" w:rsidRDefault="00D41B18" w:rsidP="003734F4">
            <w:pPr>
              <w:ind w:left="-57" w:right="57"/>
              <w:jc w:val="right"/>
              <w:rPr>
                <w:bCs w:val="0"/>
                <w:sz w:val="12"/>
                <w:szCs w:val="12"/>
              </w:rPr>
            </w:pPr>
            <w:r w:rsidRPr="00EF4DEE">
              <w:rPr>
                <w:bCs w:val="0"/>
                <w:sz w:val="12"/>
                <w:szCs w:val="12"/>
              </w:rPr>
              <w:t>12</w:t>
            </w:r>
            <w:r w:rsidR="00EF4DEE" w:rsidRPr="00EF4DEE">
              <w:rPr>
                <w:bCs w:val="0"/>
                <w:sz w:val="12"/>
                <w:szCs w:val="12"/>
              </w:rPr>
              <w:t>.</w:t>
            </w:r>
            <w:r w:rsidRPr="00EF4DEE">
              <w:rPr>
                <w:bCs w:val="0"/>
                <w:sz w:val="12"/>
                <w:szCs w:val="12"/>
              </w:rPr>
              <w:t>683</w:t>
            </w:r>
            <w:r w:rsidR="00EF4DEE" w:rsidRPr="00EF4DEE">
              <w:rPr>
                <w:bCs w:val="0"/>
                <w:sz w:val="12"/>
                <w:szCs w:val="12"/>
              </w:rPr>
              <w:t>.</w:t>
            </w:r>
            <w:r w:rsidRPr="00EF4DEE">
              <w:rPr>
                <w:bCs w:val="0"/>
                <w:sz w:val="12"/>
                <w:szCs w:val="12"/>
              </w:rPr>
              <w:t>706</w:t>
            </w:r>
            <w:r w:rsidR="00EF4DEE" w:rsidRPr="00EF4DEE">
              <w:rPr>
                <w:bCs w:val="0"/>
                <w:sz w:val="12"/>
                <w:szCs w:val="12"/>
              </w:rPr>
              <w:t>.</w:t>
            </w:r>
            <w:r w:rsidRPr="00EF4DEE">
              <w:rPr>
                <w:bCs w:val="0"/>
                <w:sz w:val="12"/>
                <w:szCs w:val="12"/>
              </w:rPr>
              <w:t>881</w:t>
            </w:r>
          </w:p>
        </w:tc>
        <w:tc>
          <w:tcPr>
            <w:tcW w:w="1511" w:type="dxa"/>
            <w:tcBorders>
              <w:top w:val="nil"/>
              <w:left w:val="nil"/>
              <w:bottom w:val="nil"/>
              <w:right w:val="nil"/>
            </w:tcBorders>
            <w:shd w:val="clear" w:color="auto" w:fill="auto"/>
            <w:vAlign w:val="bottom"/>
          </w:tcPr>
          <w:p w14:paraId="3A186E76" w14:textId="77777777" w:rsidR="003734F4" w:rsidRPr="001775FB" w:rsidRDefault="003734F4" w:rsidP="003734F4">
            <w:pPr>
              <w:tabs>
                <w:tab w:val="left" w:pos="1360"/>
                <w:tab w:val="left" w:pos="1410"/>
              </w:tabs>
              <w:ind w:right="72"/>
              <w:jc w:val="right"/>
              <w:rPr>
                <w:i/>
                <w:iCs/>
                <w:sz w:val="14"/>
                <w:szCs w:val="14"/>
              </w:rPr>
            </w:pPr>
            <w:r w:rsidRPr="001775FB">
              <w:rPr>
                <w:i/>
                <w:iCs/>
                <w:sz w:val="14"/>
                <w:szCs w:val="14"/>
              </w:rPr>
              <w:t>Vehicles</w:t>
            </w:r>
          </w:p>
        </w:tc>
      </w:tr>
      <w:tr w:rsidR="003734F4" w:rsidRPr="001775FB" w14:paraId="795FE546" w14:textId="77777777" w:rsidTr="003734F4">
        <w:trPr>
          <w:cantSplit/>
        </w:trPr>
        <w:tc>
          <w:tcPr>
            <w:tcW w:w="1820" w:type="dxa"/>
            <w:tcBorders>
              <w:top w:val="nil"/>
              <w:left w:val="nil"/>
              <w:right w:val="nil"/>
            </w:tcBorders>
            <w:shd w:val="clear" w:color="auto" w:fill="auto"/>
            <w:vAlign w:val="bottom"/>
          </w:tcPr>
          <w:p w14:paraId="32DFB971" w14:textId="77777777" w:rsidR="003734F4" w:rsidRPr="001775FB" w:rsidRDefault="003734F4" w:rsidP="003734F4">
            <w:pPr>
              <w:ind w:left="567" w:right="17" w:hanging="142"/>
              <w:rPr>
                <w:bCs w:val="0"/>
                <w:sz w:val="14"/>
                <w:szCs w:val="14"/>
              </w:rPr>
            </w:pPr>
            <w:r w:rsidRPr="001775FB">
              <w:rPr>
                <w:bCs w:val="0"/>
                <w:sz w:val="14"/>
                <w:szCs w:val="14"/>
              </w:rPr>
              <w:t>Peralatan kantor</w:t>
            </w:r>
          </w:p>
        </w:tc>
        <w:tc>
          <w:tcPr>
            <w:tcW w:w="1133" w:type="dxa"/>
            <w:tcBorders>
              <w:top w:val="nil"/>
              <w:left w:val="nil"/>
              <w:bottom w:val="single" w:sz="4" w:space="0" w:color="auto"/>
              <w:right w:val="nil"/>
            </w:tcBorders>
            <w:shd w:val="clear" w:color="auto" w:fill="auto"/>
            <w:vAlign w:val="bottom"/>
          </w:tcPr>
          <w:p w14:paraId="4BD9E0BE" w14:textId="1A9A2E5A" w:rsidR="003734F4" w:rsidRPr="00EF4DEE" w:rsidRDefault="003734F4" w:rsidP="003734F4">
            <w:pPr>
              <w:ind w:left="-57" w:right="57"/>
              <w:jc w:val="right"/>
              <w:rPr>
                <w:bCs w:val="0"/>
                <w:sz w:val="12"/>
                <w:szCs w:val="12"/>
                <w:lang w:val="id-ID"/>
              </w:rPr>
            </w:pPr>
            <w:r w:rsidRPr="00EF4DEE">
              <w:rPr>
                <w:bCs w:val="0"/>
                <w:sz w:val="12"/>
                <w:szCs w:val="12"/>
                <w:lang w:val="id-ID"/>
              </w:rPr>
              <w:t>36.008.99</w:t>
            </w:r>
            <w:r w:rsidRPr="00EF4DEE">
              <w:rPr>
                <w:bCs w:val="0"/>
                <w:sz w:val="12"/>
                <w:szCs w:val="12"/>
              </w:rPr>
              <w:t>9</w:t>
            </w:r>
            <w:r w:rsidRPr="00EF4DEE">
              <w:rPr>
                <w:bCs w:val="0"/>
                <w:sz w:val="12"/>
                <w:szCs w:val="12"/>
                <w:lang w:val="id-ID"/>
              </w:rPr>
              <w:t>.74</w:t>
            </w:r>
            <w:r w:rsidRPr="00EF4DEE">
              <w:rPr>
                <w:bCs w:val="0"/>
                <w:sz w:val="12"/>
                <w:szCs w:val="12"/>
              </w:rPr>
              <w:t>6</w:t>
            </w:r>
          </w:p>
        </w:tc>
        <w:tc>
          <w:tcPr>
            <w:tcW w:w="94" w:type="dxa"/>
            <w:tcBorders>
              <w:top w:val="nil"/>
              <w:left w:val="nil"/>
              <w:right w:val="nil"/>
            </w:tcBorders>
            <w:shd w:val="clear" w:color="auto" w:fill="auto"/>
            <w:vAlign w:val="bottom"/>
          </w:tcPr>
          <w:p w14:paraId="008FB7D0" w14:textId="77777777" w:rsidR="003734F4" w:rsidRPr="00EF4DEE" w:rsidRDefault="003734F4" w:rsidP="003734F4">
            <w:pPr>
              <w:ind w:right="18"/>
              <w:jc w:val="right"/>
              <w:rPr>
                <w:bCs w:val="0"/>
                <w:sz w:val="12"/>
                <w:szCs w:val="12"/>
              </w:rPr>
            </w:pPr>
          </w:p>
        </w:tc>
        <w:tc>
          <w:tcPr>
            <w:tcW w:w="1047" w:type="dxa"/>
            <w:tcBorders>
              <w:top w:val="nil"/>
              <w:left w:val="nil"/>
              <w:bottom w:val="single" w:sz="4" w:space="0" w:color="auto"/>
              <w:right w:val="nil"/>
            </w:tcBorders>
            <w:shd w:val="clear" w:color="auto" w:fill="auto"/>
            <w:vAlign w:val="bottom"/>
          </w:tcPr>
          <w:p w14:paraId="248B516C" w14:textId="471097C5" w:rsidR="003734F4" w:rsidRPr="00EF4DEE" w:rsidRDefault="007308AE" w:rsidP="003734F4">
            <w:pPr>
              <w:ind w:right="57"/>
              <w:jc w:val="right"/>
              <w:rPr>
                <w:bCs w:val="0"/>
                <w:sz w:val="12"/>
                <w:szCs w:val="12"/>
              </w:rPr>
            </w:pPr>
            <w:r>
              <w:rPr>
                <w:bCs w:val="0"/>
                <w:sz w:val="12"/>
                <w:szCs w:val="12"/>
              </w:rPr>
              <w:t>-</w:t>
            </w:r>
          </w:p>
        </w:tc>
        <w:tc>
          <w:tcPr>
            <w:tcW w:w="100" w:type="dxa"/>
            <w:tcBorders>
              <w:top w:val="nil"/>
              <w:left w:val="nil"/>
              <w:right w:val="nil"/>
            </w:tcBorders>
            <w:shd w:val="clear" w:color="auto" w:fill="auto"/>
            <w:vAlign w:val="bottom"/>
          </w:tcPr>
          <w:p w14:paraId="0FBF722E" w14:textId="77777777" w:rsidR="003734F4" w:rsidRPr="00EF4DEE" w:rsidRDefault="003734F4" w:rsidP="003734F4">
            <w:pPr>
              <w:ind w:right="18"/>
              <w:jc w:val="right"/>
              <w:rPr>
                <w:bCs w:val="0"/>
                <w:sz w:val="12"/>
                <w:szCs w:val="12"/>
              </w:rPr>
            </w:pPr>
          </w:p>
        </w:tc>
        <w:tc>
          <w:tcPr>
            <w:tcW w:w="1070" w:type="dxa"/>
            <w:tcBorders>
              <w:top w:val="nil"/>
              <w:left w:val="nil"/>
              <w:bottom w:val="single" w:sz="4" w:space="0" w:color="auto"/>
              <w:right w:val="nil"/>
            </w:tcBorders>
            <w:shd w:val="clear" w:color="auto" w:fill="auto"/>
            <w:vAlign w:val="bottom"/>
          </w:tcPr>
          <w:p w14:paraId="628A95AE" w14:textId="34238B61" w:rsidR="003734F4" w:rsidRPr="00EF4DEE" w:rsidRDefault="007308AE" w:rsidP="003734F4">
            <w:pPr>
              <w:ind w:right="57"/>
              <w:jc w:val="right"/>
              <w:rPr>
                <w:bCs w:val="0"/>
                <w:sz w:val="12"/>
                <w:szCs w:val="12"/>
              </w:rPr>
            </w:pPr>
            <w:r>
              <w:rPr>
                <w:bCs w:val="0"/>
                <w:sz w:val="12"/>
                <w:szCs w:val="12"/>
              </w:rPr>
              <w:t>-</w:t>
            </w:r>
          </w:p>
        </w:tc>
        <w:tc>
          <w:tcPr>
            <w:tcW w:w="94" w:type="dxa"/>
            <w:tcBorders>
              <w:top w:val="nil"/>
              <w:left w:val="nil"/>
              <w:right w:val="nil"/>
            </w:tcBorders>
            <w:shd w:val="clear" w:color="auto" w:fill="auto"/>
            <w:vAlign w:val="bottom"/>
          </w:tcPr>
          <w:p w14:paraId="799D2114" w14:textId="77777777" w:rsidR="003734F4" w:rsidRPr="00EF4DEE" w:rsidRDefault="003734F4" w:rsidP="003734F4">
            <w:pPr>
              <w:ind w:right="57"/>
              <w:jc w:val="right"/>
              <w:rPr>
                <w:bCs w:val="0"/>
                <w:sz w:val="12"/>
                <w:szCs w:val="12"/>
              </w:rPr>
            </w:pPr>
          </w:p>
        </w:tc>
        <w:tc>
          <w:tcPr>
            <w:tcW w:w="1101" w:type="dxa"/>
            <w:tcBorders>
              <w:top w:val="nil"/>
              <w:left w:val="nil"/>
              <w:bottom w:val="single" w:sz="4" w:space="0" w:color="auto"/>
              <w:right w:val="nil"/>
            </w:tcBorders>
            <w:vAlign w:val="bottom"/>
          </w:tcPr>
          <w:p w14:paraId="1C0AF98C" w14:textId="629B4172" w:rsidR="003734F4" w:rsidRPr="00EF4DEE" w:rsidRDefault="007308AE" w:rsidP="003734F4">
            <w:pPr>
              <w:ind w:left="-57" w:right="57"/>
              <w:jc w:val="right"/>
              <w:rPr>
                <w:bCs w:val="0"/>
                <w:sz w:val="12"/>
                <w:szCs w:val="12"/>
              </w:rPr>
            </w:pPr>
            <w:r>
              <w:rPr>
                <w:bCs w:val="0"/>
                <w:sz w:val="12"/>
                <w:szCs w:val="12"/>
              </w:rPr>
              <w:t>-</w:t>
            </w:r>
          </w:p>
        </w:tc>
        <w:tc>
          <w:tcPr>
            <w:tcW w:w="94" w:type="dxa"/>
            <w:tcBorders>
              <w:top w:val="nil"/>
              <w:left w:val="nil"/>
              <w:right w:val="nil"/>
            </w:tcBorders>
            <w:vAlign w:val="bottom"/>
          </w:tcPr>
          <w:p w14:paraId="6C143E4F" w14:textId="77777777" w:rsidR="003734F4" w:rsidRPr="00EF4DEE" w:rsidRDefault="003734F4" w:rsidP="003734F4">
            <w:pPr>
              <w:ind w:left="-57" w:right="57"/>
              <w:jc w:val="right"/>
              <w:rPr>
                <w:bCs w:val="0"/>
                <w:sz w:val="12"/>
                <w:szCs w:val="12"/>
                <w:lang w:val="id-ID"/>
              </w:rPr>
            </w:pPr>
          </w:p>
        </w:tc>
        <w:tc>
          <w:tcPr>
            <w:tcW w:w="1133" w:type="dxa"/>
            <w:tcBorders>
              <w:top w:val="nil"/>
              <w:left w:val="nil"/>
              <w:bottom w:val="single" w:sz="4" w:space="0" w:color="auto"/>
              <w:right w:val="nil"/>
            </w:tcBorders>
            <w:shd w:val="clear" w:color="auto" w:fill="auto"/>
            <w:vAlign w:val="bottom"/>
          </w:tcPr>
          <w:p w14:paraId="5FA73D5B" w14:textId="45A0CA3C" w:rsidR="003734F4" w:rsidRPr="00EF4DEE" w:rsidRDefault="007308AE" w:rsidP="003734F4">
            <w:pPr>
              <w:ind w:left="-57" w:right="57"/>
              <w:jc w:val="right"/>
              <w:rPr>
                <w:bCs w:val="0"/>
                <w:sz w:val="12"/>
                <w:szCs w:val="12"/>
              </w:rPr>
            </w:pPr>
            <w:r>
              <w:rPr>
                <w:bCs w:val="0"/>
                <w:sz w:val="12"/>
                <w:szCs w:val="12"/>
              </w:rPr>
              <w:t>36.008.999.746</w:t>
            </w:r>
          </w:p>
        </w:tc>
        <w:tc>
          <w:tcPr>
            <w:tcW w:w="1511" w:type="dxa"/>
            <w:tcBorders>
              <w:top w:val="nil"/>
              <w:left w:val="nil"/>
              <w:bottom w:val="nil"/>
              <w:right w:val="nil"/>
            </w:tcBorders>
            <w:shd w:val="clear" w:color="auto" w:fill="auto"/>
            <w:vAlign w:val="bottom"/>
          </w:tcPr>
          <w:p w14:paraId="2DE9B20A" w14:textId="77777777" w:rsidR="003734F4" w:rsidRPr="001775FB" w:rsidRDefault="003734F4" w:rsidP="003734F4">
            <w:pPr>
              <w:tabs>
                <w:tab w:val="left" w:pos="1360"/>
                <w:tab w:val="left" w:pos="1410"/>
              </w:tabs>
              <w:ind w:right="72"/>
              <w:jc w:val="right"/>
              <w:rPr>
                <w:i/>
                <w:iCs/>
                <w:sz w:val="14"/>
                <w:szCs w:val="14"/>
              </w:rPr>
            </w:pPr>
            <w:r w:rsidRPr="001775FB">
              <w:rPr>
                <w:i/>
                <w:iCs/>
                <w:sz w:val="14"/>
                <w:szCs w:val="14"/>
              </w:rPr>
              <w:t>Office equipment</w:t>
            </w:r>
          </w:p>
        </w:tc>
      </w:tr>
      <w:tr w:rsidR="003734F4" w:rsidRPr="00C61D2A" w14:paraId="1E90C34F" w14:textId="77777777" w:rsidTr="003734F4">
        <w:trPr>
          <w:cantSplit/>
        </w:trPr>
        <w:tc>
          <w:tcPr>
            <w:tcW w:w="1820" w:type="dxa"/>
            <w:tcBorders>
              <w:top w:val="nil"/>
              <w:left w:val="nil"/>
              <w:right w:val="nil"/>
            </w:tcBorders>
            <w:shd w:val="clear" w:color="auto" w:fill="auto"/>
            <w:vAlign w:val="bottom"/>
          </w:tcPr>
          <w:p w14:paraId="6EEB9EBF" w14:textId="77777777" w:rsidR="003734F4" w:rsidRPr="00C61D2A" w:rsidRDefault="003734F4" w:rsidP="003734F4">
            <w:pPr>
              <w:ind w:left="567" w:right="17" w:hanging="142"/>
              <w:rPr>
                <w:bCs w:val="0"/>
                <w:sz w:val="14"/>
                <w:szCs w:val="14"/>
              </w:rPr>
            </w:pPr>
          </w:p>
        </w:tc>
        <w:tc>
          <w:tcPr>
            <w:tcW w:w="1133" w:type="dxa"/>
            <w:tcBorders>
              <w:top w:val="single" w:sz="4" w:space="0" w:color="auto"/>
              <w:left w:val="nil"/>
              <w:right w:val="nil"/>
            </w:tcBorders>
            <w:shd w:val="clear" w:color="auto" w:fill="auto"/>
            <w:vAlign w:val="bottom"/>
          </w:tcPr>
          <w:p w14:paraId="6035EA04" w14:textId="77777777" w:rsidR="003734F4" w:rsidRPr="00EF4DEE" w:rsidRDefault="003734F4" w:rsidP="003734F4">
            <w:pPr>
              <w:ind w:left="-57" w:right="57"/>
              <w:jc w:val="right"/>
              <w:rPr>
                <w:bCs w:val="0"/>
                <w:sz w:val="14"/>
                <w:szCs w:val="14"/>
              </w:rPr>
            </w:pPr>
          </w:p>
        </w:tc>
        <w:tc>
          <w:tcPr>
            <w:tcW w:w="94" w:type="dxa"/>
            <w:tcBorders>
              <w:top w:val="nil"/>
              <w:left w:val="nil"/>
              <w:right w:val="nil"/>
            </w:tcBorders>
            <w:shd w:val="clear" w:color="auto" w:fill="auto"/>
            <w:vAlign w:val="bottom"/>
          </w:tcPr>
          <w:p w14:paraId="0F5F7333" w14:textId="77777777" w:rsidR="003734F4" w:rsidRPr="00EF4DEE" w:rsidRDefault="003734F4" w:rsidP="003734F4">
            <w:pPr>
              <w:ind w:right="18"/>
              <w:jc w:val="right"/>
              <w:rPr>
                <w:bCs w:val="0"/>
                <w:sz w:val="14"/>
                <w:szCs w:val="14"/>
              </w:rPr>
            </w:pPr>
          </w:p>
        </w:tc>
        <w:tc>
          <w:tcPr>
            <w:tcW w:w="1047" w:type="dxa"/>
            <w:tcBorders>
              <w:top w:val="single" w:sz="4" w:space="0" w:color="auto"/>
              <w:left w:val="nil"/>
              <w:right w:val="nil"/>
            </w:tcBorders>
            <w:shd w:val="clear" w:color="auto" w:fill="auto"/>
            <w:vAlign w:val="bottom"/>
          </w:tcPr>
          <w:p w14:paraId="5BD3138A" w14:textId="77777777" w:rsidR="003734F4" w:rsidRPr="00EF4DEE" w:rsidRDefault="003734F4" w:rsidP="003734F4">
            <w:pPr>
              <w:ind w:right="57"/>
              <w:jc w:val="right"/>
              <w:rPr>
                <w:bCs w:val="0"/>
                <w:sz w:val="14"/>
                <w:szCs w:val="14"/>
              </w:rPr>
            </w:pPr>
          </w:p>
        </w:tc>
        <w:tc>
          <w:tcPr>
            <w:tcW w:w="100" w:type="dxa"/>
            <w:tcBorders>
              <w:top w:val="nil"/>
              <w:left w:val="nil"/>
              <w:right w:val="nil"/>
            </w:tcBorders>
            <w:shd w:val="clear" w:color="auto" w:fill="auto"/>
            <w:vAlign w:val="bottom"/>
          </w:tcPr>
          <w:p w14:paraId="4BA16ED2" w14:textId="77777777" w:rsidR="003734F4" w:rsidRPr="00EF4DEE" w:rsidRDefault="003734F4" w:rsidP="003734F4">
            <w:pPr>
              <w:ind w:right="18"/>
              <w:jc w:val="right"/>
              <w:rPr>
                <w:bCs w:val="0"/>
                <w:sz w:val="14"/>
                <w:szCs w:val="14"/>
              </w:rPr>
            </w:pPr>
          </w:p>
        </w:tc>
        <w:tc>
          <w:tcPr>
            <w:tcW w:w="1070" w:type="dxa"/>
            <w:tcBorders>
              <w:top w:val="single" w:sz="4" w:space="0" w:color="auto"/>
              <w:left w:val="nil"/>
              <w:right w:val="nil"/>
            </w:tcBorders>
            <w:shd w:val="clear" w:color="auto" w:fill="auto"/>
            <w:vAlign w:val="bottom"/>
          </w:tcPr>
          <w:p w14:paraId="0BA94E10" w14:textId="77777777" w:rsidR="003734F4" w:rsidRPr="00EF4DEE" w:rsidRDefault="003734F4" w:rsidP="003734F4">
            <w:pPr>
              <w:ind w:right="57"/>
              <w:jc w:val="right"/>
              <w:rPr>
                <w:bCs w:val="0"/>
                <w:sz w:val="14"/>
                <w:szCs w:val="14"/>
              </w:rPr>
            </w:pPr>
          </w:p>
        </w:tc>
        <w:tc>
          <w:tcPr>
            <w:tcW w:w="94" w:type="dxa"/>
            <w:tcBorders>
              <w:top w:val="nil"/>
              <w:left w:val="nil"/>
              <w:right w:val="nil"/>
            </w:tcBorders>
            <w:shd w:val="clear" w:color="auto" w:fill="auto"/>
            <w:vAlign w:val="bottom"/>
          </w:tcPr>
          <w:p w14:paraId="7924683E" w14:textId="77777777" w:rsidR="003734F4" w:rsidRPr="00EF4DEE" w:rsidRDefault="003734F4" w:rsidP="003734F4">
            <w:pPr>
              <w:ind w:right="57"/>
              <w:jc w:val="right"/>
              <w:rPr>
                <w:bCs w:val="0"/>
                <w:sz w:val="14"/>
                <w:szCs w:val="14"/>
              </w:rPr>
            </w:pPr>
          </w:p>
        </w:tc>
        <w:tc>
          <w:tcPr>
            <w:tcW w:w="1101" w:type="dxa"/>
            <w:tcBorders>
              <w:top w:val="single" w:sz="4" w:space="0" w:color="auto"/>
              <w:left w:val="nil"/>
              <w:right w:val="nil"/>
            </w:tcBorders>
            <w:vAlign w:val="bottom"/>
          </w:tcPr>
          <w:p w14:paraId="04C007B7" w14:textId="77777777" w:rsidR="003734F4" w:rsidRPr="00EF4DEE" w:rsidRDefault="003734F4" w:rsidP="003734F4">
            <w:pPr>
              <w:ind w:left="-57" w:right="57"/>
              <w:jc w:val="right"/>
              <w:rPr>
                <w:bCs w:val="0"/>
                <w:sz w:val="14"/>
                <w:szCs w:val="14"/>
              </w:rPr>
            </w:pPr>
          </w:p>
        </w:tc>
        <w:tc>
          <w:tcPr>
            <w:tcW w:w="94" w:type="dxa"/>
            <w:tcBorders>
              <w:top w:val="nil"/>
              <w:left w:val="nil"/>
              <w:right w:val="nil"/>
            </w:tcBorders>
            <w:vAlign w:val="bottom"/>
          </w:tcPr>
          <w:p w14:paraId="55F4AE41" w14:textId="77777777" w:rsidR="003734F4" w:rsidRPr="00EF4DEE" w:rsidRDefault="003734F4" w:rsidP="003734F4">
            <w:pPr>
              <w:ind w:left="-57" w:right="57"/>
              <w:jc w:val="right"/>
              <w:rPr>
                <w:bCs w:val="0"/>
                <w:sz w:val="14"/>
                <w:szCs w:val="14"/>
              </w:rPr>
            </w:pPr>
          </w:p>
        </w:tc>
        <w:tc>
          <w:tcPr>
            <w:tcW w:w="1133" w:type="dxa"/>
            <w:tcBorders>
              <w:top w:val="single" w:sz="4" w:space="0" w:color="auto"/>
              <w:left w:val="nil"/>
              <w:right w:val="nil"/>
            </w:tcBorders>
            <w:shd w:val="clear" w:color="auto" w:fill="auto"/>
            <w:vAlign w:val="bottom"/>
          </w:tcPr>
          <w:p w14:paraId="26CDC4FD" w14:textId="77777777" w:rsidR="003734F4" w:rsidRPr="00EF4DEE" w:rsidRDefault="003734F4" w:rsidP="003734F4">
            <w:pPr>
              <w:ind w:left="-57" w:right="57"/>
              <w:jc w:val="right"/>
              <w:rPr>
                <w:bCs w:val="0"/>
                <w:sz w:val="14"/>
                <w:szCs w:val="14"/>
              </w:rPr>
            </w:pPr>
          </w:p>
        </w:tc>
        <w:tc>
          <w:tcPr>
            <w:tcW w:w="1511" w:type="dxa"/>
            <w:tcBorders>
              <w:top w:val="nil"/>
              <w:left w:val="nil"/>
              <w:right w:val="nil"/>
            </w:tcBorders>
            <w:shd w:val="clear" w:color="auto" w:fill="auto"/>
            <w:vAlign w:val="bottom"/>
          </w:tcPr>
          <w:p w14:paraId="3F0ADB6D" w14:textId="77777777" w:rsidR="003734F4" w:rsidRPr="00C61D2A" w:rsidRDefault="003734F4" w:rsidP="003734F4">
            <w:pPr>
              <w:tabs>
                <w:tab w:val="left" w:pos="1410"/>
              </w:tabs>
              <w:ind w:right="57"/>
              <w:jc w:val="right"/>
              <w:rPr>
                <w:i/>
                <w:iCs/>
                <w:sz w:val="14"/>
                <w:szCs w:val="14"/>
              </w:rPr>
            </w:pPr>
          </w:p>
        </w:tc>
      </w:tr>
      <w:tr w:rsidR="003734F4" w:rsidRPr="001775FB" w14:paraId="1097B9D3" w14:textId="77777777" w:rsidTr="003734F4">
        <w:trPr>
          <w:cantSplit/>
        </w:trPr>
        <w:tc>
          <w:tcPr>
            <w:tcW w:w="1820" w:type="dxa"/>
            <w:tcBorders>
              <w:top w:val="nil"/>
              <w:left w:val="nil"/>
              <w:right w:val="nil"/>
            </w:tcBorders>
            <w:shd w:val="clear" w:color="auto" w:fill="auto"/>
            <w:vAlign w:val="bottom"/>
          </w:tcPr>
          <w:p w14:paraId="32A177F4" w14:textId="77777777" w:rsidR="003734F4" w:rsidRPr="001775FB" w:rsidRDefault="003734F4" w:rsidP="003734F4">
            <w:pPr>
              <w:ind w:left="567" w:right="17" w:hanging="142"/>
              <w:rPr>
                <w:bCs w:val="0"/>
                <w:sz w:val="14"/>
                <w:szCs w:val="14"/>
              </w:rPr>
            </w:pPr>
            <w:r w:rsidRPr="001775FB">
              <w:rPr>
                <w:bCs w:val="0"/>
                <w:sz w:val="14"/>
                <w:szCs w:val="14"/>
              </w:rPr>
              <w:t>Sub jumlah</w:t>
            </w:r>
          </w:p>
        </w:tc>
        <w:tc>
          <w:tcPr>
            <w:tcW w:w="1133" w:type="dxa"/>
            <w:tcBorders>
              <w:left w:val="nil"/>
              <w:bottom w:val="single" w:sz="4" w:space="0" w:color="auto"/>
              <w:right w:val="nil"/>
            </w:tcBorders>
            <w:shd w:val="clear" w:color="auto" w:fill="auto"/>
            <w:vAlign w:val="bottom"/>
          </w:tcPr>
          <w:p w14:paraId="7783A5B4" w14:textId="62027D67" w:rsidR="003734F4" w:rsidRPr="00EF4DEE" w:rsidRDefault="003734F4" w:rsidP="003734F4">
            <w:pPr>
              <w:ind w:left="-57" w:right="57"/>
              <w:jc w:val="right"/>
              <w:rPr>
                <w:bCs w:val="0"/>
                <w:sz w:val="12"/>
                <w:szCs w:val="12"/>
                <w:lang w:val="id-ID"/>
              </w:rPr>
            </w:pPr>
            <w:r w:rsidRPr="00EF4DEE">
              <w:rPr>
                <w:bCs w:val="0"/>
                <w:sz w:val="12"/>
                <w:szCs w:val="12"/>
              </w:rPr>
              <w:t>629.006.272.888</w:t>
            </w:r>
          </w:p>
        </w:tc>
        <w:tc>
          <w:tcPr>
            <w:tcW w:w="94" w:type="dxa"/>
            <w:tcBorders>
              <w:left w:val="nil"/>
              <w:right w:val="nil"/>
            </w:tcBorders>
            <w:shd w:val="clear" w:color="auto" w:fill="auto"/>
            <w:vAlign w:val="bottom"/>
          </w:tcPr>
          <w:p w14:paraId="1078D0F8" w14:textId="77777777" w:rsidR="003734F4" w:rsidRPr="00EF4DEE" w:rsidRDefault="003734F4" w:rsidP="003734F4">
            <w:pPr>
              <w:ind w:right="18"/>
              <w:jc w:val="right"/>
              <w:rPr>
                <w:bCs w:val="0"/>
                <w:sz w:val="12"/>
                <w:szCs w:val="12"/>
              </w:rPr>
            </w:pPr>
          </w:p>
        </w:tc>
        <w:tc>
          <w:tcPr>
            <w:tcW w:w="1047" w:type="dxa"/>
            <w:tcBorders>
              <w:left w:val="nil"/>
              <w:bottom w:val="single" w:sz="4" w:space="0" w:color="auto"/>
              <w:right w:val="nil"/>
            </w:tcBorders>
            <w:shd w:val="clear" w:color="auto" w:fill="auto"/>
            <w:vAlign w:val="bottom"/>
          </w:tcPr>
          <w:p w14:paraId="05F58733" w14:textId="5AB7CBEB" w:rsidR="003734F4" w:rsidRPr="00E42D9B" w:rsidRDefault="001547D8" w:rsidP="003734F4">
            <w:pPr>
              <w:ind w:right="57"/>
              <w:jc w:val="right"/>
              <w:rPr>
                <w:bCs w:val="0"/>
                <w:sz w:val="12"/>
                <w:szCs w:val="12"/>
              </w:rPr>
            </w:pPr>
            <w:r>
              <w:rPr>
                <w:bCs w:val="0"/>
                <w:sz w:val="12"/>
                <w:szCs w:val="12"/>
              </w:rPr>
              <w:t>22.524.746.391</w:t>
            </w:r>
          </w:p>
        </w:tc>
        <w:tc>
          <w:tcPr>
            <w:tcW w:w="100" w:type="dxa"/>
            <w:tcBorders>
              <w:left w:val="nil"/>
              <w:right w:val="nil"/>
            </w:tcBorders>
            <w:shd w:val="clear" w:color="auto" w:fill="auto"/>
            <w:vAlign w:val="bottom"/>
          </w:tcPr>
          <w:p w14:paraId="37505F7B" w14:textId="77777777" w:rsidR="003734F4" w:rsidRPr="00EF4DEE" w:rsidRDefault="003734F4" w:rsidP="003734F4">
            <w:pPr>
              <w:ind w:right="18"/>
              <w:jc w:val="right"/>
              <w:rPr>
                <w:bCs w:val="0"/>
                <w:sz w:val="12"/>
                <w:szCs w:val="12"/>
              </w:rPr>
            </w:pPr>
          </w:p>
        </w:tc>
        <w:tc>
          <w:tcPr>
            <w:tcW w:w="1070" w:type="dxa"/>
            <w:tcBorders>
              <w:left w:val="nil"/>
              <w:bottom w:val="single" w:sz="4" w:space="0" w:color="auto"/>
              <w:right w:val="nil"/>
            </w:tcBorders>
            <w:shd w:val="clear" w:color="auto" w:fill="auto"/>
            <w:vAlign w:val="bottom"/>
          </w:tcPr>
          <w:p w14:paraId="42E83917" w14:textId="0D6172B4" w:rsidR="003734F4" w:rsidRPr="00EF4DEE" w:rsidRDefault="001547D8" w:rsidP="001547D8">
            <w:pPr>
              <w:ind w:right="57"/>
              <w:jc w:val="right"/>
              <w:rPr>
                <w:bCs w:val="0"/>
                <w:sz w:val="12"/>
                <w:szCs w:val="12"/>
              </w:rPr>
            </w:pPr>
            <w:r>
              <w:rPr>
                <w:bCs w:val="0"/>
                <w:sz w:val="12"/>
                <w:szCs w:val="12"/>
              </w:rPr>
              <w:t>-</w:t>
            </w:r>
          </w:p>
        </w:tc>
        <w:tc>
          <w:tcPr>
            <w:tcW w:w="94" w:type="dxa"/>
            <w:tcBorders>
              <w:left w:val="nil"/>
              <w:right w:val="nil"/>
            </w:tcBorders>
            <w:shd w:val="clear" w:color="auto" w:fill="auto"/>
            <w:vAlign w:val="bottom"/>
          </w:tcPr>
          <w:p w14:paraId="61E2FF2B" w14:textId="77777777" w:rsidR="003734F4" w:rsidRPr="00EF4DEE" w:rsidRDefault="003734F4" w:rsidP="003734F4">
            <w:pPr>
              <w:ind w:right="57"/>
              <w:jc w:val="right"/>
              <w:rPr>
                <w:bCs w:val="0"/>
                <w:sz w:val="12"/>
                <w:szCs w:val="12"/>
              </w:rPr>
            </w:pPr>
          </w:p>
        </w:tc>
        <w:tc>
          <w:tcPr>
            <w:tcW w:w="1101" w:type="dxa"/>
            <w:tcBorders>
              <w:left w:val="nil"/>
              <w:bottom w:val="single" w:sz="4" w:space="0" w:color="auto"/>
              <w:right w:val="nil"/>
            </w:tcBorders>
            <w:vAlign w:val="bottom"/>
          </w:tcPr>
          <w:p w14:paraId="5C641054" w14:textId="6E7A1C09" w:rsidR="003734F4" w:rsidRPr="001547D8" w:rsidRDefault="001547D8" w:rsidP="003734F4">
            <w:pPr>
              <w:ind w:left="-57" w:right="57"/>
              <w:jc w:val="right"/>
              <w:rPr>
                <w:bCs w:val="0"/>
                <w:sz w:val="12"/>
                <w:szCs w:val="12"/>
              </w:rPr>
            </w:pPr>
            <w:r>
              <w:rPr>
                <w:bCs w:val="0"/>
                <w:sz w:val="12"/>
                <w:szCs w:val="12"/>
              </w:rPr>
              <w:t>-</w:t>
            </w:r>
          </w:p>
        </w:tc>
        <w:tc>
          <w:tcPr>
            <w:tcW w:w="94" w:type="dxa"/>
            <w:tcBorders>
              <w:left w:val="nil"/>
              <w:right w:val="nil"/>
            </w:tcBorders>
            <w:vAlign w:val="bottom"/>
          </w:tcPr>
          <w:p w14:paraId="05D33C16" w14:textId="77777777" w:rsidR="003734F4" w:rsidRPr="00EF4DEE" w:rsidRDefault="003734F4" w:rsidP="003734F4">
            <w:pPr>
              <w:ind w:left="-57" w:right="57"/>
              <w:jc w:val="right"/>
              <w:rPr>
                <w:bCs w:val="0"/>
                <w:sz w:val="12"/>
                <w:szCs w:val="12"/>
              </w:rPr>
            </w:pPr>
          </w:p>
        </w:tc>
        <w:tc>
          <w:tcPr>
            <w:tcW w:w="1133" w:type="dxa"/>
            <w:tcBorders>
              <w:left w:val="nil"/>
              <w:bottom w:val="single" w:sz="4" w:space="0" w:color="auto"/>
              <w:right w:val="nil"/>
            </w:tcBorders>
            <w:shd w:val="clear" w:color="auto" w:fill="auto"/>
            <w:vAlign w:val="bottom"/>
          </w:tcPr>
          <w:p w14:paraId="13B4DC1B" w14:textId="4394C24B" w:rsidR="003734F4" w:rsidRPr="00EF4DEE" w:rsidRDefault="001547D8" w:rsidP="003734F4">
            <w:pPr>
              <w:ind w:left="-57" w:right="57"/>
              <w:jc w:val="right"/>
              <w:rPr>
                <w:bCs w:val="0"/>
                <w:sz w:val="12"/>
                <w:szCs w:val="12"/>
              </w:rPr>
            </w:pPr>
            <w:r>
              <w:rPr>
                <w:bCs w:val="0"/>
                <w:sz w:val="12"/>
                <w:szCs w:val="12"/>
              </w:rPr>
              <w:t>651.531.019.279</w:t>
            </w:r>
          </w:p>
        </w:tc>
        <w:tc>
          <w:tcPr>
            <w:tcW w:w="1511" w:type="dxa"/>
            <w:tcBorders>
              <w:top w:val="nil"/>
              <w:left w:val="nil"/>
              <w:right w:val="nil"/>
            </w:tcBorders>
            <w:shd w:val="clear" w:color="auto" w:fill="auto"/>
            <w:vAlign w:val="bottom"/>
          </w:tcPr>
          <w:p w14:paraId="1C6CAF8F" w14:textId="2827C602" w:rsidR="003734F4" w:rsidRPr="001775FB" w:rsidRDefault="003734F4" w:rsidP="003734F4">
            <w:pPr>
              <w:tabs>
                <w:tab w:val="left" w:pos="1410"/>
              </w:tabs>
              <w:ind w:right="57"/>
              <w:jc w:val="right"/>
              <w:rPr>
                <w:i/>
                <w:iCs/>
                <w:sz w:val="14"/>
                <w:szCs w:val="14"/>
              </w:rPr>
            </w:pPr>
            <w:r>
              <w:rPr>
                <w:i/>
                <w:iCs/>
                <w:sz w:val="14"/>
                <w:szCs w:val="14"/>
              </w:rPr>
              <w:t>Sub total</w:t>
            </w:r>
          </w:p>
        </w:tc>
      </w:tr>
      <w:tr w:rsidR="003734F4" w:rsidRPr="00C61D2A" w14:paraId="503C11B6" w14:textId="77777777" w:rsidTr="001547D8">
        <w:trPr>
          <w:cantSplit/>
        </w:trPr>
        <w:tc>
          <w:tcPr>
            <w:tcW w:w="1820" w:type="dxa"/>
            <w:tcBorders>
              <w:top w:val="nil"/>
              <w:left w:val="nil"/>
              <w:right w:val="nil"/>
            </w:tcBorders>
            <w:shd w:val="clear" w:color="auto" w:fill="auto"/>
            <w:vAlign w:val="bottom"/>
          </w:tcPr>
          <w:p w14:paraId="27C081F6" w14:textId="77777777" w:rsidR="003734F4" w:rsidRPr="00C61D2A" w:rsidRDefault="003734F4" w:rsidP="003734F4">
            <w:pPr>
              <w:ind w:left="567" w:right="17" w:hanging="142"/>
              <w:rPr>
                <w:bCs w:val="0"/>
                <w:sz w:val="14"/>
                <w:szCs w:val="14"/>
              </w:rPr>
            </w:pPr>
          </w:p>
        </w:tc>
        <w:tc>
          <w:tcPr>
            <w:tcW w:w="1133" w:type="dxa"/>
            <w:tcBorders>
              <w:top w:val="single" w:sz="4" w:space="0" w:color="auto"/>
              <w:left w:val="nil"/>
              <w:right w:val="nil"/>
            </w:tcBorders>
            <w:shd w:val="clear" w:color="auto" w:fill="auto"/>
            <w:vAlign w:val="bottom"/>
          </w:tcPr>
          <w:p w14:paraId="1F467796" w14:textId="77777777" w:rsidR="003734F4" w:rsidRPr="00EF4DEE" w:rsidRDefault="003734F4" w:rsidP="003734F4">
            <w:pPr>
              <w:ind w:left="-57" w:right="57"/>
              <w:jc w:val="right"/>
              <w:rPr>
                <w:bCs w:val="0"/>
                <w:sz w:val="14"/>
                <w:szCs w:val="14"/>
              </w:rPr>
            </w:pPr>
          </w:p>
        </w:tc>
        <w:tc>
          <w:tcPr>
            <w:tcW w:w="94" w:type="dxa"/>
            <w:tcBorders>
              <w:left w:val="nil"/>
              <w:right w:val="nil"/>
            </w:tcBorders>
            <w:shd w:val="clear" w:color="auto" w:fill="auto"/>
            <w:vAlign w:val="bottom"/>
          </w:tcPr>
          <w:p w14:paraId="6D667853" w14:textId="77777777" w:rsidR="003734F4" w:rsidRPr="00EF4DEE" w:rsidRDefault="003734F4" w:rsidP="003734F4">
            <w:pPr>
              <w:ind w:right="18"/>
              <w:jc w:val="right"/>
              <w:rPr>
                <w:bCs w:val="0"/>
                <w:sz w:val="14"/>
                <w:szCs w:val="14"/>
              </w:rPr>
            </w:pPr>
          </w:p>
        </w:tc>
        <w:tc>
          <w:tcPr>
            <w:tcW w:w="1047" w:type="dxa"/>
            <w:tcBorders>
              <w:top w:val="single" w:sz="4" w:space="0" w:color="auto"/>
              <w:left w:val="nil"/>
              <w:right w:val="nil"/>
            </w:tcBorders>
            <w:shd w:val="clear" w:color="auto" w:fill="auto"/>
            <w:vAlign w:val="bottom"/>
          </w:tcPr>
          <w:p w14:paraId="0F230942" w14:textId="77777777" w:rsidR="003734F4" w:rsidRPr="00EF4DEE" w:rsidRDefault="003734F4" w:rsidP="003734F4">
            <w:pPr>
              <w:ind w:right="57"/>
              <w:jc w:val="right"/>
              <w:rPr>
                <w:bCs w:val="0"/>
                <w:sz w:val="14"/>
                <w:szCs w:val="14"/>
              </w:rPr>
            </w:pPr>
          </w:p>
        </w:tc>
        <w:tc>
          <w:tcPr>
            <w:tcW w:w="100" w:type="dxa"/>
            <w:tcBorders>
              <w:left w:val="nil"/>
              <w:right w:val="nil"/>
            </w:tcBorders>
            <w:shd w:val="clear" w:color="auto" w:fill="auto"/>
            <w:vAlign w:val="bottom"/>
          </w:tcPr>
          <w:p w14:paraId="4E26DB41" w14:textId="77777777" w:rsidR="003734F4" w:rsidRPr="00EF4DEE" w:rsidRDefault="003734F4" w:rsidP="003734F4">
            <w:pPr>
              <w:ind w:right="18"/>
              <w:jc w:val="right"/>
              <w:rPr>
                <w:bCs w:val="0"/>
                <w:sz w:val="14"/>
                <w:szCs w:val="14"/>
              </w:rPr>
            </w:pPr>
          </w:p>
        </w:tc>
        <w:tc>
          <w:tcPr>
            <w:tcW w:w="1070" w:type="dxa"/>
            <w:tcBorders>
              <w:top w:val="single" w:sz="4" w:space="0" w:color="auto"/>
              <w:left w:val="nil"/>
              <w:right w:val="nil"/>
            </w:tcBorders>
            <w:shd w:val="clear" w:color="auto" w:fill="auto"/>
            <w:vAlign w:val="bottom"/>
          </w:tcPr>
          <w:p w14:paraId="280126A0" w14:textId="77777777" w:rsidR="003734F4" w:rsidRPr="00EF4DEE" w:rsidRDefault="003734F4" w:rsidP="003734F4">
            <w:pPr>
              <w:ind w:right="57"/>
              <w:jc w:val="right"/>
              <w:rPr>
                <w:bCs w:val="0"/>
                <w:sz w:val="14"/>
                <w:szCs w:val="14"/>
              </w:rPr>
            </w:pPr>
          </w:p>
        </w:tc>
        <w:tc>
          <w:tcPr>
            <w:tcW w:w="94" w:type="dxa"/>
            <w:tcBorders>
              <w:left w:val="nil"/>
              <w:right w:val="nil"/>
            </w:tcBorders>
            <w:shd w:val="clear" w:color="auto" w:fill="auto"/>
            <w:vAlign w:val="bottom"/>
          </w:tcPr>
          <w:p w14:paraId="4F337F7F" w14:textId="77777777" w:rsidR="003734F4" w:rsidRPr="00EF4DEE" w:rsidRDefault="003734F4" w:rsidP="003734F4">
            <w:pPr>
              <w:ind w:right="57"/>
              <w:jc w:val="right"/>
              <w:rPr>
                <w:bCs w:val="0"/>
                <w:sz w:val="14"/>
                <w:szCs w:val="14"/>
              </w:rPr>
            </w:pPr>
          </w:p>
        </w:tc>
        <w:tc>
          <w:tcPr>
            <w:tcW w:w="1101" w:type="dxa"/>
            <w:tcBorders>
              <w:top w:val="single" w:sz="4" w:space="0" w:color="auto"/>
              <w:left w:val="nil"/>
              <w:right w:val="nil"/>
            </w:tcBorders>
            <w:vAlign w:val="bottom"/>
          </w:tcPr>
          <w:p w14:paraId="05AF0DE5" w14:textId="77777777" w:rsidR="003734F4" w:rsidRPr="00EF4DEE" w:rsidRDefault="003734F4" w:rsidP="003734F4">
            <w:pPr>
              <w:ind w:left="-57" w:right="57"/>
              <w:jc w:val="right"/>
              <w:rPr>
                <w:bCs w:val="0"/>
                <w:sz w:val="14"/>
                <w:szCs w:val="14"/>
              </w:rPr>
            </w:pPr>
          </w:p>
        </w:tc>
        <w:tc>
          <w:tcPr>
            <w:tcW w:w="94" w:type="dxa"/>
            <w:tcBorders>
              <w:left w:val="nil"/>
              <w:right w:val="nil"/>
            </w:tcBorders>
            <w:vAlign w:val="bottom"/>
          </w:tcPr>
          <w:p w14:paraId="27B4CD1B" w14:textId="77777777" w:rsidR="003734F4" w:rsidRPr="00EF4DEE" w:rsidRDefault="003734F4" w:rsidP="003734F4">
            <w:pPr>
              <w:ind w:left="-57" w:right="57"/>
              <w:jc w:val="right"/>
              <w:rPr>
                <w:bCs w:val="0"/>
                <w:sz w:val="14"/>
                <w:szCs w:val="14"/>
              </w:rPr>
            </w:pPr>
          </w:p>
        </w:tc>
        <w:tc>
          <w:tcPr>
            <w:tcW w:w="1133" w:type="dxa"/>
            <w:tcBorders>
              <w:top w:val="single" w:sz="4" w:space="0" w:color="auto"/>
              <w:left w:val="nil"/>
              <w:right w:val="nil"/>
            </w:tcBorders>
            <w:shd w:val="clear" w:color="auto" w:fill="auto"/>
            <w:vAlign w:val="bottom"/>
          </w:tcPr>
          <w:p w14:paraId="5E2D4026" w14:textId="77777777" w:rsidR="003734F4" w:rsidRPr="00EF4DEE" w:rsidRDefault="003734F4" w:rsidP="003734F4">
            <w:pPr>
              <w:ind w:left="-57" w:right="57"/>
              <w:jc w:val="right"/>
              <w:rPr>
                <w:bCs w:val="0"/>
                <w:sz w:val="14"/>
                <w:szCs w:val="14"/>
              </w:rPr>
            </w:pPr>
          </w:p>
        </w:tc>
        <w:tc>
          <w:tcPr>
            <w:tcW w:w="1511" w:type="dxa"/>
            <w:tcBorders>
              <w:top w:val="nil"/>
              <w:left w:val="nil"/>
              <w:right w:val="nil"/>
            </w:tcBorders>
            <w:shd w:val="clear" w:color="auto" w:fill="auto"/>
            <w:vAlign w:val="bottom"/>
          </w:tcPr>
          <w:p w14:paraId="0902EC9E" w14:textId="77777777" w:rsidR="003734F4" w:rsidRPr="00C61D2A" w:rsidRDefault="003734F4" w:rsidP="003734F4">
            <w:pPr>
              <w:tabs>
                <w:tab w:val="left" w:pos="1410"/>
              </w:tabs>
              <w:ind w:right="57"/>
              <w:jc w:val="right"/>
              <w:rPr>
                <w:i/>
                <w:iCs/>
                <w:sz w:val="14"/>
                <w:szCs w:val="14"/>
              </w:rPr>
            </w:pPr>
          </w:p>
        </w:tc>
      </w:tr>
      <w:tr w:rsidR="000C441E" w:rsidRPr="001775FB" w14:paraId="29E765EA" w14:textId="77777777" w:rsidTr="001547D8">
        <w:trPr>
          <w:cantSplit/>
        </w:trPr>
        <w:tc>
          <w:tcPr>
            <w:tcW w:w="1820" w:type="dxa"/>
            <w:tcBorders>
              <w:left w:val="nil"/>
              <w:right w:val="nil"/>
            </w:tcBorders>
            <w:shd w:val="clear" w:color="auto" w:fill="auto"/>
            <w:vAlign w:val="bottom"/>
          </w:tcPr>
          <w:p w14:paraId="2B804251" w14:textId="0269489F" w:rsidR="00D47B7B" w:rsidRPr="007E5BAC" w:rsidRDefault="007E5BAC" w:rsidP="00D47B7B">
            <w:pPr>
              <w:ind w:left="567" w:right="17" w:hanging="142"/>
              <w:rPr>
                <w:bCs w:val="0"/>
                <w:sz w:val="14"/>
                <w:szCs w:val="14"/>
                <w:lang w:val="id-ID"/>
              </w:rPr>
            </w:pPr>
            <w:r>
              <w:rPr>
                <w:bCs w:val="0"/>
                <w:sz w:val="14"/>
                <w:szCs w:val="14"/>
              </w:rPr>
              <w:t>A</w:t>
            </w:r>
            <w:r>
              <w:rPr>
                <w:bCs w:val="0"/>
                <w:sz w:val="14"/>
                <w:szCs w:val="14"/>
                <w:lang w:val="id-ID"/>
              </w:rPr>
              <w:t>s</w:t>
            </w:r>
            <w:r w:rsidR="00D47B7B">
              <w:rPr>
                <w:bCs w:val="0"/>
                <w:sz w:val="14"/>
                <w:szCs w:val="14"/>
              </w:rPr>
              <w:t>et Hak Guna</w:t>
            </w:r>
          </w:p>
        </w:tc>
        <w:tc>
          <w:tcPr>
            <w:tcW w:w="1133" w:type="dxa"/>
            <w:tcBorders>
              <w:left w:val="nil"/>
              <w:bottom w:val="single" w:sz="4" w:space="0" w:color="auto"/>
              <w:right w:val="nil"/>
            </w:tcBorders>
            <w:shd w:val="clear" w:color="auto" w:fill="auto"/>
            <w:vAlign w:val="bottom"/>
          </w:tcPr>
          <w:p w14:paraId="727CF70A" w14:textId="0DF22A69" w:rsidR="000C441E" w:rsidRPr="00EF4DEE" w:rsidRDefault="001547D8" w:rsidP="003734F4">
            <w:pPr>
              <w:ind w:left="-57" w:right="57"/>
              <w:jc w:val="right"/>
              <w:rPr>
                <w:bCs w:val="0"/>
                <w:sz w:val="12"/>
                <w:szCs w:val="12"/>
              </w:rPr>
            </w:pPr>
            <w:r>
              <w:rPr>
                <w:bCs w:val="0"/>
                <w:sz w:val="12"/>
                <w:szCs w:val="12"/>
              </w:rPr>
              <w:t>-</w:t>
            </w:r>
          </w:p>
        </w:tc>
        <w:tc>
          <w:tcPr>
            <w:tcW w:w="94" w:type="dxa"/>
            <w:tcBorders>
              <w:left w:val="nil"/>
              <w:right w:val="nil"/>
            </w:tcBorders>
            <w:shd w:val="clear" w:color="auto" w:fill="auto"/>
            <w:vAlign w:val="bottom"/>
          </w:tcPr>
          <w:p w14:paraId="3F1E1DC3" w14:textId="77777777" w:rsidR="000C441E" w:rsidRPr="00EF4DEE" w:rsidRDefault="000C441E" w:rsidP="003734F4">
            <w:pPr>
              <w:ind w:right="18"/>
              <w:jc w:val="right"/>
              <w:rPr>
                <w:bCs w:val="0"/>
                <w:sz w:val="12"/>
                <w:szCs w:val="12"/>
              </w:rPr>
            </w:pPr>
          </w:p>
        </w:tc>
        <w:tc>
          <w:tcPr>
            <w:tcW w:w="1047" w:type="dxa"/>
            <w:tcBorders>
              <w:left w:val="nil"/>
              <w:right w:val="nil"/>
            </w:tcBorders>
            <w:shd w:val="clear" w:color="auto" w:fill="auto"/>
            <w:vAlign w:val="bottom"/>
          </w:tcPr>
          <w:p w14:paraId="0168A7AC" w14:textId="27A684BF" w:rsidR="000C441E" w:rsidRPr="00EF4DEE" w:rsidRDefault="00B81E8F" w:rsidP="003734F4">
            <w:pPr>
              <w:ind w:right="57"/>
              <w:jc w:val="right"/>
              <w:rPr>
                <w:bCs w:val="0"/>
                <w:sz w:val="12"/>
                <w:szCs w:val="12"/>
              </w:rPr>
            </w:pPr>
            <w:r w:rsidRPr="00EF4DEE">
              <w:rPr>
                <w:bCs w:val="0"/>
                <w:sz w:val="12"/>
                <w:szCs w:val="12"/>
              </w:rPr>
              <w:t>3.906.315.500</w:t>
            </w:r>
          </w:p>
        </w:tc>
        <w:tc>
          <w:tcPr>
            <w:tcW w:w="100" w:type="dxa"/>
            <w:tcBorders>
              <w:left w:val="nil"/>
              <w:right w:val="nil"/>
            </w:tcBorders>
            <w:shd w:val="clear" w:color="auto" w:fill="auto"/>
            <w:vAlign w:val="bottom"/>
          </w:tcPr>
          <w:p w14:paraId="26F51F31" w14:textId="77777777" w:rsidR="000C441E" w:rsidRPr="00EF4DEE" w:rsidRDefault="000C441E" w:rsidP="003734F4">
            <w:pPr>
              <w:ind w:right="18"/>
              <w:jc w:val="right"/>
              <w:rPr>
                <w:bCs w:val="0"/>
                <w:sz w:val="12"/>
                <w:szCs w:val="12"/>
              </w:rPr>
            </w:pPr>
          </w:p>
        </w:tc>
        <w:tc>
          <w:tcPr>
            <w:tcW w:w="1070" w:type="dxa"/>
            <w:tcBorders>
              <w:left w:val="nil"/>
              <w:right w:val="nil"/>
            </w:tcBorders>
            <w:shd w:val="clear" w:color="auto" w:fill="auto"/>
            <w:vAlign w:val="bottom"/>
          </w:tcPr>
          <w:p w14:paraId="205E40F1" w14:textId="5D926B65" w:rsidR="000C441E" w:rsidRPr="00EF4DEE" w:rsidRDefault="001547D8" w:rsidP="003734F4">
            <w:pPr>
              <w:ind w:right="57"/>
              <w:jc w:val="right"/>
              <w:rPr>
                <w:bCs w:val="0"/>
                <w:sz w:val="12"/>
                <w:szCs w:val="12"/>
              </w:rPr>
            </w:pPr>
            <w:r>
              <w:rPr>
                <w:bCs w:val="0"/>
                <w:sz w:val="12"/>
                <w:szCs w:val="12"/>
              </w:rPr>
              <w:t>-</w:t>
            </w:r>
          </w:p>
        </w:tc>
        <w:tc>
          <w:tcPr>
            <w:tcW w:w="94" w:type="dxa"/>
            <w:tcBorders>
              <w:left w:val="nil"/>
              <w:right w:val="nil"/>
            </w:tcBorders>
            <w:shd w:val="clear" w:color="auto" w:fill="auto"/>
            <w:vAlign w:val="bottom"/>
          </w:tcPr>
          <w:p w14:paraId="5AEE2C56" w14:textId="77777777" w:rsidR="000C441E" w:rsidRPr="00EF4DEE" w:rsidRDefault="000C441E" w:rsidP="003734F4">
            <w:pPr>
              <w:ind w:right="57"/>
              <w:jc w:val="right"/>
              <w:rPr>
                <w:bCs w:val="0"/>
                <w:sz w:val="12"/>
                <w:szCs w:val="12"/>
              </w:rPr>
            </w:pPr>
          </w:p>
        </w:tc>
        <w:tc>
          <w:tcPr>
            <w:tcW w:w="1101" w:type="dxa"/>
            <w:tcBorders>
              <w:left w:val="nil"/>
              <w:right w:val="nil"/>
            </w:tcBorders>
            <w:vAlign w:val="bottom"/>
          </w:tcPr>
          <w:p w14:paraId="7E27CC12" w14:textId="552EF1B5" w:rsidR="000C441E" w:rsidRPr="00EF4DEE" w:rsidRDefault="001547D8" w:rsidP="003734F4">
            <w:pPr>
              <w:ind w:left="-57" w:right="57"/>
              <w:jc w:val="right"/>
              <w:rPr>
                <w:bCs w:val="0"/>
                <w:sz w:val="12"/>
                <w:szCs w:val="12"/>
              </w:rPr>
            </w:pPr>
            <w:r>
              <w:rPr>
                <w:bCs w:val="0"/>
                <w:sz w:val="12"/>
                <w:szCs w:val="12"/>
              </w:rPr>
              <w:t>-</w:t>
            </w:r>
          </w:p>
        </w:tc>
        <w:tc>
          <w:tcPr>
            <w:tcW w:w="94" w:type="dxa"/>
            <w:tcBorders>
              <w:left w:val="nil"/>
              <w:right w:val="nil"/>
            </w:tcBorders>
            <w:vAlign w:val="bottom"/>
          </w:tcPr>
          <w:p w14:paraId="57CCDB8E" w14:textId="77777777" w:rsidR="000C441E" w:rsidRPr="00EF4DEE" w:rsidRDefault="000C441E" w:rsidP="003734F4">
            <w:pPr>
              <w:ind w:left="-57" w:right="57"/>
              <w:jc w:val="right"/>
              <w:rPr>
                <w:bCs w:val="0"/>
                <w:sz w:val="12"/>
                <w:szCs w:val="12"/>
              </w:rPr>
            </w:pPr>
          </w:p>
        </w:tc>
        <w:tc>
          <w:tcPr>
            <w:tcW w:w="1133" w:type="dxa"/>
            <w:tcBorders>
              <w:left w:val="nil"/>
              <w:right w:val="nil"/>
            </w:tcBorders>
            <w:shd w:val="clear" w:color="auto" w:fill="auto"/>
            <w:vAlign w:val="bottom"/>
          </w:tcPr>
          <w:p w14:paraId="690FAA94" w14:textId="79124129" w:rsidR="000C441E" w:rsidRPr="00EF4DEE" w:rsidRDefault="00B81E8F" w:rsidP="003734F4">
            <w:pPr>
              <w:ind w:left="-57" w:right="57"/>
              <w:jc w:val="right"/>
              <w:rPr>
                <w:bCs w:val="0"/>
                <w:sz w:val="12"/>
                <w:szCs w:val="12"/>
              </w:rPr>
            </w:pPr>
            <w:r w:rsidRPr="00EF4DEE">
              <w:rPr>
                <w:bCs w:val="0"/>
                <w:sz w:val="12"/>
                <w:szCs w:val="12"/>
              </w:rPr>
              <w:t>3.906.315.500</w:t>
            </w:r>
          </w:p>
        </w:tc>
        <w:tc>
          <w:tcPr>
            <w:tcW w:w="1511" w:type="dxa"/>
            <w:tcBorders>
              <w:left w:val="nil"/>
              <w:right w:val="nil"/>
            </w:tcBorders>
            <w:shd w:val="clear" w:color="auto" w:fill="auto"/>
            <w:vAlign w:val="bottom"/>
          </w:tcPr>
          <w:p w14:paraId="114547FD" w14:textId="1C139C6F" w:rsidR="000C441E" w:rsidRPr="007E5BAC" w:rsidRDefault="007E5BAC" w:rsidP="003734F4">
            <w:pPr>
              <w:ind w:right="118"/>
              <w:jc w:val="right"/>
              <w:rPr>
                <w:i/>
                <w:color w:val="1D1B11"/>
                <w:sz w:val="14"/>
                <w:szCs w:val="14"/>
                <w:lang w:val="id-ID"/>
              </w:rPr>
            </w:pPr>
            <w:r w:rsidRPr="007E5BAC">
              <w:rPr>
                <w:i/>
                <w:color w:val="1D1B11"/>
                <w:sz w:val="14"/>
                <w:szCs w:val="14"/>
                <w:lang w:val="id-ID"/>
              </w:rPr>
              <w:t>Right-of -use</w:t>
            </w:r>
          </w:p>
        </w:tc>
      </w:tr>
      <w:tr w:rsidR="00D47B7B" w:rsidRPr="001775FB" w14:paraId="5C47A429" w14:textId="77777777" w:rsidTr="001547D8">
        <w:trPr>
          <w:cantSplit/>
        </w:trPr>
        <w:tc>
          <w:tcPr>
            <w:tcW w:w="1820" w:type="dxa"/>
            <w:tcBorders>
              <w:left w:val="nil"/>
              <w:right w:val="nil"/>
            </w:tcBorders>
            <w:shd w:val="clear" w:color="auto" w:fill="auto"/>
            <w:vAlign w:val="bottom"/>
          </w:tcPr>
          <w:p w14:paraId="62D13E9A" w14:textId="77777777" w:rsidR="00D47B7B" w:rsidRPr="001775FB" w:rsidRDefault="00D47B7B" w:rsidP="003734F4">
            <w:pPr>
              <w:ind w:left="567" w:right="17" w:hanging="142"/>
              <w:rPr>
                <w:bCs w:val="0"/>
                <w:sz w:val="14"/>
                <w:szCs w:val="14"/>
              </w:rPr>
            </w:pPr>
          </w:p>
        </w:tc>
        <w:tc>
          <w:tcPr>
            <w:tcW w:w="1133" w:type="dxa"/>
            <w:tcBorders>
              <w:top w:val="single" w:sz="4" w:space="0" w:color="auto"/>
              <w:left w:val="nil"/>
              <w:right w:val="nil"/>
            </w:tcBorders>
            <w:shd w:val="clear" w:color="auto" w:fill="auto"/>
            <w:vAlign w:val="bottom"/>
          </w:tcPr>
          <w:p w14:paraId="105B7E94" w14:textId="77777777" w:rsidR="00D47B7B" w:rsidRPr="00EF4DEE" w:rsidRDefault="00D47B7B" w:rsidP="003734F4">
            <w:pPr>
              <w:ind w:left="-57" w:right="57"/>
              <w:jc w:val="right"/>
              <w:rPr>
                <w:bCs w:val="0"/>
                <w:sz w:val="12"/>
                <w:szCs w:val="12"/>
              </w:rPr>
            </w:pPr>
          </w:p>
        </w:tc>
        <w:tc>
          <w:tcPr>
            <w:tcW w:w="94" w:type="dxa"/>
            <w:tcBorders>
              <w:left w:val="nil"/>
              <w:right w:val="nil"/>
            </w:tcBorders>
            <w:shd w:val="clear" w:color="auto" w:fill="auto"/>
            <w:vAlign w:val="bottom"/>
          </w:tcPr>
          <w:p w14:paraId="2113A512" w14:textId="77777777" w:rsidR="00D47B7B" w:rsidRPr="00EF4DEE" w:rsidRDefault="00D47B7B" w:rsidP="003734F4">
            <w:pPr>
              <w:ind w:right="18"/>
              <w:jc w:val="right"/>
              <w:rPr>
                <w:bCs w:val="0"/>
                <w:sz w:val="12"/>
                <w:szCs w:val="12"/>
              </w:rPr>
            </w:pPr>
          </w:p>
        </w:tc>
        <w:tc>
          <w:tcPr>
            <w:tcW w:w="1047" w:type="dxa"/>
            <w:tcBorders>
              <w:top w:val="single" w:sz="4" w:space="0" w:color="auto"/>
              <w:left w:val="nil"/>
              <w:right w:val="nil"/>
            </w:tcBorders>
            <w:shd w:val="clear" w:color="auto" w:fill="auto"/>
            <w:vAlign w:val="bottom"/>
          </w:tcPr>
          <w:p w14:paraId="09B06AF3" w14:textId="77777777" w:rsidR="00D47B7B" w:rsidRPr="00EF4DEE" w:rsidRDefault="00D47B7B" w:rsidP="003734F4">
            <w:pPr>
              <w:ind w:right="57"/>
              <w:jc w:val="right"/>
              <w:rPr>
                <w:bCs w:val="0"/>
                <w:sz w:val="12"/>
                <w:szCs w:val="12"/>
              </w:rPr>
            </w:pPr>
          </w:p>
        </w:tc>
        <w:tc>
          <w:tcPr>
            <w:tcW w:w="100" w:type="dxa"/>
            <w:tcBorders>
              <w:left w:val="nil"/>
              <w:right w:val="nil"/>
            </w:tcBorders>
            <w:shd w:val="clear" w:color="auto" w:fill="auto"/>
            <w:vAlign w:val="bottom"/>
          </w:tcPr>
          <w:p w14:paraId="5003A3B9" w14:textId="77777777" w:rsidR="00D47B7B" w:rsidRPr="00EF4DEE" w:rsidRDefault="00D47B7B" w:rsidP="003734F4">
            <w:pPr>
              <w:ind w:right="18"/>
              <w:jc w:val="right"/>
              <w:rPr>
                <w:bCs w:val="0"/>
                <w:sz w:val="12"/>
                <w:szCs w:val="12"/>
              </w:rPr>
            </w:pPr>
          </w:p>
        </w:tc>
        <w:tc>
          <w:tcPr>
            <w:tcW w:w="1070" w:type="dxa"/>
            <w:tcBorders>
              <w:top w:val="single" w:sz="4" w:space="0" w:color="auto"/>
              <w:left w:val="nil"/>
              <w:right w:val="nil"/>
            </w:tcBorders>
            <w:shd w:val="clear" w:color="auto" w:fill="auto"/>
            <w:vAlign w:val="bottom"/>
          </w:tcPr>
          <w:p w14:paraId="36ACD9EF" w14:textId="77777777" w:rsidR="00D47B7B" w:rsidRPr="00EF4DEE" w:rsidRDefault="00D47B7B" w:rsidP="003734F4">
            <w:pPr>
              <w:ind w:right="57"/>
              <w:jc w:val="right"/>
              <w:rPr>
                <w:bCs w:val="0"/>
                <w:sz w:val="12"/>
                <w:szCs w:val="12"/>
              </w:rPr>
            </w:pPr>
          </w:p>
        </w:tc>
        <w:tc>
          <w:tcPr>
            <w:tcW w:w="94" w:type="dxa"/>
            <w:tcBorders>
              <w:left w:val="nil"/>
              <w:right w:val="nil"/>
            </w:tcBorders>
            <w:shd w:val="clear" w:color="auto" w:fill="auto"/>
            <w:vAlign w:val="bottom"/>
          </w:tcPr>
          <w:p w14:paraId="2031649E" w14:textId="77777777" w:rsidR="00D47B7B" w:rsidRPr="00EF4DEE" w:rsidRDefault="00D47B7B" w:rsidP="003734F4">
            <w:pPr>
              <w:ind w:right="57"/>
              <w:jc w:val="right"/>
              <w:rPr>
                <w:bCs w:val="0"/>
                <w:sz w:val="12"/>
                <w:szCs w:val="12"/>
              </w:rPr>
            </w:pPr>
          </w:p>
        </w:tc>
        <w:tc>
          <w:tcPr>
            <w:tcW w:w="1101" w:type="dxa"/>
            <w:tcBorders>
              <w:top w:val="single" w:sz="4" w:space="0" w:color="auto"/>
              <w:left w:val="nil"/>
              <w:right w:val="nil"/>
            </w:tcBorders>
            <w:vAlign w:val="bottom"/>
          </w:tcPr>
          <w:p w14:paraId="21EDBD1E" w14:textId="77777777" w:rsidR="00D47B7B" w:rsidRPr="00EF4DEE" w:rsidRDefault="00D47B7B" w:rsidP="003734F4">
            <w:pPr>
              <w:ind w:left="-57" w:right="57"/>
              <w:jc w:val="right"/>
              <w:rPr>
                <w:bCs w:val="0"/>
                <w:sz w:val="12"/>
                <w:szCs w:val="12"/>
              </w:rPr>
            </w:pPr>
          </w:p>
        </w:tc>
        <w:tc>
          <w:tcPr>
            <w:tcW w:w="94" w:type="dxa"/>
            <w:tcBorders>
              <w:left w:val="nil"/>
              <w:right w:val="nil"/>
            </w:tcBorders>
            <w:vAlign w:val="bottom"/>
          </w:tcPr>
          <w:p w14:paraId="387CF8D2" w14:textId="77777777" w:rsidR="00D47B7B" w:rsidRPr="00EF4DEE" w:rsidRDefault="00D47B7B" w:rsidP="003734F4">
            <w:pPr>
              <w:ind w:left="-57" w:right="57"/>
              <w:jc w:val="right"/>
              <w:rPr>
                <w:bCs w:val="0"/>
                <w:sz w:val="12"/>
                <w:szCs w:val="12"/>
              </w:rPr>
            </w:pPr>
          </w:p>
        </w:tc>
        <w:tc>
          <w:tcPr>
            <w:tcW w:w="1133" w:type="dxa"/>
            <w:tcBorders>
              <w:top w:val="single" w:sz="4" w:space="0" w:color="auto"/>
              <w:left w:val="nil"/>
              <w:right w:val="nil"/>
            </w:tcBorders>
            <w:shd w:val="clear" w:color="auto" w:fill="auto"/>
            <w:vAlign w:val="bottom"/>
          </w:tcPr>
          <w:p w14:paraId="2D6270B9" w14:textId="77777777" w:rsidR="00D47B7B" w:rsidRPr="00EF4DEE" w:rsidRDefault="00D47B7B" w:rsidP="003734F4">
            <w:pPr>
              <w:ind w:left="-57" w:right="57"/>
              <w:jc w:val="right"/>
              <w:rPr>
                <w:bCs w:val="0"/>
                <w:sz w:val="12"/>
                <w:szCs w:val="12"/>
              </w:rPr>
            </w:pPr>
          </w:p>
        </w:tc>
        <w:tc>
          <w:tcPr>
            <w:tcW w:w="1511" w:type="dxa"/>
            <w:tcBorders>
              <w:left w:val="nil"/>
              <w:right w:val="nil"/>
            </w:tcBorders>
            <w:shd w:val="clear" w:color="auto" w:fill="auto"/>
            <w:vAlign w:val="bottom"/>
          </w:tcPr>
          <w:p w14:paraId="348B3A48" w14:textId="77777777" w:rsidR="00D47B7B" w:rsidRPr="001775FB" w:rsidRDefault="00D47B7B" w:rsidP="003734F4">
            <w:pPr>
              <w:ind w:right="118"/>
              <w:jc w:val="right"/>
              <w:rPr>
                <w:b/>
                <w:i/>
                <w:color w:val="1D1B11"/>
                <w:sz w:val="14"/>
                <w:szCs w:val="14"/>
                <w:u w:val="single"/>
              </w:rPr>
            </w:pPr>
          </w:p>
        </w:tc>
      </w:tr>
      <w:tr w:rsidR="000C441E" w:rsidRPr="00C61D2A" w14:paraId="45FD582D" w14:textId="77777777" w:rsidTr="004C6F10">
        <w:trPr>
          <w:cantSplit/>
        </w:trPr>
        <w:tc>
          <w:tcPr>
            <w:tcW w:w="1820" w:type="dxa"/>
            <w:tcBorders>
              <w:left w:val="nil"/>
              <w:right w:val="nil"/>
            </w:tcBorders>
            <w:shd w:val="clear" w:color="auto" w:fill="auto"/>
            <w:vAlign w:val="bottom"/>
          </w:tcPr>
          <w:p w14:paraId="2D3D93E8" w14:textId="23B84822" w:rsidR="000C441E" w:rsidRPr="00C61D2A" w:rsidRDefault="000C441E" w:rsidP="003734F4">
            <w:pPr>
              <w:ind w:left="567" w:right="17" w:hanging="142"/>
              <w:rPr>
                <w:bCs w:val="0"/>
                <w:sz w:val="14"/>
                <w:szCs w:val="14"/>
              </w:rPr>
            </w:pPr>
            <w:r w:rsidRPr="001775FB">
              <w:rPr>
                <w:bCs w:val="0"/>
                <w:sz w:val="14"/>
                <w:szCs w:val="14"/>
              </w:rPr>
              <w:t xml:space="preserve">Jumlah akumulasi penyusutan </w:t>
            </w:r>
          </w:p>
        </w:tc>
        <w:tc>
          <w:tcPr>
            <w:tcW w:w="1133" w:type="dxa"/>
            <w:tcBorders>
              <w:left w:val="nil"/>
              <w:bottom w:val="single" w:sz="4" w:space="0" w:color="auto"/>
              <w:right w:val="nil"/>
            </w:tcBorders>
            <w:shd w:val="clear" w:color="auto" w:fill="auto"/>
            <w:vAlign w:val="bottom"/>
          </w:tcPr>
          <w:p w14:paraId="2E5FF337" w14:textId="6FB3F95F" w:rsidR="000C441E" w:rsidRPr="00EF4DEE" w:rsidRDefault="000C441E" w:rsidP="003734F4">
            <w:pPr>
              <w:ind w:left="-57" w:right="57"/>
              <w:jc w:val="right"/>
              <w:rPr>
                <w:bCs w:val="0"/>
                <w:sz w:val="14"/>
                <w:szCs w:val="14"/>
              </w:rPr>
            </w:pPr>
            <w:r w:rsidRPr="00EF4DEE">
              <w:rPr>
                <w:bCs w:val="0"/>
                <w:sz w:val="12"/>
                <w:szCs w:val="12"/>
              </w:rPr>
              <w:t>629.006.272.888</w:t>
            </w:r>
          </w:p>
        </w:tc>
        <w:tc>
          <w:tcPr>
            <w:tcW w:w="94" w:type="dxa"/>
            <w:tcBorders>
              <w:left w:val="nil"/>
              <w:right w:val="nil"/>
            </w:tcBorders>
            <w:shd w:val="clear" w:color="auto" w:fill="auto"/>
            <w:vAlign w:val="bottom"/>
          </w:tcPr>
          <w:p w14:paraId="320246D8" w14:textId="77777777" w:rsidR="000C441E" w:rsidRPr="00EF4DEE" w:rsidRDefault="000C441E" w:rsidP="003734F4">
            <w:pPr>
              <w:ind w:right="18"/>
              <w:jc w:val="right"/>
              <w:rPr>
                <w:bCs w:val="0"/>
                <w:sz w:val="14"/>
                <w:szCs w:val="14"/>
              </w:rPr>
            </w:pPr>
          </w:p>
        </w:tc>
        <w:tc>
          <w:tcPr>
            <w:tcW w:w="1047" w:type="dxa"/>
            <w:tcBorders>
              <w:left w:val="nil"/>
              <w:bottom w:val="single" w:sz="4" w:space="0" w:color="auto"/>
              <w:right w:val="nil"/>
            </w:tcBorders>
            <w:shd w:val="clear" w:color="auto" w:fill="auto"/>
            <w:vAlign w:val="bottom"/>
          </w:tcPr>
          <w:p w14:paraId="1C649959" w14:textId="00E7BAA5" w:rsidR="000C441E" w:rsidRPr="00EF4DEE" w:rsidRDefault="00E42D9B" w:rsidP="001547D8">
            <w:pPr>
              <w:ind w:right="57"/>
              <w:jc w:val="right"/>
              <w:rPr>
                <w:bCs w:val="0"/>
                <w:sz w:val="14"/>
                <w:szCs w:val="14"/>
              </w:rPr>
            </w:pPr>
            <w:r>
              <w:rPr>
                <w:bCs w:val="0"/>
                <w:sz w:val="12"/>
                <w:szCs w:val="12"/>
              </w:rPr>
              <w:t>26.</w:t>
            </w:r>
            <w:r w:rsidR="001547D8">
              <w:rPr>
                <w:bCs w:val="0"/>
                <w:sz w:val="12"/>
                <w:szCs w:val="12"/>
              </w:rPr>
              <w:t>431.061.891</w:t>
            </w:r>
          </w:p>
        </w:tc>
        <w:tc>
          <w:tcPr>
            <w:tcW w:w="100" w:type="dxa"/>
            <w:tcBorders>
              <w:left w:val="nil"/>
              <w:right w:val="nil"/>
            </w:tcBorders>
            <w:shd w:val="clear" w:color="auto" w:fill="auto"/>
            <w:vAlign w:val="bottom"/>
          </w:tcPr>
          <w:p w14:paraId="5A5BACBE" w14:textId="77777777" w:rsidR="000C441E" w:rsidRPr="00EF4DEE" w:rsidRDefault="000C441E" w:rsidP="003734F4">
            <w:pPr>
              <w:ind w:right="18"/>
              <w:jc w:val="right"/>
              <w:rPr>
                <w:bCs w:val="0"/>
                <w:sz w:val="14"/>
                <w:szCs w:val="14"/>
              </w:rPr>
            </w:pPr>
          </w:p>
        </w:tc>
        <w:tc>
          <w:tcPr>
            <w:tcW w:w="1070" w:type="dxa"/>
            <w:tcBorders>
              <w:left w:val="nil"/>
              <w:bottom w:val="single" w:sz="4" w:space="0" w:color="auto"/>
              <w:right w:val="nil"/>
            </w:tcBorders>
            <w:shd w:val="clear" w:color="auto" w:fill="auto"/>
            <w:vAlign w:val="bottom"/>
          </w:tcPr>
          <w:p w14:paraId="2C18535C" w14:textId="24E245F4" w:rsidR="000C441E" w:rsidRPr="00EF4DEE" w:rsidRDefault="001547D8" w:rsidP="003734F4">
            <w:pPr>
              <w:ind w:right="57"/>
              <w:jc w:val="right"/>
              <w:rPr>
                <w:bCs w:val="0"/>
                <w:sz w:val="14"/>
                <w:szCs w:val="14"/>
              </w:rPr>
            </w:pPr>
            <w:r>
              <w:rPr>
                <w:bCs w:val="0"/>
                <w:sz w:val="12"/>
                <w:szCs w:val="12"/>
              </w:rPr>
              <w:t>-</w:t>
            </w:r>
          </w:p>
        </w:tc>
        <w:tc>
          <w:tcPr>
            <w:tcW w:w="94" w:type="dxa"/>
            <w:tcBorders>
              <w:left w:val="nil"/>
              <w:right w:val="nil"/>
            </w:tcBorders>
            <w:shd w:val="clear" w:color="auto" w:fill="auto"/>
            <w:vAlign w:val="bottom"/>
          </w:tcPr>
          <w:p w14:paraId="3C42B954" w14:textId="77777777" w:rsidR="000C441E" w:rsidRPr="00EF4DEE" w:rsidRDefault="000C441E" w:rsidP="003734F4">
            <w:pPr>
              <w:ind w:right="57"/>
              <w:jc w:val="right"/>
              <w:rPr>
                <w:bCs w:val="0"/>
                <w:sz w:val="14"/>
                <w:szCs w:val="14"/>
              </w:rPr>
            </w:pPr>
          </w:p>
        </w:tc>
        <w:tc>
          <w:tcPr>
            <w:tcW w:w="1101" w:type="dxa"/>
            <w:tcBorders>
              <w:left w:val="nil"/>
              <w:bottom w:val="single" w:sz="4" w:space="0" w:color="auto"/>
              <w:right w:val="nil"/>
            </w:tcBorders>
            <w:vAlign w:val="bottom"/>
          </w:tcPr>
          <w:p w14:paraId="66CC9B3D" w14:textId="17A26E38" w:rsidR="000C441E" w:rsidRPr="00EF4DEE" w:rsidRDefault="001547D8" w:rsidP="003734F4">
            <w:pPr>
              <w:ind w:left="-57" w:right="57"/>
              <w:jc w:val="right"/>
              <w:rPr>
                <w:bCs w:val="0"/>
                <w:sz w:val="14"/>
                <w:szCs w:val="14"/>
              </w:rPr>
            </w:pPr>
            <w:r>
              <w:rPr>
                <w:bCs w:val="0"/>
                <w:sz w:val="14"/>
                <w:szCs w:val="14"/>
              </w:rPr>
              <w:t>-</w:t>
            </w:r>
          </w:p>
        </w:tc>
        <w:tc>
          <w:tcPr>
            <w:tcW w:w="94" w:type="dxa"/>
            <w:tcBorders>
              <w:left w:val="nil"/>
              <w:right w:val="nil"/>
            </w:tcBorders>
            <w:vAlign w:val="bottom"/>
          </w:tcPr>
          <w:p w14:paraId="526C5730" w14:textId="77777777" w:rsidR="000C441E" w:rsidRPr="00EF4DEE" w:rsidRDefault="000C441E" w:rsidP="003734F4">
            <w:pPr>
              <w:ind w:left="-57" w:right="57"/>
              <w:jc w:val="right"/>
              <w:rPr>
                <w:bCs w:val="0"/>
                <w:sz w:val="14"/>
                <w:szCs w:val="14"/>
              </w:rPr>
            </w:pPr>
          </w:p>
        </w:tc>
        <w:tc>
          <w:tcPr>
            <w:tcW w:w="1133" w:type="dxa"/>
            <w:tcBorders>
              <w:left w:val="nil"/>
              <w:bottom w:val="single" w:sz="4" w:space="0" w:color="auto"/>
              <w:right w:val="nil"/>
            </w:tcBorders>
            <w:shd w:val="clear" w:color="auto" w:fill="auto"/>
            <w:vAlign w:val="bottom"/>
          </w:tcPr>
          <w:p w14:paraId="2159B916" w14:textId="40C9649D" w:rsidR="000C441E" w:rsidRPr="00EF4DEE" w:rsidRDefault="00EF4DEE" w:rsidP="003734F4">
            <w:pPr>
              <w:ind w:left="-57" w:right="57"/>
              <w:jc w:val="right"/>
              <w:rPr>
                <w:bCs w:val="0"/>
                <w:sz w:val="14"/>
                <w:szCs w:val="14"/>
              </w:rPr>
            </w:pPr>
            <w:r w:rsidRPr="00EF4DEE">
              <w:rPr>
                <w:bCs w:val="0"/>
                <w:sz w:val="12"/>
                <w:szCs w:val="12"/>
              </w:rPr>
              <w:t>655.437.334.779</w:t>
            </w:r>
          </w:p>
        </w:tc>
        <w:tc>
          <w:tcPr>
            <w:tcW w:w="1511" w:type="dxa"/>
            <w:tcBorders>
              <w:left w:val="nil"/>
              <w:right w:val="nil"/>
            </w:tcBorders>
            <w:shd w:val="clear" w:color="auto" w:fill="auto"/>
            <w:vAlign w:val="bottom"/>
          </w:tcPr>
          <w:p w14:paraId="6856EC14" w14:textId="77777777" w:rsidR="000C441E" w:rsidRPr="001775FB" w:rsidRDefault="000C441E" w:rsidP="003734F4">
            <w:pPr>
              <w:tabs>
                <w:tab w:val="left" w:pos="1360"/>
                <w:tab w:val="left" w:pos="1410"/>
              </w:tabs>
              <w:ind w:right="72"/>
              <w:jc w:val="right"/>
              <w:rPr>
                <w:i/>
                <w:iCs/>
                <w:sz w:val="14"/>
                <w:szCs w:val="14"/>
              </w:rPr>
            </w:pPr>
            <w:r w:rsidRPr="001775FB">
              <w:rPr>
                <w:i/>
                <w:iCs/>
                <w:sz w:val="14"/>
                <w:szCs w:val="14"/>
              </w:rPr>
              <w:t xml:space="preserve">Total accumulated </w:t>
            </w:r>
          </w:p>
          <w:p w14:paraId="0A1E4302" w14:textId="69ABB76B" w:rsidR="000C441E" w:rsidRPr="00C61D2A" w:rsidRDefault="000C441E" w:rsidP="003734F4">
            <w:pPr>
              <w:tabs>
                <w:tab w:val="left" w:pos="1410"/>
              </w:tabs>
              <w:ind w:right="57"/>
              <w:jc w:val="right"/>
              <w:rPr>
                <w:i/>
                <w:iCs/>
                <w:sz w:val="14"/>
                <w:szCs w:val="14"/>
              </w:rPr>
            </w:pPr>
            <w:r w:rsidRPr="001775FB">
              <w:rPr>
                <w:i/>
                <w:iCs/>
                <w:sz w:val="14"/>
                <w:szCs w:val="14"/>
              </w:rPr>
              <w:t>depreciation</w:t>
            </w:r>
          </w:p>
        </w:tc>
      </w:tr>
      <w:tr w:rsidR="000C441E" w:rsidRPr="001775FB" w14:paraId="247D8BE6" w14:textId="77777777" w:rsidTr="00EF4DEE">
        <w:trPr>
          <w:cantSplit/>
        </w:trPr>
        <w:tc>
          <w:tcPr>
            <w:tcW w:w="1820" w:type="dxa"/>
            <w:tcBorders>
              <w:left w:val="nil"/>
              <w:right w:val="nil"/>
            </w:tcBorders>
            <w:shd w:val="clear" w:color="auto" w:fill="auto"/>
            <w:vAlign w:val="bottom"/>
          </w:tcPr>
          <w:p w14:paraId="232C95E2" w14:textId="0C20E540" w:rsidR="000C441E" w:rsidRPr="001775FB" w:rsidRDefault="000C441E" w:rsidP="003734F4">
            <w:pPr>
              <w:ind w:left="567" w:right="17" w:hanging="142"/>
              <w:rPr>
                <w:bCs w:val="0"/>
                <w:sz w:val="14"/>
                <w:szCs w:val="14"/>
              </w:rPr>
            </w:pPr>
          </w:p>
        </w:tc>
        <w:tc>
          <w:tcPr>
            <w:tcW w:w="1133" w:type="dxa"/>
            <w:tcBorders>
              <w:top w:val="single" w:sz="4" w:space="0" w:color="auto"/>
              <w:left w:val="nil"/>
              <w:bottom w:val="double" w:sz="4" w:space="0" w:color="auto"/>
              <w:right w:val="nil"/>
            </w:tcBorders>
            <w:shd w:val="clear" w:color="auto" w:fill="auto"/>
            <w:vAlign w:val="bottom"/>
          </w:tcPr>
          <w:p w14:paraId="007EC949" w14:textId="673C3743" w:rsidR="000C441E" w:rsidRPr="00EF4DEE" w:rsidRDefault="000C441E" w:rsidP="003734F4">
            <w:pPr>
              <w:ind w:left="-57" w:right="57"/>
              <w:jc w:val="right"/>
              <w:rPr>
                <w:bCs w:val="0"/>
                <w:sz w:val="12"/>
                <w:szCs w:val="12"/>
              </w:rPr>
            </w:pPr>
          </w:p>
        </w:tc>
        <w:tc>
          <w:tcPr>
            <w:tcW w:w="94" w:type="dxa"/>
            <w:tcBorders>
              <w:left w:val="nil"/>
              <w:right w:val="nil"/>
            </w:tcBorders>
            <w:shd w:val="clear" w:color="auto" w:fill="auto"/>
            <w:vAlign w:val="bottom"/>
          </w:tcPr>
          <w:p w14:paraId="1AFCA241" w14:textId="77777777" w:rsidR="000C441E" w:rsidRPr="00EF4DEE" w:rsidRDefault="000C441E" w:rsidP="003734F4">
            <w:pPr>
              <w:ind w:right="18"/>
              <w:jc w:val="right"/>
              <w:rPr>
                <w:bCs w:val="0"/>
                <w:sz w:val="12"/>
                <w:szCs w:val="12"/>
              </w:rPr>
            </w:pPr>
          </w:p>
        </w:tc>
        <w:tc>
          <w:tcPr>
            <w:tcW w:w="1047" w:type="dxa"/>
            <w:tcBorders>
              <w:top w:val="single" w:sz="4" w:space="0" w:color="auto"/>
              <w:left w:val="nil"/>
              <w:right w:val="nil"/>
            </w:tcBorders>
            <w:shd w:val="clear" w:color="auto" w:fill="auto"/>
            <w:vAlign w:val="bottom"/>
          </w:tcPr>
          <w:p w14:paraId="68E95BF2" w14:textId="060775BB" w:rsidR="000C441E" w:rsidRPr="00EF4DEE" w:rsidRDefault="000C441E" w:rsidP="003734F4">
            <w:pPr>
              <w:ind w:right="57"/>
              <w:jc w:val="right"/>
              <w:rPr>
                <w:bCs w:val="0"/>
                <w:sz w:val="12"/>
                <w:szCs w:val="12"/>
              </w:rPr>
            </w:pPr>
          </w:p>
        </w:tc>
        <w:tc>
          <w:tcPr>
            <w:tcW w:w="100" w:type="dxa"/>
            <w:tcBorders>
              <w:left w:val="nil"/>
              <w:right w:val="nil"/>
            </w:tcBorders>
            <w:shd w:val="clear" w:color="auto" w:fill="auto"/>
            <w:vAlign w:val="bottom"/>
          </w:tcPr>
          <w:p w14:paraId="5B79516E" w14:textId="77777777" w:rsidR="000C441E" w:rsidRPr="00EF4DEE" w:rsidRDefault="000C441E" w:rsidP="003734F4">
            <w:pPr>
              <w:ind w:right="18"/>
              <w:jc w:val="right"/>
              <w:rPr>
                <w:bCs w:val="0"/>
                <w:sz w:val="12"/>
                <w:szCs w:val="12"/>
              </w:rPr>
            </w:pPr>
          </w:p>
        </w:tc>
        <w:tc>
          <w:tcPr>
            <w:tcW w:w="1070" w:type="dxa"/>
            <w:tcBorders>
              <w:top w:val="single" w:sz="4" w:space="0" w:color="auto"/>
              <w:left w:val="nil"/>
              <w:right w:val="nil"/>
            </w:tcBorders>
            <w:shd w:val="clear" w:color="auto" w:fill="auto"/>
            <w:vAlign w:val="bottom"/>
          </w:tcPr>
          <w:p w14:paraId="7F237391" w14:textId="63ABDFFE" w:rsidR="000C441E" w:rsidRPr="00EF4DEE" w:rsidRDefault="000C441E" w:rsidP="003734F4">
            <w:pPr>
              <w:ind w:right="57"/>
              <w:jc w:val="right"/>
              <w:rPr>
                <w:bCs w:val="0"/>
                <w:sz w:val="12"/>
                <w:szCs w:val="12"/>
                <w:lang w:val="id-ID"/>
              </w:rPr>
            </w:pPr>
          </w:p>
        </w:tc>
        <w:tc>
          <w:tcPr>
            <w:tcW w:w="94" w:type="dxa"/>
            <w:tcBorders>
              <w:left w:val="nil"/>
              <w:right w:val="nil"/>
            </w:tcBorders>
            <w:shd w:val="clear" w:color="auto" w:fill="auto"/>
            <w:vAlign w:val="bottom"/>
          </w:tcPr>
          <w:p w14:paraId="0E15767E" w14:textId="77777777" w:rsidR="000C441E" w:rsidRPr="00EF4DEE" w:rsidRDefault="000C441E" w:rsidP="003734F4">
            <w:pPr>
              <w:ind w:right="57"/>
              <w:jc w:val="right"/>
              <w:rPr>
                <w:bCs w:val="0"/>
                <w:sz w:val="12"/>
                <w:szCs w:val="12"/>
              </w:rPr>
            </w:pPr>
          </w:p>
        </w:tc>
        <w:tc>
          <w:tcPr>
            <w:tcW w:w="1101" w:type="dxa"/>
            <w:tcBorders>
              <w:top w:val="single" w:sz="4" w:space="0" w:color="auto"/>
              <w:left w:val="nil"/>
              <w:right w:val="nil"/>
            </w:tcBorders>
            <w:vAlign w:val="bottom"/>
          </w:tcPr>
          <w:p w14:paraId="686F7A24" w14:textId="718703DB" w:rsidR="000C441E" w:rsidRPr="00EF4DEE" w:rsidRDefault="000C441E" w:rsidP="003734F4">
            <w:pPr>
              <w:ind w:left="-57" w:right="57"/>
              <w:jc w:val="right"/>
              <w:rPr>
                <w:bCs w:val="0"/>
                <w:sz w:val="12"/>
                <w:szCs w:val="12"/>
                <w:lang w:val="id-ID"/>
              </w:rPr>
            </w:pPr>
          </w:p>
        </w:tc>
        <w:tc>
          <w:tcPr>
            <w:tcW w:w="94" w:type="dxa"/>
            <w:tcBorders>
              <w:left w:val="nil"/>
              <w:right w:val="nil"/>
            </w:tcBorders>
            <w:vAlign w:val="bottom"/>
          </w:tcPr>
          <w:p w14:paraId="17ADA407" w14:textId="77777777" w:rsidR="000C441E" w:rsidRPr="00EF4DEE" w:rsidRDefault="000C441E" w:rsidP="003734F4">
            <w:pPr>
              <w:ind w:left="-57" w:right="57"/>
              <w:jc w:val="right"/>
              <w:rPr>
                <w:bCs w:val="0"/>
                <w:sz w:val="12"/>
                <w:szCs w:val="12"/>
              </w:rPr>
            </w:pPr>
          </w:p>
        </w:tc>
        <w:tc>
          <w:tcPr>
            <w:tcW w:w="1133" w:type="dxa"/>
            <w:tcBorders>
              <w:top w:val="single" w:sz="4" w:space="0" w:color="auto"/>
              <w:left w:val="nil"/>
              <w:bottom w:val="double" w:sz="4" w:space="0" w:color="auto"/>
              <w:right w:val="nil"/>
            </w:tcBorders>
            <w:shd w:val="clear" w:color="auto" w:fill="auto"/>
            <w:vAlign w:val="bottom"/>
          </w:tcPr>
          <w:p w14:paraId="7B7A5810" w14:textId="09E735CB" w:rsidR="000C441E" w:rsidRPr="00EF4DEE" w:rsidRDefault="000C441E" w:rsidP="003734F4">
            <w:pPr>
              <w:ind w:left="-57" w:right="57"/>
              <w:jc w:val="right"/>
              <w:rPr>
                <w:bCs w:val="0"/>
                <w:sz w:val="12"/>
                <w:szCs w:val="12"/>
                <w:lang w:val="id-ID"/>
              </w:rPr>
            </w:pPr>
          </w:p>
        </w:tc>
        <w:tc>
          <w:tcPr>
            <w:tcW w:w="1511" w:type="dxa"/>
            <w:tcBorders>
              <w:left w:val="nil"/>
              <w:bottom w:val="nil"/>
              <w:right w:val="nil"/>
            </w:tcBorders>
            <w:shd w:val="clear" w:color="auto" w:fill="auto"/>
            <w:vAlign w:val="bottom"/>
          </w:tcPr>
          <w:p w14:paraId="1F914E82" w14:textId="7BA8833F" w:rsidR="000C441E" w:rsidRPr="001775FB" w:rsidRDefault="000C441E" w:rsidP="003734F4">
            <w:pPr>
              <w:tabs>
                <w:tab w:val="left" w:pos="1410"/>
              </w:tabs>
              <w:ind w:right="57"/>
              <w:jc w:val="right"/>
              <w:rPr>
                <w:i/>
                <w:iCs/>
                <w:sz w:val="14"/>
                <w:szCs w:val="14"/>
              </w:rPr>
            </w:pPr>
          </w:p>
        </w:tc>
      </w:tr>
      <w:tr w:rsidR="000C441E" w:rsidRPr="00071C5D" w14:paraId="248BEA33" w14:textId="77777777" w:rsidTr="00EF4DEE">
        <w:trPr>
          <w:cantSplit/>
        </w:trPr>
        <w:tc>
          <w:tcPr>
            <w:tcW w:w="1820" w:type="dxa"/>
            <w:tcBorders>
              <w:top w:val="nil"/>
              <w:left w:val="nil"/>
              <w:right w:val="nil"/>
            </w:tcBorders>
            <w:shd w:val="clear" w:color="auto" w:fill="auto"/>
            <w:vAlign w:val="bottom"/>
          </w:tcPr>
          <w:p w14:paraId="7F6CB2A5" w14:textId="0AC00000" w:rsidR="000C441E" w:rsidRPr="00C61D2A" w:rsidRDefault="000C441E" w:rsidP="003734F4">
            <w:pPr>
              <w:ind w:left="567" w:right="17" w:hanging="142"/>
              <w:rPr>
                <w:bCs w:val="0"/>
                <w:sz w:val="14"/>
                <w:szCs w:val="14"/>
              </w:rPr>
            </w:pPr>
            <w:r w:rsidRPr="001775FB">
              <w:rPr>
                <w:b/>
                <w:bCs w:val="0"/>
                <w:sz w:val="14"/>
                <w:szCs w:val="14"/>
              </w:rPr>
              <w:t xml:space="preserve">Nilai </w:t>
            </w:r>
            <w:r w:rsidRPr="001775FB">
              <w:rPr>
                <w:b/>
                <w:sz w:val="14"/>
                <w:szCs w:val="14"/>
              </w:rPr>
              <w:t>Tercatat</w:t>
            </w:r>
          </w:p>
        </w:tc>
        <w:tc>
          <w:tcPr>
            <w:tcW w:w="1133" w:type="dxa"/>
            <w:tcBorders>
              <w:top w:val="double" w:sz="4" w:space="0" w:color="auto"/>
              <w:left w:val="nil"/>
              <w:bottom w:val="double" w:sz="4" w:space="0" w:color="auto"/>
              <w:right w:val="nil"/>
            </w:tcBorders>
            <w:shd w:val="clear" w:color="auto" w:fill="auto"/>
            <w:vAlign w:val="bottom"/>
          </w:tcPr>
          <w:p w14:paraId="080E57B6" w14:textId="02CCBA13" w:rsidR="000C441E" w:rsidRPr="00EF4DEE" w:rsidRDefault="000C441E" w:rsidP="003734F4">
            <w:pPr>
              <w:ind w:left="-57" w:right="57"/>
              <w:jc w:val="right"/>
              <w:rPr>
                <w:bCs w:val="0"/>
                <w:sz w:val="14"/>
                <w:szCs w:val="14"/>
              </w:rPr>
            </w:pPr>
            <w:r w:rsidRPr="00EF4DEE">
              <w:rPr>
                <w:b/>
                <w:sz w:val="12"/>
                <w:szCs w:val="12"/>
                <w:lang w:val="en-ID"/>
              </w:rPr>
              <w:t>2.056.342.191.327</w:t>
            </w:r>
          </w:p>
        </w:tc>
        <w:tc>
          <w:tcPr>
            <w:tcW w:w="94" w:type="dxa"/>
            <w:tcBorders>
              <w:top w:val="nil"/>
              <w:left w:val="nil"/>
              <w:right w:val="nil"/>
            </w:tcBorders>
            <w:shd w:val="clear" w:color="auto" w:fill="auto"/>
            <w:vAlign w:val="bottom"/>
          </w:tcPr>
          <w:p w14:paraId="294786A8" w14:textId="77777777" w:rsidR="000C441E" w:rsidRPr="00EF4DEE" w:rsidRDefault="000C441E" w:rsidP="003734F4">
            <w:pPr>
              <w:ind w:right="18"/>
              <w:jc w:val="right"/>
              <w:rPr>
                <w:bCs w:val="0"/>
                <w:sz w:val="14"/>
                <w:szCs w:val="14"/>
              </w:rPr>
            </w:pPr>
          </w:p>
        </w:tc>
        <w:tc>
          <w:tcPr>
            <w:tcW w:w="1047" w:type="dxa"/>
            <w:tcBorders>
              <w:top w:val="nil"/>
              <w:left w:val="nil"/>
              <w:right w:val="nil"/>
            </w:tcBorders>
            <w:shd w:val="clear" w:color="auto" w:fill="auto"/>
            <w:vAlign w:val="bottom"/>
          </w:tcPr>
          <w:p w14:paraId="3805B4F2" w14:textId="77777777" w:rsidR="000C441E" w:rsidRPr="00EF4DEE" w:rsidRDefault="000C441E" w:rsidP="003734F4">
            <w:pPr>
              <w:ind w:right="57"/>
              <w:jc w:val="right"/>
              <w:rPr>
                <w:bCs w:val="0"/>
                <w:sz w:val="14"/>
                <w:szCs w:val="14"/>
              </w:rPr>
            </w:pPr>
          </w:p>
        </w:tc>
        <w:tc>
          <w:tcPr>
            <w:tcW w:w="100" w:type="dxa"/>
            <w:tcBorders>
              <w:top w:val="nil"/>
              <w:left w:val="nil"/>
              <w:right w:val="nil"/>
            </w:tcBorders>
            <w:shd w:val="clear" w:color="auto" w:fill="auto"/>
            <w:vAlign w:val="bottom"/>
          </w:tcPr>
          <w:p w14:paraId="4DFB808E" w14:textId="77777777" w:rsidR="000C441E" w:rsidRPr="00EF4DEE" w:rsidRDefault="000C441E" w:rsidP="003734F4">
            <w:pPr>
              <w:ind w:right="18"/>
              <w:jc w:val="right"/>
              <w:rPr>
                <w:bCs w:val="0"/>
                <w:sz w:val="14"/>
                <w:szCs w:val="14"/>
              </w:rPr>
            </w:pPr>
          </w:p>
        </w:tc>
        <w:tc>
          <w:tcPr>
            <w:tcW w:w="1070" w:type="dxa"/>
            <w:tcBorders>
              <w:top w:val="nil"/>
              <w:left w:val="nil"/>
              <w:right w:val="nil"/>
            </w:tcBorders>
            <w:shd w:val="clear" w:color="auto" w:fill="auto"/>
            <w:vAlign w:val="bottom"/>
          </w:tcPr>
          <w:p w14:paraId="22C38921" w14:textId="77777777" w:rsidR="000C441E" w:rsidRPr="00EF4DEE" w:rsidRDefault="000C441E" w:rsidP="003734F4">
            <w:pPr>
              <w:ind w:right="57"/>
              <w:jc w:val="right"/>
              <w:rPr>
                <w:bCs w:val="0"/>
                <w:sz w:val="14"/>
                <w:szCs w:val="14"/>
              </w:rPr>
            </w:pPr>
          </w:p>
        </w:tc>
        <w:tc>
          <w:tcPr>
            <w:tcW w:w="94" w:type="dxa"/>
            <w:tcBorders>
              <w:top w:val="nil"/>
              <w:left w:val="nil"/>
              <w:right w:val="nil"/>
            </w:tcBorders>
            <w:shd w:val="clear" w:color="auto" w:fill="auto"/>
            <w:vAlign w:val="bottom"/>
          </w:tcPr>
          <w:p w14:paraId="42706E5C" w14:textId="77777777" w:rsidR="000C441E" w:rsidRPr="00EF4DEE" w:rsidRDefault="000C441E" w:rsidP="003734F4">
            <w:pPr>
              <w:ind w:right="57"/>
              <w:jc w:val="right"/>
              <w:rPr>
                <w:bCs w:val="0"/>
                <w:sz w:val="14"/>
                <w:szCs w:val="14"/>
              </w:rPr>
            </w:pPr>
          </w:p>
        </w:tc>
        <w:tc>
          <w:tcPr>
            <w:tcW w:w="1101" w:type="dxa"/>
            <w:tcBorders>
              <w:top w:val="nil"/>
              <w:left w:val="nil"/>
              <w:right w:val="nil"/>
            </w:tcBorders>
            <w:vAlign w:val="bottom"/>
          </w:tcPr>
          <w:p w14:paraId="6E46A22D" w14:textId="77777777" w:rsidR="000C441E" w:rsidRPr="00650FF3" w:rsidRDefault="000C441E" w:rsidP="003734F4">
            <w:pPr>
              <w:ind w:left="-57" w:right="57"/>
              <w:jc w:val="right"/>
              <w:rPr>
                <w:bCs w:val="0"/>
                <w:sz w:val="14"/>
                <w:szCs w:val="14"/>
                <w:highlight w:val="yellow"/>
              </w:rPr>
            </w:pPr>
          </w:p>
        </w:tc>
        <w:tc>
          <w:tcPr>
            <w:tcW w:w="94" w:type="dxa"/>
            <w:tcBorders>
              <w:top w:val="nil"/>
              <w:left w:val="nil"/>
              <w:right w:val="nil"/>
            </w:tcBorders>
            <w:vAlign w:val="bottom"/>
          </w:tcPr>
          <w:p w14:paraId="26C881A0" w14:textId="77777777" w:rsidR="000C441E" w:rsidRPr="00650FF3" w:rsidRDefault="000C441E" w:rsidP="003734F4">
            <w:pPr>
              <w:ind w:left="-57" w:right="57"/>
              <w:jc w:val="right"/>
              <w:rPr>
                <w:bCs w:val="0"/>
                <w:sz w:val="14"/>
                <w:szCs w:val="14"/>
                <w:highlight w:val="yellow"/>
              </w:rPr>
            </w:pPr>
          </w:p>
        </w:tc>
        <w:tc>
          <w:tcPr>
            <w:tcW w:w="1133" w:type="dxa"/>
            <w:tcBorders>
              <w:top w:val="double" w:sz="4" w:space="0" w:color="auto"/>
              <w:left w:val="nil"/>
              <w:bottom w:val="double" w:sz="4" w:space="0" w:color="auto"/>
              <w:right w:val="nil"/>
            </w:tcBorders>
            <w:shd w:val="clear" w:color="auto" w:fill="auto"/>
            <w:vAlign w:val="bottom"/>
          </w:tcPr>
          <w:p w14:paraId="7521928A" w14:textId="606EF59F" w:rsidR="000C441E" w:rsidRPr="00071C5D" w:rsidRDefault="00071C5D" w:rsidP="003734F4">
            <w:pPr>
              <w:ind w:left="-57" w:right="57"/>
              <w:jc w:val="right"/>
              <w:rPr>
                <w:bCs w:val="0"/>
                <w:sz w:val="14"/>
                <w:szCs w:val="14"/>
              </w:rPr>
            </w:pPr>
            <w:r w:rsidRPr="00071C5D">
              <w:rPr>
                <w:b/>
                <w:sz w:val="12"/>
                <w:szCs w:val="12"/>
                <w:lang w:val="en-ID"/>
              </w:rPr>
              <w:t>2.404.755.680.351</w:t>
            </w:r>
          </w:p>
        </w:tc>
        <w:tc>
          <w:tcPr>
            <w:tcW w:w="1511" w:type="dxa"/>
            <w:tcBorders>
              <w:top w:val="nil"/>
              <w:left w:val="nil"/>
              <w:bottom w:val="nil"/>
              <w:right w:val="nil"/>
            </w:tcBorders>
            <w:shd w:val="clear" w:color="auto" w:fill="auto"/>
            <w:vAlign w:val="bottom"/>
          </w:tcPr>
          <w:p w14:paraId="23FFB9E9" w14:textId="5B48F00B" w:rsidR="000C441E" w:rsidRPr="00071C5D" w:rsidRDefault="000C441E" w:rsidP="003734F4">
            <w:pPr>
              <w:tabs>
                <w:tab w:val="left" w:pos="1410"/>
              </w:tabs>
              <w:ind w:right="57"/>
              <w:jc w:val="right"/>
              <w:rPr>
                <w:i/>
                <w:iCs/>
                <w:sz w:val="14"/>
                <w:szCs w:val="14"/>
              </w:rPr>
            </w:pPr>
            <w:r w:rsidRPr="00071C5D">
              <w:rPr>
                <w:b/>
                <w:i/>
                <w:iCs/>
                <w:sz w:val="14"/>
                <w:szCs w:val="14"/>
              </w:rPr>
              <w:t>Carrying Amount</w:t>
            </w:r>
          </w:p>
        </w:tc>
      </w:tr>
      <w:tr w:rsidR="000C441E" w:rsidRPr="001775FB" w14:paraId="3E2A80B4" w14:textId="77777777" w:rsidTr="00EF4DEE">
        <w:trPr>
          <w:cantSplit/>
        </w:trPr>
        <w:tc>
          <w:tcPr>
            <w:tcW w:w="1820" w:type="dxa"/>
            <w:tcBorders>
              <w:top w:val="nil"/>
              <w:left w:val="nil"/>
              <w:right w:val="nil"/>
            </w:tcBorders>
            <w:shd w:val="clear" w:color="auto" w:fill="auto"/>
            <w:vAlign w:val="bottom"/>
          </w:tcPr>
          <w:p w14:paraId="26A4761A" w14:textId="269A2A38" w:rsidR="000C441E" w:rsidRPr="001775FB" w:rsidRDefault="000C441E" w:rsidP="003734F4">
            <w:pPr>
              <w:ind w:left="567" w:right="17" w:hanging="142"/>
              <w:rPr>
                <w:bCs w:val="0"/>
                <w:sz w:val="14"/>
                <w:szCs w:val="14"/>
              </w:rPr>
            </w:pPr>
          </w:p>
        </w:tc>
        <w:tc>
          <w:tcPr>
            <w:tcW w:w="1133" w:type="dxa"/>
            <w:tcBorders>
              <w:left w:val="nil"/>
              <w:right w:val="nil"/>
            </w:tcBorders>
            <w:shd w:val="clear" w:color="auto" w:fill="auto"/>
            <w:vAlign w:val="bottom"/>
          </w:tcPr>
          <w:p w14:paraId="0E53998B" w14:textId="673CE7EC" w:rsidR="000C441E" w:rsidRPr="00A96055" w:rsidRDefault="000C441E" w:rsidP="003734F4">
            <w:pPr>
              <w:ind w:left="-57" w:right="57"/>
              <w:jc w:val="right"/>
              <w:rPr>
                <w:bCs w:val="0"/>
                <w:sz w:val="12"/>
                <w:szCs w:val="12"/>
                <w:highlight w:val="yellow"/>
              </w:rPr>
            </w:pPr>
          </w:p>
        </w:tc>
        <w:tc>
          <w:tcPr>
            <w:tcW w:w="94" w:type="dxa"/>
            <w:tcBorders>
              <w:left w:val="nil"/>
              <w:right w:val="nil"/>
            </w:tcBorders>
            <w:shd w:val="clear" w:color="auto" w:fill="auto"/>
            <w:vAlign w:val="bottom"/>
          </w:tcPr>
          <w:p w14:paraId="383611A9" w14:textId="77777777" w:rsidR="000C441E" w:rsidRPr="00A96055" w:rsidRDefault="000C441E" w:rsidP="003734F4">
            <w:pPr>
              <w:ind w:right="18"/>
              <w:jc w:val="right"/>
              <w:rPr>
                <w:bCs w:val="0"/>
                <w:sz w:val="12"/>
                <w:szCs w:val="12"/>
                <w:highlight w:val="yellow"/>
              </w:rPr>
            </w:pPr>
          </w:p>
        </w:tc>
        <w:tc>
          <w:tcPr>
            <w:tcW w:w="1047" w:type="dxa"/>
            <w:tcBorders>
              <w:left w:val="nil"/>
              <w:right w:val="nil"/>
            </w:tcBorders>
            <w:shd w:val="clear" w:color="auto" w:fill="auto"/>
            <w:vAlign w:val="bottom"/>
          </w:tcPr>
          <w:p w14:paraId="0D5041A9" w14:textId="6E023F22" w:rsidR="000C441E" w:rsidRPr="00A96055" w:rsidRDefault="000C441E" w:rsidP="003734F4">
            <w:pPr>
              <w:ind w:right="57"/>
              <w:jc w:val="right"/>
              <w:rPr>
                <w:bCs w:val="0"/>
                <w:sz w:val="12"/>
                <w:szCs w:val="12"/>
                <w:highlight w:val="yellow"/>
              </w:rPr>
            </w:pPr>
          </w:p>
        </w:tc>
        <w:tc>
          <w:tcPr>
            <w:tcW w:w="100" w:type="dxa"/>
            <w:tcBorders>
              <w:left w:val="nil"/>
              <w:right w:val="nil"/>
            </w:tcBorders>
            <w:shd w:val="clear" w:color="auto" w:fill="auto"/>
            <w:vAlign w:val="bottom"/>
          </w:tcPr>
          <w:p w14:paraId="5AF3ABE3" w14:textId="77777777" w:rsidR="000C441E" w:rsidRPr="00A96055" w:rsidRDefault="000C441E" w:rsidP="003734F4">
            <w:pPr>
              <w:ind w:right="18"/>
              <w:jc w:val="right"/>
              <w:rPr>
                <w:bCs w:val="0"/>
                <w:sz w:val="12"/>
                <w:szCs w:val="12"/>
                <w:highlight w:val="yellow"/>
              </w:rPr>
            </w:pPr>
          </w:p>
        </w:tc>
        <w:tc>
          <w:tcPr>
            <w:tcW w:w="1070" w:type="dxa"/>
            <w:tcBorders>
              <w:left w:val="nil"/>
              <w:right w:val="nil"/>
            </w:tcBorders>
            <w:shd w:val="clear" w:color="auto" w:fill="auto"/>
            <w:vAlign w:val="bottom"/>
          </w:tcPr>
          <w:p w14:paraId="5AA82CA6" w14:textId="6B49FD21" w:rsidR="000C441E" w:rsidRPr="00A96055" w:rsidRDefault="000C441E" w:rsidP="003734F4">
            <w:pPr>
              <w:ind w:right="57"/>
              <w:jc w:val="right"/>
              <w:rPr>
                <w:bCs w:val="0"/>
                <w:sz w:val="12"/>
                <w:szCs w:val="12"/>
                <w:highlight w:val="yellow"/>
                <w:lang w:val="id-ID"/>
              </w:rPr>
            </w:pPr>
          </w:p>
        </w:tc>
        <w:tc>
          <w:tcPr>
            <w:tcW w:w="94" w:type="dxa"/>
            <w:tcBorders>
              <w:left w:val="nil"/>
              <w:right w:val="nil"/>
            </w:tcBorders>
            <w:shd w:val="clear" w:color="auto" w:fill="auto"/>
            <w:vAlign w:val="bottom"/>
          </w:tcPr>
          <w:p w14:paraId="00C5D53E" w14:textId="77777777" w:rsidR="000C441E" w:rsidRPr="00A96055" w:rsidRDefault="000C441E" w:rsidP="003734F4">
            <w:pPr>
              <w:ind w:right="57"/>
              <w:jc w:val="right"/>
              <w:rPr>
                <w:bCs w:val="0"/>
                <w:sz w:val="12"/>
                <w:szCs w:val="12"/>
                <w:highlight w:val="yellow"/>
              </w:rPr>
            </w:pPr>
          </w:p>
        </w:tc>
        <w:tc>
          <w:tcPr>
            <w:tcW w:w="1101" w:type="dxa"/>
            <w:tcBorders>
              <w:left w:val="nil"/>
              <w:right w:val="nil"/>
            </w:tcBorders>
            <w:vAlign w:val="bottom"/>
          </w:tcPr>
          <w:p w14:paraId="40926571" w14:textId="6DC64B77" w:rsidR="000C441E" w:rsidRPr="00A96055" w:rsidRDefault="000C441E" w:rsidP="003734F4">
            <w:pPr>
              <w:ind w:left="-57" w:right="57"/>
              <w:jc w:val="right"/>
              <w:rPr>
                <w:bCs w:val="0"/>
                <w:sz w:val="12"/>
                <w:szCs w:val="12"/>
                <w:highlight w:val="yellow"/>
                <w:lang w:val="id-ID"/>
              </w:rPr>
            </w:pPr>
          </w:p>
        </w:tc>
        <w:tc>
          <w:tcPr>
            <w:tcW w:w="94" w:type="dxa"/>
            <w:tcBorders>
              <w:left w:val="nil"/>
              <w:right w:val="nil"/>
            </w:tcBorders>
            <w:vAlign w:val="bottom"/>
          </w:tcPr>
          <w:p w14:paraId="4B4A898D" w14:textId="77777777" w:rsidR="000C441E" w:rsidRPr="00A96055" w:rsidRDefault="000C441E" w:rsidP="003734F4">
            <w:pPr>
              <w:ind w:left="-57" w:right="57"/>
              <w:jc w:val="right"/>
              <w:rPr>
                <w:bCs w:val="0"/>
                <w:sz w:val="12"/>
                <w:szCs w:val="12"/>
                <w:highlight w:val="yellow"/>
              </w:rPr>
            </w:pPr>
          </w:p>
        </w:tc>
        <w:tc>
          <w:tcPr>
            <w:tcW w:w="1133" w:type="dxa"/>
            <w:tcBorders>
              <w:top w:val="double" w:sz="4" w:space="0" w:color="auto"/>
              <w:left w:val="nil"/>
              <w:right w:val="nil"/>
            </w:tcBorders>
            <w:shd w:val="clear" w:color="auto" w:fill="auto"/>
            <w:vAlign w:val="bottom"/>
          </w:tcPr>
          <w:p w14:paraId="058BC1F0" w14:textId="65078EE8" w:rsidR="000C441E" w:rsidRPr="00A96055" w:rsidRDefault="000C441E" w:rsidP="003734F4">
            <w:pPr>
              <w:ind w:left="-57" w:right="57"/>
              <w:jc w:val="right"/>
              <w:rPr>
                <w:bCs w:val="0"/>
                <w:sz w:val="12"/>
                <w:szCs w:val="12"/>
                <w:highlight w:val="yellow"/>
                <w:lang w:val="id-ID"/>
              </w:rPr>
            </w:pPr>
          </w:p>
        </w:tc>
        <w:tc>
          <w:tcPr>
            <w:tcW w:w="1511" w:type="dxa"/>
            <w:tcBorders>
              <w:top w:val="nil"/>
              <w:left w:val="nil"/>
              <w:right w:val="nil"/>
            </w:tcBorders>
            <w:shd w:val="clear" w:color="auto" w:fill="auto"/>
            <w:vAlign w:val="bottom"/>
          </w:tcPr>
          <w:p w14:paraId="5D9BD440" w14:textId="7A8CAFD5" w:rsidR="000C441E" w:rsidRPr="001775FB" w:rsidRDefault="000C441E" w:rsidP="003734F4">
            <w:pPr>
              <w:tabs>
                <w:tab w:val="left" w:pos="1410"/>
              </w:tabs>
              <w:ind w:right="57"/>
              <w:jc w:val="right"/>
              <w:rPr>
                <w:i/>
                <w:iCs/>
                <w:sz w:val="14"/>
                <w:szCs w:val="14"/>
              </w:rPr>
            </w:pPr>
          </w:p>
        </w:tc>
      </w:tr>
      <w:tr w:rsidR="000C441E" w:rsidRPr="00C61D2A" w14:paraId="5211FD48" w14:textId="77777777" w:rsidTr="00EF4DEE">
        <w:trPr>
          <w:cantSplit/>
        </w:trPr>
        <w:tc>
          <w:tcPr>
            <w:tcW w:w="1820" w:type="dxa"/>
            <w:tcBorders>
              <w:left w:val="nil"/>
              <w:right w:val="nil"/>
            </w:tcBorders>
            <w:shd w:val="clear" w:color="auto" w:fill="auto"/>
            <w:vAlign w:val="bottom"/>
          </w:tcPr>
          <w:p w14:paraId="7F9850FA" w14:textId="77777777" w:rsidR="000C441E" w:rsidRPr="00C61D2A" w:rsidRDefault="000C441E" w:rsidP="003734F4">
            <w:pPr>
              <w:ind w:left="567" w:right="74" w:hanging="142"/>
              <w:rPr>
                <w:bCs w:val="0"/>
                <w:sz w:val="14"/>
                <w:szCs w:val="14"/>
              </w:rPr>
            </w:pPr>
          </w:p>
        </w:tc>
        <w:tc>
          <w:tcPr>
            <w:tcW w:w="1133" w:type="dxa"/>
            <w:tcBorders>
              <w:left w:val="nil"/>
              <w:right w:val="nil"/>
            </w:tcBorders>
            <w:shd w:val="clear" w:color="auto" w:fill="auto"/>
            <w:vAlign w:val="bottom"/>
          </w:tcPr>
          <w:p w14:paraId="116793FD" w14:textId="18218D15" w:rsidR="000C441E" w:rsidRPr="00A96055" w:rsidRDefault="000C441E" w:rsidP="003734F4">
            <w:pPr>
              <w:ind w:left="-57" w:right="28"/>
              <w:jc w:val="right"/>
              <w:rPr>
                <w:bCs w:val="0"/>
                <w:sz w:val="14"/>
                <w:szCs w:val="14"/>
                <w:highlight w:val="yellow"/>
              </w:rPr>
            </w:pPr>
          </w:p>
        </w:tc>
        <w:tc>
          <w:tcPr>
            <w:tcW w:w="94" w:type="dxa"/>
            <w:tcBorders>
              <w:left w:val="nil"/>
              <w:right w:val="nil"/>
            </w:tcBorders>
            <w:shd w:val="clear" w:color="auto" w:fill="auto"/>
            <w:vAlign w:val="bottom"/>
          </w:tcPr>
          <w:p w14:paraId="4DA50C7A" w14:textId="77777777" w:rsidR="000C441E" w:rsidRPr="00A96055" w:rsidRDefault="000C441E" w:rsidP="003734F4">
            <w:pPr>
              <w:ind w:right="18"/>
              <w:jc w:val="right"/>
              <w:rPr>
                <w:bCs w:val="0"/>
                <w:sz w:val="14"/>
                <w:szCs w:val="14"/>
                <w:highlight w:val="yellow"/>
              </w:rPr>
            </w:pPr>
          </w:p>
        </w:tc>
        <w:tc>
          <w:tcPr>
            <w:tcW w:w="1047" w:type="dxa"/>
            <w:tcBorders>
              <w:left w:val="nil"/>
              <w:right w:val="nil"/>
            </w:tcBorders>
            <w:shd w:val="clear" w:color="auto" w:fill="auto"/>
            <w:vAlign w:val="bottom"/>
          </w:tcPr>
          <w:p w14:paraId="4FDC8DAB" w14:textId="77777777" w:rsidR="000C441E" w:rsidRPr="00A96055" w:rsidRDefault="000C441E" w:rsidP="003734F4">
            <w:pPr>
              <w:ind w:right="57"/>
              <w:jc w:val="right"/>
              <w:rPr>
                <w:bCs w:val="0"/>
                <w:sz w:val="14"/>
                <w:szCs w:val="14"/>
                <w:highlight w:val="yellow"/>
              </w:rPr>
            </w:pPr>
          </w:p>
        </w:tc>
        <w:tc>
          <w:tcPr>
            <w:tcW w:w="100" w:type="dxa"/>
            <w:tcBorders>
              <w:left w:val="nil"/>
              <w:right w:val="nil"/>
            </w:tcBorders>
            <w:shd w:val="clear" w:color="auto" w:fill="auto"/>
            <w:vAlign w:val="bottom"/>
          </w:tcPr>
          <w:p w14:paraId="5B33C1CB" w14:textId="77777777" w:rsidR="000C441E" w:rsidRPr="00A96055" w:rsidRDefault="000C441E" w:rsidP="003734F4">
            <w:pPr>
              <w:ind w:right="18"/>
              <w:jc w:val="right"/>
              <w:rPr>
                <w:bCs w:val="0"/>
                <w:sz w:val="14"/>
                <w:szCs w:val="14"/>
                <w:highlight w:val="yellow"/>
              </w:rPr>
            </w:pPr>
          </w:p>
        </w:tc>
        <w:tc>
          <w:tcPr>
            <w:tcW w:w="1070" w:type="dxa"/>
            <w:tcBorders>
              <w:left w:val="nil"/>
              <w:right w:val="nil"/>
            </w:tcBorders>
            <w:shd w:val="clear" w:color="auto" w:fill="auto"/>
            <w:vAlign w:val="bottom"/>
          </w:tcPr>
          <w:p w14:paraId="17C7F2A1" w14:textId="77777777" w:rsidR="000C441E" w:rsidRPr="00A96055" w:rsidRDefault="000C441E" w:rsidP="003734F4">
            <w:pPr>
              <w:ind w:left="-57" w:right="57"/>
              <w:jc w:val="right"/>
              <w:rPr>
                <w:bCs w:val="0"/>
                <w:sz w:val="14"/>
                <w:szCs w:val="14"/>
                <w:highlight w:val="yellow"/>
              </w:rPr>
            </w:pPr>
          </w:p>
        </w:tc>
        <w:tc>
          <w:tcPr>
            <w:tcW w:w="94" w:type="dxa"/>
            <w:tcBorders>
              <w:left w:val="nil"/>
              <w:right w:val="nil"/>
            </w:tcBorders>
            <w:shd w:val="clear" w:color="auto" w:fill="auto"/>
            <w:vAlign w:val="bottom"/>
          </w:tcPr>
          <w:p w14:paraId="6CB3D677" w14:textId="77777777" w:rsidR="000C441E" w:rsidRPr="00A96055" w:rsidRDefault="000C441E" w:rsidP="003734F4">
            <w:pPr>
              <w:ind w:right="57"/>
              <w:jc w:val="right"/>
              <w:rPr>
                <w:bCs w:val="0"/>
                <w:sz w:val="14"/>
                <w:szCs w:val="14"/>
                <w:highlight w:val="yellow"/>
              </w:rPr>
            </w:pPr>
          </w:p>
        </w:tc>
        <w:tc>
          <w:tcPr>
            <w:tcW w:w="1101" w:type="dxa"/>
            <w:tcBorders>
              <w:left w:val="nil"/>
              <w:right w:val="nil"/>
            </w:tcBorders>
            <w:vAlign w:val="bottom"/>
          </w:tcPr>
          <w:p w14:paraId="4A37741D" w14:textId="77777777" w:rsidR="000C441E" w:rsidRPr="00A96055" w:rsidRDefault="000C441E" w:rsidP="003734F4">
            <w:pPr>
              <w:ind w:left="-57" w:right="28"/>
              <w:jc w:val="right"/>
              <w:rPr>
                <w:bCs w:val="0"/>
                <w:sz w:val="14"/>
                <w:szCs w:val="14"/>
                <w:highlight w:val="yellow"/>
              </w:rPr>
            </w:pPr>
          </w:p>
        </w:tc>
        <w:tc>
          <w:tcPr>
            <w:tcW w:w="94" w:type="dxa"/>
            <w:tcBorders>
              <w:left w:val="nil"/>
              <w:right w:val="nil"/>
            </w:tcBorders>
            <w:vAlign w:val="bottom"/>
          </w:tcPr>
          <w:p w14:paraId="4C6E5121" w14:textId="77777777" w:rsidR="000C441E" w:rsidRPr="00A96055" w:rsidRDefault="000C441E" w:rsidP="003734F4">
            <w:pPr>
              <w:ind w:left="-57" w:right="28"/>
              <w:jc w:val="right"/>
              <w:rPr>
                <w:bCs w:val="0"/>
                <w:sz w:val="14"/>
                <w:szCs w:val="14"/>
                <w:highlight w:val="yellow"/>
              </w:rPr>
            </w:pPr>
          </w:p>
        </w:tc>
        <w:tc>
          <w:tcPr>
            <w:tcW w:w="1133" w:type="dxa"/>
            <w:tcBorders>
              <w:left w:val="nil"/>
              <w:right w:val="nil"/>
            </w:tcBorders>
            <w:shd w:val="clear" w:color="auto" w:fill="auto"/>
            <w:vAlign w:val="bottom"/>
          </w:tcPr>
          <w:p w14:paraId="3F2B3B9A" w14:textId="4165912F" w:rsidR="000C441E" w:rsidRPr="00A96055" w:rsidRDefault="000C441E" w:rsidP="003734F4">
            <w:pPr>
              <w:ind w:left="-57" w:right="28"/>
              <w:jc w:val="right"/>
              <w:rPr>
                <w:bCs w:val="0"/>
                <w:sz w:val="14"/>
                <w:szCs w:val="14"/>
                <w:highlight w:val="yellow"/>
              </w:rPr>
            </w:pPr>
          </w:p>
        </w:tc>
        <w:tc>
          <w:tcPr>
            <w:tcW w:w="1511" w:type="dxa"/>
            <w:tcBorders>
              <w:left w:val="nil"/>
              <w:right w:val="nil"/>
            </w:tcBorders>
            <w:shd w:val="clear" w:color="auto" w:fill="auto"/>
            <w:vAlign w:val="bottom"/>
          </w:tcPr>
          <w:p w14:paraId="789A49E6" w14:textId="77777777" w:rsidR="000C441E" w:rsidRPr="00C61D2A" w:rsidRDefault="000C441E" w:rsidP="003734F4">
            <w:pPr>
              <w:tabs>
                <w:tab w:val="left" w:pos="1360"/>
                <w:tab w:val="left" w:pos="1410"/>
              </w:tabs>
              <w:ind w:right="72"/>
              <w:jc w:val="right"/>
              <w:rPr>
                <w:i/>
                <w:iCs/>
                <w:sz w:val="14"/>
                <w:szCs w:val="14"/>
              </w:rPr>
            </w:pPr>
          </w:p>
        </w:tc>
      </w:tr>
      <w:tr w:rsidR="000C441E" w:rsidRPr="001775FB" w14:paraId="2B436737" w14:textId="77777777" w:rsidTr="00EF4DEE">
        <w:trPr>
          <w:cantSplit/>
        </w:trPr>
        <w:tc>
          <w:tcPr>
            <w:tcW w:w="1820" w:type="dxa"/>
            <w:tcBorders>
              <w:left w:val="nil"/>
              <w:right w:val="nil"/>
            </w:tcBorders>
            <w:shd w:val="clear" w:color="auto" w:fill="auto"/>
            <w:vAlign w:val="bottom"/>
          </w:tcPr>
          <w:p w14:paraId="172E8F3F" w14:textId="669CBED9" w:rsidR="000C441E" w:rsidRPr="001775FB" w:rsidRDefault="000C441E" w:rsidP="003734F4">
            <w:pPr>
              <w:ind w:left="567" w:right="74" w:hanging="142"/>
              <w:rPr>
                <w:bCs w:val="0"/>
                <w:sz w:val="14"/>
                <w:szCs w:val="14"/>
              </w:rPr>
            </w:pPr>
          </w:p>
        </w:tc>
        <w:tc>
          <w:tcPr>
            <w:tcW w:w="1133" w:type="dxa"/>
            <w:tcBorders>
              <w:left w:val="nil"/>
              <w:right w:val="nil"/>
            </w:tcBorders>
            <w:shd w:val="clear" w:color="auto" w:fill="auto"/>
            <w:vAlign w:val="bottom"/>
          </w:tcPr>
          <w:p w14:paraId="703A206D" w14:textId="14CF0FC5" w:rsidR="000C441E" w:rsidRPr="00A96055" w:rsidRDefault="000C441E" w:rsidP="003734F4">
            <w:pPr>
              <w:ind w:left="-57" w:right="57"/>
              <w:jc w:val="right"/>
              <w:rPr>
                <w:bCs w:val="0"/>
                <w:sz w:val="12"/>
                <w:szCs w:val="12"/>
                <w:highlight w:val="yellow"/>
              </w:rPr>
            </w:pPr>
          </w:p>
        </w:tc>
        <w:tc>
          <w:tcPr>
            <w:tcW w:w="94" w:type="dxa"/>
            <w:tcBorders>
              <w:left w:val="nil"/>
              <w:right w:val="nil"/>
            </w:tcBorders>
            <w:shd w:val="clear" w:color="auto" w:fill="auto"/>
            <w:vAlign w:val="bottom"/>
          </w:tcPr>
          <w:p w14:paraId="00FAECD0" w14:textId="77777777" w:rsidR="000C441E" w:rsidRPr="00A96055" w:rsidRDefault="000C441E" w:rsidP="003734F4">
            <w:pPr>
              <w:ind w:right="18"/>
              <w:jc w:val="right"/>
              <w:rPr>
                <w:bCs w:val="0"/>
                <w:sz w:val="12"/>
                <w:szCs w:val="12"/>
                <w:highlight w:val="yellow"/>
              </w:rPr>
            </w:pPr>
          </w:p>
        </w:tc>
        <w:tc>
          <w:tcPr>
            <w:tcW w:w="1047" w:type="dxa"/>
            <w:tcBorders>
              <w:left w:val="nil"/>
              <w:right w:val="nil"/>
            </w:tcBorders>
            <w:shd w:val="clear" w:color="auto" w:fill="auto"/>
            <w:vAlign w:val="bottom"/>
          </w:tcPr>
          <w:p w14:paraId="355B9ABD" w14:textId="5EB304E1" w:rsidR="000C441E" w:rsidRPr="00A96055" w:rsidRDefault="000C441E" w:rsidP="003734F4">
            <w:pPr>
              <w:ind w:right="57"/>
              <w:jc w:val="right"/>
              <w:rPr>
                <w:bCs w:val="0"/>
                <w:sz w:val="12"/>
                <w:szCs w:val="12"/>
                <w:highlight w:val="yellow"/>
              </w:rPr>
            </w:pPr>
          </w:p>
        </w:tc>
        <w:tc>
          <w:tcPr>
            <w:tcW w:w="100" w:type="dxa"/>
            <w:tcBorders>
              <w:left w:val="nil"/>
              <w:right w:val="nil"/>
            </w:tcBorders>
            <w:shd w:val="clear" w:color="auto" w:fill="auto"/>
            <w:vAlign w:val="bottom"/>
          </w:tcPr>
          <w:p w14:paraId="164C20D3" w14:textId="77777777" w:rsidR="000C441E" w:rsidRPr="00A96055" w:rsidRDefault="000C441E" w:rsidP="003734F4">
            <w:pPr>
              <w:ind w:right="18"/>
              <w:jc w:val="right"/>
              <w:rPr>
                <w:bCs w:val="0"/>
                <w:sz w:val="12"/>
                <w:szCs w:val="12"/>
                <w:highlight w:val="yellow"/>
              </w:rPr>
            </w:pPr>
          </w:p>
        </w:tc>
        <w:tc>
          <w:tcPr>
            <w:tcW w:w="1070" w:type="dxa"/>
            <w:tcBorders>
              <w:left w:val="nil"/>
              <w:right w:val="nil"/>
            </w:tcBorders>
            <w:shd w:val="clear" w:color="auto" w:fill="auto"/>
            <w:vAlign w:val="bottom"/>
          </w:tcPr>
          <w:p w14:paraId="6674089A" w14:textId="6A1C6747" w:rsidR="000C441E" w:rsidRPr="00A96055" w:rsidRDefault="000C441E" w:rsidP="003734F4">
            <w:pPr>
              <w:ind w:right="57"/>
              <w:jc w:val="right"/>
              <w:rPr>
                <w:bCs w:val="0"/>
                <w:sz w:val="12"/>
                <w:szCs w:val="12"/>
                <w:highlight w:val="yellow"/>
                <w:lang w:val="id-ID"/>
              </w:rPr>
            </w:pPr>
          </w:p>
        </w:tc>
        <w:tc>
          <w:tcPr>
            <w:tcW w:w="94" w:type="dxa"/>
            <w:tcBorders>
              <w:left w:val="nil"/>
              <w:right w:val="nil"/>
            </w:tcBorders>
            <w:shd w:val="clear" w:color="auto" w:fill="auto"/>
            <w:vAlign w:val="bottom"/>
          </w:tcPr>
          <w:p w14:paraId="0C7AEC44" w14:textId="77777777" w:rsidR="000C441E" w:rsidRPr="00A96055" w:rsidRDefault="000C441E" w:rsidP="003734F4">
            <w:pPr>
              <w:ind w:right="57"/>
              <w:jc w:val="right"/>
              <w:rPr>
                <w:bCs w:val="0"/>
                <w:sz w:val="12"/>
                <w:szCs w:val="12"/>
                <w:highlight w:val="yellow"/>
              </w:rPr>
            </w:pPr>
          </w:p>
        </w:tc>
        <w:tc>
          <w:tcPr>
            <w:tcW w:w="1101" w:type="dxa"/>
            <w:tcBorders>
              <w:left w:val="nil"/>
              <w:right w:val="nil"/>
            </w:tcBorders>
            <w:vAlign w:val="bottom"/>
          </w:tcPr>
          <w:p w14:paraId="62C6AAE4" w14:textId="5860CA94" w:rsidR="000C441E" w:rsidRPr="00A96055" w:rsidRDefault="000C441E" w:rsidP="003734F4">
            <w:pPr>
              <w:ind w:left="-57" w:right="57"/>
              <w:jc w:val="right"/>
              <w:rPr>
                <w:bCs w:val="0"/>
                <w:sz w:val="12"/>
                <w:szCs w:val="12"/>
                <w:highlight w:val="yellow"/>
              </w:rPr>
            </w:pPr>
          </w:p>
        </w:tc>
        <w:tc>
          <w:tcPr>
            <w:tcW w:w="94" w:type="dxa"/>
            <w:tcBorders>
              <w:left w:val="nil"/>
              <w:right w:val="nil"/>
            </w:tcBorders>
            <w:vAlign w:val="bottom"/>
          </w:tcPr>
          <w:p w14:paraId="7A96E3E3" w14:textId="77777777" w:rsidR="000C441E" w:rsidRPr="00A96055" w:rsidRDefault="000C441E" w:rsidP="003734F4">
            <w:pPr>
              <w:ind w:left="-57" w:right="57"/>
              <w:jc w:val="right"/>
              <w:rPr>
                <w:bCs w:val="0"/>
                <w:sz w:val="12"/>
                <w:szCs w:val="12"/>
                <w:highlight w:val="yellow"/>
              </w:rPr>
            </w:pPr>
          </w:p>
        </w:tc>
        <w:tc>
          <w:tcPr>
            <w:tcW w:w="1133" w:type="dxa"/>
            <w:tcBorders>
              <w:left w:val="nil"/>
              <w:right w:val="nil"/>
            </w:tcBorders>
            <w:shd w:val="clear" w:color="auto" w:fill="auto"/>
            <w:vAlign w:val="bottom"/>
          </w:tcPr>
          <w:p w14:paraId="09B16D5C" w14:textId="4CBF8349" w:rsidR="000C441E" w:rsidRPr="00A96055" w:rsidRDefault="000C441E" w:rsidP="003734F4">
            <w:pPr>
              <w:ind w:left="-57" w:right="57"/>
              <w:jc w:val="right"/>
              <w:rPr>
                <w:bCs w:val="0"/>
                <w:sz w:val="12"/>
                <w:szCs w:val="12"/>
                <w:highlight w:val="yellow"/>
              </w:rPr>
            </w:pPr>
          </w:p>
        </w:tc>
        <w:tc>
          <w:tcPr>
            <w:tcW w:w="1511" w:type="dxa"/>
            <w:tcBorders>
              <w:left w:val="nil"/>
              <w:right w:val="nil"/>
            </w:tcBorders>
            <w:shd w:val="clear" w:color="auto" w:fill="auto"/>
            <w:vAlign w:val="bottom"/>
          </w:tcPr>
          <w:p w14:paraId="4F87E405" w14:textId="0242839B" w:rsidR="000C441E" w:rsidRPr="001775FB" w:rsidRDefault="000C441E" w:rsidP="003734F4">
            <w:pPr>
              <w:ind w:right="198"/>
              <w:jc w:val="right"/>
              <w:rPr>
                <w:i/>
                <w:iCs/>
                <w:sz w:val="14"/>
                <w:szCs w:val="14"/>
              </w:rPr>
            </w:pPr>
          </w:p>
        </w:tc>
      </w:tr>
      <w:tr w:rsidR="000C441E" w:rsidRPr="00C61D2A" w14:paraId="5653B5F1" w14:textId="77777777" w:rsidTr="00864AB7">
        <w:trPr>
          <w:cantSplit/>
        </w:trPr>
        <w:tc>
          <w:tcPr>
            <w:tcW w:w="1820" w:type="dxa"/>
            <w:tcBorders>
              <w:left w:val="nil"/>
              <w:right w:val="nil"/>
            </w:tcBorders>
            <w:shd w:val="clear" w:color="auto" w:fill="auto"/>
            <w:vAlign w:val="bottom"/>
          </w:tcPr>
          <w:p w14:paraId="53DB62D3" w14:textId="77777777" w:rsidR="000C441E" w:rsidRPr="00C61D2A" w:rsidRDefault="000C441E" w:rsidP="003734F4">
            <w:pPr>
              <w:ind w:left="567" w:right="-98" w:hanging="142"/>
              <w:rPr>
                <w:bCs w:val="0"/>
                <w:sz w:val="14"/>
                <w:szCs w:val="14"/>
              </w:rPr>
            </w:pPr>
          </w:p>
        </w:tc>
        <w:tc>
          <w:tcPr>
            <w:tcW w:w="1133" w:type="dxa"/>
            <w:tcBorders>
              <w:left w:val="nil"/>
              <w:right w:val="nil"/>
            </w:tcBorders>
            <w:shd w:val="clear" w:color="auto" w:fill="auto"/>
            <w:vAlign w:val="bottom"/>
          </w:tcPr>
          <w:p w14:paraId="226B1B2F" w14:textId="77777777" w:rsidR="000C441E" w:rsidRPr="00A96055" w:rsidRDefault="000C441E" w:rsidP="003734F4">
            <w:pPr>
              <w:ind w:left="-57" w:right="28"/>
              <w:jc w:val="right"/>
              <w:rPr>
                <w:bCs w:val="0"/>
                <w:sz w:val="14"/>
                <w:szCs w:val="14"/>
                <w:highlight w:val="yellow"/>
                <w:lang w:val="id-ID"/>
              </w:rPr>
            </w:pPr>
          </w:p>
        </w:tc>
        <w:tc>
          <w:tcPr>
            <w:tcW w:w="94" w:type="dxa"/>
            <w:tcBorders>
              <w:left w:val="nil"/>
              <w:right w:val="nil"/>
            </w:tcBorders>
            <w:shd w:val="clear" w:color="auto" w:fill="auto"/>
            <w:vAlign w:val="bottom"/>
          </w:tcPr>
          <w:p w14:paraId="01FEAE73" w14:textId="77777777" w:rsidR="000C441E" w:rsidRPr="00A96055" w:rsidRDefault="000C441E" w:rsidP="003734F4">
            <w:pPr>
              <w:ind w:right="18"/>
              <w:jc w:val="right"/>
              <w:rPr>
                <w:bCs w:val="0"/>
                <w:sz w:val="14"/>
                <w:szCs w:val="14"/>
                <w:highlight w:val="yellow"/>
              </w:rPr>
            </w:pPr>
          </w:p>
        </w:tc>
        <w:tc>
          <w:tcPr>
            <w:tcW w:w="1047" w:type="dxa"/>
            <w:tcBorders>
              <w:left w:val="nil"/>
              <w:right w:val="nil"/>
            </w:tcBorders>
            <w:shd w:val="clear" w:color="auto" w:fill="auto"/>
            <w:vAlign w:val="bottom"/>
          </w:tcPr>
          <w:p w14:paraId="2277131F" w14:textId="77777777" w:rsidR="000C441E" w:rsidRPr="00A96055" w:rsidRDefault="000C441E" w:rsidP="003734F4">
            <w:pPr>
              <w:ind w:right="57"/>
              <w:jc w:val="right"/>
              <w:rPr>
                <w:bCs w:val="0"/>
                <w:sz w:val="14"/>
                <w:szCs w:val="14"/>
                <w:highlight w:val="yellow"/>
              </w:rPr>
            </w:pPr>
          </w:p>
        </w:tc>
        <w:tc>
          <w:tcPr>
            <w:tcW w:w="100" w:type="dxa"/>
            <w:tcBorders>
              <w:left w:val="nil"/>
              <w:right w:val="nil"/>
            </w:tcBorders>
            <w:shd w:val="clear" w:color="auto" w:fill="auto"/>
            <w:vAlign w:val="bottom"/>
          </w:tcPr>
          <w:p w14:paraId="4D255F95" w14:textId="77777777" w:rsidR="000C441E" w:rsidRPr="00A96055" w:rsidRDefault="000C441E" w:rsidP="003734F4">
            <w:pPr>
              <w:ind w:right="18"/>
              <w:jc w:val="right"/>
              <w:rPr>
                <w:bCs w:val="0"/>
                <w:sz w:val="14"/>
                <w:szCs w:val="14"/>
                <w:highlight w:val="yellow"/>
              </w:rPr>
            </w:pPr>
          </w:p>
        </w:tc>
        <w:tc>
          <w:tcPr>
            <w:tcW w:w="1070" w:type="dxa"/>
            <w:tcBorders>
              <w:left w:val="nil"/>
              <w:right w:val="nil"/>
            </w:tcBorders>
            <w:shd w:val="clear" w:color="auto" w:fill="auto"/>
            <w:vAlign w:val="bottom"/>
          </w:tcPr>
          <w:p w14:paraId="0E9C44E7" w14:textId="77777777" w:rsidR="000C441E" w:rsidRPr="00A96055" w:rsidRDefault="000C441E" w:rsidP="003734F4">
            <w:pPr>
              <w:ind w:right="28"/>
              <w:jc w:val="right"/>
              <w:rPr>
                <w:bCs w:val="0"/>
                <w:sz w:val="14"/>
                <w:szCs w:val="14"/>
                <w:highlight w:val="yellow"/>
              </w:rPr>
            </w:pPr>
          </w:p>
        </w:tc>
        <w:tc>
          <w:tcPr>
            <w:tcW w:w="94" w:type="dxa"/>
            <w:tcBorders>
              <w:left w:val="nil"/>
              <w:right w:val="nil"/>
            </w:tcBorders>
            <w:shd w:val="clear" w:color="auto" w:fill="auto"/>
            <w:vAlign w:val="bottom"/>
          </w:tcPr>
          <w:p w14:paraId="1C0C1D13" w14:textId="77777777" w:rsidR="000C441E" w:rsidRPr="00A96055" w:rsidRDefault="000C441E" w:rsidP="003734F4">
            <w:pPr>
              <w:ind w:right="28"/>
              <w:jc w:val="right"/>
              <w:rPr>
                <w:bCs w:val="0"/>
                <w:sz w:val="14"/>
                <w:szCs w:val="14"/>
                <w:highlight w:val="yellow"/>
              </w:rPr>
            </w:pPr>
          </w:p>
        </w:tc>
        <w:tc>
          <w:tcPr>
            <w:tcW w:w="1101" w:type="dxa"/>
            <w:tcBorders>
              <w:left w:val="nil"/>
              <w:right w:val="nil"/>
            </w:tcBorders>
            <w:vAlign w:val="bottom"/>
          </w:tcPr>
          <w:p w14:paraId="17C41C80" w14:textId="77777777" w:rsidR="000C441E" w:rsidRPr="00A96055" w:rsidRDefault="000C441E" w:rsidP="003734F4">
            <w:pPr>
              <w:ind w:left="-57" w:right="28"/>
              <w:jc w:val="right"/>
              <w:rPr>
                <w:bCs w:val="0"/>
                <w:sz w:val="14"/>
                <w:szCs w:val="14"/>
                <w:highlight w:val="yellow"/>
                <w:lang w:val="id-ID"/>
              </w:rPr>
            </w:pPr>
          </w:p>
        </w:tc>
        <w:tc>
          <w:tcPr>
            <w:tcW w:w="94" w:type="dxa"/>
            <w:tcBorders>
              <w:left w:val="nil"/>
              <w:right w:val="nil"/>
            </w:tcBorders>
            <w:vAlign w:val="bottom"/>
          </w:tcPr>
          <w:p w14:paraId="59860F9F" w14:textId="77777777" w:rsidR="000C441E" w:rsidRPr="00A96055" w:rsidRDefault="000C441E" w:rsidP="003734F4">
            <w:pPr>
              <w:ind w:left="-57" w:right="28"/>
              <w:jc w:val="right"/>
              <w:rPr>
                <w:bCs w:val="0"/>
                <w:sz w:val="14"/>
                <w:szCs w:val="14"/>
                <w:highlight w:val="yellow"/>
                <w:lang w:val="id-ID"/>
              </w:rPr>
            </w:pPr>
          </w:p>
        </w:tc>
        <w:tc>
          <w:tcPr>
            <w:tcW w:w="1133" w:type="dxa"/>
            <w:tcBorders>
              <w:left w:val="nil"/>
              <w:right w:val="nil"/>
            </w:tcBorders>
            <w:shd w:val="clear" w:color="auto" w:fill="auto"/>
            <w:vAlign w:val="bottom"/>
          </w:tcPr>
          <w:p w14:paraId="07123EA7" w14:textId="77777777" w:rsidR="000C441E" w:rsidRPr="00A96055" w:rsidRDefault="000C441E" w:rsidP="003734F4">
            <w:pPr>
              <w:ind w:left="-57" w:right="28"/>
              <w:jc w:val="right"/>
              <w:rPr>
                <w:bCs w:val="0"/>
                <w:sz w:val="14"/>
                <w:szCs w:val="14"/>
                <w:highlight w:val="yellow"/>
                <w:lang w:val="id-ID"/>
              </w:rPr>
            </w:pPr>
          </w:p>
        </w:tc>
        <w:tc>
          <w:tcPr>
            <w:tcW w:w="1511" w:type="dxa"/>
            <w:tcBorders>
              <w:left w:val="nil"/>
              <w:bottom w:val="nil"/>
              <w:right w:val="nil"/>
            </w:tcBorders>
            <w:shd w:val="clear" w:color="auto" w:fill="auto"/>
            <w:vAlign w:val="bottom"/>
          </w:tcPr>
          <w:p w14:paraId="61FA31C1" w14:textId="77777777" w:rsidR="000C441E" w:rsidRPr="00C61D2A" w:rsidRDefault="000C441E" w:rsidP="003734F4">
            <w:pPr>
              <w:tabs>
                <w:tab w:val="left" w:pos="1360"/>
                <w:tab w:val="left" w:pos="1410"/>
              </w:tabs>
              <w:ind w:right="72"/>
              <w:jc w:val="right"/>
              <w:rPr>
                <w:i/>
                <w:iCs/>
                <w:sz w:val="14"/>
                <w:szCs w:val="14"/>
              </w:rPr>
            </w:pPr>
          </w:p>
        </w:tc>
      </w:tr>
      <w:tr w:rsidR="000C441E" w:rsidRPr="001775FB" w14:paraId="314D2372" w14:textId="77777777" w:rsidTr="00864AB7">
        <w:trPr>
          <w:cantSplit/>
        </w:trPr>
        <w:tc>
          <w:tcPr>
            <w:tcW w:w="1820" w:type="dxa"/>
            <w:tcBorders>
              <w:top w:val="nil"/>
              <w:left w:val="nil"/>
              <w:right w:val="nil"/>
            </w:tcBorders>
            <w:shd w:val="clear" w:color="auto" w:fill="auto"/>
            <w:vAlign w:val="bottom"/>
          </w:tcPr>
          <w:p w14:paraId="6477CFEA" w14:textId="7E085A4B" w:rsidR="000C441E" w:rsidRPr="001775FB" w:rsidRDefault="000C441E" w:rsidP="003734F4">
            <w:pPr>
              <w:ind w:left="567" w:right="17" w:hanging="142"/>
              <w:rPr>
                <w:b/>
                <w:bCs w:val="0"/>
                <w:sz w:val="14"/>
                <w:szCs w:val="14"/>
              </w:rPr>
            </w:pPr>
          </w:p>
        </w:tc>
        <w:tc>
          <w:tcPr>
            <w:tcW w:w="1133" w:type="dxa"/>
            <w:tcBorders>
              <w:top w:val="nil"/>
              <w:left w:val="nil"/>
              <w:right w:val="nil"/>
            </w:tcBorders>
            <w:shd w:val="clear" w:color="auto" w:fill="auto"/>
            <w:vAlign w:val="bottom"/>
          </w:tcPr>
          <w:p w14:paraId="63703D64" w14:textId="4A88D2B6" w:rsidR="000C441E" w:rsidRPr="00A96055" w:rsidRDefault="000C441E" w:rsidP="003734F4">
            <w:pPr>
              <w:ind w:left="-57" w:right="28"/>
              <w:jc w:val="right"/>
              <w:rPr>
                <w:b/>
                <w:sz w:val="12"/>
                <w:szCs w:val="12"/>
                <w:highlight w:val="yellow"/>
              </w:rPr>
            </w:pPr>
          </w:p>
        </w:tc>
        <w:tc>
          <w:tcPr>
            <w:tcW w:w="94" w:type="dxa"/>
            <w:tcBorders>
              <w:top w:val="nil"/>
              <w:left w:val="nil"/>
              <w:right w:val="nil"/>
            </w:tcBorders>
            <w:shd w:val="clear" w:color="auto" w:fill="auto"/>
            <w:vAlign w:val="bottom"/>
          </w:tcPr>
          <w:p w14:paraId="63F0090E" w14:textId="77777777" w:rsidR="000C441E" w:rsidRPr="00A96055" w:rsidRDefault="000C441E" w:rsidP="003734F4">
            <w:pPr>
              <w:ind w:right="18"/>
              <w:jc w:val="right"/>
              <w:rPr>
                <w:b/>
                <w:bCs w:val="0"/>
                <w:sz w:val="12"/>
                <w:szCs w:val="12"/>
                <w:highlight w:val="yellow"/>
              </w:rPr>
            </w:pPr>
          </w:p>
        </w:tc>
        <w:tc>
          <w:tcPr>
            <w:tcW w:w="1047" w:type="dxa"/>
            <w:tcBorders>
              <w:top w:val="nil"/>
              <w:left w:val="nil"/>
              <w:right w:val="nil"/>
            </w:tcBorders>
            <w:shd w:val="clear" w:color="auto" w:fill="auto"/>
            <w:vAlign w:val="bottom"/>
          </w:tcPr>
          <w:p w14:paraId="0A98553A" w14:textId="77777777" w:rsidR="000C441E" w:rsidRPr="00A96055" w:rsidRDefault="000C441E" w:rsidP="003734F4">
            <w:pPr>
              <w:ind w:right="57"/>
              <w:jc w:val="right"/>
              <w:rPr>
                <w:b/>
                <w:bCs w:val="0"/>
                <w:sz w:val="12"/>
                <w:szCs w:val="12"/>
                <w:highlight w:val="yellow"/>
              </w:rPr>
            </w:pPr>
          </w:p>
        </w:tc>
        <w:tc>
          <w:tcPr>
            <w:tcW w:w="100" w:type="dxa"/>
            <w:tcBorders>
              <w:top w:val="nil"/>
              <w:left w:val="nil"/>
              <w:right w:val="nil"/>
            </w:tcBorders>
            <w:shd w:val="clear" w:color="auto" w:fill="auto"/>
            <w:vAlign w:val="bottom"/>
          </w:tcPr>
          <w:p w14:paraId="110A3E35" w14:textId="77777777" w:rsidR="000C441E" w:rsidRPr="00A96055" w:rsidRDefault="000C441E" w:rsidP="003734F4">
            <w:pPr>
              <w:ind w:right="18"/>
              <w:jc w:val="right"/>
              <w:rPr>
                <w:b/>
                <w:bCs w:val="0"/>
                <w:sz w:val="12"/>
                <w:szCs w:val="12"/>
                <w:highlight w:val="yellow"/>
              </w:rPr>
            </w:pPr>
          </w:p>
        </w:tc>
        <w:tc>
          <w:tcPr>
            <w:tcW w:w="1070" w:type="dxa"/>
            <w:tcBorders>
              <w:top w:val="nil"/>
              <w:left w:val="nil"/>
              <w:right w:val="nil"/>
            </w:tcBorders>
            <w:shd w:val="clear" w:color="auto" w:fill="auto"/>
            <w:vAlign w:val="bottom"/>
          </w:tcPr>
          <w:p w14:paraId="50E34376" w14:textId="77777777" w:rsidR="000C441E" w:rsidRPr="00A96055" w:rsidRDefault="000C441E" w:rsidP="003734F4">
            <w:pPr>
              <w:ind w:right="28"/>
              <w:jc w:val="right"/>
              <w:rPr>
                <w:b/>
                <w:sz w:val="12"/>
                <w:szCs w:val="12"/>
                <w:highlight w:val="yellow"/>
              </w:rPr>
            </w:pPr>
          </w:p>
        </w:tc>
        <w:tc>
          <w:tcPr>
            <w:tcW w:w="94" w:type="dxa"/>
            <w:tcBorders>
              <w:top w:val="nil"/>
              <w:left w:val="nil"/>
              <w:right w:val="nil"/>
            </w:tcBorders>
            <w:shd w:val="clear" w:color="auto" w:fill="auto"/>
            <w:vAlign w:val="bottom"/>
          </w:tcPr>
          <w:p w14:paraId="399FF7D5" w14:textId="77777777" w:rsidR="000C441E" w:rsidRPr="00A96055" w:rsidRDefault="000C441E" w:rsidP="003734F4">
            <w:pPr>
              <w:ind w:right="28"/>
              <w:jc w:val="right"/>
              <w:rPr>
                <w:b/>
                <w:sz w:val="12"/>
                <w:szCs w:val="12"/>
                <w:highlight w:val="yellow"/>
              </w:rPr>
            </w:pPr>
          </w:p>
        </w:tc>
        <w:tc>
          <w:tcPr>
            <w:tcW w:w="1101" w:type="dxa"/>
            <w:tcBorders>
              <w:top w:val="nil"/>
              <w:left w:val="nil"/>
              <w:right w:val="nil"/>
            </w:tcBorders>
            <w:vAlign w:val="bottom"/>
          </w:tcPr>
          <w:p w14:paraId="48F38AC8" w14:textId="77777777" w:rsidR="000C441E" w:rsidRPr="00A96055" w:rsidRDefault="000C441E" w:rsidP="003734F4">
            <w:pPr>
              <w:ind w:left="-57" w:right="28"/>
              <w:jc w:val="right"/>
              <w:rPr>
                <w:b/>
                <w:sz w:val="12"/>
                <w:szCs w:val="12"/>
                <w:highlight w:val="yellow"/>
                <w:lang w:val="en-ID"/>
              </w:rPr>
            </w:pPr>
          </w:p>
        </w:tc>
        <w:tc>
          <w:tcPr>
            <w:tcW w:w="94" w:type="dxa"/>
            <w:tcBorders>
              <w:top w:val="nil"/>
              <w:left w:val="nil"/>
              <w:right w:val="nil"/>
            </w:tcBorders>
            <w:vAlign w:val="bottom"/>
          </w:tcPr>
          <w:p w14:paraId="422003C8" w14:textId="77777777" w:rsidR="000C441E" w:rsidRPr="00A96055" w:rsidRDefault="000C441E" w:rsidP="003734F4">
            <w:pPr>
              <w:ind w:left="-57" w:right="28"/>
              <w:jc w:val="right"/>
              <w:rPr>
                <w:b/>
                <w:sz w:val="12"/>
                <w:szCs w:val="12"/>
                <w:highlight w:val="yellow"/>
                <w:lang w:val="en-ID"/>
              </w:rPr>
            </w:pPr>
          </w:p>
        </w:tc>
        <w:tc>
          <w:tcPr>
            <w:tcW w:w="1133" w:type="dxa"/>
            <w:tcBorders>
              <w:top w:val="nil"/>
              <w:left w:val="nil"/>
              <w:right w:val="nil"/>
            </w:tcBorders>
            <w:shd w:val="clear" w:color="auto" w:fill="auto"/>
            <w:vAlign w:val="bottom"/>
          </w:tcPr>
          <w:p w14:paraId="613DE36D" w14:textId="441A9311" w:rsidR="000C441E" w:rsidRPr="00A96055" w:rsidRDefault="000C441E" w:rsidP="003734F4">
            <w:pPr>
              <w:ind w:left="-57" w:right="28"/>
              <w:jc w:val="right"/>
              <w:rPr>
                <w:b/>
                <w:sz w:val="12"/>
                <w:szCs w:val="12"/>
                <w:highlight w:val="yellow"/>
                <w:lang w:val="en-ID"/>
              </w:rPr>
            </w:pPr>
          </w:p>
        </w:tc>
        <w:tc>
          <w:tcPr>
            <w:tcW w:w="1511" w:type="dxa"/>
            <w:tcBorders>
              <w:top w:val="nil"/>
              <w:left w:val="nil"/>
              <w:bottom w:val="nil"/>
              <w:right w:val="nil"/>
            </w:tcBorders>
            <w:shd w:val="clear" w:color="auto" w:fill="auto"/>
            <w:vAlign w:val="bottom"/>
          </w:tcPr>
          <w:p w14:paraId="1E4AA949" w14:textId="26527336" w:rsidR="000C441E" w:rsidRPr="001775FB" w:rsidRDefault="000C441E" w:rsidP="003734F4">
            <w:pPr>
              <w:tabs>
                <w:tab w:val="left" w:pos="1360"/>
                <w:tab w:val="left" w:pos="1410"/>
              </w:tabs>
              <w:ind w:right="72"/>
              <w:jc w:val="right"/>
              <w:rPr>
                <w:b/>
                <w:i/>
                <w:iCs/>
                <w:sz w:val="14"/>
                <w:szCs w:val="14"/>
              </w:rPr>
            </w:pPr>
          </w:p>
        </w:tc>
      </w:tr>
    </w:tbl>
    <w:p w14:paraId="543A7896" w14:textId="1FE68DC4" w:rsidR="00C71D96" w:rsidRPr="007A0453" w:rsidRDefault="00C71D96" w:rsidP="0013526B">
      <w:pPr>
        <w:rPr>
          <w:sz w:val="2"/>
          <w:szCs w:val="2"/>
        </w:rPr>
      </w:pPr>
    </w:p>
    <w:p w14:paraId="12AC55BC" w14:textId="7861D11B" w:rsidR="001775FB" w:rsidRDefault="001775FB"/>
    <w:p w14:paraId="5B9FE168" w14:textId="1F974280" w:rsidR="001775FB" w:rsidRDefault="001775FB"/>
    <w:p w14:paraId="08DEFBAD" w14:textId="6D69C0C9" w:rsidR="001775FB" w:rsidRDefault="001775FB"/>
    <w:p w14:paraId="68CB58E2" w14:textId="5ED41588" w:rsidR="001775FB" w:rsidRPr="005F2A60" w:rsidRDefault="001775FB">
      <w:r>
        <w:br w:type="page"/>
      </w:r>
    </w:p>
    <w:tbl>
      <w:tblPr>
        <w:tblW w:w="9197" w:type="dxa"/>
        <w:tblInd w:w="108" w:type="dxa"/>
        <w:tblLayout w:type="fixed"/>
        <w:tblLook w:val="0000" w:firstRow="0" w:lastRow="0" w:firstColumn="0" w:lastColumn="0" w:noHBand="0" w:noVBand="0"/>
      </w:tblPr>
      <w:tblGrid>
        <w:gridCol w:w="4598"/>
        <w:gridCol w:w="4599"/>
      </w:tblGrid>
      <w:tr w:rsidR="00F2676F" w:rsidRPr="0013526B" w14:paraId="4E52BB7B" w14:textId="77777777" w:rsidTr="001775FB">
        <w:tc>
          <w:tcPr>
            <w:tcW w:w="4598" w:type="dxa"/>
            <w:tcBorders>
              <w:top w:val="nil"/>
              <w:left w:val="nil"/>
              <w:bottom w:val="nil"/>
              <w:right w:val="nil"/>
            </w:tcBorders>
          </w:tcPr>
          <w:p w14:paraId="0D9F3FBC" w14:textId="2722418B" w:rsidR="00F2676F" w:rsidRPr="0013526B" w:rsidRDefault="00F2676F" w:rsidP="00070D1F">
            <w:pPr>
              <w:numPr>
                <w:ilvl w:val="0"/>
                <w:numId w:val="300"/>
              </w:numPr>
              <w:ind w:left="304" w:hanging="304"/>
              <w:rPr>
                <w:b/>
                <w:sz w:val="18"/>
                <w:szCs w:val="18"/>
              </w:rPr>
            </w:pPr>
            <w:r w:rsidRPr="0013526B">
              <w:rPr>
                <w:b/>
                <w:sz w:val="18"/>
                <w:szCs w:val="18"/>
              </w:rPr>
              <w:lastRenderedPageBreak/>
              <w:t xml:space="preserve">ASET TETAP </w:t>
            </w:r>
            <w:r w:rsidR="00FD59C4">
              <w:rPr>
                <w:b/>
                <w:sz w:val="18"/>
                <w:szCs w:val="18"/>
                <w:lang w:val="en-ID"/>
              </w:rPr>
              <w:t>–</w:t>
            </w:r>
            <w:r w:rsidRPr="0013526B">
              <w:rPr>
                <w:b/>
                <w:sz w:val="18"/>
                <w:szCs w:val="18"/>
              </w:rPr>
              <w:t xml:space="preserve"> Lanjutan</w:t>
            </w:r>
          </w:p>
        </w:tc>
        <w:tc>
          <w:tcPr>
            <w:tcW w:w="4599" w:type="dxa"/>
            <w:tcBorders>
              <w:top w:val="nil"/>
              <w:left w:val="nil"/>
              <w:bottom w:val="nil"/>
              <w:right w:val="nil"/>
            </w:tcBorders>
          </w:tcPr>
          <w:p w14:paraId="315CC087" w14:textId="41641770" w:rsidR="00F2676F" w:rsidRPr="0013526B" w:rsidRDefault="00F2676F" w:rsidP="00070D1F">
            <w:pPr>
              <w:numPr>
                <w:ilvl w:val="0"/>
                <w:numId w:val="301"/>
              </w:numPr>
              <w:ind w:left="422" w:hanging="422"/>
              <w:jc w:val="both"/>
              <w:rPr>
                <w:b/>
                <w:i/>
                <w:sz w:val="18"/>
                <w:szCs w:val="18"/>
              </w:rPr>
            </w:pPr>
            <w:r w:rsidRPr="0013526B">
              <w:rPr>
                <w:b/>
                <w:i/>
                <w:sz w:val="18"/>
                <w:szCs w:val="18"/>
              </w:rPr>
              <w:t>PROPERTY AND EQUIPMENT</w:t>
            </w:r>
            <w:r w:rsidR="00B41AC1">
              <w:rPr>
                <w:b/>
                <w:i/>
                <w:sz w:val="18"/>
                <w:szCs w:val="18"/>
              </w:rPr>
              <w:t xml:space="preserve"> -</w:t>
            </w:r>
            <w:r w:rsidRPr="0013526B">
              <w:rPr>
                <w:b/>
                <w:i/>
                <w:sz w:val="18"/>
                <w:szCs w:val="18"/>
              </w:rPr>
              <w:t xml:space="preserve"> Continued</w:t>
            </w:r>
          </w:p>
        </w:tc>
      </w:tr>
    </w:tbl>
    <w:p w14:paraId="56EF3F9D" w14:textId="77777777" w:rsidR="003274C0" w:rsidRDefault="003274C0" w:rsidP="0013526B">
      <w:pPr>
        <w:rPr>
          <w:sz w:val="14"/>
          <w:szCs w:val="18"/>
        </w:rPr>
      </w:pPr>
    </w:p>
    <w:tbl>
      <w:tblPr>
        <w:tblW w:w="9126" w:type="dxa"/>
        <w:tblInd w:w="108" w:type="dxa"/>
        <w:tblLayout w:type="fixed"/>
        <w:tblCellMar>
          <w:left w:w="0" w:type="dxa"/>
          <w:right w:w="0" w:type="dxa"/>
        </w:tblCellMar>
        <w:tblLook w:val="04A0" w:firstRow="1" w:lastRow="0" w:firstColumn="1" w:lastColumn="0" w:noHBand="0" w:noVBand="1"/>
      </w:tblPr>
      <w:tblGrid>
        <w:gridCol w:w="1876"/>
        <w:gridCol w:w="1133"/>
        <w:gridCol w:w="83"/>
        <w:gridCol w:w="1050"/>
        <w:gridCol w:w="91"/>
        <w:gridCol w:w="83"/>
        <w:gridCol w:w="84"/>
        <w:gridCol w:w="751"/>
        <w:gridCol w:w="125"/>
        <w:gridCol w:w="42"/>
        <w:gridCol w:w="41"/>
        <w:gridCol w:w="133"/>
        <w:gridCol w:w="702"/>
        <w:gridCol w:w="216"/>
        <w:gridCol w:w="83"/>
        <w:gridCol w:w="25"/>
        <w:gridCol w:w="1167"/>
        <w:gridCol w:w="20"/>
        <w:gridCol w:w="1396"/>
        <w:gridCol w:w="25"/>
      </w:tblGrid>
      <w:tr w:rsidR="00EF69AD" w:rsidRPr="005F2A60" w14:paraId="2399BED4" w14:textId="77777777" w:rsidTr="003734F4">
        <w:trPr>
          <w:gridAfter w:val="1"/>
          <w:wAfter w:w="20" w:type="dxa"/>
          <w:cantSplit/>
        </w:trPr>
        <w:tc>
          <w:tcPr>
            <w:tcW w:w="1877" w:type="dxa"/>
            <w:tcBorders>
              <w:top w:val="nil"/>
              <w:left w:val="nil"/>
              <w:bottom w:val="nil"/>
              <w:right w:val="nil"/>
            </w:tcBorders>
            <w:shd w:val="clear" w:color="auto" w:fill="auto"/>
            <w:vAlign w:val="bottom"/>
          </w:tcPr>
          <w:p w14:paraId="2402A417" w14:textId="13A0388C" w:rsidR="00EF69AD" w:rsidRPr="005F2A60" w:rsidRDefault="00EF69AD" w:rsidP="001445AB">
            <w:pPr>
              <w:spacing w:line="140" w:lineRule="exact"/>
              <w:ind w:left="680" w:right="17" w:hanging="255"/>
              <w:rPr>
                <w:b/>
                <w:sz w:val="14"/>
                <w:szCs w:val="14"/>
                <w:u w:val="single"/>
              </w:rPr>
            </w:pPr>
            <w:r>
              <w:rPr>
                <w:b/>
                <w:sz w:val="14"/>
                <w:szCs w:val="14"/>
                <w:u w:val="single"/>
              </w:rPr>
              <w:t>31 Desember 2019</w:t>
            </w:r>
          </w:p>
        </w:tc>
        <w:tc>
          <w:tcPr>
            <w:tcW w:w="1134" w:type="dxa"/>
            <w:tcBorders>
              <w:top w:val="nil"/>
              <w:left w:val="nil"/>
              <w:bottom w:val="single" w:sz="4" w:space="0" w:color="auto"/>
              <w:right w:val="nil"/>
            </w:tcBorders>
            <w:shd w:val="clear" w:color="auto" w:fill="auto"/>
            <w:vAlign w:val="bottom"/>
          </w:tcPr>
          <w:p w14:paraId="145DBFD4" w14:textId="77777777" w:rsidR="00EF69AD" w:rsidRPr="005F2A60" w:rsidRDefault="00EF69AD" w:rsidP="00351486">
            <w:pPr>
              <w:spacing w:line="140" w:lineRule="exact"/>
              <w:jc w:val="center"/>
              <w:rPr>
                <w:b/>
                <w:sz w:val="14"/>
                <w:szCs w:val="14"/>
              </w:rPr>
            </w:pPr>
            <w:r w:rsidRPr="005F2A60">
              <w:rPr>
                <w:b/>
                <w:sz w:val="14"/>
                <w:szCs w:val="14"/>
              </w:rPr>
              <w:t>Saldo awal/</w:t>
            </w:r>
          </w:p>
          <w:p w14:paraId="6B94E7B4" w14:textId="77777777" w:rsidR="00EF69AD" w:rsidRPr="005F2A60" w:rsidRDefault="00EF69AD" w:rsidP="00351486">
            <w:pPr>
              <w:spacing w:line="140" w:lineRule="exact"/>
              <w:jc w:val="center"/>
              <w:rPr>
                <w:b/>
                <w:sz w:val="14"/>
                <w:szCs w:val="14"/>
              </w:rPr>
            </w:pPr>
            <w:r w:rsidRPr="005F2A60">
              <w:rPr>
                <w:b/>
                <w:i/>
                <w:iCs/>
                <w:sz w:val="14"/>
                <w:szCs w:val="14"/>
              </w:rPr>
              <w:t>Beginning balance</w:t>
            </w:r>
          </w:p>
        </w:tc>
        <w:tc>
          <w:tcPr>
            <w:tcW w:w="83" w:type="dxa"/>
            <w:tcBorders>
              <w:top w:val="nil"/>
              <w:left w:val="nil"/>
              <w:right w:val="nil"/>
            </w:tcBorders>
            <w:shd w:val="clear" w:color="auto" w:fill="auto"/>
            <w:vAlign w:val="bottom"/>
          </w:tcPr>
          <w:p w14:paraId="4A89CD5D" w14:textId="77777777" w:rsidR="00EF69AD" w:rsidRPr="005F2A60" w:rsidRDefault="00EF69AD" w:rsidP="00351486">
            <w:pPr>
              <w:spacing w:line="140" w:lineRule="exact"/>
              <w:jc w:val="center"/>
              <w:rPr>
                <w:b/>
                <w:sz w:val="14"/>
                <w:szCs w:val="14"/>
              </w:rPr>
            </w:pPr>
          </w:p>
        </w:tc>
        <w:tc>
          <w:tcPr>
            <w:tcW w:w="1051" w:type="dxa"/>
            <w:tcBorders>
              <w:top w:val="nil"/>
              <w:left w:val="nil"/>
              <w:bottom w:val="single" w:sz="4" w:space="0" w:color="auto"/>
              <w:right w:val="nil"/>
            </w:tcBorders>
            <w:shd w:val="clear" w:color="auto" w:fill="auto"/>
            <w:vAlign w:val="bottom"/>
          </w:tcPr>
          <w:p w14:paraId="2398550F" w14:textId="77777777" w:rsidR="00EF69AD" w:rsidRPr="005F2A60" w:rsidRDefault="00EF69AD" w:rsidP="007A0453">
            <w:pPr>
              <w:spacing w:line="140" w:lineRule="exact"/>
              <w:jc w:val="center"/>
              <w:rPr>
                <w:b/>
                <w:sz w:val="14"/>
                <w:szCs w:val="14"/>
                <w:lang w:val="id-ID"/>
              </w:rPr>
            </w:pPr>
            <w:r w:rsidRPr="005F2A60">
              <w:rPr>
                <w:b/>
                <w:sz w:val="14"/>
                <w:szCs w:val="14"/>
              </w:rPr>
              <w:t>Penambahan/</w:t>
            </w:r>
          </w:p>
          <w:p w14:paraId="7E9ABD99" w14:textId="023A4272" w:rsidR="00EF69AD" w:rsidRPr="005F2A60" w:rsidRDefault="00EF69AD" w:rsidP="007A0453">
            <w:pPr>
              <w:spacing w:line="140" w:lineRule="exact"/>
              <w:jc w:val="center"/>
              <w:rPr>
                <w:b/>
                <w:sz w:val="14"/>
                <w:szCs w:val="14"/>
                <w:lang w:val="id-ID"/>
              </w:rPr>
            </w:pPr>
            <w:r w:rsidRPr="005F2A60">
              <w:rPr>
                <w:b/>
                <w:i/>
                <w:sz w:val="14"/>
                <w:szCs w:val="14"/>
              </w:rPr>
              <w:t>Addition</w:t>
            </w:r>
          </w:p>
        </w:tc>
        <w:tc>
          <w:tcPr>
            <w:tcW w:w="91" w:type="dxa"/>
            <w:tcBorders>
              <w:top w:val="nil"/>
              <w:left w:val="nil"/>
              <w:right w:val="nil"/>
            </w:tcBorders>
            <w:shd w:val="clear" w:color="auto" w:fill="auto"/>
            <w:vAlign w:val="bottom"/>
          </w:tcPr>
          <w:p w14:paraId="11689A9C" w14:textId="77777777" w:rsidR="00EF69AD" w:rsidRPr="005F2A60" w:rsidRDefault="00EF69AD" w:rsidP="00351486">
            <w:pPr>
              <w:spacing w:line="140" w:lineRule="exact"/>
              <w:jc w:val="center"/>
              <w:rPr>
                <w:b/>
                <w:sz w:val="14"/>
                <w:szCs w:val="14"/>
              </w:rPr>
            </w:pPr>
          </w:p>
        </w:tc>
        <w:tc>
          <w:tcPr>
            <w:tcW w:w="83" w:type="dxa"/>
            <w:tcBorders>
              <w:top w:val="nil"/>
              <w:left w:val="nil"/>
              <w:right w:val="nil"/>
            </w:tcBorders>
            <w:shd w:val="clear" w:color="auto" w:fill="auto"/>
            <w:vAlign w:val="bottom"/>
          </w:tcPr>
          <w:p w14:paraId="1D436E1E" w14:textId="77777777" w:rsidR="00EF69AD" w:rsidRPr="005F2A60" w:rsidRDefault="00EF69AD" w:rsidP="00351486">
            <w:pPr>
              <w:spacing w:line="140" w:lineRule="exact"/>
              <w:jc w:val="center"/>
              <w:rPr>
                <w:b/>
                <w:sz w:val="14"/>
                <w:szCs w:val="14"/>
              </w:rPr>
            </w:pPr>
          </w:p>
        </w:tc>
        <w:tc>
          <w:tcPr>
            <w:tcW w:w="960" w:type="dxa"/>
            <w:gridSpan w:val="3"/>
            <w:tcBorders>
              <w:top w:val="nil"/>
              <w:left w:val="nil"/>
              <w:bottom w:val="single" w:sz="4" w:space="0" w:color="auto"/>
              <w:right w:val="nil"/>
            </w:tcBorders>
            <w:shd w:val="clear" w:color="auto" w:fill="auto"/>
            <w:vAlign w:val="bottom"/>
          </w:tcPr>
          <w:p w14:paraId="3EE42FDE" w14:textId="77777777" w:rsidR="00EF69AD" w:rsidRPr="005F2A60" w:rsidRDefault="00EF69AD" w:rsidP="00351486">
            <w:pPr>
              <w:spacing w:line="140" w:lineRule="exact"/>
              <w:jc w:val="center"/>
              <w:rPr>
                <w:b/>
                <w:sz w:val="14"/>
                <w:szCs w:val="14"/>
              </w:rPr>
            </w:pPr>
            <w:r w:rsidRPr="005F2A60">
              <w:rPr>
                <w:b/>
                <w:sz w:val="14"/>
                <w:szCs w:val="14"/>
              </w:rPr>
              <w:t xml:space="preserve">Pengurangan/ </w:t>
            </w:r>
            <w:r w:rsidRPr="005F2A60">
              <w:rPr>
                <w:b/>
                <w:i/>
                <w:sz w:val="14"/>
                <w:szCs w:val="14"/>
              </w:rPr>
              <w:t>Deductions</w:t>
            </w:r>
          </w:p>
        </w:tc>
        <w:tc>
          <w:tcPr>
            <w:tcW w:w="83" w:type="dxa"/>
            <w:gridSpan w:val="2"/>
            <w:tcBorders>
              <w:top w:val="nil"/>
              <w:left w:val="nil"/>
              <w:right w:val="nil"/>
            </w:tcBorders>
            <w:shd w:val="clear" w:color="auto" w:fill="auto"/>
            <w:vAlign w:val="bottom"/>
          </w:tcPr>
          <w:p w14:paraId="530D2F9D" w14:textId="77777777" w:rsidR="00EF69AD" w:rsidRPr="005F2A60" w:rsidRDefault="00EF69AD" w:rsidP="00351486">
            <w:pPr>
              <w:spacing w:line="140" w:lineRule="exact"/>
              <w:jc w:val="center"/>
              <w:rPr>
                <w:b/>
                <w:sz w:val="14"/>
                <w:szCs w:val="14"/>
              </w:rPr>
            </w:pPr>
          </w:p>
        </w:tc>
        <w:tc>
          <w:tcPr>
            <w:tcW w:w="1051" w:type="dxa"/>
            <w:gridSpan w:val="3"/>
            <w:tcBorders>
              <w:top w:val="nil"/>
              <w:left w:val="nil"/>
              <w:bottom w:val="single" w:sz="4" w:space="0" w:color="auto"/>
              <w:right w:val="nil"/>
            </w:tcBorders>
            <w:vAlign w:val="bottom"/>
          </w:tcPr>
          <w:p w14:paraId="17AC05FA" w14:textId="77777777" w:rsidR="00EF69AD" w:rsidRPr="005F2A60" w:rsidRDefault="00EF69AD" w:rsidP="005F2A60">
            <w:pPr>
              <w:spacing w:line="140" w:lineRule="exact"/>
              <w:jc w:val="center"/>
              <w:rPr>
                <w:b/>
                <w:sz w:val="14"/>
                <w:szCs w:val="14"/>
              </w:rPr>
            </w:pPr>
          </w:p>
          <w:p w14:paraId="3D6DF886" w14:textId="77777777" w:rsidR="00EF69AD" w:rsidRPr="005F2A60" w:rsidRDefault="00EF69AD" w:rsidP="005F2A60">
            <w:pPr>
              <w:spacing w:line="140" w:lineRule="exact"/>
              <w:jc w:val="center"/>
              <w:rPr>
                <w:b/>
                <w:i/>
                <w:sz w:val="14"/>
                <w:szCs w:val="14"/>
              </w:rPr>
            </w:pPr>
            <w:r w:rsidRPr="005F2A60">
              <w:rPr>
                <w:b/>
                <w:sz w:val="14"/>
                <w:szCs w:val="14"/>
              </w:rPr>
              <w:t xml:space="preserve">Reklasifikasi/ </w:t>
            </w:r>
            <w:r w:rsidRPr="005F2A60">
              <w:rPr>
                <w:b/>
                <w:i/>
                <w:sz w:val="14"/>
                <w:szCs w:val="14"/>
              </w:rPr>
              <w:t>reclassifications</w:t>
            </w:r>
          </w:p>
        </w:tc>
        <w:tc>
          <w:tcPr>
            <w:tcW w:w="83" w:type="dxa"/>
            <w:tcBorders>
              <w:top w:val="nil"/>
              <w:left w:val="nil"/>
              <w:right w:val="nil"/>
            </w:tcBorders>
          </w:tcPr>
          <w:p w14:paraId="3EE40911" w14:textId="77777777" w:rsidR="00EF69AD" w:rsidRPr="005F2A60" w:rsidRDefault="00EF69AD" w:rsidP="00351486">
            <w:pPr>
              <w:spacing w:line="140" w:lineRule="exact"/>
              <w:jc w:val="center"/>
              <w:rPr>
                <w:b/>
                <w:sz w:val="14"/>
                <w:szCs w:val="14"/>
              </w:rPr>
            </w:pPr>
          </w:p>
        </w:tc>
        <w:tc>
          <w:tcPr>
            <w:tcW w:w="1193" w:type="dxa"/>
            <w:gridSpan w:val="2"/>
            <w:tcBorders>
              <w:top w:val="nil"/>
              <w:left w:val="nil"/>
              <w:bottom w:val="single" w:sz="4" w:space="0" w:color="auto"/>
              <w:right w:val="nil"/>
            </w:tcBorders>
            <w:shd w:val="clear" w:color="auto" w:fill="auto"/>
            <w:vAlign w:val="bottom"/>
          </w:tcPr>
          <w:p w14:paraId="4D3CA997" w14:textId="77777777" w:rsidR="00EF69AD" w:rsidRPr="005F2A60" w:rsidRDefault="00EF69AD" w:rsidP="00351486">
            <w:pPr>
              <w:spacing w:line="140" w:lineRule="exact"/>
              <w:jc w:val="center"/>
              <w:rPr>
                <w:b/>
                <w:sz w:val="14"/>
                <w:szCs w:val="14"/>
              </w:rPr>
            </w:pPr>
            <w:r w:rsidRPr="005F2A60">
              <w:rPr>
                <w:b/>
                <w:sz w:val="14"/>
                <w:szCs w:val="14"/>
              </w:rPr>
              <w:t>Saldo akhir/</w:t>
            </w:r>
          </w:p>
          <w:p w14:paraId="2B42EC95" w14:textId="77777777" w:rsidR="00EF69AD" w:rsidRPr="005F2A60" w:rsidRDefault="00EF69AD" w:rsidP="00351486">
            <w:pPr>
              <w:spacing w:line="140" w:lineRule="exact"/>
              <w:jc w:val="center"/>
              <w:rPr>
                <w:b/>
                <w:sz w:val="14"/>
                <w:szCs w:val="14"/>
              </w:rPr>
            </w:pPr>
            <w:r w:rsidRPr="005F2A60">
              <w:rPr>
                <w:b/>
                <w:i/>
                <w:sz w:val="14"/>
                <w:szCs w:val="14"/>
              </w:rPr>
              <w:t>Ending balance</w:t>
            </w:r>
          </w:p>
        </w:tc>
        <w:tc>
          <w:tcPr>
            <w:tcW w:w="1417" w:type="dxa"/>
            <w:gridSpan w:val="2"/>
            <w:tcBorders>
              <w:top w:val="nil"/>
              <w:left w:val="nil"/>
              <w:bottom w:val="nil"/>
              <w:right w:val="nil"/>
            </w:tcBorders>
            <w:shd w:val="clear" w:color="auto" w:fill="auto"/>
            <w:vAlign w:val="bottom"/>
          </w:tcPr>
          <w:p w14:paraId="417AEB18" w14:textId="0D5A1BFE" w:rsidR="00EF69AD" w:rsidRPr="005F2A60" w:rsidRDefault="00EF69AD" w:rsidP="00351486">
            <w:pPr>
              <w:spacing w:line="140" w:lineRule="exact"/>
              <w:ind w:right="72"/>
              <w:jc w:val="right"/>
              <w:rPr>
                <w:b/>
                <w:i/>
                <w:iCs/>
                <w:sz w:val="14"/>
                <w:szCs w:val="14"/>
                <w:u w:val="single"/>
              </w:rPr>
            </w:pPr>
            <w:r>
              <w:rPr>
                <w:b/>
                <w:i/>
                <w:iCs/>
                <w:sz w:val="14"/>
                <w:szCs w:val="14"/>
                <w:u w:val="single"/>
              </w:rPr>
              <w:t>December 31, 2019</w:t>
            </w:r>
          </w:p>
        </w:tc>
      </w:tr>
      <w:tr w:rsidR="00EF69AD" w:rsidRPr="005F2A60" w14:paraId="5786FF97" w14:textId="77777777" w:rsidTr="003734F4">
        <w:trPr>
          <w:gridAfter w:val="1"/>
          <w:wAfter w:w="20" w:type="dxa"/>
          <w:cantSplit/>
        </w:trPr>
        <w:tc>
          <w:tcPr>
            <w:tcW w:w="1877" w:type="dxa"/>
            <w:tcBorders>
              <w:top w:val="nil"/>
              <w:left w:val="nil"/>
              <w:right w:val="nil"/>
            </w:tcBorders>
            <w:shd w:val="clear" w:color="auto" w:fill="auto"/>
          </w:tcPr>
          <w:p w14:paraId="5C3A8CF3" w14:textId="77777777" w:rsidR="00EF69AD" w:rsidRPr="005F2A60" w:rsidRDefault="00EF69AD" w:rsidP="001445AB">
            <w:pPr>
              <w:ind w:left="680" w:right="71" w:hanging="255"/>
              <w:jc w:val="center"/>
              <w:rPr>
                <w:bCs w:val="0"/>
                <w:i/>
                <w:iCs/>
                <w:sz w:val="14"/>
                <w:szCs w:val="14"/>
              </w:rPr>
            </w:pPr>
          </w:p>
        </w:tc>
        <w:tc>
          <w:tcPr>
            <w:tcW w:w="1134" w:type="dxa"/>
            <w:tcBorders>
              <w:top w:val="single" w:sz="4" w:space="0" w:color="auto"/>
              <w:left w:val="nil"/>
              <w:right w:val="nil"/>
            </w:tcBorders>
            <w:shd w:val="clear" w:color="auto" w:fill="auto"/>
            <w:vAlign w:val="bottom"/>
          </w:tcPr>
          <w:p w14:paraId="4D3E407C" w14:textId="77777777" w:rsidR="00EF69AD" w:rsidRPr="005F2A60" w:rsidRDefault="00EF69AD" w:rsidP="00351486">
            <w:pPr>
              <w:jc w:val="right"/>
              <w:rPr>
                <w:b/>
                <w:i/>
                <w:iCs/>
                <w:sz w:val="14"/>
                <w:szCs w:val="14"/>
              </w:rPr>
            </w:pPr>
          </w:p>
        </w:tc>
        <w:tc>
          <w:tcPr>
            <w:tcW w:w="83" w:type="dxa"/>
            <w:tcBorders>
              <w:left w:val="nil"/>
              <w:right w:val="nil"/>
            </w:tcBorders>
            <w:shd w:val="clear" w:color="auto" w:fill="auto"/>
            <w:vAlign w:val="bottom"/>
          </w:tcPr>
          <w:p w14:paraId="683CB8B3" w14:textId="77777777" w:rsidR="00EF69AD" w:rsidRPr="005F2A60" w:rsidRDefault="00EF69AD" w:rsidP="00351486">
            <w:pPr>
              <w:jc w:val="right"/>
              <w:rPr>
                <w:b/>
                <w:i/>
                <w:iCs/>
                <w:sz w:val="14"/>
                <w:szCs w:val="14"/>
              </w:rPr>
            </w:pPr>
          </w:p>
        </w:tc>
        <w:tc>
          <w:tcPr>
            <w:tcW w:w="1051" w:type="dxa"/>
            <w:tcBorders>
              <w:top w:val="single" w:sz="4" w:space="0" w:color="auto"/>
              <w:left w:val="nil"/>
              <w:right w:val="nil"/>
            </w:tcBorders>
            <w:shd w:val="clear" w:color="auto" w:fill="auto"/>
            <w:vAlign w:val="bottom"/>
          </w:tcPr>
          <w:p w14:paraId="7C869B31" w14:textId="77777777" w:rsidR="00EF69AD" w:rsidRPr="005F2A60" w:rsidRDefault="00EF69AD" w:rsidP="00351486">
            <w:pPr>
              <w:jc w:val="right"/>
              <w:rPr>
                <w:b/>
                <w:i/>
                <w:iCs/>
                <w:sz w:val="14"/>
                <w:szCs w:val="14"/>
              </w:rPr>
            </w:pPr>
          </w:p>
        </w:tc>
        <w:tc>
          <w:tcPr>
            <w:tcW w:w="91" w:type="dxa"/>
            <w:tcBorders>
              <w:left w:val="nil"/>
              <w:right w:val="nil"/>
            </w:tcBorders>
            <w:shd w:val="clear" w:color="auto" w:fill="auto"/>
            <w:vAlign w:val="bottom"/>
          </w:tcPr>
          <w:p w14:paraId="52FCA3C8" w14:textId="77777777" w:rsidR="00EF69AD" w:rsidRPr="005F2A60" w:rsidRDefault="00EF69AD" w:rsidP="00351486">
            <w:pPr>
              <w:jc w:val="right"/>
              <w:rPr>
                <w:b/>
                <w:i/>
                <w:iCs/>
                <w:sz w:val="14"/>
                <w:szCs w:val="14"/>
              </w:rPr>
            </w:pPr>
          </w:p>
        </w:tc>
        <w:tc>
          <w:tcPr>
            <w:tcW w:w="83" w:type="dxa"/>
            <w:tcBorders>
              <w:left w:val="nil"/>
              <w:right w:val="nil"/>
            </w:tcBorders>
            <w:shd w:val="clear" w:color="auto" w:fill="auto"/>
            <w:vAlign w:val="bottom"/>
          </w:tcPr>
          <w:p w14:paraId="1E6AA05D" w14:textId="77777777" w:rsidR="00EF69AD" w:rsidRPr="005F2A60" w:rsidRDefault="00EF69AD" w:rsidP="00351486">
            <w:pPr>
              <w:jc w:val="right"/>
              <w:rPr>
                <w:b/>
                <w:i/>
                <w:iCs/>
                <w:sz w:val="14"/>
                <w:szCs w:val="14"/>
              </w:rPr>
            </w:pPr>
          </w:p>
        </w:tc>
        <w:tc>
          <w:tcPr>
            <w:tcW w:w="960" w:type="dxa"/>
            <w:gridSpan w:val="3"/>
            <w:tcBorders>
              <w:top w:val="single" w:sz="4" w:space="0" w:color="auto"/>
              <w:left w:val="nil"/>
              <w:right w:val="nil"/>
            </w:tcBorders>
            <w:shd w:val="clear" w:color="auto" w:fill="auto"/>
            <w:vAlign w:val="bottom"/>
          </w:tcPr>
          <w:p w14:paraId="7B96CDE6" w14:textId="77777777" w:rsidR="00EF69AD" w:rsidRPr="005F2A60" w:rsidRDefault="00EF69AD" w:rsidP="00351486">
            <w:pPr>
              <w:jc w:val="right"/>
              <w:rPr>
                <w:b/>
                <w:i/>
                <w:iCs/>
                <w:sz w:val="14"/>
                <w:szCs w:val="14"/>
              </w:rPr>
            </w:pPr>
          </w:p>
        </w:tc>
        <w:tc>
          <w:tcPr>
            <w:tcW w:w="83" w:type="dxa"/>
            <w:gridSpan w:val="2"/>
            <w:tcBorders>
              <w:left w:val="nil"/>
              <w:right w:val="nil"/>
            </w:tcBorders>
            <w:shd w:val="clear" w:color="auto" w:fill="auto"/>
            <w:vAlign w:val="bottom"/>
          </w:tcPr>
          <w:p w14:paraId="6365E0A5" w14:textId="77777777" w:rsidR="00EF69AD" w:rsidRPr="005F2A60" w:rsidRDefault="00EF69AD" w:rsidP="00351486">
            <w:pPr>
              <w:jc w:val="right"/>
              <w:rPr>
                <w:b/>
                <w:i/>
                <w:iCs/>
                <w:sz w:val="14"/>
                <w:szCs w:val="14"/>
              </w:rPr>
            </w:pPr>
          </w:p>
        </w:tc>
        <w:tc>
          <w:tcPr>
            <w:tcW w:w="1051" w:type="dxa"/>
            <w:gridSpan w:val="3"/>
            <w:tcBorders>
              <w:top w:val="single" w:sz="4" w:space="0" w:color="auto"/>
              <w:left w:val="nil"/>
              <w:right w:val="nil"/>
            </w:tcBorders>
          </w:tcPr>
          <w:p w14:paraId="56680FF4" w14:textId="77777777" w:rsidR="00EF69AD" w:rsidRPr="005F2A60" w:rsidRDefault="00EF69AD" w:rsidP="00351486">
            <w:pPr>
              <w:jc w:val="right"/>
              <w:rPr>
                <w:b/>
                <w:i/>
                <w:iCs/>
                <w:sz w:val="14"/>
                <w:szCs w:val="14"/>
              </w:rPr>
            </w:pPr>
          </w:p>
        </w:tc>
        <w:tc>
          <w:tcPr>
            <w:tcW w:w="83" w:type="dxa"/>
            <w:tcBorders>
              <w:left w:val="nil"/>
              <w:right w:val="nil"/>
            </w:tcBorders>
          </w:tcPr>
          <w:p w14:paraId="7138E0B3" w14:textId="77777777" w:rsidR="00EF69AD" w:rsidRPr="005F2A60" w:rsidRDefault="00EF69AD" w:rsidP="00351486">
            <w:pPr>
              <w:jc w:val="right"/>
              <w:rPr>
                <w:b/>
                <w:i/>
                <w:iCs/>
                <w:sz w:val="14"/>
                <w:szCs w:val="14"/>
              </w:rPr>
            </w:pPr>
          </w:p>
        </w:tc>
        <w:tc>
          <w:tcPr>
            <w:tcW w:w="1193" w:type="dxa"/>
            <w:gridSpan w:val="2"/>
            <w:tcBorders>
              <w:top w:val="single" w:sz="4" w:space="0" w:color="auto"/>
              <w:left w:val="nil"/>
              <w:right w:val="nil"/>
            </w:tcBorders>
            <w:shd w:val="clear" w:color="auto" w:fill="auto"/>
            <w:vAlign w:val="bottom"/>
          </w:tcPr>
          <w:p w14:paraId="2E1123CC" w14:textId="77777777" w:rsidR="00EF69AD" w:rsidRPr="005F2A60" w:rsidRDefault="00EF69AD" w:rsidP="00351486">
            <w:pPr>
              <w:jc w:val="right"/>
              <w:rPr>
                <w:b/>
                <w:i/>
                <w:iCs/>
                <w:sz w:val="14"/>
                <w:szCs w:val="14"/>
              </w:rPr>
            </w:pPr>
          </w:p>
        </w:tc>
        <w:tc>
          <w:tcPr>
            <w:tcW w:w="1417" w:type="dxa"/>
            <w:gridSpan w:val="2"/>
            <w:tcBorders>
              <w:top w:val="nil"/>
              <w:left w:val="nil"/>
              <w:right w:val="nil"/>
            </w:tcBorders>
            <w:shd w:val="clear" w:color="auto" w:fill="auto"/>
          </w:tcPr>
          <w:p w14:paraId="62970AD2" w14:textId="77777777" w:rsidR="00EF69AD" w:rsidRPr="005F2A60" w:rsidRDefault="00EF69AD" w:rsidP="00351486">
            <w:pPr>
              <w:tabs>
                <w:tab w:val="left" w:pos="1410"/>
              </w:tabs>
              <w:ind w:right="72"/>
              <w:jc w:val="center"/>
              <w:rPr>
                <w:b/>
                <w:i/>
                <w:iCs/>
                <w:sz w:val="14"/>
                <w:szCs w:val="14"/>
              </w:rPr>
            </w:pPr>
          </w:p>
        </w:tc>
      </w:tr>
      <w:tr w:rsidR="00EF69AD" w:rsidRPr="005F2A60" w14:paraId="31F7A8B3" w14:textId="77777777" w:rsidTr="003734F4">
        <w:trPr>
          <w:gridAfter w:val="1"/>
          <w:wAfter w:w="20" w:type="dxa"/>
          <w:cantSplit/>
        </w:trPr>
        <w:tc>
          <w:tcPr>
            <w:tcW w:w="1877" w:type="dxa"/>
            <w:tcBorders>
              <w:top w:val="nil"/>
              <w:left w:val="nil"/>
              <w:bottom w:val="nil"/>
              <w:right w:val="nil"/>
            </w:tcBorders>
            <w:shd w:val="clear" w:color="auto" w:fill="auto"/>
            <w:vAlign w:val="bottom"/>
          </w:tcPr>
          <w:p w14:paraId="710833DF" w14:textId="77777777" w:rsidR="00EF69AD" w:rsidRPr="005F2A60" w:rsidRDefault="00EF69AD" w:rsidP="001445AB">
            <w:pPr>
              <w:ind w:left="680" w:right="17" w:hanging="255"/>
              <w:rPr>
                <w:bCs w:val="0"/>
                <w:sz w:val="14"/>
                <w:szCs w:val="14"/>
                <w:u w:val="single"/>
              </w:rPr>
            </w:pPr>
            <w:r w:rsidRPr="005F2A60">
              <w:rPr>
                <w:b/>
                <w:sz w:val="14"/>
                <w:szCs w:val="14"/>
                <w:u w:val="single"/>
              </w:rPr>
              <w:t xml:space="preserve">Biaya Perolehan </w:t>
            </w:r>
          </w:p>
        </w:tc>
        <w:tc>
          <w:tcPr>
            <w:tcW w:w="1134" w:type="dxa"/>
            <w:tcBorders>
              <w:top w:val="nil"/>
              <w:left w:val="nil"/>
              <w:bottom w:val="nil"/>
              <w:right w:val="nil"/>
            </w:tcBorders>
            <w:shd w:val="clear" w:color="auto" w:fill="auto"/>
            <w:vAlign w:val="bottom"/>
          </w:tcPr>
          <w:p w14:paraId="62BAE10E" w14:textId="77777777" w:rsidR="00EF69AD" w:rsidRPr="005F2A60" w:rsidRDefault="00EF69AD" w:rsidP="00351486">
            <w:pPr>
              <w:ind w:right="28"/>
              <w:jc w:val="right"/>
              <w:rPr>
                <w:bCs w:val="0"/>
                <w:sz w:val="14"/>
                <w:szCs w:val="14"/>
              </w:rPr>
            </w:pPr>
          </w:p>
        </w:tc>
        <w:tc>
          <w:tcPr>
            <w:tcW w:w="83" w:type="dxa"/>
            <w:tcBorders>
              <w:top w:val="nil"/>
              <w:left w:val="nil"/>
              <w:bottom w:val="nil"/>
              <w:right w:val="nil"/>
            </w:tcBorders>
            <w:shd w:val="clear" w:color="auto" w:fill="auto"/>
            <w:vAlign w:val="bottom"/>
          </w:tcPr>
          <w:p w14:paraId="3658B745" w14:textId="77777777" w:rsidR="00EF69AD" w:rsidRPr="005F2A60" w:rsidRDefault="00EF69AD" w:rsidP="00351486">
            <w:pPr>
              <w:jc w:val="right"/>
              <w:rPr>
                <w:bCs w:val="0"/>
                <w:sz w:val="14"/>
                <w:szCs w:val="14"/>
              </w:rPr>
            </w:pPr>
          </w:p>
        </w:tc>
        <w:tc>
          <w:tcPr>
            <w:tcW w:w="1051" w:type="dxa"/>
            <w:tcBorders>
              <w:top w:val="nil"/>
              <w:left w:val="nil"/>
              <w:bottom w:val="nil"/>
              <w:right w:val="nil"/>
            </w:tcBorders>
            <w:shd w:val="clear" w:color="auto" w:fill="auto"/>
            <w:vAlign w:val="bottom"/>
          </w:tcPr>
          <w:p w14:paraId="047B9C19" w14:textId="77777777" w:rsidR="00EF69AD" w:rsidRPr="005F2A60" w:rsidRDefault="00EF69AD" w:rsidP="00351486">
            <w:pPr>
              <w:jc w:val="right"/>
              <w:rPr>
                <w:bCs w:val="0"/>
                <w:sz w:val="14"/>
                <w:szCs w:val="14"/>
              </w:rPr>
            </w:pPr>
          </w:p>
        </w:tc>
        <w:tc>
          <w:tcPr>
            <w:tcW w:w="91" w:type="dxa"/>
            <w:tcBorders>
              <w:top w:val="nil"/>
              <w:left w:val="nil"/>
              <w:bottom w:val="nil"/>
              <w:right w:val="nil"/>
            </w:tcBorders>
            <w:shd w:val="clear" w:color="auto" w:fill="auto"/>
            <w:vAlign w:val="bottom"/>
          </w:tcPr>
          <w:p w14:paraId="1520303E" w14:textId="77777777" w:rsidR="00EF69AD" w:rsidRPr="005F2A60" w:rsidRDefault="00EF69AD" w:rsidP="00351486">
            <w:pPr>
              <w:jc w:val="right"/>
              <w:rPr>
                <w:bCs w:val="0"/>
                <w:sz w:val="14"/>
                <w:szCs w:val="14"/>
              </w:rPr>
            </w:pPr>
          </w:p>
        </w:tc>
        <w:tc>
          <w:tcPr>
            <w:tcW w:w="83" w:type="dxa"/>
            <w:tcBorders>
              <w:top w:val="nil"/>
              <w:left w:val="nil"/>
              <w:bottom w:val="nil"/>
              <w:right w:val="nil"/>
            </w:tcBorders>
            <w:shd w:val="clear" w:color="auto" w:fill="auto"/>
            <w:vAlign w:val="bottom"/>
          </w:tcPr>
          <w:p w14:paraId="6336BC59" w14:textId="77777777" w:rsidR="00EF69AD" w:rsidRPr="005F2A60" w:rsidRDefault="00EF69AD" w:rsidP="00351486">
            <w:pPr>
              <w:jc w:val="right"/>
              <w:rPr>
                <w:bCs w:val="0"/>
                <w:sz w:val="14"/>
                <w:szCs w:val="14"/>
              </w:rPr>
            </w:pPr>
          </w:p>
        </w:tc>
        <w:tc>
          <w:tcPr>
            <w:tcW w:w="960" w:type="dxa"/>
            <w:gridSpan w:val="3"/>
            <w:tcBorders>
              <w:top w:val="nil"/>
              <w:left w:val="nil"/>
              <w:bottom w:val="nil"/>
              <w:right w:val="nil"/>
            </w:tcBorders>
            <w:shd w:val="clear" w:color="auto" w:fill="auto"/>
            <w:vAlign w:val="bottom"/>
          </w:tcPr>
          <w:p w14:paraId="45E47C3F" w14:textId="77777777" w:rsidR="00EF69AD" w:rsidRPr="005F2A60" w:rsidRDefault="00EF69AD" w:rsidP="00351486">
            <w:pPr>
              <w:jc w:val="right"/>
              <w:rPr>
                <w:bCs w:val="0"/>
                <w:sz w:val="14"/>
                <w:szCs w:val="14"/>
              </w:rPr>
            </w:pPr>
          </w:p>
        </w:tc>
        <w:tc>
          <w:tcPr>
            <w:tcW w:w="83" w:type="dxa"/>
            <w:gridSpan w:val="2"/>
            <w:tcBorders>
              <w:top w:val="nil"/>
              <w:left w:val="nil"/>
              <w:bottom w:val="nil"/>
              <w:right w:val="nil"/>
            </w:tcBorders>
            <w:shd w:val="clear" w:color="auto" w:fill="auto"/>
            <w:vAlign w:val="bottom"/>
          </w:tcPr>
          <w:p w14:paraId="697F5586" w14:textId="77777777" w:rsidR="00EF69AD" w:rsidRPr="005F2A60" w:rsidRDefault="00EF69AD" w:rsidP="00351486">
            <w:pPr>
              <w:jc w:val="right"/>
              <w:rPr>
                <w:bCs w:val="0"/>
                <w:sz w:val="14"/>
                <w:szCs w:val="14"/>
              </w:rPr>
            </w:pPr>
          </w:p>
        </w:tc>
        <w:tc>
          <w:tcPr>
            <w:tcW w:w="1051" w:type="dxa"/>
            <w:gridSpan w:val="3"/>
            <w:tcBorders>
              <w:top w:val="nil"/>
              <w:left w:val="nil"/>
              <w:bottom w:val="nil"/>
              <w:right w:val="nil"/>
            </w:tcBorders>
          </w:tcPr>
          <w:p w14:paraId="5500F14F" w14:textId="77777777" w:rsidR="00EF69AD" w:rsidRPr="005F2A60" w:rsidRDefault="00EF69AD" w:rsidP="00351486">
            <w:pPr>
              <w:jc w:val="right"/>
              <w:rPr>
                <w:bCs w:val="0"/>
                <w:sz w:val="14"/>
                <w:szCs w:val="14"/>
              </w:rPr>
            </w:pPr>
          </w:p>
        </w:tc>
        <w:tc>
          <w:tcPr>
            <w:tcW w:w="83" w:type="dxa"/>
            <w:tcBorders>
              <w:left w:val="nil"/>
              <w:bottom w:val="nil"/>
              <w:right w:val="nil"/>
            </w:tcBorders>
          </w:tcPr>
          <w:p w14:paraId="203658AA" w14:textId="77777777" w:rsidR="00EF69AD" w:rsidRPr="005F2A60" w:rsidRDefault="00EF69AD" w:rsidP="00351486">
            <w:pPr>
              <w:jc w:val="right"/>
              <w:rPr>
                <w:bCs w:val="0"/>
                <w:sz w:val="14"/>
                <w:szCs w:val="14"/>
              </w:rPr>
            </w:pPr>
          </w:p>
        </w:tc>
        <w:tc>
          <w:tcPr>
            <w:tcW w:w="1193" w:type="dxa"/>
            <w:gridSpan w:val="2"/>
            <w:tcBorders>
              <w:top w:val="nil"/>
              <w:left w:val="nil"/>
              <w:bottom w:val="nil"/>
              <w:right w:val="nil"/>
            </w:tcBorders>
            <w:shd w:val="clear" w:color="auto" w:fill="auto"/>
            <w:vAlign w:val="bottom"/>
          </w:tcPr>
          <w:p w14:paraId="5FF439FD" w14:textId="77777777" w:rsidR="00EF69AD" w:rsidRPr="005F2A60" w:rsidRDefault="00EF69AD" w:rsidP="00351486">
            <w:pPr>
              <w:jc w:val="right"/>
              <w:rPr>
                <w:bCs w:val="0"/>
                <w:sz w:val="14"/>
                <w:szCs w:val="14"/>
              </w:rPr>
            </w:pPr>
          </w:p>
        </w:tc>
        <w:tc>
          <w:tcPr>
            <w:tcW w:w="1417" w:type="dxa"/>
            <w:gridSpan w:val="2"/>
            <w:tcBorders>
              <w:top w:val="nil"/>
              <w:left w:val="nil"/>
              <w:bottom w:val="nil"/>
              <w:right w:val="nil"/>
            </w:tcBorders>
            <w:shd w:val="clear" w:color="auto" w:fill="auto"/>
            <w:vAlign w:val="bottom"/>
          </w:tcPr>
          <w:p w14:paraId="37617CA5" w14:textId="77777777" w:rsidR="00EF69AD" w:rsidRPr="005F2A60" w:rsidRDefault="00EF69AD" w:rsidP="00351486">
            <w:pPr>
              <w:tabs>
                <w:tab w:val="left" w:pos="1360"/>
                <w:tab w:val="left" w:pos="1410"/>
              </w:tabs>
              <w:ind w:right="72"/>
              <w:jc w:val="right"/>
              <w:rPr>
                <w:i/>
                <w:iCs/>
                <w:sz w:val="14"/>
                <w:szCs w:val="14"/>
                <w:u w:val="single"/>
                <w:lang w:val="id-ID"/>
              </w:rPr>
            </w:pPr>
            <w:r w:rsidRPr="005F2A60">
              <w:rPr>
                <w:b/>
                <w:i/>
                <w:iCs/>
                <w:sz w:val="14"/>
                <w:szCs w:val="14"/>
                <w:u w:val="single"/>
              </w:rPr>
              <w:t>Cost</w:t>
            </w:r>
          </w:p>
        </w:tc>
      </w:tr>
      <w:tr w:rsidR="00EF69AD" w:rsidRPr="005F2A60" w14:paraId="47855390" w14:textId="77777777" w:rsidTr="003734F4">
        <w:trPr>
          <w:gridAfter w:val="1"/>
          <w:wAfter w:w="20" w:type="dxa"/>
          <w:cantSplit/>
        </w:trPr>
        <w:tc>
          <w:tcPr>
            <w:tcW w:w="1877" w:type="dxa"/>
            <w:tcBorders>
              <w:top w:val="nil"/>
              <w:left w:val="nil"/>
              <w:bottom w:val="nil"/>
              <w:right w:val="nil"/>
            </w:tcBorders>
            <w:shd w:val="clear" w:color="auto" w:fill="auto"/>
            <w:vAlign w:val="bottom"/>
          </w:tcPr>
          <w:p w14:paraId="43A9B685" w14:textId="60E386C3" w:rsidR="00EF69AD" w:rsidRPr="005F2A60" w:rsidRDefault="00EF69AD" w:rsidP="001445AB">
            <w:pPr>
              <w:ind w:left="663" w:right="17" w:hanging="238"/>
              <w:rPr>
                <w:b/>
                <w:sz w:val="14"/>
                <w:szCs w:val="14"/>
              </w:rPr>
            </w:pPr>
            <w:r w:rsidRPr="005F2A60">
              <w:rPr>
                <w:b/>
                <w:sz w:val="14"/>
                <w:szCs w:val="14"/>
              </w:rPr>
              <w:t>Pemilikan langsung</w:t>
            </w:r>
          </w:p>
        </w:tc>
        <w:tc>
          <w:tcPr>
            <w:tcW w:w="1134" w:type="dxa"/>
            <w:tcBorders>
              <w:top w:val="nil"/>
              <w:left w:val="nil"/>
              <w:bottom w:val="nil"/>
              <w:right w:val="nil"/>
            </w:tcBorders>
            <w:shd w:val="clear" w:color="auto" w:fill="auto"/>
            <w:vAlign w:val="bottom"/>
          </w:tcPr>
          <w:p w14:paraId="60CBDCA3" w14:textId="77777777" w:rsidR="00EF69AD" w:rsidRPr="005F2A60" w:rsidRDefault="00EF69AD" w:rsidP="00351486">
            <w:pPr>
              <w:ind w:right="28"/>
              <w:jc w:val="right"/>
              <w:rPr>
                <w:bCs w:val="0"/>
                <w:sz w:val="12"/>
                <w:szCs w:val="12"/>
              </w:rPr>
            </w:pPr>
          </w:p>
        </w:tc>
        <w:tc>
          <w:tcPr>
            <w:tcW w:w="83" w:type="dxa"/>
            <w:tcBorders>
              <w:top w:val="nil"/>
              <w:left w:val="nil"/>
              <w:bottom w:val="nil"/>
              <w:right w:val="nil"/>
            </w:tcBorders>
            <w:shd w:val="clear" w:color="auto" w:fill="auto"/>
            <w:vAlign w:val="bottom"/>
          </w:tcPr>
          <w:p w14:paraId="07DC4EA2" w14:textId="77777777" w:rsidR="00EF69AD" w:rsidRPr="005F2A60" w:rsidRDefault="00EF69AD" w:rsidP="00351486">
            <w:pPr>
              <w:jc w:val="right"/>
              <w:rPr>
                <w:bCs w:val="0"/>
                <w:sz w:val="12"/>
                <w:szCs w:val="12"/>
              </w:rPr>
            </w:pPr>
          </w:p>
        </w:tc>
        <w:tc>
          <w:tcPr>
            <w:tcW w:w="1051" w:type="dxa"/>
            <w:tcBorders>
              <w:top w:val="nil"/>
              <w:left w:val="nil"/>
              <w:bottom w:val="nil"/>
              <w:right w:val="nil"/>
            </w:tcBorders>
            <w:shd w:val="clear" w:color="auto" w:fill="auto"/>
            <w:vAlign w:val="bottom"/>
          </w:tcPr>
          <w:p w14:paraId="29C1422B" w14:textId="77777777" w:rsidR="00EF69AD" w:rsidRPr="005F2A60" w:rsidRDefault="00EF69AD" w:rsidP="00351486">
            <w:pPr>
              <w:jc w:val="right"/>
              <w:rPr>
                <w:bCs w:val="0"/>
                <w:sz w:val="12"/>
                <w:szCs w:val="12"/>
              </w:rPr>
            </w:pPr>
          </w:p>
        </w:tc>
        <w:tc>
          <w:tcPr>
            <w:tcW w:w="91" w:type="dxa"/>
            <w:tcBorders>
              <w:top w:val="nil"/>
              <w:left w:val="nil"/>
              <w:bottom w:val="nil"/>
              <w:right w:val="nil"/>
            </w:tcBorders>
            <w:shd w:val="clear" w:color="auto" w:fill="auto"/>
            <w:vAlign w:val="bottom"/>
          </w:tcPr>
          <w:p w14:paraId="761430A1" w14:textId="77777777" w:rsidR="00EF69AD" w:rsidRPr="005F2A60" w:rsidRDefault="00EF69AD" w:rsidP="00351486">
            <w:pPr>
              <w:jc w:val="right"/>
              <w:rPr>
                <w:bCs w:val="0"/>
                <w:sz w:val="12"/>
                <w:szCs w:val="12"/>
              </w:rPr>
            </w:pPr>
          </w:p>
        </w:tc>
        <w:tc>
          <w:tcPr>
            <w:tcW w:w="83" w:type="dxa"/>
            <w:tcBorders>
              <w:top w:val="nil"/>
              <w:left w:val="nil"/>
              <w:bottom w:val="nil"/>
              <w:right w:val="nil"/>
            </w:tcBorders>
            <w:shd w:val="clear" w:color="auto" w:fill="auto"/>
            <w:vAlign w:val="bottom"/>
          </w:tcPr>
          <w:p w14:paraId="639A36EB" w14:textId="77777777" w:rsidR="00EF69AD" w:rsidRPr="005F2A60" w:rsidRDefault="00EF69AD" w:rsidP="00351486">
            <w:pPr>
              <w:jc w:val="right"/>
              <w:rPr>
                <w:bCs w:val="0"/>
                <w:sz w:val="12"/>
                <w:szCs w:val="12"/>
              </w:rPr>
            </w:pPr>
          </w:p>
        </w:tc>
        <w:tc>
          <w:tcPr>
            <w:tcW w:w="960" w:type="dxa"/>
            <w:gridSpan w:val="3"/>
            <w:tcBorders>
              <w:top w:val="nil"/>
              <w:left w:val="nil"/>
              <w:bottom w:val="nil"/>
              <w:right w:val="nil"/>
            </w:tcBorders>
            <w:shd w:val="clear" w:color="auto" w:fill="auto"/>
            <w:vAlign w:val="bottom"/>
          </w:tcPr>
          <w:p w14:paraId="2E39AE9D" w14:textId="77777777" w:rsidR="00EF69AD" w:rsidRPr="005F2A60" w:rsidRDefault="00EF69AD" w:rsidP="00351486">
            <w:pPr>
              <w:jc w:val="right"/>
              <w:rPr>
                <w:bCs w:val="0"/>
                <w:sz w:val="12"/>
                <w:szCs w:val="12"/>
              </w:rPr>
            </w:pPr>
          </w:p>
        </w:tc>
        <w:tc>
          <w:tcPr>
            <w:tcW w:w="83" w:type="dxa"/>
            <w:gridSpan w:val="2"/>
            <w:tcBorders>
              <w:top w:val="nil"/>
              <w:left w:val="nil"/>
              <w:bottom w:val="nil"/>
              <w:right w:val="nil"/>
            </w:tcBorders>
            <w:shd w:val="clear" w:color="auto" w:fill="auto"/>
            <w:vAlign w:val="bottom"/>
          </w:tcPr>
          <w:p w14:paraId="75EC7D52" w14:textId="77777777" w:rsidR="00EF69AD" w:rsidRPr="005F2A60" w:rsidRDefault="00EF69AD" w:rsidP="00351486">
            <w:pPr>
              <w:jc w:val="right"/>
              <w:rPr>
                <w:bCs w:val="0"/>
                <w:sz w:val="12"/>
                <w:szCs w:val="12"/>
              </w:rPr>
            </w:pPr>
          </w:p>
        </w:tc>
        <w:tc>
          <w:tcPr>
            <w:tcW w:w="1051" w:type="dxa"/>
            <w:gridSpan w:val="3"/>
            <w:tcBorders>
              <w:top w:val="nil"/>
              <w:left w:val="nil"/>
              <w:bottom w:val="nil"/>
              <w:right w:val="nil"/>
            </w:tcBorders>
          </w:tcPr>
          <w:p w14:paraId="0C90AD27" w14:textId="77777777" w:rsidR="00EF69AD" w:rsidRPr="005F2A60" w:rsidRDefault="00EF69AD" w:rsidP="00351486">
            <w:pPr>
              <w:jc w:val="right"/>
              <w:rPr>
                <w:bCs w:val="0"/>
                <w:sz w:val="12"/>
                <w:szCs w:val="12"/>
              </w:rPr>
            </w:pPr>
          </w:p>
        </w:tc>
        <w:tc>
          <w:tcPr>
            <w:tcW w:w="83" w:type="dxa"/>
            <w:tcBorders>
              <w:left w:val="nil"/>
              <w:bottom w:val="nil"/>
              <w:right w:val="nil"/>
            </w:tcBorders>
          </w:tcPr>
          <w:p w14:paraId="254F561C" w14:textId="77777777" w:rsidR="00EF69AD" w:rsidRPr="005F2A60" w:rsidRDefault="00EF69AD" w:rsidP="00351486">
            <w:pPr>
              <w:jc w:val="right"/>
              <w:rPr>
                <w:bCs w:val="0"/>
                <w:sz w:val="12"/>
                <w:szCs w:val="12"/>
              </w:rPr>
            </w:pPr>
          </w:p>
        </w:tc>
        <w:tc>
          <w:tcPr>
            <w:tcW w:w="1193" w:type="dxa"/>
            <w:gridSpan w:val="2"/>
            <w:tcBorders>
              <w:top w:val="nil"/>
              <w:left w:val="nil"/>
              <w:bottom w:val="nil"/>
              <w:right w:val="nil"/>
            </w:tcBorders>
            <w:shd w:val="clear" w:color="auto" w:fill="auto"/>
            <w:vAlign w:val="bottom"/>
          </w:tcPr>
          <w:p w14:paraId="6FA738B3" w14:textId="77777777" w:rsidR="00EF69AD" w:rsidRPr="005F2A60" w:rsidRDefault="00EF69AD" w:rsidP="00351486">
            <w:pPr>
              <w:jc w:val="right"/>
              <w:rPr>
                <w:bCs w:val="0"/>
                <w:sz w:val="12"/>
                <w:szCs w:val="12"/>
              </w:rPr>
            </w:pPr>
          </w:p>
        </w:tc>
        <w:tc>
          <w:tcPr>
            <w:tcW w:w="1417" w:type="dxa"/>
            <w:gridSpan w:val="2"/>
            <w:tcBorders>
              <w:top w:val="nil"/>
              <w:left w:val="nil"/>
              <w:bottom w:val="nil"/>
              <w:right w:val="nil"/>
            </w:tcBorders>
            <w:shd w:val="clear" w:color="auto" w:fill="auto"/>
            <w:vAlign w:val="bottom"/>
          </w:tcPr>
          <w:p w14:paraId="7D3724A2" w14:textId="43EC087D" w:rsidR="00EF69AD" w:rsidRPr="005F2A60" w:rsidRDefault="00EF69AD" w:rsidP="00351486">
            <w:pPr>
              <w:tabs>
                <w:tab w:val="left" w:pos="1360"/>
                <w:tab w:val="left" w:pos="1410"/>
              </w:tabs>
              <w:ind w:right="72"/>
              <w:jc w:val="right"/>
              <w:rPr>
                <w:b/>
                <w:i/>
                <w:iCs/>
                <w:sz w:val="14"/>
                <w:szCs w:val="14"/>
              </w:rPr>
            </w:pPr>
            <w:r w:rsidRPr="005F2A60">
              <w:rPr>
                <w:b/>
                <w:i/>
                <w:iCs/>
                <w:sz w:val="14"/>
                <w:szCs w:val="14"/>
              </w:rPr>
              <w:t>Direct ownership</w:t>
            </w:r>
          </w:p>
        </w:tc>
      </w:tr>
      <w:tr w:rsidR="00EF69AD" w:rsidRPr="005F2A60" w14:paraId="3C3E0515" w14:textId="77777777" w:rsidTr="003734F4">
        <w:trPr>
          <w:gridAfter w:val="1"/>
          <w:wAfter w:w="20" w:type="dxa"/>
          <w:cantSplit/>
        </w:trPr>
        <w:tc>
          <w:tcPr>
            <w:tcW w:w="1877" w:type="dxa"/>
            <w:tcBorders>
              <w:top w:val="nil"/>
              <w:left w:val="nil"/>
              <w:bottom w:val="nil"/>
              <w:right w:val="nil"/>
            </w:tcBorders>
            <w:shd w:val="clear" w:color="auto" w:fill="auto"/>
            <w:vAlign w:val="bottom"/>
          </w:tcPr>
          <w:p w14:paraId="050F9DF1" w14:textId="77777777" w:rsidR="00EF69AD" w:rsidRPr="005F2A60" w:rsidRDefault="00EF69AD" w:rsidP="00EF69AD">
            <w:pPr>
              <w:spacing w:line="160" w:lineRule="exact"/>
              <w:ind w:left="680" w:right="17" w:hanging="255"/>
              <w:rPr>
                <w:bCs w:val="0"/>
                <w:sz w:val="14"/>
                <w:szCs w:val="14"/>
              </w:rPr>
            </w:pPr>
            <w:r w:rsidRPr="005F2A60">
              <w:rPr>
                <w:bCs w:val="0"/>
                <w:sz w:val="14"/>
                <w:szCs w:val="14"/>
              </w:rPr>
              <w:t>Tanah</w:t>
            </w:r>
          </w:p>
        </w:tc>
        <w:tc>
          <w:tcPr>
            <w:tcW w:w="1134" w:type="dxa"/>
            <w:tcBorders>
              <w:top w:val="nil"/>
              <w:left w:val="nil"/>
              <w:right w:val="nil"/>
            </w:tcBorders>
            <w:shd w:val="clear" w:color="auto" w:fill="auto"/>
            <w:vAlign w:val="bottom"/>
          </w:tcPr>
          <w:p w14:paraId="432AE1E5" w14:textId="317020D9" w:rsidR="00EF69AD" w:rsidRPr="005F2A60" w:rsidRDefault="00EF69AD" w:rsidP="00EF69AD">
            <w:pPr>
              <w:spacing w:line="160" w:lineRule="exact"/>
              <w:ind w:left="-57" w:right="28"/>
              <w:jc w:val="right"/>
              <w:rPr>
                <w:bCs w:val="0"/>
                <w:sz w:val="12"/>
                <w:szCs w:val="12"/>
              </w:rPr>
            </w:pPr>
            <w:r w:rsidRPr="00BA5F6A">
              <w:rPr>
                <w:bCs w:val="0"/>
                <w:sz w:val="12"/>
                <w:szCs w:val="12"/>
              </w:rPr>
              <w:t>707.415.997.597</w:t>
            </w:r>
          </w:p>
        </w:tc>
        <w:tc>
          <w:tcPr>
            <w:tcW w:w="83" w:type="dxa"/>
            <w:tcBorders>
              <w:top w:val="nil"/>
              <w:left w:val="nil"/>
              <w:right w:val="nil"/>
            </w:tcBorders>
            <w:shd w:val="clear" w:color="auto" w:fill="auto"/>
            <w:vAlign w:val="bottom"/>
          </w:tcPr>
          <w:p w14:paraId="5F28E2A2" w14:textId="77777777" w:rsidR="00EF69AD" w:rsidRPr="005F2A60" w:rsidRDefault="00EF69AD" w:rsidP="00EF69AD">
            <w:pPr>
              <w:spacing w:line="160" w:lineRule="exact"/>
              <w:ind w:right="18"/>
              <w:jc w:val="right"/>
              <w:rPr>
                <w:bCs w:val="0"/>
                <w:sz w:val="12"/>
                <w:szCs w:val="12"/>
              </w:rPr>
            </w:pPr>
          </w:p>
        </w:tc>
        <w:tc>
          <w:tcPr>
            <w:tcW w:w="1051" w:type="dxa"/>
            <w:tcBorders>
              <w:top w:val="nil"/>
              <w:left w:val="nil"/>
              <w:right w:val="nil"/>
            </w:tcBorders>
            <w:shd w:val="clear" w:color="auto" w:fill="auto"/>
            <w:vAlign w:val="bottom"/>
          </w:tcPr>
          <w:p w14:paraId="3E8B55E4" w14:textId="72E04899" w:rsidR="00EF69AD" w:rsidRPr="005F2A60" w:rsidRDefault="00EF69AD" w:rsidP="00EF69AD">
            <w:pPr>
              <w:spacing w:line="160" w:lineRule="exact"/>
              <w:ind w:right="57"/>
              <w:jc w:val="right"/>
              <w:rPr>
                <w:bCs w:val="0"/>
                <w:sz w:val="12"/>
                <w:szCs w:val="12"/>
              </w:rPr>
            </w:pPr>
            <w:r w:rsidRPr="001775FB">
              <w:rPr>
                <w:bCs w:val="0"/>
                <w:sz w:val="12"/>
                <w:szCs w:val="12"/>
              </w:rPr>
              <w:t>258.226.100</w:t>
            </w:r>
          </w:p>
        </w:tc>
        <w:tc>
          <w:tcPr>
            <w:tcW w:w="91" w:type="dxa"/>
            <w:tcBorders>
              <w:top w:val="nil"/>
              <w:left w:val="nil"/>
              <w:right w:val="nil"/>
            </w:tcBorders>
            <w:shd w:val="clear" w:color="auto" w:fill="auto"/>
            <w:vAlign w:val="bottom"/>
          </w:tcPr>
          <w:p w14:paraId="026ADB08" w14:textId="77777777" w:rsidR="00EF69AD" w:rsidRPr="005F2A60" w:rsidRDefault="00EF69AD" w:rsidP="00EF69AD">
            <w:pPr>
              <w:spacing w:line="160" w:lineRule="exact"/>
              <w:ind w:right="18"/>
              <w:jc w:val="right"/>
              <w:rPr>
                <w:bCs w:val="0"/>
                <w:sz w:val="12"/>
                <w:szCs w:val="12"/>
              </w:rPr>
            </w:pPr>
          </w:p>
        </w:tc>
        <w:tc>
          <w:tcPr>
            <w:tcW w:w="83" w:type="dxa"/>
            <w:tcBorders>
              <w:top w:val="nil"/>
              <w:left w:val="nil"/>
              <w:right w:val="nil"/>
            </w:tcBorders>
            <w:shd w:val="clear" w:color="auto" w:fill="auto"/>
            <w:vAlign w:val="bottom"/>
          </w:tcPr>
          <w:p w14:paraId="2DD862AA" w14:textId="77777777" w:rsidR="00EF69AD" w:rsidRPr="005F2A60" w:rsidRDefault="00EF69AD" w:rsidP="00EF69AD">
            <w:pPr>
              <w:spacing w:line="160" w:lineRule="exact"/>
              <w:ind w:right="18"/>
              <w:jc w:val="right"/>
              <w:rPr>
                <w:bCs w:val="0"/>
                <w:sz w:val="12"/>
                <w:szCs w:val="12"/>
              </w:rPr>
            </w:pPr>
          </w:p>
        </w:tc>
        <w:tc>
          <w:tcPr>
            <w:tcW w:w="960" w:type="dxa"/>
            <w:gridSpan w:val="3"/>
            <w:tcBorders>
              <w:top w:val="nil"/>
              <w:left w:val="nil"/>
              <w:right w:val="nil"/>
            </w:tcBorders>
            <w:shd w:val="clear" w:color="auto" w:fill="auto"/>
          </w:tcPr>
          <w:p w14:paraId="614DEA26" w14:textId="138A0DFC" w:rsidR="00EF69AD" w:rsidRPr="005F2A60" w:rsidRDefault="00EF69AD" w:rsidP="00EF69AD">
            <w:pPr>
              <w:spacing w:line="160" w:lineRule="exact"/>
              <w:ind w:right="28"/>
              <w:jc w:val="right"/>
              <w:rPr>
                <w:bCs w:val="0"/>
                <w:sz w:val="12"/>
                <w:szCs w:val="12"/>
              </w:rPr>
            </w:pPr>
            <w:r>
              <w:rPr>
                <w:bCs w:val="0"/>
                <w:sz w:val="12"/>
                <w:szCs w:val="12"/>
              </w:rPr>
              <w:t>-</w:t>
            </w:r>
          </w:p>
        </w:tc>
        <w:tc>
          <w:tcPr>
            <w:tcW w:w="83" w:type="dxa"/>
            <w:gridSpan w:val="2"/>
            <w:tcBorders>
              <w:top w:val="nil"/>
              <w:left w:val="nil"/>
              <w:right w:val="nil"/>
            </w:tcBorders>
            <w:shd w:val="clear" w:color="auto" w:fill="auto"/>
            <w:vAlign w:val="bottom"/>
          </w:tcPr>
          <w:p w14:paraId="051C9E35" w14:textId="77777777" w:rsidR="00EF69AD" w:rsidRPr="005F2A60" w:rsidRDefault="00EF69AD" w:rsidP="00EF69AD">
            <w:pPr>
              <w:spacing w:line="160" w:lineRule="exact"/>
              <w:ind w:right="28"/>
              <w:jc w:val="right"/>
              <w:rPr>
                <w:bCs w:val="0"/>
                <w:sz w:val="12"/>
                <w:szCs w:val="12"/>
              </w:rPr>
            </w:pPr>
          </w:p>
        </w:tc>
        <w:tc>
          <w:tcPr>
            <w:tcW w:w="1051" w:type="dxa"/>
            <w:gridSpan w:val="3"/>
            <w:tcBorders>
              <w:top w:val="nil"/>
              <w:left w:val="nil"/>
              <w:right w:val="nil"/>
            </w:tcBorders>
            <w:vAlign w:val="bottom"/>
          </w:tcPr>
          <w:p w14:paraId="35EE0808" w14:textId="3E04C898" w:rsidR="00EF69AD" w:rsidRPr="005F2A60" w:rsidRDefault="00EF69AD" w:rsidP="00EF69AD">
            <w:pPr>
              <w:spacing w:line="160" w:lineRule="exact"/>
              <w:ind w:left="-57" w:right="28"/>
              <w:jc w:val="right"/>
              <w:rPr>
                <w:bCs w:val="0"/>
                <w:sz w:val="12"/>
                <w:szCs w:val="12"/>
              </w:rPr>
            </w:pPr>
            <w:r>
              <w:rPr>
                <w:bCs w:val="0"/>
                <w:sz w:val="12"/>
                <w:szCs w:val="12"/>
              </w:rPr>
              <w:t>-</w:t>
            </w:r>
          </w:p>
        </w:tc>
        <w:tc>
          <w:tcPr>
            <w:tcW w:w="83" w:type="dxa"/>
            <w:tcBorders>
              <w:top w:val="nil"/>
              <w:left w:val="nil"/>
              <w:right w:val="nil"/>
            </w:tcBorders>
            <w:vAlign w:val="bottom"/>
          </w:tcPr>
          <w:p w14:paraId="07B6FE44" w14:textId="77777777" w:rsidR="00EF69AD" w:rsidRPr="005F2A60" w:rsidRDefault="00EF69AD" w:rsidP="00EF69AD">
            <w:pPr>
              <w:spacing w:line="160" w:lineRule="exact"/>
              <w:ind w:left="-57" w:right="28"/>
              <w:jc w:val="right"/>
              <w:rPr>
                <w:bCs w:val="0"/>
                <w:sz w:val="12"/>
                <w:szCs w:val="12"/>
              </w:rPr>
            </w:pPr>
          </w:p>
        </w:tc>
        <w:tc>
          <w:tcPr>
            <w:tcW w:w="1193" w:type="dxa"/>
            <w:gridSpan w:val="2"/>
            <w:tcBorders>
              <w:top w:val="nil"/>
              <w:left w:val="nil"/>
              <w:right w:val="nil"/>
            </w:tcBorders>
            <w:shd w:val="clear" w:color="auto" w:fill="auto"/>
            <w:vAlign w:val="bottom"/>
          </w:tcPr>
          <w:p w14:paraId="124524A3" w14:textId="2F029326" w:rsidR="00EF69AD" w:rsidRPr="00896DA6" w:rsidRDefault="00EF69AD" w:rsidP="00EF69AD">
            <w:pPr>
              <w:spacing w:line="160" w:lineRule="exact"/>
              <w:ind w:left="-57" w:right="28"/>
              <w:jc w:val="right"/>
              <w:rPr>
                <w:bCs w:val="0"/>
                <w:sz w:val="12"/>
                <w:szCs w:val="12"/>
              </w:rPr>
            </w:pPr>
            <w:r w:rsidRPr="001775FB">
              <w:rPr>
                <w:bCs w:val="0"/>
                <w:sz w:val="12"/>
                <w:szCs w:val="12"/>
              </w:rPr>
              <w:t>707.674.223.697</w:t>
            </w:r>
          </w:p>
        </w:tc>
        <w:tc>
          <w:tcPr>
            <w:tcW w:w="1417" w:type="dxa"/>
            <w:gridSpan w:val="2"/>
            <w:tcBorders>
              <w:top w:val="nil"/>
              <w:left w:val="nil"/>
              <w:bottom w:val="nil"/>
              <w:right w:val="nil"/>
            </w:tcBorders>
            <w:shd w:val="clear" w:color="auto" w:fill="auto"/>
            <w:vAlign w:val="bottom"/>
          </w:tcPr>
          <w:p w14:paraId="019B41F5" w14:textId="77777777" w:rsidR="00EF69AD" w:rsidRPr="005F2A60" w:rsidRDefault="00EF69AD" w:rsidP="00EF69AD">
            <w:pPr>
              <w:tabs>
                <w:tab w:val="left" w:pos="1360"/>
                <w:tab w:val="left" w:pos="1410"/>
              </w:tabs>
              <w:spacing w:line="160" w:lineRule="exact"/>
              <w:ind w:right="72"/>
              <w:jc w:val="right"/>
              <w:rPr>
                <w:i/>
                <w:iCs/>
                <w:sz w:val="14"/>
                <w:szCs w:val="14"/>
              </w:rPr>
            </w:pPr>
            <w:r w:rsidRPr="005F2A60">
              <w:rPr>
                <w:i/>
                <w:iCs/>
                <w:sz w:val="14"/>
                <w:szCs w:val="14"/>
              </w:rPr>
              <w:t>Land</w:t>
            </w:r>
          </w:p>
        </w:tc>
      </w:tr>
      <w:tr w:rsidR="00EF69AD" w:rsidRPr="005F2A60" w14:paraId="4C91955A" w14:textId="77777777" w:rsidTr="003734F4">
        <w:trPr>
          <w:gridAfter w:val="1"/>
          <w:wAfter w:w="20" w:type="dxa"/>
          <w:cantSplit/>
        </w:trPr>
        <w:tc>
          <w:tcPr>
            <w:tcW w:w="1877" w:type="dxa"/>
            <w:tcBorders>
              <w:top w:val="nil"/>
              <w:left w:val="nil"/>
              <w:bottom w:val="nil"/>
              <w:right w:val="nil"/>
            </w:tcBorders>
            <w:shd w:val="clear" w:color="auto" w:fill="auto"/>
            <w:vAlign w:val="bottom"/>
          </w:tcPr>
          <w:p w14:paraId="3255CF7F" w14:textId="77777777" w:rsidR="00EF69AD" w:rsidRPr="005F2A60" w:rsidRDefault="00EF69AD" w:rsidP="00EF69AD">
            <w:pPr>
              <w:spacing w:line="160" w:lineRule="exact"/>
              <w:ind w:left="680" w:right="17" w:hanging="255"/>
              <w:rPr>
                <w:bCs w:val="0"/>
                <w:sz w:val="14"/>
                <w:szCs w:val="14"/>
              </w:rPr>
            </w:pPr>
            <w:r w:rsidRPr="005F2A60">
              <w:rPr>
                <w:bCs w:val="0"/>
                <w:sz w:val="14"/>
                <w:szCs w:val="14"/>
              </w:rPr>
              <w:t>Bangunan</w:t>
            </w:r>
          </w:p>
        </w:tc>
        <w:tc>
          <w:tcPr>
            <w:tcW w:w="1134" w:type="dxa"/>
            <w:tcBorders>
              <w:top w:val="nil"/>
              <w:left w:val="nil"/>
              <w:right w:val="nil"/>
            </w:tcBorders>
            <w:shd w:val="clear" w:color="auto" w:fill="auto"/>
            <w:vAlign w:val="bottom"/>
          </w:tcPr>
          <w:p w14:paraId="21060A6A" w14:textId="2C959CCF" w:rsidR="00EF69AD" w:rsidRPr="005F2A60" w:rsidRDefault="00EF69AD" w:rsidP="00EF69AD">
            <w:pPr>
              <w:spacing w:line="160" w:lineRule="exact"/>
              <w:ind w:left="-57" w:right="28"/>
              <w:jc w:val="right"/>
              <w:rPr>
                <w:bCs w:val="0"/>
                <w:sz w:val="12"/>
                <w:szCs w:val="12"/>
              </w:rPr>
            </w:pPr>
            <w:r w:rsidRPr="00BA5F6A">
              <w:rPr>
                <w:bCs w:val="0"/>
                <w:sz w:val="12"/>
                <w:szCs w:val="12"/>
              </w:rPr>
              <w:t>779.500.269.628</w:t>
            </w:r>
          </w:p>
        </w:tc>
        <w:tc>
          <w:tcPr>
            <w:tcW w:w="83" w:type="dxa"/>
            <w:tcBorders>
              <w:top w:val="nil"/>
              <w:left w:val="nil"/>
              <w:right w:val="nil"/>
            </w:tcBorders>
            <w:shd w:val="clear" w:color="auto" w:fill="auto"/>
            <w:vAlign w:val="bottom"/>
          </w:tcPr>
          <w:p w14:paraId="7FCA3EB9" w14:textId="77777777" w:rsidR="00EF69AD" w:rsidRPr="005F2A60" w:rsidRDefault="00EF69AD" w:rsidP="00EF69AD">
            <w:pPr>
              <w:spacing w:line="160" w:lineRule="exact"/>
              <w:ind w:right="18"/>
              <w:jc w:val="right"/>
              <w:rPr>
                <w:bCs w:val="0"/>
                <w:sz w:val="12"/>
                <w:szCs w:val="12"/>
              </w:rPr>
            </w:pPr>
          </w:p>
        </w:tc>
        <w:tc>
          <w:tcPr>
            <w:tcW w:w="1051" w:type="dxa"/>
            <w:tcBorders>
              <w:top w:val="nil"/>
              <w:left w:val="nil"/>
              <w:right w:val="nil"/>
            </w:tcBorders>
            <w:shd w:val="clear" w:color="auto" w:fill="auto"/>
            <w:vAlign w:val="bottom"/>
          </w:tcPr>
          <w:p w14:paraId="0CD54495" w14:textId="4AB51CA1" w:rsidR="00EF69AD" w:rsidRPr="005F2A60" w:rsidRDefault="00EF69AD" w:rsidP="00EF69AD">
            <w:pPr>
              <w:spacing w:line="160" w:lineRule="exact"/>
              <w:ind w:right="57"/>
              <w:jc w:val="right"/>
              <w:rPr>
                <w:bCs w:val="0"/>
                <w:sz w:val="12"/>
                <w:szCs w:val="12"/>
              </w:rPr>
            </w:pPr>
            <w:r w:rsidRPr="001775FB">
              <w:rPr>
                <w:bCs w:val="0"/>
                <w:sz w:val="12"/>
                <w:szCs w:val="12"/>
              </w:rPr>
              <w:t>2.218.157.699</w:t>
            </w:r>
          </w:p>
        </w:tc>
        <w:tc>
          <w:tcPr>
            <w:tcW w:w="91" w:type="dxa"/>
            <w:tcBorders>
              <w:top w:val="nil"/>
              <w:left w:val="nil"/>
              <w:right w:val="nil"/>
            </w:tcBorders>
            <w:shd w:val="clear" w:color="auto" w:fill="auto"/>
            <w:vAlign w:val="bottom"/>
          </w:tcPr>
          <w:p w14:paraId="6CB4C7E4" w14:textId="77777777" w:rsidR="00EF69AD" w:rsidRPr="005F2A60" w:rsidRDefault="00EF69AD" w:rsidP="00EF69AD">
            <w:pPr>
              <w:spacing w:line="160" w:lineRule="exact"/>
              <w:ind w:right="18"/>
              <w:jc w:val="right"/>
              <w:rPr>
                <w:bCs w:val="0"/>
                <w:sz w:val="12"/>
                <w:szCs w:val="12"/>
              </w:rPr>
            </w:pPr>
          </w:p>
        </w:tc>
        <w:tc>
          <w:tcPr>
            <w:tcW w:w="83" w:type="dxa"/>
            <w:tcBorders>
              <w:top w:val="nil"/>
              <w:left w:val="nil"/>
              <w:right w:val="nil"/>
            </w:tcBorders>
            <w:shd w:val="clear" w:color="auto" w:fill="auto"/>
            <w:vAlign w:val="bottom"/>
          </w:tcPr>
          <w:p w14:paraId="42FE1EA4" w14:textId="77777777" w:rsidR="00EF69AD" w:rsidRPr="005F2A60" w:rsidRDefault="00EF69AD" w:rsidP="00EF69AD">
            <w:pPr>
              <w:spacing w:line="160" w:lineRule="exact"/>
              <w:ind w:right="18"/>
              <w:jc w:val="right"/>
              <w:rPr>
                <w:bCs w:val="0"/>
                <w:sz w:val="12"/>
                <w:szCs w:val="12"/>
              </w:rPr>
            </w:pPr>
          </w:p>
        </w:tc>
        <w:tc>
          <w:tcPr>
            <w:tcW w:w="960" w:type="dxa"/>
            <w:gridSpan w:val="3"/>
            <w:tcBorders>
              <w:top w:val="nil"/>
              <w:left w:val="nil"/>
              <w:right w:val="nil"/>
            </w:tcBorders>
            <w:shd w:val="clear" w:color="auto" w:fill="auto"/>
          </w:tcPr>
          <w:p w14:paraId="29EA5EF5" w14:textId="731524CD" w:rsidR="00EF69AD" w:rsidRPr="005F2A60" w:rsidRDefault="00EF69AD" w:rsidP="00EF69AD">
            <w:pPr>
              <w:spacing w:line="160" w:lineRule="exact"/>
              <w:ind w:right="28"/>
              <w:jc w:val="right"/>
              <w:rPr>
                <w:bCs w:val="0"/>
                <w:sz w:val="12"/>
                <w:szCs w:val="12"/>
              </w:rPr>
            </w:pPr>
            <w:r>
              <w:rPr>
                <w:bCs w:val="0"/>
                <w:sz w:val="12"/>
                <w:szCs w:val="12"/>
              </w:rPr>
              <w:t>-</w:t>
            </w:r>
          </w:p>
        </w:tc>
        <w:tc>
          <w:tcPr>
            <w:tcW w:w="83" w:type="dxa"/>
            <w:gridSpan w:val="2"/>
            <w:tcBorders>
              <w:top w:val="nil"/>
              <w:left w:val="nil"/>
              <w:right w:val="nil"/>
            </w:tcBorders>
            <w:shd w:val="clear" w:color="auto" w:fill="auto"/>
            <w:vAlign w:val="bottom"/>
          </w:tcPr>
          <w:p w14:paraId="1F49ADA1" w14:textId="77777777" w:rsidR="00EF69AD" w:rsidRPr="005F2A60" w:rsidRDefault="00EF69AD" w:rsidP="00EF69AD">
            <w:pPr>
              <w:spacing w:line="160" w:lineRule="exact"/>
              <w:ind w:right="28"/>
              <w:jc w:val="right"/>
              <w:rPr>
                <w:bCs w:val="0"/>
                <w:sz w:val="12"/>
                <w:szCs w:val="12"/>
              </w:rPr>
            </w:pPr>
          </w:p>
        </w:tc>
        <w:tc>
          <w:tcPr>
            <w:tcW w:w="1051" w:type="dxa"/>
            <w:gridSpan w:val="3"/>
            <w:tcBorders>
              <w:top w:val="nil"/>
              <w:left w:val="nil"/>
              <w:right w:val="nil"/>
            </w:tcBorders>
            <w:vAlign w:val="bottom"/>
          </w:tcPr>
          <w:p w14:paraId="6896BE0C" w14:textId="2A3C41B7" w:rsidR="00EF69AD" w:rsidRPr="005F2A60" w:rsidRDefault="00EF69AD" w:rsidP="00EF69AD">
            <w:pPr>
              <w:spacing w:line="160" w:lineRule="exact"/>
              <w:ind w:left="-57" w:right="28"/>
              <w:jc w:val="right"/>
              <w:rPr>
                <w:bCs w:val="0"/>
                <w:sz w:val="12"/>
                <w:szCs w:val="12"/>
              </w:rPr>
            </w:pPr>
            <w:r w:rsidRPr="001775FB">
              <w:rPr>
                <w:bCs w:val="0"/>
                <w:sz w:val="12"/>
                <w:szCs w:val="12"/>
              </w:rPr>
              <w:t>321.890.869.088</w:t>
            </w:r>
          </w:p>
        </w:tc>
        <w:tc>
          <w:tcPr>
            <w:tcW w:w="83" w:type="dxa"/>
            <w:tcBorders>
              <w:top w:val="nil"/>
              <w:left w:val="nil"/>
              <w:right w:val="nil"/>
            </w:tcBorders>
            <w:vAlign w:val="bottom"/>
          </w:tcPr>
          <w:p w14:paraId="7A05B3EA" w14:textId="77777777" w:rsidR="00EF69AD" w:rsidRPr="005F2A60" w:rsidRDefault="00EF69AD" w:rsidP="00EF69AD">
            <w:pPr>
              <w:spacing w:line="160" w:lineRule="exact"/>
              <w:ind w:left="-57" w:right="28"/>
              <w:jc w:val="right"/>
              <w:rPr>
                <w:bCs w:val="0"/>
                <w:sz w:val="12"/>
                <w:szCs w:val="12"/>
              </w:rPr>
            </w:pPr>
          </w:p>
        </w:tc>
        <w:tc>
          <w:tcPr>
            <w:tcW w:w="1193" w:type="dxa"/>
            <w:gridSpan w:val="2"/>
            <w:tcBorders>
              <w:top w:val="nil"/>
              <w:left w:val="nil"/>
              <w:right w:val="nil"/>
            </w:tcBorders>
            <w:shd w:val="clear" w:color="auto" w:fill="auto"/>
            <w:vAlign w:val="bottom"/>
          </w:tcPr>
          <w:p w14:paraId="47D404E1" w14:textId="153A0BAF" w:rsidR="00EF69AD" w:rsidRPr="00896DA6" w:rsidRDefault="00EF69AD" w:rsidP="00EF69AD">
            <w:pPr>
              <w:spacing w:line="160" w:lineRule="exact"/>
              <w:ind w:left="-57" w:right="28"/>
              <w:jc w:val="right"/>
              <w:rPr>
                <w:bCs w:val="0"/>
                <w:sz w:val="12"/>
                <w:szCs w:val="12"/>
              </w:rPr>
            </w:pPr>
            <w:r w:rsidRPr="001775FB">
              <w:rPr>
                <w:bCs w:val="0"/>
                <w:sz w:val="12"/>
                <w:szCs w:val="12"/>
              </w:rPr>
              <w:t>1.103.609.296.415</w:t>
            </w:r>
          </w:p>
        </w:tc>
        <w:tc>
          <w:tcPr>
            <w:tcW w:w="1417" w:type="dxa"/>
            <w:gridSpan w:val="2"/>
            <w:tcBorders>
              <w:top w:val="nil"/>
              <w:left w:val="nil"/>
              <w:bottom w:val="nil"/>
              <w:right w:val="nil"/>
            </w:tcBorders>
            <w:shd w:val="clear" w:color="auto" w:fill="auto"/>
            <w:vAlign w:val="bottom"/>
          </w:tcPr>
          <w:p w14:paraId="2BCC02BB" w14:textId="77777777" w:rsidR="00EF69AD" w:rsidRPr="005F2A60" w:rsidRDefault="00EF69AD" w:rsidP="00EF69AD">
            <w:pPr>
              <w:tabs>
                <w:tab w:val="left" w:pos="1360"/>
                <w:tab w:val="left" w:pos="1410"/>
              </w:tabs>
              <w:spacing w:line="160" w:lineRule="exact"/>
              <w:ind w:right="72"/>
              <w:jc w:val="right"/>
              <w:rPr>
                <w:i/>
                <w:iCs/>
                <w:sz w:val="14"/>
                <w:szCs w:val="14"/>
              </w:rPr>
            </w:pPr>
            <w:r w:rsidRPr="005F2A60">
              <w:rPr>
                <w:i/>
                <w:iCs/>
                <w:sz w:val="14"/>
                <w:szCs w:val="14"/>
              </w:rPr>
              <w:t>Buildings</w:t>
            </w:r>
          </w:p>
        </w:tc>
      </w:tr>
      <w:tr w:rsidR="00EF69AD" w:rsidRPr="005F2A60" w14:paraId="429E2FD2" w14:textId="77777777" w:rsidTr="003734F4">
        <w:trPr>
          <w:gridAfter w:val="1"/>
          <w:wAfter w:w="20" w:type="dxa"/>
          <w:cantSplit/>
        </w:trPr>
        <w:tc>
          <w:tcPr>
            <w:tcW w:w="1877" w:type="dxa"/>
            <w:tcBorders>
              <w:top w:val="nil"/>
              <w:left w:val="nil"/>
              <w:bottom w:val="nil"/>
              <w:right w:val="nil"/>
            </w:tcBorders>
            <w:shd w:val="clear" w:color="auto" w:fill="auto"/>
            <w:vAlign w:val="bottom"/>
          </w:tcPr>
          <w:p w14:paraId="081B7A3C" w14:textId="77777777" w:rsidR="00EF69AD" w:rsidRPr="005F2A60" w:rsidRDefault="00EF69AD" w:rsidP="00EF69AD">
            <w:pPr>
              <w:spacing w:line="160" w:lineRule="exact"/>
              <w:ind w:left="680" w:right="17" w:hanging="255"/>
              <w:rPr>
                <w:bCs w:val="0"/>
                <w:sz w:val="14"/>
                <w:szCs w:val="14"/>
              </w:rPr>
            </w:pPr>
            <w:r w:rsidRPr="005F2A60">
              <w:rPr>
                <w:bCs w:val="0"/>
                <w:sz w:val="14"/>
                <w:szCs w:val="14"/>
              </w:rPr>
              <w:t>Peralatan kesehatan</w:t>
            </w:r>
          </w:p>
        </w:tc>
        <w:tc>
          <w:tcPr>
            <w:tcW w:w="1134" w:type="dxa"/>
            <w:tcBorders>
              <w:top w:val="nil"/>
              <w:left w:val="nil"/>
              <w:right w:val="nil"/>
            </w:tcBorders>
            <w:shd w:val="clear" w:color="auto" w:fill="auto"/>
            <w:vAlign w:val="bottom"/>
          </w:tcPr>
          <w:p w14:paraId="212D0FCA" w14:textId="538E54E7" w:rsidR="00EF69AD" w:rsidRPr="005F2A60" w:rsidRDefault="00EF69AD" w:rsidP="00EF69AD">
            <w:pPr>
              <w:spacing w:line="160" w:lineRule="exact"/>
              <w:ind w:left="-57" w:right="28"/>
              <w:jc w:val="right"/>
              <w:rPr>
                <w:bCs w:val="0"/>
                <w:sz w:val="12"/>
                <w:szCs w:val="12"/>
              </w:rPr>
            </w:pPr>
            <w:r w:rsidRPr="00BA5F6A">
              <w:rPr>
                <w:bCs w:val="0"/>
                <w:sz w:val="12"/>
                <w:szCs w:val="12"/>
              </w:rPr>
              <w:t>380.266.574.658</w:t>
            </w:r>
          </w:p>
        </w:tc>
        <w:tc>
          <w:tcPr>
            <w:tcW w:w="83" w:type="dxa"/>
            <w:tcBorders>
              <w:top w:val="nil"/>
              <w:left w:val="nil"/>
              <w:right w:val="nil"/>
            </w:tcBorders>
            <w:shd w:val="clear" w:color="auto" w:fill="auto"/>
            <w:vAlign w:val="bottom"/>
          </w:tcPr>
          <w:p w14:paraId="58C37081" w14:textId="77777777" w:rsidR="00EF69AD" w:rsidRPr="005F2A60" w:rsidRDefault="00EF69AD" w:rsidP="00EF69AD">
            <w:pPr>
              <w:spacing w:line="160" w:lineRule="exact"/>
              <w:ind w:right="18"/>
              <w:jc w:val="right"/>
              <w:rPr>
                <w:bCs w:val="0"/>
                <w:sz w:val="12"/>
                <w:szCs w:val="12"/>
              </w:rPr>
            </w:pPr>
          </w:p>
        </w:tc>
        <w:tc>
          <w:tcPr>
            <w:tcW w:w="1051" w:type="dxa"/>
            <w:tcBorders>
              <w:top w:val="nil"/>
              <w:left w:val="nil"/>
              <w:right w:val="nil"/>
            </w:tcBorders>
            <w:shd w:val="clear" w:color="auto" w:fill="auto"/>
            <w:vAlign w:val="bottom"/>
          </w:tcPr>
          <w:p w14:paraId="5CBFE093" w14:textId="379FC963" w:rsidR="00EF69AD" w:rsidRPr="005F2A60" w:rsidRDefault="00EF69AD" w:rsidP="00EF69AD">
            <w:pPr>
              <w:spacing w:line="160" w:lineRule="exact"/>
              <w:ind w:right="57"/>
              <w:jc w:val="right"/>
              <w:rPr>
                <w:bCs w:val="0"/>
                <w:sz w:val="12"/>
                <w:szCs w:val="12"/>
              </w:rPr>
            </w:pPr>
            <w:r w:rsidRPr="00EC0E2F">
              <w:rPr>
                <w:bCs w:val="0"/>
                <w:sz w:val="12"/>
                <w:szCs w:val="12"/>
              </w:rPr>
              <w:t>40.505.793.6</w:t>
            </w:r>
            <w:r>
              <w:rPr>
                <w:bCs w:val="0"/>
                <w:sz w:val="12"/>
                <w:szCs w:val="12"/>
              </w:rPr>
              <w:t>90</w:t>
            </w:r>
          </w:p>
        </w:tc>
        <w:tc>
          <w:tcPr>
            <w:tcW w:w="91" w:type="dxa"/>
            <w:tcBorders>
              <w:top w:val="nil"/>
              <w:left w:val="nil"/>
              <w:right w:val="nil"/>
            </w:tcBorders>
            <w:shd w:val="clear" w:color="auto" w:fill="auto"/>
            <w:vAlign w:val="bottom"/>
          </w:tcPr>
          <w:p w14:paraId="48174DD4" w14:textId="77777777" w:rsidR="00EF69AD" w:rsidRPr="005F2A60" w:rsidRDefault="00EF69AD" w:rsidP="00EF69AD">
            <w:pPr>
              <w:spacing w:line="160" w:lineRule="exact"/>
              <w:ind w:right="18"/>
              <w:jc w:val="right"/>
              <w:rPr>
                <w:bCs w:val="0"/>
                <w:sz w:val="12"/>
                <w:szCs w:val="12"/>
              </w:rPr>
            </w:pPr>
          </w:p>
        </w:tc>
        <w:tc>
          <w:tcPr>
            <w:tcW w:w="83" w:type="dxa"/>
            <w:tcBorders>
              <w:top w:val="nil"/>
              <w:left w:val="nil"/>
              <w:right w:val="nil"/>
            </w:tcBorders>
            <w:shd w:val="clear" w:color="auto" w:fill="auto"/>
            <w:vAlign w:val="bottom"/>
          </w:tcPr>
          <w:p w14:paraId="5CB90A2F" w14:textId="77777777" w:rsidR="00EF69AD" w:rsidRPr="005F2A60" w:rsidRDefault="00EF69AD" w:rsidP="00EF69AD">
            <w:pPr>
              <w:spacing w:line="160" w:lineRule="exact"/>
              <w:ind w:right="18"/>
              <w:jc w:val="right"/>
              <w:rPr>
                <w:bCs w:val="0"/>
                <w:sz w:val="12"/>
                <w:szCs w:val="12"/>
              </w:rPr>
            </w:pPr>
          </w:p>
        </w:tc>
        <w:tc>
          <w:tcPr>
            <w:tcW w:w="960" w:type="dxa"/>
            <w:gridSpan w:val="3"/>
            <w:tcBorders>
              <w:top w:val="nil"/>
              <w:left w:val="nil"/>
              <w:right w:val="nil"/>
            </w:tcBorders>
            <w:shd w:val="clear" w:color="auto" w:fill="auto"/>
            <w:vAlign w:val="bottom"/>
          </w:tcPr>
          <w:p w14:paraId="41C893E0" w14:textId="49D0C2AB" w:rsidR="00EF69AD" w:rsidRPr="005F2A60" w:rsidRDefault="00EF69AD" w:rsidP="00EF69AD">
            <w:pPr>
              <w:spacing w:line="160" w:lineRule="exact"/>
              <w:ind w:right="28"/>
              <w:jc w:val="right"/>
              <w:rPr>
                <w:bCs w:val="0"/>
                <w:sz w:val="12"/>
                <w:szCs w:val="12"/>
              </w:rPr>
            </w:pPr>
            <w:r>
              <w:rPr>
                <w:bCs w:val="0"/>
                <w:sz w:val="12"/>
                <w:szCs w:val="12"/>
              </w:rPr>
              <w:t>(</w:t>
            </w:r>
            <w:r w:rsidRPr="001775FB">
              <w:rPr>
                <w:bCs w:val="0"/>
                <w:sz w:val="12"/>
                <w:szCs w:val="12"/>
              </w:rPr>
              <w:t>3.528.128.58</w:t>
            </w:r>
            <w:r>
              <w:rPr>
                <w:bCs w:val="0"/>
                <w:sz w:val="12"/>
                <w:szCs w:val="12"/>
              </w:rPr>
              <w:t>1)</w:t>
            </w:r>
          </w:p>
        </w:tc>
        <w:tc>
          <w:tcPr>
            <w:tcW w:w="83" w:type="dxa"/>
            <w:gridSpan w:val="2"/>
            <w:tcBorders>
              <w:top w:val="nil"/>
              <w:left w:val="nil"/>
              <w:right w:val="nil"/>
            </w:tcBorders>
            <w:shd w:val="clear" w:color="auto" w:fill="auto"/>
            <w:vAlign w:val="bottom"/>
          </w:tcPr>
          <w:p w14:paraId="46DDDA4E" w14:textId="77777777" w:rsidR="00EF69AD" w:rsidRPr="005F2A60" w:rsidRDefault="00EF69AD" w:rsidP="00EF69AD">
            <w:pPr>
              <w:spacing w:line="160" w:lineRule="exact"/>
              <w:ind w:right="28"/>
              <w:jc w:val="right"/>
              <w:rPr>
                <w:bCs w:val="0"/>
                <w:sz w:val="12"/>
                <w:szCs w:val="12"/>
              </w:rPr>
            </w:pPr>
          </w:p>
        </w:tc>
        <w:tc>
          <w:tcPr>
            <w:tcW w:w="1051" w:type="dxa"/>
            <w:gridSpan w:val="3"/>
            <w:tcBorders>
              <w:top w:val="nil"/>
              <w:left w:val="nil"/>
              <w:right w:val="nil"/>
            </w:tcBorders>
          </w:tcPr>
          <w:p w14:paraId="480CCBAF" w14:textId="78B3A4A9" w:rsidR="00EF69AD" w:rsidRPr="005F2A60" w:rsidRDefault="00EF69AD" w:rsidP="00EF69AD">
            <w:pPr>
              <w:spacing w:line="160" w:lineRule="exact"/>
              <w:ind w:left="-57" w:right="28"/>
              <w:jc w:val="right"/>
              <w:rPr>
                <w:bCs w:val="0"/>
                <w:sz w:val="12"/>
                <w:szCs w:val="12"/>
              </w:rPr>
            </w:pPr>
            <w:r>
              <w:rPr>
                <w:bCs w:val="0"/>
                <w:sz w:val="12"/>
                <w:szCs w:val="12"/>
              </w:rPr>
              <w:t>-</w:t>
            </w:r>
          </w:p>
        </w:tc>
        <w:tc>
          <w:tcPr>
            <w:tcW w:w="83" w:type="dxa"/>
            <w:tcBorders>
              <w:top w:val="nil"/>
              <w:left w:val="nil"/>
              <w:right w:val="nil"/>
            </w:tcBorders>
            <w:vAlign w:val="bottom"/>
          </w:tcPr>
          <w:p w14:paraId="2DEEE140" w14:textId="77777777" w:rsidR="00EF69AD" w:rsidRPr="005F2A60" w:rsidRDefault="00EF69AD" w:rsidP="00EF69AD">
            <w:pPr>
              <w:spacing w:line="160" w:lineRule="exact"/>
              <w:ind w:left="-57" w:right="28"/>
              <w:jc w:val="right"/>
              <w:rPr>
                <w:bCs w:val="0"/>
                <w:sz w:val="12"/>
                <w:szCs w:val="12"/>
              </w:rPr>
            </w:pPr>
          </w:p>
        </w:tc>
        <w:tc>
          <w:tcPr>
            <w:tcW w:w="1193" w:type="dxa"/>
            <w:gridSpan w:val="2"/>
            <w:tcBorders>
              <w:top w:val="nil"/>
              <w:left w:val="nil"/>
              <w:right w:val="nil"/>
            </w:tcBorders>
            <w:shd w:val="clear" w:color="auto" w:fill="auto"/>
            <w:vAlign w:val="bottom"/>
          </w:tcPr>
          <w:p w14:paraId="40442493" w14:textId="66D5891B" w:rsidR="00EF69AD" w:rsidRPr="00896DA6" w:rsidRDefault="00EF69AD" w:rsidP="00EF69AD">
            <w:pPr>
              <w:spacing w:line="160" w:lineRule="exact"/>
              <w:ind w:left="-57" w:right="28"/>
              <w:jc w:val="right"/>
              <w:rPr>
                <w:bCs w:val="0"/>
                <w:sz w:val="12"/>
                <w:szCs w:val="12"/>
              </w:rPr>
            </w:pPr>
            <w:r w:rsidRPr="00EC0E2F">
              <w:rPr>
                <w:bCs w:val="0"/>
                <w:sz w:val="12"/>
                <w:szCs w:val="12"/>
              </w:rPr>
              <w:t>417.244.239.76</w:t>
            </w:r>
            <w:r>
              <w:rPr>
                <w:bCs w:val="0"/>
                <w:sz w:val="12"/>
                <w:szCs w:val="12"/>
              </w:rPr>
              <w:t>7</w:t>
            </w:r>
          </w:p>
        </w:tc>
        <w:tc>
          <w:tcPr>
            <w:tcW w:w="1417" w:type="dxa"/>
            <w:gridSpan w:val="2"/>
            <w:tcBorders>
              <w:top w:val="nil"/>
              <w:left w:val="nil"/>
              <w:bottom w:val="nil"/>
              <w:right w:val="nil"/>
            </w:tcBorders>
            <w:shd w:val="clear" w:color="auto" w:fill="auto"/>
            <w:vAlign w:val="bottom"/>
          </w:tcPr>
          <w:p w14:paraId="113BEA74" w14:textId="77777777" w:rsidR="00EF69AD" w:rsidRPr="005F2A60" w:rsidRDefault="00EF69AD" w:rsidP="00EF69AD">
            <w:pPr>
              <w:tabs>
                <w:tab w:val="left" w:pos="1360"/>
                <w:tab w:val="left" w:pos="1410"/>
              </w:tabs>
              <w:spacing w:line="160" w:lineRule="exact"/>
              <w:ind w:right="72"/>
              <w:jc w:val="right"/>
              <w:rPr>
                <w:i/>
                <w:iCs/>
                <w:sz w:val="14"/>
                <w:szCs w:val="14"/>
              </w:rPr>
            </w:pPr>
            <w:r w:rsidRPr="005F2A60">
              <w:rPr>
                <w:i/>
                <w:iCs/>
                <w:sz w:val="14"/>
                <w:szCs w:val="14"/>
              </w:rPr>
              <w:t>Medical equipment</w:t>
            </w:r>
          </w:p>
        </w:tc>
      </w:tr>
      <w:tr w:rsidR="00EF69AD" w:rsidRPr="005F2A60" w14:paraId="56ED279D" w14:textId="77777777" w:rsidTr="003734F4">
        <w:trPr>
          <w:gridAfter w:val="1"/>
          <w:wAfter w:w="20" w:type="dxa"/>
          <w:cantSplit/>
        </w:trPr>
        <w:tc>
          <w:tcPr>
            <w:tcW w:w="1877" w:type="dxa"/>
            <w:tcBorders>
              <w:top w:val="nil"/>
              <w:left w:val="nil"/>
              <w:bottom w:val="nil"/>
              <w:right w:val="nil"/>
            </w:tcBorders>
            <w:shd w:val="clear" w:color="auto" w:fill="auto"/>
            <w:vAlign w:val="bottom"/>
          </w:tcPr>
          <w:p w14:paraId="499D504C" w14:textId="77777777" w:rsidR="00EF69AD" w:rsidRPr="005F2A60" w:rsidRDefault="00EF69AD" w:rsidP="00EF69AD">
            <w:pPr>
              <w:spacing w:line="160" w:lineRule="exact"/>
              <w:ind w:left="680" w:right="17" w:hanging="255"/>
              <w:rPr>
                <w:bCs w:val="0"/>
                <w:sz w:val="14"/>
                <w:szCs w:val="14"/>
              </w:rPr>
            </w:pPr>
            <w:r w:rsidRPr="005F2A60">
              <w:rPr>
                <w:bCs w:val="0"/>
                <w:sz w:val="14"/>
                <w:szCs w:val="14"/>
              </w:rPr>
              <w:t>Mesin</w:t>
            </w:r>
          </w:p>
        </w:tc>
        <w:tc>
          <w:tcPr>
            <w:tcW w:w="1134" w:type="dxa"/>
            <w:tcBorders>
              <w:top w:val="nil"/>
              <w:left w:val="nil"/>
              <w:right w:val="nil"/>
            </w:tcBorders>
            <w:shd w:val="clear" w:color="auto" w:fill="auto"/>
            <w:vAlign w:val="bottom"/>
          </w:tcPr>
          <w:p w14:paraId="331E589D" w14:textId="6412306A" w:rsidR="00EF69AD" w:rsidRPr="005F2A60" w:rsidRDefault="00EF69AD" w:rsidP="00EF69AD">
            <w:pPr>
              <w:spacing w:line="160" w:lineRule="exact"/>
              <w:ind w:left="-57" w:right="28"/>
              <w:jc w:val="right"/>
              <w:rPr>
                <w:bCs w:val="0"/>
                <w:sz w:val="12"/>
                <w:szCs w:val="12"/>
              </w:rPr>
            </w:pPr>
            <w:r w:rsidRPr="00BA5F6A">
              <w:rPr>
                <w:bCs w:val="0"/>
                <w:sz w:val="12"/>
                <w:szCs w:val="12"/>
              </w:rPr>
              <w:t>79.561.469.267</w:t>
            </w:r>
          </w:p>
        </w:tc>
        <w:tc>
          <w:tcPr>
            <w:tcW w:w="83" w:type="dxa"/>
            <w:tcBorders>
              <w:top w:val="nil"/>
              <w:left w:val="nil"/>
              <w:right w:val="nil"/>
            </w:tcBorders>
            <w:shd w:val="clear" w:color="auto" w:fill="auto"/>
            <w:vAlign w:val="bottom"/>
          </w:tcPr>
          <w:p w14:paraId="2E3A532E" w14:textId="77777777" w:rsidR="00EF69AD" w:rsidRPr="005F2A60" w:rsidRDefault="00EF69AD" w:rsidP="00EF69AD">
            <w:pPr>
              <w:spacing w:line="160" w:lineRule="exact"/>
              <w:ind w:right="18"/>
              <w:jc w:val="right"/>
              <w:rPr>
                <w:bCs w:val="0"/>
                <w:sz w:val="12"/>
                <w:szCs w:val="12"/>
              </w:rPr>
            </w:pPr>
          </w:p>
        </w:tc>
        <w:tc>
          <w:tcPr>
            <w:tcW w:w="1051" w:type="dxa"/>
            <w:tcBorders>
              <w:top w:val="nil"/>
              <w:left w:val="nil"/>
              <w:right w:val="nil"/>
            </w:tcBorders>
            <w:shd w:val="clear" w:color="auto" w:fill="auto"/>
            <w:vAlign w:val="bottom"/>
          </w:tcPr>
          <w:p w14:paraId="0E95E4E1" w14:textId="27569F51" w:rsidR="00EF69AD" w:rsidRPr="005F2A60" w:rsidRDefault="00EF69AD" w:rsidP="00EF69AD">
            <w:pPr>
              <w:spacing w:line="160" w:lineRule="exact"/>
              <w:ind w:right="57"/>
              <w:jc w:val="right"/>
              <w:rPr>
                <w:bCs w:val="0"/>
                <w:sz w:val="12"/>
                <w:szCs w:val="12"/>
              </w:rPr>
            </w:pPr>
            <w:r w:rsidRPr="001775FB">
              <w:rPr>
                <w:bCs w:val="0"/>
                <w:sz w:val="12"/>
                <w:szCs w:val="12"/>
              </w:rPr>
              <w:t>488.321.</w:t>
            </w:r>
            <w:r>
              <w:rPr>
                <w:bCs w:val="0"/>
                <w:sz w:val="12"/>
                <w:szCs w:val="12"/>
              </w:rPr>
              <w:t>900</w:t>
            </w:r>
          </w:p>
        </w:tc>
        <w:tc>
          <w:tcPr>
            <w:tcW w:w="91" w:type="dxa"/>
            <w:tcBorders>
              <w:top w:val="nil"/>
              <w:left w:val="nil"/>
              <w:right w:val="nil"/>
            </w:tcBorders>
            <w:shd w:val="clear" w:color="auto" w:fill="auto"/>
            <w:vAlign w:val="bottom"/>
          </w:tcPr>
          <w:p w14:paraId="277A450F" w14:textId="77777777" w:rsidR="00EF69AD" w:rsidRPr="005F2A60" w:rsidRDefault="00EF69AD" w:rsidP="00EF69AD">
            <w:pPr>
              <w:spacing w:line="160" w:lineRule="exact"/>
              <w:ind w:right="18"/>
              <w:jc w:val="right"/>
              <w:rPr>
                <w:bCs w:val="0"/>
                <w:sz w:val="12"/>
                <w:szCs w:val="12"/>
              </w:rPr>
            </w:pPr>
          </w:p>
        </w:tc>
        <w:tc>
          <w:tcPr>
            <w:tcW w:w="83" w:type="dxa"/>
            <w:tcBorders>
              <w:top w:val="nil"/>
              <w:left w:val="nil"/>
              <w:right w:val="nil"/>
            </w:tcBorders>
            <w:shd w:val="clear" w:color="auto" w:fill="auto"/>
            <w:vAlign w:val="bottom"/>
          </w:tcPr>
          <w:p w14:paraId="6BF90D87" w14:textId="77777777" w:rsidR="00EF69AD" w:rsidRPr="005F2A60" w:rsidRDefault="00EF69AD" w:rsidP="00EF69AD">
            <w:pPr>
              <w:spacing w:line="160" w:lineRule="exact"/>
              <w:ind w:right="18"/>
              <w:jc w:val="right"/>
              <w:rPr>
                <w:bCs w:val="0"/>
                <w:sz w:val="12"/>
                <w:szCs w:val="12"/>
              </w:rPr>
            </w:pPr>
          </w:p>
        </w:tc>
        <w:tc>
          <w:tcPr>
            <w:tcW w:w="960" w:type="dxa"/>
            <w:gridSpan w:val="3"/>
            <w:tcBorders>
              <w:top w:val="nil"/>
              <w:left w:val="nil"/>
              <w:right w:val="nil"/>
            </w:tcBorders>
            <w:shd w:val="clear" w:color="auto" w:fill="auto"/>
            <w:vAlign w:val="bottom"/>
          </w:tcPr>
          <w:p w14:paraId="4C88DF7D" w14:textId="7EDCA634" w:rsidR="00EF69AD" w:rsidRPr="005F2A60" w:rsidRDefault="00EF69AD" w:rsidP="00EF69AD">
            <w:pPr>
              <w:spacing w:line="160" w:lineRule="exact"/>
              <w:ind w:right="28"/>
              <w:jc w:val="right"/>
              <w:rPr>
                <w:bCs w:val="0"/>
                <w:sz w:val="12"/>
                <w:szCs w:val="12"/>
              </w:rPr>
            </w:pPr>
            <w:r>
              <w:rPr>
                <w:bCs w:val="0"/>
                <w:sz w:val="12"/>
                <w:szCs w:val="12"/>
              </w:rPr>
              <w:t>(</w:t>
            </w:r>
            <w:r w:rsidRPr="001775FB">
              <w:rPr>
                <w:bCs w:val="0"/>
                <w:sz w:val="12"/>
                <w:szCs w:val="12"/>
              </w:rPr>
              <w:t>534.441.16</w:t>
            </w:r>
            <w:r>
              <w:rPr>
                <w:bCs w:val="0"/>
                <w:sz w:val="12"/>
                <w:szCs w:val="12"/>
              </w:rPr>
              <w:t>3)</w:t>
            </w:r>
          </w:p>
        </w:tc>
        <w:tc>
          <w:tcPr>
            <w:tcW w:w="83" w:type="dxa"/>
            <w:gridSpan w:val="2"/>
            <w:tcBorders>
              <w:top w:val="nil"/>
              <w:left w:val="nil"/>
              <w:right w:val="nil"/>
            </w:tcBorders>
            <w:shd w:val="clear" w:color="auto" w:fill="auto"/>
            <w:vAlign w:val="bottom"/>
          </w:tcPr>
          <w:p w14:paraId="39F2AA62" w14:textId="77777777" w:rsidR="00EF69AD" w:rsidRPr="005F2A60" w:rsidRDefault="00EF69AD" w:rsidP="00EF69AD">
            <w:pPr>
              <w:spacing w:line="160" w:lineRule="exact"/>
              <w:ind w:right="28"/>
              <w:jc w:val="right"/>
              <w:rPr>
                <w:bCs w:val="0"/>
                <w:sz w:val="12"/>
                <w:szCs w:val="12"/>
              </w:rPr>
            </w:pPr>
          </w:p>
        </w:tc>
        <w:tc>
          <w:tcPr>
            <w:tcW w:w="1051" w:type="dxa"/>
            <w:gridSpan w:val="3"/>
            <w:tcBorders>
              <w:top w:val="nil"/>
              <w:left w:val="nil"/>
              <w:right w:val="nil"/>
            </w:tcBorders>
          </w:tcPr>
          <w:p w14:paraId="2D7F41A0" w14:textId="11502339" w:rsidR="00EF69AD" w:rsidRPr="005F2A60" w:rsidRDefault="00EF69AD" w:rsidP="00EF69AD">
            <w:pPr>
              <w:spacing w:line="160" w:lineRule="exact"/>
              <w:ind w:left="-57" w:right="28"/>
              <w:jc w:val="right"/>
              <w:rPr>
                <w:bCs w:val="0"/>
                <w:sz w:val="12"/>
                <w:szCs w:val="12"/>
              </w:rPr>
            </w:pPr>
            <w:r>
              <w:rPr>
                <w:bCs w:val="0"/>
                <w:sz w:val="12"/>
                <w:szCs w:val="12"/>
              </w:rPr>
              <w:t>-</w:t>
            </w:r>
          </w:p>
        </w:tc>
        <w:tc>
          <w:tcPr>
            <w:tcW w:w="83" w:type="dxa"/>
            <w:tcBorders>
              <w:top w:val="nil"/>
              <w:left w:val="nil"/>
              <w:right w:val="nil"/>
            </w:tcBorders>
            <w:vAlign w:val="bottom"/>
          </w:tcPr>
          <w:p w14:paraId="060570AB" w14:textId="77777777" w:rsidR="00EF69AD" w:rsidRPr="005F2A60" w:rsidRDefault="00EF69AD" w:rsidP="00EF69AD">
            <w:pPr>
              <w:spacing w:line="160" w:lineRule="exact"/>
              <w:ind w:left="-57" w:right="28"/>
              <w:jc w:val="right"/>
              <w:rPr>
                <w:bCs w:val="0"/>
                <w:sz w:val="12"/>
                <w:szCs w:val="12"/>
              </w:rPr>
            </w:pPr>
          </w:p>
        </w:tc>
        <w:tc>
          <w:tcPr>
            <w:tcW w:w="1193" w:type="dxa"/>
            <w:gridSpan w:val="2"/>
            <w:tcBorders>
              <w:top w:val="nil"/>
              <w:left w:val="nil"/>
              <w:right w:val="nil"/>
            </w:tcBorders>
            <w:shd w:val="clear" w:color="auto" w:fill="auto"/>
            <w:vAlign w:val="bottom"/>
          </w:tcPr>
          <w:p w14:paraId="19C005EC" w14:textId="7A935D48" w:rsidR="00EF69AD" w:rsidRPr="00896DA6" w:rsidRDefault="00EF69AD" w:rsidP="00EF69AD">
            <w:pPr>
              <w:spacing w:line="160" w:lineRule="exact"/>
              <w:ind w:left="-57" w:right="28"/>
              <w:jc w:val="right"/>
              <w:rPr>
                <w:bCs w:val="0"/>
                <w:sz w:val="12"/>
                <w:szCs w:val="12"/>
              </w:rPr>
            </w:pPr>
            <w:r w:rsidRPr="001775FB">
              <w:rPr>
                <w:bCs w:val="0"/>
                <w:sz w:val="12"/>
                <w:szCs w:val="12"/>
              </w:rPr>
              <w:t>79.515.350.00</w:t>
            </w:r>
            <w:r>
              <w:rPr>
                <w:bCs w:val="0"/>
                <w:sz w:val="12"/>
                <w:szCs w:val="12"/>
              </w:rPr>
              <w:t>4</w:t>
            </w:r>
            <w:r w:rsidRPr="001775FB">
              <w:rPr>
                <w:bCs w:val="0"/>
                <w:sz w:val="12"/>
                <w:szCs w:val="12"/>
                <w:lang w:val="id-ID"/>
              </w:rPr>
              <w:t xml:space="preserve"> </w:t>
            </w:r>
          </w:p>
        </w:tc>
        <w:tc>
          <w:tcPr>
            <w:tcW w:w="1417" w:type="dxa"/>
            <w:gridSpan w:val="2"/>
            <w:tcBorders>
              <w:top w:val="nil"/>
              <w:left w:val="nil"/>
              <w:bottom w:val="nil"/>
              <w:right w:val="nil"/>
            </w:tcBorders>
            <w:shd w:val="clear" w:color="auto" w:fill="auto"/>
            <w:vAlign w:val="bottom"/>
          </w:tcPr>
          <w:p w14:paraId="76AFF23E" w14:textId="77777777" w:rsidR="00EF69AD" w:rsidRPr="005F2A60" w:rsidRDefault="00EF69AD" w:rsidP="00EF69AD">
            <w:pPr>
              <w:tabs>
                <w:tab w:val="left" w:pos="1360"/>
                <w:tab w:val="left" w:pos="1410"/>
              </w:tabs>
              <w:spacing w:line="160" w:lineRule="exact"/>
              <w:ind w:right="72"/>
              <w:jc w:val="right"/>
              <w:rPr>
                <w:i/>
                <w:iCs/>
                <w:sz w:val="14"/>
                <w:szCs w:val="14"/>
              </w:rPr>
            </w:pPr>
            <w:r w:rsidRPr="005F2A60">
              <w:rPr>
                <w:i/>
                <w:iCs/>
                <w:sz w:val="14"/>
                <w:szCs w:val="14"/>
              </w:rPr>
              <w:t>Mechine</w:t>
            </w:r>
          </w:p>
        </w:tc>
      </w:tr>
      <w:tr w:rsidR="00EF69AD" w:rsidRPr="005F2A60" w14:paraId="5CCBA330" w14:textId="77777777" w:rsidTr="003734F4">
        <w:trPr>
          <w:gridAfter w:val="1"/>
          <w:wAfter w:w="20" w:type="dxa"/>
          <w:cantSplit/>
          <w:trHeight w:val="80"/>
        </w:trPr>
        <w:tc>
          <w:tcPr>
            <w:tcW w:w="1877" w:type="dxa"/>
            <w:tcBorders>
              <w:top w:val="nil"/>
              <w:left w:val="nil"/>
              <w:bottom w:val="nil"/>
              <w:right w:val="nil"/>
            </w:tcBorders>
            <w:shd w:val="clear" w:color="auto" w:fill="auto"/>
            <w:vAlign w:val="bottom"/>
          </w:tcPr>
          <w:p w14:paraId="239C0C60" w14:textId="77777777" w:rsidR="00EF69AD" w:rsidRDefault="00EF69AD" w:rsidP="00EF69AD">
            <w:pPr>
              <w:spacing w:line="160" w:lineRule="exact"/>
              <w:ind w:left="680" w:right="17" w:hanging="255"/>
              <w:rPr>
                <w:bCs w:val="0"/>
                <w:sz w:val="14"/>
                <w:szCs w:val="14"/>
              </w:rPr>
            </w:pPr>
            <w:r w:rsidRPr="005F2A60">
              <w:rPr>
                <w:bCs w:val="0"/>
                <w:sz w:val="14"/>
                <w:szCs w:val="14"/>
              </w:rPr>
              <w:t>Perabotan dan</w:t>
            </w:r>
          </w:p>
          <w:p w14:paraId="63158BDF" w14:textId="22505B2D" w:rsidR="00EF69AD" w:rsidRPr="005F2A60" w:rsidRDefault="00EF69AD" w:rsidP="00EF69AD">
            <w:pPr>
              <w:spacing w:line="160" w:lineRule="exact"/>
              <w:ind w:left="680" w:right="17" w:hanging="115"/>
              <w:rPr>
                <w:bCs w:val="0"/>
                <w:sz w:val="14"/>
                <w:szCs w:val="14"/>
              </w:rPr>
            </w:pPr>
            <w:r w:rsidRPr="005F2A60">
              <w:rPr>
                <w:bCs w:val="0"/>
                <w:sz w:val="14"/>
                <w:szCs w:val="14"/>
              </w:rPr>
              <w:t>Perlengkapan</w:t>
            </w:r>
          </w:p>
        </w:tc>
        <w:tc>
          <w:tcPr>
            <w:tcW w:w="1134" w:type="dxa"/>
            <w:tcBorders>
              <w:top w:val="nil"/>
              <w:left w:val="nil"/>
              <w:right w:val="nil"/>
            </w:tcBorders>
            <w:shd w:val="clear" w:color="auto" w:fill="auto"/>
            <w:vAlign w:val="bottom"/>
          </w:tcPr>
          <w:p w14:paraId="4CA3E20C" w14:textId="0A520B2D" w:rsidR="00EF69AD" w:rsidRPr="005F2A60" w:rsidRDefault="00EF69AD" w:rsidP="00EF69AD">
            <w:pPr>
              <w:spacing w:line="160" w:lineRule="exact"/>
              <w:ind w:left="-57" w:right="28"/>
              <w:jc w:val="right"/>
              <w:rPr>
                <w:bCs w:val="0"/>
                <w:sz w:val="12"/>
                <w:szCs w:val="12"/>
              </w:rPr>
            </w:pPr>
            <w:r w:rsidRPr="00BA5F6A">
              <w:rPr>
                <w:bCs w:val="0"/>
                <w:sz w:val="12"/>
                <w:szCs w:val="12"/>
              </w:rPr>
              <w:t>12.274.149.300</w:t>
            </w:r>
          </w:p>
        </w:tc>
        <w:tc>
          <w:tcPr>
            <w:tcW w:w="83" w:type="dxa"/>
            <w:tcBorders>
              <w:top w:val="nil"/>
              <w:left w:val="nil"/>
              <w:right w:val="nil"/>
            </w:tcBorders>
            <w:shd w:val="clear" w:color="auto" w:fill="auto"/>
            <w:vAlign w:val="bottom"/>
          </w:tcPr>
          <w:p w14:paraId="4623BFC0" w14:textId="77777777" w:rsidR="00EF69AD" w:rsidRPr="005F2A60" w:rsidRDefault="00EF69AD" w:rsidP="00EF69AD">
            <w:pPr>
              <w:spacing w:line="160" w:lineRule="exact"/>
              <w:ind w:right="18"/>
              <w:jc w:val="right"/>
              <w:rPr>
                <w:bCs w:val="0"/>
                <w:sz w:val="12"/>
                <w:szCs w:val="12"/>
              </w:rPr>
            </w:pPr>
          </w:p>
        </w:tc>
        <w:tc>
          <w:tcPr>
            <w:tcW w:w="1051" w:type="dxa"/>
            <w:tcBorders>
              <w:top w:val="nil"/>
              <w:left w:val="nil"/>
              <w:right w:val="nil"/>
            </w:tcBorders>
            <w:shd w:val="clear" w:color="auto" w:fill="auto"/>
            <w:vAlign w:val="bottom"/>
          </w:tcPr>
          <w:p w14:paraId="647FF6F9" w14:textId="1D810083" w:rsidR="00EF69AD" w:rsidRPr="005F2A60" w:rsidRDefault="00EF69AD" w:rsidP="00EF69AD">
            <w:pPr>
              <w:spacing w:line="160" w:lineRule="exact"/>
              <w:ind w:right="57"/>
              <w:jc w:val="right"/>
              <w:rPr>
                <w:bCs w:val="0"/>
                <w:sz w:val="12"/>
                <w:szCs w:val="12"/>
                <w:lang w:val="id-ID"/>
              </w:rPr>
            </w:pPr>
            <w:r w:rsidRPr="001775FB">
              <w:rPr>
                <w:bCs w:val="0"/>
                <w:sz w:val="12"/>
                <w:szCs w:val="12"/>
                <w:lang w:val="id-ID"/>
              </w:rPr>
              <w:t>92.354.41</w:t>
            </w:r>
            <w:r>
              <w:rPr>
                <w:bCs w:val="0"/>
                <w:sz w:val="12"/>
                <w:szCs w:val="12"/>
              </w:rPr>
              <w:t>9</w:t>
            </w:r>
          </w:p>
        </w:tc>
        <w:tc>
          <w:tcPr>
            <w:tcW w:w="91" w:type="dxa"/>
            <w:tcBorders>
              <w:top w:val="nil"/>
              <w:left w:val="nil"/>
              <w:right w:val="nil"/>
            </w:tcBorders>
            <w:shd w:val="clear" w:color="auto" w:fill="auto"/>
            <w:vAlign w:val="bottom"/>
          </w:tcPr>
          <w:p w14:paraId="1C32A093" w14:textId="77777777" w:rsidR="00EF69AD" w:rsidRPr="005F2A60" w:rsidRDefault="00EF69AD" w:rsidP="00EF69AD">
            <w:pPr>
              <w:spacing w:line="160" w:lineRule="exact"/>
              <w:ind w:right="18"/>
              <w:jc w:val="right"/>
              <w:rPr>
                <w:bCs w:val="0"/>
                <w:sz w:val="12"/>
                <w:szCs w:val="12"/>
              </w:rPr>
            </w:pPr>
          </w:p>
        </w:tc>
        <w:tc>
          <w:tcPr>
            <w:tcW w:w="83" w:type="dxa"/>
            <w:tcBorders>
              <w:top w:val="nil"/>
              <w:left w:val="nil"/>
              <w:right w:val="nil"/>
            </w:tcBorders>
            <w:shd w:val="clear" w:color="auto" w:fill="auto"/>
            <w:vAlign w:val="bottom"/>
          </w:tcPr>
          <w:p w14:paraId="05F3B120" w14:textId="77777777" w:rsidR="00EF69AD" w:rsidRPr="005F2A60" w:rsidRDefault="00EF69AD" w:rsidP="00EF69AD">
            <w:pPr>
              <w:spacing w:line="160" w:lineRule="exact"/>
              <w:ind w:right="18"/>
              <w:jc w:val="right"/>
              <w:rPr>
                <w:bCs w:val="0"/>
                <w:sz w:val="12"/>
                <w:szCs w:val="12"/>
              </w:rPr>
            </w:pPr>
          </w:p>
        </w:tc>
        <w:tc>
          <w:tcPr>
            <w:tcW w:w="960" w:type="dxa"/>
            <w:gridSpan w:val="3"/>
            <w:tcBorders>
              <w:top w:val="nil"/>
              <w:left w:val="nil"/>
              <w:right w:val="nil"/>
            </w:tcBorders>
            <w:shd w:val="clear" w:color="auto" w:fill="auto"/>
            <w:vAlign w:val="bottom"/>
          </w:tcPr>
          <w:p w14:paraId="70DEC6C7" w14:textId="6031060F" w:rsidR="00EF69AD" w:rsidRPr="005F2A60" w:rsidRDefault="00EF69AD" w:rsidP="00EF69AD">
            <w:pPr>
              <w:spacing w:line="160" w:lineRule="exact"/>
              <w:ind w:right="28"/>
              <w:jc w:val="right"/>
              <w:rPr>
                <w:bCs w:val="0"/>
                <w:sz w:val="12"/>
                <w:szCs w:val="12"/>
              </w:rPr>
            </w:pPr>
            <w:r>
              <w:rPr>
                <w:bCs w:val="0"/>
                <w:sz w:val="12"/>
                <w:szCs w:val="12"/>
              </w:rPr>
              <w:t>(</w:t>
            </w:r>
            <w:r w:rsidRPr="001775FB">
              <w:rPr>
                <w:bCs w:val="0"/>
                <w:sz w:val="12"/>
                <w:szCs w:val="12"/>
              </w:rPr>
              <w:t>35.959.28</w:t>
            </w:r>
            <w:r>
              <w:rPr>
                <w:bCs w:val="0"/>
                <w:sz w:val="12"/>
                <w:szCs w:val="12"/>
              </w:rPr>
              <w:t>3)</w:t>
            </w:r>
          </w:p>
        </w:tc>
        <w:tc>
          <w:tcPr>
            <w:tcW w:w="83" w:type="dxa"/>
            <w:gridSpan w:val="2"/>
            <w:tcBorders>
              <w:top w:val="nil"/>
              <w:left w:val="nil"/>
              <w:right w:val="nil"/>
            </w:tcBorders>
            <w:shd w:val="clear" w:color="auto" w:fill="auto"/>
            <w:vAlign w:val="bottom"/>
          </w:tcPr>
          <w:p w14:paraId="2D7CBC4D" w14:textId="77777777" w:rsidR="00EF69AD" w:rsidRPr="005F2A60" w:rsidRDefault="00EF69AD" w:rsidP="00EF69AD">
            <w:pPr>
              <w:spacing w:line="160" w:lineRule="exact"/>
              <w:ind w:right="28"/>
              <w:jc w:val="right"/>
              <w:rPr>
                <w:bCs w:val="0"/>
                <w:sz w:val="12"/>
                <w:szCs w:val="12"/>
              </w:rPr>
            </w:pPr>
          </w:p>
        </w:tc>
        <w:tc>
          <w:tcPr>
            <w:tcW w:w="1051" w:type="dxa"/>
            <w:gridSpan w:val="3"/>
            <w:tcBorders>
              <w:top w:val="nil"/>
              <w:left w:val="nil"/>
              <w:right w:val="nil"/>
            </w:tcBorders>
          </w:tcPr>
          <w:p w14:paraId="673D6069" w14:textId="77777777" w:rsidR="00EF69AD" w:rsidRDefault="00EF69AD" w:rsidP="00EF69AD">
            <w:pPr>
              <w:spacing w:line="160" w:lineRule="exact"/>
              <w:ind w:left="-57" w:right="28"/>
              <w:jc w:val="right"/>
              <w:rPr>
                <w:bCs w:val="0"/>
                <w:sz w:val="12"/>
                <w:szCs w:val="12"/>
              </w:rPr>
            </w:pPr>
          </w:p>
          <w:p w14:paraId="2550A121" w14:textId="38A88CB1" w:rsidR="00EF69AD" w:rsidRPr="005F2A60" w:rsidRDefault="00EF69AD" w:rsidP="00EF69AD">
            <w:pPr>
              <w:spacing w:line="160" w:lineRule="exact"/>
              <w:ind w:left="-57" w:right="28"/>
              <w:jc w:val="right"/>
              <w:rPr>
                <w:bCs w:val="0"/>
                <w:sz w:val="12"/>
                <w:szCs w:val="12"/>
              </w:rPr>
            </w:pPr>
            <w:r>
              <w:rPr>
                <w:bCs w:val="0"/>
                <w:sz w:val="12"/>
                <w:szCs w:val="12"/>
              </w:rPr>
              <w:t>-</w:t>
            </w:r>
          </w:p>
        </w:tc>
        <w:tc>
          <w:tcPr>
            <w:tcW w:w="83" w:type="dxa"/>
            <w:tcBorders>
              <w:top w:val="nil"/>
              <w:left w:val="nil"/>
              <w:right w:val="nil"/>
            </w:tcBorders>
            <w:vAlign w:val="bottom"/>
          </w:tcPr>
          <w:p w14:paraId="21422996" w14:textId="77777777" w:rsidR="00EF69AD" w:rsidRPr="005F2A60" w:rsidRDefault="00EF69AD" w:rsidP="00EF69AD">
            <w:pPr>
              <w:spacing w:line="160" w:lineRule="exact"/>
              <w:ind w:left="-57" w:right="28"/>
              <w:jc w:val="right"/>
              <w:rPr>
                <w:bCs w:val="0"/>
                <w:sz w:val="12"/>
                <w:szCs w:val="12"/>
              </w:rPr>
            </w:pPr>
          </w:p>
        </w:tc>
        <w:tc>
          <w:tcPr>
            <w:tcW w:w="1193" w:type="dxa"/>
            <w:gridSpan w:val="2"/>
            <w:tcBorders>
              <w:top w:val="nil"/>
              <w:left w:val="nil"/>
              <w:right w:val="nil"/>
            </w:tcBorders>
            <w:shd w:val="clear" w:color="auto" w:fill="auto"/>
            <w:vAlign w:val="bottom"/>
          </w:tcPr>
          <w:p w14:paraId="0242149F" w14:textId="2D0208E7" w:rsidR="00EF69AD" w:rsidRPr="005F2A60" w:rsidRDefault="00EF69AD" w:rsidP="00EF69AD">
            <w:pPr>
              <w:spacing w:line="160" w:lineRule="exact"/>
              <w:ind w:left="-57" w:right="28"/>
              <w:jc w:val="right"/>
              <w:rPr>
                <w:bCs w:val="0"/>
                <w:sz w:val="12"/>
                <w:szCs w:val="12"/>
              </w:rPr>
            </w:pPr>
            <w:r w:rsidRPr="001775FB">
              <w:rPr>
                <w:bCs w:val="0"/>
                <w:sz w:val="12"/>
                <w:szCs w:val="12"/>
              </w:rPr>
              <w:t>12.330.544.43</w:t>
            </w:r>
            <w:r>
              <w:rPr>
                <w:bCs w:val="0"/>
                <w:sz w:val="12"/>
                <w:szCs w:val="12"/>
              </w:rPr>
              <w:t>6</w:t>
            </w:r>
          </w:p>
        </w:tc>
        <w:tc>
          <w:tcPr>
            <w:tcW w:w="1417" w:type="dxa"/>
            <w:gridSpan w:val="2"/>
            <w:tcBorders>
              <w:top w:val="nil"/>
              <w:left w:val="nil"/>
              <w:bottom w:val="nil"/>
              <w:right w:val="nil"/>
            </w:tcBorders>
            <w:shd w:val="clear" w:color="auto" w:fill="auto"/>
            <w:vAlign w:val="bottom"/>
          </w:tcPr>
          <w:p w14:paraId="7F608294" w14:textId="77777777" w:rsidR="00EF69AD" w:rsidRDefault="00EF69AD" w:rsidP="00EF69AD">
            <w:pPr>
              <w:tabs>
                <w:tab w:val="left" w:pos="1360"/>
                <w:tab w:val="left" w:pos="1410"/>
              </w:tabs>
              <w:spacing w:line="160" w:lineRule="exact"/>
              <w:ind w:right="72"/>
              <w:jc w:val="right"/>
              <w:rPr>
                <w:i/>
                <w:iCs/>
                <w:sz w:val="14"/>
                <w:szCs w:val="14"/>
              </w:rPr>
            </w:pPr>
            <w:r w:rsidRPr="005F2A60">
              <w:rPr>
                <w:i/>
                <w:iCs/>
                <w:sz w:val="14"/>
                <w:szCs w:val="14"/>
              </w:rPr>
              <w:t xml:space="preserve">Funitures and </w:t>
            </w:r>
          </w:p>
          <w:p w14:paraId="3C1DC2EC" w14:textId="18E40A01" w:rsidR="00EF69AD" w:rsidRPr="005F2A60" w:rsidRDefault="00EF69AD" w:rsidP="00EF69AD">
            <w:pPr>
              <w:ind w:right="198"/>
              <w:jc w:val="right"/>
              <w:rPr>
                <w:i/>
                <w:iCs/>
                <w:sz w:val="14"/>
                <w:szCs w:val="14"/>
              </w:rPr>
            </w:pPr>
            <w:r w:rsidRPr="008C5534">
              <w:rPr>
                <w:bCs w:val="0"/>
                <w:i/>
                <w:color w:val="1D1B11"/>
                <w:sz w:val="14"/>
                <w:szCs w:val="14"/>
              </w:rPr>
              <w:t>fixtures</w:t>
            </w:r>
          </w:p>
        </w:tc>
      </w:tr>
      <w:tr w:rsidR="00EF69AD" w:rsidRPr="005F2A60" w14:paraId="79D20B2E" w14:textId="77777777" w:rsidTr="003734F4">
        <w:trPr>
          <w:gridAfter w:val="1"/>
          <w:wAfter w:w="20" w:type="dxa"/>
          <w:cantSplit/>
        </w:trPr>
        <w:tc>
          <w:tcPr>
            <w:tcW w:w="1877" w:type="dxa"/>
            <w:tcBorders>
              <w:top w:val="nil"/>
              <w:left w:val="nil"/>
              <w:bottom w:val="nil"/>
              <w:right w:val="nil"/>
            </w:tcBorders>
            <w:shd w:val="clear" w:color="auto" w:fill="auto"/>
            <w:vAlign w:val="bottom"/>
          </w:tcPr>
          <w:p w14:paraId="0B4055E9" w14:textId="77777777" w:rsidR="00EF69AD" w:rsidRPr="005F2A60" w:rsidRDefault="00EF69AD" w:rsidP="00EF69AD">
            <w:pPr>
              <w:spacing w:line="160" w:lineRule="exact"/>
              <w:ind w:left="680" w:right="17" w:hanging="255"/>
              <w:rPr>
                <w:bCs w:val="0"/>
                <w:sz w:val="14"/>
                <w:szCs w:val="14"/>
              </w:rPr>
            </w:pPr>
            <w:r w:rsidRPr="005F2A60">
              <w:rPr>
                <w:bCs w:val="0"/>
                <w:sz w:val="14"/>
                <w:szCs w:val="14"/>
              </w:rPr>
              <w:t>Kendaraan</w:t>
            </w:r>
          </w:p>
        </w:tc>
        <w:tc>
          <w:tcPr>
            <w:tcW w:w="1134" w:type="dxa"/>
            <w:tcBorders>
              <w:top w:val="nil"/>
              <w:left w:val="nil"/>
              <w:right w:val="nil"/>
            </w:tcBorders>
            <w:shd w:val="clear" w:color="auto" w:fill="auto"/>
            <w:vAlign w:val="bottom"/>
          </w:tcPr>
          <w:p w14:paraId="3E2C8D95" w14:textId="37A2C845" w:rsidR="00EF69AD" w:rsidRPr="005F2A60" w:rsidRDefault="00EF69AD" w:rsidP="00EF69AD">
            <w:pPr>
              <w:spacing w:line="160" w:lineRule="exact"/>
              <w:ind w:left="-57" w:right="28"/>
              <w:jc w:val="right"/>
              <w:rPr>
                <w:bCs w:val="0"/>
                <w:sz w:val="12"/>
                <w:szCs w:val="12"/>
              </w:rPr>
            </w:pPr>
            <w:r w:rsidRPr="00BA5F6A">
              <w:rPr>
                <w:bCs w:val="0"/>
                <w:sz w:val="12"/>
                <w:szCs w:val="12"/>
              </w:rPr>
              <w:t>11.066.565.900</w:t>
            </w:r>
          </w:p>
        </w:tc>
        <w:tc>
          <w:tcPr>
            <w:tcW w:w="83" w:type="dxa"/>
            <w:tcBorders>
              <w:top w:val="nil"/>
              <w:left w:val="nil"/>
              <w:right w:val="nil"/>
            </w:tcBorders>
            <w:shd w:val="clear" w:color="auto" w:fill="auto"/>
            <w:vAlign w:val="bottom"/>
          </w:tcPr>
          <w:p w14:paraId="4E4060F9" w14:textId="77777777" w:rsidR="00EF69AD" w:rsidRPr="005F2A60" w:rsidRDefault="00EF69AD" w:rsidP="00EF69AD">
            <w:pPr>
              <w:spacing w:line="160" w:lineRule="exact"/>
              <w:ind w:right="18"/>
              <w:jc w:val="right"/>
              <w:rPr>
                <w:bCs w:val="0"/>
                <w:sz w:val="12"/>
                <w:szCs w:val="12"/>
              </w:rPr>
            </w:pPr>
          </w:p>
        </w:tc>
        <w:tc>
          <w:tcPr>
            <w:tcW w:w="1051" w:type="dxa"/>
            <w:tcBorders>
              <w:top w:val="nil"/>
              <w:left w:val="nil"/>
              <w:right w:val="nil"/>
            </w:tcBorders>
            <w:shd w:val="clear" w:color="auto" w:fill="auto"/>
            <w:vAlign w:val="bottom"/>
          </w:tcPr>
          <w:p w14:paraId="16D5141D" w14:textId="29CF1DAF" w:rsidR="00EF69AD" w:rsidRPr="005F2A60" w:rsidRDefault="00EF69AD" w:rsidP="00EF69AD">
            <w:pPr>
              <w:spacing w:line="160" w:lineRule="exact"/>
              <w:ind w:right="57"/>
              <w:jc w:val="right"/>
              <w:rPr>
                <w:bCs w:val="0"/>
                <w:sz w:val="12"/>
                <w:szCs w:val="12"/>
              </w:rPr>
            </w:pPr>
            <w:r w:rsidRPr="001775FB">
              <w:rPr>
                <w:bCs w:val="0"/>
                <w:sz w:val="12"/>
                <w:szCs w:val="12"/>
              </w:rPr>
              <w:t>1.354.150.000</w:t>
            </w:r>
          </w:p>
        </w:tc>
        <w:tc>
          <w:tcPr>
            <w:tcW w:w="91" w:type="dxa"/>
            <w:tcBorders>
              <w:top w:val="nil"/>
              <w:left w:val="nil"/>
              <w:right w:val="nil"/>
            </w:tcBorders>
            <w:shd w:val="clear" w:color="auto" w:fill="auto"/>
            <w:vAlign w:val="bottom"/>
          </w:tcPr>
          <w:p w14:paraId="07716658" w14:textId="77777777" w:rsidR="00EF69AD" w:rsidRPr="005F2A60" w:rsidRDefault="00EF69AD" w:rsidP="00EF69AD">
            <w:pPr>
              <w:spacing w:line="160" w:lineRule="exact"/>
              <w:ind w:right="18"/>
              <w:jc w:val="right"/>
              <w:rPr>
                <w:bCs w:val="0"/>
                <w:sz w:val="12"/>
                <w:szCs w:val="12"/>
              </w:rPr>
            </w:pPr>
          </w:p>
        </w:tc>
        <w:tc>
          <w:tcPr>
            <w:tcW w:w="83" w:type="dxa"/>
            <w:tcBorders>
              <w:top w:val="nil"/>
              <w:left w:val="nil"/>
              <w:right w:val="nil"/>
            </w:tcBorders>
            <w:shd w:val="clear" w:color="auto" w:fill="auto"/>
            <w:vAlign w:val="bottom"/>
          </w:tcPr>
          <w:p w14:paraId="7512D9A5" w14:textId="77777777" w:rsidR="00EF69AD" w:rsidRPr="005F2A60" w:rsidRDefault="00EF69AD" w:rsidP="00EF69AD">
            <w:pPr>
              <w:spacing w:line="160" w:lineRule="exact"/>
              <w:ind w:right="18"/>
              <w:jc w:val="right"/>
              <w:rPr>
                <w:bCs w:val="0"/>
                <w:sz w:val="12"/>
                <w:szCs w:val="12"/>
              </w:rPr>
            </w:pPr>
          </w:p>
        </w:tc>
        <w:tc>
          <w:tcPr>
            <w:tcW w:w="960" w:type="dxa"/>
            <w:gridSpan w:val="3"/>
            <w:tcBorders>
              <w:top w:val="nil"/>
              <w:left w:val="nil"/>
              <w:right w:val="nil"/>
            </w:tcBorders>
            <w:shd w:val="clear" w:color="auto" w:fill="auto"/>
            <w:vAlign w:val="bottom"/>
          </w:tcPr>
          <w:p w14:paraId="6F348015" w14:textId="5FD6AC50" w:rsidR="00EF69AD" w:rsidRPr="005F2A60" w:rsidRDefault="00EF69AD" w:rsidP="00EF69AD">
            <w:pPr>
              <w:spacing w:line="160" w:lineRule="exact"/>
              <w:ind w:right="28"/>
              <w:jc w:val="right"/>
              <w:rPr>
                <w:bCs w:val="0"/>
                <w:sz w:val="12"/>
                <w:szCs w:val="12"/>
              </w:rPr>
            </w:pPr>
            <w:r>
              <w:rPr>
                <w:bCs w:val="0"/>
                <w:sz w:val="12"/>
                <w:szCs w:val="12"/>
              </w:rPr>
              <w:t>(</w:t>
            </w:r>
            <w:r w:rsidRPr="001775FB">
              <w:rPr>
                <w:bCs w:val="0"/>
                <w:sz w:val="12"/>
                <w:szCs w:val="12"/>
              </w:rPr>
              <w:t>259.625.000</w:t>
            </w:r>
            <w:r>
              <w:rPr>
                <w:bCs w:val="0"/>
                <w:sz w:val="12"/>
                <w:szCs w:val="12"/>
              </w:rPr>
              <w:t>)</w:t>
            </w:r>
          </w:p>
        </w:tc>
        <w:tc>
          <w:tcPr>
            <w:tcW w:w="83" w:type="dxa"/>
            <w:gridSpan w:val="2"/>
            <w:tcBorders>
              <w:top w:val="nil"/>
              <w:left w:val="nil"/>
              <w:right w:val="nil"/>
            </w:tcBorders>
            <w:shd w:val="clear" w:color="auto" w:fill="auto"/>
            <w:vAlign w:val="bottom"/>
          </w:tcPr>
          <w:p w14:paraId="4C228A1B" w14:textId="77777777" w:rsidR="00EF69AD" w:rsidRPr="005F2A60" w:rsidRDefault="00EF69AD" w:rsidP="00EF69AD">
            <w:pPr>
              <w:spacing w:line="160" w:lineRule="exact"/>
              <w:ind w:right="28"/>
              <w:jc w:val="right"/>
              <w:rPr>
                <w:bCs w:val="0"/>
                <w:sz w:val="12"/>
                <w:szCs w:val="12"/>
              </w:rPr>
            </w:pPr>
          </w:p>
        </w:tc>
        <w:tc>
          <w:tcPr>
            <w:tcW w:w="1051" w:type="dxa"/>
            <w:gridSpan w:val="3"/>
            <w:tcBorders>
              <w:top w:val="nil"/>
              <w:left w:val="nil"/>
              <w:right w:val="nil"/>
            </w:tcBorders>
            <w:vAlign w:val="bottom"/>
          </w:tcPr>
          <w:p w14:paraId="64191DF9" w14:textId="53B81C7C" w:rsidR="00EF69AD" w:rsidRPr="005F2A60" w:rsidRDefault="00EF69AD" w:rsidP="00EF69AD">
            <w:pPr>
              <w:spacing w:line="160" w:lineRule="exact"/>
              <w:ind w:left="-57" w:right="28"/>
              <w:jc w:val="right"/>
              <w:rPr>
                <w:bCs w:val="0"/>
                <w:sz w:val="12"/>
                <w:szCs w:val="12"/>
              </w:rPr>
            </w:pPr>
            <w:r w:rsidRPr="001775FB">
              <w:rPr>
                <w:bCs w:val="0"/>
                <w:sz w:val="12"/>
                <w:szCs w:val="12"/>
              </w:rPr>
              <w:t>2.629.400.000</w:t>
            </w:r>
          </w:p>
        </w:tc>
        <w:tc>
          <w:tcPr>
            <w:tcW w:w="83" w:type="dxa"/>
            <w:tcBorders>
              <w:top w:val="nil"/>
              <w:left w:val="nil"/>
              <w:right w:val="nil"/>
            </w:tcBorders>
            <w:vAlign w:val="bottom"/>
          </w:tcPr>
          <w:p w14:paraId="329FD670" w14:textId="77777777" w:rsidR="00EF69AD" w:rsidRPr="005F2A60" w:rsidRDefault="00EF69AD" w:rsidP="00EF69AD">
            <w:pPr>
              <w:spacing w:line="160" w:lineRule="exact"/>
              <w:ind w:left="-57" w:right="28"/>
              <w:jc w:val="right"/>
              <w:rPr>
                <w:bCs w:val="0"/>
                <w:sz w:val="12"/>
                <w:szCs w:val="12"/>
              </w:rPr>
            </w:pPr>
          </w:p>
        </w:tc>
        <w:tc>
          <w:tcPr>
            <w:tcW w:w="1193" w:type="dxa"/>
            <w:gridSpan w:val="2"/>
            <w:tcBorders>
              <w:top w:val="nil"/>
              <w:left w:val="nil"/>
              <w:right w:val="nil"/>
            </w:tcBorders>
            <w:shd w:val="clear" w:color="auto" w:fill="auto"/>
            <w:vAlign w:val="bottom"/>
          </w:tcPr>
          <w:p w14:paraId="38F25FA1" w14:textId="3040F8EF" w:rsidR="00EF69AD" w:rsidRPr="005F2A60" w:rsidRDefault="00EF69AD" w:rsidP="00EF69AD">
            <w:pPr>
              <w:spacing w:line="160" w:lineRule="exact"/>
              <w:ind w:left="-57" w:right="28"/>
              <w:jc w:val="right"/>
              <w:rPr>
                <w:bCs w:val="0"/>
                <w:sz w:val="12"/>
                <w:szCs w:val="12"/>
              </w:rPr>
            </w:pPr>
            <w:r w:rsidRPr="001775FB">
              <w:rPr>
                <w:bCs w:val="0"/>
                <w:sz w:val="12"/>
                <w:szCs w:val="12"/>
              </w:rPr>
              <w:t>14.790.490.900</w:t>
            </w:r>
          </w:p>
        </w:tc>
        <w:tc>
          <w:tcPr>
            <w:tcW w:w="1417" w:type="dxa"/>
            <w:gridSpan w:val="2"/>
            <w:tcBorders>
              <w:top w:val="nil"/>
              <w:left w:val="nil"/>
              <w:bottom w:val="nil"/>
              <w:right w:val="nil"/>
            </w:tcBorders>
            <w:shd w:val="clear" w:color="auto" w:fill="auto"/>
            <w:vAlign w:val="bottom"/>
          </w:tcPr>
          <w:p w14:paraId="454B6E44" w14:textId="77777777" w:rsidR="00EF69AD" w:rsidRPr="005F2A60" w:rsidRDefault="00EF69AD" w:rsidP="00EF69AD">
            <w:pPr>
              <w:tabs>
                <w:tab w:val="left" w:pos="1360"/>
                <w:tab w:val="left" w:pos="1410"/>
              </w:tabs>
              <w:spacing w:line="160" w:lineRule="exact"/>
              <w:ind w:right="72"/>
              <w:jc w:val="right"/>
              <w:rPr>
                <w:i/>
                <w:iCs/>
                <w:sz w:val="14"/>
                <w:szCs w:val="14"/>
              </w:rPr>
            </w:pPr>
            <w:r w:rsidRPr="005F2A60">
              <w:rPr>
                <w:i/>
                <w:iCs/>
                <w:sz w:val="14"/>
                <w:szCs w:val="14"/>
              </w:rPr>
              <w:t>Vehicles</w:t>
            </w:r>
          </w:p>
        </w:tc>
      </w:tr>
      <w:tr w:rsidR="00EF69AD" w:rsidRPr="005F2A60" w14:paraId="12A070CE" w14:textId="77777777" w:rsidTr="003734F4">
        <w:trPr>
          <w:gridAfter w:val="1"/>
          <w:wAfter w:w="20" w:type="dxa"/>
          <w:cantSplit/>
        </w:trPr>
        <w:tc>
          <w:tcPr>
            <w:tcW w:w="1877" w:type="dxa"/>
            <w:tcBorders>
              <w:top w:val="nil"/>
              <w:left w:val="nil"/>
              <w:bottom w:val="nil"/>
              <w:right w:val="nil"/>
            </w:tcBorders>
            <w:shd w:val="clear" w:color="auto" w:fill="auto"/>
            <w:vAlign w:val="bottom"/>
          </w:tcPr>
          <w:p w14:paraId="0A03D3CF" w14:textId="05879089" w:rsidR="00EF69AD" w:rsidRPr="005F2A60" w:rsidRDefault="00EF69AD" w:rsidP="00EF69AD">
            <w:pPr>
              <w:spacing w:line="160" w:lineRule="exact"/>
              <w:ind w:left="680" w:right="17" w:hanging="255"/>
              <w:rPr>
                <w:bCs w:val="0"/>
                <w:sz w:val="14"/>
                <w:szCs w:val="14"/>
              </w:rPr>
            </w:pPr>
            <w:r w:rsidRPr="005F2A60">
              <w:rPr>
                <w:bCs w:val="0"/>
                <w:sz w:val="14"/>
                <w:szCs w:val="14"/>
              </w:rPr>
              <w:t>Peralatan kantor</w:t>
            </w:r>
          </w:p>
        </w:tc>
        <w:tc>
          <w:tcPr>
            <w:tcW w:w="1134" w:type="dxa"/>
            <w:tcBorders>
              <w:top w:val="nil"/>
              <w:left w:val="nil"/>
              <w:right w:val="nil"/>
            </w:tcBorders>
            <w:shd w:val="clear" w:color="auto" w:fill="auto"/>
            <w:vAlign w:val="bottom"/>
          </w:tcPr>
          <w:p w14:paraId="4FE1557C" w14:textId="783E8D6F" w:rsidR="00EF69AD" w:rsidRPr="005F2A60" w:rsidRDefault="00EF69AD" w:rsidP="00EF69AD">
            <w:pPr>
              <w:spacing w:line="160" w:lineRule="exact"/>
              <w:ind w:left="-57" w:right="28"/>
              <w:jc w:val="right"/>
              <w:rPr>
                <w:bCs w:val="0"/>
                <w:sz w:val="12"/>
                <w:szCs w:val="12"/>
              </w:rPr>
            </w:pPr>
            <w:r w:rsidRPr="00BA5F6A">
              <w:rPr>
                <w:bCs w:val="0"/>
                <w:sz w:val="12"/>
                <w:szCs w:val="12"/>
              </w:rPr>
              <w:t>39.651.376.954</w:t>
            </w:r>
          </w:p>
        </w:tc>
        <w:tc>
          <w:tcPr>
            <w:tcW w:w="83" w:type="dxa"/>
            <w:tcBorders>
              <w:top w:val="nil"/>
              <w:left w:val="nil"/>
              <w:right w:val="nil"/>
            </w:tcBorders>
            <w:shd w:val="clear" w:color="auto" w:fill="auto"/>
            <w:vAlign w:val="bottom"/>
          </w:tcPr>
          <w:p w14:paraId="1299531C" w14:textId="77777777" w:rsidR="00EF69AD" w:rsidRPr="005F2A60" w:rsidRDefault="00EF69AD" w:rsidP="00EF69AD">
            <w:pPr>
              <w:spacing w:line="160" w:lineRule="exact"/>
              <w:ind w:right="18"/>
              <w:jc w:val="right"/>
              <w:rPr>
                <w:bCs w:val="0"/>
                <w:sz w:val="12"/>
                <w:szCs w:val="12"/>
              </w:rPr>
            </w:pPr>
          </w:p>
        </w:tc>
        <w:tc>
          <w:tcPr>
            <w:tcW w:w="1051" w:type="dxa"/>
            <w:tcBorders>
              <w:top w:val="nil"/>
              <w:left w:val="nil"/>
              <w:right w:val="nil"/>
            </w:tcBorders>
            <w:shd w:val="clear" w:color="auto" w:fill="auto"/>
            <w:vAlign w:val="bottom"/>
          </w:tcPr>
          <w:p w14:paraId="1F162394" w14:textId="2449DEA1" w:rsidR="00EF69AD" w:rsidRPr="005F2A60" w:rsidRDefault="00EF69AD" w:rsidP="00EF69AD">
            <w:pPr>
              <w:spacing w:line="160" w:lineRule="exact"/>
              <w:ind w:right="57"/>
              <w:jc w:val="right"/>
              <w:rPr>
                <w:bCs w:val="0"/>
                <w:sz w:val="12"/>
                <w:szCs w:val="12"/>
              </w:rPr>
            </w:pPr>
            <w:r w:rsidRPr="001775FB">
              <w:rPr>
                <w:bCs w:val="0"/>
                <w:sz w:val="12"/>
                <w:szCs w:val="12"/>
              </w:rPr>
              <w:t>8.533.614.119</w:t>
            </w:r>
          </w:p>
        </w:tc>
        <w:tc>
          <w:tcPr>
            <w:tcW w:w="91" w:type="dxa"/>
            <w:tcBorders>
              <w:top w:val="nil"/>
              <w:left w:val="nil"/>
              <w:right w:val="nil"/>
            </w:tcBorders>
            <w:shd w:val="clear" w:color="auto" w:fill="auto"/>
            <w:vAlign w:val="bottom"/>
          </w:tcPr>
          <w:p w14:paraId="2F5FA667" w14:textId="77777777" w:rsidR="00EF69AD" w:rsidRPr="005F2A60" w:rsidRDefault="00EF69AD" w:rsidP="00EF69AD">
            <w:pPr>
              <w:spacing w:line="160" w:lineRule="exact"/>
              <w:ind w:right="18"/>
              <w:jc w:val="right"/>
              <w:rPr>
                <w:bCs w:val="0"/>
                <w:sz w:val="12"/>
                <w:szCs w:val="12"/>
              </w:rPr>
            </w:pPr>
          </w:p>
        </w:tc>
        <w:tc>
          <w:tcPr>
            <w:tcW w:w="83" w:type="dxa"/>
            <w:tcBorders>
              <w:top w:val="nil"/>
              <w:left w:val="nil"/>
              <w:right w:val="nil"/>
            </w:tcBorders>
            <w:shd w:val="clear" w:color="auto" w:fill="auto"/>
            <w:vAlign w:val="bottom"/>
          </w:tcPr>
          <w:p w14:paraId="518708E3" w14:textId="77777777" w:rsidR="00EF69AD" w:rsidRPr="005F2A60" w:rsidRDefault="00EF69AD" w:rsidP="00EF69AD">
            <w:pPr>
              <w:spacing w:line="160" w:lineRule="exact"/>
              <w:ind w:right="18"/>
              <w:jc w:val="right"/>
              <w:rPr>
                <w:bCs w:val="0"/>
                <w:sz w:val="12"/>
                <w:szCs w:val="12"/>
              </w:rPr>
            </w:pPr>
          </w:p>
        </w:tc>
        <w:tc>
          <w:tcPr>
            <w:tcW w:w="960" w:type="dxa"/>
            <w:gridSpan w:val="3"/>
            <w:tcBorders>
              <w:top w:val="nil"/>
              <w:left w:val="nil"/>
              <w:right w:val="nil"/>
            </w:tcBorders>
            <w:shd w:val="clear" w:color="auto" w:fill="auto"/>
            <w:vAlign w:val="bottom"/>
          </w:tcPr>
          <w:p w14:paraId="446CDB22" w14:textId="3359FB67" w:rsidR="00EF69AD" w:rsidRPr="005F2A60" w:rsidRDefault="00EF69AD" w:rsidP="00EF69AD">
            <w:pPr>
              <w:spacing w:line="160" w:lineRule="exact"/>
              <w:ind w:right="28"/>
              <w:jc w:val="right"/>
              <w:rPr>
                <w:w w:val="105"/>
                <w:sz w:val="12"/>
                <w:szCs w:val="12"/>
              </w:rPr>
            </w:pPr>
            <w:r>
              <w:rPr>
                <w:w w:val="105"/>
                <w:sz w:val="12"/>
                <w:szCs w:val="12"/>
              </w:rPr>
              <w:t>(</w:t>
            </w:r>
            <w:r w:rsidRPr="001775FB">
              <w:rPr>
                <w:w w:val="105"/>
                <w:sz w:val="12"/>
                <w:szCs w:val="12"/>
              </w:rPr>
              <w:t>487.158.90</w:t>
            </w:r>
            <w:r>
              <w:rPr>
                <w:w w:val="105"/>
                <w:sz w:val="12"/>
                <w:szCs w:val="12"/>
              </w:rPr>
              <w:t>4)</w:t>
            </w:r>
          </w:p>
        </w:tc>
        <w:tc>
          <w:tcPr>
            <w:tcW w:w="83" w:type="dxa"/>
            <w:gridSpan w:val="2"/>
            <w:tcBorders>
              <w:top w:val="nil"/>
              <w:left w:val="nil"/>
              <w:right w:val="nil"/>
            </w:tcBorders>
            <w:shd w:val="clear" w:color="auto" w:fill="auto"/>
            <w:vAlign w:val="bottom"/>
          </w:tcPr>
          <w:p w14:paraId="1F1F8C0F" w14:textId="77777777" w:rsidR="00EF69AD" w:rsidRPr="005F2A60" w:rsidRDefault="00EF69AD" w:rsidP="00EF69AD">
            <w:pPr>
              <w:spacing w:line="160" w:lineRule="exact"/>
              <w:ind w:right="28"/>
              <w:jc w:val="right"/>
              <w:rPr>
                <w:bCs w:val="0"/>
                <w:sz w:val="12"/>
                <w:szCs w:val="12"/>
              </w:rPr>
            </w:pPr>
          </w:p>
        </w:tc>
        <w:tc>
          <w:tcPr>
            <w:tcW w:w="1051" w:type="dxa"/>
            <w:gridSpan w:val="3"/>
            <w:tcBorders>
              <w:top w:val="nil"/>
              <w:left w:val="nil"/>
              <w:bottom w:val="single" w:sz="4" w:space="0" w:color="auto"/>
              <w:right w:val="nil"/>
            </w:tcBorders>
            <w:vAlign w:val="bottom"/>
          </w:tcPr>
          <w:p w14:paraId="184CD3B9" w14:textId="15E5F40C" w:rsidR="00EF69AD" w:rsidRPr="005F2A60" w:rsidRDefault="00EF69AD" w:rsidP="00EF69AD">
            <w:pPr>
              <w:spacing w:line="160" w:lineRule="exact"/>
              <w:ind w:left="-57" w:right="28"/>
              <w:jc w:val="right"/>
              <w:rPr>
                <w:w w:val="105"/>
                <w:sz w:val="12"/>
                <w:szCs w:val="12"/>
              </w:rPr>
            </w:pPr>
            <w:r w:rsidRPr="001775FB">
              <w:rPr>
                <w:w w:val="105"/>
                <w:sz w:val="12"/>
                <w:szCs w:val="12"/>
                <w:lang w:val="id-ID"/>
              </w:rPr>
              <w:t>(138.399.800)</w:t>
            </w:r>
          </w:p>
        </w:tc>
        <w:tc>
          <w:tcPr>
            <w:tcW w:w="83" w:type="dxa"/>
            <w:tcBorders>
              <w:top w:val="nil"/>
              <w:left w:val="nil"/>
              <w:right w:val="nil"/>
            </w:tcBorders>
            <w:vAlign w:val="bottom"/>
          </w:tcPr>
          <w:p w14:paraId="5663237E" w14:textId="77777777" w:rsidR="00EF69AD" w:rsidRPr="005F2A60" w:rsidRDefault="00EF69AD" w:rsidP="00EF69AD">
            <w:pPr>
              <w:spacing w:line="160" w:lineRule="exact"/>
              <w:ind w:left="-57" w:right="28"/>
              <w:jc w:val="right"/>
              <w:rPr>
                <w:bCs w:val="0"/>
                <w:sz w:val="12"/>
                <w:szCs w:val="12"/>
              </w:rPr>
            </w:pPr>
          </w:p>
        </w:tc>
        <w:tc>
          <w:tcPr>
            <w:tcW w:w="1193" w:type="dxa"/>
            <w:gridSpan w:val="2"/>
            <w:tcBorders>
              <w:top w:val="nil"/>
              <w:left w:val="nil"/>
              <w:right w:val="nil"/>
            </w:tcBorders>
            <w:shd w:val="clear" w:color="auto" w:fill="auto"/>
            <w:vAlign w:val="bottom"/>
          </w:tcPr>
          <w:p w14:paraId="345576F6" w14:textId="19B67203" w:rsidR="00EF69AD" w:rsidRPr="005F2A60" w:rsidRDefault="00EF69AD" w:rsidP="00EF69AD">
            <w:pPr>
              <w:spacing w:line="160" w:lineRule="exact"/>
              <w:ind w:left="-57" w:right="28"/>
              <w:jc w:val="right"/>
              <w:rPr>
                <w:w w:val="105"/>
                <w:sz w:val="12"/>
                <w:szCs w:val="12"/>
              </w:rPr>
            </w:pPr>
            <w:r w:rsidRPr="001775FB">
              <w:rPr>
                <w:w w:val="105"/>
                <w:sz w:val="12"/>
                <w:szCs w:val="12"/>
              </w:rPr>
              <w:t>47.559.432.36</w:t>
            </w:r>
            <w:r>
              <w:rPr>
                <w:w w:val="105"/>
                <w:sz w:val="12"/>
                <w:szCs w:val="12"/>
              </w:rPr>
              <w:t>9</w:t>
            </w:r>
          </w:p>
        </w:tc>
        <w:tc>
          <w:tcPr>
            <w:tcW w:w="1417" w:type="dxa"/>
            <w:gridSpan w:val="2"/>
            <w:tcBorders>
              <w:top w:val="nil"/>
              <w:left w:val="nil"/>
              <w:bottom w:val="nil"/>
              <w:right w:val="nil"/>
            </w:tcBorders>
            <w:shd w:val="clear" w:color="auto" w:fill="auto"/>
            <w:vAlign w:val="bottom"/>
          </w:tcPr>
          <w:p w14:paraId="4DC17B35" w14:textId="77777777" w:rsidR="00EF69AD" w:rsidRPr="005F2A60" w:rsidRDefault="00EF69AD" w:rsidP="00EF69AD">
            <w:pPr>
              <w:tabs>
                <w:tab w:val="left" w:pos="1410"/>
              </w:tabs>
              <w:spacing w:line="160" w:lineRule="exact"/>
              <w:ind w:right="142"/>
              <w:jc w:val="right"/>
              <w:rPr>
                <w:i/>
                <w:iCs/>
                <w:sz w:val="14"/>
                <w:szCs w:val="14"/>
              </w:rPr>
            </w:pPr>
            <w:r w:rsidRPr="005F2A60">
              <w:rPr>
                <w:i/>
                <w:iCs/>
                <w:sz w:val="14"/>
                <w:szCs w:val="14"/>
              </w:rPr>
              <w:t>Office equipment</w:t>
            </w:r>
          </w:p>
        </w:tc>
      </w:tr>
      <w:tr w:rsidR="00EF69AD" w:rsidRPr="005F2A60" w14:paraId="4334F65F" w14:textId="77777777" w:rsidTr="003734F4">
        <w:trPr>
          <w:gridAfter w:val="1"/>
          <w:wAfter w:w="20" w:type="dxa"/>
          <w:cantSplit/>
        </w:trPr>
        <w:tc>
          <w:tcPr>
            <w:tcW w:w="1877" w:type="dxa"/>
            <w:tcBorders>
              <w:left w:val="nil"/>
              <w:bottom w:val="nil"/>
              <w:right w:val="nil"/>
            </w:tcBorders>
            <w:shd w:val="clear" w:color="auto" w:fill="auto"/>
            <w:vAlign w:val="bottom"/>
          </w:tcPr>
          <w:p w14:paraId="04DF6415" w14:textId="77777777" w:rsidR="00EF69AD" w:rsidRPr="005F2A60" w:rsidRDefault="00EF69AD" w:rsidP="00EF69AD">
            <w:pPr>
              <w:spacing w:line="160" w:lineRule="exact"/>
              <w:ind w:left="680" w:right="74" w:hanging="255"/>
              <w:rPr>
                <w:bCs w:val="0"/>
                <w:sz w:val="14"/>
                <w:szCs w:val="14"/>
              </w:rPr>
            </w:pPr>
          </w:p>
        </w:tc>
        <w:tc>
          <w:tcPr>
            <w:tcW w:w="1134" w:type="dxa"/>
            <w:tcBorders>
              <w:top w:val="single" w:sz="4" w:space="0" w:color="auto"/>
              <w:left w:val="nil"/>
              <w:right w:val="nil"/>
            </w:tcBorders>
            <w:shd w:val="clear" w:color="auto" w:fill="auto"/>
            <w:vAlign w:val="bottom"/>
          </w:tcPr>
          <w:p w14:paraId="090F380C" w14:textId="77777777" w:rsidR="00EF69AD" w:rsidRPr="005F2A60" w:rsidRDefault="00EF69AD" w:rsidP="00EF69AD">
            <w:pPr>
              <w:spacing w:line="160" w:lineRule="exact"/>
              <w:ind w:left="-57" w:right="28"/>
              <w:jc w:val="right"/>
              <w:rPr>
                <w:bCs w:val="0"/>
                <w:sz w:val="12"/>
                <w:szCs w:val="12"/>
              </w:rPr>
            </w:pPr>
          </w:p>
        </w:tc>
        <w:tc>
          <w:tcPr>
            <w:tcW w:w="83" w:type="dxa"/>
            <w:tcBorders>
              <w:left w:val="nil"/>
              <w:right w:val="nil"/>
            </w:tcBorders>
            <w:shd w:val="clear" w:color="auto" w:fill="auto"/>
            <w:vAlign w:val="bottom"/>
          </w:tcPr>
          <w:p w14:paraId="27E5E39A" w14:textId="77777777" w:rsidR="00EF69AD" w:rsidRPr="005F2A60" w:rsidRDefault="00EF69AD" w:rsidP="00EF69AD">
            <w:pPr>
              <w:spacing w:line="160" w:lineRule="exact"/>
              <w:ind w:right="18"/>
              <w:jc w:val="right"/>
              <w:rPr>
                <w:bCs w:val="0"/>
                <w:sz w:val="12"/>
                <w:szCs w:val="12"/>
              </w:rPr>
            </w:pPr>
          </w:p>
        </w:tc>
        <w:tc>
          <w:tcPr>
            <w:tcW w:w="1051" w:type="dxa"/>
            <w:tcBorders>
              <w:top w:val="single" w:sz="4" w:space="0" w:color="auto"/>
              <w:left w:val="nil"/>
              <w:right w:val="nil"/>
            </w:tcBorders>
            <w:shd w:val="clear" w:color="auto" w:fill="auto"/>
            <w:vAlign w:val="bottom"/>
          </w:tcPr>
          <w:p w14:paraId="39594A1C" w14:textId="77777777" w:rsidR="00EF69AD" w:rsidRPr="005F2A60" w:rsidRDefault="00EF69AD" w:rsidP="00EF69AD">
            <w:pPr>
              <w:spacing w:line="160" w:lineRule="exact"/>
              <w:ind w:right="57"/>
              <w:jc w:val="right"/>
              <w:rPr>
                <w:bCs w:val="0"/>
                <w:sz w:val="12"/>
                <w:szCs w:val="12"/>
              </w:rPr>
            </w:pPr>
          </w:p>
        </w:tc>
        <w:tc>
          <w:tcPr>
            <w:tcW w:w="91" w:type="dxa"/>
            <w:tcBorders>
              <w:left w:val="nil"/>
              <w:right w:val="nil"/>
            </w:tcBorders>
            <w:shd w:val="clear" w:color="auto" w:fill="auto"/>
            <w:vAlign w:val="bottom"/>
          </w:tcPr>
          <w:p w14:paraId="317CF2BC" w14:textId="77777777" w:rsidR="00EF69AD" w:rsidRPr="005F2A60" w:rsidRDefault="00EF69AD" w:rsidP="00EF69AD">
            <w:pPr>
              <w:spacing w:line="160" w:lineRule="exact"/>
              <w:ind w:right="18"/>
              <w:jc w:val="right"/>
              <w:rPr>
                <w:bCs w:val="0"/>
                <w:sz w:val="12"/>
                <w:szCs w:val="12"/>
              </w:rPr>
            </w:pPr>
          </w:p>
        </w:tc>
        <w:tc>
          <w:tcPr>
            <w:tcW w:w="83" w:type="dxa"/>
            <w:tcBorders>
              <w:left w:val="nil"/>
              <w:right w:val="nil"/>
            </w:tcBorders>
            <w:shd w:val="clear" w:color="auto" w:fill="auto"/>
            <w:vAlign w:val="bottom"/>
          </w:tcPr>
          <w:p w14:paraId="3334B358" w14:textId="77777777" w:rsidR="00EF69AD" w:rsidRPr="005F2A60" w:rsidRDefault="00EF69AD" w:rsidP="00EF69AD">
            <w:pPr>
              <w:spacing w:line="160" w:lineRule="exact"/>
              <w:ind w:right="18"/>
              <w:jc w:val="right"/>
              <w:rPr>
                <w:bCs w:val="0"/>
                <w:sz w:val="12"/>
                <w:szCs w:val="12"/>
              </w:rPr>
            </w:pPr>
          </w:p>
        </w:tc>
        <w:tc>
          <w:tcPr>
            <w:tcW w:w="960" w:type="dxa"/>
            <w:gridSpan w:val="3"/>
            <w:tcBorders>
              <w:top w:val="single" w:sz="4" w:space="0" w:color="auto"/>
              <w:left w:val="nil"/>
              <w:right w:val="nil"/>
            </w:tcBorders>
            <w:shd w:val="clear" w:color="auto" w:fill="auto"/>
            <w:vAlign w:val="bottom"/>
          </w:tcPr>
          <w:p w14:paraId="07D0F670" w14:textId="77777777" w:rsidR="00EF69AD" w:rsidRPr="005F2A60" w:rsidRDefault="00EF69AD" w:rsidP="00EF69AD">
            <w:pPr>
              <w:spacing w:line="160" w:lineRule="exact"/>
              <w:ind w:right="28"/>
              <w:jc w:val="right"/>
              <w:rPr>
                <w:w w:val="105"/>
                <w:sz w:val="12"/>
                <w:szCs w:val="12"/>
              </w:rPr>
            </w:pPr>
          </w:p>
        </w:tc>
        <w:tc>
          <w:tcPr>
            <w:tcW w:w="83" w:type="dxa"/>
            <w:gridSpan w:val="2"/>
            <w:tcBorders>
              <w:left w:val="nil"/>
              <w:right w:val="nil"/>
            </w:tcBorders>
            <w:shd w:val="clear" w:color="auto" w:fill="auto"/>
            <w:vAlign w:val="bottom"/>
          </w:tcPr>
          <w:p w14:paraId="768AD464" w14:textId="77777777" w:rsidR="00EF69AD" w:rsidRPr="005F2A60" w:rsidRDefault="00EF69AD" w:rsidP="00EF69AD">
            <w:pPr>
              <w:spacing w:line="160" w:lineRule="exact"/>
              <w:ind w:right="28"/>
              <w:jc w:val="right"/>
              <w:rPr>
                <w:bCs w:val="0"/>
                <w:sz w:val="12"/>
                <w:szCs w:val="12"/>
              </w:rPr>
            </w:pPr>
          </w:p>
        </w:tc>
        <w:tc>
          <w:tcPr>
            <w:tcW w:w="1051" w:type="dxa"/>
            <w:gridSpan w:val="3"/>
            <w:tcBorders>
              <w:top w:val="single" w:sz="4" w:space="0" w:color="auto"/>
              <w:left w:val="nil"/>
              <w:right w:val="nil"/>
            </w:tcBorders>
            <w:vAlign w:val="bottom"/>
          </w:tcPr>
          <w:p w14:paraId="4702F8E3" w14:textId="77777777" w:rsidR="00EF69AD" w:rsidRPr="005F2A60" w:rsidRDefault="00EF69AD" w:rsidP="00EF69AD">
            <w:pPr>
              <w:spacing w:line="160" w:lineRule="exact"/>
              <w:ind w:left="-57" w:right="28"/>
              <w:jc w:val="right"/>
              <w:rPr>
                <w:w w:val="105"/>
                <w:sz w:val="12"/>
                <w:szCs w:val="12"/>
              </w:rPr>
            </w:pPr>
          </w:p>
        </w:tc>
        <w:tc>
          <w:tcPr>
            <w:tcW w:w="83" w:type="dxa"/>
            <w:tcBorders>
              <w:left w:val="nil"/>
              <w:right w:val="nil"/>
            </w:tcBorders>
            <w:vAlign w:val="bottom"/>
          </w:tcPr>
          <w:p w14:paraId="58130058" w14:textId="77777777" w:rsidR="00EF69AD" w:rsidRPr="005F2A60" w:rsidRDefault="00EF69AD" w:rsidP="00EF69AD">
            <w:pPr>
              <w:spacing w:line="160" w:lineRule="exact"/>
              <w:ind w:left="-57" w:right="28"/>
              <w:jc w:val="right"/>
              <w:rPr>
                <w:bCs w:val="0"/>
                <w:sz w:val="12"/>
                <w:szCs w:val="12"/>
              </w:rPr>
            </w:pPr>
          </w:p>
        </w:tc>
        <w:tc>
          <w:tcPr>
            <w:tcW w:w="1193" w:type="dxa"/>
            <w:gridSpan w:val="2"/>
            <w:tcBorders>
              <w:top w:val="single" w:sz="4" w:space="0" w:color="auto"/>
              <w:left w:val="nil"/>
              <w:right w:val="nil"/>
            </w:tcBorders>
            <w:shd w:val="clear" w:color="auto" w:fill="auto"/>
            <w:vAlign w:val="bottom"/>
          </w:tcPr>
          <w:p w14:paraId="6C010EAD" w14:textId="77777777" w:rsidR="00EF69AD" w:rsidRPr="005F2A60" w:rsidRDefault="00EF69AD" w:rsidP="00EF69AD">
            <w:pPr>
              <w:spacing w:line="160" w:lineRule="exact"/>
              <w:ind w:left="-57" w:right="28"/>
              <w:jc w:val="right"/>
              <w:rPr>
                <w:w w:val="105"/>
                <w:sz w:val="12"/>
                <w:szCs w:val="12"/>
              </w:rPr>
            </w:pPr>
          </w:p>
        </w:tc>
        <w:tc>
          <w:tcPr>
            <w:tcW w:w="1417" w:type="dxa"/>
            <w:gridSpan w:val="2"/>
            <w:tcBorders>
              <w:left w:val="nil"/>
              <w:bottom w:val="nil"/>
              <w:right w:val="nil"/>
            </w:tcBorders>
            <w:shd w:val="clear" w:color="auto" w:fill="auto"/>
            <w:vAlign w:val="bottom"/>
          </w:tcPr>
          <w:p w14:paraId="7F9CF376" w14:textId="77777777" w:rsidR="00EF69AD" w:rsidRPr="005F2A60" w:rsidRDefault="00EF69AD" w:rsidP="00EF69AD">
            <w:pPr>
              <w:tabs>
                <w:tab w:val="left" w:pos="1410"/>
              </w:tabs>
              <w:spacing w:line="160" w:lineRule="exact"/>
              <w:ind w:right="142"/>
              <w:jc w:val="right"/>
              <w:rPr>
                <w:i/>
                <w:sz w:val="14"/>
                <w:szCs w:val="14"/>
              </w:rPr>
            </w:pPr>
          </w:p>
        </w:tc>
      </w:tr>
      <w:tr w:rsidR="00EF69AD" w:rsidRPr="005F2A60" w14:paraId="3616675C" w14:textId="77777777" w:rsidTr="003734F4">
        <w:trPr>
          <w:gridAfter w:val="1"/>
          <w:wAfter w:w="20" w:type="dxa"/>
          <w:cantSplit/>
        </w:trPr>
        <w:tc>
          <w:tcPr>
            <w:tcW w:w="1877" w:type="dxa"/>
            <w:tcBorders>
              <w:left w:val="nil"/>
              <w:bottom w:val="nil"/>
              <w:right w:val="nil"/>
            </w:tcBorders>
            <w:shd w:val="clear" w:color="auto" w:fill="auto"/>
            <w:vAlign w:val="bottom"/>
          </w:tcPr>
          <w:p w14:paraId="30144C6E" w14:textId="77777777" w:rsidR="00EF69AD" w:rsidRPr="005F2A60" w:rsidRDefault="00EF69AD" w:rsidP="00EF69AD">
            <w:pPr>
              <w:spacing w:line="160" w:lineRule="exact"/>
              <w:ind w:left="680" w:right="74" w:hanging="255"/>
              <w:rPr>
                <w:bCs w:val="0"/>
                <w:sz w:val="14"/>
                <w:szCs w:val="14"/>
              </w:rPr>
            </w:pPr>
            <w:r w:rsidRPr="005F2A60">
              <w:rPr>
                <w:bCs w:val="0"/>
                <w:sz w:val="14"/>
                <w:szCs w:val="14"/>
              </w:rPr>
              <w:t>Sub jumlah</w:t>
            </w:r>
          </w:p>
        </w:tc>
        <w:tc>
          <w:tcPr>
            <w:tcW w:w="1134" w:type="dxa"/>
            <w:tcBorders>
              <w:left w:val="nil"/>
              <w:bottom w:val="single" w:sz="4" w:space="0" w:color="auto"/>
              <w:right w:val="nil"/>
            </w:tcBorders>
            <w:shd w:val="clear" w:color="auto" w:fill="auto"/>
            <w:vAlign w:val="bottom"/>
          </w:tcPr>
          <w:p w14:paraId="15C4D747" w14:textId="55E2F6E6" w:rsidR="00EF69AD" w:rsidRPr="005F2A60" w:rsidRDefault="00EF69AD" w:rsidP="00EF69AD">
            <w:pPr>
              <w:spacing w:line="160" w:lineRule="exact"/>
              <w:ind w:left="-57" w:right="28"/>
              <w:jc w:val="right"/>
              <w:rPr>
                <w:bCs w:val="0"/>
                <w:sz w:val="12"/>
                <w:szCs w:val="12"/>
              </w:rPr>
            </w:pPr>
            <w:r w:rsidRPr="001775FB">
              <w:rPr>
                <w:bCs w:val="0"/>
                <w:sz w:val="12"/>
                <w:szCs w:val="12"/>
              </w:rPr>
              <w:t>2.009.736.403.30</w:t>
            </w:r>
            <w:r>
              <w:rPr>
                <w:bCs w:val="0"/>
                <w:sz w:val="12"/>
                <w:szCs w:val="12"/>
              </w:rPr>
              <w:t>4</w:t>
            </w:r>
          </w:p>
        </w:tc>
        <w:tc>
          <w:tcPr>
            <w:tcW w:w="83" w:type="dxa"/>
            <w:tcBorders>
              <w:left w:val="nil"/>
              <w:bottom w:val="nil"/>
              <w:right w:val="nil"/>
            </w:tcBorders>
            <w:shd w:val="clear" w:color="auto" w:fill="auto"/>
            <w:vAlign w:val="bottom"/>
          </w:tcPr>
          <w:p w14:paraId="3B8384ED" w14:textId="77777777" w:rsidR="00EF69AD" w:rsidRPr="005F2A60" w:rsidRDefault="00EF69AD" w:rsidP="00EF69AD">
            <w:pPr>
              <w:spacing w:line="160" w:lineRule="exact"/>
              <w:ind w:right="18"/>
              <w:jc w:val="right"/>
              <w:rPr>
                <w:bCs w:val="0"/>
                <w:sz w:val="12"/>
                <w:szCs w:val="12"/>
              </w:rPr>
            </w:pPr>
          </w:p>
        </w:tc>
        <w:tc>
          <w:tcPr>
            <w:tcW w:w="1051" w:type="dxa"/>
            <w:tcBorders>
              <w:left w:val="nil"/>
              <w:bottom w:val="single" w:sz="4" w:space="0" w:color="auto"/>
              <w:right w:val="nil"/>
            </w:tcBorders>
            <w:shd w:val="clear" w:color="auto" w:fill="auto"/>
            <w:vAlign w:val="bottom"/>
          </w:tcPr>
          <w:p w14:paraId="3F8F5289" w14:textId="1BCEDC1B" w:rsidR="00EF69AD" w:rsidRPr="005F2A60" w:rsidRDefault="00EF69AD" w:rsidP="00EF69AD">
            <w:pPr>
              <w:spacing w:line="160" w:lineRule="exact"/>
              <w:ind w:right="57"/>
              <w:jc w:val="right"/>
              <w:rPr>
                <w:bCs w:val="0"/>
                <w:sz w:val="12"/>
                <w:szCs w:val="12"/>
              </w:rPr>
            </w:pPr>
            <w:r w:rsidRPr="00EC0E2F">
              <w:rPr>
                <w:bCs w:val="0"/>
                <w:sz w:val="12"/>
                <w:szCs w:val="12"/>
              </w:rPr>
              <w:t>53.450.617.92</w:t>
            </w:r>
            <w:r>
              <w:rPr>
                <w:bCs w:val="0"/>
                <w:sz w:val="12"/>
                <w:szCs w:val="12"/>
              </w:rPr>
              <w:t>7</w:t>
            </w:r>
          </w:p>
        </w:tc>
        <w:tc>
          <w:tcPr>
            <w:tcW w:w="91" w:type="dxa"/>
            <w:tcBorders>
              <w:left w:val="nil"/>
              <w:bottom w:val="nil"/>
              <w:right w:val="nil"/>
            </w:tcBorders>
            <w:shd w:val="clear" w:color="auto" w:fill="auto"/>
            <w:vAlign w:val="bottom"/>
          </w:tcPr>
          <w:p w14:paraId="785E34D2" w14:textId="77777777" w:rsidR="00EF69AD" w:rsidRPr="005F2A60" w:rsidRDefault="00EF69AD" w:rsidP="00EF69AD">
            <w:pPr>
              <w:spacing w:line="160" w:lineRule="exact"/>
              <w:ind w:right="18"/>
              <w:jc w:val="right"/>
              <w:rPr>
                <w:bCs w:val="0"/>
                <w:sz w:val="12"/>
                <w:szCs w:val="12"/>
              </w:rPr>
            </w:pPr>
          </w:p>
        </w:tc>
        <w:tc>
          <w:tcPr>
            <w:tcW w:w="83" w:type="dxa"/>
            <w:tcBorders>
              <w:left w:val="nil"/>
              <w:bottom w:val="nil"/>
              <w:right w:val="nil"/>
            </w:tcBorders>
            <w:shd w:val="clear" w:color="auto" w:fill="auto"/>
            <w:vAlign w:val="bottom"/>
          </w:tcPr>
          <w:p w14:paraId="6F2FD6FB" w14:textId="77777777" w:rsidR="00EF69AD" w:rsidRPr="005F2A60" w:rsidRDefault="00EF69AD" w:rsidP="00EF69AD">
            <w:pPr>
              <w:spacing w:line="160" w:lineRule="exact"/>
              <w:ind w:right="18"/>
              <w:jc w:val="right"/>
              <w:rPr>
                <w:bCs w:val="0"/>
                <w:sz w:val="12"/>
                <w:szCs w:val="12"/>
              </w:rPr>
            </w:pPr>
          </w:p>
        </w:tc>
        <w:tc>
          <w:tcPr>
            <w:tcW w:w="960" w:type="dxa"/>
            <w:gridSpan w:val="3"/>
            <w:tcBorders>
              <w:left w:val="nil"/>
              <w:bottom w:val="single" w:sz="4" w:space="0" w:color="auto"/>
              <w:right w:val="nil"/>
            </w:tcBorders>
            <w:shd w:val="clear" w:color="auto" w:fill="auto"/>
            <w:vAlign w:val="bottom"/>
          </w:tcPr>
          <w:p w14:paraId="19575E76" w14:textId="293CEF46" w:rsidR="00EF69AD" w:rsidRPr="005F2A60" w:rsidRDefault="00EF69AD" w:rsidP="00EF69AD">
            <w:pPr>
              <w:spacing w:line="160" w:lineRule="exact"/>
              <w:ind w:right="28"/>
              <w:jc w:val="right"/>
              <w:rPr>
                <w:w w:val="105"/>
                <w:sz w:val="12"/>
                <w:szCs w:val="12"/>
              </w:rPr>
            </w:pPr>
            <w:r>
              <w:rPr>
                <w:w w:val="105"/>
                <w:sz w:val="12"/>
                <w:szCs w:val="12"/>
              </w:rPr>
              <w:t>(</w:t>
            </w:r>
            <w:r w:rsidRPr="00EC0E2F">
              <w:rPr>
                <w:w w:val="105"/>
                <w:sz w:val="12"/>
                <w:szCs w:val="12"/>
              </w:rPr>
              <w:t>4.845.312.93</w:t>
            </w:r>
            <w:r>
              <w:rPr>
                <w:w w:val="105"/>
                <w:sz w:val="12"/>
                <w:szCs w:val="12"/>
              </w:rPr>
              <w:t>1)</w:t>
            </w:r>
          </w:p>
        </w:tc>
        <w:tc>
          <w:tcPr>
            <w:tcW w:w="83" w:type="dxa"/>
            <w:gridSpan w:val="2"/>
            <w:tcBorders>
              <w:left w:val="nil"/>
              <w:right w:val="nil"/>
            </w:tcBorders>
            <w:shd w:val="clear" w:color="auto" w:fill="auto"/>
            <w:vAlign w:val="bottom"/>
          </w:tcPr>
          <w:p w14:paraId="47CF9156" w14:textId="77777777" w:rsidR="00EF69AD" w:rsidRPr="005F2A60" w:rsidRDefault="00EF69AD" w:rsidP="00EF69AD">
            <w:pPr>
              <w:spacing w:line="160" w:lineRule="exact"/>
              <w:ind w:right="28"/>
              <w:jc w:val="right"/>
              <w:rPr>
                <w:bCs w:val="0"/>
                <w:sz w:val="12"/>
                <w:szCs w:val="12"/>
              </w:rPr>
            </w:pPr>
          </w:p>
        </w:tc>
        <w:tc>
          <w:tcPr>
            <w:tcW w:w="1051" w:type="dxa"/>
            <w:gridSpan w:val="3"/>
            <w:tcBorders>
              <w:left w:val="nil"/>
              <w:bottom w:val="single" w:sz="4" w:space="0" w:color="auto"/>
              <w:right w:val="nil"/>
            </w:tcBorders>
            <w:vAlign w:val="bottom"/>
          </w:tcPr>
          <w:p w14:paraId="01075A20" w14:textId="52FF7BF5" w:rsidR="00EF69AD" w:rsidRPr="005F2A60" w:rsidRDefault="00EF69AD" w:rsidP="00EF69AD">
            <w:pPr>
              <w:spacing w:line="160" w:lineRule="exact"/>
              <w:ind w:left="-57" w:right="28"/>
              <w:jc w:val="right"/>
              <w:rPr>
                <w:w w:val="105"/>
                <w:sz w:val="12"/>
                <w:szCs w:val="12"/>
              </w:rPr>
            </w:pPr>
            <w:r w:rsidRPr="001775FB">
              <w:rPr>
                <w:w w:val="105"/>
                <w:sz w:val="12"/>
                <w:szCs w:val="12"/>
              </w:rPr>
              <w:t>324.381.869.288</w:t>
            </w:r>
          </w:p>
        </w:tc>
        <w:tc>
          <w:tcPr>
            <w:tcW w:w="83" w:type="dxa"/>
            <w:tcBorders>
              <w:left w:val="nil"/>
              <w:right w:val="nil"/>
            </w:tcBorders>
            <w:vAlign w:val="bottom"/>
          </w:tcPr>
          <w:p w14:paraId="121934DA" w14:textId="77777777" w:rsidR="00EF69AD" w:rsidRPr="005F2A60" w:rsidRDefault="00EF69AD" w:rsidP="00EF69AD">
            <w:pPr>
              <w:spacing w:line="160" w:lineRule="exact"/>
              <w:ind w:left="-57" w:right="28"/>
              <w:jc w:val="right"/>
              <w:rPr>
                <w:bCs w:val="0"/>
                <w:sz w:val="12"/>
                <w:szCs w:val="12"/>
              </w:rPr>
            </w:pPr>
          </w:p>
        </w:tc>
        <w:tc>
          <w:tcPr>
            <w:tcW w:w="1193" w:type="dxa"/>
            <w:gridSpan w:val="2"/>
            <w:tcBorders>
              <w:left w:val="nil"/>
              <w:bottom w:val="single" w:sz="4" w:space="0" w:color="auto"/>
              <w:right w:val="nil"/>
            </w:tcBorders>
            <w:shd w:val="clear" w:color="auto" w:fill="auto"/>
            <w:vAlign w:val="bottom"/>
          </w:tcPr>
          <w:p w14:paraId="6C0D3DA6" w14:textId="68C9470A" w:rsidR="00EF69AD" w:rsidRPr="005F2A60" w:rsidRDefault="00EF69AD" w:rsidP="00EF69AD">
            <w:pPr>
              <w:spacing w:line="160" w:lineRule="exact"/>
              <w:ind w:left="-57" w:right="28"/>
              <w:jc w:val="right"/>
              <w:rPr>
                <w:w w:val="105"/>
                <w:sz w:val="12"/>
                <w:szCs w:val="12"/>
              </w:rPr>
            </w:pPr>
            <w:r w:rsidRPr="00EC0E2F">
              <w:rPr>
                <w:w w:val="105"/>
                <w:sz w:val="12"/>
                <w:szCs w:val="12"/>
              </w:rPr>
              <w:t>2.382.723.577.5</w:t>
            </w:r>
            <w:r>
              <w:rPr>
                <w:w w:val="105"/>
                <w:sz w:val="12"/>
                <w:szCs w:val="12"/>
              </w:rPr>
              <w:t>88</w:t>
            </w:r>
          </w:p>
        </w:tc>
        <w:tc>
          <w:tcPr>
            <w:tcW w:w="1417" w:type="dxa"/>
            <w:gridSpan w:val="2"/>
            <w:tcBorders>
              <w:left w:val="nil"/>
              <w:bottom w:val="nil"/>
              <w:right w:val="nil"/>
            </w:tcBorders>
            <w:shd w:val="clear" w:color="auto" w:fill="auto"/>
            <w:vAlign w:val="bottom"/>
          </w:tcPr>
          <w:p w14:paraId="53030652" w14:textId="77777777" w:rsidR="00EF69AD" w:rsidRPr="005F2A60" w:rsidRDefault="00EF69AD" w:rsidP="00EF69AD">
            <w:pPr>
              <w:tabs>
                <w:tab w:val="left" w:pos="1410"/>
              </w:tabs>
              <w:spacing w:line="160" w:lineRule="exact"/>
              <w:ind w:right="142"/>
              <w:jc w:val="right"/>
              <w:rPr>
                <w:i/>
                <w:sz w:val="14"/>
                <w:szCs w:val="14"/>
              </w:rPr>
            </w:pPr>
            <w:r w:rsidRPr="005F2A60">
              <w:rPr>
                <w:i/>
                <w:sz w:val="14"/>
                <w:szCs w:val="14"/>
              </w:rPr>
              <w:t xml:space="preserve">Sub </w:t>
            </w:r>
            <w:r w:rsidRPr="005F2A60">
              <w:rPr>
                <w:i/>
                <w:iCs/>
                <w:sz w:val="14"/>
                <w:szCs w:val="14"/>
              </w:rPr>
              <w:t>total</w:t>
            </w:r>
          </w:p>
        </w:tc>
      </w:tr>
      <w:tr w:rsidR="00EF69AD" w:rsidRPr="005F2A60" w14:paraId="7200954A" w14:textId="77777777" w:rsidTr="003734F4">
        <w:trPr>
          <w:gridAfter w:val="1"/>
          <w:wAfter w:w="20" w:type="dxa"/>
          <w:cantSplit/>
        </w:trPr>
        <w:tc>
          <w:tcPr>
            <w:tcW w:w="1877" w:type="dxa"/>
            <w:tcBorders>
              <w:top w:val="nil"/>
              <w:left w:val="nil"/>
              <w:right w:val="nil"/>
            </w:tcBorders>
            <w:shd w:val="clear" w:color="auto" w:fill="auto"/>
            <w:vAlign w:val="bottom"/>
          </w:tcPr>
          <w:p w14:paraId="1487F9A9" w14:textId="77777777" w:rsidR="00EF69AD" w:rsidRPr="005F2A60" w:rsidRDefault="00EF69AD" w:rsidP="001445AB">
            <w:pPr>
              <w:ind w:left="680" w:right="71" w:hanging="255"/>
              <w:rPr>
                <w:bCs w:val="0"/>
                <w:sz w:val="14"/>
                <w:szCs w:val="14"/>
              </w:rPr>
            </w:pPr>
          </w:p>
        </w:tc>
        <w:tc>
          <w:tcPr>
            <w:tcW w:w="1134" w:type="dxa"/>
            <w:tcBorders>
              <w:top w:val="single" w:sz="4" w:space="0" w:color="auto"/>
              <w:left w:val="nil"/>
              <w:right w:val="nil"/>
            </w:tcBorders>
            <w:shd w:val="clear" w:color="auto" w:fill="auto"/>
            <w:vAlign w:val="bottom"/>
          </w:tcPr>
          <w:p w14:paraId="3F817594" w14:textId="77777777" w:rsidR="00EF69AD" w:rsidRPr="005F2A60" w:rsidRDefault="00EF69AD" w:rsidP="005F2A60">
            <w:pPr>
              <w:ind w:left="-57" w:right="28"/>
              <w:jc w:val="right"/>
              <w:rPr>
                <w:bCs w:val="0"/>
                <w:sz w:val="12"/>
                <w:szCs w:val="12"/>
              </w:rPr>
            </w:pPr>
          </w:p>
        </w:tc>
        <w:tc>
          <w:tcPr>
            <w:tcW w:w="83" w:type="dxa"/>
            <w:tcBorders>
              <w:top w:val="nil"/>
              <w:left w:val="nil"/>
              <w:right w:val="nil"/>
            </w:tcBorders>
            <w:shd w:val="clear" w:color="auto" w:fill="auto"/>
            <w:vAlign w:val="bottom"/>
          </w:tcPr>
          <w:p w14:paraId="6488768C" w14:textId="77777777" w:rsidR="00EF69AD" w:rsidRPr="005F2A60" w:rsidRDefault="00EF69AD" w:rsidP="005F2A60">
            <w:pPr>
              <w:jc w:val="right"/>
              <w:rPr>
                <w:bCs w:val="0"/>
                <w:sz w:val="12"/>
                <w:szCs w:val="12"/>
              </w:rPr>
            </w:pPr>
          </w:p>
        </w:tc>
        <w:tc>
          <w:tcPr>
            <w:tcW w:w="1051" w:type="dxa"/>
            <w:tcBorders>
              <w:top w:val="single" w:sz="4" w:space="0" w:color="auto"/>
              <w:left w:val="nil"/>
              <w:right w:val="nil"/>
            </w:tcBorders>
            <w:shd w:val="clear" w:color="auto" w:fill="auto"/>
            <w:vAlign w:val="bottom"/>
          </w:tcPr>
          <w:p w14:paraId="6238B325" w14:textId="77777777" w:rsidR="00EF69AD" w:rsidRPr="005F2A60" w:rsidRDefault="00EF69AD" w:rsidP="005F2A60">
            <w:pPr>
              <w:ind w:right="57"/>
              <w:jc w:val="right"/>
              <w:rPr>
                <w:bCs w:val="0"/>
                <w:sz w:val="12"/>
                <w:szCs w:val="12"/>
              </w:rPr>
            </w:pPr>
          </w:p>
        </w:tc>
        <w:tc>
          <w:tcPr>
            <w:tcW w:w="91" w:type="dxa"/>
            <w:tcBorders>
              <w:top w:val="nil"/>
              <w:left w:val="nil"/>
              <w:right w:val="nil"/>
            </w:tcBorders>
            <w:shd w:val="clear" w:color="auto" w:fill="auto"/>
            <w:vAlign w:val="bottom"/>
          </w:tcPr>
          <w:p w14:paraId="343D8DED" w14:textId="77777777" w:rsidR="00EF69AD" w:rsidRPr="005F2A60" w:rsidRDefault="00EF69AD" w:rsidP="005F2A60">
            <w:pPr>
              <w:jc w:val="right"/>
              <w:rPr>
                <w:bCs w:val="0"/>
                <w:sz w:val="12"/>
                <w:szCs w:val="12"/>
              </w:rPr>
            </w:pPr>
          </w:p>
        </w:tc>
        <w:tc>
          <w:tcPr>
            <w:tcW w:w="83" w:type="dxa"/>
            <w:tcBorders>
              <w:top w:val="nil"/>
              <w:left w:val="nil"/>
              <w:right w:val="nil"/>
            </w:tcBorders>
            <w:shd w:val="clear" w:color="auto" w:fill="auto"/>
            <w:vAlign w:val="bottom"/>
          </w:tcPr>
          <w:p w14:paraId="4E377250" w14:textId="77777777" w:rsidR="00EF69AD" w:rsidRPr="005F2A60" w:rsidRDefault="00EF69AD" w:rsidP="005F2A60">
            <w:pPr>
              <w:jc w:val="right"/>
              <w:rPr>
                <w:bCs w:val="0"/>
                <w:sz w:val="12"/>
                <w:szCs w:val="12"/>
              </w:rPr>
            </w:pPr>
          </w:p>
        </w:tc>
        <w:tc>
          <w:tcPr>
            <w:tcW w:w="960" w:type="dxa"/>
            <w:gridSpan w:val="3"/>
            <w:tcBorders>
              <w:top w:val="single" w:sz="4" w:space="0" w:color="auto"/>
              <w:left w:val="nil"/>
              <w:right w:val="nil"/>
            </w:tcBorders>
            <w:shd w:val="clear" w:color="auto" w:fill="auto"/>
            <w:vAlign w:val="bottom"/>
          </w:tcPr>
          <w:p w14:paraId="4029440C" w14:textId="77777777" w:rsidR="00EF69AD" w:rsidRPr="005F2A60" w:rsidRDefault="00EF69AD" w:rsidP="005F2A60">
            <w:pPr>
              <w:ind w:left="-57" w:right="28"/>
              <w:jc w:val="right"/>
              <w:rPr>
                <w:bCs w:val="0"/>
                <w:sz w:val="12"/>
                <w:szCs w:val="12"/>
              </w:rPr>
            </w:pPr>
          </w:p>
        </w:tc>
        <w:tc>
          <w:tcPr>
            <w:tcW w:w="83" w:type="dxa"/>
            <w:gridSpan w:val="2"/>
            <w:tcBorders>
              <w:left w:val="nil"/>
              <w:right w:val="nil"/>
            </w:tcBorders>
            <w:shd w:val="clear" w:color="auto" w:fill="auto"/>
            <w:vAlign w:val="bottom"/>
          </w:tcPr>
          <w:p w14:paraId="0A246A29" w14:textId="77777777" w:rsidR="00EF69AD" w:rsidRPr="005F2A60" w:rsidRDefault="00EF69AD" w:rsidP="005F2A60">
            <w:pPr>
              <w:ind w:right="28"/>
              <w:jc w:val="right"/>
              <w:rPr>
                <w:bCs w:val="0"/>
                <w:sz w:val="12"/>
                <w:szCs w:val="12"/>
              </w:rPr>
            </w:pPr>
          </w:p>
        </w:tc>
        <w:tc>
          <w:tcPr>
            <w:tcW w:w="1051" w:type="dxa"/>
            <w:gridSpan w:val="3"/>
            <w:tcBorders>
              <w:top w:val="single" w:sz="4" w:space="0" w:color="auto"/>
              <w:left w:val="nil"/>
              <w:right w:val="nil"/>
            </w:tcBorders>
            <w:vAlign w:val="bottom"/>
          </w:tcPr>
          <w:p w14:paraId="32096CA7" w14:textId="77777777" w:rsidR="00EF69AD" w:rsidRPr="005F2A60" w:rsidRDefault="00EF69AD" w:rsidP="005F2A60">
            <w:pPr>
              <w:ind w:left="-57" w:right="28"/>
              <w:jc w:val="right"/>
              <w:rPr>
                <w:bCs w:val="0"/>
                <w:sz w:val="12"/>
                <w:szCs w:val="12"/>
              </w:rPr>
            </w:pPr>
          </w:p>
        </w:tc>
        <w:tc>
          <w:tcPr>
            <w:tcW w:w="83" w:type="dxa"/>
            <w:tcBorders>
              <w:left w:val="nil"/>
              <w:right w:val="nil"/>
            </w:tcBorders>
            <w:vAlign w:val="bottom"/>
          </w:tcPr>
          <w:p w14:paraId="2E9A20A1" w14:textId="77777777" w:rsidR="00EF69AD" w:rsidRPr="005F2A60" w:rsidRDefault="00EF69AD" w:rsidP="005F2A60">
            <w:pPr>
              <w:ind w:left="-57" w:right="28"/>
              <w:jc w:val="right"/>
              <w:rPr>
                <w:bCs w:val="0"/>
                <w:sz w:val="12"/>
                <w:szCs w:val="12"/>
              </w:rPr>
            </w:pPr>
          </w:p>
        </w:tc>
        <w:tc>
          <w:tcPr>
            <w:tcW w:w="1193" w:type="dxa"/>
            <w:gridSpan w:val="2"/>
            <w:tcBorders>
              <w:top w:val="single" w:sz="4" w:space="0" w:color="auto"/>
              <w:left w:val="nil"/>
              <w:right w:val="nil"/>
            </w:tcBorders>
            <w:shd w:val="clear" w:color="auto" w:fill="auto"/>
            <w:vAlign w:val="bottom"/>
          </w:tcPr>
          <w:p w14:paraId="69E291C9" w14:textId="77777777" w:rsidR="00EF69AD" w:rsidRPr="005F2A60" w:rsidRDefault="00EF69AD" w:rsidP="005F2A60">
            <w:pPr>
              <w:ind w:left="-57" w:right="28"/>
              <w:jc w:val="right"/>
              <w:rPr>
                <w:bCs w:val="0"/>
                <w:sz w:val="12"/>
                <w:szCs w:val="12"/>
              </w:rPr>
            </w:pPr>
          </w:p>
        </w:tc>
        <w:tc>
          <w:tcPr>
            <w:tcW w:w="1417" w:type="dxa"/>
            <w:gridSpan w:val="2"/>
            <w:tcBorders>
              <w:top w:val="nil"/>
              <w:left w:val="nil"/>
              <w:right w:val="nil"/>
            </w:tcBorders>
            <w:shd w:val="clear" w:color="auto" w:fill="auto"/>
            <w:vAlign w:val="bottom"/>
          </w:tcPr>
          <w:p w14:paraId="33FFA8EF" w14:textId="77777777" w:rsidR="00EF69AD" w:rsidRPr="005F2A60" w:rsidRDefault="00EF69AD" w:rsidP="00351486">
            <w:pPr>
              <w:tabs>
                <w:tab w:val="left" w:pos="1360"/>
                <w:tab w:val="left" w:pos="1410"/>
              </w:tabs>
              <w:ind w:right="72"/>
              <w:jc w:val="right"/>
              <w:rPr>
                <w:i/>
                <w:sz w:val="14"/>
                <w:szCs w:val="14"/>
              </w:rPr>
            </w:pPr>
          </w:p>
        </w:tc>
      </w:tr>
      <w:tr w:rsidR="00EF69AD" w:rsidRPr="005F2A60" w14:paraId="49D14CAD" w14:textId="77777777" w:rsidTr="003734F4">
        <w:trPr>
          <w:gridAfter w:val="1"/>
          <w:wAfter w:w="20" w:type="dxa"/>
          <w:cantSplit/>
        </w:trPr>
        <w:tc>
          <w:tcPr>
            <w:tcW w:w="1877" w:type="dxa"/>
            <w:tcBorders>
              <w:left w:val="nil"/>
              <w:right w:val="nil"/>
            </w:tcBorders>
            <w:shd w:val="clear" w:color="auto" w:fill="auto"/>
            <w:vAlign w:val="bottom"/>
          </w:tcPr>
          <w:p w14:paraId="6681612C" w14:textId="77777777" w:rsidR="00EF69AD" w:rsidRDefault="00EF69AD" w:rsidP="001445AB">
            <w:pPr>
              <w:spacing w:line="160" w:lineRule="exact"/>
              <w:ind w:left="680" w:right="17" w:hanging="255"/>
              <w:rPr>
                <w:b/>
                <w:bCs w:val="0"/>
                <w:sz w:val="14"/>
                <w:szCs w:val="14"/>
                <w:u w:val="single"/>
              </w:rPr>
            </w:pPr>
            <w:r w:rsidRPr="005F2A60">
              <w:rPr>
                <w:b/>
                <w:bCs w:val="0"/>
                <w:sz w:val="14"/>
                <w:szCs w:val="14"/>
                <w:u w:val="single"/>
              </w:rPr>
              <w:t>Aset dalam</w:t>
            </w:r>
          </w:p>
          <w:p w14:paraId="1B6C2821" w14:textId="6BFD10FB" w:rsidR="00EF69AD" w:rsidRPr="005F2A60" w:rsidRDefault="00EF69AD" w:rsidP="001445AB">
            <w:pPr>
              <w:spacing w:line="160" w:lineRule="exact"/>
              <w:ind w:left="680" w:right="17" w:hanging="115"/>
              <w:rPr>
                <w:b/>
                <w:bCs w:val="0"/>
                <w:sz w:val="14"/>
                <w:szCs w:val="14"/>
                <w:u w:val="single"/>
              </w:rPr>
            </w:pPr>
            <w:r w:rsidRPr="005F2A60">
              <w:rPr>
                <w:b/>
                <w:bCs w:val="0"/>
                <w:sz w:val="14"/>
                <w:szCs w:val="14"/>
                <w:u w:val="single"/>
              </w:rPr>
              <w:t>Penyelesaian</w:t>
            </w:r>
          </w:p>
        </w:tc>
        <w:tc>
          <w:tcPr>
            <w:tcW w:w="1134" w:type="dxa"/>
            <w:tcBorders>
              <w:left w:val="nil"/>
              <w:right w:val="nil"/>
            </w:tcBorders>
            <w:shd w:val="clear" w:color="auto" w:fill="auto"/>
            <w:vAlign w:val="bottom"/>
          </w:tcPr>
          <w:p w14:paraId="1F4C3136" w14:textId="77777777" w:rsidR="00EF69AD" w:rsidRPr="005F2A60" w:rsidRDefault="00EF69AD" w:rsidP="005F2A60">
            <w:pPr>
              <w:spacing w:line="160" w:lineRule="exact"/>
              <w:ind w:left="-57" w:right="28"/>
              <w:jc w:val="right"/>
              <w:rPr>
                <w:bCs w:val="0"/>
                <w:sz w:val="12"/>
                <w:szCs w:val="12"/>
              </w:rPr>
            </w:pPr>
          </w:p>
        </w:tc>
        <w:tc>
          <w:tcPr>
            <w:tcW w:w="83" w:type="dxa"/>
            <w:tcBorders>
              <w:left w:val="nil"/>
              <w:right w:val="nil"/>
            </w:tcBorders>
            <w:shd w:val="clear" w:color="auto" w:fill="auto"/>
            <w:vAlign w:val="bottom"/>
          </w:tcPr>
          <w:p w14:paraId="4908B970" w14:textId="77777777" w:rsidR="00EF69AD" w:rsidRPr="005F2A60" w:rsidRDefault="00EF69AD" w:rsidP="005F2A60">
            <w:pPr>
              <w:spacing w:line="160" w:lineRule="exact"/>
              <w:jc w:val="right"/>
              <w:rPr>
                <w:bCs w:val="0"/>
                <w:sz w:val="12"/>
                <w:szCs w:val="12"/>
              </w:rPr>
            </w:pPr>
          </w:p>
        </w:tc>
        <w:tc>
          <w:tcPr>
            <w:tcW w:w="1051" w:type="dxa"/>
            <w:tcBorders>
              <w:left w:val="nil"/>
              <w:right w:val="nil"/>
            </w:tcBorders>
            <w:shd w:val="clear" w:color="auto" w:fill="auto"/>
            <w:vAlign w:val="bottom"/>
          </w:tcPr>
          <w:p w14:paraId="6EBEC8D7" w14:textId="77777777" w:rsidR="00EF69AD" w:rsidRPr="005F2A60" w:rsidRDefault="00EF69AD" w:rsidP="005F2A60">
            <w:pPr>
              <w:spacing w:line="160" w:lineRule="exact"/>
              <w:ind w:right="57"/>
              <w:jc w:val="right"/>
              <w:rPr>
                <w:bCs w:val="0"/>
                <w:sz w:val="12"/>
                <w:szCs w:val="12"/>
              </w:rPr>
            </w:pPr>
          </w:p>
        </w:tc>
        <w:tc>
          <w:tcPr>
            <w:tcW w:w="91" w:type="dxa"/>
            <w:tcBorders>
              <w:left w:val="nil"/>
              <w:right w:val="nil"/>
            </w:tcBorders>
            <w:shd w:val="clear" w:color="auto" w:fill="auto"/>
            <w:vAlign w:val="bottom"/>
          </w:tcPr>
          <w:p w14:paraId="282BC111" w14:textId="77777777" w:rsidR="00EF69AD" w:rsidRPr="005F2A60" w:rsidRDefault="00EF69AD" w:rsidP="005F2A60">
            <w:pPr>
              <w:spacing w:line="160" w:lineRule="exact"/>
              <w:jc w:val="right"/>
              <w:rPr>
                <w:bCs w:val="0"/>
                <w:sz w:val="12"/>
                <w:szCs w:val="12"/>
              </w:rPr>
            </w:pPr>
          </w:p>
        </w:tc>
        <w:tc>
          <w:tcPr>
            <w:tcW w:w="83" w:type="dxa"/>
            <w:tcBorders>
              <w:left w:val="nil"/>
              <w:right w:val="nil"/>
            </w:tcBorders>
            <w:shd w:val="clear" w:color="auto" w:fill="auto"/>
            <w:vAlign w:val="bottom"/>
          </w:tcPr>
          <w:p w14:paraId="0A208180" w14:textId="77777777" w:rsidR="00EF69AD" w:rsidRPr="005F2A60" w:rsidRDefault="00EF69AD" w:rsidP="005F2A60">
            <w:pPr>
              <w:spacing w:line="160" w:lineRule="exact"/>
              <w:jc w:val="right"/>
              <w:rPr>
                <w:bCs w:val="0"/>
                <w:sz w:val="12"/>
                <w:szCs w:val="12"/>
              </w:rPr>
            </w:pPr>
          </w:p>
        </w:tc>
        <w:tc>
          <w:tcPr>
            <w:tcW w:w="960" w:type="dxa"/>
            <w:gridSpan w:val="3"/>
            <w:tcBorders>
              <w:left w:val="nil"/>
              <w:right w:val="nil"/>
            </w:tcBorders>
            <w:shd w:val="clear" w:color="auto" w:fill="auto"/>
            <w:vAlign w:val="bottom"/>
          </w:tcPr>
          <w:p w14:paraId="1C14B098" w14:textId="77777777" w:rsidR="00EF69AD" w:rsidRPr="005F2A60" w:rsidRDefault="00EF69AD" w:rsidP="005F2A60">
            <w:pPr>
              <w:spacing w:line="160" w:lineRule="exact"/>
              <w:ind w:left="-57" w:right="28"/>
              <w:jc w:val="right"/>
              <w:rPr>
                <w:bCs w:val="0"/>
                <w:sz w:val="12"/>
                <w:szCs w:val="12"/>
              </w:rPr>
            </w:pPr>
          </w:p>
        </w:tc>
        <w:tc>
          <w:tcPr>
            <w:tcW w:w="83" w:type="dxa"/>
            <w:gridSpan w:val="2"/>
            <w:tcBorders>
              <w:left w:val="nil"/>
              <w:right w:val="nil"/>
            </w:tcBorders>
            <w:shd w:val="clear" w:color="auto" w:fill="auto"/>
            <w:vAlign w:val="bottom"/>
          </w:tcPr>
          <w:p w14:paraId="60C76752" w14:textId="77777777" w:rsidR="00EF69AD" w:rsidRPr="005F2A60" w:rsidRDefault="00EF69AD" w:rsidP="005F2A60">
            <w:pPr>
              <w:spacing w:line="160" w:lineRule="exact"/>
              <w:ind w:right="28"/>
              <w:jc w:val="right"/>
              <w:rPr>
                <w:bCs w:val="0"/>
                <w:sz w:val="12"/>
                <w:szCs w:val="12"/>
              </w:rPr>
            </w:pPr>
          </w:p>
        </w:tc>
        <w:tc>
          <w:tcPr>
            <w:tcW w:w="1051" w:type="dxa"/>
            <w:gridSpan w:val="3"/>
            <w:tcBorders>
              <w:left w:val="nil"/>
              <w:right w:val="nil"/>
            </w:tcBorders>
            <w:vAlign w:val="bottom"/>
          </w:tcPr>
          <w:p w14:paraId="5CD3A627" w14:textId="77777777" w:rsidR="00EF69AD" w:rsidRPr="005F2A60" w:rsidRDefault="00EF69AD" w:rsidP="005F2A60">
            <w:pPr>
              <w:spacing w:line="160" w:lineRule="exact"/>
              <w:ind w:left="-57" w:right="28"/>
              <w:jc w:val="right"/>
              <w:rPr>
                <w:bCs w:val="0"/>
                <w:sz w:val="12"/>
                <w:szCs w:val="12"/>
              </w:rPr>
            </w:pPr>
          </w:p>
        </w:tc>
        <w:tc>
          <w:tcPr>
            <w:tcW w:w="83" w:type="dxa"/>
            <w:tcBorders>
              <w:left w:val="nil"/>
              <w:right w:val="nil"/>
            </w:tcBorders>
            <w:vAlign w:val="bottom"/>
          </w:tcPr>
          <w:p w14:paraId="3E9A1F8D" w14:textId="77777777" w:rsidR="00EF69AD" w:rsidRPr="005F2A60" w:rsidRDefault="00EF69AD" w:rsidP="005F2A60">
            <w:pPr>
              <w:spacing w:line="160" w:lineRule="exact"/>
              <w:ind w:left="-57" w:right="28"/>
              <w:jc w:val="right"/>
              <w:rPr>
                <w:bCs w:val="0"/>
                <w:sz w:val="12"/>
                <w:szCs w:val="12"/>
              </w:rPr>
            </w:pPr>
          </w:p>
        </w:tc>
        <w:tc>
          <w:tcPr>
            <w:tcW w:w="1193" w:type="dxa"/>
            <w:gridSpan w:val="2"/>
            <w:tcBorders>
              <w:left w:val="nil"/>
              <w:right w:val="nil"/>
            </w:tcBorders>
            <w:shd w:val="clear" w:color="auto" w:fill="auto"/>
            <w:vAlign w:val="bottom"/>
          </w:tcPr>
          <w:p w14:paraId="39B947F4" w14:textId="77777777" w:rsidR="00EF69AD" w:rsidRPr="005F2A60" w:rsidRDefault="00EF69AD" w:rsidP="005F2A60">
            <w:pPr>
              <w:spacing w:line="160" w:lineRule="exact"/>
              <w:ind w:left="-57" w:right="28"/>
              <w:jc w:val="right"/>
              <w:rPr>
                <w:bCs w:val="0"/>
                <w:sz w:val="12"/>
                <w:szCs w:val="12"/>
              </w:rPr>
            </w:pPr>
          </w:p>
        </w:tc>
        <w:tc>
          <w:tcPr>
            <w:tcW w:w="1417" w:type="dxa"/>
            <w:gridSpan w:val="2"/>
            <w:tcBorders>
              <w:left w:val="nil"/>
              <w:bottom w:val="nil"/>
              <w:right w:val="nil"/>
            </w:tcBorders>
            <w:shd w:val="clear" w:color="auto" w:fill="auto"/>
            <w:vAlign w:val="bottom"/>
          </w:tcPr>
          <w:p w14:paraId="1E0FE28C" w14:textId="77777777" w:rsidR="00EF69AD" w:rsidRDefault="00EF69AD" w:rsidP="007A0453">
            <w:pPr>
              <w:tabs>
                <w:tab w:val="left" w:pos="1360"/>
                <w:tab w:val="left" w:pos="1410"/>
              </w:tabs>
              <w:spacing w:line="160" w:lineRule="exact"/>
              <w:ind w:right="72"/>
              <w:jc w:val="right"/>
              <w:rPr>
                <w:b/>
                <w:i/>
                <w:color w:val="1D1B11"/>
                <w:sz w:val="14"/>
                <w:szCs w:val="14"/>
                <w:u w:val="single"/>
              </w:rPr>
            </w:pPr>
            <w:r w:rsidRPr="005F2A60">
              <w:rPr>
                <w:b/>
                <w:i/>
                <w:color w:val="1D1B11"/>
                <w:sz w:val="14"/>
                <w:szCs w:val="14"/>
                <w:u w:val="single"/>
              </w:rPr>
              <w:t>Construction in</w:t>
            </w:r>
          </w:p>
          <w:p w14:paraId="6556B100" w14:textId="405BD53A" w:rsidR="00EF69AD" w:rsidRPr="005F2A60" w:rsidRDefault="00EF69AD" w:rsidP="005F2A60">
            <w:pPr>
              <w:ind w:right="198"/>
              <w:jc w:val="right"/>
              <w:rPr>
                <w:b/>
                <w:i/>
                <w:color w:val="1D1B11"/>
                <w:sz w:val="14"/>
                <w:szCs w:val="14"/>
                <w:u w:val="single"/>
              </w:rPr>
            </w:pPr>
            <w:r w:rsidRPr="005F2A60">
              <w:rPr>
                <w:b/>
                <w:i/>
                <w:color w:val="1D1B11"/>
                <w:sz w:val="14"/>
                <w:szCs w:val="14"/>
                <w:u w:val="single"/>
              </w:rPr>
              <w:t>Progress</w:t>
            </w:r>
          </w:p>
        </w:tc>
      </w:tr>
      <w:tr w:rsidR="00EF69AD" w:rsidRPr="005F2A60" w14:paraId="4F24111E" w14:textId="77777777" w:rsidTr="003734F4">
        <w:trPr>
          <w:gridAfter w:val="1"/>
          <w:wAfter w:w="20" w:type="dxa"/>
          <w:cantSplit/>
        </w:trPr>
        <w:tc>
          <w:tcPr>
            <w:tcW w:w="1877" w:type="dxa"/>
            <w:tcBorders>
              <w:left w:val="nil"/>
              <w:right w:val="nil"/>
            </w:tcBorders>
            <w:shd w:val="clear" w:color="auto" w:fill="auto"/>
            <w:vAlign w:val="bottom"/>
          </w:tcPr>
          <w:p w14:paraId="7D777677" w14:textId="77777777" w:rsidR="00EF69AD" w:rsidRPr="005F2A60" w:rsidRDefault="00EF69AD" w:rsidP="00EF69AD">
            <w:pPr>
              <w:spacing w:line="160" w:lineRule="exact"/>
              <w:ind w:left="680" w:right="17" w:hanging="255"/>
              <w:rPr>
                <w:bCs w:val="0"/>
                <w:sz w:val="14"/>
                <w:szCs w:val="14"/>
              </w:rPr>
            </w:pPr>
            <w:r w:rsidRPr="005F2A60">
              <w:rPr>
                <w:bCs w:val="0"/>
                <w:sz w:val="14"/>
                <w:szCs w:val="14"/>
              </w:rPr>
              <w:t>Bangunan</w:t>
            </w:r>
          </w:p>
        </w:tc>
        <w:tc>
          <w:tcPr>
            <w:tcW w:w="1134" w:type="dxa"/>
            <w:tcBorders>
              <w:left w:val="nil"/>
              <w:right w:val="nil"/>
            </w:tcBorders>
            <w:shd w:val="clear" w:color="auto" w:fill="auto"/>
            <w:vAlign w:val="bottom"/>
          </w:tcPr>
          <w:p w14:paraId="6B08A977" w14:textId="30832F47" w:rsidR="00EF69AD" w:rsidRPr="005F2A60" w:rsidRDefault="00EF69AD" w:rsidP="00EF69AD">
            <w:pPr>
              <w:ind w:left="-57" w:right="28"/>
              <w:jc w:val="right"/>
              <w:rPr>
                <w:bCs w:val="0"/>
                <w:sz w:val="12"/>
                <w:szCs w:val="12"/>
              </w:rPr>
            </w:pPr>
            <w:r w:rsidRPr="001775FB">
              <w:rPr>
                <w:bCs w:val="0"/>
                <w:sz w:val="12"/>
                <w:szCs w:val="12"/>
                <w:lang w:val="id-ID"/>
              </w:rPr>
              <w:t>302.628.854.569</w:t>
            </w:r>
          </w:p>
        </w:tc>
        <w:tc>
          <w:tcPr>
            <w:tcW w:w="83" w:type="dxa"/>
            <w:tcBorders>
              <w:left w:val="nil"/>
              <w:right w:val="nil"/>
            </w:tcBorders>
            <w:shd w:val="clear" w:color="auto" w:fill="auto"/>
            <w:vAlign w:val="bottom"/>
          </w:tcPr>
          <w:p w14:paraId="465A2C32" w14:textId="77777777" w:rsidR="00EF69AD" w:rsidRPr="005F2A60" w:rsidRDefault="00EF69AD" w:rsidP="00EF69AD">
            <w:pPr>
              <w:spacing w:line="160" w:lineRule="exact"/>
              <w:jc w:val="right"/>
              <w:rPr>
                <w:bCs w:val="0"/>
                <w:sz w:val="12"/>
                <w:szCs w:val="12"/>
              </w:rPr>
            </w:pPr>
          </w:p>
        </w:tc>
        <w:tc>
          <w:tcPr>
            <w:tcW w:w="1051" w:type="dxa"/>
            <w:tcBorders>
              <w:left w:val="nil"/>
              <w:right w:val="nil"/>
            </w:tcBorders>
            <w:shd w:val="clear" w:color="auto" w:fill="auto"/>
            <w:vAlign w:val="bottom"/>
          </w:tcPr>
          <w:p w14:paraId="0C5E5EA5" w14:textId="14F1B34C" w:rsidR="00EF69AD" w:rsidRPr="005F2A60" w:rsidRDefault="00EF69AD" w:rsidP="00EF69AD">
            <w:pPr>
              <w:spacing w:line="160" w:lineRule="exact"/>
              <w:ind w:left="-57" w:right="28"/>
              <w:jc w:val="right"/>
              <w:rPr>
                <w:bCs w:val="0"/>
                <w:sz w:val="12"/>
                <w:szCs w:val="12"/>
              </w:rPr>
            </w:pPr>
            <w:r w:rsidRPr="00EC0E2F">
              <w:rPr>
                <w:bCs w:val="0"/>
                <w:sz w:val="12"/>
                <w:szCs w:val="12"/>
              </w:rPr>
              <w:t>286.597.193.75</w:t>
            </w:r>
            <w:r>
              <w:rPr>
                <w:bCs w:val="0"/>
                <w:sz w:val="12"/>
                <w:szCs w:val="12"/>
              </w:rPr>
              <w:t>2</w:t>
            </w:r>
          </w:p>
        </w:tc>
        <w:tc>
          <w:tcPr>
            <w:tcW w:w="91" w:type="dxa"/>
            <w:tcBorders>
              <w:left w:val="nil"/>
              <w:right w:val="nil"/>
            </w:tcBorders>
            <w:shd w:val="clear" w:color="auto" w:fill="auto"/>
            <w:vAlign w:val="bottom"/>
          </w:tcPr>
          <w:p w14:paraId="1B61A9AC" w14:textId="77777777" w:rsidR="00EF69AD" w:rsidRPr="005F2A60" w:rsidRDefault="00EF69AD" w:rsidP="00EF69AD">
            <w:pPr>
              <w:spacing w:line="160" w:lineRule="exact"/>
              <w:jc w:val="right"/>
              <w:rPr>
                <w:bCs w:val="0"/>
                <w:sz w:val="12"/>
                <w:szCs w:val="12"/>
              </w:rPr>
            </w:pPr>
          </w:p>
        </w:tc>
        <w:tc>
          <w:tcPr>
            <w:tcW w:w="83" w:type="dxa"/>
            <w:tcBorders>
              <w:left w:val="nil"/>
              <w:right w:val="nil"/>
            </w:tcBorders>
            <w:shd w:val="clear" w:color="auto" w:fill="auto"/>
            <w:vAlign w:val="bottom"/>
          </w:tcPr>
          <w:p w14:paraId="62CD2469" w14:textId="77777777" w:rsidR="00EF69AD" w:rsidRPr="005F2A60" w:rsidRDefault="00EF69AD" w:rsidP="00EF69AD">
            <w:pPr>
              <w:spacing w:line="160" w:lineRule="exact"/>
              <w:jc w:val="right"/>
              <w:rPr>
                <w:bCs w:val="0"/>
                <w:sz w:val="12"/>
                <w:szCs w:val="12"/>
              </w:rPr>
            </w:pPr>
          </w:p>
        </w:tc>
        <w:tc>
          <w:tcPr>
            <w:tcW w:w="960" w:type="dxa"/>
            <w:gridSpan w:val="3"/>
            <w:tcBorders>
              <w:left w:val="nil"/>
              <w:right w:val="nil"/>
            </w:tcBorders>
            <w:shd w:val="clear" w:color="auto" w:fill="auto"/>
            <w:vAlign w:val="bottom"/>
          </w:tcPr>
          <w:p w14:paraId="72FAC0E9" w14:textId="3B32EFD0" w:rsidR="00EF69AD" w:rsidRPr="005F2A60" w:rsidRDefault="00EF69AD" w:rsidP="00EF69AD">
            <w:pPr>
              <w:spacing w:line="160" w:lineRule="exact"/>
              <w:ind w:right="28"/>
              <w:jc w:val="right"/>
              <w:rPr>
                <w:bCs w:val="0"/>
                <w:sz w:val="12"/>
                <w:szCs w:val="12"/>
              </w:rPr>
            </w:pPr>
            <w:r>
              <w:rPr>
                <w:bCs w:val="0"/>
                <w:sz w:val="12"/>
                <w:szCs w:val="12"/>
              </w:rPr>
              <w:t>(</w:t>
            </w:r>
            <w:r w:rsidRPr="00EC0E2F">
              <w:rPr>
                <w:bCs w:val="0"/>
                <w:sz w:val="12"/>
                <w:szCs w:val="12"/>
              </w:rPr>
              <w:t>2.858.786.585</w:t>
            </w:r>
            <w:r>
              <w:rPr>
                <w:bCs w:val="0"/>
                <w:sz w:val="12"/>
                <w:szCs w:val="12"/>
              </w:rPr>
              <w:t>)</w:t>
            </w:r>
          </w:p>
        </w:tc>
        <w:tc>
          <w:tcPr>
            <w:tcW w:w="83" w:type="dxa"/>
            <w:gridSpan w:val="2"/>
            <w:tcBorders>
              <w:left w:val="nil"/>
              <w:right w:val="nil"/>
            </w:tcBorders>
            <w:shd w:val="clear" w:color="auto" w:fill="auto"/>
            <w:vAlign w:val="bottom"/>
          </w:tcPr>
          <w:p w14:paraId="18C792A6" w14:textId="77777777" w:rsidR="00EF69AD" w:rsidRPr="005F2A60" w:rsidRDefault="00EF69AD" w:rsidP="00EF69AD">
            <w:pPr>
              <w:spacing w:line="160" w:lineRule="exact"/>
              <w:ind w:right="18"/>
              <w:jc w:val="right"/>
              <w:rPr>
                <w:bCs w:val="0"/>
                <w:sz w:val="12"/>
                <w:szCs w:val="12"/>
              </w:rPr>
            </w:pPr>
          </w:p>
        </w:tc>
        <w:tc>
          <w:tcPr>
            <w:tcW w:w="1051" w:type="dxa"/>
            <w:gridSpan w:val="3"/>
            <w:tcBorders>
              <w:left w:val="nil"/>
              <w:right w:val="nil"/>
            </w:tcBorders>
            <w:vAlign w:val="bottom"/>
          </w:tcPr>
          <w:p w14:paraId="3B51A247" w14:textId="25F7FDF3" w:rsidR="00EF69AD" w:rsidRPr="005F2A60" w:rsidRDefault="00EF69AD" w:rsidP="00EF69AD">
            <w:pPr>
              <w:spacing w:line="160" w:lineRule="exact"/>
              <w:ind w:left="-57" w:right="28"/>
              <w:jc w:val="right"/>
              <w:rPr>
                <w:bCs w:val="0"/>
                <w:sz w:val="12"/>
                <w:szCs w:val="12"/>
              </w:rPr>
            </w:pPr>
            <w:r w:rsidRPr="00CD6DD8">
              <w:rPr>
                <w:bCs w:val="0"/>
                <w:sz w:val="12"/>
                <w:szCs w:val="12"/>
              </w:rPr>
              <w:t>(321.890.869.088)</w:t>
            </w:r>
          </w:p>
        </w:tc>
        <w:tc>
          <w:tcPr>
            <w:tcW w:w="83" w:type="dxa"/>
            <w:tcBorders>
              <w:left w:val="nil"/>
              <w:right w:val="nil"/>
            </w:tcBorders>
            <w:vAlign w:val="bottom"/>
          </w:tcPr>
          <w:p w14:paraId="45CB4B92" w14:textId="77777777" w:rsidR="00EF69AD" w:rsidRPr="005F2A60" w:rsidRDefault="00EF69AD" w:rsidP="00EF69AD">
            <w:pPr>
              <w:spacing w:line="160" w:lineRule="exact"/>
              <w:ind w:left="-57" w:right="28"/>
              <w:jc w:val="right"/>
              <w:rPr>
                <w:bCs w:val="0"/>
                <w:sz w:val="12"/>
                <w:szCs w:val="12"/>
              </w:rPr>
            </w:pPr>
          </w:p>
        </w:tc>
        <w:tc>
          <w:tcPr>
            <w:tcW w:w="1193" w:type="dxa"/>
            <w:gridSpan w:val="2"/>
            <w:tcBorders>
              <w:left w:val="nil"/>
              <w:right w:val="nil"/>
            </w:tcBorders>
            <w:shd w:val="clear" w:color="auto" w:fill="auto"/>
            <w:vAlign w:val="bottom"/>
          </w:tcPr>
          <w:p w14:paraId="231EE859" w14:textId="0DF8925D" w:rsidR="00EF69AD" w:rsidRPr="005F2A60" w:rsidRDefault="00EF69AD" w:rsidP="00EF69AD">
            <w:pPr>
              <w:spacing w:line="160" w:lineRule="exact"/>
              <w:ind w:left="-57" w:right="28"/>
              <w:jc w:val="right"/>
              <w:rPr>
                <w:bCs w:val="0"/>
                <w:sz w:val="12"/>
                <w:szCs w:val="12"/>
              </w:rPr>
            </w:pPr>
            <w:r w:rsidRPr="00CD6DD8">
              <w:rPr>
                <w:bCs w:val="0"/>
                <w:sz w:val="12"/>
                <w:szCs w:val="12"/>
              </w:rPr>
              <w:t>264.476.392.64</w:t>
            </w:r>
            <w:r>
              <w:rPr>
                <w:bCs w:val="0"/>
                <w:sz w:val="12"/>
                <w:szCs w:val="12"/>
              </w:rPr>
              <w:t>8</w:t>
            </w:r>
          </w:p>
        </w:tc>
        <w:tc>
          <w:tcPr>
            <w:tcW w:w="1417" w:type="dxa"/>
            <w:gridSpan w:val="2"/>
            <w:tcBorders>
              <w:left w:val="nil"/>
              <w:bottom w:val="nil"/>
              <w:right w:val="nil"/>
            </w:tcBorders>
            <w:shd w:val="clear" w:color="auto" w:fill="auto"/>
            <w:vAlign w:val="bottom"/>
          </w:tcPr>
          <w:p w14:paraId="73C45CAB" w14:textId="7DC753A8" w:rsidR="00EF69AD" w:rsidRPr="005F2A60" w:rsidRDefault="00EF69AD" w:rsidP="00EF69AD">
            <w:pPr>
              <w:tabs>
                <w:tab w:val="left" w:pos="1360"/>
                <w:tab w:val="left" w:pos="1410"/>
              </w:tabs>
              <w:spacing w:line="160" w:lineRule="exact"/>
              <w:ind w:right="72"/>
              <w:jc w:val="right"/>
              <w:rPr>
                <w:i/>
                <w:color w:val="1D1B11"/>
                <w:sz w:val="14"/>
                <w:szCs w:val="14"/>
              </w:rPr>
            </w:pPr>
            <w:r w:rsidRPr="001775FB">
              <w:rPr>
                <w:i/>
                <w:color w:val="1D1B11"/>
                <w:sz w:val="14"/>
                <w:szCs w:val="14"/>
              </w:rPr>
              <w:t>Buildings</w:t>
            </w:r>
          </w:p>
        </w:tc>
      </w:tr>
      <w:tr w:rsidR="00EF69AD" w:rsidRPr="005F2A60" w14:paraId="2118E29F" w14:textId="77777777" w:rsidTr="003734F4">
        <w:trPr>
          <w:gridAfter w:val="1"/>
          <w:wAfter w:w="20" w:type="dxa"/>
          <w:cantSplit/>
        </w:trPr>
        <w:tc>
          <w:tcPr>
            <w:tcW w:w="1877" w:type="dxa"/>
            <w:tcBorders>
              <w:left w:val="nil"/>
              <w:right w:val="nil"/>
            </w:tcBorders>
            <w:shd w:val="clear" w:color="auto" w:fill="auto"/>
            <w:vAlign w:val="bottom"/>
          </w:tcPr>
          <w:p w14:paraId="35B195A0" w14:textId="77777777" w:rsidR="00EF69AD" w:rsidRPr="005F2A60" w:rsidRDefault="00EF69AD" w:rsidP="00EF69AD">
            <w:pPr>
              <w:spacing w:line="160" w:lineRule="exact"/>
              <w:ind w:left="680" w:right="74" w:hanging="255"/>
              <w:rPr>
                <w:bCs w:val="0"/>
                <w:sz w:val="14"/>
                <w:szCs w:val="14"/>
              </w:rPr>
            </w:pPr>
            <w:r w:rsidRPr="005F2A60">
              <w:rPr>
                <w:bCs w:val="0"/>
                <w:sz w:val="14"/>
                <w:szCs w:val="14"/>
              </w:rPr>
              <w:t>Peralatan kesehatan</w:t>
            </w:r>
          </w:p>
        </w:tc>
        <w:tc>
          <w:tcPr>
            <w:tcW w:w="1134" w:type="dxa"/>
            <w:tcBorders>
              <w:left w:val="nil"/>
              <w:right w:val="nil"/>
            </w:tcBorders>
            <w:shd w:val="clear" w:color="auto" w:fill="auto"/>
            <w:vAlign w:val="bottom"/>
          </w:tcPr>
          <w:p w14:paraId="78C5D9E9" w14:textId="7013F259" w:rsidR="00EF69AD" w:rsidRPr="005F2A60" w:rsidRDefault="00EF69AD" w:rsidP="00EF69AD">
            <w:pPr>
              <w:spacing w:line="160" w:lineRule="exact"/>
              <w:ind w:left="-57" w:right="28"/>
              <w:jc w:val="right"/>
              <w:rPr>
                <w:bCs w:val="0"/>
                <w:sz w:val="12"/>
                <w:szCs w:val="12"/>
              </w:rPr>
            </w:pPr>
            <w:r w:rsidRPr="001775FB">
              <w:rPr>
                <w:bCs w:val="0"/>
                <w:sz w:val="12"/>
                <w:szCs w:val="12"/>
              </w:rPr>
              <w:t>707.422.206</w:t>
            </w:r>
          </w:p>
        </w:tc>
        <w:tc>
          <w:tcPr>
            <w:tcW w:w="83" w:type="dxa"/>
            <w:tcBorders>
              <w:left w:val="nil"/>
              <w:right w:val="nil"/>
            </w:tcBorders>
            <w:shd w:val="clear" w:color="auto" w:fill="auto"/>
            <w:vAlign w:val="bottom"/>
          </w:tcPr>
          <w:p w14:paraId="5945C816" w14:textId="77777777" w:rsidR="00EF69AD" w:rsidRPr="005F2A60" w:rsidRDefault="00EF69AD" w:rsidP="00EF69AD">
            <w:pPr>
              <w:jc w:val="right"/>
              <w:rPr>
                <w:bCs w:val="0"/>
                <w:sz w:val="12"/>
                <w:szCs w:val="12"/>
              </w:rPr>
            </w:pPr>
          </w:p>
        </w:tc>
        <w:tc>
          <w:tcPr>
            <w:tcW w:w="1051" w:type="dxa"/>
            <w:tcBorders>
              <w:left w:val="nil"/>
              <w:right w:val="nil"/>
            </w:tcBorders>
            <w:shd w:val="clear" w:color="auto" w:fill="auto"/>
            <w:vAlign w:val="bottom"/>
          </w:tcPr>
          <w:p w14:paraId="6519EB5A" w14:textId="784EEAD5" w:rsidR="00EF69AD" w:rsidRPr="005F2A60" w:rsidRDefault="00EF69AD" w:rsidP="00EF69AD">
            <w:pPr>
              <w:ind w:right="57"/>
              <w:jc w:val="right"/>
              <w:rPr>
                <w:bCs w:val="0"/>
                <w:sz w:val="12"/>
                <w:szCs w:val="12"/>
              </w:rPr>
            </w:pPr>
            <w:r w:rsidRPr="001775FB">
              <w:rPr>
                <w:bCs w:val="0"/>
                <w:sz w:val="12"/>
                <w:szCs w:val="12"/>
              </w:rPr>
              <w:t>26.779.646.969</w:t>
            </w:r>
          </w:p>
        </w:tc>
        <w:tc>
          <w:tcPr>
            <w:tcW w:w="91" w:type="dxa"/>
            <w:tcBorders>
              <w:left w:val="nil"/>
              <w:right w:val="nil"/>
            </w:tcBorders>
            <w:shd w:val="clear" w:color="auto" w:fill="auto"/>
            <w:vAlign w:val="bottom"/>
          </w:tcPr>
          <w:p w14:paraId="2E66C319" w14:textId="77777777" w:rsidR="00EF69AD" w:rsidRPr="005F2A60" w:rsidRDefault="00EF69AD" w:rsidP="00EF69AD">
            <w:pPr>
              <w:jc w:val="right"/>
              <w:rPr>
                <w:bCs w:val="0"/>
                <w:sz w:val="12"/>
                <w:szCs w:val="12"/>
              </w:rPr>
            </w:pPr>
          </w:p>
        </w:tc>
        <w:tc>
          <w:tcPr>
            <w:tcW w:w="83" w:type="dxa"/>
            <w:tcBorders>
              <w:left w:val="nil"/>
              <w:right w:val="nil"/>
            </w:tcBorders>
            <w:shd w:val="clear" w:color="auto" w:fill="auto"/>
            <w:vAlign w:val="bottom"/>
          </w:tcPr>
          <w:p w14:paraId="2E7F18A7" w14:textId="77777777" w:rsidR="00EF69AD" w:rsidRPr="005F2A60" w:rsidRDefault="00EF69AD" w:rsidP="00EF69AD">
            <w:pPr>
              <w:jc w:val="right"/>
              <w:rPr>
                <w:bCs w:val="0"/>
                <w:sz w:val="12"/>
                <w:szCs w:val="12"/>
              </w:rPr>
            </w:pPr>
          </w:p>
        </w:tc>
        <w:tc>
          <w:tcPr>
            <w:tcW w:w="960" w:type="dxa"/>
            <w:gridSpan w:val="3"/>
            <w:tcBorders>
              <w:left w:val="nil"/>
              <w:right w:val="nil"/>
            </w:tcBorders>
            <w:shd w:val="clear" w:color="auto" w:fill="auto"/>
          </w:tcPr>
          <w:p w14:paraId="5CE183FA" w14:textId="667FD929" w:rsidR="00EF69AD" w:rsidRPr="005F2A60" w:rsidRDefault="00EF69AD" w:rsidP="00EF69AD">
            <w:pPr>
              <w:ind w:left="-57" w:right="28"/>
              <w:jc w:val="right"/>
              <w:rPr>
                <w:bCs w:val="0"/>
                <w:sz w:val="12"/>
                <w:szCs w:val="12"/>
              </w:rPr>
            </w:pPr>
            <w:r w:rsidRPr="00093478">
              <w:rPr>
                <w:bCs w:val="0"/>
                <w:sz w:val="12"/>
                <w:szCs w:val="12"/>
              </w:rPr>
              <w:t>-</w:t>
            </w:r>
          </w:p>
        </w:tc>
        <w:tc>
          <w:tcPr>
            <w:tcW w:w="83" w:type="dxa"/>
            <w:gridSpan w:val="2"/>
            <w:tcBorders>
              <w:left w:val="nil"/>
              <w:right w:val="nil"/>
            </w:tcBorders>
            <w:shd w:val="clear" w:color="auto" w:fill="auto"/>
            <w:vAlign w:val="bottom"/>
          </w:tcPr>
          <w:p w14:paraId="5290E855" w14:textId="77777777" w:rsidR="00EF69AD" w:rsidRPr="005F2A60" w:rsidRDefault="00EF69AD" w:rsidP="00EF69AD">
            <w:pPr>
              <w:ind w:right="28"/>
              <w:jc w:val="right"/>
              <w:rPr>
                <w:bCs w:val="0"/>
                <w:sz w:val="12"/>
                <w:szCs w:val="12"/>
              </w:rPr>
            </w:pPr>
          </w:p>
        </w:tc>
        <w:tc>
          <w:tcPr>
            <w:tcW w:w="1051" w:type="dxa"/>
            <w:gridSpan w:val="3"/>
            <w:tcBorders>
              <w:left w:val="nil"/>
              <w:right w:val="nil"/>
            </w:tcBorders>
            <w:vAlign w:val="bottom"/>
          </w:tcPr>
          <w:p w14:paraId="1C2DEEE8" w14:textId="7334B916" w:rsidR="00EF69AD" w:rsidRPr="005F2A60" w:rsidRDefault="00EF69AD" w:rsidP="00EF69AD">
            <w:pPr>
              <w:ind w:left="-57" w:right="28"/>
              <w:jc w:val="right"/>
              <w:rPr>
                <w:bCs w:val="0"/>
                <w:sz w:val="12"/>
                <w:szCs w:val="12"/>
              </w:rPr>
            </w:pPr>
            <w:r w:rsidRPr="001775FB">
              <w:rPr>
                <w:bCs w:val="0"/>
                <w:sz w:val="12"/>
                <w:szCs w:val="12"/>
                <w:lang w:val="id-ID"/>
              </w:rPr>
              <w:t>-</w:t>
            </w:r>
          </w:p>
        </w:tc>
        <w:tc>
          <w:tcPr>
            <w:tcW w:w="83" w:type="dxa"/>
            <w:tcBorders>
              <w:left w:val="nil"/>
              <w:right w:val="nil"/>
            </w:tcBorders>
            <w:vAlign w:val="bottom"/>
          </w:tcPr>
          <w:p w14:paraId="2932EE95" w14:textId="77777777" w:rsidR="00EF69AD" w:rsidRPr="005F2A60" w:rsidRDefault="00EF69AD" w:rsidP="00EF69AD">
            <w:pPr>
              <w:ind w:left="-57" w:right="28"/>
              <w:jc w:val="right"/>
              <w:rPr>
                <w:bCs w:val="0"/>
                <w:sz w:val="12"/>
                <w:szCs w:val="12"/>
              </w:rPr>
            </w:pPr>
          </w:p>
        </w:tc>
        <w:tc>
          <w:tcPr>
            <w:tcW w:w="1193" w:type="dxa"/>
            <w:gridSpan w:val="2"/>
            <w:tcBorders>
              <w:left w:val="nil"/>
              <w:right w:val="nil"/>
            </w:tcBorders>
            <w:shd w:val="clear" w:color="auto" w:fill="auto"/>
            <w:vAlign w:val="bottom"/>
          </w:tcPr>
          <w:p w14:paraId="21F79BBA" w14:textId="5243D100" w:rsidR="00EF69AD" w:rsidRPr="005F2A60" w:rsidRDefault="00EF69AD" w:rsidP="00EF69AD">
            <w:pPr>
              <w:ind w:left="-57" w:right="28"/>
              <w:jc w:val="right"/>
              <w:rPr>
                <w:bCs w:val="0"/>
                <w:sz w:val="12"/>
                <w:szCs w:val="12"/>
              </w:rPr>
            </w:pPr>
            <w:r w:rsidRPr="002E233F">
              <w:rPr>
                <w:bCs w:val="0"/>
                <w:sz w:val="12"/>
                <w:szCs w:val="12"/>
              </w:rPr>
              <w:t>27.487.069.175</w:t>
            </w:r>
          </w:p>
        </w:tc>
        <w:tc>
          <w:tcPr>
            <w:tcW w:w="1417" w:type="dxa"/>
            <w:gridSpan w:val="2"/>
            <w:tcBorders>
              <w:left w:val="nil"/>
              <w:right w:val="nil"/>
            </w:tcBorders>
            <w:shd w:val="clear" w:color="auto" w:fill="auto"/>
            <w:vAlign w:val="bottom"/>
          </w:tcPr>
          <w:p w14:paraId="331E00FE" w14:textId="781902BF" w:rsidR="00EF69AD" w:rsidRPr="005F2A60" w:rsidRDefault="00EF69AD" w:rsidP="00EF69AD">
            <w:pPr>
              <w:tabs>
                <w:tab w:val="left" w:pos="1360"/>
                <w:tab w:val="left" w:pos="1410"/>
              </w:tabs>
              <w:ind w:right="72"/>
              <w:jc w:val="right"/>
              <w:rPr>
                <w:i/>
                <w:sz w:val="14"/>
                <w:szCs w:val="14"/>
              </w:rPr>
            </w:pPr>
            <w:r w:rsidRPr="001775FB">
              <w:rPr>
                <w:i/>
                <w:iCs/>
                <w:sz w:val="14"/>
                <w:szCs w:val="14"/>
              </w:rPr>
              <w:t>Vehicles</w:t>
            </w:r>
          </w:p>
        </w:tc>
      </w:tr>
      <w:tr w:rsidR="00EF69AD" w:rsidRPr="005F2A60" w14:paraId="4F5169FC" w14:textId="77777777" w:rsidTr="003734F4">
        <w:trPr>
          <w:gridAfter w:val="1"/>
          <w:wAfter w:w="20" w:type="dxa"/>
          <w:cantSplit/>
        </w:trPr>
        <w:tc>
          <w:tcPr>
            <w:tcW w:w="1877" w:type="dxa"/>
            <w:tcBorders>
              <w:left w:val="nil"/>
              <w:right w:val="nil"/>
            </w:tcBorders>
            <w:shd w:val="clear" w:color="auto" w:fill="auto"/>
            <w:vAlign w:val="bottom"/>
          </w:tcPr>
          <w:p w14:paraId="067108AB" w14:textId="302D8954" w:rsidR="00EF69AD" w:rsidRPr="005F2A60" w:rsidRDefault="00EF69AD" w:rsidP="00EF69AD">
            <w:pPr>
              <w:spacing w:line="160" w:lineRule="exact"/>
              <w:ind w:left="680" w:right="74" w:hanging="255"/>
              <w:rPr>
                <w:bCs w:val="0"/>
                <w:sz w:val="14"/>
                <w:szCs w:val="14"/>
              </w:rPr>
            </w:pPr>
            <w:r w:rsidRPr="001775FB">
              <w:rPr>
                <w:bCs w:val="0"/>
                <w:sz w:val="14"/>
                <w:szCs w:val="14"/>
              </w:rPr>
              <w:t>Mesin</w:t>
            </w:r>
          </w:p>
        </w:tc>
        <w:tc>
          <w:tcPr>
            <w:tcW w:w="1134" w:type="dxa"/>
            <w:tcBorders>
              <w:left w:val="nil"/>
              <w:right w:val="nil"/>
            </w:tcBorders>
            <w:shd w:val="clear" w:color="auto" w:fill="auto"/>
            <w:vAlign w:val="bottom"/>
          </w:tcPr>
          <w:p w14:paraId="39662D36" w14:textId="48454661" w:rsidR="00EF69AD" w:rsidRPr="001775FB" w:rsidRDefault="00EF69AD" w:rsidP="00EF69AD">
            <w:pPr>
              <w:spacing w:line="160" w:lineRule="exact"/>
              <w:ind w:left="-57" w:right="28"/>
              <w:jc w:val="right"/>
              <w:rPr>
                <w:bCs w:val="0"/>
                <w:sz w:val="12"/>
                <w:szCs w:val="12"/>
              </w:rPr>
            </w:pPr>
            <w:r w:rsidRPr="001775FB">
              <w:rPr>
                <w:bCs w:val="0"/>
                <w:sz w:val="12"/>
                <w:szCs w:val="12"/>
                <w:lang w:val="id-ID"/>
              </w:rPr>
              <w:t>-</w:t>
            </w:r>
          </w:p>
        </w:tc>
        <w:tc>
          <w:tcPr>
            <w:tcW w:w="83" w:type="dxa"/>
            <w:tcBorders>
              <w:left w:val="nil"/>
              <w:right w:val="nil"/>
            </w:tcBorders>
            <w:shd w:val="clear" w:color="auto" w:fill="auto"/>
            <w:vAlign w:val="bottom"/>
          </w:tcPr>
          <w:p w14:paraId="1FE14716" w14:textId="77777777" w:rsidR="00EF69AD" w:rsidRPr="005F2A60" w:rsidRDefault="00EF69AD" w:rsidP="00EF69AD">
            <w:pPr>
              <w:jc w:val="right"/>
              <w:rPr>
                <w:bCs w:val="0"/>
                <w:sz w:val="12"/>
                <w:szCs w:val="12"/>
              </w:rPr>
            </w:pPr>
          </w:p>
        </w:tc>
        <w:tc>
          <w:tcPr>
            <w:tcW w:w="1051" w:type="dxa"/>
            <w:tcBorders>
              <w:left w:val="nil"/>
              <w:right w:val="nil"/>
            </w:tcBorders>
            <w:shd w:val="clear" w:color="auto" w:fill="auto"/>
            <w:vAlign w:val="bottom"/>
          </w:tcPr>
          <w:p w14:paraId="2070E1FF" w14:textId="0693D529" w:rsidR="00EF69AD" w:rsidRPr="005F2A60" w:rsidRDefault="00EF69AD" w:rsidP="00EF69AD">
            <w:pPr>
              <w:ind w:right="57"/>
              <w:jc w:val="right"/>
              <w:rPr>
                <w:bCs w:val="0"/>
                <w:sz w:val="12"/>
                <w:szCs w:val="12"/>
              </w:rPr>
            </w:pPr>
            <w:r w:rsidRPr="001775FB">
              <w:rPr>
                <w:bCs w:val="0"/>
                <w:sz w:val="12"/>
                <w:szCs w:val="12"/>
                <w:lang w:val="id-ID"/>
              </w:rPr>
              <w:t>4.410.859.000</w:t>
            </w:r>
          </w:p>
        </w:tc>
        <w:tc>
          <w:tcPr>
            <w:tcW w:w="91" w:type="dxa"/>
            <w:tcBorders>
              <w:left w:val="nil"/>
              <w:right w:val="nil"/>
            </w:tcBorders>
            <w:shd w:val="clear" w:color="auto" w:fill="auto"/>
            <w:vAlign w:val="bottom"/>
          </w:tcPr>
          <w:p w14:paraId="259AC6A9" w14:textId="77777777" w:rsidR="00EF69AD" w:rsidRPr="005F2A60" w:rsidRDefault="00EF69AD" w:rsidP="00EF69AD">
            <w:pPr>
              <w:jc w:val="right"/>
              <w:rPr>
                <w:bCs w:val="0"/>
                <w:sz w:val="12"/>
                <w:szCs w:val="12"/>
              </w:rPr>
            </w:pPr>
          </w:p>
        </w:tc>
        <w:tc>
          <w:tcPr>
            <w:tcW w:w="83" w:type="dxa"/>
            <w:tcBorders>
              <w:left w:val="nil"/>
              <w:right w:val="nil"/>
            </w:tcBorders>
            <w:shd w:val="clear" w:color="auto" w:fill="auto"/>
            <w:vAlign w:val="bottom"/>
          </w:tcPr>
          <w:p w14:paraId="23114F9D" w14:textId="77777777" w:rsidR="00EF69AD" w:rsidRPr="005F2A60" w:rsidRDefault="00EF69AD" w:rsidP="00EF69AD">
            <w:pPr>
              <w:jc w:val="right"/>
              <w:rPr>
                <w:bCs w:val="0"/>
                <w:sz w:val="12"/>
                <w:szCs w:val="12"/>
              </w:rPr>
            </w:pPr>
          </w:p>
        </w:tc>
        <w:tc>
          <w:tcPr>
            <w:tcW w:w="960" w:type="dxa"/>
            <w:gridSpan w:val="3"/>
            <w:tcBorders>
              <w:left w:val="nil"/>
              <w:right w:val="nil"/>
            </w:tcBorders>
            <w:shd w:val="clear" w:color="auto" w:fill="auto"/>
          </w:tcPr>
          <w:p w14:paraId="6A280C87" w14:textId="51BAEBDC" w:rsidR="00EF69AD" w:rsidRPr="005F2A60" w:rsidRDefault="00EF69AD" w:rsidP="00EF69AD">
            <w:pPr>
              <w:ind w:left="-57" w:right="28"/>
              <w:jc w:val="right"/>
              <w:rPr>
                <w:bCs w:val="0"/>
                <w:sz w:val="12"/>
                <w:szCs w:val="12"/>
              </w:rPr>
            </w:pPr>
            <w:r w:rsidRPr="00093478">
              <w:rPr>
                <w:bCs w:val="0"/>
                <w:sz w:val="12"/>
                <w:szCs w:val="12"/>
              </w:rPr>
              <w:t>-</w:t>
            </w:r>
          </w:p>
        </w:tc>
        <w:tc>
          <w:tcPr>
            <w:tcW w:w="83" w:type="dxa"/>
            <w:gridSpan w:val="2"/>
            <w:tcBorders>
              <w:left w:val="nil"/>
              <w:right w:val="nil"/>
            </w:tcBorders>
            <w:shd w:val="clear" w:color="auto" w:fill="auto"/>
            <w:vAlign w:val="bottom"/>
          </w:tcPr>
          <w:p w14:paraId="1D7596B9" w14:textId="77777777" w:rsidR="00EF69AD" w:rsidRPr="005F2A60" w:rsidRDefault="00EF69AD" w:rsidP="00EF69AD">
            <w:pPr>
              <w:ind w:right="28"/>
              <w:jc w:val="right"/>
              <w:rPr>
                <w:bCs w:val="0"/>
                <w:sz w:val="12"/>
                <w:szCs w:val="12"/>
              </w:rPr>
            </w:pPr>
          </w:p>
        </w:tc>
        <w:tc>
          <w:tcPr>
            <w:tcW w:w="1051" w:type="dxa"/>
            <w:gridSpan w:val="3"/>
            <w:tcBorders>
              <w:left w:val="nil"/>
              <w:right w:val="nil"/>
            </w:tcBorders>
            <w:vAlign w:val="bottom"/>
          </w:tcPr>
          <w:p w14:paraId="4323FE77" w14:textId="48AD7C8C" w:rsidR="00EF69AD" w:rsidRPr="005F2A60" w:rsidRDefault="00EF69AD" w:rsidP="00EF69AD">
            <w:pPr>
              <w:ind w:left="-57" w:right="28"/>
              <w:jc w:val="right"/>
              <w:rPr>
                <w:bCs w:val="0"/>
                <w:sz w:val="12"/>
                <w:szCs w:val="12"/>
              </w:rPr>
            </w:pPr>
            <w:r w:rsidRPr="001775FB">
              <w:rPr>
                <w:bCs w:val="0"/>
                <w:sz w:val="12"/>
                <w:szCs w:val="12"/>
                <w:lang w:val="id-ID"/>
              </w:rPr>
              <w:t>-</w:t>
            </w:r>
          </w:p>
        </w:tc>
        <w:tc>
          <w:tcPr>
            <w:tcW w:w="83" w:type="dxa"/>
            <w:tcBorders>
              <w:left w:val="nil"/>
              <w:right w:val="nil"/>
            </w:tcBorders>
            <w:vAlign w:val="bottom"/>
          </w:tcPr>
          <w:p w14:paraId="56E5EB1A" w14:textId="77777777" w:rsidR="00EF69AD" w:rsidRPr="005F2A60" w:rsidRDefault="00EF69AD" w:rsidP="00EF69AD">
            <w:pPr>
              <w:ind w:left="-57" w:right="28"/>
              <w:jc w:val="right"/>
              <w:rPr>
                <w:bCs w:val="0"/>
                <w:sz w:val="12"/>
                <w:szCs w:val="12"/>
              </w:rPr>
            </w:pPr>
          </w:p>
        </w:tc>
        <w:tc>
          <w:tcPr>
            <w:tcW w:w="1193" w:type="dxa"/>
            <w:gridSpan w:val="2"/>
            <w:tcBorders>
              <w:left w:val="nil"/>
              <w:right w:val="nil"/>
            </w:tcBorders>
            <w:shd w:val="clear" w:color="auto" w:fill="auto"/>
            <w:vAlign w:val="bottom"/>
          </w:tcPr>
          <w:p w14:paraId="4D793669" w14:textId="0EB5E018" w:rsidR="00EF69AD" w:rsidRPr="005F2A60" w:rsidRDefault="00EF69AD" w:rsidP="00EF69AD">
            <w:pPr>
              <w:ind w:left="-57" w:right="28"/>
              <w:jc w:val="right"/>
              <w:rPr>
                <w:w w:val="105"/>
                <w:sz w:val="12"/>
                <w:szCs w:val="12"/>
              </w:rPr>
            </w:pPr>
            <w:r w:rsidRPr="001775FB">
              <w:rPr>
                <w:bCs w:val="0"/>
                <w:sz w:val="12"/>
                <w:szCs w:val="12"/>
              </w:rPr>
              <w:t>4.410.859.000</w:t>
            </w:r>
          </w:p>
        </w:tc>
        <w:tc>
          <w:tcPr>
            <w:tcW w:w="1417" w:type="dxa"/>
            <w:gridSpan w:val="2"/>
            <w:tcBorders>
              <w:left w:val="nil"/>
              <w:right w:val="nil"/>
            </w:tcBorders>
            <w:shd w:val="clear" w:color="auto" w:fill="auto"/>
            <w:vAlign w:val="bottom"/>
          </w:tcPr>
          <w:p w14:paraId="3E293E8D" w14:textId="728B5684" w:rsidR="00EF69AD" w:rsidRPr="005F2A60" w:rsidRDefault="00EF69AD" w:rsidP="00EF69AD">
            <w:pPr>
              <w:tabs>
                <w:tab w:val="left" w:pos="1360"/>
                <w:tab w:val="left" w:pos="1410"/>
              </w:tabs>
              <w:ind w:right="72"/>
              <w:jc w:val="right"/>
              <w:rPr>
                <w:i/>
                <w:iCs/>
                <w:sz w:val="14"/>
                <w:szCs w:val="14"/>
              </w:rPr>
            </w:pPr>
            <w:r w:rsidRPr="001775FB">
              <w:rPr>
                <w:i/>
                <w:iCs/>
                <w:sz w:val="14"/>
                <w:szCs w:val="14"/>
              </w:rPr>
              <w:t>Mechine</w:t>
            </w:r>
          </w:p>
        </w:tc>
      </w:tr>
      <w:tr w:rsidR="00EF69AD" w:rsidRPr="005F2A60" w14:paraId="7493600C" w14:textId="77777777" w:rsidTr="003734F4">
        <w:trPr>
          <w:gridAfter w:val="1"/>
          <w:wAfter w:w="20" w:type="dxa"/>
          <w:cantSplit/>
        </w:trPr>
        <w:tc>
          <w:tcPr>
            <w:tcW w:w="1877" w:type="dxa"/>
            <w:tcBorders>
              <w:left w:val="nil"/>
              <w:right w:val="nil"/>
            </w:tcBorders>
            <w:shd w:val="clear" w:color="auto" w:fill="auto"/>
            <w:vAlign w:val="bottom"/>
          </w:tcPr>
          <w:p w14:paraId="6E617A7B" w14:textId="5DFA3727" w:rsidR="00EF69AD" w:rsidRPr="005F2A60" w:rsidRDefault="00EF69AD" w:rsidP="00EF69AD">
            <w:pPr>
              <w:spacing w:line="160" w:lineRule="exact"/>
              <w:ind w:left="680" w:right="74" w:hanging="255"/>
              <w:rPr>
                <w:bCs w:val="0"/>
                <w:sz w:val="14"/>
                <w:szCs w:val="14"/>
              </w:rPr>
            </w:pPr>
            <w:r w:rsidRPr="001775FB">
              <w:rPr>
                <w:bCs w:val="0"/>
                <w:sz w:val="14"/>
                <w:szCs w:val="14"/>
              </w:rPr>
              <w:t>Perabotan dan perlengkapan</w:t>
            </w:r>
          </w:p>
        </w:tc>
        <w:tc>
          <w:tcPr>
            <w:tcW w:w="1134" w:type="dxa"/>
            <w:tcBorders>
              <w:left w:val="nil"/>
              <w:right w:val="nil"/>
            </w:tcBorders>
            <w:shd w:val="clear" w:color="auto" w:fill="auto"/>
            <w:vAlign w:val="bottom"/>
          </w:tcPr>
          <w:p w14:paraId="2CA4B19A" w14:textId="24A9CF6E" w:rsidR="00EF69AD" w:rsidRPr="001775FB" w:rsidRDefault="00EF69AD" w:rsidP="00EF69AD">
            <w:pPr>
              <w:spacing w:line="160" w:lineRule="exact"/>
              <w:ind w:left="-57" w:right="28"/>
              <w:jc w:val="right"/>
              <w:rPr>
                <w:bCs w:val="0"/>
                <w:sz w:val="12"/>
                <w:szCs w:val="12"/>
              </w:rPr>
            </w:pPr>
            <w:r w:rsidRPr="001775FB">
              <w:rPr>
                <w:bCs w:val="0"/>
                <w:sz w:val="12"/>
                <w:szCs w:val="12"/>
                <w:lang w:val="id-ID"/>
              </w:rPr>
              <w:t>-</w:t>
            </w:r>
          </w:p>
        </w:tc>
        <w:tc>
          <w:tcPr>
            <w:tcW w:w="83" w:type="dxa"/>
            <w:tcBorders>
              <w:left w:val="nil"/>
              <w:right w:val="nil"/>
            </w:tcBorders>
            <w:shd w:val="clear" w:color="auto" w:fill="auto"/>
            <w:vAlign w:val="bottom"/>
          </w:tcPr>
          <w:p w14:paraId="453E3098" w14:textId="77777777" w:rsidR="00EF69AD" w:rsidRPr="005F2A60" w:rsidRDefault="00EF69AD" w:rsidP="00EF69AD">
            <w:pPr>
              <w:jc w:val="right"/>
              <w:rPr>
                <w:bCs w:val="0"/>
                <w:sz w:val="12"/>
                <w:szCs w:val="12"/>
              </w:rPr>
            </w:pPr>
          </w:p>
        </w:tc>
        <w:tc>
          <w:tcPr>
            <w:tcW w:w="1051" w:type="dxa"/>
            <w:tcBorders>
              <w:left w:val="nil"/>
              <w:right w:val="nil"/>
            </w:tcBorders>
            <w:shd w:val="clear" w:color="auto" w:fill="auto"/>
            <w:vAlign w:val="bottom"/>
          </w:tcPr>
          <w:p w14:paraId="7DDB1447" w14:textId="70652909" w:rsidR="00EF69AD" w:rsidRPr="005F2A60" w:rsidRDefault="00EF69AD" w:rsidP="00EF69AD">
            <w:pPr>
              <w:ind w:right="57"/>
              <w:jc w:val="right"/>
              <w:rPr>
                <w:bCs w:val="0"/>
                <w:sz w:val="12"/>
                <w:szCs w:val="12"/>
              </w:rPr>
            </w:pPr>
            <w:r w:rsidRPr="001775FB">
              <w:rPr>
                <w:bCs w:val="0"/>
                <w:sz w:val="12"/>
                <w:szCs w:val="12"/>
                <w:lang w:val="id-ID"/>
              </w:rPr>
              <w:t>1.397.344.866</w:t>
            </w:r>
          </w:p>
        </w:tc>
        <w:tc>
          <w:tcPr>
            <w:tcW w:w="91" w:type="dxa"/>
            <w:tcBorders>
              <w:left w:val="nil"/>
              <w:right w:val="nil"/>
            </w:tcBorders>
            <w:shd w:val="clear" w:color="auto" w:fill="auto"/>
            <w:vAlign w:val="bottom"/>
          </w:tcPr>
          <w:p w14:paraId="58A5D88F" w14:textId="77777777" w:rsidR="00EF69AD" w:rsidRPr="005F2A60" w:rsidRDefault="00EF69AD" w:rsidP="00EF69AD">
            <w:pPr>
              <w:jc w:val="right"/>
              <w:rPr>
                <w:bCs w:val="0"/>
                <w:sz w:val="12"/>
                <w:szCs w:val="12"/>
              </w:rPr>
            </w:pPr>
          </w:p>
        </w:tc>
        <w:tc>
          <w:tcPr>
            <w:tcW w:w="83" w:type="dxa"/>
            <w:tcBorders>
              <w:left w:val="nil"/>
              <w:right w:val="nil"/>
            </w:tcBorders>
            <w:shd w:val="clear" w:color="auto" w:fill="auto"/>
            <w:vAlign w:val="bottom"/>
          </w:tcPr>
          <w:p w14:paraId="41F9A17C" w14:textId="77777777" w:rsidR="00EF69AD" w:rsidRPr="005F2A60" w:rsidRDefault="00EF69AD" w:rsidP="00EF69AD">
            <w:pPr>
              <w:jc w:val="right"/>
              <w:rPr>
                <w:bCs w:val="0"/>
                <w:sz w:val="12"/>
                <w:szCs w:val="12"/>
              </w:rPr>
            </w:pPr>
          </w:p>
        </w:tc>
        <w:tc>
          <w:tcPr>
            <w:tcW w:w="960" w:type="dxa"/>
            <w:gridSpan w:val="3"/>
            <w:tcBorders>
              <w:left w:val="nil"/>
              <w:right w:val="nil"/>
            </w:tcBorders>
            <w:shd w:val="clear" w:color="auto" w:fill="auto"/>
          </w:tcPr>
          <w:p w14:paraId="20B4DBB4" w14:textId="0AF73B54" w:rsidR="00EF69AD" w:rsidRPr="005F2A60" w:rsidRDefault="00EF69AD" w:rsidP="00EF69AD">
            <w:pPr>
              <w:ind w:left="-57" w:right="28"/>
              <w:jc w:val="right"/>
              <w:rPr>
                <w:bCs w:val="0"/>
                <w:sz w:val="12"/>
                <w:szCs w:val="12"/>
              </w:rPr>
            </w:pPr>
            <w:r w:rsidRPr="00093478">
              <w:rPr>
                <w:bCs w:val="0"/>
                <w:sz w:val="12"/>
                <w:szCs w:val="12"/>
              </w:rPr>
              <w:t>-</w:t>
            </w:r>
          </w:p>
        </w:tc>
        <w:tc>
          <w:tcPr>
            <w:tcW w:w="83" w:type="dxa"/>
            <w:gridSpan w:val="2"/>
            <w:tcBorders>
              <w:left w:val="nil"/>
              <w:right w:val="nil"/>
            </w:tcBorders>
            <w:shd w:val="clear" w:color="auto" w:fill="auto"/>
            <w:vAlign w:val="bottom"/>
          </w:tcPr>
          <w:p w14:paraId="555D5112" w14:textId="77777777" w:rsidR="00EF69AD" w:rsidRPr="005F2A60" w:rsidRDefault="00EF69AD" w:rsidP="00EF69AD">
            <w:pPr>
              <w:ind w:right="28"/>
              <w:jc w:val="right"/>
              <w:rPr>
                <w:bCs w:val="0"/>
                <w:sz w:val="12"/>
                <w:szCs w:val="12"/>
              </w:rPr>
            </w:pPr>
          </w:p>
        </w:tc>
        <w:tc>
          <w:tcPr>
            <w:tcW w:w="1051" w:type="dxa"/>
            <w:gridSpan w:val="3"/>
            <w:tcBorders>
              <w:left w:val="nil"/>
              <w:right w:val="nil"/>
            </w:tcBorders>
            <w:vAlign w:val="bottom"/>
          </w:tcPr>
          <w:p w14:paraId="77FC00B8" w14:textId="428FF4EE" w:rsidR="00EF69AD" w:rsidRPr="005F2A60" w:rsidRDefault="00EF69AD" w:rsidP="00EF69AD">
            <w:pPr>
              <w:ind w:left="-57" w:right="28"/>
              <w:jc w:val="right"/>
              <w:rPr>
                <w:bCs w:val="0"/>
                <w:sz w:val="12"/>
                <w:szCs w:val="12"/>
              </w:rPr>
            </w:pPr>
            <w:r w:rsidRPr="001775FB">
              <w:rPr>
                <w:bCs w:val="0"/>
                <w:sz w:val="12"/>
                <w:szCs w:val="12"/>
                <w:lang w:val="id-ID"/>
              </w:rPr>
              <w:t>-</w:t>
            </w:r>
          </w:p>
        </w:tc>
        <w:tc>
          <w:tcPr>
            <w:tcW w:w="83" w:type="dxa"/>
            <w:tcBorders>
              <w:left w:val="nil"/>
              <w:right w:val="nil"/>
            </w:tcBorders>
            <w:vAlign w:val="bottom"/>
          </w:tcPr>
          <w:p w14:paraId="19B4833D" w14:textId="77777777" w:rsidR="00EF69AD" w:rsidRPr="005F2A60" w:rsidRDefault="00EF69AD" w:rsidP="00EF69AD">
            <w:pPr>
              <w:ind w:left="-57" w:right="28"/>
              <w:jc w:val="right"/>
              <w:rPr>
                <w:bCs w:val="0"/>
                <w:sz w:val="12"/>
                <w:szCs w:val="12"/>
              </w:rPr>
            </w:pPr>
          </w:p>
        </w:tc>
        <w:tc>
          <w:tcPr>
            <w:tcW w:w="1193" w:type="dxa"/>
            <w:gridSpan w:val="2"/>
            <w:tcBorders>
              <w:left w:val="nil"/>
              <w:right w:val="nil"/>
            </w:tcBorders>
            <w:shd w:val="clear" w:color="auto" w:fill="auto"/>
            <w:vAlign w:val="bottom"/>
          </w:tcPr>
          <w:p w14:paraId="3D1B8052" w14:textId="7262AC31" w:rsidR="00EF69AD" w:rsidRPr="005F2A60" w:rsidRDefault="00EF69AD" w:rsidP="00EF69AD">
            <w:pPr>
              <w:ind w:left="-57" w:right="28"/>
              <w:jc w:val="right"/>
              <w:rPr>
                <w:w w:val="105"/>
                <w:sz w:val="12"/>
                <w:szCs w:val="12"/>
              </w:rPr>
            </w:pPr>
            <w:r w:rsidRPr="001775FB">
              <w:rPr>
                <w:bCs w:val="0"/>
                <w:sz w:val="12"/>
                <w:szCs w:val="12"/>
              </w:rPr>
              <w:t>1.397.344.866</w:t>
            </w:r>
          </w:p>
        </w:tc>
        <w:tc>
          <w:tcPr>
            <w:tcW w:w="1417" w:type="dxa"/>
            <w:gridSpan w:val="2"/>
            <w:tcBorders>
              <w:left w:val="nil"/>
              <w:right w:val="nil"/>
            </w:tcBorders>
            <w:shd w:val="clear" w:color="auto" w:fill="auto"/>
            <w:vAlign w:val="bottom"/>
          </w:tcPr>
          <w:p w14:paraId="6682ECFA" w14:textId="77777777" w:rsidR="00EF69AD" w:rsidRDefault="00EF69AD" w:rsidP="00EF69AD">
            <w:pPr>
              <w:tabs>
                <w:tab w:val="left" w:pos="1360"/>
                <w:tab w:val="left" w:pos="1410"/>
              </w:tabs>
              <w:ind w:right="72"/>
              <w:jc w:val="right"/>
              <w:rPr>
                <w:i/>
                <w:iCs/>
                <w:sz w:val="14"/>
                <w:szCs w:val="14"/>
              </w:rPr>
            </w:pPr>
            <w:r w:rsidRPr="001775FB">
              <w:rPr>
                <w:i/>
                <w:iCs/>
                <w:sz w:val="14"/>
                <w:szCs w:val="14"/>
              </w:rPr>
              <w:t xml:space="preserve">Funitures and </w:t>
            </w:r>
          </w:p>
          <w:p w14:paraId="6316965D" w14:textId="47CA29BB" w:rsidR="00EF69AD" w:rsidRPr="005F2A60" w:rsidRDefault="00EF69AD" w:rsidP="00EF69AD">
            <w:pPr>
              <w:tabs>
                <w:tab w:val="left" w:pos="1360"/>
                <w:tab w:val="left" w:pos="1410"/>
              </w:tabs>
              <w:ind w:right="72"/>
              <w:jc w:val="right"/>
              <w:rPr>
                <w:i/>
                <w:iCs/>
                <w:sz w:val="14"/>
                <w:szCs w:val="14"/>
              </w:rPr>
            </w:pPr>
            <w:r w:rsidRPr="008C5534">
              <w:rPr>
                <w:bCs w:val="0"/>
                <w:i/>
                <w:color w:val="1D1B11"/>
                <w:sz w:val="14"/>
                <w:szCs w:val="14"/>
              </w:rPr>
              <w:t>fixtures</w:t>
            </w:r>
          </w:p>
        </w:tc>
      </w:tr>
      <w:tr w:rsidR="00EF69AD" w:rsidRPr="005F2A60" w14:paraId="1F4EAFD4" w14:textId="77777777" w:rsidTr="003734F4">
        <w:trPr>
          <w:gridAfter w:val="1"/>
          <w:wAfter w:w="20" w:type="dxa"/>
          <w:cantSplit/>
        </w:trPr>
        <w:tc>
          <w:tcPr>
            <w:tcW w:w="1877" w:type="dxa"/>
            <w:tcBorders>
              <w:left w:val="nil"/>
              <w:right w:val="nil"/>
            </w:tcBorders>
            <w:shd w:val="clear" w:color="auto" w:fill="auto"/>
            <w:vAlign w:val="bottom"/>
          </w:tcPr>
          <w:p w14:paraId="7DE1D100" w14:textId="6322B2A0" w:rsidR="00EF69AD" w:rsidRPr="005F2A60" w:rsidRDefault="00EF69AD" w:rsidP="00EF69AD">
            <w:pPr>
              <w:spacing w:line="160" w:lineRule="exact"/>
              <w:ind w:left="680" w:right="74" w:hanging="255"/>
              <w:rPr>
                <w:bCs w:val="0"/>
                <w:sz w:val="14"/>
                <w:szCs w:val="14"/>
              </w:rPr>
            </w:pPr>
            <w:r w:rsidRPr="001775FB">
              <w:rPr>
                <w:bCs w:val="0"/>
                <w:sz w:val="14"/>
                <w:szCs w:val="14"/>
              </w:rPr>
              <w:t>Kendaraan</w:t>
            </w:r>
          </w:p>
        </w:tc>
        <w:tc>
          <w:tcPr>
            <w:tcW w:w="1134" w:type="dxa"/>
            <w:tcBorders>
              <w:left w:val="nil"/>
              <w:right w:val="nil"/>
            </w:tcBorders>
            <w:shd w:val="clear" w:color="auto" w:fill="auto"/>
            <w:vAlign w:val="bottom"/>
          </w:tcPr>
          <w:p w14:paraId="5B1BEC3A" w14:textId="218780C9" w:rsidR="00EF69AD" w:rsidRPr="001775FB" w:rsidRDefault="00EF69AD" w:rsidP="00EF69AD">
            <w:pPr>
              <w:spacing w:line="160" w:lineRule="exact"/>
              <w:ind w:left="-57" w:right="28"/>
              <w:jc w:val="right"/>
              <w:rPr>
                <w:bCs w:val="0"/>
                <w:sz w:val="12"/>
                <w:szCs w:val="12"/>
              </w:rPr>
            </w:pPr>
            <w:r w:rsidRPr="001775FB">
              <w:rPr>
                <w:bCs w:val="0"/>
                <w:sz w:val="12"/>
                <w:szCs w:val="12"/>
                <w:lang w:val="id-ID"/>
              </w:rPr>
              <w:t>-</w:t>
            </w:r>
          </w:p>
        </w:tc>
        <w:tc>
          <w:tcPr>
            <w:tcW w:w="83" w:type="dxa"/>
            <w:tcBorders>
              <w:left w:val="nil"/>
              <w:right w:val="nil"/>
            </w:tcBorders>
            <w:shd w:val="clear" w:color="auto" w:fill="auto"/>
            <w:vAlign w:val="bottom"/>
          </w:tcPr>
          <w:p w14:paraId="59425764" w14:textId="77777777" w:rsidR="00EF69AD" w:rsidRPr="005F2A60" w:rsidRDefault="00EF69AD" w:rsidP="00EF69AD">
            <w:pPr>
              <w:jc w:val="right"/>
              <w:rPr>
                <w:bCs w:val="0"/>
                <w:sz w:val="12"/>
                <w:szCs w:val="12"/>
              </w:rPr>
            </w:pPr>
          </w:p>
        </w:tc>
        <w:tc>
          <w:tcPr>
            <w:tcW w:w="1051" w:type="dxa"/>
            <w:tcBorders>
              <w:left w:val="nil"/>
              <w:right w:val="nil"/>
            </w:tcBorders>
            <w:shd w:val="clear" w:color="auto" w:fill="auto"/>
            <w:vAlign w:val="bottom"/>
          </w:tcPr>
          <w:p w14:paraId="611F8DDD" w14:textId="73E41F60" w:rsidR="00EF69AD" w:rsidRPr="005F2A60" w:rsidRDefault="00EF69AD" w:rsidP="00EF69AD">
            <w:pPr>
              <w:ind w:right="57"/>
              <w:jc w:val="right"/>
              <w:rPr>
                <w:bCs w:val="0"/>
                <w:sz w:val="12"/>
                <w:szCs w:val="12"/>
              </w:rPr>
            </w:pPr>
            <w:r w:rsidRPr="001775FB">
              <w:rPr>
                <w:bCs w:val="0"/>
                <w:sz w:val="12"/>
                <w:szCs w:val="12"/>
                <w:lang w:val="id-ID"/>
              </w:rPr>
              <w:t>876.550.000</w:t>
            </w:r>
          </w:p>
        </w:tc>
        <w:tc>
          <w:tcPr>
            <w:tcW w:w="91" w:type="dxa"/>
            <w:tcBorders>
              <w:left w:val="nil"/>
              <w:right w:val="nil"/>
            </w:tcBorders>
            <w:shd w:val="clear" w:color="auto" w:fill="auto"/>
            <w:vAlign w:val="bottom"/>
          </w:tcPr>
          <w:p w14:paraId="12923EC4" w14:textId="77777777" w:rsidR="00EF69AD" w:rsidRPr="005F2A60" w:rsidRDefault="00EF69AD" w:rsidP="00EF69AD">
            <w:pPr>
              <w:jc w:val="right"/>
              <w:rPr>
                <w:bCs w:val="0"/>
                <w:sz w:val="12"/>
                <w:szCs w:val="12"/>
              </w:rPr>
            </w:pPr>
          </w:p>
        </w:tc>
        <w:tc>
          <w:tcPr>
            <w:tcW w:w="83" w:type="dxa"/>
            <w:tcBorders>
              <w:left w:val="nil"/>
              <w:right w:val="nil"/>
            </w:tcBorders>
            <w:shd w:val="clear" w:color="auto" w:fill="auto"/>
            <w:vAlign w:val="bottom"/>
          </w:tcPr>
          <w:p w14:paraId="05D1071A" w14:textId="77777777" w:rsidR="00EF69AD" w:rsidRPr="005F2A60" w:rsidRDefault="00EF69AD" w:rsidP="00EF69AD">
            <w:pPr>
              <w:jc w:val="right"/>
              <w:rPr>
                <w:bCs w:val="0"/>
                <w:sz w:val="12"/>
                <w:szCs w:val="12"/>
              </w:rPr>
            </w:pPr>
          </w:p>
        </w:tc>
        <w:tc>
          <w:tcPr>
            <w:tcW w:w="960" w:type="dxa"/>
            <w:gridSpan w:val="3"/>
            <w:tcBorders>
              <w:left w:val="nil"/>
              <w:right w:val="nil"/>
            </w:tcBorders>
            <w:shd w:val="clear" w:color="auto" w:fill="auto"/>
          </w:tcPr>
          <w:p w14:paraId="3F0A3621" w14:textId="49ABC847" w:rsidR="00EF69AD" w:rsidRPr="005F2A60" w:rsidRDefault="00EF69AD" w:rsidP="00EF69AD">
            <w:pPr>
              <w:ind w:left="-57" w:right="28"/>
              <w:jc w:val="right"/>
              <w:rPr>
                <w:bCs w:val="0"/>
                <w:sz w:val="12"/>
                <w:szCs w:val="12"/>
              </w:rPr>
            </w:pPr>
            <w:r w:rsidRPr="00093478">
              <w:rPr>
                <w:bCs w:val="0"/>
                <w:sz w:val="12"/>
                <w:szCs w:val="12"/>
              </w:rPr>
              <w:t>-</w:t>
            </w:r>
          </w:p>
        </w:tc>
        <w:tc>
          <w:tcPr>
            <w:tcW w:w="83" w:type="dxa"/>
            <w:gridSpan w:val="2"/>
            <w:tcBorders>
              <w:left w:val="nil"/>
              <w:right w:val="nil"/>
            </w:tcBorders>
            <w:shd w:val="clear" w:color="auto" w:fill="auto"/>
            <w:vAlign w:val="bottom"/>
          </w:tcPr>
          <w:p w14:paraId="05CB66FC" w14:textId="77777777" w:rsidR="00EF69AD" w:rsidRPr="005F2A60" w:rsidRDefault="00EF69AD" w:rsidP="00EF69AD">
            <w:pPr>
              <w:ind w:right="28"/>
              <w:jc w:val="right"/>
              <w:rPr>
                <w:bCs w:val="0"/>
                <w:sz w:val="12"/>
                <w:szCs w:val="12"/>
              </w:rPr>
            </w:pPr>
          </w:p>
        </w:tc>
        <w:tc>
          <w:tcPr>
            <w:tcW w:w="1051" w:type="dxa"/>
            <w:gridSpan w:val="3"/>
            <w:tcBorders>
              <w:left w:val="nil"/>
              <w:right w:val="nil"/>
            </w:tcBorders>
            <w:vAlign w:val="bottom"/>
          </w:tcPr>
          <w:p w14:paraId="673A809A" w14:textId="27B421C8" w:rsidR="00EF69AD" w:rsidRPr="005F2A60" w:rsidRDefault="00EF69AD" w:rsidP="00EF69AD">
            <w:pPr>
              <w:ind w:left="-57" w:right="28"/>
              <w:jc w:val="right"/>
              <w:rPr>
                <w:bCs w:val="0"/>
                <w:sz w:val="12"/>
                <w:szCs w:val="12"/>
              </w:rPr>
            </w:pPr>
            <w:r w:rsidRPr="001775FB">
              <w:rPr>
                <w:bCs w:val="0"/>
                <w:sz w:val="12"/>
                <w:szCs w:val="12"/>
                <w:lang w:val="id-ID"/>
              </w:rPr>
              <w:t>-</w:t>
            </w:r>
          </w:p>
        </w:tc>
        <w:tc>
          <w:tcPr>
            <w:tcW w:w="83" w:type="dxa"/>
            <w:tcBorders>
              <w:left w:val="nil"/>
              <w:right w:val="nil"/>
            </w:tcBorders>
            <w:vAlign w:val="bottom"/>
          </w:tcPr>
          <w:p w14:paraId="4A64707B" w14:textId="77777777" w:rsidR="00EF69AD" w:rsidRPr="005F2A60" w:rsidRDefault="00EF69AD" w:rsidP="00EF69AD">
            <w:pPr>
              <w:ind w:left="-57" w:right="28"/>
              <w:jc w:val="right"/>
              <w:rPr>
                <w:bCs w:val="0"/>
                <w:sz w:val="12"/>
                <w:szCs w:val="12"/>
              </w:rPr>
            </w:pPr>
          </w:p>
        </w:tc>
        <w:tc>
          <w:tcPr>
            <w:tcW w:w="1193" w:type="dxa"/>
            <w:gridSpan w:val="2"/>
            <w:tcBorders>
              <w:left w:val="nil"/>
              <w:right w:val="nil"/>
            </w:tcBorders>
            <w:shd w:val="clear" w:color="auto" w:fill="auto"/>
            <w:vAlign w:val="bottom"/>
          </w:tcPr>
          <w:p w14:paraId="0A3C050A" w14:textId="4E74CBD6" w:rsidR="00EF69AD" w:rsidRPr="005F2A60" w:rsidRDefault="00EF69AD" w:rsidP="00EF69AD">
            <w:pPr>
              <w:ind w:left="-57" w:right="28"/>
              <w:jc w:val="right"/>
              <w:rPr>
                <w:w w:val="105"/>
                <w:sz w:val="12"/>
                <w:szCs w:val="12"/>
              </w:rPr>
            </w:pPr>
            <w:r w:rsidRPr="001775FB">
              <w:rPr>
                <w:bCs w:val="0"/>
                <w:sz w:val="12"/>
                <w:szCs w:val="12"/>
              </w:rPr>
              <w:t>876.550.000</w:t>
            </w:r>
          </w:p>
        </w:tc>
        <w:tc>
          <w:tcPr>
            <w:tcW w:w="1417" w:type="dxa"/>
            <w:gridSpan w:val="2"/>
            <w:tcBorders>
              <w:left w:val="nil"/>
              <w:right w:val="nil"/>
            </w:tcBorders>
            <w:shd w:val="clear" w:color="auto" w:fill="auto"/>
            <w:vAlign w:val="bottom"/>
          </w:tcPr>
          <w:p w14:paraId="3B9A08C1" w14:textId="31AFCEE4" w:rsidR="00EF69AD" w:rsidRPr="005F2A60" w:rsidRDefault="00EF69AD" w:rsidP="00EF69AD">
            <w:pPr>
              <w:tabs>
                <w:tab w:val="left" w:pos="1360"/>
                <w:tab w:val="left" w:pos="1410"/>
              </w:tabs>
              <w:ind w:right="72"/>
              <w:jc w:val="right"/>
              <w:rPr>
                <w:i/>
                <w:iCs/>
                <w:sz w:val="14"/>
                <w:szCs w:val="14"/>
              </w:rPr>
            </w:pPr>
            <w:r w:rsidRPr="001775FB">
              <w:rPr>
                <w:i/>
                <w:iCs/>
                <w:sz w:val="14"/>
                <w:szCs w:val="14"/>
              </w:rPr>
              <w:t>Vehicles</w:t>
            </w:r>
          </w:p>
        </w:tc>
      </w:tr>
      <w:tr w:rsidR="00EF69AD" w:rsidRPr="005F2A60" w14:paraId="51ED0611" w14:textId="77777777" w:rsidTr="003734F4">
        <w:trPr>
          <w:gridAfter w:val="1"/>
          <w:wAfter w:w="20" w:type="dxa"/>
          <w:cantSplit/>
        </w:trPr>
        <w:tc>
          <w:tcPr>
            <w:tcW w:w="1877" w:type="dxa"/>
            <w:tcBorders>
              <w:left w:val="nil"/>
              <w:right w:val="nil"/>
            </w:tcBorders>
            <w:shd w:val="clear" w:color="auto" w:fill="auto"/>
            <w:vAlign w:val="bottom"/>
          </w:tcPr>
          <w:p w14:paraId="10C313CF" w14:textId="452B8DB3" w:rsidR="00EF69AD" w:rsidRPr="005F2A60" w:rsidRDefault="00EF69AD" w:rsidP="00EF69AD">
            <w:pPr>
              <w:spacing w:line="160" w:lineRule="exact"/>
              <w:ind w:left="680" w:right="74" w:hanging="255"/>
              <w:rPr>
                <w:bCs w:val="0"/>
                <w:sz w:val="14"/>
                <w:szCs w:val="14"/>
              </w:rPr>
            </w:pPr>
            <w:r w:rsidRPr="001775FB">
              <w:rPr>
                <w:bCs w:val="0"/>
                <w:sz w:val="14"/>
                <w:szCs w:val="14"/>
              </w:rPr>
              <w:t>Peralatan kantor</w:t>
            </w:r>
          </w:p>
        </w:tc>
        <w:tc>
          <w:tcPr>
            <w:tcW w:w="1134" w:type="dxa"/>
            <w:tcBorders>
              <w:left w:val="nil"/>
              <w:bottom w:val="single" w:sz="4" w:space="0" w:color="auto"/>
              <w:right w:val="nil"/>
            </w:tcBorders>
            <w:shd w:val="clear" w:color="auto" w:fill="auto"/>
            <w:vAlign w:val="bottom"/>
          </w:tcPr>
          <w:p w14:paraId="26DBB22F" w14:textId="66645FFB" w:rsidR="00EF69AD" w:rsidRPr="001775FB" w:rsidRDefault="00EF69AD" w:rsidP="00EF69AD">
            <w:pPr>
              <w:spacing w:line="160" w:lineRule="exact"/>
              <w:ind w:left="-57" w:right="28"/>
              <w:jc w:val="right"/>
              <w:rPr>
                <w:bCs w:val="0"/>
                <w:sz w:val="12"/>
                <w:szCs w:val="12"/>
              </w:rPr>
            </w:pPr>
            <w:r w:rsidRPr="001775FB">
              <w:rPr>
                <w:bCs w:val="0"/>
                <w:sz w:val="12"/>
                <w:szCs w:val="12"/>
                <w:lang w:val="id-ID"/>
              </w:rPr>
              <w:t>-</w:t>
            </w:r>
          </w:p>
        </w:tc>
        <w:tc>
          <w:tcPr>
            <w:tcW w:w="83" w:type="dxa"/>
            <w:tcBorders>
              <w:left w:val="nil"/>
              <w:right w:val="nil"/>
            </w:tcBorders>
            <w:shd w:val="clear" w:color="auto" w:fill="auto"/>
            <w:vAlign w:val="bottom"/>
          </w:tcPr>
          <w:p w14:paraId="554F8193" w14:textId="77777777" w:rsidR="00EF69AD" w:rsidRPr="005F2A60" w:rsidRDefault="00EF69AD" w:rsidP="00EF69AD">
            <w:pPr>
              <w:jc w:val="right"/>
              <w:rPr>
                <w:bCs w:val="0"/>
                <w:sz w:val="12"/>
                <w:szCs w:val="12"/>
              </w:rPr>
            </w:pPr>
          </w:p>
        </w:tc>
        <w:tc>
          <w:tcPr>
            <w:tcW w:w="1051" w:type="dxa"/>
            <w:tcBorders>
              <w:left w:val="nil"/>
              <w:bottom w:val="single" w:sz="4" w:space="0" w:color="auto"/>
              <w:right w:val="nil"/>
            </w:tcBorders>
            <w:shd w:val="clear" w:color="auto" w:fill="auto"/>
            <w:vAlign w:val="bottom"/>
          </w:tcPr>
          <w:p w14:paraId="662ACFB3" w14:textId="11948F4D" w:rsidR="00EF69AD" w:rsidRPr="005F2A60" w:rsidRDefault="00EF69AD" w:rsidP="00EF69AD">
            <w:pPr>
              <w:ind w:right="57"/>
              <w:jc w:val="right"/>
              <w:rPr>
                <w:bCs w:val="0"/>
                <w:sz w:val="12"/>
                <w:szCs w:val="12"/>
              </w:rPr>
            </w:pPr>
            <w:r w:rsidRPr="001775FB">
              <w:rPr>
                <w:bCs w:val="0"/>
                <w:sz w:val="12"/>
                <w:szCs w:val="12"/>
                <w:lang w:val="id-ID"/>
              </w:rPr>
              <w:t xml:space="preserve">3.976.670.938   </w:t>
            </w:r>
          </w:p>
        </w:tc>
        <w:tc>
          <w:tcPr>
            <w:tcW w:w="91" w:type="dxa"/>
            <w:tcBorders>
              <w:left w:val="nil"/>
              <w:right w:val="nil"/>
            </w:tcBorders>
            <w:shd w:val="clear" w:color="auto" w:fill="auto"/>
            <w:vAlign w:val="bottom"/>
          </w:tcPr>
          <w:p w14:paraId="136EE411" w14:textId="77777777" w:rsidR="00EF69AD" w:rsidRPr="005F2A60" w:rsidRDefault="00EF69AD" w:rsidP="00EF69AD">
            <w:pPr>
              <w:jc w:val="right"/>
              <w:rPr>
                <w:bCs w:val="0"/>
                <w:sz w:val="12"/>
                <w:szCs w:val="12"/>
              </w:rPr>
            </w:pPr>
          </w:p>
        </w:tc>
        <w:tc>
          <w:tcPr>
            <w:tcW w:w="83" w:type="dxa"/>
            <w:tcBorders>
              <w:left w:val="nil"/>
              <w:right w:val="nil"/>
            </w:tcBorders>
            <w:shd w:val="clear" w:color="auto" w:fill="auto"/>
            <w:vAlign w:val="bottom"/>
          </w:tcPr>
          <w:p w14:paraId="6F32620E" w14:textId="77777777" w:rsidR="00EF69AD" w:rsidRPr="005F2A60" w:rsidRDefault="00EF69AD" w:rsidP="00EF69AD">
            <w:pPr>
              <w:jc w:val="right"/>
              <w:rPr>
                <w:bCs w:val="0"/>
                <w:sz w:val="12"/>
                <w:szCs w:val="12"/>
              </w:rPr>
            </w:pPr>
          </w:p>
        </w:tc>
        <w:tc>
          <w:tcPr>
            <w:tcW w:w="960" w:type="dxa"/>
            <w:gridSpan w:val="3"/>
            <w:tcBorders>
              <w:left w:val="nil"/>
              <w:bottom w:val="single" w:sz="4" w:space="0" w:color="auto"/>
              <w:right w:val="nil"/>
            </w:tcBorders>
            <w:shd w:val="clear" w:color="auto" w:fill="auto"/>
          </w:tcPr>
          <w:p w14:paraId="7AE8964A" w14:textId="5E2F1F90" w:rsidR="00EF69AD" w:rsidRPr="005F2A60" w:rsidRDefault="00EF69AD" w:rsidP="00EF69AD">
            <w:pPr>
              <w:ind w:left="-57" w:right="28"/>
              <w:jc w:val="right"/>
              <w:rPr>
                <w:bCs w:val="0"/>
                <w:sz w:val="12"/>
                <w:szCs w:val="12"/>
              </w:rPr>
            </w:pPr>
            <w:r w:rsidRPr="00093478">
              <w:rPr>
                <w:bCs w:val="0"/>
                <w:sz w:val="12"/>
                <w:szCs w:val="12"/>
              </w:rPr>
              <w:t>-</w:t>
            </w:r>
          </w:p>
        </w:tc>
        <w:tc>
          <w:tcPr>
            <w:tcW w:w="83" w:type="dxa"/>
            <w:gridSpan w:val="2"/>
            <w:tcBorders>
              <w:left w:val="nil"/>
              <w:right w:val="nil"/>
            </w:tcBorders>
            <w:shd w:val="clear" w:color="auto" w:fill="auto"/>
            <w:vAlign w:val="bottom"/>
          </w:tcPr>
          <w:p w14:paraId="47DA819B" w14:textId="77777777" w:rsidR="00EF69AD" w:rsidRPr="005F2A60" w:rsidRDefault="00EF69AD" w:rsidP="00EF69AD">
            <w:pPr>
              <w:ind w:right="28"/>
              <w:jc w:val="right"/>
              <w:rPr>
                <w:bCs w:val="0"/>
                <w:sz w:val="12"/>
                <w:szCs w:val="12"/>
              </w:rPr>
            </w:pPr>
          </w:p>
        </w:tc>
        <w:tc>
          <w:tcPr>
            <w:tcW w:w="1051" w:type="dxa"/>
            <w:gridSpan w:val="3"/>
            <w:tcBorders>
              <w:left w:val="nil"/>
              <w:bottom w:val="single" w:sz="4" w:space="0" w:color="auto"/>
              <w:right w:val="nil"/>
            </w:tcBorders>
            <w:vAlign w:val="bottom"/>
          </w:tcPr>
          <w:p w14:paraId="24AAE05E" w14:textId="4480CEE5" w:rsidR="00EF69AD" w:rsidRPr="005F2A60" w:rsidRDefault="00EF69AD" w:rsidP="00EF69AD">
            <w:pPr>
              <w:ind w:left="-57" w:right="28"/>
              <w:jc w:val="right"/>
              <w:rPr>
                <w:bCs w:val="0"/>
                <w:sz w:val="12"/>
                <w:szCs w:val="12"/>
              </w:rPr>
            </w:pPr>
            <w:r w:rsidRPr="001775FB">
              <w:rPr>
                <w:bCs w:val="0"/>
                <w:sz w:val="12"/>
                <w:szCs w:val="12"/>
                <w:lang w:val="id-ID"/>
              </w:rPr>
              <w:t>-</w:t>
            </w:r>
          </w:p>
        </w:tc>
        <w:tc>
          <w:tcPr>
            <w:tcW w:w="83" w:type="dxa"/>
            <w:tcBorders>
              <w:left w:val="nil"/>
              <w:right w:val="nil"/>
            </w:tcBorders>
            <w:vAlign w:val="bottom"/>
          </w:tcPr>
          <w:p w14:paraId="4A6E2D72" w14:textId="77777777" w:rsidR="00EF69AD" w:rsidRPr="005F2A60" w:rsidRDefault="00EF69AD" w:rsidP="00EF69AD">
            <w:pPr>
              <w:ind w:left="-57" w:right="28"/>
              <w:jc w:val="right"/>
              <w:rPr>
                <w:bCs w:val="0"/>
                <w:sz w:val="12"/>
                <w:szCs w:val="12"/>
              </w:rPr>
            </w:pPr>
          </w:p>
        </w:tc>
        <w:tc>
          <w:tcPr>
            <w:tcW w:w="1193" w:type="dxa"/>
            <w:gridSpan w:val="2"/>
            <w:tcBorders>
              <w:left w:val="nil"/>
              <w:bottom w:val="single" w:sz="4" w:space="0" w:color="auto"/>
              <w:right w:val="nil"/>
            </w:tcBorders>
            <w:shd w:val="clear" w:color="auto" w:fill="auto"/>
            <w:vAlign w:val="bottom"/>
          </w:tcPr>
          <w:p w14:paraId="7FD24A33" w14:textId="71BCAA47" w:rsidR="00EF69AD" w:rsidRPr="005F2A60" w:rsidRDefault="00EF69AD" w:rsidP="00EF69AD">
            <w:pPr>
              <w:ind w:left="-57" w:right="28"/>
              <w:jc w:val="right"/>
              <w:rPr>
                <w:w w:val="105"/>
                <w:sz w:val="12"/>
                <w:szCs w:val="12"/>
              </w:rPr>
            </w:pPr>
            <w:r w:rsidRPr="001775FB">
              <w:rPr>
                <w:bCs w:val="0"/>
                <w:sz w:val="12"/>
                <w:szCs w:val="12"/>
              </w:rPr>
              <w:t>3.976.670.938</w:t>
            </w:r>
          </w:p>
        </w:tc>
        <w:tc>
          <w:tcPr>
            <w:tcW w:w="1417" w:type="dxa"/>
            <w:gridSpan w:val="2"/>
            <w:tcBorders>
              <w:left w:val="nil"/>
              <w:right w:val="nil"/>
            </w:tcBorders>
            <w:shd w:val="clear" w:color="auto" w:fill="auto"/>
            <w:vAlign w:val="bottom"/>
          </w:tcPr>
          <w:p w14:paraId="417573EC" w14:textId="40A0C025" w:rsidR="00EF69AD" w:rsidRPr="005F2A60" w:rsidRDefault="00EF69AD" w:rsidP="00EF69AD">
            <w:pPr>
              <w:tabs>
                <w:tab w:val="left" w:pos="1360"/>
                <w:tab w:val="left" w:pos="1410"/>
              </w:tabs>
              <w:ind w:right="72"/>
              <w:jc w:val="right"/>
              <w:rPr>
                <w:i/>
                <w:iCs/>
                <w:sz w:val="14"/>
                <w:szCs w:val="14"/>
              </w:rPr>
            </w:pPr>
            <w:r w:rsidRPr="001775FB">
              <w:rPr>
                <w:i/>
                <w:iCs/>
                <w:sz w:val="14"/>
                <w:szCs w:val="14"/>
              </w:rPr>
              <w:t>Office equipment</w:t>
            </w:r>
          </w:p>
        </w:tc>
      </w:tr>
      <w:tr w:rsidR="00EF69AD" w:rsidRPr="005F2A60" w14:paraId="560F2647" w14:textId="77777777" w:rsidTr="003734F4">
        <w:trPr>
          <w:gridAfter w:val="1"/>
          <w:wAfter w:w="20" w:type="dxa"/>
          <w:cantSplit/>
        </w:trPr>
        <w:tc>
          <w:tcPr>
            <w:tcW w:w="1877" w:type="dxa"/>
            <w:tcBorders>
              <w:left w:val="nil"/>
              <w:right w:val="nil"/>
            </w:tcBorders>
            <w:shd w:val="clear" w:color="auto" w:fill="auto"/>
            <w:vAlign w:val="bottom"/>
          </w:tcPr>
          <w:p w14:paraId="52BAB924" w14:textId="77777777" w:rsidR="00EF69AD" w:rsidRPr="005F2A60" w:rsidRDefault="00EF69AD" w:rsidP="00EF69AD">
            <w:pPr>
              <w:spacing w:line="160" w:lineRule="exact"/>
              <w:ind w:left="680" w:right="17" w:hanging="255"/>
              <w:rPr>
                <w:bCs w:val="0"/>
                <w:sz w:val="14"/>
                <w:szCs w:val="14"/>
              </w:rPr>
            </w:pPr>
          </w:p>
        </w:tc>
        <w:tc>
          <w:tcPr>
            <w:tcW w:w="1134" w:type="dxa"/>
            <w:tcBorders>
              <w:top w:val="single" w:sz="4" w:space="0" w:color="auto"/>
              <w:left w:val="nil"/>
              <w:right w:val="nil"/>
            </w:tcBorders>
            <w:shd w:val="clear" w:color="auto" w:fill="auto"/>
            <w:vAlign w:val="bottom"/>
          </w:tcPr>
          <w:p w14:paraId="605D6993" w14:textId="77777777" w:rsidR="00EF69AD" w:rsidRPr="005F2A60" w:rsidRDefault="00EF69AD" w:rsidP="00EF69AD">
            <w:pPr>
              <w:spacing w:line="160" w:lineRule="exact"/>
              <w:ind w:left="-57" w:right="28"/>
              <w:jc w:val="right"/>
              <w:rPr>
                <w:bCs w:val="0"/>
                <w:sz w:val="12"/>
                <w:szCs w:val="12"/>
              </w:rPr>
            </w:pPr>
          </w:p>
        </w:tc>
        <w:tc>
          <w:tcPr>
            <w:tcW w:w="83" w:type="dxa"/>
            <w:tcBorders>
              <w:left w:val="nil"/>
              <w:right w:val="nil"/>
            </w:tcBorders>
            <w:shd w:val="clear" w:color="auto" w:fill="auto"/>
            <w:vAlign w:val="bottom"/>
          </w:tcPr>
          <w:p w14:paraId="7AA821E3" w14:textId="77777777" w:rsidR="00EF69AD" w:rsidRPr="005F2A60" w:rsidRDefault="00EF69AD" w:rsidP="00EF69AD">
            <w:pPr>
              <w:jc w:val="right"/>
              <w:rPr>
                <w:bCs w:val="0"/>
                <w:sz w:val="12"/>
                <w:szCs w:val="12"/>
              </w:rPr>
            </w:pPr>
          </w:p>
        </w:tc>
        <w:tc>
          <w:tcPr>
            <w:tcW w:w="1051" w:type="dxa"/>
            <w:tcBorders>
              <w:top w:val="single" w:sz="4" w:space="0" w:color="auto"/>
              <w:left w:val="nil"/>
              <w:right w:val="nil"/>
            </w:tcBorders>
            <w:shd w:val="clear" w:color="auto" w:fill="auto"/>
            <w:vAlign w:val="bottom"/>
          </w:tcPr>
          <w:p w14:paraId="1F28FA7A" w14:textId="77777777" w:rsidR="00EF69AD" w:rsidRPr="005F2A60" w:rsidRDefault="00EF69AD" w:rsidP="00EF69AD">
            <w:pPr>
              <w:ind w:right="57"/>
              <w:jc w:val="right"/>
              <w:rPr>
                <w:bCs w:val="0"/>
                <w:sz w:val="12"/>
                <w:szCs w:val="12"/>
              </w:rPr>
            </w:pPr>
          </w:p>
        </w:tc>
        <w:tc>
          <w:tcPr>
            <w:tcW w:w="91" w:type="dxa"/>
            <w:tcBorders>
              <w:left w:val="nil"/>
              <w:right w:val="nil"/>
            </w:tcBorders>
            <w:shd w:val="clear" w:color="auto" w:fill="auto"/>
            <w:vAlign w:val="bottom"/>
          </w:tcPr>
          <w:p w14:paraId="021DDB4A" w14:textId="77777777" w:rsidR="00EF69AD" w:rsidRPr="005F2A60" w:rsidRDefault="00EF69AD" w:rsidP="00EF69AD">
            <w:pPr>
              <w:jc w:val="right"/>
              <w:rPr>
                <w:bCs w:val="0"/>
                <w:sz w:val="12"/>
                <w:szCs w:val="12"/>
              </w:rPr>
            </w:pPr>
          </w:p>
        </w:tc>
        <w:tc>
          <w:tcPr>
            <w:tcW w:w="83" w:type="dxa"/>
            <w:tcBorders>
              <w:left w:val="nil"/>
              <w:right w:val="nil"/>
            </w:tcBorders>
            <w:shd w:val="clear" w:color="auto" w:fill="auto"/>
            <w:vAlign w:val="bottom"/>
          </w:tcPr>
          <w:p w14:paraId="10E1325F" w14:textId="77777777" w:rsidR="00EF69AD" w:rsidRPr="005F2A60" w:rsidRDefault="00EF69AD" w:rsidP="00EF69AD">
            <w:pPr>
              <w:jc w:val="right"/>
              <w:rPr>
                <w:bCs w:val="0"/>
                <w:sz w:val="12"/>
                <w:szCs w:val="12"/>
              </w:rPr>
            </w:pPr>
          </w:p>
        </w:tc>
        <w:tc>
          <w:tcPr>
            <w:tcW w:w="960" w:type="dxa"/>
            <w:gridSpan w:val="3"/>
            <w:tcBorders>
              <w:top w:val="single" w:sz="4" w:space="0" w:color="auto"/>
              <w:left w:val="nil"/>
              <w:right w:val="nil"/>
            </w:tcBorders>
            <w:shd w:val="clear" w:color="auto" w:fill="auto"/>
            <w:vAlign w:val="bottom"/>
          </w:tcPr>
          <w:p w14:paraId="2A561C16" w14:textId="77777777" w:rsidR="00EF69AD" w:rsidRPr="005F2A60" w:rsidRDefault="00EF69AD" w:rsidP="00EF69AD">
            <w:pPr>
              <w:ind w:left="-57" w:right="28"/>
              <w:jc w:val="right"/>
              <w:rPr>
                <w:bCs w:val="0"/>
                <w:sz w:val="12"/>
                <w:szCs w:val="12"/>
              </w:rPr>
            </w:pPr>
          </w:p>
        </w:tc>
        <w:tc>
          <w:tcPr>
            <w:tcW w:w="83" w:type="dxa"/>
            <w:gridSpan w:val="2"/>
            <w:tcBorders>
              <w:left w:val="nil"/>
              <w:right w:val="nil"/>
            </w:tcBorders>
            <w:shd w:val="clear" w:color="auto" w:fill="auto"/>
            <w:vAlign w:val="bottom"/>
          </w:tcPr>
          <w:p w14:paraId="44804CF6" w14:textId="77777777" w:rsidR="00EF69AD" w:rsidRPr="005F2A60" w:rsidRDefault="00EF69AD" w:rsidP="00EF69AD">
            <w:pPr>
              <w:ind w:right="28"/>
              <w:jc w:val="right"/>
              <w:rPr>
                <w:bCs w:val="0"/>
                <w:sz w:val="12"/>
                <w:szCs w:val="12"/>
              </w:rPr>
            </w:pPr>
          </w:p>
        </w:tc>
        <w:tc>
          <w:tcPr>
            <w:tcW w:w="1051" w:type="dxa"/>
            <w:gridSpan w:val="3"/>
            <w:tcBorders>
              <w:top w:val="single" w:sz="4" w:space="0" w:color="auto"/>
              <w:left w:val="nil"/>
              <w:right w:val="nil"/>
            </w:tcBorders>
            <w:vAlign w:val="bottom"/>
          </w:tcPr>
          <w:p w14:paraId="09155276" w14:textId="77777777" w:rsidR="00EF69AD" w:rsidRPr="005F2A60" w:rsidRDefault="00EF69AD" w:rsidP="00EF69AD">
            <w:pPr>
              <w:ind w:left="-57" w:right="28"/>
              <w:jc w:val="right"/>
              <w:rPr>
                <w:bCs w:val="0"/>
                <w:sz w:val="12"/>
                <w:szCs w:val="12"/>
              </w:rPr>
            </w:pPr>
          </w:p>
        </w:tc>
        <w:tc>
          <w:tcPr>
            <w:tcW w:w="83" w:type="dxa"/>
            <w:tcBorders>
              <w:left w:val="nil"/>
              <w:right w:val="nil"/>
            </w:tcBorders>
            <w:vAlign w:val="bottom"/>
          </w:tcPr>
          <w:p w14:paraId="12092B39" w14:textId="77777777" w:rsidR="00EF69AD" w:rsidRPr="005F2A60" w:rsidRDefault="00EF69AD" w:rsidP="00EF69AD">
            <w:pPr>
              <w:ind w:left="-57" w:right="28"/>
              <w:jc w:val="right"/>
              <w:rPr>
                <w:bCs w:val="0"/>
                <w:sz w:val="12"/>
                <w:szCs w:val="12"/>
              </w:rPr>
            </w:pPr>
          </w:p>
        </w:tc>
        <w:tc>
          <w:tcPr>
            <w:tcW w:w="1193" w:type="dxa"/>
            <w:gridSpan w:val="2"/>
            <w:tcBorders>
              <w:top w:val="single" w:sz="4" w:space="0" w:color="auto"/>
              <w:left w:val="nil"/>
              <w:right w:val="nil"/>
            </w:tcBorders>
            <w:shd w:val="clear" w:color="auto" w:fill="auto"/>
            <w:vAlign w:val="bottom"/>
          </w:tcPr>
          <w:p w14:paraId="04CBDF96" w14:textId="77777777" w:rsidR="00EF69AD" w:rsidRPr="005F2A60" w:rsidRDefault="00EF69AD" w:rsidP="00EF69AD">
            <w:pPr>
              <w:ind w:left="-57" w:right="28"/>
              <w:jc w:val="right"/>
              <w:rPr>
                <w:bCs w:val="0"/>
                <w:sz w:val="12"/>
                <w:szCs w:val="12"/>
              </w:rPr>
            </w:pPr>
          </w:p>
        </w:tc>
        <w:tc>
          <w:tcPr>
            <w:tcW w:w="1417" w:type="dxa"/>
            <w:gridSpan w:val="2"/>
            <w:tcBorders>
              <w:left w:val="nil"/>
              <w:right w:val="nil"/>
            </w:tcBorders>
            <w:shd w:val="clear" w:color="auto" w:fill="auto"/>
            <w:vAlign w:val="bottom"/>
          </w:tcPr>
          <w:p w14:paraId="1C4D219C" w14:textId="77777777" w:rsidR="00EF69AD" w:rsidRPr="005F2A60" w:rsidRDefault="00EF69AD" w:rsidP="00EF69AD">
            <w:pPr>
              <w:tabs>
                <w:tab w:val="left" w:pos="1360"/>
                <w:tab w:val="left" w:pos="1410"/>
              </w:tabs>
              <w:ind w:right="72"/>
              <w:jc w:val="right"/>
              <w:rPr>
                <w:i/>
                <w:sz w:val="14"/>
                <w:szCs w:val="14"/>
              </w:rPr>
            </w:pPr>
          </w:p>
        </w:tc>
      </w:tr>
      <w:tr w:rsidR="00EF69AD" w:rsidRPr="005F2A60" w14:paraId="523D7438" w14:textId="77777777" w:rsidTr="003734F4">
        <w:trPr>
          <w:gridAfter w:val="1"/>
          <w:wAfter w:w="20" w:type="dxa"/>
          <w:cantSplit/>
        </w:trPr>
        <w:tc>
          <w:tcPr>
            <w:tcW w:w="1877" w:type="dxa"/>
            <w:tcBorders>
              <w:top w:val="nil"/>
              <w:left w:val="nil"/>
              <w:right w:val="nil"/>
            </w:tcBorders>
            <w:shd w:val="clear" w:color="auto" w:fill="auto"/>
            <w:vAlign w:val="bottom"/>
          </w:tcPr>
          <w:p w14:paraId="1E3C4C02" w14:textId="1743C539" w:rsidR="00EF69AD" w:rsidRPr="005F2A60" w:rsidRDefault="00EF69AD" w:rsidP="00EF69AD">
            <w:pPr>
              <w:spacing w:line="160" w:lineRule="exact"/>
              <w:ind w:left="680" w:right="74" w:hanging="255"/>
              <w:rPr>
                <w:bCs w:val="0"/>
                <w:sz w:val="14"/>
                <w:szCs w:val="14"/>
              </w:rPr>
            </w:pPr>
            <w:r w:rsidRPr="005F2A60">
              <w:rPr>
                <w:bCs w:val="0"/>
                <w:sz w:val="14"/>
                <w:szCs w:val="14"/>
              </w:rPr>
              <w:t>Sub jumlah</w:t>
            </w:r>
          </w:p>
        </w:tc>
        <w:tc>
          <w:tcPr>
            <w:tcW w:w="1134" w:type="dxa"/>
            <w:tcBorders>
              <w:left w:val="nil"/>
              <w:bottom w:val="single" w:sz="4" w:space="0" w:color="auto"/>
              <w:right w:val="nil"/>
            </w:tcBorders>
            <w:shd w:val="clear" w:color="auto" w:fill="auto"/>
            <w:vAlign w:val="bottom"/>
          </w:tcPr>
          <w:p w14:paraId="0A3CB6E1" w14:textId="5CC489E8" w:rsidR="00EF69AD" w:rsidRPr="005F2A60" w:rsidRDefault="00EF69AD" w:rsidP="00EF69AD">
            <w:pPr>
              <w:spacing w:line="160" w:lineRule="exact"/>
              <w:ind w:left="-57" w:right="28"/>
              <w:jc w:val="right"/>
              <w:rPr>
                <w:bCs w:val="0"/>
                <w:sz w:val="12"/>
                <w:szCs w:val="12"/>
              </w:rPr>
            </w:pPr>
            <w:r w:rsidRPr="001775FB">
              <w:rPr>
                <w:bCs w:val="0"/>
                <w:sz w:val="12"/>
                <w:szCs w:val="12"/>
              </w:rPr>
              <w:t>303.336.276.775</w:t>
            </w:r>
          </w:p>
        </w:tc>
        <w:tc>
          <w:tcPr>
            <w:tcW w:w="83" w:type="dxa"/>
            <w:tcBorders>
              <w:left w:val="nil"/>
              <w:right w:val="nil"/>
            </w:tcBorders>
            <w:shd w:val="clear" w:color="auto" w:fill="auto"/>
            <w:vAlign w:val="bottom"/>
          </w:tcPr>
          <w:p w14:paraId="56409A85" w14:textId="77777777" w:rsidR="00EF69AD" w:rsidRPr="005F2A60" w:rsidRDefault="00EF69AD" w:rsidP="00EF69AD">
            <w:pPr>
              <w:spacing w:line="160" w:lineRule="exact"/>
              <w:jc w:val="right"/>
              <w:rPr>
                <w:bCs w:val="0"/>
                <w:sz w:val="12"/>
                <w:szCs w:val="12"/>
              </w:rPr>
            </w:pPr>
          </w:p>
        </w:tc>
        <w:tc>
          <w:tcPr>
            <w:tcW w:w="1051" w:type="dxa"/>
            <w:tcBorders>
              <w:left w:val="nil"/>
              <w:bottom w:val="single" w:sz="4" w:space="0" w:color="auto"/>
              <w:right w:val="nil"/>
            </w:tcBorders>
            <w:shd w:val="clear" w:color="auto" w:fill="auto"/>
            <w:vAlign w:val="bottom"/>
          </w:tcPr>
          <w:p w14:paraId="0774D6C8" w14:textId="3B78D7B0" w:rsidR="00EF69AD" w:rsidRPr="005F2A60" w:rsidRDefault="00EF69AD" w:rsidP="00EF69AD">
            <w:pPr>
              <w:spacing w:line="160" w:lineRule="exact"/>
              <w:ind w:right="28"/>
              <w:jc w:val="right"/>
              <w:rPr>
                <w:bCs w:val="0"/>
                <w:sz w:val="12"/>
                <w:szCs w:val="12"/>
              </w:rPr>
            </w:pPr>
            <w:r w:rsidRPr="00EC0E2F">
              <w:rPr>
                <w:bCs w:val="0"/>
                <w:sz w:val="12"/>
                <w:szCs w:val="12"/>
              </w:rPr>
              <w:t>324.038.265.52</w:t>
            </w:r>
            <w:r>
              <w:rPr>
                <w:bCs w:val="0"/>
                <w:sz w:val="12"/>
                <w:szCs w:val="12"/>
              </w:rPr>
              <w:t>5</w:t>
            </w:r>
          </w:p>
        </w:tc>
        <w:tc>
          <w:tcPr>
            <w:tcW w:w="91" w:type="dxa"/>
            <w:tcBorders>
              <w:left w:val="nil"/>
              <w:right w:val="nil"/>
            </w:tcBorders>
            <w:shd w:val="clear" w:color="auto" w:fill="auto"/>
            <w:vAlign w:val="bottom"/>
          </w:tcPr>
          <w:p w14:paraId="286070CD" w14:textId="77777777" w:rsidR="00EF69AD" w:rsidRPr="005F2A60" w:rsidRDefault="00EF69AD" w:rsidP="00EF69AD">
            <w:pPr>
              <w:spacing w:line="160" w:lineRule="exact"/>
              <w:ind w:right="18"/>
              <w:jc w:val="right"/>
              <w:rPr>
                <w:bCs w:val="0"/>
                <w:sz w:val="12"/>
                <w:szCs w:val="12"/>
              </w:rPr>
            </w:pPr>
          </w:p>
        </w:tc>
        <w:tc>
          <w:tcPr>
            <w:tcW w:w="83" w:type="dxa"/>
            <w:tcBorders>
              <w:left w:val="nil"/>
              <w:right w:val="nil"/>
            </w:tcBorders>
            <w:shd w:val="clear" w:color="auto" w:fill="auto"/>
            <w:vAlign w:val="bottom"/>
          </w:tcPr>
          <w:p w14:paraId="67BBCBD6" w14:textId="77777777" w:rsidR="00EF69AD" w:rsidRPr="005F2A60" w:rsidRDefault="00EF69AD" w:rsidP="00EF69AD">
            <w:pPr>
              <w:spacing w:line="160" w:lineRule="exact"/>
              <w:ind w:right="18"/>
              <w:jc w:val="right"/>
              <w:rPr>
                <w:bCs w:val="0"/>
                <w:sz w:val="12"/>
                <w:szCs w:val="12"/>
              </w:rPr>
            </w:pPr>
          </w:p>
        </w:tc>
        <w:tc>
          <w:tcPr>
            <w:tcW w:w="960" w:type="dxa"/>
            <w:gridSpan w:val="3"/>
            <w:tcBorders>
              <w:left w:val="nil"/>
              <w:bottom w:val="single" w:sz="4" w:space="0" w:color="auto"/>
              <w:right w:val="nil"/>
            </w:tcBorders>
            <w:shd w:val="clear" w:color="auto" w:fill="auto"/>
            <w:vAlign w:val="bottom"/>
          </w:tcPr>
          <w:p w14:paraId="2A87C050" w14:textId="713831EC" w:rsidR="00EF69AD" w:rsidRPr="005F2A60" w:rsidRDefault="00EF69AD" w:rsidP="00EF69AD">
            <w:pPr>
              <w:spacing w:line="160" w:lineRule="exact"/>
              <w:ind w:right="28"/>
              <w:jc w:val="right"/>
              <w:rPr>
                <w:bCs w:val="0"/>
                <w:sz w:val="12"/>
                <w:szCs w:val="12"/>
              </w:rPr>
            </w:pPr>
            <w:r>
              <w:rPr>
                <w:bCs w:val="0"/>
                <w:sz w:val="12"/>
                <w:szCs w:val="12"/>
              </w:rPr>
              <w:t>(</w:t>
            </w:r>
            <w:r w:rsidRPr="00EC0E2F">
              <w:rPr>
                <w:bCs w:val="0"/>
                <w:sz w:val="12"/>
                <w:szCs w:val="12"/>
              </w:rPr>
              <w:t>2.858.786.585</w:t>
            </w:r>
            <w:r>
              <w:rPr>
                <w:bCs w:val="0"/>
                <w:sz w:val="12"/>
                <w:szCs w:val="12"/>
              </w:rPr>
              <w:t>)</w:t>
            </w:r>
          </w:p>
        </w:tc>
        <w:tc>
          <w:tcPr>
            <w:tcW w:w="83" w:type="dxa"/>
            <w:gridSpan w:val="2"/>
            <w:tcBorders>
              <w:left w:val="nil"/>
              <w:right w:val="nil"/>
            </w:tcBorders>
            <w:shd w:val="clear" w:color="auto" w:fill="auto"/>
            <w:vAlign w:val="bottom"/>
          </w:tcPr>
          <w:p w14:paraId="34E9824C" w14:textId="77777777" w:rsidR="00EF69AD" w:rsidRPr="005F2A60" w:rsidRDefault="00EF69AD" w:rsidP="00EF69AD">
            <w:pPr>
              <w:spacing w:line="160" w:lineRule="exact"/>
              <w:ind w:right="28"/>
              <w:jc w:val="right"/>
              <w:rPr>
                <w:bCs w:val="0"/>
                <w:sz w:val="12"/>
                <w:szCs w:val="12"/>
              </w:rPr>
            </w:pPr>
          </w:p>
        </w:tc>
        <w:tc>
          <w:tcPr>
            <w:tcW w:w="1051" w:type="dxa"/>
            <w:gridSpan w:val="3"/>
            <w:tcBorders>
              <w:left w:val="nil"/>
              <w:bottom w:val="single" w:sz="4" w:space="0" w:color="auto"/>
              <w:right w:val="nil"/>
            </w:tcBorders>
            <w:vAlign w:val="bottom"/>
          </w:tcPr>
          <w:p w14:paraId="7D387127" w14:textId="10B5EB77" w:rsidR="00EF69AD" w:rsidRPr="005F2A60" w:rsidRDefault="00EF69AD" w:rsidP="00EF69AD">
            <w:pPr>
              <w:spacing w:line="160" w:lineRule="exact"/>
              <w:ind w:right="28"/>
              <w:jc w:val="right"/>
              <w:rPr>
                <w:bCs w:val="0"/>
                <w:sz w:val="12"/>
                <w:szCs w:val="12"/>
              </w:rPr>
            </w:pPr>
            <w:r w:rsidRPr="00CD6DD8">
              <w:rPr>
                <w:bCs w:val="0"/>
                <w:sz w:val="12"/>
                <w:szCs w:val="12"/>
                <w:lang w:val="id-ID"/>
              </w:rPr>
              <w:t>(321.890.869.088)</w:t>
            </w:r>
          </w:p>
        </w:tc>
        <w:tc>
          <w:tcPr>
            <w:tcW w:w="83" w:type="dxa"/>
            <w:tcBorders>
              <w:left w:val="nil"/>
              <w:right w:val="nil"/>
            </w:tcBorders>
            <w:vAlign w:val="bottom"/>
          </w:tcPr>
          <w:p w14:paraId="7959D34F" w14:textId="77777777" w:rsidR="00EF69AD" w:rsidRPr="005F2A60" w:rsidRDefault="00EF69AD" w:rsidP="00EF69AD">
            <w:pPr>
              <w:spacing w:line="160" w:lineRule="exact"/>
              <w:ind w:left="-57" w:right="28"/>
              <w:jc w:val="right"/>
              <w:rPr>
                <w:bCs w:val="0"/>
                <w:sz w:val="12"/>
                <w:szCs w:val="12"/>
              </w:rPr>
            </w:pPr>
          </w:p>
        </w:tc>
        <w:tc>
          <w:tcPr>
            <w:tcW w:w="1193" w:type="dxa"/>
            <w:gridSpan w:val="2"/>
            <w:tcBorders>
              <w:left w:val="nil"/>
              <w:bottom w:val="single" w:sz="4" w:space="0" w:color="auto"/>
              <w:right w:val="nil"/>
            </w:tcBorders>
            <w:shd w:val="clear" w:color="auto" w:fill="auto"/>
            <w:vAlign w:val="bottom"/>
          </w:tcPr>
          <w:p w14:paraId="060C7E5B" w14:textId="61F7D573" w:rsidR="00EF69AD" w:rsidRPr="005F2A60" w:rsidRDefault="00EF69AD" w:rsidP="00EF69AD">
            <w:pPr>
              <w:spacing w:line="160" w:lineRule="exact"/>
              <w:ind w:left="-57" w:right="28"/>
              <w:jc w:val="right"/>
              <w:rPr>
                <w:bCs w:val="0"/>
                <w:sz w:val="12"/>
                <w:szCs w:val="12"/>
              </w:rPr>
            </w:pPr>
            <w:r w:rsidRPr="00CD6DD8">
              <w:rPr>
                <w:bCs w:val="0"/>
                <w:sz w:val="12"/>
                <w:szCs w:val="12"/>
              </w:rPr>
              <w:t>302.624.886.62</w:t>
            </w:r>
            <w:r>
              <w:rPr>
                <w:bCs w:val="0"/>
                <w:sz w:val="12"/>
                <w:szCs w:val="12"/>
              </w:rPr>
              <w:t>7</w:t>
            </w:r>
          </w:p>
        </w:tc>
        <w:tc>
          <w:tcPr>
            <w:tcW w:w="1417" w:type="dxa"/>
            <w:gridSpan w:val="2"/>
            <w:tcBorders>
              <w:left w:val="nil"/>
              <w:right w:val="nil"/>
            </w:tcBorders>
            <w:shd w:val="clear" w:color="auto" w:fill="auto"/>
            <w:vAlign w:val="bottom"/>
          </w:tcPr>
          <w:p w14:paraId="56994D75" w14:textId="54C70ED7" w:rsidR="00EF69AD" w:rsidRPr="005F2A60" w:rsidRDefault="00EF69AD" w:rsidP="00EF69AD">
            <w:pPr>
              <w:tabs>
                <w:tab w:val="left" w:pos="1360"/>
                <w:tab w:val="left" w:pos="1410"/>
              </w:tabs>
              <w:spacing w:line="160" w:lineRule="exact"/>
              <w:ind w:right="72"/>
              <w:jc w:val="right"/>
              <w:rPr>
                <w:i/>
                <w:sz w:val="14"/>
                <w:szCs w:val="14"/>
              </w:rPr>
            </w:pPr>
            <w:r>
              <w:rPr>
                <w:i/>
                <w:sz w:val="14"/>
                <w:szCs w:val="14"/>
              </w:rPr>
              <w:t>Sub total</w:t>
            </w:r>
          </w:p>
        </w:tc>
      </w:tr>
      <w:tr w:rsidR="00EF69AD" w:rsidRPr="005F2A60" w14:paraId="65D94D11" w14:textId="77777777" w:rsidTr="003734F4">
        <w:trPr>
          <w:gridAfter w:val="1"/>
          <w:wAfter w:w="20" w:type="dxa"/>
          <w:cantSplit/>
        </w:trPr>
        <w:tc>
          <w:tcPr>
            <w:tcW w:w="1877" w:type="dxa"/>
            <w:tcBorders>
              <w:top w:val="nil"/>
              <w:left w:val="nil"/>
              <w:right w:val="nil"/>
            </w:tcBorders>
            <w:shd w:val="clear" w:color="auto" w:fill="auto"/>
            <w:vAlign w:val="bottom"/>
          </w:tcPr>
          <w:p w14:paraId="1AA065B5" w14:textId="77777777" w:rsidR="00EF69AD" w:rsidRPr="005F2A60" w:rsidRDefault="00EF69AD" w:rsidP="00AD6CCA">
            <w:pPr>
              <w:ind w:left="680" w:right="17" w:hanging="255"/>
              <w:rPr>
                <w:bCs w:val="0"/>
                <w:sz w:val="14"/>
                <w:szCs w:val="14"/>
              </w:rPr>
            </w:pPr>
          </w:p>
        </w:tc>
        <w:tc>
          <w:tcPr>
            <w:tcW w:w="1134" w:type="dxa"/>
            <w:tcBorders>
              <w:top w:val="nil"/>
              <w:left w:val="nil"/>
              <w:right w:val="nil"/>
            </w:tcBorders>
            <w:shd w:val="clear" w:color="auto" w:fill="auto"/>
            <w:vAlign w:val="bottom"/>
          </w:tcPr>
          <w:p w14:paraId="166A90AC" w14:textId="77777777" w:rsidR="00EF69AD" w:rsidRPr="005F2A60" w:rsidRDefault="00EF69AD" w:rsidP="00AD6CCA">
            <w:pPr>
              <w:ind w:left="-57" w:right="57"/>
              <w:jc w:val="right"/>
              <w:rPr>
                <w:bCs w:val="0"/>
                <w:sz w:val="12"/>
                <w:szCs w:val="12"/>
              </w:rPr>
            </w:pPr>
          </w:p>
        </w:tc>
        <w:tc>
          <w:tcPr>
            <w:tcW w:w="83" w:type="dxa"/>
            <w:tcBorders>
              <w:top w:val="nil"/>
              <w:left w:val="nil"/>
              <w:right w:val="nil"/>
            </w:tcBorders>
            <w:shd w:val="clear" w:color="auto" w:fill="auto"/>
            <w:vAlign w:val="bottom"/>
          </w:tcPr>
          <w:p w14:paraId="113CC7A4" w14:textId="77777777" w:rsidR="00EF69AD" w:rsidRPr="005F2A60" w:rsidRDefault="00EF69AD" w:rsidP="00AD6CCA">
            <w:pPr>
              <w:ind w:right="18"/>
              <w:jc w:val="right"/>
              <w:rPr>
                <w:bCs w:val="0"/>
                <w:sz w:val="12"/>
                <w:szCs w:val="12"/>
              </w:rPr>
            </w:pPr>
          </w:p>
        </w:tc>
        <w:tc>
          <w:tcPr>
            <w:tcW w:w="1051" w:type="dxa"/>
            <w:tcBorders>
              <w:top w:val="nil"/>
              <w:left w:val="nil"/>
              <w:right w:val="nil"/>
            </w:tcBorders>
            <w:shd w:val="clear" w:color="auto" w:fill="auto"/>
            <w:vAlign w:val="bottom"/>
          </w:tcPr>
          <w:p w14:paraId="63C3980C" w14:textId="77777777" w:rsidR="00EF69AD" w:rsidRPr="005F2A60" w:rsidRDefault="00EF69AD" w:rsidP="00AD6CCA">
            <w:pPr>
              <w:ind w:right="57"/>
              <w:jc w:val="right"/>
              <w:rPr>
                <w:bCs w:val="0"/>
                <w:sz w:val="12"/>
                <w:szCs w:val="12"/>
              </w:rPr>
            </w:pPr>
          </w:p>
        </w:tc>
        <w:tc>
          <w:tcPr>
            <w:tcW w:w="91" w:type="dxa"/>
            <w:tcBorders>
              <w:top w:val="nil"/>
              <w:left w:val="nil"/>
              <w:right w:val="nil"/>
            </w:tcBorders>
            <w:shd w:val="clear" w:color="auto" w:fill="auto"/>
            <w:vAlign w:val="bottom"/>
          </w:tcPr>
          <w:p w14:paraId="61ACEA69" w14:textId="77777777" w:rsidR="00EF69AD" w:rsidRPr="005F2A60" w:rsidRDefault="00EF69AD" w:rsidP="00AD6CCA">
            <w:pPr>
              <w:ind w:right="18"/>
              <w:jc w:val="right"/>
              <w:rPr>
                <w:bCs w:val="0"/>
                <w:sz w:val="12"/>
                <w:szCs w:val="12"/>
              </w:rPr>
            </w:pPr>
          </w:p>
        </w:tc>
        <w:tc>
          <w:tcPr>
            <w:tcW w:w="83" w:type="dxa"/>
            <w:tcBorders>
              <w:top w:val="nil"/>
              <w:left w:val="nil"/>
              <w:right w:val="nil"/>
            </w:tcBorders>
            <w:shd w:val="clear" w:color="auto" w:fill="auto"/>
            <w:vAlign w:val="bottom"/>
          </w:tcPr>
          <w:p w14:paraId="247D1619" w14:textId="77777777" w:rsidR="00EF69AD" w:rsidRPr="005F2A60" w:rsidRDefault="00EF69AD" w:rsidP="00AD6CCA">
            <w:pPr>
              <w:ind w:right="18"/>
              <w:jc w:val="right"/>
              <w:rPr>
                <w:bCs w:val="0"/>
                <w:sz w:val="12"/>
                <w:szCs w:val="12"/>
              </w:rPr>
            </w:pPr>
          </w:p>
        </w:tc>
        <w:tc>
          <w:tcPr>
            <w:tcW w:w="960" w:type="dxa"/>
            <w:gridSpan w:val="3"/>
            <w:tcBorders>
              <w:top w:val="nil"/>
              <w:left w:val="nil"/>
              <w:right w:val="nil"/>
            </w:tcBorders>
            <w:shd w:val="clear" w:color="auto" w:fill="auto"/>
            <w:vAlign w:val="bottom"/>
          </w:tcPr>
          <w:p w14:paraId="6DC57BA5" w14:textId="77777777" w:rsidR="00EF69AD" w:rsidRPr="005F2A60" w:rsidRDefault="00EF69AD" w:rsidP="00AD6CCA">
            <w:pPr>
              <w:ind w:right="57"/>
              <w:jc w:val="right"/>
              <w:rPr>
                <w:bCs w:val="0"/>
                <w:sz w:val="12"/>
                <w:szCs w:val="12"/>
              </w:rPr>
            </w:pPr>
          </w:p>
        </w:tc>
        <w:tc>
          <w:tcPr>
            <w:tcW w:w="83" w:type="dxa"/>
            <w:gridSpan w:val="2"/>
            <w:tcBorders>
              <w:left w:val="nil"/>
              <w:right w:val="nil"/>
            </w:tcBorders>
            <w:shd w:val="clear" w:color="auto" w:fill="auto"/>
            <w:vAlign w:val="bottom"/>
          </w:tcPr>
          <w:p w14:paraId="4C255C7B" w14:textId="77777777" w:rsidR="00EF69AD" w:rsidRPr="005F2A60" w:rsidRDefault="00EF69AD" w:rsidP="00AD6CCA">
            <w:pPr>
              <w:ind w:right="57"/>
              <w:jc w:val="right"/>
              <w:rPr>
                <w:bCs w:val="0"/>
                <w:sz w:val="12"/>
                <w:szCs w:val="12"/>
              </w:rPr>
            </w:pPr>
          </w:p>
        </w:tc>
        <w:tc>
          <w:tcPr>
            <w:tcW w:w="1051" w:type="dxa"/>
            <w:gridSpan w:val="3"/>
            <w:tcBorders>
              <w:top w:val="single" w:sz="4" w:space="0" w:color="auto"/>
              <w:left w:val="nil"/>
              <w:right w:val="nil"/>
            </w:tcBorders>
            <w:vAlign w:val="bottom"/>
          </w:tcPr>
          <w:p w14:paraId="5059B7F8" w14:textId="77777777" w:rsidR="00EF69AD" w:rsidRPr="005F2A60" w:rsidRDefault="00EF69AD" w:rsidP="00AD6CCA">
            <w:pPr>
              <w:ind w:left="-57" w:right="57"/>
              <w:jc w:val="right"/>
              <w:rPr>
                <w:bCs w:val="0"/>
                <w:sz w:val="12"/>
                <w:szCs w:val="12"/>
              </w:rPr>
            </w:pPr>
          </w:p>
        </w:tc>
        <w:tc>
          <w:tcPr>
            <w:tcW w:w="83" w:type="dxa"/>
            <w:tcBorders>
              <w:top w:val="nil"/>
              <w:left w:val="nil"/>
              <w:right w:val="nil"/>
            </w:tcBorders>
            <w:vAlign w:val="bottom"/>
          </w:tcPr>
          <w:p w14:paraId="1CF38468" w14:textId="77777777" w:rsidR="00EF69AD" w:rsidRPr="005F2A60" w:rsidRDefault="00EF69AD" w:rsidP="00AD6CCA">
            <w:pPr>
              <w:ind w:left="-57" w:right="57"/>
              <w:jc w:val="right"/>
              <w:rPr>
                <w:bCs w:val="0"/>
                <w:sz w:val="12"/>
                <w:szCs w:val="12"/>
              </w:rPr>
            </w:pPr>
          </w:p>
        </w:tc>
        <w:tc>
          <w:tcPr>
            <w:tcW w:w="1193" w:type="dxa"/>
            <w:gridSpan w:val="2"/>
            <w:tcBorders>
              <w:top w:val="nil"/>
              <w:left w:val="nil"/>
              <w:right w:val="nil"/>
            </w:tcBorders>
            <w:shd w:val="clear" w:color="auto" w:fill="auto"/>
            <w:vAlign w:val="bottom"/>
          </w:tcPr>
          <w:p w14:paraId="452B3F0E" w14:textId="77777777" w:rsidR="00EF69AD" w:rsidRPr="005F2A60" w:rsidRDefault="00EF69AD" w:rsidP="00AD6CCA">
            <w:pPr>
              <w:ind w:left="-57" w:right="57"/>
              <w:jc w:val="right"/>
              <w:rPr>
                <w:bCs w:val="0"/>
                <w:sz w:val="12"/>
                <w:szCs w:val="12"/>
              </w:rPr>
            </w:pPr>
          </w:p>
        </w:tc>
        <w:tc>
          <w:tcPr>
            <w:tcW w:w="1417" w:type="dxa"/>
            <w:gridSpan w:val="2"/>
            <w:tcBorders>
              <w:top w:val="nil"/>
              <w:left w:val="nil"/>
              <w:bottom w:val="nil"/>
              <w:right w:val="nil"/>
            </w:tcBorders>
            <w:shd w:val="clear" w:color="auto" w:fill="auto"/>
            <w:vAlign w:val="bottom"/>
          </w:tcPr>
          <w:p w14:paraId="271EDB8C" w14:textId="77777777" w:rsidR="00EF69AD" w:rsidRPr="005F2A60" w:rsidRDefault="00EF69AD" w:rsidP="00AD6CCA">
            <w:pPr>
              <w:tabs>
                <w:tab w:val="left" w:pos="1360"/>
                <w:tab w:val="left" w:pos="1410"/>
              </w:tabs>
              <w:ind w:right="72"/>
              <w:jc w:val="right"/>
              <w:rPr>
                <w:i/>
                <w:iCs/>
                <w:sz w:val="14"/>
                <w:szCs w:val="14"/>
              </w:rPr>
            </w:pPr>
          </w:p>
        </w:tc>
      </w:tr>
      <w:tr w:rsidR="00EF69AD" w:rsidRPr="005F2A60" w14:paraId="6FDA0801" w14:textId="77777777" w:rsidTr="003734F4">
        <w:trPr>
          <w:gridAfter w:val="1"/>
          <w:wAfter w:w="20" w:type="dxa"/>
          <w:cantSplit/>
        </w:trPr>
        <w:tc>
          <w:tcPr>
            <w:tcW w:w="1877" w:type="dxa"/>
            <w:tcBorders>
              <w:top w:val="nil"/>
              <w:left w:val="nil"/>
              <w:right w:val="nil"/>
            </w:tcBorders>
            <w:shd w:val="clear" w:color="auto" w:fill="auto"/>
            <w:vAlign w:val="bottom"/>
          </w:tcPr>
          <w:p w14:paraId="298FE217" w14:textId="77777777" w:rsidR="00EF69AD" w:rsidRDefault="00EF69AD" w:rsidP="00AD6CCA">
            <w:pPr>
              <w:ind w:left="680" w:right="17" w:hanging="255"/>
              <w:rPr>
                <w:b/>
                <w:bCs w:val="0"/>
                <w:sz w:val="14"/>
                <w:szCs w:val="14"/>
                <w:u w:val="single"/>
              </w:rPr>
            </w:pPr>
            <w:r w:rsidRPr="005F2A60">
              <w:rPr>
                <w:b/>
                <w:bCs w:val="0"/>
                <w:sz w:val="14"/>
                <w:szCs w:val="14"/>
                <w:u w:val="single"/>
              </w:rPr>
              <w:t>Aset sewa</w:t>
            </w:r>
          </w:p>
          <w:p w14:paraId="5C6E82C1" w14:textId="62C48E31" w:rsidR="00EF69AD" w:rsidRPr="005F2A60" w:rsidRDefault="00EF69AD" w:rsidP="00AD6CCA">
            <w:pPr>
              <w:ind w:left="680" w:right="17" w:hanging="115"/>
              <w:rPr>
                <w:bCs w:val="0"/>
                <w:sz w:val="14"/>
                <w:szCs w:val="14"/>
              </w:rPr>
            </w:pPr>
            <w:r w:rsidRPr="005F2A60">
              <w:rPr>
                <w:b/>
                <w:bCs w:val="0"/>
                <w:sz w:val="14"/>
                <w:szCs w:val="14"/>
                <w:u w:val="single"/>
              </w:rPr>
              <w:t>pembiayaan</w:t>
            </w:r>
          </w:p>
        </w:tc>
        <w:tc>
          <w:tcPr>
            <w:tcW w:w="1134" w:type="dxa"/>
            <w:tcBorders>
              <w:top w:val="nil"/>
              <w:left w:val="nil"/>
              <w:right w:val="nil"/>
            </w:tcBorders>
            <w:shd w:val="clear" w:color="auto" w:fill="auto"/>
            <w:vAlign w:val="bottom"/>
          </w:tcPr>
          <w:p w14:paraId="169B1070" w14:textId="77777777" w:rsidR="00EF69AD" w:rsidRPr="005F2A60" w:rsidRDefault="00EF69AD" w:rsidP="00AD6CCA">
            <w:pPr>
              <w:ind w:left="-57" w:right="57"/>
              <w:jc w:val="right"/>
              <w:rPr>
                <w:bCs w:val="0"/>
                <w:sz w:val="12"/>
                <w:szCs w:val="12"/>
              </w:rPr>
            </w:pPr>
          </w:p>
        </w:tc>
        <w:tc>
          <w:tcPr>
            <w:tcW w:w="83" w:type="dxa"/>
            <w:tcBorders>
              <w:top w:val="nil"/>
              <w:left w:val="nil"/>
              <w:right w:val="nil"/>
            </w:tcBorders>
            <w:shd w:val="clear" w:color="auto" w:fill="auto"/>
            <w:vAlign w:val="bottom"/>
          </w:tcPr>
          <w:p w14:paraId="55D268DC" w14:textId="77777777" w:rsidR="00EF69AD" w:rsidRPr="005F2A60" w:rsidRDefault="00EF69AD" w:rsidP="00AD6CCA">
            <w:pPr>
              <w:ind w:right="18"/>
              <w:jc w:val="right"/>
              <w:rPr>
                <w:bCs w:val="0"/>
                <w:sz w:val="12"/>
                <w:szCs w:val="12"/>
              </w:rPr>
            </w:pPr>
          </w:p>
        </w:tc>
        <w:tc>
          <w:tcPr>
            <w:tcW w:w="1051" w:type="dxa"/>
            <w:tcBorders>
              <w:top w:val="nil"/>
              <w:left w:val="nil"/>
              <w:right w:val="nil"/>
            </w:tcBorders>
            <w:shd w:val="clear" w:color="auto" w:fill="auto"/>
            <w:vAlign w:val="bottom"/>
          </w:tcPr>
          <w:p w14:paraId="040DA767" w14:textId="77777777" w:rsidR="00EF69AD" w:rsidRPr="005F2A60" w:rsidRDefault="00EF69AD" w:rsidP="00AD6CCA">
            <w:pPr>
              <w:ind w:right="57"/>
              <w:jc w:val="right"/>
              <w:rPr>
                <w:bCs w:val="0"/>
                <w:sz w:val="12"/>
                <w:szCs w:val="12"/>
              </w:rPr>
            </w:pPr>
          </w:p>
        </w:tc>
        <w:tc>
          <w:tcPr>
            <w:tcW w:w="91" w:type="dxa"/>
            <w:tcBorders>
              <w:top w:val="nil"/>
              <w:left w:val="nil"/>
              <w:right w:val="nil"/>
            </w:tcBorders>
            <w:shd w:val="clear" w:color="auto" w:fill="auto"/>
            <w:vAlign w:val="bottom"/>
          </w:tcPr>
          <w:p w14:paraId="1ADBC7FA" w14:textId="77777777" w:rsidR="00EF69AD" w:rsidRPr="005F2A60" w:rsidRDefault="00EF69AD" w:rsidP="00AD6CCA">
            <w:pPr>
              <w:ind w:right="18"/>
              <w:jc w:val="right"/>
              <w:rPr>
                <w:bCs w:val="0"/>
                <w:sz w:val="12"/>
                <w:szCs w:val="12"/>
              </w:rPr>
            </w:pPr>
          </w:p>
        </w:tc>
        <w:tc>
          <w:tcPr>
            <w:tcW w:w="83" w:type="dxa"/>
            <w:tcBorders>
              <w:top w:val="nil"/>
              <w:left w:val="nil"/>
              <w:right w:val="nil"/>
            </w:tcBorders>
            <w:shd w:val="clear" w:color="auto" w:fill="auto"/>
            <w:vAlign w:val="bottom"/>
          </w:tcPr>
          <w:p w14:paraId="428B9950" w14:textId="77777777" w:rsidR="00EF69AD" w:rsidRPr="005F2A60" w:rsidRDefault="00EF69AD" w:rsidP="00AD6CCA">
            <w:pPr>
              <w:ind w:right="18"/>
              <w:jc w:val="right"/>
              <w:rPr>
                <w:bCs w:val="0"/>
                <w:sz w:val="12"/>
                <w:szCs w:val="12"/>
              </w:rPr>
            </w:pPr>
          </w:p>
        </w:tc>
        <w:tc>
          <w:tcPr>
            <w:tcW w:w="960" w:type="dxa"/>
            <w:gridSpan w:val="3"/>
            <w:tcBorders>
              <w:top w:val="nil"/>
              <w:left w:val="nil"/>
              <w:right w:val="nil"/>
            </w:tcBorders>
            <w:shd w:val="clear" w:color="auto" w:fill="auto"/>
            <w:vAlign w:val="bottom"/>
          </w:tcPr>
          <w:p w14:paraId="0085690F" w14:textId="77777777" w:rsidR="00EF69AD" w:rsidRPr="005F2A60" w:rsidRDefault="00EF69AD" w:rsidP="00AD6CCA">
            <w:pPr>
              <w:ind w:right="57"/>
              <w:jc w:val="right"/>
              <w:rPr>
                <w:bCs w:val="0"/>
                <w:sz w:val="12"/>
                <w:szCs w:val="12"/>
              </w:rPr>
            </w:pPr>
          </w:p>
        </w:tc>
        <w:tc>
          <w:tcPr>
            <w:tcW w:w="83" w:type="dxa"/>
            <w:gridSpan w:val="2"/>
            <w:tcBorders>
              <w:left w:val="nil"/>
              <w:right w:val="nil"/>
            </w:tcBorders>
            <w:shd w:val="clear" w:color="auto" w:fill="auto"/>
            <w:vAlign w:val="bottom"/>
          </w:tcPr>
          <w:p w14:paraId="191C1382" w14:textId="77777777" w:rsidR="00EF69AD" w:rsidRPr="005F2A60" w:rsidRDefault="00EF69AD" w:rsidP="00AD6CCA">
            <w:pPr>
              <w:ind w:right="57"/>
              <w:jc w:val="right"/>
              <w:rPr>
                <w:bCs w:val="0"/>
                <w:sz w:val="12"/>
                <w:szCs w:val="12"/>
              </w:rPr>
            </w:pPr>
          </w:p>
        </w:tc>
        <w:tc>
          <w:tcPr>
            <w:tcW w:w="1051" w:type="dxa"/>
            <w:gridSpan w:val="3"/>
            <w:tcBorders>
              <w:left w:val="nil"/>
              <w:right w:val="nil"/>
            </w:tcBorders>
            <w:vAlign w:val="bottom"/>
          </w:tcPr>
          <w:p w14:paraId="65251866" w14:textId="77777777" w:rsidR="00EF69AD" w:rsidRPr="005F2A60" w:rsidRDefault="00EF69AD" w:rsidP="00AD6CCA">
            <w:pPr>
              <w:ind w:left="-57" w:right="57"/>
              <w:jc w:val="right"/>
              <w:rPr>
                <w:bCs w:val="0"/>
                <w:sz w:val="12"/>
                <w:szCs w:val="12"/>
              </w:rPr>
            </w:pPr>
          </w:p>
        </w:tc>
        <w:tc>
          <w:tcPr>
            <w:tcW w:w="83" w:type="dxa"/>
            <w:tcBorders>
              <w:top w:val="nil"/>
              <w:left w:val="nil"/>
              <w:right w:val="nil"/>
            </w:tcBorders>
            <w:vAlign w:val="bottom"/>
          </w:tcPr>
          <w:p w14:paraId="5B25F2E8" w14:textId="77777777" w:rsidR="00EF69AD" w:rsidRPr="005F2A60" w:rsidRDefault="00EF69AD" w:rsidP="00AD6CCA">
            <w:pPr>
              <w:ind w:left="-57" w:right="57"/>
              <w:jc w:val="right"/>
              <w:rPr>
                <w:bCs w:val="0"/>
                <w:sz w:val="12"/>
                <w:szCs w:val="12"/>
              </w:rPr>
            </w:pPr>
          </w:p>
        </w:tc>
        <w:tc>
          <w:tcPr>
            <w:tcW w:w="1193" w:type="dxa"/>
            <w:gridSpan w:val="2"/>
            <w:tcBorders>
              <w:top w:val="nil"/>
              <w:left w:val="nil"/>
              <w:right w:val="nil"/>
            </w:tcBorders>
            <w:shd w:val="clear" w:color="auto" w:fill="auto"/>
            <w:vAlign w:val="bottom"/>
          </w:tcPr>
          <w:p w14:paraId="59E49B73" w14:textId="77777777" w:rsidR="00EF69AD" w:rsidRPr="005F2A60" w:rsidRDefault="00EF69AD" w:rsidP="00AD6CCA">
            <w:pPr>
              <w:ind w:left="-57" w:right="57"/>
              <w:jc w:val="right"/>
              <w:rPr>
                <w:bCs w:val="0"/>
                <w:sz w:val="12"/>
                <w:szCs w:val="12"/>
              </w:rPr>
            </w:pPr>
          </w:p>
        </w:tc>
        <w:tc>
          <w:tcPr>
            <w:tcW w:w="1417" w:type="dxa"/>
            <w:gridSpan w:val="2"/>
            <w:tcBorders>
              <w:top w:val="nil"/>
              <w:left w:val="nil"/>
              <w:bottom w:val="nil"/>
              <w:right w:val="nil"/>
            </w:tcBorders>
            <w:shd w:val="clear" w:color="auto" w:fill="auto"/>
            <w:vAlign w:val="bottom"/>
          </w:tcPr>
          <w:p w14:paraId="322C7D92" w14:textId="0265EC64" w:rsidR="00EF69AD" w:rsidRPr="005F2A60" w:rsidRDefault="00EF69AD" w:rsidP="00AD6CCA">
            <w:pPr>
              <w:tabs>
                <w:tab w:val="left" w:pos="1360"/>
                <w:tab w:val="left" w:pos="1410"/>
              </w:tabs>
              <w:ind w:right="72"/>
              <w:jc w:val="right"/>
              <w:rPr>
                <w:b/>
                <w:i/>
                <w:iCs/>
                <w:sz w:val="14"/>
                <w:szCs w:val="14"/>
                <w:u w:val="single"/>
              </w:rPr>
            </w:pPr>
            <w:r w:rsidRPr="005F2A60">
              <w:rPr>
                <w:b/>
                <w:i/>
                <w:iCs/>
                <w:sz w:val="14"/>
                <w:szCs w:val="14"/>
                <w:u w:val="single"/>
              </w:rPr>
              <w:t>Leassed asset</w:t>
            </w:r>
          </w:p>
        </w:tc>
      </w:tr>
      <w:tr w:rsidR="00EF69AD" w:rsidRPr="005F2A60" w14:paraId="6D3E345D" w14:textId="77777777" w:rsidTr="003734F4">
        <w:trPr>
          <w:gridAfter w:val="1"/>
          <w:wAfter w:w="20" w:type="dxa"/>
          <w:cantSplit/>
        </w:trPr>
        <w:tc>
          <w:tcPr>
            <w:tcW w:w="1877" w:type="dxa"/>
            <w:tcBorders>
              <w:top w:val="nil"/>
              <w:left w:val="nil"/>
              <w:right w:val="nil"/>
            </w:tcBorders>
            <w:shd w:val="clear" w:color="auto" w:fill="auto"/>
            <w:vAlign w:val="bottom"/>
          </w:tcPr>
          <w:p w14:paraId="1A71F086" w14:textId="77777777" w:rsidR="00EF69AD" w:rsidRPr="005F2A60" w:rsidRDefault="00EF69AD" w:rsidP="00AD6CCA">
            <w:pPr>
              <w:spacing w:line="160" w:lineRule="exact"/>
              <w:ind w:left="680" w:right="74" w:hanging="255"/>
              <w:rPr>
                <w:bCs w:val="0"/>
                <w:sz w:val="14"/>
                <w:szCs w:val="14"/>
              </w:rPr>
            </w:pPr>
          </w:p>
        </w:tc>
        <w:tc>
          <w:tcPr>
            <w:tcW w:w="1134" w:type="dxa"/>
            <w:tcBorders>
              <w:top w:val="nil"/>
              <w:left w:val="nil"/>
              <w:right w:val="nil"/>
            </w:tcBorders>
            <w:shd w:val="clear" w:color="auto" w:fill="auto"/>
            <w:vAlign w:val="bottom"/>
          </w:tcPr>
          <w:p w14:paraId="2024F636" w14:textId="77777777" w:rsidR="00EF69AD" w:rsidRPr="005F2A60" w:rsidRDefault="00EF69AD" w:rsidP="00AD6CCA">
            <w:pPr>
              <w:ind w:left="-57" w:right="57"/>
              <w:jc w:val="right"/>
              <w:rPr>
                <w:bCs w:val="0"/>
                <w:sz w:val="12"/>
                <w:szCs w:val="12"/>
              </w:rPr>
            </w:pPr>
          </w:p>
        </w:tc>
        <w:tc>
          <w:tcPr>
            <w:tcW w:w="83" w:type="dxa"/>
            <w:tcBorders>
              <w:top w:val="nil"/>
              <w:left w:val="nil"/>
              <w:right w:val="nil"/>
            </w:tcBorders>
            <w:shd w:val="clear" w:color="auto" w:fill="auto"/>
            <w:vAlign w:val="bottom"/>
          </w:tcPr>
          <w:p w14:paraId="45062B91" w14:textId="77777777" w:rsidR="00EF69AD" w:rsidRPr="005F2A60" w:rsidRDefault="00EF69AD" w:rsidP="00AD6CCA">
            <w:pPr>
              <w:ind w:right="18"/>
              <w:jc w:val="right"/>
              <w:rPr>
                <w:bCs w:val="0"/>
                <w:sz w:val="12"/>
                <w:szCs w:val="12"/>
              </w:rPr>
            </w:pPr>
          </w:p>
        </w:tc>
        <w:tc>
          <w:tcPr>
            <w:tcW w:w="1051" w:type="dxa"/>
            <w:tcBorders>
              <w:top w:val="nil"/>
              <w:left w:val="nil"/>
              <w:right w:val="nil"/>
            </w:tcBorders>
            <w:shd w:val="clear" w:color="auto" w:fill="auto"/>
            <w:vAlign w:val="bottom"/>
          </w:tcPr>
          <w:p w14:paraId="18C22B20" w14:textId="77777777" w:rsidR="00EF69AD" w:rsidRPr="005F2A60" w:rsidRDefault="00EF69AD" w:rsidP="00AD6CCA">
            <w:pPr>
              <w:ind w:right="57"/>
              <w:jc w:val="right"/>
              <w:rPr>
                <w:bCs w:val="0"/>
                <w:sz w:val="12"/>
                <w:szCs w:val="12"/>
              </w:rPr>
            </w:pPr>
          </w:p>
        </w:tc>
        <w:tc>
          <w:tcPr>
            <w:tcW w:w="91" w:type="dxa"/>
            <w:tcBorders>
              <w:top w:val="nil"/>
              <w:left w:val="nil"/>
              <w:right w:val="nil"/>
            </w:tcBorders>
            <w:shd w:val="clear" w:color="auto" w:fill="auto"/>
            <w:vAlign w:val="bottom"/>
          </w:tcPr>
          <w:p w14:paraId="6BFD2F1B" w14:textId="77777777" w:rsidR="00EF69AD" w:rsidRPr="005F2A60" w:rsidRDefault="00EF69AD" w:rsidP="00AD6CCA">
            <w:pPr>
              <w:ind w:right="18"/>
              <w:jc w:val="right"/>
              <w:rPr>
                <w:bCs w:val="0"/>
                <w:sz w:val="12"/>
                <w:szCs w:val="12"/>
              </w:rPr>
            </w:pPr>
          </w:p>
        </w:tc>
        <w:tc>
          <w:tcPr>
            <w:tcW w:w="83" w:type="dxa"/>
            <w:tcBorders>
              <w:top w:val="nil"/>
              <w:left w:val="nil"/>
              <w:right w:val="nil"/>
            </w:tcBorders>
            <w:shd w:val="clear" w:color="auto" w:fill="auto"/>
            <w:vAlign w:val="bottom"/>
          </w:tcPr>
          <w:p w14:paraId="3EA0468B" w14:textId="77777777" w:rsidR="00EF69AD" w:rsidRPr="005F2A60" w:rsidRDefault="00EF69AD" w:rsidP="00AD6CCA">
            <w:pPr>
              <w:ind w:right="18"/>
              <w:jc w:val="right"/>
              <w:rPr>
                <w:bCs w:val="0"/>
                <w:sz w:val="12"/>
                <w:szCs w:val="12"/>
              </w:rPr>
            </w:pPr>
          </w:p>
        </w:tc>
        <w:tc>
          <w:tcPr>
            <w:tcW w:w="960" w:type="dxa"/>
            <w:gridSpan w:val="3"/>
            <w:tcBorders>
              <w:top w:val="nil"/>
              <w:left w:val="nil"/>
              <w:right w:val="nil"/>
            </w:tcBorders>
            <w:shd w:val="clear" w:color="auto" w:fill="auto"/>
            <w:vAlign w:val="bottom"/>
          </w:tcPr>
          <w:p w14:paraId="25BF2015" w14:textId="77777777" w:rsidR="00EF69AD" w:rsidRPr="005F2A60" w:rsidRDefault="00EF69AD" w:rsidP="00AD6CCA">
            <w:pPr>
              <w:ind w:right="57"/>
              <w:jc w:val="right"/>
              <w:rPr>
                <w:bCs w:val="0"/>
                <w:sz w:val="12"/>
                <w:szCs w:val="12"/>
              </w:rPr>
            </w:pPr>
          </w:p>
        </w:tc>
        <w:tc>
          <w:tcPr>
            <w:tcW w:w="83" w:type="dxa"/>
            <w:gridSpan w:val="2"/>
            <w:tcBorders>
              <w:left w:val="nil"/>
              <w:right w:val="nil"/>
            </w:tcBorders>
            <w:shd w:val="clear" w:color="auto" w:fill="auto"/>
            <w:vAlign w:val="bottom"/>
          </w:tcPr>
          <w:p w14:paraId="303E9A73" w14:textId="77777777" w:rsidR="00EF69AD" w:rsidRPr="005F2A60" w:rsidRDefault="00EF69AD" w:rsidP="00AD6CCA">
            <w:pPr>
              <w:ind w:right="57"/>
              <w:jc w:val="right"/>
              <w:rPr>
                <w:bCs w:val="0"/>
                <w:sz w:val="12"/>
                <w:szCs w:val="12"/>
              </w:rPr>
            </w:pPr>
          </w:p>
        </w:tc>
        <w:tc>
          <w:tcPr>
            <w:tcW w:w="1051" w:type="dxa"/>
            <w:gridSpan w:val="3"/>
            <w:tcBorders>
              <w:left w:val="nil"/>
              <w:right w:val="nil"/>
            </w:tcBorders>
            <w:vAlign w:val="bottom"/>
          </w:tcPr>
          <w:p w14:paraId="6CB7F8EE" w14:textId="77777777" w:rsidR="00EF69AD" w:rsidRPr="005F2A60" w:rsidRDefault="00EF69AD" w:rsidP="00AD6CCA">
            <w:pPr>
              <w:ind w:left="-57" w:right="57"/>
              <w:jc w:val="right"/>
              <w:rPr>
                <w:bCs w:val="0"/>
                <w:sz w:val="12"/>
                <w:szCs w:val="12"/>
              </w:rPr>
            </w:pPr>
          </w:p>
        </w:tc>
        <w:tc>
          <w:tcPr>
            <w:tcW w:w="83" w:type="dxa"/>
            <w:tcBorders>
              <w:top w:val="nil"/>
              <w:left w:val="nil"/>
              <w:right w:val="nil"/>
            </w:tcBorders>
            <w:vAlign w:val="bottom"/>
          </w:tcPr>
          <w:p w14:paraId="68D5A36A" w14:textId="77777777" w:rsidR="00EF69AD" w:rsidRPr="005F2A60" w:rsidRDefault="00EF69AD" w:rsidP="00AD6CCA">
            <w:pPr>
              <w:ind w:left="-57" w:right="57"/>
              <w:jc w:val="right"/>
              <w:rPr>
                <w:bCs w:val="0"/>
                <w:sz w:val="12"/>
                <w:szCs w:val="12"/>
              </w:rPr>
            </w:pPr>
          </w:p>
        </w:tc>
        <w:tc>
          <w:tcPr>
            <w:tcW w:w="1193" w:type="dxa"/>
            <w:gridSpan w:val="2"/>
            <w:tcBorders>
              <w:top w:val="nil"/>
              <w:left w:val="nil"/>
              <w:right w:val="nil"/>
            </w:tcBorders>
            <w:shd w:val="clear" w:color="auto" w:fill="auto"/>
            <w:vAlign w:val="bottom"/>
          </w:tcPr>
          <w:p w14:paraId="66EB1B5B" w14:textId="77777777" w:rsidR="00EF69AD" w:rsidRPr="005F2A60" w:rsidRDefault="00EF69AD" w:rsidP="00AD6CCA">
            <w:pPr>
              <w:ind w:left="-57" w:right="57"/>
              <w:jc w:val="right"/>
              <w:rPr>
                <w:bCs w:val="0"/>
                <w:sz w:val="12"/>
                <w:szCs w:val="12"/>
              </w:rPr>
            </w:pPr>
          </w:p>
        </w:tc>
        <w:tc>
          <w:tcPr>
            <w:tcW w:w="1417" w:type="dxa"/>
            <w:gridSpan w:val="2"/>
            <w:tcBorders>
              <w:top w:val="nil"/>
              <w:left w:val="nil"/>
              <w:bottom w:val="nil"/>
              <w:right w:val="nil"/>
            </w:tcBorders>
            <w:shd w:val="clear" w:color="auto" w:fill="auto"/>
            <w:vAlign w:val="bottom"/>
          </w:tcPr>
          <w:p w14:paraId="648569F1" w14:textId="77777777" w:rsidR="00EF69AD" w:rsidRPr="005F2A60" w:rsidRDefault="00EF69AD" w:rsidP="00AD6CCA">
            <w:pPr>
              <w:tabs>
                <w:tab w:val="left" w:pos="1360"/>
                <w:tab w:val="left" w:pos="1410"/>
              </w:tabs>
              <w:ind w:right="72"/>
              <w:jc w:val="right"/>
              <w:rPr>
                <w:i/>
                <w:iCs/>
                <w:sz w:val="14"/>
                <w:szCs w:val="14"/>
              </w:rPr>
            </w:pPr>
          </w:p>
        </w:tc>
      </w:tr>
      <w:tr w:rsidR="003734F4" w:rsidRPr="005F2A60" w14:paraId="76307B06" w14:textId="77777777" w:rsidTr="003734F4">
        <w:trPr>
          <w:gridAfter w:val="1"/>
          <w:wAfter w:w="20" w:type="dxa"/>
          <w:cantSplit/>
        </w:trPr>
        <w:tc>
          <w:tcPr>
            <w:tcW w:w="1877" w:type="dxa"/>
            <w:tcBorders>
              <w:top w:val="nil"/>
              <w:left w:val="nil"/>
              <w:right w:val="nil"/>
            </w:tcBorders>
            <w:shd w:val="clear" w:color="auto" w:fill="auto"/>
            <w:vAlign w:val="bottom"/>
          </w:tcPr>
          <w:p w14:paraId="066BD09F" w14:textId="77777777" w:rsidR="003734F4" w:rsidRPr="005F2A60" w:rsidRDefault="003734F4" w:rsidP="003734F4">
            <w:pPr>
              <w:spacing w:line="160" w:lineRule="exact"/>
              <w:ind w:left="680" w:right="74" w:hanging="255"/>
              <w:rPr>
                <w:bCs w:val="0"/>
                <w:sz w:val="14"/>
                <w:szCs w:val="14"/>
              </w:rPr>
            </w:pPr>
            <w:r w:rsidRPr="005F2A60">
              <w:rPr>
                <w:bCs w:val="0"/>
                <w:sz w:val="14"/>
                <w:szCs w:val="14"/>
              </w:rPr>
              <w:t>Kendaraan</w:t>
            </w:r>
          </w:p>
        </w:tc>
        <w:tc>
          <w:tcPr>
            <w:tcW w:w="1134" w:type="dxa"/>
            <w:tcBorders>
              <w:top w:val="nil"/>
              <w:left w:val="nil"/>
              <w:bottom w:val="single" w:sz="4" w:space="0" w:color="auto"/>
              <w:right w:val="nil"/>
            </w:tcBorders>
            <w:shd w:val="clear" w:color="auto" w:fill="auto"/>
            <w:vAlign w:val="bottom"/>
          </w:tcPr>
          <w:p w14:paraId="712F0866" w14:textId="5D8AE45E" w:rsidR="003734F4" w:rsidRPr="005F2A60" w:rsidRDefault="003734F4" w:rsidP="003734F4">
            <w:pPr>
              <w:ind w:left="-57" w:right="57"/>
              <w:jc w:val="right"/>
              <w:rPr>
                <w:bCs w:val="0"/>
                <w:sz w:val="12"/>
                <w:szCs w:val="12"/>
              </w:rPr>
            </w:pPr>
            <w:r w:rsidRPr="001775FB">
              <w:rPr>
                <w:bCs w:val="0"/>
                <w:sz w:val="12"/>
                <w:szCs w:val="12"/>
              </w:rPr>
              <w:t>2.629.400.000</w:t>
            </w:r>
          </w:p>
        </w:tc>
        <w:tc>
          <w:tcPr>
            <w:tcW w:w="83" w:type="dxa"/>
            <w:tcBorders>
              <w:top w:val="nil"/>
              <w:left w:val="nil"/>
              <w:right w:val="nil"/>
            </w:tcBorders>
            <w:shd w:val="clear" w:color="auto" w:fill="auto"/>
            <w:vAlign w:val="bottom"/>
          </w:tcPr>
          <w:p w14:paraId="34622A71" w14:textId="77777777" w:rsidR="003734F4" w:rsidRPr="005F2A60" w:rsidRDefault="003734F4" w:rsidP="003734F4">
            <w:pPr>
              <w:ind w:right="18"/>
              <w:jc w:val="right"/>
              <w:rPr>
                <w:bCs w:val="0"/>
                <w:sz w:val="12"/>
                <w:szCs w:val="12"/>
              </w:rPr>
            </w:pPr>
          </w:p>
        </w:tc>
        <w:tc>
          <w:tcPr>
            <w:tcW w:w="1051" w:type="dxa"/>
            <w:tcBorders>
              <w:top w:val="nil"/>
              <w:left w:val="nil"/>
              <w:bottom w:val="single" w:sz="4" w:space="0" w:color="auto"/>
              <w:right w:val="nil"/>
            </w:tcBorders>
            <w:shd w:val="clear" w:color="auto" w:fill="auto"/>
            <w:vAlign w:val="bottom"/>
          </w:tcPr>
          <w:p w14:paraId="3502EE6B" w14:textId="6ABA9F5E" w:rsidR="003734F4" w:rsidRPr="005F2A60" w:rsidRDefault="003734F4" w:rsidP="003734F4">
            <w:pPr>
              <w:ind w:right="57"/>
              <w:jc w:val="right"/>
              <w:rPr>
                <w:bCs w:val="0"/>
                <w:sz w:val="12"/>
                <w:szCs w:val="12"/>
              </w:rPr>
            </w:pPr>
            <w:r w:rsidRPr="001775FB">
              <w:rPr>
                <w:bCs w:val="0"/>
                <w:sz w:val="12"/>
                <w:szCs w:val="12"/>
                <w:lang w:val="id-ID"/>
              </w:rPr>
              <w:t>-</w:t>
            </w:r>
          </w:p>
        </w:tc>
        <w:tc>
          <w:tcPr>
            <w:tcW w:w="91" w:type="dxa"/>
            <w:tcBorders>
              <w:top w:val="nil"/>
              <w:left w:val="nil"/>
              <w:right w:val="nil"/>
            </w:tcBorders>
            <w:shd w:val="clear" w:color="auto" w:fill="auto"/>
            <w:vAlign w:val="bottom"/>
          </w:tcPr>
          <w:p w14:paraId="4C814FA5"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04638502" w14:textId="77777777" w:rsidR="003734F4" w:rsidRPr="005F2A60" w:rsidRDefault="003734F4" w:rsidP="003734F4">
            <w:pPr>
              <w:ind w:right="18"/>
              <w:jc w:val="right"/>
              <w:rPr>
                <w:bCs w:val="0"/>
                <w:sz w:val="12"/>
                <w:szCs w:val="12"/>
              </w:rPr>
            </w:pPr>
          </w:p>
        </w:tc>
        <w:tc>
          <w:tcPr>
            <w:tcW w:w="960" w:type="dxa"/>
            <w:gridSpan w:val="3"/>
            <w:tcBorders>
              <w:top w:val="nil"/>
              <w:left w:val="nil"/>
              <w:bottom w:val="single" w:sz="4" w:space="0" w:color="auto"/>
              <w:right w:val="nil"/>
            </w:tcBorders>
            <w:shd w:val="clear" w:color="auto" w:fill="auto"/>
            <w:vAlign w:val="bottom"/>
          </w:tcPr>
          <w:p w14:paraId="78F23E9E" w14:textId="2B796B27" w:rsidR="003734F4" w:rsidRPr="005F2A60" w:rsidRDefault="003734F4" w:rsidP="003734F4">
            <w:pPr>
              <w:ind w:right="57"/>
              <w:jc w:val="right"/>
              <w:rPr>
                <w:bCs w:val="0"/>
                <w:sz w:val="12"/>
                <w:szCs w:val="12"/>
              </w:rPr>
            </w:pPr>
            <w:r w:rsidRPr="001775FB">
              <w:rPr>
                <w:bCs w:val="0"/>
                <w:sz w:val="12"/>
                <w:szCs w:val="12"/>
                <w:lang w:val="id-ID"/>
              </w:rPr>
              <w:t>-</w:t>
            </w:r>
          </w:p>
        </w:tc>
        <w:tc>
          <w:tcPr>
            <w:tcW w:w="83" w:type="dxa"/>
            <w:gridSpan w:val="2"/>
            <w:tcBorders>
              <w:left w:val="nil"/>
              <w:right w:val="nil"/>
            </w:tcBorders>
            <w:shd w:val="clear" w:color="auto" w:fill="auto"/>
            <w:vAlign w:val="bottom"/>
          </w:tcPr>
          <w:p w14:paraId="005929A4" w14:textId="77777777" w:rsidR="003734F4" w:rsidRPr="005F2A60" w:rsidRDefault="003734F4" w:rsidP="003734F4">
            <w:pPr>
              <w:ind w:right="57"/>
              <w:jc w:val="right"/>
              <w:rPr>
                <w:bCs w:val="0"/>
                <w:sz w:val="12"/>
                <w:szCs w:val="12"/>
              </w:rPr>
            </w:pPr>
          </w:p>
        </w:tc>
        <w:tc>
          <w:tcPr>
            <w:tcW w:w="1051" w:type="dxa"/>
            <w:gridSpan w:val="3"/>
            <w:tcBorders>
              <w:left w:val="nil"/>
              <w:bottom w:val="single" w:sz="4" w:space="0" w:color="auto"/>
              <w:right w:val="nil"/>
            </w:tcBorders>
            <w:vAlign w:val="bottom"/>
          </w:tcPr>
          <w:p w14:paraId="779F1DD0" w14:textId="4978E10E" w:rsidR="003734F4" w:rsidRPr="005F2A60" w:rsidRDefault="003734F4" w:rsidP="003734F4">
            <w:pPr>
              <w:spacing w:line="160" w:lineRule="exact"/>
              <w:ind w:left="-57" w:right="28"/>
              <w:jc w:val="right"/>
              <w:rPr>
                <w:spacing w:val="-1"/>
                <w:w w:val="105"/>
                <w:sz w:val="12"/>
                <w:szCs w:val="12"/>
              </w:rPr>
            </w:pPr>
            <w:r w:rsidRPr="001775FB">
              <w:rPr>
                <w:spacing w:val="-1"/>
                <w:w w:val="105"/>
                <w:sz w:val="12"/>
                <w:szCs w:val="12"/>
              </w:rPr>
              <w:t>(2.629.400.000)</w:t>
            </w:r>
          </w:p>
        </w:tc>
        <w:tc>
          <w:tcPr>
            <w:tcW w:w="83" w:type="dxa"/>
            <w:tcBorders>
              <w:top w:val="nil"/>
              <w:left w:val="nil"/>
              <w:right w:val="nil"/>
            </w:tcBorders>
            <w:vAlign w:val="bottom"/>
          </w:tcPr>
          <w:p w14:paraId="2E47BF55" w14:textId="77777777" w:rsidR="003734F4" w:rsidRPr="005F2A60" w:rsidRDefault="003734F4" w:rsidP="003734F4">
            <w:pPr>
              <w:spacing w:line="160" w:lineRule="exact"/>
              <w:ind w:left="-57" w:right="28"/>
              <w:jc w:val="right"/>
              <w:rPr>
                <w:spacing w:val="-1"/>
                <w:w w:val="105"/>
                <w:sz w:val="12"/>
                <w:szCs w:val="12"/>
              </w:rPr>
            </w:pPr>
          </w:p>
        </w:tc>
        <w:tc>
          <w:tcPr>
            <w:tcW w:w="1193" w:type="dxa"/>
            <w:gridSpan w:val="2"/>
            <w:tcBorders>
              <w:top w:val="nil"/>
              <w:left w:val="nil"/>
              <w:bottom w:val="single" w:sz="4" w:space="0" w:color="auto"/>
              <w:right w:val="nil"/>
            </w:tcBorders>
            <w:shd w:val="clear" w:color="auto" w:fill="auto"/>
            <w:vAlign w:val="bottom"/>
          </w:tcPr>
          <w:p w14:paraId="1183F108" w14:textId="7A15A1DF" w:rsidR="003734F4" w:rsidRPr="005F2A60" w:rsidRDefault="003734F4" w:rsidP="003734F4">
            <w:pPr>
              <w:ind w:left="-57" w:right="57"/>
              <w:jc w:val="right"/>
              <w:rPr>
                <w:bCs w:val="0"/>
                <w:sz w:val="12"/>
                <w:szCs w:val="12"/>
              </w:rPr>
            </w:pPr>
            <w:r w:rsidRPr="001775FB">
              <w:rPr>
                <w:bCs w:val="0"/>
                <w:sz w:val="12"/>
                <w:szCs w:val="12"/>
                <w:lang w:val="id-ID"/>
              </w:rPr>
              <w:t>-</w:t>
            </w:r>
          </w:p>
        </w:tc>
        <w:tc>
          <w:tcPr>
            <w:tcW w:w="1417" w:type="dxa"/>
            <w:gridSpan w:val="2"/>
            <w:tcBorders>
              <w:top w:val="nil"/>
              <w:left w:val="nil"/>
              <w:bottom w:val="nil"/>
              <w:right w:val="nil"/>
            </w:tcBorders>
            <w:shd w:val="clear" w:color="auto" w:fill="auto"/>
            <w:vAlign w:val="bottom"/>
          </w:tcPr>
          <w:p w14:paraId="0DC26885" w14:textId="68F7B84A" w:rsidR="003734F4" w:rsidRPr="005F2A60" w:rsidRDefault="003734F4" w:rsidP="003734F4">
            <w:pPr>
              <w:tabs>
                <w:tab w:val="left" w:pos="1360"/>
                <w:tab w:val="left" w:pos="1410"/>
              </w:tabs>
              <w:ind w:right="72"/>
              <w:jc w:val="right"/>
              <w:rPr>
                <w:i/>
                <w:iCs/>
                <w:sz w:val="14"/>
                <w:szCs w:val="14"/>
              </w:rPr>
            </w:pPr>
            <w:r w:rsidRPr="005F2A60">
              <w:rPr>
                <w:i/>
                <w:iCs/>
                <w:sz w:val="14"/>
                <w:szCs w:val="14"/>
              </w:rPr>
              <w:t>Vehicles</w:t>
            </w:r>
          </w:p>
        </w:tc>
      </w:tr>
      <w:tr w:rsidR="003734F4" w:rsidRPr="005F2A60" w14:paraId="09B5AE1F" w14:textId="77777777" w:rsidTr="003734F4">
        <w:trPr>
          <w:gridAfter w:val="1"/>
          <w:wAfter w:w="20" w:type="dxa"/>
          <w:cantSplit/>
        </w:trPr>
        <w:tc>
          <w:tcPr>
            <w:tcW w:w="1877" w:type="dxa"/>
            <w:tcBorders>
              <w:top w:val="nil"/>
              <w:left w:val="nil"/>
              <w:right w:val="nil"/>
            </w:tcBorders>
            <w:shd w:val="clear" w:color="auto" w:fill="auto"/>
            <w:vAlign w:val="bottom"/>
          </w:tcPr>
          <w:p w14:paraId="3CEC84AC" w14:textId="77777777" w:rsidR="003734F4" w:rsidRPr="005F2A60" w:rsidRDefault="003734F4" w:rsidP="003734F4">
            <w:pPr>
              <w:ind w:left="680" w:right="17" w:hanging="255"/>
              <w:rPr>
                <w:bCs w:val="0"/>
                <w:sz w:val="14"/>
                <w:szCs w:val="14"/>
              </w:rPr>
            </w:pPr>
          </w:p>
        </w:tc>
        <w:tc>
          <w:tcPr>
            <w:tcW w:w="1134" w:type="dxa"/>
            <w:tcBorders>
              <w:top w:val="single" w:sz="4" w:space="0" w:color="auto"/>
              <w:left w:val="nil"/>
              <w:right w:val="nil"/>
            </w:tcBorders>
            <w:shd w:val="clear" w:color="auto" w:fill="auto"/>
            <w:vAlign w:val="bottom"/>
          </w:tcPr>
          <w:p w14:paraId="58AA9F1D" w14:textId="77777777" w:rsidR="003734F4" w:rsidRPr="005F2A60" w:rsidRDefault="003734F4" w:rsidP="003734F4">
            <w:pPr>
              <w:ind w:left="-57" w:right="57"/>
              <w:jc w:val="right"/>
              <w:rPr>
                <w:bCs w:val="0"/>
                <w:sz w:val="12"/>
                <w:szCs w:val="12"/>
              </w:rPr>
            </w:pPr>
          </w:p>
        </w:tc>
        <w:tc>
          <w:tcPr>
            <w:tcW w:w="83" w:type="dxa"/>
            <w:tcBorders>
              <w:top w:val="nil"/>
              <w:left w:val="nil"/>
              <w:right w:val="nil"/>
            </w:tcBorders>
            <w:shd w:val="clear" w:color="auto" w:fill="auto"/>
            <w:vAlign w:val="bottom"/>
          </w:tcPr>
          <w:p w14:paraId="24A6F334" w14:textId="77777777" w:rsidR="003734F4" w:rsidRPr="005F2A60" w:rsidRDefault="003734F4" w:rsidP="003734F4">
            <w:pPr>
              <w:ind w:right="18"/>
              <w:jc w:val="right"/>
              <w:rPr>
                <w:bCs w:val="0"/>
                <w:sz w:val="12"/>
                <w:szCs w:val="12"/>
              </w:rPr>
            </w:pPr>
          </w:p>
        </w:tc>
        <w:tc>
          <w:tcPr>
            <w:tcW w:w="1051" w:type="dxa"/>
            <w:tcBorders>
              <w:top w:val="single" w:sz="4" w:space="0" w:color="auto"/>
              <w:left w:val="nil"/>
              <w:right w:val="nil"/>
            </w:tcBorders>
            <w:shd w:val="clear" w:color="auto" w:fill="auto"/>
            <w:vAlign w:val="bottom"/>
          </w:tcPr>
          <w:p w14:paraId="33CCD94C" w14:textId="77777777" w:rsidR="003734F4" w:rsidRPr="005F2A60" w:rsidRDefault="003734F4" w:rsidP="003734F4">
            <w:pPr>
              <w:ind w:right="57"/>
              <w:jc w:val="right"/>
              <w:rPr>
                <w:bCs w:val="0"/>
                <w:sz w:val="12"/>
                <w:szCs w:val="12"/>
              </w:rPr>
            </w:pPr>
          </w:p>
        </w:tc>
        <w:tc>
          <w:tcPr>
            <w:tcW w:w="91" w:type="dxa"/>
            <w:tcBorders>
              <w:top w:val="nil"/>
              <w:left w:val="nil"/>
              <w:right w:val="nil"/>
            </w:tcBorders>
            <w:shd w:val="clear" w:color="auto" w:fill="auto"/>
            <w:vAlign w:val="bottom"/>
          </w:tcPr>
          <w:p w14:paraId="54B9166B"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5523DC5F" w14:textId="77777777" w:rsidR="003734F4" w:rsidRPr="005F2A60" w:rsidRDefault="003734F4" w:rsidP="003734F4">
            <w:pPr>
              <w:ind w:right="18"/>
              <w:jc w:val="right"/>
              <w:rPr>
                <w:bCs w:val="0"/>
                <w:sz w:val="12"/>
                <w:szCs w:val="12"/>
              </w:rPr>
            </w:pPr>
          </w:p>
        </w:tc>
        <w:tc>
          <w:tcPr>
            <w:tcW w:w="960" w:type="dxa"/>
            <w:gridSpan w:val="3"/>
            <w:tcBorders>
              <w:top w:val="single" w:sz="4" w:space="0" w:color="auto"/>
              <w:left w:val="nil"/>
              <w:right w:val="nil"/>
            </w:tcBorders>
            <w:shd w:val="clear" w:color="auto" w:fill="auto"/>
            <w:vAlign w:val="bottom"/>
          </w:tcPr>
          <w:p w14:paraId="5BCA0A97" w14:textId="77777777" w:rsidR="003734F4" w:rsidRPr="005F2A60" w:rsidRDefault="003734F4" w:rsidP="003734F4">
            <w:pPr>
              <w:ind w:right="57"/>
              <w:jc w:val="right"/>
              <w:rPr>
                <w:bCs w:val="0"/>
                <w:sz w:val="12"/>
                <w:szCs w:val="12"/>
              </w:rPr>
            </w:pPr>
          </w:p>
        </w:tc>
        <w:tc>
          <w:tcPr>
            <w:tcW w:w="83" w:type="dxa"/>
            <w:gridSpan w:val="2"/>
            <w:tcBorders>
              <w:left w:val="nil"/>
              <w:right w:val="nil"/>
            </w:tcBorders>
            <w:shd w:val="clear" w:color="auto" w:fill="auto"/>
            <w:vAlign w:val="bottom"/>
          </w:tcPr>
          <w:p w14:paraId="71053A23" w14:textId="77777777" w:rsidR="003734F4" w:rsidRPr="005F2A60" w:rsidRDefault="003734F4" w:rsidP="003734F4">
            <w:pPr>
              <w:ind w:right="57"/>
              <w:jc w:val="right"/>
              <w:rPr>
                <w:bCs w:val="0"/>
                <w:sz w:val="12"/>
                <w:szCs w:val="12"/>
              </w:rPr>
            </w:pPr>
          </w:p>
        </w:tc>
        <w:tc>
          <w:tcPr>
            <w:tcW w:w="1051" w:type="dxa"/>
            <w:gridSpan w:val="3"/>
            <w:tcBorders>
              <w:top w:val="single" w:sz="4" w:space="0" w:color="auto"/>
              <w:left w:val="nil"/>
              <w:right w:val="nil"/>
            </w:tcBorders>
            <w:vAlign w:val="bottom"/>
          </w:tcPr>
          <w:p w14:paraId="70945782" w14:textId="77777777" w:rsidR="003734F4" w:rsidRPr="005F2A60" w:rsidRDefault="003734F4" w:rsidP="003734F4">
            <w:pPr>
              <w:ind w:left="-57" w:right="57"/>
              <w:jc w:val="right"/>
              <w:rPr>
                <w:bCs w:val="0"/>
                <w:sz w:val="12"/>
                <w:szCs w:val="12"/>
              </w:rPr>
            </w:pPr>
          </w:p>
        </w:tc>
        <w:tc>
          <w:tcPr>
            <w:tcW w:w="83" w:type="dxa"/>
            <w:tcBorders>
              <w:top w:val="nil"/>
              <w:left w:val="nil"/>
              <w:right w:val="nil"/>
            </w:tcBorders>
            <w:vAlign w:val="bottom"/>
          </w:tcPr>
          <w:p w14:paraId="05EE0DBE" w14:textId="77777777" w:rsidR="003734F4" w:rsidRPr="005F2A60" w:rsidRDefault="003734F4" w:rsidP="003734F4">
            <w:pPr>
              <w:ind w:left="-57" w:right="57"/>
              <w:jc w:val="right"/>
              <w:rPr>
                <w:bCs w:val="0"/>
                <w:sz w:val="12"/>
                <w:szCs w:val="12"/>
              </w:rPr>
            </w:pPr>
          </w:p>
        </w:tc>
        <w:tc>
          <w:tcPr>
            <w:tcW w:w="1193" w:type="dxa"/>
            <w:gridSpan w:val="2"/>
            <w:tcBorders>
              <w:top w:val="single" w:sz="4" w:space="0" w:color="auto"/>
              <w:left w:val="nil"/>
              <w:right w:val="nil"/>
            </w:tcBorders>
            <w:shd w:val="clear" w:color="auto" w:fill="auto"/>
            <w:vAlign w:val="bottom"/>
          </w:tcPr>
          <w:p w14:paraId="1891DAB6" w14:textId="77777777" w:rsidR="003734F4" w:rsidRPr="005F2A60" w:rsidRDefault="003734F4" w:rsidP="003734F4">
            <w:pPr>
              <w:ind w:left="-57" w:right="57"/>
              <w:jc w:val="right"/>
              <w:rPr>
                <w:bCs w:val="0"/>
                <w:sz w:val="12"/>
                <w:szCs w:val="12"/>
              </w:rPr>
            </w:pPr>
          </w:p>
        </w:tc>
        <w:tc>
          <w:tcPr>
            <w:tcW w:w="1417" w:type="dxa"/>
            <w:gridSpan w:val="2"/>
            <w:tcBorders>
              <w:top w:val="nil"/>
              <w:left w:val="nil"/>
              <w:bottom w:val="nil"/>
              <w:right w:val="nil"/>
            </w:tcBorders>
            <w:shd w:val="clear" w:color="auto" w:fill="auto"/>
            <w:vAlign w:val="bottom"/>
          </w:tcPr>
          <w:p w14:paraId="2E8043CC" w14:textId="77777777" w:rsidR="003734F4" w:rsidRPr="005F2A60" w:rsidRDefault="003734F4" w:rsidP="003734F4">
            <w:pPr>
              <w:tabs>
                <w:tab w:val="left" w:pos="1360"/>
                <w:tab w:val="left" w:pos="1410"/>
              </w:tabs>
              <w:ind w:right="72"/>
              <w:jc w:val="right"/>
              <w:rPr>
                <w:i/>
                <w:iCs/>
                <w:sz w:val="14"/>
                <w:szCs w:val="14"/>
              </w:rPr>
            </w:pPr>
          </w:p>
        </w:tc>
      </w:tr>
      <w:tr w:rsidR="003734F4" w:rsidRPr="005F2A60" w14:paraId="72B0A38D" w14:textId="77777777" w:rsidTr="003734F4">
        <w:trPr>
          <w:gridAfter w:val="1"/>
          <w:wAfter w:w="20" w:type="dxa"/>
          <w:cantSplit/>
        </w:trPr>
        <w:tc>
          <w:tcPr>
            <w:tcW w:w="1877" w:type="dxa"/>
            <w:tcBorders>
              <w:top w:val="nil"/>
              <w:left w:val="nil"/>
              <w:right w:val="nil"/>
            </w:tcBorders>
            <w:shd w:val="clear" w:color="auto" w:fill="auto"/>
            <w:vAlign w:val="bottom"/>
          </w:tcPr>
          <w:p w14:paraId="19E599E8" w14:textId="2423D77D" w:rsidR="003734F4" w:rsidRPr="005F2A60" w:rsidRDefault="003734F4" w:rsidP="003734F4">
            <w:pPr>
              <w:ind w:left="680" w:right="17" w:hanging="255"/>
              <w:rPr>
                <w:bCs w:val="0"/>
                <w:sz w:val="14"/>
                <w:szCs w:val="14"/>
              </w:rPr>
            </w:pPr>
            <w:r w:rsidRPr="005F2A60">
              <w:rPr>
                <w:bCs w:val="0"/>
                <w:sz w:val="14"/>
                <w:szCs w:val="14"/>
              </w:rPr>
              <w:t>Sub jumlah</w:t>
            </w:r>
          </w:p>
        </w:tc>
        <w:tc>
          <w:tcPr>
            <w:tcW w:w="1134" w:type="dxa"/>
            <w:tcBorders>
              <w:top w:val="nil"/>
              <w:left w:val="nil"/>
              <w:bottom w:val="single" w:sz="4" w:space="0" w:color="auto"/>
              <w:right w:val="nil"/>
            </w:tcBorders>
            <w:shd w:val="clear" w:color="auto" w:fill="auto"/>
            <w:vAlign w:val="bottom"/>
          </w:tcPr>
          <w:p w14:paraId="184E0711" w14:textId="0C46AD8B" w:rsidR="003734F4" w:rsidRPr="005F2A60" w:rsidRDefault="003734F4" w:rsidP="003734F4">
            <w:pPr>
              <w:ind w:left="-57" w:right="57"/>
              <w:jc w:val="right"/>
              <w:rPr>
                <w:bCs w:val="0"/>
                <w:sz w:val="12"/>
                <w:szCs w:val="12"/>
              </w:rPr>
            </w:pPr>
            <w:r w:rsidRPr="001775FB">
              <w:rPr>
                <w:bCs w:val="0"/>
                <w:sz w:val="12"/>
                <w:szCs w:val="12"/>
              </w:rPr>
              <w:t>2.629.400.000</w:t>
            </w:r>
          </w:p>
        </w:tc>
        <w:tc>
          <w:tcPr>
            <w:tcW w:w="83" w:type="dxa"/>
            <w:tcBorders>
              <w:top w:val="nil"/>
              <w:left w:val="nil"/>
              <w:right w:val="nil"/>
            </w:tcBorders>
            <w:shd w:val="clear" w:color="auto" w:fill="auto"/>
            <w:vAlign w:val="bottom"/>
          </w:tcPr>
          <w:p w14:paraId="0471C9FB" w14:textId="77777777" w:rsidR="003734F4" w:rsidRPr="005F2A60" w:rsidRDefault="003734F4" w:rsidP="003734F4">
            <w:pPr>
              <w:ind w:right="18"/>
              <w:jc w:val="right"/>
              <w:rPr>
                <w:bCs w:val="0"/>
                <w:sz w:val="12"/>
                <w:szCs w:val="12"/>
              </w:rPr>
            </w:pPr>
          </w:p>
        </w:tc>
        <w:tc>
          <w:tcPr>
            <w:tcW w:w="1051" w:type="dxa"/>
            <w:tcBorders>
              <w:top w:val="nil"/>
              <w:left w:val="nil"/>
              <w:bottom w:val="single" w:sz="4" w:space="0" w:color="auto"/>
              <w:right w:val="nil"/>
            </w:tcBorders>
            <w:shd w:val="clear" w:color="auto" w:fill="auto"/>
            <w:vAlign w:val="bottom"/>
          </w:tcPr>
          <w:p w14:paraId="1C5E5B82" w14:textId="2D0B2FC9" w:rsidR="003734F4" w:rsidRPr="005F2A60" w:rsidRDefault="003734F4" w:rsidP="003734F4">
            <w:pPr>
              <w:ind w:right="57"/>
              <w:jc w:val="right"/>
              <w:rPr>
                <w:bCs w:val="0"/>
                <w:sz w:val="12"/>
                <w:szCs w:val="12"/>
              </w:rPr>
            </w:pPr>
            <w:r w:rsidRPr="001775FB">
              <w:rPr>
                <w:bCs w:val="0"/>
                <w:sz w:val="12"/>
                <w:szCs w:val="12"/>
                <w:lang w:val="id-ID"/>
              </w:rPr>
              <w:t>-</w:t>
            </w:r>
          </w:p>
        </w:tc>
        <w:tc>
          <w:tcPr>
            <w:tcW w:w="91" w:type="dxa"/>
            <w:tcBorders>
              <w:top w:val="nil"/>
              <w:left w:val="nil"/>
              <w:right w:val="nil"/>
            </w:tcBorders>
            <w:shd w:val="clear" w:color="auto" w:fill="auto"/>
            <w:vAlign w:val="bottom"/>
          </w:tcPr>
          <w:p w14:paraId="6AE93BFA"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1E7C5FCB" w14:textId="77777777" w:rsidR="003734F4" w:rsidRPr="005F2A60" w:rsidRDefault="003734F4" w:rsidP="003734F4">
            <w:pPr>
              <w:ind w:right="18"/>
              <w:jc w:val="right"/>
              <w:rPr>
                <w:bCs w:val="0"/>
                <w:sz w:val="12"/>
                <w:szCs w:val="12"/>
              </w:rPr>
            </w:pPr>
          </w:p>
        </w:tc>
        <w:tc>
          <w:tcPr>
            <w:tcW w:w="960" w:type="dxa"/>
            <w:gridSpan w:val="3"/>
            <w:tcBorders>
              <w:top w:val="nil"/>
              <w:left w:val="nil"/>
              <w:bottom w:val="single" w:sz="4" w:space="0" w:color="auto"/>
              <w:right w:val="nil"/>
            </w:tcBorders>
            <w:shd w:val="clear" w:color="auto" w:fill="auto"/>
            <w:vAlign w:val="bottom"/>
          </w:tcPr>
          <w:p w14:paraId="2473BB53" w14:textId="50FF9DC3" w:rsidR="003734F4" w:rsidRPr="005F2A60" w:rsidRDefault="003734F4" w:rsidP="003734F4">
            <w:pPr>
              <w:ind w:right="57"/>
              <w:jc w:val="right"/>
              <w:rPr>
                <w:bCs w:val="0"/>
                <w:sz w:val="12"/>
                <w:szCs w:val="12"/>
              </w:rPr>
            </w:pPr>
            <w:r w:rsidRPr="001775FB">
              <w:rPr>
                <w:bCs w:val="0"/>
                <w:sz w:val="12"/>
                <w:szCs w:val="12"/>
                <w:lang w:val="id-ID"/>
              </w:rPr>
              <w:t>-</w:t>
            </w:r>
          </w:p>
        </w:tc>
        <w:tc>
          <w:tcPr>
            <w:tcW w:w="83" w:type="dxa"/>
            <w:gridSpan w:val="2"/>
            <w:tcBorders>
              <w:left w:val="nil"/>
              <w:right w:val="nil"/>
            </w:tcBorders>
            <w:shd w:val="clear" w:color="auto" w:fill="auto"/>
            <w:vAlign w:val="bottom"/>
          </w:tcPr>
          <w:p w14:paraId="06E62B0F" w14:textId="77777777" w:rsidR="003734F4" w:rsidRPr="005F2A60" w:rsidRDefault="003734F4" w:rsidP="003734F4">
            <w:pPr>
              <w:ind w:right="57"/>
              <w:jc w:val="right"/>
              <w:rPr>
                <w:bCs w:val="0"/>
                <w:sz w:val="12"/>
                <w:szCs w:val="12"/>
              </w:rPr>
            </w:pPr>
          </w:p>
        </w:tc>
        <w:tc>
          <w:tcPr>
            <w:tcW w:w="1051" w:type="dxa"/>
            <w:gridSpan w:val="3"/>
            <w:tcBorders>
              <w:left w:val="nil"/>
              <w:bottom w:val="single" w:sz="4" w:space="0" w:color="auto"/>
              <w:right w:val="nil"/>
            </w:tcBorders>
            <w:vAlign w:val="bottom"/>
          </w:tcPr>
          <w:p w14:paraId="470E9200" w14:textId="744DCBBE" w:rsidR="003734F4" w:rsidRPr="00175C40" w:rsidRDefault="003734F4" w:rsidP="003734F4">
            <w:pPr>
              <w:spacing w:line="160" w:lineRule="exact"/>
              <w:ind w:left="-57" w:right="28"/>
              <w:jc w:val="right"/>
              <w:rPr>
                <w:spacing w:val="-1"/>
                <w:w w:val="105"/>
                <w:sz w:val="12"/>
                <w:szCs w:val="12"/>
              </w:rPr>
            </w:pPr>
            <w:r w:rsidRPr="001775FB">
              <w:rPr>
                <w:bCs w:val="0"/>
                <w:sz w:val="12"/>
                <w:szCs w:val="12"/>
              </w:rPr>
              <w:t>(2.629.400.000)</w:t>
            </w:r>
          </w:p>
        </w:tc>
        <w:tc>
          <w:tcPr>
            <w:tcW w:w="83" w:type="dxa"/>
            <w:tcBorders>
              <w:top w:val="nil"/>
              <w:left w:val="nil"/>
              <w:right w:val="nil"/>
            </w:tcBorders>
            <w:vAlign w:val="bottom"/>
          </w:tcPr>
          <w:p w14:paraId="1503E2A5" w14:textId="77777777" w:rsidR="003734F4" w:rsidRPr="00175C40" w:rsidRDefault="003734F4" w:rsidP="003734F4">
            <w:pPr>
              <w:spacing w:line="160" w:lineRule="exact"/>
              <w:ind w:left="-57" w:right="28"/>
              <w:jc w:val="right"/>
              <w:rPr>
                <w:spacing w:val="-1"/>
                <w:w w:val="105"/>
                <w:sz w:val="12"/>
                <w:szCs w:val="12"/>
              </w:rPr>
            </w:pPr>
          </w:p>
        </w:tc>
        <w:tc>
          <w:tcPr>
            <w:tcW w:w="1193" w:type="dxa"/>
            <w:gridSpan w:val="2"/>
            <w:tcBorders>
              <w:top w:val="nil"/>
              <w:left w:val="nil"/>
              <w:bottom w:val="single" w:sz="4" w:space="0" w:color="auto"/>
              <w:right w:val="nil"/>
            </w:tcBorders>
            <w:shd w:val="clear" w:color="auto" w:fill="auto"/>
            <w:vAlign w:val="bottom"/>
          </w:tcPr>
          <w:p w14:paraId="511A82D9" w14:textId="4F0B8A8E" w:rsidR="003734F4" w:rsidRPr="005F2A60" w:rsidRDefault="003734F4" w:rsidP="003734F4">
            <w:pPr>
              <w:ind w:left="-57" w:right="57"/>
              <w:jc w:val="right"/>
              <w:rPr>
                <w:bCs w:val="0"/>
                <w:sz w:val="12"/>
                <w:szCs w:val="12"/>
              </w:rPr>
            </w:pPr>
            <w:r w:rsidRPr="001775FB">
              <w:rPr>
                <w:bCs w:val="0"/>
                <w:sz w:val="12"/>
                <w:szCs w:val="12"/>
                <w:lang w:val="id-ID"/>
              </w:rPr>
              <w:t>-</w:t>
            </w:r>
          </w:p>
        </w:tc>
        <w:tc>
          <w:tcPr>
            <w:tcW w:w="1417" w:type="dxa"/>
            <w:gridSpan w:val="2"/>
            <w:tcBorders>
              <w:top w:val="nil"/>
              <w:left w:val="nil"/>
              <w:bottom w:val="nil"/>
              <w:right w:val="nil"/>
            </w:tcBorders>
            <w:shd w:val="clear" w:color="auto" w:fill="auto"/>
            <w:vAlign w:val="bottom"/>
          </w:tcPr>
          <w:p w14:paraId="011A8D70" w14:textId="2B5288AC" w:rsidR="003734F4" w:rsidRPr="005F2A60" w:rsidRDefault="003734F4" w:rsidP="003734F4">
            <w:pPr>
              <w:tabs>
                <w:tab w:val="left" w:pos="1360"/>
                <w:tab w:val="left" w:pos="1410"/>
              </w:tabs>
              <w:ind w:right="72"/>
              <w:jc w:val="right"/>
              <w:rPr>
                <w:i/>
                <w:iCs/>
                <w:sz w:val="14"/>
                <w:szCs w:val="14"/>
              </w:rPr>
            </w:pPr>
            <w:r w:rsidRPr="005F2A60">
              <w:rPr>
                <w:i/>
                <w:iCs/>
                <w:sz w:val="14"/>
                <w:szCs w:val="14"/>
              </w:rPr>
              <w:t>Sub total</w:t>
            </w:r>
          </w:p>
        </w:tc>
      </w:tr>
      <w:tr w:rsidR="003734F4" w:rsidRPr="005F2A60" w14:paraId="1093F1B9" w14:textId="77777777" w:rsidTr="003734F4">
        <w:trPr>
          <w:gridAfter w:val="1"/>
          <w:wAfter w:w="20" w:type="dxa"/>
          <w:cantSplit/>
        </w:trPr>
        <w:tc>
          <w:tcPr>
            <w:tcW w:w="1877" w:type="dxa"/>
            <w:tcBorders>
              <w:top w:val="nil"/>
              <w:left w:val="nil"/>
              <w:right w:val="nil"/>
            </w:tcBorders>
            <w:shd w:val="clear" w:color="auto" w:fill="auto"/>
            <w:vAlign w:val="bottom"/>
          </w:tcPr>
          <w:p w14:paraId="79B1B366" w14:textId="77777777" w:rsidR="003734F4" w:rsidRPr="005F2A60" w:rsidRDefault="003734F4" w:rsidP="003734F4">
            <w:pPr>
              <w:ind w:left="680" w:right="17" w:hanging="255"/>
              <w:rPr>
                <w:bCs w:val="0"/>
                <w:sz w:val="14"/>
                <w:szCs w:val="14"/>
              </w:rPr>
            </w:pPr>
          </w:p>
        </w:tc>
        <w:tc>
          <w:tcPr>
            <w:tcW w:w="1134" w:type="dxa"/>
            <w:tcBorders>
              <w:top w:val="single" w:sz="4" w:space="0" w:color="auto"/>
              <w:left w:val="nil"/>
              <w:right w:val="nil"/>
            </w:tcBorders>
            <w:shd w:val="clear" w:color="auto" w:fill="auto"/>
            <w:vAlign w:val="bottom"/>
          </w:tcPr>
          <w:p w14:paraId="313C3941" w14:textId="77777777" w:rsidR="003734F4" w:rsidRPr="005F2A60" w:rsidRDefault="003734F4" w:rsidP="003734F4">
            <w:pPr>
              <w:ind w:left="-57" w:right="57"/>
              <w:jc w:val="right"/>
              <w:rPr>
                <w:bCs w:val="0"/>
                <w:sz w:val="12"/>
                <w:szCs w:val="12"/>
              </w:rPr>
            </w:pPr>
          </w:p>
        </w:tc>
        <w:tc>
          <w:tcPr>
            <w:tcW w:w="83" w:type="dxa"/>
            <w:tcBorders>
              <w:top w:val="nil"/>
              <w:left w:val="nil"/>
              <w:right w:val="nil"/>
            </w:tcBorders>
            <w:shd w:val="clear" w:color="auto" w:fill="auto"/>
            <w:vAlign w:val="bottom"/>
          </w:tcPr>
          <w:p w14:paraId="6E6D4D59" w14:textId="77777777" w:rsidR="003734F4" w:rsidRPr="005F2A60" w:rsidRDefault="003734F4" w:rsidP="003734F4">
            <w:pPr>
              <w:ind w:right="18"/>
              <w:jc w:val="right"/>
              <w:rPr>
                <w:bCs w:val="0"/>
                <w:sz w:val="12"/>
                <w:szCs w:val="12"/>
              </w:rPr>
            </w:pPr>
          </w:p>
        </w:tc>
        <w:tc>
          <w:tcPr>
            <w:tcW w:w="1051" w:type="dxa"/>
            <w:tcBorders>
              <w:top w:val="single" w:sz="4" w:space="0" w:color="auto"/>
              <w:left w:val="nil"/>
              <w:right w:val="nil"/>
            </w:tcBorders>
            <w:shd w:val="clear" w:color="auto" w:fill="auto"/>
            <w:vAlign w:val="bottom"/>
          </w:tcPr>
          <w:p w14:paraId="723D4E42" w14:textId="77777777" w:rsidR="003734F4" w:rsidRPr="005F2A60" w:rsidRDefault="003734F4" w:rsidP="003734F4">
            <w:pPr>
              <w:ind w:right="57"/>
              <w:jc w:val="right"/>
              <w:rPr>
                <w:bCs w:val="0"/>
                <w:sz w:val="12"/>
                <w:szCs w:val="12"/>
              </w:rPr>
            </w:pPr>
          </w:p>
        </w:tc>
        <w:tc>
          <w:tcPr>
            <w:tcW w:w="91" w:type="dxa"/>
            <w:tcBorders>
              <w:top w:val="nil"/>
              <w:left w:val="nil"/>
              <w:right w:val="nil"/>
            </w:tcBorders>
            <w:shd w:val="clear" w:color="auto" w:fill="auto"/>
            <w:vAlign w:val="bottom"/>
          </w:tcPr>
          <w:p w14:paraId="34F02EA4"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395F5DB3" w14:textId="77777777" w:rsidR="003734F4" w:rsidRPr="005F2A60" w:rsidRDefault="003734F4" w:rsidP="003734F4">
            <w:pPr>
              <w:ind w:right="18"/>
              <w:jc w:val="right"/>
              <w:rPr>
                <w:bCs w:val="0"/>
                <w:sz w:val="12"/>
                <w:szCs w:val="12"/>
              </w:rPr>
            </w:pPr>
          </w:p>
        </w:tc>
        <w:tc>
          <w:tcPr>
            <w:tcW w:w="960" w:type="dxa"/>
            <w:gridSpan w:val="3"/>
            <w:tcBorders>
              <w:top w:val="single" w:sz="4" w:space="0" w:color="auto"/>
              <w:left w:val="nil"/>
              <w:right w:val="nil"/>
            </w:tcBorders>
            <w:shd w:val="clear" w:color="auto" w:fill="auto"/>
            <w:vAlign w:val="bottom"/>
          </w:tcPr>
          <w:p w14:paraId="1A9A792A" w14:textId="77777777" w:rsidR="003734F4" w:rsidRPr="005F2A60" w:rsidRDefault="003734F4" w:rsidP="003734F4">
            <w:pPr>
              <w:ind w:right="57"/>
              <w:jc w:val="right"/>
              <w:rPr>
                <w:bCs w:val="0"/>
                <w:sz w:val="12"/>
                <w:szCs w:val="12"/>
              </w:rPr>
            </w:pPr>
          </w:p>
        </w:tc>
        <w:tc>
          <w:tcPr>
            <w:tcW w:w="83" w:type="dxa"/>
            <w:gridSpan w:val="2"/>
            <w:tcBorders>
              <w:left w:val="nil"/>
              <w:right w:val="nil"/>
            </w:tcBorders>
            <w:shd w:val="clear" w:color="auto" w:fill="auto"/>
            <w:vAlign w:val="bottom"/>
          </w:tcPr>
          <w:p w14:paraId="332711A2" w14:textId="77777777" w:rsidR="003734F4" w:rsidRPr="005F2A60" w:rsidRDefault="003734F4" w:rsidP="003734F4">
            <w:pPr>
              <w:ind w:right="57"/>
              <w:jc w:val="right"/>
              <w:rPr>
                <w:bCs w:val="0"/>
                <w:sz w:val="12"/>
                <w:szCs w:val="12"/>
              </w:rPr>
            </w:pPr>
          </w:p>
        </w:tc>
        <w:tc>
          <w:tcPr>
            <w:tcW w:w="1051" w:type="dxa"/>
            <w:gridSpan w:val="3"/>
            <w:tcBorders>
              <w:top w:val="single" w:sz="4" w:space="0" w:color="auto"/>
              <w:left w:val="nil"/>
              <w:right w:val="nil"/>
            </w:tcBorders>
            <w:vAlign w:val="bottom"/>
          </w:tcPr>
          <w:p w14:paraId="7CDC315D" w14:textId="77777777" w:rsidR="003734F4" w:rsidRPr="005F2A60" w:rsidRDefault="003734F4" w:rsidP="003734F4">
            <w:pPr>
              <w:ind w:left="-57" w:right="57"/>
              <w:jc w:val="right"/>
              <w:rPr>
                <w:bCs w:val="0"/>
                <w:sz w:val="12"/>
                <w:szCs w:val="12"/>
              </w:rPr>
            </w:pPr>
          </w:p>
        </w:tc>
        <w:tc>
          <w:tcPr>
            <w:tcW w:w="83" w:type="dxa"/>
            <w:tcBorders>
              <w:top w:val="nil"/>
              <w:left w:val="nil"/>
              <w:right w:val="nil"/>
            </w:tcBorders>
            <w:vAlign w:val="bottom"/>
          </w:tcPr>
          <w:p w14:paraId="265EC1DC" w14:textId="77777777" w:rsidR="003734F4" w:rsidRPr="005F2A60" w:rsidRDefault="003734F4" w:rsidP="003734F4">
            <w:pPr>
              <w:ind w:left="-57" w:right="57"/>
              <w:jc w:val="right"/>
              <w:rPr>
                <w:bCs w:val="0"/>
                <w:sz w:val="12"/>
                <w:szCs w:val="12"/>
              </w:rPr>
            </w:pPr>
          </w:p>
        </w:tc>
        <w:tc>
          <w:tcPr>
            <w:tcW w:w="1193" w:type="dxa"/>
            <w:gridSpan w:val="2"/>
            <w:tcBorders>
              <w:top w:val="single" w:sz="4" w:space="0" w:color="auto"/>
              <w:left w:val="nil"/>
              <w:right w:val="nil"/>
            </w:tcBorders>
            <w:shd w:val="clear" w:color="auto" w:fill="auto"/>
            <w:vAlign w:val="bottom"/>
          </w:tcPr>
          <w:p w14:paraId="1C3FDF2E" w14:textId="77777777" w:rsidR="003734F4" w:rsidRPr="005F2A60" w:rsidRDefault="003734F4" w:rsidP="003734F4">
            <w:pPr>
              <w:ind w:left="-57" w:right="57"/>
              <w:jc w:val="right"/>
              <w:rPr>
                <w:bCs w:val="0"/>
                <w:sz w:val="12"/>
                <w:szCs w:val="12"/>
              </w:rPr>
            </w:pPr>
          </w:p>
        </w:tc>
        <w:tc>
          <w:tcPr>
            <w:tcW w:w="1417" w:type="dxa"/>
            <w:gridSpan w:val="2"/>
            <w:tcBorders>
              <w:top w:val="nil"/>
              <w:left w:val="nil"/>
              <w:bottom w:val="nil"/>
              <w:right w:val="nil"/>
            </w:tcBorders>
            <w:shd w:val="clear" w:color="auto" w:fill="auto"/>
            <w:vAlign w:val="bottom"/>
          </w:tcPr>
          <w:p w14:paraId="59619B69" w14:textId="77777777" w:rsidR="003734F4" w:rsidRPr="005F2A60" w:rsidRDefault="003734F4" w:rsidP="003734F4">
            <w:pPr>
              <w:tabs>
                <w:tab w:val="left" w:pos="1360"/>
                <w:tab w:val="left" w:pos="1410"/>
              </w:tabs>
              <w:ind w:right="72"/>
              <w:jc w:val="right"/>
              <w:rPr>
                <w:i/>
                <w:iCs/>
                <w:sz w:val="14"/>
                <w:szCs w:val="14"/>
              </w:rPr>
            </w:pPr>
          </w:p>
        </w:tc>
      </w:tr>
      <w:tr w:rsidR="003734F4" w:rsidRPr="005F2A60" w14:paraId="065047B3" w14:textId="77777777" w:rsidTr="003734F4">
        <w:trPr>
          <w:gridAfter w:val="1"/>
          <w:wAfter w:w="20" w:type="dxa"/>
          <w:cantSplit/>
        </w:trPr>
        <w:tc>
          <w:tcPr>
            <w:tcW w:w="1877" w:type="dxa"/>
            <w:tcBorders>
              <w:top w:val="nil"/>
              <w:left w:val="nil"/>
              <w:right w:val="nil"/>
            </w:tcBorders>
            <w:shd w:val="clear" w:color="auto" w:fill="auto"/>
            <w:vAlign w:val="bottom"/>
          </w:tcPr>
          <w:p w14:paraId="7B0BF3CE" w14:textId="77777777" w:rsidR="003734F4" w:rsidRDefault="003734F4" w:rsidP="003734F4">
            <w:pPr>
              <w:ind w:left="680" w:right="17" w:hanging="255"/>
              <w:rPr>
                <w:b/>
                <w:bCs w:val="0"/>
                <w:sz w:val="14"/>
                <w:szCs w:val="14"/>
              </w:rPr>
            </w:pPr>
            <w:r w:rsidRPr="005F2A60">
              <w:rPr>
                <w:b/>
                <w:bCs w:val="0"/>
                <w:sz w:val="14"/>
                <w:szCs w:val="14"/>
              </w:rPr>
              <w:t xml:space="preserve">Jumlah biaya </w:t>
            </w:r>
          </w:p>
          <w:p w14:paraId="116FAB7E" w14:textId="335911C8" w:rsidR="003734F4" w:rsidRPr="005F2A60" w:rsidRDefault="003734F4" w:rsidP="003734F4">
            <w:pPr>
              <w:ind w:left="680" w:right="17" w:hanging="101"/>
              <w:rPr>
                <w:b/>
                <w:bCs w:val="0"/>
                <w:sz w:val="14"/>
                <w:szCs w:val="14"/>
              </w:rPr>
            </w:pPr>
            <w:r w:rsidRPr="005F2A60">
              <w:rPr>
                <w:b/>
                <w:bCs w:val="0"/>
                <w:sz w:val="14"/>
                <w:szCs w:val="14"/>
              </w:rPr>
              <w:t>perolehan</w:t>
            </w:r>
          </w:p>
        </w:tc>
        <w:tc>
          <w:tcPr>
            <w:tcW w:w="1134" w:type="dxa"/>
            <w:tcBorders>
              <w:left w:val="nil"/>
              <w:bottom w:val="single" w:sz="4" w:space="0" w:color="auto"/>
              <w:right w:val="nil"/>
            </w:tcBorders>
            <w:shd w:val="clear" w:color="auto" w:fill="auto"/>
            <w:vAlign w:val="bottom"/>
          </w:tcPr>
          <w:p w14:paraId="0412C08B" w14:textId="5378EF73" w:rsidR="003734F4" w:rsidRPr="005F2A60" w:rsidRDefault="003734F4" w:rsidP="003734F4">
            <w:pPr>
              <w:ind w:left="-57" w:right="57"/>
              <w:jc w:val="right"/>
              <w:rPr>
                <w:bCs w:val="0"/>
                <w:sz w:val="12"/>
                <w:szCs w:val="12"/>
              </w:rPr>
            </w:pPr>
            <w:r w:rsidRPr="00D650D2">
              <w:rPr>
                <w:b/>
                <w:bCs w:val="0"/>
                <w:sz w:val="12"/>
                <w:szCs w:val="12"/>
              </w:rPr>
              <w:t>2.315.702.080.079</w:t>
            </w:r>
          </w:p>
        </w:tc>
        <w:tc>
          <w:tcPr>
            <w:tcW w:w="83" w:type="dxa"/>
            <w:tcBorders>
              <w:left w:val="nil"/>
              <w:right w:val="nil"/>
            </w:tcBorders>
            <w:shd w:val="clear" w:color="auto" w:fill="auto"/>
            <w:vAlign w:val="bottom"/>
          </w:tcPr>
          <w:p w14:paraId="5E7137B6" w14:textId="77777777" w:rsidR="003734F4" w:rsidRPr="005F2A60" w:rsidRDefault="003734F4" w:rsidP="003734F4">
            <w:pPr>
              <w:ind w:right="18"/>
              <w:jc w:val="right"/>
              <w:rPr>
                <w:bCs w:val="0"/>
                <w:sz w:val="12"/>
                <w:szCs w:val="12"/>
              </w:rPr>
            </w:pPr>
          </w:p>
        </w:tc>
        <w:tc>
          <w:tcPr>
            <w:tcW w:w="1051" w:type="dxa"/>
            <w:tcBorders>
              <w:left w:val="nil"/>
              <w:bottom w:val="single" w:sz="4" w:space="0" w:color="auto"/>
              <w:right w:val="nil"/>
            </w:tcBorders>
            <w:shd w:val="clear" w:color="auto" w:fill="auto"/>
            <w:vAlign w:val="bottom"/>
          </w:tcPr>
          <w:p w14:paraId="38732932" w14:textId="070FB6E5" w:rsidR="003734F4" w:rsidRPr="005F2A60" w:rsidRDefault="003734F4" w:rsidP="003734F4">
            <w:pPr>
              <w:ind w:right="57"/>
              <w:jc w:val="right"/>
              <w:rPr>
                <w:bCs w:val="0"/>
                <w:sz w:val="12"/>
                <w:szCs w:val="12"/>
              </w:rPr>
            </w:pPr>
            <w:r w:rsidRPr="00CD6DD8">
              <w:rPr>
                <w:b/>
                <w:bCs w:val="0"/>
                <w:sz w:val="12"/>
                <w:szCs w:val="12"/>
              </w:rPr>
              <w:t>377.488.883.4</w:t>
            </w:r>
            <w:r>
              <w:rPr>
                <w:b/>
                <w:bCs w:val="0"/>
                <w:sz w:val="12"/>
                <w:szCs w:val="12"/>
              </w:rPr>
              <w:t>52</w:t>
            </w:r>
          </w:p>
        </w:tc>
        <w:tc>
          <w:tcPr>
            <w:tcW w:w="91" w:type="dxa"/>
            <w:tcBorders>
              <w:left w:val="nil"/>
              <w:right w:val="nil"/>
            </w:tcBorders>
            <w:shd w:val="clear" w:color="auto" w:fill="auto"/>
            <w:vAlign w:val="bottom"/>
          </w:tcPr>
          <w:p w14:paraId="3500221B"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040EB0EA" w14:textId="77777777" w:rsidR="003734F4" w:rsidRPr="005F2A60" w:rsidRDefault="003734F4" w:rsidP="003734F4">
            <w:pPr>
              <w:ind w:right="18"/>
              <w:jc w:val="right"/>
              <w:rPr>
                <w:bCs w:val="0"/>
                <w:sz w:val="12"/>
                <w:szCs w:val="12"/>
              </w:rPr>
            </w:pPr>
          </w:p>
        </w:tc>
        <w:tc>
          <w:tcPr>
            <w:tcW w:w="960" w:type="dxa"/>
            <w:gridSpan w:val="3"/>
            <w:tcBorders>
              <w:left w:val="nil"/>
              <w:bottom w:val="single" w:sz="4" w:space="0" w:color="auto"/>
              <w:right w:val="nil"/>
            </w:tcBorders>
            <w:shd w:val="clear" w:color="auto" w:fill="auto"/>
            <w:vAlign w:val="bottom"/>
          </w:tcPr>
          <w:p w14:paraId="42A5BBD4" w14:textId="2C1B23D9" w:rsidR="003734F4" w:rsidRPr="005F2A60" w:rsidRDefault="003734F4" w:rsidP="003734F4">
            <w:pPr>
              <w:ind w:right="57"/>
              <w:jc w:val="right"/>
              <w:rPr>
                <w:bCs w:val="0"/>
                <w:sz w:val="12"/>
                <w:szCs w:val="12"/>
              </w:rPr>
            </w:pPr>
            <w:r w:rsidRPr="00CD6DD8">
              <w:rPr>
                <w:b/>
                <w:bCs w:val="0"/>
                <w:sz w:val="12"/>
                <w:szCs w:val="12"/>
              </w:rPr>
              <w:t>7.704.099.5</w:t>
            </w:r>
            <w:r>
              <w:rPr>
                <w:b/>
                <w:bCs w:val="0"/>
                <w:sz w:val="12"/>
                <w:szCs w:val="12"/>
              </w:rPr>
              <w:t>16</w:t>
            </w:r>
          </w:p>
        </w:tc>
        <w:tc>
          <w:tcPr>
            <w:tcW w:w="83" w:type="dxa"/>
            <w:gridSpan w:val="2"/>
            <w:tcBorders>
              <w:left w:val="nil"/>
              <w:right w:val="nil"/>
            </w:tcBorders>
            <w:shd w:val="clear" w:color="auto" w:fill="auto"/>
            <w:vAlign w:val="bottom"/>
          </w:tcPr>
          <w:p w14:paraId="6B237E0B" w14:textId="77777777" w:rsidR="003734F4" w:rsidRPr="005F2A60" w:rsidRDefault="003734F4" w:rsidP="003734F4">
            <w:pPr>
              <w:ind w:right="57"/>
              <w:jc w:val="right"/>
              <w:rPr>
                <w:bCs w:val="0"/>
                <w:sz w:val="12"/>
                <w:szCs w:val="12"/>
              </w:rPr>
            </w:pPr>
          </w:p>
        </w:tc>
        <w:tc>
          <w:tcPr>
            <w:tcW w:w="1051" w:type="dxa"/>
            <w:gridSpan w:val="3"/>
            <w:tcBorders>
              <w:left w:val="nil"/>
              <w:bottom w:val="single" w:sz="4" w:space="0" w:color="auto"/>
              <w:right w:val="nil"/>
            </w:tcBorders>
            <w:vAlign w:val="bottom"/>
          </w:tcPr>
          <w:p w14:paraId="4BA75785" w14:textId="52F39EB7" w:rsidR="003734F4" w:rsidRPr="005F2A60" w:rsidRDefault="003734F4" w:rsidP="003734F4">
            <w:pPr>
              <w:ind w:left="-57" w:right="57"/>
              <w:jc w:val="right"/>
              <w:rPr>
                <w:bCs w:val="0"/>
                <w:sz w:val="12"/>
                <w:szCs w:val="12"/>
              </w:rPr>
            </w:pPr>
            <w:r>
              <w:rPr>
                <w:b/>
                <w:bCs w:val="0"/>
                <w:sz w:val="12"/>
                <w:szCs w:val="12"/>
              </w:rPr>
              <w:t>(</w:t>
            </w:r>
            <w:r w:rsidRPr="002054AA">
              <w:rPr>
                <w:b/>
                <w:bCs w:val="0"/>
                <w:sz w:val="12"/>
                <w:szCs w:val="12"/>
              </w:rPr>
              <w:t>138.399.800</w:t>
            </w:r>
            <w:r>
              <w:rPr>
                <w:b/>
                <w:bCs w:val="0"/>
                <w:sz w:val="12"/>
                <w:szCs w:val="12"/>
              </w:rPr>
              <w:t>)</w:t>
            </w:r>
          </w:p>
        </w:tc>
        <w:tc>
          <w:tcPr>
            <w:tcW w:w="83" w:type="dxa"/>
            <w:tcBorders>
              <w:left w:val="nil"/>
              <w:right w:val="nil"/>
            </w:tcBorders>
            <w:vAlign w:val="bottom"/>
          </w:tcPr>
          <w:p w14:paraId="6DD555F7" w14:textId="77777777" w:rsidR="003734F4" w:rsidRPr="005F2A60" w:rsidRDefault="003734F4" w:rsidP="003734F4">
            <w:pPr>
              <w:ind w:left="-57" w:right="57"/>
              <w:jc w:val="right"/>
              <w:rPr>
                <w:bCs w:val="0"/>
                <w:sz w:val="12"/>
                <w:szCs w:val="12"/>
              </w:rPr>
            </w:pPr>
          </w:p>
        </w:tc>
        <w:tc>
          <w:tcPr>
            <w:tcW w:w="1193" w:type="dxa"/>
            <w:gridSpan w:val="2"/>
            <w:tcBorders>
              <w:left w:val="nil"/>
              <w:bottom w:val="single" w:sz="4" w:space="0" w:color="auto"/>
              <w:right w:val="nil"/>
            </w:tcBorders>
            <w:shd w:val="clear" w:color="auto" w:fill="auto"/>
            <w:vAlign w:val="bottom"/>
          </w:tcPr>
          <w:p w14:paraId="2C4FDDF7" w14:textId="11F0230F" w:rsidR="003734F4" w:rsidRPr="005F2A60" w:rsidRDefault="003734F4" w:rsidP="003734F4">
            <w:pPr>
              <w:ind w:left="-57" w:right="57"/>
              <w:jc w:val="right"/>
              <w:rPr>
                <w:bCs w:val="0"/>
                <w:sz w:val="12"/>
                <w:szCs w:val="12"/>
              </w:rPr>
            </w:pPr>
            <w:r w:rsidRPr="002054AA">
              <w:rPr>
                <w:b/>
                <w:bCs w:val="0"/>
                <w:sz w:val="12"/>
                <w:szCs w:val="12"/>
              </w:rPr>
              <w:t>2.685.348.464.21</w:t>
            </w:r>
            <w:r>
              <w:rPr>
                <w:b/>
                <w:bCs w:val="0"/>
                <w:sz w:val="12"/>
                <w:szCs w:val="12"/>
              </w:rPr>
              <w:t>5</w:t>
            </w:r>
          </w:p>
        </w:tc>
        <w:tc>
          <w:tcPr>
            <w:tcW w:w="1417" w:type="dxa"/>
            <w:gridSpan w:val="2"/>
            <w:tcBorders>
              <w:top w:val="nil"/>
              <w:left w:val="nil"/>
              <w:bottom w:val="nil"/>
              <w:right w:val="nil"/>
            </w:tcBorders>
            <w:shd w:val="clear" w:color="auto" w:fill="auto"/>
            <w:vAlign w:val="bottom"/>
          </w:tcPr>
          <w:p w14:paraId="0F032287" w14:textId="1852082D" w:rsidR="003734F4" w:rsidRPr="005F2A60" w:rsidRDefault="003734F4" w:rsidP="003734F4">
            <w:pPr>
              <w:tabs>
                <w:tab w:val="left" w:pos="1360"/>
                <w:tab w:val="left" w:pos="1410"/>
              </w:tabs>
              <w:ind w:right="72"/>
              <w:jc w:val="right"/>
              <w:rPr>
                <w:b/>
                <w:i/>
                <w:iCs/>
                <w:sz w:val="14"/>
                <w:szCs w:val="14"/>
              </w:rPr>
            </w:pPr>
            <w:r w:rsidRPr="005F2A60">
              <w:rPr>
                <w:b/>
                <w:i/>
                <w:iCs/>
                <w:sz w:val="14"/>
                <w:szCs w:val="14"/>
              </w:rPr>
              <w:t>Total cost</w:t>
            </w:r>
          </w:p>
        </w:tc>
      </w:tr>
      <w:tr w:rsidR="003734F4" w:rsidRPr="005F2A60" w14:paraId="4379411C" w14:textId="77777777" w:rsidTr="003734F4">
        <w:trPr>
          <w:gridAfter w:val="1"/>
          <w:wAfter w:w="20" w:type="dxa"/>
          <w:cantSplit/>
        </w:trPr>
        <w:tc>
          <w:tcPr>
            <w:tcW w:w="1877" w:type="dxa"/>
            <w:tcBorders>
              <w:top w:val="nil"/>
              <w:left w:val="nil"/>
              <w:right w:val="nil"/>
            </w:tcBorders>
            <w:shd w:val="clear" w:color="auto" w:fill="auto"/>
            <w:vAlign w:val="bottom"/>
          </w:tcPr>
          <w:p w14:paraId="7D7F5C52" w14:textId="77777777" w:rsidR="003734F4" w:rsidRPr="005F2A60" w:rsidRDefault="003734F4" w:rsidP="003734F4">
            <w:pPr>
              <w:ind w:left="680" w:right="17" w:hanging="255"/>
              <w:rPr>
                <w:bCs w:val="0"/>
                <w:sz w:val="14"/>
                <w:szCs w:val="14"/>
              </w:rPr>
            </w:pPr>
          </w:p>
        </w:tc>
        <w:tc>
          <w:tcPr>
            <w:tcW w:w="1134" w:type="dxa"/>
            <w:tcBorders>
              <w:top w:val="single" w:sz="4" w:space="0" w:color="auto"/>
              <w:left w:val="nil"/>
              <w:right w:val="nil"/>
            </w:tcBorders>
            <w:shd w:val="clear" w:color="auto" w:fill="auto"/>
            <w:vAlign w:val="bottom"/>
          </w:tcPr>
          <w:p w14:paraId="1A05A403" w14:textId="77777777" w:rsidR="003734F4" w:rsidRPr="005F2A60" w:rsidRDefault="003734F4" w:rsidP="003734F4">
            <w:pPr>
              <w:ind w:left="-57" w:right="57"/>
              <w:jc w:val="right"/>
              <w:rPr>
                <w:bCs w:val="0"/>
                <w:sz w:val="12"/>
                <w:szCs w:val="12"/>
              </w:rPr>
            </w:pPr>
          </w:p>
        </w:tc>
        <w:tc>
          <w:tcPr>
            <w:tcW w:w="83" w:type="dxa"/>
            <w:tcBorders>
              <w:left w:val="nil"/>
              <w:right w:val="nil"/>
            </w:tcBorders>
            <w:shd w:val="clear" w:color="auto" w:fill="auto"/>
            <w:vAlign w:val="bottom"/>
          </w:tcPr>
          <w:p w14:paraId="6571C20E" w14:textId="77777777" w:rsidR="003734F4" w:rsidRPr="005F2A60" w:rsidRDefault="003734F4" w:rsidP="003734F4">
            <w:pPr>
              <w:ind w:right="18"/>
              <w:jc w:val="right"/>
              <w:rPr>
                <w:bCs w:val="0"/>
                <w:sz w:val="12"/>
                <w:szCs w:val="12"/>
              </w:rPr>
            </w:pPr>
          </w:p>
        </w:tc>
        <w:tc>
          <w:tcPr>
            <w:tcW w:w="1051" w:type="dxa"/>
            <w:tcBorders>
              <w:top w:val="single" w:sz="4" w:space="0" w:color="auto"/>
              <w:left w:val="nil"/>
              <w:right w:val="nil"/>
            </w:tcBorders>
            <w:shd w:val="clear" w:color="auto" w:fill="auto"/>
            <w:vAlign w:val="bottom"/>
          </w:tcPr>
          <w:p w14:paraId="582E916A" w14:textId="77777777" w:rsidR="003734F4" w:rsidRPr="005F2A60" w:rsidRDefault="003734F4" w:rsidP="003734F4">
            <w:pPr>
              <w:ind w:right="57"/>
              <w:jc w:val="right"/>
              <w:rPr>
                <w:bCs w:val="0"/>
                <w:sz w:val="12"/>
                <w:szCs w:val="12"/>
              </w:rPr>
            </w:pPr>
          </w:p>
        </w:tc>
        <w:tc>
          <w:tcPr>
            <w:tcW w:w="91" w:type="dxa"/>
            <w:tcBorders>
              <w:left w:val="nil"/>
              <w:right w:val="nil"/>
            </w:tcBorders>
            <w:shd w:val="clear" w:color="auto" w:fill="auto"/>
            <w:vAlign w:val="bottom"/>
          </w:tcPr>
          <w:p w14:paraId="0D8D72CB"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7DB216F9" w14:textId="77777777" w:rsidR="003734F4" w:rsidRPr="005F2A60" w:rsidRDefault="003734F4" w:rsidP="003734F4">
            <w:pPr>
              <w:ind w:right="18"/>
              <w:jc w:val="right"/>
              <w:rPr>
                <w:bCs w:val="0"/>
                <w:sz w:val="12"/>
                <w:szCs w:val="12"/>
              </w:rPr>
            </w:pPr>
          </w:p>
        </w:tc>
        <w:tc>
          <w:tcPr>
            <w:tcW w:w="960" w:type="dxa"/>
            <w:gridSpan w:val="3"/>
            <w:tcBorders>
              <w:top w:val="single" w:sz="4" w:space="0" w:color="auto"/>
              <w:left w:val="nil"/>
              <w:right w:val="nil"/>
            </w:tcBorders>
            <w:shd w:val="clear" w:color="auto" w:fill="auto"/>
            <w:vAlign w:val="bottom"/>
          </w:tcPr>
          <w:p w14:paraId="34284BE3" w14:textId="77777777" w:rsidR="003734F4" w:rsidRPr="005F2A60" w:rsidRDefault="003734F4" w:rsidP="003734F4">
            <w:pPr>
              <w:ind w:right="57"/>
              <w:jc w:val="right"/>
              <w:rPr>
                <w:bCs w:val="0"/>
                <w:sz w:val="12"/>
                <w:szCs w:val="12"/>
              </w:rPr>
            </w:pPr>
          </w:p>
        </w:tc>
        <w:tc>
          <w:tcPr>
            <w:tcW w:w="83" w:type="dxa"/>
            <w:gridSpan w:val="2"/>
            <w:tcBorders>
              <w:left w:val="nil"/>
              <w:right w:val="nil"/>
            </w:tcBorders>
            <w:shd w:val="clear" w:color="auto" w:fill="auto"/>
            <w:vAlign w:val="bottom"/>
          </w:tcPr>
          <w:p w14:paraId="08F41FDB" w14:textId="77777777" w:rsidR="003734F4" w:rsidRPr="005F2A60" w:rsidRDefault="003734F4" w:rsidP="003734F4">
            <w:pPr>
              <w:ind w:right="57"/>
              <w:jc w:val="right"/>
              <w:rPr>
                <w:bCs w:val="0"/>
                <w:sz w:val="12"/>
                <w:szCs w:val="12"/>
              </w:rPr>
            </w:pPr>
          </w:p>
        </w:tc>
        <w:tc>
          <w:tcPr>
            <w:tcW w:w="1051" w:type="dxa"/>
            <w:gridSpan w:val="3"/>
            <w:tcBorders>
              <w:top w:val="single" w:sz="4" w:space="0" w:color="auto"/>
              <w:left w:val="nil"/>
              <w:right w:val="nil"/>
            </w:tcBorders>
            <w:vAlign w:val="bottom"/>
          </w:tcPr>
          <w:p w14:paraId="1876C69D" w14:textId="77777777" w:rsidR="003734F4" w:rsidRPr="005F2A60" w:rsidRDefault="003734F4" w:rsidP="003734F4">
            <w:pPr>
              <w:ind w:left="-57" w:right="57"/>
              <w:jc w:val="right"/>
              <w:rPr>
                <w:bCs w:val="0"/>
                <w:sz w:val="12"/>
                <w:szCs w:val="12"/>
              </w:rPr>
            </w:pPr>
          </w:p>
        </w:tc>
        <w:tc>
          <w:tcPr>
            <w:tcW w:w="83" w:type="dxa"/>
            <w:tcBorders>
              <w:left w:val="nil"/>
              <w:right w:val="nil"/>
            </w:tcBorders>
            <w:vAlign w:val="bottom"/>
          </w:tcPr>
          <w:p w14:paraId="1FAE3567" w14:textId="77777777" w:rsidR="003734F4" w:rsidRPr="005F2A60" w:rsidRDefault="003734F4" w:rsidP="003734F4">
            <w:pPr>
              <w:ind w:left="-57" w:right="57"/>
              <w:jc w:val="right"/>
              <w:rPr>
                <w:bCs w:val="0"/>
                <w:sz w:val="12"/>
                <w:szCs w:val="12"/>
              </w:rPr>
            </w:pPr>
          </w:p>
        </w:tc>
        <w:tc>
          <w:tcPr>
            <w:tcW w:w="1193" w:type="dxa"/>
            <w:gridSpan w:val="2"/>
            <w:tcBorders>
              <w:top w:val="single" w:sz="4" w:space="0" w:color="auto"/>
              <w:left w:val="nil"/>
              <w:right w:val="nil"/>
            </w:tcBorders>
            <w:shd w:val="clear" w:color="auto" w:fill="auto"/>
            <w:vAlign w:val="bottom"/>
          </w:tcPr>
          <w:p w14:paraId="79436504" w14:textId="77777777" w:rsidR="003734F4" w:rsidRPr="005F2A60" w:rsidRDefault="003734F4" w:rsidP="003734F4">
            <w:pPr>
              <w:ind w:left="-57" w:right="57"/>
              <w:jc w:val="right"/>
              <w:rPr>
                <w:bCs w:val="0"/>
                <w:sz w:val="12"/>
                <w:szCs w:val="12"/>
              </w:rPr>
            </w:pPr>
          </w:p>
        </w:tc>
        <w:tc>
          <w:tcPr>
            <w:tcW w:w="1417" w:type="dxa"/>
            <w:gridSpan w:val="2"/>
            <w:tcBorders>
              <w:top w:val="nil"/>
              <w:left w:val="nil"/>
              <w:bottom w:val="nil"/>
              <w:right w:val="nil"/>
            </w:tcBorders>
            <w:shd w:val="clear" w:color="auto" w:fill="auto"/>
            <w:vAlign w:val="bottom"/>
          </w:tcPr>
          <w:p w14:paraId="298737ED" w14:textId="77777777" w:rsidR="003734F4" w:rsidRPr="005F2A60" w:rsidRDefault="003734F4" w:rsidP="003734F4">
            <w:pPr>
              <w:tabs>
                <w:tab w:val="left" w:pos="1360"/>
                <w:tab w:val="left" w:pos="1410"/>
              </w:tabs>
              <w:ind w:right="72"/>
              <w:jc w:val="right"/>
              <w:rPr>
                <w:i/>
                <w:iCs/>
                <w:sz w:val="14"/>
                <w:szCs w:val="14"/>
              </w:rPr>
            </w:pPr>
          </w:p>
        </w:tc>
      </w:tr>
      <w:tr w:rsidR="003734F4" w:rsidRPr="005F2A60" w14:paraId="7A41014D" w14:textId="77777777" w:rsidTr="003734F4">
        <w:trPr>
          <w:gridAfter w:val="1"/>
          <w:wAfter w:w="20" w:type="dxa"/>
          <w:cantSplit/>
        </w:trPr>
        <w:tc>
          <w:tcPr>
            <w:tcW w:w="1877" w:type="dxa"/>
            <w:tcBorders>
              <w:top w:val="nil"/>
              <w:left w:val="nil"/>
              <w:bottom w:val="nil"/>
              <w:right w:val="nil"/>
            </w:tcBorders>
            <w:shd w:val="clear" w:color="auto" w:fill="auto"/>
            <w:vAlign w:val="bottom"/>
          </w:tcPr>
          <w:p w14:paraId="5223C0FF" w14:textId="77777777" w:rsidR="003734F4" w:rsidRDefault="003734F4" w:rsidP="003734F4">
            <w:pPr>
              <w:ind w:left="680" w:right="74" w:hanging="255"/>
              <w:rPr>
                <w:b/>
                <w:bCs w:val="0"/>
                <w:sz w:val="14"/>
                <w:szCs w:val="14"/>
                <w:u w:val="single"/>
              </w:rPr>
            </w:pPr>
            <w:r w:rsidRPr="005F2A60">
              <w:rPr>
                <w:b/>
                <w:bCs w:val="0"/>
                <w:sz w:val="14"/>
                <w:szCs w:val="14"/>
                <w:u w:val="single"/>
              </w:rPr>
              <w:t xml:space="preserve">Akumulasi </w:t>
            </w:r>
          </w:p>
          <w:p w14:paraId="1DC3A9FD" w14:textId="735655BA" w:rsidR="003734F4" w:rsidRPr="005F2A60" w:rsidRDefault="003734F4" w:rsidP="003734F4">
            <w:pPr>
              <w:ind w:left="680" w:right="74" w:hanging="115"/>
              <w:rPr>
                <w:bCs w:val="0"/>
                <w:sz w:val="14"/>
                <w:szCs w:val="14"/>
                <w:u w:val="single"/>
              </w:rPr>
            </w:pPr>
            <w:r w:rsidRPr="005F2A60">
              <w:rPr>
                <w:b/>
                <w:bCs w:val="0"/>
                <w:sz w:val="14"/>
                <w:szCs w:val="14"/>
                <w:u w:val="single"/>
              </w:rPr>
              <w:t>penyusutan</w:t>
            </w:r>
          </w:p>
        </w:tc>
        <w:tc>
          <w:tcPr>
            <w:tcW w:w="1134" w:type="dxa"/>
            <w:tcBorders>
              <w:top w:val="nil"/>
              <w:left w:val="nil"/>
              <w:bottom w:val="nil"/>
              <w:right w:val="nil"/>
            </w:tcBorders>
            <w:shd w:val="clear" w:color="auto" w:fill="auto"/>
            <w:vAlign w:val="bottom"/>
          </w:tcPr>
          <w:p w14:paraId="765D0814" w14:textId="77777777" w:rsidR="003734F4" w:rsidRPr="005F2A60" w:rsidRDefault="003734F4" w:rsidP="003734F4">
            <w:pPr>
              <w:ind w:right="28"/>
              <w:jc w:val="right"/>
              <w:rPr>
                <w:bCs w:val="0"/>
                <w:sz w:val="12"/>
                <w:szCs w:val="12"/>
              </w:rPr>
            </w:pPr>
          </w:p>
        </w:tc>
        <w:tc>
          <w:tcPr>
            <w:tcW w:w="83" w:type="dxa"/>
            <w:tcBorders>
              <w:top w:val="nil"/>
              <w:left w:val="nil"/>
              <w:bottom w:val="nil"/>
              <w:right w:val="nil"/>
            </w:tcBorders>
            <w:shd w:val="clear" w:color="auto" w:fill="auto"/>
            <w:vAlign w:val="bottom"/>
          </w:tcPr>
          <w:p w14:paraId="6A0BD7CE" w14:textId="77777777" w:rsidR="003734F4" w:rsidRPr="005F2A60" w:rsidRDefault="003734F4" w:rsidP="003734F4">
            <w:pPr>
              <w:jc w:val="right"/>
              <w:rPr>
                <w:bCs w:val="0"/>
                <w:sz w:val="12"/>
                <w:szCs w:val="12"/>
              </w:rPr>
            </w:pPr>
          </w:p>
        </w:tc>
        <w:tc>
          <w:tcPr>
            <w:tcW w:w="1051" w:type="dxa"/>
            <w:tcBorders>
              <w:top w:val="nil"/>
              <w:left w:val="nil"/>
              <w:bottom w:val="nil"/>
              <w:right w:val="nil"/>
            </w:tcBorders>
            <w:shd w:val="clear" w:color="auto" w:fill="auto"/>
            <w:vAlign w:val="bottom"/>
          </w:tcPr>
          <w:p w14:paraId="6362F34B" w14:textId="77777777" w:rsidR="003734F4" w:rsidRPr="005F2A60" w:rsidRDefault="003734F4" w:rsidP="003734F4">
            <w:pPr>
              <w:ind w:right="57"/>
              <w:jc w:val="right"/>
              <w:rPr>
                <w:bCs w:val="0"/>
                <w:sz w:val="12"/>
                <w:szCs w:val="12"/>
              </w:rPr>
            </w:pPr>
          </w:p>
        </w:tc>
        <w:tc>
          <w:tcPr>
            <w:tcW w:w="91" w:type="dxa"/>
            <w:tcBorders>
              <w:top w:val="nil"/>
              <w:left w:val="nil"/>
              <w:bottom w:val="nil"/>
              <w:right w:val="nil"/>
            </w:tcBorders>
            <w:shd w:val="clear" w:color="auto" w:fill="auto"/>
            <w:vAlign w:val="bottom"/>
          </w:tcPr>
          <w:p w14:paraId="661C6EF1" w14:textId="77777777" w:rsidR="003734F4" w:rsidRPr="005F2A60" w:rsidRDefault="003734F4" w:rsidP="003734F4">
            <w:pPr>
              <w:jc w:val="right"/>
              <w:rPr>
                <w:bCs w:val="0"/>
                <w:sz w:val="12"/>
                <w:szCs w:val="12"/>
              </w:rPr>
            </w:pPr>
          </w:p>
        </w:tc>
        <w:tc>
          <w:tcPr>
            <w:tcW w:w="83" w:type="dxa"/>
            <w:tcBorders>
              <w:top w:val="nil"/>
              <w:left w:val="nil"/>
              <w:bottom w:val="nil"/>
              <w:right w:val="nil"/>
            </w:tcBorders>
            <w:shd w:val="clear" w:color="auto" w:fill="auto"/>
            <w:vAlign w:val="bottom"/>
          </w:tcPr>
          <w:p w14:paraId="7FDDBB8B" w14:textId="77777777" w:rsidR="003734F4" w:rsidRPr="005F2A60" w:rsidRDefault="003734F4" w:rsidP="003734F4">
            <w:pPr>
              <w:jc w:val="right"/>
              <w:rPr>
                <w:bCs w:val="0"/>
                <w:sz w:val="12"/>
                <w:szCs w:val="12"/>
              </w:rPr>
            </w:pPr>
          </w:p>
        </w:tc>
        <w:tc>
          <w:tcPr>
            <w:tcW w:w="960" w:type="dxa"/>
            <w:gridSpan w:val="3"/>
            <w:tcBorders>
              <w:top w:val="nil"/>
              <w:left w:val="nil"/>
              <w:bottom w:val="nil"/>
              <w:right w:val="nil"/>
            </w:tcBorders>
            <w:shd w:val="clear" w:color="auto" w:fill="auto"/>
            <w:vAlign w:val="bottom"/>
          </w:tcPr>
          <w:p w14:paraId="7870BFA6" w14:textId="77777777" w:rsidR="003734F4" w:rsidRPr="005F2A60" w:rsidRDefault="003734F4" w:rsidP="003734F4">
            <w:pPr>
              <w:ind w:left="-57" w:right="28"/>
              <w:jc w:val="right"/>
              <w:rPr>
                <w:bCs w:val="0"/>
                <w:sz w:val="12"/>
                <w:szCs w:val="12"/>
              </w:rPr>
            </w:pPr>
          </w:p>
        </w:tc>
        <w:tc>
          <w:tcPr>
            <w:tcW w:w="83" w:type="dxa"/>
            <w:gridSpan w:val="2"/>
            <w:tcBorders>
              <w:top w:val="nil"/>
              <w:left w:val="nil"/>
              <w:bottom w:val="nil"/>
              <w:right w:val="nil"/>
            </w:tcBorders>
            <w:shd w:val="clear" w:color="auto" w:fill="auto"/>
            <w:vAlign w:val="bottom"/>
          </w:tcPr>
          <w:p w14:paraId="187542C3" w14:textId="77777777" w:rsidR="003734F4" w:rsidRPr="005F2A60" w:rsidRDefault="003734F4" w:rsidP="003734F4">
            <w:pPr>
              <w:ind w:right="28"/>
              <w:jc w:val="right"/>
              <w:rPr>
                <w:bCs w:val="0"/>
                <w:sz w:val="12"/>
                <w:szCs w:val="12"/>
              </w:rPr>
            </w:pPr>
          </w:p>
        </w:tc>
        <w:tc>
          <w:tcPr>
            <w:tcW w:w="1051" w:type="dxa"/>
            <w:gridSpan w:val="3"/>
            <w:tcBorders>
              <w:left w:val="nil"/>
              <w:bottom w:val="nil"/>
              <w:right w:val="nil"/>
            </w:tcBorders>
            <w:vAlign w:val="bottom"/>
          </w:tcPr>
          <w:p w14:paraId="658EE544" w14:textId="77777777" w:rsidR="003734F4" w:rsidRPr="005F2A60" w:rsidRDefault="003734F4" w:rsidP="003734F4">
            <w:pPr>
              <w:ind w:left="-57" w:right="28"/>
              <w:jc w:val="right"/>
              <w:rPr>
                <w:bCs w:val="0"/>
                <w:sz w:val="12"/>
                <w:szCs w:val="12"/>
              </w:rPr>
            </w:pPr>
          </w:p>
        </w:tc>
        <w:tc>
          <w:tcPr>
            <w:tcW w:w="83" w:type="dxa"/>
            <w:tcBorders>
              <w:top w:val="nil"/>
              <w:left w:val="nil"/>
              <w:bottom w:val="nil"/>
              <w:right w:val="nil"/>
            </w:tcBorders>
          </w:tcPr>
          <w:p w14:paraId="35FE44E9" w14:textId="77777777" w:rsidR="003734F4" w:rsidRPr="005F2A60" w:rsidRDefault="003734F4" w:rsidP="003734F4">
            <w:pPr>
              <w:ind w:left="-57" w:right="28"/>
              <w:jc w:val="right"/>
              <w:rPr>
                <w:bCs w:val="0"/>
                <w:sz w:val="12"/>
                <w:szCs w:val="12"/>
              </w:rPr>
            </w:pPr>
          </w:p>
        </w:tc>
        <w:tc>
          <w:tcPr>
            <w:tcW w:w="1193" w:type="dxa"/>
            <w:gridSpan w:val="2"/>
            <w:tcBorders>
              <w:top w:val="nil"/>
              <w:left w:val="nil"/>
              <w:bottom w:val="nil"/>
              <w:right w:val="nil"/>
            </w:tcBorders>
            <w:shd w:val="clear" w:color="auto" w:fill="auto"/>
            <w:vAlign w:val="bottom"/>
          </w:tcPr>
          <w:p w14:paraId="76A66500" w14:textId="77777777" w:rsidR="003734F4" w:rsidRPr="005F2A60" w:rsidRDefault="003734F4" w:rsidP="003734F4">
            <w:pPr>
              <w:ind w:left="-57" w:right="28"/>
              <w:jc w:val="right"/>
              <w:rPr>
                <w:bCs w:val="0"/>
                <w:sz w:val="12"/>
                <w:szCs w:val="12"/>
              </w:rPr>
            </w:pPr>
          </w:p>
        </w:tc>
        <w:tc>
          <w:tcPr>
            <w:tcW w:w="1417" w:type="dxa"/>
            <w:gridSpan w:val="2"/>
            <w:tcBorders>
              <w:top w:val="nil"/>
              <w:left w:val="nil"/>
              <w:bottom w:val="nil"/>
              <w:right w:val="nil"/>
            </w:tcBorders>
            <w:shd w:val="clear" w:color="auto" w:fill="auto"/>
            <w:vAlign w:val="bottom"/>
          </w:tcPr>
          <w:p w14:paraId="6CAEA7A6" w14:textId="77777777" w:rsidR="003734F4" w:rsidRDefault="003734F4" w:rsidP="003734F4">
            <w:pPr>
              <w:tabs>
                <w:tab w:val="left" w:pos="1360"/>
                <w:tab w:val="left" w:pos="1410"/>
              </w:tabs>
              <w:ind w:right="72"/>
              <w:jc w:val="right"/>
              <w:rPr>
                <w:b/>
                <w:i/>
                <w:iCs/>
                <w:sz w:val="14"/>
                <w:szCs w:val="14"/>
                <w:u w:val="single"/>
              </w:rPr>
            </w:pPr>
            <w:r w:rsidRPr="005F2A60">
              <w:rPr>
                <w:b/>
                <w:i/>
                <w:iCs/>
                <w:sz w:val="14"/>
                <w:szCs w:val="14"/>
                <w:u w:val="single"/>
              </w:rPr>
              <w:t>Accumulated</w:t>
            </w:r>
          </w:p>
          <w:p w14:paraId="367D26A9" w14:textId="0639A654" w:rsidR="003734F4" w:rsidRPr="005F2A60" w:rsidRDefault="003734F4" w:rsidP="003734F4">
            <w:pPr>
              <w:ind w:right="198"/>
              <w:jc w:val="right"/>
              <w:rPr>
                <w:b/>
                <w:i/>
                <w:iCs/>
                <w:sz w:val="14"/>
                <w:szCs w:val="14"/>
                <w:u w:val="single"/>
              </w:rPr>
            </w:pPr>
            <w:r w:rsidRPr="005F2A60">
              <w:rPr>
                <w:b/>
                <w:i/>
                <w:color w:val="1D1B11"/>
                <w:sz w:val="14"/>
                <w:szCs w:val="14"/>
                <w:u w:val="single"/>
              </w:rPr>
              <w:t>Depreciation</w:t>
            </w:r>
          </w:p>
        </w:tc>
      </w:tr>
      <w:tr w:rsidR="003734F4" w:rsidRPr="005F2A60" w14:paraId="02FF649C" w14:textId="77777777" w:rsidTr="003734F4">
        <w:trPr>
          <w:gridAfter w:val="1"/>
          <w:wAfter w:w="20" w:type="dxa"/>
          <w:cantSplit/>
        </w:trPr>
        <w:tc>
          <w:tcPr>
            <w:tcW w:w="1877" w:type="dxa"/>
            <w:tcBorders>
              <w:top w:val="nil"/>
              <w:left w:val="nil"/>
              <w:right w:val="nil"/>
            </w:tcBorders>
            <w:shd w:val="clear" w:color="auto" w:fill="auto"/>
            <w:vAlign w:val="bottom"/>
          </w:tcPr>
          <w:p w14:paraId="2ADBD3FF" w14:textId="77777777" w:rsidR="003734F4" w:rsidRPr="005F2A60" w:rsidRDefault="003734F4" w:rsidP="003734F4">
            <w:pPr>
              <w:ind w:left="680" w:right="17" w:hanging="255"/>
              <w:rPr>
                <w:bCs w:val="0"/>
                <w:sz w:val="14"/>
                <w:szCs w:val="14"/>
              </w:rPr>
            </w:pPr>
            <w:r w:rsidRPr="005F2A60">
              <w:rPr>
                <w:bCs w:val="0"/>
                <w:sz w:val="14"/>
                <w:szCs w:val="14"/>
              </w:rPr>
              <w:t>Bangunan</w:t>
            </w:r>
          </w:p>
        </w:tc>
        <w:tc>
          <w:tcPr>
            <w:tcW w:w="1134" w:type="dxa"/>
            <w:tcBorders>
              <w:top w:val="nil"/>
              <w:left w:val="nil"/>
              <w:right w:val="nil"/>
            </w:tcBorders>
            <w:shd w:val="clear" w:color="auto" w:fill="auto"/>
            <w:vAlign w:val="bottom"/>
          </w:tcPr>
          <w:p w14:paraId="4E609C34" w14:textId="0FE46395" w:rsidR="003734F4" w:rsidRPr="005F2A60" w:rsidRDefault="003734F4" w:rsidP="003734F4">
            <w:pPr>
              <w:ind w:left="-57" w:right="57"/>
              <w:jc w:val="right"/>
              <w:rPr>
                <w:bCs w:val="0"/>
                <w:sz w:val="12"/>
                <w:szCs w:val="12"/>
              </w:rPr>
            </w:pPr>
            <w:r w:rsidRPr="001775FB">
              <w:rPr>
                <w:bCs w:val="0"/>
                <w:sz w:val="12"/>
                <w:szCs w:val="12"/>
              </w:rPr>
              <w:t>213.468.826.894</w:t>
            </w:r>
          </w:p>
        </w:tc>
        <w:tc>
          <w:tcPr>
            <w:tcW w:w="83" w:type="dxa"/>
            <w:tcBorders>
              <w:top w:val="nil"/>
              <w:left w:val="nil"/>
              <w:right w:val="nil"/>
            </w:tcBorders>
            <w:shd w:val="clear" w:color="auto" w:fill="auto"/>
            <w:vAlign w:val="bottom"/>
          </w:tcPr>
          <w:p w14:paraId="6B554410" w14:textId="77777777" w:rsidR="003734F4" w:rsidRPr="005F2A60" w:rsidRDefault="003734F4" w:rsidP="003734F4">
            <w:pPr>
              <w:ind w:right="18"/>
              <w:jc w:val="right"/>
              <w:rPr>
                <w:bCs w:val="0"/>
                <w:sz w:val="12"/>
                <w:szCs w:val="12"/>
              </w:rPr>
            </w:pPr>
          </w:p>
        </w:tc>
        <w:tc>
          <w:tcPr>
            <w:tcW w:w="1051" w:type="dxa"/>
            <w:tcBorders>
              <w:top w:val="nil"/>
              <w:left w:val="nil"/>
              <w:right w:val="nil"/>
            </w:tcBorders>
            <w:shd w:val="clear" w:color="auto" w:fill="auto"/>
            <w:vAlign w:val="bottom"/>
          </w:tcPr>
          <w:p w14:paraId="41211D76" w14:textId="67162E4E" w:rsidR="003734F4" w:rsidRPr="005F2A60" w:rsidRDefault="003734F4" w:rsidP="003734F4">
            <w:pPr>
              <w:ind w:right="57"/>
              <w:jc w:val="right"/>
              <w:rPr>
                <w:bCs w:val="0"/>
                <w:sz w:val="12"/>
                <w:szCs w:val="12"/>
              </w:rPr>
            </w:pPr>
            <w:r w:rsidRPr="001775FB">
              <w:rPr>
                <w:bCs w:val="0"/>
                <w:sz w:val="12"/>
                <w:szCs w:val="12"/>
              </w:rPr>
              <w:t>37.042.335.731</w:t>
            </w:r>
          </w:p>
        </w:tc>
        <w:tc>
          <w:tcPr>
            <w:tcW w:w="91" w:type="dxa"/>
            <w:tcBorders>
              <w:top w:val="nil"/>
              <w:left w:val="nil"/>
              <w:right w:val="nil"/>
            </w:tcBorders>
            <w:shd w:val="clear" w:color="auto" w:fill="auto"/>
            <w:vAlign w:val="bottom"/>
          </w:tcPr>
          <w:p w14:paraId="2E741741"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1F6EB0E6" w14:textId="77777777" w:rsidR="003734F4" w:rsidRPr="005F2A60" w:rsidRDefault="003734F4" w:rsidP="003734F4">
            <w:pPr>
              <w:ind w:right="18"/>
              <w:jc w:val="right"/>
              <w:rPr>
                <w:bCs w:val="0"/>
                <w:sz w:val="12"/>
                <w:szCs w:val="12"/>
              </w:rPr>
            </w:pPr>
          </w:p>
        </w:tc>
        <w:tc>
          <w:tcPr>
            <w:tcW w:w="960" w:type="dxa"/>
            <w:gridSpan w:val="3"/>
            <w:tcBorders>
              <w:top w:val="nil"/>
              <w:left w:val="nil"/>
              <w:right w:val="nil"/>
            </w:tcBorders>
            <w:shd w:val="clear" w:color="auto" w:fill="auto"/>
            <w:vAlign w:val="bottom"/>
          </w:tcPr>
          <w:p w14:paraId="74852B23" w14:textId="7BD84EE1" w:rsidR="003734F4" w:rsidRPr="005F2A60" w:rsidRDefault="003734F4" w:rsidP="003734F4">
            <w:pPr>
              <w:ind w:right="57"/>
              <w:jc w:val="right"/>
              <w:rPr>
                <w:bCs w:val="0"/>
                <w:sz w:val="12"/>
                <w:szCs w:val="12"/>
              </w:rPr>
            </w:pPr>
            <w:r>
              <w:rPr>
                <w:bCs w:val="0"/>
                <w:sz w:val="12"/>
                <w:szCs w:val="12"/>
              </w:rPr>
              <w:t>-</w:t>
            </w:r>
          </w:p>
        </w:tc>
        <w:tc>
          <w:tcPr>
            <w:tcW w:w="83" w:type="dxa"/>
            <w:gridSpan w:val="2"/>
            <w:tcBorders>
              <w:top w:val="nil"/>
              <w:left w:val="nil"/>
              <w:right w:val="nil"/>
            </w:tcBorders>
            <w:shd w:val="clear" w:color="auto" w:fill="auto"/>
            <w:vAlign w:val="bottom"/>
          </w:tcPr>
          <w:p w14:paraId="33D4D7C6" w14:textId="77777777" w:rsidR="003734F4" w:rsidRPr="005F2A60" w:rsidRDefault="003734F4" w:rsidP="003734F4">
            <w:pPr>
              <w:ind w:right="57"/>
              <w:jc w:val="right"/>
              <w:rPr>
                <w:bCs w:val="0"/>
                <w:sz w:val="12"/>
                <w:szCs w:val="12"/>
              </w:rPr>
            </w:pPr>
          </w:p>
        </w:tc>
        <w:tc>
          <w:tcPr>
            <w:tcW w:w="1051" w:type="dxa"/>
            <w:gridSpan w:val="3"/>
            <w:tcBorders>
              <w:top w:val="nil"/>
              <w:left w:val="nil"/>
              <w:right w:val="nil"/>
            </w:tcBorders>
            <w:vAlign w:val="bottom"/>
          </w:tcPr>
          <w:p w14:paraId="07669CBA" w14:textId="52A9B059" w:rsidR="003734F4" w:rsidRPr="005F2A60" w:rsidRDefault="003734F4" w:rsidP="003734F4">
            <w:pPr>
              <w:ind w:left="-57" w:right="57"/>
              <w:jc w:val="right"/>
              <w:rPr>
                <w:bCs w:val="0"/>
                <w:sz w:val="12"/>
                <w:szCs w:val="12"/>
              </w:rPr>
            </w:pPr>
            <w:r>
              <w:rPr>
                <w:bCs w:val="0"/>
                <w:sz w:val="12"/>
                <w:szCs w:val="12"/>
              </w:rPr>
              <w:t>-</w:t>
            </w:r>
          </w:p>
        </w:tc>
        <w:tc>
          <w:tcPr>
            <w:tcW w:w="83" w:type="dxa"/>
            <w:tcBorders>
              <w:top w:val="nil"/>
              <w:left w:val="nil"/>
              <w:right w:val="nil"/>
            </w:tcBorders>
            <w:vAlign w:val="bottom"/>
          </w:tcPr>
          <w:p w14:paraId="06973E3A" w14:textId="77777777" w:rsidR="003734F4" w:rsidRPr="005F2A60" w:rsidRDefault="003734F4" w:rsidP="003734F4">
            <w:pPr>
              <w:ind w:left="-57" w:right="57"/>
              <w:jc w:val="right"/>
              <w:rPr>
                <w:bCs w:val="0"/>
                <w:sz w:val="12"/>
                <w:szCs w:val="12"/>
              </w:rPr>
            </w:pPr>
          </w:p>
        </w:tc>
        <w:tc>
          <w:tcPr>
            <w:tcW w:w="1193" w:type="dxa"/>
            <w:gridSpan w:val="2"/>
            <w:tcBorders>
              <w:top w:val="nil"/>
              <w:left w:val="nil"/>
              <w:right w:val="nil"/>
            </w:tcBorders>
            <w:shd w:val="clear" w:color="auto" w:fill="auto"/>
            <w:vAlign w:val="bottom"/>
          </w:tcPr>
          <w:p w14:paraId="733AE273" w14:textId="23B61D3B" w:rsidR="003734F4" w:rsidRPr="005F2A60" w:rsidRDefault="003734F4" w:rsidP="003734F4">
            <w:pPr>
              <w:ind w:left="-57" w:right="57"/>
              <w:jc w:val="right"/>
              <w:rPr>
                <w:bCs w:val="0"/>
                <w:sz w:val="12"/>
                <w:szCs w:val="12"/>
              </w:rPr>
            </w:pPr>
            <w:r w:rsidRPr="001775FB">
              <w:rPr>
                <w:bCs w:val="0"/>
                <w:sz w:val="12"/>
                <w:szCs w:val="12"/>
              </w:rPr>
              <w:t>250.511.162.625</w:t>
            </w:r>
          </w:p>
        </w:tc>
        <w:tc>
          <w:tcPr>
            <w:tcW w:w="1417" w:type="dxa"/>
            <w:gridSpan w:val="2"/>
            <w:tcBorders>
              <w:top w:val="nil"/>
              <w:left w:val="nil"/>
              <w:bottom w:val="nil"/>
              <w:right w:val="nil"/>
            </w:tcBorders>
            <w:shd w:val="clear" w:color="auto" w:fill="auto"/>
            <w:vAlign w:val="bottom"/>
          </w:tcPr>
          <w:p w14:paraId="350E5C80" w14:textId="77777777" w:rsidR="003734F4" w:rsidRPr="005F2A60" w:rsidRDefault="003734F4" w:rsidP="003734F4">
            <w:pPr>
              <w:tabs>
                <w:tab w:val="left" w:pos="1360"/>
                <w:tab w:val="left" w:pos="1410"/>
              </w:tabs>
              <w:ind w:right="72"/>
              <w:jc w:val="right"/>
              <w:rPr>
                <w:i/>
                <w:iCs/>
                <w:sz w:val="14"/>
                <w:szCs w:val="14"/>
              </w:rPr>
            </w:pPr>
            <w:r w:rsidRPr="005F2A60">
              <w:rPr>
                <w:i/>
                <w:iCs/>
                <w:sz w:val="14"/>
                <w:szCs w:val="14"/>
              </w:rPr>
              <w:t>Buildings</w:t>
            </w:r>
          </w:p>
        </w:tc>
      </w:tr>
      <w:tr w:rsidR="003734F4" w:rsidRPr="005F2A60" w14:paraId="58D567BB" w14:textId="77777777" w:rsidTr="003734F4">
        <w:trPr>
          <w:gridAfter w:val="1"/>
          <w:wAfter w:w="20" w:type="dxa"/>
          <w:cantSplit/>
        </w:trPr>
        <w:tc>
          <w:tcPr>
            <w:tcW w:w="1877" w:type="dxa"/>
            <w:tcBorders>
              <w:top w:val="nil"/>
              <w:left w:val="nil"/>
              <w:right w:val="nil"/>
            </w:tcBorders>
            <w:shd w:val="clear" w:color="auto" w:fill="auto"/>
            <w:vAlign w:val="bottom"/>
          </w:tcPr>
          <w:p w14:paraId="1AC35A70" w14:textId="77777777" w:rsidR="003734F4" w:rsidRPr="005F2A60" w:rsidRDefault="003734F4" w:rsidP="003734F4">
            <w:pPr>
              <w:ind w:left="680" w:right="17" w:hanging="255"/>
              <w:rPr>
                <w:bCs w:val="0"/>
                <w:sz w:val="14"/>
                <w:szCs w:val="14"/>
              </w:rPr>
            </w:pPr>
            <w:r w:rsidRPr="005F2A60">
              <w:rPr>
                <w:bCs w:val="0"/>
                <w:sz w:val="14"/>
                <w:szCs w:val="14"/>
              </w:rPr>
              <w:t>Peralatan kesehatan</w:t>
            </w:r>
          </w:p>
        </w:tc>
        <w:tc>
          <w:tcPr>
            <w:tcW w:w="1134" w:type="dxa"/>
            <w:tcBorders>
              <w:top w:val="nil"/>
              <w:left w:val="nil"/>
              <w:right w:val="nil"/>
            </w:tcBorders>
            <w:shd w:val="clear" w:color="auto" w:fill="auto"/>
            <w:vAlign w:val="bottom"/>
          </w:tcPr>
          <w:p w14:paraId="53714325" w14:textId="1ED1AC2A" w:rsidR="003734F4" w:rsidRPr="005F2A60" w:rsidRDefault="003734F4" w:rsidP="003734F4">
            <w:pPr>
              <w:ind w:left="-57" w:right="57"/>
              <w:jc w:val="right"/>
              <w:rPr>
                <w:bCs w:val="0"/>
                <w:sz w:val="12"/>
                <w:szCs w:val="12"/>
              </w:rPr>
            </w:pPr>
            <w:r w:rsidRPr="001775FB">
              <w:rPr>
                <w:bCs w:val="0"/>
                <w:sz w:val="12"/>
                <w:szCs w:val="12"/>
              </w:rPr>
              <w:t>214.397.709.083</w:t>
            </w:r>
          </w:p>
        </w:tc>
        <w:tc>
          <w:tcPr>
            <w:tcW w:w="83" w:type="dxa"/>
            <w:tcBorders>
              <w:top w:val="nil"/>
              <w:left w:val="nil"/>
              <w:right w:val="nil"/>
            </w:tcBorders>
            <w:shd w:val="clear" w:color="auto" w:fill="auto"/>
            <w:vAlign w:val="bottom"/>
          </w:tcPr>
          <w:p w14:paraId="3B29C5B9" w14:textId="77777777" w:rsidR="003734F4" w:rsidRPr="005F2A60" w:rsidRDefault="003734F4" w:rsidP="003734F4">
            <w:pPr>
              <w:ind w:right="18"/>
              <w:jc w:val="right"/>
              <w:rPr>
                <w:bCs w:val="0"/>
                <w:sz w:val="12"/>
                <w:szCs w:val="12"/>
              </w:rPr>
            </w:pPr>
          </w:p>
        </w:tc>
        <w:tc>
          <w:tcPr>
            <w:tcW w:w="1051" w:type="dxa"/>
            <w:tcBorders>
              <w:top w:val="nil"/>
              <w:left w:val="nil"/>
              <w:right w:val="nil"/>
            </w:tcBorders>
            <w:shd w:val="clear" w:color="auto" w:fill="auto"/>
            <w:vAlign w:val="bottom"/>
          </w:tcPr>
          <w:p w14:paraId="4C931788" w14:textId="3CB3FAA3" w:rsidR="003734F4" w:rsidRPr="005F2A60" w:rsidRDefault="003734F4" w:rsidP="003734F4">
            <w:pPr>
              <w:ind w:right="57"/>
              <w:jc w:val="right"/>
              <w:rPr>
                <w:bCs w:val="0"/>
                <w:sz w:val="12"/>
                <w:szCs w:val="12"/>
              </w:rPr>
            </w:pPr>
            <w:r w:rsidRPr="009211BF">
              <w:rPr>
                <w:bCs w:val="0"/>
                <w:sz w:val="12"/>
                <w:szCs w:val="12"/>
              </w:rPr>
              <w:t>32.780.921.329</w:t>
            </w:r>
          </w:p>
        </w:tc>
        <w:tc>
          <w:tcPr>
            <w:tcW w:w="91" w:type="dxa"/>
            <w:tcBorders>
              <w:top w:val="nil"/>
              <w:left w:val="nil"/>
              <w:right w:val="nil"/>
            </w:tcBorders>
            <w:shd w:val="clear" w:color="auto" w:fill="auto"/>
            <w:vAlign w:val="bottom"/>
          </w:tcPr>
          <w:p w14:paraId="41FAA7A1"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6851FDF8" w14:textId="77777777" w:rsidR="003734F4" w:rsidRPr="005F2A60" w:rsidRDefault="003734F4" w:rsidP="003734F4">
            <w:pPr>
              <w:ind w:right="18"/>
              <w:jc w:val="right"/>
              <w:rPr>
                <w:bCs w:val="0"/>
                <w:sz w:val="12"/>
                <w:szCs w:val="12"/>
              </w:rPr>
            </w:pPr>
          </w:p>
        </w:tc>
        <w:tc>
          <w:tcPr>
            <w:tcW w:w="960" w:type="dxa"/>
            <w:gridSpan w:val="3"/>
            <w:tcBorders>
              <w:top w:val="nil"/>
              <w:left w:val="nil"/>
              <w:right w:val="nil"/>
            </w:tcBorders>
            <w:shd w:val="clear" w:color="auto" w:fill="auto"/>
            <w:vAlign w:val="bottom"/>
          </w:tcPr>
          <w:p w14:paraId="2C8911E0" w14:textId="0AF265F9" w:rsidR="003734F4" w:rsidRPr="005F2A60" w:rsidRDefault="003734F4" w:rsidP="003734F4">
            <w:pPr>
              <w:ind w:right="57"/>
              <w:jc w:val="right"/>
              <w:rPr>
                <w:bCs w:val="0"/>
                <w:sz w:val="12"/>
                <w:szCs w:val="12"/>
              </w:rPr>
            </w:pPr>
            <w:r>
              <w:rPr>
                <w:bCs w:val="0"/>
                <w:sz w:val="12"/>
                <w:szCs w:val="12"/>
              </w:rPr>
              <w:t>(</w:t>
            </w:r>
            <w:r w:rsidRPr="001775FB">
              <w:rPr>
                <w:bCs w:val="0"/>
                <w:sz w:val="12"/>
                <w:szCs w:val="12"/>
              </w:rPr>
              <w:t>1.989.12</w:t>
            </w:r>
            <w:r>
              <w:rPr>
                <w:bCs w:val="0"/>
                <w:sz w:val="12"/>
                <w:szCs w:val="12"/>
              </w:rPr>
              <w:t>7</w:t>
            </w:r>
            <w:r w:rsidRPr="001775FB">
              <w:rPr>
                <w:bCs w:val="0"/>
                <w:sz w:val="12"/>
                <w:szCs w:val="12"/>
              </w:rPr>
              <w:t>.58</w:t>
            </w:r>
            <w:r>
              <w:rPr>
                <w:bCs w:val="0"/>
                <w:sz w:val="12"/>
                <w:szCs w:val="12"/>
              </w:rPr>
              <w:t>4)</w:t>
            </w:r>
          </w:p>
        </w:tc>
        <w:tc>
          <w:tcPr>
            <w:tcW w:w="83" w:type="dxa"/>
            <w:gridSpan w:val="2"/>
            <w:tcBorders>
              <w:top w:val="nil"/>
              <w:left w:val="nil"/>
              <w:right w:val="nil"/>
            </w:tcBorders>
            <w:shd w:val="clear" w:color="auto" w:fill="auto"/>
            <w:vAlign w:val="bottom"/>
          </w:tcPr>
          <w:p w14:paraId="217F7EBE" w14:textId="77777777" w:rsidR="003734F4" w:rsidRPr="005F2A60" w:rsidRDefault="003734F4" w:rsidP="003734F4">
            <w:pPr>
              <w:ind w:right="57"/>
              <w:jc w:val="right"/>
              <w:rPr>
                <w:bCs w:val="0"/>
                <w:sz w:val="12"/>
                <w:szCs w:val="12"/>
              </w:rPr>
            </w:pPr>
          </w:p>
        </w:tc>
        <w:tc>
          <w:tcPr>
            <w:tcW w:w="1051" w:type="dxa"/>
            <w:gridSpan w:val="3"/>
            <w:tcBorders>
              <w:top w:val="nil"/>
              <w:left w:val="nil"/>
              <w:right w:val="nil"/>
            </w:tcBorders>
            <w:vAlign w:val="bottom"/>
          </w:tcPr>
          <w:p w14:paraId="332DF3A0" w14:textId="5557E45A" w:rsidR="003734F4" w:rsidRPr="005F2A60" w:rsidRDefault="003734F4" w:rsidP="003734F4">
            <w:pPr>
              <w:ind w:left="-57" w:right="57"/>
              <w:jc w:val="right"/>
              <w:rPr>
                <w:bCs w:val="0"/>
                <w:sz w:val="12"/>
                <w:szCs w:val="12"/>
              </w:rPr>
            </w:pPr>
            <w:r>
              <w:rPr>
                <w:bCs w:val="0"/>
                <w:sz w:val="12"/>
                <w:szCs w:val="12"/>
              </w:rPr>
              <w:t>-</w:t>
            </w:r>
          </w:p>
        </w:tc>
        <w:tc>
          <w:tcPr>
            <w:tcW w:w="83" w:type="dxa"/>
            <w:tcBorders>
              <w:top w:val="nil"/>
              <w:left w:val="nil"/>
              <w:right w:val="nil"/>
            </w:tcBorders>
            <w:vAlign w:val="bottom"/>
          </w:tcPr>
          <w:p w14:paraId="04E8083C" w14:textId="77777777" w:rsidR="003734F4" w:rsidRPr="005F2A60" w:rsidRDefault="003734F4" w:rsidP="003734F4">
            <w:pPr>
              <w:ind w:left="-57" w:right="57"/>
              <w:jc w:val="right"/>
              <w:rPr>
                <w:bCs w:val="0"/>
                <w:sz w:val="12"/>
                <w:szCs w:val="12"/>
              </w:rPr>
            </w:pPr>
          </w:p>
        </w:tc>
        <w:tc>
          <w:tcPr>
            <w:tcW w:w="1193" w:type="dxa"/>
            <w:gridSpan w:val="2"/>
            <w:tcBorders>
              <w:top w:val="nil"/>
              <w:left w:val="nil"/>
              <w:right w:val="nil"/>
            </w:tcBorders>
            <w:shd w:val="clear" w:color="auto" w:fill="auto"/>
            <w:vAlign w:val="bottom"/>
          </w:tcPr>
          <w:p w14:paraId="5490A7BC" w14:textId="450FC160" w:rsidR="003734F4" w:rsidRPr="005F2A60" w:rsidRDefault="003734F4" w:rsidP="003734F4">
            <w:pPr>
              <w:ind w:left="-57" w:right="57"/>
              <w:jc w:val="right"/>
              <w:rPr>
                <w:bCs w:val="0"/>
                <w:sz w:val="12"/>
                <w:szCs w:val="12"/>
              </w:rPr>
            </w:pPr>
            <w:r w:rsidRPr="009211BF">
              <w:rPr>
                <w:bCs w:val="0"/>
                <w:sz w:val="12"/>
                <w:szCs w:val="12"/>
              </w:rPr>
              <w:t>245.189.502.828</w:t>
            </w:r>
          </w:p>
        </w:tc>
        <w:tc>
          <w:tcPr>
            <w:tcW w:w="1417" w:type="dxa"/>
            <w:gridSpan w:val="2"/>
            <w:tcBorders>
              <w:top w:val="nil"/>
              <w:left w:val="nil"/>
              <w:bottom w:val="nil"/>
              <w:right w:val="nil"/>
            </w:tcBorders>
            <w:shd w:val="clear" w:color="auto" w:fill="auto"/>
            <w:vAlign w:val="bottom"/>
          </w:tcPr>
          <w:p w14:paraId="4C7FAB24" w14:textId="77777777" w:rsidR="003734F4" w:rsidRPr="005F2A60" w:rsidRDefault="003734F4" w:rsidP="003734F4">
            <w:pPr>
              <w:tabs>
                <w:tab w:val="left" w:pos="1360"/>
                <w:tab w:val="left" w:pos="1410"/>
              </w:tabs>
              <w:ind w:right="72"/>
              <w:jc w:val="right"/>
              <w:rPr>
                <w:i/>
                <w:iCs/>
                <w:sz w:val="14"/>
                <w:szCs w:val="14"/>
              </w:rPr>
            </w:pPr>
            <w:r w:rsidRPr="005F2A60">
              <w:rPr>
                <w:i/>
                <w:iCs/>
                <w:sz w:val="14"/>
                <w:szCs w:val="14"/>
              </w:rPr>
              <w:t>Medical equipment</w:t>
            </w:r>
          </w:p>
        </w:tc>
      </w:tr>
      <w:tr w:rsidR="003734F4" w:rsidRPr="005F2A60" w14:paraId="1D5714C2" w14:textId="77777777" w:rsidTr="003734F4">
        <w:trPr>
          <w:gridAfter w:val="1"/>
          <w:wAfter w:w="20" w:type="dxa"/>
          <w:cantSplit/>
        </w:trPr>
        <w:tc>
          <w:tcPr>
            <w:tcW w:w="1877" w:type="dxa"/>
            <w:tcBorders>
              <w:top w:val="nil"/>
              <w:left w:val="nil"/>
              <w:right w:val="nil"/>
            </w:tcBorders>
            <w:shd w:val="clear" w:color="auto" w:fill="auto"/>
            <w:vAlign w:val="bottom"/>
          </w:tcPr>
          <w:p w14:paraId="0DF9611B" w14:textId="77777777" w:rsidR="003734F4" w:rsidRPr="005F2A60" w:rsidRDefault="003734F4" w:rsidP="003734F4">
            <w:pPr>
              <w:ind w:left="680" w:right="17" w:hanging="255"/>
              <w:rPr>
                <w:bCs w:val="0"/>
                <w:sz w:val="14"/>
                <w:szCs w:val="14"/>
              </w:rPr>
            </w:pPr>
            <w:r w:rsidRPr="005F2A60">
              <w:rPr>
                <w:bCs w:val="0"/>
                <w:sz w:val="14"/>
                <w:szCs w:val="14"/>
              </w:rPr>
              <w:t>Mesin</w:t>
            </w:r>
          </w:p>
        </w:tc>
        <w:tc>
          <w:tcPr>
            <w:tcW w:w="1134" w:type="dxa"/>
            <w:tcBorders>
              <w:top w:val="nil"/>
              <w:left w:val="nil"/>
              <w:right w:val="nil"/>
            </w:tcBorders>
            <w:shd w:val="clear" w:color="auto" w:fill="auto"/>
            <w:vAlign w:val="bottom"/>
          </w:tcPr>
          <w:p w14:paraId="330EF910" w14:textId="164265C1" w:rsidR="003734F4" w:rsidRPr="005F2A60" w:rsidRDefault="003734F4" w:rsidP="003734F4">
            <w:pPr>
              <w:ind w:left="-57" w:right="57"/>
              <w:jc w:val="right"/>
              <w:rPr>
                <w:bCs w:val="0"/>
                <w:sz w:val="12"/>
                <w:szCs w:val="12"/>
              </w:rPr>
            </w:pPr>
            <w:r w:rsidRPr="001775FB">
              <w:rPr>
                <w:bCs w:val="0"/>
                <w:sz w:val="12"/>
                <w:szCs w:val="12"/>
              </w:rPr>
              <w:t>73.179.345.506</w:t>
            </w:r>
          </w:p>
        </w:tc>
        <w:tc>
          <w:tcPr>
            <w:tcW w:w="83" w:type="dxa"/>
            <w:tcBorders>
              <w:top w:val="nil"/>
              <w:left w:val="nil"/>
              <w:right w:val="nil"/>
            </w:tcBorders>
            <w:shd w:val="clear" w:color="auto" w:fill="auto"/>
            <w:vAlign w:val="bottom"/>
          </w:tcPr>
          <w:p w14:paraId="6075B3C0" w14:textId="77777777" w:rsidR="003734F4" w:rsidRPr="005F2A60" w:rsidRDefault="003734F4" w:rsidP="003734F4">
            <w:pPr>
              <w:ind w:right="18"/>
              <w:jc w:val="right"/>
              <w:rPr>
                <w:bCs w:val="0"/>
                <w:sz w:val="12"/>
                <w:szCs w:val="12"/>
              </w:rPr>
            </w:pPr>
          </w:p>
        </w:tc>
        <w:tc>
          <w:tcPr>
            <w:tcW w:w="1051" w:type="dxa"/>
            <w:tcBorders>
              <w:top w:val="nil"/>
              <w:left w:val="nil"/>
              <w:right w:val="nil"/>
            </w:tcBorders>
            <w:shd w:val="clear" w:color="auto" w:fill="auto"/>
            <w:vAlign w:val="bottom"/>
          </w:tcPr>
          <w:p w14:paraId="1E7DBDE5" w14:textId="0C1C8142" w:rsidR="003734F4" w:rsidRPr="005F2A60" w:rsidRDefault="003734F4" w:rsidP="003734F4">
            <w:pPr>
              <w:ind w:right="57"/>
              <w:jc w:val="right"/>
              <w:rPr>
                <w:bCs w:val="0"/>
                <w:sz w:val="12"/>
                <w:szCs w:val="12"/>
              </w:rPr>
            </w:pPr>
            <w:r w:rsidRPr="001775FB">
              <w:rPr>
                <w:bCs w:val="0"/>
                <w:sz w:val="12"/>
                <w:szCs w:val="12"/>
              </w:rPr>
              <w:t>1.308.692.599</w:t>
            </w:r>
          </w:p>
        </w:tc>
        <w:tc>
          <w:tcPr>
            <w:tcW w:w="91" w:type="dxa"/>
            <w:tcBorders>
              <w:top w:val="nil"/>
              <w:left w:val="nil"/>
              <w:right w:val="nil"/>
            </w:tcBorders>
            <w:shd w:val="clear" w:color="auto" w:fill="auto"/>
            <w:vAlign w:val="bottom"/>
          </w:tcPr>
          <w:p w14:paraId="58EAB84E"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7CF1E39B" w14:textId="77777777" w:rsidR="003734F4" w:rsidRPr="005F2A60" w:rsidRDefault="003734F4" w:rsidP="003734F4">
            <w:pPr>
              <w:ind w:right="18"/>
              <w:jc w:val="right"/>
              <w:rPr>
                <w:bCs w:val="0"/>
                <w:sz w:val="12"/>
                <w:szCs w:val="12"/>
              </w:rPr>
            </w:pPr>
          </w:p>
        </w:tc>
        <w:tc>
          <w:tcPr>
            <w:tcW w:w="960" w:type="dxa"/>
            <w:gridSpan w:val="3"/>
            <w:tcBorders>
              <w:top w:val="nil"/>
              <w:left w:val="nil"/>
              <w:right w:val="nil"/>
            </w:tcBorders>
            <w:shd w:val="clear" w:color="auto" w:fill="auto"/>
            <w:vAlign w:val="bottom"/>
          </w:tcPr>
          <w:p w14:paraId="66B5B4BB" w14:textId="520BD6D9" w:rsidR="003734F4" w:rsidRPr="005F2A60" w:rsidRDefault="003734F4" w:rsidP="003734F4">
            <w:pPr>
              <w:ind w:right="57"/>
              <w:jc w:val="right"/>
              <w:rPr>
                <w:bCs w:val="0"/>
                <w:sz w:val="12"/>
                <w:szCs w:val="12"/>
              </w:rPr>
            </w:pPr>
            <w:r>
              <w:rPr>
                <w:bCs w:val="0"/>
                <w:sz w:val="12"/>
                <w:szCs w:val="12"/>
              </w:rPr>
              <w:t>(</w:t>
            </w:r>
            <w:r w:rsidRPr="001775FB">
              <w:rPr>
                <w:bCs w:val="0"/>
                <w:sz w:val="12"/>
                <w:szCs w:val="12"/>
              </w:rPr>
              <w:t>534.44</w:t>
            </w:r>
            <w:r>
              <w:rPr>
                <w:bCs w:val="0"/>
                <w:sz w:val="12"/>
                <w:szCs w:val="12"/>
              </w:rPr>
              <w:t>0</w:t>
            </w:r>
            <w:r w:rsidRPr="001775FB">
              <w:rPr>
                <w:bCs w:val="0"/>
                <w:sz w:val="12"/>
                <w:szCs w:val="12"/>
              </w:rPr>
              <w:t>.16</w:t>
            </w:r>
            <w:r>
              <w:rPr>
                <w:bCs w:val="0"/>
                <w:sz w:val="12"/>
                <w:szCs w:val="12"/>
              </w:rPr>
              <w:t>5)</w:t>
            </w:r>
          </w:p>
        </w:tc>
        <w:tc>
          <w:tcPr>
            <w:tcW w:w="83" w:type="dxa"/>
            <w:gridSpan w:val="2"/>
            <w:tcBorders>
              <w:top w:val="nil"/>
              <w:left w:val="nil"/>
              <w:right w:val="nil"/>
            </w:tcBorders>
            <w:shd w:val="clear" w:color="auto" w:fill="auto"/>
            <w:vAlign w:val="bottom"/>
          </w:tcPr>
          <w:p w14:paraId="63E35AB3" w14:textId="77777777" w:rsidR="003734F4" w:rsidRPr="005F2A60" w:rsidRDefault="003734F4" w:rsidP="003734F4">
            <w:pPr>
              <w:ind w:right="57"/>
              <w:jc w:val="right"/>
              <w:rPr>
                <w:bCs w:val="0"/>
                <w:sz w:val="12"/>
                <w:szCs w:val="12"/>
              </w:rPr>
            </w:pPr>
          </w:p>
        </w:tc>
        <w:tc>
          <w:tcPr>
            <w:tcW w:w="1051" w:type="dxa"/>
            <w:gridSpan w:val="3"/>
            <w:tcBorders>
              <w:top w:val="nil"/>
              <w:left w:val="nil"/>
              <w:right w:val="nil"/>
            </w:tcBorders>
            <w:vAlign w:val="bottom"/>
          </w:tcPr>
          <w:p w14:paraId="241B6D08" w14:textId="612814C5" w:rsidR="003734F4" w:rsidRPr="005F2A60" w:rsidRDefault="003734F4" w:rsidP="003734F4">
            <w:pPr>
              <w:ind w:left="-57" w:right="57"/>
              <w:jc w:val="right"/>
              <w:rPr>
                <w:bCs w:val="0"/>
                <w:sz w:val="12"/>
                <w:szCs w:val="12"/>
              </w:rPr>
            </w:pPr>
            <w:r>
              <w:rPr>
                <w:bCs w:val="0"/>
                <w:sz w:val="12"/>
                <w:szCs w:val="12"/>
              </w:rPr>
              <w:t>-</w:t>
            </w:r>
          </w:p>
        </w:tc>
        <w:tc>
          <w:tcPr>
            <w:tcW w:w="83" w:type="dxa"/>
            <w:tcBorders>
              <w:top w:val="nil"/>
              <w:left w:val="nil"/>
              <w:right w:val="nil"/>
            </w:tcBorders>
            <w:vAlign w:val="bottom"/>
          </w:tcPr>
          <w:p w14:paraId="4B3283E1" w14:textId="77777777" w:rsidR="003734F4" w:rsidRPr="005F2A60" w:rsidRDefault="003734F4" w:rsidP="003734F4">
            <w:pPr>
              <w:ind w:left="-57" w:right="57"/>
              <w:jc w:val="right"/>
              <w:rPr>
                <w:bCs w:val="0"/>
                <w:sz w:val="12"/>
                <w:szCs w:val="12"/>
              </w:rPr>
            </w:pPr>
          </w:p>
        </w:tc>
        <w:tc>
          <w:tcPr>
            <w:tcW w:w="1193" w:type="dxa"/>
            <w:gridSpan w:val="2"/>
            <w:tcBorders>
              <w:top w:val="nil"/>
              <w:left w:val="nil"/>
              <w:right w:val="nil"/>
            </w:tcBorders>
            <w:shd w:val="clear" w:color="auto" w:fill="auto"/>
            <w:vAlign w:val="bottom"/>
          </w:tcPr>
          <w:p w14:paraId="6BFA1C83" w14:textId="5AFB5A31" w:rsidR="003734F4" w:rsidRPr="005F2A60" w:rsidRDefault="003734F4" w:rsidP="003734F4">
            <w:pPr>
              <w:ind w:left="-57" w:right="57"/>
              <w:jc w:val="right"/>
              <w:rPr>
                <w:bCs w:val="0"/>
                <w:sz w:val="12"/>
                <w:szCs w:val="12"/>
              </w:rPr>
            </w:pPr>
            <w:r w:rsidRPr="001775FB">
              <w:rPr>
                <w:bCs w:val="0"/>
                <w:sz w:val="12"/>
                <w:szCs w:val="12"/>
              </w:rPr>
              <w:t>73.953.59</w:t>
            </w:r>
            <w:r>
              <w:rPr>
                <w:bCs w:val="0"/>
                <w:sz w:val="12"/>
                <w:szCs w:val="12"/>
              </w:rPr>
              <w:t>7</w:t>
            </w:r>
            <w:r w:rsidRPr="001775FB">
              <w:rPr>
                <w:bCs w:val="0"/>
                <w:sz w:val="12"/>
                <w:szCs w:val="12"/>
              </w:rPr>
              <w:t>.94</w:t>
            </w:r>
            <w:r>
              <w:rPr>
                <w:bCs w:val="0"/>
                <w:sz w:val="12"/>
                <w:szCs w:val="12"/>
              </w:rPr>
              <w:t>0</w:t>
            </w:r>
          </w:p>
        </w:tc>
        <w:tc>
          <w:tcPr>
            <w:tcW w:w="1417" w:type="dxa"/>
            <w:gridSpan w:val="2"/>
            <w:tcBorders>
              <w:top w:val="nil"/>
              <w:left w:val="nil"/>
              <w:bottom w:val="nil"/>
              <w:right w:val="nil"/>
            </w:tcBorders>
            <w:shd w:val="clear" w:color="auto" w:fill="auto"/>
            <w:vAlign w:val="bottom"/>
          </w:tcPr>
          <w:p w14:paraId="7524BC42" w14:textId="77777777" w:rsidR="003734F4" w:rsidRPr="005F2A60" w:rsidRDefault="003734F4" w:rsidP="003734F4">
            <w:pPr>
              <w:tabs>
                <w:tab w:val="left" w:pos="1360"/>
                <w:tab w:val="left" w:pos="1410"/>
              </w:tabs>
              <w:ind w:right="72"/>
              <w:jc w:val="right"/>
              <w:rPr>
                <w:i/>
                <w:iCs/>
                <w:sz w:val="14"/>
                <w:szCs w:val="14"/>
              </w:rPr>
            </w:pPr>
            <w:r w:rsidRPr="005F2A60">
              <w:rPr>
                <w:i/>
                <w:iCs/>
                <w:sz w:val="14"/>
                <w:szCs w:val="14"/>
              </w:rPr>
              <w:t>Machine</w:t>
            </w:r>
          </w:p>
        </w:tc>
      </w:tr>
      <w:tr w:rsidR="003734F4" w:rsidRPr="005F2A60" w14:paraId="50074CF1" w14:textId="77777777" w:rsidTr="003734F4">
        <w:trPr>
          <w:gridAfter w:val="1"/>
          <w:wAfter w:w="20" w:type="dxa"/>
          <w:cantSplit/>
        </w:trPr>
        <w:tc>
          <w:tcPr>
            <w:tcW w:w="1877" w:type="dxa"/>
            <w:tcBorders>
              <w:top w:val="nil"/>
              <w:left w:val="nil"/>
              <w:right w:val="nil"/>
            </w:tcBorders>
            <w:shd w:val="clear" w:color="auto" w:fill="auto"/>
            <w:vAlign w:val="bottom"/>
          </w:tcPr>
          <w:p w14:paraId="0527F8E5" w14:textId="77777777" w:rsidR="003734F4" w:rsidRDefault="003734F4" w:rsidP="003734F4">
            <w:pPr>
              <w:ind w:left="680" w:right="17" w:hanging="255"/>
              <w:rPr>
                <w:bCs w:val="0"/>
                <w:sz w:val="14"/>
                <w:szCs w:val="14"/>
              </w:rPr>
            </w:pPr>
            <w:r w:rsidRPr="005F2A60">
              <w:rPr>
                <w:bCs w:val="0"/>
                <w:sz w:val="14"/>
                <w:szCs w:val="14"/>
              </w:rPr>
              <w:t xml:space="preserve">Perabotan dan </w:t>
            </w:r>
          </w:p>
          <w:p w14:paraId="30C415CB" w14:textId="459E7401" w:rsidR="003734F4" w:rsidRPr="005F2A60" w:rsidRDefault="003734F4" w:rsidP="003734F4">
            <w:pPr>
              <w:ind w:left="680" w:right="17" w:hanging="115"/>
              <w:rPr>
                <w:bCs w:val="0"/>
                <w:sz w:val="14"/>
                <w:szCs w:val="14"/>
              </w:rPr>
            </w:pPr>
            <w:r w:rsidRPr="005F2A60">
              <w:rPr>
                <w:bCs w:val="0"/>
                <w:sz w:val="14"/>
                <w:szCs w:val="14"/>
              </w:rPr>
              <w:t>Peralatan</w:t>
            </w:r>
          </w:p>
        </w:tc>
        <w:tc>
          <w:tcPr>
            <w:tcW w:w="1134" w:type="dxa"/>
            <w:tcBorders>
              <w:top w:val="nil"/>
              <w:left w:val="nil"/>
              <w:right w:val="nil"/>
            </w:tcBorders>
            <w:shd w:val="clear" w:color="auto" w:fill="auto"/>
            <w:vAlign w:val="bottom"/>
          </w:tcPr>
          <w:p w14:paraId="6D84D2E0" w14:textId="0374212A" w:rsidR="003734F4" w:rsidRPr="005F2A60" w:rsidRDefault="003734F4" w:rsidP="003734F4">
            <w:pPr>
              <w:ind w:left="-57" w:right="57"/>
              <w:jc w:val="right"/>
              <w:rPr>
                <w:bCs w:val="0"/>
                <w:sz w:val="12"/>
                <w:szCs w:val="12"/>
              </w:rPr>
            </w:pPr>
            <w:r w:rsidRPr="001775FB">
              <w:rPr>
                <w:bCs w:val="0"/>
                <w:sz w:val="12"/>
                <w:szCs w:val="12"/>
              </w:rPr>
              <w:t>10.698.330.655</w:t>
            </w:r>
          </w:p>
        </w:tc>
        <w:tc>
          <w:tcPr>
            <w:tcW w:w="83" w:type="dxa"/>
            <w:tcBorders>
              <w:top w:val="nil"/>
              <w:left w:val="nil"/>
              <w:right w:val="nil"/>
            </w:tcBorders>
            <w:shd w:val="clear" w:color="auto" w:fill="auto"/>
            <w:vAlign w:val="bottom"/>
          </w:tcPr>
          <w:p w14:paraId="1B9ADC2E" w14:textId="77777777" w:rsidR="003734F4" w:rsidRPr="005F2A60" w:rsidRDefault="003734F4" w:rsidP="003734F4">
            <w:pPr>
              <w:ind w:right="18"/>
              <w:jc w:val="right"/>
              <w:rPr>
                <w:bCs w:val="0"/>
                <w:sz w:val="12"/>
                <w:szCs w:val="12"/>
              </w:rPr>
            </w:pPr>
          </w:p>
        </w:tc>
        <w:tc>
          <w:tcPr>
            <w:tcW w:w="1051" w:type="dxa"/>
            <w:tcBorders>
              <w:top w:val="nil"/>
              <w:left w:val="nil"/>
              <w:right w:val="nil"/>
            </w:tcBorders>
            <w:shd w:val="clear" w:color="auto" w:fill="auto"/>
            <w:vAlign w:val="bottom"/>
          </w:tcPr>
          <w:p w14:paraId="1EFD8D7B" w14:textId="1844845C" w:rsidR="003734F4" w:rsidRPr="005F2A60" w:rsidRDefault="003734F4" w:rsidP="003734F4">
            <w:pPr>
              <w:ind w:right="57"/>
              <w:jc w:val="right"/>
              <w:rPr>
                <w:bCs w:val="0"/>
                <w:sz w:val="12"/>
                <w:szCs w:val="12"/>
              </w:rPr>
            </w:pPr>
            <w:r w:rsidRPr="001775FB">
              <w:rPr>
                <w:bCs w:val="0"/>
                <w:sz w:val="12"/>
                <w:szCs w:val="12"/>
              </w:rPr>
              <w:t>272.825.280</w:t>
            </w:r>
          </w:p>
        </w:tc>
        <w:tc>
          <w:tcPr>
            <w:tcW w:w="91" w:type="dxa"/>
            <w:tcBorders>
              <w:top w:val="nil"/>
              <w:left w:val="nil"/>
              <w:right w:val="nil"/>
            </w:tcBorders>
            <w:shd w:val="clear" w:color="auto" w:fill="auto"/>
            <w:vAlign w:val="bottom"/>
          </w:tcPr>
          <w:p w14:paraId="00296714"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4CED29AF" w14:textId="77777777" w:rsidR="003734F4" w:rsidRPr="005F2A60" w:rsidRDefault="003734F4" w:rsidP="003734F4">
            <w:pPr>
              <w:ind w:right="18"/>
              <w:jc w:val="right"/>
              <w:rPr>
                <w:bCs w:val="0"/>
                <w:sz w:val="12"/>
                <w:szCs w:val="12"/>
              </w:rPr>
            </w:pPr>
          </w:p>
        </w:tc>
        <w:tc>
          <w:tcPr>
            <w:tcW w:w="960" w:type="dxa"/>
            <w:gridSpan w:val="3"/>
            <w:tcBorders>
              <w:top w:val="nil"/>
              <w:left w:val="nil"/>
              <w:right w:val="nil"/>
            </w:tcBorders>
            <w:shd w:val="clear" w:color="auto" w:fill="auto"/>
            <w:vAlign w:val="bottom"/>
          </w:tcPr>
          <w:p w14:paraId="4164EA07" w14:textId="08D064CE" w:rsidR="003734F4" w:rsidRPr="005F2A60" w:rsidRDefault="003734F4" w:rsidP="003734F4">
            <w:pPr>
              <w:ind w:right="57"/>
              <w:jc w:val="right"/>
              <w:rPr>
                <w:bCs w:val="0"/>
                <w:sz w:val="12"/>
                <w:szCs w:val="12"/>
              </w:rPr>
            </w:pPr>
            <w:r>
              <w:rPr>
                <w:bCs w:val="0"/>
                <w:sz w:val="12"/>
                <w:szCs w:val="12"/>
              </w:rPr>
              <w:t>(</w:t>
            </w:r>
            <w:r w:rsidRPr="001775FB">
              <w:rPr>
                <w:bCs w:val="0"/>
                <w:sz w:val="12"/>
                <w:szCs w:val="12"/>
              </w:rPr>
              <w:t>35.95</w:t>
            </w:r>
            <w:r>
              <w:rPr>
                <w:bCs w:val="0"/>
                <w:sz w:val="12"/>
                <w:szCs w:val="12"/>
              </w:rPr>
              <w:t>7</w:t>
            </w:r>
            <w:r w:rsidRPr="001775FB">
              <w:rPr>
                <w:bCs w:val="0"/>
                <w:sz w:val="12"/>
                <w:szCs w:val="12"/>
              </w:rPr>
              <w:t>.28</w:t>
            </w:r>
            <w:r>
              <w:rPr>
                <w:bCs w:val="0"/>
                <w:sz w:val="12"/>
                <w:szCs w:val="12"/>
              </w:rPr>
              <w:t>3)</w:t>
            </w:r>
          </w:p>
        </w:tc>
        <w:tc>
          <w:tcPr>
            <w:tcW w:w="83" w:type="dxa"/>
            <w:gridSpan w:val="2"/>
            <w:tcBorders>
              <w:top w:val="nil"/>
              <w:left w:val="nil"/>
              <w:right w:val="nil"/>
            </w:tcBorders>
            <w:shd w:val="clear" w:color="auto" w:fill="auto"/>
            <w:vAlign w:val="bottom"/>
          </w:tcPr>
          <w:p w14:paraId="5772E502" w14:textId="77777777" w:rsidR="003734F4" w:rsidRPr="005F2A60" w:rsidRDefault="003734F4" w:rsidP="003734F4">
            <w:pPr>
              <w:ind w:right="57"/>
              <w:jc w:val="right"/>
              <w:rPr>
                <w:bCs w:val="0"/>
                <w:sz w:val="12"/>
                <w:szCs w:val="12"/>
              </w:rPr>
            </w:pPr>
          </w:p>
        </w:tc>
        <w:tc>
          <w:tcPr>
            <w:tcW w:w="1051" w:type="dxa"/>
            <w:gridSpan w:val="3"/>
            <w:tcBorders>
              <w:top w:val="nil"/>
              <w:left w:val="nil"/>
              <w:right w:val="nil"/>
            </w:tcBorders>
            <w:vAlign w:val="bottom"/>
          </w:tcPr>
          <w:p w14:paraId="6DC86F17" w14:textId="13D5C4E8" w:rsidR="003734F4" w:rsidRPr="005F2A60" w:rsidRDefault="003734F4" w:rsidP="003734F4">
            <w:pPr>
              <w:ind w:left="-57" w:right="57"/>
              <w:jc w:val="right"/>
              <w:rPr>
                <w:bCs w:val="0"/>
                <w:sz w:val="12"/>
                <w:szCs w:val="12"/>
              </w:rPr>
            </w:pPr>
            <w:r>
              <w:rPr>
                <w:bCs w:val="0"/>
                <w:sz w:val="12"/>
                <w:szCs w:val="12"/>
              </w:rPr>
              <w:t>-</w:t>
            </w:r>
          </w:p>
        </w:tc>
        <w:tc>
          <w:tcPr>
            <w:tcW w:w="83" w:type="dxa"/>
            <w:tcBorders>
              <w:top w:val="nil"/>
              <w:left w:val="nil"/>
              <w:right w:val="nil"/>
            </w:tcBorders>
            <w:vAlign w:val="bottom"/>
          </w:tcPr>
          <w:p w14:paraId="3D5ABEBD" w14:textId="77777777" w:rsidR="003734F4" w:rsidRPr="005F2A60" w:rsidRDefault="003734F4" w:rsidP="003734F4">
            <w:pPr>
              <w:ind w:left="-57" w:right="57"/>
              <w:jc w:val="right"/>
              <w:rPr>
                <w:bCs w:val="0"/>
                <w:sz w:val="12"/>
                <w:szCs w:val="12"/>
              </w:rPr>
            </w:pPr>
          </w:p>
        </w:tc>
        <w:tc>
          <w:tcPr>
            <w:tcW w:w="1193" w:type="dxa"/>
            <w:gridSpan w:val="2"/>
            <w:tcBorders>
              <w:top w:val="nil"/>
              <w:left w:val="nil"/>
              <w:right w:val="nil"/>
            </w:tcBorders>
            <w:shd w:val="clear" w:color="auto" w:fill="auto"/>
            <w:vAlign w:val="bottom"/>
          </w:tcPr>
          <w:p w14:paraId="5D543C63" w14:textId="19056B50" w:rsidR="003734F4" w:rsidRPr="005F2A60" w:rsidRDefault="003734F4" w:rsidP="003734F4">
            <w:pPr>
              <w:ind w:left="-57" w:right="57"/>
              <w:jc w:val="right"/>
              <w:rPr>
                <w:bCs w:val="0"/>
                <w:sz w:val="12"/>
                <w:szCs w:val="12"/>
              </w:rPr>
            </w:pPr>
            <w:r w:rsidRPr="001775FB">
              <w:rPr>
                <w:bCs w:val="0"/>
                <w:sz w:val="12"/>
                <w:szCs w:val="12"/>
              </w:rPr>
              <w:t>10.935.19</w:t>
            </w:r>
            <w:r>
              <w:rPr>
                <w:bCs w:val="0"/>
                <w:sz w:val="12"/>
                <w:szCs w:val="12"/>
              </w:rPr>
              <w:t>8</w:t>
            </w:r>
            <w:r w:rsidRPr="001775FB">
              <w:rPr>
                <w:bCs w:val="0"/>
                <w:sz w:val="12"/>
                <w:szCs w:val="12"/>
              </w:rPr>
              <w:t>.65</w:t>
            </w:r>
            <w:r>
              <w:rPr>
                <w:bCs w:val="0"/>
                <w:sz w:val="12"/>
                <w:szCs w:val="12"/>
              </w:rPr>
              <w:t>2</w:t>
            </w:r>
          </w:p>
        </w:tc>
        <w:tc>
          <w:tcPr>
            <w:tcW w:w="1417" w:type="dxa"/>
            <w:gridSpan w:val="2"/>
            <w:tcBorders>
              <w:top w:val="nil"/>
              <w:left w:val="nil"/>
              <w:bottom w:val="nil"/>
              <w:right w:val="nil"/>
            </w:tcBorders>
            <w:shd w:val="clear" w:color="auto" w:fill="auto"/>
            <w:vAlign w:val="bottom"/>
          </w:tcPr>
          <w:p w14:paraId="34ACC3D2" w14:textId="77777777" w:rsidR="003734F4" w:rsidRDefault="003734F4" w:rsidP="003734F4">
            <w:pPr>
              <w:tabs>
                <w:tab w:val="left" w:pos="1360"/>
                <w:tab w:val="left" w:pos="1410"/>
              </w:tabs>
              <w:ind w:right="72"/>
              <w:jc w:val="right"/>
              <w:rPr>
                <w:i/>
                <w:iCs/>
                <w:sz w:val="14"/>
                <w:szCs w:val="14"/>
              </w:rPr>
            </w:pPr>
            <w:r w:rsidRPr="005F2A60">
              <w:rPr>
                <w:i/>
                <w:iCs/>
                <w:sz w:val="14"/>
                <w:szCs w:val="14"/>
              </w:rPr>
              <w:t xml:space="preserve">Funitures and </w:t>
            </w:r>
          </w:p>
          <w:p w14:paraId="039D991B" w14:textId="1AE740C7" w:rsidR="003734F4" w:rsidRPr="005F2A60" w:rsidRDefault="003734F4" w:rsidP="003734F4">
            <w:pPr>
              <w:ind w:right="198"/>
              <w:jc w:val="right"/>
              <w:rPr>
                <w:i/>
                <w:iCs/>
                <w:sz w:val="14"/>
                <w:szCs w:val="14"/>
              </w:rPr>
            </w:pPr>
            <w:r w:rsidRPr="008C5534">
              <w:rPr>
                <w:bCs w:val="0"/>
                <w:i/>
                <w:color w:val="1D1B11"/>
                <w:sz w:val="14"/>
                <w:szCs w:val="14"/>
              </w:rPr>
              <w:t>fixtures</w:t>
            </w:r>
          </w:p>
        </w:tc>
      </w:tr>
      <w:tr w:rsidR="003734F4" w:rsidRPr="005F2A60" w14:paraId="103D7D90" w14:textId="77777777" w:rsidTr="003734F4">
        <w:trPr>
          <w:gridAfter w:val="1"/>
          <w:wAfter w:w="20" w:type="dxa"/>
          <w:cantSplit/>
        </w:trPr>
        <w:tc>
          <w:tcPr>
            <w:tcW w:w="1877" w:type="dxa"/>
            <w:tcBorders>
              <w:top w:val="nil"/>
              <w:left w:val="nil"/>
              <w:right w:val="nil"/>
            </w:tcBorders>
            <w:shd w:val="clear" w:color="auto" w:fill="auto"/>
            <w:vAlign w:val="bottom"/>
          </w:tcPr>
          <w:p w14:paraId="431F92DE" w14:textId="77777777" w:rsidR="003734F4" w:rsidRPr="005F2A60" w:rsidRDefault="003734F4" w:rsidP="003734F4">
            <w:pPr>
              <w:ind w:left="680" w:right="17" w:hanging="255"/>
              <w:rPr>
                <w:bCs w:val="0"/>
                <w:sz w:val="14"/>
                <w:szCs w:val="14"/>
              </w:rPr>
            </w:pPr>
            <w:r w:rsidRPr="005F2A60">
              <w:rPr>
                <w:bCs w:val="0"/>
                <w:sz w:val="14"/>
                <w:szCs w:val="14"/>
              </w:rPr>
              <w:t>Kendaraan</w:t>
            </w:r>
          </w:p>
        </w:tc>
        <w:tc>
          <w:tcPr>
            <w:tcW w:w="1134" w:type="dxa"/>
            <w:tcBorders>
              <w:top w:val="nil"/>
              <w:left w:val="nil"/>
              <w:right w:val="nil"/>
            </w:tcBorders>
            <w:shd w:val="clear" w:color="auto" w:fill="auto"/>
            <w:vAlign w:val="bottom"/>
          </w:tcPr>
          <w:p w14:paraId="2D5215E8" w14:textId="55E09ADD" w:rsidR="003734F4" w:rsidRPr="005F2A60" w:rsidRDefault="003734F4" w:rsidP="003734F4">
            <w:pPr>
              <w:ind w:left="-57" w:right="57"/>
              <w:jc w:val="right"/>
              <w:rPr>
                <w:bCs w:val="0"/>
                <w:sz w:val="12"/>
                <w:szCs w:val="12"/>
              </w:rPr>
            </w:pPr>
            <w:r w:rsidRPr="001775FB">
              <w:rPr>
                <w:bCs w:val="0"/>
                <w:sz w:val="12"/>
                <w:szCs w:val="12"/>
              </w:rPr>
              <w:t>9.382.697.095</w:t>
            </w:r>
          </w:p>
        </w:tc>
        <w:tc>
          <w:tcPr>
            <w:tcW w:w="83" w:type="dxa"/>
            <w:tcBorders>
              <w:top w:val="nil"/>
              <w:left w:val="nil"/>
              <w:right w:val="nil"/>
            </w:tcBorders>
            <w:shd w:val="clear" w:color="auto" w:fill="auto"/>
            <w:vAlign w:val="bottom"/>
          </w:tcPr>
          <w:p w14:paraId="411F3528" w14:textId="77777777" w:rsidR="003734F4" w:rsidRPr="005F2A60" w:rsidRDefault="003734F4" w:rsidP="003734F4">
            <w:pPr>
              <w:ind w:right="18"/>
              <w:jc w:val="right"/>
              <w:rPr>
                <w:bCs w:val="0"/>
                <w:sz w:val="12"/>
                <w:szCs w:val="12"/>
              </w:rPr>
            </w:pPr>
          </w:p>
        </w:tc>
        <w:tc>
          <w:tcPr>
            <w:tcW w:w="1051" w:type="dxa"/>
            <w:tcBorders>
              <w:top w:val="nil"/>
              <w:left w:val="nil"/>
              <w:right w:val="nil"/>
            </w:tcBorders>
            <w:shd w:val="clear" w:color="auto" w:fill="auto"/>
            <w:vAlign w:val="bottom"/>
          </w:tcPr>
          <w:p w14:paraId="65470B22" w14:textId="03CEBE34" w:rsidR="003734F4" w:rsidRPr="005F2A60" w:rsidRDefault="003734F4" w:rsidP="003734F4">
            <w:pPr>
              <w:ind w:right="57"/>
              <w:jc w:val="right"/>
              <w:rPr>
                <w:bCs w:val="0"/>
                <w:sz w:val="12"/>
                <w:szCs w:val="12"/>
              </w:rPr>
            </w:pPr>
            <w:r w:rsidRPr="001775FB">
              <w:rPr>
                <w:bCs w:val="0"/>
                <w:sz w:val="12"/>
                <w:szCs w:val="12"/>
              </w:rPr>
              <w:t>741.064.008</w:t>
            </w:r>
          </w:p>
        </w:tc>
        <w:tc>
          <w:tcPr>
            <w:tcW w:w="91" w:type="dxa"/>
            <w:tcBorders>
              <w:top w:val="nil"/>
              <w:left w:val="nil"/>
              <w:right w:val="nil"/>
            </w:tcBorders>
            <w:shd w:val="clear" w:color="auto" w:fill="auto"/>
            <w:vAlign w:val="bottom"/>
          </w:tcPr>
          <w:p w14:paraId="7182FBC1"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470C6C01" w14:textId="77777777" w:rsidR="003734F4" w:rsidRPr="005F2A60" w:rsidRDefault="003734F4" w:rsidP="003734F4">
            <w:pPr>
              <w:ind w:right="18"/>
              <w:jc w:val="right"/>
              <w:rPr>
                <w:bCs w:val="0"/>
                <w:sz w:val="12"/>
                <w:szCs w:val="12"/>
              </w:rPr>
            </w:pPr>
          </w:p>
        </w:tc>
        <w:tc>
          <w:tcPr>
            <w:tcW w:w="960" w:type="dxa"/>
            <w:gridSpan w:val="3"/>
            <w:tcBorders>
              <w:top w:val="nil"/>
              <w:left w:val="nil"/>
              <w:right w:val="nil"/>
            </w:tcBorders>
            <w:shd w:val="clear" w:color="auto" w:fill="auto"/>
            <w:vAlign w:val="bottom"/>
          </w:tcPr>
          <w:p w14:paraId="42984605" w14:textId="561099F2" w:rsidR="003734F4" w:rsidRPr="005F2A60" w:rsidRDefault="003734F4" w:rsidP="003734F4">
            <w:pPr>
              <w:ind w:right="57"/>
              <w:jc w:val="right"/>
              <w:rPr>
                <w:bCs w:val="0"/>
                <w:sz w:val="12"/>
                <w:szCs w:val="12"/>
              </w:rPr>
            </w:pPr>
            <w:r>
              <w:rPr>
                <w:bCs w:val="0"/>
                <w:sz w:val="12"/>
                <w:szCs w:val="12"/>
              </w:rPr>
              <w:t>(</w:t>
            </w:r>
            <w:r w:rsidRPr="001775FB">
              <w:rPr>
                <w:bCs w:val="0"/>
                <w:sz w:val="12"/>
                <w:szCs w:val="12"/>
              </w:rPr>
              <w:t>259.63</w:t>
            </w:r>
            <w:r>
              <w:rPr>
                <w:bCs w:val="0"/>
                <w:sz w:val="12"/>
                <w:szCs w:val="12"/>
              </w:rPr>
              <w:t>0</w:t>
            </w:r>
            <w:r w:rsidRPr="001775FB">
              <w:rPr>
                <w:bCs w:val="0"/>
                <w:sz w:val="12"/>
                <w:szCs w:val="12"/>
              </w:rPr>
              <w:t>.00</w:t>
            </w:r>
            <w:r>
              <w:rPr>
                <w:bCs w:val="0"/>
                <w:sz w:val="12"/>
                <w:szCs w:val="12"/>
              </w:rPr>
              <w:t>6)</w:t>
            </w:r>
          </w:p>
        </w:tc>
        <w:tc>
          <w:tcPr>
            <w:tcW w:w="83" w:type="dxa"/>
            <w:gridSpan w:val="2"/>
            <w:tcBorders>
              <w:top w:val="nil"/>
              <w:left w:val="nil"/>
              <w:right w:val="nil"/>
            </w:tcBorders>
            <w:shd w:val="clear" w:color="auto" w:fill="auto"/>
            <w:vAlign w:val="bottom"/>
          </w:tcPr>
          <w:p w14:paraId="66C2F79E" w14:textId="77777777" w:rsidR="003734F4" w:rsidRPr="005F2A60" w:rsidRDefault="003734F4" w:rsidP="003734F4">
            <w:pPr>
              <w:ind w:right="57"/>
              <w:jc w:val="right"/>
              <w:rPr>
                <w:bCs w:val="0"/>
                <w:sz w:val="12"/>
                <w:szCs w:val="12"/>
              </w:rPr>
            </w:pPr>
          </w:p>
        </w:tc>
        <w:tc>
          <w:tcPr>
            <w:tcW w:w="1051" w:type="dxa"/>
            <w:gridSpan w:val="3"/>
            <w:tcBorders>
              <w:top w:val="nil"/>
              <w:left w:val="nil"/>
              <w:right w:val="nil"/>
            </w:tcBorders>
            <w:vAlign w:val="bottom"/>
          </w:tcPr>
          <w:p w14:paraId="60A26561" w14:textId="28AE16DD" w:rsidR="003734F4" w:rsidRPr="005F2A60" w:rsidRDefault="003734F4" w:rsidP="003734F4">
            <w:pPr>
              <w:ind w:left="-57" w:right="57"/>
              <w:jc w:val="right"/>
              <w:rPr>
                <w:bCs w:val="0"/>
                <w:sz w:val="12"/>
                <w:szCs w:val="12"/>
              </w:rPr>
            </w:pPr>
            <w:r w:rsidRPr="001775FB">
              <w:rPr>
                <w:bCs w:val="0"/>
                <w:sz w:val="12"/>
                <w:szCs w:val="12"/>
                <w:lang w:val="id-ID"/>
              </w:rPr>
              <w:t>2.543.680.000</w:t>
            </w:r>
          </w:p>
        </w:tc>
        <w:tc>
          <w:tcPr>
            <w:tcW w:w="83" w:type="dxa"/>
            <w:tcBorders>
              <w:top w:val="nil"/>
              <w:left w:val="nil"/>
              <w:right w:val="nil"/>
            </w:tcBorders>
            <w:vAlign w:val="bottom"/>
          </w:tcPr>
          <w:p w14:paraId="5118132D" w14:textId="77777777" w:rsidR="003734F4" w:rsidRPr="005F2A60" w:rsidRDefault="003734F4" w:rsidP="003734F4">
            <w:pPr>
              <w:ind w:left="-57" w:right="57"/>
              <w:jc w:val="right"/>
              <w:rPr>
                <w:bCs w:val="0"/>
                <w:sz w:val="12"/>
                <w:szCs w:val="12"/>
              </w:rPr>
            </w:pPr>
          </w:p>
        </w:tc>
        <w:tc>
          <w:tcPr>
            <w:tcW w:w="1193" w:type="dxa"/>
            <w:gridSpan w:val="2"/>
            <w:tcBorders>
              <w:top w:val="nil"/>
              <w:left w:val="nil"/>
              <w:right w:val="nil"/>
            </w:tcBorders>
            <w:shd w:val="clear" w:color="auto" w:fill="auto"/>
            <w:vAlign w:val="bottom"/>
          </w:tcPr>
          <w:p w14:paraId="23A4967E" w14:textId="1700B83D" w:rsidR="003734F4" w:rsidRPr="005F2A60" w:rsidRDefault="003734F4" w:rsidP="003734F4">
            <w:pPr>
              <w:ind w:left="-57" w:right="57"/>
              <w:jc w:val="right"/>
              <w:rPr>
                <w:bCs w:val="0"/>
                <w:sz w:val="12"/>
                <w:szCs w:val="12"/>
              </w:rPr>
            </w:pPr>
            <w:r w:rsidRPr="001775FB">
              <w:rPr>
                <w:bCs w:val="0"/>
                <w:sz w:val="12"/>
                <w:szCs w:val="12"/>
              </w:rPr>
              <w:t>12.407.811.09</w:t>
            </w:r>
            <w:r>
              <w:rPr>
                <w:bCs w:val="0"/>
                <w:sz w:val="12"/>
                <w:szCs w:val="12"/>
              </w:rPr>
              <w:t>7</w:t>
            </w:r>
          </w:p>
        </w:tc>
        <w:tc>
          <w:tcPr>
            <w:tcW w:w="1417" w:type="dxa"/>
            <w:gridSpan w:val="2"/>
            <w:tcBorders>
              <w:top w:val="nil"/>
              <w:left w:val="nil"/>
              <w:bottom w:val="nil"/>
              <w:right w:val="nil"/>
            </w:tcBorders>
            <w:shd w:val="clear" w:color="auto" w:fill="auto"/>
            <w:vAlign w:val="bottom"/>
          </w:tcPr>
          <w:p w14:paraId="7C2E1DE3" w14:textId="77777777" w:rsidR="003734F4" w:rsidRPr="005F2A60" w:rsidRDefault="003734F4" w:rsidP="003734F4">
            <w:pPr>
              <w:tabs>
                <w:tab w:val="left" w:pos="1360"/>
                <w:tab w:val="left" w:pos="1410"/>
              </w:tabs>
              <w:ind w:right="72"/>
              <w:jc w:val="right"/>
              <w:rPr>
                <w:i/>
                <w:iCs/>
                <w:sz w:val="14"/>
                <w:szCs w:val="14"/>
              </w:rPr>
            </w:pPr>
            <w:r w:rsidRPr="005F2A60">
              <w:rPr>
                <w:i/>
                <w:iCs/>
                <w:sz w:val="14"/>
                <w:szCs w:val="14"/>
              </w:rPr>
              <w:t>Vehicles</w:t>
            </w:r>
          </w:p>
        </w:tc>
      </w:tr>
      <w:tr w:rsidR="003734F4" w:rsidRPr="005F2A60" w14:paraId="01CBF854" w14:textId="77777777" w:rsidTr="003734F4">
        <w:trPr>
          <w:gridAfter w:val="1"/>
          <w:wAfter w:w="20" w:type="dxa"/>
          <w:cantSplit/>
        </w:trPr>
        <w:tc>
          <w:tcPr>
            <w:tcW w:w="1877" w:type="dxa"/>
            <w:tcBorders>
              <w:top w:val="nil"/>
              <w:left w:val="nil"/>
              <w:right w:val="nil"/>
            </w:tcBorders>
            <w:shd w:val="clear" w:color="auto" w:fill="auto"/>
            <w:vAlign w:val="bottom"/>
          </w:tcPr>
          <w:p w14:paraId="2206A69A" w14:textId="77777777" w:rsidR="003734F4" w:rsidRPr="005F2A60" w:rsidRDefault="003734F4" w:rsidP="003734F4">
            <w:pPr>
              <w:ind w:left="680" w:right="17" w:hanging="255"/>
              <w:rPr>
                <w:bCs w:val="0"/>
                <w:sz w:val="14"/>
                <w:szCs w:val="14"/>
              </w:rPr>
            </w:pPr>
            <w:r w:rsidRPr="005F2A60">
              <w:rPr>
                <w:bCs w:val="0"/>
                <w:sz w:val="14"/>
                <w:szCs w:val="14"/>
              </w:rPr>
              <w:t>Peralatan kantor</w:t>
            </w:r>
          </w:p>
        </w:tc>
        <w:tc>
          <w:tcPr>
            <w:tcW w:w="1134" w:type="dxa"/>
            <w:tcBorders>
              <w:top w:val="nil"/>
              <w:left w:val="nil"/>
              <w:bottom w:val="single" w:sz="4" w:space="0" w:color="auto"/>
              <w:right w:val="nil"/>
            </w:tcBorders>
            <w:shd w:val="clear" w:color="auto" w:fill="auto"/>
            <w:vAlign w:val="bottom"/>
          </w:tcPr>
          <w:p w14:paraId="743218A4" w14:textId="7254E2A8" w:rsidR="003734F4" w:rsidRPr="005F2A60" w:rsidRDefault="003734F4" w:rsidP="003734F4">
            <w:pPr>
              <w:ind w:left="-57" w:right="57"/>
              <w:jc w:val="right"/>
              <w:rPr>
                <w:bCs w:val="0"/>
                <w:sz w:val="12"/>
                <w:szCs w:val="12"/>
                <w:lang w:val="id-ID"/>
              </w:rPr>
            </w:pPr>
            <w:r w:rsidRPr="001775FB">
              <w:rPr>
                <w:bCs w:val="0"/>
                <w:sz w:val="12"/>
                <w:szCs w:val="12"/>
                <w:lang w:val="id-ID"/>
              </w:rPr>
              <w:t>33.540.107.364</w:t>
            </w:r>
          </w:p>
        </w:tc>
        <w:tc>
          <w:tcPr>
            <w:tcW w:w="83" w:type="dxa"/>
            <w:tcBorders>
              <w:top w:val="nil"/>
              <w:left w:val="nil"/>
              <w:right w:val="nil"/>
            </w:tcBorders>
            <w:shd w:val="clear" w:color="auto" w:fill="auto"/>
            <w:vAlign w:val="bottom"/>
          </w:tcPr>
          <w:p w14:paraId="40E83C58" w14:textId="77777777" w:rsidR="003734F4" w:rsidRPr="005F2A60" w:rsidRDefault="003734F4" w:rsidP="003734F4">
            <w:pPr>
              <w:ind w:right="18"/>
              <w:jc w:val="right"/>
              <w:rPr>
                <w:bCs w:val="0"/>
                <w:sz w:val="12"/>
                <w:szCs w:val="12"/>
              </w:rPr>
            </w:pPr>
          </w:p>
        </w:tc>
        <w:tc>
          <w:tcPr>
            <w:tcW w:w="1051" w:type="dxa"/>
            <w:tcBorders>
              <w:top w:val="nil"/>
              <w:left w:val="nil"/>
              <w:bottom w:val="single" w:sz="4" w:space="0" w:color="auto"/>
              <w:right w:val="nil"/>
            </w:tcBorders>
            <w:shd w:val="clear" w:color="auto" w:fill="auto"/>
            <w:vAlign w:val="bottom"/>
          </w:tcPr>
          <w:p w14:paraId="285FE40C" w14:textId="5B309A78" w:rsidR="003734F4" w:rsidRPr="005F2A60" w:rsidRDefault="003734F4" w:rsidP="003734F4">
            <w:pPr>
              <w:ind w:right="57"/>
              <w:jc w:val="right"/>
              <w:rPr>
                <w:bCs w:val="0"/>
                <w:sz w:val="12"/>
                <w:szCs w:val="12"/>
                <w:lang w:val="id-ID"/>
              </w:rPr>
            </w:pPr>
            <w:r w:rsidRPr="001775FB">
              <w:rPr>
                <w:bCs w:val="0"/>
                <w:sz w:val="12"/>
                <w:szCs w:val="12"/>
                <w:lang w:val="id-ID"/>
              </w:rPr>
              <w:t>3.074.550.08</w:t>
            </w:r>
            <w:r>
              <w:rPr>
                <w:bCs w:val="0"/>
                <w:sz w:val="12"/>
                <w:szCs w:val="12"/>
              </w:rPr>
              <w:t>6</w:t>
            </w:r>
          </w:p>
        </w:tc>
        <w:tc>
          <w:tcPr>
            <w:tcW w:w="91" w:type="dxa"/>
            <w:tcBorders>
              <w:top w:val="nil"/>
              <w:left w:val="nil"/>
              <w:right w:val="nil"/>
            </w:tcBorders>
            <w:shd w:val="clear" w:color="auto" w:fill="auto"/>
            <w:vAlign w:val="bottom"/>
          </w:tcPr>
          <w:p w14:paraId="01BC5F4E"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5F56A72B" w14:textId="77777777" w:rsidR="003734F4" w:rsidRPr="005F2A60" w:rsidRDefault="003734F4" w:rsidP="003734F4">
            <w:pPr>
              <w:ind w:right="18"/>
              <w:jc w:val="right"/>
              <w:rPr>
                <w:bCs w:val="0"/>
                <w:sz w:val="12"/>
                <w:szCs w:val="12"/>
              </w:rPr>
            </w:pPr>
          </w:p>
        </w:tc>
        <w:tc>
          <w:tcPr>
            <w:tcW w:w="960" w:type="dxa"/>
            <w:gridSpan w:val="3"/>
            <w:tcBorders>
              <w:top w:val="nil"/>
              <w:left w:val="nil"/>
              <w:bottom w:val="single" w:sz="4" w:space="0" w:color="auto"/>
              <w:right w:val="nil"/>
            </w:tcBorders>
            <w:shd w:val="clear" w:color="auto" w:fill="auto"/>
            <w:vAlign w:val="bottom"/>
          </w:tcPr>
          <w:p w14:paraId="1A5814CF" w14:textId="41D381B5" w:rsidR="003734F4" w:rsidRPr="005F2A60" w:rsidRDefault="003734F4" w:rsidP="003734F4">
            <w:pPr>
              <w:ind w:right="57"/>
              <w:jc w:val="right"/>
              <w:rPr>
                <w:bCs w:val="0"/>
                <w:sz w:val="12"/>
                <w:szCs w:val="12"/>
              </w:rPr>
            </w:pPr>
            <w:r>
              <w:rPr>
                <w:bCs w:val="0"/>
                <w:sz w:val="12"/>
                <w:szCs w:val="12"/>
              </w:rPr>
              <w:t>(</w:t>
            </w:r>
            <w:r w:rsidRPr="001775FB">
              <w:rPr>
                <w:bCs w:val="0"/>
                <w:sz w:val="12"/>
                <w:szCs w:val="12"/>
              </w:rPr>
              <w:t>467.25</w:t>
            </w:r>
            <w:r>
              <w:rPr>
                <w:bCs w:val="0"/>
                <w:sz w:val="12"/>
                <w:szCs w:val="12"/>
              </w:rPr>
              <w:t>7</w:t>
            </w:r>
            <w:r w:rsidRPr="001775FB">
              <w:rPr>
                <w:bCs w:val="0"/>
                <w:sz w:val="12"/>
                <w:szCs w:val="12"/>
              </w:rPr>
              <w:t>.90</w:t>
            </w:r>
            <w:r>
              <w:rPr>
                <w:bCs w:val="0"/>
                <w:sz w:val="12"/>
                <w:szCs w:val="12"/>
              </w:rPr>
              <w:t>4)</w:t>
            </w:r>
          </w:p>
        </w:tc>
        <w:tc>
          <w:tcPr>
            <w:tcW w:w="83" w:type="dxa"/>
            <w:gridSpan w:val="2"/>
            <w:tcBorders>
              <w:top w:val="nil"/>
              <w:left w:val="nil"/>
              <w:right w:val="nil"/>
            </w:tcBorders>
            <w:shd w:val="clear" w:color="auto" w:fill="auto"/>
            <w:vAlign w:val="bottom"/>
          </w:tcPr>
          <w:p w14:paraId="40230A2A" w14:textId="77777777" w:rsidR="003734F4" w:rsidRPr="005F2A60" w:rsidRDefault="003734F4" w:rsidP="003734F4">
            <w:pPr>
              <w:ind w:right="57"/>
              <w:jc w:val="right"/>
              <w:rPr>
                <w:bCs w:val="0"/>
                <w:sz w:val="12"/>
                <w:szCs w:val="12"/>
              </w:rPr>
            </w:pPr>
          </w:p>
        </w:tc>
        <w:tc>
          <w:tcPr>
            <w:tcW w:w="1051" w:type="dxa"/>
            <w:gridSpan w:val="3"/>
            <w:tcBorders>
              <w:top w:val="nil"/>
              <w:left w:val="nil"/>
              <w:bottom w:val="single" w:sz="4" w:space="0" w:color="auto"/>
              <w:right w:val="nil"/>
            </w:tcBorders>
            <w:vAlign w:val="bottom"/>
          </w:tcPr>
          <w:p w14:paraId="1B49B33E" w14:textId="2D42E9A7" w:rsidR="003734F4" w:rsidRPr="005F2A60" w:rsidRDefault="003734F4" w:rsidP="003734F4">
            <w:pPr>
              <w:ind w:left="-57" w:right="57"/>
              <w:jc w:val="right"/>
              <w:rPr>
                <w:bCs w:val="0"/>
                <w:sz w:val="12"/>
                <w:szCs w:val="12"/>
              </w:rPr>
            </w:pPr>
            <w:r w:rsidRPr="001775FB">
              <w:rPr>
                <w:bCs w:val="0"/>
                <w:sz w:val="12"/>
                <w:szCs w:val="12"/>
              </w:rPr>
              <w:t>(</w:t>
            </w:r>
            <w:r w:rsidRPr="001775FB">
              <w:rPr>
                <w:bCs w:val="0"/>
                <w:sz w:val="12"/>
                <w:szCs w:val="12"/>
                <w:lang w:val="id-ID"/>
              </w:rPr>
              <w:t>138.399.800</w:t>
            </w:r>
            <w:r w:rsidRPr="001775FB">
              <w:rPr>
                <w:bCs w:val="0"/>
                <w:sz w:val="12"/>
                <w:szCs w:val="12"/>
              </w:rPr>
              <w:t>)</w:t>
            </w:r>
          </w:p>
        </w:tc>
        <w:tc>
          <w:tcPr>
            <w:tcW w:w="83" w:type="dxa"/>
            <w:tcBorders>
              <w:top w:val="nil"/>
              <w:left w:val="nil"/>
              <w:right w:val="nil"/>
            </w:tcBorders>
            <w:vAlign w:val="bottom"/>
          </w:tcPr>
          <w:p w14:paraId="756E1E06" w14:textId="77777777" w:rsidR="003734F4" w:rsidRPr="005F2A60" w:rsidRDefault="003734F4" w:rsidP="003734F4">
            <w:pPr>
              <w:ind w:left="-57" w:right="57"/>
              <w:jc w:val="right"/>
              <w:rPr>
                <w:bCs w:val="0"/>
                <w:sz w:val="12"/>
                <w:szCs w:val="12"/>
                <w:lang w:val="id-ID"/>
              </w:rPr>
            </w:pPr>
          </w:p>
        </w:tc>
        <w:tc>
          <w:tcPr>
            <w:tcW w:w="1193" w:type="dxa"/>
            <w:gridSpan w:val="2"/>
            <w:tcBorders>
              <w:top w:val="nil"/>
              <w:left w:val="nil"/>
              <w:bottom w:val="single" w:sz="4" w:space="0" w:color="auto"/>
              <w:right w:val="nil"/>
            </w:tcBorders>
            <w:shd w:val="clear" w:color="auto" w:fill="auto"/>
            <w:vAlign w:val="bottom"/>
          </w:tcPr>
          <w:p w14:paraId="1C82B77B" w14:textId="1246B0C8" w:rsidR="003734F4" w:rsidRPr="005F2A60" w:rsidRDefault="003734F4" w:rsidP="003734F4">
            <w:pPr>
              <w:ind w:left="-57" w:right="57"/>
              <w:jc w:val="right"/>
              <w:rPr>
                <w:bCs w:val="0"/>
                <w:sz w:val="12"/>
                <w:szCs w:val="12"/>
                <w:lang w:val="id-ID"/>
              </w:rPr>
            </w:pPr>
            <w:r w:rsidRPr="001775FB">
              <w:rPr>
                <w:bCs w:val="0"/>
                <w:sz w:val="12"/>
                <w:szCs w:val="12"/>
                <w:lang w:val="id-ID"/>
              </w:rPr>
              <w:t>36.008.99</w:t>
            </w:r>
            <w:r>
              <w:rPr>
                <w:bCs w:val="0"/>
                <w:sz w:val="12"/>
                <w:szCs w:val="12"/>
              </w:rPr>
              <w:t>9</w:t>
            </w:r>
            <w:r w:rsidRPr="001775FB">
              <w:rPr>
                <w:bCs w:val="0"/>
                <w:sz w:val="12"/>
                <w:szCs w:val="12"/>
                <w:lang w:val="id-ID"/>
              </w:rPr>
              <w:t>.74</w:t>
            </w:r>
            <w:r>
              <w:rPr>
                <w:bCs w:val="0"/>
                <w:sz w:val="12"/>
                <w:szCs w:val="12"/>
              </w:rPr>
              <w:t>6</w:t>
            </w:r>
          </w:p>
        </w:tc>
        <w:tc>
          <w:tcPr>
            <w:tcW w:w="1417" w:type="dxa"/>
            <w:gridSpan w:val="2"/>
            <w:tcBorders>
              <w:top w:val="nil"/>
              <w:left w:val="nil"/>
              <w:bottom w:val="nil"/>
              <w:right w:val="nil"/>
            </w:tcBorders>
            <w:shd w:val="clear" w:color="auto" w:fill="auto"/>
            <w:vAlign w:val="bottom"/>
          </w:tcPr>
          <w:p w14:paraId="5DC5A15B" w14:textId="1880F069" w:rsidR="003734F4" w:rsidRPr="005F2A60" w:rsidRDefault="003734F4" w:rsidP="003734F4">
            <w:pPr>
              <w:tabs>
                <w:tab w:val="left" w:pos="1360"/>
                <w:tab w:val="left" w:pos="1410"/>
              </w:tabs>
              <w:ind w:right="72"/>
              <w:jc w:val="right"/>
              <w:rPr>
                <w:i/>
                <w:iCs/>
                <w:sz w:val="14"/>
                <w:szCs w:val="14"/>
              </w:rPr>
            </w:pPr>
            <w:r w:rsidRPr="005F2A60">
              <w:rPr>
                <w:i/>
                <w:iCs/>
                <w:sz w:val="14"/>
                <w:szCs w:val="14"/>
              </w:rPr>
              <w:t>Office equipment</w:t>
            </w:r>
          </w:p>
        </w:tc>
      </w:tr>
      <w:tr w:rsidR="003734F4" w:rsidRPr="005F2A60" w14:paraId="381F886E" w14:textId="77777777" w:rsidTr="003734F4">
        <w:trPr>
          <w:gridAfter w:val="1"/>
          <w:wAfter w:w="20" w:type="dxa"/>
          <w:cantSplit/>
        </w:trPr>
        <w:tc>
          <w:tcPr>
            <w:tcW w:w="1877" w:type="dxa"/>
            <w:tcBorders>
              <w:top w:val="nil"/>
              <w:left w:val="nil"/>
              <w:right w:val="nil"/>
            </w:tcBorders>
            <w:shd w:val="clear" w:color="auto" w:fill="auto"/>
            <w:vAlign w:val="bottom"/>
          </w:tcPr>
          <w:p w14:paraId="090260F2" w14:textId="77777777" w:rsidR="003734F4" w:rsidRPr="005F2A60" w:rsidRDefault="003734F4" w:rsidP="003734F4">
            <w:pPr>
              <w:ind w:left="680" w:right="17" w:hanging="255"/>
              <w:rPr>
                <w:bCs w:val="0"/>
                <w:sz w:val="14"/>
                <w:szCs w:val="14"/>
              </w:rPr>
            </w:pPr>
          </w:p>
        </w:tc>
        <w:tc>
          <w:tcPr>
            <w:tcW w:w="1134" w:type="dxa"/>
            <w:tcBorders>
              <w:top w:val="single" w:sz="4" w:space="0" w:color="auto"/>
              <w:left w:val="nil"/>
              <w:right w:val="nil"/>
            </w:tcBorders>
            <w:shd w:val="clear" w:color="auto" w:fill="auto"/>
            <w:vAlign w:val="bottom"/>
          </w:tcPr>
          <w:p w14:paraId="3B4DE0C2" w14:textId="77777777" w:rsidR="003734F4" w:rsidRPr="005F2A60" w:rsidRDefault="003734F4" w:rsidP="003734F4">
            <w:pPr>
              <w:ind w:left="-57" w:right="57"/>
              <w:jc w:val="right"/>
              <w:rPr>
                <w:bCs w:val="0"/>
                <w:sz w:val="12"/>
                <w:szCs w:val="12"/>
              </w:rPr>
            </w:pPr>
          </w:p>
        </w:tc>
        <w:tc>
          <w:tcPr>
            <w:tcW w:w="83" w:type="dxa"/>
            <w:tcBorders>
              <w:top w:val="nil"/>
              <w:left w:val="nil"/>
              <w:right w:val="nil"/>
            </w:tcBorders>
            <w:shd w:val="clear" w:color="auto" w:fill="auto"/>
            <w:vAlign w:val="bottom"/>
          </w:tcPr>
          <w:p w14:paraId="35B44FD4" w14:textId="77777777" w:rsidR="003734F4" w:rsidRPr="005F2A60" w:rsidRDefault="003734F4" w:rsidP="003734F4">
            <w:pPr>
              <w:ind w:right="18"/>
              <w:jc w:val="right"/>
              <w:rPr>
                <w:bCs w:val="0"/>
                <w:sz w:val="12"/>
                <w:szCs w:val="12"/>
              </w:rPr>
            </w:pPr>
          </w:p>
        </w:tc>
        <w:tc>
          <w:tcPr>
            <w:tcW w:w="1051" w:type="dxa"/>
            <w:tcBorders>
              <w:top w:val="single" w:sz="4" w:space="0" w:color="auto"/>
              <w:left w:val="nil"/>
              <w:right w:val="nil"/>
            </w:tcBorders>
            <w:shd w:val="clear" w:color="auto" w:fill="auto"/>
            <w:vAlign w:val="bottom"/>
          </w:tcPr>
          <w:p w14:paraId="61674F01" w14:textId="77777777" w:rsidR="003734F4" w:rsidRPr="005F2A60" w:rsidRDefault="003734F4" w:rsidP="003734F4">
            <w:pPr>
              <w:ind w:right="57"/>
              <w:jc w:val="right"/>
              <w:rPr>
                <w:bCs w:val="0"/>
                <w:sz w:val="12"/>
                <w:szCs w:val="12"/>
              </w:rPr>
            </w:pPr>
          </w:p>
        </w:tc>
        <w:tc>
          <w:tcPr>
            <w:tcW w:w="91" w:type="dxa"/>
            <w:tcBorders>
              <w:top w:val="nil"/>
              <w:left w:val="nil"/>
              <w:right w:val="nil"/>
            </w:tcBorders>
            <w:shd w:val="clear" w:color="auto" w:fill="auto"/>
            <w:vAlign w:val="bottom"/>
          </w:tcPr>
          <w:p w14:paraId="534ED525" w14:textId="77777777" w:rsidR="003734F4" w:rsidRPr="005F2A60" w:rsidRDefault="003734F4" w:rsidP="003734F4">
            <w:pPr>
              <w:ind w:right="18"/>
              <w:jc w:val="right"/>
              <w:rPr>
                <w:bCs w:val="0"/>
                <w:sz w:val="12"/>
                <w:szCs w:val="12"/>
              </w:rPr>
            </w:pPr>
          </w:p>
        </w:tc>
        <w:tc>
          <w:tcPr>
            <w:tcW w:w="83" w:type="dxa"/>
            <w:tcBorders>
              <w:top w:val="nil"/>
              <w:left w:val="nil"/>
              <w:right w:val="nil"/>
            </w:tcBorders>
            <w:shd w:val="clear" w:color="auto" w:fill="auto"/>
            <w:vAlign w:val="bottom"/>
          </w:tcPr>
          <w:p w14:paraId="3352052C" w14:textId="77777777" w:rsidR="003734F4" w:rsidRPr="005F2A60" w:rsidRDefault="003734F4" w:rsidP="003734F4">
            <w:pPr>
              <w:ind w:right="18"/>
              <w:jc w:val="right"/>
              <w:rPr>
                <w:bCs w:val="0"/>
                <w:sz w:val="12"/>
                <w:szCs w:val="12"/>
              </w:rPr>
            </w:pPr>
          </w:p>
        </w:tc>
        <w:tc>
          <w:tcPr>
            <w:tcW w:w="960" w:type="dxa"/>
            <w:gridSpan w:val="3"/>
            <w:tcBorders>
              <w:top w:val="single" w:sz="4" w:space="0" w:color="auto"/>
              <w:left w:val="nil"/>
              <w:right w:val="nil"/>
            </w:tcBorders>
            <w:shd w:val="clear" w:color="auto" w:fill="auto"/>
            <w:vAlign w:val="bottom"/>
          </w:tcPr>
          <w:p w14:paraId="6C9D4777" w14:textId="77777777" w:rsidR="003734F4" w:rsidRPr="005F2A60" w:rsidRDefault="003734F4" w:rsidP="003734F4">
            <w:pPr>
              <w:ind w:right="57"/>
              <w:jc w:val="right"/>
              <w:rPr>
                <w:bCs w:val="0"/>
                <w:sz w:val="12"/>
                <w:szCs w:val="12"/>
              </w:rPr>
            </w:pPr>
          </w:p>
        </w:tc>
        <w:tc>
          <w:tcPr>
            <w:tcW w:w="83" w:type="dxa"/>
            <w:gridSpan w:val="2"/>
            <w:tcBorders>
              <w:top w:val="nil"/>
              <w:left w:val="nil"/>
              <w:right w:val="nil"/>
            </w:tcBorders>
            <w:shd w:val="clear" w:color="auto" w:fill="auto"/>
            <w:vAlign w:val="bottom"/>
          </w:tcPr>
          <w:p w14:paraId="68CBA24E" w14:textId="77777777" w:rsidR="003734F4" w:rsidRPr="005F2A60" w:rsidRDefault="003734F4" w:rsidP="003734F4">
            <w:pPr>
              <w:ind w:right="57"/>
              <w:jc w:val="right"/>
              <w:rPr>
                <w:bCs w:val="0"/>
                <w:sz w:val="12"/>
                <w:szCs w:val="12"/>
              </w:rPr>
            </w:pPr>
          </w:p>
        </w:tc>
        <w:tc>
          <w:tcPr>
            <w:tcW w:w="1051" w:type="dxa"/>
            <w:gridSpan w:val="3"/>
            <w:tcBorders>
              <w:top w:val="single" w:sz="4" w:space="0" w:color="auto"/>
              <w:left w:val="nil"/>
              <w:right w:val="nil"/>
            </w:tcBorders>
            <w:vAlign w:val="bottom"/>
          </w:tcPr>
          <w:p w14:paraId="671E70C3" w14:textId="77777777" w:rsidR="003734F4" w:rsidRPr="005F2A60" w:rsidRDefault="003734F4" w:rsidP="003734F4">
            <w:pPr>
              <w:ind w:left="-57" w:right="57"/>
              <w:jc w:val="right"/>
              <w:rPr>
                <w:bCs w:val="0"/>
                <w:sz w:val="12"/>
                <w:szCs w:val="12"/>
              </w:rPr>
            </w:pPr>
          </w:p>
        </w:tc>
        <w:tc>
          <w:tcPr>
            <w:tcW w:w="83" w:type="dxa"/>
            <w:tcBorders>
              <w:top w:val="nil"/>
              <w:left w:val="nil"/>
              <w:right w:val="nil"/>
            </w:tcBorders>
            <w:vAlign w:val="bottom"/>
          </w:tcPr>
          <w:p w14:paraId="15D8CE4C" w14:textId="77777777" w:rsidR="003734F4" w:rsidRPr="005F2A60" w:rsidRDefault="003734F4" w:rsidP="003734F4">
            <w:pPr>
              <w:ind w:left="-57" w:right="57"/>
              <w:jc w:val="right"/>
              <w:rPr>
                <w:bCs w:val="0"/>
                <w:sz w:val="12"/>
                <w:szCs w:val="12"/>
              </w:rPr>
            </w:pPr>
          </w:p>
        </w:tc>
        <w:tc>
          <w:tcPr>
            <w:tcW w:w="1193" w:type="dxa"/>
            <w:gridSpan w:val="2"/>
            <w:tcBorders>
              <w:top w:val="single" w:sz="4" w:space="0" w:color="auto"/>
              <w:left w:val="nil"/>
              <w:right w:val="nil"/>
            </w:tcBorders>
            <w:shd w:val="clear" w:color="auto" w:fill="auto"/>
            <w:vAlign w:val="bottom"/>
          </w:tcPr>
          <w:p w14:paraId="396EEAD7" w14:textId="77777777" w:rsidR="003734F4" w:rsidRPr="005F2A60" w:rsidRDefault="003734F4" w:rsidP="003734F4">
            <w:pPr>
              <w:ind w:left="-57" w:right="57"/>
              <w:jc w:val="right"/>
              <w:rPr>
                <w:bCs w:val="0"/>
                <w:sz w:val="12"/>
                <w:szCs w:val="12"/>
              </w:rPr>
            </w:pPr>
          </w:p>
        </w:tc>
        <w:tc>
          <w:tcPr>
            <w:tcW w:w="1417" w:type="dxa"/>
            <w:gridSpan w:val="2"/>
            <w:tcBorders>
              <w:top w:val="nil"/>
              <w:left w:val="nil"/>
              <w:right w:val="nil"/>
            </w:tcBorders>
            <w:shd w:val="clear" w:color="auto" w:fill="auto"/>
            <w:vAlign w:val="bottom"/>
          </w:tcPr>
          <w:p w14:paraId="6F33FA8B" w14:textId="77777777" w:rsidR="003734F4" w:rsidRPr="005F2A60" w:rsidRDefault="003734F4" w:rsidP="003734F4">
            <w:pPr>
              <w:tabs>
                <w:tab w:val="left" w:pos="1410"/>
              </w:tabs>
              <w:ind w:right="57"/>
              <w:jc w:val="right"/>
              <w:rPr>
                <w:i/>
                <w:iCs/>
                <w:sz w:val="14"/>
                <w:szCs w:val="14"/>
              </w:rPr>
            </w:pPr>
          </w:p>
        </w:tc>
      </w:tr>
      <w:tr w:rsidR="003734F4" w:rsidRPr="005F2A60" w14:paraId="0D901EC5" w14:textId="77777777" w:rsidTr="003734F4">
        <w:trPr>
          <w:gridAfter w:val="1"/>
          <w:wAfter w:w="20" w:type="dxa"/>
          <w:cantSplit/>
        </w:trPr>
        <w:tc>
          <w:tcPr>
            <w:tcW w:w="1877" w:type="dxa"/>
            <w:tcBorders>
              <w:top w:val="nil"/>
              <w:left w:val="nil"/>
              <w:right w:val="nil"/>
            </w:tcBorders>
            <w:shd w:val="clear" w:color="auto" w:fill="auto"/>
            <w:vAlign w:val="bottom"/>
          </w:tcPr>
          <w:p w14:paraId="2CC1A706" w14:textId="77777777" w:rsidR="003734F4" w:rsidRPr="005F2A60" w:rsidRDefault="003734F4" w:rsidP="003734F4">
            <w:pPr>
              <w:ind w:left="680" w:right="17" w:hanging="255"/>
              <w:rPr>
                <w:bCs w:val="0"/>
                <w:sz w:val="14"/>
                <w:szCs w:val="14"/>
              </w:rPr>
            </w:pPr>
            <w:r w:rsidRPr="005F2A60">
              <w:rPr>
                <w:bCs w:val="0"/>
                <w:sz w:val="14"/>
                <w:szCs w:val="14"/>
              </w:rPr>
              <w:t>Sub jumlah</w:t>
            </w:r>
          </w:p>
        </w:tc>
        <w:tc>
          <w:tcPr>
            <w:tcW w:w="1134" w:type="dxa"/>
            <w:tcBorders>
              <w:left w:val="nil"/>
              <w:bottom w:val="single" w:sz="4" w:space="0" w:color="auto"/>
              <w:right w:val="nil"/>
            </w:tcBorders>
            <w:shd w:val="clear" w:color="auto" w:fill="auto"/>
            <w:vAlign w:val="bottom"/>
          </w:tcPr>
          <w:p w14:paraId="1C315A76" w14:textId="2EDFA908" w:rsidR="003734F4" w:rsidRPr="005F2A60" w:rsidRDefault="003734F4" w:rsidP="003734F4">
            <w:pPr>
              <w:ind w:left="-57" w:right="57"/>
              <w:jc w:val="right"/>
              <w:rPr>
                <w:bCs w:val="0"/>
                <w:sz w:val="12"/>
                <w:szCs w:val="12"/>
              </w:rPr>
            </w:pPr>
            <w:r w:rsidRPr="001775FB">
              <w:rPr>
                <w:bCs w:val="0"/>
                <w:sz w:val="12"/>
                <w:szCs w:val="12"/>
                <w:lang w:val="id-ID"/>
              </w:rPr>
              <w:t>554.667.016.597</w:t>
            </w:r>
          </w:p>
        </w:tc>
        <w:tc>
          <w:tcPr>
            <w:tcW w:w="83" w:type="dxa"/>
            <w:tcBorders>
              <w:left w:val="nil"/>
              <w:right w:val="nil"/>
            </w:tcBorders>
            <w:shd w:val="clear" w:color="auto" w:fill="auto"/>
            <w:vAlign w:val="bottom"/>
          </w:tcPr>
          <w:p w14:paraId="2C682D12" w14:textId="77777777" w:rsidR="003734F4" w:rsidRPr="005F2A60" w:rsidRDefault="003734F4" w:rsidP="003734F4">
            <w:pPr>
              <w:ind w:right="18"/>
              <w:jc w:val="right"/>
              <w:rPr>
                <w:bCs w:val="0"/>
                <w:sz w:val="12"/>
                <w:szCs w:val="12"/>
              </w:rPr>
            </w:pPr>
          </w:p>
        </w:tc>
        <w:tc>
          <w:tcPr>
            <w:tcW w:w="1051" w:type="dxa"/>
            <w:tcBorders>
              <w:left w:val="nil"/>
              <w:bottom w:val="single" w:sz="4" w:space="0" w:color="auto"/>
              <w:right w:val="nil"/>
            </w:tcBorders>
            <w:shd w:val="clear" w:color="auto" w:fill="auto"/>
            <w:vAlign w:val="bottom"/>
          </w:tcPr>
          <w:p w14:paraId="3395DAF7" w14:textId="6C5C0161" w:rsidR="003734F4" w:rsidRPr="005F2A60" w:rsidRDefault="003734F4" w:rsidP="003734F4">
            <w:pPr>
              <w:ind w:right="57"/>
              <w:jc w:val="right"/>
              <w:rPr>
                <w:bCs w:val="0"/>
                <w:sz w:val="12"/>
                <w:szCs w:val="12"/>
              </w:rPr>
            </w:pPr>
            <w:r w:rsidRPr="009211BF">
              <w:rPr>
                <w:bCs w:val="0"/>
                <w:sz w:val="12"/>
                <w:szCs w:val="12"/>
              </w:rPr>
              <w:t>75.220.389.033</w:t>
            </w:r>
          </w:p>
        </w:tc>
        <w:tc>
          <w:tcPr>
            <w:tcW w:w="91" w:type="dxa"/>
            <w:tcBorders>
              <w:left w:val="nil"/>
              <w:right w:val="nil"/>
            </w:tcBorders>
            <w:shd w:val="clear" w:color="auto" w:fill="auto"/>
            <w:vAlign w:val="bottom"/>
          </w:tcPr>
          <w:p w14:paraId="16FDFDE4"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43D1F24F" w14:textId="77777777" w:rsidR="003734F4" w:rsidRPr="005F2A60" w:rsidRDefault="003734F4" w:rsidP="003734F4">
            <w:pPr>
              <w:ind w:right="18"/>
              <w:jc w:val="right"/>
              <w:rPr>
                <w:bCs w:val="0"/>
                <w:sz w:val="12"/>
                <w:szCs w:val="12"/>
              </w:rPr>
            </w:pPr>
          </w:p>
        </w:tc>
        <w:tc>
          <w:tcPr>
            <w:tcW w:w="960" w:type="dxa"/>
            <w:gridSpan w:val="3"/>
            <w:tcBorders>
              <w:left w:val="nil"/>
              <w:bottom w:val="single" w:sz="4" w:space="0" w:color="auto"/>
              <w:right w:val="nil"/>
            </w:tcBorders>
            <w:shd w:val="clear" w:color="auto" w:fill="auto"/>
            <w:vAlign w:val="bottom"/>
          </w:tcPr>
          <w:p w14:paraId="6849A999" w14:textId="7B933AE5" w:rsidR="003734F4" w:rsidRPr="005F2A60" w:rsidRDefault="003734F4" w:rsidP="003734F4">
            <w:pPr>
              <w:ind w:right="57"/>
              <w:jc w:val="right"/>
              <w:rPr>
                <w:bCs w:val="0"/>
                <w:sz w:val="12"/>
                <w:szCs w:val="12"/>
              </w:rPr>
            </w:pPr>
            <w:r>
              <w:rPr>
                <w:bCs w:val="0"/>
                <w:sz w:val="12"/>
                <w:szCs w:val="12"/>
              </w:rPr>
              <w:t>(</w:t>
            </w:r>
            <w:r w:rsidRPr="00C2326F">
              <w:rPr>
                <w:bCs w:val="0"/>
                <w:sz w:val="12"/>
                <w:szCs w:val="12"/>
              </w:rPr>
              <w:t>3.286.4</w:t>
            </w:r>
            <w:r>
              <w:rPr>
                <w:bCs w:val="0"/>
                <w:sz w:val="12"/>
                <w:szCs w:val="12"/>
              </w:rPr>
              <w:t>12</w:t>
            </w:r>
            <w:r w:rsidRPr="00C2326F">
              <w:rPr>
                <w:bCs w:val="0"/>
                <w:sz w:val="12"/>
                <w:szCs w:val="12"/>
              </w:rPr>
              <w:t>.94</w:t>
            </w:r>
            <w:r>
              <w:rPr>
                <w:bCs w:val="0"/>
                <w:sz w:val="12"/>
                <w:szCs w:val="12"/>
              </w:rPr>
              <w:t>2)</w:t>
            </w:r>
          </w:p>
        </w:tc>
        <w:tc>
          <w:tcPr>
            <w:tcW w:w="83" w:type="dxa"/>
            <w:gridSpan w:val="2"/>
            <w:tcBorders>
              <w:left w:val="nil"/>
              <w:right w:val="nil"/>
            </w:tcBorders>
            <w:shd w:val="clear" w:color="auto" w:fill="auto"/>
            <w:vAlign w:val="bottom"/>
          </w:tcPr>
          <w:p w14:paraId="6CFC37CF" w14:textId="77777777" w:rsidR="003734F4" w:rsidRPr="005F2A60" w:rsidRDefault="003734F4" w:rsidP="003734F4">
            <w:pPr>
              <w:ind w:right="57"/>
              <w:jc w:val="right"/>
              <w:rPr>
                <w:bCs w:val="0"/>
                <w:sz w:val="12"/>
                <w:szCs w:val="12"/>
              </w:rPr>
            </w:pPr>
          </w:p>
        </w:tc>
        <w:tc>
          <w:tcPr>
            <w:tcW w:w="1051" w:type="dxa"/>
            <w:gridSpan w:val="3"/>
            <w:tcBorders>
              <w:left w:val="nil"/>
              <w:bottom w:val="single" w:sz="4" w:space="0" w:color="auto"/>
              <w:right w:val="nil"/>
            </w:tcBorders>
            <w:vAlign w:val="bottom"/>
          </w:tcPr>
          <w:p w14:paraId="22F5E940" w14:textId="5D2F43B7" w:rsidR="003734F4" w:rsidRPr="005F2A60" w:rsidRDefault="003734F4" w:rsidP="003734F4">
            <w:pPr>
              <w:ind w:left="-57" w:right="57"/>
              <w:jc w:val="right"/>
              <w:rPr>
                <w:bCs w:val="0"/>
                <w:sz w:val="12"/>
                <w:szCs w:val="12"/>
              </w:rPr>
            </w:pPr>
            <w:r w:rsidRPr="001775FB">
              <w:rPr>
                <w:bCs w:val="0"/>
                <w:sz w:val="12"/>
                <w:szCs w:val="12"/>
              </w:rPr>
              <w:t>2.405.280.200</w:t>
            </w:r>
          </w:p>
        </w:tc>
        <w:tc>
          <w:tcPr>
            <w:tcW w:w="83" w:type="dxa"/>
            <w:tcBorders>
              <w:left w:val="nil"/>
              <w:right w:val="nil"/>
            </w:tcBorders>
            <w:vAlign w:val="bottom"/>
          </w:tcPr>
          <w:p w14:paraId="4F02090D" w14:textId="77777777" w:rsidR="003734F4" w:rsidRPr="005F2A60" w:rsidRDefault="003734F4" w:rsidP="003734F4">
            <w:pPr>
              <w:ind w:left="-57" w:right="57"/>
              <w:jc w:val="right"/>
              <w:rPr>
                <w:bCs w:val="0"/>
                <w:sz w:val="12"/>
                <w:szCs w:val="12"/>
              </w:rPr>
            </w:pPr>
          </w:p>
        </w:tc>
        <w:tc>
          <w:tcPr>
            <w:tcW w:w="1193" w:type="dxa"/>
            <w:gridSpan w:val="2"/>
            <w:tcBorders>
              <w:left w:val="nil"/>
              <w:bottom w:val="single" w:sz="4" w:space="0" w:color="auto"/>
              <w:right w:val="nil"/>
            </w:tcBorders>
            <w:shd w:val="clear" w:color="auto" w:fill="auto"/>
            <w:vAlign w:val="bottom"/>
          </w:tcPr>
          <w:p w14:paraId="1C221888" w14:textId="2B5935B2" w:rsidR="003734F4" w:rsidRPr="005F2A60" w:rsidRDefault="003734F4" w:rsidP="003734F4">
            <w:pPr>
              <w:ind w:left="-57" w:right="57"/>
              <w:jc w:val="right"/>
              <w:rPr>
                <w:bCs w:val="0"/>
                <w:sz w:val="12"/>
                <w:szCs w:val="12"/>
              </w:rPr>
            </w:pPr>
            <w:r w:rsidRPr="001F28B7">
              <w:rPr>
                <w:bCs w:val="0"/>
                <w:sz w:val="12"/>
                <w:szCs w:val="12"/>
              </w:rPr>
              <w:t>629.006.272.888</w:t>
            </w:r>
          </w:p>
        </w:tc>
        <w:tc>
          <w:tcPr>
            <w:tcW w:w="1417" w:type="dxa"/>
            <w:gridSpan w:val="2"/>
            <w:tcBorders>
              <w:top w:val="nil"/>
              <w:left w:val="nil"/>
              <w:right w:val="nil"/>
            </w:tcBorders>
            <w:shd w:val="clear" w:color="auto" w:fill="auto"/>
            <w:vAlign w:val="bottom"/>
          </w:tcPr>
          <w:p w14:paraId="6313E6F5" w14:textId="294DADD3" w:rsidR="003734F4" w:rsidRPr="005F2A60" w:rsidRDefault="003734F4" w:rsidP="003734F4">
            <w:pPr>
              <w:tabs>
                <w:tab w:val="left" w:pos="1410"/>
              </w:tabs>
              <w:ind w:right="57"/>
              <w:jc w:val="right"/>
              <w:rPr>
                <w:b/>
                <w:bCs w:val="0"/>
                <w:i/>
                <w:iCs/>
                <w:sz w:val="14"/>
                <w:szCs w:val="14"/>
              </w:rPr>
            </w:pPr>
            <w:r>
              <w:rPr>
                <w:b/>
                <w:bCs w:val="0"/>
                <w:i/>
                <w:iCs/>
                <w:sz w:val="14"/>
                <w:szCs w:val="14"/>
              </w:rPr>
              <w:t>Sub total</w:t>
            </w:r>
          </w:p>
        </w:tc>
      </w:tr>
      <w:tr w:rsidR="003734F4" w:rsidRPr="005F2A60" w14:paraId="6C209CFD" w14:textId="77777777" w:rsidTr="003734F4">
        <w:trPr>
          <w:gridAfter w:val="1"/>
          <w:wAfter w:w="20" w:type="dxa"/>
          <w:cantSplit/>
        </w:trPr>
        <w:tc>
          <w:tcPr>
            <w:tcW w:w="1877" w:type="dxa"/>
            <w:tcBorders>
              <w:top w:val="nil"/>
              <w:left w:val="nil"/>
              <w:right w:val="nil"/>
            </w:tcBorders>
            <w:shd w:val="clear" w:color="auto" w:fill="auto"/>
            <w:vAlign w:val="bottom"/>
          </w:tcPr>
          <w:p w14:paraId="6CF93644" w14:textId="77777777" w:rsidR="003734F4" w:rsidRPr="005F2A60" w:rsidRDefault="003734F4" w:rsidP="003734F4">
            <w:pPr>
              <w:ind w:left="680" w:right="17" w:hanging="255"/>
              <w:rPr>
                <w:bCs w:val="0"/>
                <w:sz w:val="14"/>
                <w:szCs w:val="14"/>
              </w:rPr>
            </w:pPr>
          </w:p>
        </w:tc>
        <w:tc>
          <w:tcPr>
            <w:tcW w:w="1134" w:type="dxa"/>
            <w:tcBorders>
              <w:top w:val="single" w:sz="4" w:space="0" w:color="auto"/>
              <w:left w:val="nil"/>
              <w:right w:val="nil"/>
            </w:tcBorders>
            <w:shd w:val="clear" w:color="auto" w:fill="auto"/>
            <w:vAlign w:val="bottom"/>
          </w:tcPr>
          <w:p w14:paraId="2FA3D294" w14:textId="77777777" w:rsidR="003734F4" w:rsidRPr="005F2A60" w:rsidRDefault="003734F4" w:rsidP="003734F4">
            <w:pPr>
              <w:ind w:left="-57" w:right="57"/>
              <w:jc w:val="right"/>
              <w:rPr>
                <w:bCs w:val="0"/>
                <w:sz w:val="12"/>
                <w:szCs w:val="12"/>
              </w:rPr>
            </w:pPr>
          </w:p>
        </w:tc>
        <w:tc>
          <w:tcPr>
            <w:tcW w:w="83" w:type="dxa"/>
            <w:tcBorders>
              <w:left w:val="nil"/>
              <w:right w:val="nil"/>
            </w:tcBorders>
            <w:shd w:val="clear" w:color="auto" w:fill="auto"/>
            <w:vAlign w:val="bottom"/>
          </w:tcPr>
          <w:p w14:paraId="3AD2459E" w14:textId="77777777" w:rsidR="003734F4" w:rsidRPr="005F2A60" w:rsidRDefault="003734F4" w:rsidP="003734F4">
            <w:pPr>
              <w:ind w:right="18"/>
              <w:jc w:val="right"/>
              <w:rPr>
                <w:bCs w:val="0"/>
                <w:sz w:val="12"/>
                <w:szCs w:val="12"/>
              </w:rPr>
            </w:pPr>
          </w:p>
        </w:tc>
        <w:tc>
          <w:tcPr>
            <w:tcW w:w="1051" w:type="dxa"/>
            <w:tcBorders>
              <w:top w:val="single" w:sz="4" w:space="0" w:color="auto"/>
              <w:left w:val="nil"/>
              <w:right w:val="nil"/>
            </w:tcBorders>
            <w:shd w:val="clear" w:color="auto" w:fill="auto"/>
            <w:vAlign w:val="bottom"/>
          </w:tcPr>
          <w:p w14:paraId="2FC58DAD" w14:textId="77777777" w:rsidR="003734F4" w:rsidRPr="005F2A60" w:rsidRDefault="003734F4" w:rsidP="003734F4">
            <w:pPr>
              <w:ind w:right="57"/>
              <w:jc w:val="right"/>
              <w:rPr>
                <w:bCs w:val="0"/>
                <w:sz w:val="12"/>
                <w:szCs w:val="12"/>
              </w:rPr>
            </w:pPr>
          </w:p>
        </w:tc>
        <w:tc>
          <w:tcPr>
            <w:tcW w:w="91" w:type="dxa"/>
            <w:tcBorders>
              <w:left w:val="nil"/>
              <w:right w:val="nil"/>
            </w:tcBorders>
            <w:shd w:val="clear" w:color="auto" w:fill="auto"/>
            <w:vAlign w:val="bottom"/>
          </w:tcPr>
          <w:p w14:paraId="48D8E011"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2937B034" w14:textId="77777777" w:rsidR="003734F4" w:rsidRPr="005F2A60" w:rsidRDefault="003734F4" w:rsidP="003734F4">
            <w:pPr>
              <w:ind w:right="18"/>
              <w:jc w:val="right"/>
              <w:rPr>
                <w:bCs w:val="0"/>
                <w:sz w:val="12"/>
                <w:szCs w:val="12"/>
              </w:rPr>
            </w:pPr>
          </w:p>
        </w:tc>
        <w:tc>
          <w:tcPr>
            <w:tcW w:w="960" w:type="dxa"/>
            <w:gridSpan w:val="3"/>
            <w:tcBorders>
              <w:top w:val="single" w:sz="4" w:space="0" w:color="auto"/>
              <w:left w:val="nil"/>
              <w:right w:val="nil"/>
            </w:tcBorders>
            <w:shd w:val="clear" w:color="auto" w:fill="auto"/>
            <w:vAlign w:val="bottom"/>
          </w:tcPr>
          <w:p w14:paraId="586F8478" w14:textId="77777777" w:rsidR="003734F4" w:rsidRPr="005F2A60" w:rsidRDefault="003734F4" w:rsidP="003734F4">
            <w:pPr>
              <w:ind w:right="57"/>
              <w:jc w:val="right"/>
              <w:rPr>
                <w:bCs w:val="0"/>
                <w:sz w:val="12"/>
                <w:szCs w:val="12"/>
              </w:rPr>
            </w:pPr>
          </w:p>
        </w:tc>
        <w:tc>
          <w:tcPr>
            <w:tcW w:w="83" w:type="dxa"/>
            <w:gridSpan w:val="2"/>
            <w:tcBorders>
              <w:left w:val="nil"/>
              <w:right w:val="nil"/>
            </w:tcBorders>
            <w:shd w:val="clear" w:color="auto" w:fill="auto"/>
            <w:vAlign w:val="bottom"/>
          </w:tcPr>
          <w:p w14:paraId="4939D7AB" w14:textId="77777777" w:rsidR="003734F4" w:rsidRPr="005F2A60" w:rsidRDefault="003734F4" w:rsidP="003734F4">
            <w:pPr>
              <w:ind w:right="57"/>
              <w:jc w:val="right"/>
              <w:rPr>
                <w:bCs w:val="0"/>
                <w:sz w:val="12"/>
                <w:szCs w:val="12"/>
              </w:rPr>
            </w:pPr>
          </w:p>
        </w:tc>
        <w:tc>
          <w:tcPr>
            <w:tcW w:w="1051" w:type="dxa"/>
            <w:gridSpan w:val="3"/>
            <w:tcBorders>
              <w:top w:val="single" w:sz="4" w:space="0" w:color="auto"/>
              <w:left w:val="nil"/>
              <w:right w:val="nil"/>
            </w:tcBorders>
            <w:vAlign w:val="bottom"/>
          </w:tcPr>
          <w:p w14:paraId="4B13A06C" w14:textId="77777777" w:rsidR="003734F4" w:rsidRPr="005F2A60" w:rsidRDefault="003734F4" w:rsidP="003734F4">
            <w:pPr>
              <w:ind w:left="-57" w:right="57"/>
              <w:jc w:val="right"/>
              <w:rPr>
                <w:bCs w:val="0"/>
                <w:sz w:val="12"/>
                <w:szCs w:val="12"/>
              </w:rPr>
            </w:pPr>
          </w:p>
        </w:tc>
        <w:tc>
          <w:tcPr>
            <w:tcW w:w="83" w:type="dxa"/>
            <w:tcBorders>
              <w:left w:val="nil"/>
              <w:right w:val="nil"/>
            </w:tcBorders>
            <w:vAlign w:val="bottom"/>
          </w:tcPr>
          <w:p w14:paraId="4AFE3F40" w14:textId="77777777" w:rsidR="003734F4" w:rsidRPr="005F2A60" w:rsidRDefault="003734F4" w:rsidP="003734F4">
            <w:pPr>
              <w:ind w:left="-57" w:right="57"/>
              <w:jc w:val="right"/>
              <w:rPr>
                <w:bCs w:val="0"/>
                <w:sz w:val="12"/>
                <w:szCs w:val="12"/>
              </w:rPr>
            </w:pPr>
          </w:p>
        </w:tc>
        <w:tc>
          <w:tcPr>
            <w:tcW w:w="1193" w:type="dxa"/>
            <w:gridSpan w:val="2"/>
            <w:tcBorders>
              <w:top w:val="single" w:sz="4" w:space="0" w:color="auto"/>
              <w:left w:val="nil"/>
              <w:right w:val="nil"/>
            </w:tcBorders>
            <w:shd w:val="clear" w:color="auto" w:fill="auto"/>
            <w:vAlign w:val="bottom"/>
          </w:tcPr>
          <w:p w14:paraId="16CD694C" w14:textId="77777777" w:rsidR="003734F4" w:rsidRPr="005F2A60" w:rsidRDefault="003734F4" w:rsidP="003734F4">
            <w:pPr>
              <w:ind w:left="-57" w:right="57"/>
              <w:jc w:val="right"/>
              <w:rPr>
                <w:bCs w:val="0"/>
                <w:sz w:val="12"/>
                <w:szCs w:val="12"/>
              </w:rPr>
            </w:pPr>
          </w:p>
        </w:tc>
        <w:tc>
          <w:tcPr>
            <w:tcW w:w="1417" w:type="dxa"/>
            <w:gridSpan w:val="2"/>
            <w:tcBorders>
              <w:top w:val="nil"/>
              <w:left w:val="nil"/>
              <w:right w:val="nil"/>
            </w:tcBorders>
            <w:shd w:val="clear" w:color="auto" w:fill="auto"/>
            <w:vAlign w:val="bottom"/>
          </w:tcPr>
          <w:p w14:paraId="614D436D" w14:textId="77777777" w:rsidR="003734F4" w:rsidRPr="005F2A60" w:rsidRDefault="003734F4" w:rsidP="003734F4">
            <w:pPr>
              <w:tabs>
                <w:tab w:val="left" w:pos="1410"/>
              </w:tabs>
              <w:ind w:right="57"/>
              <w:jc w:val="right"/>
              <w:rPr>
                <w:i/>
                <w:iCs/>
                <w:sz w:val="14"/>
                <w:szCs w:val="14"/>
              </w:rPr>
            </w:pPr>
          </w:p>
        </w:tc>
      </w:tr>
      <w:tr w:rsidR="003734F4" w:rsidRPr="005F2A60" w14:paraId="349F2586" w14:textId="77777777" w:rsidTr="003734F4">
        <w:trPr>
          <w:gridAfter w:val="1"/>
          <w:wAfter w:w="20" w:type="dxa"/>
          <w:cantSplit/>
        </w:trPr>
        <w:tc>
          <w:tcPr>
            <w:tcW w:w="1877" w:type="dxa"/>
            <w:tcBorders>
              <w:top w:val="nil"/>
              <w:left w:val="nil"/>
              <w:right w:val="nil"/>
            </w:tcBorders>
            <w:shd w:val="clear" w:color="auto" w:fill="auto"/>
            <w:vAlign w:val="bottom"/>
          </w:tcPr>
          <w:p w14:paraId="124E559B" w14:textId="77777777" w:rsidR="003734F4" w:rsidRDefault="003734F4" w:rsidP="003734F4">
            <w:pPr>
              <w:ind w:left="680" w:right="17" w:hanging="255"/>
              <w:rPr>
                <w:b/>
                <w:bCs w:val="0"/>
                <w:sz w:val="14"/>
                <w:szCs w:val="14"/>
                <w:u w:val="single"/>
              </w:rPr>
            </w:pPr>
            <w:r w:rsidRPr="005F2A60">
              <w:rPr>
                <w:b/>
                <w:bCs w:val="0"/>
                <w:sz w:val="14"/>
                <w:szCs w:val="14"/>
                <w:u w:val="single"/>
              </w:rPr>
              <w:t>Aset sewa</w:t>
            </w:r>
          </w:p>
          <w:p w14:paraId="3A33816F" w14:textId="6958E4CC" w:rsidR="003734F4" w:rsidRPr="005F2A60" w:rsidRDefault="003734F4" w:rsidP="003734F4">
            <w:pPr>
              <w:ind w:left="680" w:right="17" w:hanging="115"/>
              <w:rPr>
                <w:bCs w:val="0"/>
                <w:sz w:val="14"/>
                <w:szCs w:val="14"/>
              </w:rPr>
            </w:pPr>
            <w:r w:rsidRPr="005F2A60">
              <w:rPr>
                <w:b/>
                <w:bCs w:val="0"/>
                <w:sz w:val="14"/>
                <w:szCs w:val="14"/>
                <w:u w:val="single"/>
              </w:rPr>
              <w:t>pembiayaan</w:t>
            </w:r>
          </w:p>
        </w:tc>
        <w:tc>
          <w:tcPr>
            <w:tcW w:w="1134" w:type="dxa"/>
            <w:tcBorders>
              <w:left w:val="nil"/>
              <w:right w:val="nil"/>
            </w:tcBorders>
            <w:shd w:val="clear" w:color="auto" w:fill="auto"/>
            <w:vAlign w:val="bottom"/>
          </w:tcPr>
          <w:p w14:paraId="64F94BF9" w14:textId="77777777" w:rsidR="003734F4" w:rsidRPr="005F2A60" w:rsidRDefault="003734F4" w:rsidP="003734F4">
            <w:pPr>
              <w:ind w:left="-57" w:right="57"/>
              <w:jc w:val="right"/>
              <w:rPr>
                <w:bCs w:val="0"/>
                <w:sz w:val="12"/>
                <w:szCs w:val="12"/>
              </w:rPr>
            </w:pPr>
          </w:p>
        </w:tc>
        <w:tc>
          <w:tcPr>
            <w:tcW w:w="83" w:type="dxa"/>
            <w:tcBorders>
              <w:left w:val="nil"/>
              <w:right w:val="nil"/>
            </w:tcBorders>
            <w:shd w:val="clear" w:color="auto" w:fill="auto"/>
            <w:vAlign w:val="bottom"/>
          </w:tcPr>
          <w:p w14:paraId="4AE488B1" w14:textId="77777777" w:rsidR="003734F4" w:rsidRPr="005F2A60" w:rsidRDefault="003734F4" w:rsidP="003734F4">
            <w:pPr>
              <w:ind w:right="18"/>
              <w:jc w:val="right"/>
              <w:rPr>
                <w:bCs w:val="0"/>
                <w:sz w:val="12"/>
                <w:szCs w:val="12"/>
              </w:rPr>
            </w:pPr>
          </w:p>
        </w:tc>
        <w:tc>
          <w:tcPr>
            <w:tcW w:w="1051" w:type="dxa"/>
            <w:tcBorders>
              <w:left w:val="nil"/>
              <w:right w:val="nil"/>
            </w:tcBorders>
            <w:shd w:val="clear" w:color="auto" w:fill="auto"/>
            <w:vAlign w:val="bottom"/>
          </w:tcPr>
          <w:p w14:paraId="3C5CC418" w14:textId="77777777" w:rsidR="003734F4" w:rsidRPr="005F2A60" w:rsidRDefault="003734F4" w:rsidP="003734F4">
            <w:pPr>
              <w:ind w:right="57"/>
              <w:jc w:val="right"/>
              <w:rPr>
                <w:bCs w:val="0"/>
                <w:sz w:val="12"/>
                <w:szCs w:val="12"/>
              </w:rPr>
            </w:pPr>
          </w:p>
        </w:tc>
        <w:tc>
          <w:tcPr>
            <w:tcW w:w="91" w:type="dxa"/>
            <w:tcBorders>
              <w:left w:val="nil"/>
              <w:right w:val="nil"/>
            </w:tcBorders>
            <w:shd w:val="clear" w:color="auto" w:fill="auto"/>
            <w:vAlign w:val="bottom"/>
          </w:tcPr>
          <w:p w14:paraId="4DDBA5BC"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73EC595A" w14:textId="77777777" w:rsidR="003734F4" w:rsidRPr="005F2A60" w:rsidRDefault="003734F4" w:rsidP="003734F4">
            <w:pPr>
              <w:ind w:right="18"/>
              <w:jc w:val="right"/>
              <w:rPr>
                <w:bCs w:val="0"/>
                <w:sz w:val="12"/>
                <w:szCs w:val="12"/>
              </w:rPr>
            </w:pPr>
          </w:p>
        </w:tc>
        <w:tc>
          <w:tcPr>
            <w:tcW w:w="960" w:type="dxa"/>
            <w:gridSpan w:val="3"/>
            <w:tcBorders>
              <w:left w:val="nil"/>
              <w:right w:val="nil"/>
            </w:tcBorders>
            <w:shd w:val="clear" w:color="auto" w:fill="auto"/>
            <w:vAlign w:val="bottom"/>
          </w:tcPr>
          <w:p w14:paraId="4D2CC22A" w14:textId="77777777" w:rsidR="003734F4" w:rsidRPr="005F2A60" w:rsidRDefault="003734F4" w:rsidP="003734F4">
            <w:pPr>
              <w:ind w:right="57"/>
              <w:jc w:val="right"/>
              <w:rPr>
                <w:bCs w:val="0"/>
                <w:sz w:val="12"/>
                <w:szCs w:val="12"/>
              </w:rPr>
            </w:pPr>
          </w:p>
        </w:tc>
        <w:tc>
          <w:tcPr>
            <w:tcW w:w="83" w:type="dxa"/>
            <w:gridSpan w:val="2"/>
            <w:tcBorders>
              <w:left w:val="nil"/>
              <w:right w:val="nil"/>
            </w:tcBorders>
            <w:shd w:val="clear" w:color="auto" w:fill="auto"/>
            <w:vAlign w:val="bottom"/>
          </w:tcPr>
          <w:p w14:paraId="49219176" w14:textId="77777777" w:rsidR="003734F4" w:rsidRPr="005F2A60" w:rsidRDefault="003734F4" w:rsidP="003734F4">
            <w:pPr>
              <w:ind w:right="57"/>
              <w:jc w:val="right"/>
              <w:rPr>
                <w:bCs w:val="0"/>
                <w:sz w:val="12"/>
                <w:szCs w:val="12"/>
              </w:rPr>
            </w:pPr>
          </w:p>
        </w:tc>
        <w:tc>
          <w:tcPr>
            <w:tcW w:w="1051" w:type="dxa"/>
            <w:gridSpan w:val="3"/>
            <w:tcBorders>
              <w:left w:val="nil"/>
              <w:right w:val="nil"/>
            </w:tcBorders>
            <w:vAlign w:val="bottom"/>
          </w:tcPr>
          <w:p w14:paraId="27D62B4B" w14:textId="77777777" w:rsidR="003734F4" w:rsidRPr="005F2A60" w:rsidRDefault="003734F4" w:rsidP="003734F4">
            <w:pPr>
              <w:ind w:left="-57" w:right="57"/>
              <w:jc w:val="right"/>
              <w:rPr>
                <w:bCs w:val="0"/>
                <w:sz w:val="12"/>
                <w:szCs w:val="12"/>
              </w:rPr>
            </w:pPr>
          </w:p>
        </w:tc>
        <w:tc>
          <w:tcPr>
            <w:tcW w:w="83" w:type="dxa"/>
            <w:tcBorders>
              <w:left w:val="nil"/>
              <w:right w:val="nil"/>
            </w:tcBorders>
            <w:vAlign w:val="bottom"/>
          </w:tcPr>
          <w:p w14:paraId="5E47A467" w14:textId="77777777" w:rsidR="003734F4" w:rsidRPr="005F2A60" w:rsidRDefault="003734F4" w:rsidP="003734F4">
            <w:pPr>
              <w:ind w:left="-57" w:right="57"/>
              <w:jc w:val="right"/>
              <w:rPr>
                <w:bCs w:val="0"/>
                <w:sz w:val="12"/>
                <w:szCs w:val="12"/>
              </w:rPr>
            </w:pPr>
          </w:p>
        </w:tc>
        <w:tc>
          <w:tcPr>
            <w:tcW w:w="1193" w:type="dxa"/>
            <w:gridSpan w:val="2"/>
            <w:tcBorders>
              <w:left w:val="nil"/>
              <w:right w:val="nil"/>
            </w:tcBorders>
            <w:shd w:val="clear" w:color="auto" w:fill="auto"/>
            <w:vAlign w:val="bottom"/>
          </w:tcPr>
          <w:p w14:paraId="7D7ADA2E" w14:textId="77777777" w:rsidR="003734F4" w:rsidRPr="005F2A60" w:rsidRDefault="003734F4" w:rsidP="003734F4">
            <w:pPr>
              <w:ind w:left="-57" w:right="57"/>
              <w:jc w:val="right"/>
              <w:rPr>
                <w:bCs w:val="0"/>
                <w:sz w:val="12"/>
                <w:szCs w:val="12"/>
              </w:rPr>
            </w:pPr>
          </w:p>
        </w:tc>
        <w:tc>
          <w:tcPr>
            <w:tcW w:w="1417" w:type="dxa"/>
            <w:gridSpan w:val="2"/>
            <w:tcBorders>
              <w:top w:val="nil"/>
              <w:left w:val="nil"/>
              <w:right w:val="nil"/>
            </w:tcBorders>
            <w:shd w:val="clear" w:color="auto" w:fill="auto"/>
            <w:vAlign w:val="bottom"/>
          </w:tcPr>
          <w:p w14:paraId="459D0A40" w14:textId="707BED95" w:rsidR="003734F4" w:rsidRPr="005F2A60" w:rsidRDefault="003734F4" w:rsidP="003734F4">
            <w:pPr>
              <w:ind w:right="79"/>
              <w:jc w:val="right"/>
              <w:rPr>
                <w:b/>
                <w:i/>
                <w:color w:val="1D1B11"/>
                <w:sz w:val="14"/>
                <w:szCs w:val="14"/>
                <w:u w:val="single"/>
              </w:rPr>
            </w:pPr>
            <w:r w:rsidRPr="005F2A60">
              <w:rPr>
                <w:b/>
                <w:i/>
                <w:iCs/>
                <w:sz w:val="14"/>
                <w:szCs w:val="14"/>
                <w:u w:val="single"/>
              </w:rPr>
              <w:t>Leassed asset</w:t>
            </w:r>
          </w:p>
        </w:tc>
      </w:tr>
      <w:tr w:rsidR="003734F4" w:rsidRPr="005F2A60" w14:paraId="2FFD6394" w14:textId="77777777" w:rsidTr="003734F4">
        <w:trPr>
          <w:gridAfter w:val="1"/>
          <w:wAfter w:w="20" w:type="dxa"/>
          <w:cantSplit/>
        </w:trPr>
        <w:tc>
          <w:tcPr>
            <w:tcW w:w="1877" w:type="dxa"/>
            <w:tcBorders>
              <w:top w:val="nil"/>
              <w:left w:val="nil"/>
              <w:right w:val="nil"/>
            </w:tcBorders>
            <w:shd w:val="clear" w:color="auto" w:fill="auto"/>
            <w:vAlign w:val="bottom"/>
          </w:tcPr>
          <w:p w14:paraId="586F4B36" w14:textId="77777777" w:rsidR="003734F4" w:rsidRPr="005F2A60" w:rsidRDefault="003734F4" w:rsidP="003734F4">
            <w:pPr>
              <w:ind w:left="680" w:right="17" w:hanging="255"/>
              <w:rPr>
                <w:bCs w:val="0"/>
                <w:sz w:val="14"/>
                <w:szCs w:val="14"/>
              </w:rPr>
            </w:pPr>
          </w:p>
        </w:tc>
        <w:tc>
          <w:tcPr>
            <w:tcW w:w="1134" w:type="dxa"/>
            <w:tcBorders>
              <w:left w:val="nil"/>
              <w:right w:val="nil"/>
            </w:tcBorders>
            <w:shd w:val="clear" w:color="auto" w:fill="auto"/>
            <w:vAlign w:val="bottom"/>
          </w:tcPr>
          <w:p w14:paraId="40A54609" w14:textId="77777777" w:rsidR="003734F4" w:rsidRPr="005F2A60" w:rsidRDefault="003734F4" w:rsidP="003734F4">
            <w:pPr>
              <w:ind w:left="-57" w:right="57"/>
              <w:jc w:val="right"/>
              <w:rPr>
                <w:bCs w:val="0"/>
                <w:sz w:val="12"/>
                <w:szCs w:val="12"/>
              </w:rPr>
            </w:pPr>
          </w:p>
        </w:tc>
        <w:tc>
          <w:tcPr>
            <w:tcW w:w="83" w:type="dxa"/>
            <w:tcBorders>
              <w:left w:val="nil"/>
              <w:right w:val="nil"/>
            </w:tcBorders>
            <w:shd w:val="clear" w:color="auto" w:fill="auto"/>
            <w:vAlign w:val="bottom"/>
          </w:tcPr>
          <w:p w14:paraId="1F7CA4EF" w14:textId="77777777" w:rsidR="003734F4" w:rsidRPr="005F2A60" w:rsidRDefault="003734F4" w:rsidP="003734F4">
            <w:pPr>
              <w:ind w:right="18"/>
              <w:jc w:val="right"/>
              <w:rPr>
                <w:bCs w:val="0"/>
                <w:sz w:val="12"/>
                <w:szCs w:val="12"/>
              </w:rPr>
            </w:pPr>
          </w:p>
        </w:tc>
        <w:tc>
          <w:tcPr>
            <w:tcW w:w="1051" w:type="dxa"/>
            <w:tcBorders>
              <w:left w:val="nil"/>
              <w:right w:val="nil"/>
            </w:tcBorders>
            <w:shd w:val="clear" w:color="auto" w:fill="auto"/>
            <w:vAlign w:val="bottom"/>
          </w:tcPr>
          <w:p w14:paraId="0BD01A40" w14:textId="77777777" w:rsidR="003734F4" w:rsidRPr="005F2A60" w:rsidRDefault="003734F4" w:rsidP="003734F4">
            <w:pPr>
              <w:ind w:right="57"/>
              <w:jc w:val="right"/>
              <w:rPr>
                <w:bCs w:val="0"/>
                <w:sz w:val="12"/>
                <w:szCs w:val="12"/>
              </w:rPr>
            </w:pPr>
          </w:p>
        </w:tc>
        <w:tc>
          <w:tcPr>
            <w:tcW w:w="91" w:type="dxa"/>
            <w:tcBorders>
              <w:left w:val="nil"/>
              <w:right w:val="nil"/>
            </w:tcBorders>
            <w:shd w:val="clear" w:color="auto" w:fill="auto"/>
            <w:vAlign w:val="bottom"/>
          </w:tcPr>
          <w:p w14:paraId="498BD048"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1D710261" w14:textId="77777777" w:rsidR="003734F4" w:rsidRPr="005F2A60" w:rsidRDefault="003734F4" w:rsidP="003734F4">
            <w:pPr>
              <w:ind w:right="18"/>
              <w:jc w:val="right"/>
              <w:rPr>
                <w:bCs w:val="0"/>
                <w:sz w:val="12"/>
                <w:szCs w:val="12"/>
              </w:rPr>
            </w:pPr>
          </w:p>
        </w:tc>
        <w:tc>
          <w:tcPr>
            <w:tcW w:w="960" w:type="dxa"/>
            <w:gridSpan w:val="3"/>
            <w:tcBorders>
              <w:left w:val="nil"/>
              <w:right w:val="nil"/>
            </w:tcBorders>
            <w:shd w:val="clear" w:color="auto" w:fill="auto"/>
            <w:vAlign w:val="bottom"/>
          </w:tcPr>
          <w:p w14:paraId="13750028" w14:textId="77777777" w:rsidR="003734F4" w:rsidRPr="005F2A60" w:rsidRDefault="003734F4" w:rsidP="003734F4">
            <w:pPr>
              <w:ind w:right="57"/>
              <w:jc w:val="right"/>
              <w:rPr>
                <w:bCs w:val="0"/>
                <w:sz w:val="12"/>
                <w:szCs w:val="12"/>
              </w:rPr>
            </w:pPr>
          </w:p>
        </w:tc>
        <w:tc>
          <w:tcPr>
            <w:tcW w:w="83" w:type="dxa"/>
            <w:gridSpan w:val="2"/>
            <w:tcBorders>
              <w:left w:val="nil"/>
              <w:right w:val="nil"/>
            </w:tcBorders>
            <w:shd w:val="clear" w:color="auto" w:fill="auto"/>
            <w:vAlign w:val="bottom"/>
          </w:tcPr>
          <w:p w14:paraId="0A93CBDC" w14:textId="77777777" w:rsidR="003734F4" w:rsidRPr="005F2A60" w:rsidRDefault="003734F4" w:rsidP="003734F4">
            <w:pPr>
              <w:ind w:right="57"/>
              <w:jc w:val="right"/>
              <w:rPr>
                <w:bCs w:val="0"/>
                <w:sz w:val="12"/>
                <w:szCs w:val="12"/>
              </w:rPr>
            </w:pPr>
          </w:p>
        </w:tc>
        <w:tc>
          <w:tcPr>
            <w:tcW w:w="1051" w:type="dxa"/>
            <w:gridSpan w:val="3"/>
            <w:tcBorders>
              <w:left w:val="nil"/>
              <w:right w:val="nil"/>
            </w:tcBorders>
            <w:vAlign w:val="bottom"/>
          </w:tcPr>
          <w:p w14:paraId="63007BC7" w14:textId="77777777" w:rsidR="003734F4" w:rsidRPr="005F2A60" w:rsidRDefault="003734F4" w:rsidP="003734F4">
            <w:pPr>
              <w:ind w:left="-57" w:right="57"/>
              <w:jc w:val="right"/>
              <w:rPr>
                <w:bCs w:val="0"/>
                <w:sz w:val="12"/>
                <w:szCs w:val="12"/>
              </w:rPr>
            </w:pPr>
          </w:p>
        </w:tc>
        <w:tc>
          <w:tcPr>
            <w:tcW w:w="83" w:type="dxa"/>
            <w:tcBorders>
              <w:left w:val="nil"/>
              <w:right w:val="nil"/>
            </w:tcBorders>
            <w:vAlign w:val="bottom"/>
          </w:tcPr>
          <w:p w14:paraId="24997EBA" w14:textId="77777777" w:rsidR="003734F4" w:rsidRPr="005F2A60" w:rsidRDefault="003734F4" w:rsidP="003734F4">
            <w:pPr>
              <w:ind w:left="-57" w:right="57"/>
              <w:jc w:val="right"/>
              <w:rPr>
                <w:bCs w:val="0"/>
                <w:sz w:val="12"/>
                <w:szCs w:val="12"/>
              </w:rPr>
            </w:pPr>
          </w:p>
        </w:tc>
        <w:tc>
          <w:tcPr>
            <w:tcW w:w="1193" w:type="dxa"/>
            <w:gridSpan w:val="2"/>
            <w:tcBorders>
              <w:left w:val="nil"/>
              <w:right w:val="nil"/>
            </w:tcBorders>
            <w:shd w:val="clear" w:color="auto" w:fill="auto"/>
            <w:vAlign w:val="bottom"/>
          </w:tcPr>
          <w:p w14:paraId="2F9F5B98" w14:textId="77777777" w:rsidR="003734F4" w:rsidRPr="005F2A60" w:rsidRDefault="003734F4" w:rsidP="003734F4">
            <w:pPr>
              <w:ind w:left="-57" w:right="57"/>
              <w:jc w:val="right"/>
              <w:rPr>
                <w:bCs w:val="0"/>
                <w:sz w:val="12"/>
                <w:szCs w:val="12"/>
              </w:rPr>
            </w:pPr>
          </w:p>
        </w:tc>
        <w:tc>
          <w:tcPr>
            <w:tcW w:w="1417" w:type="dxa"/>
            <w:gridSpan w:val="2"/>
            <w:tcBorders>
              <w:top w:val="nil"/>
              <w:left w:val="nil"/>
              <w:right w:val="nil"/>
            </w:tcBorders>
            <w:shd w:val="clear" w:color="auto" w:fill="auto"/>
            <w:vAlign w:val="bottom"/>
          </w:tcPr>
          <w:p w14:paraId="0F89AEA3" w14:textId="77777777" w:rsidR="003734F4" w:rsidRPr="005F2A60" w:rsidRDefault="003734F4" w:rsidP="003734F4">
            <w:pPr>
              <w:tabs>
                <w:tab w:val="left" w:pos="1410"/>
              </w:tabs>
              <w:ind w:right="57"/>
              <w:jc w:val="right"/>
              <w:rPr>
                <w:i/>
                <w:iCs/>
                <w:sz w:val="14"/>
                <w:szCs w:val="14"/>
              </w:rPr>
            </w:pPr>
          </w:p>
        </w:tc>
      </w:tr>
      <w:tr w:rsidR="003734F4" w:rsidRPr="005F2A60" w14:paraId="45342B12" w14:textId="77777777" w:rsidTr="003734F4">
        <w:trPr>
          <w:gridAfter w:val="1"/>
          <w:wAfter w:w="20" w:type="dxa"/>
          <w:cantSplit/>
        </w:trPr>
        <w:tc>
          <w:tcPr>
            <w:tcW w:w="1877" w:type="dxa"/>
            <w:tcBorders>
              <w:top w:val="nil"/>
              <w:left w:val="nil"/>
              <w:right w:val="nil"/>
            </w:tcBorders>
            <w:shd w:val="clear" w:color="auto" w:fill="auto"/>
            <w:vAlign w:val="bottom"/>
          </w:tcPr>
          <w:p w14:paraId="26E1FFBB" w14:textId="77777777" w:rsidR="003734F4" w:rsidRPr="005F2A60" w:rsidRDefault="003734F4" w:rsidP="003734F4">
            <w:pPr>
              <w:ind w:left="680" w:right="17" w:hanging="255"/>
              <w:rPr>
                <w:bCs w:val="0"/>
                <w:sz w:val="14"/>
                <w:szCs w:val="14"/>
              </w:rPr>
            </w:pPr>
            <w:r w:rsidRPr="005F2A60">
              <w:rPr>
                <w:bCs w:val="0"/>
                <w:sz w:val="14"/>
                <w:szCs w:val="14"/>
              </w:rPr>
              <w:t>Kendaraan</w:t>
            </w:r>
          </w:p>
        </w:tc>
        <w:tc>
          <w:tcPr>
            <w:tcW w:w="1134" w:type="dxa"/>
            <w:tcBorders>
              <w:left w:val="nil"/>
              <w:bottom w:val="single" w:sz="4" w:space="0" w:color="auto"/>
              <w:right w:val="nil"/>
            </w:tcBorders>
            <w:shd w:val="clear" w:color="auto" w:fill="auto"/>
            <w:vAlign w:val="bottom"/>
          </w:tcPr>
          <w:p w14:paraId="471C700A" w14:textId="04D4D2F5" w:rsidR="003734F4" w:rsidRPr="005F2A60" w:rsidRDefault="003734F4" w:rsidP="003734F4">
            <w:pPr>
              <w:ind w:left="-57" w:right="57"/>
              <w:jc w:val="right"/>
              <w:rPr>
                <w:bCs w:val="0"/>
                <w:sz w:val="12"/>
                <w:szCs w:val="12"/>
              </w:rPr>
            </w:pPr>
            <w:r w:rsidRPr="001775FB">
              <w:rPr>
                <w:bCs w:val="0"/>
                <w:sz w:val="12"/>
                <w:szCs w:val="12"/>
              </w:rPr>
              <w:t>2.053.026.667</w:t>
            </w:r>
          </w:p>
        </w:tc>
        <w:tc>
          <w:tcPr>
            <w:tcW w:w="83" w:type="dxa"/>
            <w:tcBorders>
              <w:left w:val="nil"/>
              <w:right w:val="nil"/>
            </w:tcBorders>
            <w:shd w:val="clear" w:color="auto" w:fill="auto"/>
            <w:vAlign w:val="bottom"/>
          </w:tcPr>
          <w:p w14:paraId="290317EF" w14:textId="77777777" w:rsidR="003734F4" w:rsidRPr="005F2A60" w:rsidRDefault="003734F4" w:rsidP="003734F4">
            <w:pPr>
              <w:ind w:right="18"/>
              <w:jc w:val="right"/>
              <w:rPr>
                <w:bCs w:val="0"/>
                <w:sz w:val="12"/>
                <w:szCs w:val="12"/>
              </w:rPr>
            </w:pPr>
          </w:p>
        </w:tc>
        <w:tc>
          <w:tcPr>
            <w:tcW w:w="1051" w:type="dxa"/>
            <w:tcBorders>
              <w:left w:val="nil"/>
              <w:bottom w:val="single" w:sz="4" w:space="0" w:color="auto"/>
              <w:right w:val="nil"/>
            </w:tcBorders>
            <w:shd w:val="clear" w:color="auto" w:fill="auto"/>
            <w:vAlign w:val="bottom"/>
          </w:tcPr>
          <w:p w14:paraId="76B9FFAA" w14:textId="46ED7726" w:rsidR="003734F4" w:rsidRPr="005F2A60" w:rsidRDefault="003734F4" w:rsidP="003734F4">
            <w:pPr>
              <w:ind w:right="57"/>
              <w:jc w:val="right"/>
              <w:rPr>
                <w:bCs w:val="0"/>
                <w:sz w:val="12"/>
                <w:szCs w:val="12"/>
              </w:rPr>
            </w:pPr>
            <w:r w:rsidRPr="001775FB">
              <w:rPr>
                <w:bCs w:val="0"/>
                <w:sz w:val="12"/>
                <w:szCs w:val="12"/>
              </w:rPr>
              <w:t>490.653.333</w:t>
            </w:r>
          </w:p>
        </w:tc>
        <w:tc>
          <w:tcPr>
            <w:tcW w:w="91" w:type="dxa"/>
            <w:tcBorders>
              <w:left w:val="nil"/>
              <w:right w:val="nil"/>
            </w:tcBorders>
            <w:shd w:val="clear" w:color="auto" w:fill="auto"/>
            <w:vAlign w:val="bottom"/>
          </w:tcPr>
          <w:p w14:paraId="589226C6"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178117B4" w14:textId="77777777" w:rsidR="003734F4" w:rsidRPr="005F2A60" w:rsidRDefault="003734F4" w:rsidP="003734F4">
            <w:pPr>
              <w:ind w:right="18"/>
              <w:jc w:val="right"/>
              <w:rPr>
                <w:bCs w:val="0"/>
                <w:sz w:val="12"/>
                <w:szCs w:val="12"/>
              </w:rPr>
            </w:pPr>
          </w:p>
        </w:tc>
        <w:tc>
          <w:tcPr>
            <w:tcW w:w="960" w:type="dxa"/>
            <w:gridSpan w:val="3"/>
            <w:tcBorders>
              <w:left w:val="nil"/>
              <w:bottom w:val="single" w:sz="4" w:space="0" w:color="auto"/>
              <w:right w:val="nil"/>
            </w:tcBorders>
            <w:shd w:val="clear" w:color="auto" w:fill="auto"/>
            <w:vAlign w:val="bottom"/>
          </w:tcPr>
          <w:p w14:paraId="4E7706F7" w14:textId="01917670" w:rsidR="003734F4" w:rsidRPr="005F2A60" w:rsidRDefault="003734F4" w:rsidP="003734F4">
            <w:pPr>
              <w:ind w:right="57"/>
              <w:jc w:val="right"/>
              <w:rPr>
                <w:bCs w:val="0"/>
                <w:sz w:val="12"/>
                <w:szCs w:val="12"/>
              </w:rPr>
            </w:pPr>
            <w:r w:rsidRPr="001775FB">
              <w:rPr>
                <w:bCs w:val="0"/>
                <w:sz w:val="12"/>
                <w:szCs w:val="12"/>
                <w:lang w:val="id-ID"/>
              </w:rPr>
              <w:t>-</w:t>
            </w:r>
          </w:p>
        </w:tc>
        <w:tc>
          <w:tcPr>
            <w:tcW w:w="83" w:type="dxa"/>
            <w:gridSpan w:val="2"/>
            <w:tcBorders>
              <w:left w:val="nil"/>
              <w:right w:val="nil"/>
            </w:tcBorders>
            <w:shd w:val="clear" w:color="auto" w:fill="auto"/>
            <w:vAlign w:val="bottom"/>
          </w:tcPr>
          <w:p w14:paraId="475322DF" w14:textId="77777777" w:rsidR="003734F4" w:rsidRPr="005F2A60" w:rsidRDefault="003734F4" w:rsidP="003734F4">
            <w:pPr>
              <w:ind w:right="57"/>
              <w:jc w:val="right"/>
              <w:rPr>
                <w:bCs w:val="0"/>
                <w:sz w:val="12"/>
                <w:szCs w:val="12"/>
              </w:rPr>
            </w:pPr>
          </w:p>
        </w:tc>
        <w:tc>
          <w:tcPr>
            <w:tcW w:w="1051" w:type="dxa"/>
            <w:gridSpan w:val="3"/>
            <w:tcBorders>
              <w:left w:val="nil"/>
              <w:bottom w:val="single" w:sz="4" w:space="0" w:color="auto"/>
              <w:right w:val="nil"/>
            </w:tcBorders>
            <w:vAlign w:val="bottom"/>
          </w:tcPr>
          <w:p w14:paraId="5B6DA97D" w14:textId="036E2DE4" w:rsidR="003734F4" w:rsidRPr="005F2A60" w:rsidRDefault="003734F4" w:rsidP="003734F4">
            <w:pPr>
              <w:ind w:left="-57" w:right="57"/>
              <w:jc w:val="right"/>
              <w:rPr>
                <w:bCs w:val="0"/>
                <w:sz w:val="12"/>
                <w:szCs w:val="12"/>
              </w:rPr>
            </w:pPr>
            <w:r w:rsidRPr="001775FB">
              <w:rPr>
                <w:bCs w:val="0"/>
                <w:sz w:val="12"/>
                <w:szCs w:val="12"/>
                <w:lang w:val="id-ID"/>
              </w:rPr>
              <w:t>2.543.680.000</w:t>
            </w:r>
          </w:p>
        </w:tc>
        <w:tc>
          <w:tcPr>
            <w:tcW w:w="83" w:type="dxa"/>
            <w:tcBorders>
              <w:left w:val="nil"/>
              <w:right w:val="nil"/>
            </w:tcBorders>
            <w:vAlign w:val="bottom"/>
          </w:tcPr>
          <w:p w14:paraId="190C1081" w14:textId="77777777" w:rsidR="003734F4" w:rsidRPr="005F2A60" w:rsidRDefault="003734F4" w:rsidP="003734F4">
            <w:pPr>
              <w:ind w:left="-57" w:right="57"/>
              <w:jc w:val="right"/>
              <w:rPr>
                <w:bCs w:val="0"/>
                <w:sz w:val="12"/>
                <w:szCs w:val="12"/>
              </w:rPr>
            </w:pPr>
          </w:p>
        </w:tc>
        <w:tc>
          <w:tcPr>
            <w:tcW w:w="1193" w:type="dxa"/>
            <w:gridSpan w:val="2"/>
            <w:tcBorders>
              <w:left w:val="nil"/>
              <w:bottom w:val="single" w:sz="4" w:space="0" w:color="auto"/>
              <w:right w:val="nil"/>
            </w:tcBorders>
            <w:shd w:val="clear" w:color="auto" w:fill="auto"/>
            <w:vAlign w:val="bottom"/>
          </w:tcPr>
          <w:p w14:paraId="7EE1F482" w14:textId="418F2AF5" w:rsidR="003734F4" w:rsidRPr="005F2A60" w:rsidRDefault="003734F4" w:rsidP="003734F4">
            <w:pPr>
              <w:ind w:left="-57" w:right="57"/>
              <w:jc w:val="right"/>
              <w:rPr>
                <w:bCs w:val="0"/>
                <w:sz w:val="12"/>
                <w:szCs w:val="12"/>
              </w:rPr>
            </w:pPr>
            <w:r w:rsidRPr="001775FB">
              <w:rPr>
                <w:bCs w:val="0"/>
                <w:sz w:val="12"/>
                <w:szCs w:val="12"/>
                <w:lang w:val="id-ID"/>
              </w:rPr>
              <w:t>-</w:t>
            </w:r>
          </w:p>
        </w:tc>
        <w:tc>
          <w:tcPr>
            <w:tcW w:w="1417" w:type="dxa"/>
            <w:gridSpan w:val="2"/>
            <w:tcBorders>
              <w:top w:val="nil"/>
              <w:left w:val="nil"/>
              <w:right w:val="nil"/>
            </w:tcBorders>
            <w:shd w:val="clear" w:color="auto" w:fill="auto"/>
            <w:vAlign w:val="bottom"/>
          </w:tcPr>
          <w:p w14:paraId="3D6E22A7" w14:textId="77777777" w:rsidR="003734F4" w:rsidRPr="005F2A60" w:rsidRDefault="003734F4" w:rsidP="003734F4">
            <w:pPr>
              <w:tabs>
                <w:tab w:val="left" w:pos="1410"/>
              </w:tabs>
              <w:ind w:right="57"/>
              <w:jc w:val="right"/>
              <w:rPr>
                <w:i/>
                <w:iCs/>
                <w:sz w:val="14"/>
                <w:szCs w:val="14"/>
              </w:rPr>
            </w:pPr>
            <w:r w:rsidRPr="005F2A60">
              <w:rPr>
                <w:i/>
                <w:iCs/>
                <w:sz w:val="14"/>
                <w:szCs w:val="14"/>
              </w:rPr>
              <w:t>Vehicles</w:t>
            </w:r>
          </w:p>
        </w:tc>
      </w:tr>
      <w:tr w:rsidR="003734F4" w:rsidRPr="005F2A60" w14:paraId="6B6ED7A1" w14:textId="77777777" w:rsidTr="003734F4">
        <w:trPr>
          <w:gridAfter w:val="1"/>
          <w:wAfter w:w="20" w:type="dxa"/>
          <w:cantSplit/>
        </w:trPr>
        <w:tc>
          <w:tcPr>
            <w:tcW w:w="1877" w:type="dxa"/>
            <w:tcBorders>
              <w:top w:val="nil"/>
              <w:left w:val="nil"/>
              <w:right w:val="nil"/>
            </w:tcBorders>
            <w:shd w:val="clear" w:color="auto" w:fill="auto"/>
            <w:vAlign w:val="bottom"/>
          </w:tcPr>
          <w:p w14:paraId="7D653989" w14:textId="77777777" w:rsidR="003734F4" w:rsidRPr="005F2A60" w:rsidRDefault="003734F4" w:rsidP="003734F4">
            <w:pPr>
              <w:ind w:left="680" w:right="17" w:hanging="255"/>
              <w:rPr>
                <w:bCs w:val="0"/>
                <w:sz w:val="14"/>
                <w:szCs w:val="14"/>
              </w:rPr>
            </w:pPr>
          </w:p>
        </w:tc>
        <w:tc>
          <w:tcPr>
            <w:tcW w:w="1134" w:type="dxa"/>
            <w:tcBorders>
              <w:top w:val="single" w:sz="4" w:space="0" w:color="auto"/>
              <w:left w:val="nil"/>
              <w:right w:val="nil"/>
            </w:tcBorders>
            <w:shd w:val="clear" w:color="auto" w:fill="auto"/>
            <w:vAlign w:val="bottom"/>
          </w:tcPr>
          <w:p w14:paraId="2F5D4178" w14:textId="77777777" w:rsidR="003734F4" w:rsidRPr="005F2A60" w:rsidRDefault="003734F4" w:rsidP="003734F4">
            <w:pPr>
              <w:ind w:left="-57" w:right="57"/>
              <w:jc w:val="right"/>
              <w:rPr>
                <w:bCs w:val="0"/>
                <w:sz w:val="12"/>
                <w:szCs w:val="12"/>
              </w:rPr>
            </w:pPr>
          </w:p>
        </w:tc>
        <w:tc>
          <w:tcPr>
            <w:tcW w:w="83" w:type="dxa"/>
            <w:tcBorders>
              <w:left w:val="nil"/>
              <w:right w:val="nil"/>
            </w:tcBorders>
            <w:shd w:val="clear" w:color="auto" w:fill="auto"/>
            <w:vAlign w:val="bottom"/>
          </w:tcPr>
          <w:p w14:paraId="27A56672" w14:textId="77777777" w:rsidR="003734F4" w:rsidRPr="005F2A60" w:rsidRDefault="003734F4" w:rsidP="003734F4">
            <w:pPr>
              <w:ind w:right="18"/>
              <w:jc w:val="right"/>
              <w:rPr>
                <w:bCs w:val="0"/>
                <w:sz w:val="12"/>
                <w:szCs w:val="12"/>
              </w:rPr>
            </w:pPr>
          </w:p>
        </w:tc>
        <w:tc>
          <w:tcPr>
            <w:tcW w:w="1051" w:type="dxa"/>
            <w:tcBorders>
              <w:top w:val="single" w:sz="4" w:space="0" w:color="auto"/>
              <w:left w:val="nil"/>
              <w:right w:val="nil"/>
            </w:tcBorders>
            <w:shd w:val="clear" w:color="auto" w:fill="auto"/>
            <w:vAlign w:val="bottom"/>
          </w:tcPr>
          <w:p w14:paraId="0F57F2B1" w14:textId="77777777" w:rsidR="003734F4" w:rsidRPr="005F2A60" w:rsidRDefault="003734F4" w:rsidP="003734F4">
            <w:pPr>
              <w:ind w:right="57"/>
              <w:jc w:val="right"/>
              <w:rPr>
                <w:bCs w:val="0"/>
                <w:sz w:val="12"/>
                <w:szCs w:val="12"/>
              </w:rPr>
            </w:pPr>
          </w:p>
        </w:tc>
        <w:tc>
          <w:tcPr>
            <w:tcW w:w="91" w:type="dxa"/>
            <w:tcBorders>
              <w:left w:val="nil"/>
              <w:right w:val="nil"/>
            </w:tcBorders>
            <w:shd w:val="clear" w:color="auto" w:fill="auto"/>
            <w:vAlign w:val="bottom"/>
          </w:tcPr>
          <w:p w14:paraId="3C062A85"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584AC947" w14:textId="77777777" w:rsidR="003734F4" w:rsidRPr="005F2A60" w:rsidRDefault="003734F4" w:rsidP="003734F4">
            <w:pPr>
              <w:ind w:right="18"/>
              <w:jc w:val="right"/>
              <w:rPr>
                <w:bCs w:val="0"/>
                <w:sz w:val="12"/>
                <w:szCs w:val="12"/>
              </w:rPr>
            </w:pPr>
          </w:p>
        </w:tc>
        <w:tc>
          <w:tcPr>
            <w:tcW w:w="960" w:type="dxa"/>
            <w:gridSpan w:val="3"/>
            <w:tcBorders>
              <w:top w:val="single" w:sz="4" w:space="0" w:color="auto"/>
              <w:left w:val="nil"/>
              <w:right w:val="nil"/>
            </w:tcBorders>
            <w:shd w:val="clear" w:color="auto" w:fill="auto"/>
            <w:vAlign w:val="bottom"/>
          </w:tcPr>
          <w:p w14:paraId="481898BC" w14:textId="77777777" w:rsidR="003734F4" w:rsidRPr="005F2A60" w:rsidRDefault="003734F4" w:rsidP="003734F4">
            <w:pPr>
              <w:ind w:right="57"/>
              <w:jc w:val="right"/>
              <w:rPr>
                <w:bCs w:val="0"/>
                <w:sz w:val="12"/>
                <w:szCs w:val="12"/>
              </w:rPr>
            </w:pPr>
          </w:p>
        </w:tc>
        <w:tc>
          <w:tcPr>
            <w:tcW w:w="83" w:type="dxa"/>
            <w:gridSpan w:val="2"/>
            <w:tcBorders>
              <w:left w:val="nil"/>
              <w:right w:val="nil"/>
            </w:tcBorders>
            <w:shd w:val="clear" w:color="auto" w:fill="auto"/>
            <w:vAlign w:val="bottom"/>
          </w:tcPr>
          <w:p w14:paraId="72A84C5F" w14:textId="77777777" w:rsidR="003734F4" w:rsidRPr="005F2A60" w:rsidRDefault="003734F4" w:rsidP="003734F4">
            <w:pPr>
              <w:ind w:right="57"/>
              <w:jc w:val="right"/>
              <w:rPr>
                <w:bCs w:val="0"/>
                <w:sz w:val="12"/>
                <w:szCs w:val="12"/>
              </w:rPr>
            </w:pPr>
          </w:p>
        </w:tc>
        <w:tc>
          <w:tcPr>
            <w:tcW w:w="1051" w:type="dxa"/>
            <w:gridSpan w:val="3"/>
            <w:tcBorders>
              <w:top w:val="single" w:sz="4" w:space="0" w:color="auto"/>
              <w:left w:val="nil"/>
              <w:right w:val="nil"/>
            </w:tcBorders>
            <w:vAlign w:val="bottom"/>
          </w:tcPr>
          <w:p w14:paraId="3D86BDD1" w14:textId="77777777" w:rsidR="003734F4" w:rsidRPr="005F2A60" w:rsidRDefault="003734F4" w:rsidP="003734F4">
            <w:pPr>
              <w:ind w:left="-57" w:right="57"/>
              <w:jc w:val="right"/>
              <w:rPr>
                <w:bCs w:val="0"/>
                <w:sz w:val="12"/>
                <w:szCs w:val="12"/>
              </w:rPr>
            </w:pPr>
          </w:p>
        </w:tc>
        <w:tc>
          <w:tcPr>
            <w:tcW w:w="83" w:type="dxa"/>
            <w:tcBorders>
              <w:left w:val="nil"/>
              <w:right w:val="nil"/>
            </w:tcBorders>
            <w:vAlign w:val="bottom"/>
          </w:tcPr>
          <w:p w14:paraId="752CC494" w14:textId="77777777" w:rsidR="003734F4" w:rsidRPr="005F2A60" w:rsidRDefault="003734F4" w:rsidP="003734F4">
            <w:pPr>
              <w:ind w:left="-57" w:right="57"/>
              <w:jc w:val="right"/>
              <w:rPr>
                <w:bCs w:val="0"/>
                <w:sz w:val="12"/>
                <w:szCs w:val="12"/>
              </w:rPr>
            </w:pPr>
          </w:p>
        </w:tc>
        <w:tc>
          <w:tcPr>
            <w:tcW w:w="1193" w:type="dxa"/>
            <w:gridSpan w:val="2"/>
            <w:tcBorders>
              <w:top w:val="single" w:sz="4" w:space="0" w:color="auto"/>
              <w:left w:val="nil"/>
              <w:right w:val="nil"/>
            </w:tcBorders>
            <w:shd w:val="clear" w:color="auto" w:fill="auto"/>
            <w:vAlign w:val="bottom"/>
          </w:tcPr>
          <w:p w14:paraId="517E50CF" w14:textId="77777777" w:rsidR="003734F4" w:rsidRPr="005F2A60" w:rsidRDefault="003734F4" w:rsidP="003734F4">
            <w:pPr>
              <w:ind w:left="-57" w:right="57"/>
              <w:jc w:val="right"/>
              <w:rPr>
                <w:bCs w:val="0"/>
                <w:sz w:val="12"/>
                <w:szCs w:val="12"/>
              </w:rPr>
            </w:pPr>
          </w:p>
        </w:tc>
        <w:tc>
          <w:tcPr>
            <w:tcW w:w="1417" w:type="dxa"/>
            <w:gridSpan w:val="2"/>
            <w:tcBorders>
              <w:top w:val="nil"/>
              <w:left w:val="nil"/>
              <w:right w:val="nil"/>
            </w:tcBorders>
            <w:shd w:val="clear" w:color="auto" w:fill="auto"/>
            <w:vAlign w:val="bottom"/>
          </w:tcPr>
          <w:p w14:paraId="75EEF661" w14:textId="77777777" w:rsidR="003734F4" w:rsidRPr="005F2A60" w:rsidRDefault="003734F4" w:rsidP="003734F4">
            <w:pPr>
              <w:tabs>
                <w:tab w:val="left" w:pos="1410"/>
              </w:tabs>
              <w:ind w:right="57"/>
              <w:jc w:val="right"/>
              <w:rPr>
                <w:i/>
                <w:iCs/>
                <w:sz w:val="14"/>
                <w:szCs w:val="14"/>
              </w:rPr>
            </w:pPr>
          </w:p>
        </w:tc>
      </w:tr>
      <w:tr w:rsidR="003734F4" w:rsidRPr="005F2A60" w14:paraId="6B2763C9" w14:textId="77777777" w:rsidTr="003734F4">
        <w:trPr>
          <w:gridAfter w:val="1"/>
          <w:wAfter w:w="20" w:type="dxa"/>
          <w:cantSplit/>
        </w:trPr>
        <w:tc>
          <w:tcPr>
            <w:tcW w:w="1877" w:type="dxa"/>
            <w:tcBorders>
              <w:top w:val="nil"/>
              <w:left w:val="nil"/>
              <w:right w:val="nil"/>
            </w:tcBorders>
            <w:shd w:val="clear" w:color="auto" w:fill="auto"/>
            <w:vAlign w:val="bottom"/>
          </w:tcPr>
          <w:p w14:paraId="16532703" w14:textId="77777777" w:rsidR="003734F4" w:rsidRPr="005F2A60" w:rsidRDefault="003734F4" w:rsidP="003734F4">
            <w:pPr>
              <w:ind w:left="680" w:right="17" w:hanging="255"/>
              <w:rPr>
                <w:bCs w:val="0"/>
                <w:sz w:val="14"/>
                <w:szCs w:val="14"/>
              </w:rPr>
            </w:pPr>
            <w:r w:rsidRPr="005F2A60">
              <w:rPr>
                <w:bCs w:val="0"/>
                <w:sz w:val="14"/>
                <w:szCs w:val="14"/>
              </w:rPr>
              <w:t>Sub jumlah</w:t>
            </w:r>
          </w:p>
        </w:tc>
        <w:tc>
          <w:tcPr>
            <w:tcW w:w="1134" w:type="dxa"/>
            <w:tcBorders>
              <w:left w:val="nil"/>
              <w:bottom w:val="single" w:sz="4" w:space="0" w:color="auto"/>
              <w:right w:val="nil"/>
            </w:tcBorders>
            <w:shd w:val="clear" w:color="auto" w:fill="auto"/>
            <w:vAlign w:val="bottom"/>
          </w:tcPr>
          <w:p w14:paraId="0F0C6ABF" w14:textId="69818966" w:rsidR="003734F4" w:rsidRPr="005F2A60" w:rsidRDefault="003734F4" w:rsidP="003734F4">
            <w:pPr>
              <w:ind w:left="-57" w:right="57"/>
              <w:jc w:val="right"/>
              <w:rPr>
                <w:bCs w:val="0"/>
                <w:sz w:val="12"/>
                <w:szCs w:val="12"/>
              </w:rPr>
            </w:pPr>
            <w:r w:rsidRPr="001775FB">
              <w:rPr>
                <w:bCs w:val="0"/>
                <w:sz w:val="12"/>
                <w:szCs w:val="12"/>
              </w:rPr>
              <w:t>2.053.026.667</w:t>
            </w:r>
          </w:p>
        </w:tc>
        <w:tc>
          <w:tcPr>
            <w:tcW w:w="83" w:type="dxa"/>
            <w:tcBorders>
              <w:left w:val="nil"/>
              <w:right w:val="nil"/>
            </w:tcBorders>
            <w:shd w:val="clear" w:color="auto" w:fill="auto"/>
            <w:vAlign w:val="bottom"/>
          </w:tcPr>
          <w:p w14:paraId="6A67CDE4" w14:textId="77777777" w:rsidR="003734F4" w:rsidRPr="005F2A60" w:rsidRDefault="003734F4" w:rsidP="003734F4">
            <w:pPr>
              <w:ind w:right="18"/>
              <w:jc w:val="right"/>
              <w:rPr>
                <w:bCs w:val="0"/>
                <w:sz w:val="12"/>
                <w:szCs w:val="12"/>
              </w:rPr>
            </w:pPr>
          </w:p>
        </w:tc>
        <w:tc>
          <w:tcPr>
            <w:tcW w:w="1051" w:type="dxa"/>
            <w:tcBorders>
              <w:left w:val="nil"/>
              <w:bottom w:val="single" w:sz="4" w:space="0" w:color="auto"/>
              <w:right w:val="nil"/>
            </w:tcBorders>
            <w:shd w:val="clear" w:color="auto" w:fill="auto"/>
            <w:vAlign w:val="bottom"/>
          </w:tcPr>
          <w:p w14:paraId="2B529FFC" w14:textId="7A02AE6E" w:rsidR="003734F4" w:rsidRPr="005F2A60" w:rsidRDefault="003734F4" w:rsidP="003734F4">
            <w:pPr>
              <w:ind w:right="57"/>
              <w:jc w:val="right"/>
              <w:rPr>
                <w:bCs w:val="0"/>
                <w:sz w:val="12"/>
                <w:szCs w:val="12"/>
              </w:rPr>
            </w:pPr>
            <w:r w:rsidRPr="001775FB">
              <w:rPr>
                <w:bCs w:val="0"/>
                <w:sz w:val="12"/>
                <w:szCs w:val="12"/>
              </w:rPr>
              <w:t>490.653.333</w:t>
            </w:r>
          </w:p>
        </w:tc>
        <w:tc>
          <w:tcPr>
            <w:tcW w:w="91" w:type="dxa"/>
            <w:tcBorders>
              <w:left w:val="nil"/>
              <w:right w:val="nil"/>
            </w:tcBorders>
            <w:shd w:val="clear" w:color="auto" w:fill="auto"/>
            <w:vAlign w:val="bottom"/>
          </w:tcPr>
          <w:p w14:paraId="1BD05F90"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1F6FC4CF" w14:textId="77777777" w:rsidR="003734F4" w:rsidRPr="005F2A60" w:rsidRDefault="003734F4" w:rsidP="003734F4">
            <w:pPr>
              <w:ind w:right="18"/>
              <w:jc w:val="right"/>
              <w:rPr>
                <w:bCs w:val="0"/>
                <w:sz w:val="12"/>
                <w:szCs w:val="12"/>
              </w:rPr>
            </w:pPr>
          </w:p>
        </w:tc>
        <w:tc>
          <w:tcPr>
            <w:tcW w:w="960" w:type="dxa"/>
            <w:gridSpan w:val="3"/>
            <w:tcBorders>
              <w:left w:val="nil"/>
              <w:bottom w:val="single" w:sz="4" w:space="0" w:color="auto"/>
              <w:right w:val="nil"/>
            </w:tcBorders>
            <w:shd w:val="clear" w:color="auto" w:fill="auto"/>
            <w:vAlign w:val="bottom"/>
          </w:tcPr>
          <w:p w14:paraId="1DDE034E" w14:textId="7D9BF967" w:rsidR="003734F4" w:rsidRPr="005F2A60" w:rsidRDefault="003734F4" w:rsidP="003734F4">
            <w:pPr>
              <w:ind w:right="57"/>
              <w:jc w:val="right"/>
              <w:rPr>
                <w:bCs w:val="0"/>
                <w:sz w:val="12"/>
                <w:szCs w:val="12"/>
              </w:rPr>
            </w:pPr>
            <w:r w:rsidRPr="001775FB">
              <w:rPr>
                <w:bCs w:val="0"/>
                <w:sz w:val="12"/>
                <w:szCs w:val="12"/>
                <w:lang w:val="id-ID"/>
              </w:rPr>
              <w:t>-</w:t>
            </w:r>
          </w:p>
        </w:tc>
        <w:tc>
          <w:tcPr>
            <w:tcW w:w="83" w:type="dxa"/>
            <w:gridSpan w:val="2"/>
            <w:tcBorders>
              <w:left w:val="nil"/>
              <w:right w:val="nil"/>
            </w:tcBorders>
            <w:shd w:val="clear" w:color="auto" w:fill="auto"/>
            <w:vAlign w:val="bottom"/>
          </w:tcPr>
          <w:p w14:paraId="69319376" w14:textId="77777777" w:rsidR="003734F4" w:rsidRPr="005F2A60" w:rsidRDefault="003734F4" w:rsidP="003734F4">
            <w:pPr>
              <w:ind w:right="57"/>
              <w:jc w:val="right"/>
              <w:rPr>
                <w:bCs w:val="0"/>
                <w:sz w:val="12"/>
                <w:szCs w:val="12"/>
              </w:rPr>
            </w:pPr>
          </w:p>
        </w:tc>
        <w:tc>
          <w:tcPr>
            <w:tcW w:w="1051" w:type="dxa"/>
            <w:gridSpan w:val="3"/>
            <w:tcBorders>
              <w:left w:val="nil"/>
              <w:bottom w:val="single" w:sz="4" w:space="0" w:color="auto"/>
              <w:right w:val="nil"/>
            </w:tcBorders>
            <w:vAlign w:val="bottom"/>
          </w:tcPr>
          <w:p w14:paraId="2DF304B0" w14:textId="09D393C6" w:rsidR="003734F4" w:rsidRPr="005F2A60" w:rsidRDefault="003734F4" w:rsidP="003734F4">
            <w:pPr>
              <w:ind w:left="-57" w:right="57"/>
              <w:jc w:val="right"/>
              <w:rPr>
                <w:bCs w:val="0"/>
                <w:sz w:val="12"/>
                <w:szCs w:val="12"/>
              </w:rPr>
            </w:pPr>
            <w:r w:rsidRPr="001775FB">
              <w:rPr>
                <w:bCs w:val="0"/>
                <w:sz w:val="12"/>
                <w:szCs w:val="12"/>
                <w:lang w:val="id-ID"/>
              </w:rPr>
              <w:t>2.543.680.000</w:t>
            </w:r>
          </w:p>
        </w:tc>
        <w:tc>
          <w:tcPr>
            <w:tcW w:w="83" w:type="dxa"/>
            <w:tcBorders>
              <w:left w:val="nil"/>
              <w:right w:val="nil"/>
            </w:tcBorders>
            <w:vAlign w:val="bottom"/>
          </w:tcPr>
          <w:p w14:paraId="5F07A037" w14:textId="77777777" w:rsidR="003734F4" w:rsidRPr="005F2A60" w:rsidRDefault="003734F4" w:rsidP="003734F4">
            <w:pPr>
              <w:ind w:left="-57" w:right="57"/>
              <w:jc w:val="right"/>
              <w:rPr>
                <w:bCs w:val="0"/>
                <w:sz w:val="12"/>
                <w:szCs w:val="12"/>
              </w:rPr>
            </w:pPr>
          </w:p>
        </w:tc>
        <w:tc>
          <w:tcPr>
            <w:tcW w:w="1193" w:type="dxa"/>
            <w:gridSpan w:val="2"/>
            <w:tcBorders>
              <w:left w:val="nil"/>
              <w:bottom w:val="single" w:sz="4" w:space="0" w:color="auto"/>
              <w:right w:val="nil"/>
            </w:tcBorders>
            <w:shd w:val="clear" w:color="auto" w:fill="auto"/>
            <w:vAlign w:val="bottom"/>
          </w:tcPr>
          <w:p w14:paraId="429A345F" w14:textId="5726CF17" w:rsidR="003734F4" w:rsidRPr="005F2A60" w:rsidRDefault="003734F4" w:rsidP="003734F4">
            <w:pPr>
              <w:ind w:left="-57" w:right="57"/>
              <w:jc w:val="right"/>
              <w:rPr>
                <w:bCs w:val="0"/>
                <w:sz w:val="12"/>
                <w:szCs w:val="12"/>
              </w:rPr>
            </w:pPr>
            <w:r w:rsidRPr="001775FB">
              <w:rPr>
                <w:bCs w:val="0"/>
                <w:sz w:val="12"/>
                <w:szCs w:val="12"/>
                <w:lang w:val="id-ID"/>
              </w:rPr>
              <w:t>-</w:t>
            </w:r>
          </w:p>
        </w:tc>
        <w:tc>
          <w:tcPr>
            <w:tcW w:w="1417" w:type="dxa"/>
            <w:gridSpan w:val="2"/>
            <w:tcBorders>
              <w:top w:val="nil"/>
              <w:left w:val="nil"/>
              <w:right w:val="nil"/>
            </w:tcBorders>
            <w:shd w:val="clear" w:color="auto" w:fill="auto"/>
            <w:vAlign w:val="bottom"/>
          </w:tcPr>
          <w:p w14:paraId="30D80AE9" w14:textId="77777777" w:rsidR="003734F4" w:rsidRPr="005F2A60" w:rsidRDefault="003734F4" w:rsidP="003734F4">
            <w:pPr>
              <w:tabs>
                <w:tab w:val="left" w:pos="1410"/>
              </w:tabs>
              <w:ind w:right="57"/>
              <w:jc w:val="right"/>
              <w:rPr>
                <w:i/>
                <w:iCs/>
                <w:sz w:val="14"/>
                <w:szCs w:val="14"/>
              </w:rPr>
            </w:pPr>
            <w:r w:rsidRPr="005F2A60">
              <w:rPr>
                <w:i/>
                <w:iCs/>
                <w:sz w:val="14"/>
                <w:szCs w:val="14"/>
              </w:rPr>
              <w:t>Sub total</w:t>
            </w:r>
          </w:p>
        </w:tc>
      </w:tr>
      <w:tr w:rsidR="003734F4" w:rsidRPr="005F2A60" w14:paraId="3C022F7C" w14:textId="77777777" w:rsidTr="003734F4">
        <w:trPr>
          <w:gridAfter w:val="1"/>
          <w:wAfter w:w="20" w:type="dxa"/>
          <w:cantSplit/>
        </w:trPr>
        <w:tc>
          <w:tcPr>
            <w:tcW w:w="1877" w:type="dxa"/>
            <w:tcBorders>
              <w:left w:val="nil"/>
              <w:right w:val="nil"/>
            </w:tcBorders>
            <w:shd w:val="clear" w:color="auto" w:fill="auto"/>
            <w:vAlign w:val="bottom"/>
          </w:tcPr>
          <w:p w14:paraId="612BF95F" w14:textId="77777777" w:rsidR="003734F4" w:rsidRPr="005F2A60" w:rsidRDefault="003734F4" w:rsidP="003734F4">
            <w:pPr>
              <w:ind w:left="680" w:right="74" w:hanging="255"/>
              <w:rPr>
                <w:bCs w:val="0"/>
                <w:sz w:val="14"/>
                <w:szCs w:val="14"/>
              </w:rPr>
            </w:pPr>
          </w:p>
        </w:tc>
        <w:tc>
          <w:tcPr>
            <w:tcW w:w="1134" w:type="dxa"/>
            <w:tcBorders>
              <w:top w:val="single" w:sz="4" w:space="0" w:color="auto"/>
              <w:left w:val="nil"/>
              <w:right w:val="nil"/>
            </w:tcBorders>
            <w:shd w:val="clear" w:color="auto" w:fill="auto"/>
            <w:vAlign w:val="bottom"/>
          </w:tcPr>
          <w:p w14:paraId="6F0AAC2B" w14:textId="77777777" w:rsidR="003734F4" w:rsidRPr="005F2A60" w:rsidRDefault="003734F4" w:rsidP="003734F4">
            <w:pPr>
              <w:ind w:left="-57" w:right="28"/>
              <w:jc w:val="right"/>
              <w:rPr>
                <w:bCs w:val="0"/>
                <w:sz w:val="12"/>
                <w:szCs w:val="12"/>
              </w:rPr>
            </w:pPr>
          </w:p>
        </w:tc>
        <w:tc>
          <w:tcPr>
            <w:tcW w:w="83" w:type="dxa"/>
            <w:tcBorders>
              <w:left w:val="nil"/>
              <w:right w:val="nil"/>
            </w:tcBorders>
            <w:shd w:val="clear" w:color="auto" w:fill="auto"/>
            <w:vAlign w:val="bottom"/>
          </w:tcPr>
          <w:p w14:paraId="077BD4BA" w14:textId="77777777" w:rsidR="003734F4" w:rsidRPr="005F2A60" w:rsidRDefault="003734F4" w:rsidP="003734F4">
            <w:pPr>
              <w:ind w:right="18"/>
              <w:jc w:val="right"/>
              <w:rPr>
                <w:bCs w:val="0"/>
                <w:sz w:val="12"/>
                <w:szCs w:val="12"/>
              </w:rPr>
            </w:pPr>
          </w:p>
        </w:tc>
        <w:tc>
          <w:tcPr>
            <w:tcW w:w="1051" w:type="dxa"/>
            <w:tcBorders>
              <w:top w:val="single" w:sz="4" w:space="0" w:color="auto"/>
              <w:left w:val="nil"/>
              <w:right w:val="nil"/>
            </w:tcBorders>
            <w:shd w:val="clear" w:color="auto" w:fill="auto"/>
            <w:vAlign w:val="bottom"/>
          </w:tcPr>
          <w:p w14:paraId="349C94A6" w14:textId="77777777" w:rsidR="003734F4" w:rsidRPr="005F2A60" w:rsidRDefault="003734F4" w:rsidP="003734F4">
            <w:pPr>
              <w:ind w:right="57"/>
              <w:jc w:val="right"/>
              <w:rPr>
                <w:bCs w:val="0"/>
                <w:sz w:val="12"/>
                <w:szCs w:val="12"/>
              </w:rPr>
            </w:pPr>
          </w:p>
        </w:tc>
        <w:tc>
          <w:tcPr>
            <w:tcW w:w="91" w:type="dxa"/>
            <w:tcBorders>
              <w:left w:val="nil"/>
              <w:right w:val="nil"/>
            </w:tcBorders>
            <w:shd w:val="clear" w:color="auto" w:fill="auto"/>
            <w:vAlign w:val="bottom"/>
          </w:tcPr>
          <w:p w14:paraId="75FF7D2B"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5897886B" w14:textId="77777777" w:rsidR="003734F4" w:rsidRPr="005F2A60" w:rsidRDefault="003734F4" w:rsidP="003734F4">
            <w:pPr>
              <w:ind w:right="18"/>
              <w:jc w:val="right"/>
              <w:rPr>
                <w:bCs w:val="0"/>
                <w:sz w:val="12"/>
                <w:szCs w:val="12"/>
              </w:rPr>
            </w:pPr>
          </w:p>
        </w:tc>
        <w:tc>
          <w:tcPr>
            <w:tcW w:w="960" w:type="dxa"/>
            <w:gridSpan w:val="3"/>
            <w:tcBorders>
              <w:top w:val="single" w:sz="4" w:space="0" w:color="auto"/>
              <w:left w:val="nil"/>
              <w:right w:val="nil"/>
            </w:tcBorders>
            <w:shd w:val="clear" w:color="auto" w:fill="auto"/>
            <w:vAlign w:val="bottom"/>
          </w:tcPr>
          <w:p w14:paraId="4859678F" w14:textId="77777777" w:rsidR="003734F4" w:rsidRPr="005F2A60" w:rsidRDefault="003734F4" w:rsidP="003734F4">
            <w:pPr>
              <w:ind w:left="-57" w:right="57"/>
              <w:jc w:val="right"/>
              <w:rPr>
                <w:bCs w:val="0"/>
                <w:sz w:val="12"/>
                <w:szCs w:val="12"/>
              </w:rPr>
            </w:pPr>
          </w:p>
        </w:tc>
        <w:tc>
          <w:tcPr>
            <w:tcW w:w="83" w:type="dxa"/>
            <w:gridSpan w:val="2"/>
            <w:tcBorders>
              <w:left w:val="nil"/>
              <w:right w:val="nil"/>
            </w:tcBorders>
            <w:shd w:val="clear" w:color="auto" w:fill="auto"/>
            <w:vAlign w:val="bottom"/>
          </w:tcPr>
          <w:p w14:paraId="28E6A800" w14:textId="77777777" w:rsidR="003734F4" w:rsidRPr="005F2A60" w:rsidRDefault="003734F4" w:rsidP="003734F4">
            <w:pPr>
              <w:ind w:right="57"/>
              <w:jc w:val="right"/>
              <w:rPr>
                <w:bCs w:val="0"/>
                <w:sz w:val="12"/>
                <w:szCs w:val="12"/>
              </w:rPr>
            </w:pPr>
          </w:p>
        </w:tc>
        <w:tc>
          <w:tcPr>
            <w:tcW w:w="1051" w:type="dxa"/>
            <w:gridSpan w:val="3"/>
            <w:tcBorders>
              <w:top w:val="single" w:sz="4" w:space="0" w:color="auto"/>
              <w:left w:val="nil"/>
              <w:right w:val="nil"/>
            </w:tcBorders>
            <w:vAlign w:val="bottom"/>
          </w:tcPr>
          <w:p w14:paraId="33C7D3AE" w14:textId="77777777" w:rsidR="003734F4" w:rsidRPr="005F2A60" w:rsidRDefault="003734F4" w:rsidP="003734F4">
            <w:pPr>
              <w:ind w:left="-57" w:right="28"/>
              <w:jc w:val="right"/>
              <w:rPr>
                <w:bCs w:val="0"/>
                <w:sz w:val="12"/>
                <w:szCs w:val="12"/>
              </w:rPr>
            </w:pPr>
          </w:p>
        </w:tc>
        <w:tc>
          <w:tcPr>
            <w:tcW w:w="83" w:type="dxa"/>
            <w:tcBorders>
              <w:left w:val="nil"/>
              <w:right w:val="nil"/>
            </w:tcBorders>
            <w:vAlign w:val="bottom"/>
          </w:tcPr>
          <w:p w14:paraId="14107F39" w14:textId="77777777" w:rsidR="003734F4" w:rsidRPr="005F2A60" w:rsidRDefault="003734F4" w:rsidP="003734F4">
            <w:pPr>
              <w:ind w:left="-57" w:right="28"/>
              <w:jc w:val="right"/>
              <w:rPr>
                <w:bCs w:val="0"/>
                <w:sz w:val="12"/>
                <w:szCs w:val="12"/>
              </w:rPr>
            </w:pPr>
          </w:p>
        </w:tc>
        <w:tc>
          <w:tcPr>
            <w:tcW w:w="1193" w:type="dxa"/>
            <w:gridSpan w:val="2"/>
            <w:tcBorders>
              <w:top w:val="single" w:sz="4" w:space="0" w:color="auto"/>
              <w:left w:val="nil"/>
              <w:right w:val="nil"/>
            </w:tcBorders>
            <w:shd w:val="clear" w:color="auto" w:fill="auto"/>
            <w:vAlign w:val="bottom"/>
          </w:tcPr>
          <w:p w14:paraId="57ED6C59" w14:textId="77777777" w:rsidR="003734F4" w:rsidRPr="005F2A60" w:rsidRDefault="003734F4" w:rsidP="003734F4">
            <w:pPr>
              <w:ind w:left="-57" w:right="28"/>
              <w:jc w:val="right"/>
              <w:rPr>
                <w:bCs w:val="0"/>
                <w:sz w:val="12"/>
                <w:szCs w:val="12"/>
              </w:rPr>
            </w:pPr>
          </w:p>
        </w:tc>
        <w:tc>
          <w:tcPr>
            <w:tcW w:w="1417" w:type="dxa"/>
            <w:gridSpan w:val="2"/>
            <w:tcBorders>
              <w:left w:val="nil"/>
              <w:right w:val="nil"/>
            </w:tcBorders>
            <w:shd w:val="clear" w:color="auto" w:fill="auto"/>
            <w:vAlign w:val="bottom"/>
          </w:tcPr>
          <w:p w14:paraId="4A62667A" w14:textId="77777777" w:rsidR="003734F4" w:rsidRPr="005F2A60" w:rsidRDefault="003734F4" w:rsidP="003734F4">
            <w:pPr>
              <w:tabs>
                <w:tab w:val="left" w:pos="1360"/>
                <w:tab w:val="left" w:pos="1410"/>
              </w:tabs>
              <w:ind w:right="72"/>
              <w:jc w:val="right"/>
              <w:rPr>
                <w:i/>
                <w:iCs/>
                <w:sz w:val="14"/>
                <w:szCs w:val="14"/>
              </w:rPr>
            </w:pPr>
          </w:p>
        </w:tc>
      </w:tr>
      <w:tr w:rsidR="003734F4" w:rsidRPr="005F2A60" w14:paraId="197F1458" w14:textId="77777777" w:rsidTr="003734F4">
        <w:trPr>
          <w:gridAfter w:val="1"/>
          <w:wAfter w:w="20" w:type="dxa"/>
          <w:cantSplit/>
        </w:trPr>
        <w:tc>
          <w:tcPr>
            <w:tcW w:w="1877" w:type="dxa"/>
            <w:tcBorders>
              <w:left w:val="nil"/>
              <w:right w:val="nil"/>
            </w:tcBorders>
            <w:shd w:val="clear" w:color="auto" w:fill="auto"/>
            <w:vAlign w:val="bottom"/>
          </w:tcPr>
          <w:p w14:paraId="5EA0B7D5" w14:textId="77777777" w:rsidR="003734F4" w:rsidRDefault="003734F4" w:rsidP="003734F4">
            <w:pPr>
              <w:ind w:left="680" w:right="74" w:hanging="255"/>
              <w:rPr>
                <w:bCs w:val="0"/>
                <w:sz w:val="14"/>
                <w:szCs w:val="14"/>
              </w:rPr>
            </w:pPr>
            <w:r w:rsidRPr="005F2A60">
              <w:rPr>
                <w:bCs w:val="0"/>
                <w:sz w:val="14"/>
                <w:szCs w:val="14"/>
              </w:rPr>
              <w:t xml:space="preserve">Jumlah akumulasi </w:t>
            </w:r>
          </w:p>
          <w:p w14:paraId="3AE487BB" w14:textId="63E18B0F" w:rsidR="003734F4" w:rsidRPr="005F2A60" w:rsidRDefault="003734F4" w:rsidP="003734F4">
            <w:pPr>
              <w:ind w:left="680" w:right="74" w:hanging="115"/>
              <w:rPr>
                <w:bCs w:val="0"/>
                <w:sz w:val="14"/>
                <w:szCs w:val="14"/>
              </w:rPr>
            </w:pPr>
            <w:r w:rsidRPr="005F2A60">
              <w:rPr>
                <w:bCs w:val="0"/>
                <w:sz w:val="14"/>
                <w:szCs w:val="14"/>
              </w:rPr>
              <w:t xml:space="preserve">penyusutan </w:t>
            </w:r>
          </w:p>
        </w:tc>
        <w:tc>
          <w:tcPr>
            <w:tcW w:w="1134" w:type="dxa"/>
            <w:tcBorders>
              <w:left w:val="nil"/>
              <w:bottom w:val="single" w:sz="4" w:space="0" w:color="auto"/>
              <w:right w:val="nil"/>
            </w:tcBorders>
            <w:shd w:val="clear" w:color="auto" w:fill="auto"/>
            <w:vAlign w:val="bottom"/>
          </w:tcPr>
          <w:p w14:paraId="6C37E90C" w14:textId="525581F7" w:rsidR="003734F4" w:rsidRPr="005F2A60" w:rsidRDefault="003734F4" w:rsidP="003734F4">
            <w:pPr>
              <w:ind w:left="-57" w:right="57"/>
              <w:jc w:val="right"/>
              <w:rPr>
                <w:bCs w:val="0"/>
                <w:sz w:val="12"/>
                <w:szCs w:val="12"/>
              </w:rPr>
            </w:pPr>
            <w:r w:rsidRPr="001775FB">
              <w:rPr>
                <w:bCs w:val="0"/>
                <w:sz w:val="12"/>
                <w:szCs w:val="12"/>
              </w:rPr>
              <w:t>556.720.043.264</w:t>
            </w:r>
          </w:p>
        </w:tc>
        <w:tc>
          <w:tcPr>
            <w:tcW w:w="83" w:type="dxa"/>
            <w:tcBorders>
              <w:left w:val="nil"/>
              <w:right w:val="nil"/>
            </w:tcBorders>
            <w:shd w:val="clear" w:color="auto" w:fill="auto"/>
            <w:vAlign w:val="bottom"/>
          </w:tcPr>
          <w:p w14:paraId="37F46294" w14:textId="77777777" w:rsidR="003734F4" w:rsidRPr="005F2A60" w:rsidRDefault="003734F4" w:rsidP="003734F4">
            <w:pPr>
              <w:ind w:right="18"/>
              <w:jc w:val="right"/>
              <w:rPr>
                <w:bCs w:val="0"/>
                <w:sz w:val="12"/>
                <w:szCs w:val="12"/>
              </w:rPr>
            </w:pPr>
          </w:p>
        </w:tc>
        <w:tc>
          <w:tcPr>
            <w:tcW w:w="1051" w:type="dxa"/>
            <w:tcBorders>
              <w:left w:val="nil"/>
              <w:bottom w:val="single" w:sz="4" w:space="0" w:color="auto"/>
              <w:right w:val="nil"/>
            </w:tcBorders>
            <w:shd w:val="clear" w:color="auto" w:fill="auto"/>
            <w:vAlign w:val="bottom"/>
          </w:tcPr>
          <w:p w14:paraId="35768CED" w14:textId="6F62942D" w:rsidR="003734F4" w:rsidRPr="005F2A60" w:rsidRDefault="003734F4" w:rsidP="003734F4">
            <w:pPr>
              <w:ind w:right="57"/>
              <w:jc w:val="right"/>
              <w:rPr>
                <w:bCs w:val="0"/>
                <w:sz w:val="12"/>
                <w:szCs w:val="12"/>
                <w:lang w:val="id-ID"/>
              </w:rPr>
            </w:pPr>
            <w:r w:rsidRPr="001F28B7">
              <w:rPr>
                <w:bCs w:val="0"/>
                <w:sz w:val="12"/>
                <w:szCs w:val="12"/>
              </w:rPr>
              <w:t>75.711.042.366</w:t>
            </w:r>
          </w:p>
        </w:tc>
        <w:tc>
          <w:tcPr>
            <w:tcW w:w="91" w:type="dxa"/>
            <w:tcBorders>
              <w:left w:val="nil"/>
              <w:right w:val="nil"/>
            </w:tcBorders>
            <w:shd w:val="clear" w:color="auto" w:fill="auto"/>
            <w:vAlign w:val="bottom"/>
          </w:tcPr>
          <w:p w14:paraId="20092CAD" w14:textId="77777777" w:rsidR="003734F4" w:rsidRPr="005F2A60" w:rsidRDefault="003734F4" w:rsidP="003734F4">
            <w:pPr>
              <w:ind w:right="18"/>
              <w:jc w:val="right"/>
              <w:rPr>
                <w:bCs w:val="0"/>
                <w:sz w:val="12"/>
                <w:szCs w:val="12"/>
              </w:rPr>
            </w:pPr>
          </w:p>
        </w:tc>
        <w:tc>
          <w:tcPr>
            <w:tcW w:w="83" w:type="dxa"/>
            <w:tcBorders>
              <w:left w:val="nil"/>
              <w:right w:val="nil"/>
            </w:tcBorders>
            <w:shd w:val="clear" w:color="auto" w:fill="auto"/>
            <w:vAlign w:val="bottom"/>
          </w:tcPr>
          <w:p w14:paraId="783A03A9" w14:textId="77777777" w:rsidR="003734F4" w:rsidRPr="005F2A60" w:rsidRDefault="003734F4" w:rsidP="003734F4">
            <w:pPr>
              <w:ind w:right="18"/>
              <w:jc w:val="right"/>
              <w:rPr>
                <w:bCs w:val="0"/>
                <w:sz w:val="12"/>
                <w:szCs w:val="12"/>
              </w:rPr>
            </w:pPr>
          </w:p>
        </w:tc>
        <w:tc>
          <w:tcPr>
            <w:tcW w:w="960" w:type="dxa"/>
            <w:gridSpan w:val="3"/>
            <w:tcBorders>
              <w:left w:val="nil"/>
              <w:bottom w:val="single" w:sz="4" w:space="0" w:color="auto"/>
              <w:right w:val="nil"/>
            </w:tcBorders>
            <w:shd w:val="clear" w:color="auto" w:fill="auto"/>
            <w:vAlign w:val="bottom"/>
          </w:tcPr>
          <w:p w14:paraId="64AB6965" w14:textId="3A2D3A49" w:rsidR="003734F4" w:rsidRPr="005F2A60" w:rsidRDefault="003734F4" w:rsidP="003734F4">
            <w:pPr>
              <w:ind w:right="57"/>
              <w:jc w:val="right"/>
              <w:rPr>
                <w:bCs w:val="0"/>
                <w:sz w:val="12"/>
                <w:szCs w:val="12"/>
              </w:rPr>
            </w:pPr>
            <w:r>
              <w:rPr>
                <w:bCs w:val="0"/>
                <w:sz w:val="12"/>
                <w:szCs w:val="12"/>
              </w:rPr>
              <w:t>(</w:t>
            </w:r>
            <w:r w:rsidRPr="00C2326F">
              <w:rPr>
                <w:bCs w:val="0"/>
                <w:sz w:val="12"/>
                <w:szCs w:val="12"/>
              </w:rPr>
              <w:t>3.286.4</w:t>
            </w:r>
            <w:r>
              <w:rPr>
                <w:bCs w:val="0"/>
                <w:sz w:val="12"/>
                <w:szCs w:val="12"/>
              </w:rPr>
              <w:t>12</w:t>
            </w:r>
            <w:r w:rsidRPr="00C2326F">
              <w:rPr>
                <w:bCs w:val="0"/>
                <w:sz w:val="12"/>
                <w:szCs w:val="12"/>
              </w:rPr>
              <w:t>.94</w:t>
            </w:r>
            <w:r>
              <w:rPr>
                <w:bCs w:val="0"/>
                <w:sz w:val="12"/>
                <w:szCs w:val="12"/>
              </w:rPr>
              <w:t>2)</w:t>
            </w:r>
          </w:p>
        </w:tc>
        <w:tc>
          <w:tcPr>
            <w:tcW w:w="83" w:type="dxa"/>
            <w:gridSpan w:val="2"/>
            <w:tcBorders>
              <w:left w:val="nil"/>
              <w:right w:val="nil"/>
            </w:tcBorders>
            <w:shd w:val="clear" w:color="auto" w:fill="auto"/>
            <w:vAlign w:val="bottom"/>
          </w:tcPr>
          <w:p w14:paraId="1EF74366" w14:textId="77777777" w:rsidR="003734F4" w:rsidRPr="005F2A60" w:rsidRDefault="003734F4" w:rsidP="003734F4">
            <w:pPr>
              <w:ind w:right="57"/>
              <w:jc w:val="right"/>
              <w:rPr>
                <w:bCs w:val="0"/>
                <w:sz w:val="12"/>
                <w:szCs w:val="12"/>
              </w:rPr>
            </w:pPr>
          </w:p>
        </w:tc>
        <w:tc>
          <w:tcPr>
            <w:tcW w:w="1051" w:type="dxa"/>
            <w:gridSpan w:val="3"/>
            <w:tcBorders>
              <w:left w:val="nil"/>
              <w:bottom w:val="single" w:sz="4" w:space="0" w:color="auto"/>
              <w:right w:val="nil"/>
            </w:tcBorders>
            <w:vAlign w:val="bottom"/>
          </w:tcPr>
          <w:p w14:paraId="0EE175A0" w14:textId="4F9DB6A3" w:rsidR="003734F4" w:rsidRPr="005F2A60" w:rsidRDefault="003734F4" w:rsidP="003734F4">
            <w:pPr>
              <w:ind w:left="-57" w:right="57"/>
              <w:jc w:val="right"/>
              <w:rPr>
                <w:bCs w:val="0"/>
                <w:sz w:val="12"/>
                <w:szCs w:val="12"/>
              </w:rPr>
            </w:pPr>
            <w:r w:rsidRPr="001775FB">
              <w:rPr>
                <w:bCs w:val="0"/>
                <w:sz w:val="12"/>
                <w:szCs w:val="12"/>
                <w:lang w:val="id-ID"/>
              </w:rPr>
              <w:br/>
            </w:r>
            <w:r>
              <w:rPr>
                <w:bCs w:val="0"/>
                <w:sz w:val="12"/>
                <w:szCs w:val="12"/>
              </w:rPr>
              <w:t>(</w:t>
            </w:r>
            <w:r w:rsidRPr="001775FB">
              <w:rPr>
                <w:bCs w:val="0"/>
                <w:sz w:val="12"/>
                <w:szCs w:val="12"/>
              </w:rPr>
              <w:t>138.399.800</w:t>
            </w:r>
            <w:r>
              <w:rPr>
                <w:bCs w:val="0"/>
                <w:sz w:val="12"/>
                <w:szCs w:val="12"/>
              </w:rPr>
              <w:t>)</w:t>
            </w:r>
          </w:p>
        </w:tc>
        <w:tc>
          <w:tcPr>
            <w:tcW w:w="83" w:type="dxa"/>
            <w:tcBorders>
              <w:left w:val="nil"/>
              <w:right w:val="nil"/>
            </w:tcBorders>
            <w:vAlign w:val="bottom"/>
          </w:tcPr>
          <w:p w14:paraId="7A6A3F3B" w14:textId="77777777" w:rsidR="003734F4" w:rsidRPr="005F2A60" w:rsidRDefault="003734F4" w:rsidP="003734F4">
            <w:pPr>
              <w:ind w:left="-57" w:right="57"/>
              <w:jc w:val="right"/>
              <w:rPr>
                <w:bCs w:val="0"/>
                <w:sz w:val="12"/>
                <w:szCs w:val="12"/>
              </w:rPr>
            </w:pPr>
          </w:p>
        </w:tc>
        <w:tc>
          <w:tcPr>
            <w:tcW w:w="1193" w:type="dxa"/>
            <w:gridSpan w:val="2"/>
            <w:tcBorders>
              <w:left w:val="nil"/>
              <w:bottom w:val="single" w:sz="4" w:space="0" w:color="auto"/>
              <w:right w:val="nil"/>
            </w:tcBorders>
            <w:shd w:val="clear" w:color="auto" w:fill="auto"/>
            <w:vAlign w:val="bottom"/>
          </w:tcPr>
          <w:p w14:paraId="5908BEE8" w14:textId="3CA61823" w:rsidR="003734F4" w:rsidRPr="005F2A60" w:rsidRDefault="003734F4" w:rsidP="003734F4">
            <w:pPr>
              <w:ind w:left="-57" w:right="57"/>
              <w:jc w:val="right"/>
              <w:rPr>
                <w:bCs w:val="0"/>
                <w:sz w:val="12"/>
                <w:szCs w:val="12"/>
              </w:rPr>
            </w:pPr>
            <w:r w:rsidRPr="001F28B7">
              <w:rPr>
                <w:bCs w:val="0"/>
                <w:sz w:val="12"/>
                <w:szCs w:val="12"/>
              </w:rPr>
              <w:t>629.006.272.888</w:t>
            </w:r>
          </w:p>
        </w:tc>
        <w:tc>
          <w:tcPr>
            <w:tcW w:w="1417" w:type="dxa"/>
            <w:gridSpan w:val="2"/>
            <w:tcBorders>
              <w:left w:val="nil"/>
              <w:right w:val="nil"/>
            </w:tcBorders>
            <w:shd w:val="clear" w:color="auto" w:fill="auto"/>
            <w:vAlign w:val="bottom"/>
          </w:tcPr>
          <w:p w14:paraId="464EAA4B" w14:textId="77777777" w:rsidR="003734F4" w:rsidRPr="001775FB" w:rsidRDefault="003734F4" w:rsidP="003734F4">
            <w:pPr>
              <w:tabs>
                <w:tab w:val="left" w:pos="1360"/>
                <w:tab w:val="left" w:pos="1410"/>
              </w:tabs>
              <w:ind w:right="72"/>
              <w:jc w:val="right"/>
              <w:rPr>
                <w:i/>
                <w:iCs/>
                <w:sz w:val="14"/>
                <w:szCs w:val="14"/>
              </w:rPr>
            </w:pPr>
            <w:r w:rsidRPr="001775FB">
              <w:rPr>
                <w:i/>
                <w:iCs/>
                <w:sz w:val="14"/>
                <w:szCs w:val="14"/>
              </w:rPr>
              <w:t xml:space="preserve">Total accumulated </w:t>
            </w:r>
          </w:p>
          <w:p w14:paraId="2BC401A0" w14:textId="52E7D33D" w:rsidR="003734F4" w:rsidRPr="005F2A60" w:rsidRDefault="003734F4" w:rsidP="003734F4">
            <w:pPr>
              <w:ind w:right="198"/>
              <w:jc w:val="right"/>
              <w:rPr>
                <w:i/>
                <w:iCs/>
                <w:sz w:val="14"/>
                <w:szCs w:val="14"/>
              </w:rPr>
            </w:pPr>
            <w:r w:rsidRPr="001775FB">
              <w:rPr>
                <w:i/>
                <w:iCs/>
                <w:sz w:val="14"/>
                <w:szCs w:val="14"/>
              </w:rPr>
              <w:t>depreciation</w:t>
            </w:r>
          </w:p>
        </w:tc>
      </w:tr>
      <w:tr w:rsidR="003734F4" w:rsidRPr="005F2A60" w14:paraId="57AE2C32" w14:textId="77777777" w:rsidTr="003734F4">
        <w:trPr>
          <w:gridAfter w:val="1"/>
          <w:wAfter w:w="25" w:type="dxa"/>
          <w:cantSplit/>
        </w:trPr>
        <w:tc>
          <w:tcPr>
            <w:tcW w:w="1877" w:type="dxa"/>
            <w:tcBorders>
              <w:left w:val="nil"/>
              <w:right w:val="nil"/>
            </w:tcBorders>
            <w:shd w:val="clear" w:color="auto" w:fill="auto"/>
            <w:vAlign w:val="bottom"/>
          </w:tcPr>
          <w:p w14:paraId="3B3C36CE" w14:textId="77777777" w:rsidR="003734F4" w:rsidRPr="005F2A60" w:rsidRDefault="003734F4" w:rsidP="003734F4">
            <w:pPr>
              <w:ind w:left="680" w:right="-98" w:hanging="255"/>
              <w:rPr>
                <w:bCs w:val="0"/>
                <w:sz w:val="14"/>
                <w:szCs w:val="14"/>
              </w:rPr>
            </w:pPr>
          </w:p>
        </w:tc>
        <w:tc>
          <w:tcPr>
            <w:tcW w:w="1134" w:type="dxa"/>
            <w:tcBorders>
              <w:top w:val="single" w:sz="4" w:space="0" w:color="auto"/>
              <w:left w:val="nil"/>
              <w:right w:val="nil"/>
            </w:tcBorders>
            <w:shd w:val="clear" w:color="auto" w:fill="auto"/>
            <w:vAlign w:val="bottom"/>
          </w:tcPr>
          <w:p w14:paraId="100F5794" w14:textId="77777777" w:rsidR="003734F4" w:rsidRPr="005F2A60" w:rsidRDefault="003734F4" w:rsidP="003734F4">
            <w:pPr>
              <w:ind w:left="-57" w:right="28"/>
              <w:jc w:val="right"/>
              <w:rPr>
                <w:bCs w:val="0"/>
                <w:sz w:val="12"/>
                <w:szCs w:val="12"/>
                <w:lang w:val="id-ID"/>
              </w:rPr>
            </w:pPr>
          </w:p>
        </w:tc>
        <w:tc>
          <w:tcPr>
            <w:tcW w:w="83" w:type="dxa"/>
            <w:tcBorders>
              <w:left w:val="nil"/>
              <w:right w:val="nil"/>
            </w:tcBorders>
            <w:shd w:val="clear" w:color="auto" w:fill="auto"/>
            <w:vAlign w:val="bottom"/>
          </w:tcPr>
          <w:p w14:paraId="379F7AF8" w14:textId="77777777" w:rsidR="003734F4" w:rsidRPr="005F2A60" w:rsidRDefault="003734F4" w:rsidP="003734F4">
            <w:pPr>
              <w:ind w:right="18"/>
              <w:jc w:val="right"/>
              <w:rPr>
                <w:bCs w:val="0"/>
                <w:sz w:val="12"/>
                <w:szCs w:val="12"/>
              </w:rPr>
            </w:pPr>
          </w:p>
        </w:tc>
        <w:tc>
          <w:tcPr>
            <w:tcW w:w="1051" w:type="dxa"/>
            <w:tcBorders>
              <w:top w:val="single" w:sz="4" w:space="0" w:color="auto"/>
              <w:left w:val="nil"/>
              <w:right w:val="nil"/>
            </w:tcBorders>
            <w:shd w:val="clear" w:color="auto" w:fill="auto"/>
            <w:vAlign w:val="bottom"/>
          </w:tcPr>
          <w:p w14:paraId="7C3D4A64" w14:textId="77777777" w:rsidR="003734F4" w:rsidRPr="005F2A60" w:rsidRDefault="003734F4" w:rsidP="003734F4">
            <w:pPr>
              <w:ind w:right="57"/>
              <w:jc w:val="right"/>
              <w:rPr>
                <w:bCs w:val="0"/>
                <w:sz w:val="12"/>
                <w:szCs w:val="12"/>
              </w:rPr>
            </w:pPr>
          </w:p>
        </w:tc>
        <w:tc>
          <w:tcPr>
            <w:tcW w:w="91" w:type="dxa"/>
            <w:tcBorders>
              <w:left w:val="nil"/>
              <w:right w:val="nil"/>
            </w:tcBorders>
            <w:shd w:val="clear" w:color="auto" w:fill="auto"/>
            <w:vAlign w:val="bottom"/>
          </w:tcPr>
          <w:p w14:paraId="565BD769" w14:textId="77777777" w:rsidR="003734F4" w:rsidRPr="005F2A60" w:rsidRDefault="003734F4" w:rsidP="003734F4">
            <w:pPr>
              <w:ind w:right="18"/>
              <w:jc w:val="right"/>
              <w:rPr>
                <w:bCs w:val="0"/>
                <w:sz w:val="12"/>
                <w:szCs w:val="12"/>
              </w:rPr>
            </w:pPr>
          </w:p>
        </w:tc>
        <w:tc>
          <w:tcPr>
            <w:tcW w:w="918" w:type="dxa"/>
            <w:gridSpan w:val="3"/>
            <w:tcBorders>
              <w:top w:val="single" w:sz="4" w:space="0" w:color="auto"/>
              <w:left w:val="nil"/>
              <w:right w:val="nil"/>
            </w:tcBorders>
            <w:shd w:val="clear" w:color="auto" w:fill="auto"/>
            <w:vAlign w:val="bottom"/>
          </w:tcPr>
          <w:p w14:paraId="1C63C55E" w14:textId="77777777" w:rsidR="003734F4" w:rsidRPr="005F2A60" w:rsidRDefault="003734F4" w:rsidP="003734F4">
            <w:pPr>
              <w:ind w:right="28"/>
              <w:jc w:val="right"/>
              <w:rPr>
                <w:bCs w:val="0"/>
                <w:sz w:val="12"/>
                <w:szCs w:val="12"/>
              </w:rPr>
            </w:pPr>
          </w:p>
        </w:tc>
        <w:tc>
          <w:tcPr>
            <w:tcW w:w="167" w:type="dxa"/>
            <w:gridSpan w:val="2"/>
            <w:tcBorders>
              <w:left w:val="nil"/>
              <w:right w:val="nil"/>
            </w:tcBorders>
            <w:shd w:val="clear" w:color="auto" w:fill="auto"/>
            <w:vAlign w:val="bottom"/>
          </w:tcPr>
          <w:p w14:paraId="3A97620B" w14:textId="77777777" w:rsidR="003734F4" w:rsidRPr="005F2A60" w:rsidRDefault="003734F4" w:rsidP="003734F4">
            <w:pPr>
              <w:ind w:right="18"/>
              <w:jc w:val="right"/>
              <w:rPr>
                <w:bCs w:val="0"/>
                <w:sz w:val="12"/>
                <w:szCs w:val="12"/>
              </w:rPr>
            </w:pPr>
          </w:p>
        </w:tc>
        <w:tc>
          <w:tcPr>
            <w:tcW w:w="876" w:type="dxa"/>
            <w:gridSpan w:val="3"/>
            <w:tcBorders>
              <w:top w:val="single" w:sz="4" w:space="0" w:color="auto"/>
              <w:left w:val="nil"/>
              <w:right w:val="nil"/>
            </w:tcBorders>
            <w:shd w:val="clear" w:color="auto" w:fill="auto"/>
            <w:vAlign w:val="bottom"/>
          </w:tcPr>
          <w:p w14:paraId="5C9910FE" w14:textId="77777777" w:rsidR="003734F4" w:rsidRPr="005F2A60" w:rsidRDefault="003734F4" w:rsidP="003734F4">
            <w:pPr>
              <w:ind w:right="28"/>
              <w:jc w:val="right"/>
              <w:rPr>
                <w:bCs w:val="0"/>
                <w:sz w:val="12"/>
                <w:szCs w:val="12"/>
              </w:rPr>
            </w:pPr>
          </w:p>
        </w:tc>
        <w:tc>
          <w:tcPr>
            <w:tcW w:w="216" w:type="dxa"/>
            <w:tcBorders>
              <w:left w:val="nil"/>
              <w:right w:val="nil"/>
            </w:tcBorders>
            <w:shd w:val="clear" w:color="auto" w:fill="auto"/>
            <w:vAlign w:val="bottom"/>
          </w:tcPr>
          <w:p w14:paraId="772DC7AC" w14:textId="77777777" w:rsidR="003734F4" w:rsidRPr="005F2A60" w:rsidRDefault="003734F4" w:rsidP="003734F4">
            <w:pPr>
              <w:ind w:right="28"/>
              <w:jc w:val="right"/>
              <w:rPr>
                <w:bCs w:val="0"/>
                <w:sz w:val="12"/>
                <w:szCs w:val="12"/>
              </w:rPr>
            </w:pPr>
          </w:p>
        </w:tc>
        <w:tc>
          <w:tcPr>
            <w:tcW w:w="83" w:type="dxa"/>
            <w:tcBorders>
              <w:left w:val="nil"/>
              <w:right w:val="nil"/>
            </w:tcBorders>
            <w:vAlign w:val="bottom"/>
          </w:tcPr>
          <w:p w14:paraId="0F8EF4EE" w14:textId="77777777" w:rsidR="003734F4" w:rsidRPr="005F2A60" w:rsidRDefault="003734F4" w:rsidP="003734F4">
            <w:pPr>
              <w:ind w:left="-57" w:right="28"/>
              <w:jc w:val="right"/>
              <w:rPr>
                <w:bCs w:val="0"/>
                <w:sz w:val="12"/>
                <w:szCs w:val="12"/>
                <w:lang w:val="id-ID"/>
              </w:rPr>
            </w:pPr>
          </w:p>
        </w:tc>
        <w:tc>
          <w:tcPr>
            <w:tcW w:w="1188" w:type="dxa"/>
            <w:gridSpan w:val="2"/>
            <w:tcBorders>
              <w:top w:val="single" w:sz="4" w:space="0" w:color="auto"/>
              <w:left w:val="nil"/>
              <w:right w:val="nil"/>
            </w:tcBorders>
            <w:shd w:val="clear" w:color="auto" w:fill="auto"/>
            <w:vAlign w:val="bottom"/>
          </w:tcPr>
          <w:p w14:paraId="7A571ABC" w14:textId="77777777" w:rsidR="003734F4" w:rsidRPr="005F2A60" w:rsidRDefault="003734F4" w:rsidP="003734F4">
            <w:pPr>
              <w:ind w:left="-57" w:right="28"/>
              <w:jc w:val="right"/>
              <w:rPr>
                <w:bCs w:val="0"/>
                <w:sz w:val="12"/>
                <w:szCs w:val="12"/>
                <w:lang w:val="id-ID"/>
              </w:rPr>
            </w:pPr>
          </w:p>
        </w:tc>
        <w:tc>
          <w:tcPr>
            <w:tcW w:w="1417" w:type="dxa"/>
            <w:gridSpan w:val="2"/>
            <w:tcBorders>
              <w:left w:val="nil"/>
              <w:bottom w:val="nil"/>
              <w:right w:val="nil"/>
            </w:tcBorders>
            <w:shd w:val="clear" w:color="auto" w:fill="auto"/>
            <w:vAlign w:val="bottom"/>
          </w:tcPr>
          <w:p w14:paraId="7AA99B0D" w14:textId="77777777" w:rsidR="003734F4" w:rsidRPr="005F2A60" w:rsidRDefault="003734F4" w:rsidP="003734F4">
            <w:pPr>
              <w:tabs>
                <w:tab w:val="left" w:pos="1360"/>
                <w:tab w:val="left" w:pos="1410"/>
              </w:tabs>
              <w:ind w:right="72"/>
              <w:jc w:val="right"/>
              <w:rPr>
                <w:i/>
                <w:iCs/>
                <w:sz w:val="14"/>
                <w:szCs w:val="14"/>
              </w:rPr>
            </w:pPr>
          </w:p>
        </w:tc>
      </w:tr>
      <w:tr w:rsidR="003734F4" w:rsidRPr="005F2A60" w14:paraId="01B4E549" w14:textId="77777777" w:rsidTr="003734F4">
        <w:trPr>
          <w:cantSplit/>
        </w:trPr>
        <w:tc>
          <w:tcPr>
            <w:tcW w:w="1877" w:type="dxa"/>
            <w:tcBorders>
              <w:top w:val="nil"/>
              <w:left w:val="nil"/>
              <w:right w:val="nil"/>
            </w:tcBorders>
            <w:shd w:val="clear" w:color="auto" w:fill="auto"/>
            <w:vAlign w:val="bottom"/>
          </w:tcPr>
          <w:p w14:paraId="4FE25859" w14:textId="77777777" w:rsidR="003734F4" w:rsidRPr="005F2A60" w:rsidRDefault="003734F4" w:rsidP="003734F4">
            <w:pPr>
              <w:ind w:left="680" w:right="17" w:hanging="255"/>
              <w:rPr>
                <w:b/>
                <w:bCs w:val="0"/>
                <w:sz w:val="14"/>
                <w:szCs w:val="14"/>
              </w:rPr>
            </w:pPr>
            <w:r w:rsidRPr="005F2A60">
              <w:rPr>
                <w:b/>
                <w:bCs w:val="0"/>
                <w:sz w:val="14"/>
                <w:szCs w:val="14"/>
              </w:rPr>
              <w:t xml:space="preserve">Nilai </w:t>
            </w:r>
            <w:r w:rsidRPr="005F2A60">
              <w:rPr>
                <w:b/>
                <w:sz w:val="14"/>
                <w:szCs w:val="14"/>
              </w:rPr>
              <w:t>Tercatat</w:t>
            </w:r>
          </w:p>
        </w:tc>
        <w:tc>
          <w:tcPr>
            <w:tcW w:w="1134" w:type="dxa"/>
            <w:tcBorders>
              <w:top w:val="nil"/>
              <w:left w:val="nil"/>
              <w:bottom w:val="double" w:sz="4" w:space="0" w:color="auto"/>
              <w:right w:val="nil"/>
            </w:tcBorders>
            <w:shd w:val="clear" w:color="auto" w:fill="auto"/>
            <w:vAlign w:val="bottom"/>
          </w:tcPr>
          <w:p w14:paraId="39643489" w14:textId="68087DBA" w:rsidR="003734F4" w:rsidRPr="005F2A60" w:rsidRDefault="003734F4" w:rsidP="003734F4">
            <w:pPr>
              <w:ind w:left="-57" w:right="28"/>
              <w:jc w:val="right"/>
              <w:rPr>
                <w:b/>
                <w:sz w:val="12"/>
                <w:szCs w:val="12"/>
                <w:lang w:val="id-ID"/>
              </w:rPr>
            </w:pPr>
            <w:r w:rsidRPr="001775FB">
              <w:rPr>
                <w:b/>
                <w:sz w:val="12"/>
                <w:szCs w:val="12"/>
                <w:lang w:val="id-ID"/>
              </w:rPr>
              <w:t>1.758.982.036.8</w:t>
            </w:r>
            <w:r>
              <w:rPr>
                <w:b/>
                <w:sz w:val="12"/>
                <w:szCs w:val="12"/>
              </w:rPr>
              <w:t>15</w:t>
            </w:r>
          </w:p>
        </w:tc>
        <w:tc>
          <w:tcPr>
            <w:tcW w:w="83" w:type="dxa"/>
            <w:tcBorders>
              <w:top w:val="nil"/>
              <w:left w:val="nil"/>
              <w:right w:val="nil"/>
            </w:tcBorders>
            <w:shd w:val="clear" w:color="auto" w:fill="auto"/>
            <w:vAlign w:val="bottom"/>
          </w:tcPr>
          <w:p w14:paraId="54403C51" w14:textId="77777777" w:rsidR="003734F4" w:rsidRPr="005F2A60" w:rsidRDefault="003734F4" w:rsidP="003734F4">
            <w:pPr>
              <w:ind w:right="18"/>
              <w:jc w:val="right"/>
              <w:rPr>
                <w:b/>
                <w:bCs w:val="0"/>
                <w:sz w:val="12"/>
                <w:szCs w:val="12"/>
              </w:rPr>
            </w:pPr>
          </w:p>
        </w:tc>
        <w:tc>
          <w:tcPr>
            <w:tcW w:w="1051" w:type="dxa"/>
            <w:tcBorders>
              <w:top w:val="nil"/>
              <w:left w:val="nil"/>
              <w:right w:val="nil"/>
            </w:tcBorders>
            <w:shd w:val="clear" w:color="auto" w:fill="auto"/>
            <w:vAlign w:val="bottom"/>
          </w:tcPr>
          <w:p w14:paraId="3F56D361" w14:textId="77777777" w:rsidR="003734F4" w:rsidRPr="005F2A60" w:rsidRDefault="003734F4" w:rsidP="003734F4">
            <w:pPr>
              <w:ind w:right="57"/>
              <w:jc w:val="right"/>
              <w:rPr>
                <w:b/>
                <w:bCs w:val="0"/>
                <w:sz w:val="12"/>
                <w:szCs w:val="12"/>
              </w:rPr>
            </w:pPr>
          </w:p>
        </w:tc>
        <w:tc>
          <w:tcPr>
            <w:tcW w:w="91" w:type="dxa"/>
            <w:tcBorders>
              <w:top w:val="nil"/>
              <w:left w:val="nil"/>
              <w:right w:val="nil"/>
            </w:tcBorders>
            <w:shd w:val="clear" w:color="auto" w:fill="auto"/>
            <w:vAlign w:val="bottom"/>
          </w:tcPr>
          <w:p w14:paraId="00F815EC" w14:textId="77777777" w:rsidR="003734F4" w:rsidRPr="005F2A60" w:rsidRDefault="003734F4" w:rsidP="003734F4">
            <w:pPr>
              <w:ind w:right="18"/>
              <w:jc w:val="right"/>
              <w:rPr>
                <w:b/>
                <w:bCs w:val="0"/>
                <w:sz w:val="12"/>
                <w:szCs w:val="12"/>
              </w:rPr>
            </w:pPr>
          </w:p>
        </w:tc>
        <w:tc>
          <w:tcPr>
            <w:tcW w:w="167" w:type="dxa"/>
            <w:gridSpan w:val="2"/>
            <w:tcBorders>
              <w:top w:val="nil"/>
              <w:left w:val="nil"/>
              <w:right w:val="nil"/>
            </w:tcBorders>
            <w:shd w:val="clear" w:color="auto" w:fill="auto"/>
            <w:vAlign w:val="bottom"/>
          </w:tcPr>
          <w:p w14:paraId="3066954E" w14:textId="77777777" w:rsidR="003734F4" w:rsidRPr="005F2A60" w:rsidRDefault="003734F4" w:rsidP="003734F4">
            <w:pPr>
              <w:ind w:right="18"/>
              <w:jc w:val="right"/>
              <w:rPr>
                <w:b/>
                <w:sz w:val="12"/>
                <w:szCs w:val="12"/>
              </w:rPr>
            </w:pPr>
          </w:p>
        </w:tc>
        <w:tc>
          <w:tcPr>
            <w:tcW w:w="876" w:type="dxa"/>
            <w:gridSpan w:val="2"/>
            <w:tcBorders>
              <w:top w:val="nil"/>
              <w:left w:val="nil"/>
              <w:right w:val="nil"/>
            </w:tcBorders>
            <w:shd w:val="clear" w:color="auto" w:fill="auto"/>
            <w:vAlign w:val="bottom"/>
          </w:tcPr>
          <w:p w14:paraId="6A7A997D" w14:textId="77777777" w:rsidR="003734F4" w:rsidRPr="005F2A60" w:rsidRDefault="003734F4" w:rsidP="003734F4">
            <w:pPr>
              <w:ind w:right="28"/>
              <w:jc w:val="right"/>
              <w:rPr>
                <w:b/>
                <w:sz w:val="12"/>
                <w:szCs w:val="12"/>
              </w:rPr>
            </w:pPr>
          </w:p>
        </w:tc>
        <w:tc>
          <w:tcPr>
            <w:tcW w:w="216" w:type="dxa"/>
            <w:gridSpan w:val="3"/>
            <w:tcBorders>
              <w:top w:val="nil"/>
              <w:left w:val="nil"/>
              <w:right w:val="nil"/>
            </w:tcBorders>
            <w:shd w:val="clear" w:color="auto" w:fill="auto"/>
            <w:vAlign w:val="bottom"/>
          </w:tcPr>
          <w:p w14:paraId="7C5F4D89" w14:textId="77777777" w:rsidR="003734F4" w:rsidRPr="005F2A60" w:rsidRDefault="003734F4" w:rsidP="003734F4">
            <w:pPr>
              <w:ind w:right="28"/>
              <w:jc w:val="right"/>
              <w:rPr>
                <w:b/>
                <w:sz w:val="12"/>
                <w:szCs w:val="12"/>
              </w:rPr>
            </w:pPr>
          </w:p>
        </w:tc>
        <w:tc>
          <w:tcPr>
            <w:tcW w:w="918" w:type="dxa"/>
            <w:gridSpan w:val="2"/>
            <w:tcBorders>
              <w:top w:val="nil"/>
              <w:left w:val="nil"/>
              <w:right w:val="nil"/>
            </w:tcBorders>
            <w:vAlign w:val="bottom"/>
          </w:tcPr>
          <w:p w14:paraId="6F2E8E02" w14:textId="77777777" w:rsidR="003734F4" w:rsidRPr="005F2A60" w:rsidRDefault="003734F4" w:rsidP="003734F4">
            <w:pPr>
              <w:ind w:left="-57" w:right="28"/>
              <w:jc w:val="right"/>
              <w:rPr>
                <w:b/>
                <w:sz w:val="12"/>
                <w:szCs w:val="12"/>
                <w:lang w:val="en-ID"/>
              </w:rPr>
            </w:pPr>
          </w:p>
        </w:tc>
        <w:tc>
          <w:tcPr>
            <w:tcW w:w="108" w:type="dxa"/>
            <w:gridSpan w:val="2"/>
            <w:tcBorders>
              <w:top w:val="nil"/>
              <w:left w:val="nil"/>
              <w:right w:val="nil"/>
            </w:tcBorders>
            <w:vAlign w:val="bottom"/>
          </w:tcPr>
          <w:p w14:paraId="680ACBB3" w14:textId="77777777" w:rsidR="003734F4" w:rsidRPr="005F2A60" w:rsidRDefault="003734F4" w:rsidP="003734F4">
            <w:pPr>
              <w:ind w:left="-57" w:right="28"/>
              <w:jc w:val="right"/>
              <w:rPr>
                <w:b/>
                <w:sz w:val="12"/>
                <w:szCs w:val="12"/>
                <w:lang w:val="en-ID"/>
              </w:rPr>
            </w:pPr>
          </w:p>
        </w:tc>
        <w:tc>
          <w:tcPr>
            <w:tcW w:w="1188" w:type="dxa"/>
            <w:gridSpan w:val="2"/>
            <w:tcBorders>
              <w:top w:val="nil"/>
              <w:left w:val="nil"/>
              <w:bottom w:val="double" w:sz="4" w:space="0" w:color="auto"/>
              <w:right w:val="nil"/>
            </w:tcBorders>
            <w:shd w:val="clear" w:color="auto" w:fill="auto"/>
            <w:vAlign w:val="bottom"/>
          </w:tcPr>
          <w:p w14:paraId="01357E4E" w14:textId="6518F9AC" w:rsidR="003734F4" w:rsidRPr="005F2A60" w:rsidRDefault="003734F4" w:rsidP="003734F4">
            <w:pPr>
              <w:ind w:left="-57" w:right="28"/>
              <w:jc w:val="right"/>
              <w:rPr>
                <w:b/>
                <w:sz w:val="12"/>
                <w:szCs w:val="12"/>
                <w:lang w:val="en-ID"/>
              </w:rPr>
            </w:pPr>
            <w:r w:rsidRPr="0065486E">
              <w:rPr>
                <w:b/>
                <w:sz w:val="12"/>
                <w:szCs w:val="12"/>
                <w:lang w:val="en-ID"/>
              </w:rPr>
              <w:t>2.056.342.191.327</w:t>
            </w:r>
          </w:p>
        </w:tc>
        <w:tc>
          <w:tcPr>
            <w:tcW w:w="1417" w:type="dxa"/>
            <w:gridSpan w:val="2"/>
            <w:tcBorders>
              <w:top w:val="nil"/>
              <w:left w:val="nil"/>
              <w:bottom w:val="nil"/>
              <w:right w:val="nil"/>
            </w:tcBorders>
            <w:shd w:val="clear" w:color="auto" w:fill="auto"/>
            <w:vAlign w:val="bottom"/>
          </w:tcPr>
          <w:p w14:paraId="7C3B1581" w14:textId="50B2C4E0" w:rsidR="003734F4" w:rsidRPr="005F2A60" w:rsidRDefault="003734F4" w:rsidP="003734F4">
            <w:pPr>
              <w:tabs>
                <w:tab w:val="left" w:pos="1360"/>
                <w:tab w:val="left" w:pos="1410"/>
              </w:tabs>
              <w:ind w:right="72"/>
              <w:jc w:val="right"/>
              <w:rPr>
                <w:b/>
                <w:i/>
                <w:iCs/>
                <w:sz w:val="14"/>
                <w:szCs w:val="14"/>
              </w:rPr>
            </w:pPr>
            <w:r w:rsidRPr="001775FB">
              <w:rPr>
                <w:b/>
                <w:i/>
                <w:iCs/>
                <w:sz w:val="14"/>
                <w:szCs w:val="14"/>
              </w:rPr>
              <w:t>Carrying Amount</w:t>
            </w:r>
          </w:p>
        </w:tc>
      </w:tr>
    </w:tbl>
    <w:p w14:paraId="3E9F9636" w14:textId="77777777" w:rsidR="00B74EE8" w:rsidRPr="00D9728F" w:rsidRDefault="00B74EE8" w:rsidP="0013526B">
      <w:pPr>
        <w:rPr>
          <w:sz w:val="14"/>
          <w:szCs w:val="18"/>
        </w:rPr>
      </w:pPr>
    </w:p>
    <w:tbl>
      <w:tblPr>
        <w:tblW w:w="9197" w:type="dxa"/>
        <w:tblInd w:w="108" w:type="dxa"/>
        <w:tblLayout w:type="fixed"/>
        <w:tblLook w:val="0000" w:firstRow="0" w:lastRow="0" w:firstColumn="0" w:lastColumn="0" w:noHBand="0" w:noVBand="0"/>
      </w:tblPr>
      <w:tblGrid>
        <w:gridCol w:w="4598"/>
        <w:gridCol w:w="4599"/>
      </w:tblGrid>
      <w:tr w:rsidR="004A7DA5" w:rsidRPr="0013526B" w14:paraId="66129D02" w14:textId="77777777" w:rsidTr="00F04DA9">
        <w:tc>
          <w:tcPr>
            <w:tcW w:w="4598" w:type="dxa"/>
            <w:tcBorders>
              <w:top w:val="nil"/>
              <w:left w:val="nil"/>
              <w:bottom w:val="nil"/>
              <w:right w:val="nil"/>
            </w:tcBorders>
          </w:tcPr>
          <w:p w14:paraId="0B525ED3" w14:textId="70C8B2BB" w:rsidR="004A7DA5" w:rsidRPr="0013526B" w:rsidRDefault="00C0540A" w:rsidP="00AC2673">
            <w:pPr>
              <w:pStyle w:val="ListParagraph"/>
              <w:ind w:left="332"/>
              <w:jc w:val="both"/>
              <w:rPr>
                <w:sz w:val="18"/>
                <w:szCs w:val="18"/>
              </w:rPr>
            </w:pPr>
            <w:r w:rsidRPr="0013526B">
              <w:rPr>
                <w:sz w:val="18"/>
                <w:szCs w:val="18"/>
              </w:rPr>
              <w:t xml:space="preserve">Alokasi beban penyusutan selama </w:t>
            </w:r>
            <w:r w:rsidR="00AC2673">
              <w:rPr>
                <w:sz w:val="18"/>
                <w:szCs w:val="18"/>
              </w:rPr>
              <w:t xml:space="preserve">periode berakhir tanggal 31 Maret 2020 dan </w:t>
            </w:r>
            <w:r w:rsidRPr="0013526B">
              <w:rPr>
                <w:sz w:val="18"/>
                <w:szCs w:val="18"/>
              </w:rPr>
              <w:t>201</w:t>
            </w:r>
            <w:r w:rsidR="00F54E80">
              <w:rPr>
                <w:sz w:val="18"/>
                <w:szCs w:val="18"/>
              </w:rPr>
              <w:t>9</w:t>
            </w:r>
            <w:r w:rsidR="00AC2673">
              <w:rPr>
                <w:sz w:val="18"/>
                <w:szCs w:val="18"/>
              </w:rPr>
              <w:t xml:space="preserve"> </w:t>
            </w:r>
            <w:r w:rsidRPr="0013526B">
              <w:rPr>
                <w:sz w:val="18"/>
                <w:szCs w:val="18"/>
              </w:rPr>
              <w:t>adalah sebagai berikut:</w:t>
            </w:r>
          </w:p>
        </w:tc>
        <w:tc>
          <w:tcPr>
            <w:tcW w:w="4598" w:type="dxa"/>
            <w:tcBorders>
              <w:top w:val="nil"/>
              <w:left w:val="nil"/>
              <w:bottom w:val="nil"/>
              <w:right w:val="nil"/>
            </w:tcBorders>
          </w:tcPr>
          <w:p w14:paraId="720C89E2" w14:textId="1FD26FE9" w:rsidR="004A7DA5" w:rsidRPr="0013526B" w:rsidRDefault="00C0540A" w:rsidP="00AC2673">
            <w:pPr>
              <w:pStyle w:val="ListParagraph"/>
              <w:tabs>
                <w:tab w:val="right" w:pos="9340"/>
                <w:tab w:val="right" w:pos="10080"/>
              </w:tabs>
              <w:ind w:left="284"/>
              <w:jc w:val="both"/>
              <w:rPr>
                <w:i/>
                <w:sz w:val="18"/>
                <w:szCs w:val="18"/>
              </w:rPr>
            </w:pPr>
            <w:r w:rsidRPr="0013526B">
              <w:rPr>
                <w:i/>
                <w:sz w:val="18"/>
                <w:szCs w:val="18"/>
              </w:rPr>
              <w:t xml:space="preserve">The allocation of depreciation expense during the </w:t>
            </w:r>
            <w:r w:rsidR="00AC2673">
              <w:rPr>
                <w:i/>
                <w:sz w:val="18"/>
                <w:szCs w:val="18"/>
              </w:rPr>
              <w:t xml:space="preserve">periods ended March 31, 2020 and </w:t>
            </w:r>
            <w:r w:rsidRPr="0013526B">
              <w:rPr>
                <w:i/>
                <w:sz w:val="18"/>
                <w:szCs w:val="18"/>
              </w:rPr>
              <w:t>201</w:t>
            </w:r>
            <w:r w:rsidR="00F54E80">
              <w:rPr>
                <w:i/>
                <w:sz w:val="18"/>
                <w:szCs w:val="18"/>
              </w:rPr>
              <w:t>9</w:t>
            </w:r>
            <w:r w:rsidRPr="0013526B">
              <w:rPr>
                <w:i/>
                <w:sz w:val="18"/>
                <w:szCs w:val="18"/>
              </w:rPr>
              <w:t xml:space="preserve"> are as follows:</w:t>
            </w:r>
          </w:p>
        </w:tc>
      </w:tr>
    </w:tbl>
    <w:p w14:paraId="731E43F1" w14:textId="77777777" w:rsidR="004A7DA5" w:rsidRPr="0013526B" w:rsidRDefault="004A7DA5" w:rsidP="0013526B">
      <w:pPr>
        <w:ind w:left="567"/>
        <w:jc w:val="both"/>
        <w:rPr>
          <w:sz w:val="12"/>
          <w:szCs w:val="18"/>
        </w:rPr>
      </w:pPr>
    </w:p>
    <w:tbl>
      <w:tblPr>
        <w:tblW w:w="9197" w:type="dxa"/>
        <w:tblInd w:w="113" w:type="dxa"/>
        <w:tblCellMar>
          <w:left w:w="0" w:type="dxa"/>
          <w:right w:w="0" w:type="dxa"/>
        </w:tblCellMar>
        <w:tblLook w:val="04A0" w:firstRow="1" w:lastRow="0" w:firstColumn="1" w:lastColumn="0" w:noHBand="0" w:noVBand="1"/>
      </w:tblPr>
      <w:tblGrid>
        <w:gridCol w:w="2874"/>
        <w:gridCol w:w="1667"/>
        <w:gridCol w:w="115"/>
        <w:gridCol w:w="1667"/>
        <w:gridCol w:w="2874"/>
      </w:tblGrid>
      <w:tr w:rsidR="00AC2673" w:rsidRPr="0013526B" w14:paraId="77A11065" w14:textId="77777777" w:rsidTr="00AC2673">
        <w:tc>
          <w:tcPr>
            <w:tcW w:w="2874" w:type="dxa"/>
            <w:shd w:val="clear" w:color="auto" w:fill="auto"/>
          </w:tcPr>
          <w:p w14:paraId="6B217C2B" w14:textId="77777777" w:rsidR="00AC2673" w:rsidRPr="0013526B" w:rsidRDefault="00AC2673" w:rsidP="00AC2673">
            <w:pPr>
              <w:jc w:val="both"/>
              <w:rPr>
                <w:sz w:val="18"/>
                <w:szCs w:val="18"/>
              </w:rPr>
            </w:pPr>
          </w:p>
        </w:tc>
        <w:tc>
          <w:tcPr>
            <w:tcW w:w="1667" w:type="dxa"/>
            <w:tcBorders>
              <w:bottom w:val="single" w:sz="4" w:space="0" w:color="auto"/>
            </w:tcBorders>
            <w:shd w:val="clear" w:color="auto" w:fill="auto"/>
          </w:tcPr>
          <w:p w14:paraId="47878FAD" w14:textId="77777777" w:rsidR="00AC2673" w:rsidRDefault="00AC2673" w:rsidP="00AC2673">
            <w:pPr>
              <w:jc w:val="center"/>
              <w:rPr>
                <w:b/>
                <w:sz w:val="18"/>
                <w:szCs w:val="18"/>
              </w:rPr>
            </w:pPr>
            <w:r>
              <w:rPr>
                <w:b/>
                <w:sz w:val="18"/>
                <w:szCs w:val="18"/>
              </w:rPr>
              <w:t>31 Maret/</w:t>
            </w:r>
          </w:p>
          <w:p w14:paraId="7EA57521" w14:textId="369FAB14" w:rsidR="00AC2673" w:rsidRPr="0013526B" w:rsidRDefault="00AC2673" w:rsidP="00AC2673">
            <w:pPr>
              <w:jc w:val="center"/>
              <w:rPr>
                <w:b/>
                <w:sz w:val="18"/>
                <w:szCs w:val="18"/>
              </w:rPr>
            </w:pPr>
            <w:r>
              <w:rPr>
                <w:b/>
                <w:sz w:val="18"/>
                <w:szCs w:val="18"/>
              </w:rPr>
              <w:t>March 31, 2020</w:t>
            </w:r>
          </w:p>
        </w:tc>
        <w:tc>
          <w:tcPr>
            <w:tcW w:w="115" w:type="dxa"/>
            <w:shd w:val="clear" w:color="auto" w:fill="auto"/>
          </w:tcPr>
          <w:p w14:paraId="2C8B6867" w14:textId="77777777" w:rsidR="00AC2673" w:rsidRPr="0013526B" w:rsidRDefault="00AC2673" w:rsidP="00AC2673">
            <w:pPr>
              <w:jc w:val="both"/>
              <w:rPr>
                <w:b/>
                <w:sz w:val="18"/>
                <w:szCs w:val="18"/>
              </w:rPr>
            </w:pPr>
          </w:p>
        </w:tc>
        <w:tc>
          <w:tcPr>
            <w:tcW w:w="1667" w:type="dxa"/>
            <w:tcBorders>
              <w:bottom w:val="single" w:sz="4" w:space="0" w:color="auto"/>
            </w:tcBorders>
            <w:shd w:val="clear" w:color="auto" w:fill="auto"/>
          </w:tcPr>
          <w:p w14:paraId="20019F62" w14:textId="6BDBCC18" w:rsidR="00AC2673" w:rsidRDefault="00AC2673" w:rsidP="00AC2673">
            <w:pPr>
              <w:jc w:val="center"/>
              <w:rPr>
                <w:b/>
                <w:sz w:val="18"/>
                <w:szCs w:val="18"/>
              </w:rPr>
            </w:pPr>
            <w:r>
              <w:rPr>
                <w:b/>
                <w:sz w:val="18"/>
                <w:szCs w:val="18"/>
              </w:rPr>
              <w:t xml:space="preserve">31 </w:t>
            </w:r>
            <w:r w:rsidR="003734F4">
              <w:rPr>
                <w:b/>
                <w:sz w:val="18"/>
                <w:szCs w:val="18"/>
              </w:rPr>
              <w:t>Desember</w:t>
            </w:r>
            <w:r>
              <w:rPr>
                <w:b/>
                <w:sz w:val="18"/>
                <w:szCs w:val="18"/>
              </w:rPr>
              <w:t>/</w:t>
            </w:r>
          </w:p>
          <w:p w14:paraId="7B31032B" w14:textId="07DD4843" w:rsidR="00AC2673" w:rsidRPr="0013526B" w:rsidRDefault="003734F4" w:rsidP="00AC2673">
            <w:pPr>
              <w:jc w:val="center"/>
              <w:rPr>
                <w:b/>
                <w:sz w:val="18"/>
                <w:szCs w:val="18"/>
              </w:rPr>
            </w:pPr>
            <w:r>
              <w:rPr>
                <w:b/>
                <w:sz w:val="18"/>
                <w:szCs w:val="18"/>
              </w:rPr>
              <w:t>December</w:t>
            </w:r>
            <w:r w:rsidR="00AC2673">
              <w:rPr>
                <w:b/>
                <w:sz w:val="18"/>
                <w:szCs w:val="18"/>
              </w:rPr>
              <w:t xml:space="preserve"> 31, </w:t>
            </w:r>
            <w:r w:rsidR="00AC2673" w:rsidRPr="0013526B">
              <w:rPr>
                <w:b/>
                <w:sz w:val="18"/>
                <w:szCs w:val="18"/>
              </w:rPr>
              <w:t>201</w:t>
            </w:r>
            <w:r w:rsidR="00AC2673">
              <w:rPr>
                <w:b/>
                <w:sz w:val="18"/>
                <w:szCs w:val="18"/>
              </w:rPr>
              <w:t>9</w:t>
            </w:r>
          </w:p>
        </w:tc>
        <w:tc>
          <w:tcPr>
            <w:tcW w:w="2874" w:type="dxa"/>
            <w:shd w:val="clear" w:color="auto" w:fill="auto"/>
          </w:tcPr>
          <w:p w14:paraId="22537AF7" w14:textId="77777777" w:rsidR="00AC2673" w:rsidRPr="0013526B" w:rsidRDefault="00AC2673" w:rsidP="00AC2673">
            <w:pPr>
              <w:jc w:val="both"/>
              <w:rPr>
                <w:sz w:val="18"/>
                <w:szCs w:val="18"/>
              </w:rPr>
            </w:pPr>
          </w:p>
        </w:tc>
      </w:tr>
      <w:tr w:rsidR="002712E7" w:rsidRPr="0013526B" w14:paraId="6EE70C30" w14:textId="77777777" w:rsidTr="00AC2673">
        <w:tc>
          <w:tcPr>
            <w:tcW w:w="2874" w:type="dxa"/>
            <w:shd w:val="clear" w:color="auto" w:fill="auto"/>
          </w:tcPr>
          <w:p w14:paraId="78FEFB82" w14:textId="77777777" w:rsidR="002712E7" w:rsidRPr="0013526B" w:rsidRDefault="002712E7" w:rsidP="0013526B">
            <w:pPr>
              <w:jc w:val="both"/>
              <w:rPr>
                <w:sz w:val="14"/>
                <w:szCs w:val="18"/>
              </w:rPr>
            </w:pPr>
          </w:p>
        </w:tc>
        <w:tc>
          <w:tcPr>
            <w:tcW w:w="1667" w:type="dxa"/>
            <w:tcBorders>
              <w:top w:val="single" w:sz="4" w:space="0" w:color="auto"/>
            </w:tcBorders>
            <w:shd w:val="clear" w:color="auto" w:fill="auto"/>
            <w:vAlign w:val="bottom"/>
          </w:tcPr>
          <w:p w14:paraId="69039E23" w14:textId="77777777" w:rsidR="002712E7" w:rsidRPr="0013526B" w:rsidRDefault="002712E7" w:rsidP="0013526B">
            <w:pPr>
              <w:jc w:val="right"/>
              <w:rPr>
                <w:b/>
                <w:sz w:val="14"/>
                <w:szCs w:val="18"/>
              </w:rPr>
            </w:pPr>
          </w:p>
        </w:tc>
        <w:tc>
          <w:tcPr>
            <w:tcW w:w="115" w:type="dxa"/>
            <w:shd w:val="clear" w:color="auto" w:fill="auto"/>
            <w:vAlign w:val="bottom"/>
          </w:tcPr>
          <w:p w14:paraId="4AD6A4EB" w14:textId="77777777" w:rsidR="002712E7" w:rsidRPr="0013526B" w:rsidRDefault="002712E7" w:rsidP="0013526B">
            <w:pPr>
              <w:jc w:val="right"/>
              <w:rPr>
                <w:b/>
                <w:sz w:val="14"/>
                <w:szCs w:val="18"/>
              </w:rPr>
            </w:pPr>
          </w:p>
        </w:tc>
        <w:tc>
          <w:tcPr>
            <w:tcW w:w="1667" w:type="dxa"/>
            <w:tcBorders>
              <w:top w:val="single" w:sz="4" w:space="0" w:color="auto"/>
            </w:tcBorders>
            <w:shd w:val="clear" w:color="auto" w:fill="auto"/>
            <w:vAlign w:val="bottom"/>
          </w:tcPr>
          <w:p w14:paraId="27819D0B" w14:textId="77777777" w:rsidR="002712E7" w:rsidRPr="0013526B" w:rsidRDefault="002712E7" w:rsidP="0013526B">
            <w:pPr>
              <w:jc w:val="right"/>
              <w:rPr>
                <w:b/>
                <w:sz w:val="14"/>
                <w:szCs w:val="18"/>
              </w:rPr>
            </w:pPr>
          </w:p>
        </w:tc>
        <w:tc>
          <w:tcPr>
            <w:tcW w:w="2874" w:type="dxa"/>
            <w:shd w:val="clear" w:color="auto" w:fill="auto"/>
          </w:tcPr>
          <w:p w14:paraId="32728863" w14:textId="77777777" w:rsidR="002712E7" w:rsidRPr="0013526B" w:rsidRDefault="002712E7" w:rsidP="0013526B">
            <w:pPr>
              <w:jc w:val="both"/>
              <w:rPr>
                <w:sz w:val="14"/>
                <w:szCs w:val="18"/>
              </w:rPr>
            </w:pPr>
          </w:p>
        </w:tc>
      </w:tr>
      <w:tr w:rsidR="009215C0" w:rsidRPr="0013526B" w14:paraId="4AD23ACA" w14:textId="77777777" w:rsidTr="00AC2673">
        <w:trPr>
          <w:trHeight w:val="249"/>
        </w:trPr>
        <w:tc>
          <w:tcPr>
            <w:tcW w:w="2874" w:type="dxa"/>
            <w:shd w:val="clear" w:color="auto" w:fill="auto"/>
            <w:vAlign w:val="bottom"/>
          </w:tcPr>
          <w:p w14:paraId="30CB7F8E" w14:textId="23A3317B" w:rsidR="009215C0" w:rsidRPr="0013526B" w:rsidRDefault="009215C0" w:rsidP="001445AB">
            <w:pPr>
              <w:pStyle w:val="ListParagraph"/>
              <w:ind w:left="442"/>
              <w:jc w:val="both"/>
              <w:rPr>
                <w:sz w:val="18"/>
                <w:szCs w:val="18"/>
              </w:rPr>
            </w:pPr>
            <w:r w:rsidRPr="0013526B">
              <w:rPr>
                <w:sz w:val="18"/>
                <w:szCs w:val="18"/>
              </w:rPr>
              <w:t xml:space="preserve">Beban </w:t>
            </w:r>
            <w:r w:rsidR="00D9728F">
              <w:rPr>
                <w:sz w:val="18"/>
                <w:szCs w:val="18"/>
              </w:rPr>
              <w:t xml:space="preserve">langsung </w:t>
            </w:r>
          </w:p>
        </w:tc>
        <w:tc>
          <w:tcPr>
            <w:tcW w:w="1667" w:type="dxa"/>
            <w:shd w:val="clear" w:color="auto" w:fill="auto"/>
            <w:vAlign w:val="bottom"/>
          </w:tcPr>
          <w:p w14:paraId="09E936A4" w14:textId="2B01D892" w:rsidR="009215C0" w:rsidRPr="00864AB7" w:rsidRDefault="00305CA0" w:rsidP="0013526B">
            <w:pPr>
              <w:ind w:right="57"/>
              <w:jc w:val="right"/>
              <w:rPr>
                <w:sz w:val="18"/>
                <w:szCs w:val="18"/>
              </w:rPr>
            </w:pPr>
            <w:r w:rsidRPr="00864AB7">
              <w:rPr>
                <w:sz w:val="18"/>
                <w:szCs w:val="18"/>
              </w:rPr>
              <w:t>16.793.237.095</w:t>
            </w:r>
          </w:p>
        </w:tc>
        <w:tc>
          <w:tcPr>
            <w:tcW w:w="115" w:type="dxa"/>
            <w:shd w:val="clear" w:color="auto" w:fill="auto"/>
            <w:vAlign w:val="bottom"/>
          </w:tcPr>
          <w:p w14:paraId="52E1F311" w14:textId="77777777" w:rsidR="009215C0" w:rsidRPr="0013526B" w:rsidRDefault="009215C0" w:rsidP="0013526B">
            <w:pPr>
              <w:ind w:right="57"/>
              <w:jc w:val="right"/>
              <w:rPr>
                <w:sz w:val="18"/>
                <w:szCs w:val="18"/>
              </w:rPr>
            </w:pPr>
          </w:p>
        </w:tc>
        <w:tc>
          <w:tcPr>
            <w:tcW w:w="1667" w:type="dxa"/>
            <w:shd w:val="clear" w:color="auto" w:fill="auto"/>
            <w:vAlign w:val="bottom"/>
          </w:tcPr>
          <w:p w14:paraId="4136A393" w14:textId="1399F001" w:rsidR="009215C0" w:rsidRPr="002C228D" w:rsidRDefault="003734F4" w:rsidP="0013526B">
            <w:pPr>
              <w:ind w:right="57"/>
              <w:jc w:val="right"/>
              <w:rPr>
                <w:sz w:val="18"/>
                <w:szCs w:val="18"/>
              </w:rPr>
            </w:pPr>
            <w:r>
              <w:rPr>
                <w:sz w:val="18"/>
                <w:szCs w:val="18"/>
              </w:rPr>
              <w:t>59.168.474.329</w:t>
            </w:r>
          </w:p>
        </w:tc>
        <w:tc>
          <w:tcPr>
            <w:tcW w:w="2874" w:type="dxa"/>
            <w:shd w:val="clear" w:color="auto" w:fill="auto"/>
            <w:vAlign w:val="bottom"/>
          </w:tcPr>
          <w:p w14:paraId="682E146B" w14:textId="492E9EDD" w:rsidR="009215C0" w:rsidRPr="0013526B" w:rsidRDefault="00D9728F" w:rsidP="0013526B">
            <w:pPr>
              <w:ind w:right="57"/>
              <w:jc w:val="right"/>
              <w:rPr>
                <w:i/>
                <w:sz w:val="18"/>
                <w:szCs w:val="18"/>
              </w:rPr>
            </w:pPr>
            <w:r>
              <w:rPr>
                <w:i/>
                <w:sz w:val="18"/>
                <w:szCs w:val="18"/>
              </w:rPr>
              <w:t>Direct cost</w:t>
            </w:r>
          </w:p>
        </w:tc>
      </w:tr>
      <w:tr w:rsidR="009215C0" w:rsidRPr="0013526B" w14:paraId="724D2352" w14:textId="77777777" w:rsidTr="00AC2673">
        <w:tc>
          <w:tcPr>
            <w:tcW w:w="2874" w:type="dxa"/>
            <w:shd w:val="clear" w:color="auto" w:fill="auto"/>
            <w:vAlign w:val="bottom"/>
          </w:tcPr>
          <w:p w14:paraId="732C42F7" w14:textId="77777777" w:rsidR="009215C0" w:rsidRPr="0013526B" w:rsidRDefault="009215C0" w:rsidP="001445AB">
            <w:pPr>
              <w:pStyle w:val="ListParagraph"/>
              <w:ind w:left="442"/>
              <w:jc w:val="both"/>
              <w:rPr>
                <w:sz w:val="18"/>
                <w:szCs w:val="18"/>
              </w:rPr>
            </w:pPr>
            <w:r w:rsidRPr="0013526B">
              <w:rPr>
                <w:sz w:val="18"/>
                <w:szCs w:val="18"/>
              </w:rPr>
              <w:t>Beban umum dan administrasi</w:t>
            </w:r>
          </w:p>
        </w:tc>
        <w:tc>
          <w:tcPr>
            <w:tcW w:w="1667" w:type="dxa"/>
            <w:tcBorders>
              <w:bottom w:val="single" w:sz="4" w:space="0" w:color="auto"/>
            </w:tcBorders>
            <w:shd w:val="clear" w:color="auto" w:fill="auto"/>
            <w:vAlign w:val="bottom"/>
          </w:tcPr>
          <w:p w14:paraId="0411EB81" w14:textId="041A9C8F" w:rsidR="009215C0" w:rsidRPr="00864AB7" w:rsidRDefault="00864AB7" w:rsidP="0013526B">
            <w:pPr>
              <w:ind w:right="57"/>
              <w:jc w:val="right"/>
              <w:rPr>
                <w:sz w:val="18"/>
                <w:szCs w:val="18"/>
              </w:rPr>
            </w:pPr>
            <w:r w:rsidRPr="00864AB7">
              <w:rPr>
                <w:sz w:val="18"/>
                <w:szCs w:val="18"/>
              </w:rPr>
              <w:t>9.637.824.754</w:t>
            </w:r>
          </w:p>
        </w:tc>
        <w:tc>
          <w:tcPr>
            <w:tcW w:w="115" w:type="dxa"/>
            <w:shd w:val="clear" w:color="auto" w:fill="auto"/>
            <w:vAlign w:val="bottom"/>
          </w:tcPr>
          <w:p w14:paraId="3E846B63" w14:textId="77777777" w:rsidR="009215C0" w:rsidRPr="0013526B" w:rsidRDefault="009215C0" w:rsidP="0013526B">
            <w:pPr>
              <w:ind w:right="57"/>
              <w:jc w:val="right"/>
              <w:rPr>
                <w:sz w:val="18"/>
                <w:szCs w:val="18"/>
              </w:rPr>
            </w:pPr>
          </w:p>
        </w:tc>
        <w:tc>
          <w:tcPr>
            <w:tcW w:w="1667" w:type="dxa"/>
            <w:tcBorders>
              <w:bottom w:val="single" w:sz="4" w:space="0" w:color="auto"/>
            </w:tcBorders>
            <w:shd w:val="clear" w:color="auto" w:fill="auto"/>
            <w:vAlign w:val="bottom"/>
          </w:tcPr>
          <w:p w14:paraId="79187F4A" w14:textId="49098396" w:rsidR="009215C0" w:rsidRPr="002C228D" w:rsidRDefault="003734F4" w:rsidP="0013526B">
            <w:pPr>
              <w:ind w:right="57"/>
              <w:jc w:val="right"/>
              <w:rPr>
                <w:sz w:val="18"/>
                <w:szCs w:val="18"/>
              </w:rPr>
            </w:pPr>
            <w:r>
              <w:rPr>
                <w:sz w:val="18"/>
                <w:szCs w:val="18"/>
              </w:rPr>
              <w:t>16.542.568.037</w:t>
            </w:r>
          </w:p>
        </w:tc>
        <w:tc>
          <w:tcPr>
            <w:tcW w:w="2874" w:type="dxa"/>
            <w:shd w:val="clear" w:color="auto" w:fill="auto"/>
          </w:tcPr>
          <w:p w14:paraId="3BD84147" w14:textId="77777777" w:rsidR="009215C0" w:rsidRPr="0013526B" w:rsidRDefault="009215C0" w:rsidP="0013526B">
            <w:pPr>
              <w:ind w:right="57"/>
              <w:jc w:val="right"/>
              <w:rPr>
                <w:i/>
                <w:sz w:val="18"/>
                <w:szCs w:val="18"/>
              </w:rPr>
            </w:pPr>
            <w:r w:rsidRPr="0013526B">
              <w:rPr>
                <w:i/>
                <w:sz w:val="18"/>
                <w:szCs w:val="18"/>
              </w:rPr>
              <w:t>General and administrative expenses</w:t>
            </w:r>
          </w:p>
        </w:tc>
      </w:tr>
      <w:tr w:rsidR="009215C0" w:rsidRPr="0013526B" w14:paraId="3F437B05" w14:textId="77777777" w:rsidTr="00AC2673">
        <w:tc>
          <w:tcPr>
            <w:tcW w:w="2874" w:type="dxa"/>
            <w:shd w:val="clear" w:color="auto" w:fill="auto"/>
          </w:tcPr>
          <w:p w14:paraId="1450FB86" w14:textId="77777777" w:rsidR="009215C0" w:rsidRPr="0013526B" w:rsidRDefault="009215C0" w:rsidP="001445AB">
            <w:pPr>
              <w:ind w:left="442"/>
              <w:jc w:val="both"/>
              <w:rPr>
                <w:sz w:val="14"/>
                <w:szCs w:val="18"/>
              </w:rPr>
            </w:pPr>
          </w:p>
        </w:tc>
        <w:tc>
          <w:tcPr>
            <w:tcW w:w="1667" w:type="dxa"/>
            <w:tcBorders>
              <w:top w:val="single" w:sz="4" w:space="0" w:color="auto"/>
            </w:tcBorders>
            <w:shd w:val="clear" w:color="auto" w:fill="auto"/>
            <w:vAlign w:val="bottom"/>
          </w:tcPr>
          <w:p w14:paraId="01CE0B8A" w14:textId="77777777" w:rsidR="009215C0" w:rsidRPr="00864AB7" w:rsidRDefault="009215C0" w:rsidP="0013526B">
            <w:pPr>
              <w:ind w:right="57"/>
              <w:jc w:val="right"/>
              <w:rPr>
                <w:sz w:val="14"/>
                <w:szCs w:val="18"/>
              </w:rPr>
            </w:pPr>
          </w:p>
        </w:tc>
        <w:tc>
          <w:tcPr>
            <w:tcW w:w="115" w:type="dxa"/>
            <w:shd w:val="clear" w:color="auto" w:fill="auto"/>
            <w:vAlign w:val="bottom"/>
          </w:tcPr>
          <w:p w14:paraId="589D6806" w14:textId="77777777" w:rsidR="009215C0" w:rsidRPr="0013526B" w:rsidRDefault="009215C0" w:rsidP="0013526B">
            <w:pPr>
              <w:ind w:right="57"/>
              <w:jc w:val="right"/>
              <w:rPr>
                <w:sz w:val="14"/>
                <w:szCs w:val="18"/>
              </w:rPr>
            </w:pPr>
          </w:p>
        </w:tc>
        <w:tc>
          <w:tcPr>
            <w:tcW w:w="1667" w:type="dxa"/>
            <w:tcBorders>
              <w:top w:val="single" w:sz="4" w:space="0" w:color="auto"/>
            </w:tcBorders>
            <w:shd w:val="clear" w:color="auto" w:fill="auto"/>
            <w:vAlign w:val="bottom"/>
          </w:tcPr>
          <w:p w14:paraId="29ACA58B" w14:textId="77777777" w:rsidR="009215C0" w:rsidRPr="002C228D" w:rsidRDefault="009215C0" w:rsidP="0013526B">
            <w:pPr>
              <w:ind w:right="57"/>
              <w:jc w:val="right"/>
              <w:rPr>
                <w:sz w:val="14"/>
                <w:szCs w:val="18"/>
              </w:rPr>
            </w:pPr>
          </w:p>
        </w:tc>
        <w:tc>
          <w:tcPr>
            <w:tcW w:w="2874" w:type="dxa"/>
            <w:shd w:val="clear" w:color="auto" w:fill="auto"/>
          </w:tcPr>
          <w:p w14:paraId="5F579D89" w14:textId="77777777" w:rsidR="009215C0" w:rsidRPr="0013526B" w:rsidRDefault="009215C0" w:rsidP="0013526B">
            <w:pPr>
              <w:ind w:right="57"/>
              <w:jc w:val="right"/>
              <w:rPr>
                <w:i/>
                <w:sz w:val="14"/>
                <w:szCs w:val="18"/>
              </w:rPr>
            </w:pPr>
          </w:p>
        </w:tc>
      </w:tr>
      <w:tr w:rsidR="009215C0" w:rsidRPr="0013526B" w14:paraId="1DD3934F" w14:textId="77777777" w:rsidTr="00AC2673">
        <w:tc>
          <w:tcPr>
            <w:tcW w:w="2874" w:type="dxa"/>
            <w:shd w:val="clear" w:color="auto" w:fill="auto"/>
          </w:tcPr>
          <w:p w14:paraId="1AD33806" w14:textId="77777777" w:rsidR="009215C0" w:rsidRPr="0013526B" w:rsidRDefault="009215C0" w:rsidP="001445AB">
            <w:pPr>
              <w:ind w:left="442"/>
              <w:jc w:val="both"/>
              <w:rPr>
                <w:sz w:val="18"/>
                <w:szCs w:val="18"/>
              </w:rPr>
            </w:pPr>
            <w:r w:rsidRPr="0013526B">
              <w:rPr>
                <w:b/>
                <w:sz w:val="18"/>
                <w:szCs w:val="18"/>
              </w:rPr>
              <w:t>Jumlah</w:t>
            </w:r>
          </w:p>
        </w:tc>
        <w:tc>
          <w:tcPr>
            <w:tcW w:w="1667" w:type="dxa"/>
            <w:tcBorders>
              <w:bottom w:val="double" w:sz="4" w:space="0" w:color="auto"/>
            </w:tcBorders>
            <w:shd w:val="clear" w:color="auto" w:fill="auto"/>
            <w:vAlign w:val="bottom"/>
          </w:tcPr>
          <w:p w14:paraId="3419036A" w14:textId="3E8C0BD0" w:rsidR="009215C0" w:rsidRPr="00864AB7" w:rsidRDefault="00864AB7" w:rsidP="00D2501E">
            <w:pPr>
              <w:ind w:right="57"/>
              <w:jc w:val="right"/>
              <w:rPr>
                <w:b/>
                <w:bCs w:val="0"/>
                <w:sz w:val="18"/>
                <w:szCs w:val="18"/>
              </w:rPr>
            </w:pPr>
            <w:r w:rsidRPr="00864AB7">
              <w:rPr>
                <w:b/>
                <w:bCs w:val="0"/>
                <w:sz w:val="18"/>
                <w:szCs w:val="18"/>
              </w:rPr>
              <w:t>26.431.061.849</w:t>
            </w:r>
          </w:p>
        </w:tc>
        <w:tc>
          <w:tcPr>
            <w:tcW w:w="115" w:type="dxa"/>
            <w:shd w:val="clear" w:color="auto" w:fill="auto"/>
            <w:vAlign w:val="bottom"/>
          </w:tcPr>
          <w:p w14:paraId="3EA4CD0E" w14:textId="77777777" w:rsidR="009215C0" w:rsidRPr="0013526B" w:rsidRDefault="009215C0" w:rsidP="0013526B">
            <w:pPr>
              <w:ind w:right="57"/>
              <w:jc w:val="right"/>
              <w:rPr>
                <w:b/>
                <w:sz w:val="18"/>
                <w:szCs w:val="18"/>
              </w:rPr>
            </w:pPr>
          </w:p>
        </w:tc>
        <w:tc>
          <w:tcPr>
            <w:tcW w:w="1667" w:type="dxa"/>
            <w:tcBorders>
              <w:bottom w:val="double" w:sz="4" w:space="0" w:color="auto"/>
            </w:tcBorders>
            <w:shd w:val="clear" w:color="auto" w:fill="auto"/>
            <w:vAlign w:val="bottom"/>
          </w:tcPr>
          <w:p w14:paraId="535B59DE" w14:textId="4DE8AB4A" w:rsidR="009215C0" w:rsidRPr="002C228D" w:rsidRDefault="003734F4" w:rsidP="0013526B">
            <w:pPr>
              <w:ind w:right="57"/>
              <w:jc w:val="right"/>
              <w:rPr>
                <w:b/>
                <w:sz w:val="18"/>
                <w:szCs w:val="18"/>
              </w:rPr>
            </w:pPr>
            <w:r>
              <w:rPr>
                <w:b/>
                <w:sz w:val="18"/>
                <w:szCs w:val="18"/>
              </w:rPr>
              <w:t>75.711.042.366</w:t>
            </w:r>
          </w:p>
        </w:tc>
        <w:tc>
          <w:tcPr>
            <w:tcW w:w="2874" w:type="dxa"/>
            <w:shd w:val="clear" w:color="auto" w:fill="auto"/>
          </w:tcPr>
          <w:p w14:paraId="729373EF" w14:textId="77777777" w:rsidR="009215C0" w:rsidRPr="0013526B" w:rsidRDefault="009215C0" w:rsidP="0013526B">
            <w:pPr>
              <w:ind w:right="57"/>
              <w:jc w:val="right"/>
              <w:rPr>
                <w:i/>
                <w:sz w:val="18"/>
                <w:szCs w:val="18"/>
              </w:rPr>
            </w:pPr>
            <w:r w:rsidRPr="0013526B">
              <w:rPr>
                <w:b/>
                <w:i/>
                <w:sz w:val="18"/>
                <w:szCs w:val="18"/>
              </w:rPr>
              <w:t>Total</w:t>
            </w:r>
          </w:p>
        </w:tc>
      </w:tr>
    </w:tbl>
    <w:p w14:paraId="58C6FE5C" w14:textId="17142A95" w:rsidR="00F2676F" w:rsidRDefault="00F2676F" w:rsidP="0013526B">
      <w:pPr>
        <w:rPr>
          <w:sz w:val="12"/>
          <w:szCs w:val="18"/>
        </w:rPr>
      </w:pPr>
    </w:p>
    <w:p w14:paraId="7BB24B2D" w14:textId="77777777" w:rsidR="003734F4" w:rsidRPr="0013526B" w:rsidRDefault="003734F4" w:rsidP="0013526B">
      <w:pPr>
        <w:rPr>
          <w:sz w:val="12"/>
          <w:szCs w:val="18"/>
        </w:rPr>
      </w:pPr>
    </w:p>
    <w:p w14:paraId="74537F8D" w14:textId="275B7147" w:rsidR="00624BC8" w:rsidRDefault="00624BC8" w:rsidP="0013526B">
      <w:pPr>
        <w:ind w:left="567"/>
        <w:jc w:val="both"/>
        <w:rPr>
          <w:sz w:val="12"/>
          <w:szCs w:val="18"/>
        </w:rPr>
      </w:pPr>
    </w:p>
    <w:tbl>
      <w:tblPr>
        <w:tblW w:w="9197" w:type="dxa"/>
        <w:tblInd w:w="108" w:type="dxa"/>
        <w:tblLayout w:type="fixed"/>
        <w:tblLook w:val="0000" w:firstRow="0" w:lastRow="0" w:firstColumn="0" w:lastColumn="0" w:noHBand="0" w:noVBand="0"/>
      </w:tblPr>
      <w:tblGrid>
        <w:gridCol w:w="4598"/>
        <w:gridCol w:w="4599"/>
      </w:tblGrid>
      <w:tr w:rsidR="00624BC8" w:rsidRPr="0013526B" w14:paraId="076CCF25" w14:textId="77777777" w:rsidTr="004664E3">
        <w:tc>
          <w:tcPr>
            <w:tcW w:w="2500" w:type="pct"/>
            <w:tcBorders>
              <w:top w:val="nil"/>
              <w:left w:val="nil"/>
              <w:bottom w:val="nil"/>
              <w:right w:val="nil"/>
            </w:tcBorders>
          </w:tcPr>
          <w:p w14:paraId="679FAD53" w14:textId="1E0F1886" w:rsidR="00624BC8" w:rsidRPr="0013526B" w:rsidRDefault="00624BC8" w:rsidP="00070D1F">
            <w:pPr>
              <w:numPr>
                <w:ilvl w:val="0"/>
                <w:numId w:val="302"/>
              </w:numPr>
              <w:ind w:left="351" w:hanging="351"/>
              <w:jc w:val="both"/>
              <w:rPr>
                <w:b/>
                <w:sz w:val="18"/>
                <w:szCs w:val="18"/>
              </w:rPr>
            </w:pPr>
            <w:r w:rsidRPr="0013526B">
              <w:rPr>
                <w:b/>
                <w:sz w:val="18"/>
                <w:szCs w:val="18"/>
              </w:rPr>
              <w:lastRenderedPageBreak/>
              <w:t xml:space="preserve">ASET TETAP </w:t>
            </w:r>
            <w:r w:rsidR="005855B3">
              <w:rPr>
                <w:b/>
                <w:sz w:val="18"/>
                <w:szCs w:val="18"/>
                <w:lang w:val="en-ID"/>
              </w:rPr>
              <w:t>–</w:t>
            </w:r>
            <w:r w:rsidRPr="0013526B">
              <w:rPr>
                <w:b/>
                <w:sz w:val="18"/>
                <w:szCs w:val="18"/>
              </w:rPr>
              <w:t xml:space="preserve"> Lanjutan</w:t>
            </w:r>
          </w:p>
        </w:tc>
        <w:tc>
          <w:tcPr>
            <w:tcW w:w="2500" w:type="pct"/>
            <w:tcBorders>
              <w:top w:val="nil"/>
              <w:left w:val="nil"/>
              <w:bottom w:val="nil"/>
              <w:right w:val="nil"/>
            </w:tcBorders>
          </w:tcPr>
          <w:p w14:paraId="73C92A68" w14:textId="3784E775" w:rsidR="00624BC8" w:rsidRPr="0013526B" w:rsidRDefault="00904B52" w:rsidP="00070D1F">
            <w:pPr>
              <w:numPr>
                <w:ilvl w:val="0"/>
                <w:numId w:val="303"/>
              </w:numPr>
              <w:ind w:left="394" w:hanging="422"/>
              <w:jc w:val="both"/>
              <w:rPr>
                <w:b/>
                <w:i/>
                <w:sz w:val="18"/>
                <w:szCs w:val="18"/>
              </w:rPr>
            </w:pPr>
            <w:r w:rsidRPr="0013526B">
              <w:rPr>
                <w:b/>
                <w:i/>
                <w:sz w:val="18"/>
                <w:szCs w:val="18"/>
              </w:rPr>
              <w:t>PROPERTY AND EQUIPMENT</w:t>
            </w:r>
            <w:r>
              <w:rPr>
                <w:b/>
                <w:i/>
                <w:sz w:val="18"/>
                <w:szCs w:val="18"/>
              </w:rPr>
              <w:t xml:space="preserve"> -</w:t>
            </w:r>
            <w:r w:rsidRPr="0013526B">
              <w:rPr>
                <w:b/>
                <w:i/>
                <w:sz w:val="18"/>
                <w:szCs w:val="18"/>
              </w:rPr>
              <w:t xml:space="preserve"> Continued</w:t>
            </w:r>
          </w:p>
        </w:tc>
      </w:tr>
    </w:tbl>
    <w:p w14:paraId="58003433" w14:textId="6887B592" w:rsidR="00624BC8" w:rsidRDefault="00624BC8" w:rsidP="00800DAB">
      <w:pPr>
        <w:jc w:val="both"/>
        <w:rPr>
          <w:sz w:val="12"/>
          <w:szCs w:val="18"/>
        </w:rPr>
      </w:pPr>
    </w:p>
    <w:tbl>
      <w:tblPr>
        <w:tblW w:w="9197" w:type="dxa"/>
        <w:tblInd w:w="108" w:type="dxa"/>
        <w:tblLayout w:type="fixed"/>
        <w:tblLook w:val="0000" w:firstRow="0" w:lastRow="0" w:firstColumn="0" w:lastColumn="0" w:noHBand="0" w:noVBand="0"/>
      </w:tblPr>
      <w:tblGrid>
        <w:gridCol w:w="4598"/>
        <w:gridCol w:w="4599"/>
      </w:tblGrid>
      <w:tr w:rsidR="00E35A68" w:rsidRPr="0013526B" w14:paraId="45F1B191" w14:textId="77777777" w:rsidTr="005B33DF">
        <w:tc>
          <w:tcPr>
            <w:tcW w:w="4598" w:type="dxa"/>
            <w:tcBorders>
              <w:top w:val="nil"/>
              <w:left w:val="nil"/>
              <w:bottom w:val="nil"/>
              <w:right w:val="nil"/>
            </w:tcBorders>
            <w:shd w:val="clear" w:color="auto" w:fill="auto"/>
          </w:tcPr>
          <w:p w14:paraId="3F933F3A" w14:textId="77777777" w:rsidR="00E35A68" w:rsidRPr="0013526B" w:rsidRDefault="00E35A68" w:rsidP="00904B52">
            <w:pPr>
              <w:pStyle w:val="ListParagraph"/>
              <w:ind w:left="340"/>
              <w:jc w:val="both"/>
              <w:rPr>
                <w:sz w:val="18"/>
                <w:szCs w:val="18"/>
              </w:rPr>
            </w:pPr>
            <w:r w:rsidRPr="0013526B">
              <w:rPr>
                <w:sz w:val="18"/>
                <w:szCs w:val="18"/>
              </w:rPr>
              <w:t>Rincian penjualan aset tetap adalah sebagai berikut:</w:t>
            </w:r>
          </w:p>
        </w:tc>
        <w:tc>
          <w:tcPr>
            <w:tcW w:w="4598" w:type="dxa"/>
            <w:tcBorders>
              <w:top w:val="nil"/>
              <w:left w:val="nil"/>
              <w:bottom w:val="nil"/>
              <w:right w:val="nil"/>
            </w:tcBorders>
            <w:shd w:val="clear" w:color="auto" w:fill="auto"/>
          </w:tcPr>
          <w:p w14:paraId="0EED7016" w14:textId="77777777" w:rsidR="00E35A68" w:rsidRPr="0013526B" w:rsidRDefault="00E35A68" w:rsidP="00904B52">
            <w:pPr>
              <w:pStyle w:val="ListParagraph"/>
              <w:tabs>
                <w:tab w:val="right" w:pos="9340"/>
                <w:tab w:val="right" w:pos="10080"/>
              </w:tabs>
              <w:ind w:left="397"/>
              <w:jc w:val="both"/>
              <w:rPr>
                <w:i/>
                <w:sz w:val="18"/>
                <w:szCs w:val="18"/>
              </w:rPr>
            </w:pPr>
            <w:r w:rsidRPr="0013526B">
              <w:rPr>
                <w:i/>
                <w:sz w:val="18"/>
                <w:szCs w:val="18"/>
              </w:rPr>
              <w:t>The details of sales of property</w:t>
            </w:r>
            <w:r>
              <w:rPr>
                <w:i/>
                <w:sz w:val="18"/>
                <w:szCs w:val="18"/>
              </w:rPr>
              <w:t xml:space="preserve"> </w:t>
            </w:r>
            <w:r w:rsidRPr="0013526B">
              <w:rPr>
                <w:i/>
                <w:sz w:val="18"/>
                <w:szCs w:val="18"/>
              </w:rPr>
              <w:t>and equipment are as follows:</w:t>
            </w:r>
          </w:p>
        </w:tc>
      </w:tr>
    </w:tbl>
    <w:p w14:paraId="6435DCA5" w14:textId="77777777" w:rsidR="00E35A68" w:rsidRPr="0013526B" w:rsidRDefault="00E35A68" w:rsidP="00E35A68">
      <w:pPr>
        <w:ind w:left="567"/>
        <w:jc w:val="both"/>
        <w:rPr>
          <w:sz w:val="14"/>
          <w:szCs w:val="18"/>
        </w:rPr>
      </w:pPr>
    </w:p>
    <w:tbl>
      <w:tblPr>
        <w:tblW w:w="9197" w:type="dxa"/>
        <w:tblInd w:w="108" w:type="dxa"/>
        <w:tblCellMar>
          <w:left w:w="0" w:type="dxa"/>
          <w:right w:w="0" w:type="dxa"/>
        </w:tblCellMar>
        <w:tblLook w:val="04A0" w:firstRow="1" w:lastRow="0" w:firstColumn="1" w:lastColumn="0" w:noHBand="0" w:noVBand="1"/>
      </w:tblPr>
      <w:tblGrid>
        <w:gridCol w:w="2874"/>
        <w:gridCol w:w="1667"/>
        <w:gridCol w:w="115"/>
        <w:gridCol w:w="1667"/>
        <w:gridCol w:w="2874"/>
      </w:tblGrid>
      <w:tr w:rsidR="00E35A68" w:rsidRPr="0095400C" w14:paraId="74D90259" w14:textId="77777777" w:rsidTr="00D71B91">
        <w:trPr>
          <w:trHeight w:val="74"/>
        </w:trPr>
        <w:tc>
          <w:tcPr>
            <w:tcW w:w="2835" w:type="dxa"/>
            <w:shd w:val="clear" w:color="auto" w:fill="auto"/>
          </w:tcPr>
          <w:p w14:paraId="015E7F09" w14:textId="77777777" w:rsidR="00E35A68" w:rsidRPr="0013526B" w:rsidRDefault="00E35A68" w:rsidP="005B33DF">
            <w:pPr>
              <w:ind w:left="318" w:hanging="318"/>
              <w:jc w:val="both"/>
              <w:rPr>
                <w:sz w:val="18"/>
                <w:szCs w:val="18"/>
              </w:rPr>
            </w:pPr>
          </w:p>
        </w:tc>
        <w:tc>
          <w:tcPr>
            <w:tcW w:w="1644" w:type="dxa"/>
            <w:tcBorders>
              <w:bottom w:val="single" w:sz="4" w:space="0" w:color="auto"/>
            </w:tcBorders>
            <w:shd w:val="clear" w:color="auto" w:fill="auto"/>
          </w:tcPr>
          <w:p w14:paraId="1CC03F79" w14:textId="77777777" w:rsidR="003734F4" w:rsidRPr="00B1588E" w:rsidRDefault="003734F4" w:rsidP="005B33DF">
            <w:pPr>
              <w:jc w:val="center"/>
              <w:rPr>
                <w:b/>
                <w:sz w:val="18"/>
                <w:szCs w:val="18"/>
              </w:rPr>
            </w:pPr>
            <w:r w:rsidRPr="00B1588E">
              <w:rPr>
                <w:b/>
                <w:sz w:val="18"/>
                <w:szCs w:val="18"/>
              </w:rPr>
              <w:t>31 Maret/</w:t>
            </w:r>
          </w:p>
          <w:p w14:paraId="213C2EA0" w14:textId="3809398D" w:rsidR="00E35A68" w:rsidRPr="00B1588E" w:rsidRDefault="003734F4" w:rsidP="003734F4">
            <w:pPr>
              <w:jc w:val="center"/>
              <w:rPr>
                <w:b/>
                <w:sz w:val="18"/>
                <w:szCs w:val="18"/>
              </w:rPr>
            </w:pPr>
            <w:r w:rsidRPr="00B1588E">
              <w:rPr>
                <w:b/>
                <w:sz w:val="18"/>
                <w:szCs w:val="18"/>
              </w:rPr>
              <w:t>March 31, 2020</w:t>
            </w:r>
          </w:p>
        </w:tc>
        <w:tc>
          <w:tcPr>
            <w:tcW w:w="113" w:type="dxa"/>
            <w:shd w:val="clear" w:color="auto" w:fill="auto"/>
          </w:tcPr>
          <w:p w14:paraId="1CD56601" w14:textId="77777777" w:rsidR="00E35A68" w:rsidRPr="00B1588E" w:rsidRDefault="00E35A68" w:rsidP="005B33DF">
            <w:pPr>
              <w:jc w:val="both"/>
              <w:rPr>
                <w:b/>
                <w:sz w:val="18"/>
                <w:szCs w:val="18"/>
              </w:rPr>
            </w:pPr>
          </w:p>
        </w:tc>
        <w:tc>
          <w:tcPr>
            <w:tcW w:w="1644" w:type="dxa"/>
            <w:tcBorders>
              <w:bottom w:val="single" w:sz="4" w:space="0" w:color="auto"/>
            </w:tcBorders>
            <w:shd w:val="clear" w:color="auto" w:fill="auto"/>
          </w:tcPr>
          <w:p w14:paraId="517DE826" w14:textId="77777777" w:rsidR="00E35A68" w:rsidRPr="00B1588E" w:rsidRDefault="003734F4" w:rsidP="005B33DF">
            <w:pPr>
              <w:jc w:val="center"/>
              <w:rPr>
                <w:b/>
                <w:sz w:val="18"/>
                <w:szCs w:val="18"/>
              </w:rPr>
            </w:pPr>
            <w:r w:rsidRPr="00B1588E">
              <w:rPr>
                <w:b/>
                <w:sz w:val="18"/>
                <w:szCs w:val="18"/>
              </w:rPr>
              <w:t>31 Desember/</w:t>
            </w:r>
          </w:p>
          <w:p w14:paraId="41B6E3FB" w14:textId="420EC538" w:rsidR="003734F4" w:rsidRPr="00B1588E" w:rsidRDefault="003734F4" w:rsidP="005B33DF">
            <w:pPr>
              <w:jc w:val="center"/>
              <w:rPr>
                <w:b/>
                <w:sz w:val="18"/>
                <w:szCs w:val="18"/>
              </w:rPr>
            </w:pPr>
            <w:r w:rsidRPr="00B1588E">
              <w:rPr>
                <w:b/>
                <w:sz w:val="18"/>
                <w:szCs w:val="18"/>
              </w:rPr>
              <w:t>December 31, 2019</w:t>
            </w:r>
          </w:p>
        </w:tc>
        <w:tc>
          <w:tcPr>
            <w:tcW w:w="2835" w:type="dxa"/>
            <w:shd w:val="clear" w:color="auto" w:fill="auto"/>
          </w:tcPr>
          <w:p w14:paraId="2054EB71" w14:textId="77777777" w:rsidR="00E35A68" w:rsidRPr="00B1588E" w:rsidRDefault="00E35A68" w:rsidP="005B33DF">
            <w:pPr>
              <w:jc w:val="both"/>
              <w:rPr>
                <w:sz w:val="18"/>
                <w:szCs w:val="18"/>
              </w:rPr>
            </w:pPr>
          </w:p>
        </w:tc>
      </w:tr>
      <w:tr w:rsidR="00E35A68" w:rsidRPr="0095400C" w14:paraId="15E9F780" w14:textId="77777777" w:rsidTr="00D71B91">
        <w:trPr>
          <w:trHeight w:val="74"/>
        </w:trPr>
        <w:tc>
          <w:tcPr>
            <w:tcW w:w="2835" w:type="dxa"/>
            <w:shd w:val="clear" w:color="auto" w:fill="auto"/>
          </w:tcPr>
          <w:p w14:paraId="443C084B" w14:textId="77777777" w:rsidR="00E35A68" w:rsidRPr="0095400C" w:rsidRDefault="00E35A68" w:rsidP="005B33DF">
            <w:pPr>
              <w:jc w:val="both"/>
              <w:rPr>
                <w:sz w:val="8"/>
                <w:szCs w:val="8"/>
                <w:highlight w:val="yellow"/>
              </w:rPr>
            </w:pPr>
          </w:p>
        </w:tc>
        <w:tc>
          <w:tcPr>
            <w:tcW w:w="1644" w:type="dxa"/>
            <w:shd w:val="clear" w:color="auto" w:fill="auto"/>
            <w:vAlign w:val="bottom"/>
          </w:tcPr>
          <w:p w14:paraId="4E16F7BE" w14:textId="77777777" w:rsidR="00E35A68" w:rsidRPr="00B1588E" w:rsidRDefault="00E35A68" w:rsidP="005B33DF">
            <w:pPr>
              <w:jc w:val="right"/>
              <w:rPr>
                <w:b/>
                <w:sz w:val="8"/>
                <w:szCs w:val="8"/>
              </w:rPr>
            </w:pPr>
          </w:p>
        </w:tc>
        <w:tc>
          <w:tcPr>
            <w:tcW w:w="113" w:type="dxa"/>
            <w:shd w:val="clear" w:color="auto" w:fill="auto"/>
            <w:vAlign w:val="bottom"/>
          </w:tcPr>
          <w:p w14:paraId="622B0D56" w14:textId="77777777" w:rsidR="00E35A68" w:rsidRPr="00B1588E" w:rsidRDefault="00E35A68" w:rsidP="005B33DF">
            <w:pPr>
              <w:jc w:val="right"/>
              <w:rPr>
                <w:b/>
                <w:sz w:val="8"/>
                <w:szCs w:val="8"/>
              </w:rPr>
            </w:pPr>
          </w:p>
        </w:tc>
        <w:tc>
          <w:tcPr>
            <w:tcW w:w="1644" w:type="dxa"/>
            <w:shd w:val="clear" w:color="auto" w:fill="auto"/>
            <w:vAlign w:val="bottom"/>
          </w:tcPr>
          <w:p w14:paraId="28AB89DD" w14:textId="77777777" w:rsidR="00E35A68" w:rsidRPr="00B1588E" w:rsidRDefault="00E35A68" w:rsidP="005B33DF">
            <w:pPr>
              <w:jc w:val="right"/>
              <w:rPr>
                <w:b/>
                <w:sz w:val="8"/>
                <w:szCs w:val="8"/>
              </w:rPr>
            </w:pPr>
          </w:p>
        </w:tc>
        <w:tc>
          <w:tcPr>
            <w:tcW w:w="2835" w:type="dxa"/>
            <w:shd w:val="clear" w:color="auto" w:fill="auto"/>
          </w:tcPr>
          <w:p w14:paraId="57D4B328" w14:textId="77777777" w:rsidR="00E35A68" w:rsidRPr="00B1588E" w:rsidRDefault="00E35A68" w:rsidP="005B33DF">
            <w:pPr>
              <w:jc w:val="both"/>
              <w:rPr>
                <w:sz w:val="8"/>
                <w:szCs w:val="8"/>
              </w:rPr>
            </w:pPr>
          </w:p>
        </w:tc>
      </w:tr>
      <w:tr w:rsidR="00E35A68" w:rsidRPr="0095400C" w14:paraId="42288E31" w14:textId="77777777" w:rsidTr="00D71B91">
        <w:tc>
          <w:tcPr>
            <w:tcW w:w="2835" w:type="dxa"/>
            <w:shd w:val="clear" w:color="auto" w:fill="auto"/>
          </w:tcPr>
          <w:p w14:paraId="4BC8A78A" w14:textId="77777777" w:rsidR="00E35A68" w:rsidRPr="00B1588E" w:rsidRDefault="00E35A68" w:rsidP="005B33DF">
            <w:pPr>
              <w:pStyle w:val="ListParagraph"/>
              <w:ind w:left="444"/>
              <w:jc w:val="both"/>
              <w:rPr>
                <w:sz w:val="18"/>
                <w:szCs w:val="18"/>
              </w:rPr>
            </w:pPr>
            <w:r w:rsidRPr="00B1588E">
              <w:rPr>
                <w:sz w:val="18"/>
                <w:szCs w:val="18"/>
              </w:rPr>
              <w:t>Harga tercatat</w:t>
            </w:r>
          </w:p>
        </w:tc>
        <w:tc>
          <w:tcPr>
            <w:tcW w:w="1644" w:type="dxa"/>
            <w:shd w:val="clear" w:color="auto" w:fill="auto"/>
            <w:vAlign w:val="bottom"/>
          </w:tcPr>
          <w:p w14:paraId="6BD04241" w14:textId="4F5E7500" w:rsidR="00E35A68" w:rsidRPr="00B1588E" w:rsidRDefault="00305CA0" w:rsidP="005B33DF">
            <w:pPr>
              <w:ind w:right="57"/>
              <w:jc w:val="right"/>
              <w:rPr>
                <w:sz w:val="18"/>
                <w:szCs w:val="18"/>
              </w:rPr>
            </w:pPr>
            <w:r w:rsidRPr="00B1588E">
              <w:rPr>
                <w:sz w:val="18"/>
                <w:szCs w:val="18"/>
              </w:rPr>
              <w:t>-</w:t>
            </w:r>
          </w:p>
        </w:tc>
        <w:tc>
          <w:tcPr>
            <w:tcW w:w="113" w:type="dxa"/>
            <w:shd w:val="clear" w:color="auto" w:fill="auto"/>
            <w:vAlign w:val="bottom"/>
          </w:tcPr>
          <w:p w14:paraId="2F8AB1BF" w14:textId="77777777" w:rsidR="00E35A68" w:rsidRPr="00B1588E" w:rsidRDefault="00E35A68" w:rsidP="005B33DF">
            <w:pPr>
              <w:ind w:right="57"/>
              <w:jc w:val="right"/>
              <w:rPr>
                <w:sz w:val="18"/>
                <w:szCs w:val="18"/>
              </w:rPr>
            </w:pPr>
          </w:p>
        </w:tc>
        <w:tc>
          <w:tcPr>
            <w:tcW w:w="1644" w:type="dxa"/>
            <w:shd w:val="clear" w:color="auto" w:fill="auto"/>
            <w:vAlign w:val="bottom"/>
          </w:tcPr>
          <w:p w14:paraId="76D1C938" w14:textId="6A805031" w:rsidR="00E35A68" w:rsidRPr="00B1588E" w:rsidRDefault="00E35A68" w:rsidP="005B33DF">
            <w:pPr>
              <w:ind w:right="57"/>
              <w:jc w:val="right"/>
              <w:rPr>
                <w:sz w:val="18"/>
                <w:szCs w:val="18"/>
              </w:rPr>
            </w:pPr>
            <w:r w:rsidRPr="00B1588E">
              <w:rPr>
                <w:sz w:val="18"/>
                <w:szCs w:val="18"/>
              </w:rPr>
              <w:t>(</w:t>
            </w:r>
            <w:r w:rsidR="003734F4" w:rsidRPr="00B1588E">
              <w:rPr>
                <w:sz w:val="18"/>
                <w:szCs w:val="18"/>
              </w:rPr>
              <w:t>19.900.000</w:t>
            </w:r>
            <w:r w:rsidRPr="00B1588E">
              <w:rPr>
                <w:sz w:val="18"/>
                <w:szCs w:val="18"/>
              </w:rPr>
              <w:t>)</w:t>
            </w:r>
          </w:p>
        </w:tc>
        <w:tc>
          <w:tcPr>
            <w:tcW w:w="2835" w:type="dxa"/>
            <w:shd w:val="clear" w:color="auto" w:fill="auto"/>
          </w:tcPr>
          <w:p w14:paraId="69216B91" w14:textId="77777777" w:rsidR="00E35A68" w:rsidRPr="00B1588E" w:rsidRDefault="00E35A68" w:rsidP="005B33DF">
            <w:pPr>
              <w:ind w:right="57"/>
              <w:jc w:val="right"/>
              <w:rPr>
                <w:i/>
                <w:sz w:val="18"/>
                <w:szCs w:val="18"/>
              </w:rPr>
            </w:pPr>
            <w:r w:rsidRPr="00B1588E">
              <w:rPr>
                <w:i/>
                <w:sz w:val="18"/>
                <w:szCs w:val="18"/>
              </w:rPr>
              <w:t>Carrying amount</w:t>
            </w:r>
          </w:p>
        </w:tc>
      </w:tr>
      <w:tr w:rsidR="00E35A68" w:rsidRPr="0095400C" w14:paraId="5C10C71F" w14:textId="77777777" w:rsidTr="00D71B91">
        <w:tc>
          <w:tcPr>
            <w:tcW w:w="2835" w:type="dxa"/>
            <w:shd w:val="clear" w:color="auto" w:fill="auto"/>
          </w:tcPr>
          <w:p w14:paraId="28E3B296" w14:textId="77777777" w:rsidR="00E35A68" w:rsidRPr="00B1588E" w:rsidRDefault="00E35A68" w:rsidP="005B33DF">
            <w:pPr>
              <w:pStyle w:val="ListParagraph"/>
              <w:ind w:left="444"/>
              <w:jc w:val="both"/>
              <w:rPr>
                <w:sz w:val="18"/>
                <w:szCs w:val="18"/>
              </w:rPr>
            </w:pPr>
            <w:r w:rsidRPr="00B1588E">
              <w:rPr>
                <w:sz w:val="18"/>
                <w:szCs w:val="18"/>
              </w:rPr>
              <w:t>Harga jual</w:t>
            </w:r>
          </w:p>
        </w:tc>
        <w:tc>
          <w:tcPr>
            <w:tcW w:w="1644" w:type="dxa"/>
            <w:tcBorders>
              <w:bottom w:val="single" w:sz="4" w:space="0" w:color="auto"/>
            </w:tcBorders>
            <w:shd w:val="clear" w:color="auto" w:fill="auto"/>
            <w:vAlign w:val="bottom"/>
          </w:tcPr>
          <w:p w14:paraId="4246F497" w14:textId="75BB5657" w:rsidR="00E35A68" w:rsidRPr="00B1588E" w:rsidRDefault="00305CA0" w:rsidP="005B33DF">
            <w:pPr>
              <w:ind w:right="57"/>
              <w:jc w:val="right"/>
              <w:rPr>
                <w:sz w:val="18"/>
                <w:szCs w:val="18"/>
              </w:rPr>
            </w:pPr>
            <w:r w:rsidRPr="00B1588E">
              <w:rPr>
                <w:sz w:val="18"/>
                <w:szCs w:val="18"/>
              </w:rPr>
              <w:t>-</w:t>
            </w:r>
          </w:p>
        </w:tc>
        <w:tc>
          <w:tcPr>
            <w:tcW w:w="113" w:type="dxa"/>
            <w:shd w:val="clear" w:color="auto" w:fill="auto"/>
            <w:vAlign w:val="bottom"/>
          </w:tcPr>
          <w:p w14:paraId="3722255D" w14:textId="77777777" w:rsidR="00E35A68" w:rsidRPr="00B1588E" w:rsidRDefault="00E35A68" w:rsidP="005B33DF">
            <w:pPr>
              <w:ind w:right="57"/>
              <w:jc w:val="right"/>
              <w:rPr>
                <w:sz w:val="18"/>
                <w:szCs w:val="18"/>
              </w:rPr>
            </w:pPr>
          </w:p>
        </w:tc>
        <w:tc>
          <w:tcPr>
            <w:tcW w:w="1644" w:type="dxa"/>
            <w:tcBorders>
              <w:bottom w:val="single" w:sz="4" w:space="0" w:color="auto"/>
            </w:tcBorders>
            <w:shd w:val="clear" w:color="auto" w:fill="auto"/>
            <w:vAlign w:val="bottom"/>
          </w:tcPr>
          <w:p w14:paraId="340038D4" w14:textId="76A5E056" w:rsidR="00E35A68" w:rsidRPr="00B1588E" w:rsidRDefault="003734F4" w:rsidP="005B33DF">
            <w:pPr>
              <w:ind w:right="57"/>
              <w:jc w:val="right"/>
              <w:rPr>
                <w:sz w:val="18"/>
                <w:szCs w:val="18"/>
                <w:lang w:val="id-ID"/>
              </w:rPr>
            </w:pPr>
            <w:r w:rsidRPr="00B1588E">
              <w:rPr>
                <w:sz w:val="18"/>
                <w:szCs w:val="18"/>
              </w:rPr>
              <w:t>193.500.000</w:t>
            </w:r>
          </w:p>
        </w:tc>
        <w:tc>
          <w:tcPr>
            <w:tcW w:w="2835" w:type="dxa"/>
            <w:shd w:val="clear" w:color="auto" w:fill="auto"/>
          </w:tcPr>
          <w:p w14:paraId="0790E0E8" w14:textId="77777777" w:rsidR="00E35A68" w:rsidRPr="00B1588E" w:rsidRDefault="00E35A68" w:rsidP="005B33DF">
            <w:pPr>
              <w:ind w:right="57"/>
              <w:jc w:val="right"/>
              <w:rPr>
                <w:i/>
                <w:sz w:val="18"/>
                <w:szCs w:val="18"/>
              </w:rPr>
            </w:pPr>
            <w:r w:rsidRPr="00B1588E">
              <w:rPr>
                <w:i/>
                <w:sz w:val="18"/>
                <w:szCs w:val="18"/>
              </w:rPr>
              <w:t>Proceeds from sale</w:t>
            </w:r>
          </w:p>
        </w:tc>
      </w:tr>
      <w:tr w:rsidR="00E35A68" w:rsidRPr="0095400C" w14:paraId="4C9117E7" w14:textId="77777777" w:rsidTr="00D71B91">
        <w:tc>
          <w:tcPr>
            <w:tcW w:w="2835" w:type="dxa"/>
            <w:shd w:val="clear" w:color="auto" w:fill="auto"/>
          </w:tcPr>
          <w:p w14:paraId="0AB3DBDD" w14:textId="77777777" w:rsidR="00E35A68" w:rsidRPr="00B1588E" w:rsidRDefault="00E35A68" w:rsidP="005B33DF">
            <w:pPr>
              <w:pStyle w:val="ListParagraph"/>
              <w:ind w:left="444"/>
              <w:jc w:val="both"/>
              <w:rPr>
                <w:sz w:val="8"/>
                <w:szCs w:val="8"/>
              </w:rPr>
            </w:pPr>
          </w:p>
        </w:tc>
        <w:tc>
          <w:tcPr>
            <w:tcW w:w="1644" w:type="dxa"/>
            <w:tcBorders>
              <w:top w:val="single" w:sz="4" w:space="0" w:color="auto"/>
            </w:tcBorders>
            <w:shd w:val="clear" w:color="auto" w:fill="auto"/>
            <w:vAlign w:val="bottom"/>
          </w:tcPr>
          <w:p w14:paraId="31065A78" w14:textId="77777777" w:rsidR="00E35A68" w:rsidRPr="00B1588E" w:rsidRDefault="00E35A68" w:rsidP="005B33DF">
            <w:pPr>
              <w:ind w:right="57"/>
              <w:jc w:val="right"/>
              <w:rPr>
                <w:sz w:val="8"/>
                <w:szCs w:val="8"/>
              </w:rPr>
            </w:pPr>
          </w:p>
        </w:tc>
        <w:tc>
          <w:tcPr>
            <w:tcW w:w="113" w:type="dxa"/>
            <w:shd w:val="clear" w:color="auto" w:fill="auto"/>
            <w:vAlign w:val="bottom"/>
          </w:tcPr>
          <w:p w14:paraId="5BC97560" w14:textId="77777777" w:rsidR="00E35A68" w:rsidRPr="00B1588E" w:rsidRDefault="00E35A68" w:rsidP="005B33DF">
            <w:pPr>
              <w:ind w:right="57"/>
              <w:jc w:val="right"/>
              <w:rPr>
                <w:sz w:val="8"/>
                <w:szCs w:val="8"/>
              </w:rPr>
            </w:pPr>
          </w:p>
        </w:tc>
        <w:tc>
          <w:tcPr>
            <w:tcW w:w="1644" w:type="dxa"/>
            <w:tcBorders>
              <w:top w:val="single" w:sz="4" w:space="0" w:color="auto"/>
            </w:tcBorders>
            <w:shd w:val="clear" w:color="auto" w:fill="auto"/>
            <w:vAlign w:val="bottom"/>
          </w:tcPr>
          <w:p w14:paraId="5AA8BE2A" w14:textId="77777777" w:rsidR="00E35A68" w:rsidRPr="00B1588E" w:rsidRDefault="00E35A68" w:rsidP="005B33DF">
            <w:pPr>
              <w:ind w:right="57"/>
              <w:jc w:val="right"/>
              <w:rPr>
                <w:sz w:val="8"/>
                <w:szCs w:val="8"/>
              </w:rPr>
            </w:pPr>
          </w:p>
        </w:tc>
        <w:tc>
          <w:tcPr>
            <w:tcW w:w="2835" w:type="dxa"/>
            <w:shd w:val="clear" w:color="auto" w:fill="auto"/>
          </w:tcPr>
          <w:p w14:paraId="16942661" w14:textId="77777777" w:rsidR="00E35A68" w:rsidRPr="00B1588E" w:rsidRDefault="00E35A68" w:rsidP="005B33DF">
            <w:pPr>
              <w:ind w:right="57"/>
              <w:jc w:val="right"/>
              <w:rPr>
                <w:i/>
                <w:sz w:val="8"/>
                <w:szCs w:val="8"/>
              </w:rPr>
            </w:pPr>
          </w:p>
        </w:tc>
      </w:tr>
      <w:tr w:rsidR="00E35A68" w:rsidRPr="0013526B" w14:paraId="300C4141" w14:textId="77777777" w:rsidTr="00D71B91">
        <w:trPr>
          <w:trHeight w:val="292"/>
        </w:trPr>
        <w:tc>
          <w:tcPr>
            <w:tcW w:w="2835" w:type="dxa"/>
            <w:shd w:val="clear" w:color="auto" w:fill="auto"/>
            <w:vAlign w:val="bottom"/>
          </w:tcPr>
          <w:p w14:paraId="754EC963" w14:textId="77777777" w:rsidR="00E35A68" w:rsidRPr="00B1588E" w:rsidRDefault="00E35A68" w:rsidP="005B33DF">
            <w:pPr>
              <w:pStyle w:val="ListParagraph"/>
              <w:ind w:left="444"/>
              <w:jc w:val="both"/>
              <w:rPr>
                <w:b/>
                <w:bCs w:val="0"/>
                <w:sz w:val="18"/>
                <w:szCs w:val="18"/>
              </w:rPr>
            </w:pPr>
            <w:r w:rsidRPr="00B1588E">
              <w:rPr>
                <w:b/>
                <w:bCs w:val="0"/>
                <w:sz w:val="18"/>
                <w:szCs w:val="18"/>
              </w:rPr>
              <w:t>Laba penjualan aset tetap</w:t>
            </w:r>
          </w:p>
        </w:tc>
        <w:tc>
          <w:tcPr>
            <w:tcW w:w="1644" w:type="dxa"/>
            <w:tcBorders>
              <w:bottom w:val="double" w:sz="4" w:space="0" w:color="auto"/>
            </w:tcBorders>
            <w:shd w:val="clear" w:color="auto" w:fill="auto"/>
            <w:vAlign w:val="bottom"/>
          </w:tcPr>
          <w:p w14:paraId="6A90DE50" w14:textId="2EEC438A" w:rsidR="00E35A68" w:rsidRPr="00B1588E" w:rsidRDefault="00305CA0" w:rsidP="005B33DF">
            <w:pPr>
              <w:ind w:right="57"/>
              <w:jc w:val="right"/>
              <w:rPr>
                <w:b/>
                <w:bCs w:val="0"/>
                <w:sz w:val="18"/>
                <w:szCs w:val="18"/>
              </w:rPr>
            </w:pPr>
            <w:r w:rsidRPr="00B1588E">
              <w:rPr>
                <w:b/>
                <w:bCs w:val="0"/>
                <w:sz w:val="18"/>
                <w:szCs w:val="18"/>
              </w:rPr>
              <w:t>-</w:t>
            </w:r>
          </w:p>
        </w:tc>
        <w:tc>
          <w:tcPr>
            <w:tcW w:w="113" w:type="dxa"/>
            <w:shd w:val="clear" w:color="auto" w:fill="auto"/>
            <w:vAlign w:val="bottom"/>
          </w:tcPr>
          <w:p w14:paraId="52AD8CEF" w14:textId="77777777" w:rsidR="00E35A68" w:rsidRPr="00B1588E" w:rsidRDefault="00E35A68" w:rsidP="005B33DF">
            <w:pPr>
              <w:ind w:right="57"/>
              <w:jc w:val="right"/>
              <w:rPr>
                <w:b/>
                <w:sz w:val="18"/>
                <w:szCs w:val="18"/>
              </w:rPr>
            </w:pPr>
          </w:p>
        </w:tc>
        <w:tc>
          <w:tcPr>
            <w:tcW w:w="1644" w:type="dxa"/>
            <w:tcBorders>
              <w:bottom w:val="double" w:sz="4" w:space="0" w:color="auto"/>
            </w:tcBorders>
            <w:shd w:val="clear" w:color="auto" w:fill="auto"/>
            <w:vAlign w:val="bottom"/>
          </w:tcPr>
          <w:p w14:paraId="67049FE9" w14:textId="2324BB60" w:rsidR="00E35A68" w:rsidRPr="00B1588E" w:rsidRDefault="003734F4" w:rsidP="005B33DF">
            <w:pPr>
              <w:ind w:right="57"/>
              <w:jc w:val="right"/>
              <w:rPr>
                <w:b/>
                <w:sz w:val="18"/>
                <w:szCs w:val="18"/>
              </w:rPr>
            </w:pPr>
            <w:r w:rsidRPr="00B1588E">
              <w:rPr>
                <w:b/>
                <w:bCs w:val="0"/>
                <w:sz w:val="18"/>
                <w:szCs w:val="18"/>
              </w:rPr>
              <w:t>173.600.000</w:t>
            </w:r>
          </w:p>
        </w:tc>
        <w:tc>
          <w:tcPr>
            <w:tcW w:w="2835" w:type="dxa"/>
            <w:shd w:val="clear" w:color="auto" w:fill="auto"/>
            <w:vAlign w:val="bottom"/>
          </w:tcPr>
          <w:p w14:paraId="3777ADD9" w14:textId="2DD0D8D8" w:rsidR="00E35A68" w:rsidRPr="00B1588E" w:rsidRDefault="00E35A68" w:rsidP="005B33DF">
            <w:pPr>
              <w:ind w:right="57"/>
              <w:jc w:val="right"/>
              <w:rPr>
                <w:b/>
                <w:i/>
                <w:sz w:val="18"/>
                <w:szCs w:val="18"/>
              </w:rPr>
            </w:pPr>
            <w:r w:rsidRPr="00B1588E">
              <w:rPr>
                <w:b/>
                <w:i/>
                <w:sz w:val="18"/>
                <w:szCs w:val="18"/>
              </w:rPr>
              <w:t>Gain on sale of property</w:t>
            </w:r>
            <w:r w:rsidR="00870FD0" w:rsidRPr="00B1588E">
              <w:rPr>
                <w:b/>
                <w:i/>
                <w:sz w:val="18"/>
                <w:szCs w:val="18"/>
              </w:rPr>
              <w:t>.</w:t>
            </w:r>
            <w:r w:rsidRPr="00B1588E">
              <w:rPr>
                <w:b/>
                <w:i/>
                <w:sz w:val="18"/>
                <w:szCs w:val="18"/>
              </w:rPr>
              <w:t xml:space="preserve"> </w:t>
            </w:r>
          </w:p>
          <w:p w14:paraId="05552F82" w14:textId="77777777" w:rsidR="00E35A68" w:rsidRPr="00B1588E" w:rsidRDefault="00E35A68" w:rsidP="005B33DF">
            <w:pPr>
              <w:ind w:right="198"/>
              <w:jc w:val="right"/>
              <w:rPr>
                <w:b/>
                <w:i/>
                <w:sz w:val="18"/>
                <w:szCs w:val="18"/>
              </w:rPr>
            </w:pPr>
            <w:r w:rsidRPr="00B1588E">
              <w:rPr>
                <w:b/>
                <w:i/>
                <w:sz w:val="18"/>
                <w:szCs w:val="18"/>
              </w:rPr>
              <w:t>and equipment</w:t>
            </w:r>
          </w:p>
        </w:tc>
      </w:tr>
    </w:tbl>
    <w:p w14:paraId="0F9B8BDC" w14:textId="77777777" w:rsidR="00E35A68" w:rsidRDefault="00E35A68" w:rsidP="00E35A68">
      <w:pPr>
        <w:jc w:val="both"/>
        <w:rPr>
          <w:sz w:val="12"/>
          <w:szCs w:val="18"/>
        </w:rPr>
      </w:pPr>
    </w:p>
    <w:tbl>
      <w:tblPr>
        <w:tblW w:w="9197" w:type="dxa"/>
        <w:tblInd w:w="108" w:type="dxa"/>
        <w:tblLayout w:type="fixed"/>
        <w:tblLook w:val="0000" w:firstRow="0" w:lastRow="0" w:firstColumn="0" w:lastColumn="0" w:noHBand="0" w:noVBand="0"/>
      </w:tblPr>
      <w:tblGrid>
        <w:gridCol w:w="4598"/>
        <w:gridCol w:w="4599"/>
      </w:tblGrid>
      <w:tr w:rsidR="00E35A68" w:rsidRPr="0013526B" w14:paraId="02E76736" w14:textId="77777777" w:rsidTr="005B33DF">
        <w:tc>
          <w:tcPr>
            <w:tcW w:w="4598" w:type="dxa"/>
            <w:tcBorders>
              <w:top w:val="nil"/>
              <w:left w:val="nil"/>
              <w:bottom w:val="nil"/>
              <w:right w:val="nil"/>
            </w:tcBorders>
            <w:shd w:val="clear" w:color="auto" w:fill="auto"/>
          </w:tcPr>
          <w:p w14:paraId="5D5142E6" w14:textId="457C0713" w:rsidR="00E35A68" w:rsidRPr="0013526B" w:rsidRDefault="008D4EEE" w:rsidP="00904B52">
            <w:pPr>
              <w:pStyle w:val="ListParagraph"/>
              <w:ind w:left="340"/>
              <w:jc w:val="both"/>
              <w:rPr>
                <w:sz w:val="18"/>
                <w:szCs w:val="18"/>
              </w:rPr>
            </w:pPr>
            <w:r>
              <w:rPr>
                <w:sz w:val="18"/>
                <w:szCs w:val="18"/>
              </w:rPr>
              <w:t>K</w:t>
            </w:r>
            <w:r w:rsidR="00E35A68" w:rsidRPr="008D4EEE">
              <w:rPr>
                <w:sz w:val="18"/>
                <w:szCs w:val="18"/>
              </w:rPr>
              <w:t>elompok</w:t>
            </w:r>
            <w:r w:rsidR="00E35A68">
              <w:rPr>
                <w:sz w:val="18"/>
                <w:szCs w:val="18"/>
              </w:rPr>
              <w:t xml:space="preserve"> usaha menghapuskan aset tetap </w:t>
            </w:r>
            <w:r>
              <w:rPr>
                <w:bCs w:val="0"/>
                <w:sz w:val="18"/>
                <w:szCs w:val="18"/>
              </w:rPr>
              <w:t>p</w:t>
            </w:r>
            <w:r w:rsidRPr="008D4EEE">
              <w:rPr>
                <w:bCs w:val="0"/>
                <w:sz w:val="18"/>
                <w:szCs w:val="18"/>
              </w:rPr>
              <w:t>eralatan kesehatan</w:t>
            </w:r>
            <w:r w:rsidRPr="008D4EEE">
              <w:rPr>
                <w:sz w:val="18"/>
                <w:szCs w:val="18"/>
              </w:rPr>
              <w:t xml:space="preserve"> </w:t>
            </w:r>
            <w:r w:rsidR="00E35A68" w:rsidRPr="008D4EEE">
              <w:rPr>
                <w:sz w:val="18"/>
                <w:szCs w:val="18"/>
              </w:rPr>
              <w:t xml:space="preserve">dengan nilai tercatat sebesar </w:t>
            </w:r>
            <w:r w:rsidR="00007969">
              <w:rPr>
                <w:sz w:val="18"/>
                <w:szCs w:val="18"/>
              </w:rPr>
              <w:br/>
            </w:r>
            <w:r w:rsidR="00E35A68" w:rsidRPr="008D4EEE">
              <w:rPr>
                <w:sz w:val="18"/>
                <w:szCs w:val="18"/>
              </w:rPr>
              <w:t xml:space="preserve">Rp </w:t>
            </w:r>
            <w:r w:rsidR="001D5463">
              <w:rPr>
                <w:sz w:val="18"/>
                <w:szCs w:val="18"/>
              </w:rPr>
              <w:t>1.539.000.000</w:t>
            </w:r>
            <w:r w:rsidR="00007969">
              <w:rPr>
                <w:sz w:val="18"/>
                <w:szCs w:val="18"/>
              </w:rPr>
              <w:t xml:space="preserve"> disebabkan oleh terbakarnya aset tersebut.</w:t>
            </w:r>
            <w:r w:rsidR="00E35A68" w:rsidRPr="008D4EEE">
              <w:rPr>
                <w:sz w:val="18"/>
                <w:szCs w:val="18"/>
              </w:rPr>
              <w:t xml:space="preserve"> </w:t>
            </w:r>
            <w:r w:rsidR="00007969">
              <w:rPr>
                <w:sz w:val="18"/>
                <w:szCs w:val="18"/>
              </w:rPr>
              <w:t>Sampai dengan tanggal laporan keuangan proses klaim asuransi masih berlangsung.</w:t>
            </w:r>
          </w:p>
        </w:tc>
        <w:tc>
          <w:tcPr>
            <w:tcW w:w="4598" w:type="dxa"/>
            <w:tcBorders>
              <w:top w:val="nil"/>
              <w:left w:val="nil"/>
              <w:bottom w:val="nil"/>
              <w:right w:val="nil"/>
            </w:tcBorders>
            <w:shd w:val="clear" w:color="auto" w:fill="auto"/>
          </w:tcPr>
          <w:p w14:paraId="11805271" w14:textId="2AC245AC" w:rsidR="00E35A68" w:rsidRPr="0013526B" w:rsidRDefault="008D4EEE" w:rsidP="00196293">
            <w:pPr>
              <w:pStyle w:val="ListParagraph"/>
              <w:tabs>
                <w:tab w:val="right" w:pos="9340"/>
                <w:tab w:val="right" w:pos="10080"/>
              </w:tabs>
              <w:ind w:left="397"/>
              <w:jc w:val="both"/>
              <w:rPr>
                <w:i/>
                <w:sz w:val="18"/>
                <w:szCs w:val="18"/>
              </w:rPr>
            </w:pPr>
            <w:r>
              <w:rPr>
                <w:i/>
                <w:sz w:val="18"/>
                <w:szCs w:val="18"/>
              </w:rPr>
              <w:t>T</w:t>
            </w:r>
            <w:r w:rsidR="00E35A68">
              <w:rPr>
                <w:i/>
                <w:sz w:val="18"/>
                <w:szCs w:val="18"/>
              </w:rPr>
              <w:t>he group writte off property and equipment</w:t>
            </w:r>
            <w:r>
              <w:rPr>
                <w:i/>
                <w:sz w:val="18"/>
                <w:szCs w:val="18"/>
              </w:rPr>
              <w:t xml:space="preserve"> of</w:t>
            </w:r>
            <w:r w:rsidR="00E35A68">
              <w:rPr>
                <w:i/>
                <w:sz w:val="18"/>
                <w:szCs w:val="18"/>
              </w:rPr>
              <w:t xml:space="preserve"> </w:t>
            </w:r>
            <w:r>
              <w:rPr>
                <w:i/>
                <w:iCs/>
                <w:sz w:val="18"/>
                <w:szCs w:val="18"/>
              </w:rPr>
              <w:t>m</w:t>
            </w:r>
            <w:r w:rsidRPr="008D4EEE">
              <w:rPr>
                <w:i/>
                <w:iCs/>
                <w:sz w:val="18"/>
                <w:szCs w:val="18"/>
              </w:rPr>
              <w:t>edical equipment</w:t>
            </w:r>
            <w:r>
              <w:rPr>
                <w:i/>
                <w:sz w:val="18"/>
                <w:szCs w:val="18"/>
              </w:rPr>
              <w:t xml:space="preserve"> </w:t>
            </w:r>
            <w:r w:rsidR="00E35A68">
              <w:rPr>
                <w:i/>
                <w:sz w:val="18"/>
                <w:szCs w:val="18"/>
              </w:rPr>
              <w:t xml:space="preserve">with carrying value amount </w:t>
            </w:r>
            <w:r w:rsidR="00007969">
              <w:rPr>
                <w:i/>
                <w:sz w:val="18"/>
                <w:szCs w:val="18"/>
              </w:rPr>
              <w:br/>
            </w:r>
            <w:r w:rsidR="00E35A68">
              <w:rPr>
                <w:i/>
                <w:sz w:val="18"/>
                <w:szCs w:val="18"/>
              </w:rPr>
              <w:t xml:space="preserve">Rp </w:t>
            </w:r>
            <w:r w:rsidR="001D5463" w:rsidRPr="001D5463">
              <w:rPr>
                <w:i/>
                <w:iCs/>
                <w:sz w:val="18"/>
                <w:szCs w:val="18"/>
              </w:rPr>
              <w:t>1</w:t>
            </w:r>
            <w:r w:rsidR="00AC2673">
              <w:rPr>
                <w:i/>
                <w:iCs/>
                <w:sz w:val="18"/>
                <w:szCs w:val="18"/>
              </w:rPr>
              <w:t>,</w:t>
            </w:r>
            <w:r w:rsidR="001D5463" w:rsidRPr="001D5463">
              <w:rPr>
                <w:i/>
                <w:iCs/>
                <w:sz w:val="18"/>
                <w:szCs w:val="18"/>
              </w:rPr>
              <w:t>539</w:t>
            </w:r>
            <w:r w:rsidR="00AC2673">
              <w:rPr>
                <w:i/>
                <w:iCs/>
                <w:sz w:val="18"/>
                <w:szCs w:val="18"/>
              </w:rPr>
              <w:t>,</w:t>
            </w:r>
            <w:r w:rsidR="001D5463" w:rsidRPr="001D5463">
              <w:rPr>
                <w:i/>
                <w:iCs/>
                <w:sz w:val="18"/>
                <w:szCs w:val="18"/>
              </w:rPr>
              <w:t>000</w:t>
            </w:r>
            <w:r w:rsidR="00AC2673">
              <w:rPr>
                <w:i/>
                <w:iCs/>
                <w:sz w:val="18"/>
                <w:szCs w:val="18"/>
              </w:rPr>
              <w:t>,</w:t>
            </w:r>
            <w:r w:rsidR="001D5463" w:rsidRPr="001D5463">
              <w:rPr>
                <w:i/>
                <w:iCs/>
                <w:sz w:val="18"/>
                <w:szCs w:val="18"/>
              </w:rPr>
              <w:t>000</w:t>
            </w:r>
            <w:r w:rsidR="00196293">
              <w:rPr>
                <w:i/>
                <w:sz w:val="18"/>
                <w:szCs w:val="18"/>
              </w:rPr>
              <w:t>,</w:t>
            </w:r>
            <w:r w:rsidR="00007969">
              <w:rPr>
                <w:i/>
                <w:sz w:val="18"/>
                <w:szCs w:val="18"/>
              </w:rPr>
              <w:t xml:space="preserve"> </w:t>
            </w:r>
            <w:proofErr w:type="gramStart"/>
            <w:r w:rsidR="00196293">
              <w:rPr>
                <w:i/>
                <w:sz w:val="18"/>
                <w:szCs w:val="18"/>
              </w:rPr>
              <w:t>c</w:t>
            </w:r>
            <w:r w:rsidR="00007969">
              <w:rPr>
                <w:i/>
                <w:sz w:val="18"/>
                <w:szCs w:val="18"/>
              </w:rPr>
              <w:t>ause</w:t>
            </w:r>
            <w:proofErr w:type="gramEnd"/>
            <w:r w:rsidR="00007969">
              <w:rPr>
                <w:i/>
                <w:sz w:val="18"/>
                <w:szCs w:val="18"/>
              </w:rPr>
              <w:t xml:space="preserve"> the asset has been burnt. Until the date financial reporting the process of insurance claim still on going.</w:t>
            </w:r>
          </w:p>
        </w:tc>
      </w:tr>
    </w:tbl>
    <w:p w14:paraId="026F31E7" w14:textId="77777777" w:rsidR="00E35A68" w:rsidRDefault="00E35A68" w:rsidP="00E35A68">
      <w:pPr>
        <w:ind w:left="567"/>
        <w:jc w:val="both"/>
        <w:rPr>
          <w:sz w:val="12"/>
          <w:szCs w:val="18"/>
        </w:rPr>
      </w:pPr>
    </w:p>
    <w:tbl>
      <w:tblPr>
        <w:tblW w:w="9197" w:type="dxa"/>
        <w:tblInd w:w="108" w:type="dxa"/>
        <w:tblLayout w:type="fixed"/>
        <w:tblLook w:val="0000" w:firstRow="0" w:lastRow="0" w:firstColumn="0" w:lastColumn="0" w:noHBand="0" w:noVBand="0"/>
      </w:tblPr>
      <w:tblGrid>
        <w:gridCol w:w="4598"/>
        <w:gridCol w:w="4599"/>
      </w:tblGrid>
      <w:tr w:rsidR="00E57194" w:rsidRPr="0013526B" w14:paraId="2D2734E1" w14:textId="77777777" w:rsidTr="004664E3">
        <w:tc>
          <w:tcPr>
            <w:tcW w:w="2500" w:type="pct"/>
            <w:tcBorders>
              <w:top w:val="nil"/>
              <w:left w:val="nil"/>
              <w:bottom w:val="nil"/>
              <w:right w:val="nil"/>
            </w:tcBorders>
          </w:tcPr>
          <w:p w14:paraId="25FDE109" w14:textId="0FF55965" w:rsidR="00E57194" w:rsidRPr="002C228D" w:rsidRDefault="00624BC8" w:rsidP="008810CD">
            <w:pPr>
              <w:pStyle w:val="ListParagraph"/>
              <w:ind w:left="340"/>
              <w:jc w:val="both"/>
              <w:rPr>
                <w:sz w:val="18"/>
                <w:szCs w:val="18"/>
              </w:rPr>
            </w:pPr>
            <w:r w:rsidRPr="002C228D">
              <w:rPr>
                <w:sz w:val="18"/>
                <w:szCs w:val="18"/>
              </w:rPr>
              <w:t>Grup memiliki beberapa bidang tanah berlokasi di Tangerang dan Jakarta Selatan dengan hak legal berupa Hak Guna Bangunan HGB yang mempunyai masa manfaat 20 dua puluh tahun sampai dengan 25 dua puluh lima tahun. Masa berlaku HGB akan berakhir antara tahun 2029 sampai dengan tahun 2038. Manajemen berpendapat tidak ada masalah dengan perpanjangan hak atas tanah karena tanah diperoleh secara sah dan didukung dengan bukti kepemilikan yang memadai.</w:t>
            </w:r>
          </w:p>
        </w:tc>
        <w:tc>
          <w:tcPr>
            <w:tcW w:w="2500" w:type="pct"/>
            <w:tcBorders>
              <w:top w:val="nil"/>
              <w:left w:val="nil"/>
              <w:bottom w:val="nil"/>
              <w:right w:val="nil"/>
            </w:tcBorders>
          </w:tcPr>
          <w:p w14:paraId="17AEEF83" w14:textId="00195A92" w:rsidR="00E57194" w:rsidRPr="002C228D" w:rsidRDefault="00624BC8" w:rsidP="008810CD">
            <w:pPr>
              <w:pStyle w:val="ListParagraph"/>
              <w:tabs>
                <w:tab w:val="right" w:pos="9340"/>
                <w:tab w:val="right" w:pos="10080"/>
              </w:tabs>
              <w:ind w:left="397"/>
              <w:jc w:val="both"/>
              <w:rPr>
                <w:sz w:val="18"/>
                <w:szCs w:val="18"/>
              </w:rPr>
            </w:pPr>
            <w:r w:rsidRPr="002C228D">
              <w:rPr>
                <w:i/>
                <w:sz w:val="18"/>
                <w:szCs w:val="18"/>
              </w:rPr>
              <w:t>The Group owns several land located in Tangerang and South Jakarta with Building Use Rights with useful lives ranging from 20 twenty years until 25 twenty five years. The Landrights HGB have expiration date ranging from 2029 until 2038. Management believes there are no problem with the extension of rights to the land as the land was acquired legally and supported by adequate proof of ownership.</w:t>
            </w:r>
          </w:p>
        </w:tc>
      </w:tr>
    </w:tbl>
    <w:p w14:paraId="54246FBB" w14:textId="77777777" w:rsidR="00E57194" w:rsidRPr="0013526B" w:rsidRDefault="00534694" w:rsidP="0013526B">
      <w:pPr>
        <w:tabs>
          <w:tab w:val="left" w:pos="971"/>
        </w:tabs>
        <w:ind w:left="567"/>
        <w:jc w:val="both"/>
        <w:rPr>
          <w:sz w:val="14"/>
          <w:szCs w:val="18"/>
        </w:rPr>
      </w:pPr>
      <w:r w:rsidRPr="0013526B">
        <w:rPr>
          <w:sz w:val="18"/>
          <w:szCs w:val="18"/>
          <w:lang w:val="id-ID"/>
        </w:rPr>
        <w:tab/>
      </w:r>
    </w:p>
    <w:tbl>
      <w:tblPr>
        <w:tblW w:w="9197" w:type="dxa"/>
        <w:tblInd w:w="108" w:type="dxa"/>
        <w:tblLayout w:type="fixed"/>
        <w:tblLook w:val="0000" w:firstRow="0" w:lastRow="0" w:firstColumn="0" w:lastColumn="0" w:noHBand="0" w:noVBand="0"/>
      </w:tblPr>
      <w:tblGrid>
        <w:gridCol w:w="4598"/>
        <w:gridCol w:w="4599"/>
      </w:tblGrid>
      <w:tr w:rsidR="007920FD" w:rsidRPr="0013526B" w14:paraId="4E7AB7AD" w14:textId="77777777" w:rsidTr="004664E3">
        <w:tc>
          <w:tcPr>
            <w:tcW w:w="2500" w:type="pct"/>
            <w:tcBorders>
              <w:top w:val="nil"/>
              <w:left w:val="nil"/>
              <w:bottom w:val="nil"/>
              <w:right w:val="nil"/>
            </w:tcBorders>
            <w:shd w:val="clear" w:color="auto" w:fill="auto"/>
          </w:tcPr>
          <w:p w14:paraId="14DF4A87" w14:textId="59A2CEB4" w:rsidR="007920FD" w:rsidRPr="00175C40" w:rsidRDefault="00F54E80" w:rsidP="004E4129">
            <w:pPr>
              <w:pStyle w:val="ListParagraph"/>
              <w:ind w:left="340"/>
              <w:jc w:val="both"/>
              <w:rPr>
                <w:sz w:val="18"/>
                <w:szCs w:val="18"/>
              </w:rPr>
            </w:pPr>
            <w:r w:rsidRPr="004664E3">
              <w:rPr>
                <w:sz w:val="18"/>
                <w:szCs w:val="18"/>
              </w:rPr>
              <w:t xml:space="preserve">Pada tanggal </w:t>
            </w:r>
            <w:r w:rsidR="00AC2673">
              <w:rPr>
                <w:sz w:val="18"/>
                <w:szCs w:val="18"/>
              </w:rPr>
              <w:t xml:space="preserve">31 Maret 2020 dan </w:t>
            </w:r>
            <w:r w:rsidRPr="004664E3">
              <w:rPr>
                <w:sz w:val="18"/>
                <w:szCs w:val="18"/>
              </w:rPr>
              <w:t>31 Desember 2019</w:t>
            </w:r>
            <w:r w:rsidR="00AC2673">
              <w:rPr>
                <w:sz w:val="18"/>
                <w:szCs w:val="18"/>
              </w:rPr>
              <w:t>,</w:t>
            </w:r>
            <w:r w:rsidR="00624BC8" w:rsidRPr="004664E3">
              <w:rPr>
                <w:sz w:val="18"/>
                <w:szCs w:val="18"/>
              </w:rPr>
              <w:t xml:space="preserve"> aset tetap kecuali tanah telah diasuransikan terhadap risiko kecelakaan dan kerusakan atau kehilangan kepada </w:t>
            </w:r>
            <w:r w:rsidR="00175C40">
              <w:rPr>
                <w:sz w:val="18"/>
                <w:szCs w:val="18"/>
              </w:rPr>
              <w:br/>
            </w:r>
            <w:r w:rsidR="00624BC8" w:rsidRPr="00175C40">
              <w:rPr>
                <w:sz w:val="18"/>
                <w:szCs w:val="18"/>
              </w:rPr>
              <w:t>PT Sompo Insurance Indonesia dengan nilai pertanggungan sebesar</w:t>
            </w:r>
            <w:r w:rsidR="00F166E5" w:rsidRPr="00175C40">
              <w:rPr>
                <w:sz w:val="18"/>
                <w:szCs w:val="18"/>
              </w:rPr>
              <w:t xml:space="preserve"> </w:t>
            </w:r>
            <w:r w:rsidR="00624BC8" w:rsidRPr="00175C40">
              <w:rPr>
                <w:sz w:val="18"/>
                <w:szCs w:val="18"/>
              </w:rPr>
              <w:t xml:space="preserve"> Rp</w:t>
            </w:r>
            <w:r w:rsidR="004A1988" w:rsidRPr="00175C40">
              <w:rPr>
                <w:sz w:val="18"/>
                <w:szCs w:val="18"/>
              </w:rPr>
              <w:t xml:space="preserve"> </w:t>
            </w:r>
            <w:r w:rsidR="00AC2673" w:rsidRPr="00175C40">
              <w:rPr>
                <w:sz w:val="18"/>
                <w:szCs w:val="18"/>
              </w:rPr>
              <w:t>1.900.997.162.000</w:t>
            </w:r>
            <w:r w:rsidR="004E4129">
              <w:rPr>
                <w:sz w:val="18"/>
                <w:szCs w:val="18"/>
              </w:rPr>
              <w:t xml:space="preserve">. </w:t>
            </w:r>
            <w:r w:rsidR="00624BC8" w:rsidRPr="00175C40">
              <w:rPr>
                <w:sz w:val="18"/>
                <w:szCs w:val="18"/>
              </w:rPr>
              <w:t>Manajemen berpendapat bahwa nilai pertanggungan tersebut cukup untuk menutupi kemungkinan kerugian atas aset yang dipertanggungkan.</w:t>
            </w:r>
          </w:p>
        </w:tc>
        <w:tc>
          <w:tcPr>
            <w:tcW w:w="2500" w:type="pct"/>
            <w:tcBorders>
              <w:top w:val="nil"/>
              <w:left w:val="nil"/>
              <w:bottom w:val="nil"/>
              <w:right w:val="nil"/>
            </w:tcBorders>
            <w:shd w:val="clear" w:color="auto" w:fill="auto"/>
          </w:tcPr>
          <w:p w14:paraId="553ADE9B" w14:textId="61394B7A" w:rsidR="007920FD" w:rsidRPr="0013526B" w:rsidRDefault="00652A47" w:rsidP="004E4129">
            <w:pPr>
              <w:pStyle w:val="ListParagraph"/>
              <w:tabs>
                <w:tab w:val="right" w:pos="9340"/>
                <w:tab w:val="right" w:pos="10080"/>
              </w:tabs>
              <w:ind w:left="397"/>
              <w:jc w:val="both"/>
              <w:rPr>
                <w:i/>
                <w:sz w:val="18"/>
                <w:szCs w:val="18"/>
              </w:rPr>
            </w:pPr>
            <w:r w:rsidRPr="004664E3">
              <w:rPr>
                <w:i/>
                <w:sz w:val="18"/>
                <w:szCs w:val="18"/>
              </w:rPr>
              <w:t xml:space="preserve">As of </w:t>
            </w:r>
            <w:r w:rsidR="00AC2673">
              <w:rPr>
                <w:i/>
                <w:sz w:val="18"/>
                <w:szCs w:val="18"/>
              </w:rPr>
              <w:t xml:space="preserve">March 31, 2020 and </w:t>
            </w:r>
            <w:r w:rsidRPr="004664E3">
              <w:rPr>
                <w:i/>
                <w:sz w:val="18"/>
                <w:szCs w:val="18"/>
              </w:rPr>
              <w:t>December 31</w:t>
            </w:r>
            <w:r w:rsidR="00AC2673">
              <w:rPr>
                <w:i/>
                <w:sz w:val="18"/>
                <w:szCs w:val="18"/>
              </w:rPr>
              <w:t>,</w:t>
            </w:r>
            <w:r w:rsidRPr="004664E3">
              <w:rPr>
                <w:i/>
                <w:sz w:val="18"/>
                <w:szCs w:val="18"/>
              </w:rPr>
              <w:t xml:space="preserve"> 2019</w:t>
            </w:r>
            <w:r w:rsidR="00AC2673">
              <w:rPr>
                <w:i/>
                <w:sz w:val="18"/>
                <w:szCs w:val="18"/>
              </w:rPr>
              <w:t>,</w:t>
            </w:r>
            <w:r w:rsidR="00624BC8" w:rsidRPr="004664E3">
              <w:rPr>
                <w:i/>
                <w:sz w:val="18"/>
                <w:szCs w:val="18"/>
              </w:rPr>
              <w:t xml:space="preserve"> fixed assets except land were insured against accidents and damage or loss to PT Sompo Insurance Indonesia with total coverage of Rp</w:t>
            </w:r>
            <w:r w:rsidR="004A1988">
              <w:rPr>
                <w:i/>
                <w:sz w:val="18"/>
                <w:szCs w:val="18"/>
              </w:rPr>
              <w:t xml:space="preserve"> </w:t>
            </w:r>
            <w:r w:rsidR="00AC2673" w:rsidRPr="002E2A74">
              <w:rPr>
                <w:i/>
                <w:sz w:val="18"/>
                <w:szCs w:val="18"/>
              </w:rPr>
              <w:t>1</w:t>
            </w:r>
            <w:r w:rsidR="00AC2673">
              <w:rPr>
                <w:i/>
                <w:sz w:val="18"/>
                <w:szCs w:val="18"/>
              </w:rPr>
              <w:t>,</w:t>
            </w:r>
            <w:r w:rsidR="00AC2673" w:rsidRPr="002E2A74">
              <w:rPr>
                <w:i/>
                <w:sz w:val="18"/>
                <w:szCs w:val="18"/>
              </w:rPr>
              <w:t>900</w:t>
            </w:r>
            <w:r w:rsidR="00AC2673">
              <w:rPr>
                <w:i/>
                <w:sz w:val="18"/>
                <w:szCs w:val="18"/>
              </w:rPr>
              <w:t>,</w:t>
            </w:r>
            <w:r w:rsidR="00AC2673" w:rsidRPr="002E2A74">
              <w:rPr>
                <w:i/>
                <w:sz w:val="18"/>
                <w:szCs w:val="18"/>
              </w:rPr>
              <w:t>997</w:t>
            </w:r>
            <w:r w:rsidR="00AC2673">
              <w:rPr>
                <w:i/>
                <w:sz w:val="18"/>
                <w:szCs w:val="18"/>
              </w:rPr>
              <w:t>,</w:t>
            </w:r>
            <w:r w:rsidR="00AC2673" w:rsidRPr="002E2A74">
              <w:rPr>
                <w:i/>
                <w:sz w:val="18"/>
                <w:szCs w:val="18"/>
              </w:rPr>
              <w:t>162</w:t>
            </w:r>
            <w:r w:rsidR="00AC2673">
              <w:rPr>
                <w:i/>
                <w:sz w:val="18"/>
                <w:szCs w:val="18"/>
              </w:rPr>
              <w:t>,</w:t>
            </w:r>
            <w:r w:rsidR="00AC2673" w:rsidRPr="002E2A74">
              <w:rPr>
                <w:i/>
                <w:sz w:val="18"/>
                <w:szCs w:val="18"/>
              </w:rPr>
              <w:t>000</w:t>
            </w:r>
            <w:r w:rsidR="00870FD0">
              <w:rPr>
                <w:i/>
                <w:sz w:val="18"/>
                <w:szCs w:val="18"/>
              </w:rPr>
              <w:t>.</w:t>
            </w:r>
            <w:r w:rsidR="00F166E5" w:rsidRPr="004664E3">
              <w:rPr>
                <w:i/>
                <w:sz w:val="18"/>
                <w:szCs w:val="18"/>
              </w:rPr>
              <w:t xml:space="preserve"> </w:t>
            </w:r>
            <w:r w:rsidR="00624BC8" w:rsidRPr="004664E3">
              <w:rPr>
                <w:i/>
                <w:sz w:val="18"/>
                <w:szCs w:val="18"/>
              </w:rPr>
              <w:t>Management believes that the insurance coverage is adequate to cover any possible losses on the assets insured.</w:t>
            </w:r>
          </w:p>
        </w:tc>
      </w:tr>
      <w:tr w:rsidR="00624BC8" w:rsidRPr="00E35A68" w14:paraId="7A1777AC" w14:textId="77777777" w:rsidTr="004664E3">
        <w:tc>
          <w:tcPr>
            <w:tcW w:w="2500" w:type="pct"/>
            <w:tcBorders>
              <w:top w:val="nil"/>
              <w:left w:val="nil"/>
              <w:bottom w:val="nil"/>
              <w:right w:val="nil"/>
            </w:tcBorders>
            <w:shd w:val="clear" w:color="auto" w:fill="auto"/>
          </w:tcPr>
          <w:p w14:paraId="4A04C265" w14:textId="77777777" w:rsidR="00624BC8" w:rsidRPr="00E35A68" w:rsidRDefault="00624BC8" w:rsidP="0013526B">
            <w:pPr>
              <w:pStyle w:val="ListParagraph"/>
              <w:ind w:left="284"/>
              <w:jc w:val="both"/>
              <w:rPr>
                <w:sz w:val="10"/>
                <w:szCs w:val="10"/>
              </w:rPr>
            </w:pPr>
          </w:p>
        </w:tc>
        <w:tc>
          <w:tcPr>
            <w:tcW w:w="2500" w:type="pct"/>
            <w:tcBorders>
              <w:top w:val="nil"/>
              <w:left w:val="nil"/>
              <w:bottom w:val="nil"/>
              <w:right w:val="nil"/>
            </w:tcBorders>
            <w:shd w:val="clear" w:color="auto" w:fill="auto"/>
          </w:tcPr>
          <w:p w14:paraId="33A272B6" w14:textId="77777777" w:rsidR="00624BC8" w:rsidRPr="00E35A68" w:rsidRDefault="00624BC8" w:rsidP="008810CD">
            <w:pPr>
              <w:pStyle w:val="ListParagraph"/>
              <w:tabs>
                <w:tab w:val="right" w:pos="9340"/>
                <w:tab w:val="right" w:pos="10080"/>
              </w:tabs>
              <w:ind w:left="397"/>
              <w:jc w:val="both"/>
              <w:rPr>
                <w:i/>
                <w:sz w:val="10"/>
                <w:szCs w:val="10"/>
              </w:rPr>
            </w:pPr>
          </w:p>
        </w:tc>
      </w:tr>
      <w:tr w:rsidR="00624BC8" w:rsidRPr="0013526B" w14:paraId="14CB3D8B" w14:textId="77777777" w:rsidTr="004664E3">
        <w:tc>
          <w:tcPr>
            <w:tcW w:w="2500" w:type="pct"/>
            <w:tcBorders>
              <w:top w:val="nil"/>
              <w:left w:val="nil"/>
              <w:bottom w:val="nil"/>
              <w:right w:val="nil"/>
            </w:tcBorders>
            <w:shd w:val="clear" w:color="auto" w:fill="auto"/>
          </w:tcPr>
          <w:p w14:paraId="289CE3FD" w14:textId="10AA5F2D" w:rsidR="00624BC8" w:rsidRPr="004664E3" w:rsidRDefault="00624BC8" w:rsidP="00AC2673">
            <w:pPr>
              <w:pStyle w:val="ListParagraph"/>
              <w:ind w:left="340"/>
              <w:jc w:val="both"/>
              <w:rPr>
                <w:sz w:val="18"/>
                <w:szCs w:val="18"/>
              </w:rPr>
            </w:pPr>
            <w:r w:rsidRPr="004664E3">
              <w:rPr>
                <w:sz w:val="18"/>
                <w:szCs w:val="18"/>
              </w:rPr>
              <w:t xml:space="preserve">Pada tanggal </w:t>
            </w:r>
            <w:r w:rsidR="00AC2673">
              <w:rPr>
                <w:sz w:val="18"/>
                <w:szCs w:val="18"/>
              </w:rPr>
              <w:t xml:space="preserve">31 Maret 2020 dan </w:t>
            </w:r>
            <w:r w:rsidRPr="004664E3">
              <w:rPr>
                <w:sz w:val="18"/>
                <w:szCs w:val="18"/>
              </w:rPr>
              <w:t>31 Desember 201</w:t>
            </w:r>
            <w:r w:rsidR="00F166E5" w:rsidRPr="004664E3">
              <w:rPr>
                <w:sz w:val="18"/>
                <w:szCs w:val="18"/>
              </w:rPr>
              <w:t>9</w:t>
            </w:r>
            <w:r w:rsidR="00AC2673">
              <w:rPr>
                <w:sz w:val="18"/>
                <w:szCs w:val="18"/>
              </w:rPr>
              <w:t>,</w:t>
            </w:r>
            <w:r w:rsidRPr="004664E3">
              <w:rPr>
                <w:sz w:val="18"/>
                <w:szCs w:val="18"/>
              </w:rPr>
              <w:t xml:space="preserve"> tanah dan bangunan sebesar </w:t>
            </w:r>
            <w:r w:rsidRPr="008810CD">
              <w:rPr>
                <w:sz w:val="18"/>
                <w:szCs w:val="18"/>
              </w:rPr>
              <w:t>Rp</w:t>
            </w:r>
            <w:r w:rsidR="004A1988">
              <w:rPr>
                <w:sz w:val="18"/>
                <w:szCs w:val="18"/>
              </w:rPr>
              <w:t xml:space="preserve"> </w:t>
            </w:r>
            <w:r w:rsidRPr="008810CD">
              <w:rPr>
                <w:sz w:val="18"/>
                <w:szCs w:val="18"/>
              </w:rPr>
              <w:t>724.035.000.000</w:t>
            </w:r>
            <w:r w:rsidRPr="004664E3">
              <w:rPr>
                <w:sz w:val="18"/>
                <w:szCs w:val="18"/>
              </w:rPr>
              <w:t xml:space="preserve"> dan peralatan kesehatan dengan sebesar Rp</w:t>
            </w:r>
            <w:r w:rsidR="004A1988">
              <w:rPr>
                <w:sz w:val="18"/>
                <w:szCs w:val="18"/>
              </w:rPr>
              <w:t xml:space="preserve"> </w:t>
            </w:r>
            <w:r w:rsidRPr="004664E3">
              <w:rPr>
                <w:sz w:val="18"/>
                <w:szCs w:val="18"/>
              </w:rPr>
              <w:t xml:space="preserve">162.600.000.000 dijadikan jaminan utang bank </w:t>
            </w:r>
            <w:r w:rsidRPr="008810CD">
              <w:rPr>
                <w:sz w:val="18"/>
                <w:szCs w:val="18"/>
              </w:rPr>
              <w:t>Catatan 1</w:t>
            </w:r>
            <w:r w:rsidR="00007969">
              <w:rPr>
                <w:sz w:val="18"/>
                <w:szCs w:val="18"/>
              </w:rPr>
              <w:t>4</w:t>
            </w:r>
            <w:r w:rsidR="004F3CE1">
              <w:rPr>
                <w:sz w:val="18"/>
                <w:szCs w:val="18"/>
              </w:rPr>
              <w:t>.</w:t>
            </w:r>
          </w:p>
        </w:tc>
        <w:tc>
          <w:tcPr>
            <w:tcW w:w="2500" w:type="pct"/>
            <w:tcBorders>
              <w:top w:val="nil"/>
              <w:left w:val="nil"/>
              <w:bottom w:val="nil"/>
              <w:right w:val="nil"/>
            </w:tcBorders>
            <w:shd w:val="clear" w:color="auto" w:fill="auto"/>
          </w:tcPr>
          <w:p w14:paraId="25E31C8E" w14:textId="7E2BB947" w:rsidR="00624BC8" w:rsidRPr="0013526B" w:rsidRDefault="00624BC8" w:rsidP="004E4129">
            <w:pPr>
              <w:pStyle w:val="ListParagraph"/>
              <w:tabs>
                <w:tab w:val="right" w:pos="9340"/>
                <w:tab w:val="right" w:pos="10080"/>
              </w:tabs>
              <w:ind w:left="397"/>
              <w:jc w:val="both"/>
              <w:rPr>
                <w:i/>
                <w:sz w:val="18"/>
                <w:szCs w:val="18"/>
              </w:rPr>
            </w:pPr>
            <w:r w:rsidRPr="004664E3">
              <w:rPr>
                <w:i/>
                <w:sz w:val="18"/>
                <w:szCs w:val="18"/>
              </w:rPr>
              <w:t xml:space="preserve">As of </w:t>
            </w:r>
            <w:r w:rsidR="00AC2673">
              <w:rPr>
                <w:i/>
                <w:sz w:val="18"/>
                <w:szCs w:val="18"/>
              </w:rPr>
              <w:t xml:space="preserve">March 31, 2020 and </w:t>
            </w:r>
            <w:r w:rsidRPr="004664E3">
              <w:rPr>
                <w:i/>
                <w:sz w:val="18"/>
                <w:szCs w:val="18"/>
              </w:rPr>
              <w:t>December 31</w:t>
            </w:r>
            <w:r w:rsidR="00AC2673">
              <w:rPr>
                <w:i/>
                <w:sz w:val="18"/>
                <w:szCs w:val="18"/>
              </w:rPr>
              <w:t>,</w:t>
            </w:r>
            <w:r w:rsidRPr="004664E3">
              <w:rPr>
                <w:i/>
                <w:sz w:val="18"/>
                <w:szCs w:val="18"/>
              </w:rPr>
              <w:t xml:space="preserve"> 201</w:t>
            </w:r>
            <w:r w:rsidR="00AC2673">
              <w:rPr>
                <w:i/>
                <w:sz w:val="18"/>
                <w:szCs w:val="18"/>
              </w:rPr>
              <w:t>9,</w:t>
            </w:r>
            <w:r w:rsidRPr="004664E3">
              <w:rPr>
                <w:i/>
                <w:sz w:val="18"/>
                <w:szCs w:val="18"/>
              </w:rPr>
              <w:t xml:space="preserve"> land and buildings amounting </w:t>
            </w:r>
            <w:r w:rsidRPr="008810CD">
              <w:rPr>
                <w:i/>
                <w:sz w:val="18"/>
                <w:szCs w:val="18"/>
              </w:rPr>
              <w:t>to Rp</w:t>
            </w:r>
            <w:r w:rsidR="004A1988">
              <w:rPr>
                <w:i/>
                <w:sz w:val="18"/>
                <w:szCs w:val="18"/>
              </w:rPr>
              <w:t xml:space="preserve"> </w:t>
            </w:r>
            <w:r w:rsidRPr="008810CD">
              <w:rPr>
                <w:i/>
                <w:sz w:val="18"/>
                <w:szCs w:val="18"/>
              </w:rPr>
              <w:t>724</w:t>
            </w:r>
            <w:r w:rsidR="00AC2673">
              <w:rPr>
                <w:i/>
                <w:sz w:val="18"/>
                <w:szCs w:val="18"/>
              </w:rPr>
              <w:t>,</w:t>
            </w:r>
            <w:r w:rsidRPr="008810CD">
              <w:rPr>
                <w:i/>
                <w:sz w:val="18"/>
                <w:szCs w:val="18"/>
              </w:rPr>
              <w:t>035</w:t>
            </w:r>
            <w:r w:rsidR="00AC2673">
              <w:rPr>
                <w:i/>
                <w:sz w:val="18"/>
                <w:szCs w:val="18"/>
              </w:rPr>
              <w:t>,</w:t>
            </w:r>
            <w:r w:rsidRPr="008810CD">
              <w:rPr>
                <w:i/>
                <w:sz w:val="18"/>
                <w:szCs w:val="18"/>
              </w:rPr>
              <w:t>000</w:t>
            </w:r>
            <w:r w:rsidR="004E4129">
              <w:rPr>
                <w:i/>
                <w:sz w:val="18"/>
                <w:szCs w:val="18"/>
              </w:rPr>
              <w:t>,</w:t>
            </w:r>
            <w:r w:rsidRPr="008810CD">
              <w:rPr>
                <w:i/>
                <w:sz w:val="18"/>
                <w:szCs w:val="18"/>
              </w:rPr>
              <w:t>000</w:t>
            </w:r>
            <w:r w:rsidRPr="004664E3">
              <w:rPr>
                <w:i/>
                <w:sz w:val="18"/>
                <w:szCs w:val="18"/>
              </w:rPr>
              <w:t xml:space="preserve"> and medi</w:t>
            </w:r>
            <w:r w:rsidR="00652A47" w:rsidRPr="004664E3">
              <w:rPr>
                <w:i/>
                <w:sz w:val="18"/>
                <w:szCs w:val="18"/>
              </w:rPr>
              <w:t xml:space="preserve">cal equipment </w:t>
            </w:r>
            <w:r w:rsidRPr="004664E3">
              <w:rPr>
                <w:i/>
                <w:sz w:val="18"/>
                <w:szCs w:val="18"/>
              </w:rPr>
              <w:t>amounting</w:t>
            </w:r>
            <w:r w:rsidR="00DF4505">
              <w:rPr>
                <w:i/>
                <w:sz w:val="18"/>
                <w:szCs w:val="18"/>
                <w:lang w:val="id-ID"/>
              </w:rPr>
              <w:t xml:space="preserve"> </w:t>
            </w:r>
            <w:r w:rsidRPr="004664E3">
              <w:rPr>
                <w:i/>
                <w:sz w:val="18"/>
                <w:szCs w:val="18"/>
              </w:rPr>
              <w:t>to Rp</w:t>
            </w:r>
            <w:r w:rsidR="004A1988">
              <w:rPr>
                <w:i/>
                <w:sz w:val="18"/>
                <w:szCs w:val="18"/>
              </w:rPr>
              <w:t xml:space="preserve"> </w:t>
            </w:r>
            <w:r w:rsidRPr="004664E3">
              <w:rPr>
                <w:i/>
                <w:sz w:val="18"/>
                <w:szCs w:val="18"/>
              </w:rPr>
              <w:t>162</w:t>
            </w:r>
            <w:r w:rsidR="00AC2673">
              <w:rPr>
                <w:i/>
                <w:sz w:val="18"/>
                <w:szCs w:val="18"/>
              </w:rPr>
              <w:t>,</w:t>
            </w:r>
            <w:r w:rsidRPr="004664E3">
              <w:rPr>
                <w:i/>
                <w:sz w:val="18"/>
                <w:szCs w:val="18"/>
              </w:rPr>
              <w:t>600</w:t>
            </w:r>
            <w:r w:rsidR="00AC2673">
              <w:rPr>
                <w:i/>
                <w:sz w:val="18"/>
                <w:szCs w:val="18"/>
              </w:rPr>
              <w:t>,</w:t>
            </w:r>
            <w:r w:rsidRPr="004664E3">
              <w:rPr>
                <w:i/>
                <w:sz w:val="18"/>
                <w:szCs w:val="18"/>
              </w:rPr>
              <w:t>000</w:t>
            </w:r>
            <w:r w:rsidR="00AC2673">
              <w:rPr>
                <w:i/>
                <w:sz w:val="18"/>
                <w:szCs w:val="18"/>
              </w:rPr>
              <w:t>,</w:t>
            </w:r>
            <w:r w:rsidRPr="004664E3">
              <w:rPr>
                <w:i/>
                <w:sz w:val="18"/>
                <w:szCs w:val="18"/>
              </w:rPr>
              <w:t xml:space="preserve">000 are used as collateral for bank loans </w:t>
            </w:r>
            <w:r w:rsidRPr="008810CD">
              <w:rPr>
                <w:i/>
                <w:sz w:val="18"/>
                <w:szCs w:val="18"/>
              </w:rPr>
              <w:t>Notes 1</w:t>
            </w:r>
            <w:r w:rsidR="004F3CE1">
              <w:rPr>
                <w:i/>
                <w:sz w:val="18"/>
                <w:szCs w:val="18"/>
              </w:rPr>
              <w:t>4</w:t>
            </w:r>
            <w:r w:rsidRPr="008810CD">
              <w:rPr>
                <w:i/>
                <w:sz w:val="18"/>
                <w:szCs w:val="18"/>
              </w:rPr>
              <w:t>.</w:t>
            </w:r>
          </w:p>
        </w:tc>
      </w:tr>
      <w:tr w:rsidR="00624BC8" w:rsidRPr="00E35A68" w14:paraId="42D546C0" w14:textId="77777777" w:rsidTr="004664E3">
        <w:tc>
          <w:tcPr>
            <w:tcW w:w="2500" w:type="pct"/>
            <w:tcBorders>
              <w:top w:val="nil"/>
              <w:left w:val="nil"/>
              <w:bottom w:val="nil"/>
              <w:right w:val="nil"/>
            </w:tcBorders>
            <w:shd w:val="clear" w:color="auto" w:fill="auto"/>
          </w:tcPr>
          <w:p w14:paraId="44477BBE" w14:textId="77777777" w:rsidR="00624BC8" w:rsidRPr="00E35A68" w:rsidRDefault="00624BC8" w:rsidP="008810CD">
            <w:pPr>
              <w:pStyle w:val="ListParagraph"/>
              <w:ind w:left="340"/>
              <w:jc w:val="both"/>
              <w:rPr>
                <w:sz w:val="10"/>
                <w:szCs w:val="10"/>
              </w:rPr>
            </w:pPr>
          </w:p>
        </w:tc>
        <w:tc>
          <w:tcPr>
            <w:tcW w:w="2500" w:type="pct"/>
            <w:tcBorders>
              <w:top w:val="nil"/>
              <w:left w:val="nil"/>
              <w:bottom w:val="nil"/>
              <w:right w:val="nil"/>
            </w:tcBorders>
            <w:shd w:val="clear" w:color="auto" w:fill="auto"/>
          </w:tcPr>
          <w:p w14:paraId="05630577" w14:textId="77777777" w:rsidR="00624BC8" w:rsidRPr="00E35A68" w:rsidRDefault="00624BC8" w:rsidP="008810CD">
            <w:pPr>
              <w:pStyle w:val="ListParagraph"/>
              <w:tabs>
                <w:tab w:val="right" w:pos="9340"/>
                <w:tab w:val="right" w:pos="10080"/>
              </w:tabs>
              <w:ind w:left="397"/>
              <w:jc w:val="both"/>
              <w:rPr>
                <w:i/>
                <w:sz w:val="10"/>
                <w:szCs w:val="10"/>
              </w:rPr>
            </w:pPr>
          </w:p>
        </w:tc>
      </w:tr>
      <w:tr w:rsidR="00624BC8" w:rsidRPr="0013526B" w14:paraId="7C3120D5" w14:textId="77777777" w:rsidTr="004664E3">
        <w:tc>
          <w:tcPr>
            <w:tcW w:w="2500" w:type="pct"/>
            <w:tcBorders>
              <w:top w:val="nil"/>
              <w:left w:val="nil"/>
              <w:bottom w:val="nil"/>
              <w:right w:val="nil"/>
            </w:tcBorders>
            <w:shd w:val="clear" w:color="auto" w:fill="auto"/>
          </w:tcPr>
          <w:p w14:paraId="0B080726" w14:textId="6D9DEEE3" w:rsidR="00624BC8" w:rsidRPr="002C228D" w:rsidRDefault="00624BC8" w:rsidP="008810CD">
            <w:pPr>
              <w:pStyle w:val="ListParagraph"/>
              <w:ind w:left="340"/>
              <w:jc w:val="both"/>
              <w:rPr>
                <w:sz w:val="18"/>
                <w:szCs w:val="18"/>
              </w:rPr>
            </w:pPr>
            <w:r w:rsidRPr="002C228D">
              <w:rPr>
                <w:sz w:val="18"/>
                <w:szCs w:val="18"/>
              </w:rPr>
              <w:t>Manajemen berpendapat bahwa tidak terdapat penurunan nilai atas aset tetap.</w:t>
            </w:r>
          </w:p>
        </w:tc>
        <w:tc>
          <w:tcPr>
            <w:tcW w:w="2500" w:type="pct"/>
            <w:tcBorders>
              <w:top w:val="nil"/>
              <w:left w:val="nil"/>
              <w:bottom w:val="nil"/>
              <w:right w:val="nil"/>
            </w:tcBorders>
            <w:shd w:val="clear" w:color="auto" w:fill="auto"/>
          </w:tcPr>
          <w:p w14:paraId="4E06F6A6" w14:textId="20651800" w:rsidR="00624BC8" w:rsidRPr="002C228D" w:rsidRDefault="00624BC8" w:rsidP="008810CD">
            <w:pPr>
              <w:pStyle w:val="ListParagraph"/>
              <w:tabs>
                <w:tab w:val="right" w:pos="9340"/>
                <w:tab w:val="right" w:pos="10080"/>
              </w:tabs>
              <w:ind w:left="397"/>
              <w:jc w:val="both"/>
              <w:rPr>
                <w:i/>
                <w:sz w:val="18"/>
                <w:szCs w:val="18"/>
              </w:rPr>
            </w:pPr>
            <w:r w:rsidRPr="002C228D">
              <w:rPr>
                <w:i/>
                <w:sz w:val="18"/>
                <w:szCs w:val="18"/>
              </w:rPr>
              <w:t>Management believes that there is no impairment in value of the fixed assets.</w:t>
            </w:r>
          </w:p>
        </w:tc>
      </w:tr>
    </w:tbl>
    <w:p w14:paraId="28FA0787" w14:textId="11AE44A4" w:rsidR="006254FE" w:rsidRDefault="006254FE">
      <w:pPr>
        <w:rPr>
          <w:sz w:val="10"/>
          <w:szCs w:val="10"/>
        </w:rPr>
      </w:pPr>
    </w:p>
    <w:p w14:paraId="658BF954" w14:textId="77777777" w:rsidR="00E35A68" w:rsidRPr="00E35A68" w:rsidRDefault="00E35A68">
      <w:pPr>
        <w:rPr>
          <w:sz w:val="10"/>
          <w:szCs w:val="10"/>
        </w:rPr>
      </w:pPr>
    </w:p>
    <w:tbl>
      <w:tblPr>
        <w:tblW w:w="9197" w:type="dxa"/>
        <w:tblInd w:w="108" w:type="dxa"/>
        <w:tblLayout w:type="fixed"/>
        <w:tblLook w:val="0000" w:firstRow="0" w:lastRow="0" w:firstColumn="0" w:lastColumn="0" w:noHBand="0" w:noVBand="0"/>
      </w:tblPr>
      <w:tblGrid>
        <w:gridCol w:w="4598"/>
        <w:gridCol w:w="4599"/>
      </w:tblGrid>
      <w:tr w:rsidR="006254FE" w:rsidRPr="0013526B" w14:paraId="212379CB" w14:textId="77777777" w:rsidTr="004664E3">
        <w:tc>
          <w:tcPr>
            <w:tcW w:w="2500" w:type="pct"/>
            <w:tcBorders>
              <w:top w:val="nil"/>
              <w:left w:val="nil"/>
              <w:bottom w:val="nil"/>
              <w:right w:val="nil"/>
            </w:tcBorders>
          </w:tcPr>
          <w:p w14:paraId="71EA5D55" w14:textId="35AE58B1" w:rsidR="006254FE" w:rsidRPr="0013526B" w:rsidRDefault="006254FE" w:rsidP="00070D1F">
            <w:pPr>
              <w:numPr>
                <w:ilvl w:val="0"/>
                <w:numId w:val="302"/>
              </w:numPr>
              <w:ind w:left="352" w:hanging="352"/>
              <w:jc w:val="both"/>
              <w:rPr>
                <w:b/>
                <w:sz w:val="18"/>
                <w:szCs w:val="18"/>
              </w:rPr>
            </w:pPr>
            <w:r>
              <w:rPr>
                <w:b/>
                <w:sz w:val="18"/>
                <w:szCs w:val="18"/>
              </w:rPr>
              <w:t>PROPERT</w:t>
            </w:r>
            <w:r w:rsidR="00523C4E">
              <w:rPr>
                <w:b/>
                <w:sz w:val="18"/>
                <w:szCs w:val="18"/>
              </w:rPr>
              <w:t>I</w:t>
            </w:r>
            <w:r>
              <w:rPr>
                <w:b/>
                <w:sz w:val="18"/>
                <w:szCs w:val="18"/>
              </w:rPr>
              <w:t xml:space="preserve"> INVESTASI</w:t>
            </w:r>
          </w:p>
        </w:tc>
        <w:tc>
          <w:tcPr>
            <w:tcW w:w="2500" w:type="pct"/>
            <w:tcBorders>
              <w:top w:val="nil"/>
              <w:left w:val="nil"/>
              <w:bottom w:val="nil"/>
              <w:right w:val="nil"/>
            </w:tcBorders>
          </w:tcPr>
          <w:p w14:paraId="470B8CC0" w14:textId="43FBABC9" w:rsidR="006254FE" w:rsidRPr="0013526B" w:rsidRDefault="006254FE" w:rsidP="00070D1F">
            <w:pPr>
              <w:numPr>
                <w:ilvl w:val="0"/>
                <w:numId w:val="303"/>
              </w:numPr>
              <w:ind w:left="406" w:hanging="363"/>
              <w:jc w:val="both"/>
              <w:rPr>
                <w:b/>
                <w:i/>
                <w:sz w:val="18"/>
                <w:szCs w:val="18"/>
              </w:rPr>
            </w:pPr>
            <w:r>
              <w:rPr>
                <w:b/>
                <w:i/>
                <w:sz w:val="18"/>
                <w:szCs w:val="18"/>
              </w:rPr>
              <w:t xml:space="preserve">INVESTMENT </w:t>
            </w:r>
            <w:r w:rsidRPr="0013526B">
              <w:rPr>
                <w:b/>
                <w:i/>
                <w:sz w:val="18"/>
                <w:szCs w:val="18"/>
              </w:rPr>
              <w:t>PROPERTY</w:t>
            </w:r>
          </w:p>
        </w:tc>
      </w:tr>
    </w:tbl>
    <w:p w14:paraId="16347D62" w14:textId="77777777" w:rsidR="00E35A68" w:rsidRPr="00E35A68" w:rsidRDefault="00E35A68">
      <w:pPr>
        <w:rPr>
          <w:sz w:val="10"/>
          <w:szCs w:val="10"/>
        </w:rPr>
      </w:pPr>
    </w:p>
    <w:tbl>
      <w:tblPr>
        <w:tblW w:w="9197" w:type="dxa"/>
        <w:tblInd w:w="108" w:type="dxa"/>
        <w:tblLayout w:type="fixed"/>
        <w:tblLook w:val="0000" w:firstRow="0" w:lastRow="0" w:firstColumn="0" w:lastColumn="0" w:noHBand="0" w:noVBand="0"/>
      </w:tblPr>
      <w:tblGrid>
        <w:gridCol w:w="4598"/>
        <w:gridCol w:w="4599"/>
      </w:tblGrid>
      <w:tr w:rsidR="00624BC8" w:rsidRPr="0013526B" w14:paraId="0106CC69" w14:textId="77777777" w:rsidTr="004664E3">
        <w:tc>
          <w:tcPr>
            <w:tcW w:w="2500" w:type="pct"/>
            <w:tcBorders>
              <w:top w:val="nil"/>
              <w:left w:val="nil"/>
              <w:bottom w:val="nil"/>
              <w:right w:val="nil"/>
            </w:tcBorders>
            <w:shd w:val="clear" w:color="auto" w:fill="auto"/>
          </w:tcPr>
          <w:p w14:paraId="3F12F3D8" w14:textId="03FFA267" w:rsidR="00624BC8" w:rsidRPr="002C228D" w:rsidRDefault="006254FE" w:rsidP="003C6E0B">
            <w:pPr>
              <w:pStyle w:val="ListParagraph"/>
              <w:ind w:left="374"/>
              <w:jc w:val="both"/>
              <w:rPr>
                <w:sz w:val="18"/>
                <w:szCs w:val="18"/>
              </w:rPr>
            </w:pPr>
            <w:r w:rsidRPr="002C228D">
              <w:rPr>
                <w:sz w:val="18"/>
                <w:szCs w:val="18"/>
              </w:rPr>
              <w:t>FKN memiliki sebidang tanah yang terletak di Bogor</w:t>
            </w:r>
            <w:r w:rsidR="00870FD0">
              <w:rPr>
                <w:sz w:val="18"/>
                <w:szCs w:val="18"/>
              </w:rPr>
              <w:t>.</w:t>
            </w:r>
            <w:r w:rsidRPr="002C228D">
              <w:rPr>
                <w:sz w:val="18"/>
                <w:szCs w:val="18"/>
              </w:rPr>
              <w:t xml:space="preserve"> Jawa Barat seluas 20.000 m² dengan hak legal berupa Hak Guna Bangunan HGB dengan jangka waktu 20 tahun yang akan jatuh tempo pada tahun 2034 dengan nilai tercatat Rp</w:t>
            </w:r>
            <w:r w:rsidR="004A1988">
              <w:rPr>
                <w:sz w:val="18"/>
                <w:szCs w:val="18"/>
              </w:rPr>
              <w:t xml:space="preserve"> </w:t>
            </w:r>
            <w:r w:rsidRPr="002C228D">
              <w:rPr>
                <w:sz w:val="18"/>
                <w:szCs w:val="18"/>
              </w:rPr>
              <w:t>40.010.000.000. HGB untuk tanah tersebut masih atas nama PT Sentul City Tbk. Manajemen berkeyakinan bahwa tidak terdapat masalah dengan perpanjangan hak tersebut.</w:t>
            </w:r>
          </w:p>
        </w:tc>
        <w:tc>
          <w:tcPr>
            <w:tcW w:w="2500" w:type="pct"/>
            <w:tcBorders>
              <w:top w:val="nil"/>
              <w:left w:val="nil"/>
              <w:bottom w:val="nil"/>
              <w:right w:val="nil"/>
            </w:tcBorders>
            <w:shd w:val="clear" w:color="auto" w:fill="auto"/>
          </w:tcPr>
          <w:p w14:paraId="55217EB5" w14:textId="2F0FA4C1" w:rsidR="00624BC8" w:rsidRPr="002C228D" w:rsidRDefault="006254FE" w:rsidP="00AC2673">
            <w:pPr>
              <w:pStyle w:val="ListParagraph"/>
              <w:tabs>
                <w:tab w:val="right" w:pos="9340"/>
                <w:tab w:val="right" w:pos="10080"/>
              </w:tabs>
              <w:ind w:left="397"/>
              <w:jc w:val="both"/>
              <w:rPr>
                <w:i/>
                <w:sz w:val="18"/>
                <w:szCs w:val="18"/>
              </w:rPr>
            </w:pPr>
            <w:r w:rsidRPr="002C228D">
              <w:rPr>
                <w:i/>
                <w:sz w:val="18"/>
                <w:szCs w:val="18"/>
              </w:rPr>
              <w:t>FKN owns a land located in Bogor</w:t>
            </w:r>
            <w:r w:rsidR="00870FD0">
              <w:rPr>
                <w:i/>
                <w:sz w:val="18"/>
                <w:szCs w:val="18"/>
              </w:rPr>
              <w:t>.</w:t>
            </w:r>
            <w:r w:rsidRPr="002C228D">
              <w:rPr>
                <w:i/>
                <w:sz w:val="18"/>
                <w:szCs w:val="18"/>
              </w:rPr>
              <w:t xml:space="preserve"> West Java measuring 20</w:t>
            </w:r>
            <w:r w:rsidR="00AC2673">
              <w:rPr>
                <w:i/>
                <w:sz w:val="18"/>
                <w:szCs w:val="18"/>
              </w:rPr>
              <w:t>,</w:t>
            </w:r>
            <w:r w:rsidRPr="002C228D">
              <w:rPr>
                <w:i/>
                <w:sz w:val="18"/>
                <w:szCs w:val="18"/>
              </w:rPr>
              <w:t>000 m² with legal landrights in the form of building use rights Hak Guna Bangunan or HGB with term of 20 years that will be expire in 2034 with carrying value amounting Rp</w:t>
            </w:r>
            <w:r w:rsidR="004A1988">
              <w:rPr>
                <w:i/>
                <w:sz w:val="18"/>
                <w:szCs w:val="18"/>
              </w:rPr>
              <w:t xml:space="preserve"> </w:t>
            </w:r>
            <w:r w:rsidRPr="002C228D">
              <w:rPr>
                <w:i/>
                <w:sz w:val="18"/>
                <w:szCs w:val="18"/>
              </w:rPr>
              <w:t>40</w:t>
            </w:r>
            <w:r w:rsidR="00AC2673">
              <w:rPr>
                <w:i/>
                <w:sz w:val="18"/>
                <w:szCs w:val="18"/>
              </w:rPr>
              <w:t>,</w:t>
            </w:r>
            <w:r w:rsidRPr="002C228D">
              <w:rPr>
                <w:i/>
                <w:sz w:val="18"/>
                <w:szCs w:val="18"/>
              </w:rPr>
              <w:t>010</w:t>
            </w:r>
            <w:r w:rsidR="00AC2673">
              <w:rPr>
                <w:i/>
                <w:sz w:val="18"/>
                <w:szCs w:val="18"/>
              </w:rPr>
              <w:t>,</w:t>
            </w:r>
            <w:r w:rsidRPr="002C228D">
              <w:rPr>
                <w:i/>
                <w:sz w:val="18"/>
                <w:szCs w:val="18"/>
              </w:rPr>
              <w:t>000</w:t>
            </w:r>
            <w:r w:rsidR="00AC2673">
              <w:rPr>
                <w:i/>
                <w:sz w:val="18"/>
                <w:szCs w:val="18"/>
              </w:rPr>
              <w:t>,</w:t>
            </w:r>
            <w:r w:rsidRPr="002C228D">
              <w:rPr>
                <w:i/>
                <w:sz w:val="18"/>
                <w:szCs w:val="18"/>
              </w:rPr>
              <w:t xml:space="preserve">000. The landright “Hak Guna Bangunan” is still </w:t>
            </w:r>
            <w:r w:rsidR="004F3CE1">
              <w:rPr>
                <w:i/>
                <w:sz w:val="18"/>
                <w:szCs w:val="18"/>
              </w:rPr>
              <w:t>in the name of</w:t>
            </w:r>
            <w:r w:rsidRPr="002C228D">
              <w:rPr>
                <w:i/>
                <w:sz w:val="18"/>
                <w:szCs w:val="18"/>
              </w:rPr>
              <w:t xml:space="preserve"> PT Sentul City Tbk. Management believes that there will be no difficulty in the extension of the land rights.</w:t>
            </w:r>
          </w:p>
        </w:tc>
      </w:tr>
      <w:tr w:rsidR="00624BC8" w:rsidRPr="0013526B" w14:paraId="5F3F57C8" w14:textId="77777777" w:rsidTr="004664E3">
        <w:tc>
          <w:tcPr>
            <w:tcW w:w="2500" w:type="pct"/>
            <w:tcBorders>
              <w:top w:val="nil"/>
              <w:left w:val="nil"/>
              <w:bottom w:val="nil"/>
              <w:right w:val="nil"/>
            </w:tcBorders>
            <w:shd w:val="clear" w:color="auto" w:fill="auto"/>
          </w:tcPr>
          <w:p w14:paraId="7CDC85C6" w14:textId="77777777" w:rsidR="00624BC8" w:rsidRPr="002C228D" w:rsidRDefault="00624BC8" w:rsidP="008810CD">
            <w:pPr>
              <w:pStyle w:val="ListParagraph"/>
              <w:ind w:left="340"/>
              <w:jc w:val="both"/>
              <w:rPr>
                <w:sz w:val="18"/>
                <w:szCs w:val="18"/>
              </w:rPr>
            </w:pPr>
          </w:p>
        </w:tc>
        <w:tc>
          <w:tcPr>
            <w:tcW w:w="2500" w:type="pct"/>
            <w:tcBorders>
              <w:top w:val="nil"/>
              <w:left w:val="nil"/>
              <w:bottom w:val="nil"/>
              <w:right w:val="nil"/>
            </w:tcBorders>
            <w:shd w:val="clear" w:color="auto" w:fill="auto"/>
          </w:tcPr>
          <w:p w14:paraId="3304EE86" w14:textId="77777777" w:rsidR="00624BC8" w:rsidRPr="002C228D" w:rsidRDefault="00624BC8" w:rsidP="008810CD">
            <w:pPr>
              <w:pStyle w:val="ListParagraph"/>
              <w:tabs>
                <w:tab w:val="right" w:pos="9340"/>
                <w:tab w:val="right" w:pos="10080"/>
              </w:tabs>
              <w:ind w:left="397"/>
              <w:jc w:val="both"/>
              <w:rPr>
                <w:i/>
                <w:sz w:val="18"/>
                <w:szCs w:val="18"/>
              </w:rPr>
            </w:pPr>
          </w:p>
        </w:tc>
      </w:tr>
      <w:tr w:rsidR="006254FE" w:rsidRPr="0013526B" w14:paraId="42626BC0" w14:textId="77777777" w:rsidTr="004664E3">
        <w:tc>
          <w:tcPr>
            <w:tcW w:w="2500" w:type="pct"/>
            <w:tcBorders>
              <w:top w:val="nil"/>
              <w:left w:val="nil"/>
              <w:bottom w:val="nil"/>
              <w:right w:val="nil"/>
            </w:tcBorders>
            <w:shd w:val="clear" w:color="auto" w:fill="auto"/>
          </w:tcPr>
          <w:p w14:paraId="7E363337" w14:textId="078000F0" w:rsidR="006254FE" w:rsidRPr="00CF1613" w:rsidRDefault="006254FE" w:rsidP="00AC2673">
            <w:pPr>
              <w:pStyle w:val="ListParagraph"/>
              <w:ind w:left="374"/>
              <w:jc w:val="both"/>
              <w:rPr>
                <w:sz w:val="18"/>
                <w:szCs w:val="18"/>
              </w:rPr>
            </w:pPr>
            <w:r w:rsidRPr="00CF1613">
              <w:rPr>
                <w:sz w:val="18"/>
                <w:szCs w:val="18"/>
              </w:rPr>
              <w:t>Rincian nilai tercatat dan nilai wajar properti investa</w:t>
            </w:r>
            <w:r w:rsidR="00652A47" w:rsidRPr="00CF1613">
              <w:rPr>
                <w:sz w:val="18"/>
                <w:szCs w:val="18"/>
              </w:rPr>
              <w:t xml:space="preserve">si pada tanggal </w:t>
            </w:r>
            <w:r w:rsidR="00AC2673" w:rsidRPr="00CF1613">
              <w:rPr>
                <w:sz w:val="18"/>
                <w:szCs w:val="18"/>
              </w:rPr>
              <w:t xml:space="preserve">31 Maret 2020 dan </w:t>
            </w:r>
            <w:r w:rsidR="00652A47" w:rsidRPr="00CF1613">
              <w:rPr>
                <w:sz w:val="18"/>
                <w:szCs w:val="18"/>
              </w:rPr>
              <w:t xml:space="preserve">31 Desember 2019 </w:t>
            </w:r>
            <w:r w:rsidRPr="00CF1613">
              <w:rPr>
                <w:sz w:val="18"/>
                <w:szCs w:val="18"/>
              </w:rPr>
              <w:t>adalah sebagai berikut:</w:t>
            </w:r>
          </w:p>
        </w:tc>
        <w:tc>
          <w:tcPr>
            <w:tcW w:w="2500" w:type="pct"/>
            <w:tcBorders>
              <w:top w:val="nil"/>
              <w:left w:val="nil"/>
              <w:bottom w:val="nil"/>
              <w:right w:val="nil"/>
            </w:tcBorders>
            <w:shd w:val="clear" w:color="auto" w:fill="auto"/>
          </w:tcPr>
          <w:p w14:paraId="0057C663" w14:textId="24A20471" w:rsidR="006254FE" w:rsidRPr="002C228D" w:rsidRDefault="006254FE" w:rsidP="00AC2673">
            <w:pPr>
              <w:pStyle w:val="ListParagraph"/>
              <w:tabs>
                <w:tab w:val="right" w:pos="9340"/>
                <w:tab w:val="right" w:pos="10080"/>
              </w:tabs>
              <w:ind w:left="397"/>
              <w:jc w:val="both"/>
              <w:rPr>
                <w:i/>
                <w:sz w:val="18"/>
                <w:szCs w:val="18"/>
              </w:rPr>
            </w:pPr>
            <w:r w:rsidRPr="00CF1613">
              <w:rPr>
                <w:i/>
                <w:sz w:val="18"/>
                <w:szCs w:val="18"/>
              </w:rPr>
              <w:t>Details of the carrying value and fair value of investment pr</w:t>
            </w:r>
            <w:r w:rsidR="00652A47" w:rsidRPr="00CF1613">
              <w:rPr>
                <w:i/>
                <w:sz w:val="18"/>
                <w:szCs w:val="18"/>
              </w:rPr>
              <w:t xml:space="preserve">operties as of </w:t>
            </w:r>
            <w:r w:rsidR="00AC2673" w:rsidRPr="00CF1613">
              <w:rPr>
                <w:i/>
                <w:sz w:val="18"/>
                <w:szCs w:val="18"/>
              </w:rPr>
              <w:t xml:space="preserve">March 31, 2020 and </w:t>
            </w:r>
            <w:r w:rsidR="00652A47" w:rsidRPr="00CF1613">
              <w:rPr>
                <w:i/>
                <w:sz w:val="18"/>
                <w:szCs w:val="18"/>
              </w:rPr>
              <w:t>December 31</w:t>
            </w:r>
            <w:r w:rsidR="00AC2673" w:rsidRPr="00CF1613">
              <w:rPr>
                <w:i/>
                <w:sz w:val="18"/>
                <w:szCs w:val="18"/>
              </w:rPr>
              <w:t>,</w:t>
            </w:r>
            <w:r w:rsidR="00652A47" w:rsidRPr="00CF1613">
              <w:rPr>
                <w:i/>
                <w:sz w:val="18"/>
                <w:szCs w:val="18"/>
              </w:rPr>
              <w:t xml:space="preserve"> 2019</w:t>
            </w:r>
            <w:r w:rsidRPr="00CF1613">
              <w:rPr>
                <w:i/>
                <w:sz w:val="18"/>
                <w:szCs w:val="18"/>
              </w:rPr>
              <w:t xml:space="preserve"> are as follows:</w:t>
            </w:r>
          </w:p>
        </w:tc>
      </w:tr>
    </w:tbl>
    <w:p w14:paraId="56A266D7" w14:textId="77777777" w:rsidR="00DF4505" w:rsidRPr="00DF4505" w:rsidRDefault="00DF4505" w:rsidP="0013526B">
      <w:pPr>
        <w:rPr>
          <w:sz w:val="14"/>
          <w:lang w:val="id-ID"/>
        </w:rPr>
      </w:pPr>
    </w:p>
    <w:tbl>
      <w:tblPr>
        <w:tblW w:w="9214" w:type="dxa"/>
        <w:tblInd w:w="113" w:type="dxa"/>
        <w:tblBorders>
          <w:bottom w:val="double" w:sz="4" w:space="0" w:color="auto"/>
        </w:tblBorders>
        <w:tblCellMar>
          <w:left w:w="0" w:type="dxa"/>
          <w:right w:w="0" w:type="dxa"/>
        </w:tblCellMar>
        <w:tblLook w:val="04A0" w:firstRow="1" w:lastRow="0" w:firstColumn="1" w:lastColumn="0" w:noHBand="0" w:noVBand="1"/>
      </w:tblPr>
      <w:tblGrid>
        <w:gridCol w:w="1701"/>
        <w:gridCol w:w="1418"/>
        <w:gridCol w:w="142"/>
        <w:gridCol w:w="1275"/>
        <w:gridCol w:w="142"/>
        <w:gridCol w:w="1418"/>
        <w:gridCol w:w="141"/>
        <w:gridCol w:w="1560"/>
        <w:gridCol w:w="141"/>
        <w:gridCol w:w="1276"/>
      </w:tblGrid>
      <w:tr w:rsidR="00856E46" w:rsidRPr="0013526B" w14:paraId="1C19D1FA" w14:textId="77777777" w:rsidTr="004F3CE1">
        <w:trPr>
          <w:trHeight w:val="74"/>
        </w:trPr>
        <w:tc>
          <w:tcPr>
            <w:tcW w:w="1701" w:type="dxa"/>
            <w:shd w:val="clear" w:color="auto" w:fill="auto"/>
          </w:tcPr>
          <w:p w14:paraId="542E343B" w14:textId="77777777" w:rsidR="00856E46" w:rsidRPr="0013526B" w:rsidRDefault="00856E46" w:rsidP="00B1362E">
            <w:pPr>
              <w:ind w:left="318" w:hanging="318"/>
              <w:jc w:val="both"/>
              <w:rPr>
                <w:sz w:val="18"/>
                <w:szCs w:val="18"/>
              </w:rPr>
            </w:pPr>
          </w:p>
        </w:tc>
        <w:tc>
          <w:tcPr>
            <w:tcW w:w="2835" w:type="dxa"/>
            <w:gridSpan w:val="3"/>
            <w:tcBorders>
              <w:bottom w:val="single" w:sz="4" w:space="0" w:color="auto"/>
            </w:tcBorders>
            <w:shd w:val="clear" w:color="auto" w:fill="auto"/>
          </w:tcPr>
          <w:p w14:paraId="3ADAE289" w14:textId="3E8AD353" w:rsidR="00856E46" w:rsidRPr="0013526B" w:rsidRDefault="00AD6CCA" w:rsidP="00AD6CCA">
            <w:pPr>
              <w:jc w:val="center"/>
              <w:rPr>
                <w:b/>
                <w:sz w:val="18"/>
                <w:szCs w:val="18"/>
              </w:rPr>
            </w:pPr>
            <w:r>
              <w:rPr>
                <w:b/>
                <w:sz w:val="18"/>
                <w:szCs w:val="18"/>
              </w:rPr>
              <w:t xml:space="preserve">31 Maret/March 31, </w:t>
            </w:r>
            <w:r w:rsidR="00856E46" w:rsidRPr="0013526B">
              <w:rPr>
                <w:b/>
                <w:sz w:val="18"/>
                <w:szCs w:val="18"/>
              </w:rPr>
              <w:t>20</w:t>
            </w:r>
            <w:r>
              <w:rPr>
                <w:b/>
                <w:sz w:val="18"/>
                <w:szCs w:val="18"/>
              </w:rPr>
              <w:t xml:space="preserve">20 </w:t>
            </w:r>
          </w:p>
        </w:tc>
        <w:tc>
          <w:tcPr>
            <w:tcW w:w="142" w:type="dxa"/>
            <w:shd w:val="clear" w:color="auto" w:fill="auto"/>
          </w:tcPr>
          <w:p w14:paraId="2E6A47C1" w14:textId="473AEE75" w:rsidR="00856E46" w:rsidRPr="0013526B" w:rsidRDefault="00856E46" w:rsidP="00B1362E">
            <w:pPr>
              <w:jc w:val="both"/>
              <w:rPr>
                <w:b/>
                <w:sz w:val="18"/>
                <w:szCs w:val="18"/>
              </w:rPr>
            </w:pPr>
          </w:p>
        </w:tc>
        <w:tc>
          <w:tcPr>
            <w:tcW w:w="3119" w:type="dxa"/>
            <w:gridSpan w:val="3"/>
            <w:tcBorders>
              <w:bottom w:val="single" w:sz="4" w:space="0" w:color="auto"/>
            </w:tcBorders>
          </w:tcPr>
          <w:p w14:paraId="63B06A80" w14:textId="5931FB30" w:rsidR="00856E46" w:rsidRPr="0013526B" w:rsidRDefault="00AD6CCA" w:rsidP="00AD6CCA">
            <w:pPr>
              <w:jc w:val="center"/>
              <w:rPr>
                <w:b/>
                <w:sz w:val="18"/>
                <w:szCs w:val="18"/>
              </w:rPr>
            </w:pPr>
            <w:r>
              <w:rPr>
                <w:b/>
                <w:sz w:val="18"/>
                <w:szCs w:val="18"/>
              </w:rPr>
              <w:t xml:space="preserve">31 Desember/December 31, </w:t>
            </w:r>
            <w:r w:rsidR="00856E46" w:rsidRPr="0013526B">
              <w:rPr>
                <w:b/>
                <w:sz w:val="18"/>
                <w:szCs w:val="18"/>
              </w:rPr>
              <w:t>201</w:t>
            </w:r>
            <w:r>
              <w:rPr>
                <w:b/>
                <w:sz w:val="18"/>
                <w:szCs w:val="18"/>
              </w:rPr>
              <w:t>9</w:t>
            </w:r>
          </w:p>
        </w:tc>
        <w:tc>
          <w:tcPr>
            <w:tcW w:w="141" w:type="dxa"/>
          </w:tcPr>
          <w:p w14:paraId="01F29CC7" w14:textId="77777777" w:rsidR="00856E46" w:rsidRPr="0013526B" w:rsidRDefault="00856E46" w:rsidP="00B1362E">
            <w:pPr>
              <w:jc w:val="center"/>
              <w:rPr>
                <w:b/>
                <w:sz w:val="18"/>
                <w:szCs w:val="18"/>
              </w:rPr>
            </w:pPr>
          </w:p>
        </w:tc>
        <w:tc>
          <w:tcPr>
            <w:tcW w:w="1276" w:type="dxa"/>
            <w:shd w:val="clear" w:color="auto" w:fill="auto"/>
          </w:tcPr>
          <w:p w14:paraId="0A70953C" w14:textId="77777777" w:rsidR="00856E46" w:rsidRPr="0013526B" w:rsidRDefault="00856E46" w:rsidP="00B1362E">
            <w:pPr>
              <w:jc w:val="both"/>
              <w:rPr>
                <w:sz w:val="18"/>
                <w:szCs w:val="18"/>
              </w:rPr>
            </w:pPr>
          </w:p>
        </w:tc>
      </w:tr>
      <w:tr w:rsidR="00856E46" w:rsidRPr="00E35A68" w14:paraId="7F3C7076" w14:textId="77777777" w:rsidTr="004F3CE1">
        <w:trPr>
          <w:trHeight w:val="74"/>
        </w:trPr>
        <w:tc>
          <w:tcPr>
            <w:tcW w:w="1701" w:type="dxa"/>
            <w:shd w:val="clear" w:color="auto" w:fill="auto"/>
          </w:tcPr>
          <w:p w14:paraId="2599199F" w14:textId="77777777" w:rsidR="00856E46" w:rsidRPr="00E35A68" w:rsidRDefault="00856E46" w:rsidP="00B1362E">
            <w:pPr>
              <w:jc w:val="both"/>
              <w:rPr>
                <w:sz w:val="10"/>
                <w:szCs w:val="10"/>
              </w:rPr>
            </w:pPr>
          </w:p>
        </w:tc>
        <w:tc>
          <w:tcPr>
            <w:tcW w:w="1418" w:type="dxa"/>
            <w:tcBorders>
              <w:top w:val="single" w:sz="4" w:space="0" w:color="auto"/>
              <w:bottom w:val="nil"/>
            </w:tcBorders>
            <w:shd w:val="clear" w:color="auto" w:fill="auto"/>
            <w:vAlign w:val="bottom"/>
          </w:tcPr>
          <w:p w14:paraId="7D78AC45" w14:textId="77777777" w:rsidR="00856E46" w:rsidRPr="00E35A68" w:rsidRDefault="00856E46" w:rsidP="00B1362E">
            <w:pPr>
              <w:jc w:val="right"/>
              <w:rPr>
                <w:b/>
                <w:sz w:val="10"/>
                <w:szCs w:val="10"/>
              </w:rPr>
            </w:pPr>
          </w:p>
        </w:tc>
        <w:tc>
          <w:tcPr>
            <w:tcW w:w="142" w:type="dxa"/>
            <w:tcBorders>
              <w:top w:val="single" w:sz="4" w:space="0" w:color="auto"/>
            </w:tcBorders>
          </w:tcPr>
          <w:p w14:paraId="58A9C716" w14:textId="77777777" w:rsidR="00856E46" w:rsidRPr="00E35A68" w:rsidRDefault="00856E46" w:rsidP="00B1362E">
            <w:pPr>
              <w:jc w:val="right"/>
              <w:rPr>
                <w:b/>
                <w:sz w:val="10"/>
                <w:szCs w:val="10"/>
              </w:rPr>
            </w:pPr>
          </w:p>
        </w:tc>
        <w:tc>
          <w:tcPr>
            <w:tcW w:w="1275" w:type="dxa"/>
            <w:tcBorders>
              <w:top w:val="single" w:sz="4" w:space="0" w:color="auto"/>
              <w:bottom w:val="nil"/>
            </w:tcBorders>
          </w:tcPr>
          <w:p w14:paraId="5471A319" w14:textId="4922D748" w:rsidR="00856E46" w:rsidRPr="00E35A68" w:rsidRDefault="00856E46" w:rsidP="00B1362E">
            <w:pPr>
              <w:jc w:val="right"/>
              <w:rPr>
                <w:b/>
                <w:sz w:val="10"/>
                <w:szCs w:val="10"/>
              </w:rPr>
            </w:pPr>
          </w:p>
        </w:tc>
        <w:tc>
          <w:tcPr>
            <w:tcW w:w="142" w:type="dxa"/>
            <w:shd w:val="clear" w:color="auto" w:fill="auto"/>
            <w:vAlign w:val="bottom"/>
          </w:tcPr>
          <w:p w14:paraId="1975C629" w14:textId="7A31680D" w:rsidR="00856E46" w:rsidRPr="00E35A68" w:rsidRDefault="00856E46" w:rsidP="00B1362E">
            <w:pPr>
              <w:jc w:val="right"/>
              <w:rPr>
                <w:b/>
                <w:sz w:val="10"/>
                <w:szCs w:val="10"/>
              </w:rPr>
            </w:pPr>
          </w:p>
        </w:tc>
        <w:tc>
          <w:tcPr>
            <w:tcW w:w="1418" w:type="dxa"/>
            <w:tcBorders>
              <w:top w:val="single" w:sz="4" w:space="0" w:color="auto"/>
              <w:bottom w:val="nil"/>
            </w:tcBorders>
          </w:tcPr>
          <w:p w14:paraId="66FEEA8F" w14:textId="77777777" w:rsidR="00856E46" w:rsidRPr="00E35A68" w:rsidRDefault="00856E46" w:rsidP="00B1362E">
            <w:pPr>
              <w:jc w:val="right"/>
              <w:rPr>
                <w:b/>
                <w:sz w:val="10"/>
                <w:szCs w:val="10"/>
              </w:rPr>
            </w:pPr>
          </w:p>
        </w:tc>
        <w:tc>
          <w:tcPr>
            <w:tcW w:w="141" w:type="dxa"/>
            <w:tcBorders>
              <w:top w:val="single" w:sz="4" w:space="0" w:color="auto"/>
            </w:tcBorders>
          </w:tcPr>
          <w:p w14:paraId="5C7960B8" w14:textId="77777777" w:rsidR="00856E46" w:rsidRPr="00E35A68" w:rsidRDefault="00856E46" w:rsidP="00B1362E">
            <w:pPr>
              <w:jc w:val="right"/>
              <w:rPr>
                <w:b/>
                <w:sz w:val="10"/>
                <w:szCs w:val="10"/>
              </w:rPr>
            </w:pPr>
          </w:p>
        </w:tc>
        <w:tc>
          <w:tcPr>
            <w:tcW w:w="1560" w:type="dxa"/>
            <w:tcBorders>
              <w:top w:val="single" w:sz="4" w:space="0" w:color="auto"/>
              <w:bottom w:val="nil"/>
            </w:tcBorders>
          </w:tcPr>
          <w:p w14:paraId="4EF8274A" w14:textId="01CE6B81" w:rsidR="00856E46" w:rsidRPr="00E35A68" w:rsidRDefault="00856E46" w:rsidP="00B1362E">
            <w:pPr>
              <w:jc w:val="right"/>
              <w:rPr>
                <w:b/>
                <w:sz w:val="10"/>
                <w:szCs w:val="10"/>
              </w:rPr>
            </w:pPr>
          </w:p>
        </w:tc>
        <w:tc>
          <w:tcPr>
            <w:tcW w:w="141" w:type="dxa"/>
          </w:tcPr>
          <w:p w14:paraId="2108102F" w14:textId="77777777" w:rsidR="00856E46" w:rsidRPr="00E35A68" w:rsidRDefault="00856E46" w:rsidP="00B1362E">
            <w:pPr>
              <w:jc w:val="right"/>
              <w:rPr>
                <w:b/>
                <w:sz w:val="10"/>
                <w:szCs w:val="10"/>
              </w:rPr>
            </w:pPr>
          </w:p>
        </w:tc>
        <w:tc>
          <w:tcPr>
            <w:tcW w:w="1276" w:type="dxa"/>
            <w:shd w:val="clear" w:color="auto" w:fill="auto"/>
          </w:tcPr>
          <w:p w14:paraId="67A9FC2E" w14:textId="77777777" w:rsidR="00856E46" w:rsidRPr="00E35A68" w:rsidRDefault="00856E46" w:rsidP="00B1362E">
            <w:pPr>
              <w:jc w:val="both"/>
              <w:rPr>
                <w:sz w:val="10"/>
                <w:szCs w:val="10"/>
              </w:rPr>
            </w:pPr>
          </w:p>
        </w:tc>
      </w:tr>
      <w:tr w:rsidR="00856E46" w:rsidRPr="0013526B" w14:paraId="73908E0A" w14:textId="77777777" w:rsidTr="004F3CE1">
        <w:tc>
          <w:tcPr>
            <w:tcW w:w="1701" w:type="dxa"/>
            <w:shd w:val="clear" w:color="auto" w:fill="auto"/>
          </w:tcPr>
          <w:p w14:paraId="4CB35375" w14:textId="3C675166" w:rsidR="00856E46" w:rsidRPr="0013526B" w:rsidRDefault="00856E46" w:rsidP="00B1362E">
            <w:pPr>
              <w:rPr>
                <w:sz w:val="18"/>
                <w:szCs w:val="18"/>
              </w:rPr>
            </w:pPr>
          </w:p>
        </w:tc>
        <w:tc>
          <w:tcPr>
            <w:tcW w:w="1418" w:type="dxa"/>
            <w:tcBorders>
              <w:bottom w:val="single" w:sz="4" w:space="0" w:color="auto"/>
            </w:tcBorders>
            <w:shd w:val="clear" w:color="auto" w:fill="auto"/>
            <w:vAlign w:val="bottom"/>
          </w:tcPr>
          <w:p w14:paraId="16957B42" w14:textId="2EA597D5" w:rsidR="00856E46" w:rsidRPr="00856E46" w:rsidRDefault="00856E46" w:rsidP="004F3CE1">
            <w:pPr>
              <w:ind w:right="57"/>
              <w:jc w:val="center"/>
              <w:rPr>
                <w:b/>
                <w:sz w:val="18"/>
                <w:szCs w:val="18"/>
              </w:rPr>
            </w:pPr>
            <w:r w:rsidRPr="00856E46">
              <w:rPr>
                <w:b/>
                <w:sz w:val="18"/>
                <w:szCs w:val="18"/>
              </w:rPr>
              <w:t>Nilai tercatat/</w:t>
            </w:r>
            <w:r w:rsidRPr="00856E46">
              <w:rPr>
                <w:b/>
                <w:sz w:val="18"/>
                <w:szCs w:val="18"/>
              </w:rPr>
              <w:br/>
              <w:t>Carring value</w:t>
            </w:r>
          </w:p>
        </w:tc>
        <w:tc>
          <w:tcPr>
            <w:tcW w:w="142" w:type="dxa"/>
          </w:tcPr>
          <w:p w14:paraId="46137248" w14:textId="77777777" w:rsidR="00856E46" w:rsidRPr="00856E46" w:rsidRDefault="00856E46" w:rsidP="004F3CE1">
            <w:pPr>
              <w:ind w:right="57"/>
              <w:jc w:val="center"/>
              <w:rPr>
                <w:b/>
                <w:sz w:val="18"/>
                <w:szCs w:val="18"/>
              </w:rPr>
            </w:pPr>
          </w:p>
        </w:tc>
        <w:tc>
          <w:tcPr>
            <w:tcW w:w="1275" w:type="dxa"/>
            <w:tcBorders>
              <w:bottom w:val="single" w:sz="4" w:space="0" w:color="auto"/>
            </w:tcBorders>
          </w:tcPr>
          <w:p w14:paraId="6B5F53B8" w14:textId="04478058" w:rsidR="00856E46" w:rsidRPr="00856E46" w:rsidRDefault="00856E46" w:rsidP="004F3CE1">
            <w:pPr>
              <w:ind w:right="57"/>
              <w:jc w:val="center"/>
              <w:rPr>
                <w:b/>
                <w:sz w:val="18"/>
                <w:szCs w:val="18"/>
              </w:rPr>
            </w:pPr>
            <w:r w:rsidRPr="00856E46">
              <w:rPr>
                <w:b/>
                <w:sz w:val="18"/>
                <w:szCs w:val="18"/>
              </w:rPr>
              <w:t>Nilai wajar/</w:t>
            </w:r>
          </w:p>
          <w:p w14:paraId="367FA099" w14:textId="1702AF76" w:rsidR="00856E46" w:rsidRPr="00856E46" w:rsidRDefault="00856E46" w:rsidP="004F3CE1">
            <w:pPr>
              <w:ind w:right="57"/>
              <w:jc w:val="center"/>
              <w:rPr>
                <w:b/>
                <w:sz w:val="18"/>
                <w:szCs w:val="18"/>
              </w:rPr>
            </w:pPr>
            <w:r w:rsidRPr="00856E46">
              <w:rPr>
                <w:b/>
                <w:sz w:val="18"/>
                <w:szCs w:val="18"/>
              </w:rPr>
              <w:t>Fair value</w:t>
            </w:r>
          </w:p>
        </w:tc>
        <w:tc>
          <w:tcPr>
            <w:tcW w:w="142" w:type="dxa"/>
            <w:shd w:val="clear" w:color="auto" w:fill="auto"/>
            <w:vAlign w:val="bottom"/>
          </w:tcPr>
          <w:p w14:paraId="7FA65EF3" w14:textId="268AD0F9" w:rsidR="00856E46" w:rsidRPr="00856E46" w:rsidRDefault="00856E46" w:rsidP="004F3CE1">
            <w:pPr>
              <w:ind w:right="57"/>
              <w:jc w:val="center"/>
              <w:rPr>
                <w:b/>
                <w:sz w:val="18"/>
                <w:szCs w:val="18"/>
              </w:rPr>
            </w:pPr>
          </w:p>
        </w:tc>
        <w:tc>
          <w:tcPr>
            <w:tcW w:w="1418" w:type="dxa"/>
            <w:tcBorders>
              <w:bottom w:val="single" w:sz="4" w:space="0" w:color="auto"/>
            </w:tcBorders>
            <w:vAlign w:val="bottom"/>
          </w:tcPr>
          <w:p w14:paraId="4FDCA951" w14:textId="39F01BCA" w:rsidR="00856E46" w:rsidRPr="00856E46" w:rsidRDefault="00856E46" w:rsidP="004F3CE1">
            <w:pPr>
              <w:ind w:right="57"/>
              <w:jc w:val="center"/>
              <w:rPr>
                <w:b/>
                <w:sz w:val="15"/>
              </w:rPr>
            </w:pPr>
            <w:r w:rsidRPr="00856E46">
              <w:rPr>
                <w:b/>
                <w:sz w:val="18"/>
                <w:szCs w:val="18"/>
              </w:rPr>
              <w:t>Nilai tercatat/</w:t>
            </w:r>
            <w:r w:rsidRPr="00856E46">
              <w:rPr>
                <w:b/>
                <w:sz w:val="18"/>
                <w:szCs w:val="18"/>
              </w:rPr>
              <w:br/>
              <w:t>Carring value</w:t>
            </w:r>
          </w:p>
        </w:tc>
        <w:tc>
          <w:tcPr>
            <w:tcW w:w="141" w:type="dxa"/>
          </w:tcPr>
          <w:p w14:paraId="5F585706" w14:textId="77777777" w:rsidR="00856E46" w:rsidRPr="00856E46" w:rsidRDefault="00856E46" w:rsidP="004F3CE1">
            <w:pPr>
              <w:ind w:right="57"/>
              <w:jc w:val="center"/>
              <w:rPr>
                <w:b/>
                <w:sz w:val="15"/>
              </w:rPr>
            </w:pPr>
          </w:p>
        </w:tc>
        <w:tc>
          <w:tcPr>
            <w:tcW w:w="1560" w:type="dxa"/>
            <w:tcBorders>
              <w:bottom w:val="single" w:sz="4" w:space="0" w:color="auto"/>
            </w:tcBorders>
          </w:tcPr>
          <w:p w14:paraId="4B66E7B4" w14:textId="77777777" w:rsidR="00856E46" w:rsidRPr="00856E46" w:rsidRDefault="00856E46" w:rsidP="004F3CE1">
            <w:pPr>
              <w:ind w:right="57"/>
              <w:jc w:val="center"/>
              <w:rPr>
                <w:b/>
                <w:sz w:val="18"/>
                <w:szCs w:val="18"/>
              </w:rPr>
            </w:pPr>
            <w:r w:rsidRPr="00856E46">
              <w:rPr>
                <w:b/>
                <w:sz w:val="18"/>
                <w:szCs w:val="18"/>
              </w:rPr>
              <w:t>Nilai wajar/</w:t>
            </w:r>
          </w:p>
          <w:p w14:paraId="375532F7" w14:textId="45D3BDA1" w:rsidR="00856E46" w:rsidRPr="00856E46" w:rsidRDefault="00856E46" w:rsidP="004F3CE1">
            <w:pPr>
              <w:ind w:right="57"/>
              <w:jc w:val="center"/>
              <w:rPr>
                <w:b/>
                <w:sz w:val="15"/>
              </w:rPr>
            </w:pPr>
            <w:r w:rsidRPr="00856E46">
              <w:rPr>
                <w:b/>
                <w:sz w:val="18"/>
                <w:szCs w:val="18"/>
              </w:rPr>
              <w:t>Fair value</w:t>
            </w:r>
          </w:p>
        </w:tc>
        <w:tc>
          <w:tcPr>
            <w:tcW w:w="141" w:type="dxa"/>
          </w:tcPr>
          <w:p w14:paraId="5A910EFC" w14:textId="77777777" w:rsidR="00856E46" w:rsidRDefault="00856E46" w:rsidP="00B1362E">
            <w:pPr>
              <w:ind w:right="57"/>
              <w:jc w:val="right"/>
              <w:rPr>
                <w:sz w:val="15"/>
              </w:rPr>
            </w:pPr>
          </w:p>
        </w:tc>
        <w:tc>
          <w:tcPr>
            <w:tcW w:w="1276" w:type="dxa"/>
            <w:shd w:val="clear" w:color="auto" w:fill="auto"/>
          </w:tcPr>
          <w:p w14:paraId="01E2C447" w14:textId="38C2F148" w:rsidR="00856E46" w:rsidRPr="0013526B" w:rsidRDefault="00856E46" w:rsidP="00B1362E">
            <w:pPr>
              <w:ind w:right="57"/>
              <w:jc w:val="right"/>
              <w:rPr>
                <w:i/>
                <w:sz w:val="18"/>
                <w:szCs w:val="18"/>
              </w:rPr>
            </w:pPr>
          </w:p>
        </w:tc>
      </w:tr>
      <w:tr w:rsidR="00856E46" w:rsidRPr="0013526B" w14:paraId="553CCA03" w14:textId="77777777" w:rsidTr="004F3CE1">
        <w:tc>
          <w:tcPr>
            <w:tcW w:w="1701" w:type="dxa"/>
            <w:tcBorders>
              <w:bottom w:val="nil"/>
            </w:tcBorders>
            <w:shd w:val="clear" w:color="auto" w:fill="auto"/>
          </w:tcPr>
          <w:p w14:paraId="2881F727" w14:textId="77777777" w:rsidR="00856E46" w:rsidRPr="001F28B7" w:rsidRDefault="00856E46" w:rsidP="00B1362E">
            <w:pPr>
              <w:rPr>
                <w:sz w:val="10"/>
                <w:szCs w:val="10"/>
              </w:rPr>
            </w:pPr>
          </w:p>
        </w:tc>
        <w:tc>
          <w:tcPr>
            <w:tcW w:w="1418" w:type="dxa"/>
            <w:tcBorders>
              <w:top w:val="single" w:sz="4" w:space="0" w:color="auto"/>
              <w:bottom w:val="nil"/>
            </w:tcBorders>
            <w:shd w:val="clear" w:color="auto" w:fill="auto"/>
            <w:vAlign w:val="bottom"/>
          </w:tcPr>
          <w:p w14:paraId="1CF36A63" w14:textId="77777777" w:rsidR="00856E46" w:rsidRPr="001F28B7" w:rsidRDefault="00856E46" w:rsidP="00B1362E">
            <w:pPr>
              <w:ind w:right="57"/>
              <w:jc w:val="right"/>
              <w:rPr>
                <w:sz w:val="10"/>
                <w:szCs w:val="10"/>
                <w:lang w:val="id-ID"/>
              </w:rPr>
            </w:pPr>
          </w:p>
        </w:tc>
        <w:tc>
          <w:tcPr>
            <w:tcW w:w="142" w:type="dxa"/>
            <w:tcBorders>
              <w:bottom w:val="nil"/>
            </w:tcBorders>
          </w:tcPr>
          <w:p w14:paraId="61FCB1BB" w14:textId="77777777" w:rsidR="00856E46" w:rsidRPr="001F28B7" w:rsidRDefault="00856E46" w:rsidP="00B1362E">
            <w:pPr>
              <w:ind w:right="57"/>
              <w:jc w:val="right"/>
              <w:rPr>
                <w:sz w:val="10"/>
                <w:szCs w:val="10"/>
              </w:rPr>
            </w:pPr>
          </w:p>
        </w:tc>
        <w:tc>
          <w:tcPr>
            <w:tcW w:w="1275" w:type="dxa"/>
            <w:tcBorders>
              <w:top w:val="single" w:sz="4" w:space="0" w:color="auto"/>
              <w:bottom w:val="nil"/>
            </w:tcBorders>
          </w:tcPr>
          <w:p w14:paraId="41451BED" w14:textId="7314047A" w:rsidR="00856E46" w:rsidRPr="001F28B7" w:rsidRDefault="00856E46" w:rsidP="00B1362E">
            <w:pPr>
              <w:ind w:right="57"/>
              <w:jc w:val="right"/>
              <w:rPr>
                <w:sz w:val="10"/>
                <w:szCs w:val="10"/>
              </w:rPr>
            </w:pPr>
          </w:p>
        </w:tc>
        <w:tc>
          <w:tcPr>
            <w:tcW w:w="142" w:type="dxa"/>
            <w:tcBorders>
              <w:bottom w:val="nil"/>
            </w:tcBorders>
            <w:shd w:val="clear" w:color="auto" w:fill="auto"/>
            <w:vAlign w:val="bottom"/>
          </w:tcPr>
          <w:p w14:paraId="134D2346" w14:textId="77777777" w:rsidR="00856E46" w:rsidRPr="001F28B7" w:rsidRDefault="00856E46" w:rsidP="00B1362E">
            <w:pPr>
              <w:ind w:right="57"/>
              <w:jc w:val="right"/>
              <w:rPr>
                <w:sz w:val="10"/>
                <w:szCs w:val="10"/>
              </w:rPr>
            </w:pPr>
          </w:p>
        </w:tc>
        <w:tc>
          <w:tcPr>
            <w:tcW w:w="1418" w:type="dxa"/>
            <w:tcBorders>
              <w:top w:val="single" w:sz="4" w:space="0" w:color="auto"/>
              <w:bottom w:val="nil"/>
            </w:tcBorders>
          </w:tcPr>
          <w:p w14:paraId="114EF58C" w14:textId="77777777" w:rsidR="00856E46" w:rsidRPr="001F28B7" w:rsidRDefault="00856E46" w:rsidP="00B1362E">
            <w:pPr>
              <w:ind w:right="57"/>
              <w:jc w:val="right"/>
              <w:rPr>
                <w:sz w:val="10"/>
                <w:szCs w:val="10"/>
              </w:rPr>
            </w:pPr>
          </w:p>
        </w:tc>
        <w:tc>
          <w:tcPr>
            <w:tcW w:w="141" w:type="dxa"/>
            <w:tcBorders>
              <w:bottom w:val="nil"/>
            </w:tcBorders>
          </w:tcPr>
          <w:p w14:paraId="1D2EA96B" w14:textId="77777777" w:rsidR="00856E46" w:rsidRPr="001F28B7" w:rsidRDefault="00856E46" w:rsidP="00B1362E">
            <w:pPr>
              <w:ind w:right="57"/>
              <w:jc w:val="right"/>
              <w:rPr>
                <w:sz w:val="10"/>
                <w:szCs w:val="10"/>
              </w:rPr>
            </w:pPr>
          </w:p>
        </w:tc>
        <w:tc>
          <w:tcPr>
            <w:tcW w:w="1560" w:type="dxa"/>
            <w:tcBorders>
              <w:top w:val="single" w:sz="4" w:space="0" w:color="auto"/>
              <w:bottom w:val="nil"/>
            </w:tcBorders>
          </w:tcPr>
          <w:p w14:paraId="22263222" w14:textId="77777777" w:rsidR="00856E46" w:rsidRPr="001F28B7" w:rsidRDefault="00856E46" w:rsidP="00B1362E">
            <w:pPr>
              <w:ind w:right="57"/>
              <w:jc w:val="right"/>
              <w:rPr>
                <w:sz w:val="10"/>
                <w:szCs w:val="10"/>
              </w:rPr>
            </w:pPr>
          </w:p>
        </w:tc>
        <w:tc>
          <w:tcPr>
            <w:tcW w:w="141" w:type="dxa"/>
            <w:tcBorders>
              <w:bottom w:val="nil"/>
            </w:tcBorders>
          </w:tcPr>
          <w:p w14:paraId="2E5E0809" w14:textId="77777777" w:rsidR="00856E46" w:rsidRPr="001F28B7" w:rsidRDefault="00856E46" w:rsidP="00B1362E">
            <w:pPr>
              <w:ind w:right="57"/>
              <w:jc w:val="right"/>
              <w:rPr>
                <w:sz w:val="10"/>
                <w:szCs w:val="10"/>
              </w:rPr>
            </w:pPr>
          </w:p>
        </w:tc>
        <w:tc>
          <w:tcPr>
            <w:tcW w:w="1276" w:type="dxa"/>
            <w:tcBorders>
              <w:bottom w:val="nil"/>
            </w:tcBorders>
            <w:shd w:val="clear" w:color="auto" w:fill="auto"/>
          </w:tcPr>
          <w:p w14:paraId="561A97C2" w14:textId="77777777" w:rsidR="00856E46" w:rsidRPr="001F28B7" w:rsidRDefault="00856E46" w:rsidP="00B1362E">
            <w:pPr>
              <w:ind w:right="57"/>
              <w:jc w:val="right"/>
              <w:rPr>
                <w:i/>
                <w:sz w:val="10"/>
                <w:szCs w:val="10"/>
              </w:rPr>
            </w:pPr>
          </w:p>
        </w:tc>
      </w:tr>
      <w:tr w:rsidR="00856E46" w:rsidRPr="004F3CE1" w14:paraId="79D3BDFA" w14:textId="77777777" w:rsidTr="004F3CE1">
        <w:tc>
          <w:tcPr>
            <w:tcW w:w="1701" w:type="dxa"/>
            <w:tcBorders>
              <w:bottom w:val="nil"/>
            </w:tcBorders>
            <w:shd w:val="clear" w:color="auto" w:fill="auto"/>
          </w:tcPr>
          <w:p w14:paraId="0BA602F6" w14:textId="62AA913E" w:rsidR="00856E46" w:rsidRPr="004F3CE1" w:rsidRDefault="00856E46" w:rsidP="003C6E0B">
            <w:pPr>
              <w:ind w:left="484"/>
              <w:rPr>
                <w:b/>
                <w:bCs w:val="0"/>
                <w:sz w:val="18"/>
                <w:szCs w:val="18"/>
              </w:rPr>
            </w:pPr>
            <w:r w:rsidRPr="004F3CE1">
              <w:rPr>
                <w:b/>
                <w:bCs w:val="0"/>
                <w:sz w:val="18"/>
                <w:szCs w:val="18"/>
              </w:rPr>
              <w:t>Tanah</w:t>
            </w:r>
          </w:p>
        </w:tc>
        <w:tc>
          <w:tcPr>
            <w:tcW w:w="1418" w:type="dxa"/>
            <w:tcBorders>
              <w:bottom w:val="double" w:sz="4" w:space="0" w:color="auto"/>
            </w:tcBorders>
            <w:shd w:val="clear" w:color="auto" w:fill="auto"/>
            <w:vAlign w:val="bottom"/>
          </w:tcPr>
          <w:p w14:paraId="7ACC3C01" w14:textId="4DA1AE79" w:rsidR="00856E46" w:rsidRPr="00306BE2" w:rsidRDefault="00EB7023" w:rsidP="00B1362E">
            <w:pPr>
              <w:ind w:right="57"/>
              <w:jc w:val="right"/>
              <w:rPr>
                <w:b/>
                <w:bCs w:val="0"/>
                <w:sz w:val="18"/>
                <w:szCs w:val="18"/>
              </w:rPr>
            </w:pPr>
            <w:r w:rsidRPr="00306BE2">
              <w:rPr>
                <w:b/>
                <w:bCs w:val="0"/>
                <w:sz w:val="18"/>
                <w:szCs w:val="18"/>
              </w:rPr>
              <w:t>40.010.000.000</w:t>
            </w:r>
          </w:p>
        </w:tc>
        <w:tc>
          <w:tcPr>
            <w:tcW w:w="142" w:type="dxa"/>
            <w:tcBorders>
              <w:bottom w:val="nil"/>
            </w:tcBorders>
          </w:tcPr>
          <w:p w14:paraId="1AD4CFB4" w14:textId="77777777" w:rsidR="00856E46" w:rsidRPr="00306BE2" w:rsidRDefault="00856E46" w:rsidP="00B1362E">
            <w:pPr>
              <w:ind w:right="57"/>
              <w:jc w:val="right"/>
              <w:rPr>
                <w:b/>
                <w:bCs w:val="0"/>
                <w:sz w:val="18"/>
                <w:szCs w:val="18"/>
              </w:rPr>
            </w:pPr>
          </w:p>
        </w:tc>
        <w:tc>
          <w:tcPr>
            <w:tcW w:w="1275" w:type="dxa"/>
            <w:tcBorders>
              <w:bottom w:val="double" w:sz="4" w:space="0" w:color="auto"/>
            </w:tcBorders>
          </w:tcPr>
          <w:p w14:paraId="27040E0D" w14:textId="1B0740B0" w:rsidR="00856E46" w:rsidRPr="00306BE2" w:rsidRDefault="00EB7023" w:rsidP="00B1362E">
            <w:pPr>
              <w:ind w:right="57"/>
              <w:jc w:val="right"/>
              <w:rPr>
                <w:b/>
                <w:bCs w:val="0"/>
                <w:sz w:val="18"/>
                <w:szCs w:val="18"/>
              </w:rPr>
            </w:pPr>
            <w:r w:rsidRPr="00306BE2">
              <w:rPr>
                <w:b/>
                <w:bCs w:val="0"/>
                <w:sz w:val="18"/>
                <w:szCs w:val="18"/>
              </w:rPr>
              <w:t>67.500.000.000</w:t>
            </w:r>
          </w:p>
        </w:tc>
        <w:tc>
          <w:tcPr>
            <w:tcW w:w="142" w:type="dxa"/>
            <w:tcBorders>
              <w:bottom w:val="nil"/>
            </w:tcBorders>
            <w:shd w:val="clear" w:color="auto" w:fill="auto"/>
            <w:vAlign w:val="bottom"/>
          </w:tcPr>
          <w:p w14:paraId="0826EBC0" w14:textId="5940D3A4" w:rsidR="00856E46" w:rsidRPr="004F3CE1" w:rsidRDefault="00856E46" w:rsidP="00B1362E">
            <w:pPr>
              <w:ind w:right="57"/>
              <w:jc w:val="right"/>
              <w:rPr>
                <w:b/>
                <w:bCs w:val="0"/>
                <w:sz w:val="18"/>
                <w:szCs w:val="18"/>
              </w:rPr>
            </w:pPr>
          </w:p>
        </w:tc>
        <w:tc>
          <w:tcPr>
            <w:tcW w:w="1418" w:type="dxa"/>
            <w:tcBorders>
              <w:bottom w:val="double" w:sz="4" w:space="0" w:color="auto"/>
            </w:tcBorders>
            <w:vAlign w:val="bottom"/>
          </w:tcPr>
          <w:p w14:paraId="7A3FDCA9" w14:textId="45136FAE" w:rsidR="00856E46" w:rsidRPr="004F3CE1" w:rsidRDefault="00856E46" w:rsidP="00B1362E">
            <w:pPr>
              <w:ind w:right="57"/>
              <w:jc w:val="right"/>
              <w:rPr>
                <w:b/>
                <w:bCs w:val="0"/>
                <w:sz w:val="15"/>
              </w:rPr>
            </w:pPr>
            <w:r w:rsidRPr="004F3CE1">
              <w:rPr>
                <w:b/>
                <w:bCs w:val="0"/>
                <w:sz w:val="18"/>
                <w:szCs w:val="18"/>
              </w:rPr>
              <w:t>40.010.000.000</w:t>
            </w:r>
          </w:p>
        </w:tc>
        <w:tc>
          <w:tcPr>
            <w:tcW w:w="141" w:type="dxa"/>
            <w:tcBorders>
              <w:bottom w:val="nil"/>
            </w:tcBorders>
          </w:tcPr>
          <w:p w14:paraId="7F014883" w14:textId="77777777" w:rsidR="00856E46" w:rsidRPr="004F3CE1" w:rsidRDefault="00856E46" w:rsidP="00B1362E">
            <w:pPr>
              <w:ind w:right="57"/>
              <w:jc w:val="right"/>
              <w:rPr>
                <w:b/>
                <w:bCs w:val="0"/>
                <w:sz w:val="15"/>
              </w:rPr>
            </w:pPr>
          </w:p>
        </w:tc>
        <w:tc>
          <w:tcPr>
            <w:tcW w:w="1560" w:type="dxa"/>
            <w:tcBorders>
              <w:bottom w:val="double" w:sz="4" w:space="0" w:color="auto"/>
            </w:tcBorders>
          </w:tcPr>
          <w:p w14:paraId="29733BAF" w14:textId="15B02DC5" w:rsidR="00856E46" w:rsidRPr="004F3CE1" w:rsidRDefault="00856E46" w:rsidP="00B1362E">
            <w:pPr>
              <w:ind w:right="57"/>
              <w:jc w:val="right"/>
              <w:rPr>
                <w:b/>
                <w:bCs w:val="0"/>
                <w:sz w:val="15"/>
              </w:rPr>
            </w:pPr>
            <w:r w:rsidRPr="004F3CE1">
              <w:rPr>
                <w:b/>
                <w:bCs w:val="0"/>
                <w:sz w:val="18"/>
                <w:szCs w:val="18"/>
              </w:rPr>
              <w:t>67.500.000.000</w:t>
            </w:r>
          </w:p>
        </w:tc>
        <w:tc>
          <w:tcPr>
            <w:tcW w:w="141" w:type="dxa"/>
            <w:tcBorders>
              <w:bottom w:val="nil"/>
            </w:tcBorders>
          </w:tcPr>
          <w:p w14:paraId="44C57587" w14:textId="77777777" w:rsidR="00856E46" w:rsidRPr="004F3CE1" w:rsidRDefault="00856E46" w:rsidP="00B1362E">
            <w:pPr>
              <w:ind w:right="57"/>
              <w:jc w:val="right"/>
              <w:rPr>
                <w:b/>
                <w:bCs w:val="0"/>
                <w:sz w:val="15"/>
              </w:rPr>
            </w:pPr>
          </w:p>
        </w:tc>
        <w:tc>
          <w:tcPr>
            <w:tcW w:w="1276" w:type="dxa"/>
            <w:tcBorders>
              <w:bottom w:val="nil"/>
            </w:tcBorders>
            <w:shd w:val="clear" w:color="auto" w:fill="auto"/>
          </w:tcPr>
          <w:p w14:paraId="19A569AC" w14:textId="5C5FDBAE" w:rsidR="00856E46" w:rsidRPr="005855B3" w:rsidRDefault="00856E46" w:rsidP="003C6E0B">
            <w:pPr>
              <w:ind w:right="103"/>
              <w:jc w:val="right"/>
              <w:rPr>
                <w:b/>
                <w:bCs w:val="0"/>
                <w:i/>
                <w:sz w:val="18"/>
                <w:szCs w:val="18"/>
                <w:lang w:val="id-ID"/>
              </w:rPr>
            </w:pPr>
            <w:r w:rsidRPr="004F3CE1">
              <w:rPr>
                <w:b/>
                <w:bCs w:val="0"/>
                <w:i/>
                <w:sz w:val="18"/>
                <w:szCs w:val="18"/>
              </w:rPr>
              <w:t>Land</w:t>
            </w:r>
          </w:p>
        </w:tc>
      </w:tr>
    </w:tbl>
    <w:p w14:paraId="51729022" w14:textId="2D51A667" w:rsidR="00E35A68" w:rsidRDefault="00E35A68">
      <w:pPr>
        <w:rPr>
          <w:sz w:val="2"/>
          <w:szCs w:val="2"/>
        </w:rPr>
      </w:pPr>
    </w:p>
    <w:p w14:paraId="09E837D2" w14:textId="33104184" w:rsidR="00E83614" w:rsidRPr="002C228D" w:rsidRDefault="00E83614">
      <w:pPr>
        <w:rPr>
          <w:sz w:val="2"/>
          <w:szCs w:val="2"/>
        </w:rPr>
      </w:pPr>
    </w:p>
    <w:p w14:paraId="60985DF8" w14:textId="77777777" w:rsidR="00E83614" w:rsidRPr="002C228D" w:rsidRDefault="00E83614">
      <w:pPr>
        <w:rPr>
          <w:sz w:val="2"/>
          <w:szCs w:val="2"/>
        </w:rPr>
      </w:pPr>
    </w:p>
    <w:tbl>
      <w:tblPr>
        <w:tblW w:w="4917" w:type="pct"/>
        <w:tblInd w:w="108" w:type="dxa"/>
        <w:tblLayout w:type="fixed"/>
        <w:tblLook w:val="0000" w:firstRow="0" w:lastRow="0" w:firstColumn="0" w:lastColumn="0" w:noHBand="0" w:noVBand="0"/>
      </w:tblPr>
      <w:tblGrid>
        <w:gridCol w:w="4600"/>
        <w:gridCol w:w="4601"/>
      </w:tblGrid>
      <w:tr w:rsidR="00E83614" w:rsidRPr="002C228D" w14:paraId="6DA3D120" w14:textId="77777777" w:rsidTr="00E83614">
        <w:tc>
          <w:tcPr>
            <w:tcW w:w="2500" w:type="pct"/>
            <w:tcBorders>
              <w:top w:val="nil"/>
              <w:left w:val="nil"/>
              <w:bottom w:val="nil"/>
              <w:right w:val="nil"/>
            </w:tcBorders>
            <w:shd w:val="clear" w:color="auto" w:fill="auto"/>
          </w:tcPr>
          <w:p w14:paraId="628B26FA" w14:textId="51875C46" w:rsidR="00E83614" w:rsidRPr="002C228D" w:rsidRDefault="00E83614" w:rsidP="00070D1F">
            <w:pPr>
              <w:numPr>
                <w:ilvl w:val="0"/>
                <w:numId w:val="316"/>
              </w:numPr>
              <w:ind w:left="341" w:hanging="352"/>
              <w:jc w:val="both"/>
              <w:rPr>
                <w:b/>
                <w:sz w:val="18"/>
                <w:szCs w:val="18"/>
              </w:rPr>
            </w:pPr>
            <w:r w:rsidRPr="002C228D">
              <w:rPr>
                <w:b/>
                <w:sz w:val="18"/>
                <w:szCs w:val="18"/>
              </w:rPr>
              <w:t>PROPERT</w:t>
            </w:r>
            <w:r w:rsidR="00523C4E" w:rsidRPr="002C228D">
              <w:rPr>
                <w:b/>
                <w:sz w:val="18"/>
                <w:szCs w:val="18"/>
              </w:rPr>
              <w:t>I</w:t>
            </w:r>
            <w:r w:rsidRPr="002C228D">
              <w:rPr>
                <w:b/>
                <w:sz w:val="18"/>
                <w:szCs w:val="18"/>
              </w:rPr>
              <w:t xml:space="preserve"> INVESTASI - Lanjutan</w:t>
            </w:r>
          </w:p>
        </w:tc>
        <w:tc>
          <w:tcPr>
            <w:tcW w:w="2500" w:type="pct"/>
            <w:tcBorders>
              <w:top w:val="nil"/>
              <w:left w:val="nil"/>
              <w:bottom w:val="nil"/>
              <w:right w:val="nil"/>
            </w:tcBorders>
            <w:shd w:val="clear" w:color="auto" w:fill="auto"/>
          </w:tcPr>
          <w:p w14:paraId="0F63403B" w14:textId="66DBA924" w:rsidR="00E83614" w:rsidRPr="002C228D" w:rsidRDefault="00E83614" w:rsidP="00070D1F">
            <w:pPr>
              <w:numPr>
                <w:ilvl w:val="0"/>
                <w:numId w:val="317"/>
              </w:numPr>
              <w:ind w:hanging="327"/>
              <w:jc w:val="both"/>
              <w:rPr>
                <w:b/>
                <w:i/>
                <w:iCs/>
                <w:sz w:val="18"/>
                <w:szCs w:val="18"/>
              </w:rPr>
            </w:pPr>
            <w:r w:rsidRPr="002C228D">
              <w:rPr>
                <w:b/>
                <w:i/>
                <w:iCs/>
                <w:sz w:val="18"/>
                <w:szCs w:val="18"/>
              </w:rPr>
              <w:t>INVESTMENT PROPERTY - Continued</w:t>
            </w:r>
          </w:p>
        </w:tc>
      </w:tr>
    </w:tbl>
    <w:p w14:paraId="52BE4C7B" w14:textId="1006607C" w:rsidR="00E35A68" w:rsidRPr="00D71B91" w:rsidRDefault="00E35A68">
      <w:pPr>
        <w:rPr>
          <w:sz w:val="18"/>
          <w:szCs w:val="18"/>
        </w:rPr>
      </w:pPr>
    </w:p>
    <w:tbl>
      <w:tblPr>
        <w:tblW w:w="9197" w:type="dxa"/>
        <w:tblInd w:w="108" w:type="dxa"/>
        <w:tblLayout w:type="fixed"/>
        <w:tblLook w:val="0000" w:firstRow="0" w:lastRow="0" w:firstColumn="0" w:lastColumn="0" w:noHBand="0" w:noVBand="0"/>
      </w:tblPr>
      <w:tblGrid>
        <w:gridCol w:w="4598"/>
        <w:gridCol w:w="4599"/>
      </w:tblGrid>
      <w:tr w:rsidR="00E35A68" w:rsidRPr="002C228D" w14:paraId="1F15C9CF" w14:textId="77777777" w:rsidTr="005B33DF">
        <w:tc>
          <w:tcPr>
            <w:tcW w:w="2500" w:type="pct"/>
            <w:tcBorders>
              <w:top w:val="nil"/>
              <w:left w:val="nil"/>
              <w:bottom w:val="nil"/>
              <w:right w:val="nil"/>
            </w:tcBorders>
            <w:shd w:val="clear" w:color="auto" w:fill="auto"/>
          </w:tcPr>
          <w:p w14:paraId="68563498" w14:textId="77777777" w:rsidR="00E35A68" w:rsidRPr="002C228D" w:rsidRDefault="00E35A68" w:rsidP="005B33DF">
            <w:pPr>
              <w:pStyle w:val="ListParagraph"/>
              <w:ind w:left="340"/>
              <w:jc w:val="both"/>
              <w:rPr>
                <w:sz w:val="18"/>
                <w:szCs w:val="18"/>
              </w:rPr>
            </w:pPr>
            <w:r w:rsidRPr="002C228D">
              <w:rPr>
                <w:sz w:val="18"/>
                <w:szCs w:val="18"/>
              </w:rPr>
              <w:t xml:space="preserve">Nilai wajar tersebut merupakan observasi harga jual oleh Direktorat Jendaral pajak dari objek yang sejenis dan termasuk dalam hirarki nilai wajar tingkat 2.  </w:t>
            </w:r>
          </w:p>
        </w:tc>
        <w:tc>
          <w:tcPr>
            <w:tcW w:w="2500" w:type="pct"/>
            <w:tcBorders>
              <w:top w:val="nil"/>
              <w:left w:val="nil"/>
              <w:bottom w:val="nil"/>
              <w:right w:val="nil"/>
            </w:tcBorders>
            <w:shd w:val="clear" w:color="auto" w:fill="auto"/>
          </w:tcPr>
          <w:p w14:paraId="4E2C9325" w14:textId="77777777" w:rsidR="00E35A68" w:rsidRPr="002C228D" w:rsidRDefault="00E35A68" w:rsidP="00904B52">
            <w:pPr>
              <w:pStyle w:val="ListParagraph"/>
              <w:ind w:left="284"/>
              <w:jc w:val="both"/>
              <w:rPr>
                <w:i/>
                <w:sz w:val="18"/>
                <w:szCs w:val="18"/>
              </w:rPr>
            </w:pPr>
            <w:r w:rsidRPr="002C228D">
              <w:rPr>
                <w:i/>
                <w:sz w:val="18"/>
                <w:szCs w:val="18"/>
              </w:rPr>
              <w:t xml:space="preserve">The fair value is an observation price by the </w:t>
            </w:r>
            <w:r w:rsidRPr="002C228D">
              <w:rPr>
                <w:i/>
                <w:sz w:val="18"/>
                <w:szCs w:val="18"/>
              </w:rPr>
              <w:br/>
            </w:r>
            <w:r w:rsidRPr="00904B52">
              <w:rPr>
                <w:i/>
                <w:iCs/>
                <w:sz w:val="18"/>
                <w:szCs w:val="18"/>
              </w:rPr>
              <w:t>Directorate</w:t>
            </w:r>
            <w:r w:rsidRPr="002C228D">
              <w:rPr>
                <w:i/>
                <w:sz w:val="18"/>
                <w:szCs w:val="18"/>
              </w:rPr>
              <w:t xml:space="preserve"> General of Tax from similar object and included in the fair value measurement of level 2.</w:t>
            </w:r>
          </w:p>
        </w:tc>
      </w:tr>
    </w:tbl>
    <w:p w14:paraId="6CD5FCF5" w14:textId="77777777" w:rsidR="00E35A68" w:rsidRPr="00D71B91" w:rsidRDefault="00E35A68">
      <w:pPr>
        <w:rPr>
          <w:sz w:val="18"/>
          <w:szCs w:val="18"/>
        </w:rPr>
      </w:pPr>
    </w:p>
    <w:tbl>
      <w:tblPr>
        <w:tblW w:w="4917" w:type="pct"/>
        <w:tblInd w:w="108" w:type="dxa"/>
        <w:tblLayout w:type="fixed"/>
        <w:tblLook w:val="0000" w:firstRow="0" w:lastRow="0" w:firstColumn="0" w:lastColumn="0" w:noHBand="0" w:noVBand="0"/>
      </w:tblPr>
      <w:tblGrid>
        <w:gridCol w:w="4600"/>
        <w:gridCol w:w="4601"/>
      </w:tblGrid>
      <w:tr w:rsidR="00920E6D" w:rsidRPr="00920E6D" w14:paraId="3C76E585" w14:textId="77777777" w:rsidTr="00B1362E">
        <w:tc>
          <w:tcPr>
            <w:tcW w:w="2500" w:type="pct"/>
            <w:tcBorders>
              <w:top w:val="nil"/>
              <w:left w:val="nil"/>
              <w:bottom w:val="nil"/>
              <w:right w:val="nil"/>
            </w:tcBorders>
            <w:shd w:val="clear" w:color="auto" w:fill="auto"/>
          </w:tcPr>
          <w:p w14:paraId="22D1C29A" w14:textId="061EC6A5" w:rsidR="00920E6D" w:rsidRPr="005D186E" w:rsidRDefault="005D186E" w:rsidP="00AC2673">
            <w:pPr>
              <w:pStyle w:val="ListParagraph"/>
              <w:ind w:left="345"/>
              <w:jc w:val="both"/>
              <w:rPr>
                <w:sz w:val="18"/>
                <w:szCs w:val="18"/>
              </w:rPr>
            </w:pPr>
            <w:r w:rsidRPr="005D186E">
              <w:rPr>
                <w:sz w:val="18"/>
                <w:szCs w:val="18"/>
              </w:rPr>
              <w:t>Berdasarkan Akta Pernyataan dan Jaminan No. 38 tanggal 30 Januari 2019 dihadapan Notaris Muliani Santoso</w:t>
            </w:r>
            <w:r w:rsidR="00AC2673">
              <w:rPr>
                <w:sz w:val="18"/>
                <w:szCs w:val="18"/>
              </w:rPr>
              <w:t>,</w:t>
            </w:r>
            <w:r w:rsidRPr="005D186E">
              <w:rPr>
                <w:sz w:val="18"/>
                <w:szCs w:val="18"/>
              </w:rPr>
              <w:t xml:space="preserve"> SH.</w:t>
            </w:r>
            <w:r w:rsidR="00AC2673">
              <w:rPr>
                <w:sz w:val="18"/>
                <w:szCs w:val="18"/>
              </w:rPr>
              <w:t>,</w:t>
            </w:r>
            <w:r w:rsidRPr="005D186E">
              <w:rPr>
                <w:sz w:val="18"/>
                <w:szCs w:val="18"/>
              </w:rPr>
              <w:t xml:space="preserve"> PT Fajar Kharisma Nusantara menyerahkan properti investasinya sebagai jaminan atas hutang bank PT Sejahtera Inti Sentosa (</w:t>
            </w:r>
            <w:r>
              <w:rPr>
                <w:sz w:val="18"/>
                <w:szCs w:val="18"/>
              </w:rPr>
              <w:t xml:space="preserve">Lihat </w:t>
            </w:r>
            <w:r w:rsidR="00D71B91">
              <w:rPr>
                <w:sz w:val="18"/>
                <w:szCs w:val="18"/>
              </w:rPr>
              <w:br/>
            </w:r>
            <w:r>
              <w:rPr>
                <w:sz w:val="18"/>
                <w:szCs w:val="18"/>
              </w:rPr>
              <w:t>c</w:t>
            </w:r>
            <w:r w:rsidRPr="005D186E">
              <w:rPr>
                <w:sz w:val="18"/>
                <w:szCs w:val="18"/>
              </w:rPr>
              <w:t xml:space="preserve">atatan </w:t>
            </w:r>
            <w:r w:rsidR="00AC2673">
              <w:rPr>
                <w:sz w:val="18"/>
                <w:szCs w:val="18"/>
              </w:rPr>
              <w:t>18</w:t>
            </w:r>
            <w:r w:rsidRPr="005D186E">
              <w:rPr>
                <w:sz w:val="18"/>
                <w:szCs w:val="18"/>
              </w:rPr>
              <w:t>)</w:t>
            </w:r>
            <w:r w:rsidR="00AC2673">
              <w:rPr>
                <w:sz w:val="18"/>
                <w:szCs w:val="18"/>
              </w:rPr>
              <w:t>.</w:t>
            </w:r>
          </w:p>
        </w:tc>
        <w:tc>
          <w:tcPr>
            <w:tcW w:w="2500" w:type="pct"/>
            <w:tcBorders>
              <w:top w:val="nil"/>
              <w:left w:val="nil"/>
              <w:bottom w:val="nil"/>
              <w:right w:val="nil"/>
            </w:tcBorders>
            <w:shd w:val="clear" w:color="auto" w:fill="auto"/>
          </w:tcPr>
          <w:p w14:paraId="64236217" w14:textId="29154A41" w:rsidR="00920E6D" w:rsidRPr="002C228D" w:rsidRDefault="005D186E" w:rsidP="00AC2673">
            <w:pPr>
              <w:pStyle w:val="ListParagraph"/>
              <w:ind w:left="284"/>
              <w:jc w:val="both"/>
              <w:rPr>
                <w:i/>
                <w:iCs/>
                <w:sz w:val="18"/>
                <w:szCs w:val="18"/>
              </w:rPr>
            </w:pPr>
            <w:r w:rsidRPr="005D186E">
              <w:rPr>
                <w:i/>
                <w:iCs/>
                <w:sz w:val="18"/>
                <w:szCs w:val="18"/>
              </w:rPr>
              <w:t>Based on Deed of Declaration and Guarantee No. 38 dated January 30</w:t>
            </w:r>
            <w:r w:rsidR="00AC2673">
              <w:rPr>
                <w:i/>
                <w:iCs/>
                <w:sz w:val="18"/>
                <w:szCs w:val="18"/>
              </w:rPr>
              <w:t>,</w:t>
            </w:r>
            <w:r w:rsidRPr="005D186E">
              <w:rPr>
                <w:i/>
                <w:iCs/>
                <w:sz w:val="18"/>
                <w:szCs w:val="18"/>
              </w:rPr>
              <w:t xml:space="preserve"> 2019 before Notary Muliani Santoso</w:t>
            </w:r>
            <w:r w:rsidR="00AC2673">
              <w:rPr>
                <w:i/>
                <w:iCs/>
                <w:sz w:val="18"/>
                <w:szCs w:val="18"/>
              </w:rPr>
              <w:t>,</w:t>
            </w:r>
            <w:r w:rsidRPr="005D186E">
              <w:rPr>
                <w:i/>
                <w:iCs/>
                <w:sz w:val="18"/>
                <w:szCs w:val="18"/>
              </w:rPr>
              <w:t xml:space="preserve"> SH.</w:t>
            </w:r>
            <w:r w:rsidR="00AC2673">
              <w:rPr>
                <w:i/>
                <w:iCs/>
                <w:sz w:val="18"/>
                <w:szCs w:val="18"/>
              </w:rPr>
              <w:t>,</w:t>
            </w:r>
            <w:r w:rsidRPr="005D186E">
              <w:rPr>
                <w:i/>
                <w:iCs/>
                <w:sz w:val="18"/>
                <w:szCs w:val="18"/>
              </w:rPr>
              <w:t xml:space="preserve"> PT Fajar Kharisma Nusantara gave away its investment property as collateral for the bank loan of </w:t>
            </w:r>
            <w:r>
              <w:rPr>
                <w:i/>
                <w:iCs/>
                <w:sz w:val="18"/>
                <w:szCs w:val="18"/>
              </w:rPr>
              <w:br/>
            </w:r>
            <w:r w:rsidRPr="005D186E">
              <w:rPr>
                <w:i/>
                <w:iCs/>
                <w:sz w:val="18"/>
                <w:szCs w:val="18"/>
              </w:rPr>
              <w:t>PT Sejahtera Inti Sentosa (</w:t>
            </w:r>
            <w:r>
              <w:rPr>
                <w:i/>
                <w:iCs/>
                <w:sz w:val="18"/>
                <w:szCs w:val="18"/>
              </w:rPr>
              <w:t>See n</w:t>
            </w:r>
            <w:r w:rsidRPr="005D186E">
              <w:rPr>
                <w:i/>
                <w:iCs/>
                <w:sz w:val="18"/>
                <w:szCs w:val="18"/>
              </w:rPr>
              <w:t xml:space="preserve">ote </w:t>
            </w:r>
            <w:r>
              <w:rPr>
                <w:i/>
                <w:iCs/>
                <w:sz w:val="18"/>
                <w:szCs w:val="18"/>
              </w:rPr>
              <w:t>18</w:t>
            </w:r>
            <w:r w:rsidRPr="005D186E">
              <w:rPr>
                <w:i/>
                <w:iCs/>
                <w:sz w:val="18"/>
                <w:szCs w:val="18"/>
              </w:rPr>
              <w:t>)</w:t>
            </w:r>
            <w:r w:rsidR="00AC2673">
              <w:rPr>
                <w:i/>
                <w:iCs/>
                <w:sz w:val="18"/>
                <w:szCs w:val="18"/>
              </w:rPr>
              <w:t>.</w:t>
            </w:r>
          </w:p>
        </w:tc>
      </w:tr>
    </w:tbl>
    <w:p w14:paraId="507B2B84" w14:textId="3228AFCC" w:rsidR="004B3256" w:rsidRPr="00D71B91" w:rsidRDefault="004B3256" w:rsidP="0013526B">
      <w:pPr>
        <w:rPr>
          <w:sz w:val="18"/>
          <w:szCs w:val="22"/>
        </w:rPr>
      </w:pPr>
    </w:p>
    <w:tbl>
      <w:tblPr>
        <w:tblW w:w="4917" w:type="pct"/>
        <w:tblInd w:w="108" w:type="dxa"/>
        <w:tblLayout w:type="fixed"/>
        <w:tblLook w:val="0000" w:firstRow="0" w:lastRow="0" w:firstColumn="0" w:lastColumn="0" w:noHBand="0" w:noVBand="0"/>
      </w:tblPr>
      <w:tblGrid>
        <w:gridCol w:w="4600"/>
        <w:gridCol w:w="4601"/>
      </w:tblGrid>
      <w:tr w:rsidR="00974538" w:rsidRPr="0013526B" w14:paraId="7F6D99DD" w14:textId="77777777" w:rsidTr="00907CD9">
        <w:tc>
          <w:tcPr>
            <w:tcW w:w="2500" w:type="pct"/>
            <w:tcBorders>
              <w:top w:val="nil"/>
              <w:left w:val="nil"/>
              <w:bottom w:val="nil"/>
              <w:right w:val="nil"/>
            </w:tcBorders>
          </w:tcPr>
          <w:p w14:paraId="6346F065" w14:textId="5029C406" w:rsidR="00974538" w:rsidRPr="0013526B" w:rsidRDefault="00974538" w:rsidP="00070D1F">
            <w:pPr>
              <w:numPr>
                <w:ilvl w:val="0"/>
                <w:numId w:val="303"/>
              </w:numPr>
              <w:ind w:left="360" w:hanging="364"/>
              <w:jc w:val="both"/>
              <w:rPr>
                <w:b/>
                <w:caps/>
                <w:sz w:val="18"/>
                <w:szCs w:val="18"/>
              </w:rPr>
            </w:pPr>
            <w:r w:rsidRPr="0013526B">
              <w:rPr>
                <w:b/>
                <w:caps/>
                <w:sz w:val="18"/>
                <w:szCs w:val="18"/>
              </w:rPr>
              <w:t xml:space="preserve">ASET </w:t>
            </w:r>
            <w:r>
              <w:rPr>
                <w:b/>
                <w:sz w:val="18"/>
                <w:szCs w:val="18"/>
              </w:rPr>
              <w:t>TAK</w:t>
            </w:r>
            <w:r w:rsidR="00C00260">
              <w:rPr>
                <w:b/>
                <w:sz w:val="18"/>
                <w:szCs w:val="18"/>
              </w:rPr>
              <w:t xml:space="preserve"> </w:t>
            </w:r>
            <w:r>
              <w:rPr>
                <w:b/>
                <w:sz w:val="18"/>
                <w:szCs w:val="18"/>
              </w:rPr>
              <w:t>BERWUJUD</w:t>
            </w:r>
          </w:p>
        </w:tc>
        <w:tc>
          <w:tcPr>
            <w:tcW w:w="2500" w:type="pct"/>
            <w:tcBorders>
              <w:top w:val="nil"/>
              <w:left w:val="nil"/>
              <w:bottom w:val="nil"/>
              <w:right w:val="nil"/>
            </w:tcBorders>
          </w:tcPr>
          <w:p w14:paraId="338138D2" w14:textId="4F99A8F1" w:rsidR="00974538" w:rsidRPr="0013526B" w:rsidRDefault="00974538" w:rsidP="00070D1F">
            <w:pPr>
              <w:numPr>
                <w:ilvl w:val="0"/>
                <w:numId w:val="304"/>
              </w:numPr>
              <w:ind w:left="301" w:hanging="301"/>
              <w:jc w:val="both"/>
              <w:rPr>
                <w:b/>
                <w:i/>
                <w:caps/>
                <w:sz w:val="18"/>
                <w:szCs w:val="18"/>
              </w:rPr>
            </w:pPr>
            <w:r>
              <w:rPr>
                <w:b/>
                <w:i/>
                <w:sz w:val="18"/>
                <w:szCs w:val="18"/>
              </w:rPr>
              <w:t>INTANGIBLE ASSET</w:t>
            </w:r>
          </w:p>
        </w:tc>
      </w:tr>
      <w:tr w:rsidR="00974538" w:rsidRPr="0013526B" w14:paraId="79C13A1D" w14:textId="77777777" w:rsidTr="00907CD9">
        <w:tc>
          <w:tcPr>
            <w:tcW w:w="2500" w:type="pct"/>
            <w:tcBorders>
              <w:top w:val="nil"/>
              <w:left w:val="nil"/>
              <w:bottom w:val="nil"/>
              <w:right w:val="nil"/>
            </w:tcBorders>
          </w:tcPr>
          <w:p w14:paraId="2AB4C1BA" w14:textId="77777777" w:rsidR="00974538" w:rsidRPr="00D71B91" w:rsidRDefault="00974538" w:rsidP="00907CD9">
            <w:pPr>
              <w:ind w:left="336" w:right="-57"/>
              <w:jc w:val="both"/>
              <w:rPr>
                <w:sz w:val="18"/>
                <w:szCs w:val="18"/>
              </w:rPr>
            </w:pPr>
          </w:p>
        </w:tc>
        <w:tc>
          <w:tcPr>
            <w:tcW w:w="2500" w:type="pct"/>
            <w:tcBorders>
              <w:top w:val="nil"/>
              <w:left w:val="nil"/>
              <w:bottom w:val="nil"/>
              <w:right w:val="nil"/>
            </w:tcBorders>
          </w:tcPr>
          <w:p w14:paraId="7378BB95" w14:textId="77777777" w:rsidR="00974538" w:rsidRPr="00D71B91" w:rsidRDefault="00974538" w:rsidP="00907CD9">
            <w:pPr>
              <w:pStyle w:val="BodyTextIndent3"/>
              <w:ind w:left="414"/>
              <w:rPr>
                <w:i/>
                <w:sz w:val="18"/>
                <w:szCs w:val="18"/>
                <w:lang w:val="en-US"/>
              </w:rPr>
            </w:pPr>
          </w:p>
        </w:tc>
      </w:tr>
      <w:tr w:rsidR="00974538" w:rsidRPr="0013526B" w14:paraId="18F54B32" w14:textId="77777777" w:rsidTr="00907CD9">
        <w:tc>
          <w:tcPr>
            <w:tcW w:w="2500" w:type="pct"/>
            <w:tcBorders>
              <w:top w:val="nil"/>
              <w:left w:val="nil"/>
              <w:bottom w:val="nil"/>
              <w:right w:val="nil"/>
            </w:tcBorders>
          </w:tcPr>
          <w:p w14:paraId="04DF5576" w14:textId="08BDF6B2" w:rsidR="00974538" w:rsidRPr="0013526B" w:rsidRDefault="00974538" w:rsidP="003C6E0B">
            <w:pPr>
              <w:pStyle w:val="ListParagraph"/>
              <w:ind w:left="374" w:right="-57"/>
              <w:jc w:val="both"/>
              <w:rPr>
                <w:sz w:val="18"/>
                <w:szCs w:val="18"/>
              </w:rPr>
            </w:pPr>
            <w:r w:rsidRPr="0013526B">
              <w:rPr>
                <w:sz w:val="18"/>
                <w:szCs w:val="18"/>
              </w:rPr>
              <w:t xml:space="preserve">Rincian aset </w:t>
            </w:r>
            <w:r>
              <w:rPr>
                <w:sz w:val="18"/>
                <w:szCs w:val="18"/>
              </w:rPr>
              <w:t>takberwujud</w:t>
            </w:r>
            <w:r w:rsidRPr="0013526B">
              <w:rPr>
                <w:sz w:val="18"/>
                <w:szCs w:val="18"/>
              </w:rPr>
              <w:t xml:space="preserve"> adalah sebagai berikut:</w:t>
            </w:r>
          </w:p>
        </w:tc>
        <w:tc>
          <w:tcPr>
            <w:tcW w:w="2500" w:type="pct"/>
            <w:tcBorders>
              <w:top w:val="nil"/>
              <w:left w:val="nil"/>
              <w:bottom w:val="nil"/>
              <w:right w:val="nil"/>
            </w:tcBorders>
          </w:tcPr>
          <w:p w14:paraId="06DE4B24" w14:textId="7E4454C5" w:rsidR="00974538" w:rsidRPr="0013526B" w:rsidRDefault="00974538" w:rsidP="00974538">
            <w:pPr>
              <w:ind w:left="284" w:right="-57"/>
              <w:jc w:val="both"/>
              <w:rPr>
                <w:i/>
                <w:sz w:val="18"/>
                <w:szCs w:val="18"/>
              </w:rPr>
            </w:pPr>
            <w:r w:rsidRPr="0013526B">
              <w:rPr>
                <w:i/>
                <w:sz w:val="18"/>
                <w:szCs w:val="18"/>
              </w:rPr>
              <w:t xml:space="preserve">The details of </w:t>
            </w:r>
            <w:r>
              <w:rPr>
                <w:i/>
                <w:sz w:val="18"/>
                <w:szCs w:val="18"/>
              </w:rPr>
              <w:t>intangible asset</w:t>
            </w:r>
            <w:r w:rsidRPr="0013526B">
              <w:rPr>
                <w:i/>
                <w:sz w:val="18"/>
                <w:szCs w:val="18"/>
              </w:rPr>
              <w:t xml:space="preserve"> are as follows:</w:t>
            </w:r>
          </w:p>
        </w:tc>
      </w:tr>
    </w:tbl>
    <w:p w14:paraId="15526999" w14:textId="77777777" w:rsidR="00974538" w:rsidRPr="00D71B91" w:rsidRDefault="00974538" w:rsidP="00974538">
      <w:pPr>
        <w:rPr>
          <w:sz w:val="18"/>
          <w:szCs w:val="18"/>
        </w:rPr>
      </w:pPr>
    </w:p>
    <w:tbl>
      <w:tblPr>
        <w:tblW w:w="9197" w:type="dxa"/>
        <w:tblInd w:w="126" w:type="dxa"/>
        <w:tblCellMar>
          <w:left w:w="0" w:type="dxa"/>
          <w:right w:w="0" w:type="dxa"/>
        </w:tblCellMar>
        <w:tblLook w:val="01E0" w:firstRow="1" w:lastRow="1" w:firstColumn="1" w:lastColumn="1" w:noHBand="0" w:noVBand="0"/>
      </w:tblPr>
      <w:tblGrid>
        <w:gridCol w:w="2865"/>
        <w:gridCol w:w="1662"/>
        <w:gridCol w:w="114"/>
        <w:gridCol w:w="1691"/>
        <w:gridCol w:w="2865"/>
      </w:tblGrid>
      <w:tr w:rsidR="00C66E38" w:rsidRPr="0013526B" w14:paraId="3FFD999D" w14:textId="77777777" w:rsidTr="00E50367">
        <w:trPr>
          <w:trHeight w:val="20"/>
        </w:trPr>
        <w:tc>
          <w:tcPr>
            <w:tcW w:w="2865" w:type="dxa"/>
          </w:tcPr>
          <w:p w14:paraId="15A9E169" w14:textId="77777777" w:rsidR="00C66E38" w:rsidRPr="0013526B" w:rsidRDefault="00C66E38" w:rsidP="00C66E38">
            <w:pPr>
              <w:jc w:val="both"/>
              <w:rPr>
                <w:sz w:val="18"/>
                <w:szCs w:val="18"/>
              </w:rPr>
            </w:pPr>
          </w:p>
        </w:tc>
        <w:tc>
          <w:tcPr>
            <w:tcW w:w="1662" w:type="dxa"/>
            <w:tcBorders>
              <w:bottom w:val="single" w:sz="4" w:space="0" w:color="auto"/>
            </w:tcBorders>
          </w:tcPr>
          <w:p w14:paraId="2F1B6BB2" w14:textId="77777777" w:rsidR="00C66E38" w:rsidRDefault="00C66E38" w:rsidP="00C66E38">
            <w:pPr>
              <w:jc w:val="center"/>
              <w:rPr>
                <w:b/>
                <w:sz w:val="18"/>
                <w:szCs w:val="18"/>
              </w:rPr>
            </w:pPr>
            <w:r>
              <w:rPr>
                <w:b/>
                <w:sz w:val="18"/>
                <w:szCs w:val="18"/>
              </w:rPr>
              <w:t>31 Maret/</w:t>
            </w:r>
          </w:p>
          <w:p w14:paraId="31392FEB" w14:textId="0BDE3CFE" w:rsidR="00C66E38" w:rsidRPr="0013526B" w:rsidRDefault="00C66E38" w:rsidP="00AC2673">
            <w:pPr>
              <w:jc w:val="center"/>
              <w:rPr>
                <w:b/>
                <w:sz w:val="18"/>
                <w:szCs w:val="18"/>
              </w:rPr>
            </w:pPr>
            <w:r>
              <w:rPr>
                <w:b/>
                <w:sz w:val="18"/>
                <w:szCs w:val="18"/>
              </w:rPr>
              <w:t>March 31</w:t>
            </w:r>
            <w:r w:rsidR="00AC2673">
              <w:rPr>
                <w:b/>
                <w:sz w:val="18"/>
                <w:szCs w:val="18"/>
              </w:rPr>
              <w:t>,</w:t>
            </w:r>
            <w:r>
              <w:rPr>
                <w:b/>
                <w:sz w:val="18"/>
                <w:szCs w:val="18"/>
              </w:rPr>
              <w:t xml:space="preserve"> 2020</w:t>
            </w:r>
          </w:p>
        </w:tc>
        <w:tc>
          <w:tcPr>
            <w:tcW w:w="114" w:type="dxa"/>
          </w:tcPr>
          <w:p w14:paraId="79F01BBD" w14:textId="77777777" w:rsidR="00C66E38" w:rsidRPr="0013526B" w:rsidRDefault="00C66E38" w:rsidP="00C66E38">
            <w:pPr>
              <w:jc w:val="center"/>
              <w:rPr>
                <w:b/>
                <w:sz w:val="18"/>
                <w:szCs w:val="18"/>
              </w:rPr>
            </w:pPr>
          </w:p>
        </w:tc>
        <w:tc>
          <w:tcPr>
            <w:tcW w:w="1691" w:type="dxa"/>
            <w:tcBorders>
              <w:bottom w:val="single" w:sz="4" w:space="0" w:color="auto"/>
            </w:tcBorders>
          </w:tcPr>
          <w:p w14:paraId="7945B66C" w14:textId="77777777" w:rsidR="00C66E38" w:rsidRDefault="00C66E38" w:rsidP="00C66E38">
            <w:pPr>
              <w:jc w:val="center"/>
              <w:rPr>
                <w:b/>
                <w:sz w:val="18"/>
                <w:szCs w:val="18"/>
              </w:rPr>
            </w:pPr>
            <w:r>
              <w:rPr>
                <w:b/>
                <w:sz w:val="18"/>
                <w:szCs w:val="18"/>
              </w:rPr>
              <w:t>31 Desember/</w:t>
            </w:r>
          </w:p>
          <w:p w14:paraId="0B652BE8" w14:textId="43CB8DDB" w:rsidR="00C66E38" w:rsidRPr="0013526B" w:rsidRDefault="00C66E38" w:rsidP="00AC2673">
            <w:pPr>
              <w:jc w:val="center"/>
              <w:rPr>
                <w:b/>
                <w:sz w:val="18"/>
                <w:szCs w:val="18"/>
              </w:rPr>
            </w:pPr>
            <w:r>
              <w:rPr>
                <w:b/>
                <w:sz w:val="18"/>
                <w:szCs w:val="18"/>
              </w:rPr>
              <w:t>December 31</w:t>
            </w:r>
            <w:r w:rsidR="00AC2673">
              <w:rPr>
                <w:b/>
                <w:sz w:val="18"/>
                <w:szCs w:val="18"/>
              </w:rPr>
              <w:t>,</w:t>
            </w:r>
            <w:r>
              <w:rPr>
                <w:b/>
                <w:sz w:val="18"/>
                <w:szCs w:val="18"/>
              </w:rPr>
              <w:t xml:space="preserve"> </w:t>
            </w:r>
            <w:r w:rsidRPr="0013526B">
              <w:rPr>
                <w:b/>
                <w:sz w:val="18"/>
                <w:szCs w:val="18"/>
              </w:rPr>
              <w:t>201</w:t>
            </w:r>
            <w:r>
              <w:rPr>
                <w:b/>
                <w:sz w:val="18"/>
                <w:szCs w:val="18"/>
              </w:rPr>
              <w:t>9</w:t>
            </w:r>
          </w:p>
        </w:tc>
        <w:tc>
          <w:tcPr>
            <w:tcW w:w="2865" w:type="dxa"/>
          </w:tcPr>
          <w:p w14:paraId="43521BB4" w14:textId="77777777" w:rsidR="00C66E38" w:rsidRPr="0013526B" w:rsidRDefault="00C66E38" w:rsidP="00C66E38">
            <w:pPr>
              <w:ind w:right="34"/>
              <w:jc w:val="right"/>
              <w:rPr>
                <w:i/>
                <w:sz w:val="18"/>
                <w:szCs w:val="18"/>
              </w:rPr>
            </w:pPr>
          </w:p>
        </w:tc>
      </w:tr>
      <w:tr w:rsidR="00482554" w:rsidRPr="0013526B" w14:paraId="1B2914E2" w14:textId="77777777" w:rsidTr="00E50367">
        <w:trPr>
          <w:trHeight w:val="20"/>
        </w:trPr>
        <w:tc>
          <w:tcPr>
            <w:tcW w:w="2865" w:type="dxa"/>
          </w:tcPr>
          <w:p w14:paraId="16D09433" w14:textId="77777777" w:rsidR="00482554" w:rsidRPr="0013526B" w:rsidRDefault="00482554" w:rsidP="00451FBF">
            <w:pPr>
              <w:jc w:val="both"/>
              <w:rPr>
                <w:sz w:val="18"/>
                <w:szCs w:val="18"/>
              </w:rPr>
            </w:pPr>
          </w:p>
        </w:tc>
        <w:tc>
          <w:tcPr>
            <w:tcW w:w="1662" w:type="dxa"/>
          </w:tcPr>
          <w:p w14:paraId="5AD2225F" w14:textId="77777777" w:rsidR="00482554" w:rsidRPr="0013526B" w:rsidRDefault="00482554" w:rsidP="00907CD9">
            <w:pPr>
              <w:jc w:val="center"/>
              <w:rPr>
                <w:b/>
                <w:sz w:val="18"/>
                <w:szCs w:val="18"/>
              </w:rPr>
            </w:pPr>
          </w:p>
        </w:tc>
        <w:tc>
          <w:tcPr>
            <w:tcW w:w="114" w:type="dxa"/>
          </w:tcPr>
          <w:p w14:paraId="4A7D790B" w14:textId="77777777" w:rsidR="00482554" w:rsidRPr="0013526B" w:rsidRDefault="00482554" w:rsidP="00907CD9">
            <w:pPr>
              <w:jc w:val="center"/>
              <w:rPr>
                <w:b/>
                <w:sz w:val="18"/>
                <w:szCs w:val="18"/>
              </w:rPr>
            </w:pPr>
          </w:p>
        </w:tc>
        <w:tc>
          <w:tcPr>
            <w:tcW w:w="1691" w:type="dxa"/>
          </w:tcPr>
          <w:p w14:paraId="4A996F5D" w14:textId="77777777" w:rsidR="00482554" w:rsidRPr="0013526B" w:rsidRDefault="00482554" w:rsidP="00907CD9">
            <w:pPr>
              <w:jc w:val="center"/>
              <w:rPr>
                <w:b/>
                <w:sz w:val="18"/>
                <w:szCs w:val="18"/>
              </w:rPr>
            </w:pPr>
          </w:p>
        </w:tc>
        <w:tc>
          <w:tcPr>
            <w:tcW w:w="2865" w:type="dxa"/>
          </w:tcPr>
          <w:p w14:paraId="7B5230DA" w14:textId="77777777" w:rsidR="00482554" w:rsidRPr="0013526B" w:rsidRDefault="00482554" w:rsidP="00907CD9">
            <w:pPr>
              <w:ind w:right="34"/>
              <w:jc w:val="right"/>
              <w:rPr>
                <w:i/>
                <w:sz w:val="18"/>
                <w:szCs w:val="18"/>
              </w:rPr>
            </w:pPr>
          </w:p>
        </w:tc>
      </w:tr>
      <w:tr w:rsidR="00457165" w:rsidRPr="0013526B" w14:paraId="55CFBE2A" w14:textId="77777777" w:rsidTr="00AD6CCA">
        <w:trPr>
          <w:trHeight w:val="20"/>
        </w:trPr>
        <w:tc>
          <w:tcPr>
            <w:tcW w:w="2865" w:type="dxa"/>
          </w:tcPr>
          <w:p w14:paraId="12E40317" w14:textId="5836D5B6" w:rsidR="00457165" w:rsidRPr="00451FBF" w:rsidRDefault="00457165" w:rsidP="00457165">
            <w:pPr>
              <w:ind w:left="459"/>
              <w:rPr>
                <w:sz w:val="18"/>
                <w:szCs w:val="18"/>
              </w:rPr>
            </w:pPr>
            <w:r w:rsidRPr="00451FBF">
              <w:rPr>
                <w:sz w:val="18"/>
                <w:szCs w:val="18"/>
              </w:rPr>
              <w:t>Perangkat lunak</w:t>
            </w:r>
          </w:p>
        </w:tc>
        <w:tc>
          <w:tcPr>
            <w:tcW w:w="1662" w:type="dxa"/>
            <w:shd w:val="clear" w:color="auto" w:fill="auto"/>
          </w:tcPr>
          <w:p w14:paraId="50574B85" w14:textId="4508D803" w:rsidR="00457165" w:rsidRPr="003268BB" w:rsidRDefault="003268BB" w:rsidP="00457165">
            <w:pPr>
              <w:ind w:right="57"/>
              <w:jc w:val="right"/>
              <w:rPr>
                <w:bCs w:val="0"/>
                <w:sz w:val="20"/>
                <w:szCs w:val="16"/>
              </w:rPr>
            </w:pPr>
            <w:r w:rsidRPr="003268BB">
              <w:rPr>
                <w:sz w:val="18"/>
                <w:szCs w:val="18"/>
              </w:rPr>
              <w:t>5.901.029.062</w:t>
            </w:r>
          </w:p>
        </w:tc>
        <w:tc>
          <w:tcPr>
            <w:tcW w:w="114" w:type="dxa"/>
            <w:shd w:val="clear" w:color="auto" w:fill="auto"/>
          </w:tcPr>
          <w:p w14:paraId="3FF906B5" w14:textId="77777777" w:rsidR="00457165" w:rsidRPr="00AD6CCA" w:rsidRDefault="00457165" w:rsidP="00457165">
            <w:pPr>
              <w:ind w:right="29"/>
              <w:jc w:val="right"/>
              <w:rPr>
                <w:bCs w:val="0"/>
                <w:sz w:val="20"/>
                <w:szCs w:val="16"/>
              </w:rPr>
            </w:pPr>
          </w:p>
        </w:tc>
        <w:tc>
          <w:tcPr>
            <w:tcW w:w="1691" w:type="dxa"/>
            <w:shd w:val="clear" w:color="auto" w:fill="auto"/>
          </w:tcPr>
          <w:p w14:paraId="4F831BFA" w14:textId="1A20AC49" w:rsidR="00457165" w:rsidRPr="00AD6CCA" w:rsidRDefault="00457165" w:rsidP="00457165">
            <w:pPr>
              <w:ind w:right="57"/>
              <w:jc w:val="right"/>
              <w:rPr>
                <w:bCs w:val="0"/>
                <w:sz w:val="20"/>
                <w:szCs w:val="18"/>
              </w:rPr>
            </w:pPr>
            <w:r w:rsidRPr="00AD6CCA">
              <w:rPr>
                <w:bCs w:val="0"/>
                <w:sz w:val="20"/>
                <w:szCs w:val="16"/>
              </w:rPr>
              <w:t>4.881.004.395</w:t>
            </w:r>
          </w:p>
        </w:tc>
        <w:tc>
          <w:tcPr>
            <w:tcW w:w="2865" w:type="dxa"/>
          </w:tcPr>
          <w:p w14:paraId="73D537EF" w14:textId="0731D536" w:rsidR="00457165" w:rsidRPr="00482554" w:rsidRDefault="00457165" w:rsidP="00457165">
            <w:pPr>
              <w:numPr>
                <w:ilvl w:val="12"/>
                <w:numId w:val="0"/>
              </w:numPr>
              <w:ind w:leftChars="-161" w:left="-386" w:right="53" w:firstLine="8"/>
              <w:jc w:val="right"/>
              <w:rPr>
                <w:i/>
                <w:sz w:val="18"/>
                <w:szCs w:val="16"/>
              </w:rPr>
            </w:pPr>
            <w:r>
              <w:rPr>
                <w:i/>
                <w:sz w:val="18"/>
                <w:szCs w:val="16"/>
              </w:rPr>
              <w:t>Software</w:t>
            </w:r>
          </w:p>
        </w:tc>
      </w:tr>
      <w:tr w:rsidR="00457165" w:rsidRPr="0013526B" w14:paraId="7CAEAFD8" w14:textId="77777777" w:rsidTr="00AD6CCA">
        <w:trPr>
          <w:trHeight w:val="20"/>
        </w:trPr>
        <w:tc>
          <w:tcPr>
            <w:tcW w:w="2865" w:type="dxa"/>
            <w:vAlign w:val="bottom"/>
          </w:tcPr>
          <w:p w14:paraId="47D2021B" w14:textId="1908AD85" w:rsidR="00457165" w:rsidRPr="00451FBF" w:rsidRDefault="00457165" w:rsidP="00457165">
            <w:pPr>
              <w:ind w:left="459"/>
              <w:rPr>
                <w:sz w:val="18"/>
                <w:szCs w:val="18"/>
              </w:rPr>
            </w:pPr>
            <w:r w:rsidRPr="00451FBF">
              <w:rPr>
                <w:sz w:val="18"/>
                <w:szCs w:val="18"/>
              </w:rPr>
              <w:t>Beban ditangguhkan</w:t>
            </w:r>
          </w:p>
        </w:tc>
        <w:tc>
          <w:tcPr>
            <w:tcW w:w="1662" w:type="dxa"/>
            <w:shd w:val="clear" w:color="auto" w:fill="auto"/>
          </w:tcPr>
          <w:p w14:paraId="5EA795E8" w14:textId="567FFDA0" w:rsidR="00457165" w:rsidRPr="00AD6CCA" w:rsidRDefault="003268BB" w:rsidP="00AC2673">
            <w:pPr>
              <w:ind w:right="57"/>
              <w:jc w:val="right"/>
              <w:rPr>
                <w:bCs w:val="0"/>
                <w:sz w:val="20"/>
                <w:szCs w:val="18"/>
              </w:rPr>
            </w:pPr>
            <w:r w:rsidRPr="003268BB">
              <w:rPr>
                <w:bCs w:val="0"/>
                <w:sz w:val="20"/>
                <w:szCs w:val="18"/>
              </w:rPr>
              <w:t>892</w:t>
            </w:r>
            <w:r w:rsidR="00AC2673">
              <w:rPr>
                <w:bCs w:val="0"/>
                <w:sz w:val="20"/>
                <w:szCs w:val="18"/>
              </w:rPr>
              <w:t>.</w:t>
            </w:r>
            <w:r w:rsidRPr="003268BB">
              <w:rPr>
                <w:bCs w:val="0"/>
                <w:sz w:val="20"/>
                <w:szCs w:val="18"/>
              </w:rPr>
              <w:t>318</w:t>
            </w:r>
            <w:r w:rsidR="00AC2673">
              <w:rPr>
                <w:bCs w:val="0"/>
                <w:sz w:val="20"/>
                <w:szCs w:val="18"/>
              </w:rPr>
              <w:t>.</w:t>
            </w:r>
            <w:r w:rsidRPr="003268BB">
              <w:rPr>
                <w:bCs w:val="0"/>
                <w:sz w:val="20"/>
                <w:szCs w:val="18"/>
              </w:rPr>
              <w:t>453</w:t>
            </w:r>
          </w:p>
        </w:tc>
        <w:tc>
          <w:tcPr>
            <w:tcW w:w="114" w:type="dxa"/>
            <w:shd w:val="clear" w:color="auto" w:fill="auto"/>
            <w:vAlign w:val="bottom"/>
          </w:tcPr>
          <w:p w14:paraId="5E2EC5CA" w14:textId="77777777" w:rsidR="00457165" w:rsidRPr="00AD6CCA" w:rsidRDefault="00457165" w:rsidP="00457165">
            <w:pPr>
              <w:ind w:right="57"/>
              <w:jc w:val="right"/>
              <w:rPr>
                <w:bCs w:val="0"/>
                <w:sz w:val="20"/>
                <w:szCs w:val="18"/>
              </w:rPr>
            </w:pPr>
          </w:p>
        </w:tc>
        <w:tc>
          <w:tcPr>
            <w:tcW w:w="1691" w:type="dxa"/>
            <w:shd w:val="clear" w:color="auto" w:fill="auto"/>
          </w:tcPr>
          <w:p w14:paraId="4366AE6C" w14:textId="6AACD62B" w:rsidR="00457165" w:rsidRPr="00AD6CCA" w:rsidRDefault="00457165" w:rsidP="00457165">
            <w:pPr>
              <w:ind w:right="57"/>
              <w:jc w:val="right"/>
              <w:rPr>
                <w:bCs w:val="0"/>
                <w:sz w:val="20"/>
                <w:szCs w:val="18"/>
              </w:rPr>
            </w:pPr>
            <w:r w:rsidRPr="00AD6CCA">
              <w:rPr>
                <w:bCs w:val="0"/>
                <w:sz w:val="20"/>
                <w:szCs w:val="18"/>
              </w:rPr>
              <w:t>892.318.453</w:t>
            </w:r>
          </w:p>
        </w:tc>
        <w:tc>
          <w:tcPr>
            <w:tcW w:w="2865" w:type="dxa"/>
          </w:tcPr>
          <w:p w14:paraId="527C1140" w14:textId="39C802F8" w:rsidR="00457165" w:rsidRPr="00482554" w:rsidRDefault="00457165" w:rsidP="00457165">
            <w:pPr>
              <w:numPr>
                <w:ilvl w:val="12"/>
                <w:numId w:val="0"/>
              </w:numPr>
              <w:ind w:leftChars="-161" w:left="-386" w:right="53" w:firstLine="8"/>
              <w:jc w:val="right"/>
              <w:rPr>
                <w:i/>
                <w:sz w:val="18"/>
                <w:szCs w:val="16"/>
              </w:rPr>
            </w:pPr>
            <w:r>
              <w:rPr>
                <w:i/>
                <w:sz w:val="18"/>
                <w:szCs w:val="16"/>
              </w:rPr>
              <w:t xml:space="preserve">Deferred Charges </w:t>
            </w:r>
          </w:p>
        </w:tc>
      </w:tr>
      <w:tr w:rsidR="00800DAB" w:rsidRPr="0013526B" w14:paraId="281CE478" w14:textId="77777777" w:rsidTr="00AD6CCA">
        <w:trPr>
          <w:trHeight w:val="20"/>
        </w:trPr>
        <w:tc>
          <w:tcPr>
            <w:tcW w:w="2865" w:type="dxa"/>
            <w:vAlign w:val="bottom"/>
          </w:tcPr>
          <w:p w14:paraId="549CEB60" w14:textId="77777777" w:rsidR="00800DAB" w:rsidRPr="00451FBF" w:rsidRDefault="00800DAB" w:rsidP="003C6E0B">
            <w:pPr>
              <w:ind w:left="459"/>
              <w:jc w:val="both"/>
              <w:rPr>
                <w:sz w:val="18"/>
                <w:szCs w:val="18"/>
              </w:rPr>
            </w:pPr>
          </w:p>
        </w:tc>
        <w:tc>
          <w:tcPr>
            <w:tcW w:w="1662" w:type="dxa"/>
            <w:tcBorders>
              <w:top w:val="single" w:sz="4" w:space="0" w:color="auto"/>
            </w:tcBorders>
            <w:shd w:val="clear" w:color="auto" w:fill="auto"/>
            <w:vAlign w:val="bottom"/>
          </w:tcPr>
          <w:p w14:paraId="22FEB019" w14:textId="77777777" w:rsidR="00800DAB" w:rsidRPr="00AD6CCA" w:rsidRDefault="00800DAB" w:rsidP="00907CD9">
            <w:pPr>
              <w:ind w:right="57"/>
              <w:jc w:val="right"/>
              <w:rPr>
                <w:b/>
                <w:sz w:val="20"/>
                <w:szCs w:val="16"/>
              </w:rPr>
            </w:pPr>
          </w:p>
        </w:tc>
        <w:tc>
          <w:tcPr>
            <w:tcW w:w="114" w:type="dxa"/>
            <w:shd w:val="clear" w:color="auto" w:fill="auto"/>
            <w:vAlign w:val="bottom"/>
          </w:tcPr>
          <w:p w14:paraId="1FB669FA" w14:textId="77777777" w:rsidR="00800DAB" w:rsidRPr="00AD6CCA" w:rsidRDefault="00800DAB" w:rsidP="00907CD9">
            <w:pPr>
              <w:ind w:right="57"/>
              <w:jc w:val="right"/>
              <w:rPr>
                <w:b/>
                <w:sz w:val="20"/>
                <w:szCs w:val="16"/>
              </w:rPr>
            </w:pPr>
          </w:p>
        </w:tc>
        <w:tc>
          <w:tcPr>
            <w:tcW w:w="1691" w:type="dxa"/>
            <w:tcBorders>
              <w:top w:val="single" w:sz="4" w:space="0" w:color="auto"/>
            </w:tcBorders>
            <w:shd w:val="clear" w:color="auto" w:fill="auto"/>
            <w:vAlign w:val="bottom"/>
          </w:tcPr>
          <w:p w14:paraId="340C6CD2" w14:textId="77777777" w:rsidR="00800DAB" w:rsidRPr="00AD6CCA" w:rsidRDefault="00800DAB" w:rsidP="00907CD9">
            <w:pPr>
              <w:ind w:right="57"/>
              <w:jc w:val="right"/>
              <w:rPr>
                <w:b/>
                <w:sz w:val="20"/>
                <w:szCs w:val="18"/>
              </w:rPr>
            </w:pPr>
          </w:p>
        </w:tc>
        <w:tc>
          <w:tcPr>
            <w:tcW w:w="2865" w:type="dxa"/>
            <w:vAlign w:val="bottom"/>
          </w:tcPr>
          <w:p w14:paraId="5BB77553" w14:textId="77777777" w:rsidR="00800DAB" w:rsidRPr="0013526B" w:rsidRDefault="00800DAB" w:rsidP="00907CD9">
            <w:pPr>
              <w:ind w:leftChars="-161" w:left="-386" w:right="53" w:firstLine="8"/>
              <w:jc w:val="right"/>
              <w:rPr>
                <w:b/>
                <w:i/>
                <w:iCs/>
                <w:sz w:val="12"/>
                <w:szCs w:val="16"/>
              </w:rPr>
            </w:pPr>
          </w:p>
        </w:tc>
      </w:tr>
      <w:tr w:rsidR="00800DAB" w:rsidRPr="0013526B" w14:paraId="42A929A9" w14:textId="77777777" w:rsidTr="00AD6CCA">
        <w:trPr>
          <w:trHeight w:val="20"/>
        </w:trPr>
        <w:tc>
          <w:tcPr>
            <w:tcW w:w="2865" w:type="dxa"/>
            <w:vAlign w:val="bottom"/>
          </w:tcPr>
          <w:p w14:paraId="777597F9" w14:textId="77777777" w:rsidR="00800DAB" w:rsidRPr="00451FBF" w:rsidRDefault="00800DAB" w:rsidP="003C6E0B">
            <w:pPr>
              <w:ind w:left="459"/>
              <w:rPr>
                <w:sz w:val="18"/>
                <w:szCs w:val="18"/>
              </w:rPr>
            </w:pPr>
            <w:r w:rsidRPr="00451FBF">
              <w:rPr>
                <w:b/>
                <w:sz w:val="18"/>
                <w:szCs w:val="18"/>
              </w:rPr>
              <w:t>Jumlah</w:t>
            </w:r>
            <w:r w:rsidRPr="00451FBF">
              <w:rPr>
                <w:sz w:val="18"/>
                <w:szCs w:val="18"/>
              </w:rPr>
              <w:t xml:space="preserve"> </w:t>
            </w:r>
          </w:p>
        </w:tc>
        <w:tc>
          <w:tcPr>
            <w:tcW w:w="1662" w:type="dxa"/>
            <w:tcBorders>
              <w:bottom w:val="double" w:sz="4" w:space="0" w:color="auto"/>
            </w:tcBorders>
            <w:shd w:val="clear" w:color="auto" w:fill="auto"/>
            <w:vAlign w:val="bottom"/>
          </w:tcPr>
          <w:p w14:paraId="75541720" w14:textId="0B467662" w:rsidR="00800DAB" w:rsidRPr="007F2556" w:rsidRDefault="00AD6CCA" w:rsidP="00AC2673">
            <w:pPr>
              <w:ind w:right="57"/>
              <w:jc w:val="right"/>
              <w:rPr>
                <w:b/>
                <w:sz w:val="20"/>
                <w:szCs w:val="18"/>
              </w:rPr>
            </w:pPr>
            <w:r w:rsidRPr="007F2556">
              <w:rPr>
                <w:b/>
                <w:sz w:val="20"/>
                <w:szCs w:val="18"/>
              </w:rPr>
              <w:t>6</w:t>
            </w:r>
            <w:r w:rsidR="00AC2673" w:rsidRPr="007F2556">
              <w:rPr>
                <w:b/>
                <w:sz w:val="20"/>
                <w:szCs w:val="18"/>
              </w:rPr>
              <w:t>.</w:t>
            </w:r>
            <w:r w:rsidRPr="007F2556">
              <w:rPr>
                <w:b/>
                <w:sz w:val="20"/>
                <w:szCs w:val="18"/>
              </w:rPr>
              <w:t>793</w:t>
            </w:r>
            <w:r w:rsidR="00AC2673" w:rsidRPr="007F2556">
              <w:rPr>
                <w:b/>
                <w:sz w:val="20"/>
                <w:szCs w:val="18"/>
              </w:rPr>
              <w:t>.</w:t>
            </w:r>
            <w:r w:rsidRPr="007F2556">
              <w:rPr>
                <w:b/>
                <w:sz w:val="20"/>
                <w:szCs w:val="18"/>
              </w:rPr>
              <w:t>347</w:t>
            </w:r>
            <w:r w:rsidR="00AC2673" w:rsidRPr="007F2556">
              <w:rPr>
                <w:b/>
                <w:sz w:val="20"/>
                <w:szCs w:val="18"/>
              </w:rPr>
              <w:t>.</w:t>
            </w:r>
            <w:r w:rsidRPr="007F2556">
              <w:rPr>
                <w:b/>
                <w:sz w:val="20"/>
                <w:szCs w:val="18"/>
              </w:rPr>
              <w:t>515</w:t>
            </w:r>
          </w:p>
        </w:tc>
        <w:tc>
          <w:tcPr>
            <w:tcW w:w="114" w:type="dxa"/>
            <w:shd w:val="clear" w:color="auto" w:fill="auto"/>
            <w:vAlign w:val="bottom"/>
          </w:tcPr>
          <w:p w14:paraId="36082794" w14:textId="77777777" w:rsidR="00800DAB" w:rsidRPr="007F2556" w:rsidRDefault="00800DAB" w:rsidP="00907CD9">
            <w:pPr>
              <w:ind w:right="57"/>
              <w:jc w:val="right"/>
              <w:rPr>
                <w:b/>
                <w:sz w:val="20"/>
                <w:szCs w:val="18"/>
              </w:rPr>
            </w:pPr>
          </w:p>
        </w:tc>
        <w:tc>
          <w:tcPr>
            <w:tcW w:w="1691" w:type="dxa"/>
            <w:tcBorders>
              <w:bottom w:val="double" w:sz="4" w:space="0" w:color="auto"/>
            </w:tcBorders>
            <w:shd w:val="clear" w:color="auto" w:fill="auto"/>
            <w:vAlign w:val="bottom"/>
          </w:tcPr>
          <w:p w14:paraId="71E32377" w14:textId="6F522FAA" w:rsidR="00800DAB" w:rsidRPr="007F2556" w:rsidRDefault="00457165" w:rsidP="00907CD9">
            <w:pPr>
              <w:ind w:right="57"/>
              <w:jc w:val="right"/>
              <w:rPr>
                <w:b/>
                <w:sz w:val="20"/>
                <w:szCs w:val="18"/>
              </w:rPr>
            </w:pPr>
            <w:r w:rsidRPr="007F2556">
              <w:rPr>
                <w:b/>
                <w:sz w:val="20"/>
                <w:szCs w:val="18"/>
              </w:rPr>
              <w:t>5.773.322.848</w:t>
            </w:r>
          </w:p>
        </w:tc>
        <w:tc>
          <w:tcPr>
            <w:tcW w:w="2865" w:type="dxa"/>
            <w:vAlign w:val="bottom"/>
          </w:tcPr>
          <w:p w14:paraId="31D4901B" w14:textId="77777777" w:rsidR="00800DAB" w:rsidRPr="0013526B" w:rsidRDefault="00800DAB" w:rsidP="00907CD9">
            <w:pPr>
              <w:ind w:leftChars="-161" w:left="-386" w:right="53" w:firstLine="8"/>
              <w:jc w:val="right"/>
              <w:rPr>
                <w:b/>
                <w:i/>
                <w:iCs/>
                <w:sz w:val="18"/>
                <w:szCs w:val="18"/>
              </w:rPr>
            </w:pPr>
            <w:r w:rsidRPr="0013526B">
              <w:rPr>
                <w:b/>
                <w:i/>
                <w:iCs/>
                <w:sz w:val="18"/>
                <w:szCs w:val="18"/>
              </w:rPr>
              <w:t xml:space="preserve">Total </w:t>
            </w:r>
          </w:p>
        </w:tc>
      </w:tr>
    </w:tbl>
    <w:p w14:paraId="009A17E3" w14:textId="77777777" w:rsidR="004B3256" w:rsidRPr="00D71B91" w:rsidRDefault="004B3256" w:rsidP="0013526B">
      <w:pPr>
        <w:rPr>
          <w:sz w:val="18"/>
          <w:szCs w:val="22"/>
        </w:rPr>
      </w:pPr>
    </w:p>
    <w:tbl>
      <w:tblPr>
        <w:tblW w:w="9197" w:type="dxa"/>
        <w:tblInd w:w="140" w:type="dxa"/>
        <w:tblCellMar>
          <w:left w:w="0" w:type="dxa"/>
          <w:right w:w="0" w:type="dxa"/>
        </w:tblCellMar>
        <w:tblLook w:val="01E0" w:firstRow="1" w:lastRow="1" w:firstColumn="1" w:lastColumn="1" w:noHBand="0" w:noVBand="0"/>
      </w:tblPr>
      <w:tblGrid>
        <w:gridCol w:w="2874"/>
        <w:gridCol w:w="1667"/>
        <w:gridCol w:w="115"/>
        <w:gridCol w:w="1667"/>
        <w:gridCol w:w="2874"/>
      </w:tblGrid>
      <w:tr w:rsidR="00652A47" w:rsidRPr="0013526B" w14:paraId="52723C3A" w14:textId="77777777" w:rsidTr="003734F4">
        <w:trPr>
          <w:trHeight w:val="20"/>
        </w:trPr>
        <w:tc>
          <w:tcPr>
            <w:tcW w:w="2874" w:type="dxa"/>
          </w:tcPr>
          <w:p w14:paraId="352C7694" w14:textId="037D533E" w:rsidR="00652A47" w:rsidRPr="00451FBF" w:rsidRDefault="00652A47" w:rsidP="003C6E0B">
            <w:pPr>
              <w:ind w:left="448"/>
              <w:rPr>
                <w:b/>
                <w:bCs w:val="0"/>
                <w:sz w:val="18"/>
                <w:szCs w:val="18"/>
                <w:u w:val="single"/>
              </w:rPr>
            </w:pPr>
            <w:r w:rsidRPr="00451FBF">
              <w:rPr>
                <w:b/>
                <w:bCs w:val="0"/>
                <w:sz w:val="18"/>
                <w:szCs w:val="18"/>
                <w:u w:val="single"/>
              </w:rPr>
              <w:t>Perangkat lunak</w:t>
            </w:r>
          </w:p>
        </w:tc>
        <w:tc>
          <w:tcPr>
            <w:tcW w:w="1667" w:type="dxa"/>
          </w:tcPr>
          <w:p w14:paraId="05CDEE86" w14:textId="77777777" w:rsidR="00652A47" w:rsidRPr="0013526B" w:rsidRDefault="00652A47" w:rsidP="00652A47">
            <w:pPr>
              <w:jc w:val="center"/>
              <w:rPr>
                <w:b/>
                <w:sz w:val="18"/>
                <w:szCs w:val="18"/>
              </w:rPr>
            </w:pPr>
          </w:p>
        </w:tc>
        <w:tc>
          <w:tcPr>
            <w:tcW w:w="115" w:type="dxa"/>
          </w:tcPr>
          <w:p w14:paraId="48444D97" w14:textId="77777777" w:rsidR="00652A47" w:rsidRPr="0013526B" w:rsidRDefault="00652A47" w:rsidP="00652A47">
            <w:pPr>
              <w:jc w:val="center"/>
              <w:rPr>
                <w:b/>
                <w:sz w:val="18"/>
                <w:szCs w:val="18"/>
              </w:rPr>
            </w:pPr>
          </w:p>
        </w:tc>
        <w:tc>
          <w:tcPr>
            <w:tcW w:w="1667" w:type="dxa"/>
          </w:tcPr>
          <w:p w14:paraId="7F617B8F" w14:textId="209B1BAC" w:rsidR="00652A47" w:rsidRPr="00B1362E" w:rsidRDefault="00652A47" w:rsidP="00652A47">
            <w:pPr>
              <w:jc w:val="center"/>
              <w:rPr>
                <w:b/>
                <w:i/>
                <w:sz w:val="18"/>
                <w:szCs w:val="18"/>
                <w:u w:val="single"/>
              </w:rPr>
            </w:pPr>
          </w:p>
        </w:tc>
        <w:tc>
          <w:tcPr>
            <w:tcW w:w="2874" w:type="dxa"/>
          </w:tcPr>
          <w:p w14:paraId="59CE17C1" w14:textId="5723D314" w:rsidR="00652A47" w:rsidRPr="00451FBF" w:rsidRDefault="00652A47" w:rsidP="00451FBF">
            <w:pPr>
              <w:numPr>
                <w:ilvl w:val="12"/>
                <w:numId w:val="0"/>
              </w:numPr>
              <w:ind w:leftChars="-161" w:left="-386" w:right="53" w:firstLine="8"/>
              <w:jc w:val="right"/>
              <w:rPr>
                <w:b/>
                <w:bCs w:val="0"/>
                <w:i/>
                <w:sz w:val="18"/>
                <w:szCs w:val="18"/>
                <w:u w:val="single"/>
              </w:rPr>
            </w:pPr>
            <w:r w:rsidRPr="00451FBF">
              <w:rPr>
                <w:b/>
                <w:bCs w:val="0"/>
                <w:i/>
                <w:sz w:val="18"/>
                <w:szCs w:val="16"/>
                <w:u w:val="single"/>
              </w:rPr>
              <w:t>Software</w:t>
            </w:r>
          </w:p>
        </w:tc>
      </w:tr>
      <w:tr w:rsidR="00AD6CCA" w:rsidRPr="0013526B" w14:paraId="1864337A" w14:textId="77777777" w:rsidTr="003734F4">
        <w:trPr>
          <w:trHeight w:val="20"/>
        </w:trPr>
        <w:tc>
          <w:tcPr>
            <w:tcW w:w="2874" w:type="dxa"/>
          </w:tcPr>
          <w:p w14:paraId="361A9BD9" w14:textId="77777777" w:rsidR="00AD6CCA" w:rsidRPr="0013526B" w:rsidRDefault="00AD6CCA" w:rsidP="00AD6CCA">
            <w:pPr>
              <w:ind w:left="448"/>
              <w:rPr>
                <w:sz w:val="18"/>
                <w:szCs w:val="18"/>
              </w:rPr>
            </w:pPr>
          </w:p>
        </w:tc>
        <w:tc>
          <w:tcPr>
            <w:tcW w:w="1667" w:type="dxa"/>
            <w:tcBorders>
              <w:bottom w:val="single" w:sz="4" w:space="0" w:color="auto"/>
            </w:tcBorders>
          </w:tcPr>
          <w:p w14:paraId="717558EE" w14:textId="77777777" w:rsidR="00AD6CCA" w:rsidRDefault="00AD6CCA" w:rsidP="00AD6CCA">
            <w:pPr>
              <w:jc w:val="center"/>
              <w:rPr>
                <w:b/>
                <w:sz w:val="18"/>
                <w:szCs w:val="18"/>
              </w:rPr>
            </w:pPr>
            <w:r>
              <w:rPr>
                <w:b/>
                <w:sz w:val="18"/>
                <w:szCs w:val="18"/>
              </w:rPr>
              <w:t>31 Maret/</w:t>
            </w:r>
          </w:p>
          <w:p w14:paraId="35D9A162" w14:textId="5C052FA6" w:rsidR="00AD6CCA" w:rsidRPr="0013526B" w:rsidRDefault="00AD6CCA" w:rsidP="00AC2673">
            <w:pPr>
              <w:jc w:val="center"/>
              <w:rPr>
                <w:b/>
                <w:sz w:val="18"/>
                <w:szCs w:val="18"/>
              </w:rPr>
            </w:pPr>
            <w:r>
              <w:rPr>
                <w:b/>
                <w:sz w:val="18"/>
                <w:szCs w:val="18"/>
              </w:rPr>
              <w:t>March 31</w:t>
            </w:r>
            <w:r w:rsidR="00AC2673">
              <w:rPr>
                <w:b/>
                <w:sz w:val="18"/>
                <w:szCs w:val="18"/>
              </w:rPr>
              <w:t>,</w:t>
            </w:r>
            <w:r>
              <w:rPr>
                <w:b/>
                <w:sz w:val="18"/>
                <w:szCs w:val="18"/>
              </w:rPr>
              <w:t xml:space="preserve"> 2020</w:t>
            </w:r>
          </w:p>
        </w:tc>
        <w:tc>
          <w:tcPr>
            <w:tcW w:w="115" w:type="dxa"/>
          </w:tcPr>
          <w:p w14:paraId="7911065D" w14:textId="77777777" w:rsidR="00AD6CCA" w:rsidRPr="0013526B" w:rsidRDefault="00AD6CCA" w:rsidP="00AD6CCA">
            <w:pPr>
              <w:jc w:val="center"/>
              <w:rPr>
                <w:b/>
                <w:sz w:val="18"/>
                <w:szCs w:val="18"/>
              </w:rPr>
            </w:pPr>
          </w:p>
        </w:tc>
        <w:tc>
          <w:tcPr>
            <w:tcW w:w="1667" w:type="dxa"/>
            <w:tcBorders>
              <w:bottom w:val="single" w:sz="4" w:space="0" w:color="auto"/>
            </w:tcBorders>
          </w:tcPr>
          <w:p w14:paraId="1A472AE1" w14:textId="77777777" w:rsidR="00AD6CCA" w:rsidRDefault="00AD6CCA" w:rsidP="00AD6CCA">
            <w:pPr>
              <w:jc w:val="center"/>
              <w:rPr>
                <w:b/>
                <w:sz w:val="18"/>
                <w:szCs w:val="18"/>
              </w:rPr>
            </w:pPr>
            <w:r>
              <w:rPr>
                <w:b/>
                <w:sz w:val="18"/>
                <w:szCs w:val="18"/>
              </w:rPr>
              <w:t>31 Desember/</w:t>
            </w:r>
          </w:p>
          <w:p w14:paraId="1D2E0EDB" w14:textId="5C57EF24" w:rsidR="00AD6CCA" w:rsidRPr="0013526B" w:rsidRDefault="00AD6CCA" w:rsidP="00AC2673">
            <w:pPr>
              <w:jc w:val="center"/>
              <w:rPr>
                <w:b/>
                <w:sz w:val="18"/>
                <w:szCs w:val="18"/>
              </w:rPr>
            </w:pPr>
            <w:r>
              <w:rPr>
                <w:b/>
                <w:sz w:val="18"/>
                <w:szCs w:val="18"/>
              </w:rPr>
              <w:t>December 31</w:t>
            </w:r>
            <w:r w:rsidR="00AC2673">
              <w:rPr>
                <w:b/>
                <w:sz w:val="18"/>
                <w:szCs w:val="18"/>
              </w:rPr>
              <w:t>,</w:t>
            </w:r>
            <w:r>
              <w:rPr>
                <w:b/>
                <w:sz w:val="18"/>
                <w:szCs w:val="18"/>
              </w:rPr>
              <w:t xml:space="preserve"> </w:t>
            </w:r>
            <w:r w:rsidRPr="0013526B">
              <w:rPr>
                <w:b/>
                <w:sz w:val="18"/>
                <w:szCs w:val="18"/>
              </w:rPr>
              <w:t>201</w:t>
            </w:r>
            <w:r>
              <w:rPr>
                <w:b/>
                <w:sz w:val="18"/>
                <w:szCs w:val="18"/>
              </w:rPr>
              <w:t>9</w:t>
            </w:r>
          </w:p>
        </w:tc>
        <w:tc>
          <w:tcPr>
            <w:tcW w:w="2874" w:type="dxa"/>
          </w:tcPr>
          <w:p w14:paraId="0AFC9EC9" w14:textId="77777777" w:rsidR="00AD6CCA" w:rsidRPr="0013526B" w:rsidRDefault="00AD6CCA" w:rsidP="00AD6CCA">
            <w:pPr>
              <w:ind w:right="34"/>
              <w:jc w:val="right"/>
              <w:rPr>
                <w:i/>
                <w:sz w:val="18"/>
                <w:szCs w:val="18"/>
              </w:rPr>
            </w:pPr>
          </w:p>
        </w:tc>
      </w:tr>
      <w:tr w:rsidR="00652A47" w:rsidRPr="0013526B" w14:paraId="5310724C" w14:textId="77777777" w:rsidTr="00E50367">
        <w:trPr>
          <w:trHeight w:val="20"/>
        </w:trPr>
        <w:tc>
          <w:tcPr>
            <w:tcW w:w="2874" w:type="dxa"/>
          </w:tcPr>
          <w:p w14:paraId="57179A79" w14:textId="77777777" w:rsidR="00652A47" w:rsidRPr="0013526B" w:rsidRDefault="00652A47" w:rsidP="003C6E0B">
            <w:pPr>
              <w:ind w:left="448"/>
              <w:rPr>
                <w:sz w:val="18"/>
                <w:szCs w:val="18"/>
              </w:rPr>
            </w:pPr>
          </w:p>
        </w:tc>
        <w:tc>
          <w:tcPr>
            <w:tcW w:w="1667" w:type="dxa"/>
          </w:tcPr>
          <w:p w14:paraId="3F8DF4EA" w14:textId="77777777" w:rsidR="00652A47" w:rsidRPr="0013526B" w:rsidRDefault="00652A47" w:rsidP="00652A47">
            <w:pPr>
              <w:jc w:val="center"/>
              <w:rPr>
                <w:b/>
                <w:sz w:val="18"/>
                <w:szCs w:val="18"/>
              </w:rPr>
            </w:pPr>
          </w:p>
        </w:tc>
        <w:tc>
          <w:tcPr>
            <w:tcW w:w="115" w:type="dxa"/>
          </w:tcPr>
          <w:p w14:paraId="43F9907F" w14:textId="77777777" w:rsidR="00652A47" w:rsidRPr="0013526B" w:rsidRDefault="00652A47" w:rsidP="00652A47">
            <w:pPr>
              <w:jc w:val="center"/>
              <w:rPr>
                <w:b/>
                <w:sz w:val="18"/>
                <w:szCs w:val="18"/>
              </w:rPr>
            </w:pPr>
          </w:p>
        </w:tc>
        <w:tc>
          <w:tcPr>
            <w:tcW w:w="1667" w:type="dxa"/>
          </w:tcPr>
          <w:p w14:paraId="582929A8" w14:textId="77777777" w:rsidR="00652A47" w:rsidRPr="0013526B" w:rsidRDefault="00652A47" w:rsidP="00652A47">
            <w:pPr>
              <w:jc w:val="center"/>
              <w:rPr>
                <w:b/>
                <w:sz w:val="18"/>
                <w:szCs w:val="18"/>
              </w:rPr>
            </w:pPr>
          </w:p>
        </w:tc>
        <w:tc>
          <w:tcPr>
            <w:tcW w:w="2874" w:type="dxa"/>
          </w:tcPr>
          <w:p w14:paraId="3E3003D9" w14:textId="77777777" w:rsidR="00652A47" w:rsidRPr="0013526B" w:rsidRDefault="00652A47" w:rsidP="00652A47">
            <w:pPr>
              <w:ind w:right="34"/>
              <w:jc w:val="right"/>
              <w:rPr>
                <w:i/>
                <w:sz w:val="18"/>
                <w:szCs w:val="18"/>
              </w:rPr>
            </w:pPr>
          </w:p>
        </w:tc>
      </w:tr>
      <w:tr w:rsidR="00652A47" w:rsidRPr="0013526B" w14:paraId="2606E8FC" w14:textId="77777777" w:rsidTr="00E50367">
        <w:trPr>
          <w:trHeight w:val="20"/>
        </w:trPr>
        <w:tc>
          <w:tcPr>
            <w:tcW w:w="2874" w:type="dxa"/>
          </w:tcPr>
          <w:p w14:paraId="38FDBEFA" w14:textId="102B9207" w:rsidR="00652A47" w:rsidRPr="00451FBF" w:rsidRDefault="00652A47" w:rsidP="003C6E0B">
            <w:pPr>
              <w:ind w:left="448"/>
              <w:rPr>
                <w:b/>
                <w:bCs w:val="0"/>
                <w:sz w:val="18"/>
                <w:szCs w:val="18"/>
              </w:rPr>
            </w:pPr>
            <w:r w:rsidRPr="00451FBF">
              <w:rPr>
                <w:b/>
                <w:bCs w:val="0"/>
                <w:sz w:val="18"/>
                <w:szCs w:val="18"/>
              </w:rPr>
              <w:t>Biaya perolehan</w:t>
            </w:r>
          </w:p>
        </w:tc>
        <w:tc>
          <w:tcPr>
            <w:tcW w:w="1667" w:type="dxa"/>
          </w:tcPr>
          <w:p w14:paraId="79944FD6" w14:textId="77777777" w:rsidR="00652A47" w:rsidRPr="00482554" w:rsidRDefault="00652A47" w:rsidP="00652A47">
            <w:pPr>
              <w:ind w:right="29"/>
              <w:jc w:val="right"/>
              <w:rPr>
                <w:bCs w:val="0"/>
                <w:sz w:val="18"/>
                <w:szCs w:val="16"/>
              </w:rPr>
            </w:pPr>
          </w:p>
        </w:tc>
        <w:tc>
          <w:tcPr>
            <w:tcW w:w="115" w:type="dxa"/>
          </w:tcPr>
          <w:p w14:paraId="49C7CED6" w14:textId="77777777" w:rsidR="00652A47" w:rsidRPr="0013526B" w:rsidRDefault="00652A47" w:rsidP="00652A47">
            <w:pPr>
              <w:ind w:right="29"/>
              <w:jc w:val="right"/>
              <w:rPr>
                <w:bCs w:val="0"/>
                <w:sz w:val="12"/>
                <w:szCs w:val="16"/>
              </w:rPr>
            </w:pPr>
          </w:p>
        </w:tc>
        <w:tc>
          <w:tcPr>
            <w:tcW w:w="1667" w:type="dxa"/>
          </w:tcPr>
          <w:p w14:paraId="1156B898" w14:textId="65C48A2C" w:rsidR="00652A47" w:rsidRPr="00482554" w:rsidRDefault="00652A47" w:rsidP="00652A47">
            <w:pPr>
              <w:ind w:right="29"/>
              <w:jc w:val="right"/>
              <w:rPr>
                <w:bCs w:val="0"/>
                <w:sz w:val="18"/>
                <w:szCs w:val="16"/>
              </w:rPr>
            </w:pPr>
          </w:p>
        </w:tc>
        <w:tc>
          <w:tcPr>
            <w:tcW w:w="2874" w:type="dxa"/>
          </w:tcPr>
          <w:p w14:paraId="46F45252" w14:textId="728DE284" w:rsidR="00652A47" w:rsidRPr="00451FBF" w:rsidRDefault="00652A47" w:rsidP="00652A47">
            <w:pPr>
              <w:numPr>
                <w:ilvl w:val="12"/>
                <w:numId w:val="0"/>
              </w:numPr>
              <w:ind w:leftChars="-161" w:left="-386" w:right="53" w:firstLine="8"/>
              <w:jc w:val="right"/>
              <w:rPr>
                <w:b/>
                <w:bCs w:val="0"/>
                <w:i/>
                <w:sz w:val="18"/>
                <w:szCs w:val="16"/>
              </w:rPr>
            </w:pPr>
            <w:r w:rsidRPr="00451FBF">
              <w:rPr>
                <w:b/>
                <w:bCs w:val="0"/>
                <w:i/>
                <w:sz w:val="18"/>
                <w:szCs w:val="16"/>
              </w:rPr>
              <w:t>Cost</w:t>
            </w:r>
          </w:p>
        </w:tc>
      </w:tr>
      <w:tr w:rsidR="00457165" w:rsidRPr="0013526B" w14:paraId="7A078131" w14:textId="77777777" w:rsidTr="00E50367">
        <w:trPr>
          <w:trHeight w:val="20"/>
        </w:trPr>
        <w:tc>
          <w:tcPr>
            <w:tcW w:w="2874" w:type="dxa"/>
          </w:tcPr>
          <w:p w14:paraId="7FA4E254" w14:textId="4837E933" w:rsidR="00457165" w:rsidRPr="00451FBF" w:rsidRDefault="00457165" w:rsidP="00457165">
            <w:pPr>
              <w:ind w:left="448"/>
              <w:rPr>
                <w:sz w:val="18"/>
                <w:szCs w:val="18"/>
              </w:rPr>
            </w:pPr>
            <w:r w:rsidRPr="00451FBF">
              <w:rPr>
                <w:sz w:val="18"/>
                <w:szCs w:val="18"/>
              </w:rPr>
              <w:t>Saldo awal</w:t>
            </w:r>
          </w:p>
        </w:tc>
        <w:tc>
          <w:tcPr>
            <w:tcW w:w="1667" w:type="dxa"/>
          </w:tcPr>
          <w:p w14:paraId="738BB9EE" w14:textId="02777FB5" w:rsidR="00457165" w:rsidRPr="00427EB2" w:rsidRDefault="00457165" w:rsidP="00457165">
            <w:pPr>
              <w:ind w:right="29"/>
              <w:jc w:val="right"/>
              <w:rPr>
                <w:bCs w:val="0"/>
                <w:sz w:val="18"/>
                <w:szCs w:val="16"/>
              </w:rPr>
            </w:pPr>
            <w:r w:rsidRPr="00427EB2">
              <w:rPr>
                <w:bCs w:val="0"/>
                <w:sz w:val="18"/>
                <w:szCs w:val="16"/>
              </w:rPr>
              <w:t>15.255.017.332</w:t>
            </w:r>
          </w:p>
        </w:tc>
        <w:tc>
          <w:tcPr>
            <w:tcW w:w="115" w:type="dxa"/>
          </w:tcPr>
          <w:p w14:paraId="5268E49C" w14:textId="77777777" w:rsidR="00457165" w:rsidRPr="00427EB2" w:rsidRDefault="00457165" w:rsidP="00457165">
            <w:pPr>
              <w:ind w:right="29"/>
              <w:jc w:val="right"/>
              <w:rPr>
                <w:bCs w:val="0"/>
                <w:sz w:val="12"/>
                <w:szCs w:val="16"/>
              </w:rPr>
            </w:pPr>
          </w:p>
        </w:tc>
        <w:tc>
          <w:tcPr>
            <w:tcW w:w="1667" w:type="dxa"/>
          </w:tcPr>
          <w:p w14:paraId="1D1705F9" w14:textId="465569CD" w:rsidR="00457165" w:rsidRPr="00427EB2" w:rsidRDefault="00457165" w:rsidP="00457165">
            <w:pPr>
              <w:ind w:right="57"/>
              <w:jc w:val="right"/>
              <w:rPr>
                <w:bCs w:val="0"/>
                <w:sz w:val="18"/>
                <w:szCs w:val="18"/>
              </w:rPr>
            </w:pPr>
            <w:r w:rsidRPr="00427EB2">
              <w:rPr>
                <w:bCs w:val="0"/>
                <w:sz w:val="18"/>
                <w:szCs w:val="16"/>
              </w:rPr>
              <w:t>15.255.017.332</w:t>
            </w:r>
          </w:p>
        </w:tc>
        <w:tc>
          <w:tcPr>
            <w:tcW w:w="2874" w:type="dxa"/>
          </w:tcPr>
          <w:p w14:paraId="174CD802" w14:textId="0C26519E" w:rsidR="00457165" w:rsidRDefault="00457165" w:rsidP="00457165">
            <w:pPr>
              <w:numPr>
                <w:ilvl w:val="12"/>
                <w:numId w:val="0"/>
              </w:numPr>
              <w:ind w:leftChars="-161" w:left="-386" w:right="53" w:firstLine="8"/>
              <w:jc w:val="right"/>
              <w:rPr>
                <w:i/>
                <w:sz w:val="18"/>
                <w:szCs w:val="16"/>
              </w:rPr>
            </w:pPr>
            <w:r>
              <w:rPr>
                <w:i/>
                <w:sz w:val="18"/>
                <w:szCs w:val="16"/>
              </w:rPr>
              <w:t>Beginning balance</w:t>
            </w:r>
          </w:p>
        </w:tc>
      </w:tr>
      <w:tr w:rsidR="00457165" w:rsidRPr="0013526B" w14:paraId="0CFBECF1" w14:textId="77777777" w:rsidTr="00E50367">
        <w:trPr>
          <w:trHeight w:val="20"/>
        </w:trPr>
        <w:tc>
          <w:tcPr>
            <w:tcW w:w="2874" w:type="dxa"/>
          </w:tcPr>
          <w:p w14:paraId="3CF617DC" w14:textId="23FA1E20" w:rsidR="00457165" w:rsidRPr="00451FBF" w:rsidRDefault="00457165" w:rsidP="00457165">
            <w:pPr>
              <w:ind w:left="448"/>
              <w:rPr>
                <w:sz w:val="18"/>
                <w:szCs w:val="18"/>
              </w:rPr>
            </w:pPr>
            <w:r w:rsidRPr="00451FBF">
              <w:rPr>
                <w:sz w:val="18"/>
                <w:szCs w:val="18"/>
              </w:rPr>
              <w:t>Penambahan</w:t>
            </w:r>
          </w:p>
        </w:tc>
        <w:tc>
          <w:tcPr>
            <w:tcW w:w="1667" w:type="dxa"/>
            <w:tcBorders>
              <w:bottom w:val="single" w:sz="4" w:space="0" w:color="auto"/>
            </w:tcBorders>
          </w:tcPr>
          <w:p w14:paraId="47FE2472" w14:textId="41DA4DE8" w:rsidR="00457165" w:rsidRPr="003268BB" w:rsidRDefault="003268BB" w:rsidP="00457165">
            <w:pPr>
              <w:ind w:right="29"/>
              <w:jc w:val="right"/>
              <w:rPr>
                <w:bCs w:val="0"/>
                <w:sz w:val="18"/>
                <w:szCs w:val="16"/>
              </w:rPr>
            </w:pPr>
            <w:r>
              <w:rPr>
                <w:bCs w:val="0"/>
                <w:sz w:val="18"/>
                <w:szCs w:val="16"/>
              </w:rPr>
              <w:t>1.527.820.000</w:t>
            </w:r>
          </w:p>
        </w:tc>
        <w:tc>
          <w:tcPr>
            <w:tcW w:w="115" w:type="dxa"/>
          </w:tcPr>
          <w:p w14:paraId="7BC8F4DD" w14:textId="77777777" w:rsidR="00457165" w:rsidRPr="00427EB2" w:rsidRDefault="00457165" w:rsidP="00457165">
            <w:pPr>
              <w:ind w:right="29"/>
              <w:jc w:val="right"/>
              <w:rPr>
                <w:bCs w:val="0"/>
                <w:sz w:val="12"/>
                <w:szCs w:val="16"/>
              </w:rPr>
            </w:pPr>
          </w:p>
        </w:tc>
        <w:tc>
          <w:tcPr>
            <w:tcW w:w="1667" w:type="dxa"/>
            <w:tcBorders>
              <w:bottom w:val="single" w:sz="4" w:space="0" w:color="auto"/>
            </w:tcBorders>
          </w:tcPr>
          <w:p w14:paraId="6766BF1D" w14:textId="11835A59" w:rsidR="00457165" w:rsidRPr="00427EB2" w:rsidRDefault="00457165" w:rsidP="00457165">
            <w:pPr>
              <w:ind w:right="57"/>
              <w:jc w:val="right"/>
              <w:rPr>
                <w:bCs w:val="0"/>
                <w:sz w:val="18"/>
                <w:szCs w:val="18"/>
              </w:rPr>
            </w:pPr>
            <w:r w:rsidRPr="00427EB2">
              <w:rPr>
                <w:bCs w:val="0"/>
                <w:sz w:val="18"/>
                <w:szCs w:val="16"/>
                <w:lang w:val="id-ID"/>
              </w:rPr>
              <w:t>-</w:t>
            </w:r>
          </w:p>
        </w:tc>
        <w:tc>
          <w:tcPr>
            <w:tcW w:w="2874" w:type="dxa"/>
          </w:tcPr>
          <w:p w14:paraId="6BBEACE6" w14:textId="5DF7EA2F" w:rsidR="00457165" w:rsidRDefault="00457165" w:rsidP="00457165">
            <w:pPr>
              <w:numPr>
                <w:ilvl w:val="12"/>
                <w:numId w:val="0"/>
              </w:numPr>
              <w:ind w:leftChars="-161" w:left="-386" w:right="53" w:firstLine="8"/>
              <w:jc w:val="right"/>
              <w:rPr>
                <w:i/>
                <w:sz w:val="18"/>
                <w:szCs w:val="16"/>
              </w:rPr>
            </w:pPr>
            <w:r>
              <w:rPr>
                <w:i/>
                <w:sz w:val="18"/>
                <w:szCs w:val="16"/>
              </w:rPr>
              <w:t>Addition</w:t>
            </w:r>
          </w:p>
        </w:tc>
      </w:tr>
      <w:tr w:rsidR="00652A47" w:rsidRPr="0013526B" w14:paraId="5F2058CC" w14:textId="77777777" w:rsidTr="00E50367">
        <w:trPr>
          <w:trHeight w:val="20"/>
        </w:trPr>
        <w:tc>
          <w:tcPr>
            <w:tcW w:w="2874" w:type="dxa"/>
            <w:vAlign w:val="bottom"/>
          </w:tcPr>
          <w:p w14:paraId="6C2F6C27" w14:textId="77777777" w:rsidR="00652A47" w:rsidRPr="00451FBF" w:rsidRDefault="00652A47" w:rsidP="003C6E0B">
            <w:pPr>
              <w:ind w:left="448"/>
              <w:rPr>
                <w:sz w:val="18"/>
                <w:szCs w:val="18"/>
              </w:rPr>
            </w:pPr>
          </w:p>
        </w:tc>
        <w:tc>
          <w:tcPr>
            <w:tcW w:w="1667" w:type="dxa"/>
            <w:tcBorders>
              <w:top w:val="single" w:sz="4" w:space="0" w:color="auto"/>
            </w:tcBorders>
            <w:shd w:val="clear" w:color="auto" w:fill="auto"/>
          </w:tcPr>
          <w:p w14:paraId="72550648" w14:textId="77777777" w:rsidR="00652A47" w:rsidRPr="00427EB2" w:rsidRDefault="00652A47" w:rsidP="00652A47">
            <w:pPr>
              <w:ind w:right="57"/>
              <w:jc w:val="right"/>
              <w:rPr>
                <w:bCs w:val="0"/>
                <w:sz w:val="18"/>
                <w:szCs w:val="18"/>
              </w:rPr>
            </w:pPr>
          </w:p>
        </w:tc>
        <w:tc>
          <w:tcPr>
            <w:tcW w:w="115" w:type="dxa"/>
            <w:vAlign w:val="bottom"/>
          </w:tcPr>
          <w:p w14:paraId="42DEF5F6" w14:textId="77777777" w:rsidR="00652A47" w:rsidRPr="00427EB2" w:rsidRDefault="00652A47" w:rsidP="00652A47">
            <w:pPr>
              <w:ind w:right="57"/>
              <w:jc w:val="right"/>
              <w:rPr>
                <w:bCs w:val="0"/>
                <w:sz w:val="18"/>
                <w:szCs w:val="18"/>
              </w:rPr>
            </w:pPr>
          </w:p>
        </w:tc>
        <w:tc>
          <w:tcPr>
            <w:tcW w:w="1667" w:type="dxa"/>
            <w:tcBorders>
              <w:top w:val="single" w:sz="4" w:space="0" w:color="auto"/>
            </w:tcBorders>
          </w:tcPr>
          <w:p w14:paraId="7E8EB74E" w14:textId="77777777" w:rsidR="00652A47" w:rsidRPr="00427EB2" w:rsidRDefault="00652A47" w:rsidP="00652A47">
            <w:pPr>
              <w:ind w:right="57"/>
              <w:jc w:val="right"/>
              <w:rPr>
                <w:bCs w:val="0"/>
                <w:sz w:val="18"/>
                <w:szCs w:val="18"/>
              </w:rPr>
            </w:pPr>
          </w:p>
        </w:tc>
        <w:tc>
          <w:tcPr>
            <w:tcW w:w="2874" w:type="dxa"/>
          </w:tcPr>
          <w:p w14:paraId="441B1C7A" w14:textId="77777777" w:rsidR="00652A47" w:rsidRDefault="00652A47" w:rsidP="00652A47">
            <w:pPr>
              <w:numPr>
                <w:ilvl w:val="12"/>
                <w:numId w:val="0"/>
              </w:numPr>
              <w:ind w:leftChars="-161" w:left="-386" w:right="53" w:firstLine="8"/>
              <w:jc w:val="right"/>
              <w:rPr>
                <w:i/>
                <w:sz w:val="18"/>
                <w:szCs w:val="16"/>
              </w:rPr>
            </w:pPr>
          </w:p>
        </w:tc>
      </w:tr>
      <w:tr w:rsidR="00457165" w:rsidRPr="0013526B" w14:paraId="787DD3AB" w14:textId="77777777" w:rsidTr="002B637F">
        <w:trPr>
          <w:trHeight w:val="20"/>
        </w:trPr>
        <w:tc>
          <w:tcPr>
            <w:tcW w:w="2874" w:type="dxa"/>
            <w:vAlign w:val="bottom"/>
          </w:tcPr>
          <w:p w14:paraId="7224D32D" w14:textId="4D6267DF" w:rsidR="00457165" w:rsidRPr="00451FBF" w:rsidRDefault="00457165" w:rsidP="00457165">
            <w:pPr>
              <w:ind w:left="448"/>
              <w:rPr>
                <w:sz w:val="18"/>
                <w:szCs w:val="18"/>
              </w:rPr>
            </w:pPr>
            <w:r w:rsidRPr="00451FBF">
              <w:rPr>
                <w:sz w:val="18"/>
                <w:szCs w:val="18"/>
              </w:rPr>
              <w:t>Saldo akhir</w:t>
            </w:r>
          </w:p>
        </w:tc>
        <w:tc>
          <w:tcPr>
            <w:tcW w:w="1667" w:type="dxa"/>
            <w:shd w:val="clear" w:color="auto" w:fill="auto"/>
          </w:tcPr>
          <w:p w14:paraId="09C65811" w14:textId="72E55077" w:rsidR="00457165" w:rsidRPr="00427EB2" w:rsidRDefault="00427EB2" w:rsidP="00457165">
            <w:pPr>
              <w:ind w:right="57"/>
              <w:jc w:val="right"/>
              <w:rPr>
                <w:bCs w:val="0"/>
                <w:sz w:val="18"/>
                <w:szCs w:val="18"/>
              </w:rPr>
            </w:pPr>
            <w:r>
              <w:rPr>
                <w:bCs w:val="0"/>
                <w:sz w:val="18"/>
                <w:szCs w:val="18"/>
              </w:rPr>
              <w:t>16.782.837.332</w:t>
            </w:r>
          </w:p>
        </w:tc>
        <w:tc>
          <w:tcPr>
            <w:tcW w:w="115" w:type="dxa"/>
            <w:vAlign w:val="bottom"/>
          </w:tcPr>
          <w:p w14:paraId="192D3B40" w14:textId="77777777" w:rsidR="00457165" w:rsidRPr="00427EB2" w:rsidRDefault="00457165" w:rsidP="00457165">
            <w:pPr>
              <w:ind w:right="57"/>
              <w:jc w:val="right"/>
              <w:rPr>
                <w:bCs w:val="0"/>
                <w:sz w:val="18"/>
                <w:szCs w:val="18"/>
              </w:rPr>
            </w:pPr>
          </w:p>
        </w:tc>
        <w:tc>
          <w:tcPr>
            <w:tcW w:w="1667" w:type="dxa"/>
          </w:tcPr>
          <w:p w14:paraId="7746CD21" w14:textId="0B51870F" w:rsidR="00457165" w:rsidRPr="00427EB2" w:rsidRDefault="00457165" w:rsidP="00457165">
            <w:pPr>
              <w:ind w:right="57"/>
              <w:jc w:val="right"/>
              <w:rPr>
                <w:bCs w:val="0"/>
                <w:sz w:val="18"/>
                <w:szCs w:val="18"/>
              </w:rPr>
            </w:pPr>
            <w:r w:rsidRPr="00427EB2">
              <w:rPr>
                <w:bCs w:val="0"/>
                <w:sz w:val="18"/>
                <w:szCs w:val="18"/>
              </w:rPr>
              <w:t>15.255.017.332</w:t>
            </w:r>
          </w:p>
        </w:tc>
        <w:tc>
          <w:tcPr>
            <w:tcW w:w="2874" w:type="dxa"/>
            <w:vAlign w:val="bottom"/>
          </w:tcPr>
          <w:p w14:paraId="723864BE" w14:textId="51B70365" w:rsidR="00457165" w:rsidRPr="00482554" w:rsidRDefault="00457165" w:rsidP="00457165">
            <w:pPr>
              <w:numPr>
                <w:ilvl w:val="12"/>
                <w:numId w:val="0"/>
              </w:numPr>
              <w:ind w:leftChars="-161" w:left="-386" w:right="53" w:firstLine="8"/>
              <w:jc w:val="right"/>
              <w:rPr>
                <w:i/>
                <w:sz w:val="18"/>
                <w:szCs w:val="16"/>
              </w:rPr>
            </w:pPr>
          </w:p>
        </w:tc>
      </w:tr>
      <w:tr w:rsidR="00457165" w:rsidRPr="0013526B" w14:paraId="25FCDA78" w14:textId="77777777" w:rsidTr="00E50367">
        <w:trPr>
          <w:trHeight w:val="20"/>
        </w:trPr>
        <w:tc>
          <w:tcPr>
            <w:tcW w:w="2874" w:type="dxa"/>
            <w:vAlign w:val="bottom"/>
          </w:tcPr>
          <w:p w14:paraId="0E2E30B3" w14:textId="221D0EA2" w:rsidR="00457165" w:rsidRPr="00451FBF" w:rsidRDefault="00457165" w:rsidP="00457165">
            <w:pPr>
              <w:ind w:left="448"/>
              <w:rPr>
                <w:sz w:val="18"/>
                <w:szCs w:val="18"/>
              </w:rPr>
            </w:pPr>
          </w:p>
        </w:tc>
        <w:tc>
          <w:tcPr>
            <w:tcW w:w="1667" w:type="dxa"/>
            <w:tcBorders>
              <w:top w:val="single" w:sz="4" w:space="0" w:color="auto"/>
            </w:tcBorders>
            <w:shd w:val="clear" w:color="auto" w:fill="auto"/>
            <w:vAlign w:val="bottom"/>
          </w:tcPr>
          <w:p w14:paraId="1D0EF3F5" w14:textId="77777777" w:rsidR="00457165" w:rsidRPr="00427EB2" w:rsidRDefault="00457165" w:rsidP="00457165">
            <w:pPr>
              <w:ind w:right="57"/>
              <w:jc w:val="right"/>
              <w:rPr>
                <w:b/>
                <w:sz w:val="12"/>
                <w:szCs w:val="16"/>
              </w:rPr>
            </w:pPr>
          </w:p>
        </w:tc>
        <w:tc>
          <w:tcPr>
            <w:tcW w:w="115" w:type="dxa"/>
            <w:vAlign w:val="bottom"/>
          </w:tcPr>
          <w:p w14:paraId="61B1C8EE" w14:textId="77777777" w:rsidR="00457165" w:rsidRPr="00427EB2" w:rsidRDefault="00457165" w:rsidP="00457165">
            <w:pPr>
              <w:ind w:right="57"/>
              <w:jc w:val="right"/>
              <w:rPr>
                <w:b/>
                <w:sz w:val="12"/>
                <w:szCs w:val="16"/>
              </w:rPr>
            </w:pPr>
          </w:p>
        </w:tc>
        <w:tc>
          <w:tcPr>
            <w:tcW w:w="1667" w:type="dxa"/>
            <w:tcBorders>
              <w:top w:val="single" w:sz="4" w:space="0" w:color="auto"/>
            </w:tcBorders>
            <w:vAlign w:val="bottom"/>
          </w:tcPr>
          <w:p w14:paraId="7C7644E0" w14:textId="77777777" w:rsidR="00457165" w:rsidRPr="00427EB2" w:rsidRDefault="00457165" w:rsidP="00457165">
            <w:pPr>
              <w:ind w:right="57"/>
              <w:jc w:val="right"/>
              <w:rPr>
                <w:bCs w:val="0"/>
                <w:sz w:val="18"/>
                <w:szCs w:val="18"/>
              </w:rPr>
            </w:pPr>
          </w:p>
        </w:tc>
        <w:tc>
          <w:tcPr>
            <w:tcW w:w="2874" w:type="dxa"/>
            <w:vAlign w:val="bottom"/>
          </w:tcPr>
          <w:p w14:paraId="603D2D39" w14:textId="77777777" w:rsidR="00457165" w:rsidRPr="00451FBF" w:rsidRDefault="00457165" w:rsidP="00457165">
            <w:pPr>
              <w:numPr>
                <w:ilvl w:val="12"/>
                <w:numId w:val="0"/>
              </w:numPr>
              <w:ind w:leftChars="-161" w:left="-386" w:right="53" w:firstLine="8"/>
              <w:jc w:val="right"/>
              <w:rPr>
                <w:i/>
                <w:sz w:val="18"/>
                <w:szCs w:val="16"/>
              </w:rPr>
            </w:pPr>
          </w:p>
        </w:tc>
      </w:tr>
      <w:tr w:rsidR="00457165" w:rsidRPr="0013526B" w14:paraId="5DD556BD" w14:textId="77777777" w:rsidTr="00E50367">
        <w:trPr>
          <w:trHeight w:val="20"/>
        </w:trPr>
        <w:tc>
          <w:tcPr>
            <w:tcW w:w="2874" w:type="dxa"/>
            <w:vAlign w:val="bottom"/>
          </w:tcPr>
          <w:p w14:paraId="7056039C" w14:textId="1D31A927" w:rsidR="00457165" w:rsidRPr="00451FBF" w:rsidRDefault="00457165" w:rsidP="00457165">
            <w:pPr>
              <w:ind w:left="448"/>
              <w:rPr>
                <w:b/>
                <w:bCs w:val="0"/>
                <w:sz w:val="18"/>
                <w:szCs w:val="18"/>
              </w:rPr>
            </w:pPr>
            <w:r w:rsidRPr="00451FBF">
              <w:rPr>
                <w:b/>
                <w:bCs w:val="0"/>
                <w:sz w:val="18"/>
                <w:szCs w:val="18"/>
              </w:rPr>
              <w:t>Akumulasi amortisasi</w:t>
            </w:r>
          </w:p>
        </w:tc>
        <w:tc>
          <w:tcPr>
            <w:tcW w:w="1667" w:type="dxa"/>
            <w:shd w:val="clear" w:color="auto" w:fill="auto"/>
            <w:vAlign w:val="bottom"/>
          </w:tcPr>
          <w:p w14:paraId="2ED56598" w14:textId="77777777" w:rsidR="00457165" w:rsidRPr="00427EB2" w:rsidRDefault="00457165" w:rsidP="00457165">
            <w:pPr>
              <w:ind w:right="57"/>
              <w:jc w:val="right"/>
              <w:rPr>
                <w:b/>
                <w:sz w:val="18"/>
                <w:szCs w:val="18"/>
              </w:rPr>
            </w:pPr>
          </w:p>
        </w:tc>
        <w:tc>
          <w:tcPr>
            <w:tcW w:w="115" w:type="dxa"/>
            <w:vAlign w:val="bottom"/>
          </w:tcPr>
          <w:p w14:paraId="4BA73DAD" w14:textId="77777777" w:rsidR="00457165" w:rsidRPr="00427EB2" w:rsidRDefault="00457165" w:rsidP="00457165">
            <w:pPr>
              <w:ind w:right="57"/>
              <w:jc w:val="right"/>
              <w:rPr>
                <w:b/>
                <w:sz w:val="18"/>
                <w:szCs w:val="18"/>
              </w:rPr>
            </w:pPr>
          </w:p>
        </w:tc>
        <w:tc>
          <w:tcPr>
            <w:tcW w:w="1667" w:type="dxa"/>
            <w:vAlign w:val="bottom"/>
          </w:tcPr>
          <w:p w14:paraId="69F5FE4C" w14:textId="4C76C8D7" w:rsidR="00457165" w:rsidRPr="00427EB2" w:rsidRDefault="00457165" w:rsidP="00457165">
            <w:pPr>
              <w:ind w:right="57"/>
              <w:jc w:val="right"/>
              <w:rPr>
                <w:bCs w:val="0"/>
                <w:sz w:val="18"/>
                <w:szCs w:val="18"/>
              </w:rPr>
            </w:pPr>
          </w:p>
        </w:tc>
        <w:tc>
          <w:tcPr>
            <w:tcW w:w="2874" w:type="dxa"/>
            <w:vAlign w:val="bottom"/>
          </w:tcPr>
          <w:p w14:paraId="1D298B65" w14:textId="738E8774" w:rsidR="00457165" w:rsidRPr="00451FBF" w:rsidRDefault="00457165" w:rsidP="00457165">
            <w:pPr>
              <w:numPr>
                <w:ilvl w:val="12"/>
                <w:numId w:val="0"/>
              </w:numPr>
              <w:ind w:leftChars="-161" w:left="-386" w:right="53" w:firstLine="8"/>
              <w:jc w:val="right"/>
              <w:rPr>
                <w:b/>
                <w:bCs w:val="0"/>
                <w:i/>
                <w:sz w:val="18"/>
                <w:szCs w:val="16"/>
              </w:rPr>
            </w:pPr>
            <w:r w:rsidRPr="00451FBF">
              <w:rPr>
                <w:b/>
                <w:bCs w:val="0"/>
                <w:i/>
                <w:sz w:val="18"/>
                <w:szCs w:val="16"/>
              </w:rPr>
              <w:t xml:space="preserve">Accumulated amortization </w:t>
            </w:r>
          </w:p>
        </w:tc>
      </w:tr>
      <w:tr w:rsidR="00457165" w:rsidRPr="0013526B" w14:paraId="6243CF65" w14:textId="77777777" w:rsidTr="00E50367">
        <w:trPr>
          <w:trHeight w:val="20"/>
        </w:trPr>
        <w:tc>
          <w:tcPr>
            <w:tcW w:w="2874" w:type="dxa"/>
            <w:vAlign w:val="bottom"/>
          </w:tcPr>
          <w:p w14:paraId="645933EB" w14:textId="0CF3E9A9" w:rsidR="00457165" w:rsidRPr="00451FBF" w:rsidRDefault="00457165" w:rsidP="00457165">
            <w:pPr>
              <w:ind w:left="448"/>
              <w:rPr>
                <w:sz w:val="18"/>
                <w:szCs w:val="18"/>
              </w:rPr>
            </w:pPr>
            <w:r w:rsidRPr="00451FBF">
              <w:rPr>
                <w:sz w:val="18"/>
                <w:szCs w:val="18"/>
              </w:rPr>
              <w:t>Saldo awal</w:t>
            </w:r>
          </w:p>
        </w:tc>
        <w:tc>
          <w:tcPr>
            <w:tcW w:w="1667" w:type="dxa"/>
            <w:shd w:val="clear" w:color="auto" w:fill="auto"/>
            <w:vAlign w:val="bottom"/>
          </w:tcPr>
          <w:p w14:paraId="4D29A34D" w14:textId="34827154" w:rsidR="00457165" w:rsidRPr="00427EB2" w:rsidRDefault="00427EB2" w:rsidP="00457165">
            <w:pPr>
              <w:ind w:right="57"/>
              <w:jc w:val="right"/>
              <w:rPr>
                <w:sz w:val="18"/>
                <w:szCs w:val="18"/>
              </w:rPr>
            </w:pPr>
            <w:r>
              <w:rPr>
                <w:sz w:val="18"/>
                <w:szCs w:val="18"/>
              </w:rPr>
              <w:t>10.374.012.937</w:t>
            </w:r>
          </w:p>
        </w:tc>
        <w:tc>
          <w:tcPr>
            <w:tcW w:w="115" w:type="dxa"/>
            <w:vAlign w:val="bottom"/>
          </w:tcPr>
          <w:p w14:paraId="516A8E26" w14:textId="77777777" w:rsidR="00457165" w:rsidRPr="00427EB2" w:rsidRDefault="00457165" w:rsidP="00457165">
            <w:pPr>
              <w:ind w:right="57"/>
              <w:jc w:val="right"/>
              <w:rPr>
                <w:b/>
                <w:sz w:val="18"/>
                <w:szCs w:val="18"/>
              </w:rPr>
            </w:pPr>
          </w:p>
        </w:tc>
        <w:tc>
          <w:tcPr>
            <w:tcW w:w="1667" w:type="dxa"/>
            <w:vAlign w:val="bottom"/>
          </w:tcPr>
          <w:p w14:paraId="7FDC2516" w14:textId="437651F2" w:rsidR="00457165" w:rsidRPr="00427EB2" w:rsidRDefault="00457165" w:rsidP="00457165">
            <w:pPr>
              <w:ind w:right="57"/>
              <w:jc w:val="right"/>
              <w:rPr>
                <w:bCs w:val="0"/>
                <w:sz w:val="18"/>
                <w:szCs w:val="18"/>
              </w:rPr>
            </w:pPr>
            <w:r w:rsidRPr="00427EB2">
              <w:rPr>
                <w:sz w:val="18"/>
                <w:szCs w:val="18"/>
              </w:rPr>
              <w:t>9.552.863.653</w:t>
            </w:r>
          </w:p>
        </w:tc>
        <w:tc>
          <w:tcPr>
            <w:tcW w:w="2874" w:type="dxa"/>
          </w:tcPr>
          <w:p w14:paraId="3B87C2AA" w14:textId="5E5B0B7F" w:rsidR="00457165" w:rsidRPr="00451FBF" w:rsidRDefault="00457165" w:rsidP="00457165">
            <w:pPr>
              <w:numPr>
                <w:ilvl w:val="12"/>
                <w:numId w:val="0"/>
              </w:numPr>
              <w:ind w:leftChars="-161" w:left="-386" w:right="53" w:firstLine="8"/>
              <w:jc w:val="right"/>
              <w:rPr>
                <w:i/>
                <w:sz w:val="18"/>
                <w:szCs w:val="16"/>
              </w:rPr>
            </w:pPr>
            <w:r>
              <w:rPr>
                <w:i/>
                <w:sz w:val="18"/>
                <w:szCs w:val="16"/>
              </w:rPr>
              <w:t>Beginning balance</w:t>
            </w:r>
          </w:p>
        </w:tc>
      </w:tr>
      <w:tr w:rsidR="00457165" w:rsidRPr="0013526B" w14:paraId="21ED6FE5" w14:textId="77777777" w:rsidTr="00E50367">
        <w:trPr>
          <w:trHeight w:val="20"/>
        </w:trPr>
        <w:tc>
          <w:tcPr>
            <w:tcW w:w="2874" w:type="dxa"/>
            <w:vAlign w:val="bottom"/>
          </w:tcPr>
          <w:p w14:paraId="5E783526" w14:textId="20E6F24A" w:rsidR="00457165" w:rsidRPr="00451FBF" w:rsidRDefault="00457165" w:rsidP="00457165">
            <w:pPr>
              <w:ind w:left="448"/>
              <w:rPr>
                <w:sz w:val="18"/>
                <w:szCs w:val="18"/>
              </w:rPr>
            </w:pPr>
            <w:r w:rsidRPr="00451FBF">
              <w:rPr>
                <w:sz w:val="18"/>
                <w:szCs w:val="18"/>
              </w:rPr>
              <w:t>Penambahan</w:t>
            </w:r>
          </w:p>
        </w:tc>
        <w:tc>
          <w:tcPr>
            <w:tcW w:w="1667" w:type="dxa"/>
            <w:tcBorders>
              <w:bottom w:val="single" w:sz="4" w:space="0" w:color="auto"/>
            </w:tcBorders>
            <w:shd w:val="clear" w:color="auto" w:fill="auto"/>
            <w:vAlign w:val="bottom"/>
          </w:tcPr>
          <w:p w14:paraId="449BDC61" w14:textId="173793F3" w:rsidR="00457165" w:rsidRPr="003268BB" w:rsidRDefault="003268BB" w:rsidP="00457165">
            <w:pPr>
              <w:ind w:right="57"/>
              <w:jc w:val="right"/>
              <w:rPr>
                <w:sz w:val="18"/>
                <w:szCs w:val="18"/>
              </w:rPr>
            </w:pPr>
            <w:r>
              <w:rPr>
                <w:sz w:val="18"/>
                <w:szCs w:val="18"/>
              </w:rPr>
              <w:t>507.795.333</w:t>
            </w:r>
          </w:p>
        </w:tc>
        <w:tc>
          <w:tcPr>
            <w:tcW w:w="115" w:type="dxa"/>
            <w:vAlign w:val="bottom"/>
          </w:tcPr>
          <w:p w14:paraId="2A624C75" w14:textId="77777777" w:rsidR="00457165" w:rsidRPr="00427EB2" w:rsidRDefault="00457165" w:rsidP="00457165">
            <w:pPr>
              <w:ind w:right="57"/>
              <w:jc w:val="right"/>
              <w:rPr>
                <w:b/>
                <w:sz w:val="18"/>
                <w:szCs w:val="18"/>
              </w:rPr>
            </w:pPr>
          </w:p>
        </w:tc>
        <w:tc>
          <w:tcPr>
            <w:tcW w:w="1667" w:type="dxa"/>
            <w:tcBorders>
              <w:bottom w:val="single" w:sz="4" w:space="0" w:color="auto"/>
            </w:tcBorders>
            <w:vAlign w:val="bottom"/>
          </w:tcPr>
          <w:p w14:paraId="181BE877" w14:textId="086C0F7E" w:rsidR="00457165" w:rsidRPr="00427EB2" w:rsidRDefault="00457165" w:rsidP="00457165">
            <w:pPr>
              <w:ind w:right="57"/>
              <w:jc w:val="right"/>
              <w:rPr>
                <w:bCs w:val="0"/>
                <w:sz w:val="18"/>
                <w:szCs w:val="18"/>
              </w:rPr>
            </w:pPr>
            <w:r w:rsidRPr="00427EB2">
              <w:rPr>
                <w:sz w:val="18"/>
                <w:szCs w:val="18"/>
                <w:lang w:val="id-ID"/>
              </w:rPr>
              <w:t>821.149.284</w:t>
            </w:r>
          </w:p>
        </w:tc>
        <w:tc>
          <w:tcPr>
            <w:tcW w:w="2874" w:type="dxa"/>
          </w:tcPr>
          <w:p w14:paraId="01B1ED68" w14:textId="65D4E1F3" w:rsidR="00457165" w:rsidRPr="00451FBF" w:rsidRDefault="00457165" w:rsidP="00457165">
            <w:pPr>
              <w:numPr>
                <w:ilvl w:val="12"/>
                <w:numId w:val="0"/>
              </w:numPr>
              <w:ind w:leftChars="-161" w:left="-386" w:right="53" w:firstLine="8"/>
              <w:jc w:val="right"/>
              <w:rPr>
                <w:i/>
                <w:sz w:val="18"/>
                <w:szCs w:val="16"/>
              </w:rPr>
            </w:pPr>
            <w:r>
              <w:rPr>
                <w:i/>
                <w:sz w:val="18"/>
                <w:szCs w:val="16"/>
              </w:rPr>
              <w:t>Addition</w:t>
            </w:r>
          </w:p>
        </w:tc>
      </w:tr>
      <w:tr w:rsidR="00457165" w:rsidRPr="0013526B" w14:paraId="646A2370" w14:textId="77777777" w:rsidTr="00E50367">
        <w:trPr>
          <w:trHeight w:val="20"/>
        </w:trPr>
        <w:tc>
          <w:tcPr>
            <w:tcW w:w="2874" w:type="dxa"/>
            <w:vAlign w:val="bottom"/>
          </w:tcPr>
          <w:p w14:paraId="727D3E68" w14:textId="77777777" w:rsidR="00457165" w:rsidRPr="00451FBF" w:rsidRDefault="00457165" w:rsidP="00457165">
            <w:pPr>
              <w:ind w:left="448"/>
              <w:rPr>
                <w:sz w:val="18"/>
                <w:szCs w:val="18"/>
              </w:rPr>
            </w:pPr>
          </w:p>
        </w:tc>
        <w:tc>
          <w:tcPr>
            <w:tcW w:w="1667" w:type="dxa"/>
            <w:tcBorders>
              <w:top w:val="single" w:sz="4" w:space="0" w:color="auto"/>
            </w:tcBorders>
            <w:shd w:val="clear" w:color="auto" w:fill="auto"/>
            <w:vAlign w:val="bottom"/>
          </w:tcPr>
          <w:p w14:paraId="49D0025C" w14:textId="256C128B" w:rsidR="00457165" w:rsidRPr="00427EB2" w:rsidRDefault="00457165" w:rsidP="00457165">
            <w:pPr>
              <w:ind w:right="57"/>
              <w:jc w:val="right"/>
              <w:rPr>
                <w:b/>
                <w:sz w:val="18"/>
                <w:szCs w:val="18"/>
              </w:rPr>
            </w:pPr>
          </w:p>
        </w:tc>
        <w:tc>
          <w:tcPr>
            <w:tcW w:w="115" w:type="dxa"/>
            <w:vAlign w:val="bottom"/>
          </w:tcPr>
          <w:p w14:paraId="4BF75086" w14:textId="77777777" w:rsidR="00457165" w:rsidRPr="00427EB2" w:rsidRDefault="00457165" w:rsidP="00457165">
            <w:pPr>
              <w:ind w:right="57"/>
              <w:jc w:val="right"/>
              <w:rPr>
                <w:b/>
                <w:sz w:val="18"/>
                <w:szCs w:val="18"/>
              </w:rPr>
            </w:pPr>
          </w:p>
        </w:tc>
        <w:tc>
          <w:tcPr>
            <w:tcW w:w="1667" w:type="dxa"/>
            <w:tcBorders>
              <w:top w:val="single" w:sz="4" w:space="0" w:color="auto"/>
            </w:tcBorders>
            <w:vAlign w:val="bottom"/>
          </w:tcPr>
          <w:p w14:paraId="69D8FAFF" w14:textId="77777777" w:rsidR="00457165" w:rsidRPr="00427EB2" w:rsidRDefault="00457165" w:rsidP="00457165">
            <w:pPr>
              <w:ind w:right="57"/>
              <w:jc w:val="right"/>
              <w:rPr>
                <w:bCs w:val="0"/>
                <w:sz w:val="18"/>
                <w:szCs w:val="18"/>
              </w:rPr>
            </w:pPr>
          </w:p>
        </w:tc>
        <w:tc>
          <w:tcPr>
            <w:tcW w:w="2874" w:type="dxa"/>
            <w:vAlign w:val="bottom"/>
          </w:tcPr>
          <w:p w14:paraId="4421EC11" w14:textId="77777777" w:rsidR="00457165" w:rsidRPr="00451FBF" w:rsidRDefault="00457165" w:rsidP="00457165">
            <w:pPr>
              <w:numPr>
                <w:ilvl w:val="12"/>
                <w:numId w:val="0"/>
              </w:numPr>
              <w:ind w:leftChars="-161" w:left="-386" w:right="53" w:firstLine="8"/>
              <w:jc w:val="right"/>
              <w:rPr>
                <w:i/>
                <w:sz w:val="18"/>
                <w:szCs w:val="16"/>
              </w:rPr>
            </w:pPr>
          </w:p>
        </w:tc>
      </w:tr>
      <w:tr w:rsidR="00457165" w:rsidRPr="0013526B" w14:paraId="73C42315" w14:textId="77777777" w:rsidTr="00E50367">
        <w:trPr>
          <w:trHeight w:val="20"/>
        </w:trPr>
        <w:tc>
          <w:tcPr>
            <w:tcW w:w="2874" w:type="dxa"/>
            <w:vAlign w:val="bottom"/>
          </w:tcPr>
          <w:p w14:paraId="2CEA781D" w14:textId="6F3459B9" w:rsidR="00457165" w:rsidRPr="00451FBF" w:rsidRDefault="00457165" w:rsidP="00457165">
            <w:pPr>
              <w:ind w:left="448"/>
              <w:rPr>
                <w:sz w:val="18"/>
                <w:szCs w:val="18"/>
              </w:rPr>
            </w:pPr>
            <w:r w:rsidRPr="00451FBF">
              <w:rPr>
                <w:sz w:val="18"/>
                <w:szCs w:val="18"/>
              </w:rPr>
              <w:t>Saldo akhir</w:t>
            </w:r>
          </w:p>
        </w:tc>
        <w:tc>
          <w:tcPr>
            <w:tcW w:w="1667" w:type="dxa"/>
            <w:tcBorders>
              <w:bottom w:val="single" w:sz="4" w:space="0" w:color="auto"/>
            </w:tcBorders>
            <w:shd w:val="clear" w:color="auto" w:fill="auto"/>
          </w:tcPr>
          <w:p w14:paraId="3A0ECBCC" w14:textId="02C69465" w:rsidR="00457165" w:rsidRPr="00427EB2" w:rsidRDefault="00457165" w:rsidP="003268BB">
            <w:pPr>
              <w:ind w:right="57"/>
              <w:jc w:val="right"/>
              <w:rPr>
                <w:sz w:val="18"/>
                <w:szCs w:val="18"/>
                <w:lang w:val="id-ID"/>
              </w:rPr>
            </w:pPr>
            <w:r w:rsidRPr="00427EB2">
              <w:rPr>
                <w:sz w:val="18"/>
                <w:szCs w:val="18"/>
              </w:rPr>
              <w:t>10.</w:t>
            </w:r>
            <w:r w:rsidR="003268BB">
              <w:rPr>
                <w:sz w:val="18"/>
                <w:szCs w:val="18"/>
              </w:rPr>
              <w:t>881.808.270</w:t>
            </w:r>
          </w:p>
        </w:tc>
        <w:tc>
          <w:tcPr>
            <w:tcW w:w="115" w:type="dxa"/>
            <w:vAlign w:val="bottom"/>
          </w:tcPr>
          <w:p w14:paraId="64AD3416" w14:textId="77777777" w:rsidR="00457165" w:rsidRPr="00427EB2" w:rsidRDefault="00457165" w:rsidP="00457165">
            <w:pPr>
              <w:ind w:right="57"/>
              <w:jc w:val="right"/>
              <w:rPr>
                <w:b/>
                <w:sz w:val="18"/>
                <w:szCs w:val="18"/>
              </w:rPr>
            </w:pPr>
          </w:p>
        </w:tc>
        <w:tc>
          <w:tcPr>
            <w:tcW w:w="1667" w:type="dxa"/>
            <w:tcBorders>
              <w:bottom w:val="single" w:sz="4" w:space="0" w:color="auto"/>
            </w:tcBorders>
          </w:tcPr>
          <w:p w14:paraId="63B42E2B" w14:textId="70353DC1" w:rsidR="00457165" w:rsidRPr="00427EB2" w:rsidRDefault="00457165" w:rsidP="00457165">
            <w:pPr>
              <w:ind w:right="57"/>
              <w:jc w:val="right"/>
              <w:rPr>
                <w:bCs w:val="0"/>
                <w:sz w:val="18"/>
                <w:szCs w:val="18"/>
              </w:rPr>
            </w:pPr>
            <w:r w:rsidRPr="00427EB2">
              <w:rPr>
                <w:sz w:val="18"/>
                <w:szCs w:val="18"/>
              </w:rPr>
              <w:t>10.374.012.937</w:t>
            </w:r>
          </w:p>
        </w:tc>
        <w:tc>
          <w:tcPr>
            <w:tcW w:w="2874" w:type="dxa"/>
          </w:tcPr>
          <w:p w14:paraId="125C2355" w14:textId="4662F143" w:rsidR="00457165" w:rsidRPr="00451FBF" w:rsidRDefault="00457165" w:rsidP="00457165">
            <w:pPr>
              <w:numPr>
                <w:ilvl w:val="12"/>
                <w:numId w:val="0"/>
              </w:numPr>
              <w:ind w:leftChars="-161" w:left="-386" w:right="53" w:firstLine="8"/>
              <w:jc w:val="right"/>
              <w:rPr>
                <w:i/>
                <w:sz w:val="18"/>
                <w:szCs w:val="16"/>
              </w:rPr>
            </w:pPr>
            <w:r>
              <w:rPr>
                <w:i/>
                <w:sz w:val="18"/>
                <w:szCs w:val="16"/>
              </w:rPr>
              <w:t>Ending balance</w:t>
            </w:r>
          </w:p>
        </w:tc>
      </w:tr>
      <w:tr w:rsidR="00457165" w:rsidRPr="0013526B" w14:paraId="7A42F6CF" w14:textId="77777777" w:rsidTr="00E50367">
        <w:trPr>
          <w:trHeight w:val="20"/>
        </w:trPr>
        <w:tc>
          <w:tcPr>
            <w:tcW w:w="2874" w:type="dxa"/>
            <w:vAlign w:val="bottom"/>
          </w:tcPr>
          <w:p w14:paraId="6E57E2AA" w14:textId="77777777" w:rsidR="00457165" w:rsidRPr="0013526B" w:rsidRDefault="00457165" w:rsidP="00457165">
            <w:pPr>
              <w:ind w:left="394" w:hanging="141"/>
              <w:rPr>
                <w:b/>
                <w:bCs w:val="0"/>
                <w:sz w:val="18"/>
                <w:szCs w:val="18"/>
              </w:rPr>
            </w:pPr>
          </w:p>
        </w:tc>
        <w:tc>
          <w:tcPr>
            <w:tcW w:w="1667" w:type="dxa"/>
            <w:tcBorders>
              <w:top w:val="single" w:sz="4" w:space="0" w:color="auto"/>
            </w:tcBorders>
            <w:shd w:val="clear" w:color="auto" w:fill="auto"/>
            <w:vAlign w:val="bottom"/>
          </w:tcPr>
          <w:p w14:paraId="3C9F8FEA" w14:textId="77777777" w:rsidR="00457165" w:rsidRPr="00427EB2" w:rsidRDefault="00457165" w:rsidP="00457165">
            <w:pPr>
              <w:ind w:right="57"/>
              <w:jc w:val="right"/>
              <w:rPr>
                <w:b/>
                <w:sz w:val="18"/>
                <w:szCs w:val="18"/>
              </w:rPr>
            </w:pPr>
          </w:p>
        </w:tc>
        <w:tc>
          <w:tcPr>
            <w:tcW w:w="115" w:type="dxa"/>
            <w:vAlign w:val="bottom"/>
          </w:tcPr>
          <w:p w14:paraId="5060DD19" w14:textId="77777777" w:rsidR="00457165" w:rsidRPr="00427EB2" w:rsidRDefault="00457165" w:rsidP="00457165">
            <w:pPr>
              <w:ind w:right="57"/>
              <w:jc w:val="right"/>
              <w:rPr>
                <w:b/>
                <w:sz w:val="18"/>
                <w:szCs w:val="18"/>
              </w:rPr>
            </w:pPr>
          </w:p>
        </w:tc>
        <w:tc>
          <w:tcPr>
            <w:tcW w:w="1667" w:type="dxa"/>
            <w:tcBorders>
              <w:top w:val="single" w:sz="4" w:space="0" w:color="auto"/>
            </w:tcBorders>
            <w:vAlign w:val="bottom"/>
          </w:tcPr>
          <w:p w14:paraId="2F0EE0CC" w14:textId="77777777" w:rsidR="00457165" w:rsidRPr="00427EB2" w:rsidRDefault="00457165" w:rsidP="00457165">
            <w:pPr>
              <w:ind w:right="57"/>
              <w:jc w:val="right"/>
              <w:rPr>
                <w:b/>
                <w:sz w:val="18"/>
                <w:szCs w:val="18"/>
              </w:rPr>
            </w:pPr>
          </w:p>
        </w:tc>
        <w:tc>
          <w:tcPr>
            <w:tcW w:w="2874" w:type="dxa"/>
            <w:vAlign w:val="bottom"/>
          </w:tcPr>
          <w:p w14:paraId="68D2CE58" w14:textId="77777777" w:rsidR="00457165" w:rsidRPr="00451FBF" w:rsidRDefault="00457165" w:rsidP="00457165">
            <w:pPr>
              <w:numPr>
                <w:ilvl w:val="12"/>
                <w:numId w:val="0"/>
              </w:numPr>
              <w:ind w:leftChars="-161" w:left="-386" w:right="53" w:firstLine="8"/>
              <w:jc w:val="right"/>
              <w:rPr>
                <w:i/>
                <w:sz w:val="18"/>
                <w:szCs w:val="16"/>
              </w:rPr>
            </w:pPr>
          </w:p>
        </w:tc>
      </w:tr>
      <w:tr w:rsidR="00457165" w:rsidRPr="0013526B" w14:paraId="0484590E" w14:textId="77777777" w:rsidTr="00E50367">
        <w:trPr>
          <w:trHeight w:val="20"/>
        </w:trPr>
        <w:tc>
          <w:tcPr>
            <w:tcW w:w="2874" w:type="dxa"/>
            <w:vAlign w:val="bottom"/>
          </w:tcPr>
          <w:p w14:paraId="6D0F1219" w14:textId="77777777" w:rsidR="00457165" w:rsidRPr="0013526B" w:rsidRDefault="00457165" w:rsidP="00457165">
            <w:pPr>
              <w:ind w:left="394" w:hanging="141"/>
              <w:rPr>
                <w:b/>
                <w:bCs w:val="0"/>
                <w:sz w:val="18"/>
                <w:szCs w:val="18"/>
              </w:rPr>
            </w:pPr>
          </w:p>
        </w:tc>
        <w:tc>
          <w:tcPr>
            <w:tcW w:w="1667" w:type="dxa"/>
            <w:tcBorders>
              <w:bottom w:val="double" w:sz="4" w:space="0" w:color="auto"/>
            </w:tcBorders>
            <w:shd w:val="clear" w:color="auto" w:fill="auto"/>
            <w:vAlign w:val="bottom"/>
          </w:tcPr>
          <w:p w14:paraId="76364D7A" w14:textId="0503000F" w:rsidR="00457165" w:rsidRPr="00427EB2" w:rsidRDefault="003268BB" w:rsidP="00457165">
            <w:pPr>
              <w:ind w:right="57"/>
              <w:jc w:val="right"/>
              <w:rPr>
                <w:b/>
                <w:sz w:val="18"/>
                <w:szCs w:val="18"/>
              </w:rPr>
            </w:pPr>
            <w:r>
              <w:rPr>
                <w:b/>
                <w:sz w:val="18"/>
                <w:szCs w:val="18"/>
              </w:rPr>
              <w:t>5.901.029.062</w:t>
            </w:r>
          </w:p>
        </w:tc>
        <w:tc>
          <w:tcPr>
            <w:tcW w:w="115" w:type="dxa"/>
            <w:vAlign w:val="bottom"/>
          </w:tcPr>
          <w:p w14:paraId="1C474007" w14:textId="77777777" w:rsidR="00457165" w:rsidRPr="00427EB2" w:rsidRDefault="00457165" w:rsidP="00457165">
            <w:pPr>
              <w:ind w:right="57"/>
              <w:jc w:val="right"/>
              <w:rPr>
                <w:b/>
                <w:sz w:val="18"/>
                <w:szCs w:val="18"/>
              </w:rPr>
            </w:pPr>
          </w:p>
        </w:tc>
        <w:tc>
          <w:tcPr>
            <w:tcW w:w="1667" w:type="dxa"/>
            <w:tcBorders>
              <w:bottom w:val="double" w:sz="4" w:space="0" w:color="auto"/>
            </w:tcBorders>
            <w:vAlign w:val="bottom"/>
          </w:tcPr>
          <w:p w14:paraId="74700603" w14:textId="19B8FA55" w:rsidR="00457165" w:rsidRPr="00427EB2" w:rsidRDefault="00457165" w:rsidP="00457165">
            <w:pPr>
              <w:ind w:right="57"/>
              <w:jc w:val="right"/>
              <w:rPr>
                <w:b/>
                <w:sz w:val="18"/>
                <w:szCs w:val="18"/>
              </w:rPr>
            </w:pPr>
            <w:r w:rsidRPr="00427EB2">
              <w:rPr>
                <w:b/>
                <w:sz w:val="18"/>
                <w:szCs w:val="18"/>
              </w:rPr>
              <w:t>4.881.004.395</w:t>
            </w:r>
          </w:p>
        </w:tc>
        <w:tc>
          <w:tcPr>
            <w:tcW w:w="2874" w:type="dxa"/>
            <w:vAlign w:val="bottom"/>
          </w:tcPr>
          <w:p w14:paraId="08A38725" w14:textId="77777777" w:rsidR="00457165" w:rsidRPr="0013526B" w:rsidRDefault="00457165" w:rsidP="00457165">
            <w:pPr>
              <w:ind w:leftChars="-161" w:left="-386" w:right="53" w:firstLine="8"/>
              <w:jc w:val="right"/>
              <w:rPr>
                <w:b/>
                <w:i/>
                <w:iCs/>
                <w:sz w:val="18"/>
                <w:szCs w:val="18"/>
              </w:rPr>
            </w:pPr>
          </w:p>
        </w:tc>
      </w:tr>
    </w:tbl>
    <w:p w14:paraId="2B06B8FB" w14:textId="77777777" w:rsidR="004A4D2B" w:rsidRDefault="004A4D2B">
      <w:pPr>
        <w:rPr>
          <w:sz w:val="12"/>
          <w:szCs w:val="16"/>
        </w:rPr>
      </w:pPr>
    </w:p>
    <w:tbl>
      <w:tblPr>
        <w:tblW w:w="9197" w:type="dxa"/>
        <w:tblInd w:w="142" w:type="dxa"/>
        <w:tblLayout w:type="fixed"/>
        <w:tblLook w:val="0000" w:firstRow="0" w:lastRow="0" w:firstColumn="0" w:lastColumn="0" w:noHBand="0" w:noVBand="0"/>
      </w:tblPr>
      <w:tblGrid>
        <w:gridCol w:w="4598"/>
        <w:gridCol w:w="4599"/>
      </w:tblGrid>
      <w:tr w:rsidR="004A4D2B" w:rsidRPr="0013526B" w14:paraId="4E300D95" w14:textId="77777777" w:rsidTr="007C207F">
        <w:tc>
          <w:tcPr>
            <w:tcW w:w="2500" w:type="pct"/>
            <w:tcBorders>
              <w:top w:val="nil"/>
              <w:left w:val="nil"/>
              <w:bottom w:val="nil"/>
              <w:right w:val="nil"/>
            </w:tcBorders>
            <w:shd w:val="clear" w:color="auto" w:fill="auto"/>
          </w:tcPr>
          <w:p w14:paraId="5600474E" w14:textId="49278515" w:rsidR="004A4D2B" w:rsidRPr="001D337F" w:rsidRDefault="004A4D2B" w:rsidP="0030048B">
            <w:pPr>
              <w:ind w:left="341" w:right="-57"/>
              <w:jc w:val="both"/>
              <w:rPr>
                <w:bCs w:val="0"/>
                <w:sz w:val="18"/>
                <w:szCs w:val="18"/>
              </w:rPr>
            </w:pPr>
            <w:r w:rsidRPr="002947F7">
              <w:rPr>
                <w:bCs w:val="0"/>
                <w:sz w:val="18"/>
                <w:szCs w:val="18"/>
              </w:rPr>
              <w:t>Beban amortisasi perangkat lunak dibebankan pada beban umum dan administrasi dalam laporan keuangan laba r</w:t>
            </w:r>
            <w:r w:rsidR="003268BB">
              <w:rPr>
                <w:bCs w:val="0"/>
                <w:sz w:val="18"/>
                <w:szCs w:val="18"/>
              </w:rPr>
              <w:t>ugi konsolidasian pada 31 Maret 2020</w:t>
            </w:r>
            <w:r w:rsidRPr="002947F7">
              <w:rPr>
                <w:bCs w:val="0"/>
                <w:sz w:val="18"/>
                <w:szCs w:val="18"/>
              </w:rPr>
              <w:t xml:space="preserve"> dan </w:t>
            </w:r>
            <w:r w:rsidR="003268BB">
              <w:rPr>
                <w:bCs w:val="0"/>
                <w:sz w:val="18"/>
                <w:szCs w:val="18"/>
              </w:rPr>
              <w:t xml:space="preserve">31 Desember </w:t>
            </w:r>
            <w:r w:rsidRPr="00081632">
              <w:rPr>
                <w:bCs w:val="0"/>
                <w:sz w:val="18"/>
                <w:szCs w:val="18"/>
              </w:rPr>
              <w:t>201</w:t>
            </w:r>
            <w:r w:rsidR="003268BB">
              <w:rPr>
                <w:bCs w:val="0"/>
                <w:sz w:val="18"/>
                <w:szCs w:val="18"/>
              </w:rPr>
              <w:t>9</w:t>
            </w:r>
            <w:r w:rsidRPr="00081632">
              <w:rPr>
                <w:bCs w:val="0"/>
                <w:sz w:val="18"/>
                <w:szCs w:val="18"/>
              </w:rPr>
              <w:t xml:space="preserve"> masing-masing sebesar</w:t>
            </w:r>
            <w:r w:rsidR="00CD7B98" w:rsidRPr="00081632">
              <w:rPr>
                <w:bCs w:val="0"/>
                <w:sz w:val="18"/>
                <w:szCs w:val="18"/>
              </w:rPr>
              <w:t xml:space="preserve"> </w:t>
            </w:r>
            <w:r w:rsidR="004A1988" w:rsidRPr="00081632">
              <w:rPr>
                <w:bCs w:val="0"/>
                <w:sz w:val="18"/>
                <w:szCs w:val="18"/>
              </w:rPr>
              <w:t xml:space="preserve">Rp </w:t>
            </w:r>
            <w:r w:rsidR="00CF1613">
              <w:rPr>
                <w:bCs w:val="0"/>
                <w:sz w:val="18"/>
                <w:szCs w:val="18"/>
              </w:rPr>
              <w:t>507.795.333</w:t>
            </w:r>
            <w:r w:rsidR="00CD7B98" w:rsidRPr="00081632">
              <w:rPr>
                <w:bCs w:val="0"/>
                <w:sz w:val="18"/>
                <w:szCs w:val="18"/>
              </w:rPr>
              <w:t xml:space="preserve"> dan</w:t>
            </w:r>
            <w:r w:rsidRPr="00081632">
              <w:rPr>
                <w:bCs w:val="0"/>
                <w:sz w:val="18"/>
                <w:szCs w:val="18"/>
              </w:rPr>
              <w:t xml:space="preserve"> </w:t>
            </w:r>
            <w:r w:rsidR="004A1988" w:rsidRPr="00081632">
              <w:rPr>
                <w:bCs w:val="0"/>
                <w:sz w:val="18"/>
                <w:szCs w:val="18"/>
              </w:rPr>
              <w:t xml:space="preserve">Rp </w:t>
            </w:r>
            <w:r w:rsidR="003268BB" w:rsidRPr="00081632">
              <w:rPr>
                <w:bCs w:val="0"/>
                <w:sz w:val="18"/>
                <w:szCs w:val="18"/>
              </w:rPr>
              <w:t>821.149.285</w:t>
            </w:r>
            <w:r w:rsidRPr="00081632">
              <w:rPr>
                <w:bCs w:val="0"/>
                <w:sz w:val="18"/>
                <w:szCs w:val="18"/>
              </w:rPr>
              <w:t>.</w:t>
            </w:r>
          </w:p>
        </w:tc>
        <w:tc>
          <w:tcPr>
            <w:tcW w:w="2500" w:type="pct"/>
            <w:tcBorders>
              <w:top w:val="nil"/>
              <w:left w:val="nil"/>
              <w:bottom w:val="nil"/>
              <w:right w:val="nil"/>
            </w:tcBorders>
            <w:shd w:val="clear" w:color="auto" w:fill="auto"/>
          </w:tcPr>
          <w:p w14:paraId="63BC69B4" w14:textId="337AC917" w:rsidR="004A4D2B" w:rsidRPr="002947F7" w:rsidRDefault="004A4D2B" w:rsidP="0030048B">
            <w:pPr>
              <w:tabs>
                <w:tab w:val="left" w:pos="5590"/>
                <w:tab w:val="right" w:pos="7620"/>
                <w:tab w:val="right" w:pos="9460"/>
                <w:tab w:val="right" w:pos="10080"/>
              </w:tabs>
              <w:ind w:left="284" w:right="-57"/>
              <w:jc w:val="both"/>
              <w:rPr>
                <w:bCs w:val="0"/>
                <w:i/>
                <w:sz w:val="18"/>
                <w:szCs w:val="18"/>
              </w:rPr>
            </w:pPr>
            <w:r w:rsidRPr="002947F7">
              <w:rPr>
                <w:bCs w:val="0"/>
                <w:i/>
                <w:sz w:val="18"/>
                <w:szCs w:val="18"/>
              </w:rPr>
              <w:t xml:space="preserve">Amortization expenses of software charged to general     and administrative expenses on consolidated profit and     loss in </w:t>
            </w:r>
            <w:r w:rsidR="00374F22">
              <w:rPr>
                <w:bCs w:val="0"/>
                <w:i/>
                <w:sz w:val="18"/>
                <w:szCs w:val="18"/>
              </w:rPr>
              <w:t xml:space="preserve">March, 31 </w:t>
            </w:r>
            <w:r w:rsidRPr="002947F7">
              <w:rPr>
                <w:bCs w:val="0"/>
                <w:i/>
                <w:sz w:val="18"/>
                <w:szCs w:val="18"/>
              </w:rPr>
              <w:t>20</w:t>
            </w:r>
            <w:r w:rsidR="00374F22">
              <w:rPr>
                <w:bCs w:val="0"/>
                <w:i/>
                <w:sz w:val="18"/>
                <w:szCs w:val="18"/>
              </w:rPr>
              <w:t>20</w:t>
            </w:r>
            <w:r w:rsidRPr="002947F7">
              <w:rPr>
                <w:bCs w:val="0"/>
                <w:i/>
                <w:sz w:val="18"/>
                <w:szCs w:val="18"/>
              </w:rPr>
              <w:t xml:space="preserve"> and </w:t>
            </w:r>
            <w:r w:rsidR="00374F22">
              <w:rPr>
                <w:bCs w:val="0"/>
                <w:i/>
                <w:sz w:val="18"/>
                <w:szCs w:val="18"/>
              </w:rPr>
              <w:t xml:space="preserve">December 31, </w:t>
            </w:r>
            <w:r w:rsidRPr="002947F7">
              <w:rPr>
                <w:bCs w:val="0"/>
                <w:i/>
                <w:sz w:val="18"/>
                <w:szCs w:val="18"/>
              </w:rPr>
              <w:t>20</w:t>
            </w:r>
            <w:r w:rsidR="00CD7B98" w:rsidRPr="002947F7">
              <w:rPr>
                <w:bCs w:val="0"/>
                <w:i/>
                <w:sz w:val="18"/>
                <w:szCs w:val="18"/>
              </w:rPr>
              <w:t>1</w:t>
            </w:r>
            <w:r w:rsidR="00374F22">
              <w:rPr>
                <w:bCs w:val="0"/>
                <w:i/>
                <w:sz w:val="18"/>
                <w:szCs w:val="18"/>
              </w:rPr>
              <w:t>9</w:t>
            </w:r>
            <w:r w:rsidRPr="002947F7">
              <w:rPr>
                <w:bCs w:val="0"/>
                <w:i/>
                <w:sz w:val="18"/>
                <w:szCs w:val="18"/>
              </w:rPr>
              <w:t xml:space="preserve"> amounting</w:t>
            </w:r>
            <w:r w:rsidR="00CD7B98" w:rsidRPr="002947F7">
              <w:rPr>
                <w:bCs w:val="0"/>
                <w:i/>
                <w:sz w:val="18"/>
                <w:szCs w:val="18"/>
              </w:rPr>
              <w:t xml:space="preserve"> </w:t>
            </w:r>
            <w:r w:rsidR="004E4129">
              <w:rPr>
                <w:bCs w:val="0"/>
                <w:i/>
                <w:sz w:val="18"/>
                <w:szCs w:val="18"/>
              </w:rPr>
              <w:t xml:space="preserve">to </w:t>
            </w:r>
            <w:r w:rsidR="00AC1A38" w:rsidRPr="002947F7">
              <w:rPr>
                <w:bCs w:val="0"/>
                <w:i/>
                <w:sz w:val="18"/>
                <w:szCs w:val="18"/>
              </w:rPr>
              <w:t>Rp</w:t>
            </w:r>
            <w:r w:rsidR="004A1988">
              <w:rPr>
                <w:bCs w:val="0"/>
                <w:i/>
                <w:sz w:val="18"/>
                <w:szCs w:val="18"/>
              </w:rPr>
              <w:t xml:space="preserve"> </w:t>
            </w:r>
            <w:r w:rsidR="00CF1613">
              <w:rPr>
                <w:bCs w:val="0"/>
                <w:i/>
                <w:sz w:val="18"/>
                <w:szCs w:val="18"/>
              </w:rPr>
              <w:t xml:space="preserve">507,795,333 </w:t>
            </w:r>
            <w:proofErr w:type="gramStart"/>
            <w:r w:rsidR="00374F22">
              <w:rPr>
                <w:bCs w:val="0"/>
                <w:i/>
                <w:sz w:val="18"/>
                <w:szCs w:val="18"/>
              </w:rPr>
              <w:t>a</w:t>
            </w:r>
            <w:r w:rsidR="00CD7B98" w:rsidRPr="002947F7">
              <w:rPr>
                <w:bCs w:val="0"/>
                <w:i/>
                <w:sz w:val="18"/>
                <w:szCs w:val="18"/>
              </w:rPr>
              <w:t xml:space="preserve">nd </w:t>
            </w:r>
            <w:r w:rsidRPr="002947F7">
              <w:rPr>
                <w:bCs w:val="0"/>
                <w:i/>
                <w:sz w:val="18"/>
                <w:szCs w:val="18"/>
              </w:rPr>
              <w:t xml:space="preserve"> Rp</w:t>
            </w:r>
            <w:proofErr w:type="gramEnd"/>
            <w:r w:rsidR="004A1988">
              <w:rPr>
                <w:bCs w:val="0"/>
                <w:i/>
                <w:sz w:val="18"/>
                <w:szCs w:val="18"/>
              </w:rPr>
              <w:t xml:space="preserve"> </w:t>
            </w:r>
            <w:r w:rsidR="00374F22" w:rsidRPr="002947F7">
              <w:rPr>
                <w:bCs w:val="0"/>
                <w:i/>
                <w:sz w:val="18"/>
                <w:szCs w:val="18"/>
              </w:rPr>
              <w:t>821</w:t>
            </w:r>
            <w:r w:rsidR="00AC2673">
              <w:rPr>
                <w:bCs w:val="0"/>
                <w:i/>
                <w:sz w:val="18"/>
                <w:szCs w:val="18"/>
              </w:rPr>
              <w:t>,</w:t>
            </w:r>
            <w:r w:rsidR="00374F22" w:rsidRPr="002947F7">
              <w:rPr>
                <w:bCs w:val="0"/>
                <w:i/>
                <w:sz w:val="18"/>
                <w:szCs w:val="18"/>
              </w:rPr>
              <w:t>149</w:t>
            </w:r>
            <w:r w:rsidR="00AC2673">
              <w:rPr>
                <w:bCs w:val="0"/>
                <w:i/>
                <w:sz w:val="18"/>
                <w:szCs w:val="18"/>
              </w:rPr>
              <w:t>,</w:t>
            </w:r>
            <w:r w:rsidR="00374F22" w:rsidRPr="002947F7">
              <w:rPr>
                <w:bCs w:val="0"/>
                <w:i/>
                <w:sz w:val="18"/>
                <w:szCs w:val="18"/>
              </w:rPr>
              <w:t>285</w:t>
            </w:r>
            <w:r w:rsidR="00AC2673">
              <w:rPr>
                <w:bCs w:val="0"/>
                <w:i/>
                <w:sz w:val="18"/>
                <w:szCs w:val="18"/>
              </w:rPr>
              <w:t>,</w:t>
            </w:r>
            <w:r w:rsidR="00F32317">
              <w:rPr>
                <w:bCs w:val="0"/>
                <w:i/>
                <w:sz w:val="18"/>
                <w:szCs w:val="18"/>
              </w:rPr>
              <w:t xml:space="preserve"> respectively</w:t>
            </w:r>
            <w:r w:rsidRPr="002947F7">
              <w:rPr>
                <w:bCs w:val="0"/>
                <w:i/>
                <w:sz w:val="18"/>
                <w:szCs w:val="18"/>
              </w:rPr>
              <w:t>.</w:t>
            </w:r>
          </w:p>
        </w:tc>
      </w:tr>
      <w:tr w:rsidR="004A4D2B" w:rsidRPr="0013526B" w14:paraId="5FA1768A" w14:textId="77777777" w:rsidTr="007C207F">
        <w:tc>
          <w:tcPr>
            <w:tcW w:w="2500" w:type="pct"/>
            <w:tcBorders>
              <w:top w:val="nil"/>
              <w:left w:val="nil"/>
              <w:bottom w:val="nil"/>
              <w:right w:val="nil"/>
            </w:tcBorders>
            <w:shd w:val="clear" w:color="auto" w:fill="auto"/>
          </w:tcPr>
          <w:p w14:paraId="2485FC40" w14:textId="77777777" w:rsidR="004A4D2B" w:rsidRPr="002947F7" w:rsidRDefault="004A4D2B" w:rsidP="002947F7">
            <w:pPr>
              <w:tabs>
                <w:tab w:val="left" w:pos="5590"/>
                <w:tab w:val="right" w:pos="7620"/>
                <w:tab w:val="right" w:pos="9460"/>
                <w:tab w:val="right" w:pos="10080"/>
              </w:tabs>
              <w:ind w:left="284" w:right="-57"/>
              <w:jc w:val="both"/>
              <w:rPr>
                <w:bCs w:val="0"/>
                <w:i/>
                <w:sz w:val="18"/>
                <w:szCs w:val="18"/>
              </w:rPr>
            </w:pPr>
          </w:p>
        </w:tc>
        <w:tc>
          <w:tcPr>
            <w:tcW w:w="2500" w:type="pct"/>
            <w:tcBorders>
              <w:top w:val="nil"/>
              <w:left w:val="nil"/>
              <w:bottom w:val="nil"/>
              <w:right w:val="nil"/>
            </w:tcBorders>
            <w:shd w:val="clear" w:color="auto" w:fill="auto"/>
          </w:tcPr>
          <w:p w14:paraId="432AE50A" w14:textId="77777777" w:rsidR="004A4D2B" w:rsidRPr="002947F7" w:rsidRDefault="004A4D2B" w:rsidP="002947F7">
            <w:pPr>
              <w:tabs>
                <w:tab w:val="left" w:pos="5590"/>
                <w:tab w:val="right" w:pos="7620"/>
                <w:tab w:val="right" w:pos="9460"/>
                <w:tab w:val="right" w:pos="10080"/>
              </w:tabs>
              <w:ind w:left="284" w:right="-57"/>
              <w:jc w:val="both"/>
              <w:rPr>
                <w:bCs w:val="0"/>
                <w:i/>
                <w:sz w:val="18"/>
                <w:szCs w:val="18"/>
              </w:rPr>
            </w:pPr>
          </w:p>
        </w:tc>
      </w:tr>
      <w:tr w:rsidR="004A4D2B" w:rsidRPr="0013526B" w14:paraId="48F32207" w14:textId="77777777" w:rsidTr="007C207F">
        <w:tc>
          <w:tcPr>
            <w:tcW w:w="2500" w:type="pct"/>
            <w:tcBorders>
              <w:top w:val="nil"/>
              <w:left w:val="nil"/>
              <w:bottom w:val="nil"/>
              <w:right w:val="nil"/>
            </w:tcBorders>
            <w:shd w:val="clear" w:color="auto" w:fill="auto"/>
          </w:tcPr>
          <w:p w14:paraId="504D7807" w14:textId="68439E8F" w:rsidR="004A4D2B" w:rsidRPr="00451FBF" w:rsidRDefault="004A4D2B" w:rsidP="003C6E0B">
            <w:pPr>
              <w:ind w:left="341" w:right="-57"/>
              <w:jc w:val="both"/>
              <w:rPr>
                <w:bCs w:val="0"/>
                <w:sz w:val="18"/>
                <w:szCs w:val="18"/>
              </w:rPr>
            </w:pPr>
            <w:r w:rsidRPr="00451FBF">
              <w:rPr>
                <w:b/>
                <w:sz w:val="18"/>
                <w:szCs w:val="18"/>
                <w:u w:val="single"/>
              </w:rPr>
              <w:t>Beban ditangguhkan</w:t>
            </w:r>
          </w:p>
        </w:tc>
        <w:tc>
          <w:tcPr>
            <w:tcW w:w="2500" w:type="pct"/>
            <w:tcBorders>
              <w:top w:val="nil"/>
              <w:left w:val="nil"/>
              <w:bottom w:val="nil"/>
              <w:right w:val="nil"/>
            </w:tcBorders>
            <w:shd w:val="clear" w:color="auto" w:fill="auto"/>
          </w:tcPr>
          <w:p w14:paraId="470293F6" w14:textId="1D6A9F39" w:rsidR="004A4D2B" w:rsidRPr="00451FBF" w:rsidRDefault="004A4D2B" w:rsidP="00451FBF">
            <w:pPr>
              <w:tabs>
                <w:tab w:val="left" w:pos="5590"/>
                <w:tab w:val="right" w:pos="7620"/>
                <w:tab w:val="right" w:pos="9460"/>
                <w:tab w:val="right" w:pos="10080"/>
              </w:tabs>
              <w:ind w:left="284" w:right="-57"/>
              <w:jc w:val="both"/>
              <w:rPr>
                <w:bCs w:val="0"/>
                <w:sz w:val="18"/>
                <w:szCs w:val="18"/>
              </w:rPr>
            </w:pPr>
            <w:r w:rsidRPr="00451FBF">
              <w:rPr>
                <w:b/>
                <w:i/>
                <w:sz w:val="18"/>
                <w:szCs w:val="18"/>
                <w:u w:val="single"/>
              </w:rPr>
              <w:t>Deferred charges</w:t>
            </w:r>
          </w:p>
        </w:tc>
      </w:tr>
      <w:tr w:rsidR="004A4D2B" w:rsidRPr="0013526B" w14:paraId="4425F910" w14:textId="77777777" w:rsidTr="007C207F">
        <w:tc>
          <w:tcPr>
            <w:tcW w:w="2500" w:type="pct"/>
            <w:tcBorders>
              <w:top w:val="nil"/>
              <w:left w:val="nil"/>
              <w:bottom w:val="nil"/>
              <w:right w:val="nil"/>
            </w:tcBorders>
            <w:shd w:val="clear" w:color="auto" w:fill="auto"/>
          </w:tcPr>
          <w:p w14:paraId="63D0D36D" w14:textId="77777777" w:rsidR="004A4D2B" w:rsidRPr="00451FBF" w:rsidRDefault="004A4D2B" w:rsidP="003C6E0B">
            <w:pPr>
              <w:pStyle w:val="ListParagraph"/>
              <w:ind w:left="341"/>
              <w:jc w:val="both"/>
              <w:rPr>
                <w:bCs w:val="0"/>
                <w:sz w:val="18"/>
                <w:szCs w:val="18"/>
              </w:rPr>
            </w:pPr>
          </w:p>
        </w:tc>
        <w:tc>
          <w:tcPr>
            <w:tcW w:w="2500" w:type="pct"/>
            <w:tcBorders>
              <w:top w:val="nil"/>
              <w:left w:val="nil"/>
              <w:bottom w:val="nil"/>
              <w:right w:val="nil"/>
            </w:tcBorders>
            <w:shd w:val="clear" w:color="auto" w:fill="auto"/>
          </w:tcPr>
          <w:p w14:paraId="5D4BE891" w14:textId="77777777" w:rsidR="004A4D2B" w:rsidRPr="00451FBF" w:rsidRDefault="004A4D2B" w:rsidP="00524002">
            <w:pPr>
              <w:pStyle w:val="ListParagraph"/>
              <w:tabs>
                <w:tab w:val="right" w:pos="9340"/>
                <w:tab w:val="right" w:pos="10080"/>
              </w:tabs>
              <w:ind w:left="284"/>
              <w:jc w:val="both"/>
              <w:rPr>
                <w:bCs w:val="0"/>
                <w:sz w:val="18"/>
                <w:szCs w:val="18"/>
              </w:rPr>
            </w:pPr>
          </w:p>
        </w:tc>
      </w:tr>
      <w:tr w:rsidR="004A4D2B" w:rsidRPr="0013526B" w14:paraId="1891076F" w14:textId="77777777" w:rsidTr="007C207F">
        <w:tc>
          <w:tcPr>
            <w:tcW w:w="2500" w:type="pct"/>
            <w:tcBorders>
              <w:top w:val="nil"/>
              <w:left w:val="nil"/>
              <w:bottom w:val="nil"/>
              <w:right w:val="nil"/>
            </w:tcBorders>
            <w:shd w:val="clear" w:color="auto" w:fill="auto"/>
          </w:tcPr>
          <w:p w14:paraId="7FD0B459" w14:textId="62CEE7D4" w:rsidR="004A4D2B" w:rsidRPr="00CF1613" w:rsidRDefault="004A4D2B" w:rsidP="00CF1613">
            <w:pPr>
              <w:ind w:left="341" w:right="-57"/>
              <w:jc w:val="both"/>
              <w:rPr>
                <w:bCs w:val="0"/>
                <w:sz w:val="18"/>
                <w:szCs w:val="18"/>
              </w:rPr>
            </w:pPr>
            <w:r w:rsidRPr="00CF1613">
              <w:rPr>
                <w:bCs w:val="0"/>
                <w:sz w:val="18"/>
                <w:szCs w:val="18"/>
              </w:rPr>
              <w:t>Beban ditangguhkan merupakan beban perpanjangan sertifikat atas tanah yang dimiliki FKN</w:t>
            </w:r>
            <w:r w:rsidR="001D337F" w:rsidRPr="00CF1613">
              <w:rPr>
                <w:bCs w:val="0"/>
                <w:sz w:val="18"/>
                <w:szCs w:val="18"/>
              </w:rPr>
              <w:t xml:space="preserve"> dan SIS </w:t>
            </w:r>
            <w:r w:rsidRPr="00CF1613">
              <w:rPr>
                <w:bCs w:val="0"/>
                <w:sz w:val="18"/>
                <w:szCs w:val="18"/>
              </w:rPr>
              <w:t xml:space="preserve">masing-masing sebesar sebesar </w:t>
            </w:r>
            <w:r w:rsidR="0081476F" w:rsidRPr="00CF1613">
              <w:rPr>
                <w:bCs w:val="0"/>
                <w:sz w:val="18"/>
                <w:szCs w:val="18"/>
              </w:rPr>
              <w:t xml:space="preserve">Rp </w:t>
            </w:r>
            <w:r w:rsidR="00CF1613" w:rsidRPr="00CF1613">
              <w:rPr>
                <w:bCs w:val="0"/>
                <w:sz w:val="18"/>
                <w:szCs w:val="18"/>
              </w:rPr>
              <w:t>173.416.115</w:t>
            </w:r>
            <w:r w:rsidR="00CF1613">
              <w:rPr>
                <w:bCs w:val="0"/>
                <w:sz w:val="18"/>
                <w:szCs w:val="18"/>
              </w:rPr>
              <w:t xml:space="preserve"> dan                                  </w:t>
            </w:r>
            <w:r w:rsidR="00A155D1" w:rsidRPr="00CF1613">
              <w:rPr>
                <w:bCs w:val="0"/>
                <w:sz w:val="18"/>
                <w:szCs w:val="18"/>
              </w:rPr>
              <w:t xml:space="preserve">Rp </w:t>
            </w:r>
            <w:r w:rsidR="00CF1613" w:rsidRPr="00CF1613">
              <w:rPr>
                <w:bCs w:val="0"/>
                <w:sz w:val="18"/>
                <w:szCs w:val="18"/>
              </w:rPr>
              <w:t>718.902.338</w:t>
            </w:r>
            <w:r w:rsidR="00CF1613">
              <w:rPr>
                <w:bCs w:val="0"/>
                <w:sz w:val="18"/>
                <w:szCs w:val="18"/>
              </w:rPr>
              <w:t xml:space="preserve"> </w:t>
            </w:r>
            <w:r w:rsidRPr="00CF1613">
              <w:rPr>
                <w:bCs w:val="0"/>
                <w:sz w:val="18"/>
                <w:szCs w:val="18"/>
              </w:rPr>
              <w:t xml:space="preserve">pada tanggal </w:t>
            </w:r>
            <w:r w:rsidR="00CF1613">
              <w:rPr>
                <w:bCs w:val="0"/>
                <w:sz w:val="18"/>
                <w:szCs w:val="18"/>
              </w:rPr>
              <w:t xml:space="preserve">31 Maret 2020 dan </w:t>
            </w:r>
            <w:r w:rsidRPr="00CF1613">
              <w:rPr>
                <w:bCs w:val="0"/>
                <w:sz w:val="18"/>
                <w:szCs w:val="18"/>
              </w:rPr>
              <w:t>31 Desember 201</w:t>
            </w:r>
            <w:r w:rsidR="0081476F" w:rsidRPr="00CF1613">
              <w:rPr>
                <w:bCs w:val="0"/>
                <w:sz w:val="18"/>
                <w:szCs w:val="18"/>
              </w:rPr>
              <w:t>9</w:t>
            </w:r>
            <w:r w:rsidRPr="00CF1613">
              <w:rPr>
                <w:bCs w:val="0"/>
                <w:sz w:val="18"/>
                <w:szCs w:val="18"/>
              </w:rPr>
              <w:t>.</w:t>
            </w:r>
          </w:p>
        </w:tc>
        <w:tc>
          <w:tcPr>
            <w:tcW w:w="2500" w:type="pct"/>
            <w:tcBorders>
              <w:top w:val="nil"/>
              <w:left w:val="nil"/>
              <w:bottom w:val="nil"/>
              <w:right w:val="nil"/>
            </w:tcBorders>
            <w:shd w:val="clear" w:color="auto" w:fill="auto"/>
          </w:tcPr>
          <w:p w14:paraId="04A3BCDC" w14:textId="65D9BFCC" w:rsidR="004A4D2B" w:rsidRPr="00451FBF" w:rsidRDefault="004A4D2B" w:rsidP="00CF1613">
            <w:pPr>
              <w:tabs>
                <w:tab w:val="left" w:pos="5590"/>
                <w:tab w:val="right" w:pos="7620"/>
                <w:tab w:val="right" w:pos="9460"/>
                <w:tab w:val="right" w:pos="10080"/>
              </w:tabs>
              <w:ind w:left="284" w:right="-57"/>
              <w:jc w:val="both"/>
              <w:rPr>
                <w:bCs w:val="0"/>
                <w:sz w:val="18"/>
                <w:szCs w:val="18"/>
              </w:rPr>
            </w:pPr>
            <w:r w:rsidRPr="00CF1613">
              <w:rPr>
                <w:bCs w:val="0"/>
                <w:i/>
                <w:sz w:val="18"/>
                <w:szCs w:val="18"/>
              </w:rPr>
              <w:t>Deferred charges are expenses for renewal of land certificate owned by FKN</w:t>
            </w:r>
            <w:r w:rsidR="00A155D1" w:rsidRPr="00CF1613">
              <w:rPr>
                <w:bCs w:val="0"/>
                <w:i/>
                <w:sz w:val="18"/>
                <w:szCs w:val="18"/>
              </w:rPr>
              <w:t xml:space="preserve"> dan SIS</w:t>
            </w:r>
            <w:r w:rsidRPr="00CF1613">
              <w:rPr>
                <w:bCs w:val="0"/>
                <w:i/>
                <w:sz w:val="18"/>
                <w:szCs w:val="18"/>
              </w:rPr>
              <w:t xml:space="preserve"> amounted to </w:t>
            </w:r>
            <w:r w:rsidR="00A155D1" w:rsidRPr="00CF1613">
              <w:rPr>
                <w:bCs w:val="0"/>
                <w:i/>
                <w:sz w:val="18"/>
                <w:szCs w:val="18"/>
              </w:rPr>
              <w:br/>
            </w:r>
            <w:r w:rsidR="00D70627" w:rsidRPr="00CF1613">
              <w:rPr>
                <w:bCs w:val="0"/>
                <w:i/>
                <w:sz w:val="18"/>
                <w:szCs w:val="18"/>
              </w:rPr>
              <w:t>Rp</w:t>
            </w:r>
            <w:r w:rsidR="00CF1613">
              <w:rPr>
                <w:bCs w:val="0"/>
                <w:i/>
                <w:sz w:val="18"/>
                <w:szCs w:val="18"/>
              </w:rPr>
              <w:t xml:space="preserve"> </w:t>
            </w:r>
            <w:r w:rsidR="00CF1613" w:rsidRPr="00CF1613">
              <w:rPr>
                <w:bCs w:val="0"/>
                <w:i/>
                <w:sz w:val="18"/>
                <w:szCs w:val="18"/>
              </w:rPr>
              <w:t>173</w:t>
            </w:r>
            <w:r w:rsidR="00CF1613">
              <w:rPr>
                <w:bCs w:val="0"/>
                <w:i/>
                <w:sz w:val="18"/>
                <w:szCs w:val="18"/>
              </w:rPr>
              <w:t>,</w:t>
            </w:r>
            <w:r w:rsidR="00CF1613" w:rsidRPr="00CF1613">
              <w:rPr>
                <w:bCs w:val="0"/>
                <w:i/>
                <w:sz w:val="18"/>
                <w:szCs w:val="18"/>
              </w:rPr>
              <w:t>416</w:t>
            </w:r>
            <w:r w:rsidR="00CF1613">
              <w:rPr>
                <w:bCs w:val="0"/>
                <w:i/>
                <w:sz w:val="18"/>
                <w:szCs w:val="18"/>
              </w:rPr>
              <w:t>,</w:t>
            </w:r>
            <w:r w:rsidR="00CF1613" w:rsidRPr="00CF1613">
              <w:rPr>
                <w:bCs w:val="0"/>
                <w:i/>
                <w:sz w:val="18"/>
                <w:szCs w:val="18"/>
              </w:rPr>
              <w:t>115</w:t>
            </w:r>
            <w:r w:rsidR="00CF1613">
              <w:rPr>
                <w:bCs w:val="0"/>
                <w:i/>
                <w:sz w:val="18"/>
                <w:szCs w:val="18"/>
              </w:rPr>
              <w:t xml:space="preserve"> and </w:t>
            </w:r>
            <w:r w:rsidR="00A155D1" w:rsidRPr="00CF1613">
              <w:rPr>
                <w:bCs w:val="0"/>
                <w:i/>
                <w:sz w:val="18"/>
                <w:szCs w:val="18"/>
              </w:rPr>
              <w:t xml:space="preserve">Rp </w:t>
            </w:r>
            <w:r w:rsidR="00D70627" w:rsidRPr="00CF1613">
              <w:rPr>
                <w:bCs w:val="0"/>
                <w:i/>
                <w:sz w:val="18"/>
                <w:szCs w:val="18"/>
              </w:rPr>
              <w:t xml:space="preserve"> </w:t>
            </w:r>
            <w:r w:rsidR="008D2B10" w:rsidRPr="00CF1613">
              <w:rPr>
                <w:bCs w:val="0"/>
                <w:i/>
                <w:sz w:val="18"/>
                <w:szCs w:val="18"/>
              </w:rPr>
              <w:t xml:space="preserve"> </w:t>
            </w:r>
            <w:r w:rsidR="00CF1613" w:rsidRPr="00CF1613">
              <w:rPr>
                <w:bCs w:val="0"/>
                <w:i/>
                <w:sz w:val="18"/>
                <w:szCs w:val="18"/>
              </w:rPr>
              <w:t>718</w:t>
            </w:r>
            <w:r w:rsidR="00CF1613">
              <w:rPr>
                <w:bCs w:val="0"/>
                <w:i/>
                <w:sz w:val="18"/>
                <w:szCs w:val="18"/>
              </w:rPr>
              <w:t>,</w:t>
            </w:r>
            <w:r w:rsidR="00CF1613" w:rsidRPr="00CF1613">
              <w:rPr>
                <w:bCs w:val="0"/>
                <w:i/>
                <w:sz w:val="18"/>
                <w:szCs w:val="18"/>
              </w:rPr>
              <w:t>902</w:t>
            </w:r>
            <w:r w:rsidR="00CF1613">
              <w:rPr>
                <w:bCs w:val="0"/>
                <w:i/>
                <w:sz w:val="18"/>
                <w:szCs w:val="18"/>
              </w:rPr>
              <w:t>,</w:t>
            </w:r>
            <w:r w:rsidR="00CF1613" w:rsidRPr="00CF1613">
              <w:rPr>
                <w:bCs w:val="0"/>
                <w:i/>
                <w:sz w:val="18"/>
                <w:szCs w:val="18"/>
              </w:rPr>
              <w:t>338</w:t>
            </w:r>
            <w:r w:rsidR="00CF1613">
              <w:rPr>
                <w:bCs w:val="0"/>
                <w:i/>
                <w:sz w:val="18"/>
                <w:szCs w:val="18"/>
              </w:rPr>
              <w:t xml:space="preserve"> </w:t>
            </w:r>
            <w:r w:rsidRPr="00CF1613">
              <w:rPr>
                <w:bCs w:val="0"/>
                <w:i/>
                <w:sz w:val="18"/>
                <w:szCs w:val="18"/>
              </w:rPr>
              <w:t xml:space="preserve">as of </w:t>
            </w:r>
            <w:r w:rsidR="00CF1613">
              <w:rPr>
                <w:bCs w:val="0"/>
                <w:i/>
                <w:sz w:val="18"/>
                <w:szCs w:val="18"/>
              </w:rPr>
              <w:t xml:space="preserve">March 31, 2020 and </w:t>
            </w:r>
            <w:r w:rsidRPr="00CF1613">
              <w:rPr>
                <w:bCs w:val="0"/>
                <w:i/>
                <w:sz w:val="18"/>
                <w:szCs w:val="18"/>
              </w:rPr>
              <w:t>December 31</w:t>
            </w:r>
            <w:r w:rsidR="00CF1613">
              <w:rPr>
                <w:bCs w:val="0"/>
                <w:i/>
                <w:sz w:val="18"/>
                <w:szCs w:val="18"/>
              </w:rPr>
              <w:t>,</w:t>
            </w:r>
            <w:r w:rsidRPr="00CF1613">
              <w:rPr>
                <w:bCs w:val="0"/>
                <w:i/>
                <w:sz w:val="18"/>
                <w:szCs w:val="18"/>
              </w:rPr>
              <w:t xml:space="preserve"> 201</w:t>
            </w:r>
            <w:r w:rsidR="008D2B10" w:rsidRPr="00CF1613">
              <w:rPr>
                <w:bCs w:val="0"/>
                <w:i/>
                <w:sz w:val="18"/>
                <w:szCs w:val="18"/>
              </w:rPr>
              <w:t>9</w:t>
            </w:r>
            <w:r w:rsidR="00CF1613">
              <w:rPr>
                <w:bCs w:val="0"/>
                <w:i/>
                <w:sz w:val="18"/>
                <w:szCs w:val="18"/>
              </w:rPr>
              <w:t>,</w:t>
            </w:r>
            <w:r w:rsidRPr="00CF1613">
              <w:rPr>
                <w:bCs w:val="0"/>
                <w:i/>
                <w:sz w:val="18"/>
                <w:szCs w:val="18"/>
              </w:rPr>
              <w:t xml:space="preserve"> respectively.</w:t>
            </w:r>
          </w:p>
        </w:tc>
      </w:tr>
      <w:tr w:rsidR="004A4D2B" w:rsidRPr="0013526B" w14:paraId="355B1268" w14:textId="77777777" w:rsidTr="007C207F">
        <w:tc>
          <w:tcPr>
            <w:tcW w:w="2500" w:type="pct"/>
            <w:tcBorders>
              <w:top w:val="nil"/>
              <w:left w:val="nil"/>
              <w:bottom w:val="nil"/>
              <w:right w:val="nil"/>
            </w:tcBorders>
            <w:shd w:val="clear" w:color="auto" w:fill="auto"/>
          </w:tcPr>
          <w:p w14:paraId="656203E6" w14:textId="77777777" w:rsidR="004A4D2B" w:rsidRPr="006254FE" w:rsidRDefault="004A4D2B" w:rsidP="003C6E0B">
            <w:pPr>
              <w:pStyle w:val="ListParagraph"/>
              <w:ind w:left="341"/>
              <w:jc w:val="both"/>
              <w:rPr>
                <w:sz w:val="18"/>
                <w:szCs w:val="18"/>
              </w:rPr>
            </w:pPr>
          </w:p>
        </w:tc>
        <w:tc>
          <w:tcPr>
            <w:tcW w:w="2500" w:type="pct"/>
            <w:tcBorders>
              <w:top w:val="nil"/>
              <w:left w:val="nil"/>
              <w:bottom w:val="nil"/>
              <w:right w:val="nil"/>
            </w:tcBorders>
            <w:shd w:val="clear" w:color="auto" w:fill="auto"/>
          </w:tcPr>
          <w:p w14:paraId="7C3C6E29" w14:textId="77777777" w:rsidR="004A4D2B" w:rsidRPr="006254FE" w:rsidRDefault="004A4D2B" w:rsidP="00524002">
            <w:pPr>
              <w:pStyle w:val="ListParagraph"/>
              <w:tabs>
                <w:tab w:val="right" w:pos="9340"/>
                <w:tab w:val="right" w:pos="10080"/>
              </w:tabs>
              <w:ind w:left="284"/>
              <w:jc w:val="both"/>
              <w:rPr>
                <w:i/>
                <w:sz w:val="18"/>
                <w:szCs w:val="18"/>
              </w:rPr>
            </w:pPr>
          </w:p>
        </w:tc>
      </w:tr>
      <w:tr w:rsidR="004A4D2B" w:rsidRPr="0013526B" w14:paraId="7F6D5D75" w14:textId="77777777" w:rsidTr="007C207F">
        <w:tc>
          <w:tcPr>
            <w:tcW w:w="2500" w:type="pct"/>
            <w:tcBorders>
              <w:top w:val="nil"/>
              <w:left w:val="nil"/>
              <w:bottom w:val="nil"/>
              <w:right w:val="nil"/>
            </w:tcBorders>
            <w:shd w:val="clear" w:color="auto" w:fill="auto"/>
          </w:tcPr>
          <w:p w14:paraId="01DDEED6" w14:textId="62315B18" w:rsidR="004A4D2B" w:rsidRPr="00FF0EDE" w:rsidRDefault="004A4D2B" w:rsidP="003C6E0B">
            <w:pPr>
              <w:ind w:left="341" w:right="-57"/>
              <w:jc w:val="both"/>
              <w:rPr>
                <w:sz w:val="18"/>
                <w:szCs w:val="18"/>
              </w:rPr>
            </w:pPr>
            <w:r w:rsidRPr="00451FBF">
              <w:rPr>
                <w:bCs w:val="0"/>
                <w:sz w:val="18"/>
                <w:szCs w:val="18"/>
              </w:rPr>
              <w:t>Manajemen berpendapat bahwa tidak terdapat penurunan nilai aset takberwujud.</w:t>
            </w:r>
          </w:p>
        </w:tc>
        <w:tc>
          <w:tcPr>
            <w:tcW w:w="2500" w:type="pct"/>
            <w:tcBorders>
              <w:top w:val="nil"/>
              <w:left w:val="nil"/>
              <w:bottom w:val="nil"/>
              <w:right w:val="nil"/>
            </w:tcBorders>
            <w:shd w:val="clear" w:color="auto" w:fill="auto"/>
          </w:tcPr>
          <w:p w14:paraId="3A202D0F" w14:textId="76512956" w:rsidR="004A4D2B" w:rsidRPr="00FF0EDE" w:rsidRDefault="004A4D2B" w:rsidP="002947F7">
            <w:pPr>
              <w:tabs>
                <w:tab w:val="left" w:pos="5590"/>
                <w:tab w:val="right" w:pos="7620"/>
                <w:tab w:val="right" w:pos="9460"/>
                <w:tab w:val="right" w:pos="10080"/>
              </w:tabs>
              <w:ind w:left="284" w:right="-57"/>
              <w:jc w:val="both"/>
              <w:rPr>
                <w:i/>
                <w:sz w:val="18"/>
                <w:szCs w:val="18"/>
              </w:rPr>
            </w:pPr>
            <w:r w:rsidRPr="002947F7">
              <w:rPr>
                <w:bCs w:val="0"/>
                <w:i/>
                <w:sz w:val="18"/>
                <w:szCs w:val="18"/>
              </w:rPr>
              <w:t>Management believes that there is no impairment of intangible assets.</w:t>
            </w:r>
          </w:p>
        </w:tc>
      </w:tr>
    </w:tbl>
    <w:p w14:paraId="169D9B5E" w14:textId="4B22ECC3" w:rsidR="00A64D45" w:rsidRDefault="00A64D45" w:rsidP="0013526B">
      <w:pPr>
        <w:rPr>
          <w:sz w:val="14"/>
          <w:szCs w:val="2"/>
        </w:rPr>
      </w:pPr>
    </w:p>
    <w:p w14:paraId="71044048" w14:textId="12FC384D" w:rsidR="00C0202D" w:rsidRPr="00C0202D" w:rsidRDefault="00A64D45" w:rsidP="0013526B">
      <w:pPr>
        <w:rPr>
          <w:sz w:val="14"/>
          <w:szCs w:val="2"/>
        </w:rPr>
      </w:pPr>
      <w:r>
        <w:rPr>
          <w:sz w:val="14"/>
          <w:szCs w:val="2"/>
        </w:rPr>
        <w:br w:type="page"/>
      </w:r>
    </w:p>
    <w:tbl>
      <w:tblPr>
        <w:tblW w:w="9197" w:type="dxa"/>
        <w:tblInd w:w="108" w:type="dxa"/>
        <w:tblLook w:val="0000" w:firstRow="0" w:lastRow="0" w:firstColumn="0" w:lastColumn="0" w:noHBand="0" w:noVBand="0"/>
      </w:tblPr>
      <w:tblGrid>
        <w:gridCol w:w="4598"/>
        <w:gridCol w:w="4599"/>
      </w:tblGrid>
      <w:tr w:rsidR="00631525" w:rsidRPr="0013526B" w14:paraId="07B9386C" w14:textId="77777777" w:rsidTr="004670DB">
        <w:tc>
          <w:tcPr>
            <w:tcW w:w="2500" w:type="pct"/>
            <w:tcBorders>
              <w:top w:val="nil"/>
              <w:left w:val="nil"/>
              <w:bottom w:val="nil"/>
              <w:right w:val="nil"/>
            </w:tcBorders>
          </w:tcPr>
          <w:p w14:paraId="513A5F83" w14:textId="366B9093" w:rsidR="00631525" w:rsidRPr="0013526B" w:rsidRDefault="003F2EC8" w:rsidP="00070D1F">
            <w:pPr>
              <w:numPr>
                <w:ilvl w:val="0"/>
                <w:numId w:val="303"/>
              </w:numPr>
              <w:ind w:left="255" w:hanging="329"/>
              <w:jc w:val="both"/>
              <w:rPr>
                <w:b/>
                <w:caps/>
                <w:sz w:val="18"/>
                <w:szCs w:val="18"/>
              </w:rPr>
            </w:pPr>
            <w:r w:rsidRPr="0013526B">
              <w:rPr>
                <w:b/>
                <w:caps/>
                <w:sz w:val="18"/>
                <w:szCs w:val="18"/>
              </w:rPr>
              <w:lastRenderedPageBreak/>
              <w:t xml:space="preserve">UTANG BANK </w:t>
            </w:r>
            <w:r w:rsidR="00DA4416">
              <w:rPr>
                <w:b/>
                <w:caps/>
                <w:sz w:val="18"/>
                <w:szCs w:val="18"/>
              </w:rPr>
              <w:t>JANGKA PENDEK</w:t>
            </w:r>
          </w:p>
        </w:tc>
        <w:tc>
          <w:tcPr>
            <w:tcW w:w="2500" w:type="pct"/>
            <w:tcBorders>
              <w:top w:val="nil"/>
              <w:left w:val="nil"/>
              <w:bottom w:val="nil"/>
              <w:right w:val="nil"/>
            </w:tcBorders>
          </w:tcPr>
          <w:p w14:paraId="476EFBA8" w14:textId="34E0EC3E" w:rsidR="00631525" w:rsidRPr="0013526B" w:rsidRDefault="00DA4416" w:rsidP="00070D1F">
            <w:pPr>
              <w:numPr>
                <w:ilvl w:val="0"/>
                <w:numId w:val="304"/>
              </w:numPr>
              <w:ind w:left="296" w:hanging="296"/>
              <w:jc w:val="both"/>
              <w:rPr>
                <w:b/>
                <w:i/>
                <w:caps/>
                <w:sz w:val="18"/>
                <w:szCs w:val="18"/>
              </w:rPr>
            </w:pPr>
            <w:r>
              <w:rPr>
                <w:b/>
                <w:i/>
                <w:caps/>
                <w:sz w:val="18"/>
                <w:szCs w:val="18"/>
              </w:rPr>
              <w:t xml:space="preserve">SHORT-TERM </w:t>
            </w:r>
            <w:r w:rsidR="006F67FF" w:rsidRPr="0013526B">
              <w:rPr>
                <w:b/>
                <w:i/>
                <w:caps/>
                <w:sz w:val="18"/>
                <w:szCs w:val="18"/>
              </w:rPr>
              <w:t xml:space="preserve">BANK LOANS </w:t>
            </w:r>
          </w:p>
        </w:tc>
      </w:tr>
    </w:tbl>
    <w:p w14:paraId="0C516D2C" w14:textId="77777777" w:rsidR="005F44E1" w:rsidRPr="00373A9C" w:rsidRDefault="005F44E1" w:rsidP="0013526B">
      <w:pPr>
        <w:rPr>
          <w:sz w:val="18"/>
          <w:szCs w:val="22"/>
        </w:rPr>
      </w:pPr>
    </w:p>
    <w:tbl>
      <w:tblPr>
        <w:tblW w:w="4916" w:type="pct"/>
        <w:tblInd w:w="108" w:type="dxa"/>
        <w:tblLayout w:type="fixed"/>
        <w:tblLook w:val="0000" w:firstRow="0" w:lastRow="0" w:firstColumn="0" w:lastColumn="0" w:noHBand="0" w:noVBand="0"/>
      </w:tblPr>
      <w:tblGrid>
        <w:gridCol w:w="4601"/>
        <w:gridCol w:w="4598"/>
      </w:tblGrid>
      <w:tr w:rsidR="005F44E1" w:rsidRPr="0013526B" w14:paraId="17B35BD2" w14:textId="77777777" w:rsidTr="00CF1613">
        <w:trPr>
          <w:trHeight w:val="646"/>
        </w:trPr>
        <w:tc>
          <w:tcPr>
            <w:tcW w:w="2501" w:type="pct"/>
            <w:tcBorders>
              <w:top w:val="nil"/>
              <w:left w:val="nil"/>
              <w:bottom w:val="nil"/>
              <w:right w:val="nil"/>
            </w:tcBorders>
          </w:tcPr>
          <w:p w14:paraId="2AD5E2E3" w14:textId="114C5378" w:rsidR="005F44E1" w:rsidRPr="007F2556" w:rsidRDefault="00020B30" w:rsidP="00211A28">
            <w:pPr>
              <w:pStyle w:val="ListParagraph"/>
              <w:ind w:left="284" w:right="-57"/>
              <w:jc w:val="both"/>
              <w:rPr>
                <w:sz w:val="18"/>
                <w:szCs w:val="18"/>
              </w:rPr>
            </w:pPr>
            <w:r w:rsidRPr="007F2556">
              <w:rPr>
                <w:sz w:val="18"/>
                <w:szCs w:val="18"/>
              </w:rPr>
              <w:t xml:space="preserve">Akun ini merupakan pinjaman rekening koran dari </w:t>
            </w:r>
            <w:r w:rsidR="00782BB4" w:rsidRPr="007F2556">
              <w:rPr>
                <w:sz w:val="18"/>
                <w:szCs w:val="18"/>
              </w:rPr>
              <w:br/>
            </w:r>
            <w:r w:rsidRPr="007F2556">
              <w:rPr>
                <w:sz w:val="18"/>
                <w:szCs w:val="18"/>
              </w:rPr>
              <w:t xml:space="preserve">PT Bank CIMB Niaga Tbk “CIMB Niaga” masing-masing    sebesar    </w:t>
            </w:r>
            <w:r w:rsidR="004A1988" w:rsidRPr="007F2556">
              <w:rPr>
                <w:sz w:val="18"/>
                <w:szCs w:val="18"/>
              </w:rPr>
              <w:t xml:space="preserve">Rp </w:t>
            </w:r>
            <w:r w:rsidR="00CF1613" w:rsidRPr="007F2556">
              <w:rPr>
                <w:sz w:val="18"/>
                <w:szCs w:val="18"/>
              </w:rPr>
              <w:t>25.007.256.836</w:t>
            </w:r>
            <w:r w:rsidR="0021492B" w:rsidRPr="007F2556">
              <w:rPr>
                <w:sz w:val="18"/>
                <w:szCs w:val="18"/>
              </w:rPr>
              <w:t xml:space="preserve"> </w:t>
            </w:r>
            <w:r w:rsidR="007405EC" w:rsidRPr="007F2556">
              <w:rPr>
                <w:sz w:val="18"/>
                <w:szCs w:val="18"/>
              </w:rPr>
              <w:t xml:space="preserve"> </w:t>
            </w:r>
            <w:r w:rsidRPr="007F2556">
              <w:rPr>
                <w:sz w:val="18"/>
                <w:szCs w:val="18"/>
              </w:rPr>
              <w:t>dan</w:t>
            </w:r>
            <w:r w:rsidR="006377E7" w:rsidRPr="007F2556">
              <w:rPr>
                <w:sz w:val="18"/>
                <w:szCs w:val="18"/>
              </w:rPr>
              <w:t xml:space="preserve"> </w:t>
            </w:r>
            <w:r w:rsidR="004A1988" w:rsidRPr="007F2556">
              <w:rPr>
                <w:sz w:val="18"/>
                <w:szCs w:val="18"/>
              </w:rPr>
              <w:t xml:space="preserve">Rp </w:t>
            </w:r>
            <w:r w:rsidR="00CF1613" w:rsidRPr="007F2556">
              <w:rPr>
                <w:sz w:val="18"/>
                <w:szCs w:val="18"/>
              </w:rPr>
              <w:t xml:space="preserve">24.678.569.749 </w:t>
            </w:r>
            <w:r w:rsidRPr="007F2556">
              <w:rPr>
                <w:sz w:val="18"/>
                <w:szCs w:val="18"/>
              </w:rPr>
              <w:t>pada</w:t>
            </w:r>
            <w:r w:rsidR="008E4CAB" w:rsidRPr="007F2556">
              <w:rPr>
                <w:sz w:val="18"/>
                <w:szCs w:val="18"/>
              </w:rPr>
              <w:t xml:space="preserve"> tanggal </w:t>
            </w:r>
            <w:r w:rsidR="00196293" w:rsidRPr="007F2556">
              <w:rPr>
                <w:sz w:val="18"/>
                <w:szCs w:val="18"/>
              </w:rPr>
              <w:t xml:space="preserve">31 Maret 2020 dan </w:t>
            </w:r>
            <w:r w:rsidR="008E4CAB" w:rsidRPr="007F2556">
              <w:rPr>
                <w:sz w:val="18"/>
                <w:szCs w:val="18"/>
              </w:rPr>
              <w:t>31 Desember 2019</w:t>
            </w:r>
            <w:r w:rsidRPr="007F2556">
              <w:rPr>
                <w:sz w:val="18"/>
                <w:szCs w:val="18"/>
              </w:rPr>
              <w:t>.</w:t>
            </w:r>
            <w:r w:rsidR="00F80E22" w:rsidRPr="007F2556">
              <w:rPr>
                <w:sz w:val="18"/>
                <w:szCs w:val="18"/>
                <w:lang w:val="id-ID"/>
              </w:rPr>
              <w:t xml:space="preserve"> Pinjaman CIMB sudah dilunasi </w:t>
            </w:r>
            <w:r w:rsidR="007F2556">
              <w:rPr>
                <w:sz w:val="18"/>
                <w:szCs w:val="18"/>
              </w:rPr>
              <w:t>seluruhnya</w:t>
            </w:r>
            <w:r w:rsidR="007F2556">
              <w:rPr>
                <w:sz w:val="18"/>
                <w:szCs w:val="18"/>
                <w:lang w:val="id-ID"/>
              </w:rPr>
              <w:t xml:space="preserve"> dengan surat </w:t>
            </w:r>
            <w:r w:rsidR="00211A28">
              <w:rPr>
                <w:sz w:val="18"/>
                <w:szCs w:val="18"/>
              </w:rPr>
              <w:t xml:space="preserve">keterangan </w:t>
            </w:r>
            <w:r w:rsidR="007F2556">
              <w:rPr>
                <w:sz w:val="18"/>
                <w:szCs w:val="18"/>
                <w:lang w:val="id-ID"/>
              </w:rPr>
              <w:t>lunas</w:t>
            </w:r>
            <w:r w:rsidR="00211A28">
              <w:rPr>
                <w:sz w:val="18"/>
                <w:szCs w:val="18"/>
              </w:rPr>
              <w:t xml:space="preserve"> No. 1170/surat lunas/LDSK/V/2020 </w:t>
            </w:r>
            <w:r w:rsidR="007F2556">
              <w:rPr>
                <w:sz w:val="18"/>
                <w:szCs w:val="18"/>
                <w:lang w:val="id-ID"/>
              </w:rPr>
              <w:t xml:space="preserve"> </w:t>
            </w:r>
            <w:r w:rsidR="00F80E22" w:rsidRPr="007F2556">
              <w:rPr>
                <w:sz w:val="18"/>
                <w:szCs w:val="18"/>
                <w:lang w:val="id-ID"/>
              </w:rPr>
              <w:t>pada tanggal</w:t>
            </w:r>
            <w:r w:rsidR="007F2556">
              <w:rPr>
                <w:sz w:val="18"/>
                <w:szCs w:val="18"/>
              </w:rPr>
              <w:t xml:space="preserve"> 19 Mei 2020</w:t>
            </w:r>
          </w:p>
        </w:tc>
        <w:tc>
          <w:tcPr>
            <w:tcW w:w="2499" w:type="pct"/>
            <w:tcBorders>
              <w:top w:val="nil"/>
              <w:left w:val="nil"/>
              <w:bottom w:val="nil"/>
              <w:right w:val="nil"/>
            </w:tcBorders>
          </w:tcPr>
          <w:p w14:paraId="6A6DF741" w14:textId="2ADDE020" w:rsidR="005F44E1" w:rsidRPr="00211A28" w:rsidRDefault="00020B30" w:rsidP="00211A28">
            <w:pPr>
              <w:pStyle w:val="ListParagraph"/>
              <w:tabs>
                <w:tab w:val="right" w:pos="9340"/>
                <w:tab w:val="right" w:pos="10080"/>
              </w:tabs>
              <w:ind w:left="284" w:right="-57"/>
              <w:jc w:val="both"/>
              <w:rPr>
                <w:i/>
                <w:sz w:val="18"/>
                <w:szCs w:val="18"/>
              </w:rPr>
            </w:pPr>
            <w:r w:rsidRPr="007F2556">
              <w:rPr>
                <w:i/>
                <w:sz w:val="18"/>
                <w:szCs w:val="18"/>
              </w:rPr>
              <w:t xml:space="preserve">This account represents an </w:t>
            </w:r>
            <w:proofErr w:type="gramStart"/>
            <w:r w:rsidRPr="007F2556">
              <w:rPr>
                <w:i/>
                <w:sz w:val="18"/>
                <w:szCs w:val="18"/>
              </w:rPr>
              <w:t>overdraft  loan</w:t>
            </w:r>
            <w:proofErr w:type="gramEnd"/>
            <w:r w:rsidRPr="007F2556">
              <w:rPr>
                <w:i/>
                <w:sz w:val="18"/>
                <w:szCs w:val="18"/>
              </w:rPr>
              <w:t xml:space="preserve">  from PT Bank CIMB Niaga Tbk “CIMB Niaga” amounting</w:t>
            </w:r>
            <w:r w:rsidR="00BF2862" w:rsidRPr="007F2556">
              <w:rPr>
                <w:i/>
                <w:sz w:val="18"/>
                <w:szCs w:val="18"/>
              </w:rPr>
              <w:t xml:space="preserve"> </w:t>
            </w:r>
            <w:r w:rsidRPr="007F2556">
              <w:rPr>
                <w:i/>
                <w:sz w:val="18"/>
                <w:szCs w:val="18"/>
              </w:rPr>
              <w:t xml:space="preserve">to </w:t>
            </w:r>
            <w:r w:rsidR="00782BB4" w:rsidRPr="007F2556">
              <w:rPr>
                <w:i/>
                <w:sz w:val="18"/>
                <w:szCs w:val="18"/>
              </w:rPr>
              <w:br/>
            </w:r>
            <w:r w:rsidR="004A1988" w:rsidRPr="007F2556">
              <w:rPr>
                <w:i/>
                <w:sz w:val="18"/>
                <w:szCs w:val="18"/>
              </w:rPr>
              <w:t xml:space="preserve">Rp </w:t>
            </w:r>
            <w:r w:rsidR="00CF1613" w:rsidRPr="007F2556">
              <w:rPr>
                <w:i/>
                <w:sz w:val="18"/>
                <w:szCs w:val="18"/>
              </w:rPr>
              <w:t>25,007,256,836</w:t>
            </w:r>
            <w:r w:rsidR="0021492B" w:rsidRPr="007F2556">
              <w:rPr>
                <w:i/>
                <w:sz w:val="18"/>
                <w:szCs w:val="18"/>
              </w:rPr>
              <w:t xml:space="preserve"> </w:t>
            </w:r>
            <w:r w:rsidRPr="007F2556">
              <w:rPr>
                <w:i/>
                <w:sz w:val="18"/>
                <w:szCs w:val="18"/>
              </w:rPr>
              <w:t xml:space="preserve">and </w:t>
            </w:r>
            <w:r w:rsidR="004A1988" w:rsidRPr="007F2556">
              <w:rPr>
                <w:i/>
                <w:sz w:val="18"/>
                <w:szCs w:val="18"/>
              </w:rPr>
              <w:t xml:space="preserve">Rp </w:t>
            </w:r>
            <w:r w:rsidR="00CF1613" w:rsidRPr="007F2556">
              <w:rPr>
                <w:i/>
                <w:sz w:val="18"/>
                <w:szCs w:val="18"/>
              </w:rPr>
              <w:t xml:space="preserve">24,678,569,749 as of </w:t>
            </w:r>
            <w:r w:rsidR="00196293" w:rsidRPr="007F2556">
              <w:rPr>
                <w:i/>
                <w:sz w:val="18"/>
                <w:szCs w:val="18"/>
              </w:rPr>
              <w:t xml:space="preserve">March 31, 2020 and </w:t>
            </w:r>
            <w:r w:rsidR="00E3478D" w:rsidRPr="007F2556">
              <w:rPr>
                <w:i/>
                <w:sz w:val="18"/>
                <w:szCs w:val="18"/>
              </w:rPr>
              <w:t>December 31</w:t>
            </w:r>
            <w:r w:rsidR="00196293" w:rsidRPr="007F2556">
              <w:rPr>
                <w:i/>
                <w:sz w:val="18"/>
                <w:szCs w:val="18"/>
              </w:rPr>
              <w:t>,</w:t>
            </w:r>
            <w:r w:rsidR="00E3478D" w:rsidRPr="007F2556">
              <w:rPr>
                <w:i/>
                <w:sz w:val="18"/>
                <w:szCs w:val="18"/>
              </w:rPr>
              <w:t xml:space="preserve"> 2019</w:t>
            </w:r>
            <w:r w:rsidR="00196293" w:rsidRPr="007F2556">
              <w:rPr>
                <w:i/>
                <w:sz w:val="18"/>
                <w:szCs w:val="18"/>
              </w:rPr>
              <w:t>,</w:t>
            </w:r>
            <w:r w:rsidRPr="007F2556">
              <w:rPr>
                <w:i/>
                <w:sz w:val="18"/>
                <w:szCs w:val="18"/>
              </w:rPr>
              <w:t xml:space="preserve"> respectively.</w:t>
            </w:r>
            <w:r w:rsidR="00F80E22" w:rsidRPr="007F2556">
              <w:rPr>
                <w:i/>
                <w:sz w:val="18"/>
                <w:szCs w:val="18"/>
                <w:lang w:val="id-ID"/>
              </w:rPr>
              <w:t xml:space="preserve"> The loan has been </w:t>
            </w:r>
            <w:r w:rsidR="00211A28">
              <w:rPr>
                <w:i/>
                <w:sz w:val="18"/>
                <w:szCs w:val="18"/>
              </w:rPr>
              <w:t xml:space="preserve">fully </w:t>
            </w:r>
            <w:r w:rsidR="00F80E22" w:rsidRPr="007F2556">
              <w:rPr>
                <w:i/>
                <w:sz w:val="18"/>
                <w:szCs w:val="18"/>
                <w:lang w:val="id-ID"/>
              </w:rPr>
              <w:t xml:space="preserve">paid </w:t>
            </w:r>
            <w:r w:rsidR="00211A28">
              <w:rPr>
                <w:i/>
                <w:sz w:val="18"/>
                <w:szCs w:val="18"/>
              </w:rPr>
              <w:t xml:space="preserve">with </w:t>
            </w:r>
            <w:r w:rsidR="00211A28" w:rsidRPr="00211A28">
              <w:rPr>
                <w:i/>
                <w:sz w:val="18"/>
                <w:szCs w:val="18"/>
              </w:rPr>
              <w:t>certificate of payment in full</w:t>
            </w:r>
            <w:r w:rsidR="00211A28">
              <w:rPr>
                <w:i/>
                <w:sz w:val="18"/>
                <w:szCs w:val="18"/>
              </w:rPr>
              <w:t xml:space="preserve"> No. </w:t>
            </w:r>
            <w:r w:rsidR="00211A28" w:rsidRPr="00211A28">
              <w:rPr>
                <w:i/>
                <w:sz w:val="18"/>
                <w:szCs w:val="18"/>
              </w:rPr>
              <w:t>1170/surat lunas/LDSK/V/2020</w:t>
            </w:r>
            <w:r w:rsidR="00211A28">
              <w:rPr>
                <w:i/>
                <w:sz w:val="18"/>
                <w:szCs w:val="18"/>
              </w:rPr>
              <w:t xml:space="preserve"> dated on May 19, 2020</w:t>
            </w:r>
          </w:p>
        </w:tc>
      </w:tr>
    </w:tbl>
    <w:p w14:paraId="1274673C" w14:textId="50229E50" w:rsidR="00652A47" w:rsidRPr="00373A9C" w:rsidRDefault="00652A47">
      <w:pPr>
        <w:rPr>
          <w:sz w:val="18"/>
          <w:szCs w:val="18"/>
        </w:rPr>
      </w:pPr>
    </w:p>
    <w:tbl>
      <w:tblPr>
        <w:tblW w:w="4916" w:type="pct"/>
        <w:tblInd w:w="108" w:type="dxa"/>
        <w:tblLayout w:type="fixed"/>
        <w:tblLook w:val="0000" w:firstRow="0" w:lastRow="0" w:firstColumn="0" w:lastColumn="0" w:noHBand="0" w:noVBand="0"/>
      </w:tblPr>
      <w:tblGrid>
        <w:gridCol w:w="4601"/>
        <w:gridCol w:w="4598"/>
      </w:tblGrid>
      <w:tr w:rsidR="00F64627" w:rsidRPr="0013526B" w14:paraId="50411B8F" w14:textId="77777777" w:rsidTr="00472128">
        <w:tc>
          <w:tcPr>
            <w:tcW w:w="2501" w:type="pct"/>
            <w:tcBorders>
              <w:top w:val="nil"/>
              <w:left w:val="nil"/>
              <w:bottom w:val="nil"/>
              <w:right w:val="nil"/>
            </w:tcBorders>
          </w:tcPr>
          <w:p w14:paraId="4E6556C6" w14:textId="1F400A03" w:rsidR="00F64627" w:rsidRPr="00F64627" w:rsidRDefault="00F64627" w:rsidP="002947F7">
            <w:pPr>
              <w:pStyle w:val="Default"/>
              <w:ind w:left="284" w:right="-57"/>
              <w:jc w:val="both"/>
              <w:rPr>
                <w:sz w:val="18"/>
                <w:szCs w:val="18"/>
                <w:u w:val="single"/>
              </w:rPr>
            </w:pPr>
            <w:r w:rsidRPr="002947F7">
              <w:rPr>
                <w:rFonts w:ascii="Times New Roman" w:eastAsia="Times New Roman" w:hAnsi="Times New Roman" w:cs="Times New Roman"/>
                <w:sz w:val="18"/>
                <w:szCs w:val="18"/>
                <w:u w:val="single"/>
              </w:rPr>
              <w:t>NKM</w:t>
            </w:r>
          </w:p>
        </w:tc>
        <w:tc>
          <w:tcPr>
            <w:tcW w:w="2499" w:type="pct"/>
            <w:tcBorders>
              <w:top w:val="nil"/>
              <w:left w:val="nil"/>
              <w:bottom w:val="nil"/>
              <w:right w:val="nil"/>
            </w:tcBorders>
          </w:tcPr>
          <w:p w14:paraId="20BEBC0E" w14:textId="5593A8A9" w:rsidR="00F64627" w:rsidRPr="00F64627" w:rsidRDefault="00F64627" w:rsidP="002947F7">
            <w:pPr>
              <w:pStyle w:val="Default"/>
              <w:tabs>
                <w:tab w:val="left" w:pos="573"/>
              </w:tabs>
              <w:ind w:left="289"/>
              <w:jc w:val="both"/>
              <w:rPr>
                <w:i/>
                <w:sz w:val="18"/>
                <w:szCs w:val="18"/>
                <w:u w:val="single"/>
              </w:rPr>
            </w:pPr>
            <w:r w:rsidRPr="002947F7">
              <w:rPr>
                <w:rFonts w:ascii="Times New Roman" w:hAnsi="Times New Roman" w:cs="Times New Roman"/>
                <w:bCs/>
                <w:i/>
                <w:sz w:val="18"/>
                <w:szCs w:val="18"/>
                <w:u w:val="single"/>
              </w:rPr>
              <w:t>NKM</w:t>
            </w:r>
          </w:p>
        </w:tc>
      </w:tr>
    </w:tbl>
    <w:p w14:paraId="393F3C32" w14:textId="77777777" w:rsidR="00DA4416" w:rsidRPr="00373A9C" w:rsidRDefault="00DA4416">
      <w:pPr>
        <w:rPr>
          <w:sz w:val="18"/>
          <w:szCs w:val="18"/>
        </w:rPr>
      </w:pPr>
    </w:p>
    <w:tbl>
      <w:tblPr>
        <w:tblW w:w="4916" w:type="pct"/>
        <w:tblInd w:w="108" w:type="dxa"/>
        <w:tblLayout w:type="fixed"/>
        <w:tblLook w:val="0000" w:firstRow="0" w:lastRow="0" w:firstColumn="0" w:lastColumn="0" w:noHBand="0" w:noVBand="0"/>
      </w:tblPr>
      <w:tblGrid>
        <w:gridCol w:w="4601"/>
        <w:gridCol w:w="4598"/>
      </w:tblGrid>
      <w:tr w:rsidR="002A1F48" w:rsidRPr="0013526B" w14:paraId="58279821" w14:textId="77777777" w:rsidTr="007111D9">
        <w:tc>
          <w:tcPr>
            <w:tcW w:w="2501" w:type="pct"/>
            <w:tcBorders>
              <w:top w:val="nil"/>
              <w:left w:val="nil"/>
              <w:bottom w:val="nil"/>
              <w:right w:val="nil"/>
            </w:tcBorders>
          </w:tcPr>
          <w:p w14:paraId="0CB94086" w14:textId="7656E597" w:rsidR="002A1F48" w:rsidRPr="002947F7" w:rsidRDefault="00F64627" w:rsidP="001808CD">
            <w:pPr>
              <w:pStyle w:val="Default"/>
              <w:ind w:left="284" w:right="-57"/>
              <w:jc w:val="both"/>
              <w:rPr>
                <w:rFonts w:ascii="Times New Roman" w:eastAsia="Times New Roman" w:hAnsi="Times New Roman" w:cs="Times New Roman"/>
                <w:bCs/>
                <w:sz w:val="18"/>
                <w:szCs w:val="18"/>
              </w:rPr>
            </w:pPr>
            <w:r w:rsidRPr="002947F7">
              <w:rPr>
                <w:rFonts w:ascii="Times New Roman" w:eastAsia="Times New Roman" w:hAnsi="Times New Roman" w:cs="Times New Roman"/>
                <w:bCs/>
                <w:sz w:val="18"/>
                <w:szCs w:val="18"/>
              </w:rPr>
              <w:t>Fasilitas pinjaman rekening koran diubah beberapa kali</w:t>
            </w:r>
            <w:r w:rsidR="00870FD0">
              <w:rPr>
                <w:rFonts w:ascii="Times New Roman" w:eastAsia="Times New Roman" w:hAnsi="Times New Roman" w:cs="Times New Roman"/>
                <w:bCs/>
                <w:sz w:val="18"/>
                <w:szCs w:val="18"/>
              </w:rPr>
              <w:t>.</w:t>
            </w:r>
            <w:r w:rsidRPr="002947F7">
              <w:rPr>
                <w:rFonts w:ascii="Times New Roman" w:eastAsia="Times New Roman" w:hAnsi="Times New Roman" w:cs="Times New Roman"/>
                <w:bCs/>
                <w:sz w:val="18"/>
                <w:szCs w:val="18"/>
              </w:rPr>
              <w:t xml:space="preserve"> terakhir dengan Akta Peru</w:t>
            </w:r>
            <w:r w:rsidR="00E2534F" w:rsidRPr="002947F7">
              <w:rPr>
                <w:rFonts w:ascii="Times New Roman" w:eastAsia="Times New Roman" w:hAnsi="Times New Roman" w:cs="Times New Roman"/>
                <w:bCs/>
                <w:sz w:val="18"/>
                <w:szCs w:val="18"/>
              </w:rPr>
              <w:t xml:space="preserve">bahan ke </w:t>
            </w:r>
            <w:r w:rsidR="00FD565E">
              <w:rPr>
                <w:rFonts w:ascii="Times New Roman" w:eastAsia="Times New Roman" w:hAnsi="Times New Roman" w:cs="Times New Roman"/>
                <w:bCs/>
                <w:sz w:val="18"/>
                <w:szCs w:val="18"/>
              </w:rPr>
              <w:t>-</w:t>
            </w:r>
            <w:r w:rsidR="00944EE3" w:rsidRPr="002947F7">
              <w:rPr>
                <w:rFonts w:ascii="Times New Roman" w:eastAsia="Times New Roman" w:hAnsi="Times New Roman" w:cs="Times New Roman"/>
                <w:bCs/>
                <w:sz w:val="18"/>
                <w:szCs w:val="18"/>
              </w:rPr>
              <w:t xml:space="preserve"> 10 </w:t>
            </w:r>
            <w:r w:rsidRPr="002947F7">
              <w:rPr>
                <w:rFonts w:ascii="Times New Roman" w:eastAsia="Times New Roman" w:hAnsi="Times New Roman" w:cs="Times New Roman"/>
                <w:bCs/>
                <w:sz w:val="18"/>
                <w:szCs w:val="18"/>
              </w:rPr>
              <w:t>terhadap   Perjanjian   Kredit   Nomor   5   tanggal</w:t>
            </w:r>
            <w:r w:rsidR="00E2534F" w:rsidRPr="002947F7">
              <w:rPr>
                <w:rFonts w:ascii="Times New Roman" w:eastAsia="Times New Roman" w:hAnsi="Times New Roman" w:cs="Times New Roman"/>
                <w:bCs/>
                <w:sz w:val="18"/>
                <w:szCs w:val="18"/>
              </w:rPr>
              <w:t xml:space="preserve">  1 Agustus 2011 pada tanggal </w:t>
            </w:r>
            <w:r w:rsidR="00944EE3" w:rsidRPr="002947F7">
              <w:rPr>
                <w:rFonts w:ascii="Times New Roman" w:eastAsia="Times New Roman" w:hAnsi="Times New Roman" w:cs="Times New Roman"/>
                <w:bCs/>
                <w:sz w:val="18"/>
                <w:szCs w:val="18"/>
              </w:rPr>
              <w:t>16 Januari 2019</w:t>
            </w:r>
            <w:r w:rsidRPr="002947F7">
              <w:rPr>
                <w:rFonts w:ascii="Times New Roman" w:eastAsia="Times New Roman" w:hAnsi="Times New Roman" w:cs="Times New Roman"/>
                <w:bCs/>
                <w:sz w:val="18"/>
                <w:szCs w:val="18"/>
              </w:rPr>
              <w:t xml:space="preserve"> dari Notaris E. Betty Budiyanti Moesigit</w:t>
            </w:r>
            <w:r w:rsidR="001808CD">
              <w:rPr>
                <w:rFonts w:ascii="Times New Roman" w:eastAsia="Times New Roman" w:hAnsi="Times New Roman" w:cs="Times New Roman"/>
                <w:bCs/>
                <w:sz w:val="18"/>
                <w:szCs w:val="18"/>
              </w:rPr>
              <w:t>,</w:t>
            </w:r>
            <w:r w:rsidRPr="002947F7">
              <w:rPr>
                <w:rFonts w:ascii="Times New Roman" w:eastAsia="Times New Roman" w:hAnsi="Times New Roman" w:cs="Times New Roman"/>
                <w:bCs/>
                <w:sz w:val="18"/>
                <w:szCs w:val="18"/>
              </w:rPr>
              <w:t xml:space="preserve"> S.H.</w:t>
            </w:r>
            <w:r w:rsidR="001808CD">
              <w:rPr>
                <w:rFonts w:ascii="Times New Roman" w:eastAsia="Times New Roman" w:hAnsi="Times New Roman" w:cs="Times New Roman"/>
                <w:bCs/>
                <w:sz w:val="18"/>
                <w:szCs w:val="18"/>
              </w:rPr>
              <w:t>,</w:t>
            </w:r>
            <w:r w:rsidRPr="002947F7">
              <w:rPr>
                <w:rFonts w:ascii="Times New Roman" w:eastAsia="Times New Roman" w:hAnsi="Times New Roman" w:cs="Times New Roman"/>
                <w:bCs/>
                <w:sz w:val="18"/>
                <w:szCs w:val="18"/>
              </w:rPr>
              <w:t xml:space="preserve"> Notaris di Jakarta. Fasilitas ini diperpanjang </w:t>
            </w:r>
            <w:r w:rsidR="00E2534F" w:rsidRPr="002947F7">
              <w:rPr>
                <w:rFonts w:ascii="Times New Roman" w:eastAsia="Times New Roman" w:hAnsi="Times New Roman" w:cs="Times New Roman"/>
                <w:bCs/>
                <w:sz w:val="18"/>
                <w:szCs w:val="18"/>
              </w:rPr>
              <w:t>men</w:t>
            </w:r>
            <w:r w:rsidR="00FA264F" w:rsidRPr="002947F7">
              <w:rPr>
                <w:rFonts w:ascii="Times New Roman" w:eastAsia="Times New Roman" w:hAnsi="Times New Roman" w:cs="Times New Roman"/>
                <w:bCs/>
                <w:sz w:val="18"/>
                <w:szCs w:val="18"/>
              </w:rPr>
              <w:t xml:space="preserve">jadi sampai dengan 22 </w:t>
            </w:r>
            <w:r w:rsidR="00A05C6A">
              <w:rPr>
                <w:rFonts w:ascii="Times New Roman" w:eastAsia="Times New Roman" w:hAnsi="Times New Roman" w:cs="Times New Roman"/>
                <w:bCs/>
                <w:sz w:val="18"/>
                <w:szCs w:val="18"/>
              </w:rPr>
              <w:t>Oktober</w:t>
            </w:r>
            <w:r w:rsidR="00FA264F" w:rsidRPr="002947F7">
              <w:rPr>
                <w:rFonts w:ascii="Times New Roman" w:eastAsia="Times New Roman" w:hAnsi="Times New Roman" w:cs="Times New Roman"/>
                <w:bCs/>
                <w:sz w:val="18"/>
                <w:szCs w:val="18"/>
              </w:rPr>
              <w:t xml:space="preserve"> 2019</w:t>
            </w:r>
            <w:r w:rsidRPr="002947F7">
              <w:rPr>
                <w:rFonts w:ascii="Times New Roman" w:eastAsia="Times New Roman" w:hAnsi="Times New Roman" w:cs="Times New Roman"/>
                <w:bCs/>
                <w:sz w:val="18"/>
                <w:szCs w:val="18"/>
              </w:rPr>
              <w:t xml:space="preserve"> dengan tingkat suku bunga 11</w:t>
            </w:r>
            <w:proofErr w:type="gramStart"/>
            <w:r w:rsidR="001808CD">
              <w:rPr>
                <w:rFonts w:ascii="Times New Roman" w:eastAsia="Times New Roman" w:hAnsi="Times New Roman" w:cs="Times New Roman"/>
                <w:bCs/>
                <w:sz w:val="18"/>
                <w:szCs w:val="18"/>
              </w:rPr>
              <w:t>,</w:t>
            </w:r>
            <w:r w:rsidR="00E2534F" w:rsidRPr="002947F7">
              <w:rPr>
                <w:rFonts w:ascii="Times New Roman" w:eastAsia="Times New Roman" w:hAnsi="Times New Roman" w:cs="Times New Roman"/>
                <w:bCs/>
                <w:sz w:val="18"/>
                <w:szCs w:val="18"/>
              </w:rPr>
              <w:t>50</w:t>
            </w:r>
            <w:proofErr w:type="gramEnd"/>
            <w:r w:rsidRPr="002947F7">
              <w:rPr>
                <w:rFonts w:ascii="Times New Roman" w:eastAsia="Times New Roman" w:hAnsi="Times New Roman" w:cs="Times New Roman"/>
                <w:bCs/>
                <w:sz w:val="18"/>
                <w:szCs w:val="18"/>
              </w:rPr>
              <w:t xml:space="preserve">% per tahun. </w:t>
            </w:r>
          </w:p>
        </w:tc>
        <w:tc>
          <w:tcPr>
            <w:tcW w:w="2499" w:type="pct"/>
            <w:tcBorders>
              <w:top w:val="nil"/>
              <w:left w:val="nil"/>
              <w:bottom w:val="nil"/>
              <w:right w:val="nil"/>
            </w:tcBorders>
          </w:tcPr>
          <w:p w14:paraId="39ED1ABD" w14:textId="0725418C" w:rsidR="002A1F48" w:rsidRPr="0013526B" w:rsidRDefault="00F64627" w:rsidP="0052367A">
            <w:pPr>
              <w:ind w:left="284" w:right="-57"/>
              <w:jc w:val="both"/>
              <w:rPr>
                <w:i/>
                <w:sz w:val="18"/>
                <w:szCs w:val="18"/>
              </w:rPr>
            </w:pPr>
            <w:r w:rsidRPr="002947F7">
              <w:rPr>
                <w:rFonts w:eastAsia="Calibri"/>
                <w:i/>
                <w:color w:val="000000"/>
                <w:sz w:val="18"/>
                <w:szCs w:val="18"/>
              </w:rPr>
              <w:t>The overdraft loan facility has changed s</w:t>
            </w:r>
            <w:r w:rsidR="00944EE3" w:rsidRPr="002947F7">
              <w:rPr>
                <w:rFonts w:eastAsia="Calibri"/>
                <w:i/>
                <w:color w:val="000000"/>
                <w:sz w:val="18"/>
                <w:szCs w:val="18"/>
              </w:rPr>
              <w:t>everal times</w:t>
            </w:r>
            <w:r w:rsidR="00870FD0">
              <w:rPr>
                <w:rFonts w:eastAsia="Calibri"/>
                <w:i/>
                <w:color w:val="000000"/>
                <w:sz w:val="18"/>
                <w:szCs w:val="18"/>
              </w:rPr>
              <w:t>.</w:t>
            </w:r>
            <w:r w:rsidR="00944EE3" w:rsidRPr="002947F7">
              <w:rPr>
                <w:rFonts w:eastAsia="Calibri"/>
                <w:i/>
                <w:color w:val="000000"/>
                <w:sz w:val="18"/>
                <w:szCs w:val="18"/>
              </w:rPr>
              <w:t xml:space="preserve"> </w:t>
            </w:r>
            <w:proofErr w:type="gramStart"/>
            <w:r w:rsidR="00944EE3" w:rsidRPr="002947F7">
              <w:rPr>
                <w:rFonts w:eastAsia="Calibri"/>
                <w:i/>
                <w:color w:val="000000"/>
                <w:sz w:val="18"/>
                <w:szCs w:val="18"/>
              </w:rPr>
              <w:t>most</w:t>
            </w:r>
            <w:proofErr w:type="gramEnd"/>
            <w:r w:rsidR="00944EE3" w:rsidRPr="002947F7">
              <w:rPr>
                <w:rFonts w:eastAsia="Calibri"/>
                <w:i/>
                <w:color w:val="000000"/>
                <w:sz w:val="18"/>
                <w:szCs w:val="18"/>
              </w:rPr>
              <w:t xml:space="preserve"> recently by 10</w:t>
            </w:r>
            <w:r w:rsidRPr="002947F7">
              <w:rPr>
                <w:rFonts w:eastAsia="Calibri"/>
                <w:i/>
                <w:color w:val="000000"/>
                <w:sz w:val="18"/>
                <w:szCs w:val="18"/>
              </w:rPr>
              <w:t>th Addendum of the Credit Agreement No. 5 dated August 1</w:t>
            </w:r>
            <w:r w:rsidR="001808CD">
              <w:rPr>
                <w:rFonts w:eastAsia="Calibri"/>
                <w:i/>
                <w:color w:val="000000"/>
                <w:sz w:val="18"/>
                <w:szCs w:val="18"/>
              </w:rPr>
              <w:t>,</w:t>
            </w:r>
            <w:r w:rsidRPr="002947F7">
              <w:rPr>
                <w:rFonts w:eastAsia="Calibri"/>
                <w:i/>
                <w:color w:val="000000"/>
                <w:sz w:val="18"/>
                <w:szCs w:val="18"/>
              </w:rPr>
              <w:t xml:space="preserve"> 2011</w:t>
            </w:r>
            <w:r w:rsidR="001808CD">
              <w:rPr>
                <w:rFonts w:eastAsia="Calibri"/>
                <w:i/>
                <w:color w:val="000000"/>
                <w:sz w:val="18"/>
                <w:szCs w:val="18"/>
              </w:rPr>
              <w:t>,</w:t>
            </w:r>
            <w:r w:rsidRPr="002947F7">
              <w:rPr>
                <w:rFonts w:eastAsia="Calibri"/>
                <w:i/>
                <w:color w:val="000000"/>
                <w:sz w:val="18"/>
                <w:szCs w:val="18"/>
              </w:rPr>
              <w:t xml:space="preserve"> on  </w:t>
            </w:r>
            <w:r w:rsidR="00944EE3" w:rsidRPr="002947F7">
              <w:rPr>
                <w:rFonts w:eastAsia="Calibri"/>
                <w:i/>
                <w:color w:val="000000"/>
                <w:sz w:val="18"/>
                <w:szCs w:val="18"/>
              </w:rPr>
              <w:t>January 16</w:t>
            </w:r>
            <w:r w:rsidR="001808CD">
              <w:rPr>
                <w:rFonts w:eastAsia="Calibri"/>
                <w:i/>
                <w:color w:val="000000"/>
                <w:sz w:val="18"/>
                <w:szCs w:val="18"/>
              </w:rPr>
              <w:t>,</w:t>
            </w:r>
            <w:r w:rsidR="00944EE3" w:rsidRPr="002947F7">
              <w:rPr>
                <w:rFonts w:eastAsia="Calibri"/>
                <w:i/>
                <w:color w:val="000000"/>
                <w:sz w:val="18"/>
                <w:szCs w:val="18"/>
              </w:rPr>
              <w:t xml:space="preserve"> 2019</w:t>
            </w:r>
            <w:r w:rsidRPr="002947F7">
              <w:rPr>
                <w:rFonts w:eastAsia="Calibri"/>
                <w:i/>
                <w:color w:val="000000"/>
                <w:sz w:val="18"/>
                <w:szCs w:val="18"/>
              </w:rPr>
              <w:t xml:space="preserve"> by E. Betty Budiyanti Moesigit</w:t>
            </w:r>
            <w:r w:rsidR="001808CD">
              <w:rPr>
                <w:rFonts w:eastAsia="Calibri"/>
                <w:i/>
                <w:color w:val="000000"/>
                <w:sz w:val="18"/>
                <w:szCs w:val="18"/>
              </w:rPr>
              <w:t>,</w:t>
            </w:r>
            <w:r w:rsidRPr="002947F7">
              <w:rPr>
                <w:rFonts w:eastAsia="Calibri"/>
                <w:i/>
                <w:color w:val="000000"/>
                <w:sz w:val="18"/>
                <w:szCs w:val="18"/>
              </w:rPr>
              <w:t xml:space="preserve"> S.H.</w:t>
            </w:r>
            <w:r w:rsidR="001808CD">
              <w:rPr>
                <w:rFonts w:eastAsia="Calibri"/>
                <w:i/>
                <w:color w:val="000000"/>
                <w:sz w:val="18"/>
                <w:szCs w:val="18"/>
              </w:rPr>
              <w:t>,</w:t>
            </w:r>
            <w:r w:rsidRPr="002947F7">
              <w:rPr>
                <w:rFonts w:eastAsia="Calibri"/>
                <w:i/>
                <w:color w:val="000000"/>
                <w:sz w:val="18"/>
                <w:szCs w:val="18"/>
              </w:rPr>
              <w:t xml:space="preserve"> Notary in Jakarta. The facility has been extended until </w:t>
            </w:r>
            <w:r w:rsidR="00A05C6A">
              <w:rPr>
                <w:rFonts w:eastAsia="Calibri"/>
                <w:i/>
                <w:color w:val="000000"/>
                <w:sz w:val="18"/>
                <w:szCs w:val="18"/>
              </w:rPr>
              <w:t>October</w:t>
            </w:r>
            <w:r w:rsidR="00FA264F" w:rsidRPr="002947F7">
              <w:rPr>
                <w:rFonts w:eastAsia="Calibri"/>
                <w:i/>
                <w:color w:val="000000"/>
                <w:sz w:val="18"/>
                <w:szCs w:val="18"/>
              </w:rPr>
              <w:t xml:space="preserve"> 22</w:t>
            </w:r>
            <w:r w:rsidR="001808CD">
              <w:rPr>
                <w:rFonts w:eastAsia="Calibri"/>
                <w:i/>
                <w:color w:val="000000"/>
                <w:sz w:val="18"/>
                <w:szCs w:val="18"/>
              </w:rPr>
              <w:t>,</w:t>
            </w:r>
            <w:r w:rsidR="00FA264F" w:rsidRPr="002947F7">
              <w:rPr>
                <w:rFonts w:eastAsia="Calibri"/>
                <w:i/>
                <w:color w:val="000000"/>
                <w:sz w:val="18"/>
                <w:szCs w:val="18"/>
              </w:rPr>
              <w:t xml:space="preserve"> 2019</w:t>
            </w:r>
            <w:r w:rsidRPr="002947F7">
              <w:rPr>
                <w:rFonts w:eastAsia="Calibri"/>
                <w:i/>
                <w:color w:val="000000"/>
                <w:sz w:val="18"/>
                <w:szCs w:val="18"/>
              </w:rPr>
              <w:t xml:space="preserve"> with interest rate of 11</w:t>
            </w:r>
            <w:r w:rsidR="00870FD0">
              <w:rPr>
                <w:rFonts w:eastAsia="Calibri"/>
                <w:i/>
                <w:color w:val="000000"/>
                <w:sz w:val="18"/>
                <w:szCs w:val="18"/>
              </w:rPr>
              <w:t>.</w:t>
            </w:r>
            <w:r w:rsidR="00E2534F" w:rsidRPr="002947F7">
              <w:rPr>
                <w:rFonts w:eastAsia="Calibri"/>
                <w:i/>
                <w:color w:val="000000"/>
                <w:sz w:val="18"/>
                <w:szCs w:val="18"/>
              </w:rPr>
              <w:t>50</w:t>
            </w:r>
            <w:r w:rsidRPr="002947F7">
              <w:rPr>
                <w:rFonts w:eastAsia="Calibri"/>
                <w:i/>
                <w:color w:val="000000"/>
                <w:sz w:val="18"/>
                <w:szCs w:val="18"/>
              </w:rPr>
              <w:t xml:space="preserve">% </w:t>
            </w:r>
            <w:proofErr w:type="gramStart"/>
            <w:r w:rsidRPr="002947F7">
              <w:rPr>
                <w:rFonts w:eastAsia="Calibri"/>
                <w:i/>
                <w:color w:val="000000"/>
                <w:sz w:val="18"/>
                <w:szCs w:val="18"/>
              </w:rPr>
              <w:t>per  annum</w:t>
            </w:r>
            <w:proofErr w:type="gramEnd"/>
            <w:r w:rsidRPr="002947F7">
              <w:rPr>
                <w:rFonts w:eastAsia="Calibri"/>
                <w:i/>
                <w:color w:val="000000"/>
                <w:sz w:val="18"/>
                <w:szCs w:val="18"/>
              </w:rPr>
              <w:t xml:space="preserve">. </w:t>
            </w:r>
          </w:p>
        </w:tc>
      </w:tr>
      <w:tr w:rsidR="00944EE3" w:rsidRPr="0013526B" w14:paraId="507FB855" w14:textId="77777777" w:rsidTr="007111D9">
        <w:tc>
          <w:tcPr>
            <w:tcW w:w="2501" w:type="pct"/>
            <w:tcBorders>
              <w:top w:val="nil"/>
              <w:left w:val="nil"/>
              <w:bottom w:val="nil"/>
              <w:right w:val="nil"/>
            </w:tcBorders>
          </w:tcPr>
          <w:p w14:paraId="2C914E2D" w14:textId="77777777" w:rsidR="00944EE3" w:rsidRPr="00EA6F1B" w:rsidRDefault="00944EE3" w:rsidP="0013526B">
            <w:pPr>
              <w:pStyle w:val="ListParagraph"/>
              <w:ind w:left="284" w:right="-57"/>
              <w:jc w:val="both"/>
              <w:rPr>
                <w:sz w:val="18"/>
                <w:szCs w:val="18"/>
                <w:highlight w:val="cyan"/>
              </w:rPr>
            </w:pPr>
          </w:p>
        </w:tc>
        <w:tc>
          <w:tcPr>
            <w:tcW w:w="2499" w:type="pct"/>
            <w:tcBorders>
              <w:top w:val="nil"/>
              <w:left w:val="nil"/>
              <w:bottom w:val="nil"/>
              <w:right w:val="nil"/>
            </w:tcBorders>
          </w:tcPr>
          <w:p w14:paraId="5D70EEA3" w14:textId="77777777" w:rsidR="00944EE3" w:rsidRPr="00EA6F1B" w:rsidRDefault="00944EE3" w:rsidP="00E2534F">
            <w:pPr>
              <w:ind w:left="284" w:right="-57"/>
              <w:jc w:val="both"/>
              <w:rPr>
                <w:i/>
                <w:sz w:val="18"/>
                <w:szCs w:val="18"/>
                <w:highlight w:val="cyan"/>
              </w:rPr>
            </w:pPr>
          </w:p>
        </w:tc>
      </w:tr>
      <w:tr w:rsidR="002A1F48" w:rsidRPr="0013526B" w14:paraId="5D04CCCE" w14:textId="77777777" w:rsidTr="007111D9">
        <w:tc>
          <w:tcPr>
            <w:tcW w:w="2501" w:type="pct"/>
            <w:tcBorders>
              <w:top w:val="nil"/>
              <w:left w:val="nil"/>
              <w:bottom w:val="nil"/>
              <w:right w:val="nil"/>
            </w:tcBorders>
          </w:tcPr>
          <w:p w14:paraId="51BDCA00" w14:textId="038859A5" w:rsidR="002A1F48" w:rsidRPr="00244F82" w:rsidRDefault="00F64627" w:rsidP="002947F7">
            <w:pPr>
              <w:pStyle w:val="Default"/>
              <w:ind w:left="284" w:right="-57"/>
              <w:jc w:val="both"/>
              <w:rPr>
                <w:sz w:val="18"/>
                <w:szCs w:val="18"/>
                <w:highlight w:val="cyan"/>
                <w:u w:val="single"/>
              </w:rPr>
            </w:pPr>
            <w:r w:rsidRPr="002947F7">
              <w:rPr>
                <w:rFonts w:ascii="Times New Roman" w:eastAsia="Times New Roman" w:hAnsi="Times New Roman" w:cs="Times New Roman"/>
                <w:sz w:val="18"/>
                <w:szCs w:val="18"/>
                <w:u w:val="single"/>
              </w:rPr>
              <w:t>Agunan</w:t>
            </w:r>
          </w:p>
        </w:tc>
        <w:tc>
          <w:tcPr>
            <w:tcW w:w="2499" w:type="pct"/>
            <w:tcBorders>
              <w:top w:val="nil"/>
              <w:left w:val="nil"/>
              <w:bottom w:val="nil"/>
              <w:right w:val="nil"/>
            </w:tcBorders>
          </w:tcPr>
          <w:p w14:paraId="78FB5550" w14:textId="20E3D06E" w:rsidR="002A1F48" w:rsidRPr="00F64627" w:rsidRDefault="00F64627" w:rsidP="002947F7">
            <w:pPr>
              <w:pStyle w:val="Default"/>
              <w:tabs>
                <w:tab w:val="left" w:pos="573"/>
              </w:tabs>
              <w:ind w:left="289"/>
              <w:jc w:val="both"/>
              <w:rPr>
                <w:i/>
                <w:sz w:val="18"/>
                <w:szCs w:val="18"/>
                <w:u w:val="single"/>
              </w:rPr>
            </w:pPr>
            <w:r w:rsidRPr="002947F7">
              <w:rPr>
                <w:rFonts w:ascii="Times New Roman" w:hAnsi="Times New Roman" w:cs="Times New Roman"/>
                <w:bCs/>
                <w:i/>
                <w:sz w:val="18"/>
                <w:szCs w:val="18"/>
                <w:u w:val="single"/>
              </w:rPr>
              <w:t>Collateral</w:t>
            </w:r>
          </w:p>
        </w:tc>
      </w:tr>
      <w:tr w:rsidR="002A1F48" w:rsidRPr="0013526B" w14:paraId="6DFAA360" w14:textId="77777777" w:rsidTr="007111D9">
        <w:tc>
          <w:tcPr>
            <w:tcW w:w="2501" w:type="pct"/>
            <w:tcBorders>
              <w:top w:val="nil"/>
              <w:left w:val="nil"/>
              <w:bottom w:val="nil"/>
              <w:right w:val="nil"/>
            </w:tcBorders>
          </w:tcPr>
          <w:p w14:paraId="16845994" w14:textId="299D3ED9" w:rsidR="002A1F48" w:rsidRPr="00334C89" w:rsidRDefault="002A1F48" w:rsidP="002A1F48">
            <w:pPr>
              <w:pStyle w:val="ListParagraph"/>
              <w:ind w:left="284" w:right="-57"/>
              <w:jc w:val="both"/>
              <w:rPr>
                <w:sz w:val="18"/>
                <w:szCs w:val="18"/>
                <w:lang w:val="id-ID"/>
              </w:rPr>
            </w:pPr>
          </w:p>
        </w:tc>
        <w:tc>
          <w:tcPr>
            <w:tcW w:w="2499" w:type="pct"/>
            <w:tcBorders>
              <w:top w:val="nil"/>
              <w:left w:val="nil"/>
              <w:bottom w:val="nil"/>
              <w:right w:val="nil"/>
            </w:tcBorders>
          </w:tcPr>
          <w:p w14:paraId="6E6D30EB" w14:textId="4ABF57EF" w:rsidR="002A1F48" w:rsidRPr="00F64627" w:rsidRDefault="002A1F48" w:rsidP="006B7687">
            <w:pPr>
              <w:ind w:left="284" w:right="-57"/>
              <w:jc w:val="both"/>
              <w:rPr>
                <w:i/>
                <w:sz w:val="18"/>
                <w:szCs w:val="18"/>
              </w:rPr>
            </w:pPr>
          </w:p>
        </w:tc>
      </w:tr>
      <w:tr w:rsidR="002A1F48" w:rsidRPr="0013526B" w14:paraId="2DF190E8" w14:textId="77777777" w:rsidTr="007111D9">
        <w:tc>
          <w:tcPr>
            <w:tcW w:w="2501" w:type="pct"/>
            <w:tcBorders>
              <w:top w:val="nil"/>
              <w:left w:val="nil"/>
              <w:bottom w:val="nil"/>
              <w:right w:val="nil"/>
            </w:tcBorders>
          </w:tcPr>
          <w:p w14:paraId="06BE17E2" w14:textId="33D23239" w:rsidR="002A1F48" w:rsidRPr="00D319E7" w:rsidRDefault="00F64627" w:rsidP="00D319E7">
            <w:pPr>
              <w:pStyle w:val="Default"/>
              <w:ind w:left="284" w:right="-57"/>
              <w:jc w:val="both"/>
              <w:rPr>
                <w:rFonts w:ascii="Times New Roman" w:eastAsia="Times New Roman" w:hAnsi="Times New Roman" w:cs="Times New Roman"/>
                <w:bCs/>
                <w:sz w:val="18"/>
                <w:szCs w:val="18"/>
              </w:rPr>
            </w:pPr>
            <w:r w:rsidRPr="00D319E7">
              <w:rPr>
                <w:rFonts w:ascii="Times New Roman" w:eastAsia="Times New Roman" w:hAnsi="Times New Roman" w:cs="Times New Roman"/>
                <w:bCs/>
                <w:sz w:val="18"/>
                <w:szCs w:val="18"/>
              </w:rPr>
              <w:t>Fasilitas pinjaman rekening koran dan pinjaman transaksi khusus PTK</w:t>
            </w:r>
            <w:r w:rsidR="00B35789">
              <w:rPr>
                <w:rFonts w:ascii="Times New Roman" w:eastAsia="Times New Roman" w:hAnsi="Times New Roman" w:cs="Times New Roman"/>
                <w:bCs/>
                <w:sz w:val="18"/>
                <w:szCs w:val="18"/>
              </w:rPr>
              <w:t xml:space="preserve"> </w:t>
            </w:r>
            <w:r w:rsidRPr="00D319E7">
              <w:rPr>
                <w:rFonts w:ascii="Times New Roman" w:eastAsia="Times New Roman" w:hAnsi="Times New Roman" w:cs="Times New Roman"/>
                <w:bCs/>
                <w:sz w:val="18"/>
                <w:szCs w:val="18"/>
              </w:rPr>
              <w:t>Perusahaan dan NKM dari CIMB Niaga dijamin dengan:</w:t>
            </w:r>
          </w:p>
        </w:tc>
        <w:tc>
          <w:tcPr>
            <w:tcW w:w="2499" w:type="pct"/>
            <w:tcBorders>
              <w:top w:val="nil"/>
              <w:left w:val="nil"/>
              <w:bottom w:val="nil"/>
              <w:right w:val="nil"/>
            </w:tcBorders>
          </w:tcPr>
          <w:p w14:paraId="45A6E024" w14:textId="3F6C25B5" w:rsidR="002A1F48" w:rsidRPr="00D319E7" w:rsidRDefault="00F64627" w:rsidP="00D319E7">
            <w:pPr>
              <w:pStyle w:val="Default"/>
              <w:ind w:left="284" w:right="-57"/>
              <w:jc w:val="both"/>
              <w:rPr>
                <w:rFonts w:ascii="Times New Roman" w:hAnsi="Times New Roman" w:cs="Times New Roman"/>
                <w:bCs/>
                <w:i/>
                <w:sz w:val="18"/>
                <w:szCs w:val="18"/>
              </w:rPr>
            </w:pPr>
            <w:r w:rsidRPr="00D319E7">
              <w:rPr>
                <w:rFonts w:ascii="Times New Roman" w:hAnsi="Times New Roman" w:cs="Times New Roman"/>
                <w:bCs/>
                <w:i/>
                <w:sz w:val="18"/>
                <w:szCs w:val="18"/>
              </w:rPr>
              <w:t xml:space="preserve">Overdraft loans and special transactions loan </w:t>
            </w:r>
            <w:r w:rsidRPr="00D319E7">
              <w:rPr>
                <w:rFonts w:ascii="Times New Roman" w:hAnsi="Times New Roman" w:cs="Times New Roman"/>
                <w:bCs/>
                <w:i/>
                <w:sz w:val="18"/>
                <w:szCs w:val="18"/>
              </w:rPr>
              <w:br/>
              <w:t>of the Company and NKM from CIMB Niaga were secured by:</w:t>
            </w:r>
          </w:p>
        </w:tc>
      </w:tr>
      <w:tr w:rsidR="002A1F48" w:rsidRPr="0013526B" w14:paraId="449C8613" w14:textId="77777777" w:rsidTr="007111D9">
        <w:tc>
          <w:tcPr>
            <w:tcW w:w="2501" w:type="pct"/>
            <w:tcBorders>
              <w:top w:val="nil"/>
              <w:left w:val="nil"/>
              <w:bottom w:val="nil"/>
              <w:right w:val="nil"/>
            </w:tcBorders>
          </w:tcPr>
          <w:p w14:paraId="19ED2207" w14:textId="378D1D4D" w:rsidR="002A1F48" w:rsidRPr="00F64627" w:rsidRDefault="002A1F48" w:rsidP="002A1F48">
            <w:pPr>
              <w:pStyle w:val="ListParagraph"/>
              <w:ind w:left="284" w:right="-57"/>
              <w:jc w:val="both"/>
              <w:rPr>
                <w:sz w:val="18"/>
                <w:szCs w:val="18"/>
              </w:rPr>
            </w:pPr>
          </w:p>
        </w:tc>
        <w:tc>
          <w:tcPr>
            <w:tcW w:w="2499" w:type="pct"/>
            <w:tcBorders>
              <w:top w:val="nil"/>
              <w:left w:val="nil"/>
              <w:bottom w:val="nil"/>
              <w:right w:val="nil"/>
            </w:tcBorders>
          </w:tcPr>
          <w:p w14:paraId="393F1885" w14:textId="1080C834" w:rsidR="002A1F48" w:rsidRPr="00F64627" w:rsidRDefault="002A1F48" w:rsidP="002A1F48">
            <w:pPr>
              <w:ind w:left="284" w:right="-57"/>
              <w:jc w:val="both"/>
              <w:rPr>
                <w:i/>
                <w:sz w:val="18"/>
                <w:szCs w:val="18"/>
              </w:rPr>
            </w:pPr>
          </w:p>
        </w:tc>
      </w:tr>
      <w:tr w:rsidR="002A1F48" w:rsidRPr="00860395" w14:paraId="46EDF2C1" w14:textId="77777777" w:rsidTr="007111D9">
        <w:tc>
          <w:tcPr>
            <w:tcW w:w="2501" w:type="pct"/>
            <w:tcBorders>
              <w:top w:val="nil"/>
              <w:left w:val="nil"/>
              <w:bottom w:val="nil"/>
              <w:right w:val="nil"/>
            </w:tcBorders>
          </w:tcPr>
          <w:p w14:paraId="0DF0B2DF" w14:textId="0167D8E3" w:rsidR="002A1F48" w:rsidRPr="00860395" w:rsidRDefault="00891279" w:rsidP="00070D1F">
            <w:pPr>
              <w:pStyle w:val="ListParagraph"/>
              <w:numPr>
                <w:ilvl w:val="0"/>
                <w:numId w:val="252"/>
              </w:numPr>
              <w:ind w:right="-57"/>
              <w:jc w:val="both"/>
              <w:rPr>
                <w:sz w:val="18"/>
                <w:szCs w:val="18"/>
              </w:rPr>
            </w:pPr>
            <w:r>
              <w:rPr>
                <w:sz w:val="18"/>
                <w:szCs w:val="18"/>
              </w:rPr>
              <w:t>Dua</w:t>
            </w:r>
            <w:r w:rsidR="00F64627" w:rsidRPr="00860395">
              <w:rPr>
                <w:sz w:val="18"/>
                <w:szCs w:val="18"/>
              </w:rPr>
              <w:t xml:space="preserve"> bidang tanah dan bangunan milik Perusahaan dengan nila</w:t>
            </w:r>
            <w:r w:rsidR="0010568D" w:rsidRPr="00860395">
              <w:rPr>
                <w:sz w:val="18"/>
                <w:szCs w:val="18"/>
              </w:rPr>
              <w:t xml:space="preserve">i sebesar </w:t>
            </w:r>
            <w:r w:rsidR="004A1988" w:rsidRPr="00860395">
              <w:rPr>
                <w:sz w:val="18"/>
                <w:szCs w:val="18"/>
              </w:rPr>
              <w:t>Rp 1</w:t>
            </w:r>
            <w:r w:rsidR="0010568D" w:rsidRPr="00860395">
              <w:rPr>
                <w:sz w:val="18"/>
                <w:szCs w:val="18"/>
              </w:rPr>
              <w:t>7</w:t>
            </w:r>
            <w:r>
              <w:rPr>
                <w:sz w:val="18"/>
                <w:szCs w:val="18"/>
              </w:rPr>
              <w:t>8</w:t>
            </w:r>
            <w:r w:rsidR="0010568D" w:rsidRPr="00860395">
              <w:rPr>
                <w:sz w:val="18"/>
                <w:szCs w:val="18"/>
              </w:rPr>
              <w:t>.</w:t>
            </w:r>
            <w:r>
              <w:rPr>
                <w:sz w:val="18"/>
                <w:szCs w:val="18"/>
              </w:rPr>
              <w:t>4</w:t>
            </w:r>
            <w:r w:rsidR="00F64627" w:rsidRPr="00860395">
              <w:rPr>
                <w:sz w:val="18"/>
                <w:szCs w:val="18"/>
              </w:rPr>
              <w:t>35.000.000 di Tangerang</w:t>
            </w:r>
            <w:r w:rsidR="00870FD0">
              <w:rPr>
                <w:sz w:val="18"/>
                <w:szCs w:val="18"/>
              </w:rPr>
              <w:t>.</w:t>
            </w:r>
            <w:r w:rsidR="00F64627" w:rsidRPr="00860395">
              <w:rPr>
                <w:sz w:val="18"/>
                <w:szCs w:val="18"/>
              </w:rPr>
              <w:t xml:space="preserve"> Banten</w:t>
            </w:r>
            <w:r w:rsidR="001808CD">
              <w:rPr>
                <w:sz w:val="18"/>
                <w:szCs w:val="18"/>
              </w:rPr>
              <w:t>.</w:t>
            </w:r>
          </w:p>
        </w:tc>
        <w:tc>
          <w:tcPr>
            <w:tcW w:w="2499" w:type="pct"/>
            <w:tcBorders>
              <w:top w:val="nil"/>
              <w:left w:val="nil"/>
              <w:bottom w:val="nil"/>
              <w:right w:val="nil"/>
            </w:tcBorders>
          </w:tcPr>
          <w:p w14:paraId="660AC9D6" w14:textId="0490CD80" w:rsidR="002A1F48" w:rsidRPr="00860395" w:rsidRDefault="00891279" w:rsidP="00070D1F">
            <w:pPr>
              <w:pStyle w:val="ListParagraph"/>
              <w:numPr>
                <w:ilvl w:val="0"/>
                <w:numId w:val="253"/>
              </w:numPr>
              <w:ind w:right="-57"/>
              <w:jc w:val="both"/>
              <w:rPr>
                <w:i/>
                <w:sz w:val="18"/>
                <w:szCs w:val="18"/>
              </w:rPr>
            </w:pPr>
            <w:r>
              <w:rPr>
                <w:i/>
                <w:sz w:val="18"/>
                <w:szCs w:val="18"/>
              </w:rPr>
              <w:t>Two</w:t>
            </w:r>
            <w:r w:rsidR="00F64627" w:rsidRPr="00860395">
              <w:rPr>
                <w:i/>
                <w:sz w:val="18"/>
                <w:szCs w:val="18"/>
              </w:rPr>
              <w:t xml:space="preserve"> plots of land and building own</w:t>
            </w:r>
            <w:r w:rsidR="0010568D" w:rsidRPr="00860395">
              <w:rPr>
                <w:i/>
                <w:sz w:val="18"/>
                <w:szCs w:val="18"/>
              </w:rPr>
              <w:t xml:space="preserve">ed by Company amounting to </w:t>
            </w:r>
            <w:r w:rsidR="004A1988" w:rsidRPr="00860395">
              <w:rPr>
                <w:i/>
                <w:sz w:val="18"/>
                <w:szCs w:val="18"/>
              </w:rPr>
              <w:t>Rp 1</w:t>
            </w:r>
            <w:r w:rsidR="0010568D" w:rsidRPr="00860395">
              <w:rPr>
                <w:i/>
                <w:sz w:val="18"/>
                <w:szCs w:val="18"/>
              </w:rPr>
              <w:t>7</w:t>
            </w:r>
            <w:r>
              <w:rPr>
                <w:i/>
                <w:sz w:val="18"/>
                <w:szCs w:val="18"/>
              </w:rPr>
              <w:t>8</w:t>
            </w:r>
            <w:r w:rsidR="001808CD">
              <w:rPr>
                <w:i/>
                <w:sz w:val="18"/>
                <w:szCs w:val="18"/>
              </w:rPr>
              <w:t>,</w:t>
            </w:r>
            <w:r>
              <w:rPr>
                <w:i/>
                <w:sz w:val="18"/>
                <w:szCs w:val="18"/>
              </w:rPr>
              <w:t>4</w:t>
            </w:r>
            <w:r w:rsidR="00F64627" w:rsidRPr="00860395">
              <w:rPr>
                <w:i/>
                <w:sz w:val="18"/>
                <w:szCs w:val="18"/>
              </w:rPr>
              <w:t>35</w:t>
            </w:r>
            <w:r w:rsidR="001808CD">
              <w:rPr>
                <w:i/>
                <w:sz w:val="18"/>
                <w:szCs w:val="18"/>
              </w:rPr>
              <w:t>,</w:t>
            </w:r>
            <w:r w:rsidR="00F64627" w:rsidRPr="00860395">
              <w:rPr>
                <w:i/>
                <w:sz w:val="18"/>
                <w:szCs w:val="18"/>
              </w:rPr>
              <w:t>000</w:t>
            </w:r>
            <w:r w:rsidR="001808CD">
              <w:rPr>
                <w:i/>
                <w:sz w:val="18"/>
                <w:szCs w:val="18"/>
              </w:rPr>
              <w:t>,</w:t>
            </w:r>
            <w:r w:rsidR="00F64627" w:rsidRPr="00860395">
              <w:rPr>
                <w:i/>
                <w:sz w:val="18"/>
                <w:szCs w:val="18"/>
              </w:rPr>
              <w:t>000 in Tangerang</w:t>
            </w:r>
            <w:r w:rsidR="001808CD">
              <w:rPr>
                <w:i/>
                <w:sz w:val="18"/>
                <w:szCs w:val="18"/>
              </w:rPr>
              <w:t>,</w:t>
            </w:r>
            <w:r w:rsidR="00F64627" w:rsidRPr="00860395">
              <w:rPr>
                <w:i/>
                <w:sz w:val="18"/>
                <w:szCs w:val="18"/>
              </w:rPr>
              <w:t xml:space="preserve"> Banten</w:t>
            </w:r>
            <w:r w:rsidR="001808CD">
              <w:rPr>
                <w:i/>
                <w:sz w:val="18"/>
                <w:szCs w:val="18"/>
              </w:rPr>
              <w:t>.</w:t>
            </w:r>
          </w:p>
        </w:tc>
      </w:tr>
      <w:tr w:rsidR="007111D9" w:rsidRPr="00860395" w14:paraId="253DC32A" w14:textId="77777777" w:rsidTr="007111D9">
        <w:tc>
          <w:tcPr>
            <w:tcW w:w="2501" w:type="pct"/>
            <w:tcBorders>
              <w:top w:val="nil"/>
              <w:left w:val="nil"/>
              <w:bottom w:val="nil"/>
              <w:right w:val="nil"/>
            </w:tcBorders>
          </w:tcPr>
          <w:p w14:paraId="40BCC680" w14:textId="77777777" w:rsidR="007111D9" w:rsidRPr="00860395" w:rsidRDefault="007111D9" w:rsidP="0013526B">
            <w:pPr>
              <w:pStyle w:val="ListParagraph"/>
              <w:ind w:left="284" w:right="-57"/>
              <w:jc w:val="both"/>
              <w:rPr>
                <w:sz w:val="18"/>
                <w:szCs w:val="18"/>
              </w:rPr>
            </w:pPr>
          </w:p>
        </w:tc>
        <w:tc>
          <w:tcPr>
            <w:tcW w:w="2499" w:type="pct"/>
            <w:tcBorders>
              <w:top w:val="nil"/>
              <w:left w:val="nil"/>
              <w:bottom w:val="nil"/>
              <w:right w:val="nil"/>
            </w:tcBorders>
          </w:tcPr>
          <w:p w14:paraId="25180327" w14:textId="77777777" w:rsidR="007111D9" w:rsidRPr="00860395" w:rsidRDefault="007111D9" w:rsidP="0013526B">
            <w:pPr>
              <w:ind w:left="284" w:right="-57"/>
              <w:jc w:val="both"/>
              <w:rPr>
                <w:i/>
                <w:sz w:val="18"/>
                <w:szCs w:val="18"/>
              </w:rPr>
            </w:pPr>
          </w:p>
        </w:tc>
      </w:tr>
      <w:tr w:rsidR="007111D9" w:rsidRPr="00860395" w14:paraId="18D148D3" w14:textId="77777777" w:rsidTr="007111D9">
        <w:tc>
          <w:tcPr>
            <w:tcW w:w="2501" w:type="pct"/>
            <w:tcBorders>
              <w:top w:val="nil"/>
              <w:left w:val="nil"/>
              <w:bottom w:val="nil"/>
              <w:right w:val="nil"/>
            </w:tcBorders>
          </w:tcPr>
          <w:p w14:paraId="4D74ED7C" w14:textId="48930692" w:rsidR="007111D9" w:rsidRPr="00860395" w:rsidRDefault="00F64627" w:rsidP="00070D1F">
            <w:pPr>
              <w:pStyle w:val="ListParagraph"/>
              <w:numPr>
                <w:ilvl w:val="0"/>
                <w:numId w:val="252"/>
              </w:numPr>
              <w:ind w:right="-57"/>
              <w:jc w:val="both"/>
              <w:rPr>
                <w:sz w:val="18"/>
                <w:szCs w:val="18"/>
              </w:rPr>
            </w:pPr>
            <w:r w:rsidRPr="00860395">
              <w:rPr>
                <w:sz w:val="18"/>
                <w:szCs w:val="18"/>
              </w:rPr>
              <w:t xml:space="preserve">Tiga bidang tanah dan bangunan milik NKM dengan nilai sebesar </w:t>
            </w:r>
            <w:r w:rsidR="004A1988" w:rsidRPr="00860395">
              <w:rPr>
                <w:sz w:val="18"/>
                <w:szCs w:val="18"/>
              </w:rPr>
              <w:t>Rp 5</w:t>
            </w:r>
            <w:r w:rsidRPr="00860395">
              <w:rPr>
                <w:sz w:val="18"/>
                <w:szCs w:val="18"/>
              </w:rPr>
              <w:t>45.000.000.000 di Jakarta Selatan.</w:t>
            </w:r>
          </w:p>
        </w:tc>
        <w:tc>
          <w:tcPr>
            <w:tcW w:w="2499" w:type="pct"/>
            <w:tcBorders>
              <w:top w:val="nil"/>
              <w:left w:val="nil"/>
              <w:bottom w:val="nil"/>
              <w:right w:val="nil"/>
            </w:tcBorders>
          </w:tcPr>
          <w:p w14:paraId="19C795FA" w14:textId="5A8E6CAA" w:rsidR="007111D9" w:rsidRPr="00860395" w:rsidRDefault="00F64627" w:rsidP="00070D1F">
            <w:pPr>
              <w:pStyle w:val="ListParagraph"/>
              <w:numPr>
                <w:ilvl w:val="0"/>
                <w:numId w:val="253"/>
              </w:numPr>
              <w:ind w:right="-57"/>
              <w:jc w:val="both"/>
              <w:rPr>
                <w:i/>
                <w:sz w:val="18"/>
                <w:szCs w:val="18"/>
              </w:rPr>
            </w:pPr>
            <w:r w:rsidRPr="00860395">
              <w:rPr>
                <w:i/>
                <w:sz w:val="18"/>
                <w:szCs w:val="18"/>
              </w:rPr>
              <w:t xml:space="preserve">Three plots of land and building owned by NKM amounting to </w:t>
            </w:r>
            <w:r w:rsidR="004A1988" w:rsidRPr="00860395">
              <w:rPr>
                <w:i/>
                <w:sz w:val="18"/>
                <w:szCs w:val="18"/>
              </w:rPr>
              <w:t>Rp 5</w:t>
            </w:r>
            <w:r w:rsidRPr="00860395">
              <w:rPr>
                <w:i/>
                <w:sz w:val="18"/>
                <w:szCs w:val="18"/>
              </w:rPr>
              <w:t>45</w:t>
            </w:r>
            <w:r w:rsidR="001808CD">
              <w:rPr>
                <w:i/>
                <w:sz w:val="18"/>
                <w:szCs w:val="18"/>
              </w:rPr>
              <w:t>,</w:t>
            </w:r>
            <w:r w:rsidRPr="00860395">
              <w:rPr>
                <w:i/>
                <w:sz w:val="18"/>
                <w:szCs w:val="18"/>
              </w:rPr>
              <w:t>000</w:t>
            </w:r>
            <w:r w:rsidR="001808CD">
              <w:rPr>
                <w:i/>
                <w:sz w:val="18"/>
                <w:szCs w:val="18"/>
              </w:rPr>
              <w:t>,</w:t>
            </w:r>
            <w:r w:rsidRPr="00860395">
              <w:rPr>
                <w:i/>
                <w:sz w:val="18"/>
                <w:szCs w:val="18"/>
              </w:rPr>
              <w:t>000</w:t>
            </w:r>
            <w:r w:rsidR="001808CD">
              <w:rPr>
                <w:i/>
                <w:sz w:val="18"/>
                <w:szCs w:val="18"/>
              </w:rPr>
              <w:t>,</w:t>
            </w:r>
            <w:r w:rsidRPr="00860395">
              <w:rPr>
                <w:i/>
                <w:sz w:val="18"/>
                <w:szCs w:val="18"/>
              </w:rPr>
              <w:t>000 in South Jakarta</w:t>
            </w:r>
            <w:r w:rsidR="001808CD">
              <w:rPr>
                <w:i/>
                <w:sz w:val="18"/>
                <w:szCs w:val="18"/>
              </w:rPr>
              <w:t>.</w:t>
            </w:r>
          </w:p>
        </w:tc>
      </w:tr>
      <w:tr w:rsidR="007111D9" w:rsidRPr="00860395" w14:paraId="07E4BD66" w14:textId="77777777" w:rsidTr="007111D9">
        <w:tc>
          <w:tcPr>
            <w:tcW w:w="2501" w:type="pct"/>
            <w:tcBorders>
              <w:top w:val="nil"/>
              <w:left w:val="nil"/>
              <w:bottom w:val="nil"/>
              <w:right w:val="nil"/>
            </w:tcBorders>
          </w:tcPr>
          <w:p w14:paraId="2FE3988D" w14:textId="77777777" w:rsidR="007111D9" w:rsidRPr="00860395" w:rsidRDefault="007111D9" w:rsidP="0013526B">
            <w:pPr>
              <w:pStyle w:val="ListParagraph"/>
              <w:ind w:left="284" w:right="-57"/>
              <w:jc w:val="both"/>
              <w:rPr>
                <w:sz w:val="18"/>
                <w:szCs w:val="18"/>
              </w:rPr>
            </w:pPr>
          </w:p>
        </w:tc>
        <w:tc>
          <w:tcPr>
            <w:tcW w:w="2499" w:type="pct"/>
            <w:tcBorders>
              <w:top w:val="nil"/>
              <w:left w:val="nil"/>
              <w:bottom w:val="nil"/>
              <w:right w:val="nil"/>
            </w:tcBorders>
          </w:tcPr>
          <w:p w14:paraId="49602127" w14:textId="77777777" w:rsidR="007111D9" w:rsidRPr="00860395" w:rsidRDefault="007111D9" w:rsidP="0013526B">
            <w:pPr>
              <w:ind w:left="284" w:right="-57"/>
              <w:jc w:val="both"/>
              <w:rPr>
                <w:i/>
                <w:sz w:val="18"/>
                <w:szCs w:val="18"/>
              </w:rPr>
            </w:pPr>
          </w:p>
        </w:tc>
      </w:tr>
      <w:tr w:rsidR="00891279" w:rsidRPr="00860395" w14:paraId="5A2F6FC3" w14:textId="77777777" w:rsidTr="00972030">
        <w:tc>
          <w:tcPr>
            <w:tcW w:w="2501" w:type="pct"/>
            <w:tcBorders>
              <w:top w:val="nil"/>
              <w:left w:val="nil"/>
              <w:bottom w:val="nil"/>
              <w:right w:val="nil"/>
            </w:tcBorders>
          </w:tcPr>
          <w:p w14:paraId="317223D7" w14:textId="650DBB45" w:rsidR="00891279" w:rsidRPr="00860395" w:rsidRDefault="00891279" w:rsidP="00070D1F">
            <w:pPr>
              <w:pStyle w:val="ListParagraph"/>
              <w:numPr>
                <w:ilvl w:val="0"/>
                <w:numId w:val="252"/>
              </w:numPr>
              <w:ind w:right="-57"/>
              <w:jc w:val="both"/>
              <w:rPr>
                <w:sz w:val="18"/>
                <w:szCs w:val="18"/>
              </w:rPr>
            </w:pPr>
            <w:r>
              <w:rPr>
                <w:sz w:val="18"/>
                <w:szCs w:val="18"/>
              </w:rPr>
              <w:t>Se</w:t>
            </w:r>
            <w:r w:rsidRPr="00860395">
              <w:rPr>
                <w:sz w:val="18"/>
                <w:szCs w:val="18"/>
              </w:rPr>
              <w:t>bidang tanah dan bangunan milik</w:t>
            </w:r>
            <w:r>
              <w:rPr>
                <w:sz w:val="18"/>
                <w:szCs w:val="18"/>
              </w:rPr>
              <w:t xml:space="preserve"> Perusahaan</w:t>
            </w:r>
            <w:r w:rsidRPr="00860395">
              <w:rPr>
                <w:sz w:val="18"/>
                <w:szCs w:val="18"/>
              </w:rPr>
              <w:t xml:space="preserve"> dengan nilai sebesar Rp </w:t>
            </w:r>
            <w:r>
              <w:rPr>
                <w:sz w:val="18"/>
                <w:szCs w:val="18"/>
              </w:rPr>
              <w:t>600</w:t>
            </w:r>
            <w:r w:rsidRPr="00860395">
              <w:rPr>
                <w:sz w:val="18"/>
                <w:szCs w:val="18"/>
              </w:rPr>
              <w:t xml:space="preserve">.000.000.000 di </w:t>
            </w:r>
            <w:r>
              <w:rPr>
                <w:sz w:val="18"/>
                <w:szCs w:val="18"/>
              </w:rPr>
              <w:t>Tangerang</w:t>
            </w:r>
            <w:r w:rsidR="001808CD">
              <w:rPr>
                <w:sz w:val="18"/>
                <w:szCs w:val="18"/>
              </w:rPr>
              <w:t>,</w:t>
            </w:r>
            <w:r>
              <w:rPr>
                <w:sz w:val="18"/>
                <w:szCs w:val="18"/>
              </w:rPr>
              <w:t xml:space="preserve"> Banten</w:t>
            </w:r>
            <w:r w:rsidRPr="00860395">
              <w:rPr>
                <w:sz w:val="18"/>
                <w:szCs w:val="18"/>
              </w:rPr>
              <w:t>.</w:t>
            </w:r>
          </w:p>
        </w:tc>
        <w:tc>
          <w:tcPr>
            <w:tcW w:w="2499" w:type="pct"/>
            <w:tcBorders>
              <w:top w:val="nil"/>
              <w:left w:val="nil"/>
              <w:bottom w:val="nil"/>
              <w:right w:val="nil"/>
            </w:tcBorders>
          </w:tcPr>
          <w:p w14:paraId="02D5ABE0" w14:textId="78E6520F" w:rsidR="00891279" w:rsidRPr="00860395" w:rsidRDefault="00891279" w:rsidP="00070D1F">
            <w:pPr>
              <w:pStyle w:val="ListParagraph"/>
              <w:numPr>
                <w:ilvl w:val="0"/>
                <w:numId w:val="253"/>
              </w:numPr>
              <w:ind w:right="-57"/>
              <w:jc w:val="both"/>
              <w:rPr>
                <w:i/>
                <w:sz w:val="18"/>
                <w:szCs w:val="18"/>
              </w:rPr>
            </w:pPr>
            <w:r>
              <w:rPr>
                <w:i/>
                <w:sz w:val="18"/>
                <w:szCs w:val="18"/>
              </w:rPr>
              <w:t xml:space="preserve">A </w:t>
            </w:r>
            <w:r w:rsidRPr="00860395">
              <w:rPr>
                <w:i/>
                <w:sz w:val="18"/>
                <w:szCs w:val="18"/>
              </w:rPr>
              <w:t xml:space="preserve">plot of land and building owned by </w:t>
            </w:r>
            <w:r>
              <w:rPr>
                <w:i/>
                <w:sz w:val="18"/>
                <w:szCs w:val="18"/>
              </w:rPr>
              <w:t>Company</w:t>
            </w:r>
            <w:r w:rsidRPr="00860395">
              <w:rPr>
                <w:i/>
                <w:sz w:val="18"/>
                <w:szCs w:val="18"/>
              </w:rPr>
              <w:t xml:space="preserve"> amounting to Rp </w:t>
            </w:r>
            <w:r>
              <w:rPr>
                <w:i/>
                <w:sz w:val="18"/>
                <w:szCs w:val="18"/>
              </w:rPr>
              <w:t>600</w:t>
            </w:r>
            <w:r w:rsidR="001808CD">
              <w:rPr>
                <w:i/>
                <w:sz w:val="18"/>
                <w:szCs w:val="18"/>
              </w:rPr>
              <w:t>,</w:t>
            </w:r>
            <w:r w:rsidRPr="00860395">
              <w:rPr>
                <w:i/>
                <w:sz w:val="18"/>
                <w:szCs w:val="18"/>
              </w:rPr>
              <w:t>000</w:t>
            </w:r>
            <w:r w:rsidR="001808CD">
              <w:rPr>
                <w:i/>
                <w:sz w:val="18"/>
                <w:szCs w:val="18"/>
              </w:rPr>
              <w:t>,</w:t>
            </w:r>
            <w:r w:rsidRPr="00860395">
              <w:rPr>
                <w:i/>
                <w:sz w:val="18"/>
                <w:szCs w:val="18"/>
              </w:rPr>
              <w:t>000</w:t>
            </w:r>
            <w:r w:rsidR="001808CD">
              <w:rPr>
                <w:i/>
                <w:sz w:val="18"/>
                <w:szCs w:val="18"/>
              </w:rPr>
              <w:t>,</w:t>
            </w:r>
            <w:r w:rsidRPr="00860395">
              <w:rPr>
                <w:i/>
                <w:sz w:val="18"/>
                <w:szCs w:val="18"/>
              </w:rPr>
              <w:t xml:space="preserve">000 in </w:t>
            </w:r>
            <w:r>
              <w:rPr>
                <w:i/>
                <w:sz w:val="18"/>
                <w:szCs w:val="18"/>
              </w:rPr>
              <w:t>Tangerang</w:t>
            </w:r>
            <w:r w:rsidR="001808CD">
              <w:rPr>
                <w:i/>
                <w:sz w:val="18"/>
                <w:szCs w:val="18"/>
              </w:rPr>
              <w:t>,</w:t>
            </w:r>
            <w:r>
              <w:rPr>
                <w:i/>
                <w:sz w:val="18"/>
                <w:szCs w:val="18"/>
              </w:rPr>
              <w:t xml:space="preserve"> Banten</w:t>
            </w:r>
            <w:r w:rsidRPr="00860395">
              <w:rPr>
                <w:i/>
                <w:sz w:val="18"/>
                <w:szCs w:val="18"/>
              </w:rPr>
              <w:t>.</w:t>
            </w:r>
          </w:p>
        </w:tc>
      </w:tr>
      <w:tr w:rsidR="00891279" w:rsidRPr="00860395" w14:paraId="6FFD84B1" w14:textId="77777777" w:rsidTr="007111D9">
        <w:tc>
          <w:tcPr>
            <w:tcW w:w="2501" w:type="pct"/>
            <w:tcBorders>
              <w:top w:val="nil"/>
              <w:left w:val="nil"/>
              <w:bottom w:val="nil"/>
              <w:right w:val="nil"/>
            </w:tcBorders>
          </w:tcPr>
          <w:p w14:paraId="026ED263" w14:textId="77777777" w:rsidR="00891279" w:rsidRPr="00860395" w:rsidRDefault="00891279" w:rsidP="0013526B">
            <w:pPr>
              <w:pStyle w:val="ListParagraph"/>
              <w:ind w:left="284" w:right="-57"/>
              <w:jc w:val="both"/>
              <w:rPr>
                <w:sz w:val="18"/>
                <w:szCs w:val="18"/>
              </w:rPr>
            </w:pPr>
          </w:p>
        </w:tc>
        <w:tc>
          <w:tcPr>
            <w:tcW w:w="2499" w:type="pct"/>
            <w:tcBorders>
              <w:top w:val="nil"/>
              <w:left w:val="nil"/>
              <w:bottom w:val="nil"/>
              <w:right w:val="nil"/>
            </w:tcBorders>
          </w:tcPr>
          <w:p w14:paraId="7089C2A7" w14:textId="77777777" w:rsidR="00891279" w:rsidRPr="00860395" w:rsidRDefault="00891279" w:rsidP="0013526B">
            <w:pPr>
              <w:ind w:left="284" w:right="-57"/>
              <w:jc w:val="both"/>
              <w:rPr>
                <w:i/>
                <w:sz w:val="18"/>
                <w:szCs w:val="18"/>
              </w:rPr>
            </w:pPr>
          </w:p>
        </w:tc>
      </w:tr>
      <w:tr w:rsidR="00F64627" w:rsidRPr="00860395" w14:paraId="2ACDF1C4" w14:textId="77777777" w:rsidTr="007111D9">
        <w:tc>
          <w:tcPr>
            <w:tcW w:w="2501" w:type="pct"/>
            <w:tcBorders>
              <w:top w:val="nil"/>
              <w:left w:val="nil"/>
              <w:bottom w:val="nil"/>
              <w:right w:val="nil"/>
            </w:tcBorders>
          </w:tcPr>
          <w:p w14:paraId="14EE21F4" w14:textId="588882EA" w:rsidR="00F64627" w:rsidRPr="00860395" w:rsidRDefault="00F64627" w:rsidP="00070D1F">
            <w:pPr>
              <w:pStyle w:val="ListParagraph"/>
              <w:numPr>
                <w:ilvl w:val="0"/>
                <w:numId w:val="252"/>
              </w:numPr>
              <w:ind w:right="-57"/>
              <w:jc w:val="both"/>
              <w:rPr>
                <w:sz w:val="18"/>
                <w:szCs w:val="18"/>
              </w:rPr>
            </w:pPr>
            <w:r w:rsidRPr="00860395">
              <w:rPr>
                <w:i/>
                <w:iCs/>
                <w:sz w:val="18"/>
                <w:szCs w:val="18"/>
              </w:rPr>
              <w:t>Corporate Guarantee</w:t>
            </w:r>
            <w:r w:rsidRPr="00860395">
              <w:rPr>
                <w:sz w:val="18"/>
                <w:szCs w:val="18"/>
              </w:rPr>
              <w:t xml:space="preserve"> dari PT Surya Cipta Inti Cemerlang sebesar total plafond pinjaman Perusahaan dan NKM.</w:t>
            </w:r>
          </w:p>
        </w:tc>
        <w:tc>
          <w:tcPr>
            <w:tcW w:w="2499" w:type="pct"/>
            <w:tcBorders>
              <w:top w:val="nil"/>
              <w:left w:val="nil"/>
              <w:bottom w:val="nil"/>
              <w:right w:val="nil"/>
            </w:tcBorders>
          </w:tcPr>
          <w:p w14:paraId="0E99513B" w14:textId="7E11E370" w:rsidR="00F64627" w:rsidRPr="00860395" w:rsidRDefault="00F64627" w:rsidP="00070D1F">
            <w:pPr>
              <w:pStyle w:val="ListParagraph"/>
              <w:numPr>
                <w:ilvl w:val="0"/>
                <w:numId w:val="253"/>
              </w:numPr>
              <w:ind w:right="-57"/>
              <w:jc w:val="both"/>
              <w:rPr>
                <w:i/>
                <w:sz w:val="18"/>
                <w:szCs w:val="18"/>
              </w:rPr>
            </w:pPr>
            <w:r w:rsidRPr="00860395">
              <w:rPr>
                <w:i/>
                <w:sz w:val="18"/>
                <w:szCs w:val="18"/>
              </w:rPr>
              <w:t>Corporate Guarantee from PT Surya Cipta Inti Cemerlang amounting to total plafond of loans of Company and NKM.</w:t>
            </w:r>
          </w:p>
        </w:tc>
      </w:tr>
      <w:tr w:rsidR="00732A12" w:rsidRPr="00860395" w14:paraId="12E013F5" w14:textId="77777777" w:rsidTr="007111D9">
        <w:tc>
          <w:tcPr>
            <w:tcW w:w="2501" w:type="pct"/>
            <w:tcBorders>
              <w:top w:val="nil"/>
              <w:left w:val="nil"/>
              <w:bottom w:val="nil"/>
              <w:right w:val="nil"/>
            </w:tcBorders>
          </w:tcPr>
          <w:p w14:paraId="6D8E0CC3" w14:textId="77777777" w:rsidR="00732A12" w:rsidRPr="00860395" w:rsidRDefault="00732A12" w:rsidP="00732A12">
            <w:pPr>
              <w:ind w:right="-57"/>
              <w:jc w:val="both"/>
              <w:rPr>
                <w:sz w:val="18"/>
                <w:szCs w:val="18"/>
              </w:rPr>
            </w:pPr>
          </w:p>
        </w:tc>
        <w:tc>
          <w:tcPr>
            <w:tcW w:w="2499" w:type="pct"/>
            <w:tcBorders>
              <w:top w:val="nil"/>
              <w:left w:val="nil"/>
              <w:bottom w:val="nil"/>
              <w:right w:val="nil"/>
            </w:tcBorders>
          </w:tcPr>
          <w:p w14:paraId="7D8C853B" w14:textId="77777777" w:rsidR="00732A12" w:rsidRPr="00860395" w:rsidRDefault="00732A12" w:rsidP="00732A12">
            <w:pPr>
              <w:pStyle w:val="ListParagraph"/>
              <w:ind w:left="644" w:right="-57"/>
              <w:jc w:val="both"/>
              <w:rPr>
                <w:i/>
                <w:sz w:val="18"/>
                <w:szCs w:val="18"/>
              </w:rPr>
            </w:pPr>
          </w:p>
        </w:tc>
      </w:tr>
      <w:tr w:rsidR="00860395" w:rsidRPr="00860395" w14:paraId="0A3FF792" w14:textId="77777777" w:rsidTr="00972030">
        <w:tc>
          <w:tcPr>
            <w:tcW w:w="2501" w:type="pct"/>
            <w:tcBorders>
              <w:top w:val="nil"/>
              <w:left w:val="nil"/>
              <w:bottom w:val="nil"/>
              <w:right w:val="nil"/>
            </w:tcBorders>
          </w:tcPr>
          <w:p w14:paraId="2DFE2048" w14:textId="36C6AC76" w:rsidR="00860395" w:rsidRPr="00860395" w:rsidRDefault="00860395" w:rsidP="00070D1F">
            <w:pPr>
              <w:pStyle w:val="ListParagraph"/>
              <w:numPr>
                <w:ilvl w:val="0"/>
                <w:numId w:val="252"/>
              </w:numPr>
              <w:ind w:right="-57"/>
              <w:jc w:val="both"/>
              <w:rPr>
                <w:sz w:val="18"/>
                <w:szCs w:val="18"/>
              </w:rPr>
            </w:pPr>
            <w:r w:rsidRPr="00860395">
              <w:rPr>
                <w:i/>
                <w:iCs/>
                <w:sz w:val="18"/>
                <w:szCs w:val="18"/>
              </w:rPr>
              <w:t>Corporate Guarantee</w:t>
            </w:r>
            <w:r w:rsidRPr="00860395">
              <w:rPr>
                <w:sz w:val="18"/>
                <w:szCs w:val="18"/>
              </w:rPr>
              <w:t xml:space="preserve"> dari PT Sejahteraraya Anugrahjaya Tbk sebesar total plafond pinjaman Perusahaan dan NKM.</w:t>
            </w:r>
          </w:p>
        </w:tc>
        <w:tc>
          <w:tcPr>
            <w:tcW w:w="2499" w:type="pct"/>
            <w:tcBorders>
              <w:top w:val="nil"/>
              <w:left w:val="nil"/>
              <w:bottom w:val="nil"/>
              <w:right w:val="nil"/>
            </w:tcBorders>
          </w:tcPr>
          <w:p w14:paraId="09292368" w14:textId="682EA5AB" w:rsidR="00860395" w:rsidRPr="00860395" w:rsidRDefault="00860395" w:rsidP="00070D1F">
            <w:pPr>
              <w:pStyle w:val="ListParagraph"/>
              <w:numPr>
                <w:ilvl w:val="0"/>
                <w:numId w:val="253"/>
              </w:numPr>
              <w:ind w:right="-57"/>
              <w:jc w:val="both"/>
              <w:rPr>
                <w:i/>
                <w:sz w:val="18"/>
                <w:szCs w:val="18"/>
              </w:rPr>
            </w:pPr>
            <w:r w:rsidRPr="00860395">
              <w:rPr>
                <w:i/>
                <w:sz w:val="18"/>
                <w:szCs w:val="18"/>
              </w:rPr>
              <w:t>Corporate Guarantee from PT Sejahteraraya Anugrahjaya Tbk amounting to total plafond of loans of Company and NKM.</w:t>
            </w:r>
          </w:p>
        </w:tc>
      </w:tr>
      <w:tr w:rsidR="00860395" w:rsidRPr="00860395" w14:paraId="5621E316" w14:textId="77777777" w:rsidTr="007111D9">
        <w:tc>
          <w:tcPr>
            <w:tcW w:w="2501" w:type="pct"/>
            <w:tcBorders>
              <w:top w:val="nil"/>
              <w:left w:val="nil"/>
              <w:bottom w:val="nil"/>
              <w:right w:val="nil"/>
            </w:tcBorders>
          </w:tcPr>
          <w:p w14:paraId="64581F86" w14:textId="77777777" w:rsidR="00860395" w:rsidRPr="00860395" w:rsidRDefault="00860395" w:rsidP="00732A12">
            <w:pPr>
              <w:ind w:right="-57"/>
              <w:jc w:val="both"/>
              <w:rPr>
                <w:sz w:val="18"/>
                <w:szCs w:val="18"/>
              </w:rPr>
            </w:pPr>
          </w:p>
        </w:tc>
        <w:tc>
          <w:tcPr>
            <w:tcW w:w="2499" w:type="pct"/>
            <w:tcBorders>
              <w:top w:val="nil"/>
              <w:left w:val="nil"/>
              <w:bottom w:val="nil"/>
              <w:right w:val="nil"/>
            </w:tcBorders>
          </w:tcPr>
          <w:p w14:paraId="23BE49CC" w14:textId="77777777" w:rsidR="00860395" w:rsidRPr="00860395" w:rsidRDefault="00860395" w:rsidP="00732A12">
            <w:pPr>
              <w:pStyle w:val="ListParagraph"/>
              <w:ind w:left="644" w:right="-57"/>
              <w:jc w:val="both"/>
              <w:rPr>
                <w:i/>
                <w:sz w:val="18"/>
                <w:szCs w:val="18"/>
              </w:rPr>
            </w:pPr>
          </w:p>
        </w:tc>
      </w:tr>
      <w:tr w:rsidR="00732A12" w:rsidRPr="00860395" w14:paraId="68D4B1B9" w14:textId="77777777" w:rsidTr="007111D9">
        <w:tc>
          <w:tcPr>
            <w:tcW w:w="2501" w:type="pct"/>
            <w:tcBorders>
              <w:top w:val="nil"/>
              <w:left w:val="nil"/>
              <w:bottom w:val="nil"/>
              <w:right w:val="nil"/>
            </w:tcBorders>
          </w:tcPr>
          <w:p w14:paraId="6B274E4C" w14:textId="00828D03" w:rsidR="00732A12" w:rsidRPr="00860395" w:rsidRDefault="00732A12" w:rsidP="00070D1F">
            <w:pPr>
              <w:pStyle w:val="ListParagraph"/>
              <w:numPr>
                <w:ilvl w:val="0"/>
                <w:numId w:val="252"/>
              </w:numPr>
              <w:ind w:right="-57"/>
              <w:jc w:val="both"/>
              <w:rPr>
                <w:sz w:val="18"/>
                <w:szCs w:val="18"/>
              </w:rPr>
            </w:pPr>
            <w:r w:rsidRPr="00860395">
              <w:rPr>
                <w:sz w:val="18"/>
                <w:szCs w:val="18"/>
              </w:rPr>
              <w:t>Seluruh saham milik PT Sejahteraraya Anugrahjaya</w:t>
            </w:r>
            <w:r w:rsidR="00870FD0">
              <w:rPr>
                <w:sz w:val="18"/>
                <w:szCs w:val="18"/>
              </w:rPr>
              <w:t>.</w:t>
            </w:r>
            <w:r w:rsidRPr="00860395">
              <w:rPr>
                <w:sz w:val="18"/>
                <w:szCs w:val="18"/>
              </w:rPr>
              <w:t xml:space="preserve"> Tbk. dalam debitur</w:t>
            </w:r>
            <w:r w:rsidR="001808CD">
              <w:rPr>
                <w:sz w:val="18"/>
                <w:szCs w:val="18"/>
              </w:rPr>
              <w:t>,</w:t>
            </w:r>
            <w:r w:rsidRPr="00860395">
              <w:rPr>
                <w:sz w:val="18"/>
                <w:szCs w:val="18"/>
              </w:rPr>
              <w:t xml:space="preserve"> yang diikat secara gadai termasuk kuasa untuk menjual saham</w:t>
            </w:r>
            <w:r w:rsidR="001808CD">
              <w:rPr>
                <w:sz w:val="18"/>
                <w:szCs w:val="18"/>
              </w:rPr>
              <w:t>.</w:t>
            </w:r>
          </w:p>
        </w:tc>
        <w:tc>
          <w:tcPr>
            <w:tcW w:w="2499" w:type="pct"/>
            <w:tcBorders>
              <w:top w:val="nil"/>
              <w:left w:val="nil"/>
              <w:bottom w:val="nil"/>
              <w:right w:val="nil"/>
            </w:tcBorders>
          </w:tcPr>
          <w:p w14:paraId="5DF3B0DB" w14:textId="23147F42" w:rsidR="00732A12" w:rsidRPr="00860395" w:rsidRDefault="001B07CB" w:rsidP="00070D1F">
            <w:pPr>
              <w:pStyle w:val="ListParagraph"/>
              <w:numPr>
                <w:ilvl w:val="0"/>
                <w:numId w:val="253"/>
              </w:numPr>
              <w:ind w:right="-57"/>
              <w:jc w:val="both"/>
              <w:rPr>
                <w:i/>
                <w:sz w:val="18"/>
                <w:szCs w:val="18"/>
              </w:rPr>
            </w:pPr>
            <w:r w:rsidRPr="00860395">
              <w:rPr>
                <w:i/>
                <w:sz w:val="18"/>
                <w:szCs w:val="18"/>
              </w:rPr>
              <w:t>Shares owne</w:t>
            </w:r>
            <w:r w:rsidR="00825BBB" w:rsidRPr="00860395">
              <w:rPr>
                <w:i/>
                <w:sz w:val="18"/>
                <w:szCs w:val="18"/>
              </w:rPr>
              <w:t>d by PT Sejahteraraya Anugrahjaya</w:t>
            </w:r>
            <w:r w:rsidR="00870FD0">
              <w:rPr>
                <w:i/>
                <w:sz w:val="18"/>
                <w:szCs w:val="18"/>
              </w:rPr>
              <w:t>.</w:t>
            </w:r>
            <w:r w:rsidR="00825BBB" w:rsidRPr="00860395">
              <w:rPr>
                <w:i/>
                <w:sz w:val="18"/>
                <w:szCs w:val="18"/>
              </w:rPr>
              <w:t xml:space="preserve"> Tbk in debtor</w:t>
            </w:r>
            <w:r w:rsidR="001808CD">
              <w:rPr>
                <w:i/>
                <w:sz w:val="18"/>
                <w:szCs w:val="18"/>
              </w:rPr>
              <w:t>,</w:t>
            </w:r>
            <w:r w:rsidR="00825BBB" w:rsidRPr="00860395">
              <w:rPr>
                <w:i/>
                <w:sz w:val="18"/>
                <w:szCs w:val="18"/>
              </w:rPr>
              <w:t xml:space="preserve"> which is bound by pledge including the power to sell shares</w:t>
            </w:r>
            <w:r w:rsidR="001808CD">
              <w:rPr>
                <w:i/>
                <w:sz w:val="18"/>
                <w:szCs w:val="18"/>
              </w:rPr>
              <w:t>.</w:t>
            </w:r>
            <w:r w:rsidR="00C37CFE" w:rsidRPr="00860395">
              <w:rPr>
                <w:i/>
                <w:sz w:val="18"/>
                <w:szCs w:val="18"/>
              </w:rPr>
              <w:t xml:space="preserve"> </w:t>
            </w:r>
          </w:p>
        </w:tc>
      </w:tr>
      <w:tr w:rsidR="00F64627" w:rsidRPr="00860395" w14:paraId="487A6A86" w14:textId="77777777" w:rsidTr="007111D9">
        <w:tc>
          <w:tcPr>
            <w:tcW w:w="2501" w:type="pct"/>
            <w:tcBorders>
              <w:top w:val="nil"/>
              <w:left w:val="nil"/>
              <w:bottom w:val="nil"/>
              <w:right w:val="nil"/>
            </w:tcBorders>
          </w:tcPr>
          <w:p w14:paraId="39C0C1EC" w14:textId="77777777" w:rsidR="00F64627" w:rsidRPr="00860395" w:rsidRDefault="00F64627" w:rsidP="00390722">
            <w:pPr>
              <w:pStyle w:val="ListParagraph"/>
              <w:ind w:left="644" w:right="-57"/>
              <w:jc w:val="both"/>
              <w:rPr>
                <w:sz w:val="18"/>
                <w:szCs w:val="18"/>
              </w:rPr>
            </w:pPr>
          </w:p>
        </w:tc>
        <w:tc>
          <w:tcPr>
            <w:tcW w:w="2499" w:type="pct"/>
            <w:tcBorders>
              <w:top w:val="nil"/>
              <w:left w:val="nil"/>
              <w:bottom w:val="nil"/>
              <w:right w:val="nil"/>
            </w:tcBorders>
          </w:tcPr>
          <w:p w14:paraId="32DC4CC8" w14:textId="77777777" w:rsidR="00F64627" w:rsidRPr="00860395" w:rsidRDefault="00F64627" w:rsidP="00390722">
            <w:pPr>
              <w:pStyle w:val="ListParagraph"/>
              <w:ind w:left="644" w:right="-57"/>
              <w:jc w:val="both"/>
              <w:rPr>
                <w:i/>
                <w:sz w:val="18"/>
                <w:szCs w:val="18"/>
              </w:rPr>
            </w:pPr>
          </w:p>
        </w:tc>
      </w:tr>
      <w:tr w:rsidR="00F64627" w:rsidRPr="00860395" w14:paraId="3EC50156" w14:textId="77777777" w:rsidTr="007111D9">
        <w:tc>
          <w:tcPr>
            <w:tcW w:w="2501" w:type="pct"/>
            <w:tcBorders>
              <w:top w:val="nil"/>
              <w:left w:val="nil"/>
              <w:bottom w:val="nil"/>
              <w:right w:val="nil"/>
            </w:tcBorders>
          </w:tcPr>
          <w:p w14:paraId="1B5576AA" w14:textId="20DF683F" w:rsidR="00F64627" w:rsidRPr="00860395" w:rsidRDefault="001E6A50" w:rsidP="00070D1F">
            <w:pPr>
              <w:pStyle w:val="ListParagraph"/>
              <w:numPr>
                <w:ilvl w:val="0"/>
                <w:numId w:val="252"/>
              </w:numPr>
              <w:ind w:right="-57"/>
              <w:jc w:val="both"/>
              <w:rPr>
                <w:sz w:val="18"/>
                <w:szCs w:val="18"/>
              </w:rPr>
            </w:pPr>
            <w:r w:rsidRPr="00860395">
              <w:rPr>
                <w:sz w:val="18"/>
                <w:szCs w:val="18"/>
              </w:rPr>
              <w:t>S</w:t>
            </w:r>
            <w:r w:rsidR="00F64627" w:rsidRPr="00860395">
              <w:rPr>
                <w:sz w:val="18"/>
                <w:szCs w:val="18"/>
              </w:rPr>
              <w:t>eluruh saham Tuan Jonathan Tahir</w:t>
            </w:r>
            <w:r w:rsidR="001808CD">
              <w:rPr>
                <w:sz w:val="18"/>
                <w:szCs w:val="18"/>
              </w:rPr>
              <w:t>,</w:t>
            </w:r>
            <w:r w:rsidR="00F64627" w:rsidRPr="00860395">
              <w:rPr>
                <w:sz w:val="18"/>
                <w:szCs w:val="18"/>
              </w:rPr>
              <w:t xml:space="preserve"> Tuan Dato Sri Doktor Tahir MBA</w:t>
            </w:r>
            <w:r w:rsidR="001808CD">
              <w:rPr>
                <w:sz w:val="18"/>
                <w:szCs w:val="18"/>
              </w:rPr>
              <w:t>,</w:t>
            </w:r>
            <w:r w:rsidR="00F64627" w:rsidRPr="00860395">
              <w:rPr>
                <w:sz w:val="18"/>
                <w:szCs w:val="18"/>
              </w:rPr>
              <w:t xml:space="preserve"> Nyonya Jane Dewi Tahir</w:t>
            </w:r>
            <w:r w:rsidR="001808CD">
              <w:rPr>
                <w:sz w:val="18"/>
                <w:szCs w:val="18"/>
              </w:rPr>
              <w:t>,</w:t>
            </w:r>
            <w:r w:rsidR="00F64627" w:rsidRPr="00860395">
              <w:rPr>
                <w:sz w:val="18"/>
                <w:szCs w:val="18"/>
              </w:rPr>
              <w:t xml:space="preserve"> Nyonya Grace Dewi Riady dan Nyonya  Dewi  Victoria  Riady  di PT Mayapada Healthcare group.</w:t>
            </w:r>
          </w:p>
        </w:tc>
        <w:tc>
          <w:tcPr>
            <w:tcW w:w="2499" w:type="pct"/>
            <w:tcBorders>
              <w:top w:val="nil"/>
              <w:left w:val="nil"/>
              <w:bottom w:val="nil"/>
              <w:right w:val="nil"/>
            </w:tcBorders>
          </w:tcPr>
          <w:p w14:paraId="38B62562" w14:textId="24997D14" w:rsidR="00F64627" w:rsidRPr="00860395" w:rsidRDefault="001E6A50" w:rsidP="00070D1F">
            <w:pPr>
              <w:pStyle w:val="ListParagraph"/>
              <w:numPr>
                <w:ilvl w:val="0"/>
                <w:numId w:val="253"/>
              </w:numPr>
              <w:ind w:right="-57"/>
              <w:jc w:val="both"/>
              <w:rPr>
                <w:i/>
                <w:sz w:val="18"/>
                <w:szCs w:val="18"/>
              </w:rPr>
            </w:pPr>
            <w:r w:rsidRPr="00860395">
              <w:rPr>
                <w:i/>
                <w:sz w:val="18"/>
                <w:szCs w:val="18"/>
              </w:rPr>
              <w:t>S</w:t>
            </w:r>
            <w:r w:rsidR="00F64627" w:rsidRPr="00860395">
              <w:rPr>
                <w:i/>
                <w:sz w:val="18"/>
                <w:szCs w:val="18"/>
              </w:rPr>
              <w:t>hares owned by Mr. Jonathan Tahir</w:t>
            </w:r>
            <w:r w:rsidR="001808CD">
              <w:rPr>
                <w:i/>
                <w:sz w:val="18"/>
                <w:szCs w:val="18"/>
              </w:rPr>
              <w:t>,</w:t>
            </w:r>
            <w:r w:rsidR="00F64627" w:rsidRPr="00860395">
              <w:rPr>
                <w:i/>
                <w:sz w:val="18"/>
                <w:szCs w:val="18"/>
              </w:rPr>
              <w:t xml:space="preserve"> Mr. Dato Sri Doktor Tahir MBA</w:t>
            </w:r>
            <w:r w:rsidR="001808CD">
              <w:rPr>
                <w:i/>
                <w:sz w:val="18"/>
                <w:szCs w:val="18"/>
              </w:rPr>
              <w:t>,</w:t>
            </w:r>
            <w:r w:rsidR="00F64627" w:rsidRPr="00860395">
              <w:rPr>
                <w:i/>
                <w:sz w:val="18"/>
                <w:szCs w:val="18"/>
              </w:rPr>
              <w:t xml:space="preserve"> Mrs. Jane Dewi Tahir</w:t>
            </w:r>
            <w:r w:rsidR="001808CD">
              <w:rPr>
                <w:i/>
                <w:sz w:val="18"/>
                <w:szCs w:val="18"/>
              </w:rPr>
              <w:t>,</w:t>
            </w:r>
            <w:r w:rsidR="00F64627" w:rsidRPr="00860395">
              <w:rPr>
                <w:i/>
                <w:sz w:val="18"/>
                <w:szCs w:val="18"/>
              </w:rPr>
              <w:t xml:space="preserve"> Mrs. Grace Dewi  Riady  and  Mrs. Dewi Victoria Riady at PT Mayapada Healthcare group.</w:t>
            </w:r>
          </w:p>
        </w:tc>
      </w:tr>
      <w:tr w:rsidR="00F64627" w:rsidRPr="00860395" w14:paraId="5A3E3A76" w14:textId="77777777" w:rsidTr="007111D9">
        <w:tc>
          <w:tcPr>
            <w:tcW w:w="2501" w:type="pct"/>
            <w:tcBorders>
              <w:top w:val="nil"/>
              <w:left w:val="nil"/>
              <w:bottom w:val="nil"/>
              <w:right w:val="nil"/>
            </w:tcBorders>
          </w:tcPr>
          <w:p w14:paraId="26D106D4" w14:textId="77777777" w:rsidR="00F64627" w:rsidRPr="00860395" w:rsidRDefault="00F64627" w:rsidP="00390722">
            <w:pPr>
              <w:pStyle w:val="ListParagraph"/>
              <w:ind w:left="644" w:right="-57"/>
              <w:jc w:val="both"/>
              <w:rPr>
                <w:sz w:val="18"/>
                <w:szCs w:val="18"/>
              </w:rPr>
            </w:pPr>
          </w:p>
        </w:tc>
        <w:tc>
          <w:tcPr>
            <w:tcW w:w="2499" w:type="pct"/>
            <w:tcBorders>
              <w:top w:val="nil"/>
              <w:left w:val="nil"/>
              <w:bottom w:val="nil"/>
              <w:right w:val="nil"/>
            </w:tcBorders>
          </w:tcPr>
          <w:p w14:paraId="3BFFAA8A" w14:textId="77777777" w:rsidR="00F64627" w:rsidRPr="00860395" w:rsidRDefault="00F64627" w:rsidP="00390722">
            <w:pPr>
              <w:pStyle w:val="ListParagraph"/>
              <w:ind w:left="644" w:right="-57"/>
              <w:jc w:val="both"/>
              <w:rPr>
                <w:i/>
                <w:sz w:val="18"/>
                <w:szCs w:val="18"/>
              </w:rPr>
            </w:pPr>
          </w:p>
        </w:tc>
      </w:tr>
      <w:tr w:rsidR="00F64627" w:rsidRPr="0013526B" w14:paraId="1CE732E5" w14:textId="77777777" w:rsidTr="007111D9">
        <w:tc>
          <w:tcPr>
            <w:tcW w:w="2501" w:type="pct"/>
            <w:tcBorders>
              <w:top w:val="nil"/>
              <w:left w:val="nil"/>
              <w:bottom w:val="nil"/>
              <w:right w:val="nil"/>
            </w:tcBorders>
          </w:tcPr>
          <w:p w14:paraId="3CB55B7E" w14:textId="579BA1C7" w:rsidR="00F64627" w:rsidRPr="00860395" w:rsidRDefault="00390722" w:rsidP="00070D1F">
            <w:pPr>
              <w:pStyle w:val="ListParagraph"/>
              <w:numPr>
                <w:ilvl w:val="0"/>
                <w:numId w:val="252"/>
              </w:numPr>
              <w:ind w:right="-57"/>
              <w:jc w:val="both"/>
              <w:rPr>
                <w:sz w:val="18"/>
                <w:szCs w:val="18"/>
              </w:rPr>
            </w:pPr>
            <w:r w:rsidRPr="00860395">
              <w:rPr>
                <w:i/>
                <w:iCs/>
                <w:sz w:val="18"/>
                <w:szCs w:val="18"/>
              </w:rPr>
              <w:t>Personal Guarantee</w:t>
            </w:r>
            <w:r w:rsidRPr="00860395">
              <w:rPr>
                <w:sz w:val="18"/>
                <w:szCs w:val="18"/>
              </w:rPr>
              <w:t xml:space="preserve"> dari Tuan Dato Sri Doktor Tahir MBA sebesar total plafond pinjaman Perusahaan dan NKM.</w:t>
            </w:r>
          </w:p>
        </w:tc>
        <w:tc>
          <w:tcPr>
            <w:tcW w:w="2499" w:type="pct"/>
            <w:tcBorders>
              <w:top w:val="nil"/>
              <w:left w:val="nil"/>
              <w:bottom w:val="nil"/>
              <w:right w:val="nil"/>
            </w:tcBorders>
          </w:tcPr>
          <w:p w14:paraId="1483BC9B" w14:textId="5963DEC2" w:rsidR="00F64627" w:rsidRPr="00860395" w:rsidRDefault="00390722" w:rsidP="00070D1F">
            <w:pPr>
              <w:pStyle w:val="ListParagraph"/>
              <w:numPr>
                <w:ilvl w:val="0"/>
                <w:numId w:val="253"/>
              </w:numPr>
              <w:ind w:right="-57"/>
              <w:jc w:val="both"/>
              <w:rPr>
                <w:i/>
                <w:sz w:val="18"/>
                <w:szCs w:val="18"/>
              </w:rPr>
            </w:pPr>
            <w:r w:rsidRPr="00860395">
              <w:rPr>
                <w:i/>
                <w:sz w:val="18"/>
                <w:szCs w:val="18"/>
              </w:rPr>
              <w:t>Personal Guarantee from Mr. Dato Sri Doktor Tahir MBA amounting to total plafond of loans of Company and NKM.</w:t>
            </w:r>
          </w:p>
        </w:tc>
      </w:tr>
    </w:tbl>
    <w:p w14:paraId="18432A97" w14:textId="63C597FA" w:rsidR="00825BBB" w:rsidRDefault="00825BBB"/>
    <w:p w14:paraId="33AAA3AE" w14:textId="77777777" w:rsidR="00373A9C" w:rsidRDefault="00373A9C" w:rsidP="00070D1F">
      <w:pPr>
        <w:numPr>
          <w:ilvl w:val="0"/>
          <w:numId w:val="318"/>
        </w:numPr>
        <w:ind w:left="255" w:hanging="329"/>
        <w:jc w:val="both"/>
        <w:rPr>
          <w:b/>
          <w:bCs w:val="0"/>
          <w:sz w:val="18"/>
          <w:szCs w:val="18"/>
        </w:rPr>
        <w:sectPr w:rsidR="00373A9C" w:rsidSect="007867E7">
          <w:headerReference w:type="even" r:id="rId44"/>
          <w:headerReference w:type="default" r:id="rId45"/>
          <w:footerReference w:type="default" r:id="rId46"/>
          <w:headerReference w:type="first" r:id="rId47"/>
          <w:pgSz w:w="11907" w:h="16840" w:code="9"/>
          <w:pgMar w:top="1701" w:right="992" w:bottom="1134" w:left="1559" w:header="851" w:footer="397" w:gutter="0"/>
          <w:cols w:space="720"/>
          <w:titlePg/>
          <w:docGrid w:linePitch="360"/>
        </w:sectPr>
      </w:pPr>
    </w:p>
    <w:tbl>
      <w:tblPr>
        <w:tblW w:w="4916" w:type="pct"/>
        <w:tblInd w:w="108" w:type="dxa"/>
        <w:tblLayout w:type="fixed"/>
        <w:tblLook w:val="0000" w:firstRow="0" w:lastRow="0" w:firstColumn="0" w:lastColumn="0" w:noHBand="0" w:noVBand="0"/>
      </w:tblPr>
      <w:tblGrid>
        <w:gridCol w:w="4601"/>
        <w:gridCol w:w="4598"/>
      </w:tblGrid>
      <w:tr w:rsidR="00825BBB" w:rsidRPr="00825BBB" w14:paraId="0AAEC770" w14:textId="77777777" w:rsidTr="00825BBB">
        <w:tc>
          <w:tcPr>
            <w:tcW w:w="2501" w:type="pct"/>
            <w:tcBorders>
              <w:top w:val="nil"/>
              <w:left w:val="nil"/>
              <w:bottom w:val="nil"/>
              <w:right w:val="nil"/>
            </w:tcBorders>
          </w:tcPr>
          <w:p w14:paraId="5E3549F1" w14:textId="3C6CC411" w:rsidR="00825BBB" w:rsidRPr="00825BBB" w:rsidRDefault="00825BBB" w:rsidP="00070D1F">
            <w:pPr>
              <w:numPr>
                <w:ilvl w:val="0"/>
                <w:numId w:val="318"/>
              </w:numPr>
              <w:ind w:left="255" w:hanging="329"/>
              <w:jc w:val="both"/>
              <w:rPr>
                <w:b/>
                <w:bCs w:val="0"/>
                <w:sz w:val="18"/>
                <w:szCs w:val="18"/>
              </w:rPr>
            </w:pPr>
            <w:r w:rsidRPr="00825BBB">
              <w:rPr>
                <w:b/>
                <w:bCs w:val="0"/>
                <w:sz w:val="18"/>
                <w:szCs w:val="18"/>
              </w:rPr>
              <w:lastRenderedPageBreak/>
              <w:t>UTANG BANK JANGKA PENDEK</w:t>
            </w:r>
            <w:r>
              <w:rPr>
                <w:b/>
                <w:bCs w:val="0"/>
                <w:sz w:val="18"/>
                <w:szCs w:val="18"/>
              </w:rPr>
              <w:t xml:space="preserve"> - Lanjutan</w:t>
            </w:r>
          </w:p>
        </w:tc>
        <w:tc>
          <w:tcPr>
            <w:tcW w:w="2499" w:type="pct"/>
            <w:tcBorders>
              <w:top w:val="nil"/>
              <w:left w:val="nil"/>
              <w:bottom w:val="nil"/>
              <w:right w:val="nil"/>
            </w:tcBorders>
          </w:tcPr>
          <w:p w14:paraId="3D6299B0" w14:textId="7BC3F918" w:rsidR="00825BBB" w:rsidRPr="00825BBB" w:rsidRDefault="00825BBB" w:rsidP="00070D1F">
            <w:pPr>
              <w:numPr>
                <w:ilvl w:val="0"/>
                <w:numId w:val="319"/>
              </w:numPr>
              <w:ind w:left="249" w:hanging="268"/>
              <w:jc w:val="both"/>
              <w:rPr>
                <w:b/>
                <w:bCs w:val="0"/>
                <w:i/>
                <w:sz w:val="18"/>
                <w:szCs w:val="18"/>
              </w:rPr>
            </w:pPr>
            <w:r w:rsidRPr="00825BBB">
              <w:rPr>
                <w:b/>
                <w:bCs w:val="0"/>
                <w:i/>
                <w:sz w:val="18"/>
                <w:szCs w:val="18"/>
              </w:rPr>
              <w:t xml:space="preserve">SHORT-TERM BANK LOANS </w:t>
            </w:r>
            <w:r>
              <w:rPr>
                <w:b/>
                <w:bCs w:val="0"/>
                <w:i/>
                <w:sz w:val="18"/>
                <w:szCs w:val="18"/>
              </w:rPr>
              <w:t>- Continued</w:t>
            </w:r>
          </w:p>
        </w:tc>
      </w:tr>
      <w:tr w:rsidR="00825BBB" w:rsidRPr="0013526B" w14:paraId="31C210D5" w14:textId="77777777" w:rsidTr="00825BBB">
        <w:tc>
          <w:tcPr>
            <w:tcW w:w="2501" w:type="pct"/>
            <w:tcBorders>
              <w:top w:val="nil"/>
              <w:left w:val="nil"/>
              <w:bottom w:val="nil"/>
              <w:right w:val="nil"/>
            </w:tcBorders>
          </w:tcPr>
          <w:p w14:paraId="480471FF" w14:textId="77777777" w:rsidR="00825BBB" w:rsidRPr="00825BBB" w:rsidRDefault="00825BBB" w:rsidP="00825BBB">
            <w:pPr>
              <w:ind w:left="252"/>
              <w:jc w:val="both"/>
              <w:rPr>
                <w:sz w:val="18"/>
                <w:szCs w:val="18"/>
              </w:rPr>
            </w:pPr>
          </w:p>
        </w:tc>
        <w:tc>
          <w:tcPr>
            <w:tcW w:w="2499" w:type="pct"/>
            <w:tcBorders>
              <w:top w:val="nil"/>
              <w:left w:val="nil"/>
              <w:bottom w:val="nil"/>
              <w:right w:val="nil"/>
            </w:tcBorders>
          </w:tcPr>
          <w:p w14:paraId="6D961575" w14:textId="77777777" w:rsidR="00825BBB" w:rsidRPr="00825BBB" w:rsidRDefault="00825BBB" w:rsidP="00825BBB">
            <w:pPr>
              <w:ind w:left="252"/>
              <w:jc w:val="both"/>
              <w:rPr>
                <w:i/>
                <w:sz w:val="18"/>
                <w:szCs w:val="18"/>
              </w:rPr>
            </w:pPr>
          </w:p>
        </w:tc>
      </w:tr>
      <w:tr w:rsidR="00825BBB" w:rsidRPr="0013526B" w14:paraId="5995AB3B" w14:textId="77777777" w:rsidTr="002764F3">
        <w:tc>
          <w:tcPr>
            <w:tcW w:w="2501" w:type="pct"/>
            <w:tcBorders>
              <w:top w:val="nil"/>
              <w:left w:val="nil"/>
              <w:bottom w:val="nil"/>
              <w:right w:val="nil"/>
            </w:tcBorders>
          </w:tcPr>
          <w:p w14:paraId="23FFEDB2" w14:textId="405E994E" w:rsidR="00825BBB" w:rsidRPr="00F64627" w:rsidRDefault="00825BBB" w:rsidP="002764F3">
            <w:pPr>
              <w:pStyle w:val="ListParagraph"/>
              <w:ind w:left="284" w:right="-57"/>
              <w:jc w:val="both"/>
              <w:rPr>
                <w:sz w:val="18"/>
                <w:szCs w:val="18"/>
                <w:u w:val="single"/>
              </w:rPr>
            </w:pPr>
            <w:r w:rsidRPr="00F64627">
              <w:rPr>
                <w:sz w:val="18"/>
                <w:szCs w:val="18"/>
                <w:u w:val="single"/>
              </w:rPr>
              <w:t>NKM</w:t>
            </w:r>
            <w:r>
              <w:rPr>
                <w:sz w:val="18"/>
                <w:szCs w:val="18"/>
                <w:u w:val="single"/>
              </w:rPr>
              <w:t xml:space="preserve"> - Lanjutan</w:t>
            </w:r>
          </w:p>
        </w:tc>
        <w:tc>
          <w:tcPr>
            <w:tcW w:w="2499" w:type="pct"/>
            <w:tcBorders>
              <w:top w:val="nil"/>
              <w:left w:val="nil"/>
              <w:bottom w:val="nil"/>
              <w:right w:val="nil"/>
            </w:tcBorders>
          </w:tcPr>
          <w:p w14:paraId="2C4E7971" w14:textId="496C3736" w:rsidR="00825BBB" w:rsidRPr="00F64627" w:rsidRDefault="00825BBB" w:rsidP="002764F3">
            <w:pPr>
              <w:ind w:left="284" w:right="-57"/>
              <w:jc w:val="both"/>
              <w:rPr>
                <w:i/>
                <w:sz w:val="18"/>
                <w:szCs w:val="18"/>
                <w:u w:val="single"/>
              </w:rPr>
            </w:pPr>
            <w:r w:rsidRPr="00F64627">
              <w:rPr>
                <w:i/>
                <w:sz w:val="18"/>
                <w:szCs w:val="18"/>
                <w:u w:val="single"/>
              </w:rPr>
              <w:t>NKM</w:t>
            </w:r>
            <w:r>
              <w:rPr>
                <w:i/>
                <w:sz w:val="18"/>
                <w:szCs w:val="18"/>
                <w:u w:val="single"/>
              </w:rPr>
              <w:t xml:space="preserve"> - Continued</w:t>
            </w:r>
          </w:p>
        </w:tc>
      </w:tr>
      <w:tr w:rsidR="00825BBB" w:rsidRPr="0013526B" w14:paraId="5E9DF8A0" w14:textId="77777777" w:rsidTr="00825BBB">
        <w:tc>
          <w:tcPr>
            <w:tcW w:w="2501" w:type="pct"/>
            <w:tcBorders>
              <w:top w:val="nil"/>
              <w:left w:val="nil"/>
              <w:bottom w:val="nil"/>
              <w:right w:val="nil"/>
            </w:tcBorders>
          </w:tcPr>
          <w:p w14:paraId="6CC1DF32" w14:textId="77777777" w:rsidR="00825BBB" w:rsidRPr="00825BBB" w:rsidRDefault="00825BBB" w:rsidP="00825BBB">
            <w:pPr>
              <w:ind w:left="252"/>
              <w:jc w:val="both"/>
              <w:rPr>
                <w:sz w:val="18"/>
                <w:szCs w:val="18"/>
              </w:rPr>
            </w:pPr>
          </w:p>
        </w:tc>
        <w:tc>
          <w:tcPr>
            <w:tcW w:w="2499" w:type="pct"/>
            <w:tcBorders>
              <w:top w:val="nil"/>
              <w:left w:val="nil"/>
              <w:bottom w:val="nil"/>
              <w:right w:val="nil"/>
            </w:tcBorders>
          </w:tcPr>
          <w:p w14:paraId="649C6365" w14:textId="77777777" w:rsidR="00825BBB" w:rsidRPr="00825BBB" w:rsidRDefault="00825BBB" w:rsidP="00825BBB">
            <w:pPr>
              <w:ind w:left="252"/>
              <w:jc w:val="both"/>
              <w:rPr>
                <w:i/>
                <w:sz w:val="18"/>
                <w:szCs w:val="18"/>
              </w:rPr>
            </w:pPr>
          </w:p>
        </w:tc>
      </w:tr>
      <w:tr w:rsidR="00825BBB" w:rsidRPr="00D319E7" w14:paraId="21A7638A" w14:textId="77777777" w:rsidTr="002764F3">
        <w:tc>
          <w:tcPr>
            <w:tcW w:w="2501" w:type="pct"/>
            <w:tcBorders>
              <w:top w:val="nil"/>
              <w:left w:val="nil"/>
              <w:bottom w:val="nil"/>
              <w:right w:val="nil"/>
            </w:tcBorders>
          </w:tcPr>
          <w:p w14:paraId="6A422F3F" w14:textId="398014D9" w:rsidR="00825BBB" w:rsidRPr="00D319E7" w:rsidRDefault="00825BBB" w:rsidP="002764F3">
            <w:pPr>
              <w:pStyle w:val="ListParagraph"/>
              <w:ind w:left="284" w:right="-57"/>
              <w:jc w:val="both"/>
              <w:rPr>
                <w:sz w:val="18"/>
                <w:szCs w:val="18"/>
                <w:u w:val="single"/>
              </w:rPr>
            </w:pPr>
            <w:r w:rsidRPr="00D319E7">
              <w:rPr>
                <w:sz w:val="18"/>
                <w:szCs w:val="18"/>
                <w:u w:val="single"/>
              </w:rPr>
              <w:t>Agunan - Lanjutan</w:t>
            </w:r>
          </w:p>
        </w:tc>
        <w:tc>
          <w:tcPr>
            <w:tcW w:w="2499" w:type="pct"/>
            <w:tcBorders>
              <w:top w:val="nil"/>
              <w:left w:val="nil"/>
              <w:bottom w:val="nil"/>
              <w:right w:val="nil"/>
            </w:tcBorders>
          </w:tcPr>
          <w:p w14:paraId="081B7D6D" w14:textId="693202FD" w:rsidR="00825BBB" w:rsidRPr="00D319E7" w:rsidRDefault="00825BBB" w:rsidP="002764F3">
            <w:pPr>
              <w:ind w:left="284" w:right="-57"/>
              <w:jc w:val="both"/>
              <w:rPr>
                <w:i/>
                <w:sz w:val="18"/>
                <w:szCs w:val="18"/>
                <w:u w:val="single"/>
              </w:rPr>
            </w:pPr>
            <w:r w:rsidRPr="00D319E7">
              <w:rPr>
                <w:i/>
                <w:sz w:val="18"/>
                <w:szCs w:val="18"/>
                <w:u w:val="single"/>
              </w:rPr>
              <w:t>Collateral - Continued</w:t>
            </w:r>
          </w:p>
        </w:tc>
      </w:tr>
      <w:tr w:rsidR="00F64627" w:rsidRPr="00D319E7" w14:paraId="691491F2" w14:textId="77777777" w:rsidTr="007111D9">
        <w:tc>
          <w:tcPr>
            <w:tcW w:w="2501" w:type="pct"/>
            <w:tcBorders>
              <w:top w:val="nil"/>
              <w:left w:val="nil"/>
              <w:bottom w:val="nil"/>
              <w:right w:val="nil"/>
            </w:tcBorders>
          </w:tcPr>
          <w:p w14:paraId="6C983196" w14:textId="77777777" w:rsidR="00F64627" w:rsidRPr="00D319E7" w:rsidRDefault="00F64627" w:rsidP="00390722">
            <w:pPr>
              <w:pStyle w:val="ListParagraph"/>
              <w:ind w:left="644" w:right="-57"/>
              <w:jc w:val="both"/>
              <w:rPr>
                <w:sz w:val="18"/>
                <w:szCs w:val="18"/>
              </w:rPr>
            </w:pPr>
          </w:p>
        </w:tc>
        <w:tc>
          <w:tcPr>
            <w:tcW w:w="2499" w:type="pct"/>
            <w:tcBorders>
              <w:top w:val="nil"/>
              <w:left w:val="nil"/>
              <w:bottom w:val="nil"/>
              <w:right w:val="nil"/>
            </w:tcBorders>
          </w:tcPr>
          <w:p w14:paraId="25B342C0" w14:textId="77777777" w:rsidR="00F64627" w:rsidRPr="00D319E7" w:rsidRDefault="00F64627" w:rsidP="00390722">
            <w:pPr>
              <w:pStyle w:val="ListParagraph"/>
              <w:ind w:left="644" w:right="-57"/>
              <w:jc w:val="both"/>
              <w:rPr>
                <w:i/>
                <w:sz w:val="18"/>
                <w:szCs w:val="18"/>
              </w:rPr>
            </w:pPr>
          </w:p>
        </w:tc>
      </w:tr>
      <w:tr w:rsidR="00F64627" w:rsidRPr="00860395" w14:paraId="569F3EDE" w14:textId="77777777" w:rsidTr="007111D9">
        <w:tc>
          <w:tcPr>
            <w:tcW w:w="2501" w:type="pct"/>
            <w:tcBorders>
              <w:top w:val="nil"/>
              <w:left w:val="nil"/>
              <w:bottom w:val="nil"/>
              <w:right w:val="nil"/>
            </w:tcBorders>
          </w:tcPr>
          <w:p w14:paraId="552FD4B8" w14:textId="454CFBCA" w:rsidR="00F64627" w:rsidRPr="00860395" w:rsidRDefault="00390722" w:rsidP="00070D1F">
            <w:pPr>
              <w:pStyle w:val="ListParagraph"/>
              <w:numPr>
                <w:ilvl w:val="0"/>
                <w:numId w:val="252"/>
              </w:numPr>
              <w:ind w:right="-57"/>
              <w:jc w:val="both"/>
              <w:rPr>
                <w:sz w:val="18"/>
                <w:szCs w:val="18"/>
              </w:rPr>
            </w:pPr>
            <w:r w:rsidRPr="00860395">
              <w:rPr>
                <w:sz w:val="18"/>
                <w:szCs w:val="18"/>
              </w:rPr>
              <w:t xml:space="preserve">Peralatan medis milik Perusahaan dengan nilai sebesar </w:t>
            </w:r>
            <w:r w:rsidR="004A1988" w:rsidRPr="00860395">
              <w:rPr>
                <w:sz w:val="18"/>
                <w:szCs w:val="18"/>
              </w:rPr>
              <w:t>Rp 5</w:t>
            </w:r>
            <w:r w:rsidRPr="00860395">
              <w:rPr>
                <w:sz w:val="18"/>
                <w:szCs w:val="18"/>
              </w:rPr>
              <w:t>.000.000.000.</w:t>
            </w:r>
          </w:p>
        </w:tc>
        <w:tc>
          <w:tcPr>
            <w:tcW w:w="2499" w:type="pct"/>
            <w:tcBorders>
              <w:top w:val="nil"/>
              <w:left w:val="nil"/>
              <w:bottom w:val="nil"/>
              <w:right w:val="nil"/>
            </w:tcBorders>
          </w:tcPr>
          <w:p w14:paraId="27006E96" w14:textId="225066E9" w:rsidR="00F64627" w:rsidRPr="00860395" w:rsidRDefault="00390722" w:rsidP="00070D1F">
            <w:pPr>
              <w:pStyle w:val="ListParagraph"/>
              <w:numPr>
                <w:ilvl w:val="0"/>
                <w:numId w:val="253"/>
              </w:numPr>
              <w:ind w:right="-57"/>
              <w:jc w:val="both"/>
              <w:rPr>
                <w:i/>
                <w:sz w:val="18"/>
                <w:szCs w:val="18"/>
              </w:rPr>
            </w:pPr>
            <w:r w:rsidRPr="00860395">
              <w:rPr>
                <w:i/>
                <w:sz w:val="18"/>
                <w:szCs w:val="18"/>
              </w:rPr>
              <w:t>Company’s medical equipment amounting to</w:t>
            </w:r>
            <w:r w:rsidR="00904B52" w:rsidRPr="00860395">
              <w:rPr>
                <w:i/>
                <w:sz w:val="18"/>
                <w:szCs w:val="18"/>
              </w:rPr>
              <w:br/>
            </w:r>
            <w:r w:rsidR="004A1988" w:rsidRPr="00860395">
              <w:rPr>
                <w:i/>
                <w:sz w:val="18"/>
                <w:szCs w:val="18"/>
              </w:rPr>
              <w:t>Rp 5</w:t>
            </w:r>
            <w:r w:rsidR="001808CD">
              <w:rPr>
                <w:i/>
                <w:sz w:val="18"/>
                <w:szCs w:val="18"/>
              </w:rPr>
              <w:t>,</w:t>
            </w:r>
            <w:r w:rsidRPr="00860395">
              <w:rPr>
                <w:i/>
                <w:sz w:val="18"/>
                <w:szCs w:val="18"/>
              </w:rPr>
              <w:t>000</w:t>
            </w:r>
            <w:r w:rsidR="001808CD">
              <w:rPr>
                <w:i/>
                <w:sz w:val="18"/>
                <w:szCs w:val="18"/>
              </w:rPr>
              <w:t>,</w:t>
            </w:r>
            <w:r w:rsidRPr="00860395">
              <w:rPr>
                <w:i/>
                <w:sz w:val="18"/>
                <w:szCs w:val="18"/>
              </w:rPr>
              <w:t>000</w:t>
            </w:r>
            <w:r w:rsidR="001808CD">
              <w:rPr>
                <w:i/>
                <w:sz w:val="18"/>
                <w:szCs w:val="18"/>
              </w:rPr>
              <w:t>,</w:t>
            </w:r>
            <w:r w:rsidRPr="00860395">
              <w:rPr>
                <w:i/>
                <w:sz w:val="18"/>
                <w:szCs w:val="18"/>
              </w:rPr>
              <w:t>000.</w:t>
            </w:r>
          </w:p>
        </w:tc>
      </w:tr>
    </w:tbl>
    <w:p w14:paraId="089A2C95" w14:textId="77777777" w:rsidR="00390722" w:rsidRPr="00860395" w:rsidRDefault="00390722">
      <w:pPr>
        <w:rPr>
          <w:sz w:val="8"/>
        </w:rPr>
      </w:pPr>
    </w:p>
    <w:tbl>
      <w:tblPr>
        <w:tblW w:w="9197" w:type="dxa"/>
        <w:tblInd w:w="108" w:type="dxa"/>
        <w:tblLayout w:type="fixed"/>
        <w:tblLook w:val="0000" w:firstRow="0" w:lastRow="0" w:firstColumn="0" w:lastColumn="0" w:noHBand="0" w:noVBand="0"/>
      </w:tblPr>
      <w:tblGrid>
        <w:gridCol w:w="4598"/>
        <w:gridCol w:w="4599"/>
      </w:tblGrid>
      <w:tr w:rsidR="00390722" w:rsidRPr="00860395" w14:paraId="00010892" w14:textId="77777777" w:rsidTr="00904B52">
        <w:tc>
          <w:tcPr>
            <w:tcW w:w="4598" w:type="dxa"/>
            <w:tcBorders>
              <w:top w:val="nil"/>
              <w:left w:val="nil"/>
              <w:bottom w:val="nil"/>
              <w:right w:val="nil"/>
            </w:tcBorders>
          </w:tcPr>
          <w:p w14:paraId="1D960F41" w14:textId="17BD78D0" w:rsidR="00390722" w:rsidRPr="00860395" w:rsidRDefault="00390722" w:rsidP="00070D1F">
            <w:pPr>
              <w:pStyle w:val="ListParagraph"/>
              <w:numPr>
                <w:ilvl w:val="0"/>
                <w:numId w:val="252"/>
              </w:numPr>
              <w:ind w:right="-57"/>
              <w:jc w:val="both"/>
              <w:rPr>
                <w:sz w:val="17"/>
              </w:rPr>
            </w:pPr>
            <w:r w:rsidRPr="00860395">
              <w:rPr>
                <w:sz w:val="17"/>
              </w:rPr>
              <w:t>Peralatan medis milik NKM dengan nilai sebesar</w:t>
            </w:r>
            <w:r w:rsidRPr="00860395">
              <w:rPr>
                <w:spacing w:val="1"/>
                <w:sz w:val="17"/>
              </w:rPr>
              <w:t xml:space="preserve"> </w:t>
            </w:r>
            <w:r w:rsidR="001808CD">
              <w:rPr>
                <w:spacing w:val="1"/>
                <w:sz w:val="17"/>
              </w:rPr>
              <w:t xml:space="preserve">          </w:t>
            </w:r>
            <w:r w:rsidR="004A1988" w:rsidRPr="00860395">
              <w:rPr>
                <w:sz w:val="17"/>
              </w:rPr>
              <w:t>Rp 1</w:t>
            </w:r>
            <w:r w:rsidRPr="00860395">
              <w:rPr>
                <w:sz w:val="17"/>
              </w:rPr>
              <w:t>57.600.000.000.</w:t>
            </w:r>
          </w:p>
        </w:tc>
        <w:tc>
          <w:tcPr>
            <w:tcW w:w="4598" w:type="dxa"/>
            <w:tcBorders>
              <w:top w:val="nil"/>
              <w:left w:val="nil"/>
              <w:bottom w:val="nil"/>
              <w:right w:val="nil"/>
            </w:tcBorders>
          </w:tcPr>
          <w:p w14:paraId="20D3FF97" w14:textId="039469AD" w:rsidR="00390722" w:rsidRPr="00860395" w:rsidRDefault="00390722" w:rsidP="00070D1F">
            <w:pPr>
              <w:pStyle w:val="ListParagraph"/>
              <w:numPr>
                <w:ilvl w:val="0"/>
                <w:numId w:val="253"/>
              </w:numPr>
              <w:ind w:right="-57"/>
              <w:jc w:val="both"/>
              <w:rPr>
                <w:i/>
                <w:sz w:val="18"/>
                <w:szCs w:val="18"/>
              </w:rPr>
            </w:pPr>
            <w:r w:rsidRPr="00860395">
              <w:rPr>
                <w:i/>
                <w:sz w:val="18"/>
                <w:szCs w:val="18"/>
              </w:rPr>
              <w:t xml:space="preserve">NKM’s medical equipment amounting to </w:t>
            </w:r>
            <w:r w:rsidR="00904B52" w:rsidRPr="00860395">
              <w:rPr>
                <w:i/>
                <w:sz w:val="18"/>
                <w:szCs w:val="18"/>
              </w:rPr>
              <w:br/>
            </w:r>
            <w:r w:rsidR="004A1988" w:rsidRPr="00860395">
              <w:rPr>
                <w:i/>
                <w:sz w:val="18"/>
                <w:szCs w:val="18"/>
              </w:rPr>
              <w:t>Rp 1</w:t>
            </w:r>
            <w:r w:rsidRPr="00860395">
              <w:rPr>
                <w:i/>
                <w:sz w:val="18"/>
                <w:szCs w:val="18"/>
              </w:rPr>
              <w:t>57</w:t>
            </w:r>
            <w:r w:rsidR="001808CD">
              <w:rPr>
                <w:i/>
                <w:sz w:val="18"/>
                <w:szCs w:val="18"/>
              </w:rPr>
              <w:t>,</w:t>
            </w:r>
            <w:r w:rsidRPr="00860395">
              <w:rPr>
                <w:i/>
                <w:sz w:val="18"/>
                <w:szCs w:val="18"/>
              </w:rPr>
              <w:t>600</w:t>
            </w:r>
            <w:r w:rsidR="001808CD">
              <w:rPr>
                <w:i/>
                <w:sz w:val="18"/>
                <w:szCs w:val="18"/>
              </w:rPr>
              <w:t>,</w:t>
            </w:r>
            <w:r w:rsidRPr="00860395">
              <w:rPr>
                <w:i/>
                <w:sz w:val="18"/>
                <w:szCs w:val="18"/>
              </w:rPr>
              <w:t>000</w:t>
            </w:r>
            <w:r w:rsidR="001808CD">
              <w:rPr>
                <w:i/>
                <w:sz w:val="18"/>
                <w:szCs w:val="18"/>
              </w:rPr>
              <w:t>,</w:t>
            </w:r>
            <w:r w:rsidRPr="00860395">
              <w:rPr>
                <w:i/>
                <w:sz w:val="18"/>
                <w:szCs w:val="18"/>
              </w:rPr>
              <w:t>000.</w:t>
            </w:r>
          </w:p>
        </w:tc>
      </w:tr>
      <w:tr w:rsidR="00390722" w:rsidRPr="00860395" w14:paraId="3DD85270" w14:textId="77777777" w:rsidTr="00904B52">
        <w:tc>
          <w:tcPr>
            <w:tcW w:w="4598" w:type="dxa"/>
            <w:tcBorders>
              <w:top w:val="nil"/>
              <w:left w:val="nil"/>
              <w:bottom w:val="nil"/>
              <w:right w:val="nil"/>
            </w:tcBorders>
          </w:tcPr>
          <w:p w14:paraId="2B41C88D" w14:textId="77777777" w:rsidR="00390722" w:rsidRPr="00860395" w:rsidRDefault="00390722" w:rsidP="00134C31">
            <w:pPr>
              <w:pStyle w:val="ListParagraph"/>
              <w:ind w:left="644" w:right="-57"/>
              <w:jc w:val="both"/>
              <w:rPr>
                <w:sz w:val="17"/>
              </w:rPr>
            </w:pPr>
          </w:p>
        </w:tc>
        <w:tc>
          <w:tcPr>
            <w:tcW w:w="4598" w:type="dxa"/>
            <w:tcBorders>
              <w:top w:val="nil"/>
              <w:left w:val="nil"/>
              <w:bottom w:val="nil"/>
              <w:right w:val="nil"/>
            </w:tcBorders>
          </w:tcPr>
          <w:p w14:paraId="15B78E3C" w14:textId="77777777" w:rsidR="00390722" w:rsidRPr="00860395" w:rsidRDefault="00390722" w:rsidP="00134C31">
            <w:pPr>
              <w:pStyle w:val="ListParagraph"/>
              <w:ind w:left="644" w:right="-57"/>
              <w:jc w:val="both"/>
              <w:rPr>
                <w:i/>
                <w:sz w:val="18"/>
                <w:szCs w:val="18"/>
              </w:rPr>
            </w:pPr>
          </w:p>
        </w:tc>
      </w:tr>
      <w:tr w:rsidR="00390722" w:rsidRPr="00860395" w14:paraId="7531FE2D" w14:textId="77777777" w:rsidTr="00904B52">
        <w:tc>
          <w:tcPr>
            <w:tcW w:w="4598" w:type="dxa"/>
            <w:tcBorders>
              <w:top w:val="nil"/>
              <w:left w:val="nil"/>
              <w:bottom w:val="nil"/>
              <w:right w:val="nil"/>
            </w:tcBorders>
          </w:tcPr>
          <w:p w14:paraId="2EDF66D5" w14:textId="299D75B5" w:rsidR="00390722" w:rsidRPr="00860395" w:rsidRDefault="00390722" w:rsidP="00070D1F">
            <w:pPr>
              <w:pStyle w:val="ListParagraph"/>
              <w:numPr>
                <w:ilvl w:val="0"/>
                <w:numId w:val="252"/>
              </w:numPr>
              <w:ind w:right="-57"/>
              <w:jc w:val="both"/>
              <w:rPr>
                <w:sz w:val="17"/>
              </w:rPr>
            </w:pPr>
            <w:r w:rsidRPr="00860395">
              <w:rPr>
                <w:sz w:val="17"/>
              </w:rPr>
              <w:t>Surat Pernyataan “</w:t>
            </w:r>
            <w:r w:rsidRPr="00860395">
              <w:rPr>
                <w:i/>
                <w:iCs/>
                <w:sz w:val="17"/>
              </w:rPr>
              <w:t>Letter of Undertaking</w:t>
            </w:r>
            <w:r w:rsidRPr="00860395">
              <w:rPr>
                <w:sz w:val="17"/>
              </w:rPr>
              <w:t>” yang diberikan oleh PT Surya Cipta Inti Cemerlang</w:t>
            </w:r>
            <w:r w:rsidR="001808CD">
              <w:rPr>
                <w:sz w:val="17"/>
              </w:rPr>
              <w:t>,</w:t>
            </w:r>
            <w:r w:rsidRPr="00860395">
              <w:rPr>
                <w:sz w:val="17"/>
              </w:rPr>
              <w:t xml:space="preserve"> Perusahaan</w:t>
            </w:r>
            <w:r w:rsidR="001808CD">
              <w:rPr>
                <w:sz w:val="17"/>
              </w:rPr>
              <w:t>,</w:t>
            </w:r>
            <w:r w:rsidRPr="00860395">
              <w:rPr>
                <w:sz w:val="17"/>
              </w:rPr>
              <w:t xml:space="preserve"> pemegang saham dan Tuan Dato Sri Doktor Tahir</w:t>
            </w:r>
            <w:r w:rsidR="001808CD">
              <w:rPr>
                <w:sz w:val="17"/>
              </w:rPr>
              <w:t>,</w:t>
            </w:r>
            <w:r w:rsidRPr="00860395">
              <w:rPr>
                <w:sz w:val="17"/>
              </w:rPr>
              <w:t xml:space="preserve"> MBA yang bersedia untuk melakukan </w:t>
            </w:r>
            <w:r w:rsidRPr="00860395">
              <w:rPr>
                <w:i/>
                <w:iCs/>
                <w:sz w:val="17"/>
              </w:rPr>
              <w:t>top up</w:t>
            </w:r>
            <w:r w:rsidRPr="00860395">
              <w:rPr>
                <w:sz w:val="17"/>
              </w:rPr>
              <w:t xml:space="preserve"> </w:t>
            </w:r>
            <w:proofErr w:type="gramStart"/>
            <w:r w:rsidRPr="00860395">
              <w:rPr>
                <w:sz w:val="17"/>
              </w:rPr>
              <w:t>dana</w:t>
            </w:r>
            <w:proofErr w:type="gramEnd"/>
            <w:r w:rsidRPr="00860395">
              <w:rPr>
                <w:sz w:val="17"/>
              </w:rPr>
              <w:t xml:space="preserve"> apabila terjadi </w:t>
            </w:r>
            <w:r w:rsidRPr="00860395">
              <w:rPr>
                <w:i/>
                <w:iCs/>
                <w:sz w:val="17"/>
              </w:rPr>
              <w:t>shortage cashflows</w:t>
            </w:r>
            <w:r w:rsidRPr="00860395">
              <w:rPr>
                <w:sz w:val="17"/>
              </w:rPr>
              <w:t>.</w:t>
            </w:r>
          </w:p>
        </w:tc>
        <w:tc>
          <w:tcPr>
            <w:tcW w:w="4598" w:type="dxa"/>
            <w:tcBorders>
              <w:top w:val="nil"/>
              <w:left w:val="nil"/>
              <w:bottom w:val="nil"/>
              <w:right w:val="nil"/>
            </w:tcBorders>
          </w:tcPr>
          <w:p w14:paraId="4B78D28B" w14:textId="2958BD20" w:rsidR="00390722" w:rsidRPr="00860395" w:rsidRDefault="00134C31" w:rsidP="00070D1F">
            <w:pPr>
              <w:pStyle w:val="ListParagraph"/>
              <w:numPr>
                <w:ilvl w:val="0"/>
                <w:numId w:val="253"/>
              </w:numPr>
              <w:ind w:right="-57"/>
              <w:jc w:val="both"/>
              <w:rPr>
                <w:i/>
                <w:sz w:val="18"/>
                <w:szCs w:val="18"/>
              </w:rPr>
            </w:pPr>
            <w:r w:rsidRPr="00860395">
              <w:rPr>
                <w:i/>
                <w:sz w:val="18"/>
                <w:szCs w:val="18"/>
              </w:rPr>
              <w:t xml:space="preserve">Letter of </w:t>
            </w:r>
            <w:proofErr w:type="gramStart"/>
            <w:r w:rsidRPr="00860395">
              <w:rPr>
                <w:i/>
                <w:sz w:val="18"/>
                <w:szCs w:val="18"/>
              </w:rPr>
              <w:t>Undertaking</w:t>
            </w:r>
            <w:proofErr w:type="gramEnd"/>
            <w:r w:rsidRPr="00860395">
              <w:rPr>
                <w:i/>
                <w:sz w:val="18"/>
                <w:szCs w:val="18"/>
              </w:rPr>
              <w:t xml:space="preserve"> which given by PT Surya Cipta Inti Cemerlang</w:t>
            </w:r>
            <w:r w:rsidR="001808CD">
              <w:rPr>
                <w:i/>
                <w:sz w:val="18"/>
                <w:szCs w:val="18"/>
              </w:rPr>
              <w:t>,</w:t>
            </w:r>
            <w:r w:rsidRPr="00860395">
              <w:rPr>
                <w:i/>
                <w:sz w:val="18"/>
                <w:szCs w:val="18"/>
              </w:rPr>
              <w:t xml:space="preserve"> the Company</w:t>
            </w:r>
            <w:r w:rsidR="001808CD">
              <w:rPr>
                <w:i/>
                <w:sz w:val="18"/>
                <w:szCs w:val="18"/>
              </w:rPr>
              <w:t>,</w:t>
            </w:r>
            <w:r w:rsidRPr="00860395">
              <w:rPr>
                <w:i/>
                <w:sz w:val="18"/>
                <w:szCs w:val="18"/>
              </w:rPr>
              <w:t xml:space="preserve"> shareholders and Mr. Dato Sri Doktor Tahir</w:t>
            </w:r>
            <w:r w:rsidR="001808CD">
              <w:rPr>
                <w:i/>
                <w:sz w:val="18"/>
                <w:szCs w:val="18"/>
              </w:rPr>
              <w:t>,</w:t>
            </w:r>
            <w:r w:rsidRPr="00860395">
              <w:rPr>
                <w:i/>
                <w:sz w:val="18"/>
                <w:szCs w:val="18"/>
              </w:rPr>
              <w:t xml:space="preserve"> MBA whose willing to do fund top up when the shortage of cash flows occurred.</w:t>
            </w:r>
          </w:p>
        </w:tc>
      </w:tr>
      <w:tr w:rsidR="00390722" w:rsidRPr="00860395" w14:paraId="624CB518" w14:textId="77777777" w:rsidTr="00904B52">
        <w:tc>
          <w:tcPr>
            <w:tcW w:w="4598" w:type="dxa"/>
            <w:tcBorders>
              <w:top w:val="nil"/>
              <w:left w:val="nil"/>
              <w:bottom w:val="nil"/>
              <w:right w:val="nil"/>
            </w:tcBorders>
          </w:tcPr>
          <w:p w14:paraId="19F102D4" w14:textId="77777777" w:rsidR="00390722" w:rsidRPr="00860395" w:rsidRDefault="00390722" w:rsidP="0013526B">
            <w:pPr>
              <w:pStyle w:val="ListParagraph"/>
              <w:ind w:left="284" w:right="-57"/>
              <w:jc w:val="both"/>
              <w:rPr>
                <w:sz w:val="18"/>
                <w:szCs w:val="18"/>
              </w:rPr>
            </w:pPr>
          </w:p>
        </w:tc>
        <w:tc>
          <w:tcPr>
            <w:tcW w:w="4598" w:type="dxa"/>
            <w:tcBorders>
              <w:top w:val="nil"/>
              <w:left w:val="nil"/>
              <w:bottom w:val="nil"/>
              <w:right w:val="nil"/>
            </w:tcBorders>
          </w:tcPr>
          <w:p w14:paraId="4E0649DE" w14:textId="77777777" w:rsidR="00390722" w:rsidRPr="00860395" w:rsidRDefault="00390722" w:rsidP="0013526B">
            <w:pPr>
              <w:ind w:left="284" w:right="-57"/>
              <w:jc w:val="both"/>
              <w:rPr>
                <w:i/>
                <w:sz w:val="18"/>
                <w:szCs w:val="18"/>
              </w:rPr>
            </w:pPr>
          </w:p>
        </w:tc>
      </w:tr>
      <w:tr w:rsidR="00390722" w:rsidRPr="00D319E7" w14:paraId="447AB4B1" w14:textId="77777777" w:rsidTr="00904B52">
        <w:tc>
          <w:tcPr>
            <w:tcW w:w="4598" w:type="dxa"/>
            <w:tcBorders>
              <w:top w:val="nil"/>
              <w:left w:val="nil"/>
              <w:bottom w:val="nil"/>
              <w:right w:val="nil"/>
            </w:tcBorders>
          </w:tcPr>
          <w:p w14:paraId="33CC45B1" w14:textId="62E34E79" w:rsidR="00390722" w:rsidRPr="00860395" w:rsidRDefault="00134C31" w:rsidP="00070D1F">
            <w:pPr>
              <w:pStyle w:val="ListParagraph"/>
              <w:numPr>
                <w:ilvl w:val="0"/>
                <w:numId w:val="252"/>
              </w:numPr>
              <w:ind w:right="-57"/>
              <w:jc w:val="both"/>
              <w:rPr>
                <w:sz w:val="18"/>
                <w:szCs w:val="18"/>
              </w:rPr>
            </w:pPr>
            <w:r w:rsidRPr="00860395">
              <w:rPr>
                <w:sz w:val="17"/>
              </w:rPr>
              <w:t>Surat Pernyataan “</w:t>
            </w:r>
            <w:r w:rsidRPr="00860395">
              <w:rPr>
                <w:i/>
                <w:iCs/>
                <w:sz w:val="17"/>
              </w:rPr>
              <w:t>Letter of Undertaking</w:t>
            </w:r>
            <w:r w:rsidRPr="00860395">
              <w:rPr>
                <w:sz w:val="17"/>
              </w:rPr>
              <w:t>” yang diberikan Tuan Dato Sri Doktor Tahir</w:t>
            </w:r>
            <w:r w:rsidR="001808CD">
              <w:rPr>
                <w:sz w:val="17"/>
              </w:rPr>
              <w:t>,</w:t>
            </w:r>
            <w:r w:rsidRPr="00860395">
              <w:rPr>
                <w:sz w:val="17"/>
              </w:rPr>
              <w:t xml:space="preserve"> MBA yang bersedia untuk menanggung kekurangan biaya</w:t>
            </w:r>
            <w:r w:rsidR="00C34FB1" w:rsidRPr="00860395">
              <w:rPr>
                <w:sz w:val="17"/>
              </w:rPr>
              <w:t xml:space="preserve"> dan melakukan </w:t>
            </w:r>
            <w:r w:rsidR="00C34FB1" w:rsidRPr="00860395">
              <w:rPr>
                <w:i/>
                <w:sz w:val="17"/>
              </w:rPr>
              <w:t>top up</w:t>
            </w:r>
            <w:r w:rsidR="00C34FB1" w:rsidRPr="00860395">
              <w:rPr>
                <w:sz w:val="17"/>
              </w:rPr>
              <w:t xml:space="preserve"> dana</w:t>
            </w:r>
            <w:r w:rsidRPr="00860395">
              <w:rPr>
                <w:sz w:val="17"/>
              </w:rPr>
              <w:t xml:space="preserve"> </w:t>
            </w:r>
            <w:r w:rsidR="00C34FB1" w:rsidRPr="00860395">
              <w:rPr>
                <w:sz w:val="17"/>
              </w:rPr>
              <w:t xml:space="preserve">atas terjadinya </w:t>
            </w:r>
            <w:r w:rsidR="00C34FB1" w:rsidRPr="00860395">
              <w:rPr>
                <w:i/>
                <w:sz w:val="17"/>
              </w:rPr>
              <w:t>cashflow shortage</w:t>
            </w:r>
          </w:p>
        </w:tc>
        <w:tc>
          <w:tcPr>
            <w:tcW w:w="4598" w:type="dxa"/>
            <w:tcBorders>
              <w:top w:val="nil"/>
              <w:left w:val="nil"/>
              <w:bottom w:val="nil"/>
              <w:right w:val="nil"/>
            </w:tcBorders>
          </w:tcPr>
          <w:p w14:paraId="3E9A6753" w14:textId="549E42CE" w:rsidR="00390722" w:rsidRPr="00860395" w:rsidRDefault="00134C31" w:rsidP="00070D1F">
            <w:pPr>
              <w:pStyle w:val="ListParagraph"/>
              <w:numPr>
                <w:ilvl w:val="0"/>
                <w:numId w:val="253"/>
              </w:numPr>
              <w:ind w:right="-57"/>
              <w:jc w:val="both"/>
              <w:rPr>
                <w:i/>
                <w:sz w:val="18"/>
                <w:szCs w:val="18"/>
              </w:rPr>
            </w:pPr>
            <w:r w:rsidRPr="00860395">
              <w:rPr>
                <w:i/>
                <w:sz w:val="18"/>
                <w:szCs w:val="18"/>
              </w:rPr>
              <w:t xml:space="preserve">Letter  of  Undertaking   which   is   given   by </w:t>
            </w:r>
            <w:r w:rsidR="00904B52" w:rsidRPr="00860395">
              <w:rPr>
                <w:i/>
                <w:sz w:val="18"/>
                <w:szCs w:val="18"/>
              </w:rPr>
              <w:br/>
            </w:r>
            <w:r w:rsidRPr="00860395">
              <w:rPr>
                <w:i/>
                <w:sz w:val="18"/>
                <w:szCs w:val="18"/>
              </w:rPr>
              <w:t>Mr. Dato Sri Doktor Tahir</w:t>
            </w:r>
            <w:r w:rsidR="001808CD">
              <w:rPr>
                <w:i/>
                <w:sz w:val="18"/>
                <w:szCs w:val="18"/>
              </w:rPr>
              <w:t>,</w:t>
            </w:r>
            <w:r w:rsidRPr="00860395">
              <w:rPr>
                <w:i/>
                <w:sz w:val="18"/>
                <w:szCs w:val="18"/>
              </w:rPr>
              <w:t xml:space="preserve"> MBA whose willing to bear the cost </w:t>
            </w:r>
            <w:r w:rsidR="00185F68" w:rsidRPr="00860395">
              <w:rPr>
                <w:i/>
                <w:sz w:val="18"/>
                <w:szCs w:val="18"/>
              </w:rPr>
              <w:t>and top up funds for cashflow shortage</w:t>
            </w:r>
          </w:p>
        </w:tc>
      </w:tr>
      <w:tr w:rsidR="00134C31" w:rsidRPr="009F2C44" w14:paraId="4884C82A" w14:textId="77777777" w:rsidTr="00904B52">
        <w:tc>
          <w:tcPr>
            <w:tcW w:w="4598" w:type="dxa"/>
            <w:tcBorders>
              <w:top w:val="nil"/>
              <w:left w:val="nil"/>
              <w:bottom w:val="nil"/>
              <w:right w:val="nil"/>
            </w:tcBorders>
          </w:tcPr>
          <w:p w14:paraId="124DCC57" w14:textId="77777777" w:rsidR="00134C31" w:rsidRPr="009F2C44" w:rsidRDefault="00134C31" w:rsidP="0013526B">
            <w:pPr>
              <w:pStyle w:val="ListParagraph"/>
              <w:ind w:left="284" w:right="-57"/>
              <w:jc w:val="both"/>
              <w:rPr>
                <w:sz w:val="10"/>
                <w:szCs w:val="10"/>
              </w:rPr>
            </w:pPr>
          </w:p>
        </w:tc>
        <w:tc>
          <w:tcPr>
            <w:tcW w:w="4598" w:type="dxa"/>
            <w:tcBorders>
              <w:top w:val="nil"/>
              <w:left w:val="nil"/>
              <w:bottom w:val="nil"/>
              <w:right w:val="nil"/>
            </w:tcBorders>
          </w:tcPr>
          <w:p w14:paraId="4DA4DB7A" w14:textId="77777777" w:rsidR="00134C31" w:rsidRPr="009F2C44" w:rsidRDefault="00134C31" w:rsidP="0013526B">
            <w:pPr>
              <w:ind w:left="284" w:right="-57"/>
              <w:jc w:val="both"/>
              <w:rPr>
                <w:i/>
                <w:sz w:val="10"/>
                <w:szCs w:val="10"/>
              </w:rPr>
            </w:pPr>
          </w:p>
        </w:tc>
      </w:tr>
      <w:tr w:rsidR="00134C31" w:rsidRPr="00D319E7" w14:paraId="507BE7A6" w14:textId="77777777" w:rsidTr="00904B52">
        <w:tc>
          <w:tcPr>
            <w:tcW w:w="4598" w:type="dxa"/>
            <w:tcBorders>
              <w:top w:val="nil"/>
              <w:left w:val="nil"/>
              <w:bottom w:val="nil"/>
              <w:right w:val="nil"/>
            </w:tcBorders>
          </w:tcPr>
          <w:p w14:paraId="28FFBBDD" w14:textId="4FFFD937" w:rsidR="00134C31" w:rsidRPr="00D319E7" w:rsidRDefault="00134C31" w:rsidP="0013526B">
            <w:pPr>
              <w:pStyle w:val="ListParagraph"/>
              <w:ind w:left="284" w:right="-57"/>
              <w:jc w:val="both"/>
              <w:rPr>
                <w:sz w:val="18"/>
                <w:szCs w:val="18"/>
                <w:u w:val="single"/>
              </w:rPr>
            </w:pPr>
            <w:r w:rsidRPr="00D319E7">
              <w:rPr>
                <w:sz w:val="18"/>
                <w:szCs w:val="18"/>
                <w:u w:val="single"/>
              </w:rPr>
              <w:t>Pembatasan-pembatasan</w:t>
            </w:r>
          </w:p>
        </w:tc>
        <w:tc>
          <w:tcPr>
            <w:tcW w:w="4598" w:type="dxa"/>
            <w:tcBorders>
              <w:top w:val="nil"/>
              <w:left w:val="nil"/>
              <w:bottom w:val="nil"/>
              <w:right w:val="nil"/>
            </w:tcBorders>
          </w:tcPr>
          <w:p w14:paraId="75D6E77F" w14:textId="2F9AABD7" w:rsidR="00134C31" w:rsidRPr="00D319E7" w:rsidRDefault="00134C31" w:rsidP="0013526B">
            <w:pPr>
              <w:ind w:left="284" w:right="-57"/>
              <w:jc w:val="both"/>
              <w:rPr>
                <w:i/>
                <w:sz w:val="18"/>
                <w:szCs w:val="18"/>
                <w:u w:val="single"/>
              </w:rPr>
            </w:pPr>
            <w:r w:rsidRPr="00D319E7">
              <w:rPr>
                <w:i/>
                <w:sz w:val="18"/>
                <w:szCs w:val="18"/>
                <w:u w:val="single"/>
              </w:rPr>
              <w:t>Convenants</w:t>
            </w:r>
          </w:p>
        </w:tc>
      </w:tr>
      <w:tr w:rsidR="00134C31" w:rsidRPr="009F2C44" w14:paraId="6652B5E1" w14:textId="77777777" w:rsidTr="00904B52">
        <w:tc>
          <w:tcPr>
            <w:tcW w:w="4598" w:type="dxa"/>
            <w:tcBorders>
              <w:top w:val="nil"/>
              <w:left w:val="nil"/>
              <w:bottom w:val="nil"/>
              <w:right w:val="nil"/>
            </w:tcBorders>
          </w:tcPr>
          <w:p w14:paraId="05CEE661" w14:textId="77777777" w:rsidR="00134C31" w:rsidRPr="009F2C44" w:rsidRDefault="00134C31" w:rsidP="0013526B">
            <w:pPr>
              <w:pStyle w:val="ListParagraph"/>
              <w:ind w:left="284" w:right="-57"/>
              <w:jc w:val="both"/>
              <w:rPr>
                <w:sz w:val="10"/>
                <w:szCs w:val="10"/>
              </w:rPr>
            </w:pPr>
          </w:p>
        </w:tc>
        <w:tc>
          <w:tcPr>
            <w:tcW w:w="4598" w:type="dxa"/>
            <w:tcBorders>
              <w:top w:val="nil"/>
              <w:left w:val="nil"/>
              <w:bottom w:val="nil"/>
              <w:right w:val="nil"/>
            </w:tcBorders>
          </w:tcPr>
          <w:p w14:paraId="6D68BE20" w14:textId="77777777" w:rsidR="00134C31" w:rsidRPr="009F2C44" w:rsidRDefault="00134C31" w:rsidP="0013526B">
            <w:pPr>
              <w:ind w:left="284" w:right="-57"/>
              <w:jc w:val="both"/>
              <w:rPr>
                <w:i/>
                <w:sz w:val="10"/>
                <w:szCs w:val="10"/>
              </w:rPr>
            </w:pPr>
          </w:p>
        </w:tc>
      </w:tr>
      <w:tr w:rsidR="00134C31" w:rsidRPr="00D319E7" w14:paraId="1D44191D" w14:textId="77777777" w:rsidTr="00904B52">
        <w:tc>
          <w:tcPr>
            <w:tcW w:w="4598" w:type="dxa"/>
            <w:tcBorders>
              <w:top w:val="nil"/>
              <w:left w:val="nil"/>
              <w:bottom w:val="nil"/>
              <w:right w:val="nil"/>
            </w:tcBorders>
          </w:tcPr>
          <w:p w14:paraId="0E1853EE" w14:textId="7DF8454B" w:rsidR="00134C31" w:rsidRPr="00D319E7" w:rsidRDefault="00134C31" w:rsidP="00EF69AD">
            <w:pPr>
              <w:pStyle w:val="ListParagraph"/>
              <w:ind w:left="284" w:right="-57"/>
              <w:jc w:val="both"/>
              <w:rPr>
                <w:sz w:val="18"/>
                <w:szCs w:val="18"/>
              </w:rPr>
            </w:pPr>
            <w:r w:rsidRPr="00D319E7">
              <w:rPr>
                <w:sz w:val="18"/>
                <w:szCs w:val="18"/>
                <w:lang w:val="id-ID"/>
              </w:rPr>
              <w:t>Sesuai dengan beberapa perjanjian pinjaman</w:t>
            </w:r>
            <w:r w:rsidR="001808CD">
              <w:rPr>
                <w:sz w:val="18"/>
                <w:szCs w:val="18"/>
              </w:rPr>
              <w:t>,</w:t>
            </w:r>
            <w:r w:rsidRPr="00D319E7">
              <w:rPr>
                <w:sz w:val="18"/>
                <w:szCs w:val="18"/>
                <w:lang w:val="id-ID"/>
              </w:rPr>
              <w:t xml:space="preserve"> Perusahaan dan Entitas Anak diwajibkan memenuhi pembatasan-pembatasan tertentu</w:t>
            </w:r>
            <w:r w:rsidR="00EF69AD">
              <w:rPr>
                <w:sz w:val="18"/>
                <w:szCs w:val="18"/>
              </w:rPr>
              <w:t>,</w:t>
            </w:r>
            <w:r w:rsidRPr="00D319E7">
              <w:rPr>
                <w:sz w:val="18"/>
                <w:szCs w:val="18"/>
                <w:lang w:val="id-ID"/>
              </w:rPr>
              <w:t xml:space="preserve"> seperti :</w:t>
            </w:r>
          </w:p>
        </w:tc>
        <w:tc>
          <w:tcPr>
            <w:tcW w:w="4598" w:type="dxa"/>
            <w:tcBorders>
              <w:top w:val="nil"/>
              <w:left w:val="nil"/>
              <w:bottom w:val="nil"/>
              <w:right w:val="nil"/>
            </w:tcBorders>
          </w:tcPr>
          <w:p w14:paraId="5658871C" w14:textId="33887AF2" w:rsidR="00134C31" w:rsidRPr="00D319E7" w:rsidRDefault="00134C31" w:rsidP="00EF69AD">
            <w:pPr>
              <w:ind w:left="284" w:right="-57"/>
              <w:jc w:val="both"/>
              <w:rPr>
                <w:i/>
                <w:sz w:val="18"/>
                <w:szCs w:val="18"/>
              </w:rPr>
            </w:pPr>
            <w:r w:rsidRPr="00D319E7">
              <w:rPr>
                <w:i/>
                <w:sz w:val="18"/>
                <w:szCs w:val="18"/>
                <w:lang w:val="id-ID"/>
              </w:rPr>
              <w:t>As specified by the loan agreements</w:t>
            </w:r>
            <w:r w:rsidR="001808CD">
              <w:rPr>
                <w:i/>
                <w:sz w:val="18"/>
                <w:szCs w:val="18"/>
              </w:rPr>
              <w:t>,</w:t>
            </w:r>
            <w:r w:rsidRPr="00D319E7">
              <w:rPr>
                <w:i/>
                <w:sz w:val="18"/>
                <w:szCs w:val="18"/>
                <w:lang w:val="id-ID"/>
              </w:rPr>
              <w:t xml:space="preserve"> the Company and Subsidiaries are required to comply with certain covenants</w:t>
            </w:r>
            <w:r w:rsidR="00EF69AD">
              <w:rPr>
                <w:i/>
                <w:sz w:val="18"/>
                <w:szCs w:val="18"/>
              </w:rPr>
              <w:t>,</w:t>
            </w:r>
            <w:r w:rsidRPr="00D319E7">
              <w:rPr>
                <w:i/>
                <w:sz w:val="18"/>
                <w:szCs w:val="18"/>
                <w:lang w:val="id-ID"/>
              </w:rPr>
              <w:t xml:space="preserve"> such as:</w:t>
            </w:r>
          </w:p>
        </w:tc>
      </w:tr>
      <w:tr w:rsidR="00134C31" w:rsidRPr="00D319E7" w14:paraId="224D05C6" w14:textId="77777777" w:rsidTr="00904B52">
        <w:tc>
          <w:tcPr>
            <w:tcW w:w="4598" w:type="dxa"/>
            <w:tcBorders>
              <w:top w:val="nil"/>
              <w:left w:val="nil"/>
              <w:bottom w:val="nil"/>
              <w:right w:val="nil"/>
            </w:tcBorders>
          </w:tcPr>
          <w:p w14:paraId="00D01B54" w14:textId="77777777" w:rsidR="00134C31" w:rsidRPr="00D319E7" w:rsidRDefault="00134C31" w:rsidP="0013526B">
            <w:pPr>
              <w:pStyle w:val="ListParagraph"/>
              <w:ind w:left="284" w:right="-57"/>
              <w:jc w:val="both"/>
              <w:rPr>
                <w:sz w:val="18"/>
                <w:szCs w:val="18"/>
                <w:lang w:val="id-ID"/>
              </w:rPr>
            </w:pPr>
          </w:p>
        </w:tc>
        <w:tc>
          <w:tcPr>
            <w:tcW w:w="4598" w:type="dxa"/>
            <w:tcBorders>
              <w:top w:val="nil"/>
              <w:left w:val="nil"/>
              <w:bottom w:val="nil"/>
              <w:right w:val="nil"/>
            </w:tcBorders>
          </w:tcPr>
          <w:p w14:paraId="4AB524AE" w14:textId="77777777" w:rsidR="00134C31" w:rsidRPr="00D319E7" w:rsidRDefault="00134C31" w:rsidP="0013526B">
            <w:pPr>
              <w:ind w:left="284" w:right="-57"/>
              <w:jc w:val="both"/>
              <w:rPr>
                <w:i/>
                <w:sz w:val="18"/>
                <w:szCs w:val="18"/>
              </w:rPr>
            </w:pPr>
          </w:p>
        </w:tc>
      </w:tr>
      <w:tr w:rsidR="00134C31" w:rsidRPr="00D319E7" w14:paraId="5C146EF9" w14:textId="77777777" w:rsidTr="00904B52">
        <w:tc>
          <w:tcPr>
            <w:tcW w:w="4598" w:type="dxa"/>
            <w:tcBorders>
              <w:top w:val="nil"/>
              <w:left w:val="nil"/>
              <w:bottom w:val="nil"/>
              <w:right w:val="nil"/>
            </w:tcBorders>
          </w:tcPr>
          <w:p w14:paraId="7FE344B5" w14:textId="49C1EFD0" w:rsidR="00134C31" w:rsidRPr="00D319E7" w:rsidRDefault="00134C31" w:rsidP="00070D1F">
            <w:pPr>
              <w:pStyle w:val="ListParagraph"/>
              <w:numPr>
                <w:ilvl w:val="0"/>
                <w:numId w:val="254"/>
              </w:numPr>
              <w:ind w:right="-57"/>
              <w:jc w:val="both"/>
              <w:rPr>
                <w:sz w:val="18"/>
                <w:szCs w:val="18"/>
                <w:lang w:val="id-ID"/>
              </w:rPr>
            </w:pPr>
            <w:r w:rsidRPr="00D319E7">
              <w:rPr>
                <w:sz w:val="18"/>
                <w:szCs w:val="18"/>
                <w:lang w:val="id-ID"/>
              </w:rPr>
              <w:t>Menjual atau menyewakan pemakaian seluruh atau sebagian aset Perusahaan yang dijaminkan kepada bank.</w:t>
            </w:r>
          </w:p>
        </w:tc>
        <w:tc>
          <w:tcPr>
            <w:tcW w:w="4598" w:type="dxa"/>
            <w:tcBorders>
              <w:top w:val="nil"/>
              <w:left w:val="nil"/>
              <w:bottom w:val="nil"/>
              <w:right w:val="nil"/>
            </w:tcBorders>
          </w:tcPr>
          <w:p w14:paraId="4CCFD468" w14:textId="45FCA732" w:rsidR="00134C31" w:rsidRPr="00D319E7" w:rsidRDefault="00134C31" w:rsidP="00070D1F">
            <w:pPr>
              <w:pStyle w:val="ListParagraph"/>
              <w:numPr>
                <w:ilvl w:val="0"/>
                <w:numId w:val="255"/>
              </w:numPr>
              <w:ind w:right="-57"/>
              <w:jc w:val="both"/>
              <w:rPr>
                <w:i/>
                <w:sz w:val="18"/>
                <w:szCs w:val="18"/>
              </w:rPr>
            </w:pPr>
            <w:r w:rsidRPr="00D319E7">
              <w:rPr>
                <w:i/>
                <w:sz w:val="18"/>
                <w:szCs w:val="18"/>
                <w:lang w:val="id-ID"/>
              </w:rPr>
              <w:t>Sell or lease</w:t>
            </w:r>
            <w:r w:rsidR="00870FD0">
              <w:rPr>
                <w:i/>
                <w:sz w:val="18"/>
                <w:szCs w:val="18"/>
                <w:lang w:val="id-ID"/>
              </w:rPr>
              <w:t>.</w:t>
            </w:r>
            <w:r w:rsidRPr="00D319E7">
              <w:rPr>
                <w:i/>
                <w:sz w:val="18"/>
                <w:szCs w:val="18"/>
                <w:lang w:val="id-ID"/>
              </w:rPr>
              <w:t xml:space="preserve"> full or half of the Company’s assets.</w:t>
            </w:r>
          </w:p>
        </w:tc>
      </w:tr>
      <w:tr w:rsidR="00954C19" w:rsidRPr="00D319E7" w14:paraId="76029C83" w14:textId="77777777" w:rsidTr="00904B52">
        <w:tc>
          <w:tcPr>
            <w:tcW w:w="4598" w:type="dxa"/>
            <w:tcBorders>
              <w:top w:val="nil"/>
              <w:left w:val="nil"/>
              <w:bottom w:val="nil"/>
              <w:right w:val="nil"/>
            </w:tcBorders>
          </w:tcPr>
          <w:p w14:paraId="072E3769" w14:textId="77777777" w:rsidR="00954C19" w:rsidRPr="00D319E7" w:rsidRDefault="00954C19" w:rsidP="00954C19">
            <w:pPr>
              <w:pStyle w:val="ListParagraph"/>
              <w:ind w:left="644" w:right="-57"/>
              <w:jc w:val="both"/>
              <w:rPr>
                <w:sz w:val="18"/>
                <w:szCs w:val="18"/>
                <w:lang w:val="id-ID"/>
              </w:rPr>
            </w:pPr>
          </w:p>
        </w:tc>
        <w:tc>
          <w:tcPr>
            <w:tcW w:w="4598" w:type="dxa"/>
            <w:tcBorders>
              <w:top w:val="nil"/>
              <w:left w:val="nil"/>
              <w:bottom w:val="nil"/>
              <w:right w:val="nil"/>
            </w:tcBorders>
          </w:tcPr>
          <w:p w14:paraId="13105E69" w14:textId="77777777" w:rsidR="00954C19" w:rsidRPr="00D319E7" w:rsidRDefault="00954C19" w:rsidP="00954C19">
            <w:pPr>
              <w:pStyle w:val="ListParagraph"/>
              <w:ind w:left="644" w:right="-57"/>
              <w:jc w:val="both"/>
              <w:rPr>
                <w:i/>
                <w:sz w:val="18"/>
                <w:szCs w:val="18"/>
                <w:lang w:val="id-ID"/>
              </w:rPr>
            </w:pPr>
          </w:p>
        </w:tc>
      </w:tr>
      <w:tr w:rsidR="00954C19" w:rsidRPr="00D319E7" w14:paraId="3991FA87" w14:textId="77777777" w:rsidTr="00904B52">
        <w:tc>
          <w:tcPr>
            <w:tcW w:w="4598" w:type="dxa"/>
            <w:tcBorders>
              <w:top w:val="nil"/>
              <w:left w:val="nil"/>
              <w:bottom w:val="nil"/>
              <w:right w:val="nil"/>
            </w:tcBorders>
          </w:tcPr>
          <w:p w14:paraId="65A27BC2" w14:textId="305DE4AB" w:rsidR="00954C19" w:rsidRPr="00D319E7" w:rsidRDefault="00954C19" w:rsidP="00070D1F">
            <w:pPr>
              <w:pStyle w:val="ListParagraph"/>
              <w:numPr>
                <w:ilvl w:val="0"/>
                <w:numId w:val="254"/>
              </w:numPr>
              <w:ind w:right="-57"/>
              <w:jc w:val="both"/>
              <w:rPr>
                <w:sz w:val="18"/>
                <w:szCs w:val="18"/>
                <w:lang w:val="id-ID"/>
              </w:rPr>
            </w:pPr>
            <w:r w:rsidRPr="00D319E7">
              <w:rPr>
                <w:sz w:val="18"/>
                <w:szCs w:val="18"/>
                <w:lang w:val="en-ID"/>
              </w:rPr>
              <w:t>Mengadakan perjanjian yang dapat menimbulkan kewajiban debitur untuk membayar kepada pihak lain.</w:t>
            </w:r>
          </w:p>
        </w:tc>
        <w:tc>
          <w:tcPr>
            <w:tcW w:w="4598" w:type="dxa"/>
            <w:tcBorders>
              <w:top w:val="nil"/>
              <w:left w:val="nil"/>
              <w:bottom w:val="nil"/>
              <w:right w:val="nil"/>
            </w:tcBorders>
          </w:tcPr>
          <w:p w14:paraId="2572A0DD" w14:textId="6A0D821E" w:rsidR="00954C19" w:rsidRPr="00D319E7" w:rsidRDefault="0066033F" w:rsidP="00070D1F">
            <w:pPr>
              <w:pStyle w:val="ListParagraph"/>
              <w:numPr>
                <w:ilvl w:val="0"/>
                <w:numId w:val="255"/>
              </w:numPr>
              <w:ind w:right="-57"/>
              <w:jc w:val="both"/>
              <w:rPr>
                <w:i/>
                <w:sz w:val="18"/>
                <w:szCs w:val="18"/>
                <w:lang w:val="id-ID"/>
              </w:rPr>
            </w:pPr>
            <w:r w:rsidRPr="00D319E7">
              <w:rPr>
                <w:i/>
                <w:sz w:val="18"/>
                <w:szCs w:val="18"/>
                <w:lang w:val="id-ID"/>
              </w:rPr>
              <w:t>Enti</w:t>
            </w:r>
            <w:r w:rsidRPr="00D319E7">
              <w:rPr>
                <w:i/>
                <w:sz w:val="18"/>
                <w:szCs w:val="18"/>
              </w:rPr>
              <w:t>ring into an agreement that may create a debtor’s obligation to pay to another party</w:t>
            </w:r>
          </w:p>
        </w:tc>
      </w:tr>
      <w:tr w:rsidR="00134C31" w:rsidRPr="00D319E7" w14:paraId="10794923" w14:textId="77777777" w:rsidTr="00904B52">
        <w:tc>
          <w:tcPr>
            <w:tcW w:w="4598" w:type="dxa"/>
            <w:tcBorders>
              <w:top w:val="nil"/>
              <w:left w:val="nil"/>
              <w:bottom w:val="nil"/>
              <w:right w:val="nil"/>
            </w:tcBorders>
          </w:tcPr>
          <w:p w14:paraId="16F23474" w14:textId="77777777" w:rsidR="00134C31" w:rsidRPr="00D319E7" w:rsidRDefault="00134C31" w:rsidP="0013526B">
            <w:pPr>
              <w:pStyle w:val="ListParagraph"/>
              <w:ind w:left="284" w:right="-57"/>
              <w:jc w:val="both"/>
              <w:rPr>
                <w:sz w:val="18"/>
                <w:szCs w:val="18"/>
              </w:rPr>
            </w:pPr>
          </w:p>
        </w:tc>
        <w:tc>
          <w:tcPr>
            <w:tcW w:w="4598" w:type="dxa"/>
            <w:tcBorders>
              <w:top w:val="nil"/>
              <w:left w:val="nil"/>
              <w:bottom w:val="nil"/>
              <w:right w:val="nil"/>
            </w:tcBorders>
          </w:tcPr>
          <w:p w14:paraId="64D3127E" w14:textId="77777777" w:rsidR="00134C31" w:rsidRPr="00D319E7" w:rsidRDefault="00134C31" w:rsidP="0013526B">
            <w:pPr>
              <w:ind w:left="284" w:right="-57"/>
              <w:jc w:val="both"/>
              <w:rPr>
                <w:i/>
                <w:sz w:val="18"/>
                <w:szCs w:val="18"/>
              </w:rPr>
            </w:pPr>
          </w:p>
        </w:tc>
      </w:tr>
      <w:tr w:rsidR="00134C31" w:rsidRPr="00D319E7" w14:paraId="3E57F932" w14:textId="77777777" w:rsidTr="00904B52">
        <w:tc>
          <w:tcPr>
            <w:tcW w:w="4598" w:type="dxa"/>
            <w:tcBorders>
              <w:top w:val="nil"/>
              <w:left w:val="nil"/>
              <w:bottom w:val="nil"/>
              <w:right w:val="nil"/>
            </w:tcBorders>
          </w:tcPr>
          <w:p w14:paraId="17F783A2" w14:textId="71C2CB9D" w:rsidR="00134C31" w:rsidRPr="00D319E7" w:rsidRDefault="009528EB" w:rsidP="00070D1F">
            <w:pPr>
              <w:pStyle w:val="ListParagraph"/>
              <w:numPr>
                <w:ilvl w:val="0"/>
                <w:numId w:val="254"/>
              </w:numPr>
              <w:ind w:right="-57"/>
              <w:jc w:val="both"/>
              <w:rPr>
                <w:sz w:val="18"/>
                <w:szCs w:val="18"/>
                <w:lang w:val="id-ID"/>
              </w:rPr>
            </w:pPr>
            <w:r w:rsidRPr="002E2E10">
              <w:rPr>
                <w:sz w:val="18"/>
                <w:szCs w:val="18"/>
                <w:lang w:val="sv-SE"/>
              </w:rPr>
              <w:t>Menjaminkan langsung maupun tidak langsung pihak ketiga lainnya</w:t>
            </w:r>
            <w:r w:rsidR="00EF69AD">
              <w:rPr>
                <w:sz w:val="18"/>
                <w:szCs w:val="18"/>
                <w:lang w:val="sv-SE"/>
              </w:rPr>
              <w:t>,</w:t>
            </w:r>
            <w:r w:rsidRPr="002E2E10">
              <w:rPr>
                <w:sz w:val="18"/>
                <w:szCs w:val="18"/>
                <w:lang w:val="sv-SE"/>
              </w:rPr>
              <w:t xml:space="preserve"> kecuali melakukan endorsemen atas surat-surat yang dapat diperdagangkan untuk keperluan pembayaran atau penagihan transaksi-transaksi lain yang lazim dilakukan dalam menjalankan usaha.</w:t>
            </w:r>
          </w:p>
        </w:tc>
        <w:tc>
          <w:tcPr>
            <w:tcW w:w="4598" w:type="dxa"/>
            <w:tcBorders>
              <w:top w:val="nil"/>
              <w:left w:val="nil"/>
              <w:bottom w:val="nil"/>
              <w:right w:val="nil"/>
            </w:tcBorders>
          </w:tcPr>
          <w:p w14:paraId="0D818F02" w14:textId="4F465BE8" w:rsidR="00134C31" w:rsidRPr="00D319E7" w:rsidRDefault="009528EB" w:rsidP="00070D1F">
            <w:pPr>
              <w:pStyle w:val="ListParagraph"/>
              <w:numPr>
                <w:ilvl w:val="0"/>
                <w:numId w:val="255"/>
              </w:numPr>
              <w:ind w:right="-57"/>
              <w:jc w:val="both"/>
              <w:rPr>
                <w:i/>
                <w:sz w:val="18"/>
                <w:szCs w:val="18"/>
                <w:lang w:val="id-ID"/>
              </w:rPr>
            </w:pPr>
            <w:r w:rsidRPr="002E2E10">
              <w:rPr>
                <w:i/>
                <w:sz w:val="18"/>
                <w:szCs w:val="18"/>
                <w:lang w:val="sv-SE"/>
              </w:rPr>
              <w:t>Pledge directly or indirectly</w:t>
            </w:r>
            <w:r w:rsidR="00EF69AD">
              <w:rPr>
                <w:i/>
                <w:sz w:val="18"/>
                <w:szCs w:val="18"/>
                <w:lang w:val="sv-SE"/>
              </w:rPr>
              <w:t>,</w:t>
            </w:r>
            <w:r w:rsidRPr="002E2E10">
              <w:rPr>
                <w:i/>
                <w:sz w:val="18"/>
                <w:szCs w:val="18"/>
                <w:lang w:val="sv-SE"/>
              </w:rPr>
              <w:t xml:space="preserve"> other third parties</w:t>
            </w:r>
            <w:r w:rsidR="00870FD0">
              <w:rPr>
                <w:i/>
                <w:sz w:val="18"/>
                <w:szCs w:val="18"/>
                <w:lang w:val="sv-SE"/>
              </w:rPr>
              <w:t>.</w:t>
            </w:r>
            <w:r w:rsidRPr="002E2E10">
              <w:rPr>
                <w:i/>
                <w:sz w:val="18"/>
                <w:szCs w:val="18"/>
                <w:lang w:val="sv-SE"/>
              </w:rPr>
              <w:t xml:space="preserve"> unless you make endorsements on securities that can be traded for the purpose of billing payment or other transactions are commonly done in running a business.</w:t>
            </w:r>
          </w:p>
        </w:tc>
      </w:tr>
      <w:tr w:rsidR="00134C31" w:rsidRPr="00D319E7" w14:paraId="0990E4FB" w14:textId="77777777" w:rsidTr="00904B52">
        <w:tc>
          <w:tcPr>
            <w:tcW w:w="4598" w:type="dxa"/>
            <w:tcBorders>
              <w:top w:val="nil"/>
              <w:left w:val="nil"/>
              <w:bottom w:val="nil"/>
              <w:right w:val="nil"/>
            </w:tcBorders>
          </w:tcPr>
          <w:p w14:paraId="07617A13" w14:textId="77777777" w:rsidR="00134C31" w:rsidRPr="00D319E7" w:rsidRDefault="00134C31" w:rsidP="00835EDB">
            <w:pPr>
              <w:pStyle w:val="ListParagraph"/>
              <w:ind w:left="644" w:right="-57"/>
              <w:jc w:val="both"/>
              <w:rPr>
                <w:sz w:val="18"/>
                <w:szCs w:val="18"/>
                <w:lang w:val="id-ID"/>
              </w:rPr>
            </w:pPr>
          </w:p>
        </w:tc>
        <w:tc>
          <w:tcPr>
            <w:tcW w:w="4598" w:type="dxa"/>
            <w:tcBorders>
              <w:top w:val="nil"/>
              <w:left w:val="nil"/>
              <w:bottom w:val="nil"/>
              <w:right w:val="nil"/>
            </w:tcBorders>
          </w:tcPr>
          <w:p w14:paraId="4194EE90" w14:textId="77777777" w:rsidR="00134C31" w:rsidRPr="00D319E7" w:rsidRDefault="00134C31" w:rsidP="00835EDB">
            <w:pPr>
              <w:pStyle w:val="ListParagraph"/>
              <w:ind w:left="644" w:right="-57"/>
              <w:jc w:val="both"/>
              <w:rPr>
                <w:i/>
                <w:sz w:val="18"/>
                <w:szCs w:val="18"/>
                <w:lang w:val="id-ID"/>
              </w:rPr>
            </w:pPr>
          </w:p>
        </w:tc>
      </w:tr>
      <w:tr w:rsidR="00134C31" w:rsidRPr="00D319E7" w14:paraId="3CAC9A98" w14:textId="77777777" w:rsidTr="00904B52">
        <w:tc>
          <w:tcPr>
            <w:tcW w:w="4598" w:type="dxa"/>
            <w:tcBorders>
              <w:top w:val="nil"/>
              <w:left w:val="nil"/>
              <w:bottom w:val="nil"/>
              <w:right w:val="nil"/>
            </w:tcBorders>
          </w:tcPr>
          <w:p w14:paraId="16AD1C6C" w14:textId="714A2E38" w:rsidR="00134C31" w:rsidRPr="00D319E7" w:rsidRDefault="00954C19" w:rsidP="00070D1F">
            <w:pPr>
              <w:pStyle w:val="ListParagraph"/>
              <w:numPr>
                <w:ilvl w:val="0"/>
                <w:numId w:val="254"/>
              </w:numPr>
              <w:ind w:right="-57"/>
              <w:jc w:val="both"/>
              <w:rPr>
                <w:sz w:val="18"/>
                <w:szCs w:val="18"/>
                <w:lang w:val="id-ID"/>
              </w:rPr>
            </w:pPr>
            <w:r w:rsidRPr="00D319E7">
              <w:rPr>
                <w:sz w:val="18"/>
                <w:szCs w:val="18"/>
                <w:lang w:val="en-ID"/>
              </w:rPr>
              <w:t>Melakukan investasi baru atau membuat pengeluaran modal diluar bidang usaha yang dijalankan saat ini.</w:t>
            </w:r>
          </w:p>
        </w:tc>
        <w:tc>
          <w:tcPr>
            <w:tcW w:w="4598" w:type="dxa"/>
            <w:tcBorders>
              <w:top w:val="nil"/>
              <w:left w:val="nil"/>
              <w:bottom w:val="nil"/>
              <w:right w:val="nil"/>
            </w:tcBorders>
          </w:tcPr>
          <w:p w14:paraId="0A28074C" w14:textId="144FC457" w:rsidR="00134C31" w:rsidRPr="00D319E7" w:rsidRDefault="0066033F" w:rsidP="00070D1F">
            <w:pPr>
              <w:pStyle w:val="ListParagraph"/>
              <w:numPr>
                <w:ilvl w:val="0"/>
                <w:numId w:val="255"/>
              </w:numPr>
              <w:ind w:right="-57"/>
              <w:jc w:val="both"/>
              <w:rPr>
                <w:i/>
                <w:sz w:val="18"/>
                <w:szCs w:val="18"/>
                <w:lang w:val="en-ID"/>
              </w:rPr>
            </w:pPr>
            <w:r w:rsidRPr="00D319E7">
              <w:rPr>
                <w:i/>
                <w:sz w:val="18"/>
                <w:szCs w:val="18"/>
                <w:lang w:val="en-ID"/>
              </w:rPr>
              <w:t>Make new investments or make capital expenditures outside the current line of business.</w:t>
            </w:r>
          </w:p>
        </w:tc>
      </w:tr>
      <w:tr w:rsidR="00134C31" w:rsidRPr="00D319E7" w14:paraId="3A8041C1" w14:textId="77777777" w:rsidTr="00904B52">
        <w:tc>
          <w:tcPr>
            <w:tcW w:w="4598" w:type="dxa"/>
            <w:tcBorders>
              <w:top w:val="nil"/>
              <w:left w:val="nil"/>
              <w:bottom w:val="nil"/>
              <w:right w:val="nil"/>
            </w:tcBorders>
          </w:tcPr>
          <w:p w14:paraId="44B38499" w14:textId="77777777" w:rsidR="00134C31" w:rsidRPr="00D319E7" w:rsidRDefault="00134C31" w:rsidP="00835EDB">
            <w:pPr>
              <w:pStyle w:val="ListParagraph"/>
              <w:ind w:left="644" w:right="-57"/>
              <w:jc w:val="both"/>
              <w:rPr>
                <w:sz w:val="18"/>
                <w:szCs w:val="18"/>
                <w:lang w:val="id-ID"/>
              </w:rPr>
            </w:pPr>
          </w:p>
        </w:tc>
        <w:tc>
          <w:tcPr>
            <w:tcW w:w="4598" w:type="dxa"/>
            <w:tcBorders>
              <w:top w:val="nil"/>
              <w:left w:val="nil"/>
              <w:bottom w:val="nil"/>
              <w:right w:val="nil"/>
            </w:tcBorders>
          </w:tcPr>
          <w:p w14:paraId="35F2B115" w14:textId="77777777" w:rsidR="00134C31" w:rsidRPr="00D319E7" w:rsidRDefault="00134C31" w:rsidP="00835EDB">
            <w:pPr>
              <w:pStyle w:val="ListParagraph"/>
              <w:ind w:left="644" w:right="-57"/>
              <w:jc w:val="both"/>
              <w:rPr>
                <w:i/>
                <w:sz w:val="18"/>
                <w:szCs w:val="18"/>
                <w:lang w:val="id-ID"/>
              </w:rPr>
            </w:pPr>
          </w:p>
        </w:tc>
      </w:tr>
      <w:tr w:rsidR="00835EDB" w:rsidRPr="00D319E7" w14:paraId="49C629F9" w14:textId="77777777" w:rsidTr="00904B52">
        <w:tc>
          <w:tcPr>
            <w:tcW w:w="4598" w:type="dxa"/>
            <w:tcBorders>
              <w:top w:val="nil"/>
              <w:left w:val="nil"/>
              <w:bottom w:val="nil"/>
              <w:right w:val="nil"/>
            </w:tcBorders>
          </w:tcPr>
          <w:p w14:paraId="2DC7F71B" w14:textId="096AC86D" w:rsidR="00835EDB" w:rsidRPr="00D319E7" w:rsidRDefault="007306E7" w:rsidP="00070D1F">
            <w:pPr>
              <w:pStyle w:val="ListParagraph"/>
              <w:numPr>
                <w:ilvl w:val="0"/>
                <w:numId w:val="254"/>
              </w:numPr>
              <w:ind w:right="-57"/>
              <w:jc w:val="both"/>
              <w:rPr>
                <w:sz w:val="18"/>
                <w:szCs w:val="18"/>
                <w:lang w:val="id-ID"/>
              </w:rPr>
            </w:pPr>
            <w:r w:rsidRPr="00D319E7">
              <w:rPr>
                <w:sz w:val="18"/>
                <w:szCs w:val="18"/>
                <w:lang w:val="en-ID"/>
              </w:rPr>
              <w:t>Mengajukan moratorium</w:t>
            </w:r>
            <w:r w:rsidR="001808CD">
              <w:rPr>
                <w:sz w:val="18"/>
                <w:szCs w:val="18"/>
                <w:lang w:val="en-ID"/>
              </w:rPr>
              <w:t>,</w:t>
            </w:r>
            <w:r w:rsidRPr="00D319E7">
              <w:rPr>
                <w:sz w:val="18"/>
                <w:szCs w:val="18"/>
                <w:lang w:val="en-ID"/>
              </w:rPr>
              <w:t xml:space="preserve"> penundaan pembayaran kewajiban</w:t>
            </w:r>
            <w:r w:rsidR="00870FD0">
              <w:rPr>
                <w:sz w:val="18"/>
                <w:szCs w:val="18"/>
                <w:lang w:val="en-ID"/>
              </w:rPr>
              <w:t>.</w:t>
            </w:r>
            <w:r w:rsidRPr="00D319E7">
              <w:rPr>
                <w:sz w:val="18"/>
                <w:szCs w:val="18"/>
                <w:lang w:val="en-ID"/>
              </w:rPr>
              <w:t xml:space="preserve"> Penundaan Kewajiban Pembayaran Utang PKPU ataupun kepailitan.</w:t>
            </w:r>
          </w:p>
        </w:tc>
        <w:tc>
          <w:tcPr>
            <w:tcW w:w="4598" w:type="dxa"/>
            <w:tcBorders>
              <w:top w:val="nil"/>
              <w:left w:val="nil"/>
              <w:bottom w:val="nil"/>
              <w:right w:val="nil"/>
            </w:tcBorders>
          </w:tcPr>
          <w:p w14:paraId="6B5F8034" w14:textId="7A3611D0" w:rsidR="00835EDB" w:rsidRPr="00D319E7" w:rsidRDefault="0066033F" w:rsidP="00070D1F">
            <w:pPr>
              <w:pStyle w:val="ListParagraph"/>
              <w:numPr>
                <w:ilvl w:val="0"/>
                <w:numId w:val="255"/>
              </w:numPr>
              <w:ind w:right="-57"/>
              <w:jc w:val="both"/>
              <w:rPr>
                <w:i/>
                <w:sz w:val="18"/>
                <w:szCs w:val="18"/>
                <w:lang w:val="id-ID"/>
              </w:rPr>
            </w:pPr>
            <w:r w:rsidRPr="00D319E7">
              <w:rPr>
                <w:i/>
                <w:sz w:val="18"/>
                <w:szCs w:val="18"/>
                <w:lang w:val="id-ID"/>
              </w:rPr>
              <w:t>Submitting a moratorium</w:t>
            </w:r>
            <w:r w:rsidR="001808CD">
              <w:rPr>
                <w:i/>
                <w:sz w:val="18"/>
                <w:szCs w:val="18"/>
              </w:rPr>
              <w:t>,</w:t>
            </w:r>
            <w:r w:rsidRPr="00D319E7">
              <w:rPr>
                <w:i/>
                <w:sz w:val="18"/>
                <w:szCs w:val="18"/>
                <w:lang w:val="id-ID"/>
              </w:rPr>
              <w:t xml:space="preserve"> delaying payment of obligations</w:t>
            </w:r>
            <w:r w:rsidR="00870FD0">
              <w:rPr>
                <w:i/>
                <w:sz w:val="18"/>
                <w:szCs w:val="18"/>
                <w:lang w:val="id-ID"/>
              </w:rPr>
              <w:t>.</w:t>
            </w:r>
            <w:r w:rsidRPr="00D319E7">
              <w:rPr>
                <w:i/>
                <w:sz w:val="18"/>
                <w:szCs w:val="18"/>
                <w:lang w:val="id-ID"/>
              </w:rPr>
              <w:t xml:space="preserve"> Postponement of PKPU Debt Payment Obligations or bankruptcy.</w:t>
            </w:r>
          </w:p>
        </w:tc>
      </w:tr>
      <w:tr w:rsidR="00835EDB" w:rsidRPr="00D319E7" w14:paraId="73036356" w14:textId="77777777" w:rsidTr="00904B52">
        <w:tc>
          <w:tcPr>
            <w:tcW w:w="4598" w:type="dxa"/>
            <w:tcBorders>
              <w:top w:val="nil"/>
              <w:left w:val="nil"/>
              <w:bottom w:val="nil"/>
              <w:right w:val="nil"/>
            </w:tcBorders>
          </w:tcPr>
          <w:p w14:paraId="524522A0" w14:textId="77777777" w:rsidR="00835EDB" w:rsidRPr="00D319E7" w:rsidRDefault="00835EDB" w:rsidP="00835EDB">
            <w:pPr>
              <w:pStyle w:val="ListParagraph"/>
              <w:ind w:left="644" w:right="-57"/>
              <w:jc w:val="both"/>
              <w:rPr>
                <w:sz w:val="18"/>
                <w:szCs w:val="18"/>
                <w:lang w:val="id-ID"/>
              </w:rPr>
            </w:pPr>
          </w:p>
        </w:tc>
        <w:tc>
          <w:tcPr>
            <w:tcW w:w="4598" w:type="dxa"/>
            <w:tcBorders>
              <w:top w:val="nil"/>
              <w:left w:val="nil"/>
              <w:bottom w:val="nil"/>
              <w:right w:val="nil"/>
            </w:tcBorders>
          </w:tcPr>
          <w:p w14:paraId="414E46EA" w14:textId="77777777" w:rsidR="00835EDB" w:rsidRPr="00D319E7" w:rsidRDefault="00835EDB" w:rsidP="00835EDB">
            <w:pPr>
              <w:pStyle w:val="ListParagraph"/>
              <w:ind w:left="644" w:right="-57"/>
              <w:jc w:val="both"/>
              <w:rPr>
                <w:i/>
                <w:sz w:val="18"/>
                <w:szCs w:val="18"/>
                <w:lang w:val="id-ID"/>
              </w:rPr>
            </w:pPr>
          </w:p>
        </w:tc>
      </w:tr>
      <w:tr w:rsidR="00E45AE6" w:rsidRPr="00D319E7" w14:paraId="673E5C39" w14:textId="77777777" w:rsidTr="00904B52">
        <w:tc>
          <w:tcPr>
            <w:tcW w:w="4598" w:type="dxa"/>
            <w:tcBorders>
              <w:top w:val="nil"/>
              <w:left w:val="nil"/>
              <w:bottom w:val="nil"/>
              <w:right w:val="nil"/>
            </w:tcBorders>
          </w:tcPr>
          <w:p w14:paraId="6406BC65" w14:textId="28889682" w:rsidR="00835EDB" w:rsidRPr="00D319E7" w:rsidRDefault="00835EDB" w:rsidP="00070D1F">
            <w:pPr>
              <w:pStyle w:val="ListParagraph"/>
              <w:numPr>
                <w:ilvl w:val="0"/>
                <w:numId w:val="254"/>
              </w:numPr>
              <w:ind w:right="-57"/>
              <w:jc w:val="both"/>
              <w:rPr>
                <w:sz w:val="18"/>
                <w:szCs w:val="18"/>
                <w:lang w:val="id-ID"/>
              </w:rPr>
            </w:pPr>
            <w:r w:rsidRPr="00D319E7">
              <w:rPr>
                <w:sz w:val="18"/>
                <w:szCs w:val="18"/>
                <w:lang w:val="id-ID"/>
              </w:rPr>
              <w:t>Melakukan perubahan terhadap struktur permodalan Perusahaan antara lain penggabungan</w:t>
            </w:r>
            <w:r w:rsidR="001808CD">
              <w:rPr>
                <w:sz w:val="18"/>
                <w:szCs w:val="18"/>
              </w:rPr>
              <w:t>,</w:t>
            </w:r>
            <w:r w:rsidRPr="00D319E7">
              <w:rPr>
                <w:sz w:val="18"/>
                <w:szCs w:val="18"/>
                <w:lang w:val="id-ID"/>
              </w:rPr>
              <w:t xml:space="preserve"> peleburan</w:t>
            </w:r>
            <w:r w:rsidR="001808CD">
              <w:rPr>
                <w:sz w:val="18"/>
                <w:szCs w:val="18"/>
              </w:rPr>
              <w:t>,</w:t>
            </w:r>
            <w:r w:rsidRPr="00D319E7">
              <w:rPr>
                <w:sz w:val="18"/>
                <w:szCs w:val="18"/>
                <w:lang w:val="id-ID"/>
              </w:rPr>
              <w:t xml:space="preserve"> pengambilalihan</w:t>
            </w:r>
            <w:r w:rsidR="001808CD">
              <w:rPr>
                <w:sz w:val="18"/>
                <w:szCs w:val="18"/>
              </w:rPr>
              <w:t>,</w:t>
            </w:r>
            <w:r w:rsidRPr="00D319E7">
              <w:rPr>
                <w:sz w:val="18"/>
                <w:szCs w:val="18"/>
                <w:lang w:val="id-ID"/>
              </w:rPr>
              <w:t xml:space="preserve"> dan pemisahan.</w:t>
            </w:r>
          </w:p>
        </w:tc>
        <w:tc>
          <w:tcPr>
            <w:tcW w:w="4598" w:type="dxa"/>
            <w:tcBorders>
              <w:top w:val="nil"/>
              <w:left w:val="nil"/>
              <w:bottom w:val="nil"/>
              <w:right w:val="nil"/>
            </w:tcBorders>
          </w:tcPr>
          <w:p w14:paraId="71766CF1" w14:textId="598A9166" w:rsidR="00835EDB" w:rsidRPr="00D319E7" w:rsidRDefault="00835EDB" w:rsidP="00070D1F">
            <w:pPr>
              <w:pStyle w:val="ListParagraph"/>
              <w:numPr>
                <w:ilvl w:val="0"/>
                <w:numId w:val="255"/>
              </w:numPr>
              <w:ind w:right="-57"/>
              <w:jc w:val="both"/>
              <w:rPr>
                <w:i/>
                <w:sz w:val="18"/>
                <w:szCs w:val="18"/>
                <w:lang w:val="id-ID"/>
              </w:rPr>
            </w:pPr>
            <w:r w:rsidRPr="00D319E7">
              <w:rPr>
                <w:i/>
                <w:sz w:val="18"/>
                <w:szCs w:val="18"/>
                <w:lang w:val="id-ID"/>
              </w:rPr>
              <w:t>Conducting change of the Company’s structure such as merger</w:t>
            </w:r>
            <w:r w:rsidR="001808CD">
              <w:rPr>
                <w:i/>
                <w:sz w:val="18"/>
                <w:szCs w:val="18"/>
              </w:rPr>
              <w:t>,</w:t>
            </w:r>
            <w:r w:rsidRPr="00D319E7">
              <w:rPr>
                <w:i/>
                <w:sz w:val="18"/>
                <w:szCs w:val="18"/>
                <w:lang w:val="id-ID"/>
              </w:rPr>
              <w:t xml:space="preserve"> consolidation</w:t>
            </w:r>
            <w:r w:rsidR="001808CD">
              <w:rPr>
                <w:i/>
                <w:sz w:val="18"/>
                <w:szCs w:val="18"/>
              </w:rPr>
              <w:t>,</w:t>
            </w:r>
            <w:r w:rsidRPr="00D319E7">
              <w:rPr>
                <w:i/>
                <w:sz w:val="18"/>
                <w:szCs w:val="18"/>
                <w:lang w:val="id-ID"/>
              </w:rPr>
              <w:t xml:space="preserve"> acquisition</w:t>
            </w:r>
            <w:r w:rsidR="001808CD">
              <w:rPr>
                <w:i/>
                <w:sz w:val="18"/>
                <w:szCs w:val="18"/>
              </w:rPr>
              <w:t>,</w:t>
            </w:r>
            <w:r w:rsidRPr="00D319E7">
              <w:rPr>
                <w:i/>
                <w:sz w:val="18"/>
                <w:szCs w:val="18"/>
                <w:lang w:val="id-ID"/>
              </w:rPr>
              <w:t xml:space="preserve"> and separation.</w:t>
            </w:r>
          </w:p>
        </w:tc>
      </w:tr>
      <w:tr w:rsidR="00835EDB" w:rsidRPr="00D319E7" w14:paraId="036D1B11" w14:textId="77777777" w:rsidTr="00904B52">
        <w:tc>
          <w:tcPr>
            <w:tcW w:w="4598" w:type="dxa"/>
            <w:tcBorders>
              <w:top w:val="nil"/>
              <w:left w:val="nil"/>
              <w:bottom w:val="nil"/>
              <w:right w:val="nil"/>
            </w:tcBorders>
          </w:tcPr>
          <w:p w14:paraId="5E64EE84" w14:textId="77777777" w:rsidR="00835EDB" w:rsidRPr="00D319E7" w:rsidRDefault="00835EDB" w:rsidP="0013526B">
            <w:pPr>
              <w:pStyle w:val="ListParagraph"/>
              <w:ind w:left="284" w:right="-57"/>
              <w:jc w:val="both"/>
              <w:rPr>
                <w:sz w:val="18"/>
                <w:szCs w:val="18"/>
              </w:rPr>
            </w:pPr>
          </w:p>
        </w:tc>
        <w:tc>
          <w:tcPr>
            <w:tcW w:w="4598" w:type="dxa"/>
            <w:tcBorders>
              <w:top w:val="nil"/>
              <w:left w:val="nil"/>
              <w:bottom w:val="nil"/>
              <w:right w:val="nil"/>
            </w:tcBorders>
          </w:tcPr>
          <w:p w14:paraId="611F28CD" w14:textId="77777777" w:rsidR="00835EDB" w:rsidRPr="00D319E7" w:rsidRDefault="00835EDB" w:rsidP="0013526B">
            <w:pPr>
              <w:ind w:left="284" w:right="-57"/>
              <w:jc w:val="both"/>
              <w:rPr>
                <w:i/>
                <w:sz w:val="18"/>
                <w:szCs w:val="18"/>
              </w:rPr>
            </w:pPr>
          </w:p>
        </w:tc>
      </w:tr>
      <w:tr w:rsidR="00835EDB" w:rsidRPr="00D319E7" w14:paraId="2F0EAE22" w14:textId="77777777" w:rsidTr="00904B52">
        <w:tc>
          <w:tcPr>
            <w:tcW w:w="4598" w:type="dxa"/>
            <w:tcBorders>
              <w:top w:val="nil"/>
              <w:left w:val="nil"/>
              <w:bottom w:val="nil"/>
              <w:right w:val="nil"/>
            </w:tcBorders>
          </w:tcPr>
          <w:p w14:paraId="34C86131" w14:textId="5FEF56C9" w:rsidR="00835EDB" w:rsidRPr="00D319E7" w:rsidRDefault="009F2C44" w:rsidP="00070D1F">
            <w:pPr>
              <w:pStyle w:val="ListParagraph"/>
              <w:numPr>
                <w:ilvl w:val="0"/>
                <w:numId w:val="254"/>
              </w:numPr>
              <w:ind w:right="-57"/>
              <w:jc w:val="both"/>
              <w:rPr>
                <w:sz w:val="18"/>
                <w:szCs w:val="18"/>
                <w:lang w:val="id-ID"/>
              </w:rPr>
            </w:pPr>
            <w:r w:rsidRPr="002E2E10">
              <w:rPr>
                <w:sz w:val="18"/>
                <w:szCs w:val="18"/>
                <w:lang w:val="sv-SE"/>
              </w:rPr>
              <w:t>Mengadakan perubahan dari sifat dan kegiatan usaha Entitas.</w:t>
            </w:r>
          </w:p>
        </w:tc>
        <w:tc>
          <w:tcPr>
            <w:tcW w:w="4598" w:type="dxa"/>
            <w:tcBorders>
              <w:top w:val="nil"/>
              <w:left w:val="nil"/>
              <w:bottom w:val="nil"/>
              <w:right w:val="nil"/>
            </w:tcBorders>
          </w:tcPr>
          <w:p w14:paraId="064563B4" w14:textId="4182B8BF" w:rsidR="00835EDB" w:rsidRPr="00D319E7" w:rsidRDefault="009F2C44" w:rsidP="00070D1F">
            <w:pPr>
              <w:pStyle w:val="ListParagraph"/>
              <w:numPr>
                <w:ilvl w:val="0"/>
                <w:numId w:val="255"/>
              </w:numPr>
              <w:ind w:right="-57"/>
              <w:jc w:val="both"/>
              <w:rPr>
                <w:i/>
                <w:sz w:val="18"/>
                <w:szCs w:val="18"/>
                <w:lang w:val="id-ID"/>
              </w:rPr>
            </w:pPr>
            <w:r w:rsidRPr="002E2E10">
              <w:rPr>
                <w:i/>
                <w:sz w:val="18"/>
                <w:szCs w:val="18"/>
                <w:lang w:val="sv-SE"/>
              </w:rPr>
              <w:t>Establish a change of nature and business activities.</w:t>
            </w:r>
          </w:p>
        </w:tc>
      </w:tr>
      <w:tr w:rsidR="00835EDB" w:rsidRPr="00D319E7" w14:paraId="6D4CCAB6" w14:textId="77777777" w:rsidTr="00904B52">
        <w:tc>
          <w:tcPr>
            <w:tcW w:w="4598" w:type="dxa"/>
            <w:tcBorders>
              <w:top w:val="nil"/>
              <w:left w:val="nil"/>
              <w:bottom w:val="nil"/>
              <w:right w:val="nil"/>
            </w:tcBorders>
          </w:tcPr>
          <w:p w14:paraId="613B1B9A" w14:textId="77777777" w:rsidR="00835EDB" w:rsidRPr="00D319E7" w:rsidRDefault="00835EDB" w:rsidP="00835EDB">
            <w:pPr>
              <w:pStyle w:val="ListParagraph"/>
              <w:ind w:left="644" w:right="-57"/>
              <w:jc w:val="both"/>
              <w:rPr>
                <w:sz w:val="18"/>
                <w:szCs w:val="18"/>
                <w:lang w:val="id-ID"/>
              </w:rPr>
            </w:pPr>
          </w:p>
        </w:tc>
        <w:tc>
          <w:tcPr>
            <w:tcW w:w="4598" w:type="dxa"/>
            <w:tcBorders>
              <w:top w:val="nil"/>
              <w:left w:val="nil"/>
              <w:bottom w:val="nil"/>
              <w:right w:val="nil"/>
            </w:tcBorders>
          </w:tcPr>
          <w:p w14:paraId="339EC733" w14:textId="77777777" w:rsidR="00835EDB" w:rsidRPr="00D319E7" w:rsidRDefault="00835EDB" w:rsidP="00835EDB">
            <w:pPr>
              <w:pStyle w:val="ListParagraph"/>
              <w:ind w:left="644" w:right="-57"/>
              <w:jc w:val="both"/>
              <w:rPr>
                <w:i/>
                <w:sz w:val="18"/>
                <w:szCs w:val="18"/>
                <w:lang w:val="id-ID"/>
              </w:rPr>
            </w:pPr>
          </w:p>
        </w:tc>
      </w:tr>
      <w:tr w:rsidR="00835EDB" w:rsidRPr="00D319E7" w14:paraId="11D63E17" w14:textId="77777777" w:rsidTr="00904B52">
        <w:tc>
          <w:tcPr>
            <w:tcW w:w="4598" w:type="dxa"/>
            <w:tcBorders>
              <w:top w:val="nil"/>
              <w:left w:val="nil"/>
              <w:bottom w:val="nil"/>
              <w:right w:val="nil"/>
            </w:tcBorders>
          </w:tcPr>
          <w:p w14:paraId="3609AA7E" w14:textId="3B6C7DB8" w:rsidR="00835EDB" w:rsidRPr="00D319E7" w:rsidRDefault="00E45AE6" w:rsidP="00070D1F">
            <w:pPr>
              <w:pStyle w:val="ListParagraph"/>
              <w:numPr>
                <w:ilvl w:val="0"/>
                <w:numId w:val="254"/>
              </w:numPr>
              <w:ind w:right="-57"/>
              <w:jc w:val="both"/>
              <w:rPr>
                <w:sz w:val="18"/>
                <w:szCs w:val="18"/>
                <w:lang w:val="id-ID"/>
              </w:rPr>
            </w:pPr>
            <w:r w:rsidRPr="00D319E7">
              <w:rPr>
                <w:sz w:val="18"/>
                <w:szCs w:val="18"/>
                <w:lang w:val="en-ID"/>
              </w:rPr>
              <w:t>Membayar atau membayar kembali tagihan atau piutang berupa apapun juga yang sekarang dan/atau dikemudian hari akan diberikan oleh para pemegang saham atau pihak yang setara lainnya dalam perusahaan baik berupa jumlah pokok</w:t>
            </w:r>
            <w:r w:rsidR="001808CD">
              <w:rPr>
                <w:sz w:val="18"/>
                <w:szCs w:val="18"/>
                <w:lang w:val="en-ID"/>
              </w:rPr>
              <w:t>,</w:t>
            </w:r>
            <w:r w:rsidRPr="00D319E7">
              <w:rPr>
                <w:sz w:val="18"/>
                <w:szCs w:val="18"/>
                <w:lang w:val="en-ID"/>
              </w:rPr>
              <w:t xml:space="preserve"> bunga</w:t>
            </w:r>
            <w:r w:rsidR="001808CD">
              <w:rPr>
                <w:sz w:val="18"/>
                <w:szCs w:val="18"/>
                <w:lang w:val="en-ID"/>
              </w:rPr>
              <w:t>,</w:t>
            </w:r>
            <w:r w:rsidRPr="00D319E7">
              <w:rPr>
                <w:sz w:val="18"/>
                <w:szCs w:val="18"/>
                <w:lang w:val="en-ID"/>
              </w:rPr>
              <w:t xml:space="preserve"> dan lain-lain jumlah uang yang wajib dibayar</w:t>
            </w:r>
          </w:p>
        </w:tc>
        <w:tc>
          <w:tcPr>
            <w:tcW w:w="4598" w:type="dxa"/>
            <w:tcBorders>
              <w:top w:val="nil"/>
              <w:left w:val="nil"/>
              <w:bottom w:val="nil"/>
              <w:right w:val="nil"/>
            </w:tcBorders>
          </w:tcPr>
          <w:p w14:paraId="2BDE7FB6" w14:textId="3043B91A" w:rsidR="00835EDB" w:rsidRPr="00D319E7" w:rsidRDefault="0066033F" w:rsidP="00070D1F">
            <w:pPr>
              <w:pStyle w:val="ListParagraph"/>
              <w:numPr>
                <w:ilvl w:val="0"/>
                <w:numId w:val="255"/>
              </w:numPr>
              <w:ind w:right="-57"/>
              <w:jc w:val="both"/>
              <w:rPr>
                <w:i/>
                <w:sz w:val="18"/>
                <w:szCs w:val="18"/>
                <w:lang w:val="id-ID"/>
              </w:rPr>
            </w:pPr>
            <w:r w:rsidRPr="00D319E7">
              <w:rPr>
                <w:i/>
                <w:sz w:val="18"/>
                <w:szCs w:val="18"/>
                <w:lang w:val="id-ID"/>
              </w:rPr>
              <w:t>Paying or paying back bills or receivables in any form now and / or in the future will be given by shareholders or other equivalent parties in the company in the form of principal</w:t>
            </w:r>
            <w:r w:rsidR="001808CD">
              <w:rPr>
                <w:i/>
                <w:sz w:val="18"/>
                <w:szCs w:val="18"/>
              </w:rPr>
              <w:t>,</w:t>
            </w:r>
            <w:r w:rsidRPr="00D319E7">
              <w:rPr>
                <w:i/>
                <w:sz w:val="18"/>
                <w:szCs w:val="18"/>
                <w:lang w:val="id-ID"/>
              </w:rPr>
              <w:t xml:space="preserve"> interest</w:t>
            </w:r>
            <w:r w:rsidR="001808CD">
              <w:rPr>
                <w:i/>
                <w:sz w:val="18"/>
                <w:szCs w:val="18"/>
              </w:rPr>
              <w:t>,</w:t>
            </w:r>
            <w:r w:rsidRPr="00D319E7">
              <w:rPr>
                <w:i/>
                <w:sz w:val="18"/>
                <w:szCs w:val="18"/>
                <w:lang w:val="id-ID"/>
              </w:rPr>
              <w:t xml:space="preserve"> and other amounts of money that must be paid</w:t>
            </w:r>
          </w:p>
        </w:tc>
      </w:tr>
    </w:tbl>
    <w:p w14:paraId="490E3B42" w14:textId="7462D5CE" w:rsidR="00115B30" w:rsidRPr="00115B30" w:rsidRDefault="00115B30">
      <w:pPr>
        <w:rPr>
          <w:sz w:val="12"/>
        </w:rPr>
      </w:pPr>
    </w:p>
    <w:tbl>
      <w:tblPr>
        <w:tblW w:w="9197" w:type="dxa"/>
        <w:tblInd w:w="108" w:type="dxa"/>
        <w:tblLayout w:type="fixed"/>
        <w:tblLook w:val="0000" w:firstRow="0" w:lastRow="0" w:firstColumn="0" w:lastColumn="0" w:noHBand="0" w:noVBand="0"/>
      </w:tblPr>
      <w:tblGrid>
        <w:gridCol w:w="4598"/>
        <w:gridCol w:w="4599"/>
      </w:tblGrid>
      <w:tr w:rsidR="00BF361B" w:rsidRPr="009C1C45" w14:paraId="110CD434" w14:textId="77777777" w:rsidTr="002764F3">
        <w:tc>
          <w:tcPr>
            <w:tcW w:w="4598" w:type="dxa"/>
            <w:tcBorders>
              <w:top w:val="nil"/>
              <w:left w:val="nil"/>
              <w:bottom w:val="nil"/>
              <w:right w:val="nil"/>
            </w:tcBorders>
          </w:tcPr>
          <w:p w14:paraId="0281CA64" w14:textId="77777777" w:rsidR="005F127F" w:rsidRPr="002764F3" w:rsidRDefault="002E698C" w:rsidP="00070D1F">
            <w:pPr>
              <w:numPr>
                <w:ilvl w:val="0"/>
                <w:numId w:val="318"/>
              </w:numPr>
              <w:ind w:left="255" w:hanging="329"/>
              <w:jc w:val="both"/>
              <w:rPr>
                <w:b/>
                <w:bCs w:val="0"/>
                <w:sz w:val="18"/>
                <w:szCs w:val="18"/>
              </w:rPr>
            </w:pPr>
            <w:r w:rsidRPr="002764F3">
              <w:rPr>
                <w:b/>
                <w:bCs w:val="0"/>
                <w:sz w:val="18"/>
                <w:szCs w:val="18"/>
              </w:rPr>
              <w:lastRenderedPageBreak/>
              <w:br w:type="page"/>
            </w:r>
            <w:r w:rsidR="00F30B77" w:rsidRPr="002764F3">
              <w:rPr>
                <w:b/>
                <w:bCs w:val="0"/>
                <w:sz w:val="18"/>
                <w:szCs w:val="18"/>
              </w:rPr>
              <w:t>UTANG USAHA</w:t>
            </w:r>
          </w:p>
        </w:tc>
        <w:tc>
          <w:tcPr>
            <w:tcW w:w="4598" w:type="dxa"/>
            <w:tcBorders>
              <w:top w:val="nil"/>
              <w:left w:val="nil"/>
              <w:bottom w:val="nil"/>
              <w:right w:val="nil"/>
            </w:tcBorders>
          </w:tcPr>
          <w:p w14:paraId="483E1733" w14:textId="77777777" w:rsidR="005F127F" w:rsidRPr="009C1C45" w:rsidRDefault="00F30B77" w:rsidP="00070D1F">
            <w:pPr>
              <w:numPr>
                <w:ilvl w:val="0"/>
                <w:numId w:val="319"/>
              </w:numPr>
              <w:ind w:left="249" w:hanging="297"/>
              <w:jc w:val="both"/>
              <w:rPr>
                <w:b/>
                <w:bCs w:val="0"/>
                <w:sz w:val="18"/>
                <w:szCs w:val="18"/>
              </w:rPr>
            </w:pPr>
            <w:r w:rsidRPr="009C1C45">
              <w:rPr>
                <w:b/>
                <w:bCs w:val="0"/>
                <w:i/>
                <w:sz w:val="18"/>
                <w:szCs w:val="18"/>
              </w:rPr>
              <w:t>TRADE</w:t>
            </w:r>
            <w:r w:rsidRPr="009C1C45">
              <w:rPr>
                <w:b/>
                <w:bCs w:val="0"/>
                <w:sz w:val="18"/>
                <w:szCs w:val="18"/>
              </w:rPr>
              <w:t xml:space="preserve"> </w:t>
            </w:r>
            <w:r w:rsidRPr="009C1C45">
              <w:rPr>
                <w:b/>
                <w:bCs w:val="0"/>
                <w:i/>
                <w:iCs/>
                <w:sz w:val="18"/>
                <w:szCs w:val="18"/>
              </w:rPr>
              <w:t xml:space="preserve">PAYABLES </w:t>
            </w:r>
          </w:p>
        </w:tc>
      </w:tr>
      <w:tr w:rsidR="005F127F" w:rsidRPr="0013526B" w14:paraId="209848E2" w14:textId="77777777" w:rsidTr="002764F3">
        <w:tc>
          <w:tcPr>
            <w:tcW w:w="4598" w:type="dxa"/>
            <w:tcBorders>
              <w:top w:val="nil"/>
              <w:left w:val="nil"/>
              <w:bottom w:val="nil"/>
              <w:right w:val="nil"/>
            </w:tcBorders>
          </w:tcPr>
          <w:p w14:paraId="34357CBF" w14:textId="77777777" w:rsidR="005F127F" w:rsidRPr="0013526B" w:rsidRDefault="005F127F" w:rsidP="0013526B">
            <w:pPr>
              <w:ind w:left="336" w:right="-57"/>
              <w:jc w:val="both"/>
              <w:rPr>
                <w:sz w:val="18"/>
                <w:szCs w:val="18"/>
              </w:rPr>
            </w:pPr>
          </w:p>
        </w:tc>
        <w:tc>
          <w:tcPr>
            <w:tcW w:w="4598" w:type="dxa"/>
            <w:tcBorders>
              <w:top w:val="nil"/>
              <w:left w:val="nil"/>
              <w:bottom w:val="nil"/>
              <w:right w:val="nil"/>
            </w:tcBorders>
          </w:tcPr>
          <w:p w14:paraId="02FF8B86" w14:textId="77777777" w:rsidR="005F127F" w:rsidRPr="0013526B" w:rsidRDefault="005F127F" w:rsidP="0013526B">
            <w:pPr>
              <w:pStyle w:val="BodyTextIndent3"/>
              <w:ind w:left="414"/>
              <w:rPr>
                <w:i/>
                <w:sz w:val="18"/>
                <w:szCs w:val="18"/>
                <w:lang w:val="en-US"/>
              </w:rPr>
            </w:pPr>
          </w:p>
        </w:tc>
      </w:tr>
      <w:tr w:rsidR="00467B78" w:rsidRPr="0013526B" w14:paraId="46038C58" w14:textId="77777777" w:rsidTr="002764F3">
        <w:tc>
          <w:tcPr>
            <w:tcW w:w="4598" w:type="dxa"/>
            <w:tcBorders>
              <w:top w:val="nil"/>
              <w:left w:val="nil"/>
              <w:bottom w:val="nil"/>
              <w:right w:val="nil"/>
            </w:tcBorders>
          </w:tcPr>
          <w:p w14:paraId="0D30B83C" w14:textId="3C729E84" w:rsidR="00467B78" w:rsidRPr="0013526B" w:rsidRDefault="00115B30" w:rsidP="00070D1F">
            <w:pPr>
              <w:pStyle w:val="ListParagraph"/>
              <w:numPr>
                <w:ilvl w:val="0"/>
                <w:numId w:val="256"/>
              </w:numPr>
              <w:ind w:left="487" w:hanging="224"/>
              <w:jc w:val="both"/>
              <w:rPr>
                <w:sz w:val="18"/>
                <w:szCs w:val="18"/>
              </w:rPr>
            </w:pPr>
            <w:r>
              <w:rPr>
                <w:sz w:val="18"/>
                <w:szCs w:val="18"/>
              </w:rPr>
              <w:t>Berdasarkan supplier</w:t>
            </w:r>
            <w:r w:rsidR="000C2524" w:rsidRPr="0013526B">
              <w:rPr>
                <w:sz w:val="18"/>
                <w:szCs w:val="18"/>
              </w:rPr>
              <w:t>:</w:t>
            </w:r>
          </w:p>
        </w:tc>
        <w:tc>
          <w:tcPr>
            <w:tcW w:w="4598" w:type="dxa"/>
            <w:tcBorders>
              <w:top w:val="nil"/>
              <w:left w:val="nil"/>
              <w:bottom w:val="nil"/>
              <w:right w:val="nil"/>
            </w:tcBorders>
          </w:tcPr>
          <w:p w14:paraId="21188DC5" w14:textId="0D4EFCB2" w:rsidR="00467B78" w:rsidRPr="0013526B" w:rsidRDefault="00115B30" w:rsidP="00070D1F">
            <w:pPr>
              <w:pStyle w:val="ListParagraph"/>
              <w:numPr>
                <w:ilvl w:val="0"/>
                <w:numId w:val="257"/>
              </w:numPr>
              <w:ind w:left="427" w:hanging="224"/>
              <w:jc w:val="both"/>
              <w:rPr>
                <w:i/>
                <w:sz w:val="18"/>
                <w:szCs w:val="18"/>
              </w:rPr>
            </w:pPr>
            <w:r>
              <w:rPr>
                <w:i/>
                <w:sz w:val="18"/>
                <w:szCs w:val="18"/>
              </w:rPr>
              <w:t>By supplier</w:t>
            </w:r>
            <w:r w:rsidR="000C2524" w:rsidRPr="0013526B">
              <w:rPr>
                <w:i/>
                <w:sz w:val="18"/>
                <w:szCs w:val="18"/>
              </w:rPr>
              <w:t>:</w:t>
            </w:r>
          </w:p>
        </w:tc>
      </w:tr>
    </w:tbl>
    <w:p w14:paraId="04167E47" w14:textId="77777777" w:rsidR="002764F3" w:rsidRPr="002764F3" w:rsidRDefault="002764F3">
      <w:pPr>
        <w:rPr>
          <w:sz w:val="16"/>
          <w:szCs w:val="16"/>
        </w:rPr>
      </w:pPr>
    </w:p>
    <w:tbl>
      <w:tblPr>
        <w:tblW w:w="9197" w:type="dxa"/>
        <w:tblInd w:w="112" w:type="dxa"/>
        <w:tblCellMar>
          <w:left w:w="0" w:type="dxa"/>
          <w:right w:w="0" w:type="dxa"/>
        </w:tblCellMar>
        <w:tblLook w:val="01E0" w:firstRow="1" w:lastRow="1" w:firstColumn="1" w:lastColumn="1" w:noHBand="0" w:noVBand="0"/>
      </w:tblPr>
      <w:tblGrid>
        <w:gridCol w:w="2857"/>
        <w:gridCol w:w="1678"/>
        <w:gridCol w:w="115"/>
        <w:gridCol w:w="1678"/>
        <w:gridCol w:w="2869"/>
      </w:tblGrid>
      <w:tr w:rsidR="00C66E38" w:rsidRPr="00EB24B9" w14:paraId="37F4D919" w14:textId="77777777" w:rsidTr="00183364">
        <w:trPr>
          <w:trHeight w:val="20"/>
        </w:trPr>
        <w:tc>
          <w:tcPr>
            <w:tcW w:w="2857" w:type="dxa"/>
          </w:tcPr>
          <w:p w14:paraId="597B6622" w14:textId="77777777" w:rsidR="00C66E38" w:rsidRPr="00EB24B9" w:rsidRDefault="00C66E38" w:rsidP="00C66E38">
            <w:pPr>
              <w:ind w:left="113"/>
              <w:rPr>
                <w:sz w:val="18"/>
                <w:szCs w:val="18"/>
              </w:rPr>
            </w:pPr>
          </w:p>
        </w:tc>
        <w:tc>
          <w:tcPr>
            <w:tcW w:w="1678" w:type="dxa"/>
            <w:tcBorders>
              <w:bottom w:val="single" w:sz="4" w:space="0" w:color="auto"/>
            </w:tcBorders>
          </w:tcPr>
          <w:p w14:paraId="2931A256" w14:textId="77777777" w:rsidR="00C66E38" w:rsidRDefault="00C66E38" w:rsidP="00C66E38">
            <w:pPr>
              <w:jc w:val="center"/>
              <w:rPr>
                <w:b/>
                <w:sz w:val="18"/>
                <w:szCs w:val="18"/>
              </w:rPr>
            </w:pPr>
            <w:r>
              <w:rPr>
                <w:b/>
                <w:sz w:val="18"/>
                <w:szCs w:val="18"/>
              </w:rPr>
              <w:t>31 Maret/</w:t>
            </w:r>
          </w:p>
          <w:p w14:paraId="6E0A04FC" w14:textId="1A7E19E0" w:rsidR="00C66E38" w:rsidRPr="00EB24B9" w:rsidRDefault="00C66E38" w:rsidP="001808CD">
            <w:pPr>
              <w:jc w:val="center"/>
              <w:rPr>
                <w:b/>
                <w:sz w:val="18"/>
                <w:szCs w:val="18"/>
              </w:rPr>
            </w:pPr>
            <w:r>
              <w:rPr>
                <w:b/>
                <w:sz w:val="18"/>
                <w:szCs w:val="18"/>
              </w:rPr>
              <w:t>March 31</w:t>
            </w:r>
            <w:r w:rsidR="001808CD">
              <w:rPr>
                <w:b/>
                <w:sz w:val="18"/>
                <w:szCs w:val="18"/>
              </w:rPr>
              <w:t>,</w:t>
            </w:r>
            <w:r>
              <w:rPr>
                <w:b/>
                <w:sz w:val="18"/>
                <w:szCs w:val="18"/>
              </w:rPr>
              <w:t xml:space="preserve"> 2020</w:t>
            </w:r>
          </w:p>
        </w:tc>
        <w:tc>
          <w:tcPr>
            <w:tcW w:w="115" w:type="dxa"/>
          </w:tcPr>
          <w:p w14:paraId="116E2133" w14:textId="77777777" w:rsidR="00C66E38" w:rsidRPr="00EB24B9" w:rsidRDefault="00C66E38" w:rsidP="00C66E38">
            <w:pPr>
              <w:jc w:val="center"/>
              <w:rPr>
                <w:b/>
                <w:sz w:val="18"/>
                <w:szCs w:val="18"/>
              </w:rPr>
            </w:pPr>
          </w:p>
        </w:tc>
        <w:tc>
          <w:tcPr>
            <w:tcW w:w="1678" w:type="dxa"/>
            <w:tcBorders>
              <w:bottom w:val="single" w:sz="4" w:space="0" w:color="auto"/>
            </w:tcBorders>
          </w:tcPr>
          <w:p w14:paraId="19161770" w14:textId="77777777" w:rsidR="00C66E38" w:rsidRDefault="00C66E38" w:rsidP="00C66E38">
            <w:pPr>
              <w:jc w:val="center"/>
              <w:rPr>
                <w:b/>
                <w:sz w:val="18"/>
                <w:szCs w:val="18"/>
              </w:rPr>
            </w:pPr>
            <w:r>
              <w:rPr>
                <w:b/>
                <w:sz w:val="18"/>
                <w:szCs w:val="18"/>
              </w:rPr>
              <w:t>31 Desember/</w:t>
            </w:r>
          </w:p>
          <w:p w14:paraId="48FC5980" w14:textId="4356A951" w:rsidR="00C66E38" w:rsidRPr="00EB24B9" w:rsidRDefault="00C66E38" w:rsidP="001808CD">
            <w:pPr>
              <w:jc w:val="center"/>
              <w:rPr>
                <w:b/>
                <w:sz w:val="18"/>
                <w:szCs w:val="18"/>
              </w:rPr>
            </w:pPr>
            <w:r>
              <w:rPr>
                <w:b/>
                <w:sz w:val="18"/>
                <w:szCs w:val="18"/>
              </w:rPr>
              <w:t>December 31</w:t>
            </w:r>
            <w:r w:rsidR="001808CD">
              <w:rPr>
                <w:b/>
                <w:sz w:val="18"/>
                <w:szCs w:val="18"/>
              </w:rPr>
              <w:t>,</w:t>
            </w:r>
            <w:r>
              <w:rPr>
                <w:b/>
                <w:sz w:val="18"/>
                <w:szCs w:val="18"/>
              </w:rPr>
              <w:t xml:space="preserve"> </w:t>
            </w:r>
            <w:r w:rsidRPr="0013526B">
              <w:rPr>
                <w:b/>
                <w:sz w:val="18"/>
                <w:szCs w:val="18"/>
              </w:rPr>
              <w:t>201</w:t>
            </w:r>
            <w:r>
              <w:rPr>
                <w:b/>
                <w:sz w:val="18"/>
                <w:szCs w:val="18"/>
              </w:rPr>
              <w:t>9</w:t>
            </w:r>
          </w:p>
        </w:tc>
        <w:tc>
          <w:tcPr>
            <w:tcW w:w="2869" w:type="dxa"/>
          </w:tcPr>
          <w:p w14:paraId="14025147" w14:textId="77777777" w:rsidR="00C66E38" w:rsidRPr="00EB24B9" w:rsidRDefault="00C66E38" w:rsidP="00C66E38">
            <w:pPr>
              <w:ind w:right="34"/>
              <w:jc w:val="right"/>
              <w:rPr>
                <w:i/>
                <w:sz w:val="18"/>
                <w:szCs w:val="18"/>
              </w:rPr>
            </w:pPr>
          </w:p>
        </w:tc>
      </w:tr>
      <w:tr w:rsidR="00EB24B9" w:rsidRPr="00EB24B9" w14:paraId="22066639" w14:textId="77777777" w:rsidTr="00183364">
        <w:trPr>
          <w:trHeight w:val="20"/>
        </w:trPr>
        <w:tc>
          <w:tcPr>
            <w:tcW w:w="2857" w:type="dxa"/>
          </w:tcPr>
          <w:p w14:paraId="473978C9" w14:textId="77777777" w:rsidR="00F57AF0" w:rsidRPr="00EB24B9" w:rsidRDefault="00F57AF0" w:rsidP="0013526B">
            <w:pPr>
              <w:ind w:leftChars="292" w:left="971" w:hanging="270"/>
              <w:rPr>
                <w:bCs w:val="0"/>
                <w:sz w:val="18"/>
                <w:szCs w:val="18"/>
              </w:rPr>
            </w:pPr>
          </w:p>
        </w:tc>
        <w:tc>
          <w:tcPr>
            <w:tcW w:w="1678" w:type="dxa"/>
            <w:tcBorders>
              <w:top w:val="single" w:sz="4" w:space="0" w:color="auto"/>
            </w:tcBorders>
            <w:vAlign w:val="bottom"/>
          </w:tcPr>
          <w:p w14:paraId="02DB95A8" w14:textId="77777777" w:rsidR="00F57AF0" w:rsidRPr="00EB24B9" w:rsidRDefault="00F57AF0" w:rsidP="0013526B">
            <w:pPr>
              <w:ind w:right="29"/>
              <w:jc w:val="right"/>
              <w:rPr>
                <w:bCs w:val="0"/>
                <w:sz w:val="18"/>
                <w:szCs w:val="18"/>
              </w:rPr>
            </w:pPr>
          </w:p>
        </w:tc>
        <w:tc>
          <w:tcPr>
            <w:tcW w:w="115" w:type="dxa"/>
            <w:vAlign w:val="bottom"/>
          </w:tcPr>
          <w:p w14:paraId="3D091151" w14:textId="77777777" w:rsidR="00F57AF0" w:rsidRPr="00EB24B9" w:rsidRDefault="00F57AF0" w:rsidP="0013526B">
            <w:pPr>
              <w:ind w:right="29"/>
              <w:jc w:val="right"/>
              <w:rPr>
                <w:bCs w:val="0"/>
                <w:sz w:val="18"/>
                <w:szCs w:val="18"/>
              </w:rPr>
            </w:pPr>
          </w:p>
        </w:tc>
        <w:tc>
          <w:tcPr>
            <w:tcW w:w="1678" w:type="dxa"/>
            <w:tcBorders>
              <w:top w:val="single" w:sz="4" w:space="0" w:color="auto"/>
            </w:tcBorders>
            <w:vAlign w:val="bottom"/>
          </w:tcPr>
          <w:p w14:paraId="1FEA2E9E" w14:textId="77777777" w:rsidR="00F57AF0" w:rsidRPr="00EB24B9" w:rsidRDefault="00F57AF0" w:rsidP="0013526B">
            <w:pPr>
              <w:ind w:right="29"/>
              <w:jc w:val="right"/>
              <w:rPr>
                <w:bCs w:val="0"/>
                <w:sz w:val="18"/>
                <w:szCs w:val="18"/>
              </w:rPr>
            </w:pPr>
          </w:p>
        </w:tc>
        <w:tc>
          <w:tcPr>
            <w:tcW w:w="2869" w:type="dxa"/>
          </w:tcPr>
          <w:p w14:paraId="760B13E0" w14:textId="77777777" w:rsidR="00F57AF0" w:rsidRPr="00EB24B9" w:rsidRDefault="00F57AF0" w:rsidP="0013526B">
            <w:pPr>
              <w:numPr>
                <w:ilvl w:val="12"/>
                <w:numId w:val="0"/>
              </w:numPr>
              <w:ind w:left="480" w:right="148" w:hanging="180"/>
              <w:jc w:val="right"/>
              <w:rPr>
                <w:i/>
                <w:sz w:val="18"/>
                <w:szCs w:val="18"/>
              </w:rPr>
            </w:pPr>
          </w:p>
        </w:tc>
      </w:tr>
      <w:tr w:rsidR="0031460D" w:rsidRPr="00EB24B9" w14:paraId="0B4B05B2" w14:textId="77777777" w:rsidTr="0031460D">
        <w:trPr>
          <w:trHeight w:val="20"/>
        </w:trPr>
        <w:tc>
          <w:tcPr>
            <w:tcW w:w="2857" w:type="dxa"/>
            <w:vAlign w:val="bottom"/>
          </w:tcPr>
          <w:p w14:paraId="29333D52" w14:textId="77777777" w:rsidR="0031460D" w:rsidRPr="00EB24B9" w:rsidRDefault="0031460D" w:rsidP="0031460D">
            <w:pPr>
              <w:ind w:left="596"/>
              <w:rPr>
                <w:sz w:val="18"/>
                <w:szCs w:val="18"/>
              </w:rPr>
            </w:pPr>
            <w:r w:rsidRPr="00EB24B9">
              <w:rPr>
                <w:sz w:val="18"/>
                <w:szCs w:val="18"/>
              </w:rPr>
              <w:t>PT GE Operations Indonesia</w:t>
            </w:r>
          </w:p>
        </w:tc>
        <w:tc>
          <w:tcPr>
            <w:tcW w:w="1678" w:type="dxa"/>
            <w:shd w:val="clear" w:color="auto" w:fill="auto"/>
            <w:vAlign w:val="bottom"/>
          </w:tcPr>
          <w:p w14:paraId="2DC438A0" w14:textId="77777777" w:rsidR="0031460D" w:rsidRPr="00374F22" w:rsidRDefault="0031460D" w:rsidP="0031460D">
            <w:pPr>
              <w:ind w:right="29"/>
              <w:jc w:val="right"/>
              <w:rPr>
                <w:sz w:val="18"/>
                <w:szCs w:val="18"/>
              </w:rPr>
            </w:pPr>
            <w:r>
              <w:rPr>
                <w:sz w:val="18"/>
                <w:szCs w:val="18"/>
              </w:rPr>
              <w:t>13.023.034.487</w:t>
            </w:r>
          </w:p>
        </w:tc>
        <w:tc>
          <w:tcPr>
            <w:tcW w:w="115" w:type="dxa"/>
            <w:vAlign w:val="bottom"/>
          </w:tcPr>
          <w:p w14:paraId="5BBD10B0" w14:textId="77777777" w:rsidR="0031460D" w:rsidRPr="00374F22" w:rsidRDefault="0031460D" w:rsidP="0031460D">
            <w:pPr>
              <w:ind w:right="29"/>
              <w:jc w:val="right"/>
              <w:rPr>
                <w:bCs w:val="0"/>
                <w:sz w:val="18"/>
                <w:szCs w:val="18"/>
              </w:rPr>
            </w:pPr>
          </w:p>
        </w:tc>
        <w:tc>
          <w:tcPr>
            <w:tcW w:w="1678" w:type="dxa"/>
            <w:vAlign w:val="bottom"/>
          </w:tcPr>
          <w:p w14:paraId="7F362379" w14:textId="77777777" w:rsidR="0031460D" w:rsidRPr="00374F22" w:rsidRDefault="0031460D" w:rsidP="0031460D">
            <w:pPr>
              <w:ind w:right="29"/>
              <w:jc w:val="right"/>
              <w:rPr>
                <w:sz w:val="18"/>
                <w:szCs w:val="18"/>
                <w:lang w:val="id-ID"/>
              </w:rPr>
            </w:pPr>
            <w:r w:rsidRPr="00374F22">
              <w:rPr>
                <w:sz w:val="18"/>
                <w:szCs w:val="18"/>
              </w:rPr>
              <w:t>3.592.426.666</w:t>
            </w:r>
          </w:p>
        </w:tc>
        <w:tc>
          <w:tcPr>
            <w:tcW w:w="2869" w:type="dxa"/>
            <w:vAlign w:val="bottom"/>
          </w:tcPr>
          <w:p w14:paraId="5AFBDC9B" w14:textId="77777777" w:rsidR="0031460D" w:rsidRPr="00EB24B9" w:rsidRDefault="0031460D" w:rsidP="0031460D">
            <w:pPr>
              <w:numPr>
                <w:ilvl w:val="12"/>
                <w:numId w:val="0"/>
              </w:numPr>
              <w:ind w:right="57"/>
              <w:jc w:val="right"/>
              <w:rPr>
                <w:i/>
                <w:sz w:val="18"/>
                <w:szCs w:val="18"/>
              </w:rPr>
            </w:pPr>
            <w:r w:rsidRPr="00EB24B9">
              <w:rPr>
                <w:i/>
                <w:sz w:val="18"/>
                <w:szCs w:val="18"/>
              </w:rPr>
              <w:t>PT GE Operations Indonesia</w:t>
            </w:r>
          </w:p>
        </w:tc>
      </w:tr>
      <w:tr w:rsidR="00F84E7F" w:rsidRPr="00EB24B9" w14:paraId="4FCAA1A2" w14:textId="77777777" w:rsidTr="00183364">
        <w:trPr>
          <w:trHeight w:val="20"/>
        </w:trPr>
        <w:tc>
          <w:tcPr>
            <w:tcW w:w="2857" w:type="dxa"/>
            <w:vAlign w:val="bottom"/>
          </w:tcPr>
          <w:p w14:paraId="70F4C2E5" w14:textId="77777777" w:rsidR="00F84E7F" w:rsidRPr="00EB24B9" w:rsidRDefault="00F84E7F" w:rsidP="00F84E7F">
            <w:pPr>
              <w:ind w:left="596"/>
              <w:rPr>
                <w:sz w:val="18"/>
                <w:szCs w:val="18"/>
              </w:rPr>
            </w:pPr>
            <w:r w:rsidRPr="00EB24B9">
              <w:rPr>
                <w:sz w:val="18"/>
                <w:szCs w:val="18"/>
              </w:rPr>
              <w:t>PT Tawada Healthcare</w:t>
            </w:r>
          </w:p>
        </w:tc>
        <w:tc>
          <w:tcPr>
            <w:tcW w:w="1678" w:type="dxa"/>
            <w:shd w:val="clear" w:color="auto" w:fill="auto"/>
            <w:vAlign w:val="bottom"/>
          </w:tcPr>
          <w:p w14:paraId="78E5C59F" w14:textId="000053E6" w:rsidR="00F84E7F" w:rsidRPr="00374F22" w:rsidRDefault="00C65BC5" w:rsidP="00F84E7F">
            <w:pPr>
              <w:ind w:right="29"/>
              <w:jc w:val="right"/>
              <w:rPr>
                <w:sz w:val="18"/>
                <w:szCs w:val="18"/>
              </w:rPr>
            </w:pPr>
            <w:r>
              <w:rPr>
                <w:sz w:val="18"/>
                <w:szCs w:val="18"/>
              </w:rPr>
              <w:t>6.979.419.293</w:t>
            </w:r>
          </w:p>
        </w:tc>
        <w:tc>
          <w:tcPr>
            <w:tcW w:w="115" w:type="dxa"/>
            <w:vAlign w:val="bottom"/>
          </w:tcPr>
          <w:p w14:paraId="21DB5D53" w14:textId="77777777" w:rsidR="00F84E7F" w:rsidRPr="00374F22" w:rsidRDefault="00F84E7F" w:rsidP="00F84E7F">
            <w:pPr>
              <w:ind w:right="57"/>
              <w:jc w:val="right"/>
              <w:rPr>
                <w:bCs w:val="0"/>
                <w:sz w:val="18"/>
                <w:szCs w:val="18"/>
              </w:rPr>
            </w:pPr>
          </w:p>
        </w:tc>
        <w:tc>
          <w:tcPr>
            <w:tcW w:w="1678" w:type="dxa"/>
            <w:vAlign w:val="bottom"/>
          </w:tcPr>
          <w:p w14:paraId="7797F6AA" w14:textId="09D70BD3" w:rsidR="00F84E7F" w:rsidRPr="00374F22" w:rsidRDefault="00F84E7F" w:rsidP="00F84E7F">
            <w:pPr>
              <w:ind w:right="57"/>
              <w:jc w:val="right"/>
              <w:rPr>
                <w:bCs w:val="0"/>
                <w:sz w:val="18"/>
                <w:szCs w:val="18"/>
              </w:rPr>
            </w:pPr>
            <w:r w:rsidRPr="00374F22">
              <w:rPr>
                <w:sz w:val="18"/>
                <w:szCs w:val="18"/>
              </w:rPr>
              <w:t>8.257.539.046</w:t>
            </w:r>
          </w:p>
        </w:tc>
        <w:tc>
          <w:tcPr>
            <w:tcW w:w="2869" w:type="dxa"/>
            <w:vAlign w:val="bottom"/>
          </w:tcPr>
          <w:p w14:paraId="1BDEDCD5" w14:textId="77777777" w:rsidR="00F84E7F" w:rsidRPr="00EB24B9" w:rsidRDefault="00F84E7F" w:rsidP="00F84E7F">
            <w:pPr>
              <w:numPr>
                <w:ilvl w:val="12"/>
                <w:numId w:val="0"/>
              </w:numPr>
              <w:ind w:right="57"/>
              <w:jc w:val="right"/>
              <w:rPr>
                <w:i/>
                <w:sz w:val="18"/>
                <w:szCs w:val="18"/>
              </w:rPr>
            </w:pPr>
            <w:r w:rsidRPr="00EB24B9">
              <w:rPr>
                <w:i/>
                <w:sz w:val="18"/>
                <w:szCs w:val="18"/>
              </w:rPr>
              <w:t>PT Tawada Healthcare</w:t>
            </w:r>
          </w:p>
        </w:tc>
      </w:tr>
      <w:tr w:rsidR="00F84E7F" w:rsidRPr="00EB24B9" w14:paraId="1B41AEBF" w14:textId="77777777" w:rsidTr="00183364">
        <w:trPr>
          <w:trHeight w:val="20"/>
        </w:trPr>
        <w:tc>
          <w:tcPr>
            <w:tcW w:w="2857" w:type="dxa"/>
            <w:vAlign w:val="bottom"/>
          </w:tcPr>
          <w:p w14:paraId="6A8C5745" w14:textId="2F46498D" w:rsidR="00F84E7F" w:rsidRPr="00EB24B9" w:rsidRDefault="00F84E7F" w:rsidP="003C1A26">
            <w:pPr>
              <w:ind w:left="744" w:hanging="148"/>
              <w:rPr>
                <w:b/>
                <w:bCs w:val="0"/>
                <w:sz w:val="18"/>
                <w:szCs w:val="18"/>
                <w:u w:val="single"/>
              </w:rPr>
            </w:pPr>
            <w:r w:rsidRPr="00EB24B9">
              <w:rPr>
                <w:sz w:val="18"/>
                <w:szCs w:val="18"/>
              </w:rPr>
              <w:t>PT Anugerah</w:t>
            </w:r>
            <w:r w:rsidRPr="00EB24B9">
              <w:rPr>
                <w:spacing w:val="-1"/>
                <w:sz w:val="18"/>
                <w:szCs w:val="18"/>
              </w:rPr>
              <w:t xml:space="preserve"> </w:t>
            </w:r>
            <w:r w:rsidRPr="00EB24B9">
              <w:rPr>
                <w:sz w:val="18"/>
                <w:szCs w:val="18"/>
              </w:rPr>
              <w:t>Pharmindo</w:t>
            </w:r>
            <w:r w:rsidRPr="00EB24B9">
              <w:rPr>
                <w:spacing w:val="-2"/>
                <w:sz w:val="18"/>
                <w:szCs w:val="18"/>
              </w:rPr>
              <w:t xml:space="preserve"> </w:t>
            </w:r>
            <w:r w:rsidRPr="00EB24B9">
              <w:rPr>
                <w:sz w:val="18"/>
                <w:szCs w:val="18"/>
              </w:rPr>
              <w:t>Lestari</w:t>
            </w:r>
          </w:p>
        </w:tc>
        <w:tc>
          <w:tcPr>
            <w:tcW w:w="1678" w:type="dxa"/>
            <w:vAlign w:val="bottom"/>
          </w:tcPr>
          <w:p w14:paraId="24FCE59C" w14:textId="30855D53" w:rsidR="00F84E7F" w:rsidRPr="00C65BC5" w:rsidRDefault="00C65BC5" w:rsidP="00F84E7F">
            <w:pPr>
              <w:ind w:right="29"/>
              <w:jc w:val="right"/>
              <w:rPr>
                <w:bCs w:val="0"/>
                <w:sz w:val="18"/>
                <w:szCs w:val="18"/>
              </w:rPr>
            </w:pPr>
            <w:r>
              <w:rPr>
                <w:bCs w:val="0"/>
                <w:sz w:val="18"/>
                <w:szCs w:val="18"/>
              </w:rPr>
              <w:t>5.480.957.861</w:t>
            </w:r>
          </w:p>
        </w:tc>
        <w:tc>
          <w:tcPr>
            <w:tcW w:w="115" w:type="dxa"/>
            <w:vAlign w:val="bottom"/>
          </w:tcPr>
          <w:p w14:paraId="15014899" w14:textId="77777777" w:rsidR="00F84E7F" w:rsidRPr="00374F22" w:rsidRDefault="00F84E7F" w:rsidP="00F84E7F">
            <w:pPr>
              <w:ind w:right="29"/>
              <w:jc w:val="right"/>
              <w:rPr>
                <w:bCs w:val="0"/>
                <w:sz w:val="18"/>
                <w:szCs w:val="18"/>
                <w:u w:val="single"/>
              </w:rPr>
            </w:pPr>
          </w:p>
        </w:tc>
        <w:tc>
          <w:tcPr>
            <w:tcW w:w="1678" w:type="dxa"/>
            <w:shd w:val="clear" w:color="auto" w:fill="auto"/>
            <w:vAlign w:val="bottom"/>
          </w:tcPr>
          <w:p w14:paraId="6D4ACE86" w14:textId="3F039F88" w:rsidR="00F84E7F" w:rsidRPr="00374F22" w:rsidRDefault="00F84E7F" w:rsidP="00F84E7F">
            <w:pPr>
              <w:ind w:right="29"/>
              <w:jc w:val="right"/>
              <w:rPr>
                <w:bCs w:val="0"/>
                <w:sz w:val="18"/>
                <w:szCs w:val="18"/>
                <w:u w:val="single"/>
              </w:rPr>
            </w:pPr>
            <w:r w:rsidRPr="00374F22">
              <w:rPr>
                <w:sz w:val="18"/>
                <w:szCs w:val="18"/>
              </w:rPr>
              <w:t>4.933.895.574</w:t>
            </w:r>
          </w:p>
        </w:tc>
        <w:tc>
          <w:tcPr>
            <w:tcW w:w="2869" w:type="dxa"/>
            <w:vAlign w:val="bottom"/>
          </w:tcPr>
          <w:p w14:paraId="69E1ECAE" w14:textId="78C0A363" w:rsidR="00F84E7F" w:rsidRPr="00EB24B9" w:rsidRDefault="00F84E7F" w:rsidP="00F84E7F">
            <w:pPr>
              <w:numPr>
                <w:ilvl w:val="12"/>
                <w:numId w:val="0"/>
              </w:numPr>
              <w:ind w:right="57"/>
              <w:jc w:val="right"/>
              <w:rPr>
                <w:i/>
                <w:sz w:val="18"/>
                <w:szCs w:val="18"/>
              </w:rPr>
            </w:pPr>
            <w:r w:rsidRPr="00EB24B9">
              <w:rPr>
                <w:i/>
                <w:sz w:val="18"/>
                <w:szCs w:val="18"/>
              </w:rPr>
              <w:t>PT Anugerah Pharmindo Lestari</w:t>
            </w:r>
          </w:p>
        </w:tc>
      </w:tr>
      <w:tr w:rsidR="0031460D" w:rsidRPr="00EB24B9" w14:paraId="68F22380" w14:textId="77777777" w:rsidTr="0031460D">
        <w:trPr>
          <w:trHeight w:val="20"/>
        </w:trPr>
        <w:tc>
          <w:tcPr>
            <w:tcW w:w="2857" w:type="dxa"/>
            <w:vAlign w:val="bottom"/>
          </w:tcPr>
          <w:p w14:paraId="77ECDEC0" w14:textId="77777777" w:rsidR="0031460D" w:rsidRPr="00EB24B9" w:rsidRDefault="0031460D" w:rsidP="0031460D">
            <w:pPr>
              <w:ind w:left="744" w:hanging="148"/>
              <w:rPr>
                <w:sz w:val="18"/>
                <w:szCs w:val="18"/>
              </w:rPr>
            </w:pPr>
            <w:r w:rsidRPr="00EB24B9">
              <w:rPr>
                <w:sz w:val="18"/>
                <w:szCs w:val="18"/>
              </w:rPr>
              <w:t>PT IDS Medical System Indonesia</w:t>
            </w:r>
          </w:p>
        </w:tc>
        <w:tc>
          <w:tcPr>
            <w:tcW w:w="1678" w:type="dxa"/>
            <w:shd w:val="clear" w:color="auto" w:fill="auto"/>
            <w:vAlign w:val="bottom"/>
          </w:tcPr>
          <w:p w14:paraId="552A759E" w14:textId="77777777" w:rsidR="0031460D" w:rsidRPr="00374F22" w:rsidRDefault="0031460D" w:rsidP="0031460D">
            <w:pPr>
              <w:ind w:right="29"/>
              <w:jc w:val="right"/>
              <w:rPr>
                <w:sz w:val="18"/>
                <w:szCs w:val="18"/>
              </w:rPr>
            </w:pPr>
            <w:r>
              <w:rPr>
                <w:sz w:val="18"/>
                <w:szCs w:val="18"/>
              </w:rPr>
              <w:t>5.402.341.763</w:t>
            </w:r>
          </w:p>
        </w:tc>
        <w:tc>
          <w:tcPr>
            <w:tcW w:w="115" w:type="dxa"/>
            <w:vAlign w:val="bottom"/>
          </w:tcPr>
          <w:p w14:paraId="58EF10A1" w14:textId="77777777" w:rsidR="0031460D" w:rsidRPr="00374F22" w:rsidRDefault="0031460D" w:rsidP="0031460D">
            <w:pPr>
              <w:ind w:right="57"/>
              <w:jc w:val="right"/>
              <w:rPr>
                <w:bCs w:val="0"/>
                <w:sz w:val="18"/>
                <w:szCs w:val="18"/>
              </w:rPr>
            </w:pPr>
          </w:p>
        </w:tc>
        <w:tc>
          <w:tcPr>
            <w:tcW w:w="1678" w:type="dxa"/>
            <w:vAlign w:val="bottom"/>
          </w:tcPr>
          <w:p w14:paraId="665DCF58" w14:textId="77777777" w:rsidR="0031460D" w:rsidRPr="00374F22" w:rsidRDefault="0031460D" w:rsidP="0031460D">
            <w:pPr>
              <w:ind w:right="57"/>
              <w:jc w:val="right"/>
              <w:rPr>
                <w:bCs w:val="0"/>
                <w:sz w:val="18"/>
                <w:szCs w:val="18"/>
              </w:rPr>
            </w:pPr>
            <w:r w:rsidRPr="00374F22">
              <w:rPr>
                <w:sz w:val="18"/>
                <w:szCs w:val="18"/>
              </w:rPr>
              <w:t>2.493.586.488</w:t>
            </w:r>
          </w:p>
        </w:tc>
        <w:tc>
          <w:tcPr>
            <w:tcW w:w="2869" w:type="dxa"/>
            <w:vAlign w:val="bottom"/>
          </w:tcPr>
          <w:p w14:paraId="37E86186" w14:textId="77777777" w:rsidR="0031460D" w:rsidRPr="00EB24B9" w:rsidRDefault="0031460D" w:rsidP="0031460D">
            <w:pPr>
              <w:numPr>
                <w:ilvl w:val="12"/>
                <w:numId w:val="0"/>
              </w:numPr>
              <w:ind w:right="57"/>
              <w:jc w:val="right"/>
              <w:rPr>
                <w:i/>
                <w:sz w:val="18"/>
                <w:szCs w:val="18"/>
                <w:lang w:val="id-ID"/>
              </w:rPr>
            </w:pPr>
            <w:r w:rsidRPr="00EB24B9">
              <w:rPr>
                <w:i/>
                <w:sz w:val="18"/>
                <w:szCs w:val="18"/>
              </w:rPr>
              <w:t>PT IDS Medical System Indonesia</w:t>
            </w:r>
          </w:p>
        </w:tc>
      </w:tr>
      <w:tr w:rsidR="0031460D" w:rsidRPr="00EB24B9" w14:paraId="3BFBDF93" w14:textId="77777777" w:rsidTr="0031460D">
        <w:trPr>
          <w:trHeight w:val="20"/>
        </w:trPr>
        <w:tc>
          <w:tcPr>
            <w:tcW w:w="2857" w:type="dxa"/>
            <w:vAlign w:val="bottom"/>
          </w:tcPr>
          <w:p w14:paraId="2F675A99" w14:textId="77777777" w:rsidR="0031460D" w:rsidRPr="00EB24B9" w:rsidRDefault="0031460D" w:rsidP="0031460D">
            <w:pPr>
              <w:ind w:left="744" w:hanging="148"/>
              <w:rPr>
                <w:sz w:val="18"/>
                <w:szCs w:val="18"/>
              </w:rPr>
            </w:pPr>
            <w:r w:rsidRPr="00EB24B9">
              <w:rPr>
                <w:sz w:val="18"/>
                <w:szCs w:val="18"/>
              </w:rPr>
              <w:t>PT Enseval Putera Mega Trading Tbk</w:t>
            </w:r>
          </w:p>
        </w:tc>
        <w:tc>
          <w:tcPr>
            <w:tcW w:w="1678" w:type="dxa"/>
            <w:shd w:val="clear" w:color="auto" w:fill="auto"/>
            <w:vAlign w:val="bottom"/>
          </w:tcPr>
          <w:p w14:paraId="2B0B75C0" w14:textId="77777777" w:rsidR="0031460D" w:rsidRPr="00374F22" w:rsidRDefault="0031460D" w:rsidP="0031460D">
            <w:pPr>
              <w:ind w:right="29"/>
              <w:jc w:val="right"/>
              <w:rPr>
                <w:sz w:val="18"/>
                <w:szCs w:val="18"/>
              </w:rPr>
            </w:pPr>
            <w:r>
              <w:rPr>
                <w:sz w:val="18"/>
                <w:szCs w:val="18"/>
              </w:rPr>
              <w:t>4.318.397.400</w:t>
            </w:r>
          </w:p>
        </w:tc>
        <w:tc>
          <w:tcPr>
            <w:tcW w:w="115" w:type="dxa"/>
            <w:vAlign w:val="bottom"/>
          </w:tcPr>
          <w:p w14:paraId="71B11C3E" w14:textId="77777777" w:rsidR="0031460D" w:rsidRPr="00374F22" w:rsidRDefault="0031460D" w:rsidP="0031460D">
            <w:pPr>
              <w:ind w:right="57"/>
              <w:jc w:val="right"/>
              <w:rPr>
                <w:bCs w:val="0"/>
                <w:sz w:val="18"/>
                <w:szCs w:val="18"/>
              </w:rPr>
            </w:pPr>
          </w:p>
        </w:tc>
        <w:tc>
          <w:tcPr>
            <w:tcW w:w="1678" w:type="dxa"/>
            <w:vAlign w:val="bottom"/>
          </w:tcPr>
          <w:p w14:paraId="32955A08" w14:textId="77777777" w:rsidR="0031460D" w:rsidRPr="00374F22" w:rsidRDefault="0031460D" w:rsidP="0031460D">
            <w:pPr>
              <w:ind w:right="57"/>
              <w:jc w:val="right"/>
              <w:rPr>
                <w:bCs w:val="0"/>
                <w:sz w:val="18"/>
                <w:szCs w:val="18"/>
              </w:rPr>
            </w:pPr>
            <w:r w:rsidRPr="00374F22">
              <w:rPr>
                <w:sz w:val="18"/>
                <w:szCs w:val="18"/>
              </w:rPr>
              <w:t>3.671.492.351</w:t>
            </w:r>
          </w:p>
        </w:tc>
        <w:tc>
          <w:tcPr>
            <w:tcW w:w="2869" w:type="dxa"/>
            <w:vAlign w:val="bottom"/>
          </w:tcPr>
          <w:p w14:paraId="26ABA0C7" w14:textId="77777777" w:rsidR="0031460D" w:rsidRDefault="0031460D" w:rsidP="0031460D">
            <w:pPr>
              <w:numPr>
                <w:ilvl w:val="12"/>
                <w:numId w:val="0"/>
              </w:numPr>
              <w:ind w:right="57"/>
              <w:jc w:val="right"/>
              <w:rPr>
                <w:i/>
                <w:sz w:val="18"/>
                <w:szCs w:val="18"/>
              </w:rPr>
            </w:pPr>
            <w:r w:rsidRPr="00EB24B9">
              <w:rPr>
                <w:i/>
                <w:sz w:val="18"/>
                <w:szCs w:val="18"/>
              </w:rPr>
              <w:t>PT Enseval Putera Mega Trading</w:t>
            </w:r>
          </w:p>
          <w:p w14:paraId="2143AACB" w14:textId="77777777" w:rsidR="0031460D" w:rsidRPr="00EB24B9" w:rsidRDefault="0031460D" w:rsidP="0031460D">
            <w:pPr>
              <w:numPr>
                <w:ilvl w:val="12"/>
                <w:numId w:val="0"/>
              </w:numPr>
              <w:ind w:right="247"/>
              <w:jc w:val="right"/>
              <w:rPr>
                <w:i/>
                <w:sz w:val="18"/>
                <w:szCs w:val="18"/>
              </w:rPr>
            </w:pPr>
            <w:r w:rsidRPr="00EB24B9">
              <w:rPr>
                <w:i/>
                <w:sz w:val="18"/>
                <w:szCs w:val="18"/>
              </w:rPr>
              <w:t>Tbk</w:t>
            </w:r>
          </w:p>
        </w:tc>
      </w:tr>
      <w:tr w:rsidR="00F84E7F" w:rsidRPr="00EB24B9" w14:paraId="66B5FEB6" w14:textId="77777777" w:rsidTr="00183364">
        <w:trPr>
          <w:trHeight w:val="20"/>
        </w:trPr>
        <w:tc>
          <w:tcPr>
            <w:tcW w:w="2857" w:type="dxa"/>
            <w:vAlign w:val="bottom"/>
          </w:tcPr>
          <w:p w14:paraId="4FDD58FF" w14:textId="77777777" w:rsidR="00F84E7F" w:rsidRPr="00EB24B9" w:rsidRDefault="00F84E7F" w:rsidP="00F84E7F">
            <w:pPr>
              <w:ind w:left="596"/>
              <w:rPr>
                <w:sz w:val="18"/>
                <w:szCs w:val="18"/>
              </w:rPr>
            </w:pPr>
            <w:r w:rsidRPr="00EB24B9">
              <w:rPr>
                <w:sz w:val="18"/>
                <w:szCs w:val="18"/>
              </w:rPr>
              <w:t>PT Anugrah Argon Medica</w:t>
            </w:r>
          </w:p>
        </w:tc>
        <w:tc>
          <w:tcPr>
            <w:tcW w:w="1678" w:type="dxa"/>
            <w:shd w:val="clear" w:color="auto" w:fill="auto"/>
            <w:vAlign w:val="bottom"/>
          </w:tcPr>
          <w:p w14:paraId="79AC0B9F" w14:textId="4A01B5EE" w:rsidR="00F84E7F" w:rsidRPr="00374F22" w:rsidRDefault="00C65BC5" w:rsidP="00F84E7F">
            <w:pPr>
              <w:ind w:right="29"/>
              <w:jc w:val="right"/>
              <w:rPr>
                <w:sz w:val="18"/>
                <w:szCs w:val="18"/>
              </w:rPr>
            </w:pPr>
            <w:r>
              <w:rPr>
                <w:sz w:val="18"/>
                <w:szCs w:val="18"/>
              </w:rPr>
              <w:t>4.141.810.019</w:t>
            </w:r>
          </w:p>
        </w:tc>
        <w:tc>
          <w:tcPr>
            <w:tcW w:w="115" w:type="dxa"/>
            <w:vAlign w:val="bottom"/>
          </w:tcPr>
          <w:p w14:paraId="5846C806" w14:textId="77777777" w:rsidR="00F84E7F" w:rsidRPr="00374F22" w:rsidRDefault="00F84E7F" w:rsidP="00F84E7F">
            <w:pPr>
              <w:ind w:right="57"/>
              <w:jc w:val="right"/>
              <w:rPr>
                <w:bCs w:val="0"/>
                <w:sz w:val="18"/>
                <w:szCs w:val="18"/>
              </w:rPr>
            </w:pPr>
          </w:p>
        </w:tc>
        <w:tc>
          <w:tcPr>
            <w:tcW w:w="1678" w:type="dxa"/>
            <w:vAlign w:val="bottom"/>
          </w:tcPr>
          <w:p w14:paraId="2E74725C" w14:textId="2E1C91EE" w:rsidR="00F84E7F" w:rsidRPr="00374F22" w:rsidRDefault="00F84E7F" w:rsidP="00F84E7F">
            <w:pPr>
              <w:ind w:right="57"/>
              <w:jc w:val="right"/>
              <w:rPr>
                <w:bCs w:val="0"/>
                <w:sz w:val="18"/>
                <w:szCs w:val="18"/>
              </w:rPr>
            </w:pPr>
            <w:r w:rsidRPr="00374F22">
              <w:rPr>
                <w:sz w:val="18"/>
                <w:szCs w:val="18"/>
              </w:rPr>
              <w:t>3.691.213.891</w:t>
            </w:r>
          </w:p>
        </w:tc>
        <w:tc>
          <w:tcPr>
            <w:tcW w:w="2869" w:type="dxa"/>
            <w:vAlign w:val="bottom"/>
          </w:tcPr>
          <w:p w14:paraId="445407A4" w14:textId="77777777" w:rsidR="00F84E7F" w:rsidRPr="00EB24B9" w:rsidRDefault="00F84E7F" w:rsidP="00F84E7F">
            <w:pPr>
              <w:numPr>
                <w:ilvl w:val="12"/>
                <w:numId w:val="0"/>
              </w:numPr>
              <w:ind w:right="57"/>
              <w:jc w:val="right"/>
              <w:rPr>
                <w:i/>
                <w:sz w:val="18"/>
                <w:szCs w:val="18"/>
              </w:rPr>
            </w:pPr>
            <w:r w:rsidRPr="00EB24B9">
              <w:rPr>
                <w:i/>
                <w:sz w:val="18"/>
                <w:szCs w:val="18"/>
              </w:rPr>
              <w:t>PT Anugrah Argon Medica</w:t>
            </w:r>
          </w:p>
        </w:tc>
      </w:tr>
      <w:tr w:rsidR="00F84E7F" w:rsidRPr="00EB24B9" w14:paraId="1BD06917" w14:textId="77777777" w:rsidTr="00183364">
        <w:trPr>
          <w:trHeight w:val="20"/>
        </w:trPr>
        <w:tc>
          <w:tcPr>
            <w:tcW w:w="2857" w:type="dxa"/>
            <w:vAlign w:val="bottom"/>
          </w:tcPr>
          <w:p w14:paraId="36847ACF" w14:textId="77777777" w:rsidR="00F84E7F" w:rsidRPr="00EB24B9" w:rsidRDefault="00F84E7F" w:rsidP="00F84E7F">
            <w:pPr>
              <w:ind w:left="596" w:firstLine="19"/>
              <w:rPr>
                <w:bCs w:val="0"/>
                <w:sz w:val="18"/>
                <w:szCs w:val="18"/>
              </w:rPr>
            </w:pPr>
            <w:r w:rsidRPr="00EB24B9">
              <w:rPr>
                <w:sz w:val="18"/>
                <w:szCs w:val="18"/>
              </w:rPr>
              <w:t>PT Bina</w:t>
            </w:r>
            <w:r w:rsidRPr="00EB24B9">
              <w:rPr>
                <w:spacing w:val="-3"/>
                <w:sz w:val="18"/>
                <w:szCs w:val="18"/>
              </w:rPr>
              <w:t xml:space="preserve"> </w:t>
            </w:r>
            <w:r w:rsidRPr="00EB24B9">
              <w:rPr>
                <w:sz w:val="18"/>
                <w:szCs w:val="18"/>
              </w:rPr>
              <w:t>San Prima</w:t>
            </w:r>
          </w:p>
        </w:tc>
        <w:tc>
          <w:tcPr>
            <w:tcW w:w="1678" w:type="dxa"/>
            <w:shd w:val="clear" w:color="auto" w:fill="auto"/>
            <w:vAlign w:val="bottom"/>
          </w:tcPr>
          <w:p w14:paraId="13681E9C" w14:textId="2A4F823C" w:rsidR="00F84E7F" w:rsidRPr="00374F22" w:rsidRDefault="00C65BC5" w:rsidP="00F84E7F">
            <w:pPr>
              <w:ind w:right="29"/>
              <w:jc w:val="right"/>
              <w:rPr>
                <w:sz w:val="18"/>
                <w:szCs w:val="18"/>
              </w:rPr>
            </w:pPr>
            <w:r>
              <w:rPr>
                <w:sz w:val="18"/>
                <w:szCs w:val="18"/>
              </w:rPr>
              <w:t>3.532.909.694</w:t>
            </w:r>
          </w:p>
        </w:tc>
        <w:tc>
          <w:tcPr>
            <w:tcW w:w="115" w:type="dxa"/>
            <w:vAlign w:val="bottom"/>
          </w:tcPr>
          <w:p w14:paraId="1C6AFE1F" w14:textId="77777777" w:rsidR="00F84E7F" w:rsidRPr="00374F22" w:rsidRDefault="00F84E7F" w:rsidP="00F84E7F">
            <w:pPr>
              <w:ind w:right="57"/>
              <w:jc w:val="right"/>
              <w:rPr>
                <w:bCs w:val="0"/>
                <w:sz w:val="18"/>
                <w:szCs w:val="18"/>
              </w:rPr>
            </w:pPr>
          </w:p>
        </w:tc>
        <w:tc>
          <w:tcPr>
            <w:tcW w:w="1678" w:type="dxa"/>
            <w:vAlign w:val="bottom"/>
          </w:tcPr>
          <w:p w14:paraId="4FA3AE9F" w14:textId="5E24A8A2" w:rsidR="00F84E7F" w:rsidRPr="00374F22" w:rsidRDefault="00F84E7F" w:rsidP="00F84E7F">
            <w:pPr>
              <w:ind w:right="57"/>
              <w:jc w:val="right"/>
              <w:rPr>
                <w:bCs w:val="0"/>
                <w:sz w:val="18"/>
                <w:szCs w:val="18"/>
              </w:rPr>
            </w:pPr>
            <w:r w:rsidRPr="00374F22">
              <w:rPr>
                <w:sz w:val="18"/>
                <w:szCs w:val="18"/>
              </w:rPr>
              <w:t>3.011.532.563</w:t>
            </w:r>
          </w:p>
        </w:tc>
        <w:tc>
          <w:tcPr>
            <w:tcW w:w="2869" w:type="dxa"/>
            <w:vAlign w:val="bottom"/>
          </w:tcPr>
          <w:p w14:paraId="556EEEEA" w14:textId="77777777" w:rsidR="00F84E7F" w:rsidRPr="00EB24B9" w:rsidRDefault="00F84E7F" w:rsidP="00F84E7F">
            <w:pPr>
              <w:numPr>
                <w:ilvl w:val="12"/>
                <w:numId w:val="0"/>
              </w:numPr>
              <w:ind w:right="53" w:firstLine="8"/>
              <w:jc w:val="right"/>
              <w:rPr>
                <w:i/>
                <w:sz w:val="18"/>
                <w:szCs w:val="18"/>
              </w:rPr>
            </w:pPr>
            <w:r w:rsidRPr="00EB24B9">
              <w:rPr>
                <w:i/>
                <w:sz w:val="18"/>
                <w:szCs w:val="18"/>
              </w:rPr>
              <w:t>PT Bina</w:t>
            </w:r>
            <w:r w:rsidRPr="00EB24B9">
              <w:rPr>
                <w:i/>
                <w:spacing w:val="-3"/>
                <w:sz w:val="18"/>
                <w:szCs w:val="18"/>
              </w:rPr>
              <w:t xml:space="preserve"> </w:t>
            </w:r>
            <w:r w:rsidRPr="00EB24B9">
              <w:rPr>
                <w:i/>
                <w:sz w:val="18"/>
                <w:szCs w:val="18"/>
              </w:rPr>
              <w:t>San Prima</w:t>
            </w:r>
          </w:p>
        </w:tc>
      </w:tr>
      <w:tr w:rsidR="00F84E7F" w:rsidRPr="00EB24B9" w14:paraId="252B6163" w14:textId="77777777" w:rsidTr="00183364">
        <w:trPr>
          <w:trHeight w:val="20"/>
        </w:trPr>
        <w:tc>
          <w:tcPr>
            <w:tcW w:w="2857" w:type="dxa"/>
            <w:vAlign w:val="bottom"/>
          </w:tcPr>
          <w:p w14:paraId="4837B37D" w14:textId="77777777" w:rsidR="00F84E7F" w:rsidRPr="00EB24B9" w:rsidRDefault="00F84E7F" w:rsidP="00F84E7F">
            <w:pPr>
              <w:ind w:left="596" w:firstLine="19"/>
              <w:rPr>
                <w:b/>
                <w:bCs w:val="0"/>
                <w:sz w:val="18"/>
                <w:szCs w:val="18"/>
              </w:rPr>
            </w:pPr>
            <w:r w:rsidRPr="00EB24B9">
              <w:rPr>
                <w:sz w:val="18"/>
                <w:szCs w:val="18"/>
              </w:rPr>
              <w:t>PT Worckhardt Pharma Indo</w:t>
            </w:r>
          </w:p>
        </w:tc>
        <w:tc>
          <w:tcPr>
            <w:tcW w:w="1678" w:type="dxa"/>
            <w:shd w:val="clear" w:color="auto" w:fill="auto"/>
            <w:vAlign w:val="bottom"/>
          </w:tcPr>
          <w:p w14:paraId="1BED9090" w14:textId="6B475DE6" w:rsidR="00F84E7F" w:rsidRPr="00374F22" w:rsidRDefault="00C65BC5" w:rsidP="00F84E7F">
            <w:pPr>
              <w:ind w:right="29"/>
              <w:jc w:val="right"/>
              <w:rPr>
                <w:sz w:val="18"/>
                <w:szCs w:val="18"/>
              </w:rPr>
            </w:pPr>
            <w:r>
              <w:rPr>
                <w:sz w:val="18"/>
                <w:szCs w:val="18"/>
              </w:rPr>
              <w:t>2.972.244.000</w:t>
            </w:r>
          </w:p>
        </w:tc>
        <w:tc>
          <w:tcPr>
            <w:tcW w:w="115" w:type="dxa"/>
            <w:vAlign w:val="bottom"/>
          </w:tcPr>
          <w:p w14:paraId="03CFA91A" w14:textId="77777777" w:rsidR="00F84E7F" w:rsidRPr="00374F22" w:rsidRDefault="00F84E7F" w:rsidP="00F84E7F">
            <w:pPr>
              <w:ind w:right="57"/>
              <w:jc w:val="right"/>
              <w:rPr>
                <w:sz w:val="18"/>
                <w:szCs w:val="18"/>
              </w:rPr>
            </w:pPr>
          </w:p>
        </w:tc>
        <w:tc>
          <w:tcPr>
            <w:tcW w:w="1678" w:type="dxa"/>
            <w:vAlign w:val="bottom"/>
          </w:tcPr>
          <w:p w14:paraId="5096F42E" w14:textId="4F75A5FA" w:rsidR="00F84E7F" w:rsidRPr="00374F22" w:rsidRDefault="00F84E7F" w:rsidP="00F84E7F">
            <w:pPr>
              <w:ind w:right="57"/>
              <w:jc w:val="right"/>
              <w:rPr>
                <w:sz w:val="18"/>
                <w:szCs w:val="18"/>
              </w:rPr>
            </w:pPr>
            <w:r w:rsidRPr="00374F22">
              <w:rPr>
                <w:sz w:val="18"/>
                <w:szCs w:val="18"/>
              </w:rPr>
              <w:t>2.707.790.000</w:t>
            </w:r>
          </w:p>
        </w:tc>
        <w:tc>
          <w:tcPr>
            <w:tcW w:w="2869" w:type="dxa"/>
            <w:vAlign w:val="bottom"/>
          </w:tcPr>
          <w:p w14:paraId="4A226938" w14:textId="77777777" w:rsidR="00F84E7F" w:rsidRPr="00EB24B9" w:rsidRDefault="00F84E7F" w:rsidP="00F84E7F">
            <w:pPr>
              <w:ind w:right="53" w:firstLine="8"/>
              <w:jc w:val="right"/>
              <w:rPr>
                <w:b/>
                <w:i/>
                <w:iCs/>
                <w:sz w:val="18"/>
                <w:szCs w:val="18"/>
              </w:rPr>
            </w:pPr>
            <w:r w:rsidRPr="00EB24B9">
              <w:rPr>
                <w:i/>
                <w:sz w:val="18"/>
                <w:szCs w:val="18"/>
              </w:rPr>
              <w:t>PT Worckhardt Pharma Indo</w:t>
            </w:r>
          </w:p>
        </w:tc>
      </w:tr>
      <w:tr w:rsidR="0031460D" w:rsidRPr="00EB24B9" w14:paraId="611561E9" w14:textId="77777777" w:rsidTr="0031460D">
        <w:trPr>
          <w:trHeight w:val="20"/>
        </w:trPr>
        <w:tc>
          <w:tcPr>
            <w:tcW w:w="2857" w:type="dxa"/>
            <w:vAlign w:val="bottom"/>
          </w:tcPr>
          <w:p w14:paraId="32C5731F" w14:textId="77777777" w:rsidR="0031460D" w:rsidRPr="00EB24B9" w:rsidRDefault="0031460D" w:rsidP="0031460D">
            <w:pPr>
              <w:ind w:left="596"/>
              <w:rPr>
                <w:sz w:val="18"/>
                <w:szCs w:val="18"/>
              </w:rPr>
            </w:pPr>
            <w:r w:rsidRPr="00EB24B9">
              <w:rPr>
                <w:sz w:val="18"/>
                <w:szCs w:val="18"/>
              </w:rPr>
              <w:t>PT Prima Solusi Servisindo</w:t>
            </w:r>
          </w:p>
        </w:tc>
        <w:tc>
          <w:tcPr>
            <w:tcW w:w="1678" w:type="dxa"/>
            <w:shd w:val="clear" w:color="auto" w:fill="auto"/>
            <w:vAlign w:val="bottom"/>
          </w:tcPr>
          <w:p w14:paraId="5BDE47BF" w14:textId="77777777" w:rsidR="0031460D" w:rsidRPr="00374F22" w:rsidRDefault="0031460D" w:rsidP="0031460D">
            <w:pPr>
              <w:ind w:right="29"/>
              <w:jc w:val="right"/>
              <w:rPr>
                <w:sz w:val="18"/>
                <w:szCs w:val="18"/>
              </w:rPr>
            </w:pPr>
            <w:r>
              <w:rPr>
                <w:sz w:val="18"/>
                <w:szCs w:val="18"/>
              </w:rPr>
              <w:t>2.540.036.716</w:t>
            </w:r>
          </w:p>
        </w:tc>
        <w:tc>
          <w:tcPr>
            <w:tcW w:w="115" w:type="dxa"/>
            <w:vAlign w:val="bottom"/>
          </w:tcPr>
          <w:p w14:paraId="79736245" w14:textId="77777777" w:rsidR="0031460D" w:rsidRPr="00374F22" w:rsidRDefault="0031460D" w:rsidP="0031460D">
            <w:pPr>
              <w:ind w:right="29"/>
              <w:jc w:val="right"/>
              <w:rPr>
                <w:bCs w:val="0"/>
                <w:sz w:val="18"/>
                <w:szCs w:val="18"/>
              </w:rPr>
            </w:pPr>
          </w:p>
        </w:tc>
        <w:tc>
          <w:tcPr>
            <w:tcW w:w="1678" w:type="dxa"/>
            <w:vAlign w:val="bottom"/>
          </w:tcPr>
          <w:p w14:paraId="5A8DE2E2" w14:textId="77777777" w:rsidR="0031460D" w:rsidRPr="00374F22" w:rsidRDefault="0031460D" w:rsidP="0031460D">
            <w:pPr>
              <w:ind w:right="29"/>
              <w:jc w:val="right"/>
              <w:rPr>
                <w:bCs w:val="0"/>
                <w:sz w:val="18"/>
                <w:szCs w:val="18"/>
                <w:lang w:val="id-ID"/>
              </w:rPr>
            </w:pPr>
            <w:r w:rsidRPr="00374F22">
              <w:rPr>
                <w:sz w:val="18"/>
                <w:szCs w:val="18"/>
              </w:rPr>
              <w:t>3.318.555.168</w:t>
            </w:r>
          </w:p>
        </w:tc>
        <w:tc>
          <w:tcPr>
            <w:tcW w:w="2869" w:type="dxa"/>
            <w:vAlign w:val="bottom"/>
          </w:tcPr>
          <w:p w14:paraId="1045CEA6" w14:textId="77777777" w:rsidR="0031460D" w:rsidRPr="00EB24B9" w:rsidRDefault="0031460D" w:rsidP="0031460D">
            <w:pPr>
              <w:numPr>
                <w:ilvl w:val="12"/>
                <w:numId w:val="0"/>
              </w:numPr>
              <w:ind w:right="57"/>
              <w:jc w:val="right"/>
              <w:rPr>
                <w:i/>
                <w:sz w:val="18"/>
                <w:szCs w:val="18"/>
              </w:rPr>
            </w:pPr>
            <w:r w:rsidRPr="00EB24B9">
              <w:rPr>
                <w:i/>
                <w:sz w:val="18"/>
                <w:szCs w:val="18"/>
              </w:rPr>
              <w:t>PT Prima Solusi Servisindo</w:t>
            </w:r>
          </w:p>
        </w:tc>
      </w:tr>
      <w:tr w:rsidR="0031460D" w:rsidRPr="00EB24B9" w14:paraId="5A998C14" w14:textId="77777777" w:rsidTr="0031460D">
        <w:trPr>
          <w:trHeight w:val="20"/>
        </w:trPr>
        <w:tc>
          <w:tcPr>
            <w:tcW w:w="2857" w:type="dxa"/>
            <w:vAlign w:val="bottom"/>
          </w:tcPr>
          <w:p w14:paraId="6DCF0F0A" w14:textId="6EA1563C" w:rsidR="0031460D" w:rsidRPr="00EB24B9" w:rsidRDefault="0031460D" w:rsidP="0031460D">
            <w:pPr>
              <w:ind w:left="596"/>
              <w:rPr>
                <w:sz w:val="18"/>
                <w:szCs w:val="18"/>
              </w:rPr>
            </w:pPr>
            <w:r>
              <w:rPr>
                <w:sz w:val="18"/>
                <w:szCs w:val="18"/>
              </w:rPr>
              <w:t>PT Philips Indonesia</w:t>
            </w:r>
          </w:p>
        </w:tc>
        <w:tc>
          <w:tcPr>
            <w:tcW w:w="1678" w:type="dxa"/>
            <w:shd w:val="clear" w:color="auto" w:fill="auto"/>
            <w:vAlign w:val="bottom"/>
          </w:tcPr>
          <w:p w14:paraId="3B80D8B0" w14:textId="589BC52F" w:rsidR="0031460D" w:rsidRDefault="0031460D" w:rsidP="0031460D">
            <w:pPr>
              <w:ind w:right="29"/>
              <w:jc w:val="right"/>
              <w:rPr>
                <w:sz w:val="18"/>
                <w:szCs w:val="18"/>
              </w:rPr>
            </w:pPr>
            <w:r>
              <w:rPr>
                <w:sz w:val="18"/>
                <w:szCs w:val="18"/>
              </w:rPr>
              <w:t>2.520.000.000</w:t>
            </w:r>
          </w:p>
        </w:tc>
        <w:tc>
          <w:tcPr>
            <w:tcW w:w="115" w:type="dxa"/>
            <w:vAlign w:val="bottom"/>
          </w:tcPr>
          <w:p w14:paraId="5905B1A0" w14:textId="77777777" w:rsidR="0031460D" w:rsidRPr="00374F22" w:rsidRDefault="0031460D" w:rsidP="0031460D">
            <w:pPr>
              <w:ind w:right="29"/>
              <w:jc w:val="right"/>
              <w:rPr>
                <w:bCs w:val="0"/>
                <w:sz w:val="18"/>
                <w:szCs w:val="18"/>
              </w:rPr>
            </w:pPr>
          </w:p>
        </w:tc>
        <w:tc>
          <w:tcPr>
            <w:tcW w:w="1678" w:type="dxa"/>
            <w:vAlign w:val="bottom"/>
          </w:tcPr>
          <w:p w14:paraId="4A7C3139" w14:textId="5F0A0DAA" w:rsidR="0031460D" w:rsidRPr="00374F22" w:rsidRDefault="0031460D" w:rsidP="0031460D">
            <w:pPr>
              <w:ind w:right="29"/>
              <w:jc w:val="right"/>
              <w:rPr>
                <w:sz w:val="18"/>
                <w:szCs w:val="18"/>
              </w:rPr>
            </w:pPr>
            <w:r>
              <w:rPr>
                <w:sz w:val="18"/>
                <w:szCs w:val="18"/>
              </w:rPr>
              <w:t>-</w:t>
            </w:r>
          </w:p>
        </w:tc>
        <w:tc>
          <w:tcPr>
            <w:tcW w:w="2869" w:type="dxa"/>
            <w:vAlign w:val="bottom"/>
          </w:tcPr>
          <w:p w14:paraId="19793957" w14:textId="07725107" w:rsidR="0031460D" w:rsidRPr="00EB24B9" w:rsidRDefault="0031460D" w:rsidP="0031460D">
            <w:pPr>
              <w:numPr>
                <w:ilvl w:val="12"/>
                <w:numId w:val="0"/>
              </w:numPr>
              <w:ind w:right="57"/>
              <w:jc w:val="right"/>
              <w:rPr>
                <w:i/>
                <w:sz w:val="18"/>
                <w:szCs w:val="18"/>
              </w:rPr>
            </w:pPr>
            <w:r>
              <w:rPr>
                <w:i/>
                <w:sz w:val="18"/>
                <w:szCs w:val="18"/>
              </w:rPr>
              <w:t>PT Philips Indonesia</w:t>
            </w:r>
          </w:p>
        </w:tc>
      </w:tr>
      <w:tr w:rsidR="0031460D" w:rsidRPr="00EB24B9" w14:paraId="1B182AF9" w14:textId="77777777" w:rsidTr="0031460D">
        <w:trPr>
          <w:trHeight w:val="20"/>
        </w:trPr>
        <w:tc>
          <w:tcPr>
            <w:tcW w:w="2857" w:type="dxa"/>
            <w:vAlign w:val="bottom"/>
          </w:tcPr>
          <w:p w14:paraId="6EC94243" w14:textId="7717D0E8" w:rsidR="0031460D" w:rsidRDefault="0031460D" w:rsidP="0031460D">
            <w:pPr>
              <w:ind w:left="596"/>
              <w:rPr>
                <w:sz w:val="18"/>
                <w:szCs w:val="18"/>
              </w:rPr>
            </w:pPr>
            <w:r>
              <w:rPr>
                <w:sz w:val="18"/>
                <w:szCs w:val="18"/>
              </w:rPr>
              <w:t>PT Aerofood Indonesia</w:t>
            </w:r>
          </w:p>
        </w:tc>
        <w:tc>
          <w:tcPr>
            <w:tcW w:w="1678" w:type="dxa"/>
            <w:shd w:val="clear" w:color="auto" w:fill="auto"/>
            <w:vAlign w:val="bottom"/>
          </w:tcPr>
          <w:p w14:paraId="39FFEF7D" w14:textId="2937DE16" w:rsidR="0031460D" w:rsidRDefault="0031460D" w:rsidP="0031460D">
            <w:pPr>
              <w:ind w:right="29"/>
              <w:jc w:val="right"/>
              <w:rPr>
                <w:sz w:val="18"/>
                <w:szCs w:val="18"/>
              </w:rPr>
            </w:pPr>
            <w:r>
              <w:rPr>
                <w:sz w:val="18"/>
                <w:szCs w:val="18"/>
              </w:rPr>
              <w:t>2.081.605.791</w:t>
            </w:r>
          </w:p>
        </w:tc>
        <w:tc>
          <w:tcPr>
            <w:tcW w:w="115" w:type="dxa"/>
            <w:vAlign w:val="bottom"/>
          </w:tcPr>
          <w:p w14:paraId="2A935EA9" w14:textId="77777777" w:rsidR="0031460D" w:rsidRPr="00374F22" w:rsidRDefault="0031460D" w:rsidP="0031460D">
            <w:pPr>
              <w:ind w:right="29"/>
              <w:jc w:val="right"/>
              <w:rPr>
                <w:bCs w:val="0"/>
                <w:sz w:val="18"/>
                <w:szCs w:val="18"/>
              </w:rPr>
            </w:pPr>
          </w:p>
        </w:tc>
        <w:tc>
          <w:tcPr>
            <w:tcW w:w="1678" w:type="dxa"/>
            <w:vAlign w:val="bottom"/>
          </w:tcPr>
          <w:p w14:paraId="72A34179" w14:textId="35A432D3" w:rsidR="0031460D" w:rsidRDefault="0031460D" w:rsidP="0031460D">
            <w:pPr>
              <w:ind w:right="29"/>
              <w:jc w:val="right"/>
              <w:rPr>
                <w:sz w:val="18"/>
                <w:szCs w:val="18"/>
              </w:rPr>
            </w:pPr>
            <w:r>
              <w:rPr>
                <w:sz w:val="18"/>
                <w:szCs w:val="18"/>
              </w:rPr>
              <w:t>-</w:t>
            </w:r>
          </w:p>
        </w:tc>
        <w:tc>
          <w:tcPr>
            <w:tcW w:w="2869" w:type="dxa"/>
            <w:vAlign w:val="bottom"/>
          </w:tcPr>
          <w:p w14:paraId="7C13B51E" w14:textId="680B43DA" w:rsidR="0031460D" w:rsidRPr="0031460D" w:rsidRDefault="0031460D" w:rsidP="0031460D">
            <w:pPr>
              <w:numPr>
                <w:ilvl w:val="12"/>
                <w:numId w:val="0"/>
              </w:numPr>
              <w:ind w:right="57"/>
              <w:jc w:val="right"/>
              <w:rPr>
                <w:i/>
                <w:sz w:val="18"/>
                <w:szCs w:val="18"/>
              </w:rPr>
            </w:pPr>
            <w:r w:rsidRPr="0031460D">
              <w:rPr>
                <w:i/>
                <w:sz w:val="18"/>
                <w:szCs w:val="18"/>
              </w:rPr>
              <w:t>PT Aerofood Indonesia</w:t>
            </w:r>
          </w:p>
        </w:tc>
      </w:tr>
      <w:tr w:rsidR="0031460D" w:rsidRPr="00EB24B9" w14:paraId="78FF1D38" w14:textId="77777777" w:rsidTr="0031460D">
        <w:trPr>
          <w:trHeight w:val="20"/>
        </w:trPr>
        <w:tc>
          <w:tcPr>
            <w:tcW w:w="2857" w:type="dxa"/>
            <w:vAlign w:val="bottom"/>
          </w:tcPr>
          <w:p w14:paraId="23418184" w14:textId="4D333DB3" w:rsidR="0031460D" w:rsidRDefault="0031460D" w:rsidP="0031460D">
            <w:pPr>
              <w:ind w:left="744" w:hanging="148"/>
              <w:rPr>
                <w:sz w:val="18"/>
                <w:szCs w:val="18"/>
              </w:rPr>
            </w:pPr>
            <w:r>
              <w:rPr>
                <w:sz w:val="18"/>
                <w:szCs w:val="18"/>
              </w:rPr>
              <w:t>PT Wynacom Unitama Sejahtera</w:t>
            </w:r>
          </w:p>
        </w:tc>
        <w:tc>
          <w:tcPr>
            <w:tcW w:w="1678" w:type="dxa"/>
            <w:shd w:val="clear" w:color="auto" w:fill="auto"/>
            <w:vAlign w:val="bottom"/>
          </w:tcPr>
          <w:p w14:paraId="231271C2" w14:textId="5456D746" w:rsidR="0031460D" w:rsidRDefault="0031460D" w:rsidP="0031460D">
            <w:pPr>
              <w:ind w:right="29"/>
              <w:jc w:val="right"/>
              <w:rPr>
                <w:sz w:val="18"/>
                <w:szCs w:val="18"/>
              </w:rPr>
            </w:pPr>
            <w:r>
              <w:rPr>
                <w:sz w:val="18"/>
                <w:szCs w:val="18"/>
              </w:rPr>
              <w:t>1.963.500.000</w:t>
            </w:r>
          </w:p>
        </w:tc>
        <w:tc>
          <w:tcPr>
            <w:tcW w:w="115" w:type="dxa"/>
            <w:vAlign w:val="bottom"/>
          </w:tcPr>
          <w:p w14:paraId="15A2D9EC" w14:textId="77777777" w:rsidR="0031460D" w:rsidRPr="00374F22" w:rsidRDefault="0031460D" w:rsidP="0031460D">
            <w:pPr>
              <w:ind w:right="29"/>
              <w:jc w:val="right"/>
              <w:rPr>
                <w:bCs w:val="0"/>
                <w:sz w:val="18"/>
                <w:szCs w:val="18"/>
              </w:rPr>
            </w:pPr>
          </w:p>
        </w:tc>
        <w:tc>
          <w:tcPr>
            <w:tcW w:w="1678" w:type="dxa"/>
            <w:vAlign w:val="bottom"/>
          </w:tcPr>
          <w:p w14:paraId="238F004A" w14:textId="49D112F4" w:rsidR="0031460D" w:rsidRDefault="0031460D" w:rsidP="0031460D">
            <w:pPr>
              <w:ind w:right="29"/>
              <w:jc w:val="right"/>
              <w:rPr>
                <w:sz w:val="18"/>
                <w:szCs w:val="18"/>
              </w:rPr>
            </w:pPr>
            <w:r>
              <w:rPr>
                <w:sz w:val="18"/>
                <w:szCs w:val="18"/>
              </w:rPr>
              <w:t>-</w:t>
            </w:r>
          </w:p>
        </w:tc>
        <w:tc>
          <w:tcPr>
            <w:tcW w:w="2869" w:type="dxa"/>
            <w:vAlign w:val="bottom"/>
          </w:tcPr>
          <w:p w14:paraId="400ACA49" w14:textId="2BB1D705" w:rsidR="0031460D" w:rsidRPr="0031460D" w:rsidRDefault="0031460D" w:rsidP="0031460D">
            <w:pPr>
              <w:numPr>
                <w:ilvl w:val="12"/>
                <w:numId w:val="0"/>
              </w:numPr>
              <w:ind w:right="57"/>
              <w:jc w:val="right"/>
              <w:rPr>
                <w:i/>
                <w:sz w:val="18"/>
                <w:szCs w:val="18"/>
              </w:rPr>
            </w:pPr>
            <w:r w:rsidRPr="0031460D">
              <w:rPr>
                <w:i/>
                <w:sz w:val="18"/>
                <w:szCs w:val="18"/>
              </w:rPr>
              <w:t>PT Wynacom Unitama Sejahtera</w:t>
            </w:r>
          </w:p>
        </w:tc>
      </w:tr>
      <w:tr w:rsidR="0031460D" w:rsidRPr="00EB24B9" w14:paraId="70C4389F" w14:textId="77777777" w:rsidTr="0031460D">
        <w:trPr>
          <w:trHeight w:val="20"/>
        </w:trPr>
        <w:tc>
          <w:tcPr>
            <w:tcW w:w="2857" w:type="dxa"/>
            <w:vAlign w:val="bottom"/>
          </w:tcPr>
          <w:p w14:paraId="47C54673" w14:textId="77777777" w:rsidR="0031460D" w:rsidRPr="00EB24B9" w:rsidRDefault="0031460D" w:rsidP="0031460D">
            <w:pPr>
              <w:ind w:left="596" w:firstLine="19"/>
              <w:rPr>
                <w:b/>
                <w:bCs w:val="0"/>
                <w:sz w:val="18"/>
                <w:szCs w:val="18"/>
              </w:rPr>
            </w:pPr>
            <w:r w:rsidRPr="00EB24B9">
              <w:rPr>
                <w:sz w:val="18"/>
                <w:szCs w:val="18"/>
              </w:rPr>
              <w:t>PT Berca</w:t>
            </w:r>
            <w:r w:rsidRPr="00EB24B9">
              <w:rPr>
                <w:spacing w:val="-1"/>
                <w:sz w:val="18"/>
                <w:szCs w:val="18"/>
              </w:rPr>
              <w:t xml:space="preserve"> </w:t>
            </w:r>
            <w:r w:rsidRPr="00EB24B9">
              <w:rPr>
                <w:sz w:val="18"/>
                <w:szCs w:val="18"/>
              </w:rPr>
              <w:t>Niaga Medika</w:t>
            </w:r>
          </w:p>
        </w:tc>
        <w:tc>
          <w:tcPr>
            <w:tcW w:w="1678" w:type="dxa"/>
            <w:shd w:val="clear" w:color="auto" w:fill="auto"/>
            <w:vAlign w:val="bottom"/>
          </w:tcPr>
          <w:p w14:paraId="762C8363" w14:textId="77777777" w:rsidR="0031460D" w:rsidRPr="00374F22" w:rsidRDefault="0031460D" w:rsidP="0031460D">
            <w:pPr>
              <w:ind w:right="29"/>
              <w:jc w:val="right"/>
              <w:rPr>
                <w:sz w:val="18"/>
                <w:szCs w:val="18"/>
              </w:rPr>
            </w:pPr>
            <w:r>
              <w:rPr>
                <w:sz w:val="18"/>
                <w:szCs w:val="18"/>
              </w:rPr>
              <w:t>1.784.755.172</w:t>
            </w:r>
          </w:p>
        </w:tc>
        <w:tc>
          <w:tcPr>
            <w:tcW w:w="115" w:type="dxa"/>
            <w:vAlign w:val="bottom"/>
          </w:tcPr>
          <w:p w14:paraId="24B97676" w14:textId="77777777" w:rsidR="0031460D" w:rsidRPr="00374F22" w:rsidRDefault="0031460D" w:rsidP="0031460D">
            <w:pPr>
              <w:ind w:right="57"/>
              <w:jc w:val="right"/>
              <w:rPr>
                <w:sz w:val="18"/>
                <w:szCs w:val="18"/>
              </w:rPr>
            </w:pPr>
          </w:p>
        </w:tc>
        <w:tc>
          <w:tcPr>
            <w:tcW w:w="1678" w:type="dxa"/>
            <w:vAlign w:val="bottom"/>
          </w:tcPr>
          <w:p w14:paraId="7A024C54" w14:textId="77777777" w:rsidR="0031460D" w:rsidRPr="00374F22" w:rsidRDefault="0031460D" w:rsidP="0031460D">
            <w:pPr>
              <w:ind w:right="57"/>
              <w:jc w:val="right"/>
              <w:rPr>
                <w:sz w:val="18"/>
                <w:szCs w:val="18"/>
              </w:rPr>
            </w:pPr>
            <w:r w:rsidRPr="00374F22">
              <w:rPr>
                <w:sz w:val="18"/>
                <w:szCs w:val="18"/>
              </w:rPr>
              <w:t>1.499.009.388</w:t>
            </w:r>
          </w:p>
        </w:tc>
        <w:tc>
          <w:tcPr>
            <w:tcW w:w="2869" w:type="dxa"/>
            <w:vAlign w:val="bottom"/>
          </w:tcPr>
          <w:p w14:paraId="45372CF3" w14:textId="77777777" w:rsidR="0031460D" w:rsidRPr="00EB24B9" w:rsidRDefault="0031460D" w:rsidP="0031460D">
            <w:pPr>
              <w:ind w:right="53" w:firstLine="8"/>
              <w:jc w:val="right"/>
              <w:rPr>
                <w:b/>
                <w:i/>
                <w:iCs/>
                <w:sz w:val="18"/>
                <w:szCs w:val="18"/>
              </w:rPr>
            </w:pPr>
            <w:r w:rsidRPr="00EB24B9">
              <w:rPr>
                <w:i/>
                <w:sz w:val="18"/>
                <w:szCs w:val="18"/>
              </w:rPr>
              <w:t>PT Berca</w:t>
            </w:r>
            <w:r w:rsidRPr="00EB24B9">
              <w:rPr>
                <w:i/>
                <w:spacing w:val="-1"/>
                <w:sz w:val="18"/>
                <w:szCs w:val="18"/>
              </w:rPr>
              <w:t xml:space="preserve"> </w:t>
            </w:r>
            <w:r w:rsidRPr="00EB24B9">
              <w:rPr>
                <w:i/>
                <w:sz w:val="18"/>
                <w:szCs w:val="18"/>
              </w:rPr>
              <w:t>Niaga Medika</w:t>
            </w:r>
          </w:p>
        </w:tc>
      </w:tr>
      <w:tr w:rsidR="0031460D" w:rsidRPr="00EB24B9" w14:paraId="5A823E5D" w14:textId="77777777" w:rsidTr="00183364">
        <w:trPr>
          <w:trHeight w:val="20"/>
        </w:trPr>
        <w:tc>
          <w:tcPr>
            <w:tcW w:w="2857" w:type="dxa"/>
            <w:vAlign w:val="bottom"/>
          </w:tcPr>
          <w:p w14:paraId="329B8F77" w14:textId="77777777" w:rsidR="0031460D" w:rsidRPr="00EB24B9" w:rsidRDefault="0031460D" w:rsidP="0031460D">
            <w:pPr>
              <w:ind w:left="596" w:firstLine="19"/>
              <w:rPr>
                <w:b/>
                <w:bCs w:val="0"/>
                <w:sz w:val="18"/>
                <w:szCs w:val="18"/>
              </w:rPr>
            </w:pPr>
            <w:r w:rsidRPr="00EB24B9">
              <w:rPr>
                <w:sz w:val="18"/>
                <w:szCs w:val="18"/>
              </w:rPr>
              <w:t>PT Parit</w:t>
            </w:r>
            <w:r w:rsidRPr="00EB24B9">
              <w:rPr>
                <w:spacing w:val="-3"/>
                <w:sz w:val="18"/>
                <w:szCs w:val="18"/>
              </w:rPr>
              <w:t xml:space="preserve"> </w:t>
            </w:r>
            <w:r w:rsidRPr="00EB24B9">
              <w:rPr>
                <w:sz w:val="18"/>
                <w:szCs w:val="18"/>
              </w:rPr>
              <w:t>Padang Global</w:t>
            </w:r>
          </w:p>
        </w:tc>
        <w:tc>
          <w:tcPr>
            <w:tcW w:w="1678" w:type="dxa"/>
            <w:shd w:val="clear" w:color="auto" w:fill="auto"/>
            <w:vAlign w:val="bottom"/>
          </w:tcPr>
          <w:p w14:paraId="14DB9782" w14:textId="78E45179" w:rsidR="0031460D" w:rsidRPr="00374F22" w:rsidRDefault="0031460D" w:rsidP="0031460D">
            <w:pPr>
              <w:ind w:right="29"/>
              <w:jc w:val="right"/>
              <w:rPr>
                <w:sz w:val="18"/>
                <w:szCs w:val="18"/>
              </w:rPr>
            </w:pPr>
            <w:r>
              <w:rPr>
                <w:sz w:val="18"/>
                <w:szCs w:val="18"/>
              </w:rPr>
              <w:t>1.563.463.784</w:t>
            </w:r>
          </w:p>
        </w:tc>
        <w:tc>
          <w:tcPr>
            <w:tcW w:w="115" w:type="dxa"/>
            <w:vAlign w:val="bottom"/>
          </w:tcPr>
          <w:p w14:paraId="47501072" w14:textId="77777777" w:rsidR="0031460D" w:rsidRPr="00374F22" w:rsidRDefault="0031460D" w:rsidP="0031460D">
            <w:pPr>
              <w:ind w:right="57"/>
              <w:jc w:val="right"/>
              <w:rPr>
                <w:sz w:val="18"/>
                <w:szCs w:val="18"/>
              </w:rPr>
            </w:pPr>
          </w:p>
        </w:tc>
        <w:tc>
          <w:tcPr>
            <w:tcW w:w="1678" w:type="dxa"/>
            <w:vAlign w:val="bottom"/>
          </w:tcPr>
          <w:p w14:paraId="6593C46C" w14:textId="37FB38AC" w:rsidR="0031460D" w:rsidRPr="00374F22" w:rsidRDefault="0031460D" w:rsidP="0031460D">
            <w:pPr>
              <w:ind w:right="57"/>
              <w:jc w:val="right"/>
              <w:rPr>
                <w:sz w:val="18"/>
                <w:szCs w:val="18"/>
              </w:rPr>
            </w:pPr>
            <w:r w:rsidRPr="00374F22">
              <w:rPr>
                <w:sz w:val="18"/>
                <w:szCs w:val="18"/>
              </w:rPr>
              <w:t>1.580.775.588</w:t>
            </w:r>
          </w:p>
        </w:tc>
        <w:tc>
          <w:tcPr>
            <w:tcW w:w="2869" w:type="dxa"/>
            <w:vAlign w:val="bottom"/>
          </w:tcPr>
          <w:p w14:paraId="70E3495C" w14:textId="77777777" w:rsidR="0031460D" w:rsidRPr="00EB24B9" w:rsidRDefault="0031460D" w:rsidP="0031460D">
            <w:pPr>
              <w:ind w:right="53" w:firstLine="8"/>
              <w:jc w:val="right"/>
              <w:rPr>
                <w:b/>
                <w:i/>
                <w:iCs/>
                <w:sz w:val="18"/>
                <w:szCs w:val="18"/>
              </w:rPr>
            </w:pPr>
            <w:r w:rsidRPr="00EB24B9">
              <w:rPr>
                <w:i/>
                <w:sz w:val="18"/>
                <w:szCs w:val="18"/>
              </w:rPr>
              <w:t>PT Parit</w:t>
            </w:r>
            <w:r w:rsidRPr="00EB24B9">
              <w:rPr>
                <w:i/>
                <w:spacing w:val="-3"/>
                <w:sz w:val="18"/>
                <w:szCs w:val="18"/>
              </w:rPr>
              <w:t xml:space="preserve"> </w:t>
            </w:r>
            <w:r w:rsidRPr="00EB24B9">
              <w:rPr>
                <w:i/>
                <w:sz w:val="18"/>
                <w:szCs w:val="18"/>
              </w:rPr>
              <w:t>Padang Global</w:t>
            </w:r>
          </w:p>
        </w:tc>
      </w:tr>
      <w:tr w:rsidR="0031460D" w:rsidRPr="00EB24B9" w14:paraId="204CA52A" w14:textId="77777777" w:rsidTr="00183364">
        <w:trPr>
          <w:trHeight w:val="20"/>
        </w:trPr>
        <w:tc>
          <w:tcPr>
            <w:tcW w:w="2857" w:type="dxa"/>
            <w:vAlign w:val="bottom"/>
          </w:tcPr>
          <w:p w14:paraId="266D5F63" w14:textId="7EEABCE9" w:rsidR="0031460D" w:rsidRPr="00EB24B9" w:rsidRDefault="0031460D" w:rsidP="0031460D">
            <w:pPr>
              <w:ind w:left="596" w:firstLine="19"/>
              <w:rPr>
                <w:sz w:val="18"/>
                <w:szCs w:val="18"/>
              </w:rPr>
            </w:pPr>
            <w:r w:rsidRPr="00EB24B9">
              <w:rPr>
                <w:sz w:val="18"/>
                <w:szCs w:val="18"/>
              </w:rPr>
              <w:t>PT Utama Saran Medika</w:t>
            </w:r>
          </w:p>
        </w:tc>
        <w:tc>
          <w:tcPr>
            <w:tcW w:w="1678" w:type="dxa"/>
            <w:shd w:val="clear" w:color="auto" w:fill="auto"/>
            <w:vAlign w:val="bottom"/>
          </w:tcPr>
          <w:p w14:paraId="4CF1132F" w14:textId="0B772129" w:rsidR="0031460D" w:rsidRPr="00374F22" w:rsidRDefault="0031460D" w:rsidP="0031460D">
            <w:pPr>
              <w:ind w:right="29"/>
              <w:jc w:val="right"/>
              <w:rPr>
                <w:sz w:val="18"/>
                <w:szCs w:val="18"/>
              </w:rPr>
            </w:pPr>
            <w:r>
              <w:rPr>
                <w:sz w:val="18"/>
                <w:szCs w:val="18"/>
              </w:rPr>
              <w:t>1.375.269.921</w:t>
            </w:r>
          </w:p>
        </w:tc>
        <w:tc>
          <w:tcPr>
            <w:tcW w:w="115" w:type="dxa"/>
            <w:vAlign w:val="bottom"/>
          </w:tcPr>
          <w:p w14:paraId="5779D115" w14:textId="77777777" w:rsidR="0031460D" w:rsidRPr="00374F22" w:rsidRDefault="0031460D" w:rsidP="0031460D">
            <w:pPr>
              <w:ind w:right="57"/>
              <w:jc w:val="right"/>
              <w:rPr>
                <w:sz w:val="18"/>
                <w:szCs w:val="18"/>
              </w:rPr>
            </w:pPr>
          </w:p>
        </w:tc>
        <w:tc>
          <w:tcPr>
            <w:tcW w:w="1678" w:type="dxa"/>
            <w:vAlign w:val="bottom"/>
          </w:tcPr>
          <w:p w14:paraId="7756F8C1" w14:textId="61D18DA0" w:rsidR="0031460D" w:rsidRPr="00374F22" w:rsidRDefault="0031460D" w:rsidP="0031460D">
            <w:pPr>
              <w:ind w:right="57"/>
              <w:jc w:val="right"/>
              <w:rPr>
                <w:sz w:val="18"/>
                <w:szCs w:val="18"/>
                <w:lang w:val="id-ID"/>
              </w:rPr>
            </w:pPr>
            <w:r w:rsidRPr="00374F22">
              <w:rPr>
                <w:sz w:val="18"/>
                <w:szCs w:val="18"/>
              </w:rPr>
              <w:t>1.431.460.242</w:t>
            </w:r>
          </w:p>
        </w:tc>
        <w:tc>
          <w:tcPr>
            <w:tcW w:w="2869" w:type="dxa"/>
            <w:vAlign w:val="bottom"/>
          </w:tcPr>
          <w:p w14:paraId="5E91F40E" w14:textId="48ED7F13" w:rsidR="0031460D" w:rsidRPr="00EB24B9" w:rsidRDefault="0031460D" w:rsidP="0031460D">
            <w:pPr>
              <w:ind w:right="53" w:firstLine="8"/>
              <w:jc w:val="right"/>
              <w:rPr>
                <w:i/>
                <w:sz w:val="18"/>
                <w:szCs w:val="18"/>
              </w:rPr>
            </w:pPr>
            <w:r w:rsidRPr="00EB24B9">
              <w:rPr>
                <w:i/>
                <w:sz w:val="18"/>
                <w:szCs w:val="18"/>
              </w:rPr>
              <w:t>PT Utama Saran Medika</w:t>
            </w:r>
          </w:p>
        </w:tc>
      </w:tr>
      <w:tr w:rsidR="0031460D" w:rsidRPr="00EB24B9" w14:paraId="29692C29" w14:textId="77777777" w:rsidTr="0031460D">
        <w:trPr>
          <w:trHeight w:val="20"/>
        </w:trPr>
        <w:tc>
          <w:tcPr>
            <w:tcW w:w="2857" w:type="dxa"/>
            <w:vAlign w:val="bottom"/>
          </w:tcPr>
          <w:p w14:paraId="261EFAF2" w14:textId="77777777" w:rsidR="0031460D" w:rsidRPr="00EB24B9" w:rsidRDefault="0031460D" w:rsidP="0031460D">
            <w:pPr>
              <w:ind w:left="596" w:firstLine="19"/>
              <w:rPr>
                <w:bCs w:val="0"/>
                <w:sz w:val="18"/>
                <w:szCs w:val="18"/>
              </w:rPr>
            </w:pPr>
            <w:r w:rsidRPr="00EB24B9">
              <w:rPr>
                <w:sz w:val="18"/>
                <w:szCs w:val="18"/>
              </w:rPr>
              <w:t>PT Mensa</w:t>
            </w:r>
            <w:r w:rsidRPr="00EB24B9">
              <w:rPr>
                <w:spacing w:val="-5"/>
                <w:sz w:val="18"/>
                <w:szCs w:val="18"/>
              </w:rPr>
              <w:t xml:space="preserve"> </w:t>
            </w:r>
            <w:r w:rsidRPr="00EB24B9">
              <w:rPr>
                <w:sz w:val="18"/>
                <w:szCs w:val="18"/>
              </w:rPr>
              <w:t>Bina Sukses</w:t>
            </w:r>
          </w:p>
        </w:tc>
        <w:tc>
          <w:tcPr>
            <w:tcW w:w="1678" w:type="dxa"/>
            <w:shd w:val="clear" w:color="auto" w:fill="auto"/>
            <w:vAlign w:val="bottom"/>
          </w:tcPr>
          <w:p w14:paraId="0D8DEF88" w14:textId="77777777" w:rsidR="0031460D" w:rsidRPr="00374F22" w:rsidRDefault="0031460D" w:rsidP="0031460D">
            <w:pPr>
              <w:ind w:right="29"/>
              <w:jc w:val="right"/>
              <w:rPr>
                <w:sz w:val="18"/>
                <w:szCs w:val="18"/>
              </w:rPr>
            </w:pPr>
            <w:r>
              <w:rPr>
                <w:sz w:val="18"/>
                <w:szCs w:val="18"/>
              </w:rPr>
              <w:t>1.191.853.262</w:t>
            </w:r>
          </w:p>
        </w:tc>
        <w:tc>
          <w:tcPr>
            <w:tcW w:w="115" w:type="dxa"/>
            <w:vAlign w:val="bottom"/>
          </w:tcPr>
          <w:p w14:paraId="192AF12D" w14:textId="77777777" w:rsidR="0031460D" w:rsidRPr="00374F22" w:rsidRDefault="0031460D" w:rsidP="0031460D">
            <w:pPr>
              <w:ind w:right="57"/>
              <w:jc w:val="right"/>
              <w:rPr>
                <w:bCs w:val="0"/>
                <w:sz w:val="18"/>
                <w:szCs w:val="18"/>
              </w:rPr>
            </w:pPr>
          </w:p>
        </w:tc>
        <w:tc>
          <w:tcPr>
            <w:tcW w:w="1678" w:type="dxa"/>
            <w:vAlign w:val="bottom"/>
          </w:tcPr>
          <w:p w14:paraId="1F730ABD" w14:textId="77777777" w:rsidR="0031460D" w:rsidRPr="00374F22" w:rsidRDefault="0031460D" w:rsidP="0031460D">
            <w:pPr>
              <w:ind w:right="57"/>
              <w:jc w:val="right"/>
              <w:rPr>
                <w:bCs w:val="0"/>
                <w:sz w:val="18"/>
                <w:szCs w:val="18"/>
              </w:rPr>
            </w:pPr>
            <w:r w:rsidRPr="00374F22">
              <w:rPr>
                <w:sz w:val="18"/>
                <w:szCs w:val="18"/>
              </w:rPr>
              <w:t>1.609.893.876</w:t>
            </w:r>
          </w:p>
        </w:tc>
        <w:tc>
          <w:tcPr>
            <w:tcW w:w="2869" w:type="dxa"/>
            <w:vAlign w:val="bottom"/>
          </w:tcPr>
          <w:p w14:paraId="1B6FC1C4" w14:textId="77777777" w:rsidR="0031460D" w:rsidRPr="00EB24B9" w:rsidRDefault="0031460D" w:rsidP="0031460D">
            <w:pPr>
              <w:numPr>
                <w:ilvl w:val="12"/>
                <w:numId w:val="0"/>
              </w:numPr>
              <w:ind w:right="57"/>
              <w:jc w:val="right"/>
              <w:rPr>
                <w:bCs w:val="0"/>
                <w:i/>
                <w:iCs/>
                <w:sz w:val="18"/>
                <w:szCs w:val="18"/>
              </w:rPr>
            </w:pPr>
            <w:r w:rsidRPr="00EB24B9">
              <w:rPr>
                <w:i/>
                <w:sz w:val="18"/>
                <w:szCs w:val="18"/>
              </w:rPr>
              <w:t>PT Mensa</w:t>
            </w:r>
            <w:r w:rsidRPr="00EB24B9">
              <w:rPr>
                <w:i/>
                <w:spacing w:val="-5"/>
                <w:sz w:val="18"/>
                <w:szCs w:val="18"/>
              </w:rPr>
              <w:t xml:space="preserve"> </w:t>
            </w:r>
            <w:r w:rsidRPr="00EB24B9">
              <w:rPr>
                <w:i/>
                <w:sz w:val="18"/>
                <w:szCs w:val="18"/>
              </w:rPr>
              <w:t>Bina Sukses</w:t>
            </w:r>
          </w:p>
        </w:tc>
      </w:tr>
      <w:tr w:rsidR="0031460D" w:rsidRPr="00EB24B9" w14:paraId="42B0FDCF" w14:textId="77777777" w:rsidTr="0031460D">
        <w:trPr>
          <w:trHeight w:val="20"/>
        </w:trPr>
        <w:tc>
          <w:tcPr>
            <w:tcW w:w="2857" w:type="dxa"/>
            <w:vAlign w:val="bottom"/>
          </w:tcPr>
          <w:p w14:paraId="6EF319C8" w14:textId="77777777" w:rsidR="0031460D" w:rsidRPr="00EB24B9" w:rsidRDefault="0031460D" w:rsidP="0031460D">
            <w:pPr>
              <w:ind w:left="596" w:firstLine="19"/>
              <w:rPr>
                <w:b/>
                <w:bCs w:val="0"/>
                <w:sz w:val="18"/>
                <w:szCs w:val="18"/>
              </w:rPr>
            </w:pPr>
            <w:r w:rsidRPr="00EB24B9">
              <w:rPr>
                <w:sz w:val="18"/>
                <w:szCs w:val="18"/>
              </w:rPr>
              <w:t>PT Merapi</w:t>
            </w:r>
            <w:r w:rsidRPr="00EB24B9">
              <w:rPr>
                <w:spacing w:val="-1"/>
                <w:sz w:val="18"/>
                <w:szCs w:val="18"/>
              </w:rPr>
              <w:t xml:space="preserve"> </w:t>
            </w:r>
            <w:r w:rsidRPr="00EB24B9">
              <w:rPr>
                <w:sz w:val="18"/>
                <w:szCs w:val="18"/>
              </w:rPr>
              <w:t>Utama Pharma</w:t>
            </w:r>
          </w:p>
        </w:tc>
        <w:tc>
          <w:tcPr>
            <w:tcW w:w="1678" w:type="dxa"/>
            <w:shd w:val="clear" w:color="auto" w:fill="auto"/>
            <w:vAlign w:val="bottom"/>
          </w:tcPr>
          <w:p w14:paraId="7F310BE8" w14:textId="77777777" w:rsidR="0031460D" w:rsidRPr="00374F22" w:rsidRDefault="0031460D" w:rsidP="0031460D">
            <w:pPr>
              <w:ind w:right="29"/>
              <w:jc w:val="right"/>
              <w:rPr>
                <w:sz w:val="18"/>
                <w:szCs w:val="18"/>
              </w:rPr>
            </w:pPr>
            <w:r>
              <w:rPr>
                <w:sz w:val="18"/>
                <w:szCs w:val="18"/>
              </w:rPr>
              <w:t>1.079.182.315</w:t>
            </w:r>
          </w:p>
        </w:tc>
        <w:tc>
          <w:tcPr>
            <w:tcW w:w="115" w:type="dxa"/>
            <w:vAlign w:val="bottom"/>
          </w:tcPr>
          <w:p w14:paraId="17A2C609" w14:textId="77777777" w:rsidR="0031460D" w:rsidRPr="00374F22" w:rsidRDefault="0031460D" w:rsidP="0031460D">
            <w:pPr>
              <w:ind w:right="57"/>
              <w:jc w:val="right"/>
              <w:rPr>
                <w:sz w:val="18"/>
                <w:szCs w:val="18"/>
              </w:rPr>
            </w:pPr>
          </w:p>
        </w:tc>
        <w:tc>
          <w:tcPr>
            <w:tcW w:w="1678" w:type="dxa"/>
            <w:vAlign w:val="bottom"/>
          </w:tcPr>
          <w:p w14:paraId="5A93F965" w14:textId="77777777" w:rsidR="0031460D" w:rsidRPr="00374F22" w:rsidRDefault="0031460D" w:rsidP="0031460D">
            <w:pPr>
              <w:ind w:right="57"/>
              <w:jc w:val="right"/>
              <w:rPr>
                <w:sz w:val="18"/>
                <w:szCs w:val="18"/>
              </w:rPr>
            </w:pPr>
            <w:r w:rsidRPr="00374F22">
              <w:rPr>
                <w:sz w:val="18"/>
                <w:szCs w:val="18"/>
              </w:rPr>
              <w:t>917.400.894</w:t>
            </w:r>
          </w:p>
        </w:tc>
        <w:tc>
          <w:tcPr>
            <w:tcW w:w="2869" w:type="dxa"/>
            <w:vAlign w:val="bottom"/>
          </w:tcPr>
          <w:p w14:paraId="79D38562" w14:textId="77777777" w:rsidR="0031460D" w:rsidRPr="00EB24B9" w:rsidRDefault="0031460D" w:rsidP="0031460D">
            <w:pPr>
              <w:ind w:right="53" w:firstLine="8"/>
              <w:jc w:val="right"/>
              <w:rPr>
                <w:b/>
                <w:i/>
                <w:iCs/>
                <w:sz w:val="18"/>
                <w:szCs w:val="18"/>
              </w:rPr>
            </w:pPr>
            <w:r w:rsidRPr="00EB24B9">
              <w:rPr>
                <w:i/>
                <w:sz w:val="18"/>
                <w:szCs w:val="18"/>
              </w:rPr>
              <w:t>PT Merapi</w:t>
            </w:r>
            <w:r w:rsidRPr="00EB24B9">
              <w:rPr>
                <w:i/>
                <w:spacing w:val="-1"/>
                <w:sz w:val="18"/>
                <w:szCs w:val="18"/>
              </w:rPr>
              <w:t xml:space="preserve"> </w:t>
            </w:r>
            <w:r w:rsidRPr="00EB24B9">
              <w:rPr>
                <w:i/>
                <w:sz w:val="18"/>
                <w:szCs w:val="18"/>
              </w:rPr>
              <w:t>Utama Pharma</w:t>
            </w:r>
          </w:p>
        </w:tc>
      </w:tr>
      <w:tr w:rsidR="0031460D" w:rsidRPr="00EB24B9" w14:paraId="33A720FD" w14:textId="77777777" w:rsidTr="0031460D">
        <w:trPr>
          <w:trHeight w:val="20"/>
        </w:trPr>
        <w:tc>
          <w:tcPr>
            <w:tcW w:w="2857" w:type="dxa"/>
            <w:vAlign w:val="bottom"/>
          </w:tcPr>
          <w:p w14:paraId="71500170" w14:textId="77777777" w:rsidR="0031460D" w:rsidRPr="00EB24B9" w:rsidRDefault="0031460D" w:rsidP="0031460D">
            <w:pPr>
              <w:ind w:left="596" w:firstLine="19"/>
              <w:rPr>
                <w:sz w:val="18"/>
                <w:szCs w:val="18"/>
              </w:rPr>
            </w:pPr>
            <w:r w:rsidRPr="00EB24B9">
              <w:rPr>
                <w:sz w:val="18"/>
                <w:szCs w:val="18"/>
              </w:rPr>
              <w:t>PT Tigasatu Medika Pratama</w:t>
            </w:r>
          </w:p>
        </w:tc>
        <w:tc>
          <w:tcPr>
            <w:tcW w:w="1678" w:type="dxa"/>
            <w:shd w:val="clear" w:color="auto" w:fill="auto"/>
            <w:vAlign w:val="bottom"/>
          </w:tcPr>
          <w:p w14:paraId="2554097E" w14:textId="77777777" w:rsidR="0031460D" w:rsidRPr="00374F22" w:rsidRDefault="0031460D" w:rsidP="0031460D">
            <w:pPr>
              <w:ind w:right="29"/>
              <w:jc w:val="right"/>
              <w:rPr>
                <w:sz w:val="18"/>
                <w:szCs w:val="18"/>
              </w:rPr>
            </w:pPr>
            <w:r>
              <w:rPr>
                <w:sz w:val="18"/>
                <w:szCs w:val="18"/>
              </w:rPr>
              <w:t>1.000.000.000</w:t>
            </w:r>
          </w:p>
        </w:tc>
        <w:tc>
          <w:tcPr>
            <w:tcW w:w="115" w:type="dxa"/>
            <w:vAlign w:val="bottom"/>
          </w:tcPr>
          <w:p w14:paraId="23FCFE84" w14:textId="77777777" w:rsidR="0031460D" w:rsidRPr="00374F22" w:rsidRDefault="0031460D" w:rsidP="0031460D">
            <w:pPr>
              <w:ind w:right="57"/>
              <w:jc w:val="right"/>
              <w:rPr>
                <w:sz w:val="18"/>
                <w:szCs w:val="18"/>
              </w:rPr>
            </w:pPr>
          </w:p>
        </w:tc>
        <w:tc>
          <w:tcPr>
            <w:tcW w:w="1678" w:type="dxa"/>
            <w:vAlign w:val="bottom"/>
          </w:tcPr>
          <w:p w14:paraId="3BBCDC54" w14:textId="77777777" w:rsidR="0031460D" w:rsidRPr="00374F22" w:rsidRDefault="0031460D" w:rsidP="0031460D">
            <w:pPr>
              <w:ind w:right="57"/>
              <w:jc w:val="right"/>
              <w:rPr>
                <w:sz w:val="18"/>
                <w:szCs w:val="18"/>
                <w:lang w:val="id-ID"/>
              </w:rPr>
            </w:pPr>
            <w:r w:rsidRPr="00374F22">
              <w:rPr>
                <w:sz w:val="18"/>
                <w:szCs w:val="18"/>
              </w:rPr>
              <w:t>1.100.000.000</w:t>
            </w:r>
          </w:p>
        </w:tc>
        <w:tc>
          <w:tcPr>
            <w:tcW w:w="2869" w:type="dxa"/>
            <w:vAlign w:val="bottom"/>
          </w:tcPr>
          <w:p w14:paraId="575D5C34" w14:textId="77777777" w:rsidR="0031460D" w:rsidRPr="00EB24B9" w:rsidRDefault="0031460D" w:rsidP="0031460D">
            <w:pPr>
              <w:ind w:right="53" w:firstLine="8"/>
              <w:jc w:val="right"/>
              <w:rPr>
                <w:i/>
                <w:sz w:val="18"/>
                <w:szCs w:val="18"/>
              </w:rPr>
            </w:pPr>
            <w:r w:rsidRPr="00EB24B9">
              <w:rPr>
                <w:i/>
                <w:sz w:val="18"/>
                <w:szCs w:val="18"/>
              </w:rPr>
              <w:t>PT Tigasatu Medika Pratama</w:t>
            </w:r>
          </w:p>
        </w:tc>
      </w:tr>
      <w:tr w:rsidR="0031460D" w:rsidRPr="00EB24B9" w14:paraId="2A8CCAD4" w14:textId="77777777" w:rsidTr="0031460D">
        <w:trPr>
          <w:trHeight w:val="20"/>
        </w:trPr>
        <w:tc>
          <w:tcPr>
            <w:tcW w:w="2857" w:type="dxa"/>
            <w:vAlign w:val="bottom"/>
          </w:tcPr>
          <w:p w14:paraId="38A88FEA" w14:textId="08C3B054" w:rsidR="0031460D" w:rsidRPr="00EB24B9" w:rsidRDefault="0031460D" w:rsidP="0031460D">
            <w:pPr>
              <w:ind w:left="744" w:hanging="129"/>
              <w:rPr>
                <w:sz w:val="18"/>
                <w:szCs w:val="18"/>
              </w:rPr>
            </w:pPr>
            <w:r>
              <w:rPr>
                <w:sz w:val="18"/>
                <w:szCs w:val="18"/>
              </w:rPr>
              <w:t>Millennium Pharmacon International</w:t>
            </w:r>
          </w:p>
        </w:tc>
        <w:tc>
          <w:tcPr>
            <w:tcW w:w="1678" w:type="dxa"/>
            <w:shd w:val="clear" w:color="auto" w:fill="auto"/>
            <w:vAlign w:val="bottom"/>
          </w:tcPr>
          <w:p w14:paraId="35A5C545" w14:textId="52704A82" w:rsidR="0031460D" w:rsidRDefault="0031460D" w:rsidP="0031460D">
            <w:pPr>
              <w:ind w:right="29"/>
              <w:jc w:val="right"/>
              <w:rPr>
                <w:sz w:val="18"/>
                <w:szCs w:val="18"/>
              </w:rPr>
            </w:pPr>
            <w:r>
              <w:rPr>
                <w:sz w:val="18"/>
                <w:szCs w:val="18"/>
              </w:rPr>
              <w:t>952.896.597</w:t>
            </w:r>
          </w:p>
        </w:tc>
        <w:tc>
          <w:tcPr>
            <w:tcW w:w="115" w:type="dxa"/>
            <w:vAlign w:val="bottom"/>
          </w:tcPr>
          <w:p w14:paraId="338DC9ED" w14:textId="77777777" w:rsidR="0031460D" w:rsidRPr="00374F22" w:rsidRDefault="0031460D" w:rsidP="0031460D">
            <w:pPr>
              <w:ind w:right="57"/>
              <w:jc w:val="right"/>
              <w:rPr>
                <w:sz w:val="18"/>
                <w:szCs w:val="18"/>
              </w:rPr>
            </w:pPr>
          </w:p>
        </w:tc>
        <w:tc>
          <w:tcPr>
            <w:tcW w:w="1678" w:type="dxa"/>
            <w:vAlign w:val="bottom"/>
          </w:tcPr>
          <w:p w14:paraId="6188451D" w14:textId="6E7E9FC0" w:rsidR="0031460D" w:rsidRPr="00374F22" w:rsidRDefault="0031460D" w:rsidP="0031460D">
            <w:pPr>
              <w:ind w:right="57"/>
              <w:jc w:val="right"/>
              <w:rPr>
                <w:sz w:val="18"/>
                <w:szCs w:val="18"/>
              </w:rPr>
            </w:pPr>
            <w:r>
              <w:rPr>
                <w:sz w:val="18"/>
                <w:szCs w:val="18"/>
              </w:rPr>
              <w:t>-</w:t>
            </w:r>
          </w:p>
        </w:tc>
        <w:tc>
          <w:tcPr>
            <w:tcW w:w="2869" w:type="dxa"/>
            <w:vAlign w:val="bottom"/>
          </w:tcPr>
          <w:p w14:paraId="43D05655" w14:textId="3E91F70C" w:rsidR="0031460D" w:rsidRPr="0031460D" w:rsidRDefault="0031460D" w:rsidP="0031460D">
            <w:pPr>
              <w:ind w:right="53" w:firstLine="8"/>
              <w:jc w:val="right"/>
              <w:rPr>
                <w:i/>
                <w:sz w:val="18"/>
                <w:szCs w:val="18"/>
              </w:rPr>
            </w:pPr>
            <w:r w:rsidRPr="0031460D">
              <w:rPr>
                <w:i/>
                <w:sz w:val="18"/>
                <w:szCs w:val="18"/>
              </w:rPr>
              <w:t>Millennium Pharmacon International</w:t>
            </w:r>
          </w:p>
        </w:tc>
      </w:tr>
      <w:tr w:rsidR="0031460D" w:rsidRPr="00EB24B9" w14:paraId="52F7657D" w14:textId="77777777" w:rsidTr="0031460D">
        <w:trPr>
          <w:trHeight w:val="20"/>
        </w:trPr>
        <w:tc>
          <w:tcPr>
            <w:tcW w:w="2857" w:type="dxa"/>
            <w:vAlign w:val="bottom"/>
          </w:tcPr>
          <w:p w14:paraId="5FEC49DE" w14:textId="77777777" w:rsidR="0031460D" w:rsidRPr="00EB24B9" w:rsidRDefault="0031460D" w:rsidP="0031460D">
            <w:pPr>
              <w:ind w:left="596" w:firstLine="19"/>
              <w:rPr>
                <w:b/>
                <w:bCs w:val="0"/>
                <w:sz w:val="18"/>
                <w:szCs w:val="18"/>
              </w:rPr>
            </w:pPr>
            <w:r w:rsidRPr="00EB24B9">
              <w:rPr>
                <w:sz w:val="18"/>
                <w:szCs w:val="18"/>
              </w:rPr>
              <w:t>PT Kebayoran Farma</w:t>
            </w:r>
          </w:p>
        </w:tc>
        <w:tc>
          <w:tcPr>
            <w:tcW w:w="1678" w:type="dxa"/>
            <w:shd w:val="clear" w:color="auto" w:fill="auto"/>
            <w:vAlign w:val="bottom"/>
          </w:tcPr>
          <w:p w14:paraId="06DABFAA" w14:textId="77777777" w:rsidR="0031460D" w:rsidRPr="00374F22" w:rsidRDefault="0031460D" w:rsidP="0031460D">
            <w:pPr>
              <w:ind w:right="29"/>
              <w:jc w:val="right"/>
              <w:rPr>
                <w:sz w:val="18"/>
                <w:szCs w:val="18"/>
              </w:rPr>
            </w:pPr>
            <w:r>
              <w:rPr>
                <w:sz w:val="18"/>
                <w:szCs w:val="18"/>
              </w:rPr>
              <w:t>931.038.361</w:t>
            </w:r>
          </w:p>
        </w:tc>
        <w:tc>
          <w:tcPr>
            <w:tcW w:w="115" w:type="dxa"/>
            <w:vAlign w:val="bottom"/>
          </w:tcPr>
          <w:p w14:paraId="10F79375" w14:textId="77777777" w:rsidR="0031460D" w:rsidRPr="00374F22" w:rsidRDefault="0031460D" w:rsidP="0031460D">
            <w:pPr>
              <w:ind w:right="57"/>
              <w:jc w:val="right"/>
              <w:rPr>
                <w:sz w:val="18"/>
                <w:szCs w:val="18"/>
              </w:rPr>
            </w:pPr>
          </w:p>
        </w:tc>
        <w:tc>
          <w:tcPr>
            <w:tcW w:w="1678" w:type="dxa"/>
            <w:vAlign w:val="bottom"/>
          </w:tcPr>
          <w:p w14:paraId="04E0B9E9" w14:textId="77777777" w:rsidR="0031460D" w:rsidRPr="00374F22" w:rsidRDefault="0031460D" w:rsidP="0031460D">
            <w:pPr>
              <w:ind w:right="57"/>
              <w:jc w:val="right"/>
              <w:rPr>
                <w:sz w:val="18"/>
                <w:szCs w:val="18"/>
              </w:rPr>
            </w:pPr>
            <w:r w:rsidRPr="00374F22">
              <w:rPr>
                <w:sz w:val="18"/>
                <w:szCs w:val="18"/>
              </w:rPr>
              <w:t>1.045.870.275</w:t>
            </w:r>
          </w:p>
        </w:tc>
        <w:tc>
          <w:tcPr>
            <w:tcW w:w="2869" w:type="dxa"/>
            <w:vAlign w:val="bottom"/>
          </w:tcPr>
          <w:p w14:paraId="3C48E148" w14:textId="77777777" w:rsidR="0031460D" w:rsidRPr="00EB24B9" w:rsidRDefault="0031460D" w:rsidP="0031460D">
            <w:pPr>
              <w:ind w:right="53" w:firstLine="8"/>
              <w:jc w:val="right"/>
              <w:rPr>
                <w:b/>
                <w:i/>
                <w:iCs/>
                <w:sz w:val="18"/>
                <w:szCs w:val="18"/>
              </w:rPr>
            </w:pPr>
            <w:r w:rsidRPr="00EB24B9">
              <w:rPr>
                <w:i/>
                <w:sz w:val="18"/>
                <w:szCs w:val="18"/>
              </w:rPr>
              <w:t>PT Kebayoran Farma</w:t>
            </w:r>
          </w:p>
        </w:tc>
      </w:tr>
      <w:tr w:rsidR="0031460D" w:rsidRPr="00EB24B9" w14:paraId="42F1F49C" w14:textId="77777777" w:rsidTr="0031460D">
        <w:trPr>
          <w:trHeight w:val="20"/>
        </w:trPr>
        <w:tc>
          <w:tcPr>
            <w:tcW w:w="2857" w:type="dxa"/>
            <w:vAlign w:val="bottom"/>
          </w:tcPr>
          <w:p w14:paraId="2D439AC5" w14:textId="77777777" w:rsidR="0031460D" w:rsidRPr="00EB24B9" w:rsidRDefault="0031460D" w:rsidP="0031460D">
            <w:pPr>
              <w:ind w:left="596" w:firstLine="19"/>
              <w:rPr>
                <w:b/>
                <w:bCs w:val="0"/>
                <w:sz w:val="18"/>
                <w:szCs w:val="18"/>
              </w:rPr>
            </w:pPr>
            <w:r w:rsidRPr="00EB24B9">
              <w:rPr>
                <w:sz w:val="18"/>
                <w:szCs w:val="18"/>
              </w:rPr>
              <w:t>PT Beyond Medical Indonesia</w:t>
            </w:r>
          </w:p>
        </w:tc>
        <w:tc>
          <w:tcPr>
            <w:tcW w:w="1678" w:type="dxa"/>
            <w:shd w:val="clear" w:color="auto" w:fill="auto"/>
            <w:vAlign w:val="bottom"/>
          </w:tcPr>
          <w:p w14:paraId="159536CF" w14:textId="77777777" w:rsidR="0031460D" w:rsidRPr="00374F22" w:rsidRDefault="0031460D" w:rsidP="0031460D">
            <w:pPr>
              <w:ind w:right="29"/>
              <w:jc w:val="right"/>
              <w:rPr>
                <w:sz w:val="18"/>
                <w:szCs w:val="18"/>
              </w:rPr>
            </w:pPr>
            <w:r>
              <w:rPr>
                <w:sz w:val="18"/>
                <w:szCs w:val="18"/>
              </w:rPr>
              <w:t>900.000.000</w:t>
            </w:r>
          </w:p>
        </w:tc>
        <w:tc>
          <w:tcPr>
            <w:tcW w:w="115" w:type="dxa"/>
            <w:vAlign w:val="bottom"/>
          </w:tcPr>
          <w:p w14:paraId="1864625E" w14:textId="77777777" w:rsidR="0031460D" w:rsidRPr="00374F22" w:rsidRDefault="0031460D" w:rsidP="0031460D">
            <w:pPr>
              <w:ind w:right="57"/>
              <w:jc w:val="right"/>
              <w:rPr>
                <w:sz w:val="18"/>
                <w:szCs w:val="18"/>
              </w:rPr>
            </w:pPr>
          </w:p>
        </w:tc>
        <w:tc>
          <w:tcPr>
            <w:tcW w:w="1678" w:type="dxa"/>
            <w:vAlign w:val="bottom"/>
          </w:tcPr>
          <w:p w14:paraId="5E1E6858" w14:textId="77777777" w:rsidR="0031460D" w:rsidRPr="00374F22" w:rsidRDefault="0031460D" w:rsidP="0031460D">
            <w:pPr>
              <w:ind w:right="57"/>
              <w:jc w:val="right"/>
              <w:rPr>
                <w:sz w:val="18"/>
                <w:szCs w:val="18"/>
                <w:lang w:val="id-ID"/>
              </w:rPr>
            </w:pPr>
            <w:r w:rsidRPr="00374F22">
              <w:rPr>
                <w:sz w:val="18"/>
                <w:szCs w:val="18"/>
              </w:rPr>
              <w:t>990.000.000</w:t>
            </w:r>
          </w:p>
        </w:tc>
        <w:tc>
          <w:tcPr>
            <w:tcW w:w="2869" w:type="dxa"/>
            <w:vAlign w:val="bottom"/>
          </w:tcPr>
          <w:p w14:paraId="4F95DAA6" w14:textId="77777777" w:rsidR="0031460D" w:rsidRPr="00EB24B9" w:rsidRDefault="0031460D" w:rsidP="0031460D">
            <w:pPr>
              <w:ind w:right="53" w:firstLine="8"/>
              <w:jc w:val="right"/>
              <w:rPr>
                <w:b/>
                <w:i/>
                <w:iCs/>
                <w:sz w:val="18"/>
                <w:szCs w:val="18"/>
              </w:rPr>
            </w:pPr>
            <w:r w:rsidRPr="00EB24B9">
              <w:rPr>
                <w:i/>
                <w:sz w:val="18"/>
                <w:szCs w:val="18"/>
              </w:rPr>
              <w:t>PT Beyond Medical Indonesia</w:t>
            </w:r>
          </w:p>
        </w:tc>
      </w:tr>
      <w:tr w:rsidR="0031460D" w:rsidRPr="00EB24B9" w14:paraId="0C535123" w14:textId="77777777" w:rsidTr="0031460D">
        <w:trPr>
          <w:trHeight w:val="20"/>
        </w:trPr>
        <w:tc>
          <w:tcPr>
            <w:tcW w:w="2857" w:type="dxa"/>
            <w:vAlign w:val="bottom"/>
          </w:tcPr>
          <w:p w14:paraId="2293750B" w14:textId="1594340C" w:rsidR="0031460D" w:rsidRPr="00EB24B9" w:rsidRDefault="0031460D" w:rsidP="0031460D">
            <w:pPr>
              <w:ind w:left="596" w:firstLine="19"/>
              <w:rPr>
                <w:sz w:val="18"/>
                <w:szCs w:val="18"/>
              </w:rPr>
            </w:pPr>
            <w:r>
              <w:rPr>
                <w:sz w:val="18"/>
                <w:szCs w:val="18"/>
              </w:rPr>
              <w:t>PT Tempo</w:t>
            </w:r>
          </w:p>
        </w:tc>
        <w:tc>
          <w:tcPr>
            <w:tcW w:w="1678" w:type="dxa"/>
            <w:shd w:val="clear" w:color="auto" w:fill="auto"/>
            <w:vAlign w:val="bottom"/>
          </w:tcPr>
          <w:p w14:paraId="0DFDF321" w14:textId="77BC4D14" w:rsidR="0031460D" w:rsidRDefault="0031460D" w:rsidP="0031460D">
            <w:pPr>
              <w:ind w:right="29"/>
              <w:jc w:val="right"/>
              <w:rPr>
                <w:sz w:val="18"/>
                <w:szCs w:val="18"/>
              </w:rPr>
            </w:pPr>
            <w:r>
              <w:rPr>
                <w:sz w:val="18"/>
                <w:szCs w:val="18"/>
              </w:rPr>
              <w:t>808.227.920</w:t>
            </w:r>
          </w:p>
        </w:tc>
        <w:tc>
          <w:tcPr>
            <w:tcW w:w="115" w:type="dxa"/>
            <w:vAlign w:val="bottom"/>
          </w:tcPr>
          <w:p w14:paraId="6264F215" w14:textId="77777777" w:rsidR="0031460D" w:rsidRPr="00374F22" w:rsidRDefault="0031460D" w:rsidP="0031460D">
            <w:pPr>
              <w:ind w:right="57"/>
              <w:jc w:val="right"/>
              <w:rPr>
                <w:sz w:val="18"/>
                <w:szCs w:val="18"/>
              </w:rPr>
            </w:pPr>
          </w:p>
        </w:tc>
        <w:tc>
          <w:tcPr>
            <w:tcW w:w="1678" w:type="dxa"/>
            <w:vAlign w:val="bottom"/>
          </w:tcPr>
          <w:p w14:paraId="55A7F934" w14:textId="51BEFB7B" w:rsidR="0031460D" w:rsidRPr="00374F22" w:rsidRDefault="0031460D" w:rsidP="0031460D">
            <w:pPr>
              <w:ind w:right="57"/>
              <w:jc w:val="right"/>
              <w:rPr>
                <w:sz w:val="18"/>
                <w:szCs w:val="18"/>
              </w:rPr>
            </w:pPr>
            <w:r>
              <w:rPr>
                <w:sz w:val="18"/>
                <w:szCs w:val="18"/>
              </w:rPr>
              <w:t>-</w:t>
            </w:r>
          </w:p>
        </w:tc>
        <w:tc>
          <w:tcPr>
            <w:tcW w:w="2869" w:type="dxa"/>
            <w:vAlign w:val="bottom"/>
          </w:tcPr>
          <w:p w14:paraId="2810171C" w14:textId="5E308B19" w:rsidR="0031460D" w:rsidRPr="00EB24B9" w:rsidRDefault="0031460D" w:rsidP="0031460D">
            <w:pPr>
              <w:ind w:right="53" w:firstLine="8"/>
              <w:jc w:val="right"/>
              <w:rPr>
                <w:i/>
                <w:sz w:val="18"/>
                <w:szCs w:val="18"/>
              </w:rPr>
            </w:pPr>
            <w:r>
              <w:rPr>
                <w:i/>
                <w:sz w:val="18"/>
                <w:szCs w:val="18"/>
              </w:rPr>
              <w:t>PT Tempo</w:t>
            </w:r>
          </w:p>
        </w:tc>
      </w:tr>
      <w:tr w:rsidR="0031460D" w:rsidRPr="00EB24B9" w14:paraId="36778B8D" w14:textId="77777777" w:rsidTr="00183364">
        <w:trPr>
          <w:trHeight w:val="20"/>
        </w:trPr>
        <w:tc>
          <w:tcPr>
            <w:tcW w:w="2857" w:type="dxa"/>
            <w:vAlign w:val="bottom"/>
          </w:tcPr>
          <w:p w14:paraId="79A0F876" w14:textId="77777777" w:rsidR="0031460D" w:rsidRPr="00EB24B9" w:rsidRDefault="0031460D" w:rsidP="0031460D">
            <w:pPr>
              <w:ind w:left="596" w:firstLine="19"/>
              <w:rPr>
                <w:b/>
                <w:bCs w:val="0"/>
                <w:sz w:val="18"/>
                <w:szCs w:val="18"/>
              </w:rPr>
            </w:pPr>
            <w:r w:rsidRPr="00EB24B9">
              <w:rPr>
                <w:sz w:val="18"/>
                <w:szCs w:val="18"/>
              </w:rPr>
              <w:t>PT Antarmitra Sembada</w:t>
            </w:r>
          </w:p>
        </w:tc>
        <w:tc>
          <w:tcPr>
            <w:tcW w:w="1678" w:type="dxa"/>
            <w:shd w:val="clear" w:color="auto" w:fill="auto"/>
            <w:vAlign w:val="bottom"/>
          </w:tcPr>
          <w:p w14:paraId="2F68CBB7" w14:textId="62D778F3" w:rsidR="0031460D" w:rsidRPr="00374F22" w:rsidRDefault="0031460D" w:rsidP="0031460D">
            <w:pPr>
              <w:ind w:right="29"/>
              <w:jc w:val="right"/>
              <w:rPr>
                <w:sz w:val="18"/>
                <w:szCs w:val="18"/>
              </w:rPr>
            </w:pPr>
            <w:r>
              <w:rPr>
                <w:sz w:val="18"/>
                <w:szCs w:val="18"/>
              </w:rPr>
              <w:t>800.997.407</w:t>
            </w:r>
          </w:p>
        </w:tc>
        <w:tc>
          <w:tcPr>
            <w:tcW w:w="115" w:type="dxa"/>
            <w:vAlign w:val="bottom"/>
          </w:tcPr>
          <w:p w14:paraId="625C0744" w14:textId="77777777" w:rsidR="0031460D" w:rsidRPr="00374F22" w:rsidRDefault="0031460D" w:rsidP="0031460D">
            <w:pPr>
              <w:ind w:right="57"/>
              <w:jc w:val="right"/>
              <w:rPr>
                <w:sz w:val="18"/>
                <w:szCs w:val="18"/>
              </w:rPr>
            </w:pPr>
          </w:p>
        </w:tc>
        <w:tc>
          <w:tcPr>
            <w:tcW w:w="1678" w:type="dxa"/>
            <w:vAlign w:val="bottom"/>
          </w:tcPr>
          <w:p w14:paraId="7F8FA918" w14:textId="271A53A9" w:rsidR="0031460D" w:rsidRPr="00374F22" w:rsidRDefault="0031460D" w:rsidP="0031460D">
            <w:pPr>
              <w:ind w:right="57"/>
              <w:jc w:val="right"/>
              <w:rPr>
                <w:sz w:val="18"/>
                <w:szCs w:val="18"/>
              </w:rPr>
            </w:pPr>
            <w:r w:rsidRPr="00374F22">
              <w:rPr>
                <w:sz w:val="18"/>
                <w:szCs w:val="18"/>
              </w:rPr>
              <w:t>1.210.334.622</w:t>
            </w:r>
          </w:p>
        </w:tc>
        <w:tc>
          <w:tcPr>
            <w:tcW w:w="2869" w:type="dxa"/>
            <w:vAlign w:val="bottom"/>
          </w:tcPr>
          <w:p w14:paraId="4557056A" w14:textId="77777777" w:rsidR="0031460D" w:rsidRPr="00EB24B9" w:rsidRDefault="0031460D" w:rsidP="0031460D">
            <w:pPr>
              <w:ind w:right="53" w:firstLine="8"/>
              <w:jc w:val="right"/>
              <w:rPr>
                <w:b/>
                <w:i/>
                <w:iCs/>
                <w:sz w:val="18"/>
                <w:szCs w:val="18"/>
              </w:rPr>
            </w:pPr>
            <w:r w:rsidRPr="00EB24B9">
              <w:rPr>
                <w:i/>
                <w:sz w:val="18"/>
                <w:szCs w:val="18"/>
              </w:rPr>
              <w:t>PT Antarmitra Sembada</w:t>
            </w:r>
          </w:p>
        </w:tc>
      </w:tr>
      <w:tr w:rsidR="0031460D" w:rsidRPr="00EB24B9" w14:paraId="02BB102A" w14:textId="77777777" w:rsidTr="00183364">
        <w:trPr>
          <w:trHeight w:val="20"/>
        </w:trPr>
        <w:tc>
          <w:tcPr>
            <w:tcW w:w="2857" w:type="dxa"/>
            <w:vAlign w:val="bottom"/>
          </w:tcPr>
          <w:p w14:paraId="223F5F76" w14:textId="2E0ADE61" w:rsidR="0031460D" w:rsidRPr="00EB24B9" w:rsidRDefault="0031460D" w:rsidP="0031460D">
            <w:pPr>
              <w:ind w:left="596" w:firstLine="19"/>
              <w:rPr>
                <w:sz w:val="18"/>
                <w:szCs w:val="18"/>
              </w:rPr>
            </w:pPr>
            <w:r>
              <w:rPr>
                <w:sz w:val="18"/>
                <w:szCs w:val="18"/>
              </w:rPr>
              <w:t>PT Sysmex Indonesia</w:t>
            </w:r>
          </w:p>
        </w:tc>
        <w:tc>
          <w:tcPr>
            <w:tcW w:w="1678" w:type="dxa"/>
            <w:shd w:val="clear" w:color="auto" w:fill="auto"/>
            <w:vAlign w:val="bottom"/>
          </w:tcPr>
          <w:p w14:paraId="743DE411" w14:textId="585D18B0" w:rsidR="0031460D" w:rsidRDefault="0031460D" w:rsidP="0031460D">
            <w:pPr>
              <w:ind w:right="29"/>
              <w:jc w:val="right"/>
              <w:rPr>
                <w:sz w:val="18"/>
                <w:szCs w:val="18"/>
              </w:rPr>
            </w:pPr>
            <w:r>
              <w:rPr>
                <w:sz w:val="18"/>
                <w:szCs w:val="18"/>
              </w:rPr>
              <w:t>797.693.917</w:t>
            </w:r>
          </w:p>
        </w:tc>
        <w:tc>
          <w:tcPr>
            <w:tcW w:w="115" w:type="dxa"/>
            <w:vAlign w:val="bottom"/>
          </w:tcPr>
          <w:p w14:paraId="056354D8" w14:textId="77777777" w:rsidR="0031460D" w:rsidRPr="00374F22" w:rsidRDefault="0031460D" w:rsidP="0031460D">
            <w:pPr>
              <w:ind w:right="57"/>
              <w:jc w:val="right"/>
              <w:rPr>
                <w:sz w:val="18"/>
                <w:szCs w:val="18"/>
              </w:rPr>
            </w:pPr>
          </w:p>
        </w:tc>
        <w:tc>
          <w:tcPr>
            <w:tcW w:w="1678" w:type="dxa"/>
            <w:vAlign w:val="bottom"/>
          </w:tcPr>
          <w:p w14:paraId="4EBA8EE7" w14:textId="330372EF" w:rsidR="0031460D" w:rsidRPr="00374F22" w:rsidRDefault="0031460D" w:rsidP="0031460D">
            <w:pPr>
              <w:ind w:right="57"/>
              <w:jc w:val="right"/>
              <w:rPr>
                <w:sz w:val="18"/>
                <w:szCs w:val="18"/>
              </w:rPr>
            </w:pPr>
            <w:r>
              <w:rPr>
                <w:sz w:val="18"/>
                <w:szCs w:val="18"/>
              </w:rPr>
              <w:t>-</w:t>
            </w:r>
          </w:p>
        </w:tc>
        <w:tc>
          <w:tcPr>
            <w:tcW w:w="2869" w:type="dxa"/>
            <w:vAlign w:val="bottom"/>
          </w:tcPr>
          <w:p w14:paraId="660902BE" w14:textId="4AEFF403" w:rsidR="0031460D" w:rsidRPr="0031460D" w:rsidRDefault="0031460D" w:rsidP="0031460D">
            <w:pPr>
              <w:ind w:right="53" w:firstLine="8"/>
              <w:jc w:val="right"/>
              <w:rPr>
                <w:i/>
                <w:sz w:val="18"/>
                <w:szCs w:val="18"/>
              </w:rPr>
            </w:pPr>
            <w:r w:rsidRPr="0031460D">
              <w:rPr>
                <w:i/>
                <w:sz w:val="18"/>
                <w:szCs w:val="18"/>
              </w:rPr>
              <w:t>PT Sysmex Indonesia</w:t>
            </w:r>
          </w:p>
        </w:tc>
      </w:tr>
      <w:tr w:rsidR="0031460D" w:rsidRPr="00EB24B9" w14:paraId="1D15F380" w14:textId="77777777" w:rsidTr="00183364">
        <w:trPr>
          <w:trHeight w:val="20"/>
        </w:trPr>
        <w:tc>
          <w:tcPr>
            <w:tcW w:w="2857" w:type="dxa"/>
            <w:vAlign w:val="bottom"/>
          </w:tcPr>
          <w:p w14:paraId="183ACF3C" w14:textId="553858C4" w:rsidR="0031460D" w:rsidRPr="00EB24B9" w:rsidRDefault="0031460D" w:rsidP="0031460D">
            <w:pPr>
              <w:ind w:left="596" w:firstLine="19"/>
              <w:rPr>
                <w:sz w:val="18"/>
                <w:szCs w:val="18"/>
              </w:rPr>
            </w:pPr>
            <w:r>
              <w:rPr>
                <w:sz w:val="18"/>
                <w:szCs w:val="18"/>
              </w:rPr>
              <w:t>PT Karindo Alkestron</w:t>
            </w:r>
          </w:p>
        </w:tc>
        <w:tc>
          <w:tcPr>
            <w:tcW w:w="1678" w:type="dxa"/>
            <w:shd w:val="clear" w:color="auto" w:fill="auto"/>
            <w:vAlign w:val="bottom"/>
          </w:tcPr>
          <w:p w14:paraId="232CFB5A" w14:textId="4614B7F5" w:rsidR="0031460D" w:rsidRDefault="0031460D" w:rsidP="0031460D">
            <w:pPr>
              <w:ind w:right="29"/>
              <w:jc w:val="right"/>
              <w:rPr>
                <w:sz w:val="18"/>
                <w:szCs w:val="18"/>
              </w:rPr>
            </w:pPr>
            <w:r>
              <w:rPr>
                <w:sz w:val="18"/>
                <w:szCs w:val="18"/>
              </w:rPr>
              <w:t>775.471.099</w:t>
            </w:r>
          </w:p>
        </w:tc>
        <w:tc>
          <w:tcPr>
            <w:tcW w:w="115" w:type="dxa"/>
            <w:vAlign w:val="bottom"/>
          </w:tcPr>
          <w:p w14:paraId="0FB37B46" w14:textId="77777777" w:rsidR="0031460D" w:rsidRPr="00374F22" w:rsidRDefault="0031460D" w:rsidP="0031460D">
            <w:pPr>
              <w:ind w:right="57"/>
              <w:jc w:val="right"/>
              <w:rPr>
                <w:sz w:val="18"/>
                <w:szCs w:val="18"/>
              </w:rPr>
            </w:pPr>
          </w:p>
        </w:tc>
        <w:tc>
          <w:tcPr>
            <w:tcW w:w="1678" w:type="dxa"/>
            <w:vAlign w:val="bottom"/>
          </w:tcPr>
          <w:p w14:paraId="738CDC28" w14:textId="554E4F46" w:rsidR="0031460D" w:rsidRPr="00374F22" w:rsidRDefault="0031460D" w:rsidP="0031460D">
            <w:pPr>
              <w:ind w:right="57"/>
              <w:jc w:val="right"/>
              <w:rPr>
                <w:sz w:val="18"/>
                <w:szCs w:val="18"/>
              </w:rPr>
            </w:pPr>
            <w:r>
              <w:rPr>
                <w:sz w:val="18"/>
                <w:szCs w:val="18"/>
              </w:rPr>
              <w:t>-</w:t>
            </w:r>
          </w:p>
        </w:tc>
        <w:tc>
          <w:tcPr>
            <w:tcW w:w="2869" w:type="dxa"/>
            <w:vAlign w:val="bottom"/>
          </w:tcPr>
          <w:p w14:paraId="7DE6DF6A" w14:textId="7270FF8A" w:rsidR="0031460D" w:rsidRPr="0031460D" w:rsidRDefault="0031460D" w:rsidP="0031460D">
            <w:pPr>
              <w:ind w:right="53" w:firstLine="8"/>
              <w:jc w:val="right"/>
              <w:rPr>
                <w:i/>
                <w:sz w:val="18"/>
                <w:szCs w:val="18"/>
              </w:rPr>
            </w:pPr>
            <w:r w:rsidRPr="0031460D">
              <w:rPr>
                <w:i/>
                <w:sz w:val="18"/>
                <w:szCs w:val="18"/>
              </w:rPr>
              <w:t>PT Karindo Alkestron</w:t>
            </w:r>
          </w:p>
        </w:tc>
      </w:tr>
      <w:tr w:rsidR="0031460D" w:rsidRPr="00EB24B9" w14:paraId="62CDF95C" w14:textId="77777777" w:rsidTr="00183364">
        <w:trPr>
          <w:trHeight w:val="20"/>
        </w:trPr>
        <w:tc>
          <w:tcPr>
            <w:tcW w:w="2857" w:type="dxa"/>
            <w:vAlign w:val="bottom"/>
          </w:tcPr>
          <w:p w14:paraId="0A000089" w14:textId="51760DED" w:rsidR="0031460D" w:rsidRPr="00EB24B9" w:rsidRDefault="0031460D" w:rsidP="0031460D">
            <w:pPr>
              <w:ind w:left="596" w:firstLine="19"/>
              <w:rPr>
                <w:b/>
                <w:bCs w:val="0"/>
                <w:sz w:val="18"/>
                <w:szCs w:val="18"/>
              </w:rPr>
            </w:pPr>
            <w:r w:rsidRPr="00EB24B9">
              <w:rPr>
                <w:sz w:val="18"/>
                <w:szCs w:val="18"/>
              </w:rPr>
              <w:t>PT Dos Ni Roha</w:t>
            </w:r>
          </w:p>
        </w:tc>
        <w:tc>
          <w:tcPr>
            <w:tcW w:w="1678" w:type="dxa"/>
            <w:shd w:val="clear" w:color="auto" w:fill="auto"/>
            <w:vAlign w:val="bottom"/>
          </w:tcPr>
          <w:p w14:paraId="3D21388D" w14:textId="53B21E9B" w:rsidR="0031460D" w:rsidRPr="00374F22" w:rsidRDefault="0031460D" w:rsidP="0031460D">
            <w:pPr>
              <w:ind w:right="29"/>
              <w:jc w:val="right"/>
              <w:rPr>
                <w:sz w:val="18"/>
                <w:szCs w:val="18"/>
              </w:rPr>
            </w:pPr>
            <w:r>
              <w:rPr>
                <w:sz w:val="18"/>
                <w:szCs w:val="18"/>
              </w:rPr>
              <w:t>721.778.457</w:t>
            </w:r>
          </w:p>
        </w:tc>
        <w:tc>
          <w:tcPr>
            <w:tcW w:w="115" w:type="dxa"/>
            <w:vAlign w:val="bottom"/>
          </w:tcPr>
          <w:p w14:paraId="3E834D35" w14:textId="77777777" w:rsidR="0031460D" w:rsidRPr="00374F22" w:rsidRDefault="0031460D" w:rsidP="0031460D">
            <w:pPr>
              <w:ind w:right="57"/>
              <w:jc w:val="right"/>
              <w:rPr>
                <w:sz w:val="18"/>
                <w:szCs w:val="18"/>
              </w:rPr>
            </w:pPr>
          </w:p>
        </w:tc>
        <w:tc>
          <w:tcPr>
            <w:tcW w:w="1678" w:type="dxa"/>
            <w:vAlign w:val="bottom"/>
          </w:tcPr>
          <w:p w14:paraId="4E35CC8F" w14:textId="21BE4E98" w:rsidR="0031460D" w:rsidRPr="00374F22" w:rsidRDefault="0031460D" w:rsidP="0031460D">
            <w:pPr>
              <w:ind w:right="57"/>
              <w:jc w:val="right"/>
              <w:rPr>
                <w:sz w:val="18"/>
                <w:szCs w:val="18"/>
              </w:rPr>
            </w:pPr>
            <w:r w:rsidRPr="00374F22">
              <w:rPr>
                <w:sz w:val="18"/>
                <w:szCs w:val="18"/>
              </w:rPr>
              <w:t>773.115.790</w:t>
            </w:r>
          </w:p>
        </w:tc>
        <w:tc>
          <w:tcPr>
            <w:tcW w:w="2869" w:type="dxa"/>
            <w:vAlign w:val="bottom"/>
          </w:tcPr>
          <w:p w14:paraId="00F56FC8" w14:textId="64F2863E" w:rsidR="0031460D" w:rsidRPr="00EB24B9" w:rsidRDefault="0031460D" w:rsidP="0031460D">
            <w:pPr>
              <w:ind w:right="53" w:firstLine="8"/>
              <w:jc w:val="right"/>
              <w:rPr>
                <w:b/>
                <w:i/>
                <w:iCs/>
                <w:sz w:val="18"/>
                <w:szCs w:val="18"/>
              </w:rPr>
            </w:pPr>
            <w:r w:rsidRPr="00EB24B9">
              <w:rPr>
                <w:i/>
                <w:sz w:val="18"/>
                <w:szCs w:val="18"/>
              </w:rPr>
              <w:t>PT Dos Ni Roha</w:t>
            </w:r>
          </w:p>
        </w:tc>
      </w:tr>
      <w:tr w:rsidR="0031460D" w:rsidRPr="00EB24B9" w14:paraId="1692A36B" w14:textId="77777777" w:rsidTr="00183364">
        <w:trPr>
          <w:trHeight w:val="20"/>
        </w:trPr>
        <w:tc>
          <w:tcPr>
            <w:tcW w:w="2857" w:type="dxa"/>
            <w:vAlign w:val="bottom"/>
          </w:tcPr>
          <w:p w14:paraId="02F6176F" w14:textId="3A9092AB" w:rsidR="0031460D" w:rsidRPr="00EB24B9" w:rsidRDefault="0031460D" w:rsidP="0031460D">
            <w:pPr>
              <w:ind w:left="596" w:firstLine="19"/>
              <w:rPr>
                <w:sz w:val="18"/>
                <w:szCs w:val="18"/>
              </w:rPr>
            </w:pPr>
            <w:r>
              <w:rPr>
                <w:sz w:val="18"/>
                <w:szCs w:val="18"/>
              </w:rPr>
              <w:t>PT Maxwell Medikalindo</w:t>
            </w:r>
          </w:p>
        </w:tc>
        <w:tc>
          <w:tcPr>
            <w:tcW w:w="1678" w:type="dxa"/>
            <w:shd w:val="clear" w:color="auto" w:fill="auto"/>
            <w:vAlign w:val="bottom"/>
          </w:tcPr>
          <w:p w14:paraId="35ED9EF8" w14:textId="3AAAFF51" w:rsidR="0031460D" w:rsidRDefault="0031460D" w:rsidP="0031460D">
            <w:pPr>
              <w:ind w:right="29"/>
              <w:jc w:val="right"/>
              <w:rPr>
                <w:sz w:val="18"/>
                <w:szCs w:val="18"/>
              </w:rPr>
            </w:pPr>
            <w:r>
              <w:rPr>
                <w:sz w:val="18"/>
                <w:szCs w:val="18"/>
              </w:rPr>
              <w:t>686.420.465</w:t>
            </w:r>
          </w:p>
        </w:tc>
        <w:tc>
          <w:tcPr>
            <w:tcW w:w="115" w:type="dxa"/>
            <w:vAlign w:val="bottom"/>
          </w:tcPr>
          <w:p w14:paraId="77F858EC" w14:textId="77777777" w:rsidR="0031460D" w:rsidRPr="00374F22" w:rsidRDefault="0031460D" w:rsidP="0031460D">
            <w:pPr>
              <w:ind w:right="57"/>
              <w:jc w:val="right"/>
              <w:rPr>
                <w:sz w:val="18"/>
                <w:szCs w:val="18"/>
              </w:rPr>
            </w:pPr>
          </w:p>
        </w:tc>
        <w:tc>
          <w:tcPr>
            <w:tcW w:w="1678" w:type="dxa"/>
            <w:vAlign w:val="bottom"/>
          </w:tcPr>
          <w:p w14:paraId="0D785BDC" w14:textId="647D4138" w:rsidR="0031460D" w:rsidRPr="00374F22" w:rsidRDefault="0031460D" w:rsidP="0031460D">
            <w:pPr>
              <w:ind w:right="57"/>
              <w:jc w:val="right"/>
              <w:rPr>
                <w:sz w:val="18"/>
                <w:szCs w:val="18"/>
              </w:rPr>
            </w:pPr>
            <w:r>
              <w:rPr>
                <w:sz w:val="18"/>
                <w:szCs w:val="18"/>
              </w:rPr>
              <w:t>-</w:t>
            </w:r>
          </w:p>
        </w:tc>
        <w:tc>
          <w:tcPr>
            <w:tcW w:w="2869" w:type="dxa"/>
            <w:vAlign w:val="bottom"/>
          </w:tcPr>
          <w:p w14:paraId="5D68BFCA" w14:textId="530DAB49" w:rsidR="0031460D" w:rsidRPr="0031460D" w:rsidRDefault="0031460D" w:rsidP="0031460D">
            <w:pPr>
              <w:ind w:right="53" w:firstLine="8"/>
              <w:jc w:val="right"/>
              <w:rPr>
                <w:i/>
                <w:sz w:val="18"/>
                <w:szCs w:val="18"/>
              </w:rPr>
            </w:pPr>
            <w:r w:rsidRPr="0031460D">
              <w:rPr>
                <w:i/>
                <w:sz w:val="18"/>
                <w:szCs w:val="18"/>
              </w:rPr>
              <w:t>PT Maxwell Medikalindo</w:t>
            </w:r>
          </w:p>
        </w:tc>
      </w:tr>
      <w:tr w:rsidR="0031460D" w:rsidRPr="00EB24B9" w14:paraId="187EC1B9" w14:textId="77777777" w:rsidTr="00183364">
        <w:trPr>
          <w:trHeight w:val="20"/>
        </w:trPr>
        <w:tc>
          <w:tcPr>
            <w:tcW w:w="2857" w:type="dxa"/>
            <w:vAlign w:val="bottom"/>
          </w:tcPr>
          <w:p w14:paraId="3B65838C" w14:textId="6A7760B7" w:rsidR="0031460D" w:rsidRPr="00EB24B9" w:rsidRDefault="0031460D" w:rsidP="0031460D">
            <w:pPr>
              <w:ind w:left="596" w:firstLine="19"/>
              <w:rPr>
                <w:sz w:val="18"/>
                <w:szCs w:val="18"/>
              </w:rPr>
            </w:pPr>
            <w:r>
              <w:rPr>
                <w:sz w:val="18"/>
                <w:szCs w:val="18"/>
              </w:rPr>
              <w:t>PT Transmedic Indonesia</w:t>
            </w:r>
          </w:p>
        </w:tc>
        <w:tc>
          <w:tcPr>
            <w:tcW w:w="1678" w:type="dxa"/>
            <w:shd w:val="clear" w:color="auto" w:fill="auto"/>
            <w:vAlign w:val="bottom"/>
          </w:tcPr>
          <w:p w14:paraId="407455BF" w14:textId="60BB649F" w:rsidR="0031460D" w:rsidRDefault="0031460D" w:rsidP="0031460D">
            <w:pPr>
              <w:ind w:right="29"/>
              <w:jc w:val="right"/>
              <w:rPr>
                <w:sz w:val="18"/>
                <w:szCs w:val="18"/>
              </w:rPr>
            </w:pPr>
            <w:r>
              <w:rPr>
                <w:sz w:val="18"/>
                <w:szCs w:val="18"/>
              </w:rPr>
              <w:t>635.781.225</w:t>
            </w:r>
          </w:p>
        </w:tc>
        <w:tc>
          <w:tcPr>
            <w:tcW w:w="115" w:type="dxa"/>
            <w:vAlign w:val="bottom"/>
          </w:tcPr>
          <w:p w14:paraId="4A0A4997" w14:textId="77777777" w:rsidR="0031460D" w:rsidRPr="00374F22" w:rsidRDefault="0031460D" w:rsidP="0031460D">
            <w:pPr>
              <w:ind w:right="57"/>
              <w:jc w:val="right"/>
              <w:rPr>
                <w:sz w:val="18"/>
                <w:szCs w:val="18"/>
              </w:rPr>
            </w:pPr>
          </w:p>
        </w:tc>
        <w:tc>
          <w:tcPr>
            <w:tcW w:w="1678" w:type="dxa"/>
            <w:vAlign w:val="bottom"/>
          </w:tcPr>
          <w:p w14:paraId="07B61175" w14:textId="1D679F76" w:rsidR="0031460D" w:rsidRPr="00374F22" w:rsidRDefault="0031460D" w:rsidP="0031460D">
            <w:pPr>
              <w:ind w:right="57"/>
              <w:jc w:val="right"/>
              <w:rPr>
                <w:sz w:val="18"/>
                <w:szCs w:val="18"/>
              </w:rPr>
            </w:pPr>
            <w:r>
              <w:rPr>
                <w:sz w:val="18"/>
                <w:szCs w:val="18"/>
              </w:rPr>
              <w:t>-</w:t>
            </w:r>
          </w:p>
        </w:tc>
        <w:tc>
          <w:tcPr>
            <w:tcW w:w="2869" w:type="dxa"/>
            <w:vAlign w:val="bottom"/>
          </w:tcPr>
          <w:p w14:paraId="6EC862AF" w14:textId="4E70DFC4" w:rsidR="0031460D" w:rsidRPr="0031460D" w:rsidRDefault="0031460D" w:rsidP="0031460D">
            <w:pPr>
              <w:ind w:right="53" w:firstLine="8"/>
              <w:jc w:val="right"/>
              <w:rPr>
                <w:i/>
                <w:sz w:val="18"/>
                <w:szCs w:val="18"/>
              </w:rPr>
            </w:pPr>
            <w:r w:rsidRPr="0031460D">
              <w:rPr>
                <w:i/>
                <w:sz w:val="18"/>
                <w:szCs w:val="18"/>
              </w:rPr>
              <w:t>PT Transmedic Indonesia</w:t>
            </w:r>
          </w:p>
        </w:tc>
      </w:tr>
      <w:tr w:rsidR="0031460D" w:rsidRPr="00EB24B9" w14:paraId="3C17C0C5" w14:textId="77777777" w:rsidTr="00183364">
        <w:trPr>
          <w:trHeight w:val="20"/>
        </w:trPr>
        <w:tc>
          <w:tcPr>
            <w:tcW w:w="2857" w:type="dxa"/>
            <w:vAlign w:val="bottom"/>
          </w:tcPr>
          <w:p w14:paraId="0BEDB619" w14:textId="6468B3C2" w:rsidR="0031460D" w:rsidRPr="00EB24B9" w:rsidRDefault="0031460D" w:rsidP="0031460D">
            <w:pPr>
              <w:ind w:left="596" w:firstLine="19"/>
              <w:rPr>
                <w:sz w:val="18"/>
                <w:szCs w:val="18"/>
              </w:rPr>
            </w:pPr>
            <w:r>
              <w:rPr>
                <w:sz w:val="18"/>
                <w:szCs w:val="18"/>
              </w:rPr>
              <w:t>PT Sinar Jernih Sarana</w:t>
            </w:r>
          </w:p>
        </w:tc>
        <w:tc>
          <w:tcPr>
            <w:tcW w:w="1678" w:type="dxa"/>
            <w:shd w:val="clear" w:color="auto" w:fill="auto"/>
            <w:vAlign w:val="bottom"/>
          </w:tcPr>
          <w:p w14:paraId="396F9F3F" w14:textId="3AE0D84E" w:rsidR="0031460D" w:rsidRDefault="0031460D" w:rsidP="0031460D">
            <w:pPr>
              <w:ind w:right="29"/>
              <w:jc w:val="right"/>
              <w:rPr>
                <w:sz w:val="18"/>
                <w:szCs w:val="18"/>
              </w:rPr>
            </w:pPr>
            <w:r>
              <w:rPr>
                <w:sz w:val="18"/>
                <w:szCs w:val="18"/>
              </w:rPr>
              <w:t>595.332.623</w:t>
            </w:r>
          </w:p>
        </w:tc>
        <w:tc>
          <w:tcPr>
            <w:tcW w:w="115" w:type="dxa"/>
            <w:vAlign w:val="bottom"/>
          </w:tcPr>
          <w:p w14:paraId="0A3CF647" w14:textId="77777777" w:rsidR="0031460D" w:rsidRPr="00374F22" w:rsidRDefault="0031460D" w:rsidP="0031460D">
            <w:pPr>
              <w:ind w:right="57"/>
              <w:jc w:val="right"/>
              <w:rPr>
                <w:sz w:val="18"/>
                <w:szCs w:val="18"/>
              </w:rPr>
            </w:pPr>
          </w:p>
        </w:tc>
        <w:tc>
          <w:tcPr>
            <w:tcW w:w="1678" w:type="dxa"/>
            <w:vAlign w:val="bottom"/>
          </w:tcPr>
          <w:p w14:paraId="5FC0B2B8" w14:textId="139675E0" w:rsidR="0031460D" w:rsidRPr="00374F22" w:rsidRDefault="0031460D" w:rsidP="0031460D">
            <w:pPr>
              <w:ind w:right="57"/>
              <w:jc w:val="right"/>
              <w:rPr>
                <w:sz w:val="18"/>
                <w:szCs w:val="18"/>
              </w:rPr>
            </w:pPr>
            <w:r>
              <w:rPr>
                <w:sz w:val="18"/>
                <w:szCs w:val="18"/>
              </w:rPr>
              <w:t>-</w:t>
            </w:r>
          </w:p>
        </w:tc>
        <w:tc>
          <w:tcPr>
            <w:tcW w:w="2869" w:type="dxa"/>
            <w:vAlign w:val="bottom"/>
          </w:tcPr>
          <w:p w14:paraId="7E952E22" w14:textId="5B4550A5" w:rsidR="0031460D" w:rsidRPr="0031460D" w:rsidRDefault="0031460D" w:rsidP="0031460D">
            <w:pPr>
              <w:ind w:right="53" w:firstLine="8"/>
              <w:jc w:val="right"/>
              <w:rPr>
                <w:i/>
                <w:sz w:val="18"/>
                <w:szCs w:val="18"/>
              </w:rPr>
            </w:pPr>
            <w:r w:rsidRPr="0031460D">
              <w:rPr>
                <w:i/>
                <w:sz w:val="18"/>
                <w:szCs w:val="18"/>
              </w:rPr>
              <w:t>PT Sinar Jernih Sarana</w:t>
            </w:r>
          </w:p>
        </w:tc>
      </w:tr>
      <w:tr w:rsidR="0031460D" w:rsidRPr="00EB24B9" w14:paraId="2AE931E5" w14:textId="77777777" w:rsidTr="00183364">
        <w:trPr>
          <w:trHeight w:val="20"/>
        </w:trPr>
        <w:tc>
          <w:tcPr>
            <w:tcW w:w="2857" w:type="dxa"/>
            <w:vAlign w:val="bottom"/>
          </w:tcPr>
          <w:p w14:paraId="206E5F50" w14:textId="77777777" w:rsidR="0031460D" w:rsidRPr="00EB24B9" w:rsidRDefault="0031460D" w:rsidP="0031460D">
            <w:pPr>
              <w:ind w:left="596" w:firstLine="19"/>
              <w:rPr>
                <w:b/>
                <w:bCs w:val="0"/>
                <w:sz w:val="18"/>
                <w:szCs w:val="18"/>
              </w:rPr>
            </w:pPr>
            <w:r w:rsidRPr="00EB24B9">
              <w:rPr>
                <w:sz w:val="18"/>
                <w:szCs w:val="18"/>
              </w:rPr>
              <w:t>PT</w:t>
            </w:r>
            <w:r w:rsidRPr="00EB24B9">
              <w:rPr>
                <w:spacing w:val="-2"/>
                <w:sz w:val="18"/>
                <w:szCs w:val="18"/>
              </w:rPr>
              <w:t xml:space="preserve"> </w:t>
            </w:r>
            <w:r w:rsidRPr="00EB24B9">
              <w:rPr>
                <w:sz w:val="18"/>
                <w:szCs w:val="18"/>
              </w:rPr>
              <w:t>Multidaya Medika</w:t>
            </w:r>
          </w:p>
        </w:tc>
        <w:tc>
          <w:tcPr>
            <w:tcW w:w="1678" w:type="dxa"/>
            <w:shd w:val="clear" w:color="auto" w:fill="auto"/>
            <w:vAlign w:val="bottom"/>
          </w:tcPr>
          <w:p w14:paraId="454B3AF5" w14:textId="668BA7D1" w:rsidR="0031460D" w:rsidRPr="00374F22" w:rsidRDefault="0031460D" w:rsidP="0031460D">
            <w:pPr>
              <w:ind w:right="29"/>
              <w:jc w:val="right"/>
              <w:rPr>
                <w:sz w:val="18"/>
                <w:szCs w:val="18"/>
              </w:rPr>
            </w:pPr>
            <w:r>
              <w:rPr>
                <w:sz w:val="18"/>
                <w:szCs w:val="18"/>
              </w:rPr>
              <w:t>582.563.540</w:t>
            </w:r>
          </w:p>
        </w:tc>
        <w:tc>
          <w:tcPr>
            <w:tcW w:w="115" w:type="dxa"/>
            <w:vAlign w:val="bottom"/>
          </w:tcPr>
          <w:p w14:paraId="72219A00" w14:textId="77777777" w:rsidR="0031460D" w:rsidRPr="00374F22" w:rsidRDefault="0031460D" w:rsidP="0031460D">
            <w:pPr>
              <w:ind w:right="57"/>
              <w:jc w:val="right"/>
              <w:rPr>
                <w:sz w:val="18"/>
                <w:szCs w:val="18"/>
              </w:rPr>
            </w:pPr>
          </w:p>
        </w:tc>
        <w:tc>
          <w:tcPr>
            <w:tcW w:w="1678" w:type="dxa"/>
            <w:vAlign w:val="bottom"/>
          </w:tcPr>
          <w:p w14:paraId="0E1DD968" w14:textId="6680BD3C" w:rsidR="0031460D" w:rsidRPr="00374F22" w:rsidRDefault="0031460D" w:rsidP="0031460D">
            <w:pPr>
              <w:ind w:right="57"/>
              <w:jc w:val="right"/>
              <w:rPr>
                <w:sz w:val="18"/>
                <w:szCs w:val="18"/>
              </w:rPr>
            </w:pPr>
            <w:r w:rsidRPr="00374F22">
              <w:rPr>
                <w:sz w:val="18"/>
                <w:szCs w:val="18"/>
              </w:rPr>
              <w:t>599.925.300</w:t>
            </w:r>
          </w:p>
        </w:tc>
        <w:tc>
          <w:tcPr>
            <w:tcW w:w="2869" w:type="dxa"/>
            <w:vAlign w:val="bottom"/>
          </w:tcPr>
          <w:p w14:paraId="2A2A115F" w14:textId="77777777" w:rsidR="0031460D" w:rsidRPr="00EB24B9" w:rsidRDefault="0031460D" w:rsidP="0031460D">
            <w:pPr>
              <w:ind w:right="53" w:firstLine="8"/>
              <w:jc w:val="right"/>
              <w:rPr>
                <w:b/>
                <w:i/>
                <w:iCs/>
                <w:sz w:val="18"/>
                <w:szCs w:val="18"/>
              </w:rPr>
            </w:pPr>
            <w:r w:rsidRPr="00EB24B9">
              <w:rPr>
                <w:i/>
                <w:sz w:val="18"/>
                <w:szCs w:val="18"/>
              </w:rPr>
              <w:t>PT</w:t>
            </w:r>
            <w:r w:rsidRPr="00EB24B9">
              <w:rPr>
                <w:i/>
                <w:spacing w:val="-2"/>
                <w:sz w:val="18"/>
                <w:szCs w:val="18"/>
              </w:rPr>
              <w:t xml:space="preserve"> </w:t>
            </w:r>
            <w:r w:rsidRPr="00EB24B9">
              <w:rPr>
                <w:i/>
                <w:sz w:val="18"/>
                <w:szCs w:val="18"/>
              </w:rPr>
              <w:t>Multidaya Medika</w:t>
            </w:r>
          </w:p>
        </w:tc>
      </w:tr>
      <w:tr w:rsidR="0031460D" w:rsidRPr="00EB24B9" w14:paraId="26018EEA" w14:textId="77777777" w:rsidTr="00183364">
        <w:trPr>
          <w:trHeight w:val="20"/>
        </w:trPr>
        <w:tc>
          <w:tcPr>
            <w:tcW w:w="2857" w:type="dxa"/>
            <w:vAlign w:val="bottom"/>
          </w:tcPr>
          <w:p w14:paraId="17E38001" w14:textId="39EE187E" w:rsidR="0031460D" w:rsidRPr="00EB24B9" w:rsidRDefault="0031460D" w:rsidP="0031460D">
            <w:pPr>
              <w:ind w:left="744" w:hanging="129"/>
              <w:rPr>
                <w:sz w:val="18"/>
                <w:szCs w:val="18"/>
              </w:rPr>
            </w:pPr>
            <w:r>
              <w:rPr>
                <w:sz w:val="18"/>
                <w:szCs w:val="18"/>
              </w:rPr>
              <w:t>PT Nusantara Bina Diagnostika</w:t>
            </w:r>
          </w:p>
        </w:tc>
        <w:tc>
          <w:tcPr>
            <w:tcW w:w="1678" w:type="dxa"/>
            <w:shd w:val="clear" w:color="auto" w:fill="auto"/>
            <w:vAlign w:val="bottom"/>
          </w:tcPr>
          <w:p w14:paraId="0DB26EE6" w14:textId="2D9E2CA2" w:rsidR="0031460D" w:rsidRDefault="0031460D" w:rsidP="0031460D">
            <w:pPr>
              <w:ind w:right="29"/>
              <w:jc w:val="right"/>
              <w:rPr>
                <w:sz w:val="18"/>
                <w:szCs w:val="18"/>
              </w:rPr>
            </w:pPr>
            <w:r>
              <w:rPr>
                <w:sz w:val="18"/>
                <w:szCs w:val="18"/>
              </w:rPr>
              <w:t>551.603.250</w:t>
            </w:r>
          </w:p>
        </w:tc>
        <w:tc>
          <w:tcPr>
            <w:tcW w:w="115" w:type="dxa"/>
            <w:vAlign w:val="bottom"/>
          </w:tcPr>
          <w:p w14:paraId="11551A71" w14:textId="77777777" w:rsidR="0031460D" w:rsidRPr="00374F22" w:rsidRDefault="0031460D" w:rsidP="0031460D">
            <w:pPr>
              <w:ind w:right="57"/>
              <w:jc w:val="right"/>
              <w:rPr>
                <w:sz w:val="18"/>
                <w:szCs w:val="18"/>
              </w:rPr>
            </w:pPr>
          </w:p>
        </w:tc>
        <w:tc>
          <w:tcPr>
            <w:tcW w:w="1678" w:type="dxa"/>
            <w:vAlign w:val="bottom"/>
          </w:tcPr>
          <w:p w14:paraId="08E40CF6" w14:textId="7A6C9897" w:rsidR="0031460D" w:rsidRPr="00374F22" w:rsidRDefault="0031460D" w:rsidP="0031460D">
            <w:pPr>
              <w:ind w:right="57"/>
              <w:jc w:val="right"/>
              <w:rPr>
                <w:sz w:val="18"/>
                <w:szCs w:val="18"/>
              </w:rPr>
            </w:pPr>
            <w:r>
              <w:rPr>
                <w:sz w:val="18"/>
                <w:szCs w:val="18"/>
              </w:rPr>
              <w:t>-</w:t>
            </w:r>
          </w:p>
        </w:tc>
        <w:tc>
          <w:tcPr>
            <w:tcW w:w="2869" w:type="dxa"/>
            <w:vAlign w:val="bottom"/>
          </w:tcPr>
          <w:p w14:paraId="2FD1FDC7" w14:textId="41B50B2E" w:rsidR="0031460D" w:rsidRPr="0031460D" w:rsidRDefault="0031460D" w:rsidP="0031460D">
            <w:pPr>
              <w:ind w:right="53" w:firstLine="8"/>
              <w:jc w:val="right"/>
              <w:rPr>
                <w:i/>
                <w:sz w:val="18"/>
                <w:szCs w:val="18"/>
              </w:rPr>
            </w:pPr>
            <w:r w:rsidRPr="0031460D">
              <w:rPr>
                <w:i/>
                <w:sz w:val="18"/>
                <w:szCs w:val="18"/>
              </w:rPr>
              <w:t>PT Nusantara Bina Diagnostika</w:t>
            </w:r>
          </w:p>
        </w:tc>
      </w:tr>
      <w:tr w:rsidR="0031460D" w:rsidRPr="00EB24B9" w14:paraId="0DB56489" w14:textId="77777777" w:rsidTr="00183364">
        <w:trPr>
          <w:trHeight w:val="20"/>
        </w:trPr>
        <w:tc>
          <w:tcPr>
            <w:tcW w:w="2857" w:type="dxa"/>
            <w:vAlign w:val="bottom"/>
          </w:tcPr>
          <w:p w14:paraId="61998C71" w14:textId="3D84CB9D" w:rsidR="0031460D" w:rsidRPr="00EB24B9" w:rsidRDefault="0031460D" w:rsidP="0031460D">
            <w:pPr>
              <w:ind w:left="744" w:hanging="129"/>
              <w:rPr>
                <w:sz w:val="18"/>
                <w:szCs w:val="18"/>
              </w:rPr>
            </w:pPr>
            <w:r>
              <w:rPr>
                <w:sz w:val="18"/>
                <w:szCs w:val="18"/>
              </w:rPr>
              <w:t>PT Prima Alkesindo Nusantara</w:t>
            </w:r>
          </w:p>
        </w:tc>
        <w:tc>
          <w:tcPr>
            <w:tcW w:w="1678" w:type="dxa"/>
            <w:shd w:val="clear" w:color="auto" w:fill="auto"/>
            <w:vAlign w:val="bottom"/>
          </w:tcPr>
          <w:p w14:paraId="5AADB3A6" w14:textId="0D87D3EB" w:rsidR="0031460D" w:rsidRDefault="0031460D" w:rsidP="0031460D">
            <w:pPr>
              <w:ind w:right="29"/>
              <w:jc w:val="right"/>
              <w:rPr>
                <w:sz w:val="18"/>
                <w:szCs w:val="18"/>
              </w:rPr>
            </w:pPr>
            <w:r>
              <w:rPr>
                <w:sz w:val="18"/>
                <w:szCs w:val="18"/>
              </w:rPr>
              <w:t>538.921.915</w:t>
            </w:r>
          </w:p>
        </w:tc>
        <w:tc>
          <w:tcPr>
            <w:tcW w:w="115" w:type="dxa"/>
            <w:vAlign w:val="bottom"/>
          </w:tcPr>
          <w:p w14:paraId="54D1D706" w14:textId="77777777" w:rsidR="0031460D" w:rsidRPr="00374F22" w:rsidRDefault="0031460D" w:rsidP="0031460D">
            <w:pPr>
              <w:ind w:right="57"/>
              <w:jc w:val="right"/>
              <w:rPr>
                <w:sz w:val="18"/>
                <w:szCs w:val="18"/>
              </w:rPr>
            </w:pPr>
          </w:p>
        </w:tc>
        <w:tc>
          <w:tcPr>
            <w:tcW w:w="1678" w:type="dxa"/>
            <w:vAlign w:val="bottom"/>
          </w:tcPr>
          <w:p w14:paraId="1132D45A" w14:textId="477A2B2E" w:rsidR="0031460D" w:rsidRPr="00374F22" w:rsidRDefault="0031460D" w:rsidP="0031460D">
            <w:pPr>
              <w:ind w:right="57"/>
              <w:jc w:val="right"/>
              <w:rPr>
                <w:sz w:val="18"/>
                <w:szCs w:val="18"/>
              </w:rPr>
            </w:pPr>
            <w:r>
              <w:rPr>
                <w:sz w:val="18"/>
                <w:szCs w:val="18"/>
              </w:rPr>
              <w:t>-</w:t>
            </w:r>
          </w:p>
        </w:tc>
        <w:tc>
          <w:tcPr>
            <w:tcW w:w="2869" w:type="dxa"/>
            <w:vAlign w:val="bottom"/>
          </w:tcPr>
          <w:p w14:paraId="66094BFF" w14:textId="597ABAC7" w:rsidR="0031460D" w:rsidRPr="0031460D" w:rsidRDefault="0031460D" w:rsidP="0031460D">
            <w:pPr>
              <w:ind w:right="53" w:firstLine="8"/>
              <w:jc w:val="right"/>
              <w:rPr>
                <w:i/>
                <w:sz w:val="18"/>
                <w:szCs w:val="18"/>
              </w:rPr>
            </w:pPr>
            <w:r w:rsidRPr="0031460D">
              <w:rPr>
                <w:i/>
                <w:sz w:val="18"/>
                <w:szCs w:val="18"/>
              </w:rPr>
              <w:t>PT Prima Alkesindo Nusantara</w:t>
            </w:r>
          </w:p>
        </w:tc>
      </w:tr>
      <w:tr w:rsidR="0031460D" w:rsidRPr="00EB24B9" w14:paraId="03C6C904" w14:textId="77777777" w:rsidTr="00183364">
        <w:trPr>
          <w:trHeight w:val="20"/>
        </w:trPr>
        <w:tc>
          <w:tcPr>
            <w:tcW w:w="2857" w:type="dxa"/>
            <w:vAlign w:val="bottom"/>
          </w:tcPr>
          <w:p w14:paraId="68DBD834" w14:textId="4DC90B45" w:rsidR="0031460D" w:rsidRPr="00EB24B9" w:rsidRDefault="0031460D" w:rsidP="0031460D">
            <w:pPr>
              <w:ind w:left="596" w:firstLine="19"/>
              <w:rPr>
                <w:sz w:val="18"/>
                <w:szCs w:val="18"/>
              </w:rPr>
            </w:pPr>
            <w:r>
              <w:rPr>
                <w:sz w:val="18"/>
                <w:szCs w:val="18"/>
              </w:rPr>
              <w:t>PT Kallista Prima</w:t>
            </w:r>
          </w:p>
        </w:tc>
        <w:tc>
          <w:tcPr>
            <w:tcW w:w="1678" w:type="dxa"/>
            <w:shd w:val="clear" w:color="auto" w:fill="auto"/>
            <w:vAlign w:val="bottom"/>
          </w:tcPr>
          <w:p w14:paraId="55023A1A" w14:textId="52CA8114" w:rsidR="0031460D" w:rsidRDefault="0031460D" w:rsidP="0031460D">
            <w:pPr>
              <w:ind w:right="29"/>
              <w:jc w:val="right"/>
              <w:rPr>
                <w:sz w:val="18"/>
                <w:szCs w:val="18"/>
              </w:rPr>
            </w:pPr>
            <w:r>
              <w:rPr>
                <w:sz w:val="18"/>
                <w:szCs w:val="18"/>
              </w:rPr>
              <w:t>529.339.897</w:t>
            </w:r>
          </w:p>
        </w:tc>
        <w:tc>
          <w:tcPr>
            <w:tcW w:w="115" w:type="dxa"/>
            <w:vAlign w:val="bottom"/>
          </w:tcPr>
          <w:p w14:paraId="517BD0E9" w14:textId="77777777" w:rsidR="0031460D" w:rsidRPr="00374F22" w:rsidRDefault="0031460D" w:rsidP="0031460D">
            <w:pPr>
              <w:ind w:right="57"/>
              <w:jc w:val="right"/>
              <w:rPr>
                <w:sz w:val="18"/>
                <w:szCs w:val="18"/>
              </w:rPr>
            </w:pPr>
          </w:p>
        </w:tc>
        <w:tc>
          <w:tcPr>
            <w:tcW w:w="1678" w:type="dxa"/>
            <w:vAlign w:val="bottom"/>
          </w:tcPr>
          <w:p w14:paraId="160A4FD7" w14:textId="45DC8D1F" w:rsidR="0031460D" w:rsidRPr="00374F22" w:rsidRDefault="0031460D" w:rsidP="0031460D">
            <w:pPr>
              <w:ind w:right="57"/>
              <w:jc w:val="right"/>
              <w:rPr>
                <w:sz w:val="18"/>
                <w:szCs w:val="18"/>
              </w:rPr>
            </w:pPr>
            <w:r>
              <w:rPr>
                <w:sz w:val="18"/>
                <w:szCs w:val="18"/>
              </w:rPr>
              <w:t>-</w:t>
            </w:r>
          </w:p>
        </w:tc>
        <w:tc>
          <w:tcPr>
            <w:tcW w:w="2869" w:type="dxa"/>
            <w:vAlign w:val="bottom"/>
          </w:tcPr>
          <w:p w14:paraId="24A5B2BD" w14:textId="545C40AE" w:rsidR="0031460D" w:rsidRPr="0031460D" w:rsidRDefault="0031460D" w:rsidP="0031460D">
            <w:pPr>
              <w:ind w:right="53" w:firstLine="8"/>
              <w:jc w:val="right"/>
              <w:rPr>
                <w:i/>
                <w:sz w:val="18"/>
                <w:szCs w:val="18"/>
              </w:rPr>
            </w:pPr>
            <w:r w:rsidRPr="0031460D">
              <w:rPr>
                <w:i/>
                <w:sz w:val="18"/>
                <w:szCs w:val="18"/>
              </w:rPr>
              <w:t>PT Kallista Prima</w:t>
            </w:r>
          </w:p>
        </w:tc>
      </w:tr>
      <w:tr w:rsidR="0031460D" w:rsidRPr="00EB24B9" w14:paraId="70DEC435" w14:textId="77777777" w:rsidTr="00183364">
        <w:trPr>
          <w:trHeight w:val="20"/>
        </w:trPr>
        <w:tc>
          <w:tcPr>
            <w:tcW w:w="2857" w:type="dxa"/>
            <w:vAlign w:val="bottom"/>
          </w:tcPr>
          <w:p w14:paraId="278FE0D8" w14:textId="383ED215" w:rsidR="0031460D" w:rsidRPr="00EB24B9" w:rsidRDefault="0031460D" w:rsidP="0031460D">
            <w:pPr>
              <w:ind w:left="699" w:hanging="103"/>
              <w:rPr>
                <w:sz w:val="18"/>
                <w:szCs w:val="18"/>
              </w:rPr>
            </w:pPr>
            <w:r w:rsidRPr="00EB24B9">
              <w:rPr>
                <w:sz w:val="18"/>
                <w:szCs w:val="18"/>
              </w:rPr>
              <w:t xml:space="preserve">Lainnya masing-masing dibawah Rp </w:t>
            </w:r>
            <w:r>
              <w:rPr>
                <w:sz w:val="18"/>
                <w:szCs w:val="18"/>
              </w:rPr>
              <w:t>5</w:t>
            </w:r>
            <w:r w:rsidRPr="00EB24B9">
              <w:rPr>
                <w:sz w:val="18"/>
                <w:szCs w:val="18"/>
              </w:rPr>
              <w:t>00.000.00</w:t>
            </w:r>
            <w:r>
              <w:rPr>
                <w:sz w:val="18"/>
                <w:szCs w:val="18"/>
              </w:rPr>
              <w:t>0</w:t>
            </w:r>
          </w:p>
        </w:tc>
        <w:tc>
          <w:tcPr>
            <w:tcW w:w="1678" w:type="dxa"/>
            <w:tcBorders>
              <w:bottom w:val="single" w:sz="4" w:space="0" w:color="auto"/>
            </w:tcBorders>
            <w:shd w:val="clear" w:color="auto" w:fill="auto"/>
            <w:vAlign w:val="bottom"/>
          </w:tcPr>
          <w:p w14:paraId="55B17F22" w14:textId="4652469C" w:rsidR="0031460D" w:rsidRPr="00374F22" w:rsidRDefault="0030048B" w:rsidP="0031460D">
            <w:pPr>
              <w:ind w:right="29"/>
              <w:jc w:val="right"/>
              <w:rPr>
                <w:sz w:val="18"/>
                <w:szCs w:val="18"/>
              </w:rPr>
            </w:pPr>
            <w:r>
              <w:rPr>
                <w:sz w:val="18"/>
                <w:szCs w:val="18"/>
              </w:rPr>
              <w:t>36.740.426.119</w:t>
            </w:r>
          </w:p>
        </w:tc>
        <w:tc>
          <w:tcPr>
            <w:tcW w:w="115" w:type="dxa"/>
            <w:vAlign w:val="bottom"/>
          </w:tcPr>
          <w:p w14:paraId="15670BD4" w14:textId="77777777" w:rsidR="0031460D" w:rsidRPr="00374F22" w:rsidRDefault="0031460D" w:rsidP="0031460D">
            <w:pPr>
              <w:ind w:right="57"/>
              <w:jc w:val="right"/>
              <w:rPr>
                <w:sz w:val="18"/>
                <w:szCs w:val="18"/>
              </w:rPr>
            </w:pPr>
          </w:p>
        </w:tc>
        <w:tc>
          <w:tcPr>
            <w:tcW w:w="1678" w:type="dxa"/>
            <w:tcBorders>
              <w:bottom w:val="single" w:sz="4" w:space="0" w:color="auto"/>
            </w:tcBorders>
            <w:vAlign w:val="bottom"/>
          </w:tcPr>
          <w:p w14:paraId="2D3D7AA4" w14:textId="24B6B007" w:rsidR="0031460D" w:rsidRPr="00374F22" w:rsidRDefault="0030048B" w:rsidP="0031460D">
            <w:pPr>
              <w:ind w:right="29"/>
              <w:jc w:val="right"/>
              <w:rPr>
                <w:sz w:val="18"/>
                <w:szCs w:val="18"/>
              </w:rPr>
            </w:pPr>
            <w:r>
              <w:rPr>
                <w:sz w:val="18"/>
                <w:szCs w:val="18"/>
              </w:rPr>
              <w:t>52.603.847.511</w:t>
            </w:r>
          </w:p>
        </w:tc>
        <w:tc>
          <w:tcPr>
            <w:tcW w:w="2869" w:type="dxa"/>
            <w:vAlign w:val="bottom"/>
          </w:tcPr>
          <w:p w14:paraId="657B6826" w14:textId="77777777" w:rsidR="0031460D" w:rsidRDefault="0031460D" w:rsidP="0031460D">
            <w:pPr>
              <w:ind w:right="57"/>
              <w:jc w:val="right"/>
              <w:rPr>
                <w:i/>
                <w:sz w:val="18"/>
                <w:szCs w:val="18"/>
              </w:rPr>
            </w:pPr>
            <w:r w:rsidRPr="00EB24B9">
              <w:rPr>
                <w:i/>
                <w:sz w:val="18"/>
                <w:szCs w:val="18"/>
              </w:rPr>
              <w:t xml:space="preserve">Others each below </w:t>
            </w:r>
          </w:p>
          <w:p w14:paraId="2A96A904" w14:textId="516AD519" w:rsidR="0031460D" w:rsidRPr="00EB24B9" w:rsidRDefault="0031460D" w:rsidP="0031460D">
            <w:pPr>
              <w:ind w:right="191"/>
              <w:jc w:val="right"/>
              <w:rPr>
                <w:i/>
                <w:iCs/>
                <w:sz w:val="18"/>
                <w:szCs w:val="18"/>
              </w:rPr>
            </w:pPr>
            <w:r w:rsidRPr="00EB24B9">
              <w:rPr>
                <w:i/>
                <w:sz w:val="18"/>
                <w:szCs w:val="18"/>
              </w:rPr>
              <w:t xml:space="preserve">Rp </w:t>
            </w:r>
            <w:r>
              <w:rPr>
                <w:i/>
                <w:sz w:val="18"/>
                <w:szCs w:val="18"/>
              </w:rPr>
              <w:t>5</w:t>
            </w:r>
            <w:r w:rsidRPr="00EB24B9">
              <w:rPr>
                <w:i/>
                <w:sz w:val="18"/>
                <w:szCs w:val="18"/>
              </w:rPr>
              <w:t>00</w:t>
            </w:r>
            <w:r>
              <w:rPr>
                <w:i/>
                <w:sz w:val="18"/>
                <w:szCs w:val="18"/>
              </w:rPr>
              <w:t>,</w:t>
            </w:r>
            <w:r w:rsidRPr="00EB24B9">
              <w:rPr>
                <w:i/>
                <w:sz w:val="18"/>
                <w:szCs w:val="18"/>
              </w:rPr>
              <w:t>000</w:t>
            </w:r>
            <w:r>
              <w:rPr>
                <w:i/>
                <w:sz w:val="18"/>
                <w:szCs w:val="18"/>
              </w:rPr>
              <w:t>,</w:t>
            </w:r>
            <w:r w:rsidRPr="00EB24B9">
              <w:rPr>
                <w:i/>
                <w:sz w:val="18"/>
                <w:szCs w:val="18"/>
              </w:rPr>
              <w:t>000</w:t>
            </w:r>
          </w:p>
        </w:tc>
      </w:tr>
      <w:tr w:rsidR="0031460D" w:rsidRPr="00EB24B9" w14:paraId="0ACB7048" w14:textId="77777777" w:rsidTr="00183364">
        <w:trPr>
          <w:trHeight w:val="20"/>
        </w:trPr>
        <w:tc>
          <w:tcPr>
            <w:tcW w:w="2857" w:type="dxa"/>
            <w:vAlign w:val="bottom"/>
          </w:tcPr>
          <w:p w14:paraId="5F5A26F1" w14:textId="77777777" w:rsidR="0031460D" w:rsidRPr="00EB24B9" w:rsidRDefault="0031460D" w:rsidP="0031460D">
            <w:pPr>
              <w:ind w:left="141" w:hanging="141"/>
              <w:rPr>
                <w:bCs w:val="0"/>
                <w:sz w:val="18"/>
                <w:szCs w:val="18"/>
              </w:rPr>
            </w:pPr>
          </w:p>
        </w:tc>
        <w:tc>
          <w:tcPr>
            <w:tcW w:w="1678" w:type="dxa"/>
            <w:tcBorders>
              <w:top w:val="single" w:sz="4" w:space="0" w:color="auto"/>
            </w:tcBorders>
            <w:shd w:val="clear" w:color="auto" w:fill="auto"/>
            <w:vAlign w:val="bottom"/>
          </w:tcPr>
          <w:p w14:paraId="2094C491" w14:textId="77777777" w:rsidR="0031460D" w:rsidRPr="00EB24B9" w:rsidRDefault="0031460D" w:rsidP="0031460D">
            <w:pPr>
              <w:ind w:right="57"/>
              <w:jc w:val="right"/>
              <w:rPr>
                <w:b/>
                <w:sz w:val="18"/>
                <w:szCs w:val="18"/>
                <w:highlight w:val="cyan"/>
              </w:rPr>
            </w:pPr>
          </w:p>
        </w:tc>
        <w:tc>
          <w:tcPr>
            <w:tcW w:w="115" w:type="dxa"/>
          </w:tcPr>
          <w:p w14:paraId="0645C06D" w14:textId="77777777" w:rsidR="0031460D" w:rsidRPr="00EB24B9" w:rsidRDefault="0031460D" w:rsidP="0031460D">
            <w:pPr>
              <w:ind w:right="57"/>
              <w:jc w:val="right"/>
              <w:rPr>
                <w:b/>
                <w:sz w:val="18"/>
                <w:szCs w:val="18"/>
                <w:highlight w:val="cyan"/>
              </w:rPr>
            </w:pPr>
          </w:p>
        </w:tc>
        <w:tc>
          <w:tcPr>
            <w:tcW w:w="1678" w:type="dxa"/>
            <w:tcBorders>
              <w:top w:val="single" w:sz="4" w:space="0" w:color="auto"/>
            </w:tcBorders>
            <w:vAlign w:val="bottom"/>
          </w:tcPr>
          <w:p w14:paraId="3CF3CF98" w14:textId="77777777" w:rsidR="0031460D" w:rsidRPr="00C8472B" w:rsidRDefault="0031460D" w:rsidP="0031460D">
            <w:pPr>
              <w:ind w:right="57"/>
              <w:jc w:val="right"/>
              <w:rPr>
                <w:b/>
                <w:sz w:val="18"/>
                <w:szCs w:val="18"/>
              </w:rPr>
            </w:pPr>
          </w:p>
        </w:tc>
        <w:tc>
          <w:tcPr>
            <w:tcW w:w="2869" w:type="dxa"/>
            <w:vAlign w:val="bottom"/>
          </w:tcPr>
          <w:p w14:paraId="706FC452" w14:textId="77777777" w:rsidR="0031460D" w:rsidRPr="00EB24B9" w:rsidRDefault="0031460D" w:rsidP="0031460D">
            <w:pPr>
              <w:ind w:right="57"/>
              <w:jc w:val="right"/>
              <w:rPr>
                <w:i/>
                <w:iCs/>
                <w:sz w:val="18"/>
                <w:szCs w:val="18"/>
              </w:rPr>
            </w:pPr>
          </w:p>
        </w:tc>
      </w:tr>
      <w:tr w:rsidR="0031460D" w:rsidRPr="00EB24B9" w14:paraId="713159C8" w14:textId="77777777" w:rsidTr="00183364">
        <w:trPr>
          <w:trHeight w:val="20"/>
        </w:trPr>
        <w:tc>
          <w:tcPr>
            <w:tcW w:w="2857" w:type="dxa"/>
            <w:vAlign w:val="bottom"/>
          </w:tcPr>
          <w:p w14:paraId="399F429D" w14:textId="77777777" w:rsidR="0031460D" w:rsidRPr="00EB24B9" w:rsidRDefault="0031460D" w:rsidP="0031460D">
            <w:pPr>
              <w:ind w:left="461" w:firstLine="168"/>
              <w:rPr>
                <w:b/>
                <w:bCs w:val="0"/>
                <w:sz w:val="18"/>
                <w:szCs w:val="18"/>
              </w:rPr>
            </w:pPr>
            <w:r w:rsidRPr="00EB24B9">
              <w:rPr>
                <w:b/>
                <w:bCs w:val="0"/>
                <w:sz w:val="18"/>
                <w:szCs w:val="18"/>
              </w:rPr>
              <w:t xml:space="preserve">Jumlah </w:t>
            </w:r>
          </w:p>
        </w:tc>
        <w:tc>
          <w:tcPr>
            <w:tcW w:w="1678" w:type="dxa"/>
            <w:tcBorders>
              <w:bottom w:val="double" w:sz="4" w:space="0" w:color="auto"/>
            </w:tcBorders>
            <w:shd w:val="clear" w:color="auto" w:fill="auto"/>
            <w:vAlign w:val="bottom"/>
          </w:tcPr>
          <w:p w14:paraId="2DCB4D50" w14:textId="29E5A961" w:rsidR="0031460D" w:rsidRPr="009F6D69" w:rsidRDefault="0031460D" w:rsidP="0031460D">
            <w:pPr>
              <w:ind w:right="57"/>
              <w:jc w:val="right"/>
              <w:rPr>
                <w:b/>
                <w:sz w:val="18"/>
                <w:szCs w:val="18"/>
              </w:rPr>
            </w:pPr>
            <w:r w:rsidRPr="009F6D69">
              <w:rPr>
                <w:b/>
                <w:sz w:val="18"/>
                <w:szCs w:val="18"/>
              </w:rPr>
              <w:t>110.499.274.270</w:t>
            </w:r>
          </w:p>
        </w:tc>
        <w:tc>
          <w:tcPr>
            <w:tcW w:w="115" w:type="dxa"/>
          </w:tcPr>
          <w:p w14:paraId="6B61CC74" w14:textId="77777777" w:rsidR="0031460D" w:rsidRPr="009F6D69" w:rsidRDefault="0031460D" w:rsidP="0031460D">
            <w:pPr>
              <w:ind w:right="57"/>
              <w:jc w:val="right"/>
              <w:rPr>
                <w:b/>
                <w:sz w:val="18"/>
                <w:szCs w:val="18"/>
              </w:rPr>
            </w:pPr>
          </w:p>
        </w:tc>
        <w:tc>
          <w:tcPr>
            <w:tcW w:w="1678" w:type="dxa"/>
            <w:tcBorders>
              <w:bottom w:val="double" w:sz="4" w:space="0" w:color="auto"/>
            </w:tcBorders>
            <w:vAlign w:val="bottom"/>
          </w:tcPr>
          <w:p w14:paraId="21ED688A" w14:textId="770ED3BE" w:rsidR="0031460D" w:rsidRPr="009F6D69" w:rsidRDefault="0031460D" w:rsidP="0031460D">
            <w:pPr>
              <w:ind w:right="57"/>
              <w:jc w:val="right"/>
              <w:rPr>
                <w:b/>
                <w:sz w:val="18"/>
                <w:szCs w:val="18"/>
              </w:rPr>
            </w:pPr>
            <w:r w:rsidRPr="009F6D69">
              <w:rPr>
                <w:b/>
                <w:sz w:val="18"/>
                <w:szCs w:val="18"/>
              </w:rPr>
              <w:t>101.039.665.233</w:t>
            </w:r>
          </w:p>
        </w:tc>
        <w:tc>
          <w:tcPr>
            <w:tcW w:w="2869" w:type="dxa"/>
            <w:vAlign w:val="bottom"/>
          </w:tcPr>
          <w:p w14:paraId="2BD04D47" w14:textId="77777777" w:rsidR="0031460D" w:rsidRPr="00EB24B9" w:rsidRDefault="0031460D" w:rsidP="0031460D">
            <w:pPr>
              <w:ind w:right="57"/>
              <w:jc w:val="right"/>
              <w:rPr>
                <w:b/>
                <w:i/>
                <w:iCs/>
                <w:sz w:val="18"/>
                <w:szCs w:val="18"/>
              </w:rPr>
            </w:pPr>
            <w:r w:rsidRPr="00EB24B9">
              <w:rPr>
                <w:b/>
                <w:i/>
                <w:iCs/>
                <w:sz w:val="18"/>
                <w:szCs w:val="18"/>
              </w:rPr>
              <w:t xml:space="preserve">Total </w:t>
            </w:r>
          </w:p>
        </w:tc>
      </w:tr>
    </w:tbl>
    <w:p w14:paraId="5995C290" w14:textId="4F89C385" w:rsidR="00EB24B9" w:rsidRPr="000625A0" w:rsidRDefault="00EB24B9">
      <w:pPr>
        <w:rPr>
          <w:sz w:val="18"/>
          <w:szCs w:val="18"/>
        </w:rPr>
      </w:pPr>
    </w:p>
    <w:tbl>
      <w:tblPr>
        <w:tblW w:w="9174" w:type="dxa"/>
        <w:tblInd w:w="131" w:type="dxa"/>
        <w:tblLook w:val="0000" w:firstRow="0" w:lastRow="0" w:firstColumn="0" w:lastColumn="0" w:noHBand="0" w:noVBand="0"/>
      </w:tblPr>
      <w:tblGrid>
        <w:gridCol w:w="4600"/>
        <w:gridCol w:w="4574"/>
      </w:tblGrid>
      <w:tr w:rsidR="00524002" w:rsidRPr="0013526B" w14:paraId="21E62EEE" w14:textId="77777777" w:rsidTr="000625A0">
        <w:tc>
          <w:tcPr>
            <w:tcW w:w="2507" w:type="pct"/>
            <w:tcBorders>
              <w:top w:val="nil"/>
              <w:left w:val="nil"/>
              <w:bottom w:val="nil"/>
              <w:right w:val="nil"/>
            </w:tcBorders>
          </w:tcPr>
          <w:p w14:paraId="1942FA00" w14:textId="0B18EC60" w:rsidR="00524002" w:rsidRPr="0013526B" w:rsidRDefault="00524002" w:rsidP="00070D1F">
            <w:pPr>
              <w:pStyle w:val="ListParagraph"/>
              <w:numPr>
                <w:ilvl w:val="0"/>
                <w:numId w:val="256"/>
              </w:numPr>
              <w:ind w:left="488" w:hanging="227"/>
              <w:jc w:val="both"/>
              <w:rPr>
                <w:sz w:val="18"/>
                <w:szCs w:val="18"/>
              </w:rPr>
            </w:pPr>
            <w:r>
              <w:rPr>
                <w:sz w:val="18"/>
                <w:szCs w:val="18"/>
              </w:rPr>
              <w:t>Berdasarkan mata uang</w:t>
            </w:r>
            <w:r w:rsidRPr="0013526B">
              <w:rPr>
                <w:sz w:val="18"/>
                <w:szCs w:val="18"/>
              </w:rPr>
              <w:t>:</w:t>
            </w:r>
          </w:p>
        </w:tc>
        <w:tc>
          <w:tcPr>
            <w:tcW w:w="2493" w:type="pct"/>
            <w:tcBorders>
              <w:top w:val="nil"/>
              <w:left w:val="nil"/>
              <w:bottom w:val="nil"/>
              <w:right w:val="nil"/>
            </w:tcBorders>
          </w:tcPr>
          <w:p w14:paraId="397D95BC" w14:textId="2A8112AE" w:rsidR="00524002" w:rsidRPr="0013526B" w:rsidRDefault="00524002" w:rsidP="00070D1F">
            <w:pPr>
              <w:pStyle w:val="ListParagraph"/>
              <w:numPr>
                <w:ilvl w:val="0"/>
                <w:numId w:val="257"/>
              </w:numPr>
              <w:ind w:left="422" w:hanging="283"/>
              <w:jc w:val="both"/>
              <w:rPr>
                <w:i/>
                <w:sz w:val="18"/>
                <w:szCs w:val="18"/>
              </w:rPr>
            </w:pPr>
            <w:r>
              <w:rPr>
                <w:i/>
                <w:sz w:val="18"/>
                <w:szCs w:val="18"/>
              </w:rPr>
              <w:t>By currency</w:t>
            </w:r>
            <w:r w:rsidRPr="0013526B">
              <w:rPr>
                <w:i/>
                <w:sz w:val="18"/>
                <w:szCs w:val="18"/>
              </w:rPr>
              <w:t>:</w:t>
            </w:r>
          </w:p>
        </w:tc>
      </w:tr>
    </w:tbl>
    <w:p w14:paraId="6490947D" w14:textId="77777777" w:rsidR="00D14773" w:rsidRPr="0013526B" w:rsidRDefault="00D14773" w:rsidP="00524002">
      <w:pPr>
        <w:jc w:val="both"/>
        <w:rPr>
          <w:sz w:val="18"/>
          <w:szCs w:val="18"/>
        </w:rPr>
      </w:pPr>
    </w:p>
    <w:tbl>
      <w:tblPr>
        <w:tblW w:w="9197" w:type="dxa"/>
        <w:tblInd w:w="112" w:type="dxa"/>
        <w:tblCellMar>
          <w:left w:w="0" w:type="dxa"/>
          <w:right w:w="0" w:type="dxa"/>
        </w:tblCellMar>
        <w:tblLook w:val="01E0" w:firstRow="1" w:lastRow="1" w:firstColumn="1" w:lastColumn="1" w:noHBand="0" w:noVBand="0"/>
      </w:tblPr>
      <w:tblGrid>
        <w:gridCol w:w="2857"/>
        <w:gridCol w:w="1678"/>
        <w:gridCol w:w="115"/>
        <w:gridCol w:w="1678"/>
        <w:gridCol w:w="2869"/>
      </w:tblGrid>
      <w:tr w:rsidR="00C66E38" w:rsidRPr="0030048B" w14:paraId="6E0E51C3" w14:textId="77777777" w:rsidTr="00C66E38">
        <w:trPr>
          <w:trHeight w:val="20"/>
        </w:trPr>
        <w:tc>
          <w:tcPr>
            <w:tcW w:w="2857" w:type="dxa"/>
            <w:vAlign w:val="bottom"/>
          </w:tcPr>
          <w:p w14:paraId="149B7802" w14:textId="77777777" w:rsidR="00C66E38" w:rsidRPr="00F244E2" w:rsidRDefault="00C66E38" w:rsidP="00C66E38">
            <w:pPr>
              <w:ind w:left="141" w:hanging="141"/>
              <w:rPr>
                <w:sz w:val="18"/>
                <w:szCs w:val="18"/>
              </w:rPr>
            </w:pPr>
          </w:p>
        </w:tc>
        <w:tc>
          <w:tcPr>
            <w:tcW w:w="1678" w:type="dxa"/>
            <w:tcBorders>
              <w:bottom w:val="single" w:sz="4" w:space="0" w:color="auto"/>
            </w:tcBorders>
            <w:shd w:val="clear" w:color="auto" w:fill="auto"/>
          </w:tcPr>
          <w:p w14:paraId="1F0512E4" w14:textId="77777777" w:rsidR="00C66E38" w:rsidRPr="00AA50B8" w:rsidRDefault="00C66E38" w:rsidP="00C66E38">
            <w:pPr>
              <w:jc w:val="center"/>
              <w:rPr>
                <w:b/>
                <w:sz w:val="18"/>
                <w:szCs w:val="18"/>
              </w:rPr>
            </w:pPr>
            <w:r w:rsidRPr="00AA50B8">
              <w:rPr>
                <w:b/>
                <w:sz w:val="18"/>
                <w:szCs w:val="18"/>
              </w:rPr>
              <w:t>31 Maret/</w:t>
            </w:r>
          </w:p>
          <w:p w14:paraId="2B57B14E" w14:textId="36F12497" w:rsidR="00C66E38" w:rsidRPr="00AA50B8" w:rsidRDefault="00C66E38" w:rsidP="001808CD">
            <w:pPr>
              <w:ind w:right="57"/>
              <w:jc w:val="center"/>
              <w:rPr>
                <w:sz w:val="18"/>
                <w:szCs w:val="18"/>
              </w:rPr>
            </w:pPr>
            <w:r w:rsidRPr="00AA50B8">
              <w:rPr>
                <w:b/>
                <w:sz w:val="18"/>
                <w:szCs w:val="18"/>
              </w:rPr>
              <w:t>March 31</w:t>
            </w:r>
            <w:r w:rsidR="001808CD" w:rsidRPr="00AA50B8">
              <w:rPr>
                <w:b/>
                <w:sz w:val="18"/>
                <w:szCs w:val="18"/>
              </w:rPr>
              <w:t>,</w:t>
            </w:r>
            <w:r w:rsidRPr="00AA50B8">
              <w:rPr>
                <w:b/>
                <w:sz w:val="18"/>
                <w:szCs w:val="18"/>
              </w:rPr>
              <w:t xml:space="preserve"> 2020</w:t>
            </w:r>
          </w:p>
        </w:tc>
        <w:tc>
          <w:tcPr>
            <w:tcW w:w="115" w:type="dxa"/>
            <w:tcBorders>
              <w:bottom w:val="single" w:sz="4" w:space="0" w:color="auto"/>
            </w:tcBorders>
          </w:tcPr>
          <w:p w14:paraId="5E39C93D" w14:textId="77777777" w:rsidR="00C66E38" w:rsidRPr="00AA50B8" w:rsidRDefault="00C66E38" w:rsidP="00C66E38">
            <w:pPr>
              <w:ind w:right="57"/>
              <w:jc w:val="center"/>
              <w:rPr>
                <w:sz w:val="18"/>
                <w:szCs w:val="18"/>
              </w:rPr>
            </w:pPr>
          </w:p>
        </w:tc>
        <w:tc>
          <w:tcPr>
            <w:tcW w:w="1678" w:type="dxa"/>
            <w:tcBorders>
              <w:bottom w:val="single" w:sz="4" w:space="0" w:color="auto"/>
            </w:tcBorders>
          </w:tcPr>
          <w:p w14:paraId="0168732E" w14:textId="77777777" w:rsidR="00C66E38" w:rsidRPr="00AA50B8" w:rsidRDefault="00C66E38" w:rsidP="00C66E38">
            <w:pPr>
              <w:jc w:val="center"/>
              <w:rPr>
                <w:b/>
                <w:sz w:val="18"/>
                <w:szCs w:val="18"/>
              </w:rPr>
            </w:pPr>
            <w:r w:rsidRPr="00AA50B8">
              <w:rPr>
                <w:b/>
                <w:sz w:val="18"/>
                <w:szCs w:val="18"/>
              </w:rPr>
              <w:t>31 Desember/</w:t>
            </w:r>
          </w:p>
          <w:p w14:paraId="69EA0312" w14:textId="071BCE1D" w:rsidR="00C66E38" w:rsidRPr="00AA50B8" w:rsidRDefault="00C66E38" w:rsidP="001808CD">
            <w:pPr>
              <w:ind w:right="57"/>
              <w:jc w:val="center"/>
              <w:rPr>
                <w:sz w:val="18"/>
                <w:szCs w:val="18"/>
              </w:rPr>
            </w:pPr>
            <w:r w:rsidRPr="00AA50B8">
              <w:rPr>
                <w:b/>
                <w:sz w:val="18"/>
                <w:szCs w:val="18"/>
              </w:rPr>
              <w:t>December 31</w:t>
            </w:r>
            <w:r w:rsidR="001808CD" w:rsidRPr="00AA50B8">
              <w:rPr>
                <w:b/>
                <w:sz w:val="18"/>
                <w:szCs w:val="18"/>
              </w:rPr>
              <w:t>,</w:t>
            </w:r>
            <w:r w:rsidRPr="00AA50B8">
              <w:rPr>
                <w:b/>
                <w:sz w:val="18"/>
                <w:szCs w:val="18"/>
              </w:rPr>
              <w:t xml:space="preserve"> 2019</w:t>
            </w:r>
          </w:p>
        </w:tc>
        <w:tc>
          <w:tcPr>
            <w:tcW w:w="2869" w:type="dxa"/>
            <w:vAlign w:val="bottom"/>
          </w:tcPr>
          <w:p w14:paraId="5184C88B" w14:textId="77777777" w:rsidR="00C66E38" w:rsidRPr="0030048B" w:rsidRDefault="00C66E38" w:rsidP="00C66E38">
            <w:pPr>
              <w:ind w:right="57"/>
              <w:jc w:val="right"/>
              <w:rPr>
                <w:i/>
                <w:iCs/>
                <w:sz w:val="18"/>
                <w:szCs w:val="18"/>
                <w:highlight w:val="yellow"/>
              </w:rPr>
            </w:pPr>
          </w:p>
        </w:tc>
      </w:tr>
      <w:tr w:rsidR="00524002" w:rsidRPr="0030048B" w14:paraId="26BC6498" w14:textId="77777777" w:rsidTr="00C66E38">
        <w:trPr>
          <w:trHeight w:val="20"/>
        </w:trPr>
        <w:tc>
          <w:tcPr>
            <w:tcW w:w="2857" w:type="dxa"/>
            <w:vAlign w:val="bottom"/>
          </w:tcPr>
          <w:p w14:paraId="36639ACE" w14:textId="77777777" w:rsidR="00524002" w:rsidRPr="0030048B" w:rsidRDefault="00524002" w:rsidP="00524002">
            <w:pPr>
              <w:ind w:left="141" w:hanging="141"/>
              <w:rPr>
                <w:sz w:val="18"/>
                <w:szCs w:val="18"/>
                <w:highlight w:val="yellow"/>
              </w:rPr>
            </w:pPr>
          </w:p>
        </w:tc>
        <w:tc>
          <w:tcPr>
            <w:tcW w:w="1678" w:type="dxa"/>
            <w:tcBorders>
              <w:top w:val="single" w:sz="4" w:space="0" w:color="auto"/>
            </w:tcBorders>
            <w:shd w:val="clear" w:color="auto" w:fill="auto"/>
            <w:vAlign w:val="bottom"/>
          </w:tcPr>
          <w:p w14:paraId="26369925" w14:textId="77777777" w:rsidR="00524002" w:rsidRPr="00AA50B8" w:rsidRDefault="00524002" w:rsidP="00524002">
            <w:pPr>
              <w:ind w:right="57"/>
              <w:jc w:val="right"/>
              <w:rPr>
                <w:sz w:val="18"/>
                <w:szCs w:val="18"/>
              </w:rPr>
            </w:pPr>
          </w:p>
        </w:tc>
        <w:tc>
          <w:tcPr>
            <w:tcW w:w="115" w:type="dxa"/>
            <w:tcBorders>
              <w:top w:val="single" w:sz="4" w:space="0" w:color="auto"/>
            </w:tcBorders>
            <w:vAlign w:val="bottom"/>
          </w:tcPr>
          <w:p w14:paraId="179DDEC9" w14:textId="77777777" w:rsidR="00524002" w:rsidRPr="00AA50B8" w:rsidRDefault="00524002" w:rsidP="00524002">
            <w:pPr>
              <w:ind w:right="57"/>
              <w:jc w:val="right"/>
              <w:rPr>
                <w:sz w:val="18"/>
                <w:szCs w:val="18"/>
              </w:rPr>
            </w:pPr>
          </w:p>
        </w:tc>
        <w:tc>
          <w:tcPr>
            <w:tcW w:w="1678" w:type="dxa"/>
            <w:tcBorders>
              <w:top w:val="single" w:sz="4" w:space="0" w:color="auto"/>
            </w:tcBorders>
            <w:vAlign w:val="bottom"/>
          </w:tcPr>
          <w:p w14:paraId="1E787D4B" w14:textId="77777777" w:rsidR="00524002" w:rsidRPr="00AA50B8" w:rsidRDefault="00524002" w:rsidP="00524002">
            <w:pPr>
              <w:ind w:right="57"/>
              <w:jc w:val="right"/>
              <w:rPr>
                <w:sz w:val="18"/>
                <w:szCs w:val="18"/>
              </w:rPr>
            </w:pPr>
          </w:p>
        </w:tc>
        <w:tc>
          <w:tcPr>
            <w:tcW w:w="2869" w:type="dxa"/>
            <w:vAlign w:val="bottom"/>
          </w:tcPr>
          <w:p w14:paraId="0F6B6989" w14:textId="77777777" w:rsidR="00524002" w:rsidRPr="0030048B" w:rsidRDefault="00524002" w:rsidP="00524002">
            <w:pPr>
              <w:ind w:right="57"/>
              <w:jc w:val="right"/>
              <w:rPr>
                <w:i/>
                <w:iCs/>
                <w:sz w:val="18"/>
                <w:szCs w:val="18"/>
                <w:highlight w:val="yellow"/>
              </w:rPr>
            </w:pPr>
          </w:p>
        </w:tc>
      </w:tr>
      <w:tr w:rsidR="00F84E7F" w:rsidRPr="0030048B" w14:paraId="7CCD4BF8" w14:textId="77777777" w:rsidTr="00C66E38">
        <w:trPr>
          <w:trHeight w:val="20"/>
        </w:trPr>
        <w:tc>
          <w:tcPr>
            <w:tcW w:w="2857" w:type="dxa"/>
            <w:vAlign w:val="bottom"/>
          </w:tcPr>
          <w:p w14:paraId="7C6AF897" w14:textId="21A5BD0F" w:rsidR="00F84E7F" w:rsidRPr="00AA50B8" w:rsidRDefault="00F84E7F" w:rsidP="00F84E7F">
            <w:pPr>
              <w:ind w:left="595" w:firstLine="17"/>
              <w:rPr>
                <w:sz w:val="18"/>
                <w:szCs w:val="18"/>
              </w:rPr>
            </w:pPr>
            <w:r w:rsidRPr="00AA50B8">
              <w:rPr>
                <w:sz w:val="18"/>
                <w:szCs w:val="18"/>
              </w:rPr>
              <w:t>Rupiah</w:t>
            </w:r>
          </w:p>
        </w:tc>
        <w:tc>
          <w:tcPr>
            <w:tcW w:w="1678" w:type="dxa"/>
            <w:shd w:val="clear" w:color="auto" w:fill="auto"/>
            <w:vAlign w:val="bottom"/>
          </w:tcPr>
          <w:p w14:paraId="2ECFC499" w14:textId="32156BD3" w:rsidR="00F84E7F" w:rsidRPr="00AA50B8" w:rsidRDefault="00AA50B8" w:rsidP="00F84E7F">
            <w:pPr>
              <w:ind w:right="57"/>
              <w:jc w:val="right"/>
              <w:rPr>
                <w:sz w:val="18"/>
                <w:szCs w:val="18"/>
              </w:rPr>
            </w:pPr>
            <w:r w:rsidRPr="00AA50B8">
              <w:rPr>
                <w:sz w:val="18"/>
                <w:szCs w:val="18"/>
              </w:rPr>
              <w:t>110.499.274.270</w:t>
            </w:r>
          </w:p>
        </w:tc>
        <w:tc>
          <w:tcPr>
            <w:tcW w:w="115" w:type="dxa"/>
            <w:vAlign w:val="bottom"/>
          </w:tcPr>
          <w:p w14:paraId="73B5F247" w14:textId="77777777" w:rsidR="00F84E7F" w:rsidRPr="00AA50B8" w:rsidRDefault="00F84E7F" w:rsidP="00F84E7F">
            <w:pPr>
              <w:ind w:right="57"/>
              <w:jc w:val="right"/>
              <w:rPr>
                <w:sz w:val="18"/>
                <w:szCs w:val="18"/>
              </w:rPr>
            </w:pPr>
          </w:p>
        </w:tc>
        <w:tc>
          <w:tcPr>
            <w:tcW w:w="1678" w:type="dxa"/>
            <w:vAlign w:val="bottom"/>
          </w:tcPr>
          <w:p w14:paraId="261C7FB0" w14:textId="4428F229" w:rsidR="00F84E7F" w:rsidRPr="00AA50B8" w:rsidRDefault="00F84E7F" w:rsidP="00F84E7F">
            <w:pPr>
              <w:ind w:right="57"/>
              <w:jc w:val="right"/>
              <w:rPr>
                <w:sz w:val="18"/>
                <w:szCs w:val="18"/>
              </w:rPr>
            </w:pPr>
            <w:r w:rsidRPr="00AA50B8">
              <w:rPr>
                <w:sz w:val="18"/>
                <w:szCs w:val="18"/>
              </w:rPr>
              <w:t>101.039.665.233</w:t>
            </w:r>
          </w:p>
        </w:tc>
        <w:tc>
          <w:tcPr>
            <w:tcW w:w="2869" w:type="dxa"/>
            <w:vAlign w:val="bottom"/>
          </w:tcPr>
          <w:p w14:paraId="2E5B3A03" w14:textId="7449858D" w:rsidR="00F84E7F" w:rsidRPr="00AA50B8" w:rsidRDefault="00F84E7F" w:rsidP="00F84E7F">
            <w:pPr>
              <w:ind w:right="57"/>
              <w:jc w:val="right"/>
              <w:rPr>
                <w:i/>
                <w:iCs/>
                <w:sz w:val="18"/>
                <w:szCs w:val="18"/>
              </w:rPr>
            </w:pPr>
            <w:r w:rsidRPr="00AA50B8">
              <w:rPr>
                <w:i/>
                <w:iCs/>
                <w:sz w:val="18"/>
                <w:szCs w:val="18"/>
              </w:rPr>
              <w:t>Rupiah</w:t>
            </w:r>
          </w:p>
        </w:tc>
      </w:tr>
      <w:tr w:rsidR="00F84E7F" w:rsidRPr="00F244E2" w14:paraId="075A57E0" w14:textId="77777777" w:rsidTr="00C66E38">
        <w:trPr>
          <w:trHeight w:val="20"/>
        </w:trPr>
        <w:tc>
          <w:tcPr>
            <w:tcW w:w="2857" w:type="dxa"/>
            <w:vAlign w:val="bottom"/>
          </w:tcPr>
          <w:p w14:paraId="6AE862DA" w14:textId="732BD9A5" w:rsidR="00F84E7F" w:rsidRPr="00AA50B8" w:rsidRDefault="00F84E7F" w:rsidP="00F84E7F">
            <w:pPr>
              <w:ind w:left="595" w:firstLine="17"/>
              <w:rPr>
                <w:sz w:val="18"/>
                <w:szCs w:val="18"/>
              </w:rPr>
            </w:pPr>
            <w:r w:rsidRPr="00AA50B8">
              <w:rPr>
                <w:sz w:val="18"/>
                <w:szCs w:val="18"/>
              </w:rPr>
              <w:t>Dollar amerika Serikat</w:t>
            </w:r>
          </w:p>
        </w:tc>
        <w:tc>
          <w:tcPr>
            <w:tcW w:w="1678" w:type="dxa"/>
            <w:shd w:val="clear" w:color="auto" w:fill="auto"/>
            <w:vAlign w:val="bottom"/>
          </w:tcPr>
          <w:p w14:paraId="7025257A" w14:textId="7F1FBCB2" w:rsidR="00F84E7F" w:rsidRPr="00AA50B8" w:rsidRDefault="00F84E7F" w:rsidP="00F84E7F">
            <w:pPr>
              <w:ind w:right="57"/>
              <w:jc w:val="right"/>
              <w:rPr>
                <w:sz w:val="18"/>
                <w:szCs w:val="18"/>
                <w:lang w:val="id-ID"/>
              </w:rPr>
            </w:pPr>
          </w:p>
        </w:tc>
        <w:tc>
          <w:tcPr>
            <w:tcW w:w="115" w:type="dxa"/>
            <w:vAlign w:val="bottom"/>
          </w:tcPr>
          <w:p w14:paraId="5C1BA2E5" w14:textId="77777777" w:rsidR="00F84E7F" w:rsidRPr="00AA50B8" w:rsidRDefault="00F84E7F" w:rsidP="00F84E7F">
            <w:pPr>
              <w:ind w:right="57"/>
              <w:jc w:val="right"/>
              <w:rPr>
                <w:sz w:val="18"/>
                <w:szCs w:val="18"/>
              </w:rPr>
            </w:pPr>
          </w:p>
        </w:tc>
        <w:tc>
          <w:tcPr>
            <w:tcW w:w="1678" w:type="dxa"/>
            <w:vAlign w:val="bottom"/>
          </w:tcPr>
          <w:p w14:paraId="2B45027C" w14:textId="0F65480B" w:rsidR="00F84E7F" w:rsidRPr="00AA50B8" w:rsidRDefault="00F84E7F" w:rsidP="00F84E7F">
            <w:pPr>
              <w:ind w:right="57"/>
              <w:jc w:val="right"/>
              <w:rPr>
                <w:sz w:val="18"/>
                <w:szCs w:val="18"/>
              </w:rPr>
            </w:pPr>
            <w:r w:rsidRPr="00AA50B8">
              <w:rPr>
                <w:sz w:val="18"/>
                <w:szCs w:val="18"/>
                <w:lang w:val="id-ID"/>
              </w:rPr>
              <w:t>-</w:t>
            </w:r>
          </w:p>
        </w:tc>
        <w:tc>
          <w:tcPr>
            <w:tcW w:w="2869" w:type="dxa"/>
            <w:vAlign w:val="bottom"/>
          </w:tcPr>
          <w:p w14:paraId="117D19FA" w14:textId="439560BE" w:rsidR="00F84E7F" w:rsidRPr="00AA50B8" w:rsidRDefault="00F84E7F" w:rsidP="00F84E7F">
            <w:pPr>
              <w:ind w:right="57"/>
              <w:jc w:val="right"/>
              <w:rPr>
                <w:i/>
                <w:iCs/>
                <w:sz w:val="18"/>
                <w:szCs w:val="18"/>
              </w:rPr>
            </w:pPr>
            <w:r w:rsidRPr="00AA50B8">
              <w:rPr>
                <w:i/>
                <w:iCs/>
                <w:sz w:val="18"/>
                <w:szCs w:val="18"/>
              </w:rPr>
              <w:t>U.S Dollar</w:t>
            </w:r>
          </w:p>
        </w:tc>
      </w:tr>
      <w:tr w:rsidR="00524002" w:rsidRPr="00F244E2" w14:paraId="579715B8" w14:textId="77777777" w:rsidTr="00C66E38">
        <w:trPr>
          <w:trHeight w:val="20"/>
        </w:trPr>
        <w:tc>
          <w:tcPr>
            <w:tcW w:w="2857" w:type="dxa"/>
            <w:vAlign w:val="bottom"/>
          </w:tcPr>
          <w:p w14:paraId="48D5ECAB" w14:textId="77777777" w:rsidR="00524002" w:rsidRPr="00F244E2" w:rsidRDefault="00524002" w:rsidP="00E50367">
            <w:pPr>
              <w:ind w:left="587" w:hanging="141"/>
              <w:rPr>
                <w:bCs w:val="0"/>
                <w:sz w:val="18"/>
                <w:szCs w:val="18"/>
              </w:rPr>
            </w:pPr>
          </w:p>
        </w:tc>
        <w:tc>
          <w:tcPr>
            <w:tcW w:w="1678" w:type="dxa"/>
            <w:tcBorders>
              <w:top w:val="single" w:sz="4" w:space="0" w:color="auto"/>
            </w:tcBorders>
            <w:shd w:val="clear" w:color="auto" w:fill="auto"/>
            <w:vAlign w:val="bottom"/>
          </w:tcPr>
          <w:p w14:paraId="51E539DB" w14:textId="77777777" w:rsidR="00524002" w:rsidRPr="00AA50B8" w:rsidRDefault="00524002" w:rsidP="00524002">
            <w:pPr>
              <w:ind w:right="57"/>
              <w:jc w:val="right"/>
              <w:rPr>
                <w:b/>
                <w:sz w:val="18"/>
                <w:szCs w:val="18"/>
              </w:rPr>
            </w:pPr>
          </w:p>
        </w:tc>
        <w:tc>
          <w:tcPr>
            <w:tcW w:w="115" w:type="dxa"/>
          </w:tcPr>
          <w:p w14:paraId="61E96950" w14:textId="77777777" w:rsidR="00524002" w:rsidRPr="00AA50B8" w:rsidRDefault="00524002" w:rsidP="00524002">
            <w:pPr>
              <w:ind w:right="57"/>
              <w:jc w:val="right"/>
              <w:rPr>
                <w:b/>
                <w:sz w:val="18"/>
                <w:szCs w:val="18"/>
              </w:rPr>
            </w:pPr>
          </w:p>
        </w:tc>
        <w:tc>
          <w:tcPr>
            <w:tcW w:w="1678" w:type="dxa"/>
            <w:tcBorders>
              <w:top w:val="single" w:sz="4" w:space="0" w:color="auto"/>
            </w:tcBorders>
            <w:vAlign w:val="bottom"/>
          </w:tcPr>
          <w:p w14:paraId="527A0B56" w14:textId="77777777" w:rsidR="00524002" w:rsidRPr="00AA50B8" w:rsidRDefault="00524002" w:rsidP="00524002">
            <w:pPr>
              <w:ind w:right="57"/>
              <w:jc w:val="right"/>
              <w:rPr>
                <w:b/>
                <w:sz w:val="18"/>
                <w:szCs w:val="18"/>
              </w:rPr>
            </w:pPr>
          </w:p>
        </w:tc>
        <w:tc>
          <w:tcPr>
            <w:tcW w:w="2869" w:type="dxa"/>
            <w:vAlign w:val="bottom"/>
          </w:tcPr>
          <w:p w14:paraId="2F11C3F3" w14:textId="77777777" w:rsidR="00524002" w:rsidRPr="00AA50B8" w:rsidRDefault="00524002" w:rsidP="00524002">
            <w:pPr>
              <w:ind w:right="57"/>
              <w:jc w:val="right"/>
              <w:rPr>
                <w:i/>
                <w:iCs/>
                <w:sz w:val="18"/>
                <w:szCs w:val="18"/>
              </w:rPr>
            </w:pPr>
          </w:p>
        </w:tc>
      </w:tr>
      <w:tr w:rsidR="00524002" w:rsidRPr="00F244E2" w14:paraId="605FE2EC" w14:textId="77777777" w:rsidTr="00C66E38">
        <w:trPr>
          <w:trHeight w:val="20"/>
        </w:trPr>
        <w:tc>
          <w:tcPr>
            <w:tcW w:w="2857" w:type="dxa"/>
            <w:vAlign w:val="bottom"/>
          </w:tcPr>
          <w:p w14:paraId="5A2928E1" w14:textId="77777777" w:rsidR="00524002" w:rsidRPr="007C207F" w:rsidRDefault="00524002" w:rsidP="007C207F">
            <w:pPr>
              <w:ind w:left="595" w:firstLine="17"/>
              <w:rPr>
                <w:b/>
                <w:bCs w:val="0"/>
                <w:sz w:val="18"/>
                <w:szCs w:val="18"/>
              </w:rPr>
            </w:pPr>
            <w:r w:rsidRPr="007C207F">
              <w:rPr>
                <w:b/>
                <w:bCs w:val="0"/>
                <w:sz w:val="18"/>
                <w:szCs w:val="18"/>
              </w:rPr>
              <w:t xml:space="preserve">Jumlah </w:t>
            </w:r>
          </w:p>
        </w:tc>
        <w:tc>
          <w:tcPr>
            <w:tcW w:w="1678" w:type="dxa"/>
            <w:tcBorders>
              <w:bottom w:val="double" w:sz="4" w:space="0" w:color="auto"/>
            </w:tcBorders>
            <w:shd w:val="clear" w:color="auto" w:fill="auto"/>
            <w:vAlign w:val="bottom"/>
          </w:tcPr>
          <w:p w14:paraId="7812354C" w14:textId="279FE4BE" w:rsidR="00524002" w:rsidRPr="00AA50B8" w:rsidRDefault="0052367A" w:rsidP="00524002">
            <w:pPr>
              <w:ind w:right="57"/>
              <w:jc w:val="right"/>
              <w:rPr>
                <w:b/>
                <w:sz w:val="18"/>
                <w:szCs w:val="18"/>
              </w:rPr>
            </w:pPr>
            <w:r w:rsidRPr="00AA50B8">
              <w:rPr>
                <w:b/>
                <w:sz w:val="18"/>
                <w:szCs w:val="18"/>
              </w:rPr>
              <w:t>110.499.274.270</w:t>
            </w:r>
          </w:p>
        </w:tc>
        <w:tc>
          <w:tcPr>
            <w:tcW w:w="115" w:type="dxa"/>
          </w:tcPr>
          <w:p w14:paraId="6D93A496" w14:textId="77777777" w:rsidR="00524002" w:rsidRPr="00AA50B8" w:rsidRDefault="00524002" w:rsidP="00524002">
            <w:pPr>
              <w:ind w:right="57"/>
              <w:jc w:val="right"/>
              <w:rPr>
                <w:b/>
                <w:sz w:val="18"/>
                <w:szCs w:val="18"/>
              </w:rPr>
            </w:pPr>
          </w:p>
        </w:tc>
        <w:tc>
          <w:tcPr>
            <w:tcW w:w="1678" w:type="dxa"/>
            <w:tcBorders>
              <w:bottom w:val="double" w:sz="4" w:space="0" w:color="auto"/>
            </w:tcBorders>
            <w:vAlign w:val="bottom"/>
          </w:tcPr>
          <w:p w14:paraId="541DF19F" w14:textId="4EF3520F" w:rsidR="00524002" w:rsidRPr="00AA50B8" w:rsidRDefault="00F84E7F" w:rsidP="00524002">
            <w:pPr>
              <w:ind w:right="57"/>
              <w:jc w:val="right"/>
              <w:rPr>
                <w:b/>
                <w:sz w:val="18"/>
                <w:szCs w:val="18"/>
              </w:rPr>
            </w:pPr>
            <w:r w:rsidRPr="00AA50B8">
              <w:rPr>
                <w:b/>
                <w:sz w:val="18"/>
                <w:szCs w:val="18"/>
              </w:rPr>
              <w:t>101.039.665.233</w:t>
            </w:r>
          </w:p>
        </w:tc>
        <w:tc>
          <w:tcPr>
            <w:tcW w:w="2869" w:type="dxa"/>
            <w:vAlign w:val="bottom"/>
          </w:tcPr>
          <w:p w14:paraId="1BCB4698" w14:textId="77777777" w:rsidR="00524002" w:rsidRPr="00F244E2" w:rsidRDefault="00524002" w:rsidP="00524002">
            <w:pPr>
              <w:ind w:right="57"/>
              <w:jc w:val="right"/>
              <w:rPr>
                <w:b/>
                <w:i/>
                <w:iCs/>
                <w:sz w:val="18"/>
                <w:szCs w:val="18"/>
              </w:rPr>
            </w:pPr>
            <w:r w:rsidRPr="00F244E2">
              <w:rPr>
                <w:b/>
                <w:i/>
                <w:iCs/>
                <w:sz w:val="18"/>
                <w:szCs w:val="18"/>
              </w:rPr>
              <w:t xml:space="preserve">Total </w:t>
            </w:r>
          </w:p>
        </w:tc>
      </w:tr>
    </w:tbl>
    <w:p w14:paraId="4BD36A66" w14:textId="621F2A1C" w:rsidR="00B17046" w:rsidRDefault="00B17046" w:rsidP="0013526B">
      <w:pPr>
        <w:rPr>
          <w:sz w:val="10"/>
          <w:szCs w:val="18"/>
        </w:rPr>
      </w:pPr>
    </w:p>
    <w:p w14:paraId="7FE869CB" w14:textId="77777777" w:rsidR="000625A0" w:rsidRDefault="000625A0" w:rsidP="00070D1F">
      <w:pPr>
        <w:numPr>
          <w:ilvl w:val="0"/>
          <w:numId w:val="320"/>
        </w:numPr>
        <w:jc w:val="both"/>
        <w:rPr>
          <w:b/>
          <w:bCs w:val="0"/>
          <w:sz w:val="18"/>
          <w:szCs w:val="18"/>
        </w:rPr>
        <w:sectPr w:rsidR="000625A0" w:rsidSect="007867E7">
          <w:pgSz w:w="11907" w:h="16840" w:code="9"/>
          <w:pgMar w:top="1701" w:right="992" w:bottom="1134" w:left="1559" w:header="851" w:footer="397" w:gutter="0"/>
          <w:cols w:space="720"/>
          <w:titlePg/>
          <w:docGrid w:linePitch="360"/>
        </w:sectPr>
      </w:pPr>
    </w:p>
    <w:tbl>
      <w:tblPr>
        <w:tblW w:w="9197" w:type="dxa"/>
        <w:tblInd w:w="426" w:type="dxa"/>
        <w:tblLayout w:type="fixed"/>
        <w:tblLook w:val="0000" w:firstRow="0" w:lastRow="0" w:firstColumn="0" w:lastColumn="0" w:noHBand="0" w:noVBand="0"/>
      </w:tblPr>
      <w:tblGrid>
        <w:gridCol w:w="4598"/>
        <w:gridCol w:w="4599"/>
      </w:tblGrid>
      <w:tr w:rsidR="00B17046" w:rsidRPr="00DA635B" w14:paraId="63ECCACA" w14:textId="77777777" w:rsidTr="002108FF">
        <w:tc>
          <w:tcPr>
            <w:tcW w:w="2500" w:type="pct"/>
            <w:tcBorders>
              <w:top w:val="nil"/>
              <w:left w:val="nil"/>
              <w:bottom w:val="nil"/>
              <w:right w:val="nil"/>
            </w:tcBorders>
          </w:tcPr>
          <w:p w14:paraId="4E59D471" w14:textId="1A2B0841" w:rsidR="00B17046" w:rsidRPr="00DA635B" w:rsidRDefault="00B17046" w:rsidP="00070D1F">
            <w:pPr>
              <w:numPr>
                <w:ilvl w:val="0"/>
                <w:numId w:val="318"/>
              </w:numPr>
              <w:ind w:left="329" w:hanging="329"/>
              <w:jc w:val="both"/>
              <w:rPr>
                <w:b/>
                <w:bCs w:val="0"/>
                <w:sz w:val="18"/>
                <w:szCs w:val="18"/>
              </w:rPr>
            </w:pPr>
            <w:r w:rsidRPr="00DA635B">
              <w:rPr>
                <w:b/>
                <w:bCs w:val="0"/>
                <w:sz w:val="18"/>
                <w:szCs w:val="18"/>
              </w:rPr>
              <w:lastRenderedPageBreak/>
              <w:br w:type="page"/>
              <w:t xml:space="preserve">UTANG </w:t>
            </w:r>
            <w:r w:rsidR="00EB24B9">
              <w:rPr>
                <w:b/>
                <w:bCs w:val="0"/>
                <w:sz w:val="18"/>
                <w:szCs w:val="18"/>
              </w:rPr>
              <w:t>KONTRAKTOR</w:t>
            </w:r>
          </w:p>
        </w:tc>
        <w:tc>
          <w:tcPr>
            <w:tcW w:w="2500" w:type="pct"/>
            <w:tcBorders>
              <w:top w:val="nil"/>
              <w:left w:val="nil"/>
              <w:bottom w:val="nil"/>
              <w:right w:val="nil"/>
            </w:tcBorders>
          </w:tcPr>
          <w:p w14:paraId="6737D4D5" w14:textId="52CF8D3F" w:rsidR="00B17046" w:rsidRPr="00E71189" w:rsidRDefault="00EB24B9" w:rsidP="00070D1F">
            <w:pPr>
              <w:numPr>
                <w:ilvl w:val="0"/>
                <w:numId w:val="321"/>
              </w:numPr>
              <w:ind w:left="357" w:hanging="357"/>
              <w:jc w:val="both"/>
              <w:rPr>
                <w:b/>
                <w:bCs w:val="0"/>
                <w:i/>
                <w:iCs/>
                <w:sz w:val="18"/>
                <w:szCs w:val="18"/>
              </w:rPr>
            </w:pPr>
            <w:r w:rsidRPr="00E71189">
              <w:rPr>
                <w:b/>
                <w:bCs w:val="0"/>
                <w:i/>
                <w:iCs/>
                <w:sz w:val="18"/>
                <w:szCs w:val="18"/>
              </w:rPr>
              <w:t>CONTRACTOR PAYABLE</w:t>
            </w:r>
          </w:p>
        </w:tc>
      </w:tr>
      <w:tr w:rsidR="00B17046" w:rsidRPr="0013526B" w14:paraId="089766F5" w14:textId="77777777" w:rsidTr="002108FF">
        <w:tc>
          <w:tcPr>
            <w:tcW w:w="2500" w:type="pct"/>
            <w:tcBorders>
              <w:top w:val="nil"/>
              <w:left w:val="nil"/>
              <w:bottom w:val="nil"/>
              <w:right w:val="nil"/>
            </w:tcBorders>
          </w:tcPr>
          <w:p w14:paraId="200F3322" w14:textId="77777777" w:rsidR="00B17046" w:rsidRDefault="00B17046" w:rsidP="00B17046">
            <w:pPr>
              <w:pStyle w:val="ListParagraph"/>
              <w:ind w:left="644"/>
              <w:jc w:val="both"/>
              <w:rPr>
                <w:sz w:val="18"/>
                <w:szCs w:val="18"/>
              </w:rPr>
            </w:pPr>
          </w:p>
        </w:tc>
        <w:tc>
          <w:tcPr>
            <w:tcW w:w="2500" w:type="pct"/>
            <w:tcBorders>
              <w:top w:val="nil"/>
              <w:left w:val="nil"/>
              <w:bottom w:val="nil"/>
              <w:right w:val="nil"/>
            </w:tcBorders>
          </w:tcPr>
          <w:p w14:paraId="022961BE" w14:textId="77777777" w:rsidR="00B17046" w:rsidRPr="00B17046" w:rsidRDefault="00B17046" w:rsidP="00B17046">
            <w:pPr>
              <w:pStyle w:val="ListParagraph"/>
              <w:ind w:left="644"/>
              <w:jc w:val="both"/>
              <w:rPr>
                <w:i/>
                <w:sz w:val="18"/>
                <w:szCs w:val="18"/>
              </w:rPr>
            </w:pPr>
          </w:p>
        </w:tc>
      </w:tr>
      <w:tr w:rsidR="00B17046" w:rsidRPr="0013526B" w14:paraId="67B9495B" w14:textId="77777777" w:rsidTr="002108FF">
        <w:tc>
          <w:tcPr>
            <w:tcW w:w="2500" w:type="pct"/>
            <w:tcBorders>
              <w:top w:val="nil"/>
              <w:left w:val="nil"/>
              <w:bottom w:val="nil"/>
              <w:right w:val="nil"/>
            </w:tcBorders>
          </w:tcPr>
          <w:p w14:paraId="5BA2014E" w14:textId="791C6B80" w:rsidR="00B17046" w:rsidRPr="00B17046" w:rsidRDefault="00B17046" w:rsidP="00070D1F">
            <w:pPr>
              <w:pStyle w:val="ListParagraph"/>
              <w:numPr>
                <w:ilvl w:val="0"/>
                <w:numId w:val="258"/>
              </w:numPr>
              <w:ind w:left="578" w:hanging="249"/>
              <w:jc w:val="both"/>
              <w:rPr>
                <w:sz w:val="18"/>
                <w:szCs w:val="18"/>
              </w:rPr>
            </w:pPr>
            <w:r w:rsidRPr="00B17046">
              <w:rPr>
                <w:sz w:val="18"/>
                <w:szCs w:val="18"/>
              </w:rPr>
              <w:t xml:space="preserve">Berdasarkan </w:t>
            </w:r>
            <w:r>
              <w:rPr>
                <w:sz w:val="18"/>
                <w:szCs w:val="18"/>
              </w:rPr>
              <w:t xml:space="preserve">supplier dan </w:t>
            </w:r>
            <w:r w:rsidRPr="00B17046">
              <w:rPr>
                <w:sz w:val="18"/>
                <w:szCs w:val="18"/>
              </w:rPr>
              <w:t>mata uang:</w:t>
            </w:r>
          </w:p>
        </w:tc>
        <w:tc>
          <w:tcPr>
            <w:tcW w:w="2500" w:type="pct"/>
            <w:tcBorders>
              <w:top w:val="nil"/>
              <w:left w:val="nil"/>
              <w:bottom w:val="nil"/>
              <w:right w:val="nil"/>
            </w:tcBorders>
          </w:tcPr>
          <w:p w14:paraId="711903F2" w14:textId="39FD9C5C" w:rsidR="00B17046" w:rsidRPr="00B17046" w:rsidRDefault="00B17046" w:rsidP="00070D1F">
            <w:pPr>
              <w:pStyle w:val="ListParagraph"/>
              <w:numPr>
                <w:ilvl w:val="0"/>
                <w:numId w:val="259"/>
              </w:numPr>
              <w:ind w:left="641" w:hanging="284"/>
              <w:jc w:val="both"/>
              <w:rPr>
                <w:i/>
                <w:sz w:val="18"/>
                <w:szCs w:val="18"/>
              </w:rPr>
            </w:pPr>
            <w:r w:rsidRPr="00B17046">
              <w:rPr>
                <w:i/>
                <w:sz w:val="18"/>
                <w:szCs w:val="18"/>
              </w:rPr>
              <w:t xml:space="preserve">By </w:t>
            </w:r>
            <w:r>
              <w:rPr>
                <w:i/>
                <w:sz w:val="18"/>
                <w:szCs w:val="18"/>
              </w:rPr>
              <w:t xml:space="preserve">supplier and </w:t>
            </w:r>
            <w:r w:rsidRPr="00B17046">
              <w:rPr>
                <w:i/>
                <w:sz w:val="18"/>
                <w:szCs w:val="18"/>
              </w:rPr>
              <w:t>currency:</w:t>
            </w:r>
          </w:p>
        </w:tc>
      </w:tr>
    </w:tbl>
    <w:p w14:paraId="12DA700F" w14:textId="77777777" w:rsidR="00115B30" w:rsidRDefault="00115B30" w:rsidP="0013526B">
      <w:pPr>
        <w:rPr>
          <w:sz w:val="10"/>
          <w:szCs w:val="18"/>
        </w:rPr>
      </w:pPr>
    </w:p>
    <w:p w14:paraId="6109A7F2" w14:textId="77777777" w:rsidR="00115B30" w:rsidRDefault="00115B30" w:rsidP="0013526B">
      <w:pPr>
        <w:rPr>
          <w:sz w:val="10"/>
          <w:szCs w:val="18"/>
        </w:rPr>
      </w:pPr>
    </w:p>
    <w:tbl>
      <w:tblPr>
        <w:tblW w:w="9132" w:type="dxa"/>
        <w:tblInd w:w="434" w:type="dxa"/>
        <w:tblCellMar>
          <w:left w:w="0" w:type="dxa"/>
          <w:right w:w="0" w:type="dxa"/>
        </w:tblCellMar>
        <w:tblLook w:val="01E0" w:firstRow="1" w:lastRow="1" w:firstColumn="1" w:lastColumn="1" w:noHBand="0" w:noVBand="0"/>
      </w:tblPr>
      <w:tblGrid>
        <w:gridCol w:w="2843"/>
        <w:gridCol w:w="1670"/>
        <w:gridCol w:w="106"/>
        <w:gridCol w:w="1670"/>
        <w:gridCol w:w="2843"/>
      </w:tblGrid>
      <w:tr w:rsidR="00C66E38" w:rsidRPr="008109D0" w14:paraId="1E039555" w14:textId="77777777" w:rsidTr="00C66E38">
        <w:trPr>
          <w:trHeight w:val="20"/>
        </w:trPr>
        <w:tc>
          <w:tcPr>
            <w:tcW w:w="2843" w:type="dxa"/>
            <w:vAlign w:val="bottom"/>
          </w:tcPr>
          <w:p w14:paraId="73FDA0B0" w14:textId="77777777" w:rsidR="00C66E38" w:rsidRPr="00F244E2" w:rsidRDefault="00C66E38" w:rsidP="00C66E38">
            <w:pPr>
              <w:ind w:left="141" w:hanging="141"/>
              <w:rPr>
                <w:sz w:val="18"/>
                <w:szCs w:val="18"/>
              </w:rPr>
            </w:pPr>
          </w:p>
        </w:tc>
        <w:tc>
          <w:tcPr>
            <w:tcW w:w="1670" w:type="dxa"/>
            <w:tcBorders>
              <w:bottom w:val="single" w:sz="4" w:space="0" w:color="auto"/>
            </w:tcBorders>
            <w:shd w:val="clear" w:color="auto" w:fill="auto"/>
          </w:tcPr>
          <w:p w14:paraId="712540D8" w14:textId="77777777" w:rsidR="00C66E38" w:rsidRPr="008109D0" w:rsidRDefault="00C66E38" w:rsidP="00C66E38">
            <w:pPr>
              <w:jc w:val="center"/>
              <w:rPr>
                <w:b/>
                <w:sz w:val="18"/>
                <w:szCs w:val="18"/>
              </w:rPr>
            </w:pPr>
            <w:r w:rsidRPr="008109D0">
              <w:rPr>
                <w:b/>
                <w:sz w:val="18"/>
                <w:szCs w:val="18"/>
              </w:rPr>
              <w:t>31 Maret/</w:t>
            </w:r>
          </w:p>
          <w:p w14:paraId="640A74E6" w14:textId="0D84FF84" w:rsidR="00C66E38" w:rsidRPr="008109D0" w:rsidRDefault="00C66E38" w:rsidP="001808CD">
            <w:pPr>
              <w:ind w:right="57"/>
              <w:jc w:val="center"/>
              <w:rPr>
                <w:sz w:val="18"/>
                <w:szCs w:val="18"/>
              </w:rPr>
            </w:pPr>
            <w:r w:rsidRPr="008109D0">
              <w:rPr>
                <w:b/>
                <w:sz w:val="18"/>
                <w:szCs w:val="18"/>
              </w:rPr>
              <w:t>March 31</w:t>
            </w:r>
            <w:r w:rsidR="001808CD" w:rsidRPr="008109D0">
              <w:rPr>
                <w:b/>
                <w:sz w:val="18"/>
                <w:szCs w:val="18"/>
              </w:rPr>
              <w:t>,</w:t>
            </w:r>
            <w:r w:rsidRPr="008109D0">
              <w:rPr>
                <w:b/>
                <w:sz w:val="18"/>
                <w:szCs w:val="18"/>
              </w:rPr>
              <w:t xml:space="preserve"> 2020</w:t>
            </w:r>
          </w:p>
        </w:tc>
        <w:tc>
          <w:tcPr>
            <w:tcW w:w="106" w:type="dxa"/>
            <w:tcBorders>
              <w:bottom w:val="single" w:sz="4" w:space="0" w:color="auto"/>
            </w:tcBorders>
          </w:tcPr>
          <w:p w14:paraId="00338A3A" w14:textId="77777777" w:rsidR="00C66E38" w:rsidRPr="008109D0" w:rsidRDefault="00C66E38" w:rsidP="00C66E38">
            <w:pPr>
              <w:ind w:right="57"/>
              <w:jc w:val="center"/>
              <w:rPr>
                <w:sz w:val="18"/>
                <w:szCs w:val="18"/>
              </w:rPr>
            </w:pPr>
          </w:p>
        </w:tc>
        <w:tc>
          <w:tcPr>
            <w:tcW w:w="1670" w:type="dxa"/>
            <w:tcBorders>
              <w:bottom w:val="single" w:sz="4" w:space="0" w:color="auto"/>
            </w:tcBorders>
          </w:tcPr>
          <w:p w14:paraId="70BEBE44" w14:textId="77777777" w:rsidR="00C66E38" w:rsidRPr="008109D0" w:rsidRDefault="00C66E38" w:rsidP="00C66E38">
            <w:pPr>
              <w:jc w:val="center"/>
              <w:rPr>
                <w:b/>
                <w:sz w:val="18"/>
                <w:szCs w:val="18"/>
              </w:rPr>
            </w:pPr>
            <w:r w:rsidRPr="008109D0">
              <w:rPr>
                <w:b/>
                <w:sz w:val="18"/>
                <w:szCs w:val="18"/>
              </w:rPr>
              <w:t>31 Desember/</w:t>
            </w:r>
          </w:p>
          <w:p w14:paraId="544A9169" w14:textId="3898DDCC" w:rsidR="00C66E38" w:rsidRPr="008109D0" w:rsidRDefault="00C66E38" w:rsidP="001808CD">
            <w:pPr>
              <w:ind w:right="57"/>
              <w:jc w:val="center"/>
              <w:rPr>
                <w:sz w:val="18"/>
                <w:szCs w:val="18"/>
              </w:rPr>
            </w:pPr>
            <w:r w:rsidRPr="008109D0">
              <w:rPr>
                <w:b/>
                <w:sz w:val="18"/>
                <w:szCs w:val="18"/>
              </w:rPr>
              <w:t>December 31</w:t>
            </w:r>
            <w:r w:rsidR="001808CD" w:rsidRPr="008109D0">
              <w:rPr>
                <w:b/>
                <w:sz w:val="18"/>
                <w:szCs w:val="18"/>
              </w:rPr>
              <w:t>,</w:t>
            </w:r>
            <w:r w:rsidRPr="008109D0">
              <w:rPr>
                <w:b/>
                <w:sz w:val="18"/>
                <w:szCs w:val="18"/>
              </w:rPr>
              <w:t xml:space="preserve"> 2019</w:t>
            </w:r>
          </w:p>
        </w:tc>
        <w:tc>
          <w:tcPr>
            <w:tcW w:w="2843" w:type="dxa"/>
            <w:vAlign w:val="bottom"/>
          </w:tcPr>
          <w:p w14:paraId="4BB947C8" w14:textId="77777777" w:rsidR="00C66E38" w:rsidRPr="008109D0" w:rsidRDefault="00C66E38" w:rsidP="00C66E38">
            <w:pPr>
              <w:ind w:right="57"/>
              <w:jc w:val="right"/>
              <w:rPr>
                <w:i/>
                <w:iCs/>
                <w:sz w:val="18"/>
                <w:szCs w:val="18"/>
              </w:rPr>
            </w:pPr>
          </w:p>
        </w:tc>
      </w:tr>
      <w:tr w:rsidR="00B17046" w:rsidRPr="008109D0" w14:paraId="2949C8D0" w14:textId="77777777" w:rsidTr="002108FF">
        <w:trPr>
          <w:trHeight w:val="20"/>
        </w:trPr>
        <w:tc>
          <w:tcPr>
            <w:tcW w:w="2843" w:type="dxa"/>
            <w:vAlign w:val="bottom"/>
          </w:tcPr>
          <w:p w14:paraId="0A8490E9" w14:textId="77777777" w:rsidR="00B17046" w:rsidRPr="008109D0" w:rsidRDefault="00B17046" w:rsidP="004A0821">
            <w:pPr>
              <w:ind w:left="141" w:hanging="141"/>
              <w:rPr>
                <w:sz w:val="18"/>
                <w:szCs w:val="18"/>
              </w:rPr>
            </w:pPr>
          </w:p>
        </w:tc>
        <w:tc>
          <w:tcPr>
            <w:tcW w:w="1670" w:type="dxa"/>
            <w:tcBorders>
              <w:top w:val="single" w:sz="4" w:space="0" w:color="auto"/>
            </w:tcBorders>
            <w:shd w:val="clear" w:color="auto" w:fill="auto"/>
            <w:vAlign w:val="bottom"/>
          </w:tcPr>
          <w:p w14:paraId="1AB7E282" w14:textId="77777777" w:rsidR="00B17046" w:rsidRPr="008109D0" w:rsidRDefault="00B17046" w:rsidP="004A0821">
            <w:pPr>
              <w:ind w:right="57"/>
              <w:jc w:val="right"/>
              <w:rPr>
                <w:sz w:val="18"/>
                <w:szCs w:val="18"/>
              </w:rPr>
            </w:pPr>
          </w:p>
        </w:tc>
        <w:tc>
          <w:tcPr>
            <w:tcW w:w="106" w:type="dxa"/>
            <w:tcBorders>
              <w:top w:val="single" w:sz="4" w:space="0" w:color="auto"/>
            </w:tcBorders>
            <w:vAlign w:val="bottom"/>
          </w:tcPr>
          <w:p w14:paraId="1B7960FB" w14:textId="77777777" w:rsidR="00B17046" w:rsidRPr="008109D0" w:rsidRDefault="00B17046" w:rsidP="004A0821">
            <w:pPr>
              <w:ind w:right="57"/>
              <w:jc w:val="right"/>
              <w:rPr>
                <w:sz w:val="18"/>
                <w:szCs w:val="18"/>
              </w:rPr>
            </w:pPr>
          </w:p>
        </w:tc>
        <w:tc>
          <w:tcPr>
            <w:tcW w:w="1670" w:type="dxa"/>
            <w:tcBorders>
              <w:top w:val="single" w:sz="4" w:space="0" w:color="auto"/>
            </w:tcBorders>
            <w:vAlign w:val="bottom"/>
          </w:tcPr>
          <w:p w14:paraId="1A8A492A" w14:textId="77777777" w:rsidR="00B17046" w:rsidRPr="008109D0" w:rsidRDefault="00B17046" w:rsidP="004A0821">
            <w:pPr>
              <w:ind w:right="57"/>
              <w:jc w:val="right"/>
              <w:rPr>
                <w:sz w:val="18"/>
                <w:szCs w:val="18"/>
              </w:rPr>
            </w:pPr>
          </w:p>
        </w:tc>
        <w:tc>
          <w:tcPr>
            <w:tcW w:w="2843" w:type="dxa"/>
            <w:vAlign w:val="bottom"/>
          </w:tcPr>
          <w:p w14:paraId="46258AC7" w14:textId="77777777" w:rsidR="00B17046" w:rsidRPr="008109D0" w:rsidRDefault="00B17046" w:rsidP="004A0821">
            <w:pPr>
              <w:ind w:right="57"/>
              <w:jc w:val="right"/>
              <w:rPr>
                <w:i/>
                <w:iCs/>
                <w:sz w:val="18"/>
                <w:szCs w:val="18"/>
              </w:rPr>
            </w:pPr>
          </w:p>
        </w:tc>
      </w:tr>
      <w:tr w:rsidR="00F84E7F" w:rsidRPr="008109D0" w14:paraId="25825239" w14:textId="77777777" w:rsidTr="002108FF">
        <w:trPr>
          <w:trHeight w:val="20"/>
        </w:trPr>
        <w:tc>
          <w:tcPr>
            <w:tcW w:w="2843" w:type="dxa"/>
            <w:vAlign w:val="bottom"/>
          </w:tcPr>
          <w:p w14:paraId="26C3F664" w14:textId="77777777" w:rsidR="00F84E7F" w:rsidRPr="008109D0" w:rsidRDefault="00F84E7F" w:rsidP="00F84E7F">
            <w:pPr>
              <w:ind w:left="680"/>
              <w:rPr>
                <w:sz w:val="18"/>
                <w:szCs w:val="18"/>
              </w:rPr>
            </w:pPr>
            <w:r w:rsidRPr="008109D0">
              <w:rPr>
                <w:sz w:val="18"/>
                <w:szCs w:val="18"/>
              </w:rPr>
              <w:t>PT Nusa Raya</w:t>
            </w:r>
            <w:r w:rsidRPr="008109D0">
              <w:rPr>
                <w:spacing w:val="-2"/>
                <w:sz w:val="18"/>
                <w:szCs w:val="18"/>
              </w:rPr>
              <w:t xml:space="preserve"> </w:t>
            </w:r>
            <w:r w:rsidRPr="008109D0">
              <w:rPr>
                <w:sz w:val="18"/>
                <w:szCs w:val="18"/>
              </w:rPr>
              <w:t>Cipta</w:t>
            </w:r>
            <w:r w:rsidRPr="008109D0">
              <w:rPr>
                <w:spacing w:val="-1"/>
                <w:sz w:val="18"/>
                <w:szCs w:val="18"/>
              </w:rPr>
              <w:t xml:space="preserve"> </w:t>
            </w:r>
            <w:r w:rsidRPr="008109D0">
              <w:rPr>
                <w:sz w:val="18"/>
                <w:szCs w:val="18"/>
              </w:rPr>
              <w:t>Tbk</w:t>
            </w:r>
          </w:p>
        </w:tc>
        <w:tc>
          <w:tcPr>
            <w:tcW w:w="1670" w:type="dxa"/>
            <w:shd w:val="clear" w:color="auto" w:fill="auto"/>
            <w:vAlign w:val="bottom"/>
          </w:tcPr>
          <w:p w14:paraId="46D01F56" w14:textId="0EC219B5" w:rsidR="00F84E7F" w:rsidRPr="009F6D69" w:rsidRDefault="007E5BAC" w:rsidP="00F84E7F">
            <w:pPr>
              <w:ind w:right="57"/>
              <w:jc w:val="right"/>
              <w:rPr>
                <w:sz w:val="18"/>
                <w:szCs w:val="18"/>
                <w:lang w:val="id-ID"/>
              </w:rPr>
            </w:pPr>
            <w:r w:rsidRPr="009F6D69">
              <w:rPr>
                <w:sz w:val="18"/>
                <w:szCs w:val="18"/>
                <w:lang w:val="id-ID"/>
              </w:rPr>
              <w:t>-</w:t>
            </w:r>
          </w:p>
        </w:tc>
        <w:tc>
          <w:tcPr>
            <w:tcW w:w="106" w:type="dxa"/>
            <w:vAlign w:val="bottom"/>
          </w:tcPr>
          <w:p w14:paraId="394F0B3F" w14:textId="77777777" w:rsidR="00F84E7F" w:rsidRPr="009F6D69" w:rsidRDefault="00F84E7F" w:rsidP="00F84E7F">
            <w:pPr>
              <w:ind w:right="57"/>
              <w:jc w:val="right"/>
              <w:rPr>
                <w:sz w:val="18"/>
                <w:szCs w:val="18"/>
              </w:rPr>
            </w:pPr>
          </w:p>
        </w:tc>
        <w:tc>
          <w:tcPr>
            <w:tcW w:w="1670" w:type="dxa"/>
            <w:vAlign w:val="bottom"/>
          </w:tcPr>
          <w:p w14:paraId="286F4408" w14:textId="517AA700" w:rsidR="00F84E7F" w:rsidRPr="008109D0" w:rsidRDefault="00F84E7F" w:rsidP="00F84E7F">
            <w:pPr>
              <w:ind w:right="57"/>
              <w:jc w:val="right"/>
              <w:rPr>
                <w:sz w:val="18"/>
                <w:szCs w:val="18"/>
              </w:rPr>
            </w:pPr>
            <w:r w:rsidRPr="008109D0">
              <w:rPr>
                <w:sz w:val="18"/>
                <w:szCs w:val="18"/>
              </w:rPr>
              <w:t>60.872.781.790</w:t>
            </w:r>
          </w:p>
        </w:tc>
        <w:tc>
          <w:tcPr>
            <w:tcW w:w="2843" w:type="dxa"/>
            <w:vAlign w:val="bottom"/>
          </w:tcPr>
          <w:p w14:paraId="4F91C012" w14:textId="77777777" w:rsidR="00F84E7F" w:rsidRPr="008109D0" w:rsidRDefault="00F84E7F" w:rsidP="00F84E7F">
            <w:pPr>
              <w:ind w:right="57"/>
              <w:jc w:val="right"/>
              <w:rPr>
                <w:i/>
                <w:iCs/>
                <w:sz w:val="18"/>
                <w:szCs w:val="18"/>
              </w:rPr>
            </w:pPr>
            <w:r w:rsidRPr="008109D0">
              <w:rPr>
                <w:i/>
                <w:sz w:val="18"/>
                <w:szCs w:val="18"/>
              </w:rPr>
              <w:t>PT Nusa Raya</w:t>
            </w:r>
            <w:r w:rsidRPr="008109D0">
              <w:rPr>
                <w:i/>
                <w:spacing w:val="-2"/>
                <w:sz w:val="18"/>
                <w:szCs w:val="18"/>
              </w:rPr>
              <w:t xml:space="preserve"> </w:t>
            </w:r>
            <w:r w:rsidRPr="008109D0">
              <w:rPr>
                <w:i/>
                <w:sz w:val="18"/>
                <w:szCs w:val="18"/>
              </w:rPr>
              <w:t>Cipta</w:t>
            </w:r>
            <w:r w:rsidRPr="008109D0">
              <w:rPr>
                <w:i/>
                <w:spacing w:val="-1"/>
                <w:sz w:val="18"/>
                <w:szCs w:val="18"/>
              </w:rPr>
              <w:t xml:space="preserve"> </w:t>
            </w:r>
            <w:r w:rsidRPr="008109D0">
              <w:rPr>
                <w:i/>
                <w:sz w:val="18"/>
                <w:szCs w:val="18"/>
              </w:rPr>
              <w:t>Tbk</w:t>
            </w:r>
          </w:p>
        </w:tc>
      </w:tr>
      <w:tr w:rsidR="00F84E7F" w:rsidRPr="008109D0" w14:paraId="386C7E9A" w14:textId="77777777" w:rsidTr="002108FF">
        <w:trPr>
          <w:trHeight w:val="20"/>
        </w:trPr>
        <w:tc>
          <w:tcPr>
            <w:tcW w:w="2843" w:type="dxa"/>
            <w:vAlign w:val="bottom"/>
          </w:tcPr>
          <w:p w14:paraId="0EA9A935" w14:textId="1E6F1276" w:rsidR="00F84E7F" w:rsidRPr="008109D0" w:rsidRDefault="00F84E7F" w:rsidP="00F84E7F">
            <w:pPr>
              <w:ind w:left="680"/>
              <w:rPr>
                <w:sz w:val="18"/>
                <w:szCs w:val="18"/>
              </w:rPr>
            </w:pPr>
            <w:r w:rsidRPr="008109D0">
              <w:rPr>
                <w:sz w:val="18"/>
                <w:szCs w:val="18"/>
              </w:rPr>
              <w:t>PT Karya Intertek Kencana</w:t>
            </w:r>
          </w:p>
        </w:tc>
        <w:tc>
          <w:tcPr>
            <w:tcW w:w="1670" w:type="dxa"/>
            <w:shd w:val="clear" w:color="auto" w:fill="auto"/>
            <w:vAlign w:val="bottom"/>
          </w:tcPr>
          <w:p w14:paraId="1DCD2156" w14:textId="026A2B7A" w:rsidR="00F84E7F" w:rsidRPr="004D2EDA" w:rsidRDefault="00305CA0" w:rsidP="00F84E7F">
            <w:pPr>
              <w:ind w:right="57"/>
              <w:jc w:val="right"/>
              <w:rPr>
                <w:sz w:val="18"/>
                <w:szCs w:val="18"/>
              </w:rPr>
            </w:pPr>
            <w:r w:rsidRPr="004D2EDA">
              <w:rPr>
                <w:sz w:val="18"/>
                <w:szCs w:val="18"/>
              </w:rPr>
              <w:t>4.662.490.388</w:t>
            </w:r>
          </w:p>
        </w:tc>
        <w:tc>
          <w:tcPr>
            <w:tcW w:w="106" w:type="dxa"/>
            <w:vAlign w:val="bottom"/>
          </w:tcPr>
          <w:p w14:paraId="618493DE" w14:textId="77777777" w:rsidR="00F84E7F" w:rsidRPr="008109D0" w:rsidRDefault="00F84E7F" w:rsidP="00F84E7F">
            <w:pPr>
              <w:ind w:right="57"/>
              <w:jc w:val="right"/>
              <w:rPr>
                <w:sz w:val="18"/>
                <w:szCs w:val="18"/>
              </w:rPr>
            </w:pPr>
          </w:p>
        </w:tc>
        <w:tc>
          <w:tcPr>
            <w:tcW w:w="1670" w:type="dxa"/>
            <w:vAlign w:val="bottom"/>
          </w:tcPr>
          <w:p w14:paraId="36298B42" w14:textId="79C7F9B1" w:rsidR="00F84E7F" w:rsidRPr="008109D0" w:rsidRDefault="00F84E7F" w:rsidP="00F84E7F">
            <w:pPr>
              <w:ind w:right="57"/>
              <w:jc w:val="right"/>
              <w:rPr>
                <w:sz w:val="18"/>
                <w:szCs w:val="18"/>
              </w:rPr>
            </w:pPr>
            <w:r w:rsidRPr="008109D0">
              <w:rPr>
                <w:sz w:val="18"/>
                <w:szCs w:val="18"/>
              </w:rPr>
              <w:t>5.874.044.988</w:t>
            </w:r>
          </w:p>
        </w:tc>
        <w:tc>
          <w:tcPr>
            <w:tcW w:w="2843" w:type="dxa"/>
            <w:vAlign w:val="bottom"/>
          </w:tcPr>
          <w:p w14:paraId="72D0341F" w14:textId="0F38D7EA" w:rsidR="00F84E7F" w:rsidRPr="008109D0" w:rsidRDefault="00F84E7F" w:rsidP="00F84E7F">
            <w:pPr>
              <w:ind w:right="57"/>
              <w:jc w:val="right"/>
              <w:rPr>
                <w:i/>
                <w:iCs/>
                <w:sz w:val="18"/>
                <w:szCs w:val="18"/>
              </w:rPr>
            </w:pPr>
            <w:r w:rsidRPr="008109D0">
              <w:rPr>
                <w:i/>
                <w:sz w:val="18"/>
                <w:szCs w:val="18"/>
              </w:rPr>
              <w:t>PT Karya</w:t>
            </w:r>
            <w:r w:rsidRPr="008109D0">
              <w:rPr>
                <w:i/>
                <w:spacing w:val="-2"/>
                <w:sz w:val="18"/>
                <w:szCs w:val="18"/>
              </w:rPr>
              <w:t xml:space="preserve"> </w:t>
            </w:r>
            <w:r w:rsidRPr="008109D0">
              <w:rPr>
                <w:i/>
                <w:sz w:val="18"/>
                <w:szCs w:val="18"/>
              </w:rPr>
              <w:t>Intertek Kencana</w:t>
            </w:r>
          </w:p>
        </w:tc>
      </w:tr>
      <w:tr w:rsidR="00F84E7F" w:rsidRPr="008109D0" w14:paraId="4C4B0B89" w14:textId="77777777" w:rsidTr="002108FF">
        <w:trPr>
          <w:trHeight w:val="20"/>
        </w:trPr>
        <w:tc>
          <w:tcPr>
            <w:tcW w:w="2843" w:type="dxa"/>
            <w:vAlign w:val="bottom"/>
          </w:tcPr>
          <w:p w14:paraId="4F40E055" w14:textId="77777777" w:rsidR="00F84E7F" w:rsidRPr="008109D0" w:rsidRDefault="00F84E7F" w:rsidP="00F84E7F">
            <w:pPr>
              <w:ind w:left="680"/>
              <w:rPr>
                <w:sz w:val="18"/>
                <w:szCs w:val="18"/>
              </w:rPr>
            </w:pPr>
            <w:r w:rsidRPr="008109D0">
              <w:rPr>
                <w:sz w:val="18"/>
                <w:szCs w:val="18"/>
              </w:rPr>
              <w:t>PT Jaya Teknik Indonesia</w:t>
            </w:r>
          </w:p>
        </w:tc>
        <w:tc>
          <w:tcPr>
            <w:tcW w:w="1670" w:type="dxa"/>
            <w:shd w:val="clear" w:color="auto" w:fill="auto"/>
            <w:vAlign w:val="bottom"/>
          </w:tcPr>
          <w:p w14:paraId="06EAEB42" w14:textId="309907C1" w:rsidR="00F84E7F" w:rsidRPr="004D2EDA" w:rsidRDefault="00305CA0" w:rsidP="00F84E7F">
            <w:pPr>
              <w:ind w:right="57"/>
              <w:jc w:val="right"/>
              <w:rPr>
                <w:sz w:val="18"/>
                <w:szCs w:val="18"/>
              </w:rPr>
            </w:pPr>
            <w:r w:rsidRPr="004D2EDA">
              <w:rPr>
                <w:sz w:val="18"/>
                <w:szCs w:val="18"/>
              </w:rPr>
              <w:t>4.757.815.748</w:t>
            </w:r>
          </w:p>
        </w:tc>
        <w:tc>
          <w:tcPr>
            <w:tcW w:w="106" w:type="dxa"/>
            <w:vAlign w:val="bottom"/>
          </w:tcPr>
          <w:p w14:paraId="7D4FF64D" w14:textId="77777777" w:rsidR="00F84E7F" w:rsidRPr="008109D0" w:rsidRDefault="00F84E7F" w:rsidP="00F84E7F">
            <w:pPr>
              <w:ind w:right="57"/>
              <w:jc w:val="right"/>
              <w:rPr>
                <w:sz w:val="18"/>
                <w:szCs w:val="18"/>
              </w:rPr>
            </w:pPr>
          </w:p>
        </w:tc>
        <w:tc>
          <w:tcPr>
            <w:tcW w:w="1670" w:type="dxa"/>
            <w:vAlign w:val="bottom"/>
          </w:tcPr>
          <w:p w14:paraId="7FA8D211" w14:textId="5E51345F" w:rsidR="00F84E7F" w:rsidRPr="008109D0" w:rsidRDefault="00F84E7F" w:rsidP="00F84E7F">
            <w:pPr>
              <w:ind w:right="57"/>
              <w:jc w:val="right"/>
              <w:rPr>
                <w:sz w:val="18"/>
                <w:szCs w:val="18"/>
              </w:rPr>
            </w:pPr>
            <w:r w:rsidRPr="008109D0">
              <w:rPr>
                <w:sz w:val="18"/>
                <w:szCs w:val="18"/>
              </w:rPr>
              <w:t>4.757.815.748</w:t>
            </w:r>
          </w:p>
        </w:tc>
        <w:tc>
          <w:tcPr>
            <w:tcW w:w="2843" w:type="dxa"/>
            <w:vAlign w:val="bottom"/>
          </w:tcPr>
          <w:p w14:paraId="0A8FDE2D" w14:textId="77777777" w:rsidR="00F84E7F" w:rsidRPr="008109D0" w:rsidRDefault="00F84E7F" w:rsidP="00F84E7F">
            <w:pPr>
              <w:ind w:right="57"/>
              <w:jc w:val="right"/>
              <w:rPr>
                <w:i/>
                <w:iCs/>
                <w:sz w:val="18"/>
                <w:szCs w:val="18"/>
              </w:rPr>
            </w:pPr>
            <w:r w:rsidRPr="008109D0">
              <w:rPr>
                <w:i/>
                <w:sz w:val="18"/>
                <w:szCs w:val="18"/>
              </w:rPr>
              <w:t>PT Jaya</w:t>
            </w:r>
            <w:r w:rsidRPr="008109D0">
              <w:rPr>
                <w:i/>
                <w:spacing w:val="-1"/>
                <w:sz w:val="18"/>
                <w:szCs w:val="18"/>
              </w:rPr>
              <w:t xml:space="preserve"> </w:t>
            </w:r>
            <w:r w:rsidRPr="008109D0">
              <w:rPr>
                <w:i/>
                <w:sz w:val="18"/>
                <w:szCs w:val="18"/>
              </w:rPr>
              <w:t>Teknik</w:t>
            </w:r>
            <w:r w:rsidRPr="008109D0">
              <w:rPr>
                <w:i/>
                <w:spacing w:val="1"/>
                <w:sz w:val="18"/>
                <w:szCs w:val="18"/>
              </w:rPr>
              <w:t xml:space="preserve"> </w:t>
            </w:r>
            <w:r w:rsidRPr="008109D0">
              <w:rPr>
                <w:i/>
                <w:sz w:val="18"/>
                <w:szCs w:val="18"/>
              </w:rPr>
              <w:t>Indonesia</w:t>
            </w:r>
          </w:p>
        </w:tc>
      </w:tr>
      <w:tr w:rsidR="00F84E7F" w:rsidRPr="008109D0" w14:paraId="61BF9908" w14:textId="77777777" w:rsidTr="002108FF">
        <w:trPr>
          <w:trHeight w:val="20"/>
        </w:trPr>
        <w:tc>
          <w:tcPr>
            <w:tcW w:w="2843" w:type="dxa"/>
            <w:vAlign w:val="bottom"/>
          </w:tcPr>
          <w:p w14:paraId="48FABC3D" w14:textId="0C83E2A1" w:rsidR="00F84E7F" w:rsidRPr="008109D0" w:rsidRDefault="00F84E7F" w:rsidP="00F84E7F">
            <w:pPr>
              <w:ind w:left="680"/>
              <w:rPr>
                <w:sz w:val="18"/>
                <w:szCs w:val="18"/>
              </w:rPr>
            </w:pPr>
            <w:r w:rsidRPr="008109D0">
              <w:rPr>
                <w:sz w:val="18"/>
                <w:szCs w:val="18"/>
              </w:rPr>
              <w:t>PT Sandana</w:t>
            </w:r>
          </w:p>
        </w:tc>
        <w:tc>
          <w:tcPr>
            <w:tcW w:w="1670" w:type="dxa"/>
            <w:shd w:val="clear" w:color="auto" w:fill="auto"/>
            <w:vAlign w:val="bottom"/>
          </w:tcPr>
          <w:p w14:paraId="56145A1C" w14:textId="4890B690" w:rsidR="00F84E7F" w:rsidRPr="004D2EDA" w:rsidRDefault="00305CA0" w:rsidP="00F84E7F">
            <w:pPr>
              <w:ind w:right="57"/>
              <w:jc w:val="right"/>
              <w:rPr>
                <w:sz w:val="18"/>
                <w:szCs w:val="18"/>
              </w:rPr>
            </w:pPr>
            <w:r w:rsidRPr="004D2EDA">
              <w:rPr>
                <w:sz w:val="18"/>
                <w:szCs w:val="18"/>
              </w:rPr>
              <w:t>4.430.633.339</w:t>
            </w:r>
          </w:p>
        </w:tc>
        <w:tc>
          <w:tcPr>
            <w:tcW w:w="106" w:type="dxa"/>
            <w:vAlign w:val="bottom"/>
          </w:tcPr>
          <w:p w14:paraId="65D1B7DD" w14:textId="77777777" w:rsidR="00F84E7F" w:rsidRPr="008109D0" w:rsidRDefault="00F84E7F" w:rsidP="00F84E7F">
            <w:pPr>
              <w:ind w:right="57"/>
              <w:jc w:val="right"/>
              <w:rPr>
                <w:sz w:val="18"/>
                <w:szCs w:val="18"/>
              </w:rPr>
            </w:pPr>
          </w:p>
        </w:tc>
        <w:tc>
          <w:tcPr>
            <w:tcW w:w="1670" w:type="dxa"/>
            <w:vAlign w:val="bottom"/>
          </w:tcPr>
          <w:p w14:paraId="3987955E" w14:textId="467ABEF2" w:rsidR="00F84E7F" w:rsidRPr="008109D0" w:rsidRDefault="00F84E7F" w:rsidP="00F84E7F">
            <w:pPr>
              <w:ind w:right="57"/>
              <w:jc w:val="right"/>
              <w:rPr>
                <w:sz w:val="18"/>
                <w:szCs w:val="18"/>
                <w:lang w:val="id-ID"/>
              </w:rPr>
            </w:pPr>
            <w:r w:rsidRPr="008109D0">
              <w:rPr>
                <w:sz w:val="18"/>
                <w:szCs w:val="18"/>
              </w:rPr>
              <w:t>4.430.633.339</w:t>
            </w:r>
          </w:p>
        </w:tc>
        <w:tc>
          <w:tcPr>
            <w:tcW w:w="2843" w:type="dxa"/>
            <w:vAlign w:val="bottom"/>
          </w:tcPr>
          <w:p w14:paraId="217A0932" w14:textId="12C18F0E" w:rsidR="00F84E7F" w:rsidRPr="008109D0" w:rsidRDefault="00F84E7F" w:rsidP="00F84E7F">
            <w:pPr>
              <w:ind w:right="57"/>
              <w:jc w:val="right"/>
              <w:rPr>
                <w:i/>
                <w:sz w:val="18"/>
                <w:szCs w:val="18"/>
              </w:rPr>
            </w:pPr>
            <w:r w:rsidRPr="008109D0">
              <w:rPr>
                <w:i/>
                <w:sz w:val="18"/>
                <w:szCs w:val="18"/>
              </w:rPr>
              <w:t>PT Sandana</w:t>
            </w:r>
          </w:p>
        </w:tc>
      </w:tr>
      <w:tr w:rsidR="00F84E7F" w:rsidRPr="008109D0" w14:paraId="0B07F2F9" w14:textId="77777777" w:rsidTr="002108FF">
        <w:trPr>
          <w:trHeight w:val="20"/>
        </w:trPr>
        <w:tc>
          <w:tcPr>
            <w:tcW w:w="2843" w:type="dxa"/>
            <w:vAlign w:val="bottom"/>
          </w:tcPr>
          <w:p w14:paraId="46E99E7C" w14:textId="4AAC7AE3" w:rsidR="00F84E7F" w:rsidRPr="008109D0" w:rsidRDefault="00F84E7F" w:rsidP="00F84E7F">
            <w:pPr>
              <w:ind w:left="680"/>
              <w:rPr>
                <w:sz w:val="18"/>
                <w:szCs w:val="18"/>
              </w:rPr>
            </w:pPr>
            <w:r w:rsidRPr="008109D0">
              <w:rPr>
                <w:sz w:val="18"/>
                <w:szCs w:val="18"/>
              </w:rPr>
              <w:t>PT Cendrawasih Farin</w:t>
            </w:r>
          </w:p>
        </w:tc>
        <w:tc>
          <w:tcPr>
            <w:tcW w:w="1670" w:type="dxa"/>
            <w:shd w:val="clear" w:color="auto" w:fill="auto"/>
            <w:vAlign w:val="bottom"/>
          </w:tcPr>
          <w:p w14:paraId="0B71D1D1" w14:textId="4798D668" w:rsidR="00F84E7F" w:rsidRPr="004D2EDA" w:rsidRDefault="00305CA0" w:rsidP="00F84E7F">
            <w:pPr>
              <w:ind w:right="57"/>
              <w:jc w:val="right"/>
              <w:rPr>
                <w:sz w:val="18"/>
                <w:szCs w:val="18"/>
              </w:rPr>
            </w:pPr>
            <w:r w:rsidRPr="004D2EDA">
              <w:rPr>
                <w:sz w:val="18"/>
                <w:szCs w:val="18"/>
              </w:rPr>
              <w:t>2.944.981.999</w:t>
            </w:r>
          </w:p>
        </w:tc>
        <w:tc>
          <w:tcPr>
            <w:tcW w:w="106" w:type="dxa"/>
            <w:vAlign w:val="bottom"/>
          </w:tcPr>
          <w:p w14:paraId="288AFF71" w14:textId="77777777" w:rsidR="00F84E7F" w:rsidRPr="008109D0" w:rsidRDefault="00F84E7F" w:rsidP="00F84E7F">
            <w:pPr>
              <w:ind w:right="57"/>
              <w:jc w:val="right"/>
              <w:rPr>
                <w:sz w:val="18"/>
                <w:szCs w:val="18"/>
              </w:rPr>
            </w:pPr>
          </w:p>
        </w:tc>
        <w:tc>
          <w:tcPr>
            <w:tcW w:w="1670" w:type="dxa"/>
            <w:vAlign w:val="bottom"/>
          </w:tcPr>
          <w:p w14:paraId="77765496" w14:textId="7BDAC175" w:rsidR="00F84E7F" w:rsidRPr="008109D0" w:rsidRDefault="00F84E7F" w:rsidP="00F84E7F">
            <w:pPr>
              <w:ind w:right="57"/>
              <w:jc w:val="right"/>
              <w:rPr>
                <w:sz w:val="18"/>
                <w:szCs w:val="18"/>
                <w:lang w:val="id-ID"/>
              </w:rPr>
            </w:pPr>
            <w:r w:rsidRPr="008109D0">
              <w:rPr>
                <w:sz w:val="18"/>
                <w:szCs w:val="18"/>
              </w:rPr>
              <w:t>2.944.981.999</w:t>
            </w:r>
          </w:p>
        </w:tc>
        <w:tc>
          <w:tcPr>
            <w:tcW w:w="2843" w:type="dxa"/>
            <w:vAlign w:val="bottom"/>
          </w:tcPr>
          <w:p w14:paraId="1197E3B9" w14:textId="605DEBFC" w:rsidR="00F84E7F" w:rsidRPr="008109D0" w:rsidRDefault="00F84E7F" w:rsidP="00F84E7F">
            <w:pPr>
              <w:ind w:right="57"/>
              <w:jc w:val="right"/>
              <w:rPr>
                <w:i/>
                <w:sz w:val="18"/>
                <w:szCs w:val="18"/>
              </w:rPr>
            </w:pPr>
            <w:r w:rsidRPr="008109D0">
              <w:rPr>
                <w:i/>
                <w:sz w:val="18"/>
                <w:szCs w:val="18"/>
              </w:rPr>
              <w:t>PT Cendrawasih Farin</w:t>
            </w:r>
          </w:p>
        </w:tc>
      </w:tr>
      <w:tr w:rsidR="00F84E7F" w:rsidRPr="008109D0" w14:paraId="376B5C27" w14:textId="77777777" w:rsidTr="002108FF">
        <w:trPr>
          <w:trHeight w:val="20"/>
        </w:trPr>
        <w:tc>
          <w:tcPr>
            <w:tcW w:w="2843" w:type="dxa"/>
            <w:vAlign w:val="bottom"/>
          </w:tcPr>
          <w:p w14:paraId="04E9EC42" w14:textId="77777777" w:rsidR="00F84E7F" w:rsidRPr="008109D0" w:rsidRDefault="00F84E7F" w:rsidP="00F84E7F">
            <w:pPr>
              <w:ind w:left="680"/>
              <w:rPr>
                <w:sz w:val="18"/>
                <w:szCs w:val="18"/>
              </w:rPr>
            </w:pPr>
            <w:r w:rsidRPr="008109D0">
              <w:rPr>
                <w:sz w:val="18"/>
                <w:szCs w:val="18"/>
              </w:rPr>
              <w:t xml:space="preserve">PT Mitra Graha </w:t>
            </w:r>
          </w:p>
          <w:p w14:paraId="0A473515" w14:textId="20374F4C" w:rsidR="00F84E7F" w:rsidRPr="008109D0" w:rsidRDefault="00F84E7F" w:rsidP="00F84E7F">
            <w:pPr>
              <w:ind w:left="811"/>
              <w:rPr>
                <w:sz w:val="18"/>
                <w:szCs w:val="18"/>
              </w:rPr>
            </w:pPr>
            <w:r w:rsidRPr="008109D0">
              <w:rPr>
                <w:sz w:val="18"/>
                <w:szCs w:val="18"/>
              </w:rPr>
              <w:t>Selaras(MGS)</w:t>
            </w:r>
          </w:p>
        </w:tc>
        <w:tc>
          <w:tcPr>
            <w:tcW w:w="1670" w:type="dxa"/>
            <w:shd w:val="clear" w:color="auto" w:fill="auto"/>
            <w:vAlign w:val="bottom"/>
          </w:tcPr>
          <w:p w14:paraId="68CC2A36" w14:textId="1468470E" w:rsidR="00F84E7F" w:rsidRPr="004D2EDA" w:rsidRDefault="00305CA0" w:rsidP="00F84E7F">
            <w:pPr>
              <w:ind w:right="57"/>
              <w:jc w:val="right"/>
              <w:rPr>
                <w:sz w:val="18"/>
                <w:szCs w:val="18"/>
              </w:rPr>
            </w:pPr>
            <w:r w:rsidRPr="004D2EDA">
              <w:rPr>
                <w:sz w:val="18"/>
                <w:szCs w:val="18"/>
              </w:rPr>
              <w:t>1.592.426.746</w:t>
            </w:r>
          </w:p>
        </w:tc>
        <w:tc>
          <w:tcPr>
            <w:tcW w:w="106" w:type="dxa"/>
            <w:vAlign w:val="bottom"/>
          </w:tcPr>
          <w:p w14:paraId="7B7C53AC" w14:textId="77777777" w:rsidR="00F84E7F" w:rsidRPr="008109D0" w:rsidRDefault="00F84E7F" w:rsidP="00F84E7F">
            <w:pPr>
              <w:ind w:right="57"/>
              <w:jc w:val="right"/>
              <w:rPr>
                <w:sz w:val="18"/>
                <w:szCs w:val="18"/>
              </w:rPr>
            </w:pPr>
          </w:p>
        </w:tc>
        <w:tc>
          <w:tcPr>
            <w:tcW w:w="1670" w:type="dxa"/>
            <w:vAlign w:val="bottom"/>
          </w:tcPr>
          <w:p w14:paraId="6BA2E990" w14:textId="38E50293" w:rsidR="00F84E7F" w:rsidRPr="008109D0" w:rsidRDefault="00F84E7F" w:rsidP="00F84E7F">
            <w:pPr>
              <w:ind w:right="57"/>
              <w:jc w:val="right"/>
              <w:rPr>
                <w:sz w:val="18"/>
                <w:szCs w:val="18"/>
                <w:lang w:val="id-ID"/>
              </w:rPr>
            </w:pPr>
            <w:r w:rsidRPr="008109D0">
              <w:rPr>
                <w:sz w:val="18"/>
                <w:szCs w:val="18"/>
              </w:rPr>
              <w:t>1.592.426.746</w:t>
            </w:r>
          </w:p>
        </w:tc>
        <w:tc>
          <w:tcPr>
            <w:tcW w:w="2843" w:type="dxa"/>
            <w:vAlign w:val="bottom"/>
          </w:tcPr>
          <w:p w14:paraId="2713882C" w14:textId="77777777" w:rsidR="00F84E7F" w:rsidRPr="008109D0" w:rsidRDefault="00F84E7F" w:rsidP="00F84E7F">
            <w:pPr>
              <w:ind w:right="57"/>
              <w:jc w:val="right"/>
              <w:rPr>
                <w:i/>
                <w:sz w:val="18"/>
                <w:szCs w:val="18"/>
              </w:rPr>
            </w:pPr>
            <w:r w:rsidRPr="008109D0">
              <w:rPr>
                <w:i/>
                <w:sz w:val="18"/>
                <w:szCs w:val="18"/>
              </w:rPr>
              <w:t xml:space="preserve">PT Mitra Graha </w:t>
            </w:r>
          </w:p>
          <w:p w14:paraId="63E731B8" w14:textId="2D83745B" w:rsidR="00F84E7F" w:rsidRPr="008109D0" w:rsidRDefault="00F84E7F" w:rsidP="00F84E7F">
            <w:pPr>
              <w:ind w:right="233"/>
              <w:jc w:val="right"/>
              <w:rPr>
                <w:i/>
                <w:sz w:val="18"/>
                <w:szCs w:val="18"/>
              </w:rPr>
            </w:pPr>
            <w:r w:rsidRPr="008109D0">
              <w:rPr>
                <w:i/>
                <w:sz w:val="18"/>
                <w:szCs w:val="18"/>
              </w:rPr>
              <w:t>Selaras(MGS)</w:t>
            </w:r>
          </w:p>
        </w:tc>
      </w:tr>
      <w:tr w:rsidR="00F84E7F" w:rsidRPr="008109D0" w14:paraId="1CB450DA" w14:textId="77777777" w:rsidTr="002108FF">
        <w:trPr>
          <w:trHeight w:val="20"/>
        </w:trPr>
        <w:tc>
          <w:tcPr>
            <w:tcW w:w="2843" w:type="dxa"/>
            <w:vAlign w:val="bottom"/>
          </w:tcPr>
          <w:p w14:paraId="1E20E106" w14:textId="28559586" w:rsidR="00F84E7F" w:rsidRPr="008109D0" w:rsidRDefault="00F84E7F" w:rsidP="00F84E7F">
            <w:pPr>
              <w:ind w:left="680"/>
              <w:rPr>
                <w:sz w:val="18"/>
                <w:szCs w:val="18"/>
              </w:rPr>
            </w:pPr>
            <w:r w:rsidRPr="008109D0">
              <w:rPr>
                <w:sz w:val="18"/>
                <w:szCs w:val="18"/>
              </w:rPr>
              <w:t>PT Solusi Graha Sukses</w:t>
            </w:r>
          </w:p>
        </w:tc>
        <w:tc>
          <w:tcPr>
            <w:tcW w:w="1670" w:type="dxa"/>
            <w:shd w:val="clear" w:color="auto" w:fill="auto"/>
            <w:vAlign w:val="bottom"/>
          </w:tcPr>
          <w:p w14:paraId="6E655CF2" w14:textId="443E4573" w:rsidR="00F84E7F" w:rsidRPr="004D2EDA" w:rsidRDefault="00305CA0" w:rsidP="00F84E7F">
            <w:pPr>
              <w:ind w:right="57"/>
              <w:jc w:val="right"/>
              <w:rPr>
                <w:sz w:val="18"/>
                <w:szCs w:val="18"/>
              </w:rPr>
            </w:pPr>
            <w:r w:rsidRPr="004D2EDA">
              <w:rPr>
                <w:sz w:val="18"/>
                <w:szCs w:val="18"/>
              </w:rPr>
              <w:t>1.155.805.750</w:t>
            </w:r>
          </w:p>
        </w:tc>
        <w:tc>
          <w:tcPr>
            <w:tcW w:w="106" w:type="dxa"/>
            <w:vAlign w:val="bottom"/>
          </w:tcPr>
          <w:p w14:paraId="41ABB1D7" w14:textId="77777777" w:rsidR="00F84E7F" w:rsidRPr="008109D0" w:rsidRDefault="00F84E7F" w:rsidP="00F84E7F">
            <w:pPr>
              <w:ind w:right="57"/>
              <w:jc w:val="right"/>
              <w:rPr>
                <w:sz w:val="18"/>
                <w:szCs w:val="18"/>
              </w:rPr>
            </w:pPr>
          </w:p>
        </w:tc>
        <w:tc>
          <w:tcPr>
            <w:tcW w:w="1670" w:type="dxa"/>
            <w:vAlign w:val="bottom"/>
          </w:tcPr>
          <w:p w14:paraId="72D25D98" w14:textId="5F5997BD" w:rsidR="00F84E7F" w:rsidRPr="008109D0" w:rsidRDefault="00F84E7F" w:rsidP="00F84E7F">
            <w:pPr>
              <w:ind w:right="57"/>
              <w:jc w:val="right"/>
              <w:rPr>
                <w:sz w:val="18"/>
                <w:szCs w:val="18"/>
                <w:lang w:val="id-ID"/>
              </w:rPr>
            </w:pPr>
            <w:r w:rsidRPr="008109D0">
              <w:rPr>
                <w:sz w:val="18"/>
                <w:szCs w:val="18"/>
              </w:rPr>
              <w:t>1.155.805.750</w:t>
            </w:r>
          </w:p>
        </w:tc>
        <w:tc>
          <w:tcPr>
            <w:tcW w:w="2843" w:type="dxa"/>
            <w:vAlign w:val="bottom"/>
          </w:tcPr>
          <w:p w14:paraId="0B5D7DEB" w14:textId="3A7C8228" w:rsidR="00F84E7F" w:rsidRPr="008109D0" w:rsidRDefault="00F84E7F" w:rsidP="00F84E7F">
            <w:pPr>
              <w:ind w:right="57"/>
              <w:jc w:val="right"/>
              <w:rPr>
                <w:i/>
                <w:sz w:val="18"/>
                <w:szCs w:val="18"/>
              </w:rPr>
            </w:pPr>
            <w:r w:rsidRPr="008109D0">
              <w:rPr>
                <w:i/>
                <w:sz w:val="18"/>
                <w:szCs w:val="18"/>
              </w:rPr>
              <w:t>PT Solusi Graha Sukses</w:t>
            </w:r>
          </w:p>
        </w:tc>
      </w:tr>
      <w:tr w:rsidR="00F84E7F" w:rsidRPr="008109D0" w14:paraId="7D8F115F" w14:textId="77777777" w:rsidTr="002108FF">
        <w:trPr>
          <w:trHeight w:val="20"/>
        </w:trPr>
        <w:tc>
          <w:tcPr>
            <w:tcW w:w="2843" w:type="dxa"/>
            <w:vAlign w:val="bottom"/>
          </w:tcPr>
          <w:p w14:paraId="7E50AF2C" w14:textId="3FBDF5A0" w:rsidR="00F84E7F" w:rsidRPr="008109D0" w:rsidRDefault="00F84E7F" w:rsidP="00F84E7F">
            <w:pPr>
              <w:ind w:left="680"/>
              <w:rPr>
                <w:sz w:val="18"/>
                <w:szCs w:val="18"/>
              </w:rPr>
            </w:pPr>
            <w:r w:rsidRPr="008109D0">
              <w:rPr>
                <w:sz w:val="18"/>
                <w:szCs w:val="18"/>
              </w:rPr>
              <w:t>PT Aerocom Jenco Indonesia</w:t>
            </w:r>
          </w:p>
        </w:tc>
        <w:tc>
          <w:tcPr>
            <w:tcW w:w="1670" w:type="dxa"/>
            <w:shd w:val="clear" w:color="auto" w:fill="auto"/>
            <w:vAlign w:val="bottom"/>
          </w:tcPr>
          <w:p w14:paraId="785D35D3" w14:textId="67E51B0C" w:rsidR="00F84E7F" w:rsidRPr="004D2EDA" w:rsidRDefault="00305CA0" w:rsidP="00F84E7F">
            <w:pPr>
              <w:ind w:right="57"/>
              <w:jc w:val="right"/>
              <w:rPr>
                <w:sz w:val="18"/>
                <w:szCs w:val="18"/>
              </w:rPr>
            </w:pPr>
            <w:r w:rsidRPr="004D2EDA">
              <w:rPr>
                <w:sz w:val="18"/>
                <w:szCs w:val="18"/>
              </w:rPr>
              <w:t>884.430.354</w:t>
            </w:r>
          </w:p>
        </w:tc>
        <w:tc>
          <w:tcPr>
            <w:tcW w:w="106" w:type="dxa"/>
            <w:vAlign w:val="bottom"/>
          </w:tcPr>
          <w:p w14:paraId="2AE6CFD2" w14:textId="77777777" w:rsidR="00F84E7F" w:rsidRPr="008109D0" w:rsidRDefault="00F84E7F" w:rsidP="00F84E7F">
            <w:pPr>
              <w:ind w:right="57"/>
              <w:jc w:val="right"/>
              <w:rPr>
                <w:sz w:val="18"/>
                <w:szCs w:val="18"/>
              </w:rPr>
            </w:pPr>
          </w:p>
        </w:tc>
        <w:tc>
          <w:tcPr>
            <w:tcW w:w="1670" w:type="dxa"/>
            <w:vAlign w:val="bottom"/>
          </w:tcPr>
          <w:p w14:paraId="73BF81FA" w14:textId="42C85025" w:rsidR="00F84E7F" w:rsidRPr="008109D0" w:rsidRDefault="00F84E7F" w:rsidP="00F84E7F">
            <w:pPr>
              <w:ind w:right="57"/>
              <w:jc w:val="right"/>
              <w:rPr>
                <w:sz w:val="18"/>
                <w:szCs w:val="18"/>
                <w:lang w:val="id-ID"/>
              </w:rPr>
            </w:pPr>
            <w:r w:rsidRPr="008109D0">
              <w:rPr>
                <w:sz w:val="18"/>
                <w:szCs w:val="18"/>
              </w:rPr>
              <w:t>889.067.254</w:t>
            </w:r>
          </w:p>
        </w:tc>
        <w:tc>
          <w:tcPr>
            <w:tcW w:w="2843" w:type="dxa"/>
            <w:vAlign w:val="bottom"/>
          </w:tcPr>
          <w:p w14:paraId="14EA5A18" w14:textId="5227C1FC" w:rsidR="00F84E7F" w:rsidRPr="008109D0" w:rsidRDefault="00F84E7F" w:rsidP="00F84E7F">
            <w:pPr>
              <w:ind w:right="57"/>
              <w:jc w:val="right"/>
              <w:rPr>
                <w:i/>
                <w:sz w:val="18"/>
                <w:szCs w:val="18"/>
              </w:rPr>
            </w:pPr>
            <w:r w:rsidRPr="008109D0">
              <w:rPr>
                <w:i/>
                <w:sz w:val="18"/>
                <w:szCs w:val="18"/>
              </w:rPr>
              <w:t>PT Aerocom Jenco Indonesia</w:t>
            </w:r>
          </w:p>
        </w:tc>
      </w:tr>
      <w:tr w:rsidR="00F84E7F" w:rsidRPr="008109D0" w14:paraId="4C0F8348" w14:textId="77777777" w:rsidTr="002108FF">
        <w:trPr>
          <w:trHeight w:val="20"/>
        </w:trPr>
        <w:tc>
          <w:tcPr>
            <w:tcW w:w="2843" w:type="dxa"/>
            <w:vAlign w:val="bottom"/>
          </w:tcPr>
          <w:p w14:paraId="664BBA4C" w14:textId="2B6DA66D" w:rsidR="00F84E7F" w:rsidRPr="008109D0" w:rsidRDefault="00F84E7F" w:rsidP="00F84E7F">
            <w:pPr>
              <w:ind w:left="680"/>
              <w:rPr>
                <w:sz w:val="18"/>
                <w:szCs w:val="18"/>
              </w:rPr>
            </w:pPr>
            <w:r w:rsidRPr="008109D0">
              <w:rPr>
                <w:sz w:val="18"/>
                <w:szCs w:val="18"/>
              </w:rPr>
              <w:t>Toko Homer Interior</w:t>
            </w:r>
          </w:p>
        </w:tc>
        <w:tc>
          <w:tcPr>
            <w:tcW w:w="1670" w:type="dxa"/>
            <w:shd w:val="clear" w:color="auto" w:fill="auto"/>
            <w:vAlign w:val="bottom"/>
          </w:tcPr>
          <w:p w14:paraId="0236F61E" w14:textId="28D66EA6" w:rsidR="00F84E7F" w:rsidRPr="004D2EDA" w:rsidRDefault="00305CA0" w:rsidP="00F84E7F">
            <w:pPr>
              <w:ind w:right="57"/>
              <w:jc w:val="right"/>
              <w:rPr>
                <w:sz w:val="18"/>
                <w:szCs w:val="18"/>
              </w:rPr>
            </w:pPr>
            <w:r w:rsidRPr="004D2EDA">
              <w:rPr>
                <w:sz w:val="18"/>
                <w:szCs w:val="18"/>
              </w:rPr>
              <w:t>571.286.249</w:t>
            </w:r>
          </w:p>
        </w:tc>
        <w:tc>
          <w:tcPr>
            <w:tcW w:w="106" w:type="dxa"/>
            <w:vAlign w:val="bottom"/>
          </w:tcPr>
          <w:p w14:paraId="118C7DB8" w14:textId="77777777" w:rsidR="00F84E7F" w:rsidRPr="008109D0" w:rsidRDefault="00F84E7F" w:rsidP="00F84E7F">
            <w:pPr>
              <w:ind w:right="57"/>
              <w:jc w:val="right"/>
              <w:rPr>
                <w:sz w:val="18"/>
                <w:szCs w:val="18"/>
              </w:rPr>
            </w:pPr>
          </w:p>
        </w:tc>
        <w:tc>
          <w:tcPr>
            <w:tcW w:w="1670" w:type="dxa"/>
            <w:vAlign w:val="bottom"/>
          </w:tcPr>
          <w:p w14:paraId="55BFC4C0" w14:textId="2B71DB7B" w:rsidR="00F84E7F" w:rsidRPr="008109D0" w:rsidRDefault="00F84E7F" w:rsidP="00F84E7F">
            <w:pPr>
              <w:ind w:right="57"/>
              <w:jc w:val="right"/>
              <w:rPr>
                <w:sz w:val="18"/>
                <w:szCs w:val="18"/>
                <w:lang w:val="id-ID"/>
              </w:rPr>
            </w:pPr>
            <w:r w:rsidRPr="008109D0">
              <w:rPr>
                <w:sz w:val="18"/>
                <w:szCs w:val="18"/>
              </w:rPr>
              <w:t>571.286.249</w:t>
            </w:r>
          </w:p>
        </w:tc>
        <w:tc>
          <w:tcPr>
            <w:tcW w:w="2843" w:type="dxa"/>
            <w:vAlign w:val="bottom"/>
          </w:tcPr>
          <w:p w14:paraId="38EBE07A" w14:textId="4E1C20B2" w:rsidR="00F84E7F" w:rsidRPr="008109D0" w:rsidRDefault="00F84E7F" w:rsidP="00F84E7F">
            <w:pPr>
              <w:ind w:right="57"/>
              <w:jc w:val="right"/>
              <w:rPr>
                <w:i/>
                <w:sz w:val="18"/>
                <w:szCs w:val="18"/>
              </w:rPr>
            </w:pPr>
            <w:r w:rsidRPr="008109D0">
              <w:rPr>
                <w:i/>
                <w:sz w:val="18"/>
                <w:szCs w:val="18"/>
              </w:rPr>
              <w:t>Toko Homer Interior</w:t>
            </w:r>
          </w:p>
        </w:tc>
      </w:tr>
      <w:tr w:rsidR="00F84E7F" w:rsidRPr="008109D0" w14:paraId="24C11958" w14:textId="77777777" w:rsidTr="002108FF">
        <w:trPr>
          <w:trHeight w:val="20"/>
        </w:trPr>
        <w:tc>
          <w:tcPr>
            <w:tcW w:w="2843" w:type="dxa"/>
            <w:vAlign w:val="bottom"/>
          </w:tcPr>
          <w:p w14:paraId="28C31C18" w14:textId="4AC4843E" w:rsidR="00F84E7F" w:rsidRPr="008109D0" w:rsidRDefault="00F84E7F" w:rsidP="00F84E7F">
            <w:pPr>
              <w:ind w:left="680"/>
              <w:rPr>
                <w:sz w:val="18"/>
                <w:szCs w:val="18"/>
              </w:rPr>
            </w:pPr>
            <w:r w:rsidRPr="008109D0">
              <w:rPr>
                <w:sz w:val="18"/>
                <w:szCs w:val="18"/>
              </w:rPr>
              <w:t>PT Nata Surya Cemerlang</w:t>
            </w:r>
          </w:p>
        </w:tc>
        <w:tc>
          <w:tcPr>
            <w:tcW w:w="1670" w:type="dxa"/>
            <w:shd w:val="clear" w:color="auto" w:fill="auto"/>
            <w:vAlign w:val="bottom"/>
          </w:tcPr>
          <w:p w14:paraId="6019980A" w14:textId="2FC6A20F" w:rsidR="00F84E7F" w:rsidRPr="004D2EDA" w:rsidRDefault="00305CA0" w:rsidP="00F84E7F">
            <w:pPr>
              <w:ind w:right="57"/>
              <w:jc w:val="right"/>
              <w:rPr>
                <w:sz w:val="18"/>
                <w:szCs w:val="18"/>
              </w:rPr>
            </w:pPr>
            <w:r w:rsidRPr="004D2EDA">
              <w:rPr>
                <w:sz w:val="18"/>
                <w:szCs w:val="18"/>
              </w:rPr>
              <w:t>483.065.907</w:t>
            </w:r>
          </w:p>
        </w:tc>
        <w:tc>
          <w:tcPr>
            <w:tcW w:w="106" w:type="dxa"/>
            <w:vAlign w:val="bottom"/>
          </w:tcPr>
          <w:p w14:paraId="50EA90DF" w14:textId="77777777" w:rsidR="00F84E7F" w:rsidRPr="008109D0" w:rsidRDefault="00F84E7F" w:rsidP="00F84E7F">
            <w:pPr>
              <w:ind w:right="57"/>
              <w:jc w:val="right"/>
              <w:rPr>
                <w:sz w:val="18"/>
                <w:szCs w:val="18"/>
              </w:rPr>
            </w:pPr>
          </w:p>
        </w:tc>
        <w:tc>
          <w:tcPr>
            <w:tcW w:w="1670" w:type="dxa"/>
            <w:vAlign w:val="bottom"/>
          </w:tcPr>
          <w:p w14:paraId="51C4A1AA" w14:textId="271485F4" w:rsidR="00F84E7F" w:rsidRPr="008109D0" w:rsidRDefault="00F84E7F" w:rsidP="00F84E7F">
            <w:pPr>
              <w:ind w:right="57"/>
              <w:jc w:val="right"/>
              <w:rPr>
                <w:sz w:val="18"/>
                <w:szCs w:val="18"/>
                <w:lang w:val="id-ID"/>
              </w:rPr>
            </w:pPr>
            <w:r w:rsidRPr="008109D0">
              <w:rPr>
                <w:sz w:val="18"/>
                <w:szCs w:val="18"/>
              </w:rPr>
              <w:t>483.065.907</w:t>
            </w:r>
          </w:p>
        </w:tc>
        <w:tc>
          <w:tcPr>
            <w:tcW w:w="2843" w:type="dxa"/>
            <w:vAlign w:val="bottom"/>
          </w:tcPr>
          <w:p w14:paraId="7F7ACAC0" w14:textId="5939D94D" w:rsidR="00F84E7F" w:rsidRPr="008109D0" w:rsidRDefault="00F84E7F" w:rsidP="00F84E7F">
            <w:pPr>
              <w:ind w:right="57"/>
              <w:jc w:val="right"/>
              <w:rPr>
                <w:i/>
                <w:sz w:val="18"/>
                <w:szCs w:val="18"/>
              </w:rPr>
            </w:pPr>
            <w:r w:rsidRPr="008109D0">
              <w:rPr>
                <w:i/>
                <w:sz w:val="18"/>
                <w:szCs w:val="18"/>
              </w:rPr>
              <w:t>PT Nata Surya Cemerlang</w:t>
            </w:r>
          </w:p>
        </w:tc>
      </w:tr>
      <w:tr w:rsidR="00F84E7F" w:rsidRPr="008109D0" w14:paraId="43AEA815" w14:textId="77777777" w:rsidTr="002108FF">
        <w:trPr>
          <w:trHeight w:val="20"/>
        </w:trPr>
        <w:tc>
          <w:tcPr>
            <w:tcW w:w="2843" w:type="dxa"/>
            <w:vAlign w:val="bottom"/>
          </w:tcPr>
          <w:p w14:paraId="2FFEC62A" w14:textId="07768610" w:rsidR="00F84E7F" w:rsidRPr="008109D0" w:rsidRDefault="00F84E7F" w:rsidP="00F84E7F">
            <w:pPr>
              <w:ind w:left="680"/>
              <w:rPr>
                <w:sz w:val="18"/>
                <w:szCs w:val="18"/>
              </w:rPr>
            </w:pPr>
            <w:r w:rsidRPr="008109D0">
              <w:rPr>
                <w:sz w:val="18"/>
                <w:szCs w:val="18"/>
              </w:rPr>
              <w:t>PT Kone Indo Elevator</w:t>
            </w:r>
          </w:p>
        </w:tc>
        <w:tc>
          <w:tcPr>
            <w:tcW w:w="1670" w:type="dxa"/>
            <w:shd w:val="clear" w:color="auto" w:fill="auto"/>
            <w:vAlign w:val="bottom"/>
          </w:tcPr>
          <w:p w14:paraId="5C05168B" w14:textId="7CED9233" w:rsidR="00F84E7F" w:rsidRPr="004D2EDA" w:rsidRDefault="00305CA0" w:rsidP="00F84E7F">
            <w:pPr>
              <w:ind w:right="57"/>
              <w:jc w:val="right"/>
              <w:rPr>
                <w:sz w:val="18"/>
                <w:szCs w:val="18"/>
              </w:rPr>
            </w:pPr>
            <w:r w:rsidRPr="004D2EDA">
              <w:rPr>
                <w:sz w:val="18"/>
                <w:szCs w:val="18"/>
              </w:rPr>
              <w:t>475.530.000</w:t>
            </w:r>
          </w:p>
        </w:tc>
        <w:tc>
          <w:tcPr>
            <w:tcW w:w="106" w:type="dxa"/>
            <w:vAlign w:val="bottom"/>
          </w:tcPr>
          <w:p w14:paraId="4A3EB1CE" w14:textId="77777777" w:rsidR="00F84E7F" w:rsidRPr="008109D0" w:rsidRDefault="00F84E7F" w:rsidP="00F84E7F">
            <w:pPr>
              <w:ind w:right="57"/>
              <w:jc w:val="right"/>
              <w:rPr>
                <w:sz w:val="18"/>
                <w:szCs w:val="18"/>
              </w:rPr>
            </w:pPr>
          </w:p>
        </w:tc>
        <w:tc>
          <w:tcPr>
            <w:tcW w:w="1670" w:type="dxa"/>
            <w:vAlign w:val="bottom"/>
          </w:tcPr>
          <w:p w14:paraId="62380779" w14:textId="5E9877D5" w:rsidR="00F84E7F" w:rsidRPr="008109D0" w:rsidRDefault="00F84E7F" w:rsidP="00F84E7F">
            <w:pPr>
              <w:ind w:right="57"/>
              <w:jc w:val="right"/>
              <w:rPr>
                <w:sz w:val="18"/>
                <w:szCs w:val="18"/>
                <w:lang w:val="id-ID"/>
              </w:rPr>
            </w:pPr>
            <w:r w:rsidRPr="008109D0">
              <w:rPr>
                <w:sz w:val="18"/>
                <w:szCs w:val="18"/>
              </w:rPr>
              <w:t>475.530.000</w:t>
            </w:r>
          </w:p>
        </w:tc>
        <w:tc>
          <w:tcPr>
            <w:tcW w:w="2843" w:type="dxa"/>
            <w:vAlign w:val="bottom"/>
          </w:tcPr>
          <w:p w14:paraId="1A838C6B" w14:textId="422D383B" w:rsidR="00F84E7F" w:rsidRPr="008109D0" w:rsidRDefault="00F84E7F" w:rsidP="00F84E7F">
            <w:pPr>
              <w:ind w:right="57"/>
              <w:jc w:val="right"/>
              <w:rPr>
                <w:i/>
                <w:sz w:val="18"/>
                <w:szCs w:val="18"/>
              </w:rPr>
            </w:pPr>
            <w:r w:rsidRPr="008109D0">
              <w:rPr>
                <w:i/>
                <w:sz w:val="18"/>
                <w:szCs w:val="18"/>
              </w:rPr>
              <w:t>PT Kone Indo Elevator</w:t>
            </w:r>
          </w:p>
        </w:tc>
      </w:tr>
      <w:tr w:rsidR="00F84E7F" w:rsidRPr="008109D0" w14:paraId="38C5F604" w14:textId="77777777" w:rsidTr="002108FF">
        <w:trPr>
          <w:trHeight w:val="20"/>
        </w:trPr>
        <w:tc>
          <w:tcPr>
            <w:tcW w:w="2843" w:type="dxa"/>
            <w:vAlign w:val="bottom"/>
          </w:tcPr>
          <w:p w14:paraId="0087A0E8" w14:textId="3B66A167" w:rsidR="00F84E7F" w:rsidRPr="008109D0" w:rsidRDefault="00F84E7F" w:rsidP="00F84E7F">
            <w:pPr>
              <w:ind w:left="680"/>
              <w:rPr>
                <w:sz w:val="18"/>
                <w:szCs w:val="18"/>
              </w:rPr>
            </w:pPr>
            <w:r w:rsidRPr="008109D0">
              <w:rPr>
                <w:sz w:val="18"/>
                <w:szCs w:val="18"/>
              </w:rPr>
              <w:t>PT Karya Amanusa Kathina</w:t>
            </w:r>
          </w:p>
        </w:tc>
        <w:tc>
          <w:tcPr>
            <w:tcW w:w="1670" w:type="dxa"/>
            <w:shd w:val="clear" w:color="auto" w:fill="auto"/>
            <w:vAlign w:val="bottom"/>
          </w:tcPr>
          <w:p w14:paraId="6E349F3F" w14:textId="6A461204" w:rsidR="00F84E7F" w:rsidRPr="004D2EDA" w:rsidRDefault="00305CA0" w:rsidP="00F84E7F">
            <w:pPr>
              <w:ind w:right="57"/>
              <w:jc w:val="right"/>
              <w:rPr>
                <w:sz w:val="18"/>
                <w:szCs w:val="18"/>
              </w:rPr>
            </w:pPr>
            <w:r w:rsidRPr="004D2EDA">
              <w:rPr>
                <w:sz w:val="18"/>
                <w:szCs w:val="18"/>
              </w:rPr>
              <w:t>464.978.595</w:t>
            </w:r>
          </w:p>
        </w:tc>
        <w:tc>
          <w:tcPr>
            <w:tcW w:w="106" w:type="dxa"/>
            <w:vAlign w:val="bottom"/>
          </w:tcPr>
          <w:p w14:paraId="73CE3237" w14:textId="77777777" w:rsidR="00F84E7F" w:rsidRPr="008109D0" w:rsidRDefault="00F84E7F" w:rsidP="00F84E7F">
            <w:pPr>
              <w:ind w:right="57"/>
              <w:jc w:val="right"/>
              <w:rPr>
                <w:sz w:val="18"/>
                <w:szCs w:val="18"/>
              </w:rPr>
            </w:pPr>
          </w:p>
        </w:tc>
        <w:tc>
          <w:tcPr>
            <w:tcW w:w="1670" w:type="dxa"/>
            <w:vAlign w:val="bottom"/>
          </w:tcPr>
          <w:p w14:paraId="486956CD" w14:textId="41AAED89" w:rsidR="00F84E7F" w:rsidRPr="008109D0" w:rsidRDefault="00F84E7F" w:rsidP="00F84E7F">
            <w:pPr>
              <w:ind w:right="57"/>
              <w:jc w:val="right"/>
              <w:rPr>
                <w:sz w:val="18"/>
                <w:szCs w:val="18"/>
                <w:lang w:val="id-ID"/>
              </w:rPr>
            </w:pPr>
            <w:r w:rsidRPr="008109D0">
              <w:rPr>
                <w:sz w:val="18"/>
                <w:szCs w:val="18"/>
              </w:rPr>
              <w:t>464.978.595</w:t>
            </w:r>
          </w:p>
        </w:tc>
        <w:tc>
          <w:tcPr>
            <w:tcW w:w="2843" w:type="dxa"/>
            <w:vAlign w:val="bottom"/>
          </w:tcPr>
          <w:p w14:paraId="0C33C2D4" w14:textId="655B5738" w:rsidR="00F84E7F" w:rsidRPr="008109D0" w:rsidRDefault="00F84E7F" w:rsidP="00F84E7F">
            <w:pPr>
              <w:ind w:right="57"/>
              <w:jc w:val="right"/>
              <w:rPr>
                <w:i/>
                <w:sz w:val="18"/>
                <w:szCs w:val="18"/>
              </w:rPr>
            </w:pPr>
            <w:r w:rsidRPr="008109D0">
              <w:rPr>
                <w:i/>
                <w:sz w:val="18"/>
                <w:szCs w:val="18"/>
              </w:rPr>
              <w:t>PT Karya Amanusa Kathina</w:t>
            </w:r>
          </w:p>
        </w:tc>
      </w:tr>
      <w:tr w:rsidR="00F84E7F" w:rsidRPr="008109D0" w14:paraId="0D64C8C4" w14:textId="77777777" w:rsidTr="002108FF">
        <w:trPr>
          <w:trHeight w:val="20"/>
        </w:trPr>
        <w:tc>
          <w:tcPr>
            <w:tcW w:w="2843" w:type="dxa"/>
            <w:vAlign w:val="bottom"/>
          </w:tcPr>
          <w:p w14:paraId="23CBD401" w14:textId="77777777" w:rsidR="00F84E7F" w:rsidRPr="008109D0" w:rsidRDefault="00F84E7F" w:rsidP="00F84E7F">
            <w:pPr>
              <w:ind w:left="680"/>
              <w:rPr>
                <w:sz w:val="18"/>
                <w:szCs w:val="18"/>
              </w:rPr>
            </w:pPr>
            <w:r w:rsidRPr="008109D0">
              <w:rPr>
                <w:sz w:val="18"/>
                <w:szCs w:val="18"/>
              </w:rPr>
              <w:t xml:space="preserve">PT Arnan Pratama </w:t>
            </w:r>
          </w:p>
          <w:p w14:paraId="393F1C22" w14:textId="4DB7EB54" w:rsidR="00F84E7F" w:rsidRPr="008109D0" w:rsidRDefault="00F84E7F" w:rsidP="00F84E7F">
            <w:pPr>
              <w:ind w:left="811"/>
              <w:rPr>
                <w:sz w:val="18"/>
                <w:szCs w:val="18"/>
              </w:rPr>
            </w:pPr>
            <w:r w:rsidRPr="008109D0">
              <w:rPr>
                <w:sz w:val="18"/>
                <w:szCs w:val="18"/>
              </w:rPr>
              <w:t>Consultants</w:t>
            </w:r>
          </w:p>
        </w:tc>
        <w:tc>
          <w:tcPr>
            <w:tcW w:w="1670" w:type="dxa"/>
            <w:shd w:val="clear" w:color="auto" w:fill="auto"/>
            <w:vAlign w:val="bottom"/>
          </w:tcPr>
          <w:p w14:paraId="45270C49" w14:textId="3199FE0C" w:rsidR="00F84E7F" w:rsidRPr="004D2EDA" w:rsidRDefault="00305CA0" w:rsidP="00F84E7F">
            <w:pPr>
              <w:ind w:right="57"/>
              <w:jc w:val="right"/>
              <w:rPr>
                <w:sz w:val="18"/>
                <w:szCs w:val="18"/>
              </w:rPr>
            </w:pPr>
            <w:r w:rsidRPr="004D2EDA">
              <w:rPr>
                <w:sz w:val="18"/>
                <w:szCs w:val="18"/>
              </w:rPr>
              <w:t>317.625.000</w:t>
            </w:r>
          </w:p>
        </w:tc>
        <w:tc>
          <w:tcPr>
            <w:tcW w:w="106" w:type="dxa"/>
            <w:vAlign w:val="bottom"/>
          </w:tcPr>
          <w:p w14:paraId="060F2563" w14:textId="77777777" w:rsidR="00F84E7F" w:rsidRPr="008109D0" w:rsidRDefault="00F84E7F" w:rsidP="00F84E7F">
            <w:pPr>
              <w:ind w:right="57"/>
              <w:jc w:val="right"/>
              <w:rPr>
                <w:sz w:val="18"/>
                <w:szCs w:val="18"/>
              </w:rPr>
            </w:pPr>
          </w:p>
        </w:tc>
        <w:tc>
          <w:tcPr>
            <w:tcW w:w="1670" w:type="dxa"/>
            <w:vAlign w:val="bottom"/>
          </w:tcPr>
          <w:p w14:paraId="0E1A0AC7" w14:textId="7FF10C28" w:rsidR="00F84E7F" w:rsidRPr="008109D0" w:rsidRDefault="00F84E7F" w:rsidP="00F84E7F">
            <w:pPr>
              <w:ind w:right="57"/>
              <w:jc w:val="right"/>
              <w:rPr>
                <w:sz w:val="18"/>
                <w:szCs w:val="18"/>
                <w:lang w:val="id-ID"/>
              </w:rPr>
            </w:pPr>
            <w:r w:rsidRPr="008109D0">
              <w:rPr>
                <w:sz w:val="18"/>
                <w:szCs w:val="18"/>
              </w:rPr>
              <w:t>350.625.000</w:t>
            </w:r>
          </w:p>
        </w:tc>
        <w:tc>
          <w:tcPr>
            <w:tcW w:w="2843" w:type="dxa"/>
            <w:vAlign w:val="bottom"/>
          </w:tcPr>
          <w:p w14:paraId="021A2262" w14:textId="77777777" w:rsidR="00F84E7F" w:rsidRPr="008109D0" w:rsidRDefault="00F84E7F" w:rsidP="00F84E7F">
            <w:pPr>
              <w:ind w:right="57"/>
              <w:jc w:val="right"/>
              <w:rPr>
                <w:i/>
                <w:sz w:val="18"/>
                <w:szCs w:val="18"/>
              </w:rPr>
            </w:pPr>
            <w:r w:rsidRPr="008109D0">
              <w:rPr>
                <w:i/>
                <w:sz w:val="18"/>
                <w:szCs w:val="18"/>
              </w:rPr>
              <w:t xml:space="preserve">PT Arnan Pratama </w:t>
            </w:r>
          </w:p>
          <w:p w14:paraId="181C3688" w14:textId="75FCE640" w:rsidR="00F84E7F" w:rsidRPr="008109D0" w:rsidRDefault="00F84E7F" w:rsidP="00F84E7F">
            <w:pPr>
              <w:ind w:right="233"/>
              <w:jc w:val="right"/>
              <w:rPr>
                <w:i/>
                <w:sz w:val="18"/>
                <w:szCs w:val="18"/>
              </w:rPr>
            </w:pPr>
            <w:r w:rsidRPr="008109D0">
              <w:rPr>
                <w:i/>
                <w:sz w:val="18"/>
                <w:szCs w:val="18"/>
              </w:rPr>
              <w:t>Consultants</w:t>
            </w:r>
          </w:p>
        </w:tc>
      </w:tr>
      <w:tr w:rsidR="00F84E7F" w:rsidRPr="008109D0" w14:paraId="5C99B3E1" w14:textId="77777777" w:rsidTr="002108FF">
        <w:trPr>
          <w:trHeight w:val="20"/>
        </w:trPr>
        <w:tc>
          <w:tcPr>
            <w:tcW w:w="2843" w:type="dxa"/>
            <w:vAlign w:val="bottom"/>
          </w:tcPr>
          <w:p w14:paraId="15B25F6E" w14:textId="5E69F8F8" w:rsidR="00F84E7F" w:rsidRPr="008109D0" w:rsidRDefault="00F84E7F" w:rsidP="00F84E7F">
            <w:pPr>
              <w:ind w:left="849" w:hanging="142"/>
              <w:rPr>
                <w:sz w:val="18"/>
                <w:szCs w:val="18"/>
              </w:rPr>
            </w:pPr>
            <w:r w:rsidRPr="008109D0">
              <w:rPr>
                <w:sz w:val="18"/>
                <w:szCs w:val="18"/>
              </w:rPr>
              <w:t>Lainnya masing-masing dibawah Rp 300.000.000</w:t>
            </w:r>
          </w:p>
        </w:tc>
        <w:tc>
          <w:tcPr>
            <w:tcW w:w="1670" w:type="dxa"/>
            <w:shd w:val="clear" w:color="auto" w:fill="auto"/>
            <w:vAlign w:val="bottom"/>
          </w:tcPr>
          <w:p w14:paraId="7703C850" w14:textId="1F053CB7" w:rsidR="00F84E7F" w:rsidRPr="004D2EDA" w:rsidRDefault="00E72F25" w:rsidP="00F84E7F">
            <w:pPr>
              <w:ind w:right="57"/>
              <w:jc w:val="right"/>
              <w:rPr>
                <w:sz w:val="18"/>
                <w:szCs w:val="18"/>
              </w:rPr>
            </w:pPr>
            <w:r w:rsidRPr="004D2EDA">
              <w:rPr>
                <w:sz w:val="18"/>
                <w:szCs w:val="18"/>
              </w:rPr>
              <w:t>4.727.424.623</w:t>
            </w:r>
          </w:p>
        </w:tc>
        <w:tc>
          <w:tcPr>
            <w:tcW w:w="106" w:type="dxa"/>
            <w:vAlign w:val="bottom"/>
          </w:tcPr>
          <w:p w14:paraId="67289E98" w14:textId="77777777" w:rsidR="00F84E7F" w:rsidRPr="008109D0" w:rsidRDefault="00F84E7F" w:rsidP="00F84E7F">
            <w:pPr>
              <w:ind w:right="57"/>
              <w:jc w:val="right"/>
              <w:rPr>
                <w:sz w:val="18"/>
                <w:szCs w:val="18"/>
              </w:rPr>
            </w:pPr>
          </w:p>
        </w:tc>
        <w:tc>
          <w:tcPr>
            <w:tcW w:w="1670" w:type="dxa"/>
            <w:vAlign w:val="bottom"/>
          </w:tcPr>
          <w:p w14:paraId="1C591EE3" w14:textId="204F1691" w:rsidR="00F84E7F" w:rsidRPr="008109D0" w:rsidRDefault="00F84E7F" w:rsidP="00F84E7F">
            <w:pPr>
              <w:ind w:right="57"/>
              <w:jc w:val="right"/>
              <w:rPr>
                <w:sz w:val="18"/>
                <w:szCs w:val="18"/>
              </w:rPr>
            </w:pPr>
            <w:r w:rsidRPr="008109D0">
              <w:rPr>
                <w:sz w:val="18"/>
                <w:szCs w:val="18"/>
              </w:rPr>
              <w:t>3.556.640.571</w:t>
            </w:r>
          </w:p>
        </w:tc>
        <w:tc>
          <w:tcPr>
            <w:tcW w:w="2843" w:type="dxa"/>
            <w:vAlign w:val="bottom"/>
          </w:tcPr>
          <w:p w14:paraId="4DB4D606" w14:textId="77777777" w:rsidR="00F84E7F" w:rsidRPr="008109D0" w:rsidRDefault="00F84E7F" w:rsidP="00F84E7F">
            <w:pPr>
              <w:ind w:right="57"/>
              <w:jc w:val="right"/>
              <w:rPr>
                <w:i/>
                <w:sz w:val="18"/>
                <w:szCs w:val="18"/>
              </w:rPr>
            </w:pPr>
            <w:r w:rsidRPr="008109D0">
              <w:rPr>
                <w:i/>
                <w:sz w:val="18"/>
                <w:szCs w:val="18"/>
              </w:rPr>
              <w:t xml:space="preserve">Others each below </w:t>
            </w:r>
          </w:p>
          <w:p w14:paraId="2202B2FF" w14:textId="0A853FA4" w:rsidR="00F84E7F" w:rsidRPr="008109D0" w:rsidRDefault="00F84E7F" w:rsidP="00F84E7F">
            <w:pPr>
              <w:ind w:right="204"/>
              <w:jc w:val="right"/>
              <w:rPr>
                <w:i/>
                <w:iCs/>
                <w:sz w:val="18"/>
                <w:szCs w:val="18"/>
              </w:rPr>
            </w:pPr>
            <w:r w:rsidRPr="008109D0">
              <w:rPr>
                <w:i/>
                <w:sz w:val="18"/>
                <w:szCs w:val="18"/>
              </w:rPr>
              <w:t>Rp 300</w:t>
            </w:r>
            <w:r w:rsidR="00870FD0" w:rsidRPr="008109D0">
              <w:rPr>
                <w:i/>
                <w:sz w:val="18"/>
                <w:szCs w:val="18"/>
              </w:rPr>
              <w:t>.</w:t>
            </w:r>
            <w:r w:rsidRPr="008109D0">
              <w:rPr>
                <w:i/>
                <w:sz w:val="18"/>
                <w:szCs w:val="18"/>
              </w:rPr>
              <w:t>000</w:t>
            </w:r>
            <w:r w:rsidR="00870FD0" w:rsidRPr="008109D0">
              <w:rPr>
                <w:i/>
                <w:sz w:val="18"/>
                <w:szCs w:val="18"/>
              </w:rPr>
              <w:t>.</w:t>
            </w:r>
            <w:r w:rsidRPr="008109D0">
              <w:rPr>
                <w:i/>
                <w:sz w:val="18"/>
                <w:szCs w:val="18"/>
              </w:rPr>
              <w:t>000</w:t>
            </w:r>
          </w:p>
        </w:tc>
      </w:tr>
      <w:tr w:rsidR="00B17046" w:rsidRPr="008109D0" w14:paraId="42C516EF" w14:textId="77777777" w:rsidTr="002108FF">
        <w:trPr>
          <w:trHeight w:val="20"/>
        </w:trPr>
        <w:tc>
          <w:tcPr>
            <w:tcW w:w="2843" w:type="dxa"/>
            <w:vAlign w:val="bottom"/>
          </w:tcPr>
          <w:p w14:paraId="3FE23B51" w14:textId="77777777" w:rsidR="00B17046" w:rsidRPr="008109D0" w:rsidRDefault="00B17046" w:rsidP="007C207F">
            <w:pPr>
              <w:ind w:left="680"/>
              <w:rPr>
                <w:sz w:val="18"/>
                <w:szCs w:val="18"/>
              </w:rPr>
            </w:pPr>
          </w:p>
        </w:tc>
        <w:tc>
          <w:tcPr>
            <w:tcW w:w="1670" w:type="dxa"/>
            <w:tcBorders>
              <w:top w:val="single" w:sz="4" w:space="0" w:color="auto"/>
            </w:tcBorders>
            <w:shd w:val="clear" w:color="auto" w:fill="auto"/>
            <w:vAlign w:val="bottom"/>
          </w:tcPr>
          <w:p w14:paraId="650A7794" w14:textId="77777777" w:rsidR="00B17046" w:rsidRPr="004D2EDA" w:rsidRDefault="00B17046" w:rsidP="004A0821">
            <w:pPr>
              <w:ind w:right="57"/>
              <w:jc w:val="right"/>
              <w:rPr>
                <w:b/>
                <w:sz w:val="18"/>
                <w:szCs w:val="18"/>
              </w:rPr>
            </w:pPr>
          </w:p>
        </w:tc>
        <w:tc>
          <w:tcPr>
            <w:tcW w:w="106" w:type="dxa"/>
          </w:tcPr>
          <w:p w14:paraId="5D9A4AD8" w14:textId="77777777" w:rsidR="00B17046" w:rsidRPr="008109D0" w:rsidRDefault="00B17046" w:rsidP="004A0821">
            <w:pPr>
              <w:ind w:right="57"/>
              <w:jc w:val="right"/>
              <w:rPr>
                <w:b/>
                <w:sz w:val="18"/>
                <w:szCs w:val="18"/>
              </w:rPr>
            </w:pPr>
          </w:p>
        </w:tc>
        <w:tc>
          <w:tcPr>
            <w:tcW w:w="1670" w:type="dxa"/>
            <w:tcBorders>
              <w:top w:val="single" w:sz="4" w:space="0" w:color="auto"/>
            </w:tcBorders>
            <w:vAlign w:val="bottom"/>
          </w:tcPr>
          <w:p w14:paraId="033637C2" w14:textId="77777777" w:rsidR="00B17046" w:rsidRPr="008109D0" w:rsidRDefault="00B17046" w:rsidP="004A0821">
            <w:pPr>
              <w:ind w:right="57"/>
              <w:jc w:val="right"/>
              <w:rPr>
                <w:b/>
                <w:sz w:val="18"/>
                <w:szCs w:val="18"/>
              </w:rPr>
            </w:pPr>
          </w:p>
        </w:tc>
        <w:tc>
          <w:tcPr>
            <w:tcW w:w="2843" w:type="dxa"/>
            <w:vAlign w:val="bottom"/>
          </w:tcPr>
          <w:p w14:paraId="5205C78C" w14:textId="77777777" w:rsidR="00B17046" w:rsidRPr="008109D0" w:rsidRDefault="00B17046" w:rsidP="004A0821">
            <w:pPr>
              <w:ind w:right="57"/>
              <w:jc w:val="right"/>
              <w:rPr>
                <w:i/>
                <w:iCs/>
                <w:sz w:val="18"/>
                <w:szCs w:val="18"/>
              </w:rPr>
            </w:pPr>
          </w:p>
        </w:tc>
      </w:tr>
      <w:tr w:rsidR="00B17046" w:rsidRPr="00F244E2" w14:paraId="08F9FAEF" w14:textId="77777777" w:rsidTr="002108FF">
        <w:trPr>
          <w:trHeight w:val="20"/>
        </w:trPr>
        <w:tc>
          <w:tcPr>
            <w:tcW w:w="2843" w:type="dxa"/>
            <w:vAlign w:val="bottom"/>
          </w:tcPr>
          <w:p w14:paraId="1E0DADD6" w14:textId="77777777" w:rsidR="00B17046" w:rsidRPr="008109D0" w:rsidRDefault="00B17046" w:rsidP="007C207F">
            <w:pPr>
              <w:ind w:left="680"/>
              <w:rPr>
                <w:b/>
                <w:bCs w:val="0"/>
                <w:sz w:val="18"/>
                <w:szCs w:val="18"/>
              </w:rPr>
            </w:pPr>
            <w:r w:rsidRPr="008109D0">
              <w:rPr>
                <w:b/>
                <w:bCs w:val="0"/>
                <w:sz w:val="18"/>
                <w:szCs w:val="18"/>
              </w:rPr>
              <w:t xml:space="preserve">Jumlah </w:t>
            </w:r>
          </w:p>
        </w:tc>
        <w:tc>
          <w:tcPr>
            <w:tcW w:w="1670" w:type="dxa"/>
            <w:tcBorders>
              <w:bottom w:val="double" w:sz="4" w:space="0" w:color="auto"/>
            </w:tcBorders>
            <w:shd w:val="clear" w:color="auto" w:fill="auto"/>
            <w:vAlign w:val="bottom"/>
          </w:tcPr>
          <w:p w14:paraId="0DD2AA82" w14:textId="589CFF88" w:rsidR="00B17046" w:rsidRPr="007E15CA" w:rsidRDefault="007E5BAC" w:rsidP="007E15CA">
            <w:pPr>
              <w:ind w:right="57"/>
              <w:jc w:val="right"/>
              <w:rPr>
                <w:b/>
                <w:sz w:val="18"/>
                <w:szCs w:val="18"/>
                <w:highlight w:val="cyan"/>
                <w:lang w:val="id-ID"/>
              </w:rPr>
            </w:pPr>
            <w:r w:rsidRPr="009F6D69">
              <w:rPr>
                <w:b/>
                <w:sz w:val="18"/>
                <w:szCs w:val="18"/>
                <w:lang w:val="id-ID"/>
              </w:rPr>
              <w:t>27</w:t>
            </w:r>
            <w:r w:rsidR="007E15CA" w:rsidRPr="009F6D69">
              <w:rPr>
                <w:b/>
                <w:sz w:val="18"/>
                <w:szCs w:val="18"/>
              </w:rPr>
              <w:t>.</w:t>
            </w:r>
            <w:r w:rsidRPr="009F6D69">
              <w:rPr>
                <w:b/>
                <w:sz w:val="18"/>
                <w:szCs w:val="18"/>
                <w:lang w:val="id-ID"/>
              </w:rPr>
              <w:t>468</w:t>
            </w:r>
            <w:r w:rsidR="007E15CA" w:rsidRPr="009F6D69">
              <w:rPr>
                <w:b/>
                <w:sz w:val="18"/>
                <w:szCs w:val="18"/>
                <w:lang w:val="id-ID"/>
              </w:rPr>
              <w:t>.</w:t>
            </w:r>
            <w:r w:rsidRPr="009F6D69">
              <w:rPr>
                <w:b/>
                <w:sz w:val="18"/>
                <w:szCs w:val="18"/>
                <w:lang w:val="id-ID"/>
              </w:rPr>
              <w:t>494</w:t>
            </w:r>
            <w:r w:rsidR="007E15CA" w:rsidRPr="009F6D69">
              <w:rPr>
                <w:b/>
                <w:sz w:val="18"/>
                <w:szCs w:val="18"/>
              </w:rPr>
              <w:t>.</w:t>
            </w:r>
            <w:r w:rsidRPr="009F6D69">
              <w:rPr>
                <w:b/>
                <w:sz w:val="18"/>
                <w:szCs w:val="18"/>
                <w:lang w:val="id-ID"/>
              </w:rPr>
              <w:t>698</w:t>
            </w:r>
          </w:p>
        </w:tc>
        <w:tc>
          <w:tcPr>
            <w:tcW w:w="106" w:type="dxa"/>
          </w:tcPr>
          <w:p w14:paraId="65E406CE" w14:textId="77777777" w:rsidR="00B17046" w:rsidRPr="007E15CA" w:rsidRDefault="00B17046" w:rsidP="004A0821">
            <w:pPr>
              <w:ind w:right="57"/>
              <w:jc w:val="right"/>
              <w:rPr>
                <w:b/>
                <w:sz w:val="18"/>
                <w:szCs w:val="18"/>
                <w:highlight w:val="cyan"/>
              </w:rPr>
            </w:pPr>
          </w:p>
        </w:tc>
        <w:tc>
          <w:tcPr>
            <w:tcW w:w="1670" w:type="dxa"/>
            <w:tcBorders>
              <w:bottom w:val="double" w:sz="4" w:space="0" w:color="auto"/>
            </w:tcBorders>
            <w:vAlign w:val="bottom"/>
          </w:tcPr>
          <w:p w14:paraId="77E5F4E9" w14:textId="01C11E5E" w:rsidR="00B17046" w:rsidRPr="008109D0" w:rsidRDefault="00F84E7F" w:rsidP="004A0821">
            <w:pPr>
              <w:ind w:right="57"/>
              <w:jc w:val="right"/>
              <w:rPr>
                <w:b/>
                <w:sz w:val="18"/>
                <w:szCs w:val="18"/>
              </w:rPr>
            </w:pPr>
            <w:r w:rsidRPr="008109D0">
              <w:rPr>
                <w:b/>
                <w:sz w:val="18"/>
                <w:szCs w:val="18"/>
              </w:rPr>
              <w:t>88.419.683.936</w:t>
            </w:r>
          </w:p>
        </w:tc>
        <w:tc>
          <w:tcPr>
            <w:tcW w:w="2843" w:type="dxa"/>
            <w:vAlign w:val="bottom"/>
          </w:tcPr>
          <w:p w14:paraId="4BF173F2" w14:textId="77777777" w:rsidR="00B17046" w:rsidRPr="00F244E2" w:rsidRDefault="00B17046" w:rsidP="004A0821">
            <w:pPr>
              <w:ind w:right="57"/>
              <w:jc w:val="right"/>
              <w:rPr>
                <w:b/>
                <w:i/>
                <w:iCs/>
                <w:sz w:val="18"/>
                <w:szCs w:val="18"/>
              </w:rPr>
            </w:pPr>
            <w:r w:rsidRPr="008109D0">
              <w:rPr>
                <w:b/>
                <w:i/>
                <w:iCs/>
                <w:sz w:val="18"/>
                <w:szCs w:val="18"/>
              </w:rPr>
              <w:t>Total</w:t>
            </w:r>
            <w:r w:rsidRPr="00F244E2">
              <w:rPr>
                <w:b/>
                <w:i/>
                <w:iCs/>
                <w:sz w:val="18"/>
                <w:szCs w:val="18"/>
              </w:rPr>
              <w:t xml:space="preserve"> </w:t>
            </w:r>
          </w:p>
        </w:tc>
      </w:tr>
    </w:tbl>
    <w:p w14:paraId="7291E54A" w14:textId="77777777" w:rsidR="00B17046" w:rsidRDefault="00B17046" w:rsidP="0013526B">
      <w:pPr>
        <w:rPr>
          <w:sz w:val="10"/>
          <w:szCs w:val="18"/>
        </w:rPr>
      </w:pPr>
    </w:p>
    <w:tbl>
      <w:tblPr>
        <w:tblW w:w="9197" w:type="dxa"/>
        <w:tblInd w:w="434" w:type="dxa"/>
        <w:tblLayout w:type="fixed"/>
        <w:tblLook w:val="0000" w:firstRow="0" w:lastRow="0" w:firstColumn="0" w:lastColumn="0" w:noHBand="0" w:noVBand="0"/>
      </w:tblPr>
      <w:tblGrid>
        <w:gridCol w:w="4598"/>
        <w:gridCol w:w="4599"/>
      </w:tblGrid>
      <w:tr w:rsidR="00B17046" w:rsidRPr="00B17046" w14:paraId="466DF0D6" w14:textId="77777777" w:rsidTr="002108FF">
        <w:tc>
          <w:tcPr>
            <w:tcW w:w="2500" w:type="pct"/>
            <w:tcBorders>
              <w:top w:val="nil"/>
              <w:left w:val="nil"/>
              <w:bottom w:val="nil"/>
              <w:right w:val="nil"/>
            </w:tcBorders>
          </w:tcPr>
          <w:p w14:paraId="6F4DB680" w14:textId="7EE1A3CE" w:rsidR="00B17046" w:rsidRPr="00B17046" w:rsidRDefault="00B17046" w:rsidP="007C207F">
            <w:pPr>
              <w:pStyle w:val="ListParagraph"/>
              <w:ind w:left="345"/>
              <w:jc w:val="both"/>
              <w:rPr>
                <w:sz w:val="18"/>
                <w:szCs w:val="18"/>
              </w:rPr>
            </w:pPr>
            <w:r>
              <w:rPr>
                <w:sz w:val="18"/>
                <w:szCs w:val="18"/>
              </w:rPr>
              <w:t>Semua utang kontaktor berdenominasi rupiah.</w:t>
            </w:r>
          </w:p>
        </w:tc>
        <w:tc>
          <w:tcPr>
            <w:tcW w:w="2500" w:type="pct"/>
            <w:tcBorders>
              <w:top w:val="nil"/>
              <w:left w:val="nil"/>
              <w:bottom w:val="nil"/>
              <w:right w:val="nil"/>
            </w:tcBorders>
          </w:tcPr>
          <w:p w14:paraId="135F3481" w14:textId="53924562" w:rsidR="00B17046" w:rsidRPr="00B17046" w:rsidRDefault="00B17046" w:rsidP="00B17046">
            <w:pPr>
              <w:pStyle w:val="ListParagraph"/>
              <w:ind w:left="288"/>
              <w:jc w:val="both"/>
              <w:rPr>
                <w:i/>
                <w:sz w:val="18"/>
                <w:szCs w:val="18"/>
              </w:rPr>
            </w:pPr>
            <w:r>
              <w:rPr>
                <w:i/>
                <w:sz w:val="18"/>
                <w:szCs w:val="18"/>
              </w:rPr>
              <w:t xml:space="preserve">All contractor payables were </w:t>
            </w:r>
            <w:r w:rsidR="006D6D65">
              <w:rPr>
                <w:i/>
                <w:sz w:val="18"/>
                <w:szCs w:val="18"/>
              </w:rPr>
              <w:t>de</w:t>
            </w:r>
            <w:r>
              <w:rPr>
                <w:i/>
                <w:sz w:val="18"/>
                <w:szCs w:val="18"/>
              </w:rPr>
              <w:t>nominated</w:t>
            </w:r>
            <w:r w:rsidR="006D6D65">
              <w:rPr>
                <w:i/>
                <w:sz w:val="18"/>
                <w:szCs w:val="18"/>
              </w:rPr>
              <w:t xml:space="preserve"> in rupiah.</w:t>
            </w:r>
            <w:r>
              <w:rPr>
                <w:i/>
                <w:sz w:val="18"/>
                <w:szCs w:val="18"/>
              </w:rPr>
              <w:t xml:space="preserve"> </w:t>
            </w:r>
          </w:p>
        </w:tc>
      </w:tr>
    </w:tbl>
    <w:p w14:paraId="2D7CAADA" w14:textId="2192A3A5" w:rsidR="006D6D65" w:rsidRPr="006D6D65" w:rsidRDefault="006D6D65" w:rsidP="0013526B">
      <w:pPr>
        <w:rPr>
          <w:sz w:val="12"/>
          <w:szCs w:val="18"/>
        </w:rPr>
      </w:pPr>
    </w:p>
    <w:tbl>
      <w:tblPr>
        <w:tblW w:w="9197" w:type="dxa"/>
        <w:tblInd w:w="434" w:type="dxa"/>
        <w:tblLook w:val="0000" w:firstRow="0" w:lastRow="0" w:firstColumn="0" w:lastColumn="0" w:noHBand="0" w:noVBand="0"/>
      </w:tblPr>
      <w:tblGrid>
        <w:gridCol w:w="4598"/>
        <w:gridCol w:w="4599"/>
      </w:tblGrid>
      <w:tr w:rsidR="00655BB9" w:rsidRPr="0013526B" w14:paraId="5382A581" w14:textId="77777777" w:rsidTr="002108FF">
        <w:tc>
          <w:tcPr>
            <w:tcW w:w="2500" w:type="pct"/>
            <w:tcBorders>
              <w:top w:val="nil"/>
              <w:left w:val="nil"/>
              <w:bottom w:val="nil"/>
              <w:right w:val="nil"/>
            </w:tcBorders>
          </w:tcPr>
          <w:p w14:paraId="3A65641E" w14:textId="77777777" w:rsidR="00655BB9" w:rsidRPr="0013526B" w:rsidRDefault="004F607A" w:rsidP="00070D1F">
            <w:pPr>
              <w:numPr>
                <w:ilvl w:val="0"/>
                <w:numId w:val="305"/>
              </w:numPr>
              <w:ind w:left="345" w:hanging="336"/>
              <w:jc w:val="both"/>
              <w:rPr>
                <w:b/>
                <w:caps/>
                <w:sz w:val="18"/>
                <w:szCs w:val="18"/>
              </w:rPr>
            </w:pPr>
            <w:r w:rsidRPr="0013526B">
              <w:rPr>
                <w:sz w:val="18"/>
                <w:szCs w:val="18"/>
              </w:rPr>
              <w:br w:type="page"/>
            </w:r>
            <w:r w:rsidR="00655BB9" w:rsidRPr="0013526B">
              <w:rPr>
                <w:b/>
                <w:caps/>
                <w:sz w:val="18"/>
                <w:szCs w:val="18"/>
              </w:rPr>
              <w:t>PERPAJAKAN</w:t>
            </w:r>
          </w:p>
        </w:tc>
        <w:tc>
          <w:tcPr>
            <w:tcW w:w="2500" w:type="pct"/>
            <w:tcBorders>
              <w:top w:val="nil"/>
              <w:left w:val="nil"/>
              <w:bottom w:val="nil"/>
              <w:right w:val="nil"/>
            </w:tcBorders>
          </w:tcPr>
          <w:p w14:paraId="5EBEA9BD" w14:textId="77777777" w:rsidR="00655BB9" w:rsidRPr="001F3DC1" w:rsidRDefault="00655BB9" w:rsidP="00070D1F">
            <w:pPr>
              <w:numPr>
                <w:ilvl w:val="0"/>
                <w:numId w:val="306"/>
              </w:numPr>
              <w:ind w:left="267" w:hanging="294"/>
              <w:jc w:val="both"/>
              <w:rPr>
                <w:b/>
                <w:i/>
                <w:caps/>
                <w:sz w:val="18"/>
                <w:szCs w:val="18"/>
              </w:rPr>
            </w:pPr>
            <w:r w:rsidRPr="001F3DC1">
              <w:rPr>
                <w:b/>
                <w:i/>
                <w:caps/>
                <w:sz w:val="18"/>
                <w:szCs w:val="18"/>
              </w:rPr>
              <w:t>TAXATION</w:t>
            </w:r>
          </w:p>
        </w:tc>
      </w:tr>
    </w:tbl>
    <w:p w14:paraId="7BB02436" w14:textId="77777777" w:rsidR="006D6D65" w:rsidRPr="00224D5A" w:rsidRDefault="006D6D65" w:rsidP="0013526B">
      <w:pPr>
        <w:rPr>
          <w:b/>
          <w:bCs w:val="0"/>
          <w:sz w:val="14"/>
          <w:szCs w:val="18"/>
        </w:rPr>
      </w:pPr>
    </w:p>
    <w:tbl>
      <w:tblPr>
        <w:tblW w:w="9197" w:type="dxa"/>
        <w:tblInd w:w="434" w:type="dxa"/>
        <w:tblLook w:val="0000" w:firstRow="0" w:lastRow="0" w:firstColumn="0" w:lastColumn="0" w:noHBand="0" w:noVBand="0"/>
      </w:tblPr>
      <w:tblGrid>
        <w:gridCol w:w="4598"/>
        <w:gridCol w:w="4599"/>
      </w:tblGrid>
      <w:tr w:rsidR="00903FCF" w:rsidRPr="001F3DC1" w14:paraId="303837B9" w14:textId="77777777" w:rsidTr="002108FF">
        <w:tc>
          <w:tcPr>
            <w:tcW w:w="2500" w:type="pct"/>
            <w:tcBorders>
              <w:top w:val="nil"/>
              <w:left w:val="nil"/>
              <w:bottom w:val="nil"/>
              <w:right w:val="nil"/>
            </w:tcBorders>
          </w:tcPr>
          <w:p w14:paraId="5EB4BB2E" w14:textId="3CA3746C" w:rsidR="00903FCF" w:rsidRPr="001F3DC1" w:rsidRDefault="006D6D65" w:rsidP="00070D1F">
            <w:pPr>
              <w:numPr>
                <w:ilvl w:val="0"/>
                <w:numId w:val="86"/>
              </w:numPr>
              <w:ind w:left="578" w:hanging="249"/>
              <w:jc w:val="both"/>
              <w:rPr>
                <w:bCs w:val="0"/>
                <w:sz w:val="18"/>
                <w:szCs w:val="18"/>
              </w:rPr>
            </w:pPr>
            <w:r w:rsidRPr="001F3DC1">
              <w:rPr>
                <w:bCs w:val="0"/>
                <w:sz w:val="18"/>
                <w:szCs w:val="18"/>
              </w:rPr>
              <w:t>Taksiran tagihan pajak penghasilan</w:t>
            </w:r>
          </w:p>
        </w:tc>
        <w:tc>
          <w:tcPr>
            <w:tcW w:w="2500" w:type="pct"/>
            <w:tcBorders>
              <w:top w:val="nil"/>
              <w:left w:val="nil"/>
              <w:bottom w:val="nil"/>
              <w:right w:val="nil"/>
            </w:tcBorders>
          </w:tcPr>
          <w:p w14:paraId="567DB93D" w14:textId="64F8E733" w:rsidR="00903FCF" w:rsidRPr="001F3DC1" w:rsidRDefault="006D6D65" w:rsidP="00070D1F">
            <w:pPr>
              <w:widowControl w:val="0"/>
              <w:numPr>
                <w:ilvl w:val="0"/>
                <w:numId w:val="87"/>
              </w:numPr>
              <w:autoSpaceDE w:val="0"/>
              <w:autoSpaceDN w:val="0"/>
              <w:adjustRightInd w:val="0"/>
              <w:ind w:left="568" w:hanging="284"/>
              <w:jc w:val="both"/>
              <w:rPr>
                <w:bCs w:val="0"/>
                <w:i/>
                <w:iCs/>
                <w:spacing w:val="-1"/>
                <w:sz w:val="18"/>
                <w:szCs w:val="18"/>
              </w:rPr>
            </w:pPr>
            <w:r w:rsidRPr="001F3DC1">
              <w:rPr>
                <w:bCs w:val="0"/>
                <w:i/>
                <w:iCs/>
                <w:spacing w:val="-1"/>
                <w:sz w:val="18"/>
                <w:szCs w:val="18"/>
              </w:rPr>
              <w:t>Estimated claim for tax refund</w:t>
            </w:r>
          </w:p>
        </w:tc>
      </w:tr>
    </w:tbl>
    <w:p w14:paraId="453300CB" w14:textId="77777777" w:rsidR="00224D5A" w:rsidRPr="00224D5A" w:rsidRDefault="00224D5A">
      <w:pPr>
        <w:rPr>
          <w:sz w:val="14"/>
        </w:rPr>
      </w:pPr>
    </w:p>
    <w:tbl>
      <w:tblPr>
        <w:tblW w:w="9141" w:type="dxa"/>
        <w:tblInd w:w="434" w:type="dxa"/>
        <w:tblLayout w:type="fixed"/>
        <w:tblCellMar>
          <w:left w:w="0" w:type="dxa"/>
          <w:right w:w="0" w:type="dxa"/>
        </w:tblCellMar>
        <w:tblLook w:val="01E0" w:firstRow="1" w:lastRow="1" w:firstColumn="1" w:lastColumn="1" w:noHBand="0" w:noVBand="0"/>
      </w:tblPr>
      <w:tblGrid>
        <w:gridCol w:w="2874"/>
        <w:gridCol w:w="1667"/>
        <w:gridCol w:w="115"/>
        <w:gridCol w:w="1667"/>
        <w:gridCol w:w="2818"/>
      </w:tblGrid>
      <w:tr w:rsidR="001808CD" w:rsidRPr="00C90382" w14:paraId="6C52EA1E" w14:textId="77777777" w:rsidTr="002108FF">
        <w:trPr>
          <w:trHeight w:val="20"/>
        </w:trPr>
        <w:tc>
          <w:tcPr>
            <w:tcW w:w="2874" w:type="dxa"/>
          </w:tcPr>
          <w:p w14:paraId="3994E009" w14:textId="77777777" w:rsidR="001808CD" w:rsidRPr="00C90382" w:rsidRDefault="001808CD" w:rsidP="001808CD">
            <w:pPr>
              <w:ind w:left="113"/>
              <w:rPr>
                <w:sz w:val="18"/>
                <w:szCs w:val="18"/>
              </w:rPr>
            </w:pPr>
          </w:p>
        </w:tc>
        <w:tc>
          <w:tcPr>
            <w:tcW w:w="1667" w:type="dxa"/>
            <w:tcBorders>
              <w:bottom w:val="single" w:sz="4" w:space="0" w:color="auto"/>
            </w:tcBorders>
          </w:tcPr>
          <w:p w14:paraId="73E55481" w14:textId="77777777" w:rsidR="001808CD" w:rsidRDefault="001808CD" w:rsidP="001808CD">
            <w:pPr>
              <w:jc w:val="center"/>
              <w:rPr>
                <w:b/>
                <w:sz w:val="18"/>
                <w:szCs w:val="18"/>
              </w:rPr>
            </w:pPr>
            <w:r>
              <w:rPr>
                <w:b/>
                <w:sz w:val="18"/>
                <w:szCs w:val="18"/>
              </w:rPr>
              <w:t>31 Maret/</w:t>
            </w:r>
          </w:p>
          <w:p w14:paraId="1F639ECD" w14:textId="40BB4F3A" w:rsidR="001808CD" w:rsidRPr="00C90382" w:rsidRDefault="001808CD" w:rsidP="001808CD">
            <w:pPr>
              <w:jc w:val="center"/>
              <w:rPr>
                <w:b/>
                <w:sz w:val="18"/>
                <w:szCs w:val="18"/>
              </w:rPr>
            </w:pPr>
            <w:r>
              <w:rPr>
                <w:b/>
                <w:sz w:val="18"/>
                <w:szCs w:val="18"/>
              </w:rPr>
              <w:t>March 31</w:t>
            </w:r>
            <w:r w:rsidR="00305CA0">
              <w:rPr>
                <w:b/>
                <w:sz w:val="18"/>
                <w:szCs w:val="18"/>
              </w:rPr>
              <w:t>.</w:t>
            </w:r>
            <w:r>
              <w:rPr>
                <w:b/>
                <w:sz w:val="18"/>
                <w:szCs w:val="18"/>
              </w:rPr>
              <w:t xml:space="preserve"> 2020</w:t>
            </w:r>
          </w:p>
        </w:tc>
        <w:tc>
          <w:tcPr>
            <w:tcW w:w="115" w:type="dxa"/>
          </w:tcPr>
          <w:p w14:paraId="4BCFD6AB" w14:textId="77777777" w:rsidR="001808CD" w:rsidRPr="00C90382" w:rsidRDefault="001808CD" w:rsidP="001808CD">
            <w:pPr>
              <w:jc w:val="center"/>
              <w:rPr>
                <w:b/>
                <w:sz w:val="18"/>
                <w:szCs w:val="18"/>
              </w:rPr>
            </w:pPr>
          </w:p>
        </w:tc>
        <w:tc>
          <w:tcPr>
            <w:tcW w:w="1667" w:type="dxa"/>
            <w:tcBorders>
              <w:bottom w:val="single" w:sz="4" w:space="0" w:color="auto"/>
            </w:tcBorders>
          </w:tcPr>
          <w:p w14:paraId="62F59393" w14:textId="77777777" w:rsidR="001808CD" w:rsidRDefault="001808CD" w:rsidP="001808CD">
            <w:pPr>
              <w:jc w:val="center"/>
              <w:rPr>
                <w:b/>
                <w:sz w:val="18"/>
                <w:szCs w:val="18"/>
              </w:rPr>
            </w:pPr>
            <w:r>
              <w:rPr>
                <w:b/>
                <w:sz w:val="18"/>
                <w:szCs w:val="18"/>
              </w:rPr>
              <w:t>31 Desember/</w:t>
            </w:r>
          </w:p>
          <w:p w14:paraId="7F6B40CC" w14:textId="2F1FC522" w:rsidR="001808CD" w:rsidRPr="00C90382" w:rsidRDefault="001808CD" w:rsidP="001808CD">
            <w:pPr>
              <w:jc w:val="center"/>
              <w:rPr>
                <w:b/>
                <w:sz w:val="18"/>
                <w:szCs w:val="18"/>
              </w:rPr>
            </w:pPr>
            <w:r>
              <w:rPr>
                <w:b/>
                <w:sz w:val="18"/>
                <w:szCs w:val="18"/>
              </w:rPr>
              <w:t>December 31</w:t>
            </w:r>
            <w:r w:rsidR="00305CA0">
              <w:rPr>
                <w:b/>
                <w:sz w:val="18"/>
                <w:szCs w:val="18"/>
              </w:rPr>
              <w:t>.</w:t>
            </w:r>
            <w:r>
              <w:rPr>
                <w:b/>
                <w:sz w:val="18"/>
                <w:szCs w:val="18"/>
              </w:rPr>
              <w:t xml:space="preserve"> </w:t>
            </w:r>
            <w:r w:rsidRPr="0013526B">
              <w:rPr>
                <w:b/>
                <w:sz w:val="18"/>
                <w:szCs w:val="18"/>
              </w:rPr>
              <w:t>201</w:t>
            </w:r>
            <w:r>
              <w:rPr>
                <w:b/>
                <w:sz w:val="18"/>
                <w:szCs w:val="18"/>
              </w:rPr>
              <w:t>9</w:t>
            </w:r>
          </w:p>
        </w:tc>
        <w:tc>
          <w:tcPr>
            <w:tcW w:w="2818" w:type="dxa"/>
          </w:tcPr>
          <w:p w14:paraId="50A1DAC7" w14:textId="77777777" w:rsidR="001808CD" w:rsidRPr="00C90382" w:rsidRDefault="001808CD" w:rsidP="001808CD">
            <w:pPr>
              <w:ind w:right="34"/>
              <w:jc w:val="right"/>
              <w:rPr>
                <w:i/>
                <w:sz w:val="18"/>
                <w:szCs w:val="18"/>
              </w:rPr>
            </w:pPr>
          </w:p>
        </w:tc>
      </w:tr>
      <w:tr w:rsidR="00224D5A" w:rsidRPr="00C90382" w14:paraId="0E4D00F7" w14:textId="77777777" w:rsidTr="002108FF">
        <w:trPr>
          <w:trHeight w:val="20"/>
        </w:trPr>
        <w:tc>
          <w:tcPr>
            <w:tcW w:w="2874" w:type="dxa"/>
          </w:tcPr>
          <w:p w14:paraId="43EC7B55" w14:textId="77777777" w:rsidR="00224D5A" w:rsidRPr="00C90382" w:rsidRDefault="00224D5A" w:rsidP="007111D9">
            <w:pPr>
              <w:ind w:left="461"/>
              <w:rPr>
                <w:sz w:val="18"/>
                <w:szCs w:val="18"/>
              </w:rPr>
            </w:pPr>
          </w:p>
        </w:tc>
        <w:tc>
          <w:tcPr>
            <w:tcW w:w="1667" w:type="dxa"/>
            <w:tcBorders>
              <w:top w:val="single" w:sz="4" w:space="0" w:color="auto"/>
            </w:tcBorders>
            <w:vAlign w:val="bottom"/>
          </w:tcPr>
          <w:p w14:paraId="62443E39" w14:textId="77777777" w:rsidR="00224D5A" w:rsidRPr="00C90382" w:rsidRDefault="00224D5A" w:rsidP="007111D9">
            <w:pPr>
              <w:ind w:left="28" w:right="28"/>
              <w:jc w:val="right"/>
              <w:rPr>
                <w:sz w:val="18"/>
                <w:szCs w:val="18"/>
              </w:rPr>
            </w:pPr>
          </w:p>
        </w:tc>
        <w:tc>
          <w:tcPr>
            <w:tcW w:w="115" w:type="dxa"/>
            <w:vAlign w:val="bottom"/>
          </w:tcPr>
          <w:p w14:paraId="6F140272" w14:textId="77777777" w:rsidR="00224D5A" w:rsidRPr="00C90382" w:rsidRDefault="00224D5A" w:rsidP="007111D9">
            <w:pPr>
              <w:ind w:left="28" w:right="28"/>
              <w:jc w:val="right"/>
              <w:rPr>
                <w:sz w:val="18"/>
                <w:szCs w:val="18"/>
              </w:rPr>
            </w:pPr>
          </w:p>
        </w:tc>
        <w:tc>
          <w:tcPr>
            <w:tcW w:w="1667" w:type="dxa"/>
            <w:tcBorders>
              <w:top w:val="single" w:sz="4" w:space="0" w:color="auto"/>
            </w:tcBorders>
            <w:vAlign w:val="bottom"/>
          </w:tcPr>
          <w:p w14:paraId="6DAEC546" w14:textId="77777777" w:rsidR="00224D5A" w:rsidRPr="00C90382" w:rsidRDefault="00224D5A" w:rsidP="007111D9">
            <w:pPr>
              <w:ind w:left="28" w:right="28"/>
              <w:jc w:val="right"/>
              <w:rPr>
                <w:sz w:val="18"/>
                <w:szCs w:val="18"/>
              </w:rPr>
            </w:pPr>
          </w:p>
        </w:tc>
        <w:tc>
          <w:tcPr>
            <w:tcW w:w="2818" w:type="dxa"/>
          </w:tcPr>
          <w:p w14:paraId="64D303FE" w14:textId="77777777" w:rsidR="00224D5A" w:rsidRPr="00C90382" w:rsidRDefault="00224D5A" w:rsidP="007111D9">
            <w:pPr>
              <w:ind w:right="57"/>
              <w:jc w:val="right"/>
              <w:rPr>
                <w:i/>
                <w:sz w:val="18"/>
                <w:szCs w:val="18"/>
              </w:rPr>
            </w:pPr>
          </w:p>
        </w:tc>
      </w:tr>
      <w:tr w:rsidR="006D6D65" w:rsidRPr="00E71189" w14:paraId="38B4078D" w14:textId="77777777" w:rsidTr="002108FF">
        <w:trPr>
          <w:trHeight w:val="70"/>
        </w:trPr>
        <w:tc>
          <w:tcPr>
            <w:tcW w:w="2874" w:type="dxa"/>
          </w:tcPr>
          <w:p w14:paraId="3B2AC777" w14:textId="50C3F5A0" w:rsidR="006D6D65" w:rsidRPr="00E71189" w:rsidRDefault="00C90382" w:rsidP="002108FF">
            <w:pPr>
              <w:ind w:left="718"/>
              <w:rPr>
                <w:sz w:val="18"/>
                <w:szCs w:val="18"/>
                <w:lang w:val="en-ID"/>
              </w:rPr>
            </w:pPr>
            <w:r w:rsidRPr="00E71189">
              <w:rPr>
                <w:sz w:val="18"/>
                <w:szCs w:val="18"/>
                <w:lang w:val="en-ID"/>
              </w:rPr>
              <w:t>Tahun pajak 201</w:t>
            </w:r>
            <w:r w:rsidR="00411013">
              <w:rPr>
                <w:sz w:val="18"/>
                <w:szCs w:val="18"/>
                <w:lang w:val="en-ID"/>
              </w:rPr>
              <w:t>8</w:t>
            </w:r>
          </w:p>
        </w:tc>
        <w:tc>
          <w:tcPr>
            <w:tcW w:w="1667" w:type="dxa"/>
            <w:shd w:val="clear" w:color="auto" w:fill="auto"/>
            <w:vAlign w:val="bottom"/>
          </w:tcPr>
          <w:p w14:paraId="733301DC" w14:textId="1272DF7A" w:rsidR="006D6D65" w:rsidRPr="0008086C" w:rsidRDefault="00BD7525" w:rsidP="007111D9">
            <w:pPr>
              <w:ind w:right="57"/>
              <w:jc w:val="right"/>
              <w:rPr>
                <w:sz w:val="18"/>
                <w:szCs w:val="18"/>
              </w:rPr>
            </w:pPr>
            <w:r w:rsidRPr="0008086C">
              <w:rPr>
                <w:sz w:val="18"/>
                <w:szCs w:val="18"/>
              </w:rPr>
              <w:t>1.733.080.113</w:t>
            </w:r>
          </w:p>
        </w:tc>
        <w:tc>
          <w:tcPr>
            <w:tcW w:w="115" w:type="dxa"/>
            <w:vAlign w:val="bottom"/>
          </w:tcPr>
          <w:p w14:paraId="06DB48C4" w14:textId="77777777" w:rsidR="006D6D65" w:rsidRPr="0008086C" w:rsidRDefault="006D6D65" w:rsidP="007111D9">
            <w:pPr>
              <w:ind w:right="57"/>
              <w:jc w:val="right"/>
              <w:rPr>
                <w:sz w:val="18"/>
                <w:szCs w:val="18"/>
              </w:rPr>
            </w:pPr>
          </w:p>
        </w:tc>
        <w:tc>
          <w:tcPr>
            <w:tcW w:w="1667" w:type="dxa"/>
            <w:vAlign w:val="bottom"/>
          </w:tcPr>
          <w:p w14:paraId="258333CA" w14:textId="61A2AFEF" w:rsidR="006D6D65" w:rsidRPr="0008086C" w:rsidRDefault="006D6D65" w:rsidP="007111D9">
            <w:pPr>
              <w:ind w:right="57"/>
              <w:jc w:val="right"/>
              <w:rPr>
                <w:sz w:val="18"/>
                <w:szCs w:val="18"/>
              </w:rPr>
            </w:pPr>
            <w:r w:rsidRPr="0008086C">
              <w:rPr>
                <w:sz w:val="18"/>
                <w:szCs w:val="18"/>
              </w:rPr>
              <w:t>1.733.080.113</w:t>
            </w:r>
          </w:p>
        </w:tc>
        <w:tc>
          <w:tcPr>
            <w:tcW w:w="2818" w:type="dxa"/>
            <w:vAlign w:val="bottom"/>
          </w:tcPr>
          <w:p w14:paraId="356682C8" w14:textId="516FA495" w:rsidR="006D6D65" w:rsidRPr="00E71189" w:rsidRDefault="006D6D65" w:rsidP="007111D9">
            <w:pPr>
              <w:pStyle w:val="BodyTextIndent3"/>
              <w:tabs>
                <w:tab w:val="left" w:pos="336"/>
              </w:tabs>
              <w:ind w:left="0" w:right="57" w:firstLine="0"/>
              <w:jc w:val="right"/>
              <w:rPr>
                <w:i/>
                <w:sz w:val="18"/>
                <w:szCs w:val="18"/>
                <w:lang w:val="en-ID"/>
              </w:rPr>
            </w:pPr>
            <w:r w:rsidRPr="00E71189">
              <w:rPr>
                <w:i/>
                <w:sz w:val="18"/>
                <w:szCs w:val="18"/>
                <w:lang w:val="en-ID"/>
              </w:rPr>
              <w:t>Fiscal year 201</w:t>
            </w:r>
            <w:r w:rsidR="00411013">
              <w:rPr>
                <w:i/>
                <w:sz w:val="18"/>
                <w:szCs w:val="18"/>
                <w:lang w:val="en-ID"/>
              </w:rPr>
              <w:t>8</w:t>
            </w:r>
          </w:p>
        </w:tc>
      </w:tr>
      <w:tr w:rsidR="006D6D65" w:rsidRPr="00E71189" w14:paraId="11C6C958" w14:textId="77777777" w:rsidTr="002108FF">
        <w:trPr>
          <w:trHeight w:val="70"/>
        </w:trPr>
        <w:tc>
          <w:tcPr>
            <w:tcW w:w="2874" w:type="dxa"/>
          </w:tcPr>
          <w:p w14:paraId="242349CA" w14:textId="77777777" w:rsidR="006D6D65" w:rsidRPr="00E71189" w:rsidRDefault="006D6D65" w:rsidP="006B1D26">
            <w:pPr>
              <w:ind w:left="744" w:hanging="142"/>
              <w:rPr>
                <w:sz w:val="18"/>
                <w:szCs w:val="18"/>
              </w:rPr>
            </w:pPr>
          </w:p>
        </w:tc>
        <w:tc>
          <w:tcPr>
            <w:tcW w:w="1667" w:type="dxa"/>
            <w:tcBorders>
              <w:top w:val="single" w:sz="4" w:space="0" w:color="auto"/>
            </w:tcBorders>
            <w:shd w:val="clear" w:color="auto" w:fill="auto"/>
            <w:vAlign w:val="bottom"/>
          </w:tcPr>
          <w:p w14:paraId="78D2905D" w14:textId="77777777" w:rsidR="006D6D65" w:rsidRPr="00E71189" w:rsidRDefault="006D6D65" w:rsidP="007111D9">
            <w:pPr>
              <w:ind w:right="57"/>
              <w:jc w:val="right"/>
              <w:rPr>
                <w:sz w:val="18"/>
                <w:szCs w:val="18"/>
              </w:rPr>
            </w:pPr>
          </w:p>
        </w:tc>
        <w:tc>
          <w:tcPr>
            <w:tcW w:w="115" w:type="dxa"/>
            <w:vAlign w:val="bottom"/>
          </w:tcPr>
          <w:p w14:paraId="40F932A7" w14:textId="77777777" w:rsidR="006D6D65" w:rsidRPr="00E71189" w:rsidRDefault="006D6D65" w:rsidP="007111D9">
            <w:pPr>
              <w:ind w:right="57"/>
              <w:jc w:val="right"/>
              <w:rPr>
                <w:sz w:val="18"/>
                <w:szCs w:val="18"/>
              </w:rPr>
            </w:pPr>
          </w:p>
        </w:tc>
        <w:tc>
          <w:tcPr>
            <w:tcW w:w="1667" w:type="dxa"/>
            <w:tcBorders>
              <w:top w:val="single" w:sz="4" w:space="0" w:color="auto"/>
            </w:tcBorders>
            <w:vAlign w:val="bottom"/>
          </w:tcPr>
          <w:p w14:paraId="3318F5AE" w14:textId="77777777" w:rsidR="006D6D65" w:rsidRPr="00E71189" w:rsidRDefault="006D6D65" w:rsidP="007111D9">
            <w:pPr>
              <w:ind w:right="57"/>
              <w:jc w:val="right"/>
              <w:rPr>
                <w:sz w:val="18"/>
                <w:szCs w:val="18"/>
              </w:rPr>
            </w:pPr>
          </w:p>
        </w:tc>
        <w:tc>
          <w:tcPr>
            <w:tcW w:w="2818" w:type="dxa"/>
            <w:vAlign w:val="bottom"/>
          </w:tcPr>
          <w:p w14:paraId="5F95D2D9" w14:textId="77777777" w:rsidR="006D6D65" w:rsidRPr="00E71189" w:rsidRDefault="006D6D65" w:rsidP="007111D9">
            <w:pPr>
              <w:pStyle w:val="BodyTextIndent3"/>
              <w:tabs>
                <w:tab w:val="left" w:pos="336"/>
              </w:tabs>
              <w:ind w:left="0" w:right="57" w:firstLine="0"/>
              <w:jc w:val="right"/>
              <w:rPr>
                <w:i/>
                <w:sz w:val="18"/>
                <w:szCs w:val="18"/>
                <w:lang w:val="en-US"/>
              </w:rPr>
            </w:pPr>
          </w:p>
        </w:tc>
      </w:tr>
      <w:tr w:rsidR="006D6D65" w:rsidRPr="00E71189" w14:paraId="21F88463" w14:textId="77777777" w:rsidTr="002108FF">
        <w:trPr>
          <w:trHeight w:val="70"/>
        </w:trPr>
        <w:tc>
          <w:tcPr>
            <w:tcW w:w="2874" w:type="dxa"/>
          </w:tcPr>
          <w:p w14:paraId="1226E7C6" w14:textId="77777777" w:rsidR="006D6D65" w:rsidRPr="002C3718" w:rsidRDefault="006D6D65" w:rsidP="002108FF">
            <w:pPr>
              <w:ind w:left="718"/>
              <w:rPr>
                <w:b/>
                <w:bCs w:val="0"/>
                <w:sz w:val="18"/>
                <w:szCs w:val="18"/>
              </w:rPr>
            </w:pPr>
            <w:r w:rsidRPr="002C3718">
              <w:rPr>
                <w:b/>
                <w:bCs w:val="0"/>
                <w:sz w:val="18"/>
                <w:szCs w:val="18"/>
                <w:lang w:val="en-ID"/>
              </w:rPr>
              <w:t>Jumlah</w:t>
            </w:r>
            <w:r w:rsidRPr="002C3718">
              <w:rPr>
                <w:b/>
                <w:bCs w:val="0"/>
                <w:sz w:val="18"/>
                <w:szCs w:val="18"/>
              </w:rPr>
              <w:t xml:space="preserve"> </w:t>
            </w:r>
          </w:p>
        </w:tc>
        <w:tc>
          <w:tcPr>
            <w:tcW w:w="1667" w:type="dxa"/>
            <w:tcBorders>
              <w:bottom w:val="double" w:sz="4" w:space="0" w:color="auto"/>
            </w:tcBorders>
            <w:shd w:val="clear" w:color="auto" w:fill="auto"/>
            <w:vAlign w:val="bottom"/>
          </w:tcPr>
          <w:p w14:paraId="7996503F" w14:textId="7722F593" w:rsidR="006D6D65" w:rsidRPr="00E71189" w:rsidRDefault="00BD7525" w:rsidP="007111D9">
            <w:pPr>
              <w:ind w:right="57"/>
              <w:jc w:val="right"/>
              <w:rPr>
                <w:b/>
                <w:bCs w:val="0"/>
                <w:sz w:val="18"/>
                <w:szCs w:val="18"/>
              </w:rPr>
            </w:pPr>
            <w:r w:rsidRPr="00E71189">
              <w:rPr>
                <w:b/>
                <w:sz w:val="18"/>
                <w:szCs w:val="18"/>
              </w:rPr>
              <w:t>1.733.080.113</w:t>
            </w:r>
          </w:p>
        </w:tc>
        <w:tc>
          <w:tcPr>
            <w:tcW w:w="115" w:type="dxa"/>
            <w:vAlign w:val="bottom"/>
          </w:tcPr>
          <w:p w14:paraId="16917F5E" w14:textId="77777777" w:rsidR="006D6D65" w:rsidRPr="00E71189" w:rsidRDefault="006D6D65" w:rsidP="007111D9">
            <w:pPr>
              <w:ind w:right="57"/>
              <w:jc w:val="right"/>
              <w:rPr>
                <w:b/>
                <w:bCs w:val="0"/>
                <w:sz w:val="18"/>
                <w:szCs w:val="18"/>
              </w:rPr>
            </w:pPr>
          </w:p>
        </w:tc>
        <w:tc>
          <w:tcPr>
            <w:tcW w:w="1667" w:type="dxa"/>
            <w:tcBorders>
              <w:bottom w:val="double" w:sz="4" w:space="0" w:color="auto"/>
            </w:tcBorders>
            <w:vAlign w:val="bottom"/>
          </w:tcPr>
          <w:p w14:paraId="66D00400" w14:textId="2F7D5B43" w:rsidR="006D6D65" w:rsidRPr="00E71189" w:rsidRDefault="00BD7525" w:rsidP="007111D9">
            <w:pPr>
              <w:ind w:right="57"/>
              <w:jc w:val="right"/>
              <w:rPr>
                <w:b/>
                <w:bCs w:val="0"/>
                <w:sz w:val="18"/>
                <w:szCs w:val="18"/>
              </w:rPr>
            </w:pPr>
            <w:r w:rsidRPr="00E71189">
              <w:rPr>
                <w:b/>
                <w:sz w:val="18"/>
                <w:szCs w:val="18"/>
              </w:rPr>
              <w:t>1.733.080.113</w:t>
            </w:r>
          </w:p>
        </w:tc>
        <w:tc>
          <w:tcPr>
            <w:tcW w:w="2818" w:type="dxa"/>
            <w:vAlign w:val="bottom"/>
          </w:tcPr>
          <w:p w14:paraId="55365F72" w14:textId="77777777" w:rsidR="006D6D65" w:rsidRPr="00E71189" w:rsidRDefault="006D6D65" w:rsidP="007111D9">
            <w:pPr>
              <w:pStyle w:val="BodyTextIndent3"/>
              <w:tabs>
                <w:tab w:val="left" w:pos="336"/>
              </w:tabs>
              <w:ind w:left="0" w:right="57" w:firstLine="0"/>
              <w:jc w:val="right"/>
              <w:rPr>
                <w:b/>
                <w:i/>
                <w:sz w:val="18"/>
                <w:szCs w:val="18"/>
                <w:lang w:val="en-US"/>
              </w:rPr>
            </w:pPr>
            <w:r w:rsidRPr="00E71189">
              <w:rPr>
                <w:b/>
                <w:i/>
                <w:sz w:val="18"/>
                <w:szCs w:val="18"/>
                <w:lang w:val="en-US"/>
              </w:rPr>
              <w:t xml:space="preserve">Total </w:t>
            </w:r>
          </w:p>
        </w:tc>
      </w:tr>
    </w:tbl>
    <w:p w14:paraId="33E37F3C" w14:textId="77777777" w:rsidR="00224D5A" w:rsidRPr="00E71189" w:rsidRDefault="00224D5A">
      <w:pPr>
        <w:rPr>
          <w:sz w:val="10"/>
        </w:rPr>
      </w:pPr>
    </w:p>
    <w:tbl>
      <w:tblPr>
        <w:tblW w:w="4603" w:type="pct"/>
        <w:tblInd w:w="420" w:type="dxa"/>
        <w:tblLook w:val="0000" w:firstRow="0" w:lastRow="0" w:firstColumn="0" w:lastColumn="0" w:noHBand="0" w:noVBand="0"/>
      </w:tblPr>
      <w:tblGrid>
        <w:gridCol w:w="4609"/>
        <w:gridCol w:w="4579"/>
      </w:tblGrid>
      <w:tr w:rsidR="001F7F94" w:rsidRPr="00E71189" w14:paraId="1C88D87C" w14:textId="77777777" w:rsidTr="002108FF">
        <w:trPr>
          <w:trHeight w:val="100"/>
        </w:trPr>
        <w:tc>
          <w:tcPr>
            <w:tcW w:w="2508" w:type="pct"/>
            <w:tcBorders>
              <w:top w:val="nil"/>
              <w:left w:val="nil"/>
              <w:bottom w:val="nil"/>
              <w:right w:val="nil"/>
            </w:tcBorders>
          </w:tcPr>
          <w:p w14:paraId="5999BF55" w14:textId="47BDC418" w:rsidR="001F7F94" w:rsidRPr="00E71189" w:rsidRDefault="00382023" w:rsidP="00070D1F">
            <w:pPr>
              <w:numPr>
                <w:ilvl w:val="0"/>
                <w:numId w:val="86"/>
              </w:numPr>
              <w:ind w:left="578" w:hanging="249"/>
              <w:jc w:val="both"/>
              <w:rPr>
                <w:bCs w:val="0"/>
                <w:sz w:val="18"/>
                <w:szCs w:val="18"/>
              </w:rPr>
            </w:pPr>
            <w:r w:rsidRPr="00E71189">
              <w:rPr>
                <w:bCs w:val="0"/>
                <w:sz w:val="18"/>
                <w:szCs w:val="18"/>
              </w:rPr>
              <w:t>Pajak Dibayar Dimuka</w:t>
            </w:r>
          </w:p>
        </w:tc>
        <w:tc>
          <w:tcPr>
            <w:tcW w:w="2492" w:type="pct"/>
            <w:tcBorders>
              <w:top w:val="nil"/>
              <w:left w:val="nil"/>
              <w:bottom w:val="nil"/>
              <w:right w:val="nil"/>
            </w:tcBorders>
          </w:tcPr>
          <w:p w14:paraId="7A4DFA50" w14:textId="6E371FDA" w:rsidR="001F7F94" w:rsidRPr="002C3718" w:rsidRDefault="00382023" w:rsidP="00070D1F">
            <w:pPr>
              <w:widowControl w:val="0"/>
              <w:numPr>
                <w:ilvl w:val="0"/>
                <w:numId w:val="87"/>
              </w:numPr>
              <w:autoSpaceDE w:val="0"/>
              <w:autoSpaceDN w:val="0"/>
              <w:adjustRightInd w:val="0"/>
              <w:ind w:left="568" w:hanging="284"/>
              <w:jc w:val="both"/>
              <w:rPr>
                <w:bCs w:val="0"/>
                <w:i/>
                <w:iCs/>
                <w:sz w:val="18"/>
                <w:szCs w:val="18"/>
              </w:rPr>
            </w:pPr>
            <w:r w:rsidRPr="002C3718">
              <w:rPr>
                <w:bCs w:val="0"/>
                <w:i/>
                <w:iCs/>
                <w:spacing w:val="-1"/>
                <w:sz w:val="18"/>
                <w:szCs w:val="18"/>
              </w:rPr>
              <w:t>Prepaid</w:t>
            </w:r>
            <w:r w:rsidRPr="002C3718">
              <w:rPr>
                <w:bCs w:val="0"/>
                <w:i/>
                <w:iCs/>
                <w:sz w:val="18"/>
                <w:szCs w:val="18"/>
              </w:rPr>
              <w:t xml:space="preserve"> Tax</w:t>
            </w:r>
          </w:p>
        </w:tc>
      </w:tr>
    </w:tbl>
    <w:p w14:paraId="3741366F" w14:textId="77777777" w:rsidR="001F7F94" w:rsidRPr="00E71189" w:rsidRDefault="001F7F94">
      <w:pPr>
        <w:rPr>
          <w:sz w:val="14"/>
          <w:szCs w:val="14"/>
        </w:rPr>
      </w:pPr>
    </w:p>
    <w:tbl>
      <w:tblPr>
        <w:tblW w:w="9197" w:type="dxa"/>
        <w:tblInd w:w="420" w:type="dxa"/>
        <w:tblLayout w:type="fixed"/>
        <w:tblCellMar>
          <w:left w:w="0" w:type="dxa"/>
          <w:right w:w="0" w:type="dxa"/>
        </w:tblCellMar>
        <w:tblLook w:val="01E0" w:firstRow="1" w:lastRow="1" w:firstColumn="1" w:lastColumn="1" w:noHBand="0" w:noVBand="0"/>
      </w:tblPr>
      <w:tblGrid>
        <w:gridCol w:w="2875"/>
        <w:gridCol w:w="1667"/>
        <w:gridCol w:w="115"/>
        <w:gridCol w:w="1666"/>
        <w:gridCol w:w="2874"/>
      </w:tblGrid>
      <w:tr w:rsidR="0052367A" w:rsidRPr="00E71189" w14:paraId="04C42D36" w14:textId="77777777" w:rsidTr="002108FF">
        <w:trPr>
          <w:trHeight w:val="20"/>
        </w:trPr>
        <w:tc>
          <w:tcPr>
            <w:tcW w:w="2875" w:type="dxa"/>
          </w:tcPr>
          <w:p w14:paraId="3F9D3EA6" w14:textId="77777777" w:rsidR="0052367A" w:rsidRPr="00E71189" w:rsidRDefault="0052367A" w:rsidP="0052367A">
            <w:pPr>
              <w:ind w:left="113"/>
              <w:rPr>
                <w:sz w:val="18"/>
                <w:szCs w:val="18"/>
              </w:rPr>
            </w:pPr>
          </w:p>
        </w:tc>
        <w:tc>
          <w:tcPr>
            <w:tcW w:w="1667" w:type="dxa"/>
            <w:tcBorders>
              <w:bottom w:val="single" w:sz="4" w:space="0" w:color="auto"/>
            </w:tcBorders>
          </w:tcPr>
          <w:p w14:paraId="7F866ED6" w14:textId="77777777" w:rsidR="0052367A" w:rsidRDefault="0052367A" w:rsidP="0052367A">
            <w:pPr>
              <w:jc w:val="center"/>
              <w:rPr>
                <w:b/>
                <w:sz w:val="18"/>
                <w:szCs w:val="18"/>
              </w:rPr>
            </w:pPr>
            <w:r>
              <w:rPr>
                <w:b/>
                <w:sz w:val="18"/>
                <w:szCs w:val="18"/>
              </w:rPr>
              <w:t>31 Maret/</w:t>
            </w:r>
          </w:p>
          <w:p w14:paraId="0E7929AB" w14:textId="06896746" w:rsidR="0052367A" w:rsidRPr="00E71189" w:rsidRDefault="0052367A" w:rsidP="0052367A">
            <w:pPr>
              <w:jc w:val="center"/>
              <w:rPr>
                <w:b/>
                <w:sz w:val="18"/>
                <w:szCs w:val="18"/>
              </w:rPr>
            </w:pPr>
            <w:r>
              <w:rPr>
                <w:b/>
                <w:sz w:val="18"/>
                <w:szCs w:val="18"/>
              </w:rPr>
              <w:t>March 31</w:t>
            </w:r>
            <w:r w:rsidR="00305CA0">
              <w:rPr>
                <w:b/>
                <w:sz w:val="18"/>
                <w:szCs w:val="18"/>
              </w:rPr>
              <w:t>.</w:t>
            </w:r>
            <w:r>
              <w:rPr>
                <w:b/>
                <w:sz w:val="18"/>
                <w:szCs w:val="18"/>
              </w:rPr>
              <w:t xml:space="preserve"> 2020</w:t>
            </w:r>
          </w:p>
        </w:tc>
        <w:tc>
          <w:tcPr>
            <w:tcW w:w="115" w:type="dxa"/>
          </w:tcPr>
          <w:p w14:paraId="594043E9" w14:textId="77777777" w:rsidR="0052367A" w:rsidRPr="00E71189" w:rsidRDefault="0052367A" w:rsidP="0052367A">
            <w:pPr>
              <w:jc w:val="center"/>
              <w:rPr>
                <w:b/>
                <w:sz w:val="18"/>
                <w:szCs w:val="18"/>
              </w:rPr>
            </w:pPr>
          </w:p>
        </w:tc>
        <w:tc>
          <w:tcPr>
            <w:tcW w:w="1666" w:type="dxa"/>
            <w:tcBorders>
              <w:bottom w:val="single" w:sz="4" w:space="0" w:color="auto"/>
            </w:tcBorders>
          </w:tcPr>
          <w:p w14:paraId="70BF14E8" w14:textId="77777777" w:rsidR="0052367A" w:rsidRDefault="0052367A" w:rsidP="0052367A">
            <w:pPr>
              <w:jc w:val="center"/>
              <w:rPr>
                <w:b/>
                <w:sz w:val="18"/>
                <w:szCs w:val="18"/>
              </w:rPr>
            </w:pPr>
            <w:r>
              <w:rPr>
                <w:b/>
                <w:sz w:val="18"/>
                <w:szCs w:val="18"/>
              </w:rPr>
              <w:t>31 Desember/</w:t>
            </w:r>
          </w:p>
          <w:p w14:paraId="117A23BB" w14:textId="50EAD678" w:rsidR="0052367A" w:rsidRPr="00E71189" w:rsidRDefault="0052367A" w:rsidP="0052367A">
            <w:pPr>
              <w:jc w:val="center"/>
              <w:rPr>
                <w:b/>
                <w:sz w:val="18"/>
                <w:szCs w:val="18"/>
              </w:rPr>
            </w:pPr>
            <w:r>
              <w:rPr>
                <w:b/>
                <w:sz w:val="18"/>
                <w:szCs w:val="18"/>
              </w:rPr>
              <w:t>December 31</w:t>
            </w:r>
            <w:r w:rsidR="00305CA0">
              <w:rPr>
                <w:b/>
                <w:sz w:val="18"/>
                <w:szCs w:val="18"/>
              </w:rPr>
              <w:t>.</w:t>
            </w:r>
            <w:r>
              <w:rPr>
                <w:b/>
                <w:sz w:val="18"/>
                <w:szCs w:val="18"/>
              </w:rPr>
              <w:t xml:space="preserve"> </w:t>
            </w:r>
            <w:r w:rsidRPr="0013526B">
              <w:rPr>
                <w:b/>
                <w:sz w:val="18"/>
                <w:szCs w:val="18"/>
              </w:rPr>
              <w:t>201</w:t>
            </w:r>
            <w:r>
              <w:rPr>
                <w:b/>
                <w:sz w:val="18"/>
                <w:szCs w:val="18"/>
              </w:rPr>
              <w:t>9</w:t>
            </w:r>
          </w:p>
        </w:tc>
        <w:tc>
          <w:tcPr>
            <w:tcW w:w="2874" w:type="dxa"/>
          </w:tcPr>
          <w:p w14:paraId="15B9677F" w14:textId="77777777" w:rsidR="0052367A" w:rsidRPr="00E71189" w:rsidRDefault="0052367A" w:rsidP="0052367A">
            <w:pPr>
              <w:ind w:right="34"/>
              <w:jc w:val="right"/>
              <w:rPr>
                <w:i/>
                <w:sz w:val="18"/>
                <w:szCs w:val="18"/>
              </w:rPr>
            </w:pPr>
          </w:p>
        </w:tc>
      </w:tr>
      <w:tr w:rsidR="00382023" w:rsidRPr="00E71189" w14:paraId="0059BB60" w14:textId="77777777" w:rsidTr="00A70009">
        <w:trPr>
          <w:trHeight w:val="20"/>
        </w:trPr>
        <w:tc>
          <w:tcPr>
            <w:tcW w:w="2875" w:type="dxa"/>
          </w:tcPr>
          <w:p w14:paraId="75071B53" w14:textId="77777777" w:rsidR="00382023" w:rsidRPr="00E71189" w:rsidRDefault="00382023" w:rsidP="005E0D03">
            <w:pPr>
              <w:ind w:left="461"/>
              <w:rPr>
                <w:sz w:val="14"/>
                <w:szCs w:val="18"/>
              </w:rPr>
            </w:pPr>
          </w:p>
        </w:tc>
        <w:tc>
          <w:tcPr>
            <w:tcW w:w="1667" w:type="dxa"/>
            <w:tcBorders>
              <w:top w:val="single" w:sz="4" w:space="0" w:color="auto"/>
            </w:tcBorders>
            <w:vAlign w:val="bottom"/>
          </w:tcPr>
          <w:p w14:paraId="2CB02D86" w14:textId="77777777" w:rsidR="00382023" w:rsidRPr="00E71189" w:rsidRDefault="00382023" w:rsidP="005E0D03">
            <w:pPr>
              <w:ind w:left="28" w:right="28"/>
              <w:jc w:val="right"/>
              <w:rPr>
                <w:sz w:val="14"/>
                <w:szCs w:val="18"/>
              </w:rPr>
            </w:pPr>
          </w:p>
        </w:tc>
        <w:tc>
          <w:tcPr>
            <w:tcW w:w="115" w:type="dxa"/>
            <w:vAlign w:val="bottom"/>
          </w:tcPr>
          <w:p w14:paraId="7DCF3695" w14:textId="77777777" w:rsidR="00382023" w:rsidRPr="00E71189" w:rsidRDefault="00382023" w:rsidP="005E0D03">
            <w:pPr>
              <w:ind w:left="28" w:right="28"/>
              <w:jc w:val="right"/>
              <w:rPr>
                <w:sz w:val="14"/>
                <w:szCs w:val="18"/>
              </w:rPr>
            </w:pPr>
          </w:p>
        </w:tc>
        <w:tc>
          <w:tcPr>
            <w:tcW w:w="1666" w:type="dxa"/>
            <w:tcBorders>
              <w:top w:val="single" w:sz="4" w:space="0" w:color="auto"/>
            </w:tcBorders>
            <w:vAlign w:val="bottom"/>
          </w:tcPr>
          <w:p w14:paraId="116DE838" w14:textId="77777777" w:rsidR="00382023" w:rsidRPr="00E71189" w:rsidRDefault="00382023" w:rsidP="005E0D03">
            <w:pPr>
              <w:ind w:left="28" w:right="28"/>
              <w:jc w:val="right"/>
              <w:rPr>
                <w:sz w:val="14"/>
                <w:szCs w:val="18"/>
              </w:rPr>
            </w:pPr>
          </w:p>
        </w:tc>
        <w:tc>
          <w:tcPr>
            <w:tcW w:w="2874" w:type="dxa"/>
          </w:tcPr>
          <w:p w14:paraId="40726A03" w14:textId="77777777" w:rsidR="00382023" w:rsidRPr="00E71189" w:rsidRDefault="00382023" w:rsidP="005E0D03">
            <w:pPr>
              <w:ind w:right="57"/>
              <w:jc w:val="right"/>
              <w:rPr>
                <w:i/>
                <w:sz w:val="14"/>
                <w:szCs w:val="18"/>
              </w:rPr>
            </w:pPr>
          </w:p>
        </w:tc>
      </w:tr>
      <w:tr w:rsidR="00A70009" w:rsidRPr="00E71189" w14:paraId="54FF4568" w14:textId="77777777" w:rsidTr="00AD14FF">
        <w:trPr>
          <w:trHeight w:val="20"/>
        </w:trPr>
        <w:tc>
          <w:tcPr>
            <w:tcW w:w="2875" w:type="dxa"/>
          </w:tcPr>
          <w:p w14:paraId="2961F40E" w14:textId="7236610E" w:rsidR="00A70009" w:rsidRPr="00E71189" w:rsidRDefault="00A70009" w:rsidP="00A70009">
            <w:pPr>
              <w:ind w:left="758" w:hanging="142"/>
              <w:rPr>
                <w:sz w:val="14"/>
                <w:szCs w:val="18"/>
              </w:rPr>
            </w:pPr>
            <w:r>
              <w:rPr>
                <w:sz w:val="18"/>
                <w:szCs w:val="18"/>
                <w:u w:val="single"/>
              </w:rPr>
              <w:t>Perusahaan</w:t>
            </w:r>
          </w:p>
        </w:tc>
        <w:tc>
          <w:tcPr>
            <w:tcW w:w="1667" w:type="dxa"/>
            <w:vAlign w:val="bottom"/>
          </w:tcPr>
          <w:p w14:paraId="2DDC7CC7" w14:textId="77777777" w:rsidR="00A70009" w:rsidRPr="00E71189" w:rsidRDefault="00A70009" w:rsidP="00A70009">
            <w:pPr>
              <w:ind w:left="28" w:right="28"/>
              <w:jc w:val="right"/>
              <w:rPr>
                <w:sz w:val="14"/>
                <w:szCs w:val="18"/>
              </w:rPr>
            </w:pPr>
          </w:p>
        </w:tc>
        <w:tc>
          <w:tcPr>
            <w:tcW w:w="115" w:type="dxa"/>
            <w:vAlign w:val="bottom"/>
          </w:tcPr>
          <w:p w14:paraId="7EABA0E7" w14:textId="77777777" w:rsidR="00A70009" w:rsidRPr="00E71189" w:rsidRDefault="00A70009" w:rsidP="00A70009">
            <w:pPr>
              <w:ind w:left="28" w:right="28"/>
              <w:jc w:val="right"/>
              <w:rPr>
                <w:sz w:val="14"/>
                <w:szCs w:val="18"/>
              </w:rPr>
            </w:pPr>
          </w:p>
        </w:tc>
        <w:tc>
          <w:tcPr>
            <w:tcW w:w="1666" w:type="dxa"/>
            <w:vAlign w:val="bottom"/>
          </w:tcPr>
          <w:p w14:paraId="1948AA1E" w14:textId="77777777" w:rsidR="00A70009" w:rsidRPr="00E71189" w:rsidRDefault="00A70009" w:rsidP="00A70009">
            <w:pPr>
              <w:ind w:left="28" w:right="28"/>
              <w:jc w:val="right"/>
              <w:rPr>
                <w:sz w:val="14"/>
                <w:szCs w:val="18"/>
              </w:rPr>
            </w:pPr>
          </w:p>
        </w:tc>
        <w:tc>
          <w:tcPr>
            <w:tcW w:w="2874" w:type="dxa"/>
            <w:vAlign w:val="bottom"/>
          </w:tcPr>
          <w:p w14:paraId="13B2FF77" w14:textId="7CDD4A36" w:rsidR="00A70009" w:rsidRPr="00A70009" w:rsidRDefault="00A70009" w:rsidP="00A70009">
            <w:pPr>
              <w:ind w:right="57"/>
              <w:jc w:val="right"/>
              <w:rPr>
                <w:i/>
                <w:sz w:val="14"/>
                <w:szCs w:val="18"/>
                <w:u w:val="single"/>
              </w:rPr>
            </w:pPr>
            <w:r w:rsidRPr="00A70009">
              <w:rPr>
                <w:i/>
                <w:sz w:val="18"/>
                <w:szCs w:val="18"/>
                <w:u w:val="single"/>
              </w:rPr>
              <w:t>The Company</w:t>
            </w:r>
          </w:p>
        </w:tc>
      </w:tr>
      <w:tr w:rsidR="00A70009" w:rsidRPr="00E71189" w14:paraId="075C7126" w14:textId="77777777" w:rsidTr="00A70009">
        <w:trPr>
          <w:trHeight w:val="20"/>
        </w:trPr>
        <w:tc>
          <w:tcPr>
            <w:tcW w:w="2875" w:type="dxa"/>
          </w:tcPr>
          <w:p w14:paraId="469A0C40" w14:textId="77777777" w:rsidR="00A70009" w:rsidRPr="00E71189" w:rsidRDefault="00A70009" w:rsidP="00A70009">
            <w:pPr>
              <w:ind w:left="461"/>
              <w:rPr>
                <w:sz w:val="14"/>
                <w:szCs w:val="18"/>
              </w:rPr>
            </w:pPr>
          </w:p>
        </w:tc>
        <w:tc>
          <w:tcPr>
            <w:tcW w:w="1667" w:type="dxa"/>
            <w:vAlign w:val="bottom"/>
          </w:tcPr>
          <w:p w14:paraId="1ED4CAFE" w14:textId="77777777" w:rsidR="00A70009" w:rsidRPr="00E71189" w:rsidRDefault="00A70009" w:rsidP="00A70009">
            <w:pPr>
              <w:ind w:left="28" w:right="28"/>
              <w:jc w:val="right"/>
              <w:rPr>
                <w:sz w:val="14"/>
                <w:szCs w:val="18"/>
              </w:rPr>
            </w:pPr>
          </w:p>
        </w:tc>
        <w:tc>
          <w:tcPr>
            <w:tcW w:w="115" w:type="dxa"/>
            <w:vAlign w:val="bottom"/>
          </w:tcPr>
          <w:p w14:paraId="647C40A6" w14:textId="77777777" w:rsidR="00A70009" w:rsidRPr="00E71189" w:rsidRDefault="00A70009" w:rsidP="00A70009">
            <w:pPr>
              <w:ind w:left="28" w:right="28"/>
              <w:jc w:val="right"/>
              <w:rPr>
                <w:sz w:val="14"/>
                <w:szCs w:val="18"/>
              </w:rPr>
            </w:pPr>
          </w:p>
        </w:tc>
        <w:tc>
          <w:tcPr>
            <w:tcW w:w="1666" w:type="dxa"/>
            <w:vAlign w:val="bottom"/>
          </w:tcPr>
          <w:p w14:paraId="0DC8F9FF" w14:textId="77777777" w:rsidR="00A70009" w:rsidRPr="00E71189" w:rsidRDefault="00A70009" w:rsidP="00A70009">
            <w:pPr>
              <w:ind w:left="28" w:right="28"/>
              <w:jc w:val="right"/>
              <w:rPr>
                <w:sz w:val="14"/>
                <w:szCs w:val="18"/>
              </w:rPr>
            </w:pPr>
          </w:p>
        </w:tc>
        <w:tc>
          <w:tcPr>
            <w:tcW w:w="2874" w:type="dxa"/>
          </w:tcPr>
          <w:p w14:paraId="722B6F5F" w14:textId="77777777" w:rsidR="00A70009" w:rsidRPr="00E71189" w:rsidRDefault="00A70009" w:rsidP="00A70009">
            <w:pPr>
              <w:ind w:right="57"/>
              <w:jc w:val="right"/>
              <w:rPr>
                <w:i/>
                <w:sz w:val="14"/>
                <w:szCs w:val="18"/>
              </w:rPr>
            </w:pPr>
          </w:p>
        </w:tc>
      </w:tr>
      <w:tr w:rsidR="0052367A" w:rsidRPr="00E71189" w14:paraId="355068E9" w14:textId="77777777" w:rsidTr="002108FF">
        <w:trPr>
          <w:trHeight w:val="70"/>
        </w:trPr>
        <w:tc>
          <w:tcPr>
            <w:tcW w:w="2875" w:type="dxa"/>
          </w:tcPr>
          <w:p w14:paraId="4EACC459" w14:textId="27E908F5" w:rsidR="0052367A" w:rsidRPr="00E71189" w:rsidRDefault="0052367A" w:rsidP="0052367A">
            <w:pPr>
              <w:ind w:left="851"/>
              <w:rPr>
                <w:sz w:val="18"/>
                <w:szCs w:val="18"/>
                <w:lang w:val="en-ID"/>
              </w:rPr>
            </w:pPr>
            <w:r>
              <w:rPr>
                <w:sz w:val="18"/>
                <w:szCs w:val="18"/>
                <w:lang w:val="en-ID"/>
              </w:rPr>
              <w:t>PPh 23</w:t>
            </w:r>
          </w:p>
        </w:tc>
        <w:tc>
          <w:tcPr>
            <w:tcW w:w="1667" w:type="dxa"/>
            <w:shd w:val="clear" w:color="auto" w:fill="auto"/>
            <w:vAlign w:val="bottom"/>
          </w:tcPr>
          <w:p w14:paraId="54F56093" w14:textId="77777777" w:rsidR="0052367A" w:rsidRPr="00E71189" w:rsidRDefault="0052367A" w:rsidP="0052367A">
            <w:pPr>
              <w:ind w:right="57"/>
              <w:jc w:val="right"/>
              <w:rPr>
                <w:sz w:val="18"/>
                <w:szCs w:val="18"/>
              </w:rPr>
            </w:pPr>
            <w:r w:rsidRPr="00C41F08">
              <w:rPr>
                <w:sz w:val="18"/>
                <w:szCs w:val="18"/>
              </w:rPr>
              <w:t>6.043.281</w:t>
            </w:r>
          </w:p>
        </w:tc>
        <w:tc>
          <w:tcPr>
            <w:tcW w:w="115" w:type="dxa"/>
            <w:vAlign w:val="bottom"/>
          </w:tcPr>
          <w:p w14:paraId="6486C3DD" w14:textId="77777777" w:rsidR="0052367A" w:rsidRPr="00E71189" w:rsidRDefault="0052367A" w:rsidP="0052367A">
            <w:pPr>
              <w:ind w:right="57"/>
              <w:jc w:val="right"/>
              <w:rPr>
                <w:sz w:val="18"/>
                <w:szCs w:val="18"/>
              </w:rPr>
            </w:pPr>
          </w:p>
        </w:tc>
        <w:tc>
          <w:tcPr>
            <w:tcW w:w="1666" w:type="dxa"/>
            <w:vAlign w:val="bottom"/>
          </w:tcPr>
          <w:p w14:paraId="2114D4AC" w14:textId="0104BFBC" w:rsidR="0052367A" w:rsidRPr="00E71189" w:rsidRDefault="0052367A" w:rsidP="0052367A">
            <w:pPr>
              <w:ind w:right="57"/>
              <w:jc w:val="right"/>
              <w:rPr>
                <w:sz w:val="18"/>
                <w:szCs w:val="18"/>
              </w:rPr>
            </w:pPr>
            <w:r w:rsidRPr="00C41F08">
              <w:rPr>
                <w:sz w:val="18"/>
                <w:szCs w:val="18"/>
              </w:rPr>
              <w:t>6.043.281</w:t>
            </w:r>
          </w:p>
        </w:tc>
        <w:tc>
          <w:tcPr>
            <w:tcW w:w="2874" w:type="dxa"/>
            <w:vAlign w:val="bottom"/>
          </w:tcPr>
          <w:p w14:paraId="372F86BA" w14:textId="463CC459" w:rsidR="0052367A" w:rsidRPr="00E71189" w:rsidRDefault="0052367A" w:rsidP="0052367A">
            <w:pPr>
              <w:pStyle w:val="BodyTextIndent3"/>
              <w:tabs>
                <w:tab w:val="left" w:pos="336"/>
              </w:tabs>
              <w:ind w:left="0" w:right="261" w:firstLine="0"/>
              <w:jc w:val="right"/>
              <w:rPr>
                <w:i/>
                <w:sz w:val="18"/>
                <w:szCs w:val="18"/>
                <w:lang w:val="en-ID"/>
              </w:rPr>
            </w:pPr>
            <w:r>
              <w:rPr>
                <w:i/>
                <w:sz w:val="18"/>
                <w:szCs w:val="18"/>
                <w:lang w:val="en-ID"/>
              </w:rPr>
              <w:t>PPh 23</w:t>
            </w:r>
          </w:p>
        </w:tc>
      </w:tr>
      <w:tr w:rsidR="0052367A" w:rsidRPr="00E71189" w14:paraId="7A539477" w14:textId="77777777" w:rsidTr="00A70009">
        <w:trPr>
          <w:trHeight w:val="20"/>
        </w:trPr>
        <w:tc>
          <w:tcPr>
            <w:tcW w:w="2875" w:type="dxa"/>
          </w:tcPr>
          <w:p w14:paraId="2AE36FDB" w14:textId="77777777" w:rsidR="0052367A" w:rsidRPr="00E71189" w:rsidRDefault="0052367A" w:rsidP="0052367A">
            <w:pPr>
              <w:ind w:left="461"/>
              <w:rPr>
                <w:sz w:val="14"/>
                <w:szCs w:val="18"/>
              </w:rPr>
            </w:pPr>
          </w:p>
        </w:tc>
        <w:tc>
          <w:tcPr>
            <w:tcW w:w="1667" w:type="dxa"/>
            <w:vAlign w:val="bottom"/>
          </w:tcPr>
          <w:p w14:paraId="7246FBB3" w14:textId="77777777" w:rsidR="0052367A" w:rsidRPr="00E71189" w:rsidRDefault="0052367A" w:rsidP="0052367A">
            <w:pPr>
              <w:ind w:left="28" w:right="28"/>
              <w:jc w:val="right"/>
              <w:rPr>
                <w:sz w:val="14"/>
                <w:szCs w:val="18"/>
              </w:rPr>
            </w:pPr>
          </w:p>
        </w:tc>
        <w:tc>
          <w:tcPr>
            <w:tcW w:w="115" w:type="dxa"/>
            <w:vAlign w:val="bottom"/>
          </w:tcPr>
          <w:p w14:paraId="2832E562" w14:textId="77777777" w:rsidR="0052367A" w:rsidRPr="00E71189" w:rsidRDefault="0052367A" w:rsidP="0052367A">
            <w:pPr>
              <w:ind w:left="28" w:right="28"/>
              <w:jc w:val="right"/>
              <w:rPr>
                <w:sz w:val="14"/>
                <w:szCs w:val="18"/>
              </w:rPr>
            </w:pPr>
          </w:p>
        </w:tc>
        <w:tc>
          <w:tcPr>
            <w:tcW w:w="1666" w:type="dxa"/>
            <w:vAlign w:val="bottom"/>
          </w:tcPr>
          <w:p w14:paraId="4396B50C" w14:textId="77777777" w:rsidR="0052367A" w:rsidRPr="00E71189" w:rsidRDefault="0052367A" w:rsidP="0052367A">
            <w:pPr>
              <w:ind w:left="28" w:right="28"/>
              <w:jc w:val="right"/>
              <w:rPr>
                <w:sz w:val="14"/>
                <w:szCs w:val="18"/>
              </w:rPr>
            </w:pPr>
          </w:p>
        </w:tc>
        <w:tc>
          <w:tcPr>
            <w:tcW w:w="2874" w:type="dxa"/>
          </w:tcPr>
          <w:p w14:paraId="07AC5C0A" w14:textId="77777777" w:rsidR="0052367A" w:rsidRPr="00E71189" w:rsidRDefault="0052367A" w:rsidP="0052367A">
            <w:pPr>
              <w:ind w:right="57"/>
              <w:jc w:val="right"/>
              <w:rPr>
                <w:i/>
                <w:sz w:val="14"/>
                <w:szCs w:val="18"/>
              </w:rPr>
            </w:pPr>
          </w:p>
        </w:tc>
      </w:tr>
      <w:tr w:rsidR="0052367A" w:rsidRPr="00E71189" w14:paraId="3F590DFF" w14:textId="77777777" w:rsidTr="002108FF">
        <w:trPr>
          <w:trHeight w:val="20"/>
        </w:trPr>
        <w:tc>
          <w:tcPr>
            <w:tcW w:w="2875" w:type="dxa"/>
          </w:tcPr>
          <w:p w14:paraId="2287C207" w14:textId="1851A495" w:rsidR="0052367A" w:rsidRPr="00E71189" w:rsidRDefault="0052367A" w:rsidP="0052367A">
            <w:pPr>
              <w:ind w:left="758" w:hanging="142"/>
              <w:rPr>
                <w:sz w:val="14"/>
                <w:szCs w:val="18"/>
              </w:rPr>
            </w:pPr>
            <w:r w:rsidRPr="00E71189">
              <w:rPr>
                <w:sz w:val="18"/>
                <w:szCs w:val="18"/>
                <w:u w:val="single"/>
              </w:rPr>
              <w:t>Entitas Anak</w:t>
            </w:r>
          </w:p>
        </w:tc>
        <w:tc>
          <w:tcPr>
            <w:tcW w:w="1667" w:type="dxa"/>
            <w:vAlign w:val="bottom"/>
          </w:tcPr>
          <w:p w14:paraId="4D2B487B" w14:textId="77777777" w:rsidR="0052367A" w:rsidRPr="00E71189" w:rsidRDefault="0052367A" w:rsidP="0052367A">
            <w:pPr>
              <w:ind w:left="28" w:right="28"/>
              <w:jc w:val="right"/>
              <w:rPr>
                <w:sz w:val="14"/>
                <w:szCs w:val="18"/>
              </w:rPr>
            </w:pPr>
          </w:p>
        </w:tc>
        <w:tc>
          <w:tcPr>
            <w:tcW w:w="115" w:type="dxa"/>
            <w:vAlign w:val="bottom"/>
          </w:tcPr>
          <w:p w14:paraId="10886A88" w14:textId="77777777" w:rsidR="0052367A" w:rsidRPr="00E71189" w:rsidRDefault="0052367A" w:rsidP="0052367A">
            <w:pPr>
              <w:ind w:left="28" w:right="28"/>
              <w:jc w:val="right"/>
              <w:rPr>
                <w:sz w:val="14"/>
                <w:szCs w:val="18"/>
              </w:rPr>
            </w:pPr>
          </w:p>
        </w:tc>
        <w:tc>
          <w:tcPr>
            <w:tcW w:w="1666" w:type="dxa"/>
            <w:vAlign w:val="bottom"/>
          </w:tcPr>
          <w:p w14:paraId="5C6BA0B2" w14:textId="77777777" w:rsidR="0052367A" w:rsidRPr="00E71189" w:rsidRDefault="0052367A" w:rsidP="0052367A">
            <w:pPr>
              <w:ind w:left="28" w:right="28"/>
              <w:jc w:val="right"/>
              <w:rPr>
                <w:sz w:val="14"/>
                <w:szCs w:val="18"/>
              </w:rPr>
            </w:pPr>
          </w:p>
        </w:tc>
        <w:tc>
          <w:tcPr>
            <w:tcW w:w="2874" w:type="dxa"/>
            <w:vAlign w:val="bottom"/>
          </w:tcPr>
          <w:p w14:paraId="2800BCD5" w14:textId="2A933243" w:rsidR="0052367A" w:rsidRPr="00A70009" w:rsidRDefault="0052367A" w:rsidP="0052367A">
            <w:pPr>
              <w:ind w:right="57"/>
              <w:jc w:val="right"/>
              <w:rPr>
                <w:i/>
                <w:sz w:val="14"/>
                <w:szCs w:val="18"/>
                <w:u w:val="single"/>
              </w:rPr>
            </w:pPr>
            <w:r w:rsidRPr="00A70009">
              <w:rPr>
                <w:i/>
                <w:sz w:val="18"/>
                <w:szCs w:val="18"/>
                <w:u w:val="single"/>
              </w:rPr>
              <w:t>Subsidiaries:</w:t>
            </w:r>
          </w:p>
        </w:tc>
      </w:tr>
      <w:tr w:rsidR="0052367A" w:rsidRPr="00E71189" w14:paraId="32E851BA" w14:textId="77777777" w:rsidTr="002108FF">
        <w:trPr>
          <w:trHeight w:val="20"/>
        </w:trPr>
        <w:tc>
          <w:tcPr>
            <w:tcW w:w="2875" w:type="dxa"/>
          </w:tcPr>
          <w:p w14:paraId="69504C15" w14:textId="77777777" w:rsidR="0052367A" w:rsidRPr="00E71189" w:rsidRDefault="0052367A" w:rsidP="0052367A">
            <w:pPr>
              <w:ind w:left="758"/>
              <w:rPr>
                <w:sz w:val="18"/>
                <w:szCs w:val="18"/>
                <w:u w:val="single"/>
              </w:rPr>
            </w:pPr>
          </w:p>
        </w:tc>
        <w:tc>
          <w:tcPr>
            <w:tcW w:w="1667" w:type="dxa"/>
            <w:vAlign w:val="bottom"/>
          </w:tcPr>
          <w:p w14:paraId="4883B6F7" w14:textId="77777777" w:rsidR="0052367A" w:rsidRPr="00E71189" w:rsidRDefault="0052367A" w:rsidP="0052367A">
            <w:pPr>
              <w:ind w:left="28" w:right="28"/>
              <w:jc w:val="right"/>
              <w:rPr>
                <w:sz w:val="14"/>
                <w:szCs w:val="18"/>
              </w:rPr>
            </w:pPr>
          </w:p>
        </w:tc>
        <w:tc>
          <w:tcPr>
            <w:tcW w:w="115" w:type="dxa"/>
            <w:vAlign w:val="bottom"/>
          </w:tcPr>
          <w:p w14:paraId="000F0CCF" w14:textId="77777777" w:rsidR="0052367A" w:rsidRPr="00E71189" w:rsidRDefault="0052367A" w:rsidP="0052367A">
            <w:pPr>
              <w:ind w:left="28" w:right="28"/>
              <w:jc w:val="right"/>
              <w:rPr>
                <w:sz w:val="14"/>
                <w:szCs w:val="18"/>
              </w:rPr>
            </w:pPr>
          </w:p>
        </w:tc>
        <w:tc>
          <w:tcPr>
            <w:tcW w:w="1666" w:type="dxa"/>
            <w:vAlign w:val="bottom"/>
          </w:tcPr>
          <w:p w14:paraId="5C6B03F7" w14:textId="77777777" w:rsidR="0052367A" w:rsidRPr="00E71189" w:rsidRDefault="0052367A" w:rsidP="0052367A">
            <w:pPr>
              <w:ind w:left="28" w:right="28"/>
              <w:jc w:val="right"/>
              <w:rPr>
                <w:sz w:val="14"/>
                <w:szCs w:val="18"/>
              </w:rPr>
            </w:pPr>
          </w:p>
        </w:tc>
        <w:tc>
          <w:tcPr>
            <w:tcW w:w="2874" w:type="dxa"/>
            <w:vAlign w:val="bottom"/>
          </w:tcPr>
          <w:p w14:paraId="1083FF5D" w14:textId="77777777" w:rsidR="0052367A" w:rsidRPr="00E71189" w:rsidRDefault="0052367A" w:rsidP="0052367A">
            <w:pPr>
              <w:ind w:right="57"/>
              <w:jc w:val="right"/>
              <w:rPr>
                <w:i/>
                <w:sz w:val="18"/>
                <w:szCs w:val="18"/>
              </w:rPr>
            </w:pPr>
          </w:p>
        </w:tc>
      </w:tr>
      <w:tr w:rsidR="0052367A" w:rsidRPr="00E71189" w14:paraId="32A18019" w14:textId="77777777" w:rsidTr="002108FF">
        <w:trPr>
          <w:trHeight w:val="70"/>
        </w:trPr>
        <w:tc>
          <w:tcPr>
            <w:tcW w:w="2875" w:type="dxa"/>
          </w:tcPr>
          <w:p w14:paraId="0D7613E4" w14:textId="7C80506B" w:rsidR="0052367A" w:rsidRPr="00E71189" w:rsidRDefault="0052367A" w:rsidP="0052367A">
            <w:pPr>
              <w:ind w:left="851"/>
              <w:rPr>
                <w:sz w:val="18"/>
                <w:szCs w:val="18"/>
                <w:lang w:val="en-ID"/>
              </w:rPr>
            </w:pPr>
            <w:r w:rsidRPr="00E71189">
              <w:rPr>
                <w:sz w:val="18"/>
                <w:szCs w:val="18"/>
                <w:lang w:val="en-ID"/>
              </w:rPr>
              <w:t>Pajak Pertambahan Nilai</w:t>
            </w:r>
          </w:p>
        </w:tc>
        <w:tc>
          <w:tcPr>
            <w:tcW w:w="1667" w:type="dxa"/>
            <w:shd w:val="clear" w:color="auto" w:fill="auto"/>
            <w:vAlign w:val="bottom"/>
          </w:tcPr>
          <w:p w14:paraId="05E5C649" w14:textId="29DE4470" w:rsidR="0052367A" w:rsidRPr="00E71189" w:rsidRDefault="0052367A" w:rsidP="0052367A">
            <w:pPr>
              <w:ind w:right="57"/>
              <w:jc w:val="right"/>
              <w:rPr>
                <w:sz w:val="18"/>
                <w:szCs w:val="18"/>
              </w:rPr>
            </w:pPr>
            <w:r w:rsidRPr="00E71189">
              <w:rPr>
                <w:sz w:val="18"/>
                <w:szCs w:val="18"/>
              </w:rPr>
              <w:t>35.000.000</w:t>
            </w:r>
          </w:p>
        </w:tc>
        <w:tc>
          <w:tcPr>
            <w:tcW w:w="115" w:type="dxa"/>
            <w:vAlign w:val="bottom"/>
          </w:tcPr>
          <w:p w14:paraId="5AF47FB1" w14:textId="77777777" w:rsidR="0052367A" w:rsidRPr="00E71189" w:rsidRDefault="0052367A" w:rsidP="0052367A">
            <w:pPr>
              <w:ind w:right="57"/>
              <w:jc w:val="right"/>
              <w:rPr>
                <w:sz w:val="18"/>
                <w:szCs w:val="18"/>
              </w:rPr>
            </w:pPr>
          </w:p>
        </w:tc>
        <w:tc>
          <w:tcPr>
            <w:tcW w:w="1666" w:type="dxa"/>
            <w:vAlign w:val="bottom"/>
          </w:tcPr>
          <w:p w14:paraId="70D39CE5" w14:textId="5A3EE791" w:rsidR="0052367A" w:rsidRPr="00E71189" w:rsidRDefault="0052367A" w:rsidP="0052367A">
            <w:pPr>
              <w:ind w:right="57"/>
              <w:jc w:val="right"/>
              <w:rPr>
                <w:sz w:val="18"/>
                <w:szCs w:val="18"/>
              </w:rPr>
            </w:pPr>
            <w:r w:rsidRPr="00E71189">
              <w:rPr>
                <w:sz w:val="18"/>
                <w:szCs w:val="18"/>
              </w:rPr>
              <w:t>35.000.000</w:t>
            </w:r>
          </w:p>
        </w:tc>
        <w:tc>
          <w:tcPr>
            <w:tcW w:w="2874" w:type="dxa"/>
            <w:vAlign w:val="bottom"/>
          </w:tcPr>
          <w:p w14:paraId="0136E951" w14:textId="6412C490" w:rsidR="0052367A" w:rsidRPr="00E71189" w:rsidRDefault="0052367A" w:rsidP="0052367A">
            <w:pPr>
              <w:pStyle w:val="BodyTextIndent3"/>
              <w:tabs>
                <w:tab w:val="left" w:pos="336"/>
              </w:tabs>
              <w:ind w:left="0" w:right="261" w:firstLine="0"/>
              <w:jc w:val="right"/>
              <w:rPr>
                <w:i/>
                <w:sz w:val="18"/>
                <w:szCs w:val="18"/>
                <w:lang w:val="en-ID"/>
              </w:rPr>
            </w:pPr>
            <w:r w:rsidRPr="00E71189">
              <w:rPr>
                <w:i/>
                <w:sz w:val="18"/>
                <w:szCs w:val="18"/>
                <w:lang w:val="en-ID"/>
              </w:rPr>
              <w:t>Value Added Tax</w:t>
            </w:r>
          </w:p>
        </w:tc>
      </w:tr>
      <w:tr w:rsidR="0052367A" w:rsidRPr="00E71189" w14:paraId="703475E5" w14:textId="77777777" w:rsidTr="002108FF">
        <w:trPr>
          <w:trHeight w:val="70"/>
        </w:trPr>
        <w:tc>
          <w:tcPr>
            <w:tcW w:w="2875" w:type="dxa"/>
          </w:tcPr>
          <w:p w14:paraId="78BC1758" w14:textId="77777777" w:rsidR="0052367A" w:rsidRPr="00E71189" w:rsidRDefault="0052367A" w:rsidP="0052367A">
            <w:pPr>
              <w:ind w:left="758" w:hanging="142"/>
              <w:rPr>
                <w:sz w:val="14"/>
                <w:szCs w:val="18"/>
              </w:rPr>
            </w:pPr>
          </w:p>
        </w:tc>
        <w:tc>
          <w:tcPr>
            <w:tcW w:w="1667" w:type="dxa"/>
            <w:tcBorders>
              <w:top w:val="single" w:sz="4" w:space="0" w:color="auto"/>
            </w:tcBorders>
            <w:shd w:val="clear" w:color="auto" w:fill="auto"/>
            <w:vAlign w:val="bottom"/>
          </w:tcPr>
          <w:p w14:paraId="62D8959F" w14:textId="77777777" w:rsidR="0052367A" w:rsidRPr="00E71189" w:rsidRDefault="0052367A" w:rsidP="0052367A">
            <w:pPr>
              <w:ind w:right="57"/>
              <w:jc w:val="right"/>
              <w:rPr>
                <w:sz w:val="14"/>
                <w:szCs w:val="18"/>
              </w:rPr>
            </w:pPr>
          </w:p>
        </w:tc>
        <w:tc>
          <w:tcPr>
            <w:tcW w:w="115" w:type="dxa"/>
            <w:vAlign w:val="bottom"/>
          </w:tcPr>
          <w:p w14:paraId="29F0E6BB" w14:textId="77777777" w:rsidR="0052367A" w:rsidRPr="00E71189" w:rsidRDefault="0052367A" w:rsidP="0052367A">
            <w:pPr>
              <w:ind w:right="57"/>
              <w:jc w:val="right"/>
              <w:rPr>
                <w:sz w:val="14"/>
                <w:szCs w:val="18"/>
              </w:rPr>
            </w:pPr>
          </w:p>
        </w:tc>
        <w:tc>
          <w:tcPr>
            <w:tcW w:w="1666" w:type="dxa"/>
            <w:tcBorders>
              <w:top w:val="single" w:sz="4" w:space="0" w:color="auto"/>
            </w:tcBorders>
            <w:vAlign w:val="bottom"/>
          </w:tcPr>
          <w:p w14:paraId="19D051FA" w14:textId="77777777" w:rsidR="0052367A" w:rsidRPr="00E71189" w:rsidRDefault="0052367A" w:rsidP="0052367A">
            <w:pPr>
              <w:ind w:right="57"/>
              <w:jc w:val="right"/>
              <w:rPr>
                <w:sz w:val="14"/>
                <w:szCs w:val="18"/>
              </w:rPr>
            </w:pPr>
          </w:p>
        </w:tc>
        <w:tc>
          <w:tcPr>
            <w:tcW w:w="2874" w:type="dxa"/>
            <w:vAlign w:val="bottom"/>
          </w:tcPr>
          <w:p w14:paraId="67E5A694" w14:textId="77777777" w:rsidR="0052367A" w:rsidRPr="00E71189" w:rsidRDefault="0052367A" w:rsidP="0052367A">
            <w:pPr>
              <w:pStyle w:val="BodyTextIndent3"/>
              <w:tabs>
                <w:tab w:val="left" w:pos="336"/>
              </w:tabs>
              <w:ind w:left="0" w:right="57" w:firstLine="0"/>
              <w:jc w:val="right"/>
              <w:rPr>
                <w:i/>
                <w:sz w:val="14"/>
                <w:szCs w:val="18"/>
                <w:lang w:val="en-US"/>
              </w:rPr>
            </w:pPr>
          </w:p>
        </w:tc>
      </w:tr>
      <w:tr w:rsidR="0052367A" w:rsidRPr="00E71189" w14:paraId="6294AE52" w14:textId="77777777" w:rsidTr="002108FF">
        <w:trPr>
          <w:trHeight w:val="70"/>
        </w:trPr>
        <w:tc>
          <w:tcPr>
            <w:tcW w:w="2875" w:type="dxa"/>
          </w:tcPr>
          <w:p w14:paraId="279BD53E" w14:textId="77777777" w:rsidR="0052367A" w:rsidRPr="00E71189" w:rsidRDefault="0052367A" w:rsidP="0052367A">
            <w:pPr>
              <w:ind w:left="758" w:hanging="142"/>
              <w:rPr>
                <w:b/>
                <w:sz w:val="18"/>
                <w:szCs w:val="18"/>
              </w:rPr>
            </w:pPr>
            <w:r w:rsidRPr="002C3718">
              <w:rPr>
                <w:b/>
                <w:bCs w:val="0"/>
                <w:sz w:val="18"/>
                <w:szCs w:val="18"/>
                <w:lang w:val="en-ID"/>
              </w:rPr>
              <w:t>Jumlah</w:t>
            </w:r>
            <w:r w:rsidRPr="00E71189">
              <w:rPr>
                <w:b/>
                <w:sz w:val="18"/>
                <w:szCs w:val="18"/>
              </w:rPr>
              <w:t xml:space="preserve"> </w:t>
            </w:r>
          </w:p>
        </w:tc>
        <w:tc>
          <w:tcPr>
            <w:tcW w:w="1667" w:type="dxa"/>
            <w:tcBorders>
              <w:bottom w:val="double" w:sz="4" w:space="0" w:color="auto"/>
            </w:tcBorders>
            <w:shd w:val="clear" w:color="auto" w:fill="auto"/>
            <w:vAlign w:val="bottom"/>
          </w:tcPr>
          <w:p w14:paraId="20507987" w14:textId="05479AF2" w:rsidR="0052367A" w:rsidRPr="00E71189" w:rsidRDefault="0052367A" w:rsidP="0052367A">
            <w:pPr>
              <w:ind w:right="57"/>
              <w:jc w:val="right"/>
              <w:rPr>
                <w:b/>
                <w:bCs w:val="0"/>
                <w:sz w:val="18"/>
                <w:szCs w:val="18"/>
              </w:rPr>
            </w:pPr>
            <w:r w:rsidRPr="00C41F08">
              <w:rPr>
                <w:b/>
                <w:bCs w:val="0"/>
                <w:sz w:val="18"/>
                <w:szCs w:val="18"/>
              </w:rPr>
              <w:t>41.043.281</w:t>
            </w:r>
          </w:p>
        </w:tc>
        <w:tc>
          <w:tcPr>
            <w:tcW w:w="115" w:type="dxa"/>
            <w:vAlign w:val="bottom"/>
          </w:tcPr>
          <w:p w14:paraId="4A52E6E4" w14:textId="77777777" w:rsidR="0052367A" w:rsidRPr="00E71189" w:rsidRDefault="0052367A" w:rsidP="0052367A">
            <w:pPr>
              <w:ind w:right="57"/>
              <w:jc w:val="right"/>
              <w:rPr>
                <w:b/>
                <w:bCs w:val="0"/>
                <w:sz w:val="18"/>
                <w:szCs w:val="18"/>
              </w:rPr>
            </w:pPr>
          </w:p>
        </w:tc>
        <w:tc>
          <w:tcPr>
            <w:tcW w:w="1666" w:type="dxa"/>
            <w:tcBorders>
              <w:bottom w:val="double" w:sz="4" w:space="0" w:color="auto"/>
            </w:tcBorders>
            <w:vAlign w:val="bottom"/>
          </w:tcPr>
          <w:p w14:paraId="6970912B" w14:textId="3D674ECC" w:rsidR="0052367A" w:rsidRPr="00E71189" w:rsidRDefault="0052367A" w:rsidP="0052367A">
            <w:pPr>
              <w:ind w:right="57"/>
              <w:jc w:val="right"/>
              <w:rPr>
                <w:b/>
                <w:bCs w:val="0"/>
                <w:sz w:val="18"/>
                <w:szCs w:val="18"/>
              </w:rPr>
            </w:pPr>
            <w:r w:rsidRPr="00C41F08">
              <w:rPr>
                <w:b/>
                <w:bCs w:val="0"/>
                <w:sz w:val="18"/>
                <w:szCs w:val="18"/>
              </w:rPr>
              <w:t>41.043.281</w:t>
            </w:r>
          </w:p>
        </w:tc>
        <w:tc>
          <w:tcPr>
            <w:tcW w:w="2874" w:type="dxa"/>
            <w:vAlign w:val="bottom"/>
          </w:tcPr>
          <w:p w14:paraId="1E7DFE62" w14:textId="77777777" w:rsidR="0052367A" w:rsidRPr="00E71189" w:rsidRDefault="0052367A" w:rsidP="0052367A">
            <w:pPr>
              <w:pStyle w:val="BodyTextIndent3"/>
              <w:tabs>
                <w:tab w:val="left" w:pos="336"/>
              </w:tabs>
              <w:ind w:left="0" w:right="57" w:firstLine="0"/>
              <w:jc w:val="right"/>
              <w:rPr>
                <w:b/>
                <w:i/>
                <w:sz w:val="18"/>
                <w:szCs w:val="18"/>
                <w:lang w:val="en-US"/>
              </w:rPr>
            </w:pPr>
            <w:r w:rsidRPr="00E71189">
              <w:rPr>
                <w:b/>
                <w:i/>
                <w:sz w:val="18"/>
                <w:szCs w:val="18"/>
                <w:lang w:val="en-US"/>
              </w:rPr>
              <w:t xml:space="preserve">Total </w:t>
            </w:r>
          </w:p>
        </w:tc>
      </w:tr>
    </w:tbl>
    <w:p w14:paraId="423CF2F3" w14:textId="445B9FA4" w:rsidR="001F7F94" w:rsidRDefault="001F7F94">
      <w:pPr>
        <w:rPr>
          <w:sz w:val="14"/>
          <w:szCs w:val="14"/>
        </w:rPr>
      </w:pPr>
    </w:p>
    <w:p w14:paraId="0A082FE5" w14:textId="77222B72" w:rsidR="00E71189" w:rsidRDefault="00E71189">
      <w:pPr>
        <w:rPr>
          <w:sz w:val="14"/>
          <w:szCs w:val="14"/>
        </w:rPr>
      </w:pPr>
    </w:p>
    <w:p w14:paraId="38FEBF4A" w14:textId="0154046E" w:rsidR="00E71189" w:rsidRPr="00E71189" w:rsidRDefault="00E71189">
      <w:pPr>
        <w:rPr>
          <w:sz w:val="14"/>
          <w:szCs w:val="14"/>
        </w:rPr>
      </w:pPr>
      <w:r>
        <w:rPr>
          <w:sz w:val="14"/>
          <w:szCs w:val="14"/>
        </w:rPr>
        <w:br w:type="page"/>
      </w:r>
    </w:p>
    <w:tbl>
      <w:tblPr>
        <w:tblW w:w="9197" w:type="dxa"/>
        <w:tblInd w:w="406" w:type="dxa"/>
        <w:tblLayout w:type="fixed"/>
        <w:tblLook w:val="0000" w:firstRow="0" w:lastRow="0" w:firstColumn="0" w:lastColumn="0" w:noHBand="0" w:noVBand="0"/>
      </w:tblPr>
      <w:tblGrid>
        <w:gridCol w:w="4599"/>
        <w:gridCol w:w="4598"/>
      </w:tblGrid>
      <w:tr w:rsidR="00244F3D" w:rsidRPr="00244F3D" w14:paraId="438223B7" w14:textId="77777777" w:rsidTr="002108FF">
        <w:tc>
          <w:tcPr>
            <w:tcW w:w="4599" w:type="dxa"/>
            <w:tcBorders>
              <w:top w:val="nil"/>
              <w:left w:val="nil"/>
              <w:bottom w:val="nil"/>
              <w:right w:val="nil"/>
            </w:tcBorders>
          </w:tcPr>
          <w:p w14:paraId="158C5B9C" w14:textId="4DA880C3" w:rsidR="00244F3D" w:rsidRPr="00244F3D" w:rsidRDefault="00244F3D" w:rsidP="00070D1F">
            <w:pPr>
              <w:numPr>
                <w:ilvl w:val="0"/>
                <w:numId w:val="352"/>
              </w:numPr>
              <w:jc w:val="both"/>
              <w:rPr>
                <w:b/>
                <w:bCs w:val="0"/>
                <w:sz w:val="18"/>
                <w:szCs w:val="18"/>
              </w:rPr>
            </w:pPr>
            <w:r w:rsidRPr="00244F3D">
              <w:rPr>
                <w:b/>
                <w:bCs w:val="0"/>
                <w:sz w:val="18"/>
                <w:szCs w:val="18"/>
              </w:rPr>
              <w:lastRenderedPageBreak/>
              <w:br w:type="page"/>
              <w:t>PERPAJAKAN -</w:t>
            </w:r>
            <w:r>
              <w:rPr>
                <w:b/>
                <w:bCs w:val="0"/>
                <w:sz w:val="18"/>
                <w:szCs w:val="18"/>
              </w:rPr>
              <w:t xml:space="preserve">  Lanjutan</w:t>
            </w:r>
          </w:p>
        </w:tc>
        <w:tc>
          <w:tcPr>
            <w:tcW w:w="4598" w:type="dxa"/>
            <w:tcBorders>
              <w:top w:val="nil"/>
              <w:left w:val="nil"/>
              <w:bottom w:val="nil"/>
              <w:right w:val="nil"/>
            </w:tcBorders>
          </w:tcPr>
          <w:p w14:paraId="44A33056" w14:textId="3A74DE17" w:rsidR="00244F3D" w:rsidRPr="001E345F" w:rsidRDefault="00244F3D" w:rsidP="00070D1F">
            <w:pPr>
              <w:numPr>
                <w:ilvl w:val="0"/>
                <w:numId w:val="322"/>
              </w:numPr>
              <w:jc w:val="both"/>
              <w:rPr>
                <w:b/>
                <w:bCs w:val="0"/>
                <w:i/>
                <w:iCs/>
                <w:sz w:val="18"/>
                <w:szCs w:val="18"/>
              </w:rPr>
            </w:pPr>
            <w:r w:rsidRPr="001E345F">
              <w:rPr>
                <w:b/>
                <w:bCs w:val="0"/>
                <w:i/>
                <w:iCs/>
                <w:sz w:val="18"/>
                <w:szCs w:val="18"/>
              </w:rPr>
              <w:t>TAXATION - Continued</w:t>
            </w:r>
          </w:p>
        </w:tc>
      </w:tr>
    </w:tbl>
    <w:p w14:paraId="5D219450" w14:textId="6C43ACCF" w:rsidR="00E71189" w:rsidRPr="007C207F" w:rsidRDefault="00E71189">
      <w:pPr>
        <w:rPr>
          <w:sz w:val="16"/>
          <w:szCs w:val="16"/>
        </w:rPr>
      </w:pPr>
    </w:p>
    <w:tbl>
      <w:tblPr>
        <w:tblW w:w="9197" w:type="dxa"/>
        <w:tblInd w:w="392" w:type="dxa"/>
        <w:tblLook w:val="0000" w:firstRow="0" w:lastRow="0" w:firstColumn="0" w:lastColumn="0" w:noHBand="0" w:noVBand="0"/>
      </w:tblPr>
      <w:tblGrid>
        <w:gridCol w:w="4598"/>
        <w:gridCol w:w="4599"/>
      </w:tblGrid>
      <w:tr w:rsidR="00E71189" w:rsidRPr="00E71189" w14:paraId="2C98654B" w14:textId="77777777" w:rsidTr="002108FF">
        <w:tc>
          <w:tcPr>
            <w:tcW w:w="2500" w:type="pct"/>
            <w:tcBorders>
              <w:top w:val="nil"/>
              <w:left w:val="nil"/>
              <w:bottom w:val="nil"/>
              <w:right w:val="nil"/>
            </w:tcBorders>
          </w:tcPr>
          <w:p w14:paraId="4DAB113D" w14:textId="77777777" w:rsidR="00E71189" w:rsidRPr="00E71189" w:rsidRDefault="00E71189" w:rsidP="00070D1F">
            <w:pPr>
              <w:numPr>
                <w:ilvl w:val="0"/>
                <w:numId w:val="86"/>
              </w:numPr>
              <w:ind w:left="522" w:hanging="238"/>
              <w:jc w:val="both"/>
              <w:rPr>
                <w:bCs w:val="0"/>
                <w:sz w:val="18"/>
                <w:szCs w:val="18"/>
              </w:rPr>
            </w:pPr>
            <w:r w:rsidRPr="00E71189">
              <w:rPr>
                <w:bCs w:val="0"/>
                <w:sz w:val="18"/>
                <w:szCs w:val="18"/>
              </w:rPr>
              <w:t>Utang Pajak</w:t>
            </w:r>
          </w:p>
        </w:tc>
        <w:tc>
          <w:tcPr>
            <w:tcW w:w="2500" w:type="pct"/>
            <w:tcBorders>
              <w:top w:val="nil"/>
              <w:left w:val="nil"/>
              <w:bottom w:val="nil"/>
              <w:right w:val="nil"/>
            </w:tcBorders>
          </w:tcPr>
          <w:p w14:paraId="36C13198" w14:textId="77777777" w:rsidR="00E71189" w:rsidRPr="002C3718" w:rsidRDefault="00E71189" w:rsidP="00070D1F">
            <w:pPr>
              <w:widowControl w:val="0"/>
              <w:numPr>
                <w:ilvl w:val="0"/>
                <w:numId w:val="87"/>
              </w:numPr>
              <w:autoSpaceDE w:val="0"/>
              <w:autoSpaceDN w:val="0"/>
              <w:adjustRightInd w:val="0"/>
              <w:ind w:left="568" w:hanging="284"/>
              <w:jc w:val="both"/>
              <w:rPr>
                <w:bCs w:val="0"/>
                <w:i/>
                <w:iCs/>
                <w:sz w:val="18"/>
                <w:szCs w:val="18"/>
              </w:rPr>
            </w:pPr>
            <w:r w:rsidRPr="002C3718">
              <w:rPr>
                <w:bCs w:val="0"/>
                <w:i/>
                <w:iCs/>
                <w:spacing w:val="-1"/>
                <w:sz w:val="18"/>
                <w:szCs w:val="18"/>
              </w:rPr>
              <w:t>Taxes</w:t>
            </w:r>
            <w:r w:rsidRPr="002C3718">
              <w:rPr>
                <w:bCs w:val="0"/>
                <w:i/>
                <w:iCs/>
                <w:sz w:val="18"/>
                <w:szCs w:val="18"/>
              </w:rPr>
              <w:t xml:space="preserve"> Payables</w:t>
            </w:r>
          </w:p>
        </w:tc>
      </w:tr>
    </w:tbl>
    <w:p w14:paraId="6D72B640" w14:textId="2F92F439" w:rsidR="00E71189" w:rsidRPr="007C207F" w:rsidRDefault="00E71189" w:rsidP="00E71189">
      <w:pPr>
        <w:rPr>
          <w:sz w:val="18"/>
          <w:szCs w:val="18"/>
        </w:rPr>
      </w:pPr>
    </w:p>
    <w:tbl>
      <w:tblPr>
        <w:tblW w:w="9197" w:type="dxa"/>
        <w:tblInd w:w="406" w:type="dxa"/>
        <w:tblBorders>
          <w:bottom w:val="double" w:sz="4" w:space="0" w:color="auto"/>
        </w:tblBorders>
        <w:tblLayout w:type="fixed"/>
        <w:tblCellMar>
          <w:left w:w="0" w:type="dxa"/>
          <w:right w:w="0" w:type="dxa"/>
        </w:tblCellMar>
        <w:tblLook w:val="01E0" w:firstRow="1" w:lastRow="1" w:firstColumn="1" w:lastColumn="1" w:noHBand="0" w:noVBand="0"/>
      </w:tblPr>
      <w:tblGrid>
        <w:gridCol w:w="2875"/>
        <w:gridCol w:w="1667"/>
        <w:gridCol w:w="115"/>
        <w:gridCol w:w="1666"/>
        <w:gridCol w:w="2874"/>
      </w:tblGrid>
      <w:tr w:rsidR="001808CD" w:rsidRPr="00E71189" w14:paraId="04B54132" w14:textId="77777777" w:rsidTr="002108FF">
        <w:trPr>
          <w:trHeight w:val="20"/>
        </w:trPr>
        <w:tc>
          <w:tcPr>
            <w:tcW w:w="2875" w:type="dxa"/>
          </w:tcPr>
          <w:p w14:paraId="606DD000" w14:textId="77777777" w:rsidR="001808CD" w:rsidRPr="00E71189" w:rsidRDefault="001808CD" w:rsidP="001808CD">
            <w:pPr>
              <w:ind w:left="113"/>
              <w:rPr>
                <w:sz w:val="18"/>
                <w:szCs w:val="18"/>
              </w:rPr>
            </w:pPr>
          </w:p>
        </w:tc>
        <w:tc>
          <w:tcPr>
            <w:tcW w:w="1667" w:type="dxa"/>
            <w:tcBorders>
              <w:bottom w:val="single" w:sz="4" w:space="0" w:color="auto"/>
            </w:tcBorders>
          </w:tcPr>
          <w:p w14:paraId="724E94DE" w14:textId="77777777" w:rsidR="001808CD" w:rsidRDefault="001808CD" w:rsidP="001808CD">
            <w:pPr>
              <w:jc w:val="center"/>
              <w:rPr>
                <w:b/>
                <w:sz w:val="18"/>
                <w:szCs w:val="18"/>
              </w:rPr>
            </w:pPr>
            <w:r>
              <w:rPr>
                <w:b/>
                <w:sz w:val="18"/>
                <w:szCs w:val="18"/>
              </w:rPr>
              <w:t>31 Maret/</w:t>
            </w:r>
          </w:p>
          <w:p w14:paraId="6FD179DF" w14:textId="1B0F9DD8" w:rsidR="001808CD" w:rsidRPr="00E71189" w:rsidRDefault="001808CD" w:rsidP="001808CD">
            <w:pPr>
              <w:jc w:val="center"/>
              <w:rPr>
                <w:b/>
                <w:sz w:val="18"/>
                <w:szCs w:val="18"/>
              </w:rPr>
            </w:pPr>
            <w:r>
              <w:rPr>
                <w:b/>
                <w:sz w:val="18"/>
                <w:szCs w:val="18"/>
              </w:rPr>
              <w:t>March 31</w:t>
            </w:r>
            <w:r w:rsidR="00305CA0">
              <w:rPr>
                <w:b/>
                <w:sz w:val="18"/>
                <w:szCs w:val="18"/>
              </w:rPr>
              <w:t>.</w:t>
            </w:r>
            <w:r>
              <w:rPr>
                <w:b/>
                <w:sz w:val="18"/>
                <w:szCs w:val="18"/>
              </w:rPr>
              <w:t xml:space="preserve"> 2020</w:t>
            </w:r>
          </w:p>
        </w:tc>
        <w:tc>
          <w:tcPr>
            <w:tcW w:w="115" w:type="dxa"/>
          </w:tcPr>
          <w:p w14:paraId="523D531A" w14:textId="77777777" w:rsidR="001808CD" w:rsidRPr="00E71189" w:rsidRDefault="001808CD" w:rsidP="001808CD">
            <w:pPr>
              <w:jc w:val="center"/>
              <w:rPr>
                <w:b/>
                <w:sz w:val="18"/>
                <w:szCs w:val="18"/>
              </w:rPr>
            </w:pPr>
          </w:p>
        </w:tc>
        <w:tc>
          <w:tcPr>
            <w:tcW w:w="1666" w:type="dxa"/>
            <w:tcBorders>
              <w:bottom w:val="single" w:sz="4" w:space="0" w:color="auto"/>
            </w:tcBorders>
          </w:tcPr>
          <w:p w14:paraId="2F7194B3" w14:textId="77777777" w:rsidR="001808CD" w:rsidRDefault="001808CD" w:rsidP="001808CD">
            <w:pPr>
              <w:jc w:val="center"/>
              <w:rPr>
                <w:b/>
                <w:sz w:val="18"/>
                <w:szCs w:val="18"/>
              </w:rPr>
            </w:pPr>
            <w:r>
              <w:rPr>
                <w:b/>
                <w:sz w:val="18"/>
                <w:szCs w:val="18"/>
              </w:rPr>
              <w:t>31 Desember/</w:t>
            </w:r>
          </w:p>
          <w:p w14:paraId="15A9E64A" w14:textId="1646F04F" w:rsidR="001808CD" w:rsidRPr="00E71189" w:rsidRDefault="001808CD" w:rsidP="001808CD">
            <w:pPr>
              <w:jc w:val="center"/>
              <w:rPr>
                <w:b/>
                <w:sz w:val="18"/>
                <w:szCs w:val="18"/>
              </w:rPr>
            </w:pPr>
            <w:r>
              <w:rPr>
                <w:b/>
                <w:sz w:val="18"/>
                <w:szCs w:val="18"/>
              </w:rPr>
              <w:t>December 31</w:t>
            </w:r>
            <w:r w:rsidR="00305CA0">
              <w:rPr>
                <w:b/>
                <w:sz w:val="18"/>
                <w:szCs w:val="18"/>
              </w:rPr>
              <w:t>.</w:t>
            </w:r>
            <w:r>
              <w:rPr>
                <w:b/>
                <w:sz w:val="18"/>
                <w:szCs w:val="18"/>
              </w:rPr>
              <w:t xml:space="preserve"> </w:t>
            </w:r>
            <w:r w:rsidRPr="0013526B">
              <w:rPr>
                <w:b/>
                <w:sz w:val="18"/>
                <w:szCs w:val="18"/>
              </w:rPr>
              <w:t>201</w:t>
            </w:r>
            <w:r>
              <w:rPr>
                <w:b/>
                <w:sz w:val="18"/>
                <w:szCs w:val="18"/>
              </w:rPr>
              <w:t>9</w:t>
            </w:r>
          </w:p>
        </w:tc>
        <w:tc>
          <w:tcPr>
            <w:tcW w:w="2874" w:type="dxa"/>
          </w:tcPr>
          <w:p w14:paraId="31F45031" w14:textId="77777777" w:rsidR="001808CD" w:rsidRPr="00E71189" w:rsidRDefault="001808CD" w:rsidP="001808CD">
            <w:pPr>
              <w:ind w:right="34"/>
              <w:jc w:val="right"/>
              <w:rPr>
                <w:i/>
                <w:sz w:val="18"/>
                <w:szCs w:val="18"/>
              </w:rPr>
            </w:pPr>
          </w:p>
        </w:tc>
      </w:tr>
      <w:tr w:rsidR="00753AA2" w:rsidRPr="00E71189" w14:paraId="2B20041E" w14:textId="77777777" w:rsidTr="002108FF">
        <w:trPr>
          <w:trHeight w:val="20"/>
        </w:trPr>
        <w:tc>
          <w:tcPr>
            <w:tcW w:w="2875" w:type="dxa"/>
          </w:tcPr>
          <w:p w14:paraId="3892C307" w14:textId="77777777" w:rsidR="00753AA2" w:rsidRPr="00E71189" w:rsidRDefault="00753AA2" w:rsidP="00753AA2">
            <w:pPr>
              <w:ind w:left="461"/>
              <w:rPr>
                <w:sz w:val="18"/>
                <w:szCs w:val="18"/>
              </w:rPr>
            </w:pPr>
          </w:p>
        </w:tc>
        <w:tc>
          <w:tcPr>
            <w:tcW w:w="1667" w:type="dxa"/>
            <w:tcBorders>
              <w:top w:val="single" w:sz="4" w:space="0" w:color="auto"/>
            </w:tcBorders>
            <w:vAlign w:val="bottom"/>
          </w:tcPr>
          <w:p w14:paraId="7150AF4B" w14:textId="77777777" w:rsidR="00753AA2" w:rsidRPr="00E71189" w:rsidRDefault="00753AA2" w:rsidP="00753AA2">
            <w:pPr>
              <w:ind w:left="28" w:right="28"/>
              <w:jc w:val="right"/>
              <w:rPr>
                <w:sz w:val="18"/>
                <w:szCs w:val="18"/>
              </w:rPr>
            </w:pPr>
          </w:p>
        </w:tc>
        <w:tc>
          <w:tcPr>
            <w:tcW w:w="115" w:type="dxa"/>
            <w:vAlign w:val="bottom"/>
          </w:tcPr>
          <w:p w14:paraId="3F61C296" w14:textId="77777777" w:rsidR="00753AA2" w:rsidRPr="00E71189" w:rsidRDefault="00753AA2" w:rsidP="00753AA2">
            <w:pPr>
              <w:ind w:left="28" w:right="28"/>
              <w:jc w:val="right"/>
              <w:rPr>
                <w:sz w:val="18"/>
                <w:szCs w:val="18"/>
              </w:rPr>
            </w:pPr>
          </w:p>
        </w:tc>
        <w:tc>
          <w:tcPr>
            <w:tcW w:w="1666" w:type="dxa"/>
            <w:tcBorders>
              <w:top w:val="single" w:sz="4" w:space="0" w:color="auto"/>
            </w:tcBorders>
            <w:vAlign w:val="bottom"/>
          </w:tcPr>
          <w:p w14:paraId="2472D587" w14:textId="77777777" w:rsidR="00753AA2" w:rsidRPr="00E71189" w:rsidRDefault="00753AA2" w:rsidP="00753AA2">
            <w:pPr>
              <w:ind w:left="28" w:right="28"/>
              <w:jc w:val="right"/>
              <w:rPr>
                <w:sz w:val="18"/>
                <w:szCs w:val="18"/>
              </w:rPr>
            </w:pPr>
          </w:p>
        </w:tc>
        <w:tc>
          <w:tcPr>
            <w:tcW w:w="2874" w:type="dxa"/>
          </w:tcPr>
          <w:p w14:paraId="64765822" w14:textId="77777777" w:rsidR="00753AA2" w:rsidRPr="00E71189" w:rsidRDefault="00753AA2" w:rsidP="00753AA2">
            <w:pPr>
              <w:ind w:right="57"/>
              <w:jc w:val="right"/>
              <w:rPr>
                <w:i/>
                <w:sz w:val="18"/>
                <w:szCs w:val="18"/>
              </w:rPr>
            </w:pPr>
          </w:p>
        </w:tc>
      </w:tr>
      <w:tr w:rsidR="00753AA2" w:rsidRPr="00E71189" w14:paraId="3E464041" w14:textId="77777777" w:rsidTr="002108FF">
        <w:trPr>
          <w:trHeight w:val="70"/>
        </w:trPr>
        <w:tc>
          <w:tcPr>
            <w:tcW w:w="2875" w:type="dxa"/>
          </w:tcPr>
          <w:p w14:paraId="064ABEBB" w14:textId="77777777" w:rsidR="00753AA2" w:rsidRPr="00E71189" w:rsidRDefault="00753AA2" w:rsidP="006B1D26">
            <w:pPr>
              <w:ind w:left="769" w:hanging="142"/>
              <w:rPr>
                <w:sz w:val="18"/>
                <w:szCs w:val="18"/>
                <w:u w:val="single"/>
              </w:rPr>
            </w:pPr>
            <w:r w:rsidRPr="00E71189">
              <w:rPr>
                <w:sz w:val="18"/>
                <w:szCs w:val="18"/>
                <w:u w:val="single"/>
              </w:rPr>
              <w:t>Perusahaan</w:t>
            </w:r>
            <w:r>
              <w:rPr>
                <w:sz w:val="18"/>
                <w:szCs w:val="18"/>
                <w:u w:val="single"/>
              </w:rPr>
              <w:t>:</w:t>
            </w:r>
          </w:p>
        </w:tc>
        <w:tc>
          <w:tcPr>
            <w:tcW w:w="1667" w:type="dxa"/>
            <w:shd w:val="clear" w:color="auto" w:fill="auto"/>
            <w:vAlign w:val="bottom"/>
          </w:tcPr>
          <w:p w14:paraId="7C83B883" w14:textId="77777777" w:rsidR="00753AA2" w:rsidRPr="00E71189" w:rsidRDefault="00753AA2" w:rsidP="00753AA2">
            <w:pPr>
              <w:ind w:right="57"/>
              <w:jc w:val="right"/>
              <w:rPr>
                <w:sz w:val="18"/>
                <w:szCs w:val="18"/>
              </w:rPr>
            </w:pPr>
          </w:p>
        </w:tc>
        <w:tc>
          <w:tcPr>
            <w:tcW w:w="115" w:type="dxa"/>
            <w:vAlign w:val="bottom"/>
          </w:tcPr>
          <w:p w14:paraId="644A7CB6" w14:textId="77777777" w:rsidR="00753AA2" w:rsidRPr="00E71189" w:rsidRDefault="00753AA2" w:rsidP="00753AA2">
            <w:pPr>
              <w:ind w:right="57"/>
              <w:jc w:val="right"/>
              <w:rPr>
                <w:sz w:val="18"/>
                <w:szCs w:val="18"/>
              </w:rPr>
            </w:pPr>
          </w:p>
        </w:tc>
        <w:tc>
          <w:tcPr>
            <w:tcW w:w="1666" w:type="dxa"/>
            <w:vAlign w:val="bottom"/>
          </w:tcPr>
          <w:p w14:paraId="189F4D87" w14:textId="77777777" w:rsidR="00753AA2" w:rsidRPr="00E71189" w:rsidRDefault="00753AA2" w:rsidP="00753AA2">
            <w:pPr>
              <w:ind w:right="57"/>
              <w:jc w:val="right"/>
              <w:rPr>
                <w:sz w:val="18"/>
                <w:szCs w:val="18"/>
              </w:rPr>
            </w:pPr>
          </w:p>
        </w:tc>
        <w:tc>
          <w:tcPr>
            <w:tcW w:w="2874" w:type="dxa"/>
            <w:vAlign w:val="bottom"/>
          </w:tcPr>
          <w:p w14:paraId="326DEDBD" w14:textId="77777777" w:rsidR="00753AA2" w:rsidRPr="00753AA2" w:rsidRDefault="00753AA2" w:rsidP="00753AA2">
            <w:pPr>
              <w:pStyle w:val="BodyTextIndent3"/>
              <w:tabs>
                <w:tab w:val="left" w:pos="336"/>
              </w:tabs>
              <w:ind w:left="0" w:right="57" w:firstLine="0"/>
              <w:jc w:val="right"/>
              <w:rPr>
                <w:i/>
                <w:sz w:val="18"/>
                <w:szCs w:val="18"/>
                <w:u w:val="single"/>
                <w:lang w:val="id-ID"/>
              </w:rPr>
            </w:pPr>
            <w:r w:rsidRPr="00753AA2">
              <w:rPr>
                <w:i/>
                <w:sz w:val="18"/>
                <w:szCs w:val="18"/>
                <w:u w:val="single"/>
                <w:lang w:val="en-US"/>
              </w:rPr>
              <w:t>The Company</w:t>
            </w:r>
            <w:r w:rsidRPr="00753AA2">
              <w:rPr>
                <w:i/>
                <w:sz w:val="18"/>
                <w:szCs w:val="18"/>
                <w:u w:val="single"/>
                <w:lang w:val="id-ID"/>
              </w:rPr>
              <w:t>:</w:t>
            </w:r>
          </w:p>
        </w:tc>
      </w:tr>
      <w:tr w:rsidR="0052367A" w:rsidRPr="001C1A17" w14:paraId="4CFB46EF" w14:textId="77777777" w:rsidTr="002108FF">
        <w:trPr>
          <w:trHeight w:val="70"/>
        </w:trPr>
        <w:tc>
          <w:tcPr>
            <w:tcW w:w="2875" w:type="dxa"/>
          </w:tcPr>
          <w:p w14:paraId="281BDA3A" w14:textId="77777777" w:rsidR="0052367A" w:rsidRPr="001C1A17" w:rsidRDefault="0052367A" w:rsidP="0052367A">
            <w:pPr>
              <w:ind w:left="769"/>
              <w:rPr>
                <w:sz w:val="18"/>
                <w:szCs w:val="18"/>
              </w:rPr>
            </w:pPr>
            <w:r w:rsidRPr="001C1A17">
              <w:rPr>
                <w:sz w:val="18"/>
                <w:szCs w:val="18"/>
              </w:rPr>
              <w:t>Pasal 21</w:t>
            </w:r>
          </w:p>
        </w:tc>
        <w:tc>
          <w:tcPr>
            <w:tcW w:w="1667" w:type="dxa"/>
            <w:shd w:val="clear" w:color="auto" w:fill="auto"/>
            <w:vAlign w:val="bottom"/>
          </w:tcPr>
          <w:p w14:paraId="4F8FAA07" w14:textId="247C4D51" w:rsidR="0052367A" w:rsidRPr="001C1A17" w:rsidRDefault="00801B2B" w:rsidP="0052367A">
            <w:pPr>
              <w:ind w:right="57"/>
              <w:jc w:val="right"/>
              <w:rPr>
                <w:sz w:val="18"/>
                <w:szCs w:val="18"/>
                <w:lang w:val="en-ID"/>
              </w:rPr>
            </w:pPr>
            <w:r>
              <w:rPr>
                <w:sz w:val="18"/>
                <w:szCs w:val="18"/>
                <w:lang w:val="en-ID"/>
              </w:rPr>
              <w:t>1.919.762.325</w:t>
            </w:r>
          </w:p>
        </w:tc>
        <w:tc>
          <w:tcPr>
            <w:tcW w:w="115" w:type="dxa"/>
            <w:vAlign w:val="bottom"/>
          </w:tcPr>
          <w:p w14:paraId="557AA8E8" w14:textId="77777777" w:rsidR="0052367A" w:rsidRPr="001C1A17" w:rsidRDefault="0052367A" w:rsidP="0052367A">
            <w:pPr>
              <w:ind w:right="57"/>
              <w:jc w:val="right"/>
              <w:rPr>
                <w:sz w:val="18"/>
                <w:szCs w:val="18"/>
              </w:rPr>
            </w:pPr>
          </w:p>
        </w:tc>
        <w:tc>
          <w:tcPr>
            <w:tcW w:w="1666" w:type="dxa"/>
            <w:vAlign w:val="bottom"/>
          </w:tcPr>
          <w:p w14:paraId="5DAEA85E" w14:textId="2E80DE74" w:rsidR="0052367A" w:rsidRPr="001C1A17" w:rsidRDefault="0052367A" w:rsidP="0052367A">
            <w:pPr>
              <w:ind w:right="57"/>
              <w:jc w:val="right"/>
              <w:rPr>
                <w:sz w:val="18"/>
                <w:szCs w:val="18"/>
                <w:lang w:val="id-ID"/>
              </w:rPr>
            </w:pPr>
            <w:r w:rsidRPr="00713454">
              <w:rPr>
                <w:sz w:val="18"/>
                <w:szCs w:val="18"/>
                <w:lang w:val="en-ID"/>
              </w:rPr>
              <w:t>2.612.602.492</w:t>
            </w:r>
          </w:p>
        </w:tc>
        <w:tc>
          <w:tcPr>
            <w:tcW w:w="2874" w:type="dxa"/>
            <w:vAlign w:val="bottom"/>
          </w:tcPr>
          <w:p w14:paraId="107E010F" w14:textId="77777777" w:rsidR="0052367A" w:rsidRPr="001C1A17" w:rsidRDefault="0052367A" w:rsidP="0052367A">
            <w:pPr>
              <w:pStyle w:val="BodyTextIndent3"/>
              <w:tabs>
                <w:tab w:val="left" w:pos="336"/>
              </w:tabs>
              <w:ind w:left="0" w:right="198" w:firstLine="0"/>
              <w:jc w:val="right"/>
              <w:rPr>
                <w:i/>
                <w:sz w:val="18"/>
                <w:szCs w:val="18"/>
                <w:lang w:val="en-US"/>
              </w:rPr>
            </w:pPr>
            <w:r w:rsidRPr="001C1A17">
              <w:rPr>
                <w:i/>
                <w:sz w:val="18"/>
                <w:szCs w:val="18"/>
                <w:lang w:val="en-US"/>
              </w:rPr>
              <w:t>Article 21</w:t>
            </w:r>
          </w:p>
        </w:tc>
      </w:tr>
      <w:tr w:rsidR="0052367A" w:rsidRPr="001C1A17" w14:paraId="11B553DC" w14:textId="77777777" w:rsidTr="002108FF">
        <w:trPr>
          <w:trHeight w:val="70"/>
        </w:trPr>
        <w:tc>
          <w:tcPr>
            <w:tcW w:w="2875" w:type="dxa"/>
          </w:tcPr>
          <w:p w14:paraId="5EDD1849" w14:textId="77777777" w:rsidR="0052367A" w:rsidRPr="001C1A17" w:rsidRDefault="0052367A" w:rsidP="0052367A">
            <w:pPr>
              <w:ind w:left="769"/>
              <w:rPr>
                <w:sz w:val="18"/>
                <w:szCs w:val="18"/>
              </w:rPr>
            </w:pPr>
            <w:r w:rsidRPr="001C1A17">
              <w:rPr>
                <w:sz w:val="18"/>
                <w:szCs w:val="18"/>
              </w:rPr>
              <w:t>Pasal 23</w:t>
            </w:r>
          </w:p>
        </w:tc>
        <w:tc>
          <w:tcPr>
            <w:tcW w:w="1667" w:type="dxa"/>
            <w:shd w:val="clear" w:color="auto" w:fill="auto"/>
            <w:vAlign w:val="bottom"/>
          </w:tcPr>
          <w:p w14:paraId="62F9A413" w14:textId="3EF80E1B" w:rsidR="0052367A" w:rsidRPr="001C1A17" w:rsidRDefault="00801B2B" w:rsidP="0052367A">
            <w:pPr>
              <w:ind w:right="57"/>
              <w:jc w:val="right"/>
              <w:rPr>
                <w:sz w:val="18"/>
                <w:szCs w:val="18"/>
              </w:rPr>
            </w:pPr>
            <w:r>
              <w:rPr>
                <w:sz w:val="18"/>
                <w:szCs w:val="18"/>
              </w:rPr>
              <w:t>45.441.753</w:t>
            </w:r>
          </w:p>
        </w:tc>
        <w:tc>
          <w:tcPr>
            <w:tcW w:w="115" w:type="dxa"/>
            <w:vAlign w:val="bottom"/>
          </w:tcPr>
          <w:p w14:paraId="1E185AE6" w14:textId="77777777" w:rsidR="0052367A" w:rsidRPr="001C1A17" w:rsidRDefault="0052367A" w:rsidP="0052367A">
            <w:pPr>
              <w:ind w:right="57"/>
              <w:jc w:val="right"/>
              <w:rPr>
                <w:sz w:val="18"/>
                <w:szCs w:val="18"/>
              </w:rPr>
            </w:pPr>
          </w:p>
        </w:tc>
        <w:tc>
          <w:tcPr>
            <w:tcW w:w="1666" w:type="dxa"/>
            <w:vAlign w:val="bottom"/>
          </w:tcPr>
          <w:p w14:paraId="2763F5E9" w14:textId="38A2C746" w:rsidR="0052367A" w:rsidRPr="001C1A17" w:rsidRDefault="0052367A" w:rsidP="0052367A">
            <w:pPr>
              <w:ind w:right="57"/>
              <w:jc w:val="right"/>
              <w:rPr>
                <w:sz w:val="18"/>
                <w:szCs w:val="18"/>
              </w:rPr>
            </w:pPr>
            <w:r w:rsidRPr="00713454">
              <w:rPr>
                <w:sz w:val="18"/>
                <w:szCs w:val="18"/>
              </w:rPr>
              <w:t>60.730.247</w:t>
            </w:r>
          </w:p>
        </w:tc>
        <w:tc>
          <w:tcPr>
            <w:tcW w:w="2874" w:type="dxa"/>
            <w:vAlign w:val="bottom"/>
          </w:tcPr>
          <w:p w14:paraId="40DDA2A4" w14:textId="77777777" w:rsidR="0052367A" w:rsidRPr="001C1A17" w:rsidRDefault="0052367A" w:rsidP="0052367A">
            <w:pPr>
              <w:pStyle w:val="BodyTextIndent3"/>
              <w:tabs>
                <w:tab w:val="left" w:pos="336"/>
              </w:tabs>
              <w:ind w:left="0" w:right="198" w:firstLine="0"/>
              <w:jc w:val="right"/>
              <w:rPr>
                <w:i/>
                <w:sz w:val="18"/>
                <w:szCs w:val="18"/>
                <w:lang w:val="en-US"/>
              </w:rPr>
            </w:pPr>
            <w:r w:rsidRPr="001C1A17">
              <w:rPr>
                <w:i/>
                <w:sz w:val="18"/>
                <w:szCs w:val="18"/>
                <w:lang w:val="en-US"/>
              </w:rPr>
              <w:t>Article 23</w:t>
            </w:r>
          </w:p>
        </w:tc>
      </w:tr>
      <w:tr w:rsidR="0052367A" w:rsidRPr="001C1A17" w14:paraId="502C4594" w14:textId="77777777" w:rsidTr="002108FF">
        <w:trPr>
          <w:trHeight w:val="70"/>
        </w:trPr>
        <w:tc>
          <w:tcPr>
            <w:tcW w:w="2875" w:type="dxa"/>
          </w:tcPr>
          <w:p w14:paraId="745ED012" w14:textId="77777777" w:rsidR="0052367A" w:rsidRPr="001C1A17" w:rsidRDefault="0052367A" w:rsidP="0052367A">
            <w:pPr>
              <w:ind w:left="769"/>
              <w:rPr>
                <w:sz w:val="18"/>
                <w:szCs w:val="18"/>
              </w:rPr>
            </w:pPr>
            <w:r w:rsidRPr="001C1A17">
              <w:rPr>
                <w:sz w:val="18"/>
                <w:szCs w:val="18"/>
              </w:rPr>
              <w:t>Pasal 4 2</w:t>
            </w:r>
          </w:p>
        </w:tc>
        <w:tc>
          <w:tcPr>
            <w:tcW w:w="1667" w:type="dxa"/>
            <w:tcBorders>
              <w:bottom w:val="nil"/>
            </w:tcBorders>
            <w:shd w:val="clear" w:color="auto" w:fill="auto"/>
            <w:vAlign w:val="bottom"/>
          </w:tcPr>
          <w:p w14:paraId="746148BC" w14:textId="07A7B556" w:rsidR="0052367A" w:rsidRPr="001C1A17" w:rsidRDefault="00801B2B" w:rsidP="0052367A">
            <w:pPr>
              <w:ind w:right="57"/>
              <w:jc w:val="right"/>
              <w:rPr>
                <w:sz w:val="18"/>
                <w:szCs w:val="18"/>
              </w:rPr>
            </w:pPr>
            <w:r>
              <w:rPr>
                <w:sz w:val="18"/>
                <w:szCs w:val="18"/>
              </w:rPr>
              <w:t>136.794.736</w:t>
            </w:r>
          </w:p>
        </w:tc>
        <w:tc>
          <w:tcPr>
            <w:tcW w:w="115" w:type="dxa"/>
            <w:vAlign w:val="bottom"/>
          </w:tcPr>
          <w:p w14:paraId="53303A6C" w14:textId="77777777" w:rsidR="0052367A" w:rsidRPr="001C1A17" w:rsidRDefault="0052367A" w:rsidP="0052367A">
            <w:pPr>
              <w:ind w:right="57"/>
              <w:jc w:val="right"/>
              <w:rPr>
                <w:sz w:val="18"/>
                <w:szCs w:val="18"/>
              </w:rPr>
            </w:pPr>
          </w:p>
        </w:tc>
        <w:tc>
          <w:tcPr>
            <w:tcW w:w="1666" w:type="dxa"/>
            <w:tcBorders>
              <w:bottom w:val="nil"/>
            </w:tcBorders>
            <w:vAlign w:val="bottom"/>
          </w:tcPr>
          <w:p w14:paraId="7C3E3140" w14:textId="05D65285" w:rsidR="0052367A" w:rsidRPr="001C1A17" w:rsidRDefault="0052367A" w:rsidP="0052367A">
            <w:pPr>
              <w:ind w:right="57"/>
              <w:jc w:val="right"/>
              <w:rPr>
                <w:sz w:val="18"/>
                <w:szCs w:val="18"/>
              </w:rPr>
            </w:pPr>
            <w:r>
              <w:rPr>
                <w:sz w:val="18"/>
                <w:szCs w:val="18"/>
              </w:rPr>
              <w:t>-</w:t>
            </w:r>
          </w:p>
        </w:tc>
        <w:tc>
          <w:tcPr>
            <w:tcW w:w="2874" w:type="dxa"/>
            <w:vAlign w:val="bottom"/>
          </w:tcPr>
          <w:p w14:paraId="78F4534A" w14:textId="77777777" w:rsidR="0052367A" w:rsidRPr="001C1A17" w:rsidRDefault="0052367A" w:rsidP="0052367A">
            <w:pPr>
              <w:pStyle w:val="BodyTextIndent3"/>
              <w:tabs>
                <w:tab w:val="left" w:pos="336"/>
              </w:tabs>
              <w:ind w:left="0" w:right="198" w:firstLine="0"/>
              <w:jc w:val="right"/>
              <w:rPr>
                <w:i/>
                <w:sz w:val="18"/>
                <w:szCs w:val="18"/>
                <w:lang w:val="en-US"/>
              </w:rPr>
            </w:pPr>
            <w:r w:rsidRPr="001C1A17">
              <w:rPr>
                <w:i/>
                <w:sz w:val="18"/>
                <w:szCs w:val="18"/>
                <w:lang w:val="en-US"/>
              </w:rPr>
              <w:t>Article 4 2</w:t>
            </w:r>
          </w:p>
        </w:tc>
      </w:tr>
      <w:tr w:rsidR="0052367A" w:rsidRPr="001C1A17" w14:paraId="5B4BAE50" w14:textId="77777777" w:rsidTr="002108FF">
        <w:trPr>
          <w:trHeight w:val="70"/>
        </w:trPr>
        <w:tc>
          <w:tcPr>
            <w:tcW w:w="2875" w:type="dxa"/>
          </w:tcPr>
          <w:p w14:paraId="6D4971DA" w14:textId="5B4D3B7C" w:rsidR="0052367A" w:rsidRPr="001C1A17" w:rsidRDefault="0052367A" w:rsidP="0052367A">
            <w:pPr>
              <w:ind w:left="769"/>
              <w:rPr>
                <w:sz w:val="18"/>
                <w:szCs w:val="18"/>
              </w:rPr>
            </w:pPr>
            <w:r>
              <w:rPr>
                <w:sz w:val="18"/>
                <w:szCs w:val="18"/>
              </w:rPr>
              <w:t>Pasal 29</w:t>
            </w:r>
          </w:p>
        </w:tc>
        <w:tc>
          <w:tcPr>
            <w:tcW w:w="1667" w:type="dxa"/>
            <w:tcBorders>
              <w:bottom w:val="nil"/>
            </w:tcBorders>
            <w:shd w:val="clear" w:color="auto" w:fill="auto"/>
            <w:vAlign w:val="bottom"/>
          </w:tcPr>
          <w:p w14:paraId="35A1BCE5" w14:textId="5FBB288F" w:rsidR="0052367A" w:rsidRPr="001C1A17" w:rsidRDefault="00801B2B" w:rsidP="0052367A">
            <w:pPr>
              <w:ind w:right="57"/>
              <w:jc w:val="right"/>
              <w:rPr>
                <w:sz w:val="18"/>
                <w:szCs w:val="18"/>
              </w:rPr>
            </w:pPr>
            <w:r>
              <w:rPr>
                <w:sz w:val="18"/>
                <w:szCs w:val="18"/>
              </w:rPr>
              <w:t>1.448.192.090</w:t>
            </w:r>
          </w:p>
        </w:tc>
        <w:tc>
          <w:tcPr>
            <w:tcW w:w="115" w:type="dxa"/>
            <w:vAlign w:val="bottom"/>
          </w:tcPr>
          <w:p w14:paraId="18D86B0B" w14:textId="77777777" w:rsidR="0052367A" w:rsidRPr="001C1A17" w:rsidRDefault="0052367A" w:rsidP="0052367A">
            <w:pPr>
              <w:ind w:right="57"/>
              <w:jc w:val="right"/>
              <w:rPr>
                <w:sz w:val="18"/>
                <w:szCs w:val="18"/>
              </w:rPr>
            </w:pPr>
          </w:p>
        </w:tc>
        <w:tc>
          <w:tcPr>
            <w:tcW w:w="1666" w:type="dxa"/>
            <w:tcBorders>
              <w:bottom w:val="nil"/>
            </w:tcBorders>
            <w:vAlign w:val="bottom"/>
          </w:tcPr>
          <w:p w14:paraId="418F5445" w14:textId="4C461636" w:rsidR="0052367A" w:rsidRPr="001C1A17" w:rsidRDefault="0052367A" w:rsidP="0052367A">
            <w:pPr>
              <w:ind w:right="57"/>
              <w:jc w:val="right"/>
              <w:rPr>
                <w:sz w:val="18"/>
                <w:szCs w:val="18"/>
              </w:rPr>
            </w:pPr>
            <w:r w:rsidRPr="00131B3B">
              <w:rPr>
                <w:sz w:val="18"/>
                <w:szCs w:val="18"/>
              </w:rPr>
              <w:t>793.141.470</w:t>
            </w:r>
          </w:p>
        </w:tc>
        <w:tc>
          <w:tcPr>
            <w:tcW w:w="2874" w:type="dxa"/>
            <w:vAlign w:val="bottom"/>
          </w:tcPr>
          <w:p w14:paraId="32A0BBA6" w14:textId="0B636E49" w:rsidR="0052367A" w:rsidRPr="001C1A17" w:rsidRDefault="0052367A" w:rsidP="0052367A">
            <w:pPr>
              <w:pStyle w:val="BodyTextIndent3"/>
              <w:tabs>
                <w:tab w:val="left" w:pos="336"/>
              </w:tabs>
              <w:ind w:left="0" w:right="198" w:firstLine="0"/>
              <w:jc w:val="right"/>
              <w:rPr>
                <w:i/>
                <w:sz w:val="18"/>
                <w:szCs w:val="18"/>
                <w:lang w:val="en-US"/>
              </w:rPr>
            </w:pPr>
            <w:r>
              <w:rPr>
                <w:i/>
                <w:sz w:val="18"/>
                <w:szCs w:val="18"/>
                <w:lang w:val="en-US"/>
              </w:rPr>
              <w:t>Article 29</w:t>
            </w:r>
          </w:p>
        </w:tc>
      </w:tr>
      <w:tr w:rsidR="0052367A" w:rsidRPr="001C1A17" w14:paraId="18864AC0" w14:textId="77777777" w:rsidTr="002108FF">
        <w:trPr>
          <w:trHeight w:val="70"/>
        </w:trPr>
        <w:tc>
          <w:tcPr>
            <w:tcW w:w="2875" w:type="dxa"/>
          </w:tcPr>
          <w:p w14:paraId="4D7616CE" w14:textId="77777777" w:rsidR="0052367A" w:rsidRPr="001C1A17" w:rsidRDefault="0052367A" w:rsidP="0052367A">
            <w:pPr>
              <w:ind w:left="769"/>
              <w:rPr>
                <w:sz w:val="18"/>
                <w:szCs w:val="18"/>
              </w:rPr>
            </w:pPr>
            <w:r w:rsidRPr="001C1A17">
              <w:rPr>
                <w:sz w:val="18"/>
                <w:szCs w:val="18"/>
              </w:rPr>
              <w:t>Pajak Pertambahan Nilai</w:t>
            </w:r>
          </w:p>
        </w:tc>
        <w:tc>
          <w:tcPr>
            <w:tcW w:w="1667" w:type="dxa"/>
            <w:tcBorders>
              <w:bottom w:val="single" w:sz="4" w:space="0" w:color="auto"/>
            </w:tcBorders>
            <w:shd w:val="clear" w:color="auto" w:fill="auto"/>
            <w:vAlign w:val="bottom"/>
          </w:tcPr>
          <w:p w14:paraId="4655C716" w14:textId="52F86858" w:rsidR="0052367A" w:rsidRPr="001C1A17" w:rsidRDefault="00801B2B" w:rsidP="0052367A">
            <w:pPr>
              <w:ind w:right="57"/>
              <w:jc w:val="right"/>
              <w:rPr>
                <w:sz w:val="18"/>
                <w:szCs w:val="18"/>
              </w:rPr>
            </w:pPr>
            <w:r>
              <w:rPr>
                <w:sz w:val="18"/>
                <w:szCs w:val="18"/>
              </w:rPr>
              <w:t>294.757.013</w:t>
            </w:r>
          </w:p>
        </w:tc>
        <w:tc>
          <w:tcPr>
            <w:tcW w:w="115" w:type="dxa"/>
            <w:vAlign w:val="bottom"/>
          </w:tcPr>
          <w:p w14:paraId="63C36032" w14:textId="77777777" w:rsidR="0052367A" w:rsidRPr="001C1A17" w:rsidRDefault="0052367A" w:rsidP="0052367A">
            <w:pPr>
              <w:ind w:right="57"/>
              <w:jc w:val="right"/>
              <w:rPr>
                <w:sz w:val="18"/>
                <w:szCs w:val="18"/>
              </w:rPr>
            </w:pPr>
          </w:p>
        </w:tc>
        <w:tc>
          <w:tcPr>
            <w:tcW w:w="1666" w:type="dxa"/>
            <w:tcBorders>
              <w:bottom w:val="single" w:sz="4" w:space="0" w:color="auto"/>
            </w:tcBorders>
            <w:vAlign w:val="bottom"/>
          </w:tcPr>
          <w:p w14:paraId="594E49C3" w14:textId="17CDF84D" w:rsidR="0052367A" w:rsidRPr="001C1A17" w:rsidRDefault="0052367A" w:rsidP="0052367A">
            <w:pPr>
              <w:ind w:right="57"/>
              <w:jc w:val="right"/>
              <w:rPr>
                <w:sz w:val="18"/>
                <w:szCs w:val="18"/>
              </w:rPr>
            </w:pPr>
            <w:r w:rsidRPr="00713454">
              <w:rPr>
                <w:sz w:val="18"/>
                <w:szCs w:val="18"/>
              </w:rPr>
              <w:t>377.732.478</w:t>
            </w:r>
          </w:p>
        </w:tc>
        <w:tc>
          <w:tcPr>
            <w:tcW w:w="2874" w:type="dxa"/>
            <w:vAlign w:val="bottom"/>
          </w:tcPr>
          <w:p w14:paraId="2B709163" w14:textId="77777777" w:rsidR="0052367A" w:rsidRPr="001C1A17" w:rsidRDefault="0052367A" w:rsidP="0052367A">
            <w:pPr>
              <w:pStyle w:val="BodyTextIndent3"/>
              <w:tabs>
                <w:tab w:val="left" w:pos="336"/>
              </w:tabs>
              <w:ind w:left="0" w:right="198" w:firstLine="0"/>
              <w:jc w:val="right"/>
              <w:rPr>
                <w:i/>
                <w:sz w:val="18"/>
                <w:szCs w:val="18"/>
                <w:lang w:val="en-US"/>
              </w:rPr>
            </w:pPr>
            <w:r w:rsidRPr="001C1A17">
              <w:rPr>
                <w:i/>
                <w:sz w:val="18"/>
                <w:szCs w:val="18"/>
                <w:lang w:val="en-US"/>
              </w:rPr>
              <w:t>Value Added Tax</w:t>
            </w:r>
          </w:p>
        </w:tc>
      </w:tr>
      <w:tr w:rsidR="0052367A" w:rsidRPr="001C1A17" w14:paraId="3CD69324" w14:textId="77777777" w:rsidTr="002108FF">
        <w:trPr>
          <w:trHeight w:val="70"/>
        </w:trPr>
        <w:tc>
          <w:tcPr>
            <w:tcW w:w="2875" w:type="dxa"/>
            <w:tcBorders>
              <w:bottom w:val="nil"/>
            </w:tcBorders>
          </w:tcPr>
          <w:p w14:paraId="72EE5BAC" w14:textId="77777777" w:rsidR="0052367A" w:rsidRPr="001C1A17" w:rsidRDefault="0052367A" w:rsidP="0052367A">
            <w:pPr>
              <w:ind w:left="769"/>
              <w:rPr>
                <w:sz w:val="18"/>
                <w:szCs w:val="18"/>
              </w:rPr>
            </w:pPr>
          </w:p>
        </w:tc>
        <w:tc>
          <w:tcPr>
            <w:tcW w:w="1667" w:type="dxa"/>
            <w:tcBorders>
              <w:top w:val="single" w:sz="4" w:space="0" w:color="auto"/>
              <w:bottom w:val="nil"/>
            </w:tcBorders>
            <w:shd w:val="clear" w:color="auto" w:fill="auto"/>
            <w:vAlign w:val="bottom"/>
          </w:tcPr>
          <w:p w14:paraId="3D3FD0F7" w14:textId="77777777" w:rsidR="0052367A" w:rsidRPr="001C1A17" w:rsidRDefault="0052367A" w:rsidP="0052367A">
            <w:pPr>
              <w:ind w:right="57"/>
              <w:jc w:val="right"/>
              <w:rPr>
                <w:sz w:val="18"/>
                <w:szCs w:val="18"/>
              </w:rPr>
            </w:pPr>
          </w:p>
        </w:tc>
        <w:tc>
          <w:tcPr>
            <w:tcW w:w="115" w:type="dxa"/>
            <w:tcBorders>
              <w:bottom w:val="nil"/>
            </w:tcBorders>
            <w:vAlign w:val="bottom"/>
          </w:tcPr>
          <w:p w14:paraId="54407AC2" w14:textId="77777777" w:rsidR="0052367A" w:rsidRPr="001C1A17" w:rsidRDefault="0052367A" w:rsidP="0052367A">
            <w:pPr>
              <w:ind w:right="57"/>
              <w:jc w:val="right"/>
              <w:rPr>
                <w:sz w:val="18"/>
                <w:szCs w:val="18"/>
              </w:rPr>
            </w:pPr>
          </w:p>
        </w:tc>
        <w:tc>
          <w:tcPr>
            <w:tcW w:w="1666" w:type="dxa"/>
            <w:tcBorders>
              <w:top w:val="single" w:sz="4" w:space="0" w:color="auto"/>
              <w:bottom w:val="nil"/>
            </w:tcBorders>
            <w:vAlign w:val="bottom"/>
          </w:tcPr>
          <w:p w14:paraId="48B234F3" w14:textId="77777777" w:rsidR="0052367A" w:rsidRPr="001C1A17" w:rsidRDefault="0052367A" w:rsidP="0052367A">
            <w:pPr>
              <w:ind w:right="57"/>
              <w:jc w:val="right"/>
              <w:rPr>
                <w:sz w:val="18"/>
                <w:szCs w:val="18"/>
              </w:rPr>
            </w:pPr>
          </w:p>
        </w:tc>
        <w:tc>
          <w:tcPr>
            <w:tcW w:w="2874" w:type="dxa"/>
            <w:tcBorders>
              <w:bottom w:val="nil"/>
            </w:tcBorders>
            <w:vAlign w:val="bottom"/>
          </w:tcPr>
          <w:p w14:paraId="77A62B43" w14:textId="77777777" w:rsidR="0052367A" w:rsidRPr="001C1A17" w:rsidRDefault="0052367A" w:rsidP="0052367A">
            <w:pPr>
              <w:pStyle w:val="BodyTextIndent3"/>
              <w:tabs>
                <w:tab w:val="left" w:pos="336"/>
              </w:tabs>
              <w:ind w:left="0" w:right="198" w:firstLine="0"/>
              <w:jc w:val="right"/>
              <w:rPr>
                <w:i/>
                <w:sz w:val="18"/>
                <w:szCs w:val="18"/>
                <w:lang w:val="en-US"/>
              </w:rPr>
            </w:pPr>
          </w:p>
        </w:tc>
      </w:tr>
      <w:tr w:rsidR="0052367A" w:rsidRPr="001C1A17" w14:paraId="0CCB8288" w14:textId="77777777" w:rsidTr="002108FF">
        <w:trPr>
          <w:trHeight w:val="70"/>
        </w:trPr>
        <w:tc>
          <w:tcPr>
            <w:tcW w:w="2875" w:type="dxa"/>
            <w:tcBorders>
              <w:bottom w:val="nil"/>
            </w:tcBorders>
          </w:tcPr>
          <w:p w14:paraId="0ED791D7" w14:textId="77777777" w:rsidR="0052367A" w:rsidRPr="001C1A17" w:rsidRDefault="0052367A" w:rsidP="0052367A">
            <w:pPr>
              <w:ind w:left="769" w:hanging="142"/>
              <w:rPr>
                <w:sz w:val="18"/>
                <w:szCs w:val="18"/>
              </w:rPr>
            </w:pPr>
            <w:r w:rsidRPr="001C1A17">
              <w:rPr>
                <w:sz w:val="18"/>
                <w:szCs w:val="18"/>
              </w:rPr>
              <w:t>Sub jumlah</w:t>
            </w:r>
          </w:p>
        </w:tc>
        <w:tc>
          <w:tcPr>
            <w:tcW w:w="1667" w:type="dxa"/>
            <w:tcBorders>
              <w:bottom w:val="double" w:sz="4" w:space="0" w:color="auto"/>
            </w:tcBorders>
            <w:shd w:val="clear" w:color="auto" w:fill="auto"/>
            <w:vAlign w:val="bottom"/>
          </w:tcPr>
          <w:p w14:paraId="7F029CB3" w14:textId="2F72C1E6" w:rsidR="0052367A" w:rsidRPr="001C1A17" w:rsidRDefault="00801B2B" w:rsidP="0052367A">
            <w:pPr>
              <w:ind w:right="57"/>
              <w:jc w:val="right"/>
              <w:rPr>
                <w:sz w:val="18"/>
                <w:szCs w:val="18"/>
              </w:rPr>
            </w:pPr>
            <w:r>
              <w:rPr>
                <w:sz w:val="18"/>
                <w:szCs w:val="18"/>
              </w:rPr>
              <w:t>3.844.947.917</w:t>
            </w:r>
          </w:p>
        </w:tc>
        <w:tc>
          <w:tcPr>
            <w:tcW w:w="115" w:type="dxa"/>
            <w:tcBorders>
              <w:bottom w:val="nil"/>
            </w:tcBorders>
            <w:vAlign w:val="bottom"/>
          </w:tcPr>
          <w:p w14:paraId="224276B1" w14:textId="77777777" w:rsidR="0052367A" w:rsidRPr="001C1A17" w:rsidRDefault="0052367A" w:rsidP="0052367A">
            <w:pPr>
              <w:ind w:right="57"/>
              <w:jc w:val="right"/>
              <w:rPr>
                <w:sz w:val="18"/>
                <w:szCs w:val="18"/>
              </w:rPr>
            </w:pPr>
          </w:p>
        </w:tc>
        <w:tc>
          <w:tcPr>
            <w:tcW w:w="1666" w:type="dxa"/>
            <w:tcBorders>
              <w:bottom w:val="double" w:sz="4" w:space="0" w:color="auto"/>
            </w:tcBorders>
            <w:vAlign w:val="bottom"/>
          </w:tcPr>
          <w:p w14:paraId="6AD01AEC" w14:textId="56175F72" w:rsidR="0052367A" w:rsidRPr="001C1A17" w:rsidRDefault="0052367A" w:rsidP="0052367A">
            <w:pPr>
              <w:ind w:right="57"/>
              <w:jc w:val="right"/>
              <w:rPr>
                <w:sz w:val="18"/>
                <w:szCs w:val="18"/>
              </w:rPr>
            </w:pPr>
            <w:r>
              <w:rPr>
                <w:sz w:val="18"/>
                <w:szCs w:val="18"/>
              </w:rPr>
              <w:t>3.844.206.687</w:t>
            </w:r>
          </w:p>
        </w:tc>
        <w:tc>
          <w:tcPr>
            <w:tcW w:w="2874" w:type="dxa"/>
            <w:tcBorders>
              <w:bottom w:val="nil"/>
            </w:tcBorders>
            <w:vAlign w:val="bottom"/>
          </w:tcPr>
          <w:p w14:paraId="4CA5B988" w14:textId="77777777" w:rsidR="0052367A" w:rsidRPr="001C1A17" w:rsidRDefault="0052367A" w:rsidP="0052367A">
            <w:pPr>
              <w:pStyle w:val="BodyTextIndent3"/>
              <w:tabs>
                <w:tab w:val="left" w:pos="336"/>
              </w:tabs>
              <w:ind w:left="0" w:right="198" w:firstLine="0"/>
              <w:jc w:val="right"/>
              <w:rPr>
                <w:bCs/>
                <w:sz w:val="18"/>
                <w:szCs w:val="18"/>
                <w:lang w:val="en-US"/>
              </w:rPr>
            </w:pPr>
            <w:r w:rsidRPr="001C1A17">
              <w:rPr>
                <w:i/>
                <w:sz w:val="18"/>
                <w:szCs w:val="18"/>
                <w:lang w:val="en-US"/>
              </w:rPr>
              <w:t>Sub total</w:t>
            </w:r>
          </w:p>
        </w:tc>
      </w:tr>
    </w:tbl>
    <w:p w14:paraId="396ABBF5" w14:textId="4EB97C8C" w:rsidR="00753AA2" w:rsidRPr="001C1A17" w:rsidRDefault="00753AA2" w:rsidP="00E71189">
      <w:pPr>
        <w:rPr>
          <w:sz w:val="14"/>
          <w:szCs w:val="18"/>
        </w:rPr>
      </w:pPr>
    </w:p>
    <w:tbl>
      <w:tblPr>
        <w:tblW w:w="9197" w:type="dxa"/>
        <w:tblInd w:w="420" w:type="dxa"/>
        <w:tblBorders>
          <w:bottom w:val="double" w:sz="4" w:space="0" w:color="auto"/>
        </w:tblBorders>
        <w:tblLayout w:type="fixed"/>
        <w:tblCellMar>
          <w:left w:w="0" w:type="dxa"/>
          <w:right w:w="0" w:type="dxa"/>
        </w:tblCellMar>
        <w:tblLook w:val="01E0" w:firstRow="1" w:lastRow="1" w:firstColumn="1" w:lastColumn="1" w:noHBand="0" w:noVBand="0"/>
      </w:tblPr>
      <w:tblGrid>
        <w:gridCol w:w="2874"/>
        <w:gridCol w:w="1667"/>
        <w:gridCol w:w="115"/>
        <w:gridCol w:w="1666"/>
        <w:gridCol w:w="2875"/>
      </w:tblGrid>
      <w:tr w:rsidR="0052367A" w:rsidRPr="001C1A17" w14:paraId="0C6806E6" w14:textId="77777777" w:rsidTr="002108FF">
        <w:trPr>
          <w:trHeight w:val="70"/>
        </w:trPr>
        <w:tc>
          <w:tcPr>
            <w:tcW w:w="2874" w:type="dxa"/>
            <w:tcBorders>
              <w:top w:val="nil"/>
            </w:tcBorders>
          </w:tcPr>
          <w:p w14:paraId="08F2238B" w14:textId="25BC2D20" w:rsidR="0052367A" w:rsidRPr="001C1A17" w:rsidRDefault="0052367A" w:rsidP="0052367A">
            <w:pPr>
              <w:ind w:left="771" w:hanging="142"/>
              <w:rPr>
                <w:sz w:val="18"/>
                <w:szCs w:val="18"/>
                <w:u w:val="single"/>
              </w:rPr>
            </w:pPr>
            <w:r w:rsidRPr="001C1A17">
              <w:rPr>
                <w:sz w:val="18"/>
                <w:szCs w:val="18"/>
                <w:u w:val="single"/>
              </w:rPr>
              <w:t>Entitas Anak:</w:t>
            </w:r>
          </w:p>
        </w:tc>
        <w:tc>
          <w:tcPr>
            <w:tcW w:w="1667" w:type="dxa"/>
            <w:tcBorders>
              <w:top w:val="nil"/>
            </w:tcBorders>
            <w:shd w:val="clear" w:color="auto" w:fill="auto"/>
            <w:vAlign w:val="bottom"/>
          </w:tcPr>
          <w:p w14:paraId="4C4A3395" w14:textId="229FDA1E" w:rsidR="0052367A" w:rsidRPr="001C1A17" w:rsidRDefault="0052367A" w:rsidP="0052367A">
            <w:pPr>
              <w:ind w:right="57"/>
              <w:jc w:val="right"/>
              <w:rPr>
                <w:sz w:val="18"/>
                <w:szCs w:val="18"/>
              </w:rPr>
            </w:pPr>
          </w:p>
        </w:tc>
        <w:tc>
          <w:tcPr>
            <w:tcW w:w="115" w:type="dxa"/>
            <w:tcBorders>
              <w:top w:val="nil"/>
            </w:tcBorders>
            <w:vAlign w:val="bottom"/>
          </w:tcPr>
          <w:p w14:paraId="55A9BBC9" w14:textId="77777777" w:rsidR="0052367A" w:rsidRPr="001C1A17" w:rsidRDefault="0052367A" w:rsidP="0052367A">
            <w:pPr>
              <w:ind w:right="57"/>
              <w:jc w:val="right"/>
              <w:rPr>
                <w:sz w:val="18"/>
                <w:szCs w:val="18"/>
              </w:rPr>
            </w:pPr>
          </w:p>
        </w:tc>
        <w:tc>
          <w:tcPr>
            <w:tcW w:w="1666" w:type="dxa"/>
            <w:tcBorders>
              <w:top w:val="nil"/>
            </w:tcBorders>
            <w:vAlign w:val="bottom"/>
          </w:tcPr>
          <w:p w14:paraId="6B95F3FF" w14:textId="61E791F3" w:rsidR="0052367A" w:rsidRPr="001C1A17" w:rsidRDefault="0052367A" w:rsidP="0052367A">
            <w:pPr>
              <w:ind w:right="57"/>
              <w:jc w:val="right"/>
              <w:rPr>
                <w:sz w:val="18"/>
                <w:szCs w:val="18"/>
              </w:rPr>
            </w:pPr>
          </w:p>
        </w:tc>
        <w:tc>
          <w:tcPr>
            <w:tcW w:w="2875" w:type="dxa"/>
            <w:tcBorders>
              <w:top w:val="nil"/>
            </w:tcBorders>
            <w:vAlign w:val="bottom"/>
          </w:tcPr>
          <w:p w14:paraId="72BE5FA4" w14:textId="36A6529D" w:rsidR="0052367A" w:rsidRPr="001C1A17" w:rsidRDefault="0052367A" w:rsidP="0052367A">
            <w:pPr>
              <w:pStyle w:val="BodyTextIndent3"/>
              <w:tabs>
                <w:tab w:val="left" w:pos="336"/>
              </w:tabs>
              <w:ind w:left="0" w:right="57" w:firstLine="0"/>
              <w:jc w:val="right"/>
              <w:rPr>
                <w:i/>
                <w:sz w:val="18"/>
                <w:szCs w:val="18"/>
                <w:u w:val="single"/>
                <w:lang w:val="en-US"/>
              </w:rPr>
            </w:pPr>
            <w:r w:rsidRPr="001C1A17">
              <w:rPr>
                <w:i/>
                <w:sz w:val="18"/>
                <w:szCs w:val="18"/>
                <w:u w:val="single"/>
                <w:lang w:val="en-US"/>
              </w:rPr>
              <w:t>Subsidiaries :</w:t>
            </w:r>
          </w:p>
        </w:tc>
      </w:tr>
      <w:tr w:rsidR="0052367A" w:rsidRPr="001C1A17" w14:paraId="0756B028" w14:textId="77777777" w:rsidTr="002108FF">
        <w:trPr>
          <w:trHeight w:val="70"/>
        </w:trPr>
        <w:tc>
          <w:tcPr>
            <w:tcW w:w="2874" w:type="dxa"/>
          </w:tcPr>
          <w:p w14:paraId="0DDD63D3" w14:textId="77777777" w:rsidR="0052367A" w:rsidRPr="001C1A17" w:rsidRDefault="0052367A" w:rsidP="0052367A">
            <w:pPr>
              <w:ind w:left="771"/>
              <w:rPr>
                <w:sz w:val="18"/>
                <w:szCs w:val="18"/>
              </w:rPr>
            </w:pPr>
            <w:r w:rsidRPr="001C1A17">
              <w:rPr>
                <w:sz w:val="18"/>
                <w:szCs w:val="18"/>
              </w:rPr>
              <w:t>Pasal 21</w:t>
            </w:r>
          </w:p>
        </w:tc>
        <w:tc>
          <w:tcPr>
            <w:tcW w:w="1667" w:type="dxa"/>
            <w:shd w:val="clear" w:color="auto" w:fill="auto"/>
            <w:vAlign w:val="bottom"/>
          </w:tcPr>
          <w:p w14:paraId="014B46F6" w14:textId="1ECF4E13" w:rsidR="0052367A" w:rsidRPr="001C1A17" w:rsidRDefault="00801B2B" w:rsidP="0052367A">
            <w:pPr>
              <w:ind w:right="57"/>
              <w:jc w:val="right"/>
              <w:rPr>
                <w:sz w:val="18"/>
                <w:szCs w:val="18"/>
              </w:rPr>
            </w:pPr>
            <w:r>
              <w:rPr>
                <w:sz w:val="18"/>
                <w:szCs w:val="18"/>
              </w:rPr>
              <w:t>1.130.237.589</w:t>
            </w:r>
          </w:p>
        </w:tc>
        <w:tc>
          <w:tcPr>
            <w:tcW w:w="115" w:type="dxa"/>
            <w:vAlign w:val="bottom"/>
          </w:tcPr>
          <w:p w14:paraId="3FEDEC69" w14:textId="77777777" w:rsidR="0052367A" w:rsidRPr="001C1A17" w:rsidRDefault="0052367A" w:rsidP="0052367A">
            <w:pPr>
              <w:ind w:right="57"/>
              <w:jc w:val="right"/>
              <w:rPr>
                <w:sz w:val="18"/>
                <w:szCs w:val="18"/>
              </w:rPr>
            </w:pPr>
          </w:p>
        </w:tc>
        <w:tc>
          <w:tcPr>
            <w:tcW w:w="1666" w:type="dxa"/>
            <w:vAlign w:val="bottom"/>
          </w:tcPr>
          <w:p w14:paraId="259355F5" w14:textId="0BDE19A9" w:rsidR="0052367A" w:rsidRPr="001C1A17" w:rsidRDefault="0052367A" w:rsidP="0052367A">
            <w:pPr>
              <w:ind w:right="57"/>
              <w:jc w:val="right"/>
              <w:rPr>
                <w:sz w:val="18"/>
                <w:szCs w:val="18"/>
              </w:rPr>
            </w:pPr>
            <w:r w:rsidRPr="001E6DD4">
              <w:rPr>
                <w:sz w:val="18"/>
                <w:szCs w:val="18"/>
              </w:rPr>
              <w:t>1.542.623.214</w:t>
            </w:r>
          </w:p>
        </w:tc>
        <w:tc>
          <w:tcPr>
            <w:tcW w:w="2875" w:type="dxa"/>
            <w:vAlign w:val="bottom"/>
          </w:tcPr>
          <w:p w14:paraId="205566D5" w14:textId="77777777" w:rsidR="0052367A" w:rsidRPr="001C1A17" w:rsidRDefault="0052367A" w:rsidP="0052367A">
            <w:pPr>
              <w:pStyle w:val="BodyTextIndent3"/>
              <w:tabs>
                <w:tab w:val="left" w:pos="336"/>
              </w:tabs>
              <w:ind w:left="0" w:right="198" w:firstLine="0"/>
              <w:jc w:val="right"/>
              <w:rPr>
                <w:i/>
                <w:sz w:val="18"/>
                <w:szCs w:val="18"/>
                <w:lang w:val="en-US"/>
              </w:rPr>
            </w:pPr>
            <w:r w:rsidRPr="001C1A17">
              <w:rPr>
                <w:i/>
                <w:sz w:val="18"/>
                <w:szCs w:val="18"/>
                <w:lang w:val="en-US"/>
              </w:rPr>
              <w:t>Article 21</w:t>
            </w:r>
          </w:p>
        </w:tc>
      </w:tr>
      <w:tr w:rsidR="0052367A" w:rsidRPr="001C1A17" w14:paraId="4916C04D" w14:textId="77777777" w:rsidTr="002108FF">
        <w:trPr>
          <w:trHeight w:val="70"/>
        </w:trPr>
        <w:tc>
          <w:tcPr>
            <w:tcW w:w="2874" w:type="dxa"/>
          </w:tcPr>
          <w:p w14:paraId="23B0998B" w14:textId="77777777" w:rsidR="0052367A" w:rsidRPr="001C1A17" w:rsidRDefault="0052367A" w:rsidP="0052367A">
            <w:pPr>
              <w:ind w:left="771"/>
              <w:rPr>
                <w:sz w:val="18"/>
                <w:szCs w:val="18"/>
                <w:lang w:val="id-ID"/>
              </w:rPr>
            </w:pPr>
            <w:r w:rsidRPr="001C1A17">
              <w:rPr>
                <w:sz w:val="18"/>
                <w:szCs w:val="18"/>
              </w:rPr>
              <w:t>Pasal 23</w:t>
            </w:r>
          </w:p>
        </w:tc>
        <w:tc>
          <w:tcPr>
            <w:tcW w:w="1667" w:type="dxa"/>
            <w:shd w:val="clear" w:color="auto" w:fill="auto"/>
            <w:vAlign w:val="bottom"/>
          </w:tcPr>
          <w:p w14:paraId="48FF2703" w14:textId="62A76AF2" w:rsidR="0052367A" w:rsidRPr="001C1A17" w:rsidRDefault="00801B2B" w:rsidP="0052367A">
            <w:pPr>
              <w:ind w:right="57"/>
              <w:jc w:val="right"/>
              <w:rPr>
                <w:sz w:val="18"/>
                <w:szCs w:val="18"/>
              </w:rPr>
            </w:pPr>
            <w:r>
              <w:rPr>
                <w:sz w:val="18"/>
                <w:szCs w:val="18"/>
              </w:rPr>
              <w:t>30.059.615</w:t>
            </w:r>
          </w:p>
        </w:tc>
        <w:tc>
          <w:tcPr>
            <w:tcW w:w="115" w:type="dxa"/>
            <w:vAlign w:val="bottom"/>
          </w:tcPr>
          <w:p w14:paraId="7F887CCC" w14:textId="77777777" w:rsidR="0052367A" w:rsidRPr="001C1A17" w:rsidRDefault="0052367A" w:rsidP="0052367A">
            <w:pPr>
              <w:ind w:right="57"/>
              <w:jc w:val="right"/>
              <w:rPr>
                <w:sz w:val="18"/>
                <w:szCs w:val="18"/>
              </w:rPr>
            </w:pPr>
          </w:p>
        </w:tc>
        <w:tc>
          <w:tcPr>
            <w:tcW w:w="1666" w:type="dxa"/>
            <w:vAlign w:val="bottom"/>
          </w:tcPr>
          <w:p w14:paraId="32288EBA" w14:textId="0CB09796" w:rsidR="0052367A" w:rsidRPr="001C1A17" w:rsidRDefault="0052367A" w:rsidP="0052367A">
            <w:pPr>
              <w:ind w:right="57"/>
              <w:jc w:val="right"/>
              <w:rPr>
                <w:sz w:val="18"/>
                <w:szCs w:val="18"/>
              </w:rPr>
            </w:pPr>
            <w:r w:rsidRPr="001E6DD4">
              <w:rPr>
                <w:sz w:val="18"/>
                <w:szCs w:val="18"/>
              </w:rPr>
              <w:t>85.286.225</w:t>
            </w:r>
          </w:p>
        </w:tc>
        <w:tc>
          <w:tcPr>
            <w:tcW w:w="2875" w:type="dxa"/>
            <w:vAlign w:val="bottom"/>
          </w:tcPr>
          <w:p w14:paraId="58F84FB5" w14:textId="77777777" w:rsidR="0052367A" w:rsidRPr="001C1A17" w:rsidRDefault="0052367A" w:rsidP="0052367A">
            <w:pPr>
              <w:pStyle w:val="BodyTextIndent3"/>
              <w:tabs>
                <w:tab w:val="left" w:pos="336"/>
              </w:tabs>
              <w:ind w:left="0" w:right="198" w:firstLine="0"/>
              <w:jc w:val="right"/>
              <w:rPr>
                <w:i/>
                <w:sz w:val="18"/>
                <w:szCs w:val="18"/>
                <w:lang w:val="en-US"/>
              </w:rPr>
            </w:pPr>
            <w:r w:rsidRPr="001C1A17">
              <w:rPr>
                <w:i/>
                <w:sz w:val="18"/>
                <w:szCs w:val="18"/>
                <w:lang w:val="en-US"/>
              </w:rPr>
              <w:t>Article 23</w:t>
            </w:r>
          </w:p>
        </w:tc>
      </w:tr>
      <w:tr w:rsidR="0052367A" w:rsidRPr="001C1A17" w14:paraId="66D5359A" w14:textId="77777777" w:rsidTr="009F4EA7">
        <w:trPr>
          <w:trHeight w:val="70"/>
        </w:trPr>
        <w:tc>
          <w:tcPr>
            <w:tcW w:w="2874" w:type="dxa"/>
          </w:tcPr>
          <w:p w14:paraId="08DC12E2" w14:textId="77777777" w:rsidR="0052367A" w:rsidRPr="001C1A17" w:rsidRDefault="0052367A" w:rsidP="0052367A">
            <w:pPr>
              <w:ind w:left="771"/>
              <w:rPr>
                <w:sz w:val="18"/>
                <w:szCs w:val="18"/>
              </w:rPr>
            </w:pPr>
            <w:r w:rsidRPr="001C1A17">
              <w:rPr>
                <w:sz w:val="18"/>
                <w:szCs w:val="18"/>
              </w:rPr>
              <w:t>Pasal 4 2</w:t>
            </w:r>
          </w:p>
        </w:tc>
        <w:tc>
          <w:tcPr>
            <w:tcW w:w="1667" w:type="dxa"/>
            <w:tcBorders>
              <w:bottom w:val="nil"/>
            </w:tcBorders>
            <w:shd w:val="clear" w:color="auto" w:fill="auto"/>
            <w:vAlign w:val="bottom"/>
          </w:tcPr>
          <w:p w14:paraId="7DCD1175" w14:textId="050F3224" w:rsidR="0052367A" w:rsidRPr="001C1A17" w:rsidRDefault="00801B2B" w:rsidP="0052367A">
            <w:pPr>
              <w:ind w:right="57"/>
              <w:jc w:val="right"/>
              <w:rPr>
                <w:sz w:val="18"/>
                <w:szCs w:val="18"/>
              </w:rPr>
            </w:pPr>
            <w:r>
              <w:rPr>
                <w:sz w:val="18"/>
                <w:szCs w:val="18"/>
              </w:rPr>
              <w:t>30.574.680</w:t>
            </w:r>
          </w:p>
        </w:tc>
        <w:tc>
          <w:tcPr>
            <w:tcW w:w="115" w:type="dxa"/>
            <w:tcBorders>
              <w:bottom w:val="nil"/>
            </w:tcBorders>
            <w:vAlign w:val="bottom"/>
          </w:tcPr>
          <w:p w14:paraId="3F23BFE6" w14:textId="77777777" w:rsidR="0052367A" w:rsidRPr="001C1A17" w:rsidRDefault="0052367A" w:rsidP="0052367A">
            <w:pPr>
              <w:ind w:right="57"/>
              <w:jc w:val="right"/>
              <w:rPr>
                <w:sz w:val="18"/>
                <w:szCs w:val="18"/>
              </w:rPr>
            </w:pPr>
          </w:p>
        </w:tc>
        <w:tc>
          <w:tcPr>
            <w:tcW w:w="1666" w:type="dxa"/>
            <w:tcBorders>
              <w:bottom w:val="nil"/>
            </w:tcBorders>
            <w:vAlign w:val="bottom"/>
          </w:tcPr>
          <w:p w14:paraId="5985A0E9" w14:textId="2E0B2C4D" w:rsidR="0052367A" w:rsidRPr="001C1A17" w:rsidRDefault="0052367A" w:rsidP="0052367A">
            <w:pPr>
              <w:ind w:right="57"/>
              <w:jc w:val="right"/>
              <w:rPr>
                <w:sz w:val="18"/>
                <w:szCs w:val="18"/>
              </w:rPr>
            </w:pPr>
            <w:r w:rsidRPr="001E6DD4">
              <w:rPr>
                <w:sz w:val="18"/>
                <w:szCs w:val="18"/>
              </w:rPr>
              <w:t>397.321.753</w:t>
            </w:r>
          </w:p>
        </w:tc>
        <w:tc>
          <w:tcPr>
            <w:tcW w:w="2875" w:type="dxa"/>
            <w:vAlign w:val="bottom"/>
          </w:tcPr>
          <w:p w14:paraId="767AF9FC" w14:textId="77777777" w:rsidR="0052367A" w:rsidRPr="001C1A17" w:rsidRDefault="0052367A" w:rsidP="0052367A">
            <w:pPr>
              <w:pStyle w:val="BodyTextIndent3"/>
              <w:tabs>
                <w:tab w:val="left" w:pos="336"/>
              </w:tabs>
              <w:ind w:left="0" w:right="198" w:firstLine="0"/>
              <w:jc w:val="right"/>
              <w:rPr>
                <w:i/>
                <w:sz w:val="18"/>
                <w:szCs w:val="18"/>
                <w:lang w:val="en-US"/>
              </w:rPr>
            </w:pPr>
            <w:r w:rsidRPr="001C1A17">
              <w:rPr>
                <w:i/>
                <w:sz w:val="18"/>
                <w:szCs w:val="18"/>
                <w:lang w:val="en-US"/>
              </w:rPr>
              <w:t>Article 4 2</w:t>
            </w:r>
          </w:p>
        </w:tc>
      </w:tr>
      <w:tr w:rsidR="0052367A" w:rsidRPr="001C1A17" w14:paraId="75C6B94D" w14:textId="77777777" w:rsidTr="009F4EA7">
        <w:trPr>
          <w:trHeight w:val="70"/>
        </w:trPr>
        <w:tc>
          <w:tcPr>
            <w:tcW w:w="2874" w:type="dxa"/>
          </w:tcPr>
          <w:p w14:paraId="1C7634EE" w14:textId="77777777" w:rsidR="0052367A" w:rsidRPr="001C1A17" w:rsidRDefault="0052367A" w:rsidP="0052367A">
            <w:pPr>
              <w:ind w:left="771"/>
              <w:rPr>
                <w:sz w:val="18"/>
                <w:szCs w:val="18"/>
              </w:rPr>
            </w:pPr>
            <w:r w:rsidRPr="001C1A17">
              <w:rPr>
                <w:sz w:val="18"/>
                <w:szCs w:val="18"/>
              </w:rPr>
              <w:t>Pajak Pertambahan Nilai</w:t>
            </w:r>
          </w:p>
        </w:tc>
        <w:tc>
          <w:tcPr>
            <w:tcW w:w="1667" w:type="dxa"/>
            <w:tcBorders>
              <w:bottom w:val="nil"/>
            </w:tcBorders>
            <w:shd w:val="clear" w:color="auto" w:fill="auto"/>
            <w:vAlign w:val="bottom"/>
          </w:tcPr>
          <w:p w14:paraId="7DD95C15" w14:textId="1485446A" w:rsidR="0052367A" w:rsidRPr="001C1A17" w:rsidRDefault="009F4EA7" w:rsidP="0052367A">
            <w:pPr>
              <w:ind w:right="57"/>
              <w:jc w:val="right"/>
              <w:rPr>
                <w:sz w:val="18"/>
                <w:szCs w:val="18"/>
                <w:lang w:val="en-ID"/>
              </w:rPr>
            </w:pPr>
            <w:r>
              <w:rPr>
                <w:sz w:val="18"/>
                <w:szCs w:val="18"/>
                <w:lang w:val="en-ID"/>
              </w:rPr>
              <w:t>42.515.793</w:t>
            </w:r>
          </w:p>
        </w:tc>
        <w:tc>
          <w:tcPr>
            <w:tcW w:w="115" w:type="dxa"/>
            <w:tcBorders>
              <w:bottom w:val="nil"/>
            </w:tcBorders>
            <w:vAlign w:val="bottom"/>
          </w:tcPr>
          <w:p w14:paraId="16AE98BA" w14:textId="77777777" w:rsidR="0052367A" w:rsidRPr="001C1A17" w:rsidRDefault="0052367A" w:rsidP="0052367A">
            <w:pPr>
              <w:ind w:right="57"/>
              <w:jc w:val="right"/>
              <w:rPr>
                <w:sz w:val="18"/>
                <w:szCs w:val="18"/>
              </w:rPr>
            </w:pPr>
          </w:p>
        </w:tc>
        <w:tc>
          <w:tcPr>
            <w:tcW w:w="1666" w:type="dxa"/>
            <w:tcBorders>
              <w:bottom w:val="nil"/>
            </w:tcBorders>
            <w:vAlign w:val="bottom"/>
          </w:tcPr>
          <w:p w14:paraId="4325DE3A" w14:textId="4C6E7B10" w:rsidR="0052367A" w:rsidRPr="001C1A17" w:rsidRDefault="0052367A" w:rsidP="0052367A">
            <w:pPr>
              <w:ind w:right="57"/>
              <w:jc w:val="right"/>
              <w:rPr>
                <w:sz w:val="18"/>
                <w:szCs w:val="18"/>
                <w:lang w:val="id-ID"/>
              </w:rPr>
            </w:pPr>
            <w:r w:rsidRPr="001E6DD4">
              <w:rPr>
                <w:sz w:val="18"/>
                <w:szCs w:val="18"/>
                <w:lang w:val="en-ID"/>
              </w:rPr>
              <w:t>201.483.103</w:t>
            </w:r>
          </w:p>
        </w:tc>
        <w:tc>
          <w:tcPr>
            <w:tcW w:w="2875" w:type="dxa"/>
            <w:vAlign w:val="bottom"/>
          </w:tcPr>
          <w:p w14:paraId="1ECB3BED" w14:textId="77777777" w:rsidR="0052367A" w:rsidRPr="001C1A17" w:rsidRDefault="0052367A" w:rsidP="0052367A">
            <w:pPr>
              <w:pStyle w:val="BodyTextIndent3"/>
              <w:tabs>
                <w:tab w:val="left" w:pos="336"/>
              </w:tabs>
              <w:ind w:left="0" w:right="198" w:firstLine="0"/>
              <w:jc w:val="right"/>
              <w:rPr>
                <w:i/>
                <w:sz w:val="18"/>
                <w:szCs w:val="18"/>
                <w:lang w:val="en-US"/>
              </w:rPr>
            </w:pPr>
            <w:r w:rsidRPr="001C1A17">
              <w:rPr>
                <w:i/>
                <w:sz w:val="18"/>
                <w:szCs w:val="18"/>
                <w:lang w:val="en-US"/>
              </w:rPr>
              <w:t>Value Added Tax</w:t>
            </w:r>
          </w:p>
        </w:tc>
      </w:tr>
      <w:tr w:rsidR="009F4EA7" w:rsidRPr="001C1A17" w14:paraId="31C5C86E" w14:textId="77777777" w:rsidTr="009F4EA7">
        <w:trPr>
          <w:trHeight w:val="70"/>
        </w:trPr>
        <w:tc>
          <w:tcPr>
            <w:tcW w:w="2874" w:type="dxa"/>
          </w:tcPr>
          <w:p w14:paraId="6809CF81" w14:textId="0DDAD11B" w:rsidR="009F4EA7" w:rsidRPr="001C1A17" w:rsidRDefault="009F4EA7" w:rsidP="0052367A">
            <w:pPr>
              <w:ind w:left="771"/>
              <w:rPr>
                <w:sz w:val="18"/>
                <w:szCs w:val="18"/>
              </w:rPr>
            </w:pPr>
            <w:r>
              <w:rPr>
                <w:sz w:val="18"/>
                <w:szCs w:val="18"/>
              </w:rPr>
              <w:t>Pajak Bumi dan Bangunan</w:t>
            </w:r>
          </w:p>
        </w:tc>
        <w:tc>
          <w:tcPr>
            <w:tcW w:w="1667" w:type="dxa"/>
            <w:tcBorders>
              <w:top w:val="nil"/>
              <w:bottom w:val="single" w:sz="4" w:space="0" w:color="auto"/>
            </w:tcBorders>
            <w:shd w:val="clear" w:color="auto" w:fill="auto"/>
            <w:vAlign w:val="bottom"/>
          </w:tcPr>
          <w:p w14:paraId="5B6A6DD7" w14:textId="0542E3D4" w:rsidR="009F4EA7" w:rsidRPr="001C1A17" w:rsidRDefault="009F4EA7" w:rsidP="0052367A">
            <w:pPr>
              <w:ind w:right="57"/>
              <w:jc w:val="right"/>
              <w:rPr>
                <w:sz w:val="18"/>
                <w:szCs w:val="18"/>
                <w:lang w:val="en-ID"/>
              </w:rPr>
            </w:pPr>
            <w:r>
              <w:rPr>
                <w:sz w:val="18"/>
                <w:szCs w:val="18"/>
                <w:lang w:val="en-ID"/>
              </w:rPr>
              <w:t>561.454.494</w:t>
            </w:r>
          </w:p>
        </w:tc>
        <w:tc>
          <w:tcPr>
            <w:tcW w:w="115" w:type="dxa"/>
            <w:tcBorders>
              <w:top w:val="nil"/>
            </w:tcBorders>
            <w:vAlign w:val="bottom"/>
          </w:tcPr>
          <w:p w14:paraId="1D04B31D" w14:textId="77777777" w:rsidR="009F4EA7" w:rsidRPr="001C1A17" w:rsidRDefault="009F4EA7" w:rsidP="0052367A">
            <w:pPr>
              <w:ind w:right="57"/>
              <w:jc w:val="right"/>
              <w:rPr>
                <w:sz w:val="18"/>
                <w:szCs w:val="18"/>
              </w:rPr>
            </w:pPr>
          </w:p>
        </w:tc>
        <w:tc>
          <w:tcPr>
            <w:tcW w:w="1666" w:type="dxa"/>
            <w:tcBorders>
              <w:top w:val="nil"/>
              <w:bottom w:val="single" w:sz="4" w:space="0" w:color="auto"/>
            </w:tcBorders>
            <w:vAlign w:val="bottom"/>
          </w:tcPr>
          <w:p w14:paraId="5858297D" w14:textId="361B97AB" w:rsidR="009F4EA7" w:rsidRPr="001E6DD4" w:rsidRDefault="009F4EA7" w:rsidP="0052367A">
            <w:pPr>
              <w:ind w:right="57"/>
              <w:jc w:val="right"/>
              <w:rPr>
                <w:sz w:val="18"/>
                <w:szCs w:val="18"/>
                <w:lang w:val="en-ID"/>
              </w:rPr>
            </w:pPr>
            <w:r>
              <w:rPr>
                <w:sz w:val="18"/>
                <w:szCs w:val="18"/>
                <w:lang w:val="en-ID"/>
              </w:rPr>
              <w:t>-</w:t>
            </w:r>
          </w:p>
        </w:tc>
        <w:tc>
          <w:tcPr>
            <w:tcW w:w="2875" w:type="dxa"/>
            <w:vAlign w:val="bottom"/>
          </w:tcPr>
          <w:p w14:paraId="493C84F7" w14:textId="0CCCAD33" w:rsidR="009F4EA7" w:rsidRPr="001C1A17" w:rsidRDefault="009F4EA7" w:rsidP="0052367A">
            <w:pPr>
              <w:pStyle w:val="BodyTextIndent3"/>
              <w:tabs>
                <w:tab w:val="left" w:pos="336"/>
              </w:tabs>
              <w:ind w:left="0" w:right="198" w:firstLine="0"/>
              <w:jc w:val="right"/>
              <w:rPr>
                <w:i/>
                <w:sz w:val="18"/>
                <w:szCs w:val="18"/>
                <w:lang w:val="en-US"/>
              </w:rPr>
            </w:pPr>
            <w:r>
              <w:rPr>
                <w:i/>
                <w:sz w:val="18"/>
                <w:szCs w:val="18"/>
                <w:lang w:val="en-US"/>
              </w:rPr>
              <w:t>Property Tax</w:t>
            </w:r>
          </w:p>
        </w:tc>
      </w:tr>
      <w:tr w:rsidR="0052367A" w:rsidRPr="001C1A17" w14:paraId="74336336" w14:textId="77777777" w:rsidTr="002108FF">
        <w:trPr>
          <w:trHeight w:val="70"/>
        </w:trPr>
        <w:tc>
          <w:tcPr>
            <w:tcW w:w="2874" w:type="dxa"/>
          </w:tcPr>
          <w:p w14:paraId="63BFC6BE" w14:textId="77777777" w:rsidR="0052367A" w:rsidRPr="001C1A17" w:rsidRDefault="0052367A" w:rsidP="0052367A">
            <w:pPr>
              <w:ind w:left="771" w:hanging="142"/>
              <w:rPr>
                <w:sz w:val="18"/>
                <w:szCs w:val="18"/>
              </w:rPr>
            </w:pPr>
          </w:p>
        </w:tc>
        <w:tc>
          <w:tcPr>
            <w:tcW w:w="1667" w:type="dxa"/>
            <w:tcBorders>
              <w:top w:val="single" w:sz="4" w:space="0" w:color="auto"/>
              <w:bottom w:val="nil"/>
            </w:tcBorders>
            <w:shd w:val="clear" w:color="auto" w:fill="auto"/>
            <w:vAlign w:val="bottom"/>
          </w:tcPr>
          <w:p w14:paraId="4F3845F5" w14:textId="0A224361" w:rsidR="0052367A" w:rsidRPr="001C1A17" w:rsidRDefault="0052367A" w:rsidP="0052367A">
            <w:pPr>
              <w:ind w:right="57"/>
              <w:jc w:val="right"/>
              <w:rPr>
                <w:sz w:val="18"/>
                <w:szCs w:val="18"/>
              </w:rPr>
            </w:pPr>
          </w:p>
        </w:tc>
        <w:tc>
          <w:tcPr>
            <w:tcW w:w="115" w:type="dxa"/>
            <w:vAlign w:val="bottom"/>
          </w:tcPr>
          <w:p w14:paraId="3CE0A72A" w14:textId="77777777" w:rsidR="0052367A" w:rsidRPr="001C1A17" w:rsidRDefault="0052367A" w:rsidP="0052367A">
            <w:pPr>
              <w:ind w:right="57"/>
              <w:jc w:val="right"/>
              <w:rPr>
                <w:sz w:val="18"/>
                <w:szCs w:val="18"/>
              </w:rPr>
            </w:pPr>
          </w:p>
        </w:tc>
        <w:tc>
          <w:tcPr>
            <w:tcW w:w="1666" w:type="dxa"/>
            <w:tcBorders>
              <w:top w:val="single" w:sz="4" w:space="0" w:color="auto"/>
              <w:bottom w:val="nil"/>
            </w:tcBorders>
            <w:vAlign w:val="bottom"/>
          </w:tcPr>
          <w:p w14:paraId="1179C3F6" w14:textId="77777777" w:rsidR="0052367A" w:rsidRPr="001C1A17" w:rsidRDefault="0052367A" w:rsidP="0052367A">
            <w:pPr>
              <w:ind w:right="57"/>
              <w:jc w:val="right"/>
              <w:rPr>
                <w:sz w:val="18"/>
                <w:szCs w:val="18"/>
              </w:rPr>
            </w:pPr>
          </w:p>
        </w:tc>
        <w:tc>
          <w:tcPr>
            <w:tcW w:w="2875" w:type="dxa"/>
            <w:vAlign w:val="bottom"/>
          </w:tcPr>
          <w:p w14:paraId="075F75B5" w14:textId="77777777" w:rsidR="0052367A" w:rsidRPr="001C1A17" w:rsidRDefault="0052367A" w:rsidP="0052367A">
            <w:pPr>
              <w:pStyle w:val="BodyTextIndent3"/>
              <w:tabs>
                <w:tab w:val="left" w:pos="336"/>
              </w:tabs>
              <w:ind w:left="0" w:right="57" w:firstLine="0"/>
              <w:jc w:val="right"/>
              <w:rPr>
                <w:i/>
                <w:sz w:val="18"/>
                <w:szCs w:val="18"/>
                <w:lang w:val="en-US"/>
              </w:rPr>
            </w:pPr>
          </w:p>
        </w:tc>
      </w:tr>
      <w:tr w:rsidR="0052367A" w:rsidRPr="001C1A17" w14:paraId="38B70F95" w14:textId="77777777" w:rsidTr="002108FF">
        <w:trPr>
          <w:trHeight w:val="70"/>
        </w:trPr>
        <w:tc>
          <w:tcPr>
            <w:tcW w:w="2874" w:type="dxa"/>
          </w:tcPr>
          <w:p w14:paraId="7272133D" w14:textId="77777777" w:rsidR="0052367A" w:rsidRPr="001C1A17" w:rsidRDefault="0052367A" w:rsidP="0052367A">
            <w:pPr>
              <w:ind w:left="771" w:hanging="142"/>
              <w:rPr>
                <w:sz w:val="18"/>
                <w:szCs w:val="18"/>
              </w:rPr>
            </w:pPr>
            <w:r w:rsidRPr="001C1A17">
              <w:rPr>
                <w:sz w:val="18"/>
                <w:szCs w:val="18"/>
              </w:rPr>
              <w:t>Sub jumlah</w:t>
            </w:r>
          </w:p>
        </w:tc>
        <w:tc>
          <w:tcPr>
            <w:tcW w:w="1667" w:type="dxa"/>
            <w:tcBorders>
              <w:bottom w:val="single" w:sz="4" w:space="0" w:color="auto"/>
            </w:tcBorders>
            <w:shd w:val="clear" w:color="auto" w:fill="auto"/>
            <w:vAlign w:val="bottom"/>
          </w:tcPr>
          <w:p w14:paraId="1D58F87C" w14:textId="02286271" w:rsidR="0052367A" w:rsidRPr="001C1A17" w:rsidRDefault="00801B2B" w:rsidP="0052367A">
            <w:pPr>
              <w:ind w:right="57"/>
              <w:jc w:val="right"/>
              <w:rPr>
                <w:sz w:val="18"/>
                <w:szCs w:val="18"/>
                <w:lang w:val="en-ID"/>
              </w:rPr>
            </w:pPr>
            <w:r>
              <w:rPr>
                <w:sz w:val="18"/>
                <w:szCs w:val="18"/>
                <w:lang w:val="en-ID"/>
              </w:rPr>
              <w:t>1.794.842.171</w:t>
            </w:r>
          </w:p>
        </w:tc>
        <w:tc>
          <w:tcPr>
            <w:tcW w:w="115" w:type="dxa"/>
            <w:vAlign w:val="bottom"/>
          </w:tcPr>
          <w:p w14:paraId="7941611E" w14:textId="77777777" w:rsidR="0052367A" w:rsidRPr="001C1A17" w:rsidRDefault="0052367A" w:rsidP="0052367A">
            <w:pPr>
              <w:ind w:right="57"/>
              <w:jc w:val="right"/>
              <w:rPr>
                <w:sz w:val="18"/>
                <w:szCs w:val="18"/>
                <w:lang w:val="en-ID"/>
              </w:rPr>
            </w:pPr>
          </w:p>
        </w:tc>
        <w:tc>
          <w:tcPr>
            <w:tcW w:w="1666" w:type="dxa"/>
            <w:tcBorders>
              <w:bottom w:val="single" w:sz="4" w:space="0" w:color="auto"/>
            </w:tcBorders>
            <w:vAlign w:val="bottom"/>
          </w:tcPr>
          <w:p w14:paraId="5C37C551" w14:textId="300E0942" w:rsidR="0052367A" w:rsidRPr="001C1A17" w:rsidRDefault="0052367A" w:rsidP="0052367A">
            <w:pPr>
              <w:ind w:right="57"/>
              <w:jc w:val="right"/>
              <w:rPr>
                <w:sz w:val="18"/>
                <w:szCs w:val="18"/>
              </w:rPr>
            </w:pPr>
            <w:r w:rsidRPr="001C1A17">
              <w:rPr>
                <w:sz w:val="18"/>
                <w:szCs w:val="18"/>
                <w:lang w:val="en-ID"/>
              </w:rPr>
              <w:t>2.226.714.295</w:t>
            </w:r>
          </w:p>
        </w:tc>
        <w:tc>
          <w:tcPr>
            <w:tcW w:w="2875" w:type="dxa"/>
            <w:vAlign w:val="bottom"/>
          </w:tcPr>
          <w:p w14:paraId="6299935C" w14:textId="77777777" w:rsidR="0052367A" w:rsidRPr="001C1A17" w:rsidRDefault="0052367A" w:rsidP="0052367A">
            <w:pPr>
              <w:pStyle w:val="BodyTextIndent3"/>
              <w:tabs>
                <w:tab w:val="left" w:pos="336"/>
              </w:tabs>
              <w:ind w:left="0" w:right="191" w:firstLine="0"/>
              <w:jc w:val="right"/>
              <w:rPr>
                <w:i/>
                <w:sz w:val="18"/>
                <w:szCs w:val="18"/>
                <w:lang w:val="en-US"/>
              </w:rPr>
            </w:pPr>
            <w:r w:rsidRPr="001C1A17">
              <w:rPr>
                <w:i/>
                <w:sz w:val="18"/>
                <w:szCs w:val="18"/>
                <w:lang w:val="en-US"/>
              </w:rPr>
              <w:t>Sub total</w:t>
            </w:r>
          </w:p>
        </w:tc>
      </w:tr>
      <w:tr w:rsidR="0052367A" w:rsidRPr="001C1A17" w14:paraId="499F837F" w14:textId="77777777" w:rsidTr="002108FF">
        <w:trPr>
          <w:trHeight w:val="70"/>
        </w:trPr>
        <w:tc>
          <w:tcPr>
            <w:tcW w:w="2874" w:type="dxa"/>
            <w:tcBorders>
              <w:bottom w:val="nil"/>
            </w:tcBorders>
          </w:tcPr>
          <w:p w14:paraId="61DD94D4" w14:textId="77777777" w:rsidR="0052367A" w:rsidRPr="001C1A17" w:rsidRDefault="0052367A" w:rsidP="0052367A">
            <w:pPr>
              <w:ind w:left="771" w:hanging="142"/>
              <w:rPr>
                <w:sz w:val="18"/>
                <w:szCs w:val="18"/>
              </w:rPr>
            </w:pPr>
          </w:p>
        </w:tc>
        <w:tc>
          <w:tcPr>
            <w:tcW w:w="1667" w:type="dxa"/>
            <w:tcBorders>
              <w:top w:val="single" w:sz="4" w:space="0" w:color="auto"/>
            </w:tcBorders>
            <w:shd w:val="clear" w:color="auto" w:fill="auto"/>
            <w:vAlign w:val="bottom"/>
          </w:tcPr>
          <w:p w14:paraId="0CA370B8" w14:textId="76557C2D" w:rsidR="0052367A" w:rsidRPr="001C1A17" w:rsidRDefault="0052367A" w:rsidP="0052367A">
            <w:pPr>
              <w:ind w:right="57"/>
              <w:jc w:val="right"/>
              <w:rPr>
                <w:sz w:val="18"/>
                <w:szCs w:val="18"/>
              </w:rPr>
            </w:pPr>
          </w:p>
        </w:tc>
        <w:tc>
          <w:tcPr>
            <w:tcW w:w="115" w:type="dxa"/>
            <w:tcBorders>
              <w:bottom w:val="nil"/>
            </w:tcBorders>
            <w:vAlign w:val="bottom"/>
          </w:tcPr>
          <w:p w14:paraId="7528054D" w14:textId="77777777" w:rsidR="0052367A" w:rsidRPr="001C1A17" w:rsidRDefault="0052367A" w:rsidP="0052367A">
            <w:pPr>
              <w:ind w:right="57"/>
              <w:jc w:val="right"/>
              <w:rPr>
                <w:sz w:val="18"/>
                <w:szCs w:val="18"/>
              </w:rPr>
            </w:pPr>
          </w:p>
        </w:tc>
        <w:tc>
          <w:tcPr>
            <w:tcW w:w="1666" w:type="dxa"/>
            <w:tcBorders>
              <w:top w:val="single" w:sz="4" w:space="0" w:color="auto"/>
            </w:tcBorders>
            <w:vAlign w:val="bottom"/>
          </w:tcPr>
          <w:p w14:paraId="1B605F99" w14:textId="46E2BCB4" w:rsidR="0052367A" w:rsidRPr="001C1A17" w:rsidRDefault="0052367A" w:rsidP="0052367A">
            <w:pPr>
              <w:ind w:right="57"/>
              <w:jc w:val="right"/>
              <w:rPr>
                <w:sz w:val="18"/>
                <w:szCs w:val="18"/>
              </w:rPr>
            </w:pPr>
          </w:p>
        </w:tc>
        <w:tc>
          <w:tcPr>
            <w:tcW w:w="2875" w:type="dxa"/>
            <w:tcBorders>
              <w:bottom w:val="nil"/>
            </w:tcBorders>
            <w:vAlign w:val="bottom"/>
          </w:tcPr>
          <w:p w14:paraId="5B40378A" w14:textId="77777777" w:rsidR="0052367A" w:rsidRPr="001C1A17" w:rsidRDefault="0052367A" w:rsidP="0052367A">
            <w:pPr>
              <w:pStyle w:val="BodyTextIndent3"/>
              <w:tabs>
                <w:tab w:val="left" w:pos="336"/>
              </w:tabs>
              <w:ind w:left="0" w:right="57" w:firstLine="0"/>
              <w:jc w:val="right"/>
              <w:rPr>
                <w:i/>
                <w:sz w:val="18"/>
                <w:szCs w:val="18"/>
                <w:lang w:val="en-US"/>
              </w:rPr>
            </w:pPr>
          </w:p>
        </w:tc>
      </w:tr>
      <w:tr w:rsidR="0052367A" w:rsidRPr="00E71189" w14:paraId="4D789FD4" w14:textId="77777777" w:rsidTr="002108FF">
        <w:trPr>
          <w:trHeight w:val="70"/>
        </w:trPr>
        <w:tc>
          <w:tcPr>
            <w:tcW w:w="2874" w:type="dxa"/>
            <w:tcBorders>
              <w:bottom w:val="nil"/>
            </w:tcBorders>
          </w:tcPr>
          <w:p w14:paraId="07847B3A" w14:textId="77777777" w:rsidR="0052367A" w:rsidRPr="001C1A17" w:rsidRDefault="0052367A" w:rsidP="0052367A">
            <w:pPr>
              <w:ind w:left="771" w:hanging="142"/>
              <w:rPr>
                <w:b/>
                <w:bCs w:val="0"/>
                <w:sz w:val="18"/>
                <w:szCs w:val="18"/>
              </w:rPr>
            </w:pPr>
            <w:r w:rsidRPr="001C1A17">
              <w:rPr>
                <w:b/>
                <w:bCs w:val="0"/>
                <w:sz w:val="18"/>
                <w:szCs w:val="18"/>
              </w:rPr>
              <w:t xml:space="preserve">Jumlah </w:t>
            </w:r>
          </w:p>
        </w:tc>
        <w:tc>
          <w:tcPr>
            <w:tcW w:w="1667" w:type="dxa"/>
            <w:tcBorders>
              <w:bottom w:val="double" w:sz="4" w:space="0" w:color="auto"/>
            </w:tcBorders>
            <w:shd w:val="clear" w:color="auto" w:fill="auto"/>
            <w:vAlign w:val="bottom"/>
          </w:tcPr>
          <w:p w14:paraId="00781C9E" w14:textId="20DEF2F7" w:rsidR="0052367A" w:rsidRPr="00B17062" w:rsidRDefault="00801B2B" w:rsidP="0052367A">
            <w:pPr>
              <w:ind w:right="57"/>
              <w:jc w:val="right"/>
              <w:rPr>
                <w:b/>
                <w:bCs w:val="0"/>
                <w:sz w:val="18"/>
                <w:szCs w:val="18"/>
              </w:rPr>
            </w:pPr>
            <w:r>
              <w:rPr>
                <w:b/>
                <w:bCs w:val="0"/>
                <w:sz w:val="18"/>
                <w:szCs w:val="18"/>
              </w:rPr>
              <w:t>5.639.790.088</w:t>
            </w:r>
          </w:p>
        </w:tc>
        <w:tc>
          <w:tcPr>
            <w:tcW w:w="115" w:type="dxa"/>
            <w:tcBorders>
              <w:bottom w:val="nil"/>
            </w:tcBorders>
            <w:vAlign w:val="bottom"/>
          </w:tcPr>
          <w:p w14:paraId="1AEE83E3" w14:textId="77777777" w:rsidR="0052367A" w:rsidRPr="001C1A17" w:rsidRDefault="0052367A" w:rsidP="0052367A">
            <w:pPr>
              <w:ind w:right="57"/>
              <w:jc w:val="right"/>
              <w:rPr>
                <w:b/>
                <w:bCs w:val="0"/>
                <w:sz w:val="18"/>
                <w:szCs w:val="18"/>
              </w:rPr>
            </w:pPr>
          </w:p>
        </w:tc>
        <w:tc>
          <w:tcPr>
            <w:tcW w:w="1666" w:type="dxa"/>
            <w:tcBorders>
              <w:bottom w:val="double" w:sz="4" w:space="0" w:color="auto"/>
            </w:tcBorders>
            <w:vAlign w:val="bottom"/>
          </w:tcPr>
          <w:p w14:paraId="4B464E91" w14:textId="21EA54CE" w:rsidR="0052367A" w:rsidRPr="001C1A17" w:rsidRDefault="0052367A" w:rsidP="0052367A">
            <w:pPr>
              <w:ind w:right="57"/>
              <w:jc w:val="right"/>
              <w:rPr>
                <w:b/>
                <w:bCs w:val="0"/>
                <w:sz w:val="18"/>
                <w:szCs w:val="18"/>
              </w:rPr>
            </w:pPr>
            <w:r w:rsidRPr="00B17062">
              <w:rPr>
                <w:b/>
                <w:bCs w:val="0"/>
                <w:sz w:val="18"/>
                <w:szCs w:val="18"/>
              </w:rPr>
              <w:t>6.070.920.982</w:t>
            </w:r>
          </w:p>
        </w:tc>
        <w:tc>
          <w:tcPr>
            <w:tcW w:w="2875" w:type="dxa"/>
            <w:tcBorders>
              <w:bottom w:val="nil"/>
            </w:tcBorders>
            <w:vAlign w:val="bottom"/>
          </w:tcPr>
          <w:p w14:paraId="6340F15E" w14:textId="77777777" w:rsidR="0052367A" w:rsidRPr="00E71189" w:rsidRDefault="0052367A" w:rsidP="0052367A">
            <w:pPr>
              <w:pStyle w:val="BodyTextIndent3"/>
              <w:tabs>
                <w:tab w:val="left" w:pos="336"/>
              </w:tabs>
              <w:ind w:left="0" w:right="57" w:firstLine="0"/>
              <w:jc w:val="right"/>
              <w:rPr>
                <w:b/>
                <w:i/>
                <w:sz w:val="18"/>
                <w:szCs w:val="18"/>
                <w:lang w:val="en-US"/>
              </w:rPr>
            </w:pPr>
            <w:r w:rsidRPr="001C1A17">
              <w:rPr>
                <w:b/>
                <w:i/>
                <w:sz w:val="18"/>
                <w:szCs w:val="18"/>
                <w:lang w:val="en-US"/>
              </w:rPr>
              <w:t>Total</w:t>
            </w:r>
            <w:r w:rsidRPr="00E71189">
              <w:rPr>
                <w:b/>
                <w:i/>
                <w:sz w:val="18"/>
                <w:szCs w:val="18"/>
                <w:lang w:val="en-US"/>
              </w:rPr>
              <w:t xml:space="preserve"> </w:t>
            </w:r>
          </w:p>
        </w:tc>
      </w:tr>
    </w:tbl>
    <w:p w14:paraId="5875BB6C" w14:textId="77777777" w:rsidR="00E71189" w:rsidRPr="007C207F" w:rsidRDefault="00E71189" w:rsidP="00E71189">
      <w:pPr>
        <w:rPr>
          <w:sz w:val="18"/>
          <w:szCs w:val="22"/>
        </w:rPr>
      </w:pPr>
    </w:p>
    <w:tbl>
      <w:tblPr>
        <w:tblW w:w="4633" w:type="pct"/>
        <w:tblInd w:w="406" w:type="dxa"/>
        <w:tblLook w:val="0000" w:firstRow="0" w:lastRow="0" w:firstColumn="0" w:lastColumn="0" w:noHBand="0" w:noVBand="0"/>
      </w:tblPr>
      <w:tblGrid>
        <w:gridCol w:w="4570"/>
        <w:gridCol w:w="4677"/>
      </w:tblGrid>
      <w:tr w:rsidR="003B41DB" w:rsidRPr="00042590" w14:paraId="2C68FB28" w14:textId="77777777" w:rsidTr="002108FF">
        <w:trPr>
          <w:trHeight w:val="238"/>
        </w:trPr>
        <w:tc>
          <w:tcPr>
            <w:tcW w:w="2471" w:type="pct"/>
            <w:tcBorders>
              <w:top w:val="nil"/>
              <w:left w:val="nil"/>
              <w:bottom w:val="nil"/>
              <w:right w:val="nil"/>
            </w:tcBorders>
          </w:tcPr>
          <w:p w14:paraId="1C6A2AAA" w14:textId="683DFD5B" w:rsidR="003B41DB" w:rsidRPr="00042590" w:rsidRDefault="00CB1C53" w:rsidP="00070D1F">
            <w:pPr>
              <w:numPr>
                <w:ilvl w:val="0"/>
                <w:numId w:val="86"/>
              </w:numPr>
              <w:ind w:left="420" w:hanging="238"/>
              <w:jc w:val="both"/>
              <w:rPr>
                <w:bCs w:val="0"/>
                <w:sz w:val="18"/>
                <w:szCs w:val="18"/>
              </w:rPr>
            </w:pPr>
            <w:r w:rsidRPr="00042590">
              <w:rPr>
                <w:bCs w:val="0"/>
                <w:sz w:val="18"/>
                <w:szCs w:val="18"/>
              </w:rPr>
              <w:t>Manfaat beban pajak</w:t>
            </w:r>
          </w:p>
        </w:tc>
        <w:tc>
          <w:tcPr>
            <w:tcW w:w="2529" w:type="pct"/>
            <w:tcBorders>
              <w:top w:val="nil"/>
              <w:left w:val="nil"/>
              <w:bottom w:val="nil"/>
              <w:right w:val="nil"/>
            </w:tcBorders>
          </w:tcPr>
          <w:p w14:paraId="2FF38603" w14:textId="2D2D6FDD" w:rsidR="003B41DB" w:rsidRPr="00042590" w:rsidRDefault="00CB1C53" w:rsidP="00070D1F">
            <w:pPr>
              <w:widowControl w:val="0"/>
              <w:numPr>
                <w:ilvl w:val="0"/>
                <w:numId w:val="87"/>
              </w:numPr>
              <w:autoSpaceDE w:val="0"/>
              <w:autoSpaceDN w:val="0"/>
              <w:adjustRightInd w:val="0"/>
              <w:ind w:left="568" w:hanging="284"/>
              <w:jc w:val="both"/>
              <w:rPr>
                <w:bCs w:val="0"/>
                <w:i/>
                <w:iCs/>
                <w:sz w:val="18"/>
                <w:szCs w:val="18"/>
              </w:rPr>
            </w:pPr>
            <w:r w:rsidRPr="00042590">
              <w:rPr>
                <w:bCs w:val="0"/>
                <w:i/>
                <w:iCs/>
                <w:sz w:val="18"/>
                <w:szCs w:val="18"/>
              </w:rPr>
              <w:t>Tax benefit expense</w:t>
            </w:r>
          </w:p>
        </w:tc>
      </w:tr>
    </w:tbl>
    <w:p w14:paraId="5277EDBE" w14:textId="77777777" w:rsidR="003B41DB" w:rsidRPr="00042590" w:rsidRDefault="003B41DB" w:rsidP="0013526B">
      <w:pPr>
        <w:rPr>
          <w:sz w:val="18"/>
          <w:szCs w:val="20"/>
        </w:rPr>
      </w:pPr>
    </w:p>
    <w:tbl>
      <w:tblPr>
        <w:tblW w:w="9197" w:type="dxa"/>
        <w:tblInd w:w="406" w:type="dxa"/>
        <w:tblLayout w:type="fixed"/>
        <w:tblCellMar>
          <w:left w:w="0" w:type="dxa"/>
          <w:right w:w="0" w:type="dxa"/>
        </w:tblCellMar>
        <w:tblLook w:val="01E0" w:firstRow="1" w:lastRow="1" w:firstColumn="1" w:lastColumn="1" w:noHBand="0" w:noVBand="0"/>
      </w:tblPr>
      <w:tblGrid>
        <w:gridCol w:w="2875"/>
        <w:gridCol w:w="1667"/>
        <w:gridCol w:w="115"/>
        <w:gridCol w:w="1666"/>
        <w:gridCol w:w="2874"/>
      </w:tblGrid>
      <w:tr w:rsidR="00801B2B" w:rsidRPr="00042590" w14:paraId="5A2B3BB3" w14:textId="77777777" w:rsidTr="002108FF">
        <w:trPr>
          <w:trHeight w:val="20"/>
        </w:trPr>
        <w:tc>
          <w:tcPr>
            <w:tcW w:w="2875" w:type="dxa"/>
          </w:tcPr>
          <w:p w14:paraId="5DE88569" w14:textId="77777777" w:rsidR="00801B2B" w:rsidRPr="00042590" w:rsidRDefault="00801B2B" w:rsidP="00801B2B">
            <w:pPr>
              <w:ind w:left="113"/>
              <w:rPr>
                <w:sz w:val="18"/>
                <w:szCs w:val="18"/>
              </w:rPr>
            </w:pPr>
          </w:p>
        </w:tc>
        <w:tc>
          <w:tcPr>
            <w:tcW w:w="1667" w:type="dxa"/>
            <w:tcBorders>
              <w:bottom w:val="single" w:sz="4" w:space="0" w:color="auto"/>
            </w:tcBorders>
          </w:tcPr>
          <w:p w14:paraId="32B70ACB" w14:textId="77777777" w:rsidR="00801B2B" w:rsidRPr="00042590" w:rsidRDefault="00801B2B" w:rsidP="00801B2B">
            <w:pPr>
              <w:jc w:val="center"/>
              <w:rPr>
                <w:b/>
                <w:sz w:val="18"/>
                <w:szCs w:val="18"/>
              </w:rPr>
            </w:pPr>
            <w:r w:rsidRPr="00042590">
              <w:rPr>
                <w:b/>
                <w:sz w:val="18"/>
                <w:szCs w:val="18"/>
              </w:rPr>
              <w:t>31 Maret/</w:t>
            </w:r>
          </w:p>
          <w:p w14:paraId="3C5302DC" w14:textId="081C36D4" w:rsidR="00801B2B" w:rsidRPr="00042590" w:rsidRDefault="00801B2B" w:rsidP="00801B2B">
            <w:pPr>
              <w:jc w:val="center"/>
              <w:rPr>
                <w:b/>
                <w:sz w:val="18"/>
                <w:szCs w:val="18"/>
              </w:rPr>
            </w:pPr>
            <w:r w:rsidRPr="00042590">
              <w:rPr>
                <w:b/>
                <w:sz w:val="18"/>
                <w:szCs w:val="18"/>
              </w:rPr>
              <w:t>March 31</w:t>
            </w:r>
            <w:r w:rsidR="00305CA0">
              <w:rPr>
                <w:b/>
                <w:sz w:val="18"/>
                <w:szCs w:val="18"/>
              </w:rPr>
              <w:t>.</w:t>
            </w:r>
            <w:r w:rsidRPr="00042590">
              <w:rPr>
                <w:b/>
                <w:sz w:val="18"/>
                <w:szCs w:val="18"/>
              </w:rPr>
              <w:t xml:space="preserve"> 2020</w:t>
            </w:r>
          </w:p>
        </w:tc>
        <w:tc>
          <w:tcPr>
            <w:tcW w:w="115" w:type="dxa"/>
          </w:tcPr>
          <w:p w14:paraId="57A1731C" w14:textId="77777777" w:rsidR="00801B2B" w:rsidRPr="00042590" w:rsidRDefault="00801B2B" w:rsidP="00801B2B">
            <w:pPr>
              <w:jc w:val="center"/>
              <w:rPr>
                <w:b/>
                <w:sz w:val="18"/>
                <w:szCs w:val="18"/>
              </w:rPr>
            </w:pPr>
          </w:p>
        </w:tc>
        <w:tc>
          <w:tcPr>
            <w:tcW w:w="1666" w:type="dxa"/>
            <w:tcBorders>
              <w:bottom w:val="single" w:sz="4" w:space="0" w:color="auto"/>
            </w:tcBorders>
          </w:tcPr>
          <w:p w14:paraId="08CFBBAB" w14:textId="76ED051A" w:rsidR="00801B2B" w:rsidRPr="00042590" w:rsidRDefault="00801B2B" w:rsidP="00801B2B">
            <w:pPr>
              <w:jc w:val="center"/>
              <w:rPr>
                <w:b/>
                <w:sz w:val="18"/>
                <w:szCs w:val="18"/>
              </w:rPr>
            </w:pPr>
            <w:r w:rsidRPr="00042590">
              <w:rPr>
                <w:b/>
                <w:sz w:val="18"/>
                <w:szCs w:val="18"/>
              </w:rPr>
              <w:t xml:space="preserve">31 </w:t>
            </w:r>
            <w:r w:rsidR="00042590" w:rsidRPr="00042590">
              <w:rPr>
                <w:b/>
                <w:sz w:val="18"/>
                <w:szCs w:val="18"/>
              </w:rPr>
              <w:t>Maret</w:t>
            </w:r>
            <w:r w:rsidRPr="00042590">
              <w:rPr>
                <w:b/>
                <w:sz w:val="18"/>
                <w:szCs w:val="18"/>
              </w:rPr>
              <w:t>/</w:t>
            </w:r>
          </w:p>
          <w:p w14:paraId="67C9D40F" w14:textId="10BCAA35" w:rsidR="00801B2B" w:rsidRPr="00042590" w:rsidRDefault="00042590" w:rsidP="00801B2B">
            <w:pPr>
              <w:jc w:val="center"/>
              <w:rPr>
                <w:b/>
                <w:sz w:val="18"/>
                <w:szCs w:val="18"/>
              </w:rPr>
            </w:pPr>
            <w:r w:rsidRPr="00042590">
              <w:rPr>
                <w:b/>
                <w:sz w:val="18"/>
                <w:szCs w:val="18"/>
              </w:rPr>
              <w:t>March</w:t>
            </w:r>
            <w:r w:rsidR="00801B2B" w:rsidRPr="00042590">
              <w:rPr>
                <w:b/>
                <w:sz w:val="18"/>
                <w:szCs w:val="18"/>
              </w:rPr>
              <w:t xml:space="preserve"> 31</w:t>
            </w:r>
            <w:r w:rsidR="00305CA0">
              <w:rPr>
                <w:b/>
                <w:sz w:val="18"/>
                <w:szCs w:val="18"/>
              </w:rPr>
              <w:t>.</w:t>
            </w:r>
            <w:r w:rsidR="00801B2B" w:rsidRPr="00042590">
              <w:rPr>
                <w:b/>
                <w:sz w:val="18"/>
                <w:szCs w:val="18"/>
              </w:rPr>
              <w:t xml:space="preserve"> 2019</w:t>
            </w:r>
          </w:p>
        </w:tc>
        <w:tc>
          <w:tcPr>
            <w:tcW w:w="2874" w:type="dxa"/>
          </w:tcPr>
          <w:p w14:paraId="44D929F3" w14:textId="77777777" w:rsidR="00801B2B" w:rsidRPr="00042590" w:rsidRDefault="00801B2B" w:rsidP="00801B2B">
            <w:pPr>
              <w:ind w:right="34"/>
              <w:jc w:val="right"/>
              <w:rPr>
                <w:i/>
                <w:sz w:val="18"/>
                <w:szCs w:val="18"/>
              </w:rPr>
            </w:pPr>
          </w:p>
        </w:tc>
      </w:tr>
      <w:tr w:rsidR="00E4770D" w:rsidRPr="00042590" w14:paraId="0C22927C" w14:textId="77777777" w:rsidTr="002108FF">
        <w:trPr>
          <w:trHeight w:val="20"/>
        </w:trPr>
        <w:tc>
          <w:tcPr>
            <w:tcW w:w="2875" w:type="dxa"/>
          </w:tcPr>
          <w:p w14:paraId="479E157F" w14:textId="77777777" w:rsidR="00E4770D" w:rsidRPr="00042590" w:rsidRDefault="00E4770D" w:rsidP="0013526B">
            <w:pPr>
              <w:ind w:left="461"/>
              <w:rPr>
                <w:sz w:val="18"/>
                <w:szCs w:val="18"/>
              </w:rPr>
            </w:pPr>
          </w:p>
        </w:tc>
        <w:tc>
          <w:tcPr>
            <w:tcW w:w="1667" w:type="dxa"/>
            <w:tcBorders>
              <w:top w:val="single" w:sz="4" w:space="0" w:color="auto"/>
            </w:tcBorders>
            <w:vAlign w:val="bottom"/>
          </w:tcPr>
          <w:p w14:paraId="16AB9051" w14:textId="77777777" w:rsidR="00E4770D" w:rsidRPr="00042590" w:rsidRDefault="00E4770D" w:rsidP="0013526B">
            <w:pPr>
              <w:ind w:left="28" w:right="28"/>
              <w:jc w:val="right"/>
              <w:rPr>
                <w:sz w:val="18"/>
                <w:szCs w:val="18"/>
              </w:rPr>
            </w:pPr>
          </w:p>
        </w:tc>
        <w:tc>
          <w:tcPr>
            <w:tcW w:w="115" w:type="dxa"/>
            <w:vAlign w:val="bottom"/>
          </w:tcPr>
          <w:p w14:paraId="4ECC2B79" w14:textId="77777777" w:rsidR="00E4770D" w:rsidRPr="00042590" w:rsidRDefault="00E4770D" w:rsidP="0013526B">
            <w:pPr>
              <w:ind w:left="28" w:right="28"/>
              <w:jc w:val="right"/>
              <w:rPr>
                <w:sz w:val="18"/>
                <w:szCs w:val="18"/>
              </w:rPr>
            </w:pPr>
          </w:p>
        </w:tc>
        <w:tc>
          <w:tcPr>
            <w:tcW w:w="1666" w:type="dxa"/>
            <w:tcBorders>
              <w:top w:val="single" w:sz="4" w:space="0" w:color="auto"/>
            </w:tcBorders>
            <w:vAlign w:val="bottom"/>
          </w:tcPr>
          <w:p w14:paraId="09AC95B4" w14:textId="77777777" w:rsidR="00E4770D" w:rsidRPr="00042590" w:rsidRDefault="00E4770D" w:rsidP="0013526B">
            <w:pPr>
              <w:ind w:left="28" w:right="28"/>
              <w:jc w:val="right"/>
              <w:rPr>
                <w:sz w:val="18"/>
                <w:szCs w:val="18"/>
              </w:rPr>
            </w:pPr>
          </w:p>
        </w:tc>
        <w:tc>
          <w:tcPr>
            <w:tcW w:w="2874" w:type="dxa"/>
          </w:tcPr>
          <w:p w14:paraId="3CF7DE93" w14:textId="77777777" w:rsidR="00E4770D" w:rsidRPr="00042590" w:rsidRDefault="00E4770D" w:rsidP="0013526B">
            <w:pPr>
              <w:ind w:right="57"/>
              <w:jc w:val="right"/>
              <w:rPr>
                <w:i/>
                <w:sz w:val="18"/>
                <w:szCs w:val="18"/>
              </w:rPr>
            </w:pPr>
          </w:p>
        </w:tc>
      </w:tr>
      <w:tr w:rsidR="00E4770D" w:rsidRPr="00C35CC6" w14:paraId="32733478" w14:textId="77777777" w:rsidTr="002108FF">
        <w:trPr>
          <w:trHeight w:val="20"/>
        </w:trPr>
        <w:tc>
          <w:tcPr>
            <w:tcW w:w="2875" w:type="dxa"/>
          </w:tcPr>
          <w:p w14:paraId="255A53CC" w14:textId="77777777" w:rsidR="00E4770D" w:rsidRPr="00C35CC6" w:rsidRDefault="00E4770D" w:rsidP="006B1D26">
            <w:pPr>
              <w:ind w:left="870" w:hanging="350"/>
              <w:rPr>
                <w:b/>
                <w:sz w:val="18"/>
                <w:szCs w:val="18"/>
              </w:rPr>
            </w:pPr>
            <w:r w:rsidRPr="00C35CC6">
              <w:rPr>
                <w:b/>
                <w:sz w:val="18"/>
                <w:szCs w:val="18"/>
              </w:rPr>
              <w:t xml:space="preserve">Pajak kini </w:t>
            </w:r>
          </w:p>
        </w:tc>
        <w:tc>
          <w:tcPr>
            <w:tcW w:w="1667" w:type="dxa"/>
            <w:vAlign w:val="bottom"/>
          </w:tcPr>
          <w:p w14:paraId="154D8E28" w14:textId="77777777" w:rsidR="00E4770D" w:rsidRPr="00C35CC6" w:rsidRDefault="00E4770D" w:rsidP="0013526B">
            <w:pPr>
              <w:ind w:left="28" w:right="28"/>
              <w:jc w:val="right"/>
              <w:rPr>
                <w:b/>
                <w:sz w:val="18"/>
                <w:szCs w:val="18"/>
              </w:rPr>
            </w:pPr>
          </w:p>
        </w:tc>
        <w:tc>
          <w:tcPr>
            <w:tcW w:w="115" w:type="dxa"/>
            <w:vAlign w:val="bottom"/>
          </w:tcPr>
          <w:p w14:paraId="5B534E3A" w14:textId="77777777" w:rsidR="00E4770D" w:rsidRPr="00C35CC6" w:rsidRDefault="00E4770D" w:rsidP="0013526B">
            <w:pPr>
              <w:ind w:left="28" w:right="28"/>
              <w:jc w:val="right"/>
              <w:rPr>
                <w:b/>
                <w:sz w:val="18"/>
                <w:szCs w:val="18"/>
              </w:rPr>
            </w:pPr>
          </w:p>
        </w:tc>
        <w:tc>
          <w:tcPr>
            <w:tcW w:w="1666" w:type="dxa"/>
            <w:vAlign w:val="bottom"/>
          </w:tcPr>
          <w:p w14:paraId="25ECDBAB" w14:textId="77777777" w:rsidR="00E4770D" w:rsidRPr="00C35CC6" w:rsidRDefault="00E4770D" w:rsidP="0013526B">
            <w:pPr>
              <w:ind w:left="28" w:right="28"/>
              <w:jc w:val="right"/>
              <w:rPr>
                <w:b/>
                <w:sz w:val="18"/>
                <w:szCs w:val="18"/>
              </w:rPr>
            </w:pPr>
          </w:p>
        </w:tc>
        <w:tc>
          <w:tcPr>
            <w:tcW w:w="2874" w:type="dxa"/>
            <w:vAlign w:val="bottom"/>
          </w:tcPr>
          <w:p w14:paraId="0AB3E55F" w14:textId="77777777" w:rsidR="00E4770D" w:rsidRPr="00C35CC6" w:rsidRDefault="00E4770D" w:rsidP="0013526B">
            <w:pPr>
              <w:ind w:right="57"/>
              <w:jc w:val="right"/>
              <w:rPr>
                <w:b/>
                <w:i/>
                <w:sz w:val="18"/>
                <w:szCs w:val="18"/>
              </w:rPr>
            </w:pPr>
            <w:r w:rsidRPr="00C35CC6">
              <w:rPr>
                <w:b/>
                <w:i/>
                <w:sz w:val="18"/>
                <w:szCs w:val="18"/>
              </w:rPr>
              <w:t>Current tax</w:t>
            </w:r>
          </w:p>
        </w:tc>
      </w:tr>
      <w:tr w:rsidR="00972CD2" w:rsidRPr="00C35CC6" w14:paraId="6462F91C" w14:textId="77777777" w:rsidTr="002108FF">
        <w:trPr>
          <w:trHeight w:val="20"/>
        </w:trPr>
        <w:tc>
          <w:tcPr>
            <w:tcW w:w="2875" w:type="dxa"/>
          </w:tcPr>
          <w:p w14:paraId="08B0B9F6" w14:textId="63A23075" w:rsidR="00972CD2" w:rsidRPr="00C35CC6" w:rsidRDefault="00972CD2" w:rsidP="00972CD2">
            <w:pPr>
              <w:ind w:left="870" w:hanging="224"/>
              <w:rPr>
                <w:sz w:val="18"/>
                <w:szCs w:val="18"/>
              </w:rPr>
            </w:pPr>
            <w:r w:rsidRPr="00C35CC6">
              <w:rPr>
                <w:sz w:val="18"/>
                <w:szCs w:val="18"/>
              </w:rPr>
              <w:t xml:space="preserve">Perusahaan </w:t>
            </w:r>
          </w:p>
        </w:tc>
        <w:tc>
          <w:tcPr>
            <w:tcW w:w="1667" w:type="dxa"/>
            <w:shd w:val="clear" w:color="auto" w:fill="auto"/>
            <w:vAlign w:val="bottom"/>
          </w:tcPr>
          <w:p w14:paraId="7EDAC816" w14:textId="47FA97A2" w:rsidR="00972CD2" w:rsidRPr="00C35CC6" w:rsidRDefault="00972CD2" w:rsidP="00C35CC6">
            <w:pPr>
              <w:ind w:right="57"/>
              <w:jc w:val="right"/>
              <w:rPr>
                <w:sz w:val="18"/>
                <w:szCs w:val="18"/>
              </w:rPr>
            </w:pPr>
            <w:r w:rsidRPr="00C35CC6">
              <w:rPr>
                <w:sz w:val="18"/>
                <w:szCs w:val="18"/>
              </w:rPr>
              <w:t>(</w:t>
            </w:r>
            <w:r w:rsidR="00C35CC6" w:rsidRPr="00C35CC6">
              <w:rPr>
                <w:sz w:val="18"/>
                <w:szCs w:val="18"/>
              </w:rPr>
              <w:t>655.050.621</w:t>
            </w:r>
            <w:r w:rsidRPr="00C35CC6">
              <w:rPr>
                <w:sz w:val="18"/>
                <w:szCs w:val="18"/>
              </w:rPr>
              <w:t>)</w:t>
            </w:r>
          </w:p>
        </w:tc>
        <w:tc>
          <w:tcPr>
            <w:tcW w:w="115" w:type="dxa"/>
            <w:vAlign w:val="bottom"/>
          </w:tcPr>
          <w:p w14:paraId="2A3AFD43" w14:textId="77777777" w:rsidR="00972CD2" w:rsidRPr="00C35CC6" w:rsidRDefault="00972CD2" w:rsidP="00972CD2">
            <w:pPr>
              <w:ind w:right="57"/>
              <w:jc w:val="right"/>
              <w:rPr>
                <w:sz w:val="18"/>
                <w:szCs w:val="18"/>
              </w:rPr>
            </w:pPr>
          </w:p>
        </w:tc>
        <w:tc>
          <w:tcPr>
            <w:tcW w:w="1666" w:type="dxa"/>
            <w:vAlign w:val="bottom"/>
          </w:tcPr>
          <w:p w14:paraId="3412C430" w14:textId="02AF7422" w:rsidR="00972CD2" w:rsidRPr="00C35CC6" w:rsidRDefault="00972CD2" w:rsidP="00972CD2">
            <w:pPr>
              <w:ind w:right="57"/>
              <w:jc w:val="right"/>
              <w:rPr>
                <w:sz w:val="18"/>
                <w:szCs w:val="18"/>
              </w:rPr>
            </w:pPr>
            <w:r w:rsidRPr="00C35CC6">
              <w:rPr>
                <w:sz w:val="18"/>
                <w:szCs w:val="18"/>
              </w:rPr>
              <w:t>-</w:t>
            </w:r>
          </w:p>
        </w:tc>
        <w:tc>
          <w:tcPr>
            <w:tcW w:w="2874" w:type="dxa"/>
            <w:vAlign w:val="bottom"/>
          </w:tcPr>
          <w:p w14:paraId="4EFD3EE7" w14:textId="77777777" w:rsidR="00972CD2" w:rsidRPr="00C35CC6" w:rsidRDefault="00972CD2" w:rsidP="00972CD2">
            <w:pPr>
              <w:ind w:right="198"/>
              <w:jc w:val="right"/>
              <w:rPr>
                <w:i/>
                <w:sz w:val="18"/>
                <w:szCs w:val="18"/>
              </w:rPr>
            </w:pPr>
            <w:r w:rsidRPr="00C35CC6">
              <w:rPr>
                <w:i/>
                <w:sz w:val="18"/>
                <w:szCs w:val="18"/>
              </w:rPr>
              <w:t>Entity</w:t>
            </w:r>
          </w:p>
        </w:tc>
      </w:tr>
      <w:tr w:rsidR="001C1A17" w:rsidRPr="00C35CC6" w14:paraId="066EE69E" w14:textId="77777777" w:rsidTr="002108FF">
        <w:trPr>
          <w:trHeight w:val="20"/>
        </w:trPr>
        <w:tc>
          <w:tcPr>
            <w:tcW w:w="2875" w:type="dxa"/>
          </w:tcPr>
          <w:p w14:paraId="43FB952B" w14:textId="77777777" w:rsidR="001C1A17" w:rsidRPr="00C35CC6" w:rsidRDefault="001C1A17" w:rsidP="006B1D26">
            <w:pPr>
              <w:ind w:left="870" w:hanging="224"/>
              <w:rPr>
                <w:sz w:val="18"/>
                <w:szCs w:val="18"/>
              </w:rPr>
            </w:pPr>
            <w:r w:rsidRPr="00C35CC6">
              <w:rPr>
                <w:sz w:val="18"/>
                <w:szCs w:val="18"/>
              </w:rPr>
              <w:t>Entitas Anak</w:t>
            </w:r>
          </w:p>
        </w:tc>
        <w:tc>
          <w:tcPr>
            <w:tcW w:w="1667" w:type="dxa"/>
            <w:shd w:val="clear" w:color="auto" w:fill="auto"/>
            <w:vAlign w:val="bottom"/>
          </w:tcPr>
          <w:p w14:paraId="25965EFA" w14:textId="7AEDD7C9" w:rsidR="001C1A17" w:rsidRPr="00C35CC6" w:rsidRDefault="001C1A17" w:rsidP="001C1A17">
            <w:pPr>
              <w:ind w:right="57"/>
              <w:jc w:val="right"/>
              <w:rPr>
                <w:sz w:val="18"/>
                <w:szCs w:val="18"/>
                <w:lang w:val="en-ID"/>
              </w:rPr>
            </w:pPr>
            <w:r w:rsidRPr="00C35CC6">
              <w:rPr>
                <w:sz w:val="18"/>
                <w:szCs w:val="18"/>
                <w:lang w:val="en-ID"/>
              </w:rPr>
              <w:t>-</w:t>
            </w:r>
          </w:p>
        </w:tc>
        <w:tc>
          <w:tcPr>
            <w:tcW w:w="115" w:type="dxa"/>
            <w:vAlign w:val="bottom"/>
          </w:tcPr>
          <w:p w14:paraId="14C653D2" w14:textId="77777777" w:rsidR="001C1A17" w:rsidRPr="00C35CC6" w:rsidRDefault="001C1A17" w:rsidP="001C1A17">
            <w:pPr>
              <w:ind w:right="57"/>
              <w:jc w:val="right"/>
              <w:rPr>
                <w:sz w:val="18"/>
                <w:szCs w:val="18"/>
              </w:rPr>
            </w:pPr>
          </w:p>
        </w:tc>
        <w:tc>
          <w:tcPr>
            <w:tcW w:w="1666" w:type="dxa"/>
            <w:vAlign w:val="bottom"/>
          </w:tcPr>
          <w:p w14:paraId="178A5F35" w14:textId="2007009D" w:rsidR="001C1A17" w:rsidRPr="00C35CC6" w:rsidRDefault="001C1A17" w:rsidP="001C1A17">
            <w:pPr>
              <w:ind w:right="57"/>
              <w:jc w:val="right"/>
              <w:rPr>
                <w:sz w:val="18"/>
                <w:szCs w:val="18"/>
              </w:rPr>
            </w:pPr>
            <w:r w:rsidRPr="00C35CC6">
              <w:rPr>
                <w:sz w:val="18"/>
                <w:szCs w:val="18"/>
              </w:rPr>
              <w:t>-</w:t>
            </w:r>
          </w:p>
        </w:tc>
        <w:tc>
          <w:tcPr>
            <w:tcW w:w="2874" w:type="dxa"/>
            <w:vAlign w:val="bottom"/>
          </w:tcPr>
          <w:p w14:paraId="32732568" w14:textId="77777777" w:rsidR="001C1A17" w:rsidRPr="00C35CC6" w:rsidRDefault="001C1A17" w:rsidP="001C1A17">
            <w:pPr>
              <w:ind w:right="198"/>
              <w:jc w:val="right"/>
              <w:rPr>
                <w:i/>
                <w:sz w:val="18"/>
                <w:szCs w:val="18"/>
              </w:rPr>
            </w:pPr>
            <w:r w:rsidRPr="00C35CC6">
              <w:rPr>
                <w:i/>
                <w:sz w:val="18"/>
                <w:szCs w:val="18"/>
              </w:rPr>
              <w:t>Subsidiaries</w:t>
            </w:r>
          </w:p>
        </w:tc>
      </w:tr>
      <w:tr w:rsidR="001C1A17" w:rsidRPr="00C35CC6" w14:paraId="010EDFA2" w14:textId="77777777" w:rsidTr="002108FF">
        <w:trPr>
          <w:trHeight w:val="20"/>
        </w:trPr>
        <w:tc>
          <w:tcPr>
            <w:tcW w:w="2875" w:type="dxa"/>
          </w:tcPr>
          <w:p w14:paraId="7C9B003E" w14:textId="77777777" w:rsidR="001C1A17" w:rsidRPr="00C35CC6" w:rsidRDefault="001C1A17" w:rsidP="006B1D26">
            <w:pPr>
              <w:ind w:left="870" w:hanging="350"/>
              <w:rPr>
                <w:sz w:val="18"/>
                <w:szCs w:val="18"/>
              </w:rPr>
            </w:pPr>
          </w:p>
        </w:tc>
        <w:tc>
          <w:tcPr>
            <w:tcW w:w="1667" w:type="dxa"/>
            <w:tcBorders>
              <w:top w:val="single" w:sz="4" w:space="0" w:color="auto"/>
            </w:tcBorders>
            <w:shd w:val="clear" w:color="auto" w:fill="auto"/>
            <w:vAlign w:val="bottom"/>
          </w:tcPr>
          <w:p w14:paraId="61655058" w14:textId="77777777" w:rsidR="001C1A17" w:rsidRPr="00C35CC6" w:rsidRDefault="001C1A17" w:rsidP="001C1A17">
            <w:pPr>
              <w:ind w:right="57"/>
              <w:jc w:val="right"/>
              <w:rPr>
                <w:sz w:val="18"/>
                <w:szCs w:val="18"/>
              </w:rPr>
            </w:pPr>
          </w:p>
        </w:tc>
        <w:tc>
          <w:tcPr>
            <w:tcW w:w="115" w:type="dxa"/>
            <w:vAlign w:val="bottom"/>
          </w:tcPr>
          <w:p w14:paraId="06C829B2" w14:textId="77777777" w:rsidR="001C1A17" w:rsidRPr="00C35CC6" w:rsidRDefault="001C1A17" w:rsidP="001C1A17">
            <w:pPr>
              <w:ind w:right="57"/>
              <w:jc w:val="right"/>
              <w:rPr>
                <w:sz w:val="18"/>
                <w:szCs w:val="18"/>
              </w:rPr>
            </w:pPr>
          </w:p>
        </w:tc>
        <w:tc>
          <w:tcPr>
            <w:tcW w:w="1666" w:type="dxa"/>
            <w:tcBorders>
              <w:top w:val="single" w:sz="4" w:space="0" w:color="auto"/>
            </w:tcBorders>
            <w:vAlign w:val="bottom"/>
          </w:tcPr>
          <w:p w14:paraId="47F45074" w14:textId="77777777" w:rsidR="001C1A17" w:rsidRPr="00C35CC6" w:rsidRDefault="001C1A17" w:rsidP="001C1A17">
            <w:pPr>
              <w:ind w:right="57"/>
              <w:jc w:val="right"/>
              <w:rPr>
                <w:sz w:val="18"/>
                <w:szCs w:val="18"/>
              </w:rPr>
            </w:pPr>
          </w:p>
        </w:tc>
        <w:tc>
          <w:tcPr>
            <w:tcW w:w="2874" w:type="dxa"/>
            <w:vAlign w:val="bottom"/>
          </w:tcPr>
          <w:p w14:paraId="02BF543A" w14:textId="77777777" w:rsidR="001C1A17" w:rsidRPr="00C35CC6" w:rsidRDefault="001C1A17" w:rsidP="001C1A17">
            <w:pPr>
              <w:ind w:right="57"/>
              <w:jc w:val="right"/>
              <w:rPr>
                <w:i/>
                <w:sz w:val="18"/>
                <w:szCs w:val="18"/>
              </w:rPr>
            </w:pPr>
          </w:p>
        </w:tc>
      </w:tr>
      <w:tr w:rsidR="001C1A17" w:rsidRPr="00C35CC6" w14:paraId="5CE68E42" w14:textId="77777777" w:rsidTr="002108FF">
        <w:trPr>
          <w:trHeight w:val="20"/>
        </w:trPr>
        <w:tc>
          <w:tcPr>
            <w:tcW w:w="2875" w:type="dxa"/>
          </w:tcPr>
          <w:p w14:paraId="32A603ED" w14:textId="77777777" w:rsidR="001C1A17" w:rsidRPr="00C35CC6" w:rsidRDefault="001C1A17" w:rsidP="006B1D26">
            <w:pPr>
              <w:ind w:left="870" w:hanging="350"/>
              <w:rPr>
                <w:sz w:val="18"/>
                <w:szCs w:val="18"/>
              </w:rPr>
            </w:pPr>
            <w:r w:rsidRPr="00C35CC6">
              <w:rPr>
                <w:sz w:val="18"/>
                <w:szCs w:val="18"/>
              </w:rPr>
              <w:t xml:space="preserve">Jumlah </w:t>
            </w:r>
          </w:p>
        </w:tc>
        <w:tc>
          <w:tcPr>
            <w:tcW w:w="1667" w:type="dxa"/>
            <w:tcBorders>
              <w:bottom w:val="single" w:sz="4" w:space="0" w:color="auto"/>
            </w:tcBorders>
            <w:shd w:val="clear" w:color="auto" w:fill="auto"/>
            <w:vAlign w:val="bottom"/>
          </w:tcPr>
          <w:p w14:paraId="25F15CCE" w14:textId="5BC5FFCC" w:rsidR="001C1A17" w:rsidRPr="00C35CC6" w:rsidRDefault="00972CD2" w:rsidP="00042590">
            <w:pPr>
              <w:ind w:right="57"/>
              <w:jc w:val="right"/>
              <w:rPr>
                <w:sz w:val="18"/>
                <w:szCs w:val="18"/>
              </w:rPr>
            </w:pPr>
            <w:r w:rsidRPr="00C35CC6">
              <w:rPr>
                <w:sz w:val="18"/>
                <w:szCs w:val="18"/>
              </w:rPr>
              <w:t>(</w:t>
            </w:r>
            <w:r w:rsidR="00C35CC6" w:rsidRPr="00C35CC6">
              <w:rPr>
                <w:sz w:val="18"/>
                <w:szCs w:val="18"/>
              </w:rPr>
              <w:t>655.050.621</w:t>
            </w:r>
            <w:r w:rsidRPr="00C35CC6">
              <w:rPr>
                <w:sz w:val="18"/>
                <w:szCs w:val="18"/>
              </w:rPr>
              <w:t>)</w:t>
            </w:r>
          </w:p>
        </w:tc>
        <w:tc>
          <w:tcPr>
            <w:tcW w:w="115" w:type="dxa"/>
            <w:vAlign w:val="bottom"/>
          </w:tcPr>
          <w:p w14:paraId="37821CFF" w14:textId="77777777" w:rsidR="001C1A17" w:rsidRPr="00C35CC6" w:rsidRDefault="001C1A17" w:rsidP="001C1A17">
            <w:pPr>
              <w:ind w:right="57"/>
              <w:jc w:val="right"/>
              <w:rPr>
                <w:sz w:val="18"/>
                <w:szCs w:val="18"/>
              </w:rPr>
            </w:pPr>
          </w:p>
        </w:tc>
        <w:tc>
          <w:tcPr>
            <w:tcW w:w="1666" w:type="dxa"/>
            <w:tcBorders>
              <w:bottom w:val="single" w:sz="4" w:space="0" w:color="auto"/>
            </w:tcBorders>
            <w:vAlign w:val="bottom"/>
          </w:tcPr>
          <w:p w14:paraId="159F2FC7" w14:textId="47AF4CB8" w:rsidR="001C1A17" w:rsidRPr="00C35CC6" w:rsidRDefault="001C1A17" w:rsidP="001C1A17">
            <w:pPr>
              <w:ind w:right="57"/>
              <w:jc w:val="right"/>
              <w:rPr>
                <w:sz w:val="18"/>
                <w:szCs w:val="18"/>
              </w:rPr>
            </w:pPr>
            <w:r w:rsidRPr="00C35CC6">
              <w:rPr>
                <w:sz w:val="18"/>
                <w:szCs w:val="18"/>
              </w:rPr>
              <w:t>-</w:t>
            </w:r>
          </w:p>
        </w:tc>
        <w:tc>
          <w:tcPr>
            <w:tcW w:w="2874" w:type="dxa"/>
            <w:vAlign w:val="bottom"/>
          </w:tcPr>
          <w:p w14:paraId="16F8ABE1" w14:textId="77777777" w:rsidR="001C1A17" w:rsidRPr="00C35CC6" w:rsidRDefault="001C1A17" w:rsidP="001C1A17">
            <w:pPr>
              <w:ind w:right="57"/>
              <w:jc w:val="right"/>
              <w:rPr>
                <w:i/>
                <w:sz w:val="18"/>
                <w:szCs w:val="18"/>
              </w:rPr>
            </w:pPr>
            <w:r w:rsidRPr="00C35CC6">
              <w:rPr>
                <w:i/>
                <w:sz w:val="18"/>
                <w:szCs w:val="18"/>
              </w:rPr>
              <w:t xml:space="preserve">Total </w:t>
            </w:r>
          </w:p>
        </w:tc>
      </w:tr>
      <w:tr w:rsidR="001C1A17" w:rsidRPr="00C35CC6" w14:paraId="0426739D" w14:textId="77777777" w:rsidTr="002108FF">
        <w:trPr>
          <w:trHeight w:val="172"/>
        </w:trPr>
        <w:tc>
          <w:tcPr>
            <w:tcW w:w="2875" w:type="dxa"/>
          </w:tcPr>
          <w:p w14:paraId="13EC6AAC" w14:textId="77777777" w:rsidR="001C1A17" w:rsidRPr="00C35CC6" w:rsidRDefault="001C1A17" w:rsidP="006B1D26">
            <w:pPr>
              <w:ind w:left="870" w:hanging="350"/>
              <w:rPr>
                <w:sz w:val="18"/>
                <w:szCs w:val="18"/>
              </w:rPr>
            </w:pPr>
          </w:p>
        </w:tc>
        <w:tc>
          <w:tcPr>
            <w:tcW w:w="1667" w:type="dxa"/>
            <w:tcBorders>
              <w:top w:val="single" w:sz="4" w:space="0" w:color="auto"/>
            </w:tcBorders>
            <w:shd w:val="clear" w:color="auto" w:fill="auto"/>
            <w:vAlign w:val="bottom"/>
          </w:tcPr>
          <w:p w14:paraId="6FC50327" w14:textId="77777777" w:rsidR="001C1A17" w:rsidRPr="00C35CC6" w:rsidRDefault="001C1A17" w:rsidP="001C1A17">
            <w:pPr>
              <w:ind w:right="57"/>
              <w:jc w:val="right"/>
              <w:rPr>
                <w:sz w:val="18"/>
                <w:szCs w:val="18"/>
              </w:rPr>
            </w:pPr>
          </w:p>
        </w:tc>
        <w:tc>
          <w:tcPr>
            <w:tcW w:w="115" w:type="dxa"/>
            <w:vAlign w:val="bottom"/>
          </w:tcPr>
          <w:p w14:paraId="7416D19F" w14:textId="77777777" w:rsidR="001C1A17" w:rsidRPr="00C35CC6" w:rsidRDefault="001C1A17" w:rsidP="001C1A17">
            <w:pPr>
              <w:ind w:right="57"/>
              <w:jc w:val="right"/>
              <w:rPr>
                <w:sz w:val="18"/>
                <w:szCs w:val="18"/>
              </w:rPr>
            </w:pPr>
          </w:p>
        </w:tc>
        <w:tc>
          <w:tcPr>
            <w:tcW w:w="1666" w:type="dxa"/>
            <w:tcBorders>
              <w:top w:val="single" w:sz="4" w:space="0" w:color="auto"/>
            </w:tcBorders>
            <w:vAlign w:val="bottom"/>
          </w:tcPr>
          <w:p w14:paraId="2A74B4AD" w14:textId="77777777" w:rsidR="001C1A17" w:rsidRPr="00C35CC6" w:rsidRDefault="001C1A17" w:rsidP="001C1A17">
            <w:pPr>
              <w:ind w:right="57"/>
              <w:jc w:val="right"/>
              <w:rPr>
                <w:sz w:val="18"/>
                <w:szCs w:val="18"/>
              </w:rPr>
            </w:pPr>
          </w:p>
        </w:tc>
        <w:tc>
          <w:tcPr>
            <w:tcW w:w="2874" w:type="dxa"/>
            <w:vAlign w:val="bottom"/>
          </w:tcPr>
          <w:p w14:paraId="5A442AAF" w14:textId="77777777" w:rsidR="001C1A17" w:rsidRPr="00C35CC6" w:rsidRDefault="001C1A17" w:rsidP="001C1A17">
            <w:pPr>
              <w:ind w:right="57"/>
              <w:rPr>
                <w:i/>
                <w:sz w:val="18"/>
                <w:szCs w:val="18"/>
              </w:rPr>
            </w:pPr>
          </w:p>
        </w:tc>
      </w:tr>
      <w:tr w:rsidR="001C1A17" w:rsidRPr="00C35CC6" w14:paraId="52B9BD95" w14:textId="77777777" w:rsidTr="002108FF">
        <w:trPr>
          <w:trHeight w:val="20"/>
        </w:trPr>
        <w:tc>
          <w:tcPr>
            <w:tcW w:w="2875" w:type="dxa"/>
          </w:tcPr>
          <w:p w14:paraId="522E010F" w14:textId="77777777" w:rsidR="001C1A17" w:rsidRPr="00C35CC6" w:rsidRDefault="001C1A17" w:rsidP="006B1D26">
            <w:pPr>
              <w:ind w:left="870" w:hanging="350"/>
              <w:rPr>
                <w:b/>
                <w:sz w:val="18"/>
                <w:szCs w:val="18"/>
              </w:rPr>
            </w:pPr>
            <w:r w:rsidRPr="00C35CC6">
              <w:rPr>
                <w:b/>
                <w:sz w:val="18"/>
                <w:szCs w:val="18"/>
              </w:rPr>
              <w:t xml:space="preserve">Pajak tangguhan </w:t>
            </w:r>
          </w:p>
        </w:tc>
        <w:tc>
          <w:tcPr>
            <w:tcW w:w="1667" w:type="dxa"/>
            <w:shd w:val="clear" w:color="auto" w:fill="auto"/>
            <w:vAlign w:val="bottom"/>
          </w:tcPr>
          <w:p w14:paraId="49EB910A" w14:textId="77777777" w:rsidR="001C1A17" w:rsidRPr="00C35CC6" w:rsidRDefault="001C1A17" w:rsidP="001C1A17">
            <w:pPr>
              <w:ind w:right="57"/>
              <w:jc w:val="right"/>
              <w:rPr>
                <w:b/>
                <w:sz w:val="18"/>
                <w:szCs w:val="18"/>
              </w:rPr>
            </w:pPr>
          </w:p>
        </w:tc>
        <w:tc>
          <w:tcPr>
            <w:tcW w:w="115" w:type="dxa"/>
            <w:vAlign w:val="bottom"/>
          </w:tcPr>
          <w:p w14:paraId="6D27F862" w14:textId="77777777" w:rsidR="001C1A17" w:rsidRPr="00C35CC6" w:rsidRDefault="001C1A17" w:rsidP="001C1A17">
            <w:pPr>
              <w:ind w:right="57"/>
              <w:jc w:val="right"/>
              <w:rPr>
                <w:b/>
                <w:sz w:val="18"/>
                <w:szCs w:val="18"/>
              </w:rPr>
            </w:pPr>
          </w:p>
        </w:tc>
        <w:tc>
          <w:tcPr>
            <w:tcW w:w="1666" w:type="dxa"/>
            <w:vAlign w:val="bottom"/>
          </w:tcPr>
          <w:p w14:paraId="3170B9F2" w14:textId="77777777" w:rsidR="001C1A17" w:rsidRPr="00C35CC6" w:rsidRDefault="001C1A17" w:rsidP="001C1A17">
            <w:pPr>
              <w:ind w:right="57"/>
              <w:jc w:val="right"/>
              <w:rPr>
                <w:b/>
                <w:sz w:val="18"/>
                <w:szCs w:val="18"/>
              </w:rPr>
            </w:pPr>
          </w:p>
        </w:tc>
        <w:tc>
          <w:tcPr>
            <w:tcW w:w="2874" w:type="dxa"/>
            <w:vAlign w:val="bottom"/>
          </w:tcPr>
          <w:p w14:paraId="4C9A3395" w14:textId="77777777" w:rsidR="001C1A17" w:rsidRPr="00C35CC6" w:rsidRDefault="001C1A17" w:rsidP="001C1A17">
            <w:pPr>
              <w:ind w:right="57"/>
              <w:jc w:val="right"/>
              <w:rPr>
                <w:b/>
                <w:i/>
                <w:sz w:val="18"/>
                <w:szCs w:val="18"/>
              </w:rPr>
            </w:pPr>
            <w:r w:rsidRPr="00C35CC6">
              <w:rPr>
                <w:b/>
                <w:i/>
                <w:sz w:val="18"/>
                <w:szCs w:val="18"/>
              </w:rPr>
              <w:t>Deferred tax</w:t>
            </w:r>
          </w:p>
        </w:tc>
      </w:tr>
      <w:tr w:rsidR="001C1A17" w:rsidRPr="00C35CC6" w14:paraId="1229863B" w14:textId="77777777" w:rsidTr="002108FF">
        <w:trPr>
          <w:trHeight w:val="20"/>
        </w:trPr>
        <w:tc>
          <w:tcPr>
            <w:tcW w:w="2875" w:type="dxa"/>
          </w:tcPr>
          <w:p w14:paraId="3AAAF0E5" w14:textId="3FFE6590" w:rsidR="001C1A17" w:rsidRPr="00C35CC6" w:rsidRDefault="001C1A17" w:rsidP="006B1D26">
            <w:pPr>
              <w:ind w:left="870" w:hanging="224"/>
              <w:rPr>
                <w:sz w:val="18"/>
                <w:szCs w:val="18"/>
              </w:rPr>
            </w:pPr>
            <w:r w:rsidRPr="00C35CC6">
              <w:rPr>
                <w:sz w:val="18"/>
                <w:szCs w:val="18"/>
              </w:rPr>
              <w:t>Perusahaan</w:t>
            </w:r>
          </w:p>
        </w:tc>
        <w:tc>
          <w:tcPr>
            <w:tcW w:w="1667" w:type="dxa"/>
            <w:shd w:val="clear" w:color="auto" w:fill="auto"/>
            <w:vAlign w:val="bottom"/>
          </w:tcPr>
          <w:p w14:paraId="4AE84D05" w14:textId="48A0B40F" w:rsidR="001C1A17" w:rsidRPr="00C35CC6" w:rsidRDefault="00042590" w:rsidP="00042590">
            <w:pPr>
              <w:ind w:right="57"/>
              <w:jc w:val="right"/>
              <w:rPr>
                <w:sz w:val="18"/>
                <w:szCs w:val="18"/>
                <w:lang w:val="en-ID"/>
              </w:rPr>
            </w:pPr>
            <w:r w:rsidRPr="00C35CC6">
              <w:rPr>
                <w:sz w:val="18"/>
                <w:szCs w:val="18"/>
                <w:lang w:val="en-ID"/>
              </w:rPr>
              <w:t>-</w:t>
            </w:r>
          </w:p>
        </w:tc>
        <w:tc>
          <w:tcPr>
            <w:tcW w:w="115" w:type="dxa"/>
            <w:vAlign w:val="bottom"/>
          </w:tcPr>
          <w:p w14:paraId="4CDF8BC3" w14:textId="77777777" w:rsidR="001C1A17" w:rsidRPr="00C35CC6" w:rsidRDefault="001C1A17" w:rsidP="001C1A17">
            <w:pPr>
              <w:ind w:right="57"/>
              <w:jc w:val="right"/>
              <w:rPr>
                <w:sz w:val="18"/>
                <w:szCs w:val="18"/>
              </w:rPr>
            </w:pPr>
          </w:p>
        </w:tc>
        <w:tc>
          <w:tcPr>
            <w:tcW w:w="1666" w:type="dxa"/>
            <w:vAlign w:val="bottom"/>
          </w:tcPr>
          <w:p w14:paraId="3701949A" w14:textId="73AF0928" w:rsidR="001C1A17" w:rsidRPr="00C35CC6" w:rsidRDefault="00042590" w:rsidP="001C1A17">
            <w:pPr>
              <w:ind w:right="57"/>
              <w:jc w:val="right"/>
              <w:rPr>
                <w:sz w:val="18"/>
                <w:szCs w:val="18"/>
                <w:lang w:val="id-ID"/>
              </w:rPr>
            </w:pPr>
            <w:r w:rsidRPr="00C35CC6">
              <w:rPr>
                <w:sz w:val="18"/>
                <w:szCs w:val="18"/>
              </w:rPr>
              <w:t>2.521.812.445</w:t>
            </w:r>
          </w:p>
        </w:tc>
        <w:tc>
          <w:tcPr>
            <w:tcW w:w="2874" w:type="dxa"/>
            <w:vAlign w:val="bottom"/>
          </w:tcPr>
          <w:p w14:paraId="52AEACD7" w14:textId="77777777" w:rsidR="001C1A17" w:rsidRPr="00C35CC6" w:rsidRDefault="001C1A17" w:rsidP="001C1A17">
            <w:pPr>
              <w:ind w:right="198"/>
              <w:jc w:val="right"/>
              <w:rPr>
                <w:i/>
                <w:sz w:val="18"/>
                <w:szCs w:val="18"/>
              </w:rPr>
            </w:pPr>
            <w:r w:rsidRPr="00C35CC6">
              <w:rPr>
                <w:i/>
                <w:sz w:val="18"/>
                <w:szCs w:val="18"/>
              </w:rPr>
              <w:t xml:space="preserve">Entity </w:t>
            </w:r>
          </w:p>
        </w:tc>
      </w:tr>
      <w:tr w:rsidR="001C1A17" w:rsidRPr="00C35CC6" w14:paraId="469734F8" w14:textId="77777777" w:rsidTr="002108FF">
        <w:trPr>
          <w:trHeight w:val="20"/>
        </w:trPr>
        <w:tc>
          <w:tcPr>
            <w:tcW w:w="2875" w:type="dxa"/>
          </w:tcPr>
          <w:p w14:paraId="5E0F3BE8" w14:textId="77777777" w:rsidR="001C1A17" w:rsidRPr="00C35CC6" w:rsidRDefault="001C1A17" w:rsidP="006B1D26">
            <w:pPr>
              <w:ind w:left="870" w:hanging="224"/>
              <w:rPr>
                <w:sz w:val="18"/>
                <w:szCs w:val="18"/>
              </w:rPr>
            </w:pPr>
            <w:r w:rsidRPr="00C35CC6">
              <w:rPr>
                <w:sz w:val="18"/>
                <w:szCs w:val="18"/>
              </w:rPr>
              <w:t xml:space="preserve">Entitas Anak </w:t>
            </w:r>
          </w:p>
        </w:tc>
        <w:tc>
          <w:tcPr>
            <w:tcW w:w="1667" w:type="dxa"/>
            <w:tcBorders>
              <w:bottom w:val="single" w:sz="4" w:space="0" w:color="auto"/>
            </w:tcBorders>
            <w:shd w:val="clear" w:color="auto" w:fill="auto"/>
            <w:vAlign w:val="bottom"/>
          </w:tcPr>
          <w:p w14:paraId="097A0F26" w14:textId="6C36FE79" w:rsidR="001C1A17" w:rsidRPr="00C35CC6" w:rsidRDefault="00C35CC6" w:rsidP="001C1A17">
            <w:pPr>
              <w:ind w:right="57"/>
              <w:jc w:val="right"/>
              <w:rPr>
                <w:sz w:val="18"/>
                <w:szCs w:val="18"/>
                <w:lang w:val="en-ID"/>
              </w:rPr>
            </w:pPr>
            <w:r w:rsidRPr="00C35CC6">
              <w:rPr>
                <w:sz w:val="18"/>
                <w:szCs w:val="18"/>
                <w:lang w:val="en-ID"/>
              </w:rPr>
              <w:t>(746.770.504)</w:t>
            </w:r>
          </w:p>
        </w:tc>
        <w:tc>
          <w:tcPr>
            <w:tcW w:w="115" w:type="dxa"/>
            <w:vAlign w:val="bottom"/>
          </w:tcPr>
          <w:p w14:paraId="2AA3CC72" w14:textId="77777777" w:rsidR="001C1A17" w:rsidRPr="00C35CC6" w:rsidRDefault="001C1A17" w:rsidP="001C1A17">
            <w:pPr>
              <w:ind w:right="57"/>
              <w:jc w:val="right"/>
              <w:rPr>
                <w:sz w:val="18"/>
                <w:szCs w:val="18"/>
              </w:rPr>
            </w:pPr>
          </w:p>
        </w:tc>
        <w:tc>
          <w:tcPr>
            <w:tcW w:w="1666" w:type="dxa"/>
            <w:tcBorders>
              <w:bottom w:val="single" w:sz="4" w:space="0" w:color="auto"/>
            </w:tcBorders>
            <w:vAlign w:val="bottom"/>
          </w:tcPr>
          <w:p w14:paraId="68E6E842" w14:textId="51447728" w:rsidR="001C1A17" w:rsidRPr="00C35CC6" w:rsidRDefault="00042590" w:rsidP="001C1A17">
            <w:pPr>
              <w:ind w:right="57"/>
              <w:jc w:val="right"/>
              <w:rPr>
                <w:sz w:val="18"/>
                <w:szCs w:val="18"/>
                <w:lang w:val="id-ID"/>
              </w:rPr>
            </w:pPr>
            <w:r w:rsidRPr="00C35CC6">
              <w:rPr>
                <w:sz w:val="18"/>
                <w:szCs w:val="18"/>
              </w:rPr>
              <w:t>94.003.451</w:t>
            </w:r>
          </w:p>
        </w:tc>
        <w:tc>
          <w:tcPr>
            <w:tcW w:w="2874" w:type="dxa"/>
            <w:vAlign w:val="bottom"/>
          </w:tcPr>
          <w:p w14:paraId="7D692AAD" w14:textId="77777777" w:rsidR="001C1A17" w:rsidRPr="00C35CC6" w:rsidRDefault="001C1A17" w:rsidP="001C1A17">
            <w:pPr>
              <w:ind w:right="198"/>
              <w:jc w:val="right"/>
              <w:rPr>
                <w:i/>
                <w:sz w:val="18"/>
                <w:szCs w:val="18"/>
              </w:rPr>
            </w:pPr>
            <w:r w:rsidRPr="00C35CC6">
              <w:rPr>
                <w:i/>
                <w:sz w:val="18"/>
                <w:szCs w:val="18"/>
              </w:rPr>
              <w:t xml:space="preserve">Subsidiaries </w:t>
            </w:r>
          </w:p>
        </w:tc>
      </w:tr>
      <w:tr w:rsidR="001C1A17" w:rsidRPr="00C35CC6" w14:paraId="40C60288" w14:textId="77777777" w:rsidTr="002108FF">
        <w:trPr>
          <w:trHeight w:val="20"/>
        </w:trPr>
        <w:tc>
          <w:tcPr>
            <w:tcW w:w="2875" w:type="dxa"/>
          </w:tcPr>
          <w:p w14:paraId="31D7ED54" w14:textId="77777777" w:rsidR="001C1A17" w:rsidRPr="00C35CC6" w:rsidRDefault="001C1A17" w:rsidP="006B1D26">
            <w:pPr>
              <w:ind w:left="870" w:hanging="350"/>
              <w:rPr>
                <w:sz w:val="18"/>
                <w:szCs w:val="18"/>
              </w:rPr>
            </w:pPr>
          </w:p>
        </w:tc>
        <w:tc>
          <w:tcPr>
            <w:tcW w:w="1667" w:type="dxa"/>
            <w:tcBorders>
              <w:top w:val="single" w:sz="4" w:space="0" w:color="auto"/>
            </w:tcBorders>
            <w:shd w:val="clear" w:color="auto" w:fill="auto"/>
            <w:vAlign w:val="bottom"/>
          </w:tcPr>
          <w:p w14:paraId="43B8842F" w14:textId="5A9BC2B5" w:rsidR="001C1A17" w:rsidRPr="00C35CC6" w:rsidRDefault="001C1A17" w:rsidP="001C1A17">
            <w:pPr>
              <w:ind w:right="57"/>
              <w:jc w:val="right"/>
              <w:rPr>
                <w:sz w:val="18"/>
                <w:szCs w:val="18"/>
              </w:rPr>
            </w:pPr>
          </w:p>
        </w:tc>
        <w:tc>
          <w:tcPr>
            <w:tcW w:w="115" w:type="dxa"/>
            <w:vAlign w:val="bottom"/>
          </w:tcPr>
          <w:p w14:paraId="18B3E2A8" w14:textId="77777777" w:rsidR="001C1A17" w:rsidRPr="00C35CC6" w:rsidRDefault="001C1A17" w:rsidP="001C1A17">
            <w:pPr>
              <w:ind w:right="57"/>
              <w:jc w:val="right"/>
              <w:rPr>
                <w:sz w:val="18"/>
                <w:szCs w:val="18"/>
              </w:rPr>
            </w:pPr>
          </w:p>
        </w:tc>
        <w:tc>
          <w:tcPr>
            <w:tcW w:w="1666" w:type="dxa"/>
            <w:tcBorders>
              <w:top w:val="single" w:sz="4" w:space="0" w:color="auto"/>
            </w:tcBorders>
            <w:vAlign w:val="bottom"/>
          </w:tcPr>
          <w:p w14:paraId="480B09DE" w14:textId="77777777" w:rsidR="001C1A17" w:rsidRPr="00C35CC6" w:rsidRDefault="001C1A17" w:rsidP="001C1A17">
            <w:pPr>
              <w:ind w:right="57"/>
              <w:jc w:val="right"/>
              <w:rPr>
                <w:sz w:val="18"/>
                <w:szCs w:val="18"/>
              </w:rPr>
            </w:pPr>
          </w:p>
        </w:tc>
        <w:tc>
          <w:tcPr>
            <w:tcW w:w="2874" w:type="dxa"/>
            <w:vAlign w:val="bottom"/>
          </w:tcPr>
          <w:p w14:paraId="6A866462" w14:textId="77777777" w:rsidR="001C1A17" w:rsidRPr="00C35CC6" w:rsidRDefault="001C1A17" w:rsidP="001C1A17">
            <w:pPr>
              <w:ind w:right="57"/>
              <w:jc w:val="right"/>
              <w:rPr>
                <w:i/>
                <w:sz w:val="18"/>
                <w:szCs w:val="18"/>
              </w:rPr>
            </w:pPr>
          </w:p>
        </w:tc>
      </w:tr>
      <w:tr w:rsidR="00291DEA" w:rsidRPr="00C35CC6" w14:paraId="2EEF887D" w14:textId="77777777" w:rsidTr="002108FF">
        <w:trPr>
          <w:trHeight w:val="20"/>
        </w:trPr>
        <w:tc>
          <w:tcPr>
            <w:tcW w:w="2875" w:type="dxa"/>
          </w:tcPr>
          <w:p w14:paraId="272CBD26" w14:textId="0E743EB6" w:rsidR="00291DEA" w:rsidRPr="00C35CC6" w:rsidRDefault="00291DEA" w:rsidP="006B1D26">
            <w:pPr>
              <w:ind w:left="870" w:hanging="350"/>
              <w:rPr>
                <w:sz w:val="18"/>
                <w:szCs w:val="18"/>
              </w:rPr>
            </w:pPr>
            <w:r w:rsidRPr="00C35CC6">
              <w:rPr>
                <w:sz w:val="18"/>
                <w:szCs w:val="18"/>
              </w:rPr>
              <w:t>Jumlah</w:t>
            </w:r>
          </w:p>
        </w:tc>
        <w:tc>
          <w:tcPr>
            <w:tcW w:w="1667" w:type="dxa"/>
            <w:shd w:val="clear" w:color="auto" w:fill="auto"/>
            <w:vAlign w:val="bottom"/>
          </w:tcPr>
          <w:p w14:paraId="7A613551" w14:textId="5ED027C6" w:rsidR="00291DEA" w:rsidRPr="00C35CC6" w:rsidRDefault="00C35CC6" w:rsidP="001C1A17">
            <w:pPr>
              <w:ind w:right="57"/>
              <w:jc w:val="right"/>
              <w:rPr>
                <w:sz w:val="18"/>
                <w:szCs w:val="18"/>
              </w:rPr>
            </w:pPr>
            <w:r w:rsidRPr="00C35CC6">
              <w:rPr>
                <w:sz w:val="18"/>
                <w:szCs w:val="18"/>
              </w:rPr>
              <w:t>(746.770.504)</w:t>
            </w:r>
          </w:p>
        </w:tc>
        <w:tc>
          <w:tcPr>
            <w:tcW w:w="115" w:type="dxa"/>
            <w:vAlign w:val="bottom"/>
          </w:tcPr>
          <w:p w14:paraId="7E474E72" w14:textId="77777777" w:rsidR="00291DEA" w:rsidRPr="00C35CC6" w:rsidRDefault="00291DEA" w:rsidP="001C1A17">
            <w:pPr>
              <w:ind w:right="57"/>
              <w:jc w:val="right"/>
              <w:rPr>
                <w:sz w:val="18"/>
                <w:szCs w:val="18"/>
              </w:rPr>
            </w:pPr>
          </w:p>
        </w:tc>
        <w:tc>
          <w:tcPr>
            <w:tcW w:w="1666" w:type="dxa"/>
            <w:vAlign w:val="bottom"/>
          </w:tcPr>
          <w:p w14:paraId="10996C85" w14:textId="4B27FA8D" w:rsidR="00291DEA" w:rsidRPr="00C35CC6" w:rsidRDefault="00042590" w:rsidP="001C1A17">
            <w:pPr>
              <w:ind w:right="57"/>
              <w:jc w:val="right"/>
              <w:rPr>
                <w:sz w:val="18"/>
                <w:szCs w:val="18"/>
              </w:rPr>
            </w:pPr>
            <w:r w:rsidRPr="00C35CC6">
              <w:rPr>
                <w:sz w:val="18"/>
                <w:szCs w:val="18"/>
              </w:rPr>
              <w:t>2.615.815.896</w:t>
            </w:r>
          </w:p>
        </w:tc>
        <w:tc>
          <w:tcPr>
            <w:tcW w:w="2874" w:type="dxa"/>
            <w:vAlign w:val="bottom"/>
          </w:tcPr>
          <w:p w14:paraId="68E4DC97" w14:textId="6CF13755" w:rsidR="00291DEA" w:rsidRPr="00C35CC6" w:rsidRDefault="00291DEA" w:rsidP="001C1A17">
            <w:pPr>
              <w:ind w:right="57"/>
              <w:jc w:val="right"/>
              <w:rPr>
                <w:i/>
                <w:sz w:val="18"/>
                <w:szCs w:val="18"/>
              </w:rPr>
            </w:pPr>
            <w:r w:rsidRPr="00C35CC6">
              <w:rPr>
                <w:i/>
                <w:sz w:val="18"/>
                <w:szCs w:val="18"/>
              </w:rPr>
              <w:t>Total</w:t>
            </w:r>
          </w:p>
        </w:tc>
      </w:tr>
      <w:tr w:rsidR="00291DEA" w:rsidRPr="00C35CC6" w14:paraId="0463C32B" w14:textId="77777777" w:rsidTr="002108FF">
        <w:trPr>
          <w:trHeight w:val="20"/>
        </w:trPr>
        <w:tc>
          <w:tcPr>
            <w:tcW w:w="2875" w:type="dxa"/>
          </w:tcPr>
          <w:p w14:paraId="4CAD354A" w14:textId="77777777" w:rsidR="00291DEA" w:rsidRPr="00C35CC6" w:rsidRDefault="00291DEA" w:rsidP="006B1D26">
            <w:pPr>
              <w:ind w:left="870" w:hanging="350"/>
              <w:rPr>
                <w:sz w:val="18"/>
                <w:szCs w:val="18"/>
              </w:rPr>
            </w:pPr>
          </w:p>
        </w:tc>
        <w:tc>
          <w:tcPr>
            <w:tcW w:w="1667" w:type="dxa"/>
            <w:tcBorders>
              <w:top w:val="single" w:sz="4" w:space="0" w:color="auto"/>
            </w:tcBorders>
            <w:shd w:val="clear" w:color="auto" w:fill="auto"/>
            <w:vAlign w:val="bottom"/>
          </w:tcPr>
          <w:p w14:paraId="2BE22C54" w14:textId="77777777" w:rsidR="00291DEA" w:rsidRPr="00C35CC6" w:rsidRDefault="00291DEA" w:rsidP="001C1A17">
            <w:pPr>
              <w:ind w:right="57"/>
              <w:jc w:val="right"/>
              <w:rPr>
                <w:sz w:val="18"/>
                <w:szCs w:val="18"/>
              </w:rPr>
            </w:pPr>
          </w:p>
        </w:tc>
        <w:tc>
          <w:tcPr>
            <w:tcW w:w="115" w:type="dxa"/>
            <w:vAlign w:val="bottom"/>
          </w:tcPr>
          <w:p w14:paraId="1ECB6131" w14:textId="77777777" w:rsidR="00291DEA" w:rsidRPr="00C35CC6" w:rsidRDefault="00291DEA" w:rsidP="001C1A17">
            <w:pPr>
              <w:ind w:right="57"/>
              <w:jc w:val="right"/>
              <w:rPr>
                <w:sz w:val="18"/>
                <w:szCs w:val="18"/>
              </w:rPr>
            </w:pPr>
          </w:p>
        </w:tc>
        <w:tc>
          <w:tcPr>
            <w:tcW w:w="1666" w:type="dxa"/>
            <w:tcBorders>
              <w:top w:val="single" w:sz="4" w:space="0" w:color="auto"/>
            </w:tcBorders>
            <w:vAlign w:val="bottom"/>
          </w:tcPr>
          <w:p w14:paraId="7B5C63FF" w14:textId="77777777" w:rsidR="00291DEA" w:rsidRPr="00C35CC6" w:rsidRDefault="00291DEA" w:rsidP="001C1A17">
            <w:pPr>
              <w:ind w:right="57"/>
              <w:jc w:val="right"/>
              <w:rPr>
                <w:sz w:val="18"/>
                <w:szCs w:val="18"/>
              </w:rPr>
            </w:pPr>
          </w:p>
        </w:tc>
        <w:tc>
          <w:tcPr>
            <w:tcW w:w="2874" w:type="dxa"/>
            <w:vAlign w:val="bottom"/>
          </w:tcPr>
          <w:p w14:paraId="22752D9E" w14:textId="77777777" w:rsidR="00291DEA" w:rsidRPr="00C35CC6" w:rsidRDefault="00291DEA" w:rsidP="001C1A17">
            <w:pPr>
              <w:ind w:right="57"/>
              <w:jc w:val="right"/>
              <w:rPr>
                <w:i/>
                <w:sz w:val="18"/>
                <w:szCs w:val="18"/>
              </w:rPr>
            </w:pPr>
          </w:p>
        </w:tc>
      </w:tr>
      <w:tr w:rsidR="001C1A17" w:rsidRPr="00E71189" w14:paraId="462C6EC7" w14:textId="77777777" w:rsidTr="002108FF">
        <w:trPr>
          <w:trHeight w:val="20"/>
        </w:trPr>
        <w:tc>
          <w:tcPr>
            <w:tcW w:w="2875" w:type="dxa"/>
          </w:tcPr>
          <w:p w14:paraId="075BE9B6" w14:textId="77777777" w:rsidR="001C1A17" w:rsidRPr="00C35CC6" w:rsidRDefault="001C1A17" w:rsidP="006B1D26">
            <w:pPr>
              <w:ind w:left="870" w:hanging="350"/>
              <w:rPr>
                <w:b/>
                <w:bCs w:val="0"/>
                <w:sz w:val="18"/>
                <w:szCs w:val="18"/>
              </w:rPr>
            </w:pPr>
            <w:r w:rsidRPr="00C35CC6">
              <w:rPr>
                <w:b/>
                <w:bCs w:val="0"/>
                <w:sz w:val="18"/>
                <w:szCs w:val="18"/>
              </w:rPr>
              <w:t xml:space="preserve">Jumlah </w:t>
            </w:r>
          </w:p>
        </w:tc>
        <w:tc>
          <w:tcPr>
            <w:tcW w:w="1667" w:type="dxa"/>
            <w:tcBorders>
              <w:bottom w:val="double" w:sz="4" w:space="0" w:color="auto"/>
            </w:tcBorders>
            <w:shd w:val="clear" w:color="auto" w:fill="auto"/>
            <w:vAlign w:val="bottom"/>
          </w:tcPr>
          <w:p w14:paraId="6C219779" w14:textId="32BE4458" w:rsidR="001C1A17" w:rsidRPr="00C35CC6" w:rsidRDefault="00C35CC6" w:rsidP="00291DEA">
            <w:pPr>
              <w:ind w:right="57"/>
              <w:jc w:val="right"/>
              <w:rPr>
                <w:b/>
                <w:bCs w:val="0"/>
                <w:sz w:val="18"/>
                <w:szCs w:val="18"/>
              </w:rPr>
            </w:pPr>
            <w:r w:rsidRPr="00C35CC6">
              <w:rPr>
                <w:b/>
                <w:bCs w:val="0"/>
                <w:sz w:val="18"/>
                <w:szCs w:val="18"/>
              </w:rPr>
              <w:t>(1.401.821.125)</w:t>
            </w:r>
          </w:p>
        </w:tc>
        <w:tc>
          <w:tcPr>
            <w:tcW w:w="115" w:type="dxa"/>
            <w:vAlign w:val="bottom"/>
          </w:tcPr>
          <w:p w14:paraId="5FBCEB2D" w14:textId="77777777" w:rsidR="001C1A17" w:rsidRPr="00C35CC6" w:rsidRDefault="001C1A17" w:rsidP="00291DEA">
            <w:pPr>
              <w:ind w:right="57"/>
              <w:rPr>
                <w:b/>
                <w:sz w:val="18"/>
                <w:szCs w:val="18"/>
              </w:rPr>
            </w:pPr>
          </w:p>
        </w:tc>
        <w:tc>
          <w:tcPr>
            <w:tcW w:w="1666" w:type="dxa"/>
            <w:tcBorders>
              <w:bottom w:val="double" w:sz="4" w:space="0" w:color="auto"/>
            </w:tcBorders>
            <w:vAlign w:val="bottom"/>
          </w:tcPr>
          <w:p w14:paraId="6D96FEAD" w14:textId="5AB9C025" w:rsidR="001C1A17" w:rsidRPr="00C35CC6" w:rsidRDefault="00042590" w:rsidP="00291DEA">
            <w:pPr>
              <w:ind w:right="57"/>
              <w:jc w:val="right"/>
              <w:rPr>
                <w:b/>
                <w:sz w:val="18"/>
                <w:szCs w:val="18"/>
              </w:rPr>
            </w:pPr>
            <w:r w:rsidRPr="00C35CC6">
              <w:rPr>
                <w:b/>
                <w:sz w:val="18"/>
                <w:szCs w:val="18"/>
              </w:rPr>
              <w:t>2.615.815.896</w:t>
            </w:r>
          </w:p>
        </w:tc>
        <w:tc>
          <w:tcPr>
            <w:tcW w:w="2874" w:type="dxa"/>
            <w:vAlign w:val="bottom"/>
          </w:tcPr>
          <w:p w14:paraId="54B5312D" w14:textId="77777777" w:rsidR="001C1A17" w:rsidRPr="00E71189" w:rsidRDefault="001C1A17" w:rsidP="001C1A17">
            <w:pPr>
              <w:pStyle w:val="BodyTextIndent3"/>
              <w:tabs>
                <w:tab w:val="left" w:pos="336"/>
              </w:tabs>
              <w:ind w:left="0" w:right="57" w:firstLine="0"/>
              <w:jc w:val="right"/>
              <w:rPr>
                <w:b/>
                <w:i/>
                <w:sz w:val="18"/>
                <w:szCs w:val="18"/>
                <w:lang w:val="en-US"/>
              </w:rPr>
            </w:pPr>
            <w:r w:rsidRPr="00C35CC6">
              <w:rPr>
                <w:b/>
                <w:i/>
                <w:sz w:val="18"/>
                <w:szCs w:val="18"/>
                <w:lang w:val="en-US"/>
              </w:rPr>
              <w:t>Total</w:t>
            </w:r>
            <w:r w:rsidRPr="00E71189">
              <w:rPr>
                <w:b/>
                <w:i/>
                <w:sz w:val="18"/>
                <w:szCs w:val="18"/>
                <w:lang w:val="en-US"/>
              </w:rPr>
              <w:t xml:space="preserve"> </w:t>
            </w:r>
          </w:p>
        </w:tc>
      </w:tr>
    </w:tbl>
    <w:p w14:paraId="7A8753DC" w14:textId="77777777" w:rsidR="00630E57" w:rsidRDefault="00630E57" w:rsidP="0013526B">
      <w:pPr>
        <w:rPr>
          <w:sz w:val="8"/>
          <w:szCs w:val="14"/>
        </w:rPr>
      </w:pPr>
    </w:p>
    <w:p w14:paraId="7D8F22A8" w14:textId="77777777" w:rsidR="00D61185" w:rsidRDefault="00D61185" w:rsidP="0013526B">
      <w:pPr>
        <w:rPr>
          <w:sz w:val="8"/>
          <w:szCs w:val="14"/>
        </w:rPr>
      </w:pPr>
    </w:p>
    <w:p w14:paraId="77318056" w14:textId="77777777" w:rsidR="00D61185" w:rsidRDefault="00D61185" w:rsidP="0013526B">
      <w:pPr>
        <w:rPr>
          <w:sz w:val="8"/>
          <w:szCs w:val="14"/>
        </w:rPr>
      </w:pPr>
    </w:p>
    <w:p w14:paraId="41156671" w14:textId="77777777" w:rsidR="00D61185" w:rsidRPr="00D61185" w:rsidRDefault="00D61185" w:rsidP="0013526B">
      <w:pPr>
        <w:rPr>
          <w:sz w:val="8"/>
          <w:szCs w:val="14"/>
        </w:rPr>
      </w:pPr>
    </w:p>
    <w:p w14:paraId="6BDA13F6" w14:textId="77777777" w:rsidR="009A4AA5" w:rsidRPr="0013526B" w:rsidRDefault="009A4AA5" w:rsidP="0013526B">
      <w:pPr>
        <w:rPr>
          <w:sz w:val="8"/>
          <w:szCs w:val="14"/>
          <w:lang w:val="id-ID"/>
        </w:rPr>
      </w:pPr>
    </w:p>
    <w:p w14:paraId="074C2702" w14:textId="0F812403" w:rsidR="001E345F" w:rsidRDefault="001E345F">
      <w:r>
        <w:br w:type="page"/>
      </w:r>
    </w:p>
    <w:tbl>
      <w:tblPr>
        <w:tblW w:w="9219" w:type="dxa"/>
        <w:tblInd w:w="392" w:type="dxa"/>
        <w:tblLayout w:type="fixed"/>
        <w:tblLook w:val="0000" w:firstRow="0" w:lastRow="0" w:firstColumn="0" w:lastColumn="0" w:noHBand="0" w:noVBand="0"/>
      </w:tblPr>
      <w:tblGrid>
        <w:gridCol w:w="4598"/>
        <w:gridCol w:w="11"/>
        <w:gridCol w:w="4588"/>
        <w:gridCol w:w="22"/>
      </w:tblGrid>
      <w:tr w:rsidR="001E345F" w:rsidRPr="00244F3D" w14:paraId="43ED0951" w14:textId="77777777" w:rsidTr="002108FF">
        <w:tc>
          <w:tcPr>
            <w:tcW w:w="4609" w:type="dxa"/>
            <w:gridSpan w:val="2"/>
            <w:tcBorders>
              <w:top w:val="nil"/>
              <w:left w:val="nil"/>
              <w:bottom w:val="nil"/>
              <w:right w:val="nil"/>
            </w:tcBorders>
          </w:tcPr>
          <w:p w14:paraId="43FCEC21" w14:textId="77777777" w:rsidR="001E345F" w:rsidRPr="00244F3D" w:rsidRDefault="001E345F" w:rsidP="00070D1F">
            <w:pPr>
              <w:numPr>
                <w:ilvl w:val="0"/>
                <w:numId w:val="323"/>
              </w:numPr>
              <w:jc w:val="both"/>
              <w:rPr>
                <w:b/>
                <w:bCs w:val="0"/>
                <w:sz w:val="18"/>
                <w:szCs w:val="18"/>
              </w:rPr>
            </w:pPr>
            <w:r w:rsidRPr="00244F3D">
              <w:rPr>
                <w:b/>
                <w:bCs w:val="0"/>
                <w:sz w:val="18"/>
                <w:szCs w:val="18"/>
              </w:rPr>
              <w:lastRenderedPageBreak/>
              <w:br w:type="page"/>
              <w:t>PERPAJAKAN -</w:t>
            </w:r>
            <w:r>
              <w:rPr>
                <w:b/>
                <w:bCs w:val="0"/>
                <w:sz w:val="18"/>
                <w:szCs w:val="18"/>
              </w:rPr>
              <w:t xml:space="preserve">  Lanjutan</w:t>
            </w:r>
          </w:p>
        </w:tc>
        <w:tc>
          <w:tcPr>
            <w:tcW w:w="4610" w:type="dxa"/>
            <w:gridSpan w:val="2"/>
            <w:tcBorders>
              <w:top w:val="nil"/>
              <w:left w:val="nil"/>
              <w:bottom w:val="nil"/>
              <w:right w:val="nil"/>
            </w:tcBorders>
          </w:tcPr>
          <w:p w14:paraId="58FB8368" w14:textId="77777777" w:rsidR="001E345F" w:rsidRPr="001E345F" w:rsidRDefault="001E345F" w:rsidP="00070D1F">
            <w:pPr>
              <w:numPr>
                <w:ilvl w:val="0"/>
                <w:numId w:val="324"/>
              </w:numPr>
              <w:jc w:val="both"/>
              <w:rPr>
                <w:b/>
                <w:bCs w:val="0"/>
                <w:i/>
                <w:iCs/>
                <w:sz w:val="18"/>
                <w:szCs w:val="18"/>
              </w:rPr>
            </w:pPr>
            <w:r w:rsidRPr="001E345F">
              <w:rPr>
                <w:b/>
                <w:bCs w:val="0"/>
                <w:i/>
                <w:iCs/>
                <w:sz w:val="18"/>
                <w:szCs w:val="18"/>
              </w:rPr>
              <w:t>TAXATION - Continued</w:t>
            </w:r>
          </w:p>
        </w:tc>
      </w:tr>
      <w:tr w:rsidR="000F2BDB" w:rsidRPr="000F2BDB" w14:paraId="0E5919D7" w14:textId="77777777" w:rsidTr="002108FF">
        <w:tc>
          <w:tcPr>
            <w:tcW w:w="4609" w:type="dxa"/>
            <w:gridSpan w:val="2"/>
            <w:tcBorders>
              <w:top w:val="nil"/>
              <w:left w:val="nil"/>
              <w:bottom w:val="nil"/>
              <w:right w:val="nil"/>
            </w:tcBorders>
          </w:tcPr>
          <w:p w14:paraId="77BFC410" w14:textId="77777777" w:rsidR="000F2BDB" w:rsidRPr="007C207F" w:rsidRDefault="000F2BDB" w:rsidP="000F2BDB">
            <w:pPr>
              <w:ind w:left="252"/>
              <w:jc w:val="both"/>
              <w:rPr>
                <w:b/>
                <w:bCs w:val="0"/>
                <w:sz w:val="18"/>
                <w:szCs w:val="18"/>
              </w:rPr>
            </w:pPr>
          </w:p>
        </w:tc>
        <w:tc>
          <w:tcPr>
            <w:tcW w:w="4610" w:type="dxa"/>
            <w:gridSpan w:val="2"/>
            <w:tcBorders>
              <w:top w:val="nil"/>
              <w:left w:val="nil"/>
              <w:bottom w:val="nil"/>
              <w:right w:val="nil"/>
            </w:tcBorders>
          </w:tcPr>
          <w:p w14:paraId="12D19BF7" w14:textId="77777777" w:rsidR="000F2BDB" w:rsidRPr="007C207F" w:rsidRDefault="000F2BDB" w:rsidP="000F2BDB">
            <w:pPr>
              <w:ind w:left="252"/>
              <w:jc w:val="both"/>
              <w:rPr>
                <w:b/>
                <w:bCs w:val="0"/>
                <w:i/>
                <w:iCs/>
                <w:sz w:val="18"/>
                <w:szCs w:val="18"/>
              </w:rPr>
            </w:pPr>
          </w:p>
        </w:tc>
      </w:tr>
      <w:tr w:rsidR="000F2BDB" w:rsidRPr="001E345F" w14:paraId="54555BE3" w14:textId="77777777" w:rsidTr="002108FF">
        <w:trPr>
          <w:gridAfter w:val="1"/>
          <w:wAfter w:w="22" w:type="dxa"/>
          <w:trHeight w:val="238"/>
        </w:trPr>
        <w:tc>
          <w:tcPr>
            <w:tcW w:w="4598" w:type="dxa"/>
            <w:tcBorders>
              <w:top w:val="nil"/>
              <w:left w:val="nil"/>
              <w:bottom w:val="nil"/>
              <w:right w:val="nil"/>
            </w:tcBorders>
          </w:tcPr>
          <w:p w14:paraId="4A3E1DA5" w14:textId="650C6951" w:rsidR="000F2BDB" w:rsidRPr="00B35789" w:rsidRDefault="000F2BDB" w:rsidP="00070D1F">
            <w:pPr>
              <w:numPr>
                <w:ilvl w:val="0"/>
                <w:numId w:val="327"/>
              </w:numPr>
              <w:ind w:left="550" w:hanging="266"/>
              <w:jc w:val="both"/>
              <w:rPr>
                <w:bCs w:val="0"/>
                <w:sz w:val="18"/>
                <w:szCs w:val="18"/>
              </w:rPr>
            </w:pPr>
            <w:r w:rsidRPr="00B35789">
              <w:rPr>
                <w:bCs w:val="0"/>
                <w:sz w:val="18"/>
                <w:szCs w:val="18"/>
              </w:rPr>
              <w:t xml:space="preserve">Pajak kini </w:t>
            </w:r>
          </w:p>
        </w:tc>
        <w:tc>
          <w:tcPr>
            <w:tcW w:w="4599" w:type="dxa"/>
            <w:gridSpan w:val="2"/>
            <w:tcBorders>
              <w:top w:val="nil"/>
              <w:left w:val="nil"/>
              <w:bottom w:val="nil"/>
              <w:right w:val="nil"/>
            </w:tcBorders>
          </w:tcPr>
          <w:p w14:paraId="4C04198F" w14:textId="4EABB24F" w:rsidR="000F2BDB" w:rsidRPr="00B35789" w:rsidRDefault="000F2BDB" w:rsidP="00070D1F">
            <w:pPr>
              <w:numPr>
                <w:ilvl w:val="0"/>
                <w:numId w:val="328"/>
              </w:numPr>
              <w:ind w:left="522" w:hanging="238"/>
              <w:jc w:val="both"/>
              <w:rPr>
                <w:bCs w:val="0"/>
                <w:i/>
                <w:iCs/>
                <w:sz w:val="18"/>
                <w:szCs w:val="18"/>
              </w:rPr>
            </w:pPr>
            <w:r w:rsidRPr="00B35789">
              <w:rPr>
                <w:bCs w:val="0"/>
                <w:i/>
                <w:iCs/>
                <w:sz w:val="18"/>
                <w:szCs w:val="18"/>
              </w:rPr>
              <w:t xml:space="preserve">Current tax </w:t>
            </w:r>
          </w:p>
        </w:tc>
      </w:tr>
    </w:tbl>
    <w:p w14:paraId="5CB1A026" w14:textId="74A320F0" w:rsidR="001E345F" w:rsidRPr="007C207F" w:rsidRDefault="001E345F">
      <w:pPr>
        <w:rPr>
          <w:sz w:val="18"/>
          <w:szCs w:val="18"/>
        </w:rPr>
      </w:pPr>
    </w:p>
    <w:tbl>
      <w:tblPr>
        <w:tblW w:w="9197" w:type="dxa"/>
        <w:tblInd w:w="378" w:type="dxa"/>
        <w:tblLayout w:type="fixed"/>
        <w:tblLook w:val="0000" w:firstRow="0" w:lastRow="0" w:firstColumn="0" w:lastColumn="0" w:noHBand="0" w:noVBand="0"/>
      </w:tblPr>
      <w:tblGrid>
        <w:gridCol w:w="4598"/>
        <w:gridCol w:w="4599"/>
      </w:tblGrid>
      <w:tr w:rsidR="00DF0115" w:rsidRPr="0013526B" w14:paraId="21F01E52" w14:textId="77777777" w:rsidTr="002108FF">
        <w:tc>
          <w:tcPr>
            <w:tcW w:w="2500" w:type="pct"/>
            <w:tcBorders>
              <w:top w:val="nil"/>
              <w:left w:val="nil"/>
              <w:bottom w:val="nil"/>
              <w:right w:val="nil"/>
            </w:tcBorders>
          </w:tcPr>
          <w:p w14:paraId="52F7EAF6" w14:textId="7137232A" w:rsidR="00DF0115" w:rsidRPr="0013526B" w:rsidRDefault="00DF0115" w:rsidP="00042590">
            <w:pPr>
              <w:ind w:left="567" w:right="-57"/>
              <w:jc w:val="both"/>
              <w:rPr>
                <w:sz w:val="18"/>
                <w:szCs w:val="18"/>
              </w:rPr>
            </w:pPr>
            <w:r w:rsidRPr="00CB1C53">
              <w:rPr>
                <w:sz w:val="18"/>
                <w:szCs w:val="18"/>
              </w:rPr>
              <w:t>Rekonsiliasi antara rugi konsolidasian sebelum pajak penghasilan menurut laporan laba rugi dan penghasilan ko</w:t>
            </w:r>
            <w:r>
              <w:rPr>
                <w:sz w:val="18"/>
                <w:szCs w:val="18"/>
              </w:rPr>
              <w:t xml:space="preserve">mprehensif konsolidasian dengan </w:t>
            </w:r>
            <w:r w:rsidRPr="00CB1C53">
              <w:rPr>
                <w:sz w:val="18"/>
                <w:szCs w:val="18"/>
              </w:rPr>
              <w:t xml:space="preserve">taksiran penghasilan kena pajak  untuk  yang  berakhir  pada  </w:t>
            </w:r>
            <w:r>
              <w:rPr>
                <w:sz w:val="18"/>
                <w:szCs w:val="18"/>
              </w:rPr>
              <w:t xml:space="preserve">tanggal-tanggal </w:t>
            </w:r>
            <w:r w:rsidR="00042590">
              <w:rPr>
                <w:sz w:val="18"/>
                <w:szCs w:val="18"/>
              </w:rPr>
              <w:t xml:space="preserve">31 Maret 2020 dan </w:t>
            </w:r>
            <w:r>
              <w:rPr>
                <w:sz w:val="18"/>
                <w:szCs w:val="18"/>
              </w:rPr>
              <w:t xml:space="preserve">31 Desember 2019 </w:t>
            </w:r>
            <w:r w:rsidRPr="00CB1C53">
              <w:rPr>
                <w:sz w:val="18"/>
                <w:szCs w:val="18"/>
              </w:rPr>
              <w:t>adalah sebagai berikut:</w:t>
            </w:r>
          </w:p>
        </w:tc>
        <w:tc>
          <w:tcPr>
            <w:tcW w:w="2500" w:type="pct"/>
            <w:tcBorders>
              <w:top w:val="nil"/>
              <w:left w:val="nil"/>
              <w:bottom w:val="nil"/>
              <w:right w:val="nil"/>
            </w:tcBorders>
          </w:tcPr>
          <w:p w14:paraId="0BFDC80C" w14:textId="2CA7F26A" w:rsidR="00DF0115" w:rsidRPr="0013526B" w:rsidRDefault="00DF0115" w:rsidP="00042590">
            <w:pPr>
              <w:ind w:left="567" w:right="-57"/>
              <w:jc w:val="both"/>
              <w:rPr>
                <w:i/>
                <w:sz w:val="18"/>
                <w:szCs w:val="18"/>
              </w:rPr>
            </w:pPr>
            <w:r w:rsidRPr="00CB1C53">
              <w:rPr>
                <w:i/>
                <w:color w:val="000000"/>
                <w:sz w:val="18"/>
                <w:szCs w:val="18"/>
              </w:rPr>
              <w:t xml:space="preserve">The reconciliation between consolidated loss before income tax as shown in the consolidated statement of profit or loss and other comprehensive income and estimated taxable </w:t>
            </w:r>
            <w:proofErr w:type="gramStart"/>
            <w:r w:rsidRPr="00CB1C53">
              <w:rPr>
                <w:i/>
                <w:color w:val="000000"/>
                <w:sz w:val="18"/>
                <w:szCs w:val="18"/>
              </w:rPr>
              <w:t>income  for</w:t>
            </w:r>
            <w:proofErr w:type="gramEnd"/>
            <w:r w:rsidRPr="00CB1C53">
              <w:rPr>
                <w:i/>
                <w:color w:val="000000"/>
                <w:sz w:val="18"/>
                <w:szCs w:val="18"/>
              </w:rPr>
              <w:t xml:space="preserve">  th</w:t>
            </w:r>
            <w:r>
              <w:rPr>
                <w:i/>
                <w:color w:val="000000"/>
                <w:sz w:val="18"/>
                <w:szCs w:val="18"/>
              </w:rPr>
              <w:t xml:space="preserve">e  year  ended </w:t>
            </w:r>
            <w:r w:rsidR="00042590">
              <w:rPr>
                <w:i/>
                <w:color w:val="000000"/>
                <w:sz w:val="18"/>
                <w:szCs w:val="18"/>
              </w:rPr>
              <w:t>March 31</w:t>
            </w:r>
            <w:r w:rsidR="00305CA0">
              <w:rPr>
                <w:i/>
                <w:color w:val="000000"/>
                <w:sz w:val="18"/>
                <w:szCs w:val="18"/>
              </w:rPr>
              <w:t>.</w:t>
            </w:r>
            <w:r w:rsidR="00042590">
              <w:rPr>
                <w:i/>
                <w:color w:val="000000"/>
                <w:sz w:val="18"/>
                <w:szCs w:val="18"/>
              </w:rPr>
              <w:t xml:space="preserve"> 2020 and </w:t>
            </w:r>
            <w:r>
              <w:rPr>
                <w:i/>
                <w:color w:val="000000"/>
                <w:sz w:val="18"/>
                <w:szCs w:val="18"/>
              </w:rPr>
              <w:t>December 31</w:t>
            </w:r>
            <w:r w:rsidR="00305CA0">
              <w:rPr>
                <w:i/>
                <w:color w:val="000000"/>
                <w:sz w:val="18"/>
                <w:szCs w:val="18"/>
              </w:rPr>
              <w:t>.</w:t>
            </w:r>
            <w:r>
              <w:rPr>
                <w:i/>
                <w:color w:val="000000"/>
                <w:sz w:val="18"/>
                <w:szCs w:val="18"/>
              </w:rPr>
              <w:t xml:space="preserve"> 2019 </w:t>
            </w:r>
            <w:r w:rsidRPr="00CB1C53">
              <w:rPr>
                <w:i/>
                <w:color w:val="000000"/>
                <w:sz w:val="18"/>
                <w:szCs w:val="18"/>
              </w:rPr>
              <w:t>are as follows:</w:t>
            </w:r>
          </w:p>
        </w:tc>
      </w:tr>
    </w:tbl>
    <w:p w14:paraId="02DC1229" w14:textId="77777777" w:rsidR="00DF0115" w:rsidRPr="007C207F" w:rsidRDefault="00DF0115">
      <w:pPr>
        <w:rPr>
          <w:sz w:val="18"/>
          <w:szCs w:val="18"/>
        </w:rPr>
      </w:pPr>
    </w:p>
    <w:tbl>
      <w:tblPr>
        <w:tblW w:w="9197" w:type="dxa"/>
        <w:tblInd w:w="426" w:type="dxa"/>
        <w:tblCellMar>
          <w:left w:w="0" w:type="dxa"/>
          <w:right w:w="0" w:type="dxa"/>
        </w:tblCellMar>
        <w:tblLook w:val="01E0" w:firstRow="1" w:lastRow="1" w:firstColumn="1" w:lastColumn="1" w:noHBand="0" w:noVBand="0"/>
      </w:tblPr>
      <w:tblGrid>
        <w:gridCol w:w="2859"/>
        <w:gridCol w:w="1678"/>
        <w:gridCol w:w="112"/>
        <w:gridCol w:w="1678"/>
        <w:gridCol w:w="2870"/>
      </w:tblGrid>
      <w:tr w:rsidR="00042590" w:rsidRPr="008109D0" w14:paraId="1E03C06A" w14:textId="77777777" w:rsidTr="002108FF">
        <w:trPr>
          <w:trHeight w:val="130"/>
        </w:trPr>
        <w:tc>
          <w:tcPr>
            <w:tcW w:w="2859" w:type="dxa"/>
          </w:tcPr>
          <w:p w14:paraId="283CABD8" w14:textId="773D5754" w:rsidR="00042590" w:rsidRPr="0013526B" w:rsidRDefault="00042590" w:rsidP="00042590">
            <w:pPr>
              <w:ind w:left="524"/>
              <w:rPr>
                <w:sz w:val="18"/>
                <w:szCs w:val="18"/>
              </w:rPr>
            </w:pPr>
          </w:p>
        </w:tc>
        <w:tc>
          <w:tcPr>
            <w:tcW w:w="1678" w:type="dxa"/>
            <w:tcBorders>
              <w:bottom w:val="single" w:sz="4" w:space="0" w:color="auto"/>
            </w:tcBorders>
          </w:tcPr>
          <w:p w14:paraId="0AD82A46" w14:textId="77777777" w:rsidR="00042590" w:rsidRPr="008109D0" w:rsidRDefault="00042590" w:rsidP="00042590">
            <w:pPr>
              <w:jc w:val="center"/>
              <w:rPr>
                <w:b/>
                <w:sz w:val="18"/>
                <w:szCs w:val="18"/>
              </w:rPr>
            </w:pPr>
            <w:r w:rsidRPr="008109D0">
              <w:rPr>
                <w:b/>
                <w:sz w:val="18"/>
                <w:szCs w:val="18"/>
              </w:rPr>
              <w:t>31 Maret/</w:t>
            </w:r>
          </w:p>
          <w:p w14:paraId="3A995177" w14:textId="5380BB6F" w:rsidR="00042590" w:rsidRPr="008109D0" w:rsidRDefault="00042590" w:rsidP="00042590">
            <w:pPr>
              <w:jc w:val="center"/>
              <w:rPr>
                <w:b/>
                <w:sz w:val="18"/>
                <w:szCs w:val="18"/>
                <w:lang w:val="id-ID"/>
              </w:rPr>
            </w:pPr>
            <w:r w:rsidRPr="008109D0">
              <w:rPr>
                <w:b/>
                <w:sz w:val="18"/>
                <w:szCs w:val="18"/>
              </w:rPr>
              <w:t>March 31</w:t>
            </w:r>
            <w:r w:rsidR="00305CA0">
              <w:rPr>
                <w:b/>
                <w:sz w:val="18"/>
                <w:szCs w:val="18"/>
              </w:rPr>
              <w:t>.</w:t>
            </w:r>
            <w:r w:rsidRPr="008109D0">
              <w:rPr>
                <w:b/>
                <w:sz w:val="18"/>
                <w:szCs w:val="18"/>
              </w:rPr>
              <w:t xml:space="preserve"> 2020</w:t>
            </w:r>
          </w:p>
        </w:tc>
        <w:tc>
          <w:tcPr>
            <w:tcW w:w="112" w:type="dxa"/>
          </w:tcPr>
          <w:p w14:paraId="26D70D76" w14:textId="77777777" w:rsidR="00042590" w:rsidRPr="008109D0" w:rsidRDefault="00042590" w:rsidP="00042590">
            <w:pPr>
              <w:rPr>
                <w:b/>
                <w:sz w:val="18"/>
                <w:szCs w:val="18"/>
              </w:rPr>
            </w:pPr>
          </w:p>
        </w:tc>
        <w:tc>
          <w:tcPr>
            <w:tcW w:w="1678" w:type="dxa"/>
            <w:tcBorders>
              <w:bottom w:val="single" w:sz="4" w:space="0" w:color="auto"/>
            </w:tcBorders>
          </w:tcPr>
          <w:p w14:paraId="0C11A6A8" w14:textId="5C7EC73D" w:rsidR="00042590" w:rsidRPr="008109D0" w:rsidRDefault="00042590" w:rsidP="00042590">
            <w:pPr>
              <w:jc w:val="center"/>
              <w:rPr>
                <w:b/>
                <w:sz w:val="18"/>
                <w:szCs w:val="18"/>
              </w:rPr>
            </w:pPr>
            <w:r w:rsidRPr="008109D0">
              <w:rPr>
                <w:b/>
                <w:sz w:val="18"/>
                <w:szCs w:val="18"/>
              </w:rPr>
              <w:t xml:space="preserve">31 </w:t>
            </w:r>
            <w:r w:rsidR="003E5EBB" w:rsidRPr="008109D0">
              <w:rPr>
                <w:b/>
                <w:sz w:val="18"/>
                <w:szCs w:val="18"/>
              </w:rPr>
              <w:t>Maret</w:t>
            </w:r>
            <w:r w:rsidRPr="008109D0">
              <w:rPr>
                <w:b/>
                <w:sz w:val="18"/>
                <w:szCs w:val="18"/>
              </w:rPr>
              <w:t>/</w:t>
            </w:r>
          </w:p>
          <w:p w14:paraId="232C296E" w14:textId="7732DAD2" w:rsidR="00042590" w:rsidRPr="008109D0" w:rsidRDefault="003E5EBB" w:rsidP="00042590">
            <w:pPr>
              <w:jc w:val="center"/>
              <w:rPr>
                <w:b/>
                <w:sz w:val="18"/>
                <w:szCs w:val="18"/>
              </w:rPr>
            </w:pPr>
            <w:r w:rsidRPr="008109D0">
              <w:rPr>
                <w:b/>
                <w:sz w:val="18"/>
                <w:szCs w:val="18"/>
              </w:rPr>
              <w:t>March</w:t>
            </w:r>
            <w:r w:rsidR="00042590" w:rsidRPr="008109D0">
              <w:rPr>
                <w:b/>
                <w:sz w:val="18"/>
                <w:szCs w:val="18"/>
              </w:rPr>
              <w:t xml:space="preserve"> 31</w:t>
            </w:r>
            <w:r w:rsidR="00305CA0">
              <w:rPr>
                <w:b/>
                <w:sz w:val="18"/>
                <w:szCs w:val="18"/>
              </w:rPr>
              <w:t>.</w:t>
            </w:r>
            <w:r w:rsidR="00042590" w:rsidRPr="008109D0">
              <w:rPr>
                <w:b/>
                <w:sz w:val="18"/>
                <w:szCs w:val="18"/>
              </w:rPr>
              <w:t xml:space="preserve"> 2019</w:t>
            </w:r>
          </w:p>
        </w:tc>
        <w:tc>
          <w:tcPr>
            <w:tcW w:w="2870" w:type="dxa"/>
          </w:tcPr>
          <w:p w14:paraId="703E3853" w14:textId="77777777" w:rsidR="00042590" w:rsidRPr="008109D0" w:rsidRDefault="00042590" w:rsidP="00042590">
            <w:pPr>
              <w:ind w:right="34"/>
              <w:jc w:val="right"/>
              <w:rPr>
                <w:i/>
                <w:sz w:val="18"/>
                <w:szCs w:val="18"/>
              </w:rPr>
            </w:pPr>
          </w:p>
        </w:tc>
      </w:tr>
      <w:tr w:rsidR="009A4AA5" w:rsidRPr="008109D0" w14:paraId="1A113BAB" w14:textId="77777777" w:rsidTr="002108FF">
        <w:trPr>
          <w:trHeight w:val="20"/>
        </w:trPr>
        <w:tc>
          <w:tcPr>
            <w:tcW w:w="2859" w:type="dxa"/>
          </w:tcPr>
          <w:p w14:paraId="10F96A84" w14:textId="77777777" w:rsidR="009A4AA5" w:rsidRPr="008109D0" w:rsidRDefault="009A4AA5" w:rsidP="0013526B">
            <w:pPr>
              <w:ind w:left="524"/>
              <w:rPr>
                <w:sz w:val="12"/>
                <w:szCs w:val="14"/>
              </w:rPr>
            </w:pPr>
          </w:p>
        </w:tc>
        <w:tc>
          <w:tcPr>
            <w:tcW w:w="1678" w:type="dxa"/>
            <w:tcBorders>
              <w:top w:val="single" w:sz="4" w:space="0" w:color="auto"/>
            </w:tcBorders>
          </w:tcPr>
          <w:p w14:paraId="4B7812C8" w14:textId="77777777" w:rsidR="009A4AA5" w:rsidRPr="008109D0" w:rsidRDefault="009A4AA5" w:rsidP="0013526B">
            <w:pPr>
              <w:ind w:left="28" w:right="28"/>
              <w:jc w:val="right"/>
              <w:rPr>
                <w:sz w:val="12"/>
                <w:szCs w:val="14"/>
              </w:rPr>
            </w:pPr>
          </w:p>
        </w:tc>
        <w:tc>
          <w:tcPr>
            <w:tcW w:w="112" w:type="dxa"/>
          </w:tcPr>
          <w:p w14:paraId="587571C6" w14:textId="77777777" w:rsidR="009A4AA5" w:rsidRPr="008109D0" w:rsidRDefault="009A4AA5" w:rsidP="0013526B">
            <w:pPr>
              <w:ind w:left="28" w:right="28"/>
              <w:jc w:val="right"/>
              <w:rPr>
                <w:sz w:val="12"/>
                <w:szCs w:val="14"/>
              </w:rPr>
            </w:pPr>
          </w:p>
        </w:tc>
        <w:tc>
          <w:tcPr>
            <w:tcW w:w="1678" w:type="dxa"/>
            <w:tcBorders>
              <w:top w:val="single" w:sz="4" w:space="0" w:color="auto"/>
            </w:tcBorders>
          </w:tcPr>
          <w:p w14:paraId="2C9AA115" w14:textId="77777777" w:rsidR="009A4AA5" w:rsidRPr="008109D0" w:rsidRDefault="009A4AA5" w:rsidP="0013526B">
            <w:pPr>
              <w:ind w:left="28" w:right="28"/>
              <w:jc w:val="right"/>
              <w:rPr>
                <w:sz w:val="12"/>
                <w:szCs w:val="14"/>
              </w:rPr>
            </w:pPr>
          </w:p>
        </w:tc>
        <w:tc>
          <w:tcPr>
            <w:tcW w:w="2870" w:type="dxa"/>
          </w:tcPr>
          <w:p w14:paraId="4322688A" w14:textId="77777777" w:rsidR="009A4AA5" w:rsidRPr="008109D0" w:rsidRDefault="009A4AA5" w:rsidP="0013526B">
            <w:pPr>
              <w:ind w:right="57"/>
              <w:jc w:val="right"/>
              <w:rPr>
                <w:i/>
                <w:sz w:val="12"/>
                <w:szCs w:val="14"/>
              </w:rPr>
            </w:pPr>
          </w:p>
        </w:tc>
      </w:tr>
      <w:tr w:rsidR="00042590" w:rsidRPr="008109D0" w14:paraId="18A1E4E3" w14:textId="77777777" w:rsidTr="008062BA">
        <w:trPr>
          <w:trHeight w:val="493"/>
        </w:trPr>
        <w:tc>
          <w:tcPr>
            <w:tcW w:w="2859" w:type="dxa"/>
          </w:tcPr>
          <w:p w14:paraId="222AD82E" w14:textId="02C5BB85" w:rsidR="00042590" w:rsidRPr="008109D0" w:rsidRDefault="00042590" w:rsidP="00042590">
            <w:pPr>
              <w:ind w:left="771" w:hanging="142"/>
              <w:rPr>
                <w:sz w:val="18"/>
                <w:szCs w:val="18"/>
              </w:rPr>
            </w:pPr>
            <w:r w:rsidRPr="008109D0">
              <w:rPr>
                <w:sz w:val="18"/>
                <w:szCs w:val="18"/>
              </w:rPr>
              <w:t>Rugi sebelum pajak penghasilan menurut laba rugi komprehensif konsolidasian</w:t>
            </w:r>
          </w:p>
        </w:tc>
        <w:tc>
          <w:tcPr>
            <w:tcW w:w="1678" w:type="dxa"/>
            <w:shd w:val="clear" w:color="auto" w:fill="auto"/>
            <w:vAlign w:val="bottom"/>
          </w:tcPr>
          <w:p w14:paraId="60B41402" w14:textId="1CFB0BDF" w:rsidR="00042590" w:rsidRPr="00DC701F" w:rsidRDefault="000A1CA4" w:rsidP="00042590">
            <w:pPr>
              <w:ind w:right="57"/>
              <w:jc w:val="right"/>
              <w:rPr>
                <w:bCs w:val="0"/>
                <w:sz w:val="18"/>
                <w:szCs w:val="18"/>
              </w:rPr>
            </w:pPr>
            <w:r w:rsidRPr="00DC701F">
              <w:rPr>
                <w:bCs w:val="0"/>
                <w:sz w:val="18"/>
                <w:szCs w:val="18"/>
              </w:rPr>
              <w:t>5.301.506.496</w:t>
            </w:r>
          </w:p>
        </w:tc>
        <w:tc>
          <w:tcPr>
            <w:tcW w:w="112" w:type="dxa"/>
            <w:vAlign w:val="bottom"/>
          </w:tcPr>
          <w:p w14:paraId="77706C83" w14:textId="77777777" w:rsidR="00042590" w:rsidRPr="008109D0" w:rsidRDefault="00042590" w:rsidP="00042590">
            <w:pPr>
              <w:ind w:left="318" w:right="57"/>
              <w:jc w:val="right"/>
              <w:rPr>
                <w:sz w:val="18"/>
                <w:szCs w:val="18"/>
              </w:rPr>
            </w:pPr>
          </w:p>
        </w:tc>
        <w:tc>
          <w:tcPr>
            <w:tcW w:w="1678" w:type="dxa"/>
            <w:vAlign w:val="bottom"/>
          </w:tcPr>
          <w:p w14:paraId="2EFFCAFD" w14:textId="1C7F7CA2" w:rsidR="00042590" w:rsidRPr="008109D0" w:rsidRDefault="003E5EBB" w:rsidP="00042590">
            <w:pPr>
              <w:ind w:right="57"/>
              <w:jc w:val="right"/>
              <w:rPr>
                <w:sz w:val="18"/>
                <w:szCs w:val="18"/>
              </w:rPr>
            </w:pPr>
            <w:r w:rsidRPr="008109D0">
              <w:rPr>
                <w:bCs w:val="0"/>
                <w:sz w:val="18"/>
                <w:szCs w:val="18"/>
              </w:rPr>
              <w:t>6.604.895.280</w:t>
            </w:r>
          </w:p>
        </w:tc>
        <w:tc>
          <w:tcPr>
            <w:tcW w:w="2870" w:type="dxa"/>
            <w:vAlign w:val="bottom"/>
          </w:tcPr>
          <w:p w14:paraId="4B4E4EAD" w14:textId="77777777" w:rsidR="00042590" w:rsidRPr="008109D0" w:rsidRDefault="00042590" w:rsidP="00042590">
            <w:pPr>
              <w:numPr>
                <w:ilvl w:val="12"/>
                <w:numId w:val="0"/>
              </w:numPr>
              <w:jc w:val="right"/>
              <w:rPr>
                <w:i/>
                <w:sz w:val="18"/>
                <w:szCs w:val="18"/>
              </w:rPr>
            </w:pPr>
            <w:r w:rsidRPr="008109D0">
              <w:rPr>
                <w:i/>
                <w:sz w:val="18"/>
                <w:szCs w:val="18"/>
              </w:rPr>
              <w:t>Loss before income tax</w:t>
            </w:r>
          </w:p>
          <w:p w14:paraId="5E5B9EF5" w14:textId="77777777" w:rsidR="00042590" w:rsidRPr="008109D0" w:rsidRDefault="00042590" w:rsidP="00042590">
            <w:pPr>
              <w:numPr>
                <w:ilvl w:val="12"/>
                <w:numId w:val="0"/>
              </w:numPr>
              <w:ind w:right="198"/>
              <w:jc w:val="right"/>
              <w:rPr>
                <w:i/>
                <w:sz w:val="18"/>
                <w:szCs w:val="18"/>
              </w:rPr>
            </w:pPr>
            <w:r w:rsidRPr="008109D0">
              <w:rPr>
                <w:i/>
                <w:sz w:val="18"/>
                <w:szCs w:val="18"/>
              </w:rPr>
              <w:t xml:space="preserve"> expense per consolidated </w:t>
            </w:r>
          </w:p>
          <w:p w14:paraId="3CF185AC" w14:textId="3F8D8DC4" w:rsidR="00042590" w:rsidRPr="008109D0" w:rsidRDefault="00042590" w:rsidP="00042590">
            <w:pPr>
              <w:numPr>
                <w:ilvl w:val="12"/>
                <w:numId w:val="0"/>
              </w:numPr>
              <w:ind w:right="198"/>
              <w:jc w:val="right"/>
              <w:rPr>
                <w:i/>
                <w:sz w:val="18"/>
                <w:szCs w:val="18"/>
              </w:rPr>
            </w:pPr>
            <w:r w:rsidRPr="008109D0">
              <w:rPr>
                <w:i/>
                <w:sz w:val="18"/>
                <w:szCs w:val="18"/>
              </w:rPr>
              <w:t>statement of profit or loss</w:t>
            </w:r>
          </w:p>
        </w:tc>
      </w:tr>
      <w:tr w:rsidR="00042590" w:rsidRPr="008109D0" w14:paraId="0F4DDEE0" w14:textId="77777777" w:rsidTr="002108FF">
        <w:trPr>
          <w:trHeight w:val="20"/>
        </w:trPr>
        <w:tc>
          <w:tcPr>
            <w:tcW w:w="2859" w:type="dxa"/>
          </w:tcPr>
          <w:p w14:paraId="15D6A44C" w14:textId="6FD85510" w:rsidR="00042590" w:rsidRPr="008109D0" w:rsidRDefault="00042590" w:rsidP="00042590">
            <w:pPr>
              <w:ind w:left="771" w:hanging="142"/>
              <w:rPr>
                <w:sz w:val="18"/>
                <w:szCs w:val="18"/>
              </w:rPr>
            </w:pPr>
            <w:r w:rsidRPr="008109D0">
              <w:rPr>
                <w:sz w:val="18"/>
                <w:szCs w:val="18"/>
              </w:rPr>
              <w:t>Dikurangi rugi sebelumnya pajak penghasilan entitas anak yang dikonsolidasi</w:t>
            </w:r>
          </w:p>
        </w:tc>
        <w:tc>
          <w:tcPr>
            <w:tcW w:w="1678" w:type="dxa"/>
            <w:shd w:val="clear" w:color="auto" w:fill="auto"/>
            <w:vAlign w:val="bottom"/>
          </w:tcPr>
          <w:p w14:paraId="6669A431" w14:textId="3D09F63A" w:rsidR="00042590" w:rsidRPr="00DC701F" w:rsidRDefault="00042590" w:rsidP="00042590">
            <w:pPr>
              <w:ind w:right="57"/>
              <w:jc w:val="right"/>
              <w:rPr>
                <w:sz w:val="18"/>
                <w:szCs w:val="18"/>
              </w:rPr>
            </w:pPr>
          </w:p>
        </w:tc>
        <w:tc>
          <w:tcPr>
            <w:tcW w:w="112" w:type="dxa"/>
            <w:vAlign w:val="bottom"/>
          </w:tcPr>
          <w:p w14:paraId="7DCCC88F" w14:textId="77777777" w:rsidR="00042590" w:rsidRPr="008109D0" w:rsidRDefault="00042590" w:rsidP="00042590">
            <w:pPr>
              <w:ind w:left="318" w:right="57"/>
              <w:jc w:val="right"/>
              <w:rPr>
                <w:sz w:val="18"/>
                <w:szCs w:val="18"/>
              </w:rPr>
            </w:pPr>
          </w:p>
        </w:tc>
        <w:tc>
          <w:tcPr>
            <w:tcW w:w="1678" w:type="dxa"/>
            <w:tcBorders>
              <w:bottom w:val="single" w:sz="4" w:space="0" w:color="auto"/>
            </w:tcBorders>
            <w:vAlign w:val="bottom"/>
          </w:tcPr>
          <w:p w14:paraId="34371135" w14:textId="08500CC7" w:rsidR="00042590" w:rsidRPr="008109D0" w:rsidRDefault="00042590" w:rsidP="003E5EBB">
            <w:pPr>
              <w:ind w:right="57"/>
              <w:jc w:val="right"/>
              <w:rPr>
                <w:sz w:val="18"/>
                <w:szCs w:val="18"/>
              </w:rPr>
            </w:pPr>
            <w:r w:rsidRPr="008109D0">
              <w:rPr>
                <w:sz w:val="18"/>
                <w:szCs w:val="18"/>
              </w:rPr>
              <w:t>(</w:t>
            </w:r>
            <w:r w:rsidR="003E5EBB" w:rsidRPr="008109D0">
              <w:rPr>
                <w:sz w:val="18"/>
                <w:szCs w:val="18"/>
              </w:rPr>
              <w:t>2.364.561.949</w:t>
            </w:r>
            <w:r w:rsidRPr="008109D0">
              <w:rPr>
                <w:sz w:val="18"/>
                <w:szCs w:val="18"/>
              </w:rPr>
              <w:t>)</w:t>
            </w:r>
          </w:p>
        </w:tc>
        <w:tc>
          <w:tcPr>
            <w:tcW w:w="2870" w:type="dxa"/>
            <w:vAlign w:val="bottom"/>
          </w:tcPr>
          <w:p w14:paraId="4380342B" w14:textId="77777777" w:rsidR="00042590" w:rsidRPr="008109D0" w:rsidRDefault="00042590" w:rsidP="00042590">
            <w:pPr>
              <w:numPr>
                <w:ilvl w:val="12"/>
                <w:numId w:val="0"/>
              </w:numPr>
              <w:jc w:val="right"/>
              <w:rPr>
                <w:i/>
                <w:sz w:val="18"/>
                <w:szCs w:val="18"/>
              </w:rPr>
            </w:pPr>
            <w:r w:rsidRPr="008109D0">
              <w:rPr>
                <w:i/>
                <w:sz w:val="18"/>
                <w:szCs w:val="18"/>
              </w:rPr>
              <w:t xml:space="preserve">Deducted by loss </w:t>
            </w:r>
          </w:p>
          <w:p w14:paraId="5C644F95" w14:textId="74836AE8" w:rsidR="00042590" w:rsidRPr="008109D0" w:rsidRDefault="00042590" w:rsidP="00042590">
            <w:pPr>
              <w:numPr>
                <w:ilvl w:val="12"/>
                <w:numId w:val="0"/>
              </w:numPr>
              <w:ind w:right="198"/>
              <w:jc w:val="right"/>
              <w:rPr>
                <w:i/>
                <w:sz w:val="18"/>
                <w:szCs w:val="18"/>
              </w:rPr>
            </w:pPr>
            <w:r w:rsidRPr="008109D0">
              <w:rPr>
                <w:i/>
                <w:sz w:val="18"/>
                <w:szCs w:val="18"/>
              </w:rPr>
              <w:t xml:space="preserve">before tax of the consolidated subsidiaries  </w:t>
            </w:r>
          </w:p>
        </w:tc>
      </w:tr>
      <w:tr w:rsidR="00042590" w:rsidRPr="008109D0" w14:paraId="7BCA7C23" w14:textId="77777777" w:rsidTr="002108FF">
        <w:trPr>
          <w:trHeight w:val="20"/>
        </w:trPr>
        <w:tc>
          <w:tcPr>
            <w:tcW w:w="2859" w:type="dxa"/>
          </w:tcPr>
          <w:p w14:paraId="396BDF63" w14:textId="77777777" w:rsidR="00042590" w:rsidRPr="008109D0" w:rsidRDefault="00042590" w:rsidP="00042590">
            <w:pPr>
              <w:ind w:left="771" w:hanging="142"/>
              <w:rPr>
                <w:sz w:val="10"/>
                <w:szCs w:val="12"/>
              </w:rPr>
            </w:pPr>
          </w:p>
        </w:tc>
        <w:tc>
          <w:tcPr>
            <w:tcW w:w="1678" w:type="dxa"/>
            <w:tcBorders>
              <w:top w:val="single" w:sz="4" w:space="0" w:color="auto"/>
            </w:tcBorders>
            <w:shd w:val="clear" w:color="auto" w:fill="auto"/>
            <w:vAlign w:val="bottom"/>
          </w:tcPr>
          <w:p w14:paraId="7A65B2A7" w14:textId="77777777" w:rsidR="00042590" w:rsidRPr="00DC701F" w:rsidRDefault="00042590" w:rsidP="00042590">
            <w:pPr>
              <w:ind w:right="57"/>
              <w:jc w:val="right"/>
              <w:rPr>
                <w:sz w:val="10"/>
                <w:szCs w:val="12"/>
              </w:rPr>
            </w:pPr>
          </w:p>
        </w:tc>
        <w:tc>
          <w:tcPr>
            <w:tcW w:w="112" w:type="dxa"/>
            <w:vAlign w:val="bottom"/>
          </w:tcPr>
          <w:p w14:paraId="2A839AC5" w14:textId="77777777" w:rsidR="00042590" w:rsidRPr="008109D0" w:rsidRDefault="00042590" w:rsidP="00042590">
            <w:pPr>
              <w:ind w:left="318" w:right="57"/>
              <w:jc w:val="right"/>
              <w:rPr>
                <w:sz w:val="10"/>
                <w:szCs w:val="12"/>
              </w:rPr>
            </w:pPr>
          </w:p>
        </w:tc>
        <w:tc>
          <w:tcPr>
            <w:tcW w:w="1678" w:type="dxa"/>
            <w:tcBorders>
              <w:top w:val="single" w:sz="4" w:space="0" w:color="auto"/>
            </w:tcBorders>
            <w:vAlign w:val="bottom"/>
          </w:tcPr>
          <w:p w14:paraId="15D532D6" w14:textId="77777777" w:rsidR="00042590" w:rsidRPr="008109D0" w:rsidRDefault="00042590" w:rsidP="00042590">
            <w:pPr>
              <w:ind w:right="57"/>
              <w:jc w:val="right"/>
              <w:rPr>
                <w:sz w:val="10"/>
                <w:szCs w:val="12"/>
              </w:rPr>
            </w:pPr>
          </w:p>
        </w:tc>
        <w:tc>
          <w:tcPr>
            <w:tcW w:w="2870" w:type="dxa"/>
            <w:vAlign w:val="bottom"/>
          </w:tcPr>
          <w:p w14:paraId="2F0C0938" w14:textId="77777777" w:rsidR="00042590" w:rsidRPr="008109D0" w:rsidRDefault="00042590" w:rsidP="00042590">
            <w:pPr>
              <w:numPr>
                <w:ilvl w:val="12"/>
                <w:numId w:val="0"/>
              </w:numPr>
              <w:jc w:val="right"/>
              <w:rPr>
                <w:i/>
                <w:sz w:val="10"/>
                <w:szCs w:val="12"/>
              </w:rPr>
            </w:pPr>
          </w:p>
        </w:tc>
      </w:tr>
      <w:tr w:rsidR="00042590" w:rsidRPr="008109D0" w14:paraId="0EC6F27E" w14:textId="77777777" w:rsidTr="002108FF">
        <w:trPr>
          <w:trHeight w:val="20"/>
        </w:trPr>
        <w:tc>
          <w:tcPr>
            <w:tcW w:w="2859" w:type="dxa"/>
          </w:tcPr>
          <w:p w14:paraId="22093FE8" w14:textId="304FAA86" w:rsidR="00042590" w:rsidRPr="008109D0" w:rsidRDefault="00042590" w:rsidP="00042590">
            <w:pPr>
              <w:ind w:left="771" w:hanging="142"/>
              <w:rPr>
                <w:sz w:val="18"/>
                <w:szCs w:val="18"/>
              </w:rPr>
            </w:pPr>
            <w:r w:rsidRPr="008109D0">
              <w:rPr>
                <w:sz w:val="18"/>
                <w:szCs w:val="18"/>
              </w:rPr>
              <w:t>Rugi sebelum pajak perusahaan</w:t>
            </w:r>
          </w:p>
        </w:tc>
        <w:tc>
          <w:tcPr>
            <w:tcW w:w="1678" w:type="dxa"/>
            <w:tcBorders>
              <w:bottom w:val="single" w:sz="4" w:space="0" w:color="auto"/>
            </w:tcBorders>
            <w:shd w:val="clear" w:color="auto" w:fill="auto"/>
            <w:vAlign w:val="bottom"/>
          </w:tcPr>
          <w:p w14:paraId="57E55E0D" w14:textId="0257C814" w:rsidR="00042590" w:rsidRPr="00DC701F" w:rsidRDefault="000A1CA4" w:rsidP="00042590">
            <w:pPr>
              <w:ind w:right="57"/>
              <w:jc w:val="right"/>
              <w:rPr>
                <w:bCs w:val="0"/>
                <w:sz w:val="18"/>
                <w:szCs w:val="18"/>
              </w:rPr>
            </w:pPr>
            <w:r w:rsidRPr="00DC701F">
              <w:rPr>
                <w:bCs w:val="0"/>
                <w:sz w:val="18"/>
                <w:szCs w:val="18"/>
              </w:rPr>
              <w:t>5.301.506.496</w:t>
            </w:r>
          </w:p>
        </w:tc>
        <w:tc>
          <w:tcPr>
            <w:tcW w:w="112" w:type="dxa"/>
            <w:vAlign w:val="bottom"/>
          </w:tcPr>
          <w:p w14:paraId="15561076" w14:textId="77777777" w:rsidR="00042590" w:rsidRPr="008109D0" w:rsidRDefault="00042590" w:rsidP="00042590">
            <w:pPr>
              <w:ind w:left="318" w:right="57"/>
              <w:jc w:val="right"/>
              <w:rPr>
                <w:sz w:val="18"/>
                <w:szCs w:val="18"/>
              </w:rPr>
            </w:pPr>
          </w:p>
        </w:tc>
        <w:tc>
          <w:tcPr>
            <w:tcW w:w="1678" w:type="dxa"/>
            <w:tcBorders>
              <w:bottom w:val="single" w:sz="4" w:space="0" w:color="auto"/>
            </w:tcBorders>
            <w:vAlign w:val="bottom"/>
          </w:tcPr>
          <w:p w14:paraId="21C23C63" w14:textId="23767781" w:rsidR="00042590" w:rsidRPr="008109D0" w:rsidRDefault="003E5EBB" w:rsidP="00042590">
            <w:pPr>
              <w:ind w:right="57"/>
              <w:jc w:val="right"/>
              <w:rPr>
                <w:sz w:val="18"/>
                <w:szCs w:val="18"/>
              </w:rPr>
            </w:pPr>
            <w:r w:rsidRPr="008109D0">
              <w:rPr>
                <w:sz w:val="18"/>
                <w:szCs w:val="18"/>
              </w:rPr>
              <w:t>8.969.457.229</w:t>
            </w:r>
          </w:p>
        </w:tc>
        <w:tc>
          <w:tcPr>
            <w:tcW w:w="2870" w:type="dxa"/>
            <w:vAlign w:val="bottom"/>
          </w:tcPr>
          <w:p w14:paraId="36FC7951" w14:textId="60F41F9C" w:rsidR="00042590" w:rsidRPr="008109D0" w:rsidRDefault="00042590" w:rsidP="00042590">
            <w:pPr>
              <w:numPr>
                <w:ilvl w:val="12"/>
                <w:numId w:val="0"/>
              </w:numPr>
              <w:jc w:val="right"/>
              <w:rPr>
                <w:i/>
                <w:sz w:val="18"/>
                <w:szCs w:val="18"/>
              </w:rPr>
            </w:pPr>
            <w:r w:rsidRPr="008109D0">
              <w:rPr>
                <w:i/>
                <w:sz w:val="18"/>
                <w:szCs w:val="18"/>
              </w:rPr>
              <w:t>Loss before tax of the Company</w:t>
            </w:r>
          </w:p>
        </w:tc>
      </w:tr>
      <w:tr w:rsidR="00042590" w:rsidRPr="008109D0" w14:paraId="5FE41F80" w14:textId="77777777" w:rsidTr="002108FF">
        <w:trPr>
          <w:trHeight w:val="20"/>
        </w:trPr>
        <w:tc>
          <w:tcPr>
            <w:tcW w:w="2859" w:type="dxa"/>
          </w:tcPr>
          <w:p w14:paraId="01518BFE" w14:textId="77777777" w:rsidR="00042590" w:rsidRPr="008109D0" w:rsidRDefault="00042590" w:rsidP="00042590">
            <w:pPr>
              <w:ind w:left="634"/>
              <w:rPr>
                <w:sz w:val="18"/>
                <w:szCs w:val="18"/>
              </w:rPr>
            </w:pPr>
            <w:r w:rsidRPr="008109D0">
              <w:rPr>
                <w:sz w:val="18"/>
                <w:szCs w:val="18"/>
              </w:rPr>
              <w:t>Beda temporer:</w:t>
            </w:r>
          </w:p>
        </w:tc>
        <w:tc>
          <w:tcPr>
            <w:tcW w:w="1678" w:type="dxa"/>
            <w:tcBorders>
              <w:top w:val="single" w:sz="4" w:space="0" w:color="auto"/>
            </w:tcBorders>
            <w:shd w:val="clear" w:color="auto" w:fill="auto"/>
            <w:vAlign w:val="bottom"/>
          </w:tcPr>
          <w:p w14:paraId="307435F0" w14:textId="77777777" w:rsidR="00042590" w:rsidRPr="00DC701F" w:rsidRDefault="00042590" w:rsidP="00042590">
            <w:pPr>
              <w:ind w:right="57"/>
              <w:jc w:val="right"/>
              <w:rPr>
                <w:sz w:val="18"/>
                <w:szCs w:val="18"/>
              </w:rPr>
            </w:pPr>
          </w:p>
        </w:tc>
        <w:tc>
          <w:tcPr>
            <w:tcW w:w="112" w:type="dxa"/>
            <w:vAlign w:val="bottom"/>
          </w:tcPr>
          <w:p w14:paraId="75460789" w14:textId="77777777" w:rsidR="00042590" w:rsidRPr="008109D0" w:rsidRDefault="00042590" w:rsidP="00042590">
            <w:pPr>
              <w:ind w:left="318" w:right="57"/>
              <w:jc w:val="right"/>
              <w:rPr>
                <w:sz w:val="18"/>
                <w:szCs w:val="18"/>
              </w:rPr>
            </w:pPr>
          </w:p>
        </w:tc>
        <w:tc>
          <w:tcPr>
            <w:tcW w:w="1678" w:type="dxa"/>
            <w:tcBorders>
              <w:top w:val="single" w:sz="4" w:space="0" w:color="auto"/>
            </w:tcBorders>
            <w:vAlign w:val="bottom"/>
          </w:tcPr>
          <w:p w14:paraId="1A9C05D3" w14:textId="77777777" w:rsidR="00042590" w:rsidRPr="008109D0" w:rsidRDefault="00042590" w:rsidP="00042590">
            <w:pPr>
              <w:ind w:right="57"/>
              <w:jc w:val="right"/>
              <w:rPr>
                <w:sz w:val="18"/>
                <w:szCs w:val="18"/>
              </w:rPr>
            </w:pPr>
          </w:p>
        </w:tc>
        <w:tc>
          <w:tcPr>
            <w:tcW w:w="2870" w:type="dxa"/>
            <w:vAlign w:val="bottom"/>
          </w:tcPr>
          <w:p w14:paraId="6E9832DC" w14:textId="77777777" w:rsidR="00042590" w:rsidRPr="008109D0" w:rsidRDefault="00042590" w:rsidP="00042590">
            <w:pPr>
              <w:numPr>
                <w:ilvl w:val="12"/>
                <w:numId w:val="0"/>
              </w:numPr>
              <w:ind w:right="17"/>
              <w:jc w:val="right"/>
              <w:rPr>
                <w:i/>
                <w:sz w:val="18"/>
                <w:szCs w:val="18"/>
              </w:rPr>
            </w:pPr>
            <w:r w:rsidRPr="008109D0">
              <w:rPr>
                <w:i/>
                <w:sz w:val="18"/>
                <w:szCs w:val="18"/>
              </w:rPr>
              <w:t>Temporary differences:</w:t>
            </w:r>
          </w:p>
        </w:tc>
      </w:tr>
      <w:tr w:rsidR="00042590" w:rsidRPr="008109D0" w14:paraId="0B0A35BA" w14:textId="77777777" w:rsidTr="002108FF">
        <w:trPr>
          <w:trHeight w:val="20"/>
        </w:trPr>
        <w:tc>
          <w:tcPr>
            <w:tcW w:w="2859" w:type="dxa"/>
          </w:tcPr>
          <w:p w14:paraId="4D995BD3" w14:textId="1AEA9B16" w:rsidR="00042590" w:rsidRPr="008109D0" w:rsidRDefault="00042590" w:rsidP="00042590">
            <w:pPr>
              <w:ind w:left="771"/>
              <w:rPr>
                <w:sz w:val="18"/>
                <w:szCs w:val="18"/>
              </w:rPr>
            </w:pPr>
            <w:r w:rsidRPr="008109D0">
              <w:rPr>
                <w:sz w:val="18"/>
                <w:szCs w:val="18"/>
              </w:rPr>
              <w:t>Imbalan pascakerja</w:t>
            </w:r>
          </w:p>
        </w:tc>
        <w:tc>
          <w:tcPr>
            <w:tcW w:w="1678" w:type="dxa"/>
            <w:shd w:val="clear" w:color="auto" w:fill="auto"/>
            <w:vAlign w:val="bottom"/>
          </w:tcPr>
          <w:p w14:paraId="0F647DD4" w14:textId="38D0AAF3" w:rsidR="00042590" w:rsidRPr="00DC701F" w:rsidRDefault="00653A95" w:rsidP="00042590">
            <w:pPr>
              <w:ind w:right="57"/>
              <w:jc w:val="right"/>
              <w:rPr>
                <w:sz w:val="18"/>
                <w:szCs w:val="18"/>
              </w:rPr>
            </w:pPr>
            <w:r w:rsidRPr="00DC701F">
              <w:rPr>
                <w:sz w:val="18"/>
                <w:szCs w:val="18"/>
              </w:rPr>
              <w:t>1.610.327.192</w:t>
            </w:r>
          </w:p>
        </w:tc>
        <w:tc>
          <w:tcPr>
            <w:tcW w:w="112" w:type="dxa"/>
            <w:vAlign w:val="bottom"/>
          </w:tcPr>
          <w:p w14:paraId="1D3BEF21" w14:textId="77777777" w:rsidR="00042590" w:rsidRPr="008109D0" w:rsidRDefault="00042590" w:rsidP="00042590">
            <w:pPr>
              <w:ind w:left="318" w:right="57"/>
              <w:jc w:val="right"/>
              <w:rPr>
                <w:sz w:val="18"/>
                <w:szCs w:val="18"/>
              </w:rPr>
            </w:pPr>
          </w:p>
        </w:tc>
        <w:tc>
          <w:tcPr>
            <w:tcW w:w="1678" w:type="dxa"/>
            <w:vAlign w:val="bottom"/>
          </w:tcPr>
          <w:p w14:paraId="1F5198E9" w14:textId="67C792FF" w:rsidR="00042590" w:rsidRPr="008109D0" w:rsidRDefault="003E5EBB" w:rsidP="00042590">
            <w:pPr>
              <w:ind w:right="57"/>
              <w:jc w:val="right"/>
              <w:rPr>
                <w:sz w:val="18"/>
                <w:szCs w:val="18"/>
              </w:rPr>
            </w:pPr>
            <w:r w:rsidRPr="008109D0">
              <w:rPr>
                <w:sz w:val="18"/>
                <w:szCs w:val="18"/>
              </w:rPr>
              <w:t>2.438.582.553</w:t>
            </w:r>
          </w:p>
        </w:tc>
        <w:tc>
          <w:tcPr>
            <w:tcW w:w="2870" w:type="dxa"/>
            <w:vAlign w:val="bottom"/>
          </w:tcPr>
          <w:p w14:paraId="4B9E17F7" w14:textId="36144065" w:rsidR="00042590" w:rsidRPr="008109D0" w:rsidRDefault="00042590" w:rsidP="00042590">
            <w:pPr>
              <w:numPr>
                <w:ilvl w:val="12"/>
                <w:numId w:val="0"/>
              </w:numPr>
              <w:ind w:right="255"/>
              <w:jc w:val="right"/>
              <w:rPr>
                <w:i/>
                <w:sz w:val="18"/>
                <w:szCs w:val="18"/>
              </w:rPr>
            </w:pPr>
            <w:r w:rsidRPr="008109D0">
              <w:rPr>
                <w:i/>
                <w:sz w:val="18"/>
                <w:szCs w:val="18"/>
              </w:rPr>
              <w:t>Post-employment benefits</w:t>
            </w:r>
          </w:p>
        </w:tc>
      </w:tr>
      <w:tr w:rsidR="00042590" w:rsidRPr="008109D0" w14:paraId="048EA8A3" w14:textId="77777777" w:rsidTr="00D65AE7">
        <w:trPr>
          <w:trHeight w:val="20"/>
        </w:trPr>
        <w:tc>
          <w:tcPr>
            <w:tcW w:w="2859" w:type="dxa"/>
          </w:tcPr>
          <w:p w14:paraId="21BBCFA1" w14:textId="77777777" w:rsidR="00042590" w:rsidRPr="008109D0" w:rsidRDefault="00042590" w:rsidP="00042590">
            <w:pPr>
              <w:ind w:left="771"/>
              <w:rPr>
                <w:sz w:val="18"/>
                <w:szCs w:val="18"/>
              </w:rPr>
            </w:pPr>
            <w:r w:rsidRPr="008109D0">
              <w:rPr>
                <w:sz w:val="18"/>
                <w:szCs w:val="18"/>
              </w:rPr>
              <w:t>Penyusutan</w:t>
            </w:r>
          </w:p>
        </w:tc>
        <w:tc>
          <w:tcPr>
            <w:tcW w:w="1678" w:type="dxa"/>
            <w:shd w:val="clear" w:color="auto" w:fill="auto"/>
            <w:vAlign w:val="bottom"/>
          </w:tcPr>
          <w:p w14:paraId="3D1909A9" w14:textId="7898B0EE" w:rsidR="00042590" w:rsidRPr="00DC701F" w:rsidRDefault="00653A95" w:rsidP="00042590">
            <w:pPr>
              <w:ind w:right="57"/>
              <w:jc w:val="right"/>
              <w:rPr>
                <w:sz w:val="18"/>
                <w:szCs w:val="18"/>
                <w:lang w:val="en-ID"/>
              </w:rPr>
            </w:pPr>
            <w:r w:rsidRPr="00DC701F">
              <w:rPr>
                <w:sz w:val="18"/>
                <w:szCs w:val="18"/>
                <w:lang w:val="en-ID"/>
              </w:rPr>
              <w:t>(195.308.288)</w:t>
            </w:r>
          </w:p>
        </w:tc>
        <w:tc>
          <w:tcPr>
            <w:tcW w:w="112" w:type="dxa"/>
            <w:vAlign w:val="bottom"/>
          </w:tcPr>
          <w:p w14:paraId="04947EC0" w14:textId="77777777" w:rsidR="00042590" w:rsidRPr="008109D0" w:rsidRDefault="00042590" w:rsidP="00042590">
            <w:pPr>
              <w:ind w:left="318" w:right="57"/>
              <w:jc w:val="right"/>
              <w:rPr>
                <w:sz w:val="18"/>
                <w:szCs w:val="18"/>
              </w:rPr>
            </w:pPr>
          </w:p>
        </w:tc>
        <w:tc>
          <w:tcPr>
            <w:tcW w:w="1678" w:type="dxa"/>
            <w:vAlign w:val="bottom"/>
          </w:tcPr>
          <w:p w14:paraId="4FCF43DF" w14:textId="49B2B111" w:rsidR="00042590" w:rsidRPr="008109D0" w:rsidRDefault="00042590" w:rsidP="003E5EBB">
            <w:pPr>
              <w:ind w:right="57"/>
              <w:jc w:val="right"/>
              <w:rPr>
                <w:sz w:val="18"/>
                <w:szCs w:val="18"/>
              </w:rPr>
            </w:pPr>
            <w:r w:rsidRPr="008109D0">
              <w:rPr>
                <w:sz w:val="18"/>
                <w:szCs w:val="18"/>
                <w:lang w:val="en-ID"/>
              </w:rPr>
              <w:t>(</w:t>
            </w:r>
            <w:r w:rsidR="003E5EBB" w:rsidRPr="008109D0">
              <w:rPr>
                <w:sz w:val="18"/>
                <w:szCs w:val="18"/>
                <w:lang w:val="en-ID"/>
              </w:rPr>
              <w:t>140.989.398</w:t>
            </w:r>
            <w:r w:rsidRPr="008109D0">
              <w:rPr>
                <w:sz w:val="18"/>
                <w:szCs w:val="18"/>
                <w:lang w:val="en-ID"/>
              </w:rPr>
              <w:t>)</w:t>
            </w:r>
          </w:p>
        </w:tc>
        <w:tc>
          <w:tcPr>
            <w:tcW w:w="2870" w:type="dxa"/>
            <w:vAlign w:val="bottom"/>
          </w:tcPr>
          <w:p w14:paraId="5D6B9DB9" w14:textId="77777777" w:rsidR="00042590" w:rsidRPr="008109D0" w:rsidRDefault="00042590" w:rsidP="00042590">
            <w:pPr>
              <w:numPr>
                <w:ilvl w:val="12"/>
                <w:numId w:val="0"/>
              </w:numPr>
              <w:ind w:right="255"/>
              <w:jc w:val="right"/>
              <w:rPr>
                <w:i/>
                <w:sz w:val="18"/>
                <w:szCs w:val="18"/>
              </w:rPr>
            </w:pPr>
            <w:r w:rsidRPr="008109D0">
              <w:rPr>
                <w:i/>
                <w:sz w:val="18"/>
                <w:szCs w:val="18"/>
              </w:rPr>
              <w:t>Depreciation</w:t>
            </w:r>
          </w:p>
        </w:tc>
      </w:tr>
      <w:tr w:rsidR="00042590" w:rsidRPr="008109D0" w14:paraId="76B500D6" w14:textId="77777777" w:rsidTr="00BE7F0F">
        <w:trPr>
          <w:trHeight w:val="20"/>
        </w:trPr>
        <w:tc>
          <w:tcPr>
            <w:tcW w:w="2859" w:type="dxa"/>
          </w:tcPr>
          <w:p w14:paraId="409B02C1" w14:textId="77777777" w:rsidR="00042590" w:rsidRPr="008109D0" w:rsidRDefault="00042590" w:rsidP="00042590">
            <w:pPr>
              <w:ind w:left="786"/>
              <w:rPr>
                <w:sz w:val="18"/>
                <w:szCs w:val="18"/>
              </w:rPr>
            </w:pPr>
            <w:r w:rsidRPr="008109D0">
              <w:rPr>
                <w:sz w:val="18"/>
                <w:szCs w:val="18"/>
              </w:rPr>
              <w:t xml:space="preserve">Cadangan piutang tak </w:t>
            </w:r>
          </w:p>
          <w:p w14:paraId="6FE8344D" w14:textId="2C973A0E" w:rsidR="00042590" w:rsidRPr="008109D0" w:rsidRDefault="00042590" w:rsidP="00042590">
            <w:pPr>
              <w:ind w:left="940"/>
              <w:rPr>
                <w:sz w:val="18"/>
                <w:szCs w:val="18"/>
              </w:rPr>
            </w:pPr>
            <w:r w:rsidRPr="008109D0">
              <w:rPr>
                <w:sz w:val="18"/>
                <w:szCs w:val="18"/>
              </w:rPr>
              <w:t>tertagih</w:t>
            </w:r>
          </w:p>
        </w:tc>
        <w:tc>
          <w:tcPr>
            <w:tcW w:w="1678" w:type="dxa"/>
            <w:shd w:val="clear" w:color="auto" w:fill="auto"/>
            <w:vAlign w:val="bottom"/>
          </w:tcPr>
          <w:p w14:paraId="3A2B6BEE" w14:textId="0FC9CE92" w:rsidR="00042590" w:rsidRPr="00DC701F" w:rsidRDefault="00042590" w:rsidP="00042590">
            <w:pPr>
              <w:ind w:right="57"/>
              <w:jc w:val="right"/>
              <w:rPr>
                <w:sz w:val="18"/>
                <w:szCs w:val="18"/>
              </w:rPr>
            </w:pPr>
          </w:p>
        </w:tc>
        <w:tc>
          <w:tcPr>
            <w:tcW w:w="112" w:type="dxa"/>
            <w:vAlign w:val="bottom"/>
          </w:tcPr>
          <w:p w14:paraId="2ED849FA" w14:textId="77777777" w:rsidR="00042590" w:rsidRPr="008109D0" w:rsidRDefault="00042590" w:rsidP="00042590">
            <w:pPr>
              <w:ind w:left="318" w:right="57"/>
              <w:jc w:val="right"/>
              <w:rPr>
                <w:sz w:val="18"/>
                <w:szCs w:val="18"/>
              </w:rPr>
            </w:pPr>
          </w:p>
        </w:tc>
        <w:tc>
          <w:tcPr>
            <w:tcW w:w="1678" w:type="dxa"/>
            <w:vAlign w:val="bottom"/>
          </w:tcPr>
          <w:p w14:paraId="3A9ABE5B" w14:textId="77A28AD8" w:rsidR="00042590" w:rsidRPr="008109D0" w:rsidRDefault="003E5EBB" w:rsidP="00042590">
            <w:pPr>
              <w:ind w:right="57"/>
              <w:jc w:val="right"/>
              <w:rPr>
                <w:sz w:val="18"/>
                <w:szCs w:val="18"/>
              </w:rPr>
            </w:pPr>
            <w:r w:rsidRPr="008109D0">
              <w:rPr>
                <w:sz w:val="18"/>
                <w:szCs w:val="18"/>
              </w:rPr>
              <w:t>-</w:t>
            </w:r>
          </w:p>
        </w:tc>
        <w:tc>
          <w:tcPr>
            <w:tcW w:w="2870" w:type="dxa"/>
            <w:vAlign w:val="bottom"/>
          </w:tcPr>
          <w:p w14:paraId="7560812A" w14:textId="77777777" w:rsidR="00042590" w:rsidRPr="008109D0" w:rsidRDefault="00042590" w:rsidP="00042590">
            <w:pPr>
              <w:numPr>
                <w:ilvl w:val="12"/>
                <w:numId w:val="0"/>
              </w:numPr>
              <w:ind w:right="255"/>
              <w:jc w:val="right"/>
              <w:rPr>
                <w:i/>
                <w:sz w:val="18"/>
                <w:szCs w:val="18"/>
              </w:rPr>
            </w:pPr>
            <w:r w:rsidRPr="008109D0">
              <w:rPr>
                <w:i/>
                <w:sz w:val="18"/>
                <w:szCs w:val="18"/>
              </w:rPr>
              <w:t xml:space="preserve">Allowance for doubtful </w:t>
            </w:r>
          </w:p>
          <w:p w14:paraId="67B06F91" w14:textId="70BBF2DA" w:rsidR="00042590" w:rsidRPr="008109D0" w:rsidRDefault="00042590" w:rsidP="00042590">
            <w:pPr>
              <w:numPr>
                <w:ilvl w:val="12"/>
                <w:numId w:val="0"/>
              </w:numPr>
              <w:ind w:right="531"/>
              <w:jc w:val="right"/>
              <w:rPr>
                <w:i/>
                <w:sz w:val="18"/>
                <w:szCs w:val="18"/>
              </w:rPr>
            </w:pPr>
            <w:r w:rsidRPr="008109D0">
              <w:rPr>
                <w:i/>
                <w:sz w:val="18"/>
                <w:szCs w:val="18"/>
              </w:rPr>
              <w:t>account</w:t>
            </w:r>
          </w:p>
        </w:tc>
      </w:tr>
      <w:tr w:rsidR="00042590" w:rsidRPr="008109D0" w14:paraId="4013D8EA" w14:textId="77777777" w:rsidTr="00BE7F0F">
        <w:trPr>
          <w:trHeight w:val="20"/>
        </w:trPr>
        <w:tc>
          <w:tcPr>
            <w:tcW w:w="2859" w:type="dxa"/>
          </w:tcPr>
          <w:p w14:paraId="7C644D63" w14:textId="19B28D1D" w:rsidR="00042590" w:rsidRPr="008109D0" w:rsidRDefault="00042590" w:rsidP="00042590">
            <w:pPr>
              <w:ind w:left="771"/>
              <w:rPr>
                <w:sz w:val="18"/>
                <w:szCs w:val="18"/>
              </w:rPr>
            </w:pPr>
            <w:r w:rsidRPr="008109D0">
              <w:rPr>
                <w:sz w:val="18"/>
                <w:szCs w:val="18"/>
              </w:rPr>
              <w:t>Provisi atas bonus</w:t>
            </w:r>
          </w:p>
        </w:tc>
        <w:tc>
          <w:tcPr>
            <w:tcW w:w="1678" w:type="dxa"/>
            <w:shd w:val="clear" w:color="auto" w:fill="auto"/>
            <w:vAlign w:val="bottom"/>
          </w:tcPr>
          <w:p w14:paraId="2EF9CA13" w14:textId="4C066C9D" w:rsidR="00042590" w:rsidRPr="00DC701F" w:rsidRDefault="00042590" w:rsidP="00042590">
            <w:pPr>
              <w:ind w:right="57"/>
              <w:jc w:val="right"/>
              <w:rPr>
                <w:sz w:val="18"/>
                <w:szCs w:val="18"/>
              </w:rPr>
            </w:pPr>
          </w:p>
        </w:tc>
        <w:tc>
          <w:tcPr>
            <w:tcW w:w="112" w:type="dxa"/>
            <w:vAlign w:val="bottom"/>
          </w:tcPr>
          <w:p w14:paraId="3FC9FF2A" w14:textId="77777777" w:rsidR="00042590" w:rsidRPr="008109D0" w:rsidRDefault="00042590" w:rsidP="00042590">
            <w:pPr>
              <w:ind w:left="318" w:right="57"/>
              <w:jc w:val="right"/>
              <w:rPr>
                <w:sz w:val="18"/>
                <w:szCs w:val="18"/>
              </w:rPr>
            </w:pPr>
          </w:p>
        </w:tc>
        <w:tc>
          <w:tcPr>
            <w:tcW w:w="1678" w:type="dxa"/>
            <w:vAlign w:val="bottom"/>
          </w:tcPr>
          <w:p w14:paraId="434EB3F1" w14:textId="74AA3554" w:rsidR="00042590" w:rsidRPr="008109D0" w:rsidRDefault="003E5EBB" w:rsidP="00042590">
            <w:pPr>
              <w:ind w:right="57"/>
              <w:jc w:val="right"/>
              <w:rPr>
                <w:sz w:val="18"/>
                <w:szCs w:val="18"/>
              </w:rPr>
            </w:pPr>
            <w:r w:rsidRPr="008109D0">
              <w:rPr>
                <w:sz w:val="18"/>
                <w:szCs w:val="18"/>
              </w:rPr>
              <w:t>949.995.722</w:t>
            </w:r>
          </w:p>
        </w:tc>
        <w:tc>
          <w:tcPr>
            <w:tcW w:w="2870" w:type="dxa"/>
          </w:tcPr>
          <w:p w14:paraId="3D59FB8B" w14:textId="66279200" w:rsidR="00042590" w:rsidRPr="008109D0" w:rsidRDefault="00042590" w:rsidP="00042590">
            <w:pPr>
              <w:numPr>
                <w:ilvl w:val="12"/>
                <w:numId w:val="0"/>
              </w:numPr>
              <w:ind w:right="255"/>
              <w:jc w:val="right"/>
              <w:rPr>
                <w:i/>
                <w:sz w:val="18"/>
                <w:szCs w:val="18"/>
              </w:rPr>
            </w:pPr>
            <w:r w:rsidRPr="008109D0">
              <w:rPr>
                <w:i/>
                <w:sz w:val="18"/>
                <w:szCs w:val="18"/>
              </w:rPr>
              <w:t>Provision of bonus</w:t>
            </w:r>
          </w:p>
        </w:tc>
      </w:tr>
      <w:tr w:rsidR="00042590" w:rsidRPr="008109D0" w14:paraId="397F3C88" w14:textId="77777777" w:rsidTr="00D65AE7">
        <w:trPr>
          <w:trHeight w:val="20"/>
        </w:trPr>
        <w:tc>
          <w:tcPr>
            <w:tcW w:w="2859" w:type="dxa"/>
          </w:tcPr>
          <w:p w14:paraId="5475658B" w14:textId="15F29504" w:rsidR="00042590" w:rsidRPr="008109D0" w:rsidRDefault="00042590" w:rsidP="00042590">
            <w:pPr>
              <w:ind w:left="771"/>
              <w:rPr>
                <w:sz w:val="18"/>
                <w:szCs w:val="18"/>
              </w:rPr>
            </w:pPr>
            <w:r w:rsidRPr="008109D0">
              <w:rPr>
                <w:sz w:val="18"/>
                <w:szCs w:val="18"/>
              </w:rPr>
              <w:t>Aset sewa pembiayaan</w:t>
            </w:r>
          </w:p>
        </w:tc>
        <w:tc>
          <w:tcPr>
            <w:tcW w:w="1678" w:type="dxa"/>
            <w:tcBorders>
              <w:bottom w:val="single" w:sz="4" w:space="0" w:color="auto"/>
            </w:tcBorders>
            <w:shd w:val="clear" w:color="auto" w:fill="auto"/>
            <w:vAlign w:val="bottom"/>
          </w:tcPr>
          <w:p w14:paraId="36C56BD9" w14:textId="2D819801" w:rsidR="00042590" w:rsidRPr="00DC701F" w:rsidRDefault="00042590" w:rsidP="00042590">
            <w:pPr>
              <w:ind w:right="57"/>
              <w:jc w:val="right"/>
              <w:rPr>
                <w:sz w:val="18"/>
                <w:szCs w:val="18"/>
              </w:rPr>
            </w:pPr>
          </w:p>
        </w:tc>
        <w:tc>
          <w:tcPr>
            <w:tcW w:w="112" w:type="dxa"/>
            <w:vAlign w:val="bottom"/>
          </w:tcPr>
          <w:p w14:paraId="4EC74251" w14:textId="77777777" w:rsidR="00042590" w:rsidRPr="008109D0" w:rsidRDefault="00042590" w:rsidP="00042590">
            <w:pPr>
              <w:ind w:left="318" w:right="57"/>
              <w:jc w:val="right"/>
              <w:rPr>
                <w:sz w:val="18"/>
                <w:szCs w:val="18"/>
              </w:rPr>
            </w:pPr>
          </w:p>
        </w:tc>
        <w:tc>
          <w:tcPr>
            <w:tcW w:w="1678" w:type="dxa"/>
            <w:tcBorders>
              <w:bottom w:val="single" w:sz="4" w:space="0" w:color="auto"/>
            </w:tcBorders>
            <w:vAlign w:val="bottom"/>
          </w:tcPr>
          <w:p w14:paraId="4D47F923" w14:textId="712C6FE2" w:rsidR="00042590" w:rsidRPr="008109D0" w:rsidRDefault="003E5EBB" w:rsidP="00042590">
            <w:pPr>
              <w:ind w:right="57"/>
              <w:jc w:val="right"/>
              <w:rPr>
                <w:sz w:val="18"/>
                <w:szCs w:val="18"/>
              </w:rPr>
            </w:pPr>
            <w:r w:rsidRPr="008109D0">
              <w:rPr>
                <w:sz w:val="18"/>
                <w:szCs w:val="18"/>
              </w:rPr>
              <w:t>-</w:t>
            </w:r>
          </w:p>
        </w:tc>
        <w:tc>
          <w:tcPr>
            <w:tcW w:w="2870" w:type="dxa"/>
          </w:tcPr>
          <w:p w14:paraId="5D2D9A24" w14:textId="1718F78C" w:rsidR="00042590" w:rsidRPr="008109D0" w:rsidRDefault="00042590" w:rsidP="00042590">
            <w:pPr>
              <w:numPr>
                <w:ilvl w:val="12"/>
                <w:numId w:val="0"/>
              </w:numPr>
              <w:ind w:right="255"/>
              <w:jc w:val="right"/>
              <w:rPr>
                <w:i/>
                <w:sz w:val="18"/>
                <w:szCs w:val="18"/>
              </w:rPr>
            </w:pPr>
            <w:r w:rsidRPr="008109D0">
              <w:rPr>
                <w:i/>
                <w:sz w:val="18"/>
                <w:szCs w:val="18"/>
              </w:rPr>
              <w:t>Asset under finance lease</w:t>
            </w:r>
          </w:p>
        </w:tc>
      </w:tr>
      <w:tr w:rsidR="00042590" w:rsidRPr="008109D0" w14:paraId="54A51722" w14:textId="77777777" w:rsidTr="002108FF">
        <w:trPr>
          <w:trHeight w:val="20"/>
        </w:trPr>
        <w:tc>
          <w:tcPr>
            <w:tcW w:w="2859" w:type="dxa"/>
          </w:tcPr>
          <w:p w14:paraId="614204FF" w14:textId="77777777" w:rsidR="00042590" w:rsidRPr="008109D0" w:rsidRDefault="00042590" w:rsidP="00042590">
            <w:pPr>
              <w:ind w:left="425"/>
              <w:rPr>
                <w:sz w:val="18"/>
                <w:szCs w:val="18"/>
              </w:rPr>
            </w:pPr>
          </w:p>
        </w:tc>
        <w:tc>
          <w:tcPr>
            <w:tcW w:w="1678" w:type="dxa"/>
            <w:tcBorders>
              <w:top w:val="single" w:sz="4" w:space="0" w:color="auto"/>
            </w:tcBorders>
            <w:shd w:val="clear" w:color="auto" w:fill="auto"/>
            <w:vAlign w:val="bottom"/>
          </w:tcPr>
          <w:p w14:paraId="3CC69170" w14:textId="77777777" w:rsidR="00042590" w:rsidRPr="00DC701F" w:rsidRDefault="00042590" w:rsidP="00042590">
            <w:pPr>
              <w:ind w:right="57"/>
              <w:jc w:val="right"/>
              <w:rPr>
                <w:sz w:val="18"/>
                <w:szCs w:val="18"/>
              </w:rPr>
            </w:pPr>
          </w:p>
        </w:tc>
        <w:tc>
          <w:tcPr>
            <w:tcW w:w="112" w:type="dxa"/>
            <w:vAlign w:val="bottom"/>
          </w:tcPr>
          <w:p w14:paraId="28C6579F" w14:textId="77777777" w:rsidR="00042590" w:rsidRPr="008109D0" w:rsidRDefault="00042590" w:rsidP="00042590">
            <w:pPr>
              <w:ind w:left="318" w:right="57"/>
              <w:jc w:val="right"/>
              <w:rPr>
                <w:sz w:val="18"/>
                <w:szCs w:val="18"/>
              </w:rPr>
            </w:pPr>
          </w:p>
        </w:tc>
        <w:tc>
          <w:tcPr>
            <w:tcW w:w="1678" w:type="dxa"/>
            <w:tcBorders>
              <w:top w:val="single" w:sz="4" w:space="0" w:color="auto"/>
            </w:tcBorders>
            <w:vAlign w:val="bottom"/>
          </w:tcPr>
          <w:p w14:paraId="5C1C31BF" w14:textId="77777777" w:rsidR="00042590" w:rsidRPr="008109D0" w:rsidRDefault="00042590" w:rsidP="00042590">
            <w:pPr>
              <w:ind w:right="57"/>
              <w:jc w:val="right"/>
              <w:rPr>
                <w:sz w:val="18"/>
                <w:szCs w:val="18"/>
              </w:rPr>
            </w:pPr>
          </w:p>
        </w:tc>
        <w:tc>
          <w:tcPr>
            <w:tcW w:w="2870" w:type="dxa"/>
            <w:vAlign w:val="bottom"/>
          </w:tcPr>
          <w:p w14:paraId="40AD5510" w14:textId="77777777" w:rsidR="00042590" w:rsidRPr="008109D0" w:rsidRDefault="00042590" w:rsidP="00042590">
            <w:pPr>
              <w:numPr>
                <w:ilvl w:val="12"/>
                <w:numId w:val="0"/>
              </w:numPr>
              <w:ind w:right="196"/>
              <w:jc w:val="right"/>
              <w:rPr>
                <w:i/>
                <w:sz w:val="18"/>
                <w:szCs w:val="18"/>
              </w:rPr>
            </w:pPr>
          </w:p>
        </w:tc>
      </w:tr>
      <w:tr w:rsidR="00042590" w:rsidRPr="008109D0" w14:paraId="1DDD90DE" w14:textId="77777777" w:rsidTr="002108FF">
        <w:trPr>
          <w:trHeight w:val="20"/>
        </w:trPr>
        <w:tc>
          <w:tcPr>
            <w:tcW w:w="2859" w:type="dxa"/>
          </w:tcPr>
          <w:p w14:paraId="4B6460DD" w14:textId="0FEEC928" w:rsidR="00042590" w:rsidRPr="008109D0" w:rsidRDefault="00042590" w:rsidP="00042590">
            <w:pPr>
              <w:ind w:left="771" w:hanging="142"/>
              <w:rPr>
                <w:sz w:val="18"/>
                <w:szCs w:val="18"/>
              </w:rPr>
            </w:pPr>
            <w:r w:rsidRPr="008109D0">
              <w:rPr>
                <w:sz w:val="18"/>
                <w:szCs w:val="18"/>
              </w:rPr>
              <w:t>Jumlah beda temporer</w:t>
            </w:r>
          </w:p>
        </w:tc>
        <w:tc>
          <w:tcPr>
            <w:tcW w:w="1678" w:type="dxa"/>
            <w:tcBorders>
              <w:bottom w:val="single" w:sz="4" w:space="0" w:color="auto"/>
            </w:tcBorders>
            <w:shd w:val="clear" w:color="auto" w:fill="auto"/>
            <w:vAlign w:val="bottom"/>
          </w:tcPr>
          <w:p w14:paraId="64E4DDD1" w14:textId="0ACCAE15" w:rsidR="00042590" w:rsidRPr="00DC701F" w:rsidRDefault="00653A95" w:rsidP="00042590">
            <w:pPr>
              <w:ind w:right="57"/>
              <w:jc w:val="right"/>
              <w:rPr>
                <w:sz w:val="18"/>
                <w:szCs w:val="18"/>
              </w:rPr>
            </w:pPr>
            <w:r w:rsidRPr="00DC701F">
              <w:rPr>
                <w:sz w:val="18"/>
                <w:szCs w:val="18"/>
              </w:rPr>
              <w:t>1.415.018.904</w:t>
            </w:r>
          </w:p>
        </w:tc>
        <w:tc>
          <w:tcPr>
            <w:tcW w:w="112" w:type="dxa"/>
            <w:vAlign w:val="bottom"/>
          </w:tcPr>
          <w:p w14:paraId="3B1E8B78" w14:textId="77777777" w:rsidR="00042590" w:rsidRPr="008109D0" w:rsidRDefault="00042590" w:rsidP="00042590">
            <w:pPr>
              <w:ind w:left="318" w:right="57"/>
              <w:jc w:val="right"/>
              <w:rPr>
                <w:sz w:val="18"/>
                <w:szCs w:val="18"/>
              </w:rPr>
            </w:pPr>
          </w:p>
        </w:tc>
        <w:tc>
          <w:tcPr>
            <w:tcW w:w="1678" w:type="dxa"/>
            <w:tcBorders>
              <w:bottom w:val="single" w:sz="4" w:space="0" w:color="auto"/>
            </w:tcBorders>
            <w:vAlign w:val="bottom"/>
          </w:tcPr>
          <w:p w14:paraId="1DD94DB1" w14:textId="2C110B72" w:rsidR="00042590" w:rsidRPr="008109D0" w:rsidRDefault="003E5EBB" w:rsidP="00042590">
            <w:pPr>
              <w:ind w:right="57"/>
              <w:jc w:val="right"/>
              <w:rPr>
                <w:sz w:val="18"/>
                <w:szCs w:val="18"/>
              </w:rPr>
            </w:pPr>
            <w:r w:rsidRPr="008109D0">
              <w:rPr>
                <w:sz w:val="18"/>
                <w:szCs w:val="18"/>
              </w:rPr>
              <w:t>3.247.588.877</w:t>
            </w:r>
          </w:p>
        </w:tc>
        <w:tc>
          <w:tcPr>
            <w:tcW w:w="2870" w:type="dxa"/>
            <w:vAlign w:val="bottom"/>
          </w:tcPr>
          <w:p w14:paraId="348643A3" w14:textId="37F3AF40" w:rsidR="00042590" w:rsidRPr="008109D0" w:rsidRDefault="00042590" w:rsidP="00042590">
            <w:pPr>
              <w:numPr>
                <w:ilvl w:val="12"/>
                <w:numId w:val="0"/>
              </w:numPr>
              <w:jc w:val="right"/>
              <w:rPr>
                <w:i/>
                <w:sz w:val="18"/>
                <w:szCs w:val="18"/>
              </w:rPr>
            </w:pPr>
            <w:r w:rsidRPr="008109D0">
              <w:rPr>
                <w:i/>
                <w:sz w:val="18"/>
                <w:szCs w:val="18"/>
              </w:rPr>
              <w:t>Total temporary differences</w:t>
            </w:r>
          </w:p>
        </w:tc>
      </w:tr>
      <w:tr w:rsidR="00042590" w:rsidRPr="008109D0" w14:paraId="1165C4E8" w14:textId="77777777" w:rsidTr="002108FF">
        <w:trPr>
          <w:trHeight w:val="20"/>
        </w:trPr>
        <w:tc>
          <w:tcPr>
            <w:tcW w:w="2859" w:type="dxa"/>
          </w:tcPr>
          <w:p w14:paraId="4DE4BC6E" w14:textId="77777777" w:rsidR="00042590" w:rsidRPr="008109D0" w:rsidRDefault="00042590" w:rsidP="00042590">
            <w:pPr>
              <w:ind w:left="567" w:hanging="142"/>
              <w:rPr>
                <w:sz w:val="15"/>
              </w:rPr>
            </w:pPr>
          </w:p>
        </w:tc>
        <w:tc>
          <w:tcPr>
            <w:tcW w:w="1678" w:type="dxa"/>
            <w:tcBorders>
              <w:top w:val="single" w:sz="4" w:space="0" w:color="auto"/>
            </w:tcBorders>
            <w:shd w:val="clear" w:color="auto" w:fill="auto"/>
            <w:vAlign w:val="bottom"/>
          </w:tcPr>
          <w:p w14:paraId="5B1D9429" w14:textId="77777777" w:rsidR="00042590" w:rsidRPr="00DC701F" w:rsidRDefault="00042590" w:rsidP="00042590">
            <w:pPr>
              <w:ind w:right="57"/>
              <w:jc w:val="right"/>
              <w:rPr>
                <w:sz w:val="18"/>
                <w:szCs w:val="18"/>
              </w:rPr>
            </w:pPr>
          </w:p>
        </w:tc>
        <w:tc>
          <w:tcPr>
            <w:tcW w:w="112" w:type="dxa"/>
            <w:vAlign w:val="bottom"/>
          </w:tcPr>
          <w:p w14:paraId="18C9DEAF" w14:textId="77777777" w:rsidR="00042590" w:rsidRPr="008109D0" w:rsidRDefault="00042590" w:rsidP="00042590">
            <w:pPr>
              <w:ind w:left="318" w:right="57"/>
              <w:jc w:val="right"/>
              <w:rPr>
                <w:sz w:val="18"/>
                <w:szCs w:val="18"/>
              </w:rPr>
            </w:pPr>
          </w:p>
        </w:tc>
        <w:tc>
          <w:tcPr>
            <w:tcW w:w="1678" w:type="dxa"/>
            <w:tcBorders>
              <w:top w:val="single" w:sz="4" w:space="0" w:color="auto"/>
            </w:tcBorders>
            <w:vAlign w:val="bottom"/>
          </w:tcPr>
          <w:p w14:paraId="1370A7BC" w14:textId="77777777" w:rsidR="00042590" w:rsidRPr="008109D0" w:rsidRDefault="00042590" w:rsidP="00042590">
            <w:pPr>
              <w:ind w:right="57"/>
              <w:jc w:val="right"/>
              <w:rPr>
                <w:sz w:val="18"/>
                <w:szCs w:val="18"/>
              </w:rPr>
            </w:pPr>
          </w:p>
        </w:tc>
        <w:tc>
          <w:tcPr>
            <w:tcW w:w="2870" w:type="dxa"/>
            <w:vAlign w:val="bottom"/>
          </w:tcPr>
          <w:p w14:paraId="63DF87B3" w14:textId="77777777" w:rsidR="00042590" w:rsidRPr="008109D0" w:rsidRDefault="00042590" w:rsidP="00042590">
            <w:pPr>
              <w:numPr>
                <w:ilvl w:val="12"/>
                <w:numId w:val="0"/>
              </w:numPr>
              <w:ind w:right="196"/>
              <w:jc w:val="right"/>
              <w:rPr>
                <w:i/>
                <w:sz w:val="18"/>
                <w:szCs w:val="18"/>
              </w:rPr>
            </w:pPr>
          </w:p>
        </w:tc>
      </w:tr>
      <w:tr w:rsidR="00042590" w:rsidRPr="008109D0" w14:paraId="3A4A648E" w14:textId="77777777" w:rsidTr="002108FF">
        <w:trPr>
          <w:trHeight w:val="20"/>
        </w:trPr>
        <w:tc>
          <w:tcPr>
            <w:tcW w:w="2859" w:type="dxa"/>
          </w:tcPr>
          <w:p w14:paraId="18EE18EA" w14:textId="77777777" w:rsidR="00042590" w:rsidRPr="008109D0" w:rsidRDefault="00042590" w:rsidP="00042590">
            <w:pPr>
              <w:ind w:left="757" w:hanging="142"/>
              <w:rPr>
                <w:sz w:val="18"/>
                <w:szCs w:val="18"/>
              </w:rPr>
            </w:pPr>
            <w:r w:rsidRPr="008109D0">
              <w:rPr>
                <w:sz w:val="18"/>
                <w:szCs w:val="18"/>
              </w:rPr>
              <w:t>Beda tetap:</w:t>
            </w:r>
          </w:p>
        </w:tc>
        <w:tc>
          <w:tcPr>
            <w:tcW w:w="1678" w:type="dxa"/>
            <w:shd w:val="clear" w:color="auto" w:fill="auto"/>
            <w:vAlign w:val="bottom"/>
          </w:tcPr>
          <w:p w14:paraId="013E9690" w14:textId="77777777" w:rsidR="00042590" w:rsidRPr="00DC701F" w:rsidRDefault="00042590" w:rsidP="00042590">
            <w:pPr>
              <w:ind w:right="57"/>
              <w:jc w:val="right"/>
              <w:rPr>
                <w:sz w:val="18"/>
                <w:szCs w:val="18"/>
              </w:rPr>
            </w:pPr>
          </w:p>
        </w:tc>
        <w:tc>
          <w:tcPr>
            <w:tcW w:w="112" w:type="dxa"/>
            <w:vAlign w:val="bottom"/>
          </w:tcPr>
          <w:p w14:paraId="5922C5B6" w14:textId="77777777" w:rsidR="00042590" w:rsidRPr="008109D0" w:rsidRDefault="00042590" w:rsidP="00042590">
            <w:pPr>
              <w:ind w:left="318" w:right="57"/>
              <w:jc w:val="right"/>
              <w:rPr>
                <w:sz w:val="18"/>
                <w:szCs w:val="18"/>
              </w:rPr>
            </w:pPr>
          </w:p>
        </w:tc>
        <w:tc>
          <w:tcPr>
            <w:tcW w:w="1678" w:type="dxa"/>
            <w:vAlign w:val="bottom"/>
          </w:tcPr>
          <w:p w14:paraId="2607C830" w14:textId="77777777" w:rsidR="00042590" w:rsidRPr="008109D0" w:rsidRDefault="00042590" w:rsidP="00042590">
            <w:pPr>
              <w:ind w:right="57"/>
              <w:jc w:val="right"/>
              <w:rPr>
                <w:sz w:val="18"/>
                <w:szCs w:val="18"/>
              </w:rPr>
            </w:pPr>
          </w:p>
        </w:tc>
        <w:tc>
          <w:tcPr>
            <w:tcW w:w="2870" w:type="dxa"/>
            <w:vAlign w:val="bottom"/>
          </w:tcPr>
          <w:p w14:paraId="13979C0D" w14:textId="77777777" w:rsidR="00042590" w:rsidRPr="008109D0" w:rsidRDefault="00042590" w:rsidP="00042590">
            <w:pPr>
              <w:numPr>
                <w:ilvl w:val="12"/>
                <w:numId w:val="0"/>
              </w:numPr>
              <w:jc w:val="right"/>
              <w:rPr>
                <w:i/>
                <w:sz w:val="18"/>
                <w:szCs w:val="18"/>
              </w:rPr>
            </w:pPr>
            <w:r w:rsidRPr="008109D0">
              <w:rPr>
                <w:i/>
                <w:sz w:val="18"/>
                <w:szCs w:val="18"/>
              </w:rPr>
              <w:t>Permanent differences:</w:t>
            </w:r>
          </w:p>
        </w:tc>
      </w:tr>
      <w:tr w:rsidR="00042590" w:rsidRPr="008109D0" w14:paraId="2BE726C0" w14:textId="77777777" w:rsidTr="002108FF">
        <w:trPr>
          <w:trHeight w:val="20"/>
        </w:trPr>
        <w:tc>
          <w:tcPr>
            <w:tcW w:w="2859" w:type="dxa"/>
          </w:tcPr>
          <w:p w14:paraId="45C2445C" w14:textId="77777777" w:rsidR="00042590" w:rsidRPr="008109D0" w:rsidRDefault="00042590" w:rsidP="00042590">
            <w:pPr>
              <w:ind w:left="701"/>
              <w:rPr>
                <w:sz w:val="18"/>
                <w:szCs w:val="18"/>
              </w:rPr>
            </w:pPr>
            <w:r w:rsidRPr="008109D0">
              <w:rPr>
                <w:sz w:val="18"/>
                <w:szCs w:val="18"/>
              </w:rPr>
              <w:t xml:space="preserve">Beban yang tidak </w:t>
            </w:r>
          </w:p>
          <w:p w14:paraId="53008083" w14:textId="729B2AB5" w:rsidR="00042590" w:rsidRPr="008109D0" w:rsidRDefault="00042590" w:rsidP="00042590">
            <w:pPr>
              <w:ind w:left="800"/>
              <w:rPr>
                <w:sz w:val="18"/>
                <w:szCs w:val="18"/>
              </w:rPr>
            </w:pPr>
            <w:r w:rsidRPr="008109D0">
              <w:rPr>
                <w:sz w:val="18"/>
                <w:szCs w:val="18"/>
              </w:rPr>
              <w:t>diperkenankan:</w:t>
            </w:r>
          </w:p>
        </w:tc>
        <w:tc>
          <w:tcPr>
            <w:tcW w:w="1678" w:type="dxa"/>
            <w:shd w:val="clear" w:color="auto" w:fill="auto"/>
            <w:vAlign w:val="bottom"/>
          </w:tcPr>
          <w:p w14:paraId="554F1521" w14:textId="38A30E7B" w:rsidR="00042590" w:rsidRPr="00DC701F" w:rsidRDefault="00042590" w:rsidP="00042590">
            <w:pPr>
              <w:ind w:right="57"/>
              <w:jc w:val="right"/>
              <w:rPr>
                <w:sz w:val="18"/>
                <w:szCs w:val="18"/>
              </w:rPr>
            </w:pPr>
          </w:p>
        </w:tc>
        <w:tc>
          <w:tcPr>
            <w:tcW w:w="112" w:type="dxa"/>
            <w:vAlign w:val="bottom"/>
          </w:tcPr>
          <w:p w14:paraId="55EA7046" w14:textId="77777777" w:rsidR="00042590" w:rsidRPr="008109D0" w:rsidRDefault="00042590" w:rsidP="00042590">
            <w:pPr>
              <w:ind w:left="318" w:right="57"/>
              <w:jc w:val="right"/>
              <w:rPr>
                <w:sz w:val="18"/>
                <w:szCs w:val="18"/>
              </w:rPr>
            </w:pPr>
          </w:p>
        </w:tc>
        <w:tc>
          <w:tcPr>
            <w:tcW w:w="1678" w:type="dxa"/>
            <w:vAlign w:val="bottom"/>
          </w:tcPr>
          <w:p w14:paraId="1DE20CBE" w14:textId="3E25EBC0" w:rsidR="00042590" w:rsidRPr="008109D0" w:rsidRDefault="00042590" w:rsidP="00042590">
            <w:pPr>
              <w:ind w:right="57"/>
              <w:jc w:val="right"/>
              <w:rPr>
                <w:sz w:val="18"/>
                <w:szCs w:val="18"/>
              </w:rPr>
            </w:pPr>
          </w:p>
        </w:tc>
        <w:tc>
          <w:tcPr>
            <w:tcW w:w="2870" w:type="dxa"/>
            <w:vAlign w:val="bottom"/>
          </w:tcPr>
          <w:p w14:paraId="63396511" w14:textId="540E3A78" w:rsidR="00042590" w:rsidRPr="008109D0" w:rsidRDefault="00042590" w:rsidP="00042590">
            <w:pPr>
              <w:numPr>
                <w:ilvl w:val="12"/>
                <w:numId w:val="0"/>
              </w:numPr>
              <w:ind w:right="196"/>
              <w:jc w:val="right"/>
              <w:rPr>
                <w:i/>
                <w:sz w:val="18"/>
                <w:szCs w:val="18"/>
              </w:rPr>
            </w:pPr>
            <w:r w:rsidRPr="008109D0">
              <w:rPr>
                <w:i/>
                <w:sz w:val="18"/>
                <w:szCs w:val="18"/>
              </w:rPr>
              <w:t>Non deductible expense:</w:t>
            </w:r>
          </w:p>
        </w:tc>
      </w:tr>
      <w:tr w:rsidR="00042590" w:rsidRPr="008109D0" w14:paraId="4D7F2295" w14:textId="77777777" w:rsidTr="00D65AE7">
        <w:trPr>
          <w:trHeight w:val="20"/>
        </w:trPr>
        <w:tc>
          <w:tcPr>
            <w:tcW w:w="2859" w:type="dxa"/>
          </w:tcPr>
          <w:p w14:paraId="49188B1A" w14:textId="5050CEF5" w:rsidR="00042590" w:rsidRPr="008109D0" w:rsidRDefault="00042590" w:rsidP="00042590">
            <w:pPr>
              <w:ind w:left="701"/>
              <w:rPr>
                <w:sz w:val="18"/>
                <w:szCs w:val="18"/>
              </w:rPr>
            </w:pPr>
            <w:r w:rsidRPr="008109D0">
              <w:rPr>
                <w:sz w:val="18"/>
                <w:szCs w:val="18"/>
              </w:rPr>
              <w:t>Promosi dan iklan</w:t>
            </w:r>
          </w:p>
        </w:tc>
        <w:tc>
          <w:tcPr>
            <w:tcW w:w="1678" w:type="dxa"/>
            <w:shd w:val="clear" w:color="auto" w:fill="auto"/>
            <w:vAlign w:val="bottom"/>
          </w:tcPr>
          <w:p w14:paraId="4D9D4EFE" w14:textId="2CA935DB" w:rsidR="00042590" w:rsidRPr="00DC701F" w:rsidRDefault="00042590" w:rsidP="00042590">
            <w:pPr>
              <w:ind w:right="57"/>
              <w:jc w:val="right"/>
              <w:rPr>
                <w:sz w:val="18"/>
                <w:szCs w:val="18"/>
              </w:rPr>
            </w:pPr>
          </w:p>
        </w:tc>
        <w:tc>
          <w:tcPr>
            <w:tcW w:w="112" w:type="dxa"/>
            <w:vAlign w:val="bottom"/>
          </w:tcPr>
          <w:p w14:paraId="26EC4B5B" w14:textId="77777777" w:rsidR="00042590" w:rsidRPr="008109D0" w:rsidRDefault="00042590" w:rsidP="00042590">
            <w:pPr>
              <w:ind w:left="318" w:right="57"/>
              <w:jc w:val="right"/>
              <w:rPr>
                <w:sz w:val="18"/>
                <w:szCs w:val="18"/>
              </w:rPr>
            </w:pPr>
          </w:p>
        </w:tc>
        <w:tc>
          <w:tcPr>
            <w:tcW w:w="1678" w:type="dxa"/>
            <w:vAlign w:val="bottom"/>
          </w:tcPr>
          <w:p w14:paraId="521396CF" w14:textId="6B732BA2" w:rsidR="00042590" w:rsidRPr="008109D0" w:rsidRDefault="003E5EBB" w:rsidP="00042590">
            <w:pPr>
              <w:ind w:right="57"/>
              <w:jc w:val="right"/>
              <w:rPr>
                <w:sz w:val="18"/>
                <w:szCs w:val="18"/>
              </w:rPr>
            </w:pPr>
            <w:r w:rsidRPr="008109D0">
              <w:rPr>
                <w:sz w:val="18"/>
                <w:szCs w:val="18"/>
              </w:rPr>
              <w:t>1.798.308.686</w:t>
            </w:r>
          </w:p>
        </w:tc>
        <w:tc>
          <w:tcPr>
            <w:tcW w:w="2870" w:type="dxa"/>
            <w:vAlign w:val="bottom"/>
          </w:tcPr>
          <w:p w14:paraId="548D583E" w14:textId="33119343" w:rsidR="00042590" w:rsidRPr="008109D0" w:rsidRDefault="00042590" w:rsidP="00042590">
            <w:pPr>
              <w:numPr>
                <w:ilvl w:val="12"/>
                <w:numId w:val="0"/>
              </w:numPr>
              <w:ind w:right="255"/>
              <w:jc w:val="right"/>
              <w:rPr>
                <w:i/>
                <w:sz w:val="18"/>
                <w:szCs w:val="18"/>
              </w:rPr>
            </w:pPr>
            <w:r w:rsidRPr="008109D0">
              <w:rPr>
                <w:i/>
                <w:sz w:val="18"/>
                <w:szCs w:val="18"/>
              </w:rPr>
              <w:t>Promotion and advertising</w:t>
            </w:r>
          </w:p>
        </w:tc>
      </w:tr>
      <w:tr w:rsidR="00042590" w:rsidRPr="008109D0" w14:paraId="5B987744" w14:textId="77777777" w:rsidTr="002108FF">
        <w:trPr>
          <w:trHeight w:val="20"/>
        </w:trPr>
        <w:tc>
          <w:tcPr>
            <w:tcW w:w="2859" w:type="dxa"/>
          </w:tcPr>
          <w:p w14:paraId="6C737F3A" w14:textId="77777777" w:rsidR="00042590" w:rsidRPr="008109D0" w:rsidRDefault="00042590" w:rsidP="00042590">
            <w:pPr>
              <w:ind w:left="701"/>
              <w:rPr>
                <w:sz w:val="18"/>
                <w:szCs w:val="18"/>
              </w:rPr>
            </w:pPr>
            <w:r w:rsidRPr="008109D0">
              <w:rPr>
                <w:sz w:val="18"/>
                <w:szCs w:val="18"/>
              </w:rPr>
              <w:t>Pengobatan</w:t>
            </w:r>
          </w:p>
        </w:tc>
        <w:tc>
          <w:tcPr>
            <w:tcW w:w="1678" w:type="dxa"/>
            <w:shd w:val="clear" w:color="auto" w:fill="auto"/>
            <w:vAlign w:val="bottom"/>
          </w:tcPr>
          <w:p w14:paraId="25E4CE6E" w14:textId="7283EECB" w:rsidR="00042590" w:rsidRPr="00DC701F" w:rsidRDefault="00042590" w:rsidP="00042590">
            <w:pPr>
              <w:ind w:right="57"/>
              <w:jc w:val="right"/>
              <w:rPr>
                <w:sz w:val="18"/>
                <w:szCs w:val="18"/>
              </w:rPr>
            </w:pPr>
          </w:p>
        </w:tc>
        <w:tc>
          <w:tcPr>
            <w:tcW w:w="112" w:type="dxa"/>
            <w:vAlign w:val="bottom"/>
          </w:tcPr>
          <w:p w14:paraId="55D01D43" w14:textId="77777777" w:rsidR="00042590" w:rsidRPr="008109D0" w:rsidRDefault="00042590" w:rsidP="00042590">
            <w:pPr>
              <w:ind w:left="318" w:right="57"/>
              <w:jc w:val="right"/>
              <w:rPr>
                <w:sz w:val="18"/>
                <w:szCs w:val="18"/>
              </w:rPr>
            </w:pPr>
          </w:p>
        </w:tc>
        <w:tc>
          <w:tcPr>
            <w:tcW w:w="1678" w:type="dxa"/>
            <w:vAlign w:val="bottom"/>
          </w:tcPr>
          <w:p w14:paraId="2BFF823C" w14:textId="34B6DD4B" w:rsidR="00042590" w:rsidRPr="008109D0" w:rsidRDefault="00042590" w:rsidP="00042590">
            <w:pPr>
              <w:ind w:right="57"/>
              <w:jc w:val="right"/>
              <w:rPr>
                <w:sz w:val="18"/>
                <w:szCs w:val="18"/>
              </w:rPr>
            </w:pPr>
          </w:p>
        </w:tc>
        <w:tc>
          <w:tcPr>
            <w:tcW w:w="2870" w:type="dxa"/>
          </w:tcPr>
          <w:p w14:paraId="04340B0C" w14:textId="77777777" w:rsidR="00042590" w:rsidRPr="008109D0" w:rsidRDefault="00042590" w:rsidP="00042590">
            <w:pPr>
              <w:numPr>
                <w:ilvl w:val="12"/>
                <w:numId w:val="0"/>
              </w:numPr>
              <w:ind w:right="255"/>
              <w:jc w:val="right"/>
              <w:rPr>
                <w:i/>
                <w:sz w:val="18"/>
                <w:szCs w:val="18"/>
              </w:rPr>
            </w:pPr>
            <w:r w:rsidRPr="008109D0">
              <w:rPr>
                <w:i/>
                <w:sz w:val="18"/>
                <w:szCs w:val="18"/>
              </w:rPr>
              <w:t>Medical</w:t>
            </w:r>
          </w:p>
        </w:tc>
      </w:tr>
      <w:tr w:rsidR="00042590" w:rsidRPr="008109D0" w14:paraId="2452496A" w14:textId="77777777" w:rsidTr="002108FF">
        <w:trPr>
          <w:trHeight w:val="20"/>
        </w:trPr>
        <w:tc>
          <w:tcPr>
            <w:tcW w:w="2859" w:type="dxa"/>
          </w:tcPr>
          <w:p w14:paraId="5D2A0E63" w14:textId="77777777" w:rsidR="00042590" w:rsidRPr="008109D0" w:rsidRDefault="00042590" w:rsidP="00042590">
            <w:pPr>
              <w:ind w:left="701"/>
              <w:rPr>
                <w:sz w:val="18"/>
                <w:szCs w:val="18"/>
              </w:rPr>
            </w:pPr>
            <w:r w:rsidRPr="008109D0">
              <w:rPr>
                <w:sz w:val="18"/>
                <w:szCs w:val="18"/>
              </w:rPr>
              <w:t>Personalia</w:t>
            </w:r>
          </w:p>
        </w:tc>
        <w:tc>
          <w:tcPr>
            <w:tcW w:w="1678" w:type="dxa"/>
            <w:shd w:val="clear" w:color="auto" w:fill="auto"/>
            <w:vAlign w:val="bottom"/>
          </w:tcPr>
          <w:p w14:paraId="3176DB3C" w14:textId="4A6CD296" w:rsidR="00042590" w:rsidRPr="00DC701F" w:rsidRDefault="00042590" w:rsidP="00042590">
            <w:pPr>
              <w:ind w:right="57"/>
              <w:jc w:val="right"/>
              <w:rPr>
                <w:sz w:val="18"/>
                <w:szCs w:val="18"/>
              </w:rPr>
            </w:pPr>
          </w:p>
        </w:tc>
        <w:tc>
          <w:tcPr>
            <w:tcW w:w="112" w:type="dxa"/>
            <w:vAlign w:val="bottom"/>
          </w:tcPr>
          <w:p w14:paraId="37C55C85" w14:textId="77777777" w:rsidR="00042590" w:rsidRPr="008109D0" w:rsidRDefault="00042590" w:rsidP="00042590">
            <w:pPr>
              <w:ind w:left="318" w:right="57"/>
              <w:jc w:val="right"/>
              <w:rPr>
                <w:sz w:val="18"/>
                <w:szCs w:val="18"/>
              </w:rPr>
            </w:pPr>
          </w:p>
        </w:tc>
        <w:tc>
          <w:tcPr>
            <w:tcW w:w="1678" w:type="dxa"/>
            <w:vAlign w:val="bottom"/>
          </w:tcPr>
          <w:p w14:paraId="297B3E59" w14:textId="66544988" w:rsidR="00042590" w:rsidRPr="008109D0" w:rsidRDefault="00042590" w:rsidP="00042590">
            <w:pPr>
              <w:ind w:right="57"/>
              <w:jc w:val="right"/>
              <w:rPr>
                <w:sz w:val="18"/>
                <w:szCs w:val="18"/>
              </w:rPr>
            </w:pPr>
          </w:p>
        </w:tc>
        <w:tc>
          <w:tcPr>
            <w:tcW w:w="2870" w:type="dxa"/>
          </w:tcPr>
          <w:p w14:paraId="7813A29D" w14:textId="77777777" w:rsidR="00042590" w:rsidRPr="008109D0" w:rsidRDefault="00042590" w:rsidP="00042590">
            <w:pPr>
              <w:numPr>
                <w:ilvl w:val="12"/>
                <w:numId w:val="0"/>
              </w:numPr>
              <w:ind w:right="255"/>
              <w:jc w:val="right"/>
              <w:rPr>
                <w:i/>
                <w:sz w:val="18"/>
                <w:szCs w:val="18"/>
              </w:rPr>
            </w:pPr>
            <w:r w:rsidRPr="008109D0">
              <w:rPr>
                <w:i/>
                <w:sz w:val="18"/>
                <w:szCs w:val="18"/>
              </w:rPr>
              <w:t xml:space="preserve">Personnal </w:t>
            </w:r>
          </w:p>
        </w:tc>
      </w:tr>
      <w:tr w:rsidR="00042590" w:rsidRPr="008109D0" w14:paraId="10B572BB" w14:textId="77777777" w:rsidTr="00D65AE7">
        <w:trPr>
          <w:trHeight w:val="20"/>
        </w:trPr>
        <w:tc>
          <w:tcPr>
            <w:tcW w:w="2859" w:type="dxa"/>
          </w:tcPr>
          <w:p w14:paraId="5B5B7E5B" w14:textId="77777777" w:rsidR="00042590" w:rsidRPr="008109D0" w:rsidRDefault="00042590" w:rsidP="00042590">
            <w:pPr>
              <w:ind w:left="701"/>
              <w:rPr>
                <w:sz w:val="18"/>
                <w:szCs w:val="18"/>
              </w:rPr>
            </w:pPr>
            <w:r w:rsidRPr="008109D0">
              <w:rPr>
                <w:sz w:val="18"/>
                <w:szCs w:val="18"/>
              </w:rPr>
              <w:t>Representasi dan jamuan</w:t>
            </w:r>
          </w:p>
        </w:tc>
        <w:tc>
          <w:tcPr>
            <w:tcW w:w="1678" w:type="dxa"/>
            <w:shd w:val="clear" w:color="auto" w:fill="auto"/>
            <w:vAlign w:val="bottom"/>
          </w:tcPr>
          <w:p w14:paraId="600B490A" w14:textId="19634493" w:rsidR="00042590" w:rsidRPr="00DC701F" w:rsidRDefault="00653A95" w:rsidP="00042590">
            <w:pPr>
              <w:ind w:right="57"/>
              <w:jc w:val="right"/>
              <w:rPr>
                <w:sz w:val="18"/>
                <w:szCs w:val="18"/>
              </w:rPr>
            </w:pPr>
            <w:r w:rsidRPr="00DC701F">
              <w:rPr>
                <w:sz w:val="18"/>
                <w:szCs w:val="18"/>
              </w:rPr>
              <w:t>38.663.998</w:t>
            </w:r>
          </w:p>
        </w:tc>
        <w:tc>
          <w:tcPr>
            <w:tcW w:w="112" w:type="dxa"/>
            <w:vAlign w:val="bottom"/>
          </w:tcPr>
          <w:p w14:paraId="2BFDF8A0" w14:textId="77777777" w:rsidR="00042590" w:rsidRPr="008109D0" w:rsidRDefault="00042590" w:rsidP="00042590">
            <w:pPr>
              <w:ind w:left="318" w:right="57"/>
              <w:jc w:val="right"/>
              <w:rPr>
                <w:sz w:val="18"/>
                <w:szCs w:val="18"/>
              </w:rPr>
            </w:pPr>
          </w:p>
        </w:tc>
        <w:tc>
          <w:tcPr>
            <w:tcW w:w="1678" w:type="dxa"/>
            <w:vAlign w:val="bottom"/>
          </w:tcPr>
          <w:p w14:paraId="4937CC7E" w14:textId="0E7FEF06" w:rsidR="00042590" w:rsidRPr="008109D0" w:rsidRDefault="003E5EBB" w:rsidP="00042590">
            <w:pPr>
              <w:ind w:right="57"/>
              <w:jc w:val="right"/>
              <w:rPr>
                <w:sz w:val="18"/>
                <w:szCs w:val="18"/>
              </w:rPr>
            </w:pPr>
            <w:r w:rsidRPr="008109D0">
              <w:rPr>
                <w:sz w:val="18"/>
                <w:szCs w:val="18"/>
              </w:rPr>
              <w:t>17.013.311</w:t>
            </w:r>
          </w:p>
        </w:tc>
        <w:tc>
          <w:tcPr>
            <w:tcW w:w="2870" w:type="dxa"/>
          </w:tcPr>
          <w:p w14:paraId="7CACEAB7" w14:textId="77777777" w:rsidR="00042590" w:rsidRPr="008109D0" w:rsidRDefault="00042590" w:rsidP="00042590">
            <w:pPr>
              <w:numPr>
                <w:ilvl w:val="12"/>
                <w:numId w:val="0"/>
              </w:numPr>
              <w:ind w:right="255"/>
              <w:jc w:val="right"/>
              <w:rPr>
                <w:i/>
                <w:sz w:val="18"/>
                <w:szCs w:val="18"/>
              </w:rPr>
            </w:pPr>
            <w:r w:rsidRPr="008109D0">
              <w:rPr>
                <w:i/>
                <w:sz w:val="18"/>
                <w:szCs w:val="18"/>
              </w:rPr>
              <w:t>Representation and entertainment</w:t>
            </w:r>
          </w:p>
        </w:tc>
      </w:tr>
      <w:tr w:rsidR="00042590" w:rsidRPr="008109D0" w14:paraId="12B20100" w14:textId="77777777" w:rsidTr="00D65AE7">
        <w:trPr>
          <w:trHeight w:val="20"/>
        </w:trPr>
        <w:tc>
          <w:tcPr>
            <w:tcW w:w="2859" w:type="dxa"/>
          </w:tcPr>
          <w:p w14:paraId="4453AA26" w14:textId="47208078" w:rsidR="00042590" w:rsidRPr="008109D0" w:rsidRDefault="00042590" w:rsidP="00042590">
            <w:pPr>
              <w:ind w:left="701"/>
              <w:rPr>
                <w:sz w:val="18"/>
                <w:szCs w:val="18"/>
              </w:rPr>
            </w:pPr>
            <w:r w:rsidRPr="008109D0">
              <w:rPr>
                <w:sz w:val="18"/>
                <w:szCs w:val="18"/>
              </w:rPr>
              <w:t>Sumbangan</w:t>
            </w:r>
          </w:p>
        </w:tc>
        <w:tc>
          <w:tcPr>
            <w:tcW w:w="1678" w:type="dxa"/>
            <w:shd w:val="clear" w:color="auto" w:fill="auto"/>
            <w:vAlign w:val="bottom"/>
          </w:tcPr>
          <w:p w14:paraId="58B344A7" w14:textId="2D124FD3" w:rsidR="00042590" w:rsidRPr="00DC701F" w:rsidRDefault="00042590" w:rsidP="00042590">
            <w:pPr>
              <w:ind w:right="57"/>
              <w:jc w:val="right"/>
              <w:rPr>
                <w:sz w:val="18"/>
                <w:szCs w:val="18"/>
              </w:rPr>
            </w:pPr>
          </w:p>
        </w:tc>
        <w:tc>
          <w:tcPr>
            <w:tcW w:w="112" w:type="dxa"/>
            <w:vAlign w:val="bottom"/>
          </w:tcPr>
          <w:p w14:paraId="705D9421" w14:textId="77777777" w:rsidR="00042590" w:rsidRPr="008109D0" w:rsidRDefault="00042590" w:rsidP="00042590">
            <w:pPr>
              <w:ind w:left="318" w:right="57"/>
              <w:jc w:val="right"/>
              <w:rPr>
                <w:sz w:val="18"/>
                <w:szCs w:val="18"/>
              </w:rPr>
            </w:pPr>
          </w:p>
        </w:tc>
        <w:tc>
          <w:tcPr>
            <w:tcW w:w="1678" w:type="dxa"/>
            <w:vAlign w:val="bottom"/>
          </w:tcPr>
          <w:p w14:paraId="5108B18B" w14:textId="768B5DC3" w:rsidR="00042590" w:rsidRPr="008109D0" w:rsidRDefault="003E5EBB" w:rsidP="00042590">
            <w:pPr>
              <w:ind w:right="57"/>
              <w:jc w:val="right"/>
              <w:rPr>
                <w:sz w:val="18"/>
                <w:szCs w:val="18"/>
              </w:rPr>
            </w:pPr>
            <w:r w:rsidRPr="008109D0">
              <w:rPr>
                <w:sz w:val="18"/>
                <w:szCs w:val="18"/>
              </w:rPr>
              <w:t>32.280.600</w:t>
            </w:r>
          </w:p>
        </w:tc>
        <w:tc>
          <w:tcPr>
            <w:tcW w:w="2870" w:type="dxa"/>
          </w:tcPr>
          <w:p w14:paraId="55900F91" w14:textId="65BD04CB" w:rsidR="00042590" w:rsidRPr="008109D0" w:rsidRDefault="00042590" w:rsidP="00042590">
            <w:pPr>
              <w:numPr>
                <w:ilvl w:val="12"/>
                <w:numId w:val="0"/>
              </w:numPr>
              <w:ind w:right="255"/>
              <w:jc w:val="right"/>
              <w:rPr>
                <w:i/>
                <w:sz w:val="18"/>
                <w:szCs w:val="18"/>
              </w:rPr>
            </w:pPr>
            <w:r w:rsidRPr="008109D0">
              <w:rPr>
                <w:i/>
                <w:sz w:val="18"/>
                <w:szCs w:val="18"/>
              </w:rPr>
              <w:t>Donations</w:t>
            </w:r>
          </w:p>
        </w:tc>
      </w:tr>
      <w:tr w:rsidR="00042590" w:rsidRPr="008109D0" w14:paraId="559AB2D6" w14:textId="77777777" w:rsidTr="00D65AE7">
        <w:trPr>
          <w:trHeight w:val="20"/>
        </w:trPr>
        <w:tc>
          <w:tcPr>
            <w:tcW w:w="2859" w:type="dxa"/>
          </w:tcPr>
          <w:p w14:paraId="08CCCB94" w14:textId="77777777" w:rsidR="00042590" w:rsidRPr="008109D0" w:rsidRDefault="00042590" w:rsidP="00042590">
            <w:pPr>
              <w:ind w:left="701"/>
              <w:rPr>
                <w:sz w:val="18"/>
                <w:szCs w:val="18"/>
              </w:rPr>
            </w:pPr>
            <w:r w:rsidRPr="008109D0">
              <w:rPr>
                <w:sz w:val="18"/>
                <w:szCs w:val="18"/>
              </w:rPr>
              <w:t>Langganan</w:t>
            </w:r>
          </w:p>
        </w:tc>
        <w:tc>
          <w:tcPr>
            <w:tcW w:w="1678" w:type="dxa"/>
            <w:shd w:val="clear" w:color="auto" w:fill="auto"/>
            <w:vAlign w:val="bottom"/>
          </w:tcPr>
          <w:p w14:paraId="33AAB440" w14:textId="328D1790" w:rsidR="00042590" w:rsidRPr="00DC701F" w:rsidRDefault="00042590" w:rsidP="00042590">
            <w:pPr>
              <w:ind w:right="57"/>
              <w:jc w:val="right"/>
              <w:rPr>
                <w:sz w:val="18"/>
                <w:szCs w:val="18"/>
              </w:rPr>
            </w:pPr>
          </w:p>
        </w:tc>
        <w:tc>
          <w:tcPr>
            <w:tcW w:w="112" w:type="dxa"/>
            <w:vAlign w:val="bottom"/>
          </w:tcPr>
          <w:p w14:paraId="36D1B9AB" w14:textId="77777777" w:rsidR="00042590" w:rsidRPr="008109D0" w:rsidRDefault="00042590" w:rsidP="00042590">
            <w:pPr>
              <w:ind w:left="318" w:right="57"/>
              <w:jc w:val="right"/>
              <w:rPr>
                <w:sz w:val="18"/>
                <w:szCs w:val="18"/>
              </w:rPr>
            </w:pPr>
          </w:p>
        </w:tc>
        <w:tc>
          <w:tcPr>
            <w:tcW w:w="1678" w:type="dxa"/>
            <w:vAlign w:val="bottom"/>
          </w:tcPr>
          <w:p w14:paraId="26CC945D" w14:textId="5ECF5F78" w:rsidR="00042590" w:rsidRPr="008109D0" w:rsidRDefault="003E5EBB" w:rsidP="00042590">
            <w:pPr>
              <w:ind w:right="57"/>
              <w:jc w:val="right"/>
              <w:rPr>
                <w:sz w:val="18"/>
                <w:szCs w:val="18"/>
              </w:rPr>
            </w:pPr>
            <w:r w:rsidRPr="008109D0">
              <w:rPr>
                <w:sz w:val="18"/>
                <w:szCs w:val="18"/>
              </w:rPr>
              <w:t>194.444.646</w:t>
            </w:r>
          </w:p>
        </w:tc>
        <w:tc>
          <w:tcPr>
            <w:tcW w:w="2870" w:type="dxa"/>
          </w:tcPr>
          <w:p w14:paraId="116472F4" w14:textId="77777777" w:rsidR="00042590" w:rsidRPr="008109D0" w:rsidRDefault="00042590" w:rsidP="00042590">
            <w:pPr>
              <w:numPr>
                <w:ilvl w:val="12"/>
                <w:numId w:val="0"/>
              </w:numPr>
              <w:ind w:right="255"/>
              <w:jc w:val="right"/>
              <w:rPr>
                <w:i/>
                <w:sz w:val="18"/>
                <w:szCs w:val="18"/>
              </w:rPr>
            </w:pPr>
            <w:r w:rsidRPr="008109D0">
              <w:rPr>
                <w:i/>
                <w:sz w:val="18"/>
                <w:szCs w:val="18"/>
              </w:rPr>
              <w:t>Subscriptions</w:t>
            </w:r>
          </w:p>
        </w:tc>
      </w:tr>
      <w:tr w:rsidR="00042590" w:rsidRPr="008109D0" w14:paraId="3442369F" w14:textId="77777777" w:rsidTr="00D65AE7">
        <w:trPr>
          <w:trHeight w:val="20"/>
        </w:trPr>
        <w:tc>
          <w:tcPr>
            <w:tcW w:w="2859" w:type="dxa"/>
          </w:tcPr>
          <w:p w14:paraId="71374605" w14:textId="77777777" w:rsidR="00042590" w:rsidRPr="008109D0" w:rsidRDefault="00042590" w:rsidP="00042590">
            <w:pPr>
              <w:ind w:left="701"/>
              <w:rPr>
                <w:sz w:val="18"/>
                <w:szCs w:val="18"/>
              </w:rPr>
            </w:pPr>
            <w:r w:rsidRPr="008109D0">
              <w:rPr>
                <w:sz w:val="18"/>
                <w:szCs w:val="18"/>
              </w:rPr>
              <w:t>Denda pajak</w:t>
            </w:r>
          </w:p>
        </w:tc>
        <w:tc>
          <w:tcPr>
            <w:tcW w:w="1678" w:type="dxa"/>
            <w:shd w:val="clear" w:color="auto" w:fill="auto"/>
            <w:vAlign w:val="bottom"/>
          </w:tcPr>
          <w:p w14:paraId="7086228D" w14:textId="2FB77C9D" w:rsidR="00042590" w:rsidRPr="00DC701F" w:rsidRDefault="00653A95" w:rsidP="00042590">
            <w:pPr>
              <w:ind w:right="57"/>
              <w:jc w:val="right"/>
              <w:rPr>
                <w:sz w:val="18"/>
                <w:szCs w:val="18"/>
              </w:rPr>
            </w:pPr>
            <w:r w:rsidRPr="00DC701F">
              <w:rPr>
                <w:sz w:val="18"/>
                <w:szCs w:val="18"/>
              </w:rPr>
              <w:t>49.240.433</w:t>
            </w:r>
          </w:p>
        </w:tc>
        <w:tc>
          <w:tcPr>
            <w:tcW w:w="112" w:type="dxa"/>
            <w:vAlign w:val="bottom"/>
          </w:tcPr>
          <w:p w14:paraId="64E87B6C" w14:textId="77777777" w:rsidR="00042590" w:rsidRPr="008109D0" w:rsidRDefault="00042590" w:rsidP="00042590">
            <w:pPr>
              <w:ind w:left="318" w:right="57"/>
              <w:jc w:val="right"/>
              <w:rPr>
                <w:sz w:val="18"/>
                <w:szCs w:val="18"/>
              </w:rPr>
            </w:pPr>
          </w:p>
        </w:tc>
        <w:tc>
          <w:tcPr>
            <w:tcW w:w="1678" w:type="dxa"/>
            <w:vAlign w:val="bottom"/>
          </w:tcPr>
          <w:p w14:paraId="45D3D658" w14:textId="4FF848EA" w:rsidR="00042590" w:rsidRPr="008109D0" w:rsidRDefault="003E5EBB" w:rsidP="00042590">
            <w:pPr>
              <w:ind w:right="57"/>
              <w:jc w:val="right"/>
              <w:rPr>
                <w:sz w:val="18"/>
                <w:szCs w:val="18"/>
              </w:rPr>
            </w:pPr>
            <w:r w:rsidRPr="008109D0">
              <w:rPr>
                <w:sz w:val="18"/>
                <w:szCs w:val="18"/>
              </w:rPr>
              <w:t>3.208.696</w:t>
            </w:r>
          </w:p>
        </w:tc>
        <w:tc>
          <w:tcPr>
            <w:tcW w:w="2870" w:type="dxa"/>
          </w:tcPr>
          <w:p w14:paraId="6AD2CE53" w14:textId="77777777" w:rsidR="00042590" w:rsidRPr="008109D0" w:rsidRDefault="00042590" w:rsidP="00042590">
            <w:pPr>
              <w:numPr>
                <w:ilvl w:val="12"/>
                <w:numId w:val="0"/>
              </w:numPr>
              <w:ind w:right="255"/>
              <w:jc w:val="right"/>
              <w:rPr>
                <w:i/>
                <w:sz w:val="18"/>
                <w:szCs w:val="18"/>
              </w:rPr>
            </w:pPr>
            <w:r w:rsidRPr="008109D0">
              <w:rPr>
                <w:i/>
                <w:sz w:val="18"/>
                <w:szCs w:val="18"/>
              </w:rPr>
              <w:t>Tax penalty</w:t>
            </w:r>
          </w:p>
        </w:tc>
      </w:tr>
      <w:tr w:rsidR="00042590" w:rsidRPr="008109D0" w14:paraId="7F013953" w14:textId="77777777" w:rsidTr="00D65AE7">
        <w:trPr>
          <w:trHeight w:val="20"/>
        </w:trPr>
        <w:tc>
          <w:tcPr>
            <w:tcW w:w="2859" w:type="dxa"/>
          </w:tcPr>
          <w:p w14:paraId="3FCEEE2C" w14:textId="77777777" w:rsidR="00042590" w:rsidRPr="008109D0" w:rsidRDefault="00042590" w:rsidP="00042590">
            <w:pPr>
              <w:ind w:left="701"/>
              <w:rPr>
                <w:sz w:val="18"/>
                <w:szCs w:val="18"/>
              </w:rPr>
            </w:pPr>
            <w:r w:rsidRPr="008109D0">
              <w:rPr>
                <w:sz w:val="18"/>
                <w:szCs w:val="18"/>
              </w:rPr>
              <w:t>Sewa</w:t>
            </w:r>
          </w:p>
        </w:tc>
        <w:tc>
          <w:tcPr>
            <w:tcW w:w="1678" w:type="dxa"/>
            <w:shd w:val="clear" w:color="auto" w:fill="auto"/>
            <w:vAlign w:val="bottom"/>
          </w:tcPr>
          <w:p w14:paraId="0093F70A" w14:textId="139FB1E4" w:rsidR="00042590" w:rsidRPr="00DC701F" w:rsidRDefault="00042590" w:rsidP="00042590">
            <w:pPr>
              <w:ind w:right="57"/>
              <w:jc w:val="right"/>
              <w:rPr>
                <w:sz w:val="18"/>
                <w:szCs w:val="18"/>
              </w:rPr>
            </w:pPr>
          </w:p>
        </w:tc>
        <w:tc>
          <w:tcPr>
            <w:tcW w:w="112" w:type="dxa"/>
            <w:vAlign w:val="bottom"/>
          </w:tcPr>
          <w:p w14:paraId="4778F813" w14:textId="77777777" w:rsidR="00042590" w:rsidRPr="008109D0" w:rsidRDefault="00042590" w:rsidP="00042590">
            <w:pPr>
              <w:ind w:left="318" w:right="57"/>
              <w:jc w:val="right"/>
              <w:rPr>
                <w:sz w:val="18"/>
                <w:szCs w:val="18"/>
              </w:rPr>
            </w:pPr>
          </w:p>
        </w:tc>
        <w:tc>
          <w:tcPr>
            <w:tcW w:w="1678" w:type="dxa"/>
            <w:vAlign w:val="bottom"/>
          </w:tcPr>
          <w:p w14:paraId="06D1C8A6" w14:textId="3981DBD3" w:rsidR="00042590" w:rsidRPr="008109D0" w:rsidRDefault="003E5EBB" w:rsidP="00042590">
            <w:pPr>
              <w:ind w:right="57"/>
              <w:jc w:val="right"/>
              <w:rPr>
                <w:sz w:val="18"/>
                <w:szCs w:val="18"/>
              </w:rPr>
            </w:pPr>
            <w:r w:rsidRPr="008109D0">
              <w:rPr>
                <w:sz w:val="18"/>
                <w:szCs w:val="18"/>
              </w:rPr>
              <w:t>84.756.000</w:t>
            </w:r>
          </w:p>
        </w:tc>
        <w:tc>
          <w:tcPr>
            <w:tcW w:w="2870" w:type="dxa"/>
          </w:tcPr>
          <w:p w14:paraId="390B3BC8" w14:textId="77777777" w:rsidR="00042590" w:rsidRPr="008109D0" w:rsidRDefault="00042590" w:rsidP="00042590">
            <w:pPr>
              <w:numPr>
                <w:ilvl w:val="12"/>
                <w:numId w:val="0"/>
              </w:numPr>
              <w:ind w:right="255"/>
              <w:jc w:val="right"/>
              <w:rPr>
                <w:i/>
                <w:sz w:val="18"/>
                <w:szCs w:val="18"/>
              </w:rPr>
            </w:pPr>
            <w:r w:rsidRPr="008109D0">
              <w:rPr>
                <w:i/>
                <w:sz w:val="18"/>
                <w:szCs w:val="18"/>
              </w:rPr>
              <w:t>Rent</w:t>
            </w:r>
          </w:p>
        </w:tc>
      </w:tr>
      <w:tr w:rsidR="00042590" w:rsidRPr="008109D0" w14:paraId="02B0D315" w14:textId="77777777" w:rsidTr="00D65AE7">
        <w:trPr>
          <w:trHeight w:val="20"/>
        </w:trPr>
        <w:tc>
          <w:tcPr>
            <w:tcW w:w="2859" w:type="dxa"/>
          </w:tcPr>
          <w:p w14:paraId="7887DDA4" w14:textId="106157DA" w:rsidR="00042590" w:rsidRPr="008109D0" w:rsidRDefault="00042590" w:rsidP="00042590">
            <w:pPr>
              <w:ind w:left="701"/>
              <w:rPr>
                <w:sz w:val="18"/>
                <w:szCs w:val="18"/>
              </w:rPr>
            </w:pPr>
            <w:r w:rsidRPr="008109D0">
              <w:rPr>
                <w:sz w:val="18"/>
                <w:szCs w:val="18"/>
              </w:rPr>
              <w:t>Perbaikan kendaraan</w:t>
            </w:r>
          </w:p>
        </w:tc>
        <w:tc>
          <w:tcPr>
            <w:tcW w:w="1678" w:type="dxa"/>
            <w:shd w:val="clear" w:color="auto" w:fill="auto"/>
            <w:vAlign w:val="bottom"/>
          </w:tcPr>
          <w:p w14:paraId="0F4EC841" w14:textId="6801B440" w:rsidR="00042590" w:rsidRPr="00DC701F" w:rsidRDefault="00653A95" w:rsidP="00042590">
            <w:pPr>
              <w:ind w:right="57"/>
              <w:jc w:val="right"/>
              <w:rPr>
                <w:sz w:val="18"/>
                <w:szCs w:val="18"/>
              </w:rPr>
            </w:pPr>
            <w:r w:rsidRPr="00DC701F">
              <w:rPr>
                <w:sz w:val="18"/>
                <w:szCs w:val="18"/>
              </w:rPr>
              <w:t>4.977.183</w:t>
            </w:r>
          </w:p>
        </w:tc>
        <w:tc>
          <w:tcPr>
            <w:tcW w:w="112" w:type="dxa"/>
            <w:vAlign w:val="bottom"/>
          </w:tcPr>
          <w:p w14:paraId="5C6519D6" w14:textId="77777777" w:rsidR="00042590" w:rsidRPr="008109D0" w:rsidRDefault="00042590" w:rsidP="00042590">
            <w:pPr>
              <w:ind w:left="318" w:right="57"/>
              <w:jc w:val="right"/>
              <w:rPr>
                <w:sz w:val="18"/>
                <w:szCs w:val="18"/>
              </w:rPr>
            </w:pPr>
          </w:p>
        </w:tc>
        <w:tc>
          <w:tcPr>
            <w:tcW w:w="1678" w:type="dxa"/>
            <w:vAlign w:val="bottom"/>
          </w:tcPr>
          <w:p w14:paraId="2D9D17BC" w14:textId="1A152F27" w:rsidR="00042590" w:rsidRPr="008109D0" w:rsidRDefault="003E5EBB" w:rsidP="00042590">
            <w:pPr>
              <w:ind w:right="57"/>
              <w:jc w:val="right"/>
              <w:rPr>
                <w:sz w:val="18"/>
                <w:szCs w:val="18"/>
              </w:rPr>
            </w:pPr>
            <w:r w:rsidRPr="008109D0">
              <w:rPr>
                <w:sz w:val="18"/>
                <w:szCs w:val="18"/>
              </w:rPr>
              <w:t>18.560.980</w:t>
            </w:r>
          </w:p>
        </w:tc>
        <w:tc>
          <w:tcPr>
            <w:tcW w:w="2870" w:type="dxa"/>
          </w:tcPr>
          <w:p w14:paraId="7EA45DD6" w14:textId="04728041" w:rsidR="00042590" w:rsidRPr="008109D0" w:rsidRDefault="00042590" w:rsidP="00042590">
            <w:pPr>
              <w:numPr>
                <w:ilvl w:val="12"/>
                <w:numId w:val="0"/>
              </w:numPr>
              <w:ind w:right="255"/>
              <w:jc w:val="right"/>
              <w:rPr>
                <w:i/>
                <w:sz w:val="18"/>
                <w:szCs w:val="18"/>
              </w:rPr>
            </w:pPr>
            <w:r w:rsidRPr="008109D0">
              <w:rPr>
                <w:i/>
                <w:sz w:val="18"/>
                <w:szCs w:val="18"/>
              </w:rPr>
              <w:t>Vehicles maintenance</w:t>
            </w:r>
          </w:p>
        </w:tc>
      </w:tr>
      <w:tr w:rsidR="00042590" w:rsidRPr="008109D0" w14:paraId="35F65009" w14:textId="77777777" w:rsidTr="002108FF">
        <w:trPr>
          <w:trHeight w:val="20"/>
        </w:trPr>
        <w:tc>
          <w:tcPr>
            <w:tcW w:w="2859" w:type="dxa"/>
          </w:tcPr>
          <w:p w14:paraId="52B6D006" w14:textId="77777777" w:rsidR="00042590" w:rsidRPr="008109D0" w:rsidRDefault="00042590" w:rsidP="00042590">
            <w:pPr>
              <w:ind w:left="701"/>
              <w:rPr>
                <w:sz w:val="18"/>
                <w:szCs w:val="18"/>
              </w:rPr>
            </w:pPr>
            <w:r w:rsidRPr="008109D0">
              <w:rPr>
                <w:sz w:val="18"/>
                <w:szCs w:val="18"/>
              </w:rPr>
              <w:t>Telepon</w:t>
            </w:r>
          </w:p>
        </w:tc>
        <w:tc>
          <w:tcPr>
            <w:tcW w:w="1678" w:type="dxa"/>
            <w:shd w:val="clear" w:color="auto" w:fill="auto"/>
            <w:vAlign w:val="bottom"/>
          </w:tcPr>
          <w:p w14:paraId="4A574827" w14:textId="4DB4BA69" w:rsidR="00042590" w:rsidRPr="00DC701F" w:rsidRDefault="00042590" w:rsidP="00042590">
            <w:pPr>
              <w:ind w:right="57"/>
              <w:jc w:val="right"/>
              <w:rPr>
                <w:sz w:val="18"/>
                <w:szCs w:val="18"/>
              </w:rPr>
            </w:pPr>
          </w:p>
        </w:tc>
        <w:tc>
          <w:tcPr>
            <w:tcW w:w="112" w:type="dxa"/>
            <w:vAlign w:val="bottom"/>
          </w:tcPr>
          <w:p w14:paraId="1177CF12" w14:textId="77777777" w:rsidR="00042590" w:rsidRPr="008109D0" w:rsidRDefault="00042590" w:rsidP="00042590">
            <w:pPr>
              <w:ind w:left="318" w:right="57"/>
              <w:jc w:val="right"/>
              <w:rPr>
                <w:sz w:val="18"/>
                <w:szCs w:val="18"/>
              </w:rPr>
            </w:pPr>
          </w:p>
        </w:tc>
        <w:tc>
          <w:tcPr>
            <w:tcW w:w="1678" w:type="dxa"/>
            <w:vAlign w:val="bottom"/>
          </w:tcPr>
          <w:p w14:paraId="3C4FA348" w14:textId="1B66974E" w:rsidR="00042590" w:rsidRPr="008109D0" w:rsidRDefault="00042590" w:rsidP="00042590">
            <w:pPr>
              <w:ind w:right="57"/>
              <w:jc w:val="right"/>
              <w:rPr>
                <w:sz w:val="18"/>
                <w:szCs w:val="18"/>
              </w:rPr>
            </w:pPr>
          </w:p>
        </w:tc>
        <w:tc>
          <w:tcPr>
            <w:tcW w:w="2870" w:type="dxa"/>
          </w:tcPr>
          <w:p w14:paraId="5637CE68" w14:textId="77777777" w:rsidR="00042590" w:rsidRPr="008109D0" w:rsidRDefault="00042590" w:rsidP="00042590">
            <w:pPr>
              <w:numPr>
                <w:ilvl w:val="12"/>
                <w:numId w:val="0"/>
              </w:numPr>
              <w:ind w:right="255"/>
              <w:jc w:val="right"/>
              <w:rPr>
                <w:i/>
                <w:sz w:val="18"/>
                <w:szCs w:val="18"/>
              </w:rPr>
            </w:pPr>
            <w:r w:rsidRPr="008109D0">
              <w:rPr>
                <w:i/>
                <w:sz w:val="18"/>
                <w:szCs w:val="18"/>
              </w:rPr>
              <w:t xml:space="preserve">Telephone </w:t>
            </w:r>
          </w:p>
        </w:tc>
      </w:tr>
      <w:tr w:rsidR="00042590" w:rsidRPr="008109D0" w14:paraId="7F1B2355" w14:textId="77777777" w:rsidTr="002108FF">
        <w:trPr>
          <w:trHeight w:val="20"/>
        </w:trPr>
        <w:tc>
          <w:tcPr>
            <w:tcW w:w="2859" w:type="dxa"/>
          </w:tcPr>
          <w:p w14:paraId="5937E8AE" w14:textId="61EE490A" w:rsidR="00042590" w:rsidRPr="008109D0" w:rsidRDefault="00042590" w:rsidP="00042590">
            <w:pPr>
              <w:ind w:left="701"/>
              <w:rPr>
                <w:sz w:val="18"/>
                <w:szCs w:val="18"/>
              </w:rPr>
            </w:pPr>
            <w:r w:rsidRPr="008109D0">
              <w:rPr>
                <w:sz w:val="18"/>
                <w:szCs w:val="18"/>
              </w:rPr>
              <w:t>Pelatihan</w:t>
            </w:r>
          </w:p>
        </w:tc>
        <w:tc>
          <w:tcPr>
            <w:tcW w:w="1678" w:type="dxa"/>
            <w:shd w:val="clear" w:color="auto" w:fill="auto"/>
            <w:vAlign w:val="bottom"/>
          </w:tcPr>
          <w:p w14:paraId="50E645E8" w14:textId="29603B9E" w:rsidR="00042590" w:rsidRPr="00DC701F" w:rsidRDefault="00042590" w:rsidP="00042590">
            <w:pPr>
              <w:ind w:right="57"/>
              <w:jc w:val="right"/>
              <w:rPr>
                <w:sz w:val="18"/>
                <w:szCs w:val="18"/>
              </w:rPr>
            </w:pPr>
          </w:p>
        </w:tc>
        <w:tc>
          <w:tcPr>
            <w:tcW w:w="112" w:type="dxa"/>
            <w:vAlign w:val="bottom"/>
          </w:tcPr>
          <w:p w14:paraId="2D14C84C" w14:textId="77777777" w:rsidR="00042590" w:rsidRPr="008109D0" w:rsidRDefault="00042590" w:rsidP="00042590">
            <w:pPr>
              <w:ind w:left="318" w:right="57"/>
              <w:jc w:val="right"/>
              <w:rPr>
                <w:sz w:val="18"/>
                <w:szCs w:val="18"/>
              </w:rPr>
            </w:pPr>
          </w:p>
        </w:tc>
        <w:tc>
          <w:tcPr>
            <w:tcW w:w="1678" w:type="dxa"/>
            <w:vAlign w:val="bottom"/>
          </w:tcPr>
          <w:p w14:paraId="1154DE7C" w14:textId="49C73C44" w:rsidR="00042590" w:rsidRPr="008109D0" w:rsidRDefault="00042590" w:rsidP="00042590">
            <w:pPr>
              <w:ind w:right="57"/>
              <w:jc w:val="right"/>
              <w:rPr>
                <w:sz w:val="18"/>
                <w:szCs w:val="18"/>
              </w:rPr>
            </w:pPr>
          </w:p>
        </w:tc>
        <w:tc>
          <w:tcPr>
            <w:tcW w:w="2870" w:type="dxa"/>
          </w:tcPr>
          <w:p w14:paraId="7FE7EA79" w14:textId="34226F32" w:rsidR="00042590" w:rsidRPr="008109D0" w:rsidRDefault="00042590" w:rsidP="00042590">
            <w:pPr>
              <w:numPr>
                <w:ilvl w:val="12"/>
                <w:numId w:val="0"/>
              </w:numPr>
              <w:ind w:right="255"/>
              <w:jc w:val="right"/>
              <w:rPr>
                <w:i/>
                <w:sz w:val="18"/>
                <w:szCs w:val="18"/>
              </w:rPr>
            </w:pPr>
            <w:r w:rsidRPr="008109D0">
              <w:rPr>
                <w:i/>
                <w:sz w:val="18"/>
                <w:szCs w:val="18"/>
              </w:rPr>
              <w:t>Training</w:t>
            </w:r>
          </w:p>
        </w:tc>
      </w:tr>
      <w:tr w:rsidR="00042590" w:rsidRPr="008109D0" w14:paraId="7ADBAD9C" w14:textId="77777777" w:rsidTr="002108FF">
        <w:trPr>
          <w:trHeight w:val="20"/>
        </w:trPr>
        <w:tc>
          <w:tcPr>
            <w:tcW w:w="2859" w:type="dxa"/>
          </w:tcPr>
          <w:p w14:paraId="012A2C2C" w14:textId="77777777" w:rsidR="00042590" w:rsidRPr="008109D0" w:rsidRDefault="00042590" w:rsidP="00042590">
            <w:pPr>
              <w:ind w:left="701"/>
              <w:rPr>
                <w:sz w:val="18"/>
                <w:szCs w:val="18"/>
              </w:rPr>
            </w:pPr>
            <w:r w:rsidRPr="008109D0">
              <w:rPr>
                <w:sz w:val="18"/>
                <w:szCs w:val="18"/>
              </w:rPr>
              <w:t>Pajak final</w:t>
            </w:r>
          </w:p>
        </w:tc>
        <w:tc>
          <w:tcPr>
            <w:tcW w:w="1678" w:type="dxa"/>
            <w:shd w:val="clear" w:color="auto" w:fill="auto"/>
            <w:vAlign w:val="bottom"/>
          </w:tcPr>
          <w:p w14:paraId="49ED38B3" w14:textId="6BDBDE55" w:rsidR="00042590" w:rsidRPr="00DC701F" w:rsidRDefault="00042590" w:rsidP="00042590">
            <w:pPr>
              <w:ind w:right="57"/>
              <w:jc w:val="right"/>
              <w:rPr>
                <w:sz w:val="18"/>
                <w:szCs w:val="18"/>
              </w:rPr>
            </w:pPr>
          </w:p>
        </w:tc>
        <w:tc>
          <w:tcPr>
            <w:tcW w:w="112" w:type="dxa"/>
            <w:vAlign w:val="bottom"/>
          </w:tcPr>
          <w:p w14:paraId="2CA50505" w14:textId="77777777" w:rsidR="00042590" w:rsidRPr="008109D0" w:rsidRDefault="00042590" w:rsidP="00042590">
            <w:pPr>
              <w:ind w:left="318" w:right="57"/>
              <w:jc w:val="right"/>
              <w:rPr>
                <w:sz w:val="18"/>
                <w:szCs w:val="18"/>
              </w:rPr>
            </w:pPr>
          </w:p>
        </w:tc>
        <w:tc>
          <w:tcPr>
            <w:tcW w:w="1678" w:type="dxa"/>
            <w:vAlign w:val="bottom"/>
          </w:tcPr>
          <w:p w14:paraId="51BE5586" w14:textId="7B5FC7A1" w:rsidR="00042590" w:rsidRPr="008109D0" w:rsidRDefault="00042590" w:rsidP="00042590">
            <w:pPr>
              <w:ind w:right="57"/>
              <w:jc w:val="right"/>
              <w:rPr>
                <w:sz w:val="18"/>
                <w:szCs w:val="18"/>
              </w:rPr>
            </w:pPr>
          </w:p>
        </w:tc>
        <w:tc>
          <w:tcPr>
            <w:tcW w:w="2870" w:type="dxa"/>
          </w:tcPr>
          <w:p w14:paraId="0DE3E52D" w14:textId="77777777" w:rsidR="00042590" w:rsidRPr="008109D0" w:rsidRDefault="00042590" w:rsidP="00042590">
            <w:pPr>
              <w:numPr>
                <w:ilvl w:val="12"/>
                <w:numId w:val="0"/>
              </w:numPr>
              <w:ind w:right="255"/>
              <w:jc w:val="right"/>
              <w:rPr>
                <w:i/>
                <w:sz w:val="18"/>
                <w:szCs w:val="18"/>
              </w:rPr>
            </w:pPr>
            <w:r w:rsidRPr="008109D0">
              <w:rPr>
                <w:i/>
                <w:sz w:val="18"/>
                <w:szCs w:val="18"/>
              </w:rPr>
              <w:t>Final tax</w:t>
            </w:r>
          </w:p>
        </w:tc>
      </w:tr>
      <w:tr w:rsidR="00042590" w:rsidRPr="008109D0" w14:paraId="3958EF15" w14:textId="77777777" w:rsidTr="002108FF">
        <w:trPr>
          <w:trHeight w:val="20"/>
        </w:trPr>
        <w:tc>
          <w:tcPr>
            <w:tcW w:w="2859" w:type="dxa"/>
          </w:tcPr>
          <w:p w14:paraId="2ACA4730" w14:textId="77777777" w:rsidR="00042590" w:rsidRPr="008109D0" w:rsidRDefault="00042590" w:rsidP="00042590">
            <w:pPr>
              <w:ind w:left="701"/>
              <w:rPr>
                <w:sz w:val="18"/>
                <w:szCs w:val="18"/>
              </w:rPr>
            </w:pPr>
            <w:r w:rsidRPr="008109D0">
              <w:rPr>
                <w:sz w:val="18"/>
                <w:szCs w:val="18"/>
              </w:rPr>
              <w:t>Bunga</w:t>
            </w:r>
          </w:p>
        </w:tc>
        <w:tc>
          <w:tcPr>
            <w:tcW w:w="1678" w:type="dxa"/>
            <w:shd w:val="clear" w:color="auto" w:fill="auto"/>
            <w:vAlign w:val="bottom"/>
          </w:tcPr>
          <w:p w14:paraId="2D19C173" w14:textId="3EAC33C8" w:rsidR="00042590" w:rsidRPr="00DC701F" w:rsidRDefault="00653A95" w:rsidP="00042590">
            <w:pPr>
              <w:ind w:right="57"/>
              <w:jc w:val="right"/>
              <w:rPr>
                <w:sz w:val="18"/>
                <w:szCs w:val="18"/>
              </w:rPr>
            </w:pPr>
            <w:r w:rsidRPr="00DC701F">
              <w:rPr>
                <w:sz w:val="18"/>
                <w:szCs w:val="18"/>
              </w:rPr>
              <w:t>39.516.967</w:t>
            </w:r>
          </w:p>
        </w:tc>
        <w:tc>
          <w:tcPr>
            <w:tcW w:w="112" w:type="dxa"/>
            <w:vAlign w:val="bottom"/>
          </w:tcPr>
          <w:p w14:paraId="501F176B" w14:textId="77777777" w:rsidR="00042590" w:rsidRPr="008109D0" w:rsidRDefault="00042590" w:rsidP="00042590">
            <w:pPr>
              <w:ind w:left="318" w:right="57"/>
              <w:jc w:val="right"/>
              <w:rPr>
                <w:sz w:val="18"/>
                <w:szCs w:val="18"/>
              </w:rPr>
            </w:pPr>
          </w:p>
        </w:tc>
        <w:tc>
          <w:tcPr>
            <w:tcW w:w="1678" w:type="dxa"/>
            <w:vAlign w:val="bottom"/>
          </w:tcPr>
          <w:p w14:paraId="53D23804" w14:textId="247A5DE8" w:rsidR="00042590" w:rsidRPr="008109D0" w:rsidRDefault="00042590" w:rsidP="00042590">
            <w:pPr>
              <w:ind w:right="57"/>
              <w:jc w:val="right"/>
              <w:rPr>
                <w:sz w:val="18"/>
                <w:szCs w:val="18"/>
              </w:rPr>
            </w:pPr>
          </w:p>
        </w:tc>
        <w:tc>
          <w:tcPr>
            <w:tcW w:w="2870" w:type="dxa"/>
          </w:tcPr>
          <w:p w14:paraId="42BBCA9E" w14:textId="77777777" w:rsidR="00042590" w:rsidRPr="008109D0" w:rsidRDefault="00042590" w:rsidP="00042590">
            <w:pPr>
              <w:numPr>
                <w:ilvl w:val="12"/>
                <w:numId w:val="0"/>
              </w:numPr>
              <w:ind w:right="255"/>
              <w:jc w:val="right"/>
              <w:rPr>
                <w:i/>
                <w:sz w:val="18"/>
                <w:szCs w:val="18"/>
              </w:rPr>
            </w:pPr>
            <w:r w:rsidRPr="008109D0">
              <w:rPr>
                <w:i/>
                <w:sz w:val="18"/>
                <w:szCs w:val="18"/>
              </w:rPr>
              <w:t xml:space="preserve">Interest </w:t>
            </w:r>
          </w:p>
        </w:tc>
      </w:tr>
      <w:tr w:rsidR="00042590" w:rsidRPr="008109D0" w14:paraId="7660EC7B" w14:textId="77777777" w:rsidTr="002108FF">
        <w:trPr>
          <w:trHeight w:val="20"/>
        </w:trPr>
        <w:tc>
          <w:tcPr>
            <w:tcW w:w="2859" w:type="dxa"/>
          </w:tcPr>
          <w:p w14:paraId="33517075" w14:textId="77777777" w:rsidR="00042590" w:rsidRPr="008109D0" w:rsidRDefault="00042590" w:rsidP="00042590">
            <w:pPr>
              <w:ind w:left="701"/>
              <w:rPr>
                <w:sz w:val="18"/>
                <w:szCs w:val="18"/>
              </w:rPr>
            </w:pPr>
            <w:r w:rsidRPr="008109D0">
              <w:rPr>
                <w:sz w:val="18"/>
                <w:szCs w:val="18"/>
              </w:rPr>
              <w:t>Rumah tangga</w:t>
            </w:r>
          </w:p>
        </w:tc>
        <w:tc>
          <w:tcPr>
            <w:tcW w:w="1678" w:type="dxa"/>
            <w:shd w:val="clear" w:color="auto" w:fill="auto"/>
            <w:vAlign w:val="bottom"/>
          </w:tcPr>
          <w:p w14:paraId="5653F652" w14:textId="6918F8B8" w:rsidR="00042590" w:rsidRPr="00DC701F" w:rsidRDefault="00042590" w:rsidP="00042590">
            <w:pPr>
              <w:ind w:right="57"/>
              <w:jc w:val="right"/>
              <w:rPr>
                <w:sz w:val="18"/>
                <w:szCs w:val="18"/>
              </w:rPr>
            </w:pPr>
          </w:p>
        </w:tc>
        <w:tc>
          <w:tcPr>
            <w:tcW w:w="112" w:type="dxa"/>
            <w:vAlign w:val="bottom"/>
          </w:tcPr>
          <w:p w14:paraId="6E1D7C02" w14:textId="77777777" w:rsidR="00042590" w:rsidRPr="008109D0" w:rsidRDefault="00042590" w:rsidP="00042590">
            <w:pPr>
              <w:ind w:left="318" w:right="57"/>
              <w:jc w:val="right"/>
              <w:rPr>
                <w:sz w:val="18"/>
                <w:szCs w:val="18"/>
              </w:rPr>
            </w:pPr>
          </w:p>
        </w:tc>
        <w:tc>
          <w:tcPr>
            <w:tcW w:w="1678" w:type="dxa"/>
            <w:vAlign w:val="bottom"/>
          </w:tcPr>
          <w:p w14:paraId="7C2B38DB" w14:textId="05714ED9" w:rsidR="00042590" w:rsidRPr="008109D0" w:rsidRDefault="00042590" w:rsidP="00042590">
            <w:pPr>
              <w:ind w:right="57"/>
              <w:jc w:val="right"/>
              <w:rPr>
                <w:sz w:val="18"/>
                <w:szCs w:val="18"/>
              </w:rPr>
            </w:pPr>
          </w:p>
        </w:tc>
        <w:tc>
          <w:tcPr>
            <w:tcW w:w="2870" w:type="dxa"/>
          </w:tcPr>
          <w:p w14:paraId="21312B90" w14:textId="77777777" w:rsidR="00042590" w:rsidRPr="008109D0" w:rsidRDefault="00042590" w:rsidP="00042590">
            <w:pPr>
              <w:numPr>
                <w:ilvl w:val="12"/>
                <w:numId w:val="0"/>
              </w:numPr>
              <w:ind w:right="255"/>
              <w:jc w:val="right"/>
              <w:rPr>
                <w:i/>
                <w:sz w:val="18"/>
                <w:szCs w:val="18"/>
              </w:rPr>
            </w:pPr>
            <w:r w:rsidRPr="008109D0">
              <w:rPr>
                <w:i/>
                <w:sz w:val="18"/>
                <w:szCs w:val="18"/>
              </w:rPr>
              <w:t>Household</w:t>
            </w:r>
          </w:p>
        </w:tc>
      </w:tr>
      <w:tr w:rsidR="00042590" w:rsidRPr="008109D0" w14:paraId="6B4861B4" w14:textId="77777777" w:rsidTr="002108FF">
        <w:trPr>
          <w:trHeight w:val="20"/>
        </w:trPr>
        <w:tc>
          <w:tcPr>
            <w:tcW w:w="2859" w:type="dxa"/>
          </w:tcPr>
          <w:p w14:paraId="16302551" w14:textId="77777777" w:rsidR="00042590" w:rsidRPr="008109D0" w:rsidRDefault="00042590" w:rsidP="00042590">
            <w:pPr>
              <w:ind w:left="701"/>
              <w:rPr>
                <w:sz w:val="18"/>
                <w:szCs w:val="18"/>
              </w:rPr>
            </w:pPr>
            <w:r w:rsidRPr="008109D0">
              <w:rPr>
                <w:sz w:val="18"/>
                <w:szCs w:val="18"/>
              </w:rPr>
              <w:t>Renovasi</w:t>
            </w:r>
          </w:p>
        </w:tc>
        <w:tc>
          <w:tcPr>
            <w:tcW w:w="1678" w:type="dxa"/>
            <w:shd w:val="clear" w:color="auto" w:fill="auto"/>
            <w:vAlign w:val="bottom"/>
          </w:tcPr>
          <w:p w14:paraId="50145563" w14:textId="7E0AA20D" w:rsidR="00042590" w:rsidRPr="00DC701F" w:rsidRDefault="00042590" w:rsidP="00042590">
            <w:pPr>
              <w:ind w:right="57"/>
              <w:jc w:val="right"/>
              <w:rPr>
                <w:sz w:val="18"/>
                <w:szCs w:val="18"/>
              </w:rPr>
            </w:pPr>
          </w:p>
        </w:tc>
        <w:tc>
          <w:tcPr>
            <w:tcW w:w="112" w:type="dxa"/>
            <w:vAlign w:val="bottom"/>
          </w:tcPr>
          <w:p w14:paraId="371CA350" w14:textId="77777777" w:rsidR="00042590" w:rsidRPr="008109D0" w:rsidRDefault="00042590" w:rsidP="00042590">
            <w:pPr>
              <w:ind w:left="318" w:right="57"/>
              <w:jc w:val="right"/>
              <w:rPr>
                <w:sz w:val="18"/>
                <w:szCs w:val="18"/>
              </w:rPr>
            </w:pPr>
          </w:p>
        </w:tc>
        <w:tc>
          <w:tcPr>
            <w:tcW w:w="1678" w:type="dxa"/>
            <w:vAlign w:val="bottom"/>
          </w:tcPr>
          <w:p w14:paraId="60B20090" w14:textId="66EA8BD5" w:rsidR="00042590" w:rsidRPr="008109D0" w:rsidRDefault="00042590" w:rsidP="00042590">
            <w:pPr>
              <w:ind w:right="57"/>
              <w:jc w:val="right"/>
              <w:rPr>
                <w:sz w:val="18"/>
                <w:szCs w:val="18"/>
              </w:rPr>
            </w:pPr>
          </w:p>
        </w:tc>
        <w:tc>
          <w:tcPr>
            <w:tcW w:w="2870" w:type="dxa"/>
          </w:tcPr>
          <w:p w14:paraId="27CC7F9D" w14:textId="77777777" w:rsidR="00042590" w:rsidRPr="008109D0" w:rsidRDefault="00042590" w:rsidP="00042590">
            <w:pPr>
              <w:numPr>
                <w:ilvl w:val="12"/>
                <w:numId w:val="0"/>
              </w:numPr>
              <w:ind w:right="255"/>
              <w:jc w:val="right"/>
              <w:rPr>
                <w:i/>
                <w:sz w:val="18"/>
                <w:szCs w:val="18"/>
              </w:rPr>
            </w:pPr>
            <w:r w:rsidRPr="008109D0">
              <w:rPr>
                <w:i/>
                <w:sz w:val="18"/>
                <w:szCs w:val="18"/>
              </w:rPr>
              <w:t>Renovation</w:t>
            </w:r>
          </w:p>
        </w:tc>
      </w:tr>
      <w:tr w:rsidR="00042590" w:rsidRPr="008109D0" w14:paraId="07D37846" w14:textId="77777777" w:rsidTr="002108FF">
        <w:trPr>
          <w:trHeight w:val="20"/>
        </w:trPr>
        <w:tc>
          <w:tcPr>
            <w:tcW w:w="2859" w:type="dxa"/>
          </w:tcPr>
          <w:p w14:paraId="407BD269" w14:textId="77777777" w:rsidR="00042590" w:rsidRPr="008109D0" w:rsidRDefault="00042590" w:rsidP="00042590">
            <w:pPr>
              <w:ind w:left="701"/>
              <w:rPr>
                <w:sz w:val="18"/>
                <w:szCs w:val="18"/>
              </w:rPr>
            </w:pPr>
            <w:r w:rsidRPr="008109D0">
              <w:rPr>
                <w:sz w:val="18"/>
                <w:szCs w:val="18"/>
              </w:rPr>
              <w:t>Makan</w:t>
            </w:r>
          </w:p>
        </w:tc>
        <w:tc>
          <w:tcPr>
            <w:tcW w:w="1678" w:type="dxa"/>
            <w:shd w:val="clear" w:color="auto" w:fill="auto"/>
            <w:vAlign w:val="bottom"/>
          </w:tcPr>
          <w:p w14:paraId="6943F004" w14:textId="78F7CC8C" w:rsidR="00042590" w:rsidRPr="00DC701F" w:rsidRDefault="00042590" w:rsidP="00042590">
            <w:pPr>
              <w:ind w:right="57"/>
              <w:jc w:val="right"/>
              <w:rPr>
                <w:sz w:val="18"/>
                <w:szCs w:val="18"/>
              </w:rPr>
            </w:pPr>
          </w:p>
        </w:tc>
        <w:tc>
          <w:tcPr>
            <w:tcW w:w="112" w:type="dxa"/>
            <w:vAlign w:val="bottom"/>
          </w:tcPr>
          <w:p w14:paraId="6E5BBC8A" w14:textId="77777777" w:rsidR="00042590" w:rsidRPr="008109D0" w:rsidRDefault="00042590" w:rsidP="00042590">
            <w:pPr>
              <w:ind w:left="318" w:right="57"/>
              <w:jc w:val="right"/>
              <w:rPr>
                <w:sz w:val="18"/>
                <w:szCs w:val="18"/>
              </w:rPr>
            </w:pPr>
          </w:p>
        </w:tc>
        <w:tc>
          <w:tcPr>
            <w:tcW w:w="1678" w:type="dxa"/>
            <w:vAlign w:val="bottom"/>
          </w:tcPr>
          <w:p w14:paraId="505CFA56" w14:textId="4F0362A3" w:rsidR="00042590" w:rsidRPr="008109D0" w:rsidRDefault="00042590" w:rsidP="00042590">
            <w:pPr>
              <w:ind w:right="57"/>
              <w:jc w:val="right"/>
              <w:rPr>
                <w:sz w:val="18"/>
                <w:szCs w:val="18"/>
              </w:rPr>
            </w:pPr>
          </w:p>
        </w:tc>
        <w:tc>
          <w:tcPr>
            <w:tcW w:w="2870" w:type="dxa"/>
          </w:tcPr>
          <w:p w14:paraId="19FC86FE" w14:textId="77777777" w:rsidR="00042590" w:rsidRPr="008109D0" w:rsidRDefault="00042590" w:rsidP="00042590">
            <w:pPr>
              <w:numPr>
                <w:ilvl w:val="12"/>
                <w:numId w:val="0"/>
              </w:numPr>
              <w:ind w:right="255"/>
              <w:jc w:val="right"/>
              <w:rPr>
                <w:i/>
                <w:sz w:val="18"/>
                <w:szCs w:val="18"/>
              </w:rPr>
            </w:pPr>
            <w:r w:rsidRPr="008109D0">
              <w:rPr>
                <w:i/>
                <w:sz w:val="18"/>
                <w:szCs w:val="18"/>
              </w:rPr>
              <w:t>Meal</w:t>
            </w:r>
          </w:p>
        </w:tc>
      </w:tr>
      <w:tr w:rsidR="00042590" w:rsidRPr="008109D0" w14:paraId="54E475EB" w14:textId="77777777" w:rsidTr="002108FF">
        <w:trPr>
          <w:trHeight w:val="20"/>
        </w:trPr>
        <w:tc>
          <w:tcPr>
            <w:tcW w:w="2859" w:type="dxa"/>
          </w:tcPr>
          <w:p w14:paraId="4F276BFD" w14:textId="0D74F002" w:rsidR="00042590" w:rsidRPr="008109D0" w:rsidRDefault="00042590" w:rsidP="00042590">
            <w:pPr>
              <w:ind w:left="701"/>
              <w:rPr>
                <w:sz w:val="18"/>
                <w:szCs w:val="18"/>
              </w:rPr>
            </w:pPr>
            <w:r w:rsidRPr="008109D0">
              <w:rPr>
                <w:sz w:val="18"/>
                <w:szCs w:val="18"/>
              </w:rPr>
              <w:t>Perizinan</w:t>
            </w:r>
          </w:p>
        </w:tc>
        <w:tc>
          <w:tcPr>
            <w:tcW w:w="1678" w:type="dxa"/>
            <w:shd w:val="clear" w:color="auto" w:fill="auto"/>
            <w:vAlign w:val="bottom"/>
          </w:tcPr>
          <w:p w14:paraId="3666A958" w14:textId="556F1291" w:rsidR="00042590" w:rsidRPr="00DC701F" w:rsidRDefault="00042590" w:rsidP="00042590">
            <w:pPr>
              <w:ind w:right="57"/>
              <w:jc w:val="right"/>
              <w:rPr>
                <w:sz w:val="18"/>
                <w:szCs w:val="18"/>
              </w:rPr>
            </w:pPr>
          </w:p>
        </w:tc>
        <w:tc>
          <w:tcPr>
            <w:tcW w:w="112" w:type="dxa"/>
            <w:vAlign w:val="bottom"/>
          </w:tcPr>
          <w:p w14:paraId="1B7B660B" w14:textId="77777777" w:rsidR="00042590" w:rsidRPr="008109D0" w:rsidRDefault="00042590" w:rsidP="00042590">
            <w:pPr>
              <w:ind w:left="318" w:right="57"/>
              <w:jc w:val="right"/>
              <w:rPr>
                <w:sz w:val="18"/>
                <w:szCs w:val="18"/>
              </w:rPr>
            </w:pPr>
          </w:p>
        </w:tc>
        <w:tc>
          <w:tcPr>
            <w:tcW w:w="1678" w:type="dxa"/>
            <w:vAlign w:val="bottom"/>
          </w:tcPr>
          <w:p w14:paraId="68067C00" w14:textId="4FEBF582" w:rsidR="00042590" w:rsidRPr="008109D0" w:rsidRDefault="00042590" w:rsidP="00042590">
            <w:pPr>
              <w:ind w:right="57"/>
              <w:jc w:val="right"/>
              <w:rPr>
                <w:sz w:val="18"/>
                <w:szCs w:val="18"/>
              </w:rPr>
            </w:pPr>
          </w:p>
        </w:tc>
        <w:tc>
          <w:tcPr>
            <w:tcW w:w="2870" w:type="dxa"/>
          </w:tcPr>
          <w:p w14:paraId="5BCFFB31" w14:textId="2810AE87" w:rsidR="00042590" w:rsidRPr="008109D0" w:rsidRDefault="00042590" w:rsidP="00042590">
            <w:pPr>
              <w:numPr>
                <w:ilvl w:val="12"/>
                <w:numId w:val="0"/>
              </w:numPr>
              <w:ind w:right="255"/>
              <w:jc w:val="right"/>
              <w:rPr>
                <w:i/>
                <w:sz w:val="18"/>
                <w:szCs w:val="18"/>
              </w:rPr>
            </w:pPr>
            <w:r w:rsidRPr="008109D0">
              <w:rPr>
                <w:i/>
                <w:sz w:val="18"/>
                <w:szCs w:val="18"/>
              </w:rPr>
              <w:t>License and tax</w:t>
            </w:r>
          </w:p>
        </w:tc>
      </w:tr>
      <w:tr w:rsidR="00042590" w:rsidRPr="008109D0" w14:paraId="5E55FB9E" w14:textId="77777777" w:rsidTr="002108FF">
        <w:trPr>
          <w:trHeight w:val="20"/>
        </w:trPr>
        <w:tc>
          <w:tcPr>
            <w:tcW w:w="2859" w:type="dxa"/>
          </w:tcPr>
          <w:p w14:paraId="3757B313" w14:textId="77777777" w:rsidR="00042590" w:rsidRPr="008109D0" w:rsidRDefault="00042590" w:rsidP="00042590">
            <w:pPr>
              <w:ind w:left="701"/>
              <w:rPr>
                <w:sz w:val="18"/>
                <w:szCs w:val="18"/>
              </w:rPr>
            </w:pPr>
            <w:r w:rsidRPr="008109D0">
              <w:rPr>
                <w:sz w:val="18"/>
                <w:szCs w:val="18"/>
              </w:rPr>
              <w:t>Lain-lain</w:t>
            </w:r>
          </w:p>
        </w:tc>
        <w:tc>
          <w:tcPr>
            <w:tcW w:w="1678" w:type="dxa"/>
            <w:shd w:val="clear" w:color="auto" w:fill="auto"/>
            <w:vAlign w:val="bottom"/>
          </w:tcPr>
          <w:p w14:paraId="3A7DC26F" w14:textId="21281A52" w:rsidR="00042590" w:rsidRPr="00DC701F" w:rsidRDefault="00042590" w:rsidP="00042590">
            <w:pPr>
              <w:ind w:right="57"/>
              <w:jc w:val="right"/>
              <w:rPr>
                <w:sz w:val="18"/>
                <w:szCs w:val="18"/>
              </w:rPr>
            </w:pPr>
          </w:p>
        </w:tc>
        <w:tc>
          <w:tcPr>
            <w:tcW w:w="112" w:type="dxa"/>
            <w:vAlign w:val="bottom"/>
          </w:tcPr>
          <w:p w14:paraId="0598F0B3" w14:textId="77777777" w:rsidR="00042590" w:rsidRPr="008109D0" w:rsidRDefault="00042590" w:rsidP="00042590">
            <w:pPr>
              <w:ind w:left="318" w:right="57"/>
              <w:jc w:val="right"/>
              <w:rPr>
                <w:sz w:val="18"/>
                <w:szCs w:val="18"/>
              </w:rPr>
            </w:pPr>
          </w:p>
        </w:tc>
        <w:tc>
          <w:tcPr>
            <w:tcW w:w="1678" w:type="dxa"/>
            <w:vAlign w:val="bottom"/>
          </w:tcPr>
          <w:p w14:paraId="5756A45F" w14:textId="51B30C87" w:rsidR="00042590" w:rsidRPr="008109D0" w:rsidRDefault="003E5EBB" w:rsidP="00042590">
            <w:pPr>
              <w:ind w:right="57"/>
              <w:jc w:val="right"/>
              <w:rPr>
                <w:sz w:val="18"/>
                <w:szCs w:val="18"/>
              </w:rPr>
            </w:pPr>
            <w:r w:rsidRPr="008109D0">
              <w:rPr>
                <w:sz w:val="18"/>
                <w:szCs w:val="18"/>
              </w:rPr>
              <w:t>2.035.470.128</w:t>
            </w:r>
          </w:p>
        </w:tc>
        <w:tc>
          <w:tcPr>
            <w:tcW w:w="2870" w:type="dxa"/>
          </w:tcPr>
          <w:p w14:paraId="31ECA3D5" w14:textId="77777777" w:rsidR="00042590" w:rsidRPr="008109D0" w:rsidRDefault="00042590" w:rsidP="00042590">
            <w:pPr>
              <w:numPr>
                <w:ilvl w:val="12"/>
                <w:numId w:val="0"/>
              </w:numPr>
              <w:ind w:right="255"/>
              <w:jc w:val="right"/>
              <w:rPr>
                <w:i/>
                <w:sz w:val="18"/>
                <w:szCs w:val="18"/>
              </w:rPr>
            </w:pPr>
            <w:r w:rsidRPr="008109D0">
              <w:rPr>
                <w:i/>
                <w:sz w:val="18"/>
                <w:szCs w:val="18"/>
              </w:rPr>
              <w:t>Other</w:t>
            </w:r>
          </w:p>
        </w:tc>
      </w:tr>
      <w:tr w:rsidR="00042590" w:rsidRPr="008109D0" w14:paraId="6C4A0458" w14:textId="77777777" w:rsidTr="002108FF">
        <w:trPr>
          <w:trHeight w:val="20"/>
        </w:trPr>
        <w:tc>
          <w:tcPr>
            <w:tcW w:w="2859" w:type="dxa"/>
          </w:tcPr>
          <w:p w14:paraId="1AA87F6F" w14:textId="11C4E7EE" w:rsidR="00042590" w:rsidRPr="008109D0" w:rsidRDefault="00042590" w:rsidP="00042590">
            <w:pPr>
              <w:ind w:left="701"/>
              <w:rPr>
                <w:sz w:val="18"/>
                <w:szCs w:val="18"/>
              </w:rPr>
            </w:pPr>
            <w:r w:rsidRPr="008109D0">
              <w:rPr>
                <w:sz w:val="18"/>
                <w:szCs w:val="18"/>
              </w:rPr>
              <w:t>Pendapatan bunga</w:t>
            </w:r>
          </w:p>
        </w:tc>
        <w:tc>
          <w:tcPr>
            <w:tcW w:w="1678" w:type="dxa"/>
            <w:shd w:val="clear" w:color="auto" w:fill="auto"/>
            <w:vAlign w:val="bottom"/>
          </w:tcPr>
          <w:p w14:paraId="4D2D8982" w14:textId="0AB3A910" w:rsidR="00042590" w:rsidRPr="00DC701F" w:rsidRDefault="00653A95" w:rsidP="00042590">
            <w:pPr>
              <w:ind w:right="57"/>
              <w:jc w:val="right"/>
              <w:rPr>
                <w:sz w:val="18"/>
                <w:szCs w:val="18"/>
              </w:rPr>
            </w:pPr>
            <w:r w:rsidRPr="00DC701F">
              <w:rPr>
                <w:sz w:val="18"/>
                <w:szCs w:val="18"/>
              </w:rPr>
              <w:t>(2.141.019.069)</w:t>
            </w:r>
          </w:p>
        </w:tc>
        <w:tc>
          <w:tcPr>
            <w:tcW w:w="112" w:type="dxa"/>
            <w:vAlign w:val="bottom"/>
          </w:tcPr>
          <w:p w14:paraId="6701254E" w14:textId="77777777" w:rsidR="00042590" w:rsidRPr="008109D0" w:rsidRDefault="00042590" w:rsidP="00042590">
            <w:pPr>
              <w:ind w:left="318" w:right="57"/>
              <w:jc w:val="right"/>
              <w:rPr>
                <w:sz w:val="18"/>
                <w:szCs w:val="18"/>
              </w:rPr>
            </w:pPr>
          </w:p>
        </w:tc>
        <w:tc>
          <w:tcPr>
            <w:tcW w:w="1678" w:type="dxa"/>
            <w:vAlign w:val="bottom"/>
          </w:tcPr>
          <w:p w14:paraId="3200FC73" w14:textId="29D25D81" w:rsidR="00042590" w:rsidRPr="008109D0" w:rsidRDefault="003E5EBB" w:rsidP="00042590">
            <w:pPr>
              <w:ind w:right="57"/>
              <w:jc w:val="right"/>
              <w:rPr>
                <w:sz w:val="18"/>
                <w:szCs w:val="18"/>
              </w:rPr>
            </w:pPr>
            <w:r w:rsidRPr="008109D0">
              <w:rPr>
                <w:sz w:val="18"/>
                <w:szCs w:val="18"/>
              </w:rPr>
              <w:t>(2.342.488.899)</w:t>
            </w:r>
          </w:p>
        </w:tc>
        <w:tc>
          <w:tcPr>
            <w:tcW w:w="2870" w:type="dxa"/>
          </w:tcPr>
          <w:p w14:paraId="6AE19CD2" w14:textId="72D6FE84" w:rsidR="00042590" w:rsidRPr="008109D0" w:rsidRDefault="00042590" w:rsidP="00042590">
            <w:pPr>
              <w:numPr>
                <w:ilvl w:val="12"/>
                <w:numId w:val="0"/>
              </w:numPr>
              <w:ind w:right="255"/>
              <w:jc w:val="right"/>
              <w:rPr>
                <w:i/>
                <w:sz w:val="18"/>
                <w:szCs w:val="18"/>
              </w:rPr>
            </w:pPr>
            <w:r w:rsidRPr="008109D0">
              <w:rPr>
                <w:i/>
                <w:sz w:val="18"/>
                <w:szCs w:val="18"/>
              </w:rPr>
              <w:t>Interest income</w:t>
            </w:r>
          </w:p>
        </w:tc>
      </w:tr>
      <w:tr w:rsidR="00042590" w:rsidRPr="008109D0" w14:paraId="109A87C1" w14:textId="77777777" w:rsidTr="002108FF">
        <w:trPr>
          <w:trHeight w:val="20"/>
        </w:trPr>
        <w:tc>
          <w:tcPr>
            <w:tcW w:w="2859" w:type="dxa"/>
          </w:tcPr>
          <w:p w14:paraId="6E959EEC" w14:textId="09624028" w:rsidR="00042590" w:rsidRPr="008109D0" w:rsidRDefault="00042590" w:rsidP="00042590">
            <w:pPr>
              <w:ind w:left="701"/>
              <w:rPr>
                <w:sz w:val="18"/>
                <w:szCs w:val="18"/>
              </w:rPr>
            </w:pPr>
            <w:r w:rsidRPr="008109D0">
              <w:rPr>
                <w:sz w:val="18"/>
                <w:szCs w:val="18"/>
              </w:rPr>
              <w:t>Pendapatan sewa</w:t>
            </w:r>
          </w:p>
        </w:tc>
        <w:tc>
          <w:tcPr>
            <w:tcW w:w="1678" w:type="dxa"/>
            <w:shd w:val="clear" w:color="auto" w:fill="auto"/>
            <w:vAlign w:val="bottom"/>
          </w:tcPr>
          <w:p w14:paraId="7CFEC6C8" w14:textId="7E7D6FDA" w:rsidR="00042590" w:rsidRPr="00DC701F" w:rsidRDefault="00653A95" w:rsidP="00042590">
            <w:pPr>
              <w:ind w:right="57"/>
              <w:jc w:val="right"/>
              <w:rPr>
                <w:sz w:val="18"/>
                <w:szCs w:val="18"/>
              </w:rPr>
            </w:pPr>
            <w:r w:rsidRPr="00DC701F">
              <w:rPr>
                <w:sz w:val="18"/>
                <w:szCs w:val="18"/>
              </w:rPr>
              <w:t>(454,329,451)</w:t>
            </w:r>
          </w:p>
        </w:tc>
        <w:tc>
          <w:tcPr>
            <w:tcW w:w="112" w:type="dxa"/>
            <w:vAlign w:val="bottom"/>
          </w:tcPr>
          <w:p w14:paraId="551CDB05" w14:textId="77777777" w:rsidR="00042590" w:rsidRPr="008109D0" w:rsidRDefault="00042590" w:rsidP="00042590">
            <w:pPr>
              <w:ind w:left="318" w:right="57"/>
              <w:jc w:val="right"/>
              <w:rPr>
                <w:sz w:val="18"/>
                <w:szCs w:val="18"/>
              </w:rPr>
            </w:pPr>
          </w:p>
        </w:tc>
        <w:tc>
          <w:tcPr>
            <w:tcW w:w="1678" w:type="dxa"/>
            <w:vAlign w:val="bottom"/>
          </w:tcPr>
          <w:p w14:paraId="4F0B2C1A" w14:textId="75754B5A" w:rsidR="00042590" w:rsidRPr="008109D0" w:rsidRDefault="003E5EBB" w:rsidP="00042590">
            <w:pPr>
              <w:ind w:right="57"/>
              <w:jc w:val="right"/>
              <w:rPr>
                <w:sz w:val="18"/>
                <w:szCs w:val="18"/>
              </w:rPr>
            </w:pPr>
            <w:r w:rsidRPr="008109D0">
              <w:rPr>
                <w:sz w:val="18"/>
                <w:szCs w:val="18"/>
              </w:rPr>
              <w:t>(123.761.588)</w:t>
            </w:r>
          </w:p>
        </w:tc>
        <w:tc>
          <w:tcPr>
            <w:tcW w:w="2870" w:type="dxa"/>
          </w:tcPr>
          <w:p w14:paraId="7AA7C0C0" w14:textId="3CEF1426" w:rsidR="00042590" w:rsidRPr="008109D0" w:rsidRDefault="00042590" w:rsidP="00042590">
            <w:pPr>
              <w:numPr>
                <w:ilvl w:val="12"/>
                <w:numId w:val="0"/>
              </w:numPr>
              <w:ind w:right="255"/>
              <w:jc w:val="right"/>
              <w:rPr>
                <w:i/>
                <w:sz w:val="18"/>
                <w:szCs w:val="18"/>
              </w:rPr>
            </w:pPr>
            <w:r w:rsidRPr="008109D0">
              <w:rPr>
                <w:i/>
                <w:sz w:val="18"/>
                <w:szCs w:val="18"/>
              </w:rPr>
              <w:t>Rent income</w:t>
            </w:r>
          </w:p>
        </w:tc>
      </w:tr>
      <w:tr w:rsidR="00042590" w:rsidRPr="008109D0" w14:paraId="2025ED73" w14:textId="77777777" w:rsidTr="002108FF">
        <w:trPr>
          <w:trHeight w:val="20"/>
        </w:trPr>
        <w:tc>
          <w:tcPr>
            <w:tcW w:w="2859" w:type="dxa"/>
          </w:tcPr>
          <w:p w14:paraId="1356B049" w14:textId="77777777" w:rsidR="00042590" w:rsidRPr="008109D0" w:rsidRDefault="00042590" w:rsidP="00042590">
            <w:pPr>
              <w:ind w:left="631" w:hanging="142"/>
              <w:rPr>
                <w:sz w:val="18"/>
                <w:szCs w:val="18"/>
              </w:rPr>
            </w:pPr>
          </w:p>
        </w:tc>
        <w:tc>
          <w:tcPr>
            <w:tcW w:w="1678" w:type="dxa"/>
            <w:tcBorders>
              <w:top w:val="single" w:sz="4" w:space="0" w:color="auto"/>
            </w:tcBorders>
            <w:shd w:val="clear" w:color="auto" w:fill="auto"/>
            <w:vAlign w:val="bottom"/>
          </w:tcPr>
          <w:p w14:paraId="7FB5AAB2" w14:textId="77777777" w:rsidR="00042590" w:rsidRPr="00DC701F" w:rsidRDefault="00042590" w:rsidP="00042590">
            <w:pPr>
              <w:ind w:right="57"/>
              <w:jc w:val="right"/>
              <w:rPr>
                <w:sz w:val="18"/>
                <w:szCs w:val="18"/>
              </w:rPr>
            </w:pPr>
          </w:p>
        </w:tc>
        <w:tc>
          <w:tcPr>
            <w:tcW w:w="112" w:type="dxa"/>
            <w:vAlign w:val="bottom"/>
          </w:tcPr>
          <w:p w14:paraId="7762681F" w14:textId="77777777" w:rsidR="00042590" w:rsidRPr="008109D0" w:rsidRDefault="00042590" w:rsidP="00042590">
            <w:pPr>
              <w:ind w:left="318" w:right="57"/>
              <w:jc w:val="right"/>
              <w:rPr>
                <w:sz w:val="18"/>
                <w:szCs w:val="18"/>
              </w:rPr>
            </w:pPr>
          </w:p>
        </w:tc>
        <w:tc>
          <w:tcPr>
            <w:tcW w:w="1678" w:type="dxa"/>
            <w:tcBorders>
              <w:top w:val="single" w:sz="4" w:space="0" w:color="auto"/>
            </w:tcBorders>
            <w:vAlign w:val="bottom"/>
          </w:tcPr>
          <w:p w14:paraId="1541580A" w14:textId="77777777" w:rsidR="00042590" w:rsidRPr="008109D0" w:rsidRDefault="00042590" w:rsidP="00042590">
            <w:pPr>
              <w:ind w:right="57"/>
              <w:jc w:val="right"/>
              <w:rPr>
                <w:sz w:val="18"/>
                <w:szCs w:val="18"/>
              </w:rPr>
            </w:pPr>
          </w:p>
        </w:tc>
        <w:tc>
          <w:tcPr>
            <w:tcW w:w="2870" w:type="dxa"/>
            <w:vAlign w:val="bottom"/>
          </w:tcPr>
          <w:p w14:paraId="06DB24F8" w14:textId="77777777" w:rsidR="00042590" w:rsidRPr="008109D0" w:rsidRDefault="00042590" w:rsidP="00042590">
            <w:pPr>
              <w:numPr>
                <w:ilvl w:val="12"/>
                <w:numId w:val="0"/>
              </w:numPr>
              <w:ind w:right="198"/>
              <w:jc w:val="right"/>
              <w:rPr>
                <w:i/>
                <w:sz w:val="18"/>
                <w:szCs w:val="18"/>
              </w:rPr>
            </w:pPr>
          </w:p>
        </w:tc>
      </w:tr>
      <w:tr w:rsidR="00042590" w:rsidRPr="008109D0" w14:paraId="797960E5" w14:textId="77777777" w:rsidTr="002108FF">
        <w:trPr>
          <w:trHeight w:val="20"/>
        </w:trPr>
        <w:tc>
          <w:tcPr>
            <w:tcW w:w="2859" w:type="dxa"/>
          </w:tcPr>
          <w:p w14:paraId="6A1326D2" w14:textId="37C6EFA0" w:rsidR="00042590" w:rsidRPr="008109D0" w:rsidRDefault="00042590" w:rsidP="00042590">
            <w:pPr>
              <w:ind w:left="729" w:hanging="142"/>
              <w:rPr>
                <w:sz w:val="18"/>
                <w:szCs w:val="18"/>
              </w:rPr>
            </w:pPr>
            <w:r w:rsidRPr="008109D0">
              <w:rPr>
                <w:sz w:val="18"/>
                <w:szCs w:val="18"/>
              </w:rPr>
              <w:t>Jumlah beda tetap</w:t>
            </w:r>
          </w:p>
        </w:tc>
        <w:tc>
          <w:tcPr>
            <w:tcW w:w="1678" w:type="dxa"/>
            <w:tcBorders>
              <w:bottom w:val="single" w:sz="4" w:space="0" w:color="auto"/>
            </w:tcBorders>
            <w:shd w:val="clear" w:color="auto" w:fill="auto"/>
            <w:vAlign w:val="bottom"/>
          </w:tcPr>
          <w:p w14:paraId="7BC54284" w14:textId="5B7CB7A1" w:rsidR="00042590" w:rsidRPr="00DC701F" w:rsidRDefault="00653A95" w:rsidP="00042590">
            <w:pPr>
              <w:ind w:right="57"/>
              <w:jc w:val="right"/>
              <w:rPr>
                <w:sz w:val="18"/>
                <w:szCs w:val="18"/>
              </w:rPr>
            </w:pPr>
            <w:r w:rsidRPr="00DC701F">
              <w:rPr>
                <w:sz w:val="18"/>
                <w:szCs w:val="18"/>
              </w:rPr>
              <w:t>(2.462.949.940)</w:t>
            </w:r>
          </w:p>
        </w:tc>
        <w:tc>
          <w:tcPr>
            <w:tcW w:w="112" w:type="dxa"/>
            <w:vAlign w:val="bottom"/>
          </w:tcPr>
          <w:p w14:paraId="5995C84C" w14:textId="77777777" w:rsidR="00042590" w:rsidRPr="008109D0" w:rsidRDefault="00042590" w:rsidP="00042590">
            <w:pPr>
              <w:ind w:left="318" w:right="57"/>
              <w:jc w:val="right"/>
              <w:rPr>
                <w:sz w:val="18"/>
                <w:szCs w:val="18"/>
              </w:rPr>
            </w:pPr>
          </w:p>
        </w:tc>
        <w:tc>
          <w:tcPr>
            <w:tcW w:w="1678" w:type="dxa"/>
            <w:tcBorders>
              <w:bottom w:val="single" w:sz="4" w:space="0" w:color="auto"/>
            </w:tcBorders>
            <w:vAlign w:val="bottom"/>
          </w:tcPr>
          <w:p w14:paraId="6231FFAC" w14:textId="41B5A782" w:rsidR="00042590" w:rsidRPr="008109D0" w:rsidRDefault="003E5EBB" w:rsidP="00042590">
            <w:pPr>
              <w:ind w:right="57"/>
              <w:jc w:val="right"/>
              <w:rPr>
                <w:sz w:val="18"/>
                <w:szCs w:val="18"/>
              </w:rPr>
            </w:pPr>
            <w:r w:rsidRPr="008109D0">
              <w:rPr>
                <w:sz w:val="18"/>
                <w:szCs w:val="18"/>
              </w:rPr>
              <w:t>1.117.792.560</w:t>
            </w:r>
          </w:p>
        </w:tc>
        <w:tc>
          <w:tcPr>
            <w:tcW w:w="2870" w:type="dxa"/>
            <w:vAlign w:val="bottom"/>
          </w:tcPr>
          <w:p w14:paraId="332A5130" w14:textId="429CA34E" w:rsidR="00042590" w:rsidRPr="008109D0" w:rsidRDefault="00042590" w:rsidP="00042590">
            <w:pPr>
              <w:numPr>
                <w:ilvl w:val="12"/>
                <w:numId w:val="0"/>
              </w:numPr>
              <w:ind w:right="193"/>
              <w:jc w:val="right"/>
              <w:rPr>
                <w:i/>
                <w:sz w:val="18"/>
                <w:szCs w:val="18"/>
              </w:rPr>
            </w:pPr>
            <w:r w:rsidRPr="008109D0">
              <w:rPr>
                <w:i/>
                <w:sz w:val="18"/>
                <w:szCs w:val="18"/>
              </w:rPr>
              <w:t>Total permanent differences</w:t>
            </w:r>
          </w:p>
        </w:tc>
      </w:tr>
    </w:tbl>
    <w:p w14:paraId="2BE45BAA" w14:textId="49692338" w:rsidR="008115C6" w:rsidRPr="008109D0" w:rsidRDefault="008115C6">
      <w:r w:rsidRPr="008109D0">
        <w:br w:type="page"/>
      </w:r>
    </w:p>
    <w:p w14:paraId="6178FDB9" w14:textId="77777777" w:rsidR="00DF0115" w:rsidRPr="0030048B" w:rsidRDefault="00DF0115">
      <w:pPr>
        <w:rPr>
          <w:sz w:val="2"/>
          <w:szCs w:val="2"/>
          <w:highlight w:val="yellow"/>
        </w:rPr>
      </w:pPr>
    </w:p>
    <w:tbl>
      <w:tblPr>
        <w:tblW w:w="9219" w:type="dxa"/>
        <w:tblInd w:w="406" w:type="dxa"/>
        <w:tblLayout w:type="fixed"/>
        <w:tblLook w:val="0000" w:firstRow="0" w:lastRow="0" w:firstColumn="0" w:lastColumn="0" w:noHBand="0" w:noVBand="0"/>
      </w:tblPr>
      <w:tblGrid>
        <w:gridCol w:w="4598"/>
        <w:gridCol w:w="11"/>
        <w:gridCol w:w="4588"/>
        <w:gridCol w:w="22"/>
      </w:tblGrid>
      <w:tr w:rsidR="00DF0115" w:rsidRPr="008109D0" w14:paraId="70D03664" w14:textId="77777777" w:rsidTr="002108FF">
        <w:tc>
          <w:tcPr>
            <w:tcW w:w="4609" w:type="dxa"/>
            <w:gridSpan w:val="2"/>
            <w:tcBorders>
              <w:top w:val="nil"/>
              <w:left w:val="nil"/>
              <w:bottom w:val="nil"/>
              <w:right w:val="nil"/>
            </w:tcBorders>
          </w:tcPr>
          <w:p w14:paraId="294A95F3" w14:textId="77777777" w:rsidR="00DF0115" w:rsidRPr="008109D0" w:rsidRDefault="00DF0115" w:rsidP="00070D1F">
            <w:pPr>
              <w:numPr>
                <w:ilvl w:val="0"/>
                <w:numId w:val="325"/>
              </w:numPr>
              <w:ind w:left="284" w:hanging="284"/>
              <w:jc w:val="both"/>
              <w:rPr>
                <w:b/>
                <w:bCs w:val="0"/>
                <w:sz w:val="18"/>
                <w:szCs w:val="18"/>
              </w:rPr>
            </w:pPr>
            <w:r w:rsidRPr="008109D0">
              <w:rPr>
                <w:b/>
                <w:bCs w:val="0"/>
                <w:sz w:val="18"/>
                <w:szCs w:val="18"/>
              </w:rPr>
              <w:br w:type="page"/>
              <w:t>PERPAJAKAN -  Lanjutan</w:t>
            </w:r>
          </w:p>
        </w:tc>
        <w:tc>
          <w:tcPr>
            <w:tcW w:w="4610" w:type="dxa"/>
            <w:gridSpan w:val="2"/>
            <w:tcBorders>
              <w:top w:val="nil"/>
              <w:left w:val="nil"/>
              <w:bottom w:val="nil"/>
              <w:right w:val="nil"/>
            </w:tcBorders>
          </w:tcPr>
          <w:p w14:paraId="2D67590E" w14:textId="77777777" w:rsidR="00DF0115" w:rsidRPr="008109D0" w:rsidRDefault="00DF0115" w:rsidP="00070D1F">
            <w:pPr>
              <w:numPr>
                <w:ilvl w:val="0"/>
                <w:numId w:val="326"/>
              </w:numPr>
              <w:ind w:left="284" w:hanging="284"/>
              <w:jc w:val="both"/>
              <w:rPr>
                <w:b/>
                <w:bCs w:val="0"/>
                <w:i/>
                <w:iCs/>
                <w:sz w:val="18"/>
                <w:szCs w:val="18"/>
              </w:rPr>
            </w:pPr>
            <w:r w:rsidRPr="008109D0">
              <w:rPr>
                <w:b/>
                <w:bCs w:val="0"/>
                <w:i/>
                <w:iCs/>
                <w:sz w:val="18"/>
                <w:szCs w:val="18"/>
              </w:rPr>
              <w:t>TAXATION - Continued</w:t>
            </w:r>
          </w:p>
        </w:tc>
      </w:tr>
      <w:tr w:rsidR="00514792" w:rsidRPr="008109D0" w14:paraId="53C7F77D" w14:textId="77777777" w:rsidTr="002108FF">
        <w:tc>
          <w:tcPr>
            <w:tcW w:w="4609" w:type="dxa"/>
            <w:gridSpan w:val="2"/>
            <w:tcBorders>
              <w:top w:val="nil"/>
              <w:left w:val="nil"/>
              <w:bottom w:val="nil"/>
              <w:right w:val="nil"/>
            </w:tcBorders>
          </w:tcPr>
          <w:p w14:paraId="751D7D58" w14:textId="77777777" w:rsidR="00514792" w:rsidRPr="008109D0" w:rsidRDefault="00514792" w:rsidP="00514792">
            <w:pPr>
              <w:ind w:left="252"/>
              <w:jc w:val="both"/>
              <w:rPr>
                <w:b/>
                <w:bCs w:val="0"/>
                <w:sz w:val="18"/>
                <w:szCs w:val="18"/>
              </w:rPr>
            </w:pPr>
          </w:p>
        </w:tc>
        <w:tc>
          <w:tcPr>
            <w:tcW w:w="4610" w:type="dxa"/>
            <w:gridSpan w:val="2"/>
            <w:tcBorders>
              <w:top w:val="nil"/>
              <w:left w:val="nil"/>
              <w:bottom w:val="nil"/>
              <w:right w:val="nil"/>
            </w:tcBorders>
          </w:tcPr>
          <w:p w14:paraId="075E9D5F" w14:textId="77777777" w:rsidR="00514792" w:rsidRPr="008109D0" w:rsidRDefault="00514792" w:rsidP="00514792">
            <w:pPr>
              <w:ind w:left="252"/>
              <w:jc w:val="both"/>
              <w:rPr>
                <w:b/>
                <w:bCs w:val="0"/>
                <w:i/>
                <w:iCs/>
                <w:sz w:val="18"/>
                <w:szCs w:val="18"/>
              </w:rPr>
            </w:pPr>
          </w:p>
        </w:tc>
      </w:tr>
      <w:tr w:rsidR="00DF0115" w:rsidRPr="008109D0" w14:paraId="23057BDC" w14:textId="77777777" w:rsidTr="002108FF">
        <w:trPr>
          <w:gridAfter w:val="1"/>
          <w:wAfter w:w="22" w:type="dxa"/>
          <w:trHeight w:val="238"/>
        </w:trPr>
        <w:tc>
          <w:tcPr>
            <w:tcW w:w="4598" w:type="dxa"/>
            <w:tcBorders>
              <w:top w:val="nil"/>
              <w:left w:val="nil"/>
              <w:bottom w:val="nil"/>
              <w:right w:val="nil"/>
            </w:tcBorders>
          </w:tcPr>
          <w:p w14:paraId="7EC37F07" w14:textId="4B91620B" w:rsidR="00DF0115" w:rsidRPr="008109D0" w:rsidRDefault="00DF0115" w:rsidP="00070D1F">
            <w:pPr>
              <w:numPr>
                <w:ilvl w:val="0"/>
                <w:numId w:val="353"/>
              </w:numPr>
              <w:ind w:left="550" w:hanging="266"/>
              <w:jc w:val="both"/>
              <w:rPr>
                <w:bCs w:val="0"/>
                <w:sz w:val="18"/>
                <w:szCs w:val="18"/>
              </w:rPr>
            </w:pPr>
            <w:r w:rsidRPr="008109D0">
              <w:rPr>
                <w:bCs w:val="0"/>
                <w:sz w:val="18"/>
                <w:szCs w:val="18"/>
              </w:rPr>
              <w:t xml:space="preserve">Pajak kini </w:t>
            </w:r>
            <w:r w:rsidR="00F77777" w:rsidRPr="008109D0">
              <w:rPr>
                <w:bCs w:val="0"/>
                <w:sz w:val="18"/>
                <w:szCs w:val="18"/>
              </w:rPr>
              <w:t>–</w:t>
            </w:r>
            <w:r w:rsidRPr="008109D0">
              <w:rPr>
                <w:bCs w:val="0"/>
                <w:sz w:val="18"/>
                <w:szCs w:val="18"/>
              </w:rPr>
              <w:t xml:space="preserve"> Lanjutan</w:t>
            </w:r>
          </w:p>
        </w:tc>
        <w:tc>
          <w:tcPr>
            <w:tcW w:w="4599" w:type="dxa"/>
            <w:gridSpan w:val="2"/>
            <w:tcBorders>
              <w:top w:val="nil"/>
              <w:left w:val="nil"/>
              <w:bottom w:val="nil"/>
              <w:right w:val="nil"/>
            </w:tcBorders>
          </w:tcPr>
          <w:p w14:paraId="2CED348B" w14:textId="77777777" w:rsidR="00DF0115" w:rsidRPr="008109D0" w:rsidRDefault="00DF0115" w:rsidP="00070D1F">
            <w:pPr>
              <w:numPr>
                <w:ilvl w:val="0"/>
                <w:numId w:val="354"/>
              </w:numPr>
              <w:ind w:left="550" w:hanging="266"/>
              <w:jc w:val="both"/>
              <w:rPr>
                <w:bCs w:val="0"/>
                <w:i/>
                <w:iCs/>
                <w:sz w:val="18"/>
                <w:szCs w:val="18"/>
              </w:rPr>
            </w:pPr>
            <w:r w:rsidRPr="008109D0">
              <w:rPr>
                <w:bCs w:val="0"/>
                <w:i/>
                <w:iCs/>
                <w:sz w:val="18"/>
                <w:szCs w:val="18"/>
              </w:rPr>
              <w:t>Current tax - Continued</w:t>
            </w:r>
          </w:p>
        </w:tc>
      </w:tr>
    </w:tbl>
    <w:p w14:paraId="52779C2E" w14:textId="77777777" w:rsidR="00DF0115" w:rsidRPr="008109D0" w:rsidRDefault="00DF0115">
      <w:pPr>
        <w:rPr>
          <w:sz w:val="14"/>
          <w:szCs w:val="14"/>
        </w:rPr>
      </w:pPr>
    </w:p>
    <w:tbl>
      <w:tblPr>
        <w:tblW w:w="9197" w:type="dxa"/>
        <w:tblInd w:w="406" w:type="dxa"/>
        <w:tblCellMar>
          <w:left w:w="0" w:type="dxa"/>
          <w:right w:w="0" w:type="dxa"/>
        </w:tblCellMar>
        <w:tblLook w:val="01E0" w:firstRow="1" w:lastRow="1" w:firstColumn="1" w:lastColumn="1" w:noHBand="0" w:noVBand="0"/>
      </w:tblPr>
      <w:tblGrid>
        <w:gridCol w:w="2860"/>
        <w:gridCol w:w="1679"/>
        <w:gridCol w:w="108"/>
        <w:gridCol w:w="1679"/>
        <w:gridCol w:w="2871"/>
      </w:tblGrid>
      <w:tr w:rsidR="003E5EBB" w:rsidRPr="008109D0" w14:paraId="33FA1BE1" w14:textId="77777777" w:rsidTr="002108FF">
        <w:trPr>
          <w:trHeight w:val="130"/>
        </w:trPr>
        <w:tc>
          <w:tcPr>
            <w:tcW w:w="2860" w:type="dxa"/>
          </w:tcPr>
          <w:p w14:paraId="0C206884" w14:textId="77777777" w:rsidR="003E5EBB" w:rsidRPr="008109D0" w:rsidRDefault="003E5EBB" w:rsidP="003E5EBB">
            <w:pPr>
              <w:ind w:left="524"/>
              <w:rPr>
                <w:sz w:val="18"/>
                <w:szCs w:val="18"/>
              </w:rPr>
            </w:pPr>
          </w:p>
        </w:tc>
        <w:tc>
          <w:tcPr>
            <w:tcW w:w="1679" w:type="dxa"/>
            <w:tcBorders>
              <w:bottom w:val="single" w:sz="4" w:space="0" w:color="auto"/>
            </w:tcBorders>
          </w:tcPr>
          <w:p w14:paraId="55A9EE19" w14:textId="77777777" w:rsidR="003E5EBB" w:rsidRPr="008109D0" w:rsidRDefault="003E5EBB" w:rsidP="003E5EBB">
            <w:pPr>
              <w:jc w:val="center"/>
              <w:rPr>
                <w:b/>
                <w:sz w:val="18"/>
                <w:szCs w:val="18"/>
              </w:rPr>
            </w:pPr>
            <w:r w:rsidRPr="008109D0">
              <w:rPr>
                <w:b/>
                <w:sz w:val="18"/>
                <w:szCs w:val="18"/>
              </w:rPr>
              <w:t>31 Maret/</w:t>
            </w:r>
          </w:p>
          <w:p w14:paraId="52564B38" w14:textId="59055767" w:rsidR="003E5EBB" w:rsidRPr="008109D0" w:rsidRDefault="003E5EBB" w:rsidP="003E5EBB">
            <w:pPr>
              <w:jc w:val="center"/>
              <w:rPr>
                <w:b/>
                <w:sz w:val="18"/>
                <w:szCs w:val="18"/>
                <w:lang w:val="id-ID"/>
              </w:rPr>
            </w:pPr>
            <w:r w:rsidRPr="008109D0">
              <w:rPr>
                <w:b/>
                <w:sz w:val="18"/>
                <w:szCs w:val="18"/>
              </w:rPr>
              <w:t>March 31</w:t>
            </w:r>
            <w:r w:rsidR="00305CA0">
              <w:rPr>
                <w:b/>
                <w:sz w:val="18"/>
                <w:szCs w:val="18"/>
              </w:rPr>
              <w:t>.</w:t>
            </w:r>
            <w:r w:rsidRPr="008109D0">
              <w:rPr>
                <w:b/>
                <w:sz w:val="18"/>
                <w:szCs w:val="18"/>
              </w:rPr>
              <w:t xml:space="preserve"> 2020</w:t>
            </w:r>
          </w:p>
        </w:tc>
        <w:tc>
          <w:tcPr>
            <w:tcW w:w="108" w:type="dxa"/>
          </w:tcPr>
          <w:p w14:paraId="5390972F" w14:textId="77777777" w:rsidR="003E5EBB" w:rsidRPr="008109D0" w:rsidRDefault="003E5EBB" w:rsidP="003E5EBB">
            <w:pPr>
              <w:rPr>
                <w:b/>
                <w:sz w:val="18"/>
                <w:szCs w:val="18"/>
              </w:rPr>
            </w:pPr>
          </w:p>
        </w:tc>
        <w:tc>
          <w:tcPr>
            <w:tcW w:w="1679" w:type="dxa"/>
            <w:tcBorders>
              <w:bottom w:val="single" w:sz="4" w:space="0" w:color="auto"/>
            </w:tcBorders>
          </w:tcPr>
          <w:p w14:paraId="174B7281" w14:textId="77777777" w:rsidR="003E5EBB" w:rsidRPr="008109D0" w:rsidRDefault="003E5EBB" w:rsidP="003E5EBB">
            <w:pPr>
              <w:jc w:val="center"/>
              <w:rPr>
                <w:b/>
                <w:sz w:val="18"/>
                <w:szCs w:val="18"/>
              </w:rPr>
            </w:pPr>
            <w:r w:rsidRPr="008109D0">
              <w:rPr>
                <w:b/>
                <w:sz w:val="18"/>
                <w:szCs w:val="18"/>
              </w:rPr>
              <w:t>31 Maret/</w:t>
            </w:r>
          </w:p>
          <w:p w14:paraId="6D04B8DE" w14:textId="687134B2" w:rsidR="003E5EBB" w:rsidRPr="008109D0" w:rsidRDefault="003E5EBB" w:rsidP="003E5EBB">
            <w:pPr>
              <w:jc w:val="center"/>
              <w:rPr>
                <w:b/>
                <w:sz w:val="18"/>
                <w:szCs w:val="18"/>
              </w:rPr>
            </w:pPr>
            <w:r w:rsidRPr="008109D0">
              <w:rPr>
                <w:b/>
                <w:sz w:val="18"/>
                <w:szCs w:val="18"/>
              </w:rPr>
              <w:t>March 31</w:t>
            </w:r>
            <w:r w:rsidR="00305CA0">
              <w:rPr>
                <w:b/>
                <w:sz w:val="18"/>
                <w:szCs w:val="18"/>
              </w:rPr>
              <w:t>.</w:t>
            </w:r>
            <w:r w:rsidRPr="008109D0">
              <w:rPr>
                <w:b/>
                <w:sz w:val="18"/>
                <w:szCs w:val="18"/>
              </w:rPr>
              <w:t xml:space="preserve"> 2019</w:t>
            </w:r>
          </w:p>
        </w:tc>
        <w:tc>
          <w:tcPr>
            <w:tcW w:w="2871" w:type="dxa"/>
          </w:tcPr>
          <w:p w14:paraId="693511D6" w14:textId="77777777" w:rsidR="003E5EBB" w:rsidRPr="008109D0" w:rsidRDefault="003E5EBB" w:rsidP="003E5EBB">
            <w:pPr>
              <w:ind w:right="34"/>
              <w:jc w:val="right"/>
              <w:rPr>
                <w:i/>
                <w:sz w:val="18"/>
                <w:szCs w:val="18"/>
              </w:rPr>
            </w:pPr>
          </w:p>
        </w:tc>
      </w:tr>
      <w:tr w:rsidR="001017E5" w:rsidRPr="008109D0" w14:paraId="169FA7DE" w14:textId="77777777" w:rsidTr="002108FF">
        <w:trPr>
          <w:trHeight w:val="20"/>
        </w:trPr>
        <w:tc>
          <w:tcPr>
            <w:tcW w:w="2860" w:type="dxa"/>
          </w:tcPr>
          <w:p w14:paraId="3598ACB7" w14:textId="68DF3801" w:rsidR="001017E5" w:rsidRPr="008109D0" w:rsidRDefault="001017E5" w:rsidP="0013526B">
            <w:pPr>
              <w:ind w:left="567" w:hanging="142"/>
              <w:rPr>
                <w:sz w:val="10"/>
                <w:szCs w:val="10"/>
              </w:rPr>
            </w:pPr>
          </w:p>
        </w:tc>
        <w:tc>
          <w:tcPr>
            <w:tcW w:w="1679" w:type="dxa"/>
            <w:shd w:val="clear" w:color="auto" w:fill="auto"/>
            <w:vAlign w:val="bottom"/>
          </w:tcPr>
          <w:p w14:paraId="3D26B62E" w14:textId="2FA85C07" w:rsidR="001017E5" w:rsidRPr="008109D0" w:rsidRDefault="001017E5" w:rsidP="009068C1">
            <w:pPr>
              <w:ind w:right="57"/>
              <w:jc w:val="right"/>
              <w:rPr>
                <w:sz w:val="10"/>
                <w:szCs w:val="10"/>
              </w:rPr>
            </w:pPr>
          </w:p>
        </w:tc>
        <w:tc>
          <w:tcPr>
            <w:tcW w:w="108" w:type="dxa"/>
            <w:vAlign w:val="bottom"/>
          </w:tcPr>
          <w:p w14:paraId="1127EA6A" w14:textId="77777777" w:rsidR="001017E5" w:rsidRPr="008109D0" w:rsidRDefault="001017E5" w:rsidP="0013526B">
            <w:pPr>
              <w:ind w:left="318" w:right="57"/>
              <w:jc w:val="right"/>
              <w:rPr>
                <w:sz w:val="10"/>
                <w:szCs w:val="10"/>
              </w:rPr>
            </w:pPr>
          </w:p>
        </w:tc>
        <w:tc>
          <w:tcPr>
            <w:tcW w:w="1679" w:type="dxa"/>
            <w:vAlign w:val="bottom"/>
          </w:tcPr>
          <w:p w14:paraId="4358A6F8" w14:textId="13975519" w:rsidR="001017E5" w:rsidRPr="008109D0" w:rsidRDefault="001017E5" w:rsidP="0013526B">
            <w:pPr>
              <w:ind w:right="57"/>
              <w:jc w:val="right"/>
              <w:rPr>
                <w:sz w:val="10"/>
                <w:szCs w:val="10"/>
              </w:rPr>
            </w:pPr>
          </w:p>
        </w:tc>
        <w:tc>
          <w:tcPr>
            <w:tcW w:w="2871" w:type="dxa"/>
            <w:vAlign w:val="bottom"/>
          </w:tcPr>
          <w:p w14:paraId="3B0A565B" w14:textId="4E6F0172" w:rsidR="001017E5" w:rsidRPr="008109D0" w:rsidRDefault="001017E5" w:rsidP="001017E5">
            <w:pPr>
              <w:numPr>
                <w:ilvl w:val="12"/>
                <w:numId w:val="0"/>
              </w:numPr>
              <w:ind w:right="196"/>
              <w:jc w:val="right"/>
              <w:rPr>
                <w:i/>
                <w:sz w:val="10"/>
                <w:szCs w:val="10"/>
              </w:rPr>
            </w:pPr>
          </w:p>
        </w:tc>
      </w:tr>
      <w:tr w:rsidR="00042590" w:rsidRPr="008109D0" w14:paraId="278C5A40" w14:textId="77777777" w:rsidTr="002108FF">
        <w:trPr>
          <w:trHeight w:val="20"/>
        </w:trPr>
        <w:tc>
          <w:tcPr>
            <w:tcW w:w="2860" w:type="dxa"/>
          </w:tcPr>
          <w:p w14:paraId="5A256AE8" w14:textId="185CDEEE" w:rsidR="00042590" w:rsidRPr="008109D0" w:rsidRDefault="00042590" w:rsidP="00042590">
            <w:pPr>
              <w:ind w:left="772" w:hanging="142"/>
              <w:rPr>
                <w:sz w:val="18"/>
                <w:szCs w:val="18"/>
              </w:rPr>
            </w:pPr>
            <w:r w:rsidRPr="008109D0">
              <w:rPr>
                <w:sz w:val="18"/>
                <w:szCs w:val="18"/>
              </w:rPr>
              <w:t xml:space="preserve">Laba </w:t>
            </w:r>
            <w:r w:rsidR="00BF449E" w:rsidRPr="008109D0">
              <w:rPr>
                <w:sz w:val="18"/>
                <w:szCs w:val="18"/>
              </w:rPr>
              <w:t>(</w:t>
            </w:r>
            <w:r w:rsidRPr="008109D0">
              <w:rPr>
                <w:sz w:val="18"/>
                <w:szCs w:val="18"/>
              </w:rPr>
              <w:t>rugi</w:t>
            </w:r>
            <w:r w:rsidR="00BF449E" w:rsidRPr="008109D0">
              <w:rPr>
                <w:sz w:val="18"/>
                <w:szCs w:val="18"/>
              </w:rPr>
              <w:t>)</w:t>
            </w:r>
            <w:r w:rsidRPr="008109D0">
              <w:rPr>
                <w:sz w:val="18"/>
                <w:szCs w:val="18"/>
              </w:rPr>
              <w:t xml:space="preserve"> kena pajak Perusahaan tahun berjalan</w:t>
            </w:r>
          </w:p>
        </w:tc>
        <w:tc>
          <w:tcPr>
            <w:tcW w:w="1679" w:type="dxa"/>
            <w:shd w:val="clear" w:color="auto" w:fill="auto"/>
            <w:vAlign w:val="bottom"/>
          </w:tcPr>
          <w:p w14:paraId="68831D1F" w14:textId="7618E6D0" w:rsidR="00042590" w:rsidRPr="00DC701F" w:rsidRDefault="00653A95" w:rsidP="00042590">
            <w:pPr>
              <w:ind w:right="57"/>
              <w:jc w:val="right"/>
              <w:rPr>
                <w:sz w:val="18"/>
                <w:szCs w:val="18"/>
              </w:rPr>
            </w:pPr>
            <w:r w:rsidRPr="00DC701F">
              <w:rPr>
                <w:sz w:val="18"/>
                <w:szCs w:val="18"/>
              </w:rPr>
              <w:t>4,253,575,461</w:t>
            </w:r>
          </w:p>
        </w:tc>
        <w:tc>
          <w:tcPr>
            <w:tcW w:w="108" w:type="dxa"/>
            <w:vAlign w:val="bottom"/>
          </w:tcPr>
          <w:p w14:paraId="09011C1C" w14:textId="77777777" w:rsidR="00042590" w:rsidRPr="008109D0" w:rsidRDefault="00042590" w:rsidP="00042590">
            <w:pPr>
              <w:ind w:left="318" w:right="57"/>
              <w:jc w:val="right"/>
              <w:rPr>
                <w:sz w:val="18"/>
                <w:szCs w:val="18"/>
              </w:rPr>
            </w:pPr>
          </w:p>
        </w:tc>
        <w:tc>
          <w:tcPr>
            <w:tcW w:w="1679" w:type="dxa"/>
            <w:vAlign w:val="bottom"/>
          </w:tcPr>
          <w:p w14:paraId="0AA01C97" w14:textId="091A4945" w:rsidR="00042590" w:rsidRPr="008109D0" w:rsidRDefault="00BF449E" w:rsidP="00042590">
            <w:pPr>
              <w:ind w:right="57"/>
              <w:jc w:val="right"/>
              <w:rPr>
                <w:sz w:val="18"/>
                <w:szCs w:val="18"/>
              </w:rPr>
            </w:pPr>
            <w:r w:rsidRPr="008109D0">
              <w:rPr>
                <w:sz w:val="18"/>
                <w:szCs w:val="18"/>
              </w:rPr>
              <w:t>(</w:t>
            </w:r>
            <w:r w:rsidR="003E5EBB" w:rsidRPr="008109D0">
              <w:rPr>
                <w:sz w:val="18"/>
                <w:szCs w:val="18"/>
              </w:rPr>
              <w:t>13.334.838.666</w:t>
            </w:r>
            <w:r w:rsidRPr="008109D0">
              <w:rPr>
                <w:sz w:val="18"/>
                <w:szCs w:val="18"/>
              </w:rPr>
              <w:t>)</w:t>
            </w:r>
          </w:p>
        </w:tc>
        <w:tc>
          <w:tcPr>
            <w:tcW w:w="2871" w:type="dxa"/>
            <w:vAlign w:val="bottom"/>
          </w:tcPr>
          <w:p w14:paraId="671B2F66" w14:textId="7602A1C2" w:rsidR="00042590" w:rsidRPr="008109D0" w:rsidRDefault="00042590" w:rsidP="00042590">
            <w:pPr>
              <w:numPr>
                <w:ilvl w:val="12"/>
                <w:numId w:val="0"/>
              </w:numPr>
              <w:jc w:val="right"/>
              <w:rPr>
                <w:i/>
                <w:sz w:val="18"/>
                <w:szCs w:val="18"/>
              </w:rPr>
            </w:pPr>
            <w:r w:rsidRPr="008109D0">
              <w:rPr>
                <w:i/>
                <w:sz w:val="18"/>
                <w:szCs w:val="18"/>
              </w:rPr>
              <w:t xml:space="preserve">Taxable profit </w:t>
            </w:r>
            <w:r w:rsidR="00BF449E" w:rsidRPr="008109D0">
              <w:rPr>
                <w:i/>
                <w:sz w:val="18"/>
                <w:szCs w:val="18"/>
              </w:rPr>
              <w:t>(</w:t>
            </w:r>
            <w:r w:rsidRPr="008109D0">
              <w:rPr>
                <w:i/>
                <w:sz w:val="18"/>
                <w:szCs w:val="18"/>
              </w:rPr>
              <w:t>loss</w:t>
            </w:r>
            <w:r w:rsidR="00BF449E" w:rsidRPr="008109D0">
              <w:rPr>
                <w:i/>
                <w:sz w:val="18"/>
                <w:szCs w:val="18"/>
              </w:rPr>
              <w:t>)</w:t>
            </w:r>
            <w:r w:rsidRPr="008109D0">
              <w:rPr>
                <w:i/>
                <w:sz w:val="18"/>
                <w:szCs w:val="18"/>
              </w:rPr>
              <w:t xml:space="preserve"> of</w:t>
            </w:r>
          </w:p>
          <w:p w14:paraId="3B758C18" w14:textId="3B4FE367" w:rsidR="00042590" w:rsidRPr="008109D0" w:rsidRDefault="00042590" w:rsidP="00042590">
            <w:pPr>
              <w:numPr>
                <w:ilvl w:val="12"/>
                <w:numId w:val="0"/>
              </w:numPr>
              <w:ind w:right="113"/>
              <w:jc w:val="right"/>
              <w:rPr>
                <w:i/>
                <w:sz w:val="18"/>
                <w:szCs w:val="18"/>
              </w:rPr>
            </w:pPr>
            <w:r w:rsidRPr="008109D0">
              <w:rPr>
                <w:i/>
                <w:sz w:val="18"/>
                <w:szCs w:val="18"/>
              </w:rPr>
              <w:t xml:space="preserve"> the Company for the year</w:t>
            </w:r>
          </w:p>
        </w:tc>
      </w:tr>
      <w:tr w:rsidR="00042590" w:rsidRPr="008109D0" w14:paraId="6C2E8179" w14:textId="77777777" w:rsidTr="002108FF">
        <w:trPr>
          <w:trHeight w:val="20"/>
        </w:trPr>
        <w:tc>
          <w:tcPr>
            <w:tcW w:w="2860" w:type="dxa"/>
          </w:tcPr>
          <w:p w14:paraId="05F7BC14" w14:textId="7BBD4199" w:rsidR="00042590" w:rsidRPr="008109D0" w:rsidRDefault="00042590" w:rsidP="00042590">
            <w:pPr>
              <w:ind w:left="772" w:hanging="142"/>
              <w:rPr>
                <w:sz w:val="18"/>
                <w:szCs w:val="18"/>
              </w:rPr>
            </w:pPr>
            <w:r w:rsidRPr="008109D0">
              <w:rPr>
                <w:sz w:val="18"/>
                <w:szCs w:val="18"/>
              </w:rPr>
              <w:t>Rugi kena pajak Perusahaan tahun sebelumnya</w:t>
            </w:r>
          </w:p>
        </w:tc>
        <w:tc>
          <w:tcPr>
            <w:tcW w:w="1679" w:type="dxa"/>
            <w:shd w:val="clear" w:color="auto" w:fill="auto"/>
            <w:vAlign w:val="bottom"/>
          </w:tcPr>
          <w:p w14:paraId="0BF7093C" w14:textId="4F398C2A" w:rsidR="00042590" w:rsidRPr="00DC701F" w:rsidRDefault="00042590" w:rsidP="00042590">
            <w:pPr>
              <w:ind w:right="57"/>
              <w:jc w:val="right"/>
              <w:rPr>
                <w:sz w:val="18"/>
                <w:szCs w:val="18"/>
              </w:rPr>
            </w:pPr>
          </w:p>
        </w:tc>
        <w:tc>
          <w:tcPr>
            <w:tcW w:w="108" w:type="dxa"/>
            <w:vAlign w:val="bottom"/>
          </w:tcPr>
          <w:p w14:paraId="1F29FE98" w14:textId="77777777" w:rsidR="00042590" w:rsidRPr="008109D0" w:rsidRDefault="00042590" w:rsidP="00042590">
            <w:pPr>
              <w:ind w:left="318" w:right="57"/>
              <w:jc w:val="right"/>
              <w:rPr>
                <w:sz w:val="18"/>
                <w:szCs w:val="18"/>
              </w:rPr>
            </w:pPr>
          </w:p>
        </w:tc>
        <w:tc>
          <w:tcPr>
            <w:tcW w:w="1679" w:type="dxa"/>
            <w:vAlign w:val="bottom"/>
          </w:tcPr>
          <w:p w14:paraId="2918BEC0" w14:textId="1D59E8AC" w:rsidR="00042590" w:rsidRPr="008109D0" w:rsidRDefault="00BF449E" w:rsidP="00042590">
            <w:pPr>
              <w:ind w:right="57"/>
              <w:jc w:val="right"/>
              <w:rPr>
                <w:sz w:val="18"/>
                <w:szCs w:val="18"/>
              </w:rPr>
            </w:pPr>
            <w:r w:rsidRPr="008109D0">
              <w:rPr>
                <w:sz w:val="18"/>
                <w:szCs w:val="18"/>
              </w:rPr>
              <w:t>(</w:t>
            </w:r>
            <w:r w:rsidR="003E5EBB" w:rsidRPr="008109D0">
              <w:rPr>
                <w:sz w:val="18"/>
                <w:szCs w:val="18"/>
              </w:rPr>
              <w:t>8.520.728.793</w:t>
            </w:r>
            <w:r w:rsidRPr="008109D0">
              <w:rPr>
                <w:sz w:val="18"/>
                <w:szCs w:val="18"/>
              </w:rPr>
              <w:t>)</w:t>
            </w:r>
          </w:p>
        </w:tc>
        <w:tc>
          <w:tcPr>
            <w:tcW w:w="2871" w:type="dxa"/>
            <w:vAlign w:val="bottom"/>
          </w:tcPr>
          <w:p w14:paraId="487178E3" w14:textId="77777777" w:rsidR="00042590" w:rsidRPr="008109D0" w:rsidRDefault="00042590" w:rsidP="00042590">
            <w:pPr>
              <w:numPr>
                <w:ilvl w:val="12"/>
                <w:numId w:val="0"/>
              </w:numPr>
              <w:jc w:val="right"/>
              <w:rPr>
                <w:i/>
                <w:sz w:val="18"/>
                <w:szCs w:val="18"/>
              </w:rPr>
            </w:pPr>
            <w:r w:rsidRPr="008109D0">
              <w:rPr>
                <w:i/>
                <w:sz w:val="18"/>
                <w:szCs w:val="18"/>
              </w:rPr>
              <w:t>Tax loss of the Company from the</w:t>
            </w:r>
          </w:p>
          <w:p w14:paraId="355A81B3" w14:textId="6B0F63B8" w:rsidR="00042590" w:rsidRPr="008109D0" w:rsidRDefault="00042590" w:rsidP="00042590">
            <w:pPr>
              <w:numPr>
                <w:ilvl w:val="12"/>
                <w:numId w:val="0"/>
              </w:numPr>
              <w:ind w:right="113"/>
              <w:jc w:val="right"/>
              <w:rPr>
                <w:i/>
                <w:sz w:val="18"/>
                <w:szCs w:val="18"/>
              </w:rPr>
            </w:pPr>
            <w:r w:rsidRPr="008109D0">
              <w:rPr>
                <w:i/>
                <w:sz w:val="18"/>
                <w:szCs w:val="18"/>
              </w:rPr>
              <w:t>previous year</w:t>
            </w:r>
          </w:p>
        </w:tc>
      </w:tr>
      <w:tr w:rsidR="00042590" w:rsidRPr="008109D0" w14:paraId="7BDF4121" w14:textId="77777777" w:rsidTr="002108FF">
        <w:trPr>
          <w:trHeight w:val="20"/>
        </w:trPr>
        <w:tc>
          <w:tcPr>
            <w:tcW w:w="2860" w:type="dxa"/>
          </w:tcPr>
          <w:p w14:paraId="339400D4" w14:textId="704AF691" w:rsidR="00042590" w:rsidRPr="008109D0" w:rsidRDefault="00042590" w:rsidP="00042590">
            <w:pPr>
              <w:ind w:left="772" w:hanging="142"/>
              <w:rPr>
                <w:sz w:val="18"/>
                <w:szCs w:val="18"/>
              </w:rPr>
            </w:pPr>
            <w:r w:rsidRPr="008109D0">
              <w:rPr>
                <w:sz w:val="18"/>
                <w:szCs w:val="18"/>
              </w:rPr>
              <w:t>Koreksi DJP</w:t>
            </w:r>
          </w:p>
        </w:tc>
        <w:tc>
          <w:tcPr>
            <w:tcW w:w="1679" w:type="dxa"/>
            <w:tcBorders>
              <w:bottom w:val="single" w:sz="4" w:space="0" w:color="auto"/>
            </w:tcBorders>
            <w:shd w:val="clear" w:color="auto" w:fill="auto"/>
            <w:vAlign w:val="bottom"/>
          </w:tcPr>
          <w:p w14:paraId="4FF0A034" w14:textId="6DC310AE" w:rsidR="00042590" w:rsidRPr="00DC701F" w:rsidRDefault="00042590" w:rsidP="00042590">
            <w:pPr>
              <w:ind w:right="57"/>
              <w:jc w:val="right"/>
              <w:rPr>
                <w:sz w:val="18"/>
                <w:szCs w:val="18"/>
              </w:rPr>
            </w:pPr>
          </w:p>
        </w:tc>
        <w:tc>
          <w:tcPr>
            <w:tcW w:w="108" w:type="dxa"/>
            <w:vAlign w:val="bottom"/>
          </w:tcPr>
          <w:p w14:paraId="5D3EC6E7" w14:textId="77777777" w:rsidR="00042590" w:rsidRPr="008109D0" w:rsidRDefault="00042590" w:rsidP="00042590">
            <w:pPr>
              <w:ind w:left="318" w:right="57"/>
              <w:jc w:val="right"/>
              <w:rPr>
                <w:sz w:val="18"/>
                <w:szCs w:val="18"/>
              </w:rPr>
            </w:pPr>
          </w:p>
        </w:tc>
        <w:tc>
          <w:tcPr>
            <w:tcW w:w="1679" w:type="dxa"/>
            <w:tcBorders>
              <w:bottom w:val="single" w:sz="4" w:space="0" w:color="auto"/>
            </w:tcBorders>
            <w:vAlign w:val="bottom"/>
          </w:tcPr>
          <w:p w14:paraId="4C6167DB" w14:textId="771F82EF" w:rsidR="00042590" w:rsidRPr="008109D0" w:rsidRDefault="003E5EBB" w:rsidP="00042590">
            <w:pPr>
              <w:ind w:right="57"/>
              <w:jc w:val="right"/>
              <w:rPr>
                <w:sz w:val="18"/>
                <w:szCs w:val="18"/>
              </w:rPr>
            </w:pPr>
            <w:r w:rsidRPr="008109D0">
              <w:rPr>
                <w:sz w:val="18"/>
                <w:szCs w:val="18"/>
              </w:rPr>
              <w:t>-</w:t>
            </w:r>
          </w:p>
        </w:tc>
        <w:tc>
          <w:tcPr>
            <w:tcW w:w="2871" w:type="dxa"/>
            <w:vAlign w:val="bottom"/>
          </w:tcPr>
          <w:p w14:paraId="4FDA1187" w14:textId="24607280" w:rsidR="00042590" w:rsidRPr="008109D0" w:rsidRDefault="00042590" w:rsidP="00042590">
            <w:pPr>
              <w:numPr>
                <w:ilvl w:val="12"/>
                <w:numId w:val="0"/>
              </w:numPr>
              <w:jc w:val="right"/>
              <w:rPr>
                <w:i/>
                <w:sz w:val="18"/>
                <w:szCs w:val="18"/>
              </w:rPr>
            </w:pPr>
            <w:r w:rsidRPr="008109D0">
              <w:rPr>
                <w:i/>
                <w:sz w:val="18"/>
                <w:szCs w:val="18"/>
              </w:rPr>
              <w:t>Tax office correction</w:t>
            </w:r>
          </w:p>
        </w:tc>
      </w:tr>
      <w:tr w:rsidR="00042590" w:rsidRPr="008109D0" w14:paraId="2DC575A5" w14:textId="77777777" w:rsidTr="002108FF">
        <w:trPr>
          <w:trHeight w:val="20"/>
        </w:trPr>
        <w:tc>
          <w:tcPr>
            <w:tcW w:w="2860" w:type="dxa"/>
          </w:tcPr>
          <w:p w14:paraId="3ED28E11" w14:textId="77777777" w:rsidR="00042590" w:rsidRPr="008109D0" w:rsidRDefault="00042590" w:rsidP="00042590">
            <w:pPr>
              <w:ind w:left="772" w:hanging="142"/>
              <w:rPr>
                <w:sz w:val="18"/>
                <w:szCs w:val="18"/>
              </w:rPr>
            </w:pPr>
          </w:p>
        </w:tc>
        <w:tc>
          <w:tcPr>
            <w:tcW w:w="1679" w:type="dxa"/>
            <w:tcBorders>
              <w:top w:val="single" w:sz="4" w:space="0" w:color="auto"/>
            </w:tcBorders>
            <w:shd w:val="clear" w:color="auto" w:fill="auto"/>
            <w:vAlign w:val="bottom"/>
          </w:tcPr>
          <w:p w14:paraId="2EA0FE6A" w14:textId="77777777" w:rsidR="00042590" w:rsidRPr="00DC701F" w:rsidRDefault="00042590" w:rsidP="00042590">
            <w:pPr>
              <w:ind w:right="57"/>
              <w:jc w:val="right"/>
              <w:rPr>
                <w:sz w:val="18"/>
                <w:szCs w:val="18"/>
              </w:rPr>
            </w:pPr>
          </w:p>
        </w:tc>
        <w:tc>
          <w:tcPr>
            <w:tcW w:w="108" w:type="dxa"/>
            <w:vAlign w:val="bottom"/>
          </w:tcPr>
          <w:p w14:paraId="714CF2FC" w14:textId="77777777" w:rsidR="00042590" w:rsidRPr="008109D0" w:rsidRDefault="00042590" w:rsidP="00042590">
            <w:pPr>
              <w:ind w:left="318" w:right="57"/>
              <w:jc w:val="right"/>
              <w:rPr>
                <w:sz w:val="18"/>
                <w:szCs w:val="18"/>
              </w:rPr>
            </w:pPr>
          </w:p>
        </w:tc>
        <w:tc>
          <w:tcPr>
            <w:tcW w:w="1679" w:type="dxa"/>
            <w:tcBorders>
              <w:top w:val="single" w:sz="4" w:space="0" w:color="auto"/>
            </w:tcBorders>
            <w:vAlign w:val="bottom"/>
          </w:tcPr>
          <w:p w14:paraId="30129C84" w14:textId="77777777" w:rsidR="00042590" w:rsidRPr="008109D0" w:rsidRDefault="00042590" w:rsidP="00042590">
            <w:pPr>
              <w:ind w:right="57"/>
              <w:jc w:val="right"/>
              <w:rPr>
                <w:sz w:val="18"/>
                <w:szCs w:val="18"/>
              </w:rPr>
            </w:pPr>
          </w:p>
        </w:tc>
        <w:tc>
          <w:tcPr>
            <w:tcW w:w="2871" w:type="dxa"/>
            <w:vAlign w:val="bottom"/>
          </w:tcPr>
          <w:p w14:paraId="550B4E3E" w14:textId="77777777" w:rsidR="00042590" w:rsidRPr="008109D0" w:rsidRDefault="00042590" w:rsidP="00042590">
            <w:pPr>
              <w:numPr>
                <w:ilvl w:val="12"/>
                <w:numId w:val="0"/>
              </w:numPr>
              <w:ind w:right="198"/>
              <w:jc w:val="right"/>
              <w:rPr>
                <w:i/>
                <w:sz w:val="18"/>
                <w:szCs w:val="18"/>
              </w:rPr>
            </w:pPr>
          </w:p>
        </w:tc>
      </w:tr>
      <w:tr w:rsidR="00042590" w:rsidRPr="008109D0" w14:paraId="54312812" w14:textId="77777777" w:rsidTr="0078108A">
        <w:trPr>
          <w:trHeight w:val="20"/>
        </w:trPr>
        <w:tc>
          <w:tcPr>
            <w:tcW w:w="2860" w:type="dxa"/>
          </w:tcPr>
          <w:p w14:paraId="5DC66AF7" w14:textId="51E9BB99" w:rsidR="00042590" w:rsidRPr="008109D0" w:rsidRDefault="00042590" w:rsidP="00042590">
            <w:pPr>
              <w:ind w:left="772" w:hanging="142"/>
              <w:rPr>
                <w:sz w:val="18"/>
                <w:szCs w:val="18"/>
              </w:rPr>
            </w:pPr>
            <w:r w:rsidRPr="008109D0">
              <w:rPr>
                <w:sz w:val="18"/>
                <w:szCs w:val="18"/>
              </w:rPr>
              <w:t>Akumulasi laba (rugi) fiskal</w:t>
            </w:r>
          </w:p>
        </w:tc>
        <w:tc>
          <w:tcPr>
            <w:tcW w:w="1679" w:type="dxa"/>
            <w:tcBorders>
              <w:bottom w:val="double" w:sz="4" w:space="0" w:color="auto"/>
            </w:tcBorders>
            <w:shd w:val="clear" w:color="auto" w:fill="auto"/>
            <w:vAlign w:val="bottom"/>
          </w:tcPr>
          <w:p w14:paraId="2002700E" w14:textId="3F32E791" w:rsidR="00042590" w:rsidRPr="00DC701F" w:rsidRDefault="00653A95" w:rsidP="00042590">
            <w:pPr>
              <w:ind w:right="57"/>
              <w:jc w:val="right"/>
              <w:rPr>
                <w:b/>
                <w:bCs w:val="0"/>
                <w:sz w:val="18"/>
                <w:szCs w:val="18"/>
              </w:rPr>
            </w:pPr>
            <w:r w:rsidRPr="00DC701F">
              <w:rPr>
                <w:sz w:val="18"/>
                <w:szCs w:val="18"/>
              </w:rPr>
              <w:t>4,253,575,461</w:t>
            </w:r>
          </w:p>
        </w:tc>
        <w:tc>
          <w:tcPr>
            <w:tcW w:w="108" w:type="dxa"/>
            <w:vAlign w:val="bottom"/>
          </w:tcPr>
          <w:p w14:paraId="18919943" w14:textId="77777777" w:rsidR="00042590" w:rsidRPr="008109D0" w:rsidRDefault="00042590" w:rsidP="00042590">
            <w:pPr>
              <w:ind w:left="318" w:right="57"/>
              <w:jc w:val="right"/>
              <w:rPr>
                <w:sz w:val="18"/>
                <w:szCs w:val="18"/>
              </w:rPr>
            </w:pPr>
          </w:p>
        </w:tc>
        <w:tc>
          <w:tcPr>
            <w:tcW w:w="1679" w:type="dxa"/>
            <w:tcBorders>
              <w:bottom w:val="double" w:sz="4" w:space="0" w:color="auto"/>
            </w:tcBorders>
            <w:vAlign w:val="bottom"/>
          </w:tcPr>
          <w:p w14:paraId="24B16074" w14:textId="4E176275" w:rsidR="00042590" w:rsidRPr="008109D0" w:rsidRDefault="00BF449E" w:rsidP="00042590">
            <w:pPr>
              <w:ind w:right="57"/>
              <w:jc w:val="right"/>
              <w:rPr>
                <w:b/>
                <w:bCs w:val="0"/>
                <w:sz w:val="18"/>
                <w:szCs w:val="18"/>
              </w:rPr>
            </w:pPr>
            <w:r w:rsidRPr="008109D0">
              <w:rPr>
                <w:b/>
                <w:bCs w:val="0"/>
                <w:sz w:val="18"/>
                <w:szCs w:val="18"/>
              </w:rPr>
              <w:t>(</w:t>
            </w:r>
            <w:r w:rsidR="003E5EBB" w:rsidRPr="008109D0">
              <w:rPr>
                <w:b/>
                <w:bCs w:val="0"/>
                <w:sz w:val="18"/>
                <w:szCs w:val="18"/>
              </w:rPr>
              <w:t>21.855.567.461</w:t>
            </w:r>
            <w:r w:rsidRPr="008109D0">
              <w:rPr>
                <w:b/>
                <w:bCs w:val="0"/>
                <w:sz w:val="18"/>
                <w:szCs w:val="18"/>
              </w:rPr>
              <w:t>)</w:t>
            </w:r>
          </w:p>
        </w:tc>
        <w:tc>
          <w:tcPr>
            <w:tcW w:w="2871" w:type="dxa"/>
            <w:vAlign w:val="bottom"/>
          </w:tcPr>
          <w:p w14:paraId="43CE160F" w14:textId="693085B8" w:rsidR="00042590" w:rsidRPr="008109D0" w:rsidRDefault="00042590" w:rsidP="00042590">
            <w:pPr>
              <w:numPr>
                <w:ilvl w:val="12"/>
                <w:numId w:val="0"/>
              </w:numPr>
              <w:jc w:val="right"/>
              <w:rPr>
                <w:i/>
                <w:sz w:val="18"/>
                <w:szCs w:val="18"/>
              </w:rPr>
            </w:pPr>
            <w:r w:rsidRPr="008109D0">
              <w:rPr>
                <w:i/>
                <w:sz w:val="18"/>
                <w:szCs w:val="18"/>
              </w:rPr>
              <w:t>Accumulated fiscal (loss) income</w:t>
            </w:r>
          </w:p>
        </w:tc>
      </w:tr>
      <w:tr w:rsidR="00042590" w:rsidRPr="008109D0" w14:paraId="7CB74B29" w14:textId="77777777" w:rsidTr="0078108A">
        <w:trPr>
          <w:trHeight w:val="20"/>
        </w:trPr>
        <w:tc>
          <w:tcPr>
            <w:tcW w:w="2860" w:type="dxa"/>
          </w:tcPr>
          <w:p w14:paraId="7CDB2695" w14:textId="5BE643B5" w:rsidR="00042590" w:rsidRPr="008109D0" w:rsidRDefault="00042590" w:rsidP="00042590">
            <w:pPr>
              <w:ind w:left="866" w:hanging="240"/>
              <w:rPr>
                <w:sz w:val="18"/>
                <w:szCs w:val="18"/>
              </w:rPr>
            </w:pPr>
            <w:r w:rsidRPr="008109D0">
              <w:rPr>
                <w:sz w:val="18"/>
                <w:szCs w:val="18"/>
              </w:rPr>
              <w:t>Pembulatan</w:t>
            </w:r>
          </w:p>
        </w:tc>
        <w:tc>
          <w:tcPr>
            <w:tcW w:w="1679" w:type="dxa"/>
            <w:tcBorders>
              <w:top w:val="double" w:sz="4" w:space="0" w:color="auto"/>
              <w:bottom w:val="single" w:sz="4" w:space="0" w:color="auto"/>
            </w:tcBorders>
            <w:shd w:val="clear" w:color="auto" w:fill="auto"/>
            <w:vAlign w:val="bottom"/>
          </w:tcPr>
          <w:p w14:paraId="7E641F7B" w14:textId="639CE7E9" w:rsidR="00042590" w:rsidRPr="00DC701F" w:rsidRDefault="00042590" w:rsidP="00042590">
            <w:pPr>
              <w:ind w:right="57"/>
              <w:jc w:val="right"/>
              <w:rPr>
                <w:b/>
                <w:bCs w:val="0"/>
                <w:sz w:val="18"/>
                <w:szCs w:val="18"/>
              </w:rPr>
            </w:pPr>
          </w:p>
        </w:tc>
        <w:tc>
          <w:tcPr>
            <w:tcW w:w="108" w:type="dxa"/>
            <w:vAlign w:val="bottom"/>
          </w:tcPr>
          <w:p w14:paraId="6218AD8A" w14:textId="77777777" w:rsidR="00042590" w:rsidRPr="008109D0" w:rsidRDefault="00042590" w:rsidP="00042590">
            <w:pPr>
              <w:ind w:left="318" w:right="57"/>
              <w:jc w:val="right"/>
              <w:rPr>
                <w:sz w:val="18"/>
                <w:szCs w:val="18"/>
              </w:rPr>
            </w:pPr>
          </w:p>
        </w:tc>
        <w:tc>
          <w:tcPr>
            <w:tcW w:w="1679" w:type="dxa"/>
            <w:tcBorders>
              <w:top w:val="double" w:sz="4" w:space="0" w:color="auto"/>
              <w:bottom w:val="single" w:sz="4" w:space="0" w:color="auto"/>
            </w:tcBorders>
            <w:vAlign w:val="bottom"/>
          </w:tcPr>
          <w:p w14:paraId="67C66AB6" w14:textId="79E2012E" w:rsidR="00042590" w:rsidRPr="008109D0" w:rsidRDefault="00042590" w:rsidP="00042590">
            <w:pPr>
              <w:ind w:right="57"/>
              <w:jc w:val="right"/>
              <w:rPr>
                <w:sz w:val="18"/>
                <w:szCs w:val="18"/>
              </w:rPr>
            </w:pPr>
          </w:p>
        </w:tc>
        <w:tc>
          <w:tcPr>
            <w:tcW w:w="2871" w:type="dxa"/>
            <w:vAlign w:val="bottom"/>
          </w:tcPr>
          <w:p w14:paraId="41F8B151" w14:textId="74A59142" w:rsidR="00042590" w:rsidRPr="008109D0" w:rsidRDefault="00042590" w:rsidP="00042590">
            <w:pPr>
              <w:numPr>
                <w:ilvl w:val="12"/>
                <w:numId w:val="0"/>
              </w:numPr>
              <w:ind w:right="55"/>
              <w:jc w:val="right"/>
              <w:rPr>
                <w:i/>
                <w:sz w:val="18"/>
                <w:szCs w:val="18"/>
              </w:rPr>
            </w:pPr>
            <w:r w:rsidRPr="008109D0">
              <w:rPr>
                <w:i/>
                <w:sz w:val="18"/>
                <w:szCs w:val="18"/>
              </w:rPr>
              <w:t>Rounding</w:t>
            </w:r>
          </w:p>
        </w:tc>
      </w:tr>
      <w:tr w:rsidR="003D3674" w:rsidRPr="008109D0" w14:paraId="42B0A576" w14:textId="77777777" w:rsidTr="0078108A">
        <w:trPr>
          <w:trHeight w:val="20"/>
        </w:trPr>
        <w:tc>
          <w:tcPr>
            <w:tcW w:w="2860" w:type="dxa"/>
          </w:tcPr>
          <w:p w14:paraId="7A871933" w14:textId="77777777" w:rsidR="003D3674" w:rsidRPr="008109D0" w:rsidRDefault="003D3674" w:rsidP="0013526B">
            <w:pPr>
              <w:ind w:left="425" w:hanging="142"/>
              <w:rPr>
                <w:sz w:val="18"/>
                <w:szCs w:val="18"/>
              </w:rPr>
            </w:pPr>
          </w:p>
        </w:tc>
        <w:tc>
          <w:tcPr>
            <w:tcW w:w="1679" w:type="dxa"/>
            <w:tcBorders>
              <w:top w:val="single" w:sz="4" w:space="0" w:color="auto"/>
            </w:tcBorders>
            <w:shd w:val="clear" w:color="auto" w:fill="auto"/>
            <w:vAlign w:val="bottom"/>
          </w:tcPr>
          <w:p w14:paraId="2BDEAB7F" w14:textId="77777777" w:rsidR="003D3674" w:rsidRPr="00DC701F" w:rsidRDefault="003D3674" w:rsidP="0013526B">
            <w:pPr>
              <w:ind w:right="57"/>
              <w:jc w:val="right"/>
              <w:rPr>
                <w:sz w:val="18"/>
                <w:szCs w:val="18"/>
              </w:rPr>
            </w:pPr>
          </w:p>
        </w:tc>
        <w:tc>
          <w:tcPr>
            <w:tcW w:w="108" w:type="dxa"/>
            <w:vAlign w:val="bottom"/>
          </w:tcPr>
          <w:p w14:paraId="1865E541" w14:textId="77777777" w:rsidR="003D3674" w:rsidRPr="008109D0" w:rsidRDefault="003D3674" w:rsidP="0013526B">
            <w:pPr>
              <w:ind w:left="318" w:right="57"/>
              <w:jc w:val="right"/>
              <w:rPr>
                <w:sz w:val="18"/>
                <w:szCs w:val="18"/>
              </w:rPr>
            </w:pPr>
          </w:p>
        </w:tc>
        <w:tc>
          <w:tcPr>
            <w:tcW w:w="1679" w:type="dxa"/>
            <w:tcBorders>
              <w:top w:val="single" w:sz="4" w:space="0" w:color="auto"/>
            </w:tcBorders>
            <w:vAlign w:val="bottom"/>
          </w:tcPr>
          <w:p w14:paraId="1818B858" w14:textId="77777777" w:rsidR="003D3674" w:rsidRPr="008109D0" w:rsidRDefault="003D3674" w:rsidP="0013526B">
            <w:pPr>
              <w:ind w:right="57"/>
              <w:jc w:val="right"/>
              <w:rPr>
                <w:sz w:val="18"/>
                <w:szCs w:val="18"/>
              </w:rPr>
            </w:pPr>
          </w:p>
        </w:tc>
        <w:tc>
          <w:tcPr>
            <w:tcW w:w="2871" w:type="dxa"/>
            <w:vAlign w:val="bottom"/>
          </w:tcPr>
          <w:p w14:paraId="0764D79F" w14:textId="77777777" w:rsidR="003D3674" w:rsidRPr="008109D0" w:rsidRDefault="003D3674" w:rsidP="0013526B">
            <w:pPr>
              <w:numPr>
                <w:ilvl w:val="12"/>
                <w:numId w:val="0"/>
              </w:numPr>
              <w:ind w:right="55"/>
              <w:jc w:val="right"/>
              <w:rPr>
                <w:i/>
                <w:sz w:val="18"/>
                <w:szCs w:val="18"/>
              </w:rPr>
            </w:pPr>
          </w:p>
        </w:tc>
      </w:tr>
      <w:tr w:rsidR="00E278BD" w:rsidRPr="008109D0" w14:paraId="120876C5" w14:textId="77777777" w:rsidTr="002108FF">
        <w:trPr>
          <w:trHeight w:val="20"/>
        </w:trPr>
        <w:tc>
          <w:tcPr>
            <w:tcW w:w="2860" w:type="dxa"/>
          </w:tcPr>
          <w:p w14:paraId="55FD1083" w14:textId="77777777" w:rsidR="00E278BD" w:rsidRPr="008109D0" w:rsidRDefault="00E278BD" w:rsidP="0013526B">
            <w:pPr>
              <w:ind w:left="425" w:hanging="142"/>
              <w:rPr>
                <w:sz w:val="18"/>
                <w:szCs w:val="18"/>
              </w:rPr>
            </w:pPr>
          </w:p>
        </w:tc>
        <w:tc>
          <w:tcPr>
            <w:tcW w:w="1679" w:type="dxa"/>
            <w:shd w:val="clear" w:color="auto" w:fill="auto"/>
            <w:vAlign w:val="bottom"/>
          </w:tcPr>
          <w:p w14:paraId="686F4B47" w14:textId="77777777" w:rsidR="00E278BD" w:rsidRPr="00DC701F" w:rsidRDefault="00E278BD" w:rsidP="0013526B">
            <w:pPr>
              <w:ind w:right="57"/>
              <w:jc w:val="right"/>
              <w:rPr>
                <w:sz w:val="18"/>
                <w:szCs w:val="18"/>
              </w:rPr>
            </w:pPr>
          </w:p>
        </w:tc>
        <w:tc>
          <w:tcPr>
            <w:tcW w:w="108" w:type="dxa"/>
            <w:vAlign w:val="bottom"/>
          </w:tcPr>
          <w:p w14:paraId="10A7CCE5" w14:textId="77777777" w:rsidR="00E278BD" w:rsidRPr="008109D0" w:rsidRDefault="00E278BD" w:rsidP="0013526B">
            <w:pPr>
              <w:ind w:left="318" w:right="57"/>
              <w:jc w:val="right"/>
              <w:rPr>
                <w:sz w:val="18"/>
                <w:szCs w:val="18"/>
              </w:rPr>
            </w:pPr>
          </w:p>
        </w:tc>
        <w:tc>
          <w:tcPr>
            <w:tcW w:w="1679" w:type="dxa"/>
            <w:vAlign w:val="bottom"/>
          </w:tcPr>
          <w:p w14:paraId="106C2877" w14:textId="77777777" w:rsidR="00E278BD" w:rsidRPr="008109D0" w:rsidRDefault="00E278BD" w:rsidP="0013526B">
            <w:pPr>
              <w:ind w:right="57"/>
              <w:jc w:val="right"/>
              <w:rPr>
                <w:sz w:val="18"/>
                <w:szCs w:val="18"/>
              </w:rPr>
            </w:pPr>
          </w:p>
        </w:tc>
        <w:tc>
          <w:tcPr>
            <w:tcW w:w="2871" w:type="dxa"/>
            <w:vAlign w:val="bottom"/>
          </w:tcPr>
          <w:p w14:paraId="20590458" w14:textId="77777777" w:rsidR="00E278BD" w:rsidRPr="008109D0" w:rsidRDefault="00E278BD" w:rsidP="0013526B">
            <w:pPr>
              <w:numPr>
                <w:ilvl w:val="12"/>
                <w:numId w:val="0"/>
              </w:numPr>
              <w:ind w:right="55"/>
              <w:jc w:val="right"/>
              <w:rPr>
                <w:i/>
                <w:sz w:val="18"/>
                <w:szCs w:val="18"/>
              </w:rPr>
            </w:pPr>
          </w:p>
        </w:tc>
      </w:tr>
      <w:tr w:rsidR="00E278BD" w:rsidRPr="008109D0" w14:paraId="6BF2DEA4" w14:textId="77777777" w:rsidTr="002108FF">
        <w:trPr>
          <w:trHeight w:val="20"/>
        </w:trPr>
        <w:tc>
          <w:tcPr>
            <w:tcW w:w="2860" w:type="dxa"/>
          </w:tcPr>
          <w:p w14:paraId="76EE7E7C" w14:textId="44837678" w:rsidR="00E278BD" w:rsidRPr="009F6D69" w:rsidRDefault="00E278BD" w:rsidP="00E278BD">
            <w:pPr>
              <w:ind w:left="758" w:hanging="142"/>
              <w:rPr>
                <w:sz w:val="18"/>
                <w:szCs w:val="18"/>
                <w:u w:val="single"/>
              </w:rPr>
            </w:pPr>
            <w:r w:rsidRPr="009F6D69">
              <w:rPr>
                <w:sz w:val="18"/>
                <w:szCs w:val="18"/>
                <w:u w:val="single"/>
              </w:rPr>
              <w:t>Tarif pajak berlaku</w:t>
            </w:r>
          </w:p>
        </w:tc>
        <w:tc>
          <w:tcPr>
            <w:tcW w:w="1679" w:type="dxa"/>
            <w:shd w:val="clear" w:color="auto" w:fill="auto"/>
            <w:vAlign w:val="bottom"/>
          </w:tcPr>
          <w:p w14:paraId="367764B1" w14:textId="77777777" w:rsidR="00E278BD" w:rsidRPr="00DC701F" w:rsidRDefault="00E278BD" w:rsidP="0013526B">
            <w:pPr>
              <w:ind w:right="57"/>
              <w:jc w:val="right"/>
              <w:rPr>
                <w:sz w:val="18"/>
                <w:szCs w:val="18"/>
              </w:rPr>
            </w:pPr>
          </w:p>
        </w:tc>
        <w:tc>
          <w:tcPr>
            <w:tcW w:w="108" w:type="dxa"/>
            <w:vAlign w:val="bottom"/>
          </w:tcPr>
          <w:p w14:paraId="1D5EA7B4" w14:textId="77777777" w:rsidR="00E278BD" w:rsidRPr="008109D0" w:rsidRDefault="00E278BD" w:rsidP="0013526B">
            <w:pPr>
              <w:ind w:left="318" w:right="57"/>
              <w:jc w:val="right"/>
              <w:rPr>
                <w:sz w:val="18"/>
                <w:szCs w:val="18"/>
              </w:rPr>
            </w:pPr>
          </w:p>
        </w:tc>
        <w:tc>
          <w:tcPr>
            <w:tcW w:w="1679" w:type="dxa"/>
            <w:vAlign w:val="bottom"/>
          </w:tcPr>
          <w:p w14:paraId="53547038" w14:textId="77777777" w:rsidR="00E278BD" w:rsidRPr="008109D0" w:rsidRDefault="00E278BD" w:rsidP="0013526B">
            <w:pPr>
              <w:ind w:right="57"/>
              <w:jc w:val="right"/>
              <w:rPr>
                <w:sz w:val="18"/>
                <w:szCs w:val="18"/>
              </w:rPr>
            </w:pPr>
          </w:p>
        </w:tc>
        <w:tc>
          <w:tcPr>
            <w:tcW w:w="2871" w:type="dxa"/>
            <w:vAlign w:val="bottom"/>
          </w:tcPr>
          <w:p w14:paraId="6961E74A" w14:textId="2906D460" w:rsidR="00E278BD" w:rsidRPr="008109D0" w:rsidRDefault="00E278BD" w:rsidP="0013526B">
            <w:pPr>
              <w:numPr>
                <w:ilvl w:val="12"/>
                <w:numId w:val="0"/>
              </w:numPr>
              <w:ind w:right="55"/>
              <w:jc w:val="right"/>
              <w:rPr>
                <w:i/>
                <w:sz w:val="18"/>
                <w:szCs w:val="18"/>
                <w:u w:val="single"/>
              </w:rPr>
            </w:pPr>
            <w:r w:rsidRPr="008109D0">
              <w:rPr>
                <w:i/>
                <w:sz w:val="18"/>
                <w:szCs w:val="18"/>
                <w:u w:val="single"/>
              </w:rPr>
              <w:t>Tax rate ap</w:t>
            </w:r>
            <w:r w:rsidR="005C232A">
              <w:rPr>
                <w:i/>
                <w:sz w:val="18"/>
                <w:szCs w:val="18"/>
                <w:u w:val="single"/>
                <w:lang w:val="id-ID"/>
              </w:rPr>
              <w:t>pli</w:t>
            </w:r>
            <w:r w:rsidRPr="008109D0">
              <w:rPr>
                <w:i/>
                <w:sz w:val="18"/>
                <w:szCs w:val="18"/>
                <w:u w:val="single"/>
              </w:rPr>
              <w:t>cable</w:t>
            </w:r>
          </w:p>
        </w:tc>
      </w:tr>
      <w:tr w:rsidR="00042590" w:rsidRPr="008109D0" w14:paraId="0BBC07DC" w14:textId="77777777" w:rsidTr="002108FF">
        <w:trPr>
          <w:trHeight w:val="20"/>
        </w:trPr>
        <w:tc>
          <w:tcPr>
            <w:tcW w:w="2860" w:type="dxa"/>
          </w:tcPr>
          <w:p w14:paraId="0A901705" w14:textId="09D0BF6C" w:rsidR="00042590" w:rsidRPr="009F6D69" w:rsidRDefault="00F378A6" w:rsidP="00042590">
            <w:pPr>
              <w:ind w:left="758" w:hanging="142"/>
              <w:rPr>
                <w:sz w:val="18"/>
                <w:szCs w:val="18"/>
              </w:rPr>
            </w:pPr>
            <w:r w:rsidRPr="009F6D69">
              <w:rPr>
                <w:sz w:val="18"/>
                <w:szCs w:val="18"/>
              </w:rPr>
              <w:t>2020</w:t>
            </w:r>
            <w:r w:rsidR="00042590" w:rsidRPr="009F6D69">
              <w:rPr>
                <w:sz w:val="18"/>
                <w:szCs w:val="18"/>
              </w:rPr>
              <w:t xml:space="preserve"> : </w:t>
            </w:r>
            <w:r w:rsidR="00B665E4" w:rsidRPr="009F6D69">
              <w:rPr>
                <w:sz w:val="18"/>
                <w:szCs w:val="18"/>
              </w:rPr>
              <w:t>30%x (</w:t>
            </w:r>
            <w:r w:rsidR="005C232A" w:rsidRPr="009F6D69">
              <w:rPr>
                <w:sz w:val="18"/>
                <w:szCs w:val="18"/>
              </w:rPr>
              <w:t>2</w:t>
            </w:r>
            <w:r w:rsidR="005C232A" w:rsidRPr="009F6D69">
              <w:rPr>
                <w:sz w:val="18"/>
                <w:szCs w:val="18"/>
                <w:lang w:val="id-ID"/>
              </w:rPr>
              <w:t>2</w:t>
            </w:r>
            <w:r w:rsidR="00042590" w:rsidRPr="009F6D69">
              <w:rPr>
                <w:sz w:val="18"/>
                <w:szCs w:val="18"/>
              </w:rPr>
              <w:t xml:space="preserve">% x </w:t>
            </w:r>
          </w:p>
          <w:p w14:paraId="48B56400" w14:textId="2F845B49" w:rsidR="00042590" w:rsidRPr="009F6D69" w:rsidRDefault="00042590" w:rsidP="00F378A6">
            <w:pPr>
              <w:ind w:left="866" w:hanging="142"/>
              <w:rPr>
                <w:sz w:val="18"/>
                <w:szCs w:val="18"/>
              </w:rPr>
            </w:pPr>
            <w:r w:rsidRPr="009F6D69">
              <w:rPr>
                <w:sz w:val="18"/>
                <w:szCs w:val="18"/>
              </w:rPr>
              <w:t xml:space="preserve">Rp </w:t>
            </w:r>
            <w:r w:rsidR="00F378A6" w:rsidRPr="009F6D69">
              <w:rPr>
                <w:sz w:val="18"/>
                <w:szCs w:val="18"/>
              </w:rPr>
              <w:t>4.253.575.461</w:t>
            </w:r>
            <w:r w:rsidR="00B665E4" w:rsidRPr="009F6D69">
              <w:rPr>
                <w:sz w:val="18"/>
                <w:szCs w:val="18"/>
              </w:rPr>
              <w:t>)</w:t>
            </w:r>
          </w:p>
        </w:tc>
        <w:tc>
          <w:tcPr>
            <w:tcW w:w="1679" w:type="dxa"/>
            <w:tcBorders>
              <w:bottom w:val="single" w:sz="4" w:space="0" w:color="auto"/>
            </w:tcBorders>
            <w:shd w:val="clear" w:color="auto" w:fill="auto"/>
            <w:vAlign w:val="bottom"/>
          </w:tcPr>
          <w:p w14:paraId="71CA2AC4" w14:textId="5180ED69" w:rsidR="00042590" w:rsidRPr="00DC701F" w:rsidRDefault="00B665E4" w:rsidP="00042590">
            <w:pPr>
              <w:ind w:right="57"/>
              <w:jc w:val="right"/>
              <w:rPr>
                <w:sz w:val="18"/>
                <w:szCs w:val="18"/>
              </w:rPr>
            </w:pPr>
            <w:r w:rsidRPr="00DC701F">
              <w:rPr>
                <w:sz w:val="18"/>
                <w:szCs w:val="18"/>
              </w:rPr>
              <w:t>655.050.621</w:t>
            </w:r>
          </w:p>
        </w:tc>
        <w:tc>
          <w:tcPr>
            <w:tcW w:w="108" w:type="dxa"/>
            <w:vAlign w:val="bottom"/>
          </w:tcPr>
          <w:p w14:paraId="73D78814" w14:textId="77777777" w:rsidR="00042590" w:rsidRPr="008109D0" w:rsidRDefault="00042590" w:rsidP="00042590">
            <w:pPr>
              <w:ind w:left="318" w:right="57"/>
              <w:jc w:val="right"/>
              <w:rPr>
                <w:sz w:val="18"/>
                <w:szCs w:val="18"/>
              </w:rPr>
            </w:pPr>
          </w:p>
        </w:tc>
        <w:tc>
          <w:tcPr>
            <w:tcW w:w="1679" w:type="dxa"/>
            <w:tcBorders>
              <w:bottom w:val="single" w:sz="4" w:space="0" w:color="auto"/>
            </w:tcBorders>
            <w:vAlign w:val="bottom"/>
          </w:tcPr>
          <w:p w14:paraId="2E8C503E" w14:textId="3500A30B" w:rsidR="00042590" w:rsidRPr="008109D0" w:rsidRDefault="00BF449E" w:rsidP="00042590">
            <w:pPr>
              <w:ind w:right="57"/>
              <w:jc w:val="right"/>
              <w:rPr>
                <w:sz w:val="18"/>
                <w:szCs w:val="18"/>
              </w:rPr>
            </w:pPr>
            <w:r w:rsidRPr="008109D0">
              <w:rPr>
                <w:sz w:val="18"/>
                <w:szCs w:val="18"/>
              </w:rPr>
              <w:t>-</w:t>
            </w:r>
          </w:p>
        </w:tc>
        <w:tc>
          <w:tcPr>
            <w:tcW w:w="2871" w:type="dxa"/>
            <w:vAlign w:val="bottom"/>
          </w:tcPr>
          <w:p w14:paraId="533918CB" w14:textId="08177CDC" w:rsidR="00042590" w:rsidRPr="008109D0" w:rsidRDefault="005C232A" w:rsidP="00042590">
            <w:pPr>
              <w:numPr>
                <w:ilvl w:val="12"/>
                <w:numId w:val="0"/>
              </w:numPr>
              <w:ind w:right="55"/>
              <w:jc w:val="right"/>
              <w:rPr>
                <w:i/>
                <w:iCs/>
                <w:sz w:val="18"/>
                <w:szCs w:val="18"/>
              </w:rPr>
            </w:pPr>
            <w:r>
              <w:rPr>
                <w:i/>
                <w:iCs/>
                <w:sz w:val="18"/>
                <w:szCs w:val="18"/>
              </w:rPr>
              <w:t>2019 :</w:t>
            </w:r>
            <w:r>
              <w:rPr>
                <w:i/>
                <w:iCs/>
                <w:sz w:val="18"/>
                <w:szCs w:val="18"/>
                <w:lang w:val="id-ID"/>
              </w:rPr>
              <w:t>30%X(</w:t>
            </w:r>
            <w:r>
              <w:rPr>
                <w:i/>
                <w:iCs/>
                <w:sz w:val="18"/>
                <w:szCs w:val="18"/>
              </w:rPr>
              <w:t xml:space="preserve"> 2</w:t>
            </w:r>
            <w:r>
              <w:rPr>
                <w:i/>
                <w:iCs/>
                <w:sz w:val="18"/>
                <w:szCs w:val="18"/>
                <w:lang w:val="id-ID"/>
              </w:rPr>
              <w:t>2</w:t>
            </w:r>
            <w:r w:rsidR="00042590" w:rsidRPr="008109D0">
              <w:rPr>
                <w:i/>
                <w:iCs/>
                <w:sz w:val="18"/>
                <w:szCs w:val="18"/>
              </w:rPr>
              <w:t xml:space="preserve">% x </w:t>
            </w:r>
          </w:p>
          <w:p w14:paraId="57EF206E" w14:textId="657A0F13" w:rsidR="00042590" w:rsidRPr="005C232A" w:rsidRDefault="005C232A" w:rsidP="00042590">
            <w:pPr>
              <w:numPr>
                <w:ilvl w:val="12"/>
                <w:numId w:val="0"/>
              </w:numPr>
              <w:ind w:right="244"/>
              <w:jc w:val="right"/>
              <w:rPr>
                <w:i/>
                <w:iCs/>
                <w:sz w:val="18"/>
                <w:szCs w:val="18"/>
                <w:lang w:val="id-ID"/>
              </w:rPr>
            </w:pPr>
            <w:r>
              <w:rPr>
                <w:i/>
                <w:iCs/>
                <w:sz w:val="18"/>
                <w:szCs w:val="18"/>
              </w:rPr>
              <w:t xml:space="preserve">Rp </w:t>
            </w:r>
            <w:r>
              <w:rPr>
                <w:i/>
                <w:iCs/>
                <w:sz w:val="18"/>
                <w:szCs w:val="18"/>
                <w:lang w:val="id-ID"/>
              </w:rPr>
              <w:t>4</w:t>
            </w:r>
            <w:r w:rsidR="00021D48">
              <w:rPr>
                <w:i/>
                <w:iCs/>
                <w:sz w:val="18"/>
                <w:szCs w:val="18"/>
              </w:rPr>
              <w:t>.</w:t>
            </w:r>
            <w:r w:rsidR="00021D48">
              <w:rPr>
                <w:i/>
                <w:iCs/>
                <w:sz w:val="18"/>
                <w:szCs w:val="18"/>
                <w:lang w:val="id-ID"/>
              </w:rPr>
              <w:t>253</w:t>
            </w:r>
            <w:r w:rsidR="00021D48">
              <w:rPr>
                <w:i/>
                <w:iCs/>
                <w:sz w:val="18"/>
                <w:szCs w:val="18"/>
              </w:rPr>
              <w:t>.</w:t>
            </w:r>
            <w:r w:rsidR="00021D48">
              <w:rPr>
                <w:i/>
                <w:iCs/>
                <w:sz w:val="18"/>
                <w:szCs w:val="18"/>
                <w:lang w:val="id-ID"/>
              </w:rPr>
              <w:t>575</w:t>
            </w:r>
            <w:r w:rsidR="00021D48">
              <w:rPr>
                <w:i/>
                <w:iCs/>
                <w:sz w:val="18"/>
                <w:szCs w:val="18"/>
              </w:rPr>
              <w:t>.</w:t>
            </w:r>
            <w:r w:rsidR="00021D48">
              <w:rPr>
                <w:i/>
                <w:iCs/>
                <w:sz w:val="18"/>
                <w:szCs w:val="18"/>
                <w:lang w:val="id-ID"/>
              </w:rPr>
              <w:t>461</w:t>
            </w:r>
            <w:r>
              <w:rPr>
                <w:i/>
                <w:iCs/>
                <w:sz w:val="18"/>
                <w:szCs w:val="18"/>
                <w:lang w:val="id-ID"/>
              </w:rPr>
              <w:t>)</w:t>
            </w:r>
          </w:p>
        </w:tc>
      </w:tr>
      <w:tr w:rsidR="00042590" w:rsidRPr="008109D0" w14:paraId="7AE9221E" w14:textId="77777777" w:rsidTr="002108FF">
        <w:trPr>
          <w:trHeight w:val="20"/>
        </w:trPr>
        <w:tc>
          <w:tcPr>
            <w:tcW w:w="2860" w:type="dxa"/>
          </w:tcPr>
          <w:p w14:paraId="0BDDDB58" w14:textId="77777777" w:rsidR="00042590" w:rsidRPr="008109D0" w:rsidRDefault="00042590" w:rsidP="00042590">
            <w:pPr>
              <w:ind w:left="758" w:hanging="142"/>
              <w:rPr>
                <w:sz w:val="18"/>
                <w:szCs w:val="18"/>
              </w:rPr>
            </w:pPr>
          </w:p>
        </w:tc>
        <w:tc>
          <w:tcPr>
            <w:tcW w:w="1679" w:type="dxa"/>
            <w:tcBorders>
              <w:top w:val="single" w:sz="4" w:space="0" w:color="auto"/>
            </w:tcBorders>
            <w:shd w:val="clear" w:color="auto" w:fill="auto"/>
            <w:vAlign w:val="bottom"/>
          </w:tcPr>
          <w:p w14:paraId="59347763" w14:textId="77777777" w:rsidR="00042590" w:rsidRPr="00DC701F" w:rsidRDefault="00042590" w:rsidP="00042590">
            <w:pPr>
              <w:ind w:right="57"/>
              <w:jc w:val="right"/>
              <w:rPr>
                <w:sz w:val="18"/>
                <w:szCs w:val="18"/>
              </w:rPr>
            </w:pPr>
          </w:p>
        </w:tc>
        <w:tc>
          <w:tcPr>
            <w:tcW w:w="108" w:type="dxa"/>
            <w:vAlign w:val="bottom"/>
          </w:tcPr>
          <w:p w14:paraId="4CD5088D" w14:textId="77777777" w:rsidR="00042590" w:rsidRPr="008109D0" w:rsidRDefault="00042590" w:rsidP="00042590">
            <w:pPr>
              <w:ind w:left="318" w:right="57"/>
              <w:jc w:val="right"/>
              <w:rPr>
                <w:sz w:val="18"/>
                <w:szCs w:val="18"/>
              </w:rPr>
            </w:pPr>
          </w:p>
        </w:tc>
        <w:tc>
          <w:tcPr>
            <w:tcW w:w="1679" w:type="dxa"/>
            <w:tcBorders>
              <w:top w:val="single" w:sz="4" w:space="0" w:color="auto"/>
            </w:tcBorders>
            <w:vAlign w:val="bottom"/>
          </w:tcPr>
          <w:p w14:paraId="23B5DF2B" w14:textId="77777777" w:rsidR="00042590" w:rsidRPr="008109D0" w:rsidRDefault="00042590" w:rsidP="00042590">
            <w:pPr>
              <w:ind w:right="57"/>
              <w:jc w:val="right"/>
              <w:rPr>
                <w:sz w:val="18"/>
                <w:szCs w:val="18"/>
              </w:rPr>
            </w:pPr>
          </w:p>
        </w:tc>
        <w:tc>
          <w:tcPr>
            <w:tcW w:w="2871" w:type="dxa"/>
            <w:vAlign w:val="bottom"/>
          </w:tcPr>
          <w:p w14:paraId="133F3536" w14:textId="77777777" w:rsidR="00042590" w:rsidRPr="008109D0" w:rsidRDefault="00042590" w:rsidP="00042590">
            <w:pPr>
              <w:numPr>
                <w:ilvl w:val="12"/>
                <w:numId w:val="0"/>
              </w:numPr>
              <w:ind w:right="55"/>
              <w:jc w:val="right"/>
              <w:rPr>
                <w:i/>
                <w:sz w:val="18"/>
                <w:szCs w:val="18"/>
              </w:rPr>
            </w:pPr>
          </w:p>
        </w:tc>
      </w:tr>
      <w:tr w:rsidR="00042590" w:rsidRPr="008109D0" w14:paraId="43D35659" w14:textId="77777777" w:rsidTr="002108FF">
        <w:trPr>
          <w:trHeight w:val="20"/>
        </w:trPr>
        <w:tc>
          <w:tcPr>
            <w:tcW w:w="2860" w:type="dxa"/>
          </w:tcPr>
          <w:p w14:paraId="32083B07" w14:textId="222830D3" w:rsidR="00042590" w:rsidRPr="008109D0" w:rsidRDefault="00042590" w:rsidP="00042590">
            <w:pPr>
              <w:ind w:left="758" w:hanging="142"/>
              <w:rPr>
                <w:sz w:val="18"/>
                <w:szCs w:val="18"/>
              </w:rPr>
            </w:pPr>
            <w:r w:rsidRPr="008109D0">
              <w:rPr>
                <w:sz w:val="18"/>
                <w:szCs w:val="18"/>
              </w:rPr>
              <w:t>Jumlah pajak kini</w:t>
            </w:r>
          </w:p>
        </w:tc>
        <w:tc>
          <w:tcPr>
            <w:tcW w:w="1679" w:type="dxa"/>
            <w:tcBorders>
              <w:bottom w:val="single" w:sz="4" w:space="0" w:color="auto"/>
            </w:tcBorders>
            <w:shd w:val="clear" w:color="auto" w:fill="auto"/>
            <w:vAlign w:val="bottom"/>
          </w:tcPr>
          <w:p w14:paraId="00CD5649" w14:textId="32926EF8" w:rsidR="00042590" w:rsidRPr="00DC701F" w:rsidRDefault="00B665E4" w:rsidP="00042590">
            <w:pPr>
              <w:ind w:right="57"/>
              <w:jc w:val="right"/>
              <w:rPr>
                <w:sz w:val="18"/>
                <w:szCs w:val="18"/>
              </w:rPr>
            </w:pPr>
            <w:r w:rsidRPr="00DC701F">
              <w:rPr>
                <w:sz w:val="18"/>
                <w:szCs w:val="18"/>
              </w:rPr>
              <w:t>655.050.621</w:t>
            </w:r>
          </w:p>
        </w:tc>
        <w:tc>
          <w:tcPr>
            <w:tcW w:w="108" w:type="dxa"/>
            <w:vAlign w:val="bottom"/>
          </w:tcPr>
          <w:p w14:paraId="6073E0B8" w14:textId="77777777" w:rsidR="00042590" w:rsidRPr="008109D0" w:rsidRDefault="00042590" w:rsidP="00042590">
            <w:pPr>
              <w:ind w:left="318" w:right="57"/>
              <w:jc w:val="right"/>
              <w:rPr>
                <w:sz w:val="18"/>
                <w:szCs w:val="18"/>
              </w:rPr>
            </w:pPr>
          </w:p>
        </w:tc>
        <w:tc>
          <w:tcPr>
            <w:tcW w:w="1679" w:type="dxa"/>
            <w:tcBorders>
              <w:bottom w:val="single" w:sz="4" w:space="0" w:color="auto"/>
            </w:tcBorders>
            <w:vAlign w:val="bottom"/>
          </w:tcPr>
          <w:p w14:paraId="5880E782" w14:textId="3D951445" w:rsidR="00042590" w:rsidRPr="008109D0" w:rsidRDefault="00BF449E" w:rsidP="00042590">
            <w:pPr>
              <w:ind w:right="57"/>
              <w:jc w:val="right"/>
              <w:rPr>
                <w:sz w:val="18"/>
                <w:szCs w:val="18"/>
              </w:rPr>
            </w:pPr>
            <w:r w:rsidRPr="008109D0">
              <w:rPr>
                <w:sz w:val="18"/>
                <w:szCs w:val="18"/>
              </w:rPr>
              <w:t>-</w:t>
            </w:r>
          </w:p>
        </w:tc>
        <w:tc>
          <w:tcPr>
            <w:tcW w:w="2871" w:type="dxa"/>
            <w:vAlign w:val="bottom"/>
          </w:tcPr>
          <w:p w14:paraId="643E4469" w14:textId="0E37B296" w:rsidR="00042590" w:rsidRPr="008109D0" w:rsidRDefault="00042590" w:rsidP="00042590">
            <w:pPr>
              <w:numPr>
                <w:ilvl w:val="12"/>
                <w:numId w:val="0"/>
              </w:numPr>
              <w:ind w:right="55"/>
              <w:jc w:val="right"/>
              <w:rPr>
                <w:i/>
                <w:sz w:val="18"/>
                <w:szCs w:val="18"/>
              </w:rPr>
            </w:pPr>
            <w:r w:rsidRPr="008109D0">
              <w:rPr>
                <w:i/>
                <w:sz w:val="18"/>
                <w:szCs w:val="18"/>
              </w:rPr>
              <w:t>Total current tax</w:t>
            </w:r>
          </w:p>
        </w:tc>
      </w:tr>
      <w:tr w:rsidR="00042590" w:rsidRPr="008109D0" w14:paraId="02333048" w14:textId="77777777" w:rsidTr="002108FF">
        <w:trPr>
          <w:trHeight w:val="20"/>
        </w:trPr>
        <w:tc>
          <w:tcPr>
            <w:tcW w:w="2860" w:type="dxa"/>
          </w:tcPr>
          <w:p w14:paraId="22A4C170" w14:textId="77777777" w:rsidR="00042590" w:rsidRPr="008109D0" w:rsidRDefault="00042590" w:rsidP="00042590">
            <w:pPr>
              <w:ind w:left="758" w:hanging="142"/>
              <w:rPr>
                <w:sz w:val="18"/>
                <w:szCs w:val="18"/>
              </w:rPr>
            </w:pPr>
          </w:p>
        </w:tc>
        <w:tc>
          <w:tcPr>
            <w:tcW w:w="1679" w:type="dxa"/>
            <w:tcBorders>
              <w:top w:val="single" w:sz="4" w:space="0" w:color="auto"/>
            </w:tcBorders>
            <w:shd w:val="clear" w:color="auto" w:fill="auto"/>
            <w:vAlign w:val="bottom"/>
          </w:tcPr>
          <w:p w14:paraId="259DA395" w14:textId="77777777" w:rsidR="00042590" w:rsidRPr="00DC701F" w:rsidRDefault="00042590" w:rsidP="00042590">
            <w:pPr>
              <w:ind w:right="57"/>
              <w:jc w:val="right"/>
              <w:rPr>
                <w:sz w:val="18"/>
                <w:szCs w:val="18"/>
              </w:rPr>
            </w:pPr>
          </w:p>
        </w:tc>
        <w:tc>
          <w:tcPr>
            <w:tcW w:w="108" w:type="dxa"/>
            <w:vAlign w:val="bottom"/>
          </w:tcPr>
          <w:p w14:paraId="2B993FF4" w14:textId="77777777" w:rsidR="00042590" w:rsidRPr="008109D0" w:rsidRDefault="00042590" w:rsidP="00042590">
            <w:pPr>
              <w:ind w:left="318" w:right="57"/>
              <w:jc w:val="right"/>
              <w:rPr>
                <w:sz w:val="18"/>
                <w:szCs w:val="18"/>
              </w:rPr>
            </w:pPr>
          </w:p>
        </w:tc>
        <w:tc>
          <w:tcPr>
            <w:tcW w:w="1679" w:type="dxa"/>
            <w:tcBorders>
              <w:top w:val="single" w:sz="4" w:space="0" w:color="auto"/>
            </w:tcBorders>
            <w:vAlign w:val="bottom"/>
          </w:tcPr>
          <w:p w14:paraId="31374FA7" w14:textId="77777777" w:rsidR="00042590" w:rsidRPr="008109D0" w:rsidRDefault="00042590" w:rsidP="00042590">
            <w:pPr>
              <w:ind w:right="57"/>
              <w:jc w:val="right"/>
              <w:rPr>
                <w:sz w:val="18"/>
                <w:szCs w:val="18"/>
              </w:rPr>
            </w:pPr>
          </w:p>
        </w:tc>
        <w:tc>
          <w:tcPr>
            <w:tcW w:w="2871" w:type="dxa"/>
            <w:vAlign w:val="bottom"/>
          </w:tcPr>
          <w:p w14:paraId="31F7959B" w14:textId="77777777" w:rsidR="00042590" w:rsidRPr="008109D0" w:rsidRDefault="00042590" w:rsidP="00042590">
            <w:pPr>
              <w:numPr>
                <w:ilvl w:val="12"/>
                <w:numId w:val="0"/>
              </w:numPr>
              <w:ind w:right="55"/>
              <w:jc w:val="right"/>
              <w:rPr>
                <w:i/>
                <w:sz w:val="18"/>
                <w:szCs w:val="18"/>
              </w:rPr>
            </w:pPr>
          </w:p>
        </w:tc>
      </w:tr>
      <w:tr w:rsidR="00042590" w:rsidRPr="008109D0" w14:paraId="7313353D" w14:textId="77777777" w:rsidTr="002108FF">
        <w:trPr>
          <w:trHeight w:val="20"/>
        </w:trPr>
        <w:tc>
          <w:tcPr>
            <w:tcW w:w="2860" w:type="dxa"/>
          </w:tcPr>
          <w:p w14:paraId="15C74EE9" w14:textId="6FE70BE0" w:rsidR="00042590" w:rsidRPr="008109D0" w:rsidRDefault="00042590" w:rsidP="00042590">
            <w:pPr>
              <w:ind w:left="758" w:hanging="142"/>
              <w:rPr>
                <w:sz w:val="18"/>
                <w:szCs w:val="18"/>
              </w:rPr>
            </w:pPr>
            <w:r w:rsidRPr="008109D0">
              <w:rPr>
                <w:sz w:val="18"/>
                <w:szCs w:val="18"/>
              </w:rPr>
              <w:t>Pajak penghasilan yang dapat dikreditkan :</w:t>
            </w:r>
          </w:p>
        </w:tc>
        <w:tc>
          <w:tcPr>
            <w:tcW w:w="1679" w:type="dxa"/>
            <w:shd w:val="clear" w:color="auto" w:fill="auto"/>
            <w:vAlign w:val="bottom"/>
          </w:tcPr>
          <w:p w14:paraId="1A2AED74" w14:textId="1ECE3804" w:rsidR="00042590" w:rsidRPr="00DC701F" w:rsidRDefault="00D11148" w:rsidP="00042590">
            <w:pPr>
              <w:ind w:right="57"/>
              <w:jc w:val="right"/>
              <w:rPr>
                <w:sz w:val="18"/>
                <w:szCs w:val="18"/>
              </w:rPr>
            </w:pPr>
            <w:r w:rsidRPr="00DC701F">
              <w:rPr>
                <w:sz w:val="18"/>
                <w:szCs w:val="18"/>
              </w:rPr>
              <w:t>-</w:t>
            </w:r>
          </w:p>
        </w:tc>
        <w:tc>
          <w:tcPr>
            <w:tcW w:w="108" w:type="dxa"/>
            <w:vAlign w:val="bottom"/>
          </w:tcPr>
          <w:p w14:paraId="7BE44671" w14:textId="77777777" w:rsidR="00042590" w:rsidRPr="008109D0" w:rsidRDefault="00042590" w:rsidP="00042590">
            <w:pPr>
              <w:ind w:left="318" w:right="57"/>
              <w:jc w:val="right"/>
              <w:rPr>
                <w:sz w:val="18"/>
                <w:szCs w:val="18"/>
              </w:rPr>
            </w:pPr>
          </w:p>
        </w:tc>
        <w:tc>
          <w:tcPr>
            <w:tcW w:w="1679" w:type="dxa"/>
            <w:vAlign w:val="bottom"/>
          </w:tcPr>
          <w:p w14:paraId="7F6F4BF1" w14:textId="77777777" w:rsidR="00042590" w:rsidRPr="008109D0" w:rsidRDefault="00042590" w:rsidP="00042590">
            <w:pPr>
              <w:ind w:right="57"/>
              <w:jc w:val="right"/>
              <w:rPr>
                <w:sz w:val="18"/>
                <w:szCs w:val="18"/>
              </w:rPr>
            </w:pPr>
          </w:p>
        </w:tc>
        <w:tc>
          <w:tcPr>
            <w:tcW w:w="2871" w:type="dxa"/>
            <w:vAlign w:val="bottom"/>
          </w:tcPr>
          <w:p w14:paraId="6BC15628" w14:textId="6C4F8E90" w:rsidR="00042590" w:rsidRPr="008109D0" w:rsidRDefault="00042590" w:rsidP="00042590">
            <w:pPr>
              <w:numPr>
                <w:ilvl w:val="12"/>
                <w:numId w:val="0"/>
              </w:numPr>
              <w:ind w:right="55"/>
              <w:jc w:val="right"/>
              <w:rPr>
                <w:i/>
                <w:sz w:val="18"/>
                <w:szCs w:val="18"/>
              </w:rPr>
            </w:pPr>
            <w:r w:rsidRPr="008109D0">
              <w:rPr>
                <w:i/>
                <w:sz w:val="18"/>
                <w:szCs w:val="18"/>
              </w:rPr>
              <w:t>Creditable income tax :</w:t>
            </w:r>
          </w:p>
        </w:tc>
      </w:tr>
      <w:tr w:rsidR="00042590" w:rsidRPr="008109D0" w14:paraId="796AA4CD" w14:textId="77777777" w:rsidTr="002108FF">
        <w:trPr>
          <w:trHeight w:val="20"/>
        </w:trPr>
        <w:tc>
          <w:tcPr>
            <w:tcW w:w="2860" w:type="dxa"/>
          </w:tcPr>
          <w:p w14:paraId="7A0D1922" w14:textId="1AC62149" w:rsidR="00042590" w:rsidRPr="008109D0" w:rsidRDefault="00042590" w:rsidP="00042590">
            <w:pPr>
              <w:ind w:left="870" w:hanging="142"/>
              <w:rPr>
                <w:sz w:val="18"/>
                <w:szCs w:val="18"/>
              </w:rPr>
            </w:pPr>
            <w:r w:rsidRPr="008109D0">
              <w:rPr>
                <w:sz w:val="18"/>
                <w:szCs w:val="18"/>
              </w:rPr>
              <w:t>Pajak 23</w:t>
            </w:r>
          </w:p>
        </w:tc>
        <w:tc>
          <w:tcPr>
            <w:tcW w:w="1679" w:type="dxa"/>
            <w:tcBorders>
              <w:bottom w:val="single" w:sz="4" w:space="0" w:color="auto"/>
            </w:tcBorders>
            <w:shd w:val="clear" w:color="auto" w:fill="auto"/>
            <w:vAlign w:val="bottom"/>
          </w:tcPr>
          <w:p w14:paraId="638A3100" w14:textId="70A92F1F" w:rsidR="00042590" w:rsidRPr="00DC701F" w:rsidRDefault="00042590" w:rsidP="00042590">
            <w:pPr>
              <w:ind w:right="57"/>
              <w:jc w:val="right"/>
              <w:rPr>
                <w:sz w:val="18"/>
                <w:szCs w:val="18"/>
              </w:rPr>
            </w:pPr>
          </w:p>
        </w:tc>
        <w:tc>
          <w:tcPr>
            <w:tcW w:w="108" w:type="dxa"/>
            <w:vAlign w:val="bottom"/>
          </w:tcPr>
          <w:p w14:paraId="4786AC62" w14:textId="77777777" w:rsidR="00042590" w:rsidRPr="008109D0" w:rsidRDefault="00042590" w:rsidP="00042590">
            <w:pPr>
              <w:ind w:left="318" w:right="57"/>
              <w:jc w:val="right"/>
              <w:rPr>
                <w:sz w:val="18"/>
                <w:szCs w:val="18"/>
              </w:rPr>
            </w:pPr>
          </w:p>
        </w:tc>
        <w:tc>
          <w:tcPr>
            <w:tcW w:w="1679" w:type="dxa"/>
            <w:tcBorders>
              <w:bottom w:val="single" w:sz="4" w:space="0" w:color="auto"/>
            </w:tcBorders>
            <w:vAlign w:val="bottom"/>
          </w:tcPr>
          <w:p w14:paraId="14900E36" w14:textId="1E0266B4" w:rsidR="00042590" w:rsidRPr="008109D0" w:rsidRDefault="00BF449E" w:rsidP="00042590">
            <w:pPr>
              <w:ind w:right="57"/>
              <w:jc w:val="right"/>
              <w:rPr>
                <w:sz w:val="18"/>
                <w:szCs w:val="18"/>
              </w:rPr>
            </w:pPr>
            <w:r w:rsidRPr="008109D0">
              <w:rPr>
                <w:sz w:val="18"/>
                <w:szCs w:val="18"/>
              </w:rPr>
              <w:t>-</w:t>
            </w:r>
          </w:p>
        </w:tc>
        <w:tc>
          <w:tcPr>
            <w:tcW w:w="2871" w:type="dxa"/>
            <w:vAlign w:val="bottom"/>
          </w:tcPr>
          <w:p w14:paraId="757DE297" w14:textId="0BC33422" w:rsidR="00042590" w:rsidRPr="008109D0" w:rsidRDefault="00042590" w:rsidP="00042590">
            <w:pPr>
              <w:numPr>
                <w:ilvl w:val="12"/>
                <w:numId w:val="0"/>
              </w:numPr>
              <w:ind w:right="55"/>
              <w:jc w:val="right"/>
              <w:rPr>
                <w:i/>
                <w:sz w:val="18"/>
                <w:szCs w:val="18"/>
              </w:rPr>
            </w:pPr>
            <w:r w:rsidRPr="008109D0">
              <w:rPr>
                <w:i/>
                <w:sz w:val="18"/>
                <w:szCs w:val="18"/>
              </w:rPr>
              <w:t>Article 23</w:t>
            </w:r>
          </w:p>
        </w:tc>
      </w:tr>
      <w:tr w:rsidR="00042590" w:rsidRPr="008109D0" w14:paraId="265DC04E" w14:textId="77777777" w:rsidTr="002108FF">
        <w:trPr>
          <w:trHeight w:val="20"/>
        </w:trPr>
        <w:tc>
          <w:tcPr>
            <w:tcW w:w="2860" w:type="dxa"/>
          </w:tcPr>
          <w:p w14:paraId="71846C75" w14:textId="77777777" w:rsidR="00042590" w:rsidRPr="008109D0" w:rsidRDefault="00042590" w:rsidP="00042590">
            <w:pPr>
              <w:ind w:left="912" w:hanging="142"/>
              <w:rPr>
                <w:sz w:val="18"/>
                <w:szCs w:val="18"/>
              </w:rPr>
            </w:pPr>
          </w:p>
        </w:tc>
        <w:tc>
          <w:tcPr>
            <w:tcW w:w="1679" w:type="dxa"/>
            <w:tcBorders>
              <w:top w:val="single" w:sz="4" w:space="0" w:color="auto"/>
            </w:tcBorders>
            <w:shd w:val="clear" w:color="auto" w:fill="auto"/>
            <w:vAlign w:val="bottom"/>
          </w:tcPr>
          <w:p w14:paraId="0041B49A" w14:textId="4CC9C8AF" w:rsidR="00042590" w:rsidRPr="00DC701F" w:rsidRDefault="00042590" w:rsidP="00042590">
            <w:pPr>
              <w:ind w:right="57"/>
              <w:jc w:val="right"/>
              <w:rPr>
                <w:sz w:val="18"/>
                <w:szCs w:val="18"/>
              </w:rPr>
            </w:pPr>
          </w:p>
        </w:tc>
        <w:tc>
          <w:tcPr>
            <w:tcW w:w="108" w:type="dxa"/>
            <w:vAlign w:val="bottom"/>
          </w:tcPr>
          <w:p w14:paraId="73BA213A" w14:textId="77777777" w:rsidR="00042590" w:rsidRPr="008109D0" w:rsidRDefault="00042590" w:rsidP="00042590">
            <w:pPr>
              <w:ind w:left="318" w:right="57"/>
              <w:jc w:val="right"/>
              <w:rPr>
                <w:sz w:val="18"/>
                <w:szCs w:val="18"/>
              </w:rPr>
            </w:pPr>
          </w:p>
        </w:tc>
        <w:tc>
          <w:tcPr>
            <w:tcW w:w="1679" w:type="dxa"/>
            <w:tcBorders>
              <w:top w:val="single" w:sz="4" w:space="0" w:color="auto"/>
            </w:tcBorders>
            <w:vAlign w:val="bottom"/>
          </w:tcPr>
          <w:p w14:paraId="4699B17F" w14:textId="77777777" w:rsidR="00042590" w:rsidRPr="008109D0" w:rsidRDefault="00042590" w:rsidP="00042590">
            <w:pPr>
              <w:ind w:right="57"/>
              <w:jc w:val="right"/>
              <w:rPr>
                <w:sz w:val="18"/>
                <w:szCs w:val="18"/>
              </w:rPr>
            </w:pPr>
          </w:p>
        </w:tc>
        <w:tc>
          <w:tcPr>
            <w:tcW w:w="2871" w:type="dxa"/>
            <w:vAlign w:val="bottom"/>
          </w:tcPr>
          <w:p w14:paraId="113B2DEE" w14:textId="77777777" w:rsidR="00042590" w:rsidRPr="008109D0" w:rsidRDefault="00042590" w:rsidP="00042590">
            <w:pPr>
              <w:numPr>
                <w:ilvl w:val="12"/>
                <w:numId w:val="0"/>
              </w:numPr>
              <w:ind w:right="55"/>
              <w:jc w:val="right"/>
              <w:rPr>
                <w:i/>
                <w:sz w:val="18"/>
                <w:szCs w:val="18"/>
              </w:rPr>
            </w:pPr>
          </w:p>
        </w:tc>
      </w:tr>
      <w:tr w:rsidR="00042590" w:rsidRPr="00E278BD" w14:paraId="23DED964" w14:textId="77777777" w:rsidTr="002108FF">
        <w:trPr>
          <w:trHeight w:val="20"/>
        </w:trPr>
        <w:tc>
          <w:tcPr>
            <w:tcW w:w="2860" w:type="dxa"/>
          </w:tcPr>
          <w:p w14:paraId="170700BA" w14:textId="45AF25E3" w:rsidR="00042590" w:rsidRPr="008109D0" w:rsidRDefault="00042590" w:rsidP="00042590">
            <w:pPr>
              <w:ind w:left="1024" w:hanging="308"/>
              <w:rPr>
                <w:b/>
                <w:bCs w:val="0"/>
                <w:sz w:val="18"/>
                <w:szCs w:val="18"/>
              </w:rPr>
            </w:pPr>
            <w:r w:rsidRPr="008109D0">
              <w:rPr>
                <w:b/>
                <w:bCs w:val="0"/>
                <w:sz w:val="18"/>
                <w:szCs w:val="18"/>
              </w:rPr>
              <w:t>Pasal 29</w:t>
            </w:r>
          </w:p>
        </w:tc>
        <w:tc>
          <w:tcPr>
            <w:tcW w:w="1679" w:type="dxa"/>
            <w:tcBorders>
              <w:bottom w:val="double" w:sz="4" w:space="0" w:color="auto"/>
            </w:tcBorders>
            <w:shd w:val="clear" w:color="auto" w:fill="auto"/>
            <w:vAlign w:val="bottom"/>
          </w:tcPr>
          <w:p w14:paraId="02B3A303" w14:textId="7424C47A" w:rsidR="00042590" w:rsidRPr="00DC701F" w:rsidRDefault="00D11148" w:rsidP="00042590">
            <w:pPr>
              <w:ind w:right="57"/>
              <w:jc w:val="right"/>
              <w:rPr>
                <w:b/>
                <w:bCs w:val="0"/>
                <w:sz w:val="18"/>
                <w:szCs w:val="18"/>
              </w:rPr>
            </w:pPr>
            <w:r w:rsidRPr="00DC701F">
              <w:rPr>
                <w:sz w:val="18"/>
                <w:szCs w:val="18"/>
              </w:rPr>
              <w:t>655.050.621</w:t>
            </w:r>
          </w:p>
        </w:tc>
        <w:tc>
          <w:tcPr>
            <w:tcW w:w="108" w:type="dxa"/>
            <w:vAlign w:val="bottom"/>
          </w:tcPr>
          <w:p w14:paraId="4081497C" w14:textId="77777777" w:rsidR="00042590" w:rsidRPr="008109D0" w:rsidRDefault="00042590" w:rsidP="00042590">
            <w:pPr>
              <w:ind w:left="318" w:right="57"/>
              <w:jc w:val="right"/>
              <w:rPr>
                <w:b/>
                <w:bCs w:val="0"/>
                <w:sz w:val="18"/>
                <w:szCs w:val="18"/>
              </w:rPr>
            </w:pPr>
          </w:p>
        </w:tc>
        <w:tc>
          <w:tcPr>
            <w:tcW w:w="1679" w:type="dxa"/>
            <w:tcBorders>
              <w:bottom w:val="double" w:sz="4" w:space="0" w:color="auto"/>
            </w:tcBorders>
            <w:vAlign w:val="bottom"/>
          </w:tcPr>
          <w:p w14:paraId="3AECF803" w14:textId="301FD31C" w:rsidR="00042590" w:rsidRPr="008109D0" w:rsidRDefault="00BF449E" w:rsidP="00042590">
            <w:pPr>
              <w:ind w:right="57"/>
              <w:jc w:val="right"/>
              <w:rPr>
                <w:b/>
                <w:bCs w:val="0"/>
                <w:sz w:val="18"/>
                <w:szCs w:val="18"/>
              </w:rPr>
            </w:pPr>
            <w:r w:rsidRPr="008109D0">
              <w:rPr>
                <w:b/>
                <w:bCs w:val="0"/>
                <w:sz w:val="18"/>
                <w:szCs w:val="18"/>
              </w:rPr>
              <w:t>-</w:t>
            </w:r>
          </w:p>
        </w:tc>
        <w:tc>
          <w:tcPr>
            <w:tcW w:w="2871" w:type="dxa"/>
            <w:vAlign w:val="bottom"/>
          </w:tcPr>
          <w:p w14:paraId="2FF34D07" w14:textId="72147665" w:rsidR="00042590" w:rsidRPr="00E278BD" w:rsidRDefault="00042590" w:rsidP="00042590">
            <w:pPr>
              <w:numPr>
                <w:ilvl w:val="12"/>
                <w:numId w:val="0"/>
              </w:numPr>
              <w:ind w:right="55"/>
              <w:jc w:val="right"/>
              <w:rPr>
                <w:b/>
                <w:bCs w:val="0"/>
                <w:i/>
                <w:sz w:val="18"/>
                <w:szCs w:val="18"/>
              </w:rPr>
            </w:pPr>
            <w:r w:rsidRPr="008109D0">
              <w:rPr>
                <w:b/>
                <w:bCs w:val="0"/>
                <w:i/>
                <w:sz w:val="18"/>
                <w:szCs w:val="18"/>
              </w:rPr>
              <w:t>Article 29</w:t>
            </w:r>
          </w:p>
        </w:tc>
      </w:tr>
      <w:tr w:rsidR="00E278BD" w:rsidRPr="0030282B" w14:paraId="54D92866" w14:textId="77777777" w:rsidTr="002108FF">
        <w:trPr>
          <w:trHeight w:val="20"/>
        </w:trPr>
        <w:tc>
          <w:tcPr>
            <w:tcW w:w="2860" w:type="dxa"/>
          </w:tcPr>
          <w:p w14:paraId="286B534D" w14:textId="77777777" w:rsidR="00E278BD" w:rsidRPr="0030282B" w:rsidRDefault="00E278BD" w:rsidP="00E278BD">
            <w:pPr>
              <w:ind w:left="758" w:hanging="142"/>
              <w:rPr>
                <w:sz w:val="18"/>
                <w:szCs w:val="18"/>
              </w:rPr>
            </w:pPr>
          </w:p>
        </w:tc>
        <w:tc>
          <w:tcPr>
            <w:tcW w:w="1679" w:type="dxa"/>
            <w:tcBorders>
              <w:top w:val="double" w:sz="4" w:space="0" w:color="auto"/>
            </w:tcBorders>
            <w:shd w:val="clear" w:color="auto" w:fill="auto"/>
            <w:vAlign w:val="bottom"/>
          </w:tcPr>
          <w:p w14:paraId="38676E91" w14:textId="77777777" w:rsidR="00E278BD" w:rsidRPr="0030282B" w:rsidRDefault="00E278BD" w:rsidP="0013526B">
            <w:pPr>
              <w:ind w:right="57"/>
              <w:jc w:val="right"/>
              <w:rPr>
                <w:sz w:val="18"/>
                <w:szCs w:val="18"/>
              </w:rPr>
            </w:pPr>
          </w:p>
        </w:tc>
        <w:tc>
          <w:tcPr>
            <w:tcW w:w="108" w:type="dxa"/>
            <w:vAlign w:val="bottom"/>
          </w:tcPr>
          <w:p w14:paraId="73096FFD" w14:textId="77777777" w:rsidR="00E278BD" w:rsidRPr="0030282B" w:rsidRDefault="00E278BD" w:rsidP="0013526B">
            <w:pPr>
              <w:ind w:left="318" w:right="57"/>
              <w:jc w:val="right"/>
              <w:rPr>
                <w:sz w:val="18"/>
                <w:szCs w:val="18"/>
              </w:rPr>
            </w:pPr>
          </w:p>
        </w:tc>
        <w:tc>
          <w:tcPr>
            <w:tcW w:w="1679" w:type="dxa"/>
            <w:tcBorders>
              <w:top w:val="double" w:sz="4" w:space="0" w:color="auto"/>
            </w:tcBorders>
            <w:vAlign w:val="bottom"/>
          </w:tcPr>
          <w:p w14:paraId="4C1A2968" w14:textId="77777777" w:rsidR="00E278BD" w:rsidRPr="0030282B" w:rsidRDefault="00E278BD" w:rsidP="0013526B">
            <w:pPr>
              <w:ind w:right="57"/>
              <w:jc w:val="right"/>
              <w:rPr>
                <w:sz w:val="18"/>
                <w:szCs w:val="18"/>
              </w:rPr>
            </w:pPr>
          </w:p>
        </w:tc>
        <w:tc>
          <w:tcPr>
            <w:tcW w:w="2871" w:type="dxa"/>
            <w:vAlign w:val="bottom"/>
          </w:tcPr>
          <w:p w14:paraId="22B35539" w14:textId="77777777" w:rsidR="00E278BD" w:rsidRPr="0030282B" w:rsidRDefault="00E278BD" w:rsidP="0013526B">
            <w:pPr>
              <w:numPr>
                <w:ilvl w:val="12"/>
                <w:numId w:val="0"/>
              </w:numPr>
              <w:ind w:right="55"/>
              <w:jc w:val="right"/>
              <w:rPr>
                <w:i/>
                <w:sz w:val="18"/>
                <w:szCs w:val="18"/>
              </w:rPr>
            </w:pPr>
          </w:p>
        </w:tc>
      </w:tr>
    </w:tbl>
    <w:p w14:paraId="42BCE454" w14:textId="7322DD04" w:rsidR="00C2401B" w:rsidRPr="008E16D5" w:rsidRDefault="00C2401B">
      <w:pPr>
        <w:rPr>
          <w:sz w:val="18"/>
          <w:szCs w:val="18"/>
        </w:rPr>
      </w:pPr>
    </w:p>
    <w:p w14:paraId="61E14A49" w14:textId="77777777" w:rsidR="009C5262" w:rsidRPr="00AD3394" w:rsidRDefault="009C5262" w:rsidP="0013526B">
      <w:pPr>
        <w:rPr>
          <w:sz w:val="12"/>
        </w:rPr>
      </w:pPr>
    </w:p>
    <w:tbl>
      <w:tblPr>
        <w:tblW w:w="9197" w:type="dxa"/>
        <w:tblInd w:w="378" w:type="dxa"/>
        <w:tblLayout w:type="fixed"/>
        <w:tblLook w:val="0000" w:firstRow="0" w:lastRow="0" w:firstColumn="0" w:lastColumn="0" w:noHBand="0" w:noVBand="0"/>
      </w:tblPr>
      <w:tblGrid>
        <w:gridCol w:w="4598"/>
        <w:gridCol w:w="4599"/>
      </w:tblGrid>
      <w:tr w:rsidR="00780212" w:rsidRPr="0013526B" w14:paraId="6B7E90BF" w14:textId="77777777" w:rsidTr="002108FF">
        <w:tc>
          <w:tcPr>
            <w:tcW w:w="2500" w:type="pct"/>
            <w:tcBorders>
              <w:top w:val="nil"/>
              <w:left w:val="nil"/>
              <w:bottom w:val="nil"/>
              <w:right w:val="nil"/>
            </w:tcBorders>
          </w:tcPr>
          <w:p w14:paraId="3B66EEAD" w14:textId="4ED44E54" w:rsidR="00780212" w:rsidRPr="0013526B" w:rsidRDefault="00780212" w:rsidP="00303B62">
            <w:pPr>
              <w:ind w:left="584" w:right="-57"/>
              <w:jc w:val="both"/>
              <w:rPr>
                <w:sz w:val="18"/>
                <w:szCs w:val="18"/>
              </w:rPr>
            </w:pPr>
            <w:r w:rsidRPr="00780212">
              <w:rPr>
                <w:sz w:val="18"/>
                <w:szCs w:val="18"/>
              </w:rPr>
              <w:t xml:space="preserve">Besarnya pajak terutang ditetapkan berdasarkan perhitungan pajak yang dilakukan sendiri oleh wajib pajak </w:t>
            </w:r>
            <w:r w:rsidRPr="009874CF">
              <w:rPr>
                <w:i/>
                <w:iCs/>
                <w:sz w:val="18"/>
                <w:szCs w:val="18"/>
              </w:rPr>
              <w:t>self-assessment</w:t>
            </w:r>
            <w:r w:rsidRPr="00780212">
              <w:rPr>
                <w:sz w:val="18"/>
                <w:szCs w:val="18"/>
              </w:rPr>
              <w:t>. Kantor pajak dapat melakukan pemeriksaan pajak dalam jangka waktu 5 lima tahun sejak pajak terutang.</w:t>
            </w:r>
          </w:p>
        </w:tc>
        <w:tc>
          <w:tcPr>
            <w:tcW w:w="2500" w:type="pct"/>
            <w:tcBorders>
              <w:top w:val="nil"/>
              <w:left w:val="nil"/>
              <w:bottom w:val="nil"/>
              <w:right w:val="nil"/>
            </w:tcBorders>
          </w:tcPr>
          <w:p w14:paraId="76DF3198" w14:textId="41CDD292" w:rsidR="00780212" w:rsidRPr="0013526B" w:rsidRDefault="00780212" w:rsidP="00303B62">
            <w:pPr>
              <w:ind w:left="428" w:right="-57"/>
              <w:jc w:val="both"/>
              <w:rPr>
                <w:i/>
                <w:sz w:val="18"/>
                <w:szCs w:val="18"/>
              </w:rPr>
            </w:pPr>
            <w:r>
              <w:rPr>
                <w:i/>
                <w:color w:val="000000"/>
                <w:sz w:val="18"/>
                <w:szCs w:val="18"/>
              </w:rPr>
              <w:t xml:space="preserve">The tax liabilities is determined based </w:t>
            </w:r>
            <w:r w:rsidRPr="00780212">
              <w:rPr>
                <w:i/>
                <w:color w:val="000000"/>
                <w:sz w:val="18"/>
                <w:szCs w:val="18"/>
              </w:rPr>
              <w:t>on self assessment. The tax office ca</w:t>
            </w:r>
            <w:r>
              <w:rPr>
                <w:i/>
                <w:color w:val="000000"/>
                <w:sz w:val="18"/>
                <w:szCs w:val="18"/>
              </w:rPr>
              <w:t xml:space="preserve">n perform examination     of income taxes within 5 five year after the </w:t>
            </w:r>
            <w:r w:rsidRPr="00780212">
              <w:rPr>
                <w:i/>
                <w:color w:val="000000"/>
                <w:sz w:val="18"/>
                <w:szCs w:val="18"/>
              </w:rPr>
              <w:t>tax becomes due</w:t>
            </w:r>
            <w:r>
              <w:rPr>
                <w:i/>
                <w:sz w:val="17"/>
              </w:rPr>
              <w:t>.</w:t>
            </w:r>
          </w:p>
        </w:tc>
      </w:tr>
    </w:tbl>
    <w:p w14:paraId="0C20C61C" w14:textId="24979C3A" w:rsidR="00F80041" w:rsidRPr="00AD3394" w:rsidRDefault="00F80041" w:rsidP="0013526B">
      <w:pPr>
        <w:rPr>
          <w:sz w:val="12"/>
          <w:szCs w:val="12"/>
        </w:rPr>
      </w:pPr>
    </w:p>
    <w:p w14:paraId="1F875324" w14:textId="77777777" w:rsidR="00AD3394" w:rsidRPr="00AD3394" w:rsidRDefault="00AD3394" w:rsidP="0013526B">
      <w:pPr>
        <w:rPr>
          <w:sz w:val="10"/>
          <w:szCs w:val="12"/>
        </w:rPr>
      </w:pPr>
    </w:p>
    <w:p w14:paraId="0FA361CA" w14:textId="77777777" w:rsidR="00CB3BBE" w:rsidRDefault="00CB3BBE">
      <w:r>
        <w:br w:type="page"/>
      </w:r>
    </w:p>
    <w:tbl>
      <w:tblPr>
        <w:tblpPr w:leftFromText="180" w:rightFromText="180" w:vertAnchor="text" w:horzAnchor="margin" w:tblpX="416" w:tblpY="-13"/>
        <w:tblW w:w="9211" w:type="dxa"/>
        <w:tblLayout w:type="fixed"/>
        <w:tblLook w:val="0000" w:firstRow="0" w:lastRow="0" w:firstColumn="0" w:lastColumn="0" w:noHBand="0" w:noVBand="0"/>
      </w:tblPr>
      <w:tblGrid>
        <w:gridCol w:w="4598"/>
        <w:gridCol w:w="4613"/>
      </w:tblGrid>
      <w:tr w:rsidR="0028221C" w:rsidRPr="0013526B" w14:paraId="3580504F" w14:textId="77777777" w:rsidTr="002108FF">
        <w:tc>
          <w:tcPr>
            <w:tcW w:w="2496" w:type="pct"/>
            <w:tcBorders>
              <w:top w:val="nil"/>
              <w:left w:val="nil"/>
              <w:bottom w:val="nil"/>
              <w:right w:val="nil"/>
            </w:tcBorders>
          </w:tcPr>
          <w:p w14:paraId="7C9F6157" w14:textId="61EFD433" w:rsidR="0028221C" w:rsidRPr="00C04C06" w:rsidRDefault="0028221C" w:rsidP="00070D1F">
            <w:pPr>
              <w:pStyle w:val="ListParagraph"/>
              <w:numPr>
                <w:ilvl w:val="0"/>
                <w:numId w:val="307"/>
              </w:numPr>
              <w:jc w:val="both"/>
              <w:rPr>
                <w:b/>
                <w:bCs w:val="0"/>
                <w:sz w:val="18"/>
                <w:szCs w:val="18"/>
              </w:rPr>
            </w:pPr>
            <w:r w:rsidRPr="00C04C06">
              <w:rPr>
                <w:b/>
                <w:bCs w:val="0"/>
                <w:sz w:val="18"/>
                <w:szCs w:val="18"/>
              </w:rPr>
              <w:lastRenderedPageBreak/>
              <w:t xml:space="preserve">PERPAJAKAN </w:t>
            </w:r>
            <w:r w:rsidR="00F77777">
              <w:rPr>
                <w:b/>
                <w:bCs w:val="0"/>
                <w:sz w:val="18"/>
                <w:szCs w:val="18"/>
                <w:lang w:val="id-ID"/>
              </w:rPr>
              <w:t>–</w:t>
            </w:r>
            <w:r w:rsidRPr="00C04C06">
              <w:rPr>
                <w:b/>
                <w:bCs w:val="0"/>
                <w:sz w:val="18"/>
                <w:szCs w:val="18"/>
              </w:rPr>
              <w:t xml:space="preserve"> Lanjutan</w:t>
            </w:r>
          </w:p>
        </w:tc>
        <w:tc>
          <w:tcPr>
            <w:tcW w:w="2504" w:type="pct"/>
            <w:tcBorders>
              <w:top w:val="nil"/>
              <w:left w:val="nil"/>
              <w:bottom w:val="nil"/>
              <w:right w:val="nil"/>
            </w:tcBorders>
          </w:tcPr>
          <w:p w14:paraId="096652BA" w14:textId="77777777" w:rsidR="0028221C" w:rsidRPr="0013526B" w:rsidRDefault="0028221C" w:rsidP="00070D1F">
            <w:pPr>
              <w:numPr>
                <w:ilvl w:val="0"/>
                <w:numId w:val="308"/>
              </w:numPr>
              <w:jc w:val="both"/>
              <w:rPr>
                <w:b/>
                <w:bCs w:val="0"/>
                <w:i/>
                <w:sz w:val="18"/>
                <w:szCs w:val="18"/>
              </w:rPr>
            </w:pPr>
            <w:r w:rsidRPr="0013526B">
              <w:rPr>
                <w:b/>
                <w:bCs w:val="0"/>
                <w:i/>
                <w:sz w:val="18"/>
                <w:szCs w:val="18"/>
              </w:rPr>
              <w:t xml:space="preserve">TAXATION </w:t>
            </w:r>
            <w:r>
              <w:rPr>
                <w:b/>
                <w:bCs w:val="0"/>
                <w:i/>
                <w:sz w:val="18"/>
                <w:szCs w:val="18"/>
                <w:lang w:val="en-ID"/>
              </w:rPr>
              <w:t>-</w:t>
            </w:r>
            <w:r w:rsidRPr="0013526B">
              <w:rPr>
                <w:b/>
                <w:bCs w:val="0"/>
                <w:i/>
                <w:sz w:val="18"/>
                <w:szCs w:val="18"/>
              </w:rPr>
              <w:t xml:space="preserve"> Continued</w:t>
            </w:r>
          </w:p>
        </w:tc>
      </w:tr>
    </w:tbl>
    <w:p w14:paraId="02D4E51A" w14:textId="77777777" w:rsidR="008E16D5" w:rsidRPr="008E16D5" w:rsidRDefault="008E16D5">
      <w:pPr>
        <w:rPr>
          <w:sz w:val="10"/>
          <w:szCs w:val="10"/>
        </w:rPr>
      </w:pPr>
    </w:p>
    <w:tbl>
      <w:tblPr>
        <w:tblW w:w="9215" w:type="dxa"/>
        <w:tblInd w:w="420" w:type="dxa"/>
        <w:tblLayout w:type="fixed"/>
        <w:tblLook w:val="0000" w:firstRow="0" w:lastRow="0" w:firstColumn="0" w:lastColumn="0" w:noHBand="0" w:noVBand="0"/>
      </w:tblPr>
      <w:tblGrid>
        <w:gridCol w:w="4598"/>
        <w:gridCol w:w="4617"/>
      </w:tblGrid>
      <w:tr w:rsidR="00E92C0C" w:rsidRPr="000F2BDB" w14:paraId="69B3EE1C" w14:textId="77777777" w:rsidTr="002108FF">
        <w:tc>
          <w:tcPr>
            <w:tcW w:w="2495" w:type="pct"/>
            <w:tcBorders>
              <w:top w:val="nil"/>
              <w:left w:val="nil"/>
              <w:bottom w:val="nil"/>
              <w:right w:val="nil"/>
            </w:tcBorders>
          </w:tcPr>
          <w:p w14:paraId="59A45B57" w14:textId="588CF8E2" w:rsidR="00E92C0C" w:rsidRPr="000F2BDB" w:rsidRDefault="00E92C0C" w:rsidP="00070D1F">
            <w:pPr>
              <w:pStyle w:val="ListParagraph"/>
              <w:numPr>
                <w:ilvl w:val="0"/>
                <w:numId w:val="329"/>
              </w:numPr>
              <w:tabs>
                <w:tab w:val="left" w:pos="567"/>
                <w:tab w:val="left" w:pos="601"/>
                <w:tab w:val="right" w:pos="9340"/>
                <w:tab w:val="right" w:pos="10080"/>
              </w:tabs>
              <w:ind w:left="613" w:hanging="322"/>
              <w:rPr>
                <w:bCs w:val="0"/>
                <w:sz w:val="18"/>
                <w:szCs w:val="18"/>
              </w:rPr>
            </w:pPr>
            <w:r w:rsidRPr="000F2BDB">
              <w:rPr>
                <w:bCs w:val="0"/>
                <w:sz w:val="18"/>
                <w:szCs w:val="18"/>
              </w:rPr>
              <w:t>Pajak Tangguhan</w:t>
            </w:r>
            <w:r w:rsidR="00EE628E" w:rsidRPr="000F2BDB">
              <w:rPr>
                <w:bCs w:val="0"/>
                <w:sz w:val="18"/>
                <w:szCs w:val="18"/>
                <w:lang w:val="id-ID"/>
              </w:rPr>
              <w:t xml:space="preserve"> </w:t>
            </w:r>
          </w:p>
        </w:tc>
        <w:tc>
          <w:tcPr>
            <w:tcW w:w="2505" w:type="pct"/>
            <w:tcBorders>
              <w:top w:val="nil"/>
              <w:left w:val="nil"/>
              <w:bottom w:val="nil"/>
              <w:right w:val="nil"/>
            </w:tcBorders>
          </w:tcPr>
          <w:p w14:paraId="1150F42C" w14:textId="1ABB056A" w:rsidR="00E92C0C" w:rsidRPr="000F2BDB" w:rsidRDefault="00E92C0C" w:rsidP="00070D1F">
            <w:pPr>
              <w:widowControl w:val="0"/>
              <w:numPr>
                <w:ilvl w:val="0"/>
                <w:numId w:val="330"/>
              </w:numPr>
              <w:autoSpaceDE w:val="0"/>
              <w:autoSpaceDN w:val="0"/>
              <w:adjustRightInd w:val="0"/>
              <w:ind w:left="512" w:hanging="252"/>
              <w:jc w:val="both"/>
              <w:rPr>
                <w:bCs w:val="0"/>
                <w:i/>
                <w:sz w:val="18"/>
                <w:szCs w:val="18"/>
              </w:rPr>
            </w:pPr>
            <w:r w:rsidRPr="000F2BDB">
              <w:rPr>
                <w:bCs w:val="0"/>
                <w:i/>
                <w:sz w:val="18"/>
                <w:szCs w:val="18"/>
              </w:rPr>
              <w:t>Deferred Tax</w:t>
            </w:r>
            <w:r w:rsidR="00EE628E" w:rsidRPr="000F2BDB">
              <w:rPr>
                <w:bCs w:val="0"/>
                <w:i/>
                <w:sz w:val="18"/>
                <w:szCs w:val="18"/>
                <w:lang w:val="id-ID"/>
              </w:rPr>
              <w:t xml:space="preserve"> </w:t>
            </w:r>
          </w:p>
        </w:tc>
      </w:tr>
    </w:tbl>
    <w:p w14:paraId="36C295DE" w14:textId="2914D59E" w:rsidR="00225DCA" w:rsidRPr="008E16D5" w:rsidRDefault="00225DCA" w:rsidP="0013526B">
      <w:pPr>
        <w:rPr>
          <w:sz w:val="10"/>
          <w:szCs w:val="10"/>
        </w:rPr>
      </w:pPr>
    </w:p>
    <w:tbl>
      <w:tblPr>
        <w:tblW w:w="9214" w:type="dxa"/>
        <w:tblInd w:w="426" w:type="dxa"/>
        <w:tblLayout w:type="fixed"/>
        <w:tblCellMar>
          <w:left w:w="0" w:type="dxa"/>
          <w:right w:w="0" w:type="dxa"/>
        </w:tblCellMar>
        <w:tblLook w:val="01E0" w:firstRow="1" w:lastRow="1" w:firstColumn="1" w:lastColumn="1" w:noHBand="0" w:noVBand="0"/>
      </w:tblPr>
      <w:tblGrid>
        <w:gridCol w:w="1838"/>
        <w:gridCol w:w="1055"/>
        <w:gridCol w:w="64"/>
        <w:gridCol w:w="1056"/>
        <w:gridCol w:w="64"/>
        <w:gridCol w:w="1056"/>
        <w:gridCol w:w="64"/>
        <w:gridCol w:w="1056"/>
        <w:gridCol w:w="64"/>
        <w:gridCol w:w="1056"/>
        <w:gridCol w:w="1841"/>
      </w:tblGrid>
      <w:tr w:rsidR="00CB3BBE" w:rsidRPr="008109D0" w14:paraId="18312854" w14:textId="77777777" w:rsidTr="002108FF">
        <w:trPr>
          <w:trHeight w:val="1100"/>
        </w:trPr>
        <w:tc>
          <w:tcPr>
            <w:tcW w:w="1838" w:type="dxa"/>
          </w:tcPr>
          <w:p w14:paraId="6A89C9EA" w14:textId="77777777" w:rsidR="00CB3BBE" w:rsidRPr="0013526B" w:rsidRDefault="00CB3BBE" w:rsidP="000A0364">
            <w:pPr>
              <w:ind w:left="851" w:right="17" w:hanging="142"/>
              <w:jc w:val="both"/>
              <w:rPr>
                <w:sz w:val="14"/>
                <w:szCs w:val="14"/>
              </w:rPr>
            </w:pPr>
          </w:p>
        </w:tc>
        <w:tc>
          <w:tcPr>
            <w:tcW w:w="1055" w:type="dxa"/>
            <w:tcBorders>
              <w:bottom w:val="single" w:sz="4" w:space="0" w:color="auto"/>
            </w:tcBorders>
            <w:vAlign w:val="bottom"/>
          </w:tcPr>
          <w:p w14:paraId="4314086C" w14:textId="77777777" w:rsidR="00CB3BBE" w:rsidRPr="0013526B" w:rsidRDefault="00CB3BBE" w:rsidP="000A0364">
            <w:pPr>
              <w:ind w:right="5"/>
              <w:rPr>
                <w:b/>
                <w:sz w:val="14"/>
                <w:szCs w:val="14"/>
              </w:rPr>
            </w:pPr>
          </w:p>
          <w:p w14:paraId="7293FF15" w14:textId="3B6094AB" w:rsidR="00CB3BBE" w:rsidRPr="008109D0" w:rsidRDefault="00CB3BBE" w:rsidP="000A0364">
            <w:pPr>
              <w:ind w:right="-57"/>
              <w:jc w:val="center"/>
              <w:rPr>
                <w:b/>
                <w:bCs w:val="0"/>
                <w:sz w:val="14"/>
                <w:szCs w:val="14"/>
              </w:rPr>
            </w:pPr>
            <w:r w:rsidRPr="008109D0">
              <w:rPr>
                <w:b/>
                <w:sz w:val="14"/>
                <w:szCs w:val="14"/>
              </w:rPr>
              <w:t>1 Januari 20</w:t>
            </w:r>
            <w:r w:rsidR="003E5EBB" w:rsidRPr="008109D0">
              <w:rPr>
                <w:b/>
                <w:sz w:val="14"/>
                <w:szCs w:val="14"/>
              </w:rPr>
              <w:t>20</w:t>
            </w:r>
            <w:r w:rsidRPr="008109D0">
              <w:rPr>
                <w:b/>
                <w:sz w:val="14"/>
                <w:szCs w:val="14"/>
              </w:rPr>
              <w:t>/</w:t>
            </w:r>
          </w:p>
          <w:p w14:paraId="32ADBF64" w14:textId="73E07B45" w:rsidR="00CB3BBE" w:rsidRPr="008109D0" w:rsidRDefault="00CB3BBE" w:rsidP="003E5EBB">
            <w:pPr>
              <w:ind w:right="5"/>
              <w:jc w:val="center"/>
              <w:rPr>
                <w:b/>
                <w:sz w:val="14"/>
                <w:szCs w:val="14"/>
              </w:rPr>
            </w:pPr>
            <w:r w:rsidRPr="008109D0">
              <w:rPr>
                <w:b/>
                <w:i/>
                <w:sz w:val="14"/>
                <w:szCs w:val="14"/>
              </w:rPr>
              <w:t>January 1</w:t>
            </w:r>
            <w:r w:rsidR="00870FD0" w:rsidRPr="008109D0">
              <w:rPr>
                <w:b/>
                <w:i/>
                <w:sz w:val="14"/>
                <w:szCs w:val="14"/>
              </w:rPr>
              <w:t>.</w:t>
            </w:r>
            <w:r w:rsidRPr="008109D0">
              <w:rPr>
                <w:b/>
                <w:i/>
                <w:sz w:val="14"/>
                <w:szCs w:val="14"/>
              </w:rPr>
              <w:t xml:space="preserve"> 2</w:t>
            </w:r>
            <w:r w:rsidR="003E5EBB" w:rsidRPr="008109D0">
              <w:rPr>
                <w:b/>
                <w:i/>
                <w:sz w:val="14"/>
                <w:szCs w:val="14"/>
              </w:rPr>
              <w:t>020</w:t>
            </w:r>
          </w:p>
        </w:tc>
        <w:tc>
          <w:tcPr>
            <w:tcW w:w="64" w:type="dxa"/>
            <w:vAlign w:val="bottom"/>
          </w:tcPr>
          <w:p w14:paraId="4E94356C" w14:textId="77777777" w:rsidR="00CB3BBE" w:rsidRPr="008109D0" w:rsidRDefault="00CB3BBE" w:rsidP="000A0364">
            <w:pPr>
              <w:ind w:right="5"/>
              <w:jc w:val="center"/>
              <w:rPr>
                <w:b/>
                <w:sz w:val="14"/>
                <w:szCs w:val="14"/>
              </w:rPr>
            </w:pPr>
          </w:p>
        </w:tc>
        <w:tc>
          <w:tcPr>
            <w:tcW w:w="1056" w:type="dxa"/>
            <w:tcBorders>
              <w:bottom w:val="single" w:sz="4" w:space="0" w:color="auto"/>
            </w:tcBorders>
            <w:vAlign w:val="bottom"/>
          </w:tcPr>
          <w:p w14:paraId="26D23EC3" w14:textId="77777777" w:rsidR="00CB3BBE" w:rsidRPr="008109D0" w:rsidRDefault="00CB3BBE" w:rsidP="000A0364">
            <w:pPr>
              <w:ind w:right="5"/>
              <w:jc w:val="center"/>
              <w:rPr>
                <w:b/>
                <w:sz w:val="14"/>
                <w:szCs w:val="14"/>
              </w:rPr>
            </w:pPr>
          </w:p>
          <w:p w14:paraId="6ABE801A" w14:textId="77777777" w:rsidR="00CB3BBE" w:rsidRPr="008109D0" w:rsidRDefault="00CB3BBE" w:rsidP="000A0364">
            <w:pPr>
              <w:ind w:right="5"/>
              <w:jc w:val="center"/>
              <w:rPr>
                <w:b/>
                <w:sz w:val="14"/>
                <w:szCs w:val="14"/>
              </w:rPr>
            </w:pPr>
            <w:r w:rsidRPr="008109D0">
              <w:rPr>
                <w:b/>
                <w:sz w:val="14"/>
                <w:szCs w:val="14"/>
              </w:rPr>
              <w:t>Dibebankan Dikreditkan ke Laporan Laba Rugi/</w:t>
            </w:r>
          </w:p>
          <w:p w14:paraId="2945474E" w14:textId="77777777" w:rsidR="00CB3BBE" w:rsidRPr="008109D0" w:rsidRDefault="00CB3BBE" w:rsidP="000A0364">
            <w:pPr>
              <w:ind w:right="5"/>
              <w:jc w:val="center"/>
              <w:rPr>
                <w:b/>
                <w:i/>
                <w:sz w:val="14"/>
                <w:szCs w:val="14"/>
              </w:rPr>
            </w:pPr>
            <w:r w:rsidRPr="008109D0">
              <w:rPr>
                <w:b/>
                <w:i/>
                <w:sz w:val="14"/>
                <w:szCs w:val="14"/>
              </w:rPr>
              <w:t>Charged Credited to Statement Profit or Loss</w:t>
            </w:r>
          </w:p>
        </w:tc>
        <w:tc>
          <w:tcPr>
            <w:tcW w:w="64" w:type="dxa"/>
            <w:vAlign w:val="bottom"/>
          </w:tcPr>
          <w:p w14:paraId="61CD375A" w14:textId="77777777" w:rsidR="00CB3BBE" w:rsidRPr="008109D0" w:rsidRDefault="00CB3BBE" w:rsidP="000A0364">
            <w:pPr>
              <w:ind w:right="5"/>
              <w:jc w:val="center"/>
              <w:rPr>
                <w:b/>
                <w:sz w:val="14"/>
                <w:szCs w:val="14"/>
              </w:rPr>
            </w:pPr>
          </w:p>
        </w:tc>
        <w:tc>
          <w:tcPr>
            <w:tcW w:w="1056" w:type="dxa"/>
            <w:tcBorders>
              <w:bottom w:val="single" w:sz="4" w:space="0" w:color="auto"/>
            </w:tcBorders>
            <w:vAlign w:val="bottom"/>
          </w:tcPr>
          <w:p w14:paraId="18D1647E" w14:textId="77777777" w:rsidR="00CB3BBE" w:rsidRPr="008109D0" w:rsidRDefault="00CB3BBE" w:rsidP="000A0364">
            <w:pPr>
              <w:ind w:right="5"/>
              <w:jc w:val="center"/>
              <w:rPr>
                <w:b/>
                <w:sz w:val="14"/>
                <w:szCs w:val="14"/>
              </w:rPr>
            </w:pPr>
            <w:r w:rsidRPr="008109D0">
              <w:rPr>
                <w:b/>
                <w:sz w:val="14"/>
                <w:szCs w:val="14"/>
              </w:rPr>
              <w:t>Koreksi/</w:t>
            </w:r>
          </w:p>
          <w:p w14:paraId="340905B9" w14:textId="77777777" w:rsidR="00CB3BBE" w:rsidRPr="008109D0" w:rsidRDefault="00CB3BBE" w:rsidP="000A0364">
            <w:pPr>
              <w:ind w:right="5"/>
              <w:jc w:val="center"/>
              <w:rPr>
                <w:b/>
                <w:i/>
                <w:iCs/>
                <w:sz w:val="14"/>
                <w:szCs w:val="14"/>
              </w:rPr>
            </w:pPr>
            <w:r w:rsidRPr="008109D0">
              <w:rPr>
                <w:b/>
                <w:i/>
                <w:iCs/>
                <w:sz w:val="14"/>
                <w:szCs w:val="14"/>
              </w:rPr>
              <w:t>Correction</w:t>
            </w:r>
          </w:p>
        </w:tc>
        <w:tc>
          <w:tcPr>
            <w:tcW w:w="64" w:type="dxa"/>
          </w:tcPr>
          <w:p w14:paraId="592D5CC7" w14:textId="77777777" w:rsidR="00CB3BBE" w:rsidRPr="008109D0" w:rsidRDefault="00CB3BBE" w:rsidP="000A0364">
            <w:pPr>
              <w:ind w:right="5"/>
              <w:jc w:val="center"/>
              <w:rPr>
                <w:b/>
                <w:sz w:val="14"/>
                <w:szCs w:val="14"/>
              </w:rPr>
            </w:pPr>
          </w:p>
        </w:tc>
        <w:tc>
          <w:tcPr>
            <w:tcW w:w="1056" w:type="dxa"/>
            <w:tcBorders>
              <w:bottom w:val="single" w:sz="4" w:space="0" w:color="auto"/>
            </w:tcBorders>
            <w:vAlign w:val="bottom"/>
          </w:tcPr>
          <w:p w14:paraId="3C4D1E94" w14:textId="77777777" w:rsidR="00CB3BBE" w:rsidRPr="008109D0" w:rsidRDefault="00CB3BBE" w:rsidP="000A0364">
            <w:pPr>
              <w:ind w:right="5"/>
              <w:jc w:val="center"/>
              <w:rPr>
                <w:b/>
                <w:sz w:val="14"/>
                <w:szCs w:val="14"/>
              </w:rPr>
            </w:pPr>
            <w:r w:rsidRPr="008109D0">
              <w:rPr>
                <w:b/>
                <w:sz w:val="14"/>
                <w:szCs w:val="14"/>
              </w:rPr>
              <w:t xml:space="preserve">Dikreditkan Dibebankan pada Penghasilan Komprehensif Lain/ </w:t>
            </w:r>
            <w:r w:rsidRPr="008109D0">
              <w:rPr>
                <w:b/>
                <w:i/>
                <w:sz w:val="14"/>
                <w:szCs w:val="14"/>
              </w:rPr>
              <w:t>Credited Charged to the Other Comprehensive Income</w:t>
            </w:r>
          </w:p>
        </w:tc>
        <w:tc>
          <w:tcPr>
            <w:tcW w:w="64" w:type="dxa"/>
            <w:vAlign w:val="bottom"/>
          </w:tcPr>
          <w:p w14:paraId="759AD6E6" w14:textId="77777777" w:rsidR="00CB3BBE" w:rsidRPr="008109D0" w:rsidRDefault="00CB3BBE" w:rsidP="000A0364">
            <w:pPr>
              <w:ind w:right="5"/>
              <w:jc w:val="center"/>
              <w:rPr>
                <w:b/>
                <w:sz w:val="14"/>
                <w:szCs w:val="14"/>
              </w:rPr>
            </w:pPr>
          </w:p>
        </w:tc>
        <w:tc>
          <w:tcPr>
            <w:tcW w:w="1056" w:type="dxa"/>
            <w:tcBorders>
              <w:bottom w:val="single" w:sz="4" w:space="0" w:color="auto"/>
            </w:tcBorders>
            <w:vAlign w:val="bottom"/>
          </w:tcPr>
          <w:p w14:paraId="50332C2A" w14:textId="776FDDC7" w:rsidR="00CB3BBE" w:rsidRPr="008109D0" w:rsidRDefault="00CB3BBE" w:rsidP="000A0364">
            <w:pPr>
              <w:ind w:right="5"/>
              <w:jc w:val="center"/>
              <w:rPr>
                <w:b/>
                <w:sz w:val="14"/>
                <w:szCs w:val="14"/>
              </w:rPr>
            </w:pPr>
            <w:r w:rsidRPr="008109D0">
              <w:rPr>
                <w:b/>
                <w:sz w:val="14"/>
                <w:szCs w:val="14"/>
              </w:rPr>
              <w:t xml:space="preserve">31 </w:t>
            </w:r>
            <w:r w:rsidR="003E5EBB" w:rsidRPr="008109D0">
              <w:rPr>
                <w:b/>
                <w:sz w:val="14"/>
                <w:szCs w:val="14"/>
              </w:rPr>
              <w:t>Maret</w:t>
            </w:r>
            <w:r w:rsidRPr="008109D0">
              <w:rPr>
                <w:b/>
                <w:sz w:val="14"/>
                <w:szCs w:val="14"/>
              </w:rPr>
              <w:t xml:space="preserve"> 20</w:t>
            </w:r>
            <w:r w:rsidR="003E5EBB" w:rsidRPr="008109D0">
              <w:rPr>
                <w:b/>
                <w:sz w:val="14"/>
                <w:szCs w:val="14"/>
              </w:rPr>
              <w:t>20</w:t>
            </w:r>
            <w:r w:rsidRPr="008109D0">
              <w:rPr>
                <w:b/>
                <w:sz w:val="14"/>
                <w:szCs w:val="14"/>
              </w:rPr>
              <w:t>/</w:t>
            </w:r>
          </w:p>
          <w:p w14:paraId="563235C7" w14:textId="3A0401BD" w:rsidR="00CB3BBE" w:rsidRPr="008109D0" w:rsidRDefault="003E5EBB" w:rsidP="003E5EBB">
            <w:pPr>
              <w:ind w:right="5"/>
              <w:jc w:val="center"/>
              <w:rPr>
                <w:b/>
                <w:i/>
                <w:sz w:val="14"/>
                <w:szCs w:val="14"/>
              </w:rPr>
            </w:pPr>
            <w:r w:rsidRPr="008109D0">
              <w:rPr>
                <w:b/>
                <w:i/>
                <w:sz w:val="14"/>
                <w:szCs w:val="14"/>
              </w:rPr>
              <w:t>March</w:t>
            </w:r>
            <w:r w:rsidR="00CB3BBE" w:rsidRPr="008109D0">
              <w:rPr>
                <w:b/>
                <w:i/>
                <w:sz w:val="14"/>
                <w:szCs w:val="14"/>
              </w:rPr>
              <w:t xml:space="preserve"> 31</w:t>
            </w:r>
            <w:r w:rsidR="00305CA0">
              <w:rPr>
                <w:b/>
                <w:i/>
                <w:sz w:val="14"/>
                <w:szCs w:val="14"/>
              </w:rPr>
              <w:t>.</w:t>
            </w:r>
            <w:r w:rsidR="00CB3BBE" w:rsidRPr="008109D0">
              <w:rPr>
                <w:b/>
                <w:i/>
                <w:sz w:val="14"/>
                <w:szCs w:val="14"/>
              </w:rPr>
              <w:t xml:space="preserve"> 20</w:t>
            </w:r>
            <w:r w:rsidRPr="008109D0">
              <w:rPr>
                <w:b/>
                <w:i/>
                <w:sz w:val="14"/>
                <w:szCs w:val="14"/>
              </w:rPr>
              <w:t>20</w:t>
            </w:r>
          </w:p>
        </w:tc>
        <w:tc>
          <w:tcPr>
            <w:tcW w:w="1841" w:type="dxa"/>
            <w:vAlign w:val="bottom"/>
          </w:tcPr>
          <w:p w14:paraId="5F45EA0F" w14:textId="77777777" w:rsidR="00CB3BBE" w:rsidRPr="008109D0" w:rsidRDefault="00CB3BBE" w:rsidP="000A0364">
            <w:pPr>
              <w:numPr>
                <w:ilvl w:val="12"/>
                <w:numId w:val="0"/>
              </w:numPr>
              <w:ind w:right="55"/>
              <w:jc w:val="right"/>
              <w:rPr>
                <w:i/>
                <w:sz w:val="14"/>
                <w:szCs w:val="14"/>
              </w:rPr>
            </w:pPr>
          </w:p>
        </w:tc>
      </w:tr>
      <w:tr w:rsidR="00CB3BBE" w:rsidRPr="008109D0" w14:paraId="7ECEBE0C" w14:textId="77777777" w:rsidTr="002108FF">
        <w:trPr>
          <w:trHeight w:val="20"/>
        </w:trPr>
        <w:tc>
          <w:tcPr>
            <w:tcW w:w="1838" w:type="dxa"/>
          </w:tcPr>
          <w:p w14:paraId="30E4E10E" w14:textId="77777777" w:rsidR="00CB3BBE" w:rsidRPr="008109D0" w:rsidRDefault="00CB3BBE" w:rsidP="000A0364">
            <w:pPr>
              <w:ind w:left="900" w:right="17" w:firstLine="720"/>
              <w:rPr>
                <w:sz w:val="8"/>
                <w:szCs w:val="14"/>
              </w:rPr>
            </w:pPr>
          </w:p>
        </w:tc>
        <w:tc>
          <w:tcPr>
            <w:tcW w:w="1055" w:type="dxa"/>
            <w:tcBorders>
              <w:top w:val="single" w:sz="4" w:space="0" w:color="auto"/>
            </w:tcBorders>
            <w:vAlign w:val="bottom"/>
          </w:tcPr>
          <w:p w14:paraId="579A94F3" w14:textId="77777777" w:rsidR="00CB3BBE" w:rsidRPr="008109D0" w:rsidRDefault="00CB3BBE" w:rsidP="000A0364">
            <w:pPr>
              <w:ind w:right="57"/>
              <w:jc w:val="right"/>
              <w:rPr>
                <w:sz w:val="8"/>
                <w:szCs w:val="14"/>
              </w:rPr>
            </w:pPr>
          </w:p>
        </w:tc>
        <w:tc>
          <w:tcPr>
            <w:tcW w:w="64" w:type="dxa"/>
            <w:vAlign w:val="bottom"/>
          </w:tcPr>
          <w:p w14:paraId="60511753" w14:textId="77777777" w:rsidR="00CB3BBE" w:rsidRPr="008109D0" w:rsidRDefault="00CB3BBE" w:rsidP="000A0364">
            <w:pPr>
              <w:ind w:left="318" w:right="95"/>
              <w:jc w:val="right"/>
              <w:rPr>
                <w:sz w:val="8"/>
                <w:szCs w:val="14"/>
              </w:rPr>
            </w:pPr>
          </w:p>
        </w:tc>
        <w:tc>
          <w:tcPr>
            <w:tcW w:w="1056" w:type="dxa"/>
            <w:tcBorders>
              <w:top w:val="single" w:sz="4" w:space="0" w:color="auto"/>
            </w:tcBorders>
            <w:vAlign w:val="bottom"/>
          </w:tcPr>
          <w:p w14:paraId="21F8BE52" w14:textId="77777777" w:rsidR="00CB3BBE" w:rsidRPr="008109D0" w:rsidRDefault="00CB3BBE" w:rsidP="000A0364">
            <w:pPr>
              <w:ind w:left="318" w:right="95"/>
              <w:jc w:val="right"/>
              <w:rPr>
                <w:sz w:val="8"/>
                <w:szCs w:val="14"/>
              </w:rPr>
            </w:pPr>
          </w:p>
        </w:tc>
        <w:tc>
          <w:tcPr>
            <w:tcW w:w="64" w:type="dxa"/>
            <w:vAlign w:val="bottom"/>
          </w:tcPr>
          <w:p w14:paraId="5EAA0A3B" w14:textId="77777777" w:rsidR="00CB3BBE" w:rsidRPr="008109D0" w:rsidRDefault="00CB3BBE" w:rsidP="000A0364">
            <w:pPr>
              <w:ind w:left="318" w:right="95"/>
              <w:jc w:val="right"/>
              <w:rPr>
                <w:sz w:val="8"/>
                <w:szCs w:val="14"/>
              </w:rPr>
            </w:pPr>
          </w:p>
        </w:tc>
        <w:tc>
          <w:tcPr>
            <w:tcW w:w="1056" w:type="dxa"/>
            <w:tcBorders>
              <w:top w:val="single" w:sz="4" w:space="0" w:color="auto"/>
            </w:tcBorders>
          </w:tcPr>
          <w:p w14:paraId="3C576D59" w14:textId="77777777" w:rsidR="00CB3BBE" w:rsidRPr="008109D0" w:rsidRDefault="00CB3BBE" w:rsidP="000A0364">
            <w:pPr>
              <w:ind w:left="318" w:right="95"/>
              <w:jc w:val="right"/>
              <w:rPr>
                <w:sz w:val="8"/>
                <w:szCs w:val="14"/>
              </w:rPr>
            </w:pPr>
          </w:p>
        </w:tc>
        <w:tc>
          <w:tcPr>
            <w:tcW w:w="64" w:type="dxa"/>
          </w:tcPr>
          <w:p w14:paraId="010AC91A" w14:textId="77777777" w:rsidR="00CB3BBE" w:rsidRPr="008109D0" w:rsidRDefault="00CB3BBE" w:rsidP="000A0364">
            <w:pPr>
              <w:ind w:left="318" w:right="95"/>
              <w:jc w:val="right"/>
              <w:rPr>
                <w:sz w:val="8"/>
                <w:szCs w:val="14"/>
              </w:rPr>
            </w:pPr>
          </w:p>
        </w:tc>
        <w:tc>
          <w:tcPr>
            <w:tcW w:w="1056" w:type="dxa"/>
            <w:tcBorders>
              <w:top w:val="single" w:sz="4" w:space="0" w:color="auto"/>
            </w:tcBorders>
            <w:vAlign w:val="bottom"/>
          </w:tcPr>
          <w:p w14:paraId="15D18ECA" w14:textId="77777777" w:rsidR="00CB3BBE" w:rsidRPr="008109D0" w:rsidRDefault="00CB3BBE" w:rsidP="000A0364">
            <w:pPr>
              <w:ind w:left="318" w:right="95"/>
              <w:jc w:val="right"/>
              <w:rPr>
                <w:sz w:val="8"/>
                <w:szCs w:val="14"/>
              </w:rPr>
            </w:pPr>
          </w:p>
        </w:tc>
        <w:tc>
          <w:tcPr>
            <w:tcW w:w="64" w:type="dxa"/>
            <w:vAlign w:val="bottom"/>
          </w:tcPr>
          <w:p w14:paraId="235F9289" w14:textId="77777777" w:rsidR="00CB3BBE" w:rsidRPr="008109D0" w:rsidRDefault="00CB3BBE" w:rsidP="000A0364">
            <w:pPr>
              <w:ind w:left="318" w:right="95"/>
              <w:jc w:val="right"/>
              <w:rPr>
                <w:sz w:val="8"/>
                <w:szCs w:val="14"/>
              </w:rPr>
            </w:pPr>
          </w:p>
        </w:tc>
        <w:tc>
          <w:tcPr>
            <w:tcW w:w="1056" w:type="dxa"/>
            <w:tcBorders>
              <w:top w:val="single" w:sz="4" w:space="0" w:color="auto"/>
            </w:tcBorders>
            <w:vAlign w:val="bottom"/>
          </w:tcPr>
          <w:p w14:paraId="248544C3" w14:textId="77777777" w:rsidR="00CB3BBE" w:rsidRPr="008109D0" w:rsidRDefault="00CB3BBE" w:rsidP="000A0364">
            <w:pPr>
              <w:ind w:right="57"/>
              <w:jc w:val="right"/>
              <w:rPr>
                <w:sz w:val="8"/>
                <w:szCs w:val="14"/>
              </w:rPr>
            </w:pPr>
          </w:p>
        </w:tc>
        <w:tc>
          <w:tcPr>
            <w:tcW w:w="1841" w:type="dxa"/>
            <w:vAlign w:val="bottom"/>
          </w:tcPr>
          <w:p w14:paraId="27ABA467" w14:textId="77777777" w:rsidR="00CB3BBE" w:rsidRPr="008109D0" w:rsidRDefault="00CB3BBE" w:rsidP="000A0364">
            <w:pPr>
              <w:numPr>
                <w:ilvl w:val="12"/>
                <w:numId w:val="0"/>
              </w:numPr>
              <w:ind w:right="55"/>
              <w:jc w:val="right"/>
              <w:rPr>
                <w:i/>
                <w:sz w:val="8"/>
                <w:szCs w:val="14"/>
              </w:rPr>
            </w:pPr>
          </w:p>
        </w:tc>
      </w:tr>
      <w:tr w:rsidR="00CB3BBE" w:rsidRPr="008109D0" w14:paraId="09F3AFAF" w14:textId="77777777" w:rsidTr="002108FF">
        <w:trPr>
          <w:trHeight w:val="20"/>
        </w:trPr>
        <w:tc>
          <w:tcPr>
            <w:tcW w:w="1838" w:type="dxa"/>
          </w:tcPr>
          <w:p w14:paraId="5C5DC483" w14:textId="77777777" w:rsidR="00CB3BBE" w:rsidRPr="00C35CC6" w:rsidRDefault="00CB3BBE" w:rsidP="00101586">
            <w:pPr>
              <w:ind w:left="510" w:hanging="142"/>
              <w:rPr>
                <w:sz w:val="14"/>
                <w:szCs w:val="14"/>
                <w:u w:val="single"/>
              </w:rPr>
            </w:pPr>
            <w:r w:rsidRPr="00C35CC6">
              <w:rPr>
                <w:sz w:val="14"/>
                <w:szCs w:val="14"/>
                <w:u w:val="single"/>
              </w:rPr>
              <w:t>Perusahaan</w:t>
            </w:r>
          </w:p>
        </w:tc>
        <w:tc>
          <w:tcPr>
            <w:tcW w:w="1055" w:type="dxa"/>
            <w:vAlign w:val="bottom"/>
          </w:tcPr>
          <w:p w14:paraId="1448B846" w14:textId="77777777" w:rsidR="00CB3BBE" w:rsidRPr="00C35CC6" w:rsidRDefault="00CB3BBE" w:rsidP="000A0364">
            <w:pPr>
              <w:ind w:right="57"/>
              <w:jc w:val="right"/>
              <w:rPr>
                <w:sz w:val="14"/>
                <w:szCs w:val="14"/>
              </w:rPr>
            </w:pPr>
          </w:p>
        </w:tc>
        <w:tc>
          <w:tcPr>
            <w:tcW w:w="64" w:type="dxa"/>
            <w:vAlign w:val="bottom"/>
          </w:tcPr>
          <w:p w14:paraId="44D2115F" w14:textId="77777777" w:rsidR="00CB3BBE" w:rsidRPr="00C35CC6" w:rsidRDefault="00CB3BBE" w:rsidP="000A0364">
            <w:pPr>
              <w:ind w:left="318" w:right="95"/>
              <w:jc w:val="right"/>
              <w:rPr>
                <w:sz w:val="14"/>
                <w:szCs w:val="14"/>
              </w:rPr>
            </w:pPr>
          </w:p>
        </w:tc>
        <w:tc>
          <w:tcPr>
            <w:tcW w:w="1056" w:type="dxa"/>
            <w:vAlign w:val="bottom"/>
          </w:tcPr>
          <w:p w14:paraId="49F14F57" w14:textId="77777777" w:rsidR="00CB3BBE" w:rsidRPr="00C35CC6" w:rsidRDefault="00CB3BBE" w:rsidP="000A0364">
            <w:pPr>
              <w:ind w:left="318" w:right="95"/>
              <w:jc w:val="right"/>
              <w:rPr>
                <w:sz w:val="14"/>
                <w:szCs w:val="14"/>
              </w:rPr>
            </w:pPr>
          </w:p>
        </w:tc>
        <w:tc>
          <w:tcPr>
            <w:tcW w:w="64" w:type="dxa"/>
            <w:vAlign w:val="bottom"/>
          </w:tcPr>
          <w:p w14:paraId="497D90AD" w14:textId="77777777" w:rsidR="00CB3BBE" w:rsidRPr="00C35CC6" w:rsidRDefault="00CB3BBE" w:rsidP="000A0364">
            <w:pPr>
              <w:ind w:left="318" w:right="95"/>
              <w:jc w:val="right"/>
              <w:rPr>
                <w:sz w:val="14"/>
                <w:szCs w:val="14"/>
              </w:rPr>
            </w:pPr>
          </w:p>
        </w:tc>
        <w:tc>
          <w:tcPr>
            <w:tcW w:w="1056" w:type="dxa"/>
          </w:tcPr>
          <w:p w14:paraId="71240F0B" w14:textId="77777777" w:rsidR="00CB3BBE" w:rsidRPr="00C35CC6" w:rsidRDefault="00CB3BBE" w:rsidP="000A0364">
            <w:pPr>
              <w:ind w:left="318" w:right="95"/>
              <w:jc w:val="right"/>
              <w:rPr>
                <w:sz w:val="14"/>
                <w:szCs w:val="14"/>
              </w:rPr>
            </w:pPr>
          </w:p>
        </w:tc>
        <w:tc>
          <w:tcPr>
            <w:tcW w:w="64" w:type="dxa"/>
          </w:tcPr>
          <w:p w14:paraId="0F61FCCE" w14:textId="77777777" w:rsidR="00CB3BBE" w:rsidRPr="00C35CC6" w:rsidRDefault="00CB3BBE" w:rsidP="000A0364">
            <w:pPr>
              <w:ind w:left="318" w:right="95"/>
              <w:jc w:val="right"/>
              <w:rPr>
                <w:sz w:val="14"/>
                <w:szCs w:val="14"/>
              </w:rPr>
            </w:pPr>
          </w:p>
        </w:tc>
        <w:tc>
          <w:tcPr>
            <w:tcW w:w="1056" w:type="dxa"/>
            <w:vAlign w:val="bottom"/>
          </w:tcPr>
          <w:p w14:paraId="3D2C1C37" w14:textId="77777777" w:rsidR="00CB3BBE" w:rsidRPr="00C35CC6" w:rsidRDefault="00CB3BBE" w:rsidP="000A0364">
            <w:pPr>
              <w:ind w:left="318" w:right="95"/>
              <w:jc w:val="right"/>
              <w:rPr>
                <w:sz w:val="14"/>
                <w:szCs w:val="14"/>
              </w:rPr>
            </w:pPr>
          </w:p>
        </w:tc>
        <w:tc>
          <w:tcPr>
            <w:tcW w:w="64" w:type="dxa"/>
            <w:vAlign w:val="bottom"/>
          </w:tcPr>
          <w:p w14:paraId="6043385B" w14:textId="77777777" w:rsidR="00CB3BBE" w:rsidRPr="00C35CC6" w:rsidRDefault="00CB3BBE" w:rsidP="000A0364">
            <w:pPr>
              <w:ind w:left="318" w:right="95"/>
              <w:jc w:val="right"/>
              <w:rPr>
                <w:sz w:val="14"/>
                <w:szCs w:val="14"/>
              </w:rPr>
            </w:pPr>
          </w:p>
        </w:tc>
        <w:tc>
          <w:tcPr>
            <w:tcW w:w="1056" w:type="dxa"/>
            <w:vAlign w:val="bottom"/>
          </w:tcPr>
          <w:p w14:paraId="0DD5D4C0" w14:textId="77777777" w:rsidR="00CB3BBE" w:rsidRPr="00C35CC6" w:rsidRDefault="00CB3BBE" w:rsidP="000A0364">
            <w:pPr>
              <w:ind w:right="57"/>
              <w:jc w:val="right"/>
              <w:rPr>
                <w:sz w:val="14"/>
                <w:szCs w:val="14"/>
              </w:rPr>
            </w:pPr>
          </w:p>
        </w:tc>
        <w:tc>
          <w:tcPr>
            <w:tcW w:w="1841" w:type="dxa"/>
            <w:vAlign w:val="bottom"/>
          </w:tcPr>
          <w:p w14:paraId="5F4F8D7C" w14:textId="77777777" w:rsidR="00CB3BBE" w:rsidRPr="00C35CC6" w:rsidRDefault="00CB3BBE" w:rsidP="000A0364">
            <w:pPr>
              <w:numPr>
                <w:ilvl w:val="12"/>
                <w:numId w:val="0"/>
              </w:numPr>
              <w:ind w:right="55"/>
              <w:jc w:val="right"/>
              <w:rPr>
                <w:i/>
                <w:sz w:val="14"/>
                <w:szCs w:val="14"/>
                <w:u w:val="single"/>
              </w:rPr>
            </w:pPr>
            <w:r w:rsidRPr="00C35CC6">
              <w:rPr>
                <w:i/>
                <w:sz w:val="14"/>
                <w:szCs w:val="14"/>
                <w:u w:val="single"/>
              </w:rPr>
              <w:t>The Company</w:t>
            </w:r>
          </w:p>
        </w:tc>
      </w:tr>
      <w:tr w:rsidR="003E5EBB" w:rsidRPr="008109D0" w14:paraId="5E6EB2C0" w14:textId="77777777" w:rsidTr="002108FF">
        <w:trPr>
          <w:trHeight w:val="20"/>
        </w:trPr>
        <w:tc>
          <w:tcPr>
            <w:tcW w:w="1838" w:type="dxa"/>
          </w:tcPr>
          <w:p w14:paraId="64A773AF" w14:textId="77777777" w:rsidR="003E5EBB" w:rsidRPr="00C35CC6" w:rsidRDefault="003E5EBB" w:rsidP="003E5EBB">
            <w:pPr>
              <w:ind w:left="510" w:hanging="142"/>
              <w:rPr>
                <w:sz w:val="14"/>
                <w:szCs w:val="14"/>
              </w:rPr>
            </w:pPr>
            <w:r w:rsidRPr="00C35CC6">
              <w:rPr>
                <w:sz w:val="14"/>
                <w:szCs w:val="14"/>
              </w:rPr>
              <w:t>Akumulasi rugi</w:t>
            </w:r>
            <w:r w:rsidRPr="00C35CC6">
              <w:rPr>
                <w:sz w:val="14"/>
                <w:szCs w:val="14"/>
              </w:rPr>
              <w:br/>
              <w:t xml:space="preserve"> fiscal</w:t>
            </w:r>
          </w:p>
        </w:tc>
        <w:tc>
          <w:tcPr>
            <w:tcW w:w="1055" w:type="dxa"/>
            <w:shd w:val="clear" w:color="auto" w:fill="auto"/>
            <w:vAlign w:val="bottom"/>
          </w:tcPr>
          <w:p w14:paraId="070DF9BD" w14:textId="06284E9B" w:rsidR="003E5EBB" w:rsidRPr="00C35CC6" w:rsidRDefault="003E5EBB" w:rsidP="003E5EBB">
            <w:pPr>
              <w:ind w:right="57"/>
              <w:jc w:val="right"/>
              <w:rPr>
                <w:sz w:val="14"/>
                <w:szCs w:val="14"/>
              </w:rPr>
            </w:pPr>
            <w:r w:rsidRPr="00C35CC6">
              <w:rPr>
                <w:sz w:val="14"/>
                <w:szCs w:val="14"/>
              </w:rPr>
              <w:t>-</w:t>
            </w:r>
          </w:p>
        </w:tc>
        <w:tc>
          <w:tcPr>
            <w:tcW w:w="64" w:type="dxa"/>
            <w:shd w:val="clear" w:color="auto" w:fill="auto"/>
            <w:vAlign w:val="bottom"/>
          </w:tcPr>
          <w:p w14:paraId="3E32701F" w14:textId="77777777" w:rsidR="003E5EBB" w:rsidRPr="00C35CC6" w:rsidRDefault="003E5EBB" w:rsidP="003E5EBB">
            <w:pPr>
              <w:ind w:right="57"/>
              <w:jc w:val="right"/>
              <w:rPr>
                <w:sz w:val="14"/>
                <w:szCs w:val="14"/>
              </w:rPr>
            </w:pPr>
          </w:p>
        </w:tc>
        <w:tc>
          <w:tcPr>
            <w:tcW w:w="1056" w:type="dxa"/>
            <w:shd w:val="clear" w:color="auto" w:fill="auto"/>
            <w:vAlign w:val="bottom"/>
          </w:tcPr>
          <w:p w14:paraId="30043266" w14:textId="6EAC3304" w:rsidR="003E5EBB" w:rsidRPr="00C35CC6" w:rsidRDefault="003E5EBB" w:rsidP="003E5EBB">
            <w:pPr>
              <w:ind w:right="57"/>
              <w:jc w:val="right"/>
              <w:rPr>
                <w:sz w:val="14"/>
                <w:szCs w:val="14"/>
              </w:rPr>
            </w:pPr>
          </w:p>
        </w:tc>
        <w:tc>
          <w:tcPr>
            <w:tcW w:w="64" w:type="dxa"/>
            <w:shd w:val="clear" w:color="auto" w:fill="auto"/>
            <w:vAlign w:val="bottom"/>
          </w:tcPr>
          <w:p w14:paraId="2C0E446E" w14:textId="77777777" w:rsidR="003E5EBB" w:rsidRPr="00C35CC6" w:rsidRDefault="003E5EBB" w:rsidP="003E5EBB">
            <w:pPr>
              <w:ind w:right="57"/>
              <w:jc w:val="right"/>
              <w:rPr>
                <w:sz w:val="14"/>
                <w:szCs w:val="14"/>
              </w:rPr>
            </w:pPr>
          </w:p>
        </w:tc>
        <w:tc>
          <w:tcPr>
            <w:tcW w:w="1056" w:type="dxa"/>
            <w:vAlign w:val="bottom"/>
          </w:tcPr>
          <w:p w14:paraId="3A63ED7A" w14:textId="11791F23" w:rsidR="003E5EBB" w:rsidRPr="00C35CC6" w:rsidRDefault="003E5EBB" w:rsidP="003E5EBB">
            <w:pPr>
              <w:ind w:right="57"/>
              <w:jc w:val="right"/>
              <w:rPr>
                <w:sz w:val="14"/>
                <w:szCs w:val="14"/>
              </w:rPr>
            </w:pPr>
          </w:p>
        </w:tc>
        <w:tc>
          <w:tcPr>
            <w:tcW w:w="64" w:type="dxa"/>
          </w:tcPr>
          <w:p w14:paraId="269A4008" w14:textId="77777777" w:rsidR="003E5EBB" w:rsidRPr="00C35CC6" w:rsidRDefault="003E5EBB" w:rsidP="003E5EBB">
            <w:pPr>
              <w:ind w:right="57"/>
              <w:jc w:val="right"/>
              <w:rPr>
                <w:sz w:val="14"/>
                <w:szCs w:val="14"/>
              </w:rPr>
            </w:pPr>
          </w:p>
        </w:tc>
        <w:tc>
          <w:tcPr>
            <w:tcW w:w="1056" w:type="dxa"/>
            <w:shd w:val="clear" w:color="auto" w:fill="auto"/>
            <w:vAlign w:val="bottom"/>
          </w:tcPr>
          <w:p w14:paraId="06973D2A" w14:textId="02765A76" w:rsidR="003E5EBB" w:rsidRPr="00C35CC6" w:rsidRDefault="003E5EBB" w:rsidP="003E5EBB">
            <w:pPr>
              <w:ind w:right="57"/>
              <w:jc w:val="right"/>
              <w:rPr>
                <w:sz w:val="14"/>
                <w:szCs w:val="14"/>
              </w:rPr>
            </w:pPr>
          </w:p>
        </w:tc>
        <w:tc>
          <w:tcPr>
            <w:tcW w:w="64" w:type="dxa"/>
            <w:shd w:val="clear" w:color="auto" w:fill="auto"/>
            <w:vAlign w:val="bottom"/>
          </w:tcPr>
          <w:p w14:paraId="731227F5" w14:textId="77777777" w:rsidR="003E5EBB" w:rsidRPr="00C35CC6" w:rsidRDefault="003E5EBB" w:rsidP="003E5EBB">
            <w:pPr>
              <w:ind w:right="57"/>
              <w:jc w:val="right"/>
              <w:rPr>
                <w:sz w:val="14"/>
                <w:szCs w:val="14"/>
              </w:rPr>
            </w:pPr>
          </w:p>
        </w:tc>
        <w:tc>
          <w:tcPr>
            <w:tcW w:w="1056" w:type="dxa"/>
            <w:shd w:val="clear" w:color="auto" w:fill="auto"/>
            <w:vAlign w:val="bottom"/>
          </w:tcPr>
          <w:p w14:paraId="1A93C895" w14:textId="6E27A874" w:rsidR="003E5EBB" w:rsidRPr="00C35CC6" w:rsidRDefault="003E5EBB" w:rsidP="003E5EBB">
            <w:pPr>
              <w:ind w:right="57"/>
              <w:jc w:val="right"/>
              <w:rPr>
                <w:sz w:val="14"/>
                <w:szCs w:val="14"/>
              </w:rPr>
            </w:pPr>
          </w:p>
        </w:tc>
        <w:tc>
          <w:tcPr>
            <w:tcW w:w="1841" w:type="dxa"/>
            <w:vAlign w:val="bottom"/>
          </w:tcPr>
          <w:p w14:paraId="3282C93B" w14:textId="77777777" w:rsidR="003E5EBB" w:rsidRPr="00C35CC6" w:rsidRDefault="003E5EBB" w:rsidP="003E5EBB">
            <w:pPr>
              <w:numPr>
                <w:ilvl w:val="12"/>
                <w:numId w:val="0"/>
              </w:numPr>
              <w:ind w:right="55"/>
              <w:jc w:val="right"/>
              <w:rPr>
                <w:i/>
                <w:sz w:val="14"/>
                <w:szCs w:val="14"/>
              </w:rPr>
            </w:pPr>
            <w:r w:rsidRPr="00C35CC6">
              <w:rPr>
                <w:i/>
                <w:sz w:val="14"/>
                <w:szCs w:val="14"/>
              </w:rPr>
              <w:t>Accumulated fiscal losses</w:t>
            </w:r>
          </w:p>
        </w:tc>
      </w:tr>
      <w:tr w:rsidR="00FE6377" w:rsidRPr="008109D0" w14:paraId="69716999" w14:textId="77777777" w:rsidTr="002108FF">
        <w:trPr>
          <w:trHeight w:val="20"/>
        </w:trPr>
        <w:tc>
          <w:tcPr>
            <w:tcW w:w="1838" w:type="dxa"/>
          </w:tcPr>
          <w:p w14:paraId="57CC532E" w14:textId="77777777" w:rsidR="00FE6377" w:rsidRPr="00C35CC6" w:rsidRDefault="00FE6377" w:rsidP="00FE6377">
            <w:pPr>
              <w:ind w:left="510" w:hanging="142"/>
              <w:rPr>
                <w:sz w:val="14"/>
                <w:szCs w:val="14"/>
              </w:rPr>
            </w:pPr>
            <w:r w:rsidRPr="00C35CC6">
              <w:rPr>
                <w:sz w:val="14"/>
                <w:szCs w:val="14"/>
              </w:rPr>
              <w:t>Imbalan pascakerja</w:t>
            </w:r>
          </w:p>
        </w:tc>
        <w:tc>
          <w:tcPr>
            <w:tcW w:w="1055" w:type="dxa"/>
            <w:shd w:val="clear" w:color="auto" w:fill="auto"/>
            <w:vAlign w:val="bottom"/>
          </w:tcPr>
          <w:p w14:paraId="549FE6F9" w14:textId="130F054F" w:rsidR="00FE6377" w:rsidRPr="00C35CC6" w:rsidRDefault="00FE6377" w:rsidP="00FE6377">
            <w:pPr>
              <w:ind w:right="57"/>
              <w:jc w:val="right"/>
              <w:rPr>
                <w:sz w:val="14"/>
                <w:szCs w:val="14"/>
              </w:rPr>
            </w:pPr>
            <w:r w:rsidRPr="00C35CC6">
              <w:rPr>
                <w:sz w:val="14"/>
                <w:szCs w:val="14"/>
              </w:rPr>
              <w:t>10.690.582.835</w:t>
            </w:r>
          </w:p>
        </w:tc>
        <w:tc>
          <w:tcPr>
            <w:tcW w:w="64" w:type="dxa"/>
            <w:shd w:val="clear" w:color="auto" w:fill="auto"/>
            <w:vAlign w:val="bottom"/>
          </w:tcPr>
          <w:p w14:paraId="156CC171" w14:textId="77777777" w:rsidR="00FE6377" w:rsidRPr="00C35CC6" w:rsidRDefault="00FE6377" w:rsidP="00FE6377">
            <w:pPr>
              <w:ind w:right="57"/>
              <w:jc w:val="right"/>
              <w:rPr>
                <w:sz w:val="14"/>
                <w:szCs w:val="14"/>
              </w:rPr>
            </w:pPr>
          </w:p>
        </w:tc>
        <w:tc>
          <w:tcPr>
            <w:tcW w:w="1056" w:type="dxa"/>
            <w:shd w:val="clear" w:color="auto" w:fill="auto"/>
            <w:vAlign w:val="bottom"/>
          </w:tcPr>
          <w:p w14:paraId="0845BD82" w14:textId="7F0C6E5F" w:rsidR="00FE6377" w:rsidRPr="00C35CC6" w:rsidRDefault="00FE6377" w:rsidP="00FE6377">
            <w:pPr>
              <w:ind w:right="57"/>
              <w:jc w:val="right"/>
              <w:rPr>
                <w:sz w:val="14"/>
                <w:szCs w:val="14"/>
              </w:rPr>
            </w:pPr>
            <w:r w:rsidRPr="00C35CC6">
              <w:rPr>
                <w:sz w:val="14"/>
                <w:szCs w:val="14"/>
              </w:rPr>
              <w:t>354.271.982</w:t>
            </w:r>
          </w:p>
        </w:tc>
        <w:tc>
          <w:tcPr>
            <w:tcW w:w="64" w:type="dxa"/>
            <w:shd w:val="clear" w:color="auto" w:fill="auto"/>
            <w:vAlign w:val="bottom"/>
          </w:tcPr>
          <w:p w14:paraId="7683D334" w14:textId="77777777" w:rsidR="00FE6377" w:rsidRPr="00C35CC6" w:rsidRDefault="00FE6377" w:rsidP="00FE6377">
            <w:pPr>
              <w:ind w:right="57"/>
              <w:jc w:val="right"/>
              <w:rPr>
                <w:sz w:val="14"/>
                <w:szCs w:val="14"/>
              </w:rPr>
            </w:pPr>
          </w:p>
        </w:tc>
        <w:tc>
          <w:tcPr>
            <w:tcW w:w="1056" w:type="dxa"/>
            <w:vAlign w:val="bottom"/>
          </w:tcPr>
          <w:p w14:paraId="3A4A6DD3" w14:textId="0B47741D" w:rsidR="00FE6377" w:rsidRPr="00C35CC6" w:rsidRDefault="00FE6377" w:rsidP="00FE6377">
            <w:pPr>
              <w:ind w:right="57"/>
              <w:jc w:val="right"/>
              <w:rPr>
                <w:sz w:val="14"/>
                <w:szCs w:val="14"/>
                <w:lang w:val="en-ID"/>
              </w:rPr>
            </w:pPr>
          </w:p>
        </w:tc>
        <w:tc>
          <w:tcPr>
            <w:tcW w:w="64" w:type="dxa"/>
          </w:tcPr>
          <w:p w14:paraId="5463FBE9" w14:textId="77777777" w:rsidR="00FE6377" w:rsidRPr="00C35CC6" w:rsidRDefault="00FE6377" w:rsidP="00FE6377">
            <w:pPr>
              <w:ind w:right="57"/>
              <w:jc w:val="right"/>
              <w:rPr>
                <w:sz w:val="14"/>
                <w:szCs w:val="14"/>
                <w:lang w:val="en-ID"/>
              </w:rPr>
            </w:pPr>
          </w:p>
        </w:tc>
        <w:tc>
          <w:tcPr>
            <w:tcW w:w="1056" w:type="dxa"/>
            <w:shd w:val="clear" w:color="auto" w:fill="auto"/>
            <w:vAlign w:val="bottom"/>
          </w:tcPr>
          <w:p w14:paraId="1AC405B2" w14:textId="1B8FFAC7" w:rsidR="00FE6377" w:rsidRPr="00C35CC6" w:rsidRDefault="00FE6377" w:rsidP="00FE6377">
            <w:pPr>
              <w:ind w:right="57"/>
              <w:jc w:val="right"/>
              <w:rPr>
                <w:sz w:val="14"/>
                <w:szCs w:val="14"/>
                <w:lang w:val="en-ID"/>
              </w:rPr>
            </w:pPr>
            <w:r w:rsidRPr="00C35CC6">
              <w:rPr>
                <w:sz w:val="14"/>
                <w:szCs w:val="14"/>
                <w:lang w:val="en-ID"/>
              </w:rPr>
              <w:t>(235.037.546)</w:t>
            </w:r>
          </w:p>
        </w:tc>
        <w:tc>
          <w:tcPr>
            <w:tcW w:w="64" w:type="dxa"/>
            <w:shd w:val="clear" w:color="auto" w:fill="auto"/>
            <w:vAlign w:val="bottom"/>
          </w:tcPr>
          <w:p w14:paraId="6D1B2E4A" w14:textId="77777777" w:rsidR="00FE6377" w:rsidRPr="00C35CC6" w:rsidRDefault="00FE6377" w:rsidP="00FE6377">
            <w:pPr>
              <w:ind w:right="57"/>
              <w:jc w:val="right"/>
              <w:rPr>
                <w:sz w:val="14"/>
                <w:szCs w:val="14"/>
              </w:rPr>
            </w:pPr>
          </w:p>
        </w:tc>
        <w:tc>
          <w:tcPr>
            <w:tcW w:w="1056" w:type="dxa"/>
            <w:shd w:val="clear" w:color="auto" w:fill="auto"/>
            <w:vAlign w:val="bottom"/>
          </w:tcPr>
          <w:p w14:paraId="46CBC8AA" w14:textId="0E3B7DCD" w:rsidR="00FE6377" w:rsidRPr="00C35CC6" w:rsidRDefault="00FE6377" w:rsidP="00FE6377">
            <w:pPr>
              <w:ind w:right="57"/>
              <w:jc w:val="right"/>
              <w:rPr>
                <w:sz w:val="14"/>
                <w:szCs w:val="14"/>
              </w:rPr>
            </w:pPr>
            <w:r w:rsidRPr="00C35CC6">
              <w:rPr>
                <w:sz w:val="14"/>
                <w:szCs w:val="14"/>
              </w:rPr>
              <w:t>10.809.817.270</w:t>
            </w:r>
          </w:p>
        </w:tc>
        <w:tc>
          <w:tcPr>
            <w:tcW w:w="1841" w:type="dxa"/>
            <w:vAlign w:val="bottom"/>
          </w:tcPr>
          <w:p w14:paraId="12DDFE4C" w14:textId="77777777" w:rsidR="00FE6377" w:rsidRPr="00C35CC6" w:rsidRDefault="00FE6377" w:rsidP="00FE6377">
            <w:pPr>
              <w:numPr>
                <w:ilvl w:val="12"/>
                <w:numId w:val="0"/>
              </w:numPr>
              <w:ind w:right="55"/>
              <w:jc w:val="right"/>
              <w:rPr>
                <w:i/>
                <w:sz w:val="14"/>
                <w:szCs w:val="14"/>
              </w:rPr>
            </w:pPr>
            <w:r w:rsidRPr="00C35CC6">
              <w:rPr>
                <w:i/>
                <w:sz w:val="14"/>
                <w:szCs w:val="14"/>
              </w:rPr>
              <w:t>Post-employee benefits</w:t>
            </w:r>
          </w:p>
        </w:tc>
      </w:tr>
      <w:tr w:rsidR="00FE6377" w:rsidRPr="008109D0" w14:paraId="686A2FDC" w14:textId="77777777" w:rsidTr="002108FF">
        <w:trPr>
          <w:trHeight w:val="20"/>
        </w:trPr>
        <w:tc>
          <w:tcPr>
            <w:tcW w:w="1838" w:type="dxa"/>
          </w:tcPr>
          <w:p w14:paraId="3EECF111" w14:textId="77777777" w:rsidR="00FE6377" w:rsidRPr="00C35CC6" w:rsidRDefault="00FE6377" w:rsidP="00FE6377">
            <w:pPr>
              <w:ind w:left="510" w:hanging="142"/>
              <w:rPr>
                <w:sz w:val="14"/>
                <w:szCs w:val="14"/>
              </w:rPr>
            </w:pPr>
            <w:r w:rsidRPr="00C35CC6">
              <w:rPr>
                <w:sz w:val="14"/>
                <w:szCs w:val="14"/>
              </w:rPr>
              <w:t xml:space="preserve">Cadangan piutang tak tertagih </w:t>
            </w:r>
          </w:p>
        </w:tc>
        <w:tc>
          <w:tcPr>
            <w:tcW w:w="1055" w:type="dxa"/>
            <w:shd w:val="clear" w:color="auto" w:fill="auto"/>
            <w:vAlign w:val="bottom"/>
          </w:tcPr>
          <w:p w14:paraId="22E8F4E4" w14:textId="6356D817" w:rsidR="00FE6377" w:rsidRPr="00C35CC6" w:rsidRDefault="00FE6377" w:rsidP="00FE6377">
            <w:pPr>
              <w:ind w:right="57"/>
              <w:jc w:val="right"/>
              <w:rPr>
                <w:sz w:val="14"/>
                <w:szCs w:val="14"/>
              </w:rPr>
            </w:pPr>
            <w:r w:rsidRPr="00C35CC6">
              <w:rPr>
                <w:sz w:val="14"/>
                <w:szCs w:val="14"/>
              </w:rPr>
              <w:t>4.256.213.031</w:t>
            </w:r>
          </w:p>
        </w:tc>
        <w:tc>
          <w:tcPr>
            <w:tcW w:w="64" w:type="dxa"/>
            <w:shd w:val="clear" w:color="auto" w:fill="auto"/>
            <w:vAlign w:val="bottom"/>
          </w:tcPr>
          <w:p w14:paraId="5E078EE4" w14:textId="77777777" w:rsidR="00FE6377" w:rsidRPr="00C35CC6" w:rsidRDefault="00FE6377" w:rsidP="00FE6377">
            <w:pPr>
              <w:ind w:right="57"/>
              <w:jc w:val="right"/>
              <w:rPr>
                <w:sz w:val="14"/>
                <w:szCs w:val="14"/>
              </w:rPr>
            </w:pPr>
          </w:p>
        </w:tc>
        <w:tc>
          <w:tcPr>
            <w:tcW w:w="1056" w:type="dxa"/>
            <w:shd w:val="clear" w:color="auto" w:fill="auto"/>
            <w:vAlign w:val="bottom"/>
          </w:tcPr>
          <w:p w14:paraId="6301A647" w14:textId="1AF3356A" w:rsidR="00FE6377" w:rsidRPr="00C35CC6" w:rsidRDefault="00FE6377" w:rsidP="00FE6377">
            <w:pPr>
              <w:ind w:right="57"/>
              <w:jc w:val="right"/>
              <w:rPr>
                <w:sz w:val="14"/>
                <w:szCs w:val="14"/>
              </w:rPr>
            </w:pPr>
            <w:r w:rsidRPr="00C35CC6">
              <w:rPr>
                <w:sz w:val="14"/>
                <w:szCs w:val="14"/>
              </w:rPr>
              <w:t>-</w:t>
            </w:r>
          </w:p>
        </w:tc>
        <w:tc>
          <w:tcPr>
            <w:tcW w:w="64" w:type="dxa"/>
            <w:shd w:val="clear" w:color="auto" w:fill="auto"/>
            <w:vAlign w:val="bottom"/>
          </w:tcPr>
          <w:p w14:paraId="5154EFBF" w14:textId="77777777" w:rsidR="00FE6377" w:rsidRPr="00C35CC6" w:rsidRDefault="00FE6377" w:rsidP="00FE6377">
            <w:pPr>
              <w:ind w:right="57"/>
              <w:jc w:val="right"/>
              <w:rPr>
                <w:sz w:val="14"/>
                <w:szCs w:val="14"/>
              </w:rPr>
            </w:pPr>
          </w:p>
        </w:tc>
        <w:tc>
          <w:tcPr>
            <w:tcW w:w="1056" w:type="dxa"/>
            <w:vAlign w:val="bottom"/>
          </w:tcPr>
          <w:p w14:paraId="427E5930" w14:textId="1D168213" w:rsidR="00FE6377" w:rsidRPr="00C35CC6" w:rsidRDefault="00FE6377" w:rsidP="00FE6377">
            <w:pPr>
              <w:ind w:right="57"/>
              <w:jc w:val="right"/>
              <w:rPr>
                <w:sz w:val="14"/>
                <w:szCs w:val="14"/>
                <w:lang w:val="en-ID"/>
              </w:rPr>
            </w:pPr>
          </w:p>
        </w:tc>
        <w:tc>
          <w:tcPr>
            <w:tcW w:w="64" w:type="dxa"/>
          </w:tcPr>
          <w:p w14:paraId="0430685F" w14:textId="77777777" w:rsidR="00FE6377" w:rsidRPr="00C35CC6" w:rsidRDefault="00FE6377" w:rsidP="00FE6377">
            <w:pPr>
              <w:ind w:right="57"/>
              <w:jc w:val="right"/>
              <w:rPr>
                <w:sz w:val="14"/>
                <w:szCs w:val="14"/>
                <w:lang w:val="en-ID"/>
              </w:rPr>
            </w:pPr>
          </w:p>
        </w:tc>
        <w:tc>
          <w:tcPr>
            <w:tcW w:w="1056" w:type="dxa"/>
            <w:shd w:val="clear" w:color="auto" w:fill="auto"/>
            <w:vAlign w:val="bottom"/>
          </w:tcPr>
          <w:p w14:paraId="5020C77F" w14:textId="7D9464F4" w:rsidR="00FE6377" w:rsidRPr="00C35CC6" w:rsidRDefault="00FE6377" w:rsidP="00FE6377">
            <w:pPr>
              <w:ind w:right="57"/>
              <w:jc w:val="right"/>
              <w:rPr>
                <w:sz w:val="14"/>
                <w:szCs w:val="14"/>
                <w:lang w:val="en-ID"/>
              </w:rPr>
            </w:pPr>
            <w:r w:rsidRPr="00C35CC6">
              <w:rPr>
                <w:sz w:val="14"/>
                <w:szCs w:val="14"/>
                <w:lang w:val="en-ID"/>
              </w:rPr>
              <w:t>-</w:t>
            </w:r>
          </w:p>
        </w:tc>
        <w:tc>
          <w:tcPr>
            <w:tcW w:w="64" w:type="dxa"/>
            <w:shd w:val="clear" w:color="auto" w:fill="auto"/>
            <w:vAlign w:val="bottom"/>
          </w:tcPr>
          <w:p w14:paraId="14923BD1" w14:textId="77777777" w:rsidR="00FE6377" w:rsidRPr="00C35CC6" w:rsidRDefault="00FE6377" w:rsidP="00FE6377">
            <w:pPr>
              <w:ind w:right="57"/>
              <w:jc w:val="right"/>
              <w:rPr>
                <w:sz w:val="14"/>
                <w:szCs w:val="14"/>
              </w:rPr>
            </w:pPr>
          </w:p>
        </w:tc>
        <w:tc>
          <w:tcPr>
            <w:tcW w:w="1056" w:type="dxa"/>
            <w:shd w:val="clear" w:color="auto" w:fill="auto"/>
            <w:vAlign w:val="bottom"/>
          </w:tcPr>
          <w:p w14:paraId="490D6AE3" w14:textId="1B55DCBE" w:rsidR="00FE6377" w:rsidRPr="00C35CC6" w:rsidRDefault="00FE6377" w:rsidP="00FE6377">
            <w:pPr>
              <w:ind w:right="57"/>
              <w:jc w:val="right"/>
              <w:rPr>
                <w:sz w:val="14"/>
                <w:szCs w:val="14"/>
              </w:rPr>
            </w:pPr>
            <w:r w:rsidRPr="00C35CC6">
              <w:rPr>
                <w:sz w:val="14"/>
                <w:szCs w:val="14"/>
              </w:rPr>
              <w:t>4.256.213.031</w:t>
            </w:r>
          </w:p>
        </w:tc>
        <w:tc>
          <w:tcPr>
            <w:tcW w:w="1841" w:type="dxa"/>
            <w:vAlign w:val="bottom"/>
          </w:tcPr>
          <w:p w14:paraId="22CA5584" w14:textId="77777777" w:rsidR="00FE6377" w:rsidRPr="00C35CC6" w:rsidRDefault="00FE6377" w:rsidP="00FE6377">
            <w:pPr>
              <w:numPr>
                <w:ilvl w:val="12"/>
                <w:numId w:val="0"/>
              </w:numPr>
              <w:ind w:right="55"/>
              <w:jc w:val="right"/>
              <w:rPr>
                <w:i/>
                <w:sz w:val="14"/>
                <w:szCs w:val="14"/>
              </w:rPr>
            </w:pPr>
            <w:r w:rsidRPr="00C35CC6">
              <w:rPr>
                <w:i/>
                <w:sz w:val="14"/>
                <w:szCs w:val="14"/>
              </w:rPr>
              <w:t>Allowance for impairment</w:t>
            </w:r>
          </w:p>
          <w:p w14:paraId="473F74A1" w14:textId="77777777" w:rsidR="00FE6377" w:rsidRPr="00C35CC6" w:rsidRDefault="00FE6377" w:rsidP="00FE6377">
            <w:pPr>
              <w:numPr>
                <w:ilvl w:val="12"/>
                <w:numId w:val="0"/>
              </w:numPr>
              <w:ind w:right="142"/>
              <w:jc w:val="right"/>
              <w:rPr>
                <w:i/>
                <w:sz w:val="14"/>
                <w:szCs w:val="14"/>
              </w:rPr>
            </w:pPr>
            <w:r w:rsidRPr="00C35CC6">
              <w:rPr>
                <w:i/>
                <w:sz w:val="14"/>
                <w:szCs w:val="14"/>
              </w:rPr>
              <w:t>loss receivable</w:t>
            </w:r>
          </w:p>
        </w:tc>
      </w:tr>
      <w:tr w:rsidR="00FE6377" w:rsidRPr="008109D0" w14:paraId="15B7C0CF" w14:textId="77777777" w:rsidTr="00D65AE7">
        <w:trPr>
          <w:trHeight w:val="20"/>
        </w:trPr>
        <w:tc>
          <w:tcPr>
            <w:tcW w:w="1838" w:type="dxa"/>
            <w:vAlign w:val="bottom"/>
          </w:tcPr>
          <w:p w14:paraId="4CBAEFED" w14:textId="77777777" w:rsidR="00FE6377" w:rsidRPr="00C35CC6" w:rsidRDefault="00FE6377" w:rsidP="00FE6377">
            <w:pPr>
              <w:ind w:left="510" w:hanging="142"/>
              <w:rPr>
                <w:sz w:val="14"/>
                <w:szCs w:val="14"/>
              </w:rPr>
            </w:pPr>
            <w:r w:rsidRPr="00C35CC6">
              <w:rPr>
                <w:sz w:val="14"/>
                <w:szCs w:val="14"/>
              </w:rPr>
              <w:t>Penyusutan aset tetap</w:t>
            </w:r>
          </w:p>
        </w:tc>
        <w:tc>
          <w:tcPr>
            <w:tcW w:w="1055" w:type="dxa"/>
            <w:shd w:val="clear" w:color="auto" w:fill="auto"/>
          </w:tcPr>
          <w:p w14:paraId="3A932B3E" w14:textId="23B27884" w:rsidR="00FE6377" w:rsidRPr="00C35CC6" w:rsidRDefault="00FE6377" w:rsidP="00FE6377">
            <w:pPr>
              <w:ind w:right="57"/>
              <w:jc w:val="right"/>
              <w:rPr>
                <w:sz w:val="14"/>
                <w:szCs w:val="14"/>
              </w:rPr>
            </w:pPr>
            <w:r w:rsidRPr="00C35CC6">
              <w:rPr>
                <w:sz w:val="14"/>
                <w:szCs w:val="14"/>
              </w:rPr>
              <w:t>3.595.208.835</w:t>
            </w:r>
          </w:p>
        </w:tc>
        <w:tc>
          <w:tcPr>
            <w:tcW w:w="64" w:type="dxa"/>
            <w:shd w:val="clear" w:color="auto" w:fill="auto"/>
            <w:vAlign w:val="bottom"/>
          </w:tcPr>
          <w:p w14:paraId="3AEEC2B0" w14:textId="77777777" w:rsidR="00FE6377" w:rsidRPr="00C35CC6" w:rsidRDefault="00FE6377" w:rsidP="00FE6377">
            <w:pPr>
              <w:ind w:right="57"/>
              <w:jc w:val="right"/>
              <w:rPr>
                <w:sz w:val="14"/>
                <w:szCs w:val="14"/>
              </w:rPr>
            </w:pPr>
          </w:p>
        </w:tc>
        <w:tc>
          <w:tcPr>
            <w:tcW w:w="1056" w:type="dxa"/>
            <w:shd w:val="clear" w:color="auto" w:fill="auto"/>
            <w:vAlign w:val="bottom"/>
          </w:tcPr>
          <w:p w14:paraId="74AFB99E" w14:textId="7F54E391" w:rsidR="00FE6377" w:rsidRPr="00C35CC6" w:rsidRDefault="00FE6377" w:rsidP="00FE6377">
            <w:pPr>
              <w:ind w:right="57"/>
              <w:jc w:val="right"/>
              <w:rPr>
                <w:sz w:val="14"/>
                <w:szCs w:val="14"/>
              </w:rPr>
            </w:pPr>
            <w:r w:rsidRPr="00C35CC6">
              <w:rPr>
                <w:sz w:val="14"/>
                <w:szCs w:val="14"/>
              </w:rPr>
              <w:t>(42.967.823)</w:t>
            </w:r>
          </w:p>
        </w:tc>
        <w:tc>
          <w:tcPr>
            <w:tcW w:w="64" w:type="dxa"/>
            <w:shd w:val="clear" w:color="auto" w:fill="auto"/>
            <w:vAlign w:val="bottom"/>
          </w:tcPr>
          <w:p w14:paraId="1470E0E1" w14:textId="77777777" w:rsidR="00FE6377" w:rsidRPr="00C35CC6" w:rsidRDefault="00FE6377" w:rsidP="00FE6377">
            <w:pPr>
              <w:ind w:right="57"/>
              <w:jc w:val="right"/>
              <w:rPr>
                <w:sz w:val="14"/>
                <w:szCs w:val="14"/>
              </w:rPr>
            </w:pPr>
          </w:p>
        </w:tc>
        <w:tc>
          <w:tcPr>
            <w:tcW w:w="1056" w:type="dxa"/>
            <w:vAlign w:val="bottom"/>
          </w:tcPr>
          <w:p w14:paraId="496FE297" w14:textId="0922FD87" w:rsidR="00FE6377" w:rsidRPr="00C35CC6" w:rsidRDefault="00FE6377" w:rsidP="00FE6377">
            <w:pPr>
              <w:ind w:right="57"/>
              <w:jc w:val="right"/>
              <w:rPr>
                <w:sz w:val="14"/>
                <w:szCs w:val="14"/>
                <w:lang w:val="en-ID"/>
              </w:rPr>
            </w:pPr>
          </w:p>
        </w:tc>
        <w:tc>
          <w:tcPr>
            <w:tcW w:w="64" w:type="dxa"/>
          </w:tcPr>
          <w:p w14:paraId="6454A64D" w14:textId="77777777" w:rsidR="00FE6377" w:rsidRPr="00C35CC6" w:rsidRDefault="00FE6377" w:rsidP="00FE6377">
            <w:pPr>
              <w:ind w:right="57"/>
              <w:jc w:val="right"/>
              <w:rPr>
                <w:sz w:val="14"/>
                <w:szCs w:val="14"/>
                <w:lang w:val="en-ID"/>
              </w:rPr>
            </w:pPr>
          </w:p>
        </w:tc>
        <w:tc>
          <w:tcPr>
            <w:tcW w:w="1056" w:type="dxa"/>
            <w:shd w:val="clear" w:color="auto" w:fill="auto"/>
            <w:vAlign w:val="bottom"/>
          </w:tcPr>
          <w:p w14:paraId="1E7CC3F2" w14:textId="40F1DB7A" w:rsidR="00FE6377" w:rsidRPr="00C35CC6" w:rsidRDefault="00FE6377" w:rsidP="00FE6377">
            <w:pPr>
              <w:ind w:right="57"/>
              <w:jc w:val="right"/>
              <w:rPr>
                <w:sz w:val="14"/>
                <w:szCs w:val="14"/>
                <w:lang w:val="en-ID"/>
              </w:rPr>
            </w:pPr>
            <w:r w:rsidRPr="00C35CC6">
              <w:rPr>
                <w:sz w:val="14"/>
                <w:szCs w:val="14"/>
                <w:lang w:val="en-ID"/>
              </w:rPr>
              <w:t>-</w:t>
            </w:r>
          </w:p>
        </w:tc>
        <w:tc>
          <w:tcPr>
            <w:tcW w:w="64" w:type="dxa"/>
            <w:shd w:val="clear" w:color="auto" w:fill="auto"/>
            <w:vAlign w:val="bottom"/>
          </w:tcPr>
          <w:p w14:paraId="3375EAF0" w14:textId="77777777" w:rsidR="00FE6377" w:rsidRPr="00C35CC6" w:rsidRDefault="00FE6377" w:rsidP="00FE6377">
            <w:pPr>
              <w:ind w:right="57"/>
              <w:jc w:val="right"/>
              <w:rPr>
                <w:sz w:val="14"/>
                <w:szCs w:val="14"/>
              </w:rPr>
            </w:pPr>
          </w:p>
        </w:tc>
        <w:tc>
          <w:tcPr>
            <w:tcW w:w="1056" w:type="dxa"/>
            <w:shd w:val="clear" w:color="auto" w:fill="auto"/>
          </w:tcPr>
          <w:p w14:paraId="4DC2D2BA" w14:textId="48023280" w:rsidR="00FE6377" w:rsidRPr="00C35CC6" w:rsidRDefault="00FE6377" w:rsidP="00FE6377">
            <w:pPr>
              <w:ind w:right="57"/>
              <w:jc w:val="right"/>
              <w:rPr>
                <w:sz w:val="14"/>
                <w:szCs w:val="14"/>
              </w:rPr>
            </w:pPr>
            <w:r w:rsidRPr="00C35CC6">
              <w:rPr>
                <w:sz w:val="14"/>
                <w:szCs w:val="14"/>
              </w:rPr>
              <w:t>3.552.241.012</w:t>
            </w:r>
          </w:p>
        </w:tc>
        <w:tc>
          <w:tcPr>
            <w:tcW w:w="1841" w:type="dxa"/>
            <w:vAlign w:val="bottom"/>
          </w:tcPr>
          <w:p w14:paraId="461B05BB" w14:textId="77777777" w:rsidR="00FE6377" w:rsidRPr="00C35CC6" w:rsidRDefault="00FE6377" w:rsidP="00FE6377">
            <w:pPr>
              <w:numPr>
                <w:ilvl w:val="12"/>
                <w:numId w:val="0"/>
              </w:numPr>
              <w:ind w:right="55"/>
              <w:jc w:val="right"/>
              <w:rPr>
                <w:i/>
                <w:sz w:val="14"/>
                <w:szCs w:val="14"/>
              </w:rPr>
            </w:pPr>
            <w:r w:rsidRPr="00C35CC6">
              <w:rPr>
                <w:i/>
                <w:sz w:val="14"/>
                <w:szCs w:val="14"/>
              </w:rPr>
              <w:t>Depreciation of fixed assets</w:t>
            </w:r>
          </w:p>
        </w:tc>
      </w:tr>
      <w:tr w:rsidR="00FE6377" w:rsidRPr="008109D0" w14:paraId="2E24D24A" w14:textId="77777777" w:rsidTr="00D65AE7">
        <w:trPr>
          <w:trHeight w:val="20"/>
        </w:trPr>
        <w:tc>
          <w:tcPr>
            <w:tcW w:w="1838" w:type="dxa"/>
          </w:tcPr>
          <w:p w14:paraId="456C91ED" w14:textId="77777777" w:rsidR="00FE6377" w:rsidRPr="00C35CC6" w:rsidRDefault="00FE6377" w:rsidP="00FE6377">
            <w:pPr>
              <w:ind w:left="510" w:hanging="142"/>
              <w:rPr>
                <w:sz w:val="14"/>
                <w:szCs w:val="14"/>
              </w:rPr>
            </w:pPr>
            <w:r w:rsidRPr="00C35CC6">
              <w:rPr>
                <w:sz w:val="14"/>
                <w:szCs w:val="14"/>
              </w:rPr>
              <w:t>Provisi atas bonus</w:t>
            </w:r>
          </w:p>
        </w:tc>
        <w:tc>
          <w:tcPr>
            <w:tcW w:w="1055" w:type="dxa"/>
            <w:shd w:val="clear" w:color="auto" w:fill="auto"/>
          </w:tcPr>
          <w:p w14:paraId="71270AEF" w14:textId="19E71482" w:rsidR="00FE6377" w:rsidRPr="00C35CC6" w:rsidRDefault="00FE6377" w:rsidP="00FE6377">
            <w:pPr>
              <w:ind w:right="57"/>
              <w:jc w:val="right"/>
              <w:rPr>
                <w:sz w:val="14"/>
                <w:szCs w:val="14"/>
              </w:rPr>
            </w:pPr>
            <w:r w:rsidRPr="00C35CC6">
              <w:rPr>
                <w:sz w:val="14"/>
                <w:szCs w:val="14"/>
              </w:rPr>
              <w:t>1.206.807.848</w:t>
            </w:r>
          </w:p>
        </w:tc>
        <w:tc>
          <w:tcPr>
            <w:tcW w:w="64" w:type="dxa"/>
            <w:shd w:val="clear" w:color="auto" w:fill="auto"/>
            <w:vAlign w:val="bottom"/>
          </w:tcPr>
          <w:p w14:paraId="01DB6ADD" w14:textId="77777777" w:rsidR="00FE6377" w:rsidRPr="00C35CC6" w:rsidRDefault="00FE6377" w:rsidP="00FE6377">
            <w:pPr>
              <w:ind w:right="57"/>
              <w:jc w:val="right"/>
              <w:rPr>
                <w:sz w:val="14"/>
                <w:szCs w:val="14"/>
              </w:rPr>
            </w:pPr>
          </w:p>
        </w:tc>
        <w:tc>
          <w:tcPr>
            <w:tcW w:w="1056" w:type="dxa"/>
            <w:shd w:val="clear" w:color="auto" w:fill="auto"/>
            <w:vAlign w:val="bottom"/>
          </w:tcPr>
          <w:p w14:paraId="599F5376" w14:textId="76AB3D7D" w:rsidR="00FE6377" w:rsidRPr="00C35CC6" w:rsidRDefault="00FE6377" w:rsidP="00FE6377">
            <w:pPr>
              <w:ind w:right="57"/>
              <w:jc w:val="right"/>
              <w:rPr>
                <w:sz w:val="14"/>
                <w:szCs w:val="14"/>
                <w:lang w:val="en-ID"/>
              </w:rPr>
            </w:pPr>
            <w:r w:rsidRPr="00C35CC6">
              <w:rPr>
                <w:sz w:val="14"/>
                <w:szCs w:val="14"/>
                <w:lang w:val="en-ID"/>
              </w:rPr>
              <w:t>-</w:t>
            </w:r>
          </w:p>
        </w:tc>
        <w:tc>
          <w:tcPr>
            <w:tcW w:w="64" w:type="dxa"/>
            <w:shd w:val="clear" w:color="auto" w:fill="auto"/>
            <w:vAlign w:val="bottom"/>
          </w:tcPr>
          <w:p w14:paraId="5051B208" w14:textId="77777777" w:rsidR="00FE6377" w:rsidRPr="00C35CC6" w:rsidRDefault="00FE6377" w:rsidP="00FE6377">
            <w:pPr>
              <w:ind w:right="57"/>
              <w:jc w:val="right"/>
              <w:rPr>
                <w:sz w:val="14"/>
                <w:szCs w:val="14"/>
              </w:rPr>
            </w:pPr>
          </w:p>
        </w:tc>
        <w:tc>
          <w:tcPr>
            <w:tcW w:w="1056" w:type="dxa"/>
            <w:vAlign w:val="bottom"/>
          </w:tcPr>
          <w:p w14:paraId="6927B76B" w14:textId="42104C39" w:rsidR="00FE6377" w:rsidRPr="00C35CC6" w:rsidRDefault="00FE6377" w:rsidP="00FE6377">
            <w:pPr>
              <w:ind w:right="57"/>
              <w:jc w:val="right"/>
              <w:rPr>
                <w:sz w:val="14"/>
                <w:szCs w:val="14"/>
                <w:lang w:val="en-ID"/>
              </w:rPr>
            </w:pPr>
          </w:p>
        </w:tc>
        <w:tc>
          <w:tcPr>
            <w:tcW w:w="64" w:type="dxa"/>
          </w:tcPr>
          <w:p w14:paraId="33B46DE5" w14:textId="77777777" w:rsidR="00FE6377" w:rsidRPr="00C35CC6" w:rsidRDefault="00FE6377" w:rsidP="00FE6377">
            <w:pPr>
              <w:ind w:right="57"/>
              <w:jc w:val="right"/>
              <w:rPr>
                <w:sz w:val="14"/>
                <w:szCs w:val="14"/>
                <w:lang w:val="en-ID"/>
              </w:rPr>
            </w:pPr>
          </w:p>
        </w:tc>
        <w:tc>
          <w:tcPr>
            <w:tcW w:w="1056" w:type="dxa"/>
            <w:shd w:val="clear" w:color="auto" w:fill="auto"/>
            <w:vAlign w:val="bottom"/>
          </w:tcPr>
          <w:p w14:paraId="2BE8C4DB" w14:textId="197DB475" w:rsidR="00FE6377" w:rsidRPr="00C35CC6" w:rsidRDefault="00FE6377" w:rsidP="00FE6377">
            <w:pPr>
              <w:ind w:right="57"/>
              <w:jc w:val="right"/>
              <w:rPr>
                <w:sz w:val="14"/>
                <w:szCs w:val="14"/>
                <w:lang w:val="en-ID"/>
              </w:rPr>
            </w:pPr>
            <w:r w:rsidRPr="00C35CC6">
              <w:rPr>
                <w:sz w:val="14"/>
                <w:szCs w:val="14"/>
                <w:lang w:val="en-ID"/>
              </w:rPr>
              <w:t>-</w:t>
            </w:r>
          </w:p>
        </w:tc>
        <w:tc>
          <w:tcPr>
            <w:tcW w:w="64" w:type="dxa"/>
            <w:shd w:val="clear" w:color="auto" w:fill="auto"/>
            <w:vAlign w:val="bottom"/>
          </w:tcPr>
          <w:p w14:paraId="1BD4D728" w14:textId="77777777" w:rsidR="00FE6377" w:rsidRPr="00C35CC6" w:rsidRDefault="00FE6377" w:rsidP="00FE6377">
            <w:pPr>
              <w:ind w:right="57"/>
              <w:jc w:val="right"/>
              <w:rPr>
                <w:sz w:val="14"/>
                <w:szCs w:val="14"/>
              </w:rPr>
            </w:pPr>
          </w:p>
        </w:tc>
        <w:tc>
          <w:tcPr>
            <w:tcW w:w="1056" w:type="dxa"/>
            <w:shd w:val="clear" w:color="auto" w:fill="auto"/>
          </w:tcPr>
          <w:p w14:paraId="4F4EEBF4" w14:textId="17582B4C" w:rsidR="00FE6377" w:rsidRPr="00C35CC6" w:rsidRDefault="00FE6377" w:rsidP="00FE6377">
            <w:pPr>
              <w:ind w:right="57"/>
              <w:jc w:val="right"/>
              <w:rPr>
                <w:sz w:val="14"/>
                <w:szCs w:val="14"/>
              </w:rPr>
            </w:pPr>
            <w:r w:rsidRPr="00C35CC6">
              <w:rPr>
                <w:sz w:val="14"/>
                <w:szCs w:val="14"/>
              </w:rPr>
              <w:t>1.206.807.848</w:t>
            </w:r>
          </w:p>
        </w:tc>
        <w:tc>
          <w:tcPr>
            <w:tcW w:w="1841" w:type="dxa"/>
            <w:vAlign w:val="bottom"/>
          </w:tcPr>
          <w:p w14:paraId="21BEC1FD" w14:textId="77777777" w:rsidR="00FE6377" w:rsidRPr="00C35CC6" w:rsidRDefault="00FE6377" w:rsidP="00FE6377">
            <w:pPr>
              <w:numPr>
                <w:ilvl w:val="12"/>
                <w:numId w:val="0"/>
              </w:numPr>
              <w:ind w:right="55"/>
              <w:jc w:val="right"/>
              <w:rPr>
                <w:i/>
                <w:sz w:val="14"/>
                <w:szCs w:val="14"/>
              </w:rPr>
            </w:pPr>
            <w:r w:rsidRPr="00C35CC6">
              <w:rPr>
                <w:i/>
                <w:sz w:val="14"/>
                <w:szCs w:val="14"/>
              </w:rPr>
              <w:t>Provision of bonus</w:t>
            </w:r>
          </w:p>
        </w:tc>
      </w:tr>
      <w:tr w:rsidR="00FE6377" w:rsidRPr="008109D0" w14:paraId="48192561" w14:textId="77777777" w:rsidTr="002108FF">
        <w:trPr>
          <w:trHeight w:val="20"/>
        </w:trPr>
        <w:tc>
          <w:tcPr>
            <w:tcW w:w="1838" w:type="dxa"/>
          </w:tcPr>
          <w:p w14:paraId="55A43061" w14:textId="77777777" w:rsidR="00FE6377" w:rsidRPr="00C35CC6" w:rsidRDefault="00FE6377" w:rsidP="00FE6377">
            <w:pPr>
              <w:ind w:left="510" w:hanging="142"/>
              <w:rPr>
                <w:sz w:val="14"/>
                <w:szCs w:val="14"/>
              </w:rPr>
            </w:pPr>
            <w:r w:rsidRPr="00C35CC6">
              <w:rPr>
                <w:sz w:val="14"/>
                <w:szCs w:val="14"/>
              </w:rPr>
              <w:t>Aset sewa pembiayaan</w:t>
            </w:r>
          </w:p>
        </w:tc>
        <w:tc>
          <w:tcPr>
            <w:tcW w:w="1055" w:type="dxa"/>
            <w:tcBorders>
              <w:bottom w:val="single" w:sz="4" w:space="0" w:color="auto"/>
            </w:tcBorders>
            <w:shd w:val="clear" w:color="auto" w:fill="auto"/>
            <w:vAlign w:val="bottom"/>
          </w:tcPr>
          <w:p w14:paraId="16E0EEBB" w14:textId="182FDCF4" w:rsidR="00FE6377" w:rsidRPr="00C35CC6" w:rsidRDefault="00FE6377" w:rsidP="00FE6377">
            <w:pPr>
              <w:ind w:right="57"/>
              <w:jc w:val="right"/>
              <w:rPr>
                <w:sz w:val="14"/>
                <w:szCs w:val="14"/>
              </w:rPr>
            </w:pPr>
            <w:r w:rsidRPr="00C35CC6">
              <w:rPr>
                <w:sz w:val="14"/>
                <w:szCs w:val="14"/>
              </w:rPr>
              <w:t>-</w:t>
            </w:r>
          </w:p>
        </w:tc>
        <w:tc>
          <w:tcPr>
            <w:tcW w:w="64" w:type="dxa"/>
            <w:shd w:val="clear" w:color="auto" w:fill="auto"/>
            <w:vAlign w:val="bottom"/>
          </w:tcPr>
          <w:p w14:paraId="4E332837" w14:textId="77777777" w:rsidR="00FE6377" w:rsidRPr="00C35CC6" w:rsidRDefault="00FE6377" w:rsidP="00FE6377">
            <w:pPr>
              <w:ind w:right="57"/>
              <w:jc w:val="right"/>
              <w:rPr>
                <w:sz w:val="14"/>
                <w:szCs w:val="14"/>
              </w:rPr>
            </w:pPr>
          </w:p>
        </w:tc>
        <w:tc>
          <w:tcPr>
            <w:tcW w:w="1056" w:type="dxa"/>
            <w:tcBorders>
              <w:bottom w:val="single" w:sz="4" w:space="0" w:color="auto"/>
            </w:tcBorders>
            <w:shd w:val="clear" w:color="auto" w:fill="auto"/>
            <w:vAlign w:val="bottom"/>
          </w:tcPr>
          <w:p w14:paraId="1B9AAD3C" w14:textId="2262E284" w:rsidR="00FE6377" w:rsidRPr="00C35CC6" w:rsidRDefault="00FE6377" w:rsidP="00FE6377">
            <w:pPr>
              <w:ind w:right="57"/>
              <w:jc w:val="right"/>
              <w:rPr>
                <w:sz w:val="14"/>
                <w:szCs w:val="14"/>
                <w:lang w:val="en-ID"/>
              </w:rPr>
            </w:pPr>
            <w:r w:rsidRPr="00C35CC6">
              <w:rPr>
                <w:sz w:val="14"/>
                <w:szCs w:val="14"/>
                <w:lang w:val="en-ID"/>
              </w:rPr>
              <w:t>-</w:t>
            </w:r>
          </w:p>
        </w:tc>
        <w:tc>
          <w:tcPr>
            <w:tcW w:w="64" w:type="dxa"/>
            <w:shd w:val="clear" w:color="auto" w:fill="auto"/>
            <w:vAlign w:val="bottom"/>
          </w:tcPr>
          <w:p w14:paraId="17F495D0" w14:textId="77777777" w:rsidR="00FE6377" w:rsidRPr="00C35CC6" w:rsidRDefault="00FE6377" w:rsidP="00FE6377">
            <w:pPr>
              <w:ind w:right="57"/>
              <w:jc w:val="right"/>
              <w:rPr>
                <w:sz w:val="14"/>
                <w:szCs w:val="14"/>
              </w:rPr>
            </w:pPr>
          </w:p>
        </w:tc>
        <w:tc>
          <w:tcPr>
            <w:tcW w:w="1056" w:type="dxa"/>
            <w:tcBorders>
              <w:bottom w:val="single" w:sz="4" w:space="0" w:color="auto"/>
            </w:tcBorders>
            <w:vAlign w:val="bottom"/>
          </w:tcPr>
          <w:p w14:paraId="1D241D30" w14:textId="424CAB3D" w:rsidR="00FE6377" w:rsidRPr="00C35CC6" w:rsidRDefault="00FE6377" w:rsidP="00FE6377">
            <w:pPr>
              <w:ind w:right="57"/>
              <w:jc w:val="right"/>
              <w:rPr>
                <w:sz w:val="14"/>
                <w:szCs w:val="14"/>
                <w:lang w:val="en-ID"/>
              </w:rPr>
            </w:pPr>
          </w:p>
        </w:tc>
        <w:tc>
          <w:tcPr>
            <w:tcW w:w="64" w:type="dxa"/>
          </w:tcPr>
          <w:p w14:paraId="0D807F00" w14:textId="77777777" w:rsidR="00FE6377" w:rsidRPr="00C35CC6" w:rsidRDefault="00FE6377" w:rsidP="00FE6377">
            <w:pPr>
              <w:ind w:right="57"/>
              <w:jc w:val="right"/>
              <w:rPr>
                <w:sz w:val="14"/>
                <w:szCs w:val="14"/>
                <w:lang w:val="en-ID"/>
              </w:rPr>
            </w:pPr>
          </w:p>
        </w:tc>
        <w:tc>
          <w:tcPr>
            <w:tcW w:w="1056" w:type="dxa"/>
            <w:tcBorders>
              <w:bottom w:val="single" w:sz="4" w:space="0" w:color="auto"/>
            </w:tcBorders>
            <w:shd w:val="clear" w:color="auto" w:fill="auto"/>
            <w:vAlign w:val="bottom"/>
          </w:tcPr>
          <w:p w14:paraId="1594DE32" w14:textId="0680BDE1" w:rsidR="00FE6377" w:rsidRPr="00C35CC6" w:rsidRDefault="00FE6377" w:rsidP="00FE6377">
            <w:pPr>
              <w:ind w:right="57"/>
              <w:jc w:val="right"/>
              <w:rPr>
                <w:sz w:val="14"/>
                <w:szCs w:val="14"/>
                <w:lang w:val="en-ID"/>
              </w:rPr>
            </w:pPr>
            <w:r w:rsidRPr="00C35CC6">
              <w:rPr>
                <w:sz w:val="14"/>
                <w:szCs w:val="14"/>
                <w:lang w:val="en-ID"/>
              </w:rPr>
              <w:t>-</w:t>
            </w:r>
          </w:p>
        </w:tc>
        <w:tc>
          <w:tcPr>
            <w:tcW w:w="64" w:type="dxa"/>
            <w:shd w:val="clear" w:color="auto" w:fill="auto"/>
            <w:vAlign w:val="bottom"/>
          </w:tcPr>
          <w:p w14:paraId="0B1CEAAD" w14:textId="77777777" w:rsidR="00FE6377" w:rsidRPr="00C35CC6" w:rsidRDefault="00FE6377" w:rsidP="00FE6377">
            <w:pPr>
              <w:ind w:right="57"/>
              <w:jc w:val="right"/>
              <w:rPr>
                <w:sz w:val="14"/>
                <w:szCs w:val="14"/>
              </w:rPr>
            </w:pPr>
          </w:p>
        </w:tc>
        <w:tc>
          <w:tcPr>
            <w:tcW w:w="1056" w:type="dxa"/>
            <w:tcBorders>
              <w:bottom w:val="single" w:sz="4" w:space="0" w:color="auto"/>
            </w:tcBorders>
            <w:shd w:val="clear" w:color="auto" w:fill="auto"/>
            <w:vAlign w:val="bottom"/>
          </w:tcPr>
          <w:p w14:paraId="6F639F66" w14:textId="2C81D16F" w:rsidR="00FE6377" w:rsidRPr="00C35CC6" w:rsidRDefault="00FE6377" w:rsidP="00FE6377">
            <w:pPr>
              <w:ind w:right="57"/>
              <w:jc w:val="right"/>
              <w:rPr>
                <w:sz w:val="14"/>
                <w:szCs w:val="14"/>
              </w:rPr>
            </w:pPr>
            <w:r w:rsidRPr="00C35CC6">
              <w:rPr>
                <w:sz w:val="14"/>
                <w:szCs w:val="14"/>
              </w:rPr>
              <w:t>-</w:t>
            </w:r>
          </w:p>
        </w:tc>
        <w:tc>
          <w:tcPr>
            <w:tcW w:w="1841" w:type="dxa"/>
            <w:vAlign w:val="bottom"/>
          </w:tcPr>
          <w:p w14:paraId="5BE700DE" w14:textId="77777777" w:rsidR="00FE6377" w:rsidRPr="00C35CC6" w:rsidRDefault="00FE6377" w:rsidP="00FE6377">
            <w:pPr>
              <w:numPr>
                <w:ilvl w:val="12"/>
                <w:numId w:val="0"/>
              </w:numPr>
              <w:ind w:right="55"/>
              <w:jc w:val="right"/>
              <w:rPr>
                <w:i/>
                <w:sz w:val="14"/>
                <w:szCs w:val="14"/>
              </w:rPr>
            </w:pPr>
            <w:r w:rsidRPr="00C35CC6">
              <w:rPr>
                <w:i/>
                <w:sz w:val="14"/>
                <w:szCs w:val="14"/>
              </w:rPr>
              <w:t>Asset under finance lease</w:t>
            </w:r>
          </w:p>
        </w:tc>
      </w:tr>
      <w:tr w:rsidR="00FE6377" w:rsidRPr="008109D0" w14:paraId="1C4549EE" w14:textId="77777777" w:rsidTr="002108FF">
        <w:trPr>
          <w:trHeight w:val="20"/>
        </w:trPr>
        <w:tc>
          <w:tcPr>
            <w:tcW w:w="1838" w:type="dxa"/>
          </w:tcPr>
          <w:p w14:paraId="07BBE730" w14:textId="77777777" w:rsidR="00FE6377" w:rsidRPr="00C35CC6" w:rsidRDefault="00FE6377" w:rsidP="00FE6377">
            <w:pPr>
              <w:ind w:left="510" w:hanging="142"/>
              <w:rPr>
                <w:sz w:val="14"/>
                <w:szCs w:val="14"/>
              </w:rPr>
            </w:pPr>
          </w:p>
        </w:tc>
        <w:tc>
          <w:tcPr>
            <w:tcW w:w="1055" w:type="dxa"/>
            <w:tcBorders>
              <w:top w:val="single" w:sz="4" w:space="0" w:color="auto"/>
            </w:tcBorders>
            <w:shd w:val="clear" w:color="auto" w:fill="auto"/>
            <w:vAlign w:val="bottom"/>
          </w:tcPr>
          <w:p w14:paraId="4EA0D3F5" w14:textId="77777777" w:rsidR="00FE6377" w:rsidRPr="00C35CC6" w:rsidRDefault="00FE6377" w:rsidP="00FE6377">
            <w:pPr>
              <w:ind w:right="57"/>
              <w:jc w:val="right"/>
              <w:rPr>
                <w:sz w:val="10"/>
                <w:szCs w:val="10"/>
              </w:rPr>
            </w:pPr>
          </w:p>
        </w:tc>
        <w:tc>
          <w:tcPr>
            <w:tcW w:w="64" w:type="dxa"/>
            <w:shd w:val="clear" w:color="auto" w:fill="auto"/>
            <w:vAlign w:val="bottom"/>
          </w:tcPr>
          <w:p w14:paraId="0AF04EB3"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4007E3B2" w14:textId="77777777" w:rsidR="00FE6377" w:rsidRPr="00C35CC6" w:rsidRDefault="00FE6377" w:rsidP="00FE6377">
            <w:pPr>
              <w:ind w:right="57"/>
              <w:jc w:val="right"/>
              <w:rPr>
                <w:sz w:val="10"/>
                <w:szCs w:val="10"/>
              </w:rPr>
            </w:pPr>
          </w:p>
        </w:tc>
        <w:tc>
          <w:tcPr>
            <w:tcW w:w="64" w:type="dxa"/>
            <w:shd w:val="clear" w:color="auto" w:fill="auto"/>
            <w:vAlign w:val="bottom"/>
          </w:tcPr>
          <w:p w14:paraId="09B70620" w14:textId="77777777" w:rsidR="00FE6377" w:rsidRPr="00C35CC6" w:rsidRDefault="00FE6377" w:rsidP="00FE6377">
            <w:pPr>
              <w:ind w:right="57"/>
              <w:jc w:val="right"/>
              <w:rPr>
                <w:sz w:val="10"/>
                <w:szCs w:val="10"/>
              </w:rPr>
            </w:pPr>
          </w:p>
        </w:tc>
        <w:tc>
          <w:tcPr>
            <w:tcW w:w="1056" w:type="dxa"/>
            <w:tcBorders>
              <w:top w:val="single" w:sz="4" w:space="0" w:color="auto"/>
            </w:tcBorders>
            <w:vAlign w:val="bottom"/>
          </w:tcPr>
          <w:p w14:paraId="4D72A0AA" w14:textId="77777777" w:rsidR="00FE6377" w:rsidRPr="00C35CC6" w:rsidRDefault="00FE6377" w:rsidP="00FE6377">
            <w:pPr>
              <w:ind w:right="57"/>
              <w:jc w:val="right"/>
              <w:rPr>
                <w:sz w:val="10"/>
                <w:szCs w:val="10"/>
              </w:rPr>
            </w:pPr>
          </w:p>
        </w:tc>
        <w:tc>
          <w:tcPr>
            <w:tcW w:w="64" w:type="dxa"/>
          </w:tcPr>
          <w:p w14:paraId="418A6596"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7567FE6F" w14:textId="77777777" w:rsidR="00FE6377" w:rsidRPr="00C35CC6" w:rsidRDefault="00FE6377" w:rsidP="00FE6377">
            <w:pPr>
              <w:ind w:right="57"/>
              <w:jc w:val="right"/>
              <w:rPr>
                <w:sz w:val="10"/>
                <w:szCs w:val="10"/>
              </w:rPr>
            </w:pPr>
          </w:p>
        </w:tc>
        <w:tc>
          <w:tcPr>
            <w:tcW w:w="64" w:type="dxa"/>
            <w:shd w:val="clear" w:color="auto" w:fill="auto"/>
            <w:vAlign w:val="bottom"/>
          </w:tcPr>
          <w:p w14:paraId="3198EB73"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528D6FD2" w14:textId="77777777" w:rsidR="00FE6377" w:rsidRPr="00C35CC6" w:rsidRDefault="00FE6377" w:rsidP="00FE6377">
            <w:pPr>
              <w:ind w:right="57"/>
              <w:jc w:val="right"/>
              <w:rPr>
                <w:sz w:val="10"/>
                <w:szCs w:val="10"/>
              </w:rPr>
            </w:pPr>
          </w:p>
        </w:tc>
        <w:tc>
          <w:tcPr>
            <w:tcW w:w="1841" w:type="dxa"/>
            <w:vAlign w:val="bottom"/>
          </w:tcPr>
          <w:p w14:paraId="1707AB5A" w14:textId="77777777" w:rsidR="00FE6377" w:rsidRPr="00C35CC6" w:rsidRDefault="00FE6377" w:rsidP="00FE6377">
            <w:pPr>
              <w:numPr>
                <w:ilvl w:val="12"/>
                <w:numId w:val="0"/>
              </w:numPr>
              <w:ind w:right="55"/>
              <w:jc w:val="right"/>
              <w:rPr>
                <w:i/>
                <w:sz w:val="10"/>
                <w:szCs w:val="10"/>
              </w:rPr>
            </w:pPr>
          </w:p>
        </w:tc>
      </w:tr>
      <w:tr w:rsidR="00FE6377" w:rsidRPr="008109D0" w14:paraId="4A4F6193" w14:textId="77777777" w:rsidTr="002108FF">
        <w:trPr>
          <w:trHeight w:val="20"/>
        </w:trPr>
        <w:tc>
          <w:tcPr>
            <w:tcW w:w="1838" w:type="dxa"/>
          </w:tcPr>
          <w:p w14:paraId="2931E5B6" w14:textId="77777777" w:rsidR="00FE6377" w:rsidRPr="00C35CC6" w:rsidRDefault="00FE6377" w:rsidP="00FE6377">
            <w:pPr>
              <w:ind w:left="510" w:hanging="142"/>
              <w:rPr>
                <w:sz w:val="14"/>
                <w:szCs w:val="14"/>
              </w:rPr>
            </w:pPr>
            <w:r w:rsidRPr="00C35CC6">
              <w:rPr>
                <w:sz w:val="14"/>
                <w:szCs w:val="14"/>
              </w:rPr>
              <w:t>Sub jumlah</w:t>
            </w:r>
          </w:p>
        </w:tc>
        <w:tc>
          <w:tcPr>
            <w:tcW w:w="1055" w:type="dxa"/>
            <w:tcBorders>
              <w:bottom w:val="single" w:sz="4" w:space="0" w:color="auto"/>
            </w:tcBorders>
            <w:shd w:val="clear" w:color="auto" w:fill="auto"/>
            <w:vAlign w:val="bottom"/>
          </w:tcPr>
          <w:p w14:paraId="7A463E12" w14:textId="462AFCBF" w:rsidR="00FE6377" w:rsidRPr="00C35CC6" w:rsidRDefault="00FE6377" w:rsidP="00FE6377">
            <w:pPr>
              <w:ind w:right="57"/>
              <w:jc w:val="right"/>
              <w:rPr>
                <w:sz w:val="14"/>
                <w:szCs w:val="14"/>
              </w:rPr>
            </w:pPr>
            <w:r w:rsidRPr="00C35CC6">
              <w:rPr>
                <w:sz w:val="14"/>
                <w:szCs w:val="14"/>
              </w:rPr>
              <w:t>19.748.812.549</w:t>
            </w:r>
          </w:p>
        </w:tc>
        <w:tc>
          <w:tcPr>
            <w:tcW w:w="64" w:type="dxa"/>
            <w:shd w:val="clear" w:color="auto" w:fill="auto"/>
            <w:vAlign w:val="bottom"/>
          </w:tcPr>
          <w:p w14:paraId="73C83943" w14:textId="77777777" w:rsidR="00FE6377" w:rsidRPr="00C35CC6" w:rsidRDefault="00FE6377" w:rsidP="00FE6377">
            <w:pPr>
              <w:ind w:right="57"/>
              <w:jc w:val="right"/>
              <w:rPr>
                <w:sz w:val="14"/>
                <w:szCs w:val="14"/>
              </w:rPr>
            </w:pPr>
          </w:p>
        </w:tc>
        <w:tc>
          <w:tcPr>
            <w:tcW w:w="1056" w:type="dxa"/>
            <w:tcBorders>
              <w:bottom w:val="single" w:sz="4" w:space="0" w:color="auto"/>
            </w:tcBorders>
            <w:shd w:val="clear" w:color="auto" w:fill="auto"/>
            <w:vAlign w:val="bottom"/>
          </w:tcPr>
          <w:p w14:paraId="6349C1F0" w14:textId="4698B067" w:rsidR="00FE6377" w:rsidRPr="00C35CC6" w:rsidRDefault="00FE6377" w:rsidP="00FE6377">
            <w:pPr>
              <w:ind w:right="57"/>
              <w:jc w:val="right"/>
              <w:rPr>
                <w:sz w:val="14"/>
                <w:szCs w:val="14"/>
              </w:rPr>
            </w:pPr>
            <w:r w:rsidRPr="00C35CC6">
              <w:rPr>
                <w:sz w:val="14"/>
                <w:szCs w:val="14"/>
              </w:rPr>
              <w:t>311.304.159</w:t>
            </w:r>
          </w:p>
        </w:tc>
        <w:tc>
          <w:tcPr>
            <w:tcW w:w="64" w:type="dxa"/>
            <w:shd w:val="clear" w:color="auto" w:fill="auto"/>
            <w:vAlign w:val="bottom"/>
          </w:tcPr>
          <w:p w14:paraId="1FA2051B" w14:textId="77777777" w:rsidR="00FE6377" w:rsidRPr="00C35CC6" w:rsidRDefault="00FE6377" w:rsidP="00FE6377">
            <w:pPr>
              <w:ind w:right="57"/>
              <w:jc w:val="right"/>
              <w:rPr>
                <w:sz w:val="14"/>
                <w:szCs w:val="14"/>
              </w:rPr>
            </w:pPr>
          </w:p>
        </w:tc>
        <w:tc>
          <w:tcPr>
            <w:tcW w:w="1056" w:type="dxa"/>
            <w:tcBorders>
              <w:bottom w:val="single" w:sz="4" w:space="0" w:color="auto"/>
            </w:tcBorders>
            <w:vAlign w:val="bottom"/>
          </w:tcPr>
          <w:p w14:paraId="25AAAC62" w14:textId="33AA3458" w:rsidR="00FE6377" w:rsidRPr="00C35CC6" w:rsidRDefault="00FE6377" w:rsidP="00FE6377">
            <w:pPr>
              <w:ind w:right="57"/>
              <w:jc w:val="right"/>
              <w:rPr>
                <w:sz w:val="14"/>
                <w:szCs w:val="14"/>
              </w:rPr>
            </w:pPr>
          </w:p>
        </w:tc>
        <w:tc>
          <w:tcPr>
            <w:tcW w:w="64" w:type="dxa"/>
          </w:tcPr>
          <w:p w14:paraId="1FA401B2" w14:textId="77777777" w:rsidR="00FE6377" w:rsidRPr="00C35CC6" w:rsidRDefault="00FE6377" w:rsidP="00FE6377">
            <w:pPr>
              <w:ind w:right="57"/>
              <w:jc w:val="right"/>
              <w:rPr>
                <w:sz w:val="14"/>
                <w:szCs w:val="14"/>
              </w:rPr>
            </w:pPr>
          </w:p>
        </w:tc>
        <w:tc>
          <w:tcPr>
            <w:tcW w:w="1056" w:type="dxa"/>
            <w:tcBorders>
              <w:bottom w:val="single" w:sz="4" w:space="0" w:color="auto"/>
            </w:tcBorders>
            <w:shd w:val="clear" w:color="auto" w:fill="auto"/>
            <w:vAlign w:val="bottom"/>
          </w:tcPr>
          <w:p w14:paraId="71E1D830" w14:textId="14011E42" w:rsidR="00FE6377" w:rsidRPr="00C35CC6" w:rsidRDefault="00FE6377" w:rsidP="00FE6377">
            <w:pPr>
              <w:ind w:right="57"/>
              <w:jc w:val="right"/>
              <w:rPr>
                <w:sz w:val="14"/>
                <w:szCs w:val="14"/>
              </w:rPr>
            </w:pPr>
            <w:r w:rsidRPr="00C35CC6">
              <w:rPr>
                <w:sz w:val="14"/>
                <w:szCs w:val="14"/>
                <w:lang w:val="en-ID"/>
              </w:rPr>
              <w:t>(235.037.546)</w:t>
            </w:r>
          </w:p>
        </w:tc>
        <w:tc>
          <w:tcPr>
            <w:tcW w:w="64" w:type="dxa"/>
            <w:shd w:val="clear" w:color="auto" w:fill="auto"/>
            <w:vAlign w:val="bottom"/>
          </w:tcPr>
          <w:p w14:paraId="002F9111" w14:textId="77777777" w:rsidR="00FE6377" w:rsidRPr="00C35CC6" w:rsidRDefault="00FE6377" w:rsidP="00FE6377">
            <w:pPr>
              <w:ind w:right="57"/>
              <w:jc w:val="right"/>
              <w:rPr>
                <w:sz w:val="14"/>
                <w:szCs w:val="14"/>
              </w:rPr>
            </w:pPr>
          </w:p>
        </w:tc>
        <w:tc>
          <w:tcPr>
            <w:tcW w:w="1056" w:type="dxa"/>
            <w:tcBorders>
              <w:bottom w:val="single" w:sz="4" w:space="0" w:color="auto"/>
            </w:tcBorders>
            <w:shd w:val="clear" w:color="auto" w:fill="auto"/>
            <w:vAlign w:val="bottom"/>
          </w:tcPr>
          <w:p w14:paraId="3BDCF4BF" w14:textId="0B4C6C77" w:rsidR="00FE6377" w:rsidRPr="00C35CC6" w:rsidRDefault="00FE6377" w:rsidP="00FE6377">
            <w:pPr>
              <w:ind w:right="57"/>
              <w:jc w:val="right"/>
              <w:rPr>
                <w:sz w:val="14"/>
                <w:szCs w:val="14"/>
              </w:rPr>
            </w:pPr>
            <w:r w:rsidRPr="00C35CC6">
              <w:rPr>
                <w:sz w:val="14"/>
                <w:szCs w:val="14"/>
              </w:rPr>
              <w:t>19.825.079.161</w:t>
            </w:r>
          </w:p>
        </w:tc>
        <w:tc>
          <w:tcPr>
            <w:tcW w:w="1841" w:type="dxa"/>
            <w:vAlign w:val="bottom"/>
          </w:tcPr>
          <w:p w14:paraId="26A60660" w14:textId="77777777" w:rsidR="00FE6377" w:rsidRPr="00C35CC6" w:rsidRDefault="00FE6377" w:rsidP="00FE6377">
            <w:pPr>
              <w:numPr>
                <w:ilvl w:val="12"/>
                <w:numId w:val="0"/>
              </w:numPr>
              <w:ind w:right="55"/>
              <w:jc w:val="right"/>
              <w:rPr>
                <w:i/>
                <w:sz w:val="14"/>
                <w:szCs w:val="14"/>
              </w:rPr>
            </w:pPr>
            <w:r w:rsidRPr="00C35CC6">
              <w:rPr>
                <w:i/>
                <w:sz w:val="14"/>
                <w:szCs w:val="14"/>
              </w:rPr>
              <w:t>Sub total</w:t>
            </w:r>
          </w:p>
        </w:tc>
      </w:tr>
      <w:tr w:rsidR="00FE6377" w:rsidRPr="008109D0" w14:paraId="3C4EC6C4" w14:textId="77777777" w:rsidTr="00864C56">
        <w:trPr>
          <w:trHeight w:val="50"/>
        </w:trPr>
        <w:tc>
          <w:tcPr>
            <w:tcW w:w="1838" w:type="dxa"/>
          </w:tcPr>
          <w:p w14:paraId="625F0FEE" w14:textId="77777777" w:rsidR="00FE6377" w:rsidRPr="00C35CC6" w:rsidRDefault="00FE6377" w:rsidP="00FE6377">
            <w:pPr>
              <w:ind w:left="510" w:hanging="142"/>
              <w:rPr>
                <w:sz w:val="14"/>
                <w:szCs w:val="14"/>
                <w:u w:val="single"/>
              </w:rPr>
            </w:pPr>
          </w:p>
        </w:tc>
        <w:tc>
          <w:tcPr>
            <w:tcW w:w="1055" w:type="dxa"/>
            <w:tcBorders>
              <w:top w:val="single" w:sz="4" w:space="0" w:color="auto"/>
            </w:tcBorders>
            <w:shd w:val="clear" w:color="auto" w:fill="auto"/>
            <w:vAlign w:val="bottom"/>
          </w:tcPr>
          <w:p w14:paraId="73F2FAE5" w14:textId="77777777" w:rsidR="00FE6377" w:rsidRPr="00C35CC6" w:rsidRDefault="00FE6377" w:rsidP="00FE6377">
            <w:pPr>
              <w:ind w:right="57"/>
              <w:jc w:val="right"/>
              <w:rPr>
                <w:sz w:val="10"/>
                <w:szCs w:val="10"/>
              </w:rPr>
            </w:pPr>
          </w:p>
        </w:tc>
        <w:tc>
          <w:tcPr>
            <w:tcW w:w="64" w:type="dxa"/>
            <w:shd w:val="clear" w:color="auto" w:fill="auto"/>
            <w:vAlign w:val="bottom"/>
          </w:tcPr>
          <w:p w14:paraId="4B901070"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70D36C3B" w14:textId="77777777" w:rsidR="00FE6377" w:rsidRPr="00C35CC6" w:rsidRDefault="00FE6377" w:rsidP="00FE6377">
            <w:pPr>
              <w:ind w:right="57"/>
              <w:jc w:val="right"/>
              <w:rPr>
                <w:sz w:val="10"/>
                <w:szCs w:val="10"/>
              </w:rPr>
            </w:pPr>
          </w:p>
        </w:tc>
        <w:tc>
          <w:tcPr>
            <w:tcW w:w="64" w:type="dxa"/>
            <w:shd w:val="clear" w:color="auto" w:fill="auto"/>
            <w:vAlign w:val="bottom"/>
          </w:tcPr>
          <w:p w14:paraId="79EC0193" w14:textId="77777777" w:rsidR="00FE6377" w:rsidRPr="00C35CC6" w:rsidRDefault="00FE6377" w:rsidP="00FE6377">
            <w:pPr>
              <w:ind w:right="57"/>
              <w:jc w:val="right"/>
              <w:rPr>
                <w:sz w:val="10"/>
                <w:szCs w:val="10"/>
              </w:rPr>
            </w:pPr>
          </w:p>
        </w:tc>
        <w:tc>
          <w:tcPr>
            <w:tcW w:w="1056" w:type="dxa"/>
            <w:tcBorders>
              <w:top w:val="single" w:sz="4" w:space="0" w:color="auto"/>
            </w:tcBorders>
          </w:tcPr>
          <w:p w14:paraId="6E056534" w14:textId="77777777" w:rsidR="00FE6377" w:rsidRPr="00C35CC6" w:rsidRDefault="00FE6377" w:rsidP="00FE6377">
            <w:pPr>
              <w:ind w:right="57"/>
              <w:jc w:val="right"/>
              <w:rPr>
                <w:sz w:val="10"/>
                <w:szCs w:val="10"/>
              </w:rPr>
            </w:pPr>
          </w:p>
        </w:tc>
        <w:tc>
          <w:tcPr>
            <w:tcW w:w="64" w:type="dxa"/>
          </w:tcPr>
          <w:p w14:paraId="60085F05"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3C3228A5" w14:textId="77777777" w:rsidR="00FE6377" w:rsidRPr="00C35CC6" w:rsidRDefault="00FE6377" w:rsidP="00FE6377">
            <w:pPr>
              <w:ind w:right="57"/>
              <w:jc w:val="right"/>
              <w:rPr>
                <w:sz w:val="10"/>
                <w:szCs w:val="10"/>
              </w:rPr>
            </w:pPr>
          </w:p>
        </w:tc>
        <w:tc>
          <w:tcPr>
            <w:tcW w:w="64" w:type="dxa"/>
            <w:shd w:val="clear" w:color="auto" w:fill="auto"/>
            <w:vAlign w:val="bottom"/>
          </w:tcPr>
          <w:p w14:paraId="6B4E1602"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2DAF434A" w14:textId="77777777" w:rsidR="00FE6377" w:rsidRPr="00C35CC6" w:rsidRDefault="00FE6377" w:rsidP="00FE6377">
            <w:pPr>
              <w:ind w:right="57"/>
              <w:jc w:val="right"/>
              <w:rPr>
                <w:sz w:val="10"/>
                <w:szCs w:val="10"/>
              </w:rPr>
            </w:pPr>
          </w:p>
        </w:tc>
        <w:tc>
          <w:tcPr>
            <w:tcW w:w="1841" w:type="dxa"/>
            <w:vAlign w:val="bottom"/>
          </w:tcPr>
          <w:p w14:paraId="37B52B66" w14:textId="77777777" w:rsidR="00FE6377" w:rsidRPr="00C35CC6" w:rsidRDefault="00FE6377" w:rsidP="00FE6377">
            <w:pPr>
              <w:numPr>
                <w:ilvl w:val="12"/>
                <w:numId w:val="0"/>
              </w:numPr>
              <w:ind w:right="55"/>
              <w:jc w:val="right"/>
              <w:rPr>
                <w:i/>
                <w:sz w:val="10"/>
                <w:szCs w:val="10"/>
              </w:rPr>
            </w:pPr>
          </w:p>
        </w:tc>
      </w:tr>
      <w:tr w:rsidR="00FE6377" w:rsidRPr="008109D0" w14:paraId="30FEF10A" w14:textId="77777777" w:rsidTr="002108FF">
        <w:trPr>
          <w:trHeight w:val="20"/>
        </w:trPr>
        <w:tc>
          <w:tcPr>
            <w:tcW w:w="1838" w:type="dxa"/>
          </w:tcPr>
          <w:p w14:paraId="352C1775" w14:textId="657416AB" w:rsidR="00FE6377" w:rsidRPr="00C35CC6" w:rsidRDefault="00FE6377" w:rsidP="00FE6377">
            <w:pPr>
              <w:ind w:left="510" w:hanging="142"/>
              <w:rPr>
                <w:sz w:val="14"/>
                <w:szCs w:val="14"/>
                <w:u w:val="single"/>
              </w:rPr>
            </w:pPr>
            <w:r w:rsidRPr="00C35CC6">
              <w:rPr>
                <w:sz w:val="14"/>
                <w:szCs w:val="14"/>
                <w:u w:val="single"/>
              </w:rPr>
              <w:t>Entitas Anak</w:t>
            </w:r>
          </w:p>
        </w:tc>
        <w:tc>
          <w:tcPr>
            <w:tcW w:w="1055" w:type="dxa"/>
            <w:shd w:val="clear" w:color="auto" w:fill="auto"/>
            <w:vAlign w:val="bottom"/>
          </w:tcPr>
          <w:p w14:paraId="778CBD91" w14:textId="77777777" w:rsidR="00FE6377" w:rsidRPr="00C35CC6" w:rsidRDefault="00FE6377" w:rsidP="00FE6377">
            <w:pPr>
              <w:ind w:right="57"/>
              <w:jc w:val="right"/>
              <w:rPr>
                <w:sz w:val="14"/>
                <w:szCs w:val="14"/>
              </w:rPr>
            </w:pPr>
          </w:p>
        </w:tc>
        <w:tc>
          <w:tcPr>
            <w:tcW w:w="64" w:type="dxa"/>
            <w:shd w:val="clear" w:color="auto" w:fill="auto"/>
            <w:vAlign w:val="bottom"/>
          </w:tcPr>
          <w:p w14:paraId="6D514A40" w14:textId="77777777" w:rsidR="00FE6377" w:rsidRPr="00C35CC6" w:rsidRDefault="00FE6377" w:rsidP="00FE6377">
            <w:pPr>
              <w:ind w:right="57"/>
              <w:jc w:val="right"/>
              <w:rPr>
                <w:sz w:val="14"/>
                <w:szCs w:val="14"/>
              </w:rPr>
            </w:pPr>
          </w:p>
        </w:tc>
        <w:tc>
          <w:tcPr>
            <w:tcW w:w="1056" w:type="dxa"/>
            <w:shd w:val="clear" w:color="auto" w:fill="auto"/>
            <w:vAlign w:val="bottom"/>
          </w:tcPr>
          <w:p w14:paraId="629A6CB6" w14:textId="77777777" w:rsidR="00FE6377" w:rsidRPr="00C35CC6" w:rsidRDefault="00FE6377" w:rsidP="00FE6377">
            <w:pPr>
              <w:ind w:right="57"/>
              <w:jc w:val="right"/>
              <w:rPr>
                <w:sz w:val="14"/>
                <w:szCs w:val="14"/>
              </w:rPr>
            </w:pPr>
          </w:p>
        </w:tc>
        <w:tc>
          <w:tcPr>
            <w:tcW w:w="64" w:type="dxa"/>
            <w:shd w:val="clear" w:color="auto" w:fill="auto"/>
            <w:vAlign w:val="bottom"/>
          </w:tcPr>
          <w:p w14:paraId="59497EDF" w14:textId="77777777" w:rsidR="00FE6377" w:rsidRPr="00C35CC6" w:rsidRDefault="00FE6377" w:rsidP="00FE6377">
            <w:pPr>
              <w:ind w:right="57"/>
              <w:jc w:val="right"/>
              <w:rPr>
                <w:sz w:val="14"/>
                <w:szCs w:val="14"/>
              </w:rPr>
            </w:pPr>
          </w:p>
        </w:tc>
        <w:tc>
          <w:tcPr>
            <w:tcW w:w="1056" w:type="dxa"/>
          </w:tcPr>
          <w:p w14:paraId="73951B68" w14:textId="77777777" w:rsidR="00FE6377" w:rsidRPr="00C35CC6" w:rsidRDefault="00FE6377" w:rsidP="00FE6377">
            <w:pPr>
              <w:ind w:right="57"/>
              <w:jc w:val="right"/>
              <w:rPr>
                <w:sz w:val="14"/>
                <w:szCs w:val="14"/>
              </w:rPr>
            </w:pPr>
          </w:p>
        </w:tc>
        <w:tc>
          <w:tcPr>
            <w:tcW w:w="64" w:type="dxa"/>
          </w:tcPr>
          <w:p w14:paraId="3A496249" w14:textId="77777777" w:rsidR="00FE6377" w:rsidRPr="00C35CC6" w:rsidRDefault="00FE6377" w:rsidP="00FE6377">
            <w:pPr>
              <w:ind w:right="57"/>
              <w:jc w:val="right"/>
              <w:rPr>
                <w:sz w:val="14"/>
                <w:szCs w:val="14"/>
              </w:rPr>
            </w:pPr>
          </w:p>
        </w:tc>
        <w:tc>
          <w:tcPr>
            <w:tcW w:w="1056" w:type="dxa"/>
            <w:shd w:val="clear" w:color="auto" w:fill="auto"/>
            <w:vAlign w:val="bottom"/>
          </w:tcPr>
          <w:p w14:paraId="2C4C6DF3" w14:textId="77777777" w:rsidR="00FE6377" w:rsidRPr="00C35CC6" w:rsidRDefault="00FE6377" w:rsidP="00FE6377">
            <w:pPr>
              <w:ind w:right="57"/>
              <w:jc w:val="right"/>
              <w:rPr>
                <w:sz w:val="14"/>
                <w:szCs w:val="14"/>
              </w:rPr>
            </w:pPr>
          </w:p>
        </w:tc>
        <w:tc>
          <w:tcPr>
            <w:tcW w:w="64" w:type="dxa"/>
            <w:shd w:val="clear" w:color="auto" w:fill="auto"/>
            <w:vAlign w:val="bottom"/>
          </w:tcPr>
          <w:p w14:paraId="0B22DE8B" w14:textId="77777777" w:rsidR="00FE6377" w:rsidRPr="00C35CC6" w:rsidRDefault="00FE6377" w:rsidP="00FE6377">
            <w:pPr>
              <w:ind w:right="57"/>
              <w:jc w:val="right"/>
              <w:rPr>
                <w:sz w:val="14"/>
                <w:szCs w:val="14"/>
              </w:rPr>
            </w:pPr>
          </w:p>
        </w:tc>
        <w:tc>
          <w:tcPr>
            <w:tcW w:w="1056" w:type="dxa"/>
            <w:shd w:val="clear" w:color="auto" w:fill="auto"/>
            <w:vAlign w:val="bottom"/>
          </w:tcPr>
          <w:p w14:paraId="53C0371D" w14:textId="77777777" w:rsidR="00FE6377" w:rsidRPr="00C35CC6" w:rsidRDefault="00FE6377" w:rsidP="00FE6377">
            <w:pPr>
              <w:ind w:right="57"/>
              <w:jc w:val="right"/>
              <w:rPr>
                <w:sz w:val="14"/>
                <w:szCs w:val="14"/>
              </w:rPr>
            </w:pPr>
          </w:p>
        </w:tc>
        <w:tc>
          <w:tcPr>
            <w:tcW w:w="1841" w:type="dxa"/>
            <w:vAlign w:val="bottom"/>
          </w:tcPr>
          <w:p w14:paraId="100F2B5B" w14:textId="0C209759" w:rsidR="00FE6377" w:rsidRPr="00C35CC6" w:rsidRDefault="00FE6377" w:rsidP="00FE6377">
            <w:pPr>
              <w:numPr>
                <w:ilvl w:val="12"/>
                <w:numId w:val="0"/>
              </w:numPr>
              <w:ind w:right="55"/>
              <w:jc w:val="right"/>
              <w:rPr>
                <w:i/>
                <w:sz w:val="14"/>
                <w:szCs w:val="14"/>
                <w:u w:val="single"/>
              </w:rPr>
            </w:pPr>
            <w:r w:rsidRPr="00C35CC6">
              <w:rPr>
                <w:i/>
                <w:sz w:val="14"/>
                <w:szCs w:val="14"/>
                <w:u w:val="single"/>
              </w:rPr>
              <w:t>Subsidiaries</w:t>
            </w:r>
          </w:p>
        </w:tc>
      </w:tr>
      <w:tr w:rsidR="00FE6377" w:rsidRPr="008109D0" w14:paraId="558823BF" w14:textId="77777777" w:rsidTr="00101586">
        <w:trPr>
          <w:trHeight w:val="20"/>
        </w:trPr>
        <w:tc>
          <w:tcPr>
            <w:tcW w:w="1838" w:type="dxa"/>
          </w:tcPr>
          <w:p w14:paraId="0EFFA901" w14:textId="592152B1" w:rsidR="00FE6377" w:rsidRPr="00C35CC6" w:rsidRDefault="00FE6377" w:rsidP="00FE6377">
            <w:pPr>
              <w:ind w:left="510" w:hanging="142"/>
              <w:rPr>
                <w:sz w:val="14"/>
                <w:szCs w:val="14"/>
              </w:rPr>
            </w:pPr>
            <w:r w:rsidRPr="00C35CC6">
              <w:rPr>
                <w:sz w:val="14"/>
                <w:szCs w:val="14"/>
              </w:rPr>
              <w:t>Akumulasi rugi</w:t>
            </w:r>
            <w:r w:rsidRPr="00C35CC6">
              <w:rPr>
                <w:sz w:val="14"/>
                <w:szCs w:val="14"/>
              </w:rPr>
              <w:br/>
              <w:t xml:space="preserve"> fiscal</w:t>
            </w:r>
          </w:p>
        </w:tc>
        <w:tc>
          <w:tcPr>
            <w:tcW w:w="1055" w:type="dxa"/>
            <w:shd w:val="clear" w:color="auto" w:fill="auto"/>
            <w:vAlign w:val="bottom"/>
          </w:tcPr>
          <w:p w14:paraId="0103431D" w14:textId="7A414438" w:rsidR="00FE6377" w:rsidRPr="00C35CC6" w:rsidRDefault="00FE6377" w:rsidP="00FE6377">
            <w:pPr>
              <w:ind w:right="57"/>
              <w:jc w:val="right"/>
              <w:rPr>
                <w:sz w:val="14"/>
                <w:szCs w:val="14"/>
              </w:rPr>
            </w:pPr>
            <w:r w:rsidRPr="00C35CC6">
              <w:rPr>
                <w:sz w:val="14"/>
                <w:szCs w:val="14"/>
              </w:rPr>
              <w:t>47.659.712.664</w:t>
            </w:r>
          </w:p>
        </w:tc>
        <w:tc>
          <w:tcPr>
            <w:tcW w:w="64" w:type="dxa"/>
            <w:shd w:val="clear" w:color="auto" w:fill="auto"/>
            <w:vAlign w:val="bottom"/>
          </w:tcPr>
          <w:p w14:paraId="75326867" w14:textId="77777777" w:rsidR="00FE6377" w:rsidRPr="00C35CC6" w:rsidRDefault="00FE6377" w:rsidP="00FE6377">
            <w:pPr>
              <w:ind w:right="57"/>
              <w:jc w:val="right"/>
              <w:rPr>
                <w:sz w:val="14"/>
                <w:szCs w:val="14"/>
              </w:rPr>
            </w:pPr>
          </w:p>
        </w:tc>
        <w:tc>
          <w:tcPr>
            <w:tcW w:w="1056" w:type="dxa"/>
            <w:shd w:val="clear" w:color="auto" w:fill="auto"/>
            <w:vAlign w:val="bottom"/>
          </w:tcPr>
          <w:p w14:paraId="29DC3274" w14:textId="6AB44013" w:rsidR="00FE6377" w:rsidRPr="00C35CC6" w:rsidRDefault="00FE6377" w:rsidP="00FE6377">
            <w:pPr>
              <w:ind w:right="57"/>
              <w:jc w:val="right"/>
              <w:rPr>
                <w:sz w:val="14"/>
                <w:szCs w:val="14"/>
                <w:lang w:val="en-ID"/>
              </w:rPr>
            </w:pPr>
            <w:r w:rsidRPr="00C35CC6">
              <w:rPr>
                <w:sz w:val="14"/>
                <w:szCs w:val="14"/>
              </w:rPr>
              <w:t>-</w:t>
            </w:r>
          </w:p>
        </w:tc>
        <w:tc>
          <w:tcPr>
            <w:tcW w:w="64" w:type="dxa"/>
            <w:shd w:val="clear" w:color="auto" w:fill="auto"/>
            <w:vAlign w:val="bottom"/>
          </w:tcPr>
          <w:p w14:paraId="7F8854E4" w14:textId="77777777" w:rsidR="00FE6377" w:rsidRPr="00C35CC6" w:rsidRDefault="00FE6377" w:rsidP="00FE6377">
            <w:pPr>
              <w:ind w:right="57"/>
              <w:jc w:val="right"/>
              <w:rPr>
                <w:sz w:val="14"/>
                <w:szCs w:val="14"/>
              </w:rPr>
            </w:pPr>
          </w:p>
        </w:tc>
        <w:tc>
          <w:tcPr>
            <w:tcW w:w="1056" w:type="dxa"/>
            <w:vAlign w:val="bottom"/>
          </w:tcPr>
          <w:p w14:paraId="2C2DBD58" w14:textId="08E75702" w:rsidR="00FE6377" w:rsidRPr="00C35CC6" w:rsidRDefault="00FE6377" w:rsidP="00FE6377">
            <w:pPr>
              <w:ind w:right="57"/>
              <w:jc w:val="right"/>
              <w:rPr>
                <w:sz w:val="14"/>
                <w:szCs w:val="14"/>
                <w:lang w:val="en-ID"/>
              </w:rPr>
            </w:pPr>
          </w:p>
        </w:tc>
        <w:tc>
          <w:tcPr>
            <w:tcW w:w="64" w:type="dxa"/>
          </w:tcPr>
          <w:p w14:paraId="71C59F06" w14:textId="77777777" w:rsidR="00FE6377" w:rsidRPr="00C35CC6" w:rsidRDefault="00FE6377" w:rsidP="00FE6377">
            <w:pPr>
              <w:ind w:right="57"/>
              <w:jc w:val="right"/>
              <w:rPr>
                <w:sz w:val="14"/>
                <w:szCs w:val="14"/>
                <w:lang w:val="en-ID"/>
              </w:rPr>
            </w:pPr>
          </w:p>
        </w:tc>
        <w:tc>
          <w:tcPr>
            <w:tcW w:w="1056" w:type="dxa"/>
            <w:shd w:val="clear" w:color="auto" w:fill="auto"/>
            <w:vAlign w:val="bottom"/>
          </w:tcPr>
          <w:p w14:paraId="4572A303" w14:textId="09F28254" w:rsidR="00FE6377" w:rsidRPr="00C35CC6" w:rsidRDefault="00FE6377" w:rsidP="00FE6377">
            <w:pPr>
              <w:ind w:right="57"/>
              <w:jc w:val="right"/>
              <w:rPr>
                <w:sz w:val="14"/>
                <w:szCs w:val="14"/>
                <w:lang w:val="en-ID"/>
              </w:rPr>
            </w:pPr>
            <w:r w:rsidRPr="00C35CC6">
              <w:rPr>
                <w:sz w:val="14"/>
                <w:szCs w:val="14"/>
                <w:lang w:val="en-ID"/>
              </w:rPr>
              <w:t>-</w:t>
            </w:r>
          </w:p>
        </w:tc>
        <w:tc>
          <w:tcPr>
            <w:tcW w:w="64" w:type="dxa"/>
            <w:shd w:val="clear" w:color="auto" w:fill="auto"/>
            <w:vAlign w:val="bottom"/>
          </w:tcPr>
          <w:p w14:paraId="59E4916A" w14:textId="77777777" w:rsidR="00FE6377" w:rsidRPr="00C35CC6" w:rsidRDefault="00FE6377" w:rsidP="00FE6377">
            <w:pPr>
              <w:ind w:right="57"/>
              <w:jc w:val="right"/>
              <w:rPr>
                <w:sz w:val="14"/>
                <w:szCs w:val="14"/>
              </w:rPr>
            </w:pPr>
          </w:p>
        </w:tc>
        <w:tc>
          <w:tcPr>
            <w:tcW w:w="1056" w:type="dxa"/>
            <w:shd w:val="clear" w:color="auto" w:fill="auto"/>
            <w:vAlign w:val="bottom"/>
          </w:tcPr>
          <w:p w14:paraId="30AB7BDB" w14:textId="0DE9BC3E" w:rsidR="00FE6377" w:rsidRPr="00C35CC6" w:rsidRDefault="00FE6377" w:rsidP="00FE6377">
            <w:pPr>
              <w:ind w:right="57"/>
              <w:jc w:val="right"/>
              <w:rPr>
                <w:sz w:val="14"/>
                <w:szCs w:val="14"/>
                <w:lang w:val="en-ID"/>
              </w:rPr>
            </w:pPr>
            <w:r w:rsidRPr="00C35CC6">
              <w:rPr>
                <w:sz w:val="14"/>
                <w:szCs w:val="14"/>
              </w:rPr>
              <w:t>47.659.712.664</w:t>
            </w:r>
          </w:p>
        </w:tc>
        <w:tc>
          <w:tcPr>
            <w:tcW w:w="1841" w:type="dxa"/>
            <w:vAlign w:val="bottom"/>
          </w:tcPr>
          <w:p w14:paraId="3DBB4D10" w14:textId="77777777" w:rsidR="00FE6377" w:rsidRPr="00C35CC6" w:rsidRDefault="00FE6377" w:rsidP="00FE6377">
            <w:pPr>
              <w:numPr>
                <w:ilvl w:val="12"/>
                <w:numId w:val="0"/>
              </w:numPr>
              <w:ind w:right="55"/>
              <w:jc w:val="right"/>
              <w:rPr>
                <w:i/>
                <w:sz w:val="14"/>
                <w:szCs w:val="14"/>
              </w:rPr>
            </w:pPr>
            <w:r w:rsidRPr="00C35CC6">
              <w:rPr>
                <w:i/>
                <w:sz w:val="14"/>
                <w:szCs w:val="14"/>
              </w:rPr>
              <w:t>Accumulated fiscal losses</w:t>
            </w:r>
          </w:p>
        </w:tc>
      </w:tr>
      <w:tr w:rsidR="00FE6377" w:rsidRPr="008109D0" w14:paraId="2CEE4381" w14:textId="77777777" w:rsidTr="00101586">
        <w:trPr>
          <w:trHeight w:val="20"/>
        </w:trPr>
        <w:tc>
          <w:tcPr>
            <w:tcW w:w="1838" w:type="dxa"/>
          </w:tcPr>
          <w:p w14:paraId="62D0346C" w14:textId="77777777" w:rsidR="00FE6377" w:rsidRPr="00C35CC6" w:rsidRDefault="00FE6377" w:rsidP="00FE6377">
            <w:pPr>
              <w:ind w:left="510" w:hanging="142"/>
              <w:rPr>
                <w:sz w:val="14"/>
                <w:szCs w:val="14"/>
              </w:rPr>
            </w:pPr>
            <w:r w:rsidRPr="00C35CC6">
              <w:rPr>
                <w:sz w:val="14"/>
                <w:szCs w:val="14"/>
              </w:rPr>
              <w:t>Imbalan pascakerja</w:t>
            </w:r>
          </w:p>
        </w:tc>
        <w:tc>
          <w:tcPr>
            <w:tcW w:w="1055" w:type="dxa"/>
            <w:shd w:val="clear" w:color="auto" w:fill="auto"/>
            <w:vAlign w:val="bottom"/>
          </w:tcPr>
          <w:p w14:paraId="6877EB7F" w14:textId="07C6FDE3" w:rsidR="00FE6377" w:rsidRPr="00C35CC6" w:rsidRDefault="00FE6377" w:rsidP="00FE6377">
            <w:pPr>
              <w:ind w:right="57"/>
              <w:jc w:val="right"/>
              <w:rPr>
                <w:sz w:val="14"/>
                <w:szCs w:val="14"/>
              </w:rPr>
            </w:pPr>
            <w:r w:rsidRPr="00C35CC6">
              <w:rPr>
                <w:sz w:val="14"/>
                <w:szCs w:val="14"/>
              </w:rPr>
              <w:t>6.477.043.881</w:t>
            </w:r>
          </w:p>
        </w:tc>
        <w:tc>
          <w:tcPr>
            <w:tcW w:w="64" w:type="dxa"/>
            <w:shd w:val="clear" w:color="auto" w:fill="auto"/>
            <w:vAlign w:val="bottom"/>
          </w:tcPr>
          <w:p w14:paraId="5B92664A" w14:textId="77777777" w:rsidR="00FE6377" w:rsidRPr="00C35CC6" w:rsidRDefault="00FE6377" w:rsidP="00FE6377">
            <w:pPr>
              <w:ind w:right="57"/>
              <w:jc w:val="right"/>
              <w:rPr>
                <w:sz w:val="14"/>
                <w:szCs w:val="14"/>
              </w:rPr>
            </w:pPr>
          </w:p>
        </w:tc>
        <w:tc>
          <w:tcPr>
            <w:tcW w:w="1056" w:type="dxa"/>
            <w:shd w:val="clear" w:color="auto" w:fill="auto"/>
            <w:vAlign w:val="bottom"/>
          </w:tcPr>
          <w:p w14:paraId="1A6B0817" w14:textId="200AFEE2" w:rsidR="00FE6377" w:rsidRPr="00C35CC6" w:rsidRDefault="00FE6377" w:rsidP="00FE6377">
            <w:pPr>
              <w:ind w:right="57"/>
              <w:jc w:val="right"/>
              <w:rPr>
                <w:sz w:val="14"/>
                <w:szCs w:val="14"/>
              </w:rPr>
            </w:pPr>
            <w:r w:rsidRPr="00C35CC6">
              <w:rPr>
                <w:sz w:val="14"/>
                <w:szCs w:val="14"/>
              </w:rPr>
              <w:t>161.960.402</w:t>
            </w:r>
          </w:p>
        </w:tc>
        <w:tc>
          <w:tcPr>
            <w:tcW w:w="64" w:type="dxa"/>
            <w:shd w:val="clear" w:color="auto" w:fill="auto"/>
            <w:vAlign w:val="bottom"/>
          </w:tcPr>
          <w:p w14:paraId="172220B7" w14:textId="77777777" w:rsidR="00FE6377" w:rsidRPr="00C35CC6" w:rsidRDefault="00FE6377" w:rsidP="00FE6377">
            <w:pPr>
              <w:ind w:right="57"/>
              <w:jc w:val="right"/>
              <w:rPr>
                <w:sz w:val="14"/>
                <w:szCs w:val="14"/>
              </w:rPr>
            </w:pPr>
          </w:p>
        </w:tc>
        <w:tc>
          <w:tcPr>
            <w:tcW w:w="1056" w:type="dxa"/>
            <w:vAlign w:val="bottom"/>
          </w:tcPr>
          <w:p w14:paraId="134DD577" w14:textId="5630CC13" w:rsidR="00FE6377" w:rsidRPr="00C35CC6" w:rsidRDefault="00FE6377" w:rsidP="00FE6377">
            <w:pPr>
              <w:ind w:right="57"/>
              <w:jc w:val="right"/>
              <w:rPr>
                <w:sz w:val="14"/>
                <w:szCs w:val="14"/>
              </w:rPr>
            </w:pPr>
          </w:p>
        </w:tc>
        <w:tc>
          <w:tcPr>
            <w:tcW w:w="64" w:type="dxa"/>
          </w:tcPr>
          <w:p w14:paraId="2C02E690" w14:textId="77777777" w:rsidR="00FE6377" w:rsidRPr="00C35CC6" w:rsidRDefault="00FE6377" w:rsidP="00FE6377">
            <w:pPr>
              <w:ind w:right="57"/>
              <w:jc w:val="right"/>
              <w:rPr>
                <w:sz w:val="14"/>
                <w:szCs w:val="14"/>
              </w:rPr>
            </w:pPr>
          </w:p>
        </w:tc>
        <w:tc>
          <w:tcPr>
            <w:tcW w:w="1056" w:type="dxa"/>
            <w:shd w:val="clear" w:color="auto" w:fill="auto"/>
            <w:vAlign w:val="bottom"/>
          </w:tcPr>
          <w:p w14:paraId="0653DBDC" w14:textId="49C3BC61" w:rsidR="00FE6377" w:rsidRPr="00C35CC6" w:rsidRDefault="00C35CC6" w:rsidP="00FE6377">
            <w:pPr>
              <w:ind w:right="57"/>
              <w:jc w:val="right"/>
              <w:rPr>
                <w:sz w:val="14"/>
                <w:szCs w:val="14"/>
              </w:rPr>
            </w:pPr>
            <w:r w:rsidRPr="00C35CC6">
              <w:rPr>
                <w:sz w:val="14"/>
                <w:szCs w:val="14"/>
              </w:rPr>
              <w:t>-</w:t>
            </w:r>
          </w:p>
        </w:tc>
        <w:tc>
          <w:tcPr>
            <w:tcW w:w="64" w:type="dxa"/>
            <w:shd w:val="clear" w:color="auto" w:fill="auto"/>
            <w:vAlign w:val="bottom"/>
          </w:tcPr>
          <w:p w14:paraId="5A264D94" w14:textId="77777777" w:rsidR="00FE6377" w:rsidRPr="00C35CC6" w:rsidRDefault="00FE6377" w:rsidP="00FE6377">
            <w:pPr>
              <w:ind w:right="57"/>
              <w:jc w:val="right"/>
              <w:rPr>
                <w:sz w:val="14"/>
                <w:szCs w:val="14"/>
              </w:rPr>
            </w:pPr>
          </w:p>
        </w:tc>
        <w:tc>
          <w:tcPr>
            <w:tcW w:w="1056" w:type="dxa"/>
            <w:shd w:val="clear" w:color="auto" w:fill="auto"/>
            <w:vAlign w:val="bottom"/>
          </w:tcPr>
          <w:p w14:paraId="0A7B0B9F" w14:textId="34892915" w:rsidR="00FE6377" w:rsidRPr="00C35CC6" w:rsidRDefault="00C35CC6" w:rsidP="00FE6377">
            <w:pPr>
              <w:ind w:right="57"/>
              <w:jc w:val="right"/>
              <w:rPr>
                <w:sz w:val="14"/>
                <w:szCs w:val="14"/>
              </w:rPr>
            </w:pPr>
            <w:r w:rsidRPr="00C35CC6">
              <w:rPr>
                <w:sz w:val="14"/>
                <w:szCs w:val="14"/>
              </w:rPr>
              <w:t>6.639.004.283</w:t>
            </w:r>
          </w:p>
        </w:tc>
        <w:tc>
          <w:tcPr>
            <w:tcW w:w="1841" w:type="dxa"/>
            <w:vAlign w:val="bottom"/>
          </w:tcPr>
          <w:p w14:paraId="2D7998F9" w14:textId="77777777" w:rsidR="00FE6377" w:rsidRPr="00C35CC6" w:rsidRDefault="00FE6377" w:rsidP="00FE6377">
            <w:pPr>
              <w:numPr>
                <w:ilvl w:val="12"/>
                <w:numId w:val="0"/>
              </w:numPr>
              <w:ind w:right="55"/>
              <w:jc w:val="right"/>
              <w:rPr>
                <w:i/>
                <w:sz w:val="14"/>
                <w:szCs w:val="14"/>
              </w:rPr>
            </w:pPr>
            <w:r w:rsidRPr="00C35CC6">
              <w:rPr>
                <w:i/>
                <w:sz w:val="14"/>
                <w:szCs w:val="14"/>
              </w:rPr>
              <w:t>Post-employee benefits</w:t>
            </w:r>
          </w:p>
        </w:tc>
      </w:tr>
      <w:tr w:rsidR="00FE6377" w:rsidRPr="008109D0" w14:paraId="46DC333E" w14:textId="77777777" w:rsidTr="00C941AC">
        <w:trPr>
          <w:trHeight w:val="20"/>
        </w:trPr>
        <w:tc>
          <w:tcPr>
            <w:tcW w:w="1838" w:type="dxa"/>
          </w:tcPr>
          <w:p w14:paraId="6339D57B" w14:textId="4BC8B509" w:rsidR="00FE6377" w:rsidRPr="00C35CC6" w:rsidRDefault="00FE6377" w:rsidP="00FE6377">
            <w:pPr>
              <w:ind w:left="510" w:hanging="142"/>
              <w:rPr>
                <w:sz w:val="14"/>
                <w:szCs w:val="14"/>
              </w:rPr>
            </w:pPr>
            <w:r w:rsidRPr="00C35CC6">
              <w:rPr>
                <w:sz w:val="14"/>
                <w:szCs w:val="14"/>
              </w:rPr>
              <w:t>Cadangan piutang tak tertagih</w:t>
            </w:r>
          </w:p>
        </w:tc>
        <w:tc>
          <w:tcPr>
            <w:tcW w:w="1055" w:type="dxa"/>
            <w:shd w:val="clear" w:color="auto" w:fill="auto"/>
            <w:vAlign w:val="bottom"/>
          </w:tcPr>
          <w:p w14:paraId="3CBFC3BF" w14:textId="2EF4CAC5" w:rsidR="00FE6377" w:rsidRPr="00C35CC6" w:rsidRDefault="00FE6377" w:rsidP="00FE6377">
            <w:pPr>
              <w:ind w:right="57"/>
              <w:jc w:val="right"/>
              <w:rPr>
                <w:sz w:val="14"/>
                <w:szCs w:val="14"/>
              </w:rPr>
            </w:pPr>
            <w:r w:rsidRPr="00C35CC6">
              <w:rPr>
                <w:sz w:val="14"/>
                <w:szCs w:val="14"/>
              </w:rPr>
              <w:t>403.611.498</w:t>
            </w:r>
          </w:p>
        </w:tc>
        <w:tc>
          <w:tcPr>
            <w:tcW w:w="64" w:type="dxa"/>
            <w:shd w:val="clear" w:color="auto" w:fill="auto"/>
            <w:vAlign w:val="bottom"/>
          </w:tcPr>
          <w:p w14:paraId="23C55E17" w14:textId="77777777" w:rsidR="00FE6377" w:rsidRPr="00C35CC6" w:rsidRDefault="00FE6377" w:rsidP="00FE6377">
            <w:pPr>
              <w:ind w:right="57"/>
              <w:jc w:val="right"/>
              <w:rPr>
                <w:sz w:val="14"/>
                <w:szCs w:val="14"/>
              </w:rPr>
            </w:pPr>
          </w:p>
        </w:tc>
        <w:tc>
          <w:tcPr>
            <w:tcW w:w="1056" w:type="dxa"/>
            <w:shd w:val="clear" w:color="auto" w:fill="auto"/>
            <w:vAlign w:val="bottom"/>
          </w:tcPr>
          <w:p w14:paraId="65B75AD1" w14:textId="60E0DFBE" w:rsidR="00FE6377" w:rsidRPr="00C35CC6" w:rsidRDefault="00FE6377" w:rsidP="00FE6377">
            <w:pPr>
              <w:ind w:right="57"/>
              <w:jc w:val="right"/>
              <w:rPr>
                <w:sz w:val="14"/>
                <w:szCs w:val="14"/>
              </w:rPr>
            </w:pPr>
            <w:r w:rsidRPr="00C35CC6">
              <w:rPr>
                <w:sz w:val="14"/>
                <w:szCs w:val="14"/>
              </w:rPr>
              <w:t>94.181.115</w:t>
            </w:r>
          </w:p>
        </w:tc>
        <w:tc>
          <w:tcPr>
            <w:tcW w:w="64" w:type="dxa"/>
            <w:shd w:val="clear" w:color="auto" w:fill="auto"/>
            <w:vAlign w:val="bottom"/>
          </w:tcPr>
          <w:p w14:paraId="4623E22F" w14:textId="77777777" w:rsidR="00FE6377" w:rsidRPr="00C35CC6" w:rsidRDefault="00FE6377" w:rsidP="00FE6377">
            <w:pPr>
              <w:ind w:right="57"/>
              <w:jc w:val="right"/>
              <w:rPr>
                <w:sz w:val="14"/>
                <w:szCs w:val="14"/>
              </w:rPr>
            </w:pPr>
          </w:p>
        </w:tc>
        <w:tc>
          <w:tcPr>
            <w:tcW w:w="1056" w:type="dxa"/>
            <w:vAlign w:val="bottom"/>
          </w:tcPr>
          <w:p w14:paraId="69A9123E" w14:textId="63528CDE" w:rsidR="00FE6377" w:rsidRPr="00C35CC6" w:rsidRDefault="00FE6377" w:rsidP="00FE6377">
            <w:pPr>
              <w:ind w:right="57"/>
              <w:jc w:val="right"/>
              <w:rPr>
                <w:sz w:val="14"/>
                <w:szCs w:val="14"/>
                <w:lang w:val="en-ID"/>
              </w:rPr>
            </w:pPr>
          </w:p>
        </w:tc>
        <w:tc>
          <w:tcPr>
            <w:tcW w:w="64" w:type="dxa"/>
          </w:tcPr>
          <w:p w14:paraId="162DC751" w14:textId="77777777" w:rsidR="00FE6377" w:rsidRPr="00C35CC6" w:rsidRDefault="00FE6377" w:rsidP="00FE6377">
            <w:pPr>
              <w:ind w:right="57"/>
              <w:jc w:val="right"/>
              <w:rPr>
                <w:sz w:val="14"/>
                <w:szCs w:val="14"/>
                <w:lang w:val="en-ID"/>
              </w:rPr>
            </w:pPr>
          </w:p>
        </w:tc>
        <w:tc>
          <w:tcPr>
            <w:tcW w:w="1056" w:type="dxa"/>
            <w:shd w:val="clear" w:color="auto" w:fill="auto"/>
            <w:vAlign w:val="bottom"/>
          </w:tcPr>
          <w:p w14:paraId="75442C63" w14:textId="094493D9" w:rsidR="00FE6377" w:rsidRPr="00C35CC6" w:rsidRDefault="00FE6377" w:rsidP="00FE6377">
            <w:pPr>
              <w:ind w:right="57"/>
              <w:jc w:val="right"/>
              <w:rPr>
                <w:sz w:val="14"/>
                <w:szCs w:val="14"/>
                <w:lang w:val="en-ID"/>
              </w:rPr>
            </w:pPr>
            <w:r w:rsidRPr="00C35CC6">
              <w:rPr>
                <w:sz w:val="14"/>
                <w:szCs w:val="14"/>
                <w:lang w:val="en-ID"/>
              </w:rPr>
              <w:t>-</w:t>
            </w:r>
          </w:p>
        </w:tc>
        <w:tc>
          <w:tcPr>
            <w:tcW w:w="64" w:type="dxa"/>
            <w:shd w:val="clear" w:color="auto" w:fill="auto"/>
            <w:vAlign w:val="bottom"/>
          </w:tcPr>
          <w:p w14:paraId="5367DA7C" w14:textId="77777777" w:rsidR="00FE6377" w:rsidRPr="00C35CC6" w:rsidRDefault="00FE6377" w:rsidP="00FE6377">
            <w:pPr>
              <w:ind w:right="57"/>
              <w:jc w:val="right"/>
              <w:rPr>
                <w:sz w:val="14"/>
                <w:szCs w:val="14"/>
              </w:rPr>
            </w:pPr>
          </w:p>
        </w:tc>
        <w:tc>
          <w:tcPr>
            <w:tcW w:w="1056" w:type="dxa"/>
            <w:shd w:val="clear" w:color="auto" w:fill="auto"/>
            <w:vAlign w:val="bottom"/>
          </w:tcPr>
          <w:p w14:paraId="52359F16" w14:textId="778FE257" w:rsidR="00FE6377" w:rsidRPr="00C35CC6" w:rsidRDefault="00FE6377" w:rsidP="00FE6377">
            <w:pPr>
              <w:ind w:right="57"/>
              <w:jc w:val="right"/>
              <w:rPr>
                <w:sz w:val="14"/>
                <w:szCs w:val="14"/>
              </w:rPr>
            </w:pPr>
            <w:r w:rsidRPr="00C35CC6">
              <w:rPr>
                <w:sz w:val="14"/>
                <w:szCs w:val="14"/>
              </w:rPr>
              <w:t>497.792.644</w:t>
            </w:r>
          </w:p>
        </w:tc>
        <w:tc>
          <w:tcPr>
            <w:tcW w:w="1841" w:type="dxa"/>
            <w:vAlign w:val="bottom"/>
          </w:tcPr>
          <w:p w14:paraId="6E24F93D" w14:textId="77777777" w:rsidR="00FE6377" w:rsidRPr="00C35CC6" w:rsidRDefault="00FE6377" w:rsidP="00FE6377">
            <w:pPr>
              <w:numPr>
                <w:ilvl w:val="12"/>
                <w:numId w:val="0"/>
              </w:numPr>
              <w:ind w:right="55"/>
              <w:jc w:val="right"/>
              <w:rPr>
                <w:i/>
                <w:sz w:val="14"/>
                <w:szCs w:val="14"/>
              </w:rPr>
            </w:pPr>
            <w:r w:rsidRPr="00C35CC6">
              <w:rPr>
                <w:i/>
                <w:sz w:val="14"/>
                <w:szCs w:val="14"/>
              </w:rPr>
              <w:t>Allowance for impairment</w:t>
            </w:r>
          </w:p>
          <w:p w14:paraId="1B7A88BB" w14:textId="77777777" w:rsidR="00FE6377" w:rsidRPr="00C35CC6" w:rsidRDefault="00FE6377" w:rsidP="00FE6377">
            <w:pPr>
              <w:numPr>
                <w:ilvl w:val="12"/>
                <w:numId w:val="0"/>
              </w:numPr>
              <w:tabs>
                <w:tab w:val="left" w:pos="1701"/>
              </w:tabs>
              <w:ind w:right="142"/>
              <w:jc w:val="right"/>
              <w:rPr>
                <w:i/>
                <w:sz w:val="14"/>
                <w:szCs w:val="14"/>
              </w:rPr>
            </w:pPr>
            <w:r w:rsidRPr="00C35CC6">
              <w:rPr>
                <w:i/>
                <w:sz w:val="14"/>
                <w:szCs w:val="14"/>
              </w:rPr>
              <w:t>loss receivable</w:t>
            </w:r>
          </w:p>
        </w:tc>
      </w:tr>
      <w:tr w:rsidR="00FE6377" w:rsidRPr="008109D0" w14:paraId="563766C1" w14:textId="77777777" w:rsidTr="002108FF">
        <w:trPr>
          <w:trHeight w:val="20"/>
        </w:trPr>
        <w:tc>
          <w:tcPr>
            <w:tcW w:w="1838" w:type="dxa"/>
            <w:vAlign w:val="bottom"/>
          </w:tcPr>
          <w:p w14:paraId="08A6AC0A" w14:textId="77777777" w:rsidR="00FE6377" w:rsidRPr="00C35CC6" w:rsidRDefault="00FE6377" w:rsidP="00FE6377">
            <w:pPr>
              <w:ind w:left="510" w:hanging="142"/>
              <w:rPr>
                <w:sz w:val="14"/>
                <w:szCs w:val="14"/>
              </w:rPr>
            </w:pPr>
            <w:r w:rsidRPr="00C35CC6">
              <w:rPr>
                <w:sz w:val="14"/>
                <w:szCs w:val="14"/>
              </w:rPr>
              <w:t>Penyusutan aset tetap</w:t>
            </w:r>
          </w:p>
        </w:tc>
        <w:tc>
          <w:tcPr>
            <w:tcW w:w="1055" w:type="dxa"/>
            <w:shd w:val="clear" w:color="auto" w:fill="auto"/>
            <w:vAlign w:val="bottom"/>
          </w:tcPr>
          <w:p w14:paraId="7D22BF4A" w14:textId="1031CCFE" w:rsidR="00FE6377" w:rsidRPr="00C35CC6" w:rsidRDefault="00FE6377" w:rsidP="00FE6377">
            <w:pPr>
              <w:ind w:right="57"/>
              <w:jc w:val="right"/>
              <w:rPr>
                <w:sz w:val="14"/>
                <w:szCs w:val="14"/>
              </w:rPr>
            </w:pPr>
            <w:r w:rsidRPr="00C35CC6">
              <w:rPr>
                <w:sz w:val="14"/>
                <w:szCs w:val="14"/>
              </w:rPr>
              <w:t>(14.360.862.832)</w:t>
            </w:r>
          </w:p>
        </w:tc>
        <w:tc>
          <w:tcPr>
            <w:tcW w:w="64" w:type="dxa"/>
            <w:shd w:val="clear" w:color="auto" w:fill="auto"/>
            <w:vAlign w:val="bottom"/>
          </w:tcPr>
          <w:p w14:paraId="39117AE9" w14:textId="77777777" w:rsidR="00FE6377" w:rsidRPr="00C35CC6" w:rsidRDefault="00FE6377" w:rsidP="00FE6377">
            <w:pPr>
              <w:ind w:right="57"/>
              <w:jc w:val="right"/>
              <w:rPr>
                <w:sz w:val="14"/>
                <w:szCs w:val="14"/>
              </w:rPr>
            </w:pPr>
          </w:p>
        </w:tc>
        <w:tc>
          <w:tcPr>
            <w:tcW w:w="1056" w:type="dxa"/>
            <w:shd w:val="clear" w:color="auto" w:fill="auto"/>
            <w:vAlign w:val="bottom"/>
          </w:tcPr>
          <w:p w14:paraId="6EA50E64" w14:textId="2DF46C58" w:rsidR="00FE6377" w:rsidRPr="00C35CC6" w:rsidRDefault="00FE6377" w:rsidP="00FE6377">
            <w:pPr>
              <w:ind w:right="57"/>
              <w:jc w:val="right"/>
              <w:rPr>
                <w:sz w:val="14"/>
                <w:szCs w:val="14"/>
              </w:rPr>
            </w:pPr>
            <w:r w:rsidRPr="00C35CC6">
              <w:rPr>
                <w:sz w:val="14"/>
                <w:szCs w:val="14"/>
              </w:rPr>
              <w:t>(1.079.178.664)</w:t>
            </w:r>
          </w:p>
        </w:tc>
        <w:tc>
          <w:tcPr>
            <w:tcW w:w="64" w:type="dxa"/>
            <w:shd w:val="clear" w:color="auto" w:fill="auto"/>
            <w:vAlign w:val="bottom"/>
          </w:tcPr>
          <w:p w14:paraId="4D25F2AF" w14:textId="77777777" w:rsidR="00FE6377" w:rsidRPr="00C35CC6" w:rsidRDefault="00FE6377" w:rsidP="00FE6377">
            <w:pPr>
              <w:ind w:right="57"/>
              <w:jc w:val="right"/>
              <w:rPr>
                <w:sz w:val="14"/>
                <w:szCs w:val="14"/>
              </w:rPr>
            </w:pPr>
          </w:p>
        </w:tc>
        <w:tc>
          <w:tcPr>
            <w:tcW w:w="1056" w:type="dxa"/>
          </w:tcPr>
          <w:p w14:paraId="43DC1431" w14:textId="5AF9D9EC" w:rsidR="00FE6377" w:rsidRPr="00C35CC6" w:rsidRDefault="00FE6377" w:rsidP="00FE6377">
            <w:pPr>
              <w:ind w:right="57"/>
              <w:jc w:val="right"/>
              <w:rPr>
                <w:sz w:val="14"/>
                <w:szCs w:val="14"/>
                <w:lang w:val="en-ID"/>
              </w:rPr>
            </w:pPr>
          </w:p>
        </w:tc>
        <w:tc>
          <w:tcPr>
            <w:tcW w:w="64" w:type="dxa"/>
          </w:tcPr>
          <w:p w14:paraId="6CFF75DD" w14:textId="77777777" w:rsidR="00FE6377" w:rsidRPr="00C35CC6" w:rsidRDefault="00FE6377" w:rsidP="00FE6377">
            <w:pPr>
              <w:ind w:right="57"/>
              <w:jc w:val="right"/>
              <w:rPr>
                <w:sz w:val="14"/>
                <w:szCs w:val="14"/>
                <w:lang w:val="en-ID"/>
              </w:rPr>
            </w:pPr>
          </w:p>
        </w:tc>
        <w:tc>
          <w:tcPr>
            <w:tcW w:w="1056" w:type="dxa"/>
            <w:shd w:val="clear" w:color="auto" w:fill="auto"/>
            <w:vAlign w:val="bottom"/>
          </w:tcPr>
          <w:p w14:paraId="1F5985DD" w14:textId="26E8AC0C" w:rsidR="00FE6377" w:rsidRPr="00C35CC6" w:rsidRDefault="00FE6377" w:rsidP="00FE6377">
            <w:pPr>
              <w:ind w:right="57"/>
              <w:jc w:val="right"/>
              <w:rPr>
                <w:sz w:val="14"/>
                <w:szCs w:val="14"/>
                <w:lang w:val="en-ID"/>
              </w:rPr>
            </w:pPr>
            <w:r w:rsidRPr="00C35CC6">
              <w:rPr>
                <w:sz w:val="14"/>
                <w:szCs w:val="14"/>
                <w:lang w:val="en-ID"/>
              </w:rPr>
              <w:t>-</w:t>
            </w:r>
          </w:p>
        </w:tc>
        <w:tc>
          <w:tcPr>
            <w:tcW w:w="64" w:type="dxa"/>
            <w:shd w:val="clear" w:color="auto" w:fill="auto"/>
            <w:vAlign w:val="bottom"/>
          </w:tcPr>
          <w:p w14:paraId="48713C63" w14:textId="77777777" w:rsidR="00FE6377" w:rsidRPr="00C35CC6" w:rsidRDefault="00FE6377" w:rsidP="00FE6377">
            <w:pPr>
              <w:ind w:right="57"/>
              <w:jc w:val="right"/>
              <w:rPr>
                <w:sz w:val="14"/>
                <w:szCs w:val="14"/>
              </w:rPr>
            </w:pPr>
          </w:p>
        </w:tc>
        <w:tc>
          <w:tcPr>
            <w:tcW w:w="1056" w:type="dxa"/>
            <w:shd w:val="clear" w:color="auto" w:fill="auto"/>
            <w:vAlign w:val="bottom"/>
          </w:tcPr>
          <w:p w14:paraId="3B267848" w14:textId="65EB1439" w:rsidR="00FE6377" w:rsidRPr="00C35CC6" w:rsidRDefault="00FE6377" w:rsidP="00FE6377">
            <w:pPr>
              <w:ind w:right="57"/>
              <w:jc w:val="right"/>
              <w:rPr>
                <w:sz w:val="14"/>
                <w:szCs w:val="14"/>
              </w:rPr>
            </w:pPr>
            <w:r w:rsidRPr="00C35CC6">
              <w:rPr>
                <w:sz w:val="14"/>
                <w:szCs w:val="14"/>
              </w:rPr>
              <w:t>(15.440.041.496)</w:t>
            </w:r>
          </w:p>
        </w:tc>
        <w:tc>
          <w:tcPr>
            <w:tcW w:w="1841" w:type="dxa"/>
            <w:vAlign w:val="bottom"/>
          </w:tcPr>
          <w:p w14:paraId="4DE14596" w14:textId="77777777" w:rsidR="00FE6377" w:rsidRPr="00C35CC6" w:rsidRDefault="00FE6377" w:rsidP="00FE6377">
            <w:pPr>
              <w:numPr>
                <w:ilvl w:val="12"/>
                <w:numId w:val="0"/>
              </w:numPr>
              <w:tabs>
                <w:tab w:val="left" w:pos="1701"/>
              </w:tabs>
              <w:ind w:right="38"/>
              <w:jc w:val="right"/>
              <w:rPr>
                <w:i/>
                <w:sz w:val="14"/>
                <w:szCs w:val="14"/>
              </w:rPr>
            </w:pPr>
            <w:r w:rsidRPr="00C35CC6">
              <w:rPr>
                <w:i/>
                <w:sz w:val="14"/>
                <w:szCs w:val="14"/>
              </w:rPr>
              <w:t>Depreciation of fixed assets</w:t>
            </w:r>
          </w:p>
        </w:tc>
      </w:tr>
      <w:tr w:rsidR="00FE6377" w:rsidRPr="008109D0" w14:paraId="30159253" w14:textId="77777777" w:rsidTr="00101586">
        <w:trPr>
          <w:trHeight w:val="20"/>
        </w:trPr>
        <w:tc>
          <w:tcPr>
            <w:tcW w:w="1838" w:type="dxa"/>
          </w:tcPr>
          <w:p w14:paraId="266DDD18" w14:textId="77777777" w:rsidR="00FE6377" w:rsidRPr="00C35CC6" w:rsidRDefault="00FE6377" w:rsidP="00FE6377">
            <w:pPr>
              <w:ind w:left="510" w:hanging="142"/>
              <w:rPr>
                <w:sz w:val="14"/>
                <w:szCs w:val="14"/>
              </w:rPr>
            </w:pPr>
            <w:r w:rsidRPr="00C35CC6">
              <w:rPr>
                <w:sz w:val="14"/>
                <w:szCs w:val="14"/>
              </w:rPr>
              <w:t>Provisi atas bonus</w:t>
            </w:r>
          </w:p>
        </w:tc>
        <w:tc>
          <w:tcPr>
            <w:tcW w:w="1055" w:type="dxa"/>
            <w:shd w:val="clear" w:color="auto" w:fill="auto"/>
            <w:vAlign w:val="bottom"/>
          </w:tcPr>
          <w:p w14:paraId="5FC7B988" w14:textId="34B4A2E8" w:rsidR="00FE6377" w:rsidRPr="00C35CC6" w:rsidRDefault="00FE6377" w:rsidP="00FE6377">
            <w:pPr>
              <w:ind w:right="57"/>
              <w:jc w:val="right"/>
              <w:rPr>
                <w:sz w:val="14"/>
                <w:szCs w:val="14"/>
              </w:rPr>
            </w:pPr>
            <w:r w:rsidRPr="00C35CC6">
              <w:rPr>
                <w:sz w:val="14"/>
                <w:szCs w:val="14"/>
              </w:rPr>
              <w:t>511.866.572</w:t>
            </w:r>
          </w:p>
        </w:tc>
        <w:tc>
          <w:tcPr>
            <w:tcW w:w="64" w:type="dxa"/>
            <w:shd w:val="clear" w:color="auto" w:fill="auto"/>
            <w:vAlign w:val="bottom"/>
          </w:tcPr>
          <w:p w14:paraId="0C25921E" w14:textId="77777777" w:rsidR="00FE6377" w:rsidRPr="00C35CC6" w:rsidRDefault="00FE6377" w:rsidP="00FE6377">
            <w:pPr>
              <w:ind w:right="57"/>
              <w:jc w:val="right"/>
              <w:rPr>
                <w:sz w:val="14"/>
                <w:szCs w:val="14"/>
              </w:rPr>
            </w:pPr>
          </w:p>
        </w:tc>
        <w:tc>
          <w:tcPr>
            <w:tcW w:w="1056" w:type="dxa"/>
            <w:shd w:val="clear" w:color="auto" w:fill="auto"/>
            <w:vAlign w:val="bottom"/>
          </w:tcPr>
          <w:p w14:paraId="1863381B" w14:textId="14ED2A2A" w:rsidR="00FE6377" w:rsidRPr="00C35CC6" w:rsidRDefault="00FE6377" w:rsidP="00FE6377">
            <w:pPr>
              <w:ind w:right="57"/>
              <w:jc w:val="right"/>
              <w:rPr>
                <w:sz w:val="14"/>
                <w:szCs w:val="14"/>
              </w:rPr>
            </w:pPr>
            <w:r w:rsidRPr="00C35CC6">
              <w:rPr>
                <w:sz w:val="14"/>
                <w:szCs w:val="14"/>
              </w:rPr>
              <w:t>-</w:t>
            </w:r>
          </w:p>
        </w:tc>
        <w:tc>
          <w:tcPr>
            <w:tcW w:w="64" w:type="dxa"/>
            <w:shd w:val="clear" w:color="auto" w:fill="auto"/>
            <w:vAlign w:val="bottom"/>
          </w:tcPr>
          <w:p w14:paraId="316C27EB" w14:textId="77777777" w:rsidR="00FE6377" w:rsidRPr="00C35CC6" w:rsidRDefault="00FE6377" w:rsidP="00FE6377">
            <w:pPr>
              <w:ind w:right="57"/>
              <w:jc w:val="right"/>
              <w:rPr>
                <w:sz w:val="14"/>
                <w:szCs w:val="14"/>
              </w:rPr>
            </w:pPr>
          </w:p>
        </w:tc>
        <w:tc>
          <w:tcPr>
            <w:tcW w:w="1056" w:type="dxa"/>
            <w:vAlign w:val="bottom"/>
          </w:tcPr>
          <w:p w14:paraId="1D44407C" w14:textId="7DBB77D1" w:rsidR="00FE6377" w:rsidRPr="00C35CC6" w:rsidRDefault="00FE6377" w:rsidP="00FE6377">
            <w:pPr>
              <w:ind w:right="57"/>
              <w:jc w:val="right"/>
              <w:rPr>
                <w:sz w:val="14"/>
                <w:szCs w:val="14"/>
                <w:lang w:val="en-ID"/>
              </w:rPr>
            </w:pPr>
          </w:p>
        </w:tc>
        <w:tc>
          <w:tcPr>
            <w:tcW w:w="64" w:type="dxa"/>
          </w:tcPr>
          <w:p w14:paraId="5E6A8DEA" w14:textId="77777777" w:rsidR="00FE6377" w:rsidRPr="00C35CC6" w:rsidRDefault="00FE6377" w:rsidP="00FE6377">
            <w:pPr>
              <w:ind w:right="57"/>
              <w:jc w:val="right"/>
              <w:rPr>
                <w:sz w:val="14"/>
                <w:szCs w:val="14"/>
                <w:lang w:val="en-ID"/>
              </w:rPr>
            </w:pPr>
          </w:p>
        </w:tc>
        <w:tc>
          <w:tcPr>
            <w:tcW w:w="1056" w:type="dxa"/>
            <w:shd w:val="clear" w:color="auto" w:fill="auto"/>
            <w:vAlign w:val="bottom"/>
          </w:tcPr>
          <w:p w14:paraId="38D3450A" w14:textId="471D1563" w:rsidR="00FE6377" w:rsidRPr="00C35CC6" w:rsidRDefault="00FE6377" w:rsidP="00FE6377">
            <w:pPr>
              <w:ind w:right="57"/>
              <w:jc w:val="right"/>
              <w:rPr>
                <w:sz w:val="14"/>
                <w:szCs w:val="14"/>
                <w:lang w:val="en-ID"/>
              </w:rPr>
            </w:pPr>
            <w:r w:rsidRPr="00C35CC6">
              <w:rPr>
                <w:sz w:val="14"/>
                <w:szCs w:val="14"/>
                <w:lang w:val="en-ID"/>
              </w:rPr>
              <w:t>-</w:t>
            </w:r>
          </w:p>
        </w:tc>
        <w:tc>
          <w:tcPr>
            <w:tcW w:w="64" w:type="dxa"/>
            <w:shd w:val="clear" w:color="auto" w:fill="auto"/>
            <w:vAlign w:val="bottom"/>
          </w:tcPr>
          <w:p w14:paraId="1C0C7437" w14:textId="77777777" w:rsidR="00FE6377" w:rsidRPr="00C35CC6" w:rsidRDefault="00FE6377" w:rsidP="00FE6377">
            <w:pPr>
              <w:ind w:right="57"/>
              <w:jc w:val="right"/>
              <w:rPr>
                <w:sz w:val="14"/>
                <w:szCs w:val="14"/>
              </w:rPr>
            </w:pPr>
          </w:p>
        </w:tc>
        <w:tc>
          <w:tcPr>
            <w:tcW w:w="1056" w:type="dxa"/>
            <w:shd w:val="clear" w:color="auto" w:fill="auto"/>
            <w:vAlign w:val="bottom"/>
          </w:tcPr>
          <w:p w14:paraId="24D324D2" w14:textId="0673A8D9" w:rsidR="00FE6377" w:rsidRPr="00C35CC6" w:rsidRDefault="00FE6377" w:rsidP="00FE6377">
            <w:pPr>
              <w:ind w:right="57"/>
              <w:jc w:val="right"/>
              <w:rPr>
                <w:sz w:val="14"/>
                <w:szCs w:val="14"/>
              </w:rPr>
            </w:pPr>
            <w:r w:rsidRPr="00C35CC6">
              <w:rPr>
                <w:sz w:val="14"/>
                <w:szCs w:val="14"/>
              </w:rPr>
              <w:t>511.866.572</w:t>
            </w:r>
          </w:p>
        </w:tc>
        <w:tc>
          <w:tcPr>
            <w:tcW w:w="1841" w:type="dxa"/>
            <w:vAlign w:val="bottom"/>
          </w:tcPr>
          <w:p w14:paraId="533840AA" w14:textId="77777777" w:rsidR="00FE6377" w:rsidRPr="00C35CC6" w:rsidRDefault="00FE6377" w:rsidP="00FE6377">
            <w:pPr>
              <w:numPr>
                <w:ilvl w:val="12"/>
                <w:numId w:val="0"/>
              </w:numPr>
              <w:ind w:right="55"/>
              <w:jc w:val="right"/>
              <w:rPr>
                <w:i/>
                <w:sz w:val="14"/>
                <w:szCs w:val="14"/>
              </w:rPr>
            </w:pPr>
            <w:r w:rsidRPr="00C35CC6">
              <w:rPr>
                <w:i/>
                <w:sz w:val="14"/>
                <w:szCs w:val="14"/>
              </w:rPr>
              <w:t>Provision of bonus</w:t>
            </w:r>
          </w:p>
        </w:tc>
      </w:tr>
      <w:tr w:rsidR="00FE6377" w:rsidRPr="008109D0" w14:paraId="32CC413E" w14:textId="77777777" w:rsidTr="002108FF">
        <w:trPr>
          <w:trHeight w:val="20"/>
        </w:trPr>
        <w:tc>
          <w:tcPr>
            <w:tcW w:w="1838" w:type="dxa"/>
          </w:tcPr>
          <w:p w14:paraId="03F82A5D" w14:textId="77777777" w:rsidR="00FE6377" w:rsidRPr="00C35CC6" w:rsidRDefault="00FE6377" w:rsidP="00FE6377">
            <w:pPr>
              <w:ind w:left="510" w:hanging="142"/>
              <w:rPr>
                <w:sz w:val="14"/>
                <w:szCs w:val="14"/>
              </w:rPr>
            </w:pPr>
          </w:p>
        </w:tc>
        <w:tc>
          <w:tcPr>
            <w:tcW w:w="1055" w:type="dxa"/>
            <w:tcBorders>
              <w:top w:val="single" w:sz="4" w:space="0" w:color="auto"/>
            </w:tcBorders>
            <w:shd w:val="clear" w:color="auto" w:fill="auto"/>
            <w:vAlign w:val="bottom"/>
          </w:tcPr>
          <w:p w14:paraId="627DD9B8" w14:textId="77777777" w:rsidR="00FE6377" w:rsidRPr="00C35CC6" w:rsidRDefault="00FE6377" w:rsidP="00FE6377">
            <w:pPr>
              <w:ind w:right="57"/>
              <w:jc w:val="right"/>
              <w:rPr>
                <w:sz w:val="10"/>
                <w:szCs w:val="10"/>
              </w:rPr>
            </w:pPr>
          </w:p>
        </w:tc>
        <w:tc>
          <w:tcPr>
            <w:tcW w:w="64" w:type="dxa"/>
            <w:shd w:val="clear" w:color="auto" w:fill="auto"/>
            <w:vAlign w:val="bottom"/>
          </w:tcPr>
          <w:p w14:paraId="111660EE"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22915252" w14:textId="77777777" w:rsidR="00FE6377" w:rsidRPr="00C35CC6" w:rsidRDefault="00FE6377" w:rsidP="00FE6377">
            <w:pPr>
              <w:ind w:right="57"/>
              <w:jc w:val="right"/>
              <w:rPr>
                <w:sz w:val="10"/>
                <w:szCs w:val="10"/>
              </w:rPr>
            </w:pPr>
          </w:p>
        </w:tc>
        <w:tc>
          <w:tcPr>
            <w:tcW w:w="64" w:type="dxa"/>
            <w:shd w:val="clear" w:color="auto" w:fill="auto"/>
            <w:vAlign w:val="bottom"/>
          </w:tcPr>
          <w:p w14:paraId="3C0FCEAF" w14:textId="77777777" w:rsidR="00FE6377" w:rsidRPr="00C35CC6" w:rsidRDefault="00FE6377" w:rsidP="00FE6377">
            <w:pPr>
              <w:ind w:right="57"/>
              <w:jc w:val="right"/>
              <w:rPr>
                <w:sz w:val="10"/>
                <w:szCs w:val="10"/>
              </w:rPr>
            </w:pPr>
          </w:p>
        </w:tc>
        <w:tc>
          <w:tcPr>
            <w:tcW w:w="1056" w:type="dxa"/>
            <w:tcBorders>
              <w:top w:val="single" w:sz="4" w:space="0" w:color="auto"/>
            </w:tcBorders>
          </w:tcPr>
          <w:p w14:paraId="4578E092" w14:textId="77777777" w:rsidR="00FE6377" w:rsidRPr="00C35CC6" w:rsidRDefault="00FE6377" w:rsidP="00FE6377">
            <w:pPr>
              <w:ind w:right="57"/>
              <w:jc w:val="right"/>
              <w:rPr>
                <w:sz w:val="10"/>
                <w:szCs w:val="10"/>
              </w:rPr>
            </w:pPr>
          </w:p>
        </w:tc>
        <w:tc>
          <w:tcPr>
            <w:tcW w:w="64" w:type="dxa"/>
          </w:tcPr>
          <w:p w14:paraId="494C2871"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09B84401" w14:textId="77777777" w:rsidR="00FE6377" w:rsidRPr="00C35CC6" w:rsidRDefault="00FE6377" w:rsidP="00FE6377">
            <w:pPr>
              <w:ind w:right="57"/>
              <w:jc w:val="right"/>
              <w:rPr>
                <w:sz w:val="10"/>
                <w:szCs w:val="10"/>
              </w:rPr>
            </w:pPr>
          </w:p>
        </w:tc>
        <w:tc>
          <w:tcPr>
            <w:tcW w:w="64" w:type="dxa"/>
            <w:shd w:val="clear" w:color="auto" w:fill="auto"/>
            <w:vAlign w:val="bottom"/>
          </w:tcPr>
          <w:p w14:paraId="7D15A2BE"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42113EB2" w14:textId="77777777" w:rsidR="00FE6377" w:rsidRPr="00C35CC6" w:rsidRDefault="00FE6377" w:rsidP="00FE6377">
            <w:pPr>
              <w:ind w:right="57"/>
              <w:jc w:val="right"/>
              <w:rPr>
                <w:sz w:val="10"/>
                <w:szCs w:val="10"/>
              </w:rPr>
            </w:pPr>
          </w:p>
        </w:tc>
        <w:tc>
          <w:tcPr>
            <w:tcW w:w="1841" w:type="dxa"/>
            <w:vAlign w:val="bottom"/>
          </w:tcPr>
          <w:p w14:paraId="2A9F0D41" w14:textId="77777777" w:rsidR="00FE6377" w:rsidRPr="00C35CC6" w:rsidRDefault="00FE6377" w:rsidP="00FE6377">
            <w:pPr>
              <w:numPr>
                <w:ilvl w:val="12"/>
                <w:numId w:val="0"/>
              </w:numPr>
              <w:ind w:right="55"/>
              <w:jc w:val="right"/>
              <w:rPr>
                <w:i/>
                <w:sz w:val="10"/>
                <w:szCs w:val="10"/>
              </w:rPr>
            </w:pPr>
          </w:p>
        </w:tc>
      </w:tr>
      <w:tr w:rsidR="00FE6377" w:rsidRPr="008109D0" w14:paraId="4A442C98" w14:textId="77777777" w:rsidTr="002108FF">
        <w:trPr>
          <w:trHeight w:val="20"/>
        </w:trPr>
        <w:tc>
          <w:tcPr>
            <w:tcW w:w="1838" w:type="dxa"/>
          </w:tcPr>
          <w:p w14:paraId="60EFBE10" w14:textId="77777777" w:rsidR="00FE6377" w:rsidRPr="00C35CC6" w:rsidRDefault="00FE6377" w:rsidP="00FE6377">
            <w:pPr>
              <w:ind w:left="510" w:hanging="142"/>
              <w:rPr>
                <w:sz w:val="14"/>
                <w:szCs w:val="14"/>
              </w:rPr>
            </w:pPr>
            <w:r w:rsidRPr="00C35CC6">
              <w:rPr>
                <w:sz w:val="14"/>
                <w:szCs w:val="14"/>
              </w:rPr>
              <w:t>Sub jumlah</w:t>
            </w:r>
          </w:p>
        </w:tc>
        <w:tc>
          <w:tcPr>
            <w:tcW w:w="1055" w:type="dxa"/>
            <w:tcBorders>
              <w:bottom w:val="single" w:sz="4" w:space="0" w:color="auto"/>
            </w:tcBorders>
            <w:shd w:val="clear" w:color="auto" w:fill="auto"/>
            <w:vAlign w:val="bottom"/>
          </w:tcPr>
          <w:p w14:paraId="685B6425" w14:textId="25A14D12" w:rsidR="00FE6377" w:rsidRPr="00C35CC6" w:rsidRDefault="00FE6377" w:rsidP="00FE6377">
            <w:pPr>
              <w:ind w:right="57"/>
              <w:jc w:val="right"/>
              <w:rPr>
                <w:sz w:val="14"/>
                <w:szCs w:val="14"/>
              </w:rPr>
            </w:pPr>
            <w:r w:rsidRPr="00C35CC6">
              <w:rPr>
                <w:sz w:val="14"/>
                <w:szCs w:val="14"/>
              </w:rPr>
              <w:t>40.691.371.783</w:t>
            </w:r>
          </w:p>
        </w:tc>
        <w:tc>
          <w:tcPr>
            <w:tcW w:w="64" w:type="dxa"/>
            <w:shd w:val="clear" w:color="auto" w:fill="auto"/>
            <w:vAlign w:val="bottom"/>
          </w:tcPr>
          <w:p w14:paraId="151DD4B5" w14:textId="77777777" w:rsidR="00FE6377" w:rsidRPr="00C35CC6" w:rsidRDefault="00FE6377" w:rsidP="00FE6377">
            <w:pPr>
              <w:ind w:right="57"/>
              <w:jc w:val="right"/>
              <w:rPr>
                <w:sz w:val="14"/>
                <w:szCs w:val="14"/>
              </w:rPr>
            </w:pPr>
          </w:p>
        </w:tc>
        <w:tc>
          <w:tcPr>
            <w:tcW w:w="1056" w:type="dxa"/>
            <w:tcBorders>
              <w:bottom w:val="single" w:sz="4" w:space="0" w:color="auto"/>
            </w:tcBorders>
            <w:shd w:val="clear" w:color="auto" w:fill="auto"/>
            <w:vAlign w:val="bottom"/>
          </w:tcPr>
          <w:p w14:paraId="3475E17F" w14:textId="69773797" w:rsidR="00FE6377" w:rsidRPr="00C35CC6" w:rsidRDefault="00FE6377" w:rsidP="00FE6377">
            <w:pPr>
              <w:ind w:right="57"/>
              <w:jc w:val="right"/>
              <w:rPr>
                <w:sz w:val="14"/>
                <w:szCs w:val="14"/>
              </w:rPr>
            </w:pPr>
            <w:r w:rsidRPr="00C35CC6">
              <w:rPr>
                <w:sz w:val="14"/>
                <w:szCs w:val="14"/>
              </w:rPr>
              <w:t>(823.037.117)</w:t>
            </w:r>
          </w:p>
        </w:tc>
        <w:tc>
          <w:tcPr>
            <w:tcW w:w="64" w:type="dxa"/>
            <w:shd w:val="clear" w:color="auto" w:fill="auto"/>
            <w:vAlign w:val="bottom"/>
          </w:tcPr>
          <w:p w14:paraId="29589264" w14:textId="77777777" w:rsidR="00FE6377" w:rsidRPr="00C35CC6" w:rsidRDefault="00FE6377" w:rsidP="00FE6377">
            <w:pPr>
              <w:ind w:right="57"/>
              <w:jc w:val="right"/>
              <w:rPr>
                <w:sz w:val="14"/>
                <w:szCs w:val="14"/>
              </w:rPr>
            </w:pPr>
          </w:p>
        </w:tc>
        <w:tc>
          <w:tcPr>
            <w:tcW w:w="1056" w:type="dxa"/>
            <w:tcBorders>
              <w:bottom w:val="single" w:sz="4" w:space="0" w:color="auto"/>
            </w:tcBorders>
          </w:tcPr>
          <w:p w14:paraId="45F4C438" w14:textId="4489CDC4" w:rsidR="00FE6377" w:rsidRPr="00C35CC6" w:rsidRDefault="00FE6377" w:rsidP="00FE6377">
            <w:pPr>
              <w:ind w:right="57"/>
              <w:jc w:val="right"/>
              <w:rPr>
                <w:sz w:val="14"/>
                <w:szCs w:val="14"/>
              </w:rPr>
            </w:pPr>
          </w:p>
        </w:tc>
        <w:tc>
          <w:tcPr>
            <w:tcW w:w="64" w:type="dxa"/>
          </w:tcPr>
          <w:p w14:paraId="5A187388" w14:textId="77777777" w:rsidR="00FE6377" w:rsidRPr="00C35CC6" w:rsidRDefault="00FE6377" w:rsidP="00FE6377">
            <w:pPr>
              <w:ind w:right="57"/>
              <w:jc w:val="right"/>
              <w:rPr>
                <w:sz w:val="14"/>
                <w:szCs w:val="14"/>
              </w:rPr>
            </w:pPr>
          </w:p>
        </w:tc>
        <w:tc>
          <w:tcPr>
            <w:tcW w:w="1056" w:type="dxa"/>
            <w:tcBorders>
              <w:bottom w:val="single" w:sz="4" w:space="0" w:color="auto"/>
            </w:tcBorders>
            <w:shd w:val="clear" w:color="auto" w:fill="auto"/>
            <w:vAlign w:val="bottom"/>
          </w:tcPr>
          <w:p w14:paraId="7715046A" w14:textId="41CA4650" w:rsidR="00FE6377" w:rsidRPr="00C35CC6" w:rsidRDefault="00FE6377" w:rsidP="00FE6377">
            <w:pPr>
              <w:ind w:right="57"/>
              <w:jc w:val="right"/>
              <w:rPr>
                <w:sz w:val="14"/>
                <w:szCs w:val="14"/>
              </w:rPr>
            </w:pPr>
            <w:r w:rsidRPr="00C35CC6">
              <w:rPr>
                <w:sz w:val="14"/>
                <w:szCs w:val="14"/>
              </w:rPr>
              <w:t>(571.557.262)</w:t>
            </w:r>
          </w:p>
        </w:tc>
        <w:tc>
          <w:tcPr>
            <w:tcW w:w="64" w:type="dxa"/>
            <w:shd w:val="clear" w:color="auto" w:fill="auto"/>
            <w:vAlign w:val="bottom"/>
          </w:tcPr>
          <w:p w14:paraId="7C5758CE" w14:textId="77777777" w:rsidR="00FE6377" w:rsidRPr="00C35CC6" w:rsidRDefault="00FE6377" w:rsidP="00FE6377">
            <w:pPr>
              <w:ind w:right="57"/>
              <w:jc w:val="right"/>
              <w:rPr>
                <w:sz w:val="14"/>
                <w:szCs w:val="14"/>
              </w:rPr>
            </w:pPr>
          </w:p>
        </w:tc>
        <w:tc>
          <w:tcPr>
            <w:tcW w:w="1056" w:type="dxa"/>
            <w:tcBorders>
              <w:bottom w:val="single" w:sz="4" w:space="0" w:color="auto"/>
            </w:tcBorders>
            <w:shd w:val="clear" w:color="auto" w:fill="auto"/>
            <w:vAlign w:val="bottom"/>
          </w:tcPr>
          <w:p w14:paraId="3DF6D23E" w14:textId="7FF887B7" w:rsidR="00FE6377" w:rsidRPr="00C35CC6" w:rsidRDefault="0060573C" w:rsidP="00FE6377">
            <w:pPr>
              <w:ind w:right="57"/>
              <w:jc w:val="right"/>
              <w:rPr>
                <w:sz w:val="14"/>
                <w:szCs w:val="14"/>
              </w:rPr>
            </w:pPr>
            <w:r>
              <w:rPr>
                <w:sz w:val="14"/>
                <w:szCs w:val="14"/>
              </w:rPr>
              <w:t>39.868.334.667</w:t>
            </w:r>
          </w:p>
        </w:tc>
        <w:tc>
          <w:tcPr>
            <w:tcW w:w="1841" w:type="dxa"/>
            <w:vAlign w:val="bottom"/>
          </w:tcPr>
          <w:p w14:paraId="40EC74A8" w14:textId="77777777" w:rsidR="00FE6377" w:rsidRPr="00C35CC6" w:rsidRDefault="00FE6377" w:rsidP="00FE6377">
            <w:pPr>
              <w:numPr>
                <w:ilvl w:val="12"/>
                <w:numId w:val="0"/>
              </w:numPr>
              <w:ind w:right="55"/>
              <w:jc w:val="right"/>
              <w:rPr>
                <w:i/>
                <w:sz w:val="14"/>
                <w:szCs w:val="14"/>
              </w:rPr>
            </w:pPr>
            <w:r w:rsidRPr="00C35CC6">
              <w:rPr>
                <w:i/>
                <w:sz w:val="14"/>
                <w:szCs w:val="14"/>
              </w:rPr>
              <w:t>Sub total</w:t>
            </w:r>
          </w:p>
        </w:tc>
      </w:tr>
      <w:tr w:rsidR="00FE6377" w:rsidRPr="008109D0" w14:paraId="4CC87EF1" w14:textId="77777777" w:rsidTr="002108FF">
        <w:trPr>
          <w:trHeight w:val="20"/>
        </w:trPr>
        <w:tc>
          <w:tcPr>
            <w:tcW w:w="1838" w:type="dxa"/>
          </w:tcPr>
          <w:p w14:paraId="346F9BB6" w14:textId="77777777" w:rsidR="00FE6377" w:rsidRPr="00C35CC6" w:rsidRDefault="00FE6377" w:rsidP="00FE6377">
            <w:pPr>
              <w:ind w:left="609"/>
              <w:rPr>
                <w:sz w:val="10"/>
                <w:szCs w:val="10"/>
              </w:rPr>
            </w:pPr>
          </w:p>
        </w:tc>
        <w:tc>
          <w:tcPr>
            <w:tcW w:w="1055" w:type="dxa"/>
            <w:tcBorders>
              <w:top w:val="single" w:sz="4" w:space="0" w:color="auto"/>
            </w:tcBorders>
            <w:shd w:val="clear" w:color="auto" w:fill="auto"/>
            <w:vAlign w:val="bottom"/>
          </w:tcPr>
          <w:p w14:paraId="38B55C73" w14:textId="77777777" w:rsidR="00FE6377" w:rsidRPr="00C35CC6" w:rsidRDefault="00FE6377" w:rsidP="00FE6377">
            <w:pPr>
              <w:ind w:right="57"/>
              <w:jc w:val="right"/>
              <w:rPr>
                <w:sz w:val="10"/>
                <w:szCs w:val="10"/>
              </w:rPr>
            </w:pPr>
          </w:p>
        </w:tc>
        <w:tc>
          <w:tcPr>
            <w:tcW w:w="64" w:type="dxa"/>
            <w:shd w:val="clear" w:color="auto" w:fill="auto"/>
            <w:vAlign w:val="bottom"/>
          </w:tcPr>
          <w:p w14:paraId="20A87E9F"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7B0E613D" w14:textId="77777777" w:rsidR="00FE6377" w:rsidRPr="00C35CC6" w:rsidRDefault="00FE6377" w:rsidP="00FE6377">
            <w:pPr>
              <w:ind w:right="57"/>
              <w:jc w:val="right"/>
              <w:rPr>
                <w:sz w:val="10"/>
                <w:szCs w:val="10"/>
              </w:rPr>
            </w:pPr>
          </w:p>
        </w:tc>
        <w:tc>
          <w:tcPr>
            <w:tcW w:w="64" w:type="dxa"/>
            <w:shd w:val="clear" w:color="auto" w:fill="auto"/>
            <w:vAlign w:val="bottom"/>
          </w:tcPr>
          <w:p w14:paraId="71B56C4D" w14:textId="77777777" w:rsidR="00FE6377" w:rsidRPr="00C35CC6" w:rsidRDefault="00FE6377" w:rsidP="00FE6377">
            <w:pPr>
              <w:ind w:right="57"/>
              <w:jc w:val="right"/>
              <w:rPr>
                <w:sz w:val="10"/>
                <w:szCs w:val="10"/>
              </w:rPr>
            </w:pPr>
          </w:p>
        </w:tc>
        <w:tc>
          <w:tcPr>
            <w:tcW w:w="1056" w:type="dxa"/>
            <w:tcBorders>
              <w:top w:val="single" w:sz="4" w:space="0" w:color="auto"/>
            </w:tcBorders>
            <w:vAlign w:val="bottom"/>
          </w:tcPr>
          <w:p w14:paraId="5808ABA6" w14:textId="77777777" w:rsidR="00FE6377" w:rsidRPr="00C35CC6" w:rsidRDefault="00FE6377" w:rsidP="00FE6377">
            <w:pPr>
              <w:ind w:right="57"/>
              <w:jc w:val="right"/>
              <w:rPr>
                <w:sz w:val="10"/>
                <w:szCs w:val="10"/>
              </w:rPr>
            </w:pPr>
          </w:p>
        </w:tc>
        <w:tc>
          <w:tcPr>
            <w:tcW w:w="64" w:type="dxa"/>
          </w:tcPr>
          <w:p w14:paraId="5FADEBE0"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2E3ED1C8" w14:textId="77777777" w:rsidR="00FE6377" w:rsidRPr="00C35CC6" w:rsidRDefault="00FE6377" w:rsidP="00FE6377">
            <w:pPr>
              <w:ind w:right="57"/>
              <w:jc w:val="right"/>
              <w:rPr>
                <w:sz w:val="10"/>
                <w:szCs w:val="10"/>
              </w:rPr>
            </w:pPr>
          </w:p>
        </w:tc>
        <w:tc>
          <w:tcPr>
            <w:tcW w:w="64" w:type="dxa"/>
            <w:shd w:val="clear" w:color="auto" w:fill="auto"/>
            <w:vAlign w:val="bottom"/>
          </w:tcPr>
          <w:p w14:paraId="3B02C497" w14:textId="77777777" w:rsidR="00FE6377" w:rsidRPr="00C35CC6" w:rsidRDefault="00FE6377" w:rsidP="00FE6377">
            <w:pPr>
              <w:ind w:right="57"/>
              <w:jc w:val="right"/>
              <w:rPr>
                <w:sz w:val="10"/>
                <w:szCs w:val="10"/>
              </w:rPr>
            </w:pPr>
          </w:p>
        </w:tc>
        <w:tc>
          <w:tcPr>
            <w:tcW w:w="1056" w:type="dxa"/>
            <w:tcBorders>
              <w:top w:val="single" w:sz="4" w:space="0" w:color="auto"/>
            </w:tcBorders>
            <w:shd w:val="clear" w:color="auto" w:fill="auto"/>
            <w:vAlign w:val="bottom"/>
          </w:tcPr>
          <w:p w14:paraId="743CB403" w14:textId="77777777" w:rsidR="00FE6377" w:rsidRPr="00C35CC6" w:rsidRDefault="00FE6377" w:rsidP="00FE6377">
            <w:pPr>
              <w:ind w:right="57"/>
              <w:jc w:val="right"/>
              <w:rPr>
                <w:sz w:val="10"/>
                <w:szCs w:val="10"/>
              </w:rPr>
            </w:pPr>
          </w:p>
        </w:tc>
        <w:tc>
          <w:tcPr>
            <w:tcW w:w="1841" w:type="dxa"/>
            <w:vAlign w:val="bottom"/>
          </w:tcPr>
          <w:p w14:paraId="57D2CB27" w14:textId="77777777" w:rsidR="00FE6377" w:rsidRPr="00C35CC6" w:rsidRDefault="00FE6377" w:rsidP="00FE6377">
            <w:pPr>
              <w:numPr>
                <w:ilvl w:val="12"/>
                <w:numId w:val="0"/>
              </w:numPr>
              <w:ind w:right="55"/>
              <w:jc w:val="right"/>
              <w:rPr>
                <w:i/>
                <w:sz w:val="10"/>
                <w:szCs w:val="10"/>
              </w:rPr>
            </w:pPr>
          </w:p>
        </w:tc>
      </w:tr>
      <w:tr w:rsidR="00FE6377" w:rsidRPr="008109D0" w14:paraId="25CFB0C4" w14:textId="77777777" w:rsidTr="009211BF">
        <w:trPr>
          <w:trHeight w:val="20"/>
        </w:trPr>
        <w:tc>
          <w:tcPr>
            <w:tcW w:w="1838" w:type="dxa"/>
          </w:tcPr>
          <w:p w14:paraId="42BAD358" w14:textId="0B921A4A" w:rsidR="00FE6377" w:rsidRPr="00C35CC6" w:rsidRDefault="00FE6377" w:rsidP="00FE6377">
            <w:pPr>
              <w:ind w:left="510" w:hanging="142"/>
              <w:rPr>
                <w:b/>
                <w:sz w:val="14"/>
                <w:szCs w:val="14"/>
              </w:rPr>
            </w:pPr>
            <w:r w:rsidRPr="00C35CC6">
              <w:rPr>
                <w:b/>
                <w:bCs w:val="0"/>
                <w:sz w:val="14"/>
                <w:szCs w:val="14"/>
                <w:u w:val="single"/>
              </w:rPr>
              <w:t>Jumlah</w:t>
            </w:r>
          </w:p>
        </w:tc>
        <w:tc>
          <w:tcPr>
            <w:tcW w:w="1055" w:type="dxa"/>
            <w:tcBorders>
              <w:bottom w:val="double" w:sz="4" w:space="0" w:color="auto"/>
            </w:tcBorders>
            <w:shd w:val="clear" w:color="auto" w:fill="auto"/>
            <w:vAlign w:val="bottom"/>
          </w:tcPr>
          <w:p w14:paraId="144AB11C" w14:textId="4D61CCF6" w:rsidR="00FE6377" w:rsidRPr="00C35CC6" w:rsidRDefault="00FE6377" w:rsidP="00FE6377">
            <w:pPr>
              <w:ind w:right="57"/>
              <w:jc w:val="right"/>
              <w:rPr>
                <w:b/>
                <w:sz w:val="14"/>
                <w:szCs w:val="14"/>
              </w:rPr>
            </w:pPr>
            <w:r w:rsidRPr="00C35CC6">
              <w:rPr>
                <w:b/>
                <w:sz w:val="14"/>
                <w:szCs w:val="14"/>
              </w:rPr>
              <w:t>60.440.184.332</w:t>
            </w:r>
          </w:p>
        </w:tc>
        <w:tc>
          <w:tcPr>
            <w:tcW w:w="64" w:type="dxa"/>
            <w:shd w:val="clear" w:color="auto" w:fill="auto"/>
            <w:vAlign w:val="bottom"/>
          </w:tcPr>
          <w:p w14:paraId="1079465B" w14:textId="77777777" w:rsidR="00FE6377" w:rsidRPr="00C35CC6" w:rsidRDefault="00FE6377" w:rsidP="00FE6377">
            <w:pPr>
              <w:ind w:right="57"/>
              <w:jc w:val="right"/>
              <w:rPr>
                <w:b/>
                <w:bCs w:val="0"/>
                <w:sz w:val="14"/>
                <w:szCs w:val="14"/>
              </w:rPr>
            </w:pPr>
          </w:p>
        </w:tc>
        <w:tc>
          <w:tcPr>
            <w:tcW w:w="1056" w:type="dxa"/>
            <w:tcBorders>
              <w:bottom w:val="double" w:sz="4" w:space="0" w:color="auto"/>
            </w:tcBorders>
            <w:shd w:val="clear" w:color="auto" w:fill="auto"/>
            <w:vAlign w:val="bottom"/>
          </w:tcPr>
          <w:p w14:paraId="178CD9F7" w14:textId="1D9C8DC0" w:rsidR="00FE6377" w:rsidRPr="00C35CC6" w:rsidRDefault="00FE6377" w:rsidP="00FE6377">
            <w:pPr>
              <w:ind w:right="57"/>
              <w:jc w:val="right"/>
              <w:rPr>
                <w:b/>
                <w:bCs w:val="0"/>
                <w:sz w:val="14"/>
                <w:szCs w:val="14"/>
              </w:rPr>
            </w:pPr>
            <w:r w:rsidRPr="00C35CC6">
              <w:rPr>
                <w:b/>
                <w:bCs w:val="0"/>
                <w:sz w:val="14"/>
                <w:szCs w:val="14"/>
              </w:rPr>
              <w:t>(511.732.958)</w:t>
            </w:r>
          </w:p>
        </w:tc>
        <w:tc>
          <w:tcPr>
            <w:tcW w:w="64" w:type="dxa"/>
            <w:shd w:val="clear" w:color="auto" w:fill="auto"/>
            <w:vAlign w:val="bottom"/>
          </w:tcPr>
          <w:p w14:paraId="1192A875" w14:textId="77777777" w:rsidR="00FE6377" w:rsidRPr="00C35CC6" w:rsidRDefault="00FE6377" w:rsidP="00FE6377">
            <w:pPr>
              <w:ind w:right="57"/>
              <w:jc w:val="right"/>
              <w:rPr>
                <w:b/>
                <w:sz w:val="14"/>
                <w:szCs w:val="14"/>
              </w:rPr>
            </w:pPr>
          </w:p>
        </w:tc>
        <w:tc>
          <w:tcPr>
            <w:tcW w:w="1056" w:type="dxa"/>
            <w:tcBorders>
              <w:bottom w:val="double" w:sz="4" w:space="0" w:color="auto"/>
            </w:tcBorders>
          </w:tcPr>
          <w:p w14:paraId="42554E2C" w14:textId="5436148F" w:rsidR="00FE6377" w:rsidRPr="00C35CC6" w:rsidRDefault="00FE6377" w:rsidP="00FE6377">
            <w:pPr>
              <w:ind w:right="57"/>
              <w:jc w:val="right"/>
              <w:rPr>
                <w:b/>
                <w:bCs w:val="0"/>
                <w:sz w:val="14"/>
                <w:szCs w:val="14"/>
              </w:rPr>
            </w:pPr>
          </w:p>
        </w:tc>
        <w:tc>
          <w:tcPr>
            <w:tcW w:w="64" w:type="dxa"/>
          </w:tcPr>
          <w:p w14:paraId="5DA4B444" w14:textId="77777777" w:rsidR="00FE6377" w:rsidRPr="00C35CC6" w:rsidRDefault="00FE6377" w:rsidP="00FE6377">
            <w:pPr>
              <w:ind w:right="57"/>
              <w:jc w:val="right"/>
              <w:rPr>
                <w:b/>
                <w:sz w:val="14"/>
                <w:szCs w:val="14"/>
              </w:rPr>
            </w:pPr>
          </w:p>
        </w:tc>
        <w:tc>
          <w:tcPr>
            <w:tcW w:w="1056" w:type="dxa"/>
            <w:tcBorders>
              <w:bottom w:val="double" w:sz="4" w:space="0" w:color="auto"/>
            </w:tcBorders>
            <w:shd w:val="clear" w:color="auto" w:fill="auto"/>
            <w:vAlign w:val="bottom"/>
          </w:tcPr>
          <w:p w14:paraId="12A47D15" w14:textId="07F8529E" w:rsidR="00FE6377" w:rsidRPr="00C35CC6" w:rsidRDefault="00FE6377" w:rsidP="00FE6377">
            <w:pPr>
              <w:ind w:right="57"/>
              <w:jc w:val="right"/>
              <w:rPr>
                <w:b/>
                <w:sz w:val="14"/>
                <w:szCs w:val="14"/>
              </w:rPr>
            </w:pPr>
            <w:r w:rsidRPr="00C35CC6">
              <w:rPr>
                <w:b/>
                <w:sz w:val="14"/>
                <w:szCs w:val="14"/>
              </w:rPr>
              <w:t>(806.594.808)</w:t>
            </w:r>
          </w:p>
        </w:tc>
        <w:tc>
          <w:tcPr>
            <w:tcW w:w="64" w:type="dxa"/>
            <w:shd w:val="clear" w:color="auto" w:fill="auto"/>
            <w:vAlign w:val="bottom"/>
          </w:tcPr>
          <w:p w14:paraId="4B5F4314" w14:textId="77777777" w:rsidR="00FE6377" w:rsidRPr="00C35CC6" w:rsidRDefault="00FE6377" w:rsidP="00FE6377">
            <w:pPr>
              <w:ind w:right="57"/>
              <w:jc w:val="right"/>
              <w:rPr>
                <w:b/>
                <w:sz w:val="14"/>
                <w:szCs w:val="14"/>
              </w:rPr>
            </w:pPr>
          </w:p>
        </w:tc>
        <w:tc>
          <w:tcPr>
            <w:tcW w:w="1056" w:type="dxa"/>
            <w:tcBorders>
              <w:bottom w:val="double" w:sz="4" w:space="0" w:color="auto"/>
            </w:tcBorders>
            <w:shd w:val="clear" w:color="auto" w:fill="auto"/>
            <w:vAlign w:val="bottom"/>
          </w:tcPr>
          <w:p w14:paraId="209D35CD" w14:textId="19C13366" w:rsidR="00FE6377" w:rsidRPr="00C35CC6" w:rsidRDefault="00FE6377" w:rsidP="0060573C">
            <w:pPr>
              <w:ind w:right="57"/>
              <w:jc w:val="right"/>
              <w:rPr>
                <w:b/>
                <w:sz w:val="14"/>
                <w:szCs w:val="14"/>
              </w:rPr>
            </w:pPr>
            <w:r w:rsidRPr="00C35CC6">
              <w:rPr>
                <w:b/>
                <w:sz w:val="14"/>
                <w:szCs w:val="14"/>
              </w:rPr>
              <w:t>59.</w:t>
            </w:r>
            <w:r w:rsidR="0060573C">
              <w:rPr>
                <w:b/>
                <w:sz w:val="14"/>
                <w:szCs w:val="14"/>
              </w:rPr>
              <w:t>693.413.828</w:t>
            </w:r>
          </w:p>
        </w:tc>
        <w:tc>
          <w:tcPr>
            <w:tcW w:w="1841" w:type="dxa"/>
            <w:vAlign w:val="bottom"/>
          </w:tcPr>
          <w:p w14:paraId="4A25C3A7" w14:textId="77777777" w:rsidR="00FE6377" w:rsidRPr="00C35CC6" w:rsidRDefault="00FE6377" w:rsidP="00FE6377">
            <w:pPr>
              <w:numPr>
                <w:ilvl w:val="12"/>
                <w:numId w:val="0"/>
              </w:numPr>
              <w:jc w:val="right"/>
              <w:rPr>
                <w:b/>
                <w:i/>
                <w:sz w:val="14"/>
                <w:szCs w:val="14"/>
              </w:rPr>
            </w:pPr>
            <w:r w:rsidRPr="00C35CC6">
              <w:rPr>
                <w:b/>
                <w:i/>
                <w:sz w:val="14"/>
                <w:szCs w:val="14"/>
              </w:rPr>
              <w:t>Total</w:t>
            </w:r>
          </w:p>
        </w:tc>
      </w:tr>
    </w:tbl>
    <w:p w14:paraId="0FA44F25" w14:textId="77777777" w:rsidR="00CB3BBE" w:rsidRPr="008109D0" w:rsidRDefault="00CB3BBE" w:rsidP="0013526B">
      <w:pPr>
        <w:rPr>
          <w:sz w:val="10"/>
          <w:szCs w:val="10"/>
        </w:rPr>
      </w:pPr>
    </w:p>
    <w:tbl>
      <w:tblPr>
        <w:tblW w:w="9214" w:type="dxa"/>
        <w:tblInd w:w="426" w:type="dxa"/>
        <w:tblLayout w:type="fixed"/>
        <w:tblCellMar>
          <w:left w:w="0" w:type="dxa"/>
          <w:right w:w="0" w:type="dxa"/>
        </w:tblCellMar>
        <w:tblLook w:val="01E0" w:firstRow="1" w:lastRow="1" w:firstColumn="1" w:lastColumn="1" w:noHBand="0" w:noVBand="0"/>
      </w:tblPr>
      <w:tblGrid>
        <w:gridCol w:w="1838"/>
        <w:gridCol w:w="1055"/>
        <w:gridCol w:w="64"/>
        <w:gridCol w:w="1056"/>
        <w:gridCol w:w="64"/>
        <w:gridCol w:w="1056"/>
        <w:gridCol w:w="64"/>
        <w:gridCol w:w="1056"/>
        <w:gridCol w:w="64"/>
        <w:gridCol w:w="1056"/>
        <w:gridCol w:w="1841"/>
      </w:tblGrid>
      <w:tr w:rsidR="003E5EBB" w:rsidRPr="0013526B" w14:paraId="5EDE0B5D" w14:textId="77777777" w:rsidTr="00D65AE7">
        <w:trPr>
          <w:trHeight w:val="1100"/>
        </w:trPr>
        <w:tc>
          <w:tcPr>
            <w:tcW w:w="1838" w:type="dxa"/>
          </w:tcPr>
          <w:p w14:paraId="68D7BB80" w14:textId="77777777" w:rsidR="003E5EBB" w:rsidRPr="008109D0" w:rsidRDefault="003E5EBB" w:rsidP="00D65AE7">
            <w:pPr>
              <w:ind w:left="851" w:right="17" w:hanging="142"/>
              <w:jc w:val="both"/>
              <w:rPr>
                <w:sz w:val="14"/>
                <w:szCs w:val="14"/>
              </w:rPr>
            </w:pPr>
          </w:p>
        </w:tc>
        <w:tc>
          <w:tcPr>
            <w:tcW w:w="1055" w:type="dxa"/>
            <w:tcBorders>
              <w:bottom w:val="single" w:sz="4" w:space="0" w:color="auto"/>
            </w:tcBorders>
            <w:vAlign w:val="bottom"/>
          </w:tcPr>
          <w:p w14:paraId="374103EE" w14:textId="77777777" w:rsidR="003E5EBB" w:rsidRPr="008109D0" w:rsidRDefault="003E5EBB" w:rsidP="00D65AE7">
            <w:pPr>
              <w:ind w:right="5"/>
              <w:rPr>
                <w:b/>
                <w:sz w:val="14"/>
                <w:szCs w:val="14"/>
              </w:rPr>
            </w:pPr>
          </w:p>
          <w:p w14:paraId="5440808D" w14:textId="77777777" w:rsidR="003E5EBB" w:rsidRPr="008109D0" w:rsidRDefault="003E5EBB" w:rsidP="00D65AE7">
            <w:pPr>
              <w:ind w:right="-57"/>
              <w:jc w:val="center"/>
              <w:rPr>
                <w:b/>
                <w:bCs w:val="0"/>
                <w:sz w:val="14"/>
                <w:szCs w:val="14"/>
              </w:rPr>
            </w:pPr>
            <w:r w:rsidRPr="008109D0">
              <w:rPr>
                <w:b/>
                <w:sz w:val="14"/>
                <w:szCs w:val="14"/>
              </w:rPr>
              <w:t>1 Januari 2019/</w:t>
            </w:r>
          </w:p>
          <w:p w14:paraId="499078D0" w14:textId="77777777" w:rsidR="003E5EBB" w:rsidRPr="008109D0" w:rsidRDefault="003E5EBB" w:rsidP="00D65AE7">
            <w:pPr>
              <w:ind w:right="5"/>
              <w:jc w:val="center"/>
              <w:rPr>
                <w:b/>
                <w:sz w:val="14"/>
                <w:szCs w:val="14"/>
              </w:rPr>
            </w:pPr>
            <w:r w:rsidRPr="008109D0">
              <w:rPr>
                <w:b/>
                <w:i/>
                <w:sz w:val="14"/>
                <w:szCs w:val="14"/>
              </w:rPr>
              <w:t>January 1. 2019</w:t>
            </w:r>
          </w:p>
        </w:tc>
        <w:tc>
          <w:tcPr>
            <w:tcW w:w="64" w:type="dxa"/>
            <w:vAlign w:val="bottom"/>
          </w:tcPr>
          <w:p w14:paraId="4677AA5D" w14:textId="77777777" w:rsidR="003E5EBB" w:rsidRPr="008109D0" w:rsidRDefault="003E5EBB" w:rsidP="00D65AE7">
            <w:pPr>
              <w:ind w:right="5"/>
              <w:jc w:val="center"/>
              <w:rPr>
                <w:b/>
                <w:sz w:val="14"/>
                <w:szCs w:val="14"/>
              </w:rPr>
            </w:pPr>
          </w:p>
        </w:tc>
        <w:tc>
          <w:tcPr>
            <w:tcW w:w="1056" w:type="dxa"/>
            <w:tcBorders>
              <w:bottom w:val="single" w:sz="4" w:space="0" w:color="auto"/>
            </w:tcBorders>
            <w:vAlign w:val="bottom"/>
          </w:tcPr>
          <w:p w14:paraId="77CF93B7" w14:textId="77777777" w:rsidR="003E5EBB" w:rsidRPr="008109D0" w:rsidRDefault="003E5EBB" w:rsidP="00D65AE7">
            <w:pPr>
              <w:ind w:right="5"/>
              <w:jc w:val="center"/>
              <w:rPr>
                <w:b/>
                <w:sz w:val="14"/>
                <w:szCs w:val="14"/>
              </w:rPr>
            </w:pPr>
          </w:p>
          <w:p w14:paraId="7162BCD4" w14:textId="77777777" w:rsidR="003E5EBB" w:rsidRPr="008109D0" w:rsidRDefault="003E5EBB" w:rsidP="00D65AE7">
            <w:pPr>
              <w:ind w:right="5"/>
              <w:jc w:val="center"/>
              <w:rPr>
                <w:b/>
                <w:sz w:val="14"/>
                <w:szCs w:val="14"/>
              </w:rPr>
            </w:pPr>
            <w:r w:rsidRPr="008109D0">
              <w:rPr>
                <w:b/>
                <w:sz w:val="14"/>
                <w:szCs w:val="14"/>
              </w:rPr>
              <w:t>Dibebankan Dikreditkan ke Laporan Laba Rugi/</w:t>
            </w:r>
          </w:p>
          <w:p w14:paraId="73F2F9D6" w14:textId="77777777" w:rsidR="003E5EBB" w:rsidRPr="008109D0" w:rsidRDefault="003E5EBB" w:rsidP="00D65AE7">
            <w:pPr>
              <w:ind w:right="5"/>
              <w:jc w:val="center"/>
              <w:rPr>
                <w:b/>
                <w:i/>
                <w:sz w:val="14"/>
                <w:szCs w:val="14"/>
              </w:rPr>
            </w:pPr>
            <w:r w:rsidRPr="008109D0">
              <w:rPr>
                <w:b/>
                <w:i/>
                <w:sz w:val="14"/>
                <w:szCs w:val="14"/>
              </w:rPr>
              <w:t>Charged Credited to Statement Profit or Loss</w:t>
            </w:r>
          </w:p>
        </w:tc>
        <w:tc>
          <w:tcPr>
            <w:tcW w:w="64" w:type="dxa"/>
            <w:vAlign w:val="bottom"/>
          </w:tcPr>
          <w:p w14:paraId="4B678B71" w14:textId="77777777" w:rsidR="003E5EBB" w:rsidRPr="008109D0" w:rsidRDefault="003E5EBB" w:rsidP="00D65AE7">
            <w:pPr>
              <w:ind w:right="5"/>
              <w:jc w:val="center"/>
              <w:rPr>
                <w:b/>
                <w:sz w:val="14"/>
                <w:szCs w:val="14"/>
              </w:rPr>
            </w:pPr>
          </w:p>
        </w:tc>
        <w:tc>
          <w:tcPr>
            <w:tcW w:w="1056" w:type="dxa"/>
            <w:tcBorders>
              <w:bottom w:val="single" w:sz="4" w:space="0" w:color="auto"/>
            </w:tcBorders>
            <w:vAlign w:val="bottom"/>
          </w:tcPr>
          <w:p w14:paraId="5E5D3BE6" w14:textId="77777777" w:rsidR="003E5EBB" w:rsidRPr="008109D0" w:rsidRDefault="003E5EBB" w:rsidP="00D65AE7">
            <w:pPr>
              <w:ind w:right="5"/>
              <w:jc w:val="center"/>
              <w:rPr>
                <w:b/>
                <w:sz w:val="14"/>
                <w:szCs w:val="14"/>
              </w:rPr>
            </w:pPr>
            <w:r w:rsidRPr="008109D0">
              <w:rPr>
                <w:b/>
                <w:sz w:val="14"/>
                <w:szCs w:val="14"/>
              </w:rPr>
              <w:t>Koreksi/</w:t>
            </w:r>
          </w:p>
          <w:p w14:paraId="39CFDC31" w14:textId="77777777" w:rsidR="003E5EBB" w:rsidRPr="008109D0" w:rsidRDefault="003E5EBB" w:rsidP="00D65AE7">
            <w:pPr>
              <w:ind w:right="5"/>
              <w:jc w:val="center"/>
              <w:rPr>
                <w:b/>
                <w:i/>
                <w:iCs/>
                <w:sz w:val="14"/>
                <w:szCs w:val="14"/>
              </w:rPr>
            </w:pPr>
            <w:r w:rsidRPr="008109D0">
              <w:rPr>
                <w:b/>
                <w:i/>
                <w:iCs/>
                <w:sz w:val="14"/>
                <w:szCs w:val="14"/>
              </w:rPr>
              <w:t>Correction</w:t>
            </w:r>
          </w:p>
        </w:tc>
        <w:tc>
          <w:tcPr>
            <w:tcW w:w="64" w:type="dxa"/>
          </w:tcPr>
          <w:p w14:paraId="763F2461" w14:textId="77777777" w:rsidR="003E5EBB" w:rsidRPr="008109D0" w:rsidRDefault="003E5EBB" w:rsidP="00D65AE7">
            <w:pPr>
              <w:ind w:right="5"/>
              <w:jc w:val="center"/>
              <w:rPr>
                <w:b/>
                <w:sz w:val="14"/>
                <w:szCs w:val="14"/>
              </w:rPr>
            </w:pPr>
          </w:p>
        </w:tc>
        <w:tc>
          <w:tcPr>
            <w:tcW w:w="1056" w:type="dxa"/>
            <w:tcBorders>
              <w:bottom w:val="single" w:sz="4" w:space="0" w:color="auto"/>
            </w:tcBorders>
            <w:vAlign w:val="bottom"/>
          </w:tcPr>
          <w:p w14:paraId="6F63A29C" w14:textId="77777777" w:rsidR="003E5EBB" w:rsidRPr="008109D0" w:rsidRDefault="003E5EBB" w:rsidP="00D65AE7">
            <w:pPr>
              <w:ind w:right="5"/>
              <w:jc w:val="center"/>
              <w:rPr>
                <w:b/>
                <w:sz w:val="14"/>
                <w:szCs w:val="14"/>
              </w:rPr>
            </w:pPr>
            <w:r w:rsidRPr="008109D0">
              <w:rPr>
                <w:b/>
                <w:sz w:val="14"/>
                <w:szCs w:val="14"/>
              </w:rPr>
              <w:t xml:space="preserve">Dikreditkan Dibebankan pada Penghasilan Komprehensif Lain/ </w:t>
            </w:r>
            <w:r w:rsidRPr="008109D0">
              <w:rPr>
                <w:b/>
                <w:i/>
                <w:sz w:val="14"/>
                <w:szCs w:val="14"/>
              </w:rPr>
              <w:t>Credited Charged to the Other Comprehensive Income</w:t>
            </w:r>
          </w:p>
        </w:tc>
        <w:tc>
          <w:tcPr>
            <w:tcW w:w="64" w:type="dxa"/>
            <w:vAlign w:val="bottom"/>
          </w:tcPr>
          <w:p w14:paraId="5C6220CC" w14:textId="77777777" w:rsidR="003E5EBB" w:rsidRPr="008109D0" w:rsidRDefault="003E5EBB" w:rsidP="00D65AE7">
            <w:pPr>
              <w:ind w:right="5"/>
              <w:jc w:val="center"/>
              <w:rPr>
                <w:b/>
                <w:sz w:val="14"/>
                <w:szCs w:val="14"/>
              </w:rPr>
            </w:pPr>
          </w:p>
        </w:tc>
        <w:tc>
          <w:tcPr>
            <w:tcW w:w="1056" w:type="dxa"/>
            <w:tcBorders>
              <w:bottom w:val="single" w:sz="4" w:space="0" w:color="auto"/>
            </w:tcBorders>
            <w:vAlign w:val="bottom"/>
          </w:tcPr>
          <w:p w14:paraId="3B912221" w14:textId="6B52B361" w:rsidR="003E5EBB" w:rsidRPr="00CD29F1" w:rsidRDefault="003E5EBB" w:rsidP="00D65AE7">
            <w:pPr>
              <w:ind w:right="5"/>
              <w:jc w:val="center"/>
              <w:rPr>
                <w:b/>
                <w:sz w:val="14"/>
                <w:szCs w:val="14"/>
              </w:rPr>
            </w:pPr>
            <w:r w:rsidRPr="00CD29F1">
              <w:rPr>
                <w:b/>
                <w:sz w:val="14"/>
                <w:szCs w:val="14"/>
              </w:rPr>
              <w:t xml:space="preserve">31 </w:t>
            </w:r>
            <w:r w:rsidR="00BF449E" w:rsidRPr="00CD29F1">
              <w:rPr>
                <w:b/>
                <w:sz w:val="14"/>
                <w:szCs w:val="14"/>
              </w:rPr>
              <w:t>Maret</w:t>
            </w:r>
            <w:r w:rsidRPr="00CD29F1">
              <w:rPr>
                <w:b/>
                <w:sz w:val="14"/>
                <w:szCs w:val="14"/>
              </w:rPr>
              <w:t xml:space="preserve"> 2019/</w:t>
            </w:r>
          </w:p>
          <w:p w14:paraId="49D714AB" w14:textId="552014F3" w:rsidR="003E5EBB" w:rsidRPr="0013526B" w:rsidRDefault="00BF449E" w:rsidP="00BF449E">
            <w:pPr>
              <w:ind w:right="5"/>
              <w:jc w:val="center"/>
              <w:rPr>
                <w:b/>
                <w:i/>
                <w:sz w:val="14"/>
                <w:szCs w:val="14"/>
              </w:rPr>
            </w:pPr>
            <w:r w:rsidRPr="00CD29F1">
              <w:rPr>
                <w:b/>
                <w:i/>
                <w:sz w:val="14"/>
                <w:szCs w:val="14"/>
              </w:rPr>
              <w:t>March 31</w:t>
            </w:r>
            <w:r w:rsidR="00305CA0" w:rsidRPr="00CD29F1">
              <w:rPr>
                <w:b/>
                <w:i/>
                <w:sz w:val="14"/>
                <w:szCs w:val="14"/>
              </w:rPr>
              <w:t>.</w:t>
            </w:r>
            <w:r w:rsidR="003E5EBB" w:rsidRPr="00CD29F1">
              <w:rPr>
                <w:b/>
                <w:i/>
                <w:sz w:val="14"/>
                <w:szCs w:val="14"/>
              </w:rPr>
              <w:t xml:space="preserve"> 2019</w:t>
            </w:r>
          </w:p>
        </w:tc>
        <w:tc>
          <w:tcPr>
            <w:tcW w:w="1841" w:type="dxa"/>
            <w:vAlign w:val="bottom"/>
          </w:tcPr>
          <w:p w14:paraId="5B40C54D" w14:textId="77777777" w:rsidR="003E5EBB" w:rsidRPr="0013526B" w:rsidRDefault="003E5EBB" w:rsidP="00D65AE7">
            <w:pPr>
              <w:numPr>
                <w:ilvl w:val="12"/>
                <w:numId w:val="0"/>
              </w:numPr>
              <w:ind w:right="55"/>
              <w:jc w:val="right"/>
              <w:rPr>
                <w:i/>
                <w:sz w:val="14"/>
                <w:szCs w:val="14"/>
              </w:rPr>
            </w:pPr>
          </w:p>
        </w:tc>
      </w:tr>
      <w:tr w:rsidR="003E5EBB" w:rsidRPr="0013526B" w14:paraId="27D280B9" w14:textId="77777777" w:rsidTr="00D65AE7">
        <w:trPr>
          <w:trHeight w:val="20"/>
        </w:trPr>
        <w:tc>
          <w:tcPr>
            <w:tcW w:w="1838" w:type="dxa"/>
          </w:tcPr>
          <w:p w14:paraId="0766DA50" w14:textId="77777777" w:rsidR="003E5EBB" w:rsidRPr="00944F34" w:rsidRDefault="003E5EBB" w:rsidP="00D65AE7">
            <w:pPr>
              <w:ind w:left="900" w:right="17" w:firstLine="720"/>
              <w:rPr>
                <w:sz w:val="8"/>
                <w:szCs w:val="14"/>
              </w:rPr>
            </w:pPr>
          </w:p>
        </w:tc>
        <w:tc>
          <w:tcPr>
            <w:tcW w:w="1055" w:type="dxa"/>
            <w:tcBorders>
              <w:top w:val="single" w:sz="4" w:space="0" w:color="auto"/>
            </w:tcBorders>
            <w:vAlign w:val="bottom"/>
          </w:tcPr>
          <w:p w14:paraId="0FD1D547" w14:textId="77777777" w:rsidR="003E5EBB" w:rsidRPr="00944F34" w:rsidRDefault="003E5EBB" w:rsidP="00D65AE7">
            <w:pPr>
              <w:ind w:right="57"/>
              <w:jc w:val="right"/>
              <w:rPr>
                <w:sz w:val="8"/>
                <w:szCs w:val="14"/>
              </w:rPr>
            </w:pPr>
          </w:p>
        </w:tc>
        <w:tc>
          <w:tcPr>
            <w:tcW w:w="64" w:type="dxa"/>
            <w:vAlign w:val="bottom"/>
          </w:tcPr>
          <w:p w14:paraId="7FEFD0B1" w14:textId="77777777" w:rsidR="003E5EBB" w:rsidRPr="00944F34" w:rsidRDefault="003E5EBB" w:rsidP="00D65AE7">
            <w:pPr>
              <w:ind w:left="318" w:right="95"/>
              <w:jc w:val="right"/>
              <w:rPr>
                <w:sz w:val="8"/>
                <w:szCs w:val="14"/>
              </w:rPr>
            </w:pPr>
          </w:p>
        </w:tc>
        <w:tc>
          <w:tcPr>
            <w:tcW w:w="1056" w:type="dxa"/>
            <w:tcBorders>
              <w:top w:val="single" w:sz="4" w:space="0" w:color="auto"/>
            </w:tcBorders>
            <w:vAlign w:val="bottom"/>
          </w:tcPr>
          <w:p w14:paraId="2E261694" w14:textId="77777777" w:rsidR="003E5EBB" w:rsidRPr="00944F34" w:rsidRDefault="003E5EBB" w:rsidP="00D65AE7">
            <w:pPr>
              <w:ind w:left="318" w:right="95"/>
              <w:jc w:val="right"/>
              <w:rPr>
                <w:sz w:val="8"/>
                <w:szCs w:val="14"/>
              </w:rPr>
            </w:pPr>
          </w:p>
        </w:tc>
        <w:tc>
          <w:tcPr>
            <w:tcW w:w="64" w:type="dxa"/>
            <w:vAlign w:val="bottom"/>
          </w:tcPr>
          <w:p w14:paraId="063D0469" w14:textId="77777777" w:rsidR="003E5EBB" w:rsidRPr="00944F34" w:rsidRDefault="003E5EBB" w:rsidP="00D65AE7">
            <w:pPr>
              <w:ind w:left="318" w:right="95"/>
              <w:jc w:val="right"/>
              <w:rPr>
                <w:sz w:val="8"/>
                <w:szCs w:val="14"/>
              </w:rPr>
            </w:pPr>
          </w:p>
        </w:tc>
        <w:tc>
          <w:tcPr>
            <w:tcW w:w="1056" w:type="dxa"/>
            <w:tcBorders>
              <w:top w:val="single" w:sz="4" w:space="0" w:color="auto"/>
            </w:tcBorders>
          </w:tcPr>
          <w:p w14:paraId="6DDEDF0C" w14:textId="77777777" w:rsidR="003E5EBB" w:rsidRPr="00944F34" w:rsidRDefault="003E5EBB" w:rsidP="00D65AE7">
            <w:pPr>
              <w:ind w:left="318" w:right="95"/>
              <w:jc w:val="right"/>
              <w:rPr>
                <w:sz w:val="8"/>
                <w:szCs w:val="14"/>
              </w:rPr>
            </w:pPr>
          </w:p>
        </w:tc>
        <w:tc>
          <w:tcPr>
            <w:tcW w:w="64" w:type="dxa"/>
          </w:tcPr>
          <w:p w14:paraId="1A1FC453" w14:textId="77777777" w:rsidR="003E5EBB" w:rsidRPr="00944F34" w:rsidRDefault="003E5EBB" w:rsidP="00D65AE7">
            <w:pPr>
              <w:ind w:left="318" w:right="95"/>
              <w:jc w:val="right"/>
              <w:rPr>
                <w:sz w:val="8"/>
                <w:szCs w:val="14"/>
              </w:rPr>
            </w:pPr>
          </w:p>
        </w:tc>
        <w:tc>
          <w:tcPr>
            <w:tcW w:w="1056" w:type="dxa"/>
            <w:tcBorders>
              <w:top w:val="single" w:sz="4" w:space="0" w:color="auto"/>
            </w:tcBorders>
            <w:vAlign w:val="bottom"/>
          </w:tcPr>
          <w:p w14:paraId="4FBB6C75" w14:textId="77777777" w:rsidR="003E5EBB" w:rsidRPr="00944F34" w:rsidRDefault="003E5EBB" w:rsidP="00D65AE7">
            <w:pPr>
              <w:ind w:left="318" w:right="95"/>
              <w:jc w:val="right"/>
              <w:rPr>
                <w:sz w:val="8"/>
                <w:szCs w:val="14"/>
              </w:rPr>
            </w:pPr>
          </w:p>
        </w:tc>
        <w:tc>
          <w:tcPr>
            <w:tcW w:w="64" w:type="dxa"/>
            <w:vAlign w:val="bottom"/>
          </w:tcPr>
          <w:p w14:paraId="643CA935" w14:textId="77777777" w:rsidR="003E5EBB" w:rsidRPr="00944F34" w:rsidRDefault="003E5EBB" w:rsidP="00D65AE7">
            <w:pPr>
              <w:ind w:left="318" w:right="95"/>
              <w:jc w:val="right"/>
              <w:rPr>
                <w:sz w:val="8"/>
                <w:szCs w:val="14"/>
              </w:rPr>
            </w:pPr>
          </w:p>
        </w:tc>
        <w:tc>
          <w:tcPr>
            <w:tcW w:w="1056" w:type="dxa"/>
            <w:tcBorders>
              <w:top w:val="single" w:sz="4" w:space="0" w:color="auto"/>
            </w:tcBorders>
            <w:vAlign w:val="bottom"/>
          </w:tcPr>
          <w:p w14:paraId="063434E4" w14:textId="77777777" w:rsidR="003E5EBB" w:rsidRPr="00944F34" w:rsidRDefault="003E5EBB" w:rsidP="00D65AE7">
            <w:pPr>
              <w:ind w:right="57"/>
              <w:jc w:val="right"/>
              <w:rPr>
                <w:sz w:val="8"/>
                <w:szCs w:val="14"/>
              </w:rPr>
            </w:pPr>
          </w:p>
        </w:tc>
        <w:tc>
          <w:tcPr>
            <w:tcW w:w="1841" w:type="dxa"/>
            <w:vAlign w:val="bottom"/>
          </w:tcPr>
          <w:p w14:paraId="1BDDD21E" w14:textId="77777777" w:rsidR="003E5EBB" w:rsidRPr="00944F34" w:rsidRDefault="003E5EBB" w:rsidP="00D65AE7">
            <w:pPr>
              <w:numPr>
                <w:ilvl w:val="12"/>
                <w:numId w:val="0"/>
              </w:numPr>
              <w:ind w:right="55"/>
              <w:jc w:val="right"/>
              <w:rPr>
                <w:i/>
                <w:sz w:val="8"/>
                <w:szCs w:val="14"/>
              </w:rPr>
            </w:pPr>
          </w:p>
        </w:tc>
      </w:tr>
      <w:tr w:rsidR="003E5EBB" w:rsidRPr="0013526B" w14:paraId="54FFBEFE" w14:textId="77777777" w:rsidTr="00D65AE7">
        <w:trPr>
          <w:trHeight w:val="20"/>
        </w:trPr>
        <w:tc>
          <w:tcPr>
            <w:tcW w:w="1838" w:type="dxa"/>
          </w:tcPr>
          <w:p w14:paraId="51A0F90C" w14:textId="77777777" w:rsidR="003E5EBB" w:rsidRPr="00AD3394" w:rsidRDefault="003E5EBB" w:rsidP="00D65AE7">
            <w:pPr>
              <w:ind w:left="510" w:hanging="142"/>
              <w:rPr>
                <w:sz w:val="14"/>
                <w:szCs w:val="14"/>
                <w:u w:val="single"/>
              </w:rPr>
            </w:pPr>
            <w:r w:rsidRPr="00AD3394">
              <w:rPr>
                <w:sz w:val="14"/>
                <w:szCs w:val="14"/>
                <w:u w:val="single"/>
              </w:rPr>
              <w:t>Perusahaan</w:t>
            </w:r>
          </w:p>
        </w:tc>
        <w:tc>
          <w:tcPr>
            <w:tcW w:w="1055" w:type="dxa"/>
            <w:vAlign w:val="bottom"/>
          </w:tcPr>
          <w:p w14:paraId="277F11E9" w14:textId="77777777" w:rsidR="003E5EBB" w:rsidRPr="00AD3394" w:rsidRDefault="003E5EBB" w:rsidP="00D65AE7">
            <w:pPr>
              <w:ind w:right="57"/>
              <w:jc w:val="right"/>
              <w:rPr>
                <w:sz w:val="14"/>
                <w:szCs w:val="14"/>
              </w:rPr>
            </w:pPr>
          </w:p>
        </w:tc>
        <w:tc>
          <w:tcPr>
            <w:tcW w:w="64" w:type="dxa"/>
            <w:vAlign w:val="bottom"/>
          </w:tcPr>
          <w:p w14:paraId="50DED53C" w14:textId="77777777" w:rsidR="003E5EBB" w:rsidRPr="00AD3394" w:rsidRDefault="003E5EBB" w:rsidP="00D65AE7">
            <w:pPr>
              <w:ind w:left="318" w:right="95"/>
              <w:jc w:val="right"/>
              <w:rPr>
                <w:sz w:val="14"/>
                <w:szCs w:val="14"/>
              </w:rPr>
            </w:pPr>
          </w:p>
        </w:tc>
        <w:tc>
          <w:tcPr>
            <w:tcW w:w="1056" w:type="dxa"/>
            <w:vAlign w:val="bottom"/>
          </w:tcPr>
          <w:p w14:paraId="0FA7447A" w14:textId="77777777" w:rsidR="003E5EBB" w:rsidRPr="00AD3394" w:rsidRDefault="003E5EBB" w:rsidP="00D65AE7">
            <w:pPr>
              <w:ind w:left="318" w:right="95"/>
              <w:jc w:val="right"/>
              <w:rPr>
                <w:sz w:val="14"/>
                <w:szCs w:val="14"/>
              </w:rPr>
            </w:pPr>
          </w:p>
        </w:tc>
        <w:tc>
          <w:tcPr>
            <w:tcW w:w="64" w:type="dxa"/>
            <w:vAlign w:val="bottom"/>
          </w:tcPr>
          <w:p w14:paraId="1EFAC275" w14:textId="77777777" w:rsidR="003E5EBB" w:rsidRPr="00AD3394" w:rsidRDefault="003E5EBB" w:rsidP="00D65AE7">
            <w:pPr>
              <w:ind w:left="318" w:right="95"/>
              <w:jc w:val="right"/>
              <w:rPr>
                <w:sz w:val="14"/>
                <w:szCs w:val="14"/>
              </w:rPr>
            </w:pPr>
          </w:p>
        </w:tc>
        <w:tc>
          <w:tcPr>
            <w:tcW w:w="1056" w:type="dxa"/>
          </w:tcPr>
          <w:p w14:paraId="1502B695" w14:textId="77777777" w:rsidR="003E5EBB" w:rsidRPr="00AD3394" w:rsidRDefault="003E5EBB" w:rsidP="00D65AE7">
            <w:pPr>
              <w:ind w:left="318" w:right="95"/>
              <w:jc w:val="right"/>
              <w:rPr>
                <w:sz w:val="14"/>
                <w:szCs w:val="14"/>
              </w:rPr>
            </w:pPr>
          </w:p>
        </w:tc>
        <w:tc>
          <w:tcPr>
            <w:tcW w:w="64" w:type="dxa"/>
          </w:tcPr>
          <w:p w14:paraId="24232ED3" w14:textId="77777777" w:rsidR="003E5EBB" w:rsidRPr="00AD3394" w:rsidRDefault="003E5EBB" w:rsidP="00D65AE7">
            <w:pPr>
              <w:ind w:left="318" w:right="95"/>
              <w:jc w:val="right"/>
              <w:rPr>
                <w:sz w:val="14"/>
                <w:szCs w:val="14"/>
              </w:rPr>
            </w:pPr>
          </w:p>
        </w:tc>
        <w:tc>
          <w:tcPr>
            <w:tcW w:w="1056" w:type="dxa"/>
            <w:vAlign w:val="bottom"/>
          </w:tcPr>
          <w:p w14:paraId="74C80D12" w14:textId="77777777" w:rsidR="003E5EBB" w:rsidRPr="00AD3394" w:rsidRDefault="003E5EBB" w:rsidP="00D65AE7">
            <w:pPr>
              <w:ind w:left="318" w:right="95"/>
              <w:jc w:val="right"/>
              <w:rPr>
                <w:sz w:val="14"/>
                <w:szCs w:val="14"/>
              </w:rPr>
            </w:pPr>
          </w:p>
        </w:tc>
        <w:tc>
          <w:tcPr>
            <w:tcW w:w="64" w:type="dxa"/>
            <w:vAlign w:val="bottom"/>
          </w:tcPr>
          <w:p w14:paraId="39AA6320" w14:textId="77777777" w:rsidR="003E5EBB" w:rsidRPr="00AD3394" w:rsidRDefault="003E5EBB" w:rsidP="00D65AE7">
            <w:pPr>
              <w:ind w:left="318" w:right="95"/>
              <w:jc w:val="right"/>
              <w:rPr>
                <w:sz w:val="14"/>
                <w:szCs w:val="14"/>
              </w:rPr>
            </w:pPr>
          </w:p>
        </w:tc>
        <w:tc>
          <w:tcPr>
            <w:tcW w:w="1056" w:type="dxa"/>
            <w:vAlign w:val="bottom"/>
          </w:tcPr>
          <w:p w14:paraId="58A99891" w14:textId="77777777" w:rsidR="003E5EBB" w:rsidRPr="00AD3394" w:rsidRDefault="003E5EBB" w:rsidP="00D65AE7">
            <w:pPr>
              <w:ind w:right="57"/>
              <w:jc w:val="right"/>
              <w:rPr>
                <w:sz w:val="14"/>
                <w:szCs w:val="14"/>
              </w:rPr>
            </w:pPr>
          </w:p>
        </w:tc>
        <w:tc>
          <w:tcPr>
            <w:tcW w:w="1841" w:type="dxa"/>
            <w:vAlign w:val="bottom"/>
          </w:tcPr>
          <w:p w14:paraId="7D4ED9A0" w14:textId="77777777" w:rsidR="003E5EBB" w:rsidRPr="00AD3394" w:rsidRDefault="003E5EBB" w:rsidP="00D65AE7">
            <w:pPr>
              <w:numPr>
                <w:ilvl w:val="12"/>
                <w:numId w:val="0"/>
              </w:numPr>
              <w:ind w:right="55"/>
              <w:jc w:val="right"/>
              <w:rPr>
                <w:i/>
                <w:sz w:val="14"/>
                <w:szCs w:val="14"/>
                <w:u w:val="single"/>
              </w:rPr>
            </w:pPr>
            <w:r w:rsidRPr="00AD3394">
              <w:rPr>
                <w:i/>
                <w:sz w:val="14"/>
                <w:szCs w:val="14"/>
                <w:u w:val="single"/>
              </w:rPr>
              <w:t>The Company</w:t>
            </w:r>
          </w:p>
        </w:tc>
      </w:tr>
      <w:tr w:rsidR="003E5EBB" w:rsidRPr="0013526B" w14:paraId="0A9CA736" w14:textId="77777777" w:rsidTr="00D65AE7">
        <w:trPr>
          <w:trHeight w:val="20"/>
        </w:trPr>
        <w:tc>
          <w:tcPr>
            <w:tcW w:w="1838" w:type="dxa"/>
          </w:tcPr>
          <w:p w14:paraId="724EF774" w14:textId="77777777" w:rsidR="003E5EBB" w:rsidRPr="00101586" w:rsidRDefault="003E5EBB" w:rsidP="00D65AE7">
            <w:pPr>
              <w:ind w:left="510" w:hanging="142"/>
              <w:rPr>
                <w:sz w:val="14"/>
                <w:szCs w:val="14"/>
              </w:rPr>
            </w:pPr>
            <w:r w:rsidRPr="00101586">
              <w:rPr>
                <w:sz w:val="14"/>
                <w:szCs w:val="14"/>
              </w:rPr>
              <w:t>Akumulasi rugi</w:t>
            </w:r>
            <w:r w:rsidRPr="00101586">
              <w:rPr>
                <w:sz w:val="14"/>
                <w:szCs w:val="14"/>
              </w:rPr>
              <w:br/>
              <w:t xml:space="preserve"> fiscal</w:t>
            </w:r>
          </w:p>
        </w:tc>
        <w:tc>
          <w:tcPr>
            <w:tcW w:w="1055" w:type="dxa"/>
            <w:shd w:val="clear" w:color="auto" w:fill="auto"/>
            <w:vAlign w:val="bottom"/>
          </w:tcPr>
          <w:p w14:paraId="5A780D88" w14:textId="77777777" w:rsidR="003E5EBB" w:rsidRPr="00AD3394" w:rsidRDefault="003E5EBB" w:rsidP="00D65AE7">
            <w:pPr>
              <w:ind w:right="57"/>
              <w:jc w:val="right"/>
              <w:rPr>
                <w:sz w:val="14"/>
                <w:szCs w:val="14"/>
              </w:rPr>
            </w:pPr>
            <w:r w:rsidRPr="00F96893">
              <w:rPr>
                <w:sz w:val="14"/>
                <w:szCs w:val="14"/>
              </w:rPr>
              <w:t>3.824.171.235</w:t>
            </w:r>
          </w:p>
        </w:tc>
        <w:tc>
          <w:tcPr>
            <w:tcW w:w="64" w:type="dxa"/>
            <w:shd w:val="clear" w:color="auto" w:fill="auto"/>
            <w:vAlign w:val="bottom"/>
          </w:tcPr>
          <w:p w14:paraId="4AAC05EE" w14:textId="77777777" w:rsidR="003E5EBB" w:rsidRPr="00AD3394" w:rsidRDefault="003E5EBB" w:rsidP="00D65AE7">
            <w:pPr>
              <w:ind w:right="57"/>
              <w:jc w:val="right"/>
              <w:rPr>
                <w:sz w:val="14"/>
                <w:szCs w:val="14"/>
              </w:rPr>
            </w:pPr>
          </w:p>
        </w:tc>
        <w:tc>
          <w:tcPr>
            <w:tcW w:w="1056" w:type="dxa"/>
            <w:shd w:val="clear" w:color="auto" w:fill="auto"/>
            <w:vAlign w:val="bottom"/>
          </w:tcPr>
          <w:p w14:paraId="446C480A" w14:textId="3CD19254" w:rsidR="003E5EBB" w:rsidRPr="00AD3394" w:rsidRDefault="003E5EBB" w:rsidP="00BF449E">
            <w:pPr>
              <w:ind w:right="57"/>
              <w:jc w:val="right"/>
              <w:rPr>
                <w:sz w:val="14"/>
                <w:szCs w:val="14"/>
              </w:rPr>
            </w:pPr>
            <w:r w:rsidRPr="00F96893">
              <w:rPr>
                <w:sz w:val="14"/>
                <w:szCs w:val="14"/>
              </w:rPr>
              <w:t>(3.</w:t>
            </w:r>
            <w:r w:rsidR="00BF449E">
              <w:rPr>
                <w:sz w:val="14"/>
                <w:szCs w:val="14"/>
              </w:rPr>
              <w:t>333.709.666</w:t>
            </w:r>
            <w:r w:rsidRPr="00F96893">
              <w:rPr>
                <w:sz w:val="14"/>
                <w:szCs w:val="14"/>
              </w:rPr>
              <w:t>)</w:t>
            </w:r>
          </w:p>
        </w:tc>
        <w:tc>
          <w:tcPr>
            <w:tcW w:w="64" w:type="dxa"/>
            <w:shd w:val="clear" w:color="auto" w:fill="auto"/>
            <w:vAlign w:val="bottom"/>
          </w:tcPr>
          <w:p w14:paraId="0914738A" w14:textId="77777777" w:rsidR="003E5EBB" w:rsidRPr="00AD3394" w:rsidRDefault="003E5EBB" w:rsidP="00D65AE7">
            <w:pPr>
              <w:ind w:right="57"/>
              <w:jc w:val="right"/>
              <w:rPr>
                <w:sz w:val="14"/>
                <w:szCs w:val="14"/>
              </w:rPr>
            </w:pPr>
          </w:p>
        </w:tc>
        <w:tc>
          <w:tcPr>
            <w:tcW w:w="1056" w:type="dxa"/>
            <w:vAlign w:val="bottom"/>
          </w:tcPr>
          <w:p w14:paraId="70A128AE" w14:textId="77777777" w:rsidR="003E5EBB" w:rsidRDefault="003E5EBB" w:rsidP="00D65AE7">
            <w:pPr>
              <w:ind w:right="57"/>
              <w:jc w:val="right"/>
              <w:rPr>
                <w:sz w:val="14"/>
                <w:szCs w:val="14"/>
              </w:rPr>
            </w:pPr>
            <w:r>
              <w:rPr>
                <w:sz w:val="14"/>
                <w:szCs w:val="14"/>
              </w:rPr>
              <w:t>-</w:t>
            </w:r>
          </w:p>
        </w:tc>
        <w:tc>
          <w:tcPr>
            <w:tcW w:w="64" w:type="dxa"/>
          </w:tcPr>
          <w:p w14:paraId="71A29A36" w14:textId="77777777" w:rsidR="003E5EBB" w:rsidRDefault="003E5EBB" w:rsidP="00D65AE7">
            <w:pPr>
              <w:ind w:right="57"/>
              <w:jc w:val="right"/>
              <w:rPr>
                <w:sz w:val="14"/>
                <w:szCs w:val="14"/>
              </w:rPr>
            </w:pPr>
          </w:p>
        </w:tc>
        <w:tc>
          <w:tcPr>
            <w:tcW w:w="1056" w:type="dxa"/>
            <w:shd w:val="clear" w:color="auto" w:fill="auto"/>
            <w:vAlign w:val="bottom"/>
          </w:tcPr>
          <w:p w14:paraId="06030554" w14:textId="77777777" w:rsidR="003E5EBB" w:rsidRPr="00AD3394" w:rsidRDefault="003E5EBB" w:rsidP="00D65AE7">
            <w:pPr>
              <w:ind w:right="57"/>
              <w:jc w:val="right"/>
              <w:rPr>
                <w:sz w:val="14"/>
                <w:szCs w:val="14"/>
              </w:rPr>
            </w:pPr>
            <w:r>
              <w:rPr>
                <w:sz w:val="14"/>
                <w:szCs w:val="14"/>
              </w:rPr>
              <w:t>-</w:t>
            </w:r>
          </w:p>
        </w:tc>
        <w:tc>
          <w:tcPr>
            <w:tcW w:w="64" w:type="dxa"/>
            <w:shd w:val="clear" w:color="auto" w:fill="auto"/>
            <w:vAlign w:val="bottom"/>
          </w:tcPr>
          <w:p w14:paraId="3CF016CC" w14:textId="77777777" w:rsidR="003E5EBB" w:rsidRPr="00AD3394" w:rsidRDefault="003E5EBB" w:rsidP="00D65AE7">
            <w:pPr>
              <w:ind w:right="57"/>
              <w:jc w:val="right"/>
              <w:rPr>
                <w:sz w:val="14"/>
                <w:szCs w:val="14"/>
              </w:rPr>
            </w:pPr>
          </w:p>
        </w:tc>
        <w:tc>
          <w:tcPr>
            <w:tcW w:w="1056" w:type="dxa"/>
            <w:shd w:val="clear" w:color="auto" w:fill="auto"/>
            <w:vAlign w:val="bottom"/>
          </w:tcPr>
          <w:p w14:paraId="61A75B30" w14:textId="5864029B" w:rsidR="003E5EBB" w:rsidRPr="00AD3394" w:rsidRDefault="00BF449E" w:rsidP="00D65AE7">
            <w:pPr>
              <w:ind w:right="57"/>
              <w:jc w:val="right"/>
              <w:rPr>
                <w:sz w:val="14"/>
                <w:szCs w:val="14"/>
              </w:rPr>
            </w:pPr>
            <w:r>
              <w:rPr>
                <w:sz w:val="14"/>
                <w:szCs w:val="14"/>
              </w:rPr>
              <w:t>490.461.569</w:t>
            </w:r>
          </w:p>
        </w:tc>
        <w:tc>
          <w:tcPr>
            <w:tcW w:w="1841" w:type="dxa"/>
            <w:vAlign w:val="bottom"/>
          </w:tcPr>
          <w:p w14:paraId="6C621A6D" w14:textId="77777777" w:rsidR="003E5EBB" w:rsidRPr="00AD3394" w:rsidRDefault="003E5EBB" w:rsidP="00D65AE7">
            <w:pPr>
              <w:numPr>
                <w:ilvl w:val="12"/>
                <w:numId w:val="0"/>
              </w:numPr>
              <w:ind w:right="55"/>
              <w:jc w:val="right"/>
              <w:rPr>
                <w:i/>
                <w:sz w:val="14"/>
                <w:szCs w:val="14"/>
              </w:rPr>
            </w:pPr>
            <w:r w:rsidRPr="00AD3394">
              <w:rPr>
                <w:i/>
                <w:sz w:val="14"/>
                <w:szCs w:val="14"/>
              </w:rPr>
              <w:t>Accumulated fiscal losses</w:t>
            </w:r>
          </w:p>
        </w:tc>
      </w:tr>
      <w:tr w:rsidR="003E5EBB" w:rsidRPr="0013526B" w14:paraId="58FB5404" w14:textId="77777777" w:rsidTr="00D65AE7">
        <w:trPr>
          <w:trHeight w:val="20"/>
        </w:trPr>
        <w:tc>
          <w:tcPr>
            <w:tcW w:w="1838" w:type="dxa"/>
          </w:tcPr>
          <w:p w14:paraId="36C76D67" w14:textId="77777777" w:rsidR="003E5EBB" w:rsidRPr="00101586" w:rsidRDefault="003E5EBB" w:rsidP="00D65AE7">
            <w:pPr>
              <w:ind w:left="510" w:hanging="142"/>
              <w:rPr>
                <w:sz w:val="14"/>
                <w:szCs w:val="14"/>
              </w:rPr>
            </w:pPr>
            <w:r w:rsidRPr="00101586">
              <w:rPr>
                <w:sz w:val="14"/>
                <w:szCs w:val="14"/>
              </w:rPr>
              <w:t>Imbalan pascakerja</w:t>
            </w:r>
          </w:p>
        </w:tc>
        <w:tc>
          <w:tcPr>
            <w:tcW w:w="1055" w:type="dxa"/>
            <w:shd w:val="clear" w:color="auto" w:fill="auto"/>
            <w:vAlign w:val="bottom"/>
          </w:tcPr>
          <w:p w14:paraId="1BBCD765" w14:textId="77777777" w:rsidR="003E5EBB" w:rsidRPr="00AD3394" w:rsidRDefault="003E5EBB" w:rsidP="00D65AE7">
            <w:pPr>
              <w:ind w:right="57"/>
              <w:jc w:val="right"/>
              <w:rPr>
                <w:sz w:val="14"/>
                <w:szCs w:val="14"/>
              </w:rPr>
            </w:pPr>
            <w:r w:rsidRPr="00F96893">
              <w:rPr>
                <w:sz w:val="14"/>
                <w:szCs w:val="14"/>
              </w:rPr>
              <w:t>8.449.844.326</w:t>
            </w:r>
          </w:p>
        </w:tc>
        <w:tc>
          <w:tcPr>
            <w:tcW w:w="64" w:type="dxa"/>
            <w:shd w:val="clear" w:color="auto" w:fill="auto"/>
            <w:vAlign w:val="bottom"/>
          </w:tcPr>
          <w:p w14:paraId="36A00267" w14:textId="77777777" w:rsidR="003E5EBB" w:rsidRPr="00AD3394" w:rsidRDefault="003E5EBB" w:rsidP="00D65AE7">
            <w:pPr>
              <w:ind w:right="57"/>
              <w:jc w:val="right"/>
              <w:rPr>
                <w:sz w:val="14"/>
                <w:szCs w:val="14"/>
              </w:rPr>
            </w:pPr>
          </w:p>
        </w:tc>
        <w:tc>
          <w:tcPr>
            <w:tcW w:w="1056" w:type="dxa"/>
            <w:shd w:val="clear" w:color="auto" w:fill="auto"/>
            <w:vAlign w:val="bottom"/>
          </w:tcPr>
          <w:p w14:paraId="3388F28D" w14:textId="48EC3613" w:rsidR="003E5EBB" w:rsidRPr="00AD3394" w:rsidRDefault="00BF449E" w:rsidP="00BF449E">
            <w:pPr>
              <w:ind w:right="57"/>
              <w:jc w:val="right"/>
              <w:rPr>
                <w:sz w:val="14"/>
                <w:szCs w:val="14"/>
              </w:rPr>
            </w:pPr>
            <w:r>
              <w:rPr>
                <w:sz w:val="14"/>
                <w:szCs w:val="14"/>
              </w:rPr>
              <w:t>609.645.638</w:t>
            </w:r>
          </w:p>
        </w:tc>
        <w:tc>
          <w:tcPr>
            <w:tcW w:w="64" w:type="dxa"/>
            <w:shd w:val="clear" w:color="auto" w:fill="auto"/>
            <w:vAlign w:val="bottom"/>
          </w:tcPr>
          <w:p w14:paraId="27CDC97D" w14:textId="77777777" w:rsidR="003E5EBB" w:rsidRPr="00AD3394" w:rsidRDefault="003E5EBB" w:rsidP="00D65AE7">
            <w:pPr>
              <w:ind w:right="57"/>
              <w:jc w:val="right"/>
              <w:rPr>
                <w:sz w:val="14"/>
                <w:szCs w:val="14"/>
              </w:rPr>
            </w:pPr>
          </w:p>
        </w:tc>
        <w:tc>
          <w:tcPr>
            <w:tcW w:w="1056" w:type="dxa"/>
            <w:vAlign w:val="bottom"/>
          </w:tcPr>
          <w:p w14:paraId="1CB79814" w14:textId="77777777" w:rsidR="003E5EBB" w:rsidRPr="00F96893" w:rsidRDefault="003E5EBB" w:rsidP="00D65AE7">
            <w:pPr>
              <w:ind w:right="57"/>
              <w:jc w:val="right"/>
              <w:rPr>
                <w:sz w:val="14"/>
                <w:szCs w:val="14"/>
                <w:lang w:val="en-ID"/>
              </w:rPr>
            </w:pPr>
            <w:r>
              <w:rPr>
                <w:sz w:val="14"/>
                <w:szCs w:val="14"/>
                <w:lang w:val="en-ID"/>
              </w:rPr>
              <w:t>-</w:t>
            </w:r>
          </w:p>
        </w:tc>
        <w:tc>
          <w:tcPr>
            <w:tcW w:w="64" w:type="dxa"/>
          </w:tcPr>
          <w:p w14:paraId="4A51FEAC" w14:textId="77777777" w:rsidR="003E5EBB" w:rsidRPr="00F96893" w:rsidRDefault="003E5EBB" w:rsidP="00D65AE7">
            <w:pPr>
              <w:ind w:right="57"/>
              <w:jc w:val="right"/>
              <w:rPr>
                <w:sz w:val="14"/>
                <w:szCs w:val="14"/>
                <w:lang w:val="en-ID"/>
              </w:rPr>
            </w:pPr>
          </w:p>
        </w:tc>
        <w:tc>
          <w:tcPr>
            <w:tcW w:w="1056" w:type="dxa"/>
            <w:shd w:val="clear" w:color="auto" w:fill="auto"/>
            <w:vAlign w:val="bottom"/>
          </w:tcPr>
          <w:p w14:paraId="46A3EA4B" w14:textId="0AF1DB12" w:rsidR="003E5EBB" w:rsidRPr="00AD3394" w:rsidRDefault="003E5EBB" w:rsidP="00BF449E">
            <w:pPr>
              <w:ind w:right="57"/>
              <w:jc w:val="right"/>
              <w:rPr>
                <w:sz w:val="14"/>
                <w:szCs w:val="14"/>
                <w:lang w:val="en-ID"/>
              </w:rPr>
            </w:pPr>
            <w:r w:rsidRPr="00F96893">
              <w:rPr>
                <w:sz w:val="14"/>
                <w:szCs w:val="14"/>
                <w:lang w:val="en-ID"/>
              </w:rPr>
              <w:t>(</w:t>
            </w:r>
            <w:r w:rsidR="00BF449E">
              <w:rPr>
                <w:sz w:val="14"/>
                <w:szCs w:val="14"/>
                <w:lang w:val="en-ID"/>
              </w:rPr>
              <w:t>179.366.826</w:t>
            </w:r>
            <w:r w:rsidRPr="00F96893">
              <w:rPr>
                <w:sz w:val="14"/>
                <w:szCs w:val="14"/>
                <w:lang w:val="en-ID"/>
              </w:rPr>
              <w:t>)</w:t>
            </w:r>
          </w:p>
        </w:tc>
        <w:tc>
          <w:tcPr>
            <w:tcW w:w="64" w:type="dxa"/>
            <w:shd w:val="clear" w:color="auto" w:fill="auto"/>
            <w:vAlign w:val="bottom"/>
          </w:tcPr>
          <w:p w14:paraId="196028F9" w14:textId="77777777" w:rsidR="003E5EBB" w:rsidRPr="00AD3394" w:rsidRDefault="003E5EBB" w:rsidP="00D65AE7">
            <w:pPr>
              <w:ind w:right="57"/>
              <w:jc w:val="right"/>
              <w:rPr>
                <w:sz w:val="14"/>
                <w:szCs w:val="14"/>
              </w:rPr>
            </w:pPr>
          </w:p>
        </w:tc>
        <w:tc>
          <w:tcPr>
            <w:tcW w:w="1056" w:type="dxa"/>
            <w:shd w:val="clear" w:color="auto" w:fill="auto"/>
            <w:vAlign w:val="bottom"/>
          </w:tcPr>
          <w:p w14:paraId="19109740" w14:textId="4DBA1C73" w:rsidR="003E5EBB" w:rsidRPr="00AD3394" w:rsidRDefault="00BF449E" w:rsidP="00D65AE7">
            <w:pPr>
              <w:ind w:right="57"/>
              <w:jc w:val="right"/>
              <w:rPr>
                <w:sz w:val="14"/>
                <w:szCs w:val="14"/>
              </w:rPr>
            </w:pPr>
            <w:r>
              <w:rPr>
                <w:sz w:val="14"/>
                <w:szCs w:val="14"/>
              </w:rPr>
              <w:t>8.880.123.139</w:t>
            </w:r>
          </w:p>
        </w:tc>
        <w:tc>
          <w:tcPr>
            <w:tcW w:w="1841" w:type="dxa"/>
            <w:vAlign w:val="bottom"/>
          </w:tcPr>
          <w:p w14:paraId="2C872DF8" w14:textId="77777777" w:rsidR="003E5EBB" w:rsidRPr="00AD3394" w:rsidRDefault="003E5EBB" w:rsidP="00D65AE7">
            <w:pPr>
              <w:numPr>
                <w:ilvl w:val="12"/>
                <w:numId w:val="0"/>
              </w:numPr>
              <w:ind w:right="55"/>
              <w:jc w:val="right"/>
              <w:rPr>
                <w:i/>
                <w:sz w:val="14"/>
                <w:szCs w:val="14"/>
              </w:rPr>
            </w:pPr>
            <w:r w:rsidRPr="00AD3394">
              <w:rPr>
                <w:i/>
                <w:sz w:val="14"/>
                <w:szCs w:val="14"/>
              </w:rPr>
              <w:t>Post-employee benefits</w:t>
            </w:r>
          </w:p>
        </w:tc>
      </w:tr>
      <w:tr w:rsidR="003E5EBB" w:rsidRPr="0013526B" w14:paraId="26102181" w14:textId="77777777" w:rsidTr="00D65AE7">
        <w:trPr>
          <w:trHeight w:val="20"/>
        </w:trPr>
        <w:tc>
          <w:tcPr>
            <w:tcW w:w="1838" w:type="dxa"/>
          </w:tcPr>
          <w:p w14:paraId="3CD2FDE3" w14:textId="77777777" w:rsidR="003E5EBB" w:rsidRPr="00101586" w:rsidRDefault="003E5EBB" w:rsidP="00D65AE7">
            <w:pPr>
              <w:ind w:left="510" w:hanging="142"/>
              <w:rPr>
                <w:sz w:val="14"/>
                <w:szCs w:val="14"/>
              </w:rPr>
            </w:pPr>
            <w:r w:rsidRPr="00101586">
              <w:rPr>
                <w:sz w:val="14"/>
                <w:szCs w:val="14"/>
              </w:rPr>
              <w:t xml:space="preserve">Cadangan piutang tak tertagih </w:t>
            </w:r>
          </w:p>
        </w:tc>
        <w:tc>
          <w:tcPr>
            <w:tcW w:w="1055" w:type="dxa"/>
            <w:shd w:val="clear" w:color="auto" w:fill="auto"/>
            <w:vAlign w:val="bottom"/>
          </w:tcPr>
          <w:p w14:paraId="0562BE8B" w14:textId="77777777" w:rsidR="003E5EBB" w:rsidRPr="00AD3394" w:rsidRDefault="003E5EBB" w:rsidP="00D65AE7">
            <w:pPr>
              <w:ind w:right="57"/>
              <w:jc w:val="right"/>
              <w:rPr>
                <w:sz w:val="14"/>
                <w:szCs w:val="14"/>
              </w:rPr>
            </w:pPr>
            <w:r w:rsidRPr="00F96893">
              <w:rPr>
                <w:sz w:val="14"/>
                <w:szCs w:val="14"/>
              </w:rPr>
              <w:t>326.357.458</w:t>
            </w:r>
          </w:p>
        </w:tc>
        <w:tc>
          <w:tcPr>
            <w:tcW w:w="64" w:type="dxa"/>
            <w:shd w:val="clear" w:color="auto" w:fill="auto"/>
            <w:vAlign w:val="bottom"/>
          </w:tcPr>
          <w:p w14:paraId="38347C24" w14:textId="77777777" w:rsidR="003E5EBB" w:rsidRPr="00AD3394" w:rsidRDefault="003E5EBB" w:rsidP="00D65AE7">
            <w:pPr>
              <w:ind w:right="57"/>
              <w:jc w:val="right"/>
              <w:rPr>
                <w:sz w:val="14"/>
                <w:szCs w:val="14"/>
              </w:rPr>
            </w:pPr>
          </w:p>
        </w:tc>
        <w:tc>
          <w:tcPr>
            <w:tcW w:w="1056" w:type="dxa"/>
            <w:shd w:val="clear" w:color="auto" w:fill="auto"/>
            <w:vAlign w:val="bottom"/>
          </w:tcPr>
          <w:p w14:paraId="508B39E8" w14:textId="5B175D83" w:rsidR="003E5EBB" w:rsidRPr="00AD3394" w:rsidRDefault="00BF449E" w:rsidP="00D65AE7">
            <w:pPr>
              <w:ind w:right="57"/>
              <w:jc w:val="right"/>
              <w:rPr>
                <w:sz w:val="14"/>
                <w:szCs w:val="14"/>
              </w:rPr>
            </w:pPr>
            <w:r>
              <w:rPr>
                <w:sz w:val="14"/>
                <w:szCs w:val="14"/>
              </w:rPr>
              <w:t>-</w:t>
            </w:r>
          </w:p>
        </w:tc>
        <w:tc>
          <w:tcPr>
            <w:tcW w:w="64" w:type="dxa"/>
            <w:shd w:val="clear" w:color="auto" w:fill="auto"/>
            <w:vAlign w:val="bottom"/>
          </w:tcPr>
          <w:p w14:paraId="08396867" w14:textId="77777777" w:rsidR="003E5EBB" w:rsidRPr="00AD3394" w:rsidRDefault="003E5EBB" w:rsidP="00D65AE7">
            <w:pPr>
              <w:ind w:right="57"/>
              <w:jc w:val="right"/>
              <w:rPr>
                <w:sz w:val="14"/>
                <w:szCs w:val="14"/>
              </w:rPr>
            </w:pPr>
          </w:p>
        </w:tc>
        <w:tc>
          <w:tcPr>
            <w:tcW w:w="1056" w:type="dxa"/>
            <w:vAlign w:val="bottom"/>
          </w:tcPr>
          <w:p w14:paraId="1D66F935" w14:textId="0D4B2D74" w:rsidR="003E5EBB" w:rsidRDefault="00BF449E" w:rsidP="00D65AE7">
            <w:pPr>
              <w:ind w:right="57"/>
              <w:jc w:val="right"/>
              <w:rPr>
                <w:sz w:val="14"/>
                <w:szCs w:val="14"/>
                <w:lang w:val="en-ID"/>
              </w:rPr>
            </w:pPr>
            <w:r>
              <w:rPr>
                <w:sz w:val="14"/>
                <w:szCs w:val="14"/>
                <w:lang w:val="en-ID"/>
              </w:rPr>
              <w:t>-</w:t>
            </w:r>
          </w:p>
        </w:tc>
        <w:tc>
          <w:tcPr>
            <w:tcW w:w="64" w:type="dxa"/>
          </w:tcPr>
          <w:p w14:paraId="12732C2A" w14:textId="77777777" w:rsidR="003E5EBB" w:rsidRDefault="003E5EBB" w:rsidP="00D65AE7">
            <w:pPr>
              <w:ind w:right="57"/>
              <w:jc w:val="right"/>
              <w:rPr>
                <w:sz w:val="14"/>
                <w:szCs w:val="14"/>
                <w:lang w:val="en-ID"/>
              </w:rPr>
            </w:pPr>
          </w:p>
        </w:tc>
        <w:tc>
          <w:tcPr>
            <w:tcW w:w="1056" w:type="dxa"/>
            <w:shd w:val="clear" w:color="auto" w:fill="auto"/>
            <w:vAlign w:val="bottom"/>
          </w:tcPr>
          <w:p w14:paraId="67720CCA" w14:textId="77777777" w:rsidR="003E5EBB" w:rsidRPr="00AD3394" w:rsidRDefault="003E5EBB" w:rsidP="00D65AE7">
            <w:pPr>
              <w:ind w:right="57"/>
              <w:jc w:val="right"/>
              <w:rPr>
                <w:sz w:val="14"/>
                <w:szCs w:val="14"/>
                <w:lang w:val="en-ID"/>
              </w:rPr>
            </w:pPr>
            <w:r>
              <w:rPr>
                <w:sz w:val="14"/>
                <w:szCs w:val="14"/>
                <w:lang w:val="en-ID"/>
              </w:rPr>
              <w:t>-</w:t>
            </w:r>
          </w:p>
        </w:tc>
        <w:tc>
          <w:tcPr>
            <w:tcW w:w="64" w:type="dxa"/>
            <w:shd w:val="clear" w:color="auto" w:fill="auto"/>
            <w:vAlign w:val="bottom"/>
          </w:tcPr>
          <w:p w14:paraId="1D6190CE" w14:textId="77777777" w:rsidR="003E5EBB" w:rsidRPr="00AD3394" w:rsidRDefault="003E5EBB" w:rsidP="00D65AE7">
            <w:pPr>
              <w:ind w:right="57"/>
              <w:jc w:val="right"/>
              <w:rPr>
                <w:sz w:val="14"/>
                <w:szCs w:val="14"/>
              </w:rPr>
            </w:pPr>
          </w:p>
        </w:tc>
        <w:tc>
          <w:tcPr>
            <w:tcW w:w="1056" w:type="dxa"/>
            <w:shd w:val="clear" w:color="auto" w:fill="auto"/>
            <w:vAlign w:val="bottom"/>
          </w:tcPr>
          <w:p w14:paraId="42FCE622" w14:textId="05F3E1E9" w:rsidR="003E5EBB" w:rsidRPr="00AD3394" w:rsidRDefault="00BF449E" w:rsidP="00D65AE7">
            <w:pPr>
              <w:ind w:right="57"/>
              <w:jc w:val="right"/>
              <w:rPr>
                <w:sz w:val="14"/>
                <w:szCs w:val="14"/>
              </w:rPr>
            </w:pPr>
            <w:r>
              <w:rPr>
                <w:sz w:val="14"/>
                <w:szCs w:val="14"/>
              </w:rPr>
              <w:t>326.357.458</w:t>
            </w:r>
          </w:p>
        </w:tc>
        <w:tc>
          <w:tcPr>
            <w:tcW w:w="1841" w:type="dxa"/>
            <w:vAlign w:val="bottom"/>
          </w:tcPr>
          <w:p w14:paraId="7B158223" w14:textId="77777777" w:rsidR="003E5EBB" w:rsidRPr="00AD3394" w:rsidRDefault="003E5EBB" w:rsidP="00D65AE7">
            <w:pPr>
              <w:numPr>
                <w:ilvl w:val="12"/>
                <w:numId w:val="0"/>
              </w:numPr>
              <w:ind w:right="55"/>
              <w:jc w:val="right"/>
              <w:rPr>
                <w:i/>
                <w:sz w:val="14"/>
                <w:szCs w:val="14"/>
              </w:rPr>
            </w:pPr>
            <w:r w:rsidRPr="00AD3394">
              <w:rPr>
                <w:i/>
                <w:sz w:val="14"/>
                <w:szCs w:val="14"/>
              </w:rPr>
              <w:t>Allowance for impairment</w:t>
            </w:r>
          </w:p>
          <w:p w14:paraId="032E661D" w14:textId="77777777" w:rsidR="003E5EBB" w:rsidRPr="00AD3394" w:rsidRDefault="003E5EBB" w:rsidP="00D65AE7">
            <w:pPr>
              <w:numPr>
                <w:ilvl w:val="12"/>
                <w:numId w:val="0"/>
              </w:numPr>
              <w:ind w:right="142"/>
              <w:jc w:val="right"/>
              <w:rPr>
                <w:i/>
                <w:sz w:val="14"/>
                <w:szCs w:val="14"/>
              </w:rPr>
            </w:pPr>
            <w:r w:rsidRPr="00AD3394">
              <w:rPr>
                <w:i/>
                <w:sz w:val="14"/>
                <w:szCs w:val="14"/>
              </w:rPr>
              <w:t>loss receivable</w:t>
            </w:r>
          </w:p>
        </w:tc>
      </w:tr>
      <w:tr w:rsidR="003E5EBB" w:rsidRPr="0013526B" w14:paraId="400D3636" w14:textId="77777777" w:rsidTr="00D65AE7">
        <w:trPr>
          <w:trHeight w:val="20"/>
        </w:trPr>
        <w:tc>
          <w:tcPr>
            <w:tcW w:w="1838" w:type="dxa"/>
            <w:vAlign w:val="bottom"/>
          </w:tcPr>
          <w:p w14:paraId="53E229D5" w14:textId="77777777" w:rsidR="003E5EBB" w:rsidRPr="00101586" w:rsidRDefault="003E5EBB" w:rsidP="00D65AE7">
            <w:pPr>
              <w:ind w:left="510" w:hanging="142"/>
              <w:rPr>
                <w:sz w:val="14"/>
                <w:szCs w:val="14"/>
              </w:rPr>
            </w:pPr>
            <w:r w:rsidRPr="00101586">
              <w:rPr>
                <w:sz w:val="14"/>
                <w:szCs w:val="14"/>
              </w:rPr>
              <w:t>Penyusutan aset tetap</w:t>
            </w:r>
          </w:p>
        </w:tc>
        <w:tc>
          <w:tcPr>
            <w:tcW w:w="1055" w:type="dxa"/>
            <w:shd w:val="clear" w:color="auto" w:fill="auto"/>
            <w:vAlign w:val="bottom"/>
          </w:tcPr>
          <w:p w14:paraId="266BA44D" w14:textId="77777777" w:rsidR="003E5EBB" w:rsidRPr="00AD3394" w:rsidRDefault="003E5EBB" w:rsidP="00D65AE7">
            <w:pPr>
              <w:ind w:right="57"/>
              <w:jc w:val="right"/>
              <w:rPr>
                <w:sz w:val="14"/>
                <w:szCs w:val="14"/>
              </w:rPr>
            </w:pPr>
            <w:r w:rsidRPr="00F96893">
              <w:rPr>
                <w:sz w:val="14"/>
                <w:szCs w:val="14"/>
              </w:rPr>
              <w:t>3.683.519.845</w:t>
            </w:r>
          </w:p>
        </w:tc>
        <w:tc>
          <w:tcPr>
            <w:tcW w:w="64" w:type="dxa"/>
            <w:shd w:val="clear" w:color="auto" w:fill="auto"/>
            <w:vAlign w:val="bottom"/>
          </w:tcPr>
          <w:p w14:paraId="0A8AE23C" w14:textId="77777777" w:rsidR="003E5EBB" w:rsidRPr="00AD3394" w:rsidRDefault="003E5EBB" w:rsidP="00D65AE7">
            <w:pPr>
              <w:ind w:right="57"/>
              <w:jc w:val="right"/>
              <w:rPr>
                <w:sz w:val="14"/>
                <w:szCs w:val="14"/>
              </w:rPr>
            </w:pPr>
          </w:p>
        </w:tc>
        <w:tc>
          <w:tcPr>
            <w:tcW w:w="1056" w:type="dxa"/>
            <w:shd w:val="clear" w:color="auto" w:fill="auto"/>
            <w:vAlign w:val="bottom"/>
          </w:tcPr>
          <w:p w14:paraId="0D15DD7C" w14:textId="4C9059E3" w:rsidR="003E5EBB" w:rsidRPr="00AD3394" w:rsidRDefault="003E5EBB" w:rsidP="00BF449E">
            <w:pPr>
              <w:ind w:right="57"/>
              <w:jc w:val="right"/>
              <w:rPr>
                <w:sz w:val="14"/>
                <w:szCs w:val="14"/>
              </w:rPr>
            </w:pPr>
            <w:r w:rsidRPr="00BE7F0F">
              <w:rPr>
                <w:sz w:val="14"/>
                <w:szCs w:val="14"/>
              </w:rPr>
              <w:t>(</w:t>
            </w:r>
            <w:r w:rsidR="00BF449E">
              <w:rPr>
                <w:sz w:val="14"/>
                <w:szCs w:val="14"/>
              </w:rPr>
              <w:t>35.247.349</w:t>
            </w:r>
            <w:r w:rsidRPr="00BE7F0F">
              <w:rPr>
                <w:sz w:val="14"/>
                <w:szCs w:val="14"/>
              </w:rPr>
              <w:t>)</w:t>
            </w:r>
          </w:p>
        </w:tc>
        <w:tc>
          <w:tcPr>
            <w:tcW w:w="64" w:type="dxa"/>
            <w:shd w:val="clear" w:color="auto" w:fill="auto"/>
            <w:vAlign w:val="bottom"/>
          </w:tcPr>
          <w:p w14:paraId="1ADE8EAE" w14:textId="77777777" w:rsidR="003E5EBB" w:rsidRPr="00AD3394" w:rsidRDefault="003E5EBB" w:rsidP="00D65AE7">
            <w:pPr>
              <w:ind w:right="57"/>
              <w:jc w:val="right"/>
              <w:rPr>
                <w:sz w:val="14"/>
                <w:szCs w:val="14"/>
              </w:rPr>
            </w:pPr>
          </w:p>
        </w:tc>
        <w:tc>
          <w:tcPr>
            <w:tcW w:w="1056" w:type="dxa"/>
            <w:vAlign w:val="bottom"/>
          </w:tcPr>
          <w:p w14:paraId="67145844" w14:textId="77777777" w:rsidR="003E5EBB" w:rsidRDefault="003E5EBB" w:rsidP="00D65AE7">
            <w:pPr>
              <w:ind w:right="57"/>
              <w:jc w:val="right"/>
              <w:rPr>
                <w:sz w:val="14"/>
                <w:szCs w:val="14"/>
                <w:lang w:val="en-ID"/>
              </w:rPr>
            </w:pPr>
            <w:r>
              <w:rPr>
                <w:sz w:val="14"/>
                <w:szCs w:val="14"/>
                <w:lang w:val="en-ID"/>
              </w:rPr>
              <w:t>-</w:t>
            </w:r>
          </w:p>
        </w:tc>
        <w:tc>
          <w:tcPr>
            <w:tcW w:w="64" w:type="dxa"/>
          </w:tcPr>
          <w:p w14:paraId="128B053E" w14:textId="77777777" w:rsidR="003E5EBB" w:rsidRDefault="003E5EBB" w:rsidP="00D65AE7">
            <w:pPr>
              <w:ind w:right="57"/>
              <w:jc w:val="right"/>
              <w:rPr>
                <w:sz w:val="14"/>
                <w:szCs w:val="14"/>
                <w:lang w:val="en-ID"/>
              </w:rPr>
            </w:pPr>
          </w:p>
        </w:tc>
        <w:tc>
          <w:tcPr>
            <w:tcW w:w="1056" w:type="dxa"/>
            <w:shd w:val="clear" w:color="auto" w:fill="auto"/>
            <w:vAlign w:val="bottom"/>
          </w:tcPr>
          <w:p w14:paraId="7A54DB82" w14:textId="77777777" w:rsidR="003E5EBB" w:rsidRPr="00AD3394" w:rsidRDefault="003E5EBB" w:rsidP="00D65AE7">
            <w:pPr>
              <w:ind w:right="57"/>
              <w:jc w:val="right"/>
              <w:rPr>
                <w:sz w:val="14"/>
                <w:szCs w:val="14"/>
                <w:lang w:val="en-ID"/>
              </w:rPr>
            </w:pPr>
            <w:r>
              <w:rPr>
                <w:sz w:val="14"/>
                <w:szCs w:val="14"/>
                <w:lang w:val="en-ID"/>
              </w:rPr>
              <w:t>-</w:t>
            </w:r>
          </w:p>
        </w:tc>
        <w:tc>
          <w:tcPr>
            <w:tcW w:w="64" w:type="dxa"/>
            <w:shd w:val="clear" w:color="auto" w:fill="auto"/>
            <w:vAlign w:val="bottom"/>
          </w:tcPr>
          <w:p w14:paraId="24760F14" w14:textId="77777777" w:rsidR="003E5EBB" w:rsidRPr="00AD3394" w:rsidRDefault="003E5EBB" w:rsidP="00D65AE7">
            <w:pPr>
              <w:ind w:right="57"/>
              <w:jc w:val="right"/>
              <w:rPr>
                <w:sz w:val="14"/>
                <w:szCs w:val="14"/>
              </w:rPr>
            </w:pPr>
          </w:p>
        </w:tc>
        <w:tc>
          <w:tcPr>
            <w:tcW w:w="1056" w:type="dxa"/>
            <w:shd w:val="clear" w:color="auto" w:fill="auto"/>
          </w:tcPr>
          <w:p w14:paraId="602D27B0" w14:textId="0D1D62BF" w:rsidR="003E5EBB" w:rsidRPr="00AD3394" w:rsidRDefault="00BF449E" w:rsidP="00D65AE7">
            <w:pPr>
              <w:ind w:right="57"/>
              <w:jc w:val="right"/>
              <w:rPr>
                <w:sz w:val="14"/>
                <w:szCs w:val="14"/>
              </w:rPr>
            </w:pPr>
            <w:r>
              <w:rPr>
                <w:sz w:val="14"/>
                <w:szCs w:val="14"/>
              </w:rPr>
              <w:t>3.648.272.495</w:t>
            </w:r>
          </w:p>
        </w:tc>
        <w:tc>
          <w:tcPr>
            <w:tcW w:w="1841" w:type="dxa"/>
            <w:vAlign w:val="bottom"/>
          </w:tcPr>
          <w:p w14:paraId="3F587855" w14:textId="77777777" w:rsidR="003E5EBB" w:rsidRPr="00AD3394" w:rsidRDefault="003E5EBB" w:rsidP="00D65AE7">
            <w:pPr>
              <w:numPr>
                <w:ilvl w:val="12"/>
                <w:numId w:val="0"/>
              </w:numPr>
              <w:ind w:right="55"/>
              <w:jc w:val="right"/>
              <w:rPr>
                <w:i/>
                <w:sz w:val="14"/>
                <w:szCs w:val="14"/>
              </w:rPr>
            </w:pPr>
            <w:r w:rsidRPr="00AD3394">
              <w:rPr>
                <w:i/>
                <w:sz w:val="14"/>
                <w:szCs w:val="14"/>
              </w:rPr>
              <w:t>Depreciation of fixed</w:t>
            </w:r>
            <w:r>
              <w:rPr>
                <w:i/>
                <w:sz w:val="14"/>
                <w:szCs w:val="14"/>
              </w:rPr>
              <w:t xml:space="preserve"> </w:t>
            </w:r>
            <w:r w:rsidRPr="00AD3394">
              <w:rPr>
                <w:i/>
                <w:sz w:val="14"/>
                <w:szCs w:val="14"/>
              </w:rPr>
              <w:t>assets</w:t>
            </w:r>
          </w:p>
        </w:tc>
      </w:tr>
      <w:tr w:rsidR="003E5EBB" w:rsidRPr="0013526B" w14:paraId="660DBD54" w14:textId="77777777" w:rsidTr="00D65AE7">
        <w:trPr>
          <w:trHeight w:val="20"/>
        </w:trPr>
        <w:tc>
          <w:tcPr>
            <w:tcW w:w="1838" w:type="dxa"/>
          </w:tcPr>
          <w:p w14:paraId="55E58D95" w14:textId="77777777" w:rsidR="003E5EBB" w:rsidRPr="00101586" w:rsidRDefault="003E5EBB" w:rsidP="00D65AE7">
            <w:pPr>
              <w:ind w:left="510" w:hanging="142"/>
              <w:rPr>
                <w:sz w:val="14"/>
                <w:szCs w:val="14"/>
              </w:rPr>
            </w:pPr>
            <w:r w:rsidRPr="00101586">
              <w:rPr>
                <w:sz w:val="14"/>
                <w:szCs w:val="14"/>
              </w:rPr>
              <w:t>Provisi atas bonus</w:t>
            </w:r>
          </w:p>
        </w:tc>
        <w:tc>
          <w:tcPr>
            <w:tcW w:w="1055" w:type="dxa"/>
            <w:shd w:val="clear" w:color="auto" w:fill="auto"/>
            <w:vAlign w:val="bottom"/>
          </w:tcPr>
          <w:p w14:paraId="62757068" w14:textId="77777777" w:rsidR="003E5EBB" w:rsidRPr="00AD3394" w:rsidRDefault="003E5EBB" w:rsidP="00D65AE7">
            <w:pPr>
              <w:ind w:right="57"/>
              <w:jc w:val="right"/>
              <w:rPr>
                <w:sz w:val="14"/>
                <w:szCs w:val="14"/>
              </w:rPr>
            </w:pPr>
            <w:r w:rsidRPr="00F96893">
              <w:rPr>
                <w:sz w:val="14"/>
                <w:szCs w:val="14"/>
              </w:rPr>
              <w:t>1.206.807.848</w:t>
            </w:r>
          </w:p>
        </w:tc>
        <w:tc>
          <w:tcPr>
            <w:tcW w:w="64" w:type="dxa"/>
            <w:shd w:val="clear" w:color="auto" w:fill="auto"/>
            <w:vAlign w:val="bottom"/>
          </w:tcPr>
          <w:p w14:paraId="4E663978" w14:textId="77777777" w:rsidR="003E5EBB" w:rsidRPr="00AD3394" w:rsidRDefault="003E5EBB" w:rsidP="00D65AE7">
            <w:pPr>
              <w:ind w:right="57"/>
              <w:jc w:val="right"/>
              <w:rPr>
                <w:sz w:val="14"/>
                <w:szCs w:val="14"/>
              </w:rPr>
            </w:pPr>
          </w:p>
        </w:tc>
        <w:tc>
          <w:tcPr>
            <w:tcW w:w="1056" w:type="dxa"/>
            <w:shd w:val="clear" w:color="auto" w:fill="auto"/>
            <w:vAlign w:val="bottom"/>
          </w:tcPr>
          <w:p w14:paraId="42B79BD1" w14:textId="53D88D62" w:rsidR="003E5EBB" w:rsidRPr="00AD3394" w:rsidRDefault="00BF449E" w:rsidP="00D65AE7">
            <w:pPr>
              <w:ind w:right="57"/>
              <w:jc w:val="right"/>
              <w:rPr>
                <w:sz w:val="14"/>
                <w:szCs w:val="14"/>
                <w:lang w:val="en-ID"/>
              </w:rPr>
            </w:pPr>
            <w:r>
              <w:rPr>
                <w:sz w:val="14"/>
                <w:szCs w:val="14"/>
                <w:lang w:val="en-ID"/>
              </w:rPr>
              <w:t>237.498.930</w:t>
            </w:r>
          </w:p>
        </w:tc>
        <w:tc>
          <w:tcPr>
            <w:tcW w:w="64" w:type="dxa"/>
            <w:shd w:val="clear" w:color="auto" w:fill="auto"/>
            <w:vAlign w:val="bottom"/>
          </w:tcPr>
          <w:p w14:paraId="18E177FF" w14:textId="77777777" w:rsidR="003E5EBB" w:rsidRPr="00AD3394" w:rsidRDefault="003E5EBB" w:rsidP="00D65AE7">
            <w:pPr>
              <w:ind w:right="57"/>
              <w:jc w:val="right"/>
              <w:rPr>
                <w:sz w:val="14"/>
                <w:szCs w:val="14"/>
              </w:rPr>
            </w:pPr>
          </w:p>
        </w:tc>
        <w:tc>
          <w:tcPr>
            <w:tcW w:w="1056" w:type="dxa"/>
            <w:vAlign w:val="bottom"/>
          </w:tcPr>
          <w:p w14:paraId="1CC527AA" w14:textId="77777777" w:rsidR="003E5EBB" w:rsidRDefault="003E5EBB" w:rsidP="00D65AE7">
            <w:pPr>
              <w:ind w:right="57"/>
              <w:jc w:val="right"/>
              <w:rPr>
                <w:sz w:val="14"/>
                <w:szCs w:val="14"/>
                <w:lang w:val="en-ID"/>
              </w:rPr>
            </w:pPr>
            <w:r>
              <w:rPr>
                <w:sz w:val="14"/>
                <w:szCs w:val="14"/>
                <w:lang w:val="en-ID"/>
              </w:rPr>
              <w:t>-</w:t>
            </w:r>
          </w:p>
        </w:tc>
        <w:tc>
          <w:tcPr>
            <w:tcW w:w="64" w:type="dxa"/>
          </w:tcPr>
          <w:p w14:paraId="528F56CF" w14:textId="77777777" w:rsidR="003E5EBB" w:rsidRDefault="003E5EBB" w:rsidP="00D65AE7">
            <w:pPr>
              <w:ind w:right="57"/>
              <w:jc w:val="right"/>
              <w:rPr>
                <w:sz w:val="14"/>
                <w:szCs w:val="14"/>
                <w:lang w:val="en-ID"/>
              </w:rPr>
            </w:pPr>
          </w:p>
        </w:tc>
        <w:tc>
          <w:tcPr>
            <w:tcW w:w="1056" w:type="dxa"/>
            <w:shd w:val="clear" w:color="auto" w:fill="auto"/>
            <w:vAlign w:val="bottom"/>
          </w:tcPr>
          <w:p w14:paraId="600229ED" w14:textId="77777777" w:rsidR="003E5EBB" w:rsidRPr="00AD3394" w:rsidRDefault="003E5EBB" w:rsidP="00D65AE7">
            <w:pPr>
              <w:ind w:right="57"/>
              <w:jc w:val="right"/>
              <w:rPr>
                <w:sz w:val="14"/>
                <w:szCs w:val="14"/>
                <w:lang w:val="en-ID"/>
              </w:rPr>
            </w:pPr>
            <w:r>
              <w:rPr>
                <w:sz w:val="14"/>
                <w:szCs w:val="14"/>
                <w:lang w:val="en-ID"/>
              </w:rPr>
              <w:t>-</w:t>
            </w:r>
          </w:p>
        </w:tc>
        <w:tc>
          <w:tcPr>
            <w:tcW w:w="64" w:type="dxa"/>
            <w:shd w:val="clear" w:color="auto" w:fill="auto"/>
            <w:vAlign w:val="bottom"/>
          </w:tcPr>
          <w:p w14:paraId="4E0F440F" w14:textId="77777777" w:rsidR="003E5EBB" w:rsidRPr="00AD3394" w:rsidRDefault="003E5EBB" w:rsidP="00D65AE7">
            <w:pPr>
              <w:ind w:right="57"/>
              <w:jc w:val="right"/>
              <w:rPr>
                <w:sz w:val="14"/>
                <w:szCs w:val="14"/>
              </w:rPr>
            </w:pPr>
          </w:p>
        </w:tc>
        <w:tc>
          <w:tcPr>
            <w:tcW w:w="1056" w:type="dxa"/>
            <w:shd w:val="clear" w:color="auto" w:fill="auto"/>
          </w:tcPr>
          <w:p w14:paraId="3AB2E0EC" w14:textId="4424006C" w:rsidR="003E5EBB" w:rsidRPr="00AD3394" w:rsidRDefault="00BF449E" w:rsidP="00D65AE7">
            <w:pPr>
              <w:ind w:right="57"/>
              <w:jc w:val="right"/>
              <w:rPr>
                <w:sz w:val="14"/>
                <w:szCs w:val="14"/>
              </w:rPr>
            </w:pPr>
            <w:r>
              <w:rPr>
                <w:sz w:val="14"/>
                <w:szCs w:val="14"/>
              </w:rPr>
              <w:t>1.444.306.778</w:t>
            </w:r>
          </w:p>
        </w:tc>
        <w:tc>
          <w:tcPr>
            <w:tcW w:w="1841" w:type="dxa"/>
            <w:vAlign w:val="bottom"/>
          </w:tcPr>
          <w:p w14:paraId="7B6B7FAB" w14:textId="77777777" w:rsidR="003E5EBB" w:rsidRPr="00AD3394" w:rsidRDefault="003E5EBB" w:rsidP="00D65AE7">
            <w:pPr>
              <w:numPr>
                <w:ilvl w:val="12"/>
                <w:numId w:val="0"/>
              </w:numPr>
              <w:ind w:right="55"/>
              <w:jc w:val="right"/>
              <w:rPr>
                <w:i/>
                <w:sz w:val="14"/>
                <w:szCs w:val="14"/>
              </w:rPr>
            </w:pPr>
            <w:r w:rsidRPr="00AD3394">
              <w:rPr>
                <w:i/>
                <w:sz w:val="14"/>
                <w:szCs w:val="14"/>
              </w:rPr>
              <w:t>Provision of bonus</w:t>
            </w:r>
          </w:p>
        </w:tc>
      </w:tr>
      <w:tr w:rsidR="003E5EBB" w:rsidRPr="0013526B" w14:paraId="51AE3C33" w14:textId="77777777" w:rsidTr="00D65AE7">
        <w:trPr>
          <w:trHeight w:val="20"/>
        </w:trPr>
        <w:tc>
          <w:tcPr>
            <w:tcW w:w="1838" w:type="dxa"/>
          </w:tcPr>
          <w:p w14:paraId="3825233F" w14:textId="77777777" w:rsidR="003E5EBB" w:rsidRPr="00101586" w:rsidRDefault="003E5EBB" w:rsidP="00D65AE7">
            <w:pPr>
              <w:ind w:left="510" w:hanging="142"/>
              <w:rPr>
                <w:sz w:val="14"/>
                <w:szCs w:val="14"/>
              </w:rPr>
            </w:pPr>
            <w:r w:rsidRPr="00101586">
              <w:rPr>
                <w:sz w:val="14"/>
                <w:szCs w:val="14"/>
              </w:rPr>
              <w:t>Aset sewa pembiayaan</w:t>
            </w:r>
          </w:p>
        </w:tc>
        <w:tc>
          <w:tcPr>
            <w:tcW w:w="1055" w:type="dxa"/>
            <w:tcBorders>
              <w:bottom w:val="single" w:sz="4" w:space="0" w:color="auto"/>
            </w:tcBorders>
            <w:shd w:val="clear" w:color="auto" w:fill="auto"/>
            <w:vAlign w:val="bottom"/>
          </w:tcPr>
          <w:p w14:paraId="03C5F8AA" w14:textId="77777777" w:rsidR="003E5EBB" w:rsidRPr="00AD3394" w:rsidRDefault="003E5EBB" w:rsidP="00D65AE7">
            <w:pPr>
              <w:ind w:right="57"/>
              <w:jc w:val="right"/>
              <w:rPr>
                <w:sz w:val="14"/>
                <w:szCs w:val="14"/>
              </w:rPr>
            </w:pPr>
            <w:r w:rsidRPr="00F96893">
              <w:rPr>
                <w:sz w:val="14"/>
                <w:szCs w:val="14"/>
              </w:rPr>
              <w:t>149.901.825</w:t>
            </w:r>
          </w:p>
        </w:tc>
        <w:tc>
          <w:tcPr>
            <w:tcW w:w="64" w:type="dxa"/>
            <w:shd w:val="clear" w:color="auto" w:fill="auto"/>
            <w:vAlign w:val="bottom"/>
          </w:tcPr>
          <w:p w14:paraId="5CE13DE4" w14:textId="77777777" w:rsidR="003E5EBB" w:rsidRPr="00AD3394" w:rsidRDefault="003E5EBB" w:rsidP="00D65AE7">
            <w:pPr>
              <w:ind w:right="57"/>
              <w:jc w:val="right"/>
              <w:rPr>
                <w:sz w:val="14"/>
                <w:szCs w:val="14"/>
              </w:rPr>
            </w:pPr>
          </w:p>
        </w:tc>
        <w:tc>
          <w:tcPr>
            <w:tcW w:w="1056" w:type="dxa"/>
            <w:tcBorders>
              <w:bottom w:val="single" w:sz="4" w:space="0" w:color="auto"/>
            </w:tcBorders>
            <w:shd w:val="clear" w:color="auto" w:fill="auto"/>
            <w:vAlign w:val="bottom"/>
          </w:tcPr>
          <w:p w14:paraId="48102D24" w14:textId="4DBB495A" w:rsidR="003E5EBB" w:rsidRPr="00AD3394" w:rsidRDefault="00BF449E" w:rsidP="00D65AE7">
            <w:pPr>
              <w:ind w:right="57"/>
              <w:jc w:val="right"/>
              <w:rPr>
                <w:sz w:val="14"/>
                <w:szCs w:val="14"/>
                <w:lang w:val="en-ID"/>
              </w:rPr>
            </w:pPr>
            <w:r>
              <w:rPr>
                <w:sz w:val="14"/>
                <w:szCs w:val="14"/>
                <w:lang w:val="en-ID"/>
              </w:rPr>
              <w:t>-</w:t>
            </w:r>
          </w:p>
        </w:tc>
        <w:tc>
          <w:tcPr>
            <w:tcW w:w="64" w:type="dxa"/>
            <w:shd w:val="clear" w:color="auto" w:fill="auto"/>
            <w:vAlign w:val="bottom"/>
          </w:tcPr>
          <w:p w14:paraId="2FA0ABB3" w14:textId="77777777" w:rsidR="003E5EBB" w:rsidRPr="00AD3394" w:rsidRDefault="003E5EBB" w:rsidP="00D65AE7">
            <w:pPr>
              <w:ind w:right="57"/>
              <w:jc w:val="right"/>
              <w:rPr>
                <w:sz w:val="14"/>
                <w:szCs w:val="14"/>
              </w:rPr>
            </w:pPr>
          </w:p>
        </w:tc>
        <w:tc>
          <w:tcPr>
            <w:tcW w:w="1056" w:type="dxa"/>
            <w:tcBorders>
              <w:bottom w:val="single" w:sz="4" w:space="0" w:color="auto"/>
            </w:tcBorders>
            <w:vAlign w:val="bottom"/>
          </w:tcPr>
          <w:p w14:paraId="41E7C1E7" w14:textId="77777777" w:rsidR="003E5EBB" w:rsidRDefault="003E5EBB" w:rsidP="00D65AE7">
            <w:pPr>
              <w:ind w:right="57"/>
              <w:jc w:val="right"/>
              <w:rPr>
                <w:sz w:val="14"/>
                <w:szCs w:val="14"/>
                <w:lang w:val="en-ID"/>
              </w:rPr>
            </w:pPr>
            <w:r>
              <w:rPr>
                <w:sz w:val="14"/>
                <w:szCs w:val="14"/>
                <w:lang w:val="en-ID"/>
              </w:rPr>
              <w:t>-</w:t>
            </w:r>
          </w:p>
        </w:tc>
        <w:tc>
          <w:tcPr>
            <w:tcW w:w="64" w:type="dxa"/>
          </w:tcPr>
          <w:p w14:paraId="73068685" w14:textId="77777777" w:rsidR="003E5EBB" w:rsidRDefault="003E5EBB" w:rsidP="00D65AE7">
            <w:pPr>
              <w:ind w:right="57"/>
              <w:jc w:val="right"/>
              <w:rPr>
                <w:sz w:val="14"/>
                <w:szCs w:val="14"/>
                <w:lang w:val="en-ID"/>
              </w:rPr>
            </w:pPr>
          </w:p>
        </w:tc>
        <w:tc>
          <w:tcPr>
            <w:tcW w:w="1056" w:type="dxa"/>
            <w:tcBorders>
              <w:bottom w:val="single" w:sz="4" w:space="0" w:color="auto"/>
            </w:tcBorders>
            <w:shd w:val="clear" w:color="auto" w:fill="auto"/>
            <w:vAlign w:val="bottom"/>
          </w:tcPr>
          <w:p w14:paraId="5C6380B8" w14:textId="77777777" w:rsidR="003E5EBB" w:rsidRPr="00AD3394" w:rsidRDefault="003E5EBB" w:rsidP="00D65AE7">
            <w:pPr>
              <w:ind w:right="57"/>
              <w:jc w:val="right"/>
              <w:rPr>
                <w:sz w:val="14"/>
                <w:szCs w:val="14"/>
                <w:lang w:val="en-ID"/>
              </w:rPr>
            </w:pPr>
            <w:r>
              <w:rPr>
                <w:sz w:val="14"/>
                <w:szCs w:val="14"/>
                <w:lang w:val="en-ID"/>
              </w:rPr>
              <w:t>-</w:t>
            </w:r>
          </w:p>
        </w:tc>
        <w:tc>
          <w:tcPr>
            <w:tcW w:w="64" w:type="dxa"/>
            <w:shd w:val="clear" w:color="auto" w:fill="auto"/>
            <w:vAlign w:val="bottom"/>
          </w:tcPr>
          <w:p w14:paraId="704DFBF7" w14:textId="77777777" w:rsidR="003E5EBB" w:rsidRPr="00AD3394" w:rsidRDefault="003E5EBB" w:rsidP="00D65AE7">
            <w:pPr>
              <w:ind w:right="57"/>
              <w:jc w:val="right"/>
              <w:rPr>
                <w:sz w:val="14"/>
                <w:szCs w:val="14"/>
              </w:rPr>
            </w:pPr>
          </w:p>
        </w:tc>
        <w:tc>
          <w:tcPr>
            <w:tcW w:w="1056" w:type="dxa"/>
            <w:tcBorders>
              <w:bottom w:val="single" w:sz="4" w:space="0" w:color="auto"/>
            </w:tcBorders>
            <w:shd w:val="clear" w:color="auto" w:fill="auto"/>
            <w:vAlign w:val="bottom"/>
          </w:tcPr>
          <w:p w14:paraId="7AC82CDC" w14:textId="2F386C3A" w:rsidR="003E5EBB" w:rsidRPr="00AD3394" w:rsidRDefault="00BF449E" w:rsidP="00D65AE7">
            <w:pPr>
              <w:ind w:right="57"/>
              <w:jc w:val="right"/>
              <w:rPr>
                <w:sz w:val="14"/>
                <w:szCs w:val="14"/>
              </w:rPr>
            </w:pPr>
            <w:r>
              <w:rPr>
                <w:sz w:val="14"/>
                <w:szCs w:val="14"/>
              </w:rPr>
              <w:t>149.901.825</w:t>
            </w:r>
          </w:p>
        </w:tc>
        <w:tc>
          <w:tcPr>
            <w:tcW w:w="1841" w:type="dxa"/>
            <w:vAlign w:val="bottom"/>
          </w:tcPr>
          <w:p w14:paraId="6C6DF71E" w14:textId="77777777" w:rsidR="003E5EBB" w:rsidRPr="00AD3394" w:rsidRDefault="003E5EBB" w:rsidP="00D65AE7">
            <w:pPr>
              <w:numPr>
                <w:ilvl w:val="12"/>
                <w:numId w:val="0"/>
              </w:numPr>
              <w:ind w:right="55"/>
              <w:jc w:val="right"/>
              <w:rPr>
                <w:i/>
                <w:sz w:val="14"/>
                <w:szCs w:val="14"/>
              </w:rPr>
            </w:pPr>
            <w:r w:rsidRPr="00AD3394">
              <w:rPr>
                <w:i/>
                <w:sz w:val="14"/>
                <w:szCs w:val="14"/>
              </w:rPr>
              <w:t>Asset under finance lease</w:t>
            </w:r>
          </w:p>
        </w:tc>
      </w:tr>
      <w:tr w:rsidR="003E5EBB" w:rsidRPr="0013526B" w14:paraId="1990DE72" w14:textId="77777777" w:rsidTr="00D65AE7">
        <w:trPr>
          <w:trHeight w:val="20"/>
        </w:trPr>
        <w:tc>
          <w:tcPr>
            <w:tcW w:w="1838" w:type="dxa"/>
          </w:tcPr>
          <w:p w14:paraId="24484593" w14:textId="77777777" w:rsidR="003E5EBB" w:rsidRPr="00101586" w:rsidRDefault="003E5EBB" w:rsidP="00D65AE7">
            <w:pPr>
              <w:ind w:left="510" w:hanging="142"/>
              <w:rPr>
                <w:sz w:val="14"/>
                <w:szCs w:val="14"/>
              </w:rPr>
            </w:pPr>
          </w:p>
        </w:tc>
        <w:tc>
          <w:tcPr>
            <w:tcW w:w="1055" w:type="dxa"/>
            <w:tcBorders>
              <w:top w:val="single" w:sz="4" w:space="0" w:color="auto"/>
            </w:tcBorders>
            <w:shd w:val="clear" w:color="auto" w:fill="auto"/>
            <w:vAlign w:val="bottom"/>
          </w:tcPr>
          <w:p w14:paraId="03A1D21A" w14:textId="77777777" w:rsidR="003E5EBB" w:rsidRPr="008E16D5" w:rsidRDefault="003E5EBB" w:rsidP="00D65AE7">
            <w:pPr>
              <w:ind w:right="57"/>
              <w:jc w:val="right"/>
              <w:rPr>
                <w:sz w:val="10"/>
                <w:szCs w:val="10"/>
              </w:rPr>
            </w:pPr>
          </w:p>
        </w:tc>
        <w:tc>
          <w:tcPr>
            <w:tcW w:w="64" w:type="dxa"/>
            <w:shd w:val="clear" w:color="auto" w:fill="auto"/>
            <w:vAlign w:val="bottom"/>
          </w:tcPr>
          <w:p w14:paraId="7205DDAC" w14:textId="77777777" w:rsidR="003E5EBB" w:rsidRPr="008E16D5" w:rsidRDefault="003E5EBB" w:rsidP="00D65AE7">
            <w:pPr>
              <w:ind w:right="57"/>
              <w:jc w:val="right"/>
              <w:rPr>
                <w:sz w:val="10"/>
                <w:szCs w:val="10"/>
              </w:rPr>
            </w:pPr>
          </w:p>
        </w:tc>
        <w:tc>
          <w:tcPr>
            <w:tcW w:w="1056" w:type="dxa"/>
            <w:tcBorders>
              <w:top w:val="single" w:sz="4" w:space="0" w:color="auto"/>
            </w:tcBorders>
            <w:shd w:val="clear" w:color="auto" w:fill="auto"/>
            <w:vAlign w:val="bottom"/>
          </w:tcPr>
          <w:p w14:paraId="66161275" w14:textId="77777777" w:rsidR="003E5EBB" w:rsidRPr="008E16D5" w:rsidRDefault="003E5EBB" w:rsidP="00D65AE7">
            <w:pPr>
              <w:ind w:right="57"/>
              <w:jc w:val="right"/>
              <w:rPr>
                <w:sz w:val="10"/>
                <w:szCs w:val="10"/>
              </w:rPr>
            </w:pPr>
          </w:p>
        </w:tc>
        <w:tc>
          <w:tcPr>
            <w:tcW w:w="64" w:type="dxa"/>
            <w:shd w:val="clear" w:color="auto" w:fill="auto"/>
            <w:vAlign w:val="bottom"/>
          </w:tcPr>
          <w:p w14:paraId="77CEFFD2" w14:textId="77777777" w:rsidR="003E5EBB" w:rsidRPr="008E16D5" w:rsidRDefault="003E5EBB" w:rsidP="00D65AE7">
            <w:pPr>
              <w:ind w:right="57"/>
              <w:jc w:val="right"/>
              <w:rPr>
                <w:sz w:val="10"/>
                <w:szCs w:val="10"/>
              </w:rPr>
            </w:pPr>
          </w:p>
        </w:tc>
        <w:tc>
          <w:tcPr>
            <w:tcW w:w="1056" w:type="dxa"/>
            <w:tcBorders>
              <w:top w:val="single" w:sz="4" w:space="0" w:color="auto"/>
            </w:tcBorders>
            <w:vAlign w:val="bottom"/>
          </w:tcPr>
          <w:p w14:paraId="5B391C04" w14:textId="77777777" w:rsidR="003E5EBB" w:rsidRPr="008E16D5" w:rsidRDefault="003E5EBB" w:rsidP="00D65AE7">
            <w:pPr>
              <w:ind w:right="57"/>
              <w:jc w:val="right"/>
              <w:rPr>
                <w:sz w:val="10"/>
                <w:szCs w:val="10"/>
              </w:rPr>
            </w:pPr>
          </w:p>
        </w:tc>
        <w:tc>
          <w:tcPr>
            <w:tcW w:w="64" w:type="dxa"/>
          </w:tcPr>
          <w:p w14:paraId="38F4A1B1" w14:textId="77777777" w:rsidR="003E5EBB" w:rsidRPr="008E16D5" w:rsidRDefault="003E5EBB" w:rsidP="00D65AE7">
            <w:pPr>
              <w:ind w:right="57"/>
              <w:jc w:val="right"/>
              <w:rPr>
                <w:sz w:val="10"/>
                <w:szCs w:val="10"/>
              </w:rPr>
            </w:pPr>
          </w:p>
        </w:tc>
        <w:tc>
          <w:tcPr>
            <w:tcW w:w="1056" w:type="dxa"/>
            <w:tcBorders>
              <w:top w:val="single" w:sz="4" w:space="0" w:color="auto"/>
            </w:tcBorders>
            <w:shd w:val="clear" w:color="auto" w:fill="auto"/>
            <w:vAlign w:val="bottom"/>
          </w:tcPr>
          <w:p w14:paraId="1BEBCDC8" w14:textId="77777777" w:rsidR="003E5EBB" w:rsidRPr="008E16D5" w:rsidRDefault="003E5EBB" w:rsidP="00D65AE7">
            <w:pPr>
              <w:ind w:right="57"/>
              <w:jc w:val="right"/>
              <w:rPr>
                <w:sz w:val="10"/>
                <w:szCs w:val="10"/>
              </w:rPr>
            </w:pPr>
          </w:p>
        </w:tc>
        <w:tc>
          <w:tcPr>
            <w:tcW w:w="64" w:type="dxa"/>
            <w:shd w:val="clear" w:color="auto" w:fill="auto"/>
            <w:vAlign w:val="bottom"/>
          </w:tcPr>
          <w:p w14:paraId="40423A43" w14:textId="77777777" w:rsidR="003E5EBB" w:rsidRPr="008E16D5" w:rsidRDefault="003E5EBB" w:rsidP="00D65AE7">
            <w:pPr>
              <w:ind w:right="57"/>
              <w:jc w:val="right"/>
              <w:rPr>
                <w:sz w:val="10"/>
                <w:szCs w:val="10"/>
              </w:rPr>
            </w:pPr>
          </w:p>
        </w:tc>
        <w:tc>
          <w:tcPr>
            <w:tcW w:w="1056" w:type="dxa"/>
            <w:tcBorders>
              <w:top w:val="single" w:sz="4" w:space="0" w:color="auto"/>
            </w:tcBorders>
            <w:shd w:val="clear" w:color="auto" w:fill="auto"/>
            <w:vAlign w:val="bottom"/>
          </w:tcPr>
          <w:p w14:paraId="47C1F68E" w14:textId="77777777" w:rsidR="003E5EBB" w:rsidRPr="008E16D5" w:rsidRDefault="003E5EBB" w:rsidP="00D65AE7">
            <w:pPr>
              <w:ind w:right="57"/>
              <w:jc w:val="right"/>
              <w:rPr>
                <w:sz w:val="10"/>
                <w:szCs w:val="10"/>
              </w:rPr>
            </w:pPr>
          </w:p>
        </w:tc>
        <w:tc>
          <w:tcPr>
            <w:tcW w:w="1841" w:type="dxa"/>
            <w:vAlign w:val="bottom"/>
          </w:tcPr>
          <w:p w14:paraId="771C73BC" w14:textId="77777777" w:rsidR="003E5EBB" w:rsidRPr="008E16D5" w:rsidRDefault="003E5EBB" w:rsidP="00D65AE7">
            <w:pPr>
              <w:numPr>
                <w:ilvl w:val="12"/>
                <w:numId w:val="0"/>
              </w:numPr>
              <w:ind w:right="55"/>
              <w:jc w:val="right"/>
              <w:rPr>
                <w:i/>
                <w:sz w:val="10"/>
                <w:szCs w:val="10"/>
              </w:rPr>
            </w:pPr>
          </w:p>
        </w:tc>
      </w:tr>
      <w:tr w:rsidR="003E5EBB" w:rsidRPr="0013526B" w14:paraId="08738023" w14:textId="77777777" w:rsidTr="00D65AE7">
        <w:trPr>
          <w:trHeight w:val="20"/>
        </w:trPr>
        <w:tc>
          <w:tcPr>
            <w:tcW w:w="1838" w:type="dxa"/>
          </w:tcPr>
          <w:p w14:paraId="65B28BA9" w14:textId="77777777" w:rsidR="003E5EBB" w:rsidRPr="00101586" w:rsidRDefault="003E5EBB" w:rsidP="00D65AE7">
            <w:pPr>
              <w:ind w:left="510" w:hanging="142"/>
              <w:rPr>
                <w:sz w:val="14"/>
                <w:szCs w:val="14"/>
              </w:rPr>
            </w:pPr>
            <w:r w:rsidRPr="00101586">
              <w:rPr>
                <w:sz w:val="14"/>
                <w:szCs w:val="14"/>
              </w:rPr>
              <w:t>Sub jumlah</w:t>
            </w:r>
          </w:p>
        </w:tc>
        <w:tc>
          <w:tcPr>
            <w:tcW w:w="1055" w:type="dxa"/>
            <w:tcBorders>
              <w:bottom w:val="single" w:sz="4" w:space="0" w:color="auto"/>
            </w:tcBorders>
            <w:shd w:val="clear" w:color="auto" w:fill="auto"/>
            <w:vAlign w:val="bottom"/>
          </w:tcPr>
          <w:p w14:paraId="0DA4C0D8" w14:textId="77777777" w:rsidR="003E5EBB" w:rsidRPr="00AD3394" w:rsidRDefault="003E5EBB" w:rsidP="00D65AE7">
            <w:pPr>
              <w:ind w:right="57"/>
              <w:jc w:val="right"/>
              <w:rPr>
                <w:sz w:val="14"/>
                <w:szCs w:val="14"/>
              </w:rPr>
            </w:pPr>
            <w:r w:rsidRPr="00F96893">
              <w:rPr>
                <w:sz w:val="14"/>
                <w:szCs w:val="14"/>
              </w:rPr>
              <w:t>17.640.602.537</w:t>
            </w:r>
          </w:p>
        </w:tc>
        <w:tc>
          <w:tcPr>
            <w:tcW w:w="64" w:type="dxa"/>
            <w:shd w:val="clear" w:color="auto" w:fill="auto"/>
            <w:vAlign w:val="bottom"/>
          </w:tcPr>
          <w:p w14:paraId="0486C7E8" w14:textId="77777777" w:rsidR="003E5EBB" w:rsidRPr="00AD3394" w:rsidRDefault="003E5EBB" w:rsidP="00D65AE7">
            <w:pPr>
              <w:ind w:right="57"/>
              <w:jc w:val="right"/>
              <w:rPr>
                <w:sz w:val="14"/>
                <w:szCs w:val="14"/>
              </w:rPr>
            </w:pPr>
          </w:p>
        </w:tc>
        <w:tc>
          <w:tcPr>
            <w:tcW w:w="1056" w:type="dxa"/>
            <w:tcBorders>
              <w:bottom w:val="single" w:sz="4" w:space="0" w:color="auto"/>
            </w:tcBorders>
            <w:shd w:val="clear" w:color="auto" w:fill="auto"/>
            <w:vAlign w:val="bottom"/>
          </w:tcPr>
          <w:p w14:paraId="41AFD3EA" w14:textId="55EB4DC1" w:rsidR="003E5EBB" w:rsidRPr="00AD3394" w:rsidRDefault="00BF449E" w:rsidP="00D65AE7">
            <w:pPr>
              <w:ind w:right="57"/>
              <w:jc w:val="right"/>
              <w:rPr>
                <w:sz w:val="14"/>
                <w:szCs w:val="14"/>
              </w:rPr>
            </w:pPr>
            <w:r>
              <w:rPr>
                <w:sz w:val="14"/>
                <w:szCs w:val="14"/>
              </w:rPr>
              <w:t>(2.521.812.447)</w:t>
            </w:r>
          </w:p>
        </w:tc>
        <w:tc>
          <w:tcPr>
            <w:tcW w:w="64" w:type="dxa"/>
            <w:shd w:val="clear" w:color="auto" w:fill="auto"/>
            <w:vAlign w:val="bottom"/>
          </w:tcPr>
          <w:p w14:paraId="1161A089" w14:textId="77777777" w:rsidR="003E5EBB" w:rsidRPr="00AD3394" w:rsidRDefault="003E5EBB" w:rsidP="00D65AE7">
            <w:pPr>
              <w:ind w:right="57"/>
              <w:jc w:val="right"/>
              <w:rPr>
                <w:sz w:val="14"/>
                <w:szCs w:val="14"/>
              </w:rPr>
            </w:pPr>
          </w:p>
        </w:tc>
        <w:tc>
          <w:tcPr>
            <w:tcW w:w="1056" w:type="dxa"/>
            <w:tcBorders>
              <w:bottom w:val="single" w:sz="4" w:space="0" w:color="auto"/>
            </w:tcBorders>
            <w:vAlign w:val="bottom"/>
          </w:tcPr>
          <w:p w14:paraId="69586A27" w14:textId="45E74491" w:rsidR="003E5EBB" w:rsidRPr="00F96893" w:rsidRDefault="00BF449E" w:rsidP="00D65AE7">
            <w:pPr>
              <w:ind w:right="57"/>
              <w:jc w:val="right"/>
              <w:rPr>
                <w:sz w:val="14"/>
                <w:szCs w:val="14"/>
              </w:rPr>
            </w:pPr>
            <w:r>
              <w:rPr>
                <w:sz w:val="14"/>
                <w:szCs w:val="14"/>
                <w:lang w:val="en-ID"/>
              </w:rPr>
              <w:t>-</w:t>
            </w:r>
          </w:p>
        </w:tc>
        <w:tc>
          <w:tcPr>
            <w:tcW w:w="64" w:type="dxa"/>
          </w:tcPr>
          <w:p w14:paraId="7FED57D2" w14:textId="77777777" w:rsidR="003E5EBB" w:rsidRPr="00F96893" w:rsidRDefault="003E5EBB" w:rsidP="00D65AE7">
            <w:pPr>
              <w:ind w:right="57"/>
              <w:jc w:val="right"/>
              <w:rPr>
                <w:sz w:val="14"/>
                <w:szCs w:val="14"/>
              </w:rPr>
            </w:pPr>
          </w:p>
        </w:tc>
        <w:tc>
          <w:tcPr>
            <w:tcW w:w="1056" w:type="dxa"/>
            <w:tcBorders>
              <w:bottom w:val="single" w:sz="4" w:space="0" w:color="auto"/>
            </w:tcBorders>
            <w:shd w:val="clear" w:color="auto" w:fill="auto"/>
            <w:vAlign w:val="bottom"/>
          </w:tcPr>
          <w:p w14:paraId="4F4F0494" w14:textId="53945FF5" w:rsidR="003E5EBB" w:rsidRPr="00AD3394" w:rsidRDefault="003E5EBB" w:rsidP="00BF449E">
            <w:pPr>
              <w:ind w:right="57"/>
              <w:jc w:val="right"/>
              <w:rPr>
                <w:sz w:val="14"/>
                <w:szCs w:val="14"/>
              </w:rPr>
            </w:pPr>
            <w:r w:rsidRPr="00F96893">
              <w:rPr>
                <w:sz w:val="14"/>
                <w:szCs w:val="14"/>
              </w:rPr>
              <w:t>(</w:t>
            </w:r>
            <w:r w:rsidR="00BF449E">
              <w:rPr>
                <w:sz w:val="14"/>
                <w:szCs w:val="14"/>
              </w:rPr>
              <w:t>179.366.826</w:t>
            </w:r>
            <w:r w:rsidRPr="00F96893">
              <w:rPr>
                <w:sz w:val="14"/>
                <w:szCs w:val="14"/>
              </w:rPr>
              <w:t>)</w:t>
            </w:r>
          </w:p>
        </w:tc>
        <w:tc>
          <w:tcPr>
            <w:tcW w:w="64" w:type="dxa"/>
            <w:shd w:val="clear" w:color="auto" w:fill="auto"/>
            <w:vAlign w:val="bottom"/>
          </w:tcPr>
          <w:p w14:paraId="256F942F" w14:textId="77777777" w:rsidR="003E5EBB" w:rsidRPr="00AD3394" w:rsidRDefault="003E5EBB" w:rsidP="00D65AE7">
            <w:pPr>
              <w:ind w:right="57"/>
              <w:jc w:val="right"/>
              <w:rPr>
                <w:sz w:val="14"/>
                <w:szCs w:val="14"/>
              </w:rPr>
            </w:pPr>
          </w:p>
        </w:tc>
        <w:tc>
          <w:tcPr>
            <w:tcW w:w="1056" w:type="dxa"/>
            <w:tcBorders>
              <w:bottom w:val="single" w:sz="4" w:space="0" w:color="auto"/>
            </w:tcBorders>
            <w:shd w:val="clear" w:color="auto" w:fill="auto"/>
            <w:vAlign w:val="bottom"/>
          </w:tcPr>
          <w:p w14:paraId="44949090" w14:textId="76AE7D71" w:rsidR="003E5EBB" w:rsidRPr="00AD3394" w:rsidRDefault="00BF449E" w:rsidP="00D65AE7">
            <w:pPr>
              <w:ind w:right="57"/>
              <w:jc w:val="right"/>
              <w:rPr>
                <w:sz w:val="14"/>
                <w:szCs w:val="14"/>
              </w:rPr>
            </w:pPr>
            <w:r>
              <w:rPr>
                <w:sz w:val="14"/>
                <w:szCs w:val="14"/>
              </w:rPr>
              <w:t>14.939.423.264</w:t>
            </w:r>
          </w:p>
        </w:tc>
        <w:tc>
          <w:tcPr>
            <w:tcW w:w="1841" w:type="dxa"/>
            <w:vAlign w:val="bottom"/>
          </w:tcPr>
          <w:p w14:paraId="127AB4B7" w14:textId="77777777" w:rsidR="003E5EBB" w:rsidRPr="00AD3394" w:rsidRDefault="003E5EBB" w:rsidP="00D65AE7">
            <w:pPr>
              <w:numPr>
                <w:ilvl w:val="12"/>
                <w:numId w:val="0"/>
              </w:numPr>
              <w:ind w:right="55"/>
              <w:jc w:val="right"/>
              <w:rPr>
                <w:i/>
                <w:sz w:val="14"/>
                <w:szCs w:val="14"/>
              </w:rPr>
            </w:pPr>
            <w:r w:rsidRPr="00AD3394">
              <w:rPr>
                <w:i/>
                <w:sz w:val="14"/>
                <w:szCs w:val="14"/>
              </w:rPr>
              <w:t>Sub total</w:t>
            </w:r>
          </w:p>
        </w:tc>
      </w:tr>
      <w:tr w:rsidR="003E5EBB" w:rsidRPr="0013526B" w14:paraId="2C502EAE" w14:textId="77777777" w:rsidTr="00D65AE7">
        <w:trPr>
          <w:trHeight w:val="50"/>
        </w:trPr>
        <w:tc>
          <w:tcPr>
            <w:tcW w:w="1838" w:type="dxa"/>
          </w:tcPr>
          <w:p w14:paraId="52078645" w14:textId="77777777" w:rsidR="003E5EBB" w:rsidRPr="00101586" w:rsidRDefault="003E5EBB" w:rsidP="00D65AE7">
            <w:pPr>
              <w:ind w:left="510" w:hanging="142"/>
              <w:rPr>
                <w:sz w:val="14"/>
                <w:szCs w:val="14"/>
                <w:u w:val="single"/>
              </w:rPr>
            </w:pPr>
          </w:p>
        </w:tc>
        <w:tc>
          <w:tcPr>
            <w:tcW w:w="1055" w:type="dxa"/>
            <w:tcBorders>
              <w:top w:val="single" w:sz="4" w:space="0" w:color="auto"/>
            </w:tcBorders>
            <w:shd w:val="clear" w:color="auto" w:fill="auto"/>
            <w:vAlign w:val="bottom"/>
          </w:tcPr>
          <w:p w14:paraId="05B6F0D1" w14:textId="77777777" w:rsidR="003E5EBB" w:rsidRPr="008E16D5" w:rsidRDefault="003E5EBB" w:rsidP="00D65AE7">
            <w:pPr>
              <w:ind w:right="57"/>
              <w:jc w:val="right"/>
              <w:rPr>
                <w:sz w:val="10"/>
                <w:szCs w:val="10"/>
              </w:rPr>
            </w:pPr>
          </w:p>
        </w:tc>
        <w:tc>
          <w:tcPr>
            <w:tcW w:w="64" w:type="dxa"/>
            <w:shd w:val="clear" w:color="auto" w:fill="auto"/>
            <w:vAlign w:val="bottom"/>
          </w:tcPr>
          <w:p w14:paraId="56413D0B" w14:textId="77777777" w:rsidR="003E5EBB" w:rsidRPr="008E16D5" w:rsidRDefault="003E5EBB" w:rsidP="00D65AE7">
            <w:pPr>
              <w:ind w:right="57"/>
              <w:jc w:val="right"/>
              <w:rPr>
                <w:sz w:val="10"/>
                <w:szCs w:val="10"/>
              </w:rPr>
            </w:pPr>
          </w:p>
        </w:tc>
        <w:tc>
          <w:tcPr>
            <w:tcW w:w="1056" w:type="dxa"/>
            <w:tcBorders>
              <w:top w:val="single" w:sz="4" w:space="0" w:color="auto"/>
            </w:tcBorders>
            <w:shd w:val="clear" w:color="auto" w:fill="auto"/>
            <w:vAlign w:val="bottom"/>
          </w:tcPr>
          <w:p w14:paraId="1FCFB4E7" w14:textId="77777777" w:rsidR="003E5EBB" w:rsidRPr="008E16D5" w:rsidRDefault="003E5EBB" w:rsidP="00D65AE7">
            <w:pPr>
              <w:ind w:right="57"/>
              <w:jc w:val="right"/>
              <w:rPr>
                <w:sz w:val="10"/>
                <w:szCs w:val="10"/>
              </w:rPr>
            </w:pPr>
          </w:p>
        </w:tc>
        <w:tc>
          <w:tcPr>
            <w:tcW w:w="64" w:type="dxa"/>
            <w:shd w:val="clear" w:color="auto" w:fill="auto"/>
            <w:vAlign w:val="bottom"/>
          </w:tcPr>
          <w:p w14:paraId="7E5BB697" w14:textId="77777777" w:rsidR="003E5EBB" w:rsidRPr="008E16D5" w:rsidRDefault="003E5EBB" w:rsidP="00D65AE7">
            <w:pPr>
              <w:ind w:right="57"/>
              <w:jc w:val="right"/>
              <w:rPr>
                <w:sz w:val="10"/>
                <w:szCs w:val="10"/>
              </w:rPr>
            </w:pPr>
          </w:p>
        </w:tc>
        <w:tc>
          <w:tcPr>
            <w:tcW w:w="1056" w:type="dxa"/>
            <w:tcBorders>
              <w:top w:val="single" w:sz="4" w:space="0" w:color="auto"/>
            </w:tcBorders>
          </w:tcPr>
          <w:p w14:paraId="1F78B34C" w14:textId="77777777" w:rsidR="003E5EBB" w:rsidRPr="008E16D5" w:rsidRDefault="003E5EBB" w:rsidP="00D65AE7">
            <w:pPr>
              <w:ind w:right="57"/>
              <w:jc w:val="right"/>
              <w:rPr>
                <w:sz w:val="10"/>
                <w:szCs w:val="10"/>
              </w:rPr>
            </w:pPr>
          </w:p>
        </w:tc>
        <w:tc>
          <w:tcPr>
            <w:tcW w:w="64" w:type="dxa"/>
          </w:tcPr>
          <w:p w14:paraId="74832892" w14:textId="77777777" w:rsidR="003E5EBB" w:rsidRPr="008E16D5" w:rsidRDefault="003E5EBB" w:rsidP="00D65AE7">
            <w:pPr>
              <w:ind w:right="57"/>
              <w:jc w:val="right"/>
              <w:rPr>
                <w:sz w:val="10"/>
                <w:szCs w:val="10"/>
              </w:rPr>
            </w:pPr>
          </w:p>
        </w:tc>
        <w:tc>
          <w:tcPr>
            <w:tcW w:w="1056" w:type="dxa"/>
            <w:tcBorders>
              <w:top w:val="single" w:sz="4" w:space="0" w:color="auto"/>
            </w:tcBorders>
            <w:shd w:val="clear" w:color="auto" w:fill="auto"/>
            <w:vAlign w:val="bottom"/>
          </w:tcPr>
          <w:p w14:paraId="66B8718E" w14:textId="77777777" w:rsidR="003E5EBB" w:rsidRPr="008E16D5" w:rsidRDefault="003E5EBB" w:rsidP="00D65AE7">
            <w:pPr>
              <w:ind w:right="57"/>
              <w:jc w:val="right"/>
              <w:rPr>
                <w:sz w:val="10"/>
                <w:szCs w:val="10"/>
              </w:rPr>
            </w:pPr>
          </w:p>
        </w:tc>
        <w:tc>
          <w:tcPr>
            <w:tcW w:w="64" w:type="dxa"/>
            <w:shd w:val="clear" w:color="auto" w:fill="auto"/>
            <w:vAlign w:val="bottom"/>
          </w:tcPr>
          <w:p w14:paraId="4CE952FD" w14:textId="77777777" w:rsidR="003E5EBB" w:rsidRPr="008E16D5" w:rsidRDefault="003E5EBB" w:rsidP="00D65AE7">
            <w:pPr>
              <w:ind w:right="57"/>
              <w:jc w:val="right"/>
              <w:rPr>
                <w:sz w:val="10"/>
                <w:szCs w:val="10"/>
              </w:rPr>
            </w:pPr>
          </w:p>
        </w:tc>
        <w:tc>
          <w:tcPr>
            <w:tcW w:w="1056" w:type="dxa"/>
            <w:tcBorders>
              <w:top w:val="single" w:sz="4" w:space="0" w:color="auto"/>
            </w:tcBorders>
            <w:shd w:val="clear" w:color="auto" w:fill="auto"/>
            <w:vAlign w:val="bottom"/>
          </w:tcPr>
          <w:p w14:paraId="2E219E29" w14:textId="77777777" w:rsidR="003E5EBB" w:rsidRPr="008E16D5" w:rsidRDefault="003E5EBB" w:rsidP="00D65AE7">
            <w:pPr>
              <w:ind w:right="57"/>
              <w:jc w:val="right"/>
              <w:rPr>
                <w:sz w:val="10"/>
                <w:szCs w:val="10"/>
              </w:rPr>
            </w:pPr>
          </w:p>
        </w:tc>
        <w:tc>
          <w:tcPr>
            <w:tcW w:w="1841" w:type="dxa"/>
            <w:vAlign w:val="bottom"/>
          </w:tcPr>
          <w:p w14:paraId="5ABD5419" w14:textId="77777777" w:rsidR="003E5EBB" w:rsidRPr="008E16D5" w:rsidRDefault="003E5EBB" w:rsidP="00D65AE7">
            <w:pPr>
              <w:numPr>
                <w:ilvl w:val="12"/>
                <w:numId w:val="0"/>
              </w:numPr>
              <w:ind w:right="55"/>
              <w:jc w:val="right"/>
              <w:rPr>
                <w:i/>
                <w:sz w:val="10"/>
                <w:szCs w:val="10"/>
              </w:rPr>
            </w:pPr>
          </w:p>
        </w:tc>
      </w:tr>
      <w:tr w:rsidR="003E5EBB" w:rsidRPr="0013526B" w14:paraId="51B8DC94" w14:textId="77777777" w:rsidTr="00D65AE7">
        <w:trPr>
          <w:trHeight w:val="20"/>
        </w:trPr>
        <w:tc>
          <w:tcPr>
            <w:tcW w:w="1838" w:type="dxa"/>
          </w:tcPr>
          <w:p w14:paraId="1B1B9CC2" w14:textId="77777777" w:rsidR="003E5EBB" w:rsidRPr="00AD3394" w:rsidRDefault="003E5EBB" w:rsidP="00D65AE7">
            <w:pPr>
              <w:ind w:left="510" w:hanging="142"/>
              <w:rPr>
                <w:sz w:val="14"/>
                <w:szCs w:val="14"/>
                <w:u w:val="single"/>
              </w:rPr>
            </w:pPr>
            <w:r>
              <w:rPr>
                <w:sz w:val="14"/>
                <w:szCs w:val="14"/>
                <w:u w:val="single"/>
              </w:rPr>
              <w:t>Entitas Anak</w:t>
            </w:r>
          </w:p>
        </w:tc>
        <w:tc>
          <w:tcPr>
            <w:tcW w:w="1055" w:type="dxa"/>
            <w:shd w:val="clear" w:color="auto" w:fill="auto"/>
            <w:vAlign w:val="bottom"/>
          </w:tcPr>
          <w:p w14:paraId="0D598643" w14:textId="77777777" w:rsidR="003E5EBB" w:rsidRPr="00AD3394" w:rsidRDefault="003E5EBB" w:rsidP="00D65AE7">
            <w:pPr>
              <w:ind w:right="57"/>
              <w:jc w:val="right"/>
              <w:rPr>
                <w:sz w:val="14"/>
                <w:szCs w:val="14"/>
              </w:rPr>
            </w:pPr>
          </w:p>
        </w:tc>
        <w:tc>
          <w:tcPr>
            <w:tcW w:w="64" w:type="dxa"/>
            <w:shd w:val="clear" w:color="auto" w:fill="auto"/>
            <w:vAlign w:val="bottom"/>
          </w:tcPr>
          <w:p w14:paraId="3E806C44" w14:textId="77777777" w:rsidR="003E5EBB" w:rsidRPr="00AD3394" w:rsidRDefault="003E5EBB" w:rsidP="00D65AE7">
            <w:pPr>
              <w:ind w:right="57"/>
              <w:jc w:val="right"/>
              <w:rPr>
                <w:sz w:val="14"/>
                <w:szCs w:val="14"/>
              </w:rPr>
            </w:pPr>
          </w:p>
        </w:tc>
        <w:tc>
          <w:tcPr>
            <w:tcW w:w="1056" w:type="dxa"/>
            <w:shd w:val="clear" w:color="auto" w:fill="auto"/>
            <w:vAlign w:val="bottom"/>
          </w:tcPr>
          <w:p w14:paraId="5FC641D2" w14:textId="77777777" w:rsidR="003E5EBB" w:rsidRPr="00AD3394" w:rsidRDefault="003E5EBB" w:rsidP="00D65AE7">
            <w:pPr>
              <w:ind w:right="57"/>
              <w:jc w:val="right"/>
              <w:rPr>
                <w:sz w:val="14"/>
                <w:szCs w:val="14"/>
              </w:rPr>
            </w:pPr>
          </w:p>
        </w:tc>
        <w:tc>
          <w:tcPr>
            <w:tcW w:w="64" w:type="dxa"/>
            <w:shd w:val="clear" w:color="auto" w:fill="auto"/>
            <w:vAlign w:val="bottom"/>
          </w:tcPr>
          <w:p w14:paraId="53D7FC51" w14:textId="77777777" w:rsidR="003E5EBB" w:rsidRPr="00AD3394" w:rsidRDefault="003E5EBB" w:rsidP="00D65AE7">
            <w:pPr>
              <w:ind w:right="57"/>
              <w:jc w:val="right"/>
              <w:rPr>
                <w:sz w:val="14"/>
                <w:szCs w:val="14"/>
              </w:rPr>
            </w:pPr>
          </w:p>
        </w:tc>
        <w:tc>
          <w:tcPr>
            <w:tcW w:w="1056" w:type="dxa"/>
          </w:tcPr>
          <w:p w14:paraId="1FF77FE7" w14:textId="77777777" w:rsidR="003E5EBB" w:rsidRPr="00AD3394" w:rsidRDefault="003E5EBB" w:rsidP="00D65AE7">
            <w:pPr>
              <w:ind w:right="57"/>
              <w:jc w:val="right"/>
              <w:rPr>
                <w:sz w:val="14"/>
                <w:szCs w:val="14"/>
              </w:rPr>
            </w:pPr>
          </w:p>
        </w:tc>
        <w:tc>
          <w:tcPr>
            <w:tcW w:w="64" w:type="dxa"/>
          </w:tcPr>
          <w:p w14:paraId="74F2778A" w14:textId="77777777" w:rsidR="003E5EBB" w:rsidRPr="00AD3394" w:rsidRDefault="003E5EBB" w:rsidP="00D65AE7">
            <w:pPr>
              <w:ind w:right="57"/>
              <w:jc w:val="right"/>
              <w:rPr>
                <w:sz w:val="14"/>
                <w:szCs w:val="14"/>
              </w:rPr>
            </w:pPr>
          </w:p>
        </w:tc>
        <w:tc>
          <w:tcPr>
            <w:tcW w:w="1056" w:type="dxa"/>
            <w:shd w:val="clear" w:color="auto" w:fill="auto"/>
            <w:vAlign w:val="bottom"/>
          </w:tcPr>
          <w:p w14:paraId="14E0D2EF" w14:textId="77777777" w:rsidR="003E5EBB" w:rsidRPr="00AD3394" w:rsidRDefault="003E5EBB" w:rsidP="00D65AE7">
            <w:pPr>
              <w:ind w:right="57"/>
              <w:jc w:val="right"/>
              <w:rPr>
                <w:sz w:val="14"/>
                <w:szCs w:val="14"/>
              </w:rPr>
            </w:pPr>
          </w:p>
        </w:tc>
        <w:tc>
          <w:tcPr>
            <w:tcW w:w="64" w:type="dxa"/>
            <w:shd w:val="clear" w:color="auto" w:fill="auto"/>
            <w:vAlign w:val="bottom"/>
          </w:tcPr>
          <w:p w14:paraId="1008E096" w14:textId="77777777" w:rsidR="003E5EBB" w:rsidRPr="00AD3394" w:rsidRDefault="003E5EBB" w:rsidP="00D65AE7">
            <w:pPr>
              <w:ind w:right="57"/>
              <w:jc w:val="right"/>
              <w:rPr>
                <w:sz w:val="14"/>
                <w:szCs w:val="14"/>
              </w:rPr>
            </w:pPr>
          </w:p>
        </w:tc>
        <w:tc>
          <w:tcPr>
            <w:tcW w:w="1056" w:type="dxa"/>
            <w:shd w:val="clear" w:color="auto" w:fill="auto"/>
            <w:vAlign w:val="bottom"/>
          </w:tcPr>
          <w:p w14:paraId="3F9C9217" w14:textId="77777777" w:rsidR="003E5EBB" w:rsidRPr="00AD3394" w:rsidRDefault="003E5EBB" w:rsidP="00D65AE7">
            <w:pPr>
              <w:ind w:right="57"/>
              <w:jc w:val="right"/>
              <w:rPr>
                <w:sz w:val="14"/>
                <w:szCs w:val="14"/>
              </w:rPr>
            </w:pPr>
          </w:p>
        </w:tc>
        <w:tc>
          <w:tcPr>
            <w:tcW w:w="1841" w:type="dxa"/>
            <w:vAlign w:val="bottom"/>
          </w:tcPr>
          <w:p w14:paraId="749D4DA6" w14:textId="77777777" w:rsidR="003E5EBB" w:rsidRPr="00AD3394" w:rsidRDefault="003E5EBB" w:rsidP="00D65AE7">
            <w:pPr>
              <w:numPr>
                <w:ilvl w:val="12"/>
                <w:numId w:val="0"/>
              </w:numPr>
              <w:ind w:right="55"/>
              <w:jc w:val="right"/>
              <w:rPr>
                <w:i/>
                <w:sz w:val="14"/>
                <w:szCs w:val="14"/>
                <w:u w:val="single"/>
              </w:rPr>
            </w:pPr>
            <w:r>
              <w:rPr>
                <w:i/>
                <w:sz w:val="14"/>
                <w:szCs w:val="14"/>
                <w:u w:val="single"/>
              </w:rPr>
              <w:t>Subsidiaries</w:t>
            </w:r>
          </w:p>
        </w:tc>
      </w:tr>
      <w:tr w:rsidR="003E5EBB" w:rsidRPr="0013526B" w14:paraId="464C2B39" w14:textId="77777777" w:rsidTr="00D65AE7">
        <w:trPr>
          <w:trHeight w:val="20"/>
        </w:trPr>
        <w:tc>
          <w:tcPr>
            <w:tcW w:w="1838" w:type="dxa"/>
          </w:tcPr>
          <w:p w14:paraId="2AF59389" w14:textId="5CA99A65" w:rsidR="003E5EBB" w:rsidRPr="00AD3394" w:rsidRDefault="00BF449E" w:rsidP="00D65AE7">
            <w:pPr>
              <w:ind w:left="510" w:hanging="142"/>
              <w:rPr>
                <w:sz w:val="14"/>
                <w:szCs w:val="14"/>
              </w:rPr>
            </w:pPr>
            <w:r>
              <w:rPr>
                <w:sz w:val="14"/>
                <w:szCs w:val="14"/>
              </w:rPr>
              <w:t>Pajak Tangguhan</w:t>
            </w:r>
          </w:p>
        </w:tc>
        <w:tc>
          <w:tcPr>
            <w:tcW w:w="1055" w:type="dxa"/>
            <w:tcBorders>
              <w:bottom w:val="single" w:sz="4" w:space="0" w:color="auto"/>
            </w:tcBorders>
            <w:shd w:val="clear" w:color="auto" w:fill="auto"/>
            <w:vAlign w:val="bottom"/>
          </w:tcPr>
          <w:p w14:paraId="2A29C790" w14:textId="77777777" w:rsidR="003E5EBB" w:rsidRPr="00AD3394" w:rsidRDefault="003E5EBB" w:rsidP="00D65AE7">
            <w:pPr>
              <w:ind w:right="57"/>
              <w:jc w:val="right"/>
              <w:rPr>
                <w:sz w:val="14"/>
                <w:szCs w:val="14"/>
              </w:rPr>
            </w:pPr>
            <w:r w:rsidRPr="00982A96">
              <w:rPr>
                <w:sz w:val="14"/>
                <w:szCs w:val="14"/>
              </w:rPr>
              <w:t>54.683.887.209</w:t>
            </w:r>
          </w:p>
        </w:tc>
        <w:tc>
          <w:tcPr>
            <w:tcW w:w="64" w:type="dxa"/>
            <w:shd w:val="clear" w:color="auto" w:fill="auto"/>
            <w:vAlign w:val="bottom"/>
          </w:tcPr>
          <w:p w14:paraId="1FD99C28" w14:textId="77777777" w:rsidR="003E5EBB" w:rsidRPr="00AD3394" w:rsidRDefault="003E5EBB" w:rsidP="00D65AE7">
            <w:pPr>
              <w:ind w:right="57"/>
              <w:jc w:val="right"/>
              <w:rPr>
                <w:sz w:val="14"/>
                <w:szCs w:val="14"/>
              </w:rPr>
            </w:pPr>
          </w:p>
        </w:tc>
        <w:tc>
          <w:tcPr>
            <w:tcW w:w="1056" w:type="dxa"/>
            <w:tcBorders>
              <w:bottom w:val="single" w:sz="4" w:space="0" w:color="auto"/>
            </w:tcBorders>
            <w:shd w:val="clear" w:color="auto" w:fill="auto"/>
            <w:vAlign w:val="bottom"/>
          </w:tcPr>
          <w:p w14:paraId="7A4870E3" w14:textId="1D0CCBC3" w:rsidR="003E5EBB" w:rsidRPr="00AD3394" w:rsidRDefault="003E5EBB" w:rsidP="00BF449E">
            <w:pPr>
              <w:ind w:right="57"/>
              <w:jc w:val="right"/>
              <w:rPr>
                <w:sz w:val="14"/>
                <w:szCs w:val="14"/>
              </w:rPr>
            </w:pPr>
            <w:r>
              <w:rPr>
                <w:sz w:val="14"/>
                <w:szCs w:val="14"/>
              </w:rPr>
              <w:t>(</w:t>
            </w:r>
            <w:r w:rsidR="00BF449E">
              <w:rPr>
                <w:sz w:val="14"/>
                <w:szCs w:val="14"/>
              </w:rPr>
              <w:t>94.003.449</w:t>
            </w:r>
            <w:r>
              <w:rPr>
                <w:sz w:val="14"/>
                <w:szCs w:val="14"/>
              </w:rPr>
              <w:t>)</w:t>
            </w:r>
          </w:p>
        </w:tc>
        <w:tc>
          <w:tcPr>
            <w:tcW w:w="64" w:type="dxa"/>
            <w:shd w:val="clear" w:color="auto" w:fill="auto"/>
            <w:vAlign w:val="bottom"/>
          </w:tcPr>
          <w:p w14:paraId="481FA3CF" w14:textId="77777777" w:rsidR="003E5EBB" w:rsidRPr="00AD3394" w:rsidRDefault="003E5EBB" w:rsidP="00D65AE7">
            <w:pPr>
              <w:ind w:right="57"/>
              <w:jc w:val="right"/>
              <w:rPr>
                <w:sz w:val="14"/>
                <w:szCs w:val="14"/>
              </w:rPr>
            </w:pPr>
          </w:p>
        </w:tc>
        <w:tc>
          <w:tcPr>
            <w:tcW w:w="1056" w:type="dxa"/>
            <w:tcBorders>
              <w:bottom w:val="single" w:sz="4" w:space="0" w:color="auto"/>
            </w:tcBorders>
          </w:tcPr>
          <w:p w14:paraId="00DC130C" w14:textId="6F62ED86" w:rsidR="003E5EBB" w:rsidRPr="00F96893" w:rsidRDefault="00BF449E" w:rsidP="00D65AE7">
            <w:pPr>
              <w:ind w:right="57"/>
              <w:jc w:val="right"/>
              <w:rPr>
                <w:sz w:val="14"/>
                <w:szCs w:val="14"/>
              </w:rPr>
            </w:pPr>
            <w:r>
              <w:rPr>
                <w:sz w:val="14"/>
                <w:szCs w:val="14"/>
                <w:lang w:val="en-ID"/>
              </w:rPr>
              <w:t>-</w:t>
            </w:r>
          </w:p>
        </w:tc>
        <w:tc>
          <w:tcPr>
            <w:tcW w:w="64" w:type="dxa"/>
          </w:tcPr>
          <w:p w14:paraId="15D3547B" w14:textId="77777777" w:rsidR="003E5EBB" w:rsidRPr="00F96893" w:rsidRDefault="003E5EBB" w:rsidP="00D65AE7">
            <w:pPr>
              <w:ind w:right="57"/>
              <w:jc w:val="right"/>
              <w:rPr>
                <w:sz w:val="14"/>
                <w:szCs w:val="14"/>
              </w:rPr>
            </w:pPr>
          </w:p>
        </w:tc>
        <w:tc>
          <w:tcPr>
            <w:tcW w:w="1056" w:type="dxa"/>
            <w:tcBorders>
              <w:bottom w:val="single" w:sz="4" w:space="0" w:color="auto"/>
            </w:tcBorders>
            <w:shd w:val="clear" w:color="auto" w:fill="auto"/>
            <w:vAlign w:val="bottom"/>
          </w:tcPr>
          <w:p w14:paraId="675CB119" w14:textId="02F11CB1" w:rsidR="003E5EBB" w:rsidRPr="00AD3394" w:rsidRDefault="00BF449E" w:rsidP="00D65AE7">
            <w:pPr>
              <w:ind w:right="57"/>
              <w:jc w:val="right"/>
              <w:rPr>
                <w:sz w:val="14"/>
                <w:szCs w:val="14"/>
              </w:rPr>
            </w:pPr>
            <w:r>
              <w:rPr>
                <w:sz w:val="14"/>
                <w:szCs w:val="14"/>
              </w:rPr>
              <w:t>3.632.281</w:t>
            </w:r>
          </w:p>
        </w:tc>
        <w:tc>
          <w:tcPr>
            <w:tcW w:w="64" w:type="dxa"/>
            <w:shd w:val="clear" w:color="auto" w:fill="auto"/>
            <w:vAlign w:val="bottom"/>
          </w:tcPr>
          <w:p w14:paraId="6A02FD2F" w14:textId="77777777" w:rsidR="003E5EBB" w:rsidRPr="00AD3394" w:rsidRDefault="003E5EBB" w:rsidP="00D65AE7">
            <w:pPr>
              <w:ind w:right="57"/>
              <w:jc w:val="right"/>
              <w:rPr>
                <w:sz w:val="14"/>
                <w:szCs w:val="14"/>
              </w:rPr>
            </w:pPr>
          </w:p>
        </w:tc>
        <w:tc>
          <w:tcPr>
            <w:tcW w:w="1056" w:type="dxa"/>
            <w:tcBorders>
              <w:bottom w:val="single" w:sz="4" w:space="0" w:color="auto"/>
            </w:tcBorders>
            <w:shd w:val="clear" w:color="auto" w:fill="auto"/>
            <w:vAlign w:val="bottom"/>
          </w:tcPr>
          <w:p w14:paraId="0FB7E837" w14:textId="6FC381F9" w:rsidR="003E5EBB" w:rsidRPr="00AD3394" w:rsidRDefault="00BF449E" w:rsidP="00D65AE7">
            <w:pPr>
              <w:ind w:right="57"/>
              <w:jc w:val="right"/>
              <w:rPr>
                <w:sz w:val="14"/>
                <w:szCs w:val="14"/>
              </w:rPr>
            </w:pPr>
            <w:r>
              <w:rPr>
                <w:sz w:val="14"/>
                <w:szCs w:val="14"/>
              </w:rPr>
              <w:t>54.593.516.041</w:t>
            </w:r>
          </w:p>
        </w:tc>
        <w:tc>
          <w:tcPr>
            <w:tcW w:w="1841" w:type="dxa"/>
            <w:vAlign w:val="bottom"/>
          </w:tcPr>
          <w:p w14:paraId="1D544E4A" w14:textId="090E2FBE" w:rsidR="003E5EBB" w:rsidRPr="00AD3394" w:rsidRDefault="00BF449E" w:rsidP="00D65AE7">
            <w:pPr>
              <w:numPr>
                <w:ilvl w:val="12"/>
                <w:numId w:val="0"/>
              </w:numPr>
              <w:ind w:right="55"/>
              <w:jc w:val="right"/>
              <w:rPr>
                <w:i/>
                <w:sz w:val="14"/>
                <w:szCs w:val="14"/>
              </w:rPr>
            </w:pPr>
            <w:r>
              <w:rPr>
                <w:i/>
                <w:sz w:val="14"/>
                <w:szCs w:val="14"/>
              </w:rPr>
              <w:t>Deffered Tax</w:t>
            </w:r>
          </w:p>
        </w:tc>
      </w:tr>
      <w:tr w:rsidR="003E5EBB" w:rsidRPr="0013526B" w14:paraId="4B08E7D7" w14:textId="77777777" w:rsidTr="00D65AE7">
        <w:trPr>
          <w:trHeight w:val="20"/>
        </w:trPr>
        <w:tc>
          <w:tcPr>
            <w:tcW w:w="1838" w:type="dxa"/>
          </w:tcPr>
          <w:p w14:paraId="73230857" w14:textId="77777777" w:rsidR="003E5EBB" w:rsidRPr="008E16D5" w:rsidRDefault="003E5EBB" w:rsidP="00D65AE7">
            <w:pPr>
              <w:ind w:left="609"/>
              <w:rPr>
                <w:sz w:val="10"/>
                <w:szCs w:val="10"/>
              </w:rPr>
            </w:pPr>
          </w:p>
        </w:tc>
        <w:tc>
          <w:tcPr>
            <w:tcW w:w="1055" w:type="dxa"/>
            <w:tcBorders>
              <w:top w:val="single" w:sz="4" w:space="0" w:color="auto"/>
            </w:tcBorders>
            <w:shd w:val="clear" w:color="auto" w:fill="auto"/>
            <w:vAlign w:val="bottom"/>
          </w:tcPr>
          <w:p w14:paraId="2203DB42" w14:textId="77777777" w:rsidR="003E5EBB" w:rsidRPr="008E16D5" w:rsidRDefault="003E5EBB" w:rsidP="00D65AE7">
            <w:pPr>
              <w:ind w:right="57"/>
              <w:jc w:val="right"/>
              <w:rPr>
                <w:sz w:val="10"/>
                <w:szCs w:val="10"/>
              </w:rPr>
            </w:pPr>
          </w:p>
        </w:tc>
        <w:tc>
          <w:tcPr>
            <w:tcW w:w="64" w:type="dxa"/>
            <w:shd w:val="clear" w:color="auto" w:fill="auto"/>
            <w:vAlign w:val="bottom"/>
          </w:tcPr>
          <w:p w14:paraId="08FF2AF4" w14:textId="77777777" w:rsidR="003E5EBB" w:rsidRPr="008E16D5" w:rsidRDefault="003E5EBB" w:rsidP="00D65AE7">
            <w:pPr>
              <w:ind w:right="57"/>
              <w:jc w:val="right"/>
              <w:rPr>
                <w:sz w:val="10"/>
                <w:szCs w:val="10"/>
              </w:rPr>
            </w:pPr>
          </w:p>
        </w:tc>
        <w:tc>
          <w:tcPr>
            <w:tcW w:w="1056" w:type="dxa"/>
            <w:tcBorders>
              <w:top w:val="single" w:sz="4" w:space="0" w:color="auto"/>
            </w:tcBorders>
            <w:shd w:val="clear" w:color="auto" w:fill="auto"/>
            <w:vAlign w:val="bottom"/>
          </w:tcPr>
          <w:p w14:paraId="401F7A0E" w14:textId="77777777" w:rsidR="003E5EBB" w:rsidRPr="008E16D5" w:rsidRDefault="003E5EBB" w:rsidP="00D65AE7">
            <w:pPr>
              <w:ind w:right="57"/>
              <w:jc w:val="right"/>
              <w:rPr>
                <w:sz w:val="10"/>
                <w:szCs w:val="10"/>
              </w:rPr>
            </w:pPr>
          </w:p>
        </w:tc>
        <w:tc>
          <w:tcPr>
            <w:tcW w:w="64" w:type="dxa"/>
            <w:shd w:val="clear" w:color="auto" w:fill="auto"/>
            <w:vAlign w:val="bottom"/>
          </w:tcPr>
          <w:p w14:paraId="129A3365" w14:textId="77777777" w:rsidR="003E5EBB" w:rsidRPr="008E16D5" w:rsidRDefault="003E5EBB" w:rsidP="00D65AE7">
            <w:pPr>
              <w:ind w:right="57"/>
              <w:jc w:val="right"/>
              <w:rPr>
                <w:sz w:val="10"/>
                <w:szCs w:val="10"/>
              </w:rPr>
            </w:pPr>
          </w:p>
        </w:tc>
        <w:tc>
          <w:tcPr>
            <w:tcW w:w="1056" w:type="dxa"/>
            <w:tcBorders>
              <w:top w:val="single" w:sz="4" w:space="0" w:color="auto"/>
            </w:tcBorders>
            <w:vAlign w:val="bottom"/>
          </w:tcPr>
          <w:p w14:paraId="40B26808" w14:textId="77777777" w:rsidR="003E5EBB" w:rsidRPr="008E16D5" w:rsidRDefault="003E5EBB" w:rsidP="00D65AE7">
            <w:pPr>
              <w:ind w:right="57"/>
              <w:jc w:val="right"/>
              <w:rPr>
                <w:sz w:val="10"/>
                <w:szCs w:val="10"/>
              </w:rPr>
            </w:pPr>
          </w:p>
        </w:tc>
        <w:tc>
          <w:tcPr>
            <w:tcW w:w="64" w:type="dxa"/>
          </w:tcPr>
          <w:p w14:paraId="174DD98B" w14:textId="77777777" w:rsidR="003E5EBB" w:rsidRPr="008E16D5" w:rsidRDefault="003E5EBB" w:rsidP="00D65AE7">
            <w:pPr>
              <w:ind w:right="57"/>
              <w:jc w:val="right"/>
              <w:rPr>
                <w:sz w:val="10"/>
                <w:szCs w:val="10"/>
              </w:rPr>
            </w:pPr>
          </w:p>
        </w:tc>
        <w:tc>
          <w:tcPr>
            <w:tcW w:w="1056" w:type="dxa"/>
            <w:tcBorders>
              <w:top w:val="single" w:sz="4" w:space="0" w:color="auto"/>
            </w:tcBorders>
            <w:shd w:val="clear" w:color="auto" w:fill="auto"/>
            <w:vAlign w:val="bottom"/>
          </w:tcPr>
          <w:p w14:paraId="209F6CC9" w14:textId="77777777" w:rsidR="003E5EBB" w:rsidRPr="008E16D5" w:rsidRDefault="003E5EBB" w:rsidP="00D65AE7">
            <w:pPr>
              <w:ind w:right="57"/>
              <w:jc w:val="right"/>
              <w:rPr>
                <w:sz w:val="10"/>
                <w:szCs w:val="10"/>
              </w:rPr>
            </w:pPr>
          </w:p>
        </w:tc>
        <w:tc>
          <w:tcPr>
            <w:tcW w:w="64" w:type="dxa"/>
            <w:shd w:val="clear" w:color="auto" w:fill="auto"/>
            <w:vAlign w:val="bottom"/>
          </w:tcPr>
          <w:p w14:paraId="1F1D12D8" w14:textId="77777777" w:rsidR="003E5EBB" w:rsidRPr="008E16D5" w:rsidRDefault="003E5EBB" w:rsidP="00D65AE7">
            <w:pPr>
              <w:ind w:right="57"/>
              <w:jc w:val="right"/>
              <w:rPr>
                <w:sz w:val="10"/>
                <w:szCs w:val="10"/>
              </w:rPr>
            </w:pPr>
          </w:p>
        </w:tc>
        <w:tc>
          <w:tcPr>
            <w:tcW w:w="1056" w:type="dxa"/>
            <w:tcBorders>
              <w:top w:val="single" w:sz="4" w:space="0" w:color="auto"/>
            </w:tcBorders>
            <w:shd w:val="clear" w:color="auto" w:fill="auto"/>
            <w:vAlign w:val="bottom"/>
          </w:tcPr>
          <w:p w14:paraId="3968A84F" w14:textId="77777777" w:rsidR="003E5EBB" w:rsidRPr="008E16D5" w:rsidRDefault="003E5EBB" w:rsidP="00D65AE7">
            <w:pPr>
              <w:ind w:right="57"/>
              <w:jc w:val="right"/>
              <w:rPr>
                <w:sz w:val="10"/>
                <w:szCs w:val="10"/>
              </w:rPr>
            </w:pPr>
          </w:p>
        </w:tc>
        <w:tc>
          <w:tcPr>
            <w:tcW w:w="1841" w:type="dxa"/>
            <w:vAlign w:val="bottom"/>
          </w:tcPr>
          <w:p w14:paraId="7F0DAF3E" w14:textId="77777777" w:rsidR="003E5EBB" w:rsidRPr="008E16D5" w:rsidRDefault="003E5EBB" w:rsidP="00D65AE7">
            <w:pPr>
              <w:numPr>
                <w:ilvl w:val="12"/>
                <w:numId w:val="0"/>
              </w:numPr>
              <w:ind w:right="55"/>
              <w:jc w:val="right"/>
              <w:rPr>
                <w:i/>
                <w:sz w:val="10"/>
                <w:szCs w:val="10"/>
              </w:rPr>
            </w:pPr>
          </w:p>
        </w:tc>
      </w:tr>
      <w:tr w:rsidR="003E5EBB" w:rsidRPr="0013526B" w14:paraId="7E9942E0" w14:textId="77777777" w:rsidTr="00D65AE7">
        <w:trPr>
          <w:trHeight w:val="20"/>
        </w:trPr>
        <w:tc>
          <w:tcPr>
            <w:tcW w:w="1838" w:type="dxa"/>
          </w:tcPr>
          <w:p w14:paraId="2FB308EF" w14:textId="77777777" w:rsidR="003E5EBB" w:rsidRPr="00B35789" w:rsidRDefault="003E5EBB" w:rsidP="00D65AE7">
            <w:pPr>
              <w:ind w:left="510" w:hanging="142"/>
              <w:rPr>
                <w:b/>
                <w:sz w:val="14"/>
                <w:szCs w:val="14"/>
              </w:rPr>
            </w:pPr>
            <w:r w:rsidRPr="006D2B33">
              <w:rPr>
                <w:b/>
                <w:bCs w:val="0"/>
                <w:sz w:val="14"/>
                <w:szCs w:val="14"/>
                <w:u w:val="single"/>
              </w:rPr>
              <w:t>Jumlah</w:t>
            </w:r>
          </w:p>
        </w:tc>
        <w:tc>
          <w:tcPr>
            <w:tcW w:w="1055" w:type="dxa"/>
            <w:tcBorders>
              <w:bottom w:val="double" w:sz="4" w:space="0" w:color="auto"/>
            </w:tcBorders>
            <w:shd w:val="clear" w:color="auto" w:fill="auto"/>
            <w:vAlign w:val="bottom"/>
          </w:tcPr>
          <w:p w14:paraId="026A8CE6" w14:textId="77777777" w:rsidR="003E5EBB" w:rsidRPr="00B35789" w:rsidRDefault="003E5EBB" w:rsidP="00D65AE7">
            <w:pPr>
              <w:ind w:right="57"/>
              <w:jc w:val="right"/>
              <w:rPr>
                <w:b/>
                <w:sz w:val="14"/>
                <w:szCs w:val="14"/>
              </w:rPr>
            </w:pPr>
            <w:r w:rsidRPr="00A57A39">
              <w:rPr>
                <w:b/>
                <w:sz w:val="14"/>
                <w:szCs w:val="14"/>
              </w:rPr>
              <w:t>72.324.489.746</w:t>
            </w:r>
          </w:p>
        </w:tc>
        <w:tc>
          <w:tcPr>
            <w:tcW w:w="64" w:type="dxa"/>
            <w:shd w:val="clear" w:color="auto" w:fill="auto"/>
            <w:vAlign w:val="bottom"/>
          </w:tcPr>
          <w:p w14:paraId="4CABFF63" w14:textId="77777777" w:rsidR="003E5EBB" w:rsidRPr="00BE7F0F" w:rsidRDefault="003E5EBB" w:rsidP="00D65AE7">
            <w:pPr>
              <w:ind w:right="57"/>
              <w:jc w:val="right"/>
              <w:rPr>
                <w:b/>
                <w:bCs w:val="0"/>
                <w:sz w:val="14"/>
                <w:szCs w:val="14"/>
              </w:rPr>
            </w:pPr>
          </w:p>
        </w:tc>
        <w:tc>
          <w:tcPr>
            <w:tcW w:w="1056" w:type="dxa"/>
            <w:tcBorders>
              <w:bottom w:val="double" w:sz="4" w:space="0" w:color="auto"/>
            </w:tcBorders>
            <w:shd w:val="clear" w:color="auto" w:fill="auto"/>
            <w:vAlign w:val="bottom"/>
          </w:tcPr>
          <w:p w14:paraId="7D715CC5" w14:textId="6F03F68D" w:rsidR="003E5EBB" w:rsidRPr="00BE7F0F" w:rsidRDefault="003E5EBB" w:rsidP="00BF449E">
            <w:pPr>
              <w:ind w:right="57"/>
              <w:jc w:val="right"/>
              <w:rPr>
                <w:b/>
                <w:bCs w:val="0"/>
                <w:sz w:val="14"/>
                <w:szCs w:val="14"/>
              </w:rPr>
            </w:pPr>
            <w:r w:rsidRPr="00BE7F0F">
              <w:rPr>
                <w:b/>
                <w:bCs w:val="0"/>
                <w:sz w:val="14"/>
                <w:szCs w:val="14"/>
              </w:rPr>
              <w:t>(</w:t>
            </w:r>
            <w:r w:rsidR="00BF449E">
              <w:rPr>
                <w:b/>
                <w:bCs w:val="0"/>
                <w:sz w:val="14"/>
                <w:szCs w:val="14"/>
              </w:rPr>
              <w:t>2.615.815.896</w:t>
            </w:r>
            <w:r w:rsidRPr="00BE7F0F">
              <w:rPr>
                <w:b/>
                <w:bCs w:val="0"/>
                <w:sz w:val="14"/>
                <w:szCs w:val="14"/>
              </w:rPr>
              <w:t>)</w:t>
            </w:r>
          </w:p>
        </w:tc>
        <w:tc>
          <w:tcPr>
            <w:tcW w:w="64" w:type="dxa"/>
            <w:shd w:val="clear" w:color="auto" w:fill="auto"/>
            <w:vAlign w:val="bottom"/>
          </w:tcPr>
          <w:p w14:paraId="0100E051" w14:textId="77777777" w:rsidR="003E5EBB" w:rsidRPr="00B35789" w:rsidRDefault="003E5EBB" w:rsidP="00D65AE7">
            <w:pPr>
              <w:ind w:right="57"/>
              <w:jc w:val="right"/>
              <w:rPr>
                <w:b/>
                <w:sz w:val="14"/>
                <w:szCs w:val="14"/>
              </w:rPr>
            </w:pPr>
          </w:p>
        </w:tc>
        <w:tc>
          <w:tcPr>
            <w:tcW w:w="1056" w:type="dxa"/>
            <w:tcBorders>
              <w:bottom w:val="double" w:sz="4" w:space="0" w:color="auto"/>
            </w:tcBorders>
          </w:tcPr>
          <w:p w14:paraId="19AA2286" w14:textId="09D38FBD" w:rsidR="003E5EBB" w:rsidRPr="00C941AC" w:rsidRDefault="00BF449E" w:rsidP="00D65AE7">
            <w:pPr>
              <w:ind w:right="57"/>
              <w:jc w:val="right"/>
              <w:rPr>
                <w:b/>
                <w:bCs w:val="0"/>
                <w:sz w:val="14"/>
                <w:szCs w:val="14"/>
              </w:rPr>
            </w:pPr>
            <w:r>
              <w:rPr>
                <w:b/>
                <w:bCs w:val="0"/>
                <w:sz w:val="14"/>
                <w:szCs w:val="14"/>
              </w:rPr>
              <w:t>-</w:t>
            </w:r>
          </w:p>
        </w:tc>
        <w:tc>
          <w:tcPr>
            <w:tcW w:w="64" w:type="dxa"/>
          </w:tcPr>
          <w:p w14:paraId="2EFB30C5" w14:textId="77777777" w:rsidR="003E5EBB" w:rsidRPr="00B35789" w:rsidRDefault="003E5EBB" w:rsidP="00D65AE7">
            <w:pPr>
              <w:ind w:right="57"/>
              <w:jc w:val="right"/>
              <w:rPr>
                <w:b/>
                <w:sz w:val="14"/>
                <w:szCs w:val="14"/>
              </w:rPr>
            </w:pPr>
          </w:p>
        </w:tc>
        <w:tc>
          <w:tcPr>
            <w:tcW w:w="1056" w:type="dxa"/>
            <w:tcBorders>
              <w:bottom w:val="double" w:sz="4" w:space="0" w:color="auto"/>
            </w:tcBorders>
            <w:shd w:val="clear" w:color="auto" w:fill="auto"/>
            <w:vAlign w:val="bottom"/>
          </w:tcPr>
          <w:p w14:paraId="758ABC7C" w14:textId="11B981A8" w:rsidR="003E5EBB" w:rsidRPr="00B35789" w:rsidRDefault="00BF449E" w:rsidP="00BF449E">
            <w:pPr>
              <w:ind w:right="57"/>
              <w:jc w:val="right"/>
              <w:rPr>
                <w:b/>
                <w:sz w:val="14"/>
                <w:szCs w:val="14"/>
              </w:rPr>
            </w:pPr>
            <w:r>
              <w:rPr>
                <w:b/>
                <w:sz w:val="14"/>
                <w:szCs w:val="14"/>
              </w:rPr>
              <w:t>(175.734.545</w:t>
            </w:r>
            <w:r w:rsidR="003E5EBB" w:rsidRPr="00A57A39">
              <w:rPr>
                <w:b/>
                <w:sz w:val="14"/>
                <w:szCs w:val="14"/>
              </w:rPr>
              <w:t>)</w:t>
            </w:r>
          </w:p>
        </w:tc>
        <w:tc>
          <w:tcPr>
            <w:tcW w:w="64" w:type="dxa"/>
            <w:shd w:val="clear" w:color="auto" w:fill="auto"/>
            <w:vAlign w:val="bottom"/>
          </w:tcPr>
          <w:p w14:paraId="666DCB1B" w14:textId="77777777" w:rsidR="003E5EBB" w:rsidRPr="00B35789" w:rsidRDefault="003E5EBB" w:rsidP="00D65AE7">
            <w:pPr>
              <w:ind w:right="57"/>
              <w:jc w:val="right"/>
              <w:rPr>
                <w:b/>
                <w:sz w:val="14"/>
                <w:szCs w:val="14"/>
              </w:rPr>
            </w:pPr>
          </w:p>
        </w:tc>
        <w:tc>
          <w:tcPr>
            <w:tcW w:w="1056" w:type="dxa"/>
            <w:tcBorders>
              <w:bottom w:val="double" w:sz="4" w:space="0" w:color="auto"/>
            </w:tcBorders>
            <w:shd w:val="clear" w:color="auto" w:fill="auto"/>
            <w:vAlign w:val="bottom"/>
          </w:tcPr>
          <w:p w14:paraId="1D15BC2D" w14:textId="549A57B4" w:rsidR="003E5EBB" w:rsidRPr="00BF449E" w:rsidRDefault="00BF449E" w:rsidP="00D65AE7">
            <w:pPr>
              <w:ind w:right="57"/>
              <w:jc w:val="right"/>
              <w:rPr>
                <w:b/>
                <w:sz w:val="14"/>
                <w:szCs w:val="14"/>
              </w:rPr>
            </w:pPr>
            <w:r w:rsidRPr="00BF449E">
              <w:rPr>
                <w:b/>
                <w:sz w:val="14"/>
                <w:szCs w:val="14"/>
              </w:rPr>
              <w:t>69.532.939.305</w:t>
            </w:r>
          </w:p>
        </w:tc>
        <w:tc>
          <w:tcPr>
            <w:tcW w:w="1841" w:type="dxa"/>
            <w:vAlign w:val="bottom"/>
          </w:tcPr>
          <w:p w14:paraId="65E0DD5E" w14:textId="77777777" w:rsidR="003E5EBB" w:rsidRPr="00AD3394" w:rsidRDefault="003E5EBB" w:rsidP="00D65AE7">
            <w:pPr>
              <w:numPr>
                <w:ilvl w:val="12"/>
                <w:numId w:val="0"/>
              </w:numPr>
              <w:jc w:val="right"/>
              <w:rPr>
                <w:b/>
                <w:i/>
                <w:sz w:val="14"/>
                <w:szCs w:val="14"/>
              </w:rPr>
            </w:pPr>
            <w:r w:rsidRPr="00B35789">
              <w:rPr>
                <w:b/>
                <w:i/>
                <w:sz w:val="14"/>
                <w:szCs w:val="14"/>
              </w:rPr>
              <w:t>Total</w:t>
            </w:r>
          </w:p>
        </w:tc>
      </w:tr>
    </w:tbl>
    <w:p w14:paraId="58A78283" w14:textId="77777777" w:rsidR="003E5EBB" w:rsidRPr="008E16D5" w:rsidRDefault="003E5EBB" w:rsidP="003E5EBB">
      <w:pPr>
        <w:rPr>
          <w:sz w:val="10"/>
          <w:szCs w:val="10"/>
        </w:rPr>
      </w:pPr>
    </w:p>
    <w:p w14:paraId="19004EDA" w14:textId="06D91A74" w:rsidR="007C1CE0" w:rsidRPr="008E16D5" w:rsidRDefault="007C1CE0" w:rsidP="006D2B33">
      <w:pPr>
        <w:rPr>
          <w:sz w:val="10"/>
          <w:szCs w:val="10"/>
        </w:rPr>
      </w:pPr>
    </w:p>
    <w:tbl>
      <w:tblPr>
        <w:tblW w:w="9214" w:type="dxa"/>
        <w:tblInd w:w="420" w:type="dxa"/>
        <w:tblLayout w:type="fixed"/>
        <w:tblLook w:val="0000" w:firstRow="0" w:lastRow="0" w:firstColumn="0" w:lastColumn="0" w:noHBand="0" w:noVBand="0"/>
      </w:tblPr>
      <w:tblGrid>
        <w:gridCol w:w="4557"/>
        <w:gridCol w:w="4657"/>
      </w:tblGrid>
      <w:tr w:rsidR="00B3043B" w:rsidRPr="00856540" w14:paraId="4C27D2DC" w14:textId="77777777" w:rsidTr="002108FF">
        <w:tc>
          <w:tcPr>
            <w:tcW w:w="2473" w:type="pct"/>
            <w:tcBorders>
              <w:top w:val="nil"/>
              <w:left w:val="nil"/>
              <w:bottom w:val="nil"/>
              <w:right w:val="nil"/>
            </w:tcBorders>
          </w:tcPr>
          <w:p w14:paraId="4B30C72A" w14:textId="2C7D6A7D" w:rsidR="00B3043B" w:rsidRPr="00856540" w:rsidRDefault="00B3043B" w:rsidP="00856540">
            <w:pPr>
              <w:pStyle w:val="ListParagraph"/>
              <w:ind w:left="252"/>
              <w:jc w:val="both"/>
              <w:rPr>
                <w:bCs w:val="0"/>
                <w:sz w:val="18"/>
                <w:szCs w:val="18"/>
              </w:rPr>
            </w:pPr>
            <w:r w:rsidRPr="00856540">
              <w:rPr>
                <w:bCs w:val="0"/>
                <w:sz w:val="18"/>
                <w:szCs w:val="18"/>
              </w:rPr>
              <w:t>Manajemen berpendapat bahwa terdapat kemungkinan besar bahwa jumlah laba fiscal pada masa mendatang akan memadai untuk aset pajak tangguhan tersebut</w:t>
            </w:r>
            <w:r w:rsidR="009874CF">
              <w:rPr>
                <w:bCs w:val="0"/>
                <w:sz w:val="18"/>
                <w:szCs w:val="18"/>
              </w:rPr>
              <w:t>.</w:t>
            </w:r>
          </w:p>
        </w:tc>
        <w:tc>
          <w:tcPr>
            <w:tcW w:w="2527" w:type="pct"/>
            <w:tcBorders>
              <w:top w:val="nil"/>
              <w:left w:val="nil"/>
              <w:bottom w:val="nil"/>
              <w:right w:val="nil"/>
            </w:tcBorders>
          </w:tcPr>
          <w:p w14:paraId="2955659C" w14:textId="0F3278E1" w:rsidR="00B3043B" w:rsidRPr="00856540" w:rsidRDefault="00B3043B" w:rsidP="00856540">
            <w:pPr>
              <w:widowControl w:val="0"/>
              <w:autoSpaceDE w:val="0"/>
              <w:autoSpaceDN w:val="0"/>
              <w:adjustRightInd w:val="0"/>
              <w:jc w:val="both"/>
              <w:rPr>
                <w:bCs w:val="0"/>
                <w:i/>
                <w:sz w:val="18"/>
                <w:szCs w:val="18"/>
              </w:rPr>
            </w:pPr>
            <w:r w:rsidRPr="00856540">
              <w:rPr>
                <w:bCs w:val="0"/>
                <w:i/>
                <w:sz w:val="18"/>
                <w:szCs w:val="18"/>
              </w:rPr>
              <w:t>Management believes that it is probable that future taxable profit will be availavle against</w:t>
            </w:r>
            <w:r w:rsidR="00870FD0">
              <w:rPr>
                <w:bCs w:val="0"/>
                <w:i/>
                <w:sz w:val="18"/>
                <w:szCs w:val="18"/>
              </w:rPr>
              <w:t>.</w:t>
            </w:r>
            <w:r w:rsidRPr="00856540">
              <w:rPr>
                <w:bCs w:val="0"/>
                <w:i/>
                <w:sz w:val="18"/>
                <w:szCs w:val="18"/>
              </w:rPr>
              <w:t xml:space="preserve"> </w:t>
            </w:r>
            <w:proofErr w:type="gramStart"/>
            <w:r w:rsidRPr="00856540">
              <w:rPr>
                <w:bCs w:val="0"/>
                <w:i/>
                <w:sz w:val="18"/>
                <w:szCs w:val="18"/>
              </w:rPr>
              <w:t>which</w:t>
            </w:r>
            <w:proofErr w:type="gramEnd"/>
            <w:r w:rsidRPr="00856540">
              <w:rPr>
                <w:bCs w:val="0"/>
                <w:i/>
                <w:sz w:val="18"/>
                <w:szCs w:val="18"/>
              </w:rPr>
              <w:t xml:space="preserve"> results in deferred tax assets</w:t>
            </w:r>
            <w:r w:rsidR="00870FD0">
              <w:rPr>
                <w:bCs w:val="0"/>
                <w:i/>
                <w:sz w:val="18"/>
                <w:szCs w:val="18"/>
              </w:rPr>
              <w:t>.</w:t>
            </w:r>
            <w:r w:rsidRPr="00856540">
              <w:rPr>
                <w:bCs w:val="0"/>
                <w:i/>
                <w:sz w:val="18"/>
                <w:szCs w:val="18"/>
              </w:rPr>
              <w:t xml:space="preserve"> </w:t>
            </w:r>
            <w:proofErr w:type="gramStart"/>
            <w:r w:rsidRPr="00856540">
              <w:rPr>
                <w:bCs w:val="0"/>
                <w:i/>
                <w:sz w:val="18"/>
                <w:szCs w:val="18"/>
              </w:rPr>
              <w:t>can</w:t>
            </w:r>
            <w:proofErr w:type="gramEnd"/>
            <w:r w:rsidRPr="00856540">
              <w:rPr>
                <w:bCs w:val="0"/>
                <w:i/>
                <w:sz w:val="18"/>
                <w:szCs w:val="18"/>
              </w:rPr>
              <w:t xml:space="preserve"> be utilized</w:t>
            </w:r>
            <w:r w:rsidR="009874CF">
              <w:rPr>
                <w:bCs w:val="0"/>
                <w:i/>
                <w:sz w:val="18"/>
                <w:szCs w:val="18"/>
              </w:rPr>
              <w:t>.</w:t>
            </w:r>
          </w:p>
        </w:tc>
      </w:tr>
    </w:tbl>
    <w:p w14:paraId="13AF3EE2" w14:textId="450C11CF" w:rsidR="00CB3BBE" w:rsidRPr="00CB3BBE" w:rsidRDefault="00CB3BBE">
      <w:pPr>
        <w:rPr>
          <w:sz w:val="2"/>
          <w:szCs w:val="2"/>
        </w:rPr>
      </w:pPr>
      <w:r>
        <w:rPr>
          <w:sz w:val="2"/>
          <w:szCs w:val="2"/>
        </w:rPr>
        <w:t>\</w:t>
      </w:r>
    </w:p>
    <w:p w14:paraId="51FFCBF0" w14:textId="4CCBE9E4" w:rsidR="007C1CE0" w:rsidRPr="00CB3BBE" w:rsidRDefault="007C1CE0">
      <w:pPr>
        <w:rPr>
          <w:sz w:val="2"/>
          <w:szCs w:val="2"/>
        </w:rPr>
      </w:pPr>
    </w:p>
    <w:p w14:paraId="2EB68F56" w14:textId="77777777" w:rsidR="008E16D5" w:rsidRDefault="008E16D5" w:rsidP="00070D1F">
      <w:pPr>
        <w:pStyle w:val="ListParagraph"/>
        <w:numPr>
          <w:ilvl w:val="0"/>
          <w:numId w:val="331"/>
        </w:numPr>
        <w:jc w:val="both"/>
        <w:rPr>
          <w:b/>
          <w:bCs w:val="0"/>
          <w:sz w:val="18"/>
          <w:szCs w:val="18"/>
        </w:rPr>
        <w:sectPr w:rsidR="008E16D5" w:rsidSect="00073249">
          <w:headerReference w:type="even" r:id="rId48"/>
          <w:headerReference w:type="default" r:id="rId49"/>
          <w:headerReference w:type="first" r:id="rId50"/>
          <w:footerReference w:type="first" r:id="rId51"/>
          <w:pgSz w:w="11907" w:h="16840" w:code="9"/>
          <w:pgMar w:top="1701" w:right="680" w:bottom="1134" w:left="1247" w:header="851" w:footer="397" w:gutter="0"/>
          <w:cols w:space="720"/>
          <w:titlePg/>
          <w:docGrid w:linePitch="360"/>
        </w:sectPr>
      </w:pPr>
    </w:p>
    <w:tbl>
      <w:tblPr>
        <w:tblpPr w:leftFromText="180" w:rightFromText="180" w:vertAnchor="text" w:horzAnchor="margin" w:tblpX="416" w:tblpY="-13"/>
        <w:tblW w:w="9197" w:type="dxa"/>
        <w:tblLayout w:type="fixed"/>
        <w:tblLook w:val="0000" w:firstRow="0" w:lastRow="0" w:firstColumn="0" w:lastColumn="0" w:noHBand="0" w:noVBand="0"/>
      </w:tblPr>
      <w:tblGrid>
        <w:gridCol w:w="4598"/>
        <w:gridCol w:w="4599"/>
      </w:tblGrid>
      <w:tr w:rsidR="007C1CE0" w:rsidRPr="0013526B" w14:paraId="017D1826" w14:textId="77777777" w:rsidTr="002108FF">
        <w:tc>
          <w:tcPr>
            <w:tcW w:w="2500" w:type="pct"/>
            <w:tcBorders>
              <w:top w:val="nil"/>
              <w:left w:val="nil"/>
              <w:bottom w:val="nil"/>
              <w:right w:val="nil"/>
            </w:tcBorders>
          </w:tcPr>
          <w:p w14:paraId="703B2191" w14:textId="781091CE" w:rsidR="007C1CE0" w:rsidRPr="00C04C06" w:rsidRDefault="007C1CE0" w:rsidP="00070D1F">
            <w:pPr>
              <w:pStyle w:val="ListParagraph"/>
              <w:numPr>
                <w:ilvl w:val="0"/>
                <w:numId w:val="331"/>
              </w:numPr>
              <w:ind w:left="284" w:hanging="284"/>
              <w:jc w:val="both"/>
              <w:rPr>
                <w:b/>
                <w:bCs w:val="0"/>
                <w:sz w:val="18"/>
                <w:szCs w:val="18"/>
              </w:rPr>
            </w:pPr>
            <w:r w:rsidRPr="00C04C06">
              <w:rPr>
                <w:b/>
                <w:bCs w:val="0"/>
                <w:sz w:val="18"/>
                <w:szCs w:val="18"/>
              </w:rPr>
              <w:lastRenderedPageBreak/>
              <w:t xml:space="preserve">PERPAJAKAN </w:t>
            </w:r>
            <w:r w:rsidR="002E3A97">
              <w:rPr>
                <w:b/>
                <w:bCs w:val="0"/>
                <w:sz w:val="18"/>
                <w:szCs w:val="18"/>
              </w:rPr>
              <w:t>-</w:t>
            </w:r>
            <w:r w:rsidRPr="00C04C06">
              <w:rPr>
                <w:b/>
                <w:bCs w:val="0"/>
                <w:sz w:val="18"/>
                <w:szCs w:val="18"/>
              </w:rPr>
              <w:t xml:space="preserve"> Lanjutan</w:t>
            </w:r>
          </w:p>
        </w:tc>
        <w:tc>
          <w:tcPr>
            <w:tcW w:w="2500" w:type="pct"/>
            <w:tcBorders>
              <w:top w:val="nil"/>
              <w:left w:val="nil"/>
              <w:bottom w:val="nil"/>
              <w:right w:val="nil"/>
            </w:tcBorders>
          </w:tcPr>
          <w:p w14:paraId="2783AC7E" w14:textId="0A608616" w:rsidR="007C1CE0" w:rsidRPr="0013526B" w:rsidRDefault="007C1CE0" w:rsidP="00070D1F">
            <w:pPr>
              <w:numPr>
                <w:ilvl w:val="0"/>
                <w:numId w:val="332"/>
              </w:numPr>
              <w:jc w:val="both"/>
              <w:rPr>
                <w:b/>
                <w:bCs w:val="0"/>
                <w:i/>
                <w:sz w:val="18"/>
                <w:szCs w:val="18"/>
              </w:rPr>
            </w:pPr>
            <w:r w:rsidRPr="0013526B">
              <w:rPr>
                <w:b/>
                <w:bCs w:val="0"/>
                <w:i/>
                <w:sz w:val="18"/>
                <w:szCs w:val="18"/>
              </w:rPr>
              <w:t xml:space="preserve">TAXATION </w:t>
            </w:r>
            <w:r w:rsidR="001A7887">
              <w:rPr>
                <w:b/>
                <w:bCs w:val="0"/>
                <w:i/>
                <w:sz w:val="18"/>
                <w:szCs w:val="18"/>
                <w:lang w:val="en-ID"/>
              </w:rPr>
              <w:t>–</w:t>
            </w:r>
            <w:r w:rsidRPr="0013526B">
              <w:rPr>
                <w:b/>
                <w:bCs w:val="0"/>
                <w:i/>
                <w:sz w:val="18"/>
                <w:szCs w:val="18"/>
              </w:rPr>
              <w:t xml:space="preserve"> Continued</w:t>
            </w:r>
          </w:p>
        </w:tc>
      </w:tr>
    </w:tbl>
    <w:p w14:paraId="37140A06" w14:textId="77777777" w:rsidR="007C1CE0" w:rsidRPr="0028221C" w:rsidRDefault="007C1CE0" w:rsidP="007C1CE0">
      <w:pPr>
        <w:rPr>
          <w:sz w:val="14"/>
        </w:rPr>
      </w:pPr>
    </w:p>
    <w:tbl>
      <w:tblPr>
        <w:tblW w:w="9197" w:type="dxa"/>
        <w:tblInd w:w="434" w:type="dxa"/>
        <w:tblLayout w:type="fixed"/>
        <w:tblLook w:val="0000" w:firstRow="0" w:lastRow="0" w:firstColumn="0" w:lastColumn="0" w:noHBand="0" w:noVBand="0"/>
      </w:tblPr>
      <w:tblGrid>
        <w:gridCol w:w="4598"/>
        <w:gridCol w:w="4599"/>
      </w:tblGrid>
      <w:tr w:rsidR="007C1CE0" w:rsidRPr="008109D0" w14:paraId="54E5561C" w14:textId="77777777" w:rsidTr="002108FF">
        <w:tc>
          <w:tcPr>
            <w:tcW w:w="2500" w:type="pct"/>
            <w:tcBorders>
              <w:top w:val="nil"/>
              <w:left w:val="nil"/>
              <w:bottom w:val="nil"/>
              <w:right w:val="nil"/>
            </w:tcBorders>
          </w:tcPr>
          <w:p w14:paraId="16D16612" w14:textId="77777777" w:rsidR="007C1CE0" w:rsidRPr="008109D0" w:rsidRDefault="007C1CE0" w:rsidP="00070D1F">
            <w:pPr>
              <w:pStyle w:val="ListParagraph"/>
              <w:numPr>
                <w:ilvl w:val="0"/>
                <w:numId w:val="333"/>
              </w:numPr>
              <w:ind w:left="511" w:hanging="227"/>
              <w:rPr>
                <w:bCs w:val="0"/>
                <w:sz w:val="18"/>
                <w:szCs w:val="18"/>
              </w:rPr>
            </w:pPr>
            <w:r w:rsidRPr="008109D0">
              <w:rPr>
                <w:bCs w:val="0"/>
                <w:sz w:val="18"/>
                <w:szCs w:val="18"/>
              </w:rPr>
              <w:t>Pajak Tangguhan</w:t>
            </w:r>
            <w:r w:rsidRPr="008109D0">
              <w:rPr>
                <w:bCs w:val="0"/>
                <w:sz w:val="18"/>
                <w:szCs w:val="18"/>
                <w:lang w:val="id-ID"/>
              </w:rPr>
              <w:t xml:space="preserve"> </w:t>
            </w:r>
            <w:r w:rsidRPr="008109D0">
              <w:rPr>
                <w:bCs w:val="0"/>
                <w:sz w:val="18"/>
                <w:szCs w:val="18"/>
              </w:rPr>
              <w:t>-</w:t>
            </w:r>
            <w:r w:rsidRPr="008109D0">
              <w:rPr>
                <w:bCs w:val="0"/>
                <w:sz w:val="18"/>
                <w:szCs w:val="18"/>
                <w:lang w:val="id-ID"/>
              </w:rPr>
              <w:t xml:space="preserve"> Lanjutan</w:t>
            </w:r>
          </w:p>
        </w:tc>
        <w:tc>
          <w:tcPr>
            <w:tcW w:w="2500" w:type="pct"/>
            <w:tcBorders>
              <w:top w:val="nil"/>
              <w:left w:val="nil"/>
              <w:bottom w:val="nil"/>
              <w:right w:val="nil"/>
            </w:tcBorders>
          </w:tcPr>
          <w:p w14:paraId="7A456FF7" w14:textId="3362BC0D" w:rsidR="007C1CE0" w:rsidRPr="008109D0" w:rsidRDefault="007C1CE0" w:rsidP="00070D1F">
            <w:pPr>
              <w:widowControl w:val="0"/>
              <w:numPr>
                <w:ilvl w:val="0"/>
                <w:numId w:val="334"/>
              </w:numPr>
              <w:autoSpaceDE w:val="0"/>
              <w:autoSpaceDN w:val="0"/>
              <w:adjustRightInd w:val="0"/>
              <w:ind w:left="554" w:hanging="261"/>
              <w:jc w:val="both"/>
              <w:rPr>
                <w:bCs w:val="0"/>
                <w:i/>
                <w:sz w:val="18"/>
                <w:szCs w:val="18"/>
              </w:rPr>
            </w:pPr>
            <w:r w:rsidRPr="008109D0">
              <w:rPr>
                <w:bCs w:val="0"/>
                <w:i/>
                <w:sz w:val="18"/>
                <w:szCs w:val="18"/>
              </w:rPr>
              <w:t>Deferred Tax</w:t>
            </w:r>
            <w:r w:rsidRPr="008109D0">
              <w:rPr>
                <w:bCs w:val="0"/>
                <w:i/>
                <w:sz w:val="18"/>
                <w:szCs w:val="18"/>
                <w:lang w:val="id-ID"/>
              </w:rPr>
              <w:t xml:space="preserve"> </w:t>
            </w:r>
            <w:r w:rsidR="001A7887">
              <w:rPr>
                <w:bCs w:val="0"/>
                <w:i/>
                <w:sz w:val="18"/>
                <w:szCs w:val="18"/>
                <w:lang w:val="id-ID"/>
              </w:rPr>
              <w:t>–</w:t>
            </w:r>
            <w:r w:rsidRPr="008109D0">
              <w:rPr>
                <w:bCs w:val="0"/>
                <w:i/>
                <w:sz w:val="18"/>
                <w:szCs w:val="18"/>
                <w:lang w:val="id-ID"/>
              </w:rPr>
              <w:t xml:space="preserve"> Continued</w:t>
            </w:r>
          </w:p>
        </w:tc>
      </w:tr>
    </w:tbl>
    <w:p w14:paraId="7732BAF4" w14:textId="77777777" w:rsidR="007C1CE0" w:rsidRPr="008109D0" w:rsidRDefault="007C1CE0" w:rsidP="0013526B">
      <w:pPr>
        <w:rPr>
          <w:sz w:val="14"/>
          <w:szCs w:val="18"/>
        </w:rPr>
      </w:pPr>
    </w:p>
    <w:tbl>
      <w:tblPr>
        <w:tblW w:w="9197" w:type="dxa"/>
        <w:tblInd w:w="420" w:type="dxa"/>
        <w:tblCellMar>
          <w:left w:w="0" w:type="dxa"/>
          <w:right w:w="0" w:type="dxa"/>
        </w:tblCellMar>
        <w:tblLook w:val="01E0" w:firstRow="1" w:lastRow="1" w:firstColumn="1" w:lastColumn="1" w:noHBand="0" w:noVBand="0"/>
      </w:tblPr>
      <w:tblGrid>
        <w:gridCol w:w="2872"/>
        <w:gridCol w:w="1673"/>
        <w:gridCol w:w="112"/>
        <w:gridCol w:w="1680"/>
        <w:gridCol w:w="2860"/>
      </w:tblGrid>
      <w:tr w:rsidR="0028221C" w:rsidRPr="008109D0" w14:paraId="698EFBA4" w14:textId="77777777" w:rsidTr="002108FF">
        <w:trPr>
          <w:trHeight w:val="130"/>
        </w:trPr>
        <w:tc>
          <w:tcPr>
            <w:tcW w:w="2872" w:type="dxa"/>
          </w:tcPr>
          <w:p w14:paraId="3B25613D" w14:textId="77777777" w:rsidR="0028221C" w:rsidRPr="008109D0" w:rsidRDefault="0028221C" w:rsidP="00EA45C5">
            <w:pPr>
              <w:ind w:left="524"/>
              <w:rPr>
                <w:sz w:val="18"/>
                <w:szCs w:val="18"/>
              </w:rPr>
            </w:pPr>
          </w:p>
        </w:tc>
        <w:tc>
          <w:tcPr>
            <w:tcW w:w="1673" w:type="dxa"/>
            <w:tcBorders>
              <w:bottom w:val="single" w:sz="4" w:space="0" w:color="auto"/>
            </w:tcBorders>
          </w:tcPr>
          <w:p w14:paraId="241037EE" w14:textId="77777777" w:rsidR="0028221C" w:rsidRPr="008109D0" w:rsidRDefault="0028221C" w:rsidP="00EA45C5">
            <w:pPr>
              <w:jc w:val="center"/>
              <w:rPr>
                <w:b/>
                <w:sz w:val="18"/>
                <w:szCs w:val="18"/>
                <w:lang w:val="id-ID"/>
              </w:rPr>
            </w:pPr>
            <w:r w:rsidRPr="008109D0">
              <w:rPr>
                <w:b/>
                <w:sz w:val="18"/>
                <w:szCs w:val="18"/>
              </w:rPr>
              <w:t>2019</w:t>
            </w:r>
          </w:p>
        </w:tc>
        <w:tc>
          <w:tcPr>
            <w:tcW w:w="112" w:type="dxa"/>
          </w:tcPr>
          <w:p w14:paraId="1D3E65FA" w14:textId="77777777" w:rsidR="0028221C" w:rsidRPr="008109D0" w:rsidRDefault="0028221C" w:rsidP="00EA45C5">
            <w:pPr>
              <w:rPr>
                <w:b/>
                <w:sz w:val="18"/>
                <w:szCs w:val="18"/>
              </w:rPr>
            </w:pPr>
          </w:p>
        </w:tc>
        <w:tc>
          <w:tcPr>
            <w:tcW w:w="1680" w:type="dxa"/>
            <w:tcBorders>
              <w:bottom w:val="single" w:sz="4" w:space="0" w:color="auto"/>
            </w:tcBorders>
          </w:tcPr>
          <w:p w14:paraId="7DDAEA5A" w14:textId="77777777" w:rsidR="0028221C" w:rsidRPr="008109D0" w:rsidRDefault="0028221C" w:rsidP="00EA45C5">
            <w:pPr>
              <w:jc w:val="center"/>
              <w:rPr>
                <w:b/>
                <w:sz w:val="18"/>
                <w:szCs w:val="18"/>
              </w:rPr>
            </w:pPr>
            <w:r w:rsidRPr="008109D0">
              <w:rPr>
                <w:b/>
                <w:sz w:val="18"/>
                <w:szCs w:val="18"/>
              </w:rPr>
              <w:t>2018</w:t>
            </w:r>
          </w:p>
        </w:tc>
        <w:tc>
          <w:tcPr>
            <w:tcW w:w="2860" w:type="dxa"/>
          </w:tcPr>
          <w:p w14:paraId="525D8A49" w14:textId="77777777" w:rsidR="0028221C" w:rsidRPr="008109D0" w:rsidRDefault="0028221C" w:rsidP="00EA45C5">
            <w:pPr>
              <w:ind w:right="34"/>
              <w:jc w:val="right"/>
              <w:rPr>
                <w:i/>
                <w:sz w:val="18"/>
                <w:szCs w:val="18"/>
              </w:rPr>
            </w:pPr>
          </w:p>
        </w:tc>
      </w:tr>
      <w:tr w:rsidR="0028221C" w:rsidRPr="008109D0" w14:paraId="4B27FCBD" w14:textId="77777777" w:rsidTr="002108FF">
        <w:trPr>
          <w:trHeight w:val="20"/>
        </w:trPr>
        <w:tc>
          <w:tcPr>
            <w:tcW w:w="2872" w:type="dxa"/>
          </w:tcPr>
          <w:p w14:paraId="2D58BCB6" w14:textId="77777777" w:rsidR="0028221C" w:rsidRPr="008109D0" w:rsidRDefault="0028221C" w:rsidP="00EA45C5">
            <w:pPr>
              <w:ind w:left="524"/>
              <w:rPr>
                <w:sz w:val="12"/>
                <w:szCs w:val="14"/>
              </w:rPr>
            </w:pPr>
          </w:p>
        </w:tc>
        <w:tc>
          <w:tcPr>
            <w:tcW w:w="1673" w:type="dxa"/>
            <w:tcBorders>
              <w:top w:val="single" w:sz="4" w:space="0" w:color="auto"/>
            </w:tcBorders>
          </w:tcPr>
          <w:p w14:paraId="404C6ECE" w14:textId="77777777" w:rsidR="0028221C" w:rsidRPr="008109D0" w:rsidRDefault="0028221C" w:rsidP="00EA45C5">
            <w:pPr>
              <w:ind w:left="28" w:right="28"/>
              <w:jc w:val="right"/>
              <w:rPr>
                <w:sz w:val="12"/>
                <w:szCs w:val="14"/>
              </w:rPr>
            </w:pPr>
          </w:p>
        </w:tc>
        <w:tc>
          <w:tcPr>
            <w:tcW w:w="112" w:type="dxa"/>
          </w:tcPr>
          <w:p w14:paraId="4F43A2C3" w14:textId="77777777" w:rsidR="0028221C" w:rsidRPr="008109D0" w:rsidRDefault="0028221C" w:rsidP="00EA45C5">
            <w:pPr>
              <w:ind w:left="28" w:right="28"/>
              <w:jc w:val="right"/>
              <w:rPr>
                <w:sz w:val="12"/>
                <w:szCs w:val="14"/>
              </w:rPr>
            </w:pPr>
          </w:p>
        </w:tc>
        <w:tc>
          <w:tcPr>
            <w:tcW w:w="1680" w:type="dxa"/>
            <w:tcBorders>
              <w:top w:val="single" w:sz="4" w:space="0" w:color="auto"/>
            </w:tcBorders>
          </w:tcPr>
          <w:p w14:paraId="70C7E914" w14:textId="77777777" w:rsidR="0028221C" w:rsidRPr="008109D0" w:rsidRDefault="0028221C" w:rsidP="00EA45C5">
            <w:pPr>
              <w:ind w:left="28" w:right="28"/>
              <w:jc w:val="right"/>
              <w:rPr>
                <w:sz w:val="12"/>
                <w:szCs w:val="14"/>
              </w:rPr>
            </w:pPr>
          </w:p>
        </w:tc>
        <w:tc>
          <w:tcPr>
            <w:tcW w:w="2860" w:type="dxa"/>
          </w:tcPr>
          <w:p w14:paraId="4045A717" w14:textId="77777777" w:rsidR="0028221C" w:rsidRPr="008109D0" w:rsidRDefault="0028221C" w:rsidP="00EA45C5">
            <w:pPr>
              <w:ind w:right="57"/>
              <w:jc w:val="right"/>
              <w:rPr>
                <w:i/>
                <w:sz w:val="12"/>
                <w:szCs w:val="14"/>
              </w:rPr>
            </w:pPr>
          </w:p>
        </w:tc>
      </w:tr>
      <w:tr w:rsidR="0095695D" w:rsidRPr="008109D0" w14:paraId="548C578F" w14:textId="77777777" w:rsidTr="002108FF">
        <w:trPr>
          <w:trHeight w:val="20"/>
        </w:trPr>
        <w:tc>
          <w:tcPr>
            <w:tcW w:w="2872" w:type="dxa"/>
          </w:tcPr>
          <w:p w14:paraId="5817C144" w14:textId="77777777" w:rsidR="0095695D" w:rsidRPr="008109D0" w:rsidRDefault="0095695D" w:rsidP="0095695D">
            <w:pPr>
              <w:ind w:left="794" w:hanging="207"/>
              <w:rPr>
                <w:sz w:val="18"/>
                <w:szCs w:val="18"/>
              </w:rPr>
            </w:pPr>
            <w:r w:rsidRPr="008109D0">
              <w:rPr>
                <w:sz w:val="18"/>
                <w:szCs w:val="18"/>
              </w:rPr>
              <w:t>Rugi sebelum pajak penghasilan menurut laba rugi komprehensif konsolidasian</w:t>
            </w:r>
          </w:p>
        </w:tc>
        <w:tc>
          <w:tcPr>
            <w:tcW w:w="1673" w:type="dxa"/>
            <w:shd w:val="clear" w:color="auto" w:fill="auto"/>
            <w:vAlign w:val="bottom"/>
          </w:tcPr>
          <w:p w14:paraId="225E290B" w14:textId="78E42C29" w:rsidR="0095695D" w:rsidRPr="008109D0" w:rsidRDefault="0095695D" w:rsidP="0095695D">
            <w:pPr>
              <w:ind w:right="57"/>
              <w:jc w:val="right"/>
              <w:rPr>
                <w:bCs w:val="0"/>
                <w:sz w:val="18"/>
                <w:szCs w:val="18"/>
                <w:lang w:val="id-ID"/>
              </w:rPr>
            </w:pPr>
            <w:r w:rsidRPr="008109D0">
              <w:rPr>
                <w:bCs w:val="0"/>
                <w:sz w:val="18"/>
                <w:szCs w:val="18"/>
              </w:rPr>
              <w:t>(66.323.056.623)</w:t>
            </w:r>
          </w:p>
        </w:tc>
        <w:tc>
          <w:tcPr>
            <w:tcW w:w="112" w:type="dxa"/>
            <w:vAlign w:val="bottom"/>
          </w:tcPr>
          <w:p w14:paraId="11594E96" w14:textId="77777777" w:rsidR="0095695D" w:rsidRPr="008109D0" w:rsidRDefault="0095695D" w:rsidP="0095695D">
            <w:pPr>
              <w:ind w:left="318" w:right="57"/>
              <w:jc w:val="right"/>
              <w:rPr>
                <w:sz w:val="18"/>
                <w:szCs w:val="18"/>
              </w:rPr>
            </w:pPr>
          </w:p>
        </w:tc>
        <w:tc>
          <w:tcPr>
            <w:tcW w:w="1680" w:type="dxa"/>
            <w:vAlign w:val="bottom"/>
          </w:tcPr>
          <w:p w14:paraId="2A287DD3" w14:textId="55E46E8B" w:rsidR="0095695D" w:rsidRPr="008109D0" w:rsidRDefault="0095695D" w:rsidP="0095695D">
            <w:pPr>
              <w:ind w:right="57"/>
              <w:jc w:val="right"/>
              <w:rPr>
                <w:sz w:val="18"/>
                <w:szCs w:val="18"/>
              </w:rPr>
            </w:pPr>
            <w:r w:rsidRPr="008109D0">
              <w:rPr>
                <w:sz w:val="18"/>
                <w:szCs w:val="18"/>
              </w:rPr>
              <w:t>(96.978.233.988)</w:t>
            </w:r>
          </w:p>
        </w:tc>
        <w:tc>
          <w:tcPr>
            <w:tcW w:w="2860" w:type="dxa"/>
            <w:vAlign w:val="bottom"/>
          </w:tcPr>
          <w:p w14:paraId="372526D3" w14:textId="77777777" w:rsidR="0095695D" w:rsidRPr="008109D0" w:rsidRDefault="0095695D" w:rsidP="0095695D">
            <w:pPr>
              <w:numPr>
                <w:ilvl w:val="12"/>
                <w:numId w:val="0"/>
              </w:numPr>
              <w:jc w:val="right"/>
              <w:rPr>
                <w:i/>
                <w:sz w:val="18"/>
                <w:szCs w:val="18"/>
              </w:rPr>
            </w:pPr>
            <w:r w:rsidRPr="008109D0">
              <w:rPr>
                <w:i/>
                <w:sz w:val="18"/>
                <w:szCs w:val="18"/>
              </w:rPr>
              <w:t>Loss before income tax expense per</w:t>
            </w:r>
          </w:p>
          <w:p w14:paraId="6E6FDD5E" w14:textId="09C073BF" w:rsidR="0095695D" w:rsidRPr="008109D0" w:rsidRDefault="0095695D" w:rsidP="0095695D">
            <w:pPr>
              <w:numPr>
                <w:ilvl w:val="12"/>
                <w:numId w:val="0"/>
              </w:numPr>
              <w:ind w:right="170"/>
              <w:jc w:val="right"/>
              <w:rPr>
                <w:i/>
                <w:sz w:val="18"/>
                <w:szCs w:val="18"/>
              </w:rPr>
            </w:pPr>
            <w:r w:rsidRPr="008109D0">
              <w:rPr>
                <w:i/>
                <w:sz w:val="18"/>
                <w:szCs w:val="18"/>
              </w:rPr>
              <w:t>consolidated statement of profit or loss</w:t>
            </w:r>
          </w:p>
        </w:tc>
      </w:tr>
      <w:tr w:rsidR="0095695D" w:rsidRPr="008109D0" w14:paraId="730214C4" w14:textId="77777777" w:rsidTr="002108FF">
        <w:trPr>
          <w:trHeight w:val="20"/>
        </w:trPr>
        <w:tc>
          <w:tcPr>
            <w:tcW w:w="2872" w:type="dxa"/>
          </w:tcPr>
          <w:p w14:paraId="2707DEE5" w14:textId="77777777" w:rsidR="0095695D" w:rsidRPr="008109D0" w:rsidRDefault="0095695D" w:rsidP="0095695D">
            <w:pPr>
              <w:ind w:left="794" w:hanging="207"/>
              <w:rPr>
                <w:sz w:val="18"/>
                <w:szCs w:val="18"/>
              </w:rPr>
            </w:pPr>
            <w:r w:rsidRPr="008109D0">
              <w:rPr>
                <w:sz w:val="18"/>
                <w:szCs w:val="18"/>
              </w:rPr>
              <w:t>Dikurangi rugi sebelumnya pajak penghasilan entitas anak yang dikonsolidasi</w:t>
            </w:r>
          </w:p>
        </w:tc>
        <w:tc>
          <w:tcPr>
            <w:tcW w:w="1673" w:type="dxa"/>
            <w:shd w:val="clear" w:color="auto" w:fill="auto"/>
            <w:vAlign w:val="bottom"/>
          </w:tcPr>
          <w:p w14:paraId="73FEB7C7" w14:textId="7C030F61" w:rsidR="0095695D" w:rsidRPr="008109D0" w:rsidRDefault="0095695D" w:rsidP="0095695D">
            <w:pPr>
              <w:ind w:right="57"/>
              <w:jc w:val="right"/>
              <w:rPr>
                <w:sz w:val="18"/>
                <w:szCs w:val="18"/>
              </w:rPr>
            </w:pPr>
            <w:r w:rsidRPr="008109D0">
              <w:rPr>
                <w:sz w:val="18"/>
                <w:szCs w:val="18"/>
              </w:rPr>
              <w:t>(56.184.438.224)</w:t>
            </w:r>
          </w:p>
        </w:tc>
        <w:tc>
          <w:tcPr>
            <w:tcW w:w="112" w:type="dxa"/>
            <w:vAlign w:val="bottom"/>
          </w:tcPr>
          <w:p w14:paraId="0DDD3D2A" w14:textId="77777777" w:rsidR="0095695D" w:rsidRPr="008109D0" w:rsidRDefault="0095695D" w:rsidP="0095695D">
            <w:pPr>
              <w:ind w:left="318" w:right="57"/>
              <w:jc w:val="right"/>
              <w:rPr>
                <w:sz w:val="18"/>
                <w:szCs w:val="18"/>
              </w:rPr>
            </w:pPr>
          </w:p>
        </w:tc>
        <w:tc>
          <w:tcPr>
            <w:tcW w:w="1680" w:type="dxa"/>
            <w:tcBorders>
              <w:bottom w:val="single" w:sz="4" w:space="0" w:color="auto"/>
            </w:tcBorders>
            <w:vAlign w:val="bottom"/>
          </w:tcPr>
          <w:p w14:paraId="7B802F13" w14:textId="38E8B04D" w:rsidR="0095695D" w:rsidRPr="008109D0" w:rsidRDefault="0095695D" w:rsidP="0095695D">
            <w:pPr>
              <w:ind w:right="57"/>
              <w:jc w:val="right"/>
              <w:rPr>
                <w:sz w:val="18"/>
                <w:szCs w:val="18"/>
              </w:rPr>
            </w:pPr>
            <w:r w:rsidRPr="008109D0">
              <w:rPr>
                <w:sz w:val="18"/>
                <w:szCs w:val="18"/>
              </w:rPr>
              <w:t>(88.098.128.492)</w:t>
            </w:r>
          </w:p>
        </w:tc>
        <w:tc>
          <w:tcPr>
            <w:tcW w:w="2860" w:type="dxa"/>
            <w:vAlign w:val="bottom"/>
          </w:tcPr>
          <w:p w14:paraId="320F9546" w14:textId="77777777" w:rsidR="0095695D" w:rsidRPr="008109D0" w:rsidRDefault="0095695D" w:rsidP="0095695D">
            <w:pPr>
              <w:numPr>
                <w:ilvl w:val="12"/>
                <w:numId w:val="0"/>
              </w:numPr>
              <w:jc w:val="right"/>
              <w:rPr>
                <w:i/>
                <w:sz w:val="18"/>
                <w:szCs w:val="18"/>
              </w:rPr>
            </w:pPr>
            <w:r w:rsidRPr="008109D0">
              <w:rPr>
                <w:i/>
                <w:sz w:val="18"/>
                <w:szCs w:val="18"/>
              </w:rPr>
              <w:t>Deducted by loss before tax of the</w:t>
            </w:r>
          </w:p>
          <w:p w14:paraId="7F9ADC4B" w14:textId="5334F7B4" w:rsidR="0095695D" w:rsidRPr="008109D0" w:rsidRDefault="0095695D" w:rsidP="0095695D">
            <w:pPr>
              <w:numPr>
                <w:ilvl w:val="12"/>
                <w:numId w:val="0"/>
              </w:numPr>
              <w:ind w:right="170"/>
              <w:jc w:val="right"/>
              <w:rPr>
                <w:i/>
                <w:sz w:val="18"/>
                <w:szCs w:val="18"/>
              </w:rPr>
            </w:pPr>
            <w:r w:rsidRPr="008109D0">
              <w:rPr>
                <w:i/>
                <w:sz w:val="18"/>
                <w:szCs w:val="18"/>
              </w:rPr>
              <w:t xml:space="preserve">consolidated subsidiaries  </w:t>
            </w:r>
          </w:p>
        </w:tc>
      </w:tr>
      <w:tr w:rsidR="0095695D" w:rsidRPr="008109D0" w14:paraId="758FEC6A" w14:textId="77777777" w:rsidTr="002108FF">
        <w:trPr>
          <w:trHeight w:val="20"/>
        </w:trPr>
        <w:tc>
          <w:tcPr>
            <w:tcW w:w="2872" w:type="dxa"/>
          </w:tcPr>
          <w:p w14:paraId="31E39638" w14:textId="77777777" w:rsidR="0095695D" w:rsidRPr="008109D0" w:rsidRDefault="0095695D" w:rsidP="0095695D">
            <w:pPr>
              <w:ind w:left="575" w:hanging="142"/>
              <w:rPr>
                <w:sz w:val="12"/>
                <w:szCs w:val="14"/>
              </w:rPr>
            </w:pPr>
          </w:p>
        </w:tc>
        <w:tc>
          <w:tcPr>
            <w:tcW w:w="1673" w:type="dxa"/>
            <w:tcBorders>
              <w:top w:val="single" w:sz="4" w:space="0" w:color="auto"/>
            </w:tcBorders>
            <w:shd w:val="clear" w:color="auto" w:fill="auto"/>
            <w:vAlign w:val="bottom"/>
          </w:tcPr>
          <w:p w14:paraId="0306B54B" w14:textId="77777777" w:rsidR="0095695D" w:rsidRPr="008109D0" w:rsidRDefault="0095695D" w:rsidP="0095695D">
            <w:pPr>
              <w:ind w:right="57"/>
              <w:jc w:val="right"/>
              <w:rPr>
                <w:sz w:val="12"/>
                <w:szCs w:val="14"/>
              </w:rPr>
            </w:pPr>
          </w:p>
        </w:tc>
        <w:tc>
          <w:tcPr>
            <w:tcW w:w="112" w:type="dxa"/>
            <w:vAlign w:val="bottom"/>
          </w:tcPr>
          <w:p w14:paraId="3365B4A5" w14:textId="77777777" w:rsidR="0095695D" w:rsidRPr="008109D0" w:rsidRDefault="0095695D" w:rsidP="0095695D">
            <w:pPr>
              <w:ind w:left="318" w:right="57"/>
              <w:jc w:val="right"/>
              <w:rPr>
                <w:sz w:val="12"/>
                <w:szCs w:val="14"/>
              </w:rPr>
            </w:pPr>
          </w:p>
        </w:tc>
        <w:tc>
          <w:tcPr>
            <w:tcW w:w="1680" w:type="dxa"/>
            <w:tcBorders>
              <w:top w:val="single" w:sz="4" w:space="0" w:color="auto"/>
            </w:tcBorders>
            <w:vAlign w:val="bottom"/>
          </w:tcPr>
          <w:p w14:paraId="5FCFF2D6" w14:textId="77777777" w:rsidR="0095695D" w:rsidRPr="008109D0" w:rsidRDefault="0095695D" w:rsidP="0095695D">
            <w:pPr>
              <w:ind w:right="57"/>
              <w:jc w:val="right"/>
              <w:rPr>
                <w:sz w:val="18"/>
                <w:szCs w:val="18"/>
              </w:rPr>
            </w:pPr>
          </w:p>
        </w:tc>
        <w:tc>
          <w:tcPr>
            <w:tcW w:w="2860" w:type="dxa"/>
            <w:vAlign w:val="bottom"/>
          </w:tcPr>
          <w:p w14:paraId="47A3E4DE" w14:textId="77777777" w:rsidR="0095695D" w:rsidRPr="008109D0" w:rsidRDefault="0095695D" w:rsidP="0095695D">
            <w:pPr>
              <w:numPr>
                <w:ilvl w:val="12"/>
                <w:numId w:val="0"/>
              </w:numPr>
              <w:jc w:val="right"/>
              <w:rPr>
                <w:i/>
                <w:sz w:val="12"/>
                <w:szCs w:val="14"/>
              </w:rPr>
            </w:pPr>
          </w:p>
        </w:tc>
      </w:tr>
      <w:tr w:rsidR="0095695D" w:rsidRPr="008109D0" w14:paraId="47E8514F" w14:textId="77777777" w:rsidTr="002108FF">
        <w:trPr>
          <w:trHeight w:val="20"/>
        </w:trPr>
        <w:tc>
          <w:tcPr>
            <w:tcW w:w="2872" w:type="dxa"/>
          </w:tcPr>
          <w:p w14:paraId="2D6DA18F" w14:textId="77777777" w:rsidR="0095695D" w:rsidRPr="008109D0" w:rsidRDefault="0095695D" w:rsidP="0095695D">
            <w:pPr>
              <w:ind w:left="794" w:hanging="207"/>
              <w:rPr>
                <w:sz w:val="18"/>
                <w:szCs w:val="18"/>
              </w:rPr>
            </w:pPr>
            <w:r w:rsidRPr="008109D0">
              <w:rPr>
                <w:sz w:val="18"/>
                <w:szCs w:val="18"/>
              </w:rPr>
              <w:t>Rugi sebelum pajak perusahaan</w:t>
            </w:r>
          </w:p>
        </w:tc>
        <w:tc>
          <w:tcPr>
            <w:tcW w:w="1673" w:type="dxa"/>
            <w:tcBorders>
              <w:bottom w:val="single" w:sz="4" w:space="0" w:color="auto"/>
            </w:tcBorders>
            <w:shd w:val="clear" w:color="auto" w:fill="auto"/>
            <w:vAlign w:val="bottom"/>
          </w:tcPr>
          <w:p w14:paraId="61DBB8F3" w14:textId="58D210B2" w:rsidR="0095695D" w:rsidRPr="008109D0" w:rsidRDefault="0095695D" w:rsidP="0095695D">
            <w:pPr>
              <w:ind w:right="57"/>
              <w:jc w:val="right"/>
              <w:rPr>
                <w:sz w:val="18"/>
                <w:szCs w:val="18"/>
              </w:rPr>
            </w:pPr>
            <w:r w:rsidRPr="008109D0">
              <w:rPr>
                <w:sz w:val="18"/>
                <w:szCs w:val="18"/>
              </w:rPr>
              <w:t>(10.138.618.399)</w:t>
            </w:r>
          </w:p>
        </w:tc>
        <w:tc>
          <w:tcPr>
            <w:tcW w:w="112" w:type="dxa"/>
            <w:vAlign w:val="bottom"/>
          </w:tcPr>
          <w:p w14:paraId="45531F7D" w14:textId="77777777" w:rsidR="0095695D" w:rsidRPr="008109D0" w:rsidRDefault="0095695D" w:rsidP="0095695D">
            <w:pPr>
              <w:ind w:left="318" w:right="57"/>
              <w:jc w:val="right"/>
              <w:rPr>
                <w:sz w:val="18"/>
                <w:szCs w:val="18"/>
              </w:rPr>
            </w:pPr>
          </w:p>
        </w:tc>
        <w:tc>
          <w:tcPr>
            <w:tcW w:w="1680" w:type="dxa"/>
            <w:tcBorders>
              <w:bottom w:val="single" w:sz="4" w:space="0" w:color="auto"/>
            </w:tcBorders>
            <w:vAlign w:val="bottom"/>
          </w:tcPr>
          <w:p w14:paraId="20EBD6C1" w14:textId="219FBC0A" w:rsidR="0095695D" w:rsidRPr="008109D0" w:rsidRDefault="0095695D" w:rsidP="0095695D">
            <w:pPr>
              <w:ind w:right="57"/>
              <w:jc w:val="right"/>
              <w:rPr>
                <w:sz w:val="18"/>
                <w:szCs w:val="18"/>
              </w:rPr>
            </w:pPr>
            <w:r w:rsidRPr="008109D0">
              <w:rPr>
                <w:sz w:val="18"/>
                <w:szCs w:val="18"/>
              </w:rPr>
              <w:t>(8.880.105.496)</w:t>
            </w:r>
          </w:p>
        </w:tc>
        <w:tc>
          <w:tcPr>
            <w:tcW w:w="2860" w:type="dxa"/>
            <w:vAlign w:val="bottom"/>
          </w:tcPr>
          <w:p w14:paraId="129A6383" w14:textId="77777777" w:rsidR="0095695D" w:rsidRPr="008109D0" w:rsidRDefault="0095695D" w:rsidP="0095695D">
            <w:pPr>
              <w:numPr>
                <w:ilvl w:val="12"/>
                <w:numId w:val="0"/>
              </w:numPr>
              <w:jc w:val="right"/>
              <w:rPr>
                <w:i/>
                <w:sz w:val="18"/>
                <w:szCs w:val="18"/>
              </w:rPr>
            </w:pPr>
            <w:r w:rsidRPr="008109D0">
              <w:rPr>
                <w:i/>
                <w:sz w:val="18"/>
                <w:szCs w:val="18"/>
              </w:rPr>
              <w:t>Loss before tax of the Company</w:t>
            </w:r>
          </w:p>
        </w:tc>
      </w:tr>
      <w:tr w:rsidR="000A4993" w:rsidRPr="008109D0" w14:paraId="54552B84" w14:textId="77777777" w:rsidTr="002108FF">
        <w:trPr>
          <w:trHeight w:val="20"/>
        </w:trPr>
        <w:tc>
          <w:tcPr>
            <w:tcW w:w="2872" w:type="dxa"/>
          </w:tcPr>
          <w:p w14:paraId="18EE78B7" w14:textId="77777777" w:rsidR="000A4993" w:rsidRPr="008109D0" w:rsidRDefault="000A4993" w:rsidP="000A4993">
            <w:pPr>
              <w:ind w:left="575"/>
              <w:rPr>
                <w:sz w:val="18"/>
                <w:szCs w:val="18"/>
              </w:rPr>
            </w:pPr>
          </w:p>
        </w:tc>
        <w:tc>
          <w:tcPr>
            <w:tcW w:w="1673" w:type="dxa"/>
            <w:tcBorders>
              <w:top w:val="single" w:sz="4" w:space="0" w:color="auto"/>
            </w:tcBorders>
            <w:shd w:val="clear" w:color="auto" w:fill="auto"/>
            <w:vAlign w:val="bottom"/>
          </w:tcPr>
          <w:p w14:paraId="0F99C885" w14:textId="77777777" w:rsidR="000A4993" w:rsidRPr="008109D0" w:rsidRDefault="000A4993" w:rsidP="000A4993">
            <w:pPr>
              <w:ind w:right="57"/>
              <w:jc w:val="right"/>
              <w:rPr>
                <w:sz w:val="18"/>
                <w:szCs w:val="18"/>
              </w:rPr>
            </w:pPr>
          </w:p>
        </w:tc>
        <w:tc>
          <w:tcPr>
            <w:tcW w:w="112" w:type="dxa"/>
            <w:vAlign w:val="bottom"/>
          </w:tcPr>
          <w:p w14:paraId="19AE5E1A" w14:textId="77777777" w:rsidR="000A4993" w:rsidRPr="008109D0" w:rsidRDefault="000A4993" w:rsidP="000A4993">
            <w:pPr>
              <w:ind w:left="318" w:right="57"/>
              <w:jc w:val="right"/>
              <w:rPr>
                <w:sz w:val="18"/>
                <w:szCs w:val="18"/>
              </w:rPr>
            </w:pPr>
          </w:p>
        </w:tc>
        <w:tc>
          <w:tcPr>
            <w:tcW w:w="1680" w:type="dxa"/>
            <w:tcBorders>
              <w:top w:val="single" w:sz="4" w:space="0" w:color="auto"/>
            </w:tcBorders>
            <w:vAlign w:val="bottom"/>
          </w:tcPr>
          <w:p w14:paraId="515CBF5F" w14:textId="77777777" w:rsidR="000A4993" w:rsidRPr="008109D0" w:rsidRDefault="000A4993" w:rsidP="000A4993">
            <w:pPr>
              <w:ind w:right="57"/>
              <w:jc w:val="right"/>
              <w:rPr>
                <w:sz w:val="18"/>
                <w:szCs w:val="18"/>
              </w:rPr>
            </w:pPr>
          </w:p>
        </w:tc>
        <w:tc>
          <w:tcPr>
            <w:tcW w:w="2860" w:type="dxa"/>
            <w:vAlign w:val="bottom"/>
          </w:tcPr>
          <w:p w14:paraId="6E2674A1" w14:textId="77777777" w:rsidR="000A4993" w:rsidRPr="008109D0" w:rsidRDefault="000A4993" w:rsidP="000A4993">
            <w:pPr>
              <w:numPr>
                <w:ilvl w:val="12"/>
                <w:numId w:val="0"/>
              </w:numPr>
              <w:jc w:val="right"/>
              <w:rPr>
                <w:i/>
                <w:sz w:val="18"/>
                <w:szCs w:val="18"/>
              </w:rPr>
            </w:pPr>
          </w:p>
        </w:tc>
      </w:tr>
      <w:tr w:rsidR="000A4993" w:rsidRPr="008109D0" w14:paraId="1924967D" w14:textId="77777777" w:rsidTr="002108FF">
        <w:trPr>
          <w:trHeight w:val="20"/>
        </w:trPr>
        <w:tc>
          <w:tcPr>
            <w:tcW w:w="2872" w:type="dxa"/>
          </w:tcPr>
          <w:p w14:paraId="3B944D79" w14:textId="4B1AA9FD" w:rsidR="000A4993" w:rsidRPr="008109D0" w:rsidRDefault="000A4993" w:rsidP="000A4993">
            <w:pPr>
              <w:ind w:left="794" w:hanging="207"/>
              <w:rPr>
                <w:sz w:val="18"/>
                <w:szCs w:val="18"/>
              </w:rPr>
            </w:pPr>
            <w:r w:rsidRPr="008109D0">
              <w:rPr>
                <w:sz w:val="18"/>
                <w:szCs w:val="18"/>
              </w:rPr>
              <w:t>Taksiran manfaat pajak pada tarif pajak berlaku</w:t>
            </w:r>
          </w:p>
        </w:tc>
        <w:tc>
          <w:tcPr>
            <w:tcW w:w="1673" w:type="dxa"/>
            <w:shd w:val="clear" w:color="auto" w:fill="auto"/>
            <w:vAlign w:val="bottom"/>
          </w:tcPr>
          <w:p w14:paraId="436CF1CD" w14:textId="31AB80BF" w:rsidR="000A4993" w:rsidRPr="008109D0" w:rsidRDefault="0095695D" w:rsidP="000A4993">
            <w:pPr>
              <w:ind w:right="57"/>
              <w:jc w:val="right"/>
              <w:rPr>
                <w:sz w:val="18"/>
                <w:szCs w:val="18"/>
              </w:rPr>
            </w:pPr>
            <w:r w:rsidRPr="008109D0">
              <w:rPr>
                <w:sz w:val="18"/>
                <w:szCs w:val="18"/>
              </w:rPr>
              <w:t>(2.534.654.600)</w:t>
            </w:r>
          </w:p>
        </w:tc>
        <w:tc>
          <w:tcPr>
            <w:tcW w:w="112" w:type="dxa"/>
            <w:vAlign w:val="bottom"/>
          </w:tcPr>
          <w:p w14:paraId="45850CF4" w14:textId="77777777" w:rsidR="000A4993" w:rsidRPr="008109D0" w:rsidRDefault="000A4993" w:rsidP="000A4993">
            <w:pPr>
              <w:ind w:left="318" w:right="57"/>
              <w:jc w:val="right"/>
              <w:rPr>
                <w:sz w:val="18"/>
                <w:szCs w:val="18"/>
              </w:rPr>
            </w:pPr>
          </w:p>
        </w:tc>
        <w:tc>
          <w:tcPr>
            <w:tcW w:w="1680" w:type="dxa"/>
            <w:vAlign w:val="bottom"/>
          </w:tcPr>
          <w:p w14:paraId="1C4ED16C" w14:textId="271B57A4" w:rsidR="000A4993" w:rsidRPr="008109D0" w:rsidRDefault="000A4993" w:rsidP="000A4993">
            <w:pPr>
              <w:ind w:right="57"/>
              <w:jc w:val="right"/>
              <w:rPr>
                <w:sz w:val="18"/>
                <w:szCs w:val="18"/>
              </w:rPr>
            </w:pPr>
            <w:r w:rsidRPr="008109D0">
              <w:rPr>
                <w:sz w:val="18"/>
                <w:szCs w:val="18"/>
              </w:rPr>
              <w:t>(2.220.026.374)</w:t>
            </w:r>
          </w:p>
        </w:tc>
        <w:tc>
          <w:tcPr>
            <w:tcW w:w="2860" w:type="dxa"/>
            <w:vAlign w:val="bottom"/>
          </w:tcPr>
          <w:p w14:paraId="72A7E42C" w14:textId="77777777" w:rsidR="000A4993" w:rsidRPr="008109D0" w:rsidRDefault="000A4993" w:rsidP="000A4993">
            <w:pPr>
              <w:numPr>
                <w:ilvl w:val="12"/>
                <w:numId w:val="0"/>
              </w:numPr>
              <w:jc w:val="right"/>
              <w:rPr>
                <w:i/>
                <w:sz w:val="18"/>
                <w:szCs w:val="18"/>
              </w:rPr>
            </w:pPr>
            <w:r w:rsidRPr="008109D0">
              <w:rPr>
                <w:i/>
                <w:sz w:val="18"/>
                <w:szCs w:val="18"/>
              </w:rPr>
              <w:t xml:space="preserve">Estimated tax benefit at </w:t>
            </w:r>
          </w:p>
          <w:p w14:paraId="16C4DB7A" w14:textId="13746087" w:rsidR="000A4993" w:rsidRPr="008109D0" w:rsidRDefault="000A4993" w:rsidP="000A4993">
            <w:pPr>
              <w:numPr>
                <w:ilvl w:val="12"/>
                <w:numId w:val="0"/>
              </w:numPr>
              <w:ind w:right="170"/>
              <w:jc w:val="right"/>
              <w:rPr>
                <w:i/>
                <w:sz w:val="18"/>
                <w:szCs w:val="18"/>
              </w:rPr>
            </w:pPr>
            <w:r w:rsidRPr="008109D0">
              <w:rPr>
                <w:i/>
                <w:sz w:val="18"/>
                <w:szCs w:val="18"/>
              </w:rPr>
              <w:t>enacted tax rate</w:t>
            </w:r>
          </w:p>
        </w:tc>
      </w:tr>
      <w:tr w:rsidR="000A4993" w:rsidRPr="008109D0" w14:paraId="0A0FC23C" w14:textId="77777777" w:rsidTr="002108FF">
        <w:trPr>
          <w:trHeight w:val="20"/>
        </w:trPr>
        <w:tc>
          <w:tcPr>
            <w:tcW w:w="2872" w:type="dxa"/>
          </w:tcPr>
          <w:p w14:paraId="11EC37F7" w14:textId="77777777" w:rsidR="000A4993" w:rsidRPr="008109D0" w:rsidRDefault="000A4993" w:rsidP="000A4993">
            <w:pPr>
              <w:ind w:left="284"/>
              <w:rPr>
                <w:sz w:val="18"/>
                <w:szCs w:val="18"/>
              </w:rPr>
            </w:pPr>
          </w:p>
        </w:tc>
        <w:tc>
          <w:tcPr>
            <w:tcW w:w="1673" w:type="dxa"/>
            <w:shd w:val="clear" w:color="auto" w:fill="auto"/>
            <w:vAlign w:val="bottom"/>
          </w:tcPr>
          <w:p w14:paraId="2E2BC012" w14:textId="77777777" w:rsidR="000A4993" w:rsidRPr="008109D0" w:rsidRDefault="000A4993" w:rsidP="000A4993">
            <w:pPr>
              <w:ind w:right="57"/>
              <w:jc w:val="right"/>
              <w:rPr>
                <w:sz w:val="18"/>
                <w:szCs w:val="18"/>
              </w:rPr>
            </w:pPr>
          </w:p>
        </w:tc>
        <w:tc>
          <w:tcPr>
            <w:tcW w:w="112" w:type="dxa"/>
            <w:vAlign w:val="bottom"/>
          </w:tcPr>
          <w:p w14:paraId="5F743500" w14:textId="77777777" w:rsidR="000A4993" w:rsidRPr="008109D0" w:rsidRDefault="000A4993" w:rsidP="000A4993">
            <w:pPr>
              <w:ind w:left="318" w:right="57"/>
              <w:jc w:val="right"/>
              <w:rPr>
                <w:sz w:val="18"/>
                <w:szCs w:val="18"/>
              </w:rPr>
            </w:pPr>
          </w:p>
        </w:tc>
        <w:tc>
          <w:tcPr>
            <w:tcW w:w="1680" w:type="dxa"/>
            <w:vAlign w:val="bottom"/>
          </w:tcPr>
          <w:p w14:paraId="08221F43" w14:textId="77777777" w:rsidR="000A4993" w:rsidRPr="008109D0" w:rsidRDefault="000A4993" w:rsidP="000A4993">
            <w:pPr>
              <w:ind w:right="57"/>
              <w:jc w:val="right"/>
              <w:rPr>
                <w:sz w:val="18"/>
                <w:szCs w:val="18"/>
              </w:rPr>
            </w:pPr>
          </w:p>
        </w:tc>
        <w:tc>
          <w:tcPr>
            <w:tcW w:w="2860" w:type="dxa"/>
            <w:vAlign w:val="bottom"/>
          </w:tcPr>
          <w:p w14:paraId="20161426" w14:textId="77777777" w:rsidR="000A4993" w:rsidRPr="008109D0" w:rsidRDefault="000A4993" w:rsidP="000A4993">
            <w:pPr>
              <w:numPr>
                <w:ilvl w:val="12"/>
                <w:numId w:val="0"/>
              </w:numPr>
              <w:jc w:val="right"/>
              <w:rPr>
                <w:i/>
                <w:sz w:val="18"/>
                <w:szCs w:val="18"/>
              </w:rPr>
            </w:pPr>
          </w:p>
        </w:tc>
      </w:tr>
      <w:tr w:rsidR="000A4993" w:rsidRPr="008109D0" w14:paraId="08D6E19C" w14:textId="77777777" w:rsidTr="002108FF">
        <w:trPr>
          <w:trHeight w:val="20"/>
        </w:trPr>
        <w:tc>
          <w:tcPr>
            <w:tcW w:w="2872" w:type="dxa"/>
          </w:tcPr>
          <w:p w14:paraId="2F4DB48E" w14:textId="77777777" w:rsidR="000A4993" w:rsidRPr="008109D0" w:rsidRDefault="000A4993" w:rsidP="000A4993">
            <w:pPr>
              <w:ind w:left="794" w:hanging="207"/>
              <w:rPr>
                <w:sz w:val="18"/>
                <w:szCs w:val="18"/>
              </w:rPr>
            </w:pPr>
            <w:r w:rsidRPr="008109D0">
              <w:rPr>
                <w:sz w:val="18"/>
                <w:szCs w:val="18"/>
              </w:rPr>
              <w:t>Beda tetap:</w:t>
            </w:r>
          </w:p>
        </w:tc>
        <w:tc>
          <w:tcPr>
            <w:tcW w:w="1673" w:type="dxa"/>
            <w:shd w:val="clear" w:color="auto" w:fill="auto"/>
            <w:vAlign w:val="bottom"/>
          </w:tcPr>
          <w:p w14:paraId="53146D72" w14:textId="77777777" w:rsidR="000A4993" w:rsidRPr="008109D0" w:rsidRDefault="000A4993" w:rsidP="000A4993">
            <w:pPr>
              <w:ind w:right="57"/>
              <w:jc w:val="right"/>
              <w:rPr>
                <w:sz w:val="18"/>
                <w:szCs w:val="18"/>
              </w:rPr>
            </w:pPr>
          </w:p>
        </w:tc>
        <w:tc>
          <w:tcPr>
            <w:tcW w:w="112" w:type="dxa"/>
            <w:vAlign w:val="bottom"/>
          </w:tcPr>
          <w:p w14:paraId="51B7A1A7" w14:textId="77777777" w:rsidR="000A4993" w:rsidRPr="008109D0" w:rsidRDefault="000A4993" w:rsidP="000A4993">
            <w:pPr>
              <w:ind w:left="318" w:right="57"/>
              <w:jc w:val="right"/>
              <w:rPr>
                <w:sz w:val="18"/>
                <w:szCs w:val="18"/>
              </w:rPr>
            </w:pPr>
          </w:p>
        </w:tc>
        <w:tc>
          <w:tcPr>
            <w:tcW w:w="1680" w:type="dxa"/>
            <w:vAlign w:val="bottom"/>
          </w:tcPr>
          <w:p w14:paraId="0CC16B72" w14:textId="77777777" w:rsidR="000A4993" w:rsidRPr="008109D0" w:rsidRDefault="000A4993" w:rsidP="000A4993">
            <w:pPr>
              <w:ind w:right="57"/>
              <w:jc w:val="right"/>
              <w:rPr>
                <w:sz w:val="18"/>
                <w:szCs w:val="18"/>
              </w:rPr>
            </w:pPr>
          </w:p>
        </w:tc>
        <w:tc>
          <w:tcPr>
            <w:tcW w:w="2860" w:type="dxa"/>
            <w:vAlign w:val="bottom"/>
          </w:tcPr>
          <w:p w14:paraId="7343BDD7" w14:textId="77777777" w:rsidR="000A4993" w:rsidRPr="008109D0" w:rsidRDefault="000A4993" w:rsidP="000A4993">
            <w:pPr>
              <w:numPr>
                <w:ilvl w:val="12"/>
                <w:numId w:val="0"/>
              </w:numPr>
              <w:jc w:val="right"/>
              <w:rPr>
                <w:i/>
                <w:sz w:val="18"/>
                <w:szCs w:val="18"/>
              </w:rPr>
            </w:pPr>
            <w:r w:rsidRPr="008109D0">
              <w:rPr>
                <w:i/>
                <w:sz w:val="18"/>
                <w:szCs w:val="18"/>
              </w:rPr>
              <w:t>Permanent differences:</w:t>
            </w:r>
          </w:p>
        </w:tc>
      </w:tr>
      <w:tr w:rsidR="000A4993" w:rsidRPr="008109D0" w14:paraId="56A37C7C" w14:textId="77777777" w:rsidTr="002108FF">
        <w:trPr>
          <w:trHeight w:val="20"/>
        </w:trPr>
        <w:tc>
          <w:tcPr>
            <w:tcW w:w="2872" w:type="dxa"/>
          </w:tcPr>
          <w:p w14:paraId="3699E4EE" w14:textId="77777777" w:rsidR="000A4993" w:rsidRPr="008109D0" w:rsidRDefault="000A4993" w:rsidP="000A4993">
            <w:pPr>
              <w:ind w:left="794" w:hanging="207"/>
              <w:rPr>
                <w:sz w:val="18"/>
                <w:szCs w:val="18"/>
              </w:rPr>
            </w:pPr>
            <w:r w:rsidRPr="008109D0">
              <w:rPr>
                <w:sz w:val="18"/>
                <w:szCs w:val="18"/>
              </w:rPr>
              <w:t>Beban yang tidak diperkenankan:</w:t>
            </w:r>
          </w:p>
        </w:tc>
        <w:tc>
          <w:tcPr>
            <w:tcW w:w="1673" w:type="dxa"/>
            <w:shd w:val="clear" w:color="auto" w:fill="auto"/>
            <w:vAlign w:val="bottom"/>
          </w:tcPr>
          <w:p w14:paraId="48F04E56" w14:textId="77777777" w:rsidR="000A4993" w:rsidRPr="008109D0" w:rsidRDefault="000A4993" w:rsidP="000A4993">
            <w:pPr>
              <w:ind w:right="57"/>
              <w:jc w:val="right"/>
              <w:rPr>
                <w:sz w:val="18"/>
                <w:szCs w:val="18"/>
              </w:rPr>
            </w:pPr>
          </w:p>
        </w:tc>
        <w:tc>
          <w:tcPr>
            <w:tcW w:w="112" w:type="dxa"/>
            <w:vAlign w:val="bottom"/>
          </w:tcPr>
          <w:p w14:paraId="45FA04D8" w14:textId="77777777" w:rsidR="000A4993" w:rsidRPr="008109D0" w:rsidRDefault="000A4993" w:rsidP="000A4993">
            <w:pPr>
              <w:ind w:left="318" w:right="57"/>
              <w:jc w:val="right"/>
              <w:rPr>
                <w:sz w:val="18"/>
                <w:szCs w:val="18"/>
              </w:rPr>
            </w:pPr>
          </w:p>
        </w:tc>
        <w:tc>
          <w:tcPr>
            <w:tcW w:w="1680" w:type="dxa"/>
            <w:vAlign w:val="bottom"/>
          </w:tcPr>
          <w:p w14:paraId="2398B6E0" w14:textId="77777777" w:rsidR="000A4993" w:rsidRPr="008109D0" w:rsidRDefault="000A4993" w:rsidP="000A4993">
            <w:pPr>
              <w:ind w:right="57"/>
              <w:jc w:val="right"/>
              <w:rPr>
                <w:sz w:val="18"/>
                <w:szCs w:val="18"/>
              </w:rPr>
            </w:pPr>
          </w:p>
        </w:tc>
        <w:tc>
          <w:tcPr>
            <w:tcW w:w="2860" w:type="dxa"/>
            <w:vAlign w:val="bottom"/>
          </w:tcPr>
          <w:p w14:paraId="34AC7223" w14:textId="77777777" w:rsidR="000A4993" w:rsidRPr="008109D0" w:rsidRDefault="000A4993" w:rsidP="000A4993">
            <w:pPr>
              <w:numPr>
                <w:ilvl w:val="12"/>
                <w:numId w:val="0"/>
              </w:numPr>
              <w:ind w:right="113"/>
              <w:jc w:val="right"/>
              <w:rPr>
                <w:i/>
                <w:sz w:val="18"/>
                <w:szCs w:val="18"/>
              </w:rPr>
            </w:pPr>
            <w:r w:rsidRPr="008109D0">
              <w:rPr>
                <w:i/>
                <w:sz w:val="18"/>
                <w:szCs w:val="18"/>
              </w:rPr>
              <w:t>Non deductible expense:</w:t>
            </w:r>
          </w:p>
        </w:tc>
      </w:tr>
      <w:tr w:rsidR="000A4993" w:rsidRPr="008109D0" w14:paraId="06135BAE" w14:textId="77777777" w:rsidTr="002108FF">
        <w:trPr>
          <w:trHeight w:val="20"/>
        </w:trPr>
        <w:tc>
          <w:tcPr>
            <w:tcW w:w="2872" w:type="dxa"/>
          </w:tcPr>
          <w:p w14:paraId="58EB7DBB" w14:textId="77777777" w:rsidR="000A4993" w:rsidRPr="008109D0" w:rsidRDefault="000A4993" w:rsidP="000A4993">
            <w:pPr>
              <w:ind w:left="794" w:hanging="207"/>
              <w:rPr>
                <w:sz w:val="18"/>
                <w:szCs w:val="18"/>
              </w:rPr>
            </w:pPr>
            <w:r w:rsidRPr="008109D0">
              <w:rPr>
                <w:sz w:val="18"/>
                <w:szCs w:val="18"/>
              </w:rPr>
              <w:t>Promosi dan iklan</w:t>
            </w:r>
          </w:p>
        </w:tc>
        <w:tc>
          <w:tcPr>
            <w:tcW w:w="1673" w:type="dxa"/>
            <w:shd w:val="clear" w:color="auto" w:fill="auto"/>
            <w:vAlign w:val="bottom"/>
          </w:tcPr>
          <w:p w14:paraId="5D436339" w14:textId="2861A2A1" w:rsidR="000A4993" w:rsidRPr="008109D0" w:rsidRDefault="000A4993" w:rsidP="000A4993">
            <w:pPr>
              <w:ind w:right="57"/>
              <w:jc w:val="right"/>
              <w:rPr>
                <w:sz w:val="18"/>
                <w:szCs w:val="18"/>
              </w:rPr>
            </w:pPr>
            <w:r w:rsidRPr="008109D0">
              <w:rPr>
                <w:sz w:val="18"/>
                <w:szCs w:val="18"/>
              </w:rPr>
              <w:t>1.131.864.962</w:t>
            </w:r>
          </w:p>
        </w:tc>
        <w:tc>
          <w:tcPr>
            <w:tcW w:w="112" w:type="dxa"/>
            <w:vAlign w:val="bottom"/>
          </w:tcPr>
          <w:p w14:paraId="7D4257F2" w14:textId="77777777" w:rsidR="000A4993" w:rsidRPr="008109D0" w:rsidRDefault="000A4993" w:rsidP="000A4993">
            <w:pPr>
              <w:ind w:left="318" w:right="57"/>
              <w:jc w:val="right"/>
              <w:rPr>
                <w:sz w:val="18"/>
                <w:szCs w:val="18"/>
              </w:rPr>
            </w:pPr>
          </w:p>
        </w:tc>
        <w:tc>
          <w:tcPr>
            <w:tcW w:w="1680" w:type="dxa"/>
          </w:tcPr>
          <w:p w14:paraId="7534E1BC" w14:textId="3526CA4F" w:rsidR="000A4993" w:rsidRPr="008109D0" w:rsidRDefault="000A4993" w:rsidP="000A4993">
            <w:pPr>
              <w:ind w:right="57"/>
              <w:jc w:val="right"/>
              <w:rPr>
                <w:sz w:val="18"/>
                <w:szCs w:val="18"/>
              </w:rPr>
            </w:pPr>
            <w:r w:rsidRPr="008109D0">
              <w:rPr>
                <w:sz w:val="18"/>
                <w:szCs w:val="18"/>
              </w:rPr>
              <w:t>1.106.070.452</w:t>
            </w:r>
          </w:p>
        </w:tc>
        <w:tc>
          <w:tcPr>
            <w:tcW w:w="2860" w:type="dxa"/>
            <w:vAlign w:val="bottom"/>
          </w:tcPr>
          <w:p w14:paraId="08C4EF0C" w14:textId="77777777" w:rsidR="000A4993" w:rsidRPr="008109D0" w:rsidRDefault="000A4993" w:rsidP="000A4993">
            <w:pPr>
              <w:numPr>
                <w:ilvl w:val="12"/>
                <w:numId w:val="0"/>
              </w:numPr>
              <w:ind w:right="170"/>
              <w:jc w:val="right"/>
              <w:rPr>
                <w:i/>
                <w:sz w:val="18"/>
                <w:szCs w:val="18"/>
              </w:rPr>
            </w:pPr>
            <w:r w:rsidRPr="008109D0">
              <w:rPr>
                <w:i/>
                <w:sz w:val="18"/>
                <w:szCs w:val="18"/>
              </w:rPr>
              <w:t>Promotion and advertising</w:t>
            </w:r>
          </w:p>
        </w:tc>
      </w:tr>
      <w:tr w:rsidR="000A4993" w:rsidRPr="008109D0" w14:paraId="69A946D5" w14:textId="77777777" w:rsidTr="002108FF">
        <w:trPr>
          <w:trHeight w:val="20"/>
        </w:trPr>
        <w:tc>
          <w:tcPr>
            <w:tcW w:w="2872" w:type="dxa"/>
          </w:tcPr>
          <w:p w14:paraId="398CCBC7" w14:textId="77777777" w:rsidR="000A4993" w:rsidRPr="008109D0" w:rsidRDefault="000A4993" w:rsidP="000A4993">
            <w:pPr>
              <w:ind w:left="794" w:hanging="207"/>
              <w:rPr>
                <w:sz w:val="18"/>
                <w:szCs w:val="18"/>
              </w:rPr>
            </w:pPr>
            <w:r w:rsidRPr="008109D0">
              <w:rPr>
                <w:sz w:val="18"/>
                <w:szCs w:val="18"/>
              </w:rPr>
              <w:t>Pengobatan</w:t>
            </w:r>
          </w:p>
        </w:tc>
        <w:tc>
          <w:tcPr>
            <w:tcW w:w="1673" w:type="dxa"/>
            <w:shd w:val="clear" w:color="auto" w:fill="auto"/>
            <w:vAlign w:val="bottom"/>
          </w:tcPr>
          <w:p w14:paraId="69726CA1" w14:textId="65C68272" w:rsidR="000A4993" w:rsidRPr="008109D0" w:rsidRDefault="00972CD2" w:rsidP="000A4993">
            <w:pPr>
              <w:ind w:right="57"/>
              <w:jc w:val="right"/>
              <w:rPr>
                <w:sz w:val="18"/>
                <w:szCs w:val="18"/>
              </w:rPr>
            </w:pPr>
            <w:r w:rsidRPr="008109D0">
              <w:rPr>
                <w:sz w:val="18"/>
                <w:szCs w:val="18"/>
              </w:rPr>
              <w:t>1.442.267.447</w:t>
            </w:r>
          </w:p>
        </w:tc>
        <w:tc>
          <w:tcPr>
            <w:tcW w:w="112" w:type="dxa"/>
            <w:vAlign w:val="bottom"/>
          </w:tcPr>
          <w:p w14:paraId="65BE466F" w14:textId="77777777" w:rsidR="000A4993" w:rsidRPr="008109D0" w:rsidRDefault="000A4993" w:rsidP="000A4993">
            <w:pPr>
              <w:ind w:left="318" w:right="57"/>
              <w:jc w:val="right"/>
              <w:rPr>
                <w:sz w:val="18"/>
                <w:szCs w:val="18"/>
              </w:rPr>
            </w:pPr>
          </w:p>
        </w:tc>
        <w:tc>
          <w:tcPr>
            <w:tcW w:w="1680" w:type="dxa"/>
          </w:tcPr>
          <w:p w14:paraId="4FA10A62" w14:textId="77777777" w:rsidR="000A4993" w:rsidRPr="008109D0" w:rsidRDefault="000A4993" w:rsidP="000A4993">
            <w:pPr>
              <w:ind w:right="57"/>
              <w:jc w:val="right"/>
              <w:rPr>
                <w:sz w:val="18"/>
                <w:szCs w:val="18"/>
              </w:rPr>
            </w:pPr>
            <w:r w:rsidRPr="008109D0">
              <w:rPr>
                <w:sz w:val="18"/>
                <w:szCs w:val="18"/>
              </w:rPr>
              <w:t>1.198.489.212</w:t>
            </w:r>
          </w:p>
        </w:tc>
        <w:tc>
          <w:tcPr>
            <w:tcW w:w="2860" w:type="dxa"/>
          </w:tcPr>
          <w:p w14:paraId="70182751" w14:textId="77777777" w:rsidR="000A4993" w:rsidRPr="008109D0" w:rsidRDefault="000A4993" w:rsidP="000A4993">
            <w:pPr>
              <w:numPr>
                <w:ilvl w:val="12"/>
                <w:numId w:val="0"/>
              </w:numPr>
              <w:ind w:right="170"/>
              <w:jc w:val="right"/>
              <w:rPr>
                <w:i/>
                <w:sz w:val="18"/>
                <w:szCs w:val="18"/>
              </w:rPr>
            </w:pPr>
            <w:r w:rsidRPr="008109D0">
              <w:rPr>
                <w:i/>
                <w:sz w:val="18"/>
                <w:szCs w:val="18"/>
              </w:rPr>
              <w:t>Medical</w:t>
            </w:r>
          </w:p>
        </w:tc>
      </w:tr>
      <w:tr w:rsidR="000A4993" w:rsidRPr="008109D0" w14:paraId="4DC945BB" w14:textId="77777777" w:rsidTr="002108FF">
        <w:trPr>
          <w:trHeight w:val="20"/>
        </w:trPr>
        <w:tc>
          <w:tcPr>
            <w:tcW w:w="2872" w:type="dxa"/>
          </w:tcPr>
          <w:p w14:paraId="15E3F039" w14:textId="77777777" w:rsidR="000A4993" w:rsidRPr="008109D0" w:rsidRDefault="000A4993" w:rsidP="000A4993">
            <w:pPr>
              <w:ind w:left="794" w:hanging="207"/>
              <w:rPr>
                <w:sz w:val="18"/>
                <w:szCs w:val="18"/>
              </w:rPr>
            </w:pPr>
            <w:r w:rsidRPr="008109D0">
              <w:rPr>
                <w:sz w:val="18"/>
                <w:szCs w:val="18"/>
              </w:rPr>
              <w:t>Personalia</w:t>
            </w:r>
          </w:p>
        </w:tc>
        <w:tc>
          <w:tcPr>
            <w:tcW w:w="1673" w:type="dxa"/>
            <w:shd w:val="clear" w:color="auto" w:fill="auto"/>
            <w:vAlign w:val="bottom"/>
          </w:tcPr>
          <w:p w14:paraId="648386AF" w14:textId="7ED4DE3F" w:rsidR="000A4993" w:rsidRPr="008109D0" w:rsidRDefault="00972CD2" w:rsidP="000A4993">
            <w:pPr>
              <w:ind w:right="57"/>
              <w:jc w:val="right"/>
              <w:rPr>
                <w:sz w:val="18"/>
                <w:szCs w:val="18"/>
              </w:rPr>
            </w:pPr>
            <w:r w:rsidRPr="008109D0">
              <w:rPr>
                <w:sz w:val="18"/>
                <w:szCs w:val="18"/>
              </w:rPr>
              <w:t>109.189.541</w:t>
            </w:r>
          </w:p>
        </w:tc>
        <w:tc>
          <w:tcPr>
            <w:tcW w:w="112" w:type="dxa"/>
            <w:vAlign w:val="bottom"/>
          </w:tcPr>
          <w:p w14:paraId="24D2C875" w14:textId="77777777" w:rsidR="000A4993" w:rsidRPr="008109D0" w:rsidRDefault="000A4993" w:rsidP="000A4993">
            <w:pPr>
              <w:ind w:left="318" w:right="57"/>
              <w:jc w:val="right"/>
              <w:rPr>
                <w:sz w:val="18"/>
                <w:szCs w:val="18"/>
              </w:rPr>
            </w:pPr>
          </w:p>
        </w:tc>
        <w:tc>
          <w:tcPr>
            <w:tcW w:w="1680" w:type="dxa"/>
          </w:tcPr>
          <w:p w14:paraId="45610506" w14:textId="4AF8AD42" w:rsidR="000A4993" w:rsidRPr="008109D0" w:rsidRDefault="000A4993" w:rsidP="000A4993">
            <w:pPr>
              <w:ind w:right="57"/>
              <w:jc w:val="right"/>
              <w:rPr>
                <w:sz w:val="18"/>
                <w:szCs w:val="18"/>
              </w:rPr>
            </w:pPr>
            <w:r w:rsidRPr="008109D0">
              <w:rPr>
                <w:sz w:val="18"/>
                <w:szCs w:val="18"/>
              </w:rPr>
              <w:t>-</w:t>
            </w:r>
          </w:p>
        </w:tc>
        <w:tc>
          <w:tcPr>
            <w:tcW w:w="2860" w:type="dxa"/>
          </w:tcPr>
          <w:p w14:paraId="360A8CD3" w14:textId="77777777" w:rsidR="000A4993" w:rsidRPr="008109D0" w:rsidRDefault="000A4993" w:rsidP="000A4993">
            <w:pPr>
              <w:numPr>
                <w:ilvl w:val="12"/>
                <w:numId w:val="0"/>
              </w:numPr>
              <w:ind w:right="170"/>
              <w:jc w:val="right"/>
              <w:rPr>
                <w:i/>
                <w:sz w:val="18"/>
                <w:szCs w:val="18"/>
              </w:rPr>
            </w:pPr>
            <w:r w:rsidRPr="008109D0">
              <w:rPr>
                <w:i/>
                <w:sz w:val="18"/>
                <w:szCs w:val="18"/>
              </w:rPr>
              <w:t xml:space="preserve">Personnal </w:t>
            </w:r>
          </w:p>
        </w:tc>
      </w:tr>
      <w:tr w:rsidR="000A4993" w:rsidRPr="008109D0" w14:paraId="4A8EEB1A" w14:textId="77777777" w:rsidTr="002108FF">
        <w:trPr>
          <w:trHeight w:val="20"/>
        </w:trPr>
        <w:tc>
          <w:tcPr>
            <w:tcW w:w="2872" w:type="dxa"/>
          </w:tcPr>
          <w:p w14:paraId="24C9FAB4" w14:textId="77777777" w:rsidR="000A4993" w:rsidRPr="008109D0" w:rsidRDefault="000A4993" w:rsidP="000A4993">
            <w:pPr>
              <w:ind w:left="794" w:hanging="207"/>
              <w:rPr>
                <w:sz w:val="18"/>
                <w:szCs w:val="18"/>
              </w:rPr>
            </w:pPr>
            <w:r w:rsidRPr="008109D0">
              <w:rPr>
                <w:sz w:val="18"/>
                <w:szCs w:val="18"/>
              </w:rPr>
              <w:t>Representasi dan jamuan</w:t>
            </w:r>
          </w:p>
        </w:tc>
        <w:tc>
          <w:tcPr>
            <w:tcW w:w="1673" w:type="dxa"/>
            <w:shd w:val="clear" w:color="auto" w:fill="auto"/>
            <w:vAlign w:val="bottom"/>
          </w:tcPr>
          <w:p w14:paraId="73A38023" w14:textId="19BA28C7" w:rsidR="000A4993" w:rsidRPr="008109D0" w:rsidRDefault="000A4993" w:rsidP="000A4993">
            <w:pPr>
              <w:ind w:right="57"/>
              <w:jc w:val="right"/>
              <w:rPr>
                <w:sz w:val="18"/>
                <w:szCs w:val="18"/>
              </w:rPr>
            </w:pPr>
            <w:r w:rsidRPr="008109D0">
              <w:rPr>
                <w:sz w:val="18"/>
                <w:szCs w:val="18"/>
              </w:rPr>
              <w:t>82.633.706</w:t>
            </w:r>
          </w:p>
        </w:tc>
        <w:tc>
          <w:tcPr>
            <w:tcW w:w="112" w:type="dxa"/>
            <w:vAlign w:val="bottom"/>
          </w:tcPr>
          <w:p w14:paraId="6277BA1F" w14:textId="77777777" w:rsidR="000A4993" w:rsidRPr="008109D0" w:rsidRDefault="000A4993" w:rsidP="000A4993">
            <w:pPr>
              <w:ind w:left="318" w:right="57"/>
              <w:jc w:val="right"/>
              <w:rPr>
                <w:sz w:val="18"/>
                <w:szCs w:val="18"/>
              </w:rPr>
            </w:pPr>
          </w:p>
        </w:tc>
        <w:tc>
          <w:tcPr>
            <w:tcW w:w="1680" w:type="dxa"/>
          </w:tcPr>
          <w:p w14:paraId="262C1766" w14:textId="77777777" w:rsidR="000A4993" w:rsidRPr="008109D0" w:rsidRDefault="000A4993" w:rsidP="000A4993">
            <w:pPr>
              <w:ind w:right="57"/>
              <w:jc w:val="right"/>
              <w:rPr>
                <w:sz w:val="18"/>
                <w:szCs w:val="18"/>
              </w:rPr>
            </w:pPr>
            <w:r w:rsidRPr="008109D0">
              <w:rPr>
                <w:sz w:val="18"/>
                <w:szCs w:val="18"/>
              </w:rPr>
              <w:t>36.303.840</w:t>
            </w:r>
          </w:p>
        </w:tc>
        <w:tc>
          <w:tcPr>
            <w:tcW w:w="2860" w:type="dxa"/>
          </w:tcPr>
          <w:p w14:paraId="048A5942" w14:textId="77777777" w:rsidR="000A4993" w:rsidRPr="008109D0" w:rsidRDefault="000A4993" w:rsidP="000A4993">
            <w:pPr>
              <w:numPr>
                <w:ilvl w:val="12"/>
                <w:numId w:val="0"/>
              </w:numPr>
              <w:ind w:right="170"/>
              <w:jc w:val="right"/>
              <w:rPr>
                <w:i/>
                <w:sz w:val="18"/>
                <w:szCs w:val="18"/>
              </w:rPr>
            </w:pPr>
            <w:r w:rsidRPr="008109D0">
              <w:rPr>
                <w:i/>
                <w:sz w:val="18"/>
                <w:szCs w:val="18"/>
              </w:rPr>
              <w:t>Representation and entertainment</w:t>
            </w:r>
          </w:p>
        </w:tc>
      </w:tr>
      <w:tr w:rsidR="000A4993" w:rsidRPr="008109D0" w14:paraId="43C2915F" w14:textId="77777777" w:rsidTr="002108FF">
        <w:trPr>
          <w:trHeight w:val="20"/>
        </w:trPr>
        <w:tc>
          <w:tcPr>
            <w:tcW w:w="2872" w:type="dxa"/>
          </w:tcPr>
          <w:p w14:paraId="2FB0DE28" w14:textId="77777777" w:rsidR="000A4993" w:rsidRPr="008109D0" w:rsidRDefault="000A4993" w:rsidP="000A4993">
            <w:pPr>
              <w:ind w:left="794" w:hanging="207"/>
              <w:rPr>
                <w:sz w:val="18"/>
                <w:szCs w:val="18"/>
              </w:rPr>
            </w:pPr>
            <w:r w:rsidRPr="008109D0">
              <w:rPr>
                <w:sz w:val="18"/>
                <w:szCs w:val="18"/>
              </w:rPr>
              <w:t>Sumbangan</w:t>
            </w:r>
          </w:p>
        </w:tc>
        <w:tc>
          <w:tcPr>
            <w:tcW w:w="1673" w:type="dxa"/>
            <w:shd w:val="clear" w:color="auto" w:fill="auto"/>
            <w:vAlign w:val="bottom"/>
          </w:tcPr>
          <w:p w14:paraId="2F4763FF" w14:textId="67925D2B" w:rsidR="000A4993" w:rsidRPr="008109D0" w:rsidRDefault="000A4993" w:rsidP="000A4993">
            <w:pPr>
              <w:ind w:right="57"/>
              <w:jc w:val="right"/>
              <w:rPr>
                <w:sz w:val="18"/>
                <w:szCs w:val="18"/>
              </w:rPr>
            </w:pPr>
            <w:r w:rsidRPr="008109D0">
              <w:rPr>
                <w:sz w:val="18"/>
                <w:szCs w:val="18"/>
              </w:rPr>
              <w:t>58.112.071</w:t>
            </w:r>
          </w:p>
        </w:tc>
        <w:tc>
          <w:tcPr>
            <w:tcW w:w="112" w:type="dxa"/>
            <w:vAlign w:val="bottom"/>
          </w:tcPr>
          <w:p w14:paraId="60D401B4" w14:textId="77777777" w:rsidR="000A4993" w:rsidRPr="008109D0" w:rsidRDefault="000A4993" w:rsidP="000A4993">
            <w:pPr>
              <w:ind w:left="318" w:right="57"/>
              <w:jc w:val="right"/>
              <w:rPr>
                <w:sz w:val="18"/>
                <w:szCs w:val="18"/>
              </w:rPr>
            </w:pPr>
          </w:p>
        </w:tc>
        <w:tc>
          <w:tcPr>
            <w:tcW w:w="1680" w:type="dxa"/>
          </w:tcPr>
          <w:p w14:paraId="40524EF3" w14:textId="2FCD766C" w:rsidR="000A4993" w:rsidRPr="008109D0" w:rsidRDefault="000A4993" w:rsidP="000A4993">
            <w:pPr>
              <w:ind w:right="57"/>
              <w:jc w:val="right"/>
              <w:rPr>
                <w:sz w:val="18"/>
                <w:szCs w:val="18"/>
              </w:rPr>
            </w:pPr>
            <w:r w:rsidRPr="008109D0">
              <w:rPr>
                <w:sz w:val="18"/>
                <w:szCs w:val="18"/>
              </w:rPr>
              <w:t>99.832.214</w:t>
            </w:r>
          </w:p>
        </w:tc>
        <w:tc>
          <w:tcPr>
            <w:tcW w:w="2860" w:type="dxa"/>
          </w:tcPr>
          <w:p w14:paraId="30ABA415" w14:textId="77777777" w:rsidR="000A4993" w:rsidRPr="008109D0" w:rsidRDefault="000A4993" w:rsidP="000A4993">
            <w:pPr>
              <w:numPr>
                <w:ilvl w:val="12"/>
                <w:numId w:val="0"/>
              </w:numPr>
              <w:ind w:right="170"/>
              <w:jc w:val="right"/>
              <w:rPr>
                <w:i/>
                <w:sz w:val="18"/>
                <w:szCs w:val="18"/>
              </w:rPr>
            </w:pPr>
            <w:r w:rsidRPr="008109D0">
              <w:rPr>
                <w:i/>
                <w:sz w:val="18"/>
                <w:szCs w:val="18"/>
              </w:rPr>
              <w:t>Donations</w:t>
            </w:r>
          </w:p>
        </w:tc>
      </w:tr>
      <w:tr w:rsidR="000A4993" w:rsidRPr="008109D0" w14:paraId="33392163" w14:textId="77777777" w:rsidTr="002108FF">
        <w:trPr>
          <w:trHeight w:val="20"/>
        </w:trPr>
        <w:tc>
          <w:tcPr>
            <w:tcW w:w="2872" w:type="dxa"/>
          </w:tcPr>
          <w:p w14:paraId="7A56EAEA" w14:textId="77777777" w:rsidR="000A4993" w:rsidRPr="008109D0" w:rsidRDefault="000A4993" w:rsidP="000A4993">
            <w:pPr>
              <w:ind w:left="794" w:hanging="207"/>
              <w:rPr>
                <w:sz w:val="18"/>
                <w:szCs w:val="18"/>
              </w:rPr>
            </w:pPr>
            <w:r w:rsidRPr="008109D0">
              <w:rPr>
                <w:sz w:val="18"/>
                <w:szCs w:val="18"/>
              </w:rPr>
              <w:t>Langganan</w:t>
            </w:r>
            <w:r w:rsidRPr="008109D0">
              <w:rPr>
                <w:sz w:val="18"/>
                <w:szCs w:val="18"/>
              </w:rPr>
              <w:tab/>
            </w:r>
          </w:p>
        </w:tc>
        <w:tc>
          <w:tcPr>
            <w:tcW w:w="1673" w:type="dxa"/>
            <w:shd w:val="clear" w:color="auto" w:fill="auto"/>
            <w:vAlign w:val="bottom"/>
          </w:tcPr>
          <w:p w14:paraId="737F1ADA" w14:textId="1249364A" w:rsidR="000A4993" w:rsidRPr="008109D0" w:rsidRDefault="000A4993" w:rsidP="000A4993">
            <w:pPr>
              <w:ind w:right="57"/>
              <w:jc w:val="right"/>
              <w:rPr>
                <w:sz w:val="18"/>
                <w:szCs w:val="18"/>
              </w:rPr>
            </w:pPr>
            <w:r w:rsidRPr="008109D0">
              <w:rPr>
                <w:sz w:val="18"/>
                <w:szCs w:val="18"/>
              </w:rPr>
              <w:t>49.592.250</w:t>
            </w:r>
          </w:p>
        </w:tc>
        <w:tc>
          <w:tcPr>
            <w:tcW w:w="112" w:type="dxa"/>
            <w:vAlign w:val="bottom"/>
          </w:tcPr>
          <w:p w14:paraId="6E36032C" w14:textId="77777777" w:rsidR="000A4993" w:rsidRPr="008109D0" w:rsidRDefault="000A4993" w:rsidP="000A4993">
            <w:pPr>
              <w:ind w:left="318" w:right="57"/>
              <w:jc w:val="right"/>
              <w:rPr>
                <w:sz w:val="18"/>
                <w:szCs w:val="18"/>
              </w:rPr>
            </w:pPr>
          </w:p>
        </w:tc>
        <w:tc>
          <w:tcPr>
            <w:tcW w:w="1680" w:type="dxa"/>
          </w:tcPr>
          <w:p w14:paraId="29249111" w14:textId="77777777" w:rsidR="000A4993" w:rsidRPr="008109D0" w:rsidRDefault="000A4993" w:rsidP="000A4993">
            <w:pPr>
              <w:ind w:right="57"/>
              <w:jc w:val="right"/>
              <w:rPr>
                <w:sz w:val="18"/>
                <w:szCs w:val="18"/>
              </w:rPr>
            </w:pPr>
            <w:r w:rsidRPr="008109D0">
              <w:rPr>
                <w:sz w:val="18"/>
                <w:szCs w:val="18"/>
              </w:rPr>
              <w:t>162.096.641</w:t>
            </w:r>
          </w:p>
        </w:tc>
        <w:tc>
          <w:tcPr>
            <w:tcW w:w="2860" w:type="dxa"/>
          </w:tcPr>
          <w:p w14:paraId="7ADE0A2C" w14:textId="77777777" w:rsidR="000A4993" w:rsidRPr="008109D0" w:rsidRDefault="000A4993" w:rsidP="000A4993">
            <w:pPr>
              <w:numPr>
                <w:ilvl w:val="12"/>
                <w:numId w:val="0"/>
              </w:numPr>
              <w:ind w:right="170"/>
              <w:jc w:val="right"/>
              <w:rPr>
                <w:i/>
                <w:sz w:val="18"/>
                <w:szCs w:val="18"/>
              </w:rPr>
            </w:pPr>
            <w:r w:rsidRPr="008109D0">
              <w:rPr>
                <w:i/>
                <w:sz w:val="18"/>
                <w:szCs w:val="18"/>
              </w:rPr>
              <w:t>Subscriptions</w:t>
            </w:r>
          </w:p>
        </w:tc>
      </w:tr>
      <w:tr w:rsidR="000A4993" w:rsidRPr="008109D0" w14:paraId="5E4C80DD" w14:textId="77777777" w:rsidTr="002108FF">
        <w:trPr>
          <w:trHeight w:val="20"/>
        </w:trPr>
        <w:tc>
          <w:tcPr>
            <w:tcW w:w="2872" w:type="dxa"/>
          </w:tcPr>
          <w:p w14:paraId="17A2021E" w14:textId="77777777" w:rsidR="000A4993" w:rsidRPr="008109D0" w:rsidRDefault="000A4993" w:rsidP="000A4993">
            <w:pPr>
              <w:ind w:left="794" w:hanging="207"/>
              <w:rPr>
                <w:sz w:val="18"/>
                <w:szCs w:val="18"/>
              </w:rPr>
            </w:pPr>
            <w:r w:rsidRPr="008109D0">
              <w:rPr>
                <w:sz w:val="18"/>
                <w:szCs w:val="18"/>
              </w:rPr>
              <w:t>Denda pajak</w:t>
            </w:r>
          </w:p>
        </w:tc>
        <w:tc>
          <w:tcPr>
            <w:tcW w:w="1673" w:type="dxa"/>
            <w:shd w:val="clear" w:color="auto" w:fill="auto"/>
            <w:vAlign w:val="bottom"/>
          </w:tcPr>
          <w:p w14:paraId="3D3807F3" w14:textId="786BF46D" w:rsidR="000A4993" w:rsidRPr="008109D0" w:rsidRDefault="000A4993" w:rsidP="000A4993">
            <w:pPr>
              <w:ind w:right="57"/>
              <w:jc w:val="right"/>
              <w:rPr>
                <w:sz w:val="18"/>
                <w:szCs w:val="18"/>
              </w:rPr>
            </w:pPr>
            <w:r w:rsidRPr="008109D0">
              <w:rPr>
                <w:sz w:val="18"/>
                <w:szCs w:val="18"/>
              </w:rPr>
              <w:t>39.479.804</w:t>
            </w:r>
          </w:p>
        </w:tc>
        <w:tc>
          <w:tcPr>
            <w:tcW w:w="112" w:type="dxa"/>
            <w:vAlign w:val="bottom"/>
          </w:tcPr>
          <w:p w14:paraId="2995C0F5" w14:textId="77777777" w:rsidR="000A4993" w:rsidRPr="008109D0" w:rsidRDefault="000A4993" w:rsidP="000A4993">
            <w:pPr>
              <w:ind w:left="318" w:right="57"/>
              <w:jc w:val="right"/>
              <w:rPr>
                <w:sz w:val="18"/>
                <w:szCs w:val="18"/>
              </w:rPr>
            </w:pPr>
          </w:p>
        </w:tc>
        <w:tc>
          <w:tcPr>
            <w:tcW w:w="1680" w:type="dxa"/>
          </w:tcPr>
          <w:p w14:paraId="71183C03" w14:textId="77777777" w:rsidR="000A4993" w:rsidRPr="008109D0" w:rsidRDefault="000A4993" w:rsidP="000A4993">
            <w:pPr>
              <w:ind w:right="57"/>
              <w:jc w:val="right"/>
              <w:rPr>
                <w:sz w:val="18"/>
                <w:szCs w:val="18"/>
              </w:rPr>
            </w:pPr>
            <w:r w:rsidRPr="008109D0">
              <w:rPr>
                <w:sz w:val="18"/>
                <w:szCs w:val="18"/>
              </w:rPr>
              <w:t>836.659.183</w:t>
            </w:r>
          </w:p>
        </w:tc>
        <w:tc>
          <w:tcPr>
            <w:tcW w:w="2860" w:type="dxa"/>
          </w:tcPr>
          <w:p w14:paraId="49C32418" w14:textId="77777777" w:rsidR="000A4993" w:rsidRPr="008109D0" w:rsidRDefault="000A4993" w:rsidP="000A4993">
            <w:pPr>
              <w:numPr>
                <w:ilvl w:val="12"/>
                <w:numId w:val="0"/>
              </w:numPr>
              <w:ind w:right="170"/>
              <w:jc w:val="right"/>
              <w:rPr>
                <w:i/>
                <w:sz w:val="18"/>
                <w:szCs w:val="18"/>
              </w:rPr>
            </w:pPr>
            <w:r w:rsidRPr="008109D0">
              <w:rPr>
                <w:i/>
                <w:sz w:val="18"/>
                <w:szCs w:val="18"/>
              </w:rPr>
              <w:t>Tax penalty</w:t>
            </w:r>
          </w:p>
        </w:tc>
      </w:tr>
      <w:tr w:rsidR="000A4993" w:rsidRPr="008109D0" w14:paraId="3ED145C4" w14:textId="77777777" w:rsidTr="002108FF">
        <w:trPr>
          <w:trHeight w:val="20"/>
        </w:trPr>
        <w:tc>
          <w:tcPr>
            <w:tcW w:w="2872" w:type="dxa"/>
          </w:tcPr>
          <w:p w14:paraId="0424B31B" w14:textId="77777777" w:rsidR="000A4993" w:rsidRPr="008109D0" w:rsidRDefault="000A4993" w:rsidP="000A4993">
            <w:pPr>
              <w:ind w:left="794" w:hanging="207"/>
              <w:rPr>
                <w:sz w:val="18"/>
                <w:szCs w:val="18"/>
              </w:rPr>
            </w:pPr>
            <w:r w:rsidRPr="008109D0">
              <w:rPr>
                <w:sz w:val="18"/>
                <w:szCs w:val="18"/>
              </w:rPr>
              <w:t>Sewa</w:t>
            </w:r>
          </w:p>
        </w:tc>
        <w:tc>
          <w:tcPr>
            <w:tcW w:w="1673" w:type="dxa"/>
            <w:shd w:val="clear" w:color="auto" w:fill="auto"/>
            <w:vAlign w:val="bottom"/>
          </w:tcPr>
          <w:p w14:paraId="0EF7BEDF" w14:textId="3DE638EC" w:rsidR="000A4993" w:rsidRPr="008109D0" w:rsidRDefault="000A4993" w:rsidP="000A4993">
            <w:pPr>
              <w:ind w:right="57"/>
              <w:jc w:val="right"/>
              <w:rPr>
                <w:sz w:val="18"/>
                <w:szCs w:val="18"/>
              </w:rPr>
            </w:pPr>
            <w:r w:rsidRPr="008109D0">
              <w:rPr>
                <w:sz w:val="18"/>
                <w:szCs w:val="18"/>
              </w:rPr>
              <w:t>26.696.194</w:t>
            </w:r>
          </w:p>
        </w:tc>
        <w:tc>
          <w:tcPr>
            <w:tcW w:w="112" w:type="dxa"/>
            <w:vAlign w:val="bottom"/>
          </w:tcPr>
          <w:p w14:paraId="51621CFE" w14:textId="77777777" w:rsidR="000A4993" w:rsidRPr="008109D0" w:rsidRDefault="000A4993" w:rsidP="000A4993">
            <w:pPr>
              <w:ind w:left="318" w:right="57"/>
              <w:jc w:val="right"/>
              <w:rPr>
                <w:sz w:val="18"/>
                <w:szCs w:val="18"/>
              </w:rPr>
            </w:pPr>
          </w:p>
        </w:tc>
        <w:tc>
          <w:tcPr>
            <w:tcW w:w="1680" w:type="dxa"/>
          </w:tcPr>
          <w:p w14:paraId="3BFF2E04" w14:textId="77777777" w:rsidR="000A4993" w:rsidRPr="008109D0" w:rsidRDefault="000A4993" w:rsidP="000A4993">
            <w:pPr>
              <w:ind w:right="57"/>
              <w:jc w:val="right"/>
              <w:rPr>
                <w:sz w:val="18"/>
                <w:szCs w:val="18"/>
              </w:rPr>
            </w:pPr>
            <w:r w:rsidRPr="008109D0">
              <w:rPr>
                <w:sz w:val="18"/>
                <w:szCs w:val="18"/>
              </w:rPr>
              <w:t>81.483.452</w:t>
            </w:r>
          </w:p>
        </w:tc>
        <w:tc>
          <w:tcPr>
            <w:tcW w:w="2860" w:type="dxa"/>
          </w:tcPr>
          <w:p w14:paraId="47951EF4" w14:textId="77777777" w:rsidR="000A4993" w:rsidRPr="008109D0" w:rsidRDefault="000A4993" w:rsidP="000A4993">
            <w:pPr>
              <w:numPr>
                <w:ilvl w:val="12"/>
                <w:numId w:val="0"/>
              </w:numPr>
              <w:ind w:right="170"/>
              <w:jc w:val="right"/>
              <w:rPr>
                <w:i/>
                <w:sz w:val="18"/>
                <w:szCs w:val="18"/>
              </w:rPr>
            </w:pPr>
            <w:r w:rsidRPr="008109D0">
              <w:rPr>
                <w:i/>
                <w:sz w:val="18"/>
                <w:szCs w:val="18"/>
              </w:rPr>
              <w:t>Rent</w:t>
            </w:r>
          </w:p>
        </w:tc>
      </w:tr>
      <w:tr w:rsidR="000A4993" w:rsidRPr="008109D0" w14:paraId="79C917DB" w14:textId="77777777" w:rsidTr="002108FF">
        <w:trPr>
          <w:trHeight w:val="20"/>
        </w:trPr>
        <w:tc>
          <w:tcPr>
            <w:tcW w:w="2872" w:type="dxa"/>
          </w:tcPr>
          <w:p w14:paraId="7FDA37B1" w14:textId="77777777" w:rsidR="000A4993" w:rsidRPr="008109D0" w:rsidRDefault="000A4993" w:rsidP="000A4993">
            <w:pPr>
              <w:ind w:left="794" w:hanging="207"/>
              <w:rPr>
                <w:sz w:val="18"/>
                <w:szCs w:val="18"/>
              </w:rPr>
            </w:pPr>
            <w:r w:rsidRPr="008109D0">
              <w:rPr>
                <w:sz w:val="18"/>
                <w:szCs w:val="18"/>
              </w:rPr>
              <w:t>Perbaikan kendaraan</w:t>
            </w:r>
          </w:p>
        </w:tc>
        <w:tc>
          <w:tcPr>
            <w:tcW w:w="1673" w:type="dxa"/>
            <w:shd w:val="clear" w:color="auto" w:fill="auto"/>
            <w:vAlign w:val="bottom"/>
          </w:tcPr>
          <w:p w14:paraId="71976DCB" w14:textId="77777777" w:rsidR="000A4993" w:rsidRPr="008109D0" w:rsidRDefault="000A4993" w:rsidP="000A4993">
            <w:pPr>
              <w:ind w:right="57"/>
              <w:jc w:val="right"/>
              <w:rPr>
                <w:sz w:val="18"/>
                <w:szCs w:val="18"/>
              </w:rPr>
            </w:pPr>
            <w:r w:rsidRPr="008109D0">
              <w:rPr>
                <w:sz w:val="18"/>
                <w:szCs w:val="18"/>
              </w:rPr>
              <w:t>22.081.236</w:t>
            </w:r>
          </w:p>
        </w:tc>
        <w:tc>
          <w:tcPr>
            <w:tcW w:w="112" w:type="dxa"/>
            <w:vAlign w:val="bottom"/>
          </w:tcPr>
          <w:p w14:paraId="595C058C" w14:textId="77777777" w:rsidR="000A4993" w:rsidRPr="008109D0" w:rsidRDefault="000A4993" w:rsidP="000A4993">
            <w:pPr>
              <w:ind w:left="318" w:right="57"/>
              <w:jc w:val="right"/>
              <w:rPr>
                <w:sz w:val="18"/>
                <w:szCs w:val="18"/>
              </w:rPr>
            </w:pPr>
          </w:p>
        </w:tc>
        <w:tc>
          <w:tcPr>
            <w:tcW w:w="1680" w:type="dxa"/>
          </w:tcPr>
          <w:p w14:paraId="3A4DAEFD" w14:textId="77777777" w:rsidR="000A4993" w:rsidRPr="008109D0" w:rsidRDefault="000A4993" w:rsidP="000A4993">
            <w:pPr>
              <w:ind w:right="57"/>
              <w:jc w:val="right"/>
              <w:rPr>
                <w:sz w:val="18"/>
                <w:szCs w:val="18"/>
              </w:rPr>
            </w:pPr>
            <w:r w:rsidRPr="008109D0">
              <w:rPr>
                <w:sz w:val="18"/>
                <w:szCs w:val="18"/>
              </w:rPr>
              <w:t>15.021.369</w:t>
            </w:r>
          </w:p>
        </w:tc>
        <w:tc>
          <w:tcPr>
            <w:tcW w:w="2860" w:type="dxa"/>
          </w:tcPr>
          <w:p w14:paraId="513F05A9" w14:textId="77777777" w:rsidR="000A4993" w:rsidRPr="008109D0" w:rsidRDefault="000A4993" w:rsidP="000A4993">
            <w:pPr>
              <w:numPr>
                <w:ilvl w:val="12"/>
                <w:numId w:val="0"/>
              </w:numPr>
              <w:ind w:right="170"/>
              <w:jc w:val="right"/>
              <w:rPr>
                <w:i/>
                <w:sz w:val="18"/>
                <w:szCs w:val="18"/>
              </w:rPr>
            </w:pPr>
            <w:r w:rsidRPr="008109D0">
              <w:rPr>
                <w:i/>
                <w:sz w:val="18"/>
                <w:szCs w:val="18"/>
              </w:rPr>
              <w:t>Vehicles maintenance</w:t>
            </w:r>
          </w:p>
        </w:tc>
      </w:tr>
      <w:tr w:rsidR="000A4993" w:rsidRPr="008109D0" w14:paraId="0343FC82" w14:textId="77777777" w:rsidTr="002108FF">
        <w:trPr>
          <w:trHeight w:val="20"/>
        </w:trPr>
        <w:tc>
          <w:tcPr>
            <w:tcW w:w="2872" w:type="dxa"/>
          </w:tcPr>
          <w:p w14:paraId="27673C78" w14:textId="77777777" w:rsidR="000A4993" w:rsidRPr="008109D0" w:rsidRDefault="000A4993" w:rsidP="000A4993">
            <w:pPr>
              <w:ind w:left="794" w:hanging="207"/>
              <w:rPr>
                <w:sz w:val="18"/>
                <w:szCs w:val="18"/>
              </w:rPr>
            </w:pPr>
            <w:r w:rsidRPr="008109D0">
              <w:rPr>
                <w:sz w:val="18"/>
                <w:szCs w:val="18"/>
              </w:rPr>
              <w:t>Telepon</w:t>
            </w:r>
          </w:p>
        </w:tc>
        <w:tc>
          <w:tcPr>
            <w:tcW w:w="1673" w:type="dxa"/>
            <w:shd w:val="clear" w:color="auto" w:fill="auto"/>
            <w:vAlign w:val="bottom"/>
          </w:tcPr>
          <w:p w14:paraId="3E879E70" w14:textId="54412946" w:rsidR="000A4993" w:rsidRPr="008109D0" w:rsidRDefault="000A4993" w:rsidP="000A4993">
            <w:pPr>
              <w:ind w:right="57"/>
              <w:jc w:val="right"/>
              <w:rPr>
                <w:sz w:val="18"/>
                <w:szCs w:val="18"/>
              </w:rPr>
            </w:pPr>
            <w:r w:rsidRPr="008109D0">
              <w:rPr>
                <w:sz w:val="18"/>
                <w:szCs w:val="18"/>
              </w:rPr>
              <w:t>18.522.906</w:t>
            </w:r>
          </w:p>
        </w:tc>
        <w:tc>
          <w:tcPr>
            <w:tcW w:w="112" w:type="dxa"/>
            <w:vAlign w:val="bottom"/>
          </w:tcPr>
          <w:p w14:paraId="73D5F62B" w14:textId="77777777" w:rsidR="000A4993" w:rsidRPr="008109D0" w:rsidRDefault="000A4993" w:rsidP="000A4993">
            <w:pPr>
              <w:ind w:left="318" w:right="57"/>
              <w:jc w:val="right"/>
              <w:rPr>
                <w:sz w:val="18"/>
                <w:szCs w:val="18"/>
              </w:rPr>
            </w:pPr>
          </w:p>
        </w:tc>
        <w:tc>
          <w:tcPr>
            <w:tcW w:w="1680" w:type="dxa"/>
          </w:tcPr>
          <w:p w14:paraId="7251B466" w14:textId="411B9AB6" w:rsidR="000A4993" w:rsidRPr="008109D0" w:rsidRDefault="000A4993" w:rsidP="000A4993">
            <w:pPr>
              <w:ind w:right="57"/>
              <w:jc w:val="right"/>
              <w:rPr>
                <w:sz w:val="18"/>
                <w:szCs w:val="18"/>
              </w:rPr>
            </w:pPr>
            <w:r w:rsidRPr="008109D0">
              <w:rPr>
                <w:sz w:val="18"/>
                <w:szCs w:val="18"/>
              </w:rPr>
              <w:t>-</w:t>
            </w:r>
          </w:p>
        </w:tc>
        <w:tc>
          <w:tcPr>
            <w:tcW w:w="2860" w:type="dxa"/>
          </w:tcPr>
          <w:p w14:paraId="438292BC" w14:textId="77777777" w:rsidR="000A4993" w:rsidRPr="008109D0" w:rsidRDefault="000A4993" w:rsidP="000A4993">
            <w:pPr>
              <w:numPr>
                <w:ilvl w:val="12"/>
                <w:numId w:val="0"/>
              </w:numPr>
              <w:ind w:right="170"/>
              <w:jc w:val="right"/>
              <w:rPr>
                <w:i/>
                <w:sz w:val="18"/>
                <w:szCs w:val="18"/>
              </w:rPr>
            </w:pPr>
            <w:r w:rsidRPr="008109D0">
              <w:rPr>
                <w:i/>
                <w:sz w:val="18"/>
                <w:szCs w:val="18"/>
              </w:rPr>
              <w:t xml:space="preserve">Telephone </w:t>
            </w:r>
          </w:p>
        </w:tc>
      </w:tr>
      <w:tr w:rsidR="000A4993" w:rsidRPr="008109D0" w14:paraId="55E7D80D" w14:textId="77777777" w:rsidTr="002108FF">
        <w:trPr>
          <w:trHeight w:val="20"/>
        </w:trPr>
        <w:tc>
          <w:tcPr>
            <w:tcW w:w="2872" w:type="dxa"/>
          </w:tcPr>
          <w:p w14:paraId="429FF331" w14:textId="77777777" w:rsidR="000A4993" w:rsidRPr="008109D0" w:rsidRDefault="000A4993" w:rsidP="000A4993">
            <w:pPr>
              <w:ind w:left="794" w:hanging="207"/>
              <w:rPr>
                <w:sz w:val="18"/>
                <w:szCs w:val="18"/>
              </w:rPr>
            </w:pPr>
            <w:r w:rsidRPr="008109D0">
              <w:rPr>
                <w:sz w:val="18"/>
                <w:szCs w:val="18"/>
              </w:rPr>
              <w:t>Pelatihan</w:t>
            </w:r>
          </w:p>
        </w:tc>
        <w:tc>
          <w:tcPr>
            <w:tcW w:w="1673" w:type="dxa"/>
            <w:shd w:val="clear" w:color="auto" w:fill="auto"/>
            <w:vAlign w:val="bottom"/>
          </w:tcPr>
          <w:p w14:paraId="0D416982" w14:textId="77777777" w:rsidR="000A4993" w:rsidRPr="008109D0" w:rsidRDefault="000A4993" w:rsidP="000A4993">
            <w:pPr>
              <w:ind w:right="57"/>
              <w:jc w:val="right"/>
              <w:rPr>
                <w:sz w:val="18"/>
                <w:szCs w:val="18"/>
              </w:rPr>
            </w:pPr>
            <w:r w:rsidRPr="008109D0">
              <w:rPr>
                <w:sz w:val="18"/>
                <w:szCs w:val="18"/>
              </w:rPr>
              <w:t>17.130.000</w:t>
            </w:r>
          </w:p>
        </w:tc>
        <w:tc>
          <w:tcPr>
            <w:tcW w:w="112" w:type="dxa"/>
            <w:vAlign w:val="bottom"/>
          </w:tcPr>
          <w:p w14:paraId="21795760" w14:textId="77777777" w:rsidR="000A4993" w:rsidRPr="008109D0" w:rsidRDefault="000A4993" w:rsidP="000A4993">
            <w:pPr>
              <w:ind w:left="318" w:right="57"/>
              <w:jc w:val="right"/>
              <w:rPr>
                <w:sz w:val="18"/>
                <w:szCs w:val="18"/>
              </w:rPr>
            </w:pPr>
          </w:p>
        </w:tc>
        <w:tc>
          <w:tcPr>
            <w:tcW w:w="1680" w:type="dxa"/>
          </w:tcPr>
          <w:p w14:paraId="4719CBBA" w14:textId="77777777" w:rsidR="000A4993" w:rsidRPr="008109D0" w:rsidRDefault="000A4993" w:rsidP="000A4993">
            <w:pPr>
              <w:ind w:right="57"/>
              <w:jc w:val="right"/>
              <w:rPr>
                <w:sz w:val="18"/>
                <w:szCs w:val="18"/>
              </w:rPr>
            </w:pPr>
            <w:r w:rsidRPr="008109D0">
              <w:rPr>
                <w:sz w:val="18"/>
                <w:szCs w:val="18"/>
              </w:rPr>
              <w:t>80.750.000</w:t>
            </w:r>
          </w:p>
        </w:tc>
        <w:tc>
          <w:tcPr>
            <w:tcW w:w="2860" w:type="dxa"/>
          </w:tcPr>
          <w:p w14:paraId="43A96DD8" w14:textId="77777777" w:rsidR="000A4993" w:rsidRPr="008109D0" w:rsidRDefault="000A4993" w:rsidP="000A4993">
            <w:pPr>
              <w:numPr>
                <w:ilvl w:val="12"/>
                <w:numId w:val="0"/>
              </w:numPr>
              <w:ind w:right="170"/>
              <w:jc w:val="right"/>
              <w:rPr>
                <w:i/>
                <w:sz w:val="18"/>
                <w:szCs w:val="18"/>
              </w:rPr>
            </w:pPr>
            <w:r w:rsidRPr="008109D0">
              <w:rPr>
                <w:i/>
                <w:sz w:val="18"/>
                <w:szCs w:val="18"/>
              </w:rPr>
              <w:t>Training</w:t>
            </w:r>
          </w:p>
        </w:tc>
      </w:tr>
      <w:tr w:rsidR="000A4993" w:rsidRPr="008109D0" w14:paraId="3900675D" w14:textId="77777777" w:rsidTr="002108FF">
        <w:trPr>
          <w:trHeight w:val="20"/>
        </w:trPr>
        <w:tc>
          <w:tcPr>
            <w:tcW w:w="2872" w:type="dxa"/>
          </w:tcPr>
          <w:p w14:paraId="7E1B1FFB" w14:textId="77777777" w:rsidR="000A4993" w:rsidRPr="008109D0" w:rsidRDefault="000A4993" w:rsidP="000A4993">
            <w:pPr>
              <w:ind w:left="794" w:hanging="207"/>
              <w:rPr>
                <w:sz w:val="18"/>
                <w:szCs w:val="18"/>
              </w:rPr>
            </w:pPr>
            <w:r w:rsidRPr="008109D0">
              <w:rPr>
                <w:sz w:val="18"/>
                <w:szCs w:val="18"/>
              </w:rPr>
              <w:t>Pajak final</w:t>
            </w:r>
          </w:p>
        </w:tc>
        <w:tc>
          <w:tcPr>
            <w:tcW w:w="1673" w:type="dxa"/>
            <w:shd w:val="clear" w:color="auto" w:fill="auto"/>
            <w:vAlign w:val="bottom"/>
          </w:tcPr>
          <w:p w14:paraId="71A6D3F2" w14:textId="2E250F7E" w:rsidR="000A4993" w:rsidRPr="008109D0" w:rsidRDefault="000A4993" w:rsidP="000A4993">
            <w:pPr>
              <w:ind w:right="57"/>
              <w:jc w:val="right"/>
              <w:rPr>
                <w:sz w:val="18"/>
                <w:szCs w:val="18"/>
              </w:rPr>
            </w:pPr>
            <w:r w:rsidRPr="008109D0">
              <w:rPr>
                <w:sz w:val="18"/>
                <w:szCs w:val="18"/>
              </w:rPr>
              <w:t>3.400.946</w:t>
            </w:r>
          </w:p>
        </w:tc>
        <w:tc>
          <w:tcPr>
            <w:tcW w:w="112" w:type="dxa"/>
            <w:vAlign w:val="bottom"/>
          </w:tcPr>
          <w:p w14:paraId="281DDD2E" w14:textId="77777777" w:rsidR="000A4993" w:rsidRPr="008109D0" w:rsidRDefault="000A4993" w:rsidP="000A4993">
            <w:pPr>
              <w:ind w:left="318" w:right="57"/>
              <w:jc w:val="right"/>
              <w:rPr>
                <w:sz w:val="18"/>
                <w:szCs w:val="18"/>
              </w:rPr>
            </w:pPr>
          </w:p>
        </w:tc>
        <w:tc>
          <w:tcPr>
            <w:tcW w:w="1680" w:type="dxa"/>
          </w:tcPr>
          <w:p w14:paraId="1CBB07B4" w14:textId="457951F6" w:rsidR="000A4993" w:rsidRPr="008109D0" w:rsidRDefault="000A4993" w:rsidP="000A4993">
            <w:pPr>
              <w:ind w:right="57"/>
              <w:jc w:val="right"/>
              <w:rPr>
                <w:sz w:val="18"/>
                <w:szCs w:val="18"/>
              </w:rPr>
            </w:pPr>
            <w:r w:rsidRPr="008109D0">
              <w:rPr>
                <w:sz w:val="18"/>
                <w:szCs w:val="18"/>
              </w:rPr>
              <w:t>-</w:t>
            </w:r>
          </w:p>
        </w:tc>
        <w:tc>
          <w:tcPr>
            <w:tcW w:w="2860" w:type="dxa"/>
          </w:tcPr>
          <w:p w14:paraId="4E233DA3" w14:textId="77777777" w:rsidR="000A4993" w:rsidRPr="008109D0" w:rsidRDefault="000A4993" w:rsidP="000A4993">
            <w:pPr>
              <w:numPr>
                <w:ilvl w:val="12"/>
                <w:numId w:val="0"/>
              </w:numPr>
              <w:ind w:right="170"/>
              <w:jc w:val="right"/>
              <w:rPr>
                <w:i/>
                <w:sz w:val="18"/>
                <w:szCs w:val="18"/>
              </w:rPr>
            </w:pPr>
            <w:r w:rsidRPr="008109D0">
              <w:rPr>
                <w:i/>
                <w:sz w:val="18"/>
                <w:szCs w:val="18"/>
              </w:rPr>
              <w:t>Final tax</w:t>
            </w:r>
          </w:p>
        </w:tc>
      </w:tr>
      <w:tr w:rsidR="000A4993" w:rsidRPr="008109D0" w14:paraId="6695EE83" w14:textId="77777777" w:rsidTr="002108FF">
        <w:trPr>
          <w:trHeight w:val="20"/>
        </w:trPr>
        <w:tc>
          <w:tcPr>
            <w:tcW w:w="2872" w:type="dxa"/>
          </w:tcPr>
          <w:p w14:paraId="391292C3" w14:textId="77777777" w:rsidR="000A4993" w:rsidRPr="008109D0" w:rsidRDefault="000A4993" w:rsidP="000A4993">
            <w:pPr>
              <w:ind w:left="794" w:hanging="207"/>
              <w:rPr>
                <w:sz w:val="18"/>
                <w:szCs w:val="18"/>
              </w:rPr>
            </w:pPr>
            <w:r w:rsidRPr="008109D0">
              <w:rPr>
                <w:sz w:val="18"/>
                <w:szCs w:val="18"/>
              </w:rPr>
              <w:t>Bunga</w:t>
            </w:r>
          </w:p>
        </w:tc>
        <w:tc>
          <w:tcPr>
            <w:tcW w:w="1673" w:type="dxa"/>
            <w:shd w:val="clear" w:color="auto" w:fill="auto"/>
            <w:vAlign w:val="bottom"/>
          </w:tcPr>
          <w:p w14:paraId="18950574" w14:textId="2C0F076C" w:rsidR="000A4993" w:rsidRPr="008109D0" w:rsidRDefault="000A4993" w:rsidP="000A4993">
            <w:pPr>
              <w:ind w:right="57"/>
              <w:jc w:val="right"/>
              <w:rPr>
                <w:sz w:val="18"/>
                <w:szCs w:val="18"/>
              </w:rPr>
            </w:pPr>
            <w:r w:rsidRPr="008109D0">
              <w:rPr>
                <w:sz w:val="18"/>
                <w:szCs w:val="18"/>
              </w:rPr>
              <w:t>2.214.346</w:t>
            </w:r>
          </w:p>
        </w:tc>
        <w:tc>
          <w:tcPr>
            <w:tcW w:w="112" w:type="dxa"/>
            <w:vAlign w:val="bottom"/>
          </w:tcPr>
          <w:p w14:paraId="27FEF8FA" w14:textId="77777777" w:rsidR="000A4993" w:rsidRPr="008109D0" w:rsidRDefault="000A4993" w:rsidP="000A4993">
            <w:pPr>
              <w:ind w:left="318" w:right="57"/>
              <w:jc w:val="right"/>
              <w:rPr>
                <w:sz w:val="18"/>
                <w:szCs w:val="18"/>
              </w:rPr>
            </w:pPr>
          </w:p>
        </w:tc>
        <w:tc>
          <w:tcPr>
            <w:tcW w:w="1680" w:type="dxa"/>
          </w:tcPr>
          <w:p w14:paraId="7BA24D62" w14:textId="5A4A2315" w:rsidR="000A4993" w:rsidRPr="008109D0" w:rsidRDefault="000A4993" w:rsidP="000A4993">
            <w:pPr>
              <w:ind w:right="57"/>
              <w:jc w:val="right"/>
              <w:rPr>
                <w:sz w:val="18"/>
                <w:szCs w:val="18"/>
              </w:rPr>
            </w:pPr>
            <w:r w:rsidRPr="008109D0">
              <w:rPr>
                <w:sz w:val="18"/>
                <w:szCs w:val="18"/>
              </w:rPr>
              <w:t>-</w:t>
            </w:r>
          </w:p>
        </w:tc>
        <w:tc>
          <w:tcPr>
            <w:tcW w:w="2860" w:type="dxa"/>
          </w:tcPr>
          <w:p w14:paraId="1C7F9C25" w14:textId="77777777" w:rsidR="000A4993" w:rsidRPr="008109D0" w:rsidRDefault="000A4993" w:rsidP="000A4993">
            <w:pPr>
              <w:numPr>
                <w:ilvl w:val="12"/>
                <w:numId w:val="0"/>
              </w:numPr>
              <w:ind w:right="170"/>
              <w:jc w:val="right"/>
              <w:rPr>
                <w:i/>
                <w:sz w:val="18"/>
                <w:szCs w:val="18"/>
              </w:rPr>
            </w:pPr>
            <w:r w:rsidRPr="008109D0">
              <w:rPr>
                <w:i/>
                <w:sz w:val="18"/>
                <w:szCs w:val="18"/>
              </w:rPr>
              <w:t xml:space="preserve">Interest </w:t>
            </w:r>
          </w:p>
        </w:tc>
      </w:tr>
      <w:tr w:rsidR="000A4993" w:rsidRPr="008109D0" w14:paraId="6EBD79C7" w14:textId="77777777" w:rsidTr="002108FF">
        <w:trPr>
          <w:trHeight w:val="20"/>
        </w:trPr>
        <w:tc>
          <w:tcPr>
            <w:tcW w:w="2872" w:type="dxa"/>
          </w:tcPr>
          <w:p w14:paraId="7C179039" w14:textId="77777777" w:rsidR="000A4993" w:rsidRPr="008109D0" w:rsidRDefault="000A4993" w:rsidP="000A4993">
            <w:pPr>
              <w:ind w:left="794" w:hanging="207"/>
              <w:rPr>
                <w:sz w:val="18"/>
                <w:szCs w:val="18"/>
              </w:rPr>
            </w:pPr>
            <w:r w:rsidRPr="008109D0">
              <w:rPr>
                <w:sz w:val="18"/>
                <w:szCs w:val="18"/>
              </w:rPr>
              <w:t>Rumah tangga</w:t>
            </w:r>
          </w:p>
        </w:tc>
        <w:tc>
          <w:tcPr>
            <w:tcW w:w="1673" w:type="dxa"/>
            <w:shd w:val="clear" w:color="auto" w:fill="auto"/>
            <w:vAlign w:val="bottom"/>
          </w:tcPr>
          <w:p w14:paraId="2F04CA5A" w14:textId="6B2BF7EC" w:rsidR="000A4993" w:rsidRPr="008109D0" w:rsidRDefault="000A4993" w:rsidP="000A4993">
            <w:pPr>
              <w:ind w:right="57"/>
              <w:jc w:val="right"/>
              <w:rPr>
                <w:sz w:val="18"/>
                <w:szCs w:val="18"/>
              </w:rPr>
            </w:pPr>
            <w:r w:rsidRPr="008109D0">
              <w:rPr>
                <w:sz w:val="18"/>
                <w:szCs w:val="18"/>
              </w:rPr>
              <w:t>1.837.500</w:t>
            </w:r>
          </w:p>
        </w:tc>
        <w:tc>
          <w:tcPr>
            <w:tcW w:w="112" w:type="dxa"/>
            <w:vAlign w:val="bottom"/>
          </w:tcPr>
          <w:p w14:paraId="65D3AB0C" w14:textId="77777777" w:rsidR="000A4993" w:rsidRPr="008109D0" w:rsidRDefault="000A4993" w:rsidP="000A4993">
            <w:pPr>
              <w:ind w:left="318" w:right="57"/>
              <w:jc w:val="right"/>
              <w:rPr>
                <w:sz w:val="18"/>
                <w:szCs w:val="18"/>
              </w:rPr>
            </w:pPr>
          </w:p>
        </w:tc>
        <w:tc>
          <w:tcPr>
            <w:tcW w:w="1680" w:type="dxa"/>
          </w:tcPr>
          <w:p w14:paraId="0455C8B9" w14:textId="6930B8DD" w:rsidR="000A4993" w:rsidRPr="008109D0" w:rsidRDefault="000A4993" w:rsidP="000A4993">
            <w:pPr>
              <w:ind w:right="57"/>
              <w:jc w:val="right"/>
              <w:rPr>
                <w:sz w:val="18"/>
                <w:szCs w:val="18"/>
              </w:rPr>
            </w:pPr>
            <w:r w:rsidRPr="008109D0">
              <w:rPr>
                <w:sz w:val="18"/>
                <w:szCs w:val="18"/>
              </w:rPr>
              <w:t>-</w:t>
            </w:r>
          </w:p>
        </w:tc>
        <w:tc>
          <w:tcPr>
            <w:tcW w:w="2860" w:type="dxa"/>
          </w:tcPr>
          <w:p w14:paraId="6A02211E" w14:textId="77777777" w:rsidR="000A4993" w:rsidRPr="008109D0" w:rsidRDefault="000A4993" w:rsidP="000A4993">
            <w:pPr>
              <w:numPr>
                <w:ilvl w:val="12"/>
                <w:numId w:val="0"/>
              </w:numPr>
              <w:ind w:right="170"/>
              <w:jc w:val="right"/>
              <w:rPr>
                <w:i/>
                <w:sz w:val="18"/>
                <w:szCs w:val="18"/>
              </w:rPr>
            </w:pPr>
            <w:r w:rsidRPr="008109D0">
              <w:rPr>
                <w:i/>
                <w:sz w:val="18"/>
                <w:szCs w:val="18"/>
              </w:rPr>
              <w:t>Household</w:t>
            </w:r>
          </w:p>
        </w:tc>
      </w:tr>
      <w:tr w:rsidR="000A4993" w:rsidRPr="008109D0" w14:paraId="2D342FC0" w14:textId="77777777" w:rsidTr="002108FF">
        <w:trPr>
          <w:trHeight w:val="20"/>
        </w:trPr>
        <w:tc>
          <w:tcPr>
            <w:tcW w:w="2872" w:type="dxa"/>
          </w:tcPr>
          <w:p w14:paraId="51C7EA9B" w14:textId="77777777" w:rsidR="000A4993" w:rsidRPr="008109D0" w:rsidRDefault="000A4993" w:rsidP="000A4993">
            <w:pPr>
              <w:ind w:left="794" w:hanging="207"/>
              <w:rPr>
                <w:sz w:val="18"/>
                <w:szCs w:val="18"/>
              </w:rPr>
            </w:pPr>
            <w:r w:rsidRPr="008109D0">
              <w:rPr>
                <w:sz w:val="18"/>
                <w:szCs w:val="18"/>
              </w:rPr>
              <w:t>Renovasi</w:t>
            </w:r>
          </w:p>
        </w:tc>
        <w:tc>
          <w:tcPr>
            <w:tcW w:w="1673" w:type="dxa"/>
            <w:shd w:val="clear" w:color="auto" w:fill="auto"/>
            <w:vAlign w:val="bottom"/>
          </w:tcPr>
          <w:p w14:paraId="7D800CDA" w14:textId="56AA43DF" w:rsidR="000A4993" w:rsidRPr="008109D0" w:rsidRDefault="000A4993" w:rsidP="000A4993">
            <w:pPr>
              <w:ind w:right="57"/>
              <w:jc w:val="right"/>
              <w:rPr>
                <w:sz w:val="18"/>
                <w:szCs w:val="18"/>
              </w:rPr>
            </w:pPr>
            <w:r w:rsidRPr="008109D0">
              <w:rPr>
                <w:sz w:val="18"/>
                <w:szCs w:val="18"/>
              </w:rPr>
              <w:t>1.425.000</w:t>
            </w:r>
          </w:p>
        </w:tc>
        <w:tc>
          <w:tcPr>
            <w:tcW w:w="112" w:type="dxa"/>
            <w:vAlign w:val="bottom"/>
          </w:tcPr>
          <w:p w14:paraId="347A1184" w14:textId="77777777" w:rsidR="000A4993" w:rsidRPr="008109D0" w:rsidRDefault="000A4993" w:rsidP="000A4993">
            <w:pPr>
              <w:ind w:left="318" w:right="57"/>
              <w:jc w:val="right"/>
              <w:rPr>
                <w:sz w:val="18"/>
                <w:szCs w:val="18"/>
              </w:rPr>
            </w:pPr>
          </w:p>
        </w:tc>
        <w:tc>
          <w:tcPr>
            <w:tcW w:w="1680" w:type="dxa"/>
          </w:tcPr>
          <w:p w14:paraId="49FEB46B" w14:textId="0D30E721" w:rsidR="000A4993" w:rsidRPr="008109D0" w:rsidRDefault="000A4993" w:rsidP="000A4993">
            <w:pPr>
              <w:ind w:right="57"/>
              <w:jc w:val="right"/>
              <w:rPr>
                <w:sz w:val="18"/>
                <w:szCs w:val="18"/>
              </w:rPr>
            </w:pPr>
            <w:r w:rsidRPr="008109D0">
              <w:rPr>
                <w:sz w:val="18"/>
                <w:szCs w:val="18"/>
              </w:rPr>
              <w:t>-</w:t>
            </w:r>
          </w:p>
        </w:tc>
        <w:tc>
          <w:tcPr>
            <w:tcW w:w="2860" w:type="dxa"/>
          </w:tcPr>
          <w:p w14:paraId="4B5C40F1" w14:textId="77777777" w:rsidR="000A4993" w:rsidRPr="008109D0" w:rsidRDefault="000A4993" w:rsidP="000A4993">
            <w:pPr>
              <w:numPr>
                <w:ilvl w:val="12"/>
                <w:numId w:val="0"/>
              </w:numPr>
              <w:ind w:right="170"/>
              <w:jc w:val="right"/>
              <w:rPr>
                <w:i/>
                <w:sz w:val="18"/>
                <w:szCs w:val="18"/>
              </w:rPr>
            </w:pPr>
            <w:r w:rsidRPr="008109D0">
              <w:rPr>
                <w:i/>
                <w:sz w:val="18"/>
                <w:szCs w:val="18"/>
              </w:rPr>
              <w:t>Renovation</w:t>
            </w:r>
          </w:p>
        </w:tc>
      </w:tr>
      <w:tr w:rsidR="000A4993" w:rsidRPr="008109D0" w14:paraId="2603AD56" w14:textId="77777777" w:rsidTr="002108FF">
        <w:trPr>
          <w:trHeight w:val="20"/>
        </w:trPr>
        <w:tc>
          <w:tcPr>
            <w:tcW w:w="2872" w:type="dxa"/>
          </w:tcPr>
          <w:p w14:paraId="377B96FF" w14:textId="77777777" w:rsidR="000A4993" w:rsidRPr="008109D0" w:rsidRDefault="000A4993" w:rsidP="000A4993">
            <w:pPr>
              <w:ind w:left="794" w:hanging="207"/>
              <w:rPr>
                <w:sz w:val="18"/>
                <w:szCs w:val="18"/>
              </w:rPr>
            </w:pPr>
            <w:r w:rsidRPr="008109D0">
              <w:rPr>
                <w:sz w:val="18"/>
                <w:szCs w:val="18"/>
              </w:rPr>
              <w:t>Makan</w:t>
            </w:r>
          </w:p>
        </w:tc>
        <w:tc>
          <w:tcPr>
            <w:tcW w:w="1673" w:type="dxa"/>
            <w:shd w:val="clear" w:color="auto" w:fill="auto"/>
            <w:vAlign w:val="bottom"/>
          </w:tcPr>
          <w:p w14:paraId="1B5C7E72" w14:textId="77777777" w:rsidR="000A4993" w:rsidRPr="008109D0" w:rsidRDefault="000A4993" w:rsidP="000A4993">
            <w:pPr>
              <w:ind w:right="57"/>
              <w:jc w:val="right"/>
              <w:rPr>
                <w:sz w:val="18"/>
                <w:szCs w:val="18"/>
              </w:rPr>
            </w:pPr>
            <w:r w:rsidRPr="008109D0">
              <w:rPr>
                <w:sz w:val="18"/>
                <w:szCs w:val="18"/>
              </w:rPr>
              <w:t>372.400</w:t>
            </w:r>
          </w:p>
        </w:tc>
        <w:tc>
          <w:tcPr>
            <w:tcW w:w="112" w:type="dxa"/>
            <w:vAlign w:val="bottom"/>
          </w:tcPr>
          <w:p w14:paraId="466B8BAB" w14:textId="77777777" w:rsidR="000A4993" w:rsidRPr="008109D0" w:rsidRDefault="000A4993" w:rsidP="000A4993">
            <w:pPr>
              <w:ind w:left="318" w:right="57"/>
              <w:jc w:val="right"/>
              <w:rPr>
                <w:sz w:val="18"/>
                <w:szCs w:val="18"/>
              </w:rPr>
            </w:pPr>
          </w:p>
        </w:tc>
        <w:tc>
          <w:tcPr>
            <w:tcW w:w="1680" w:type="dxa"/>
          </w:tcPr>
          <w:p w14:paraId="26D9F810" w14:textId="281FA598" w:rsidR="000A4993" w:rsidRPr="008109D0" w:rsidRDefault="000A4993" w:rsidP="000A4993">
            <w:pPr>
              <w:ind w:right="57"/>
              <w:jc w:val="right"/>
              <w:rPr>
                <w:sz w:val="18"/>
                <w:szCs w:val="18"/>
              </w:rPr>
            </w:pPr>
            <w:r w:rsidRPr="008109D0">
              <w:rPr>
                <w:sz w:val="18"/>
                <w:szCs w:val="18"/>
              </w:rPr>
              <w:t>-</w:t>
            </w:r>
          </w:p>
        </w:tc>
        <w:tc>
          <w:tcPr>
            <w:tcW w:w="2860" w:type="dxa"/>
          </w:tcPr>
          <w:p w14:paraId="130E4898" w14:textId="77777777" w:rsidR="000A4993" w:rsidRPr="008109D0" w:rsidRDefault="000A4993" w:rsidP="000A4993">
            <w:pPr>
              <w:numPr>
                <w:ilvl w:val="12"/>
                <w:numId w:val="0"/>
              </w:numPr>
              <w:ind w:right="170"/>
              <w:jc w:val="right"/>
              <w:rPr>
                <w:i/>
                <w:sz w:val="18"/>
                <w:szCs w:val="18"/>
              </w:rPr>
            </w:pPr>
            <w:r w:rsidRPr="008109D0">
              <w:rPr>
                <w:i/>
                <w:sz w:val="18"/>
                <w:szCs w:val="18"/>
              </w:rPr>
              <w:t>Meal</w:t>
            </w:r>
          </w:p>
        </w:tc>
      </w:tr>
      <w:tr w:rsidR="000A4993" w:rsidRPr="008109D0" w14:paraId="7555F6B6" w14:textId="77777777" w:rsidTr="002108FF">
        <w:trPr>
          <w:trHeight w:val="20"/>
        </w:trPr>
        <w:tc>
          <w:tcPr>
            <w:tcW w:w="2872" w:type="dxa"/>
          </w:tcPr>
          <w:p w14:paraId="4EADC9D9" w14:textId="77777777" w:rsidR="000A4993" w:rsidRPr="008109D0" w:rsidRDefault="000A4993" w:rsidP="000A4993">
            <w:pPr>
              <w:ind w:left="794" w:hanging="207"/>
              <w:rPr>
                <w:sz w:val="18"/>
                <w:szCs w:val="18"/>
              </w:rPr>
            </w:pPr>
            <w:r w:rsidRPr="008109D0">
              <w:rPr>
                <w:sz w:val="18"/>
                <w:szCs w:val="18"/>
              </w:rPr>
              <w:t>Perizinan</w:t>
            </w:r>
          </w:p>
        </w:tc>
        <w:tc>
          <w:tcPr>
            <w:tcW w:w="1673" w:type="dxa"/>
            <w:shd w:val="clear" w:color="auto" w:fill="auto"/>
            <w:vAlign w:val="bottom"/>
          </w:tcPr>
          <w:p w14:paraId="7C255FC5" w14:textId="77777777" w:rsidR="000A4993" w:rsidRPr="008109D0" w:rsidRDefault="000A4993" w:rsidP="000A4993">
            <w:pPr>
              <w:ind w:right="57"/>
              <w:jc w:val="right"/>
              <w:rPr>
                <w:sz w:val="18"/>
                <w:szCs w:val="18"/>
              </w:rPr>
            </w:pPr>
            <w:r w:rsidRPr="008109D0">
              <w:rPr>
                <w:sz w:val="18"/>
                <w:szCs w:val="18"/>
              </w:rPr>
              <w:t>99.000</w:t>
            </w:r>
          </w:p>
        </w:tc>
        <w:tc>
          <w:tcPr>
            <w:tcW w:w="112" w:type="dxa"/>
            <w:vAlign w:val="bottom"/>
          </w:tcPr>
          <w:p w14:paraId="40D815E2" w14:textId="77777777" w:rsidR="000A4993" w:rsidRPr="008109D0" w:rsidRDefault="000A4993" w:rsidP="000A4993">
            <w:pPr>
              <w:ind w:left="318" w:right="57"/>
              <w:jc w:val="right"/>
              <w:rPr>
                <w:sz w:val="18"/>
                <w:szCs w:val="18"/>
              </w:rPr>
            </w:pPr>
          </w:p>
        </w:tc>
        <w:tc>
          <w:tcPr>
            <w:tcW w:w="1680" w:type="dxa"/>
          </w:tcPr>
          <w:p w14:paraId="3CCC48C2" w14:textId="6120926E" w:rsidR="000A4993" w:rsidRPr="008109D0" w:rsidRDefault="000A4993" w:rsidP="000A4993">
            <w:pPr>
              <w:ind w:right="57"/>
              <w:jc w:val="right"/>
              <w:rPr>
                <w:sz w:val="18"/>
                <w:szCs w:val="18"/>
              </w:rPr>
            </w:pPr>
            <w:r w:rsidRPr="008109D0">
              <w:rPr>
                <w:sz w:val="18"/>
                <w:szCs w:val="18"/>
              </w:rPr>
              <w:t>-</w:t>
            </w:r>
          </w:p>
        </w:tc>
        <w:tc>
          <w:tcPr>
            <w:tcW w:w="2860" w:type="dxa"/>
          </w:tcPr>
          <w:p w14:paraId="04100329" w14:textId="77777777" w:rsidR="000A4993" w:rsidRPr="008109D0" w:rsidRDefault="000A4993" w:rsidP="000A4993">
            <w:pPr>
              <w:numPr>
                <w:ilvl w:val="12"/>
                <w:numId w:val="0"/>
              </w:numPr>
              <w:ind w:right="170"/>
              <w:jc w:val="right"/>
              <w:rPr>
                <w:i/>
                <w:sz w:val="18"/>
                <w:szCs w:val="18"/>
              </w:rPr>
            </w:pPr>
            <w:r w:rsidRPr="008109D0">
              <w:rPr>
                <w:i/>
                <w:sz w:val="18"/>
                <w:szCs w:val="18"/>
              </w:rPr>
              <w:t>License and tax</w:t>
            </w:r>
          </w:p>
        </w:tc>
      </w:tr>
      <w:tr w:rsidR="000A4993" w:rsidRPr="008109D0" w14:paraId="2D10098E" w14:textId="77777777" w:rsidTr="002108FF">
        <w:trPr>
          <w:trHeight w:val="20"/>
        </w:trPr>
        <w:tc>
          <w:tcPr>
            <w:tcW w:w="2872" w:type="dxa"/>
          </w:tcPr>
          <w:p w14:paraId="038833B8" w14:textId="77777777" w:rsidR="000A4993" w:rsidRPr="008109D0" w:rsidRDefault="000A4993" w:rsidP="000A4993">
            <w:pPr>
              <w:ind w:left="794" w:hanging="207"/>
              <w:rPr>
                <w:sz w:val="18"/>
                <w:szCs w:val="18"/>
              </w:rPr>
            </w:pPr>
            <w:r w:rsidRPr="008109D0">
              <w:rPr>
                <w:sz w:val="18"/>
                <w:szCs w:val="18"/>
              </w:rPr>
              <w:t>Lain-lain</w:t>
            </w:r>
          </w:p>
        </w:tc>
        <w:tc>
          <w:tcPr>
            <w:tcW w:w="1673" w:type="dxa"/>
            <w:shd w:val="clear" w:color="auto" w:fill="auto"/>
            <w:vAlign w:val="bottom"/>
          </w:tcPr>
          <w:p w14:paraId="1B34D63D" w14:textId="2974616B" w:rsidR="000A4993" w:rsidRPr="008109D0" w:rsidRDefault="000A4993" w:rsidP="000A4993">
            <w:pPr>
              <w:ind w:right="57"/>
              <w:jc w:val="right"/>
              <w:rPr>
                <w:sz w:val="18"/>
                <w:szCs w:val="18"/>
              </w:rPr>
            </w:pPr>
            <w:r w:rsidRPr="008109D0">
              <w:rPr>
                <w:sz w:val="18"/>
                <w:szCs w:val="18"/>
              </w:rPr>
              <w:t>54.935.457</w:t>
            </w:r>
          </w:p>
        </w:tc>
        <w:tc>
          <w:tcPr>
            <w:tcW w:w="112" w:type="dxa"/>
            <w:vAlign w:val="bottom"/>
          </w:tcPr>
          <w:p w14:paraId="550BA512" w14:textId="77777777" w:rsidR="000A4993" w:rsidRPr="008109D0" w:rsidRDefault="000A4993" w:rsidP="000A4993">
            <w:pPr>
              <w:ind w:left="318" w:right="57"/>
              <w:jc w:val="right"/>
              <w:rPr>
                <w:sz w:val="18"/>
                <w:szCs w:val="18"/>
              </w:rPr>
            </w:pPr>
          </w:p>
        </w:tc>
        <w:tc>
          <w:tcPr>
            <w:tcW w:w="1680" w:type="dxa"/>
          </w:tcPr>
          <w:p w14:paraId="3AC8853F" w14:textId="399E7A7A" w:rsidR="000A4993" w:rsidRPr="008109D0" w:rsidRDefault="000A4993" w:rsidP="000A4993">
            <w:pPr>
              <w:ind w:right="57"/>
              <w:jc w:val="right"/>
              <w:rPr>
                <w:sz w:val="18"/>
                <w:szCs w:val="18"/>
              </w:rPr>
            </w:pPr>
            <w:r w:rsidRPr="008109D0">
              <w:rPr>
                <w:sz w:val="18"/>
                <w:szCs w:val="18"/>
              </w:rPr>
              <w:t>-</w:t>
            </w:r>
          </w:p>
        </w:tc>
        <w:tc>
          <w:tcPr>
            <w:tcW w:w="2860" w:type="dxa"/>
          </w:tcPr>
          <w:p w14:paraId="39AC9655" w14:textId="77777777" w:rsidR="000A4993" w:rsidRPr="008109D0" w:rsidRDefault="000A4993" w:rsidP="000A4993">
            <w:pPr>
              <w:numPr>
                <w:ilvl w:val="12"/>
                <w:numId w:val="0"/>
              </w:numPr>
              <w:ind w:right="170"/>
              <w:jc w:val="right"/>
              <w:rPr>
                <w:i/>
                <w:sz w:val="18"/>
                <w:szCs w:val="18"/>
              </w:rPr>
            </w:pPr>
            <w:r w:rsidRPr="008109D0">
              <w:rPr>
                <w:i/>
                <w:sz w:val="18"/>
                <w:szCs w:val="18"/>
              </w:rPr>
              <w:t>Others</w:t>
            </w:r>
          </w:p>
        </w:tc>
      </w:tr>
      <w:tr w:rsidR="000A4993" w:rsidRPr="008109D0" w14:paraId="7F6342AC" w14:textId="77777777" w:rsidTr="002108FF">
        <w:trPr>
          <w:trHeight w:val="20"/>
        </w:trPr>
        <w:tc>
          <w:tcPr>
            <w:tcW w:w="2872" w:type="dxa"/>
          </w:tcPr>
          <w:p w14:paraId="69690896" w14:textId="1607AE9C" w:rsidR="000A4993" w:rsidRPr="008109D0" w:rsidRDefault="000A4993" w:rsidP="000A4993">
            <w:pPr>
              <w:ind w:left="794" w:hanging="207"/>
              <w:rPr>
                <w:sz w:val="18"/>
                <w:szCs w:val="18"/>
              </w:rPr>
            </w:pPr>
            <w:r w:rsidRPr="008109D0">
              <w:rPr>
                <w:sz w:val="18"/>
                <w:szCs w:val="18"/>
              </w:rPr>
              <w:t>Pendapatan bunga</w:t>
            </w:r>
          </w:p>
        </w:tc>
        <w:tc>
          <w:tcPr>
            <w:tcW w:w="1673" w:type="dxa"/>
            <w:shd w:val="clear" w:color="auto" w:fill="auto"/>
            <w:vAlign w:val="bottom"/>
          </w:tcPr>
          <w:p w14:paraId="7D7B5E7F" w14:textId="500FFE0F" w:rsidR="000A4993" w:rsidRPr="008109D0" w:rsidRDefault="001772DE" w:rsidP="000A4993">
            <w:pPr>
              <w:ind w:right="57"/>
              <w:jc w:val="right"/>
              <w:rPr>
                <w:sz w:val="18"/>
                <w:szCs w:val="18"/>
              </w:rPr>
            </w:pPr>
            <w:r w:rsidRPr="008109D0">
              <w:rPr>
                <w:sz w:val="18"/>
                <w:szCs w:val="18"/>
              </w:rPr>
              <w:t>(3.128.186.087)</w:t>
            </w:r>
          </w:p>
        </w:tc>
        <w:tc>
          <w:tcPr>
            <w:tcW w:w="112" w:type="dxa"/>
            <w:vAlign w:val="bottom"/>
          </w:tcPr>
          <w:p w14:paraId="00E51F95" w14:textId="77777777" w:rsidR="000A4993" w:rsidRPr="008109D0" w:rsidRDefault="000A4993" w:rsidP="000A4993">
            <w:pPr>
              <w:ind w:left="318" w:right="57"/>
              <w:jc w:val="right"/>
              <w:rPr>
                <w:sz w:val="18"/>
                <w:szCs w:val="18"/>
              </w:rPr>
            </w:pPr>
          </w:p>
        </w:tc>
        <w:tc>
          <w:tcPr>
            <w:tcW w:w="1680" w:type="dxa"/>
          </w:tcPr>
          <w:p w14:paraId="70F94AE7" w14:textId="0E3C3D58" w:rsidR="000A4993" w:rsidRPr="008109D0" w:rsidRDefault="000A4993" w:rsidP="000A4993">
            <w:pPr>
              <w:ind w:right="57"/>
              <w:jc w:val="right"/>
              <w:rPr>
                <w:sz w:val="18"/>
                <w:szCs w:val="18"/>
              </w:rPr>
            </w:pPr>
            <w:r w:rsidRPr="008109D0">
              <w:rPr>
                <w:sz w:val="18"/>
                <w:szCs w:val="18"/>
              </w:rPr>
              <w:t>(2.183.258.970)</w:t>
            </w:r>
          </w:p>
        </w:tc>
        <w:tc>
          <w:tcPr>
            <w:tcW w:w="2860" w:type="dxa"/>
          </w:tcPr>
          <w:p w14:paraId="26BB6D77" w14:textId="3DADFA56" w:rsidR="000A4993" w:rsidRPr="008109D0" w:rsidRDefault="000A4993" w:rsidP="000A4993">
            <w:pPr>
              <w:numPr>
                <w:ilvl w:val="12"/>
                <w:numId w:val="0"/>
              </w:numPr>
              <w:ind w:right="170"/>
              <w:jc w:val="right"/>
              <w:rPr>
                <w:i/>
                <w:sz w:val="18"/>
                <w:szCs w:val="18"/>
              </w:rPr>
            </w:pPr>
            <w:r w:rsidRPr="008109D0">
              <w:rPr>
                <w:i/>
                <w:sz w:val="18"/>
                <w:szCs w:val="18"/>
              </w:rPr>
              <w:t>Interest income</w:t>
            </w:r>
          </w:p>
        </w:tc>
      </w:tr>
      <w:tr w:rsidR="000A4993" w:rsidRPr="008109D0" w14:paraId="243E12BD" w14:textId="77777777" w:rsidTr="002108FF">
        <w:trPr>
          <w:trHeight w:val="20"/>
        </w:trPr>
        <w:tc>
          <w:tcPr>
            <w:tcW w:w="2872" w:type="dxa"/>
          </w:tcPr>
          <w:p w14:paraId="4869E849" w14:textId="3FC24B46" w:rsidR="000A4993" w:rsidRPr="008109D0" w:rsidRDefault="000A4993" w:rsidP="000A4993">
            <w:pPr>
              <w:ind w:left="794" w:hanging="207"/>
              <w:rPr>
                <w:sz w:val="18"/>
                <w:szCs w:val="18"/>
              </w:rPr>
            </w:pPr>
            <w:r w:rsidRPr="008109D0">
              <w:rPr>
                <w:sz w:val="18"/>
                <w:szCs w:val="18"/>
              </w:rPr>
              <w:t>Pendapatan sewa</w:t>
            </w:r>
          </w:p>
        </w:tc>
        <w:tc>
          <w:tcPr>
            <w:tcW w:w="1673" w:type="dxa"/>
            <w:shd w:val="clear" w:color="auto" w:fill="auto"/>
            <w:vAlign w:val="bottom"/>
          </w:tcPr>
          <w:p w14:paraId="2201101D" w14:textId="3C9E97FC" w:rsidR="000A4993" w:rsidRPr="008109D0" w:rsidRDefault="000A4993" w:rsidP="000A4993">
            <w:pPr>
              <w:ind w:right="57"/>
              <w:jc w:val="right"/>
              <w:rPr>
                <w:sz w:val="18"/>
                <w:szCs w:val="18"/>
              </w:rPr>
            </w:pPr>
            <w:r w:rsidRPr="008109D0">
              <w:rPr>
                <w:sz w:val="18"/>
                <w:szCs w:val="18"/>
              </w:rPr>
              <w:t>(380.757.984)</w:t>
            </w:r>
          </w:p>
        </w:tc>
        <w:tc>
          <w:tcPr>
            <w:tcW w:w="112" w:type="dxa"/>
            <w:vAlign w:val="bottom"/>
          </w:tcPr>
          <w:p w14:paraId="1DD3E8FA" w14:textId="77777777" w:rsidR="000A4993" w:rsidRPr="008109D0" w:rsidRDefault="000A4993" w:rsidP="000A4993">
            <w:pPr>
              <w:ind w:left="318" w:right="57"/>
              <w:jc w:val="right"/>
              <w:rPr>
                <w:sz w:val="18"/>
                <w:szCs w:val="18"/>
              </w:rPr>
            </w:pPr>
          </w:p>
        </w:tc>
        <w:tc>
          <w:tcPr>
            <w:tcW w:w="1680" w:type="dxa"/>
          </w:tcPr>
          <w:p w14:paraId="659D7A63" w14:textId="73CBABBF" w:rsidR="000A4993" w:rsidRPr="008109D0" w:rsidRDefault="000A4993" w:rsidP="000A4993">
            <w:pPr>
              <w:ind w:right="57"/>
              <w:jc w:val="right"/>
              <w:rPr>
                <w:sz w:val="18"/>
                <w:szCs w:val="18"/>
              </w:rPr>
            </w:pPr>
            <w:r w:rsidRPr="008109D0">
              <w:rPr>
                <w:sz w:val="18"/>
                <w:szCs w:val="18"/>
              </w:rPr>
              <w:t>(277.688.917)</w:t>
            </w:r>
          </w:p>
        </w:tc>
        <w:tc>
          <w:tcPr>
            <w:tcW w:w="2860" w:type="dxa"/>
          </w:tcPr>
          <w:p w14:paraId="656D1150" w14:textId="56699945" w:rsidR="000A4993" w:rsidRPr="008109D0" w:rsidRDefault="000A4993" w:rsidP="000A4993">
            <w:pPr>
              <w:numPr>
                <w:ilvl w:val="12"/>
                <w:numId w:val="0"/>
              </w:numPr>
              <w:ind w:right="170"/>
              <w:jc w:val="right"/>
              <w:rPr>
                <w:i/>
                <w:sz w:val="18"/>
                <w:szCs w:val="18"/>
              </w:rPr>
            </w:pPr>
            <w:r w:rsidRPr="008109D0">
              <w:rPr>
                <w:i/>
                <w:sz w:val="18"/>
                <w:szCs w:val="18"/>
              </w:rPr>
              <w:t>Rent income</w:t>
            </w:r>
          </w:p>
        </w:tc>
      </w:tr>
      <w:tr w:rsidR="000A4993" w:rsidRPr="008109D0" w14:paraId="75719AC3" w14:textId="77777777" w:rsidTr="002108FF">
        <w:trPr>
          <w:trHeight w:val="20"/>
        </w:trPr>
        <w:tc>
          <w:tcPr>
            <w:tcW w:w="2872" w:type="dxa"/>
          </w:tcPr>
          <w:p w14:paraId="2309594B" w14:textId="77777777" w:rsidR="000A4993" w:rsidRPr="008109D0" w:rsidRDefault="000A4993" w:rsidP="000A4993">
            <w:pPr>
              <w:ind w:left="794" w:hanging="207"/>
              <w:rPr>
                <w:sz w:val="18"/>
                <w:szCs w:val="18"/>
              </w:rPr>
            </w:pPr>
          </w:p>
        </w:tc>
        <w:tc>
          <w:tcPr>
            <w:tcW w:w="1673" w:type="dxa"/>
            <w:tcBorders>
              <w:top w:val="single" w:sz="4" w:space="0" w:color="auto"/>
            </w:tcBorders>
            <w:shd w:val="clear" w:color="auto" w:fill="auto"/>
            <w:vAlign w:val="bottom"/>
          </w:tcPr>
          <w:p w14:paraId="38B35E4D" w14:textId="77777777" w:rsidR="000A4993" w:rsidRPr="008109D0" w:rsidRDefault="000A4993" w:rsidP="000A4993">
            <w:pPr>
              <w:ind w:right="57"/>
              <w:jc w:val="right"/>
              <w:rPr>
                <w:sz w:val="18"/>
                <w:szCs w:val="18"/>
              </w:rPr>
            </w:pPr>
          </w:p>
        </w:tc>
        <w:tc>
          <w:tcPr>
            <w:tcW w:w="112" w:type="dxa"/>
            <w:vAlign w:val="bottom"/>
          </w:tcPr>
          <w:p w14:paraId="54357176" w14:textId="77777777" w:rsidR="000A4993" w:rsidRPr="008109D0" w:rsidRDefault="000A4993" w:rsidP="000A4993">
            <w:pPr>
              <w:ind w:left="318" w:right="57"/>
              <w:jc w:val="right"/>
              <w:rPr>
                <w:sz w:val="18"/>
                <w:szCs w:val="18"/>
              </w:rPr>
            </w:pPr>
          </w:p>
        </w:tc>
        <w:tc>
          <w:tcPr>
            <w:tcW w:w="1680" w:type="dxa"/>
            <w:tcBorders>
              <w:top w:val="single" w:sz="4" w:space="0" w:color="auto"/>
            </w:tcBorders>
            <w:vAlign w:val="bottom"/>
          </w:tcPr>
          <w:p w14:paraId="214E8C44" w14:textId="77777777" w:rsidR="000A4993" w:rsidRPr="008109D0" w:rsidRDefault="000A4993" w:rsidP="000A4993">
            <w:pPr>
              <w:ind w:right="57"/>
              <w:jc w:val="right"/>
              <w:rPr>
                <w:sz w:val="18"/>
                <w:szCs w:val="18"/>
              </w:rPr>
            </w:pPr>
          </w:p>
        </w:tc>
        <w:tc>
          <w:tcPr>
            <w:tcW w:w="2860" w:type="dxa"/>
            <w:vAlign w:val="bottom"/>
          </w:tcPr>
          <w:p w14:paraId="5D67E2B8" w14:textId="77777777" w:rsidR="000A4993" w:rsidRPr="008109D0" w:rsidRDefault="000A4993" w:rsidP="000A4993">
            <w:pPr>
              <w:numPr>
                <w:ilvl w:val="12"/>
                <w:numId w:val="0"/>
              </w:numPr>
              <w:jc w:val="right"/>
              <w:rPr>
                <w:i/>
                <w:sz w:val="18"/>
                <w:szCs w:val="18"/>
              </w:rPr>
            </w:pPr>
          </w:p>
        </w:tc>
      </w:tr>
      <w:tr w:rsidR="000A4993" w:rsidRPr="008109D0" w14:paraId="27FE689A" w14:textId="77777777" w:rsidTr="002108FF">
        <w:trPr>
          <w:trHeight w:val="20"/>
        </w:trPr>
        <w:tc>
          <w:tcPr>
            <w:tcW w:w="2872" w:type="dxa"/>
          </w:tcPr>
          <w:p w14:paraId="224B1697" w14:textId="0F30D89A" w:rsidR="000A4993" w:rsidRPr="008109D0" w:rsidRDefault="000A4993" w:rsidP="000A4993">
            <w:pPr>
              <w:ind w:left="794" w:hanging="207"/>
              <w:rPr>
                <w:sz w:val="18"/>
                <w:szCs w:val="18"/>
              </w:rPr>
            </w:pPr>
            <w:r w:rsidRPr="008109D0">
              <w:rPr>
                <w:sz w:val="18"/>
                <w:szCs w:val="18"/>
              </w:rPr>
              <w:t xml:space="preserve">Jumlah </w:t>
            </w:r>
          </w:p>
        </w:tc>
        <w:tc>
          <w:tcPr>
            <w:tcW w:w="1673" w:type="dxa"/>
            <w:tcBorders>
              <w:bottom w:val="single" w:sz="4" w:space="0" w:color="auto"/>
            </w:tcBorders>
            <w:shd w:val="clear" w:color="auto" w:fill="auto"/>
            <w:vAlign w:val="bottom"/>
          </w:tcPr>
          <w:p w14:paraId="35AE59FA" w14:textId="5BE559F7" w:rsidR="000A4993" w:rsidRPr="008109D0" w:rsidRDefault="001772DE" w:rsidP="000A4993">
            <w:pPr>
              <w:ind w:right="57"/>
              <w:jc w:val="right"/>
              <w:rPr>
                <w:sz w:val="18"/>
                <w:szCs w:val="18"/>
              </w:rPr>
            </w:pPr>
            <w:r w:rsidRPr="008109D0">
              <w:rPr>
                <w:sz w:val="18"/>
                <w:szCs w:val="18"/>
              </w:rPr>
              <w:t>(447.089.305)</w:t>
            </w:r>
          </w:p>
        </w:tc>
        <w:tc>
          <w:tcPr>
            <w:tcW w:w="112" w:type="dxa"/>
            <w:vAlign w:val="bottom"/>
          </w:tcPr>
          <w:p w14:paraId="7CBE8B5B" w14:textId="77777777" w:rsidR="000A4993" w:rsidRPr="008109D0" w:rsidRDefault="000A4993" w:rsidP="000A4993">
            <w:pPr>
              <w:ind w:left="318" w:right="57"/>
              <w:jc w:val="right"/>
              <w:rPr>
                <w:sz w:val="18"/>
                <w:szCs w:val="18"/>
              </w:rPr>
            </w:pPr>
          </w:p>
        </w:tc>
        <w:tc>
          <w:tcPr>
            <w:tcW w:w="1680" w:type="dxa"/>
            <w:tcBorders>
              <w:bottom w:val="single" w:sz="4" w:space="0" w:color="auto"/>
            </w:tcBorders>
            <w:vAlign w:val="bottom"/>
          </w:tcPr>
          <w:p w14:paraId="34F52376" w14:textId="4AF4CB38" w:rsidR="000A4993" w:rsidRPr="008109D0" w:rsidRDefault="000A4993" w:rsidP="000A4993">
            <w:pPr>
              <w:ind w:right="57"/>
              <w:jc w:val="right"/>
              <w:rPr>
                <w:sz w:val="18"/>
                <w:szCs w:val="18"/>
              </w:rPr>
            </w:pPr>
            <w:r w:rsidRPr="008109D0">
              <w:rPr>
                <w:sz w:val="18"/>
                <w:szCs w:val="18"/>
              </w:rPr>
              <w:t>1.155.758.476</w:t>
            </w:r>
          </w:p>
        </w:tc>
        <w:tc>
          <w:tcPr>
            <w:tcW w:w="2860" w:type="dxa"/>
            <w:vAlign w:val="bottom"/>
          </w:tcPr>
          <w:p w14:paraId="3B5E3405" w14:textId="5FF2573F" w:rsidR="000A4993" w:rsidRPr="008109D0" w:rsidRDefault="000A4993" w:rsidP="000A4993">
            <w:pPr>
              <w:numPr>
                <w:ilvl w:val="12"/>
                <w:numId w:val="0"/>
              </w:numPr>
              <w:ind w:right="170"/>
              <w:jc w:val="right"/>
              <w:rPr>
                <w:i/>
                <w:sz w:val="18"/>
                <w:szCs w:val="18"/>
              </w:rPr>
            </w:pPr>
            <w:r w:rsidRPr="008109D0">
              <w:rPr>
                <w:i/>
                <w:sz w:val="18"/>
                <w:szCs w:val="18"/>
              </w:rPr>
              <w:t xml:space="preserve">Total </w:t>
            </w:r>
          </w:p>
        </w:tc>
      </w:tr>
      <w:tr w:rsidR="000A4993" w:rsidRPr="008109D0" w14:paraId="6846E23F" w14:textId="77777777" w:rsidTr="002108FF">
        <w:trPr>
          <w:trHeight w:val="20"/>
        </w:trPr>
        <w:tc>
          <w:tcPr>
            <w:tcW w:w="2872" w:type="dxa"/>
          </w:tcPr>
          <w:p w14:paraId="65FFAC0B" w14:textId="77777777" w:rsidR="000A4993" w:rsidRPr="008109D0" w:rsidRDefault="000A4993" w:rsidP="000A4993">
            <w:pPr>
              <w:ind w:left="794" w:hanging="207"/>
              <w:rPr>
                <w:sz w:val="18"/>
                <w:szCs w:val="18"/>
              </w:rPr>
            </w:pPr>
          </w:p>
        </w:tc>
        <w:tc>
          <w:tcPr>
            <w:tcW w:w="1673" w:type="dxa"/>
            <w:tcBorders>
              <w:top w:val="single" w:sz="4" w:space="0" w:color="auto"/>
            </w:tcBorders>
            <w:shd w:val="clear" w:color="auto" w:fill="auto"/>
            <w:vAlign w:val="bottom"/>
          </w:tcPr>
          <w:p w14:paraId="1C780282" w14:textId="46998A3E" w:rsidR="000A4993" w:rsidRPr="008109D0" w:rsidRDefault="000A4993" w:rsidP="000A4993">
            <w:pPr>
              <w:ind w:right="57"/>
              <w:jc w:val="right"/>
              <w:rPr>
                <w:sz w:val="18"/>
                <w:szCs w:val="18"/>
              </w:rPr>
            </w:pPr>
          </w:p>
        </w:tc>
        <w:tc>
          <w:tcPr>
            <w:tcW w:w="112" w:type="dxa"/>
            <w:vAlign w:val="bottom"/>
          </w:tcPr>
          <w:p w14:paraId="4304E6E7" w14:textId="77777777" w:rsidR="000A4993" w:rsidRPr="008109D0" w:rsidRDefault="000A4993" w:rsidP="000A4993">
            <w:pPr>
              <w:ind w:left="318" w:right="57"/>
              <w:jc w:val="right"/>
              <w:rPr>
                <w:sz w:val="18"/>
                <w:szCs w:val="18"/>
              </w:rPr>
            </w:pPr>
          </w:p>
        </w:tc>
        <w:tc>
          <w:tcPr>
            <w:tcW w:w="1680" w:type="dxa"/>
            <w:tcBorders>
              <w:top w:val="single" w:sz="4" w:space="0" w:color="auto"/>
            </w:tcBorders>
            <w:vAlign w:val="bottom"/>
          </w:tcPr>
          <w:p w14:paraId="2E1B162B" w14:textId="44DA67CA" w:rsidR="000A4993" w:rsidRPr="008109D0" w:rsidRDefault="000A4993" w:rsidP="000A4993">
            <w:pPr>
              <w:ind w:right="57"/>
              <w:jc w:val="right"/>
              <w:rPr>
                <w:sz w:val="18"/>
                <w:szCs w:val="18"/>
              </w:rPr>
            </w:pPr>
          </w:p>
        </w:tc>
        <w:tc>
          <w:tcPr>
            <w:tcW w:w="2860" w:type="dxa"/>
            <w:vAlign w:val="bottom"/>
          </w:tcPr>
          <w:p w14:paraId="602E38D3" w14:textId="77777777" w:rsidR="000A4993" w:rsidRPr="008109D0" w:rsidRDefault="000A4993" w:rsidP="000A4993">
            <w:pPr>
              <w:numPr>
                <w:ilvl w:val="12"/>
                <w:numId w:val="0"/>
              </w:numPr>
              <w:jc w:val="right"/>
              <w:rPr>
                <w:i/>
                <w:sz w:val="18"/>
                <w:szCs w:val="18"/>
              </w:rPr>
            </w:pPr>
          </w:p>
        </w:tc>
      </w:tr>
      <w:tr w:rsidR="000A4993" w:rsidRPr="008109D0" w14:paraId="4E438576" w14:textId="77777777" w:rsidTr="00864C56">
        <w:trPr>
          <w:trHeight w:val="217"/>
        </w:trPr>
        <w:tc>
          <w:tcPr>
            <w:tcW w:w="2872" w:type="dxa"/>
          </w:tcPr>
          <w:p w14:paraId="026284CD" w14:textId="1973F735" w:rsidR="000A4993" w:rsidRPr="008109D0" w:rsidRDefault="000A4993" w:rsidP="000A4993">
            <w:pPr>
              <w:ind w:left="794" w:hanging="207"/>
              <w:rPr>
                <w:sz w:val="18"/>
                <w:szCs w:val="18"/>
              </w:rPr>
            </w:pPr>
            <w:r w:rsidRPr="008109D0">
              <w:rPr>
                <w:sz w:val="18"/>
                <w:szCs w:val="18"/>
              </w:rPr>
              <w:t>Beban manfaat pajak perusahaan</w:t>
            </w:r>
          </w:p>
        </w:tc>
        <w:tc>
          <w:tcPr>
            <w:tcW w:w="1673" w:type="dxa"/>
            <w:shd w:val="clear" w:color="auto" w:fill="auto"/>
            <w:vAlign w:val="bottom"/>
          </w:tcPr>
          <w:p w14:paraId="188D4DE5" w14:textId="40ADB205" w:rsidR="000A4993" w:rsidRPr="008109D0" w:rsidRDefault="001772DE" w:rsidP="000A4993">
            <w:pPr>
              <w:ind w:right="57"/>
              <w:jc w:val="right"/>
              <w:rPr>
                <w:sz w:val="18"/>
                <w:szCs w:val="18"/>
              </w:rPr>
            </w:pPr>
            <w:r w:rsidRPr="008109D0">
              <w:rPr>
                <w:sz w:val="18"/>
                <w:szCs w:val="18"/>
              </w:rPr>
              <w:t>2.981.743.905</w:t>
            </w:r>
          </w:p>
        </w:tc>
        <w:tc>
          <w:tcPr>
            <w:tcW w:w="112" w:type="dxa"/>
            <w:vAlign w:val="bottom"/>
          </w:tcPr>
          <w:p w14:paraId="7FF1FE1E" w14:textId="77777777" w:rsidR="000A4993" w:rsidRPr="008109D0" w:rsidRDefault="000A4993" w:rsidP="000A4993">
            <w:pPr>
              <w:ind w:left="567" w:hanging="142"/>
              <w:rPr>
                <w:sz w:val="18"/>
                <w:szCs w:val="18"/>
              </w:rPr>
            </w:pPr>
          </w:p>
        </w:tc>
        <w:tc>
          <w:tcPr>
            <w:tcW w:w="1680" w:type="dxa"/>
            <w:vAlign w:val="bottom"/>
          </w:tcPr>
          <w:p w14:paraId="01AEB106" w14:textId="3FA36631" w:rsidR="000A4993" w:rsidRPr="008109D0" w:rsidRDefault="000A4993" w:rsidP="000A4993">
            <w:pPr>
              <w:jc w:val="right"/>
              <w:rPr>
                <w:sz w:val="18"/>
                <w:szCs w:val="18"/>
              </w:rPr>
            </w:pPr>
            <w:r w:rsidRPr="008109D0">
              <w:rPr>
                <w:sz w:val="18"/>
                <w:szCs w:val="18"/>
              </w:rPr>
              <w:t>1.064.267.898</w:t>
            </w:r>
          </w:p>
        </w:tc>
        <w:tc>
          <w:tcPr>
            <w:tcW w:w="2860" w:type="dxa"/>
            <w:vAlign w:val="bottom"/>
          </w:tcPr>
          <w:p w14:paraId="25C9EADA" w14:textId="7A9443E8" w:rsidR="000A4993" w:rsidRPr="008109D0" w:rsidRDefault="000A4993" w:rsidP="000A4993">
            <w:pPr>
              <w:jc w:val="right"/>
              <w:rPr>
                <w:i/>
                <w:iCs/>
                <w:sz w:val="18"/>
                <w:szCs w:val="18"/>
              </w:rPr>
            </w:pPr>
            <w:r w:rsidRPr="008109D0">
              <w:rPr>
                <w:i/>
                <w:iCs/>
                <w:sz w:val="18"/>
                <w:szCs w:val="18"/>
              </w:rPr>
              <w:t>Tax benefit expenses the Company</w:t>
            </w:r>
          </w:p>
        </w:tc>
      </w:tr>
      <w:tr w:rsidR="000A4993" w:rsidRPr="008109D0" w14:paraId="3BBE0129" w14:textId="77777777" w:rsidTr="00864C56">
        <w:trPr>
          <w:trHeight w:val="20"/>
        </w:trPr>
        <w:tc>
          <w:tcPr>
            <w:tcW w:w="2872" w:type="dxa"/>
          </w:tcPr>
          <w:p w14:paraId="0F63EFAA" w14:textId="0B681C7A" w:rsidR="000A4993" w:rsidRPr="008109D0" w:rsidRDefault="000A4993" w:rsidP="000A4993">
            <w:pPr>
              <w:ind w:left="794" w:hanging="207"/>
              <w:rPr>
                <w:sz w:val="18"/>
                <w:szCs w:val="18"/>
              </w:rPr>
            </w:pPr>
            <w:r w:rsidRPr="008109D0">
              <w:rPr>
                <w:sz w:val="18"/>
                <w:szCs w:val="18"/>
              </w:rPr>
              <w:t>Koreksi DJP</w:t>
            </w:r>
          </w:p>
        </w:tc>
        <w:tc>
          <w:tcPr>
            <w:tcW w:w="1673" w:type="dxa"/>
            <w:shd w:val="clear" w:color="auto" w:fill="auto"/>
            <w:vAlign w:val="bottom"/>
          </w:tcPr>
          <w:p w14:paraId="07EE0089" w14:textId="122989BC" w:rsidR="000A4993" w:rsidRPr="008109D0" w:rsidRDefault="000A4993" w:rsidP="000A4993">
            <w:pPr>
              <w:ind w:right="57"/>
              <w:jc w:val="right"/>
              <w:rPr>
                <w:sz w:val="18"/>
                <w:szCs w:val="18"/>
              </w:rPr>
            </w:pPr>
            <w:r w:rsidRPr="008109D0">
              <w:rPr>
                <w:sz w:val="18"/>
                <w:szCs w:val="18"/>
              </w:rPr>
              <w:t>66.616.291</w:t>
            </w:r>
          </w:p>
        </w:tc>
        <w:tc>
          <w:tcPr>
            <w:tcW w:w="112" w:type="dxa"/>
            <w:vAlign w:val="bottom"/>
          </w:tcPr>
          <w:p w14:paraId="50974EF3" w14:textId="77777777" w:rsidR="000A4993" w:rsidRPr="008109D0" w:rsidRDefault="000A4993" w:rsidP="000A4993">
            <w:pPr>
              <w:ind w:left="318" w:right="57"/>
              <w:jc w:val="right"/>
              <w:rPr>
                <w:sz w:val="18"/>
                <w:szCs w:val="18"/>
              </w:rPr>
            </w:pPr>
          </w:p>
        </w:tc>
        <w:tc>
          <w:tcPr>
            <w:tcW w:w="1680" w:type="dxa"/>
            <w:vAlign w:val="bottom"/>
          </w:tcPr>
          <w:p w14:paraId="57BCAF8B" w14:textId="5E959B08" w:rsidR="000A4993" w:rsidRPr="008109D0" w:rsidRDefault="000A4993" w:rsidP="000A4993">
            <w:pPr>
              <w:ind w:right="57"/>
              <w:jc w:val="right"/>
              <w:rPr>
                <w:sz w:val="18"/>
                <w:szCs w:val="18"/>
              </w:rPr>
            </w:pPr>
            <w:r w:rsidRPr="008109D0">
              <w:rPr>
                <w:sz w:val="18"/>
                <w:szCs w:val="18"/>
              </w:rPr>
              <w:t>-</w:t>
            </w:r>
          </w:p>
        </w:tc>
        <w:tc>
          <w:tcPr>
            <w:tcW w:w="2860" w:type="dxa"/>
            <w:vAlign w:val="bottom"/>
          </w:tcPr>
          <w:p w14:paraId="7CA75D94" w14:textId="68728D83" w:rsidR="000A4993" w:rsidRPr="008109D0" w:rsidRDefault="000A4993" w:rsidP="000A4993">
            <w:pPr>
              <w:numPr>
                <w:ilvl w:val="12"/>
                <w:numId w:val="0"/>
              </w:numPr>
              <w:jc w:val="right"/>
              <w:rPr>
                <w:i/>
                <w:sz w:val="18"/>
                <w:szCs w:val="18"/>
              </w:rPr>
            </w:pPr>
            <w:r w:rsidRPr="008109D0">
              <w:rPr>
                <w:i/>
                <w:sz w:val="18"/>
                <w:szCs w:val="18"/>
              </w:rPr>
              <w:t>Tax office correction</w:t>
            </w:r>
          </w:p>
        </w:tc>
      </w:tr>
      <w:tr w:rsidR="000A4993" w:rsidRPr="008109D0" w14:paraId="32BEFAD0" w14:textId="77777777" w:rsidTr="00864C56">
        <w:trPr>
          <w:trHeight w:val="20"/>
        </w:trPr>
        <w:tc>
          <w:tcPr>
            <w:tcW w:w="2872" w:type="dxa"/>
          </w:tcPr>
          <w:p w14:paraId="033F4842" w14:textId="24FE20E1" w:rsidR="000A4993" w:rsidRPr="008109D0" w:rsidRDefault="000A4993" w:rsidP="000A4993">
            <w:pPr>
              <w:ind w:left="794" w:hanging="207"/>
              <w:rPr>
                <w:sz w:val="18"/>
                <w:szCs w:val="18"/>
              </w:rPr>
            </w:pPr>
            <w:r w:rsidRPr="008109D0">
              <w:rPr>
                <w:sz w:val="18"/>
                <w:szCs w:val="18"/>
              </w:rPr>
              <w:t>Beban manfaat pajak entitas anak</w:t>
            </w:r>
          </w:p>
        </w:tc>
        <w:tc>
          <w:tcPr>
            <w:tcW w:w="1673" w:type="dxa"/>
            <w:tcBorders>
              <w:bottom w:val="single" w:sz="4" w:space="0" w:color="auto"/>
            </w:tcBorders>
            <w:shd w:val="clear" w:color="auto" w:fill="auto"/>
            <w:vAlign w:val="bottom"/>
          </w:tcPr>
          <w:p w14:paraId="2DC3AE98" w14:textId="69F56507" w:rsidR="000A4993" w:rsidRPr="008109D0" w:rsidRDefault="0095695D" w:rsidP="000A4993">
            <w:pPr>
              <w:ind w:right="57"/>
              <w:jc w:val="right"/>
              <w:rPr>
                <w:sz w:val="18"/>
                <w:szCs w:val="18"/>
              </w:rPr>
            </w:pPr>
            <w:r w:rsidRPr="008109D0">
              <w:rPr>
                <w:sz w:val="18"/>
                <w:szCs w:val="18"/>
              </w:rPr>
              <w:t>(11.867.621.366)</w:t>
            </w:r>
          </w:p>
        </w:tc>
        <w:tc>
          <w:tcPr>
            <w:tcW w:w="112" w:type="dxa"/>
            <w:vAlign w:val="bottom"/>
          </w:tcPr>
          <w:p w14:paraId="470DD3EA" w14:textId="77777777" w:rsidR="000A4993" w:rsidRPr="008109D0" w:rsidRDefault="000A4993" w:rsidP="000A4993">
            <w:pPr>
              <w:ind w:left="318" w:right="57"/>
              <w:jc w:val="right"/>
              <w:rPr>
                <w:sz w:val="18"/>
                <w:szCs w:val="18"/>
              </w:rPr>
            </w:pPr>
          </w:p>
        </w:tc>
        <w:tc>
          <w:tcPr>
            <w:tcW w:w="1680" w:type="dxa"/>
            <w:tcBorders>
              <w:bottom w:val="single" w:sz="4" w:space="0" w:color="auto"/>
            </w:tcBorders>
            <w:vAlign w:val="bottom"/>
          </w:tcPr>
          <w:p w14:paraId="7887888D" w14:textId="44402C7B" w:rsidR="000A4993" w:rsidRPr="008109D0" w:rsidRDefault="000A4993" w:rsidP="000A4993">
            <w:pPr>
              <w:ind w:right="57"/>
              <w:jc w:val="right"/>
              <w:rPr>
                <w:sz w:val="18"/>
                <w:szCs w:val="18"/>
              </w:rPr>
            </w:pPr>
            <w:r w:rsidRPr="008109D0">
              <w:rPr>
                <w:sz w:val="18"/>
                <w:szCs w:val="18"/>
              </w:rPr>
              <w:t>313.386.894</w:t>
            </w:r>
          </w:p>
        </w:tc>
        <w:tc>
          <w:tcPr>
            <w:tcW w:w="2860" w:type="dxa"/>
            <w:vAlign w:val="bottom"/>
          </w:tcPr>
          <w:p w14:paraId="028E938B" w14:textId="6CF7553B" w:rsidR="000A4993" w:rsidRPr="008109D0" w:rsidRDefault="000A4993" w:rsidP="000A4993">
            <w:pPr>
              <w:numPr>
                <w:ilvl w:val="12"/>
                <w:numId w:val="0"/>
              </w:numPr>
              <w:jc w:val="right"/>
              <w:rPr>
                <w:i/>
                <w:sz w:val="18"/>
                <w:szCs w:val="18"/>
              </w:rPr>
            </w:pPr>
            <w:r w:rsidRPr="008109D0">
              <w:rPr>
                <w:i/>
                <w:sz w:val="18"/>
                <w:szCs w:val="18"/>
              </w:rPr>
              <w:t>Tax benefit expenses subsidiary</w:t>
            </w:r>
          </w:p>
        </w:tc>
      </w:tr>
      <w:tr w:rsidR="000A4993" w:rsidRPr="008109D0" w14:paraId="3FB08D40" w14:textId="77777777" w:rsidTr="002108FF">
        <w:trPr>
          <w:trHeight w:val="20"/>
        </w:trPr>
        <w:tc>
          <w:tcPr>
            <w:tcW w:w="2872" w:type="dxa"/>
          </w:tcPr>
          <w:p w14:paraId="63A8C3B2" w14:textId="77777777" w:rsidR="000A4993" w:rsidRPr="008109D0" w:rsidRDefault="000A4993" w:rsidP="000A4993">
            <w:pPr>
              <w:ind w:left="794" w:hanging="207"/>
              <w:rPr>
                <w:sz w:val="18"/>
                <w:szCs w:val="18"/>
              </w:rPr>
            </w:pPr>
          </w:p>
        </w:tc>
        <w:tc>
          <w:tcPr>
            <w:tcW w:w="1673" w:type="dxa"/>
            <w:tcBorders>
              <w:top w:val="single" w:sz="4" w:space="0" w:color="auto"/>
            </w:tcBorders>
            <w:shd w:val="clear" w:color="auto" w:fill="auto"/>
            <w:vAlign w:val="bottom"/>
          </w:tcPr>
          <w:p w14:paraId="5C68751B" w14:textId="77777777" w:rsidR="000A4993" w:rsidRPr="008109D0" w:rsidRDefault="000A4993" w:rsidP="000A4993">
            <w:pPr>
              <w:ind w:right="57"/>
              <w:jc w:val="right"/>
              <w:rPr>
                <w:sz w:val="18"/>
                <w:szCs w:val="18"/>
              </w:rPr>
            </w:pPr>
          </w:p>
        </w:tc>
        <w:tc>
          <w:tcPr>
            <w:tcW w:w="112" w:type="dxa"/>
            <w:vAlign w:val="bottom"/>
          </w:tcPr>
          <w:p w14:paraId="2E6166CD" w14:textId="77777777" w:rsidR="000A4993" w:rsidRPr="008109D0" w:rsidRDefault="000A4993" w:rsidP="000A4993">
            <w:pPr>
              <w:ind w:left="318" w:right="57"/>
              <w:jc w:val="right"/>
              <w:rPr>
                <w:sz w:val="18"/>
                <w:szCs w:val="18"/>
              </w:rPr>
            </w:pPr>
          </w:p>
        </w:tc>
        <w:tc>
          <w:tcPr>
            <w:tcW w:w="1680" w:type="dxa"/>
            <w:tcBorders>
              <w:top w:val="single" w:sz="4" w:space="0" w:color="auto"/>
            </w:tcBorders>
            <w:vAlign w:val="bottom"/>
          </w:tcPr>
          <w:p w14:paraId="69B17FB7" w14:textId="77777777" w:rsidR="000A4993" w:rsidRPr="008109D0" w:rsidRDefault="000A4993" w:rsidP="000A4993">
            <w:pPr>
              <w:ind w:right="57"/>
              <w:jc w:val="right"/>
              <w:rPr>
                <w:sz w:val="18"/>
                <w:szCs w:val="18"/>
              </w:rPr>
            </w:pPr>
          </w:p>
        </w:tc>
        <w:tc>
          <w:tcPr>
            <w:tcW w:w="2860" w:type="dxa"/>
            <w:vAlign w:val="bottom"/>
          </w:tcPr>
          <w:p w14:paraId="597D86FD" w14:textId="77777777" w:rsidR="000A4993" w:rsidRPr="008109D0" w:rsidRDefault="000A4993" w:rsidP="000A4993">
            <w:pPr>
              <w:numPr>
                <w:ilvl w:val="12"/>
                <w:numId w:val="0"/>
              </w:numPr>
              <w:jc w:val="right"/>
              <w:rPr>
                <w:i/>
                <w:sz w:val="18"/>
                <w:szCs w:val="18"/>
              </w:rPr>
            </w:pPr>
          </w:p>
        </w:tc>
      </w:tr>
      <w:tr w:rsidR="000A4993" w:rsidRPr="0013526B" w14:paraId="4BF99CAE" w14:textId="77777777" w:rsidTr="002108FF">
        <w:trPr>
          <w:trHeight w:val="20"/>
        </w:trPr>
        <w:tc>
          <w:tcPr>
            <w:tcW w:w="2872" w:type="dxa"/>
          </w:tcPr>
          <w:p w14:paraId="732794F5" w14:textId="678D9D83" w:rsidR="000A4993" w:rsidRPr="008109D0" w:rsidRDefault="000A4993" w:rsidP="000A4993">
            <w:pPr>
              <w:ind w:left="794" w:hanging="207"/>
              <w:rPr>
                <w:b/>
                <w:bCs w:val="0"/>
                <w:sz w:val="18"/>
                <w:szCs w:val="18"/>
              </w:rPr>
            </w:pPr>
            <w:r w:rsidRPr="008109D0">
              <w:rPr>
                <w:b/>
                <w:bCs w:val="0"/>
                <w:sz w:val="18"/>
                <w:szCs w:val="18"/>
              </w:rPr>
              <w:t>Jumlah beban manfaat pajak</w:t>
            </w:r>
          </w:p>
        </w:tc>
        <w:tc>
          <w:tcPr>
            <w:tcW w:w="1673" w:type="dxa"/>
            <w:tcBorders>
              <w:bottom w:val="single" w:sz="4" w:space="0" w:color="auto"/>
            </w:tcBorders>
            <w:shd w:val="clear" w:color="auto" w:fill="auto"/>
            <w:vAlign w:val="bottom"/>
          </w:tcPr>
          <w:p w14:paraId="508A6A7F" w14:textId="2EE9AA32" w:rsidR="000A4993" w:rsidRPr="008109D0" w:rsidRDefault="001772DE" w:rsidP="000A4993">
            <w:pPr>
              <w:ind w:right="57"/>
              <w:jc w:val="right"/>
              <w:rPr>
                <w:b/>
                <w:bCs w:val="0"/>
                <w:sz w:val="18"/>
                <w:szCs w:val="18"/>
              </w:rPr>
            </w:pPr>
            <w:r w:rsidRPr="008109D0">
              <w:rPr>
                <w:b/>
                <w:bCs w:val="0"/>
                <w:sz w:val="18"/>
                <w:szCs w:val="18"/>
              </w:rPr>
              <w:t>(8.819.261.170)</w:t>
            </w:r>
          </w:p>
        </w:tc>
        <w:tc>
          <w:tcPr>
            <w:tcW w:w="112" w:type="dxa"/>
            <w:vAlign w:val="bottom"/>
          </w:tcPr>
          <w:p w14:paraId="69246EC3" w14:textId="77777777" w:rsidR="000A4993" w:rsidRPr="008109D0" w:rsidRDefault="000A4993" w:rsidP="000A4993">
            <w:pPr>
              <w:ind w:left="318" w:right="57"/>
              <w:jc w:val="right"/>
              <w:rPr>
                <w:sz w:val="18"/>
                <w:szCs w:val="18"/>
              </w:rPr>
            </w:pPr>
          </w:p>
        </w:tc>
        <w:tc>
          <w:tcPr>
            <w:tcW w:w="1680" w:type="dxa"/>
            <w:tcBorders>
              <w:bottom w:val="single" w:sz="4" w:space="0" w:color="auto"/>
            </w:tcBorders>
            <w:vAlign w:val="bottom"/>
          </w:tcPr>
          <w:p w14:paraId="35BA2CDF" w14:textId="3EE085C7" w:rsidR="000A4993" w:rsidRPr="008109D0" w:rsidRDefault="000A4993" w:rsidP="000A4993">
            <w:pPr>
              <w:ind w:right="57"/>
              <w:jc w:val="right"/>
              <w:rPr>
                <w:b/>
                <w:sz w:val="18"/>
                <w:szCs w:val="18"/>
              </w:rPr>
            </w:pPr>
            <w:r w:rsidRPr="008109D0">
              <w:rPr>
                <w:b/>
                <w:sz w:val="18"/>
                <w:szCs w:val="18"/>
              </w:rPr>
              <w:t>1.377.654.792</w:t>
            </w:r>
          </w:p>
        </w:tc>
        <w:tc>
          <w:tcPr>
            <w:tcW w:w="2860" w:type="dxa"/>
            <w:vAlign w:val="bottom"/>
          </w:tcPr>
          <w:p w14:paraId="42582E6B" w14:textId="4678FF4E" w:rsidR="000A4993" w:rsidRPr="005771F0" w:rsidRDefault="000A4993" w:rsidP="000A4993">
            <w:pPr>
              <w:numPr>
                <w:ilvl w:val="12"/>
                <w:numId w:val="0"/>
              </w:numPr>
              <w:jc w:val="right"/>
              <w:rPr>
                <w:b/>
                <w:bCs w:val="0"/>
                <w:i/>
                <w:sz w:val="18"/>
                <w:szCs w:val="18"/>
              </w:rPr>
            </w:pPr>
            <w:r w:rsidRPr="008109D0">
              <w:rPr>
                <w:b/>
                <w:bCs w:val="0"/>
                <w:i/>
                <w:sz w:val="18"/>
                <w:szCs w:val="18"/>
              </w:rPr>
              <w:t>Total tax benefit expenses</w:t>
            </w:r>
          </w:p>
        </w:tc>
      </w:tr>
      <w:tr w:rsidR="000A4993" w:rsidRPr="0013526B" w14:paraId="3D209A48" w14:textId="77777777" w:rsidTr="002108FF">
        <w:trPr>
          <w:trHeight w:val="20"/>
        </w:trPr>
        <w:tc>
          <w:tcPr>
            <w:tcW w:w="2872" w:type="dxa"/>
          </w:tcPr>
          <w:p w14:paraId="41FCA8EF" w14:textId="77777777" w:rsidR="000A4993" w:rsidRPr="0013526B" w:rsidRDefault="000A4993" w:rsidP="000A4993">
            <w:pPr>
              <w:ind w:left="425" w:hanging="142"/>
              <w:rPr>
                <w:sz w:val="12"/>
                <w:szCs w:val="14"/>
              </w:rPr>
            </w:pPr>
          </w:p>
        </w:tc>
        <w:tc>
          <w:tcPr>
            <w:tcW w:w="1673" w:type="dxa"/>
            <w:tcBorders>
              <w:top w:val="single" w:sz="4" w:space="0" w:color="auto"/>
            </w:tcBorders>
            <w:shd w:val="clear" w:color="auto" w:fill="auto"/>
            <w:vAlign w:val="bottom"/>
          </w:tcPr>
          <w:p w14:paraId="14E9BDFB" w14:textId="77777777" w:rsidR="000A4993" w:rsidRPr="0013526B" w:rsidRDefault="000A4993" w:rsidP="000A4993">
            <w:pPr>
              <w:ind w:right="57"/>
              <w:jc w:val="right"/>
              <w:rPr>
                <w:sz w:val="12"/>
                <w:szCs w:val="14"/>
              </w:rPr>
            </w:pPr>
          </w:p>
        </w:tc>
        <w:tc>
          <w:tcPr>
            <w:tcW w:w="112" w:type="dxa"/>
            <w:vAlign w:val="bottom"/>
          </w:tcPr>
          <w:p w14:paraId="662A01E6" w14:textId="77777777" w:rsidR="000A4993" w:rsidRPr="0013526B" w:rsidRDefault="000A4993" w:rsidP="000A4993">
            <w:pPr>
              <w:ind w:left="318" w:right="57"/>
              <w:jc w:val="right"/>
              <w:rPr>
                <w:sz w:val="12"/>
                <w:szCs w:val="14"/>
              </w:rPr>
            </w:pPr>
          </w:p>
        </w:tc>
        <w:tc>
          <w:tcPr>
            <w:tcW w:w="1680" w:type="dxa"/>
            <w:tcBorders>
              <w:top w:val="single" w:sz="4" w:space="0" w:color="auto"/>
            </w:tcBorders>
            <w:vAlign w:val="bottom"/>
          </w:tcPr>
          <w:p w14:paraId="7497CBD6" w14:textId="77777777" w:rsidR="000A4993" w:rsidRPr="0013526B" w:rsidRDefault="000A4993" w:rsidP="000A4993">
            <w:pPr>
              <w:ind w:right="57"/>
              <w:jc w:val="right"/>
              <w:rPr>
                <w:sz w:val="12"/>
                <w:szCs w:val="14"/>
              </w:rPr>
            </w:pPr>
          </w:p>
        </w:tc>
        <w:tc>
          <w:tcPr>
            <w:tcW w:w="2860" w:type="dxa"/>
            <w:vAlign w:val="bottom"/>
          </w:tcPr>
          <w:p w14:paraId="7E73D789" w14:textId="77777777" w:rsidR="000A4993" w:rsidRPr="0013526B" w:rsidRDefault="000A4993" w:rsidP="000A4993">
            <w:pPr>
              <w:numPr>
                <w:ilvl w:val="12"/>
                <w:numId w:val="0"/>
              </w:numPr>
              <w:ind w:right="55"/>
              <w:jc w:val="right"/>
              <w:rPr>
                <w:i/>
                <w:sz w:val="12"/>
                <w:szCs w:val="14"/>
              </w:rPr>
            </w:pPr>
          </w:p>
        </w:tc>
      </w:tr>
    </w:tbl>
    <w:p w14:paraId="66257635" w14:textId="4B52075A" w:rsidR="0028221C" w:rsidRDefault="0028221C" w:rsidP="0013526B">
      <w:pPr>
        <w:rPr>
          <w:sz w:val="14"/>
          <w:szCs w:val="18"/>
        </w:rPr>
      </w:pPr>
    </w:p>
    <w:p w14:paraId="24F0DC4B" w14:textId="473FDF7E" w:rsidR="00A93F04" w:rsidRPr="00B35789" w:rsidRDefault="00A93F04" w:rsidP="0013526B">
      <w:pPr>
        <w:rPr>
          <w:sz w:val="14"/>
          <w:szCs w:val="18"/>
        </w:rPr>
      </w:pPr>
    </w:p>
    <w:p w14:paraId="786DD217" w14:textId="591913E3" w:rsidR="00A93F04" w:rsidRPr="00B35789" w:rsidRDefault="00A93F04" w:rsidP="0013526B">
      <w:pPr>
        <w:rPr>
          <w:sz w:val="14"/>
          <w:szCs w:val="18"/>
        </w:rPr>
      </w:pPr>
    </w:p>
    <w:p w14:paraId="321CE3BA" w14:textId="77777777" w:rsidR="00A93F04" w:rsidRDefault="00A93F04" w:rsidP="0013526B">
      <w:pPr>
        <w:rPr>
          <w:sz w:val="14"/>
          <w:szCs w:val="18"/>
        </w:rPr>
      </w:pPr>
    </w:p>
    <w:p w14:paraId="3AFF4544" w14:textId="25C4989A" w:rsidR="008B374C" w:rsidRPr="00A93F04" w:rsidRDefault="00A93F04" w:rsidP="0013526B">
      <w:pPr>
        <w:rPr>
          <w:sz w:val="14"/>
          <w:szCs w:val="18"/>
        </w:rPr>
      </w:pPr>
      <w:r>
        <w:rPr>
          <w:sz w:val="14"/>
          <w:szCs w:val="18"/>
        </w:rPr>
        <w:br w:type="page"/>
      </w:r>
    </w:p>
    <w:tbl>
      <w:tblPr>
        <w:tblW w:w="9197" w:type="dxa"/>
        <w:tblInd w:w="392" w:type="dxa"/>
        <w:tblLayout w:type="fixed"/>
        <w:tblLook w:val="0000" w:firstRow="0" w:lastRow="0" w:firstColumn="0" w:lastColumn="0" w:noHBand="0" w:noVBand="0"/>
      </w:tblPr>
      <w:tblGrid>
        <w:gridCol w:w="4598"/>
        <w:gridCol w:w="4599"/>
      </w:tblGrid>
      <w:tr w:rsidR="008B374C" w:rsidRPr="0013526B" w14:paraId="68A955B9" w14:textId="77777777" w:rsidTr="002108FF">
        <w:tc>
          <w:tcPr>
            <w:tcW w:w="2500" w:type="pct"/>
            <w:tcBorders>
              <w:top w:val="nil"/>
              <w:left w:val="nil"/>
              <w:bottom w:val="nil"/>
              <w:right w:val="nil"/>
            </w:tcBorders>
          </w:tcPr>
          <w:p w14:paraId="417C3E34" w14:textId="3A66EF21" w:rsidR="008B374C" w:rsidRPr="0013526B" w:rsidRDefault="008B374C" w:rsidP="00070D1F">
            <w:pPr>
              <w:numPr>
                <w:ilvl w:val="0"/>
                <w:numId w:val="311"/>
              </w:numPr>
              <w:ind w:left="291"/>
              <w:jc w:val="both"/>
              <w:rPr>
                <w:b/>
                <w:caps/>
                <w:sz w:val="18"/>
                <w:szCs w:val="18"/>
              </w:rPr>
            </w:pPr>
            <w:r w:rsidRPr="0013526B">
              <w:rPr>
                <w:sz w:val="18"/>
                <w:szCs w:val="18"/>
              </w:rPr>
              <w:lastRenderedPageBreak/>
              <w:br w:type="page"/>
            </w:r>
            <w:r w:rsidR="00373566">
              <w:rPr>
                <w:b/>
                <w:caps/>
                <w:sz w:val="18"/>
                <w:szCs w:val="18"/>
              </w:rPr>
              <w:t>Beban yang masih harus dibayar</w:t>
            </w:r>
          </w:p>
        </w:tc>
        <w:tc>
          <w:tcPr>
            <w:tcW w:w="2500" w:type="pct"/>
            <w:tcBorders>
              <w:top w:val="nil"/>
              <w:left w:val="nil"/>
              <w:bottom w:val="nil"/>
              <w:right w:val="nil"/>
            </w:tcBorders>
          </w:tcPr>
          <w:p w14:paraId="566B2CFA" w14:textId="7CEB32A4" w:rsidR="008B374C" w:rsidRPr="0013526B" w:rsidRDefault="00B514B1" w:rsidP="00070D1F">
            <w:pPr>
              <w:numPr>
                <w:ilvl w:val="0"/>
                <w:numId w:val="309"/>
              </w:numPr>
              <w:jc w:val="both"/>
              <w:rPr>
                <w:b/>
                <w:i/>
                <w:caps/>
                <w:sz w:val="18"/>
                <w:szCs w:val="18"/>
              </w:rPr>
            </w:pPr>
            <w:r>
              <w:rPr>
                <w:b/>
                <w:i/>
                <w:caps/>
                <w:sz w:val="18"/>
                <w:szCs w:val="18"/>
              </w:rPr>
              <w:t>ACCRUED EXPENSES</w:t>
            </w:r>
          </w:p>
        </w:tc>
      </w:tr>
    </w:tbl>
    <w:p w14:paraId="5D2400C8" w14:textId="77777777" w:rsidR="00F65FCD" w:rsidRDefault="00F65FCD" w:rsidP="0013526B">
      <w:pPr>
        <w:rPr>
          <w:sz w:val="12"/>
          <w:szCs w:val="18"/>
        </w:rPr>
      </w:pPr>
    </w:p>
    <w:tbl>
      <w:tblPr>
        <w:tblW w:w="9197" w:type="dxa"/>
        <w:tblInd w:w="392" w:type="dxa"/>
        <w:tblLayout w:type="fixed"/>
        <w:tblLook w:val="0000" w:firstRow="0" w:lastRow="0" w:firstColumn="0" w:lastColumn="0" w:noHBand="0" w:noVBand="0"/>
      </w:tblPr>
      <w:tblGrid>
        <w:gridCol w:w="4598"/>
        <w:gridCol w:w="4599"/>
      </w:tblGrid>
      <w:tr w:rsidR="00F65FCD" w:rsidRPr="0013526B" w14:paraId="00DB9AD6" w14:textId="77777777" w:rsidTr="002108FF">
        <w:tc>
          <w:tcPr>
            <w:tcW w:w="2500" w:type="pct"/>
            <w:tcBorders>
              <w:top w:val="nil"/>
              <w:left w:val="nil"/>
              <w:bottom w:val="nil"/>
              <w:right w:val="nil"/>
            </w:tcBorders>
          </w:tcPr>
          <w:p w14:paraId="2FDC3D9B" w14:textId="1B5A5DC6" w:rsidR="00F65FCD" w:rsidRPr="0013526B" w:rsidRDefault="00F65FCD" w:rsidP="00AD3D8F">
            <w:pPr>
              <w:pStyle w:val="ListParagraph"/>
              <w:tabs>
                <w:tab w:val="right" w:pos="9340"/>
                <w:tab w:val="right" w:pos="10080"/>
              </w:tabs>
              <w:ind w:left="284"/>
              <w:rPr>
                <w:sz w:val="18"/>
                <w:szCs w:val="18"/>
              </w:rPr>
            </w:pPr>
            <w:r w:rsidRPr="0013526B">
              <w:rPr>
                <w:sz w:val="18"/>
                <w:szCs w:val="18"/>
              </w:rPr>
              <w:t xml:space="preserve">Rincian </w:t>
            </w:r>
            <w:r w:rsidR="00373566">
              <w:rPr>
                <w:sz w:val="18"/>
                <w:szCs w:val="18"/>
              </w:rPr>
              <w:t xml:space="preserve">beban yang masih harus dibayar </w:t>
            </w:r>
            <w:r w:rsidRPr="0013526B">
              <w:rPr>
                <w:sz w:val="18"/>
                <w:szCs w:val="18"/>
              </w:rPr>
              <w:t xml:space="preserve"> adalah sebagai berikut:</w:t>
            </w:r>
          </w:p>
        </w:tc>
        <w:tc>
          <w:tcPr>
            <w:tcW w:w="2500" w:type="pct"/>
            <w:tcBorders>
              <w:top w:val="nil"/>
              <w:left w:val="nil"/>
              <w:bottom w:val="nil"/>
              <w:right w:val="nil"/>
            </w:tcBorders>
          </w:tcPr>
          <w:p w14:paraId="2F3434D5" w14:textId="7459AE25" w:rsidR="00F65FCD" w:rsidRPr="0013526B" w:rsidRDefault="00F65FCD" w:rsidP="00AD3D8F">
            <w:pPr>
              <w:pStyle w:val="ListParagraph"/>
              <w:tabs>
                <w:tab w:val="left" w:pos="570"/>
                <w:tab w:val="right" w:pos="9340"/>
                <w:tab w:val="right" w:pos="10080"/>
              </w:tabs>
              <w:ind w:left="318"/>
              <w:rPr>
                <w:i/>
                <w:sz w:val="18"/>
                <w:szCs w:val="18"/>
              </w:rPr>
            </w:pPr>
            <w:r w:rsidRPr="0013526B">
              <w:rPr>
                <w:i/>
                <w:sz w:val="18"/>
                <w:szCs w:val="18"/>
              </w:rPr>
              <w:t xml:space="preserve">Details of </w:t>
            </w:r>
            <w:r w:rsidR="00373566">
              <w:rPr>
                <w:i/>
                <w:sz w:val="18"/>
                <w:szCs w:val="18"/>
              </w:rPr>
              <w:t>accrued expenses</w:t>
            </w:r>
            <w:r w:rsidRPr="0013526B">
              <w:rPr>
                <w:i/>
                <w:sz w:val="18"/>
                <w:szCs w:val="18"/>
              </w:rPr>
              <w:t xml:space="preserve"> are as follows:</w:t>
            </w:r>
          </w:p>
        </w:tc>
      </w:tr>
    </w:tbl>
    <w:p w14:paraId="688ACCB5" w14:textId="77777777" w:rsidR="00F65FCD" w:rsidRDefault="00F65FCD" w:rsidP="0013526B">
      <w:pPr>
        <w:rPr>
          <w:sz w:val="12"/>
          <w:szCs w:val="18"/>
        </w:rPr>
      </w:pPr>
    </w:p>
    <w:tbl>
      <w:tblPr>
        <w:tblW w:w="9197" w:type="dxa"/>
        <w:tblInd w:w="378" w:type="dxa"/>
        <w:tblLayout w:type="fixed"/>
        <w:tblCellMar>
          <w:left w:w="0" w:type="dxa"/>
          <w:right w:w="0" w:type="dxa"/>
        </w:tblCellMar>
        <w:tblLook w:val="01E0" w:firstRow="1" w:lastRow="1" w:firstColumn="1" w:lastColumn="1" w:noHBand="0" w:noVBand="0"/>
      </w:tblPr>
      <w:tblGrid>
        <w:gridCol w:w="2860"/>
        <w:gridCol w:w="1679"/>
        <w:gridCol w:w="108"/>
        <w:gridCol w:w="1679"/>
        <w:gridCol w:w="2871"/>
      </w:tblGrid>
      <w:tr w:rsidR="007E3467" w:rsidRPr="0013526B" w14:paraId="49FFCA45" w14:textId="77777777" w:rsidTr="002108FF">
        <w:trPr>
          <w:trHeight w:val="20"/>
        </w:trPr>
        <w:tc>
          <w:tcPr>
            <w:tcW w:w="2860" w:type="dxa"/>
          </w:tcPr>
          <w:p w14:paraId="5C01BEAB" w14:textId="77777777" w:rsidR="007E3467" w:rsidRPr="0013526B" w:rsidRDefault="007E3467" w:rsidP="007E3467">
            <w:pPr>
              <w:ind w:left="113"/>
              <w:rPr>
                <w:sz w:val="18"/>
                <w:szCs w:val="18"/>
              </w:rPr>
            </w:pPr>
          </w:p>
        </w:tc>
        <w:tc>
          <w:tcPr>
            <w:tcW w:w="1679" w:type="dxa"/>
            <w:tcBorders>
              <w:bottom w:val="single" w:sz="4" w:space="0" w:color="auto"/>
            </w:tcBorders>
          </w:tcPr>
          <w:p w14:paraId="1E081D24" w14:textId="77777777" w:rsidR="007E3467" w:rsidRDefault="007E3467" w:rsidP="007E3467">
            <w:pPr>
              <w:jc w:val="center"/>
              <w:rPr>
                <w:b/>
                <w:sz w:val="18"/>
                <w:szCs w:val="18"/>
              </w:rPr>
            </w:pPr>
            <w:r>
              <w:rPr>
                <w:b/>
                <w:sz w:val="18"/>
                <w:szCs w:val="18"/>
              </w:rPr>
              <w:t>31 Maret/</w:t>
            </w:r>
          </w:p>
          <w:p w14:paraId="49FC977D" w14:textId="59A36D2E" w:rsidR="007E3467" w:rsidRPr="0013526B" w:rsidRDefault="007E3467" w:rsidP="001808CD">
            <w:pPr>
              <w:jc w:val="center"/>
              <w:rPr>
                <w:b/>
                <w:sz w:val="18"/>
                <w:szCs w:val="18"/>
              </w:rPr>
            </w:pPr>
            <w:r>
              <w:rPr>
                <w:b/>
                <w:sz w:val="18"/>
                <w:szCs w:val="18"/>
              </w:rPr>
              <w:t>March 31</w:t>
            </w:r>
            <w:r w:rsidR="00305CA0">
              <w:rPr>
                <w:b/>
                <w:sz w:val="18"/>
                <w:szCs w:val="18"/>
              </w:rPr>
              <w:t>.</w:t>
            </w:r>
            <w:r>
              <w:rPr>
                <w:b/>
                <w:sz w:val="18"/>
                <w:szCs w:val="18"/>
              </w:rPr>
              <w:t xml:space="preserve"> 2020</w:t>
            </w:r>
          </w:p>
        </w:tc>
        <w:tc>
          <w:tcPr>
            <w:tcW w:w="108" w:type="dxa"/>
          </w:tcPr>
          <w:p w14:paraId="7A4C696D" w14:textId="77777777" w:rsidR="007E3467" w:rsidRPr="0013526B" w:rsidRDefault="007E3467" w:rsidP="007E3467">
            <w:pPr>
              <w:jc w:val="center"/>
              <w:rPr>
                <w:b/>
                <w:sz w:val="18"/>
                <w:szCs w:val="18"/>
              </w:rPr>
            </w:pPr>
          </w:p>
        </w:tc>
        <w:tc>
          <w:tcPr>
            <w:tcW w:w="1679" w:type="dxa"/>
            <w:tcBorders>
              <w:bottom w:val="single" w:sz="4" w:space="0" w:color="auto"/>
            </w:tcBorders>
          </w:tcPr>
          <w:p w14:paraId="1B7753BD" w14:textId="77777777" w:rsidR="007E3467" w:rsidRDefault="007E3467" w:rsidP="007E3467">
            <w:pPr>
              <w:jc w:val="center"/>
              <w:rPr>
                <w:b/>
                <w:sz w:val="18"/>
                <w:szCs w:val="18"/>
              </w:rPr>
            </w:pPr>
            <w:r>
              <w:rPr>
                <w:b/>
                <w:sz w:val="18"/>
                <w:szCs w:val="18"/>
              </w:rPr>
              <w:t>31 Desember/</w:t>
            </w:r>
          </w:p>
          <w:p w14:paraId="607584B0" w14:textId="3C3FE2E7" w:rsidR="007E3467" w:rsidRPr="0013526B" w:rsidRDefault="007E3467" w:rsidP="001808CD">
            <w:pPr>
              <w:jc w:val="center"/>
              <w:rPr>
                <w:b/>
                <w:sz w:val="18"/>
                <w:szCs w:val="18"/>
              </w:rPr>
            </w:pPr>
            <w:r>
              <w:rPr>
                <w:b/>
                <w:sz w:val="18"/>
                <w:szCs w:val="18"/>
              </w:rPr>
              <w:t>December 31</w:t>
            </w:r>
            <w:r w:rsidR="00305CA0">
              <w:rPr>
                <w:b/>
                <w:sz w:val="18"/>
                <w:szCs w:val="18"/>
              </w:rPr>
              <w:t>.</w:t>
            </w:r>
            <w:r>
              <w:rPr>
                <w:b/>
                <w:sz w:val="18"/>
                <w:szCs w:val="18"/>
              </w:rPr>
              <w:t xml:space="preserve"> </w:t>
            </w:r>
            <w:r w:rsidRPr="0013526B">
              <w:rPr>
                <w:b/>
                <w:sz w:val="18"/>
                <w:szCs w:val="18"/>
              </w:rPr>
              <w:t>201</w:t>
            </w:r>
            <w:r>
              <w:rPr>
                <w:b/>
                <w:sz w:val="18"/>
                <w:szCs w:val="18"/>
              </w:rPr>
              <w:t>9</w:t>
            </w:r>
          </w:p>
        </w:tc>
        <w:tc>
          <w:tcPr>
            <w:tcW w:w="2871" w:type="dxa"/>
          </w:tcPr>
          <w:p w14:paraId="17704B27" w14:textId="77777777" w:rsidR="007E3467" w:rsidRPr="0013526B" w:rsidRDefault="007E3467" w:rsidP="007E3467">
            <w:pPr>
              <w:ind w:right="34"/>
              <w:jc w:val="right"/>
              <w:rPr>
                <w:i/>
                <w:sz w:val="18"/>
                <w:szCs w:val="18"/>
              </w:rPr>
            </w:pPr>
          </w:p>
        </w:tc>
      </w:tr>
      <w:tr w:rsidR="00B514B1" w:rsidRPr="0013526B" w14:paraId="16C521AA" w14:textId="77777777" w:rsidTr="002108FF">
        <w:trPr>
          <w:trHeight w:val="20"/>
        </w:trPr>
        <w:tc>
          <w:tcPr>
            <w:tcW w:w="2860" w:type="dxa"/>
          </w:tcPr>
          <w:p w14:paraId="74FF8E42" w14:textId="77777777" w:rsidR="00B514B1" w:rsidRPr="0013526B" w:rsidRDefault="00B514B1" w:rsidP="00EA45C5">
            <w:pPr>
              <w:ind w:left="461"/>
              <w:rPr>
                <w:sz w:val="12"/>
                <w:szCs w:val="14"/>
              </w:rPr>
            </w:pPr>
          </w:p>
        </w:tc>
        <w:tc>
          <w:tcPr>
            <w:tcW w:w="1679" w:type="dxa"/>
            <w:tcBorders>
              <w:top w:val="single" w:sz="4" w:space="0" w:color="auto"/>
            </w:tcBorders>
            <w:vAlign w:val="bottom"/>
          </w:tcPr>
          <w:p w14:paraId="0B0167FA" w14:textId="77777777" w:rsidR="00B514B1" w:rsidRPr="0013526B" w:rsidRDefault="00B514B1" w:rsidP="00EA45C5">
            <w:pPr>
              <w:ind w:left="28" w:right="28"/>
              <w:jc w:val="right"/>
              <w:rPr>
                <w:sz w:val="12"/>
                <w:szCs w:val="14"/>
              </w:rPr>
            </w:pPr>
          </w:p>
        </w:tc>
        <w:tc>
          <w:tcPr>
            <w:tcW w:w="108" w:type="dxa"/>
            <w:vAlign w:val="bottom"/>
          </w:tcPr>
          <w:p w14:paraId="4FFE87CF" w14:textId="77777777" w:rsidR="00B514B1" w:rsidRPr="0013526B" w:rsidRDefault="00B514B1" w:rsidP="00EA45C5">
            <w:pPr>
              <w:ind w:left="28" w:right="28"/>
              <w:jc w:val="right"/>
              <w:rPr>
                <w:sz w:val="12"/>
                <w:szCs w:val="14"/>
              </w:rPr>
            </w:pPr>
          </w:p>
        </w:tc>
        <w:tc>
          <w:tcPr>
            <w:tcW w:w="1679" w:type="dxa"/>
            <w:tcBorders>
              <w:top w:val="single" w:sz="4" w:space="0" w:color="auto"/>
            </w:tcBorders>
            <w:vAlign w:val="bottom"/>
          </w:tcPr>
          <w:p w14:paraId="72ACED8F" w14:textId="77777777" w:rsidR="00B514B1" w:rsidRPr="0013526B" w:rsidRDefault="00B514B1" w:rsidP="00EA45C5">
            <w:pPr>
              <w:ind w:left="28" w:right="28"/>
              <w:jc w:val="right"/>
              <w:rPr>
                <w:sz w:val="12"/>
                <w:szCs w:val="14"/>
              </w:rPr>
            </w:pPr>
          </w:p>
        </w:tc>
        <w:tc>
          <w:tcPr>
            <w:tcW w:w="2871" w:type="dxa"/>
          </w:tcPr>
          <w:p w14:paraId="6F226D39" w14:textId="77777777" w:rsidR="00B514B1" w:rsidRPr="0013526B" w:rsidRDefault="00B514B1" w:rsidP="00EA45C5">
            <w:pPr>
              <w:ind w:right="57"/>
              <w:jc w:val="right"/>
              <w:rPr>
                <w:i/>
                <w:sz w:val="12"/>
                <w:szCs w:val="14"/>
              </w:rPr>
            </w:pPr>
          </w:p>
        </w:tc>
      </w:tr>
      <w:tr w:rsidR="00F84E7F" w:rsidRPr="0013526B" w14:paraId="42459846" w14:textId="77777777" w:rsidTr="002B637F">
        <w:trPr>
          <w:trHeight w:val="20"/>
        </w:trPr>
        <w:tc>
          <w:tcPr>
            <w:tcW w:w="2860" w:type="dxa"/>
          </w:tcPr>
          <w:p w14:paraId="23A93746" w14:textId="0B611050" w:rsidR="00F84E7F" w:rsidRPr="00D61185" w:rsidRDefault="00F84E7F" w:rsidP="00F84E7F">
            <w:pPr>
              <w:ind w:left="393"/>
              <w:rPr>
                <w:sz w:val="18"/>
                <w:szCs w:val="18"/>
              </w:rPr>
            </w:pPr>
            <w:r>
              <w:rPr>
                <w:sz w:val="18"/>
                <w:szCs w:val="18"/>
              </w:rPr>
              <w:t xml:space="preserve">Jasa dokter </w:t>
            </w:r>
          </w:p>
        </w:tc>
        <w:tc>
          <w:tcPr>
            <w:tcW w:w="1679" w:type="dxa"/>
            <w:vAlign w:val="bottom"/>
          </w:tcPr>
          <w:p w14:paraId="2DBA3AF8" w14:textId="63D7283D" w:rsidR="00F84E7F" w:rsidRPr="00374F22" w:rsidRDefault="00374F22" w:rsidP="001808CD">
            <w:pPr>
              <w:ind w:left="28" w:right="28"/>
              <w:jc w:val="right"/>
              <w:rPr>
                <w:sz w:val="18"/>
                <w:szCs w:val="18"/>
              </w:rPr>
            </w:pPr>
            <w:r w:rsidRPr="00374F22">
              <w:rPr>
                <w:sz w:val="18"/>
                <w:szCs w:val="18"/>
              </w:rPr>
              <w:t>21</w:t>
            </w:r>
            <w:r w:rsidR="001808CD">
              <w:rPr>
                <w:sz w:val="18"/>
                <w:szCs w:val="18"/>
              </w:rPr>
              <w:t>.</w:t>
            </w:r>
            <w:r w:rsidRPr="00374F22">
              <w:rPr>
                <w:sz w:val="18"/>
                <w:szCs w:val="18"/>
              </w:rPr>
              <w:t>113</w:t>
            </w:r>
            <w:r w:rsidR="001808CD">
              <w:rPr>
                <w:sz w:val="18"/>
                <w:szCs w:val="18"/>
              </w:rPr>
              <w:t>.</w:t>
            </w:r>
            <w:r w:rsidRPr="00374F22">
              <w:rPr>
                <w:sz w:val="18"/>
                <w:szCs w:val="18"/>
              </w:rPr>
              <w:t>421</w:t>
            </w:r>
            <w:r w:rsidR="001808CD">
              <w:rPr>
                <w:sz w:val="18"/>
                <w:szCs w:val="18"/>
              </w:rPr>
              <w:t>.</w:t>
            </w:r>
            <w:r w:rsidRPr="00374F22">
              <w:rPr>
                <w:sz w:val="18"/>
                <w:szCs w:val="18"/>
              </w:rPr>
              <w:t>149</w:t>
            </w:r>
          </w:p>
        </w:tc>
        <w:tc>
          <w:tcPr>
            <w:tcW w:w="108" w:type="dxa"/>
            <w:vAlign w:val="bottom"/>
          </w:tcPr>
          <w:p w14:paraId="5C74FAF5" w14:textId="77777777" w:rsidR="00F84E7F" w:rsidRPr="00374F22" w:rsidRDefault="00F84E7F" w:rsidP="00F84E7F">
            <w:pPr>
              <w:ind w:left="28" w:right="28"/>
              <w:jc w:val="right"/>
              <w:rPr>
                <w:b/>
                <w:sz w:val="18"/>
                <w:szCs w:val="18"/>
              </w:rPr>
            </w:pPr>
          </w:p>
        </w:tc>
        <w:tc>
          <w:tcPr>
            <w:tcW w:w="1679" w:type="dxa"/>
            <w:vAlign w:val="bottom"/>
          </w:tcPr>
          <w:p w14:paraId="0ECC720F" w14:textId="1CBFF5B1" w:rsidR="00F84E7F" w:rsidRPr="00374F22" w:rsidRDefault="00F84E7F" w:rsidP="00F84E7F">
            <w:pPr>
              <w:ind w:left="28" w:right="28"/>
              <w:jc w:val="right"/>
              <w:rPr>
                <w:b/>
                <w:sz w:val="18"/>
                <w:szCs w:val="18"/>
              </w:rPr>
            </w:pPr>
            <w:r w:rsidRPr="00374F22">
              <w:rPr>
                <w:sz w:val="18"/>
                <w:szCs w:val="18"/>
              </w:rPr>
              <w:t>20.696.212.044</w:t>
            </w:r>
          </w:p>
        </w:tc>
        <w:tc>
          <w:tcPr>
            <w:tcW w:w="2871" w:type="dxa"/>
          </w:tcPr>
          <w:p w14:paraId="54404FE3" w14:textId="3B084129" w:rsidR="00F84E7F" w:rsidRPr="00B514B1" w:rsidRDefault="00F84E7F" w:rsidP="00F84E7F">
            <w:pPr>
              <w:ind w:right="57"/>
              <w:jc w:val="right"/>
              <w:rPr>
                <w:b/>
                <w:i/>
                <w:sz w:val="18"/>
                <w:szCs w:val="18"/>
              </w:rPr>
            </w:pPr>
            <w:r w:rsidRPr="00B514B1">
              <w:rPr>
                <w:i/>
                <w:sz w:val="18"/>
                <w:szCs w:val="18"/>
              </w:rPr>
              <w:t>Doctor fees</w:t>
            </w:r>
          </w:p>
        </w:tc>
      </w:tr>
      <w:tr w:rsidR="00F84E7F" w:rsidRPr="0013526B" w14:paraId="75DAF553" w14:textId="77777777" w:rsidTr="002B637F">
        <w:trPr>
          <w:trHeight w:val="20"/>
        </w:trPr>
        <w:tc>
          <w:tcPr>
            <w:tcW w:w="2860" w:type="dxa"/>
          </w:tcPr>
          <w:p w14:paraId="78041241" w14:textId="1C459A76" w:rsidR="00F84E7F" w:rsidRPr="0013526B" w:rsidRDefault="00F84E7F" w:rsidP="001808CD">
            <w:pPr>
              <w:ind w:left="393"/>
              <w:rPr>
                <w:sz w:val="18"/>
                <w:szCs w:val="18"/>
              </w:rPr>
            </w:pPr>
            <w:r>
              <w:rPr>
                <w:sz w:val="18"/>
                <w:szCs w:val="18"/>
              </w:rPr>
              <w:t>Gaji</w:t>
            </w:r>
            <w:r w:rsidR="00305CA0">
              <w:rPr>
                <w:sz w:val="18"/>
                <w:szCs w:val="18"/>
              </w:rPr>
              <w:t>.</w:t>
            </w:r>
            <w:r>
              <w:rPr>
                <w:sz w:val="18"/>
                <w:szCs w:val="18"/>
              </w:rPr>
              <w:t xml:space="preserve"> upah dan manfaat</w:t>
            </w:r>
          </w:p>
        </w:tc>
        <w:tc>
          <w:tcPr>
            <w:tcW w:w="1679" w:type="dxa"/>
            <w:shd w:val="clear" w:color="auto" w:fill="auto"/>
            <w:vAlign w:val="bottom"/>
          </w:tcPr>
          <w:p w14:paraId="4F3D3AC7" w14:textId="29A820C0" w:rsidR="00F84E7F" w:rsidRPr="00374F22" w:rsidRDefault="00374F22" w:rsidP="001808CD">
            <w:pPr>
              <w:ind w:right="57"/>
              <w:jc w:val="right"/>
              <w:rPr>
                <w:sz w:val="18"/>
                <w:szCs w:val="18"/>
              </w:rPr>
            </w:pPr>
            <w:r w:rsidRPr="00374F22">
              <w:rPr>
                <w:sz w:val="18"/>
                <w:szCs w:val="18"/>
              </w:rPr>
              <w:t>7</w:t>
            </w:r>
            <w:r w:rsidR="001808CD">
              <w:rPr>
                <w:sz w:val="18"/>
                <w:szCs w:val="18"/>
              </w:rPr>
              <w:t>.</w:t>
            </w:r>
            <w:r w:rsidRPr="00374F22">
              <w:rPr>
                <w:sz w:val="18"/>
                <w:szCs w:val="18"/>
              </w:rPr>
              <w:t>371</w:t>
            </w:r>
            <w:r w:rsidR="001808CD">
              <w:rPr>
                <w:sz w:val="18"/>
                <w:szCs w:val="18"/>
              </w:rPr>
              <w:t>.</w:t>
            </w:r>
            <w:r w:rsidRPr="00374F22">
              <w:rPr>
                <w:sz w:val="18"/>
                <w:szCs w:val="18"/>
              </w:rPr>
              <w:t>096</w:t>
            </w:r>
            <w:r w:rsidR="001808CD">
              <w:rPr>
                <w:sz w:val="18"/>
                <w:szCs w:val="18"/>
              </w:rPr>
              <w:t>.</w:t>
            </w:r>
            <w:r w:rsidRPr="00374F22">
              <w:rPr>
                <w:sz w:val="18"/>
                <w:szCs w:val="18"/>
              </w:rPr>
              <w:t>205</w:t>
            </w:r>
          </w:p>
        </w:tc>
        <w:tc>
          <w:tcPr>
            <w:tcW w:w="108" w:type="dxa"/>
            <w:vAlign w:val="bottom"/>
          </w:tcPr>
          <w:p w14:paraId="7B04C52C" w14:textId="77777777" w:rsidR="00F84E7F" w:rsidRPr="00374F22" w:rsidRDefault="00F84E7F" w:rsidP="00F84E7F">
            <w:pPr>
              <w:ind w:right="57"/>
              <w:jc w:val="right"/>
              <w:rPr>
                <w:sz w:val="18"/>
                <w:szCs w:val="18"/>
              </w:rPr>
            </w:pPr>
          </w:p>
        </w:tc>
        <w:tc>
          <w:tcPr>
            <w:tcW w:w="1679" w:type="dxa"/>
            <w:vAlign w:val="bottom"/>
          </w:tcPr>
          <w:p w14:paraId="010D23DF" w14:textId="63921245" w:rsidR="00F84E7F" w:rsidRPr="00374F22" w:rsidRDefault="00F84E7F" w:rsidP="00F84E7F">
            <w:pPr>
              <w:ind w:right="57"/>
              <w:jc w:val="right"/>
              <w:rPr>
                <w:sz w:val="18"/>
                <w:szCs w:val="18"/>
              </w:rPr>
            </w:pPr>
            <w:r w:rsidRPr="00374F22">
              <w:rPr>
                <w:sz w:val="18"/>
                <w:szCs w:val="18"/>
              </w:rPr>
              <w:t>7.652.351.449</w:t>
            </w:r>
          </w:p>
        </w:tc>
        <w:tc>
          <w:tcPr>
            <w:tcW w:w="2871" w:type="dxa"/>
          </w:tcPr>
          <w:p w14:paraId="7025D14A" w14:textId="7734D587" w:rsidR="00F84E7F" w:rsidRPr="00B514B1" w:rsidRDefault="00F84E7F" w:rsidP="001808CD">
            <w:pPr>
              <w:ind w:right="57"/>
              <w:jc w:val="right"/>
              <w:rPr>
                <w:i/>
                <w:sz w:val="18"/>
                <w:szCs w:val="18"/>
              </w:rPr>
            </w:pPr>
            <w:r w:rsidRPr="00B514B1">
              <w:rPr>
                <w:i/>
                <w:sz w:val="18"/>
                <w:szCs w:val="18"/>
              </w:rPr>
              <w:t>Salaries</w:t>
            </w:r>
            <w:r w:rsidR="00305CA0">
              <w:rPr>
                <w:i/>
                <w:sz w:val="18"/>
                <w:szCs w:val="18"/>
              </w:rPr>
              <w:t>.</w:t>
            </w:r>
            <w:r w:rsidRPr="00B514B1">
              <w:rPr>
                <w:i/>
                <w:sz w:val="18"/>
                <w:szCs w:val="18"/>
              </w:rPr>
              <w:t xml:space="preserve"> wages </w:t>
            </w:r>
            <w:r>
              <w:rPr>
                <w:i/>
                <w:sz w:val="18"/>
                <w:szCs w:val="18"/>
              </w:rPr>
              <w:t>and</w:t>
            </w:r>
            <w:r w:rsidRPr="00B514B1">
              <w:rPr>
                <w:i/>
                <w:sz w:val="18"/>
                <w:szCs w:val="18"/>
              </w:rPr>
              <w:t xml:space="preserve"> benefits</w:t>
            </w:r>
          </w:p>
        </w:tc>
      </w:tr>
      <w:tr w:rsidR="00F84E7F" w:rsidRPr="0013526B" w14:paraId="3DBA9300" w14:textId="77777777" w:rsidTr="002B637F">
        <w:trPr>
          <w:trHeight w:val="20"/>
        </w:trPr>
        <w:tc>
          <w:tcPr>
            <w:tcW w:w="2860" w:type="dxa"/>
          </w:tcPr>
          <w:p w14:paraId="3F2FD89E" w14:textId="77777777" w:rsidR="00F84E7F" w:rsidRPr="0013526B" w:rsidRDefault="00F84E7F" w:rsidP="00F84E7F">
            <w:pPr>
              <w:ind w:left="393"/>
              <w:rPr>
                <w:sz w:val="18"/>
                <w:szCs w:val="18"/>
              </w:rPr>
            </w:pPr>
            <w:r>
              <w:rPr>
                <w:sz w:val="18"/>
                <w:szCs w:val="18"/>
              </w:rPr>
              <w:t>Utilitas</w:t>
            </w:r>
          </w:p>
        </w:tc>
        <w:tc>
          <w:tcPr>
            <w:tcW w:w="1679" w:type="dxa"/>
            <w:shd w:val="clear" w:color="auto" w:fill="auto"/>
            <w:vAlign w:val="bottom"/>
          </w:tcPr>
          <w:p w14:paraId="2995EE15" w14:textId="6D4003D9" w:rsidR="00F84E7F" w:rsidRPr="00374F22" w:rsidRDefault="00374F22" w:rsidP="001808CD">
            <w:pPr>
              <w:ind w:right="57"/>
              <w:jc w:val="right"/>
              <w:rPr>
                <w:sz w:val="18"/>
                <w:szCs w:val="18"/>
              </w:rPr>
            </w:pPr>
            <w:r w:rsidRPr="00374F22">
              <w:rPr>
                <w:sz w:val="18"/>
                <w:szCs w:val="18"/>
              </w:rPr>
              <w:t>6</w:t>
            </w:r>
            <w:r w:rsidR="001808CD">
              <w:rPr>
                <w:sz w:val="18"/>
                <w:szCs w:val="18"/>
              </w:rPr>
              <w:t>.</w:t>
            </w:r>
            <w:r w:rsidRPr="00374F22">
              <w:rPr>
                <w:sz w:val="18"/>
                <w:szCs w:val="18"/>
              </w:rPr>
              <w:t>613</w:t>
            </w:r>
            <w:r w:rsidR="001808CD">
              <w:rPr>
                <w:sz w:val="18"/>
                <w:szCs w:val="18"/>
              </w:rPr>
              <w:t>.</w:t>
            </w:r>
            <w:r w:rsidRPr="00374F22">
              <w:rPr>
                <w:sz w:val="18"/>
                <w:szCs w:val="18"/>
              </w:rPr>
              <w:t>652</w:t>
            </w:r>
            <w:r w:rsidR="001808CD">
              <w:rPr>
                <w:sz w:val="18"/>
                <w:szCs w:val="18"/>
              </w:rPr>
              <w:t>.</w:t>
            </w:r>
            <w:r w:rsidRPr="00374F22">
              <w:rPr>
                <w:sz w:val="18"/>
                <w:szCs w:val="18"/>
              </w:rPr>
              <w:t>508</w:t>
            </w:r>
          </w:p>
        </w:tc>
        <w:tc>
          <w:tcPr>
            <w:tcW w:w="108" w:type="dxa"/>
            <w:vAlign w:val="bottom"/>
          </w:tcPr>
          <w:p w14:paraId="77DB5672" w14:textId="77777777" w:rsidR="00F84E7F" w:rsidRPr="00374F22" w:rsidRDefault="00F84E7F" w:rsidP="00F84E7F">
            <w:pPr>
              <w:ind w:right="57"/>
              <w:jc w:val="right"/>
              <w:rPr>
                <w:sz w:val="18"/>
                <w:szCs w:val="18"/>
              </w:rPr>
            </w:pPr>
          </w:p>
        </w:tc>
        <w:tc>
          <w:tcPr>
            <w:tcW w:w="1679" w:type="dxa"/>
            <w:vAlign w:val="bottom"/>
          </w:tcPr>
          <w:p w14:paraId="349043CF" w14:textId="58AA5173" w:rsidR="00F84E7F" w:rsidRPr="00374F22" w:rsidRDefault="00F84E7F" w:rsidP="00F84E7F">
            <w:pPr>
              <w:ind w:right="57"/>
              <w:jc w:val="right"/>
              <w:rPr>
                <w:sz w:val="18"/>
                <w:szCs w:val="18"/>
              </w:rPr>
            </w:pPr>
            <w:r w:rsidRPr="00374F22">
              <w:rPr>
                <w:sz w:val="18"/>
                <w:szCs w:val="18"/>
              </w:rPr>
              <w:t>6.890.380.007</w:t>
            </w:r>
          </w:p>
        </w:tc>
        <w:tc>
          <w:tcPr>
            <w:tcW w:w="2871" w:type="dxa"/>
          </w:tcPr>
          <w:p w14:paraId="1D86215C" w14:textId="77777777" w:rsidR="00F84E7F" w:rsidRPr="00B514B1" w:rsidRDefault="00F84E7F" w:rsidP="00F84E7F">
            <w:pPr>
              <w:ind w:right="57"/>
              <w:jc w:val="right"/>
              <w:rPr>
                <w:i/>
                <w:sz w:val="18"/>
                <w:szCs w:val="18"/>
              </w:rPr>
            </w:pPr>
            <w:r w:rsidRPr="00B514B1">
              <w:rPr>
                <w:i/>
                <w:sz w:val="18"/>
                <w:szCs w:val="18"/>
              </w:rPr>
              <w:t>Utilities</w:t>
            </w:r>
          </w:p>
        </w:tc>
      </w:tr>
      <w:tr w:rsidR="00374F22" w:rsidRPr="0013526B" w14:paraId="6BE1F040" w14:textId="77777777" w:rsidTr="002B637F">
        <w:trPr>
          <w:trHeight w:val="20"/>
        </w:trPr>
        <w:tc>
          <w:tcPr>
            <w:tcW w:w="2860" w:type="dxa"/>
          </w:tcPr>
          <w:p w14:paraId="4B699B56" w14:textId="50BA987D" w:rsidR="00374F22" w:rsidRDefault="00374F22" w:rsidP="00374F22">
            <w:pPr>
              <w:ind w:left="393"/>
              <w:rPr>
                <w:sz w:val="18"/>
                <w:szCs w:val="18"/>
              </w:rPr>
            </w:pPr>
            <w:r>
              <w:rPr>
                <w:sz w:val="18"/>
                <w:szCs w:val="18"/>
              </w:rPr>
              <w:t>Makanan dan minuman</w:t>
            </w:r>
          </w:p>
        </w:tc>
        <w:tc>
          <w:tcPr>
            <w:tcW w:w="1679" w:type="dxa"/>
            <w:shd w:val="clear" w:color="auto" w:fill="auto"/>
            <w:vAlign w:val="bottom"/>
          </w:tcPr>
          <w:p w14:paraId="2D790BEF" w14:textId="2C3D7507" w:rsidR="00374F22" w:rsidRPr="00374F22" w:rsidRDefault="00374F22" w:rsidP="001808CD">
            <w:pPr>
              <w:ind w:right="57"/>
              <w:jc w:val="right"/>
              <w:rPr>
                <w:sz w:val="18"/>
                <w:szCs w:val="18"/>
              </w:rPr>
            </w:pPr>
            <w:r w:rsidRPr="00374F22">
              <w:rPr>
                <w:sz w:val="18"/>
                <w:szCs w:val="18"/>
              </w:rPr>
              <w:t>6</w:t>
            </w:r>
            <w:r w:rsidR="001808CD">
              <w:rPr>
                <w:sz w:val="18"/>
                <w:szCs w:val="18"/>
              </w:rPr>
              <w:t>.</w:t>
            </w:r>
            <w:r w:rsidRPr="00374F22">
              <w:rPr>
                <w:sz w:val="18"/>
                <w:szCs w:val="18"/>
              </w:rPr>
              <w:t>084</w:t>
            </w:r>
            <w:r w:rsidR="001808CD">
              <w:rPr>
                <w:sz w:val="18"/>
                <w:szCs w:val="18"/>
              </w:rPr>
              <w:t>.</w:t>
            </w:r>
            <w:r w:rsidRPr="00374F22">
              <w:rPr>
                <w:sz w:val="18"/>
                <w:szCs w:val="18"/>
              </w:rPr>
              <w:t>043</w:t>
            </w:r>
            <w:r w:rsidR="001808CD">
              <w:rPr>
                <w:sz w:val="18"/>
                <w:szCs w:val="18"/>
              </w:rPr>
              <w:t>.</w:t>
            </w:r>
            <w:r w:rsidRPr="00374F22">
              <w:rPr>
                <w:sz w:val="18"/>
                <w:szCs w:val="18"/>
              </w:rPr>
              <w:t>070</w:t>
            </w:r>
          </w:p>
        </w:tc>
        <w:tc>
          <w:tcPr>
            <w:tcW w:w="108" w:type="dxa"/>
            <w:vAlign w:val="bottom"/>
          </w:tcPr>
          <w:p w14:paraId="17CB9390" w14:textId="77777777" w:rsidR="00374F22" w:rsidRPr="00374F22" w:rsidRDefault="00374F22" w:rsidP="00374F22">
            <w:pPr>
              <w:ind w:right="57"/>
              <w:jc w:val="right"/>
              <w:rPr>
                <w:sz w:val="18"/>
                <w:szCs w:val="18"/>
              </w:rPr>
            </w:pPr>
          </w:p>
        </w:tc>
        <w:tc>
          <w:tcPr>
            <w:tcW w:w="1679" w:type="dxa"/>
            <w:vAlign w:val="bottom"/>
          </w:tcPr>
          <w:p w14:paraId="77E8B694" w14:textId="32EDFBD8" w:rsidR="00374F22" w:rsidRPr="00374F22" w:rsidRDefault="00374F22" w:rsidP="00374F22">
            <w:pPr>
              <w:ind w:right="57"/>
              <w:jc w:val="right"/>
              <w:rPr>
                <w:sz w:val="18"/>
                <w:szCs w:val="18"/>
              </w:rPr>
            </w:pPr>
            <w:r w:rsidRPr="00374F22">
              <w:rPr>
                <w:sz w:val="18"/>
                <w:szCs w:val="18"/>
              </w:rPr>
              <w:t>4.934.206.693</w:t>
            </w:r>
          </w:p>
        </w:tc>
        <w:tc>
          <w:tcPr>
            <w:tcW w:w="2871" w:type="dxa"/>
          </w:tcPr>
          <w:p w14:paraId="35B13F9B" w14:textId="77777777" w:rsidR="00374F22" w:rsidRPr="00B514B1" w:rsidRDefault="00374F22" w:rsidP="00374F22">
            <w:pPr>
              <w:ind w:right="57"/>
              <w:jc w:val="right"/>
              <w:rPr>
                <w:i/>
                <w:sz w:val="18"/>
                <w:szCs w:val="18"/>
              </w:rPr>
            </w:pPr>
          </w:p>
        </w:tc>
      </w:tr>
      <w:tr w:rsidR="00E224A5" w:rsidRPr="0013526B" w14:paraId="2715D04C" w14:textId="77777777" w:rsidTr="002B637F">
        <w:trPr>
          <w:trHeight w:val="20"/>
        </w:trPr>
        <w:tc>
          <w:tcPr>
            <w:tcW w:w="2860" w:type="dxa"/>
          </w:tcPr>
          <w:p w14:paraId="1F795A2E" w14:textId="560801ED" w:rsidR="00E224A5" w:rsidRDefault="00E224A5" w:rsidP="00E224A5">
            <w:pPr>
              <w:ind w:left="393"/>
              <w:rPr>
                <w:sz w:val="18"/>
                <w:szCs w:val="18"/>
              </w:rPr>
            </w:pPr>
            <w:r>
              <w:rPr>
                <w:sz w:val="18"/>
                <w:szCs w:val="18"/>
              </w:rPr>
              <w:t>Biaya langsung</w:t>
            </w:r>
          </w:p>
        </w:tc>
        <w:tc>
          <w:tcPr>
            <w:tcW w:w="1679" w:type="dxa"/>
            <w:shd w:val="clear" w:color="auto" w:fill="auto"/>
            <w:vAlign w:val="bottom"/>
          </w:tcPr>
          <w:p w14:paraId="0D855189" w14:textId="0B460FF7" w:rsidR="00E224A5" w:rsidRPr="00374F22" w:rsidRDefault="00E224A5" w:rsidP="001808CD">
            <w:pPr>
              <w:ind w:right="57"/>
              <w:jc w:val="right"/>
              <w:rPr>
                <w:sz w:val="18"/>
                <w:szCs w:val="18"/>
              </w:rPr>
            </w:pPr>
            <w:r w:rsidRPr="00374F22">
              <w:rPr>
                <w:sz w:val="18"/>
                <w:szCs w:val="18"/>
              </w:rPr>
              <w:t>5</w:t>
            </w:r>
            <w:r w:rsidR="001808CD">
              <w:rPr>
                <w:sz w:val="18"/>
                <w:szCs w:val="18"/>
              </w:rPr>
              <w:t>.</w:t>
            </w:r>
            <w:r w:rsidRPr="00374F22">
              <w:rPr>
                <w:sz w:val="18"/>
                <w:szCs w:val="18"/>
              </w:rPr>
              <w:t>272</w:t>
            </w:r>
            <w:r w:rsidR="001808CD">
              <w:rPr>
                <w:sz w:val="18"/>
                <w:szCs w:val="18"/>
              </w:rPr>
              <w:t>.</w:t>
            </w:r>
            <w:r w:rsidRPr="00374F22">
              <w:rPr>
                <w:sz w:val="18"/>
                <w:szCs w:val="18"/>
              </w:rPr>
              <w:t>393</w:t>
            </w:r>
            <w:r w:rsidR="001808CD">
              <w:rPr>
                <w:sz w:val="18"/>
                <w:szCs w:val="18"/>
              </w:rPr>
              <w:t>.</w:t>
            </w:r>
            <w:r w:rsidRPr="00374F22">
              <w:rPr>
                <w:sz w:val="18"/>
                <w:szCs w:val="18"/>
              </w:rPr>
              <w:t>911</w:t>
            </w:r>
          </w:p>
        </w:tc>
        <w:tc>
          <w:tcPr>
            <w:tcW w:w="108" w:type="dxa"/>
            <w:vAlign w:val="bottom"/>
          </w:tcPr>
          <w:p w14:paraId="4E95AF70" w14:textId="77777777" w:rsidR="00E224A5" w:rsidRPr="00374F22" w:rsidRDefault="00E224A5" w:rsidP="00E224A5">
            <w:pPr>
              <w:ind w:right="57"/>
              <w:jc w:val="right"/>
              <w:rPr>
                <w:sz w:val="18"/>
                <w:szCs w:val="18"/>
              </w:rPr>
            </w:pPr>
          </w:p>
        </w:tc>
        <w:tc>
          <w:tcPr>
            <w:tcW w:w="1679" w:type="dxa"/>
            <w:vAlign w:val="bottom"/>
          </w:tcPr>
          <w:p w14:paraId="5F783E24" w14:textId="5E84FB96" w:rsidR="00E224A5" w:rsidRPr="00374F22" w:rsidRDefault="00E224A5" w:rsidP="00E224A5">
            <w:pPr>
              <w:ind w:right="57"/>
              <w:jc w:val="right"/>
              <w:rPr>
                <w:sz w:val="18"/>
                <w:szCs w:val="18"/>
              </w:rPr>
            </w:pPr>
            <w:r w:rsidRPr="00374F22">
              <w:rPr>
                <w:sz w:val="18"/>
                <w:szCs w:val="18"/>
              </w:rPr>
              <w:t>6.802.386.915</w:t>
            </w:r>
          </w:p>
        </w:tc>
        <w:tc>
          <w:tcPr>
            <w:tcW w:w="2871" w:type="dxa"/>
          </w:tcPr>
          <w:p w14:paraId="22F4DED8" w14:textId="2EB4A473" w:rsidR="00E224A5" w:rsidRPr="00B514B1" w:rsidRDefault="00E224A5" w:rsidP="00E224A5">
            <w:pPr>
              <w:ind w:right="57"/>
              <w:jc w:val="right"/>
              <w:rPr>
                <w:i/>
                <w:sz w:val="18"/>
                <w:szCs w:val="18"/>
              </w:rPr>
            </w:pPr>
            <w:r w:rsidRPr="00B514B1">
              <w:rPr>
                <w:i/>
                <w:sz w:val="18"/>
                <w:szCs w:val="18"/>
              </w:rPr>
              <w:t>Direct charges</w:t>
            </w:r>
          </w:p>
        </w:tc>
      </w:tr>
      <w:tr w:rsidR="00E224A5" w:rsidRPr="0013526B" w14:paraId="62B94386" w14:textId="77777777" w:rsidTr="002B637F">
        <w:trPr>
          <w:trHeight w:val="20"/>
        </w:trPr>
        <w:tc>
          <w:tcPr>
            <w:tcW w:w="2860" w:type="dxa"/>
          </w:tcPr>
          <w:p w14:paraId="39A632E7" w14:textId="77777777" w:rsidR="00E224A5" w:rsidRPr="0013526B" w:rsidRDefault="00E224A5" w:rsidP="00E224A5">
            <w:pPr>
              <w:ind w:left="393"/>
              <w:rPr>
                <w:sz w:val="18"/>
                <w:szCs w:val="18"/>
              </w:rPr>
            </w:pPr>
            <w:r>
              <w:rPr>
                <w:sz w:val="18"/>
                <w:szCs w:val="18"/>
              </w:rPr>
              <w:t>Keamanan dan kebersihan</w:t>
            </w:r>
          </w:p>
        </w:tc>
        <w:tc>
          <w:tcPr>
            <w:tcW w:w="1679" w:type="dxa"/>
            <w:shd w:val="clear" w:color="auto" w:fill="auto"/>
            <w:vAlign w:val="bottom"/>
          </w:tcPr>
          <w:p w14:paraId="37FBA1D5" w14:textId="5A5ECB4F" w:rsidR="00E224A5" w:rsidRPr="00374F22" w:rsidRDefault="00E224A5" w:rsidP="001808CD">
            <w:pPr>
              <w:ind w:right="57"/>
              <w:jc w:val="right"/>
              <w:rPr>
                <w:sz w:val="18"/>
                <w:szCs w:val="18"/>
              </w:rPr>
            </w:pPr>
            <w:r w:rsidRPr="00374F22">
              <w:rPr>
                <w:sz w:val="18"/>
                <w:szCs w:val="18"/>
              </w:rPr>
              <w:t>4</w:t>
            </w:r>
            <w:r w:rsidR="001808CD">
              <w:rPr>
                <w:sz w:val="18"/>
                <w:szCs w:val="18"/>
              </w:rPr>
              <w:t>.</w:t>
            </w:r>
            <w:r w:rsidRPr="00374F22">
              <w:rPr>
                <w:sz w:val="18"/>
                <w:szCs w:val="18"/>
              </w:rPr>
              <w:t>278</w:t>
            </w:r>
            <w:r w:rsidR="001808CD">
              <w:rPr>
                <w:sz w:val="18"/>
                <w:szCs w:val="18"/>
              </w:rPr>
              <w:t>.</w:t>
            </w:r>
            <w:r w:rsidRPr="00374F22">
              <w:rPr>
                <w:sz w:val="18"/>
                <w:szCs w:val="18"/>
              </w:rPr>
              <w:t>905</w:t>
            </w:r>
            <w:r w:rsidR="001808CD">
              <w:rPr>
                <w:sz w:val="18"/>
                <w:szCs w:val="18"/>
              </w:rPr>
              <w:t>.</w:t>
            </w:r>
            <w:r w:rsidRPr="00374F22">
              <w:rPr>
                <w:sz w:val="18"/>
                <w:szCs w:val="18"/>
              </w:rPr>
              <w:t>612</w:t>
            </w:r>
          </w:p>
        </w:tc>
        <w:tc>
          <w:tcPr>
            <w:tcW w:w="108" w:type="dxa"/>
            <w:vAlign w:val="bottom"/>
          </w:tcPr>
          <w:p w14:paraId="4B7C4105" w14:textId="77777777" w:rsidR="00E224A5" w:rsidRPr="00374F22" w:rsidRDefault="00E224A5" w:rsidP="00E224A5">
            <w:pPr>
              <w:ind w:right="57"/>
              <w:jc w:val="right"/>
              <w:rPr>
                <w:sz w:val="18"/>
                <w:szCs w:val="18"/>
              </w:rPr>
            </w:pPr>
          </w:p>
        </w:tc>
        <w:tc>
          <w:tcPr>
            <w:tcW w:w="1679" w:type="dxa"/>
            <w:vAlign w:val="bottom"/>
          </w:tcPr>
          <w:p w14:paraId="78D73215" w14:textId="386BA56A" w:rsidR="00E224A5" w:rsidRPr="00374F22" w:rsidRDefault="00E224A5" w:rsidP="00E224A5">
            <w:pPr>
              <w:ind w:right="57"/>
              <w:jc w:val="right"/>
              <w:rPr>
                <w:sz w:val="18"/>
                <w:szCs w:val="18"/>
              </w:rPr>
            </w:pPr>
            <w:r w:rsidRPr="00374F22">
              <w:rPr>
                <w:sz w:val="18"/>
                <w:szCs w:val="18"/>
              </w:rPr>
              <w:t>6.898.158.198</w:t>
            </w:r>
          </w:p>
        </w:tc>
        <w:tc>
          <w:tcPr>
            <w:tcW w:w="2871" w:type="dxa"/>
          </w:tcPr>
          <w:p w14:paraId="72A94497" w14:textId="77777777" w:rsidR="00E224A5" w:rsidRPr="00B514B1" w:rsidRDefault="00E224A5" w:rsidP="00E224A5">
            <w:pPr>
              <w:ind w:right="57"/>
              <w:jc w:val="right"/>
              <w:rPr>
                <w:i/>
                <w:sz w:val="18"/>
                <w:szCs w:val="18"/>
              </w:rPr>
            </w:pPr>
            <w:r w:rsidRPr="00B514B1">
              <w:rPr>
                <w:i/>
                <w:sz w:val="18"/>
                <w:szCs w:val="18"/>
              </w:rPr>
              <w:t>Security and cleaning services</w:t>
            </w:r>
          </w:p>
        </w:tc>
      </w:tr>
      <w:tr w:rsidR="00E224A5" w:rsidRPr="0013526B" w14:paraId="1CAF1947" w14:textId="77777777" w:rsidTr="002B637F">
        <w:trPr>
          <w:trHeight w:val="20"/>
        </w:trPr>
        <w:tc>
          <w:tcPr>
            <w:tcW w:w="2860" w:type="dxa"/>
          </w:tcPr>
          <w:p w14:paraId="251DEB3F" w14:textId="7DC2D98C" w:rsidR="00E224A5" w:rsidRPr="0013526B" w:rsidRDefault="00E224A5" w:rsidP="00E224A5">
            <w:pPr>
              <w:ind w:left="393"/>
              <w:rPr>
                <w:sz w:val="18"/>
                <w:szCs w:val="18"/>
              </w:rPr>
            </w:pPr>
            <w:r>
              <w:rPr>
                <w:sz w:val="18"/>
                <w:szCs w:val="18"/>
              </w:rPr>
              <w:t>Perbaikan dan pemeliharaan</w:t>
            </w:r>
          </w:p>
        </w:tc>
        <w:tc>
          <w:tcPr>
            <w:tcW w:w="1679" w:type="dxa"/>
            <w:shd w:val="clear" w:color="auto" w:fill="auto"/>
            <w:vAlign w:val="bottom"/>
          </w:tcPr>
          <w:p w14:paraId="07D68623" w14:textId="1F5262B2" w:rsidR="00E224A5" w:rsidRPr="00374F22" w:rsidRDefault="00E224A5" w:rsidP="001808CD">
            <w:pPr>
              <w:ind w:right="57"/>
              <w:jc w:val="right"/>
              <w:rPr>
                <w:sz w:val="18"/>
                <w:szCs w:val="18"/>
              </w:rPr>
            </w:pPr>
            <w:r w:rsidRPr="00374F22">
              <w:rPr>
                <w:sz w:val="18"/>
                <w:szCs w:val="18"/>
              </w:rPr>
              <w:t>3</w:t>
            </w:r>
            <w:r w:rsidR="001808CD">
              <w:rPr>
                <w:sz w:val="18"/>
                <w:szCs w:val="18"/>
              </w:rPr>
              <w:t>.</w:t>
            </w:r>
            <w:r w:rsidRPr="00374F22">
              <w:rPr>
                <w:sz w:val="18"/>
                <w:szCs w:val="18"/>
              </w:rPr>
              <w:t>131</w:t>
            </w:r>
            <w:r w:rsidR="001808CD">
              <w:rPr>
                <w:sz w:val="18"/>
                <w:szCs w:val="18"/>
              </w:rPr>
              <w:t>.</w:t>
            </w:r>
            <w:r w:rsidRPr="00374F22">
              <w:rPr>
                <w:sz w:val="18"/>
                <w:szCs w:val="18"/>
              </w:rPr>
              <w:t>674</w:t>
            </w:r>
            <w:r w:rsidR="001808CD">
              <w:rPr>
                <w:sz w:val="18"/>
                <w:szCs w:val="18"/>
              </w:rPr>
              <w:t>.</w:t>
            </w:r>
            <w:r w:rsidRPr="00374F22">
              <w:rPr>
                <w:sz w:val="18"/>
                <w:szCs w:val="18"/>
              </w:rPr>
              <w:t>893</w:t>
            </w:r>
          </w:p>
        </w:tc>
        <w:tc>
          <w:tcPr>
            <w:tcW w:w="108" w:type="dxa"/>
            <w:vAlign w:val="bottom"/>
          </w:tcPr>
          <w:p w14:paraId="4BE4B3AC" w14:textId="77777777" w:rsidR="00E224A5" w:rsidRPr="00374F22" w:rsidRDefault="00E224A5" w:rsidP="00E224A5">
            <w:pPr>
              <w:ind w:right="57"/>
              <w:jc w:val="right"/>
              <w:rPr>
                <w:sz w:val="18"/>
                <w:szCs w:val="18"/>
              </w:rPr>
            </w:pPr>
          </w:p>
        </w:tc>
        <w:tc>
          <w:tcPr>
            <w:tcW w:w="1679" w:type="dxa"/>
            <w:vAlign w:val="bottom"/>
          </w:tcPr>
          <w:p w14:paraId="1FCDA7DA" w14:textId="2AD752C1" w:rsidR="00E224A5" w:rsidRPr="00374F22" w:rsidRDefault="00E224A5" w:rsidP="00E224A5">
            <w:pPr>
              <w:ind w:right="57"/>
              <w:jc w:val="right"/>
              <w:rPr>
                <w:sz w:val="18"/>
                <w:szCs w:val="18"/>
              </w:rPr>
            </w:pPr>
            <w:r w:rsidRPr="00374F22">
              <w:rPr>
                <w:sz w:val="18"/>
                <w:szCs w:val="18"/>
              </w:rPr>
              <w:t>3.144.161.327</w:t>
            </w:r>
          </w:p>
        </w:tc>
        <w:tc>
          <w:tcPr>
            <w:tcW w:w="2871" w:type="dxa"/>
          </w:tcPr>
          <w:p w14:paraId="2FAD0BEC" w14:textId="6F7D413E" w:rsidR="00E224A5" w:rsidRPr="00B514B1" w:rsidRDefault="00E224A5" w:rsidP="00E224A5">
            <w:pPr>
              <w:ind w:right="57"/>
              <w:jc w:val="right"/>
              <w:rPr>
                <w:i/>
                <w:sz w:val="18"/>
                <w:szCs w:val="18"/>
              </w:rPr>
            </w:pPr>
            <w:r w:rsidRPr="00B514B1">
              <w:rPr>
                <w:i/>
                <w:sz w:val="18"/>
                <w:szCs w:val="18"/>
              </w:rPr>
              <w:t>Repair and maintenance</w:t>
            </w:r>
          </w:p>
        </w:tc>
      </w:tr>
      <w:tr w:rsidR="00E224A5" w:rsidRPr="0013526B" w14:paraId="1E74EB16" w14:textId="77777777" w:rsidTr="002B637F">
        <w:trPr>
          <w:trHeight w:val="20"/>
        </w:trPr>
        <w:tc>
          <w:tcPr>
            <w:tcW w:w="2860" w:type="dxa"/>
          </w:tcPr>
          <w:p w14:paraId="51562C8E" w14:textId="52994755" w:rsidR="00E224A5" w:rsidRPr="0013526B" w:rsidRDefault="00E224A5" w:rsidP="00E224A5">
            <w:pPr>
              <w:ind w:left="393"/>
              <w:rPr>
                <w:sz w:val="18"/>
                <w:szCs w:val="18"/>
              </w:rPr>
            </w:pPr>
            <w:r>
              <w:rPr>
                <w:sz w:val="18"/>
                <w:szCs w:val="18"/>
              </w:rPr>
              <w:t xml:space="preserve">Biaya profesional </w:t>
            </w:r>
          </w:p>
        </w:tc>
        <w:tc>
          <w:tcPr>
            <w:tcW w:w="1679" w:type="dxa"/>
            <w:shd w:val="clear" w:color="auto" w:fill="auto"/>
            <w:vAlign w:val="bottom"/>
          </w:tcPr>
          <w:p w14:paraId="71F821FE" w14:textId="55C9CDC3" w:rsidR="00E224A5" w:rsidRPr="00374F22" w:rsidRDefault="00E224A5" w:rsidP="001808CD">
            <w:pPr>
              <w:ind w:right="57"/>
              <w:jc w:val="right"/>
              <w:rPr>
                <w:sz w:val="18"/>
                <w:szCs w:val="18"/>
              </w:rPr>
            </w:pPr>
            <w:r w:rsidRPr="00374F22">
              <w:rPr>
                <w:sz w:val="18"/>
                <w:szCs w:val="18"/>
              </w:rPr>
              <w:t>764</w:t>
            </w:r>
            <w:r w:rsidR="001808CD">
              <w:rPr>
                <w:sz w:val="18"/>
                <w:szCs w:val="18"/>
              </w:rPr>
              <w:t>.</w:t>
            </w:r>
            <w:r w:rsidRPr="00374F22">
              <w:rPr>
                <w:sz w:val="18"/>
                <w:szCs w:val="18"/>
              </w:rPr>
              <w:t>205</w:t>
            </w:r>
            <w:r w:rsidR="001808CD">
              <w:rPr>
                <w:sz w:val="18"/>
                <w:szCs w:val="18"/>
              </w:rPr>
              <w:t>.</w:t>
            </w:r>
            <w:r w:rsidRPr="00374F22">
              <w:rPr>
                <w:sz w:val="18"/>
                <w:szCs w:val="18"/>
              </w:rPr>
              <w:t>770</w:t>
            </w:r>
          </w:p>
        </w:tc>
        <w:tc>
          <w:tcPr>
            <w:tcW w:w="108" w:type="dxa"/>
            <w:vAlign w:val="bottom"/>
          </w:tcPr>
          <w:p w14:paraId="573D0861" w14:textId="77777777" w:rsidR="00E224A5" w:rsidRPr="00374F22" w:rsidRDefault="00E224A5" w:rsidP="00E224A5">
            <w:pPr>
              <w:ind w:right="57"/>
              <w:jc w:val="right"/>
              <w:rPr>
                <w:sz w:val="18"/>
                <w:szCs w:val="18"/>
              </w:rPr>
            </w:pPr>
          </w:p>
        </w:tc>
        <w:tc>
          <w:tcPr>
            <w:tcW w:w="1679" w:type="dxa"/>
            <w:vAlign w:val="bottom"/>
          </w:tcPr>
          <w:p w14:paraId="5B775BDC" w14:textId="7474BDF9" w:rsidR="00E224A5" w:rsidRPr="00374F22" w:rsidRDefault="00E224A5" w:rsidP="00E224A5">
            <w:pPr>
              <w:ind w:right="57"/>
              <w:jc w:val="right"/>
              <w:rPr>
                <w:sz w:val="18"/>
                <w:szCs w:val="18"/>
              </w:rPr>
            </w:pPr>
            <w:r w:rsidRPr="00374F22">
              <w:rPr>
                <w:sz w:val="18"/>
                <w:szCs w:val="18"/>
              </w:rPr>
              <w:t>944.605.138</w:t>
            </w:r>
          </w:p>
        </w:tc>
        <w:tc>
          <w:tcPr>
            <w:tcW w:w="2871" w:type="dxa"/>
          </w:tcPr>
          <w:p w14:paraId="0D0BF2F9" w14:textId="16941C88" w:rsidR="00E224A5" w:rsidRPr="00B514B1" w:rsidRDefault="00E224A5" w:rsidP="00E224A5">
            <w:pPr>
              <w:ind w:right="57"/>
              <w:jc w:val="right"/>
              <w:rPr>
                <w:i/>
                <w:sz w:val="18"/>
                <w:szCs w:val="18"/>
              </w:rPr>
            </w:pPr>
            <w:r w:rsidRPr="00B514B1">
              <w:rPr>
                <w:i/>
                <w:sz w:val="18"/>
                <w:szCs w:val="18"/>
              </w:rPr>
              <w:t>Professional fees</w:t>
            </w:r>
          </w:p>
        </w:tc>
      </w:tr>
      <w:tr w:rsidR="00E224A5" w:rsidRPr="0013526B" w14:paraId="01EB0349" w14:textId="77777777" w:rsidTr="002B637F">
        <w:trPr>
          <w:trHeight w:val="20"/>
        </w:trPr>
        <w:tc>
          <w:tcPr>
            <w:tcW w:w="2860" w:type="dxa"/>
          </w:tcPr>
          <w:p w14:paraId="72F06E87" w14:textId="34B759AD" w:rsidR="00E224A5" w:rsidRPr="0013526B" w:rsidRDefault="00E224A5" w:rsidP="00E224A5">
            <w:pPr>
              <w:ind w:left="393"/>
              <w:rPr>
                <w:sz w:val="18"/>
                <w:szCs w:val="18"/>
              </w:rPr>
            </w:pPr>
            <w:r>
              <w:rPr>
                <w:sz w:val="18"/>
                <w:szCs w:val="18"/>
              </w:rPr>
              <w:t>Bunga</w:t>
            </w:r>
          </w:p>
        </w:tc>
        <w:tc>
          <w:tcPr>
            <w:tcW w:w="1679" w:type="dxa"/>
            <w:shd w:val="clear" w:color="auto" w:fill="auto"/>
            <w:vAlign w:val="bottom"/>
          </w:tcPr>
          <w:p w14:paraId="0CCD14DA" w14:textId="3533A92A" w:rsidR="00E224A5" w:rsidRPr="00374F22" w:rsidRDefault="00E224A5" w:rsidP="001808CD">
            <w:pPr>
              <w:ind w:right="57"/>
              <w:jc w:val="right"/>
              <w:rPr>
                <w:sz w:val="18"/>
                <w:szCs w:val="18"/>
              </w:rPr>
            </w:pPr>
            <w:r w:rsidRPr="00374F22">
              <w:rPr>
                <w:sz w:val="18"/>
                <w:szCs w:val="18"/>
              </w:rPr>
              <w:t>727</w:t>
            </w:r>
            <w:r w:rsidR="001808CD">
              <w:rPr>
                <w:sz w:val="18"/>
                <w:szCs w:val="18"/>
              </w:rPr>
              <w:t>.</w:t>
            </w:r>
            <w:r w:rsidRPr="00374F22">
              <w:rPr>
                <w:sz w:val="18"/>
                <w:szCs w:val="18"/>
              </w:rPr>
              <w:t>259</w:t>
            </w:r>
            <w:r w:rsidR="001808CD">
              <w:rPr>
                <w:sz w:val="18"/>
                <w:szCs w:val="18"/>
              </w:rPr>
              <w:t>.</w:t>
            </w:r>
            <w:r w:rsidRPr="00374F22">
              <w:rPr>
                <w:sz w:val="18"/>
                <w:szCs w:val="18"/>
              </w:rPr>
              <w:t>913</w:t>
            </w:r>
          </w:p>
        </w:tc>
        <w:tc>
          <w:tcPr>
            <w:tcW w:w="108" w:type="dxa"/>
            <w:vAlign w:val="bottom"/>
          </w:tcPr>
          <w:p w14:paraId="32A5A093" w14:textId="77777777" w:rsidR="00E224A5" w:rsidRPr="00374F22" w:rsidRDefault="00E224A5" w:rsidP="00E224A5">
            <w:pPr>
              <w:ind w:right="57"/>
              <w:jc w:val="right"/>
              <w:rPr>
                <w:sz w:val="18"/>
                <w:szCs w:val="18"/>
              </w:rPr>
            </w:pPr>
          </w:p>
        </w:tc>
        <w:tc>
          <w:tcPr>
            <w:tcW w:w="1679" w:type="dxa"/>
            <w:vAlign w:val="bottom"/>
          </w:tcPr>
          <w:p w14:paraId="170DF5C8" w14:textId="178FADEF" w:rsidR="00E224A5" w:rsidRPr="00374F22" w:rsidRDefault="00E224A5" w:rsidP="00E224A5">
            <w:pPr>
              <w:ind w:right="57"/>
              <w:jc w:val="right"/>
              <w:rPr>
                <w:sz w:val="18"/>
                <w:szCs w:val="18"/>
              </w:rPr>
            </w:pPr>
            <w:r w:rsidRPr="00374F22">
              <w:rPr>
                <w:sz w:val="18"/>
                <w:szCs w:val="18"/>
              </w:rPr>
              <w:t>296.704.354</w:t>
            </w:r>
          </w:p>
        </w:tc>
        <w:tc>
          <w:tcPr>
            <w:tcW w:w="2871" w:type="dxa"/>
          </w:tcPr>
          <w:p w14:paraId="0D9AACFC" w14:textId="4B17527D" w:rsidR="00E224A5" w:rsidRPr="00B514B1" w:rsidRDefault="00E224A5" w:rsidP="00E224A5">
            <w:pPr>
              <w:ind w:right="57"/>
              <w:jc w:val="right"/>
              <w:rPr>
                <w:i/>
                <w:sz w:val="18"/>
                <w:szCs w:val="18"/>
              </w:rPr>
            </w:pPr>
            <w:r w:rsidRPr="00B514B1">
              <w:rPr>
                <w:i/>
                <w:sz w:val="18"/>
                <w:szCs w:val="18"/>
              </w:rPr>
              <w:t>Interest</w:t>
            </w:r>
          </w:p>
        </w:tc>
      </w:tr>
      <w:tr w:rsidR="00E224A5" w:rsidRPr="0013526B" w14:paraId="1472B39A" w14:textId="77777777" w:rsidTr="002B637F">
        <w:trPr>
          <w:trHeight w:val="20"/>
        </w:trPr>
        <w:tc>
          <w:tcPr>
            <w:tcW w:w="2860" w:type="dxa"/>
          </w:tcPr>
          <w:p w14:paraId="2FE9C2CA" w14:textId="70CDDCA2" w:rsidR="00E224A5" w:rsidRPr="0013526B" w:rsidRDefault="00E224A5" w:rsidP="00E224A5">
            <w:pPr>
              <w:ind w:left="393"/>
              <w:rPr>
                <w:sz w:val="18"/>
                <w:szCs w:val="18"/>
              </w:rPr>
            </w:pPr>
            <w:r>
              <w:rPr>
                <w:sz w:val="18"/>
                <w:szCs w:val="18"/>
              </w:rPr>
              <w:t>Lain-lain</w:t>
            </w:r>
          </w:p>
        </w:tc>
        <w:tc>
          <w:tcPr>
            <w:tcW w:w="1679" w:type="dxa"/>
            <w:shd w:val="clear" w:color="auto" w:fill="auto"/>
            <w:vAlign w:val="bottom"/>
          </w:tcPr>
          <w:p w14:paraId="35E28CDD" w14:textId="614B7552" w:rsidR="00E224A5" w:rsidRPr="00374F22" w:rsidRDefault="00E224A5" w:rsidP="0014032D">
            <w:pPr>
              <w:ind w:right="57"/>
              <w:jc w:val="right"/>
              <w:rPr>
                <w:sz w:val="18"/>
                <w:szCs w:val="18"/>
              </w:rPr>
            </w:pPr>
            <w:r w:rsidRPr="00374F22">
              <w:rPr>
                <w:sz w:val="18"/>
                <w:szCs w:val="18"/>
              </w:rPr>
              <w:t>4</w:t>
            </w:r>
            <w:r w:rsidR="001808CD">
              <w:rPr>
                <w:sz w:val="18"/>
                <w:szCs w:val="18"/>
              </w:rPr>
              <w:t>.</w:t>
            </w:r>
            <w:r w:rsidRPr="00374F22">
              <w:rPr>
                <w:sz w:val="18"/>
                <w:szCs w:val="18"/>
              </w:rPr>
              <w:t>122</w:t>
            </w:r>
            <w:r w:rsidR="001808CD">
              <w:rPr>
                <w:sz w:val="18"/>
                <w:szCs w:val="18"/>
              </w:rPr>
              <w:t>.</w:t>
            </w:r>
            <w:r w:rsidRPr="00374F22">
              <w:rPr>
                <w:sz w:val="18"/>
                <w:szCs w:val="18"/>
              </w:rPr>
              <w:t>159</w:t>
            </w:r>
            <w:r w:rsidR="001808CD">
              <w:rPr>
                <w:sz w:val="18"/>
                <w:szCs w:val="18"/>
              </w:rPr>
              <w:t>.</w:t>
            </w:r>
            <w:r w:rsidR="009F26BD">
              <w:rPr>
                <w:sz w:val="18"/>
                <w:szCs w:val="18"/>
              </w:rPr>
              <w:t>5</w:t>
            </w:r>
            <w:r w:rsidR="0014032D">
              <w:rPr>
                <w:sz w:val="18"/>
                <w:szCs w:val="18"/>
              </w:rPr>
              <w:t>79</w:t>
            </w:r>
          </w:p>
        </w:tc>
        <w:tc>
          <w:tcPr>
            <w:tcW w:w="108" w:type="dxa"/>
            <w:vAlign w:val="bottom"/>
          </w:tcPr>
          <w:p w14:paraId="4F42BDB8" w14:textId="77777777" w:rsidR="00E224A5" w:rsidRPr="00374F22" w:rsidRDefault="00E224A5" w:rsidP="00E224A5">
            <w:pPr>
              <w:ind w:right="57"/>
              <w:jc w:val="right"/>
              <w:rPr>
                <w:sz w:val="18"/>
                <w:szCs w:val="18"/>
              </w:rPr>
            </w:pPr>
          </w:p>
        </w:tc>
        <w:tc>
          <w:tcPr>
            <w:tcW w:w="1679" w:type="dxa"/>
            <w:vAlign w:val="bottom"/>
          </w:tcPr>
          <w:p w14:paraId="4E7527F7" w14:textId="55AFBAF2" w:rsidR="00E224A5" w:rsidRPr="00374F22" w:rsidRDefault="00E224A5" w:rsidP="00E224A5">
            <w:pPr>
              <w:ind w:right="57"/>
              <w:jc w:val="right"/>
              <w:rPr>
                <w:sz w:val="18"/>
                <w:szCs w:val="18"/>
              </w:rPr>
            </w:pPr>
            <w:r w:rsidRPr="00374F22">
              <w:rPr>
                <w:sz w:val="18"/>
                <w:szCs w:val="18"/>
              </w:rPr>
              <w:t>3.757.028.231</w:t>
            </w:r>
          </w:p>
        </w:tc>
        <w:tc>
          <w:tcPr>
            <w:tcW w:w="2871" w:type="dxa"/>
          </w:tcPr>
          <w:p w14:paraId="7F8B0CB0" w14:textId="58C47161" w:rsidR="00E224A5" w:rsidRPr="00B514B1" w:rsidRDefault="00E224A5" w:rsidP="00E224A5">
            <w:pPr>
              <w:ind w:right="57"/>
              <w:jc w:val="right"/>
              <w:rPr>
                <w:i/>
                <w:sz w:val="18"/>
                <w:szCs w:val="18"/>
              </w:rPr>
            </w:pPr>
            <w:r w:rsidRPr="00B514B1">
              <w:rPr>
                <w:i/>
                <w:sz w:val="18"/>
                <w:szCs w:val="18"/>
              </w:rPr>
              <w:t>Others</w:t>
            </w:r>
          </w:p>
        </w:tc>
      </w:tr>
      <w:tr w:rsidR="00E224A5" w:rsidRPr="0013526B" w14:paraId="10B2A4EE" w14:textId="77777777" w:rsidTr="002108FF">
        <w:trPr>
          <w:trHeight w:val="20"/>
        </w:trPr>
        <w:tc>
          <w:tcPr>
            <w:tcW w:w="2860" w:type="dxa"/>
          </w:tcPr>
          <w:p w14:paraId="6F0C1FD9" w14:textId="2A767057" w:rsidR="00E224A5" w:rsidRPr="0013526B" w:rsidRDefault="00E224A5" w:rsidP="00E224A5">
            <w:pPr>
              <w:ind w:left="393" w:hanging="142"/>
              <w:rPr>
                <w:sz w:val="12"/>
                <w:szCs w:val="14"/>
              </w:rPr>
            </w:pPr>
          </w:p>
        </w:tc>
        <w:tc>
          <w:tcPr>
            <w:tcW w:w="1679" w:type="dxa"/>
            <w:tcBorders>
              <w:top w:val="single" w:sz="4" w:space="0" w:color="auto"/>
            </w:tcBorders>
            <w:shd w:val="clear" w:color="auto" w:fill="auto"/>
            <w:vAlign w:val="bottom"/>
          </w:tcPr>
          <w:p w14:paraId="3F2EC87C" w14:textId="2AAC2E3C" w:rsidR="00E224A5" w:rsidRPr="00374F22" w:rsidRDefault="00E224A5" w:rsidP="00E224A5">
            <w:pPr>
              <w:ind w:right="57"/>
              <w:jc w:val="right"/>
              <w:rPr>
                <w:sz w:val="12"/>
                <w:szCs w:val="14"/>
              </w:rPr>
            </w:pPr>
          </w:p>
        </w:tc>
        <w:tc>
          <w:tcPr>
            <w:tcW w:w="108" w:type="dxa"/>
            <w:vAlign w:val="bottom"/>
          </w:tcPr>
          <w:p w14:paraId="00CE123F" w14:textId="77777777" w:rsidR="00E224A5" w:rsidRPr="00374F22" w:rsidRDefault="00E224A5" w:rsidP="00E224A5">
            <w:pPr>
              <w:ind w:right="57"/>
              <w:jc w:val="right"/>
              <w:rPr>
                <w:sz w:val="12"/>
                <w:szCs w:val="14"/>
              </w:rPr>
            </w:pPr>
          </w:p>
        </w:tc>
        <w:tc>
          <w:tcPr>
            <w:tcW w:w="1679" w:type="dxa"/>
            <w:tcBorders>
              <w:top w:val="single" w:sz="4" w:space="0" w:color="auto"/>
            </w:tcBorders>
            <w:vAlign w:val="bottom"/>
          </w:tcPr>
          <w:p w14:paraId="7C9E9C27" w14:textId="2EE88E69" w:rsidR="00E224A5" w:rsidRPr="00374F22" w:rsidRDefault="00E224A5" w:rsidP="00E224A5">
            <w:pPr>
              <w:ind w:right="57"/>
              <w:jc w:val="right"/>
              <w:rPr>
                <w:sz w:val="12"/>
                <w:szCs w:val="14"/>
              </w:rPr>
            </w:pPr>
          </w:p>
        </w:tc>
        <w:tc>
          <w:tcPr>
            <w:tcW w:w="2871" w:type="dxa"/>
            <w:vAlign w:val="bottom"/>
          </w:tcPr>
          <w:p w14:paraId="6BD976E2" w14:textId="77777777" w:rsidR="00E224A5" w:rsidRPr="0013526B" w:rsidRDefault="00E224A5" w:rsidP="00E224A5">
            <w:pPr>
              <w:ind w:right="57"/>
              <w:jc w:val="right"/>
              <w:rPr>
                <w:i/>
                <w:sz w:val="12"/>
                <w:szCs w:val="14"/>
              </w:rPr>
            </w:pPr>
          </w:p>
        </w:tc>
      </w:tr>
      <w:tr w:rsidR="00E224A5" w:rsidRPr="0013526B" w14:paraId="49E8DE94" w14:textId="77777777" w:rsidTr="002108FF">
        <w:trPr>
          <w:trHeight w:val="20"/>
        </w:trPr>
        <w:tc>
          <w:tcPr>
            <w:tcW w:w="2860" w:type="dxa"/>
          </w:tcPr>
          <w:p w14:paraId="306DF66F" w14:textId="77777777" w:rsidR="00E224A5" w:rsidRPr="00D61185" w:rsidRDefault="00E224A5" w:rsidP="00E224A5">
            <w:pPr>
              <w:ind w:left="393"/>
              <w:rPr>
                <w:b/>
                <w:sz w:val="18"/>
                <w:szCs w:val="18"/>
              </w:rPr>
            </w:pPr>
            <w:r w:rsidRPr="00D61185">
              <w:rPr>
                <w:b/>
                <w:sz w:val="18"/>
                <w:szCs w:val="18"/>
              </w:rPr>
              <w:t xml:space="preserve">Jumlah </w:t>
            </w:r>
          </w:p>
        </w:tc>
        <w:tc>
          <w:tcPr>
            <w:tcW w:w="1679" w:type="dxa"/>
            <w:tcBorders>
              <w:bottom w:val="double" w:sz="4" w:space="0" w:color="auto"/>
            </w:tcBorders>
            <w:shd w:val="clear" w:color="auto" w:fill="auto"/>
            <w:vAlign w:val="bottom"/>
          </w:tcPr>
          <w:p w14:paraId="0593CE1B" w14:textId="5C9EBE3C" w:rsidR="00E224A5" w:rsidRPr="00374F22" w:rsidRDefault="00E224A5" w:rsidP="0014032D">
            <w:pPr>
              <w:ind w:right="57"/>
              <w:jc w:val="right"/>
              <w:rPr>
                <w:b/>
                <w:bCs w:val="0"/>
                <w:sz w:val="18"/>
                <w:szCs w:val="18"/>
                <w:lang w:val="en-ID"/>
              </w:rPr>
            </w:pPr>
            <w:r w:rsidRPr="00374F22">
              <w:rPr>
                <w:b/>
                <w:bCs w:val="0"/>
                <w:sz w:val="18"/>
                <w:szCs w:val="18"/>
                <w:lang w:val="en-ID"/>
              </w:rPr>
              <w:t>59</w:t>
            </w:r>
            <w:r w:rsidR="001808CD">
              <w:rPr>
                <w:b/>
                <w:bCs w:val="0"/>
                <w:sz w:val="18"/>
                <w:szCs w:val="18"/>
                <w:lang w:val="en-ID"/>
              </w:rPr>
              <w:t>.</w:t>
            </w:r>
            <w:r w:rsidRPr="00374F22">
              <w:rPr>
                <w:b/>
                <w:bCs w:val="0"/>
                <w:sz w:val="18"/>
                <w:szCs w:val="18"/>
                <w:lang w:val="en-ID"/>
              </w:rPr>
              <w:t>478</w:t>
            </w:r>
            <w:r w:rsidR="0052367A">
              <w:rPr>
                <w:b/>
                <w:bCs w:val="0"/>
                <w:sz w:val="18"/>
                <w:szCs w:val="18"/>
                <w:lang w:val="en-ID"/>
              </w:rPr>
              <w:t>.</w:t>
            </w:r>
            <w:r w:rsidRPr="00374F22">
              <w:rPr>
                <w:b/>
                <w:bCs w:val="0"/>
                <w:sz w:val="18"/>
                <w:szCs w:val="18"/>
                <w:lang w:val="en-ID"/>
              </w:rPr>
              <w:t>812</w:t>
            </w:r>
            <w:r w:rsidR="001808CD">
              <w:rPr>
                <w:b/>
                <w:bCs w:val="0"/>
                <w:sz w:val="18"/>
                <w:szCs w:val="18"/>
                <w:lang w:val="en-ID"/>
              </w:rPr>
              <w:t>.</w:t>
            </w:r>
            <w:r w:rsidR="009F26BD">
              <w:rPr>
                <w:b/>
                <w:bCs w:val="0"/>
                <w:sz w:val="18"/>
                <w:szCs w:val="18"/>
                <w:lang w:val="en-ID"/>
              </w:rPr>
              <w:t>6</w:t>
            </w:r>
            <w:r w:rsidR="0014032D">
              <w:rPr>
                <w:b/>
                <w:bCs w:val="0"/>
                <w:sz w:val="18"/>
                <w:szCs w:val="18"/>
                <w:lang w:val="en-ID"/>
              </w:rPr>
              <w:t>10</w:t>
            </w:r>
          </w:p>
        </w:tc>
        <w:tc>
          <w:tcPr>
            <w:tcW w:w="108" w:type="dxa"/>
            <w:vAlign w:val="bottom"/>
          </w:tcPr>
          <w:p w14:paraId="125683C1" w14:textId="77777777" w:rsidR="00E224A5" w:rsidRPr="00374F22" w:rsidRDefault="00E224A5" w:rsidP="00E224A5">
            <w:pPr>
              <w:ind w:right="57"/>
              <w:jc w:val="right"/>
              <w:rPr>
                <w:b/>
                <w:sz w:val="18"/>
                <w:szCs w:val="18"/>
              </w:rPr>
            </w:pPr>
          </w:p>
        </w:tc>
        <w:tc>
          <w:tcPr>
            <w:tcW w:w="1679" w:type="dxa"/>
            <w:tcBorders>
              <w:bottom w:val="double" w:sz="4" w:space="0" w:color="auto"/>
            </w:tcBorders>
            <w:vAlign w:val="bottom"/>
          </w:tcPr>
          <w:p w14:paraId="1C094175" w14:textId="1F0C7F8D" w:rsidR="00E224A5" w:rsidRPr="00374F22" w:rsidRDefault="00E224A5" w:rsidP="00E224A5">
            <w:pPr>
              <w:ind w:right="57"/>
              <w:jc w:val="right"/>
              <w:rPr>
                <w:b/>
                <w:sz w:val="18"/>
                <w:szCs w:val="18"/>
              </w:rPr>
            </w:pPr>
            <w:r w:rsidRPr="00374F22">
              <w:rPr>
                <w:b/>
                <w:bCs w:val="0"/>
                <w:sz w:val="18"/>
                <w:szCs w:val="18"/>
              </w:rPr>
              <w:t>62.016.194.356</w:t>
            </w:r>
          </w:p>
        </w:tc>
        <w:tc>
          <w:tcPr>
            <w:tcW w:w="2871" w:type="dxa"/>
            <w:vAlign w:val="bottom"/>
          </w:tcPr>
          <w:p w14:paraId="2A20DDC7" w14:textId="77777777" w:rsidR="00E224A5" w:rsidRPr="00D61185" w:rsidRDefault="00E224A5" w:rsidP="00E224A5">
            <w:pPr>
              <w:ind w:right="57"/>
              <w:jc w:val="right"/>
              <w:rPr>
                <w:b/>
                <w:i/>
                <w:sz w:val="18"/>
                <w:szCs w:val="18"/>
              </w:rPr>
            </w:pPr>
            <w:r w:rsidRPr="00D61185">
              <w:rPr>
                <w:b/>
                <w:i/>
                <w:sz w:val="18"/>
                <w:szCs w:val="18"/>
              </w:rPr>
              <w:t xml:space="preserve">Total </w:t>
            </w:r>
          </w:p>
        </w:tc>
      </w:tr>
    </w:tbl>
    <w:p w14:paraId="4A9DD5E4" w14:textId="78DC2CA5" w:rsidR="00F30112" w:rsidRDefault="00F30112">
      <w:pPr>
        <w:rPr>
          <w:sz w:val="12"/>
          <w:szCs w:val="18"/>
        </w:rPr>
      </w:pPr>
    </w:p>
    <w:p w14:paraId="31A9AB94" w14:textId="77777777" w:rsidR="004E4129" w:rsidRPr="006F75DC" w:rsidRDefault="004E4129">
      <w:pPr>
        <w:rPr>
          <w:sz w:val="12"/>
          <w:szCs w:val="18"/>
        </w:rPr>
      </w:pPr>
    </w:p>
    <w:tbl>
      <w:tblPr>
        <w:tblW w:w="9197" w:type="dxa"/>
        <w:tblInd w:w="350" w:type="dxa"/>
        <w:tblLook w:val="0000" w:firstRow="0" w:lastRow="0" w:firstColumn="0" w:lastColumn="0" w:noHBand="0" w:noVBand="0"/>
      </w:tblPr>
      <w:tblGrid>
        <w:gridCol w:w="4598"/>
        <w:gridCol w:w="4599"/>
      </w:tblGrid>
      <w:tr w:rsidR="00F678F5" w:rsidRPr="0013526B" w14:paraId="28569877" w14:textId="77777777" w:rsidTr="002108FF">
        <w:tc>
          <w:tcPr>
            <w:tcW w:w="2500" w:type="pct"/>
            <w:tcBorders>
              <w:top w:val="nil"/>
              <w:left w:val="nil"/>
              <w:bottom w:val="nil"/>
              <w:right w:val="nil"/>
            </w:tcBorders>
          </w:tcPr>
          <w:p w14:paraId="2C3607C9" w14:textId="3D375405" w:rsidR="00F678F5" w:rsidRPr="00FC2E6F" w:rsidRDefault="00F678F5" w:rsidP="00070D1F">
            <w:pPr>
              <w:numPr>
                <w:ilvl w:val="0"/>
                <w:numId w:val="309"/>
              </w:numPr>
              <w:ind w:left="284" w:hanging="357"/>
              <w:jc w:val="both"/>
              <w:rPr>
                <w:b/>
                <w:bCs w:val="0"/>
                <w:sz w:val="18"/>
                <w:szCs w:val="18"/>
              </w:rPr>
            </w:pPr>
            <w:r w:rsidRPr="00FB1603">
              <w:rPr>
                <w:b/>
                <w:bCs w:val="0"/>
                <w:sz w:val="18"/>
                <w:szCs w:val="18"/>
              </w:rPr>
              <w:t xml:space="preserve">UTANG </w:t>
            </w:r>
            <w:r w:rsidR="00EA45C5" w:rsidRPr="00FB1603">
              <w:rPr>
                <w:b/>
                <w:bCs w:val="0"/>
                <w:sz w:val="18"/>
                <w:szCs w:val="18"/>
              </w:rPr>
              <w:t>BANK JANGKA PANJANG</w:t>
            </w:r>
          </w:p>
        </w:tc>
        <w:tc>
          <w:tcPr>
            <w:tcW w:w="2500" w:type="pct"/>
            <w:tcBorders>
              <w:top w:val="nil"/>
              <w:left w:val="nil"/>
              <w:bottom w:val="nil"/>
              <w:right w:val="nil"/>
            </w:tcBorders>
          </w:tcPr>
          <w:p w14:paraId="2FD5637E" w14:textId="6A076B32" w:rsidR="00F678F5" w:rsidRPr="00FC2E6F" w:rsidRDefault="00EA45C5" w:rsidP="00070D1F">
            <w:pPr>
              <w:numPr>
                <w:ilvl w:val="0"/>
                <w:numId w:val="310"/>
              </w:numPr>
              <w:jc w:val="both"/>
              <w:rPr>
                <w:b/>
                <w:bCs w:val="0"/>
                <w:i/>
                <w:sz w:val="18"/>
                <w:szCs w:val="18"/>
              </w:rPr>
            </w:pPr>
            <w:r w:rsidRPr="00FC2E6F">
              <w:rPr>
                <w:b/>
                <w:bCs w:val="0"/>
                <w:i/>
                <w:sz w:val="18"/>
                <w:szCs w:val="18"/>
              </w:rPr>
              <w:t>LONG TERM BANK LOANS</w:t>
            </w:r>
          </w:p>
        </w:tc>
      </w:tr>
    </w:tbl>
    <w:p w14:paraId="1D23CFD8" w14:textId="77777777" w:rsidR="00F678F5" w:rsidRPr="0013526B" w:rsidRDefault="00F678F5" w:rsidP="0013526B">
      <w:pPr>
        <w:rPr>
          <w:sz w:val="16"/>
          <w:szCs w:val="18"/>
        </w:rPr>
      </w:pPr>
    </w:p>
    <w:tbl>
      <w:tblPr>
        <w:tblW w:w="9197" w:type="dxa"/>
        <w:tblInd w:w="350" w:type="dxa"/>
        <w:tblLayout w:type="fixed"/>
        <w:tblLook w:val="0000" w:firstRow="0" w:lastRow="0" w:firstColumn="0" w:lastColumn="0" w:noHBand="0" w:noVBand="0"/>
      </w:tblPr>
      <w:tblGrid>
        <w:gridCol w:w="4598"/>
        <w:gridCol w:w="4599"/>
      </w:tblGrid>
      <w:tr w:rsidR="00F678F5" w:rsidRPr="0013526B" w14:paraId="41D3B019" w14:textId="77777777" w:rsidTr="002108FF">
        <w:tc>
          <w:tcPr>
            <w:tcW w:w="2500" w:type="pct"/>
            <w:tcBorders>
              <w:top w:val="nil"/>
              <w:left w:val="nil"/>
              <w:bottom w:val="nil"/>
              <w:right w:val="nil"/>
            </w:tcBorders>
          </w:tcPr>
          <w:p w14:paraId="01E9574E" w14:textId="77777777" w:rsidR="00F678F5" w:rsidRPr="0013526B" w:rsidRDefault="00D53423" w:rsidP="0013526B">
            <w:pPr>
              <w:pStyle w:val="ListParagraph"/>
              <w:tabs>
                <w:tab w:val="right" w:pos="9340"/>
                <w:tab w:val="right" w:pos="10080"/>
              </w:tabs>
              <w:ind w:left="284"/>
              <w:rPr>
                <w:sz w:val="18"/>
                <w:szCs w:val="18"/>
              </w:rPr>
            </w:pPr>
            <w:r w:rsidRPr="0013526B">
              <w:rPr>
                <w:sz w:val="18"/>
                <w:szCs w:val="18"/>
              </w:rPr>
              <w:t>Rincian utang lain</w:t>
            </w:r>
            <w:r w:rsidR="00037369" w:rsidRPr="0013526B">
              <w:rPr>
                <w:sz w:val="18"/>
                <w:szCs w:val="18"/>
              </w:rPr>
              <w:t>-</w:t>
            </w:r>
            <w:r w:rsidRPr="0013526B">
              <w:rPr>
                <w:sz w:val="18"/>
                <w:szCs w:val="18"/>
              </w:rPr>
              <w:t>lain adalah sebagai berikut:</w:t>
            </w:r>
          </w:p>
        </w:tc>
        <w:tc>
          <w:tcPr>
            <w:tcW w:w="2500" w:type="pct"/>
            <w:tcBorders>
              <w:top w:val="nil"/>
              <w:left w:val="nil"/>
              <w:bottom w:val="nil"/>
              <w:right w:val="nil"/>
            </w:tcBorders>
          </w:tcPr>
          <w:p w14:paraId="6FC709E6" w14:textId="77777777" w:rsidR="00F678F5" w:rsidRPr="0013526B" w:rsidRDefault="00D53423" w:rsidP="0013526B">
            <w:pPr>
              <w:pStyle w:val="ListParagraph"/>
              <w:tabs>
                <w:tab w:val="left" w:pos="570"/>
                <w:tab w:val="right" w:pos="9340"/>
                <w:tab w:val="right" w:pos="10080"/>
              </w:tabs>
              <w:ind w:left="318"/>
              <w:rPr>
                <w:i/>
                <w:sz w:val="18"/>
                <w:szCs w:val="18"/>
              </w:rPr>
            </w:pPr>
            <w:r w:rsidRPr="0013526B">
              <w:rPr>
                <w:i/>
                <w:sz w:val="18"/>
                <w:szCs w:val="18"/>
              </w:rPr>
              <w:t>Details of other payables are as follows:</w:t>
            </w:r>
          </w:p>
        </w:tc>
      </w:tr>
    </w:tbl>
    <w:p w14:paraId="71177D14" w14:textId="77777777" w:rsidR="00F678F5" w:rsidRPr="0013526B" w:rsidRDefault="00F678F5" w:rsidP="0013526B">
      <w:pPr>
        <w:rPr>
          <w:sz w:val="16"/>
          <w:szCs w:val="18"/>
        </w:rPr>
      </w:pPr>
    </w:p>
    <w:tbl>
      <w:tblPr>
        <w:tblW w:w="9202" w:type="dxa"/>
        <w:tblInd w:w="350" w:type="dxa"/>
        <w:tblCellMar>
          <w:left w:w="0" w:type="dxa"/>
          <w:right w:w="0" w:type="dxa"/>
        </w:tblCellMar>
        <w:tblLook w:val="01E0" w:firstRow="1" w:lastRow="1" w:firstColumn="1" w:lastColumn="1" w:noHBand="0" w:noVBand="0"/>
      </w:tblPr>
      <w:tblGrid>
        <w:gridCol w:w="2864"/>
        <w:gridCol w:w="1681"/>
        <w:gridCol w:w="102"/>
        <w:gridCol w:w="1681"/>
        <w:gridCol w:w="2874"/>
      </w:tblGrid>
      <w:tr w:rsidR="007E3467" w:rsidRPr="0013526B" w14:paraId="122C8EE4" w14:textId="77777777" w:rsidTr="002108FF">
        <w:trPr>
          <w:trHeight w:val="20"/>
        </w:trPr>
        <w:tc>
          <w:tcPr>
            <w:tcW w:w="2864" w:type="dxa"/>
          </w:tcPr>
          <w:p w14:paraId="2D266BD7" w14:textId="77777777" w:rsidR="007E3467" w:rsidRPr="0013526B" w:rsidRDefault="007E3467" w:rsidP="007E3467">
            <w:pPr>
              <w:ind w:left="113"/>
              <w:rPr>
                <w:sz w:val="18"/>
                <w:szCs w:val="18"/>
              </w:rPr>
            </w:pPr>
          </w:p>
        </w:tc>
        <w:tc>
          <w:tcPr>
            <w:tcW w:w="1681" w:type="dxa"/>
            <w:tcBorders>
              <w:bottom w:val="single" w:sz="4" w:space="0" w:color="auto"/>
            </w:tcBorders>
          </w:tcPr>
          <w:p w14:paraId="6DAAFBFF" w14:textId="77777777" w:rsidR="007E3467" w:rsidRDefault="007E3467" w:rsidP="007E3467">
            <w:pPr>
              <w:jc w:val="center"/>
              <w:rPr>
                <w:b/>
                <w:sz w:val="18"/>
                <w:szCs w:val="18"/>
              </w:rPr>
            </w:pPr>
            <w:r>
              <w:rPr>
                <w:b/>
                <w:sz w:val="18"/>
                <w:szCs w:val="18"/>
              </w:rPr>
              <w:t>31 Maret/</w:t>
            </w:r>
          </w:p>
          <w:p w14:paraId="3603EF72" w14:textId="69CF2CD2" w:rsidR="007E3467" w:rsidRPr="0013526B" w:rsidRDefault="007E3467" w:rsidP="001808CD">
            <w:pPr>
              <w:jc w:val="center"/>
              <w:rPr>
                <w:b/>
                <w:sz w:val="18"/>
                <w:szCs w:val="18"/>
              </w:rPr>
            </w:pPr>
            <w:r>
              <w:rPr>
                <w:b/>
                <w:sz w:val="18"/>
                <w:szCs w:val="18"/>
              </w:rPr>
              <w:t>March 31</w:t>
            </w:r>
            <w:r w:rsidR="00305CA0">
              <w:rPr>
                <w:b/>
                <w:sz w:val="18"/>
                <w:szCs w:val="18"/>
              </w:rPr>
              <w:t>.</w:t>
            </w:r>
            <w:r>
              <w:rPr>
                <w:b/>
                <w:sz w:val="18"/>
                <w:szCs w:val="18"/>
              </w:rPr>
              <w:t xml:space="preserve"> 2020</w:t>
            </w:r>
          </w:p>
        </w:tc>
        <w:tc>
          <w:tcPr>
            <w:tcW w:w="102" w:type="dxa"/>
          </w:tcPr>
          <w:p w14:paraId="5005C82C" w14:textId="77777777" w:rsidR="007E3467" w:rsidRPr="0013526B" w:rsidRDefault="007E3467" w:rsidP="007E3467">
            <w:pPr>
              <w:jc w:val="center"/>
              <w:rPr>
                <w:b/>
                <w:sz w:val="18"/>
                <w:szCs w:val="18"/>
              </w:rPr>
            </w:pPr>
          </w:p>
        </w:tc>
        <w:tc>
          <w:tcPr>
            <w:tcW w:w="1681" w:type="dxa"/>
            <w:tcBorders>
              <w:bottom w:val="single" w:sz="4" w:space="0" w:color="auto"/>
            </w:tcBorders>
          </w:tcPr>
          <w:p w14:paraId="73011A95" w14:textId="77777777" w:rsidR="007E3467" w:rsidRDefault="007E3467" w:rsidP="007E3467">
            <w:pPr>
              <w:jc w:val="center"/>
              <w:rPr>
                <w:b/>
                <w:sz w:val="18"/>
                <w:szCs w:val="18"/>
              </w:rPr>
            </w:pPr>
            <w:r>
              <w:rPr>
                <w:b/>
                <w:sz w:val="18"/>
                <w:szCs w:val="18"/>
              </w:rPr>
              <w:t>31 Desember/</w:t>
            </w:r>
          </w:p>
          <w:p w14:paraId="08DD1F12" w14:textId="6D514D8F" w:rsidR="007E3467" w:rsidRPr="0013526B" w:rsidRDefault="007E3467" w:rsidP="001808CD">
            <w:pPr>
              <w:jc w:val="center"/>
              <w:rPr>
                <w:b/>
                <w:sz w:val="18"/>
                <w:szCs w:val="18"/>
              </w:rPr>
            </w:pPr>
            <w:r>
              <w:rPr>
                <w:b/>
                <w:sz w:val="18"/>
                <w:szCs w:val="18"/>
              </w:rPr>
              <w:t>December 31</w:t>
            </w:r>
            <w:r w:rsidR="00305CA0">
              <w:rPr>
                <w:b/>
                <w:sz w:val="18"/>
                <w:szCs w:val="18"/>
              </w:rPr>
              <w:t>.</w:t>
            </w:r>
            <w:r>
              <w:rPr>
                <w:b/>
                <w:sz w:val="18"/>
                <w:szCs w:val="18"/>
              </w:rPr>
              <w:t xml:space="preserve"> </w:t>
            </w:r>
            <w:r w:rsidRPr="0013526B">
              <w:rPr>
                <w:b/>
                <w:sz w:val="18"/>
                <w:szCs w:val="18"/>
              </w:rPr>
              <w:t>201</w:t>
            </w:r>
            <w:r>
              <w:rPr>
                <w:b/>
                <w:sz w:val="18"/>
                <w:szCs w:val="18"/>
              </w:rPr>
              <w:t>9</w:t>
            </w:r>
          </w:p>
        </w:tc>
        <w:tc>
          <w:tcPr>
            <w:tcW w:w="2874" w:type="dxa"/>
          </w:tcPr>
          <w:p w14:paraId="25FDBC46" w14:textId="77777777" w:rsidR="007E3467" w:rsidRPr="0013526B" w:rsidRDefault="007E3467" w:rsidP="007E3467">
            <w:pPr>
              <w:ind w:right="34"/>
              <w:jc w:val="right"/>
              <w:rPr>
                <w:i/>
                <w:sz w:val="18"/>
                <w:szCs w:val="18"/>
              </w:rPr>
            </w:pPr>
          </w:p>
        </w:tc>
      </w:tr>
      <w:tr w:rsidR="00375966" w:rsidRPr="0013526B" w14:paraId="3FA3DFF9" w14:textId="77777777" w:rsidTr="002108FF">
        <w:trPr>
          <w:trHeight w:val="20"/>
        </w:trPr>
        <w:tc>
          <w:tcPr>
            <w:tcW w:w="2864" w:type="dxa"/>
          </w:tcPr>
          <w:p w14:paraId="527282EA" w14:textId="77777777" w:rsidR="00A956A4" w:rsidRPr="0013526B" w:rsidRDefault="00A956A4" w:rsidP="0013526B">
            <w:pPr>
              <w:ind w:leftChars="292" w:left="971" w:hanging="270"/>
              <w:rPr>
                <w:bCs w:val="0"/>
                <w:sz w:val="16"/>
                <w:szCs w:val="18"/>
              </w:rPr>
            </w:pPr>
          </w:p>
        </w:tc>
        <w:tc>
          <w:tcPr>
            <w:tcW w:w="1681" w:type="dxa"/>
            <w:tcBorders>
              <w:top w:val="single" w:sz="4" w:space="0" w:color="auto"/>
            </w:tcBorders>
            <w:vAlign w:val="bottom"/>
          </w:tcPr>
          <w:p w14:paraId="0E152CCB" w14:textId="77777777" w:rsidR="00A956A4" w:rsidRPr="0013526B" w:rsidRDefault="00A956A4" w:rsidP="0013526B">
            <w:pPr>
              <w:ind w:right="29"/>
              <w:jc w:val="right"/>
              <w:rPr>
                <w:bCs w:val="0"/>
                <w:sz w:val="16"/>
                <w:szCs w:val="18"/>
              </w:rPr>
            </w:pPr>
          </w:p>
        </w:tc>
        <w:tc>
          <w:tcPr>
            <w:tcW w:w="102" w:type="dxa"/>
            <w:vAlign w:val="bottom"/>
          </w:tcPr>
          <w:p w14:paraId="5D641CCB" w14:textId="77777777" w:rsidR="00A956A4" w:rsidRPr="0013526B" w:rsidRDefault="00A956A4" w:rsidP="0013526B">
            <w:pPr>
              <w:ind w:right="29"/>
              <w:jc w:val="right"/>
              <w:rPr>
                <w:bCs w:val="0"/>
                <w:sz w:val="16"/>
                <w:szCs w:val="18"/>
              </w:rPr>
            </w:pPr>
          </w:p>
        </w:tc>
        <w:tc>
          <w:tcPr>
            <w:tcW w:w="1681" w:type="dxa"/>
            <w:tcBorders>
              <w:top w:val="single" w:sz="4" w:space="0" w:color="auto"/>
            </w:tcBorders>
            <w:vAlign w:val="bottom"/>
          </w:tcPr>
          <w:p w14:paraId="64B188A9" w14:textId="77777777" w:rsidR="00A956A4" w:rsidRPr="0013526B" w:rsidRDefault="00A956A4" w:rsidP="0013526B">
            <w:pPr>
              <w:ind w:right="29"/>
              <w:jc w:val="right"/>
              <w:rPr>
                <w:bCs w:val="0"/>
                <w:sz w:val="16"/>
                <w:szCs w:val="18"/>
              </w:rPr>
            </w:pPr>
          </w:p>
        </w:tc>
        <w:tc>
          <w:tcPr>
            <w:tcW w:w="2874" w:type="dxa"/>
          </w:tcPr>
          <w:p w14:paraId="09D4B156" w14:textId="77777777" w:rsidR="00A956A4" w:rsidRPr="0013526B" w:rsidRDefault="00A956A4" w:rsidP="0013526B">
            <w:pPr>
              <w:numPr>
                <w:ilvl w:val="12"/>
                <w:numId w:val="0"/>
              </w:numPr>
              <w:ind w:left="480" w:right="148" w:hanging="180"/>
              <w:jc w:val="right"/>
              <w:rPr>
                <w:i/>
                <w:sz w:val="16"/>
                <w:szCs w:val="18"/>
              </w:rPr>
            </w:pPr>
          </w:p>
        </w:tc>
      </w:tr>
      <w:tr w:rsidR="00375966" w:rsidRPr="0013526B" w14:paraId="424F7DCC" w14:textId="77777777" w:rsidTr="002108FF">
        <w:trPr>
          <w:trHeight w:val="20"/>
        </w:trPr>
        <w:tc>
          <w:tcPr>
            <w:tcW w:w="2864" w:type="dxa"/>
            <w:vAlign w:val="bottom"/>
          </w:tcPr>
          <w:p w14:paraId="6535C07E" w14:textId="3FC1F2C4" w:rsidR="00EA45C5" w:rsidRPr="00B35789" w:rsidRDefault="00EA45C5" w:rsidP="004E4129">
            <w:pPr>
              <w:ind w:left="368" w:firstLine="14"/>
              <w:rPr>
                <w:bCs w:val="0"/>
                <w:sz w:val="18"/>
                <w:szCs w:val="18"/>
              </w:rPr>
            </w:pPr>
            <w:r w:rsidRPr="00B35789">
              <w:rPr>
                <w:bCs w:val="0"/>
                <w:sz w:val="18"/>
                <w:szCs w:val="18"/>
              </w:rPr>
              <w:t>Pihak berelasi</w:t>
            </w:r>
            <w:r w:rsidR="008E7A51" w:rsidRPr="00B35789">
              <w:rPr>
                <w:bCs w:val="0"/>
                <w:sz w:val="18"/>
                <w:szCs w:val="18"/>
              </w:rPr>
              <w:t xml:space="preserve"> Catatan 3</w:t>
            </w:r>
            <w:r w:rsidR="004E4129">
              <w:rPr>
                <w:bCs w:val="0"/>
                <w:sz w:val="18"/>
                <w:szCs w:val="18"/>
              </w:rPr>
              <w:t>2</w:t>
            </w:r>
          </w:p>
        </w:tc>
        <w:tc>
          <w:tcPr>
            <w:tcW w:w="1681" w:type="dxa"/>
            <w:vAlign w:val="bottom"/>
          </w:tcPr>
          <w:p w14:paraId="5A2685F4" w14:textId="77777777" w:rsidR="00EA45C5" w:rsidRPr="00B35789" w:rsidRDefault="00EA45C5" w:rsidP="0013526B">
            <w:pPr>
              <w:ind w:right="29"/>
              <w:jc w:val="right"/>
              <w:rPr>
                <w:b/>
                <w:bCs w:val="0"/>
                <w:sz w:val="18"/>
                <w:szCs w:val="18"/>
                <w:u w:val="single"/>
              </w:rPr>
            </w:pPr>
          </w:p>
        </w:tc>
        <w:tc>
          <w:tcPr>
            <w:tcW w:w="102" w:type="dxa"/>
            <w:vAlign w:val="bottom"/>
          </w:tcPr>
          <w:p w14:paraId="12EDB5DD" w14:textId="77777777" w:rsidR="00EA45C5" w:rsidRPr="00B35789" w:rsidRDefault="00EA45C5" w:rsidP="0013526B">
            <w:pPr>
              <w:ind w:right="29"/>
              <w:jc w:val="right"/>
              <w:rPr>
                <w:b/>
                <w:bCs w:val="0"/>
                <w:sz w:val="18"/>
                <w:szCs w:val="18"/>
                <w:u w:val="single"/>
              </w:rPr>
            </w:pPr>
          </w:p>
        </w:tc>
        <w:tc>
          <w:tcPr>
            <w:tcW w:w="1681" w:type="dxa"/>
            <w:vAlign w:val="bottom"/>
          </w:tcPr>
          <w:p w14:paraId="4466990E" w14:textId="77777777" w:rsidR="00EA45C5" w:rsidRPr="00B35789" w:rsidRDefault="00EA45C5" w:rsidP="0013526B">
            <w:pPr>
              <w:ind w:right="29"/>
              <w:jc w:val="right"/>
              <w:rPr>
                <w:b/>
                <w:bCs w:val="0"/>
                <w:sz w:val="18"/>
                <w:szCs w:val="18"/>
                <w:u w:val="single"/>
              </w:rPr>
            </w:pPr>
          </w:p>
        </w:tc>
        <w:tc>
          <w:tcPr>
            <w:tcW w:w="2874" w:type="dxa"/>
            <w:vAlign w:val="bottom"/>
          </w:tcPr>
          <w:p w14:paraId="2F0A89A6" w14:textId="6D735A91" w:rsidR="00EA45C5" w:rsidRPr="008E7A51" w:rsidRDefault="008E7A51" w:rsidP="004E4129">
            <w:pPr>
              <w:numPr>
                <w:ilvl w:val="12"/>
                <w:numId w:val="0"/>
              </w:numPr>
              <w:ind w:right="57"/>
              <w:jc w:val="right"/>
              <w:rPr>
                <w:bCs w:val="0"/>
                <w:i/>
                <w:sz w:val="18"/>
                <w:szCs w:val="18"/>
              </w:rPr>
            </w:pPr>
            <w:r w:rsidRPr="00B35789">
              <w:rPr>
                <w:bCs w:val="0"/>
                <w:i/>
                <w:sz w:val="18"/>
                <w:szCs w:val="18"/>
              </w:rPr>
              <w:t>Related party Note 3</w:t>
            </w:r>
            <w:r w:rsidR="004E4129">
              <w:rPr>
                <w:bCs w:val="0"/>
                <w:i/>
                <w:sz w:val="18"/>
                <w:szCs w:val="18"/>
              </w:rPr>
              <w:t>2</w:t>
            </w:r>
          </w:p>
        </w:tc>
      </w:tr>
      <w:tr w:rsidR="00375966" w:rsidRPr="00D76805" w14:paraId="113ABA2D" w14:textId="77777777" w:rsidTr="002108FF">
        <w:trPr>
          <w:trHeight w:val="20"/>
        </w:trPr>
        <w:tc>
          <w:tcPr>
            <w:tcW w:w="2864" w:type="dxa"/>
            <w:vAlign w:val="bottom"/>
          </w:tcPr>
          <w:p w14:paraId="6AFDAC70" w14:textId="77777777" w:rsidR="00F53E94" w:rsidRDefault="00CF00D4" w:rsidP="00F53E94">
            <w:pPr>
              <w:ind w:left="368" w:firstLine="14"/>
              <w:rPr>
                <w:bCs w:val="0"/>
                <w:sz w:val="18"/>
                <w:szCs w:val="18"/>
              </w:rPr>
            </w:pPr>
            <w:r w:rsidRPr="00373566">
              <w:rPr>
                <w:bCs w:val="0"/>
                <w:sz w:val="18"/>
                <w:szCs w:val="18"/>
              </w:rPr>
              <w:t xml:space="preserve">PT Bank Mayapada </w:t>
            </w:r>
          </w:p>
          <w:p w14:paraId="7E99C270" w14:textId="479645B9" w:rsidR="00CF00D4" w:rsidRPr="00373566" w:rsidRDefault="00CF00D4" w:rsidP="00F53E94">
            <w:pPr>
              <w:ind w:left="466" w:firstLine="14"/>
              <w:rPr>
                <w:bCs w:val="0"/>
                <w:sz w:val="18"/>
                <w:szCs w:val="18"/>
              </w:rPr>
            </w:pPr>
            <w:r w:rsidRPr="00373566">
              <w:rPr>
                <w:bCs w:val="0"/>
                <w:sz w:val="18"/>
                <w:szCs w:val="18"/>
              </w:rPr>
              <w:t>Internasional</w:t>
            </w:r>
            <w:r w:rsidR="00373566" w:rsidRPr="00373566">
              <w:rPr>
                <w:bCs w:val="0"/>
                <w:sz w:val="18"/>
                <w:szCs w:val="18"/>
              </w:rPr>
              <w:t xml:space="preserve"> </w:t>
            </w:r>
            <w:r w:rsidRPr="00373566">
              <w:rPr>
                <w:bCs w:val="0"/>
                <w:sz w:val="18"/>
                <w:szCs w:val="18"/>
              </w:rPr>
              <w:t>Tbk</w:t>
            </w:r>
          </w:p>
        </w:tc>
        <w:tc>
          <w:tcPr>
            <w:tcW w:w="1681" w:type="dxa"/>
            <w:vAlign w:val="bottom"/>
          </w:tcPr>
          <w:p w14:paraId="6BC53FE4" w14:textId="77777777" w:rsidR="00CF00D4" w:rsidRPr="0013526B" w:rsidRDefault="00CF00D4" w:rsidP="00CF00D4">
            <w:pPr>
              <w:ind w:right="29"/>
              <w:jc w:val="right"/>
              <w:rPr>
                <w:b/>
                <w:bCs w:val="0"/>
                <w:sz w:val="18"/>
                <w:szCs w:val="18"/>
                <w:u w:val="single"/>
              </w:rPr>
            </w:pPr>
          </w:p>
        </w:tc>
        <w:tc>
          <w:tcPr>
            <w:tcW w:w="102" w:type="dxa"/>
            <w:vAlign w:val="bottom"/>
          </w:tcPr>
          <w:p w14:paraId="0930FBC0" w14:textId="77777777" w:rsidR="00CF00D4" w:rsidRPr="0013526B" w:rsidRDefault="00CF00D4" w:rsidP="00CF00D4">
            <w:pPr>
              <w:ind w:right="29"/>
              <w:jc w:val="right"/>
              <w:rPr>
                <w:b/>
                <w:bCs w:val="0"/>
                <w:sz w:val="18"/>
                <w:szCs w:val="18"/>
                <w:u w:val="single"/>
              </w:rPr>
            </w:pPr>
          </w:p>
        </w:tc>
        <w:tc>
          <w:tcPr>
            <w:tcW w:w="1681" w:type="dxa"/>
            <w:vAlign w:val="bottom"/>
          </w:tcPr>
          <w:p w14:paraId="3736BA36" w14:textId="77777777" w:rsidR="00CF00D4" w:rsidRPr="0013526B" w:rsidRDefault="00CF00D4" w:rsidP="00CF00D4">
            <w:pPr>
              <w:ind w:right="29"/>
              <w:jc w:val="right"/>
              <w:rPr>
                <w:b/>
                <w:bCs w:val="0"/>
                <w:sz w:val="18"/>
                <w:szCs w:val="18"/>
                <w:u w:val="single"/>
              </w:rPr>
            </w:pPr>
          </w:p>
        </w:tc>
        <w:tc>
          <w:tcPr>
            <w:tcW w:w="2874" w:type="dxa"/>
            <w:vAlign w:val="bottom"/>
          </w:tcPr>
          <w:p w14:paraId="04151F58" w14:textId="77777777" w:rsidR="00373566" w:rsidRPr="00D76805" w:rsidRDefault="00CF00D4" w:rsidP="00373566">
            <w:pPr>
              <w:numPr>
                <w:ilvl w:val="12"/>
                <w:numId w:val="0"/>
              </w:numPr>
              <w:ind w:right="57"/>
              <w:jc w:val="right"/>
              <w:rPr>
                <w:bCs w:val="0"/>
                <w:i/>
                <w:iCs/>
                <w:sz w:val="18"/>
                <w:szCs w:val="18"/>
              </w:rPr>
            </w:pPr>
            <w:r w:rsidRPr="00D76805">
              <w:rPr>
                <w:bCs w:val="0"/>
                <w:i/>
                <w:iCs/>
                <w:sz w:val="18"/>
                <w:szCs w:val="18"/>
              </w:rPr>
              <w:t xml:space="preserve">PT Bank </w:t>
            </w:r>
            <w:r w:rsidRPr="00D76805">
              <w:rPr>
                <w:bCs w:val="0"/>
                <w:i/>
                <w:sz w:val="18"/>
                <w:szCs w:val="18"/>
              </w:rPr>
              <w:t>Mayapada</w:t>
            </w:r>
            <w:r w:rsidRPr="00D76805">
              <w:rPr>
                <w:bCs w:val="0"/>
                <w:i/>
                <w:iCs/>
                <w:sz w:val="18"/>
                <w:szCs w:val="18"/>
              </w:rPr>
              <w:t xml:space="preserve"> </w:t>
            </w:r>
          </w:p>
          <w:p w14:paraId="49926BB4" w14:textId="39003177" w:rsidR="00CF00D4" w:rsidRPr="00D76805" w:rsidRDefault="00CF00D4" w:rsidP="00373566">
            <w:pPr>
              <w:numPr>
                <w:ilvl w:val="12"/>
                <w:numId w:val="0"/>
              </w:numPr>
              <w:ind w:right="170"/>
              <w:jc w:val="right"/>
              <w:rPr>
                <w:bCs w:val="0"/>
                <w:i/>
                <w:iCs/>
                <w:sz w:val="18"/>
                <w:szCs w:val="18"/>
              </w:rPr>
            </w:pPr>
            <w:r w:rsidRPr="00D76805">
              <w:rPr>
                <w:bCs w:val="0"/>
                <w:i/>
                <w:iCs/>
                <w:sz w:val="18"/>
                <w:szCs w:val="18"/>
              </w:rPr>
              <w:t>Internasiona</w:t>
            </w:r>
            <w:r w:rsidR="00375966" w:rsidRPr="00D76805">
              <w:rPr>
                <w:bCs w:val="0"/>
                <w:i/>
                <w:iCs/>
                <w:sz w:val="18"/>
                <w:szCs w:val="18"/>
              </w:rPr>
              <w:t>l</w:t>
            </w:r>
            <w:r w:rsidR="00373566" w:rsidRPr="00D76805">
              <w:rPr>
                <w:bCs w:val="0"/>
                <w:i/>
                <w:iCs/>
                <w:sz w:val="18"/>
                <w:szCs w:val="18"/>
              </w:rPr>
              <w:t xml:space="preserve"> </w:t>
            </w:r>
            <w:r w:rsidRPr="00D76805">
              <w:rPr>
                <w:bCs w:val="0"/>
                <w:i/>
                <w:iCs/>
                <w:sz w:val="18"/>
                <w:szCs w:val="18"/>
              </w:rPr>
              <w:t>Tbk</w:t>
            </w:r>
          </w:p>
        </w:tc>
      </w:tr>
      <w:tr w:rsidR="00F84E7F" w:rsidRPr="0013526B" w14:paraId="2439AB06" w14:textId="77777777" w:rsidTr="002108FF">
        <w:trPr>
          <w:trHeight w:val="20"/>
        </w:trPr>
        <w:tc>
          <w:tcPr>
            <w:tcW w:w="2864" w:type="dxa"/>
            <w:vAlign w:val="bottom"/>
          </w:tcPr>
          <w:p w14:paraId="1C62F722" w14:textId="113978BB" w:rsidR="00F84E7F" w:rsidRPr="00EA45C5" w:rsidRDefault="00F84E7F" w:rsidP="00F84E7F">
            <w:pPr>
              <w:ind w:left="368" w:firstLine="14"/>
              <w:rPr>
                <w:bCs w:val="0"/>
                <w:sz w:val="18"/>
                <w:szCs w:val="18"/>
              </w:rPr>
            </w:pPr>
            <w:r>
              <w:rPr>
                <w:bCs w:val="0"/>
                <w:sz w:val="18"/>
                <w:szCs w:val="18"/>
              </w:rPr>
              <w:t>Fasilitas pinjaman bank</w:t>
            </w:r>
          </w:p>
        </w:tc>
        <w:tc>
          <w:tcPr>
            <w:tcW w:w="1681" w:type="dxa"/>
            <w:vAlign w:val="bottom"/>
          </w:tcPr>
          <w:p w14:paraId="1BAF9FDB" w14:textId="50BA0ACC" w:rsidR="00F84E7F" w:rsidRPr="001C5D60" w:rsidRDefault="001C5D60" w:rsidP="00F84E7F">
            <w:pPr>
              <w:ind w:right="29"/>
              <w:jc w:val="right"/>
              <w:rPr>
                <w:bCs w:val="0"/>
                <w:sz w:val="18"/>
                <w:szCs w:val="18"/>
                <w:lang w:val="id-ID"/>
              </w:rPr>
            </w:pPr>
            <w:r>
              <w:rPr>
                <w:bCs w:val="0"/>
                <w:sz w:val="18"/>
                <w:szCs w:val="18"/>
              </w:rPr>
              <w:t>248.664.153.860</w:t>
            </w:r>
          </w:p>
        </w:tc>
        <w:tc>
          <w:tcPr>
            <w:tcW w:w="102" w:type="dxa"/>
            <w:vAlign w:val="bottom"/>
          </w:tcPr>
          <w:p w14:paraId="3B94597E" w14:textId="77777777" w:rsidR="00F84E7F" w:rsidRPr="001C5D60" w:rsidRDefault="00F84E7F" w:rsidP="00F84E7F">
            <w:pPr>
              <w:ind w:right="29"/>
              <w:jc w:val="right"/>
              <w:rPr>
                <w:b/>
                <w:bCs w:val="0"/>
                <w:sz w:val="18"/>
                <w:szCs w:val="18"/>
                <w:u w:val="single"/>
              </w:rPr>
            </w:pPr>
          </w:p>
        </w:tc>
        <w:tc>
          <w:tcPr>
            <w:tcW w:w="1681" w:type="dxa"/>
            <w:vAlign w:val="bottom"/>
          </w:tcPr>
          <w:p w14:paraId="453A14CF" w14:textId="1D19E2E2" w:rsidR="00F84E7F" w:rsidRPr="001C5D60" w:rsidRDefault="00F84E7F" w:rsidP="00F84E7F">
            <w:pPr>
              <w:ind w:right="29"/>
              <w:jc w:val="right"/>
              <w:rPr>
                <w:b/>
                <w:bCs w:val="0"/>
                <w:sz w:val="18"/>
                <w:szCs w:val="18"/>
                <w:u w:val="single"/>
              </w:rPr>
            </w:pPr>
            <w:r w:rsidRPr="001C5D60">
              <w:rPr>
                <w:bCs w:val="0"/>
                <w:sz w:val="18"/>
                <w:szCs w:val="18"/>
              </w:rPr>
              <w:t>226.879.793.470</w:t>
            </w:r>
          </w:p>
        </w:tc>
        <w:tc>
          <w:tcPr>
            <w:tcW w:w="2874" w:type="dxa"/>
            <w:vAlign w:val="bottom"/>
          </w:tcPr>
          <w:p w14:paraId="603D2177" w14:textId="757A38BF" w:rsidR="00F84E7F" w:rsidRPr="00CF00D4" w:rsidRDefault="00F84E7F" w:rsidP="00F84E7F">
            <w:pPr>
              <w:numPr>
                <w:ilvl w:val="12"/>
                <w:numId w:val="0"/>
              </w:numPr>
              <w:ind w:right="57"/>
              <w:jc w:val="right"/>
              <w:rPr>
                <w:bCs w:val="0"/>
                <w:i/>
                <w:sz w:val="18"/>
                <w:szCs w:val="18"/>
              </w:rPr>
            </w:pPr>
            <w:r>
              <w:rPr>
                <w:bCs w:val="0"/>
                <w:i/>
                <w:sz w:val="18"/>
                <w:szCs w:val="18"/>
              </w:rPr>
              <w:t>Bank loan facility</w:t>
            </w:r>
          </w:p>
        </w:tc>
      </w:tr>
      <w:tr w:rsidR="00F84E7F" w:rsidRPr="0013526B" w14:paraId="137AF3D8" w14:textId="77777777" w:rsidTr="002108FF">
        <w:trPr>
          <w:trHeight w:val="20"/>
        </w:trPr>
        <w:tc>
          <w:tcPr>
            <w:tcW w:w="2864" w:type="dxa"/>
            <w:vAlign w:val="bottom"/>
          </w:tcPr>
          <w:p w14:paraId="02C7BEF6" w14:textId="77777777" w:rsidR="00F84E7F" w:rsidRDefault="00F84E7F" w:rsidP="00F84E7F">
            <w:pPr>
              <w:ind w:left="368" w:firstLine="14"/>
              <w:rPr>
                <w:bCs w:val="0"/>
                <w:sz w:val="18"/>
                <w:szCs w:val="18"/>
              </w:rPr>
            </w:pPr>
            <w:r>
              <w:rPr>
                <w:bCs w:val="0"/>
                <w:sz w:val="18"/>
                <w:szCs w:val="18"/>
              </w:rPr>
              <w:t xml:space="preserve">Bagian jatuh tempo dalam </w:t>
            </w:r>
          </w:p>
          <w:p w14:paraId="5362C205" w14:textId="422439BC" w:rsidR="00F84E7F" w:rsidRPr="00EA45C5" w:rsidRDefault="00F84E7F" w:rsidP="00F84E7F">
            <w:pPr>
              <w:ind w:left="480" w:firstLine="14"/>
              <w:rPr>
                <w:bCs w:val="0"/>
                <w:sz w:val="18"/>
                <w:szCs w:val="18"/>
              </w:rPr>
            </w:pPr>
            <w:r>
              <w:rPr>
                <w:bCs w:val="0"/>
                <w:sz w:val="18"/>
                <w:szCs w:val="18"/>
              </w:rPr>
              <w:t>satu tahun</w:t>
            </w:r>
          </w:p>
        </w:tc>
        <w:tc>
          <w:tcPr>
            <w:tcW w:w="1681" w:type="dxa"/>
            <w:vAlign w:val="bottom"/>
          </w:tcPr>
          <w:p w14:paraId="0EBA268A" w14:textId="42F3F771" w:rsidR="00F84E7F" w:rsidRPr="001C5D60" w:rsidRDefault="00F84E7F" w:rsidP="00F84E7F">
            <w:pPr>
              <w:ind w:right="29"/>
              <w:jc w:val="right"/>
              <w:rPr>
                <w:bCs w:val="0"/>
                <w:sz w:val="18"/>
                <w:szCs w:val="18"/>
              </w:rPr>
            </w:pPr>
            <w:r w:rsidRPr="001C5D60">
              <w:rPr>
                <w:bCs w:val="0"/>
                <w:sz w:val="18"/>
                <w:szCs w:val="18"/>
              </w:rPr>
              <w:t>(</w:t>
            </w:r>
            <w:r w:rsidR="001C5D60" w:rsidRPr="00311CBB">
              <w:rPr>
                <w:sz w:val="18"/>
                <w:szCs w:val="18"/>
                <w:lang w:val="id-ID"/>
              </w:rPr>
              <w:t>98</w:t>
            </w:r>
            <w:r w:rsidR="001C5D60">
              <w:rPr>
                <w:sz w:val="18"/>
                <w:szCs w:val="18"/>
                <w:lang w:val="id-ID"/>
              </w:rPr>
              <w:t>.</w:t>
            </w:r>
            <w:r w:rsidR="001C5D60" w:rsidRPr="00311CBB">
              <w:rPr>
                <w:sz w:val="18"/>
                <w:szCs w:val="18"/>
                <w:lang w:val="id-ID"/>
              </w:rPr>
              <w:t>664</w:t>
            </w:r>
            <w:r w:rsidR="001C5D60">
              <w:rPr>
                <w:sz w:val="18"/>
                <w:szCs w:val="18"/>
                <w:lang w:val="id-ID"/>
              </w:rPr>
              <w:t>.</w:t>
            </w:r>
            <w:r w:rsidR="001C5D60" w:rsidRPr="00311CBB">
              <w:rPr>
                <w:sz w:val="18"/>
                <w:szCs w:val="18"/>
                <w:lang w:val="id-ID"/>
              </w:rPr>
              <w:t>153</w:t>
            </w:r>
            <w:r w:rsidR="001C5D60">
              <w:rPr>
                <w:sz w:val="18"/>
                <w:szCs w:val="18"/>
                <w:lang w:val="id-ID"/>
              </w:rPr>
              <w:t>.</w:t>
            </w:r>
            <w:r w:rsidR="001C5D60" w:rsidRPr="00311CBB">
              <w:rPr>
                <w:sz w:val="18"/>
                <w:szCs w:val="18"/>
                <w:lang w:val="id-ID"/>
              </w:rPr>
              <w:t>860</w:t>
            </w:r>
            <w:r w:rsidRPr="001C5D60">
              <w:rPr>
                <w:bCs w:val="0"/>
                <w:sz w:val="18"/>
                <w:szCs w:val="18"/>
              </w:rPr>
              <w:t>)</w:t>
            </w:r>
          </w:p>
        </w:tc>
        <w:tc>
          <w:tcPr>
            <w:tcW w:w="102" w:type="dxa"/>
            <w:vAlign w:val="bottom"/>
          </w:tcPr>
          <w:p w14:paraId="1665451E" w14:textId="77777777" w:rsidR="00F84E7F" w:rsidRPr="001C5D60" w:rsidRDefault="00F84E7F" w:rsidP="00F84E7F">
            <w:pPr>
              <w:ind w:right="29"/>
              <w:jc w:val="right"/>
              <w:rPr>
                <w:b/>
                <w:bCs w:val="0"/>
                <w:sz w:val="18"/>
                <w:szCs w:val="18"/>
                <w:u w:val="single"/>
              </w:rPr>
            </w:pPr>
          </w:p>
        </w:tc>
        <w:tc>
          <w:tcPr>
            <w:tcW w:w="1681" w:type="dxa"/>
            <w:vAlign w:val="bottom"/>
          </w:tcPr>
          <w:p w14:paraId="4619403A" w14:textId="78331943" w:rsidR="00F84E7F" w:rsidRPr="001C5D60" w:rsidRDefault="00F84E7F" w:rsidP="00F84E7F">
            <w:pPr>
              <w:ind w:right="29"/>
              <w:jc w:val="right"/>
              <w:rPr>
                <w:b/>
                <w:bCs w:val="0"/>
                <w:sz w:val="18"/>
                <w:szCs w:val="18"/>
                <w:u w:val="single"/>
              </w:rPr>
            </w:pPr>
            <w:r w:rsidRPr="001C5D60">
              <w:rPr>
                <w:bCs w:val="0"/>
                <w:sz w:val="18"/>
                <w:szCs w:val="18"/>
              </w:rPr>
              <w:t>(50.000.000.000)</w:t>
            </w:r>
          </w:p>
        </w:tc>
        <w:tc>
          <w:tcPr>
            <w:tcW w:w="2874" w:type="dxa"/>
            <w:vAlign w:val="bottom"/>
          </w:tcPr>
          <w:p w14:paraId="51C1D0FA" w14:textId="4BEA8BE7" w:rsidR="00F84E7F" w:rsidRPr="00CF00D4" w:rsidRDefault="00F84E7F" w:rsidP="00F84E7F">
            <w:pPr>
              <w:numPr>
                <w:ilvl w:val="12"/>
                <w:numId w:val="0"/>
              </w:numPr>
              <w:ind w:right="57"/>
              <w:jc w:val="right"/>
              <w:rPr>
                <w:bCs w:val="0"/>
                <w:i/>
                <w:sz w:val="18"/>
                <w:szCs w:val="18"/>
              </w:rPr>
            </w:pPr>
            <w:r>
              <w:rPr>
                <w:bCs w:val="0"/>
                <w:i/>
                <w:sz w:val="18"/>
                <w:szCs w:val="18"/>
              </w:rPr>
              <w:t>Current portion</w:t>
            </w:r>
          </w:p>
        </w:tc>
      </w:tr>
      <w:tr w:rsidR="00375966" w:rsidRPr="0013526B" w14:paraId="398B549F" w14:textId="77777777" w:rsidTr="002108FF">
        <w:trPr>
          <w:trHeight w:val="20"/>
        </w:trPr>
        <w:tc>
          <w:tcPr>
            <w:tcW w:w="2864" w:type="dxa"/>
            <w:vAlign w:val="bottom"/>
          </w:tcPr>
          <w:p w14:paraId="752252FE" w14:textId="77777777" w:rsidR="00CF00D4" w:rsidRPr="00EA45C5" w:rsidRDefault="00CF00D4" w:rsidP="00F53E94">
            <w:pPr>
              <w:ind w:left="368" w:firstLine="14"/>
              <w:rPr>
                <w:bCs w:val="0"/>
                <w:sz w:val="16"/>
                <w:szCs w:val="18"/>
              </w:rPr>
            </w:pPr>
          </w:p>
        </w:tc>
        <w:tc>
          <w:tcPr>
            <w:tcW w:w="1681" w:type="dxa"/>
            <w:tcBorders>
              <w:top w:val="single" w:sz="4" w:space="0" w:color="auto"/>
            </w:tcBorders>
            <w:shd w:val="clear" w:color="auto" w:fill="auto"/>
            <w:vAlign w:val="bottom"/>
          </w:tcPr>
          <w:p w14:paraId="40D6DB26" w14:textId="77777777" w:rsidR="00CF00D4" w:rsidRPr="001C5D60" w:rsidRDefault="00CF00D4" w:rsidP="00CF00D4">
            <w:pPr>
              <w:ind w:right="57"/>
              <w:jc w:val="right"/>
              <w:rPr>
                <w:b/>
                <w:bCs w:val="0"/>
                <w:sz w:val="16"/>
                <w:szCs w:val="18"/>
                <w:u w:val="single"/>
              </w:rPr>
            </w:pPr>
          </w:p>
        </w:tc>
        <w:tc>
          <w:tcPr>
            <w:tcW w:w="102" w:type="dxa"/>
            <w:vAlign w:val="bottom"/>
          </w:tcPr>
          <w:p w14:paraId="0DA22AD5" w14:textId="77777777" w:rsidR="00CF00D4" w:rsidRPr="001C5D60" w:rsidRDefault="00CF00D4" w:rsidP="00CF00D4">
            <w:pPr>
              <w:ind w:right="57"/>
              <w:jc w:val="right"/>
              <w:rPr>
                <w:b/>
                <w:bCs w:val="0"/>
                <w:sz w:val="16"/>
                <w:szCs w:val="18"/>
                <w:u w:val="single"/>
              </w:rPr>
            </w:pPr>
          </w:p>
        </w:tc>
        <w:tc>
          <w:tcPr>
            <w:tcW w:w="1681" w:type="dxa"/>
            <w:tcBorders>
              <w:top w:val="single" w:sz="4" w:space="0" w:color="auto"/>
            </w:tcBorders>
            <w:vAlign w:val="bottom"/>
          </w:tcPr>
          <w:p w14:paraId="2151E1AE" w14:textId="77777777" w:rsidR="00CF00D4" w:rsidRPr="001C5D60" w:rsidRDefault="00CF00D4" w:rsidP="00CF00D4">
            <w:pPr>
              <w:ind w:right="57"/>
              <w:jc w:val="right"/>
              <w:rPr>
                <w:b/>
                <w:bCs w:val="0"/>
                <w:sz w:val="16"/>
                <w:szCs w:val="18"/>
                <w:u w:val="single"/>
              </w:rPr>
            </w:pPr>
          </w:p>
        </w:tc>
        <w:tc>
          <w:tcPr>
            <w:tcW w:w="2874" w:type="dxa"/>
            <w:vAlign w:val="bottom"/>
          </w:tcPr>
          <w:p w14:paraId="5D4BA1CE" w14:textId="77777777" w:rsidR="00CF00D4" w:rsidRPr="0013526B" w:rsidRDefault="00CF00D4" w:rsidP="00CF00D4">
            <w:pPr>
              <w:numPr>
                <w:ilvl w:val="12"/>
                <w:numId w:val="0"/>
              </w:numPr>
              <w:ind w:right="57"/>
              <w:jc w:val="right"/>
              <w:rPr>
                <w:b/>
                <w:i/>
                <w:sz w:val="16"/>
                <w:szCs w:val="18"/>
                <w:u w:val="single"/>
              </w:rPr>
            </w:pPr>
          </w:p>
        </w:tc>
      </w:tr>
      <w:tr w:rsidR="00375966" w:rsidRPr="0013526B" w14:paraId="3562D5EF" w14:textId="77777777" w:rsidTr="002108FF">
        <w:trPr>
          <w:trHeight w:val="20"/>
        </w:trPr>
        <w:tc>
          <w:tcPr>
            <w:tcW w:w="2864" w:type="dxa"/>
            <w:vAlign w:val="bottom"/>
          </w:tcPr>
          <w:p w14:paraId="313A2A1C" w14:textId="77777777" w:rsidR="00CF00D4" w:rsidRPr="00D76805" w:rsidRDefault="00CF00D4" w:rsidP="00F53E94">
            <w:pPr>
              <w:ind w:left="368" w:firstLine="14"/>
              <w:rPr>
                <w:b/>
                <w:sz w:val="18"/>
                <w:szCs w:val="18"/>
              </w:rPr>
            </w:pPr>
            <w:r w:rsidRPr="00D76805">
              <w:rPr>
                <w:b/>
                <w:sz w:val="18"/>
                <w:szCs w:val="18"/>
              </w:rPr>
              <w:t xml:space="preserve">Jumlah </w:t>
            </w:r>
          </w:p>
        </w:tc>
        <w:tc>
          <w:tcPr>
            <w:tcW w:w="1681" w:type="dxa"/>
            <w:tcBorders>
              <w:bottom w:val="double" w:sz="4" w:space="0" w:color="auto"/>
            </w:tcBorders>
            <w:shd w:val="clear" w:color="auto" w:fill="auto"/>
            <w:vAlign w:val="bottom"/>
          </w:tcPr>
          <w:p w14:paraId="1F6E3F8D" w14:textId="1A41AEE0" w:rsidR="00CF00D4" w:rsidRPr="001C5D60" w:rsidRDefault="001C5D60" w:rsidP="00CF00D4">
            <w:pPr>
              <w:ind w:right="57"/>
              <w:jc w:val="right"/>
              <w:rPr>
                <w:b/>
                <w:bCs w:val="0"/>
                <w:sz w:val="18"/>
                <w:szCs w:val="18"/>
              </w:rPr>
            </w:pPr>
            <w:r>
              <w:rPr>
                <w:b/>
                <w:bCs w:val="0"/>
                <w:sz w:val="18"/>
                <w:szCs w:val="18"/>
              </w:rPr>
              <w:t>150.000.000.000</w:t>
            </w:r>
          </w:p>
        </w:tc>
        <w:tc>
          <w:tcPr>
            <w:tcW w:w="102" w:type="dxa"/>
            <w:vAlign w:val="bottom"/>
          </w:tcPr>
          <w:p w14:paraId="6388D3B8" w14:textId="77777777" w:rsidR="00CF00D4" w:rsidRPr="001C5D60" w:rsidRDefault="00CF00D4" w:rsidP="00CF00D4">
            <w:pPr>
              <w:ind w:right="57"/>
              <w:jc w:val="right"/>
              <w:rPr>
                <w:b/>
                <w:bCs w:val="0"/>
                <w:sz w:val="18"/>
                <w:szCs w:val="18"/>
              </w:rPr>
            </w:pPr>
          </w:p>
        </w:tc>
        <w:tc>
          <w:tcPr>
            <w:tcW w:w="1681" w:type="dxa"/>
            <w:tcBorders>
              <w:bottom w:val="double" w:sz="4" w:space="0" w:color="auto"/>
            </w:tcBorders>
            <w:vAlign w:val="bottom"/>
          </w:tcPr>
          <w:p w14:paraId="132F2F56" w14:textId="027E7529" w:rsidR="00CF00D4" w:rsidRPr="001C5D60" w:rsidRDefault="00F84E7F" w:rsidP="00CF00D4">
            <w:pPr>
              <w:ind w:right="57"/>
              <w:jc w:val="right"/>
              <w:rPr>
                <w:b/>
                <w:bCs w:val="0"/>
                <w:sz w:val="18"/>
                <w:szCs w:val="18"/>
              </w:rPr>
            </w:pPr>
            <w:r w:rsidRPr="001C5D60">
              <w:rPr>
                <w:b/>
                <w:bCs w:val="0"/>
                <w:sz w:val="18"/>
                <w:szCs w:val="18"/>
              </w:rPr>
              <w:t>176.879.793.470</w:t>
            </w:r>
          </w:p>
        </w:tc>
        <w:tc>
          <w:tcPr>
            <w:tcW w:w="2874" w:type="dxa"/>
            <w:vAlign w:val="bottom"/>
          </w:tcPr>
          <w:p w14:paraId="1437A287" w14:textId="77777777" w:rsidR="00CF00D4" w:rsidRPr="0013526B" w:rsidRDefault="00CF00D4" w:rsidP="00CF00D4">
            <w:pPr>
              <w:numPr>
                <w:ilvl w:val="12"/>
                <w:numId w:val="0"/>
              </w:numPr>
              <w:ind w:right="57"/>
              <w:jc w:val="right"/>
              <w:rPr>
                <w:b/>
                <w:i/>
                <w:sz w:val="18"/>
                <w:szCs w:val="18"/>
              </w:rPr>
            </w:pPr>
            <w:r w:rsidRPr="0013526B">
              <w:rPr>
                <w:b/>
                <w:i/>
                <w:sz w:val="18"/>
                <w:szCs w:val="18"/>
              </w:rPr>
              <w:t xml:space="preserve">Total </w:t>
            </w:r>
          </w:p>
        </w:tc>
      </w:tr>
    </w:tbl>
    <w:p w14:paraId="4C4672C6" w14:textId="77777777" w:rsidR="00063564" w:rsidRPr="0013526B" w:rsidRDefault="00063564" w:rsidP="0013526B">
      <w:pPr>
        <w:rPr>
          <w:sz w:val="16"/>
          <w:szCs w:val="18"/>
        </w:rPr>
      </w:pPr>
    </w:p>
    <w:tbl>
      <w:tblPr>
        <w:tblW w:w="9197" w:type="dxa"/>
        <w:tblInd w:w="364" w:type="dxa"/>
        <w:tblLook w:val="0000" w:firstRow="0" w:lastRow="0" w:firstColumn="0" w:lastColumn="0" w:noHBand="0" w:noVBand="0"/>
      </w:tblPr>
      <w:tblGrid>
        <w:gridCol w:w="4598"/>
        <w:gridCol w:w="4599"/>
      </w:tblGrid>
      <w:tr w:rsidR="0059499D" w:rsidRPr="0013526B" w14:paraId="4FB250BF" w14:textId="77777777" w:rsidTr="002108FF">
        <w:tc>
          <w:tcPr>
            <w:tcW w:w="2500" w:type="pct"/>
            <w:tcBorders>
              <w:top w:val="nil"/>
              <w:left w:val="nil"/>
              <w:bottom w:val="nil"/>
              <w:right w:val="nil"/>
            </w:tcBorders>
          </w:tcPr>
          <w:p w14:paraId="0D7A09E3" w14:textId="1B15478B" w:rsidR="0059499D" w:rsidRPr="0059499D" w:rsidRDefault="0059499D" w:rsidP="0013526B">
            <w:pPr>
              <w:ind w:left="284" w:right="-57"/>
              <w:jc w:val="both"/>
              <w:rPr>
                <w:b/>
                <w:sz w:val="18"/>
                <w:szCs w:val="18"/>
              </w:rPr>
            </w:pPr>
            <w:r w:rsidRPr="0059499D">
              <w:rPr>
                <w:b/>
                <w:sz w:val="18"/>
                <w:szCs w:val="18"/>
              </w:rPr>
              <w:t>Pinjaman bank</w:t>
            </w:r>
          </w:p>
        </w:tc>
        <w:tc>
          <w:tcPr>
            <w:tcW w:w="2500" w:type="pct"/>
            <w:tcBorders>
              <w:top w:val="nil"/>
              <w:left w:val="nil"/>
              <w:bottom w:val="nil"/>
              <w:right w:val="nil"/>
            </w:tcBorders>
          </w:tcPr>
          <w:p w14:paraId="1DDA0303" w14:textId="21AB3947" w:rsidR="0059499D" w:rsidRPr="0059499D" w:rsidRDefault="0059499D" w:rsidP="0013526B">
            <w:pPr>
              <w:ind w:left="284" w:right="-57"/>
              <w:jc w:val="both"/>
              <w:rPr>
                <w:b/>
                <w:i/>
                <w:sz w:val="18"/>
                <w:szCs w:val="18"/>
              </w:rPr>
            </w:pPr>
            <w:r w:rsidRPr="0059499D">
              <w:rPr>
                <w:b/>
                <w:i/>
                <w:sz w:val="18"/>
                <w:szCs w:val="18"/>
              </w:rPr>
              <w:t>Bank loan</w:t>
            </w:r>
            <w:r w:rsidR="00054578">
              <w:rPr>
                <w:b/>
                <w:i/>
                <w:sz w:val="18"/>
                <w:szCs w:val="18"/>
              </w:rPr>
              <w:t>s</w:t>
            </w:r>
          </w:p>
        </w:tc>
      </w:tr>
      <w:tr w:rsidR="0059499D" w:rsidRPr="0013526B" w14:paraId="7B94EB56" w14:textId="77777777" w:rsidTr="002108FF">
        <w:tc>
          <w:tcPr>
            <w:tcW w:w="2500" w:type="pct"/>
            <w:tcBorders>
              <w:top w:val="nil"/>
              <w:left w:val="nil"/>
              <w:bottom w:val="nil"/>
              <w:right w:val="nil"/>
            </w:tcBorders>
          </w:tcPr>
          <w:p w14:paraId="06D0943E" w14:textId="77777777" w:rsidR="0059499D" w:rsidRPr="0013526B" w:rsidRDefault="0059499D" w:rsidP="0013526B">
            <w:pPr>
              <w:ind w:left="284" w:right="-57"/>
              <w:jc w:val="both"/>
              <w:rPr>
                <w:sz w:val="18"/>
                <w:szCs w:val="18"/>
              </w:rPr>
            </w:pPr>
          </w:p>
        </w:tc>
        <w:tc>
          <w:tcPr>
            <w:tcW w:w="2500" w:type="pct"/>
            <w:tcBorders>
              <w:top w:val="nil"/>
              <w:left w:val="nil"/>
              <w:bottom w:val="nil"/>
              <w:right w:val="nil"/>
            </w:tcBorders>
          </w:tcPr>
          <w:p w14:paraId="0AD3D4BC" w14:textId="77777777" w:rsidR="0059499D" w:rsidRPr="0013526B" w:rsidRDefault="0059499D" w:rsidP="0013526B">
            <w:pPr>
              <w:ind w:left="284" w:right="-57"/>
              <w:jc w:val="both"/>
              <w:rPr>
                <w:i/>
                <w:sz w:val="18"/>
                <w:szCs w:val="18"/>
              </w:rPr>
            </w:pPr>
          </w:p>
        </w:tc>
      </w:tr>
      <w:tr w:rsidR="0059499D" w:rsidRPr="00373566" w14:paraId="29F0DD8E" w14:textId="77777777" w:rsidTr="002108FF">
        <w:tc>
          <w:tcPr>
            <w:tcW w:w="2500" w:type="pct"/>
            <w:tcBorders>
              <w:top w:val="nil"/>
              <w:left w:val="nil"/>
              <w:bottom w:val="nil"/>
              <w:right w:val="nil"/>
            </w:tcBorders>
          </w:tcPr>
          <w:p w14:paraId="4E9984BF" w14:textId="6358E2D1" w:rsidR="0059499D" w:rsidRPr="00373566" w:rsidRDefault="0059499D" w:rsidP="0013526B">
            <w:pPr>
              <w:ind w:left="284" w:right="-57"/>
              <w:jc w:val="both"/>
              <w:rPr>
                <w:sz w:val="18"/>
                <w:szCs w:val="18"/>
                <w:u w:val="single"/>
              </w:rPr>
            </w:pPr>
            <w:r w:rsidRPr="00373566">
              <w:rPr>
                <w:sz w:val="18"/>
                <w:szCs w:val="18"/>
                <w:u w:val="single"/>
              </w:rPr>
              <w:t>Perusahaan</w:t>
            </w:r>
          </w:p>
        </w:tc>
        <w:tc>
          <w:tcPr>
            <w:tcW w:w="2500" w:type="pct"/>
            <w:tcBorders>
              <w:top w:val="nil"/>
              <w:left w:val="nil"/>
              <w:bottom w:val="nil"/>
              <w:right w:val="nil"/>
            </w:tcBorders>
          </w:tcPr>
          <w:p w14:paraId="72866C2D" w14:textId="64024F81" w:rsidR="0059499D" w:rsidRPr="00373566" w:rsidRDefault="0059499D" w:rsidP="0013526B">
            <w:pPr>
              <w:ind w:left="284" w:right="-57"/>
              <w:jc w:val="both"/>
              <w:rPr>
                <w:i/>
                <w:sz w:val="18"/>
                <w:szCs w:val="18"/>
                <w:u w:val="single"/>
              </w:rPr>
            </w:pPr>
            <w:r w:rsidRPr="00373566">
              <w:rPr>
                <w:i/>
                <w:sz w:val="18"/>
                <w:szCs w:val="18"/>
                <w:u w:val="single"/>
              </w:rPr>
              <w:t>The Company</w:t>
            </w:r>
          </w:p>
        </w:tc>
      </w:tr>
      <w:tr w:rsidR="00AD7C0D" w:rsidRPr="00373566" w14:paraId="5FF6719F" w14:textId="77777777" w:rsidTr="002108FF">
        <w:tc>
          <w:tcPr>
            <w:tcW w:w="2500" w:type="pct"/>
            <w:tcBorders>
              <w:top w:val="nil"/>
              <w:left w:val="nil"/>
              <w:bottom w:val="nil"/>
              <w:right w:val="nil"/>
            </w:tcBorders>
          </w:tcPr>
          <w:p w14:paraId="45ADE4C1" w14:textId="4CF64082" w:rsidR="00AD7C0D" w:rsidRPr="00373566" w:rsidRDefault="00AD7C0D" w:rsidP="0013526B">
            <w:pPr>
              <w:ind w:left="284" w:right="-57"/>
              <w:jc w:val="both"/>
              <w:rPr>
                <w:sz w:val="18"/>
                <w:szCs w:val="18"/>
              </w:rPr>
            </w:pPr>
          </w:p>
        </w:tc>
        <w:tc>
          <w:tcPr>
            <w:tcW w:w="2500" w:type="pct"/>
            <w:tcBorders>
              <w:top w:val="nil"/>
              <w:left w:val="nil"/>
              <w:bottom w:val="nil"/>
              <w:right w:val="nil"/>
            </w:tcBorders>
          </w:tcPr>
          <w:p w14:paraId="3B2D9D40" w14:textId="6953BFE9" w:rsidR="00AD7C0D" w:rsidRPr="00373566" w:rsidRDefault="00AD7C0D" w:rsidP="0013526B">
            <w:pPr>
              <w:ind w:left="284" w:right="-57"/>
              <w:jc w:val="both"/>
              <w:rPr>
                <w:i/>
                <w:sz w:val="18"/>
                <w:szCs w:val="18"/>
              </w:rPr>
            </w:pPr>
          </w:p>
        </w:tc>
      </w:tr>
      <w:tr w:rsidR="0059499D" w:rsidRPr="0013526B" w14:paraId="11D87560" w14:textId="77777777" w:rsidTr="002108FF">
        <w:tc>
          <w:tcPr>
            <w:tcW w:w="2500" w:type="pct"/>
            <w:tcBorders>
              <w:top w:val="nil"/>
              <w:left w:val="nil"/>
              <w:bottom w:val="nil"/>
              <w:right w:val="nil"/>
            </w:tcBorders>
          </w:tcPr>
          <w:p w14:paraId="6E0672C9" w14:textId="48F8CAA1" w:rsidR="0059499D" w:rsidRPr="00373566" w:rsidRDefault="00471B9C" w:rsidP="001808CD">
            <w:pPr>
              <w:ind w:left="284" w:right="-57"/>
              <w:jc w:val="both"/>
              <w:rPr>
                <w:sz w:val="18"/>
                <w:szCs w:val="18"/>
              </w:rPr>
            </w:pPr>
            <w:r w:rsidRPr="00DE189C">
              <w:rPr>
                <w:bCs w:val="0"/>
                <w:sz w:val="18"/>
                <w:szCs w:val="18"/>
              </w:rPr>
              <w:t>Berdasarkan Akta No. 66 tanggal 21 Agustus 2018 dari Notaris Stephanie Wilamarta</w:t>
            </w:r>
            <w:r w:rsidR="00305CA0">
              <w:rPr>
                <w:bCs w:val="0"/>
                <w:sz w:val="18"/>
                <w:szCs w:val="18"/>
              </w:rPr>
              <w:t>.</w:t>
            </w:r>
            <w:r w:rsidRPr="00DE189C">
              <w:rPr>
                <w:bCs w:val="0"/>
                <w:sz w:val="18"/>
                <w:szCs w:val="18"/>
              </w:rPr>
              <w:t xml:space="preserve"> </w:t>
            </w:r>
            <w:proofErr w:type="gramStart"/>
            <w:r w:rsidRPr="00DE189C">
              <w:rPr>
                <w:bCs w:val="0"/>
                <w:sz w:val="18"/>
                <w:szCs w:val="18"/>
              </w:rPr>
              <w:t>S.H.</w:t>
            </w:r>
            <w:r w:rsidR="00305CA0">
              <w:rPr>
                <w:bCs w:val="0"/>
                <w:sz w:val="18"/>
                <w:szCs w:val="18"/>
              </w:rPr>
              <w:t>.</w:t>
            </w:r>
            <w:proofErr w:type="gramEnd"/>
            <w:r w:rsidRPr="00DE189C">
              <w:rPr>
                <w:bCs w:val="0"/>
                <w:sz w:val="18"/>
                <w:szCs w:val="18"/>
              </w:rPr>
              <w:t xml:space="preserve"> Notaris di Jakarta</w:t>
            </w:r>
            <w:r w:rsidR="00305CA0">
              <w:rPr>
                <w:bCs w:val="0"/>
                <w:sz w:val="18"/>
                <w:szCs w:val="18"/>
              </w:rPr>
              <w:t>.</w:t>
            </w:r>
            <w:r w:rsidRPr="00DE189C">
              <w:rPr>
                <w:bCs w:val="0"/>
                <w:sz w:val="18"/>
                <w:szCs w:val="18"/>
              </w:rPr>
              <w:t xml:space="preserve"> Perusahaan memperoleh fasilitas kredit sebesar </w:t>
            </w:r>
            <w:r w:rsidRPr="00DE189C">
              <w:rPr>
                <w:bCs w:val="0"/>
                <w:sz w:val="18"/>
                <w:szCs w:val="18"/>
              </w:rPr>
              <w:br/>
              <w:t xml:space="preserve">Rp 60.000.000.000 dari PT Bank Mayapada International Tbk dengan jangka waktu 5 lima tahun yang </w:t>
            </w:r>
            <w:r w:rsidR="009874CF">
              <w:rPr>
                <w:bCs w:val="0"/>
                <w:sz w:val="18"/>
                <w:szCs w:val="18"/>
              </w:rPr>
              <w:br/>
            </w:r>
            <w:r w:rsidRPr="00DE189C">
              <w:rPr>
                <w:bCs w:val="0"/>
                <w:sz w:val="18"/>
                <w:szCs w:val="18"/>
              </w:rPr>
              <w:t>berakhir tanggal 24 April 2023 dengan tingkat suku bunga 12% per tahun.</w:t>
            </w:r>
            <w:r>
              <w:rPr>
                <w:bCs w:val="0"/>
                <w:sz w:val="18"/>
                <w:szCs w:val="18"/>
              </w:rPr>
              <w:t xml:space="preserve"> Dan </w:t>
            </w:r>
            <w:r w:rsidRPr="00DE189C">
              <w:rPr>
                <w:bCs w:val="0"/>
                <w:sz w:val="18"/>
                <w:szCs w:val="18"/>
              </w:rPr>
              <w:t xml:space="preserve">fasilitas kredit sebesar </w:t>
            </w:r>
            <w:r w:rsidRPr="00DE189C">
              <w:rPr>
                <w:bCs w:val="0"/>
                <w:sz w:val="18"/>
                <w:szCs w:val="18"/>
              </w:rPr>
              <w:br/>
              <w:t>Rp 50.000.000.000 dari PT Bank Mayapada International Tbk dengan jangka waktu 12 bulan yang berakhir tanggal 28 Juni 2020 dengan tingkat suku bunga 10% per tahun.</w:t>
            </w:r>
          </w:p>
        </w:tc>
        <w:tc>
          <w:tcPr>
            <w:tcW w:w="2500" w:type="pct"/>
            <w:tcBorders>
              <w:top w:val="nil"/>
              <w:left w:val="nil"/>
              <w:bottom w:val="nil"/>
              <w:right w:val="nil"/>
            </w:tcBorders>
          </w:tcPr>
          <w:p w14:paraId="086E7DB0" w14:textId="240684F1" w:rsidR="0059499D" w:rsidRPr="009874CF" w:rsidRDefault="00471B9C" w:rsidP="001808CD">
            <w:pPr>
              <w:ind w:left="284" w:right="-57"/>
              <w:jc w:val="both"/>
              <w:rPr>
                <w:bCs w:val="0"/>
                <w:i/>
                <w:sz w:val="18"/>
                <w:szCs w:val="18"/>
              </w:rPr>
            </w:pPr>
            <w:r w:rsidRPr="00DE189C">
              <w:rPr>
                <w:bCs w:val="0"/>
                <w:i/>
                <w:sz w:val="18"/>
                <w:szCs w:val="18"/>
              </w:rPr>
              <w:t>Based on Deed No. 66 dated August 21</w:t>
            </w:r>
            <w:r w:rsidR="00305CA0">
              <w:rPr>
                <w:bCs w:val="0"/>
                <w:i/>
                <w:sz w:val="18"/>
                <w:szCs w:val="18"/>
              </w:rPr>
              <w:t>.</w:t>
            </w:r>
            <w:r w:rsidRPr="00DE189C">
              <w:rPr>
                <w:bCs w:val="0"/>
                <w:i/>
                <w:sz w:val="18"/>
                <w:szCs w:val="18"/>
              </w:rPr>
              <w:t xml:space="preserve"> 2018 of Notary Stephanie Wilamarta</w:t>
            </w:r>
            <w:r w:rsidR="00305CA0">
              <w:rPr>
                <w:bCs w:val="0"/>
                <w:i/>
                <w:sz w:val="18"/>
                <w:szCs w:val="18"/>
              </w:rPr>
              <w:t>.</w:t>
            </w:r>
            <w:r w:rsidRPr="00DE189C">
              <w:rPr>
                <w:bCs w:val="0"/>
                <w:i/>
                <w:sz w:val="18"/>
                <w:szCs w:val="18"/>
              </w:rPr>
              <w:t xml:space="preserve"> </w:t>
            </w:r>
            <w:proofErr w:type="gramStart"/>
            <w:r w:rsidRPr="00DE189C">
              <w:rPr>
                <w:bCs w:val="0"/>
                <w:i/>
                <w:sz w:val="18"/>
                <w:szCs w:val="18"/>
              </w:rPr>
              <w:t>S.H.</w:t>
            </w:r>
            <w:r w:rsidR="00305CA0">
              <w:rPr>
                <w:bCs w:val="0"/>
                <w:i/>
                <w:sz w:val="18"/>
                <w:szCs w:val="18"/>
              </w:rPr>
              <w:t>.</w:t>
            </w:r>
            <w:proofErr w:type="gramEnd"/>
            <w:r w:rsidRPr="00DE189C">
              <w:rPr>
                <w:bCs w:val="0"/>
                <w:i/>
                <w:sz w:val="18"/>
                <w:szCs w:val="18"/>
              </w:rPr>
              <w:t xml:space="preserve"> Notary in Jakarta</w:t>
            </w:r>
            <w:r w:rsidR="00305CA0">
              <w:rPr>
                <w:bCs w:val="0"/>
                <w:i/>
                <w:sz w:val="18"/>
                <w:szCs w:val="18"/>
              </w:rPr>
              <w:t>.</w:t>
            </w:r>
            <w:r w:rsidRPr="00DE189C">
              <w:rPr>
                <w:bCs w:val="0"/>
                <w:i/>
                <w:sz w:val="18"/>
                <w:szCs w:val="18"/>
              </w:rPr>
              <w:t xml:space="preserve"> </w:t>
            </w:r>
            <w:proofErr w:type="gramStart"/>
            <w:r w:rsidRPr="00DE189C">
              <w:rPr>
                <w:bCs w:val="0"/>
                <w:i/>
                <w:sz w:val="18"/>
                <w:szCs w:val="18"/>
              </w:rPr>
              <w:t>the</w:t>
            </w:r>
            <w:proofErr w:type="gramEnd"/>
            <w:r w:rsidRPr="00DE189C">
              <w:rPr>
                <w:bCs w:val="0"/>
                <w:i/>
                <w:sz w:val="18"/>
                <w:szCs w:val="18"/>
              </w:rPr>
              <w:t xml:space="preserve"> Company received a loan facility amounting to </w:t>
            </w:r>
            <w:r w:rsidR="009874CF">
              <w:rPr>
                <w:bCs w:val="0"/>
                <w:i/>
                <w:sz w:val="18"/>
                <w:szCs w:val="18"/>
              </w:rPr>
              <w:br/>
            </w:r>
            <w:r w:rsidRPr="00DE189C">
              <w:rPr>
                <w:bCs w:val="0"/>
                <w:i/>
                <w:sz w:val="18"/>
                <w:szCs w:val="18"/>
              </w:rPr>
              <w:t>Rp 60</w:t>
            </w:r>
            <w:r w:rsidR="00305CA0">
              <w:rPr>
                <w:bCs w:val="0"/>
                <w:i/>
                <w:sz w:val="18"/>
                <w:szCs w:val="18"/>
              </w:rPr>
              <w:t>.</w:t>
            </w:r>
            <w:r w:rsidRPr="00DE189C">
              <w:rPr>
                <w:bCs w:val="0"/>
                <w:i/>
                <w:sz w:val="18"/>
                <w:szCs w:val="18"/>
              </w:rPr>
              <w:t>000</w:t>
            </w:r>
            <w:r w:rsidR="00305CA0">
              <w:rPr>
                <w:bCs w:val="0"/>
                <w:i/>
                <w:sz w:val="18"/>
                <w:szCs w:val="18"/>
              </w:rPr>
              <w:t>.</w:t>
            </w:r>
            <w:r w:rsidRPr="00DE189C">
              <w:rPr>
                <w:bCs w:val="0"/>
                <w:i/>
                <w:sz w:val="18"/>
                <w:szCs w:val="18"/>
              </w:rPr>
              <w:t>000</w:t>
            </w:r>
            <w:r w:rsidR="00305CA0">
              <w:rPr>
                <w:bCs w:val="0"/>
                <w:i/>
                <w:sz w:val="18"/>
                <w:szCs w:val="18"/>
              </w:rPr>
              <w:t>.</w:t>
            </w:r>
            <w:r w:rsidRPr="00DE189C">
              <w:rPr>
                <w:bCs w:val="0"/>
                <w:i/>
                <w:sz w:val="18"/>
                <w:szCs w:val="18"/>
              </w:rPr>
              <w:t>000 from PT Bank Mayapada</w:t>
            </w:r>
            <w:r>
              <w:rPr>
                <w:bCs w:val="0"/>
                <w:i/>
                <w:sz w:val="18"/>
                <w:szCs w:val="18"/>
              </w:rPr>
              <w:t xml:space="preserve"> </w:t>
            </w:r>
            <w:r w:rsidRPr="00DE189C">
              <w:rPr>
                <w:bCs w:val="0"/>
                <w:i/>
                <w:sz w:val="18"/>
                <w:szCs w:val="18"/>
              </w:rPr>
              <w:t>International</w:t>
            </w:r>
            <w:r>
              <w:rPr>
                <w:bCs w:val="0"/>
                <w:i/>
                <w:sz w:val="18"/>
                <w:szCs w:val="18"/>
              </w:rPr>
              <w:t xml:space="preserve"> </w:t>
            </w:r>
            <w:r w:rsidRPr="00DE189C">
              <w:rPr>
                <w:bCs w:val="0"/>
                <w:i/>
                <w:sz w:val="18"/>
                <w:szCs w:val="18"/>
              </w:rPr>
              <w:t>Tbk</w:t>
            </w:r>
            <w:r>
              <w:rPr>
                <w:bCs w:val="0"/>
                <w:i/>
                <w:sz w:val="18"/>
                <w:szCs w:val="18"/>
              </w:rPr>
              <w:t xml:space="preserve"> </w:t>
            </w:r>
            <w:r w:rsidRPr="00DE189C">
              <w:rPr>
                <w:bCs w:val="0"/>
                <w:i/>
                <w:sz w:val="18"/>
                <w:szCs w:val="18"/>
              </w:rPr>
              <w:t>with</w:t>
            </w:r>
            <w:r>
              <w:rPr>
                <w:bCs w:val="0"/>
                <w:i/>
                <w:sz w:val="18"/>
                <w:szCs w:val="18"/>
              </w:rPr>
              <w:t xml:space="preserve"> </w:t>
            </w:r>
            <w:r w:rsidRPr="00DE189C">
              <w:rPr>
                <w:bCs w:val="0"/>
                <w:i/>
                <w:sz w:val="18"/>
                <w:szCs w:val="18"/>
              </w:rPr>
              <w:t>a</w:t>
            </w:r>
            <w:r>
              <w:rPr>
                <w:bCs w:val="0"/>
                <w:i/>
                <w:sz w:val="18"/>
                <w:szCs w:val="18"/>
              </w:rPr>
              <w:t xml:space="preserve"> </w:t>
            </w:r>
            <w:r w:rsidRPr="00DE189C">
              <w:rPr>
                <w:bCs w:val="0"/>
                <w:i/>
                <w:sz w:val="18"/>
                <w:szCs w:val="18"/>
              </w:rPr>
              <w:t>term</w:t>
            </w:r>
            <w:r>
              <w:rPr>
                <w:bCs w:val="0"/>
                <w:i/>
                <w:sz w:val="18"/>
                <w:szCs w:val="18"/>
              </w:rPr>
              <w:t xml:space="preserve"> </w:t>
            </w:r>
            <w:r w:rsidRPr="00DE189C">
              <w:rPr>
                <w:bCs w:val="0"/>
                <w:i/>
                <w:sz w:val="18"/>
                <w:szCs w:val="18"/>
              </w:rPr>
              <w:t xml:space="preserve">of 5 five years due on </w:t>
            </w:r>
            <w:r w:rsidR="009874CF">
              <w:rPr>
                <w:bCs w:val="0"/>
                <w:i/>
                <w:sz w:val="18"/>
                <w:szCs w:val="18"/>
              </w:rPr>
              <w:br/>
            </w:r>
            <w:r w:rsidRPr="00DE189C">
              <w:rPr>
                <w:bCs w:val="0"/>
                <w:i/>
                <w:sz w:val="18"/>
                <w:szCs w:val="18"/>
              </w:rPr>
              <w:t>April 24</w:t>
            </w:r>
            <w:r w:rsidR="00305CA0">
              <w:rPr>
                <w:bCs w:val="0"/>
                <w:i/>
                <w:sz w:val="18"/>
                <w:szCs w:val="18"/>
              </w:rPr>
              <w:t>.</w:t>
            </w:r>
            <w:r w:rsidRPr="00DE189C">
              <w:rPr>
                <w:bCs w:val="0"/>
                <w:i/>
                <w:sz w:val="18"/>
                <w:szCs w:val="18"/>
              </w:rPr>
              <w:t xml:space="preserve"> 2023 with interest rate of 12% per annum.</w:t>
            </w:r>
            <w:r>
              <w:rPr>
                <w:bCs w:val="0"/>
                <w:i/>
                <w:sz w:val="18"/>
                <w:szCs w:val="18"/>
              </w:rPr>
              <w:t xml:space="preserve"> And </w:t>
            </w:r>
            <w:r w:rsidRPr="00DE189C">
              <w:rPr>
                <w:bCs w:val="0"/>
                <w:i/>
                <w:sz w:val="18"/>
                <w:szCs w:val="18"/>
              </w:rPr>
              <w:t>loan facility amounting to Rp 50</w:t>
            </w:r>
            <w:r w:rsidR="00305CA0">
              <w:rPr>
                <w:bCs w:val="0"/>
                <w:i/>
                <w:sz w:val="18"/>
                <w:szCs w:val="18"/>
              </w:rPr>
              <w:t>.</w:t>
            </w:r>
            <w:r w:rsidRPr="00DE189C">
              <w:rPr>
                <w:bCs w:val="0"/>
                <w:i/>
                <w:sz w:val="18"/>
                <w:szCs w:val="18"/>
              </w:rPr>
              <w:t>000</w:t>
            </w:r>
            <w:r w:rsidR="00305CA0">
              <w:rPr>
                <w:bCs w:val="0"/>
                <w:i/>
                <w:sz w:val="18"/>
                <w:szCs w:val="18"/>
              </w:rPr>
              <w:t>.</w:t>
            </w:r>
            <w:r w:rsidRPr="00DE189C">
              <w:rPr>
                <w:bCs w:val="0"/>
                <w:i/>
                <w:sz w:val="18"/>
                <w:szCs w:val="18"/>
              </w:rPr>
              <w:t>000</w:t>
            </w:r>
            <w:r w:rsidR="00305CA0">
              <w:rPr>
                <w:bCs w:val="0"/>
                <w:i/>
                <w:sz w:val="18"/>
                <w:szCs w:val="18"/>
              </w:rPr>
              <w:t>.</w:t>
            </w:r>
            <w:r w:rsidRPr="00DE189C">
              <w:rPr>
                <w:bCs w:val="0"/>
                <w:i/>
                <w:sz w:val="18"/>
                <w:szCs w:val="18"/>
              </w:rPr>
              <w:t xml:space="preserve">000 from </w:t>
            </w:r>
            <w:r w:rsidR="009874CF">
              <w:rPr>
                <w:bCs w:val="0"/>
                <w:i/>
                <w:sz w:val="18"/>
                <w:szCs w:val="18"/>
              </w:rPr>
              <w:br/>
            </w:r>
            <w:r w:rsidRPr="00DE189C">
              <w:rPr>
                <w:bCs w:val="0"/>
                <w:i/>
                <w:sz w:val="18"/>
                <w:szCs w:val="18"/>
              </w:rPr>
              <w:t xml:space="preserve">PT Bank Mayapada International Tbk with a term of </w:t>
            </w:r>
            <w:r w:rsidR="009874CF">
              <w:rPr>
                <w:bCs w:val="0"/>
                <w:i/>
                <w:sz w:val="18"/>
                <w:szCs w:val="18"/>
              </w:rPr>
              <w:br/>
            </w:r>
            <w:r w:rsidRPr="00DE189C">
              <w:rPr>
                <w:bCs w:val="0"/>
                <w:i/>
                <w:sz w:val="18"/>
                <w:szCs w:val="18"/>
              </w:rPr>
              <w:t>12 months due on June 28</w:t>
            </w:r>
            <w:r w:rsidR="00305CA0">
              <w:rPr>
                <w:bCs w:val="0"/>
                <w:i/>
                <w:sz w:val="18"/>
                <w:szCs w:val="18"/>
              </w:rPr>
              <w:t>.</w:t>
            </w:r>
            <w:r w:rsidRPr="00DE189C">
              <w:rPr>
                <w:bCs w:val="0"/>
                <w:i/>
                <w:sz w:val="18"/>
                <w:szCs w:val="18"/>
              </w:rPr>
              <w:t xml:space="preserve"> 2020 with interest rate of </w:t>
            </w:r>
            <w:r w:rsidR="009874CF">
              <w:rPr>
                <w:bCs w:val="0"/>
                <w:i/>
                <w:sz w:val="18"/>
                <w:szCs w:val="18"/>
              </w:rPr>
              <w:br/>
            </w:r>
            <w:r w:rsidRPr="00DE189C">
              <w:rPr>
                <w:bCs w:val="0"/>
                <w:i/>
                <w:sz w:val="18"/>
                <w:szCs w:val="18"/>
              </w:rPr>
              <w:t>10% per annum.</w:t>
            </w:r>
          </w:p>
        </w:tc>
      </w:tr>
      <w:tr w:rsidR="0059499D" w:rsidRPr="0013526B" w14:paraId="58B5C2EE" w14:textId="77777777" w:rsidTr="002108FF">
        <w:tc>
          <w:tcPr>
            <w:tcW w:w="2500" w:type="pct"/>
            <w:tcBorders>
              <w:top w:val="nil"/>
              <w:left w:val="nil"/>
              <w:bottom w:val="nil"/>
              <w:right w:val="nil"/>
            </w:tcBorders>
          </w:tcPr>
          <w:p w14:paraId="238887CD" w14:textId="77777777" w:rsidR="0059499D" w:rsidRPr="0059499D" w:rsidRDefault="0059499D" w:rsidP="0013526B">
            <w:pPr>
              <w:ind w:left="284" w:right="-57"/>
              <w:jc w:val="both"/>
              <w:rPr>
                <w:bCs w:val="0"/>
                <w:sz w:val="18"/>
                <w:szCs w:val="18"/>
              </w:rPr>
            </w:pPr>
          </w:p>
        </w:tc>
        <w:tc>
          <w:tcPr>
            <w:tcW w:w="2500" w:type="pct"/>
            <w:tcBorders>
              <w:top w:val="nil"/>
              <w:left w:val="nil"/>
              <w:bottom w:val="nil"/>
              <w:right w:val="nil"/>
            </w:tcBorders>
          </w:tcPr>
          <w:p w14:paraId="47CE8449" w14:textId="77777777" w:rsidR="0059499D" w:rsidRPr="0059499D" w:rsidRDefault="0059499D" w:rsidP="0013526B">
            <w:pPr>
              <w:ind w:left="284" w:right="-57"/>
              <w:jc w:val="both"/>
              <w:rPr>
                <w:bCs w:val="0"/>
                <w:i/>
                <w:sz w:val="18"/>
                <w:szCs w:val="18"/>
              </w:rPr>
            </w:pPr>
          </w:p>
        </w:tc>
      </w:tr>
      <w:tr w:rsidR="0059499D" w:rsidRPr="00D76805" w14:paraId="0D74EFC5" w14:textId="77777777" w:rsidTr="002108FF">
        <w:tc>
          <w:tcPr>
            <w:tcW w:w="2500" w:type="pct"/>
            <w:tcBorders>
              <w:top w:val="nil"/>
              <w:left w:val="nil"/>
              <w:bottom w:val="nil"/>
              <w:right w:val="nil"/>
            </w:tcBorders>
          </w:tcPr>
          <w:p w14:paraId="5003F934" w14:textId="64BBFEF2" w:rsidR="0059499D" w:rsidRPr="00D76805" w:rsidRDefault="0059499D" w:rsidP="0013526B">
            <w:pPr>
              <w:ind w:left="284" w:right="-57"/>
              <w:jc w:val="both"/>
              <w:rPr>
                <w:bCs w:val="0"/>
                <w:sz w:val="18"/>
                <w:szCs w:val="18"/>
                <w:u w:val="single"/>
              </w:rPr>
            </w:pPr>
            <w:r w:rsidRPr="00D76805">
              <w:rPr>
                <w:bCs w:val="0"/>
                <w:sz w:val="18"/>
                <w:szCs w:val="18"/>
                <w:u w:val="single"/>
              </w:rPr>
              <w:t>Agunan</w:t>
            </w:r>
          </w:p>
        </w:tc>
        <w:tc>
          <w:tcPr>
            <w:tcW w:w="2500" w:type="pct"/>
            <w:tcBorders>
              <w:top w:val="nil"/>
              <w:left w:val="nil"/>
              <w:bottom w:val="nil"/>
              <w:right w:val="nil"/>
            </w:tcBorders>
          </w:tcPr>
          <w:p w14:paraId="437C2A70" w14:textId="74438060" w:rsidR="0059499D" w:rsidRPr="00D76805" w:rsidRDefault="0059499D" w:rsidP="0013526B">
            <w:pPr>
              <w:ind w:left="284" w:right="-57"/>
              <w:jc w:val="both"/>
              <w:rPr>
                <w:bCs w:val="0"/>
                <w:i/>
                <w:sz w:val="18"/>
                <w:szCs w:val="18"/>
                <w:u w:val="single"/>
              </w:rPr>
            </w:pPr>
            <w:r w:rsidRPr="00D76805">
              <w:rPr>
                <w:bCs w:val="0"/>
                <w:i/>
                <w:sz w:val="18"/>
                <w:szCs w:val="18"/>
                <w:u w:val="single"/>
              </w:rPr>
              <w:t>Collaterals</w:t>
            </w:r>
          </w:p>
        </w:tc>
      </w:tr>
      <w:tr w:rsidR="0059499D" w:rsidRPr="00D76805" w14:paraId="09FB28A8" w14:textId="77777777" w:rsidTr="002108FF">
        <w:tc>
          <w:tcPr>
            <w:tcW w:w="2500" w:type="pct"/>
            <w:tcBorders>
              <w:top w:val="nil"/>
              <w:left w:val="nil"/>
              <w:bottom w:val="nil"/>
              <w:right w:val="nil"/>
            </w:tcBorders>
          </w:tcPr>
          <w:p w14:paraId="5A1F0D51" w14:textId="77777777" w:rsidR="0059499D" w:rsidRPr="00D76805" w:rsidRDefault="0059499D" w:rsidP="0013526B">
            <w:pPr>
              <w:ind w:left="284" w:right="-57"/>
              <w:jc w:val="both"/>
              <w:rPr>
                <w:bCs w:val="0"/>
                <w:sz w:val="18"/>
                <w:szCs w:val="18"/>
              </w:rPr>
            </w:pPr>
          </w:p>
        </w:tc>
        <w:tc>
          <w:tcPr>
            <w:tcW w:w="2500" w:type="pct"/>
            <w:tcBorders>
              <w:top w:val="nil"/>
              <w:left w:val="nil"/>
              <w:bottom w:val="nil"/>
              <w:right w:val="nil"/>
            </w:tcBorders>
          </w:tcPr>
          <w:p w14:paraId="744EB177" w14:textId="77777777" w:rsidR="0059499D" w:rsidRPr="00D76805" w:rsidRDefault="0059499D" w:rsidP="0013526B">
            <w:pPr>
              <w:ind w:left="284" w:right="-57"/>
              <w:jc w:val="both"/>
              <w:rPr>
                <w:bCs w:val="0"/>
                <w:i/>
                <w:sz w:val="18"/>
                <w:szCs w:val="18"/>
              </w:rPr>
            </w:pPr>
          </w:p>
        </w:tc>
      </w:tr>
      <w:tr w:rsidR="0059499D" w:rsidRPr="00D76805" w14:paraId="6236A099" w14:textId="77777777" w:rsidTr="002108FF">
        <w:tc>
          <w:tcPr>
            <w:tcW w:w="2500" w:type="pct"/>
            <w:tcBorders>
              <w:top w:val="nil"/>
              <w:left w:val="nil"/>
              <w:bottom w:val="nil"/>
              <w:right w:val="nil"/>
            </w:tcBorders>
          </w:tcPr>
          <w:p w14:paraId="03536344" w14:textId="3B696D63" w:rsidR="0059499D" w:rsidRPr="00D76805" w:rsidRDefault="0059499D" w:rsidP="0013526B">
            <w:pPr>
              <w:ind w:left="284" w:right="-57"/>
              <w:jc w:val="both"/>
              <w:rPr>
                <w:bCs w:val="0"/>
                <w:sz w:val="18"/>
                <w:szCs w:val="18"/>
              </w:rPr>
            </w:pPr>
            <w:r w:rsidRPr="00D76805">
              <w:rPr>
                <w:bCs w:val="0"/>
                <w:sz w:val="18"/>
                <w:szCs w:val="18"/>
              </w:rPr>
              <w:t>Fasilitas pinjaman dari PT Bank Mayapada Internasional Tbk dijamin dengan:</w:t>
            </w:r>
          </w:p>
        </w:tc>
        <w:tc>
          <w:tcPr>
            <w:tcW w:w="2500" w:type="pct"/>
            <w:tcBorders>
              <w:top w:val="nil"/>
              <w:left w:val="nil"/>
              <w:bottom w:val="nil"/>
              <w:right w:val="nil"/>
            </w:tcBorders>
          </w:tcPr>
          <w:p w14:paraId="3113DDF4" w14:textId="6EF47F60" w:rsidR="0059499D" w:rsidRPr="00D76805" w:rsidRDefault="001F0862" w:rsidP="0013526B">
            <w:pPr>
              <w:ind w:left="284" w:right="-57"/>
              <w:jc w:val="both"/>
              <w:rPr>
                <w:bCs w:val="0"/>
                <w:i/>
                <w:sz w:val="18"/>
                <w:szCs w:val="18"/>
              </w:rPr>
            </w:pPr>
            <w:r w:rsidRPr="00D76805">
              <w:rPr>
                <w:i/>
                <w:sz w:val="17"/>
              </w:rPr>
              <w:t>Bank loan from PT Bank Mayapada Internasional Tbk were secured by:</w:t>
            </w:r>
          </w:p>
        </w:tc>
      </w:tr>
      <w:tr w:rsidR="0059499D" w:rsidRPr="00D76805" w14:paraId="1DF3069D" w14:textId="77777777" w:rsidTr="002108FF">
        <w:tc>
          <w:tcPr>
            <w:tcW w:w="2500" w:type="pct"/>
            <w:tcBorders>
              <w:top w:val="nil"/>
              <w:left w:val="nil"/>
              <w:bottom w:val="nil"/>
              <w:right w:val="nil"/>
            </w:tcBorders>
          </w:tcPr>
          <w:p w14:paraId="381B8C56" w14:textId="77777777" w:rsidR="0059499D" w:rsidRPr="00D76805" w:rsidRDefault="0059499D" w:rsidP="0013526B">
            <w:pPr>
              <w:ind w:left="284" w:right="-57"/>
              <w:jc w:val="both"/>
              <w:rPr>
                <w:sz w:val="18"/>
                <w:szCs w:val="18"/>
              </w:rPr>
            </w:pPr>
          </w:p>
        </w:tc>
        <w:tc>
          <w:tcPr>
            <w:tcW w:w="2500" w:type="pct"/>
            <w:tcBorders>
              <w:top w:val="nil"/>
              <w:left w:val="nil"/>
              <w:bottom w:val="nil"/>
              <w:right w:val="nil"/>
            </w:tcBorders>
          </w:tcPr>
          <w:p w14:paraId="13E39C62" w14:textId="77777777" w:rsidR="0059499D" w:rsidRPr="00D76805" w:rsidRDefault="0059499D" w:rsidP="0013526B">
            <w:pPr>
              <w:ind w:left="284" w:right="-57"/>
              <w:jc w:val="both"/>
              <w:rPr>
                <w:i/>
                <w:sz w:val="18"/>
                <w:szCs w:val="18"/>
              </w:rPr>
            </w:pPr>
          </w:p>
        </w:tc>
      </w:tr>
      <w:tr w:rsidR="0059499D" w:rsidRPr="00D76805" w14:paraId="722892DB" w14:textId="77777777" w:rsidTr="002108FF">
        <w:tc>
          <w:tcPr>
            <w:tcW w:w="2500" w:type="pct"/>
            <w:tcBorders>
              <w:top w:val="nil"/>
              <w:left w:val="nil"/>
              <w:bottom w:val="nil"/>
              <w:right w:val="nil"/>
            </w:tcBorders>
          </w:tcPr>
          <w:p w14:paraId="41449C24" w14:textId="60BF5F89" w:rsidR="0059499D" w:rsidRPr="00D76805" w:rsidRDefault="00471B9C" w:rsidP="00070D1F">
            <w:pPr>
              <w:pStyle w:val="ListParagraph"/>
              <w:numPr>
                <w:ilvl w:val="0"/>
                <w:numId w:val="260"/>
              </w:numPr>
              <w:ind w:right="-57"/>
              <w:jc w:val="both"/>
              <w:rPr>
                <w:sz w:val="18"/>
                <w:szCs w:val="18"/>
              </w:rPr>
            </w:pPr>
            <w:r>
              <w:rPr>
                <w:sz w:val="18"/>
                <w:szCs w:val="18"/>
              </w:rPr>
              <w:t>Se</w:t>
            </w:r>
            <w:r w:rsidRPr="00DE189C">
              <w:rPr>
                <w:sz w:val="18"/>
                <w:szCs w:val="18"/>
              </w:rPr>
              <w:t xml:space="preserve">bidang tanah dan bangunan </w:t>
            </w:r>
            <w:r>
              <w:rPr>
                <w:sz w:val="18"/>
                <w:szCs w:val="18"/>
              </w:rPr>
              <w:t>di Jl. Baranangsiang 97</w:t>
            </w:r>
            <w:r w:rsidR="00305CA0">
              <w:rPr>
                <w:sz w:val="18"/>
                <w:szCs w:val="18"/>
              </w:rPr>
              <w:t>.</w:t>
            </w:r>
            <w:r>
              <w:rPr>
                <w:sz w:val="18"/>
                <w:szCs w:val="18"/>
              </w:rPr>
              <w:t xml:space="preserve"> Bogor</w:t>
            </w:r>
            <w:r w:rsidR="00305CA0">
              <w:rPr>
                <w:sz w:val="18"/>
                <w:szCs w:val="18"/>
              </w:rPr>
              <w:t>.</w:t>
            </w:r>
            <w:r>
              <w:rPr>
                <w:sz w:val="18"/>
                <w:szCs w:val="18"/>
              </w:rPr>
              <w:t xml:space="preserve"> Jawa Barat. Sebagaimana diuraikan </w:t>
            </w:r>
            <w:r>
              <w:rPr>
                <w:sz w:val="18"/>
                <w:szCs w:val="18"/>
              </w:rPr>
              <w:br/>
              <w:t>dalam Sert</w:t>
            </w:r>
            <w:r w:rsidR="0014032D">
              <w:rPr>
                <w:sz w:val="18"/>
                <w:szCs w:val="18"/>
              </w:rPr>
              <w:t>i</w:t>
            </w:r>
            <w:r>
              <w:rPr>
                <w:sz w:val="18"/>
                <w:szCs w:val="18"/>
              </w:rPr>
              <w:t xml:space="preserve">pikat Hak Guna Bangunan </w:t>
            </w:r>
            <w:r>
              <w:rPr>
                <w:sz w:val="18"/>
                <w:szCs w:val="18"/>
              </w:rPr>
              <w:br/>
              <w:t>nomor 574/Baranangsiang</w:t>
            </w:r>
            <w:r w:rsidR="00305CA0">
              <w:rPr>
                <w:sz w:val="18"/>
                <w:szCs w:val="18"/>
              </w:rPr>
              <w:t>.</w:t>
            </w:r>
            <w:r>
              <w:rPr>
                <w:sz w:val="18"/>
                <w:szCs w:val="18"/>
              </w:rPr>
              <w:t xml:space="preserve"> </w:t>
            </w:r>
            <w:proofErr w:type="gramStart"/>
            <w:r>
              <w:rPr>
                <w:sz w:val="18"/>
                <w:szCs w:val="18"/>
              </w:rPr>
              <w:t>seluas</w:t>
            </w:r>
            <w:proofErr w:type="gramEnd"/>
            <w:r>
              <w:rPr>
                <w:sz w:val="18"/>
                <w:szCs w:val="18"/>
              </w:rPr>
              <w:t xml:space="preserve"> 3.180m2</w:t>
            </w:r>
            <w:r w:rsidR="00305CA0">
              <w:rPr>
                <w:sz w:val="18"/>
                <w:szCs w:val="18"/>
              </w:rPr>
              <w:t>.</w:t>
            </w:r>
            <w:r>
              <w:rPr>
                <w:sz w:val="18"/>
                <w:szCs w:val="18"/>
              </w:rPr>
              <w:t xml:space="preserve"> </w:t>
            </w:r>
            <w:proofErr w:type="gramStart"/>
            <w:r>
              <w:rPr>
                <w:sz w:val="18"/>
                <w:szCs w:val="18"/>
              </w:rPr>
              <w:t>terdaftar</w:t>
            </w:r>
            <w:proofErr w:type="gramEnd"/>
            <w:r>
              <w:rPr>
                <w:sz w:val="18"/>
                <w:szCs w:val="18"/>
              </w:rPr>
              <w:t xml:space="preserve"> atas nama PT Bogor Medical Center</w:t>
            </w:r>
            <w:r w:rsidR="00305CA0">
              <w:rPr>
                <w:sz w:val="18"/>
                <w:szCs w:val="18"/>
              </w:rPr>
              <w:t>.</w:t>
            </w:r>
            <w:r>
              <w:rPr>
                <w:sz w:val="18"/>
                <w:szCs w:val="18"/>
              </w:rPr>
              <w:t xml:space="preserve"> yang akan dibalik nama ke atas nama PT Sejahteraraya Anugrahjaya Tbk.</w:t>
            </w:r>
          </w:p>
        </w:tc>
        <w:tc>
          <w:tcPr>
            <w:tcW w:w="2500" w:type="pct"/>
            <w:tcBorders>
              <w:top w:val="nil"/>
              <w:left w:val="nil"/>
              <w:bottom w:val="nil"/>
              <w:right w:val="nil"/>
            </w:tcBorders>
          </w:tcPr>
          <w:p w14:paraId="0026F8EF" w14:textId="702B558D" w:rsidR="0059499D" w:rsidRPr="00D76805" w:rsidRDefault="00471B9C" w:rsidP="00070D1F">
            <w:pPr>
              <w:pStyle w:val="ListParagraph"/>
              <w:numPr>
                <w:ilvl w:val="0"/>
                <w:numId w:val="261"/>
              </w:numPr>
              <w:ind w:right="-57"/>
              <w:jc w:val="both"/>
              <w:rPr>
                <w:i/>
                <w:sz w:val="18"/>
                <w:szCs w:val="18"/>
              </w:rPr>
            </w:pPr>
            <w:r w:rsidRPr="00B55000">
              <w:rPr>
                <w:i/>
                <w:sz w:val="17"/>
              </w:rPr>
              <w:t>A plot of land and building on Jl. Baranangsiang 97</w:t>
            </w:r>
            <w:r w:rsidR="00305CA0">
              <w:rPr>
                <w:i/>
                <w:sz w:val="17"/>
              </w:rPr>
              <w:t>.</w:t>
            </w:r>
            <w:r w:rsidRPr="00B55000">
              <w:rPr>
                <w:i/>
                <w:sz w:val="17"/>
              </w:rPr>
              <w:t xml:space="preserve"> Bogor</w:t>
            </w:r>
            <w:r w:rsidR="00305CA0">
              <w:rPr>
                <w:i/>
                <w:sz w:val="17"/>
              </w:rPr>
              <w:t>.</w:t>
            </w:r>
            <w:r w:rsidRPr="00B55000">
              <w:rPr>
                <w:i/>
                <w:sz w:val="17"/>
              </w:rPr>
              <w:t xml:space="preserve"> West Java. As described</w:t>
            </w:r>
            <w:r>
              <w:rPr>
                <w:i/>
                <w:sz w:val="17"/>
              </w:rPr>
              <w:t xml:space="preserve"> </w:t>
            </w:r>
            <w:r w:rsidRPr="00B55000">
              <w:rPr>
                <w:i/>
                <w:sz w:val="17"/>
              </w:rPr>
              <w:t>in the Building Use Rights Certificate</w:t>
            </w:r>
            <w:r>
              <w:rPr>
                <w:i/>
                <w:sz w:val="17"/>
              </w:rPr>
              <w:t xml:space="preserve"> </w:t>
            </w:r>
            <w:r w:rsidRPr="00B55000">
              <w:rPr>
                <w:i/>
                <w:sz w:val="17"/>
              </w:rPr>
              <w:t>number 574 / Baranangsiang</w:t>
            </w:r>
            <w:r w:rsidR="00870FD0">
              <w:rPr>
                <w:i/>
                <w:sz w:val="17"/>
              </w:rPr>
              <w:t>.</w:t>
            </w:r>
            <w:r w:rsidRPr="00B55000">
              <w:rPr>
                <w:i/>
                <w:sz w:val="17"/>
              </w:rPr>
              <w:t xml:space="preserve"> </w:t>
            </w:r>
            <w:proofErr w:type="gramStart"/>
            <w:r w:rsidRPr="00B55000">
              <w:rPr>
                <w:i/>
                <w:sz w:val="17"/>
              </w:rPr>
              <w:t>covering</w:t>
            </w:r>
            <w:proofErr w:type="gramEnd"/>
            <w:r w:rsidRPr="00B55000">
              <w:rPr>
                <w:i/>
                <w:sz w:val="17"/>
              </w:rPr>
              <w:t xml:space="preserve"> 3</w:t>
            </w:r>
            <w:r w:rsidR="00305CA0">
              <w:rPr>
                <w:i/>
                <w:sz w:val="17"/>
              </w:rPr>
              <w:t>.</w:t>
            </w:r>
            <w:r w:rsidRPr="00B55000">
              <w:rPr>
                <w:i/>
                <w:sz w:val="17"/>
              </w:rPr>
              <w:t>180m2</w:t>
            </w:r>
            <w:r w:rsidR="00305CA0">
              <w:rPr>
                <w:i/>
                <w:sz w:val="17"/>
              </w:rPr>
              <w:t>.</w:t>
            </w:r>
            <w:r w:rsidRPr="00B55000">
              <w:rPr>
                <w:i/>
                <w:sz w:val="17"/>
              </w:rPr>
              <w:t xml:space="preserve"> </w:t>
            </w:r>
            <w:proofErr w:type="gramStart"/>
            <w:r w:rsidRPr="00B55000">
              <w:rPr>
                <w:i/>
                <w:sz w:val="17"/>
              </w:rPr>
              <w:t>is</w:t>
            </w:r>
            <w:proofErr w:type="gramEnd"/>
            <w:r w:rsidRPr="00B55000">
              <w:rPr>
                <w:i/>
                <w:sz w:val="17"/>
              </w:rPr>
              <w:t xml:space="preserve"> registered under the name of PT Bogor Medical Center</w:t>
            </w:r>
            <w:r w:rsidR="00305CA0">
              <w:rPr>
                <w:i/>
                <w:sz w:val="17"/>
              </w:rPr>
              <w:t>.</w:t>
            </w:r>
            <w:r w:rsidRPr="00B55000">
              <w:rPr>
                <w:i/>
                <w:sz w:val="17"/>
              </w:rPr>
              <w:t xml:space="preserve"> which will be reversed under the name of PT Sejahteraraya Anugrahjaya Tbk.</w:t>
            </w:r>
          </w:p>
        </w:tc>
      </w:tr>
    </w:tbl>
    <w:p w14:paraId="3354273B" w14:textId="3E71C93E" w:rsidR="00B74074" w:rsidRPr="00471B9C" w:rsidRDefault="00B74074">
      <w:pPr>
        <w:rPr>
          <w:sz w:val="2"/>
          <w:szCs w:val="2"/>
        </w:rPr>
      </w:pPr>
    </w:p>
    <w:tbl>
      <w:tblPr>
        <w:tblW w:w="9197" w:type="dxa"/>
        <w:tblInd w:w="392" w:type="dxa"/>
        <w:tblLook w:val="0000" w:firstRow="0" w:lastRow="0" w:firstColumn="0" w:lastColumn="0" w:noHBand="0" w:noVBand="0"/>
      </w:tblPr>
      <w:tblGrid>
        <w:gridCol w:w="4598"/>
        <w:gridCol w:w="4599"/>
      </w:tblGrid>
      <w:tr w:rsidR="00B74074" w:rsidRPr="0013526B" w14:paraId="2787F809" w14:textId="77777777" w:rsidTr="002108FF">
        <w:tc>
          <w:tcPr>
            <w:tcW w:w="2500" w:type="pct"/>
            <w:tcBorders>
              <w:top w:val="nil"/>
              <w:left w:val="nil"/>
              <w:bottom w:val="nil"/>
              <w:right w:val="nil"/>
            </w:tcBorders>
          </w:tcPr>
          <w:p w14:paraId="6233FC24" w14:textId="3DD78F40" w:rsidR="00B74074" w:rsidRPr="00FC2E6F" w:rsidRDefault="00B74074" w:rsidP="00070D1F">
            <w:pPr>
              <w:numPr>
                <w:ilvl w:val="0"/>
                <w:numId w:val="335"/>
              </w:numPr>
              <w:jc w:val="both"/>
              <w:rPr>
                <w:b/>
                <w:bCs w:val="0"/>
                <w:sz w:val="18"/>
                <w:szCs w:val="18"/>
              </w:rPr>
            </w:pPr>
            <w:r>
              <w:lastRenderedPageBreak/>
              <w:br w:type="page"/>
            </w:r>
            <w:r w:rsidRPr="00FC2E6F">
              <w:rPr>
                <w:b/>
                <w:bCs w:val="0"/>
                <w:sz w:val="18"/>
                <w:szCs w:val="18"/>
              </w:rPr>
              <w:t>UTANG BANK JANGKA PANJANG</w:t>
            </w:r>
            <w:r>
              <w:rPr>
                <w:b/>
                <w:bCs w:val="0"/>
                <w:sz w:val="18"/>
                <w:szCs w:val="18"/>
              </w:rPr>
              <w:t xml:space="preserve"> - Lanjutan</w:t>
            </w:r>
          </w:p>
        </w:tc>
        <w:tc>
          <w:tcPr>
            <w:tcW w:w="2500" w:type="pct"/>
            <w:tcBorders>
              <w:top w:val="nil"/>
              <w:left w:val="nil"/>
              <w:bottom w:val="nil"/>
              <w:right w:val="nil"/>
            </w:tcBorders>
          </w:tcPr>
          <w:p w14:paraId="7F5CD5EE" w14:textId="5E536FD1" w:rsidR="00B74074" w:rsidRPr="00FC2E6F" w:rsidRDefault="00B74074" w:rsidP="00070D1F">
            <w:pPr>
              <w:numPr>
                <w:ilvl w:val="0"/>
                <w:numId w:val="336"/>
              </w:numPr>
              <w:jc w:val="both"/>
              <w:rPr>
                <w:b/>
                <w:bCs w:val="0"/>
                <w:i/>
                <w:sz w:val="18"/>
                <w:szCs w:val="18"/>
              </w:rPr>
            </w:pPr>
            <w:r w:rsidRPr="00FC2E6F">
              <w:rPr>
                <w:b/>
                <w:bCs w:val="0"/>
                <w:i/>
                <w:sz w:val="18"/>
                <w:szCs w:val="18"/>
              </w:rPr>
              <w:t>LONG TERM BANK LOANS</w:t>
            </w:r>
            <w:r>
              <w:rPr>
                <w:b/>
                <w:bCs w:val="0"/>
                <w:i/>
                <w:sz w:val="18"/>
                <w:szCs w:val="18"/>
              </w:rPr>
              <w:t xml:space="preserve"> - Continued</w:t>
            </w:r>
          </w:p>
        </w:tc>
      </w:tr>
      <w:tr w:rsidR="00B74074" w:rsidRPr="00471B9C" w14:paraId="352C7BB1" w14:textId="77777777" w:rsidTr="002108FF">
        <w:tc>
          <w:tcPr>
            <w:tcW w:w="2500" w:type="pct"/>
            <w:tcBorders>
              <w:top w:val="nil"/>
              <w:left w:val="nil"/>
              <w:bottom w:val="nil"/>
              <w:right w:val="nil"/>
            </w:tcBorders>
          </w:tcPr>
          <w:p w14:paraId="3C800305" w14:textId="77777777" w:rsidR="00B74074" w:rsidRPr="00471B9C" w:rsidRDefault="00B74074" w:rsidP="00B74074">
            <w:pPr>
              <w:ind w:left="252"/>
              <w:jc w:val="both"/>
              <w:rPr>
                <w:b/>
                <w:bCs w:val="0"/>
                <w:sz w:val="10"/>
                <w:szCs w:val="10"/>
              </w:rPr>
            </w:pPr>
          </w:p>
        </w:tc>
        <w:tc>
          <w:tcPr>
            <w:tcW w:w="2500" w:type="pct"/>
            <w:tcBorders>
              <w:top w:val="nil"/>
              <w:left w:val="nil"/>
              <w:bottom w:val="nil"/>
              <w:right w:val="nil"/>
            </w:tcBorders>
          </w:tcPr>
          <w:p w14:paraId="1600BBAC" w14:textId="77777777" w:rsidR="00B74074" w:rsidRPr="00471B9C" w:rsidRDefault="00B74074" w:rsidP="00B74074">
            <w:pPr>
              <w:ind w:left="252"/>
              <w:jc w:val="both"/>
              <w:rPr>
                <w:b/>
                <w:bCs w:val="0"/>
                <w:i/>
                <w:sz w:val="10"/>
                <w:szCs w:val="10"/>
              </w:rPr>
            </w:pPr>
          </w:p>
        </w:tc>
      </w:tr>
      <w:tr w:rsidR="00B74074" w:rsidRPr="0013526B" w14:paraId="195C177D" w14:textId="77777777" w:rsidTr="002108FF">
        <w:tc>
          <w:tcPr>
            <w:tcW w:w="2500" w:type="pct"/>
            <w:tcBorders>
              <w:top w:val="nil"/>
              <w:left w:val="nil"/>
              <w:bottom w:val="nil"/>
              <w:right w:val="nil"/>
            </w:tcBorders>
          </w:tcPr>
          <w:p w14:paraId="3AAED483" w14:textId="624B1158" w:rsidR="00B74074" w:rsidRPr="00B74074" w:rsidRDefault="00B74074" w:rsidP="00B74074">
            <w:pPr>
              <w:ind w:left="252" w:hanging="17"/>
              <w:jc w:val="both"/>
              <w:rPr>
                <w:b/>
                <w:bCs w:val="0"/>
                <w:sz w:val="18"/>
                <w:szCs w:val="18"/>
              </w:rPr>
            </w:pPr>
            <w:r w:rsidRPr="00B74074">
              <w:rPr>
                <w:b/>
                <w:bCs w:val="0"/>
                <w:sz w:val="18"/>
                <w:szCs w:val="18"/>
              </w:rPr>
              <w:t>Pinjaman bank</w:t>
            </w:r>
            <w:r>
              <w:rPr>
                <w:b/>
                <w:bCs w:val="0"/>
                <w:sz w:val="18"/>
                <w:szCs w:val="18"/>
              </w:rPr>
              <w:t xml:space="preserve"> - Lanjutan</w:t>
            </w:r>
          </w:p>
        </w:tc>
        <w:tc>
          <w:tcPr>
            <w:tcW w:w="2500" w:type="pct"/>
            <w:tcBorders>
              <w:top w:val="nil"/>
              <w:left w:val="nil"/>
              <w:bottom w:val="nil"/>
              <w:right w:val="nil"/>
            </w:tcBorders>
          </w:tcPr>
          <w:p w14:paraId="601B7B75" w14:textId="471C3F0D" w:rsidR="00B74074" w:rsidRPr="00B74074" w:rsidRDefault="00B74074" w:rsidP="00B74074">
            <w:pPr>
              <w:ind w:left="232" w:firstLine="43"/>
              <w:jc w:val="both"/>
              <w:rPr>
                <w:b/>
                <w:bCs w:val="0"/>
                <w:i/>
                <w:sz w:val="18"/>
                <w:szCs w:val="18"/>
              </w:rPr>
            </w:pPr>
            <w:r w:rsidRPr="00B74074">
              <w:rPr>
                <w:b/>
                <w:bCs w:val="0"/>
                <w:i/>
                <w:sz w:val="18"/>
                <w:szCs w:val="18"/>
              </w:rPr>
              <w:t>Bank loan</w:t>
            </w:r>
            <w:r>
              <w:rPr>
                <w:b/>
                <w:bCs w:val="0"/>
                <w:i/>
                <w:sz w:val="18"/>
                <w:szCs w:val="18"/>
              </w:rPr>
              <w:t xml:space="preserve"> - Continued</w:t>
            </w:r>
          </w:p>
        </w:tc>
      </w:tr>
    </w:tbl>
    <w:p w14:paraId="035D47BF" w14:textId="77777777" w:rsidR="00B74074" w:rsidRPr="00B74074" w:rsidRDefault="00B74074">
      <w:pPr>
        <w:rPr>
          <w:sz w:val="2"/>
          <w:szCs w:val="2"/>
        </w:rPr>
      </w:pPr>
    </w:p>
    <w:tbl>
      <w:tblPr>
        <w:tblW w:w="9225" w:type="dxa"/>
        <w:tblInd w:w="364" w:type="dxa"/>
        <w:tblLook w:val="0000" w:firstRow="0" w:lastRow="0" w:firstColumn="0" w:lastColumn="0" w:noHBand="0" w:noVBand="0"/>
      </w:tblPr>
      <w:tblGrid>
        <w:gridCol w:w="27"/>
        <w:gridCol w:w="4570"/>
        <w:gridCol w:w="28"/>
        <w:gridCol w:w="4572"/>
        <w:gridCol w:w="28"/>
      </w:tblGrid>
      <w:tr w:rsidR="0059499D" w:rsidRPr="00471B9C" w14:paraId="7D744E4D" w14:textId="77777777" w:rsidTr="00471B9C">
        <w:trPr>
          <w:gridBefore w:val="1"/>
          <w:wBefore w:w="15" w:type="pct"/>
        </w:trPr>
        <w:tc>
          <w:tcPr>
            <w:tcW w:w="2492" w:type="pct"/>
            <w:gridSpan w:val="2"/>
            <w:tcBorders>
              <w:top w:val="nil"/>
              <w:left w:val="nil"/>
              <w:bottom w:val="nil"/>
              <w:right w:val="nil"/>
            </w:tcBorders>
          </w:tcPr>
          <w:p w14:paraId="7EF24210" w14:textId="77777777" w:rsidR="0059499D" w:rsidRPr="00471B9C" w:rsidRDefault="0059499D" w:rsidP="0013526B">
            <w:pPr>
              <w:ind w:left="284" w:right="-57"/>
              <w:jc w:val="both"/>
              <w:rPr>
                <w:sz w:val="10"/>
                <w:szCs w:val="10"/>
              </w:rPr>
            </w:pPr>
          </w:p>
        </w:tc>
        <w:tc>
          <w:tcPr>
            <w:tcW w:w="2493" w:type="pct"/>
            <w:gridSpan w:val="2"/>
            <w:tcBorders>
              <w:top w:val="nil"/>
              <w:left w:val="nil"/>
              <w:bottom w:val="nil"/>
              <w:right w:val="nil"/>
            </w:tcBorders>
          </w:tcPr>
          <w:p w14:paraId="2EDD5E38" w14:textId="77777777" w:rsidR="0059499D" w:rsidRPr="00471B9C" w:rsidRDefault="0059499D" w:rsidP="0013526B">
            <w:pPr>
              <w:ind w:left="284" w:right="-57"/>
              <w:jc w:val="both"/>
              <w:rPr>
                <w:i/>
                <w:sz w:val="10"/>
                <w:szCs w:val="10"/>
              </w:rPr>
            </w:pPr>
          </w:p>
        </w:tc>
      </w:tr>
      <w:tr w:rsidR="00471B9C" w:rsidRPr="00D76805" w14:paraId="62DBC021" w14:textId="77777777" w:rsidTr="00471B9C">
        <w:trPr>
          <w:gridAfter w:val="1"/>
          <w:wAfter w:w="15" w:type="pct"/>
        </w:trPr>
        <w:tc>
          <w:tcPr>
            <w:tcW w:w="2492" w:type="pct"/>
            <w:gridSpan w:val="2"/>
            <w:tcBorders>
              <w:top w:val="nil"/>
              <w:left w:val="nil"/>
              <w:bottom w:val="nil"/>
              <w:right w:val="nil"/>
            </w:tcBorders>
          </w:tcPr>
          <w:p w14:paraId="4F067CFD" w14:textId="44A37AC8" w:rsidR="00471B9C" w:rsidRPr="00D76805" w:rsidRDefault="00471B9C" w:rsidP="00D0517D">
            <w:pPr>
              <w:ind w:left="284" w:right="-57"/>
              <w:jc w:val="both"/>
              <w:rPr>
                <w:bCs w:val="0"/>
                <w:sz w:val="18"/>
                <w:szCs w:val="18"/>
                <w:u w:val="single"/>
              </w:rPr>
            </w:pPr>
            <w:r w:rsidRPr="00D76805">
              <w:rPr>
                <w:bCs w:val="0"/>
                <w:sz w:val="18"/>
                <w:szCs w:val="18"/>
                <w:u w:val="single"/>
              </w:rPr>
              <w:t>Agunan</w:t>
            </w:r>
            <w:r>
              <w:rPr>
                <w:bCs w:val="0"/>
                <w:sz w:val="18"/>
                <w:szCs w:val="18"/>
                <w:u w:val="single"/>
              </w:rPr>
              <w:t xml:space="preserve"> - Lanjutan</w:t>
            </w:r>
          </w:p>
        </w:tc>
        <w:tc>
          <w:tcPr>
            <w:tcW w:w="2493" w:type="pct"/>
            <w:gridSpan w:val="2"/>
            <w:tcBorders>
              <w:top w:val="nil"/>
              <w:left w:val="nil"/>
              <w:bottom w:val="nil"/>
              <w:right w:val="nil"/>
            </w:tcBorders>
          </w:tcPr>
          <w:p w14:paraId="46F5E840" w14:textId="2FCAB0CC" w:rsidR="00471B9C" w:rsidRPr="00D76805" w:rsidRDefault="00471B9C" w:rsidP="00D0517D">
            <w:pPr>
              <w:ind w:left="284" w:right="-57"/>
              <w:jc w:val="both"/>
              <w:rPr>
                <w:bCs w:val="0"/>
                <w:i/>
                <w:sz w:val="18"/>
                <w:szCs w:val="18"/>
                <w:u w:val="single"/>
              </w:rPr>
            </w:pPr>
            <w:r w:rsidRPr="00D76805">
              <w:rPr>
                <w:bCs w:val="0"/>
                <w:i/>
                <w:sz w:val="18"/>
                <w:szCs w:val="18"/>
                <w:u w:val="single"/>
              </w:rPr>
              <w:t>Collaterals</w:t>
            </w:r>
            <w:r>
              <w:rPr>
                <w:bCs w:val="0"/>
                <w:i/>
                <w:sz w:val="18"/>
                <w:szCs w:val="18"/>
                <w:u w:val="single"/>
              </w:rPr>
              <w:t xml:space="preserve"> - Continued</w:t>
            </w:r>
          </w:p>
        </w:tc>
      </w:tr>
      <w:tr w:rsidR="001F0862" w:rsidRPr="00471B9C" w14:paraId="11608943" w14:textId="77777777" w:rsidTr="00471B9C">
        <w:trPr>
          <w:gridBefore w:val="1"/>
          <w:wBefore w:w="15" w:type="pct"/>
        </w:trPr>
        <w:tc>
          <w:tcPr>
            <w:tcW w:w="2492" w:type="pct"/>
            <w:gridSpan w:val="2"/>
            <w:tcBorders>
              <w:top w:val="nil"/>
              <w:left w:val="nil"/>
              <w:bottom w:val="nil"/>
              <w:right w:val="nil"/>
            </w:tcBorders>
          </w:tcPr>
          <w:p w14:paraId="0F0F5699" w14:textId="2C9B8356" w:rsidR="001F0862" w:rsidRPr="00471B9C" w:rsidRDefault="001F0862" w:rsidP="0013526B">
            <w:pPr>
              <w:ind w:left="284" w:right="-57"/>
              <w:jc w:val="both"/>
              <w:rPr>
                <w:sz w:val="10"/>
                <w:szCs w:val="10"/>
              </w:rPr>
            </w:pPr>
          </w:p>
        </w:tc>
        <w:tc>
          <w:tcPr>
            <w:tcW w:w="2493" w:type="pct"/>
            <w:gridSpan w:val="2"/>
            <w:tcBorders>
              <w:top w:val="nil"/>
              <w:left w:val="nil"/>
              <w:bottom w:val="nil"/>
              <w:right w:val="nil"/>
            </w:tcBorders>
          </w:tcPr>
          <w:p w14:paraId="5A79E55A" w14:textId="119F7015" w:rsidR="001F0862" w:rsidRPr="00471B9C" w:rsidRDefault="001F0862" w:rsidP="0013526B">
            <w:pPr>
              <w:ind w:left="284" w:right="-57"/>
              <w:jc w:val="both"/>
              <w:rPr>
                <w:i/>
                <w:sz w:val="10"/>
                <w:szCs w:val="10"/>
              </w:rPr>
            </w:pPr>
          </w:p>
        </w:tc>
      </w:tr>
      <w:tr w:rsidR="001F0862" w:rsidRPr="00471B9C" w14:paraId="04B91DF2" w14:textId="77777777" w:rsidTr="00471B9C">
        <w:trPr>
          <w:gridBefore w:val="1"/>
          <w:wBefore w:w="15" w:type="pct"/>
        </w:trPr>
        <w:tc>
          <w:tcPr>
            <w:tcW w:w="2492" w:type="pct"/>
            <w:gridSpan w:val="2"/>
            <w:tcBorders>
              <w:top w:val="nil"/>
              <w:left w:val="nil"/>
              <w:bottom w:val="nil"/>
              <w:right w:val="nil"/>
            </w:tcBorders>
          </w:tcPr>
          <w:p w14:paraId="3F7E8178" w14:textId="1155F75B" w:rsidR="001F0862" w:rsidRPr="0013526B" w:rsidRDefault="00471B9C" w:rsidP="00070D1F">
            <w:pPr>
              <w:pStyle w:val="ListParagraph"/>
              <w:numPr>
                <w:ilvl w:val="0"/>
                <w:numId w:val="260"/>
              </w:numPr>
              <w:ind w:right="-57"/>
              <w:jc w:val="both"/>
              <w:rPr>
                <w:sz w:val="18"/>
                <w:szCs w:val="18"/>
              </w:rPr>
            </w:pPr>
            <w:r>
              <w:rPr>
                <w:sz w:val="18"/>
                <w:szCs w:val="18"/>
              </w:rPr>
              <w:t>Se</w:t>
            </w:r>
            <w:r w:rsidRPr="00DE189C">
              <w:rPr>
                <w:sz w:val="18"/>
                <w:szCs w:val="18"/>
              </w:rPr>
              <w:t xml:space="preserve">bidang tanah dan bangunan </w:t>
            </w:r>
            <w:r>
              <w:rPr>
                <w:sz w:val="18"/>
                <w:szCs w:val="18"/>
              </w:rPr>
              <w:t>di Jl. Pajajaran Indah V No 95</w:t>
            </w:r>
            <w:r w:rsidR="00305CA0">
              <w:rPr>
                <w:sz w:val="18"/>
                <w:szCs w:val="18"/>
              </w:rPr>
              <w:t>.</w:t>
            </w:r>
            <w:r>
              <w:rPr>
                <w:sz w:val="18"/>
                <w:szCs w:val="18"/>
              </w:rPr>
              <w:t xml:space="preserve"> Bogor</w:t>
            </w:r>
            <w:r w:rsidR="00305CA0">
              <w:rPr>
                <w:sz w:val="18"/>
                <w:szCs w:val="18"/>
              </w:rPr>
              <w:t>.</w:t>
            </w:r>
            <w:r>
              <w:rPr>
                <w:sz w:val="18"/>
                <w:szCs w:val="18"/>
              </w:rPr>
              <w:t xml:space="preserve"> Jawa Barat. Sebagaimana diuraikan </w:t>
            </w:r>
            <w:r>
              <w:rPr>
                <w:sz w:val="18"/>
                <w:szCs w:val="18"/>
              </w:rPr>
              <w:br/>
              <w:t>dalam Sert</w:t>
            </w:r>
            <w:r w:rsidR="0014032D">
              <w:rPr>
                <w:sz w:val="18"/>
                <w:szCs w:val="18"/>
              </w:rPr>
              <w:t>i</w:t>
            </w:r>
            <w:r>
              <w:rPr>
                <w:sz w:val="18"/>
                <w:szCs w:val="18"/>
              </w:rPr>
              <w:t xml:space="preserve">pikat Hak Guna Bangunan </w:t>
            </w:r>
            <w:r>
              <w:rPr>
                <w:sz w:val="18"/>
                <w:szCs w:val="18"/>
              </w:rPr>
              <w:br/>
              <w:t>nomor 575/Baranangsiang</w:t>
            </w:r>
            <w:r w:rsidR="00305CA0">
              <w:rPr>
                <w:sz w:val="18"/>
                <w:szCs w:val="18"/>
              </w:rPr>
              <w:t>.</w:t>
            </w:r>
            <w:r>
              <w:rPr>
                <w:sz w:val="18"/>
                <w:szCs w:val="18"/>
              </w:rPr>
              <w:t xml:space="preserve"> </w:t>
            </w:r>
            <w:proofErr w:type="gramStart"/>
            <w:r>
              <w:rPr>
                <w:sz w:val="18"/>
                <w:szCs w:val="18"/>
              </w:rPr>
              <w:t>seluas</w:t>
            </w:r>
            <w:proofErr w:type="gramEnd"/>
            <w:r>
              <w:rPr>
                <w:sz w:val="18"/>
                <w:szCs w:val="18"/>
              </w:rPr>
              <w:t xml:space="preserve"> 90m2</w:t>
            </w:r>
            <w:r w:rsidR="00305CA0">
              <w:rPr>
                <w:sz w:val="18"/>
                <w:szCs w:val="18"/>
              </w:rPr>
              <w:t>.</w:t>
            </w:r>
            <w:r>
              <w:rPr>
                <w:sz w:val="18"/>
                <w:szCs w:val="18"/>
              </w:rPr>
              <w:t xml:space="preserve"> </w:t>
            </w:r>
            <w:proofErr w:type="gramStart"/>
            <w:r>
              <w:rPr>
                <w:sz w:val="18"/>
                <w:szCs w:val="18"/>
              </w:rPr>
              <w:t>terdaftar</w:t>
            </w:r>
            <w:proofErr w:type="gramEnd"/>
            <w:r>
              <w:rPr>
                <w:sz w:val="18"/>
                <w:szCs w:val="18"/>
              </w:rPr>
              <w:t xml:space="preserve"> atas nama PT Bogor Medical Center</w:t>
            </w:r>
            <w:r w:rsidR="00305CA0">
              <w:rPr>
                <w:sz w:val="18"/>
                <w:szCs w:val="18"/>
              </w:rPr>
              <w:t>.</w:t>
            </w:r>
            <w:r>
              <w:rPr>
                <w:sz w:val="18"/>
                <w:szCs w:val="18"/>
              </w:rPr>
              <w:t xml:space="preserve"> yang akan dibalik nama ke atas nama PT Sejahteraraya Anugrahjaya Tbk.</w:t>
            </w:r>
          </w:p>
        </w:tc>
        <w:tc>
          <w:tcPr>
            <w:tcW w:w="2493" w:type="pct"/>
            <w:gridSpan w:val="2"/>
            <w:tcBorders>
              <w:top w:val="nil"/>
              <w:left w:val="nil"/>
              <w:bottom w:val="nil"/>
              <w:right w:val="nil"/>
            </w:tcBorders>
          </w:tcPr>
          <w:p w14:paraId="73399FEC" w14:textId="5F487D42" w:rsidR="001F0862" w:rsidRPr="00471B9C" w:rsidRDefault="00471B9C" w:rsidP="00070D1F">
            <w:pPr>
              <w:pStyle w:val="ListParagraph"/>
              <w:numPr>
                <w:ilvl w:val="0"/>
                <w:numId w:val="373"/>
              </w:numPr>
              <w:ind w:right="-57"/>
              <w:jc w:val="both"/>
              <w:rPr>
                <w:sz w:val="18"/>
                <w:szCs w:val="18"/>
              </w:rPr>
            </w:pPr>
            <w:r w:rsidRPr="00B55000">
              <w:rPr>
                <w:i/>
                <w:sz w:val="17"/>
              </w:rPr>
              <w:t>A plot of land and building on Jl. Pajajaran Indah V</w:t>
            </w:r>
            <w:r>
              <w:rPr>
                <w:i/>
                <w:sz w:val="17"/>
              </w:rPr>
              <w:t xml:space="preserve"> </w:t>
            </w:r>
            <w:r>
              <w:rPr>
                <w:i/>
                <w:sz w:val="17"/>
              </w:rPr>
              <w:br/>
            </w:r>
            <w:r w:rsidRPr="00B55000">
              <w:rPr>
                <w:i/>
                <w:sz w:val="17"/>
              </w:rPr>
              <w:t>No 95</w:t>
            </w:r>
            <w:r w:rsidR="00305CA0">
              <w:rPr>
                <w:i/>
                <w:sz w:val="17"/>
              </w:rPr>
              <w:t>.</w:t>
            </w:r>
            <w:r w:rsidRPr="00B55000">
              <w:rPr>
                <w:i/>
                <w:sz w:val="17"/>
              </w:rPr>
              <w:t xml:space="preserve"> Bogor</w:t>
            </w:r>
            <w:r w:rsidR="00305CA0">
              <w:rPr>
                <w:i/>
                <w:sz w:val="17"/>
              </w:rPr>
              <w:t>.</w:t>
            </w:r>
            <w:r w:rsidRPr="00B55000">
              <w:rPr>
                <w:i/>
                <w:sz w:val="17"/>
              </w:rPr>
              <w:t xml:space="preserve"> West Java. As described</w:t>
            </w:r>
            <w:r>
              <w:rPr>
                <w:i/>
                <w:sz w:val="17"/>
              </w:rPr>
              <w:t xml:space="preserve"> </w:t>
            </w:r>
            <w:r w:rsidRPr="00B55000">
              <w:rPr>
                <w:i/>
                <w:sz w:val="17"/>
              </w:rPr>
              <w:t>in the Building Use Rights Certificate</w:t>
            </w:r>
            <w:r>
              <w:rPr>
                <w:i/>
                <w:sz w:val="17"/>
              </w:rPr>
              <w:t xml:space="preserve"> </w:t>
            </w:r>
            <w:r w:rsidRPr="00B55000">
              <w:rPr>
                <w:i/>
                <w:sz w:val="17"/>
              </w:rPr>
              <w:t>number 575 / Baranangsiang</w:t>
            </w:r>
            <w:r w:rsidR="00066561">
              <w:rPr>
                <w:i/>
                <w:sz w:val="17"/>
              </w:rPr>
              <w:t>m</w:t>
            </w:r>
            <w:r w:rsidRPr="00B55000">
              <w:rPr>
                <w:i/>
                <w:sz w:val="17"/>
              </w:rPr>
              <w:t xml:space="preserve"> covering an area of 90m2</w:t>
            </w:r>
            <w:r w:rsidR="00305CA0">
              <w:rPr>
                <w:i/>
                <w:sz w:val="17"/>
              </w:rPr>
              <w:t>.</w:t>
            </w:r>
            <w:r w:rsidRPr="00B55000">
              <w:rPr>
                <w:i/>
                <w:sz w:val="17"/>
              </w:rPr>
              <w:t xml:space="preserve"> </w:t>
            </w:r>
            <w:proofErr w:type="gramStart"/>
            <w:r w:rsidRPr="00B55000">
              <w:rPr>
                <w:i/>
                <w:sz w:val="17"/>
              </w:rPr>
              <w:t>registered</w:t>
            </w:r>
            <w:proofErr w:type="gramEnd"/>
            <w:r w:rsidRPr="00B55000">
              <w:rPr>
                <w:i/>
                <w:sz w:val="17"/>
              </w:rPr>
              <w:t xml:space="preserve"> under the name of PT Bogor Medical Center</w:t>
            </w:r>
            <w:r w:rsidR="00305CA0">
              <w:rPr>
                <w:i/>
                <w:sz w:val="17"/>
              </w:rPr>
              <w:t>.</w:t>
            </w:r>
            <w:r w:rsidRPr="00B55000">
              <w:rPr>
                <w:i/>
                <w:sz w:val="17"/>
              </w:rPr>
              <w:t xml:space="preserve"> which will be reversed by name on behalf of PT Sejahteraraya Anugrahjaya Tbk.</w:t>
            </w:r>
          </w:p>
        </w:tc>
      </w:tr>
      <w:tr w:rsidR="001F0862" w:rsidRPr="00471B9C" w14:paraId="5FB04211" w14:textId="77777777" w:rsidTr="00471B9C">
        <w:trPr>
          <w:gridBefore w:val="1"/>
          <w:wBefore w:w="15" w:type="pct"/>
        </w:trPr>
        <w:tc>
          <w:tcPr>
            <w:tcW w:w="2492" w:type="pct"/>
            <w:gridSpan w:val="2"/>
            <w:tcBorders>
              <w:top w:val="nil"/>
              <w:left w:val="nil"/>
              <w:bottom w:val="nil"/>
              <w:right w:val="nil"/>
            </w:tcBorders>
          </w:tcPr>
          <w:p w14:paraId="4CBE6E1B" w14:textId="5723487E" w:rsidR="001F0862" w:rsidRPr="00471B9C" w:rsidRDefault="001F0862" w:rsidP="0013526B">
            <w:pPr>
              <w:ind w:left="284" w:right="-57"/>
              <w:jc w:val="both"/>
              <w:rPr>
                <w:sz w:val="10"/>
                <w:szCs w:val="10"/>
                <w:u w:val="single"/>
              </w:rPr>
            </w:pPr>
          </w:p>
        </w:tc>
        <w:tc>
          <w:tcPr>
            <w:tcW w:w="2493" w:type="pct"/>
            <w:gridSpan w:val="2"/>
            <w:tcBorders>
              <w:top w:val="nil"/>
              <w:left w:val="nil"/>
              <w:bottom w:val="nil"/>
              <w:right w:val="nil"/>
            </w:tcBorders>
          </w:tcPr>
          <w:p w14:paraId="4092ED8E" w14:textId="650A4C70" w:rsidR="001F0862" w:rsidRPr="00471B9C" w:rsidRDefault="001F0862" w:rsidP="0013526B">
            <w:pPr>
              <w:ind w:left="284" w:right="-57"/>
              <w:jc w:val="both"/>
              <w:rPr>
                <w:i/>
                <w:sz w:val="10"/>
                <w:szCs w:val="10"/>
                <w:u w:val="single"/>
              </w:rPr>
            </w:pPr>
          </w:p>
        </w:tc>
      </w:tr>
      <w:tr w:rsidR="00471B9C" w:rsidRPr="00471B9C" w14:paraId="5088F90B" w14:textId="77777777" w:rsidTr="00471B9C">
        <w:trPr>
          <w:gridBefore w:val="1"/>
          <w:wBefore w:w="15" w:type="pct"/>
        </w:trPr>
        <w:tc>
          <w:tcPr>
            <w:tcW w:w="2492" w:type="pct"/>
            <w:gridSpan w:val="2"/>
            <w:tcBorders>
              <w:top w:val="nil"/>
              <w:left w:val="nil"/>
              <w:bottom w:val="nil"/>
              <w:right w:val="nil"/>
            </w:tcBorders>
          </w:tcPr>
          <w:p w14:paraId="6AE988A2" w14:textId="6CF13148" w:rsidR="00471B9C" w:rsidRPr="00471B9C" w:rsidRDefault="00471B9C" w:rsidP="00070D1F">
            <w:pPr>
              <w:pStyle w:val="ListParagraph"/>
              <w:numPr>
                <w:ilvl w:val="0"/>
                <w:numId w:val="260"/>
              </w:numPr>
              <w:ind w:right="-57"/>
              <w:jc w:val="both"/>
              <w:rPr>
                <w:sz w:val="18"/>
                <w:szCs w:val="18"/>
              </w:rPr>
            </w:pPr>
            <w:r>
              <w:rPr>
                <w:sz w:val="18"/>
                <w:szCs w:val="18"/>
              </w:rPr>
              <w:t>Se</w:t>
            </w:r>
            <w:r w:rsidRPr="00DE189C">
              <w:rPr>
                <w:sz w:val="18"/>
                <w:szCs w:val="18"/>
              </w:rPr>
              <w:t xml:space="preserve">bidang tanah dan bangunan </w:t>
            </w:r>
            <w:r>
              <w:rPr>
                <w:sz w:val="18"/>
                <w:szCs w:val="18"/>
              </w:rPr>
              <w:t>di Jl. Baranangsiang Rt.01/11</w:t>
            </w:r>
            <w:r w:rsidR="00305CA0">
              <w:rPr>
                <w:sz w:val="18"/>
                <w:szCs w:val="18"/>
              </w:rPr>
              <w:t>.</w:t>
            </w:r>
            <w:r>
              <w:rPr>
                <w:sz w:val="18"/>
                <w:szCs w:val="18"/>
              </w:rPr>
              <w:t xml:space="preserve"> Bogor</w:t>
            </w:r>
            <w:r w:rsidR="00305CA0">
              <w:rPr>
                <w:sz w:val="18"/>
                <w:szCs w:val="18"/>
              </w:rPr>
              <w:t>.</w:t>
            </w:r>
            <w:r>
              <w:rPr>
                <w:sz w:val="18"/>
                <w:szCs w:val="18"/>
              </w:rPr>
              <w:t xml:space="preserve"> Jawa Barat. Sebagaimana diuraikan </w:t>
            </w:r>
            <w:r>
              <w:rPr>
                <w:sz w:val="18"/>
                <w:szCs w:val="18"/>
              </w:rPr>
              <w:br/>
              <w:t>dalam Sert</w:t>
            </w:r>
            <w:r w:rsidR="0014032D">
              <w:rPr>
                <w:sz w:val="18"/>
                <w:szCs w:val="18"/>
              </w:rPr>
              <w:t>i</w:t>
            </w:r>
            <w:r>
              <w:rPr>
                <w:sz w:val="18"/>
                <w:szCs w:val="18"/>
              </w:rPr>
              <w:t xml:space="preserve">pikat Hak Guna Bangunan </w:t>
            </w:r>
            <w:r>
              <w:rPr>
                <w:sz w:val="18"/>
                <w:szCs w:val="18"/>
              </w:rPr>
              <w:br/>
              <w:t>nomor 675/Baranangsiang</w:t>
            </w:r>
            <w:r w:rsidR="00305CA0">
              <w:rPr>
                <w:sz w:val="18"/>
                <w:szCs w:val="18"/>
              </w:rPr>
              <w:t>.</w:t>
            </w:r>
            <w:r>
              <w:rPr>
                <w:sz w:val="18"/>
                <w:szCs w:val="18"/>
              </w:rPr>
              <w:t xml:space="preserve"> </w:t>
            </w:r>
            <w:proofErr w:type="gramStart"/>
            <w:r>
              <w:rPr>
                <w:sz w:val="18"/>
                <w:szCs w:val="18"/>
              </w:rPr>
              <w:t>seluas</w:t>
            </w:r>
            <w:proofErr w:type="gramEnd"/>
            <w:r>
              <w:rPr>
                <w:sz w:val="18"/>
                <w:szCs w:val="18"/>
              </w:rPr>
              <w:t xml:space="preserve"> 772m2</w:t>
            </w:r>
            <w:r w:rsidR="00305CA0">
              <w:rPr>
                <w:sz w:val="18"/>
                <w:szCs w:val="18"/>
              </w:rPr>
              <w:t>.</w:t>
            </w:r>
            <w:r>
              <w:rPr>
                <w:sz w:val="18"/>
                <w:szCs w:val="18"/>
              </w:rPr>
              <w:t xml:space="preserve"> </w:t>
            </w:r>
            <w:proofErr w:type="gramStart"/>
            <w:r>
              <w:rPr>
                <w:sz w:val="18"/>
                <w:szCs w:val="18"/>
              </w:rPr>
              <w:t>terdaftar</w:t>
            </w:r>
            <w:proofErr w:type="gramEnd"/>
            <w:r>
              <w:rPr>
                <w:sz w:val="18"/>
                <w:szCs w:val="18"/>
              </w:rPr>
              <w:t xml:space="preserve"> atas nama PT Bogor Medical Center</w:t>
            </w:r>
            <w:r w:rsidR="00305CA0">
              <w:rPr>
                <w:sz w:val="18"/>
                <w:szCs w:val="18"/>
              </w:rPr>
              <w:t>.</w:t>
            </w:r>
            <w:r>
              <w:rPr>
                <w:sz w:val="18"/>
                <w:szCs w:val="18"/>
              </w:rPr>
              <w:t xml:space="preserve"> yang akan dibalik nama ke atas nama PT Sejahteraraya Anugrahjaya Tbk.</w:t>
            </w:r>
          </w:p>
        </w:tc>
        <w:tc>
          <w:tcPr>
            <w:tcW w:w="2493" w:type="pct"/>
            <w:gridSpan w:val="2"/>
            <w:tcBorders>
              <w:top w:val="nil"/>
              <w:left w:val="nil"/>
              <w:bottom w:val="nil"/>
              <w:right w:val="nil"/>
            </w:tcBorders>
          </w:tcPr>
          <w:p w14:paraId="1C2B9F3F" w14:textId="018553F1" w:rsidR="00471B9C" w:rsidRPr="00471B9C" w:rsidRDefault="00471B9C" w:rsidP="00070D1F">
            <w:pPr>
              <w:pStyle w:val="ListParagraph"/>
              <w:numPr>
                <w:ilvl w:val="0"/>
                <w:numId w:val="373"/>
              </w:numPr>
              <w:ind w:right="-57"/>
              <w:jc w:val="both"/>
              <w:rPr>
                <w:sz w:val="18"/>
                <w:szCs w:val="18"/>
              </w:rPr>
            </w:pPr>
            <w:r w:rsidRPr="00781072">
              <w:rPr>
                <w:i/>
                <w:sz w:val="17"/>
              </w:rPr>
              <w:t xml:space="preserve">A plot of land and building on Jl. Baranangsiang </w:t>
            </w:r>
            <w:r>
              <w:rPr>
                <w:i/>
                <w:sz w:val="17"/>
              </w:rPr>
              <w:br/>
            </w:r>
            <w:r w:rsidRPr="00781072">
              <w:rPr>
                <w:i/>
                <w:sz w:val="17"/>
              </w:rPr>
              <w:t>Rt.01/11</w:t>
            </w:r>
            <w:r w:rsidR="00305CA0">
              <w:rPr>
                <w:i/>
                <w:sz w:val="17"/>
              </w:rPr>
              <w:t>.</w:t>
            </w:r>
            <w:r w:rsidRPr="00781072">
              <w:rPr>
                <w:i/>
                <w:sz w:val="17"/>
              </w:rPr>
              <w:t xml:space="preserve"> Bogor</w:t>
            </w:r>
            <w:r w:rsidR="00305CA0">
              <w:rPr>
                <w:i/>
                <w:sz w:val="17"/>
              </w:rPr>
              <w:t>.</w:t>
            </w:r>
            <w:r w:rsidRPr="00781072">
              <w:rPr>
                <w:i/>
                <w:sz w:val="17"/>
              </w:rPr>
              <w:t xml:space="preserve"> West Java. As described</w:t>
            </w:r>
            <w:r>
              <w:rPr>
                <w:i/>
                <w:sz w:val="17"/>
              </w:rPr>
              <w:t xml:space="preserve"> </w:t>
            </w:r>
            <w:r w:rsidRPr="00781072">
              <w:rPr>
                <w:i/>
                <w:sz w:val="17"/>
              </w:rPr>
              <w:t>in the Building Use Rights Certificate</w:t>
            </w:r>
            <w:r>
              <w:rPr>
                <w:i/>
                <w:sz w:val="17"/>
              </w:rPr>
              <w:t xml:space="preserve"> </w:t>
            </w:r>
            <w:r w:rsidRPr="00781072">
              <w:rPr>
                <w:i/>
                <w:sz w:val="17"/>
              </w:rPr>
              <w:t>number 675 / Baranangsiang</w:t>
            </w:r>
            <w:r w:rsidR="00870FD0">
              <w:rPr>
                <w:i/>
                <w:sz w:val="17"/>
              </w:rPr>
              <w:t>.</w:t>
            </w:r>
            <w:r w:rsidRPr="00781072">
              <w:rPr>
                <w:i/>
                <w:sz w:val="17"/>
              </w:rPr>
              <w:t xml:space="preserve"> </w:t>
            </w:r>
            <w:proofErr w:type="gramStart"/>
            <w:r w:rsidRPr="00781072">
              <w:rPr>
                <w:i/>
                <w:sz w:val="17"/>
              </w:rPr>
              <w:t>covering</w:t>
            </w:r>
            <w:proofErr w:type="gramEnd"/>
            <w:r w:rsidRPr="00781072">
              <w:rPr>
                <w:i/>
                <w:sz w:val="17"/>
              </w:rPr>
              <w:t xml:space="preserve"> an area of 772m2</w:t>
            </w:r>
            <w:r w:rsidR="00305CA0">
              <w:rPr>
                <w:i/>
                <w:sz w:val="17"/>
              </w:rPr>
              <w:t>.</w:t>
            </w:r>
            <w:r w:rsidRPr="00781072">
              <w:rPr>
                <w:i/>
                <w:sz w:val="17"/>
              </w:rPr>
              <w:t xml:space="preserve"> </w:t>
            </w:r>
            <w:proofErr w:type="gramStart"/>
            <w:r w:rsidRPr="00781072">
              <w:rPr>
                <w:i/>
                <w:sz w:val="17"/>
              </w:rPr>
              <w:t>registered</w:t>
            </w:r>
            <w:proofErr w:type="gramEnd"/>
            <w:r w:rsidRPr="00781072">
              <w:rPr>
                <w:i/>
                <w:sz w:val="17"/>
              </w:rPr>
              <w:t xml:space="preserve"> under the name of PT Bogor Medical Center</w:t>
            </w:r>
            <w:r w:rsidR="00305CA0">
              <w:rPr>
                <w:i/>
                <w:sz w:val="17"/>
              </w:rPr>
              <w:t>.</w:t>
            </w:r>
            <w:r w:rsidRPr="00781072">
              <w:rPr>
                <w:i/>
                <w:sz w:val="17"/>
              </w:rPr>
              <w:t xml:space="preserve"> which will be reversed under the name of PT Sejahteraraya Anugrahjaya Tbk.</w:t>
            </w:r>
          </w:p>
        </w:tc>
      </w:tr>
      <w:tr w:rsidR="001F0862" w:rsidRPr="00471B9C" w14:paraId="1A3EC073" w14:textId="77777777" w:rsidTr="00471B9C">
        <w:trPr>
          <w:gridBefore w:val="1"/>
          <w:wBefore w:w="15" w:type="pct"/>
        </w:trPr>
        <w:tc>
          <w:tcPr>
            <w:tcW w:w="2492" w:type="pct"/>
            <w:gridSpan w:val="2"/>
            <w:tcBorders>
              <w:top w:val="nil"/>
              <w:left w:val="nil"/>
              <w:bottom w:val="nil"/>
              <w:right w:val="nil"/>
            </w:tcBorders>
          </w:tcPr>
          <w:p w14:paraId="76827C69" w14:textId="77777777" w:rsidR="001F0862" w:rsidRPr="00471B9C" w:rsidRDefault="001F0862" w:rsidP="0013526B">
            <w:pPr>
              <w:ind w:left="284" w:right="-57"/>
              <w:jc w:val="both"/>
              <w:rPr>
                <w:sz w:val="10"/>
                <w:szCs w:val="10"/>
              </w:rPr>
            </w:pPr>
          </w:p>
        </w:tc>
        <w:tc>
          <w:tcPr>
            <w:tcW w:w="2493" w:type="pct"/>
            <w:gridSpan w:val="2"/>
            <w:tcBorders>
              <w:top w:val="nil"/>
              <w:left w:val="nil"/>
              <w:bottom w:val="nil"/>
              <w:right w:val="nil"/>
            </w:tcBorders>
          </w:tcPr>
          <w:p w14:paraId="06EBAC54" w14:textId="77777777" w:rsidR="001F0862" w:rsidRPr="00471B9C" w:rsidRDefault="001F0862" w:rsidP="0013526B">
            <w:pPr>
              <w:ind w:left="284" w:right="-57"/>
              <w:jc w:val="both"/>
              <w:rPr>
                <w:i/>
                <w:sz w:val="10"/>
                <w:szCs w:val="10"/>
              </w:rPr>
            </w:pPr>
          </w:p>
        </w:tc>
      </w:tr>
      <w:tr w:rsidR="00471B9C" w:rsidRPr="00471B9C" w14:paraId="7AAAB9C4" w14:textId="77777777" w:rsidTr="00471B9C">
        <w:trPr>
          <w:gridBefore w:val="1"/>
          <w:wBefore w:w="15" w:type="pct"/>
        </w:trPr>
        <w:tc>
          <w:tcPr>
            <w:tcW w:w="2492" w:type="pct"/>
            <w:gridSpan w:val="2"/>
            <w:tcBorders>
              <w:top w:val="nil"/>
              <w:left w:val="nil"/>
              <w:bottom w:val="nil"/>
              <w:right w:val="nil"/>
            </w:tcBorders>
          </w:tcPr>
          <w:p w14:paraId="3BC403EB" w14:textId="44A5D11A" w:rsidR="00471B9C" w:rsidRPr="0013526B" w:rsidRDefault="00471B9C" w:rsidP="00070D1F">
            <w:pPr>
              <w:pStyle w:val="ListParagraph"/>
              <w:numPr>
                <w:ilvl w:val="0"/>
                <w:numId w:val="260"/>
              </w:numPr>
              <w:ind w:right="-57"/>
              <w:jc w:val="both"/>
              <w:rPr>
                <w:sz w:val="18"/>
                <w:szCs w:val="18"/>
              </w:rPr>
            </w:pPr>
            <w:r w:rsidRPr="00471B9C">
              <w:rPr>
                <w:sz w:val="18"/>
                <w:szCs w:val="18"/>
              </w:rPr>
              <w:t>Sebidang tanah dan bangunan di Bogor</w:t>
            </w:r>
            <w:r w:rsidR="00305CA0">
              <w:rPr>
                <w:sz w:val="18"/>
                <w:szCs w:val="18"/>
              </w:rPr>
              <w:t>.</w:t>
            </w:r>
            <w:r w:rsidRPr="00471B9C">
              <w:rPr>
                <w:sz w:val="18"/>
                <w:szCs w:val="18"/>
              </w:rPr>
              <w:t xml:space="preserve"> Jawa Barat. Sebagaimana diuraikan dalam Sert</w:t>
            </w:r>
            <w:r w:rsidR="0014032D">
              <w:rPr>
                <w:sz w:val="18"/>
                <w:szCs w:val="18"/>
              </w:rPr>
              <w:t>i</w:t>
            </w:r>
            <w:r w:rsidRPr="00471B9C">
              <w:rPr>
                <w:sz w:val="18"/>
                <w:szCs w:val="18"/>
              </w:rPr>
              <w:t>pikat Hak Guna Bangunan nomor 770/Baranangsiang</w:t>
            </w:r>
            <w:r w:rsidR="00305CA0">
              <w:rPr>
                <w:sz w:val="18"/>
                <w:szCs w:val="18"/>
              </w:rPr>
              <w:t>.</w:t>
            </w:r>
            <w:r w:rsidRPr="00471B9C">
              <w:rPr>
                <w:sz w:val="18"/>
                <w:szCs w:val="18"/>
              </w:rPr>
              <w:t xml:space="preserve"> </w:t>
            </w:r>
            <w:proofErr w:type="gramStart"/>
            <w:r w:rsidRPr="00471B9C">
              <w:rPr>
                <w:sz w:val="18"/>
                <w:szCs w:val="18"/>
              </w:rPr>
              <w:t>seluas</w:t>
            </w:r>
            <w:proofErr w:type="gramEnd"/>
            <w:r w:rsidRPr="00471B9C">
              <w:rPr>
                <w:sz w:val="18"/>
                <w:szCs w:val="18"/>
              </w:rPr>
              <w:t xml:space="preserve"> 665m2</w:t>
            </w:r>
            <w:r w:rsidR="00305CA0">
              <w:rPr>
                <w:sz w:val="18"/>
                <w:szCs w:val="18"/>
              </w:rPr>
              <w:t>.</w:t>
            </w:r>
            <w:r w:rsidRPr="00471B9C">
              <w:rPr>
                <w:sz w:val="18"/>
                <w:szCs w:val="18"/>
              </w:rPr>
              <w:t xml:space="preserve"> </w:t>
            </w:r>
            <w:proofErr w:type="gramStart"/>
            <w:r w:rsidRPr="00471B9C">
              <w:rPr>
                <w:sz w:val="18"/>
                <w:szCs w:val="18"/>
              </w:rPr>
              <w:t>terdaftar</w:t>
            </w:r>
            <w:proofErr w:type="gramEnd"/>
            <w:r w:rsidRPr="00471B9C">
              <w:rPr>
                <w:sz w:val="18"/>
                <w:szCs w:val="18"/>
              </w:rPr>
              <w:t xml:space="preserve"> atas nama PT Bogor Medical Center</w:t>
            </w:r>
            <w:r w:rsidR="00305CA0">
              <w:rPr>
                <w:sz w:val="18"/>
                <w:szCs w:val="18"/>
              </w:rPr>
              <w:t>.</w:t>
            </w:r>
            <w:r w:rsidRPr="00471B9C">
              <w:rPr>
                <w:sz w:val="18"/>
                <w:szCs w:val="18"/>
              </w:rPr>
              <w:t xml:space="preserve"> yang akan dibalik nama ke atas nama PT Sejahteraraya Anugrahjaya Tbk.</w:t>
            </w:r>
          </w:p>
        </w:tc>
        <w:tc>
          <w:tcPr>
            <w:tcW w:w="2493" w:type="pct"/>
            <w:gridSpan w:val="2"/>
            <w:tcBorders>
              <w:top w:val="nil"/>
              <w:left w:val="nil"/>
              <w:bottom w:val="nil"/>
              <w:right w:val="nil"/>
            </w:tcBorders>
          </w:tcPr>
          <w:p w14:paraId="69D710C1" w14:textId="4953648D" w:rsidR="00471B9C" w:rsidRPr="00471B9C" w:rsidRDefault="00471B9C" w:rsidP="00070D1F">
            <w:pPr>
              <w:pStyle w:val="ListParagraph"/>
              <w:numPr>
                <w:ilvl w:val="0"/>
                <w:numId w:val="373"/>
              </w:numPr>
              <w:ind w:right="-57"/>
              <w:jc w:val="both"/>
              <w:rPr>
                <w:i/>
                <w:sz w:val="17"/>
              </w:rPr>
            </w:pPr>
            <w:r w:rsidRPr="00471B9C">
              <w:rPr>
                <w:i/>
                <w:sz w:val="17"/>
              </w:rPr>
              <w:t>A plot of land and building in Bogor</w:t>
            </w:r>
            <w:r w:rsidR="00305CA0">
              <w:rPr>
                <w:i/>
                <w:sz w:val="17"/>
              </w:rPr>
              <w:t>.</w:t>
            </w:r>
            <w:r w:rsidRPr="00471B9C">
              <w:rPr>
                <w:i/>
                <w:sz w:val="17"/>
              </w:rPr>
              <w:t xml:space="preserve"> West Java. As described in the Building Use Certificate number 770 / Baranangsiang</w:t>
            </w:r>
            <w:r w:rsidR="00305CA0">
              <w:rPr>
                <w:i/>
                <w:sz w:val="17"/>
              </w:rPr>
              <w:t>.</w:t>
            </w:r>
            <w:r w:rsidRPr="00471B9C">
              <w:rPr>
                <w:i/>
                <w:sz w:val="17"/>
              </w:rPr>
              <w:t xml:space="preserve"> </w:t>
            </w:r>
            <w:proofErr w:type="gramStart"/>
            <w:r w:rsidRPr="00471B9C">
              <w:rPr>
                <w:i/>
                <w:sz w:val="17"/>
              </w:rPr>
              <w:t>covering</w:t>
            </w:r>
            <w:proofErr w:type="gramEnd"/>
            <w:r w:rsidRPr="00471B9C">
              <w:rPr>
                <w:i/>
                <w:sz w:val="17"/>
              </w:rPr>
              <w:t xml:space="preserve"> an area of 665m2</w:t>
            </w:r>
            <w:r w:rsidR="00305CA0">
              <w:rPr>
                <w:i/>
                <w:sz w:val="17"/>
              </w:rPr>
              <w:t>.</w:t>
            </w:r>
            <w:r w:rsidRPr="00471B9C">
              <w:rPr>
                <w:i/>
                <w:sz w:val="17"/>
              </w:rPr>
              <w:t xml:space="preserve"> </w:t>
            </w:r>
            <w:proofErr w:type="gramStart"/>
            <w:r w:rsidRPr="00471B9C">
              <w:rPr>
                <w:i/>
                <w:sz w:val="17"/>
              </w:rPr>
              <w:t>registered</w:t>
            </w:r>
            <w:proofErr w:type="gramEnd"/>
            <w:r w:rsidRPr="00471B9C">
              <w:rPr>
                <w:i/>
                <w:sz w:val="17"/>
              </w:rPr>
              <w:t xml:space="preserve"> under the name of PT Bogor Medical Center</w:t>
            </w:r>
            <w:r w:rsidR="00305CA0">
              <w:rPr>
                <w:i/>
                <w:sz w:val="17"/>
              </w:rPr>
              <w:t>.</w:t>
            </w:r>
            <w:r w:rsidRPr="00471B9C">
              <w:rPr>
                <w:i/>
                <w:sz w:val="17"/>
              </w:rPr>
              <w:t xml:space="preserve"> which will be reversed by name on behalf of PT Sejahteraraya Anugrahjaya Tbk.</w:t>
            </w:r>
          </w:p>
        </w:tc>
      </w:tr>
      <w:tr w:rsidR="00471B9C" w:rsidRPr="00471B9C" w14:paraId="46675E51" w14:textId="77777777" w:rsidTr="00471B9C">
        <w:trPr>
          <w:gridBefore w:val="1"/>
          <w:wBefore w:w="15" w:type="pct"/>
        </w:trPr>
        <w:tc>
          <w:tcPr>
            <w:tcW w:w="2492" w:type="pct"/>
            <w:gridSpan w:val="2"/>
            <w:tcBorders>
              <w:top w:val="nil"/>
              <w:left w:val="nil"/>
              <w:bottom w:val="nil"/>
              <w:right w:val="nil"/>
            </w:tcBorders>
          </w:tcPr>
          <w:p w14:paraId="2B1DC51C" w14:textId="77777777" w:rsidR="00471B9C" w:rsidRPr="00471B9C" w:rsidRDefault="00471B9C" w:rsidP="0013526B">
            <w:pPr>
              <w:ind w:left="284" w:right="-57"/>
              <w:jc w:val="both"/>
              <w:rPr>
                <w:sz w:val="10"/>
                <w:szCs w:val="10"/>
              </w:rPr>
            </w:pPr>
          </w:p>
        </w:tc>
        <w:tc>
          <w:tcPr>
            <w:tcW w:w="2493" w:type="pct"/>
            <w:gridSpan w:val="2"/>
            <w:tcBorders>
              <w:top w:val="nil"/>
              <w:left w:val="nil"/>
              <w:bottom w:val="nil"/>
              <w:right w:val="nil"/>
            </w:tcBorders>
          </w:tcPr>
          <w:p w14:paraId="301F936C" w14:textId="77777777" w:rsidR="00471B9C" w:rsidRPr="00471B9C" w:rsidRDefault="00471B9C" w:rsidP="0013526B">
            <w:pPr>
              <w:ind w:left="284" w:right="-57"/>
              <w:jc w:val="both"/>
              <w:rPr>
                <w:i/>
                <w:sz w:val="10"/>
                <w:szCs w:val="10"/>
              </w:rPr>
            </w:pPr>
          </w:p>
        </w:tc>
      </w:tr>
      <w:tr w:rsidR="001F0862" w:rsidRPr="00471B9C" w14:paraId="08605AA3" w14:textId="77777777" w:rsidTr="00471B9C">
        <w:trPr>
          <w:gridBefore w:val="1"/>
          <w:wBefore w:w="15" w:type="pct"/>
        </w:trPr>
        <w:tc>
          <w:tcPr>
            <w:tcW w:w="2492" w:type="pct"/>
            <w:gridSpan w:val="2"/>
            <w:tcBorders>
              <w:top w:val="nil"/>
              <w:left w:val="nil"/>
              <w:bottom w:val="nil"/>
              <w:right w:val="nil"/>
            </w:tcBorders>
          </w:tcPr>
          <w:p w14:paraId="7469BC83" w14:textId="0CF9506E" w:rsidR="001F0862" w:rsidRPr="00D76805" w:rsidRDefault="00471B9C" w:rsidP="00070D1F">
            <w:pPr>
              <w:pStyle w:val="ListParagraph"/>
              <w:numPr>
                <w:ilvl w:val="0"/>
                <w:numId w:val="260"/>
              </w:numPr>
              <w:ind w:right="-57"/>
              <w:jc w:val="both"/>
              <w:rPr>
                <w:sz w:val="18"/>
                <w:szCs w:val="18"/>
              </w:rPr>
            </w:pPr>
            <w:r w:rsidRPr="00471B9C">
              <w:rPr>
                <w:sz w:val="18"/>
                <w:szCs w:val="18"/>
              </w:rPr>
              <w:t>Sebidang tanah dan bangunan di Bogor</w:t>
            </w:r>
            <w:r w:rsidR="00305CA0">
              <w:rPr>
                <w:sz w:val="18"/>
                <w:szCs w:val="18"/>
              </w:rPr>
              <w:t>.</w:t>
            </w:r>
            <w:r w:rsidRPr="00471B9C">
              <w:rPr>
                <w:sz w:val="18"/>
                <w:szCs w:val="18"/>
              </w:rPr>
              <w:t xml:space="preserve"> Jawa Barat. Sebagaimana diuraikan dalam Sert</w:t>
            </w:r>
            <w:r w:rsidR="0052367A">
              <w:rPr>
                <w:sz w:val="18"/>
                <w:szCs w:val="18"/>
              </w:rPr>
              <w:t>i</w:t>
            </w:r>
            <w:r w:rsidRPr="00471B9C">
              <w:rPr>
                <w:sz w:val="18"/>
                <w:szCs w:val="18"/>
              </w:rPr>
              <w:t>pikat Hak Guna Bangunan nomor 796/Baranangsiang</w:t>
            </w:r>
            <w:r w:rsidR="00305CA0">
              <w:rPr>
                <w:sz w:val="18"/>
                <w:szCs w:val="18"/>
              </w:rPr>
              <w:t>.</w:t>
            </w:r>
            <w:r w:rsidRPr="00471B9C">
              <w:rPr>
                <w:sz w:val="18"/>
                <w:szCs w:val="18"/>
              </w:rPr>
              <w:t xml:space="preserve"> </w:t>
            </w:r>
            <w:proofErr w:type="gramStart"/>
            <w:r w:rsidRPr="00471B9C">
              <w:rPr>
                <w:sz w:val="18"/>
                <w:szCs w:val="18"/>
              </w:rPr>
              <w:t>seluas</w:t>
            </w:r>
            <w:proofErr w:type="gramEnd"/>
            <w:r w:rsidRPr="00471B9C">
              <w:rPr>
                <w:sz w:val="18"/>
                <w:szCs w:val="18"/>
              </w:rPr>
              <w:t xml:space="preserve"> 1.298m2</w:t>
            </w:r>
            <w:r w:rsidR="00305CA0">
              <w:rPr>
                <w:sz w:val="18"/>
                <w:szCs w:val="18"/>
              </w:rPr>
              <w:t>.</w:t>
            </w:r>
            <w:r w:rsidRPr="00471B9C">
              <w:rPr>
                <w:sz w:val="18"/>
                <w:szCs w:val="18"/>
              </w:rPr>
              <w:t xml:space="preserve"> </w:t>
            </w:r>
            <w:proofErr w:type="gramStart"/>
            <w:r w:rsidRPr="00471B9C">
              <w:rPr>
                <w:sz w:val="18"/>
                <w:szCs w:val="18"/>
              </w:rPr>
              <w:t>terdaftar</w:t>
            </w:r>
            <w:proofErr w:type="gramEnd"/>
            <w:r w:rsidRPr="00471B9C">
              <w:rPr>
                <w:sz w:val="18"/>
                <w:szCs w:val="18"/>
              </w:rPr>
              <w:t xml:space="preserve"> atas nama PT Bogor Medical Center</w:t>
            </w:r>
            <w:r w:rsidR="00305CA0">
              <w:rPr>
                <w:sz w:val="18"/>
                <w:szCs w:val="18"/>
              </w:rPr>
              <w:t>.</w:t>
            </w:r>
            <w:r w:rsidRPr="00471B9C">
              <w:rPr>
                <w:sz w:val="18"/>
                <w:szCs w:val="18"/>
              </w:rPr>
              <w:t xml:space="preserve"> yang akan dibalik nama ke atas nama PT Sejahteraraya Anugrahjaya Tbk.</w:t>
            </w:r>
          </w:p>
        </w:tc>
        <w:tc>
          <w:tcPr>
            <w:tcW w:w="2493" w:type="pct"/>
            <w:gridSpan w:val="2"/>
            <w:tcBorders>
              <w:top w:val="nil"/>
              <w:left w:val="nil"/>
              <w:bottom w:val="nil"/>
              <w:right w:val="nil"/>
            </w:tcBorders>
          </w:tcPr>
          <w:p w14:paraId="1771EB66" w14:textId="6A60EECA" w:rsidR="001F0862" w:rsidRPr="00471B9C" w:rsidRDefault="00471B9C" w:rsidP="00070D1F">
            <w:pPr>
              <w:pStyle w:val="ListParagraph"/>
              <w:numPr>
                <w:ilvl w:val="0"/>
                <w:numId w:val="373"/>
              </w:numPr>
              <w:ind w:right="-57"/>
              <w:jc w:val="both"/>
              <w:rPr>
                <w:i/>
                <w:sz w:val="18"/>
                <w:szCs w:val="18"/>
              </w:rPr>
            </w:pPr>
            <w:r w:rsidRPr="00471B9C">
              <w:rPr>
                <w:i/>
                <w:sz w:val="18"/>
                <w:szCs w:val="18"/>
              </w:rPr>
              <w:t>A plot of land and building in Bogor</w:t>
            </w:r>
            <w:r w:rsidR="00870FD0">
              <w:rPr>
                <w:i/>
                <w:sz w:val="18"/>
                <w:szCs w:val="18"/>
              </w:rPr>
              <w:t>.</w:t>
            </w:r>
            <w:r w:rsidRPr="00471B9C">
              <w:rPr>
                <w:i/>
                <w:sz w:val="18"/>
                <w:szCs w:val="18"/>
              </w:rPr>
              <w:t xml:space="preserve"> West Java. As </w:t>
            </w:r>
            <w:r w:rsidRPr="00471B9C">
              <w:rPr>
                <w:i/>
                <w:sz w:val="17"/>
              </w:rPr>
              <w:t>described</w:t>
            </w:r>
            <w:r w:rsidRPr="00471B9C">
              <w:rPr>
                <w:i/>
                <w:sz w:val="18"/>
                <w:szCs w:val="18"/>
              </w:rPr>
              <w:t xml:space="preserve"> in the Building Rights Certificate number 796/</w:t>
            </w:r>
            <w:proofErr w:type="gramStart"/>
            <w:r w:rsidRPr="00471B9C">
              <w:rPr>
                <w:i/>
                <w:sz w:val="18"/>
                <w:szCs w:val="18"/>
              </w:rPr>
              <w:t>Baranangsiang</w:t>
            </w:r>
            <w:r w:rsidR="00870FD0">
              <w:rPr>
                <w:i/>
                <w:sz w:val="18"/>
                <w:szCs w:val="18"/>
              </w:rPr>
              <w:t>.</w:t>
            </w:r>
            <w:proofErr w:type="gramEnd"/>
            <w:r w:rsidRPr="00471B9C">
              <w:rPr>
                <w:i/>
                <w:sz w:val="18"/>
                <w:szCs w:val="18"/>
              </w:rPr>
              <w:t xml:space="preserve"> </w:t>
            </w:r>
            <w:proofErr w:type="gramStart"/>
            <w:r w:rsidRPr="00471B9C">
              <w:rPr>
                <w:i/>
                <w:sz w:val="18"/>
                <w:szCs w:val="18"/>
              </w:rPr>
              <w:t>covering</w:t>
            </w:r>
            <w:proofErr w:type="gramEnd"/>
            <w:r w:rsidRPr="00471B9C">
              <w:rPr>
                <w:i/>
                <w:sz w:val="18"/>
                <w:szCs w:val="18"/>
              </w:rPr>
              <w:t xml:space="preserve"> an area of 1</w:t>
            </w:r>
            <w:r w:rsidR="00305CA0">
              <w:rPr>
                <w:i/>
                <w:sz w:val="18"/>
                <w:szCs w:val="18"/>
              </w:rPr>
              <w:t>.</w:t>
            </w:r>
            <w:r w:rsidRPr="00471B9C">
              <w:rPr>
                <w:i/>
                <w:sz w:val="18"/>
                <w:szCs w:val="18"/>
              </w:rPr>
              <w:t>298m2</w:t>
            </w:r>
            <w:r w:rsidR="00305CA0">
              <w:rPr>
                <w:i/>
                <w:sz w:val="18"/>
                <w:szCs w:val="18"/>
              </w:rPr>
              <w:t>.</w:t>
            </w:r>
            <w:r w:rsidRPr="00471B9C">
              <w:rPr>
                <w:i/>
                <w:sz w:val="18"/>
                <w:szCs w:val="18"/>
              </w:rPr>
              <w:t xml:space="preserve"> </w:t>
            </w:r>
            <w:proofErr w:type="gramStart"/>
            <w:r w:rsidRPr="00471B9C">
              <w:rPr>
                <w:i/>
                <w:sz w:val="18"/>
                <w:szCs w:val="18"/>
              </w:rPr>
              <w:t>registered</w:t>
            </w:r>
            <w:proofErr w:type="gramEnd"/>
            <w:r w:rsidRPr="00471B9C">
              <w:rPr>
                <w:i/>
                <w:sz w:val="18"/>
                <w:szCs w:val="18"/>
              </w:rPr>
              <w:t xml:space="preserve"> under the name of PT Bogor Medical Center</w:t>
            </w:r>
            <w:r w:rsidR="00305CA0">
              <w:rPr>
                <w:i/>
                <w:sz w:val="18"/>
                <w:szCs w:val="18"/>
              </w:rPr>
              <w:t>.</w:t>
            </w:r>
            <w:r w:rsidRPr="00471B9C">
              <w:rPr>
                <w:i/>
                <w:sz w:val="18"/>
                <w:szCs w:val="18"/>
              </w:rPr>
              <w:t xml:space="preserve"> which will be reversed in the name of PT Sejahteraraya Anugrahjaya Tbk.</w:t>
            </w:r>
          </w:p>
        </w:tc>
      </w:tr>
      <w:tr w:rsidR="00471B9C" w:rsidRPr="00471B9C" w14:paraId="15D90281" w14:textId="77777777" w:rsidTr="00471B9C">
        <w:trPr>
          <w:gridBefore w:val="1"/>
          <w:wBefore w:w="15" w:type="pct"/>
        </w:trPr>
        <w:tc>
          <w:tcPr>
            <w:tcW w:w="2492" w:type="pct"/>
            <w:gridSpan w:val="2"/>
            <w:tcBorders>
              <w:top w:val="nil"/>
              <w:left w:val="nil"/>
              <w:bottom w:val="nil"/>
              <w:right w:val="nil"/>
            </w:tcBorders>
          </w:tcPr>
          <w:p w14:paraId="3F913D31" w14:textId="77777777" w:rsidR="00471B9C" w:rsidRPr="00471B9C" w:rsidRDefault="00471B9C" w:rsidP="0013526B">
            <w:pPr>
              <w:ind w:left="284" w:right="-57"/>
              <w:jc w:val="both"/>
              <w:rPr>
                <w:bCs w:val="0"/>
                <w:sz w:val="10"/>
                <w:szCs w:val="10"/>
              </w:rPr>
            </w:pPr>
          </w:p>
        </w:tc>
        <w:tc>
          <w:tcPr>
            <w:tcW w:w="2493" w:type="pct"/>
            <w:gridSpan w:val="2"/>
            <w:tcBorders>
              <w:top w:val="nil"/>
              <w:left w:val="nil"/>
              <w:bottom w:val="nil"/>
              <w:right w:val="nil"/>
            </w:tcBorders>
          </w:tcPr>
          <w:p w14:paraId="41E5541F" w14:textId="77777777" w:rsidR="00471B9C" w:rsidRPr="00471B9C" w:rsidRDefault="00471B9C" w:rsidP="0013526B">
            <w:pPr>
              <w:ind w:left="284" w:right="-57"/>
              <w:jc w:val="both"/>
              <w:rPr>
                <w:bCs w:val="0"/>
                <w:i/>
                <w:sz w:val="10"/>
                <w:szCs w:val="10"/>
              </w:rPr>
            </w:pPr>
          </w:p>
        </w:tc>
      </w:tr>
      <w:tr w:rsidR="00471B9C" w:rsidRPr="00471B9C" w14:paraId="5096DB3D" w14:textId="77777777" w:rsidTr="00471B9C">
        <w:trPr>
          <w:gridBefore w:val="1"/>
          <w:wBefore w:w="15" w:type="pct"/>
        </w:trPr>
        <w:tc>
          <w:tcPr>
            <w:tcW w:w="2492" w:type="pct"/>
            <w:gridSpan w:val="2"/>
            <w:tcBorders>
              <w:top w:val="nil"/>
              <w:left w:val="nil"/>
              <w:bottom w:val="nil"/>
              <w:right w:val="nil"/>
            </w:tcBorders>
          </w:tcPr>
          <w:p w14:paraId="1F85F8A9" w14:textId="6CFF8D2B" w:rsidR="00471B9C" w:rsidRPr="00471B9C" w:rsidRDefault="00471B9C" w:rsidP="00070D1F">
            <w:pPr>
              <w:pStyle w:val="ListParagraph"/>
              <w:numPr>
                <w:ilvl w:val="0"/>
                <w:numId w:val="260"/>
              </w:numPr>
              <w:ind w:right="-57"/>
              <w:jc w:val="both"/>
              <w:rPr>
                <w:sz w:val="18"/>
                <w:szCs w:val="18"/>
              </w:rPr>
            </w:pPr>
            <w:r w:rsidRPr="00471B9C">
              <w:rPr>
                <w:sz w:val="18"/>
                <w:szCs w:val="18"/>
              </w:rPr>
              <w:t>Sebidang tanah dan bangunan di Bogor</w:t>
            </w:r>
            <w:r w:rsidR="00305CA0">
              <w:rPr>
                <w:sz w:val="18"/>
                <w:szCs w:val="18"/>
              </w:rPr>
              <w:t>.</w:t>
            </w:r>
            <w:r w:rsidRPr="00471B9C">
              <w:rPr>
                <w:sz w:val="18"/>
                <w:szCs w:val="18"/>
              </w:rPr>
              <w:t xml:space="preserve"> Jawa Barat. Sebagaimana diuraikan dalam Sert</w:t>
            </w:r>
            <w:r w:rsidR="0014032D">
              <w:rPr>
                <w:sz w:val="18"/>
                <w:szCs w:val="18"/>
              </w:rPr>
              <w:t>i</w:t>
            </w:r>
            <w:r w:rsidRPr="00471B9C">
              <w:rPr>
                <w:sz w:val="18"/>
                <w:szCs w:val="18"/>
              </w:rPr>
              <w:t>pikat Hak Guna Bangunan nomor 844/Baranangsiang</w:t>
            </w:r>
            <w:r w:rsidR="00305CA0">
              <w:rPr>
                <w:sz w:val="18"/>
                <w:szCs w:val="18"/>
              </w:rPr>
              <w:t>.</w:t>
            </w:r>
            <w:r w:rsidRPr="00471B9C">
              <w:rPr>
                <w:sz w:val="18"/>
                <w:szCs w:val="18"/>
              </w:rPr>
              <w:t xml:space="preserve"> </w:t>
            </w:r>
            <w:proofErr w:type="gramStart"/>
            <w:r w:rsidRPr="00471B9C">
              <w:rPr>
                <w:sz w:val="18"/>
                <w:szCs w:val="18"/>
              </w:rPr>
              <w:t>seluas</w:t>
            </w:r>
            <w:proofErr w:type="gramEnd"/>
            <w:r w:rsidRPr="00471B9C">
              <w:rPr>
                <w:sz w:val="18"/>
                <w:szCs w:val="18"/>
              </w:rPr>
              <w:t xml:space="preserve"> 1.323m2</w:t>
            </w:r>
            <w:r w:rsidR="00305CA0">
              <w:rPr>
                <w:sz w:val="18"/>
                <w:szCs w:val="18"/>
              </w:rPr>
              <w:t>.</w:t>
            </w:r>
            <w:r w:rsidRPr="00471B9C">
              <w:rPr>
                <w:sz w:val="18"/>
                <w:szCs w:val="18"/>
              </w:rPr>
              <w:t xml:space="preserve"> </w:t>
            </w:r>
            <w:proofErr w:type="gramStart"/>
            <w:r w:rsidRPr="00471B9C">
              <w:rPr>
                <w:sz w:val="18"/>
                <w:szCs w:val="18"/>
              </w:rPr>
              <w:t>terdaftar</w:t>
            </w:r>
            <w:proofErr w:type="gramEnd"/>
            <w:r w:rsidRPr="00471B9C">
              <w:rPr>
                <w:sz w:val="18"/>
                <w:szCs w:val="18"/>
              </w:rPr>
              <w:t xml:space="preserve"> atas nama PT Bogor Medical Center</w:t>
            </w:r>
            <w:r w:rsidR="00305CA0">
              <w:rPr>
                <w:sz w:val="18"/>
                <w:szCs w:val="18"/>
              </w:rPr>
              <w:t>.</w:t>
            </w:r>
            <w:r w:rsidRPr="00471B9C">
              <w:rPr>
                <w:sz w:val="18"/>
                <w:szCs w:val="18"/>
              </w:rPr>
              <w:t xml:space="preserve"> yang akan dibalik nama ke atas nama PT Sejahteraraya Anugrahjaya Tbk.</w:t>
            </w:r>
          </w:p>
        </w:tc>
        <w:tc>
          <w:tcPr>
            <w:tcW w:w="2493" w:type="pct"/>
            <w:gridSpan w:val="2"/>
            <w:tcBorders>
              <w:top w:val="nil"/>
              <w:left w:val="nil"/>
              <w:bottom w:val="nil"/>
              <w:right w:val="nil"/>
            </w:tcBorders>
          </w:tcPr>
          <w:p w14:paraId="71A135B8" w14:textId="69DF9241" w:rsidR="00471B9C" w:rsidRPr="00471B9C" w:rsidRDefault="00471B9C" w:rsidP="00070D1F">
            <w:pPr>
              <w:pStyle w:val="ListParagraph"/>
              <w:numPr>
                <w:ilvl w:val="0"/>
                <w:numId w:val="373"/>
              </w:numPr>
              <w:ind w:right="-57"/>
              <w:jc w:val="both"/>
              <w:rPr>
                <w:sz w:val="18"/>
                <w:szCs w:val="18"/>
              </w:rPr>
            </w:pPr>
            <w:r w:rsidRPr="00471B9C">
              <w:rPr>
                <w:i/>
                <w:sz w:val="18"/>
                <w:szCs w:val="18"/>
              </w:rPr>
              <w:t>A plot of land and building in Bogor</w:t>
            </w:r>
            <w:r w:rsidR="00305CA0">
              <w:rPr>
                <w:i/>
                <w:sz w:val="18"/>
                <w:szCs w:val="18"/>
              </w:rPr>
              <w:t>.</w:t>
            </w:r>
            <w:r w:rsidRPr="00471B9C">
              <w:rPr>
                <w:i/>
                <w:sz w:val="18"/>
                <w:szCs w:val="18"/>
              </w:rPr>
              <w:t xml:space="preserve"> West Java. As described in the Building Rights Certificate number 844 / Baranangsiang</w:t>
            </w:r>
            <w:r w:rsidR="00305CA0">
              <w:rPr>
                <w:i/>
                <w:sz w:val="18"/>
                <w:szCs w:val="18"/>
              </w:rPr>
              <w:t>.</w:t>
            </w:r>
            <w:r w:rsidRPr="00471B9C">
              <w:rPr>
                <w:i/>
                <w:sz w:val="18"/>
                <w:szCs w:val="18"/>
              </w:rPr>
              <w:t xml:space="preserve"> </w:t>
            </w:r>
            <w:proofErr w:type="gramStart"/>
            <w:r w:rsidRPr="00471B9C">
              <w:rPr>
                <w:i/>
                <w:sz w:val="18"/>
                <w:szCs w:val="18"/>
              </w:rPr>
              <w:t>covering</w:t>
            </w:r>
            <w:proofErr w:type="gramEnd"/>
            <w:r w:rsidRPr="00471B9C">
              <w:rPr>
                <w:i/>
                <w:sz w:val="18"/>
                <w:szCs w:val="18"/>
              </w:rPr>
              <w:t xml:space="preserve"> an area of 1</w:t>
            </w:r>
            <w:r w:rsidR="00305CA0">
              <w:rPr>
                <w:i/>
                <w:sz w:val="18"/>
                <w:szCs w:val="18"/>
              </w:rPr>
              <w:t>.</w:t>
            </w:r>
            <w:r w:rsidRPr="00471B9C">
              <w:rPr>
                <w:i/>
                <w:sz w:val="18"/>
                <w:szCs w:val="18"/>
              </w:rPr>
              <w:t>323m2</w:t>
            </w:r>
            <w:r w:rsidR="00305CA0">
              <w:rPr>
                <w:i/>
                <w:sz w:val="18"/>
                <w:szCs w:val="18"/>
              </w:rPr>
              <w:t>.</w:t>
            </w:r>
            <w:r w:rsidRPr="00471B9C">
              <w:rPr>
                <w:i/>
                <w:sz w:val="18"/>
                <w:szCs w:val="18"/>
              </w:rPr>
              <w:t xml:space="preserve"> </w:t>
            </w:r>
            <w:proofErr w:type="gramStart"/>
            <w:r w:rsidRPr="00471B9C">
              <w:rPr>
                <w:i/>
                <w:sz w:val="18"/>
                <w:szCs w:val="18"/>
              </w:rPr>
              <w:t>registered</w:t>
            </w:r>
            <w:proofErr w:type="gramEnd"/>
            <w:r w:rsidRPr="00471B9C">
              <w:rPr>
                <w:i/>
                <w:sz w:val="18"/>
                <w:szCs w:val="18"/>
              </w:rPr>
              <w:t xml:space="preserve"> under the name of PT Bogor Medical Center</w:t>
            </w:r>
            <w:r w:rsidR="00305CA0">
              <w:rPr>
                <w:i/>
                <w:sz w:val="18"/>
                <w:szCs w:val="18"/>
              </w:rPr>
              <w:t>.</w:t>
            </w:r>
            <w:r w:rsidRPr="00471B9C">
              <w:rPr>
                <w:i/>
                <w:sz w:val="18"/>
                <w:szCs w:val="18"/>
              </w:rPr>
              <w:t xml:space="preserve"> which will be reversed by name on behalf of PT Sejahteraraya Anugrahjaya Tbk.</w:t>
            </w:r>
          </w:p>
        </w:tc>
      </w:tr>
      <w:tr w:rsidR="00471B9C" w:rsidRPr="00471B9C" w14:paraId="12FDC18F" w14:textId="77777777" w:rsidTr="00471B9C">
        <w:trPr>
          <w:gridBefore w:val="1"/>
          <w:wBefore w:w="15" w:type="pct"/>
        </w:trPr>
        <w:tc>
          <w:tcPr>
            <w:tcW w:w="2492" w:type="pct"/>
            <w:gridSpan w:val="2"/>
            <w:tcBorders>
              <w:top w:val="nil"/>
              <w:left w:val="nil"/>
              <w:bottom w:val="nil"/>
              <w:right w:val="nil"/>
            </w:tcBorders>
          </w:tcPr>
          <w:p w14:paraId="25E0BFE2" w14:textId="77777777" w:rsidR="00471B9C" w:rsidRPr="00471B9C" w:rsidRDefault="00471B9C" w:rsidP="00471B9C">
            <w:pPr>
              <w:pStyle w:val="ListParagraph"/>
              <w:ind w:left="644" w:right="-57"/>
              <w:jc w:val="both"/>
              <w:rPr>
                <w:sz w:val="10"/>
                <w:szCs w:val="10"/>
              </w:rPr>
            </w:pPr>
          </w:p>
        </w:tc>
        <w:tc>
          <w:tcPr>
            <w:tcW w:w="2493" w:type="pct"/>
            <w:gridSpan w:val="2"/>
            <w:tcBorders>
              <w:top w:val="nil"/>
              <w:left w:val="nil"/>
              <w:bottom w:val="nil"/>
              <w:right w:val="nil"/>
            </w:tcBorders>
          </w:tcPr>
          <w:p w14:paraId="3A2E0836" w14:textId="77777777" w:rsidR="00471B9C" w:rsidRPr="00471B9C" w:rsidRDefault="00471B9C" w:rsidP="00471B9C">
            <w:pPr>
              <w:pStyle w:val="ListParagraph"/>
              <w:ind w:left="644" w:right="-57"/>
              <w:jc w:val="both"/>
              <w:rPr>
                <w:i/>
                <w:sz w:val="10"/>
                <w:szCs w:val="10"/>
              </w:rPr>
            </w:pPr>
          </w:p>
        </w:tc>
      </w:tr>
      <w:tr w:rsidR="00471B9C" w:rsidRPr="00471B9C" w14:paraId="745034F4" w14:textId="77777777" w:rsidTr="00471B9C">
        <w:trPr>
          <w:gridBefore w:val="1"/>
          <w:wBefore w:w="15" w:type="pct"/>
        </w:trPr>
        <w:tc>
          <w:tcPr>
            <w:tcW w:w="2492" w:type="pct"/>
            <w:gridSpan w:val="2"/>
            <w:tcBorders>
              <w:top w:val="nil"/>
              <w:left w:val="nil"/>
              <w:bottom w:val="nil"/>
              <w:right w:val="nil"/>
            </w:tcBorders>
          </w:tcPr>
          <w:p w14:paraId="1084EC57" w14:textId="225CF234" w:rsidR="00471B9C" w:rsidRPr="00471B9C" w:rsidRDefault="00471B9C" w:rsidP="00070D1F">
            <w:pPr>
              <w:pStyle w:val="ListParagraph"/>
              <w:numPr>
                <w:ilvl w:val="0"/>
                <w:numId w:val="260"/>
              </w:numPr>
              <w:ind w:right="-57"/>
              <w:jc w:val="both"/>
              <w:rPr>
                <w:sz w:val="18"/>
                <w:szCs w:val="18"/>
              </w:rPr>
            </w:pPr>
            <w:r>
              <w:rPr>
                <w:bCs w:val="0"/>
                <w:sz w:val="18"/>
                <w:szCs w:val="18"/>
              </w:rPr>
              <w:t>Alat-alat mesin kesehatan Katerisasi Jantung (Cathlab)</w:t>
            </w:r>
          </w:p>
        </w:tc>
        <w:tc>
          <w:tcPr>
            <w:tcW w:w="2493" w:type="pct"/>
            <w:gridSpan w:val="2"/>
            <w:tcBorders>
              <w:top w:val="nil"/>
              <w:left w:val="nil"/>
              <w:bottom w:val="nil"/>
              <w:right w:val="nil"/>
            </w:tcBorders>
          </w:tcPr>
          <w:p w14:paraId="566B7ABB" w14:textId="7815E57F" w:rsidR="00471B9C" w:rsidRPr="00471B9C" w:rsidRDefault="00471B9C" w:rsidP="00070D1F">
            <w:pPr>
              <w:pStyle w:val="ListParagraph"/>
              <w:numPr>
                <w:ilvl w:val="0"/>
                <w:numId w:val="373"/>
              </w:numPr>
              <w:ind w:right="-57"/>
              <w:jc w:val="both"/>
              <w:rPr>
                <w:i/>
                <w:sz w:val="18"/>
                <w:szCs w:val="18"/>
              </w:rPr>
            </w:pPr>
            <w:r w:rsidRPr="00781072">
              <w:rPr>
                <w:bCs w:val="0"/>
                <w:i/>
                <w:sz w:val="18"/>
                <w:szCs w:val="18"/>
              </w:rPr>
              <w:t>Health machine tools for heart catheterization (Cathlab)</w:t>
            </w:r>
          </w:p>
        </w:tc>
      </w:tr>
      <w:tr w:rsidR="00471B9C" w:rsidRPr="00471B9C" w14:paraId="5542A831" w14:textId="77777777" w:rsidTr="00471B9C">
        <w:trPr>
          <w:gridBefore w:val="1"/>
          <w:wBefore w:w="15" w:type="pct"/>
        </w:trPr>
        <w:tc>
          <w:tcPr>
            <w:tcW w:w="2492" w:type="pct"/>
            <w:gridSpan w:val="2"/>
            <w:tcBorders>
              <w:top w:val="nil"/>
              <w:left w:val="nil"/>
              <w:bottom w:val="nil"/>
              <w:right w:val="nil"/>
            </w:tcBorders>
          </w:tcPr>
          <w:p w14:paraId="4C55C5BD" w14:textId="77777777" w:rsidR="00471B9C" w:rsidRPr="00471B9C" w:rsidRDefault="00471B9C" w:rsidP="00471B9C">
            <w:pPr>
              <w:ind w:right="-57"/>
              <w:jc w:val="both"/>
              <w:rPr>
                <w:bCs w:val="0"/>
                <w:sz w:val="10"/>
                <w:szCs w:val="10"/>
              </w:rPr>
            </w:pPr>
          </w:p>
        </w:tc>
        <w:tc>
          <w:tcPr>
            <w:tcW w:w="2493" w:type="pct"/>
            <w:gridSpan w:val="2"/>
            <w:tcBorders>
              <w:top w:val="nil"/>
              <w:left w:val="nil"/>
              <w:bottom w:val="nil"/>
              <w:right w:val="nil"/>
            </w:tcBorders>
          </w:tcPr>
          <w:p w14:paraId="118FD09C" w14:textId="77777777" w:rsidR="00471B9C" w:rsidRPr="00471B9C" w:rsidRDefault="00471B9C" w:rsidP="00471B9C">
            <w:pPr>
              <w:pStyle w:val="ListParagraph"/>
              <w:ind w:left="644" w:right="-57"/>
              <w:jc w:val="both"/>
              <w:rPr>
                <w:bCs w:val="0"/>
                <w:i/>
                <w:sz w:val="10"/>
                <w:szCs w:val="10"/>
              </w:rPr>
            </w:pPr>
          </w:p>
        </w:tc>
      </w:tr>
      <w:tr w:rsidR="00471B9C" w:rsidRPr="00471B9C" w14:paraId="096836E3" w14:textId="77777777" w:rsidTr="00471B9C">
        <w:trPr>
          <w:gridBefore w:val="1"/>
          <w:wBefore w:w="15" w:type="pct"/>
        </w:trPr>
        <w:tc>
          <w:tcPr>
            <w:tcW w:w="2492" w:type="pct"/>
            <w:gridSpan w:val="2"/>
            <w:tcBorders>
              <w:top w:val="nil"/>
              <w:left w:val="nil"/>
              <w:bottom w:val="nil"/>
              <w:right w:val="nil"/>
            </w:tcBorders>
          </w:tcPr>
          <w:p w14:paraId="59C76FA2" w14:textId="6549A3AE" w:rsidR="00471B9C" w:rsidRDefault="00471B9C" w:rsidP="00070D1F">
            <w:pPr>
              <w:pStyle w:val="ListParagraph"/>
              <w:numPr>
                <w:ilvl w:val="0"/>
                <w:numId w:val="260"/>
              </w:numPr>
              <w:ind w:right="-57"/>
              <w:jc w:val="both"/>
              <w:rPr>
                <w:bCs w:val="0"/>
                <w:sz w:val="18"/>
                <w:szCs w:val="18"/>
              </w:rPr>
            </w:pPr>
            <w:r>
              <w:rPr>
                <w:bCs w:val="0"/>
                <w:sz w:val="18"/>
                <w:szCs w:val="18"/>
              </w:rPr>
              <w:t>Alat Kesehatan Endoskopi</w:t>
            </w:r>
          </w:p>
        </w:tc>
        <w:tc>
          <w:tcPr>
            <w:tcW w:w="2493" w:type="pct"/>
            <w:gridSpan w:val="2"/>
            <w:tcBorders>
              <w:top w:val="nil"/>
              <w:left w:val="nil"/>
              <w:bottom w:val="nil"/>
              <w:right w:val="nil"/>
            </w:tcBorders>
          </w:tcPr>
          <w:p w14:paraId="53128AEB" w14:textId="1C02935A" w:rsidR="00471B9C" w:rsidRPr="00781072" w:rsidRDefault="00471B9C" w:rsidP="00070D1F">
            <w:pPr>
              <w:pStyle w:val="ListParagraph"/>
              <w:numPr>
                <w:ilvl w:val="0"/>
                <w:numId w:val="373"/>
              </w:numPr>
              <w:ind w:right="-57"/>
              <w:jc w:val="both"/>
              <w:rPr>
                <w:bCs w:val="0"/>
                <w:i/>
                <w:sz w:val="18"/>
                <w:szCs w:val="18"/>
              </w:rPr>
            </w:pPr>
            <w:r w:rsidRPr="00781072">
              <w:rPr>
                <w:bCs w:val="0"/>
                <w:i/>
                <w:sz w:val="18"/>
                <w:szCs w:val="18"/>
              </w:rPr>
              <w:t>Endoscopic Medical Devices</w:t>
            </w:r>
          </w:p>
        </w:tc>
      </w:tr>
    </w:tbl>
    <w:p w14:paraId="49C35135" w14:textId="31EAFA24" w:rsidR="00957461" w:rsidRDefault="00957461"/>
    <w:tbl>
      <w:tblPr>
        <w:tblW w:w="9197" w:type="dxa"/>
        <w:tblInd w:w="392" w:type="dxa"/>
        <w:tblLook w:val="0000" w:firstRow="0" w:lastRow="0" w:firstColumn="0" w:lastColumn="0" w:noHBand="0" w:noVBand="0"/>
      </w:tblPr>
      <w:tblGrid>
        <w:gridCol w:w="4598"/>
        <w:gridCol w:w="4599"/>
      </w:tblGrid>
      <w:tr w:rsidR="00957461" w:rsidRPr="0013526B" w14:paraId="49DF0795" w14:textId="77777777" w:rsidTr="002108FF">
        <w:tc>
          <w:tcPr>
            <w:tcW w:w="2500" w:type="pct"/>
            <w:tcBorders>
              <w:top w:val="nil"/>
              <w:left w:val="nil"/>
              <w:bottom w:val="nil"/>
              <w:right w:val="nil"/>
            </w:tcBorders>
          </w:tcPr>
          <w:p w14:paraId="21026D29" w14:textId="4314926C" w:rsidR="00957461" w:rsidRPr="003E174A" w:rsidRDefault="00957461" w:rsidP="00753AA2">
            <w:pPr>
              <w:ind w:left="284" w:right="-57"/>
              <w:jc w:val="both"/>
              <w:rPr>
                <w:sz w:val="18"/>
                <w:szCs w:val="18"/>
                <w:highlight w:val="cyan"/>
                <w:u w:val="single"/>
              </w:rPr>
            </w:pPr>
            <w:r w:rsidRPr="00957461">
              <w:rPr>
                <w:sz w:val="18"/>
                <w:szCs w:val="18"/>
                <w:u w:val="single"/>
              </w:rPr>
              <w:t>SIS</w:t>
            </w:r>
          </w:p>
        </w:tc>
        <w:tc>
          <w:tcPr>
            <w:tcW w:w="2500" w:type="pct"/>
            <w:tcBorders>
              <w:top w:val="nil"/>
              <w:left w:val="nil"/>
              <w:bottom w:val="nil"/>
              <w:right w:val="nil"/>
            </w:tcBorders>
          </w:tcPr>
          <w:p w14:paraId="75228F44" w14:textId="3889EE23" w:rsidR="00957461" w:rsidRPr="00C5357E" w:rsidRDefault="00957461" w:rsidP="00753AA2">
            <w:pPr>
              <w:ind w:left="284" w:right="-57"/>
              <w:jc w:val="both"/>
              <w:rPr>
                <w:i/>
                <w:sz w:val="18"/>
                <w:szCs w:val="18"/>
                <w:u w:val="single"/>
              </w:rPr>
            </w:pPr>
            <w:r>
              <w:rPr>
                <w:i/>
                <w:sz w:val="18"/>
                <w:szCs w:val="18"/>
                <w:u w:val="single"/>
              </w:rPr>
              <w:t>SIS</w:t>
            </w:r>
          </w:p>
        </w:tc>
      </w:tr>
      <w:tr w:rsidR="004316FA" w:rsidRPr="00471B9C" w14:paraId="19D6E33B" w14:textId="77777777" w:rsidTr="002108FF">
        <w:tc>
          <w:tcPr>
            <w:tcW w:w="2500" w:type="pct"/>
            <w:tcBorders>
              <w:top w:val="nil"/>
              <w:left w:val="nil"/>
              <w:bottom w:val="nil"/>
              <w:right w:val="nil"/>
            </w:tcBorders>
          </w:tcPr>
          <w:p w14:paraId="7A593E5B" w14:textId="77777777" w:rsidR="004316FA" w:rsidRPr="00471B9C" w:rsidRDefault="004316FA" w:rsidP="00753AA2">
            <w:pPr>
              <w:ind w:left="284" w:right="-57"/>
              <w:jc w:val="both"/>
              <w:rPr>
                <w:sz w:val="10"/>
                <w:szCs w:val="10"/>
                <w:u w:val="single"/>
              </w:rPr>
            </w:pPr>
          </w:p>
        </w:tc>
        <w:tc>
          <w:tcPr>
            <w:tcW w:w="2500" w:type="pct"/>
            <w:tcBorders>
              <w:top w:val="nil"/>
              <w:left w:val="nil"/>
              <w:bottom w:val="nil"/>
              <w:right w:val="nil"/>
            </w:tcBorders>
          </w:tcPr>
          <w:p w14:paraId="4CBA157B" w14:textId="77777777" w:rsidR="004316FA" w:rsidRPr="00471B9C" w:rsidRDefault="004316FA" w:rsidP="00753AA2">
            <w:pPr>
              <w:ind w:left="284" w:right="-57"/>
              <w:jc w:val="both"/>
              <w:rPr>
                <w:i/>
                <w:sz w:val="10"/>
                <w:szCs w:val="10"/>
                <w:u w:val="single"/>
              </w:rPr>
            </w:pPr>
          </w:p>
        </w:tc>
      </w:tr>
      <w:tr w:rsidR="00957461" w:rsidRPr="0013526B" w14:paraId="48FC989E" w14:textId="77777777" w:rsidTr="002108FF">
        <w:tc>
          <w:tcPr>
            <w:tcW w:w="2500" w:type="pct"/>
            <w:tcBorders>
              <w:top w:val="nil"/>
              <w:left w:val="nil"/>
              <w:bottom w:val="nil"/>
              <w:right w:val="nil"/>
            </w:tcBorders>
          </w:tcPr>
          <w:p w14:paraId="25533256" w14:textId="434A0A91" w:rsidR="00957461" w:rsidRPr="00957461" w:rsidRDefault="00957461" w:rsidP="00066561">
            <w:pPr>
              <w:ind w:left="284" w:right="-57"/>
              <w:jc w:val="both"/>
              <w:rPr>
                <w:bCs w:val="0"/>
                <w:sz w:val="18"/>
                <w:szCs w:val="18"/>
              </w:rPr>
            </w:pPr>
            <w:r w:rsidRPr="00957461">
              <w:rPr>
                <w:bCs w:val="0"/>
                <w:sz w:val="18"/>
                <w:szCs w:val="18"/>
              </w:rPr>
              <w:t>Berdasarkan Akta Surat Utang No. 36</w:t>
            </w:r>
            <w:r w:rsidR="00305CA0">
              <w:rPr>
                <w:bCs w:val="0"/>
                <w:sz w:val="18"/>
                <w:szCs w:val="18"/>
              </w:rPr>
              <w:t>.</w:t>
            </w:r>
            <w:r w:rsidRPr="00957461">
              <w:rPr>
                <w:bCs w:val="0"/>
                <w:sz w:val="18"/>
                <w:szCs w:val="18"/>
              </w:rPr>
              <w:t xml:space="preserve"> Akta Jaminan </w:t>
            </w:r>
            <w:r>
              <w:rPr>
                <w:bCs w:val="0"/>
                <w:sz w:val="18"/>
                <w:szCs w:val="18"/>
              </w:rPr>
              <w:br/>
            </w:r>
            <w:r w:rsidRPr="00957461">
              <w:rPr>
                <w:bCs w:val="0"/>
                <w:sz w:val="18"/>
                <w:szCs w:val="18"/>
              </w:rPr>
              <w:t>No. 37</w:t>
            </w:r>
            <w:r>
              <w:rPr>
                <w:bCs w:val="0"/>
                <w:sz w:val="18"/>
                <w:szCs w:val="18"/>
              </w:rPr>
              <w:t xml:space="preserve"> </w:t>
            </w:r>
            <w:r w:rsidRPr="00957461">
              <w:rPr>
                <w:bCs w:val="0"/>
                <w:sz w:val="18"/>
                <w:szCs w:val="18"/>
              </w:rPr>
              <w:t>dan Akta Pernyataan dan Jaminan No. 38 yang masing</w:t>
            </w:r>
            <w:r>
              <w:rPr>
                <w:bCs w:val="0"/>
                <w:sz w:val="18"/>
                <w:szCs w:val="18"/>
              </w:rPr>
              <w:t>-</w:t>
            </w:r>
            <w:r w:rsidRPr="00957461">
              <w:rPr>
                <w:bCs w:val="0"/>
                <w:sz w:val="18"/>
                <w:szCs w:val="18"/>
              </w:rPr>
              <w:t>masing</w:t>
            </w:r>
            <w:r>
              <w:rPr>
                <w:bCs w:val="0"/>
                <w:sz w:val="18"/>
                <w:szCs w:val="18"/>
              </w:rPr>
              <w:t xml:space="preserve"> </w:t>
            </w:r>
            <w:r w:rsidRPr="00957461">
              <w:rPr>
                <w:bCs w:val="0"/>
                <w:sz w:val="18"/>
                <w:szCs w:val="18"/>
              </w:rPr>
              <w:t>dibuat pada tanggal 30 Januari 2019 dihadapan</w:t>
            </w:r>
            <w:r>
              <w:rPr>
                <w:bCs w:val="0"/>
                <w:sz w:val="18"/>
                <w:szCs w:val="18"/>
              </w:rPr>
              <w:t xml:space="preserve"> </w:t>
            </w:r>
            <w:r w:rsidRPr="00957461">
              <w:rPr>
                <w:bCs w:val="0"/>
                <w:sz w:val="18"/>
                <w:szCs w:val="18"/>
              </w:rPr>
              <w:t>Notaris Muliani Santoso</w:t>
            </w:r>
            <w:r w:rsidR="00305CA0">
              <w:rPr>
                <w:bCs w:val="0"/>
                <w:sz w:val="18"/>
                <w:szCs w:val="18"/>
              </w:rPr>
              <w:t>.</w:t>
            </w:r>
            <w:r w:rsidRPr="00957461">
              <w:rPr>
                <w:bCs w:val="0"/>
                <w:sz w:val="18"/>
                <w:szCs w:val="18"/>
              </w:rPr>
              <w:t xml:space="preserve"> </w:t>
            </w:r>
            <w:proofErr w:type="gramStart"/>
            <w:r w:rsidRPr="00957461">
              <w:rPr>
                <w:bCs w:val="0"/>
                <w:sz w:val="18"/>
                <w:szCs w:val="18"/>
              </w:rPr>
              <w:t>SH.</w:t>
            </w:r>
            <w:r w:rsidR="00305CA0">
              <w:rPr>
                <w:bCs w:val="0"/>
                <w:sz w:val="18"/>
                <w:szCs w:val="18"/>
              </w:rPr>
              <w:t>.</w:t>
            </w:r>
            <w:proofErr w:type="gramEnd"/>
            <w:r w:rsidRPr="00957461">
              <w:rPr>
                <w:bCs w:val="0"/>
                <w:sz w:val="18"/>
                <w:szCs w:val="18"/>
              </w:rPr>
              <w:t xml:space="preserve"> Notaris di Jakarta</w:t>
            </w:r>
            <w:r w:rsidR="00305CA0">
              <w:rPr>
                <w:bCs w:val="0"/>
                <w:sz w:val="18"/>
                <w:szCs w:val="18"/>
              </w:rPr>
              <w:t>.</w:t>
            </w:r>
            <w:r w:rsidRPr="00957461">
              <w:rPr>
                <w:bCs w:val="0"/>
                <w:sz w:val="18"/>
                <w:szCs w:val="18"/>
              </w:rPr>
              <w:t xml:space="preserve"> Perusahaan</w:t>
            </w:r>
            <w:r>
              <w:rPr>
                <w:bCs w:val="0"/>
                <w:sz w:val="18"/>
                <w:szCs w:val="18"/>
              </w:rPr>
              <w:t xml:space="preserve"> </w:t>
            </w:r>
            <w:r w:rsidRPr="00957461">
              <w:rPr>
                <w:bCs w:val="0"/>
                <w:sz w:val="18"/>
                <w:szCs w:val="18"/>
              </w:rPr>
              <w:t>memperoleh fasilitas Pinjaman Tetap Angsuran (PTA) Line</w:t>
            </w:r>
            <w:r>
              <w:rPr>
                <w:bCs w:val="0"/>
                <w:sz w:val="18"/>
                <w:szCs w:val="18"/>
              </w:rPr>
              <w:t xml:space="preserve"> </w:t>
            </w:r>
            <w:r w:rsidRPr="00957461">
              <w:rPr>
                <w:bCs w:val="0"/>
                <w:sz w:val="18"/>
                <w:szCs w:val="18"/>
              </w:rPr>
              <w:t xml:space="preserve">masing-masing memiliki </w:t>
            </w:r>
            <w:r w:rsidRPr="00957461">
              <w:rPr>
                <w:bCs w:val="0"/>
                <w:i/>
                <w:iCs/>
                <w:sz w:val="18"/>
                <w:szCs w:val="18"/>
              </w:rPr>
              <w:t>plafond</w:t>
            </w:r>
            <w:r w:rsidRPr="00957461">
              <w:rPr>
                <w:bCs w:val="0"/>
                <w:sz w:val="18"/>
                <w:szCs w:val="18"/>
              </w:rPr>
              <w:t xml:space="preserve"> maksimal sebesar</w:t>
            </w:r>
            <w:r>
              <w:rPr>
                <w:bCs w:val="0"/>
                <w:sz w:val="18"/>
                <w:szCs w:val="18"/>
              </w:rPr>
              <w:t xml:space="preserve"> </w:t>
            </w:r>
            <w:r w:rsidRPr="00957461">
              <w:rPr>
                <w:bCs w:val="0"/>
                <w:sz w:val="18"/>
                <w:szCs w:val="18"/>
              </w:rPr>
              <w:t>Rp</w:t>
            </w:r>
            <w:r>
              <w:rPr>
                <w:bCs w:val="0"/>
                <w:sz w:val="18"/>
                <w:szCs w:val="18"/>
              </w:rPr>
              <w:t xml:space="preserve"> </w:t>
            </w:r>
            <w:proofErr w:type="gramStart"/>
            <w:r w:rsidRPr="00957461">
              <w:rPr>
                <w:bCs w:val="0"/>
                <w:sz w:val="18"/>
                <w:szCs w:val="18"/>
              </w:rPr>
              <w:t>150</w:t>
            </w:r>
            <w:r>
              <w:rPr>
                <w:bCs w:val="0"/>
                <w:sz w:val="18"/>
                <w:szCs w:val="18"/>
              </w:rPr>
              <w:t>.</w:t>
            </w:r>
            <w:r w:rsidRPr="00957461">
              <w:rPr>
                <w:bCs w:val="0"/>
                <w:sz w:val="18"/>
                <w:szCs w:val="18"/>
              </w:rPr>
              <w:t>000</w:t>
            </w:r>
            <w:r>
              <w:rPr>
                <w:bCs w:val="0"/>
                <w:sz w:val="18"/>
                <w:szCs w:val="18"/>
              </w:rPr>
              <w:t>.</w:t>
            </w:r>
            <w:r w:rsidRPr="00957461">
              <w:rPr>
                <w:bCs w:val="0"/>
                <w:sz w:val="18"/>
                <w:szCs w:val="18"/>
              </w:rPr>
              <w:t>000</w:t>
            </w:r>
            <w:r>
              <w:rPr>
                <w:bCs w:val="0"/>
                <w:sz w:val="18"/>
                <w:szCs w:val="18"/>
              </w:rPr>
              <w:t>.</w:t>
            </w:r>
            <w:r w:rsidRPr="00957461">
              <w:rPr>
                <w:bCs w:val="0"/>
                <w:sz w:val="18"/>
                <w:szCs w:val="18"/>
              </w:rPr>
              <w:t>000  dari</w:t>
            </w:r>
            <w:proofErr w:type="gramEnd"/>
            <w:r w:rsidRPr="00957461">
              <w:rPr>
                <w:bCs w:val="0"/>
                <w:sz w:val="18"/>
                <w:szCs w:val="18"/>
              </w:rPr>
              <w:t xml:space="preserve">  PT Bank Mayapada International</w:t>
            </w:r>
            <w:r w:rsidR="00305CA0">
              <w:rPr>
                <w:bCs w:val="0"/>
                <w:sz w:val="18"/>
                <w:szCs w:val="18"/>
              </w:rPr>
              <w:t>.</w:t>
            </w:r>
            <w:r>
              <w:rPr>
                <w:bCs w:val="0"/>
                <w:sz w:val="18"/>
                <w:szCs w:val="18"/>
              </w:rPr>
              <w:t xml:space="preserve"> </w:t>
            </w:r>
            <w:r w:rsidRPr="00957461">
              <w:rPr>
                <w:bCs w:val="0"/>
                <w:sz w:val="18"/>
                <w:szCs w:val="18"/>
              </w:rPr>
              <w:t>Tbk yang ditujukan untuk tambahan modal kerja. Fasilitas</w:t>
            </w:r>
            <w:r>
              <w:rPr>
                <w:bCs w:val="0"/>
                <w:sz w:val="18"/>
                <w:szCs w:val="18"/>
              </w:rPr>
              <w:t xml:space="preserve"> </w:t>
            </w:r>
            <w:r w:rsidRPr="00957461">
              <w:rPr>
                <w:bCs w:val="0"/>
                <w:sz w:val="18"/>
                <w:szCs w:val="18"/>
              </w:rPr>
              <w:t xml:space="preserve">berlaku selama </w:t>
            </w:r>
            <w:r w:rsidR="004316FA">
              <w:rPr>
                <w:bCs w:val="0"/>
                <w:sz w:val="18"/>
                <w:szCs w:val="18"/>
              </w:rPr>
              <w:br/>
            </w:r>
            <w:r w:rsidRPr="00957461">
              <w:rPr>
                <w:bCs w:val="0"/>
                <w:sz w:val="18"/>
                <w:szCs w:val="18"/>
              </w:rPr>
              <w:t>120 (seratus dua puluh) bulan dan memiliki</w:t>
            </w:r>
            <w:r>
              <w:rPr>
                <w:bCs w:val="0"/>
                <w:sz w:val="18"/>
                <w:szCs w:val="18"/>
              </w:rPr>
              <w:t xml:space="preserve"> </w:t>
            </w:r>
            <w:r w:rsidRPr="00957461">
              <w:rPr>
                <w:bCs w:val="0"/>
                <w:i/>
                <w:iCs/>
                <w:sz w:val="18"/>
                <w:szCs w:val="18"/>
              </w:rPr>
              <w:t>grace period</w:t>
            </w:r>
            <w:r w:rsidRPr="00957461">
              <w:rPr>
                <w:bCs w:val="0"/>
                <w:sz w:val="18"/>
                <w:szCs w:val="18"/>
              </w:rPr>
              <w:t xml:space="preserve"> selama 24 bulan dimana Perusahaan hanya</w:t>
            </w:r>
            <w:r>
              <w:rPr>
                <w:bCs w:val="0"/>
                <w:sz w:val="18"/>
                <w:szCs w:val="18"/>
              </w:rPr>
              <w:t xml:space="preserve"> </w:t>
            </w:r>
            <w:r w:rsidRPr="00957461">
              <w:rPr>
                <w:bCs w:val="0"/>
                <w:sz w:val="18"/>
                <w:szCs w:val="18"/>
              </w:rPr>
              <w:t>berkewajiban membayar bunga pinjaman saja fasilitas ini</w:t>
            </w:r>
            <w:r>
              <w:rPr>
                <w:bCs w:val="0"/>
                <w:sz w:val="18"/>
                <w:szCs w:val="18"/>
              </w:rPr>
              <w:t xml:space="preserve"> </w:t>
            </w:r>
            <w:r w:rsidRPr="00957461">
              <w:rPr>
                <w:bCs w:val="0"/>
                <w:sz w:val="18"/>
                <w:szCs w:val="18"/>
              </w:rPr>
              <w:t>dikenakan bunga sebesar 11% per tahun dan fasilitas ini</w:t>
            </w:r>
            <w:r>
              <w:rPr>
                <w:bCs w:val="0"/>
                <w:sz w:val="18"/>
                <w:szCs w:val="18"/>
              </w:rPr>
              <w:t xml:space="preserve">  </w:t>
            </w:r>
            <w:r w:rsidRPr="00957461">
              <w:rPr>
                <w:bCs w:val="0"/>
                <w:sz w:val="18"/>
                <w:szCs w:val="18"/>
              </w:rPr>
              <w:t>dijaminkan dengan tanah yang berlokasi di Kabupaten</w:t>
            </w:r>
            <w:r>
              <w:rPr>
                <w:bCs w:val="0"/>
                <w:sz w:val="18"/>
                <w:szCs w:val="18"/>
              </w:rPr>
              <w:t xml:space="preserve"> </w:t>
            </w:r>
            <w:r w:rsidRPr="00957461">
              <w:rPr>
                <w:bCs w:val="0"/>
                <w:sz w:val="18"/>
                <w:szCs w:val="18"/>
              </w:rPr>
              <w:t>Bogor</w:t>
            </w:r>
            <w:r w:rsidR="00305CA0">
              <w:rPr>
                <w:bCs w:val="0"/>
                <w:sz w:val="18"/>
                <w:szCs w:val="18"/>
              </w:rPr>
              <w:t>.</w:t>
            </w:r>
            <w:r w:rsidRPr="00957461">
              <w:rPr>
                <w:bCs w:val="0"/>
                <w:sz w:val="18"/>
                <w:szCs w:val="18"/>
              </w:rPr>
              <w:t xml:space="preserve"> Kecamatan Babakan Madang</w:t>
            </w:r>
            <w:r w:rsidR="00305CA0">
              <w:rPr>
                <w:bCs w:val="0"/>
                <w:sz w:val="18"/>
                <w:szCs w:val="18"/>
              </w:rPr>
              <w:t>.</w:t>
            </w:r>
            <w:r w:rsidRPr="00957461">
              <w:rPr>
                <w:bCs w:val="0"/>
                <w:sz w:val="18"/>
                <w:szCs w:val="18"/>
              </w:rPr>
              <w:t xml:space="preserve"> Desa Citaringgul</w:t>
            </w:r>
            <w:r>
              <w:rPr>
                <w:bCs w:val="0"/>
                <w:sz w:val="18"/>
                <w:szCs w:val="18"/>
              </w:rPr>
              <w:t xml:space="preserve"> </w:t>
            </w:r>
            <w:r w:rsidRPr="00957461">
              <w:rPr>
                <w:bCs w:val="0"/>
                <w:sz w:val="18"/>
                <w:szCs w:val="18"/>
              </w:rPr>
              <w:t>seluas 20</w:t>
            </w:r>
            <w:r w:rsidR="00870FD0">
              <w:rPr>
                <w:bCs w:val="0"/>
                <w:sz w:val="18"/>
                <w:szCs w:val="18"/>
              </w:rPr>
              <w:t>.</w:t>
            </w:r>
            <w:r w:rsidRPr="00957461">
              <w:rPr>
                <w:bCs w:val="0"/>
                <w:sz w:val="18"/>
                <w:szCs w:val="18"/>
              </w:rPr>
              <w:t>000 m2</w:t>
            </w:r>
            <w:r w:rsidR="00305CA0">
              <w:rPr>
                <w:bCs w:val="0"/>
                <w:sz w:val="18"/>
                <w:szCs w:val="18"/>
              </w:rPr>
              <w:t>.</w:t>
            </w:r>
            <w:r w:rsidRPr="00957461">
              <w:rPr>
                <w:bCs w:val="0"/>
                <w:sz w:val="18"/>
                <w:szCs w:val="18"/>
              </w:rPr>
              <w:t xml:space="preserve"> </w:t>
            </w:r>
            <w:proofErr w:type="gramStart"/>
            <w:r w:rsidRPr="00957461">
              <w:rPr>
                <w:bCs w:val="0"/>
                <w:sz w:val="18"/>
                <w:szCs w:val="18"/>
              </w:rPr>
              <w:t>dengan</w:t>
            </w:r>
            <w:proofErr w:type="gramEnd"/>
            <w:r w:rsidRPr="00957461">
              <w:rPr>
                <w:bCs w:val="0"/>
                <w:sz w:val="18"/>
                <w:szCs w:val="18"/>
              </w:rPr>
              <w:t xml:space="preserve"> nomor SHGB No 1887 atas nama</w:t>
            </w:r>
            <w:r>
              <w:rPr>
                <w:bCs w:val="0"/>
                <w:sz w:val="18"/>
                <w:szCs w:val="18"/>
              </w:rPr>
              <w:t xml:space="preserve"> </w:t>
            </w:r>
            <w:r>
              <w:rPr>
                <w:bCs w:val="0"/>
                <w:sz w:val="18"/>
                <w:szCs w:val="18"/>
              </w:rPr>
              <w:br/>
            </w:r>
            <w:r w:rsidRPr="00957461">
              <w:rPr>
                <w:bCs w:val="0"/>
                <w:sz w:val="18"/>
                <w:szCs w:val="18"/>
              </w:rPr>
              <w:t>PT Fajar Kharisma Nusantara.</w:t>
            </w:r>
          </w:p>
        </w:tc>
        <w:tc>
          <w:tcPr>
            <w:tcW w:w="2500" w:type="pct"/>
            <w:tcBorders>
              <w:top w:val="nil"/>
              <w:left w:val="nil"/>
              <w:bottom w:val="nil"/>
              <w:right w:val="nil"/>
            </w:tcBorders>
          </w:tcPr>
          <w:p w14:paraId="03BEC79E" w14:textId="6829E06B" w:rsidR="00957461" w:rsidRPr="00957461" w:rsidRDefault="00957461" w:rsidP="00066561">
            <w:pPr>
              <w:ind w:left="284" w:right="-57"/>
              <w:jc w:val="both"/>
              <w:rPr>
                <w:bCs w:val="0"/>
                <w:i/>
                <w:sz w:val="18"/>
                <w:szCs w:val="18"/>
              </w:rPr>
            </w:pPr>
            <w:r w:rsidRPr="00957461">
              <w:rPr>
                <w:bCs w:val="0"/>
                <w:i/>
                <w:sz w:val="18"/>
                <w:szCs w:val="18"/>
              </w:rPr>
              <w:t>Based on Deed of Debt Securities No. 36</w:t>
            </w:r>
            <w:r w:rsidR="00305CA0">
              <w:rPr>
                <w:bCs w:val="0"/>
                <w:i/>
                <w:sz w:val="18"/>
                <w:szCs w:val="18"/>
              </w:rPr>
              <w:t>.</w:t>
            </w:r>
            <w:r w:rsidRPr="00957461">
              <w:rPr>
                <w:bCs w:val="0"/>
                <w:i/>
                <w:sz w:val="18"/>
                <w:szCs w:val="18"/>
              </w:rPr>
              <w:t xml:space="preserve"> Deed of</w:t>
            </w:r>
            <w:r>
              <w:rPr>
                <w:bCs w:val="0"/>
                <w:i/>
                <w:sz w:val="18"/>
                <w:szCs w:val="18"/>
              </w:rPr>
              <w:t xml:space="preserve"> </w:t>
            </w:r>
            <w:r w:rsidRPr="00957461">
              <w:rPr>
                <w:bCs w:val="0"/>
                <w:i/>
                <w:sz w:val="18"/>
                <w:szCs w:val="18"/>
              </w:rPr>
              <w:t>Guarantee No. 37 and Deed of Statement and Guarante</w:t>
            </w:r>
            <w:r>
              <w:rPr>
                <w:bCs w:val="0"/>
                <w:i/>
                <w:sz w:val="18"/>
                <w:szCs w:val="18"/>
              </w:rPr>
              <w:t xml:space="preserve"> </w:t>
            </w:r>
            <w:r w:rsidRPr="00957461">
              <w:rPr>
                <w:bCs w:val="0"/>
                <w:i/>
                <w:sz w:val="18"/>
                <w:szCs w:val="18"/>
              </w:rPr>
              <w:t>No. 38 on January 30</w:t>
            </w:r>
            <w:r w:rsidR="00305CA0">
              <w:rPr>
                <w:bCs w:val="0"/>
                <w:i/>
                <w:sz w:val="18"/>
                <w:szCs w:val="18"/>
              </w:rPr>
              <w:t>.</w:t>
            </w:r>
            <w:r w:rsidRPr="00957461">
              <w:rPr>
                <w:bCs w:val="0"/>
                <w:i/>
                <w:sz w:val="18"/>
                <w:szCs w:val="18"/>
              </w:rPr>
              <w:t xml:space="preserve"> 2019</w:t>
            </w:r>
            <w:r w:rsidR="00870FD0">
              <w:rPr>
                <w:bCs w:val="0"/>
                <w:i/>
                <w:sz w:val="18"/>
                <w:szCs w:val="18"/>
              </w:rPr>
              <w:t>.</w:t>
            </w:r>
            <w:r w:rsidRPr="00957461">
              <w:rPr>
                <w:bCs w:val="0"/>
                <w:i/>
                <w:sz w:val="18"/>
                <w:szCs w:val="18"/>
              </w:rPr>
              <w:t xml:space="preserve"> </w:t>
            </w:r>
            <w:r w:rsidR="00066561" w:rsidRPr="00957461">
              <w:rPr>
                <w:bCs w:val="0"/>
                <w:i/>
                <w:sz w:val="18"/>
                <w:szCs w:val="18"/>
              </w:rPr>
              <w:t>R</w:t>
            </w:r>
            <w:r w:rsidRPr="00957461">
              <w:rPr>
                <w:bCs w:val="0"/>
                <w:i/>
                <w:sz w:val="18"/>
                <w:szCs w:val="18"/>
              </w:rPr>
              <w:t>espectively</w:t>
            </w:r>
            <w:r w:rsidR="00305CA0">
              <w:rPr>
                <w:bCs w:val="0"/>
                <w:i/>
                <w:sz w:val="18"/>
                <w:szCs w:val="18"/>
              </w:rPr>
              <w:t>.</w:t>
            </w:r>
            <w:r w:rsidRPr="00957461">
              <w:rPr>
                <w:bCs w:val="0"/>
                <w:i/>
                <w:sz w:val="18"/>
                <w:szCs w:val="18"/>
              </w:rPr>
              <w:t xml:space="preserve"> </w:t>
            </w:r>
            <w:proofErr w:type="gramStart"/>
            <w:r w:rsidRPr="00957461">
              <w:rPr>
                <w:bCs w:val="0"/>
                <w:i/>
                <w:sz w:val="18"/>
                <w:szCs w:val="18"/>
              </w:rPr>
              <w:t>made</w:t>
            </w:r>
            <w:proofErr w:type="gramEnd"/>
            <w:r w:rsidRPr="00957461">
              <w:rPr>
                <w:bCs w:val="0"/>
                <w:i/>
                <w:sz w:val="18"/>
                <w:szCs w:val="18"/>
              </w:rPr>
              <w:t xml:space="preserve"> by Muliani</w:t>
            </w:r>
            <w:r>
              <w:rPr>
                <w:bCs w:val="0"/>
                <w:i/>
                <w:sz w:val="18"/>
                <w:szCs w:val="18"/>
              </w:rPr>
              <w:t xml:space="preserve"> </w:t>
            </w:r>
            <w:r w:rsidRPr="00957461">
              <w:rPr>
                <w:bCs w:val="0"/>
                <w:i/>
                <w:sz w:val="18"/>
                <w:szCs w:val="18"/>
              </w:rPr>
              <w:t>Santoso</w:t>
            </w:r>
            <w:r w:rsidR="00305CA0">
              <w:rPr>
                <w:bCs w:val="0"/>
                <w:i/>
                <w:sz w:val="18"/>
                <w:szCs w:val="18"/>
              </w:rPr>
              <w:t>.</w:t>
            </w:r>
            <w:r w:rsidRPr="00957461">
              <w:rPr>
                <w:bCs w:val="0"/>
                <w:i/>
                <w:sz w:val="18"/>
                <w:szCs w:val="18"/>
              </w:rPr>
              <w:t xml:space="preserve"> </w:t>
            </w:r>
            <w:proofErr w:type="gramStart"/>
            <w:r w:rsidRPr="00957461">
              <w:rPr>
                <w:bCs w:val="0"/>
                <w:i/>
                <w:sz w:val="18"/>
                <w:szCs w:val="18"/>
              </w:rPr>
              <w:t>SH.</w:t>
            </w:r>
            <w:r w:rsidR="00305CA0">
              <w:rPr>
                <w:bCs w:val="0"/>
                <w:i/>
                <w:sz w:val="18"/>
                <w:szCs w:val="18"/>
              </w:rPr>
              <w:t>.</w:t>
            </w:r>
            <w:proofErr w:type="gramEnd"/>
            <w:r w:rsidRPr="00957461">
              <w:rPr>
                <w:bCs w:val="0"/>
                <w:i/>
                <w:sz w:val="18"/>
                <w:szCs w:val="18"/>
              </w:rPr>
              <w:t xml:space="preserve"> Notary in Jakarta</w:t>
            </w:r>
            <w:r w:rsidR="00305CA0">
              <w:rPr>
                <w:bCs w:val="0"/>
                <w:i/>
                <w:sz w:val="18"/>
                <w:szCs w:val="18"/>
              </w:rPr>
              <w:t>.</w:t>
            </w:r>
            <w:r w:rsidRPr="00957461">
              <w:rPr>
                <w:bCs w:val="0"/>
                <w:i/>
                <w:sz w:val="18"/>
                <w:szCs w:val="18"/>
              </w:rPr>
              <w:t xml:space="preserve"> </w:t>
            </w:r>
            <w:proofErr w:type="gramStart"/>
            <w:r w:rsidRPr="00957461">
              <w:rPr>
                <w:bCs w:val="0"/>
                <w:i/>
                <w:sz w:val="18"/>
                <w:szCs w:val="18"/>
              </w:rPr>
              <w:t>the</w:t>
            </w:r>
            <w:proofErr w:type="gramEnd"/>
            <w:r w:rsidRPr="00957461">
              <w:rPr>
                <w:bCs w:val="0"/>
                <w:i/>
                <w:sz w:val="18"/>
                <w:szCs w:val="18"/>
              </w:rPr>
              <w:t xml:space="preserve"> Company obtained an</w:t>
            </w:r>
            <w:r>
              <w:rPr>
                <w:bCs w:val="0"/>
                <w:i/>
                <w:sz w:val="18"/>
                <w:szCs w:val="18"/>
              </w:rPr>
              <w:t xml:space="preserve"> </w:t>
            </w:r>
            <w:r w:rsidRPr="00957461">
              <w:rPr>
                <w:bCs w:val="0"/>
                <w:i/>
                <w:sz w:val="18"/>
                <w:szCs w:val="18"/>
              </w:rPr>
              <w:t>Fixed Annual Term Loan (FATL) Line Facility amounting to</w:t>
            </w:r>
            <w:r>
              <w:rPr>
                <w:bCs w:val="0"/>
                <w:i/>
                <w:sz w:val="18"/>
                <w:szCs w:val="18"/>
              </w:rPr>
              <w:t xml:space="preserve"> </w:t>
            </w:r>
            <w:r w:rsidRPr="00957461">
              <w:rPr>
                <w:bCs w:val="0"/>
                <w:i/>
                <w:sz w:val="18"/>
                <w:szCs w:val="18"/>
              </w:rPr>
              <w:t>Rp150</w:t>
            </w:r>
            <w:r w:rsidR="00305CA0">
              <w:rPr>
                <w:bCs w:val="0"/>
                <w:i/>
                <w:sz w:val="18"/>
                <w:szCs w:val="18"/>
              </w:rPr>
              <w:t>.</w:t>
            </w:r>
            <w:r w:rsidRPr="00957461">
              <w:rPr>
                <w:bCs w:val="0"/>
                <w:i/>
                <w:sz w:val="18"/>
                <w:szCs w:val="18"/>
              </w:rPr>
              <w:t>000</w:t>
            </w:r>
            <w:r w:rsidR="00305CA0">
              <w:rPr>
                <w:bCs w:val="0"/>
                <w:i/>
                <w:sz w:val="18"/>
                <w:szCs w:val="18"/>
              </w:rPr>
              <w:t>.</w:t>
            </w:r>
            <w:r w:rsidRPr="00957461">
              <w:rPr>
                <w:bCs w:val="0"/>
                <w:i/>
                <w:sz w:val="18"/>
                <w:szCs w:val="18"/>
              </w:rPr>
              <w:t>000</w:t>
            </w:r>
            <w:r w:rsidR="00305CA0">
              <w:rPr>
                <w:bCs w:val="0"/>
                <w:i/>
                <w:sz w:val="18"/>
                <w:szCs w:val="18"/>
              </w:rPr>
              <w:t>.</w:t>
            </w:r>
            <w:r w:rsidRPr="00957461">
              <w:rPr>
                <w:bCs w:val="0"/>
                <w:i/>
                <w:sz w:val="18"/>
                <w:szCs w:val="18"/>
              </w:rPr>
              <w:t>000</w:t>
            </w:r>
            <w:r w:rsidR="00305CA0">
              <w:rPr>
                <w:bCs w:val="0"/>
                <w:i/>
                <w:sz w:val="18"/>
                <w:szCs w:val="18"/>
              </w:rPr>
              <w:t>.</w:t>
            </w:r>
            <w:r w:rsidRPr="00957461">
              <w:rPr>
                <w:bCs w:val="0"/>
                <w:i/>
                <w:sz w:val="18"/>
                <w:szCs w:val="18"/>
              </w:rPr>
              <w:t xml:space="preserve"> from PT Bank Mayapada</w:t>
            </w:r>
            <w:r>
              <w:rPr>
                <w:bCs w:val="0"/>
                <w:i/>
                <w:sz w:val="18"/>
                <w:szCs w:val="18"/>
              </w:rPr>
              <w:t xml:space="preserve"> </w:t>
            </w:r>
            <w:r w:rsidRPr="00957461">
              <w:rPr>
                <w:bCs w:val="0"/>
                <w:i/>
                <w:sz w:val="18"/>
                <w:szCs w:val="18"/>
              </w:rPr>
              <w:t>International</w:t>
            </w:r>
            <w:r w:rsidR="00870FD0">
              <w:rPr>
                <w:bCs w:val="0"/>
                <w:i/>
                <w:sz w:val="18"/>
                <w:szCs w:val="18"/>
              </w:rPr>
              <w:t>.</w:t>
            </w:r>
            <w:r w:rsidRPr="00957461">
              <w:rPr>
                <w:bCs w:val="0"/>
                <w:i/>
                <w:sz w:val="18"/>
                <w:szCs w:val="18"/>
              </w:rPr>
              <w:t xml:space="preserve"> Tbk for working capital financing. This facility</w:t>
            </w:r>
            <w:r>
              <w:rPr>
                <w:bCs w:val="0"/>
                <w:i/>
                <w:sz w:val="18"/>
                <w:szCs w:val="18"/>
              </w:rPr>
              <w:t xml:space="preserve"> </w:t>
            </w:r>
            <w:r w:rsidRPr="00957461">
              <w:rPr>
                <w:bCs w:val="0"/>
                <w:i/>
                <w:sz w:val="18"/>
                <w:szCs w:val="18"/>
              </w:rPr>
              <w:t>is valid for 120 (one hundred twenty) months and has a</w:t>
            </w:r>
            <w:r>
              <w:rPr>
                <w:bCs w:val="0"/>
                <w:i/>
                <w:sz w:val="18"/>
                <w:szCs w:val="18"/>
              </w:rPr>
              <w:t xml:space="preserve"> </w:t>
            </w:r>
            <w:r w:rsidRPr="00957461">
              <w:rPr>
                <w:bCs w:val="0"/>
                <w:i/>
                <w:sz w:val="18"/>
                <w:szCs w:val="18"/>
              </w:rPr>
              <w:t>grace period of 24 months where the company is only</w:t>
            </w:r>
            <w:r>
              <w:rPr>
                <w:bCs w:val="0"/>
                <w:i/>
                <w:sz w:val="18"/>
                <w:szCs w:val="18"/>
              </w:rPr>
              <w:t xml:space="preserve"> </w:t>
            </w:r>
            <w:r w:rsidRPr="00957461">
              <w:rPr>
                <w:bCs w:val="0"/>
                <w:i/>
                <w:sz w:val="18"/>
                <w:szCs w:val="18"/>
              </w:rPr>
              <w:t>obliged to pay interest on the loan only this facility requires</w:t>
            </w:r>
            <w:r>
              <w:rPr>
                <w:bCs w:val="0"/>
                <w:i/>
                <w:sz w:val="18"/>
                <w:szCs w:val="18"/>
              </w:rPr>
              <w:t xml:space="preserve"> </w:t>
            </w:r>
            <w:r w:rsidRPr="00957461">
              <w:rPr>
                <w:bCs w:val="0"/>
                <w:i/>
                <w:sz w:val="18"/>
                <w:szCs w:val="18"/>
              </w:rPr>
              <w:t>an interest of 11% per year and this facility is collateralized</w:t>
            </w:r>
            <w:r>
              <w:rPr>
                <w:bCs w:val="0"/>
                <w:i/>
                <w:sz w:val="18"/>
                <w:szCs w:val="18"/>
              </w:rPr>
              <w:t xml:space="preserve"> </w:t>
            </w:r>
            <w:r w:rsidRPr="00957461">
              <w:rPr>
                <w:bCs w:val="0"/>
                <w:i/>
                <w:sz w:val="18"/>
                <w:szCs w:val="18"/>
              </w:rPr>
              <w:t>by land provided in Bogor Regency</w:t>
            </w:r>
            <w:r w:rsidR="00305CA0">
              <w:rPr>
                <w:bCs w:val="0"/>
                <w:i/>
                <w:sz w:val="18"/>
                <w:szCs w:val="18"/>
              </w:rPr>
              <w:t>.</w:t>
            </w:r>
            <w:r w:rsidRPr="00957461">
              <w:rPr>
                <w:bCs w:val="0"/>
                <w:i/>
                <w:sz w:val="18"/>
                <w:szCs w:val="18"/>
              </w:rPr>
              <w:t xml:space="preserve"> Babakan Madang</w:t>
            </w:r>
            <w:r>
              <w:rPr>
                <w:bCs w:val="0"/>
                <w:i/>
                <w:sz w:val="18"/>
                <w:szCs w:val="18"/>
              </w:rPr>
              <w:t xml:space="preserve"> </w:t>
            </w:r>
            <w:r w:rsidRPr="00957461">
              <w:rPr>
                <w:bCs w:val="0"/>
                <w:i/>
                <w:sz w:val="18"/>
                <w:szCs w:val="18"/>
              </w:rPr>
              <w:t>District</w:t>
            </w:r>
            <w:r w:rsidR="00305CA0">
              <w:rPr>
                <w:bCs w:val="0"/>
                <w:i/>
                <w:sz w:val="18"/>
                <w:szCs w:val="18"/>
              </w:rPr>
              <w:t>.</w:t>
            </w:r>
            <w:r w:rsidRPr="00957461">
              <w:rPr>
                <w:bCs w:val="0"/>
                <w:i/>
                <w:sz w:val="18"/>
                <w:szCs w:val="18"/>
              </w:rPr>
              <w:t xml:space="preserve"> Desa Citaringgul covering an area of 20</w:t>
            </w:r>
            <w:r w:rsidR="00305CA0">
              <w:rPr>
                <w:bCs w:val="0"/>
                <w:i/>
                <w:sz w:val="18"/>
                <w:szCs w:val="18"/>
              </w:rPr>
              <w:t>.</w:t>
            </w:r>
            <w:r w:rsidRPr="00957461">
              <w:rPr>
                <w:bCs w:val="0"/>
                <w:i/>
                <w:sz w:val="18"/>
                <w:szCs w:val="18"/>
              </w:rPr>
              <w:t>000 m2</w:t>
            </w:r>
            <w:r w:rsidR="00305CA0">
              <w:rPr>
                <w:bCs w:val="0"/>
                <w:i/>
                <w:sz w:val="18"/>
                <w:szCs w:val="18"/>
              </w:rPr>
              <w:t>.</w:t>
            </w:r>
            <w:r>
              <w:rPr>
                <w:bCs w:val="0"/>
                <w:i/>
                <w:sz w:val="18"/>
                <w:szCs w:val="18"/>
              </w:rPr>
              <w:t xml:space="preserve"> </w:t>
            </w:r>
            <w:proofErr w:type="gramStart"/>
            <w:r w:rsidRPr="00957461">
              <w:rPr>
                <w:bCs w:val="0"/>
                <w:i/>
                <w:sz w:val="18"/>
                <w:szCs w:val="18"/>
              </w:rPr>
              <w:t>with</w:t>
            </w:r>
            <w:proofErr w:type="gramEnd"/>
            <w:r w:rsidRPr="00957461">
              <w:rPr>
                <w:bCs w:val="0"/>
                <w:i/>
                <w:sz w:val="18"/>
                <w:szCs w:val="18"/>
              </w:rPr>
              <w:t xml:space="preserve"> </w:t>
            </w:r>
            <w:r w:rsidR="004316FA">
              <w:rPr>
                <w:bCs w:val="0"/>
                <w:i/>
                <w:sz w:val="18"/>
                <w:szCs w:val="18"/>
              </w:rPr>
              <w:br/>
            </w:r>
            <w:r w:rsidRPr="00957461">
              <w:rPr>
                <w:bCs w:val="0"/>
                <w:i/>
                <w:sz w:val="18"/>
                <w:szCs w:val="18"/>
              </w:rPr>
              <w:t>SHGB No.1887 on behalf of PT Fajar Kharisma</w:t>
            </w:r>
            <w:r>
              <w:rPr>
                <w:bCs w:val="0"/>
                <w:i/>
                <w:sz w:val="18"/>
                <w:szCs w:val="18"/>
              </w:rPr>
              <w:t xml:space="preserve"> </w:t>
            </w:r>
            <w:r w:rsidRPr="00957461">
              <w:rPr>
                <w:bCs w:val="0"/>
                <w:i/>
                <w:sz w:val="18"/>
                <w:szCs w:val="18"/>
              </w:rPr>
              <w:t>Nusantara.</w:t>
            </w:r>
          </w:p>
        </w:tc>
      </w:tr>
    </w:tbl>
    <w:p w14:paraId="6E93A130" w14:textId="77777777" w:rsidR="004316FA" w:rsidRPr="00471B9C" w:rsidRDefault="004316FA" w:rsidP="0013526B">
      <w:pPr>
        <w:rPr>
          <w:sz w:val="2"/>
          <w:szCs w:val="2"/>
        </w:rPr>
      </w:pPr>
    </w:p>
    <w:tbl>
      <w:tblPr>
        <w:tblW w:w="9197" w:type="dxa"/>
        <w:tblInd w:w="406" w:type="dxa"/>
        <w:tblLook w:val="0000" w:firstRow="0" w:lastRow="0" w:firstColumn="0" w:lastColumn="0" w:noHBand="0" w:noVBand="0"/>
      </w:tblPr>
      <w:tblGrid>
        <w:gridCol w:w="4598"/>
        <w:gridCol w:w="4599"/>
      </w:tblGrid>
      <w:tr w:rsidR="00A82CA2" w:rsidRPr="004316FA" w14:paraId="69B4641A" w14:textId="77777777" w:rsidTr="002108FF">
        <w:tc>
          <w:tcPr>
            <w:tcW w:w="2500" w:type="pct"/>
            <w:tcBorders>
              <w:top w:val="nil"/>
              <w:left w:val="nil"/>
              <w:bottom w:val="nil"/>
              <w:right w:val="nil"/>
            </w:tcBorders>
          </w:tcPr>
          <w:p w14:paraId="6B44E053" w14:textId="309BACB1" w:rsidR="00A82CA2" w:rsidRPr="004316FA" w:rsidRDefault="004316FA" w:rsidP="00070D1F">
            <w:pPr>
              <w:numPr>
                <w:ilvl w:val="0"/>
                <w:numId w:val="336"/>
              </w:numPr>
              <w:jc w:val="both"/>
              <w:rPr>
                <w:b/>
                <w:bCs w:val="0"/>
                <w:sz w:val="18"/>
                <w:szCs w:val="18"/>
              </w:rPr>
            </w:pPr>
            <w:r>
              <w:rPr>
                <w:sz w:val="14"/>
                <w:szCs w:val="18"/>
              </w:rPr>
              <w:lastRenderedPageBreak/>
              <w:br w:type="page"/>
            </w:r>
            <w:r w:rsidR="00A82CA2" w:rsidRPr="004316FA">
              <w:rPr>
                <w:b/>
                <w:bCs w:val="0"/>
                <w:sz w:val="18"/>
                <w:szCs w:val="18"/>
              </w:rPr>
              <w:t xml:space="preserve">UTANG LAIN-LAIN </w:t>
            </w:r>
          </w:p>
        </w:tc>
        <w:tc>
          <w:tcPr>
            <w:tcW w:w="2500" w:type="pct"/>
            <w:tcBorders>
              <w:top w:val="nil"/>
              <w:left w:val="nil"/>
              <w:bottom w:val="nil"/>
              <w:right w:val="nil"/>
            </w:tcBorders>
          </w:tcPr>
          <w:p w14:paraId="4C5EBE39" w14:textId="0C4BB55C" w:rsidR="00A82CA2" w:rsidRPr="006D3A14" w:rsidRDefault="0052367A" w:rsidP="0052367A">
            <w:pPr>
              <w:ind w:left="252" w:hanging="264"/>
              <w:jc w:val="both"/>
              <w:rPr>
                <w:b/>
                <w:bCs w:val="0"/>
                <w:i/>
                <w:iCs/>
                <w:sz w:val="18"/>
                <w:szCs w:val="18"/>
              </w:rPr>
            </w:pPr>
            <w:r>
              <w:rPr>
                <w:b/>
                <w:bCs w:val="0"/>
                <w:i/>
                <w:iCs/>
                <w:sz w:val="18"/>
                <w:szCs w:val="18"/>
              </w:rPr>
              <w:t xml:space="preserve">20.   </w:t>
            </w:r>
            <w:r w:rsidR="00A82CA2" w:rsidRPr="006D3A14">
              <w:rPr>
                <w:b/>
                <w:bCs w:val="0"/>
                <w:i/>
                <w:iCs/>
                <w:sz w:val="18"/>
                <w:szCs w:val="18"/>
              </w:rPr>
              <w:t>OTHER PAYABLES</w:t>
            </w:r>
          </w:p>
        </w:tc>
      </w:tr>
    </w:tbl>
    <w:p w14:paraId="487119A7" w14:textId="77777777" w:rsidR="00A82CA2" w:rsidRPr="0013526B" w:rsidRDefault="00A82CA2" w:rsidP="00A82CA2">
      <w:pPr>
        <w:rPr>
          <w:sz w:val="16"/>
          <w:szCs w:val="18"/>
        </w:rPr>
      </w:pPr>
    </w:p>
    <w:tbl>
      <w:tblPr>
        <w:tblW w:w="9197" w:type="dxa"/>
        <w:tblInd w:w="406" w:type="dxa"/>
        <w:tblLayout w:type="fixed"/>
        <w:tblLook w:val="0000" w:firstRow="0" w:lastRow="0" w:firstColumn="0" w:lastColumn="0" w:noHBand="0" w:noVBand="0"/>
      </w:tblPr>
      <w:tblGrid>
        <w:gridCol w:w="4598"/>
        <w:gridCol w:w="4599"/>
      </w:tblGrid>
      <w:tr w:rsidR="00A82CA2" w:rsidRPr="0013526B" w14:paraId="00F54544" w14:textId="77777777" w:rsidTr="002108FF">
        <w:tc>
          <w:tcPr>
            <w:tcW w:w="2500" w:type="pct"/>
            <w:tcBorders>
              <w:top w:val="nil"/>
              <w:left w:val="nil"/>
              <w:bottom w:val="nil"/>
              <w:right w:val="nil"/>
            </w:tcBorders>
          </w:tcPr>
          <w:p w14:paraId="35F1FE33" w14:textId="77777777" w:rsidR="00A82CA2" w:rsidRPr="0013526B" w:rsidRDefault="00A82CA2" w:rsidP="00E815FE">
            <w:pPr>
              <w:pStyle w:val="ListParagraph"/>
              <w:tabs>
                <w:tab w:val="right" w:pos="9340"/>
                <w:tab w:val="right" w:pos="10080"/>
              </w:tabs>
              <w:ind w:left="284"/>
              <w:rPr>
                <w:sz w:val="18"/>
                <w:szCs w:val="18"/>
              </w:rPr>
            </w:pPr>
            <w:r w:rsidRPr="0013526B">
              <w:rPr>
                <w:sz w:val="18"/>
                <w:szCs w:val="18"/>
              </w:rPr>
              <w:t>Rincian utang lain-lain adalah sebagai berikut:</w:t>
            </w:r>
          </w:p>
        </w:tc>
        <w:tc>
          <w:tcPr>
            <w:tcW w:w="2500" w:type="pct"/>
            <w:tcBorders>
              <w:top w:val="nil"/>
              <w:left w:val="nil"/>
              <w:bottom w:val="nil"/>
              <w:right w:val="nil"/>
            </w:tcBorders>
          </w:tcPr>
          <w:p w14:paraId="1FB1BEE6" w14:textId="77777777" w:rsidR="00A82CA2" w:rsidRPr="0013526B" w:rsidRDefault="00A82CA2" w:rsidP="00E815FE">
            <w:pPr>
              <w:pStyle w:val="ListParagraph"/>
              <w:tabs>
                <w:tab w:val="left" w:pos="570"/>
                <w:tab w:val="right" w:pos="9340"/>
                <w:tab w:val="right" w:pos="10080"/>
              </w:tabs>
              <w:ind w:left="318"/>
              <w:rPr>
                <w:i/>
                <w:sz w:val="18"/>
                <w:szCs w:val="18"/>
              </w:rPr>
            </w:pPr>
            <w:r w:rsidRPr="0013526B">
              <w:rPr>
                <w:i/>
                <w:sz w:val="18"/>
                <w:szCs w:val="18"/>
              </w:rPr>
              <w:t>Details of other payables are as follows:</w:t>
            </w:r>
          </w:p>
        </w:tc>
      </w:tr>
    </w:tbl>
    <w:p w14:paraId="5C6EEEA9" w14:textId="77777777" w:rsidR="00A82CA2" w:rsidRPr="0013526B" w:rsidRDefault="00A82CA2" w:rsidP="00A82CA2">
      <w:pPr>
        <w:rPr>
          <w:sz w:val="16"/>
          <w:szCs w:val="18"/>
        </w:rPr>
      </w:pPr>
    </w:p>
    <w:tbl>
      <w:tblPr>
        <w:tblW w:w="9197" w:type="dxa"/>
        <w:tblInd w:w="426" w:type="dxa"/>
        <w:tblCellMar>
          <w:left w:w="0" w:type="dxa"/>
          <w:right w:w="0" w:type="dxa"/>
        </w:tblCellMar>
        <w:tblLook w:val="01E0" w:firstRow="1" w:lastRow="1" w:firstColumn="1" w:lastColumn="1" w:noHBand="0" w:noVBand="0"/>
      </w:tblPr>
      <w:tblGrid>
        <w:gridCol w:w="2861"/>
        <w:gridCol w:w="1679"/>
        <w:gridCol w:w="107"/>
        <w:gridCol w:w="1679"/>
        <w:gridCol w:w="2871"/>
      </w:tblGrid>
      <w:tr w:rsidR="007E3467" w:rsidRPr="005A3347" w14:paraId="04DAA3B5" w14:textId="77777777" w:rsidTr="002108FF">
        <w:trPr>
          <w:trHeight w:val="20"/>
        </w:trPr>
        <w:tc>
          <w:tcPr>
            <w:tcW w:w="2861" w:type="dxa"/>
          </w:tcPr>
          <w:p w14:paraId="26C6A2A3" w14:textId="77777777" w:rsidR="007E3467" w:rsidRPr="005A3347" w:rsidRDefault="007E3467" w:rsidP="007E3467">
            <w:pPr>
              <w:ind w:left="113"/>
              <w:rPr>
                <w:sz w:val="18"/>
                <w:szCs w:val="18"/>
              </w:rPr>
            </w:pPr>
          </w:p>
        </w:tc>
        <w:tc>
          <w:tcPr>
            <w:tcW w:w="1679" w:type="dxa"/>
            <w:tcBorders>
              <w:bottom w:val="single" w:sz="4" w:space="0" w:color="auto"/>
            </w:tcBorders>
          </w:tcPr>
          <w:p w14:paraId="1AA01BE0" w14:textId="77777777" w:rsidR="007E3467" w:rsidRDefault="007E3467" w:rsidP="007E3467">
            <w:pPr>
              <w:jc w:val="center"/>
              <w:rPr>
                <w:b/>
                <w:sz w:val="18"/>
                <w:szCs w:val="18"/>
              </w:rPr>
            </w:pPr>
            <w:r>
              <w:rPr>
                <w:b/>
                <w:sz w:val="18"/>
                <w:szCs w:val="18"/>
              </w:rPr>
              <w:t>31 Maret/</w:t>
            </w:r>
          </w:p>
          <w:p w14:paraId="2D5A12F8" w14:textId="123F289C" w:rsidR="007E3467" w:rsidRPr="005A3347" w:rsidRDefault="007E3467" w:rsidP="00DF2D15">
            <w:pPr>
              <w:jc w:val="center"/>
              <w:rPr>
                <w:b/>
                <w:sz w:val="18"/>
                <w:szCs w:val="18"/>
              </w:rPr>
            </w:pPr>
            <w:r>
              <w:rPr>
                <w:b/>
                <w:sz w:val="18"/>
                <w:szCs w:val="18"/>
              </w:rPr>
              <w:t>March 31</w:t>
            </w:r>
            <w:r w:rsidR="00305CA0">
              <w:rPr>
                <w:b/>
                <w:sz w:val="18"/>
                <w:szCs w:val="18"/>
              </w:rPr>
              <w:t>.</w:t>
            </w:r>
            <w:r>
              <w:rPr>
                <w:b/>
                <w:sz w:val="18"/>
                <w:szCs w:val="18"/>
              </w:rPr>
              <w:t xml:space="preserve"> 2020</w:t>
            </w:r>
          </w:p>
        </w:tc>
        <w:tc>
          <w:tcPr>
            <w:tcW w:w="107" w:type="dxa"/>
          </w:tcPr>
          <w:p w14:paraId="73968011" w14:textId="77777777" w:rsidR="007E3467" w:rsidRPr="005A3347" w:rsidRDefault="007E3467" w:rsidP="007E3467">
            <w:pPr>
              <w:jc w:val="center"/>
              <w:rPr>
                <w:b/>
                <w:sz w:val="18"/>
                <w:szCs w:val="18"/>
              </w:rPr>
            </w:pPr>
          </w:p>
        </w:tc>
        <w:tc>
          <w:tcPr>
            <w:tcW w:w="1679" w:type="dxa"/>
            <w:tcBorders>
              <w:bottom w:val="single" w:sz="4" w:space="0" w:color="auto"/>
            </w:tcBorders>
          </w:tcPr>
          <w:p w14:paraId="27BD5B44" w14:textId="77777777" w:rsidR="007E3467" w:rsidRDefault="007E3467" w:rsidP="007E3467">
            <w:pPr>
              <w:jc w:val="center"/>
              <w:rPr>
                <w:b/>
                <w:sz w:val="18"/>
                <w:szCs w:val="18"/>
              </w:rPr>
            </w:pPr>
            <w:r>
              <w:rPr>
                <w:b/>
                <w:sz w:val="18"/>
                <w:szCs w:val="18"/>
              </w:rPr>
              <w:t>31 Desember/</w:t>
            </w:r>
          </w:p>
          <w:p w14:paraId="6FBC136B" w14:textId="2057F78E" w:rsidR="007E3467" w:rsidRPr="005A3347" w:rsidRDefault="007E3467" w:rsidP="00DF2D15">
            <w:pPr>
              <w:jc w:val="center"/>
              <w:rPr>
                <w:b/>
                <w:sz w:val="18"/>
                <w:szCs w:val="18"/>
              </w:rPr>
            </w:pPr>
            <w:r>
              <w:rPr>
                <w:b/>
                <w:sz w:val="18"/>
                <w:szCs w:val="18"/>
              </w:rPr>
              <w:t>December 31</w:t>
            </w:r>
            <w:r w:rsidR="00305CA0">
              <w:rPr>
                <w:b/>
                <w:sz w:val="18"/>
                <w:szCs w:val="18"/>
              </w:rPr>
              <w:t>.</w:t>
            </w:r>
            <w:r>
              <w:rPr>
                <w:b/>
                <w:sz w:val="18"/>
                <w:szCs w:val="18"/>
              </w:rPr>
              <w:t xml:space="preserve"> </w:t>
            </w:r>
            <w:r w:rsidRPr="0013526B">
              <w:rPr>
                <w:b/>
                <w:sz w:val="18"/>
                <w:szCs w:val="18"/>
              </w:rPr>
              <w:t>201</w:t>
            </w:r>
            <w:r>
              <w:rPr>
                <w:b/>
                <w:sz w:val="18"/>
                <w:szCs w:val="18"/>
              </w:rPr>
              <w:t>9</w:t>
            </w:r>
          </w:p>
        </w:tc>
        <w:tc>
          <w:tcPr>
            <w:tcW w:w="2871" w:type="dxa"/>
          </w:tcPr>
          <w:p w14:paraId="1D41EAD5" w14:textId="77777777" w:rsidR="007E3467" w:rsidRPr="005A3347" w:rsidRDefault="007E3467" w:rsidP="007E3467">
            <w:pPr>
              <w:ind w:right="34"/>
              <w:jc w:val="right"/>
              <w:rPr>
                <w:i/>
                <w:sz w:val="18"/>
                <w:szCs w:val="18"/>
              </w:rPr>
            </w:pPr>
          </w:p>
        </w:tc>
      </w:tr>
      <w:tr w:rsidR="00A82CA2" w:rsidRPr="005A3347" w14:paraId="22BA3381" w14:textId="77777777" w:rsidTr="002108FF">
        <w:trPr>
          <w:trHeight w:val="20"/>
        </w:trPr>
        <w:tc>
          <w:tcPr>
            <w:tcW w:w="2861" w:type="dxa"/>
          </w:tcPr>
          <w:p w14:paraId="52C6FE51" w14:textId="77777777" w:rsidR="00A82CA2" w:rsidRPr="005A3347" w:rsidRDefault="00A82CA2" w:rsidP="00E815FE">
            <w:pPr>
              <w:ind w:leftChars="292" w:left="971" w:hanging="270"/>
              <w:rPr>
                <w:bCs w:val="0"/>
                <w:sz w:val="18"/>
                <w:szCs w:val="18"/>
              </w:rPr>
            </w:pPr>
          </w:p>
        </w:tc>
        <w:tc>
          <w:tcPr>
            <w:tcW w:w="1679" w:type="dxa"/>
            <w:tcBorders>
              <w:top w:val="single" w:sz="4" w:space="0" w:color="auto"/>
            </w:tcBorders>
            <w:vAlign w:val="bottom"/>
          </w:tcPr>
          <w:p w14:paraId="37173FAB" w14:textId="77777777" w:rsidR="00A82CA2" w:rsidRPr="005A3347" w:rsidRDefault="00A82CA2" w:rsidP="00E815FE">
            <w:pPr>
              <w:ind w:right="29"/>
              <w:jc w:val="right"/>
              <w:rPr>
                <w:bCs w:val="0"/>
                <w:sz w:val="18"/>
                <w:szCs w:val="18"/>
              </w:rPr>
            </w:pPr>
          </w:p>
        </w:tc>
        <w:tc>
          <w:tcPr>
            <w:tcW w:w="107" w:type="dxa"/>
            <w:vAlign w:val="bottom"/>
          </w:tcPr>
          <w:p w14:paraId="11F25F96" w14:textId="77777777" w:rsidR="00A82CA2" w:rsidRPr="005A3347" w:rsidRDefault="00A82CA2" w:rsidP="00E815FE">
            <w:pPr>
              <w:ind w:right="29"/>
              <w:jc w:val="right"/>
              <w:rPr>
                <w:bCs w:val="0"/>
                <w:sz w:val="18"/>
                <w:szCs w:val="18"/>
              </w:rPr>
            </w:pPr>
          </w:p>
        </w:tc>
        <w:tc>
          <w:tcPr>
            <w:tcW w:w="1679" w:type="dxa"/>
            <w:tcBorders>
              <w:top w:val="single" w:sz="4" w:space="0" w:color="auto"/>
            </w:tcBorders>
            <w:vAlign w:val="bottom"/>
          </w:tcPr>
          <w:p w14:paraId="1A49B684" w14:textId="77777777" w:rsidR="00A82CA2" w:rsidRPr="005A3347" w:rsidRDefault="00A82CA2" w:rsidP="00E815FE">
            <w:pPr>
              <w:ind w:right="29"/>
              <w:jc w:val="right"/>
              <w:rPr>
                <w:bCs w:val="0"/>
                <w:sz w:val="18"/>
                <w:szCs w:val="18"/>
              </w:rPr>
            </w:pPr>
          </w:p>
        </w:tc>
        <w:tc>
          <w:tcPr>
            <w:tcW w:w="2871" w:type="dxa"/>
          </w:tcPr>
          <w:p w14:paraId="18EBA233" w14:textId="77777777" w:rsidR="00A82CA2" w:rsidRPr="005A3347" w:rsidRDefault="00A82CA2" w:rsidP="00E815FE">
            <w:pPr>
              <w:numPr>
                <w:ilvl w:val="12"/>
                <w:numId w:val="0"/>
              </w:numPr>
              <w:ind w:left="480" w:right="148" w:hanging="180"/>
              <w:jc w:val="right"/>
              <w:rPr>
                <w:i/>
                <w:sz w:val="18"/>
                <w:szCs w:val="18"/>
              </w:rPr>
            </w:pPr>
          </w:p>
        </w:tc>
      </w:tr>
      <w:tr w:rsidR="00A82CA2" w:rsidRPr="005A3347" w14:paraId="320AFA88" w14:textId="77777777" w:rsidTr="002108FF">
        <w:trPr>
          <w:trHeight w:val="20"/>
        </w:trPr>
        <w:tc>
          <w:tcPr>
            <w:tcW w:w="2861" w:type="dxa"/>
            <w:vAlign w:val="bottom"/>
          </w:tcPr>
          <w:p w14:paraId="6DCF1562" w14:textId="12E27EC8" w:rsidR="00A82CA2" w:rsidRPr="005A3347" w:rsidRDefault="00F10413" w:rsidP="008066C4">
            <w:pPr>
              <w:pStyle w:val="Heading3"/>
              <w:ind w:left="563" w:hanging="142"/>
              <w:rPr>
                <w:b w:val="0"/>
                <w:sz w:val="18"/>
                <w:szCs w:val="18"/>
              </w:rPr>
            </w:pPr>
            <w:proofErr w:type="gramStart"/>
            <w:r w:rsidRPr="005A3347">
              <w:rPr>
                <w:b w:val="0"/>
                <w:sz w:val="18"/>
                <w:szCs w:val="18"/>
              </w:rPr>
              <w:t>PT  Philips</w:t>
            </w:r>
            <w:proofErr w:type="gramEnd"/>
            <w:r w:rsidRPr="005A3347">
              <w:rPr>
                <w:b w:val="0"/>
                <w:sz w:val="18"/>
                <w:szCs w:val="18"/>
              </w:rPr>
              <w:t xml:space="preserve"> Indonesia Commercial </w:t>
            </w:r>
          </w:p>
        </w:tc>
        <w:tc>
          <w:tcPr>
            <w:tcW w:w="1679" w:type="dxa"/>
            <w:shd w:val="clear" w:color="auto" w:fill="auto"/>
            <w:vAlign w:val="bottom"/>
          </w:tcPr>
          <w:p w14:paraId="3C743142" w14:textId="2CA4976B" w:rsidR="00A82CA2" w:rsidRPr="001C5D60" w:rsidRDefault="00371646" w:rsidP="00E815FE">
            <w:pPr>
              <w:ind w:right="57"/>
              <w:jc w:val="right"/>
              <w:rPr>
                <w:bCs w:val="0"/>
                <w:sz w:val="18"/>
                <w:szCs w:val="18"/>
              </w:rPr>
            </w:pPr>
            <w:r w:rsidRPr="001C5D60">
              <w:rPr>
                <w:bCs w:val="0"/>
                <w:sz w:val="18"/>
                <w:szCs w:val="18"/>
              </w:rPr>
              <w:t>1.524.564.029</w:t>
            </w:r>
          </w:p>
        </w:tc>
        <w:tc>
          <w:tcPr>
            <w:tcW w:w="107" w:type="dxa"/>
            <w:vAlign w:val="bottom"/>
          </w:tcPr>
          <w:p w14:paraId="509296F4" w14:textId="77777777" w:rsidR="00A82CA2" w:rsidRPr="001C5D60" w:rsidRDefault="00A82CA2" w:rsidP="00E815FE">
            <w:pPr>
              <w:ind w:right="57"/>
              <w:jc w:val="right"/>
              <w:rPr>
                <w:bCs w:val="0"/>
                <w:sz w:val="18"/>
                <w:szCs w:val="18"/>
              </w:rPr>
            </w:pPr>
          </w:p>
        </w:tc>
        <w:tc>
          <w:tcPr>
            <w:tcW w:w="1679" w:type="dxa"/>
            <w:vAlign w:val="bottom"/>
          </w:tcPr>
          <w:p w14:paraId="22B5F0A6" w14:textId="609587E6" w:rsidR="00A82CA2" w:rsidRPr="001C5D60" w:rsidRDefault="00E815FE" w:rsidP="00E815FE">
            <w:pPr>
              <w:ind w:right="57"/>
              <w:jc w:val="right"/>
              <w:rPr>
                <w:bCs w:val="0"/>
                <w:sz w:val="18"/>
                <w:szCs w:val="18"/>
              </w:rPr>
            </w:pPr>
            <w:r w:rsidRPr="001C5D60">
              <w:rPr>
                <w:sz w:val="18"/>
                <w:szCs w:val="18"/>
              </w:rPr>
              <w:t>1.524.564.029</w:t>
            </w:r>
          </w:p>
        </w:tc>
        <w:tc>
          <w:tcPr>
            <w:tcW w:w="2871" w:type="dxa"/>
            <w:vAlign w:val="bottom"/>
          </w:tcPr>
          <w:p w14:paraId="38DDDA42" w14:textId="26D3A843" w:rsidR="00A82CA2" w:rsidRPr="005A3347" w:rsidRDefault="00F10413" w:rsidP="005A3347">
            <w:pPr>
              <w:numPr>
                <w:ilvl w:val="12"/>
                <w:numId w:val="0"/>
              </w:numPr>
              <w:ind w:right="122"/>
              <w:jc w:val="right"/>
              <w:rPr>
                <w:i/>
                <w:sz w:val="18"/>
                <w:szCs w:val="18"/>
              </w:rPr>
            </w:pPr>
            <w:r w:rsidRPr="005A3347">
              <w:rPr>
                <w:i/>
                <w:sz w:val="18"/>
                <w:szCs w:val="18"/>
              </w:rPr>
              <w:t>PT Philips Indonesia Commercial</w:t>
            </w:r>
          </w:p>
        </w:tc>
      </w:tr>
      <w:tr w:rsidR="00A82CA2" w:rsidRPr="005A3347" w14:paraId="55EA99BE" w14:textId="77777777" w:rsidTr="002108FF">
        <w:trPr>
          <w:trHeight w:val="20"/>
        </w:trPr>
        <w:tc>
          <w:tcPr>
            <w:tcW w:w="2861" w:type="dxa"/>
            <w:vAlign w:val="bottom"/>
          </w:tcPr>
          <w:p w14:paraId="2628E5C5" w14:textId="77777777" w:rsidR="00353744" w:rsidRDefault="00F10413" w:rsidP="00353744">
            <w:pPr>
              <w:pStyle w:val="Heading3"/>
              <w:ind w:left="407"/>
              <w:rPr>
                <w:b w:val="0"/>
                <w:sz w:val="18"/>
                <w:szCs w:val="18"/>
              </w:rPr>
            </w:pPr>
            <w:r w:rsidRPr="005A3347">
              <w:rPr>
                <w:b w:val="0"/>
                <w:sz w:val="18"/>
                <w:szCs w:val="18"/>
              </w:rPr>
              <w:t>Bagian yang jatuh tempo dalam</w:t>
            </w:r>
          </w:p>
          <w:p w14:paraId="6A3A041A" w14:textId="02A8F0C2" w:rsidR="00A82CA2" w:rsidRPr="00353744" w:rsidRDefault="00F10413" w:rsidP="00353744">
            <w:pPr>
              <w:pStyle w:val="Heading3"/>
              <w:ind w:left="575"/>
              <w:rPr>
                <w:b w:val="0"/>
                <w:sz w:val="18"/>
                <w:szCs w:val="18"/>
              </w:rPr>
            </w:pPr>
            <w:proofErr w:type="gramStart"/>
            <w:r w:rsidRPr="005A3347">
              <w:rPr>
                <w:b w:val="0"/>
                <w:sz w:val="18"/>
                <w:szCs w:val="18"/>
              </w:rPr>
              <w:t>waktu</w:t>
            </w:r>
            <w:proofErr w:type="gramEnd"/>
            <w:r w:rsidRPr="005A3347">
              <w:rPr>
                <w:b w:val="0"/>
                <w:sz w:val="18"/>
                <w:szCs w:val="18"/>
              </w:rPr>
              <w:t xml:space="preserve"> satu</w:t>
            </w:r>
            <w:r w:rsidR="00353744">
              <w:rPr>
                <w:b w:val="0"/>
                <w:sz w:val="18"/>
                <w:szCs w:val="18"/>
              </w:rPr>
              <w:t xml:space="preserve"> </w:t>
            </w:r>
            <w:r w:rsidRPr="005A3347">
              <w:rPr>
                <w:b w:val="0"/>
                <w:sz w:val="18"/>
                <w:szCs w:val="18"/>
              </w:rPr>
              <w:t>tahun</w:t>
            </w:r>
            <w:r w:rsidRPr="005A3347">
              <w:rPr>
                <w:bCs w:val="0"/>
                <w:sz w:val="18"/>
                <w:szCs w:val="18"/>
              </w:rPr>
              <w:t xml:space="preserve"> </w:t>
            </w:r>
          </w:p>
        </w:tc>
        <w:tc>
          <w:tcPr>
            <w:tcW w:w="1679" w:type="dxa"/>
            <w:tcBorders>
              <w:bottom w:val="single" w:sz="4" w:space="0" w:color="auto"/>
            </w:tcBorders>
            <w:shd w:val="clear" w:color="auto" w:fill="auto"/>
            <w:vAlign w:val="bottom"/>
          </w:tcPr>
          <w:p w14:paraId="4EBC4B56" w14:textId="165675B4" w:rsidR="00A82CA2" w:rsidRPr="001C5D60" w:rsidRDefault="00135F7F" w:rsidP="00E815FE">
            <w:pPr>
              <w:ind w:right="57"/>
              <w:jc w:val="right"/>
              <w:rPr>
                <w:bCs w:val="0"/>
                <w:sz w:val="18"/>
                <w:szCs w:val="18"/>
              </w:rPr>
            </w:pPr>
            <w:r w:rsidRPr="001C5D60">
              <w:rPr>
                <w:bCs w:val="0"/>
                <w:sz w:val="18"/>
                <w:szCs w:val="18"/>
              </w:rPr>
              <w:t>(</w:t>
            </w:r>
            <w:r w:rsidR="00371646" w:rsidRPr="001C5D60">
              <w:rPr>
                <w:bCs w:val="0"/>
                <w:sz w:val="18"/>
                <w:szCs w:val="18"/>
              </w:rPr>
              <w:t>1.524.564.029</w:t>
            </w:r>
            <w:r w:rsidRPr="001C5D60">
              <w:rPr>
                <w:bCs w:val="0"/>
                <w:sz w:val="18"/>
                <w:szCs w:val="18"/>
              </w:rPr>
              <w:t>)</w:t>
            </w:r>
          </w:p>
        </w:tc>
        <w:tc>
          <w:tcPr>
            <w:tcW w:w="107" w:type="dxa"/>
            <w:vAlign w:val="bottom"/>
          </w:tcPr>
          <w:p w14:paraId="28A2FFAE" w14:textId="77777777" w:rsidR="00A82CA2" w:rsidRPr="001C5D60" w:rsidRDefault="00A82CA2" w:rsidP="00E815FE">
            <w:pPr>
              <w:ind w:right="57"/>
              <w:jc w:val="right"/>
              <w:rPr>
                <w:bCs w:val="0"/>
                <w:sz w:val="18"/>
                <w:szCs w:val="18"/>
              </w:rPr>
            </w:pPr>
          </w:p>
        </w:tc>
        <w:tc>
          <w:tcPr>
            <w:tcW w:w="1679" w:type="dxa"/>
            <w:tcBorders>
              <w:bottom w:val="single" w:sz="4" w:space="0" w:color="auto"/>
            </w:tcBorders>
            <w:vAlign w:val="bottom"/>
          </w:tcPr>
          <w:p w14:paraId="10377D19" w14:textId="6C368F32" w:rsidR="00A82CA2" w:rsidRPr="001C5D60" w:rsidRDefault="005A3347" w:rsidP="00E815FE">
            <w:pPr>
              <w:ind w:right="57"/>
              <w:jc w:val="right"/>
              <w:rPr>
                <w:bCs w:val="0"/>
                <w:sz w:val="18"/>
                <w:szCs w:val="18"/>
                <w:lang w:val="id-ID"/>
              </w:rPr>
            </w:pPr>
            <w:r w:rsidRPr="001C5D60">
              <w:rPr>
                <w:sz w:val="18"/>
                <w:szCs w:val="18"/>
              </w:rPr>
              <w:t>(</w:t>
            </w:r>
            <w:r w:rsidR="00E815FE" w:rsidRPr="001C5D60">
              <w:rPr>
                <w:sz w:val="18"/>
                <w:szCs w:val="18"/>
              </w:rPr>
              <w:t>1.524.564.029</w:t>
            </w:r>
            <w:r w:rsidRPr="001C5D60">
              <w:rPr>
                <w:sz w:val="18"/>
                <w:szCs w:val="18"/>
              </w:rPr>
              <w:t>)</w:t>
            </w:r>
          </w:p>
        </w:tc>
        <w:tc>
          <w:tcPr>
            <w:tcW w:w="2871" w:type="dxa"/>
            <w:vAlign w:val="bottom"/>
          </w:tcPr>
          <w:p w14:paraId="3BC6D51D" w14:textId="3223CA4F" w:rsidR="00A82CA2" w:rsidRPr="005A3347" w:rsidRDefault="00F10413" w:rsidP="005A3347">
            <w:pPr>
              <w:numPr>
                <w:ilvl w:val="12"/>
                <w:numId w:val="0"/>
              </w:numPr>
              <w:ind w:right="122"/>
              <w:jc w:val="right"/>
              <w:rPr>
                <w:i/>
                <w:sz w:val="18"/>
                <w:szCs w:val="18"/>
              </w:rPr>
            </w:pPr>
            <w:r w:rsidRPr="005A3347">
              <w:rPr>
                <w:i/>
                <w:sz w:val="18"/>
                <w:szCs w:val="18"/>
              </w:rPr>
              <w:t>Current maturity in one year</w:t>
            </w:r>
          </w:p>
        </w:tc>
      </w:tr>
      <w:tr w:rsidR="00A82CA2" w:rsidRPr="005A3347" w14:paraId="0483A3A5" w14:textId="77777777" w:rsidTr="002108FF">
        <w:trPr>
          <w:trHeight w:val="20"/>
        </w:trPr>
        <w:tc>
          <w:tcPr>
            <w:tcW w:w="2861" w:type="dxa"/>
            <w:vAlign w:val="bottom"/>
          </w:tcPr>
          <w:p w14:paraId="2418F08E" w14:textId="77777777" w:rsidR="00A82CA2" w:rsidRPr="005A3347" w:rsidRDefault="00A82CA2" w:rsidP="00E815FE">
            <w:pPr>
              <w:ind w:left="141"/>
              <w:rPr>
                <w:bCs w:val="0"/>
                <w:sz w:val="18"/>
                <w:szCs w:val="18"/>
                <w:u w:val="single"/>
              </w:rPr>
            </w:pPr>
          </w:p>
        </w:tc>
        <w:tc>
          <w:tcPr>
            <w:tcW w:w="1679" w:type="dxa"/>
            <w:tcBorders>
              <w:top w:val="single" w:sz="4" w:space="0" w:color="auto"/>
            </w:tcBorders>
            <w:shd w:val="clear" w:color="auto" w:fill="auto"/>
            <w:vAlign w:val="bottom"/>
          </w:tcPr>
          <w:p w14:paraId="6BD14BF4" w14:textId="77777777" w:rsidR="00A82CA2" w:rsidRPr="001C5D60" w:rsidRDefault="00A82CA2" w:rsidP="00E815FE">
            <w:pPr>
              <w:ind w:right="57"/>
              <w:jc w:val="right"/>
              <w:rPr>
                <w:bCs w:val="0"/>
                <w:sz w:val="18"/>
                <w:szCs w:val="18"/>
                <w:u w:val="single"/>
              </w:rPr>
            </w:pPr>
          </w:p>
        </w:tc>
        <w:tc>
          <w:tcPr>
            <w:tcW w:w="107" w:type="dxa"/>
            <w:vAlign w:val="bottom"/>
          </w:tcPr>
          <w:p w14:paraId="575BBDB6" w14:textId="77777777" w:rsidR="00A82CA2" w:rsidRPr="001C5D60" w:rsidRDefault="00A82CA2" w:rsidP="00E815FE">
            <w:pPr>
              <w:ind w:right="57"/>
              <w:jc w:val="right"/>
              <w:rPr>
                <w:bCs w:val="0"/>
                <w:sz w:val="18"/>
                <w:szCs w:val="18"/>
                <w:u w:val="single"/>
              </w:rPr>
            </w:pPr>
          </w:p>
        </w:tc>
        <w:tc>
          <w:tcPr>
            <w:tcW w:w="1679" w:type="dxa"/>
            <w:tcBorders>
              <w:top w:val="single" w:sz="4" w:space="0" w:color="auto"/>
            </w:tcBorders>
            <w:vAlign w:val="bottom"/>
          </w:tcPr>
          <w:p w14:paraId="7589C282" w14:textId="77777777" w:rsidR="00A82CA2" w:rsidRPr="001C5D60" w:rsidRDefault="00A82CA2" w:rsidP="00E815FE">
            <w:pPr>
              <w:ind w:right="57"/>
              <w:jc w:val="right"/>
              <w:rPr>
                <w:bCs w:val="0"/>
                <w:sz w:val="18"/>
                <w:szCs w:val="18"/>
                <w:u w:val="single"/>
              </w:rPr>
            </w:pPr>
          </w:p>
        </w:tc>
        <w:tc>
          <w:tcPr>
            <w:tcW w:w="2871" w:type="dxa"/>
            <w:vAlign w:val="bottom"/>
          </w:tcPr>
          <w:p w14:paraId="40F7FBCC" w14:textId="77777777" w:rsidR="00A82CA2" w:rsidRPr="005A3347" w:rsidRDefault="00A82CA2" w:rsidP="005A3347">
            <w:pPr>
              <w:numPr>
                <w:ilvl w:val="12"/>
                <w:numId w:val="0"/>
              </w:numPr>
              <w:ind w:right="122"/>
              <w:jc w:val="right"/>
              <w:rPr>
                <w:i/>
                <w:sz w:val="18"/>
                <w:szCs w:val="18"/>
                <w:u w:val="single"/>
              </w:rPr>
            </w:pPr>
          </w:p>
        </w:tc>
      </w:tr>
      <w:tr w:rsidR="00A82CA2" w:rsidRPr="005A3347" w14:paraId="7438ABE4" w14:textId="77777777" w:rsidTr="002108FF">
        <w:trPr>
          <w:trHeight w:val="20"/>
        </w:trPr>
        <w:tc>
          <w:tcPr>
            <w:tcW w:w="2861" w:type="dxa"/>
            <w:vAlign w:val="bottom"/>
          </w:tcPr>
          <w:p w14:paraId="49299EF2" w14:textId="14C81173" w:rsidR="00A82CA2" w:rsidRPr="005A3347" w:rsidRDefault="00F10413" w:rsidP="00353744">
            <w:pPr>
              <w:ind w:left="379"/>
              <w:rPr>
                <w:b/>
                <w:bCs w:val="0"/>
                <w:sz w:val="18"/>
                <w:szCs w:val="18"/>
              </w:rPr>
            </w:pPr>
            <w:r w:rsidRPr="005A3347">
              <w:rPr>
                <w:b/>
                <w:bCs w:val="0"/>
                <w:sz w:val="18"/>
                <w:szCs w:val="18"/>
              </w:rPr>
              <w:t xml:space="preserve">Bagian jangka panjang </w:t>
            </w:r>
          </w:p>
        </w:tc>
        <w:tc>
          <w:tcPr>
            <w:tcW w:w="1679" w:type="dxa"/>
            <w:tcBorders>
              <w:bottom w:val="double" w:sz="4" w:space="0" w:color="auto"/>
            </w:tcBorders>
            <w:shd w:val="clear" w:color="auto" w:fill="auto"/>
            <w:vAlign w:val="bottom"/>
          </w:tcPr>
          <w:p w14:paraId="5CC397FB" w14:textId="2511A71D" w:rsidR="00A82CA2" w:rsidRPr="001C5D60" w:rsidRDefault="00371646" w:rsidP="00E815FE">
            <w:pPr>
              <w:ind w:right="57"/>
              <w:jc w:val="right"/>
              <w:rPr>
                <w:b/>
                <w:bCs w:val="0"/>
                <w:sz w:val="18"/>
                <w:szCs w:val="18"/>
                <w:lang w:val="id-ID"/>
              </w:rPr>
            </w:pPr>
            <w:r w:rsidRPr="001C5D60">
              <w:rPr>
                <w:b/>
                <w:bCs w:val="0"/>
                <w:sz w:val="18"/>
                <w:szCs w:val="18"/>
                <w:lang w:val="id-ID"/>
              </w:rPr>
              <w:t>-</w:t>
            </w:r>
          </w:p>
        </w:tc>
        <w:tc>
          <w:tcPr>
            <w:tcW w:w="107" w:type="dxa"/>
            <w:vAlign w:val="bottom"/>
          </w:tcPr>
          <w:p w14:paraId="56AA71DE" w14:textId="77777777" w:rsidR="00A82CA2" w:rsidRPr="001C5D60" w:rsidRDefault="00A82CA2" w:rsidP="00E815FE">
            <w:pPr>
              <w:ind w:right="57"/>
              <w:jc w:val="right"/>
              <w:rPr>
                <w:b/>
                <w:bCs w:val="0"/>
                <w:sz w:val="18"/>
                <w:szCs w:val="18"/>
              </w:rPr>
            </w:pPr>
          </w:p>
        </w:tc>
        <w:tc>
          <w:tcPr>
            <w:tcW w:w="1679" w:type="dxa"/>
            <w:tcBorders>
              <w:bottom w:val="double" w:sz="4" w:space="0" w:color="auto"/>
            </w:tcBorders>
            <w:vAlign w:val="bottom"/>
          </w:tcPr>
          <w:p w14:paraId="63DF2AE3" w14:textId="61B44EC0" w:rsidR="00A82CA2" w:rsidRPr="001C5D60" w:rsidRDefault="00E815FE" w:rsidP="00E815FE">
            <w:pPr>
              <w:ind w:right="57"/>
              <w:jc w:val="right"/>
              <w:rPr>
                <w:b/>
                <w:bCs w:val="0"/>
                <w:sz w:val="18"/>
                <w:szCs w:val="18"/>
              </w:rPr>
            </w:pPr>
            <w:r w:rsidRPr="001C5D60">
              <w:rPr>
                <w:b/>
                <w:bCs w:val="0"/>
                <w:sz w:val="18"/>
                <w:szCs w:val="18"/>
              </w:rPr>
              <w:t>-</w:t>
            </w:r>
          </w:p>
        </w:tc>
        <w:tc>
          <w:tcPr>
            <w:tcW w:w="2871" w:type="dxa"/>
            <w:vAlign w:val="bottom"/>
          </w:tcPr>
          <w:p w14:paraId="037D2D1F" w14:textId="0EE82D48" w:rsidR="00A82CA2" w:rsidRPr="005A3347" w:rsidRDefault="00F10413" w:rsidP="005A3347">
            <w:pPr>
              <w:numPr>
                <w:ilvl w:val="12"/>
                <w:numId w:val="0"/>
              </w:numPr>
              <w:ind w:right="122"/>
              <w:jc w:val="right"/>
              <w:rPr>
                <w:b/>
                <w:i/>
                <w:sz w:val="18"/>
                <w:szCs w:val="18"/>
              </w:rPr>
            </w:pPr>
            <w:r w:rsidRPr="005A3347">
              <w:rPr>
                <w:b/>
                <w:i/>
                <w:sz w:val="18"/>
                <w:szCs w:val="18"/>
              </w:rPr>
              <w:t>Long term portions</w:t>
            </w:r>
          </w:p>
        </w:tc>
      </w:tr>
    </w:tbl>
    <w:p w14:paraId="3D8207EA" w14:textId="77777777" w:rsidR="00A82CA2" w:rsidRDefault="00A82CA2" w:rsidP="00A82CA2">
      <w:pPr>
        <w:ind w:firstLine="720"/>
        <w:rPr>
          <w:sz w:val="14"/>
          <w:szCs w:val="18"/>
        </w:rPr>
      </w:pPr>
    </w:p>
    <w:tbl>
      <w:tblPr>
        <w:tblW w:w="9197" w:type="dxa"/>
        <w:tblInd w:w="426" w:type="dxa"/>
        <w:tblLook w:val="0000" w:firstRow="0" w:lastRow="0" w:firstColumn="0" w:lastColumn="0" w:noHBand="0" w:noVBand="0"/>
      </w:tblPr>
      <w:tblGrid>
        <w:gridCol w:w="4598"/>
        <w:gridCol w:w="4599"/>
      </w:tblGrid>
      <w:tr w:rsidR="00F10413" w:rsidRPr="00DC12ED" w14:paraId="36F79D73" w14:textId="77777777" w:rsidTr="002108FF">
        <w:tc>
          <w:tcPr>
            <w:tcW w:w="2500" w:type="pct"/>
            <w:tcBorders>
              <w:top w:val="nil"/>
              <w:left w:val="nil"/>
              <w:bottom w:val="nil"/>
              <w:right w:val="nil"/>
            </w:tcBorders>
          </w:tcPr>
          <w:p w14:paraId="30C8597B" w14:textId="48E9AD4C" w:rsidR="00F10413" w:rsidRPr="005871CB" w:rsidRDefault="00F10413" w:rsidP="00DF2D15">
            <w:pPr>
              <w:ind w:left="284" w:right="-57"/>
              <w:jc w:val="both"/>
              <w:rPr>
                <w:sz w:val="18"/>
                <w:szCs w:val="18"/>
              </w:rPr>
            </w:pPr>
            <w:r w:rsidRPr="005871CB">
              <w:rPr>
                <w:bCs w:val="0"/>
                <w:sz w:val="18"/>
                <w:szCs w:val="18"/>
              </w:rPr>
              <w:t xml:space="preserve">Berdasarkan Perjanjian Jual dan Beli </w:t>
            </w:r>
            <w:r w:rsidR="005871CB">
              <w:rPr>
                <w:bCs w:val="0"/>
                <w:sz w:val="18"/>
                <w:szCs w:val="18"/>
              </w:rPr>
              <w:br/>
            </w:r>
            <w:r w:rsidRPr="005871CB">
              <w:rPr>
                <w:bCs w:val="0"/>
                <w:sz w:val="18"/>
                <w:szCs w:val="18"/>
              </w:rPr>
              <w:t>No. 268/Leg/C/X/2012 tanggal 22 Oktober 2012</w:t>
            </w:r>
            <w:r w:rsidR="00305CA0">
              <w:rPr>
                <w:bCs w:val="0"/>
                <w:sz w:val="18"/>
                <w:szCs w:val="18"/>
              </w:rPr>
              <w:t>.</w:t>
            </w:r>
            <w:r w:rsidRPr="005871CB">
              <w:rPr>
                <w:bCs w:val="0"/>
                <w:sz w:val="18"/>
                <w:szCs w:val="18"/>
              </w:rPr>
              <w:t xml:space="preserve"> </w:t>
            </w:r>
            <w:r w:rsidRPr="005871CB">
              <w:rPr>
                <w:bCs w:val="0"/>
                <w:sz w:val="18"/>
                <w:szCs w:val="18"/>
              </w:rPr>
              <w:br/>
              <w:t xml:space="preserve">NKM membeli peralatan medis dari </w:t>
            </w:r>
            <w:r w:rsidRPr="005871CB">
              <w:rPr>
                <w:bCs w:val="0"/>
                <w:sz w:val="18"/>
                <w:szCs w:val="18"/>
              </w:rPr>
              <w:br/>
              <w:t xml:space="preserve">PT Philips Indonesia Commercial dengan total </w:t>
            </w:r>
            <w:r w:rsidRPr="005871CB">
              <w:rPr>
                <w:bCs w:val="0"/>
                <w:sz w:val="18"/>
                <w:szCs w:val="18"/>
              </w:rPr>
              <w:br/>
              <w:t>harga USD</w:t>
            </w:r>
            <w:r w:rsidR="005871CB">
              <w:rPr>
                <w:bCs w:val="0"/>
                <w:sz w:val="18"/>
                <w:szCs w:val="18"/>
              </w:rPr>
              <w:t xml:space="preserve"> </w:t>
            </w:r>
            <w:r w:rsidRPr="005871CB">
              <w:rPr>
                <w:bCs w:val="0"/>
                <w:sz w:val="18"/>
                <w:szCs w:val="18"/>
              </w:rPr>
              <w:t xml:space="preserve">6.123.125 yang diangsur 48 bulan </w:t>
            </w:r>
            <w:r w:rsidRPr="005871CB">
              <w:rPr>
                <w:bCs w:val="0"/>
                <w:sz w:val="18"/>
                <w:szCs w:val="18"/>
              </w:rPr>
              <w:br/>
              <w:t xml:space="preserve">sampai dengan 22 Nopember 2016 dengan </w:t>
            </w:r>
            <w:r w:rsidRPr="005871CB">
              <w:rPr>
                <w:bCs w:val="0"/>
                <w:sz w:val="18"/>
                <w:szCs w:val="18"/>
              </w:rPr>
              <w:br/>
              <w:t>angsuran setiap bulannya USD</w:t>
            </w:r>
            <w:r w:rsidR="005871CB">
              <w:rPr>
                <w:bCs w:val="0"/>
                <w:sz w:val="18"/>
                <w:szCs w:val="18"/>
              </w:rPr>
              <w:t xml:space="preserve"> </w:t>
            </w:r>
            <w:r w:rsidRPr="005871CB">
              <w:rPr>
                <w:bCs w:val="0"/>
                <w:sz w:val="18"/>
                <w:szCs w:val="18"/>
              </w:rPr>
              <w:t>115.992</w:t>
            </w:r>
            <w:r w:rsidR="00305CA0">
              <w:rPr>
                <w:bCs w:val="0"/>
                <w:sz w:val="18"/>
                <w:szCs w:val="18"/>
              </w:rPr>
              <w:t>.</w:t>
            </w:r>
            <w:r w:rsidRPr="005871CB">
              <w:rPr>
                <w:bCs w:val="0"/>
                <w:sz w:val="18"/>
                <w:szCs w:val="18"/>
              </w:rPr>
              <w:t xml:space="preserve"> Tingkat </w:t>
            </w:r>
            <w:r w:rsidRPr="005871CB">
              <w:rPr>
                <w:bCs w:val="0"/>
                <w:sz w:val="18"/>
                <w:szCs w:val="18"/>
              </w:rPr>
              <w:br/>
              <w:t>suku bunga efektif 5</w:t>
            </w:r>
            <w:r w:rsidR="00305CA0">
              <w:rPr>
                <w:bCs w:val="0"/>
                <w:sz w:val="18"/>
                <w:szCs w:val="18"/>
              </w:rPr>
              <w:t>.</w:t>
            </w:r>
            <w:r w:rsidRPr="005871CB">
              <w:rPr>
                <w:bCs w:val="0"/>
                <w:sz w:val="18"/>
                <w:szCs w:val="18"/>
              </w:rPr>
              <w:t>38% per tahun.</w:t>
            </w:r>
          </w:p>
        </w:tc>
        <w:tc>
          <w:tcPr>
            <w:tcW w:w="2500" w:type="pct"/>
            <w:tcBorders>
              <w:top w:val="nil"/>
              <w:left w:val="nil"/>
              <w:bottom w:val="nil"/>
              <w:right w:val="nil"/>
            </w:tcBorders>
          </w:tcPr>
          <w:p w14:paraId="111D955C" w14:textId="2D90D6C0" w:rsidR="00F10413" w:rsidRPr="005871CB" w:rsidRDefault="00090A0D" w:rsidP="00DF2D15">
            <w:pPr>
              <w:ind w:left="284" w:right="-57"/>
              <w:jc w:val="both"/>
              <w:rPr>
                <w:i/>
                <w:sz w:val="18"/>
                <w:szCs w:val="18"/>
              </w:rPr>
            </w:pPr>
            <w:r w:rsidRPr="005871CB">
              <w:rPr>
                <w:bCs w:val="0"/>
                <w:i/>
                <w:sz w:val="18"/>
                <w:szCs w:val="18"/>
              </w:rPr>
              <w:t xml:space="preserve">Based    on    Sale    and    Purchase    Agreement </w:t>
            </w:r>
            <w:r w:rsidRPr="005871CB">
              <w:rPr>
                <w:bCs w:val="0"/>
                <w:i/>
                <w:sz w:val="18"/>
                <w:szCs w:val="18"/>
              </w:rPr>
              <w:br/>
              <w:t xml:space="preserve">No. 268/Leg/C/X/2012 </w:t>
            </w:r>
            <w:proofErr w:type="gramStart"/>
            <w:r w:rsidRPr="005871CB">
              <w:rPr>
                <w:bCs w:val="0"/>
                <w:i/>
                <w:sz w:val="18"/>
                <w:szCs w:val="18"/>
              </w:rPr>
              <w:t>dated  October</w:t>
            </w:r>
            <w:proofErr w:type="gramEnd"/>
            <w:r w:rsidRPr="005871CB">
              <w:rPr>
                <w:bCs w:val="0"/>
                <w:i/>
                <w:sz w:val="18"/>
                <w:szCs w:val="18"/>
              </w:rPr>
              <w:t xml:space="preserve"> 22</w:t>
            </w:r>
            <w:r w:rsidR="00305CA0">
              <w:rPr>
                <w:bCs w:val="0"/>
                <w:i/>
                <w:sz w:val="18"/>
                <w:szCs w:val="18"/>
              </w:rPr>
              <w:t>.</w:t>
            </w:r>
            <w:r w:rsidRPr="005871CB">
              <w:rPr>
                <w:bCs w:val="0"/>
                <w:i/>
                <w:sz w:val="18"/>
                <w:szCs w:val="18"/>
              </w:rPr>
              <w:t xml:space="preserve"> 2012</w:t>
            </w:r>
            <w:r w:rsidR="00305CA0">
              <w:rPr>
                <w:bCs w:val="0"/>
                <w:i/>
                <w:sz w:val="18"/>
                <w:szCs w:val="18"/>
              </w:rPr>
              <w:t>.</w:t>
            </w:r>
            <w:r w:rsidRPr="005871CB">
              <w:rPr>
                <w:bCs w:val="0"/>
                <w:i/>
                <w:sz w:val="18"/>
                <w:szCs w:val="18"/>
              </w:rPr>
              <w:t xml:space="preserve"> </w:t>
            </w:r>
            <w:r w:rsidRPr="005871CB">
              <w:rPr>
                <w:bCs w:val="0"/>
                <w:i/>
                <w:sz w:val="18"/>
                <w:szCs w:val="18"/>
              </w:rPr>
              <w:br/>
              <w:t xml:space="preserve">NKM purchased medical equipments from </w:t>
            </w:r>
            <w:r w:rsidRPr="005871CB">
              <w:rPr>
                <w:bCs w:val="0"/>
                <w:i/>
                <w:sz w:val="18"/>
                <w:szCs w:val="18"/>
              </w:rPr>
              <w:br/>
            </w:r>
            <w:proofErr w:type="gramStart"/>
            <w:r w:rsidRPr="005871CB">
              <w:rPr>
                <w:bCs w:val="0"/>
                <w:i/>
                <w:sz w:val="18"/>
                <w:szCs w:val="18"/>
              </w:rPr>
              <w:t>PT  Philips</w:t>
            </w:r>
            <w:proofErr w:type="gramEnd"/>
            <w:r w:rsidRPr="005871CB">
              <w:rPr>
                <w:bCs w:val="0"/>
                <w:i/>
                <w:sz w:val="18"/>
                <w:szCs w:val="18"/>
              </w:rPr>
              <w:t xml:space="preserve">  Indonesia  Commercial amounting to </w:t>
            </w:r>
            <w:r w:rsidRPr="005871CB">
              <w:rPr>
                <w:bCs w:val="0"/>
                <w:i/>
                <w:sz w:val="18"/>
                <w:szCs w:val="18"/>
              </w:rPr>
              <w:br/>
              <w:t>USD</w:t>
            </w:r>
            <w:r w:rsidR="005871CB">
              <w:rPr>
                <w:bCs w:val="0"/>
                <w:i/>
                <w:sz w:val="18"/>
                <w:szCs w:val="18"/>
              </w:rPr>
              <w:t xml:space="preserve"> </w:t>
            </w:r>
            <w:r w:rsidRPr="005871CB">
              <w:rPr>
                <w:bCs w:val="0"/>
                <w:i/>
                <w:sz w:val="18"/>
                <w:szCs w:val="18"/>
              </w:rPr>
              <w:t>6</w:t>
            </w:r>
            <w:r w:rsidR="00305CA0">
              <w:rPr>
                <w:bCs w:val="0"/>
                <w:i/>
                <w:sz w:val="18"/>
                <w:szCs w:val="18"/>
              </w:rPr>
              <w:t>.</w:t>
            </w:r>
            <w:r w:rsidRPr="005871CB">
              <w:rPr>
                <w:bCs w:val="0"/>
                <w:i/>
                <w:sz w:val="18"/>
                <w:szCs w:val="18"/>
              </w:rPr>
              <w:t>123</w:t>
            </w:r>
            <w:r w:rsidR="00305CA0">
              <w:rPr>
                <w:bCs w:val="0"/>
                <w:i/>
                <w:sz w:val="18"/>
                <w:szCs w:val="18"/>
              </w:rPr>
              <w:t>.</w:t>
            </w:r>
            <w:r w:rsidRPr="005871CB">
              <w:rPr>
                <w:bCs w:val="0"/>
                <w:i/>
                <w:sz w:val="18"/>
                <w:szCs w:val="18"/>
              </w:rPr>
              <w:t xml:space="preserve">125 with 48 months repayment until </w:t>
            </w:r>
            <w:r w:rsidRPr="005871CB">
              <w:rPr>
                <w:bCs w:val="0"/>
                <w:i/>
                <w:sz w:val="18"/>
                <w:szCs w:val="18"/>
              </w:rPr>
              <w:br/>
              <w:t>November 22</w:t>
            </w:r>
            <w:r w:rsidR="00305CA0">
              <w:rPr>
                <w:bCs w:val="0"/>
                <w:i/>
                <w:sz w:val="18"/>
                <w:szCs w:val="18"/>
              </w:rPr>
              <w:t>.</w:t>
            </w:r>
            <w:r w:rsidRPr="005871CB">
              <w:rPr>
                <w:bCs w:val="0"/>
                <w:i/>
                <w:sz w:val="18"/>
                <w:szCs w:val="18"/>
              </w:rPr>
              <w:t xml:space="preserve"> 2016 and with monthly repayment </w:t>
            </w:r>
            <w:r w:rsidRPr="005871CB">
              <w:rPr>
                <w:bCs w:val="0"/>
                <w:i/>
                <w:sz w:val="18"/>
                <w:szCs w:val="18"/>
              </w:rPr>
              <w:br/>
              <w:t>USD</w:t>
            </w:r>
            <w:r w:rsidR="005871CB">
              <w:rPr>
                <w:bCs w:val="0"/>
                <w:i/>
                <w:sz w:val="18"/>
                <w:szCs w:val="18"/>
              </w:rPr>
              <w:t xml:space="preserve"> </w:t>
            </w:r>
            <w:r w:rsidRPr="005871CB">
              <w:rPr>
                <w:bCs w:val="0"/>
                <w:i/>
                <w:sz w:val="18"/>
                <w:szCs w:val="18"/>
              </w:rPr>
              <w:t>115</w:t>
            </w:r>
            <w:r w:rsidR="00305CA0">
              <w:rPr>
                <w:bCs w:val="0"/>
                <w:i/>
                <w:sz w:val="18"/>
                <w:szCs w:val="18"/>
              </w:rPr>
              <w:t>.</w:t>
            </w:r>
            <w:r w:rsidRPr="005871CB">
              <w:rPr>
                <w:bCs w:val="0"/>
                <w:i/>
                <w:sz w:val="18"/>
                <w:szCs w:val="18"/>
              </w:rPr>
              <w:t>992</w:t>
            </w:r>
            <w:r w:rsidR="00305CA0">
              <w:rPr>
                <w:bCs w:val="0"/>
                <w:i/>
                <w:sz w:val="18"/>
                <w:szCs w:val="18"/>
              </w:rPr>
              <w:t>.</w:t>
            </w:r>
            <w:r w:rsidRPr="005871CB">
              <w:rPr>
                <w:bCs w:val="0"/>
                <w:i/>
                <w:sz w:val="18"/>
                <w:szCs w:val="18"/>
              </w:rPr>
              <w:t xml:space="preserve"> Effective interest rate is 5.38% per </w:t>
            </w:r>
            <w:r w:rsidRPr="005871CB">
              <w:rPr>
                <w:bCs w:val="0"/>
                <w:i/>
                <w:sz w:val="18"/>
                <w:szCs w:val="18"/>
              </w:rPr>
              <w:br/>
              <w:t>annum.</w:t>
            </w:r>
          </w:p>
        </w:tc>
      </w:tr>
      <w:tr w:rsidR="00F10413" w:rsidRPr="0013526B" w14:paraId="4C9C0DBC" w14:textId="77777777" w:rsidTr="002108FF">
        <w:tc>
          <w:tcPr>
            <w:tcW w:w="2500" w:type="pct"/>
            <w:tcBorders>
              <w:top w:val="nil"/>
              <w:left w:val="nil"/>
              <w:bottom w:val="nil"/>
              <w:right w:val="nil"/>
            </w:tcBorders>
          </w:tcPr>
          <w:p w14:paraId="1E7C7980" w14:textId="77777777" w:rsidR="00F10413" w:rsidRPr="0013526B" w:rsidRDefault="00F10413" w:rsidP="00E815FE">
            <w:pPr>
              <w:ind w:left="284" w:right="-57"/>
              <w:jc w:val="both"/>
              <w:rPr>
                <w:sz w:val="18"/>
                <w:szCs w:val="18"/>
              </w:rPr>
            </w:pPr>
          </w:p>
        </w:tc>
        <w:tc>
          <w:tcPr>
            <w:tcW w:w="2500" w:type="pct"/>
            <w:tcBorders>
              <w:top w:val="nil"/>
              <w:left w:val="nil"/>
              <w:bottom w:val="nil"/>
              <w:right w:val="nil"/>
            </w:tcBorders>
          </w:tcPr>
          <w:p w14:paraId="284DD2C8" w14:textId="77777777" w:rsidR="00F10413" w:rsidRPr="0013526B" w:rsidRDefault="00F10413" w:rsidP="00E815FE">
            <w:pPr>
              <w:ind w:left="284" w:right="-57"/>
              <w:jc w:val="both"/>
              <w:rPr>
                <w:i/>
                <w:sz w:val="18"/>
                <w:szCs w:val="18"/>
              </w:rPr>
            </w:pPr>
          </w:p>
        </w:tc>
      </w:tr>
      <w:tr w:rsidR="00F10413" w:rsidRPr="00DC12ED" w14:paraId="55701E02" w14:textId="77777777" w:rsidTr="002108FF">
        <w:tc>
          <w:tcPr>
            <w:tcW w:w="2500" w:type="pct"/>
            <w:tcBorders>
              <w:top w:val="nil"/>
              <w:left w:val="nil"/>
              <w:bottom w:val="nil"/>
              <w:right w:val="nil"/>
            </w:tcBorders>
          </w:tcPr>
          <w:p w14:paraId="32704A23" w14:textId="04D763F0" w:rsidR="00F10413" w:rsidRPr="005871CB" w:rsidRDefault="00090A0D" w:rsidP="00DF2D15">
            <w:pPr>
              <w:ind w:left="284" w:right="-57"/>
              <w:jc w:val="both"/>
              <w:rPr>
                <w:bCs w:val="0"/>
                <w:sz w:val="18"/>
                <w:szCs w:val="18"/>
              </w:rPr>
            </w:pPr>
            <w:r w:rsidRPr="005871CB">
              <w:rPr>
                <w:bCs w:val="0"/>
                <w:sz w:val="18"/>
                <w:szCs w:val="18"/>
              </w:rPr>
              <w:t>Pada tanggal 25 Maret 2016</w:t>
            </w:r>
            <w:r w:rsidR="00305CA0">
              <w:rPr>
                <w:bCs w:val="0"/>
                <w:sz w:val="18"/>
                <w:szCs w:val="18"/>
              </w:rPr>
              <w:t>.</w:t>
            </w:r>
            <w:r w:rsidRPr="005871CB">
              <w:rPr>
                <w:bCs w:val="0"/>
                <w:sz w:val="18"/>
                <w:szCs w:val="18"/>
              </w:rPr>
              <w:t xml:space="preserve"> NKM dan PT Philips   Indonesia   Commercial   mengadakan perubahan terhadap Perjanjian Jual Beli dengan Angsuran dan Penyerahan Fidusia dimana terdapat perubahan jangka waktu pembayaran akan berlangsung selama 55 bulan terhitung sejak 5   April  2013   dan  sisa  harga  yang  dikenakan menjadi </w:t>
            </w:r>
            <w:r w:rsidR="004A1988" w:rsidRPr="005871CB">
              <w:rPr>
                <w:bCs w:val="0"/>
                <w:sz w:val="18"/>
                <w:szCs w:val="18"/>
              </w:rPr>
              <w:t>Rp 2</w:t>
            </w:r>
            <w:r w:rsidRPr="005871CB">
              <w:rPr>
                <w:bCs w:val="0"/>
                <w:sz w:val="18"/>
                <w:szCs w:val="18"/>
              </w:rPr>
              <w:t>8.921.088.841.</w:t>
            </w:r>
          </w:p>
        </w:tc>
        <w:tc>
          <w:tcPr>
            <w:tcW w:w="2500" w:type="pct"/>
            <w:tcBorders>
              <w:top w:val="nil"/>
              <w:left w:val="nil"/>
              <w:bottom w:val="nil"/>
              <w:right w:val="nil"/>
            </w:tcBorders>
          </w:tcPr>
          <w:p w14:paraId="18D8EFB1" w14:textId="3245C852" w:rsidR="00F10413" w:rsidRPr="005871CB" w:rsidRDefault="00090A0D" w:rsidP="00DF2D15">
            <w:pPr>
              <w:ind w:left="284" w:right="-57"/>
              <w:jc w:val="both"/>
              <w:rPr>
                <w:i/>
                <w:sz w:val="18"/>
                <w:szCs w:val="18"/>
              </w:rPr>
            </w:pPr>
            <w:r w:rsidRPr="005871CB">
              <w:rPr>
                <w:bCs w:val="0"/>
                <w:i/>
                <w:sz w:val="18"/>
                <w:szCs w:val="18"/>
              </w:rPr>
              <w:t>On March 25</w:t>
            </w:r>
            <w:r w:rsidR="00305CA0">
              <w:rPr>
                <w:bCs w:val="0"/>
                <w:i/>
                <w:sz w:val="18"/>
                <w:szCs w:val="18"/>
              </w:rPr>
              <w:t>.</w:t>
            </w:r>
            <w:r w:rsidRPr="005871CB">
              <w:rPr>
                <w:bCs w:val="0"/>
                <w:i/>
                <w:sz w:val="18"/>
                <w:szCs w:val="18"/>
              </w:rPr>
              <w:t xml:space="preserve"> 2016</w:t>
            </w:r>
            <w:r w:rsidR="00305CA0">
              <w:rPr>
                <w:bCs w:val="0"/>
                <w:i/>
                <w:sz w:val="18"/>
                <w:szCs w:val="18"/>
              </w:rPr>
              <w:t>.</w:t>
            </w:r>
            <w:r w:rsidRPr="005871CB">
              <w:rPr>
                <w:bCs w:val="0"/>
                <w:i/>
                <w:sz w:val="18"/>
                <w:szCs w:val="18"/>
              </w:rPr>
              <w:t xml:space="preserve"> NKM and PT Philips Indonesia </w:t>
            </w:r>
            <w:r w:rsidRPr="005871CB">
              <w:rPr>
                <w:bCs w:val="0"/>
                <w:i/>
                <w:sz w:val="18"/>
                <w:szCs w:val="18"/>
              </w:rPr>
              <w:br/>
              <w:t xml:space="preserve">Commercial entered into an amendment of the sale </w:t>
            </w:r>
            <w:r w:rsidRPr="005871CB">
              <w:rPr>
                <w:bCs w:val="0"/>
                <w:i/>
                <w:sz w:val="18"/>
                <w:szCs w:val="18"/>
              </w:rPr>
              <w:br/>
              <w:t xml:space="preserve">and purchase agreement with installment payment </w:t>
            </w:r>
            <w:r w:rsidRPr="005871CB">
              <w:rPr>
                <w:bCs w:val="0"/>
                <w:i/>
                <w:sz w:val="18"/>
                <w:szCs w:val="18"/>
              </w:rPr>
              <w:br/>
            </w:r>
            <w:proofErr w:type="gramStart"/>
            <w:r w:rsidRPr="005871CB">
              <w:rPr>
                <w:bCs w:val="0"/>
                <w:i/>
                <w:sz w:val="18"/>
                <w:szCs w:val="18"/>
              </w:rPr>
              <w:t>and  provision</w:t>
            </w:r>
            <w:proofErr w:type="gramEnd"/>
            <w:r w:rsidRPr="005871CB">
              <w:rPr>
                <w:bCs w:val="0"/>
                <w:i/>
                <w:sz w:val="18"/>
                <w:szCs w:val="18"/>
              </w:rPr>
              <w:t xml:space="preserve">  of  fiducia</w:t>
            </w:r>
            <w:r w:rsidR="00305CA0">
              <w:rPr>
                <w:bCs w:val="0"/>
                <w:i/>
                <w:sz w:val="18"/>
                <w:szCs w:val="18"/>
              </w:rPr>
              <w:t>.</w:t>
            </w:r>
            <w:r w:rsidRPr="005871CB">
              <w:rPr>
                <w:bCs w:val="0"/>
                <w:i/>
                <w:sz w:val="18"/>
                <w:szCs w:val="18"/>
              </w:rPr>
              <w:t xml:space="preserve">  </w:t>
            </w:r>
            <w:proofErr w:type="gramStart"/>
            <w:r w:rsidRPr="005871CB">
              <w:rPr>
                <w:bCs w:val="0"/>
                <w:i/>
                <w:sz w:val="18"/>
                <w:szCs w:val="18"/>
              </w:rPr>
              <w:t>regarding  changes</w:t>
            </w:r>
            <w:proofErr w:type="gramEnd"/>
            <w:r w:rsidRPr="005871CB">
              <w:rPr>
                <w:bCs w:val="0"/>
                <w:i/>
                <w:sz w:val="18"/>
                <w:szCs w:val="18"/>
              </w:rPr>
              <w:t xml:space="preserve">  the </w:t>
            </w:r>
            <w:r w:rsidRPr="005871CB">
              <w:rPr>
                <w:bCs w:val="0"/>
                <w:i/>
                <w:sz w:val="18"/>
                <w:szCs w:val="18"/>
              </w:rPr>
              <w:br/>
              <w:t xml:space="preserve">period of payment shall be for 55 months as of </w:t>
            </w:r>
            <w:r w:rsidRPr="005871CB">
              <w:rPr>
                <w:bCs w:val="0"/>
                <w:i/>
                <w:sz w:val="18"/>
                <w:szCs w:val="18"/>
              </w:rPr>
              <w:br/>
              <w:t>April 5</w:t>
            </w:r>
            <w:r w:rsidR="00305CA0">
              <w:rPr>
                <w:bCs w:val="0"/>
                <w:i/>
                <w:sz w:val="18"/>
                <w:szCs w:val="18"/>
              </w:rPr>
              <w:t>.</w:t>
            </w:r>
            <w:r w:rsidRPr="005871CB">
              <w:rPr>
                <w:bCs w:val="0"/>
                <w:i/>
                <w:sz w:val="18"/>
                <w:szCs w:val="18"/>
              </w:rPr>
              <w:t xml:space="preserve"> </w:t>
            </w:r>
            <w:proofErr w:type="gramStart"/>
            <w:r w:rsidRPr="005871CB">
              <w:rPr>
                <w:bCs w:val="0"/>
                <w:i/>
                <w:sz w:val="18"/>
                <w:szCs w:val="18"/>
              </w:rPr>
              <w:t>2013  and</w:t>
            </w:r>
            <w:proofErr w:type="gramEnd"/>
            <w:r w:rsidRPr="005871CB">
              <w:rPr>
                <w:bCs w:val="0"/>
                <w:i/>
                <w:sz w:val="18"/>
                <w:szCs w:val="18"/>
              </w:rPr>
              <w:t xml:space="preserve">  the  remaining  price  become </w:t>
            </w:r>
            <w:r w:rsidRPr="005871CB">
              <w:rPr>
                <w:bCs w:val="0"/>
                <w:i/>
                <w:sz w:val="18"/>
                <w:szCs w:val="18"/>
              </w:rPr>
              <w:br/>
            </w:r>
            <w:r w:rsidR="004A1988" w:rsidRPr="005871CB">
              <w:rPr>
                <w:bCs w:val="0"/>
                <w:i/>
                <w:sz w:val="18"/>
                <w:szCs w:val="18"/>
              </w:rPr>
              <w:t>Rp 2</w:t>
            </w:r>
            <w:r w:rsidRPr="005871CB">
              <w:rPr>
                <w:bCs w:val="0"/>
                <w:i/>
                <w:sz w:val="18"/>
                <w:szCs w:val="18"/>
              </w:rPr>
              <w:t>8</w:t>
            </w:r>
            <w:r w:rsidR="00305CA0">
              <w:rPr>
                <w:bCs w:val="0"/>
                <w:i/>
                <w:sz w:val="18"/>
                <w:szCs w:val="18"/>
              </w:rPr>
              <w:t>.</w:t>
            </w:r>
            <w:r w:rsidRPr="005871CB">
              <w:rPr>
                <w:bCs w:val="0"/>
                <w:i/>
                <w:sz w:val="18"/>
                <w:szCs w:val="18"/>
              </w:rPr>
              <w:t>921</w:t>
            </w:r>
            <w:r w:rsidR="00305CA0">
              <w:rPr>
                <w:bCs w:val="0"/>
                <w:i/>
                <w:sz w:val="18"/>
                <w:szCs w:val="18"/>
              </w:rPr>
              <w:t>.</w:t>
            </w:r>
            <w:r w:rsidRPr="005871CB">
              <w:rPr>
                <w:bCs w:val="0"/>
                <w:i/>
                <w:sz w:val="18"/>
                <w:szCs w:val="18"/>
              </w:rPr>
              <w:t>088</w:t>
            </w:r>
            <w:r w:rsidR="00305CA0">
              <w:rPr>
                <w:bCs w:val="0"/>
                <w:i/>
                <w:sz w:val="18"/>
                <w:szCs w:val="18"/>
              </w:rPr>
              <w:t>.</w:t>
            </w:r>
            <w:r w:rsidRPr="005871CB">
              <w:rPr>
                <w:bCs w:val="0"/>
                <w:i/>
                <w:sz w:val="18"/>
                <w:szCs w:val="18"/>
              </w:rPr>
              <w:t>841.</w:t>
            </w:r>
          </w:p>
        </w:tc>
      </w:tr>
    </w:tbl>
    <w:p w14:paraId="5DB01862" w14:textId="77777777" w:rsidR="00106F3C" w:rsidRPr="00106F3C" w:rsidRDefault="00106F3C">
      <w:pPr>
        <w:rPr>
          <w:sz w:val="20"/>
        </w:rPr>
      </w:pPr>
    </w:p>
    <w:p w14:paraId="14894377" w14:textId="77777777" w:rsidR="00090A0D" w:rsidRDefault="00090A0D" w:rsidP="007D1B9B">
      <w:pPr>
        <w:rPr>
          <w:sz w:val="14"/>
          <w:szCs w:val="18"/>
        </w:rPr>
      </w:pPr>
    </w:p>
    <w:tbl>
      <w:tblPr>
        <w:tblW w:w="9197" w:type="dxa"/>
        <w:tblInd w:w="392" w:type="dxa"/>
        <w:tblLook w:val="0000" w:firstRow="0" w:lastRow="0" w:firstColumn="0" w:lastColumn="0" w:noHBand="0" w:noVBand="0"/>
      </w:tblPr>
      <w:tblGrid>
        <w:gridCol w:w="4598"/>
        <w:gridCol w:w="4599"/>
      </w:tblGrid>
      <w:tr w:rsidR="00B74074" w:rsidRPr="00E019F9" w14:paraId="644749F2" w14:textId="77777777" w:rsidTr="002108FF">
        <w:tc>
          <w:tcPr>
            <w:tcW w:w="2500" w:type="pct"/>
            <w:tcBorders>
              <w:top w:val="nil"/>
              <w:left w:val="nil"/>
              <w:bottom w:val="nil"/>
              <w:right w:val="nil"/>
            </w:tcBorders>
          </w:tcPr>
          <w:p w14:paraId="3D85556B" w14:textId="33A31777" w:rsidR="00B74074" w:rsidRPr="00F93847" w:rsidRDefault="00B74074" w:rsidP="0052367A">
            <w:pPr>
              <w:ind w:left="252" w:hanging="252"/>
              <w:jc w:val="both"/>
              <w:rPr>
                <w:b/>
                <w:bCs w:val="0"/>
                <w:sz w:val="18"/>
                <w:szCs w:val="18"/>
              </w:rPr>
            </w:pPr>
            <w:r>
              <w:rPr>
                <w:sz w:val="14"/>
                <w:szCs w:val="18"/>
              </w:rPr>
              <w:br w:type="page"/>
            </w:r>
            <w:r w:rsidR="0052367A">
              <w:rPr>
                <w:b/>
                <w:bCs w:val="0"/>
                <w:sz w:val="18"/>
                <w:szCs w:val="18"/>
              </w:rPr>
              <w:t xml:space="preserve">21.  </w:t>
            </w:r>
            <w:r>
              <w:rPr>
                <w:b/>
                <w:bCs w:val="0"/>
                <w:sz w:val="18"/>
                <w:szCs w:val="18"/>
              </w:rPr>
              <w:t xml:space="preserve">LIABILITAS IMBALAN PASCA KERJA </w:t>
            </w:r>
          </w:p>
        </w:tc>
        <w:tc>
          <w:tcPr>
            <w:tcW w:w="2500" w:type="pct"/>
            <w:tcBorders>
              <w:top w:val="nil"/>
              <w:left w:val="nil"/>
              <w:bottom w:val="nil"/>
              <w:right w:val="nil"/>
            </w:tcBorders>
          </w:tcPr>
          <w:p w14:paraId="3F2AB3FA" w14:textId="1AB18689" w:rsidR="00B74074" w:rsidRPr="00E019F9" w:rsidRDefault="0052367A" w:rsidP="0052367A">
            <w:pPr>
              <w:ind w:left="252" w:hanging="252"/>
              <w:jc w:val="both"/>
              <w:rPr>
                <w:b/>
                <w:bCs w:val="0"/>
                <w:i/>
                <w:iCs/>
                <w:sz w:val="18"/>
                <w:szCs w:val="18"/>
              </w:rPr>
            </w:pPr>
            <w:r>
              <w:rPr>
                <w:b/>
                <w:bCs w:val="0"/>
                <w:i/>
                <w:iCs/>
                <w:sz w:val="18"/>
                <w:szCs w:val="18"/>
              </w:rPr>
              <w:t xml:space="preserve">21.  </w:t>
            </w:r>
            <w:r w:rsidR="00B74074" w:rsidRPr="00E019F9">
              <w:rPr>
                <w:b/>
                <w:bCs w:val="0"/>
                <w:i/>
                <w:iCs/>
                <w:sz w:val="18"/>
                <w:szCs w:val="18"/>
              </w:rPr>
              <w:t xml:space="preserve">POST EMPLOYMENT BENEFITS LIABILITIES </w:t>
            </w:r>
          </w:p>
        </w:tc>
      </w:tr>
    </w:tbl>
    <w:p w14:paraId="0AC71DBD" w14:textId="2C8A726C" w:rsidR="00B74074" w:rsidRDefault="00B74074" w:rsidP="007D1B9B">
      <w:pPr>
        <w:rPr>
          <w:sz w:val="14"/>
          <w:szCs w:val="18"/>
        </w:rPr>
      </w:pPr>
    </w:p>
    <w:tbl>
      <w:tblPr>
        <w:tblW w:w="9197" w:type="dxa"/>
        <w:tblInd w:w="420" w:type="dxa"/>
        <w:tblLook w:val="0000" w:firstRow="0" w:lastRow="0" w:firstColumn="0" w:lastColumn="0" w:noHBand="0" w:noVBand="0"/>
      </w:tblPr>
      <w:tblGrid>
        <w:gridCol w:w="4598"/>
        <w:gridCol w:w="4599"/>
      </w:tblGrid>
      <w:tr w:rsidR="00471B9C" w:rsidRPr="00F23FFA" w14:paraId="1B7F398F" w14:textId="77777777" w:rsidTr="00D0517D">
        <w:tc>
          <w:tcPr>
            <w:tcW w:w="2500" w:type="pct"/>
            <w:tcBorders>
              <w:top w:val="nil"/>
              <w:left w:val="nil"/>
              <w:bottom w:val="nil"/>
              <w:right w:val="nil"/>
            </w:tcBorders>
          </w:tcPr>
          <w:p w14:paraId="77403813" w14:textId="4B10C020" w:rsidR="00471B9C" w:rsidRPr="008109D0" w:rsidRDefault="00471B9C" w:rsidP="00D0517D">
            <w:pPr>
              <w:ind w:left="284" w:right="-57"/>
              <w:jc w:val="both"/>
              <w:rPr>
                <w:bCs w:val="0"/>
                <w:sz w:val="18"/>
                <w:szCs w:val="18"/>
              </w:rPr>
            </w:pPr>
            <w:r w:rsidRPr="008109D0">
              <w:rPr>
                <w:bCs w:val="0"/>
                <w:sz w:val="18"/>
                <w:szCs w:val="18"/>
              </w:rPr>
              <w:t>Grup membukukan liabilitas imbalan pascakerja imbalan pasti untuk karyawan sesuai dengan Undang-Undang</w:t>
            </w:r>
            <w:r w:rsidRPr="008109D0">
              <w:rPr>
                <w:bCs w:val="0"/>
                <w:sz w:val="18"/>
                <w:szCs w:val="18"/>
              </w:rPr>
              <w:br/>
              <w:t>No. 13/2003 tentang ketenagakerjaan. Jumlah karyawan yang berhak atas imbalan pascakerja masing-masing pada tanggal 31 Desember 2019 dan 2018 ada</w:t>
            </w:r>
            <w:r w:rsidR="005450AA">
              <w:rPr>
                <w:bCs w:val="0"/>
                <w:sz w:val="18"/>
                <w:szCs w:val="18"/>
              </w:rPr>
              <w:t>lah masing-masing sebanyak 2.119</w:t>
            </w:r>
            <w:r w:rsidRPr="008109D0">
              <w:rPr>
                <w:bCs w:val="0"/>
                <w:sz w:val="18"/>
                <w:szCs w:val="18"/>
              </w:rPr>
              <w:t xml:space="preserve"> dan </w:t>
            </w:r>
            <w:r w:rsidR="001C5D60" w:rsidRPr="008109D0">
              <w:rPr>
                <w:bCs w:val="0"/>
                <w:sz w:val="18"/>
                <w:szCs w:val="18"/>
              </w:rPr>
              <w:t>2.044</w:t>
            </w:r>
            <w:r w:rsidRPr="008109D0">
              <w:rPr>
                <w:bCs w:val="0"/>
                <w:sz w:val="18"/>
                <w:szCs w:val="18"/>
              </w:rPr>
              <w:t xml:space="preserve"> karyawan.</w:t>
            </w:r>
          </w:p>
        </w:tc>
        <w:tc>
          <w:tcPr>
            <w:tcW w:w="2500" w:type="pct"/>
            <w:tcBorders>
              <w:top w:val="nil"/>
              <w:left w:val="nil"/>
              <w:bottom w:val="nil"/>
              <w:right w:val="nil"/>
            </w:tcBorders>
          </w:tcPr>
          <w:p w14:paraId="75B42869" w14:textId="1EE36146" w:rsidR="00471B9C" w:rsidRPr="008109D0" w:rsidRDefault="00471B9C" w:rsidP="00D0517D">
            <w:pPr>
              <w:ind w:left="284" w:right="-57"/>
              <w:jc w:val="both"/>
              <w:rPr>
                <w:i/>
                <w:sz w:val="18"/>
                <w:szCs w:val="18"/>
              </w:rPr>
            </w:pPr>
            <w:r w:rsidRPr="008109D0">
              <w:rPr>
                <w:bCs w:val="0"/>
                <w:i/>
                <w:sz w:val="18"/>
                <w:szCs w:val="18"/>
              </w:rPr>
              <w:t xml:space="preserve">The Group made </w:t>
            </w:r>
            <w:r w:rsidR="00F64A5D" w:rsidRPr="008109D0">
              <w:rPr>
                <w:bCs w:val="0"/>
                <w:i/>
                <w:sz w:val="18"/>
                <w:szCs w:val="18"/>
              </w:rPr>
              <w:t xml:space="preserve">a </w:t>
            </w:r>
            <w:r w:rsidRPr="008109D0">
              <w:rPr>
                <w:bCs w:val="0"/>
                <w:i/>
                <w:sz w:val="18"/>
                <w:szCs w:val="18"/>
              </w:rPr>
              <w:t>provision of defined post employment benefits for employees in accordance with Labor La</w:t>
            </w:r>
            <w:r w:rsidR="005450AA">
              <w:rPr>
                <w:bCs w:val="0"/>
                <w:i/>
                <w:sz w:val="18"/>
                <w:szCs w:val="18"/>
              </w:rPr>
              <w:t xml:space="preserve">w </w:t>
            </w:r>
            <w:r w:rsidR="005450AA">
              <w:rPr>
                <w:bCs w:val="0"/>
                <w:i/>
                <w:sz w:val="18"/>
                <w:szCs w:val="18"/>
              </w:rPr>
              <w:br/>
              <w:t>No. 13/2003. There were 2.119</w:t>
            </w:r>
            <w:r w:rsidRPr="008109D0">
              <w:rPr>
                <w:bCs w:val="0"/>
                <w:i/>
                <w:sz w:val="18"/>
                <w:szCs w:val="18"/>
              </w:rPr>
              <w:t xml:space="preserve"> and </w:t>
            </w:r>
            <w:r w:rsidR="001C5D60" w:rsidRPr="008109D0">
              <w:rPr>
                <w:bCs w:val="0"/>
                <w:i/>
                <w:sz w:val="18"/>
                <w:szCs w:val="18"/>
              </w:rPr>
              <w:t>2.044</w:t>
            </w:r>
            <w:r w:rsidRPr="008109D0">
              <w:rPr>
                <w:bCs w:val="0"/>
                <w:i/>
                <w:sz w:val="18"/>
                <w:szCs w:val="18"/>
              </w:rPr>
              <w:t>employees who w</w:t>
            </w:r>
            <w:r w:rsidR="00F64A5D" w:rsidRPr="008109D0">
              <w:rPr>
                <w:bCs w:val="0"/>
                <w:i/>
                <w:sz w:val="18"/>
                <w:szCs w:val="18"/>
              </w:rPr>
              <w:t>ere</w:t>
            </w:r>
            <w:r w:rsidRPr="008109D0">
              <w:rPr>
                <w:bCs w:val="0"/>
                <w:i/>
                <w:sz w:val="18"/>
                <w:szCs w:val="18"/>
              </w:rPr>
              <w:t xml:space="preserve"> entitled to the benefits as of December 31</w:t>
            </w:r>
            <w:r w:rsidR="00870FD0" w:rsidRPr="008109D0">
              <w:rPr>
                <w:bCs w:val="0"/>
                <w:i/>
                <w:sz w:val="18"/>
                <w:szCs w:val="18"/>
              </w:rPr>
              <w:t>.</w:t>
            </w:r>
            <w:r w:rsidRPr="008109D0">
              <w:rPr>
                <w:bCs w:val="0"/>
                <w:i/>
                <w:sz w:val="18"/>
                <w:szCs w:val="18"/>
              </w:rPr>
              <w:t xml:space="preserve"> 2019 and 2018.</w:t>
            </w:r>
          </w:p>
        </w:tc>
      </w:tr>
      <w:tr w:rsidR="00471B9C" w:rsidRPr="00471B9C" w14:paraId="61C3662E" w14:textId="77777777" w:rsidTr="00D0517D">
        <w:tc>
          <w:tcPr>
            <w:tcW w:w="2500" w:type="pct"/>
            <w:tcBorders>
              <w:top w:val="nil"/>
              <w:left w:val="nil"/>
              <w:bottom w:val="nil"/>
              <w:right w:val="nil"/>
            </w:tcBorders>
          </w:tcPr>
          <w:p w14:paraId="7ACFEEB3" w14:textId="77777777" w:rsidR="00471B9C" w:rsidRPr="008109D0" w:rsidRDefault="00471B9C" w:rsidP="00D0517D">
            <w:pPr>
              <w:ind w:left="284" w:right="-57"/>
              <w:jc w:val="both"/>
              <w:rPr>
                <w:sz w:val="6"/>
                <w:szCs w:val="6"/>
              </w:rPr>
            </w:pPr>
          </w:p>
        </w:tc>
        <w:tc>
          <w:tcPr>
            <w:tcW w:w="2500" w:type="pct"/>
            <w:tcBorders>
              <w:top w:val="nil"/>
              <w:left w:val="nil"/>
              <w:bottom w:val="nil"/>
              <w:right w:val="nil"/>
            </w:tcBorders>
          </w:tcPr>
          <w:p w14:paraId="16053B5F" w14:textId="77777777" w:rsidR="00471B9C" w:rsidRPr="008109D0" w:rsidRDefault="00471B9C" w:rsidP="00D0517D">
            <w:pPr>
              <w:ind w:left="284" w:right="-57"/>
              <w:jc w:val="both"/>
              <w:rPr>
                <w:i/>
                <w:sz w:val="6"/>
                <w:szCs w:val="6"/>
              </w:rPr>
            </w:pPr>
          </w:p>
        </w:tc>
      </w:tr>
      <w:tr w:rsidR="00471B9C" w:rsidRPr="005871CB" w14:paraId="4458D202" w14:textId="77777777" w:rsidTr="00D0517D">
        <w:tc>
          <w:tcPr>
            <w:tcW w:w="2500" w:type="pct"/>
            <w:tcBorders>
              <w:top w:val="nil"/>
              <w:left w:val="nil"/>
              <w:bottom w:val="nil"/>
              <w:right w:val="nil"/>
            </w:tcBorders>
          </w:tcPr>
          <w:p w14:paraId="2033D52B" w14:textId="7C5C7EFC" w:rsidR="00471B9C" w:rsidRPr="005871CB" w:rsidRDefault="00471B9C" w:rsidP="00FB1603">
            <w:pPr>
              <w:ind w:left="284" w:right="-57"/>
              <w:jc w:val="both"/>
              <w:rPr>
                <w:sz w:val="18"/>
                <w:szCs w:val="18"/>
              </w:rPr>
            </w:pPr>
            <w:r w:rsidRPr="005871CB">
              <w:rPr>
                <w:bCs w:val="0"/>
                <w:sz w:val="18"/>
                <w:szCs w:val="18"/>
              </w:rPr>
              <w:t xml:space="preserve">Liabilitas imbalan pascakerja di laporan posisi keuangan konsolidasian pada tanggal </w:t>
            </w:r>
            <w:r w:rsidR="00141AFD">
              <w:rPr>
                <w:bCs w:val="0"/>
                <w:sz w:val="18"/>
                <w:szCs w:val="18"/>
              </w:rPr>
              <w:t xml:space="preserve">31 Maret 2020 dan </w:t>
            </w:r>
            <w:r w:rsidRPr="005871CB">
              <w:rPr>
                <w:bCs w:val="0"/>
                <w:sz w:val="18"/>
                <w:szCs w:val="18"/>
              </w:rPr>
              <w:t>31 Desember 2019 masing masin sebesar Rp</w:t>
            </w:r>
            <w:r>
              <w:rPr>
                <w:bCs w:val="0"/>
                <w:sz w:val="18"/>
                <w:szCs w:val="18"/>
              </w:rPr>
              <w:t xml:space="preserve"> </w:t>
            </w:r>
            <w:r w:rsidR="00141AFD">
              <w:rPr>
                <w:sz w:val="18"/>
                <w:szCs w:val="18"/>
              </w:rPr>
              <w:t>70.</w:t>
            </w:r>
            <w:r w:rsidR="00FB1603">
              <w:rPr>
                <w:sz w:val="18"/>
                <w:szCs w:val="18"/>
              </w:rPr>
              <w:t>455.969.355</w:t>
            </w:r>
            <w:r w:rsidRPr="005871CB">
              <w:rPr>
                <w:bCs w:val="0"/>
                <w:sz w:val="18"/>
                <w:szCs w:val="18"/>
              </w:rPr>
              <w:t xml:space="preserve"> dan Rp </w:t>
            </w:r>
            <w:r w:rsidR="00141AFD" w:rsidRPr="00FE279F">
              <w:rPr>
                <w:sz w:val="18"/>
                <w:szCs w:val="18"/>
              </w:rPr>
              <w:t>68.670.506.868</w:t>
            </w:r>
            <w:r w:rsidRPr="005871CB">
              <w:rPr>
                <w:bCs w:val="0"/>
                <w:sz w:val="18"/>
                <w:szCs w:val="18"/>
              </w:rPr>
              <w:t>.</w:t>
            </w:r>
          </w:p>
        </w:tc>
        <w:tc>
          <w:tcPr>
            <w:tcW w:w="2500" w:type="pct"/>
            <w:tcBorders>
              <w:top w:val="nil"/>
              <w:left w:val="nil"/>
              <w:bottom w:val="nil"/>
              <w:right w:val="nil"/>
            </w:tcBorders>
          </w:tcPr>
          <w:p w14:paraId="7F85A005" w14:textId="732ED392" w:rsidR="00471B9C" w:rsidRPr="005871CB" w:rsidRDefault="00471B9C" w:rsidP="00FB1603">
            <w:pPr>
              <w:ind w:left="284" w:right="-57"/>
              <w:jc w:val="both"/>
              <w:rPr>
                <w:bCs w:val="0"/>
                <w:i/>
                <w:sz w:val="18"/>
                <w:szCs w:val="18"/>
              </w:rPr>
            </w:pPr>
            <w:r w:rsidRPr="005871CB">
              <w:rPr>
                <w:bCs w:val="0"/>
                <w:i/>
                <w:sz w:val="18"/>
                <w:szCs w:val="18"/>
              </w:rPr>
              <w:t xml:space="preserve">Post-employment benefits liabilities in the consolidated statement of financial position as of </w:t>
            </w:r>
            <w:r w:rsidR="00141AFD">
              <w:rPr>
                <w:bCs w:val="0"/>
                <w:i/>
                <w:sz w:val="18"/>
                <w:szCs w:val="18"/>
              </w:rPr>
              <w:t>March 31</w:t>
            </w:r>
            <w:r w:rsidR="00305CA0">
              <w:rPr>
                <w:bCs w:val="0"/>
                <w:i/>
                <w:sz w:val="18"/>
                <w:szCs w:val="18"/>
              </w:rPr>
              <w:t>.</w:t>
            </w:r>
            <w:r w:rsidR="00141AFD">
              <w:rPr>
                <w:bCs w:val="0"/>
                <w:i/>
                <w:sz w:val="18"/>
                <w:szCs w:val="18"/>
              </w:rPr>
              <w:t xml:space="preserve"> 2020 and </w:t>
            </w:r>
            <w:r w:rsidRPr="005871CB">
              <w:rPr>
                <w:bCs w:val="0"/>
                <w:i/>
                <w:sz w:val="18"/>
                <w:szCs w:val="18"/>
              </w:rPr>
              <w:t>December 31</w:t>
            </w:r>
            <w:r w:rsidR="00305CA0">
              <w:rPr>
                <w:bCs w:val="0"/>
                <w:i/>
                <w:sz w:val="18"/>
                <w:szCs w:val="18"/>
              </w:rPr>
              <w:t>.</w:t>
            </w:r>
            <w:r w:rsidRPr="005871CB">
              <w:rPr>
                <w:bCs w:val="0"/>
                <w:i/>
                <w:sz w:val="18"/>
                <w:szCs w:val="18"/>
              </w:rPr>
              <w:t xml:space="preserve"> 2019 amounted to Rp</w:t>
            </w:r>
            <w:r>
              <w:rPr>
                <w:bCs w:val="0"/>
                <w:i/>
                <w:sz w:val="18"/>
                <w:szCs w:val="18"/>
              </w:rPr>
              <w:t xml:space="preserve"> </w:t>
            </w:r>
            <w:r w:rsidR="00141AFD">
              <w:rPr>
                <w:i/>
                <w:iCs/>
                <w:sz w:val="18"/>
                <w:szCs w:val="18"/>
              </w:rPr>
              <w:t>70</w:t>
            </w:r>
            <w:r w:rsidR="00305CA0">
              <w:rPr>
                <w:i/>
                <w:iCs/>
                <w:sz w:val="18"/>
                <w:szCs w:val="18"/>
              </w:rPr>
              <w:t>.</w:t>
            </w:r>
            <w:r w:rsidR="00FB1603">
              <w:rPr>
                <w:i/>
                <w:iCs/>
                <w:sz w:val="18"/>
                <w:szCs w:val="18"/>
              </w:rPr>
              <w:t>455.969.355</w:t>
            </w:r>
            <w:r w:rsidRPr="005871CB">
              <w:rPr>
                <w:bCs w:val="0"/>
                <w:i/>
                <w:sz w:val="18"/>
                <w:szCs w:val="18"/>
              </w:rPr>
              <w:t xml:space="preserve"> and </w:t>
            </w:r>
            <w:r>
              <w:rPr>
                <w:bCs w:val="0"/>
                <w:i/>
                <w:sz w:val="18"/>
                <w:szCs w:val="18"/>
              </w:rPr>
              <w:br/>
            </w:r>
            <w:r w:rsidRPr="005871CB">
              <w:rPr>
                <w:bCs w:val="0"/>
                <w:i/>
                <w:sz w:val="18"/>
                <w:szCs w:val="18"/>
              </w:rPr>
              <w:t xml:space="preserve">Rp </w:t>
            </w:r>
            <w:r w:rsidR="00141AFD" w:rsidRPr="005871CB">
              <w:rPr>
                <w:i/>
                <w:iCs/>
                <w:sz w:val="18"/>
                <w:szCs w:val="18"/>
              </w:rPr>
              <w:t>68</w:t>
            </w:r>
            <w:r w:rsidR="00305CA0">
              <w:rPr>
                <w:i/>
                <w:iCs/>
                <w:sz w:val="18"/>
                <w:szCs w:val="18"/>
              </w:rPr>
              <w:t>.</w:t>
            </w:r>
            <w:r w:rsidR="00141AFD" w:rsidRPr="005871CB">
              <w:rPr>
                <w:i/>
                <w:iCs/>
                <w:sz w:val="18"/>
                <w:szCs w:val="18"/>
              </w:rPr>
              <w:t>670</w:t>
            </w:r>
            <w:r w:rsidR="00305CA0">
              <w:rPr>
                <w:i/>
                <w:iCs/>
                <w:sz w:val="18"/>
                <w:szCs w:val="18"/>
              </w:rPr>
              <w:t>.</w:t>
            </w:r>
            <w:r w:rsidR="00141AFD" w:rsidRPr="005871CB">
              <w:rPr>
                <w:i/>
                <w:iCs/>
                <w:sz w:val="18"/>
                <w:szCs w:val="18"/>
              </w:rPr>
              <w:t>506</w:t>
            </w:r>
            <w:r w:rsidR="00305CA0">
              <w:rPr>
                <w:i/>
                <w:iCs/>
                <w:sz w:val="18"/>
                <w:szCs w:val="18"/>
              </w:rPr>
              <w:t>.</w:t>
            </w:r>
            <w:r w:rsidR="00141AFD" w:rsidRPr="005871CB">
              <w:rPr>
                <w:i/>
                <w:iCs/>
                <w:sz w:val="18"/>
                <w:szCs w:val="18"/>
              </w:rPr>
              <w:t>868</w:t>
            </w:r>
            <w:r w:rsidR="00305CA0">
              <w:rPr>
                <w:i/>
                <w:iCs/>
                <w:sz w:val="18"/>
                <w:szCs w:val="18"/>
              </w:rPr>
              <w:t>.</w:t>
            </w:r>
            <w:r w:rsidR="00141AFD">
              <w:rPr>
                <w:i/>
                <w:iCs/>
                <w:sz w:val="18"/>
                <w:szCs w:val="18"/>
              </w:rPr>
              <w:t xml:space="preserve"> </w:t>
            </w:r>
            <w:proofErr w:type="gramStart"/>
            <w:r w:rsidRPr="005871CB">
              <w:rPr>
                <w:bCs w:val="0"/>
                <w:i/>
                <w:sz w:val="18"/>
                <w:szCs w:val="18"/>
              </w:rPr>
              <w:t>respectively</w:t>
            </w:r>
            <w:proofErr w:type="gramEnd"/>
            <w:r w:rsidRPr="005871CB">
              <w:rPr>
                <w:bCs w:val="0"/>
                <w:i/>
                <w:sz w:val="18"/>
                <w:szCs w:val="18"/>
              </w:rPr>
              <w:t>.</w:t>
            </w:r>
          </w:p>
        </w:tc>
      </w:tr>
      <w:tr w:rsidR="00471B9C" w:rsidRPr="00471B9C" w14:paraId="124DEDC9" w14:textId="77777777" w:rsidTr="00D0517D">
        <w:tc>
          <w:tcPr>
            <w:tcW w:w="2500" w:type="pct"/>
            <w:tcBorders>
              <w:top w:val="nil"/>
              <w:left w:val="nil"/>
              <w:bottom w:val="nil"/>
              <w:right w:val="nil"/>
            </w:tcBorders>
          </w:tcPr>
          <w:p w14:paraId="1E7D69AD" w14:textId="77777777" w:rsidR="00471B9C" w:rsidRPr="00471B9C" w:rsidRDefault="00471B9C" w:rsidP="00D0517D">
            <w:pPr>
              <w:ind w:left="284" w:right="-57"/>
              <w:jc w:val="both"/>
              <w:rPr>
                <w:sz w:val="6"/>
                <w:szCs w:val="6"/>
              </w:rPr>
            </w:pPr>
          </w:p>
        </w:tc>
        <w:tc>
          <w:tcPr>
            <w:tcW w:w="2500" w:type="pct"/>
            <w:tcBorders>
              <w:top w:val="nil"/>
              <w:left w:val="nil"/>
              <w:bottom w:val="nil"/>
              <w:right w:val="nil"/>
            </w:tcBorders>
          </w:tcPr>
          <w:p w14:paraId="4C4BC83F" w14:textId="77777777" w:rsidR="00471B9C" w:rsidRPr="00471B9C" w:rsidRDefault="00471B9C" w:rsidP="00D0517D">
            <w:pPr>
              <w:ind w:left="284" w:right="-57"/>
              <w:jc w:val="both"/>
              <w:rPr>
                <w:i/>
                <w:sz w:val="6"/>
                <w:szCs w:val="6"/>
              </w:rPr>
            </w:pPr>
          </w:p>
        </w:tc>
      </w:tr>
      <w:tr w:rsidR="00471B9C" w:rsidRPr="0013526B" w14:paraId="04F59BDB" w14:textId="77777777" w:rsidTr="00D0517D">
        <w:tc>
          <w:tcPr>
            <w:tcW w:w="2500" w:type="pct"/>
            <w:tcBorders>
              <w:top w:val="nil"/>
              <w:left w:val="nil"/>
              <w:bottom w:val="nil"/>
              <w:right w:val="nil"/>
            </w:tcBorders>
          </w:tcPr>
          <w:p w14:paraId="52A7E3C7" w14:textId="77777777" w:rsidR="00471B9C" w:rsidRPr="005871CB" w:rsidRDefault="00471B9C" w:rsidP="00D0517D">
            <w:pPr>
              <w:ind w:left="284" w:right="-57"/>
              <w:jc w:val="both"/>
              <w:rPr>
                <w:sz w:val="18"/>
                <w:szCs w:val="18"/>
              </w:rPr>
            </w:pPr>
            <w:r w:rsidRPr="005871CB">
              <w:rPr>
                <w:bCs w:val="0"/>
                <w:sz w:val="18"/>
                <w:szCs w:val="18"/>
              </w:rPr>
              <w:t>Beban imbalan pascakerja yang diakui di laporan laba rugi dan penghasilan komprehensif lain konsolidasian sebagai berikut:</w:t>
            </w:r>
          </w:p>
        </w:tc>
        <w:tc>
          <w:tcPr>
            <w:tcW w:w="2500" w:type="pct"/>
            <w:tcBorders>
              <w:top w:val="nil"/>
              <w:left w:val="nil"/>
              <w:bottom w:val="nil"/>
              <w:right w:val="nil"/>
            </w:tcBorders>
          </w:tcPr>
          <w:p w14:paraId="0DDA2622" w14:textId="77777777" w:rsidR="00471B9C" w:rsidRPr="0013526B" w:rsidRDefault="00471B9C" w:rsidP="00D0517D">
            <w:pPr>
              <w:ind w:left="284" w:right="-57"/>
              <w:jc w:val="both"/>
              <w:rPr>
                <w:i/>
                <w:sz w:val="18"/>
                <w:szCs w:val="18"/>
              </w:rPr>
            </w:pPr>
            <w:r w:rsidRPr="005871CB">
              <w:rPr>
                <w:bCs w:val="0"/>
                <w:i/>
                <w:sz w:val="18"/>
                <w:szCs w:val="18"/>
              </w:rPr>
              <w:t>Post-employment benefits expenses recognized in the consolidated statement of profit or loss and other comprehensive income are as follows:</w:t>
            </w:r>
          </w:p>
        </w:tc>
      </w:tr>
      <w:tr w:rsidR="00471B9C" w:rsidRPr="0013526B" w14:paraId="61EF5237" w14:textId="77777777" w:rsidTr="00D0517D">
        <w:tc>
          <w:tcPr>
            <w:tcW w:w="2500" w:type="pct"/>
            <w:tcBorders>
              <w:top w:val="nil"/>
              <w:left w:val="nil"/>
              <w:bottom w:val="nil"/>
              <w:right w:val="nil"/>
            </w:tcBorders>
          </w:tcPr>
          <w:p w14:paraId="5D68C832" w14:textId="77777777" w:rsidR="00471B9C" w:rsidRPr="0013526B" w:rsidRDefault="00471B9C" w:rsidP="00D0517D">
            <w:pPr>
              <w:ind w:left="284" w:right="-57"/>
              <w:jc w:val="both"/>
              <w:rPr>
                <w:sz w:val="18"/>
                <w:szCs w:val="18"/>
              </w:rPr>
            </w:pPr>
          </w:p>
        </w:tc>
        <w:tc>
          <w:tcPr>
            <w:tcW w:w="2500" w:type="pct"/>
            <w:tcBorders>
              <w:top w:val="nil"/>
              <w:left w:val="nil"/>
              <w:bottom w:val="nil"/>
              <w:right w:val="nil"/>
            </w:tcBorders>
          </w:tcPr>
          <w:p w14:paraId="17D50361" w14:textId="77777777" w:rsidR="00471B9C" w:rsidRPr="0013526B" w:rsidRDefault="00471B9C" w:rsidP="00D0517D">
            <w:pPr>
              <w:ind w:left="284" w:right="-57"/>
              <w:jc w:val="both"/>
              <w:rPr>
                <w:i/>
                <w:sz w:val="18"/>
                <w:szCs w:val="18"/>
              </w:rPr>
            </w:pPr>
          </w:p>
        </w:tc>
      </w:tr>
    </w:tbl>
    <w:p w14:paraId="3A8DF006" w14:textId="77777777" w:rsidR="00471B9C" w:rsidRDefault="00471B9C" w:rsidP="007D1B9B">
      <w:pPr>
        <w:rPr>
          <w:sz w:val="14"/>
          <w:szCs w:val="18"/>
        </w:rPr>
      </w:pPr>
    </w:p>
    <w:tbl>
      <w:tblPr>
        <w:tblW w:w="9197" w:type="dxa"/>
        <w:tblInd w:w="392" w:type="dxa"/>
        <w:tblCellMar>
          <w:left w:w="0" w:type="dxa"/>
          <w:right w:w="0" w:type="dxa"/>
        </w:tblCellMar>
        <w:tblLook w:val="01E0" w:firstRow="1" w:lastRow="1" w:firstColumn="1" w:lastColumn="1" w:noHBand="0" w:noVBand="0"/>
      </w:tblPr>
      <w:tblGrid>
        <w:gridCol w:w="2859"/>
        <w:gridCol w:w="1678"/>
        <w:gridCol w:w="113"/>
        <w:gridCol w:w="1678"/>
        <w:gridCol w:w="2869"/>
      </w:tblGrid>
      <w:tr w:rsidR="007E3467" w:rsidRPr="005A3347" w14:paraId="37D6FF9E" w14:textId="77777777" w:rsidTr="002108FF">
        <w:trPr>
          <w:trHeight w:val="20"/>
        </w:trPr>
        <w:tc>
          <w:tcPr>
            <w:tcW w:w="2859" w:type="dxa"/>
          </w:tcPr>
          <w:p w14:paraId="515DDB5C" w14:textId="77777777" w:rsidR="007E3467" w:rsidRPr="005A3347" w:rsidRDefault="007E3467" w:rsidP="007E3467">
            <w:pPr>
              <w:ind w:left="113"/>
              <w:rPr>
                <w:sz w:val="18"/>
                <w:szCs w:val="18"/>
              </w:rPr>
            </w:pPr>
          </w:p>
        </w:tc>
        <w:tc>
          <w:tcPr>
            <w:tcW w:w="1678" w:type="dxa"/>
            <w:tcBorders>
              <w:bottom w:val="single" w:sz="4" w:space="0" w:color="auto"/>
            </w:tcBorders>
          </w:tcPr>
          <w:p w14:paraId="4B6533AE" w14:textId="77777777" w:rsidR="007E3467" w:rsidRPr="00FB1603" w:rsidRDefault="007E3467" w:rsidP="007E3467">
            <w:pPr>
              <w:jc w:val="center"/>
              <w:rPr>
                <w:b/>
                <w:sz w:val="18"/>
                <w:szCs w:val="18"/>
              </w:rPr>
            </w:pPr>
            <w:r w:rsidRPr="00FB1603">
              <w:rPr>
                <w:b/>
                <w:sz w:val="18"/>
                <w:szCs w:val="18"/>
              </w:rPr>
              <w:t>31 Maret/</w:t>
            </w:r>
          </w:p>
          <w:p w14:paraId="18B53A6E" w14:textId="5AED6A79" w:rsidR="007E3467" w:rsidRPr="00FB1603" w:rsidRDefault="007E3467" w:rsidP="00141AFD">
            <w:pPr>
              <w:jc w:val="center"/>
              <w:rPr>
                <w:b/>
                <w:sz w:val="18"/>
                <w:szCs w:val="18"/>
              </w:rPr>
            </w:pPr>
            <w:r w:rsidRPr="00FB1603">
              <w:rPr>
                <w:b/>
                <w:sz w:val="18"/>
                <w:szCs w:val="18"/>
              </w:rPr>
              <w:t>March 31</w:t>
            </w:r>
            <w:r w:rsidR="00305CA0" w:rsidRPr="00FB1603">
              <w:rPr>
                <w:b/>
                <w:sz w:val="18"/>
                <w:szCs w:val="18"/>
              </w:rPr>
              <w:t>.</w:t>
            </w:r>
            <w:r w:rsidRPr="00FB1603">
              <w:rPr>
                <w:b/>
                <w:sz w:val="18"/>
                <w:szCs w:val="18"/>
              </w:rPr>
              <w:t xml:space="preserve"> 2020</w:t>
            </w:r>
          </w:p>
        </w:tc>
        <w:tc>
          <w:tcPr>
            <w:tcW w:w="113" w:type="dxa"/>
          </w:tcPr>
          <w:p w14:paraId="7B8F57E9" w14:textId="77777777" w:rsidR="007E3467" w:rsidRPr="00FB1603" w:rsidRDefault="007E3467" w:rsidP="007E3467">
            <w:pPr>
              <w:jc w:val="center"/>
              <w:rPr>
                <w:b/>
                <w:sz w:val="18"/>
                <w:szCs w:val="18"/>
              </w:rPr>
            </w:pPr>
          </w:p>
        </w:tc>
        <w:tc>
          <w:tcPr>
            <w:tcW w:w="1678" w:type="dxa"/>
            <w:tcBorders>
              <w:bottom w:val="single" w:sz="4" w:space="0" w:color="auto"/>
            </w:tcBorders>
          </w:tcPr>
          <w:p w14:paraId="5E622A6E" w14:textId="77777777" w:rsidR="007E3467" w:rsidRPr="00FB1603" w:rsidRDefault="007E3467" w:rsidP="007E3467">
            <w:pPr>
              <w:jc w:val="center"/>
              <w:rPr>
                <w:b/>
                <w:sz w:val="18"/>
                <w:szCs w:val="18"/>
              </w:rPr>
            </w:pPr>
            <w:r w:rsidRPr="00FB1603">
              <w:rPr>
                <w:b/>
                <w:sz w:val="18"/>
                <w:szCs w:val="18"/>
              </w:rPr>
              <w:t>31 Desember/</w:t>
            </w:r>
          </w:p>
          <w:p w14:paraId="452C9090" w14:textId="540A823B" w:rsidR="007E3467" w:rsidRPr="00FB1603" w:rsidRDefault="007E3467" w:rsidP="00141AFD">
            <w:pPr>
              <w:jc w:val="center"/>
              <w:rPr>
                <w:b/>
                <w:sz w:val="18"/>
                <w:szCs w:val="18"/>
              </w:rPr>
            </w:pPr>
            <w:r w:rsidRPr="00FB1603">
              <w:rPr>
                <w:b/>
                <w:sz w:val="18"/>
                <w:szCs w:val="18"/>
              </w:rPr>
              <w:t>December 31</w:t>
            </w:r>
            <w:r w:rsidR="00305CA0" w:rsidRPr="00FB1603">
              <w:rPr>
                <w:b/>
                <w:sz w:val="18"/>
                <w:szCs w:val="18"/>
              </w:rPr>
              <w:t>.</w:t>
            </w:r>
            <w:r w:rsidRPr="00FB1603">
              <w:rPr>
                <w:b/>
                <w:sz w:val="18"/>
                <w:szCs w:val="18"/>
              </w:rPr>
              <w:t xml:space="preserve"> 2019</w:t>
            </w:r>
          </w:p>
        </w:tc>
        <w:tc>
          <w:tcPr>
            <w:tcW w:w="2869" w:type="dxa"/>
          </w:tcPr>
          <w:p w14:paraId="59B2B502" w14:textId="77777777" w:rsidR="007E3467" w:rsidRPr="005A3347" w:rsidRDefault="007E3467" w:rsidP="007E3467">
            <w:pPr>
              <w:ind w:right="34"/>
              <w:jc w:val="right"/>
              <w:rPr>
                <w:i/>
                <w:sz w:val="18"/>
                <w:szCs w:val="18"/>
              </w:rPr>
            </w:pPr>
          </w:p>
        </w:tc>
      </w:tr>
      <w:tr w:rsidR="00E815FE" w:rsidRPr="005A3347" w14:paraId="6B4F66FC" w14:textId="77777777" w:rsidTr="002108FF">
        <w:trPr>
          <w:trHeight w:val="20"/>
        </w:trPr>
        <w:tc>
          <w:tcPr>
            <w:tcW w:w="2859" w:type="dxa"/>
          </w:tcPr>
          <w:p w14:paraId="4E192DD5" w14:textId="77777777" w:rsidR="00E815FE" w:rsidRPr="005A3347" w:rsidRDefault="00E815FE" w:rsidP="00E815FE">
            <w:pPr>
              <w:ind w:leftChars="292" w:left="971" w:hanging="270"/>
              <w:rPr>
                <w:bCs w:val="0"/>
                <w:sz w:val="18"/>
                <w:szCs w:val="18"/>
              </w:rPr>
            </w:pPr>
          </w:p>
        </w:tc>
        <w:tc>
          <w:tcPr>
            <w:tcW w:w="1678" w:type="dxa"/>
            <w:tcBorders>
              <w:top w:val="single" w:sz="4" w:space="0" w:color="auto"/>
            </w:tcBorders>
            <w:vAlign w:val="bottom"/>
          </w:tcPr>
          <w:p w14:paraId="370031A0" w14:textId="77777777" w:rsidR="00E815FE" w:rsidRPr="00FB1603" w:rsidRDefault="00E815FE" w:rsidP="00E815FE">
            <w:pPr>
              <w:ind w:right="29"/>
              <w:jc w:val="right"/>
              <w:rPr>
                <w:bCs w:val="0"/>
                <w:sz w:val="18"/>
                <w:szCs w:val="18"/>
              </w:rPr>
            </w:pPr>
          </w:p>
        </w:tc>
        <w:tc>
          <w:tcPr>
            <w:tcW w:w="113" w:type="dxa"/>
            <w:vAlign w:val="bottom"/>
          </w:tcPr>
          <w:p w14:paraId="1D7C9A86" w14:textId="77777777" w:rsidR="00E815FE" w:rsidRPr="00FB1603" w:rsidRDefault="00E815FE" w:rsidP="00E815FE">
            <w:pPr>
              <w:ind w:right="29"/>
              <w:jc w:val="right"/>
              <w:rPr>
                <w:bCs w:val="0"/>
                <w:sz w:val="18"/>
                <w:szCs w:val="18"/>
              </w:rPr>
            </w:pPr>
          </w:p>
        </w:tc>
        <w:tc>
          <w:tcPr>
            <w:tcW w:w="1678" w:type="dxa"/>
            <w:tcBorders>
              <w:top w:val="single" w:sz="4" w:space="0" w:color="auto"/>
            </w:tcBorders>
            <w:vAlign w:val="bottom"/>
          </w:tcPr>
          <w:p w14:paraId="5040C086" w14:textId="77777777" w:rsidR="00E815FE" w:rsidRPr="00FB1603" w:rsidRDefault="00E815FE" w:rsidP="00E815FE">
            <w:pPr>
              <w:ind w:right="29"/>
              <w:jc w:val="right"/>
              <w:rPr>
                <w:bCs w:val="0"/>
                <w:sz w:val="18"/>
                <w:szCs w:val="18"/>
              </w:rPr>
            </w:pPr>
          </w:p>
        </w:tc>
        <w:tc>
          <w:tcPr>
            <w:tcW w:w="2869" w:type="dxa"/>
          </w:tcPr>
          <w:p w14:paraId="5F26B735" w14:textId="77777777" w:rsidR="00E815FE" w:rsidRPr="005A3347" w:rsidRDefault="00E815FE" w:rsidP="00E815FE">
            <w:pPr>
              <w:numPr>
                <w:ilvl w:val="12"/>
                <w:numId w:val="0"/>
              </w:numPr>
              <w:ind w:left="480" w:right="148" w:hanging="180"/>
              <w:jc w:val="right"/>
              <w:rPr>
                <w:i/>
                <w:sz w:val="18"/>
                <w:szCs w:val="18"/>
              </w:rPr>
            </w:pPr>
          </w:p>
        </w:tc>
      </w:tr>
      <w:tr w:rsidR="00E815FE" w:rsidRPr="005A3347" w14:paraId="31359BB6" w14:textId="77777777" w:rsidTr="002108FF">
        <w:trPr>
          <w:trHeight w:val="20"/>
        </w:trPr>
        <w:tc>
          <w:tcPr>
            <w:tcW w:w="2859" w:type="dxa"/>
            <w:vAlign w:val="bottom"/>
          </w:tcPr>
          <w:p w14:paraId="602EBF9D" w14:textId="573BD4B0" w:rsidR="00E815FE" w:rsidRPr="005A3347" w:rsidRDefault="00E815FE" w:rsidP="00F93847">
            <w:pPr>
              <w:pStyle w:val="Heading3"/>
              <w:ind w:left="351"/>
              <w:rPr>
                <w:b w:val="0"/>
                <w:sz w:val="18"/>
                <w:szCs w:val="18"/>
                <w:u w:val="single"/>
              </w:rPr>
            </w:pPr>
            <w:proofErr w:type="gramStart"/>
            <w:r w:rsidRPr="005A3347">
              <w:rPr>
                <w:b w:val="0"/>
                <w:sz w:val="18"/>
                <w:szCs w:val="18"/>
                <w:u w:val="single"/>
              </w:rPr>
              <w:t>Diakui  pada</w:t>
            </w:r>
            <w:proofErr w:type="gramEnd"/>
            <w:r w:rsidRPr="005A3347">
              <w:rPr>
                <w:b w:val="0"/>
                <w:sz w:val="18"/>
                <w:szCs w:val="18"/>
                <w:u w:val="single"/>
              </w:rPr>
              <w:t xml:space="preserve"> laba/rugi </w:t>
            </w:r>
          </w:p>
        </w:tc>
        <w:tc>
          <w:tcPr>
            <w:tcW w:w="1678" w:type="dxa"/>
            <w:shd w:val="clear" w:color="auto" w:fill="auto"/>
            <w:vAlign w:val="bottom"/>
          </w:tcPr>
          <w:p w14:paraId="7C79E3CA" w14:textId="77777777" w:rsidR="00E815FE" w:rsidRPr="00FB1603" w:rsidRDefault="00E815FE" w:rsidP="00E815FE">
            <w:pPr>
              <w:ind w:right="57"/>
              <w:jc w:val="right"/>
              <w:rPr>
                <w:bCs w:val="0"/>
                <w:sz w:val="18"/>
                <w:szCs w:val="18"/>
              </w:rPr>
            </w:pPr>
          </w:p>
        </w:tc>
        <w:tc>
          <w:tcPr>
            <w:tcW w:w="113" w:type="dxa"/>
            <w:vAlign w:val="bottom"/>
          </w:tcPr>
          <w:p w14:paraId="6B24C2F4" w14:textId="77777777" w:rsidR="00E815FE" w:rsidRPr="00FB1603" w:rsidRDefault="00E815FE" w:rsidP="00E815FE">
            <w:pPr>
              <w:ind w:right="57"/>
              <w:jc w:val="right"/>
              <w:rPr>
                <w:bCs w:val="0"/>
                <w:sz w:val="18"/>
                <w:szCs w:val="18"/>
              </w:rPr>
            </w:pPr>
          </w:p>
        </w:tc>
        <w:tc>
          <w:tcPr>
            <w:tcW w:w="1678" w:type="dxa"/>
            <w:vAlign w:val="bottom"/>
          </w:tcPr>
          <w:p w14:paraId="7C57ED2B" w14:textId="574BED7A" w:rsidR="00E815FE" w:rsidRPr="00FB1603" w:rsidRDefault="00E815FE" w:rsidP="00E815FE">
            <w:pPr>
              <w:ind w:right="57"/>
              <w:jc w:val="right"/>
              <w:rPr>
                <w:bCs w:val="0"/>
                <w:sz w:val="18"/>
                <w:szCs w:val="18"/>
              </w:rPr>
            </w:pPr>
          </w:p>
        </w:tc>
        <w:tc>
          <w:tcPr>
            <w:tcW w:w="2869" w:type="dxa"/>
            <w:vAlign w:val="bottom"/>
          </w:tcPr>
          <w:p w14:paraId="5432856D" w14:textId="777D1D56" w:rsidR="00E815FE" w:rsidRPr="005A3347" w:rsidRDefault="00106F3C" w:rsidP="00E815FE">
            <w:pPr>
              <w:numPr>
                <w:ilvl w:val="12"/>
                <w:numId w:val="0"/>
              </w:numPr>
              <w:ind w:right="57"/>
              <w:jc w:val="right"/>
              <w:rPr>
                <w:i/>
                <w:sz w:val="18"/>
                <w:szCs w:val="18"/>
                <w:u w:val="single"/>
              </w:rPr>
            </w:pPr>
            <w:r w:rsidRPr="005A3347">
              <w:rPr>
                <w:i/>
                <w:sz w:val="18"/>
                <w:szCs w:val="18"/>
                <w:u w:val="single"/>
              </w:rPr>
              <w:t xml:space="preserve">Recognize on profit/loss </w:t>
            </w:r>
          </w:p>
        </w:tc>
      </w:tr>
      <w:tr w:rsidR="00E815FE" w:rsidRPr="00471B9C" w14:paraId="4E9D680F" w14:textId="77777777" w:rsidTr="002108FF">
        <w:trPr>
          <w:trHeight w:val="20"/>
        </w:trPr>
        <w:tc>
          <w:tcPr>
            <w:tcW w:w="2859" w:type="dxa"/>
            <w:vAlign w:val="bottom"/>
          </w:tcPr>
          <w:p w14:paraId="19A6C6BD" w14:textId="77777777" w:rsidR="00E815FE" w:rsidRPr="00471B9C" w:rsidRDefault="00E815FE" w:rsidP="00F93847">
            <w:pPr>
              <w:pStyle w:val="Heading3"/>
              <w:ind w:left="351"/>
              <w:rPr>
                <w:b w:val="0"/>
                <w:sz w:val="6"/>
                <w:szCs w:val="6"/>
              </w:rPr>
            </w:pPr>
          </w:p>
        </w:tc>
        <w:tc>
          <w:tcPr>
            <w:tcW w:w="1678" w:type="dxa"/>
            <w:shd w:val="clear" w:color="auto" w:fill="auto"/>
            <w:vAlign w:val="bottom"/>
          </w:tcPr>
          <w:p w14:paraId="2E2305BF" w14:textId="77777777" w:rsidR="00E815FE" w:rsidRPr="00FB1603" w:rsidRDefault="00E815FE" w:rsidP="00E815FE">
            <w:pPr>
              <w:ind w:right="57"/>
              <w:jc w:val="right"/>
              <w:rPr>
                <w:bCs w:val="0"/>
                <w:sz w:val="6"/>
                <w:szCs w:val="6"/>
              </w:rPr>
            </w:pPr>
          </w:p>
        </w:tc>
        <w:tc>
          <w:tcPr>
            <w:tcW w:w="113" w:type="dxa"/>
            <w:vAlign w:val="bottom"/>
          </w:tcPr>
          <w:p w14:paraId="10A03600" w14:textId="77777777" w:rsidR="00E815FE" w:rsidRPr="00FB1603" w:rsidRDefault="00E815FE" w:rsidP="00E815FE">
            <w:pPr>
              <w:ind w:right="57"/>
              <w:jc w:val="right"/>
              <w:rPr>
                <w:bCs w:val="0"/>
                <w:sz w:val="6"/>
                <w:szCs w:val="6"/>
              </w:rPr>
            </w:pPr>
          </w:p>
        </w:tc>
        <w:tc>
          <w:tcPr>
            <w:tcW w:w="1678" w:type="dxa"/>
            <w:vAlign w:val="bottom"/>
          </w:tcPr>
          <w:p w14:paraId="6D4447A8" w14:textId="77777777" w:rsidR="00E815FE" w:rsidRPr="00FB1603" w:rsidRDefault="00E815FE" w:rsidP="00E815FE">
            <w:pPr>
              <w:ind w:right="57"/>
              <w:jc w:val="right"/>
              <w:rPr>
                <w:bCs w:val="0"/>
                <w:sz w:val="6"/>
                <w:szCs w:val="6"/>
              </w:rPr>
            </w:pPr>
          </w:p>
        </w:tc>
        <w:tc>
          <w:tcPr>
            <w:tcW w:w="2869" w:type="dxa"/>
            <w:vAlign w:val="bottom"/>
          </w:tcPr>
          <w:p w14:paraId="6F7DF7EE" w14:textId="77777777" w:rsidR="00E815FE" w:rsidRPr="00471B9C" w:rsidRDefault="00E815FE" w:rsidP="00E815FE">
            <w:pPr>
              <w:numPr>
                <w:ilvl w:val="12"/>
                <w:numId w:val="0"/>
              </w:numPr>
              <w:ind w:right="57"/>
              <w:jc w:val="right"/>
              <w:rPr>
                <w:i/>
                <w:sz w:val="6"/>
                <w:szCs w:val="6"/>
              </w:rPr>
            </w:pPr>
          </w:p>
        </w:tc>
      </w:tr>
      <w:tr w:rsidR="00BA1F10" w:rsidRPr="005A3347" w14:paraId="2BEB48FD" w14:textId="77777777" w:rsidTr="002108FF">
        <w:trPr>
          <w:trHeight w:val="20"/>
        </w:trPr>
        <w:tc>
          <w:tcPr>
            <w:tcW w:w="2859" w:type="dxa"/>
            <w:vAlign w:val="bottom"/>
          </w:tcPr>
          <w:p w14:paraId="301C5DC6" w14:textId="2D5B3DC7" w:rsidR="00BA1F10" w:rsidRPr="005A3347" w:rsidRDefault="00BA1F10" w:rsidP="00BA1F10">
            <w:pPr>
              <w:pStyle w:val="Heading3"/>
              <w:ind w:left="351"/>
              <w:rPr>
                <w:b w:val="0"/>
                <w:sz w:val="18"/>
                <w:szCs w:val="18"/>
              </w:rPr>
            </w:pPr>
            <w:r w:rsidRPr="005A3347">
              <w:rPr>
                <w:b w:val="0"/>
                <w:sz w:val="18"/>
                <w:szCs w:val="18"/>
              </w:rPr>
              <w:t>Biaya jasa kini</w:t>
            </w:r>
          </w:p>
        </w:tc>
        <w:tc>
          <w:tcPr>
            <w:tcW w:w="1678" w:type="dxa"/>
            <w:shd w:val="clear" w:color="auto" w:fill="auto"/>
            <w:vAlign w:val="bottom"/>
          </w:tcPr>
          <w:p w14:paraId="4B4637EA" w14:textId="4282D66B" w:rsidR="00BA1F10" w:rsidRPr="00FB1603" w:rsidRDefault="002C3F8E" w:rsidP="00BA1F10">
            <w:pPr>
              <w:ind w:right="57"/>
              <w:jc w:val="right"/>
              <w:rPr>
                <w:bCs w:val="0"/>
                <w:sz w:val="18"/>
                <w:szCs w:val="18"/>
              </w:rPr>
            </w:pPr>
            <w:r w:rsidRPr="00FB1603">
              <w:rPr>
                <w:sz w:val="18"/>
                <w:szCs w:val="18"/>
              </w:rPr>
              <w:t>2.346.510.839</w:t>
            </w:r>
          </w:p>
        </w:tc>
        <w:tc>
          <w:tcPr>
            <w:tcW w:w="113" w:type="dxa"/>
            <w:vAlign w:val="bottom"/>
          </w:tcPr>
          <w:p w14:paraId="5FDBF4AE" w14:textId="77777777" w:rsidR="00BA1F10" w:rsidRPr="00FB1603" w:rsidRDefault="00BA1F10" w:rsidP="00BA1F10">
            <w:pPr>
              <w:ind w:right="57"/>
              <w:jc w:val="right"/>
              <w:rPr>
                <w:bCs w:val="0"/>
                <w:sz w:val="18"/>
                <w:szCs w:val="18"/>
              </w:rPr>
            </w:pPr>
          </w:p>
        </w:tc>
        <w:tc>
          <w:tcPr>
            <w:tcW w:w="1678" w:type="dxa"/>
            <w:vAlign w:val="bottom"/>
          </w:tcPr>
          <w:p w14:paraId="1446ADE6" w14:textId="3951D03C" w:rsidR="00BA1F10" w:rsidRPr="00FB1603" w:rsidRDefault="00BA1F10" w:rsidP="00BA1F10">
            <w:pPr>
              <w:ind w:right="57"/>
              <w:jc w:val="right"/>
              <w:rPr>
                <w:bCs w:val="0"/>
                <w:sz w:val="18"/>
                <w:szCs w:val="18"/>
              </w:rPr>
            </w:pPr>
            <w:r w:rsidRPr="00FB1603">
              <w:rPr>
                <w:bCs w:val="0"/>
                <w:sz w:val="18"/>
                <w:szCs w:val="18"/>
              </w:rPr>
              <w:t>15.413.518.027</w:t>
            </w:r>
          </w:p>
        </w:tc>
        <w:tc>
          <w:tcPr>
            <w:tcW w:w="2869" w:type="dxa"/>
            <w:vAlign w:val="bottom"/>
          </w:tcPr>
          <w:p w14:paraId="768A1F9A" w14:textId="0BA0E9CE" w:rsidR="00BA1F10" w:rsidRPr="005A3347" w:rsidRDefault="00BA1F10" w:rsidP="00BA1F10">
            <w:pPr>
              <w:numPr>
                <w:ilvl w:val="12"/>
                <w:numId w:val="0"/>
              </w:numPr>
              <w:ind w:right="57"/>
              <w:jc w:val="right"/>
              <w:rPr>
                <w:i/>
                <w:sz w:val="18"/>
                <w:szCs w:val="18"/>
              </w:rPr>
            </w:pPr>
            <w:r w:rsidRPr="005A3347">
              <w:rPr>
                <w:i/>
                <w:sz w:val="18"/>
                <w:szCs w:val="18"/>
              </w:rPr>
              <w:t xml:space="preserve">Current service cost </w:t>
            </w:r>
          </w:p>
        </w:tc>
      </w:tr>
      <w:tr w:rsidR="00BA1F10" w:rsidRPr="005A3347" w14:paraId="5D098DC3" w14:textId="77777777" w:rsidTr="002108FF">
        <w:trPr>
          <w:trHeight w:val="20"/>
        </w:trPr>
        <w:tc>
          <w:tcPr>
            <w:tcW w:w="2859" w:type="dxa"/>
            <w:vAlign w:val="bottom"/>
          </w:tcPr>
          <w:p w14:paraId="7C5BD6EA" w14:textId="03BB8695" w:rsidR="00BA1F10" w:rsidRPr="005A3347" w:rsidRDefault="00BA1F10" w:rsidP="00BA1F10">
            <w:pPr>
              <w:pStyle w:val="Heading3"/>
              <w:ind w:left="351"/>
              <w:rPr>
                <w:b w:val="0"/>
                <w:sz w:val="18"/>
                <w:szCs w:val="18"/>
              </w:rPr>
            </w:pPr>
            <w:r w:rsidRPr="005A3347">
              <w:rPr>
                <w:b w:val="0"/>
                <w:sz w:val="18"/>
                <w:szCs w:val="18"/>
              </w:rPr>
              <w:t>Kurtailment</w:t>
            </w:r>
          </w:p>
        </w:tc>
        <w:tc>
          <w:tcPr>
            <w:tcW w:w="1678" w:type="dxa"/>
            <w:shd w:val="clear" w:color="auto" w:fill="auto"/>
            <w:vAlign w:val="bottom"/>
          </w:tcPr>
          <w:p w14:paraId="6A50DA5F" w14:textId="44B0FF63" w:rsidR="00BA1F10" w:rsidRPr="00FB1603" w:rsidRDefault="00BA1F10" w:rsidP="00BA1F10">
            <w:pPr>
              <w:ind w:right="57"/>
              <w:jc w:val="right"/>
              <w:rPr>
                <w:bCs w:val="0"/>
                <w:sz w:val="18"/>
                <w:szCs w:val="18"/>
              </w:rPr>
            </w:pPr>
            <w:r w:rsidRPr="00FB1603">
              <w:rPr>
                <w:bCs w:val="0"/>
                <w:sz w:val="18"/>
                <w:szCs w:val="18"/>
              </w:rPr>
              <w:t>-</w:t>
            </w:r>
          </w:p>
        </w:tc>
        <w:tc>
          <w:tcPr>
            <w:tcW w:w="113" w:type="dxa"/>
            <w:vAlign w:val="bottom"/>
          </w:tcPr>
          <w:p w14:paraId="3AD66905" w14:textId="77777777" w:rsidR="00BA1F10" w:rsidRPr="00FB1603" w:rsidRDefault="00BA1F10" w:rsidP="00BA1F10">
            <w:pPr>
              <w:ind w:right="57"/>
              <w:jc w:val="right"/>
              <w:rPr>
                <w:bCs w:val="0"/>
                <w:sz w:val="18"/>
                <w:szCs w:val="18"/>
              </w:rPr>
            </w:pPr>
          </w:p>
        </w:tc>
        <w:tc>
          <w:tcPr>
            <w:tcW w:w="1678" w:type="dxa"/>
            <w:vAlign w:val="bottom"/>
          </w:tcPr>
          <w:p w14:paraId="4E87BDFB" w14:textId="47604EAC" w:rsidR="00BA1F10" w:rsidRPr="00FB1603" w:rsidRDefault="00BA1F10" w:rsidP="00BA1F10">
            <w:pPr>
              <w:ind w:right="57"/>
              <w:jc w:val="right"/>
              <w:rPr>
                <w:bCs w:val="0"/>
                <w:sz w:val="18"/>
                <w:szCs w:val="18"/>
              </w:rPr>
            </w:pPr>
            <w:r w:rsidRPr="00FB1603">
              <w:rPr>
                <w:sz w:val="18"/>
                <w:szCs w:val="18"/>
              </w:rPr>
              <w:t>1.536.494.559</w:t>
            </w:r>
          </w:p>
        </w:tc>
        <w:tc>
          <w:tcPr>
            <w:tcW w:w="2869" w:type="dxa"/>
            <w:vAlign w:val="bottom"/>
          </w:tcPr>
          <w:p w14:paraId="489025DE" w14:textId="6982C76A" w:rsidR="00BA1F10" w:rsidRPr="005A3347" w:rsidRDefault="00BA1F10" w:rsidP="00BA1F10">
            <w:pPr>
              <w:numPr>
                <w:ilvl w:val="12"/>
                <w:numId w:val="0"/>
              </w:numPr>
              <w:ind w:right="57"/>
              <w:jc w:val="right"/>
              <w:rPr>
                <w:i/>
                <w:sz w:val="18"/>
                <w:szCs w:val="18"/>
              </w:rPr>
            </w:pPr>
            <w:r w:rsidRPr="005A3347">
              <w:rPr>
                <w:i/>
                <w:sz w:val="18"/>
                <w:szCs w:val="18"/>
              </w:rPr>
              <w:t>Curtailment</w:t>
            </w:r>
          </w:p>
        </w:tc>
      </w:tr>
      <w:tr w:rsidR="00BA1F10" w:rsidRPr="005A3347" w14:paraId="71651B9B" w14:textId="77777777" w:rsidTr="002108FF">
        <w:trPr>
          <w:trHeight w:val="20"/>
        </w:trPr>
        <w:tc>
          <w:tcPr>
            <w:tcW w:w="2859" w:type="dxa"/>
            <w:vAlign w:val="bottom"/>
          </w:tcPr>
          <w:p w14:paraId="70A36B48" w14:textId="7D2377E2" w:rsidR="00BA1F10" w:rsidRPr="005A3347" w:rsidRDefault="00BA1F10" w:rsidP="00BA1F10">
            <w:pPr>
              <w:pStyle w:val="Heading3"/>
              <w:ind w:left="351"/>
              <w:rPr>
                <w:bCs w:val="0"/>
                <w:sz w:val="18"/>
                <w:szCs w:val="18"/>
              </w:rPr>
            </w:pPr>
            <w:r w:rsidRPr="0019526E">
              <w:rPr>
                <w:b w:val="0"/>
                <w:sz w:val="18"/>
                <w:szCs w:val="18"/>
              </w:rPr>
              <w:t>Biaya bunga</w:t>
            </w:r>
          </w:p>
        </w:tc>
        <w:tc>
          <w:tcPr>
            <w:tcW w:w="1678" w:type="dxa"/>
            <w:tcBorders>
              <w:bottom w:val="single" w:sz="4" w:space="0" w:color="auto"/>
            </w:tcBorders>
            <w:shd w:val="clear" w:color="auto" w:fill="auto"/>
            <w:vAlign w:val="bottom"/>
          </w:tcPr>
          <w:p w14:paraId="4857A503" w14:textId="7B38E402" w:rsidR="00BA1F10" w:rsidRPr="00FB1603" w:rsidRDefault="00BA1F10" w:rsidP="00BA1F10">
            <w:pPr>
              <w:ind w:right="57"/>
              <w:jc w:val="right"/>
              <w:rPr>
                <w:bCs w:val="0"/>
                <w:sz w:val="18"/>
                <w:szCs w:val="18"/>
              </w:rPr>
            </w:pPr>
            <w:r w:rsidRPr="00FB1603">
              <w:rPr>
                <w:bCs w:val="0"/>
                <w:sz w:val="18"/>
                <w:szCs w:val="18"/>
              </w:rPr>
              <w:t>-</w:t>
            </w:r>
          </w:p>
        </w:tc>
        <w:tc>
          <w:tcPr>
            <w:tcW w:w="113" w:type="dxa"/>
            <w:vAlign w:val="bottom"/>
          </w:tcPr>
          <w:p w14:paraId="656247AB" w14:textId="77777777" w:rsidR="00BA1F10" w:rsidRPr="00FB1603" w:rsidRDefault="00BA1F10" w:rsidP="00BA1F10">
            <w:pPr>
              <w:ind w:right="57"/>
              <w:jc w:val="right"/>
              <w:rPr>
                <w:bCs w:val="0"/>
                <w:sz w:val="18"/>
                <w:szCs w:val="18"/>
              </w:rPr>
            </w:pPr>
          </w:p>
        </w:tc>
        <w:tc>
          <w:tcPr>
            <w:tcW w:w="1678" w:type="dxa"/>
            <w:tcBorders>
              <w:bottom w:val="single" w:sz="4" w:space="0" w:color="auto"/>
            </w:tcBorders>
            <w:vAlign w:val="bottom"/>
          </w:tcPr>
          <w:p w14:paraId="06645453" w14:textId="09DE0249" w:rsidR="00BA1F10" w:rsidRPr="00FB1603" w:rsidRDefault="00BA1F10" w:rsidP="00BA1F10">
            <w:pPr>
              <w:ind w:right="57"/>
              <w:jc w:val="right"/>
              <w:rPr>
                <w:bCs w:val="0"/>
                <w:sz w:val="18"/>
                <w:szCs w:val="18"/>
                <w:lang w:val="id-ID"/>
              </w:rPr>
            </w:pPr>
            <w:r w:rsidRPr="00FB1603">
              <w:rPr>
                <w:sz w:val="18"/>
                <w:szCs w:val="18"/>
              </w:rPr>
              <w:t>4.836.499.675</w:t>
            </w:r>
          </w:p>
        </w:tc>
        <w:tc>
          <w:tcPr>
            <w:tcW w:w="2869" w:type="dxa"/>
            <w:vAlign w:val="bottom"/>
          </w:tcPr>
          <w:p w14:paraId="5203A887" w14:textId="74DCD6F7" w:rsidR="00BA1F10" w:rsidRPr="005A3347" w:rsidRDefault="00BA1F10" w:rsidP="00BA1F10">
            <w:pPr>
              <w:numPr>
                <w:ilvl w:val="12"/>
                <w:numId w:val="0"/>
              </w:numPr>
              <w:ind w:right="57"/>
              <w:jc w:val="right"/>
              <w:rPr>
                <w:i/>
                <w:sz w:val="18"/>
                <w:szCs w:val="18"/>
              </w:rPr>
            </w:pPr>
            <w:r w:rsidRPr="005A3347">
              <w:rPr>
                <w:i/>
                <w:sz w:val="18"/>
                <w:szCs w:val="18"/>
              </w:rPr>
              <w:t>Interest</w:t>
            </w:r>
          </w:p>
        </w:tc>
      </w:tr>
      <w:tr w:rsidR="00BA1F10" w:rsidRPr="005A3347" w14:paraId="59D48F0F" w14:textId="77777777" w:rsidTr="002108FF">
        <w:trPr>
          <w:trHeight w:val="20"/>
        </w:trPr>
        <w:tc>
          <w:tcPr>
            <w:tcW w:w="2859" w:type="dxa"/>
            <w:vAlign w:val="bottom"/>
          </w:tcPr>
          <w:p w14:paraId="4EE0FDF9" w14:textId="77777777" w:rsidR="00BA1F10" w:rsidRPr="005A3347" w:rsidRDefault="00BA1F10" w:rsidP="00BA1F10">
            <w:pPr>
              <w:ind w:left="351"/>
              <w:rPr>
                <w:bCs w:val="0"/>
                <w:sz w:val="18"/>
                <w:szCs w:val="18"/>
                <w:u w:val="single"/>
              </w:rPr>
            </w:pPr>
          </w:p>
        </w:tc>
        <w:tc>
          <w:tcPr>
            <w:tcW w:w="1678" w:type="dxa"/>
            <w:tcBorders>
              <w:top w:val="single" w:sz="4" w:space="0" w:color="auto"/>
            </w:tcBorders>
            <w:shd w:val="clear" w:color="auto" w:fill="auto"/>
            <w:vAlign w:val="bottom"/>
          </w:tcPr>
          <w:p w14:paraId="287C0C41" w14:textId="77777777" w:rsidR="00BA1F10" w:rsidRPr="00FB1603" w:rsidRDefault="00BA1F10" w:rsidP="00BA1F10">
            <w:pPr>
              <w:ind w:right="57"/>
              <w:jc w:val="right"/>
              <w:rPr>
                <w:b/>
                <w:bCs w:val="0"/>
                <w:sz w:val="18"/>
                <w:szCs w:val="18"/>
                <w:u w:val="single"/>
              </w:rPr>
            </w:pPr>
          </w:p>
        </w:tc>
        <w:tc>
          <w:tcPr>
            <w:tcW w:w="113" w:type="dxa"/>
            <w:vAlign w:val="bottom"/>
          </w:tcPr>
          <w:p w14:paraId="39EEE870" w14:textId="77777777" w:rsidR="00BA1F10" w:rsidRPr="00FB1603" w:rsidRDefault="00BA1F10" w:rsidP="00BA1F10">
            <w:pPr>
              <w:ind w:right="57"/>
              <w:jc w:val="right"/>
              <w:rPr>
                <w:bCs w:val="0"/>
                <w:sz w:val="18"/>
                <w:szCs w:val="18"/>
                <w:u w:val="single"/>
              </w:rPr>
            </w:pPr>
          </w:p>
        </w:tc>
        <w:tc>
          <w:tcPr>
            <w:tcW w:w="1678" w:type="dxa"/>
            <w:tcBorders>
              <w:top w:val="single" w:sz="4" w:space="0" w:color="auto"/>
            </w:tcBorders>
            <w:vAlign w:val="bottom"/>
          </w:tcPr>
          <w:p w14:paraId="1D57EDD3" w14:textId="77777777" w:rsidR="00BA1F10" w:rsidRPr="00FB1603" w:rsidRDefault="00BA1F10" w:rsidP="00BA1F10">
            <w:pPr>
              <w:ind w:right="57"/>
              <w:jc w:val="right"/>
              <w:rPr>
                <w:bCs w:val="0"/>
                <w:sz w:val="18"/>
                <w:szCs w:val="18"/>
                <w:u w:val="single"/>
              </w:rPr>
            </w:pPr>
          </w:p>
        </w:tc>
        <w:tc>
          <w:tcPr>
            <w:tcW w:w="2869" w:type="dxa"/>
            <w:vAlign w:val="bottom"/>
          </w:tcPr>
          <w:p w14:paraId="514B8906" w14:textId="77777777" w:rsidR="00BA1F10" w:rsidRPr="005A3347" w:rsidRDefault="00BA1F10" w:rsidP="00BA1F10">
            <w:pPr>
              <w:numPr>
                <w:ilvl w:val="12"/>
                <w:numId w:val="0"/>
              </w:numPr>
              <w:ind w:right="57"/>
              <w:jc w:val="right"/>
              <w:rPr>
                <w:i/>
                <w:sz w:val="18"/>
                <w:szCs w:val="18"/>
                <w:u w:val="single"/>
              </w:rPr>
            </w:pPr>
          </w:p>
        </w:tc>
      </w:tr>
      <w:tr w:rsidR="00BA1F10" w:rsidRPr="005A3347" w14:paraId="221DAA6F" w14:textId="77777777" w:rsidTr="002108FF">
        <w:trPr>
          <w:trHeight w:val="20"/>
        </w:trPr>
        <w:tc>
          <w:tcPr>
            <w:tcW w:w="2859" w:type="dxa"/>
            <w:vAlign w:val="bottom"/>
          </w:tcPr>
          <w:p w14:paraId="4A811129" w14:textId="54BB21EB" w:rsidR="00BA1F10" w:rsidRPr="005A3347" w:rsidRDefault="00BA1F10" w:rsidP="00BA1F10">
            <w:pPr>
              <w:ind w:left="351"/>
              <w:rPr>
                <w:b/>
                <w:bCs w:val="0"/>
                <w:sz w:val="18"/>
                <w:szCs w:val="18"/>
              </w:rPr>
            </w:pPr>
            <w:r w:rsidRPr="005A3347">
              <w:rPr>
                <w:b/>
                <w:bCs w:val="0"/>
                <w:sz w:val="18"/>
                <w:szCs w:val="18"/>
              </w:rPr>
              <w:t>Jumlah</w:t>
            </w:r>
          </w:p>
        </w:tc>
        <w:tc>
          <w:tcPr>
            <w:tcW w:w="1678" w:type="dxa"/>
            <w:tcBorders>
              <w:bottom w:val="double" w:sz="4" w:space="0" w:color="auto"/>
            </w:tcBorders>
            <w:shd w:val="clear" w:color="auto" w:fill="auto"/>
            <w:vAlign w:val="bottom"/>
          </w:tcPr>
          <w:p w14:paraId="547C1C26" w14:textId="38B959FD" w:rsidR="00BA1F10" w:rsidRPr="00FB1603" w:rsidRDefault="002C3F8E" w:rsidP="00BA1F10">
            <w:pPr>
              <w:ind w:right="57"/>
              <w:jc w:val="right"/>
              <w:rPr>
                <w:b/>
                <w:bCs w:val="0"/>
                <w:sz w:val="18"/>
                <w:szCs w:val="18"/>
              </w:rPr>
            </w:pPr>
            <w:r w:rsidRPr="00FB1603">
              <w:rPr>
                <w:b/>
                <w:sz w:val="18"/>
                <w:szCs w:val="18"/>
              </w:rPr>
              <w:t>2.346.510.839</w:t>
            </w:r>
          </w:p>
        </w:tc>
        <w:tc>
          <w:tcPr>
            <w:tcW w:w="113" w:type="dxa"/>
            <w:vAlign w:val="bottom"/>
          </w:tcPr>
          <w:p w14:paraId="3850B7DF" w14:textId="77777777" w:rsidR="00BA1F10" w:rsidRPr="00FB1603" w:rsidRDefault="00BA1F10" w:rsidP="00BA1F10">
            <w:pPr>
              <w:ind w:right="57"/>
              <w:jc w:val="right"/>
              <w:rPr>
                <w:b/>
                <w:bCs w:val="0"/>
                <w:sz w:val="18"/>
                <w:szCs w:val="18"/>
              </w:rPr>
            </w:pPr>
          </w:p>
        </w:tc>
        <w:tc>
          <w:tcPr>
            <w:tcW w:w="1678" w:type="dxa"/>
            <w:tcBorders>
              <w:bottom w:val="double" w:sz="4" w:space="0" w:color="auto"/>
            </w:tcBorders>
            <w:vAlign w:val="bottom"/>
          </w:tcPr>
          <w:p w14:paraId="0BAAA63B" w14:textId="19EFEF5F" w:rsidR="00BA1F10" w:rsidRPr="00FB1603" w:rsidRDefault="00BA1F10" w:rsidP="00BA1F10">
            <w:pPr>
              <w:ind w:right="57"/>
              <w:jc w:val="right"/>
              <w:rPr>
                <w:b/>
                <w:bCs w:val="0"/>
                <w:sz w:val="18"/>
                <w:szCs w:val="18"/>
              </w:rPr>
            </w:pPr>
            <w:r w:rsidRPr="00FB1603">
              <w:rPr>
                <w:b/>
                <w:bCs w:val="0"/>
                <w:sz w:val="18"/>
                <w:szCs w:val="18"/>
              </w:rPr>
              <w:t>21.786.512.261</w:t>
            </w:r>
          </w:p>
        </w:tc>
        <w:tc>
          <w:tcPr>
            <w:tcW w:w="2869" w:type="dxa"/>
            <w:vAlign w:val="bottom"/>
          </w:tcPr>
          <w:p w14:paraId="2CB7CC19" w14:textId="572FB6FE" w:rsidR="00BA1F10" w:rsidRPr="005A3347" w:rsidRDefault="00BA1F10" w:rsidP="00BA1F10">
            <w:pPr>
              <w:numPr>
                <w:ilvl w:val="12"/>
                <w:numId w:val="0"/>
              </w:numPr>
              <w:ind w:right="57"/>
              <w:jc w:val="right"/>
              <w:rPr>
                <w:b/>
                <w:i/>
                <w:sz w:val="18"/>
                <w:szCs w:val="18"/>
              </w:rPr>
            </w:pPr>
            <w:r w:rsidRPr="005A3347">
              <w:rPr>
                <w:b/>
                <w:i/>
                <w:sz w:val="18"/>
                <w:szCs w:val="18"/>
              </w:rPr>
              <w:t>Total</w:t>
            </w:r>
          </w:p>
        </w:tc>
      </w:tr>
    </w:tbl>
    <w:p w14:paraId="3DC8D981" w14:textId="77777777" w:rsidR="00E815FE" w:rsidRDefault="00E815FE" w:rsidP="007D1B9B">
      <w:pPr>
        <w:rPr>
          <w:sz w:val="14"/>
          <w:szCs w:val="18"/>
        </w:rPr>
      </w:pPr>
    </w:p>
    <w:tbl>
      <w:tblPr>
        <w:tblW w:w="9181" w:type="dxa"/>
        <w:tblInd w:w="378" w:type="dxa"/>
        <w:tblCellMar>
          <w:left w:w="0" w:type="dxa"/>
          <w:right w:w="0" w:type="dxa"/>
        </w:tblCellMar>
        <w:tblLook w:val="01E0" w:firstRow="1" w:lastRow="1" w:firstColumn="1" w:lastColumn="1" w:noHBand="0" w:noVBand="0"/>
      </w:tblPr>
      <w:tblGrid>
        <w:gridCol w:w="2856"/>
        <w:gridCol w:w="1678"/>
        <w:gridCol w:w="101"/>
        <w:gridCol w:w="1678"/>
        <w:gridCol w:w="2868"/>
      </w:tblGrid>
      <w:tr w:rsidR="00106F3C" w:rsidRPr="00026719" w14:paraId="14A764F4" w14:textId="77777777" w:rsidTr="002108FF">
        <w:trPr>
          <w:trHeight w:val="20"/>
        </w:trPr>
        <w:tc>
          <w:tcPr>
            <w:tcW w:w="2856" w:type="dxa"/>
            <w:vAlign w:val="bottom"/>
          </w:tcPr>
          <w:p w14:paraId="2BC5E237" w14:textId="7F1BF343" w:rsidR="00106F3C" w:rsidRPr="00026719" w:rsidRDefault="00106F3C" w:rsidP="00F93847">
            <w:pPr>
              <w:pStyle w:val="Heading3"/>
              <w:ind w:left="351"/>
              <w:rPr>
                <w:b w:val="0"/>
                <w:sz w:val="18"/>
                <w:szCs w:val="18"/>
                <w:u w:val="single"/>
              </w:rPr>
            </w:pPr>
            <w:proofErr w:type="gramStart"/>
            <w:r w:rsidRPr="00026719">
              <w:rPr>
                <w:b w:val="0"/>
                <w:sz w:val="18"/>
                <w:szCs w:val="18"/>
                <w:u w:val="single"/>
              </w:rPr>
              <w:t>Diakui  pada</w:t>
            </w:r>
            <w:proofErr w:type="gramEnd"/>
            <w:r w:rsidRPr="00026719">
              <w:rPr>
                <w:b w:val="0"/>
                <w:sz w:val="18"/>
                <w:szCs w:val="18"/>
                <w:u w:val="single"/>
              </w:rPr>
              <w:t xml:space="preserve"> penghasilan</w:t>
            </w:r>
          </w:p>
        </w:tc>
        <w:tc>
          <w:tcPr>
            <w:tcW w:w="1678" w:type="dxa"/>
            <w:shd w:val="clear" w:color="auto" w:fill="auto"/>
            <w:vAlign w:val="bottom"/>
          </w:tcPr>
          <w:p w14:paraId="61843437" w14:textId="77777777" w:rsidR="00106F3C" w:rsidRPr="00026719" w:rsidRDefault="00106F3C" w:rsidP="00103568">
            <w:pPr>
              <w:ind w:right="57"/>
              <w:jc w:val="right"/>
              <w:rPr>
                <w:bCs w:val="0"/>
                <w:sz w:val="18"/>
                <w:szCs w:val="18"/>
              </w:rPr>
            </w:pPr>
          </w:p>
        </w:tc>
        <w:tc>
          <w:tcPr>
            <w:tcW w:w="101" w:type="dxa"/>
            <w:vAlign w:val="bottom"/>
          </w:tcPr>
          <w:p w14:paraId="27D412D3" w14:textId="77777777" w:rsidR="00106F3C" w:rsidRPr="00026719" w:rsidRDefault="00106F3C" w:rsidP="00103568">
            <w:pPr>
              <w:ind w:right="57"/>
              <w:jc w:val="right"/>
              <w:rPr>
                <w:bCs w:val="0"/>
                <w:sz w:val="18"/>
                <w:szCs w:val="18"/>
              </w:rPr>
            </w:pPr>
          </w:p>
        </w:tc>
        <w:tc>
          <w:tcPr>
            <w:tcW w:w="1678" w:type="dxa"/>
            <w:vAlign w:val="bottom"/>
          </w:tcPr>
          <w:p w14:paraId="0DE2F143" w14:textId="77777777" w:rsidR="00106F3C" w:rsidRPr="00026719" w:rsidRDefault="00106F3C" w:rsidP="00103568">
            <w:pPr>
              <w:ind w:right="57"/>
              <w:jc w:val="right"/>
              <w:rPr>
                <w:bCs w:val="0"/>
                <w:sz w:val="18"/>
                <w:szCs w:val="18"/>
              </w:rPr>
            </w:pPr>
          </w:p>
        </w:tc>
        <w:tc>
          <w:tcPr>
            <w:tcW w:w="2868" w:type="dxa"/>
            <w:vAlign w:val="bottom"/>
          </w:tcPr>
          <w:p w14:paraId="564E4B30" w14:textId="1B748650" w:rsidR="00106F3C" w:rsidRPr="00026719" w:rsidRDefault="00106F3C" w:rsidP="00106F3C">
            <w:pPr>
              <w:numPr>
                <w:ilvl w:val="12"/>
                <w:numId w:val="0"/>
              </w:numPr>
              <w:ind w:right="57"/>
              <w:jc w:val="right"/>
              <w:rPr>
                <w:i/>
                <w:sz w:val="18"/>
                <w:szCs w:val="18"/>
                <w:u w:val="single"/>
              </w:rPr>
            </w:pPr>
            <w:r w:rsidRPr="00026719">
              <w:rPr>
                <w:i/>
                <w:sz w:val="18"/>
                <w:szCs w:val="18"/>
                <w:u w:val="single"/>
              </w:rPr>
              <w:t xml:space="preserve">Recognize on other </w:t>
            </w:r>
          </w:p>
        </w:tc>
      </w:tr>
      <w:tr w:rsidR="00106F3C" w:rsidRPr="00471B9C" w14:paraId="738D805E" w14:textId="77777777" w:rsidTr="002108FF">
        <w:trPr>
          <w:trHeight w:val="20"/>
        </w:trPr>
        <w:tc>
          <w:tcPr>
            <w:tcW w:w="2856" w:type="dxa"/>
            <w:vAlign w:val="bottom"/>
          </w:tcPr>
          <w:p w14:paraId="74D8A96C" w14:textId="77777777" w:rsidR="00106F3C" w:rsidRPr="00471B9C" w:rsidRDefault="00106F3C" w:rsidP="00F93847">
            <w:pPr>
              <w:pStyle w:val="Heading3"/>
              <w:ind w:left="351"/>
              <w:rPr>
                <w:b w:val="0"/>
                <w:sz w:val="6"/>
                <w:szCs w:val="6"/>
              </w:rPr>
            </w:pPr>
          </w:p>
        </w:tc>
        <w:tc>
          <w:tcPr>
            <w:tcW w:w="1678" w:type="dxa"/>
            <w:shd w:val="clear" w:color="auto" w:fill="auto"/>
            <w:vAlign w:val="bottom"/>
          </w:tcPr>
          <w:p w14:paraId="36E88AB2" w14:textId="77777777" w:rsidR="00106F3C" w:rsidRPr="00471B9C" w:rsidRDefault="00106F3C" w:rsidP="00103568">
            <w:pPr>
              <w:ind w:right="57"/>
              <w:jc w:val="right"/>
              <w:rPr>
                <w:bCs w:val="0"/>
                <w:sz w:val="6"/>
                <w:szCs w:val="6"/>
              </w:rPr>
            </w:pPr>
          </w:p>
        </w:tc>
        <w:tc>
          <w:tcPr>
            <w:tcW w:w="101" w:type="dxa"/>
            <w:vAlign w:val="bottom"/>
          </w:tcPr>
          <w:p w14:paraId="121DAF40" w14:textId="77777777" w:rsidR="00106F3C" w:rsidRPr="00471B9C" w:rsidRDefault="00106F3C" w:rsidP="00103568">
            <w:pPr>
              <w:ind w:right="57"/>
              <w:jc w:val="right"/>
              <w:rPr>
                <w:bCs w:val="0"/>
                <w:sz w:val="6"/>
                <w:szCs w:val="6"/>
              </w:rPr>
            </w:pPr>
          </w:p>
        </w:tc>
        <w:tc>
          <w:tcPr>
            <w:tcW w:w="1678" w:type="dxa"/>
            <w:vAlign w:val="bottom"/>
          </w:tcPr>
          <w:p w14:paraId="17D8E2E6" w14:textId="77777777" w:rsidR="00106F3C" w:rsidRPr="00471B9C" w:rsidRDefault="00106F3C" w:rsidP="00103568">
            <w:pPr>
              <w:ind w:right="57"/>
              <w:jc w:val="right"/>
              <w:rPr>
                <w:bCs w:val="0"/>
                <w:sz w:val="6"/>
                <w:szCs w:val="6"/>
              </w:rPr>
            </w:pPr>
          </w:p>
        </w:tc>
        <w:tc>
          <w:tcPr>
            <w:tcW w:w="2868" w:type="dxa"/>
            <w:vAlign w:val="bottom"/>
          </w:tcPr>
          <w:p w14:paraId="76855151" w14:textId="77777777" w:rsidR="00106F3C" w:rsidRPr="00471B9C" w:rsidRDefault="00106F3C" w:rsidP="00103568">
            <w:pPr>
              <w:numPr>
                <w:ilvl w:val="12"/>
                <w:numId w:val="0"/>
              </w:numPr>
              <w:ind w:right="57"/>
              <w:jc w:val="right"/>
              <w:rPr>
                <w:i/>
                <w:sz w:val="6"/>
                <w:szCs w:val="6"/>
              </w:rPr>
            </w:pPr>
          </w:p>
        </w:tc>
      </w:tr>
      <w:tr w:rsidR="00106F3C" w:rsidRPr="00026719" w14:paraId="1BD7EDD3" w14:textId="77777777" w:rsidTr="002108FF">
        <w:trPr>
          <w:trHeight w:val="20"/>
        </w:trPr>
        <w:tc>
          <w:tcPr>
            <w:tcW w:w="2856" w:type="dxa"/>
            <w:vAlign w:val="bottom"/>
          </w:tcPr>
          <w:p w14:paraId="16827E3A" w14:textId="32ECAFAF" w:rsidR="00106F3C" w:rsidRPr="00026719" w:rsidRDefault="00106F3C" w:rsidP="00F93847">
            <w:pPr>
              <w:pStyle w:val="Heading3"/>
              <w:ind w:left="351"/>
              <w:rPr>
                <w:b w:val="0"/>
                <w:sz w:val="18"/>
                <w:szCs w:val="18"/>
                <w:u w:val="single"/>
              </w:rPr>
            </w:pPr>
            <w:r w:rsidRPr="00026719">
              <w:rPr>
                <w:b w:val="0"/>
                <w:sz w:val="18"/>
                <w:szCs w:val="18"/>
                <w:u w:val="single"/>
              </w:rPr>
              <w:t>Komprehensif lain</w:t>
            </w:r>
          </w:p>
        </w:tc>
        <w:tc>
          <w:tcPr>
            <w:tcW w:w="1678" w:type="dxa"/>
            <w:shd w:val="clear" w:color="auto" w:fill="auto"/>
            <w:vAlign w:val="bottom"/>
          </w:tcPr>
          <w:p w14:paraId="27313616" w14:textId="77777777" w:rsidR="00106F3C" w:rsidRPr="00026719" w:rsidRDefault="00106F3C" w:rsidP="00103568">
            <w:pPr>
              <w:ind w:right="57"/>
              <w:jc w:val="right"/>
              <w:rPr>
                <w:bCs w:val="0"/>
                <w:sz w:val="18"/>
                <w:szCs w:val="18"/>
              </w:rPr>
            </w:pPr>
          </w:p>
        </w:tc>
        <w:tc>
          <w:tcPr>
            <w:tcW w:w="101" w:type="dxa"/>
            <w:vAlign w:val="bottom"/>
          </w:tcPr>
          <w:p w14:paraId="25F4BA9E" w14:textId="77777777" w:rsidR="00106F3C" w:rsidRPr="00026719" w:rsidRDefault="00106F3C" w:rsidP="00103568">
            <w:pPr>
              <w:ind w:right="57"/>
              <w:jc w:val="right"/>
              <w:rPr>
                <w:bCs w:val="0"/>
                <w:sz w:val="18"/>
                <w:szCs w:val="18"/>
              </w:rPr>
            </w:pPr>
          </w:p>
        </w:tc>
        <w:tc>
          <w:tcPr>
            <w:tcW w:w="1678" w:type="dxa"/>
            <w:vAlign w:val="bottom"/>
          </w:tcPr>
          <w:p w14:paraId="38A803F5" w14:textId="2F1D095B" w:rsidR="00106F3C" w:rsidRPr="00026719" w:rsidRDefault="00106F3C" w:rsidP="00103568">
            <w:pPr>
              <w:ind w:right="57"/>
              <w:jc w:val="right"/>
              <w:rPr>
                <w:bCs w:val="0"/>
                <w:sz w:val="18"/>
                <w:szCs w:val="18"/>
              </w:rPr>
            </w:pPr>
          </w:p>
        </w:tc>
        <w:tc>
          <w:tcPr>
            <w:tcW w:w="2868" w:type="dxa"/>
            <w:vAlign w:val="bottom"/>
          </w:tcPr>
          <w:p w14:paraId="20ACAF90" w14:textId="3DD66E87" w:rsidR="00106F3C" w:rsidRPr="00026719" w:rsidRDefault="00106F3C" w:rsidP="00103568">
            <w:pPr>
              <w:numPr>
                <w:ilvl w:val="12"/>
                <w:numId w:val="0"/>
              </w:numPr>
              <w:ind w:right="57"/>
              <w:jc w:val="right"/>
              <w:rPr>
                <w:i/>
                <w:sz w:val="18"/>
                <w:szCs w:val="18"/>
                <w:u w:val="single"/>
              </w:rPr>
            </w:pPr>
            <w:r w:rsidRPr="00026719">
              <w:rPr>
                <w:i/>
                <w:sz w:val="18"/>
                <w:szCs w:val="18"/>
                <w:u w:val="single"/>
              </w:rPr>
              <w:t>Comprehensive income</w:t>
            </w:r>
          </w:p>
        </w:tc>
      </w:tr>
      <w:tr w:rsidR="00F84E7F" w:rsidRPr="00026719" w14:paraId="07342D35" w14:textId="77777777" w:rsidTr="002108FF">
        <w:trPr>
          <w:trHeight w:val="20"/>
        </w:trPr>
        <w:tc>
          <w:tcPr>
            <w:tcW w:w="2856" w:type="dxa"/>
            <w:vAlign w:val="bottom"/>
          </w:tcPr>
          <w:p w14:paraId="45CB6835" w14:textId="28565BF4" w:rsidR="00F84E7F" w:rsidRPr="00026719" w:rsidRDefault="00F84E7F" w:rsidP="00F84E7F">
            <w:pPr>
              <w:pStyle w:val="Heading3"/>
              <w:ind w:left="351"/>
              <w:rPr>
                <w:b w:val="0"/>
                <w:sz w:val="18"/>
                <w:szCs w:val="18"/>
              </w:rPr>
            </w:pPr>
            <w:r w:rsidRPr="00026719">
              <w:rPr>
                <w:b w:val="0"/>
                <w:sz w:val="18"/>
                <w:szCs w:val="18"/>
              </w:rPr>
              <w:t>Keuntungan aktuaria yang diakui</w:t>
            </w:r>
          </w:p>
        </w:tc>
        <w:tc>
          <w:tcPr>
            <w:tcW w:w="1678" w:type="dxa"/>
            <w:tcBorders>
              <w:bottom w:val="single" w:sz="4" w:space="0" w:color="auto"/>
            </w:tcBorders>
            <w:shd w:val="clear" w:color="auto" w:fill="auto"/>
            <w:vAlign w:val="bottom"/>
          </w:tcPr>
          <w:p w14:paraId="276987B5" w14:textId="1A337646" w:rsidR="00F84E7F" w:rsidRPr="00026719" w:rsidRDefault="00FE6377" w:rsidP="00F84E7F">
            <w:pPr>
              <w:ind w:right="57"/>
              <w:jc w:val="right"/>
              <w:rPr>
                <w:bCs w:val="0"/>
                <w:sz w:val="18"/>
                <w:szCs w:val="18"/>
                <w:lang w:val="id-ID"/>
              </w:rPr>
            </w:pPr>
            <w:r w:rsidRPr="00FE6377">
              <w:rPr>
                <w:bCs w:val="0"/>
                <w:sz w:val="18"/>
                <w:szCs w:val="18"/>
              </w:rPr>
              <w:t>805.507.691</w:t>
            </w:r>
          </w:p>
        </w:tc>
        <w:tc>
          <w:tcPr>
            <w:tcW w:w="101" w:type="dxa"/>
            <w:vAlign w:val="bottom"/>
          </w:tcPr>
          <w:p w14:paraId="1687E50D" w14:textId="77777777" w:rsidR="00F84E7F" w:rsidRPr="00026719" w:rsidRDefault="00F84E7F" w:rsidP="00F84E7F">
            <w:pPr>
              <w:ind w:right="57"/>
              <w:jc w:val="right"/>
              <w:rPr>
                <w:bCs w:val="0"/>
                <w:sz w:val="18"/>
                <w:szCs w:val="18"/>
              </w:rPr>
            </w:pPr>
          </w:p>
        </w:tc>
        <w:tc>
          <w:tcPr>
            <w:tcW w:w="1678" w:type="dxa"/>
            <w:tcBorders>
              <w:bottom w:val="single" w:sz="4" w:space="0" w:color="auto"/>
            </w:tcBorders>
            <w:vAlign w:val="bottom"/>
          </w:tcPr>
          <w:p w14:paraId="766AE355" w14:textId="141330F2" w:rsidR="00F84E7F" w:rsidRPr="00026719" w:rsidRDefault="00F84E7F" w:rsidP="00F84E7F">
            <w:pPr>
              <w:ind w:right="57"/>
              <w:jc w:val="right"/>
              <w:rPr>
                <w:bCs w:val="0"/>
                <w:sz w:val="18"/>
                <w:szCs w:val="18"/>
              </w:rPr>
            </w:pPr>
            <w:r>
              <w:rPr>
                <w:bCs w:val="0"/>
                <w:sz w:val="18"/>
                <w:szCs w:val="18"/>
              </w:rPr>
              <w:t>(</w:t>
            </w:r>
            <w:r w:rsidRPr="00026719">
              <w:rPr>
                <w:bCs w:val="0"/>
                <w:sz w:val="18"/>
                <w:szCs w:val="18"/>
              </w:rPr>
              <w:t>12.905.516.92</w:t>
            </w:r>
            <w:r>
              <w:rPr>
                <w:bCs w:val="0"/>
                <w:sz w:val="18"/>
                <w:szCs w:val="18"/>
              </w:rPr>
              <w:t>8)</w:t>
            </w:r>
          </w:p>
        </w:tc>
        <w:tc>
          <w:tcPr>
            <w:tcW w:w="2868" w:type="dxa"/>
            <w:vAlign w:val="bottom"/>
          </w:tcPr>
          <w:p w14:paraId="7DA03C3F" w14:textId="429D2CC4" w:rsidR="00F84E7F" w:rsidRPr="00026719" w:rsidRDefault="00F84E7F" w:rsidP="00F84E7F">
            <w:pPr>
              <w:numPr>
                <w:ilvl w:val="12"/>
                <w:numId w:val="0"/>
              </w:numPr>
              <w:ind w:right="57"/>
              <w:jc w:val="right"/>
              <w:rPr>
                <w:i/>
                <w:sz w:val="18"/>
                <w:szCs w:val="18"/>
              </w:rPr>
            </w:pPr>
            <w:r w:rsidRPr="00026719">
              <w:rPr>
                <w:i/>
                <w:sz w:val="18"/>
                <w:szCs w:val="18"/>
              </w:rPr>
              <w:t>Recognize actuarial gain</w:t>
            </w:r>
          </w:p>
        </w:tc>
      </w:tr>
    </w:tbl>
    <w:p w14:paraId="5D4D0BCB" w14:textId="704A6D99" w:rsidR="00E815FE" w:rsidRDefault="00E815FE" w:rsidP="007D1B9B">
      <w:pPr>
        <w:rPr>
          <w:sz w:val="14"/>
          <w:szCs w:val="18"/>
        </w:rPr>
      </w:pPr>
    </w:p>
    <w:tbl>
      <w:tblPr>
        <w:tblW w:w="9197" w:type="dxa"/>
        <w:tblInd w:w="392" w:type="dxa"/>
        <w:tblLook w:val="0000" w:firstRow="0" w:lastRow="0" w:firstColumn="0" w:lastColumn="0" w:noHBand="0" w:noVBand="0"/>
      </w:tblPr>
      <w:tblGrid>
        <w:gridCol w:w="4598"/>
        <w:gridCol w:w="4599"/>
      </w:tblGrid>
      <w:tr w:rsidR="004E4129" w:rsidRPr="00FB1603" w14:paraId="226663BA" w14:textId="77777777" w:rsidTr="00091DE4">
        <w:tc>
          <w:tcPr>
            <w:tcW w:w="2500" w:type="pct"/>
            <w:tcBorders>
              <w:top w:val="nil"/>
              <w:left w:val="nil"/>
              <w:bottom w:val="nil"/>
              <w:right w:val="nil"/>
            </w:tcBorders>
          </w:tcPr>
          <w:p w14:paraId="33CE5D54" w14:textId="748BC3CA" w:rsidR="004E4129" w:rsidRPr="00FB1603" w:rsidRDefault="004E4129" w:rsidP="00EE78B5">
            <w:pPr>
              <w:ind w:left="252" w:hanging="331"/>
              <w:jc w:val="both"/>
              <w:rPr>
                <w:b/>
                <w:bCs w:val="0"/>
                <w:sz w:val="18"/>
                <w:szCs w:val="18"/>
              </w:rPr>
            </w:pPr>
            <w:r w:rsidRPr="00FB1603">
              <w:rPr>
                <w:sz w:val="14"/>
                <w:szCs w:val="18"/>
              </w:rPr>
              <w:lastRenderedPageBreak/>
              <w:br w:type="page"/>
            </w:r>
            <w:r w:rsidRPr="00FB1603">
              <w:rPr>
                <w:b/>
                <w:bCs w:val="0"/>
                <w:sz w:val="18"/>
                <w:szCs w:val="18"/>
              </w:rPr>
              <w:t>21.  LIABILITAS IMBALAN PASCA KERJA - Lanjutan</w:t>
            </w:r>
          </w:p>
        </w:tc>
        <w:tc>
          <w:tcPr>
            <w:tcW w:w="2500" w:type="pct"/>
            <w:tcBorders>
              <w:top w:val="nil"/>
              <w:left w:val="nil"/>
              <w:bottom w:val="nil"/>
              <w:right w:val="nil"/>
            </w:tcBorders>
          </w:tcPr>
          <w:p w14:paraId="0EDF2A4C" w14:textId="0682B673" w:rsidR="004E4129" w:rsidRPr="00FB1603" w:rsidRDefault="004E4129" w:rsidP="00091DE4">
            <w:pPr>
              <w:ind w:left="252" w:hanging="252"/>
              <w:jc w:val="both"/>
              <w:rPr>
                <w:b/>
                <w:bCs w:val="0"/>
                <w:i/>
                <w:iCs/>
                <w:sz w:val="18"/>
                <w:szCs w:val="18"/>
              </w:rPr>
            </w:pPr>
            <w:r w:rsidRPr="00FB1603">
              <w:rPr>
                <w:b/>
                <w:bCs w:val="0"/>
                <w:i/>
                <w:iCs/>
                <w:sz w:val="18"/>
                <w:szCs w:val="18"/>
              </w:rPr>
              <w:t>21.  POST EMPLOYMENT BENEFITS LIABILITIES - Continued</w:t>
            </w:r>
          </w:p>
        </w:tc>
      </w:tr>
    </w:tbl>
    <w:p w14:paraId="4D0CA04D" w14:textId="77777777" w:rsidR="004E4129" w:rsidRPr="00FB1603" w:rsidRDefault="004E4129" w:rsidP="004E4129">
      <w:pPr>
        <w:rPr>
          <w:sz w:val="14"/>
          <w:szCs w:val="18"/>
        </w:rPr>
      </w:pPr>
    </w:p>
    <w:tbl>
      <w:tblPr>
        <w:tblW w:w="9197" w:type="dxa"/>
        <w:tblInd w:w="350" w:type="dxa"/>
        <w:tblLook w:val="0000" w:firstRow="0" w:lastRow="0" w:firstColumn="0" w:lastColumn="0" w:noHBand="0" w:noVBand="0"/>
      </w:tblPr>
      <w:tblGrid>
        <w:gridCol w:w="4598"/>
        <w:gridCol w:w="4599"/>
      </w:tblGrid>
      <w:tr w:rsidR="00907CD2" w:rsidRPr="00FB1603" w14:paraId="54C3A351" w14:textId="77777777" w:rsidTr="002108FF">
        <w:tc>
          <w:tcPr>
            <w:tcW w:w="2500" w:type="pct"/>
            <w:tcBorders>
              <w:top w:val="nil"/>
              <w:left w:val="nil"/>
              <w:bottom w:val="nil"/>
              <w:right w:val="nil"/>
            </w:tcBorders>
          </w:tcPr>
          <w:p w14:paraId="412A3A80" w14:textId="16651F83" w:rsidR="00907CD2" w:rsidRPr="00FB1603" w:rsidRDefault="00907CD2" w:rsidP="00F93847">
            <w:pPr>
              <w:ind w:left="263" w:right="-57"/>
              <w:jc w:val="both"/>
              <w:rPr>
                <w:sz w:val="18"/>
                <w:szCs w:val="18"/>
              </w:rPr>
            </w:pPr>
            <w:r w:rsidRPr="00FB1603">
              <w:rPr>
                <w:bCs w:val="0"/>
                <w:sz w:val="18"/>
                <w:szCs w:val="18"/>
              </w:rPr>
              <w:t>Rekonsiliasi nilai kini kewajiban imbalan pasti :</w:t>
            </w:r>
          </w:p>
        </w:tc>
        <w:tc>
          <w:tcPr>
            <w:tcW w:w="2500" w:type="pct"/>
            <w:tcBorders>
              <w:top w:val="nil"/>
              <w:left w:val="nil"/>
              <w:bottom w:val="nil"/>
              <w:right w:val="nil"/>
            </w:tcBorders>
          </w:tcPr>
          <w:p w14:paraId="0C13201D" w14:textId="420B028F" w:rsidR="00907CD2" w:rsidRPr="00FB1603" w:rsidRDefault="00907CD2" w:rsidP="00104084">
            <w:pPr>
              <w:ind w:left="284" w:right="-57"/>
              <w:jc w:val="both"/>
              <w:rPr>
                <w:i/>
                <w:sz w:val="18"/>
                <w:szCs w:val="18"/>
              </w:rPr>
            </w:pPr>
            <w:r w:rsidRPr="00FB1603">
              <w:rPr>
                <w:bCs w:val="0"/>
                <w:i/>
                <w:sz w:val="18"/>
                <w:szCs w:val="18"/>
              </w:rPr>
              <w:t>Reconciliation on present value of defined benefit obligation:</w:t>
            </w:r>
          </w:p>
        </w:tc>
      </w:tr>
    </w:tbl>
    <w:p w14:paraId="1479B1CA" w14:textId="77777777" w:rsidR="00907CD2" w:rsidRPr="00FB1603" w:rsidRDefault="00907CD2" w:rsidP="007D1B9B">
      <w:pPr>
        <w:rPr>
          <w:sz w:val="14"/>
          <w:szCs w:val="18"/>
        </w:rPr>
      </w:pPr>
    </w:p>
    <w:tbl>
      <w:tblPr>
        <w:tblW w:w="9197" w:type="dxa"/>
        <w:tblInd w:w="364" w:type="dxa"/>
        <w:tblCellMar>
          <w:left w:w="0" w:type="dxa"/>
          <w:right w:w="0" w:type="dxa"/>
        </w:tblCellMar>
        <w:tblLook w:val="04A0" w:firstRow="1" w:lastRow="0" w:firstColumn="1" w:lastColumn="0" w:noHBand="0" w:noVBand="1"/>
      </w:tblPr>
      <w:tblGrid>
        <w:gridCol w:w="2861"/>
        <w:gridCol w:w="1682"/>
        <w:gridCol w:w="113"/>
        <w:gridCol w:w="1682"/>
        <w:gridCol w:w="2859"/>
      </w:tblGrid>
      <w:tr w:rsidR="007E3467" w:rsidRPr="00FB1603" w14:paraId="079BBF91" w14:textId="77777777" w:rsidTr="002108FF">
        <w:tc>
          <w:tcPr>
            <w:tcW w:w="2861" w:type="dxa"/>
            <w:shd w:val="clear" w:color="auto" w:fill="auto"/>
          </w:tcPr>
          <w:p w14:paraId="70BA5687" w14:textId="77777777" w:rsidR="007E3467" w:rsidRPr="00FB1603" w:rsidRDefault="007E3467" w:rsidP="007E3467">
            <w:pPr>
              <w:ind w:left="318"/>
              <w:jc w:val="both"/>
              <w:rPr>
                <w:sz w:val="18"/>
                <w:szCs w:val="18"/>
              </w:rPr>
            </w:pPr>
          </w:p>
        </w:tc>
        <w:tc>
          <w:tcPr>
            <w:tcW w:w="1682" w:type="dxa"/>
            <w:tcBorders>
              <w:bottom w:val="single" w:sz="4" w:space="0" w:color="auto"/>
            </w:tcBorders>
            <w:shd w:val="clear" w:color="auto" w:fill="auto"/>
          </w:tcPr>
          <w:p w14:paraId="71BAB485" w14:textId="77777777" w:rsidR="007E3467" w:rsidRPr="00FB1603" w:rsidRDefault="007E3467" w:rsidP="007E3467">
            <w:pPr>
              <w:jc w:val="center"/>
              <w:rPr>
                <w:b/>
                <w:sz w:val="18"/>
                <w:szCs w:val="18"/>
              </w:rPr>
            </w:pPr>
            <w:r w:rsidRPr="00FB1603">
              <w:rPr>
                <w:b/>
                <w:sz w:val="18"/>
                <w:szCs w:val="18"/>
              </w:rPr>
              <w:t>31 Maret/</w:t>
            </w:r>
          </w:p>
          <w:p w14:paraId="379665D7" w14:textId="6A30234B" w:rsidR="007E3467" w:rsidRPr="00FB1603" w:rsidRDefault="007E3467" w:rsidP="00141AFD">
            <w:pPr>
              <w:jc w:val="center"/>
              <w:rPr>
                <w:b/>
                <w:sz w:val="18"/>
                <w:szCs w:val="18"/>
              </w:rPr>
            </w:pPr>
            <w:r w:rsidRPr="00FB1603">
              <w:rPr>
                <w:b/>
                <w:sz w:val="18"/>
                <w:szCs w:val="18"/>
              </w:rPr>
              <w:t>March 31</w:t>
            </w:r>
            <w:r w:rsidR="00305CA0" w:rsidRPr="00FB1603">
              <w:rPr>
                <w:b/>
                <w:sz w:val="18"/>
                <w:szCs w:val="18"/>
              </w:rPr>
              <w:t>.</w:t>
            </w:r>
            <w:r w:rsidRPr="00FB1603">
              <w:rPr>
                <w:b/>
                <w:sz w:val="18"/>
                <w:szCs w:val="18"/>
              </w:rPr>
              <w:t xml:space="preserve"> 2020</w:t>
            </w:r>
          </w:p>
        </w:tc>
        <w:tc>
          <w:tcPr>
            <w:tcW w:w="113" w:type="dxa"/>
            <w:shd w:val="clear" w:color="auto" w:fill="auto"/>
          </w:tcPr>
          <w:p w14:paraId="1FCDB90E" w14:textId="77777777" w:rsidR="007E3467" w:rsidRPr="00FB1603" w:rsidRDefault="007E3467" w:rsidP="007E3467">
            <w:pPr>
              <w:jc w:val="center"/>
              <w:rPr>
                <w:b/>
                <w:sz w:val="18"/>
                <w:szCs w:val="18"/>
              </w:rPr>
            </w:pPr>
          </w:p>
        </w:tc>
        <w:tc>
          <w:tcPr>
            <w:tcW w:w="1682" w:type="dxa"/>
            <w:tcBorders>
              <w:bottom w:val="single" w:sz="4" w:space="0" w:color="auto"/>
            </w:tcBorders>
          </w:tcPr>
          <w:p w14:paraId="6275D641" w14:textId="77777777" w:rsidR="007E3467" w:rsidRPr="00FB1603" w:rsidRDefault="007E3467" w:rsidP="007E3467">
            <w:pPr>
              <w:jc w:val="center"/>
              <w:rPr>
                <w:b/>
                <w:sz w:val="18"/>
                <w:szCs w:val="18"/>
              </w:rPr>
            </w:pPr>
            <w:r w:rsidRPr="00FB1603">
              <w:rPr>
                <w:b/>
                <w:sz w:val="18"/>
                <w:szCs w:val="18"/>
              </w:rPr>
              <w:t>31 Desember/</w:t>
            </w:r>
          </w:p>
          <w:p w14:paraId="324120A8" w14:textId="0F583716" w:rsidR="007E3467" w:rsidRPr="00FB1603" w:rsidRDefault="007E3467" w:rsidP="00141AFD">
            <w:pPr>
              <w:jc w:val="center"/>
              <w:rPr>
                <w:b/>
                <w:sz w:val="18"/>
                <w:szCs w:val="18"/>
              </w:rPr>
            </w:pPr>
            <w:r w:rsidRPr="00FB1603">
              <w:rPr>
                <w:b/>
                <w:sz w:val="18"/>
                <w:szCs w:val="18"/>
              </w:rPr>
              <w:t>December 31</w:t>
            </w:r>
            <w:r w:rsidR="00305CA0" w:rsidRPr="00FB1603">
              <w:rPr>
                <w:b/>
                <w:sz w:val="18"/>
                <w:szCs w:val="18"/>
              </w:rPr>
              <w:t>.</w:t>
            </w:r>
            <w:r w:rsidRPr="00FB1603">
              <w:rPr>
                <w:b/>
                <w:sz w:val="18"/>
                <w:szCs w:val="18"/>
              </w:rPr>
              <w:t xml:space="preserve"> 2019</w:t>
            </w:r>
          </w:p>
        </w:tc>
        <w:tc>
          <w:tcPr>
            <w:tcW w:w="2859" w:type="dxa"/>
            <w:shd w:val="clear" w:color="auto" w:fill="auto"/>
          </w:tcPr>
          <w:p w14:paraId="078EAD51" w14:textId="77777777" w:rsidR="007E3467" w:rsidRPr="00FB1603" w:rsidRDefault="007E3467" w:rsidP="007E3467">
            <w:pPr>
              <w:jc w:val="both"/>
              <w:rPr>
                <w:sz w:val="18"/>
                <w:szCs w:val="18"/>
              </w:rPr>
            </w:pPr>
          </w:p>
        </w:tc>
      </w:tr>
      <w:tr w:rsidR="00106F3C" w:rsidRPr="00FB1603" w14:paraId="5BE6C629" w14:textId="77777777" w:rsidTr="002108FF">
        <w:tc>
          <w:tcPr>
            <w:tcW w:w="2861" w:type="dxa"/>
            <w:shd w:val="clear" w:color="auto" w:fill="auto"/>
          </w:tcPr>
          <w:p w14:paraId="7D10C78F" w14:textId="77777777" w:rsidR="00106F3C" w:rsidRPr="00FB1603" w:rsidRDefault="00106F3C" w:rsidP="00103568">
            <w:pPr>
              <w:ind w:left="318"/>
              <w:jc w:val="both"/>
              <w:rPr>
                <w:sz w:val="6"/>
                <w:szCs w:val="6"/>
              </w:rPr>
            </w:pPr>
          </w:p>
        </w:tc>
        <w:tc>
          <w:tcPr>
            <w:tcW w:w="1682" w:type="dxa"/>
            <w:tcBorders>
              <w:top w:val="single" w:sz="4" w:space="0" w:color="auto"/>
            </w:tcBorders>
            <w:shd w:val="clear" w:color="auto" w:fill="auto"/>
            <w:vAlign w:val="bottom"/>
          </w:tcPr>
          <w:p w14:paraId="07C4A766" w14:textId="77777777" w:rsidR="00106F3C" w:rsidRPr="00FB1603" w:rsidRDefault="00106F3C" w:rsidP="00103568">
            <w:pPr>
              <w:jc w:val="right"/>
              <w:rPr>
                <w:sz w:val="6"/>
                <w:szCs w:val="6"/>
              </w:rPr>
            </w:pPr>
          </w:p>
        </w:tc>
        <w:tc>
          <w:tcPr>
            <w:tcW w:w="113" w:type="dxa"/>
            <w:shd w:val="clear" w:color="auto" w:fill="auto"/>
            <w:vAlign w:val="bottom"/>
          </w:tcPr>
          <w:p w14:paraId="1E569D7E" w14:textId="77777777" w:rsidR="00106F3C" w:rsidRPr="00FB1603" w:rsidRDefault="00106F3C" w:rsidP="00103568">
            <w:pPr>
              <w:jc w:val="right"/>
              <w:rPr>
                <w:sz w:val="6"/>
                <w:szCs w:val="6"/>
              </w:rPr>
            </w:pPr>
          </w:p>
        </w:tc>
        <w:tc>
          <w:tcPr>
            <w:tcW w:w="1682" w:type="dxa"/>
            <w:tcBorders>
              <w:top w:val="single" w:sz="4" w:space="0" w:color="auto"/>
            </w:tcBorders>
            <w:vAlign w:val="bottom"/>
          </w:tcPr>
          <w:p w14:paraId="7BE4AF68" w14:textId="77777777" w:rsidR="00106F3C" w:rsidRPr="00FB1603" w:rsidRDefault="00106F3C" w:rsidP="00103568">
            <w:pPr>
              <w:jc w:val="right"/>
              <w:rPr>
                <w:sz w:val="6"/>
                <w:szCs w:val="6"/>
              </w:rPr>
            </w:pPr>
          </w:p>
        </w:tc>
        <w:tc>
          <w:tcPr>
            <w:tcW w:w="2859" w:type="dxa"/>
            <w:shd w:val="clear" w:color="auto" w:fill="auto"/>
          </w:tcPr>
          <w:p w14:paraId="0F2A114F" w14:textId="77777777" w:rsidR="00106F3C" w:rsidRPr="00FB1603" w:rsidRDefault="00106F3C" w:rsidP="00103568">
            <w:pPr>
              <w:jc w:val="both"/>
              <w:rPr>
                <w:sz w:val="6"/>
                <w:szCs w:val="6"/>
              </w:rPr>
            </w:pPr>
          </w:p>
        </w:tc>
      </w:tr>
      <w:tr w:rsidR="00F84E7F" w:rsidRPr="00FB1603" w14:paraId="06232FB9" w14:textId="77777777" w:rsidTr="002108FF">
        <w:tc>
          <w:tcPr>
            <w:tcW w:w="2861" w:type="dxa"/>
            <w:shd w:val="clear" w:color="auto" w:fill="auto"/>
          </w:tcPr>
          <w:p w14:paraId="55A895EA" w14:textId="77777777" w:rsidR="00F84E7F" w:rsidRPr="00FB1603" w:rsidRDefault="00F84E7F" w:rsidP="00F84E7F">
            <w:pPr>
              <w:ind w:left="463" w:hanging="112"/>
              <w:rPr>
                <w:sz w:val="18"/>
                <w:szCs w:val="18"/>
              </w:rPr>
            </w:pPr>
          </w:p>
          <w:p w14:paraId="3F4CF128" w14:textId="2AC15362" w:rsidR="00F84E7F" w:rsidRPr="00FB1603" w:rsidRDefault="00F84E7F" w:rsidP="00F84E7F">
            <w:pPr>
              <w:ind w:left="463" w:hanging="112"/>
              <w:rPr>
                <w:sz w:val="18"/>
                <w:szCs w:val="18"/>
              </w:rPr>
            </w:pPr>
            <w:r w:rsidRPr="00FB1603">
              <w:rPr>
                <w:sz w:val="18"/>
                <w:szCs w:val="18"/>
              </w:rPr>
              <w:t>Nilai kini kewajiban awal tahun</w:t>
            </w:r>
          </w:p>
        </w:tc>
        <w:tc>
          <w:tcPr>
            <w:tcW w:w="1682" w:type="dxa"/>
            <w:shd w:val="clear" w:color="auto" w:fill="auto"/>
            <w:vAlign w:val="bottom"/>
          </w:tcPr>
          <w:p w14:paraId="05CC5258" w14:textId="1EC20B7B" w:rsidR="00F84E7F" w:rsidRPr="00FB1603" w:rsidRDefault="008746F7" w:rsidP="00F84E7F">
            <w:pPr>
              <w:ind w:right="57"/>
              <w:jc w:val="right"/>
              <w:rPr>
                <w:sz w:val="18"/>
                <w:szCs w:val="18"/>
              </w:rPr>
            </w:pPr>
            <w:r w:rsidRPr="00FB1603">
              <w:rPr>
                <w:bCs w:val="0"/>
                <w:sz w:val="18"/>
                <w:szCs w:val="18"/>
              </w:rPr>
              <w:t>68.670.506.868</w:t>
            </w:r>
          </w:p>
        </w:tc>
        <w:tc>
          <w:tcPr>
            <w:tcW w:w="113" w:type="dxa"/>
            <w:shd w:val="clear" w:color="auto" w:fill="auto"/>
            <w:vAlign w:val="bottom"/>
          </w:tcPr>
          <w:p w14:paraId="0A7FA009" w14:textId="77777777" w:rsidR="00F84E7F" w:rsidRPr="00FB1603" w:rsidRDefault="00F84E7F" w:rsidP="00F84E7F">
            <w:pPr>
              <w:ind w:right="57"/>
              <w:jc w:val="right"/>
              <w:rPr>
                <w:sz w:val="18"/>
                <w:szCs w:val="18"/>
              </w:rPr>
            </w:pPr>
          </w:p>
        </w:tc>
        <w:tc>
          <w:tcPr>
            <w:tcW w:w="1682" w:type="dxa"/>
            <w:vAlign w:val="bottom"/>
          </w:tcPr>
          <w:p w14:paraId="5D2B373C" w14:textId="641E1ADD" w:rsidR="00F84E7F" w:rsidRPr="00FB1603" w:rsidRDefault="00F84E7F" w:rsidP="00F84E7F">
            <w:pPr>
              <w:ind w:right="57"/>
              <w:jc w:val="right"/>
              <w:rPr>
                <w:sz w:val="18"/>
                <w:szCs w:val="18"/>
              </w:rPr>
            </w:pPr>
            <w:r w:rsidRPr="00FB1603">
              <w:rPr>
                <w:sz w:val="18"/>
                <w:szCs w:val="18"/>
              </w:rPr>
              <w:t>63.461.098.798</w:t>
            </w:r>
          </w:p>
        </w:tc>
        <w:tc>
          <w:tcPr>
            <w:tcW w:w="2859" w:type="dxa"/>
            <w:shd w:val="clear" w:color="auto" w:fill="auto"/>
            <w:vAlign w:val="bottom"/>
          </w:tcPr>
          <w:p w14:paraId="321A16C4" w14:textId="77777777" w:rsidR="00F84E7F" w:rsidRPr="00FB1603" w:rsidRDefault="00F84E7F" w:rsidP="00F84E7F">
            <w:pPr>
              <w:ind w:right="57"/>
              <w:jc w:val="right"/>
              <w:rPr>
                <w:i/>
                <w:sz w:val="18"/>
                <w:szCs w:val="18"/>
              </w:rPr>
            </w:pPr>
            <w:r w:rsidRPr="00FB1603">
              <w:rPr>
                <w:i/>
                <w:sz w:val="18"/>
                <w:szCs w:val="18"/>
              </w:rPr>
              <w:t>Present value of obligation at</w:t>
            </w:r>
          </w:p>
          <w:p w14:paraId="48C69A88" w14:textId="6D21507F" w:rsidR="00F84E7F" w:rsidRPr="00FB1603" w:rsidRDefault="00F84E7F" w:rsidP="00F84E7F">
            <w:pPr>
              <w:ind w:right="227"/>
              <w:jc w:val="right"/>
              <w:rPr>
                <w:i/>
                <w:sz w:val="18"/>
                <w:szCs w:val="18"/>
              </w:rPr>
            </w:pPr>
            <w:r w:rsidRPr="00FB1603">
              <w:rPr>
                <w:i/>
                <w:sz w:val="18"/>
                <w:szCs w:val="18"/>
              </w:rPr>
              <w:t>beginning of year</w:t>
            </w:r>
          </w:p>
        </w:tc>
      </w:tr>
      <w:tr w:rsidR="00F84E7F" w:rsidRPr="00FB1603" w14:paraId="2E03650C" w14:textId="77777777" w:rsidTr="002108FF">
        <w:tc>
          <w:tcPr>
            <w:tcW w:w="2861" w:type="dxa"/>
            <w:shd w:val="clear" w:color="auto" w:fill="auto"/>
          </w:tcPr>
          <w:p w14:paraId="01D9AEC8" w14:textId="580B55E1" w:rsidR="00F84E7F" w:rsidRPr="00FB1603" w:rsidRDefault="00F84E7F" w:rsidP="00F84E7F">
            <w:pPr>
              <w:ind w:left="463" w:hanging="112"/>
              <w:rPr>
                <w:sz w:val="18"/>
                <w:szCs w:val="18"/>
              </w:rPr>
            </w:pPr>
            <w:r w:rsidRPr="00FB1603">
              <w:rPr>
                <w:sz w:val="18"/>
                <w:szCs w:val="18"/>
              </w:rPr>
              <w:t>Biaya jasa kini</w:t>
            </w:r>
          </w:p>
        </w:tc>
        <w:tc>
          <w:tcPr>
            <w:tcW w:w="1682" w:type="dxa"/>
            <w:shd w:val="clear" w:color="auto" w:fill="auto"/>
            <w:vAlign w:val="bottom"/>
          </w:tcPr>
          <w:p w14:paraId="1712CD74" w14:textId="4B7A0717" w:rsidR="00F84E7F" w:rsidRPr="00FB1603" w:rsidRDefault="002C3F8E" w:rsidP="00F84E7F">
            <w:pPr>
              <w:ind w:right="57"/>
              <w:jc w:val="right"/>
              <w:rPr>
                <w:sz w:val="18"/>
                <w:szCs w:val="18"/>
              </w:rPr>
            </w:pPr>
            <w:r w:rsidRPr="00FB1603">
              <w:rPr>
                <w:sz w:val="18"/>
                <w:szCs w:val="18"/>
              </w:rPr>
              <w:t>2.346.510.839</w:t>
            </w:r>
          </w:p>
        </w:tc>
        <w:tc>
          <w:tcPr>
            <w:tcW w:w="113" w:type="dxa"/>
            <w:shd w:val="clear" w:color="auto" w:fill="auto"/>
            <w:vAlign w:val="bottom"/>
          </w:tcPr>
          <w:p w14:paraId="4760A7B8" w14:textId="77777777" w:rsidR="00F84E7F" w:rsidRPr="00FB1603" w:rsidRDefault="00F84E7F" w:rsidP="00F84E7F">
            <w:pPr>
              <w:ind w:right="57"/>
              <w:jc w:val="right"/>
              <w:rPr>
                <w:sz w:val="18"/>
                <w:szCs w:val="18"/>
              </w:rPr>
            </w:pPr>
          </w:p>
        </w:tc>
        <w:tc>
          <w:tcPr>
            <w:tcW w:w="1682" w:type="dxa"/>
            <w:vAlign w:val="bottom"/>
          </w:tcPr>
          <w:p w14:paraId="620F20BF" w14:textId="08CDBAC6" w:rsidR="00F84E7F" w:rsidRPr="00FB1603" w:rsidRDefault="00F84E7F" w:rsidP="00F84E7F">
            <w:pPr>
              <w:ind w:right="57"/>
              <w:jc w:val="right"/>
              <w:rPr>
                <w:sz w:val="18"/>
                <w:szCs w:val="18"/>
              </w:rPr>
            </w:pPr>
            <w:r w:rsidRPr="00FB1603">
              <w:rPr>
                <w:sz w:val="18"/>
                <w:szCs w:val="18"/>
              </w:rPr>
              <w:t>15.413.518.027</w:t>
            </w:r>
          </w:p>
        </w:tc>
        <w:tc>
          <w:tcPr>
            <w:tcW w:w="2859" w:type="dxa"/>
            <w:shd w:val="clear" w:color="auto" w:fill="auto"/>
          </w:tcPr>
          <w:p w14:paraId="79683698" w14:textId="3DC62A0E" w:rsidR="00F84E7F" w:rsidRPr="00FB1603" w:rsidRDefault="00F84E7F" w:rsidP="00F84E7F">
            <w:pPr>
              <w:ind w:right="57"/>
              <w:jc w:val="right"/>
              <w:rPr>
                <w:i/>
                <w:sz w:val="18"/>
                <w:szCs w:val="18"/>
              </w:rPr>
            </w:pPr>
            <w:r w:rsidRPr="00FB1603">
              <w:rPr>
                <w:i/>
                <w:sz w:val="18"/>
                <w:szCs w:val="18"/>
              </w:rPr>
              <w:t>Current service cost</w:t>
            </w:r>
          </w:p>
        </w:tc>
      </w:tr>
      <w:tr w:rsidR="00F84E7F" w:rsidRPr="00FB1603" w14:paraId="4643EF18" w14:textId="77777777" w:rsidTr="002108FF">
        <w:tc>
          <w:tcPr>
            <w:tcW w:w="2861" w:type="dxa"/>
            <w:shd w:val="clear" w:color="auto" w:fill="auto"/>
          </w:tcPr>
          <w:p w14:paraId="5348528D" w14:textId="636524E3" w:rsidR="00F84E7F" w:rsidRPr="00FB1603" w:rsidRDefault="00F84E7F" w:rsidP="00F84E7F">
            <w:pPr>
              <w:ind w:left="463" w:hanging="112"/>
              <w:rPr>
                <w:sz w:val="18"/>
                <w:szCs w:val="18"/>
              </w:rPr>
            </w:pPr>
            <w:r w:rsidRPr="00FB1603">
              <w:rPr>
                <w:sz w:val="18"/>
                <w:szCs w:val="18"/>
              </w:rPr>
              <w:t>Biaya bunga</w:t>
            </w:r>
          </w:p>
        </w:tc>
        <w:tc>
          <w:tcPr>
            <w:tcW w:w="1682" w:type="dxa"/>
            <w:shd w:val="clear" w:color="auto" w:fill="auto"/>
            <w:vAlign w:val="bottom"/>
          </w:tcPr>
          <w:p w14:paraId="1893D938" w14:textId="79BC8674" w:rsidR="00F84E7F" w:rsidRPr="00FB1603" w:rsidRDefault="008746F7" w:rsidP="00F84E7F">
            <w:pPr>
              <w:ind w:right="57"/>
              <w:jc w:val="right"/>
              <w:rPr>
                <w:sz w:val="18"/>
                <w:szCs w:val="18"/>
              </w:rPr>
            </w:pPr>
            <w:r w:rsidRPr="00FB1603">
              <w:rPr>
                <w:sz w:val="18"/>
                <w:szCs w:val="18"/>
              </w:rPr>
              <w:t>-</w:t>
            </w:r>
          </w:p>
        </w:tc>
        <w:tc>
          <w:tcPr>
            <w:tcW w:w="113" w:type="dxa"/>
            <w:shd w:val="clear" w:color="auto" w:fill="auto"/>
            <w:vAlign w:val="bottom"/>
          </w:tcPr>
          <w:p w14:paraId="7B0105B1" w14:textId="77777777" w:rsidR="00F84E7F" w:rsidRPr="00FB1603" w:rsidRDefault="00F84E7F" w:rsidP="00F84E7F">
            <w:pPr>
              <w:ind w:right="57"/>
              <w:jc w:val="right"/>
              <w:rPr>
                <w:sz w:val="18"/>
                <w:szCs w:val="18"/>
              </w:rPr>
            </w:pPr>
          </w:p>
        </w:tc>
        <w:tc>
          <w:tcPr>
            <w:tcW w:w="1682" w:type="dxa"/>
            <w:vAlign w:val="bottom"/>
          </w:tcPr>
          <w:p w14:paraId="71445B06" w14:textId="56C72531" w:rsidR="00F84E7F" w:rsidRPr="00FB1603" w:rsidRDefault="00F84E7F" w:rsidP="00F84E7F">
            <w:pPr>
              <w:ind w:right="57"/>
              <w:jc w:val="right"/>
              <w:rPr>
                <w:sz w:val="18"/>
                <w:szCs w:val="18"/>
              </w:rPr>
            </w:pPr>
            <w:r w:rsidRPr="00FB1603">
              <w:rPr>
                <w:sz w:val="18"/>
                <w:szCs w:val="18"/>
              </w:rPr>
              <w:t>4.836.499.675</w:t>
            </w:r>
          </w:p>
        </w:tc>
        <w:tc>
          <w:tcPr>
            <w:tcW w:w="2859" w:type="dxa"/>
            <w:shd w:val="clear" w:color="auto" w:fill="auto"/>
          </w:tcPr>
          <w:p w14:paraId="6664DB74" w14:textId="764825B6" w:rsidR="00F84E7F" w:rsidRPr="00FB1603" w:rsidRDefault="00F84E7F" w:rsidP="00F84E7F">
            <w:pPr>
              <w:ind w:right="57"/>
              <w:jc w:val="right"/>
              <w:rPr>
                <w:i/>
                <w:sz w:val="18"/>
                <w:szCs w:val="18"/>
              </w:rPr>
            </w:pPr>
            <w:r w:rsidRPr="00FB1603">
              <w:rPr>
                <w:i/>
                <w:sz w:val="18"/>
                <w:szCs w:val="18"/>
              </w:rPr>
              <w:t>Interest cost</w:t>
            </w:r>
          </w:p>
        </w:tc>
      </w:tr>
      <w:tr w:rsidR="00F84E7F" w:rsidRPr="00FB1603" w14:paraId="6B6E75B4" w14:textId="77777777" w:rsidTr="002108FF">
        <w:tc>
          <w:tcPr>
            <w:tcW w:w="2861" w:type="dxa"/>
            <w:shd w:val="clear" w:color="auto" w:fill="auto"/>
          </w:tcPr>
          <w:p w14:paraId="52D97513" w14:textId="3A4512E6" w:rsidR="00F84E7F" w:rsidRPr="00FB1603" w:rsidRDefault="00F84E7F" w:rsidP="00F84E7F">
            <w:pPr>
              <w:ind w:left="463" w:hanging="112"/>
              <w:rPr>
                <w:sz w:val="18"/>
                <w:szCs w:val="18"/>
              </w:rPr>
            </w:pPr>
            <w:r w:rsidRPr="00FB1603">
              <w:rPr>
                <w:sz w:val="18"/>
                <w:szCs w:val="18"/>
              </w:rPr>
              <w:t>Kurtailment</w:t>
            </w:r>
          </w:p>
        </w:tc>
        <w:tc>
          <w:tcPr>
            <w:tcW w:w="1682" w:type="dxa"/>
            <w:shd w:val="clear" w:color="auto" w:fill="auto"/>
            <w:vAlign w:val="bottom"/>
          </w:tcPr>
          <w:p w14:paraId="7B6D47D2" w14:textId="2F5232E1" w:rsidR="00F84E7F" w:rsidRPr="00FB1603" w:rsidRDefault="008746F7" w:rsidP="00F84E7F">
            <w:pPr>
              <w:ind w:right="57"/>
              <w:jc w:val="right"/>
              <w:rPr>
                <w:sz w:val="18"/>
                <w:szCs w:val="18"/>
              </w:rPr>
            </w:pPr>
            <w:r w:rsidRPr="00FB1603">
              <w:rPr>
                <w:sz w:val="18"/>
                <w:szCs w:val="18"/>
              </w:rPr>
              <w:t>-</w:t>
            </w:r>
          </w:p>
        </w:tc>
        <w:tc>
          <w:tcPr>
            <w:tcW w:w="113" w:type="dxa"/>
            <w:shd w:val="clear" w:color="auto" w:fill="auto"/>
            <w:vAlign w:val="bottom"/>
          </w:tcPr>
          <w:p w14:paraId="2A692F0A" w14:textId="77777777" w:rsidR="00F84E7F" w:rsidRPr="00FB1603" w:rsidRDefault="00F84E7F" w:rsidP="00F84E7F">
            <w:pPr>
              <w:ind w:right="57"/>
              <w:jc w:val="right"/>
              <w:rPr>
                <w:sz w:val="18"/>
                <w:szCs w:val="18"/>
              </w:rPr>
            </w:pPr>
          </w:p>
        </w:tc>
        <w:tc>
          <w:tcPr>
            <w:tcW w:w="1682" w:type="dxa"/>
            <w:vAlign w:val="bottom"/>
          </w:tcPr>
          <w:p w14:paraId="203E4DC1" w14:textId="363A2A8F" w:rsidR="00F84E7F" w:rsidRPr="00FB1603" w:rsidRDefault="00F84E7F" w:rsidP="00F84E7F">
            <w:pPr>
              <w:ind w:right="57"/>
              <w:jc w:val="right"/>
              <w:rPr>
                <w:sz w:val="18"/>
                <w:szCs w:val="18"/>
              </w:rPr>
            </w:pPr>
            <w:r w:rsidRPr="00FB1603">
              <w:rPr>
                <w:sz w:val="18"/>
                <w:szCs w:val="18"/>
              </w:rPr>
              <w:t>1.536.494.559</w:t>
            </w:r>
          </w:p>
        </w:tc>
        <w:tc>
          <w:tcPr>
            <w:tcW w:w="2859" w:type="dxa"/>
            <w:shd w:val="clear" w:color="auto" w:fill="auto"/>
          </w:tcPr>
          <w:p w14:paraId="1139A4A8" w14:textId="48DBB406" w:rsidR="00F84E7F" w:rsidRPr="00FB1603" w:rsidRDefault="00F84E7F" w:rsidP="00F84E7F">
            <w:pPr>
              <w:ind w:right="57"/>
              <w:jc w:val="right"/>
              <w:rPr>
                <w:i/>
                <w:sz w:val="18"/>
                <w:szCs w:val="18"/>
              </w:rPr>
            </w:pPr>
            <w:r w:rsidRPr="00FB1603">
              <w:rPr>
                <w:i/>
                <w:sz w:val="18"/>
                <w:szCs w:val="18"/>
              </w:rPr>
              <w:t>Curtailment</w:t>
            </w:r>
          </w:p>
        </w:tc>
      </w:tr>
      <w:tr w:rsidR="00F84E7F" w:rsidRPr="00FB1603" w14:paraId="391C0B6A" w14:textId="77777777" w:rsidTr="002108FF">
        <w:tc>
          <w:tcPr>
            <w:tcW w:w="2861" w:type="dxa"/>
            <w:shd w:val="clear" w:color="auto" w:fill="auto"/>
          </w:tcPr>
          <w:p w14:paraId="07A66ED5" w14:textId="06F2D3C1" w:rsidR="00F84E7F" w:rsidRPr="00FB1603" w:rsidRDefault="00F84E7F" w:rsidP="00F84E7F">
            <w:pPr>
              <w:ind w:left="463" w:hanging="112"/>
              <w:rPr>
                <w:sz w:val="18"/>
                <w:szCs w:val="18"/>
              </w:rPr>
            </w:pPr>
            <w:r w:rsidRPr="00FB1603">
              <w:rPr>
                <w:sz w:val="18"/>
                <w:szCs w:val="18"/>
              </w:rPr>
              <w:t>Pembayaran imbalan kerja</w:t>
            </w:r>
          </w:p>
        </w:tc>
        <w:tc>
          <w:tcPr>
            <w:tcW w:w="1682" w:type="dxa"/>
            <w:shd w:val="clear" w:color="auto" w:fill="auto"/>
            <w:vAlign w:val="bottom"/>
          </w:tcPr>
          <w:p w14:paraId="16F69F33" w14:textId="3ED41046" w:rsidR="00F84E7F" w:rsidRPr="00FB1603" w:rsidRDefault="008746F7" w:rsidP="00F84E7F">
            <w:pPr>
              <w:ind w:right="57"/>
              <w:jc w:val="right"/>
              <w:rPr>
                <w:sz w:val="18"/>
                <w:szCs w:val="18"/>
              </w:rPr>
            </w:pPr>
            <w:r w:rsidRPr="00FB1603">
              <w:rPr>
                <w:sz w:val="18"/>
                <w:szCs w:val="18"/>
              </w:rPr>
              <w:t>(796.085.898)</w:t>
            </w:r>
          </w:p>
        </w:tc>
        <w:tc>
          <w:tcPr>
            <w:tcW w:w="113" w:type="dxa"/>
            <w:shd w:val="clear" w:color="auto" w:fill="auto"/>
            <w:vAlign w:val="bottom"/>
          </w:tcPr>
          <w:p w14:paraId="0E461563" w14:textId="77777777" w:rsidR="00F84E7F" w:rsidRPr="00FB1603" w:rsidRDefault="00F84E7F" w:rsidP="00F84E7F">
            <w:pPr>
              <w:ind w:right="57"/>
              <w:jc w:val="right"/>
              <w:rPr>
                <w:sz w:val="18"/>
                <w:szCs w:val="18"/>
              </w:rPr>
            </w:pPr>
          </w:p>
        </w:tc>
        <w:tc>
          <w:tcPr>
            <w:tcW w:w="1682" w:type="dxa"/>
            <w:vAlign w:val="bottom"/>
          </w:tcPr>
          <w:p w14:paraId="31AF30BC" w14:textId="66B0A93E" w:rsidR="00F84E7F" w:rsidRPr="00FB1603" w:rsidRDefault="00F84E7F" w:rsidP="00F84E7F">
            <w:pPr>
              <w:ind w:right="57"/>
              <w:jc w:val="right"/>
              <w:rPr>
                <w:sz w:val="18"/>
                <w:szCs w:val="18"/>
              </w:rPr>
            </w:pPr>
            <w:r w:rsidRPr="00FB1603">
              <w:rPr>
                <w:sz w:val="18"/>
                <w:szCs w:val="18"/>
              </w:rPr>
              <w:t>(3.671.587.264)</w:t>
            </w:r>
          </w:p>
        </w:tc>
        <w:tc>
          <w:tcPr>
            <w:tcW w:w="2859" w:type="dxa"/>
            <w:shd w:val="clear" w:color="auto" w:fill="auto"/>
          </w:tcPr>
          <w:p w14:paraId="28ED77DC" w14:textId="2F961C3A" w:rsidR="00F84E7F" w:rsidRPr="00FB1603" w:rsidRDefault="00F84E7F" w:rsidP="00F84E7F">
            <w:pPr>
              <w:ind w:right="57"/>
              <w:jc w:val="right"/>
              <w:rPr>
                <w:i/>
                <w:sz w:val="18"/>
                <w:szCs w:val="18"/>
              </w:rPr>
            </w:pPr>
            <w:r w:rsidRPr="00FB1603">
              <w:rPr>
                <w:i/>
                <w:sz w:val="18"/>
                <w:szCs w:val="18"/>
              </w:rPr>
              <w:t>Employee benefits paid</w:t>
            </w:r>
          </w:p>
        </w:tc>
      </w:tr>
      <w:tr w:rsidR="00F84E7F" w:rsidRPr="00FB1603" w14:paraId="6D6D687E" w14:textId="77777777" w:rsidTr="002108FF">
        <w:tc>
          <w:tcPr>
            <w:tcW w:w="2861" w:type="dxa"/>
            <w:shd w:val="clear" w:color="auto" w:fill="auto"/>
          </w:tcPr>
          <w:p w14:paraId="0EEA774B" w14:textId="2CB2508E" w:rsidR="00F84E7F" w:rsidRPr="00FB1603" w:rsidRDefault="00F84E7F" w:rsidP="00F84E7F">
            <w:pPr>
              <w:ind w:left="463" w:hanging="112"/>
              <w:rPr>
                <w:sz w:val="18"/>
                <w:szCs w:val="18"/>
              </w:rPr>
            </w:pPr>
            <w:r w:rsidRPr="00FB1603">
              <w:rPr>
                <w:sz w:val="18"/>
                <w:szCs w:val="18"/>
              </w:rPr>
              <w:t>Keuntungan aktuaria</w:t>
            </w:r>
          </w:p>
        </w:tc>
        <w:tc>
          <w:tcPr>
            <w:tcW w:w="1682" w:type="dxa"/>
            <w:tcBorders>
              <w:bottom w:val="single" w:sz="4" w:space="0" w:color="auto"/>
            </w:tcBorders>
            <w:shd w:val="clear" w:color="auto" w:fill="auto"/>
            <w:vAlign w:val="bottom"/>
          </w:tcPr>
          <w:p w14:paraId="53EF3CBB" w14:textId="7100F1D4" w:rsidR="00F84E7F" w:rsidRPr="00FB1603" w:rsidRDefault="006D32D3" w:rsidP="00F84E7F">
            <w:pPr>
              <w:ind w:right="57"/>
              <w:jc w:val="right"/>
              <w:rPr>
                <w:sz w:val="18"/>
                <w:szCs w:val="18"/>
                <w:lang w:val="id-ID"/>
              </w:rPr>
            </w:pPr>
            <w:r w:rsidRPr="00FB1603">
              <w:rPr>
                <w:sz w:val="18"/>
                <w:szCs w:val="18"/>
                <w:lang w:val="id-ID"/>
              </w:rPr>
              <w:t>23</w:t>
            </w:r>
            <w:r w:rsidRPr="00FB1603">
              <w:rPr>
                <w:sz w:val="18"/>
                <w:szCs w:val="18"/>
              </w:rPr>
              <w:t>5.</w:t>
            </w:r>
            <w:r w:rsidRPr="00FB1603">
              <w:rPr>
                <w:sz w:val="18"/>
                <w:szCs w:val="18"/>
                <w:lang w:val="id-ID"/>
              </w:rPr>
              <w:t>03</w:t>
            </w:r>
            <w:r w:rsidRPr="00FB1603">
              <w:rPr>
                <w:sz w:val="18"/>
                <w:szCs w:val="18"/>
              </w:rPr>
              <w:t>7.</w:t>
            </w:r>
            <w:r w:rsidRPr="00FB1603">
              <w:rPr>
                <w:sz w:val="18"/>
                <w:szCs w:val="18"/>
                <w:lang w:val="id-ID"/>
              </w:rPr>
              <w:t>546</w:t>
            </w:r>
          </w:p>
        </w:tc>
        <w:tc>
          <w:tcPr>
            <w:tcW w:w="113" w:type="dxa"/>
            <w:shd w:val="clear" w:color="auto" w:fill="auto"/>
            <w:vAlign w:val="bottom"/>
          </w:tcPr>
          <w:p w14:paraId="1BF9AC86" w14:textId="77777777" w:rsidR="00F84E7F" w:rsidRPr="00FB1603" w:rsidRDefault="00F84E7F" w:rsidP="00F84E7F">
            <w:pPr>
              <w:ind w:right="57"/>
              <w:jc w:val="right"/>
              <w:rPr>
                <w:sz w:val="18"/>
                <w:szCs w:val="18"/>
              </w:rPr>
            </w:pPr>
          </w:p>
        </w:tc>
        <w:tc>
          <w:tcPr>
            <w:tcW w:w="1682" w:type="dxa"/>
            <w:tcBorders>
              <w:bottom w:val="single" w:sz="4" w:space="0" w:color="auto"/>
            </w:tcBorders>
            <w:vAlign w:val="bottom"/>
          </w:tcPr>
          <w:p w14:paraId="545C5B4F" w14:textId="6566C7DC" w:rsidR="00F84E7F" w:rsidRPr="00FB1603" w:rsidRDefault="00F84E7F" w:rsidP="00F84E7F">
            <w:pPr>
              <w:ind w:right="57"/>
              <w:jc w:val="right"/>
              <w:rPr>
                <w:sz w:val="18"/>
                <w:szCs w:val="18"/>
              </w:rPr>
            </w:pPr>
            <w:r w:rsidRPr="00FB1603">
              <w:rPr>
                <w:sz w:val="18"/>
                <w:szCs w:val="18"/>
              </w:rPr>
              <w:t>(12.905.516.927)</w:t>
            </w:r>
          </w:p>
        </w:tc>
        <w:tc>
          <w:tcPr>
            <w:tcW w:w="2859" w:type="dxa"/>
            <w:shd w:val="clear" w:color="auto" w:fill="auto"/>
          </w:tcPr>
          <w:p w14:paraId="7627BC3D" w14:textId="2CC5B2F1" w:rsidR="00F84E7F" w:rsidRPr="00FB1603" w:rsidRDefault="00F84E7F" w:rsidP="00F84E7F">
            <w:pPr>
              <w:ind w:right="57"/>
              <w:jc w:val="right"/>
              <w:rPr>
                <w:i/>
                <w:sz w:val="18"/>
                <w:szCs w:val="18"/>
              </w:rPr>
            </w:pPr>
            <w:r w:rsidRPr="00FB1603">
              <w:rPr>
                <w:i/>
                <w:sz w:val="18"/>
                <w:szCs w:val="18"/>
              </w:rPr>
              <w:t>Actuarial gain</w:t>
            </w:r>
          </w:p>
        </w:tc>
      </w:tr>
      <w:tr w:rsidR="001C1A17" w:rsidRPr="00FB1603" w14:paraId="244C7243" w14:textId="77777777" w:rsidTr="002108FF">
        <w:tc>
          <w:tcPr>
            <w:tcW w:w="2861" w:type="dxa"/>
            <w:shd w:val="clear" w:color="auto" w:fill="auto"/>
          </w:tcPr>
          <w:p w14:paraId="6E016551" w14:textId="77777777" w:rsidR="001C1A17" w:rsidRPr="00FB1603" w:rsidRDefault="001C1A17" w:rsidP="00F93847">
            <w:pPr>
              <w:ind w:left="463" w:hanging="112"/>
              <w:jc w:val="both"/>
              <w:rPr>
                <w:sz w:val="18"/>
                <w:szCs w:val="18"/>
              </w:rPr>
            </w:pPr>
          </w:p>
        </w:tc>
        <w:tc>
          <w:tcPr>
            <w:tcW w:w="1682" w:type="dxa"/>
            <w:tcBorders>
              <w:top w:val="single" w:sz="4" w:space="0" w:color="auto"/>
            </w:tcBorders>
            <w:shd w:val="clear" w:color="auto" w:fill="auto"/>
            <w:vAlign w:val="bottom"/>
          </w:tcPr>
          <w:p w14:paraId="4698C2F2" w14:textId="77777777" w:rsidR="001C1A17" w:rsidRPr="00FB1603" w:rsidRDefault="001C1A17" w:rsidP="001C1A17">
            <w:pPr>
              <w:ind w:right="57"/>
              <w:jc w:val="right"/>
              <w:rPr>
                <w:sz w:val="18"/>
                <w:szCs w:val="18"/>
              </w:rPr>
            </w:pPr>
          </w:p>
        </w:tc>
        <w:tc>
          <w:tcPr>
            <w:tcW w:w="113" w:type="dxa"/>
            <w:shd w:val="clear" w:color="auto" w:fill="auto"/>
            <w:vAlign w:val="bottom"/>
          </w:tcPr>
          <w:p w14:paraId="6D7B94C1" w14:textId="77777777" w:rsidR="001C1A17" w:rsidRPr="00FB1603" w:rsidRDefault="001C1A17" w:rsidP="001C1A17">
            <w:pPr>
              <w:ind w:right="57"/>
              <w:jc w:val="right"/>
              <w:rPr>
                <w:sz w:val="18"/>
                <w:szCs w:val="18"/>
              </w:rPr>
            </w:pPr>
          </w:p>
        </w:tc>
        <w:tc>
          <w:tcPr>
            <w:tcW w:w="1682" w:type="dxa"/>
            <w:tcBorders>
              <w:top w:val="single" w:sz="4" w:space="0" w:color="auto"/>
            </w:tcBorders>
            <w:vAlign w:val="bottom"/>
          </w:tcPr>
          <w:p w14:paraId="39069DF5" w14:textId="77777777" w:rsidR="001C1A17" w:rsidRPr="00FB1603" w:rsidRDefault="001C1A17" w:rsidP="001C1A17">
            <w:pPr>
              <w:ind w:right="57"/>
              <w:jc w:val="right"/>
              <w:rPr>
                <w:sz w:val="18"/>
                <w:szCs w:val="18"/>
              </w:rPr>
            </w:pPr>
          </w:p>
        </w:tc>
        <w:tc>
          <w:tcPr>
            <w:tcW w:w="2859" w:type="dxa"/>
            <w:shd w:val="clear" w:color="auto" w:fill="auto"/>
            <w:vAlign w:val="bottom"/>
          </w:tcPr>
          <w:p w14:paraId="4DE6A4C8" w14:textId="77777777" w:rsidR="001C1A17" w:rsidRPr="00FB1603" w:rsidRDefault="001C1A17" w:rsidP="001C1A17">
            <w:pPr>
              <w:ind w:right="57"/>
              <w:jc w:val="right"/>
              <w:rPr>
                <w:i/>
                <w:sz w:val="18"/>
                <w:szCs w:val="18"/>
              </w:rPr>
            </w:pPr>
          </w:p>
        </w:tc>
      </w:tr>
      <w:tr w:rsidR="00F84E7F" w:rsidRPr="00026719" w14:paraId="2C0F6E04" w14:textId="77777777" w:rsidTr="002108FF">
        <w:tc>
          <w:tcPr>
            <w:tcW w:w="2861" w:type="dxa"/>
            <w:shd w:val="clear" w:color="auto" w:fill="auto"/>
            <w:vAlign w:val="bottom"/>
          </w:tcPr>
          <w:p w14:paraId="194E9F0A" w14:textId="2B7CDD24" w:rsidR="00F84E7F" w:rsidRPr="00FB1603" w:rsidRDefault="00F84E7F" w:rsidP="00F84E7F">
            <w:pPr>
              <w:ind w:left="463" w:hanging="112"/>
              <w:rPr>
                <w:b/>
                <w:sz w:val="18"/>
                <w:szCs w:val="18"/>
              </w:rPr>
            </w:pPr>
            <w:r w:rsidRPr="00FB1603">
              <w:rPr>
                <w:b/>
                <w:sz w:val="18"/>
                <w:szCs w:val="18"/>
              </w:rPr>
              <w:t>Nilai kini kewajiban akhir tahun</w:t>
            </w:r>
          </w:p>
        </w:tc>
        <w:tc>
          <w:tcPr>
            <w:tcW w:w="1682" w:type="dxa"/>
            <w:tcBorders>
              <w:bottom w:val="double" w:sz="4" w:space="0" w:color="auto"/>
            </w:tcBorders>
            <w:shd w:val="clear" w:color="auto" w:fill="auto"/>
            <w:vAlign w:val="bottom"/>
          </w:tcPr>
          <w:p w14:paraId="78380072" w14:textId="07C9A5C0" w:rsidR="00F84E7F" w:rsidRPr="00FB1603" w:rsidRDefault="00FE6377" w:rsidP="002C3F8E">
            <w:pPr>
              <w:ind w:right="57"/>
              <w:jc w:val="right"/>
              <w:rPr>
                <w:b/>
                <w:sz w:val="18"/>
                <w:szCs w:val="18"/>
                <w:lang w:val="id-ID"/>
              </w:rPr>
            </w:pPr>
            <w:r w:rsidRPr="00FB1603">
              <w:rPr>
                <w:b/>
                <w:sz w:val="18"/>
                <w:szCs w:val="18"/>
              </w:rPr>
              <w:t>7</w:t>
            </w:r>
            <w:r w:rsidR="006D32D3" w:rsidRPr="00FB1603">
              <w:rPr>
                <w:b/>
                <w:sz w:val="18"/>
                <w:szCs w:val="18"/>
                <w:lang w:val="id-ID"/>
              </w:rPr>
              <w:t>0</w:t>
            </w:r>
            <w:r w:rsidR="006D32D3" w:rsidRPr="00FB1603">
              <w:rPr>
                <w:b/>
                <w:sz w:val="18"/>
                <w:szCs w:val="18"/>
              </w:rPr>
              <w:t>.</w:t>
            </w:r>
            <w:r w:rsidR="006D32D3" w:rsidRPr="00FB1603">
              <w:rPr>
                <w:b/>
                <w:sz w:val="18"/>
                <w:szCs w:val="18"/>
                <w:lang w:val="id-ID"/>
              </w:rPr>
              <w:t>455</w:t>
            </w:r>
            <w:r w:rsidR="006D32D3" w:rsidRPr="00FB1603">
              <w:rPr>
                <w:b/>
                <w:sz w:val="18"/>
                <w:szCs w:val="18"/>
              </w:rPr>
              <w:t>.</w:t>
            </w:r>
            <w:r w:rsidR="002C3F8E" w:rsidRPr="00FB1603">
              <w:rPr>
                <w:b/>
                <w:sz w:val="18"/>
                <w:szCs w:val="18"/>
              </w:rPr>
              <w:t>9</w:t>
            </w:r>
            <w:r w:rsidR="006D32D3" w:rsidRPr="00FB1603">
              <w:rPr>
                <w:b/>
                <w:sz w:val="18"/>
                <w:szCs w:val="18"/>
                <w:lang w:val="id-ID"/>
              </w:rPr>
              <w:t>69</w:t>
            </w:r>
            <w:r w:rsidR="002C3F8E" w:rsidRPr="00FB1603">
              <w:rPr>
                <w:b/>
                <w:sz w:val="18"/>
                <w:szCs w:val="18"/>
              </w:rPr>
              <w:t>.</w:t>
            </w:r>
            <w:r w:rsidR="006D32D3" w:rsidRPr="00FB1603">
              <w:rPr>
                <w:b/>
                <w:sz w:val="18"/>
                <w:szCs w:val="18"/>
                <w:lang w:val="id-ID"/>
              </w:rPr>
              <w:t>35</w:t>
            </w:r>
            <w:r w:rsidR="002C3F8E" w:rsidRPr="00FB1603">
              <w:rPr>
                <w:b/>
                <w:sz w:val="18"/>
                <w:szCs w:val="18"/>
              </w:rPr>
              <w:t>5</w:t>
            </w:r>
          </w:p>
        </w:tc>
        <w:tc>
          <w:tcPr>
            <w:tcW w:w="113" w:type="dxa"/>
            <w:shd w:val="clear" w:color="auto" w:fill="auto"/>
            <w:vAlign w:val="bottom"/>
          </w:tcPr>
          <w:p w14:paraId="17761000" w14:textId="77777777" w:rsidR="00F84E7F" w:rsidRPr="00FB1603" w:rsidRDefault="00F84E7F" w:rsidP="00F84E7F">
            <w:pPr>
              <w:ind w:right="57"/>
              <w:jc w:val="right"/>
              <w:rPr>
                <w:b/>
                <w:sz w:val="18"/>
                <w:szCs w:val="18"/>
              </w:rPr>
            </w:pPr>
          </w:p>
        </w:tc>
        <w:tc>
          <w:tcPr>
            <w:tcW w:w="1682" w:type="dxa"/>
            <w:tcBorders>
              <w:bottom w:val="double" w:sz="4" w:space="0" w:color="auto"/>
            </w:tcBorders>
            <w:vAlign w:val="bottom"/>
          </w:tcPr>
          <w:p w14:paraId="275089C6" w14:textId="180C2FF5" w:rsidR="00F84E7F" w:rsidRPr="00FB1603" w:rsidRDefault="00F84E7F" w:rsidP="00F84E7F">
            <w:pPr>
              <w:ind w:right="57"/>
              <w:jc w:val="right"/>
              <w:rPr>
                <w:b/>
                <w:sz w:val="18"/>
                <w:szCs w:val="18"/>
              </w:rPr>
            </w:pPr>
            <w:r w:rsidRPr="00FB1603">
              <w:rPr>
                <w:b/>
                <w:bCs w:val="0"/>
                <w:sz w:val="18"/>
                <w:szCs w:val="18"/>
              </w:rPr>
              <w:t>68.670.506.868</w:t>
            </w:r>
          </w:p>
        </w:tc>
        <w:tc>
          <w:tcPr>
            <w:tcW w:w="2859" w:type="dxa"/>
            <w:shd w:val="clear" w:color="auto" w:fill="auto"/>
            <w:vAlign w:val="bottom"/>
          </w:tcPr>
          <w:p w14:paraId="0A410066" w14:textId="77777777" w:rsidR="00F84E7F" w:rsidRPr="00FB1603" w:rsidRDefault="00F84E7F" w:rsidP="00F84E7F">
            <w:pPr>
              <w:ind w:right="57"/>
              <w:jc w:val="right"/>
              <w:rPr>
                <w:b/>
                <w:i/>
                <w:sz w:val="18"/>
                <w:szCs w:val="18"/>
              </w:rPr>
            </w:pPr>
            <w:r w:rsidRPr="00FB1603">
              <w:rPr>
                <w:b/>
                <w:i/>
                <w:sz w:val="18"/>
                <w:szCs w:val="18"/>
              </w:rPr>
              <w:t xml:space="preserve">Present value of obligation </w:t>
            </w:r>
          </w:p>
          <w:p w14:paraId="4E3D987A" w14:textId="050E2228" w:rsidR="00F84E7F" w:rsidRPr="00026719" w:rsidRDefault="00F84E7F" w:rsidP="00F84E7F">
            <w:pPr>
              <w:ind w:right="204"/>
              <w:jc w:val="right"/>
              <w:rPr>
                <w:b/>
                <w:i/>
                <w:sz w:val="18"/>
                <w:szCs w:val="18"/>
              </w:rPr>
            </w:pPr>
            <w:r w:rsidRPr="00FB1603">
              <w:rPr>
                <w:b/>
                <w:i/>
                <w:sz w:val="18"/>
                <w:szCs w:val="18"/>
              </w:rPr>
              <w:t>at ending of year</w:t>
            </w:r>
          </w:p>
        </w:tc>
      </w:tr>
    </w:tbl>
    <w:p w14:paraId="450F7C60" w14:textId="77777777" w:rsidR="00E815FE" w:rsidRDefault="00E815FE" w:rsidP="007D1B9B">
      <w:pPr>
        <w:rPr>
          <w:sz w:val="14"/>
          <w:szCs w:val="18"/>
        </w:rPr>
      </w:pPr>
    </w:p>
    <w:tbl>
      <w:tblPr>
        <w:tblW w:w="9197" w:type="dxa"/>
        <w:tblInd w:w="350" w:type="dxa"/>
        <w:tblLayout w:type="fixed"/>
        <w:tblLook w:val="0000" w:firstRow="0" w:lastRow="0" w:firstColumn="0" w:lastColumn="0" w:noHBand="0" w:noVBand="0"/>
      </w:tblPr>
      <w:tblGrid>
        <w:gridCol w:w="4598"/>
        <w:gridCol w:w="4599"/>
      </w:tblGrid>
      <w:tr w:rsidR="00D65C55" w:rsidRPr="00135F7F" w14:paraId="08D18D72" w14:textId="77777777" w:rsidTr="002108FF">
        <w:tc>
          <w:tcPr>
            <w:tcW w:w="2500" w:type="pct"/>
            <w:tcBorders>
              <w:top w:val="nil"/>
              <w:left w:val="nil"/>
              <w:bottom w:val="nil"/>
              <w:right w:val="nil"/>
            </w:tcBorders>
          </w:tcPr>
          <w:p w14:paraId="47B809A9" w14:textId="77777777" w:rsidR="00D65C55" w:rsidRPr="00135F7F" w:rsidRDefault="00D65C55" w:rsidP="0001731C">
            <w:pPr>
              <w:ind w:left="208" w:right="-57"/>
              <w:jc w:val="both"/>
              <w:rPr>
                <w:sz w:val="18"/>
                <w:szCs w:val="18"/>
              </w:rPr>
            </w:pPr>
            <w:r w:rsidRPr="00135F7F">
              <w:rPr>
                <w:bCs w:val="0"/>
                <w:sz w:val="18"/>
                <w:szCs w:val="18"/>
              </w:rPr>
              <w:t>Mutasi liabilitas imbalan pascakerja yang diakui adalah sebagai berikut:</w:t>
            </w:r>
          </w:p>
        </w:tc>
        <w:tc>
          <w:tcPr>
            <w:tcW w:w="2500" w:type="pct"/>
            <w:tcBorders>
              <w:top w:val="nil"/>
              <w:left w:val="nil"/>
              <w:bottom w:val="nil"/>
              <w:right w:val="nil"/>
            </w:tcBorders>
          </w:tcPr>
          <w:p w14:paraId="7A577933" w14:textId="77777777" w:rsidR="00D65C55" w:rsidRPr="00135F7F" w:rsidRDefault="00D65C55" w:rsidP="00D65C55">
            <w:pPr>
              <w:ind w:left="284" w:right="-109"/>
              <w:jc w:val="both"/>
              <w:rPr>
                <w:i/>
                <w:sz w:val="18"/>
                <w:szCs w:val="18"/>
              </w:rPr>
            </w:pPr>
            <w:r w:rsidRPr="00135F7F">
              <w:rPr>
                <w:bCs w:val="0"/>
                <w:i/>
                <w:sz w:val="18"/>
                <w:szCs w:val="18"/>
              </w:rPr>
              <w:t>The movements in the employee benefits liability are as follows:</w:t>
            </w:r>
          </w:p>
        </w:tc>
      </w:tr>
    </w:tbl>
    <w:p w14:paraId="7E23366E" w14:textId="77777777" w:rsidR="00E815FE" w:rsidRPr="00135F7F" w:rsidRDefault="00E815FE" w:rsidP="007D1B9B">
      <w:pPr>
        <w:rPr>
          <w:sz w:val="14"/>
          <w:szCs w:val="18"/>
        </w:rPr>
      </w:pPr>
    </w:p>
    <w:tbl>
      <w:tblPr>
        <w:tblW w:w="9197" w:type="dxa"/>
        <w:tblInd w:w="350" w:type="dxa"/>
        <w:tblCellMar>
          <w:left w:w="0" w:type="dxa"/>
          <w:right w:w="0" w:type="dxa"/>
        </w:tblCellMar>
        <w:tblLook w:val="04A0" w:firstRow="1" w:lastRow="0" w:firstColumn="1" w:lastColumn="0" w:noHBand="0" w:noVBand="1"/>
      </w:tblPr>
      <w:tblGrid>
        <w:gridCol w:w="2859"/>
        <w:gridCol w:w="1681"/>
        <w:gridCol w:w="112"/>
        <w:gridCol w:w="1681"/>
        <w:gridCol w:w="2864"/>
      </w:tblGrid>
      <w:tr w:rsidR="007E3467" w:rsidRPr="00135F7F" w14:paraId="587565BB" w14:textId="77777777" w:rsidTr="002108FF">
        <w:tc>
          <w:tcPr>
            <w:tcW w:w="2859" w:type="dxa"/>
            <w:shd w:val="clear" w:color="auto" w:fill="auto"/>
            <w:vAlign w:val="bottom"/>
          </w:tcPr>
          <w:p w14:paraId="4887894B" w14:textId="77777777" w:rsidR="007E3467" w:rsidRPr="00135F7F" w:rsidRDefault="007E3467" w:rsidP="007E3467">
            <w:pPr>
              <w:ind w:left="317"/>
              <w:rPr>
                <w:sz w:val="18"/>
                <w:szCs w:val="18"/>
              </w:rPr>
            </w:pPr>
          </w:p>
        </w:tc>
        <w:tc>
          <w:tcPr>
            <w:tcW w:w="1681" w:type="dxa"/>
            <w:tcBorders>
              <w:bottom w:val="single" w:sz="4" w:space="0" w:color="auto"/>
            </w:tcBorders>
            <w:shd w:val="clear" w:color="auto" w:fill="auto"/>
          </w:tcPr>
          <w:p w14:paraId="287D2536" w14:textId="77777777" w:rsidR="007E3467" w:rsidRDefault="007E3467" w:rsidP="007E3467">
            <w:pPr>
              <w:jc w:val="center"/>
              <w:rPr>
                <w:b/>
                <w:sz w:val="18"/>
                <w:szCs w:val="18"/>
              </w:rPr>
            </w:pPr>
            <w:r>
              <w:rPr>
                <w:b/>
                <w:sz w:val="18"/>
                <w:szCs w:val="18"/>
              </w:rPr>
              <w:t>31 Maret/</w:t>
            </w:r>
          </w:p>
          <w:p w14:paraId="12AAEC59" w14:textId="0713AED8" w:rsidR="007E3467" w:rsidRPr="00135F7F" w:rsidRDefault="007E3467" w:rsidP="00141AFD">
            <w:pPr>
              <w:jc w:val="center"/>
              <w:rPr>
                <w:b/>
                <w:sz w:val="18"/>
                <w:szCs w:val="18"/>
              </w:rPr>
            </w:pPr>
            <w:r>
              <w:rPr>
                <w:b/>
                <w:sz w:val="18"/>
                <w:szCs w:val="18"/>
              </w:rPr>
              <w:t>March 31</w:t>
            </w:r>
            <w:r w:rsidR="00305CA0">
              <w:rPr>
                <w:b/>
                <w:sz w:val="18"/>
                <w:szCs w:val="18"/>
              </w:rPr>
              <w:t>.</w:t>
            </w:r>
            <w:r>
              <w:rPr>
                <w:b/>
                <w:sz w:val="18"/>
                <w:szCs w:val="18"/>
              </w:rPr>
              <w:t xml:space="preserve"> 2020</w:t>
            </w:r>
          </w:p>
        </w:tc>
        <w:tc>
          <w:tcPr>
            <w:tcW w:w="112" w:type="dxa"/>
            <w:shd w:val="clear" w:color="auto" w:fill="auto"/>
          </w:tcPr>
          <w:p w14:paraId="4239CD9A" w14:textId="77777777" w:rsidR="007E3467" w:rsidRPr="00135F7F" w:rsidRDefault="007E3467" w:rsidP="007E3467">
            <w:pPr>
              <w:jc w:val="center"/>
              <w:rPr>
                <w:b/>
                <w:sz w:val="18"/>
                <w:szCs w:val="18"/>
              </w:rPr>
            </w:pPr>
          </w:p>
        </w:tc>
        <w:tc>
          <w:tcPr>
            <w:tcW w:w="1681" w:type="dxa"/>
            <w:tcBorders>
              <w:bottom w:val="single" w:sz="4" w:space="0" w:color="auto"/>
            </w:tcBorders>
          </w:tcPr>
          <w:p w14:paraId="2D8E4E79" w14:textId="77777777" w:rsidR="007E3467" w:rsidRDefault="007E3467" w:rsidP="007E3467">
            <w:pPr>
              <w:jc w:val="center"/>
              <w:rPr>
                <w:b/>
                <w:sz w:val="18"/>
                <w:szCs w:val="18"/>
              </w:rPr>
            </w:pPr>
            <w:r>
              <w:rPr>
                <w:b/>
                <w:sz w:val="18"/>
                <w:szCs w:val="18"/>
              </w:rPr>
              <w:t>31 Desember/</w:t>
            </w:r>
          </w:p>
          <w:p w14:paraId="3E915A6C" w14:textId="14FCA9B3" w:rsidR="007E3467" w:rsidRPr="00135F7F" w:rsidRDefault="007E3467" w:rsidP="00141AFD">
            <w:pPr>
              <w:jc w:val="center"/>
              <w:rPr>
                <w:b/>
                <w:sz w:val="18"/>
                <w:szCs w:val="18"/>
              </w:rPr>
            </w:pPr>
            <w:r>
              <w:rPr>
                <w:b/>
                <w:sz w:val="18"/>
                <w:szCs w:val="18"/>
              </w:rPr>
              <w:t>December 31</w:t>
            </w:r>
            <w:r w:rsidR="00305CA0">
              <w:rPr>
                <w:b/>
                <w:sz w:val="18"/>
                <w:szCs w:val="18"/>
              </w:rPr>
              <w:t>.</w:t>
            </w:r>
            <w:r>
              <w:rPr>
                <w:b/>
                <w:sz w:val="18"/>
                <w:szCs w:val="18"/>
              </w:rPr>
              <w:t xml:space="preserve"> </w:t>
            </w:r>
            <w:r w:rsidRPr="0013526B">
              <w:rPr>
                <w:b/>
                <w:sz w:val="18"/>
                <w:szCs w:val="18"/>
              </w:rPr>
              <w:t>201</w:t>
            </w:r>
            <w:r>
              <w:rPr>
                <w:b/>
                <w:sz w:val="18"/>
                <w:szCs w:val="18"/>
              </w:rPr>
              <w:t>9</w:t>
            </w:r>
          </w:p>
        </w:tc>
        <w:tc>
          <w:tcPr>
            <w:tcW w:w="2864" w:type="dxa"/>
            <w:shd w:val="clear" w:color="auto" w:fill="auto"/>
            <w:vAlign w:val="bottom"/>
          </w:tcPr>
          <w:p w14:paraId="6946B407" w14:textId="77777777" w:rsidR="007E3467" w:rsidRPr="00135F7F" w:rsidRDefault="007E3467" w:rsidP="007E3467">
            <w:pPr>
              <w:jc w:val="right"/>
              <w:rPr>
                <w:sz w:val="18"/>
                <w:szCs w:val="18"/>
              </w:rPr>
            </w:pPr>
          </w:p>
        </w:tc>
      </w:tr>
      <w:tr w:rsidR="00D65C55" w:rsidRPr="00471B9C" w14:paraId="5536E431" w14:textId="77777777" w:rsidTr="002108FF">
        <w:tc>
          <w:tcPr>
            <w:tcW w:w="2859" w:type="dxa"/>
            <w:shd w:val="clear" w:color="auto" w:fill="auto"/>
            <w:vAlign w:val="bottom"/>
          </w:tcPr>
          <w:p w14:paraId="2ACC9412" w14:textId="77777777" w:rsidR="00D65C55" w:rsidRPr="00471B9C" w:rsidRDefault="00D65C55" w:rsidP="00103568">
            <w:pPr>
              <w:rPr>
                <w:sz w:val="6"/>
                <w:szCs w:val="6"/>
              </w:rPr>
            </w:pPr>
          </w:p>
        </w:tc>
        <w:tc>
          <w:tcPr>
            <w:tcW w:w="1681" w:type="dxa"/>
            <w:tcBorders>
              <w:top w:val="single" w:sz="4" w:space="0" w:color="auto"/>
            </w:tcBorders>
            <w:shd w:val="clear" w:color="auto" w:fill="auto"/>
            <w:vAlign w:val="bottom"/>
          </w:tcPr>
          <w:p w14:paraId="055947EA" w14:textId="77777777" w:rsidR="00D65C55" w:rsidRPr="00471B9C" w:rsidRDefault="00D65C55" w:rsidP="00103568">
            <w:pPr>
              <w:jc w:val="right"/>
              <w:rPr>
                <w:sz w:val="6"/>
                <w:szCs w:val="6"/>
              </w:rPr>
            </w:pPr>
          </w:p>
        </w:tc>
        <w:tc>
          <w:tcPr>
            <w:tcW w:w="112" w:type="dxa"/>
            <w:shd w:val="clear" w:color="auto" w:fill="auto"/>
            <w:vAlign w:val="bottom"/>
          </w:tcPr>
          <w:p w14:paraId="4D289986" w14:textId="77777777" w:rsidR="00D65C55" w:rsidRPr="00471B9C" w:rsidRDefault="00D65C55" w:rsidP="00103568">
            <w:pPr>
              <w:jc w:val="right"/>
              <w:rPr>
                <w:sz w:val="6"/>
                <w:szCs w:val="6"/>
              </w:rPr>
            </w:pPr>
          </w:p>
        </w:tc>
        <w:tc>
          <w:tcPr>
            <w:tcW w:w="1681" w:type="dxa"/>
            <w:tcBorders>
              <w:top w:val="single" w:sz="4" w:space="0" w:color="auto"/>
            </w:tcBorders>
            <w:vAlign w:val="bottom"/>
          </w:tcPr>
          <w:p w14:paraId="29968864" w14:textId="77777777" w:rsidR="00D65C55" w:rsidRPr="00471B9C" w:rsidRDefault="00D65C55" w:rsidP="00103568">
            <w:pPr>
              <w:jc w:val="right"/>
              <w:rPr>
                <w:sz w:val="6"/>
                <w:szCs w:val="6"/>
              </w:rPr>
            </w:pPr>
          </w:p>
        </w:tc>
        <w:tc>
          <w:tcPr>
            <w:tcW w:w="2864" w:type="dxa"/>
            <w:shd w:val="clear" w:color="auto" w:fill="auto"/>
            <w:vAlign w:val="bottom"/>
          </w:tcPr>
          <w:p w14:paraId="0EFB2E96" w14:textId="77777777" w:rsidR="00D65C55" w:rsidRPr="00471B9C" w:rsidRDefault="00D65C55" w:rsidP="00103568">
            <w:pPr>
              <w:jc w:val="right"/>
              <w:rPr>
                <w:sz w:val="6"/>
                <w:szCs w:val="6"/>
              </w:rPr>
            </w:pPr>
          </w:p>
        </w:tc>
      </w:tr>
      <w:tr w:rsidR="00F84E7F" w:rsidRPr="00135F7F" w14:paraId="06C855B1" w14:textId="77777777" w:rsidTr="002B637F">
        <w:tc>
          <w:tcPr>
            <w:tcW w:w="2859" w:type="dxa"/>
            <w:shd w:val="clear" w:color="auto" w:fill="auto"/>
            <w:vAlign w:val="bottom"/>
          </w:tcPr>
          <w:p w14:paraId="35DD1261" w14:textId="69A720E3" w:rsidR="00F84E7F" w:rsidRPr="00135F7F" w:rsidRDefault="00F84E7F" w:rsidP="00F84E7F">
            <w:pPr>
              <w:ind w:left="309"/>
              <w:rPr>
                <w:sz w:val="18"/>
                <w:szCs w:val="18"/>
              </w:rPr>
            </w:pPr>
            <w:r w:rsidRPr="00135F7F">
              <w:rPr>
                <w:sz w:val="18"/>
                <w:szCs w:val="18"/>
              </w:rPr>
              <w:t>Saldo awal</w:t>
            </w:r>
          </w:p>
        </w:tc>
        <w:tc>
          <w:tcPr>
            <w:tcW w:w="1681" w:type="dxa"/>
            <w:shd w:val="clear" w:color="auto" w:fill="auto"/>
            <w:vAlign w:val="bottom"/>
          </w:tcPr>
          <w:p w14:paraId="7D16E043" w14:textId="2CA98C66" w:rsidR="00F84E7F" w:rsidRPr="008746F7" w:rsidRDefault="008746F7" w:rsidP="00F84E7F">
            <w:pPr>
              <w:ind w:right="57"/>
              <w:jc w:val="right"/>
              <w:rPr>
                <w:sz w:val="18"/>
                <w:szCs w:val="18"/>
              </w:rPr>
            </w:pPr>
            <w:r w:rsidRPr="008746F7">
              <w:rPr>
                <w:sz w:val="18"/>
                <w:szCs w:val="18"/>
              </w:rPr>
              <w:t>68.670.506.868</w:t>
            </w:r>
          </w:p>
        </w:tc>
        <w:tc>
          <w:tcPr>
            <w:tcW w:w="112" w:type="dxa"/>
            <w:shd w:val="clear" w:color="auto" w:fill="auto"/>
            <w:vAlign w:val="bottom"/>
          </w:tcPr>
          <w:p w14:paraId="71A6600D" w14:textId="77777777" w:rsidR="00F84E7F" w:rsidRPr="007E3467" w:rsidRDefault="00F84E7F" w:rsidP="00F84E7F">
            <w:pPr>
              <w:ind w:right="57"/>
              <w:jc w:val="right"/>
              <w:rPr>
                <w:sz w:val="18"/>
                <w:szCs w:val="18"/>
                <w:highlight w:val="green"/>
              </w:rPr>
            </w:pPr>
          </w:p>
        </w:tc>
        <w:tc>
          <w:tcPr>
            <w:tcW w:w="1681" w:type="dxa"/>
            <w:vAlign w:val="bottom"/>
          </w:tcPr>
          <w:p w14:paraId="16BFBA5A" w14:textId="6F6A4F2C" w:rsidR="00F84E7F" w:rsidRPr="008746F7" w:rsidRDefault="00F84E7F" w:rsidP="00F84E7F">
            <w:pPr>
              <w:ind w:right="57"/>
              <w:jc w:val="right"/>
              <w:rPr>
                <w:sz w:val="18"/>
                <w:szCs w:val="18"/>
              </w:rPr>
            </w:pPr>
            <w:r w:rsidRPr="008746F7">
              <w:rPr>
                <w:sz w:val="18"/>
                <w:szCs w:val="18"/>
              </w:rPr>
              <w:t>63.461.098.798</w:t>
            </w:r>
          </w:p>
        </w:tc>
        <w:tc>
          <w:tcPr>
            <w:tcW w:w="2864" w:type="dxa"/>
            <w:shd w:val="clear" w:color="auto" w:fill="auto"/>
          </w:tcPr>
          <w:p w14:paraId="545CCA43" w14:textId="2A7DA873" w:rsidR="00F84E7F" w:rsidRPr="00135F7F" w:rsidRDefault="00F84E7F" w:rsidP="00F84E7F">
            <w:pPr>
              <w:ind w:right="57"/>
              <w:jc w:val="right"/>
              <w:rPr>
                <w:i/>
                <w:sz w:val="18"/>
                <w:szCs w:val="18"/>
              </w:rPr>
            </w:pPr>
            <w:r w:rsidRPr="00135F7F">
              <w:rPr>
                <w:i/>
                <w:sz w:val="18"/>
                <w:szCs w:val="18"/>
              </w:rPr>
              <w:t>Beginning balance</w:t>
            </w:r>
          </w:p>
        </w:tc>
      </w:tr>
      <w:tr w:rsidR="00F84E7F" w:rsidRPr="00135F7F" w14:paraId="5FFF4476" w14:textId="77777777" w:rsidTr="002B637F">
        <w:tc>
          <w:tcPr>
            <w:tcW w:w="2859" w:type="dxa"/>
            <w:shd w:val="clear" w:color="auto" w:fill="auto"/>
            <w:vAlign w:val="bottom"/>
          </w:tcPr>
          <w:p w14:paraId="4E8C299D" w14:textId="28B3D885" w:rsidR="00F84E7F" w:rsidRPr="00135F7F" w:rsidRDefault="00F84E7F" w:rsidP="00F84E7F">
            <w:pPr>
              <w:ind w:left="309"/>
              <w:rPr>
                <w:sz w:val="18"/>
                <w:szCs w:val="18"/>
              </w:rPr>
            </w:pPr>
            <w:r w:rsidRPr="00135F7F">
              <w:rPr>
                <w:sz w:val="18"/>
                <w:szCs w:val="18"/>
              </w:rPr>
              <w:t>Beban tahun berjalan</w:t>
            </w:r>
          </w:p>
        </w:tc>
        <w:tc>
          <w:tcPr>
            <w:tcW w:w="1681" w:type="dxa"/>
            <w:shd w:val="clear" w:color="auto" w:fill="auto"/>
            <w:vAlign w:val="bottom"/>
          </w:tcPr>
          <w:p w14:paraId="72253C5B" w14:textId="2727F417" w:rsidR="008746F7" w:rsidRPr="00FB1603" w:rsidRDefault="002C3F8E" w:rsidP="008746F7">
            <w:pPr>
              <w:ind w:right="57"/>
              <w:jc w:val="right"/>
              <w:rPr>
                <w:sz w:val="18"/>
                <w:szCs w:val="18"/>
              </w:rPr>
            </w:pPr>
            <w:r w:rsidRPr="00FB1603">
              <w:rPr>
                <w:sz w:val="18"/>
                <w:szCs w:val="18"/>
              </w:rPr>
              <w:t>2.346.510.839</w:t>
            </w:r>
          </w:p>
        </w:tc>
        <w:tc>
          <w:tcPr>
            <w:tcW w:w="112" w:type="dxa"/>
            <w:shd w:val="clear" w:color="auto" w:fill="auto"/>
            <w:vAlign w:val="bottom"/>
          </w:tcPr>
          <w:p w14:paraId="19896479" w14:textId="77777777" w:rsidR="00F84E7F" w:rsidRPr="007E3467" w:rsidRDefault="00F84E7F" w:rsidP="00F84E7F">
            <w:pPr>
              <w:ind w:right="57"/>
              <w:jc w:val="right"/>
              <w:rPr>
                <w:sz w:val="18"/>
                <w:szCs w:val="18"/>
                <w:highlight w:val="green"/>
              </w:rPr>
            </w:pPr>
          </w:p>
        </w:tc>
        <w:tc>
          <w:tcPr>
            <w:tcW w:w="1681" w:type="dxa"/>
            <w:vAlign w:val="bottom"/>
          </w:tcPr>
          <w:p w14:paraId="46E041B6" w14:textId="4134261E" w:rsidR="00F84E7F" w:rsidRPr="008746F7" w:rsidRDefault="00F84E7F" w:rsidP="00F84E7F">
            <w:pPr>
              <w:ind w:right="57"/>
              <w:jc w:val="right"/>
              <w:rPr>
                <w:sz w:val="18"/>
                <w:szCs w:val="18"/>
              </w:rPr>
            </w:pPr>
            <w:r w:rsidRPr="008746F7">
              <w:rPr>
                <w:sz w:val="18"/>
                <w:szCs w:val="18"/>
              </w:rPr>
              <w:t>21.786.512.261</w:t>
            </w:r>
          </w:p>
        </w:tc>
        <w:tc>
          <w:tcPr>
            <w:tcW w:w="2864" w:type="dxa"/>
            <w:tcBorders>
              <w:left w:val="nil"/>
            </w:tcBorders>
            <w:shd w:val="clear" w:color="auto" w:fill="auto"/>
          </w:tcPr>
          <w:p w14:paraId="205B0C9A" w14:textId="4E0DF8E2" w:rsidR="00F84E7F" w:rsidRPr="00135F7F" w:rsidRDefault="00F84E7F" w:rsidP="00F84E7F">
            <w:pPr>
              <w:ind w:right="57"/>
              <w:jc w:val="right"/>
              <w:rPr>
                <w:i/>
                <w:sz w:val="18"/>
                <w:szCs w:val="18"/>
              </w:rPr>
            </w:pPr>
            <w:r w:rsidRPr="00135F7F">
              <w:rPr>
                <w:i/>
                <w:sz w:val="18"/>
                <w:szCs w:val="18"/>
              </w:rPr>
              <w:t>Provision during the year</w:t>
            </w:r>
          </w:p>
        </w:tc>
      </w:tr>
      <w:tr w:rsidR="00F84E7F" w:rsidRPr="00135F7F" w14:paraId="45CD4C5B" w14:textId="77777777" w:rsidTr="002108FF">
        <w:tc>
          <w:tcPr>
            <w:tcW w:w="2859" w:type="dxa"/>
            <w:shd w:val="clear" w:color="auto" w:fill="auto"/>
            <w:vAlign w:val="bottom"/>
          </w:tcPr>
          <w:p w14:paraId="5EF25EDF" w14:textId="49DC0DCA" w:rsidR="00F84E7F" w:rsidRPr="00135F7F" w:rsidRDefault="00F84E7F" w:rsidP="00F84E7F">
            <w:pPr>
              <w:ind w:left="309"/>
              <w:rPr>
                <w:sz w:val="18"/>
                <w:szCs w:val="18"/>
              </w:rPr>
            </w:pPr>
            <w:r w:rsidRPr="00135F7F">
              <w:rPr>
                <w:sz w:val="18"/>
                <w:szCs w:val="18"/>
              </w:rPr>
              <w:t xml:space="preserve">Pembayaran </w:t>
            </w:r>
            <w:r>
              <w:rPr>
                <w:sz w:val="18"/>
                <w:szCs w:val="18"/>
              </w:rPr>
              <w:t>i</w:t>
            </w:r>
            <w:r w:rsidRPr="00135F7F">
              <w:rPr>
                <w:sz w:val="18"/>
                <w:szCs w:val="18"/>
              </w:rPr>
              <w:t xml:space="preserve">mbalan </w:t>
            </w:r>
            <w:r>
              <w:rPr>
                <w:sz w:val="18"/>
                <w:szCs w:val="18"/>
              </w:rPr>
              <w:t>k</w:t>
            </w:r>
            <w:r w:rsidRPr="00135F7F">
              <w:rPr>
                <w:sz w:val="18"/>
                <w:szCs w:val="18"/>
              </w:rPr>
              <w:t xml:space="preserve">erja </w:t>
            </w:r>
          </w:p>
        </w:tc>
        <w:tc>
          <w:tcPr>
            <w:tcW w:w="1681" w:type="dxa"/>
            <w:shd w:val="clear" w:color="auto" w:fill="auto"/>
            <w:vAlign w:val="bottom"/>
          </w:tcPr>
          <w:p w14:paraId="132E8275" w14:textId="38D7DA45" w:rsidR="00F84E7F" w:rsidRPr="00FB1603" w:rsidRDefault="008746F7" w:rsidP="00F84E7F">
            <w:pPr>
              <w:ind w:right="57"/>
              <w:jc w:val="right"/>
              <w:rPr>
                <w:sz w:val="18"/>
                <w:szCs w:val="18"/>
              </w:rPr>
            </w:pPr>
            <w:r w:rsidRPr="00FB1603">
              <w:rPr>
                <w:sz w:val="18"/>
                <w:szCs w:val="18"/>
              </w:rPr>
              <w:t>(796.085.898)</w:t>
            </w:r>
          </w:p>
        </w:tc>
        <w:tc>
          <w:tcPr>
            <w:tcW w:w="112" w:type="dxa"/>
            <w:shd w:val="clear" w:color="auto" w:fill="auto"/>
            <w:vAlign w:val="bottom"/>
          </w:tcPr>
          <w:p w14:paraId="7A4F7620" w14:textId="77777777" w:rsidR="00F84E7F" w:rsidRPr="007E3467" w:rsidRDefault="00F84E7F" w:rsidP="00F84E7F">
            <w:pPr>
              <w:ind w:right="57"/>
              <w:jc w:val="right"/>
              <w:rPr>
                <w:sz w:val="18"/>
                <w:szCs w:val="18"/>
                <w:highlight w:val="green"/>
              </w:rPr>
            </w:pPr>
          </w:p>
        </w:tc>
        <w:tc>
          <w:tcPr>
            <w:tcW w:w="1681" w:type="dxa"/>
            <w:vAlign w:val="bottom"/>
          </w:tcPr>
          <w:p w14:paraId="5573AF99" w14:textId="115A7D41" w:rsidR="00F84E7F" w:rsidRPr="008746F7" w:rsidRDefault="00F84E7F" w:rsidP="00F84E7F">
            <w:pPr>
              <w:ind w:right="57"/>
              <w:jc w:val="right"/>
              <w:rPr>
                <w:sz w:val="18"/>
                <w:szCs w:val="18"/>
              </w:rPr>
            </w:pPr>
            <w:r w:rsidRPr="008746F7">
              <w:rPr>
                <w:sz w:val="18"/>
                <w:szCs w:val="18"/>
              </w:rPr>
              <w:t>(3.671.587.264)</w:t>
            </w:r>
          </w:p>
        </w:tc>
        <w:tc>
          <w:tcPr>
            <w:tcW w:w="2864" w:type="dxa"/>
            <w:tcBorders>
              <w:left w:val="nil"/>
            </w:tcBorders>
            <w:shd w:val="clear" w:color="auto" w:fill="auto"/>
            <w:vAlign w:val="bottom"/>
          </w:tcPr>
          <w:p w14:paraId="566041E8" w14:textId="388AD0F7" w:rsidR="00F84E7F" w:rsidRPr="00135F7F" w:rsidRDefault="00F84E7F" w:rsidP="00F84E7F">
            <w:pPr>
              <w:ind w:right="57"/>
              <w:jc w:val="right"/>
              <w:rPr>
                <w:i/>
                <w:sz w:val="18"/>
                <w:szCs w:val="18"/>
              </w:rPr>
            </w:pPr>
            <w:r w:rsidRPr="00135F7F">
              <w:rPr>
                <w:i/>
                <w:sz w:val="18"/>
                <w:szCs w:val="18"/>
              </w:rPr>
              <w:t xml:space="preserve">Employee benefits </w:t>
            </w:r>
            <w:r>
              <w:rPr>
                <w:i/>
                <w:sz w:val="18"/>
                <w:szCs w:val="18"/>
              </w:rPr>
              <w:t>p</w:t>
            </w:r>
            <w:r w:rsidRPr="00135F7F">
              <w:rPr>
                <w:i/>
                <w:sz w:val="18"/>
                <w:szCs w:val="18"/>
              </w:rPr>
              <w:t xml:space="preserve">aid </w:t>
            </w:r>
            <w:r>
              <w:rPr>
                <w:i/>
                <w:sz w:val="18"/>
                <w:szCs w:val="18"/>
              </w:rPr>
              <w:t>g</w:t>
            </w:r>
            <w:r w:rsidRPr="00135F7F">
              <w:rPr>
                <w:i/>
                <w:sz w:val="18"/>
                <w:szCs w:val="18"/>
              </w:rPr>
              <w:t>ain of</w:t>
            </w:r>
          </w:p>
        </w:tc>
      </w:tr>
      <w:tr w:rsidR="00FE6377" w:rsidRPr="00135F7F" w14:paraId="2E395BE5" w14:textId="77777777" w:rsidTr="002108FF">
        <w:tc>
          <w:tcPr>
            <w:tcW w:w="2859" w:type="dxa"/>
            <w:shd w:val="clear" w:color="auto" w:fill="auto"/>
            <w:vAlign w:val="bottom"/>
          </w:tcPr>
          <w:p w14:paraId="218CC831" w14:textId="77777777" w:rsidR="00FE6377" w:rsidRDefault="00FE6377" w:rsidP="00FE6377">
            <w:pPr>
              <w:ind w:left="309"/>
              <w:rPr>
                <w:sz w:val="18"/>
                <w:szCs w:val="18"/>
              </w:rPr>
            </w:pPr>
            <w:r>
              <w:rPr>
                <w:sz w:val="18"/>
                <w:szCs w:val="18"/>
              </w:rPr>
              <w:t>K</w:t>
            </w:r>
            <w:r w:rsidRPr="00135F7F">
              <w:rPr>
                <w:sz w:val="18"/>
                <w:szCs w:val="18"/>
              </w:rPr>
              <w:t>euntungan aktuarial diakui pada</w:t>
            </w:r>
          </w:p>
          <w:p w14:paraId="6FF70830" w14:textId="2ECA4A2F" w:rsidR="00FE6377" w:rsidRPr="00135F7F" w:rsidRDefault="00FE6377" w:rsidP="00FE6377">
            <w:pPr>
              <w:ind w:left="463"/>
              <w:rPr>
                <w:sz w:val="18"/>
                <w:szCs w:val="18"/>
              </w:rPr>
            </w:pPr>
            <w:r w:rsidRPr="00135F7F">
              <w:rPr>
                <w:sz w:val="18"/>
                <w:szCs w:val="18"/>
              </w:rPr>
              <w:t>penghasilan komprehensif lain</w:t>
            </w:r>
          </w:p>
        </w:tc>
        <w:tc>
          <w:tcPr>
            <w:tcW w:w="1681" w:type="dxa"/>
            <w:shd w:val="clear" w:color="auto" w:fill="auto"/>
            <w:vAlign w:val="bottom"/>
          </w:tcPr>
          <w:p w14:paraId="7301FE10" w14:textId="497DB80D" w:rsidR="00FE6377" w:rsidRPr="00FB1603" w:rsidRDefault="00DF18A1" w:rsidP="00FE6377">
            <w:pPr>
              <w:ind w:right="57"/>
              <w:jc w:val="right"/>
              <w:rPr>
                <w:sz w:val="18"/>
                <w:szCs w:val="18"/>
                <w:lang w:val="id-ID"/>
              </w:rPr>
            </w:pPr>
            <w:r w:rsidRPr="00FB1603">
              <w:rPr>
                <w:sz w:val="18"/>
                <w:szCs w:val="18"/>
                <w:lang w:val="id-ID"/>
              </w:rPr>
              <w:t>23</w:t>
            </w:r>
            <w:r w:rsidRPr="00FB1603">
              <w:rPr>
                <w:sz w:val="18"/>
                <w:szCs w:val="18"/>
              </w:rPr>
              <w:t>5.</w:t>
            </w:r>
            <w:r w:rsidR="00FE6377" w:rsidRPr="00FB1603">
              <w:rPr>
                <w:sz w:val="18"/>
                <w:szCs w:val="18"/>
              </w:rPr>
              <w:t>0</w:t>
            </w:r>
            <w:r w:rsidRPr="00FB1603">
              <w:rPr>
                <w:sz w:val="18"/>
                <w:szCs w:val="18"/>
                <w:lang w:val="id-ID"/>
              </w:rPr>
              <w:t>3</w:t>
            </w:r>
            <w:r w:rsidRPr="00FB1603">
              <w:rPr>
                <w:sz w:val="18"/>
                <w:szCs w:val="18"/>
              </w:rPr>
              <w:t>7.</w:t>
            </w:r>
            <w:r w:rsidRPr="00FB1603">
              <w:rPr>
                <w:sz w:val="18"/>
                <w:szCs w:val="18"/>
                <w:lang w:val="id-ID"/>
              </w:rPr>
              <w:t>546</w:t>
            </w:r>
          </w:p>
        </w:tc>
        <w:tc>
          <w:tcPr>
            <w:tcW w:w="112" w:type="dxa"/>
            <w:shd w:val="clear" w:color="auto" w:fill="auto"/>
            <w:vAlign w:val="bottom"/>
          </w:tcPr>
          <w:p w14:paraId="2E7CA9EB" w14:textId="77777777" w:rsidR="00FE6377" w:rsidRPr="007E3467" w:rsidRDefault="00FE6377" w:rsidP="00FE6377">
            <w:pPr>
              <w:ind w:right="57"/>
              <w:jc w:val="right"/>
              <w:rPr>
                <w:sz w:val="18"/>
                <w:szCs w:val="18"/>
                <w:highlight w:val="green"/>
              </w:rPr>
            </w:pPr>
          </w:p>
        </w:tc>
        <w:tc>
          <w:tcPr>
            <w:tcW w:w="1681" w:type="dxa"/>
            <w:tcBorders>
              <w:bottom w:val="single" w:sz="4" w:space="0" w:color="auto"/>
            </w:tcBorders>
            <w:vAlign w:val="bottom"/>
          </w:tcPr>
          <w:p w14:paraId="7F8F6AD1" w14:textId="7B12B657" w:rsidR="00FE6377" w:rsidRPr="008746F7" w:rsidRDefault="00FE6377" w:rsidP="00FE6377">
            <w:pPr>
              <w:ind w:right="57"/>
              <w:jc w:val="right"/>
              <w:rPr>
                <w:sz w:val="18"/>
                <w:szCs w:val="18"/>
              </w:rPr>
            </w:pPr>
            <w:r w:rsidRPr="008746F7">
              <w:rPr>
                <w:sz w:val="18"/>
                <w:szCs w:val="18"/>
              </w:rPr>
              <w:t>(12.905.516.927)</w:t>
            </w:r>
          </w:p>
        </w:tc>
        <w:tc>
          <w:tcPr>
            <w:tcW w:w="2864" w:type="dxa"/>
            <w:tcBorders>
              <w:left w:val="nil"/>
            </w:tcBorders>
            <w:shd w:val="clear" w:color="auto" w:fill="auto"/>
            <w:vAlign w:val="bottom"/>
          </w:tcPr>
          <w:p w14:paraId="20263FD9" w14:textId="77777777" w:rsidR="00FE6377" w:rsidRDefault="00FE6377" w:rsidP="00FE6377">
            <w:pPr>
              <w:ind w:right="57"/>
              <w:jc w:val="right"/>
              <w:rPr>
                <w:i/>
                <w:sz w:val="18"/>
                <w:szCs w:val="18"/>
              </w:rPr>
            </w:pPr>
            <w:r>
              <w:rPr>
                <w:i/>
                <w:sz w:val="18"/>
                <w:szCs w:val="18"/>
              </w:rPr>
              <w:t>A</w:t>
            </w:r>
            <w:r w:rsidRPr="00135F7F">
              <w:rPr>
                <w:i/>
                <w:sz w:val="18"/>
                <w:szCs w:val="18"/>
              </w:rPr>
              <w:t xml:space="preserve">ctuarial recognized </w:t>
            </w:r>
            <w:r>
              <w:rPr>
                <w:i/>
                <w:sz w:val="18"/>
                <w:szCs w:val="18"/>
              </w:rPr>
              <w:t xml:space="preserve"> </w:t>
            </w:r>
            <w:r w:rsidRPr="00135F7F">
              <w:rPr>
                <w:i/>
                <w:sz w:val="18"/>
                <w:szCs w:val="18"/>
              </w:rPr>
              <w:t>on other</w:t>
            </w:r>
          </w:p>
          <w:p w14:paraId="3C01DAF2" w14:textId="0A23F2CC" w:rsidR="00FE6377" w:rsidRPr="0001731C" w:rsidRDefault="00FE6377" w:rsidP="00FE6377">
            <w:pPr>
              <w:ind w:right="170"/>
              <w:jc w:val="right"/>
              <w:rPr>
                <w:i/>
                <w:sz w:val="18"/>
                <w:szCs w:val="18"/>
              </w:rPr>
            </w:pPr>
            <w:r w:rsidRPr="00135F7F">
              <w:rPr>
                <w:i/>
                <w:sz w:val="18"/>
                <w:szCs w:val="18"/>
              </w:rPr>
              <w:t>comprehensive</w:t>
            </w:r>
            <w:r>
              <w:rPr>
                <w:i/>
                <w:sz w:val="18"/>
                <w:szCs w:val="18"/>
              </w:rPr>
              <w:t xml:space="preserve"> </w:t>
            </w:r>
            <w:r w:rsidRPr="00135F7F">
              <w:rPr>
                <w:i/>
                <w:sz w:val="18"/>
                <w:szCs w:val="18"/>
              </w:rPr>
              <w:t>income</w:t>
            </w:r>
          </w:p>
        </w:tc>
      </w:tr>
      <w:tr w:rsidR="00FE6377" w:rsidRPr="00471B9C" w14:paraId="5E9F3B1D" w14:textId="77777777" w:rsidTr="002108FF">
        <w:tc>
          <w:tcPr>
            <w:tcW w:w="2859" w:type="dxa"/>
            <w:shd w:val="clear" w:color="auto" w:fill="auto"/>
            <w:vAlign w:val="bottom"/>
          </w:tcPr>
          <w:p w14:paraId="69871BD5" w14:textId="77777777" w:rsidR="00FE6377" w:rsidRPr="00471B9C" w:rsidRDefault="00FE6377" w:rsidP="00FE6377">
            <w:pPr>
              <w:ind w:left="309" w:hanging="33"/>
              <w:rPr>
                <w:bCs w:val="0"/>
                <w:sz w:val="6"/>
                <w:szCs w:val="6"/>
              </w:rPr>
            </w:pPr>
          </w:p>
        </w:tc>
        <w:tc>
          <w:tcPr>
            <w:tcW w:w="1681" w:type="dxa"/>
            <w:tcBorders>
              <w:top w:val="single" w:sz="4" w:space="0" w:color="auto"/>
            </w:tcBorders>
            <w:shd w:val="clear" w:color="auto" w:fill="auto"/>
            <w:vAlign w:val="bottom"/>
          </w:tcPr>
          <w:p w14:paraId="7F43AAB1" w14:textId="77777777" w:rsidR="00FE6377" w:rsidRPr="00FB1603" w:rsidRDefault="00FE6377" w:rsidP="00FE6377">
            <w:pPr>
              <w:ind w:right="57"/>
              <w:jc w:val="right"/>
              <w:rPr>
                <w:sz w:val="6"/>
                <w:szCs w:val="6"/>
              </w:rPr>
            </w:pPr>
          </w:p>
        </w:tc>
        <w:tc>
          <w:tcPr>
            <w:tcW w:w="112" w:type="dxa"/>
            <w:shd w:val="clear" w:color="auto" w:fill="auto"/>
            <w:vAlign w:val="bottom"/>
          </w:tcPr>
          <w:p w14:paraId="61F85337" w14:textId="77777777" w:rsidR="00FE6377" w:rsidRPr="007E3467" w:rsidRDefault="00FE6377" w:rsidP="00FE6377">
            <w:pPr>
              <w:ind w:right="57"/>
              <w:jc w:val="right"/>
              <w:rPr>
                <w:sz w:val="6"/>
                <w:szCs w:val="6"/>
                <w:highlight w:val="green"/>
              </w:rPr>
            </w:pPr>
          </w:p>
        </w:tc>
        <w:tc>
          <w:tcPr>
            <w:tcW w:w="1681" w:type="dxa"/>
            <w:tcBorders>
              <w:top w:val="single" w:sz="4" w:space="0" w:color="auto"/>
            </w:tcBorders>
            <w:vAlign w:val="bottom"/>
          </w:tcPr>
          <w:p w14:paraId="0E9D5C0B" w14:textId="77777777" w:rsidR="00FE6377" w:rsidRPr="008746F7" w:rsidRDefault="00FE6377" w:rsidP="00FE6377">
            <w:pPr>
              <w:ind w:right="57"/>
              <w:jc w:val="right"/>
              <w:rPr>
                <w:sz w:val="6"/>
                <w:szCs w:val="6"/>
              </w:rPr>
            </w:pPr>
          </w:p>
        </w:tc>
        <w:tc>
          <w:tcPr>
            <w:tcW w:w="2864" w:type="dxa"/>
            <w:shd w:val="clear" w:color="auto" w:fill="auto"/>
            <w:vAlign w:val="bottom"/>
          </w:tcPr>
          <w:p w14:paraId="45E0DD86" w14:textId="77777777" w:rsidR="00FE6377" w:rsidRPr="00471B9C" w:rsidRDefault="00FE6377" w:rsidP="00FE6377">
            <w:pPr>
              <w:ind w:right="142"/>
              <w:jc w:val="right"/>
              <w:rPr>
                <w:i/>
                <w:sz w:val="6"/>
                <w:szCs w:val="6"/>
              </w:rPr>
            </w:pPr>
          </w:p>
        </w:tc>
      </w:tr>
      <w:tr w:rsidR="00FE6377" w:rsidRPr="00135F7F" w14:paraId="2E788BA6" w14:textId="77777777" w:rsidTr="002108FF">
        <w:tc>
          <w:tcPr>
            <w:tcW w:w="2859" w:type="dxa"/>
            <w:shd w:val="clear" w:color="auto" w:fill="auto"/>
            <w:vAlign w:val="bottom"/>
          </w:tcPr>
          <w:p w14:paraId="1DABB4C8" w14:textId="77777777" w:rsidR="00FE6377" w:rsidRPr="00135F7F" w:rsidRDefault="00FE6377" w:rsidP="00FE6377">
            <w:pPr>
              <w:ind w:left="309"/>
              <w:rPr>
                <w:b/>
                <w:bCs w:val="0"/>
                <w:sz w:val="18"/>
                <w:szCs w:val="18"/>
              </w:rPr>
            </w:pPr>
            <w:r w:rsidRPr="00135F7F">
              <w:rPr>
                <w:b/>
                <w:bCs w:val="0"/>
                <w:sz w:val="18"/>
                <w:szCs w:val="18"/>
              </w:rPr>
              <w:t>Saldo Akhir Liabilitas</w:t>
            </w:r>
          </w:p>
        </w:tc>
        <w:tc>
          <w:tcPr>
            <w:tcW w:w="1681" w:type="dxa"/>
            <w:tcBorders>
              <w:bottom w:val="double" w:sz="4" w:space="0" w:color="auto"/>
            </w:tcBorders>
            <w:shd w:val="clear" w:color="auto" w:fill="auto"/>
            <w:vAlign w:val="bottom"/>
          </w:tcPr>
          <w:p w14:paraId="5F43300D" w14:textId="47967AE6" w:rsidR="00FE6377" w:rsidRPr="00FB1603" w:rsidRDefault="00DF18A1" w:rsidP="00FE6377">
            <w:pPr>
              <w:ind w:right="57"/>
              <w:jc w:val="right"/>
              <w:rPr>
                <w:b/>
                <w:sz w:val="18"/>
                <w:szCs w:val="18"/>
                <w:lang w:val="id-ID"/>
              </w:rPr>
            </w:pPr>
            <w:r w:rsidRPr="00FB1603">
              <w:rPr>
                <w:b/>
                <w:sz w:val="18"/>
                <w:szCs w:val="18"/>
              </w:rPr>
              <w:t>7</w:t>
            </w:r>
            <w:r w:rsidRPr="00FB1603">
              <w:rPr>
                <w:b/>
                <w:sz w:val="18"/>
                <w:szCs w:val="18"/>
                <w:lang w:val="id-ID"/>
              </w:rPr>
              <w:t>0</w:t>
            </w:r>
            <w:r w:rsidRPr="00FB1603">
              <w:rPr>
                <w:b/>
                <w:sz w:val="18"/>
                <w:szCs w:val="18"/>
              </w:rPr>
              <w:t>.</w:t>
            </w:r>
            <w:r w:rsidRPr="00FB1603">
              <w:rPr>
                <w:b/>
                <w:sz w:val="18"/>
                <w:szCs w:val="18"/>
                <w:lang w:val="id-ID"/>
              </w:rPr>
              <w:t>455</w:t>
            </w:r>
            <w:r w:rsidRPr="00FB1603">
              <w:rPr>
                <w:b/>
                <w:sz w:val="18"/>
                <w:szCs w:val="18"/>
              </w:rPr>
              <w:t>.</w:t>
            </w:r>
            <w:r w:rsidRPr="00FB1603">
              <w:rPr>
                <w:b/>
                <w:sz w:val="18"/>
                <w:szCs w:val="18"/>
                <w:lang w:val="id-ID"/>
              </w:rPr>
              <w:t>96</w:t>
            </w:r>
            <w:r w:rsidR="002C3F8E" w:rsidRPr="00FB1603">
              <w:rPr>
                <w:b/>
                <w:sz w:val="18"/>
                <w:szCs w:val="18"/>
              </w:rPr>
              <w:t>9</w:t>
            </w:r>
            <w:r w:rsidRPr="00FB1603">
              <w:rPr>
                <w:b/>
                <w:sz w:val="18"/>
                <w:szCs w:val="18"/>
              </w:rPr>
              <w:t>.</w:t>
            </w:r>
            <w:r w:rsidRPr="00FB1603">
              <w:rPr>
                <w:b/>
                <w:sz w:val="18"/>
                <w:szCs w:val="18"/>
                <w:lang w:val="id-ID"/>
              </w:rPr>
              <w:t>356</w:t>
            </w:r>
          </w:p>
        </w:tc>
        <w:tc>
          <w:tcPr>
            <w:tcW w:w="112" w:type="dxa"/>
            <w:shd w:val="clear" w:color="auto" w:fill="auto"/>
            <w:vAlign w:val="bottom"/>
          </w:tcPr>
          <w:p w14:paraId="2F9742EF" w14:textId="77777777" w:rsidR="00FE6377" w:rsidRPr="007E3467" w:rsidRDefault="00FE6377" w:rsidP="00FE6377">
            <w:pPr>
              <w:ind w:right="57"/>
              <w:jc w:val="right"/>
              <w:rPr>
                <w:b/>
                <w:sz w:val="18"/>
                <w:szCs w:val="18"/>
                <w:highlight w:val="green"/>
              </w:rPr>
            </w:pPr>
          </w:p>
        </w:tc>
        <w:tc>
          <w:tcPr>
            <w:tcW w:w="1681" w:type="dxa"/>
            <w:tcBorders>
              <w:bottom w:val="double" w:sz="4" w:space="0" w:color="auto"/>
            </w:tcBorders>
            <w:vAlign w:val="bottom"/>
          </w:tcPr>
          <w:p w14:paraId="58EF86FE" w14:textId="0B2037E1" w:rsidR="00FE6377" w:rsidRPr="008746F7" w:rsidRDefault="00FE6377" w:rsidP="00FE6377">
            <w:pPr>
              <w:ind w:right="57"/>
              <w:jc w:val="right"/>
              <w:rPr>
                <w:b/>
                <w:sz w:val="18"/>
                <w:szCs w:val="18"/>
              </w:rPr>
            </w:pPr>
            <w:r w:rsidRPr="008746F7">
              <w:rPr>
                <w:b/>
                <w:sz w:val="18"/>
                <w:szCs w:val="18"/>
              </w:rPr>
              <w:t>68.670.506.868</w:t>
            </w:r>
          </w:p>
        </w:tc>
        <w:tc>
          <w:tcPr>
            <w:tcW w:w="2864" w:type="dxa"/>
            <w:shd w:val="clear" w:color="auto" w:fill="auto"/>
            <w:vAlign w:val="bottom"/>
          </w:tcPr>
          <w:p w14:paraId="781A92A4" w14:textId="77777777" w:rsidR="00FE6377" w:rsidRPr="00135F7F" w:rsidRDefault="00FE6377" w:rsidP="00FE6377">
            <w:pPr>
              <w:ind w:right="57"/>
              <w:jc w:val="right"/>
              <w:rPr>
                <w:b/>
                <w:bCs w:val="0"/>
                <w:i/>
                <w:sz w:val="18"/>
                <w:szCs w:val="18"/>
              </w:rPr>
            </w:pPr>
            <w:r w:rsidRPr="00135F7F">
              <w:rPr>
                <w:b/>
                <w:bCs w:val="0"/>
                <w:i/>
                <w:sz w:val="18"/>
                <w:szCs w:val="18"/>
              </w:rPr>
              <w:t>Ending Balance of Liability</w:t>
            </w:r>
          </w:p>
        </w:tc>
      </w:tr>
    </w:tbl>
    <w:p w14:paraId="43A3EC2D" w14:textId="77777777" w:rsidR="00DB3C66" w:rsidRPr="00135F7F" w:rsidRDefault="00DB3C66" w:rsidP="007D1B9B">
      <w:pPr>
        <w:rPr>
          <w:sz w:val="14"/>
          <w:szCs w:val="18"/>
        </w:rPr>
      </w:pPr>
    </w:p>
    <w:p w14:paraId="0FE7AEF1" w14:textId="64AAE207" w:rsidR="00907CD2" w:rsidRDefault="00907CD2" w:rsidP="007D1B9B">
      <w:pPr>
        <w:rPr>
          <w:sz w:val="14"/>
          <w:szCs w:val="18"/>
        </w:rPr>
      </w:pPr>
    </w:p>
    <w:tbl>
      <w:tblPr>
        <w:tblW w:w="9197" w:type="dxa"/>
        <w:tblInd w:w="406" w:type="dxa"/>
        <w:tblLayout w:type="fixed"/>
        <w:tblLook w:val="0000" w:firstRow="0" w:lastRow="0" w:firstColumn="0" w:lastColumn="0" w:noHBand="0" w:noVBand="0"/>
      </w:tblPr>
      <w:tblGrid>
        <w:gridCol w:w="4595"/>
        <w:gridCol w:w="4602"/>
      </w:tblGrid>
      <w:tr w:rsidR="00471B9C" w:rsidRPr="00135F7F" w14:paraId="6AB9767A" w14:textId="77777777" w:rsidTr="00471B9C">
        <w:tc>
          <w:tcPr>
            <w:tcW w:w="2498" w:type="pct"/>
            <w:tcBorders>
              <w:top w:val="nil"/>
              <w:left w:val="nil"/>
              <w:bottom w:val="nil"/>
              <w:right w:val="nil"/>
            </w:tcBorders>
          </w:tcPr>
          <w:p w14:paraId="6B84F2F2" w14:textId="77777777" w:rsidR="00471B9C" w:rsidRPr="00135F7F" w:rsidRDefault="00471B9C" w:rsidP="0014032D">
            <w:pPr>
              <w:ind w:left="336" w:right="-57"/>
              <w:jc w:val="both"/>
              <w:rPr>
                <w:sz w:val="18"/>
                <w:szCs w:val="18"/>
              </w:rPr>
            </w:pPr>
            <w:r w:rsidRPr="00135F7F">
              <w:rPr>
                <w:bCs w:val="0"/>
                <w:sz w:val="18"/>
                <w:szCs w:val="18"/>
              </w:rPr>
              <w:t>Jumlah nilai kini imbalan pasti untuk tahun berjalan dan empat tahun sebelumnya adalah sebagai berikut:</w:t>
            </w:r>
          </w:p>
        </w:tc>
        <w:tc>
          <w:tcPr>
            <w:tcW w:w="2502" w:type="pct"/>
            <w:tcBorders>
              <w:top w:val="nil"/>
              <w:left w:val="nil"/>
              <w:bottom w:val="nil"/>
              <w:right w:val="nil"/>
            </w:tcBorders>
          </w:tcPr>
          <w:p w14:paraId="666924E6" w14:textId="77777777" w:rsidR="00471B9C" w:rsidRPr="00135F7F" w:rsidRDefault="00471B9C" w:rsidP="00D0517D">
            <w:pPr>
              <w:ind w:left="284" w:right="-57"/>
              <w:jc w:val="both"/>
              <w:rPr>
                <w:i/>
                <w:sz w:val="18"/>
                <w:szCs w:val="18"/>
              </w:rPr>
            </w:pPr>
            <w:r w:rsidRPr="00135F7F">
              <w:rPr>
                <w:bCs w:val="0"/>
                <w:i/>
                <w:sz w:val="18"/>
                <w:szCs w:val="18"/>
              </w:rPr>
              <w:t>Present value of defined benefit obligation for the current year and the previous four annual years are as follows:</w:t>
            </w:r>
          </w:p>
        </w:tc>
      </w:tr>
    </w:tbl>
    <w:p w14:paraId="765325E7" w14:textId="77777777" w:rsidR="00471B9C" w:rsidRDefault="00471B9C"/>
    <w:tbl>
      <w:tblPr>
        <w:tblW w:w="9197" w:type="dxa"/>
        <w:tblInd w:w="406" w:type="dxa"/>
        <w:tblLayout w:type="fixed"/>
        <w:tblCellMar>
          <w:left w:w="0" w:type="dxa"/>
          <w:right w:w="0" w:type="dxa"/>
        </w:tblCellMar>
        <w:tblLook w:val="01E0" w:firstRow="1" w:lastRow="1" w:firstColumn="1" w:lastColumn="1" w:noHBand="0" w:noVBand="0"/>
      </w:tblPr>
      <w:tblGrid>
        <w:gridCol w:w="1835"/>
        <w:gridCol w:w="919"/>
        <w:gridCol w:w="95"/>
        <w:gridCol w:w="919"/>
        <w:gridCol w:w="96"/>
        <w:gridCol w:w="920"/>
        <w:gridCol w:w="96"/>
        <w:gridCol w:w="920"/>
        <w:gridCol w:w="96"/>
        <w:gridCol w:w="920"/>
        <w:gridCol w:w="96"/>
        <w:gridCol w:w="2285"/>
      </w:tblGrid>
      <w:tr w:rsidR="00471B9C" w:rsidRPr="00135F7F" w14:paraId="2E739544" w14:textId="77777777" w:rsidTr="00471B9C">
        <w:trPr>
          <w:trHeight w:val="171"/>
        </w:trPr>
        <w:tc>
          <w:tcPr>
            <w:tcW w:w="998" w:type="pct"/>
          </w:tcPr>
          <w:p w14:paraId="08231E2F" w14:textId="77777777" w:rsidR="00471B9C" w:rsidRPr="00135F7F" w:rsidRDefault="00471B9C" w:rsidP="00D0517D">
            <w:pPr>
              <w:pStyle w:val="TableParagraph"/>
              <w:rPr>
                <w:rFonts w:ascii="Times New Roman"/>
                <w:sz w:val="12"/>
                <w:szCs w:val="12"/>
              </w:rPr>
            </w:pPr>
          </w:p>
        </w:tc>
        <w:tc>
          <w:tcPr>
            <w:tcW w:w="500" w:type="pct"/>
            <w:tcBorders>
              <w:bottom w:val="single" w:sz="4" w:space="0" w:color="auto"/>
            </w:tcBorders>
          </w:tcPr>
          <w:p w14:paraId="4649B3D6" w14:textId="77777777" w:rsidR="00471B9C" w:rsidRPr="00135F7F" w:rsidRDefault="00471B9C" w:rsidP="00D0517D">
            <w:pPr>
              <w:pStyle w:val="TableParagraph"/>
              <w:spacing w:line="125" w:lineRule="exact"/>
              <w:ind w:left="344" w:right="227"/>
              <w:jc w:val="center"/>
              <w:rPr>
                <w:rFonts w:ascii="Times New Roman" w:hAnsi="Times New Roman"/>
                <w:b/>
                <w:sz w:val="12"/>
                <w:szCs w:val="12"/>
              </w:rPr>
            </w:pPr>
            <w:r w:rsidRPr="00135F7F">
              <w:rPr>
                <w:rFonts w:ascii="Times New Roman" w:hAnsi="Times New Roman"/>
                <w:b/>
                <w:sz w:val="12"/>
                <w:szCs w:val="12"/>
              </w:rPr>
              <w:t>2019</w:t>
            </w:r>
          </w:p>
        </w:tc>
        <w:tc>
          <w:tcPr>
            <w:tcW w:w="52" w:type="pct"/>
          </w:tcPr>
          <w:p w14:paraId="1484EC84" w14:textId="77777777" w:rsidR="00471B9C" w:rsidRPr="00135F7F" w:rsidRDefault="00471B9C" w:rsidP="00D0517D">
            <w:pPr>
              <w:pStyle w:val="TableParagraph"/>
              <w:spacing w:line="125" w:lineRule="exact"/>
              <w:ind w:left="344" w:right="227"/>
              <w:jc w:val="center"/>
              <w:rPr>
                <w:rFonts w:ascii="Times New Roman" w:hAnsi="Times New Roman"/>
                <w:b/>
                <w:sz w:val="12"/>
                <w:szCs w:val="12"/>
              </w:rPr>
            </w:pPr>
          </w:p>
        </w:tc>
        <w:tc>
          <w:tcPr>
            <w:tcW w:w="500" w:type="pct"/>
            <w:tcBorders>
              <w:bottom w:val="single" w:sz="2" w:space="0" w:color="000000"/>
            </w:tcBorders>
          </w:tcPr>
          <w:p w14:paraId="4A723A47" w14:textId="77777777" w:rsidR="00471B9C" w:rsidRPr="00135F7F" w:rsidRDefault="00471B9C" w:rsidP="00D0517D">
            <w:pPr>
              <w:pStyle w:val="TableParagraph"/>
              <w:spacing w:line="125" w:lineRule="exact"/>
              <w:ind w:left="344" w:right="227"/>
              <w:jc w:val="center"/>
              <w:rPr>
                <w:rFonts w:ascii="Times New Roman" w:hAnsi="Times New Roman"/>
                <w:b/>
                <w:sz w:val="12"/>
                <w:szCs w:val="12"/>
              </w:rPr>
            </w:pPr>
            <w:r w:rsidRPr="00135F7F">
              <w:rPr>
                <w:rFonts w:ascii="Times New Roman" w:hAnsi="Times New Roman"/>
                <w:b/>
                <w:sz w:val="12"/>
                <w:szCs w:val="12"/>
              </w:rPr>
              <w:t>2018</w:t>
            </w:r>
          </w:p>
        </w:tc>
        <w:tc>
          <w:tcPr>
            <w:tcW w:w="52" w:type="pct"/>
          </w:tcPr>
          <w:p w14:paraId="1B3283B9" w14:textId="77777777" w:rsidR="00471B9C" w:rsidRPr="00135F7F" w:rsidRDefault="00471B9C" w:rsidP="00D0517D">
            <w:pPr>
              <w:pStyle w:val="TableParagraph"/>
              <w:rPr>
                <w:rFonts w:ascii="Times New Roman" w:hAnsi="Times New Roman"/>
                <w:sz w:val="12"/>
                <w:szCs w:val="12"/>
              </w:rPr>
            </w:pPr>
          </w:p>
        </w:tc>
        <w:tc>
          <w:tcPr>
            <w:tcW w:w="500" w:type="pct"/>
            <w:tcBorders>
              <w:bottom w:val="single" w:sz="2" w:space="0" w:color="000000"/>
            </w:tcBorders>
          </w:tcPr>
          <w:p w14:paraId="7BF40015" w14:textId="77777777" w:rsidR="00471B9C" w:rsidRPr="00135F7F" w:rsidRDefault="00471B9C" w:rsidP="00D0517D">
            <w:pPr>
              <w:pStyle w:val="TableParagraph"/>
              <w:spacing w:line="125" w:lineRule="exact"/>
              <w:ind w:left="232" w:right="231"/>
              <w:jc w:val="center"/>
              <w:rPr>
                <w:rFonts w:ascii="Times New Roman" w:hAnsi="Times New Roman"/>
                <w:b/>
                <w:sz w:val="12"/>
                <w:szCs w:val="12"/>
              </w:rPr>
            </w:pPr>
            <w:r w:rsidRPr="00135F7F">
              <w:rPr>
                <w:rFonts w:ascii="Times New Roman" w:hAnsi="Times New Roman"/>
                <w:b/>
                <w:sz w:val="12"/>
                <w:szCs w:val="12"/>
              </w:rPr>
              <w:t>2017</w:t>
            </w:r>
          </w:p>
        </w:tc>
        <w:tc>
          <w:tcPr>
            <w:tcW w:w="52" w:type="pct"/>
          </w:tcPr>
          <w:p w14:paraId="5AB42874" w14:textId="77777777" w:rsidR="00471B9C" w:rsidRPr="00135F7F" w:rsidRDefault="00471B9C" w:rsidP="00D0517D">
            <w:pPr>
              <w:pStyle w:val="TableParagraph"/>
              <w:rPr>
                <w:rFonts w:ascii="Times New Roman" w:hAnsi="Times New Roman"/>
                <w:sz w:val="12"/>
                <w:szCs w:val="12"/>
              </w:rPr>
            </w:pPr>
          </w:p>
        </w:tc>
        <w:tc>
          <w:tcPr>
            <w:tcW w:w="500" w:type="pct"/>
            <w:tcBorders>
              <w:bottom w:val="single" w:sz="2" w:space="0" w:color="000000"/>
            </w:tcBorders>
          </w:tcPr>
          <w:p w14:paraId="4C80C9AC" w14:textId="77777777" w:rsidR="00471B9C" w:rsidRPr="00135F7F" w:rsidRDefault="00471B9C" w:rsidP="00D0517D">
            <w:pPr>
              <w:pStyle w:val="TableParagraph"/>
              <w:spacing w:line="125" w:lineRule="exact"/>
              <w:ind w:left="286" w:right="242"/>
              <w:jc w:val="center"/>
              <w:rPr>
                <w:rFonts w:ascii="Times New Roman" w:hAnsi="Times New Roman"/>
                <w:b/>
                <w:sz w:val="12"/>
                <w:szCs w:val="12"/>
              </w:rPr>
            </w:pPr>
            <w:r w:rsidRPr="00135F7F">
              <w:rPr>
                <w:rFonts w:ascii="Times New Roman" w:hAnsi="Times New Roman"/>
                <w:b/>
                <w:sz w:val="12"/>
                <w:szCs w:val="12"/>
              </w:rPr>
              <w:t>2016</w:t>
            </w:r>
          </w:p>
        </w:tc>
        <w:tc>
          <w:tcPr>
            <w:tcW w:w="52" w:type="pct"/>
          </w:tcPr>
          <w:p w14:paraId="03C5BC08" w14:textId="77777777" w:rsidR="00471B9C" w:rsidRPr="00135F7F" w:rsidRDefault="00471B9C" w:rsidP="00D0517D">
            <w:pPr>
              <w:pStyle w:val="TableParagraph"/>
              <w:rPr>
                <w:rFonts w:ascii="Times New Roman" w:hAnsi="Times New Roman"/>
                <w:sz w:val="12"/>
                <w:szCs w:val="12"/>
              </w:rPr>
            </w:pPr>
          </w:p>
        </w:tc>
        <w:tc>
          <w:tcPr>
            <w:tcW w:w="500" w:type="pct"/>
            <w:tcBorders>
              <w:bottom w:val="single" w:sz="2" w:space="0" w:color="000000"/>
            </w:tcBorders>
          </w:tcPr>
          <w:p w14:paraId="53CB2BA3" w14:textId="77777777" w:rsidR="00471B9C" w:rsidRPr="00135F7F" w:rsidRDefault="00471B9C" w:rsidP="00D0517D">
            <w:pPr>
              <w:pStyle w:val="TableParagraph"/>
              <w:spacing w:line="125" w:lineRule="exact"/>
              <w:ind w:left="285" w:right="179"/>
              <w:jc w:val="center"/>
              <w:rPr>
                <w:rFonts w:ascii="Times New Roman" w:hAnsi="Times New Roman"/>
                <w:b/>
                <w:sz w:val="12"/>
                <w:szCs w:val="12"/>
              </w:rPr>
            </w:pPr>
            <w:r w:rsidRPr="00135F7F">
              <w:rPr>
                <w:rFonts w:ascii="Times New Roman" w:hAnsi="Times New Roman"/>
                <w:b/>
                <w:sz w:val="12"/>
                <w:szCs w:val="12"/>
              </w:rPr>
              <w:t>2015</w:t>
            </w:r>
          </w:p>
        </w:tc>
        <w:tc>
          <w:tcPr>
            <w:tcW w:w="52" w:type="pct"/>
          </w:tcPr>
          <w:p w14:paraId="3455F6EA" w14:textId="77777777" w:rsidR="00471B9C" w:rsidRPr="00135F7F" w:rsidRDefault="00471B9C" w:rsidP="00D0517D">
            <w:pPr>
              <w:pStyle w:val="TableParagraph"/>
              <w:rPr>
                <w:rFonts w:ascii="Times New Roman" w:hAnsi="Times New Roman"/>
                <w:sz w:val="12"/>
                <w:szCs w:val="12"/>
              </w:rPr>
            </w:pPr>
          </w:p>
        </w:tc>
        <w:tc>
          <w:tcPr>
            <w:tcW w:w="1242" w:type="pct"/>
          </w:tcPr>
          <w:p w14:paraId="60EE3BA8" w14:textId="77777777" w:rsidR="00471B9C" w:rsidRPr="00135F7F" w:rsidRDefault="00471B9C" w:rsidP="00D0517D">
            <w:pPr>
              <w:pStyle w:val="TableParagraph"/>
              <w:rPr>
                <w:rFonts w:ascii="Times New Roman"/>
                <w:sz w:val="12"/>
                <w:szCs w:val="12"/>
              </w:rPr>
            </w:pPr>
          </w:p>
        </w:tc>
      </w:tr>
      <w:tr w:rsidR="00471B9C" w:rsidRPr="00135F7F" w14:paraId="652DBBA2" w14:textId="77777777" w:rsidTr="00471B9C">
        <w:trPr>
          <w:trHeight w:val="319"/>
        </w:trPr>
        <w:tc>
          <w:tcPr>
            <w:tcW w:w="998" w:type="pct"/>
            <w:vAlign w:val="bottom"/>
          </w:tcPr>
          <w:p w14:paraId="23322780" w14:textId="77777777" w:rsidR="00471B9C" w:rsidRDefault="00471B9C" w:rsidP="00D0517D">
            <w:pPr>
              <w:ind w:left="142" w:right="-57"/>
              <w:rPr>
                <w:bCs w:val="0"/>
                <w:sz w:val="12"/>
                <w:szCs w:val="12"/>
              </w:rPr>
            </w:pPr>
          </w:p>
          <w:p w14:paraId="56220C27" w14:textId="77777777" w:rsidR="00471B9C" w:rsidRPr="00135F7F" w:rsidRDefault="00471B9C" w:rsidP="00D0517D">
            <w:pPr>
              <w:ind w:left="284" w:right="-57"/>
              <w:rPr>
                <w:sz w:val="12"/>
                <w:szCs w:val="12"/>
              </w:rPr>
            </w:pPr>
            <w:r w:rsidRPr="00135F7F">
              <w:rPr>
                <w:bCs w:val="0"/>
                <w:sz w:val="12"/>
                <w:szCs w:val="12"/>
              </w:rPr>
              <w:t>Nilai kini imbalan pasti</w:t>
            </w:r>
          </w:p>
        </w:tc>
        <w:tc>
          <w:tcPr>
            <w:tcW w:w="500" w:type="pct"/>
            <w:tcBorders>
              <w:top w:val="single" w:sz="4" w:space="0" w:color="auto"/>
            </w:tcBorders>
            <w:vAlign w:val="bottom"/>
          </w:tcPr>
          <w:p w14:paraId="733905E9" w14:textId="77777777" w:rsidR="00471B9C" w:rsidRPr="00135F7F" w:rsidRDefault="00471B9C" w:rsidP="00D0517D">
            <w:pPr>
              <w:pStyle w:val="TableParagraph"/>
              <w:spacing w:before="7"/>
              <w:jc w:val="center"/>
              <w:rPr>
                <w:rFonts w:ascii="Times New Roman" w:hAnsi="Times New Roman"/>
                <w:i/>
                <w:sz w:val="12"/>
                <w:szCs w:val="12"/>
              </w:rPr>
            </w:pPr>
          </w:p>
          <w:p w14:paraId="6DA4C25D" w14:textId="77777777" w:rsidR="00471B9C" w:rsidRPr="00135F7F" w:rsidRDefault="00471B9C" w:rsidP="00D0517D">
            <w:pPr>
              <w:pStyle w:val="TableParagraph"/>
              <w:spacing w:before="7"/>
              <w:jc w:val="center"/>
              <w:rPr>
                <w:rFonts w:ascii="Times New Roman" w:hAnsi="Times New Roman"/>
                <w:i/>
                <w:sz w:val="12"/>
                <w:szCs w:val="12"/>
              </w:rPr>
            </w:pPr>
            <w:r w:rsidRPr="00135F7F">
              <w:rPr>
                <w:rFonts w:ascii="Times New Roman" w:hAnsi="Times New Roman"/>
                <w:sz w:val="12"/>
                <w:szCs w:val="12"/>
              </w:rPr>
              <w:t>68.670.506.868</w:t>
            </w:r>
          </w:p>
        </w:tc>
        <w:tc>
          <w:tcPr>
            <w:tcW w:w="52" w:type="pct"/>
            <w:vAlign w:val="bottom"/>
          </w:tcPr>
          <w:p w14:paraId="64C15A67" w14:textId="77777777" w:rsidR="00471B9C" w:rsidRPr="00135F7F" w:rsidRDefault="00471B9C" w:rsidP="00D0517D">
            <w:pPr>
              <w:pStyle w:val="TableParagraph"/>
              <w:spacing w:before="7"/>
              <w:jc w:val="center"/>
              <w:rPr>
                <w:rFonts w:ascii="Times New Roman" w:hAnsi="Times New Roman"/>
                <w:i/>
                <w:sz w:val="12"/>
                <w:szCs w:val="12"/>
              </w:rPr>
            </w:pPr>
          </w:p>
        </w:tc>
        <w:tc>
          <w:tcPr>
            <w:tcW w:w="500" w:type="pct"/>
            <w:tcBorders>
              <w:top w:val="single" w:sz="2" w:space="0" w:color="000000"/>
            </w:tcBorders>
            <w:vAlign w:val="bottom"/>
          </w:tcPr>
          <w:p w14:paraId="68B5FB8E" w14:textId="77777777" w:rsidR="00471B9C" w:rsidRPr="00135F7F" w:rsidRDefault="00471B9C" w:rsidP="00D0517D">
            <w:pPr>
              <w:pStyle w:val="TableParagraph"/>
              <w:spacing w:before="7"/>
              <w:jc w:val="center"/>
              <w:rPr>
                <w:rFonts w:ascii="Times New Roman" w:hAnsi="Times New Roman"/>
                <w:i/>
                <w:sz w:val="12"/>
                <w:szCs w:val="12"/>
              </w:rPr>
            </w:pPr>
          </w:p>
          <w:p w14:paraId="28806422" w14:textId="77777777" w:rsidR="00471B9C" w:rsidRPr="00135F7F" w:rsidRDefault="00471B9C" w:rsidP="00D0517D">
            <w:pPr>
              <w:pStyle w:val="TableParagraph"/>
              <w:spacing w:before="1" w:line="107" w:lineRule="exact"/>
              <w:ind w:left="72" w:right="-15"/>
              <w:jc w:val="center"/>
              <w:rPr>
                <w:rFonts w:ascii="Times New Roman" w:hAnsi="Times New Roman"/>
                <w:sz w:val="12"/>
                <w:szCs w:val="12"/>
              </w:rPr>
            </w:pPr>
            <w:r w:rsidRPr="00135F7F">
              <w:rPr>
                <w:rFonts w:ascii="Times New Roman" w:hAnsi="Times New Roman"/>
                <w:sz w:val="12"/>
                <w:szCs w:val="12"/>
              </w:rPr>
              <w:t>63.461.098.798</w:t>
            </w:r>
          </w:p>
        </w:tc>
        <w:tc>
          <w:tcPr>
            <w:tcW w:w="52" w:type="pct"/>
            <w:vAlign w:val="bottom"/>
          </w:tcPr>
          <w:p w14:paraId="608E3541" w14:textId="77777777" w:rsidR="00471B9C" w:rsidRPr="00135F7F" w:rsidRDefault="00471B9C" w:rsidP="00D0517D">
            <w:pPr>
              <w:pStyle w:val="TableParagraph"/>
              <w:jc w:val="center"/>
              <w:rPr>
                <w:rFonts w:ascii="Times New Roman" w:hAnsi="Times New Roman"/>
                <w:sz w:val="12"/>
                <w:szCs w:val="12"/>
              </w:rPr>
            </w:pPr>
          </w:p>
        </w:tc>
        <w:tc>
          <w:tcPr>
            <w:tcW w:w="500" w:type="pct"/>
            <w:tcBorders>
              <w:top w:val="single" w:sz="2" w:space="0" w:color="000000"/>
            </w:tcBorders>
            <w:vAlign w:val="bottom"/>
          </w:tcPr>
          <w:p w14:paraId="4A9DF4B3" w14:textId="77777777" w:rsidR="00471B9C" w:rsidRPr="00135F7F" w:rsidRDefault="00471B9C" w:rsidP="00D0517D">
            <w:pPr>
              <w:pStyle w:val="TableParagraph"/>
              <w:spacing w:before="7"/>
              <w:jc w:val="center"/>
              <w:rPr>
                <w:rFonts w:ascii="Times New Roman" w:hAnsi="Times New Roman"/>
                <w:i/>
                <w:sz w:val="12"/>
                <w:szCs w:val="12"/>
              </w:rPr>
            </w:pPr>
          </w:p>
          <w:p w14:paraId="28C15B0F" w14:textId="77777777" w:rsidR="00471B9C" w:rsidRPr="00135F7F" w:rsidRDefault="00471B9C" w:rsidP="00D0517D">
            <w:pPr>
              <w:pStyle w:val="TableParagraph"/>
              <w:spacing w:before="1" w:line="107" w:lineRule="exact"/>
              <w:ind w:left="71" w:right="-15"/>
              <w:jc w:val="center"/>
              <w:rPr>
                <w:rFonts w:ascii="Times New Roman" w:hAnsi="Times New Roman"/>
                <w:sz w:val="12"/>
                <w:szCs w:val="12"/>
              </w:rPr>
            </w:pPr>
            <w:r w:rsidRPr="00135F7F">
              <w:rPr>
                <w:rFonts w:ascii="Times New Roman" w:hAnsi="Times New Roman"/>
                <w:sz w:val="12"/>
                <w:szCs w:val="12"/>
              </w:rPr>
              <w:t>53.125.975.343</w:t>
            </w:r>
          </w:p>
        </w:tc>
        <w:tc>
          <w:tcPr>
            <w:tcW w:w="52" w:type="pct"/>
            <w:vAlign w:val="bottom"/>
          </w:tcPr>
          <w:p w14:paraId="1CCF14BC" w14:textId="77777777" w:rsidR="00471B9C" w:rsidRPr="00135F7F" w:rsidRDefault="00471B9C" w:rsidP="00D0517D">
            <w:pPr>
              <w:pStyle w:val="TableParagraph"/>
              <w:jc w:val="center"/>
              <w:rPr>
                <w:rFonts w:ascii="Times New Roman" w:hAnsi="Times New Roman"/>
                <w:sz w:val="12"/>
                <w:szCs w:val="12"/>
              </w:rPr>
            </w:pPr>
          </w:p>
        </w:tc>
        <w:tc>
          <w:tcPr>
            <w:tcW w:w="500" w:type="pct"/>
            <w:tcBorders>
              <w:top w:val="single" w:sz="2" w:space="0" w:color="000000"/>
            </w:tcBorders>
            <w:vAlign w:val="bottom"/>
          </w:tcPr>
          <w:p w14:paraId="4F5B324F" w14:textId="77777777" w:rsidR="00471B9C" w:rsidRPr="00135F7F" w:rsidRDefault="00471B9C" w:rsidP="00D0517D">
            <w:pPr>
              <w:pStyle w:val="TableParagraph"/>
              <w:spacing w:before="7"/>
              <w:jc w:val="center"/>
              <w:rPr>
                <w:rFonts w:ascii="Times New Roman" w:hAnsi="Times New Roman"/>
                <w:i/>
                <w:sz w:val="12"/>
                <w:szCs w:val="12"/>
              </w:rPr>
            </w:pPr>
          </w:p>
          <w:p w14:paraId="78A5DB82" w14:textId="77777777" w:rsidR="00471B9C" w:rsidRPr="00135F7F" w:rsidRDefault="00471B9C" w:rsidP="00D0517D">
            <w:pPr>
              <w:pStyle w:val="TableParagraph"/>
              <w:spacing w:before="1" w:line="107" w:lineRule="exact"/>
              <w:ind w:left="29" w:right="-15"/>
              <w:jc w:val="center"/>
              <w:rPr>
                <w:rFonts w:ascii="Times New Roman" w:hAnsi="Times New Roman"/>
                <w:sz w:val="12"/>
                <w:szCs w:val="12"/>
              </w:rPr>
            </w:pPr>
            <w:r w:rsidRPr="00135F7F">
              <w:rPr>
                <w:rFonts w:ascii="Times New Roman" w:hAnsi="Times New Roman"/>
                <w:sz w:val="12"/>
                <w:szCs w:val="12"/>
              </w:rPr>
              <w:t>40.779.756.075</w:t>
            </w:r>
          </w:p>
        </w:tc>
        <w:tc>
          <w:tcPr>
            <w:tcW w:w="52" w:type="pct"/>
            <w:vAlign w:val="bottom"/>
          </w:tcPr>
          <w:p w14:paraId="0DE31020" w14:textId="77777777" w:rsidR="00471B9C" w:rsidRPr="00135F7F" w:rsidRDefault="00471B9C" w:rsidP="00D0517D">
            <w:pPr>
              <w:pStyle w:val="TableParagraph"/>
              <w:jc w:val="center"/>
              <w:rPr>
                <w:rFonts w:ascii="Times New Roman" w:hAnsi="Times New Roman"/>
                <w:sz w:val="12"/>
                <w:szCs w:val="12"/>
              </w:rPr>
            </w:pPr>
          </w:p>
        </w:tc>
        <w:tc>
          <w:tcPr>
            <w:tcW w:w="500" w:type="pct"/>
            <w:tcBorders>
              <w:top w:val="single" w:sz="2" w:space="0" w:color="000000"/>
            </w:tcBorders>
            <w:vAlign w:val="bottom"/>
          </w:tcPr>
          <w:p w14:paraId="5AEE65E1" w14:textId="77777777" w:rsidR="00471B9C" w:rsidRPr="00135F7F" w:rsidRDefault="00471B9C" w:rsidP="00D0517D">
            <w:pPr>
              <w:pStyle w:val="TableParagraph"/>
              <w:spacing w:before="7"/>
              <w:jc w:val="center"/>
              <w:rPr>
                <w:rFonts w:ascii="Times New Roman" w:hAnsi="Times New Roman"/>
                <w:i/>
                <w:sz w:val="12"/>
                <w:szCs w:val="12"/>
              </w:rPr>
            </w:pPr>
          </w:p>
          <w:p w14:paraId="06C742CE" w14:textId="77777777" w:rsidR="00471B9C" w:rsidRPr="00135F7F" w:rsidRDefault="00471B9C" w:rsidP="00D0517D">
            <w:pPr>
              <w:pStyle w:val="TableParagraph"/>
              <w:spacing w:before="1" w:line="107" w:lineRule="exact"/>
              <w:ind w:left="73" w:right="-15"/>
              <w:jc w:val="center"/>
              <w:rPr>
                <w:rFonts w:ascii="Times New Roman" w:hAnsi="Times New Roman"/>
                <w:sz w:val="12"/>
                <w:szCs w:val="12"/>
              </w:rPr>
            </w:pPr>
            <w:r w:rsidRPr="00135F7F">
              <w:rPr>
                <w:rFonts w:ascii="Times New Roman" w:hAnsi="Times New Roman"/>
                <w:sz w:val="12"/>
                <w:szCs w:val="12"/>
              </w:rPr>
              <w:t>28.452.428.237</w:t>
            </w:r>
          </w:p>
        </w:tc>
        <w:tc>
          <w:tcPr>
            <w:tcW w:w="52" w:type="pct"/>
            <w:vAlign w:val="bottom"/>
          </w:tcPr>
          <w:p w14:paraId="255A990D" w14:textId="77777777" w:rsidR="00471B9C" w:rsidRPr="00135F7F" w:rsidRDefault="00471B9C" w:rsidP="00D0517D">
            <w:pPr>
              <w:pStyle w:val="TableParagraph"/>
              <w:jc w:val="center"/>
              <w:rPr>
                <w:rFonts w:ascii="Times New Roman" w:hAnsi="Times New Roman"/>
                <w:sz w:val="12"/>
                <w:szCs w:val="12"/>
              </w:rPr>
            </w:pPr>
          </w:p>
        </w:tc>
        <w:tc>
          <w:tcPr>
            <w:tcW w:w="1242" w:type="pct"/>
            <w:vAlign w:val="bottom"/>
          </w:tcPr>
          <w:p w14:paraId="1FAE54C0" w14:textId="77777777" w:rsidR="00471B9C" w:rsidRDefault="00471B9C" w:rsidP="00D0517D">
            <w:pPr>
              <w:numPr>
                <w:ilvl w:val="12"/>
                <w:numId w:val="0"/>
              </w:numPr>
              <w:ind w:right="57"/>
              <w:jc w:val="right"/>
              <w:rPr>
                <w:i/>
                <w:sz w:val="12"/>
                <w:szCs w:val="12"/>
              </w:rPr>
            </w:pPr>
          </w:p>
          <w:p w14:paraId="7DF61918" w14:textId="77777777" w:rsidR="00471B9C" w:rsidRPr="00135F7F" w:rsidRDefault="00471B9C" w:rsidP="00D0517D">
            <w:pPr>
              <w:numPr>
                <w:ilvl w:val="12"/>
                <w:numId w:val="0"/>
              </w:numPr>
              <w:ind w:right="57"/>
              <w:jc w:val="right"/>
              <w:rPr>
                <w:i/>
                <w:sz w:val="12"/>
                <w:szCs w:val="12"/>
              </w:rPr>
            </w:pPr>
            <w:r w:rsidRPr="00135F7F">
              <w:rPr>
                <w:i/>
                <w:sz w:val="12"/>
                <w:szCs w:val="12"/>
              </w:rPr>
              <w:t>Present value of defined</w:t>
            </w:r>
            <w:r>
              <w:rPr>
                <w:i/>
                <w:sz w:val="12"/>
                <w:szCs w:val="12"/>
              </w:rPr>
              <w:t xml:space="preserve"> </w:t>
            </w:r>
            <w:r w:rsidRPr="00135F7F">
              <w:rPr>
                <w:i/>
                <w:sz w:val="12"/>
                <w:szCs w:val="12"/>
              </w:rPr>
              <w:t>benefit obligation</w:t>
            </w:r>
          </w:p>
        </w:tc>
      </w:tr>
    </w:tbl>
    <w:p w14:paraId="0AAE0209" w14:textId="5090BE6D" w:rsidR="00471B9C" w:rsidRDefault="00471B9C" w:rsidP="007D1B9B">
      <w:pPr>
        <w:rPr>
          <w:sz w:val="14"/>
          <w:szCs w:val="18"/>
        </w:rPr>
      </w:pPr>
    </w:p>
    <w:p w14:paraId="599C8ED3" w14:textId="662007AC" w:rsidR="00471B9C" w:rsidRDefault="00471B9C" w:rsidP="007D1B9B">
      <w:pPr>
        <w:rPr>
          <w:sz w:val="14"/>
          <w:szCs w:val="18"/>
        </w:rPr>
      </w:pPr>
    </w:p>
    <w:tbl>
      <w:tblPr>
        <w:tblW w:w="9197" w:type="dxa"/>
        <w:tblInd w:w="392" w:type="dxa"/>
        <w:tblLayout w:type="fixed"/>
        <w:tblLook w:val="0000" w:firstRow="0" w:lastRow="0" w:firstColumn="0" w:lastColumn="0" w:noHBand="0" w:noVBand="0"/>
      </w:tblPr>
      <w:tblGrid>
        <w:gridCol w:w="4598"/>
        <w:gridCol w:w="4599"/>
      </w:tblGrid>
      <w:tr w:rsidR="00DB3C66" w:rsidRPr="00135F7F" w14:paraId="790EB472" w14:textId="77777777" w:rsidTr="002108FF">
        <w:tc>
          <w:tcPr>
            <w:tcW w:w="2500" w:type="pct"/>
            <w:tcBorders>
              <w:top w:val="nil"/>
              <w:left w:val="nil"/>
              <w:bottom w:val="nil"/>
              <w:right w:val="nil"/>
            </w:tcBorders>
          </w:tcPr>
          <w:p w14:paraId="3D82B8B4" w14:textId="70602737" w:rsidR="00DB3C66" w:rsidRPr="00135F7F" w:rsidRDefault="00DB3C66" w:rsidP="00141AFD">
            <w:pPr>
              <w:ind w:left="284" w:right="-57"/>
              <w:jc w:val="both"/>
              <w:rPr>
                <w:bCs w:val="0"/>
                <w:sz w:val="18"/>
                <w:szCs w:val="18"/>
              </w:rPr>
            </w:pPr>
            <w:r w:rsidRPr="00135F7F">
              <w:rPr>
                <w:bCs w:val="0"/>
                <w:sz w:val="18"/>
                <w:szCs w:val="18"/>
              </w:rPr>
              <w:t xml:space="preserve">Perhitungan imbalan pascakerja pada tanggal </w:t>
            </w:r>
            <w:r w:rsidRPr="00135F7F">
              <w:rPr>
                <w:bCs w:val="0"/>
                <w:sz w:val="18"/>
                <w:szCs w:val="18"/>
              </w:rPr>
              <w:br/>
              <w:t>31 Desember 201</w:t>
            </w:r>
            <w:r w:rsidR="00F23FFA" w:rsidRPr="00135F7F">
              <w:rPr>
                <w:bCs w:val="0"/>
                <w:sz w:val="18"/>
                <w:szCs w:val="18"/>
              </w:rPr>
              <w:t>9</w:t>
            </w:r>
            <w:r w:rsidRPr="00135F7F">
              <w:rPr>
                <w:bCs w:val="0"/>
                <w:sz w:val="18"/>
                <w:szCs w:val="18"/>
              </w:rPr>
              <w:t xml:space="preserve"> dihitung oleh PT Jasa Aktuaria Praptasentosa Gunajasa</w:t>
            </w:r>
            <w:r w:rsidR="00305CA0">
              <w:rPr>
                <w:bCs w:val="0"/>
                <w:sz w:val="18"/>
                <w:szCs w:val="18"/>
              </w:rPr>
              <w:t>.</w:t>
            </w:r>
            <w:r w:rsidRPr="00135F7F">
              <w:rPr>
                <w:bCs w:val="0"/>
                <w:sz w:val="18"/>
                <w:szCs w:val="18"/>
              </w:rPr>
              <w:t xml:space="preserve"> </w:t>
            </w:r>
            <w:proofErr w:type="gramStart"/>
            <w:r w:rsidRPr="00135F7F">
              <w:rPr>
                <w:bCs w:val="0"/>
                <w:sz w:val="18"/>
                <w:szCs w:val="18"/>
              </w:rPr>
              <w:t>aktuaris</w:t>
            </w:r>
            <w:proofErr w:type="gramEnd"/>
            <w:r w:rsidRPr="00135F7F">
              <w:rPr>
                <w:bCs w:val="0"/>
                <w:sz w:val="18"/>
                <w:szCs w:val="18"/>
              </w:rPr>
              <w:t xml:space="preserve"> independen. Asumsi utama yang digunakan dalam menentukan penilaian aktuaris sebagai berikut:</w:t>
            </w:r>
          </w:p>
        </w:tc>
        <w:tc>
          <w:tcPr>
            <w:tcW w:w="2500" w:type="pct"/>
            <w:tcBorders>
              <w:top w:val="nil"/>
              <w:left w:val="nil"/>
              <w:bottom w:val="nil"/>
              <w:right w:val="nil"/>
            </w:tcBorders>
          </w:tcPr>
          <w:p w14:paraId="5AF4B69E" w14:textId="2A3351A6" w:rsidR="00DB3C66" w:rsidRPr="00135F7F" w:rsidRDefault="00DB3C66" w:rsidP="00141AFD">
            <w:pPr>
              <w:ind w:left="284" w:right="-57"/>
              <w:jc w:val="both"/>
              <w:rPr>
                <w:i/>
                <w:sz w:val="18"/>
                <w:szCs w:val="18"/>
              </w:rPr>
            </w:pPr>
            <w:r w:rsidRPr="00135F7F">
              <w:rPr>
                <w:bCs w:val="0"/>
                <w:i/>
                <w:sz w:val="18"/>
                <w:szCs w:val="18"/>
              </w:rPr>
              <w:t>The cost of providing post-employment benefits as of December 31</w:t>
            </w:r>
            <w:r w:rsidR="00305CA0">
              <w:rPr>
                <w:bCs w:val="0"/>
                <w:i/>
                <w:sz w:val="18"/>
                <w:szCs w:val="18"/>
              </w:rPr>
              <w:t>.</w:t>
            </w:r>
            <w:r w:rsidRPr="00135F7F">
              <w:rPr>
                <w:bCs w:val="0"/>
                <w:i/>
                <w:sz w:val="18"/>
                <w:szCs w:val="18"/>
              </w:rPr>
              <w:t xml:space="preserve"> 201</w:t>
            </w:r>
            <w:r w:rsidR="00F23FFA" w:rsidRPr="00135F7F">
              <w:rPr>
                <w:bCs w:val="0"/>
                <w:i/>
                <w:sz w:val="18"/>
                <w:szCs w:val="18"/>
              </w:rPr>
              <w:t>9</w:t>
            </w:r>
            <w:r w:rsidRPr="00135F7F">
              <w:rPr>
                <w:bCs w:val="0"/>
                <w:i/>
                <w:sz w:val="18"/>
                <w:szCs w:val="18"/>
              </w:rPr>
              <w:t xml:space="preserve"> is calculated by an independent actuary</w:t>
            </w:r>
            <w:r w:rsidR="00305CA0">
              <w:rPr>
                <w:bCs w:val="0"/>
                <w:i/>
                <w:sz w:val="18"/>
                <w:szCs w:val="18"/>
              </w:rPr>
              <w:t>.</w:t>
            </w:r>
            <w:r w:rsidRPr="00135F7F">
              <w:rPr>
                <w:bCs w:val="0"/>
                <w:i/>
                <w:sz w:val="18"/>
                <w:szCs w:val="18"/>
              </w:rPr>
              <w:t xml:space="preserve"> PT Jasa Aktuaria Praptasentosa Gunajasa. The actuarial valuations were carried out using the following key assumptions:</w:t>
            </w:r>
          </w:p>
        </w:tc>
      </w:tr>
    </w:tbl>
    <w:p w14:paraId="599A4A21" w14:textId="77777777" w:rsidR="00DB3C66" w:rsidRPr="00135F7F" w:rsidRDefault="00DB3C66" w:rsidP="007D1B9B">
      <w:pPr>
        <w:rPr>
          <w:sz w:val="14"/>
          <w:szCs w:val="18"/>
        </w:rPr>
      </w:pPr>
    </w:p>
    <w:tbl>
      <w:tblPr>
        <w:tblW w:w="9197" w:type="dxa"/>
        <w:tblInd w:w="392" w:type="dxa"/>
        <w:tblLayout w:type="fixed"/>
        <w:tblLook w:val="0000" w:firstRow="0" w:lastRow="0" w:firstColumn="0" w:lastColumn="0" w:noHBand="0" w:noVBand="0"/>
      </w:tblPr>
      <w:tblGrid>
        <w:gridCol w:w="3255"/>
        <w:gridCol w:w="3396"/>
        <w:gridCol w:w="2546"/>
      </w:tblGrid>
      <w:tr w:rsidR="00DB3C66" w:rsidRPr="00135F7F" w14:paraId="7D9EBAFE" w14:textId="77777777" w:rsidTr="002108FF">
        <w:trPr>
          <w:trHeight w:val="20"/>
        </w:trPr>
        <w:tc>
          <w:tcPr>
            <w:tcW w:w="1770" w:type="pct"/>
            <w:tcBorders>
              <w:top w:val="nil"/>
              <w:left w:val="nil"/>
              <w:bottom w:val="nil"/>
              <w:right w:val="nil"/>
            </w:tcBorders>
            <w:vAlign w:val="bottom"/>
          </w:tcPr>
          <w:p w14:paraId="63E79533" w14:textId="77777777" w:rsidR="00DB3C66" w:rsidRPr="00135F7F" w:rsidRDefault="00DB3C66" w:rsidP="0013526B">
            <w:pPr>
              <w:ind w:left="284"/>
              <w:rPr>
                <w:bCs w:val="0"/>
                <w:sz w:val="18"/>
                <w:szCs w:val="18"/>
              </w:rPr>
            </w:pPr>
            <w:r w:rsidRPr="00135F7F">
              <w:rPr>
                <w:bCs w:val="0"/>
                <w:sz w:val="18"/>
                <w:szCs w:val="18"/>
              </w:rPr>
              <w:t>Tingkat diskonto tahunan</w:t>
            </w:r>
          </w:p>
        </w:tc>
        <w:tc>
          <w:tcPr>
            <w:tcW w:w="1846" w:type="pct"/>
            <w:tcBorders>
              <w:top w:val="nil"/>
              <w:left w:val="nil"/>
              <w:bottom w:val="nil"/>
              <w:right w:val="nil"/>
            </w:tcBorders>
          </w:tcPr>
          <w:p w14:paraId="4653AA9B" w14:textId="691157F9" w:rsidR="00DB3C66" w:rsidRPr="00141AFD" w:rsidRDefault="00B7202C" w:rsidP="00141AFD">
            <w:pPr>
              <w:pStyle w:val="TableParagraph"/>
              <w:spacing w:line="169" w:lineRule="exact"/>
              <w:ind w:left="-108" w:right="-148"/>
              <w:jc w:val="center"/>
              <w:rPr>
                <w:rFonts w:ascii="Times New Roman" w:hAnsi="Times New Roman"/>
                <w:sz w:val="15"/>
              </w:rPr>
            </w:pPr>
            <w:r w:rsidRPr="00135F7F">
              <w:rPr>
                <w:rFonts w:ascii="Times New Roman" w:hAnsi="Times New Roman"/>
                <w:sz w:val="15"/>
              </w:rPr>
              <w:t>8</w:t>
            </w:r>
            <w:r w:rsidR="00A76DBC" w:rsidRPr="00135F7F">
              <w:rPr>
                <w:rFonts w:ascii="Times New Roman" w:hAnsi="Times New Roman"/>
                <w:sz w:val="15"/>
              </w:rPr>
              <w:t xml:space="preserve">% </w:t>
            </w:r>
          </w:p>
        </w:tc>
        <w:tc>
          <w:tcPr>
            <w:tcW w:w="1384" w:type="pct"/>
            <w:tcBorders>
              <w:left w:val="nil"/>
              <w:right w:val="nil"/>
            </w:tcBorders>
            <w:vAlign w:val="bottom"/>
          </w:tcPr>
          <w:p w14:paraId="7CB66DC9" w14:textId="77777777" w:rsidR="00DB3C66" w:rsidRPr="00135F7F" w:rsidRDefault="00DB3C66" w:rsidP="00896DA6">
            <w:pPr>
              <w:numPr>
                <w:ilvl w:val="12"/>
                <w:numId w:val="0"/>
              </w:numPr>
              <w:ind w:right="-17"/>
              <w:jc w:val="right"/>
              <w:rPr>
                <w:i/>
                <w:sz w:val="18"/>
                <w:szCs w:val="18"/>
              </w:rPr>
            </w:pPr>
            <w:r w:rsidRPr="00135F7F">
              <w:rPr>
                <w:i/>
                <w:sz w:val="18"/>
                <w:szCs w:val="18"/>
              </w:rPr>
              <w:t xml:space="preserve">Annual discount rate </w:t>
            </w:r>
          </w:p>
        </w:tc>
      </w:tr>
      <w:tr w:rsidR="00A76DBC" w:rsidRPr="00135F7F" w14:paraId="01F92226" w14:textId="77777777" w:rsidTr="002108FF">
        <w:trPr>
          <w:trHeight w:val="20"/>
        </w:trPr>
        <w:tc>
          <w:tcPr>
            <w:tcW w:w="1770" w:type="pct"/>
            <w:tcBorders>
              <w:top w:val="nil"/>
              <w:left w:val="nil"/>
              <w:bottom w:val="nil"/>
              <w:right w:val="nil"/>
            </w:tcBorders>
            <w:vAlign w:val="bottom"/>
          </w:tcPr>
          <w:p w14:paraId="4D788F98" w14:textId="04F09F59" w:rsidR="00A76DBC" w:rsidRPr="00141AFD" w:rsidRDefault="00A76DBC" w:rsidP="00896DA6">
            <w:pPr>
              <w:ind w:left="426" w:right="-57" w:hanging="142"/>
              <w:rPr>
                <w:bCs w:val="0"/>
                <w:sz w:val="18"/>
                <w:szCs w:val="18"/>
              </w:rPr>
            </w:pPr>
            <w:r w:rsidRPr="00141AFD">
              <w:rPr>
                <w:sz w:val="18"/>
                <w:szCs w:val="18"/>
              </w:rPr>
              <w:t>Kenaikan gaji rata-rata per tahun</w:t>
            </w:r>
          </w:p>
        </w:tc>
        <w:tc>
          <w:tcPr>
            <w:tcW w:w="1846" w:type="pct"/>
            <w:tcBorders>
              <w:top w:val="nil"/>
              <w:left w:val="nil"/>
              <w:bottom w:val="nil"/>
              <w:right w:val="nil"/>
            </w:tcBorders>
            <w:vAlign w:val="bottom"/>
          </w:tcPr>
          <w:p w14:paraId="252994A9" w14:textId="26DA849A" w:rsidR="00A76DBC" w:rsidRPr="00135F7F" w:rsidRDefault="00A76DBC" w:rsidP="00896DA6">
            <w:pPr>
              <w:ind w:left="-108" w:right="-148"/>
              <w:jc w:val="center"/>
              <w:rPr>
                <w:bCs w:val="0"/>
                <w:sz w:val="18"/>
                <w:szCs w:val="18"/>
              </w:rPr>
            </w:pPr>
            <w:r w:rsidRPr="00135F7F">
              <w:rPr>
                <w:sz w:val="15"/>
              </w:rPr>
              <w:t>10% per tahun/</w:t>
            </w:r>
            <w:r w:rsidRPr="00135F7F">
              <w:rPr>
                <w:i/>
                <w:sz w:val="15"/>
              </w:rPr>
              <w:t>per annum</w:t>
            </w:r>
          </w:p>
        </w:tc>
        <w:tc>
          <w:tcPr>
            <w:tcW w:w="1384" w:type="pct"/>
            <w:tcBorders>
              <w:left w:val="nil"/>
              <w:right w:val="nil"/>
            </w:tcBorders>
            <w:vAlign w:val="bottom"/>
          </w:tcPr>
          <w:p w14:paraId="391792CC" w14:textId="77777777" w:rsidR="00862F9B" w:rsidRDefault="00A76DBC" w:rsidP="00896DA6">
            <w:pPr>
              <w:numPr>
                <w:ilvl w:val="12"/>
                <w:numId w:val="0"/>
              </w:numPr>
              <w:ind w:right="-17"/>
              <w:jc w:val="right"/>
              <w:rPr>
                <w:i/>
                <w:sz w:val="18"/>
                <w:szCs w:val="18"/>
              </w:rPr>
            </w:pPr>
            <w:r w:rsidRPr="00135F7F">
              <w:rPr>
                <w:i/>
                <w:sz w:val="18"/>
                <w:szCs w:val="18"/>
              </w:rPr>
              <w:t>Salary increment rate</w:t>
            </w:r>
          </w:p>
          <w:p w14:paraId="583EF2E5" w14:textId="4BEA8691" w:rsidR="00A76DBC" w:rsidRPr="00135F7F" w:rsidRDefault="00A76DBC" w:rsidP="00862F9B">
            <w:pPr>
              <w:numPr>
                <w:ilvl w:val="12"/>
                <w:numId w:val="0"/>
              </w:numPr>
              <w:ind w:right="113"/>
              <w:jc w:val="right"/>
              <w:rPr>
                <w:i/>
                <w:sz w:val="18"/>
                <w:szCs w:val="18"/>
              </w:rPr>
            </w:pPr>
            <w:r w:rsidRPr="00135F7F">
              <w:rPr>
                <w:i/>
                <w:sz w:val="18"/>
                <w:szCs w:val="18"/>
              </w:rPr>
              <w:t xml:space="preserve"> </w:t>
            </w:r>
            <w:r w:rsidR="00862F9B">
              <w:rPr>
                <w:i/>
                <w:sz w:val="18"/>
                <w:szCs w:val="18"/>
              </w:rPr>
              <w:t>p</w:t>
            </w:r>
            <w:r w:rsidRPr="00135F7F">
              <w:rPr>
                <w:i/>
                <w:sz w:val="18"/>
                <w:szCs w:val="18"/>
              </w:rPr>
              <w:t>er</w:t>
            </w:r>
            <w:r w:rsidR="00862F9B">
              <w:rPr>
                <w:i/>
                <w:sz w:val="18"/>
                <w:szCs w:val="18"/>
              </w:rPr>
              <w:t xml:space="preserve"> </w:t>
            </w:r>
            <w:r w:rsidRPr="00135F7F">
              <w:rPr>
                <w:i/>
                <w:sz w:val="18"/>
                <w:szCs w:val="18"/>
              </w:rPr>
              <w:t>annum</w:t>
            </w:r>
          </w:p>
        </w:tc>
      </w:tr>
      <w:tr w:rsidR="00A76DBC" w:rsidRPr="00135F7F" w14:paraId="2DE6D752" w14:textId="77777777" w:rsidTr="002108FF">
        <w:trPr>
          <w:trHeight w:val="20"/>
        </w:trPr>
        <w:tc>
          <w:tcPr>
            <w:tcW w:w="1770" w:type="pct"/>
            <w:tcBorders>
              <w:top w:val="nil"/>
              <w:left w:val="nil"/>
              <w:bottom w:val="nil"/>
              <w:right w:val="nil"/>
            </w:tcBorders>
          </w:tcPr>
          <w:p w14:paraId="4D9FAEF2" w14:textId="23A16F3F" w:rsidR="00A76DBC" w:rsidRPr="00141AFD" w:rsidRDefault="00A76DBC" w:rsidP="0013526B">
            <w:pPr>
              <w:ind w:left="284"/>
              <w:rPr>
                <w:bCs w:val="0"/>
                <w:sz w:val="18"/>
                <w:szCs w:val="18"/>
              </w:rPr>
            </w:pPr>
            <w:r w:rsidRPr="00141AFD">
              <w:rPr>
                <w:sz w:val="18"/>
                <w:szCs w:val="18"/>
              </w:rPr>
              <w:t>Usia pensiun normal</w:t>
            </w:r>
          </w:p>
        </w:tc>
        <w:tc>
          <w:tcPr>
            <w:tcW w:w="1846" w:type="pct"/>
            <w:tcBorders>
              <w:top w:val="nil"/>
              <w:left w:val="nil"/>
              <w:bottom w:val="nil"/>
              <w:right w:val="nil"/>
            </w:tcBorders>
          </w:tcPr>
          <w:p w14:paraId="02075B07" w14:textId="2D6875A2" w:rsidR="00A76DBC" w:rsidRPr="00135F7F" w:rsidRDefault="00A76DBC" w:rsidP="00896DA6">
            <w:pPr>
              <w:pStyle w:val="TableParagraph"/>
              <w:spacing w:line="169" w:lineRule="exact"/>
              <w:ind w:left="-108" w:right="-148"/>
              <w:jc w:val="center"/>
              <w:rPr>
                <w:rFonts w:ascii="Times New Roman" w:hAnsi="Times New Roman"/>
                <w:sz w:val="15"/>
              </w:rPr>
            </w:pPr>
            <w:r w:rsidRPr="00135F7F">
              <w:rPr>
                <w:rFonts w:ascii="Times New Roman" w:hAnsi="Times New Roman"/>
                <w:sz w:val="15"/>
              </w:rPr>
              <w:t>55 tahun/years</w:t>
            </w:r>
          </w:p>
        </w:tc>
        <w:tc>
          <w:tcPr>
            <w:tcW w:w="1384" w:type="pct"/>
            <w:tcBorders>
              <w:left w:val="nil"/>
              <w:right w:val="nil"/>
            </w:tcBorders>
          </w:tcPr>
          <w:p w14:paraId="268A979B" w14:textId="46DE1AD5" w:rsidR="00A76DBC" w:rsidRPr="00135F7F" w:rsidRDefault="00A76DBC" w:rsidP="00896DA6">
            <w:pPr>
              <w:numPr>
                <w:ilvl w:val="12"/>
                <w:numId w:val="0"/>
              </w:numPr>
              <w:ind w:right="-17"/>
              <w:jc w:val="right"/>
              <w:rPr>
                <w:i/>
                <w:sz w:val="18"/>
                <w:szCs w:val="18"/>
              </w:rPr>
            </w:pPr>
            <w:r w:rsidRPr="00135F7F">
              <w:rPr>
                <w:i/>
                <w:sz w:val="18"/>
                <w:szCs w:val="18"/>
              </w:rPr>
              <w:t>Normal retirement age</w:t>
            </w:r>
          </w:p>
        </w:tc>
      </w:tr>
      <w:tr w:rsidR="00A76DBC" w:rsidRPr="00135F7F" w14:paraId="3B7C21DE" w14:textId="77777777" w:rsidTr="002108FF">
        <w:trPr>
          <w:trHeight w:val="20"/>
        </w:trPr>
        <w:tc>
          <w:tcPr>
            <w:tcW w:w="1770" w:type="pct"/>
            <w:tcBorders>
              <w:top w:val="nil"/>
              <w:left w:val="nil"/>
              <w:bottom w:val="nil"/>
              <w:right w:val="nil"/>
            </w:tcBorders>
          </w:tcPr>
          <w:p w14:paraId="0BDF3F9B" w14:textId="03357B90" w:rsidR="00A76DBC" w:rsidRPr="00141AFD" w:rsidRDefault="00A76DBC" w:rsidP="0013526B">
            <w:pPr>
              <w:ind w:left="284"/>
              <w:rPr>
                <w:bCs w:val="0"/>
                <w:sz w:val="18"/>
                <w:szCs w:val="18"/>
              </w:rPr>
            </w:pPr>
            <w:r w:rsidRPr="00141AFD">
              <w:rPr>
                <w:sz w:val="18"/>
                <w:szCs w:val="18"/>
              </w:rPr>
              <w:t>Tabel Mortalita</w:t>
            </w:r>
          </w:p>
        </w:tc>
        <w:tc>
          <w:tcPr>
            <w:tcW w:w="1846" w:type="pct"/>
            <w:tcBorders>
              <w:top w:val="nil"/>
              <w:left w:val="nil"/>
              <w:bottom w:val="nil"/>
              <w:right w:val="nil"/>
            </w:tcBorders>
          </w:tcPr>
          <w:p w14:paraId="0E97D67B" w14:textId="30FFCC35" w:rsidR="00A76DBC" w:rsidRPr="00135F7F" w:rsidRDefault="00A76DBC" w:rsidP="00896DA6">
            <w:pPr>
              <w:pStyle w:val="TableParagraph"/>
              <w:spacing w:line="169" w:lineRule="exact"/>
              <w:ind w:left="-108" w:right="-148"/>
              <w:jc w:val="center"/>
              <w:rPr>
                <w:rFonts w:ascii="Times New Roman" w:hAnsi="Times New Roman"/>
                <w:sz w:val="15"/>
              </w:rPr>
            </w:pPr>
            <w:r w:rsidRPr="00135F7F">
              <w:rPr>
                <w:rFonts w:ascii="Times New Roman" w:hAnsi="Times New Roman"/>
                <w:sz w:val="15"/>
              </w:rPr>
              <w:t>TMI tahun/in 2011</w:t>
            </w:r>
          </w:p>
        </w:tc>
        <w:tc>
          <w:tcPr>
            <w:tcW w:w="1384" w:type="pct"/>
            <w:tcBorders>
              <w:left w:val="nil"/>
              <w:right w:val="nil"/>
            </w:tcBorders>
          </w:tcPr>
          <w:p w14:paraId="6CA971B5" w14:textId="208D6F27" w:rsidR="00A76DBC" w:rsidRPr="00135F7F" w:rsidRDefault="00A76DBC" w:rsidP="00896DA6">
            <w:pPr>
              <w:numPr>
                <w:ilvl w:val="12"/>
                <w:numId w:val="0"/>
              </w:numPr>
              <w:ind w:right="-17"/>
              <w:jc w:val="right"/>
              <w:rPr>
                <w:i/>
                <w:sz w:val="18"/>
                <w:szCs w:val="18"/>
              </w:rPr>
            </w:pPr>
            <w:r w:rsidRPr="00135F7F">
              <w:rPr>
                <w:i/>
                <w:sz w:val="18"/>
                <w:szCs w:val="18"/>
              </w:rPr>
              <w:t>Mortality table</w:t>
            </w:r>
          </w:p>
        </w:tc>
      </w:tr>
      <w:tr w:rsidR="00A76DBC" w:rsidRPr="0013526B" w14:paraId="5A84400A" w14:textId="77777777" w:rsidTr="002108FF">
        <w:trPr>
          <w:trHeight w:val="20"/>
        </w:trPr>
        <w:tc>
          <w:tcPr>
            <w:tcW w:w="1770" w:type="pct"/>
            <w:tcBorders>
              <w:top w:val="nil"/>
              <w:left w:val="nil"/>
              <w:bottom w:val="nil"/>
              <w:right w:val="nil"/>
            </w:tcBorders>
          </w:tcPr>
          <w:p w14:paraId="242C17E5" w14:textId="35D1F537" w:rsidR="00A76DBC" w:rsidRPr="00141AFD" w:rsidRDefault="00A76DBC" w:rsidP="0013526B">
            <w:pPr>
              <w:ind w:left="284"/>
              <w:rPr>
                <w:bCs w:val="0"/>
                <w:sz w:val="18"/>
                <w:szCs w:val="18"/>
              </w:rPr>
            </w:pPr>
            <w:r w:rsidRPr="00141AFD">
              <w:rPr>
                <w:sz w:val="18"/>
                <w:szCs w:val="18"/>
              </w:rPr>
              <w:t>Tingkat pengunduran diri</w:t>
            </w:r>
          </w:p>
        </w:tc>
        <w:tc>
          <w:tcPr>
            <w:tcW w:w="1846" w:type="pct"/>
            <w:tcBorders>
              <w:top w:val="nil"/>
              <w:left w:val="nil"/>
              <w:bottom w:val="nil"/>
              <w:right w:val="nil"/>
            </w:tcBorders>
          </w:tcPr>
          <w:p w14:paraId="2046610B" w14:textId="77777777" w:rsidR="00A76DBC" w:rsidRPr="00135F7F" w:rsidRDefault="00A76DBC" w:rsidP="00896DA6">
            <w:pPr>
              <w:pStyle w:val="TableParagraph"/>
              <w:spacing w:line="169" w:lineRule="exact"/>
              <w:ind w:left="-108" w:right="-148"/>
              <w:jc w:val="center"/>
              <w:rPr>
                <w:rFonts w:ascii="Times New Roman" w:hAnsi="Times New Roman"/>
                <w:sz w:val="15"/>
              </w:rPr>
            </w:pPr>
            <w:r w:rsidRPr="00135F7F">
              <w:rPr>
                <w:rFonts w:ascii="Times New Roman" w:hAnsi="Times New Roman"/>
                <w:sz w:val="15"/>
              </w:rPr>
              <w:t>6% untuk usia 20 - 29 tahun dan</w:t>
            </w:r>
          </w:p>
          <w:p w14:paraId="636A34D4" w14:textId="77777777" w:rsidR="00A76DBC" w:rsidRPr="00135F7F" w:rsidRDefault="00A76DBC" w:rsidP="00896DA6">
            <w:pPr>
              <w:pStyle w:val="TableParagraph"/>
              <w:spacing w:line="169" w:lineRule="exact"/>
              <w:ind w:left="-108" w:right="-148"/>
              <w:jc w:val="center"/>
              <w:rPr>
                <w:rFonts w:ascii="Times New Roman" w:hAnsi="Times New Roman"/>
                <w:sz w:val="15"/>
              </w:rPr>
            </w:pPr>
            <w:r w:rsidRPr="00135F7F">
              <w:rPr>
                <w:rFonts w:ascii="Times New Roman" w:hAnsi="Times New Roman"/>
                <w:sz w:val="15"/>
              </w:rPr>
              <w:t>menurun secara bertahap sampai</w:t>
            </w:r>
          </w:p>
          <w:p w14:paraId="5F8C1B7A" w14:textId="77777777" w:rsidR="00A76DBC" w:rsidRPr="00135F7F" w:rsidRDefault="00A76DBC" w:rsidP="00896DA6">
            <w:pPr>
              <w:pStyle w:val="TableParagraph"/>
              <w:spacing w:line="169" w:lineRule="exact"/>
              <w:ind w:left="-108" w:right="-148"/>
              <w:jc w:val="center"/>
              <w:rPr>
                <w:rFonts w:ascii="Times New Roman" w:hAnsi="Times New Roman"/>
                <w:sz w:val="15"/>
              </w:rPr>
            </w:pPr>
            <w:r w:rsidRPr="00135F7F">
              <w:rPr>
                <w:rFonts w:ascii="Times New Roman" w:hAnsi="Times New Roman"/>
                <w:sz w:val="15"/>
              </w:rPr>
              <w:t>dengan 1% pada usia 50 - 54 tahun serta asumsi tidak ada pengunduran</w:t>
            </w:r>
          </w:p>
          <w:p w14:paraId="355B7489" w14:textId="4D22A09D" w:rsidR="00A76DBC" w:rsidRPr="00135F7F" w:rsidRDefault="00A76DBC" w:rsidP="00896DA6">
            <w:pPr>
              <w:pStyle w:val="TableParagraph"/>
              <w:spacing w:line="169" w:lineRule="exact"/>
              <w:ind w:left="-108" w:right="-148"/>
              <w:jc w:val="center"/>
              <w:rPr>
                <w:rFonts w:ascii="Times New Roman" w:hAnsi="Times New Roman"/>
                <w:sz w:val="15"/>
              </w:rPr>
            </w:pPr>
            <w:r w:rsidRPr="00135F7F">
              <w:rPr>
                <w:rFonts w:ascii="Times New Roman" w:hAnsi="Times New Roman"/>
                <w:sz w:val="15"/>
              </w:rPr>
              <w:t>diri dari peserta berusia diatas 54 tahun/</w:t>
            </w:r>
            <w:r w:rsidR="00896DA6">
              <w:rPr>
                <w:rFonts w:ascii="Times New Roman" w:hAnsi="Times New Roman"/>
                <w:sz w:val="15"/>
              </w:rPr>
              <w:br/>
            </w:r>
            <w:r w:rsidRPr="00135F7F">
              <w:rPr>
                <w:rFonts w:ascii="Times New Roman" w:hAnsi="Times New Roman"/>
                <w:sz w:val="15"/>
              </w:rPr>
              <w:t xml:space="preserve">6% at age 20 </w:t>
            </w:r>
            <w:r w:rsidR="00007C5F">
              <w:rPr>
                <w:rFonts w:ascii="Times New Roman" w:hAnsi="Times New Roman"/>
                <w:sz w:val="15"/>
              </w:rPr>
              <w:t>-</w:t>
            </w:r>
            <w:r w:rsidRPr="00135F7F">
              <w:rPr>
                <w:rFonts w:ascii="Times New Roman" w:hAnsi="Times New Roman"/>
                <w:sz w:val="15"/>
              </w:rPr>
              <w:t xml:space="preserve"> 29</w:t>
            </w:r>
          </w:p>
          <w:p w14:paraId="799A425B" w14:textId="77777777" w:rsidR="00A76DBC" w:rsidRPr="00135F7F" w:rsidRDefault="00A76DBC" w:rsidP="00896DA6">
            <w:pPr>
              <w:pStyle w:val="TableParagraph"/>
              <w:spacing w:line="169" w:lineRule="exact"/>
              <w:ind w:left="-108" w:right="-148"/>
              <w:jc w:val="center"/>
              <w:rPr>
                <w:rFonts w:ascii="Times New Roman" w:hAnsi="Times New Roman"/>
                <w:sz w:val="15"/>
              </w:rPr>
            </w:pPr>
            <w:r w:rsidRPr="00135F7F">
              <w:rPr>
                <w:rFonts w:ascii="Times New Roman" w:hAnsi="Times New Roman"/>
                <w:sz w:val="15"/>
              </w:rPr>
              <w:t>and reducing linerly up to 1%</w:t>
            </w:r>
          </w:p>
          <w:p w14:paraId="4A9D624A" w14:textId="7DF11F22" w:rsidR="00A76DBC" w:rsidRPr="00135F7F" w:rsidRDefault="00A76DBC" w:rsidP="00896DA6">
            <w:pPr>
              <w:pStyle w:val="TableParagraph"/>
              <w:spacing w:line="169" w:lineRule="exact"/>
              <w:ind w:left="-108" w:right="-148"/>
              <w:jc w:val="center"/>
              <w:rPr>
                <w:rFonts w:ascii="Times New Roman" w:hAnsi="Times New Roman"/>
                <w:sz w:val="15"/>
              </w:rPr>
            </w:pPr>
            <w:r w:rsidRPr="00135F7F">
              <w:rPr>
                <w:rFonts w:ascii="Times New Roman" w:hAnsi="Times New Roman"/>
                <w:sz w:val="15"/>
              </w:rPr>
              <w:t xml:space="preserve">at age 50 - 54 and assuming no vountary </w:t>
            </w:r>
            <w:r w:rsidR="00896DA6">
              <w:rPr>
                <w:rFonts w:ascii="Times New Roman" w:hAnsi="Times New Roman"/>
                <w:sz w:val="15"/>
              </w:rPr>
              <w:br/>
            </w:r>
            <w:r w:rsidRPr="00135F7F">
              <w:rPr>
                <w:rFonts w:ascii="Times New Roman" w:hAnsi="Times New Roman"/>
                <w:sz w:val="15"/>
              </w:rPr>
              <w:t>resignation occur beyond age 54</w:t>
            </w:r>
          </w:p>
        </w:tc>
        <w:tc>
          <w:tcPr>
            <w:tcW w:w="1384" w:type="pct"/>
            <w:tcBorders>
              <w:left w:val="nil"/>
              <w:right w:val="nil"/>
            </w:tcBorders>
          </w:tcPr>
          <w:p w14:paraId="172AA839" w14:textId="7C9D1072" w:rsidR="00A76DBC" w:rsidRPr="0013526B" w:rsidRDefault="00A76DBC" w:rsidP="00896DA6">
            <w:pPr>
              <w:numPr>
                <w:ilvl w:val="12"/>
                <w:numId w:val="0"/>
              </w:numPr>
              <w:ind w:right="-17"/>
              <w:jc w:val="right"/>
              <w:rPr>
                <w:i/>
                <w:sz w:val="18"/>
                <w:szCs w:val="18"/>
              </w:rPr>
            </w:pPr>
            <w:r w:rsidRPr="00135F7F">
              <w:rPr>
                <w:i/>
                <w:sz w:val="18"/>
                <w:szCs w:val="18"/>
              </w:rPr>
              <w:t>Resignation rate</w:t>
            </w:r>
          </w:p>
        </w:tc>
      </w:tr>
      <w:tr w:rsidR="00A76DBC" w:rsidRPr="0013526B" w14:paraId="396F26CF" w14:textId="77777777" w:rsidTr="002108FF">
        <w:trPr>
          <w:trHeight w:val="20"/>
        </w:trPr>
        <w:tc>
          <w:tcPr>
            <w:tcW w:w="1770" w:type="pct"/>
            <w:tcBorders>
              <w:top w:val="nil"/>
              <w:left w:val="nil"/>
              <w:bottom w:val="nil"/>
              <w:right w:val="nil"/>
            </w:tcBorders>
          </w:tcPr>
          <w:p w14:paraId="7FCE3303" w14:textId="77777777" w:rsidR="00A76DBC" w:rsidRDefault="00A76DBC" w:rsidP="0013526B">
            <w:pPr>
              <w:ind w:left="284"/>
              <w:rPr>
                <w:sz w:val="15"/>
              </w:rPr>
            </w:pPr>
          </w:p>
        </w:tc>
        <w:tc>
          <w:tcPr>
            <w:tcW w:w="1846" w:type="pct"/>
            <w:tcBorders>
              <w:top w:val="nil"/>
              <w:left w:val="nil"/>
              <w:bottom w:val="nil"/>
              <w:right w:val="nil"/>
            </w:tcBorders>
          </w:tcPr>
          <w:p w14:paraId="2487E59D" w14:textId="77777777" w:rsidR="00A76DBC" w:rsidRPr="0013526B" w:rsidRDefault="00A76DBC" w:rsidP="0013526B">
            <w:pPr>
              <w:ind w:left="522" w:right="-57"/>
              <w:jc w:val="both"/>
              <w:rPr>
                <w:bCs w:val="0"/>
                <w:sz w:val="18"/>
                <w:szCs w:val="18"/>
              </w:rPr>
            </w:pPr>
          </w:p>
        </w:tc>
        <w:tc>
          <w:tcPr>
            <w:tcW w:w="1384" w:type="pct"/>
            <w:tcBorders>
              <w:left w:val="nil"/>
              <w:right w:val="nil"/>
            </w:tcBorders>
          </w:tcPr>
          <w:p w14:paraId="0C8084B1" w14:textId="50F90886" w:rsidR="00A76DBC" w:rsidRPr="00A76DBC" w:rsidRDefault="00A76DBC" w:rsidP="0013526B">
            <w:pPr>
              <w:numPr>
                <w:ilvl w:val="12"/>
                <w:numId w:val="0"/>
              </w:numPr>
              <w:ind w:right="57"/>
              <w:jc w:val="right"/>
              <w:rPr>
                <w:i/>
                <w:sz w:val="18"/>
                <w:szCs w:val="18"/>
              </w:rPr>
            </w:pPr>
          </w:p>
        </w:tc>
      </w:tr>
    </w:tbl>
    <w:p w14:paraId="1E99955A" w14:textId="0679E5E3" w:rsidR="00CA4E44" w:rsidRDefault="00CA4E44" w:rsidP="0013526B">
      <w:pPr>
        <w:rPr>
          <w:sz w:val="14"/>
          <w:szCs w:val="18"/>
        </w:rPr>
      </w:pPr>
    </w:p>
    <w:p w14:paraId="0D74E19A" w14:textId="5A572DA3" w:rsidR="00EE78B5" w:rsidRDefault="00EE78B5" w:rsidP="0013526B">
      <w:pPr>
        <w:rPr>
          <w:sz w:val="14"/>
          <w:szCs w:val="18"/>
        </w:rPr>
      </w:pPr>
    </w:p>
    <w:p w14:paraId="5D7EB508" w14:textId="0DCAFB23" w:rsidR="00EE78B5" w:rsidRDefault="00EE78B5" w:rsidP="0013526B">
      <w:pPr>
        <w:rPr>
          <w:sz w:val="14"/>
          <w:szCs w:val="18"/>
        </w:rPr>
      </w:pPr>
    </w:p>
    <w:p w14:paraId="3F112C81" w14:textId="360701C9" w:rsidR="00EE78B5" w:rsidRDefault="00EE78B5" w:rsidP="0013526B">
      <w:pPr>
        <w:rPr>
          <w:sz w:val="14"/>
          <w:szCs w:val="18"/>
        </w:rPr>
      </w:pPr>
    </w:p>
    <w:p w14:paraId="45DC48E5" w14:textId="0F18B04F" w:rsidR="00EE78B5" w:rsidRDefault="00EE78B5" w:rsidP="0013526B">
      <w:pPr>
        <w:rPr>
          <w:sz w:val="14"/>
          <w:szCs w:val="18"/>
        </w:rPr>
      </w:pPr>
    </w:p>
    <w:p w14:paraId="41308929" w14:textId="2CCF3EC9" w:rsidR="00EE78B5" w:rsidRDefault="00EE78B5" w:rsidP="0013526B">
      <w:pPr>
        <w:rPr>
          <w:sz w:val="14"/>
          <w:szCs w:val="18"/>
        </w:rPr>
      </w:pPr>
    </w:p>
    <w:tbl>
      <w:tblPr>
        <w:tblW w:w="9197" w:type="dxa"/>
        <w:tblInd w:w="392" w:type="dxa"/>
        <w:tblLook w:val="0000" w:firstRow="0" w:lastRow="0" w:firstColumn="0" w:lastColumn="0" w:noHBand="0" w:noVBand="0"/>
      </w:tblPr>
      <w:tblGrid>
        <w:gridCol w:w="4598"/>
        <w:gridCol w:w="4599"/>
      </w:tblGrid>
      <w:tr w:rsidR="00EE78B5" w:rsidRPr="00E019F9" w14:paraId="009C6CFA" w14:textId="77777777" w:rsidTr="00091DE4">
        <w:tc>
          <w:tcPr>
            <w:tcW w:w="2500" w:type="pct"/>
            <w:tcBorders>
              <w:top w:val="nil"/>
              <w:left w:val="nil"/>
              <w:bottom w:val="nil"/>
              <w:right w:val="nil"/>
            </w:tcBorders>
          </w:tcPr>
          <w:p w14:paraId="771AB61C" w14:textId="77777777" w:rsidR="00EE78B5" w:rsidRPr="00F93847" w:rsidRDefault="00EE78B5" w:rsidP="00091DE4">
            <w:pPr>
              <w:ind w:left="252" w:hanging="331"/>
              <w:jc w:val="both"/>
              <w:rPr>
                <w:b/>
                <w:bCs w:val="0"/>
                <w:sz w:val="18"/>
                <w:szCs w:val="18"/>
              </w:rPr>
            </w:pPr>
            <w:r>
              <w:rPr>
                <w:sz w:val="14"/>
                <w:szCs w:val="18"/>
              </w:rPr>
              <w:lastRenderedPageBreak/>
              <w:br w:type="page"/>
            </w:r>
            <w:r>
              <w:rPr>
                <w:b/>
                <w:bCs w:val="0"/>
                <w:sz w:val="18"/>
                <w:szCs w:val="18"/>
              </w:rPr>
              <w:t>21.  LIABILITAS IMBALAN PASCA KERJA - Lanjutan</w:t>
            </w:r>
          </w:p>
        </w:tc>
        <w:tc>
          <w:tcPr>
            <w:tcW w:w="2500" w:type="pct"/>
            <w:tcBorders>
              <w:top w:val="nil"/>
              <w:left w:val="nil"/>
              <w:bottom w:val="nil"/>
              <w:right w:val="nil"/>
            </w:tcBorders>
          </w:tcPr>
          <w:p w14:paraId="56C938FF" w14:textId="77777777" w:rsidR="00EE78B5" w:rsidRPr="00E019F9" w:rsidRDefault="00EE78B5" w:rsidP="00091DE4">
            <w:pPr>
              <w:ind w:left="252" w:hanging="252"/>
              <w:jc w:val="both"/>
              <w:rPr>
                <w:b/>
                <w:bCs w:val="0"/>
                <w:i/>
                <w:iCs/>
                <w:sz w:val="18"/>
                <w:szCs w:val="18"/>
              </w:rPr>
            </w:pPr>
            <w:r>
              <w:rPr>
                <w:b/>
                <w:bCs w:val="0"/>
                <w:i/>
                <w:iCs/>
                <w:sz w:val="18"/>
                <w:szCs w:val="18"/>
              </w:rPr>
              <w:t xml:space="preserve">21.  </w:t>
            </w:r>
            <w:r w:rsidRPr="00E019F9">
              <w:rPr>
                <w:b/>
                <w:bCs w:val="0"/>
                <w:i/>
                <w:iCs/>
                <w:sz w:val="18"/>
                <w:szCs w:val="18"/>
              </w:rPr>
              <w:t xml:space="preserve">POST EMPLOYMENT BENEFITS LIABILITIES </w:t>
            </w:r>
            <w:r>
              <w:rPr>
                <w:b/>
                <w:bCs w:val="0"/>
                <w:i/>
                <w:iCs/>
                <w:sz w:val="18"/>
                <w:szCs w:val="18"/>
              </w:rPr>
              <w:t>- Continued</w:t>
            </w:r>
          </w:p>
        </w:tc>
      </w:tr>
    </w:tbl>
    <w:p w14:paraId="25A88202" w14:textId="77777777" w:rsidR="00EE78B5" w:rsidRPr="00EE357F" w:rsidRDefault="00EE78B5" w:rsidP="0013526B">
      <w:pPr>
        <w:rPr>
          <w:sz w:val="14"/>
          <w:szCs w:val="18"/>
        </w:rPr>
      </w:pPr>
    </w:p>
    <w:tbl>
      <w:tblPr>
        <w:tblW w:w="9197" w:type="dxa"/>
        <w:tblInd w:w="364" w:type="dxa"/>
        <w:tblLook w:val="0000" w:firstRow="0" w:lastRow="0" w:firstColumn="0" w:lastColumn="0" w:noHBand="0" w:noVBand="0"/>
      </w:tblPr>
      <w:tblGrid>
        <w:gridCol w:w="4674"/>
        <w:gridCol w:w="4523"/>
      </w:tblGrid>
      <w:tr w:rsidR="00E15EB7" w:rsidRPr="0013526B" w14:paraId="646987CF" w14:textId="77777777" w:rsidTr="002108FF">
        <w:trPr>
          <w:trHeight w:val="509"/>
        </w:trPr>
        <w:tc>
          <w:tcPr>
            <w:tcW w:w="2541" w:type="pct"/>
            <w:tcBorders>
              <w:top w:val="nil"/>
              <w:left w:val="nil"/>
              <w:bottom w:val="nil"/>
              <w:right w:val="nil"/>
            </w:tcBorders>
          </w:tcPr>
          <w:p w14:paraId="05036FBF" w14:textId="1257762E" w:rsidR="00E15EB7" w:rsidRPr="0013526B" w:rsidRDefault="00A76DBC" w:rsidP="0013526B">
            <w:pPr>
              <w:ind w:left="284" w:right="-57"/>
              <w:jc w:val="both"/>
              <w:rPr>
                <w:sz w:val="18"/>
                <w:szCs w:val="18"/>
              </w:rPr>
            </w:pPr>
            <w:r w:rsidRPr="00A76DBC">
              <w:rPr>
                <w:bCs w:val="0"/>
                <w:sz w:val="18"/>
                <w:szCs w:val="18"/>
              </w:rPr>
              <w:t>Analisa sensitivitas untuk asumsi-asumsi yang signifikan pada tanggal 31 Desember 201</w:t>
            </w:r>
            <w:r w:rsidR="00B7202C">
              <w:rPr>
                <w:bCs w:val="0"/>
                <w:sz w:val="18"/>
                <w:szCs w:val="18"/>
              </w:rPr>
              <w:t>9</w:t>
            </w:r>
            <w:r w:rsidRPr="00A76DBC">
              <w:rPr>
                <w:bCs w:val="0"/>
                <w:sz w:val="18"/>
                <w:szCs w:val="18"/>
              </w:rPr>
              <w:t xml:space="preserve"> adalah sebagai berikut:</w:t>
            </w:r>
          </w:p>
        </w:tc>
        <w:tc>
          <w:tcPr>
            <w:tcW w:w="2459" w:type="pct"/>
            <w:tcBorders>
              <w:top w:val="nil"/>
              <w:left w:val="nil"/>
              <w:bottom w:val="nil"/>
              <w:right w:val="nil"/>
            </w:tcBorders>
          </w:tcPr>
          <w:p w14:paraId="1CA98378" w14:textId="02E285FE" w:rsidR="00E15EB7" w:rsidRPr="00A76DBC" w:rsidRDefault="00A76DBC" w:rsidP="00EE78B5">
            <w:pPr>
              <w:ind w:left="284" w:right="-57"/>
              <w:jc w:val="both"/>
              <w:rPr>
                <w:i/>
                <w:sz w:val="18"/>
                <w:szCs w:val="18"/>
              </w:rPr>
            </w:pPr>
            <w:r w:rsidRPr="00A76DBC">
              <w:rPr>
                <w:bCs w:val="0"/>
                <w:i/>
                <w:sz w:val="18"/>
                <w:szCs w:val="18"/>
              </w:rPr>
              <w:t>The sensitivity analysis for significant assumptions as of December 31</w:t>
            </w:r>
            <w:r w:rsidR="00305CA0">
              <w:rPr>
                <w:bCs w:val="0"/>
                <w:i/>
                <w:sz w:val="18"/>
                <w:szCs w:val="18"/>
              </w:rPr>
              <w:t>.</w:t>
            </w:r>
            <w:r w:rsidRPr="00A76DBC">
              <w:rPr>
                <w:bCs w:val="0"/>
                <w:i/>
                <w:sz w:val="18"/>
                <w:szCs w:val="18"/>
              </w:rPr>
              <w:t xml:space="preserve"> 201</w:t>
            </w:r>
            <w:r w:rsidR="00B7202C">
              <w:rPr>
                <w:bCs w:val="0"/>
                <w:i/>
                <w:sz w:val="18"/>
                <w:szCs w:val="18"/>
              </w:rPr>
              <w:t>9</w:t>
            </w:r>
            <w:r w:rsidRPr="00A76DBC">
              <w:rPr>
                <w:bCs w:val="0"/>
                <w:i/>
                <w:sz w:val="18"/>
                <w:szCs w:val="18"/>
              </w:rPr>
              <w:t xml:space="preserve"> are as follows:</w:t>
            </w:r>
          </w:p>
        </w:tc>
      </w:tr>
    </w:tbl>
    <w:p w14:paraId="50BC7190" w14:textId="77777777" w:rsidR="00677CA3" w:rsidRDefault="00677CA3">
      <w:pPr>
        <w:rPr>
          <w:sz w:val="6"/>
        </w:rPr>
      </w:pPr>
    </w:p>
    <w:p w14:paraId="77576492" w14:textId="77777777" w:rsidR="00012D74" w:rsidRDefault="00012D74">
      <w:pPr>
        <w:rPr>
          <w:sz w:val="6"/>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2112"/>
        <w:gridCol w:w="284"/>
        <w:gridCol w:w="2334"/>
        <w:gridCol w:w="2060"/>
      </w:tblGrid>
      <w:tr w:rsidR="00012D74" w:rsidRPr="00677EEC" w14:paraId="50E06267" w14:textId="77777777" w:rsidTr="002108FF">
        <w:tc>
          <w:tcPr>
            <w:tcW w:w="2424" w:type="dxa"/>
          </w:tcPr>
          <w:p w14:paraId="13546F08" w14:textId="77777777" w:rsidR="00012D74" w:rsidRPr="00012D74" w:rsidRDefault="00012D74">
            <w:pPr>
              <w:rPr>
                <w:sz w:val="18"/>
                <w:szCs w:val="18"/>
              </w:rPr>
            </w:pPr>
          </w:p>
        </w:tc>
        <w:tc>
          <w:tcPr>
            <w:tcW w:w="2112" w:type="dxa"/>
            <w:tcBorders>
              <w:bottom w:val="single" w:sz="4" w:space="0" w:color="auto"/>
            </w:tcBorders>
          </w:tcPr>
          <w:p w14:paraId="29343663" w14:textId="3156DA60" w:rsidR="00012D74" w:rsidRPr="00677EEC" w:rsidRDefault="00012D74" w:rsidP="00012D74">
            <w:pPr>
              <w:jc w:val="center"/>
              <w:rPr>
                <w:b/>
                <w:sz w:val="18"/>
                <w:szCs w:val="18"/>
              </w:rPr>
            </w:pPr>
            <w:r w:rsidRPr="00677EEC">
              <w:rPr>
                <w:b/>
                <w:sz w:val="18"/>
                <w:szCs w:val="18"/>
              </w:rPr>
              <w:t>Kenaikan tingkat bunga diskonto/</w:t>
            </w:r>
            <w:r w:rsidRPr="00677EEC">
              <w:rPr>
                <w:b/>
                <w:sz w:val="18"/>
                <w:szCs w:val="18"/>
              </w:rPr>
              <w:br/>
              <w:t>Increase in discount rate 1%</w:t>
            </w:r>
          </w:p>
        </w:tc>
        <w:tc>
          <w:tcPr>
            <w:tcW w:w="284" w:type="dxa"/>
          </w:tcPr>
          <w:p w14:paraId="7D8F84A7" w14:textId="77777777" w:rsidR="00012D74" w:rsidRPr="00677EEC" w:rsidRDefault="00012D74" w:rsidP="00012D74">
            <w:pPr>
              <w:jc w:val="center"/>
              <w:rPr>
                <w:b/>
                <w:sz w:val="18"/>
                <w:szCs w:val="18"/>
              </w:rPr>
            </w:pPr>
          </w:p>
        </w:tc>
        <w:tc>
          <w:tcPr>
            <w:tcW w:w="2334" w:type="dxa"/>
            <w:tcBorders>
              <w:bottom w:val="single" w:sz="4" w:space="0" w:color="auto"/>
            </w:tcBorders>
          </w:tcPr>
          <w:p w14:paraId="053F69F9" w14:textId="77777777" w:rsidR="00E5121F" w:rsidRPr="00677EEC" w:rsidRDefault="00012D74" w:rsidP="00012D74">
            <w:pPr>
              <w:jc w:val="center"/>
              <w:rPr>
                <w:b/>
                <w:sz w:val="18"/>
                <w:szCs w:val="18"/>
              </w:rPr>
            </w:pPr>
            <w:r w:rsidRPr="00677EEC">
              <w:rPr>
                <w:b/>
                <w:sz w:val="18"/>
                <w:szCs w:val="18"/>
              </w:rPr>
              <w:t xml:space="preserve">Penurunan tingkat bunga diskonto/ Decrease in discount rate </w:t>
            </w:r>
          </w:p>
          <w:p w14:paraId="53173B72" w14:textId="692D2DB5" w:rsidR="00012D74" w:rsidRPr="00677EEC" w:rsidRDefault="00012D74" w:rsidP="00012D74">
            <w:pPr>
              <w:jc w:val="center"/>
              <w:rPr>
                <w:b/>
                <w:sz w:val="18"/>
                <w:szCs w:val="18"/>
              </w:rPr>
            </w:pPr>
            <w:r w:rsidRPr="00677EEC">
              <w:rPr>
                <w:b/>
                <w:sz w:val="18"/>
                <w:szCs w:val="18"/>
              </w:rPr>
              <w:t>1%</w:t>
            </w:r>
          </w:p>
        </w:tc>
        <w:tc>
          <w:tcPr>
            <w:tcW w:w="2060" w:type="dxa"/>
          </w:tcPr>
          <w:p w14:paraId="3D506931" w14:textId="77777777" w:rsidR="00012D74" w:rsidRPr="00677EEC" w:rsidRDefault="00012D74">
            <w:pPr>
              <w:rPr>
                <w:sz w:val="18"/>
                <w:szCs w:val="18"/>
              </w:rPr>
            </w:pPr>
          </w:p>
        </w:tc>
      </w:tr>
      <w:tr w:rsidR="00012D74" w:rsidRPr="00677EEC" w14:paraId="6ADE8303" w14:textId="77777777" w:rsidTr="002108FF">
        <w:tc>
          <w:tcPr>
            <w:tcW w:w="2424" w:type="dxa"/>
          </w:tcPr>
          <w:p w14:paraId="2199DF3A" w14:textId="77777777" w:rsidR="00E5121F" w:rsidRPr="00677EEC" w:rsidRDefault="00012D74" w:rsidP="00012D74">
            <w:pPr>
              <w:ind w:left="284" w:right="-57"/>
              <w:jc w:val="both"/>
              <w:rPr>
                <w:bCs w:val="0"/>
                <w:sz w:val="18"/>
                <w:szCs w:val="18"/>
              </w:rPr>
            </w:pPr>
            <w:r w:rsidRPr="00677EEC">
              <w:rPr>
                <w:bCs w:val="0"/>
                <w:sz w:val="18"/>
                <w:szCs w:val="18"/>
              </w:rPr>
              <w:t>Dampak terhadap liabilitas</w:t>
            </w:r>
          </w:p>
          <w:p w14:paraId="4B2BEEF2" w14:textId="0E7E629D" w:rsidR="00012D74" w:rsidRPr="00677EEC" w:rsidRDefault="00012D74" w:rsidP="00E5121F">
            <w:pPr>
              <w:ind w:left="397" w:right="-57"/>
              <w:jc w:val="both"/>
              <w:rPr>
                <w:sz w:val="18"/>
                <w:szCs w:val="18"/>
              </w:rPr>
            </w:pPr>
            <w:r w:rsidRPr="00677EEC">
              <w:rPr>
                <w:bCs w:val="0"/>
                <w:sz w:val="18"/>
                <w:szCs w:val="18"/>
              </w:rPr>
              <w:t>imbalan pasti</w:t>
            </w:r>
          </w:p>
        </w:tc>
        <w:tc>
          <w:tcPr>
            <w:tcW w:w="2112" w:type="dxa"/>
            <w:tcBorders>
              <w:top w:val="single" w:sz="4" w:space="0" w:color="auto"/>
            </w:tcBorders>
          </w:tcPr>
          <w:p w14:paraId="4A387305" w14:textId="77777777" w:rsidR="00482C85" w:rsidRPr="00677EEC" w:rsidRDefault="00482C85" w:rsidP="00012D74">
            <w:pPr>
              <w:jc w:val="center"/>
              <w:rPr>
                <w:sz w:val="15"/>
              </w:rPr>
            </w:pPr>
          </w:p>
          <w:p w14:paraId="6F7A9879" w14:textId="1AE43E66" w:rsidR="00012D74" w:rsidRPr="00677EEC" w:rsidRDefault="00012D74" w:rsidP="00012D74">
            <w:pPr>
              <w:jc w:val="center"/>
              <w:rPr>
                <w:sz w:val="18"/>
                <w:szCs w:val="18"/>
              </w:rPr>
            </w:pPr>
            <w:r w:rsidRPr="00677EEC">
              <w:rPr>
                <w:sz w:val="15"/>
              </w:rPr>
              <w:t>5.771.410.950</w:t>
            </w:r>
          </w:p>
        </w:tc>
        <w:tc>
          <w:tcPr>
            <w:tcW w:w="284" w:type="dxa"/>
          </w:tcPr>
          <w:p w14:paraId="1F84371C" w14:textId="77777777" w:rsidR="00012D74" w:rsidRPr="00677EEC" w:rsidRDefault="00012D74" w:rsidP="00012D74">
            <w:pPr>
              <w:jc w:val="center"/>
              <w:rPr>
                <w:sz w:val="18"/>
                <w:szCs w:val="18"/>
              </w:rPr>
            </w:pPr>
          </w:p>
        </w:tc>
        <w:tc>
          <w:tcPr>
            <w:tcW w:w="2334" w:type="dxa"/>
            <w:tcBorders>
              <w:top w:val="single" w:sz="4" w:space="0" w:color="auto"/>
            </w:tcBorders>
          </w:tcPr>
          <w:p w14:paraId="72A15723" w14:textId="77777777" w:rsidR="00482C85" w:rsidRPr="00677EEC" w:rsidRDefault="00482C85" w:rsidP="00012D74">
            <w:pPr>
              <w:jc w:val="center"/>
              <w:rPr>
                <w:sz w:val="15"/>
              </w:rPr>
            </w:pPr>
          </w:p>
          <w:p w14:paraId="4D383CA3" w14:textId="5F934F52" w:rsidR="00012D74" w:rsidRPr="00677EEC" w:rsidRDefault="00012D74" w:rsidP="00012D74">
            <w:pPr>
              <w:jc w:val="center"/>
              <w:rPr>
                <w:sz w:val="18"/>
                <w:szCs w:val="18"/>
              </w:rPr>
            </w:pPr>
            <w:r w:rsidRPr="00677EEC">
              <w:rPr>
                <w:sz w:val="15"/>
              </w:rPr>
              <w:t>6.871.308.564</w:t>
            </w:r>
          </w:p>
        </w:tc>
        <w:tc>
          <w:tcPr>
            <w:tcW w:w="2060" w:type="dxa"/>
          </w:tcPr>
          <w:p w14:paraId="213A57E9" w14:textId="77777777" w:rsidR="00E5121F" w:rsidRPr="00677EEC" w:rsidRDefault="00012D74" w:rsidP="00E5121F">
            <w:pPr>
              <w:numPr>
                <w:ilvl w:val="12"/>
                <w:numId w:val="0"/>
              </w:numPr>
              <w:ind w:right="-1"/>
              <w:jc w:val="right"/>
              <w:rPr>
                <w:i/>
                <w:sz w:val="18"/>
                <w:szCs w:val="18"/>
              </w:rPr>
            </w:pPr>
            <w:r w:rsidRPr="00677EEC">
              <w:rPr>
                <w:i/>
                <w:sz w:val="18"/>
                <w:szCs w:val="18"/>
              </w:rPr>
              <w:t>Effect on defined benefit</w:t>
            </w:r>
          </w:p>
          <w:p w14:paraId="017B1B9A" w14:textId="31BFAC1B" w:rsidR="00012D74" w:rsidRPr="00677EEC" w:rsidRDefault="00012D74" w:rsidP="00E5121F">
            <w:pPr>
              <w:numPr>
                <w:ilvl w:val="12"/>
                <w:numId w:val="0"/>
              </w:numPr>
              <w:ind w:right="170"/>
              <w:jc w:val="right"/>
              <w:rPr>
                <w:sz w:val="18"/>
                <w:szCs w:val="18"/>
              </w:rPr>
            </w:pPr>
            <w:r w:rsidRPr="00677EEC">
              <w:rPr>
                <w:i/>
                <w:sz w:val="18"/>
                <w:szCs w:val="18"/>
              </w:rPr>
              <w:t>obligation</w:t>
            </w:r>
          </w:p>
        </w:tc>
      </w:tr>
    </w:tbl>
    <w:p w14:paraId="6EBA3DB5" w14:textId="77777777" w:rsidR="00012D74" w:rsidRPr="00677EEC" w:rsidRDefault="00012D74">
      <w:pPr>
        <w:rPr>
          <w:sz w:val="6"/>
        </w:rPr>
      </w:pPr>
    </w:p>
    <w:p w14:paraId="79DE2E94" w14:textId="77777777" w:rsidR="00012D74" w:rsidRPr="00677EEC" w:rsidRDefault="00012D74">
      <w:pPr>
        <w:rPr>
          <w:sz w:val="6"/>
        </w:rPr>
      </w:pPr>
    </w:p>
    <w:p w14:paraId="5BADDE46" w14:textId="77777777" w:rsidR="00012D74" w:rsidRPr="00677EEC" w:rsidRDefault="00012D74">
      <w:pPr>
        <w:rPr>
          <w:sz w:val="6"/>
        </w:rPr>
      </w:pPr>
    </w:p>
    <w:p w14:paraId="5B7FE368" w14:textId="77777777" w:rsidR="00012D74" w:rsidRPr="00677EEC" w:rsidRDefault="00012D74">
      <w:pPr>
        <w:rPr>
          <w:sz w:val="6"/>
        </w:rPr>
      </w:pPr>
    </w:p>
    <w:tbl>
      <w:tblPr>
        <w:tblStyle w:val="TableGrid"/>
        <w:tblW w:w="0" w:type="auto"/>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2112"/>
        <w:gridCol w:w="284"/>
        <w:gridCol w:w="2334"/>
        <w:gridCol w:w="2060"/>
      </w:tblGrid>
      <w:tr w:rsidR="00012D74" w:rsidRPr="00677EEC" w14:paraId="1C30FB36" w14:textId="77777777" w:rsidTr="002108FF">
        <w:tc>
          <w:tcPr>
            <w:tcW w:w="2424" w:type="dxa"/>
          </w:tcPr>
          <w:p w14:paraId="3B353AF8" w14:textId="77777777" w:rsidR="00012D74" w:rsidRPr="00677EEC" w:rsidRDefault="00012D74" w:rsidP="00103568">
            <w:pPr>
              <w:rPr>
                <w:sz w:val="18"/>
                <w:szCs w:val="18"/>
              </w:rPr>
            </w:pPr>
          </w:p>
        </w:tc>
        <w:tc>
          <w:tcPr>
            <w:tcW w:w="2112" w:type="dxa"/>
            <w:tcBorders>
              <w:bottom w:val="single" w:sz="4" w:space="0" w:color="auto"/>
            </w:tcBorders>
          </w:tcPr>
          <w:p w14:paraId="04241FFA" w14:textId="60911580" w:rsidR="00012D74" w:rsidRPr="00677EEC" w:rsidRDefault="00012D74" w:rsidP="00012D74">
            <w:pPr>
              <w:jc w:val="center"/>
              <w:rPr>
                <w:b/>
                <w:sz w:val="18"/>
                <w:szCs w:val="18"/>
              </w:rPr>
            </w:pPr>
            <w:r w:rsidRPr="00677EEC">
              <w:rPr>
                <w:b/>
                <w:sz w:val="18"/>
                <w:szCs w:val="18"/>
              </w:rPr>
              <w:t>Kenaikan tingkat kenaikan gaji/</w:t>
            </w:r>
            <w:r w:rsidRPr="00677EEC">
              <w:rPr>
                <w:b/>
                <w:sz w:val="18"/>
                <w:szCs w:val="18"/>
              </w:rPr>
              <w:br/>
            </w:r>
            <w:r w:rsidRPr="00677EEC">
              <w:rPr>
                <w:b/>
                <w:i/>
                <w:sz w:val="18"/>
                <w:szCs w:val="18"/>
              </w:rPr>
              <w:t>Increase in salary increment rate 1%</w:t>
            </w:r>
          </w:p>
        </w:tc>
        <w:tc>
          <w:tcPr>
            <w:tcW w:w="284" w:type="dxa"/>
          </w:tcPr>
          <w:p w14:paraId="78EB722A" w14:textId="77777777" w:rsidR="00012D74" w:rsidRPr="00677EEC" w:rsidRDefault="00012D74" w:rsidP="00103568">
            <w:pPr>
              <w:jc w:val="center"/>
              <w:rPr>
                <w:b/>
                <w:sz w:val="18"/>
                <w:szCs w:val="18"/>
              </w:rPr>
            </w:pPr>
          </w:p>
        </w:tc>
        <w:tc>
          <w:tcPr>
            <w:tcW w:w="2334" w:type="dxa"/>
            <w:tcBorders>
              <w:bottom w:val="single" w:sz="4" w:space="0" w:color="auto"/>
            </w:tcBorders>
          </w:tcPr>
          <w:p w14:paraId="7B87A5DF" w14:textId="3AC3CAD2" w:rsidR="00012D74" w:rsidRPr="00677EEC" w:rsidRDefault="00012D74" w:rsidP="00012D74">
            <w:pPr>
              <w:jc w:val="center"/>
              <w:rPr>
                <w:b/>
                <w:sz w:val="18"/>
                <w:szCs w:val="18"/>
              </w:rPr>
            </w:pPr>
            <w:r w:rsidRPr="00677EEC">
              <w:rPr>
                <w:b/>
                <w:sz w:val="18"/>
                <w:szCs w:val="18"/>
              </w:rPr>
              <w:t xml:space="preserve">Penurunan tingkat kenaikan gaji/ </w:t>
            </w:r>
            <w:r w:rsidRPr="00677EEC">
              <w:rPr>
                <w:b/>
                <w:sz w:val="18"/>
                <w:szCs w:val="18"/>
              </w:rPr>
              <w:br/>
            </w:r>
            <w:r w:rsidRPr="00677EEC">
              <w:rPr>
                <w:b/>
                <w:i/>
                <w:sz w:val="18"/>
                <w:szCs w:val="18"/>
              </w:rPr>
              <w:t>Decrease in salary increament rate 1%</w:t>
            </w:r>
            <w:r w:rsidRPr="00677EEC">
              <w:rPr>
                <w:b/>
                <w:sz w:val="18"/>
                <w:szCs w:val="18"/>
              </w:rPr>
              <w:t xml:space="preserve"> </w:t>
            </w:r>
          </w:p>
        </w:tc>
        <w:tc>
          <w:tcPr>
            <w:tcW w:w="2060" w:type="dxa"/>
          </w:tcPr>
          <w:p w14:paraId="1DF35C84" w14:textId="77777777" w:rsidR="00012D74" w:rsidRPr="00677EEC" w:rsidRDefault="00012D74" w:rsidP="00103568">
            <w:pPr>
              <w:rPr>
                <w:sz w:val="18"/>
                <w:szCs w:val="18"/>
              </w:rPr>
            </w:pPr>
          </w:p>
        </w:tc>
      </w:tr>
      <w:tr w:rsidR="00012D74" w:rsidRPr="00677EEC" w14:paraId="7A2F2AC3" w14:textId="77777777" w:rsidTr="002108FF">
        <w:tc>
          <w:tcPr>
            <w:tcW w:w="2424" w:type="dxa"/>
          </w:tcPr>
          <w:p w14:paraId="41B0F15C" w14:textId="77777777" w:rsidR="00E5121F" w:rsidRPr="00677EEC" w:rsidRDefault="00012D74" w:rsidP="00103568">
            <w:pPr>
              <w:ind w:left="284" w:right="-57"/>
              <w:jc w:val="both"/>
              <w:rPr>
                <w:bCs w:val="0"/>
                <w:sz w:val="18"/>
                <w:szCs w:val="18"/>
              </w:rPr>
            </w:pPr>
            <w:r w:rsidRPr="00677EEC">
              <w:rPr>
                <w:bCs w:val="0"/>
                <w:sz w:val="18"/>
                <w:szCs w:val="18"/>
              </w:rPr>
              <w:t>Dampak terhadap liabilitas</w:t>
            </w:r>
          </w:p>
          <w:p w14:paraId="1E22167E" w14:textId="6B6FF904" w:rsidR="00012D74" w:rsidRPr="00677EEC" w:rsidRDefault="00012D74" w:rsidP="00E5121F">
            <w:pPr>
              <w:ind w:left="397" w:right="-57"/>
              <w:jc w:val="both"/>
              <w:rPr>
                <w:sz w:val="18"/>
                <w:szCs w:val="18"/>
              </w:rPr>
            </w:pPr>
            <w:r w:rsidRPr="00677EEC">
              <w:rPr>
                <w:bCs w:val="0"/>
                <w:sz w:val="18"/>
                <w:szCs w:val="18"/>
              </w:rPr>
              <w:t>imbalan pasti</w:t>
            </w:r>
          </w:p>
        </w:tc>
        <w:tc>
          <w:tcPr>
            <w:tcW w:w="2112" w:type="dxa"/>
            <w:tcBorders>
              <w:top w:val="single" w:sz="4" w:space="0" w:color="auto"/>
            </w:tcBorders>
          </w:tcPr>
          <w:p w14:paraId="3298CF21" w14:textId="77777777" w:rsidR="00482C85" w:rsidRPr="00677EEC" w:rsidRDefault="00482C85" w:rsidP="00103568">
            <w:pPr>
              <w:jc w:val="center"/>
              <w:rPr>
                <w:sz w:val="15"/>
              </w:rPr>
            </w:pPr>
          </w:p>
          <w:p w14:paraId="1CC5AB61" w14:textId="083C45E5" w:rsidR="00012D74" w:rsidRPr="00677EEC" w:rsidRDefault="00482C85" w:rsidP="00103568">
            <w:pPr>
              <w:jc w:val="center"/>
              <w:rPr>
                <w:sz w:val="18"/>
                <w:szCs w:val="18"/>
              </w:rPr>
            </w:pPr>
            <w:r w:rsidRPr="00677EEC">
              <w:rPr>
                <w:sz w:val="15"/>
              </w:rPr>
              <w:t>6.759.809.612</w:t>
            </w:r>
          </w:p>
        </w:tc>
        <w:tc>
          <w:tcPr>
            <w:tcW w:w="284" w:type="dxa"/>
          </w:tcPr>
          <w:p w14:paraId="664C6647" w14:textId="77777777" w:rsidR="00012D74" w:rsidRPr="00677EEC" w:rsidRDefault="00012D74" w:rsidP="00103568">
            <w:pPr>
              <w:jc w:val="center"/>
              <w:rPr>
                <w:sz w:val="18"/>
                <w:szCs w:val="18"/>
              </w:rPr>
            </w:pPr>
          </w:p>
        </w:tc>
        <w:tc>
          <w:tcPr>
            <w:tcW w:w="2334" w:type="dxa"/>
            <w:tcBorders>
              <w:top w:val="single" w:sz="4" w:space="0" w:color="auto"/>
            </w:tcBorders>
          </w:tcPr>
          <w:p w14:paraId="2B4EF0BE" w14:textId="77777777" w:rsidR="00482C85" w:rsidRPr="00677EEC" w:rsidRDefault="00482C85" w:rsidP="00103568">
            <w:pPr>
              <w:jc w:val="center"/>
              <w:rPr>
                <w:sz w:val="15"/>
              </w:rPr>
            </w:pPr>
          </w:p>
          <w:p w14:paraId="1BFC9AEB" w14:textId="413A8E38" w:rsidR="00012D74" w:rsidRPr="00677EEC" w:rsidRDefault="00482C85" w:rsidP="00103568">
            <w:pPr>
              <w:jc w:val="center"/>
              <w:rPr>
                <w:sz w:val="18"/>
                <w:szCs w:val="18"/>
              </w:rPr>
            </w:pPr>
            <w:r w:rsidRPr="00677EEC">
              <w:rPr>
                <w:sz w:val="15"/>
              </w:rPr>
              <w:t>5.795.604.234</w:t>
            </w:r>
          </w:p>
        </w:tc>
        <w:tc>
          <w:tcPr>
            <w:tcW w:w="2060" w:type="dxa"/>
          </w:tcPr>
          <w:p w14:paraId="11CD87BB" w14:textId="77777777" w:rsidR="00E5121F" w:rsidRPr="00677EEC" w:rsidRDefault="00012D74" w:rsidP="00E5121F">
            <w:pPr>
              <w:numPr>
                <w:ilvl w:val="12"/>
                <w:numId w:val="0"/>
              </w:numPr>
              <w:ind w:right="-4"/>
              <w:jc w:val="right"/>
              <w:rPr>
                <w:i/>
                <w:sz w:val="18"/>
                <w:szCs w:val="18"/>
              </w:rPr>
            </w:pPr>
            <w:r w:rsidRPr="00677EEC">
              <w:rPr>
                <w:i/>
                <w:sz w:val="18"/>
                <w:szCs w:val="18"/>
              </w:rPr>
              <w:t>Effect on defined benefit</w:t>
            </w:r>
          </w:p>
          <w:p w14:paraId="44CFFD24" w14:textId="3A34AC94" w:rsidR="00012D74" w:rsidRPr="00677EEC" w:rsidRDefault="00012D74" w:rsidP="00E5121F">
            <w:pPr>
              <w:numPr>
                <w:ilvl w:val="12"/>
                <w:numId w:val="0"/>
              </w:numPr>
              <w:ind w:right="170"/>
              <w:jc w:val="right"/>
              <w:rPr>
                <w:sz w:val="18"/>
                <w:szCs w:val="18"/>
              </w:rPr>
            </w:pPr>
            <w:r w:rsidRPr="00677EEC">
              <w:rPr>
                <w:i/>
                <w:sz w:val="18"/>
                <w:szCs w:val="18"/>
              </w:rPr>
              <w:t>obligation</w:t>
            </w:r>
          </w:p>
        </w:tc>
      </w:tr>
    </w:tbl>
    <w:p w14:paraId="5443F00F" w14:textId="77777777" w:rsidR="00012D74" w:rsidRPr="00677EEC" w:rsidRDefault="00012D74">
      <w:pPr>
        <w:rPr>
          <w:sz w:val="6"/>
        </w:rPr>
      </w:pPr>
    </w:p>
    <w:p w14:paraId="2CDFF514" w14:textId="77777777" w:rsidR="00012D74" w:rsidRDefault="00012D74">
      <w:pPr>
        <w:rPr>
          <w:sz w:val="6"/>
        </w:rPr>
      </w:pPr>
    </w:p>
    <w:p w14:paraId="40269812" w14:textId="77777777" w:rsidR="00482C85" w:rsidRDefault="00482C85">
      <w:pPr>
        <w:rPr>
          <w:sz w:val="6"/>
        </w:rPr>
      </w:pPr>
    </w:p>
    <w:p w14:paraId="13708B29" w14:textId="77777777" w:rsidR="008746F7" w:rsidRPr="008746F7" w:rsidRDefault="008746F7">
      <w:pPr>
        <w:rPr>
          <w:sz w:val="16"/>
          <w:szCs w:val="16"/>
        </w:rPr>
      </w:pPr>
    </w:p>
    <w:tbl>
      <w:tblPr>
        <w:tblW w:w="9197" w:type="dxa"/>
        <w:tblInd w:w="392" w:type="dxa"/>
        <w:tblLayout w:type="fixed"/>
        <w:tblLook w:val="0000" w:firstRow="0" w:lastRow="0" w:firstColumn="0" w:lastColumn="0" w:noHBand="0" w:noVBand="0"/>
      </w:tblPr>
      <w:tblGrid>
        <w:gridCol w:w="4598"/>
        <w:gridCol w:w="4599"/>
      </w:tblGrid>
      <w:tr w:rsidR="00083896" w:rsidRPr="00E5121F" w14:paraId="47B71D65" w14:textId="77777777" w:rsidTr="002108FF">
        <w:tc>
          <w:tcPr>
            <w:tcW w:w="2500" w:type="pct"/>
            <w:tcBorders>
              <w:top w:val="nil"/>
              <w:left w:val="nil"/>
              <w:bottom w:val="nil"/>
              <w:right w:val="nil"/>
            </w:tcBorders>
          </w:tcPr>
          <w:p w14:paraId="54D2A66E" w14:textId="6EE21077" w:rsidR="00083896" w:rsidRPr="00E5121F" w:rsidRDefault="00B74074" w:rsidP="00070D1F">
            <w:pPr>
              <w:numPr>
                <w:ilvl w:val="0"/>
                <w:numId w:val="337"/>
              </w:numPr>
              <w:ind w:left="346" w:hanging="284"/>
              <w:jc w:val="both"/>
              <w:rPr>
                <w:b/>
                <w:bCs w:val="0"/>
                <w:sz w:val="18"/>
                <w:szCs w:val="18"/>
              </w:rPr>
            </w:pPr>
            <w:r>
              <w:rPr>
                <w:sz w:val="14"/>
              </w:rPr>
              <w:br w:type="page"/>
            </w:r>
            <w:r w:rsidR="00083896" w:rsidRPr="00E5121F">
              <w:rPr>
                <w:b/>
                <w:bCs w:val="0"/>
                <w:sz w:val="18"/>
                <w:szCs w:val="18"/>
              </w:rPr>
              <w:t>MODAL SAHAM</w:t>
            </w:r>
          </w:p>
        </w:tc>
        <w:tc>
          <w:tcPr>
            <w:tcW w:w="2500" w:type="pct"/>
            <w:tcBorders>
              <w:top w:val="nil"/>
              <w:left w:val="nil"/>
              <w:bottom w:val="nil"/>
              <w:right w:val="nil"/>
            </w:tcBorders>
          </w:tcPr>
          <w:p w14:paraId="3047A5F9" w14:textId="77777777" w:rsidR="00083896" w:rsidRPr="00E5121F" w:rsidRDefault="00083896" w:rsidP="00070D1F">
            <w:pPr>
              <w:numPr>
                <w:ilvl w:val="0"/>
                <w:numId w:val="355"/>
              </w:numPr>
              <w:jc w:val="both"/>
              <w:rPr>
                <w:b/>
                <w:bCs w:val="0"/>
                <w:i/>
                <w:iCs/>
                <w:sz w:val="18"/>
                <w:szCs w:val="18"/>
              </w:rPr>
            </w:pPr>
            <w:r w:rsidRPr="00E5121F">
              <w:rPr>
                <w:b/>
                <w:bCs w:val="0"/>
                <w:i/>
                <w:iCs/>
                <w:sz w:val="18"/>
                <w:szCs w:val="18"/>
              </w:rPr>
              <w:t>CAPITAL STOCK</w:t>
            </w:r>
          </w:p>
        </w:tc>
      </w:tr>
      <w:tr w:rsidR="00083896" w:rsidRPr="0013526B" w14:paraId="3610E9C3" w14:textId="77777777" w:rsidTr="002108FF">
        <w:tc>
          <w:tcPr>
            <w:tcW w:w="2500" w:type="pct"/>
            <w:tcBorders>
              <w:top w:val="nil"/>
              <w:left w:val="nil"/>
              <w:bottom w:val="nil"/>
              <w:right w:val="nil"/>
            </w:tcBorders>
          </w:tcPr>
          <w:p w14:paraId="56EF80A9" w14:textId="77777777" w:rsidR="00083896" w:rsidRPr="0013526B" w:rsidRDefault="00083896" w:rsidP="0013526B">
            <w:pPr>
              <w:ind w:left="709"/>
              <w:jc w:val="both"/>
              <w:rPr>
                <w:sz w:val="18"/>
                <w:szCs w:val="18"/>
              </w:rPr>
            </w:pPr>
          </w:p>
        </w:tc>
        <w:tc>
          <w:tcPr>
            <w:tcW w:w="2500" w:type="pct"/>
            <w:tcBorders>
              <w:top w:val="nil"/>
              <w:left w:val="nil"/>
              <w:bottom w:val="nil"/>
              <w:right w:val="nil"/>
            </w:tcBorders>
          </w:tcPr>
          <w:p w14:paraId="3D27AC7C" w14:textId="77777777" w:rsidR="00083896" w:rsidRPr="0013526B" w:rsidRDefault="00083896" w:rsidP="0013526B">
            <w:pPr>
              <w:pStyle w:val="ListParagraph"/>
              <w:ind w:left="743"/>
              <w:jc w:val="both"/>
              <w:rPr>
                <w:i/>
                <w:sz w:val="18"/>
                <w:szCs w:val="18"/>
              </w:rPr>
            </w:pPr>
          </w:p>
        </w:tc>
      </w:tr>
      <w:tr w:rsidR="00083896" w:rsidRPr="0013526B" w14:paraId="27A376FE" w14:textId="77777777" w:rsidTr="002108FF">
        <w:tc>
          <w:tcPr>
            <w:tcW w:w="2500" w:type="pct"/>
            <w:tcBorders>
              <w:top w:val="nil"/>
              <w:left w:val="nil"/>
              <w:bottom w:val="nil"/>
              <w:right w:val="nil"/>
            </w:tcBorders>
          </w:tcPr>
          <w:p w14:paraId="41E4BA14" w14:textId="7F6CA2FD" w:rsidR="00083896" w:rsidRPr="00677EEC" w:rsidRDefault="00D85682" w:rsidP="00EF4ED1">
            <w:pPr>
              <w:ind w:left="346" w:right="-57"/>
              <w:jc w:val="both"/>
              <w:rPr>
                <w:sz w:val="18"/>
                <w:szCs w:val="18"/>
              </w:rPr>
            </w:pPr>
            <w:r w:rsidRPr="00677EEC">
              <w:rPr>
                <w:bCs w:val="0"/>
                <w:sz w:val="18"/>
                <w:szCs w:val="18"/>
              </w:rPr>
              <w:t xml:space="preserve">Pada tanggal </w:t>
            </w:r>
            <w:r w:rsidR="00141AFD">
              <w:rPr>
                <w:bCs w:val="0"/>
                <w:sz w:val="18"/>
                <w:szCs w:val="18"/>
              </w:rPr>
              <w:t xml:space="preserve">31 Maret 2020 dan </w:t>
            </w:r>
            <w:r w:rsidRPr="00677EEC">
              <w:rPr>
                <w:bCs w:val="0"/>
                <w:sz w:val="18"/>
                <w:szCs w:val="18"/>
              </w:rPr>
              <w:t>31 Desember 2019</w:t>
            </w:r>
            <w:r w:rsidR="00D043CB">
              <w:rPr>
                <w:bCs w:val="0"/>
                <w:sz w:val="18"/>
                <w:szCs w:val="18"/>
              </w:rPr>
              <w:t xml:space="preserve"> </w:t>
            </w:r>
            <w:r w:rsidRPr="00677EEC">
              <w:rPr>
                <w:bCs w:val="0"/>
                <w:sz w:val="18"/>
                <w:szCs w:val="18"/>
              </w:rPr>
              <w:t xml:space="preserve">rincian dan komposisi pemegang </w:t>
            </w:r>
            <w:r w:rsidRPr="00677EEC">
              <w:rPr>
                <w:sz w:val="18"/>
                <w:szCs w:val="18"/>
              </w:rPr>
              <w:t>saham</w:t>
            </w:r>
            <w:r w:rsidRPr="00677EEC">
              <w:rPr>
                <w:bCs w:val="0"/>
                <w:sz w:val="18"/>
                <w:szCs w:val="18"/>
              </w:rPr>
              <w:t xml:space="preserve"> adalah sebagai berikut:</w:t>
            </w:r>
          </w:p>
        </w:tc>
        <w:tc>
          <w:tcPr>
            <w:tcW w:w="2500" w:type="pct"/>
            <w:tcBorders>
              <w:top w:val="nil"/>
              <w:left w:val="nil"/>
              <w:bottom w:val="nil"/>
              <w:right w:val="nil"/>
            </w:tcBorders>
          </w:tcPr>
          <w:p w14:paraId="7EC35BBE" w14:textId="3321772B" w:rsidR="00D85682" w:rsidRPr="00677EEC" w:rsidRDefault="00D85682" w:rsidP="00141AFD">
            <w:pPr>
              <w:ind w:left="284"/>
              <w:jc w:val="both"/>
              <w:rPr>
                <w:bCs w:val="0"/>
                <w:i/>
                <w:sz w:val="18"/>
                <w:szCs w:val="18"/>
              </w:rPr>
            </w:pPr>
            <w:r w:rsidRPr="00677EEC">
              <w:rPr>
                <w:bCs w:val="0"/>
                <w:i/>
                <w:sz w:val="18"/>
                <w:szCs w:val="18"/>
              </w:rPr>
              <w:t xml:space="preserve">As at </w:t>
            </w:r>
            <w:r w:rsidR="00141AFD">
              <w:rPr>
                <w:bCs w:val="0"/>
                <w:i/>
                <w:sz w:val="18"/>
                <w:szCs w:val="18"/>
              </w:rPr>
              <w:t>March 31</w:t>
            </w:r>
            <w:r w:rsidR="00305CA0">
              <w:rPr>
                <w:bCs w:val="0"/>
                <w:i/>
                <w:sz w:val="18"/>
                <w:szCs w:val="18"/>
              </w:rPr>
              <w:t>.</w:t>
            </w:r>
            <w:r w:rsidR="00141AFD">
              <w:rPr>
                <w:bCs w:val="0"/>
                <w:i/>
                <w:sz w:val="18"/>
                <w:szCs w:val="18"/>
              </w:rPr>
              <w:t xml:space="preserve"> 2020 and </w:t>
            </w:r>
            <w:r w:rsidRPr="00677EEC">
              <w:rPr>
                <w:bCs w:val="0"/>
                <w:i/>
                <w:sz w:val="18"/>
                <w:szCs w:val="18"/>
              </w:rPr>
              <w:t>December 31</w:t>
            </w:r>
            <w:r w:rsidR="00305CA0">
              <w:rPr>
                <w:bCs w:val="0"/>
                <w:i/>
                <w:sz w:val="18"/>
                <w:szCs w:val="18"/>
              </w:rPr>
              <w:t>.</w:t>
            </w:r>
            <w:r w:rsidRPr="00677EEC">
              <w:rPr>
                <w:bCs w:val="0"/>
                <w:i/>
                <w:sz w:val="18"/>
                <w:szCs w:val="18"/>
              </w:rPr>
              <w:t xml:space="preserve"> 2019</w:t>
            </w:r>
            <w:r w:rsidRPr="00677EEC">
              <w:rPr>
                <w:bCs w:val="0"/>
                <w:i/>
                <w:sz w:val="18"/>
                <w:szCs w:val="18"/>
                <w:lang w:val="id-ID"/>
              </w:rPr>
              <w:t xml:space="preserve"> </w:t>
            </w:r>
            <w:r w:rsidRPr="00677EEC">
              <w:rPr>
                <w:bCs w:val="0"/>
                <w:i/>
                <w:sz w:val="18"/>
                <w:szCs w:val="18"/>
              </w:rPr>
              <w:t>details and composition of</w:t>
            </w:r>
            <w:r w:rsidR="00677EEC">
              <w:rPr>
                <w:bCs w:val="0"/>
                <w:i/>
                <w:sz w:val="18"/>
                <w:szCs w:val="18"/>
              </w:rPr>
              <w:t xml:space="preserve"> </w:t>
            </w:r>
            <w:r w:rsidRPr="00677EEC">
              <w:rPr>
                <w:bCs w:val="0"/>
                <w:i/>
                <w:sz w:val="18"/>
                <w:szCs w:val="18"/>
              </w:rPr>
              <w:t>shareholders are as follows:</w:t>
            </w:r>
          </w:p>
        </w:tc>
      </w:tr>
    </w:tbl>
    <w:p w14:paraId="4518C890" w14:textId="77777777" w:rsidR="00E92C0C" w:rsidRPr="0013526B" w:rsidRDefault="00E92C0C" w:rsidP="0013526B">
      <w:pPr>
        <w:tabs>
          <w:tab w:val="left" w:pos="3150"/>
        </w:tabs>
        <w:ind w:left="567"/>
        <w:jc w:val="both"/>
        <w:rPr>
          <w:sz w:val="14"/>
          <w:szCs w:val="18"/>
          <w:lang w:val="id-ID"/>
        </w:rPr>
      </w:pPr>
    </w:p>
    <w:tbl>
      <w:tblPr>
        <w:tblW w:w="9197" w:type="dxa"/>
        <w:tblInd w:w="364" w:type="dxa"/>
        <w:tblLayout w:type="fixed"/>
        <w:tblCellMar>
          <w:left w:w="0" w:type="dxa"/>
          <w:right w:w="0" w:type="dxa"/>
        </w:tblCellMar>
        <w:tblLook w:val="04A0" w:firstRow="1" w:lastRow="0" w:firstColumn="1" w:lastColumn="0" w:noHBand="0" w:noVBand="1"/>
      </w:tblPr>
      <w:tblGrid>
        <w:gridCol w:w="2213"/>
        <w:gridCol w:w="101"/>
        <w:gridCol w:w="1507"/>
        <w:gridCol w:w="98"/>
        <w:gridCol w:w="1363"/>
        <w:gridCol w:w="98"/>
        <w:gridCol w:w="1506"/>
        <w:gridCol w:w="98"/>
        <w:gridCol w:w="2213"/>
      </w:tblGrid>
      <w:tr w:rsidR="00843F8A" w:rsidRPr="0013526B" w14:paraId="46F0AAED" w14:textId="77777777" w:rsidTr="002108FF">
        <w:trPr>
          <w:cantSplit/>
        </w:trPr>
        <w:tc>
          <w:tcPr>
            <w:tcW w:w="2213" w:type="dxa"/>
            <w:tcBorders>
              <w:bottom w:val="single" w:sz="4" w:space="0" w:color="auto"/>
            </w:tcBorders>
            <w:shd w:val="clear" w:color="auto" w:fill="auto"/>
            <w:vAlign w:val="bottom"/>
          </w:tcPr>
          <w:p w14:paraId="62D3116E" w14:textId="77777777" w:rsidR="00083896" w:rsidRPr="0013526B" w:rsidRDefault="00083896" w:rsidP="00353744">
            <w:pPr>
              <w:ind w:left="393"/>
              <w:jc w:val="center"/>
              <w:rPr>
                <w:b/>
                <w:sz w:val="18"/>
                <w:szCs w:val="18"/>
              </w:rPr>
            </w:pPr>
            <w:r w:rsidRPr="0013526B">
              <w:rPr>
                <w:b/>
                <w:sz w:val="18"/>
                <w:szCs w:val="18"/>
              </w:rPr>
              <w:t>Pemegang Saham</w:t>
            </w:r>
          </w:p>
        </w:tc>
        <w:tc>
          <w:tcPr>
            <w:tcW w:w="101" w:type="dxa"/>
            <w:shd w:val="clear" w:color="auto" w:fill="auto"/>
          </w:tcPr>
          <w:p w14:paraId="56508FFC" w14:textId="77777777" w:rsidR="00083896" w:rsidRPr="0013526B" w:rsidRDefault="00083896" w:rsidP="0013526B">
            <w:pPr>
              <w:jc w:val="both"/>
              <w:rPr>
                <w:b/>
                <w:sz w:val="18"/>
                <w:szCs w:val="18"/>
              </w:rPr>
            </w:pPr>
          </w:p>
        </w:tc>
        <w:tc>
          <w:tcPr>
            <w:tcW w:w="1507" w:type="dxa"/>
            <w:tcBorders>
              <w:bottom w:val="single" w:sz="4" w:space="0" w:color="auto"/>
            </w:tcBorders>
            <w:shd w:val="clear" w:color="auto" w:fill="auto"/>
          </w:tcPr>
          <w:p w14:paraId="6BB0AD61" w14:textId="77777777" w:rsidR="00083896" w:rsidRPr="0013526B" w:rsidRDefault="00310410" w:rsidP="0013526B">
            <w:pPr>
              <w:jc w:val="center"/>
              <w:rPr>
                <w:b/>
                <w:sz w:val="18"/>
                <w:szCs w:val="18"/>
              </w:rPr>
            </w:pPr>
            <w:r w:rsidRPr="0013526B">
              <w:rPr>
                <w:b/>
                <w:sz w:val="18"/>
                <w:szCs w:val="18"/>
              </w:rPr>
              <w:t>Jumla</w:t>
            </w:r>
            <w:r w:rsidR="00083896" w:rsidRPr="0013526B">
              <w:rPr>
                <w:b/>
                <w:sz w:val="18"/>
                <w:szCs w:val="18"/>
              </w:rPr>
              <w:t>h Saham Ditempatkan dan Disetor Penuh/</w:t>
            </w:r>
          </w:p>
          <w:p w14:paraId="73F86596" w14:textId="77777777" w:rsidR="00083896" w:rsidRPr="0013526B" w:rsidRDefault="00083896" w:rsidP="0013526B">
            <w:pPr>
              <w:jc w:val="center"/>
              <w:rPr>
                <w:b/>
                <w:i/>
                <w:sz w:val="18"/>
                <w:szCs w:val="18"/>
              </w:rPr>
            </w:pPr>
            <w:r w:rsidRPr="0013526B">
              <w:rPr>
                <w:b/>
                <w:i/>
                <w:sz w:val="18"/>
                <w:szCs w:val="18"/>
              </w:rPr>
              <w:t>Shared Issued and Fully Paid</w:t>
            </w:r>
          </w:p>
        </w:tc>
        <w:tc>
          <w:tcPr>
            <w:tcW w:w="98" w:type="dxa"/>
            <w:shd w:val="clear" w:color="auto" w:fill="auto"/>
          </w:tcPr>
          <w:p w14:paraId="1B5E155E" w14:textId="77777777" w:rsidR="00083896" w:rsidRPr="0013526B" w:rsidRDefault="00083896" w:rsidP="0013526B">
            <w:pPr>
              <w:jc w:val="both"/>
              <w:rPr>
                <w:b/>
                <w:sz w:val="18"/>
                <w:szCs w:val="18"/>
              </w:rPr>
            </w:pPr>
          </w:p>
        </w:tc>
        <w:tc>
          <w:tcPr>
            <w:tcW w:w="1363" w:type="dxa"/>
            <w:tcBorders>
              <w:bottom w:val="single" w:sz="4" w:space="0" w:color="auto"/>
            </w:tcBorders>
            <w:shd w:val="clear" w:color="auto" w:fill="auto"/>
            <w:vAlign w:val="bottom"/>
          </w:tcPr>
          <w:p w14:paraId="036683F4" w14:textId="77777777" w:rsidR="00083896" w:rsidRPr="0013526B" w:rsidRDefault="00083896" w:rsidP="0013526B">
            <w:pPr>
              <w:jc w:val="center"/>
              <w:rPr>
                <w:b/>
                <w:sz w:val="18"/>
                <w:szCs w:val="18"/>
              </w:rPr>
            </w:pPr>
            <w:r w:rsidRPr="0013526B">
              <w:rPr>
                <w:b/>
                <w:sz w:val="18"/>
                <w:szCs w:val="18"/>
              </w:rPr>
              <w:t xml:space="preserve">Persentase Kepemilikan/ </w:t>
            </w:r>
            <w:r w:rsidRPr="0013526B">
              <w:rPr>
                <w:b/>
                <w:i/>
                <w:sz w:val="18"/>
                <w:szCs w:val="18"/>
              </w:rPr>
              <w:t>Percentage of Ownership</w:t>
            </w:r>
          </w:p>
        </w:tc>
        <w:tc>
          <w:tcPr>
            <w:tcW w:w="98" w:type="dxa"/>
            <w:shd w:val="clear" w:color="auto" w:fill="auto"/>
          </w:tcPr>
          <w:p w14:paraId="0EE0E217" w14:textId="77777777" w:rsidR="00083896" w:rsidRPr="0013526B" w:rsidRDefault="00083896" w:rsidP="0013526B">
            <w:pPr>
              <w:jc w:val="both"/>
              <w:rPr>
                <w:b/>
                <w:sz w:val="18"/>
                <w:szCs w:val="18"/>
              </w:rPr>
            </w:pPr>
          </w:p>
        </w:tc>
        <w:tc>
          <w:tcPr>
            <w:tcW w:w="1506" w:type="dxa"/>
            <w:tcBorders>
              <w:bottom w:val="single" w:sz="4" w:space="0" w:color="auto"/>
            </w:tcBorders>
            <w:shd w:val="clear" w:color="auto" w:fill="auto"/>
            <w:vAlign w:val="bottom"/>
          </w:tcPr>
          <w:p w14:paraId="644E338B" w14:textId="77777777" w:rsidR="00310410" w:rsidRPr="0013526B" w:rsidRDefault="00310410" w:rsidP="0013526B">
            <w:pPr>
              <w:tabs>
                <w:tab w:val="left" w:pos="5590"/>
                <w:tab w:val="right" w:pos="7620"/>
                <w:tab w:val="right" w:pos="9460"/>
                <w:tab w:val="right" w:pos="10080"/>
              </w:tabs>
              <w:ind w:right="-57"/>
              <w:jc w:val="center"/>
              <w:rPr>
                <w:sz w:val="18"/>
                <w:szCs w:val="18"/>
              </w:rPr>
            </w:pPr>
            <w:r w:rsidRPr="0013526B">
              <w:rPr>
                <w:b/>
                <w:bCs w:val="0"/>
                <w:sz w:val="18"/>
                <w:szCs w:val="18"/>
              </w:rPr>
              <w:t>Jumlah/</w:t>
            </w:r>
          </w:p>
          <w:p w14:paraId="271C3543" w14:textId="77777777" w:rsidR="00310410" w:rsidRPr="0013526B" w:rsidRDefault="00310410" w:rsidP="0013526B">
            <w:pPr>
              <w:tabs>
                <w:tab w:val="left" w:pos="5590"/>
                <w:tab w:val="right" w:pos="7620"/>
                <w:tab w:val="right" w:pos="9460"/>
                <w:tab w:val="right" w:pos="10080"/>
              </w:tabs>
              <w:ind w:right="-57"/>
              <w:jc w:val="center"/>
              <w:rPr>
                <w:b/>
                <w:bCs w:val="0"/>
                <w:i/>
                <w:sz w:val="18"/>
                <w:szCs w:val="18"/>
              </w:rPr>
            </w:pPr>
            <w:r w:rsidRPr="0013526B">
              <w:rPr>
                <w:b/>
                <w:bCs w:val="0"/>
                <w:i/>
                <w:sz w:val="18"/>
                <w:szCs w:val="18"/>
              </w:rPr>
              <w:t>Total</w:t>
            </w:r>
          </w:p>
          <w:p w14:paraId="0034160C" w14:textId="7E6ED8E6" w:rsidR="00083896" w:rsidRPr="0013526B" w:rsidRDefault="00310410" w:rsidP="0013526B">
            <w:pPr>
              <w:jc w:val="center"/>
              <w:rPr>
                <w:b/>
                <w:sz w:val="18"/>
                <w:szCs w:val="18"/>
              </w:rPr>
            </w:pPr>
            <w:r w:rsidRPr="0013526B">
              <w:rPr>
                <w:b/>
                <w:bCs w:val="0"/>
                <w:i/>
                <w:sz w:val="18"/>
                <w:szCs w:val="18"/>
              </w:rPr>
              <w:t>Rp</w:t>
            </w:r>
          </w:p>
        </w:tc>
        <w:tc>
          <w:tcPr>
            <w:tcW w:w="98" w:type="dxa"/>
            <w:shd w:val="clear" w:color="auto" w:fill="auto"/>
          </w:tcPr>
          <w:p w14:paraId="693E8181" w14:textId="77777777" w:rsidR="00083896" w:rsidRPr="0013526B" w:rsidRDefault="00083896" w:rsidP="0013526B">
            <w:pPr>
              <w:jc w:val="both"/>
              <w:rPr>
                <w:b/>
                <w:sz w:val="18"/>
                <w:szCs w:val="18"/>
              </w:rPr>
            </w:pPr>
          </w:p>
        </w:tc>
        <w:tc>
          <w:tcPr>
            <w:tcW w:w="2213" w:type="dxa"/>
            <w:tcBorders>
              <w:bottom w:val="single" w:sz="4" w:space="0" w:color="auto"/>
            </w:tcBorders>
            <w:shd w:val="clear" w:color="auto" w:fill="auto"/>
            <w:vAlign w:val="bottom"/>
          </w:tcPr>
          <w:p w14:paraId="1DFB2615" w14:textId="77777777" w:rsidR="00083896" w:rsidRPr="0013526B" w:rsidRDefault="00083896" w:rsidP="0013526B">
            <w:pPr>
              <w:jc w:val="center"/>
              <w:rPr>
                <w:b/>
                <w:i/>
                <w:sz w:val="18"/>
                <w:szCs w:val="18"/>
              </w:rPr>
            </w:pPr>
            <w:r w:rsidRPr="0013526B">
              <w:rPr>
                <w:b/>
                <w:i/>
                <w:sz w:val="18"/>
                <w:szCs w:val="18"/>
              </w:rPr>
              <w:t>Shareholders</w:t>
            </w:r>
          </w:p>
        </w:tc>
      </w:tr>
      <w:tr w:rsidR="00843F8A" w:rsidRPr="0013526B" w14:paraId="267F9B1E" w14:textId="77777777" w:rsidTr="002108FF">
        <w:trPr>
          <w:cantSplit/>
        </w:trPr>
        <w:tc>
          <w:tcPr>
            <w:tcW w:w="2213" w:type="dxa"/>
            <w:tcBorders>
              <w:top w:val="single" w:sz="4" w:space="0" w:color="auto"/>
            </w:tcBorders>
            <w:shd w:val="clear" w:color="auto" w:fill="auto"/>
          </w:tcPr>
          <w:p w14:paraId="19DA21E3" w14:textId="77777777" w:rsidR="00083896" w:rsidRPr="0013526B" w:rsidRDefault="00083896" w:rsidP="0013526B">
            <w:pPr>
              <w:jc w:val="both"/>
              <w:rPr>
                <w:sz w:val="18"/>
                <w:szCs w:val="18"/>
              </w:rPr>
            </w:pPr>
          </w:p>
        </w:tc>
        <w:tc>
          <w:tcPr>
            <w:tcW w:w="101" w:type="dxa"/>
            <w:shd w:val="clear" w:color="auto" w:fill="auto"/>
          </w:tcPr>
          <w:p w14:paraId="6052C87F" w14:textId="77777777" w:rsidR="00083896" w:rsidRPr="0013526B" w:rsidRDefault="00083896" w:rsidP="0013526B">
            <w:pPr>
              <w:jc w:val="both"/>
              <w:rPr>
                <w:sz w:val="18"/>
                <w:szCs w:val="18"/>
              </w:rPr>
            </w:pPr>
          </w:p>
        </w:tc>
        <w:tc>
          <w:tcPr>
            <w:tcW w:w="1507" w:type="dxa"/>
            <w:tcBorders>
              <w:top w:val="single" w:sz="4" w:space="0" w:color="auto"/>
            </w:tcBorders>
            <w:shd w:val="clear" w:color="auto" w:fill="auto"/>
          </w:tcPr>
          <w:p w14:paraId="62E29177" w14:textId="77777777" w:rsidR="00083896" w:rsidRPr="0013526B" w:rsidRDefault="00083896" w:rsidP="0013526B">
            <w:pPr>
              <w:jc w:val="both"/>
              <w:rPr>
                <w:sz w:val="18"/>
                <w:szCs w:val="18"/>
              </w:rPr>
            </w:pPr>
          </w:p>
        </w:tc>
        <w:tc>
          <w:tcPr>
            <w:tcW w:w="98" w:type="dxa"/>
            <w:shd w:val="clear" w:color="auto" w:fill="auto"/>
          </w:tcPr>
          <w:p w14:paraId="28F38090" w14:textId="77777777" w:rsidR="00083896" w:rsidRPr="0013526B" w:rsidRDefault="00083896" w:rsidP="0013526B">
            <w:pPr>
              <w:jc w:val="both"/>
              <w:rPr>
                <w:sz w:val="18"/>
                <w:szCs w:val="18"/>
              </w:rPr>
            </w:pPr>
          </w:p>
        </w:tc>
        <w:tc>
          <w:tcPr>
            <w:tcW w:w="1363" w:type="dxa"/>
            <w:tcBorders>
              <w:top w:val="single" w:sz="4" w:space="0" w:color="auto"/>
            </w:tcBorders>
            <w:shd w:val="clear" w:color="auto" w:fill="auto"/>
          </w:tcPr>
          <w:p w14:paraId="2097D13B" w14:textId="77777777" w:rsidR="00083896" w:rsidRPr="0013526B" w:rsidRDefault="00083896" w:rsidP="0013526B">
            <w:pPr>
              <w:ind w:right="-168"/>
              <w:jc w:val="center"/>
              <w:rPr>
                <w:sz w:val="18"/>
                <w:szCs w:val="18"/>
              </w:rPr>
            </w:pPr>
          </w:p>
        </w:tc>
        <w:tc>
          <w:tcPr>
            <w:tcW w:w="98" w:type="dxa"/>
            <w:shd w:val="clear" w:color="auto" w:fill="auto"/>
          </w:tcPr>
          <w:p w14:paraId="7B4291C2" w14:textId="77777777" w:rsidR="00083896" w:rsidRPr="0013526B" w:rsidRDefault="00083896" w:rsidP="0013526B">
            <w:pPr>
              <w:jc w:val="both"/>
              <w:rPr>
                <w:sz w:val="18"/>
                <w:szCs w:val="18"/>
              </w:rPr>
            </w:pPr>
          </w:p>
        </w:tc>
        <w:tc>
          <w:tcPr>
            <w:tcW w:w="1506" w:type="dxa"/>
            <w:tcBorders>
              <w:top w:val="single" w:sz="4" w:space="0" w:color="auto"/>
            </w:tcBorders>
            <w:shd w:val="clear" w:color="auto" w:fill="auto"/>
          </w:tcPr>
          <w:p w14:paraId="43DEAAB3" w14:textId="77777777" w:rsidR="00083896" w:rsidRPr="0013526B" w:rsidRDefault="00083896" w:rsidP="0013526B">
            <w:pPr>
              <w:jc w:val="both"/>
              <w:rPr>
                <w:sz w:val="18"/>
                <w:szCs w:val="18"/>
              </w:rPr>
            </w:pPr>
          </w:p>
        </w:tc>
        <w:tc>
          <w:tcPr>
            <w:tcW w:w="98" w:type="dxa"/>
            <w:shd w:val="clear" w:color="auto" w:fill="auto"/>
          </w:tcPr>
          <w:p w14:paraId="50476C2B" w14:textId="77777777" w:rsidR="00083896" w:rsidRPr="0013526B" w:rsidRDefault="00083896" w:rsidP="0013526B">
            <w:pPr>
              <w:jc w:val="both"/>
              <w:rPr>
                <w:sz w:val="18"/>
                <w:szCs w:val="18"/>
              </w:rPr>
            </w:pPr>
          </w:p>
        </w:tc>
        <w:tc>
          <w:tcPr>
            <w:tcW w:w="2213" w:type="dxa"/>
            <w:tcBorders>
              <w:top w:val="single" w:sz="4" w:space="0" w:color="auto"/>
            </w:tcBorders>
            <w:shd w:val="clear" w:color="auto" w:fill="auto"/>
          </w:tcPr>
          <w:p w14:paraId="5F0D90F9" w14:textId="77777777" w:rsidR="00083896" w:rsidRPr="0013526B" w:rsidRDefault="00083896" w:rsidP="0013526B">
            <w:pPr>
              <w:jc w:val="both"/>
              <w:rPr>
                <w:sz w:val="18"/>
                <w:szCs w:val="18"/>
              </w:rPr>
            </w:pPr>
          </w:p>
        </w:tc>
      </w:tr>
      <w:tr w:rsidR="00843F8A" w:rsidRPr="006C2F48" w14:paraId="59A846B8" w14:textId="77777777" w:rsidTr="002108FF">
        <w:trPr>
          <w:cantSplit/>
        </w:trPr>
        <w:tc>
          <w:tcPr>
            <w:tcW w:w="2213" w:type="dxa"/>
            <w:shd w:val="clear" w:color="auto" w:fill="auto"/>
          </w:tcPr>
          <w:p w14:paraId="55805A04" w14:textId="77777777" w:rsidR="00E5121F" w:rsidRPr="006C2F48" w:rsidRDefault="00572F3C" w:rsidP="00353744">
            <w:pPr>
              <w:ind w:left="519" w:hanging="98"/>
              <w:rPr>
                <w:sz w:val="18"/>
                <w:szCs w:val="18"/>
              </w:rPr>
            </w:pPr>
            <w:r w:rsidRPr="006C2F48">
              <w:rPr>
                <w:sz w:val="18"/>
                <w:szCs w:val="18"/>
              </w:rPr>
              <w:t>PT Surya Cipta Inti</w:t>
            </w:r>
          </w:p>
          <w:p w14:paraId="76619246" w14:textId="57CFAF2E" w:rsidR="00572F3C" w:rsidRPr="006C2F48" w:rsidRDefault="00572F3C" w:rsidP="00353744">
            <w:pPr>
              <w:ind w:left="519" w:hanging="98"/>
              <w:rPr>
                <w:sz w:val="18"/>
                <w:szCs w:val="18"/>
              </w:rPr>
            </w:pPr>
            <w:r w:rsidRPr="006C2F48">
              <w:rPr>
                <w:sz w:val="18"/>
                <w:szCs w:val="18"/>
              </w:rPr>
              <w:t>Cemerlang</w:t>
            </w:r>
          </w:p>
        </w:tc>
        <w:tc>
          <w:tcPr>
            <w:tcW w:w="101" w:type="dxa"/>
            <w:shd w:val="clear" w:color="auto" w:fill="auto"/>
          </w:tcPr>
          <w:p w14:paraId="18357C3F" w14:textId="77777777" w:rsidR="00572F3C" w:rsidRPr="006C2F48" w:rsidRDefault="00572F3C" w:rsidP="0013526B">
            <w:pPr>
              <w:jc w:val="both"/>
              <w:rPr>
                <w:sz w:val="18"/>
                <w:szCs w:val="18"/>
              </w:rPr>
            </w:pPr>
          </w:p>
        </w:tc>
        <w:tc>
          <w:tcPr>
            <w:tcW w:w="1507" w:type="dxa"/>
            <w:shd w:val="clear" w:color="auto" w:fill="auto"/>
            <w:vAlign w:val="bottom"/>
          </w:tcPr>
          <w:p w14:paraId="56EC3741" w14:textId="7752AE71" w:rsidR="00572F3C" w:rsidRPr="006C2F48" w:rsidRDefault="00CC754B" w:rsidP="00165F06">
            <w:pPr>
              <w:ind w:right="57"/>
              <w:jc w:val="right"/>
              <w:rPr>
                <w:sz w:val="18"/>
                <w:szCs w:val="18"/>
              </w:rPr>
            </w:pPr>
            <w:r w:rsidRPr="006C2F48">
              <w:rPr>
                <w:sz w:val="18"/>
                <w:szCs w:val="18"/>
              </w:rPr>
              <w:t>7.199.214.743</w:t>
            </w:r>
          </w:p>
        </w:tc>
        <w:tc>
          <w:tcPr>
            <w:tcW w:w="98" w:type="dxa"/>
            <w:shd w:val="clear" w:color="auto" w:fill="auto"/>
            <w:vAlign w:val="bottom"/>
          </w:tcPr>
          <w:p w14:paraId="3F10A58F" w14:textId="77777777" w:rsidR="00572F3C" w:rsidRPr="006C2F48" w:rsidRDefault="00572F3C" w:rsidP="0013526B">
            <w:pPr>
              <w:ind w:right="57"/>
              <w:jc w:val="right"/>
              <w:rPr>
                <w:sz w:val="18"/>
                <w:szCs w:val="18"/>
              </w:rPr>
            </w:pPr>
          </w:p>
        </w:tc>
        <w:tc>
          <w:tcPr>
            <w:tcW w:w="1363" w:type="dxa"/>
            <w:shd w:val="clear" w:color="auto" w:fill="auto"/>
            <w:vAlign w:val="bottom"/>
          </w:tcPr>
          <w:p w14:paraId="7CAC3CD5" w14:textId="6DC3F23D" w:rsidR="00572F3C" w:rsidRPr="006C2F48" w:rsidRDefault="00CC754B" w:rsidP="00165F06">
            <w:pPr>
              <w:ind w:right="57"/>
              <w:jc w:val="right"/>
              <w:rPr>
                <w:sz w:val="18"/>
                <w:szCs w:val="18"/>
              </w:rPr>
            </w:pPr>
            <w:r w:rsidRPr="006C2F48">
              <w:rPr>
                <w:sz w:val="18"/>
                <w:szCs w:val="18"/>
              </w:rPr>
              <w:t>59</w:t>
            </w:r>
            <w:r w:rsidR="00870FD0">
              <w:rPr>
                <w:sz w:val="18"/>
                <w:szCs w:val="18"/>
              </w:rPr>
              <w:t>.</w:t>
            </w:r>
            <w:r w:rsidRPr="006C2F48">
              <w:rPr>
                <w:sz w:val="18"/>
                <w:szCs w:val="18"/>
              </w:rPr>
              <w:t>99%</w:t>
            </w:r>
          </w:p>
        </w:tc>
        <w:tc>
          <w:tcPr>
            <w:tcW w:w="98" w:type="dxa"/>
            <w:shd w:val="clear" w:color="auto" w:fill="auto"/>
            <w:vAlign w:val="bottom"/>
          </w:tcPr>
          <w:p w14:paraId="76A6A811" w14:textId="77777777" w:rsidR="00572F3C" w:rsidRPr="006C2F48" w:rsidRDefault="00572F3C" w:rsidP="0013526B">
            <w:pPr>
              <w:ind w:right="57"/>
              <w:jc w:val="right"/>
              <w:rPr>
                <w:sz w:val="18"/>
                <w:szCs w:val="18"/>
              </w:rPr>
            </w:pPr>
          </w:p>
        </w:tc>
        <w:tc>
          <w:tcPr>
            <w:tcW w:w="1506" w:type="dxa"/>
            <w:shd w:val="clear" w:color="auto" w:fill="auto"/>
            <w:vAlign w:val="bottom"/>
          </w:tcPr>
          <w:p w14:paraId="728A9B92" w14:textId="12889AF4" w:rsidR="00572F3C" w:rsidRPr="006C2F48" w:rsidRDefault="00CC754B" w:rsidP="00572F3C">
            <w:pPr>
              <w:ind w:right="57"/>
              <w:jc w:val="right"/>
              <w:rPr>
                <w:sz w:val="18"/>
                <w:szCs w:val="18"/>
              </w:rPr>
            </w:pPr>
            <w:r w:rsidRPr="006C2F48">
              <w:rPr>
                <w:sz w:val="18"/>
                <w:szCs w:val="18"/>
              </w:rPr>
              <w:t>719.921.474.300</w:t>
            </w:r>
          </w:p>
        </w:tc>
        <w:tc>
          <w:tcPr>
            <w:tcW w:w="98" w:type="dxa"/>
            <w:shd w:val="clear" w:color="auto" w:fill="auto"/>
          </w:tcPr>
          <w:p w14:paraId="4A7F1292" w14:textId="77777777" w:rsidR="00572F3C" w:rsidRPr="006C2F48" w:rsidRDefault="00572F3C" w:rsidP="0013526B">
            <w:pPr>
              <w:jc w:val="both"/>
              <w:rPr>
                <w:sz w:val="18"/>
                <w:szCs w:val="18"/>
              </w:rPr>
            </w:pPr>
          </w:p>
        </w:tc>
        <w:tc>
          <w:tcPr>
            <w:tcW w:w="2213" w:type="dxa"/>
            <w:shd w:val="clear" w:color="auto" w:fill="auto"/>
          </w:tcPr>
          <w:p w14:paraId="6C0B28B8" w14:textId="77777777" w:rsidR="00E5121F" w:rsidRPr="006C2F48" w:rsidRDefault="00572F3C" w:rsidP="00572F3C">
            <w:pPr>
              <w:ind w:right="62"/>
              <w:jc w:val="right"/>
              <w:rPr>
                <w:i/>
                <w:sz w:val="18"/>
                <w:szCs w:val="18"/>
              </w:rPr>
            </w:pPr>
            <w:r w:rsidRPr="006C2F48">
              <w:rPr>
                <w:i/>
                <w:sz w:val="18"/>
                <w:szCs w:val="18"/>
              </w:rPr>
              <w:t>PT Surya Cipta Inti</w:t>
            </w:r>
          </w:p>
          <w:p w14:paraId="07F83F7D" w14:textId="798E882D" w:rsidR="00572F3C" w:rsidRPr="006C2F48" w:rsidRDefault="00572F3C" w:rsidP="00E5121F">
            <w:pPr>
              <w:ind w:right="170"/>
              <w:jc w:val="right"/>
              <w:rPr>
                <w:i/>
                <w:sz w:val="18"/>
                <w:szCs w:val="18"/>
              </w:rPr>
            </w:pPr>
            <w:r w:rsidRPr="006C2F48">
              <w:rPr>
                <w:i/>
                <w:sz w:val="18"/>
                <w:szCs w:val="18"/>
              </w:rPr>
              <w:t>Cemerlang</w:t>
            </w:r>
          </w:p>
        </w:tc>
      </w:tr>
      <w:tr w:rsidR="00843F8A" w:rsidRPr="006C2F48" w14:paraId="6992F5EA" w14:textId="77777777" w:rsidTr="002108FF">
        <w:trPr>
          <w:cantSplit/>
        </w:trPr>
        <w:tc>
          <w:tcPr>
            <w:tcW w:w="2213" w:type="dxa"/>
            <w:shd w:val="clear" w:color="auto" w:fill="auto"/>
          </w:tcPr>
          <w:p w14:paraId="27ADF668" w14:textId="27462222" w:rsidR="00572F3C" w:rsidRPr="006C2F48" w:rsidRDefault="00572F3C" w:rsidP="00353744">
            <w:pPr>
              <w:ind w:left="519" w:hanging="98"/>
              <w:rPr>
                <w:sz w:val="18"/>
                <w:szCs w:val="18"/>
              </w:rPr>
            </w:pPr>
            <w:r w:rsidRPr="006C2F48">
              <w:rPr>
                <w:sz w:val="18"/>
                <w:szCs w:val="18"/>
              </w:rPr>
              <w:t>BNYM SA/NV AS Cust of</w:t>
            </w:r>
            <w:r w:rsidR="00353744">
              <w:rPr>
                <w:sz w:val="18"/>
                <w:szCs w:val="18"/>
              </w:rPr>
              <w:t xml:space="preserve"> </w:t>
            </w:r>
            <w:r w:rsidRPr="006C2F48">
              <w:rPr>
                <w:sz w:val="18"/>
                <w:szCs w:val="18"/>
              </w:rPr>
              <w:t>Minot</w:t>
            </w:r>
            <w:r w:rsidR="000C2603" w:rsidRPr="006C2F48">
              <w:rPr>
                <w:sz w:val="18"/>
                <w:szCs w:val="18"/>
              </w:rPr>
              <w:t xml:space="preserve"> </w:t>
            </w:r>
            <w:r w:rsidRPr="006C2F48">
              <w:rPr>
                <w:sz w:val="18"/>
                <w:szCs w:val="18"/>
              </w:rPr>
              <w:t>Light APAC Ltd</w:t>
            </w:r>
          </w:p>
        </w:tc>
        <w:tc>
          <w:tcPr>
            <w:tcW w:w="101" w:type="dxa"/>
            <w:shd w:val="clear" w:color="auto" w:fill="auto"/>
          </w:tcPr>
          <w:p w14:paraId="57D2CD65" w14:textId="77777777" w:rsidR="00572F3C" w:rsidRPr="006C2F48" w:rsidRDefault="00572F3C" w:rsidP="0013526B">
            <w:pPr>
              <w:jc w:val="both"/>
              <w:rPr>
                <w:sz w:val="18"/>
                <w:szCs w:val="18"/>
              </w:rPr>
            </w:pPr>
          </w:p>
        </w:tc>
        <w:tc>
          <w:tcPr>
            <w:tcW w:w="1507" w:type="dxa"/>
            <w:shd w:val="clear" w:color="auto" w:fill="auto"/>
            <w:vAlign w:val="bottom"/>
          </w:tcPr>
          <w:p w14:paraId="4D1E7ED2" w14:textId="3E6C3ACE" w:rsidR="00572F3C" w:rsidRPr="006C2F48" w:rsidRDefault="00CC754B" w:rsidP="0013526B">
            <w:pPr>
              <w:ind w:right="57"/>
              <w:jc w:val="right"/>
              <w:rPr>
                <w:sz w:val="18"/>
                <w:szCs w:val="18"/>
              </w:rPr>
            </w:pPr>
            <w:r w:rsidRPr="006C2F48">
              <w:rPr>
                <w:sz w:val="18"/>
                <w:szCs w:val="18"/>
              </w:rPr>
              <w:t>1.155.288.461</w:t>
            </w:r>
          </w:p>
        </w:tc>
        <w:tc>
          <w:tcPr>
            <w:tcW w:w="98" w:type="dxa"/>
            <w:shd w:val="clear" w:color="auto" w:fill="auto"/>
            <w:vAlign w:val="bottom"/>
          </w:tcPr>
          <w:p w14:paraId="25F4240B" w14:textId="77777777" w:rsidR="00572F3C" w:rsidRPr="006C2F48" w:rsidRDefault="00572F3C" w:rsidP="0013526B">
            <w:pPr>
              <w:ind w:right="57"/>
              <w:jc w:val="right"/>
              <w:rPr>
                <w:sz w:val="18"/>
                <w:szCs w:val="18"/>
              </w:rPr>
            </w:pPr>
          </w:p>
        </w:tc>
        <w:tc>
          <w:tcPr>
            <w:tcW w:w="1363" w:type="dxa"/>
            <w:shd w:val="clear" w:color="auto" w:fill="auto"/>
            <w:vAlign w:val="bottom"/>
          </w:tcPr>
          <w:p w14:paraId="22178719" w14:textId="21404020" w:rsidR="00572F3C" w:rsidRPr="006C2F48" w:rsidRDefault="00CC754B" w:rsidP="00165F06">
            <w:pPr>
              <w:ind w:right="57"/>
              <w:jc w:val="right"/>
              <w:rPr>
                <w:sz w:val="18"/>
                <w:szCs w:val="18"/>
              </w:rPr>
            </w:pPr>
            <w:r w:rsidRPr="006C2F48">
              <w:rPr>
                <w:sz w:val="18"/>
                <w:szCs w:val="18"/>
              </w:rPr>
              <w:t>9</w:t>
            </w:r>
            <w:r w:rsidR="00870FD0">
              <w:rPr>
                <w:sz w:val="18"/>
                <w:szCs w:val="18"/>
              </w:rPr>
              <w:t>.</w:t>
            </w:r>
            <w:r w:rsidRPr="006C2F48">
              <w:rPr>
                <w:sz w:val="18"/>
                <w:szCs w:val="18"/>
              </w:rPr>
              <w:t>63%</w:t>
            </w:r>
          </w:p>
        </w:tc>
        <w:tc>
          <w:tcPr>
            <w:tcW w:w="98" w:type="dxa"/>
            <w:shd w:val="clear" w:color="auto" w:fill="auto"/>
            <w:vAlign w:val="bottom"/>
          </w:tcPr>
          <w:p w14:paraId="7BA6A065" w14:textId="77777777" w:rsidR="00572F3C" w:rsidRPr="006C2F48" w:rsidRDefault="00572F3C" w:rsidP="0013526B">
            <w:pPr>
              <w:ind w:right="57"/>
              <w:jc w:val="right"/>
              <w:rPr>
                <w:sz w:val="18"/>
                <w:szCs w:val="18"/>
              </w:rPr>
            </w:pPr>
          </w:p>
        </w:tc>
        <w:tc>
          <w:tcPr>
            <w:tcW w:w="1506" w:type="dxa"/>
            <w:shd w:val="clear" w:color="auto" w:fill="auto"/>
            <w:vAlign w:val="bottom"/>
          </w:tcPr>
          <w:p w14:paraId="42644C7C" w14:textId="11C1FE0D" w:rsidR="00572F3C" w:rsidRPr="006C2F48" w:rsidRDefault="00CC754B" w:rsidP="0013526B">
            <w:pPr>
              <w:ind w:right="57"/>
              <w:jc w:val="right"/>
              <w:rPr>
                <w:sz w:val="18"/>
                <w:szCs w:val="18"/>
              </w:rPr>
            </w:pPr>
            <w:r w:rsidRPr="006C2F48">
              <w:rPr>
                <w:sz w:val="18"/>
                <w:szCs w:val="18"/>
              </w:rPr>
              <w:t>115.528.846.100</w:t>
            </w:r>
          </w:p>
        </w:tc>
        <w:tc>
          <w:tcPr>
            <w:tcW w:w="98" w:type="dxa"/>
            <w:shd w:val="clear" w:color="auto" w:fill="auto"/>
          </w:tcPr>
          <w:p w14:paraId="1CD70C63" w14:textId="77777777" w:rsidR="00572F3C" w:rsidRPr="006C2F48" w:rsidRDefault="00572F3C" w:rsidP="0013526B">
            <w:pPr>
              <w:jc w:val="both"/>
              <w:rPr>
                <w:sz w:val="18"/>
                <w:szCs w:val="18"/>
              </w:rPr>
            </w:pPr>
          </w:p>
        </w:tc>
        <w:tc>
          <w:tcPr>
            <w:tcW w:w="2213" w:type="dxa"/>
            <w:shd w:val="clear" w:color="auto" w:fill="auto"/>
          </w:tcPr>
          <w:p w14:paraId="03B2BF9A" w14:textId="77777777" w:rsidR="00E5121F" w:rsidRPr="006C2F48" w:rsidRDefault="00572F3C" w:rsidP="00E5121F">
            <w:pPr>
              <w:ind w:left="141" w:hanging="141"/>
              <w:jc w:val="right"/>
              <w:rPr>
                <w:i/>
                <w:sz w:val="18"/>
                <w:szCs w:val="18"/>
              </w:rPr>
            </w:pPr>
            <w:r w:rsidRPr="006C2F48">
              <w:rPr>
                <w:i/>
                <w:sz w:val="18"/>
                <w:szCs w:val="18"/>
              </w:rPr>
              <w:t>BNYM SA/NV AS Cust of</w:t>
            </w:r>
          </w:p>
          <w:p w14:paraId="0102F58E" w14:textId="12FCB4DA" w:rsidR="00572F3C" w:rsidRPr="006C2F48" w:rsidRDefault="00572F3C" w:rsidP="00E5121F">
            <w:pPr>
              <w:ind w:right="170"/>
              <w:jc w:val="right"/>
              <w:rPr>
                <w:i/>
                <w:sz w:val="18"/>
                <w:szCs w:val="18"/>
              </w:rPr>
            </w:pPr>
            <w:r w:rsidRPr="006C2F48">
              <w:rPr>
                <w:i/>
                <w:sz w:val="18"/>
                <w:szCs w:val="18"/>
              </w:rPr>
              <w:t>Minot</w:t>
            </w:r>
            <w:r w:rsidR="00E5121F" w:rsidRPr="006C2F48">
              <w:rPr>
                <w:i/>
                <w:sz w:val="18"/>
                <w:szCs w:val="18"/>
              </w:rPr>
              <w:t xml:space="preserve"> </w:t>
            </w:r>
            <w:r w:rsidRPr="006C2F48">
              <w:rPr>
                <w:i/>
                <w:sz w:val="18"/>
                <w:szCs w:val="18"/>
              </w:rPr>
              <w:t>Light APAC Ltd</w:t>
            </w:r>
          </w:p>
        </w:tc>
      </w:tr>
      <w:tr w:rsidR="00843F8A" w:rsidRPr="006C2F48" w14:paraId="7ABC492E" w14:textId="77777777" w:rsidTr="002108FF">
        <w:trPr>
          <w:cantSplit/>
        </w:trPr>
        <w:tc>
          <w:tcPr>
            <w:tcW w:w="2213" w:type="dxa"/>
            <w:shd w:val="clear" w:color="auto" w:fill="auto"/>
          </w:tcPr>
          <w:p w14:paraId="2B35475A" w14:textId="489830FE" w:rsidR="00572F3C" w:rsidRPr="006C2F48" w:rsidRDefault="00572F3C" w:rsidP="00353744">
            <w:pPr>
              <w:ind w:left="519" w:hanging="98"/>
              <w:rPr>
                <w:sz w:val="18"/>
                <w:szCs w:val="18"/>
              </w:rPr>
            </w:pPr>
            <w:r w:rsidRPr="006C2F48">
              <w:rPr>
                <w:sz w:val="18"/>
                <w:szCs w:val="18"/>
              </w:rPr>
              <w:t>High Pro Investment Limited</w:t>
            </w:r>
          </w:p>
        </w:tc>
        <w:tc>
          <w:tcPr>
            <w:tcW w:w="101" w:type="dxa"/>
            <w:shd w:val="clear" w:color="auto" w:fill="auto"/>
          </w:tcPr>
          <w:p w14:paraId="35FF1D44" w14:textId="77777777" w:rsidR="00572F3C" w:rsidRPr="006C2F48" w:rsidRDefault="00572F3C" w:rsidP="0013526B">
            <w:pPr>
              <w:jc w:val="both"/>
              <w:rPr>
                <w:sz w:val="18"/>
                <w:szCs w:val="18"/>
              </w:rPr>
            </w:pPr>
          </w:p>
        </w:tc>
        <w:tc>
          <w:tcPr>
            <w:tcW w:w="1507" w:type="dxa"/>
            <w:shd w:val="clear" w:color="auto" w:fill="auto"/>
            <w:vAlign w:val="bottom"/>
          </w:tcPr>
          <w:p w14:paraId="17127DD1" w14:textId="1B128ACC" w:rsidR="00572F3C" w:rsidRPr="006C2F48" w:rsidRDefault="00B074B6" w:rsidP="00165F06">
            <w:pPr>
              <w:ind w:right="57"/>
              <w:jc w:val="right"/>
              <w:rPr>
                <w:sz w:val="18"/>
                <w:szCs w:val="18"/>
              </w:rPr>
            </w:pPr>
            <w:r w:rsidRPr="006C2F48">
              <w:rPr>
                <w:sz w:val="18"/>
                <w:szCs w:val="18"/>
              </w:rPr>
              <w:t>2.179.993.002</w:t>
            </w:r>
          </w:p>
        </w:tc>
        <w:tc>
          <w:tcPr>
            <w:tcW w:w="98" w:type="dxa"/>
            <w:shd w:val="clear" w:color="auto" w:fill="auto"/>
            <w:vAlign w:val="bottom"/>
          </w:tcPr>
          <w:p w14:paraId="3B7172AC" w14:textId="77777777" w:rsidR="00572F3C" w:rsidRPr="006C2F48" w:rsidRDefault="00572F3C" w:rsidP="0013526B">
            <w:pPr>
              <w:ind w:right="57"/>
              <w:jc w:val="right"/>
              <w:rPr>
                <w:sz w:val="18"/>
                <w:szCs w:val="18"/>
              </w:rPr>
            </w:pPr>
          </w:p>
        </w:tc>
        <w:tc>
          <w:tcPr>
            <w:tcW w:w="1363" w:type="dxa"/>
            <w:shd w:val="clear" w:color="auto" w:fill="auto"/>
            <w:vAlign w:val="bottom"/>
          </w:tcPr>
          <w:p w14:paraId="0A490FB9" w14:textId="55092DD5" w:rsidR="00572F3C" w:rsidRPr="006C2F48" w:rsidRDefault="00B074B6" w:rsidP="00165F06">
            <w:pPr>
              <w:ind w:right="57"/>
              <w:jc w:val="right"/>
              <w:rPr>
                <w:sz w:val="18"/>
                <w:szCs w:val="18"/>
              </w:rPr>
            </w:pPr>
            <w:r w:rsidRPr="006C2F48">
              <w:rPr>
                <w:sz w:val="18"/>
                <w:szCs w:val="18"/>
              </w:rPr>
              <w:t>18</w:t>
            </w:r>
            <w:r w:rsidR="00870FD0">
              <w:rPr>
                <w:sz w:val="18"/>
                <w:szCs w:val="18"/>
              </w:rPr>
              <w:t>.</w:t>
            </w:r>
            <w:r w:rsidRPr="006C2F48">
              <w:rPr>
                <w:sz w:val="18"/>
                <w:szCs w:val="18"/>
              </w:rPr>
              <w:t>17</w:t>
            </w:r>
            <w:r w:rsidR="00CC754B" w:rsidRPr="006C2F48">
              <w:rPr>
                <w:sz w:val="18"/>
                <w:szCs w:val="18"/>
              </w:rPr>
              <w:t>%</w:t>
            </w:r>
          </w:p>
        </w:tc>
        <w:tc>
          <w:tcPr>
            <w:tcW w:w="98" w:type="dxa"/>
            <w:shd w:val="clear" w:color="auto" w:fill="auto"/>
            <w:vAlign w:val="bottom"/>
          </w:tcPr>
          <w:p w14:paraId="2FECDA84" w14:textId="77777777" w:rsidR="00572F3C" w:rsidRPr="006C2F48" w:rsidRDefault="00572F3C" w:rsidP="0013526B">
            <w:pPr>
              <w:ind w:right="57"/>
              <w:jc w:val="right"/>
              <w:rPr>
                <w:sz w:val="18"/>
                <w:szCs w:val="18"/>
              </w:rPr>
            </w:pPr>
          </w:p>
        </w:tc>
        <w:tc>
          <w:tcPr>
            <w:tcW w:w="1506" w:type="dxa"/>
            <w:shd w:val="clear" w:color="auto" w:fill="auto"/>
            <w:vAlign w:val="bottom"/>
          </w:tcPr>
          <w:p w14:paraId="2C87B72C" w14:textId="23B91E6C" w:rsidR="00572F3C" w:rsidRPr="006C2F48" w:rsidRDefault="006C2F48" w:rsidP="00572F3C">
            <w:pPr>
              <w:ind w:right="57"/>
              <w:jc w:val="right"/>
              <w:rPr>
                <w:sz w:val="18"/>
                <w:szCs w:val="18"/>
              </w:rPr>
            </w:pPr>
            <w:r w:rsidRPr="006C2F48">
              <w:rPr>
                <w:sz w:val="18"/>
                <w:szCs w:val="18"/>
              </w:rPr>
              <w:t>217</w:t>
            </w:r>
            <w:r w:rsidR="00CC754B" w:rsidRPr="006C2F48">
              <w:rPr>
                <w:sz w:val="18"/>
                <w:szCs w:val="18"/>
              </w:rPr>
              <w:t>.</w:t>
            </w:r>
            <w:r w:rsidRPr="006C2F48">
              <w:rPr>
                <w:sz w:val="18"/>
                <w:szCs w:val="18"/>
              </w:rPr>
              <w:t>999</w:t>
            </w:r>
            <w:r w:rsidR="00CC754B" w:rsidRPr="006C2F48">
              <w:rPr>
                <w:sz w:val="18"/>
                <w:szCs w:val="18"/>
              </w:rPr>
              <w:t>.</w:t>
            </w:r>
            <w:r w:rsidRPr="006C2F48">
              <w:rPr>
                <w:sz w:val="18"/>
                <w:szCs w:val="18"/>
              </w:rPr>
              <w:t>300</w:t>
            </w:r>
            <w:r w:rsidR="00CC754B" w:rsidRPr="006C2F48">
              <w:rPr>
                <w:sz w:val="18"/>
                <w:szCs w:val="18"/>
              </w:rPr>
              <w:t>.</w:t>
            </w:r>
            <w:r w:rsidRPr="006C2F48">
              <w:rPr>
                <w:sz w:val="18"/>
                <w:szCs w:val="18"/>
              </w:rPr>
              <w:t>2</w:t>
            </w:r>
            <w:r w:rsidR="00CC754B" w:rsidRPr="006C2F48">
              <w:rPr>
                <w:sz w:val="18"/>
                <w:szCs w:val="18"/>
              </w:rPr>
              <w:t>00</w:t>
            </w:r>
          </w:p>
        </w:tc>
        <w:tc>
          <w:tcPr>
            <w:tcW w:w="98" w:type="dxa"/>
            <w:shd w:val="clear" w:color="auto" w:fill="auto"/>
          </w:tcPr>
          <w:p w14:paraId="6D8AD5D1" w14:textId="77777777" w:rsidR="00572F3C" w:rsidRPr="006C2F48" w:rsidRDefault="00572F3C" w:rsidP="0013526B">
            <w:pPr>
              <w:jc w:val="both"/>
              <w:rPr>
                <w:sz w:val="18"/>
                <w:szCs w:val="18"/>
              </w:rPr>
            </w:pPr>
          </w:p>
        </w:tc>
        <w:tc>
          <w:tcPr>
            <w:tcW w:w="2213" w:type="dxa"/>
            <w:shd w:val="clear" w:color="auto" w:fill="auto"/>
          </w:tcPr>
          <w:p w14:paraId="213500F4" w14:textId="77777777" w:rsidR="00E5121F" w:rsidRPr="006C2F48" w:rsidRDefault="00572F3C" w:rsidP="00572F3C">
            <w:pPr>
              <w:ind w:right="62"/>
              <w:jc w:val="right"/>
              <w:rPr>
                <w:i/>
                <w:sz w:val="18"/>
                <w:szCs w:val="18"/>
              </w:rPr>
            </w:pPr>
            <w:r w:rsidRPr="006C2F48">
              <w:rPr>
                <w:i/>
                <w:sz w:val="18"/>
                <w:szCs w:val="18"/>
              </w:rPr>
              <w:t>High Pro Investment</w:t>
            </w:r>
          </w:p>
          <w:p w14:paraId="0239B408" w14:textId="52F87889" w:rsidR="00572F3C" w:rsidRPr="006C2F48" w:rsidRDefault="00572F3C" w:rsidP="00E5121F">
            <w:pPr>
              <w:ind w:right="170"/>
              <w:jc w:val="right"/>
              <w:rPr>
                <w:i/>
                <w:sz w:val="18"/>
                <w:szCs w:val="18"/>
              </w:rPr>
            </w:pPr>
            <w:r w:rsidRPr="006C2F48">
              <w:rPr>
                <w:i/>
                <w:sz w:val="18"/>
                <w:szCs w:val="18"/>
              </w:rPr>
              <w:t>Limited</w:t>
            </w:r>
          </w:p>
        </w:tc>
      </w:tr>
      <w:tr w:rsidR="00843F8A" w:rsidRPr="0013526B" w14:paraId="66FD3446" w14:textId="77777777" w:rsidTr="002108FF">
        <w:trPr>
          <w:cantSplit/>
        </w:trPr>
        <w:tc>
          <w:tcPr>
            <w:tcW w:w="2213" w:type="dxa"/>
            <w:shd w:val="clear" w:color="auto" w:fill="auto"/>
          </w:tcPr>
          <w:p w14:paraId="42450560" w14:textId="49CB3F22" w:rsidR="00572F3C" w:rsidRPr="006C2F48" w:rsidRDefault="00572F3C" w:rsidP="00353744">
            <w:pPr>
              <w:ind w:left="519" w:hanging="98"/>
              <w:rPr>
                <w:sz w:val="18"/>
                <w:szCs w:val="18"/>
              </w:rPr>
            </w:pPr>
            <w:r w:rsidRPr="006C2F48">
              <w:rPr>
                <w:sz w:val="18"/>
                <w:szCs w:val="18"/>
              </w:rPr>
              <w:t xml:space="preserve">Masyarakat masing </w:t>
            </w:r>
            <w:r w:rsidR="000C2603" w:rsidRPr="006C2F48">
              <w:rPr>
                <w:sz w:val="18"/>
                <w:szCs w:val="18"/>
              </w:rPr>
              <w:t>-</w:t>
            </w:r>
            <w:r w:rsidRPr="006C2F48">
              <w:rPr>
                <w:sz w:val="18"/>
                <w:szCs w:val="18"/>
              </w:rPr>
              <w:t xml:space="preserve"> masing</w:t>
            </w:r>
            <w:r w:rsidR="000C2603" w:rsidRPr="006C2F48">
              <w:rPr>
                <w:sz w:val="18"/>
                <w:szCs w:val="18"/>
              </w:rPr>
              <w:t xml:space="preserve"> </w:t>
            </w:r>
            <w:r w:rsidRPr="006C2F48">
              <w:rPr>
                <w:sz w:val="18"/>
                <w:szCs w:val="18"/>
              </w:rPr>
              <w:t>dibawah 5%</w:t>
            </w:r>
          </w:p>
        </w:tc>
        <w:tc>
          <w:tcPr>
            <w:tcW w:w="101" w:type="dxa"/>
            <w:shd w:val="clear" w:color="auto" w:fill="auto"/>
          </w:tcPr>
          <w:p w14:paraId="6CEBFF40" w14:textId="77777777" w:rsidR="00572F3C" w:rsidRPr="006C2F48" w:rsidRDefault="00572F3C" w:rsidP="0013526B">
            <w:pPr>
              <w:jc w:val="both"/>
              <w:rPr>
                <w:sz w:val="18"/>
                <w:szCs w:val="18"/>
              </w:rPr>
            </w:pPr>
          </w:p>
        </w:tc>
        <w:tc>
          <w:tcPr>
            <w:tcW w:w="1507" w:type="dxa"/>
            <w:tcBorders>
              <w:bottom w:val="single" w:sz="4" w:space="0" w:color="auto"/>
            </w:tcBorders>
            <w:shd w:val="clear" w:color="auto" w:fill="auto"/>
            <w:vAlign w:val="bottom"/>
          </w:tcPr>
          <w:p w14:paraId="34AC301D" w14:textId="61F62453" w:rsidR="00572F3C" w:rsidRPr="006C2F48" w:rsidRDefault="00D645FC" w:rsidP="0013526B">
            <w:pPr>
              <w:ind w:right="57"/>
              <w:jc w:val="right"/>
              <w:rPr>
                <w:sz w:val="18"/>
                <w:szCs w:val="18"/>
              </w:rPr>
            </w:pPr>
            <w:r w:rsidRPr="006C2F48">
              <w:rPr>
                <w:sz w:val="18"/>
                <w:szCs w:val="18"/>
              </w:rPr>
              <w:t>1.466.209.239</w:t>
            </w:r>
          </w:p>
        </w:tc>
        <w:tc>
          <w:tcPr>
            <w:tcW w:w="98" w:type="dxa"/>
            <w:shd w:val="clear" w:color="auto" w:fill="auto"/>
            <w:vAlign w:val="bottom"/>
          </w:tcPr>
          <w:p w14:paraId="4CBE97BC" w14:textId="77777777" w:rsidR="00572F3C" w:rsidRPr="006C2F48" w:rsidRDefault="00572F3C" w:rsidP="0013526B">
            <w:pPr>
              <w:ind w:right="57"/>
              <w:jc w:val="right"/>
              <w:rPr>
                <w:sz w:val="18"/>
                <w:szCs w:val="18"/>
              </w:rPr>
            </w:pPr>
          </w:p>
        </w:tc>
        <w:tc>
          <w:tcPr>
            <w:tcW w:w="1363" w:type="dxa"/>
            <w:tcBorders>
              <w:bottom w:val="single" w:sz="4" w:space="0" w:color="auto"/>
            </w:tcBorders>
            <w:shd w:val="clear" w:color="auto" w:fill="auto"/>
            <w:vAlign w:val="bottom"/>
          </w:tcPr>
          <w:p w14:paraId="46CFE0E9" w14:textId="3BC50A5F" w:rsidR="00572F3C" w:rsidRPr="006C2F48" w:rsidRDefault="00CC754B" w:rsidP="00165F06">
            <w:pPr>
              <w:ind w:right="57"/>
              <w:jc w:val="right"/>
              <w:rPr>
                <w:sz w:val="18"/>
                <w:szCs w:val="18"/>
              </w:rPr>
            </w:pPr>
            <w:r w:rsidRPr="006C2F48">
              <w:rPr>
                <w:sz w:val="18"/>
                <w:szCs w:val="18"/>
              </w:rPr>
              <w:t>12</w:t>
            </w:r>
            <w:r w:rsidR="00870FD0">
              <w:rPr>
                <w:sz w:val="18"/>
                <w:szCs w:val="18"/>
              </w:rPr>
              <w:t>.</w:t>
            </w:r>
            <w:r w:rsidR="006C2F48" w:rsidRPr="006C2F48">
              <w:rPr>
                <w:sz w:val="18"/>
                <w:szCs w:val="18"/>
              </w:rPr>
              <w:t>21</w:t>
            </w:r>
            <w:r w:rsidRPr="006C2F48">
              <w:rPr>
                <w:sz w:val="18"/>
                <w:szCs w:val="18"/>
              </w:rPr>
              <w:t>%</w:t>
            </w:r>
          </w:p>
        </w:tc>
        <w:tc>
          <w:tcPr>
            <w:tcW w:w="98" w:type="dxa"/>
            <w:shd w:val="clear" w:color="auto" w:fill="auto"/>
            <w:vAlign w:val="bottom"/>
          </w:tcPr>
          <w:p w14:paraId="2FF42DC7" w14:textId="77777777" w:rsidR="00572F3C" w:rsidRPr="006C2F48" w:rsidRDefault="00572F3C" w:rsidP="0013526B">
            <w:pPr>
              <w:ind w:right="57"/>
              <w:jc w:val="right"/>
              <w:rPr>
                <w:sz w:val="18"/>
                <w:szCs w:val="18"/>
              </w:rPr>
            </w:pPr>
          </w:p>
        </w:tc>
        <w:tc>
          <w:tcPr>
            <w:tcW w:w="1506" w:type="dxa"/>
            <w:tcBorders>
              <w:bottom w:val="single" w:sz="4" w:space="0" w:color="auto"/>
            </w:tcBorders>
            <w:shd w:val="clear" w:color="auto" w:fill="auto"/>
            <w:vAlign w:val="bottom"/>
          </w:tcPr>
          <w:p w14:paraId="458CEAAF" w14:textId="1F0A092A" w:rsidR="00572F3C" w:rsidRPr="006C2F48" w:rsidRDefault="00CC754B" w:rsidP="0013526B">
            <w:pPr>
              <w:ind w:right="57"/>
              <w:jc w:val="right"/>
              <w:rPr>
                <w:sz w:val="18"/>
                <w:szCs w:val="18"/>
              </w:rPr>
            </w:pPr>
            <w:r w:rsidRPr="006C2F48">
              <w:rPr>
                <w:sz w:val="18"/>
                <w:szCs w:val="18"/>
              </w:rPr>
              <w:t>1</w:t>
            </w:r>
            <w:r w:rsidR="006C2F48" w:rsidRPr="006C2F48">
              <w:rPr>
                <w:sz w:val="18"/>
                <w:szCs w:val="18"/>
              </w:rPr>
              <w:t>46</w:t>
            </w:r>
            <w:r w:rsidRPr="006C2F48">
              <w:rPr>
                <w:sz w:val="18"/>
                <w:szCs w:val="18"/>
              </w:rPr>
              <w:t>.</w:t>
            </w:r>
            <w:r w:rsidR="006C2F48" w:rsidRPr="006C2F48">
              <w:rPr>
                <w:sz w:val="18"/>
                <w:szCs w:val="18"/>
              </w:rPr>
              <w:t>620</w:t>
            </w:r>
            <w:r w:rsidRPr="006C2F48">
              <w:rPr>
                <w:sz w:val="18"/>
                <w:szCs w:val="18"/>
              </w:rPr>
              <w:t>.</w:t>
            </w:r>
            <w:r w:rsidR="006C2F48" w:rsidRPr="006C2F48">
              <w:rPr>
                <w:sz w:val="18"/>
                <w:szCs w:val="18"/>
              </w:rPr>
              <w:t>923</w:t>
            </w:r>
            <w:r w:rsidRPr="006C2F48">
              <w:rPr>
                <w:sz w:val="18"/>
                <w:szCs w:val="18"/>
              </w:rPr>
              <w:t>.</w:t>
            </w:r>
            <w:r w:rsidR="006C2F48" w:rsidRPr="006C2F48">
              <w:rPr>
                <w:sz w:val="18"/>
                <w:szCs w:val="18"/>
              </w:rPr>
              <w:t>9</w:t>
            </w:r>
            <w:r w:rsidRPr="006C2F48">
              <w:rPr>
                <w:sz w:val="18"/>
                <w:szCs w:val="18"/>
              </w:rPr>
              <w:t>00</w:t>
            </w:r>
          </w:p>
        </w:tc>
        <w:tc>
          <w:tcPr>
            <w:tcW w:w="98" w:type="dxa"/>
            <w:shd w:val="clear" w:color="auto" w:fill="auto"/>
          </w:tcPr>
          <w:p w14:paraId="4A1408AD" w14:textId="77777777" w:rsidR="00572F3C" w:rsidRPr="006C2F48" w:rsidRDefault="00572F3C" w:rsidP="0013526B">
            <w:pPr>
              <w:jc w:val="both"/>
              <w:rPr>
                <w:sz w:val="18"/>
                <w:szCs w:val="18"/>
              </w:rPr>
            </w:pPr>
          </w:p>
        </w:tc>
        <w:tc>
          <w:tcPr>
            <w:tcW w:w="2213" w:type="dxa"/>
            <w:shd w:val="clear" w:color="auto" w:fill="auto"/>
          </w:tcPr>
          <w:p w14:paraId="57E9D502" w14:textId="77777777" w:rsidR="00E5121F" w:rsidRPr="006C2F48" w:rsidRDefault="000C2603" w:rsidP="00572F3C">
            <w:pPr>
              <w:jc w:val="right"/>
              <w:rPr>
                <w:i/>
                <w:sz w:val="18"/>
                <w:szCs w:val="18"/>
              </w:rPr>
            </w:pPr>
            <w:r w:rsidRPr="006C2F48">
              <w:rPr>
                <w:i/>
                <w:sz w:val="18"/>
                <w:szCs w:val="18"/>
              </w:rPr>
              <w:t xml:space="preserve">Public (each below </w:t>
            </w:r>
          </w:p>
          <w:p w14:paraId="24BC4DB1" w14:textId="58E803E2" w:rsidR="00572F3C" w:rsidRPr="00572F3C" w:rsidRDefault="000C2603" w:rsidP="00E5121F">
            <w:pPr>
              <w:ind w:right="170"/>
              <w:jc w:val="right"/>
              <w:rPr>
                <w:i/>
                <w:sz w:val="18"/>
                <w:szCs w:val="18"/>
              </w:rPr>
            </w:pPr>
            <w:proofErr w:type="gramStart"/>
            <w:r w:rsidRPr="006C2F48">
              <w:rPr>
                <w:i/>
                <w:sz w:val="18"/>
                <w:szCs w:val="18"/>
              </w:rPr>
              <w:t>than</w:t>
            </w:r>
            <w:proofErr w:type="gramEnd"/>
            <w:r w:rsidRPr="006C2F48">
              <w:rPr>
                <w:i/>
                <w:sz w:val="18"/>
                <w:szCs w:val="18"/>
              </w:rPr>
              <w:t xml:space="preserve"> 5%)</w:t>
            </w:r>
          </w:p>
        </w:tc>
      </w:tr>
      <w:tr w:rsidR="00843F8A" w:rsidRPr="0013526B" w14:paraId="761CA651" w14:textId="77777777" w:rsidTr="002108FF">
        <w:trPr>
          <w:cantSplit/>
        </w:trPr>
        <w:tc>
          <w:tcPr>
            <w:tcW w:w="2213" w:type="dxa"/>
            <w:shd w:val="clear" w:color="auto" w:fill="auto"/>
          </w:tcPr>
          <w:p w14:paraId="1ACB4B62" w14:textId="77777777" w:rsidR="00572F3C" w:rsidRPr="0013526B" w:rsidRDefault="00572F3C" w:rsidP="00353744">
            <w:pPr>
              <w:ind w:left="519" w:hanging="98"/>
              <w:jc w:val="both"/>
              <w:rPr>
                <w:sz w:val="18"/>
                <w:szCs w:val="18"/>
              </w:rPr>
            </w:pPr>
          </w:p>
        </w:tc>
        <w:tc>
          <w:tcPr>
            <w:tcW w:w="101" w:type="dxa"/>
            <w:shd w:val="clear" w:color="auto" w:fill="auto"/>
          </w:tcPr>
          <w:p w14:paraId="04179BF0" w14:textId="77777777" w:rsidR="00572F3C" w:rsidRPr="0013526B" w:rsidRDefault="00572F3C" w:rsidP="0013526B">
            <w:pPr>
              <w:jc w:val="both"/>
              <w:rPr>
                <w:sz w:val="18"/>
                <w:szCs w:val="18"/>
              </w:rPr>
            </w:pPr>
          </w:p>
        </w:tc>
        <w:tc>
          <w:tcPr>
            <w:tcW w:w="1507" w:type="dxa"/>
            <w:tcBorders>
              <w:top w:val="single" w:sz="4" w:space="0" w:color="auto"/>
            </w:tcBorders>
            <w:shd w:val="clear" w:color="auto" w:fill="auto"/>
            <w:vAlign w:val="bottom"/>
          </w:tcPr>
          <w:p w14:paraId="18C5F58B" w14:textId="77777777" w:rsidR="00572F3C" w:rsidRPr="0013526B" w:rsidRDefault="00572F3C" w:rsidP="0013526B">
            <w:pPr>
              <w:ind w:right="57"/>
              <w:jc w:val="right"/>
              <w:rPr>
                <w:sz w:val="18"/>
                <w:szCs w:val="18"/>
              </w:rPr>
            </w:pPr>
          </w:p>
        </w:tc>
        <w:tc>
          <w:tcPr>
            <w:tcW w:w="98" w:type="dxa"/>
            <w:shd w:val="clear" w:color="auto" w:fill="auto"/>
            <w:vAlign w:val="bottom"/>
          </w:tcPr>
          <w:p w14:paraId="7D69A78A" w14:textId="77777777" w:rsidR="00572F3C" w:rsidRPr="0013526B" w:rsidRDefault="00572F3C" w:rsidP="0013526B">
            <w:pPr>
              <w:ind w:right="57"/>
              <w:jc w:val="right"/>
              <w:rPr>
                <w:sz w:val="18"/>
                <w:szCs w:val="18"/>
              </w:rPr>
            </w:pPr>
          </w:p>
        </w:tc>
        <w:tc>
          <w:tcPr>
            <w:tcW w:w="1363" w:type="dxa"/>
            <w:tcBorders>
              <w:top w:val="single" w:sz="4" w:space="0" w:color="auto"/>
            </w:tcBorders>
            <w:shd w:val="clear" w:color="auto" w:fill="auto"/>
            <w:vAlign w:val="bottom"/>
          </w:tcPr>
          <w:p w14:paraId="594D555D" w14:textId="77777777" w:rsidR="00572F3C" w:rsidRPr="0013526B" w:rsidRDefault="00572F3C" w:rsidP="0013526B">
            <w:pPr>
              <w:ind w:right="57"/>
              <w:jc w:val="center"/>
              <w:rPr>
                <w:sz w:val="18"/>
                <w:szCs w:val="18"/>
              </w:rPr>
            </w:pPr>
          </w:p>
        </w:tc>
        <w:tc>
          <w:tcPr>
            <w:tcW w:w="98" w:type="dxa"/>
            <w:shd w:val="clear" w:color="auto" w:fill="auto"/>
            <w:vAlign w:val="bottom"/>
          </w:tcPr>
          <w:p w14:paraId="06D0B0EC" w14:textId="77777777" w:rsidR="00572F3C" w:rsidRPr="0013526B" w:rsidRDefault="00572F3C" w:rsidP="0013526B">
            <w:pPr>
              <w:ind w:right="57"/>
              <w:jc w:val="right"/>
              <w:rPr>
                <w:sz w:val="18"/>
                <w:szCs w:val="18"/>
              </w:rPr>
            </w:pPr>
          </w:p>
        </w:tc>
        <w:tc>
          <w:tcPr>
            <w:tcW w:w="1506" w:type="dxa"/>
            <w:tcBorders>
              <w:top w:val="single" w:sz="4" w:space="0" w:color="auto"/>
            </w:tcBorders>
            <w:shd w:val="clear" w:color="auto" w:fill="auto"/>
            <w:vAlign w:val="bottom"/>
          </w:tcPr>
          <w:p w14:paraId="0F2002F0" w14:textId="77777777" w:rsidR="00572F3C" w:rsidRPr="0013526B" w:rsidRDefault="00572F3C" w:rsidP="0013526B">
            <w:pPr>
              <w:ind w:right="57"/>
              <w:jc w:val="right"/>
              <w:rPr>
                <w:sz w:val="18"/>
                <w:szCs w:val="18"/>
              </w:rPr>
            </w:pPr>
          </w:p>
        </w:tc>
        <w:tc>
          <w:tcPr>
            <w:tcW w:w="98" w:type="dxa"/>
            <w:shd w:val="clear" w:color="auto" w:fill="auto"/>
          </w:tcPr>
          <w:p w14:paraId="5A1D6350" w14:textId="77777777" w:rsidR="00572F3C" w:rsidRPr="0013526B" w:rsidRDefault="00572F3C" w:rsidP="0013526B">
            <w:pPr>
              <w:jc w:val="both"/>
              <w:rPr>
                <w:sz w:val="18"/>
                <w:szCs w:val="18"/>
              </w:rPr>
            </w:pPr>
          </w:p>
        </w:tc>
        <w:tc>
          <w:tcPr>
            <w:tcW w:w="2213" w:type="dxa"/>
            <w:shd w:val="clear" w:color="auto" w:fill="auto"/>
            <w:vAlign w:val="bottom"/>
          </w:tcPr>
          <w:p w14:paraId="3477E1C2" w14:textId="77777777" w:rsidR="00572F3C" w:rsidRPr="0013526B" w:rsidRDefault="00572F3C" w:rsidP="0013526B">
            <w:pPr>
              <w:jc w:val="right"/>
              <w:rPr>
                <w:i/>
                <w:sz w:val="18"/>
                <w:szCs w:val="18"/>
              </w:rPr>
            </w:pPr>
          </w:p>
        </w:tc>
      </w:tr>
      <w:tr w:rsidR="00843F8A" w:rsidRPr="0013526B" w14:paraId="02E8836A" w14:textId="77777777" w:rsidTr="002108FF">
        <w:trPr>
          <w:cantSplit/>
        </w:trPr>
        <w:tc>
          <w:tcPr>
            <w:tcW w:w="2213" w:type="dxa"/>
            <w:shd w:val="clear" w:color="auto" w:fill="auto"/>
            <w:vAlign w:val="center"/>
          </w:tcPr>
          <w:p w14:paraId="44255F45" w14:textId="77777777" w:rsidR="00572F3C" w:rsidRPr="0013526B" w:rsidRDefault="00572F3C" w:rsidP="00353744">
            <w:pPr>
              <w:ind w:left="519" w:hanging="98"/>
              <w:rPr>
                <w:b/>
                <w:sz w:val="18"/>
                <w:szCs w:val="18"/>
              </w:rPr>
            </w:pPr>
            <w:r w:rsidRPr="0013526B">
              <w:rPr>
                <w:b/>
                <w:sz w:val="18"/>
                <w:szCs w:val="18"/>
              </w:rPr>
              <w:t>Jumlah</w:t>
            </w:r>
          </w:p>
        </w:tc>
        <w:tc>
          <w:tcPr>
            <w:tcW w:w="101" w:type="dxa"/>
            <w:shd w:val="clear" w:color="auto" w:fill="auto"/>
          </w:tcPr>
          <w:p w14:paraId="68C4BEFE" w14:textId="77777777" w:rsidR="00572F3C" w:rsidRPr="0013526B" w:rsidRDefault="00572F3C" w:rsidP="0013526B">
            <w:pPr>
              <w:jc w:val="both"/>
              <w:rPr>
                <w:b/>
                <w:sz w:val="18"/>
                <w:szCs w:val="18"/>
              </w:rPr>
            </w:pPr>
          </w:p>
        </w:tc>
        <w:tc>
          <w:tcPr>
            <w:tcW w:w="1507" w:type="dxa"/>
            <w:tcBorders>
              <w:bottom w:val="double" w:sz="4" w:space="0" w:color="auto"/>
            </w:tcBorders>
            <w:shd w:val="clear" w:color="auto" w:fill="auto"/>
            <w:vAlign w:val="center"/>
          </w:tcPr>
          <w:p w14:paraId="5EE009D0" w14:textId="02ACDA19" w:rsidR="00572F3C" w:rsidRPr="00165F06" w:rsidRDefault="006C2F48" w:rsidP="0013526B">
            <w:pPr>
              <w:ind w:right="57"/>
              <w:jc w:val="right"/>
              <w:rPr>
                <w:b/>
                <w:sz w:val="18"/>
                <w:szCs w:val="18"/>
              </w:rPr>
            </w:pPr>
            <w:r w:rsidRPr="006C2F48">
              <w:rPr>
                <w:b/>
                <w:sz w:val="18"/>
                <w:szCs w:val="18"/>
              </w:rPr>
              <w:t>12.000.705.445</w:t>
            </w:r>
          </w:p>
        </w:tc>
        <w:tc>
          <w:tcPr>
            <w:tcW w:w="98" w:type="dxa"/>
            <w:shd w:val="clear" w:color="auto" w:fill="auto"/>
          </w:tcPr>
          <w:p w14:paraId="53E54DD9" w14:textId="77777777" w:rsidR="00572F3C" w:rsidRPr="0013526B" w:rsidRDefault="00572F3C" w:rsidP="0013526B">
            <w:pPr>
              <w:ind w:right="57"/>
              <w:jc w:val="both"/>
              <w:rPr>
                <w:b/>
                <w:sz w:val="18"/>
                <w:szCs w:val="18"/>
              </w:rPr>
            </w:pPr>
          </w:p>
        </w:tc>
        <w:tc>
          <w:tcPr>
            <w:tcW w:w="1363" w:type="dxa"/>
            <w:tcBorders>
              <w:bottom w:val="double" w:sz="4" w:space="0" w:color="auto"/>
            </w:tcBorders>
            <w:shd w:val="clear" w:color="auto" w:fill="auto"/>
            <w:vAlign w:val="center"/>
          </w:tcPr>
          <w:p w14:paraId="1EE85D25" w14:textId="243367BE" w:rsidR="00572F3C" w:rsidRPr="00572F3C" w:rsidRDefault="00CC754B" w:rsidP="00572F3C">
            <w:pPr>
              <w:ind w:right="57"/>
              <w:jc w:val="right"/>
              <w:rPr>
                <w:b/>
                <w:sz w:val="18"/>
                <w:szCs w:val="18"/>
              </w:rPr>
            </w:pPr>
            <w:r w:rsidRPr="00CC754B">
              <w:rPr>
                <w:b/>
                <w:sz w:val="18"/>
                <w:szCs w:val="18"/>
              </w:rPr>
              <w:t>100%</w:t>
            </w:r>
          </w:p>
        </w:tc>
        <w:tc>
          <w:tcPr>
            <w:tcW w:w="98" w:type="dxa"/>
            <w:shd w:val="clear" w:color="auto" w:fill="auto"/>
          </w:tcPr>
          <w:p w14:paraId="534A09B7" w14:textId="77777777" w:rsidR="00572F3C" w:rsidRPr="0013526B" w:rsidRDefault="00572F3C" w:rsidP="0013526B">
            <w:pPr>
              <w:ind w:right="57"/>
              <w:jc w:val="both"/>
              <w:rPr>
                <w:b/>
                <w:sz w:val="18"/>
                <w:szCs w:val="18"/>
              </w:rPr>
            </w:pPr>
          </w:p>
        </w:tc>
        <w:tc>
          <w:tcPr>
            <w:tcW w:w="1506" w:type="dxa"/>
            <w:tcBorders>
              <w:bottom w:val="double" w:sz="4" w:space="0" w:color="auto"/>
            </w:tcBorders>
            <w:shd w:val="clear" w:color="auto" w:fill="auto"/>
            <w:vAlign w:val="center"/>
          </w:tcPr>
          <w:p w14:paraId="5A6390F0" w14:textId="332F9220" w:rsidR="00572F3C" w:rsidRPr="00572F3C" w:rsidRDefault="00CC754B" w:rsidP="0013526B">
            <w:pPr>
              <w:ind w:right="57"/>
              <w:jc w:val="right"/>
              <w:rPr>
                <w:b/>
                <w:sz w:val="18"/>
                <w:szCs w:val="18"/>
              </w:rPr>
            </w:pPr>
            <w:r w:rsidRPr="00CC754B">
              <w:rPr>
                <w:b/>
                <w:sz w:val="18"/>
                <w:szCs w:val="18"/>
              </w:rPr>
              <w:t>1.200.070.544.500</w:t>
            </w:r>
          </w:p>
        </w:tc>
        <w:tc>
          <w:tcPr>
            <w:tcW w:w="98" w:type="dxa"/>
            <w:shd w:val="clear" w:color="auto" w:fill="auto"/>
          </w:tcPr>
          <w:p w14:paraId="38BC30C3" w14:textId="77777777" w:rsidR="00572F3C" w:rsidRPr="0013526B" w:rsidRDefault="00572F3C" w:rsidP="0013526B">
            <w:pPr>
              <w:jc w:val="both"/>
              <w:rPr>
                <w:b/>
                <w:sz w:val="18"/>
                <w:szCs w:val="18"/>
              </w:rPr>
            </w:pPr>
          </w:p>
        </w:tc>
        <w:tc>
          <w:tcPr>
            <w:tcW w:w="2213" w:type="dxa"/>
            <w:shd w:val="clear" w:color="auto" w:fill="auto"/>
            <w:vAlign w:val="center"/>
          </w:tcPr>
          <w:p w14:paraId="26A7800F" w14:textId="77777777" w:rsidR="00572F3C" w:rsidRPr="0013526B" w:rsidRDefault="00572F3C" w:rsidP="0013526B">
            <w:pPr>
              <w:ind w:right="62"/>
              <w:jc w:val="right"/>
              <w:rPr>
                <w:b/>
                <w:i/>
                <w:sz w:val="18"/>
                <w:szCs w:val="18"/>
              </w:rPr>
            </w:pPr>
            <w:r w:rsidRPr="0013526B">
              <w:rPr>
                <w:b/>
                <w:i/>
                <w:sz w:val="18"/>
                <w:szCs w:val="18"/>
              </w:rPr>
              <w:t>Total</w:t>
            </w:r>
          </w:p>
        </w:tc>
      </w:tr>
    </w:tbl>
    <w:p w14:paraId="2D062352" w14:textId="77777777" w:rsidR="00521BCC" w:rsidRPr="0013526B" w:rsidRDefault="00521BCC" w:rsidP="0013526B">
      <w:pPr>
        <w:ind w:left="567"/>
        <w:jc w:val="both"/>
        <w:rPr>
          <w:sz w:val="14"/>
          <w:szCs w:val="18"/>
          <w:lang w:val="id-ID"/>
        </w:rPr>
      </w:pPr>
    </w:p>
    <w:p w14:paraId="035CE245" w14:textId="77777777" w:rsidR="00986889" w:rsidRPr="0013526B" w:rsidRDefault="00986889" w:rsidP="0013526B">
      <w:pPr>
        <w:tabs>
          <w:tab w:val="left" w:pos="3120"/>
        </w:tabs>
        <w:ind w:left="567"/>
        <w:jc w:val="both"/>
        <w:rPr>
          <w:sz w:val="14"/>
          <w:szCs w:val="18"/>
        </w:rPr>
      </w:pPr>
    </w:p>
    <w:tbl>
      <w:tblPr>
        <w:tblW w:w="9197" w:type="dxa"/>
        <w:tblInd w:w="378" w:type="dxa"/>
        <w:tblLayout w:type="fixed"/>
        <w:tblLook w:val="0000" w:firstRow="0" w:lastRow="0" w:firstColumn="0" w:lastColumn="0" w:noHBand="0" w:noVBand="0"/>
      </w:tblPr>
      <w:tblGrid>
        <w:gridCol w:w="4598"/>
        <w:gridCol w:w="4599"/>
      </w:tblGrid>
      <w:tr w:rsidR="00083896" w:rsidRPr="0013526B" w14:paraId="63493300" w14:textId="77777777" w:rsidTr="002108FF">
        <w:tc>
          <w:tcPr>
            <w:tcW w:w="2500" w:type="pct"/>
            <w:tcBorders>
              <w:top w:val="nil"/>
              <w:left w:val="nil"/>
              <w:bottom w:val="nil"/>
              <w:right w:val="nil"/>
            </w:tcBorders>
          </w:tcPr>
          <w:p w14:paraId="0DFBDB0B" w14:textId="05105242" w:rsidR="00083896" w:rsidRPr="0013526B" w:rsidRDefault="00D85682" w:rsidP="00EF4ED1">
            <w:pPr>
              <w:pStyle w:val="ListParagraph"/>
              <w:ind w:left="368" w:right="-57"/>
              <w:jc w:val="both"/>
              <w:rPr>
                <w:sz w:val="18"/>
                <w:szCs w:val="18"/>
              </w:rPr>
            </w:pPr>
            <w:r w:rsidRPr="00D85682">
              <w:rPr>
                <w:sz w:val="18"/>
                <w:szCs w:val="18"/>
              </w:rPr>
              <w:t>Berdasarkan       Akta       No.       59       tanggal 11 Desember 2012 dari Buntario Tigris</w:t>
            </w:r>
            <w:r w:rsidR="00305CA0">
              <w:rPr>
                <w:sz w:val="18"/>
                <w:szCs w:val="18"/>
              </w:rPr>
              <w:t>.</w:t>
            </w:r>
            <w:r w:rsidRPr="00D85682">
              <w:rPr>
                <w:sz w:val="18"/>
                <w:szCs w:val="18"/>
              </w:rPr>
              <w:t xml:space="preserve"> </w:t>
            </w:r>
            <w:proofErr w:type="gramStart"/>
            <w:r w:rsidRPr="00D85682">
              <w:rPr>
                <w:sz w:val="18"/>
                <w:szCs w:val="18"/>
              </w:rPr>
              <w:t>S.H.</w:t>
            </w:r>
            <w:r w:rsidR="00305CA0">
              <w:rPr>
                <w:sz w:val="18"/>
                <w:szCs w:val="18"/>
              </w:rPr>
              <w:t>.</w:t>
            </w:r>
            <w:proofErr w:type="gramEnd"/>
            <w:r w:rsidRPr="00D85682">
              <w:rPr>
                <w:sz w:val="18"/>
                <w:szCs w:val="18"/>
              </w:rPr>
              <w:t xml:space="preserve"> </w:t>
            </w:r>
            <w:proofErr w:type="gramStart"/>
            <w:r w:rsidRPr="00D85682">
              <w:rPr>
                <w:sz w:val="18"/>
                <w:szCs w:val="18"/>
              </w:rPr>
              <w:t>S.E.</w:t>
            </w:r>
            <w:r w:rsidR="00305CA0">
              <w:rPr>
                <w:sz w:val="18"/>
                <w:szCs w:val="18"/>
              </w:rPr>
              <w:t>.</w:t>
            </w:r>
            <w:proofErr w:type="gramEnd"/>
            <w:r w:rsidRPr="00D85682">
              <w:rPr>
                <w:sz w:val="18"/>
                <w:szCs w:val="18"/>
              </w:rPr>
              <w:t xml:space="preserve"> </w:t>
            </w:r>
            <w:proofErr w:type="gramStart"/>
            <w:r w:rsidRPr="00D85682">
              <w:rPr>
                <w:sz w:val="18"/>
                <w:szCs w:val="18"/>
              </w:rPr>
              <w:t>M.H.</w:t>
            </w:r>
            <w:r w:rsidR="00305CA0">
              <w:rPr>
                <w:sz w:val="18"/>
                <w:szCs w:val="18"/>
              </w:rPr>
              <w:t>.</w:t>
            </w:r>
            <w:proofErr w:type="gramEnd"/>
            <w:r w:rsidRPr="00D85682">
              <w:rPr>
                <w:sz w:val="18"/>
                <w:szCs w:val="18"/>
              </w:rPr>
              <w:t xml:space="preserve"> Notaris di Jakarta</w:t>
            </w:r>
            <w:r w:rsidR="00870FD0">
              <w:rPr>
                <w:sz w:val="18"/>
                <w:szCs w:val="18"/>
              </w:rPr>
              <w:t>.</w:t>
            </w:r>
            <w:r w:rsidRPr="00D85682">
              <w:rPr>
                <w:sz w:val="18"/>
                <w:szCs w:val="18"/>
              </w:rPr>
              <w:t xml:space="preserve"> </w:t>
            </w:r>
            <w:proofErr w:type="gramStart"/>
            <w:r w:rsidRPr="00D85682">
              <w:rPr>
                <w:sz w:val="18"/>
                <w:szCs w:val="18"/>
              </w:rPr>
              <w:t>para</w:t>
            </w:r>
            <w:proofErr w:type="gramEnd"/>
            <w:r w:rsidRPr="00D85682">
              <w:rPr>
                <w:sz w:val="18"/>
                <w:szCs w:val="18"/>
              </w:rPr>
              <w:t xml:space="preserve"> pemegang saham setuju untuk meningkatkan modal dasar Perusahaan dari 10.000.000.000 saham menjadi 20.000.000.000 saham. Akta perubahan ini telah disahkan oleh Menteri Hukum dan Hak Asasi Manusia Republik Indonesia berdasarkan Surat Keputusan No. AHU64312.AH.01.12 tahun 2012 tanggal 14 Desember 2012 serta telah diumumkan dalam Berita Negara Republik Indonesia No. 46 tanggal 7 Juli 2013</w:t>
            </w:r>
            <w:r w:rsidR="00305CA0">
              <w:rPr>
                <w:sz w:val="18"/>
                <w:szCs w:val="18"/>
              </w:rPr>
              <w:t>.</w:t>
            </w:r>
            <w:r w:rsidRPr="00D85682">
              <w:rPr>
                <w:sz w:val="18"/>
                <w:szCs w:val="18"/>
              </w:rPr>
              <w:t xml:space="preserve"> Tambahan No. 71167.</w:t>
            </w:r>
          </w:p>
        </w:tc>
        <w:tc>
          <w:tcPr>
            <w:tcW w:w="2500" w:type="pct"/>
            <w:tcBorders>
              <w:top w:val="nil"/>
              <w:left w:val="nil"/>
              <w:bottom w:val="nil"/>
              <w:right w:val="nil"/>
            </w:tcBorders>
          </w:tcPr>
          <w:p w14:paraId="120EF7E8" w14:textId="2181EFA0" w:rsidR="00083896" w:rsidRPr="0013526B" w:rsidRDefault="007218A5" w:rsidP="00141AFD">
            <w:pPr>
              <w:pStyle w:val="ListParagraph"/>
              <w:tabs>
                <w:tab w:val="right" w:pos="9340"/>
                <w:tab w:val="right" w:pos="10080"/>
              </w:tabs>
              <w:ind w:left="284" w:right="-57"/>
              <w:jc w:val="both"/>
              <w:rPr>
                <w:bCs w:val="0"/>
                <w:i/>
                <w:sz w:val="18"/>
                <w:szCs w:val="18"/>
              </w:rPr>
            </w:pPr>
            <w:r w:rsidRPr="007218A5">
              <w:rPr>
                <w:bCs w:val="0"/>
                <w:i/>
                <w:sz w:val="18"/>
                <w:szCs w:val="18"/>
              </w:rPr>
              <w:t>Based on Deed No. 59 dated December 11</w:t>
            </w:r>
            <w:r w:rsidR="00305CA0">
              <w:rPr>
                <w:bCs w:val="0"/>
                <w:i/>
                <w:sz w:val="18"/>
                <w:szCs w:val="18"/>
              </w:rPr>
              <w:t>.</w:t>
            </w:r>
            <w:r w:rsidRPr="007218A5">
              <w:rPr>
                <w:bCs w:val="0"/>
                <w:i/>
                <w:sz w:val="18"/>
                <w:szCs w:val="18"/>
              </w:rPr>
              <w:t xml:space="preserve"> 2012 of Buntario Tigris</w:t>
            </w:r>
            <w:r w:rsidR="00305CA0">
              <w:rPr>
                <w:bCs w:val="0"/>
                <w:i/>
                <w:sz w:val="18"/>
                <w:szCs w:val="18"/>
              </w:rPr>
              <w:t>.</w:t>
            </w:r>
            <w:r w:rsidRPr="007218A5">
              <w:rPr>
                <w:bCs w:val="0"/>
                <w:i/>
                <w:sz w:val="18"/>
                <w:szCs w:val="18"/>
              </w:rPr>
              <w:t xml:space="preserve"> </w:t>
            </w:r>
            <w:proofErr w:type="gramStart"/>
            <w:r w:rsidRPr="007218A5">
              <w:rPr>
                <w:bCs w:val="0"/>
                <w:i/>
                <w:sz w:val="18"/>
                <w:szCs w:val="18"/>
              </w:rPr>
              <w:t>S.H</w:t>
            </w:r>
            <w:r w:rsidR="00870FD0">
              <w:rPr>
                <w:bCs w:val="0"/>
                <w:i/>
                <w:sz w:val="18"/>
                <w:szCs w:val="18"/>
              </w:rPr>
              <w:t>.</w:t>
            </w:r>
            <w:r w:rsidR="00305CA0">
              <w:rPr>
                <w:bCs w:val="0"/>
                <w:i/>
                <w:sz w:val="18"/>
                <w:szCs w:val="18"/>
              </w:rPr>
              <w:t>.</w:t>
            </w:r>
            <w:proofErr w:type="gramEnd"/>
            <w:r w:rsidRPr="007218A5">
              <w:rPr>
                <w:bCs w:val="0"/>
                <w:i/>
                <w:sz w:val="18"/>
                <w:szCs w:val="18"/>
              </w:rPr>
              <w:t xml:space="preserve"> </w:t>
            </w:r>
            <w:proofErr w:type="gramStart"/>
            <w:r w:rsidRPr="007218A5">
              <w:rPr>
                <w:bCs w:val="0"/>
                <w:i/>
                <w:sz w:val="18"/>
                <w:szCs w:val="18"/>
              </w:rPr>
              <w:t>S.E</w:t>
            </w:r>
            <w:r w:rsidR="00870FD0">
              <w:rPr>
                <w:bCs w:val="0"/>
                <w:i/>
                <w:sz w:val="18"/>
                <w:szCs w:val="18"/>
              </w:rPr>
              <w:t>.</w:t>
            </w:r>
            <w:r w:rsidR="00305CA0">
              <w:rPr>
                <w:bCs w:val="0"/>
                <w:i/>
                <w:sz w:val="18"/>
                <w:szCs w:val="18"/>
              </w:rPr>
              <w:t>.</w:t>
            </w:r>
            <w:proofErr w:type="gramEnd"/>
            <w:r w:rsidRPr="007218A5">
              <w:rPr>
                <w:bCs w:val="0"/>
                <w:i/>
                <w:sz w:val="18"/>
                <w:szCs w:val="18"/>
              </w:rPr>
              <w:t xml:space="preserve"> </w:t>
            </w:r>
            <w:proofErr w:type="gramStart"/>
            <w:r w:rsidRPr="007218A5">
              <w:rPr>
                <w:bCs w:val="0"/>
                <w:i/>
                <w:sz w:val="18"/>
                <w:szCs w:val="18"/>
              </w:rPr>
              <w:t>M.H.</w:t>
            </w:r>
            <w:r w:rsidR="00305CA0">
              <w:rPr>
                <w:bCs w:val="0"/>
                <w:i/>
                <w:sz w:val="18"/>
                <w:szCs w:val="18"/>
              </w:rPr>
              <w:t>.</w:t>
            </w:r>
            <w:proofErr w:type="gramEnd"/>
            <w:r w:rsidRPr="007218A5">
              <w:rPr>
                <w:bCs w:val="0"/>
                <w:i/>
                <w:sz w:val="18"/>
                <w:szCs w:val="18"/>
              </w:rPr>
              <w:t xml:space="preserve"> Notary in Jakarta</w:t>
            </w:r>
            <w:r w:rsidR="00305CA0">
              <w:rPr>
                <w:bCs w:val="0"/>
                <w:i/>
                <w:sz w:val="18"/>
                <w:szCs w:val="18"/>
              </w:rPr>
              <w:t>.</w:t>
            </w:r>
            <w:r w:rsidRPr="007218A5">
              <w:rPr>
                <w:bCs w:val="0"/>
                <w:i/>
                <w:sz w:val="18"/>
                <w:szCs w:val="18"/>
              </w:rPr>
              <w:t xml:space="preserve"> </w:t>
            </w:r>
            <w:proofErr w:type="gramStart"/>
            <w:r w:rsidRPr="007218A5">
              <w:rPr>
                <w:bCs w:val="0"/>
                <w:i/>
                <w:sz w:val="18"/>
                <w:szCs w:val="18"/>
              </w:rPr>
              <w:t>the</w:t>
            </w:r>
            <w:proofErr w:type="gramEnd"/>
            <w:r w:rsidRPr="007218A5">
              <w:rPr>
                <w:bCs w:val="0"/>
                <w:i/>
                <w:sz w:val="18"/>
                <w:szCs w:val="18"/>
              </w:rPr>
              <w:t xml:space="preserve"> shareholder agreed to increase the authorized share capital from 10</w:t>
            </w:r>
            <w:r w:rsidR="00305CA0">
              <w:rPr>
                <w:bCs w:val="0"/>
                <w:i/>
                <w:sz w:val="18"/>
                <w:szCs w:val="18"/>
              </w:rPr>
              <w:t>.</w:t>
            </w:r>
            <w:r w:rsidRPr="007218A5">
              <w:rPr>
                <w:bCs w:val="0"/>
                <w:i/>
                <w:sz w:val="18"/>
                <w:szCs w:val="18"/>
              </w:rPr>
              <w:t>000</w:t>
            </w:r>
            <w:r w:rsidR="00305CA0">
              <w:rPr>
                <w:bCs w:val="0"/>
                <w:i/>
                <w:sz w:val="18"/>
                <w:szCs w:val="18"/>
              </w:rPr>
              <w:t>.</w:t>
            </w:r>
            <w:r w:rsidRPr="007218A5">
              <w:rPr>
                <w:bCs w:val="0"/>
                <w:i/>
                <w:sz w:val="18"/>
                <w:szCs w:val="18"/>
              </w:rPr>
              <w:t>000</w:t>
            </w:r>
            <w:r w:rsidR="00305CA0">
              <w:rPr>
                <w:bCs w:val="0"/>
                <w:i/>
                <w:sz w:val="18"/>
                <w:szCs w:val="18"/>
              </w:rPr>
              <w:t>.</w:t>
            </w:r>
            <w:r w:rsidRPr="007218A5">
              <w:rPr>
                <w:bCs w:val="0"/>
                <w:i/>
                <w:sz w:val="18"/>
                <w:szCs w:val="18"/>
              </w:rPr>
              <w:t>000 shares to 20</w:t>
            </w:r>
            <w:r w:rsidR="00305CA0">
              <w:rPr>
                <w:bCs w:val="0"/>
                <w:i/>
                <w:sz w:val="18"/>
                <w:szCs w:val="18"/>
              </w:rPr>
              <w:t>.</w:t>
            </w:r>
            <w:r w:rsidRPr="007218A5">
              <w:rPr>
                <w:bCs w:val="0"/>
                <w:i/>
                <w:sz w:val="18"/>
                <w:szCs w:val="18"/>
              </w:rPr>
              <w:t>000</w:t>
            </w:r>
            <w:r w:rsidR="00305CA0">
              <w:rPr>
                <w:bCs w:val="0"/>
                <w:i/>
                <w:sz w:val="18"/>
                <w:szCs w:val="18"/>
              </w:rPr>
              <w:t>.</w:t>
            </w:r>
            <w:r w:rsidRPr="007218A5">
              <w:rPr>
                <w:bCs w:val="0"/>
                <w:i/>
                <w:sz w:val="18"/>
                <w:szCs w:val="18"/>
              </w:rPr>
              <w:t>000</w:t>
            </w:r>
            <w:r w:rsidR="00305CA0">
              <w:rPr>
                <w:bCs w:val="0"/>
                <w:i/>
                <w:sz w:val="18"/>
                <w:szCs w:val="18"/>
              </w:rPr>
              <w:t>.</w:t>
            </w:r>
            <w:r w:rsidRPr="007218A5">
              <w:rPr>
                <w:bCs w:val="0"/>
                <w:i/>
                <w:sz w:val="18"/>
                <w:szCs w:val="18"/>
              </w:rPr>
              <w:t>000 shares. This amendment was approved by the Minister of Law and Human Rights of the Republic of Indonesia on his Decision Letter No. AHU64312.AH.01.12 year 2012 dated December 14</w:t>
            </w:r>
            <w:r w:rsidR="00305CA0">
              <w:rPr>
                <w:bCs w:val="0"/>
                <w:i/>
                <w:sz w:val="18"/>
                <w:szCs w:val="18"/>
              </w:rPr>
              <w:t>.</w:t>
            </w:r>
            <w:r w:rsidRPr="007218A5">
              <w:rPr>
                <w:bCs w:val="0"/>
                <w:i/>
                <w:sz w:val="18"/>
                <w:szCs w:val="18"/>
              </w:rPr>
              <w:t xml:space="preserve"> 2012 and was published in the State Gazette of Republic of Indonesia No. 46 Supplement No. 71167 dated July 7</w:t>
            </w:r>
            <w:r w:rsidR="00305CA0">
              <w:rPr>
                <w:bCs w:val="0"/>
                <w:i/>
                <w:sz w:val="18"/>
                <w:szCs w:val="18"/>
              </w:rPr>
              <w:t>.</w:t>
            </w:r>
            <w:r w:rsidRPr="007218A5">
              <w:rPr>
                <w:bCs w:val="0"/>
                <w:i/>
                <w:sz w:val="18"/>
                <w:szCs w:val="18"/>
              </w:rPr>
              <w:t xml:space="preserve"> 2013.</w:t>
            </w:r>
          </w:p>
        </w:tc>
      </w:tr>
    </w:tbl>
    <w:p w14:paraId="23A7CA1E" w14:textId="77777777" w:rsidR="00EE78B5" w:rsidRDefault="00EE78B5">
      <w:r>
        <w:br w:type="page"/>
      </w:r>
    </w:p>
    <w:p w14:paraId="4FBF127B" w14:textId="77777777" w:rsidR="00D85682" w:rsidRPr="00843F8A" w:rsidRDefault="00D85682">
      <w:pPr>
        <w:rPr>
          <w:sz w:val="2"/>
          <w:szCs w:val="2"/>
        </w:rPr>
      </w:pPr>
    </w:p>
    <w:tbl>
      <w:tblPr>
        <w:tblW w:w="9225" w:type="dxa"/>
        <w:tblInd w:w="364" w:type="dxa"/>
        <w:tblLayout w:type="fixed"/>
        <w:tblLook w:val="0000" w:firstRow="0" w:lastRow="0" w:firstColumn="0" w:lastColumn="0" w:noHBand="0" w:noVBand="0"/>
      </w:tblPr>
      <w:tblGrid>
        <w:gridCol w:w="27"/>
        <w:gridCol w:w="4570"/>
        <w:gridCol w:w="28"/>
        <w:gridCol w:w="4572"/>
        <w:gridCol w:w="28"/>
      </w:tblGrid>
      <w:tr w:rsidR="00EE78B5" w:rsidRPr="00D043CB" w14:paraId="69E03B3D" w14:textId="77777777" w:rsidTr="00EE78B5">
        <w:trPr>
          <w:gridBefore w:val="1"/>
          <w:wBefore w:w="15" w:type="pct"/>
        </w:trPr>
        <w:tc>
          <w:tcPr>
            <w:tcW w:w="2492" w:type="pct"/>
            <w:gridSpan w:val="2"/>
            <w:tcBorders>
              <w:top w:val="nil"/>
              <w:left w:val="nil"/>
              <w:bottom w:val="nil"/>
              <w:right w:val="nil"/>
            </w:tcBorders>
          </w:tcPr>
          <w:p w14:paraId="425E7156" w14:textId="77777777" w:rsidR="00EE78B5" w:rsidRPr="00D043CB" w:rsidRDefault="00EE78B5" w:rsidP="00070D1F">
            <w:pPr>
              <w:numPr>
                <w:ilvl w:val="0"/>
                <w:numId w:val="374"/>
              </w:numPr>
              <w:jc w:val="both"/>
              <w:rPr>
                <w:b/>
                <w:bCs w:val="0"/>
                <w:sz w:val="18"/>
                <w:szCs w:val="18"/>
              </w:rPr>
            </w:pPr>
            <w:r w:rsidRPr="00D043CB">
              <w:rPr>
                <w:b/>
                <w:bCs w:val="0"/>
                <w:sz w:val="18"/>
                <w:szCs w:val="18"/>
              </w:rPr>
              <w:t>MODAL SAHAM</w:t>
            </w:r>
            <w:r>
              <w:rPr>
                <w:b/>
                <w:bCs w:val="0"/>
                <w:sz w:val="18"/>
                <w:szCs w:val="18"/>
              </w:rPr>
              <w:t xml:space="preserve"> - Lanjutan</w:t>
            </w:r>
          </w:p>
        </w:tc>
        <w:tc>
          <w:tcPr>
            <w:tcW w:w="2493" w:type="pct"/>
            <w:gridSpan w:val="2"/>
            <w:tcBorders>
              <w:top w:val="nil"/>
              <w:left w:val="nil"/>
              <w:bottom w:val="nil"/>
              <w:right w:val="nil"/>
            </w:tcBorders>
          </w:tcPr>
          <w:p w14:paraId="3C2EC8F5" w14:textId="77777777" w:rsidR="00EE78B5" w:rsidRPr="00D043CB" w:rsidRDefault="00EE78B5" w:rsidP="00070D1F">
            <w:pPr>
              <w:numPr>
                <w:ilvl w:val="0"/>
                <w:numId w:val="375"/>
              </w:numPr>
              <w:jc w:val="both"/>
              <w:rPr>
                <w:b/>
                <w:bCs w:val="0"/>
                <w:i/>
                <w:sz w:val="18"/>
                <w:szCs w:val="18"/>
              </w:rPr>
            </w:pPr>
            <w:r w:rsidRPr="00D043CB">
              <w:rPr>
                <w:b/>
                <w:bCs w:val="0"/>
                <w:i/>
                <w:sz w:val="18"/>
                <w:szCs w:val="18"/>
              </w:rPr>
              <w:t>CAPITAL STOC</w:t>
            </w:r>
            <w:r>
              <w:rPr>
                <w:b/>
                <w:bCs w:val="0"/>
                <w:i/>
                <w:sz w:val="18"/>
                <w:szCs w:val="18"/>
              </w:rPr>
              <w:t>K - Continued</w:t>
            </w:r>
          </w:p>
        </w:tc>
      </w:tr>
      <w:tr w:rsidR="00EE78B5" w:rsidRPr="0013526B" w14:paraId="77891E4E" w14:textId="77777777" w:rsidTr="00EE78B5">
        <w:trPr>
          <w:gridBefore w:val="1"/>
          <w:wBefore w:w="15" w:type="pct"/>
        </w:trPr>
        <w:tc>
          <w:tcPr>
            <w:tcW w:w="2492" w:type="pct"/>
            <w:gridSpan w:val="2"/>
            <w:tcBorders>
              <w:top w:val="nil"/>
              <w:left w:val="nil"/>
              <w:bottom w:val="nil"/>
              <w:right w:val="nil"/>
            </w:tcBorders>
          </w:tcPr>
          <w:p w14:paraId="5A4D8400" w14:textId="77777777" w:rsidR="00EE78B5" w:rsidRPr="0013526B" w:rsidRDefault="00EE78B5" w:rsidP="00091DE4">
            <w:pPr>
              <w:pStyle w:val="ListParagraph"/>
              <w:ind w:left="284" w:right="-57"/>
              <w:jc w:val="both"/>
              <w:rPr>
                <w:sz w:val="18"/>
                <w:szCs w:val="18"/>
              </w:rPr>
            </w:pPr>
          </w:p>
        </w:tc>
        <w:tc>
          <w:tcPr>
            <w:tcW w:w="2493" w:type="pct"/>
            <w:gridSpan w:val="2"/>
            <w:tcBorders>
              <w:top w:val="nil"/>
              <w:left w:val="nil"/>
              <w:bottom w:val="nil"/>
              <w:right w:val="nil"/>
            </w:tcBorders>
          </w:tcPr>
          <w:p w14:paraId="6ACDE2F7" w14:textId="77777777" w:rsidR="00EE78B5" w:rsidRPr="0013526B" w:rsidRDefault="00EE78B5" w:rsidP="00091DE4">
            <w:pPr>
              <w:pStyle w:val="ListParagraph"/>
              <w:tabs>
                <w:tab w:val="right" w:pos="9340"/>
                <w:tab w:val="right" w:pos="10080"/>
              </w:tabs>
              <w:ind w:left="284" w:right="-57"/>
              <w:jc w:val="both"/>
              <w:rPr>
                <w:i/>
                <w:sz w:val="18"/>
                <w:szCs w:val="18"/>
              </w:rPr>
            </w:pPr>
          </w:p>
        </w:tc>
      </w:tr>
      <w:tr w:rsidR="00083896" w:rsidRPr="0013526B" w14:paraId="1DA98ADE" w14:textId="77777777" w:rsidTr="00EE78B5">
        <w:trPr>
          <w:gridAfter w:val="1"/>
          <w:wAfter w:w="15" w:type="pct"/>
        </w:trPr>
        <w:tc>
          <w:tcPr>
            <w:tcW w:w="2492" w:type="pct"/>
            <w:gridSpan w:val="2"/>
            <w:tcBorders>
              <w:top w:val="nil"/>
              <w:left w:val="nil"/>
              <w:bottom w:val="nil"/>
              <w:right w:val="nil"/>
            </w:tcBorders>
          </w:tcPr>
          <w:p w14:paraId="5B56EA3A" w14:textId="60202000" w:rsidR="00083896" w:rsidRPr="0013526B" w:rsidRDefault="007218A5" w:rsidP="00EF4ED1">
            <w:pPr>
              <w:pStyle w:val="ListParagraph"/>
              <w:ind w:left="379" w:right="-57"/>
              <w:jc w:val="both"/>
              <w:rPr>
                <w:b/>
                <w:sz w:val="18"/>
                <w:szCs w:val="18"/>
              </w:rPr>
            </w:pPr>
            <w:r w:rsidRPr="007218A5">
              <w:rPr>
                <w:sz w:val="18"/>
                <w:szCs w:val="18"/>
              </w:rPr>
              <w:t>Berdasarkan       Akta       No.       62       tanggal 11 September 2013 dari Buntario Tigris</w:t>
            </w:r>
            <w:r w:rsidR="00305CA0">
              <w:rPr>
                <w:sz w:val="18"/>
                <w:szCs w:val="18"/>
              </w:rPr>
              <w:t>.</w:t>
            </w:r>
            <w:r w:rsidRPr="007218A5">
              <w:rPr>
                <w:sz w:val="18"/>
                <w:szCs w:val="18"/>
              </w:rPr>
              <w:t xml:space="preserve"> </w:t>
            </w:r>
            <w:proofErr w:type="gramStart"/>
            <w:r w:rsidRPr="007218A5">
              <w:rPr>
                <w:sz w:val="18"/>
                <w:szCs w:val="18"/>
              </w:rPr>
              <w:t>S.H.</w:t>
            </w:r>
            <w:r w:rsidR="00305CA0">
              <w:rPr>
                <w:sz w:val="18"/>
                <w:szCs w:val="18"/>
              </w:rPr>
              <w:t>.</w:t>
            </w:r>
            <w:proofErr w:type="gramEnd"/>
            <w:r w:rsidRPr="007218A5">
              <w:rPr>
                <w:sz w:val="18"/>
                <w:szCs w:val="18"/>
              </w:rPr>
              <w:t xml:space="preserve"> </w:t>
            </w:r>
            <w:proofErr w:type="gramStart"/>
            <w:r w:rsidRPr="007218A5">
              <w:rPr>
                <w:sz w:val="18"/>
                <w:szCs w:val="18"/>
              </w:rPr>
              <w:t>S.E.</w:t>
            </w:r>
            <w:r w:rsidR="00305CA0">
              <w:rPr>
                <w:sz w:val="18"/>
                <w:szCs w:val="18"/>
              </w:rPr>
              <w:t>.</w:t>
            </w:r>
            <w:proofErr w:type="gramEnd"/>
            <w:r w:rsidRPr="007218A5">
              <w:rPr>
                <w:sz w:val="18"/>
                <w:szCs w:val="18"/>
              </w:rPr>
              <w:t xml:space="preserve"> </w:t>
            </w:r>
            <w:proofErr w:type="gramStart"/>
            <w:r w:rsidRPr="007218A5">
              <w:rPr>
                <w:sz w:val="18"/>
                <w:szCs w:val="18"/>
              </w:rPr>
              <w:t>M.H.</w:t>
            </w:r>
            <w:r w:rsidR="00305CA0">
              <w:rPr>
                <w:sz w:val="18"/>
                <w:szCs w:val="18"/>
              </w:rPr>
              <w:t>.</w:t>
            </w:r>
            <w:proofErr w:type="gramEnd"/>
            <w:r w:rsidRPr="007218A5">
              <w:rPr>
                <w:sz w:val="18"/>
                <w:szCs w:val="18"/>
              </w:rPr>
              <w:t xml:space="preserve"> Notaris di Jakarta</w:t>
            </w:r>
            <w:r w:rsidR="00305CA0">
              <w:rPr>
                <w:sz w:val="18"/>
                <w:szCs w:val="18"/>
              </w:rPr>
              <w:t>.</w:t>
            </w:r>
            <w:r w:rsidRPr="007218A5">
              <w:rPr>
                <w:sz w:val="18"/>
                <w:szCs w:val="18"/>
              </w:rPr>
              <w:t xml:space="preserve"> para pemegang saham setuju untuk modal ditempatkan dan disetor Perusahaan dari 5.535.250.000 saham menjadi 8.030.483.593 saham sehubungan dengan pelaksanaan PUT I. Akta perubahan ini telah disahkan oleh Menteri Hukum dan Hak Asasi Manusia Republik Indonesia berdasarkan Surat Keputusan No. AHU-0088401.AH.01.09 tahun 2013 tanggal 20 Desember 2012.</w:t>
            </w:r>
          </w:p>
        </w:tc>
        <w:tc>
          <w:tcPr>
            <w:tcW w:w="2493" w:type="pct"/>
            <w:gridSpan w:val="2"/>
            <w:tcBorders>
              <w:top w:val="nil"/>
              <w:left w:val="nil"/>
              <w:bottom w:val="nil"/>
              <w:right w:val="nil"/>
            </w:tcBorders>
          </w:tcPr>
          <w:p w14:paraId="306494B4" w14:textId="27E50292" w:rsidR="00083896" w:rsidRPr="007218A5" w:rsidRDefault="007218A5" w:rsidP="002C6EE3">
            <w:pPr>
              <w:pStyle w:val="ListParagraph"/>
              <w:tabs>
                <w:tab w:val="right" w:pos="9340"/>
                <w:tab w:val="right" w:pos="10080"/>
              </w:tabs>
              <w:ind w:left="284" w:right="-57"/>
              <w:jc w:val="both"/>
              <w:rPr>
                <w:bCs w:val="0"/>
                <w:i/>
                <w:sz w:val="18"/>
                <w:szCs w:val="18"/>
              </w:rPr>
            </w:pPr>
            <w:r w:rsidRPr="007218A5">
              <w:rPr>
                <w:bCs w:val="0"/>
                <w:i/>
                <w:sz w:val="18"/>
                <w:szCs w:val="18"/>
              </w:rPr>
              <w:t>Based on Deed No. 62 dated September 11</w:t>
            </w:r>
            <w:r w:rsidR="00305CA0">
              <w:rPr>
                <w:bCs w:val="0"/>
                <w:i/>
                <w:sz w:val="18"/>
                <w:szCs w:val="18"/>
              </w:rPr>
              <w:t>.</w:t>
            </w:r>
            <w:r w:rsidRPr="007218A5">
              <w:rPr>
                <w:bCs w:val="0"/>
                <w:i/>
                <w:sz w:val="18"/>
                <w:szCs w:val="18"/>
              </w:rPr>
              <w:t xml:space="preserve"> 2013 of Buntario Tigris</w:t>
            </w:r>
            <w:r w:rsidR="00305CA0">
              <w:rPr>
                <w:bCs w:val="0"/>
                <w:i/>
                <w:sz w:val="18"/>
                <w:szCs w:val="18"/>
              </w:rPr>
              <w:t>.</w:t>
            </w:r>
            <w:r w:rsidRPr="007218A5">
              <w:rPr>
                <w:bCs w:val="0"/>
                <w:i/>
                <w:sz w:val="18"/>
                <w:szCs w:val="18"/>
              </w:rPr>
              <w:t xml:space="preserve"> </w:t>
            </w:r>
            <w:proofErr w:type="gramStart"/>
            <w:r w:rsidRPr="007218A5">
              <w:rPr>
                <w:bCs w:val="0"/>
                <w:i/>
                <w:sz w:val="18"/>
                <w:szCs w:val="18"/>
              </w:rPr>
              <w:t>S.H.</w:t>
            </w:r>
            <w:r w:rsidR="00305CA0">
              <w:rPr>
                <w:bCs w:val="0"/>
                <w:i/>
                <w:sz w:val="18"/>
                <w:szCs w:val="18"/>
              </w:rPr>
              <w:t>.</w:t>
            </w:r>
            <w:proofErr w:type="gramEnd"/>
            <w:r w:rsidRPr="007218A5">
              <w:rPr>
                <w:bCs w:val="0"/>
                <w:i/>
                <w:sz w:val="18"/>
                <w:szCs w:val="18"/>
              </w:rPr>
              <w:t xml:space="preserve"> </w:t>
            </w:r>
            <w:proofErr w:type="gramStart"/>
            <w:r w:rsidRPr="007218A5">
              <w:rPr>
                <w:bCs w:val="0"/>
                <w:i/>
                <w:sz w:val="18"/>
                <w:szCs w:val="18"/>
              </w:rPr>
              <w:t>S.E.</w:t>
            </w:r>
            <w:r w:rsidR="00305CA0">
              <w:rPr>
                <w:bCs w:val="0"/>
                <w:i/>
                <w:sz w:val="18"/>
                <w:szCs w:val="18"/>
              </w:rPr>
              <w:t>.</w:t>
            </w:r>
            <w:proofErr w:type="gramEnd"/>
            <w:r w:rsidRPr="007218A5">
              <w:rPr>
                <w:bCs w:val="0"/>
                <w:i/>
                <w:sz w:val="18"/>
                <w:szCs w:val="18"/>
              </w:rPr>
              <w:t xml:space="preserve"> </w:t>
            </w:r>
            <w:proofErr w:type="gramStart"/>
            <w:r w:rsidRPr="007218A5">
              <w:rPr>
                <w:bCs w:val="0"/>
                <w:i/>
                <w:sz w:val="18"/>
                <w:szCs w:val="18"/>
              </w:rPr>
              <w:t>M.H.</w:t>
            </w:r>
            <w:r w:rsidR="00305CA0">
              <w:rPr>
                <w:bCs w:val="0"/>
                <w:i/>
                <w:sz w:val="18"/>
                <w:szCs w:val="18"/>
              </w:rPr>
              <w:t>.</w:t>
            </w:r>
            <w:proofErr w:type="gramEnd"/>
            <w:r w:rsidRPr="007218A5">
              <w:rPr>
                <w:bCs w:val="0"/>
                <w:i/>
                <w:sz w:val="18"/>
                <w:szCs w:val="18"/>
              </w:rPr>
              <w:t xml:space="preserve"> Notary in Jakarta</w:t>
            </w:r>
            <w:r w:rsidR="00305CA0">
              <w:rPr>
                <w:bCs w:val="0"/>
                <w:i/>
                <w:sz w:val="18"/>
                <w:szCs w:val="18"/>
              </w:rPr>
              <w:t>.</w:t>
            </w:r>
            <w:r w:rsidRPr="007218A5">
              <w:rPr>
                <w:bCs w:val="0"/>
                <w:i/>
                <w:sz w:val="18"/>
                <w:szCs w:val="18"/>
              </w:rPr>
              <w:t xml:space="preserve"> </w:t>
            </w:r>
            <w:proofErr w:type="gramStart"/>
            <w:r w:rsidRPr="007218A5">
              <w:rPr>
                <w:bCs w:val="0"/>
                <w:i/>
                <w:sz w:val="18"/>
                <w:szCs w:val="18"/>
              </w:rPr>
              <w:t>the</w:t>
            </w:r>
            <w:proofErr w:type="gramEnd"/>
            <w:r w:rsidRPr="007218A5">
              <w:rPr>
                <w:bCs w:val="0"/>
                <w:i/>
                <w:sz w:val="18"/>
                <w:szCs w:val="18"/>
              </w:rPr>
              <w:t xml:space="preserve"> shareholder agreed to increase the issued and paid up share capital from 5</w:t>
            </w:r>
            <w:r w:rsidR="00305CA0">
              <w:rPr>
                <w:bCs w:val="0"/>
                <w:i/>
                <w:sz w:val="18"/>
                <w:szCs w:val="18"/>
              </w:rPr>
              <w:t>.</w:t>
            </w:r>
            <w:r w:rsidRPr="007218A5">
              <w:rPr>
                <w:bCs w:val="0"/>
                <w:i/>
                <w:sz w:val="18"/>
                <w:szCs w:val="18"/>
              </w:rPr>
              <w:t>535</w:t>
            </w:r>
            <w:r w:rsidR="00305CA0">
              <w:rPr>
                <w:bCs w:val="0"/>
                <w:i/>
                <w:sz w:val="18"/>
                <w:szCs w:val="18"/>
              </w:rPr>
              <w:t>.</w:t>
            </w:r>
            <w:r w:rsidRPr="007218A5">
              <w:rPr>
                <w:bCs w:val="0"/>
                <w:i/>
                <w:sz w:val="18"/>
                <w:szCs w:val="18"/>
              </w:rPr>
              <w:t>250</w:t>
            </w:r>
            <w:r w:rsidR="00305CA0">
              <w:rPr>
                <w:bCs w:val="0"/>
                <w:i/>
                <w:sz w:val="18"/>
                <w:szCs w:val="18"/>
              </w:rPr>
              <w:t>.</w:t>
            </w:r>
            <w:r w:rsidRPr="007218A5">
              <w:rPr>
                <w:bCs w:val="0"/>
                <w:i/>
                <w:sz w:val="18"/>
                <w:szCs w:val="18"/>
              </w:rPr>
              <w:t>000 shares to 8</w:t>
            </w:r>
            <w:r w:rsidR="00305CA0">
              <w:rPr>
                <w:bCs w:val="0"/>
                <w:i/>
                <w:sz w:val="18"/>
                <w:szCs w:val="18"/>
              </w:rPr>
              <w:t>.</w:t>
            </w:r>
            <w:r w:rsidRPr="007218A5">
              <w:rPr>
                <w:bCs w:val="0"/>
                <w:i/>
                <w:sz w:val="18"/>
                <w:szCs w:val="18"/>
              </w:rPr>
              <w:t>030</w:t>
            </w:r>
            <w:r w:rsidR="00305CA0">
              <w:rPr>
                <w:bCs w:val="0"/>
                <w:i/>
                <w:sz w:val="18"/>
                <w:szCs w:val="18"/>
              </w:rPr>
              <w:t>.</w:t>
            </w:r>
            <w:r w:rsidRPr="007218A5">
              <w:rPr>
                <w:bCs w:val="0"/>
                <w:i/>
                <w:sz w:val="18"/>
                <w:szCs w:val="18"/>
              </w:rPr>
              <w:t>483</w:t>
            </w:r>
            <w:r w:rsidR="00305CA0">
              <w:rPr>
                <w:bCs w:val="0"/>
                <w:i/>
                <w:sz w:val="18"/>
                <w:szCs w:val="18"/>
              </w:rPr>
              <w:t>.</w:t>
            </w:r>
            <w:r w:rsidRPr="007218A5">
              <w:rPr>
                <w:bCs w:val="0"/>
                <w:i/>
                <w:sz w:val="18"/>
                <w:szCs w:val="18"/>
              </w:rPr>
              <w:t>593 shares in relation with PUT I. This amendment was approved by the Minister of Law and Human Rights of the Republic of Indonesia on his Decision Letter No. AHU-0088401.AH.01.09 year 2013</w:t>
            </w:r>
            <w:r>
              <w:rPr>
                <w:bCs w:val="0"/>
                <w:i/>
                <w:sz w:val="18"/>
                <w:szCs w:val="18"/>
              </w:rPr>
              <w:t xml:space="preserve"> </w:t>
            </w:r>
            <w:r w:rsidRPr="007218A5">
              <w:rPr>
                <w:bCs w:val="0"/>
                <w:i/>
                <w:sz w:val="18"/>
                <w:szCs w:val="18"/>
              </w:rPr>
              <w:t>dated December 20</w:t>
            </w:r>
            <w:r w:rsidR="00305CA0">
              <w:rPr>
                <w:bCs w:val="0"/>
                <w:i/>
                <w:sz w:val="18"/>
                <w:szCs w:val="18"/>
              </w:rPr>
              <w:t>.</w:t>
            </w:r>
            <w:r w:rsidRPr="007218A5">
              <w:rPr>
                <w:bCs w:val="0"/>
                <w:i/>
                <w:sz w:val="18"/>
                <w:szCs w:val="18"/>
              </w:rPr>
              <w:t xml:space="preserve"> 2012.</w:t>
            </w:r>
          </w:p>
        </w:tc>
      </w:tr>
      <w:tr w:rsidR="00083896" w:rsidRPr="0013526B" w14:paraId="3214964C" w14:textId="77777777" w:rsidTr="00EE78B5">
        <w:trPr>
          <w:gridAfter w:val="1"/>
          <w:wAfter w:w="15" w:type="pct"/>
        </w:trPr>
        <w:tc>
          <w:tcPr>
            <w:tcW w:w="2492" w:type="pct"/>
            <w:gridSpan w:val="2"/>
            <w:tcBorders>
              <w:top w:val="nil"/>
              <w:left w:val="nil"/>
              <w:bottom w:val="nil"/>
              <w:right w:val="nil"/>
            </w:tcBorders>
          </w:tcPr>
          <w:p w14:paraId="0C413973" w14:textId="77777777" w:rsidR="00083896" w:rsidRPr="0013526B" w:rsidRDefault="00083896" w:rsidP="0013526B">
            <w:pPr>
              <w:pStyle w:val="ListParagraph"/>
              <w:ind w:left="318" w:right="-57"/>
              <w:jc w:val="both"/>
              <w:rPr>
                <w:sz w:val="18"/>
                <w:szCs w:val="18"/>
              </w:rPr>
            </w:pPr>
          </w:p>
        </w:tc>
        <w:tc>
          <w:tcPr>
            <w:tcW w:w="2493" w:type="pct"/>
            <w:gridSpan w:val="2"/>
            <w:tcBorders>
              <w:top w:val="nil"/>
              <w:left w:val="nil"/>
              <w:bottom w:val="nil"/>
              <w:right w:val="nil"/>
            </w:tcBorders>
          </w:tcPr>
          <w:p w14:paraId="3D45993D" w14:textId="77777777" w:rsidR="00083896" w:rsidRPr="0013526B" w:rsidRDefault="00083896" w:rsidP="0013526B">
            <w:pPr>
              <w:pStyle w:val="ListParagraph"/>
              <w:tabs>
                <w:tab w:val="right" w:pos="9340"/>
                <w:tab w:val="right" w:pos="10080"/>
              </w:tabs>
              <w:ind w:left="289" w:right="-57"/>
              <w:jc w:val="both"/>
              <w:rPr>
                <w:i/>
                <w:sz w:val="18"/>
                <w:szCs w:val="18"/>
              </w:rPr>
            </w:pPr>
          </w:p>
        </w:tc>
      </w:tr>
      <w:tr w:rsidR="00083896" w:rsidRPr="0013526B" w14:paraId="1D89E386" w14:textId="77777777" w:rsidTr="00EE78B5">
        <w:trPr>
          <w:gridAfter w:val="1"/>
          <w:wAfter w:w="15" w:type="pct"/>
        </w:trPr>
        <w:tc>
          <w:tcPr>
            <w:tcW w:w="2492" w:type="pct"/>
            <w:gridSpan w:val="2"/>
            <w:tcBorders>
              <w:top w:val="nil"/>
              <w:left w:val="nil"/>
              <w:bottom w:val="nil"/>
              <w:right w:val="nil"/>
            </w:tcBorders>
          </w:tcPr>
          <w:p w14:paraId="5AD6B2FB" w14:textId="1FB2C228" w:rsidR="00083896" w:rsidRPr="007218A5" w:rsidRDefault="007218A5" w:rsidP="00EF4ED1">
            <w:pPr>
              <w:pStyle w:val="ListParagraph"/>
              <w:ind w:left="379" w:right="-57"/>
              <w:jc w:val="both"/>
              <w:rPr>
                <w:sz w:val="18"/>
                <w:szCs w:val="18"/>
              </w:rPr>
            </w:pPr>
            <w:r w:rsidRPr="007218A5">
              <w:rPr>
                <w:sz w:val="18"/>
                <w:szCs w:val="18"/>
              </w:rPr>
              <w:t>Berdasarkan Akta No. 2.275 tanggal 30 Desember 2016 dari R. F. Limpele</w:t>
            </w:r>
            <w:r w:rsidR="00305CA0">
              <w:rPr>
                <w:sz w:val="18"/>
                <w:szCs w:val="18"/>
              </w:rPr>
              <w:t>.</w:t>
            </w:r>
            <w:r w:rsidRPr="007218A5">
              <w:rPr>
                <w:sz w:val="18"/>
                <w:szCs w:val="18"/>
              </w:rPr>
              <w:t xml:space="preserve"> </w:t>
            </w:r>
            <w:proofErr w:type="gramStart"/>
            <w:r w:rsidRPr="007218A5">
              <w:rPr>
                <w:sz w:val="18"/>
                <w:szCs w:val="18"/>
              </w:rPr>
              <w:t>S.H.</w:t>
            </w:r>
            <w:r w:rsidR="00305CA0">
              <w:rPr>
                <w:sz w:val="18"/>
                <w:szCs w:val="18"/>
              </w:rPr>
              <w:t>.</w:t>
            </w:r>
            <w:proofErr w:type="gramEnd"/>
            <w:r w:rsidRPr="007218A5">
              <w:rPr>
                <w:sz w:val="18"/>
                <w:szCs w:val="18"/>
              </w:rPr>
              <w:t xml:space="preserve"> Notaris di Jakarta</w:t>
            </w:r>
            <w:r w:rsidR="00305CA0">
              <w:rPr>
                <w:sz w:val="18"/>
                <w:szCs w:val="18"/>
              </w:rPr>
              <w:t>.</w:t>
            </w:r>
            <w:r w:rsidRPr="007218A5">
              <w:rPr>
                <w:sz w:val="18"/>
                <w:szCs w:val="18"/>
              </w:rPr>
              <w:t xml:space="preserve"> </w:t>
            </w:r>
            <w:proofErr w:type="gramStart"/>
            <w:r w:rsidRPr="007218A5">
              <w:rPr>
                <w:sz w:val="18"/>
                <w:szCs w:val="18"/>
              </w:rPr>
              <w:t>para</w:t>
            </w:r>
            <w:proofErr w:type="gramEnd"/>
            <w:r w:rsidRPr="007218A5">
              <w:rPr>
                <w:sz w:val="18"/>
                <w:szCs w:val="18"/>
              </w:rPr>
              <w:t xml:space="preserve"> pemegang saham setuju untuk modal ditempatkan dan disetor Perusahaan dari 8.030.483.593 saham menjadi 10.917.783.981 saham sehubungan dengan PUT II. Akta perubahan ini telah disahkan oleh Menteri Hukum dan Hak Asasi Manusia</w:t>
            </w:r>
            <w:r>
              <w:rPr>
                <w:sz w:val="18"/>
                <w:szCs w:val="18"/>
              </w:rPr>
              <w:t xml:space="preserve"> Republik Indonesia berdasarkan Surat </w:t>
            </w:r>
            <w:r w:rsidRPr="007218A5">
              <w:rPr>
                <w:sz w:val="18"/>
                <w:szCs w:val="18"/>
              </w:rPr>
              <w:t>Keputusan No. AHU-AH.01.03-0018020 tahun 2017 tanggal 17 Januari 2017.</w:t>
            </w:r>
          </w:p>
        </w:tc>
        <w:tc>
          <w:tcPr>
            <w:tcW w:w="2493" w:type="pct"/>
            <w:gridSpan w:val="2"/>
            <w:tcBorders>
              <w:top w:val="nil"/>
              <w:left w:val="nil"/>
              <w:bottom w:val="nil"/>
              <w:right w:val="nil"/>
            </w:tcBorders>
          </w:tcPr>
          <w:p w14:paraId="799D2B0F" w14:textId="75E5B3FB" w:rsidR="00083896" w:rsidRPr="007218A5" w:rsidRDefault="007218A5" w:rsidP="002C6EE3">
            <w:pPr>
              <w:pStyle w:val="ListParagraph"/>
              <w:tabs>
                <w:tab w:val="right" w:pos="9340"/>
                <w:tab w:val="right" w:pos="10080"/>
              </w:tabs>
              <w:ind w:left="284" w:right="-57"/>
              <w:jc w:val="both"/>
              <w:rPr>
                <w:bCs w:val="0"/>
                <w:i/>
                <w:sz w:val="18"/>
                <w:szCs w:val="18"/>
              </w:rPr>
            </w:pPr>
            <w:r w:rsidRPr="007218A5">
              <w:rPr>
                <w:bCs w:val="0"/>
                <w:i/>
                <w:sz w:val="18"/>
                <w:szCs w:val="18"/>
              </w:rPr>
              <w:t>Based   on   Deed   No.   2.275   dated    December 30</w:t>
            </w:r>
            <w:r w:rsidR="00305CA0">
              <w:rPr>
                <w:bCs w:val="0"/>
                <w:i/>
                <w:sz w:val="18"/>
                <w:szCs w:val="18"/>
              </w:rPr>
              <w:t>.</w:t>
            </w:r>
            <w:r w:rsidRPr="007218A5">
              <w:rPr>
                <w:bCs w:val="0"/>
                <w:i/>
                <w:sz w:val="18"/>
                <w:szCs w:val="18"/>
              </w:rPr>
              <w:t xml:space="preserve"> 2016 of R. F. Limpele</w:t>
            </w:r>
            <w:r w:rsidR="00305CA0">
              <w:rPr>
                <w:bCs w:val="0"/>
                <w:i/>
                <w:sz w:val="18"/>
                <w:szCs w:val="18"/>
              </w:rPr>
              <w:t>.</w:t>
            </w:r>
            <w:r w:rsidRPr="007218A5">
              <w:rPr>
                <w:bCs w:val="0"/>
                <w:i/>
                <w:sz w:val="18"/>
                <w:szCs w:val="18"/>
              </w:rPr>
              <w:t xml:space="preserve"> </w:t>
            </w:r>
            <w:proofErr w:type="gramStart"/>
            <w:r w:rsidRPr="007218A5">
              <w:rPr>
                <w:bCs w:val="0"/>
                <w:i/>
                <w:sz w:val="18"/>
                <w:szCs w:val="18"/>
              </w:rPr>
              <w:t>S.H.</w:t>
            </w:r>
            <w:r w:rsidR="00305CA0">
              <w:rPr>
                <w:bCs w:val="0"/>
                <w:i/>
                <w:sz w:val="18"/>
                <w:szCs w:val="18"/>
              </w:rPr>
              <w:t>.</w:t>
            </w:r>
            <w:proofErr w:type="gramEnd"/>
            <w:r w:rsidRPr="007218A5">
              <w:rPr>
                <w:bCs w:val="0"/>
                <w:i/>
                <w:sz w:val="18"/>
                <w:szCs w:val="18"/>
              </w:rPr>
              <w:t xml:space="preserve"> Notary in Jakarta</w:t>
            </w:r>
            <w:r w:rsidR="00305CA0">
              <w:rPr>
                <w:bCs w:val="0"/>
                <w:i/>
                <w:sz w:val="18"/>
                <w:szCs w:val="18"/>
              </w:rPr>
              <w:t>.</w:t>
            </w:r>
            <w:r w:rsidRPr="007218A5">
              <w:rPr>
                <w:bCs w:val="0"/>
                <w:i/>
                <w:sz w:val="18"/>
                <w:szCs w:val="18"/>
              </w:rPr>
              <w:t xml:space="preserve"> </w:t>
            </w:r>
            <w:proofErr w:type="gramStart"/>
            <w:r w:rsidRPr="007218A5">
              <w:rPr>
                <w:bCs w:val="0"/>
                <w:i/>
                <w:sz w:val="18"/>
                <w:szCs w:val="18"/>
              </w:rPr>
              <w:t>the</w:t>
            </w:r>
            <w:proofErr w:type="gramEnd"/>
            <w:r w:rsidRPr="007218A5">
              <w:rPr>
                <w:bCs w:val="0"/>
                <w:i/>
                <w:sz w:val="18"/>
                <w:szCs w:val="18"/>
              </w:rPr>
              <w:t xml:space="preserve"> shareholder agreed to increase the issued and paid up share capital from 8</w:t>
            </w:r>
            <w:r w:rsidR="00305CA0">
              <w:rPr>
                <w:bCs w:val="0"/>
                <w:i/>
                <w:sz w:val="18"/>
                <w:szCs w:val="18"/>
              </w:rPr>
              <w:t>.</w:t>
            </w:r>
            <w:r w:rsidRPr="007218A5">
              <w:rPr>
                <w:bCs w:val="0"/>
                <w:i/>
                <w:sz w:val="18"/>
                <w:szCs w:val="18"/>
              </w:rPr>
              <w:t>030</w:t>
            </w:r>
            <w:r w:rsidR="00305CA0">
              <w:rPr>
                <w:bCs w:val="0"/>
                <w:i/>
                <w:sz w:val="18"/>
                <w:szCs w:val="18"/>
              </w:rPr>
              <w:t>.</w:t>
            </w:r>
            <w:r w:rsidRPr="007218A5">
              <w:rPr>
                <w:bCs w:val="0"/>
                <w:i/>
                <w:sz w:val="18"/>
                <w:szCs w:val="18"/>
              </w:rPr>
              <w:t>483</w:t>
            </w:r>
            <w:r w:rsidR="00305CA0">
              <w:rPr>
                <w:bCs w:val="0"/>
                <w:i/>
                <w:sz w:val="18"/>
                <w:szCs w:val="18"/>
              </w:rPr>
              <w:t>.</w:t>
            </w:r>
            <w:r w:rsidRPr="007218A5">
              <w:rPr>
                <w:bCs w:val="0"/>
                <w:i/>
                <w:sz w:val="18"/>
                <w:szCs w:val="18"/>
              </w:rPr>
              <w:t>593 shares to 10</w:t>
            </w:r>
            <w:r w:rsidR="00305CA0">
              <w:rPr>
                <w:bCs w:val="0"/>
                <w:i/>
                <w:sz w:val="18"/>
                <w:szCs w:val="18"/>
              </w:rPr>
              <w:t>.</w:t>
            </w:r>
            <w:r w:rsidRPr="007218A5">
              <w:rPr>
                <w:bCs w:val="0"/>
                <w:i/>
                <w:sz w:val="18"/>
                <w:szCs w:val="18"/>
              </w:rPr>
              <w:t>917</w:t>
            </w:r>
            <w:r w:rsidR="00305CA0">
              <w:rPr>
                <w:bCs w:val="0"/>
                <w:i/>
                <w:sz w:val="18"/>
                <w:szCs w:val="18"/>
              </w:rPr>
              <w:t>.</w:t>
            </w:r>
            <w:r w:rsidRPr="007218A5">
              <w:rPr>
                <w:bCs w:val="0"/>
                <w:i/>
                <w:sz w:val="18"/>
                <w:szCs w:val="18"/>
              </w:rPr>
              <w:t>783</w:t>
            </w:r>
            <w:r w:rsidR="00305CA0">
              <w:rPr>
                <w:bCs w:val="0"/>
                <w:i/>
                <w:sz w:val="18"/>
                <w:szCs w:val="18"/>
              </w:rPr>
              <w:t>.</w:t>
            </w:r>
            <w:r w:rsidRPr="007218A5">
              <w:rPr>
                <w:bCs w:val="0"/>
                <w:i/>
                <w:sz w:val="18"/>
                <w:szCs w:val="18"/>
              </w:rPr>
              <w:t>981 shares in relation with PUT II. This amandement was approved by the Minister of Law and Human Rights of the Republic of Indonesia on his Decision Letter No. AHU-AH.01.03-0018020 year 2017</w:t>
            </w:r>
            <w:r>
              <w:rPr>
                <w:bCs w:val="0"/>
                <w:i/>
                <w:sz w:val="18"/>
                <w:szCs w:val="18"/>
              </w:rPr>
              <w:t xml:space="preserve"> </w:t>
            </w:r>
            <w:r w:rsidRPr="007218A5">
              <w:rPr>
                <w:bCs w:val="0"/>
                <w:i/>
                <w:sz w:val="18"/>
                <w:szCs w:val="18"/>
              </w:rPr>
              <w:t>dated January 17</w:t>
            </w:r>
            <w:r w:rsidR="00305CA0">
              <w:rPr>
                <w:bCs w:val="0"/>
                <w:i/>
                <w:sz w:val="18"/>
                <w:szCs w:val="18"/>
              </w:rPr>
              <w:t>.</w:t>
            </w:r>
            <w:r w:rsidRPr="007218A5">
              <w:rPr>
                <w:bCs w:val="0"/>
                <w:i/>
                <w:sz w:val="18"/>
                <w:szCs w:val="18"/>
              </w:rPr>
              <w:t xml:space="preserve"> 2017.</w:t>
            </w:r>
          </w:p>
        </w:tc>
      </w:tr>
    </w:tbl>
    <w:p w14:paraId="71FC1F4F" w14:textId="77777777" w:rsidR="00EE78B5" w:rsidRDefault="00EE78B5"/>
    <w:tbl>
      <w:tblPr>
        <w:tblW w:w="9197" w:type="dxa"/>
        <w:tblInd w:w="392" w:type="dxa"/>
        <w:tblLayout w:type="fixed"/>
        <w:tblLook w:val="0000" w:firstRow="0" w:lastRow="0" w:firstColumn="0" w:lastColumn="0" w:noHBand="0" w:noVBand="0"/>
      </w:tblPr>
      <w:tblGrid>
        <w:gridCol w:w="4598"/>
        <w:gridCol w:w="4599"/>
      </w:tblGrid>
      <w:tr w:rsidR="00083896" w:rsidRPr="0013526B" w14:paraId="14394099" w14:textId="77777777" w:rsidTr="002108FF">
        <w:tc>
          <w:tcPr>
            <w:tcW w:w="2500" w:type="pct"/>
            <w:tcBorders>
              <w:top w:val="nil"/>
              <w:left w:val="nil"/>
              <w:bottom w:val="nil"/>
              <w:right w:val="nil"/>
            </w:tcBorders>
          </w:tcPr>
          <w:p w14:paraId="35AEF506" w14:textId="62CFEE11" w:rsidR="00083896" w:rsidRPr="0013526B" w:rsidRDefault="007218A5" w:rsidP="00EF4ED1">
            <w:pPr>
              <w:pStyle w:val="ListParagraph"/>
              <w:ind w:left="346" w:right="-57"/>
              <w:jc w:val="both"/>
              <w:rPr>
                <w:sz w:val="18"/>
                <w:szCs w:val="18"/>
              </w:rPr>
            </w:pPr>
            <w:proofErr w:type="gramStart"/>
            <w:r w:rsidRPr="007218A5">
              <w:rPr>
                <w:sz w:val="18"/>
                <w:szCs w:val="18"/>
              </w:rPr>
              <w:t>Berdasarkan  Akta</w:t>
            </w:r>
            <w:proofErr w:type="gramEnd"/>
            <w:r w:rsidRPr="007218A5">
              <w:rPr>
                <w:sz w:val="18"/>
                <w:szCs w:val="18"/>
              </w:rPr>
              <w:t xml:space="preserve">   Pernyataan   Keputusan Rapat Umum Pemegang Saham Luar Biasa RUPSLB No. 160 tanggal 31 Mei 2018</w:t>
            </w:r>
            <w:r w:rsidR="00870FD0">
              <w:rPr>
                <w:sz w:val="18"/>
                <w:szCs w:val="18"/>
              </w:rPr>
              <w:t>.</w:t>
            </w:r>
            <w:r w:rsidRPr="007218A5">
              <w:rPr>
                <w:sz w:val="18"/>
                <w:szCs w:val="18"/>
              </w:rPr>
              <w:t xml:space="preserve"> Perusahaan melakukan perubahan modal dan </w:t>
            </w:r>
            <w:proofErr w:type="gramStart"/>
            <w:r w:rsidRPr="007218A5">
              <w:rPr>
                <w:sz w:val="18"/>
                <w:szCs w:val="18"/>
              </w:rPr>
              <w:t>susunan  pemegang</w:t>
            </w:r>
            <w:proofErr w:type="gramEnd"/>
            <w:r w:rsidRPr="007218A5">
              <w:rPr>
                <w:sz w:val="18"/>
                <w:szCs w:val="18"/>
              </w:rPr>
              <w:t xml:space="preserve">  saham  dari   Notaris Buntario Tigris</w:t>
            </w:r>
            <w:r w:rsidR="00305CA0">
              <w:rPr>
                <w:sz w:val="18"/>
                <w:szCs w:val="18"/>
              </w:rPr>
              <w:t>.</w:t>
            </w:r>
            <w:r w:rsidRPr="007218A5">
              <w:rPr>
                <w:sz w:val="18"/>
                <w:szCs w:val="18"/>
              </w:rPr>
              <w:t xml:space="preserve"> </w:t>
            </w:r>
            <w:proofErr w:type="gramStart"/>
            <w:r w:rsidRPr="007218A5">
              <w:rPr>
                <w:sz w:val="18"/>
                <w:szCs w:val="18"/>
              </w:rPr>
              <w:t>S.H.</w:t>
            </w:r>
            <w:r w:rsidR="00305CA0">
              <w:rPr>
                <w:sz w:val="18"/>
                <w:szCs w:val="18"/>
              </w:rPr>
              <w:t>.</w:t>
            </w:r>
            <w:proofErr w:type="gramEnd"/>
            <w:r w:rsidRPr="007218A5">
              <w:rPr>
                <w:sz w:val="18"/>
                <w:szCs w:val="18"/>
              </w:rPr>
              <w:t xml:space="preserve"> </w:t>
            </w:r>
            <w:proofErr w:type="gramStart"/>
            <w:r w:rsidRPr="007218A5">
              <w:rPr>
                <w:sz w:val="18"/>
                <w:szCs w:val="18"/>
              </w:rPr>
              <w:t>S.E.</w:t>
            </w:r>
            <w:r w:rsidR="00305CA0">
              <w:rPr>
                <w:sz w:val="18"/>
                <w:szCs w:val="18"/>
              </w:rPr>
              <w:t>.</w:t>
            </w:r>
            <w:proofErr w:type="gramEnd"/>
            <w:r w:rsidRPr="007218A5">
              <w:rPr>
                <w:sz w:val="18"/>
                <w:szCs w:val="18"/>
              </w:rPr>
              <w:t xml:space="preserve"> </w:t>
            </w:r>
            <w:proofErr w:type="gramStart"/>
            <w:r w:rsidRPr="007218A5">
              <w:rPr>
                <w:sz w:val="18"/>
                <w:szCs w:val="18"/>
              </w:rPr>
              <w:t>M.H.</w:t>
            </w:r>
            <w:r w:rsidR="00305CA0">
              <w:rPr>
                <w:sz w:val="18"/>
                <w:szCs w:val="18"/>
              </w:rPr>
              <w:t>.</w:t>
            </w:r>
            <w:proofErr w:type="gramEnd"/>
            <w:r w:rsidRPr="007218A5">
              <w:rPr>
                <w:sz w:val="18"/>
                <w:szCs w:val="18"/>
              </w:rPr>
              <w:t xml:space="preserve"> Notaris di Jakarta. Perubahan    ini     telah     disahkan     oleh Menteri Hukum dan Hak Asasi Manusia Republik Indonesia       dengan       Surat        Keputusan No. AHU-AH.01.10-0006357 </w:t>
            </w:r>
            <w:r w:rsidR="00D043CB">
              <w:rPr>
                <w:sz w:val="18"/>
                <w:szCs w:val="18"/>
              </w:rPr>
              <w:br/>
            </w:r>
            <w:r w:rsidRPr="007218A5">
              <w:rPr>
                <w:sz w:val="18"/>
                <w:szCs w:val="18"/>
              </w:rPr>
              <w:t>tanggal 31 Mei 2018.</w:t>
            </w:r>
          </w:p>
        </w:tc>
        <w:tc>
          <w:tcPr>
            <w:tcW w:w="2500" w:type="pct"/>
            <w:tcBorders>
              <w:top w:val="nil"/>
              <w:left w:val="nil"/>
              <w:bottom w:val="nil"/>
              <w:right w:val="nil"/>
            </w:tcBorders>
          </w:tcPr>
          <w:p w14:paraId="13FAB688" w14:textId="2166DE33" w:rsidR="00083896" w:rsidRPr="0013526B" w:rsidRDefault="007218A5" w:rsidP="002C6EE3">
            <w:pPr>
              <w:pStyle w:val="ListParagraph"/>
              <w:tabs>
                <w:tab w:val="right" w:pos="9340"/>
                <w:tab w:val="right" w:pos="10080"/>
              </w:tabs>
              <w:ind w:left="284" w:right="-57"/>
              <w:jc w:val="both"/>
              <w:rPr>
                <w:i/>
                <w:sz w:val="18"/>
                <w:szCs w:val="18"/>
              </w:rPr>
            </w:pPr>
            <w:r w:rsidRPr="007218A5">
              <w:rPr>
                <w:bCs w:val="0"/>
                <w:i/>
                <w:sz w:val="18"/>
                <w:szCs w:val="18"/>
              </w:rPr>
              <w:t>Based on notarial deed of Extraordinary General Meeting</w:t>
            </w:r>
            <w:r w:rsidR="00305CA0">
              <w:rPr>
                <w:bCs w:val="0"/>
                <w:i/>
                <w:sz w:val="18"/>
                <w:szCs w:val="18"/>
              </w:rPr>
              <w:t>.</w:t>
            </w:r>
            <w:r w:rsidRPr="007218A5">
              <w:rPr>
                <w:bCs w:val="0"/>
                <w:i/>
                <w:sz w:val="18"/>
                <w:szCs w:val="18"/>
              </w:rPr>
              <w:t xml:space="preserve">   No.   160   dated    May    31</w:t>
            </w:r>
            <w:r w:rsidR="00305CA0">
              <w:rPr>
                <w:bCs w:val="0"/>
                <w:i/>
                <w:sz w:val="18"/>
                <w:szCs w:val="18"/>
              </w:rPr>
              <w:t>.</w:t>
            </w:r>
            <w:r w:rsidRPr="007218A5">
              <w:rPr>
                <w:bCs w:val="0"/>
                <w:i/>
                <w:sz w:val="18"/>
                <w:szCs w:val="18"/>
              </w:rPr>
              <w:t xml:space="preserve">    2018</w:t>
            </w:r>
            <w:r w:rsidR="00305CA0">
              <w:rPr>
                <w:bCs w:val="0"/>
                <w:i/>
                <w:sz w:val="18"/>
                <w:szCs w:val="18"/>
              </w:rPr>
              <w:t>.</w:t>
            </w:r>
            <w:r w:rsidRPr="007218A5">
              <w:rPr>
                <w:bCs w:val="0"/>
                <w:i/>
                <w:sz w:val="18"/>
                <w:szCs w:val="18"/>
              </w:rPr>
              <w:t xml:space="preserve"> </w:t>
            </w:r>
            <w:proofErr w:type="gramStart"/>
            <w:r w:rsidRPr="007218A5">
              <w:rPr>
                <w:bCs w:val="0"/>
                <w:i/>
                <w:sz w:val="18"/>
                <w:szCs w:val="18"/>
              </w:rPr>
              <w:t>the</w:t>
            </w:r>
            <w:proofErr w:type="gramEnd"/>
            <w:r w:rsidRPr="007218A5">
              <w:rPr>
                <w:bCs w:val="0"/>
                <w:i/>
                <w:sz w:val="18"/>
                <w:szCs w:val="18"/>
              </w:rPr>
              <w:t xml:space="preserve"> Company changes number of capital stock and the Company’s shareholder’s composition of Notary Buntario Tigris</w:t>
            </w:r>
            <w:r w:rsidR="00305CA0">
              <w:rPr>
                <w:bCs w:val="0"/>
                <w:i/>
                <w:sz w:val="18"/>
                <w:szCs w:val="18"/>
              </w:rPr>
              <w:t>.</w:t>
            </w:r>
            <w:r w:rsidRPr="007218A5">
              <w:rPr>
                <w:bCs w:val="0"/>
                <w:i/>
                <w:sz w:val="18"/>
                <w:szCs w:val="18"/>
              </w:rPr>
              <w:t xml:space="preserve"> </w:t>
            </w:r>
            <w:proofErr w:type="gramStart"/>
            <w:r w:rsidRPr="007218A5">
              <w:rPr>
                <w:bCs w:val="0"/>
                <w:i/>
                <w:sz w:val="18"/>
                <w:szCs w:val="18"/>
              </w:rPr>
              <w:t>S.H.</w:t>
            </w:r>
            <w:r w:rsidR="00305CA0">
              <w:rPr>
                <w:bCs w:val="0"/>
                <w:i/>
                <w:sz w:val="18"/>
                <w:szCs w:val="18"/>
              </w:rPr>
              <w:t>.</w:t>
            </w:r>
            <w:proofErr w:type="gramEnd"/>
            <w:r w:rsidRPr="007218A5">
              <w:rPr>
                <w:bCs w:val="0"/>
                <w:i/>
                <w:sz w:val="18"/>
                <w:szCs w:val="18"/>
              </w:rPr>
              <w:t xml:space="preserve"> </w:t>
            </w:r>
            <w:proofErr w:type="gramStart"/>
            <w:r w:rsidRPr="007218A5">
              <w:rPr>
                <w:bCs w:val="0"/>
                <w:i/>
                <w:sz w:val="18"/>
                <w:szCs w:val="18"/>
              </w:rPr>
              <w:t>S.E.</w:t>
            </w:r>
            <w:r w:rsidR="00305CA0">
              <w:rPr>
                <w:bCs w:val="0"/>
                <w:i/>
                <w:sz w:val="18"/>
                <w:szCs w:val="18"/>
              </w:rPr>
              <w:t>.</w:t>
            </w:r>
            <w:proofErr w:type="gramEnd"/>
            <w:r w:rsidRPr="007218A5">
              <w:rPr>
                <w:bCs w:val="0"/>
                <w:i/>
                <w:sz w:val="18"/>
                <w:szCs w:val="18"/>
              </w:rPr>
              <w:t xml:space="preserve"> </w:t>
            </w:r>
            <w:proofErr w:type="gramStart"/>
            <w:r w:rsidRPr="007218A5">
              <w:rPr>
                <w:bCs w:val="0"/>
                <w:i/>
                <w:sz w:val="18"/>
                <w:szCs w:val="18"/>
              </w:rPr>
              <w:t>M.H.</w:t>
            </w:r>
            <w:r w:rsidR="00305CA0">
              <w:rPr>
                <w:bCs w:val="0"/>
                <w:i/>
                <w:sz w:val="18"/>
                <w:szCs w:val="18"/>
              </w:rPr>
              <w:t>.</w:t>
            </w:r>
            <w:proofErr w:type="gramEnd"/>
            <w:r w:rsidRPr="007218A5">
              <w:rPr>
                <w:bCs w:val="0"/>
                <w:i/>
                <w:sz w:val="18"/>
                <w:szCs w:val="18"/>
              </w:rPr>
              <w:t xml:space="preserve"> </w:t>
            </w:r>
            <w:proofErr w:type="gramStart"/>
            <w:r w:rsidRPr="007218A5">
              <w:rPr>
                <w:bCs w:val="0"/>
                <w:i/>
                <w:sz w:val="18"/>
                <w:szCs w:val="18"/>
              </w:rPr>
              <w:t>in</w:t>
            </w:r>
            <w:proofErr w:type="gramEnd"/>
            <w:r w:rsidRPr="007218A5">
              <w:rPr>
                <w:bCs w:val="0"/>
                <w:i/>
                <w:sz w:val="18"/>
                <w:szCs w:val="18"/>
              </w:rPr>
              <w:t xml:space="preserve"> Jakarta. This changes was approved by Minister of Law and Human Rights of the Republic of Indonesia in his Decision Letter </w:t>
            </w:r>
            <w:r w:rsidR="00D043CB">
              <w:rPr>
                <w:bCs w:val="0"/>
                <w:i/>
                <w:sz w:val="18"/>
                <w:szCs w:val="18"/>
              </w:rPr>
              <w:br/>
            </w:r>
            <w:r w:rsidRPr="007218A5">
              <w:rPr>
                <w:bCs w:val="0"/>
                <w:i/>
                <w:sz w:val="18"/>
                <w:szCs w:val="18"/>
              </w:rPr>
              <w:t>No. AHU-AH.01.10-0006357 dated May 31</w:t>
            </w:r>
            <w:r w:rsidR="00305CA0">
              <w:rPr>
                <w:bCs w:val="0"/>
                <w:i/>
                <w:sz w:val="18"/>
                <w:szCs w:val="18"/>
              </w:rPr>
              <w:t>.</w:t>
            </w:r>
            <w:r w:rsidRPr="007218A5">
              <w:rPr>
                <w:bCs w:val="0"/>
                <w:i/>
                <w:sz w:val="18"/>
                <w:szCs w:val="18"/>
              </w:rPr>
              <w:t xml:space="preserve"> 2018</w:t>
            </w:r>
            <w:r>
              <w:rPr>
                <w:bCs w:val="0"/>
                <w:i/>
                <w:sz w:val="18"/>
                <w:szCs w:val="18"/>
              </w:rPr>
              <w:t>.</w:t>
            </w:r>
          </w:p>
        </w:tc>
      </w:tr>
      <w:tr w:rsidR="00E6315F" w:rsidRPr="0013526B" w14:paraId="63A6109F" w14:textId="77777777" w:rsidTr="002108FF">
        <w:tc>
          <w:tcPr>
            <w:tcW w:w="2500" w:type="pct"/>
            <w:tcBorders>
              <w:top w:val="nil"/>
              <w:left w:val="nil"/>
              <w:bottom w:val="nil"/>
              <w:right w:val="nil"/>
            </w:tcBorders>
          </w:tcPr>
          <w:p w14:paraId="5EFD20BB" w14:textId="77777777" w:rsidR="00E6315F" w:rsidRPr="0013526B" w:rsidRDefault="00E6315F" w:rsidP="0013526B">
            <w:pPr>
              <w:pStyle w:val="ListParagraph"/>
              <w:ind w:left="284" w:right="-57"/>
              <w:jc w:val="both"/>
              <w:rPr>
                <w:sz w:val="16"/>
                <w:szCs w:val="18"/>
              </w:rPr>
            </w:pPr>
          </w:p>
        </w:tc>
        <w:tc>
          <w:tcPr>
            <w:tcW w:w="2500" w:type="pct"/>
            <w:tcBorders>
              <w:top w:val="nil"/>
              <w:left w:val="nil"/>
              <w:bottom w:val="nil"/>
              <w:right w:val="nil"/>
            </w:tcBorders>
          </w:tcPr>
          <w:p w14:paraId="2FDD9B93" w14:textId="77777777" w:rsidR="00E6315F" w:rsidRPr="0013526B" w:rsidRDefault="00E6315F" w:rsidP="0013526B">
            <w:pPr>
              <w:pStyle w:val="ListParagraph"/>
              <w:tabs>
                <w:tab w:val="right" w:pos="9340"/>
                <w:tab w:val="right" w:pos="10080"/>
              </w:tabs>
              <w:ind w:left="284" w:right="-57"/>
              <w:jc w:val="both"/>
              <w:rPr>
                <w:i/>
                <w:sz w:val="16"/>
                <w:szCs w:val="18"/>
              </w:rPr>
            </w:pPr>
          </w:p>
        </w:tc>
      </w:tr>
      <w:tr w:rsidR="00B6541B" w:rsidRPr="0013526B" w14:paraId="596A6751" w14:textId="77777777" w:rsidTr="002108FF">
        <w:tc>
          <w:tcPr>
            <w:tcW w:w="2500" w:type="pct"/>
            <w:tcBorders>
              <w:top w:val="nil"/>
              <w:left w:val="nil"/>
              <w:bottom w:val="nil"/>
              <w:right w:val="nil"/>
            </w:tcBorders>
          </w:tcPr>
          <w:p w14:paraId="74D882C5" w14:textId="48A62A6F" w:rsidR="00B6541B" w:rsidRPr="00D043CB" w:rsidRDefault="007218A5" w:rsidP="00EF4ED1">
            <w:pPr>
              <w:pStyle w:val="ListParagraph"/>
              <w:ind w:left="346" w:right="-57"/>
              <w:jc w:val="both"/>
              <w:rPr>
                <w:sz w:val="18"/>
                <w:szCs w:val="18"/>
              </w:rPr>
            </w:pPr>
            <w:r w:rsidRPr="00D043CB">
              <w:rPr>
                <w:sz w:val="18"/>
                <w:szCs w:val="18"/>
              </w:rPr>
              <w:t xml:space="preserve">Perubahan tersebut dilakukan karena adanya penggabungan </w:t>
            </w:r>
            <w:proofErr w:type="gramStart"/>
            <w:r w:rsidRPr="00D043CB">
              <w:rPr>
                <w:sz w:val="18"/>
                <w:szCs w:val="18"/>
              </w:rPr>
              <w:t>usaha  antara</w:t>
            </w:r>
            <w:proofErr w:type="gramEnd"/>
            <w:r w:rsidRPr="00D043CB">
              <w:rPr>
                <w:sz w:val="18"/>
                <w:szCs w:val="18"/>
              </w:rPr>
              <w:t xml:space="preserve">  SRAJ  dan  BMC</w:t>
            </w:r>
            <w:r w:rsidR="00305CA0">
              <w:rPr>
                <w:sz w:val="18"/>
                <w:szCs w:val="18"/>
              </w:rPr>
              <w:t>.</w:t>
            </w:r>
            <w:r w:rsidRPr="00D043CB">
              <w:rPr>
                <w:sz w:val="18"/>
                <w:szCs w:val="18"/>
              </w:rPr>
              <w:t xml:space="preserve">  </w:t>
            </w:r>
            <w:proofErr w:type="gramStart"/>
            <w:r w:rsidRPr="00D043CB">
              <w:rPr>
                <w:sz w:val="18"/>
                <w:szCs w:val="18"/>
              </w:rPr>
              <w:t>di</w:t>
            </w:r>
            <w:proofErr w:type="gramEnd"/>
            <w:r w:rsidRPr="00D043CB">
              <w:rPr>
                <w:sz w:val="18"/>
                <w:szCs w:val="18"/>
              </w:rPr>
              <w:t xml:space="preserve"> mana BMC akan menggabungkan diri ke SRAJ. Sehingga </w:t>
            </w:r>
            <w:proofErr w:type="gramStart"/>
            <w:r w:rsidRPr="00D043CB">
              <w:rPr>
                <w:sz w:val="18"/>
                <w:szCs w:val="18"/>
              </w:rPr>
              <w:t>perubahan  modal</w:t>
            </w:r>
            <w:proofErr w:type="gramEnd"/>
            <w:r w:rsidRPr="00D043CB">
              <w:rPr>
                <w:sz w:val="18"/>
                <w:szCs w:val="18"/>
              </w:rPr>
              <w:t xml:space="preserve">  yang  disetor berubah dari </w:t>
            </w:r>
            <w:r w:rsidR="00D043CB">
              <w:rPr>
                <w:sz w:val="18"/>
                <w:szCs w:val="18"/>
              </w:rPr>
              <w:br/>
            </w:r>
            <w:r w:rsidR="004A1988" w:rsidRPr="00D043CB">
              <w:rPr>
                <w:sz w:val="18"/>
                <w:szCs w:val="18"/>
              </w:rPr>
              <w:t>Rp 1</w:t>
            </w:r>
            <w:r w:rsidRPr="00D043CB">
              <w:rPr>
                <w:sz w:val="18"/>
                <w:szCs w:val="18"/>
              </w:rPr>
              <w:t>.091.778.398.100    menjadi Rp 1.200.070.544.500.</w:t>
            </w:r>
          </w:p>
        </w:tc>
        <w:tc>
          <w:tcPr>
            <w:tcW w:w="2500" w:type="pct"/>
            <w:tcBorders>
              <w:top w:val="nil"/>
              <w:left w:val="nil"/>
              <w:bottom w:val="nil"/>
              <w:right w:val="nil"/>
            </w:tcBorders>
          </w:tcPr>
          <w:p w14:paraId="311DA5B2" w14:textId="52E5440E" w:rsidR="00B6541B" w:rsidRPr="0013526B" w:rsidRDefault="007218A5" w:rsidP="002C6EE3">
            <w:pPr>
              <w:pStyle w:val="ListParagraph"/>
              <w:tabs>
                <w:tab w:val="right" w:pos="9340"/>
                <w:tab w:val="right" w:pos="10080"/>
              </w:tabs>
              <w:ind w:left="284" w:right="-57"/>
              <w:jc w:val="both"/>
              <w:rPr>
                <w:i/>
                <w:sz w:val="18"/>
                <w:szCs w:val="18"/>
              </w:rPr>
            </w:pPr>
            <w:r w:rsidRPr="00D043CB">
              <w:rPr>
                <w:bCs w:val="0"/>
                <w:i/>
                <w:sz w:val="18"/>
                <w:szCs w:val="18"/>
              </w:rPr>
              <w:t>These changes due to merger between SRAJ and BMC</w:t>
            </w:r>
            <w:r w:rsidR="00305CA0">
              <w:rPr>
                <w:bCs w:val="0"/>
                <w:i/>
                <w:sz w:val="18"/>
                <w:szCs w:val="18"/>
              </w:rPr>
              <w:t>.</w:t>
            </w:r>
            <w:r w:rsidRPr="00D043CB">
              <w:rPr>
                <w:bCs w:val="0"/>
                <w:i/>
                <w:sz w:val="18"/>
                <w:szCs w:val="18"/>
              </w:rPr>
              <w:t xml:space="preserve"> </w:t>
            </w:r>
            <w:proofErr w:type="gramStart"/>
            <w:r w:rsidRPr="00D043CB">
              <w:rPr>
                <w:bCs w:val="0"/>
                <w:i/>
                <w:sz w:val="18"/>
                <w:szCs w:val="18"/>
              </w:rPr>
              <w:t>which</w:t>
            </w:r>
            <w:proofErr w:type="gramEnd"/>
            <w:r w:rsidRPr="00D043CB">
              <w:rPr>
                <w:bCs w:val="0"/>
                <w:i/>
                <w:sz w:val="18"/>
                <w:szCs w:val="18"/>
              </w:rPr>
              <w:t xml:space="preserve"> is BMC would be merged to SRAJ. Therefore additional of number of capital stock change from </w:t>
            </w:r>
            <w:r w:rsidR="00D043CB">
              <w:rPr>
                <w:bCs w:val="0"/>
                <w:i/>
                <w:sz w:val="18"/>
                <w:szCs w:val="18"/>
              </w:rPr>
              <w:br/>
            </w:r>
            <w:r w:rsidR="004A1988" w:rsidRPr="00D043CB">
              <w:rPr>
                <w:bCs w:val="0"/>
                <w:i/>
                <w:sz w:val="18"/>
                <w:szCs w:val="18"/>
              </w:rPr>
              <w:t>Rp 1</w:t>
            </w:r>
            <w:r w:rsidR="00305CA0">
              <w:rPr>
                <w:bCs w:val="0"/>
                <w:i/>
                <w:sz w:val="18"/>
                <w:szCs w:val="18"/>
              </w:rPr>
              <w:t>.</w:t>
            </w:r>
            <w:r w:rsidRPr="00D043CB">
              <w:rPr>
                <w:bCs w:val="0"/>
                <w:i/>
                <w:sz w:val="18"/>
                <w:szCs w:val="18"/>
              </w:rPr>
              <w:t>091</w:t>
            </w:r>
            <w:r w:rsidR="00305CA0">
              <w:rPr>
                <w:bCs w:val="0"/>
                <w:i/>
                <w:sz w:val="18"/>
                <w:szCs w:val="18"/>
              </w:rPr>
              <w:t>.</w:t>
            </w:r>
            <w:r w:rsidRPr="00D043CB">
              <w:rPr>
                <w:bCs w:val="0"/>
                <w:i/>
                <w:sz w:val="18"/>
                <w:szCs w:val="18"/>
              </w:rPr>
              <w:t>778</w:t>
            </w:r>
            <w:r w:rsidR="00305CA0">
              <w:rPr>
                <w:bCs w:val="0"/>
                <w:i/>
                <w:sz w:val="18"/>
                <w:szCs w:val="18"/>
              </w:rPr>
              <w:t>.</w:t>
            </w:r>
            <w:r w:rsidRPr="00D043CB">
              <w:rPr>
                <w:bCs w:val="0"/>
                <w:i/>
                <w:sz w:val="18"/>
                <w:szCs w:val="18"/>
              </w:rPr>
              <w:t>398</w:t>
            </w:r>
            <w:r w:rsidR="00305CA0">
              <w:rPr>
                <w:bCs w:val="0"/>
                <w:i/>
                <w:sz w:val="18"/>
                <w:szCs w:val="18"/>
              </w:rPr>
              <w:t>.</w:t>
            </w:r>
            <w:r w:rsidRPr="00D043CB">
              <w:rPr>
                <w:bCs w:val="0"/>
                <w:i/>
                <w:sz w:val="18"/>
                <w:szCs w:val="18"/>
              </w:rPr>
              <w:t xml:space="preserve">100 to </w:t>
            </w:r>
            <w:r w:rsidR="004A1988" w:rsidRPr="00D043CB">
              <w:rPr>
                <w:bCs w:val="0"/>
                <w:i/>
                <w:sz w:val="18"/>
                <w:szCs w:val="18"/>
              </w:rPr>
              <w:t>Rp 1</w:t>
            </w:r>
            <w:r w:rsidR="00305CA0">
              <w:rPr>
                <w:bCs w:val="0"/>
                <w:i/>
                <w:sz w:val="18"/>
                <w:szCs w:val="18"/>
              </w:rPr>
              <w:t>.</w:t>
            </w:r>
            <w:r w:rsidRPr="00D043CB">
              <w:rPr>
                <w:bCs w:val="0"/>
                <w:i/>
                <w:sz w:val="18"/>
                <w:szCs w:val="18"/>
              </w:rPr>
              <w:t>200</w:t>
            </w:r>
            <w:r w:rsidR="00305CA0">
              <w:rPr>
                <w:bCs w:val="0"/>
                <w:i/>
                <w:sz w:val="18"/>
                <w:szCs w:val="18"/>
              </w:rPr>
              <w:t>.</w:t>
            </w:r>
            <w:r w:rsidRPr="00D043CB">
              <w:rPr>
                <w:bCs w:val="0"/>
                <w:i/>
                <w:sz w:val="18"/>
                <w:szCs w:val="18"/>
              </w:rPr>
              <w:t>070</w:t>
            </w:r>
            <w:r w:rsidR="00305CA0">
              <w:rPr>
                <w:bCs w:val="0"/>
                <w:i/>
                <w:sz w:val="18"/>
                <w:szCs w:val="18"/>
              </w:rPr>
              <w:t>.</w:t>
            </w:r>
            <w:r w:rsidRPr="00D043CB">
              <w:rPr>
                <w:bCs w:val="0"/>
                <w:i/>
                <w:sz w:val="18"/>
                <w:szCs w:val="18"/>
              </w:rPr>
              <w:t>544</w:t>
            </w:r>
            <w:r w:rsidR="00305CA0">
              <w:rPr>
                <w:bCs w:val="0"/>
                <w:i/>
                <w:sz w:val="18"/>
                <w:szCs w:val="18"/>
              </w:rPr>
              <w:t>.</w:t>
            </w:r>
            <w:r w:rsidRPr="00D043CB">
              <w:rPr>
                <w:bCs w:val="0"/>
                <w:i/>
                <w:sz w:val="18"/>
                <w:szCs w:val="18"/>
              </w:rPr>
              <w:t>500.</w:t>
            </w:r>
          </w:p>
        </w:tc>
      </w:tr>
    </w:tbl>
    <w:p w14:paraId="1CB1EB99" w14:textId="624EC932" w:rsidR="003D276C" w:rsidRPr="00105C16" w:rsidRDefault="003D276C" w:rsidP="0013526B">
      <w:pPr>
        <w:rPr>
          <w:sz w:val="18"/>
          <w:szCs w:val="18"/>
        </w:rPr>
      </w:pPr>
    </w:p>
    <w:tbl>
      <w:tblPr>
        <w:tblW w:w="9197" w:type="dxa"/>
        <w:tblInd w:w="392" w:type="dxa"/>
        <w:tblLayout w:type="fixed"/>
        <w:tblLook w:val="0000" w:firstRow="0" w:lastRow="0" w:firstColumn="0" w:lastColumn="0" w:noHBand="0" w:noVBand="0"/>
      </w:tblPr>
      <w:tblGrid>
        <w:gridCol w:w="4598"/>
        <w:gridCol w:w="4599"/>
      </w:tblGrid>
      <w:tr w:rsidR="00083896" w:rsidRPr="00D043CB" w14:paraId="4E03FF77" w14:textId="77777777" w:rsidTr="002108FF">
        <w:tc>
          <w:tcPr>
            <w:tcW w:w="2500" w:type="pct"/>
            <w:tcBorders>
              <w:top w:val="nil"/>
              <w:left w:val="nil"/>
              <w:bottom w:val="nil"/>
              <w:right w:val="nil"/>
            </w:tcBorders>
          </w:tcPr>
          <w:p w14:paraId="48E5BFFA" w14:textId="216A7560" w:rsidR="00083896" w:rsidRPr="00D043CB" w:rsidRDefault="0053716A" w:rsidP="00070D1F">
            <w:pPr>
              <w:numPr>
                <w:ilvl w:val="0"/>
                <w:numId w:val="374"/>
              </w:numPr>
              <w:ind w:left="346" w:hanging="346"/>
              <w:jc w:val="both"/>
              <w:rPr>
                <w:b/>
                <w:bCs w:val="0"/>
                <w:sz w:val="18"/>
                <w:szCs w:val="18"/>
              </w:rPr>
            </w:pPr>
            <w:r w:rsidRPr="00D043CB">
              <w:rPr>
                <w:b/>
                <w:bCs w:val="0"/>
                <w:sz w:val="18"/>
                <w:szCs w:val="18"/>
              </w:rPr>
              <w:br w:type="page"/>
            </w:r>
            <w:r w:rsidR="007218A5" w:rsidRPr="00D043CB">
              <w:rPr>
                <w:b/>
                <w:bCs w:val="0"/>
                <w:sz w:val="18"/>
                <w:szCs w:val="18"/>
              </w:rPr>
              <w:t>TAMBAHAN MODAL DISETOR - BERSIH</w:t>
            </w:r>
          </w:p>
        </w:tc>
        <w:tc>
          <w:tcPr>
            <w:tcW w:w="2500" w:type="pct"/>
            <w:tcBorders>
              <w:top w:val="nil"/>
              <w:left w:val="nil"/>
              <w:bottom w:val="nil"/>
              <w:right w:val="nil"/>
            </w:tcBorders>
          </w:tcPr>
          <w:p w14:paraId="3102A86C" w14:textId="15865842" w:rsidR="00083896" w:rsidRPr="00B84656" w:rsidRDefault="007218A5" w:rsidP="00070D1F">
            <w:pPr>
              <w:numPr>
                <w:ilvl w:val="0"/>
                <w:numId w:val="356"/>
              </w:numPr>
              <w:jc w:val="both"/>
              <w:rPr>
                <w:b/>
                <w:bCs w:val="0"/>
                <w:i/>
                <w:iCs/>
                <w:sz w:val="18"/>
                <w:szCs w:val="18"/>
              </w:rPr>
            </w:pPr>
            <w:r w:rsidRPr="00B84656">
              <w:rPr>
                <w:b/>
                <w:bCs w:val="0"/>
                <w:i/>
                <w:iCs/>
                <w:sz w:val="18"/>
                <w:szCs w:val="18"/>
              </w:rPr>
              <w:t>ADDITIONAL PAID-IN CAPITAL - NET</w:t>
            </w:r>
          </w:p>
        </w:tc>
      </w:tr>
      <w:tr w:rsidR="00083896" w:rsidRPr="0013526B" w14:paraId="7933C951" w14:textId="77777777" w:rsidTr="002108FF">
        <w:tc>
          <w:tcPr>
            <w:tcW w:w="2500" w:type="pct"/>
            <w:tcBorders>
              <w:top w:val="nil"/>
              <w:left w:val="nil"/>
              <w:bottom w:val="nil"/>
              <w:right w:val="nil"/>
            </w:tcBorders>
          </w:tcPr>
          <w:p w14:paraId="0A6C55F8" w14:textId="77777777" w:rsidR="00083896" w:rsidRPr="0013526B" w:rsidRDefault="00083896" w:rsidP="0013526B">
            <w:pPr>
              <w:ind w:left="709"/>
              <w:jc w:val="both"/>
              <w:rPr>
                <w:sz w:val="16"/>
                <w:szCs w:val="18"/>
              </w:rPr>
            </w:pPr>
          </w:p>
        </w:tc>
        <w:tc>
          <w:tcPr>
            <w:tcW w:w="2500" w:type="pct"/>
            <w:tcBorders>
              <w:top w:val="nil"/>
              <w:left w:val="nil"/>
              <w:bottom w:val="nil"/>
              <w:right w:val="nil"/>
            </w:tcBorders>
          </w:tcPr>
          <w:p w14:paraId="792AC77C" w14:textId="77777777" w:rsidR="00083896" w:rsidRPr="0013526B" w:rsidRDefault="00083896" w:rsidP="0013526B">
            <w:pPr>
              <w:pStyle w:val="ListParagraph"/>
              <w:ind w:left="743"/>
              <w:jc w:val="both"/>
              <w:rPr>
                <w:i/>
                <w:sz w:val="16"/>
                <w:szCs w:val="18"/>
              </w:rPr>
            </w:pPr>
          </w:p>
        </w:tc>
      </w:tr>
      <w:tr w:rsidR="00083896" w:rsidRPr="0013526B" w14:paraId="0D340892" w14:textId="77777777" w:rsidTr="002108FF">
        <w:tc>
          <w:tcPr>
            <w:tcW w:w="2500" w:type="pct"/>
            <w:tcBorders>
              <w:top w:val="nil"/>
              <w:left w:val="nil"/>
              <w:bottom w:val="nil"/>
              <w:right w:val="nil"/>
            </w:tcBorders>
            <w:shd w:val="clear" w:color="auto" w:fill="auto"/>
          </w:tcPr>
          <w:p w14:paraId="52BF3092" w14:textId="0ADE3912" w:rsidR="00083896" w:rsidRPr="0013526B" w:rsidRDefault="007218A5" w:rsidP="007218A5">
            <w:pPr>
              <w:pStyle w:val="ListParagraph"/>
              <w:ind w:left="357" w:right="-57"/>
              <w:jc w:val="both"/>
              <w:rPr>
                <w:sz w:val="18"/>
                <w:szCs w:val="18"/>
              </w:rPr>
            </w:pPr>
            <w:r w:rsidRPr="007218A5">
              <w:rPr>
                <w:sz w:val="18"/>
                <w:szCs w:val="18"/>
              </w:rPr>
              <w:t>Akun ini merupakan agio saham dan biaya emisi saham berasal dari Penawaran Umum Saham Perdana</w:t>
            </w:r>
            <w:r w:rsidR="00870FD0">
              <w:rPr>
                <w:sz w:val="18"/>
                <w:szCs w:val="18"/>
              </w:rPr>
              <w:t>.</w:t>
            </w:r>
            <w:r w:rsidRPr="007218A5">
              <w:rPr>
                <w:sz w:val="18"/>
                <w:szCs w:val="18"/>
              </w:rPr>
              <w:t xml:space="preserve"> Penawaran Umum Terbatas dan Penggabungan Usaha dengan perincian sebagai berikut:</w:t>
            </w:r>
          </w:p>
        </w:tc>
        <w:tc>
          <w:tcPr>
            <w:tcW w:w="2500" w:type="pct"/>
            <w:tcBorders>
              <w:top w:val="nil"/>
              <w:left w:val="nil"/>
              <w:bottom w:val="nil"/>
              <w:right w:val="nil"/>
            </w:tcBorders>
          </w:tcPr>
          <w:p w14:paraId="0BB72C88" w14:textId="563152F4" w:rsidR="00083896" w:rsidRPr="0013526B" w:rsidRDefault="00103568" w:rsidP="00103568">
            <w:pPr>
              <w:pStyle w:val="ListParagraph"/>
              <w:tabs>
                <w:tab w:val="right" w:pos="9340"/>
                <w:tab w:val="right" w:pos="10080"/>
              </w:tabs>
              <w:ind w:left="357" w:right="-57"/>
              <w:jc w:val="both"/>
              <w:rPr>
                <w:i/>
                <w:sz w:val="18"/>
                <w:szCs w:val="18"/>
              </w:rPr>
            </w:pPr>
            <w:r w:rsidRPr="00103568">
              <w:rPr>
                <w:i/>
                <w:sz w:val="18"/>
                <w:szCs w:val="18"/>
              </w:rPr>
              <w:t>This account represents additional paid-in capital and share issuance costs derived from the Initial Public Offering</w:t>
            </w:r>
            <w:r w:rsidR="00870FD0">
              <w:rPr>
                <w:i/>
                <w:sz w:val="18"/>
                <w:szCs w:val="18"/>
              </w:rPr>
              <w:t>.</w:t>
            </w:r>
            <w:r w:rsidRPr="00103568">
              <w:rPr>
                <w:i/>
                <w:sz w:val="18"/>
                <w:szCs w:val="18"/>
              </w:rPr>
              <w:t xml:space="preserve"> Right Issue and Merger as follows:</w:t>
            </w:r>
          </w:p>
        </w:tc>
      </w:tr>
    </w:tbl>
    <w:p w14:paraId="6F898B3F" w14:textId="117D1675" w:rsidR="00EE78B5" w:rsidRDefault="00EE78B5" w:rsidP="0013526B">
      <w:pPr>
        <w:jc w:val="both"/>
        <w:rPr>
          <w:sz w:val="14"/>
          <w:szCs w:val="18"/>
        </w:rPr>
      </w:pPr>
    </w:p>
    <w:p w14:paraId="06D34F8B" w14:textId="77777777" w:rsidR="00EE78B5" w:rsidRDefault="00EE78B5">
      <w:pPr>
        <w:rPr>
          <w:sz w:val="14"/>
          <w:szCs w:val="18"/>
        </w:rPr>
      </w:pPr>
      <w:r>
        <w:rPr>
          <w:sz w:val="14"/>
          <w:szCs w:val="18"/>
        </w:rPr>
        <w:br w:type="page"/>
      </w:r>
    </w:p>
    <w:tbl>
      <w:tblPr>
        <w:tblW w:w="9211" w:type="dxa"/>
        <w:tblInd w:w="378" w:type="dxa"/>
        <w:tblLayout w:type="fixed"/>
        <w:tblLook w:val="0000" w:firstRow="0" w:lastRow="0" w:firstColumn="0" w:lastColumn="0" w:noHBand="0" w:noVBand="0"/>
      </w:tblPr>
      <w:tblGrid>
        <w:gridCol w:w="15"/>
        <w:gridCol w:w="2844"/>
        <w:gridCol w:w="1678"/>
        <w:gridCol w:w="76"/>
        <w:gridCol w:w="33"/>
        <w:gridCol w:w="1678"/>
        <w:gridCol w:w="2870"/>
        <w:gridCol w:w="17"/>
      </w:tblGrid>
      <w:tr w:rsidR="00EE78B5" w:rsidRPr="00D043CB" w14:paraId="427798C6" w14:textId="77777777" w:rsidTr="00EE78B5">
        <w:trPr>
          <w:gridBefore w:val="1"/>
          <w:wBefore w:w="8" w:type="pct"/>
        </w:trPr>
        <w:tc>
          <w:tcPr>
            <w:tcW w:w="2496" w:type="pct"/>
            <w:gridSpan w:val="3"/>
            <w:tcBorders>
              <w:top w:val="nil"/>
              <w:left w:val="nil"/>
              <w:bottom w:val="nil"/>
              <w:right w:val="nil"/>
            </w:tcBorders>
          </w:tcPr>
          <w:p w14:paraId="6AABAE1A" w14:textId="0A195280" w:rsidR="00EE78B5" w:rsidRPr="00D043CB" w:rsidRDefault="00EE78B5" w:rsidP="00070D1F">
            <w:pPr>
              <w:numPr>
                <w:ilvl w:val="0"/>
                <w:numId w:val="388"/>
              </w:numPr>
              <w:jc w:val="both"/>
              <w:rPr>
                <w:b/>
                <w:bCs w:val="0"/>
                <w:sz w:val="18"/>
                <w:szCs w:val="18"/>
              </w:rPr>
            </w:pPr>
            <w:r w:rsidRPr="00D043CB">
              <w:rPr>
                <w:b/>
                <w:bCs w:val="0"/>
                <w:sz w:val="18"/>
                <w:szCs w:val="18"/>
              </w:rPr>
              <w:lastRenderedPageBreak/>
              <w:br w:type="page"/>
              <w:t xml:space="preserve">TAMBAHAN MODAL DISETOR </w:t>
            </w:r>
            <w:r>
              <w:rPr>
                <w:b/>
                <w:bCs w:val="0"/>
                <w:sz w:val="18"/>
                <w:szCs w:val="18"/>
              </w:rPr>
              <w:t>–</w:t>
            </w:r>
            <w:r w:rsidRPr="00D043CB">
              <w:rPr>
                <w:b/>
                <w:bCs w:val="0"/>
                <w:sz w:val="18"/>
                <w:szCs w:val="18"/>
              </w:rPr>
              <w:t xml:space="preserve"> BERSIH</w:t>
            </w:r>
            <w:r>
              <w:rPr>
                <w:b/>
                <w:bCs w:val="0"/>
                <w:sz w:val="18"/>
                <w:szCs w:val="18"/>
              </w:rPr>
              <w:t xml:space="preserve"> - Lanjutan</w:t>
            </w:r>
          </w:p>
        </w:tc>
        <w:tc>
          <w:tcPr>
            <w:tcW w:w="2496" w:type="pct"/>
            <w:gridSpan w:val="4"/>
            <w:tcBorders>
              <w:top w:val="nil"/>
              <w:left w:val="nil"/>
              <w:bottom w:val="nil"/>
              <w:right w:val="nil"/>
            </w:tcBorders>
          </w:tcPr>
          <w:p w14:paraId="57430DDC" w14:textId="4A764054" w:rsidR="00EE78B5" w:rsidRPr="00B84656" w:rsidRDefault="00EE78B5" w:rsidP="00070D1F">
            <w:pPr>
              <w:numPr>
                <w:ilvl w:val="0"/>
                <w:numId w:val="389"/>
              </w:numPr>
              <w:jc w:val="both"/>
              <w:rPr>
                <w:b/>
                <w:bCs w:val="0"/>
                <w:i/>
                <w:iCs/>
                <w:sz w:val="18"/>
                <w:szCs w:val="18"/>
              </w:rPr>
            </w:pPr>
            <w:r w:rsidRPr="00B84656">
              <w:rPr>
                <w:b/>
                <w:bCs w:val="0"/>
                <w:i/>
                <w:iCs/>
                <w:sz w:val="18"/>
                <w:szCs w:val="18"/>
              </w:rPr>
              <w:t xml:space="preserve">ADDITIONAL PAID-IN CAPITAL </w:t>
            </w:r>
            <w:r>
              <w:rPr>
                <w:b/>
                <w:bCs w:val="0"/>
                <w:i/>
                <w:iCs/>
                <w:sz w:val="18"/>
                <w:szCs w:val="18"/>
              </w:rPr>
              <w:t>–</w:t>
            </w:r>
            <w:r w:rsidRPr="00B84656">
              <w:rPr>
                <w:b/>
                <w:bCs w:val="0"/>
                <w:i/>
                <w:iCs/>
                <w:sz w:val="18"/>
                <w:szCs w:val="18"/>
              </w:rPr>
              <w:t xml:space="preserve"> NET</w:t>
            </w:r>
            <w:r>
              <w:rPr>
                <w:b/>
                <w:bCs w:val="0"/>
                <w:i/>
                <w:iCs/>
                <w:sz w:val="18"/>
                <w:szCs w:val="18"/>
              </w:rPr>
              <w:t xml:space="preserve"> - Continued</w:t>
            </w:r>
          </w:p>
        </w:tc>
      </w:tr>
      <w:tr w:rsidR="00EE78B5" w:rsidRPr="0013526B" w14:paraId="7262DF53" w14:textId="77777777" w:rsidTr="00EE78B5">
        <w:trPr>
          <w:gridBefore w:val="1"/>
          <w:wBefore w:w="8" w:type="pct"/>
        </w:trPr>
        <w:tc>
          <w:tcPr>
            <w:tcW w:w="2496" w:type="pct"/>
            <w:gridSpan w:val="3"/>
            <w:tcBorders>
              <w:top w:val="nil"/>
              <w:left w:val="nil"/>
              <w:bottom w:val="nil"/>
              <w:right w:val="nil"/>
            </w:tcBorders>
          </w:tcPr>
          <w:p w14:paraId="012CB455" w14:textId="77777777" w:rsidR="00EE78B5" w:rsidRPr="0013526B" w:rsidRDefault="00EE78B5" w:rsidP="00091DE4">
            <w:pPr>
              <w:ind w:left="709"/>
              <w:jc w:val="both"/>
              <w:rPr>
                <w:sz w:val="16"/>
                <w:szCs w:val="18"/>
              </w:rPr>
            </w:pPr>
          </w:p>
        </w:tc>
        <w:tc>
          <w:tcPr>
            <w:tcW w:w="2496" w:type="pct"/>
            <w:gridSpan w:val="4"/>
            <w:tcBorders>
              <w:top w:val="nil"/>
              <w:left w:val="nil"/>
              <w:bottom w:val="nil"/>
              <w:right w:val="nil"/>
            </w:tcBorders>
          </w:tcPr>
          <w:p w14:paraId="2B0ED089" w14:textId="77777777" w:rsidR="00EE78B5" w:rsidRPr="0013526B" w:rsidRDefault="00EE78B5" w:rsidP="00091DE4">
            <w:pPr>
              <w:pStyle w:val="ListParagraph"/>
              <w:ind w:left="743"/>
              <w:jc w:val="both"/>
              <w:rPr>
                <w:i/>
                <w:sz w:val="16"/>
                <w:szCs w:val="18"/>
              </w:rPr>
            </w:pPr>
          </w:p>
        </w:tc>
      </w:tr>
      <w:tr w:rsidR="007E3467" w:rsidRPr="00843F8A" w14:paraId="203A54B7" w14:textId="77777777" w:rsidTr="00EE78B5">
        <w:tblPrEx>
          <w:tblCellMar>
            <w:left w:w="0" w:type="dxa"/>
            <w:right w:w="0" w:type="dxa"/>
          </w:tblCellMar>
          <w:tblLook w:val="01E0" w:firstRow="1" w:lastRow="1" w:firstColumn="1" w:lastColumn="1" w:noHBand="0" w:noVBand="0"/>
        </w:tblPrEx>
        <w:trPr>
          <w:gridAfter w:val="1"/>
          <w:wAfter w:w="8" w:type="pct"/>
          <w:trHeight w:val="238"/>
        </w:trPr>
        <w:tc>
          <w:tcPr>
            <w:tcW w:w="1552" w:type="pct"/>
            <w:gridSpan w:val="2"/>
            <w:vAlign w:val="bottom"/>
          </w:tcPr>
          <w:p w14:paraId="49F4706E" w14:textId="77777777" w:rsidR="007E3467" w:rsidRPr="00843F8A" w:rsidRDefault="007E3467" w:rsidP="007E3467">
            <w:pPr>
              <w:pStyle w:val="TableParagraph"/>
              <w:rPr>
                <w:rFonts w:ascii="Times New Roman" w:hAnsi="Times New Roman"/>
                <w:sz w:val="16"/>
                <w:szCs w:val="16"/>
              </w:rPr>
            </w:pPr>
          </w:p>
        </w:tc>
        <w:tc>
          <w:tcPr>
            <w:tcW w:w="911" w:type="pct"/>
            <w:tcBorders>
              <w:bottom w:val="single" w:sz="4" w:space="0" w:color="000000"/>
            </w:tcBorders>
          </w:tcPr>
          <w:p w14:paraId="13B13566" w14:textId="77777777" w:rsidR="002C6EE3" w:rsidRDefault="007E3467" w:rsidP="001C5D60">
            <w:pPr>
              <w:jc w:val="center"/>
              <w:rPr>
                <w:b/>
                <w:sz w:val="18"/>
                <w:szCs w:val="18"/>
              </w:rPr>
            </w:pPr>
            <w:r w:rsidRPr="001C5D60">
              <w:rPr>
                <w:b/>
                <w:sz w:val="18"/>
                <w:szCs w:val="18"/>
              </w:rPr>
              <w:t>31 Maret</w:t>
            </w:r>
            <w:r w:rsidR="001C5D60">
              <w:rPr>
                <w:b/>
                <w:sz w:val="18"/>
                <w:szCs w:val="18"/>
              </w:rPr>
              <w:t>/</w:t>
            </w:r>
          </w:p>
          <w:p w14:paraId="4189FA90" w14:textId="3C05DA90" w:rsidR="007E3467" w:rsidRPr="001C5D60" w:rsidRDefault="007E3467" w:rsidP="001C5D60">
            <w:pPr>
              <w:jc w:val="center"/>
              <w:rPr>
                <w:b/>
                <w:sz w:val="18"/>
                <w:szCs w:val="18"/>
              </w:rPr>
            </w:pPr>
            <w:r w:rsidRPr="001C5D60">
              <w:rPr>
                <w:b/>
                <w:sz w:val="18"/>
                <w:szCs w:val="18"/>
              </w:rPr>
              <w:t>March 31</w:t>
            </w:r>
            <w:r w:rsidR="00305CA0">
              <w:rPr>
                <w:sz w:val="18"/>
                <w:szCs w:val="18"/>
              </w:rPr>
              <w:t>.</w:t>
            </w:r>
            <w:r w:rsidR="001C5D60" w:rsidRPr="001C5D60">
              <w:rPr>
                <w:sz w:val="18"/>
                <w:szCs w:val="18"/>
              </w:rPr>
              <w:t xml:space="preserve"> </w:t>
            </w:r>
            <w:r w:rsidRPr="001C5D60">
              <w:rPr>
                <w:b/>
                <w:sz w:val="18"/>
                <w:szCs w:val="18"/>
              </w:rPr>
              <w:t>2020</w:t>
            </w:r>
          </w:p>
        </w:tc>
        <w:tc>
          <w:tcPr>
            <w:tcW w:w="59" w:type="pct"/>
            <w:gridSpan w:val="2"/>
          </w:tcPr>
          <w:p w14:paraId="655E2E8B" w14:textId="77777777" w:rsidR="007E3467" w:rsidRPr="001C5D60" w:rsidRDefault="007E3467" w:rsidP="007E3467">
            <w:pPr>
              <w:pStyle w:val="TableParagraph"/>
              <w:jc w:val="right"/>
              <w:rPr>
                <w:rFonts w:ascii="Times New Roman" w:hAnsi="Times New Roman"/>
                <w:sz w:val="18"/>
                <w:szCs w:val="18"/>
              </w:rPr>
            </w:pPr>
          </w:p>
        </w:tc>
        <w:tc>
          <w:tcPr>
            <w:tcW w:w="911" w:type="pct"/>
            <w:tcBorders>
              <w:bottom w:val="single" w:sz="4" w:space="0" w:color="000000"/>
            </w:tcBorders>
          </w:tcPr>
          <w:p w14:paraId="2E763D75" w14:textId="77777777" w:rsidR="007E3467" w:rsidRPr="001C5D60" w:rsidRDefault="007E3467" w:rsidP="007E3467">
            <w:pPr>
              <w:jc w:val="center"/>
              <w:rPr>
                <w:b/>
                <w:sz w:val="18"/>
                <w:szCs w:val="18"/>
              </w:rPr>
            </w:pPr>
            <w:r w:rsidRPr="001C5D60">
              <w:rPr>
                <w:b/>
                <w:sz w:val="18"/>
                <w:szCs w:val="18"/>
              </w:rPr>
              <w:t>31 Desember/</w:t>
            </w:r>
          </w:p>
          <w:p w14:paraId="692C683B" w14:textId="2A8FB40F" w:rsidR="007E3467" w:rsidRPr="001C5D60" w:rsidRDefault="007E3467" w:rsidP="002C6EE3">
            <w:pPr>
              <w:pStyle w:val="TableParagraph"/>
              <w:spacing w:line="169" w:lineRule="exact"/>
              <w:ind w:left="-13" w:firstLine="13"/>
              <w:jc w:val="center"/>
              <w:rPr>
                <w:rFonts w:ascii="Times New Roman" w:hAnsi="Times New Roman"/>
                <w:b/>
                <w:sz w:val="18"/>
                <w:szCs w:val="18"/>
              </w:rPr>
            </w:pPr>
            <w:r w:rsidRPr="001C5D60">
              <w:rPr>
                <w:rFonts w:ascii="Times New Roman" w:hAnsi="Times New Roman"/>
                <w:b/>
                <w:sz w:val="18"/>
                <w:szCs w:val="18"/>
              </w:rPr>
              <w:t>December 31</w:t>
            </w:r>
            <w:r w:rsidR="00305CA0">
              <w:rPr>
                <w:rFonts w:ascii="Times New Roman" w:hAnsi="Times New Roman"/>
                <w:b/>
                <w:sz w:val="18"/>
                <w:szCs w:val="18"/>
              </w:rPr>
              <w:t>.</w:t>
            </w:r>
            <w:r w:rsidRPr="001C5D60">
              <w:rPr>
                <w:rFonts w:ascii="Times New Roman" w:hAnsi="Times New Roman"/>
                <w:b/>
                <w:sz w:val="18"/>
                <w:szCs w:val="18"/>
              </w:rPr>
              <w:t xml:space="preserve"> 2019</w:t>
            </w:r>
          </w:p>
        </w:tc>
        <w:tc>
          <w:tcPr>
            <w:tcW w:w="1558" w:type="pct"/>
            <w:vAlign w:val="bottom"/>
          </w:tcPr>
          <w:p w14:paraId="67A78230" w14:textId="77777777" w:rsidR="007E3467" w:rsidRPr="00843F8A" w:rsidRDefault="007E3467" w:rsidP="007E3467">
            <w:pPr>
              <w:pStyle w:val="TableParagraph"/>
              <w:jc w:val="right"/>
              <w:rPr>
                <w:rFonts w:ascii="Times New Roman" w:hAnsi="Times New Roman"/>
                <w:sz w:val="16"/>
                <w:szCs w:val="16"/>
              </w:rPr>
            </w:pPr>
          </w:p>
        </w:tc>
      </w:tr>
      <w:tr w:rsidR="00103568" w:rsidRPr="00843F8A" w14:paraId="759B42B4" w14:textId="77777777" w:rsidTr="00EE78B5">
        <w:tblPrEx>
          <w:tblCellMar>
            <w:left w:w="0" w:type="dxa"/>
            <w:right w:w="0" w:type="dxa"/>
          </w:tblCellMar>
          <w:tblLook w:val="01E0" w:firstRow="1" w:lastRow="1" w:firstColumn="1" w:lastColumn="1" w:noHBand="0" w:noVBand="0"/>
        </w:tblPrEx>
        <w:trPr>
          <w:gridAfter w:val="1"/>
          <w:wAfter w:w="8" w:type="pct"/>
          <w:trHeight w:val="595"/>
        </w:trPr>
        <w:tc>
          <w:tcPr>
            <w:tcW w:w="1552" w:type="pct"/>
            <w:gridSpan w:val="2"/>
            <w:vAlign w:val="bottom"/>
          </w:tcPr>
          <w:p w14:paraId="78D0ABD2" w14:textId="1BE5AAAE" w:rsidR="00103568" w:rsidRPr="00843F8A" w:rsidRDefault="00103568" w:rsidP="00353744">
            <w:pPr>
              <w:pStyle w:val="TableParagraph"/>
              <w:spacing w:before="76"/>
              <w:ind w:left="603" w:right="-15" w:hanging="168"/>
              <w:rPr>
                <w:rFonts w:ascii="Times New Roman" w:hAnsi="Times New Roman"/>
                <w:sz w:val="16"/>
                <w:szCs w:val="16"/>
              </w:rPr>
            </w:pPr>
            <w:r w:rsidRPr="00843F8A">
              <w:rPr>
                <w:rFonts w:ascii="Times New Roman" w:hAnsi="Times New Roman"/>
                <w:sz w:val="16"/>
                <w:szCs w:val="16"/>
                <w:u w:val="single"/>
              </w:rPr>
              <w:t>Hasil Penawaran Umum Saham Perdana</w:t>
            </w:r>
            <w:r w:rsidRPr="00843F8A">
              <w:rPr>
                <w:rFonts w:ascii="Times New Roman" w:hAnsi="Times New Roman"/>
                <w:sz w:val="16"/>
                <w:szCs w:val="16"/>
              </w:rPr>
              <w:t xml:space="preserve"> </w:t>
            </w:r>
            <w:r w:rsidRPr="00843F8A">
              <w:rPr>
                <w:rFonts w:ascii="Times New Roman" w:hAnsi="Times New Roman"/>
                <w:sz w:val="16"/>
                <w:szCs w:val="16"/>
                <w:u w:val="single"/>
              </w:rPr>
              <w:t>dan Penawaran Umum</w:t>
            </w:r>
            <w:r w:rsidR="00353744">
              <w:rPr>
                <w:rFonts w:ascii="Times New Roman" w:hAnsi="Times New Roman"/>
                <w:sz w:val="16"/>
                <w:szCs w:val="16"/>
                <w:u w:val="single"/>
              </w:rPr>
              <w:t xml:space="preserve"> </w:t>
            </w:r>
            <w:r w:rsidRPr="00843F8A">
              <w:rPr>
                <w:rFonts w:ascii="Times New Roman" w:hAnsi="Times New Roman"/>
                <w:sz w:val="16"/>
                <w:szCs w:val="16"/>
                <w:u w:val="single"/>
              </w:rPr>
              <w:t>Terbatas</w:t>
            </w:r>
          </w:p>
          <w:p w14:paraId="785C9218" w14:textId="77777777" w:rsidR="00103568" w:rsidRPr="00843F8A" w:rsidRDefault="00103568" w:rsidP="00353744">
            <w:pPr>
              <w:pStyle w:val="TableParagraph"/>
              <w:spacing w:line="154" w:lineRule="exact"/>
              <w:ind w:left="603" w:right="284"/>
              <w:rPr>
                <w:rFonts w:ascii="Times New Roman" w:hAnsi="Times New Roman"/>
                <w:sz w:val="16"/>
                <w:szCs w:val="16"/>
              </w:rPr>
            </w:pPr>
            <w:r w:rsidRPr="00843F8A">
              <w:rPr>
                <w:rFonts w:ascii="Times New Roman" w:hAnsi="Times New Roman"/>
                <w:sz w:val="16"/>
                <w:szCs w:val="16"/>
              </w:rPr>
              <w:t>Agio saham</w:t>
            </w:r>
          </w:p>
        </w:tc>
        <w:tc>
          <w:tcPr>
            <w:tcW w:w="911" w:type="pct"/>
            <w:tcBorders>
              <w:top w:val="single" w:sz="4" w:space="0" w:color="000000"/>
            </w:tcBorders>
            <w:vAlign w:val="bottom"/>
          </w:tcPr>
          <w:p w14:paraId="125D97D6" w14:textId="77777777" w:rsidR="00103568" w:rsidRPr="00843F8A" w:rsidRDefault="00103568" w:rsidP="00843F8A">
            <w:pPr>
              <w:pStyle w:val="TableParagraph"/>
              <w:jc w:val="right"/>
              <w:rPr>
                <w:rFonts w:ascii="Times New Roman" w:hAnsi="Times New Roman"/>
                <w:sz w:val="16"/>
                <w:szCs w:val="16"/>
              </w:rPr>
            </w:pPr>
          </w:p>
        </w:tc>
        <w:tc>
          <w:tcPr>
            <w:tcW w:w="59" w:type="pct"/>
            <w:gridSpan w:val="2"/>
            <w:vAlign w:val="bottom"/>
          </w:tcPr>
          <w:p w14:paraId="2B969C9F" w14:textId="77777777" w:rsidR="00103568" w:rsidRPr="00843F8A" w:rsidRDefault="00103568" w:rsidP="00843F8A">
            <w:pPr>
              <w:pStyle w:val="TableParagraph"/>
              <w:jc w:val="right"/>
              <w:rPr>
                <w:rFonts w:ascii="Times New Roman" w:hAnsi="Times New Roman"/>
                <w:sz w:val="16"/>
                <w:szCs w:val="16"/>
              </w:rPr>
            </w:pPr>
          </w:p>
        </w:tc>
        <w:tc>
          <w:tcPr>
            <w:tcW w:w="911" w:type="pct"/>
            <w:tcBorders>
              <w:top w:val="single" w:sz="4" w:space="0" w:color="000000"/>
            </w:tcBorders>
            <w:vAlign w:val="bottom"/>
          </w:tcPr>
          <w:p w14:paraId="4C035C39" w14:textId="77777777" w:rsidR="00103568" w:rsidRPr="00843F8A" w:rsidRDefault="00103568" w:rsidP="00843F8A">
            <w:pPr>
              <w:pStyle w:val="TableParagraph"/>
              <w:jc w:val="right"/>
              <w:rPr>
                <w:rFonts w:ascii="Times New Roman" w:hAnsi="Times New Roman"/>
                <w:sz w:val="16"/>
                <w:szCs w:val="16"/>
              </w:rPr>
            </w:pPr>
          </w:p>
        </w:tc>
        <w:tc>
          <w:tcPr>
            <w:tcW w:w="1558" w:type="pct"/>
            <w:vAlign w:val="bottom"/>
          </w:tcPr>
          <w:p w14:paraId="1DD36E8E" w14:textId="77777777" w:rsidR="00353744" w:rsidRDefault="00103568" w:rsidP="00353744">
            <w:pPr>
              <w:pStyle w:val="TableParagraph"/>
              <w:spacing w:before="76"/>
              <w:ind w:left="57"/>
              <w:jc w:val="right"/>
              <w:rPr>
                <w:rFonts w:ascii="Times New Roman" w:hAnsi="Times New Roman"/>
                <w:i/>
                <w:sz w:val="16"/>
                <w:szCs w:val="16"/>
              </w:rPr>
            </w:pPr>
            <w:r w:rsidRPr="00843F8A">
              <w:rPr>
                <w:rFonts w:ascii="Times New Roman" w:hAnsi="Times New Roman"/>
                <w:i/>
                <w:sz w:val="16"/>
                <w:szCs w:val="16"/>
                <w:u w:val="single"/>
              </w:rPr>
              <w:t>Initial public offering and</w:t>
            </w:r>
            <w:r w:rsidR="00353744">
              <w:rPr>
                <w:rFonts w:ascii="Times New Roman" w:hAnsi="Times New Roman"/>
                <w:i/>
                <w:sz w:val="16"/>
                <w:szCs w:val="16"/>
              </w:rPr>
              <w:t xml:space="preserve"> </w:t>
            </w:r>
            <w:r w:rsidRPr="00843F8A">
              <w:rPr>
                <w:rFonts w:ascii="Times New Roman" w:hAnsi="Times New Roman"/>
                <w:i/>
                <w:sz w:val="16"/>
                <w:szCs w:val="16"/>
                <w:u w:val="single"/>
              </w:rPr>
              <w:t>Right issues</w:t>
            </w:r>
            <w:r w:rsidRPr="00843F8A">
              <w:rPr>
                <w:rFonts w:ascii="Times New Roman" w:hAnsi="Times New Roman"/>
                <w:i/>
                <w:sz w:val="16"/>
                <w:szCs w:val="16"/>
              </w:rPr>
              <w:t xml:space="preserve"> </w:t>
            </w:r>
          </w:p>
          <w:p w14:paraId="6D2312F5" w14:textId="2B7AB736" w:rsidR="00103568" w:rsidRPr="00843F8A" w:rsidRDefault="00103568" w:rsidP="00353744">
            <w:pPr>
              <w:pStyle w:val="TableParagraph"/>
              <w:spacing w:before="76"/>
              <w:ind w:left="57"/>
              <w:jc w:val="right"/>
              <w:rPr>
                <w:rFonts w:ascii="Times New Roman" w:hAnsi="Times New Roman"/>
                <w:i/>
                <w:sz w:val="16"/>
                <w:szCs w:val="16"/>
              </w:rPr>
            </w:pPr>
            <w:r w:rsidRPr="00843F8A">
              <w:rPr>
                <w:rFonts w:ascii="Times New Roman" w:hAnsi="Times New Roman"/>
                <w:i/>
                <w:sz w:val="16"/>
                <w:szCs w:val="16"/>
              </w:rPr>
              <w:t>Addtional paid in capital</w:t>
            </w:r>
          </w:p>
        </w:tc>
      </w:tr>
      <w:tr w:rsidR="00F84E7F" w:rsidRPr="00B66FCD" w14:paraId="562693C9" w14:textId="77777777" w:rsidTr="00EE78B5">
        <w:tblPrEx>
          <w:tblCellMar>
            <w:left w:w="0" w:type="dxa"/>
            <w:right w:w="0" w:type="dxa"/>
          </w:tblCellMar>
          <w:tblLook w:val="01E0" w:firstRow="1" w:lastRow="1" w:firstColumn="1" w:lastColumn="1" w:noHBand="0" w:noVBand="0"/>
        </w:tblPrEx>
        <w:trPr>
          <w:gridAfter w:val="1"/>
          <w:wAfter w:w="8" w:type="pct"/>
          <w:trHeight w:val="174"/>
        </w:trPr>
        <w:tc>
          <w:tcPr>
            <w:tcW w:w="1552" w:type="pct"/>
            <w:gridSpan w:val="2"/>
            <w:vAlign w:val="bottom"/>
          </w:tcPr>
          <w:p w14:paraId="605ADD6A" w14:textId="77777777" w:rsidR="00F84E7F" w:rsidRPr="00B66FCD" w:rsidRDefault="00F84E7F" w:rsidP="00F84E7F">
            <w:pPr>
              <w:pStyle w:val="TableParagraph"/>
              <w:spacing w:line="154" w:lineRule="exact"/>
              <w:ind w:left="743" w:right="397"/>
              <w:rPr>
                <w:rFonts w:ascii="Times New Roman" w:hAnsi="Times New Roman"/>
                <w:sz w:val="16"/>
                <w:szCs w:val="16"/>
              </w:rPr>
            </w:pPr>
            <w:r w:rsidRPr="00B66FCD">
              <w:rPr>
                <w:rFonts w:ascii="Times New Roman" w:hAnsi="Times New Roman"/>
                <w:sz w:val="16"/>
                <w:szCs w:val="16"/>
              </w:rPr>
              <w:t>Tahun 2011</w:t>
            </w:r>
          </w:p>
        </w:tc>
        <w:tc>
          <w:tcPr>
            <w:tcW w:w="911" w:type="pct"/>
            <w:vAlign w:val="bottom"/>
          </w:tcPr>
          <w:p w14:paraId="18ED0640" w14:textId="373A4EC3" w:rsidR="00F84E7F" w:rsidRPr="001C5D60" w:rsidRDefault="00F84E7F" w:rsidP="00F84E7F">
            <w:pPr>
              <w:pStyle w:val="TableParagraph"/>
              <w:spacing w:line="154" w:lineRule="exact"/>
              <w:ind w:left="-32" w:right="44"/>
              <w:jc w:val="right"/>
              <w:rPr>
                <w:rFonts w:ascii="Times New Roman" w:hAnsi="Times New Roman"/>
                <w:sz w:val="16"/>
                <w:szCs w:val="16"/>
              </w:rPr>
            </w:pPr>
            <w:r w:rsidRPr="001C5D60">
              <w:rPr>
                <w:rFonts w:ascii="Times New Roman" w:hAnsi="Times New Roman"/>
                <w:sz w:val="16"/>
                <w:szCs w:val="16"/>
              </w:rPr>
              <w:t>15.000.000.000</w:t>
            </w:r>
          </w:p>
        </w:tc>
        <w:tc>
          <w:tcPr>
            <w:tcW w:w="59" w:type="pct"/>
            <w:gridSpan w:val="2"/>
            <w:vAlign w:val="bottom"/>
          </w:tcPr>
          <w:p w14:paraId="58157773" w14:textId="77777777" w:rsidR="00F84E7F" w:rsidRPr="001C5D60" w:rsidRDefault="00F84E7F" w:rsidP="00F84E7F">
            <w:pPr>
              <w:pStyle w:val="TableParagraph"/>
              <w:jc w:val="right"/>
              <w:rPr>
                <w:rFonts w:ascii="Times New Roman" w:hAnsi="Times New Roman"/>
                <w:sz w:val="16"/>
                <w:szCs w:val="16"/>
              </w:rPr>
            </w:pPr>
          </w:p>
        </w:tc>
        <w:tc>
          <w:tcPr>
            <w:tcW w:w="911" w:type="pct"/>
            <w:vAlign w:val="bottom"/>
          </w:tcPr>
          <w:p w14:paraId="4A946B71" w14:textId="09693EC8" w:rsidR="00F84E7F" w:rsidRPr="001C5D60" w:rsidRDefault="00F84E7F" w:rsidP="00F84E7F">
            <w:pPr>
              <w:pStyle w:val="TableParagraph"/>
              <w:spacing w:line="154" w:lineRule="exact"/>
              <w:ind w:left="-32" w:right="44"/>
              <w:jc w:val="right"/>
              <w:rPr>
                <w:rFonts w:ascii="Times New Roman" w:hAnsi="Times New Roman"/>
                <w:sz w:val="16"/>
                <w:szCs w:val="16"/>
              </w:rPr>
            </w:pPr>
            <w:r w:rsidRPr="001C5D60">
              <w:rPr>
                <w:rFonts w:ascii="Times New Roman" w:hAnsi="Times New Roman"/>
                <w:sz w:val="16"/>
                <w:szCs w:val="16"/>
              </w:rPr>
              <w:t>15.000.000.000</w:t>
            </w:r>
          </w:p>
        </w:tc>
        <w:tc>
          <w:tcPr>
            <w:tcW w:w="1558" w:type="pct"/>
            <w:vAlign w:val="bottom"/>
          </w:tcPr>
          <w:p w14:paraId="3AEAA0C6" w14:textId="77777777" w:rsidR="00F84E7F" w:rsidRPr="00B66FCD" w:rsidRDefault="00F84E7F" w:rsidP="00F84E7F">
            <w:pPr>
              <w:pStyle w:val="TableParagraph"/>
              <w:spacing w:line="154" w:lineRule="exact"/>
              <w:ind w:left="1588" w:right="284"/>
              <w:jc w:val="right"/>
              <w:rPr>
                <w:rFonts w:ascii="Times New Roman" w:hAnsi="Times New Roman"/>
                <w:i/>
                <w:sz w:val="16"/>
                <w:szCs w:val="16"/>
              </w:rPr>
            </w:pPr>
            <w:r w:rsidRPr="00B66FCD">
              <w:rPr>
                <w:rFonts w:ascii="Times New Roman" w:hAnsi="Times New Roman"/>
                <w:i/>
                <w:sz w:val="16"/>
                <w:szCs w:val="16"/>
              </w:rPr>
              <w:t>Year 2011</w:t>
            </w:r>
          </w:p>
        </w:tc>
      </w:tr>
      <w:tr w:rsidR="00F84E7F" w:rsidRPr="00843F8A" w14:paraId="34310349" w14:textId="77777777" w:rsidTr="00EE78B5">
        <w:tblPrEx>
          <w:tblCellMar>
            <w:left w:w="0" w:type="dxa"/>
            <w:right w:w="0" w:type="dxa"/>
          </w:tblCellMar>
          <w:tblLook w:val="01E0" w:firstRow="1" w:lastRow="1" w:firstColumn="1" w:lastColumn="1" w:noHBand="0" w:noVBand="0"/>
        </w:tblPrEx>
        <w:trPr>
          <w:gridAfter w:val="1"/>
          <w:wAfter w:w="8" w:type="pct"/>
          <w:trHeight w:val="172"/>
        </w:trPr>
        <w:tc>
          <w:tcPr>
            <w:tcW w:w="1552" w:type="pct"/>
            <w:gridSpan w:val="2"/>
            <w:vAlign w:val="bottom"/>
          </w:tcPr>
          <w:p w14:paraId="21006747" w14:textId="77777777" w:rsidR="00F84E7F" w:rsidRPr="00843F8A" w:rsidRDefault="00F84E7F" w:rsidP="00F84E7F">
            <w:pPr>
              <w:pStyle w:val="TableParagraph"/>
              <w:spacing w:line="153" w:lineRule="exact"/>
              <w:ind w:left="743" w:right="397"/>
              <w:rPr>
                <w:rFonts w:ascii="Times New Roman" w:hAnsi="Times New Roman"/>
                <w:sz w:val="16"/>
                <w:szCs w:val="16"/>
              </w:rPr>
            </w:pPr>
            <w:r w:rsidRPr="00843F8A">
              <w:rPr>
                <w:rFonts w:ascii="Times New Roman" w:hAnsi="Times New Roman"/>
                <w:sz w:val="16"/>
                <w:szCs w:val="16"/>
              </w:rPr>
              <w:t>Tahun 2013</w:t>
            </w:r>
          </w:p>
        </w:tc>
        <w:tc>
          <w:tcPr>
            <w:tcW w:w="911" w:type="pct"/>
            <w:vAlign w:val="bottom"/>
          </w:tcPr>
          <w:p w14:paraId="2786DFCB" w14:textId="33DD3F69" w:rsidR="00F84E7F" w:rsidRPr="001C5D60" w:rsidRDefault="00F84E7F" w:rsidP="00F84E7F">
            <w:pPr>
              <w:pStyle w:val="TableParagraph"/>
              <w:spacing w:line="153" w:lineRule="exact"/>
              <w:ind w:left="-32" w:right="47"/>
              <w:jc w:val="right"/>
              <w:rPr>
                <w:rFonts w:ascii="Times New Roman" w:hAnsi="Times New Roman"/>
                <w:sz w:val="16"/>
                <w:szCs w:val="16"/>
              </w:rPr>
            </w:pPr>
            <w:r w:rsidRPr="001C5D60">
              <w:rPr>
                <w:rFonts w:ascii="Times New Roman" w:hAnsi="Times New Roman"/>
                <w:sz w:val="16"/>
                <w:szCs w:val="16"/>
              </w:rPr>
              <w:t>399.237.374.880</w:t>
            </w:r>
          </w:p>
        </w:tc>
        <w:tc>
          <w:tcPr>
            <w:tcW w:w="59" w:type="pct"/>
            <w:gridSpan w:val="2"/>
            <w:vAlign w:val="bottom"/>
          </w:tcPr>
          <w:p w14:paraId="7C442FC8" w14:textId="77777777" w:rsidR="00F84E7F" w:rsidRPr="001C5D60" w:rsidRDefault="00F84E7F" w:rsidP="00F84E7F">
            <w:pPr>
              <w:pStyle w:val="TableParagraph"/>
              <w:jc w:val="right"/>
              <w:rPr>
                <w:rFonts w:ascii="Times New Roman" w:hAnsi="Times New Roman"/>
                <w:sz w:val="16"/>
                <w:szCs w:val="16"/>
              </w:rPr>
            </w:pPr>
          </w:p>
        </w:tc>
        <w:tc>
          <w:tcPr>
            <w:tcW w:w="911" w:type="pct"/>
            <w:vAlign w:val="bottom"/>
          </w:tcPr>
          <w:p w14:paraId="5EE9FEF8" w14:textId="2A1FD5E4" w:rsidR="00F84E7F" w:rsidRPr="001C5D60" w:rsidRDefault="00F84E7F" w:rsidP="00F84E7F">
            <w:pPr>
              <w:pStyle w:val="TableParagraph"/>
              <w:spacing w:line="154" w:lineRule="exact"/>
              <w:ind w:left="-32" w:right="44"/>
              <w:jc w:val="right"/>
              <w:rPr>
                <w:rFonts w:ascii="Times New Roman" w:hAnsi="Times New Roman"/>
                <w:sz w:val="16"/>
                <w:szCs w:val="16"/>
              </w:rPr>
            </w:pPr>
            <w:r w:rsidRPr="001C5D60">
              <w:rPr>
                <w:rFonts w:ascii="Times New Roman" w:hAnsi="Times New Roman"/>
                <w:sz w:val="16"/>
                <w:szCs w:val="16"/>
              </w:rPr>
              <w:t>399.237.374.880</w:t>
            </w:r>
          </w:p>
        </w:tc>
        <w:tc>
          <w:tcPr>
            <w:tcW w:w="1558" w:type="pct"/>
            <w:vAlign w:val="bottom"/>
          </w:tcPr>
          <w:p w14:paraId="51E75EE9" w14:textId="77777777" w:rsidR="00F84E7F" w:rsidRPr="00843F8A" w:rsidRDefault="00F84E7F" w:rsidP="00F84E7F">
            <w:pPr>
              <w:pStyle w:val="TableParagraph"/>
              <w:spacing w:line="153" w:lineRule="exact"/>
              <w:ind w:left="1588" w:right="284"/>
              <w:jc w:val="right"/>
              <w:rPr>
                <w:rFonts w:ascii="Times New Roman" w:hAnsi="Times New Roman"/>
                <w:i/>
                <w:sz w:val="16"/>
                <w:szCs w:val="16"/>
              </w:rPr>
            </w:pPr>
            <w:r w:rsidRPr="00843F8A">
              <w:rPr>
                <w:rFonts w:ascii="Times New Roman" w:hAnsi="Times New Roman"/>
                <w:i/>
                <w:sz w:val="16"/>
                <w:szCs w:val="16"/>
              </w:rPr>
              <w:t>Year 2013</w:t>
            </w:r>
          </w:p>
        </w:tc>
      </w:tr>
      <w:tr w:rsidR="00F84E7F" w:rsidRPr="00843F8A" w14:paraId="495F217B" w14:textId="77777777" w:rsidTr="00EE78B5">
        <w:tblPrEx>
          <w:tblCellMar>
            <w:left w:w="0" w:type="dxa"/>
            <w:right w:w="0" w:type="dxa"/>
          </w:tblCellMar>
          <w:tblLook w:val="01E0" w:firstRow="1" w:lastRow="1" w:firstColumn="1" w:lastColumn="1" w:noHBand="0" w:noVBand="0"/>
        </w:tblPrEx>
        <w:trPr>
          <w:gridAfter w:val="1"/>
          <w:wAfter w:w="8" w:type="pct"/>
          <w:trHeight w:val="238"/>
        </w:trPr>
        <w:tc>
          <w:tcPr>
            <w:tcW w:w="1552" w:type="pct"/>
            <w:gridSpan w:val="2"/>
            <w:vAlign w:val="bottom"/>
          </w:tcPr>
          <w:p w14:paraId="5757DDE9" w14:textId="77777777" w:rsidR="00F84E7F" w:rsidRPr="00843F8A" w:rsidRDefault="00F84E7F" w:rsidP="00F84E7F">
            <w:pPr>
              <w:pStyle w:val="TableParagraph"/>
              <w:spacing w:line="171" w:lineRule="exact"/>
              <w:ind w:left="743" w:right="397"/>
              <w:rPr>
                <w:rFonts w:ascii="Times New Roman" w:hAnsi="Times New Roman"/>
                <w:sz w:val="16"/>
                <w:szCs w:val="16"/>
              </w:rPr>
            </w:pPr>
            <w:r w:rsidRPr="00843F8A">
              <w:rPr>
                <w:rFonts w:ascii="Times New Roman" w:hAnsi="Times New Roman"/>
                <w:sz w:val="16"/>
                <w:szCs w:val="16"/>
              </w:rPr>
              <w:t>Tahun 2016</w:t>
            </w:r>
          </w:p>
        </w:tc>
        <w:tc>
          <w:tcPr>
            <w:tcW w:w="911" w:type="pct"/>
            <w:tcBorders>
              <w:bottom w:val="single" w:sz="4" w:space="0" w:color="000000"/>
            </w:tcBorders>
            <w:vAlign w:val="bottom"/>
          </w:tcPr>
          <w:p w14:paraId="60E91E0B" w14:textId="059B24C1"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rPr>
              <w:t>519.714.069.660</w:t>
            </w:r>
          </w:p>
        </w:tc>
        <w:tc>
          <w:tcPr>
            <w:tcW w:w="59" w:type="pct"/>
            <w:gridSpan w:val="2"/>
            <w:vAlign w:val="bottom"/>
          </w:tcPr>
          <w:p w14:paraId="6A326323" w14:textId="77777777" w:rsidR="00F84E7F" w:rsidRPr="001C5D60" w:rsidRDefault="00F84E7F" w:rsidP="00F84E7F">
            <w:pPr>
              <w:pStyle w:val="TableParagraph"/>
              <w:jc w:val="right"/>
              <w:rPr>
                <w:rFonts w:ascii="Times New Roman" w:hAnsi="Times New Roman"/>
                <w:sz w:val="16"/>
                <w:szCs w:val="16"/>
              </w:rPr>
            </w:pPr>
          </w:p>
        </w:tc>
        <w:tc>
          <w:tcPr>
            <w:tcW w:w="911" w:type="pct"/>
            <w:tcBorders>
              <w:bottom w:val="single" w:sz="4" w:space="0" w:color="000000"/>
            </w:tcBorders>
            <w:vAlign w:val="bottom"/>
          </w:tcPr>
          <w:p w14:paraId="2A121912" w14:textId="73D5C582" w:rsidR="00F84E7F" w:rsidRPr="001C5D60" w:rsidRDefault="00F84E7F" w:rsidP="00F84E7F">
            <w:pPr>
              <w:pStyle w:val="TableParagraph"/>
              <w:spacing w:line="154" w:lineRule="exact"/>
              <w:ind w:left="-32" w:right="44"/>
              <w:jc w:val="right"/>
              <w:rPr>
                <w:rFonts w:ascii="Times New Roman" w:hAnsi="Times New Roman"/>
                <w:sz w:val="16"/>
                <w:szCs w:val="16"/>
              </w:rPr>
            </w:pPr>
            <w:r w:rsidRPr="001C5D60">
              <w:rPr>
                <w:rFonts w:ascii="Times New Roman" w:hAnsi="Times New Roman"/>
                <w:sz w:val="16"/>
                <w:szCs w:val="16"/>
              </w:rPr>
              <w:t>519.714.069.660</w:t>
            </w:r>
          </w:p>
        </w:tc>
        <w:tc>
          <w:tcPr>
            <w:tcW w:w="1558" w:type="pct"/>
            <w:vAlign w:val="bottom"/>
          </w:tcPr>
          <w:p w14:paraId="13589BD6" w14:textId="77777777" w:rsidR="00F84E7F" w:rsidRPr="00843F8A" w:rsidRDefault="00F84E7F" w:rsidP="00F84E7F">
            <w:pPr>
              <w:pStyle w:val="TableParagraph"/>
              <w:spacing w:line="171" w:lineRule="exact"/>
              <w:ind w:left="1588" w:right="284"/>
              <w:jc w:val="right"/>
              <w:rPr>
                <w:rFonts w:ascii="Times New Roman" w:hAnsi="Times New Roman"/>
                <w:i/>
                <w:sz w:val="16"/>
                <w:szCs w:val="16"/>
              </w:rPr>
            </w:pPr>
            <w:r w:rsidRPr="00843F8A">
              <w:rPr>
                <w:rFonts w:ascii="Times New Roman" w:hAnsi="Times New Roman"/>
                <w:i/>
                <w:sz w:val="16"/>
                <w:szCs w:val="16"/>
              </w:rPr>
              <w:t>Year 2016</w:t>
            </w:r>
          </w:p>
        </w:tc>
      </w:tr>
      <w:tr w:rsidR="00F84E7F" w:rsidRPr="00843F8A" w14:paraId="50FA5D0D" w14:textId="77777777" w:rsidTr="00EE78B5">
        <w:tblPrEx>
          <w:tblCellMar>
            <w:left w:w="0" w:type="dxa"/>
            <w:right w:w="0" w:type="dxa"/>
          </w:tblCellMar>
          <w:tblLook w:val="01E0" w:firstRow="1" w:lastRow="1" w:firstColumn="1" w:lastColumn="1" w:noHBand="0" w:noVBand="0"/>
        </w:tblPrEx>
        <w:trPr>
          <w:gridAfter w:val="1"/>
          <w:wAfter w:w="8" w:type="pct"/>
          <w:trHeight w:val="314"/>
        </w:trPr>
        <w:tc>
          <w:tcPr>
            <w:tcW w:w="1552" w:type="pct"/>
            <w:gridSpan w:val="2"/>
            <w:vAlign w:val="bottom"/>
          </w:tcPr>
          <w:p w14:paraId="61944320" w14:textId="3942991B" w:rsidR="00F84E7F" w:rsidRPr="00843F8A" w:rsidRDefault="00F84E7F" w:rsidP="00F84E7F">
            <w:pPr>
              <w:pStyle w:val="TableParagraph"/>
              <w:spacing w:before="74"/>
              <w:ind w:left="603" w:right="181"/>
              <w:rPr>
                <w:rFonts w:ascii="Times New Roman" w:hAnsi="Times New Roman"/>
                <w:sz w:val="16"/>
                <w:szCs w:val="16"/>
              </w:rPr>
            </w:pPr>
            <w:r w:rsidRPr="00843F8A">
              <w:rPr>
                <w:rFonts w:ascii="Times New Roman" w:hAnsi="Times New Roman"/>
                <w:sz w:val="16"/>
                <w:szCs w:val="16"/>
              </w:rPr>
              <w:t>Jumlah agi</w:t>
            </w:r>
            <w:r>
              <w:rPr>
                <w:rFonts w:ascii="Times New Roman" w:hAnsi="Times New Roman"/>
                <w:sz w:val="16"/>
                <w:szCs w:val="16"/>
              </w:rPr>
              <w:t xml:space="preserve">o </w:t>
            </w:r>
            <w:r w:rsidRPr="00843F8A">
              <w:rPr>
                <w:rFonts w:ascii="Times New Roman" w:hAnsi="Times New Roman"/>
                <w:sz w:val="16"/>
                <w:szCs w:val="16"/>
              </w:rPr>
              <w:t>saham</w:t>
            </w:r>
          </w:p>
        </w:tc>
        <w:tc>
          <w:tcPr>
            <w:tcW w:w="911" w:type="pct"/>
            <w:tcBorders>
              <w:top w:val="single" w:sz="4" w:space="0" w:color="000000"/>
              <w:bottom w:val="single" w:sz="4" w:space="0" w:color="000000"/>
            </w:tcBorders>
            <w:vAlign w:val="bottom"/>
          </w:tcPr>
          <w:p w14:paraId="0FDFFB7E" w14:textId="06558586"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lang w:val="id-ID"/>
              </w:rPr>
              <w:br/>
            </w:r>
            <w:r w:rsidRPr="001C5D60">
              <w:rPr>
                <w:rFonts w:ascii="Times New Roman" w:hAnsi="Times New Roman"/>
                <w:sz w:val="16"/>
                <w:szCs w:val="16"/>
              </w:rPr>
              <w:t>933.951.444.540</w:t>
            </w:r>
          </w:p>
        </w:tc>
        <w:tc>
          <w:tcPr>
            <w:tcW w:w="59" w:type="pct"/>
            <w:gridSpan w:val="2"/>
            <w:vAlign w:val="bottom"/>
          </w:tcPr>
          <w:p w14:paraId="1EBFD496" w14:textId="77777777" w:rsidR="00F84E7F" w:rsidRPr="001C5D60" w:rsidRDefault="00F84E7F" w:rsidP="00F84E7F">
            <w:pPr>
              <w:pStyle w:val="TableParagraph"/>
              <w:jc w:val="right"/>
              <w:rPr>
                <w:rFonts w:ascii="Times New Roman" w:hAnsi="Times New Roman"/>
                <w:sz w:val="16"/>
                <w:szCs w:val="16"/>
              </w:rPr>
            </w:pPr>
          </w:p>
        </w:tc>
        <w:tc>
          <w:tcPr>
            <w:tcW w:w="911" w:type="pct"/>
            <w:tcBorders>
              <w:top w:val="single" w:sz="4" w:space="0" w:color="000000"/>
              <w:bottom w:val="single" w:sz="4" w:space="0" w:color="000000"/>
            </w:tcBorders>
            <w:vAlign w:val="bottom"/>
          </w:tcPr>
          <w:p w14:paraId="404B40BB" w14:textId="041C3BB0"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lang w:val="id-ID"/>
              </w:rPr>
              <w:br/>
            </w:r>
            <w:r w:rsidRPr="001C5D60">
              <w:rPr>
                <w:rFonts w:ascii="Times New Roman" w:hAnsi="Times New Roman"/>
                <w:sz w:val="16"/>
                <w:szCs w:val="16"/>
              </w:rPr>
              <w:t>933.951.444.540</w:t>
            </w:r>
          </w:p>
        </w:tc>
        <w:tc>
          <w:tcPr>
            <w:tcW w:w="1558" w:type="pct"/>
            <w:vAlign w:val="bottom"/>
          </w:tcPr>
          <w:p w14:paraId="21FF0F4A" w14:textId="77777777" w:rsidR="00F84E7F" w:rsidRPr="00843F8A" w:rsidRDefault="00F84E7F" w:rsidP="00F84E7F">
            <w:pPr>
              <w:pStyle w:val="TableParagraph"/>
              <w:spacing w:before="74"/>
              <w:ind w:left="337"/>
              <w:jc w:val="right"/>
              <w:rPr>
                <w:rFonts w:ascii="Times New Roman" w:hAnsi="Times New Roman"/>
                <w:i/>
                <w:sz w:val="16"/>
                <w:szCs w:val="16"/>
              </w:rPr>
            </w:pPr>
            <w:r w:rsidRPr="00843F8A">
              <w:rPr>
                <w:rFonts w:ascii="Times New Roman" w:hAnsi="Times New Roman"/>
                <w:i/>
                <w:sz w:val="16"/>
                <w:szCs w:val="16"/>
              </w:rPr>
              <w:t>Total additional paid in capital</w:t>
            </w:r>
          </w:p>
        </w:tc>
      </w:tr>
      <w:tr w:rsidR="00F84E7F" w:rsidRPr="00843F8A" w14:paraId="6479B174" w14:textId="77777777" w:rsidTr="00EE78B5">
        <w:tblPrEx>
          <w:tblCellMar>
            <w:left w:w="0" w:type="dxa"/>
            <w:right w:w="0" w:type="dxa"/>
          </w:tblCellMar>
          <w:tblLook w:val="01E0" w:firstRow="1" w:lastRow="1" w:firstColumn="1" w:lastColumn="1" w:noHBand="0" w:noVBand="0"/>
        </w:tblPrEx>
        <w:trPr>
          <w:gridAfter w:val="1"/>
          <w:wAfter w:w="8" w:type="pct"/>
          <w:trHeight w:val="249"/>
        </w:trPr>
        <w:tc>
          <w:tcPr>
            <w:tcW w:w="1552" w:type="pct"/>
            <w:gridSpan w:val="2"/>
            <w:vAlign w:val="bottom"/>
          </w:tcPr>
          <w:p w14:paraId="2FD0AD64" w14:textId="77777777" w:rsidR="00F84E7F" w:rsidRPr="00843F8A" w:rsidRDefault="00F84E7F" w:rsidP="00F84E7F">
            <w:pPr>
              <w:pStyle w:val="TableParagraph"/>
              <w:spacing w:before="74" w:line="156" w:lineRule="exact"/>
              <w:ind w:left="603"/>
              <w:rPr>
                <w:rFonts w:ascii="Times New Roman" w:hAnsi="Times New Roman"/>
                <w:sz w:val="16"/>
                <w:szCs w:val="16"/>
              </w:rPr>
            </w:pPr>
            <w:r w:rsidRPr="00843F8A">
              <w:rPr>
                <w:rFonts w:ascii="Times New Roman" w:hAnsi="Times New Roman"/>
                <w:sz w:val="16"/>
                <w:szCs w:val="16"/>
              </w:rPr>
              <w:t>Biaya emisi</w:t>
            </w:r>
          </w:p>
        </w:tc>
        <w:tc>
          <w:tcPr>
            <w:tcW w:w="911" w:type="pct"/>
            <w:tcBorders>
              <w:top w:val="single" w:sz="4" w:space="0" w:color="000000"/>
            </w:tcBorders>
            <w:vAlign w:val="bottom"/>
          </w:tcPr>
          <w:p w14:paraId="73989DDB" w14:textId="77777777" w:rsidR="00F84E7F" w:rsidRPr="001C5D60" w:rsidRDefault="00F84E7F" w:rsidP="00F84E7F">
            <w:pPr>
              <w:pStyle w:val="TableParagraph"/>
              <w:jc w:val="right"/>
              <w:rPr>
                <w:rFonts w:ascii="Times New Roman" w:hAnsi="Times New Roman"/>
                <w:sz w:val="16"/>
                <w:szCs w:val="16"/>
              </w:rPr>
            </w:pPr>
          </w:p>
        </w:tc>
        <w:tc>
          <w:tcPr>
            <w:tcW w:w="59" w:type="pct"/>
            <w:gridSpan w:val="2"/>
            <w:vAlign w:val="bottom"/>
          </w:tcPr>
          <w:p w14:paraId="40ECD42B" w14:textId="77777777" w:rsidR="00F84E7F" w:rsidRPr="001C5D60" w:rsidRDefault="00F84E7F" w:rsidP="00F84E7F">
            <w:pPr>
              <w:pStyle w:val="TableParagraph"/>
              <w:jc w:val="right"/>
              <w:rPr>
                <w:rFonts w:ascii="Times New Roman" w:hAnsi="Times New Roman"/>
                <w:sz w:val="16"/>
                <w:szCs w:val="16"/>
              </w:rPr>
            </w:pPr>
          </w:p>
        </w:tc>
        <w:tc>
          <w:tcPr>
            <w:tcW w:w="911" w:type="pct"/>
            <w:tcBorders>
              <w:top w:val="single" w:sz="4" w:space="0" w:color="000000"/>
            </w:tcBorders>
            <w:vAlign w:val="bottom"/>
          </w:tcPr>
          <w:p w14:paraId="589447F7" w14:textId="77777777" w:rsidR="00F84E7F" w:rsidRPr="001C5D60" w:rsidRDefault="00F84E7F" w:rsidP="00F84E7F">
            <w:pPr>
              <w:pStyle w:val="TableParagraph"/>
              <w:spacing w:line="154" w:lineRule="exact"/>
              <w:jc w:val="right"/>
              <w:rPr>
                <w:rFonts w:ascii="Times New Roman" w:hAnsi="Times New Roman"/>
                <w:sz w:val="16"/>
                <w:szCs w:val="16"/>
              </w:rPr>
            </w:pPr>
          </w:p>
        </w:tc>
        <w:tc>
          <w:tcPr>
            <w:tcW w:w="1558" w:type="pct"/>
            <w:vAlign w:val="bottom"/>
          </w:tcPr>
          <w:p w14:paraId="4B99C079" w14:textId="77777777" w:rsidR="00F84E7F" w:rsidRPr="00843F8A" w:rsidRDefault="00F84E7F" w:rsidP="00F84E7F">
            <w:pPr>
              <w:pStyle w:val="TableParagraph"/>
              <w:spacing w:before="74" w:line="156" w:lineRule="exact"/>
              <w:ind w:left="1021" w:right="159"/>
              <w:jc w:val="right"/>
              <w:rPr>
                <w:rFonts w:ascii="Times New Roman" w:hAnsi="Times New Roman"/>
                <w:i/>
                <w:sz w:val="16"/>
                <w:szCs w:val="16"/>
              </w:rPr>
            </w:pPr>
            <w:r w:rsidRPr="00843F8A">
              <w:rPr>
                <w:rFonts w:ascii="Times New Roman" w:hAnsi="Times New Roman"/>
                <w:i/>
                <w:sz w:val="16"/>
                <w:szCs w:val="16"/>
              </w:rPr>
              <w:t>Share issuance costs</w:t>
            </w:r>
          </w:p>
        </w:tc>
      </w:tr>
      <w:tr w:rsidR="00F84E7F" w:rsidRPr="00843F8A" w14:paraId="2C1B69B9" w14:textId="77777777" w:rsidTr="00EE78B5">
        <w:tblPrEx>
          <w:tblCellMar>
            <w:left w:w="0" w:type="dxa"/>
            <w:right w:w="0" w:type="dxa"/>
          </w:tblCellMar>
          <w:tblLook w:val="01E0" w:firstRow="1" w:lastRow="1" w:firstColumn="1" w:lastColumn="1" w:noHBand="0" w:noVBand="0"/>
        </w:tblPrEx>
        <w:trPr>
          <w:gridAfter w:val="1"/>
          <w:wAfter w:w="8" w:type="pct"/>
          <w:trHeight w:val="172"/>
        </w:trPr>
        <w:tc>
          <w:tcPr>
            <w:tcW w:w="1552" w:type="pct"/>
            <w:gridSpan w:val="2"/>
            <w:vAlign w:val="bottom"/>
          </w:tcPr>
          <w:p w14:paraId="2B99A4A1" w14:textId="77777777" w:rsidR="00F84E7F" w:rsidRPr="00843F8A" w:rsidRDefault="00F84E7F" w:rsidP="00F84E7F">
            <w:pPr>
              <w:pStyle w:val="TableParagraph"/>
              <w:spacing w:line="154" w:lineRule="exact"/>
              <w:ind w:left="771" w:right="397"/>
              <w:rPr>
                <w:rFonts w:ascii="Times New Roman" w:hAnsi="Times New Roman"/>
                <w:sz w:val="16"/>
                <w:szCs w:val="16"/>
              </w:rPr>
            </w:pPr>
            <w:r w:rsidRPr="00843F8A">
              <w:rPr>
                <w:rFonts w:ascii="Times New Roman" w:hAnsi="Times New Roman"/>
                <w:sz w:val="16"/>
                <w:szCs w:val="16"/>
              </w:rPr>
              <w:t>Tahun 2011</w:t>
            </w:r>
          </w:p>
        </w:tc>
        <w:tc>
          <w:tcPr>
            <w:tcW w:w="911" w:type="pct"/>
            <w:vAlign w:val="bottom"/>
          </w:tcPr>
          <w:p w14:paraId="404D8722" w14:textId="1F148081" w:rsidR="00F84E7F" w:rsidRPr="001C5D60" w:rsidRDefault="00F84E7F" w:rsidP="00F84E7F">
            <w:pPr>
              <w:pStyle w:val="TableParagraph"/>
              <w:spacing w:line="154" w:lineRule="exact"/>
              <w:ind w:left="-32" w:right="44"/>
              <w:jc w:val="right"/>
              <w:rPr>
                <w:rFonts w:ascii="Times New Roman" w:hAnsi="Times New Roman"/>
                <w:sz w:val="16"/>
                <w:szCs w:val="16"/>
              </w:rPr>
            </w:pPr>
            <w:r w:rsidRPr="001C5D60">
              <w:rPr>
                <w:rFonts w:ascii="Times New Roman" w:hAnsi="Times New Roman"/>
                <w:sz w:val="16"/>
                <w:szCs w:val="16"/>
              </w:rPr>
              <w:t>2.022.550.000</w:t>
            </w:r>
          </w:p>
        </w:tc>
        <w:tc>
          <w:tcPr>
            <w:tcW w:w="59" w:type="pct"/>
            <w:gridSpan w:val="2"/>
            <w:vAlign w:val="bottom"/>
          </w:tcPr>
          <w:p w14:paraId="79460A99" w14:textId="77777777" w:rsidR="00F84E7F" w:rsidRPr="001C5D60" w:rsidRDefault="00F84E7F" w:rsidP="00F84E7F">
            <w:pPr>
              <w:pStyle w:val="TableParagraph"/>
              <w:spacing w:line="154" w:lineRule="exact"/>
              <w:ind w:right="44"/>
              <w:jc w:val="right"/>
              <w:rPr>
                <w:rFonts w:ascii="Times New Roman" w:hAnsi="Times New Roman"/>
                <w:sz w:val="16"/>
                <w:szCs w:val="16"/>
              </w:rPr>
            </w:pPr>
          </w:p>
        </w:tc>
        <w:tc>
          <w:tcPr>
            <w:tcW w:w="911" w:type="pct"/>
            <w:vAlign w:val="bottom"/>
          </w:tcPr>
          <w:p w14:paraId="0F119B54" w14:textId="59560B26" w:rsidR="00F84E7F" w:rsidRPr="001C5D60" w:rsidRDefault="00F84E7F" w:rsidP="00F84E7F">
            <w:pPr>
              <w:pStyle w:val="TableParagraph"/>
              <w:spacing w:line="154" w:lineRule="exact"/>
              <w:ind w:right="44"/>
              <w:jc w:val="right"/>
              <w:rPr>
                <w:rFonts w:ascii="Times New Roman" w:hAnsi="Times New Roman"/>
                <w:sz w:val="16"/>
                <w:szCs w:val="16"/>
              </w:rPr>
            </w:pPr>
            <w:r w:rsidRPr="001C5D60">
              <w:rPr>
                <w:rFonts w:ascii="Times New Roman" w:hAnsi="Times New Roman"/>
                <w:sz w:val="16"/>
                <w:szCs w:val="16"/>
              </w:rPr>
              <w:t>2.022.550.000</w:t>
            </w:r>
          </w:p>
        </w:tc>
        <w:tc>
          <w:tcPr>
            <w:tcW w:w="1558" w:type="pct"/>
            <w:vAlign w:val="bottom"/>
          </w:tcPr>
          <w:p w14:paraId="31808FDA" w14:textId="77777777" w:rsidR="00F84E7F" w:rsidRPr="00843F8A" w:rsidRDefault="00F84E7F" w:rsidP="00F84E7F">
            <w:pPr>
              <w:pStyle w:val="TableParagraph"/>
              <w:spacing w:line="153" w:lineRule="exact"/>
              <w:ind w:left="1588" w:right="284"/>
              <w:jc w:val="right"/>
              <w:rPr>
                <w:rFonts w:ascii="Times New Roman" w:hAnsi="Times New Roman"/>
                <w:i/>
                <w:sz w:val="16"/>
                <w:szCs w:val="16"/>
              </w:rPr>
            </w:pPr>
            <w:r w:rsidRPr="00843F8A">
              <w:rPr>
                <w:rFonts w:ascii="Times New Roman" w:hAnsi="Times New Roman"/>
                <w:i/>
                <w:sz w:val="16"/>
                <w:szCs w:val="16"/>
              </w:rPr>
              <w:t>Year 2011</w:t>
            </w:r>
          </w:p>
        </w:tc>
      </w:tr>
      <w:tr w:rsidR="00F84E7F" w:rsidRPr="00843F8A" w14:paraId="003AB3A1" w14:textId="77777777" w:rsidTr="00EE78B5">
        <w:tblPrEx>
          <w:tblCellMar>
            <w:left w:w="0" w:type="dxa"/>
            <w:right w:w="0" w:type="dxa"/>
          </w:tblCellMar>
          <w:tblLook w:val="01E0" w:firstRow="1" w:lastRow="1" w:firstColumn="1" w:lastColumn="1" w:noHBand="0" w:noVBand="0"/>
        </w:tblPrEx>
        <w:trPr>
          <w:gridAfter w:val="1"/>
          <w:wAfter w:w="8" w:type="pct"/>
          <w:trHeight w:val="171"/>
        </w:trPr>
        <w:tc>
          <w:tcPr>
            <w:tcW w:w="1552" w:type="pct"/>
            <w:gridSpan w:val="2"/>
            <w:vAlign w:val="bottom"/>
          </w:tcPr>
          <w:p w14:paraId="32B3BBA5" w14:textId="77777777" w:rsidR="00F84E7F" w:rsidRPr="00843F8A" w:rsidRDefault="00F84E7F" w:rsidP="00F84E7F">
            <w:pPr>
              <w:pStyle w:val="TableParagraph"/>
              <w:spacing w:line="154" w:lineRule="exact"/>
              <w:ind w:left="771" w:right="397"/>
              <w:rPr>
                <w:rFonts w:ascii="Times New Roman" w:hAnsi="Times New Roman"/>
                <w:sz w:val="16"/>
                <w:szCs w:val="16"/>
              </w:rPr>
            </w:pPr>
            <w:r w:rsidRPr="00843F8A">
              <w:rPr>
                <w:rFonts w:ascii="Times New Roman" w:hAnsi="Times New Roman"/>
                <w:sz w:val="16"/>
                <w:szCs w:val="16"/>
              </w:rPr>
              <w:t>Tahun 2013</w:t>
            </w:r>
          </w:p>
        </w:tc>
        <w:tc>
          <w:tcPr>
            <w:tcW w:w="911" w:type="pct"/>
            <w:vAlign w:val="bottom"/>
          </w:tcPr>
          <w:p w14:paraId="34326FD3" w14:textId="7FEF9061" w:rsidR="00F84E7F" w:rsidRPr="001C5D60" w:rsidRDefault="00F84E7F" w:rsidP="00F84E7F">
            <w:pPr>
              <w:pStyle w:val="TableParagraph"/>
              <w:spacing w:line="154" w:lineRule="exact"/>
              <w:ind w:left="-32" w:right="44"/>
              <w:jc w:val="right"/>
              <w:rPr>
                <w:rFonts w:ascii="Times New Roman" w:hAnsi="Times New Roman"/>
                <w:sz w:val="16"/>
                <w:szCs w:val="16"/>
              </w:rPr>
            </w:pPr>
            <w:r w:rsidRPr="001C5D60">
              <w:rPr>
                <w:rFonts w:ascii="Times New Roman" w:hAnsi="Times New Roman"/>
                <w:sz w:val="16"/>
                <w:szCs w:val="16"/>
              </w:rPr>
              <w:t>1.497.945.862</w:t>
            </w:r>
          </w:p>
        </w:tc>
        <w:tc>
          <w:tcPr>
            <w:tcW w:w="59" w:type="pct"/>
            <w:gridSpan w:val="2"/>
            <w:vAlign w:val="bottom"/>
          </w:tcPr>
          <w:p w14:paraId="0DF8C50D" w14:textId="77777777" w:rsidR="00F84E7F" w:rsidRPr="001C5D60" w:rsidRDefault="00F84E7F" w:rsidP="00F84E7F">
            <w:pPr>
              <w:pStyle w:val="TableParagraph"/>
              <w:spacing w:line="154" w:lineRule="exact"/>
              <w:ind w:left="-32" w:right="44"/>
              <w:jc w:val="right"/>
              <w:rPr>
                <w:rFonts w:ascii="Times New Roman" w:hAnsi="Times New Roman"/>
                <w:sz w:val="16"/>
                <w:szCs w:val="16"/>
              </w:rPr>
            </w:pPr>
          </w:p>
        </w:tc>
        <w:tc>
          <w:tcPr>
            <w:tcW w:w="911" w:type="pct"/>
            <w:vAlign w:val="bottom"/>
          </w:tcPr>
          <w:p w14:paraId="1BAC3D92" w14:textId="117C6A41" w:rsidR="00F84E7F" w:rsidRPr="001C5D60" w:rsidRDefault="00F84E7F" w:rsidP="00F84E7F">
            <w:pPr>
              <w:pStyle w:val="TableParagraph"/>
              <w:spacing w:line="154" w:lineRule="exact"/>
              <w:ind w:left="-32" w:right="44"/>
              <w:jc w:val="right"/>
              <w:rPr>
                <w:rFonts w:ascii="Times New Roman" w:hAnsi="Times New Roman"/>
                <w:sz w:val="16"/>
                <w:szCs w:val="16"/>
              </w:rPr>
            </w:pPr>
            <w:r w:rsidRPr="001C5D60">
              <w:rPr>
                <w:rFonts w:ascii="Times New Roman" w:hAnsi="Times New Roman"/>
                <w:sz w:val="16"/>
                <w:szCs w:val="16"/>
              </w:rPr>
              <w:t>1.497.945.862</w:t>
            </w:r>
          </w:p>
        </w:tc>
        <w:tc>
          <w:tcPr>
            <w:tcW w:w="1558" w:type="pct"/>
            <w:vAlign w:val="bottom"/>
          </w:tcPr>
          <w:p w14:paraId="39C2C635" w14:textId="77777777" w:rsidR="00F84E7F" w:rsidRPr="00843F8A" w:rsidRDefault="00F84E7F" w:rsidP="00F84E7F">
            <w:pPr>
              <w:pStyle w:val="TableParagraph"/>
              <w:spacing w:line="152" w:lineRule="exact"/>
              <w:ind w:left="1588" w:right="284"/>
              <w:jc w:val="right"/>
              <w:rPr>
                <w:rFonts w:ascii="Times New Roman" w:hAnsi="Times New Roman"/>
                <w:i/>
                <w:sz w:val="16"/>
                <w:szCs w:val="16"/>
              </w:rPr>
            </w:pPr>
            <w:r w:rsidRPr="00843F8A">
              <w:rPr>
                <w:rFonts w:ascii="Times New Roman" w:hAnsi="Times New Roman"/>
                <w:i/>
                <w:sz w:val="16"/>
                <w:szCs w:val="16"/>
              </w:rPr>
              <w:t>Year 2013</w:t>
            </w:r>
          </w:p>
        </w:tc>
      </w:tr>
      <w:tr w:rsidR="00F84E7F" w:rsidRPr="00843F8A" w14:paraId="00054116" w14:textId="77777777" w:rsidTr="00EE78B5">
        <w:tblPrEx>
          <w:tblCellMar>
            <w:left w:w="0" w:type="dxa"/>
            <w:right w:w="0" w:type="dxa"/>
          </w:tblCellMar>
          <w:tblLook w:val="01E0" w:firstRow="1" w:lastRow="1" w:firstColumn="1" w:lastColumn="1" w:noHBand="0" w:noVBand="0"/>
        </w:tblPrEx>
        <w:trPr>
          <w:gridAfter w:val="1"/>
          <w:wAfter w:w="8" w:type="pct"/>
          <w:trHeight w:val="70"/>
        </w:trPr>
        <w:tc>
          <w:tcPr>
            <w:tcW w:w="1552" w:type="pct"/>
            <w:gridSpan w:val="2"/>
            <w:vAlign w:val="bottom"/>
          </w:tcPr>
          <w:p w14:paraId="6709C8D4" w14:textId="77777777" w:rsidR="00F84E7F" w:rsidRPr="00843F8A" w:rsidRDefault="00F84E7F" w:rsidP="00F84E7F">
            <w:pPr>
              <w:pStyle w:val="TableParagraph"/>
              <w:spacing w:line="154" w:lineRule="exact"/>
              <w:ind w:left="771" w:right="397"/>
              <w:rPr>
                <w:rFonts w:ascii="Times New Roman" w:hAnsi="Times New Roman"/>
                <w:sz w:val="16"/>
                <w:szCs w:val="16"/>
              </w:rPr>
            </w:pPr>
            <w:r w:rsidRPr="00843F8A">
              <w:rPr>
                <w:rFonts w:ascii="Times New Roman" w:hAnsi="Times New Roman"/>
                <w:sz w:val="16"/>
                <w:szCs w:val="16"/>
              </w:rPr>
              <w:t>Tahun 2016</w:t>
            </w:r>
          </w:p>
        </w:tc>
        <w:tc>
          <w:tcPr>
            <w:tcW w:w="911" w:type="pct"/>
            <w:tcBorders>
              <w:bottom w:val="single" w:sz="4" w:space="0" w:color="000000"/>
            </w:tcBorders>
            <w:vAlign w:val="bottom"/>
          </w:tcPr>
          <w:p w14:paraId="7D6A66B2" w14:textId="3163895A" w:rsidR="00F84E7F" w:rsidRPr="001C5D60" w:rsidRDefault="00F84E7F" w:rsidP="00F84E7F">
            <w:pPr>
              <w:pStyle w:val="TableParagraph"/>
              <w:spacing w:line="154" w:lineRule="exact"/>
              <w:ind w:left="-32" w:right="44"/>
              <w:jc w:val="right"/>
              <w:rPr>
                <w:rFonts w:ascii="Times New Roman" w:hAnsi="Times New Roman"/>
                <w:sz w:val="16"/>
                <w:szCs w:val="16"/>
              </w:rPr>
            </w:pPr>
            <w:r w:rsidRPr="001C5D60">
              <w:rPr>
                <w:rFonts w:ascii="Times New Roman" w:hAnsi="Times New Roman"/>
                <w:sz w:val="16"/>
                <w:szCs w:val="16"/>
              </w:rPr>
              <w:t>2.705.814.585</w:t>
            </w:r>
          </w:p>
        </w:tc>
        <w:tc>
          <w:tcPr>
            <w:tcW w:w="59" w:type="pct"/>
            <w:gridSpan w:val="2"/>
            <w:vAlign w:val="bottom"/>
          </w:tcPr>
          <w:p w14:paraId="75F2C8A6" w14:textId="77777777" w:rsidR="00F84E7F" w:rsidRPr="001C5D60" w:rsidRDefault="00F84E7F" w:rsidP="00F84E7F">
            <w:pPr>
              <w:pStyle w:val="TableParagraph"/>
              <w:spacing w:line="154" w:lineRule="exact"/>
              <w:ind w:right="44"/>
              <w:jc w:val="right"/>
              <w:rPr>
                <w:rFonts w:ascii="Times New Roman" w:hAnsi="Times New Roman"/>
                <w:sz w:val="16"/>
                <w:szCs w:val="16"/>
              </w:rPr>
            </w:pPr>
          </w:p>
        </w:tc>
        <w:tc>
          <w:tcPr>
            <w:tcW w:w="911" w:type="pct"/>
            <w:tcBorders>
              <w:bottom w:val="single" w:sz="4" w:space="0" w:color="000000"/>
            </w:tcBorders>
            <w:vAlign w:val="bottom"/>
          </w:tcPr>
          <w:p w14:paraId="7E089099" w14:textId="730DFE18" w:rsidR="00F84E7F" w:rsidRPr="001C5D60" w:rsidRDefault="00F84E7F" w:rsidP="00F84E7F">
            <w:pPr>
              <w:pStyle w:val="TableParagraph"/>
              <w:spacing w:line="154" w:lineRule="exact"/>
              <w:ind w:right="44"/>
              <w:jc w:val="right"/>
              <w:rPr>
                <w:rFonts w:ascii="Times New Roman" w:hAnsi="Times New Roman"/>
                <w:sz w:val="16"/>
                <w:szCs w:val="16"/>
              </w:rPr>
            </w:pPr>
            <w:r w:rsidRPr="001C5D60">
              <w:rPr>
                <w:rFonts w:ascii="Times New Roman" w:hAnsi="Times New Roman"/>
                <w:sz w:val="16"/>
                <w:szCs w:val="16"/>
              </w:rPr>
              <w:t>2.705.814.585</w:t>
            </w:r>
          </w:p>
        </w:tc>
        <w:tc>
          <w:tcPr>
            <w:tcW w:w="1558" w:type="pct"/>
            <w:vAlign w:val="bottom"/>
          </w:tcPr>
          <w:p w14:paraId="29A02702" w14:textId="77777777" w:rsidR="00F84E7F" w:rsidRPr="00843F8A" w:rsidRDefault="00F84E7F" w:rsidP="00F84E7F">
            <w:pPr>
              <w:pStyle w:val="TableParagraph"/>
              <w:spacing w:line="171" w:lineRule="exact"/>
              <w:ind w:left="1588" w:right="284"/>
              <w:jc w:val="right"/>
              <w:rPr>
                <w:rFonts w:ascii="Times New Roman" w:hAnsi="Times New Roman"/>
                <w:i/>
                <w:sz w:val="16"/>
                <w:szCs w:val="16"/>
              </w:rPr>
            </w:pPr>
            <w:r w:rsidRPr="00843F8A">
              <w:rPr>
                <w:rFonts w:ascii="Times New Roman" w:hAnsi="Times New Roman"/>
                <w:i/>
                <w:sz w:val="16"/>
                <w:szCs w:val="16"/>
              </w:rPr>
              <w:t>Year 2016</w:t>
            </w:r>
          </w:p>
        </w:tc>
      </w:tr>
      <w:tr w:rsidR="00F84E7F" w:rsidRPr="00843F8A" w14:paraId="0743A2F1" w14:textId="77777777" w:rsidTr="00EE78B5">
        <w:tblPrEx>
          <w:tblCellMar>
            <w:left w:w="0" w:type="dxa"/>
            <w:right w:w="0" w:type="dxa"/>
          </w:tblCellMar>
          <w:tblLook w:val="01E0" w:firstRow="1" w:lastRow="1" w:firstColumn="1" w:lastColumn="1" w:noHBand="0" w:noVBand="0"/>
        </w:tblPrEx>
        <w:trPr>
          <w:gridAfter w:val="1"/>
          <w:wAfter w:w="8" w:type="pct"/>
          <w:trHeight w:val="311"/>
        </w:trPr>
        <w:tc>
          <w:tcPr>
            <w:tcW w:w="1552" w:type="pct"/>
            <w:gridSpan w:val="2"/>
            <w:vAlign w:val="bottom"/>
          </w:tcPr>
          <w:p w14:paraId="649E95CC" w14:textId="75EC0AA1" w:rsidR="00F84E7F" w:rsidRPr="00843F8A" w:rsidRDefault="00F84E7F" w:rsidP="00F84E7F">
            <w:pPr>
              <w:pStyle w:val="TableParagraph"/>
              <w:spacing w:before="74"/>
              <w:ind w:left="603" w:right="167"/>
              <w:rPr>
                <w:rFonts w:ascii="Times New Roman" w:hAnsi="Times New Roman"/>
                <w:sz w:val="16"/>
                <w:szCs w:val="16"/>
              </w:rPr>
            </w:pPr>
            <w:r w:rsidRPr="00843F8A">
              <w:rPr>
                <w:rFonts w:ascii="Times New Roman" w:hAnsi="Times New Roman"/>
                <w:sz w:val="16"/>
                <w:szCs w:val="16"/>
              </w:rPr>
              <w:t>Jumlah biaya</w:t>
            </w:r>
            <w:r>
              <w:rPr>
                <w:rFonts w:ascii="Times New Roman" w:hAnsi="Times New Roman"/>
                <w:sz w:val="16"/>
                <w:szCs w:val="16"/>
              </w:rPr>
              <w:t xml:space="preserve"> </w:t>
            </w:r>
            <w:r w:rsidRPr="00843F8A">
              <w:rPr>
                <w:rFonts w:ascii="Times New Roman" w:hAnsi="Times New Roman"/>
                <w:sz w:val="16"/>
                <w:szCs w:val="16"/>
              </w:rPr>
              <w:t>emisi</w:t>
            </w:r>
          </w:p>
        </w:tc>
        <w:tc>
          <w:tcPr>
            <w:tcW w:w="911" w:type="pct"/>
            <w:tcBorders>
              <w:top w:val="single" w:sz="4" w:space="0" w:color="000000"/>
              <w:bottom w:val="single" w:sz="4" w:space="0" w:color="000000"/>
            </w:tcBorders>
            <w:vAlign w:val="bottom"/>
          </w:tcPr>
          <w:p w14:paraId="32E5A4C7" w14:textId="23034B10"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rPr>
              <w:br/>
              <w:t>6.226.310.447</w:t>
            </w:r>
          </w:p>
        </w:tc>
        <w:tc>
          <w:tcPr>
            <w:tcW w:w="59" w:type="pct"/>
            <w:gridSpan w:val="2"/>
            <w:vAlign w:val="bottom"/>
          </w:tcPr>
          <w:p w14:paraId="2EEF3CB0" w14:textId="77777777" w:rsidR="00F84E7F" w:rsidRPr="001C5D60" w:rsidRDefault="00F84E7F" w:rsidP="00F84E7F">
            <w:pPr>
              <w:pStyle w:val="TableParagraph"/>
              <w:spacing w:line="171" w:lineRule="exact"/>
              <w:ind w:left="-32" w:right="47"/>
              <w:jc w:val="right"/>
              <w:rPr>
                <w:rFonts w:ascii="Times New Roman" w:hAnsi="Times New Roman"/>
                <w:sz w:val="16"/>
                <w:szCs w:val="16"/>
              </w:rPr>
            </w:pPr>
          </w:p>
        </w:tc>
        <w:tc>
          <w:tcPr>
            <w:tcW w:w="911" w:type="pct"/>
            <w:tcBorders>
              <w:top w:val="single" w:sz="4" w:space="0" w:color="000000"/>
              <w:bottom w:val="single" w:sz="4" w:space="0" w:color="000000"/>
            </w:tcBorders>
            <w:vAlign w:val="bottom"/>
          </w:tcPr>
          <w:p w14:paraId="2AF7EFF9" w14:textId="0EFA0725"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rPr>
              <w:br/>
              <w:t>6.226.310.447</w:t>
            </w:r>
          </w:p>
        </w:tc>
        <w:tc>
          <w:tcPr>
            <w:tcW w:w="1558" w:type="pct"/>
            <w:vAlign w:val="bottom"/>
          </w:tcPr>
          <w:p w14:paraId="04BDFA9A" w14:textId="77777777" w:rsidR="00F84E7F" w:rsidRPr="00843F8A" w:rsidRDefault="00F84E7F" w:rsidP="00F84E7F">
            <w:pPr>
              <w:pStyle w:val="TableParagraph"/>
              <w:spacing w:before="74"/>
              <w:ind w:left="671"/>
              <w:jc w:val="right"/>
              <w:rPr>
                <w:rFonts w:ascii="Times New Roman" w:hAnsi="Times New Roman"/>
                <w:i/>
                <w:sz w:val="16"/>
                <w:szCs w:val="16"/>
              </w:rPr>
            </w:pPr>
            <w:r w:rsidRPr="00843F8A">
              <w:rPr>
                <w:rFonts w:ascii="Times New Roman" w:hAnsi="Times New Roman"/>
                <w:i/>
                <w:sz w:val="16"/>
                <w:szCs w:val="16"/>
              </w:rPr>
              <w:t>Total share issuance costs</w:t>
            </w:r>
          </w:p>
        </w:tc>
      </w:tr>
      <w:tr w:rsidR="00F84E7F" w:rsidRPr="00843F8A" w14:paraId="227C1769" w14:textId="77777777" w:rsidTr="00EE78B5">
        <w:tblPrEx>
          <w:tblCellMar>
            <w:left w:w="0" w:type="dxa"/>
            <w:right w:w="0" w:type="dxa"/>
          </w:tblCellMar>
          <w:tblLook w:val="01E0" w:firstRow="1" w:lastRow="1" w:firstColumn="1" w:lastColumn="1" w:noHBand="0" w:noVBand="0"/>
        </w:tblPrEx>
        <w:trPr>
          <w:gridAfter w:val="1"/>
          <w:wAfter w:w="8" w:type="pct"/>
          <w:trHeight w:val="317"/>
        </w:trPr>
        <w:tc>
          <w:tcPr>
            <w:tcW w:w="1552" w:type="pct"/>
            <w:gridSpan w:val="2"/>
            <w:vAlign w:val="bottom"/>
          </w:tcPr>
          <w:p w14:paraId="48CEA57B" w14:textId="77777777" w:rsidR="00F84E7F" w:rsidRPr="00843F8A" w:rsidRDefault="00F84E7F" w:rsidP="00F84E7F">
            <w:pPr>
              <w:pStyle w:val="TableParagraph"/>
              <w:spacing w:before="74"/>
              <w:ind w:left="603"/>
              <w:rPr>
                <w:rFonts w:ascii="Times New Roman" w:hAnsi="Times New Roman"/>
                <w:sz w:val="16"/>
                <w:szCs w:val="16"/>
              </w:rPr>
            </w:pPr>
            <w:r w:rsidRPr="00843F8A">
              <w:rPr>
                <w:rFonts w:ascii="Times New Roman" w:hAnsi="Times New Roman"/>
                <w:sz w:val="16"/>
                <w:szCs w:val="16"/>
              </w:rPr>
              <w:t>Sub-jumlah</w:t>
            </w:r>
          </w:p>
        </w:tc>
        <w:tc>
          <w:tcPr>
            <w:tcW w:w="911" w:type="pct"/>
            <w:tcBorders>
              <w:top w:val="single" w:sz="4" w:space="0" w:color="000000"/>
              <w:bottom w:val="single" w:sz="2" w:space="0" w:color="000000"/>
            </w:tcBorders>
            <w:vAlign w:val="bottom"/>
          </w:tcPr>
          <w:p w14:paraId="3AAF46C9" w14:textId="41219463"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rPr>
              <w:br/>
              <w:t>927.725.134.093</w:t>
            </w:r>
          </w:p>
        </w:tc>
        <w:tc>
          <w:tcPr>
            <w:tcW w:w="59" w:type="pct"/>
            <w:gridSpan w:val="2"/>
            <w:vAlign w:val="bottom"/>
          </w:tcPr>
          <w:p w14:paraId="713B6475" w14:textId="77777777" w:rsidR="00F84E7F" w:rsidRPr="001C5D60" w:rsidRDefault="00F84E7F" w:rsidP="00F84E7F">
            <w:pPr>
              <w:pStyle w:val="TableParagraph"/>
              <w:spacing w:line="171" w:lineRule="exact"/>
              <w:ind w:left="-32" w:right="47"/>
              <w:jc w:val="right"/>
              <w:rPr>
                <w:rFonts w:ascii="Times New Roman" w:hAnsi="Times New Roman"/>
                <w:sz w:val="16"/>
                <w:szCs w:val="16"/>
              </w:rPr>
            </w:pPr>
          </w:p>
        </w:tc>
        <w:tc>
          <w:tcPr>
            <w:tcW w:w="911" w:type="pct"/>
            <w:tcBorders>
              <w:top w:val="single" w:sz="4" w:space="0" w:color="000000"/>
              <w:bottom w:val="single" w:sz="2" w:space="0" w:color="000000"/>
            </w:tcBorders>
            <w:vAlign w:val="bottom"/>
          </w:tcPr>
          <w:p w14:paraId="0E89DBBC" w14:textId="3AEBF21C"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rPr>
              <w:br/>
              <w:t>927.725.134.093</w:t>
            </w:r>
          </w:p>
        </w:tc>
        <w:tc>
          <w:tcPr>
            <w:tcW w:w="1558" w:type="pct"/>
            <w:vAlign w:val="bottom"/>
          </w:tcPr>
          <w:p w14:paraId="59BF7F1B" w14:textId="77777777" w:rsidR="00F84E7F" w:rsidRPr="00843F8A" w:rsidRDefault="00F84E7F" w:rsidP="00F84E7F">
            <w:pPr>
              <w:pStyle w:val="TableParagraph"/>
              <w:spacing w:before="74"/>
              <w:ind w:right="304"/>
              <w:jc w:val="right"/>
              <w:rPr>
                <w:rFonts w:ascii="Times New Roman" w:hAnsi="Times New Roman"/>
                <w:i/>
                <w:sz w:val="16"/>
                <w:szCs w:val="16"/>
              </w:rPr>
            </w:pPr>
            <w:r w:rsidRPr="00843F8A">
              <w:rPr>
                <w:rFonts w:ascii="Times New Roman" w:hAnsi="Times New Roman"/>
                <w:i/>
                <w:sz w:val="16"/>
                <w:szCs w:val="16"/>
              </w:rPr>
              <w:t>Sub-total</w:t>
            </w:r>
          </w:p>
        </w:tc>
      </w:tr>
      <w:tr w:rsidR="00F84E7F" w:rsidRPr="00843F8A" w14:paraId="7081B9F9" w14:textId="77777777" w:rsidTr="00EE78B5">
        <w:tblPrEx>
          <w:tblCellMar>
            <w:left w:w="0" w:type="dxa"/>
            <w:right w:w="0" w:type="dxa"/>
          </w:tblCellMar>
          <w:tblLook w:val="01E0" w:firstRow="1" w:lastRow="1" w:firstColumn="1" w:lastColumn="1" w:noHBand="0" w:noVBand="0"/>
        </w:tblPrEx>
        <w:trPr>
          <w:gridAfter w:val="1"/>
          <w:wAfter w:w="8" w:type="pct"/>
          <w:trHeight w:val="663"/>
        </w:trPr>
        <w:tc>
          <w:tcPr>
            <w:tcW w:w="1552" w:type="pct"/>
            <w:gridSpan w:val="2"/>
            <w:vAlign w:val="bottom"/>
          </w:tcPr>
          <w:p w14:paraId="0D9AE081" w14:textId="77777777" w:rsidR="00F84E7F" w:rsidRPr="00843F8A" w:rsidRDefault="00F84E7F" w:rsidP="00F84E7F">
            <w:pPr>
              <w:pStyle w:val="TableParagraph"/>
              <w:spacing w:before="77"/>
              <w:ind w:left="603" w:right="153" w:hanging="168"/>
              <w:rPr>
                <w:rFonts w:ascii="Times New Roman" w:hAnsi="Times New Roman"/>
                <w:sz w:val="16"/>
                <w:szCs w:val="16"/>
              </w:rPr>
            </w:pPr>
            <w:r w:rsidRPr="00843F8A">
              <w:rPr>
                <w:rFonts w:ascii="Times New Roman" w:hAnsi="Times New Roman"/>
                <w:sz w:val="16"/>
                <w:szCs w:val="16"/>
                <w:u w:val="single"/>
              </w:rPr>
              <w:t>Penggabungan usaha</w:t>
            </w:r>
            <w:r w:rsidRPr="00843F8A">
              <w:rPr>
                <w:rFonts w:ascii="Times New Roman" w:hAnsi="Times New Roman"/>
                <w:sz w:val="16"/>
                <w:szCs w:val="16"/>
              </w:rPr>
              <w:t xml:space="preserve"> Agio saham</w:t>
            </w:r>
          </w:p>
          <w:p w14:paraId="09A361AD" w14:textId="403B5DB3" w:rsidR="00F84E7F" w:rsidRPr="00843F8A" w:rsidRDefault="00F84E7F" w:rsidP="00F84E7F">
            <w:pPr>
              <w:pStyle w:val="TableParagraph"/>
              <w:spacing w:line="171" w:lineRule="exact"/>
              <w:ind w:left="603"/>
              <w:rPr>
                <w:rFonts w:ascii="Times New Roman" w:hAnsi="Times New Roman"/>
                <w:sz w:val="16"/>
                <w:szCs w:val="16"/>
              </w:rPr>
            </w:pPr>
            <w:r>
              <w:rPr>
                <w:rFonts w:ascii="Times New Roman" w:hAnsi="Times New Roman"/>
                <w:sz w:val="16"/>
                <w:szCs w:val="16"/>
              </w:rPr>
              <w:t xml:space="preserve">     </w:t>
            </w:r>
            <w:r w:rsidRPr="00843F8A">
              <w:rPr>
                <w:rFonts w:ascii="Times New Roman" w:hAnsi="Times New Roman"/>
                <w:sz w:val="16"/>
                <w:szCs w:val="16"/>
              </w:rPr>
              <w:t>Tahun 2018</w:t>
            </w:r>
          </w:p>
        </w:tc>
        <w:tc>
          <w:tcPr>
            <w:tcW w:w="911" w:type="pct"/>
            <w:tcBorders>
              <w:top w:val="single" w:sz="2" w:space="0" w:color="000000"/>
              <w:bottom w:val="single" w:sz="4" w:space="0" w:color="000000"/>
            </w:tcBorders>
            <w:vAlign w:val="bottom"/>
          </w:tcPr>
          <w:p w14:paraId="1E0F5B41" w14:textId="60E1CAAB"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rPr>
              <w:br/>
            </w:r>
            <w:r w:rsidRPr="001C5D60">
              <w:rPr>
                <w:rFonts w:ascii="Times New Roman" w:hAnsi="Times New Roman"/>
                <w:sz w:val="16"/>
                <w:szCs w:val="16"/>
              </w:rPr>
              <w:br/>
              <w:t>197.091.722.360</w:t>
            </w:r>
          </w:p>
        </w:tc>
        <w:tc>
          <w:tcPr>
            <w:tcW w:w="59" w:type="pct"/>
            <w:gridSpan w:val="2"/>
            <w:vAlign w:val="bottom"/>
          </w:tcPr>
          <w:p w14:paraId="4E2C9EE2" w14:textId="77777777" w:rsidR="00F84E7F" w:rsidRPr="001C5D60" w:rsidRDefault="00F84E7F" w:rsidP="00F84E7F">
            <w:pPr>
              <w:pStyle w:val="TableParagraph"/>
              <w:jc w:val="right"/>
              <w:rPr>
                <w:rFonts w:ascii="Times New Roman" w:hAnsi="Times New Roman"/>
                <w:b/>
                <w:sz w:val="16"/>
                <w:szCs w:val="16"/>
              </w:rPr>
            </w:pPr>
          </w:p>
        </w:tc>
        <w:tc>
          <w:tcPr>
            <w:tcW w:w="911" w:type="pct"/>
            <w:tcBorders>
              <w:top w:val="single" w:sz="2" w:space="0" w:color="000000"/>
              <w:bottom w:val="single" w:sz="4" w:space="0" w:color="000000"/>
            </w:tcBorders>
            <w:vAlign w:val="bottom"/>
          </w:tcPr>
          <w:p w14:paraId="13977764" w14:textId="79B570FC"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rPr>
              <w:br/>
            </w:r>
            <w:r w:rsidRPr="001C5D60">
              <w:rPr>
                <w:rFonts w:ascii="Times New Roman" w:hAnsi="Times New Roman"/>
                <w:sz w:val="16"/>
                <w:szCs w:val="16"/>
              </w:rPr>
              <w:br/>
              <w:t>197.091.722.360</w:t>
            </w:r>
          </w:p>
        </w:tc>
        <w:tc>
          <w:tcPr>
            <w:tcW w:w="1558" w:type="pct"/>
            <w:vAlign w:val="bottom"/>
          </w:tcPr>
          <w:p w14:paraId="2E346654" w14:textId="0F9A5B62" w:rsidR="00F84E7F" w:rsidRPr="00353744" w:rsidRDefault="00F84E7F" w:rsidP="00F84E7F">
            <w:pPr>
              <w:pStyle w:val="TableParagraph"/>
              <w:ind w:left="221" w:right="33" w:hanging="170"/>
              <w:jc w:val="right"/>
              <w:rPr>
                <w:rFonts w:ascii="Times New Roman" w:hAnsi="Times New Roman"/>
                <w:i/>
                <w:iCs/>
                <w:sz w:val="16"/>
                <w:szCs w:val="16"/>
                <w:u w:val="single"/>
              </w:rPr>
            </w:pPr>
            <w:r w:rsidRPr="00A25F1D">
              <w:rPr>
                <w:rFonts w:ascii="Times New Roman" w:hAnsi="Times New Roman"/>
                <w:i/>
                <w:iCs/>
                <w:sz w:val="16"/>
                <w:szCs w:val="16"/>
                <w:u w:val="single"/>
              </w:rPr>
              <w:t xml:space="preserve">Merger </w:t>
            </w:r>
            <w:r w:rsidRPr="00B66FCD">
              <w:rPr>
                <w:rFonts w:ascii="Times New Roman" w:hAnsi="Times New Roman"/>
                <w:i/>
                <w:iCs/>
                <w:sz w:val="16"/>
                <w:szCs w:val="16"/>
              </w:rPr>
              <w:t>Additional paid in capital</w:t>
            </w:r>
          </w:p>
          <w:p w14:paraId="0D6ED8D9" w14:textId="244CB7D0" w:rsidR="00F84E7F" w:rsidRPr="00B66FCD" w:rsidRDefault="00F84E7F" w:rsidP="00F84E7F">
            <w:pPr>
              <w:pStyle w:val="TableParagraph"/>
              <w:ind w:left="221" w:right="271" w:hanging="170"/>
              <w:jc w:val="right"/>
              <w:rPr>
                <w:rFonts w:ascii="Times New Roman" w:hAnsi="Times New Roman"/>
                <w:i/>
                <w:sz w:val="16"/>
                <w:szCs w:val="16"/>
              </w:rPr>
            </w:pPr>
            <w:r w:rsidRPr="00B66FCD">
              <w:rPr>
                <w:rFonts w:ascii="Times New Roman" w:hAnsi="Times New Roman"/>
                <w:i/>
                <w:iCs/>
                <w:sz w:val="16"/>
                <w:szCs w:val="16"/>
              </w:rPr>
              <w:t>Year 2018</w:t>
            </w:r>
          </w:p>
        </w:tc>
      </w:tr>
      <w:tr w:rsidR="00F84E7F" w:rsidRPr="00843F8A" w14:paraId="20DE1B42" w14:textId="77777777" w:rsidTr="00EE78B5">
        <w:tblPrEx>
          <w:tblCellMar>
            <w:left w:w="0" w:type="dxa"/>
            <w:right w:w="0" w:type="dxa"/>
          </w:tblCellMar>
          <w:tblLook w:val="01E0" w:firstRow="1" w:lastRow="1" w:firstColumn="1" w:lastColumn="1" w:noHBand="0" w:noVBand="0"/>
        </w:tblPrEx>
        <w:trPr>
          <w:gridAfter w:val="1"/>
          <w:wAfter w:w="8" w:type="pct"/>
          <w:trHeight w:val="313"/>
        </w:trPr>
        <w:tc>
          <w:tcPr>
            <w:tcW w:w="1552" w:type="pct"/>
            <w:gridSpan w:val="2"/>
            <w:vAlign w:val="bottom"/>
          </w:tcPr>
          <w:p w14:paraId="3BC867B0" w14:textId="21C9FBC6" w:rsidR="00F84E7F" w:rsidRPr="00843F8A" w:rsidRDefault="00F84E7F" w:rsidP="00F84E7F">
            <w:pPr>
              <w:pStyle w:val="TableParagraph"/>
              <w:spacing w:before="74"/>
              <w:ind w:left="603"/>
              <w:rPr>
                <w:rFonts w:ascii="Times New Roman" w:hAnsi="Times New Roman"/>
                <w:sz w:val="16"/>
                <w:szCs w:val="16"/>
              </w:rPr>
            </w:pPr>
            <w:r>
              <w:rPr>
                <w:rFonts w:ascii="Times New Roman" w:hAnsi="Times New Roman"/>
                <w:sz w:val="16"/>
                <w:szCs w:val="16"/>
              </w:rPr>
              <w:t>S</w:t>
            </w:r>
            <w:r w:rsidRPr="00843F8A">
              <w:rPr>
                <w:rFonts w:ascii="Times New Roman" w:hAnsi="Times New Roman"/>
                <w:sz w:val="16"/>
                <w:szCs w:val="16"/>
              </w:rPr>
              <w:t>ub-jumlah</w:t>
            </w:r>
          </w:p>
        </w:tc>
        <w:tc>
          <w:tcPr>
            <w:tcW w:w="911" w:type="pct"/>
            <w:tcBorders>
              <w:top w:val="single" w:sz="4" w:space="0" w:color="000000"/>
              <w:bottom w:val="single" w:sz="4" w:space="0" w:color="000000"/>
            </w:tcBorders>
            <w:vAlign w:val="bottom"/>
          </w:tcPr>
          <w:p w14:paraId="123EA9E0" w14:textId="489B451C"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rPr>
              <w:t>197.091.722.360</w:t>
            </w:r>
          </w:p>
        </w:tc>
        <w:tc>
          <w:tcPr>
            <w:tcW w:w="59" w:type="pct"/>
            <w:gridSpan w:val="2"/>
            <w:vAlign w:val="bottom"/>
          </w:tcPr>
          <w:p w14:paraId="0907AF2D" w14:textId="77777777" w:rsidR="00F84E7F" w:rsidRPr="001C5D60" w:rsidRDefault="00F84E7F" w:rsidP="00F84E7F">
            <w:pPr>
              <w:pStyle w:val="TableParagraph"/>
              <w:spacing w:line="171" w:lineRule="exact"/>
              <w:jc w:val="right"/>
              <w:rPr>
                <w:rFonts w:ascii="Times New Roman" w:hAnsi="Times New Roman"/>
                <w:sz w:val="16"/>
                <w:szCs w:val="16"/>
              </w:rPr>
            </w:pPr>
          </w:p>
        </w:tc>
        <w:tc>
          <w:tcPr>
            <w:tcW w:w="911" w:type="pct"/>
            <w:tcBorders>
              <w:top w:val="single" w:sz="4" w:space="0" w:color="000000"/>
              <w:bottom w:val="single" w:sz="4" w:space="0" w:color="000000"/>
            </w:tcBorders>
            <w:vAlign w:val="bottom"/>
          </w:tcPr>
          <w:p w14:paraId="06D7F8B0" w14:textId="1791EB6F" w:rsidR="00F84E7F" w:rsidRPr="001C5D60" w:rsidRDefault="00F84E7F" w:rsidP="00F84E7F">
            <w:pPr>
              <w:pStyle w:val="TableParagraph"/>
              <w:spacing w:line="171" w:lineRule="exact"/>
              <w:ind w:left="-32" w:right="47"/>
              <w:jc w:val="right"/>
              <w:rPr>
                <w:rFonts w:ascii="Times New Roman" w:hAnsi="Times New Roman"/>
                <w:sz w:val="16"/>
                <w:szCs w:val="16"/>
              </w:rPr>
            </w:pPr>
            <w:r w:rsidRPr="001C5D60">
              <w:rPr>
                <w:rFonts w:ascii="Times New Roman" w:hAnsi="Times New Roman"/>
                <w:sz w:val="16"/>
                <w:szCs w:val="16"/>
              </w:rPr>
              <w:t>197.091.722.360</w:t>
            </w:r>
          </w:p>
        </w:tc>
        <w:tc>
          <w:tcPr>
            <w:tcW w:w="1558" w:type="pct"/>
            <w:vAlign w:val="bottom"/>
          </w:tcPr>
          <w:p w14:paraId="266C3947" w14:textId="77777777" w:rsidR="00F84E7F" w:rsidRPr="00843F8A" w:rsidRDefault="00F84E7F" w:rsidP="00F84E7F">
            <w:pPr>
              <w:pStyle w:val="TableParagraph"/>
              <w:spacing w:before="74"/>
              <w:ind w:right="304"/>
              <w:jc w:val="right"/>
              <w:rPr>
                <w:rFonts w:ascii="Times New Roman" w:hAnsi="Times New Roman"/>
                <w:i/>
                <w:sz w:val="16"/>
                <w:szCs w:val="16"/>
              </w:rPr>
            </w:pPr>
            <w:r w:rsidRPr="00843F8A">
              <w:rPr>
                <w:rFonts w:ascii="Times New Roman" w:hAnsi="Times New Roman"/>
                <w:i/>
                <w:sz w:val="16"/>
                <w:szCs w:val="16"/>
              </w:rPr>
              <w:t>Sub-total</w:t>
            </w:r>
          </w:p>
        </w:tc>
      </w:tr>
      <w:tr w:rsidR="00F84E7F" w:rsidRPr="00843F8A" w14:paraId="4F8969E0" w14:textId="77777777" w:rsidTr="00EE78B5">
        <w:tblPrEx>
          <w:tblCellMar>
            <w:left w:w="0" w:type="dxa"/>
            <w:right w:w="0" w:type="dxa"/>
          </w:tblCellMar>
          <w:tblLook w:val="01E0" w:firstRow="1" w:lastRow="1" w:firstColumn="1" w:lastColumn="1" w:noHBand="0" w:noVBand="0"/>
        </w:tblPrEx>
        <w:trPr>
          <w:gridAfter w:val="1"/>
          <w:wAfter w:w="8" w:type="pct"/>
          <w:trHeight w:val="300"/>
        </w:trPr>
        <w:tc>
          <w:tcPr>
            <w:tcW w:w="1552" w:type="pct"/>
            <w:gridSpan w:val="2"/>
            <w:vAlign w:val="bottom"/>
          </w:tcPr>
          <w:p w14:paraId="03C86AE1" w14:textId="77777777" w:rsidR="00F84E7F" w:rsidRPr="00843F8A" w:rsidRDefault="00F84E7F" w:rsidP="00F84E7F">
            <w:pPr>
              <w:pStyle w:val="TableParagraph"/>
              <w:spacing w:before="71"/>
              <w:ind w:left="449"/>
              <w:rPr>
                <w:rFonts w:ascii="Times New Roman" w:hAnsi="Times New Roman"/>
                <w:b/>
                <w:sz w:val="16"/>
                <w:szCs w:val="16"/>
              </w:rPr>
            </w:pPr>
            <w:r w:rsidRPr="00843F8A">
              <w:rPr>
                <w:rFonts w:ascii="Times New Roman" w:hAnsi="Times New Roman"/>
                <w:b/>
                <w:sz w:val="16"/>
                <w:szCs w:val="16"/>
              </w:rPr>
              <w:t>Jumlah</w:t>
            </w:r>
          </w:p>
        </w:tc>
        <w:tc>
          <w:tcPr>
            <w:tcW w:w="911" w:type="pct"/>
            <w:tcBorders>
              <w:top w:val="single" w:sz="4" w:space="0" w:color="000000"/>
              <w:bottom w:val="double" w:sz="4" w:space="0" w:color="auto"/>
            </w:tcBorders>
            <w:vAlign w:val="bottom"/>
          </w:tcPr>
          <w:p w14:paraId="3AB8DA2F" w14:textId="736829ED" w:rsidR="00F84E7F" w:rsidRPr="001C5D60" w:rsidRDefault="00F84E7F" w:rsidP="00F84E7F">
            <w:pPr>
              <w:pStyle w:val="TableParagraph"/>
              <w:spacing w:line="171" w:lineRule="exact"/>
              <w:ind w:left="-32" w:right="47"/>
              <w:jc w:val="right"/>
              <w:rPr>
                <w:rFonts w:ascii="Times New Roman" w:hAnsi="Times New Roman"/>
                <w:b/>
                <w:bCs/>
                <w:sz w:val="16"/>
                <w:szCs w:val="16"/>
              </w:rPr>
            </w:pPr>
            <w:r w:rsidRPr="001C5D60">
              <w:rPr>
                <w:rFonts w:ascii="Times New Roman" w:hAnsi="Times New Roman"/>
                <w:b/>
                <w:bCs/>
                <w:sz w:val="16"/>
                <w:szCs w:val="16"/>
              </w:rPr>
              <w:t>1.124.816.856.453</w:t>
            </w:r>
          </w:p>
        </w:tc>
        <w:tc>
          <w:tcPr>
            <w:tcW w:w="59" w:type="pct"/>
            <w:gridSpan w:val="2"/>
            <w:vAlign w:val="bottom"/>
          </w:tcPr>
          <w:p w14:paraId="60970980" w14:textId="77777777" w:rsidR="00F84E7F" w:rsidRPr="001C5D60" w:rsidRDefault="00F84E7F" w:rsidP="00F84E7F">
            <w:pPr>
              <w:pStyle w:val="TableParagraph"/>
              <w:spacing w:line="171" w:lineRule="exact"/>
              <w:ind w:right="47"/>
              <w:jc w:val="right"/>
              <w:rPr>
                <w:rFonts w:ascii="Times New Roman" w:hAnsi="Times New Roman"/>
                <w:b/>
                <w:bCs/>
                <w:sz w:val="16"/>
                <w:szCs w:val="16"/>
              </w:rPr>
            </w:pPr>
          </w:p>
        </w:tc>
        <w:tc>
          <w:tcPr>
            <w:tcW w:w="911" w:type="pct"/>
            <w:tcBorders>
              <w:top w:val="single" w:sz="4" w:space="0" w:color="000000"/>
              <w:bottom w:val="double" w:sz="4" w:space="0" w:color="auto"/>
            </w:tcBorders>
            <w:vAlign w:val="bottom"/>
          </w:tcPr>
          <w:p w14:paraId="1D5457D5" w14:textId="600093F6" w:rsidR="00F84E7F" w:rsidRPr="001C5D60" w:rsidRDefault="00F84E7F" w:rsidP="00F84E7F">
            <w:pPr>
              <w:pStyle w:val="TableParagraph"/>
              <w:spacing w:line="171" w:lineRule="exact"/>
              <w:ind w:right="47"/>
              <w:jc w:val="right"/>
              <w:rPr>
                <w:rFonts w:ascii="Times New Roman" w:hAnsi="Times New Roman"/>
                <w:b/>
                <w:bCs/>
                <w:sz w:val="16"/>
                <w:szCs w:val="16"/>
              </w:rPr>
            </w:pPr>
            <w:r w:rsidRPr="001C5D60">
              <w:rPr>
                <w:rFonts w:ascii="Times New Roman" w:hAnsi="Times New Roman"/>
                <w:b/>
                <w:bCs/>
                <w:sz w:val="16"/>
                <w:szCs w:val="16"/>
              </w:rPr>
              <w:t>1.124.816.856.453</w:t>
            </w:r>
          </w:p>
        </w:tc>
        <w:tc>
          <w:tcPr>
            <w:tcW w:w="1558" w:type="pct"/>
            <w:vAlign w:val="bottom"/>
          </w:tcPr>
          <w:p w14:paraId="47BA422C" w14:textId="77777777" w:rsidR="00F84E7F" w:rsidRPr="00105C16" w:rsidRDefault="00F84E7F" w:rsidP="00F84E7F">
            <w:pPr>
              <w:pStyle w:val="TableParagraph"/>
              <w:spacing w:before="71"/>
              <w:ind w:right="48"/>
              <w:jc w:val="right"/>
              <w:rPr>
                <w:rFonts w:ascii="Times New Roman" w:hAnsi="Times New Roman"/>
                <w:b/>
                <w:i/>
                <w:iCs/>
                <w:sz w:val="16"/>
                <w:szCs w:val="16"/>
              </w:rPr>
            </w:pPr>
            <w:r w:rsidRPr="00105C16">
              <w:rPr>
                <w:rFonts w:ascii="Times New Roman" w:hAnsi="Times New Roman"/>
                <w:b/>
                <w:i/>
                <w:iCs/>
                <w:sz w:val="16"/>
                <w:szCs w:val="16"/>
              </w:rPr>
              <w:t>Total</w:t>
            </w:r>
          </w:p>
        </w:tc>
      </w:tr>
    </w:tbl>
    <w:p w14:paraId="2A7199B8" w14:textId="77777777" w:rsidR="00103568" w:rsidRPr="00103568" w:rsidRDefault="00103568" w:rsidP="0013526B">
      <w:pPr>
        <w:jc w:val="both"/>
        <w:rPr>
          <w:sz w:val="14"/>
          <w:szCs w:val="18"/>
        </w:rPr>
      </w:pPr>
    </w:p>
    <w:p w14:paraId="6C22223B" w14:textId="77777777" w:rsidR="00DE1A4E" w:rsidRDefault="00DE1A4E" w:rsidP="0013526B">
      <w:pPr>
        <w:jc w:val="both"/>
        <w:rPr>
          <w:sz w:val="12"/>
          <w:szCs w:val="18"/>
          <w:lang w:val="id-ID"/>
        </w:rPr>
      </w:pPr>
    </w:p>
    <w:tbl>
      <w:tblPr>
        <w:tblW w:w="9253" w:type="dxa"/>
        <w:tblInd w:w="350" w:type="dxa"/>
        <w:tblLayout w:type="fixed"/>
        <w:tblLook w:val="0000" w:firstRow="0" w:lastRow="0" w:firstColumn="0" w:lastColumn="0" w:noHBand="0" w:noVBand="0"/>
      </w:tblPr>
      <w:tblGrid>
        <w:gridCol w:w="56"/>
        <w:gridCol w:w="4542"/>
        <w:gridCol w:w="56"/>
        <w:gridCol w:w="4543"/>
        <w:gridCol w:w="56"/>
      </w:tblGrid>
      <w:tr w:rsidR="00F72ED8" w:rsidRPr="005C4D05" w14:paraId="36D7659E" w14:textId="77777777" w:rsidTr="00EE78B5">
        <w:trPr>
          <w:gridAfter w:val="1"/>
          <w:wAfter w:w="56" w:type="dxa"/>
        </w:trPr>
        <w:tc>
          <w:tcPr>
            <w:tcW w:w="4598" w:type="dxa"/>
            <w:gridSpan w:val="2"/>
            <w:tcBorders>
              <w:top w:val="nil"/>
              <w:left w:val="nil"/>
              <w:bottom w:val="nil"/>
              <w:right w:val="nil"/>
            </w:tcBorders>
          </w:tcPr>
          <w:p w14:paraId="0FD794C3" w14:textId="1212351E" w:rsidR="00F72ED8" w:rsidRPr="005C4D05" w:rsidRDefault="00F72ED8" w:rsidP="00070D1F">
            <w:pPr>
              <w:numPr>
                <w:ilvl w:val="0"/>
                <w:numId w:val="388"/>
              </w:numPr>
              <w:ind w:left="389" w:hanging="425"/>
              <w:jc w:val="both"/>
              <w:rPr>
                <w:b/>
                <w:bCs w:val="0"/>
                <w:sz w:val="18"/>
                <w:szCs w:val="18"/>
              </w:rPr>
            </w:pPr>
            <w:r w:rsidRPr="005C4D05">
              <w:rPr>
                <w:b/>
                <w:bCs w:val="0"/>
                <w:sz w:val="18"/>
                <w:szCs w:val="18"/>
              </w:rPr>
              <w:t>CADANGAN UMUM</w:t>
            </w:r>
          </w:p>
        </w:tc>
        <w:tc>
          <w:tcPr>
            <w:tcW w:w="4599" w:type="dxa"/>
            <w:gridSpan w:val="2"/>
            <w:tcBorders>
              <w:top w:val="nil"/>
              <w:left w:val="nil"/>
              <w:bottom w:val="nil"/>
              <w:right w:val="nil"/>
            </w:tcBorders>
          </w:tcPr>
          <w:p w14:paraId="5C72B004" w14:textId="720E74D4" w:rsidR="00F72ED8" w:rsidRPr="00B32E72" w:rsidRDefault="00F72ED8" w:rsidP="00070D1F">
            <w:pPr>
              <w:numPr>
                <w:ilvl w:val="0"/>
                <w:numId w:val="390"/>
              </w:numPr>
              <w:jc w:val="both"/>
              <w:rPr>
                <w:b/>
                <w:bCs w:val="0"/>
                <w:i/>
                <w:iCs/>
                <w:sz w:val="18"/>
                <w:szCs w:val="18"/>
              </w:rPr>
            </w:pPr>
            <w:r w:rsidRPr="00B32E72">
              <w:rPr>
                <w:b/>
                <w:bCs w:val="0"/>
                <w:i/>
                <w:iCs/>
                <w:sz w:val="18"/>
                <w:szCs w:val="18"/>
              </w:rPr>
              <w:t>APPROPRIATED RETAINED EARNINGS</w:t>
            </w:r>
          </w:p>
        </w:tc>
      </w:tr>
      <w:tr w:rsidR="00F72ED8" w:rsidRPr="0013526B" w14:paraId="6F037A5A" w14:textId="77777777" w:rsidTr="00EE78B5">
        <w:trPr>
          <w:gridAfter w:val="1"/>
          <w:wAfter w:w="56" w:type="dxa"/>
        </w:trPr>
        <w:tc>
          <w:tcPr>
            <w:tcW w:w="4598" w:type="dxa"/>
            <w:gridSpan w:val="2"/>
            <w:tcBorders>
              <w:top w:val="nil"/>
              <w:left w:val="nil"/>
              <w:bottom w:val="nil"/>
              <w:right w:val="nil"/>
            </w:tcBorders>
          </w:tcPr>
          <w:p w14:paraId="006221EA" w14:textId="77777777" w:rsidR="00F72ED8" w:rsidRPr="003D276C" w:rsidRDefault="00F72ED8" w:rsidP="006A720D">
            <w:pPr>
              <w:pStyle w:val="ListParagraph"/>
              <w:ind w:left="318" w:right="-57"/>
              <w:jc w:val="both"/>
              <w:rPr>
                <w:sz w:val="18"/>
                <w:szCs w:val="18"/>
              </w:rPr>
            </w:pPr>
          </w:p>
        </w:tc>
        <w:tc>
          <w:tcPr>
            <w:tcW w:w="4599" w:type="dxa"/>
            <w:gridSpan w:val="2"/>
            <w:tcBorders>
              <w:top w:val="nil"/>
              <w:left w:val="nil"/>
              <w:bottom w:val="nil"/>
              <w:right w:val="nil"/>
            </w:tcBorders>
          </w:tcPr>
          <w:p w14:paraId="4FBBB45F" w14:textId="77777777" w:rsidR="00F72ED8" w:rsidRPr="003D276C" w:rsidRDefault="00F72ED8" w:rsidP="006A720D">
            <w:pPr>
              <w:pStyle w:val="ListParagraph"/>
              <w:tabs>
                <w:tab w:val="right" w:pos="9340"/>
                <w:tab w:val="right" w:pos="10080"/>
              </w:tabs>
              <w:ind w:left="289" w:right="-57"/>
              <w:jc w:val="both"/>
              <w:rPr>
                <w:b/>
                <w:i/>
                <w:sz w:val="18"/>
                <w:szCs w:val="18"/>
              </w:rPr>
            </w:pPr>
          </w:p>
        </w:tc>
      </w:tr>
      <w:tr w:rsidR="00F72ED8" w:rsidRPr="0013526B" w14:paraId="7DD25A70" w14:textId="77777777" w:rsidTr="00EE78B5">
        <w:trPr>
          <w:gridAfter w:val="1"/>
          <w:wAfter w:w="56" w:type="dxa"/>
        </w:trPr>
        <w:tc>
          <w:tcPr>
            <w:tcW w:w="4598" w:type="dxa"/>
            <w:gridSpan w:val="2"/>
            <w:tcBorders>
              <w:top w:val="nil"/>
              <w:left w:val="nil"/>
              <w:bottom w:val="nil"/>
              <w:right w:val="nil"/>
            </w:tcBorders>
          </w:tcPr>
          <w:p w14:paraId="7379AEC0" w14:textId="53C6EF80" w:rsidR="00F72ED8" w:rsidRPr="0013526B" w:rsidRDefault="00F72ED8" w:rsidP="00EF4ED1">
            <w:pPr>
              <w:pStyle w:val="ListParagraph"/>
              <w:ind w:left="389" w:right="-57"/>
              <w:jc w:val="both"/>
              <w:rPr>
                <w:b/>
                <w:sz w:val="18"/>
                <w:szCs w:val="18"/>
              </w:rPr>
            </w:pPr>
            <w:r w:rsidRPr="00F72ED8">
              <w:rPr>
                <w:sz w:val="18"/>
                <w:szCs w:val="18"/>
              </w:rPr>
              <w:t>Berdasarkan Undang-Undang No. 40 tahun 2007 tentang Perusahaan Terbatas</w:t>
            </w:r>
            <w:r w:rsidR="00870FD0">
              <w:rPr>
                <w:sz w:val="18"/>
                <w:szCs w:val="18"/>
              </w:rPr>
              <w:t>.</w:t>
            </w:r>
            <w:r w:rsidRPr="00F72ED8">
              <w:rPr>
                <w:sz w:val="18"/>
                <w:szCs w:val="18"/>
              </w:rPr>
              <w:t xml:space="preserve"> Perusahaan di Indonesia diharuskan untuk membentuk cadangan umum sekurang-kurangnya sebesar 20% dari jumlah modal yang ditempatkan dan disetor penuh. Undang-Undang</w:t>
            </w:r>
            <w:r>
              <w:rPr>
                <w:sz w:val="18"/>
                <w:szCs w:val="18"/>
              </w:rPr>
              <w:t xml:space="preserve"> tersebut tidak mengatur jangka </w:t>
            </w:r>
            <w:r w:rsidRPr="00F72ED8">
              <w:rPr>
                <w:sz w:val="18"/>
                <w:szCs w:val="18"/>
              </w:rPr>
              <w:t>waktu untuk pembentukan cadangan umum tersebut.</w:t>
            </w:r>
          </w:p>
        </w:tc>
        <w:tc>
          <w:tcPr>
            <w:tcW w:w="4599" w:type="dxa"/>
            <w:gridSpan w:val="2"/>
            <w:tcBorders>
              <w:top w:val="nil"/>
              <w:left w:val="nil"/>
              <w:bottom w:val="nil"/>
              <w:right w:val="nil"/>
            </w:tcBorders>
          </w:tcPr>
          <w:p w14:paraId="1E31F6B6" w14:textId="6A2EF843" w:rsidR="00F72ED8" w:rsidRPr="007218A5" w:rsidRDefault="00F72ED8" w:rsidP="006A720D">
            <w:pPr>
              <w:pStyle w:val="ListParagraph"/>
              <w:tabs>
                <w:tab w:val="right" w:pos="9340"/>
                <w:tab w:val="right" w:pos="10080"/>
              </w:tabs>
              <w:ind w:left="284" w:right="-57"/>
              <w:jc w:val="both"/>
              <w:rPr>
                <w:bCs w:val="0"/>
                <w:i/>
                <w:sz w:val="18"/>
                <w:szCs w:val="18"/>
              </w:rPr>
            </w:pPr>
            <w:r w:rsidRPr="00F72ED8">
              <w:rPr>
                <w:bCs w:val="0"/>
                <w:i/>
                <w:sz w:val="18"/>
                <w:szCs w:val="18"/>
              </w:rPr>
              <w:t>Based on the Law No. 40 year 2007</w:t>
            </w:r>
            <w:r w:rsidR="00870FD0">
              <w:rPr>
                <w:bCs w:val="0"/>
                <w:i/>
                <w:sz w:val="18"/>
                <w:szCs w:val="18"/>
              </w:rPr>
              <w:t>.</w:t>
            </w:r>
            <w:r w:rsidRPr="00F72ED8">
              <w:rPr>
                <w:bCs w:val="0"/>
                <w:i/>
                <w:sz w:val="18"/>
                <w:szCs w:val="18"/>
              </w:rPr>
              <w:t xml:space="preserve"> </w:t>
            </w:r>
            <w:proofErr w:type="gramStart"/>
            <w:r w:rsidRPr="00F72ED8">
              <w:rPr>
                <w:bCs w:val="0"/>
                <w:i/>
                <w:sz w:val="18"/>
                <w:szCs w:val="18"/>
              </w:rPr>
              <w:t>concerning</w:t>
            </w:r>
            <w:proofErr w:type="gramEnd"/>
            <w:r w:rsidRPr="00F72ED8">
              <w:rPr>
                <w:bCs w:val="0"/>
                <w:i/>
                <w:sz w:val="18"/>
                <w:szCs w:val="18"/>
              </w:rPr>
              <w:t xml:space="preserve"> the Limited Liability Company</w:t>
            </w:r>
            <w:r w:rsidR="00870FD0">
              <w:rPr>
                <w:bCs w:val="0"/>
                <w:i/>
                <w:sz w:val="18"/>
                <w:szCs w:val="18"/>
              </w:rPr>
              <w:t>.</w:t>
            </w:r>
            <w:r w:rsidRPr="00F72ED8">
              <w:rPr>
                <w:bCs w:val="0"/>
                <w:i/>
                <w:sz w:val="18"/>
                <w:szCs w:val="18"/>
              </w:rPr>
              <w:t xml:space="preserve"> </w:t>
            </w:r>
            <w:proofErr w:type="gramStart"/>
            <w:r w:rsidRPr="00F72ED8">
              <w:rPr>
                <w:bCs w:val="0"/>
                <w:i/>
                <w:sz w:val="18"/>
                <w:szCs w:val="18"/>
              </w:rPr>
              <w:t>each</w:t>
            </w:r>
            <w:proofErr w:type="gramEnd"/>
            <w:r w:rsidRPr="00F72ED8">
              <w:rPr>
                <w:bCs w:val="0"/>
                <w:i/>
                <w:sz w:val="18"/>
                <w:szCs w:val="18"/>
              </w:rPr>
              <w:t xml:space="preserve"> of Indonesian Companies is required to provide</w:t>
            </w:r>
            <w:r w:rsidR="00F64A5D">
              <w:rPr>
                <w:bCs w:val="0"/>
                <w:i/>
                <w:sz w:val="18"/>
                <w:szCs w:val="18"/>
              </w:rPr>
              <w:t xml:space="preserve"> a</w:t>
            </w:r>
            <w:r w:rsidRPr="00F72ED8">
              <w:rPr>
                <w:bCs w:val="0"/>
                <w:i/>
                <w:sz w:val="18"/>
                <w:szCs w:val="18"/>
              </w:rPr>
              <w:t xml:space="preserve"> general reserve of at least 20% of its issued and fully paid-up capital. There is no set period of time over which this amount should be provided.</w:t>
            </w:r>
          </w:p>
        </w:tc>
      </w:tr>
      <w:tr w:rsidR="00F72ED8" w:rsidRPr="0013526B" w14:paraId="6F539945" w14:textId="77777777" w:rsidTr="00EE78B5">
        <w:trPr>
          <w:gridAfter w:val="1"/>
          <w:wAfter w:w="56" w:type="dxa"/>
        </w:trPr>
        <w:tc>
          <w:tcPr>
            <w:tcW w:w="4598" w:type="dxa"/>
            <w:gridSpan w:val="2"/>
            <w:tcBorders>
              <w:top w:val="nil"/>
              <w:left w:val="nil"/>
              <w:bottom w:val="nil"/>
              <w:right w:val="nil"/>
            </w:tcBorders>
          </w:tcPr>
          <w:p w14:paraId="09E46EFB" w14:textId="77777777" w:rsidR="00F72ED8" w:rsidRPr="0013526B" w:rsidRDefault="00F72ED8" w:rsidP="006A720D">
            <w:pPr>
              <w:pStyle w:val="ListParagraph"/>
              <w:ind w:left="318" w:right="-57"/>
              <w:jc w:val="both"/>
              <w:rPr>
                <w:sz w:val="18"/>
                <w:szCs w:val="18"/>
              </w:rPr>
            </w:pPr>
          </w:p>
        </w:tc>
        <w:tc>
          <w:tcPr>
            <w:tcW w:w="4599" w:type="dxa"/>
            <w:gridSpan w:val="2"/>
            <w:tcBorders>
              <w:top w:val="nil"/>
              <w:left w:val="nil"/>
              <w:bottom w:val="nil"/>
              <w:right w:val="nil"/>
            </w:tcBorders>
          </w:tcPr>
          <w:p w14:paraId="1B824311" w14:textId="27649384" w:rsidR="00F72ED8" w:rsidRPr="00F72ED8" w:rsidRDefault="00F72ED8" w:rsidP="006A720D">
            <w:pPr>
              <w:pStyle w:val="ListParagraph"/>
              <w:tabs>
                <w:tab w:val="right" w:pos="9340"/>
                <w:tab w:val="right" w:pos="10080"/>
              </w:tabs>
              <w:ind w:left="289" w:right="-57"/>
              <w:jc w:val="both"/>
              <w:rPr>
                <w:b/>
                <w:i/>
                <w:sz w:val="18"/>
                <w:szCs w:val="18"/>
              </w:rPr>
            </w:pPr>
          </w:p>
        </w:tc>
      </w:tr>
      <w:tr w:rsidR="00F72ED8" w:rsidRPr="0013526B" w14:paraId="43987BE8" w14:textId="77777777" w:rsidTr="00EE78B5">
        <w:trPr>
          <w:gridBefore w:val="1"/>
          <w:wBefore w:w="56" w:type="dxa"/>
        </w:trPr>
        <w:tc>
          <w:tcPr>
            <w:tcW w:w="4598" w:type="dxa"/>
            <w:gridSpan w:val="2"/>
            <w:tcBorders>
              <w:top w:val="nil"/>
              <w:left w:val="nil"/>
              <w:bottom w:val="nil"/>
              <w:right w:val="nil"/>
            </w:tcBorders>
          </w:tcPr>
          <w:p w14:paraId="752BF1CF" w14:textId="2A9A2565" w:rsidR="00F72ED8" w:rsidRPr="007A276F" w:rsidRDefault="00F72ED8" w:rsidP="007A276F">
            <w:pPr>
              <w:pStyle w:val="ListParagraph"/>
              <w:ind w:left="318" w:right="-57"/>
              <w:jc w:val="both"/>
              <w:rPr>
                <w:b/>
                <w:sz w:val="18"/>
                <w:szCs w:val="18"/>
              </w:rPr>
            </w:pPr>
            <w:r w:rsidRPr="007A276F">
              <w:rPr>
                <w:b/>
                <w:sz w:val="18"/>
                <w:szCs w:val="18"/>
              </w:rPr>
              <w:t>201</w:t>
            </w:r>
            <w:r w:rsidR="00DB6422">
              <w:rPr>
                <w:b/>
                <w:sz w:val="18"/>
                <w:szCs w:val="18"/>
              </w:rPr>
              <w:t>9</w:t>
            </w:r>
          </w:p>
        </w:tc>
        <w:tc>
          <w:tcPr>
            <w:tcW w:w="4599" w:type="dxa"/>
            <w:gridSpan w:val="2"/>
            <w:tcBorders>
              <w:top w:val="nil"/>
              <w:left w:val="nil"/>
              <w:bottom w:val="nil"/>
              <w:right w:val="nil"/>
            </w:tcBorders>
          </w:tcPr>
          <w:p w14:paraId="31E89B3F" w14:textId="50A8C864" w:rsidR="00F72ED8" w:rsidRPr="007218A5" w:rsidRDefault="00F72ED8" w:rsidP="006A720D">
            <w:pPr>
              <w:pStyle w:val="ListParagraph"/>
              <w:tabs>
                <w:tab w:val="right" w:pos="9340"/>
                <w:tab w:val="right" w:pos="10080"/>
              </w:tabs>
              <w:ind w:left="284" w:right="-57"/>
              <w:jc w:val="both"/>
              <w:rPr>
                <w:bCs w:val="0"/>
                <w:i/>
                <w:sz w:val="18"/>
                <w:szCs w:val="18"/>
              </w:rPr>
            </w:pPr>
            <w:r w:rsidRPr="00F72ED8">
              <w:rPr>
                <w:b/>
                <w:i/>
                <w:sz w:val="18"/>
                <w:szCs w:val="18"/>
              </w:rPr>
              <w:t>201</w:t>
            </w:r>
            <w:r w:rsidR="00DB6422">
              <w:rPr>
                <w:b/>
                <w:i/>
                <w:sz w:val="18"/>
                <w:szCs w:val="18"/>
              </w:rPr>
              <w:t>9</w:t>
            </w:r>
          </w:p>
        </w:tc>
      </w:tr>
      <w:tr w:rsidR="00F72ED8" w:rsidRPr="0013526B" w14:paraId="2BEADB89" w14:textId="77777777" w:rsidTr="00EE78B5">
        <w:trPr>
          <w:gridBefore w:val="1"/>
          <w:wBefore w:w="56" w:type="dxa"/>
        </w:trPr>
        <w:tc>
          <w:tcPr>
            <w:tcW w:w="4598" w:type="dxa"/>
            <w:gridSpan w:val="2"/>
            <w:tcBorders>
              <w:top w:val="nil"/>
              <w:left w:val="nil"/>
              <w:bottom w:val="nil"/>
              <w:right w:val="nil"/>
            </w:tcBorders>
          </w:tcPr>
          <w:p w14:paraId="4BD639B7" w14:textId="77777777" w:rsidR="00F72ED8" w:rsidRPr="0013526B" w:rsidRDefault="00F72ED8" w:rsidP="007A276F">
            <w:pPr>
              <w:pStyle w:val="ListParagraph"/>
              <w:ind w:left="318" w:right="-57"/>
              <w:jc w:val="both"/>
              <w:rPr>
                <w:sz w:val="18"/>
                <w:szCs w:val="18"/>
              </w:rPr>
            </w:pPr>
          </w:p>
        </w:tc>
        <w:tc>
          <w:tcPr>
            <w:tcW w:w="4599" w:type="dxa"/>
            <w:gridSpan w:val="2"/>
            <w:tcBorders>
              <w:top w:val="nil"/>
              <w:left w:val="nil"/>
              <w:bottom w:val="nil"/>
              <w:right w:val="nil"/>
            </w:tcBorders>
          </w:tcPr>
          <w:p w14:paraId="7470F16D" w14:textId="77777777" w:rsidR="00F72ED8" w:rsidRPr="0013526B" w:rsidRDefault="00F72ED8" w:rsidP="006A720D">
            <w:pPr>
              <w:pStyle w:val="ListParagraph"/>
              <w:tabs>
                <w:tab w:val="right" w:pos="9340"/>
                <w:tab w:val="right" w:pos="10080"/>
              </w:tabs>
              <w:ind w:left="284" w:right="-57"/>
              <w:jc w:val="both"/>
              <w:rPr>
                <w:i/>
                <w:sz w:val="18"/>
                <w:szCs w:val="18"/>
              </w:rPr>
            </w:pPr>
          </w:p>
        </w:tc>
      </w:tr>
      <w:tr w:rsidR="00F72ED8" w:rsidRPr="0013526B" w14:paraId="7E006DEF" w14:textId="77777777" w:rsidTr="00EE78B5">
        <w:trPr>
          <w:gridBefore w:val="1"/>
          <w:wBefore w:w="56" w:type="dxa"/>
        </w:trPr>
        <w:tc>
          <w:tcPr>
            <w:tcW w:w="4598" w:type="dxa"/>
            <w:gridSpan w:val="2"/>
            <w:tcBorders>
              <w:top w:val="nil"/>
              <w:left w:val="nil"/>
              <w:bottom w:val="nil"/>
              <w:right w:val="nil"/>
            </w:tcBorders>
          </w:tcPr>
          <w:p w14:paraId="6BF4D0B0" w14:textId="5608FCAE" w:rsidR="00F72ED8" w:rsidRPr="00DB6422" w:rsidRDefault="00F72ED8" w:rsidP="002C6EE3">
            <w:pPr>
              <w:pStyle w:val="ListParagraph"/>
              <w:ind w:left="318" w:right="-57"/>
              <w:jc w:val="both"/>
              <w:rPr>
                <w:sz w:val="18"/>
                <w:szCs w:val="18"/>
              </w:rPr>
            </w:pPr>
            <w:r w:rsidRPr="00DB6422">
              <w:rPr>
                <w:sz w:val="18"/>
                <w:szCs w:val="18"/>
              </w:rPr>
              <w:t xml:space="preserve">Sesuai dengan Rapat Umum Pemegang Saham Tahunan RUPST sebagaimana dituangkan dalam </w:t>
            </w:r>
            <w:proofErr w:type="gramStart"/>
            <w:r w:rsidRPr="00DB6422">
              <w:rPr>
                <w:sz w:val="18"/>
                <w:szCs w:val="18"/>
              </w:rPr>
              <w:t>Akta  No</w:t>
            </w:r>
            <w:proofErr w:type="gramEnd"/>
            <w:r w:rsidRPr="00DB6422">
              <w:rPr>
                <w:sz w:val="18"/>
                <w:szCs w:val="18"/>
              </w:rPr>
              <w:t xml:space="preserve">.  </w:t>
            </w:r>
            <w:proofErr w:type="gramStart"/>
            <w:r w:rsidR="00DB6422">
              <w:rPr>
                <w:sz w:val="18"/>
                <w:szCs w:val="18"/>
              </w:rPr>
              <w:t>2.539</w:t>
            </w:r>
            <w:r w:rsidRPr="00DB6422">
              <w:rPr>
                <w:sz w:val="18"/>
                <w:szCs w:val="18"/>
              </w:rPr>
              <w:t xml:space="preserve">  tanggal</w:t>
            </w:r>
            <w:proofErr w:type="gramEnd"/>
            <w:r w:rsidRPr="00DB6422">
              <w:rPr>
                <w:sz w:val="18"/>
                <w:szCs w:val="18"/>
              </w:rPr>
              <w:t xml:space="preserve">   </w:t>
            </w:r>
            <w:r w:rsidR="00DB6422">
              <w:rPr>
                <w:sz w:val="18"/>
                <w:szCs w:val="18"/>
              </w:rPr>
              <w:t>27 Juli 2019</w:t>
            </w:r>
            <w:r w:rsidRPr="00DB6422">
              <w:rPr>
                <w:sz w:val="18"/>
                <w:szCs w:val="18"/>
              </w:rPr>
              <w:t xml:space="preserve">   dari  Notaris </w:t>
            </w:r>
            <w:r w:rsidR="00DB6422">
              <w:rPr>
                <w:sz w:val="18"/>
                <w:szCs w:val="18"/>
              </w:rPr>
              <w:t>Recky Francky Limpele</w:t>
            </w:r>
            <w:r w:rsidR="00305CA0">
              <w:rPr>
                <w:sz w:val="18"/>
                <w:szCs w:val="18"/>
              </w:rPr>
              <w:t>.</w:t>
            </w:r>
            <w:r w:rsidRPr="00DB6422">
              <w:rPr>
                <w:sz w:val="18"/>
                <w:szCs w:val="18"/>
              </w:rPr>
              <w:t xml:space="preserve"> </w:t>
            </w:r>
            <w:proofErr w:type="gramStart"/>
            <w:r w:rsidRPr="00DB6422">
              <w:rPr>
                <w:sz w:val="18"/>
                <w:szCs w:val="18"/>
              </w:rPr>
              <w:t>S.H.</w:t>
            </w:r>
            <w:r w:rsidR="00305CA0">
              <w:rPr>
                <w:sz w:val="18"/>
                <w:szCs w:val="18"/>
              </w:rPr>
              <w:t>.</w:t>
            </w:r>
            <w:proofErr w:type="gramEnd"/>
            <w:r w:rsidRPr="00DB6422">
              <w:rPr>
                <w:sz w:val="18"/>
                <w:szCs w:val="18"/>
              </w:rPr>
              <w:t xml:space="preserve"> Notaris di Jakarta</w:t>
            </w:r>
            <w:r w:rsidR="00305CA0">
              <w:rPr>
                <w:sz w:val="18"/>
                <w:szCs w:val="18"/>
              </w:rPr>
              <w:t>.</w:t>
            </w:r>
            <w:r w:rsidRPr="00DB6422">
              <w:rPr>
                <w:sz w:val="18"/>
                <w:szCs w:val="18"/>
              </w:rPr>
              <w:t xml:space="preserve"> RUPST telah memutuskan untuk tidak membagikan dividen.</w:t>
            </w:r>
          </w:p>
        </w:tc>
        <w:tc>
          <w:tcPr>
            <w:tcW w:w="4599" w:type="dxa"/>
            <w:gridSpan w:val="2"/>
            <w:tcBorders>
              <w:top w:val="nil"/>
              <w:left w:val="nil"/>
              <w:bottom w:val="nil"/>
              <w:right w:val="nil"/>
            </w:tcBorders>
          </w:tcPr>
          <w:p w14:paraId="29F6D970" w14:textId="3D659B13" w:rsidR="00F72ED8" w:rsidRPr="0013526B" w:rsidRDefault="00F72ED8" w:rsidP="002C6EE3">
            <w:pPr>
              <w:pStyle w:val="ListParagraph"/>
              <w:tabs>
                <w:tab w:val="right" w:pos="9340"/>
                <w:tab w:val="right" w:pos="10080"/>
              </w:tabs>
              <w:ind w:left="284" w:right="-57"/>
              <w:jc w:val="both"/>
              <w:rPr>
                <w:i/>
                <w:sz w:val="18"/>
                <w:szCs w:val="18"/>
              </w:rPr>
            </w:pPr>
            <w:r w:rsidRPr="00DB6422">
              <w:rPr>
                <w:bCs w:val="0"/>
                <w:i/>
                <w:sz w:val="18"/>
                <w:szCs w:val="18"/>
              </w:rPr>
              <w:t xml:space="preserve">In accordance with the Annual General Stockholders’ Meeting AGSM as stated in the Deed   No.   </w:t>
            </w:r>
            <w:r w:rsidR="00DB6422">
              <w:rPr>
                <w:bCs w:val="0"/>
                <w:i/>
                <w:sz w:val="18"/>
                <w:szCs w:val="18"/>
              </w:rPr>
              <w:t>2.539</w:t>
            </w:r>
            <w:r w:rsidRPr="00DB6422">
              <w:rPr>
                <w:bCs w:val="0"/>
                <w:i/>
                <w:sz w:val="18"/>
                <w:szCs w:val="18"/>
              </w:rPr>
              <w:t xml:space="preserve">   dated   </w:t>
            </w:r>
            <w:r w:rsidR="00DB6422">
              <w:rPr>
                <w:bCs w:val="0"/>
                <w:i/>
                <w:sz w:val="18"/>
                <w:szCs w:val="18"/>
              </w:rPr>
              <w:t>July</w:t>
            </w:r>
            <w:r w:rsidR="00F64A5D">
              <w:rPr>
                <w:bCs w:val="0"/>
                <w:i/>
                <w:sz w:val="18"/>
                <w:szCs w:val="18"/>
              </w:rPr>
              <w:t xml:space="preserve"> </w:t>
            </w:r>
            <w:r w:rsidR="00DB6422">
              <w:rPr>
                <w:bCs w:val="0"/>
                <w:i/>
                <w:sz w:val="18"/>
                <w:szCs w:val="18"/>
              </w:rPr>
              <w:t>27</w:t>
            </w:r>
            <w:r w:rsidR="00305CA0">
              <w:rPr>
                <w:bCs w:val="0"/>
                <w:i/>
                <w:sz w:val="18"/>
                <w:szCs w:val="18"/>
              </w:rPr>
              <w:t>.</w:t>
            </w:r>
            <w:r w:rsidR="00F64A5D">
              <w:rPr>
                <w:bCs w:val="0"/>
                <w:i/>
                <w:sz w:val="18"/>
                <w:szCs w:val="18"/>
              </w:rPr>
              <w:t xml:space="preserve"> </w:t>
            </w:r>
            <w:r w:rsidRPr="00DB6422">
              <w:rPr>
                <w:bCs w:val="0"/>
                <w:i/>
                <w:sz w:val="18"/>
                <w:szCs w:val="18"/>
              </w:rPr>
              <w:t>201</w:t>
            </w:r>
            <w:r w:rsidR="00DB6422">
              <w:rPr>
                <w:bCs w:val="0"/>
                <w:i/>
                <w:sz w:val="18"/>
                <w:szCs w:val="18"/>
              </w:rPr>
              <w:t>9</w:t>
            </w:r>
            <w:r w:rsidR="00F64A5D">
              <w:rPr>
                <w:bCs w:val="0"/>
                <w:i/>
                <w:sz w:val="18"/>
                <w:szCs w:val="18"/>
              </w:rPr>
              <w:t xml:space="preserve"> </w:t>
            </w:r>
            <w:r w:rsidRPr="00DB6422">
              <w:rPr>
                <w:bCs w:val="0"/>
                <w:i/>
                <w:sz w:val="18"/>
                <w:szCs w:val="18"/>
              </w:rPr>
              <w:t xml:space="preserve">of Notary </w:t>
            </w:r>
            <w:r w:rsidR="00DB6422">
              <w:rPr>
                <w:bCs w:val="0"/>
                <w:i/>
                <w:sz w:val="18"/>
                <w:szCs w:val="18"/>
              </w:rPr>
              <w:t>Recky Francky Limpele</w:t>
            </w:r>
            <w:r w:rsidR="00305CA0">
              <w:rPr>
                <w:bCs w:val="0"/>
                <w:i/>
                <w:sz w:val="18"/>
                <w:szCs w:val="18"/>
              </w:rPr>
              <w:t>.</w:t>
            </w:r>
            <w:r w:rsidRPr="00DB6422">
              <w:rPr>
                <w:bCs w:val="0"/>
                <w:i/>
                <w:sz w:val="18"/>
                <w:szCs w:val="18"/>
              </w:rPr>
              <w:t xml:space="preserve"> </w:t>
            </w:r>
            <w:proofErr w:type="gramStart"/>
            <w:r w:rsidRPr="00DB6422">
              <w:rPr>
                <w:bCs w:val="0"/>
                <w:i/>
                <w:sz w:val="18"/>
                <w:szCs w:val="18"/>
              </w:rPr>
              <w:t>S.H.</w:t>
            </w:r>
            <w:r w:rsidR="00305CA0">
              <w:rPr>
                <w:bCs w:val="0"/>
                <w:i/>
                <w:sz w:val="18"/>
                <w:szCs w:val="18"/>
              </w:rPr>
              <w:t>.</w:t>
            </w:r>
            <w:proofErr w:type="gramEnd"/>
            <w:r w:rsidRPr="00DB6422">
              <w:rPr>
                <w:bCs w:val="0"/>
                <w:i/>
                <w:sz w:val="18"/>
                <w:szCs w:val="18"/>
              </w:rPr>
              <w:t xml:space="preserve"> Notary in Jakarta</w:t>
            </w:r>
            <w:r w:rsidR="00305CA0">
              <w:rPr>
                <w:bCs w:val="0"/>
                <w:i/>
                <w:sz w:val="18"/>
                <w:szCs w:val="18"/>
              </w:rPr>
              <w:t>.</w:t>
            </w:r>
            <w:r w:rsidRPr="00DB6422">
              <w:rPr>
                <w:bCs w:val="0"/>
                <w:i/>
                <w:sz w:val="18"/>
                <w:szCs w:val="18"/>
              </w:rPr>
              <w:t xml:space="preserve"> </w:t>
            </w:r>
            <w:proofErr w:type="gramStart"/>
            <w:r w:rsidRPr="00DB6422">
              <w:rPr>
                <w:bCs w:val="0"/>
                <w:i/>
                <w:sz w:val="18"/>
                <w:szCs w:val="18"/>
              </w:rPr>
              <w:t>the</w:t>
            </w:r>
            <w:proofErr w:type="gramEnd"/>
            <w:r w:rsidRPr="00DB6422">
              <w:rPr>
                <w:bCs w:val="0"/>
                <w:i/>
                <w:sz w:val="18"/>
                <w:szCs w:val="18"/>
              </w:rPr>
              <w:t xml:space="preserve"> stockholders have approved not to distribut</w:t>
            </w:r>
            <w:r w:rsidR="00DB6422">
              <w:rPr>
                <w:bCs w:val="0"/>
                <w:i/>
                <w:sz w:val="18"/>
                <w:szCs w:val="18"/>
              </w:rPr>
              <w:t>e</w:t>
            </w:r>
            <w:r w:rsidRPr="00DB6422">
              <w:rPr>
                <w:bCs w:val="0"/>
                <w:i/>
                <w:sz w:val="18"/>
                <w:szCs w:val="18"/>
              </w:rPr>
              <w:t xml:space="preserve"> dividends.</w:t>
            </w:r>
          </w:p>
        </w:tc>
      </w:tr>
      <w:tr w:rsidR="00F72ED8" w:rsidRPr="0013526B" w14:paraId="5BADEF5B" w14:textId="77777777" w:rsidTr="00EE78B5">
        <w:trPr>
          <w:gridBefore w:val="1"/>
          <w:wBefore w:w="56" w:type="dxa"/>
        </w:trPr>
        <w:tc>
          <w:tcPr>
            <w:tcW w:w="4598" w:type="dxa"/>
            <w:gridSpan w:val="2"/>
            <w:tcBorders>
              <w:top w:val="nil"/>
              <w:left w:val="nil"/>
              <w:bottom w:val="nil"/>
              <w:right w:val="nil"/>
            </w:tcBorders>
          </w:tcPr>
          <w:p w14:paraId="71865844" w14:textId="77777777" w:rsidR="00F72ED8" w:rsidRPr="0013526B" w:rsidRDefault="00F72ED8" w:rsidP="006A720D">
            <w:pPr>
              <w:pStyle w:val="ListParagraph"/>
              <w:ind w:left="284" w:right="-57"/>
              <w:jc w:val="both"/>
              <w:rPr>
                <w:sz w:val="16"/>
                <w:szCs w:val="18"/>
              </w:rPr>
            </w:pPr>
          </w:p>
        </w:tc>
        <w:tc>
          <w:tcPr>
            <w:tcW w:w="4599" w:type="dxa"/>
            <w:gridSpan w:val="2"/>
            <w:tcBorders>
              <w:top w:val="nil"/>
              <w:left w:val="nil"/>
              <w:bottom w:val="nil"/>
              <w:right w:val="nil"/>
            </w:tcBorders>
          </w:tcPr>
          <w:p w14:paraId="49F51EDD" w14:textId="77777777" w:rsidR="00F72ED8" w:rsidRPr="0013526B" w:rsidRDefault="00F72ED8" w:rsidP="006A720D">
            <w:pPr>
              <w:pStyle w:val="ListParagraph"/>
              <w:tabs>
                <w:tab w:val="right" w:pos="9340"/>
                <w:tab w:val="right" w:pos="10080"/>
              </w:tabs>
              <w:ind w:left="284" w:right="-57"/>
              <w:jc w:val="both"/>
              <w:rPr>
                <w:i/>
                <w:sz w:val="16"/>
                <w:szCs w:val="18"/>
              </w:rPr>
            </w:pPr>
          </w:p>
        </w:tc>
      </w:tr>
    </w:tbl>
    <w:p w14:paraId="7F0332BC" w14:textId="4295128E" w:rsidR="007413EB" w:rsidRDefault="007413EB" w:rsidP="00A25F1D">
      <w:pPr>
        <w:rPr>
          <w:sz w:val="12"/>
          <w:szCs w:val="18"/>
        </w:rPr>
      </w:pPr>
    </w:p>
    <w:p w14:paraId="6BF5B4CA" w14:textId="6F7F39B6" w:rsidR="00EE78B5" w:rsidRDefault="00EE78B5" w:rsidP="00A25F1D">
      <w:pPr>
        <w:rPr>
          <w:sz w:val="12"/>
          <w:szCs w:val="18"/>
        </w:rPr>
      </w:pPr>
    </w:p>
    <w:p w14:paraId="7ED5F5B2" w14:textId="6B678710" w:rsidR="00EE78B5" w:rsidRDefault="00EE78B5" w:rsidP="00A25F1D">
      <w:pPr>
        <w:rPr>
          <w:sz w:val="12"/>
          <w:szCs w:val="18"/>
        </w:rPr>
      </w:pPr>
    </w:p>
    <w:p w14:paraId="7DB55823" w14:textId="727A7E25" w:rsidR="00EE78B5" w:rsidRDefault="00EE78B5" w:rsidP="00A25F1D">
      <w:pPr>
        <w:rPr>
          <w:sz w:val="12"/>
          <w:szCs w:val="18"/>
        </w:rPr>
      </w:pPr>
    </w:p>
    <w:p w14:paraId="60464D99" w14:textId="304F1CBA" w:rsidR="00EE78B5" w:rsidRDefault="00EE78B5" w:rsidP="00A25F1D">
      <w:pPr>
        <w:rPr>
          <w:sz w:val="12"/>
          <w:szCs w:val="18"/>
        </w:rPr>
      </w:pPr>
    </w:p>
    <w:p w14:paraId="660DEAF4" w14:textId="44B4F087" w:rsidR="00EE78B5" w:rsidRDefault="00EE78B5" w:rsidP="00A25F1D">
      <w:pPr>
        <w:rPr>
          <w:sz w:val="12"/>
          <w:szCs w:val="18"/>
        </w:rPr>
      </w:pPr>
    </w:p>
    <w:p w14:paraId="6C7C56DD" w14:textId="79522D52" w:rsidR="00EE78B5" w:rsidRDefault="00EE78B5" w:rsidP="00A25F1D">
      <w:pPr>
        <w:rPr>
          <w:sz w:val="12"/>
          <w:szCs w:val="18"/>
        </w:rPr>
      </w:pPr>
    </w:p>
    <w:p w14:paraId="60A196B4" w14:textId="6654AAEA" w:rsidR="00EE78B5" w:rsidRDefault="00EE78B5" w:rsidP="00A25F1D">
      <w:pPr>
        <w:rPr>
          <w:sz w:val="12"/>
          <w:szCs w:val="18"/>
        </w:rPr>
      </w:pPr>
    </w:p>
    <w:p w14:paraId="592DB7EF" w14:textId="0385364E" w:rsidR="00EE78B5" w:rsidRDefault="00EE78B5" w:rsidP="00A25F1D">
      <w:pPr>
        <w:rPr>
          <w:sz w:val="12"/>
          <w:szCs w:val="18"/>
        </w:rPr>
      </w:pPr>
    </w:p>
    <w:p w14:paraId="288106D5" w14:textId="15A1F737" w:rsidR="00EE78B5" w:rsidRDefault="00EE78B5" w:rsidP="00A25F1D">
      <w:pPr>
        <w:rPr>
          <w:sz w:val="12"/>
          <w:szCs w:val="18"/>
        </w:rPr>
      </w:pPr>
    </w:p>
    <w:p w14:paraId="0195BC7F" w14:textId="2150872E" w:rsidR="00EE78B5" w:rsidRDefault="00EE78B5" w:rsidP="00A25F1D">
      <w:pPr>
        <w:rPr>
          <w:sz w:val="12"/>
          <w:szCs w:val="18"/>
        </w:rPr>
      </w:pPr>
    </w:p>
    <w:p w14:paraId="295EC1FC" w14:textId="3E50DFDC" w:rsidR="00EE78B5" w:rsidRDefault="00EE78B5" w:rsidP="00A25F1D">
      <w:pPr>
        <w:rPr>
          <w:sz w:val="12"/>
          <w:szCs w:val="18"/>
        </w:rPr>
      </w:pPr>
    </w:p>
    <w:p w14:paraId="3FA8C15B" w14:textId="5B622B85" w:rsidR="00EE78B5" w:rsidRDefault="00EE78B5" w:rsidP="00A25F1D">
      <w:pPr>
        <w:rPr>
          <w:sz w:val="12"/>
          <w:szCs w:val="18"/>
        </w:rPr>
      </w:pPr>
    </w:p>
    <w:p w14:paraId="602C74CA" w14:textId="752DD890" w:rsidR="00EE78B5" w:rsidRDefault="00EE78B5" w:rsidP="00A25F1D">
      <w:pPr>
        <w:rPr>
          <w:sz w:val="12"/>
          <w:szCs w:val="18"/>
        </w:rPr>
      </w:pPr>
    </w:p>
    <w:p w14:paraId="7ADA04F2" w14:textId="3F107A37" w:rsidR="00EE78B5" w:rsidRDefault="00EE78B5" w:rsidP="00A25F1D">
      <w:pPr>
        <w:rPr>
          <w:sz w:val="12"/>
          <w:szCs w:val="18"/>
        </w:rPr>
      </w:pPr>
    </w:p>
    <w:p w14:paraId="762D73DB" w14:textId="6B1ECDBB" w:rsidR="00EE78B5" w:rsidRDefault="00EE78B5" w:rsidP="00A25F1D">
      <w:pPr>
        <w:rPr>
          <w:sz w:val="12"/>
          <w:szCs w:val="18"/>
        </w:rPr>
      </w:pPr>
    </w:p>
    <w:p w14:paraId="17C77925" w14:textId="43F3CEE2" w:rsidR="00EE78B5" w:rsidRDefault="00EE78B5" w:rsidP="00A25F1D">
      <w:pPr>
        <w:rPr>
          <w:sz w:val="12"/>
          <w:szCs w:val="18"/>
        </w:rPr>
      </w:pPr>
    </w:p>
    <w:p w14:paraId="7B547C67" w14:textId="71A9B581" w:rsidR="00EE78B5" w:rsidRDefault="00EE78B5" w:rsidP="00A25F1D">
      <w:pPr>
        <w:rPr>
          <w:sz w:val="12"/>
          <w:szCs w:val="18"/>
        </w:rPr>
      </w:pPr>
    </w:p>
    <w:p w14:paraId="16A4FF24" w14:textId="265C6D89" w:rsidR="00EE78B5" w:rsidRDefault="00EE78B5" w:rsidP="00A25F1D">
      <w:pPr>
        <w:rPr>
          <w:sz w:val="12"/>
          <w:szCs w:val="18"/>
        </w:rPr>
      </w:pPr>
    </w:p>
    <w:p w14:paraId="42E2D778" w14:textId="2B796379" w:rsidR="00EE78B5" w:rsidRDefault="00EE78B5" w:rsidP="00A25F1D">
      <w:pPr>
        <w:rPr>
          <w:sz w:val="12"/>
          <w:szCs w:val="18"/>
        </w:rPr>
      </w:pPr>
    </w:p>
    <w:p w14:paraId="6AE9D8B8" w14:textId="6A8B80B6" w:rsidR="00EE78B5" w:rsidRDefault="00EE78B5" w:rsidP="00A25F1D">
      <w:pPr>
        <w:rPr>
          <w:sz w:val="12"/>
          <w:szCs w:val="18"/>
        </w:rPr>
      </w:pPr>
    </w:p>
    <w:p w14:paraId="04D5B564" w14:textId="3ED61783" w:rsidR="00EE78B5" w:rsidRDefault="00EE78B5" w:rsidP="00A25F1D">
      <w:pPr>
        <w:rPr>
          <w:sz w:val="12"/>
          <w:szCs w:val="18"/>
        </w:rPr>
      </w:pPr>
    </w:p>
    <w:p w14:paraId="3650CFB0" w14:textId="323AEB5A" w:rsidR="00EE78B5" w:rsidRDefault="00EE78B5" w:rsidP="00A25F1D">
      <w:pPr>
        <w:rPr>
          <w:sz w:val="12"/>
          <w:szCs w:val="18"/>
        </w:rPr>
      </w:pPr>
    </w:p>
    <w:p w14:paraId="1963A5F4" w14:textId="40840A58" w:rsidR="00EE78B5" w:rsidRDefault="00EE78B5" w:rsidP="00A25F1D">
      <w:pPr>
        <w:rPr>
          <w:sz w:val="12"/>
          <w:szCs w:val="18"/>
        </w:rPr>
      </w:pPr>
    </w:p>
    <w:p w14:paraId="248DA238" w14:textId="591AFD43" w:rsidR="00EE78B5" w:rsidRDefault="00EE78B5" w:rsidP="00A25F1D">
      <w:pPr>
        <w:rPr>
          <w:sz w:val="12"/>
          <w:szCs w:val="18"/>
        </w:rPr>
      </w:pPr>
    </w:p>
    <w:p w14:paraId="7B72E18E" w14:textId="77777777" w:rsidR="00EE78B5" w:rsidRPr="007A276F" w:rsidRDefault="00EE78B5" w:rsidP="00A25F1D">
      <w:pPr>
        <w:rPr>
          <w:sz w:val="12"/>
          <w:szCs w:val="18"/>
        </w:rPr>
      </w:pPr>
    </w:p>
    <w:tbl>
      <w:tblPr>
        <w:tblW w:w="9197" w:type="dxa"/>
        <w:tblInd w:w="406" w:type="dxa"/>
        <w:tblLayout w:type="fixed"/>
        <w:tblLook w:val="0000" w:firstRow="0" w:lastRow="0" w:firstColumn="0" w:lastColumn="0" w:noHBand="0" w:noVBand="0"/>
      </w:tblPr>
      <w:tblGrid>
        <w:gridCol w:w="4598"/>
        <w:gridCol w:w="4599"/>
      </w:tblGrid>
      <w:tr w:rsidR="007A276F" w:rsidRPr="0053621E" w14:paraId="514862A4" w14:textId="77777777" w:rsidTr="002108FF">
        <w:tc>
          <w:tcPr>
            <w:tcW w:w="4598" w:type="dxa"/>
            <w:tcBorders>
              <w:top w:val="nil"/>
              <w:left w:val="nil"/>
              <w:bottom w:val="nil"/>
              <w:right w:val="nil"/>
            </w:tcBorders>
          </w:tcPr>
          <w:p w14:paraId="1F297211" w14:textId="5C2474D7" w:rsidR="007A276F" w:rsidRPr="0053621E" w:rsidRDefault="007A276F" w:rsidP="00070D1F">
            <w:pPr>
              <w:numPr>
                <w:ilvl w:val="0"/>
                <w:numId w:val="390"/>
              </w:numPr>
              <w:jc w:val="both"/>
              <w:rPr>
                <w:b/>
                <w:bCs w:val="0"/>
                <w:sz w:val="18"/>
                <w:szCs w:val="18"/>
              </w:rPr>
            </w:pPr>
            <w:r w:rsidRPr="0053621E">
              <w:rPr>
                <w:b/>
                <w:bCs w:val="0"/>
                <w:sz w:val="18"/>
                <w:szCs w:val="18"/>
              </w:rPr>
              <w:lastRenderedPageBreak/>
              <w:t>KEPENTINGAN NON-PENGENDALI</w:t>
            </w:r>
          </w:p>
        </w:tc>
        <w:tc>
          <w:tcPr>
            <w:tcW w:w="4599" w:type="dxa"/>
            <w:tcBorders>
              <w:top w:val="nil"/>
              <w:left w:val="nil"/>
              <w:bottom w:val="nil"/>
              <w:right w:val="nil"/>
            </w:tcBorders>
          </w:tcPr>
          <w:p w14:paraId="1409A695" w14:textId="29966E43" w:rsidR="007A276F" w:rsidRPr="0053621E" w:rsidRDefault="007A276F" w:rsidP="00070D1F">
            <w:pPr>
              <w:numPr>
                <w:ilvl w:val="0"/>
                <w:numId w:val="376"/>
              </w:numPr>
              <w:jc w:val="both"/>
              <w:rPr>
                <w:b/>
                <w:bCs w:val="0"/>
                <w:i/>
                <w:iCs/>
                <w:sz w:val="18"/>
                <w:szCs w:val="18"/>
              </w:rPr>
            </w:pPr>
            <w:r w:rsidRPr="0053621E">
              <w:rPr>
                <w:b/>
                <w:bCs w:val="0"/>
                <w:i/>
                <w:iCs/>
                <w:sz w:val="18"/>
                <w:szCs w:val="18"/>
              </w:rPr>
              <w:t>NON-CONTROLLING INTEREST</w:t>
            </w:r>
          </w:p>
        </w:tc>
      </w:tr>
      <w:tr w:rsidR="007A276F" w:rsidRPr="0053621E" w14:paraId="001782EA" w14:textId="77777777" w:rsidTr="002108FF">
        <w:tc>
          <w:tcPr>
            <w:tcW w:w="4598" w:type="dxa"/>
            <w:tcBorders>
              <w:top w:val="nil"/>
              <w:left w:val="nil"/>
              <w:bottom w:val="nil"/>
              <w:right w:val="nil"/>
            </w:tcBorders>
          </w:tcPr>
          <w:p w14:paraId="60FD167A" w14:textId="77777777" w:rsidR="007A276F" w:rsidRPr="0053621E" w:rsidRDefault="007A276F" w:rsidP="006A720D">
            <w:pPr>
              <w:pStyle w:val="ListParagraph"/>
              <w:ind w:left="318" w:right="-57"/>
              <w:jc w:val="both"/>
              <w:rPr>
                <w:sz w:val="18"/>
                <w:szCs w:val="18"/>
              </w:rPr>
            </w:pPr>
          </w:p>
        </w:tc>
        <w:tc>
          <w:tcPr>
            <w:tcW w:w="4599" w:type="dxa"/>
            <w:tcBorders>
              <w:top w:val="nil"/>
              <w:left w:val="nil"/>
              <w:bottom w:val="nil"/>
              <w:right w:val="nil"/>
            </w:tcBorders>
          </w:tcPr>
          <w:p w14:paraId="68542B8C" w14:textId="77777777" w:rsidR="007A276F" w:rsidRPr="0053621E" w:rsidRDefault="007A276F" w:rsidP="006A720D">
            <w:pPr>
              <w:pStyle w:val="ListParagraph"/>
              <w:tabs>
                <w:tab w:val="right" w:pos="9340"/>
                <w:tab w:val="right" w:pos="10080"/>
              </w:tabs>
              <w:ind w:left="289" w:right="-57"/>
              <w:jc w:val="both"/>
              <w:rPr>
                <w:b/>
                <w:i/>
                <w:sz w:val="18"/>
                <w:szCs w:val="18"/>
              </w:rPr>
            </w:pPr>
          </w:p>
        </w:tc>
      </w:tr>
      <w:tr w:rsidR="007A276F" w:rsidRPr="0053621E" w14:paraId="0712FCE6" w14:textId="77777777" w:rsidTr="002108FF">
        <w:tc>
          <w:tcPr>
            <w:tcW w:w="4598" w:type="dxa"/>
            <w:tcBorders>
              <w:top w:val="nil"/>
              <w:left w:val="nil"/>
              <w:bottom w:val="nil"/>
              <w:right w:val="nil"/>
            </w:tcBorders>
          </w:tcPr>
          <w:p w14:paraId="2105F173" w14:textId="183C7D10" w:rsidR="007A276F" w:rsidRPr="0053621E" w:rsidRDefault="007A276F" w:rsidP="007A276F">
            <w:pPr>
              <w:pStyle w:val="ListParagraph"/>
              <w:ind w:left="318" w:right="-57"/>
              <w:jc w:val="both"/>
              <w:rPr>
                <w:b/>
                <w:sz w:val="18"/>
                <w:szCs w:val="18"/>
              </w:rPr>
            </w:pPr>
            <w:r w:rsidRPr="0053621E">
              <w:rPr>
                <w:sz w:val="18"/>
                <w:szCs w:val="18"/>
              </w:rPr>
              <w:t>Akun ini merupakan bagian kepentingan non-pengendali atas aset bersih dan rugi bersih entitas anak dengan rincian sebagai berikut:</w:t>
            </w:r>
          </w:p>
        </w:tc>
        <w:tc>
          <w:tcPr>
            <w:tcW w:w="4599" w:type="dxa"/>
            <w:tcBorders>
              <w:top w:val="nil"/>
              <w:left w:val="nil"/>
              <w:bottom w:val="nil"/>
              <w:right w:val="nil"/>
            </w:tcBorders>
          </w:tcPr>
          <w:p w14:paraId="7C0C8338" w14:textId="123EED1E" w:rsidR="007A276F" w:rsidRPr="0053621E" w:rsidRDefault="007A276F" w:rsidP="006A720D">
            <w:pPr>
              <w:pStyle w:val="ListParagraph"/>
              <w:tabs>
                <w:tab w:val="right" w:pos="9340"/>
                <w:tab w:val="right" w:pos="10080"/>
              </w:tabs>
              <w:ind w:left="284" w:right="-57"/>
              <w:jc w:val="both"/>
              <w:rPr>
                <w:bCs w:val="0"/>
                <w:i/>
                <w:sz w:val="18"/>
                <w:szCs w:val="18"/>
              </w:rPr>
            </w:pPr>
            <w:r w:rsidRPr="0053621E">
              <w:rPr>
                <w:bCs w:val="0"/>
                <w:i/>
                <w:sz w:val="18"/>
                <w:szCs w:val="18"/>
              </w:rPr>
              <w:t>This account represents the share of non- controlling interest in the net assets and net loss of the subsidiaries with details as follows:</w:t>
            </w:r>
          </w:p>
        </w:tc>
      </w:tr>
    </w:tbl>
    <w:p w14:paraId="054D9D24" w14:textId="380FECB5" w:rsidR="007413EB" w:rsidRPr="0053621E" w:rsidRDefault="007413EB" w:rsidP="007A276F">
      <w:pPr>
        <w:jc w:val="both"/>
        <w:rPr>
          <w:sz w:val="12"/>
          <w:szCs w:val="18"/>
        </w:rPr>
      </w:pPr>
    </w:p>
    <w:p w14:paraId="2231EF3A" w14:textId="77777777" w:rsidR="001308CC" w:rsidRPr="0053621E" w:rsidRDefault="001308CC" w:rsidP="007A276F">
      <w:pPr>
        <w:jc w:val="both"/>
        <w:rPr>
          <w:sz w:val="12"/>
          <w:szCs w:val="18"/>
        </w:rPr>
      </w:pPr>
    </w:p>
    <w:tbl>
      <w:tblPr>
        <w:tblW w:w="9214" w:type="dxa"/>
        <w:tblInd w:w="392" w:type="dxa"/>
        <w:tblCellMar>
          <w:left w:w="0" w:type="dxa"/>
          <w:right w:w="0" w:type="dxa"/>
        </w:tblCellMar>
        <w:tblLook w:val="04A0" w:firstRow="1" w:lastRow="0" w:firstColumn="1" w:lastColumn="0" w:noHBand="0" w:noVBand="1"/>
      </w:tblPr>
      <w:tblGrid>
        <w:gridCol w:w="2065"/>
        <w:gridCol w:w="1054"/>
        <w:gridCol w:w="142"/>
        <w:gridCol w:w="850"/>
        <w:gridCol w:w="142"/>
        <w:gridCol w:w="992"/>
        <w:gridCol w:w="142"/>
        <w:gridCol w:w="992"/>
        <w:gridCol w:w="142"/>
        <w:gridCol w:w="992"/>
        <w:gridCol w:w="1701"/>
      </w:tblGrid>
      <w:tr w:rsidR="00CF5200" w:rsidRPr="0053621E" w14:paraId="61354FCC" w14:textId="77777777" w:rsidTr="002108FF">
        <w:tc>
          <w:tcPr>
            <w:tcW w:w="2065" w:type="dxa"/>
            <w:shd w:val="clear" w:color="auto" w:fill="auto"/>
            <w:vAlign w:val="bottom"/>
          </w:tcPr>
          <w:p w14:paraId="1002D189" w14:textId="77777777" w:rsidR="00CF5200" w:rsidRPr="0053621E" w:rsidRDefault="00CF5200" w:rsidP="006A720D">
            <w:pPr>
              <w:ind w:left="175"/>
              <w:rPr>
                <w:sz w:val="18"/>
                <w:szCs w:val="18"/>
              </w:rPr>
            </w:pPr>
          </w:p>
        </w:tc>
        <w:tc>
          <w:tcPr>
            <w:tcW w:w="1054" w:type="dxa"/>
            <w:tcBorders>
              <w:bottom w:val="single" w:sz="4" w:space="0" w:color="auto"/>
            </w:tcBorders>
            <w:shd w:val="clear" w:color="auto" w:fill="auto"/>
          </w:tcPr>
          <w:p w14:paraId="70AE58CF" w14:textId="77777777" w:rsidR="00CF5200" w:rsidRPr="0053621E" w:rsidRDefault="00CF5200" w:rsidP="006A720D">
            <w:pPr>
              <w:jc w:val="center"/>
              <w:rPr>
                <w:b/>
                <w:sz w:val="14"/>
                <w:szCs w:val="14"/>
              </w:rPr>
            </w:pPr>
          </w:p>
          <w:p w14:paraId="6B91EBDE" w14:textId="77777777" w:rsidR="00CF5200" w:rsidRPr="0053621E" w:rsidRDefault="00CF5200" w:rsidP="006A720D">
            <w:pPr>
              <w:jc w:val="center"/>
              <w:rPr>
                <w:b/>
                <w:sz w:val="14"/>
                <w:szCs w:val="14"/>
              </w:rPr>
            </w:pPr>
          </w:p>
          <w:p w14:paraId="572D3D86" w14:textId="1E654B64" w:rsidR="00CF5200" w:rsidRPr="0053621E" w:rsidRDefault="00CF5200" w:rsidP="00EF4ED1">
            <w:pPr>
              <w:jc w:val="center"/>
              <w:rPr>
                <w:b/>
                <w:sz w:val="14"/>
                <w:szCs w:val="14"/>
              </w:rPr>
            </w:pPr>
            <w:r w:rsidRPr="0053621E">
              <w:rPr>
                <w:b/>
                <w:sz w:val="14"/>
                <w:szCs w:val="14"/>
              </w:rPr>
              <w:t>Saldo 1 Januari 20</w:t>
            </w:r>
            <w:r w:rsidR="00EF4ED1" w:rsidRPr="0053621E">
              <w:rPr>
                <w:b/>
                <w:sz w:val="14"/>
                <w:szCs w:val="14"/>
              </w:rPr>
              <w:t>20</w:t>
            </w:r>
            <w:r w:rsidRPr="0053621E">
              <w:rPr>
                <w:b/>
                <w:sz w:val="14"/>
                <w:szCs w:val="14"/>
              </w:rPr>
              <w:t>/</w:t>
            </w:r>
            <w:r w:rsidRPr="0053621E">
              <w:rPr>
                <w:b/>
                <w:sz w:val="14"/>
                <w:szCs w:val="14"/>
              </w:rPr>
              <w:br/>
            </w:r>
            <w:r w:rsidRPr="0053621E">
              <w:rPr>
                <w:b/>
                <w:i/>
                <w:sz w:val="14"/>
                <w:szCs w:val="14"/>
              </w:rPr>
              <w:t>Balance as of January 1</w:t>
            </w:r>
            <w:r w:rsidR="00305CA0" w:rsidRPr="0053621E">
              <w:rPr>
                <w:b/>
                <w:i/>
                <w:sz w:val="14"/>
                <w:szCs w:val="14"/>
              </w:rPr>
              <w:t>.</w:t>
            </w:r>
            <w:r w:rsidRPr="0053621E">
              <w:rPr>
                <w:b/>
                <w:i/>
                <w:sz w:val="14"/>
                <w:szCs w:val="14"/>
              </w:rPr>
              <w:t xml:space="preserve"> 20</w:t>
            </w:r>
            <w:r w:rsidR="00EF4ED1" w:rsidRPr="0053621E">
              <w:rPr>
                <w:b/>
                <w:i/>
                <w:sz w:val="14"/>
                <w:szCs w:val="14"/>
              </w:rPr>
              <w:t>20</w:t>
            </w:r>
          </w:p>
        </w:tc>
        <w:tc>
          <w:tcPr>
            <w:tcW w:w="142" w:type="dxa"/>
            <w:shd w:val="clear" w:color="auto" w:fill="auto"/>
          </w:tcPr>
          <w:p w14:paraId="7D9E25D4" w14:textId="77777777" w:rsidR="00CF5200" w:rsidRPr="0053621E" w:rsidRDefault="00CF5200" w:rsidP="006A720D">
            <w:pPr>
              <w:jc w:val="center"/>
              <w:rPr>
                <w:b/>
                <w:sz w:val="18"/>
                <w:szCs w:val="18"/>
              </w:rPr>
            </w:pPr>
          </w:p>
        </w:tc>
        <w:tc>
          <w:tcPr>
            <w:tcW w:w="850" w:type="dxa"/>
            <w:tcBorders>
              <w:bottom w:val="single" w:sz="4" w:space="0" w:color="auto"/>
            </w:tcBorders>
            <w:vAlign w:val="bottom"/>
          </w:tcPr>
          <w:p w14:paraId="371E224A" w14:textId="577F3907" w:rsidR="00CF5200" w:rsidRPr="0053621E" w:rsidRDefault="00CF5200" w:rsidP="00A24EFC">
            <w:pPr>
              <w:jc w:val="center"/>
              <w:rPr>
                <w:b/>
                <w:i/>
                <w:sz w:val="14"/>
                <w:szCs w:val="14"/>
              </w:rPr>
            </w:pPr>
            <w:r w:rsidRPr="0053621E">
              <w:rPr>
                <w:b/>
                <w:sz w:val="14"/>
                <w:szCs w:val="14"/>
              </w:rPr>
              <w:t xml:space="preserve">Bagian atas laba rugi neto/ </w:t>
            </w:r>
            <w:r w:rsidRPr="0053621E">
              <w:rPr>
                <w:b/>
                <w:sz w:val="14"/>
                <w:szCs w:val="14"/>
              </w:rPr>
              <w:br/>
            </w:r>
            <w:r w:rsidRPr="0053621E">
              <w:rPr>
                <w:b/>
                <w:i/>
                <w:sz w:val="14"/>
                <w:szCs w:val="14"/>
              </w:rPr>
              <w:t>Share in net profit loss</w:t>
            </w:r>
          </w:p>
        </w:tc>
        <w:tc>
          <w:tcPr>
            <w:tcW w:w="142" w:type="dxa"/>
          </w:tcPr>
          <w:p w14:paraId="0AB41473" w14:textId="77777777" w:rsidR="00CF5200" w:rsidRPr="0053621E" w:rsidRDefault="00CF5200" w:rsidP="006A720D">
            <w:pPr>
              <w:jc w:val="right"/>
              <w:rPr>
                <w:sz w:val="14"/>
                <w:szCs w:val="14"/>
              </w:rPr>
            </w:pPr>
          </w:p>
        </w:tc>
        <w:tc>
          <w:tcPr>
            <w:tcW w:w="992" w:type="dxa"/>
            <w:tcBorders>
              <w:bottom w:val="single" w:sz="4" w:space="0" w:color="auto"/>
            </w:tcBorders>
          </w:tcPr>
          <w:p w14:paraId="3FEFE386" w14:textId="77777777" w:rsidR="00CF5200" w:rsidRPr="0053621E" w:rsidRDefault="00CF5200" w:rsidP="00CF5200">
            <w:pPr>
              <w:jc w:val="center"/>
              <w:rPr>
                <w:b/>
                <w:sz w:val="14"/>
                <w:szCs w:val="14"/>
              </w:rPr>
            </w:pPr>
            <w:r w:rsidRPr="0053621E">
              <w:rPr>
                <w:b/>
                <w:sz w:val="14"/>
                <w:szCs w:val="14"/>
              </w:rPr>
              <w:t xml:space="preserve">Penghasilan komprehensif lain/ </w:t>
            </w:r>
          </w:p>
          <w:p w14:paraId="46927785" w14:textId="385E3A39" w:rsidR="00CF5200" w:rsidRPr="0053621E" w:rsidRDefault="00CF5200" w:rsidP="00CF5200">
            <w:pPr>
              <w:jc w:val="center"/>
              <w:rPr>
                <w:b/>
                <w:i/>
                <w:sz w:val="14"/>
                <w:szCs w:val="14"/>
              </w:rPr>
            </w:pPr>
            <w:r w:rsidRPr="0053621E">
              <w:rPr>
                <w:b/>
                <w:i/>
                <w:sz w:val="14"/>
                <w:szCs w:val="14"/>
              </w:rPr>
              <w:t xml:space="preserve">Other comprehensive income </w:t>
            </w:r>
          </w:p>
        </w:tc>
        <w:tc>
          <w:tcPr>
            <w:tcW w:w="142" w:type="dxa"/>
          </w:tcPr>
          <w:p w14:paraId="24BD1F66" w14:textId="77777777" w:rsidR="00CF5200" w:rsidRPr="0053621E" w:rsidRDefault="00CF5200" w:rsidP="006A720D">
            <w:pPr>
              <w:jc w:val="right"/>
              <w:rPr>
                <w:sz w:val="14"/>
                <w:szCs w:val="14"/>
              </w:rPr>
            </w:pPr>
          </w:p>
        </w:tc>
        <w:tc>
          <w:tcPr>
            <w:tcW w:w="992" w:type="dxa"/>
            <w:tcBorders>
              <w:bottom w:val="single" w:sz="4" w:space="0" w:color="auto"/>
            </w:tcBorders>
            <w:vAlign w:val="bottom"/>
          </w:tcPr>
          <w:p w14:paraId="6135C086" w14:textId="77777777" w:rsidR="00CF5200" w:rsidRPr="0053621E" w:rsidRDefault="00CF5200" w:rsidP="00A24EFC">
            <w:pPr>
              <w:jc w:val="center"/>
              <w:rPr>
                <w:b/>
                <w:sz w:val="14"/>
                <w:szCs w:val="14"/>
              </w:rPr>
            </w:pPr>
          </w:p>
          <w:p w14:paraId="066A5929" w14:textId="68821392" w:rsidR="00CF5200" w:rsidRPr="0053621E" w:rsidRDefault="00CF5200" w:rsidP="00A24EFC">
            <w:pPr>
              <w:jc w:val="center"/>
              <w:rPr>
                <w:b/>
                <w:sz w:val="14"/>
                <w:szCs w:val="14"/>
              </w:rPr>
            </w:pPr>
            <w:r w:rsidRPr="0053621E">
              <w:rPr>
                <w:b/>
                <w:sz w:val="14"/>
                <w:szCs w:val="14"/>
              </w:rPr>
              <w:t>Tambahan modal disetor/</w:t>
            </w:r>
            <w:r w:rsidRPr="0053621E">
              <w:rPr>
                <w:b/>
                <w:sz w:val="14"/>
                <w:szCs w:val="14"/>
              </w:rPr>
              <w:br/>
            </w:r>
            <w:r w:rsidRPr="0053621E">
              <w:rPr>
                <w:b/>
                <w:i/>
                <w:sz w:val="14"/>
                <w:szCs w:val="14"/>
              </w:rPr>
              <w:t>Additional paid in capital</w:t>
            </w:r>
          </w:p>
        </w:tc>
        <w:tc>
          <w:tcPr>
            <w:tcW w:w="142" w:type="dxa"/>
          </w:tcPr>
          <w:p w14:paraId="38EB29D9" w14:textId="77777777" w:rsidR="00CF5200" w:rsidRPr="0053621E" w:rsidRDefault="00CF5200" w:rsidP="006A720D">
            <w:pPr>
              <w:jc w:val="right"/>
              <w:rPr>
                <w:sz w:val="14"/>
                <w:szCs w:val="14"/>
              </w:rPr>
            </w:pPr>
          </w:p>
        </w:tc>
        <w:tc>
          <w:tcPr>
            <w:tcW w:w="992" w:type="dxa"/>
            <w:tcBorders>
              <w:bottom w:val="single" w:sz="4" w:space="0" w:color="auto"/>
            </w:tcBorders>
          </w:tcPr>
          <w:p w14:paraId="0E70106C" w14:textId="77777777" w:rsidR="00CF5200" w:rsidRPr="0053621E" w:rsidRDefault="00CF5200" w:rsidP="00CF5200">
            <w:pPr>
              <w:jc w:val="center"/>
              <w:rPr>
                <w:b/>
                <w:sz w:val="14"/>
                <w:szCs w:val="14"/>
              </w:rPr>
            </w:pPr>
          </w:p>
          <w:p w14:paraId="190357DF" w14:textId="77777777" w:rsidR="00EF4ED1" w:rsidRPr="0053621E" w:rsidRDefault="00EF4ED1" w:rsidP="00CF5200">
            <w:pPr>
              <w:jc w:val="center"/>
              <w:rPr>
                <w:b/>
                <w:sz w:val="14"/>
                <w:szCs w:val="14"/>
              </w:rPr>
            </w:pPr>
          </w:p>
          <w:p w14:paraId="6CD7144E" w14:textId="7E3A2DFE" w:rsidR="00CF5200" w:rsidRPr="0053621E" w:rsidRDefault="00CF5200" w:rsidP="00CF5200">
            <w:pPr>
              <w:jc w:val="center"/>
              <w:rPr>
                <w:b/>
                <w:sz w:val="14"/>
                <w:szCs w:val="14"/>
              </w:rPr>
            </w:pPr>
            <w:r w:rsidRPr="0053621E">
              <w:rPr>
                <w:b/>
                <w:sz w:val="14"/>
                <w:szCs w:val="14"/>
              </w:rPr>
              <w:t xml:space="preserve">Saldo 31 </w:t>
            </w:r>
            <w:r w:rsidR="00EF4ED1" w:rsidRPr="0053621E">
              <w:rPr>
                <w:b/>
                <w:sz w:val="14"/>
                <w:szCs w:val="14"/>
              </w:rPr>
              <w:t>Maret</w:t>
            </w:r>
            <w:r w:rsidRPr="0053621E">
              <w:rPr>
                <w:b/>
                <w:sz w:val="14"/>
                <w:szCs w:val="14"/>
              </w:rPr>
              <w:t xml:space="preserve"> 20</w:t>
            </w:r>
            <w:r w:rsidR="00EF4ED1" w:rsidRPr="0053621E">
              <w:rPr>
                <w:b/>
                <w:sz w:val="14"/>
                <w:szCs w:val="14"/>
              </w:rPr>
              <w:t>20</w:t>
            </w:r>
            <w:r w:rsidRPr="0053621E">
              <w:rPr>
                <w:b/>
                <w:sz w:val="14"/>
                <w:szCs w:val="14"/>
              </w:rPr>
              <w:t>/</w:t>
            </w:r>
          </w:p>
          <w:p w14:paraId="3325DD95" w14:textId="2EC9FC17" w:rsidR="00CF5200" w:rsidRPr="0053621E" w:rsidRDefault="00CF5200" w:rsidP="00EF4ED1">
            <w:pPr>
              <w:jc w:val="center"/>
              <w:rPr>
                <w:i/>
                <w:sz w:val="14"/>
                <w:szCs w:val="14"/>
              </w:rPr>
            </w:pPr>
            <w:r w:rsidRPr="0053621E">
              <w:rPr>
                <w:b/>
                <w:i/>
                <w:sz w:val="14"/>
                <w:szCs w:val="14"/>
              </w:rPr>
              <w:t xml:space="preserve">Balance as of </w:t>
            </w:r>
            <w:r w:rsidR="00EF4ED1" w:rsidRPr="0053621E">
              <w:rPr>
                <w:b/>
                <w:i/>
                <w:sz w:val="14"/>
                <w:szCs w:val="14"/>
              </w:rPr>
              <w:t>March</w:t>
            </w:r>
            <w:r w:rsidRPr="0053621E">
              <w:rPr>
                <w:b/>
                <w:i/>
                <w:sz w:val="14"/>
                <w:szCs w:val="14"/>
              </w:rPr>
              <w:t xml:space="preserve"> 31</w:t>
            </w:r>
            <w:r w:rsidR="00305CA0" w:rsidRPr="0053621E">
              <w:rPr>
                <w:b/>
                <w:i/>
                <w:sz w:val="14"/>
                <w:szCs w:val="14"/>
              </w:rPr>
              <w:t>.</w:t>
            </w:r>
            <w:r w:rsidRPr="0053621E">
              <w:rPr>
                <w:b/>
                <w:i/>
                <w:sz w:val="14"/>
                <w:szCs w:val="14"/>
              </w:rPr>
              <w:t xml:space="preserve"> 20</w:t>
            </w:r>
            <w:r w:rsidR="00EF4ED1" w:rsidRPr="0053621E">
              <w:rPr>
                <w:b/>
                <w:i/>
                <w:sz w:val="14"/>
                <w:szCs w:val="14"/>
              </w:rPr>
              <w:t>20</w:t>
            </w:r>
          </w:p>
        </w:tc>
        <w:tc>
          <w:tcPr>
            <w:tcW w:w="1701" w:type="dxa"/>
            <w:shd w:val="clear" w:color="auto" w:fill="auto"/>
            <w:vAlign w:val="bottom"/>
          </w:tcPr>
          <w:p w14:paraId="1A16367E" w14:textId="0F7721D0" w:rsidR="00CF5200" w:rsidRPr="0053621E" w:rsidRDefault="00CF5200" w:rsidP="006A720D">
            <w:pPr>
              <w:jc w:val="right"/>
              <w:rPr>
                <w:sz w:val="14"/>
                <w:szCs w:val="14"/>
              </w:rPr>
            </w:pPr>
          </w:p>
        </w:tc>
      </w:tr>
      <w:tr w:rsidR="00CF5200" w:rsidRPr="0053621E" w14:paraId="31CB0458" w14:textId="77777777" w:rsidTr="002108FF">
        <w:trPr>
          <w:trHeight w:val="183"/>
        </w:trPr>
        <w:tc>
          <w:tcPr>
            <w:tcW w:w="2065" w:type="dxa"/>
            <w:shd w:val="clear" w:color="auto" w:fill="auto"/>
            <w:vAlign w:val="bottom"/>
          </w:tcPr>
          <w:p w14:paraId="55431EA6" w14:textId="1232F30B" w:rsidR="00CF5200" w:rsidRPr="0053621E" w:rsidRDefault="00CF5200" w:rsidP="006A720D">
            <w:pPr>
              <w:rPr>
                <w:sz w:val="16"/>
                <w:szCs w:val="18"/>
              </w:rPr>
            </w:pPr>
          </w:p>
        </w:tc>
        <w:tc>
          <w:tcPr>
            <w:tcW w:w="1054" w:type="dxa"/>
            <w:tcBorders>
              <w:top w:val="single" w:sz="4" w:space="0" w:color="auto"/>
            </w:tcBorders>
            <w:shd w:val="clear" w:color="auto" w:fill="auto"/>
            <w:vAlign w:val="bottom"/>
          </w:tcPr>
          <w:p w14:paraId="0AFBA278" w14:textId="77777777" w:rsidR="00CF5200" w:rsidRPr="0053621E" w:rsidRDefault="00CF5200" w:rsidP="006A720D">
            <w:pPr>
              <w:jc w:val="right"/>
              <w:rPr>
                <w:sz w:val="16"/>
                <w:szCs w:val="18"/>
              </w:rPr>
            </w:pPr>
          </w:p>
        </w:tc>
        <w:tc>
          <w:tcPr>
            <w:tcW w:w="142" w:type="dxa"/>
            <w:shd w:val="clear" w:color="auto" w:fill="auto"/>
            <w:vAlign w:val="bottom"/>
          </w:tcPr>
          <w:p w14:paraId="7294991A" w14:textId="77777777" w:rsidR="00CF5200" w:rsidRPr="0053621E" w:rsidRDefault="00CF5200" w:rsidP="006A720D">
            <w:pPr>
              <w:jc w:val="right"/>
              <w:rPr>
                <w:sz w:val="16"/>
                <w:szCs w:val="18"/>
              </w:rPr>
            </w:pPr>
          </w:p>
        </w:tc>
        <w:tc>
          <w:tcPr>
            <w:tcW w:w="850" w:type="dxa"/>
            <w:tcBorders>
              <w:top w:val="single" w:sz="4" w:space="0" w:color="auto"/>
            </w:tcBorders>
            <w:vAlign w:val="bottom"/>
          </w:tcPr>
          <w:p w14:paraId="49C26D89" w14:textId="77777777" w:rsidR="00CF5200" w:rsidRPr="0053621E" w:rsidRDefault="00CF5200" w:rsidP="006A720D">
            <w:pPr>
              <w:jc w:val="right"/>
              <w:rPr>
                <w:sz w:val="16"/>
                <w:szCs w:val="18"/>
              </w:rPr>
            </w:pPr>
          </w:p>
        </w:tc>
        <w:tc>
          <w:tcPr>
            <w:tcW w:w="142" w:type="dxa"/>
          </w:tcPr>
          <w:p w14:paraId="2AB52C03" w14:textId="77777777" w:rsidR="00CF5200" w:rsidRPr="0053621E" w:rsidRDefault="00CF5200" w:rsidP="006A720D">
            <w:pPr>
              <w:jc w:val="right"/>
              <w:rPr>
                <w:sz w:val="16"/>
                <w:szCs w:val="18"/>
              </w:rPr>
            </w:pPr>
          </w:p>
        </w:tc>
        <w:tc>
          <w:tcPr>
            <w:tcW w:w="992" w:type="dxa"/>
            <w:tcBorders>
              <w:top w:val="single" w:sz="4" w:space="0" w:color="auto"/>
            </w:tcBorders>
          </w:tcPr>
          <w:p w14:paraId="2A6E65B6" w14:textId="77777777" w:rsidR="00CF5200" w:rsidRPr="0053621E" w:rsidRDefault="00CF5200" w:rsidP="006A720D">
            <w:pPr>
              <w:jc w:val="right"/>
              <w:rPr>
                <w:sz w:val="16"/>
                <w:szCs w:val="18"/>
              </w:rPr>
            </w:pPr>
          </w:p>
        </w:tc>
        <w:tc>
          <w:tcPr>
            <w:tcW w:w="142" w:type="dxa"/>
          </w:tcPr>
          <w:p w14:paraId="1CEDDE9B" w14:textId="77777777" w:rsidR="00CF5200" w:rsidRPr="0053621E" w:rsidRDefault="00CF5200" w:rsidP="006A720D">
            <w:pPr>
              <w:jc w:val="right"/>
              <w:rPr>
                <w:sz w:val="16"/>
                <w:szCs w:val="18"/>
              </w:rPr>
            </w:pPr>
          </w:p>
        </w:tc>
        <w:tc>
          <w:tcPr>
            <w:tcW w:w="992" w:type="dxa"/>
            <w:tcBorders>
              <w:top w:val="single" w:sz="4" w:space="0" w:color="auto"/>
            </w:tcBorders>
          </w:tcPr>
          <w:p w14:paraId="6C819CEC" w14:textId="77777777" w:rsidR="00CF5200" w:rsidRPr="0053621E" w:rsidRDefault="00CF5200" w:rsidP="006A720D">
            <w:pPr>
              <w:jc w:val="right"/>
              <w:rPr>
                <w:sz w:val="16"/>
                <w:szCs w:val="18"/>
              </w:rPr>
            </w:pPr>
          </w:p>
        </w:tc>
        <w:tc>
          <w:tcPr>
            <w:tcW w:w="142" w:type="dxa"/>
          </w:tcPr>
          <w:p w14:paraId="436E07EA" w14:textId="77777777" w:rsidR="00CF5200" w:rsidRPr="0053621E" w:rsidRDefault="00CF5200" w:rsidP="006A720D">
            <w:pPr>
              <w:jc w:val="right"/>
              <w:rPr>
                <w:sz w:val="16"/>
                <w:szCs w:val="18"/>
              </w:rPr>
            </w:pPr>
          </w:p>
        </w:tc>
        <w:tc>
          <w:tcPr>
            <w:tcW w:w="992" w:type="dxa"/>
            <w:tcBorders>
              <w:top w:val="single" w:sz="4" w:space="0" w:color="auto"/>
            </w:tcBorders>
          </w:tcPr>
          <w:p w14:paraId="2E010B7C" w14:textId="30B14D43" w:rsidR="00CF5200" w:rsidRPr="0053621E" w:rsidRDefault="00CF5200" w:rsidP="006A720D">
            <w:pPr>
              <w:jc w:val="right"/>
              <w:rPr>
                <w:sz w:val="16"/>
                <w:szCs w:val="18"/>
              </w:rPr>
            </w:pPr>
          </w:p>
        </w:tc>
        <w:tc>
          <w:tcPr>
            <w:tcW w:w="1701" w:type="dxa"/>
            <w:shd w:val="clear" w:color="auto" w:fill="auto"/>
            <w:vAlign w:val="bottom"/>
          </w:tcPr>
          <w:p w14:paraId="42F0FA9C" w14:textId="3713582C" w:rsidR="00CF5200" w:rsidRPr="0053621E" w:rsidRDefault="00CF5200" w:rsidP="006A720D">
            <w:pPr>
              <w:jc w:val="right"/>
              <w:rPr>
                <w:sz w:val="16"/>
                <w:szCs w:val="18"/>
              </w:rPr>
            </w:pPr>
          </w:p>
        </w:tc>
      </w:tr>
      <w:tr w:rsidR="00FE6377" w:rsidRPr="0053621E" w14:paraId="7F0AE033" w14:textId="77777777" w:rsidTr="002108FF">
        <w:tc>
          <w:tcPr>
            <w:tcW w:w="2065" w:type="dxa"/>
            <w:shd w:val="clear" w:color="auto" w:fill="auto"/>
            <w:vAlign w:val="bottom"/>
          </w:tcPr>
          <w:p w14:paraId="54727D5B" w14:textId="1E70A4F2" w:rsidR="00FE6377" w:rsidRPr="0053621E" w:rsidRDefault="00FE6377" w:rsidP="00FE6377">
            <w:pPr>
              <w:ind w:left="425"/>
              <w:rPr>
                <w:sz w:val="12"/>
                <w:szCs w:val="12"/>
              </w:rPr>
            </w:pPr>
            <w:r w:rsidRPr="0053621E">
              <w:rPr>
                <w:sz w:val="12"/>
                <w:szCs w:val="12"/>
              </w:rPr>
              <w:t>NKM</w:t>
            </w:r>
          </w:p>
        </w:tc>
        <w:tc>
          <w:tcPr>
            <w:tcW w:w="1054" w:type="dxa"/>
            <w:shd w:val="clear" w:color="auto" w:fill="auto"/>
          </w:tcPr>
          <w:p w14:paraId="474000A6" w14:textId="539568FD" w:rsidR="00FE6377" w:rsidRPr="0053621E" w:rsidRDefault="00FE6377" w:rsidP="00FE6377">
            <w:pPr>
              <w:ind w:right="57"/>
              <w:jc w:val="right"/>
              <w:rPr>
                <w:sz w:val="12"/>
                <w:szCs w:val="12"/>
              </w:rPr>
            </w:pPr>
            <w:r w:rsidRPr="0053621E">
              <w:rPr>
                <w:sz w:val="12"/>
                <w:szCs w:val="12"/>
              </w:rPr>
              <w:t>660.505.373</w:t>
            </w:r>
          </w:p>
        </w:tc>
        <w:tc>
          <w:tcPr>
            <w:tcW w:w="142" w:type="dxa"/>
            <w:shd w:val="clear" w:color="auto" w:fill="auto"/>
            <w:vAlign w:val="bottom"/>
          </w:tcPr>
          <w:p w14:paraId="7D65AC0E" w14:textId="77777777" w:rsidR="00FE6377" w:rsidRPr="0053621E" w:rsidRDefault="00FE6377" w:rsidP="00FE6377">
            <w:pPr>
              <w:ind w:right="57"/>
              <w:jc w:val="right"/>
              <w:rPr>
                <w:sz w:val="12"/>
                <w:szCs w:val="12"/>
              </w:rPr>
            </w:pPr>
          </w:p>
        </w:tc>
        <w:tc>
          <w:tcPr>
            <w:tcW w:w="850" w:type="dxa"/>
          </w:tcPr>
          <w:p w14:paraId="4086876D" w14:textId="40931562" w:rsidR="00FE6377" w:rsidRPr="0053621E" w:rsidRDefault="00FE6377" w:rsidP="002C3F8E">
            <w:pPr>
              <w:ind w:right="57"/>
              <w:jc w:val="right"/>
              <w:rPr>
                <w:sz w:val="12"/>
                <w:szCs w:val="12"/>
              </w:rPr>
            </w:pPr>
            <w:r w:rsidRPr="0053621E">
              <w:rPr>
                <w:sz w:val="12"/>
                <w:szCs w:val="12"/>
              </w:rPr>
              <w:t>(</w:t>
            </w:r>
            <w:r w:rsidR="002C3F8E" w:rsidRPr="0053621E">
              <w:rPr>
                <w:sz w:val="12"/>
                <w:szCs w:val="12"/>
              </w:rPr>
              <w:t>5.160.139</w:t>
            </w:r>
            <w:r w:rsidRPr="0053621E">
              <w:rPr>
                <w:sz w:val="12"/>
                <w:szCs w:val="12"/>
              </w:rPr>
              <w:t>)</w:t>
            </w:r>
          </w:p>
        </w:tc>
        <w:tc>
          <w:tcPr>
            <w:tcW w:w="142" w:type="dxa"/>
          </w:tcPr>
          <w:p w14:paraId="063C61CF" w14:textId="77777777" w:rsidR="00FE6377" w:rsidRPr="0053621E" w:rsidRDefault="00FE6377" w:rsidP="00FE6377">
            <w:pPr>
              <w:ind w:right="57"/>
              <w:jc w:val="right"/>
              <w:rPr>
                <w:i/>
                <w:sz w:val="12"/>
                <w:szCs w:val="12"/>
              </w:rPr>
            </w:pPr>
          </w:p>
        </w:tc>
        <w:tc>
          <w:tcPr>
            <w:tcW w:w="992" w:type="dxa"/>
          </w:tcPr>
          <w:p w14:paraId="14D48FC6" w14:textId="39CC5CE1" w:rsidR="00FE6377" w:rsidRPr="0053621E" w:rsidRDefault="00FE6377" w:rsidP="005F208A">
            <w:pPr>
              <w:ind w:right="57"/>
              <w:jc w:val="right"/>
              <w:rPr>
                <w:iCs/>
                <w:sz w:val="12"/>
                <w:szCs w:val="12"/>
              </w:rPr>
            </w:pPr>
            <w:r w:rsidRPr="0053621E">
              <w:rPr>
                <w:iCs/>
                <w:sz w:val="12"/>
                <w:szCs w:val="12"/>
              </w:rPr>
              <w:t>(1.087.</w:t>
            </w:r>
            <w:r w:rsidR="005F208A" w:rsidRPr="0053621E">
              <w:rPr>
                <w:iCs/>
                <w:sz w:val="12"/>
                <w:szCs w:val="12"/>
              </w:rPr>
              <w:t>094</w:t>
            </w:r>
            <w:r w:rsidRPr="0053621E">
              <w:rPr>
                <w:iCs/>
                <w:sz w:val="12"/>
                <w:szCs w:val="12"/>
              </w:rPr>
              <w:t>)</w:t>
            </w:r>
          </w:p>
        </w:tc>
        <w:tc>
          <w:tcPr>
            <w:tcW w:w="142" w:type="dxa"/>
          </w:tcPr>
          <w:p w14:paraId="7D335F43" w14:textId="77777777" w:rsidR="00FE6377" w:rsidRPr="0053621E" w:rsidRDefault="00FE6377" w:rsidP="00FE6377">
            <w:pPr>
              <w:ind w:right="57"/>
              <w:jc w:val="right"/>
              <w:rPr>
                <w:i/>
                <w:sz w:val="12"/>
                <w:szCs w:val="12"/>
              </w:rPr>
            </w:pPr>
          </w:p>
        </w:tc>
        <w:tc>
          <w:tcPr>
            <w:tcW w:w="992" w:type="dxa"/>
          </w:tcPr>
          <w:p w14:paraId="36DA77D0" w14:textId="0709239E" w:rsidR="00FE6377" w:rsidRPr="0053621E" w:rsidRDefault="00FE6377" w:rsidP="00FE6377">
            <w:pPr>
              <w:ind w:right="57"/>
              <w:jc w:val="right"/>
              <w:rPr>
                <w:i/>
                <w:sz w:val="12"/>
                <w:szCs w:val="12"/>
              </w:rPr>
            </w:pPr>
            <w:r w:rsidRPr="0053621E">
              <w:rPr>
                <w:i/>
                <w:sz w:val="12"/>
                <w:szCs w:val="12"/>
              </w:rPr>
              <w:t>-</w:t>
            </w:r>
          </w:p>
        </w:tc>
        <w:tc>
          <w:tcPr>
            <w:tcW w:w="142" w:type="dxa"/>
          </w:tcPr>
          <w:p w14:paraId="763344BF" w14:textId="77777777" w:rsidR="00FE6377" w:rsidRPr="0053621E" w:rsidRDefault="00FE6377" w:rsidP="00FE6377">
            <w:pPr>
              <w:ind w:right="57"/>
              <w:jc w:val="right"/>
              <w:rPr>
                <w:i/>
                <w:sz w:val="12"/>
                <w:szCs w:val="12"/>
              </w:rPr>
            </w:pPr>
          </w:p>
        </w:tc>
        <w:tc>
          <w:tcPr>
            <w:tcW w:w="992" w:type="dxa"/>
          </w:tcPr>
          <w:p w14:paraId="372C62AA" w14:textId="251505A6" w:rsidR="00FE6377" w:rsidRPr="0053621E" w:rsidRDefault="00FE6377" w:rsidP="005F208A">
            <w:pPr>
              <w:ind w:right="57"/>
              <w:jc w:val="right"/>
              <w:rPr>
                <w:sz w:val="12"/>
                <w:szCs w:val="12"/>
              </w:rPr>
            </w:pPr>
            <w:r w:rsidRPr="0053621E">
              <w:rPr>
                <w:sz w:val="12"/>
                <w:szCs w:val="12"/>
              </w:rPr>
              <w:t>65</w:t>
            </w:r>
            <w:r w:rsidR="002C3F8E" w:rsidRPr="0053621E">
              <w:rPr>
                <w:sz w:val="12"/>
                <w:szCs w:val="12"/>
              </w:rPr>
              <w:t>4.258.</w:t>
            </w:r>
            <w:r w:rsidR="005F208A" w:rsidRPr="0053621E">
              <w:rPr>
                <w:sz w:val="12"/>
                <w:szCs w:val="12"/>
              </w:rPr>
              <w:t>140</w:t>
            </w:r>
          </w:p>
        </w:tc>
        <w:tc>
          <w:tcPr>
            <w:tcW w:w="1701" w:type="dxa"/>
            <w:shd w:val="clear" w:color="auto" w:fill="auto"/>
            <w:vAlign w:val="bottom"/>
          </w:tcPr>
          <w:p w14:paraId="0406417C" w14:textId="0F97E020" w:rsidR="00FE6377" w:rsidRPr="0053621E" w:rsidRDefault="00FE6377" w:rsidP="00FE6377">
            <w:pPr>
              <w:ind w:right="57"/>
              <w:jc w:val="right"/>
              <w:rPr>
                <w:i/>
                <w:sz w:val="12"/>
                <w:szCs w:val="12"/>
              </w:rPr>
            </w:pPr>
            <w:r w:rsidRPr="0053621E">
              <w:rPr>
                <w:i/>
                <w:sz w:val="12"/>
                <w:szCs w:val="12"/>
              </w:rPr>
              <w:t>NKM</w:t>
            </w:r>
          </w:p>
        </w:tc>
      </w:tr>
      <w:tr w:rsidR="00EF4ED1" w:rsidRPr="0053621E" w14:paraId="58DDDEBC" w14:textId="77777777" w:rsidTr="002108FF">
        <w:tc>
          <w:tcPr>
            <w:tcW w:w="2065" w:type="dxa"/>
            <w:shd w:val="clear" w:color="auto" w:fill="auto"/>
            <w:vAlign w:val="bottom"/>
          </w:tcPr>
          <w:p w14:paraId="5F480088" w14:textId="627496A1" w:rsidR="00EF4ED1" w:rsidRPr="0053621E" w:rsidRDefault="00EF4ED1" w:rsidP="00EF4ED1">
            <w:pPr>
              <w:ind w:left="425"/>
              <w:rPr>
                <w:sz w:val="12"/>
                <w:szCs w:val="12"/>
              </w:rPr>
            </w:pPr>
            <w:r w:rsidRPr="0053621E">
              <w:rPr>
                <w:sz w:val="12"/>
                <w:szCs w:val="12"/>
              </w:rPr>
              <w:t>FKM</w:t>
            </w:r>
          </w:p>
        </w:tc>
        <w:tc>
          <w:tcPr>
            <w:tcW w:w="1054" w:type="dxa"/>
            <w:shd w:val="clear" w:color="auto" w:fill="auto"/>
          </w:tcPr>
          <w:p w14:paraId="684952EC" w14:textId="0D4103CD" w:rsidR="00EF4ED1" w:rsidRPr="0053621E" w:rsidRDefault="00EF4ED1" w:rsidP="00EF4ED1">
            <w:pPr>
              <w:ind w:right="57"/>
              <w:jc w:val="right"/>
              <w:rPr>
                <w:sz w:val="12"/>
                <w:szCs w:val="12"/>
                <w:lang w:val="id-ID"/>
              </w:rPr>
            </w:pPr>
            <w:r w:rsidRPr="0053621E">
              <w:rPr>
                <w:sz w:val="12"/>
                <w:szCs w:val="12"/>
              </w:rPr>
              <w:t>417.729.008</w:t>
            </w:r>
          </w:p>
        </w:tc>
        <w:tc>
          <w:tcPr>
            <w:tcW w:w="142" w:type="dxa"/>
            <w:shd w:val="clear" w:color="auto" w:fill="auto"/>
            <w:vAlign w:val="bottom"/>
          </w:tcPr>
          <w:p w14:paraId="5FFF08B1" w14:textId="77777777" w:rsidR="00EF4ED1" w:rsidRPr="0053621E" w:rsidRDefault="00EF4ED1" w:rsidP="00EF4ED1">
            <w:pPr>
              <w:ind w:right="57"/>
              <w:jc w:val="right"/>
              <w:rPr>
                <w:sz w:val="12"/>
                <w:szCs w:val="12"/>
              </w:rPr>
            </w:pPr>
          </w:p>
        </w:tc>
        <w:tc>
          <w:tcPr>
            <w:tcW w:w="850" w:type="dxa"/>
          </w:tcPr>
          <w:p w14:paraId="55FD49CA" w14:textId="345C524A" w:rsidR="00EF4ED1" w:rsidRPr="0053621E" w:rsidRDefault="00D65AE7" w:rsidP="00EF4ED1">
            <w:pPr>
              <w:ind w:right="57"/>
              <w:jc w:val="right"/>
              <w:rPr>
                <w:sz w:val="12"/>
                <w:szCs w:val="12"/>
              </w:rPr>
            </w:pPr>
            <w:r w:rsidRPr="0053621E">
              <w:rPr>
                <w:sz w:val="12"/>
                <w:szCs w:val="12"/>
              </w:rPr>
              <w:t>11.217</w:t>
            </w:r>
          </w:p>
        </w:tc>
        <w:tc>
          <w:tcPr>
            <w:tcW w:w="142" w:type="dxa"/>
          </w:tcPr>
          <w:p w14:paraId="4FAE3BE6" w14:textId="77777777" w:rsidR="00EF4ED1" w:rsidRPr="0053621E" w:rsidRDefault="00EF4ED1" w:rsidP="00EF4ED1">
            <w:pPr>
              <w:ind w:right="57"/>
              <w:jc w:val="right"/>
              <w:rPr>
                <w:i/>
                <w:sz w:val="12"/>
                <w:szCs w:val="12"/>
              </w:rPr>
            </w:pPr>
          </w:p>
        </w:tc>
        <w:tc>
          <w:tcPr>
            <w:tcW w:w="992" w:type="dxa"/>
          </w:tcPr>
          <w:p w14:paraId="3BA24202" w14:textId="08DD7A35" w:rsidR="00EF4ED1" w:rsidRPr="0053621E" w:rsidRDefault="00EF4ED1" w:rsidP="00EF4ED1">
            <w:pPr>
              <w:ind w:right="57"/>
              <w:jc w:val="right"/>
              <w:rPr>
                <w:i/>
                <w:sz w:val="12"/>
                <w:szCs w:val="12"/>
              </w:rPr>
            </w:pPr>
            <w:r w:rsidRPr="0053621E">
              <w:rPr>
                <w:iCs/>
                <w:sz w:val="12"/>
                <w:szCs w:val="12"/>
              </w:rPr>
              <w:t>-</w:t>
            </w:r>
          </w:p>
        </w:tc>
        <w:tc>
          <w:tcPr>
            <w:tcW w:w="142" w:type="dxa"/>
          </w:tcPr>
          <w:p w14:paraId="066B2668" w14:textId="77777777" w:rsidR="00EF4ED1" w:rsidRPr="0053621E" w:rsidRDefault="00EF4ED1" w:rsidP="00EF4ED1">
            <w:pPr>
              <w:ind w:right="57"/>
              <w:jc w:val="right"/>
              <w:rPr>
                <w:i/>
                <w:sz w:val="12"/>
                <w:szCs w:val="12"/>
              </w:rPr>
            </w:pPr>
          </w:p>
        </w:tc>
        <w:tc>
          <w:tcPr>
            <w:tcW w:w="992" w:type="dxa"/>
          </w:tcPr>
          <w:p w14:paraId="57AD215F" w14:textId="33A60B69" w:rsidR="00EF4ED1" w:rsidRPr="0053621E" w:rsidRDefault="00EF4ED1" w:rsidP="00EF4ED1">
            <w:pPr>
              <w:ind w:right="57"/>
              <w:jc w:val="right"/>
              <w:rPr>
                <w:i/>
                <w:sz w:val="12"/>
                <w:szCs w:val="12"/>
              </w:rPr>
            </w:pPr>
            <w:r w:rsidRPr="0053621E">
              <w:rPr>
                <w:i/>
                <w:sz w:val="12"/>
                <w:szCs w:val="12"/>
              </w:rPr>
              <w:t>-</w:t>
            </w:r>
          </w:p>
        </w:tc>
        <w:tc>
          <w:tcPr>
            <w:tcW w:w="142" w:type="dxa"/>
          </w:tcPr>
          <w:p w14:paraId="27E61F31" w14:textId="77777777" w:rsidR="00EF4ED1" w:rsidRPr="0053621E" w:rsidRDefault="00EF4ED1" w:rsidP="00EF4ED1">
            <w:pPr>
              <w:ind w:right="57"/>
              <w:jc w:val="right"/>
              <w:rPr>
                <w:i/>
                <w:sz w:val="12"/>
                <w:szCs w:val="12"/>
              </w:rPr>
            </w:pPr>
          </w:p>
        </w:tc>
        <w:tc>
          <w:tcPr>
            <w:tcW w:w="992" w:type="dxa"/>
          </w:tcPr>
          <w:p w14:paraId="5DCB4A49" w14:textId="15B1AC0F" w:rsidR="00EF4ED1" w:rsidRPr="0053621E" w:rsidRDefault="00EF4ED1" w:rsidP="00EF4ED1">
            <w:pPr>
              <w:ind w:right="57"/>
              <w:jc w:val="right"/>
              <w:rPr>
                <w:sz w:val="12"/>
                <w:szCs w:val="12"/>
              </w:rPr>
            </w:pPr>
            <w:r w:rsidRPr="0053621E">
              <w:rPr>
                <w:sz w:val="12"/>
                <w:szCs w:val="12"/>
              </w:rPr>
              <w:t>417.740.225</w:t>
            </w:r>
          </w:p>
        </w:tc>
        <w:tc>
          <w:tcPr>
            <w:tcW w:w="1701" w:type="dxa"/>
            <w:shd w:val="clear" w:color="auto" w:fill="auto"/>
            <w:vAlign w:val="bottom"/>
          </w:tcPr>
          <w:p w14:paraId="71049BE7" w14:textId="507DF74D" w:rsidR="00EF4ED1" w:rsidRPr="0053621E" w:rsidRDefault="00EF4ED1" w:rsidP="00EF4ED1">
            <w:pPr>
              <w:ind w:right="57"/>
              <w:jc w:val="right"/>
              <w:rPr>
                <w:i/>
                <w:sz w:val="12"/>
                <w:szCs w:val="12"/>
              </w:rPr>
            </w:pPr>
            <w:r w:rsidRPr="0053621E">
              <w:rPr>
                <w:i/>
                <w:sz w:val="12"/>
                <w:szCs w:val="12"/>
              </w:rPr>
              <w:t>FKM</w:t>
            </w:r>
          </w:p>
        </w:tc>
      </w:tr>
      <w:tr w:rsidR="00EF4ED1" w:rsidRPr="0053621E" w14:paraId="08198587" w14:textId="77777777" w:rsidTr="002108FF">
        <w:trPr>
          <w:trHeight w:val="64"/>
        </w:trPr>
        <w:tc>
          <w:tcPr>
            <w:tcW w:w="2065" w:type="dxa"/>
            <w:shd w:val="clear" w:color="auto" w:fill="auto"/>
            <w:vAlign w:val="bottom"/>
          </w:tcPr>
          <w:p w14:paraId="52B6A8D7" w14:textId="2DC3799A" w:rsidR="00EF4ED1" w:rsidRPr="0053621E" w:rsidRDefault="00EF4ED1" w:rsidP="00EF4ED1">
            <w:pPr>
              <w:ind w:left="425"/>
              <w:rPr>
                <w:sz w:val="12"/>
                <w:szCs w:val="12"/>
              </w:rPr>
            </w:pPr>
            <w:r w:rsidRPr="0053621E">
              <w:rPr>
                <w:sz w:val="12"/>
                <w:szCs w:val="12"/>
              </w:rPr>
              <w:t>SIS</w:t>
            </w:r>
          </w:p>
        </w:tc>
        <w:tc>
          <w:tcPr>
            <w:tcW w:w="1054" w:type="dxa"/>
            <w:shd w:val="clear" w:color="auto" w:fill="auto"/>
          </w:tcPr>
          <w:p w14:paraId="44781214" w14:textId="1318138D" w:rsidR="00EF4ED1" w:rsidRPr="0053621E" w:rsidRDefault="00EF4ED1" w:rsidP="00EF4ED1">
            <w:pPr>
              <w:ind w:right="57"/>
              <w:jc w:val="right"/>
              <w:rPr>
                <w:b/>
                <w:sz w:val="12"/>
                <w:szCs w:val="12"/>
              </w:rPr>
            </w:pPr>
            <w:r w:rsidRPr="0053621E">
              <w:rPr>
                <w:sz w:val="12"/>
                <w:szCs w:val="12"/>
              </w:rPr>
              <w:t>6.131.454</w:t>
            </w:r>
          </w:p>
        </w:tc>
        <w:tc>
          <w:tcPr>
            <w:tcW w:w="142" w:type="dxa"/>
            <w:shd w:val="clear" w:color="auto" w:fill="auto"/>
            <w:vAlign w:val="bottom"/>
          </w:tcPr>
          <w:p w14:paraId="4D5A582A" w14:textId="77777777" w:rsidR="00EF4ED1" w:rsidRPr="0053621E" w:rsidRDefault="00EF4ED1" w:rsidP="00EF4ED1">
            <w:pPr>
              <w:ind w:right="57"/>
              <w:jc w:val="right"/>
              <w:rPr>
                <w:sz w:val="12"/>
                <w:szCs w:val="12"/>
              </w:rPr>
            </w:pPr>
          </w:p>
        </w:tc>
        <w:tc>
          <w:tcPr>
            <w:tcW w:w="850" w:type="dxa"/>
          </w:tcPr>
          <w:p w14:paraId="1DF5275D" w14:textId="4AA53B17" w:rsidR="00EF4ED1" w:rsidRPr="0053621E" w:rsidRDefault="00D65AE7" w:rsidP="002C3F8E">
            <w:pPr>
              <w:ind w:right="57"/>
              <w:jc w:val="right"/>
              <w:rPr>
                <w:sz w:val="12"/>
                <w:szCs w:val="12"/>
              </w:rPr>
            </w:pPr>
            <w:r w:rsidRPr="0053621E">
              <w:rPr>
                <w:sz w:val="12"/>
                <w:szCs w:val="12"/>
              </w:rPr>
              <w:t>(</w:t>
            </w:r>
            <w:r w:rsidR="002C3F8E" w:rsidRPr="0053621E">
              <w:rPr>
                <w:sz w:val="12"/>
                <w:szCs w:val="12"/>
              </w:rPr>
              <w:t>2.027.641</w:t>
            </w:r>
            <w:r w:rsidRPr="0053621E">
              <w:rPr>
                <w:sz w:val="12"/>
                <w:szCs w:val="12"/>
              </w:rPr>
              <w:t>)</w:t>
            </w:r>
          </w:p>
        </w:tc>
        <w:tc>
          <w:tcPr>
            <w:tcW w:w="142" w:type="dxa"/>
          </w:tcPr>
          <w:p w14:paraId="3790F5A8" w14:textId="77777777" w:rsidR="00EF4ED1" w:rsidRPr="0053621E" w:rsidRDefault="00EF4ED1" w:rsidP="00EF4ED1">
            <w:pPr>
              <w:ind w:right="57"/>
              <w:jc w:val="right"/>
              <w:rPr>
                <w:i/>
                <w:sz w:val="12"/>
                <w:szCs w:val="12"/>
              </w:rPr>
            </w:pPr>
          </w:p>
        </w:tc>
        <w:tc>
          <w:tcPr>
            <w:tcW w:w="992" w:type="dxa"/>
          </w:tcPr>
          <w:p w14:paraId="3C2BFDAE" w14:textId="041091EA" w:rsidR="00EF4ED1" w:rsidRPr="0053621E" w:rsidRDefault="00EF4ED1" w:rsidP="00EF4ED1">
            <w:pPr>
              <w:ind w:right="57"/>
              <w:jc w:val="right"/>
              <w:rPr>
                <w:iCs/>
                <w:sz w:val="12"/>
                <w:szCs w:val="12"/>
              </w:rPr>
            </w:pPr>
            <w:r w:rsidRPr="0053621E">
              <w:rPr>
                <w:iCs/>
                <w:sz w:val="12"/>
                <w:szCs w:val="12"/>
              </w:rPr>
              <w:t>-</w:t>
            </w:r>
          </w:p>
        </w:tc>
        <w:tc>
          <w:tcPr>
            <w:tcW w:w="142" w:type="dxa"/>
          </w:tcPr>
          <w:p w14:paraId="475E8B43" w14:textId="77777777" w:rsidR="00EF4ED1" w:rsidRPr="0053621E" w:rsidRDefault="00EF4ED1" w:rsidP="00EF4ED1">
            <w:pPr>
              <w:ind w:right="57"/>
              <w:jc w:val="right"/>
              <w:rPr>
                <w:iCs/>
                <w:sz w:val="12"/>
                <w:szCs w:val="12"/>
              </w:rPr>
            </w:pPr>
          </w:p>
        </w:tc>
        <w:tc>
          <w:tcPr>
            <w:tcW w:w="992" w:type="dxa"/>
          </w:tcPr>
          <w:p w14:paraId="11116C66" w14:textId="0ABA7E86" w:rsidR="00EF4ED1" w:rsidRPr="0053621E" w:rsidRDefault="00EF4ED1" w:rsidP="00EF4ED1">
            <w:pPr>
              <w:ind w:right="57"/>
              <w:jc w:val="right"/>
              <w:rPr>
                <w:i/>
                <w:sz w:val="12"/>
                <w:szCs w:val="12"/>
              </w:rPr>
            </w:pPr>
            <w:r w:rsidRPr="0053621E">
              <w:rPr>
                <w:i/>
                <w:sz w:val="12"/>
                <w:szCs w:val="12"/>
              </w:rPr>
              <w:t>-</w:t>
            </w:r>
          </w:p>
        </w:tc>
        <w:tc>
          <w:tcPr>
            <w:tcW w:w="142" w:type="dxa"/>
          </w:tcPr>
          <w:p w14:paraId="64783D79" w14:textId="77777777" w:rsidR="00EF4ED1" w:rsidRPr="0053621E" w:rsidRDefault="00EF4ED1" w:rsidP="00EF4ED1">
            <w:pPr>
              <w:ind w:right="57"/>
              <w:jc w:val="right"/>
              <w:rPr>
                <w:i/>
                <w:sz w:val="12"/>
                <w:szCs w:val="12"/>
              </w:rPr>
            </w:pPr>
          </w:p>
        </w:tc>
        <w:tc>
          <w:tcPr>
            <w:tcW w:w="992" w:type="dxa"/>
          </w:tcPr>
          <w:p w14:paraId="6D333D7C" w14:textId="30306271" w:rsidR="00EF4ED1" w:rsidRPr="0053621E" w:rsidRDefault="000B6DDF" w:rsidP="00EF4ED1">
            <w:pPr>
              <w:ind w:right="57"/>
              <w:jc w:val="right"/>
              <w:rPr>
                <w:sz w:val="12"/>
                <w:szCs w:val="12"/>
              </w:rPr>
            </w:pPr>
            <w:r w:rsidRPr="0053621E">
              <w:rPr>
                <w:sz w:val="12"/>
                <w:szCs w:val="12"/>
              </w:rPr>
              <w:t>4.103.813</w:t>
            </w:r>
          </w:p>
        </w:tc>
        <w:tc>
          <w:tcPr>
            <w:tcW w:w="1701" w:type="dxa"/>
            <w:shd w:val="clear" w:color="auto" w:fill="auto"/>
            <w:vAlign w:val="bottom"/>
          </w:tcPr>
          <w:p w14:paraId="60F3E809" w14:textId="0B853059" w:rsidR="00EF4ED1" w:rsidRPr="0053621E" w:rsidRDefault="00EF4ED1" w:rsidP="00EF4ED1">
            <w:pPr>
              <w:ind w:right="57"/>
              <w:jc w:val="right"/>
              <w:rPr>
                <w:i/>
                <w:sz w:val="12"/>
                <w:szCs w:val="12"/>
              </w:rPr>
            </w:pPr>
            <w:r w:rsidRPr="0053621E">
              <w:rPr>
                <w:i/>
                <w:sz w:val="12"/>
                <w:szCs w:val="12"/>
              </w:rPr>
              <w:t>SIS</w:t>
            </w:r>
          </w:p>
        </w:tc>
      </w:tr>
      <w:tr w:rsidR="00EF4ED1" w:rsidRPr="0053621E" w14:paraId="44272373" w14:textId="77777777" w:rsidTr="002108FF">
        <w:tc>
          <w:tcPr>
            <w:tcW w:w="2065" w:type="dxa"/>
            <w:shd w:val="clear" w:color="auto" w:fill="auto"/>
            <w:vAlign w:val="bottom"/>
          </w:tcPr>
          <w:p w14:paraId="562440DE" w14:textId="3F1CDDFD" w:rsidR="00EF4ED1" w:rsidRPr="0053621E" w:rsidRDefault="00EF4ED1" w:rsidP="00EF4ED1">
            <w:pPr>
              <w:ind w:left="425"/>
              <w:rPr>
                <w:sz w:val="12"/>
                <w:szCs w:val="12"/>
              </w:rPr>
            </w:pPr>
            <w:r w:rsidRPr="0053621E">
              <w:rPr>
                <w:sz w:val="12"/>
                <w:szCs w:val="12"/>
              </w:rPr>
              <w:t>SAS</w:t>
            </w:r>
          </w:p>
        </w:tc>
        <w:tc>
          <w:tcPr>
            <w:tcW w:w="1054" w:type="dxa"/>
            <w:shd w:val="clear" w:color="auto" w:fill="auto"/>
          </w:tcPr>
          <w:p w14:paraId="47D960A9" w14:textId="6F38F848" w:rsidR="00EF4ED1" w:rsidRPr="0053621E" w:rsidRDefault="00EF4ED1" w:rsidP="00EF4ED1">
            <w:pPr>
              <w:ind w:right="57"/>
              <w:jc w:val="right"/>
              <w:rPr>
                <w:sz w:val="12"/>
                <w:szCs w:val="12"/>
              </w:rPr>
            </w:pPr>
            <w:r w:rsidRPr="0053621E">
              <w:rPr>
                <w:sz w:val="12"/>
                <w:szCs w:val="12"/>
              </w:rPr>
              <w:t>9.968.655</w:t>
            </w:r>
          </w:p>
        </w:tc>
        <w:tc>
          <w:tcPr>
            <w:tcW w:w="142" w:type="dxa"/>
            <w:shd w:val="clear" w:color="auto" w:fill="auto"/>
            <w:vAlign w:val="bottom"/>
          </w:tcPr>
          <w:p w14:paraId="795E0F54" w14:textId="77777777" w:rsidR="00EF4ED1" w:rsidRPr="0053621E" w:rsidRDefault="00EF4ED1" w:rsidP="00EF4ED1">
            <w:pPr>
              <w:ind w:right="57"/>
              <w:jc w:val="right"/>
              <w:rPr>
                <w:sz w:val="12"/>
                <w:szCs w:val="12"/>
              </w:rPr>
            </w:pPr>
          </w:p>
        </w:tc>
        <w:tc>
          <w:tcPr>
            <w:tcW w:w="850" w:type="dxa"/>
          </w:tcPr>
          <w:p w14:paraId="287F04D9" w14:textId="07CB9A08" w:rsidR="00EF4ED1" w:rsidRPr="0053621E" w:rsidRDefault="00D65AE7" w:rsidP="00EF4ED1">
            <w:pPr>
              <w:ind w:right="57"/>
              <w:jc w:val="right"/>
              <w:rPr>
                <w:sz w:val="12"/>
                <w:szCs w:val="12"/>
              </w:rPr>
            </w:pPr>
            <w:r w:rsidRPr="0053621E">
              <w:rPr>
                <w:sz w:val="12"/>
                <w:szCs w:val="12"/>
              </w:rPr>
              <w:t>(7.559)</w:t>
            </w:r>
          </w:p>
        </w:tc>
        <w:tc>
          <w:tcPr>
            <w:tcW w:w="142" w:type="dxa"/>
          </w:tcPr>
          <w:p w14:paraId="0DEFC38C" w14:textId="77777777" w:rsidR="00EF4ED1" w:rsidRPr="0053621E" w:rsidRDefault="00EF4ED1" w:rsidP="00EF4ED1">
            <w:pPr>
              <w:ind w:right="57"/>
              <w:jc w:val="right"/>
              <w:rPr>
                <w:i/>
                <w:sz w:val="12"/>
                <w:szCs w:val="12"/>
              </w:rPr>
            </w:pPr>
          </w:p>
        </w:tc>
        <w:tc>
          <w:tcPr>
            <w:tcW w:w="992" w:type="dxa"/>
          </w:tcPr>
          <w:p w14:paraId="37272B43" w14:textId="2F949D38" w:rsidR="00EF4ED1" w:rsidRPr="0053621E" w:rsidRDefault="00EF4ED1" w:rsidP="00EF4ED1">
            <w:pPr>
              <w:ind w:right="57"/>
              <w:jc w:val="right"/>
              <w:rPr>
                <w:i/>
                <w:sz w:val="12"/>
                <w:szCs w:val="12"/>
              </w:rPr>
            </w:pPr>
            <w:r w:rsidRPr="0053621E">
              <w:rPr>
                <w:iCs/>
                <w:sz w:val="12"/>
                <w:szCs w:val="12"/>
              </w:rPr>
              <w:t>-</w:t>
            </w:r>
          </w:p>
        </w:tc>
        <w:tc>
          <w:tcPr>
            <w:tcW w:w="142" w:type="dxa"/>
          </w:tcPr>
          <w:p w14:paraId="3D94A470" w14:textId="77777777" w:rsidR="00EF4ED1" w:rsidRPr="0053621E" w:rsidRDefault="00EF4ED1" w:rsidP="00EF4ED1">
            <w:pPr>
              <w:ind w:right="57"/>
              <w:jc w:val="right"/>
              <w:rPr>
                <w:i/>
                <w:sz w:val="12"/>
                <w:szCs w:val="12"/>
              </w:rPr>
            </w:pPr>
          </w:p>
        </w:tc>
        <w:tc>
          <w:tcPr>
            <w:tcW w:w="992" w:type="dxa"/>
          </w:tcPr>
          <w:p w14:paraId="0A7543B8" w14:textId="73602C35" w:rsidR="00EF4ED1" w:rsidRPr="0053621E" w:rsidRDefault="00EF4ED1" w:rsidP="00EF4ED1">
            <w:pPr>
              <w:ind w:right="57"/>
              <w:jc w:val="right"/>
              <w:rPr>
                <w:i/>
                <w:sz w:val="12"/>
                <w:szCs w:val="12"/>
              </w:rPr>
            </w:pPr>
            <w:r w:rsidRPr="0053621E">
              <w:rPr>
                <w:i/>
                <w:sz w:val="12"/>
                <w:szCs w:val="12"/>
              </w:rPr>
              <w:t>-</w:t>
            </w:r>
          </w:p>
        </w:tc>
        <w:tc>
          <w:tcPr>
            <w:tcW w:w="142" w:type="dxa"/>
          </w:tcPr>
          <w:p w14:paraId="4FB393F4" w14:textId="77777777" w:rsidR="00EF4ED1" w:rsidRPr="0053621E" w:rsidRDefault="00EF4ED1" w:rsidP="00EF4ED1">
            <w:pPr>
              <w:ind w:right="57"/>
              <w:jc w:val="right"/>
              <w:rPr>
                <w:i/>
                <w:sz w:val="12"/>
                <w:szCs w:val="12"/>
              </w:rPr>
            </w:pPr>
          </w:p>
        </w:tc>
        <w:tc>
          <w:tcPr>
            <w:tcW w:w="992" w:type="dxa"/>
          </w:tcPr>
          <w:p w14:paraId="3853819F" w14:textId="4BA48037" w:rsidR="00EF4ED1" w:rsidRPr="0053621E" w:rsidRDefault="00EF4ED1" w:rsidP="00EF4ED1">
            <w:pPr>
              <w:ind w:right="57"/>
              <w:jc w:val="right"/>
              <w:rPr>
                <w:sz w:val="12"/>
                <w:szCs w:val="12"/>
              </w:rPr>
            </w:pPr>
            <w:r w:rsidRPr="0053621E">
              <w:rPr>
                <w:sz w:val="12"/>
                <w:szCs w:val="12"/>
              </w:rPr>
              <w:t>9.961.096</w:t>
            </w:r>
          </w:p>
        </w:tc>
        <w:tc>
          <w:tcPr>
            <w:tcW w:w="1701" w:type="dxa"/>
            <w:shd w:val="clear" w:color="auto" w:fill="auto"/>
            <w:vAlign w:val="bottom"/>
          </w:tcPr>
          <w:p w14:paraId="2BE9D1EC" w14:textId="0F9C84FA" w:rsidR="00EF4ED1" w:rsidRPr="0053621E" w:rsidRDefault="00EF4ED1" w:rsidP="00EF4ED1">
            <w:pPr>
              <w:ind w:right="57"/>
              <w:jc w:val="right"/>
              <w:rPr>
                <w:i/>
                <w:sz w:val="12"/>
                <w:szCs w:val="12"/>
              </w:rPr>
            </w:pPr>
            <w:r w:rsidRPr="0053621E">
              <w:rPr>
                <w:i/>
                <w:sz w:val="12"/>
                <w:szCs w:val="12"/>
              </w:rPr>
              <w:t>SAS</w:t>
            </w:r>
          </w:p>
        </w:tc>
      </w:tr>
      <w:tr w:rsidR="00EF4ED1" w:rsidRPr="0053621E" w14:paraId="1F101B47" w14:textId="77777777" w:rsidTr="002108FF">
        <w:tc>
          <w:tcPr>
            <w:tcW w:w="2065" w:type="dxa"/>
            <w:shd w:val="clear" w:color="auto" w:fill="auto"/>
            <w:vAlign w:val="bottom"/>
          </w:tcPr>
          <w:p w14:paraId="28D0AE10" w14:textId="517D12F8" w:rsidR="00EF4ED1" w:rsidRPr="0053621E" w:rsidRDefault="00EF4ED1" w:rsidP="00EF4ED1">
            <w:pPr>
              <w:ind w:left="425"/>
              <w:rPr>
                <w:sz w:val="12"/>
                <w:szCs w:val="12"/>
              </w:rPr>
            </w:pPr>
            <w:r w:rsidRPr="0053621E">
              <w:rPr>
                <w:sz w:val="12"/>
                <w:szCs w:val="12"/>
              </w:rPr>
              <w:t>KKS</w:t>
            </w:r>
          </w:p>
        </w:tc>
        <w:tc>
          <w:tcPr>
            <w:tcW w:w="1054" w:type="dxa"/>
            <w:shd w:val="clear" w:color="auto" w:fill="auto"/>
          </w:tcPr>
          <w:p w14:paraId="68B25A73" w14:textId="610A2928" w:rsidR="00EF4ED1" w:rsidRPr="0053621E" w:rsidRDefault="00EF4ED1" w:rsidP="00EF4ED1">
            <w:pPr>
              <w:ind w:right="57"/>
              <w:jc w:val="right"/>
              <w:rPr>
                <w:sz w:val="12"/>
                <w:szCs w:val="12"/>
              </w:rPr>
            </w:pPr>
            <w:r w:rsidRPr="0053621E">
              <w:rPr>
                <w:sz w:val="12"/>
                <w:szCs w:val="12"/>
              </w:rPr>
              <w:t>6.104.454</w:t>
            </w:r>
          </w:p>
        </w:tc>
        <w:tc>
          <w:tcPr>
            <w:tcW w:w="142" w:type="dxa"/>
            <w:shd w:val="clear" w:color="auto" w:fill="auto"/>
            <w:vAlign w:val="bottom"/>
          </w:tcPr>
          <w:p w14:paraId="1D44E84A" w14:textId="77777777" w:rsidR="00EF4ED1" w:rsidRPr="0053621E" w:rsidRDefault="00EF4ED1" w:rsidP="00EF4ED1">
            <w:pPr>
              <w:ind w:right="57"/>
              <w:jc w:val="right"/>
              <w:rPr>
                <w:sz w:val="12"/>
                <w:szCs w:val="12"/>
              </w:rPr>
            </w:pPr>
          </w:p>
        </w:tc>
        <w:tc>
          <w:tcPr>
            <w:tcW w:w="850" w:type="dxa"/>
          </w:tcPr>
          <w:p w14:paraId="779011AE" w14:textId="28FD0892" w:rsidR="00EF4ED1" w:rsidRPr="0053621E" w:rsidRDefault="00D65AE7" w:rsidP="00EF4ED1">
            <w:pPr>
              <w:ind w:right="57"/>
              <w:jc w:val="right"/>
              <w:rPr>
                <w:sz w:val="12"/>
                <w:szCs w:val="12"/>
              </w:rPr>
            </w:pPr>
            <w:r w:rsidRPr="0053621E">
              <w:rPr>
                <w:sz w:val="12"/>
                <w:szCs w:val="12"/>
              </w:rPr>
              <w:t>32</w:t>
            </w:r>
          </w:p>
        </w:tc>
        <w:tc>
          <w:tcPr>
            <w:tcW w:w="142" w:type="dxa"/>
          </w:tcPr>
          <w:p w14:paraId="6D034641" w14:textId="77777777" w:rsidR="00EF4ED1" w:rsidRPr="0053621E" w:rsidRDefault="00EF4ED1" w:rsidP="00EF4ED1">
            <w:pPr>
              <w:ind w:right="57"/>
              <w:jc w:val="right"/>
              <w:rPr>
                <w:i/>
                <w:sz w:val="12"/>
                <w:szCs w:val="12"/>
              </w:rPr>
            </w:pPr>
          </w:p>
        </w:tc>
        <w:tc>
          <w:tcPr>
            <w:tcW w:w="992" w:type="dxa"/>
          </w:tcPr>
          <w:p w14:paraId="31AB2A2B" w14:textId="4B8CD64E" w:rsidR="00EF4ED1" w:rsidRPr="0053621E" w:rsidRDefault="00EF4ED1" w:rsidP="00EF4ED1">
            <w:pPr>
              <w:ind w:right="57"/>
              <w:jc w:val="right"/>
              <w:rPr>
                <w:i/>
                <w:sz w:val="12"/>
                <w:szCs w:val="12"/>
              </w:rPr>
            </w:pPr>
            <w:r w:rsidRPr="0053621E">
              <w:rPr>
                <w:iCs/>
                <w:sz w:val="12"/>
                <w:szCs w:val="12"/>
              </w:rPr>
              <w:t>-</w:t>
            </w:r>
          </w:p>
        </w:tc>
        <w:tc>
          <w:tcPr>
            <w:tcW w:w="142" w:type="dxa"/>
          </w:tcPr>
          <w:p w14:paraId="0E7D8585" w14:textId="77777777" w:rsidR="00EF4ED1" w:rsidRPr="0053621E" w:rsidRDefault="00EF4ED1" w:rsidP="00EF4ED1">
            <w:pPr>
              <w:ind w:right="57"/>
              <w:jc w:val="right"/>
              <w:rPr>
                <w:i/>
                <w:sz w:val="12"/>
                <w:szCs w:val="12"/>
              </w:rPr>
            </w:pPr>
          </w:p>
        </w:tc>
        <w:tc>
          <w:tcPr>
            <w:tcW w:w="992" w:type="dxa"/>
          </w:tcPr>
          <w:p w14:paraId="00780740" w14:textId="75063B49" w:rsidR="00EF4ED1" w:rsidRPr="0053621E" w:rsidRDefault="00EF4ED1" w:rsidP="00EF4ED1">
            <w:pPr>
              <w:ind w:right="57"/>
              <w:jc w:val="right"/>
              <w:rPr>
                <w:i/>
                <w:sz w:val="12"/>
                <w:szCs w:val="12"/>
              </w:rPr>
            </w:pPr>
            <w:r w:rsidRPr="0053621E">
              <w:rPr>
                <w:i/>
                <w:sz w:val="12"/>
                <w:szCs w:val="12"/>
              </w:rPr>
              <w:t>-</w:t>
            </w:r>
          </w:p>
        </w:tc>
        <w:tc>
          <w:tcPr>
            <w:tcW w:w="142" w:type="dxa"/>
          </w:tcPr>
          <w:p w14:paraId="17BAE41D" w14:textId="77777777" w:rsidR="00EF4ED1" w:rsidRPr="0053621E" w:rsidRDefault="00EF4ED1" w:rsidP="00EF4ED1">
            <w:pPr>
              <w:ind w:right="57"/>
              <w:jc w:val="right"/>
              <w:rPr>
                <w:i/>
                <w:sz w:val="12"/>
                <w:szCs w:val="12"/>
              </w:rPr>
            </w:pPr>
          </w:p>
        </w:tc>
        <w:tc>
          <w:tcPr>
            <w:tcW w:w="992" w:type="dxa"/>
          </w:tcPr>
          <w:p w14:paraId="77CDF969" w14:textId="78602303" w:rsidR="00EF4ED1" w:rsidRPr="0053621E" w:rsidRDefault="00EF4ED1" w:rsidP="00EF4ED1">
            <w:pPr>
              <w:ind w:right="57"/>
              <w:jc w:val="right"/>
              <w:rPr>
                <w:sz w:val="12"/>
                <w:szCs w:val="12"/>
              </w:rPr>
            </w:pPr>
            <w:r w:rsidRPr="0053621E">
              <w:rPr>
                <w:sz w:val="12"/>
                <w:szCs w:val="12"/>
              </w:rPr>
              <w:t>6.104.486</w:t>
            </w:r>
          </w:p>
        </w:tc>
        <w:tc>
          <w:tcPr>
            <w:tcW w:w="1701" w:type="dxa"/>
            <w:shd w:val="clear" w:color="auto" w:fill="auto"/>
            <w:vAlign w:val="bottom"/>
          </w:tcPr>
          <w:p w14:paraId="33E6246C" w14:textId="02A6189B" w:rsidR="00EF4ED1" w:rsidRPr="0053621E" w:rsidRDefault="00EF4ED1" w:rsidP="00EF4ED1">
            <w:pPr>
              <w:ind w:right="57"/>
              <w:jc w:val="right"/>
              <w:rPr>
                <w:i/>
                <w:sz w:val="12"/>
                <w:szCs w:val="12"/>
              </w:rPr>
            </w:pPr>
            <w:r w:rsidRPr="0053621E">
              <w:rPr>
                <w:i/>
                <w:sz w:val="12"/>
                <w:szCs w:val="12"/>
              </w:rPr>
              <w:t>KKS</w:t>
            </w:r>
          </w:p>
        </w:tc>
      </w:tr>
      <w:tr w:rsidR="00EF4ED1" w:rsidRPr="0053621E" w14:paraId="433369D4" w14:textId="77777777" w:rsidTr="002108FF">
        <w:tc>
          <w:tcPr>
            <w:tcW w:w="2065" w:type="dxa"/>
            <w:shd w:val="clear" w:color="auto" w:fill="auto"/>
            <w:vAlign w:val="bottom"/>
          </w:tcPr>
          <w:p w14:paraId="47F336AE" w14:textId="464D88B0" w:rsidR="00EF4ED1" w:rsidRPr="0053621E" w:rsidRDefault="00EF4ED1" w:rsidP="00EF4ED1">
            <w:pPr>
              <w:ind w:left="425"/>
              <w:rPr>
                <w:sz w:val="12"/>
                <w:szCs w:val="12"/>
              </w:rPr>
            </w:pPr>
            <w:r w:rsidRPr="0053621E">
              <w:rPr>
                <w:sz w:val="12"/>
                <w:szCs w:val="12"/>
              </w:rPr>
              <w:t>AIK</w:t>
            </w:r>
          </w:p>
        </w:tc>
        <w:tc>
          <w:tcPr>
            <w:tcW w:w="1054" w:type="dxa"/>
            <w:shd w:val="clear" w:color="auto" w:fill="auto"/>
          </w:tcPr>
          <w:p w14:paraId="58857A6A" w14:textId="074DDFA6" w:rsidR="00EF4ED1" w:rsidRPr="0053621E" w:rsidRDefault="00EF4ED1" w:rsidP="00EF4ED1">
            <w:pPr>
              <w:ind w:right="57"/>
              <w:jc w:val="right"/>
              <w:rPr>
                <w:sz w:val="12"/>
                <w:szCs w:val="12"/>
              </w:rPr>
            </w:pPr>
            <w:r w:rsidRPr="0053621E">
              <w:rPr>
                <w:sz w:val="12"/>
                <w:szCs w:val="12"/>
              </w:rPr>
              <w:t>3.771.906</w:t>
            </w:r>
          </w:p>
        </w:tc>
        <w:tc>
          <w:tcPr>
            <w:tcW w:w="142" w:type="dxa"/>
            <w:shd w:val="clear" w:color="auto" w:fill="auto"/>
            <w:vAlign w:val="bottom"/>
          </w:tcPr>
          <w:p w14:paraId="13B6201C" w14:textId="77777777" w:rsidR="00EF4ED1" w:rsidRPr="0053621E" w:rsidRDefault="00EF4ED1" w:rsidP="00EF4ED1">
            <w:pPr>
              <w:ind w:right="57"/>
              <w:jc w:val="right"/>
              <w:rPr>
                <w:sz w:val="12"/>
                <w:szCs w:val="12"/>
              </w:rPr>
            </w:pPr>
          </w:p>
        </w:tc>
        <w:tc>
          <w:tcPr>
            <w:tcW w:w="850" w:type="dxa"/>
          </w:tcPr>
          <w:p w14:paraId="4CFA7F5A" w14:textId="54F1F33C" w:rsidR="00EF4ED1" w:rsidRPr="0053621E" w:rsidRDefault="00D65AE7" w:rsidP="00D65AE7">
            <w:pPr>
              <w:ind w:right="57"/>
              <w:jc w:val="right"/>
              <w:rPr>
                <w:sz w:val="12"/>
                <w:szCs w:val="12"/>
              </w:rPr>
            </w:pPr>
            <w:r w:rsidRPr="0053621E">
              <w:rPr>
                <w:sz w:val="12"/>
                <w:szCs w:val="12"/>
              </w:rPr>
              <w:t>(927.356)</w:t>
            </w:r>
          </w:p>
        </w:tc>
        <w:tc>
          <w:tcPr>
            <w:tcW w:w="142" w:type="dxa"/>
          </w:tcPr>
          <w:p w14:paraId="40F48DD7" w14:textId="77777777" w:rsidR="00EF4ED1" w:rsidRPr="0053621E" w:rsidRDefault="00EF4ED1" w:rsidP="00EF4ED1">
            <w:pPr>
              <w:ind w:right="57"/>
              <w:jc w:val="right"/>
              <w:rPr>
                <w:i/>
                <w:sz w:val="12"/>
                <w:szCs w:val="12"/>
              </w:rPr>
            </w:pPr>
          </w:p>
        </w:tc>
        <w:tc>
          <w:tcPr>
            <w:tcW w:w="992" w:type="dxa"/>
          </w:tcPr>
          <w:p w14:paraId="00F24B66" w14:textId="0B1D4E44" w:rsidR="00EF4ED1" w:rsidRPr="0053621E" w:rsidRDefault="00EF4ED1" w:rsidP="00EF4ED1">
            <w:pPr>
              <w:ind w:right="57"/>
              <w:jc w:val="right"/>
              <w:rPr>
                <w:i/>
                <w:sz w:val="12"/>
                <w:szCs w:val="12"/>
              </w:rPr>
            </w:pPr>
            <w:r w:rsidRPr="0053621E">
              <w:rPr>
                <w:iCs/>
                <w:sz w:val="12"/>
                <w:szCs w:val="12"/>
              </w:rPr>
              <w:t>-</w:t>
            </w:r>
          </w:p>
        </w:tc>
        <w:tc>
          <w:tcPr>
            <w:tcW w:w="142" w:type="dxa"/>
          </w:tcPr>
          <w:p w14:paraId="6A4336CF" w14:textId="77777777" w:rsidR="00EF4ED1" w:rsidRPr="0053621E" w:rsidRDefault="00EF4ED1" w:rsidP="00EF4ED1">
            <w:pPr>
              <w:ind w:right="57"/>
              <w:jc w:val="right"/>
              <w:rPr>
                <w:i/>
                <w:sz w:val="12"/>
                <w:szCs w:val="12"/>
              </w:rPr>
            </w:pPr>
          </w:p>
        </w:tc>
        <w:tc>
          <w:tcPr>
            <w:tcW w:w="992" w:type="dxa"/>
          </w:tcPr>
          <w:p w14:paraId="2F9A8A3A" w14:textId="7E504C28" w:rsidR="00EF4ED1" w:rsidRPr="0053621E" w:rsidRDefault="00EF4ED1" w:rsidP="00EF4ED1">
            <w:pPr>
              <w:ind w:right="57"/>
              <w:jc w:val="right"/>
              <w:rPr>
                <w:i/>
                <w:sz w:val="12"/>
                <w:szCs w:val="12"/>
              </w:rPr>
            </w:pPr>
            <w:r w:rsidRPr="0053621E">
              <w:rPr>
                <w:i/>
                <w:sz w:val="12"/>
                <w:szCs w:val="12"/>
              </w:rPr>
              <w:t>-</w:t>
            </w:r>
          </w:p>
        </w:tc>
        <w:tc>
          <w:tcPr>
            <w:tcW w:w="142" w:type="dxa"/>
          </w:tcPr>
          <w:p w14:paraId="56B5AF02" w14:textId="77777777" w:rsidR="00EF4ED1" w:rsidRPr="0053621E" w:rsidRDefault="00EF4ED1" w:rsidP="00EF4ED1">
            <w:pPr>
              <w:ind w:right="57"/>
              <w:jc w:val="right"/>
              <w:rPr>
                <w:i/>
                <w:sz w:val="12"/>
                <w:szCs w:val="12"/>
              </w:rPr>
            </w:pPr>
          </w:p>
        </w:tc>
        <w:tc>
          <w:tcPr>
            <w:tcW w:w="992" w:type="dxa"/>
          </w:tcPr>
          <w:p w14:paraId="1307B4B3" w14:textId="23DF94AD" w:rsidR="00EF4ED1" w:rsidRPr="0053621E" w:rsidRDefault="00D65AE7" w:rsidP="00EF4ED1">
            <w:pPr>
              <w:ind w:right="57"/>
              <w:jc w:val="right"/>
              <w:rPr>
                <w:sz w:val="12"/>
                <w:szCs w:val="12"/>
              </w:rPr>
            </w:pPr>
            <w:r w:rsidRPr="0053621E">
              <w:rPr>
                <w:sz w:val="12"/>
                <w:szCs w:val="12"/>
              </w:rPr>
              <w:t>2.844</w:t>
            </w:r>
            <w:r w:rsidR="00EF4ED1" w:rsidRPr="0053621E">
              <w:rPr>
                <w:sz w:val="12"/>
                <w:szCs w:val="12"/>
              </w:rPr>
              <w:t>.550</w:t>
            </w:r>
          </w:p>
        </w:tc>
        <w:tc>
          <w:tcPr>
            <w:tcW w:w="1701" w:type="dxa"/>
            <w:shd w:val="clear" w:color="auto" w:fill="auto"/>
            <w:vAlign w:val="bottom"/>
          </w:tcPr>
          <w:p w14:paraId="29ABE9C1" w14:textId="390AA51C" w:rsidR="00EF4ED1" w:rsidRPr="0053621E" w:rsidRDefault="00EF4ED1" w:rsidP="00EF4ED1">
            <w:pPr>
              <w:ind w:right="57"/>
              <w:jc w:val="right"/>
              <w:rPr>
                <w:i/>
                <w:sz w:val="12"/>
                <w:szCs w:val="12"/>
              </w:rPr>
            </w:pPr>
            <w:r w:rsidRPr="0053621E">
              <w:rPr>
                <w:i/>
                <w:sz w:val="12"/>
                <w:szCs w:val="12"/>
              </w:rPr>
              <w:t>AIK</w:t>
            </w:r>
          </w:p>
        </w:tc>
      </w:tr>
      <w:tr w:rsidR="00EF4ED1" w:rsidRPr="0053621E" w14:paraId="3B88196F" w14:textId="77777777" w:rsidTr="002108FF">
        <w:tc>
          <w:tcPr>
            <w:tcW w:w="2065" w:type="dxa"/>
            <w:shd w:val="clear" w:color="auto" w:fill="auto"/>
            <w:vAlign w:val="bottom"/>
          </w:tcPr>
          <w:p w14:paraId="266FC641" w14:textId="2781A48D" w:rsidR="00EF4ED1" w:rsidRPr="0053621E" w:rsidRDefault="00EF4ED1" w:rsidP="00EF4ED1">
            <w:pPr>
              <w:ind w:left="425"/>
              <w:rPr>
                <w:sz w:val="12"/>
                <w:szCs w:val="12"/>
              </w:rPr>
            </w:pPr>
            <w:r w:rsidRPr="0053621E">
              <w:rPr>
                <w:sz w:val="12"/>
                <w:szCs w:val="12"/>
              </w:rPr>
              <w:t>NSK</w:t>
            </w:r>
          </w:p>
        </w:tc>
        <w:tc>
          <w:tcPr>
            <w:tcW w:w="1054" w:type="dxa"/>
            <w:shd w:val="clear" w:color="auto" w:fill="auto"/>
          </w:tcPr>
          <w:p w14:paraId="29157618" w14:textId="28EE2B5C" w:rsidR="00EF4ED1" w:rsidRPr="0053621E" w:rsidRDefault="00EF4ED1" w:rsidP="00EF4ED1">
            <w:pPr>
              <w:ind w:right="57"/>
              <w:jc w:val="right"/>
              <w:rPr>
                <w:sz w:val="12"/>
                <w:szCs w:val="12"/>
              </w:rPr>
            </w:pPr>
            <w:r w:rsidRPr="0053621E">
              <w:rPr>
                <w:sz w:val="12"/>
                <w:szCs w:val="12"/>
              </w:rPr>
              <w:t>(199.382.087)</w:t>
            </w:r>
          </w:p>
        </w:tc>
        <w:tc>
          <w:tcPr>
            <w:tcW w:w="142" w:type="dxa"/>
            <w:shd w:val="clear" w:color="auto" w:fill="auto"/>
            <w:vAlign w:val="bottom"/>
          </w:tcPr>
          <w:p w14:paraId="37603F53" w14:textId="77777777" w:rsidR="00EF4ED1" w:rsidRPr="0053621E" w:rsidRDefault="00EF4ED1" w:rsidP="00EF4ED1">
            <w:pPr>
              <w:ind w:right="57"/>
              <w:jc w:val="right"/>
              <w:rPr>
                <w:sz w:val="12"/>
                <w:szCs w:val="12"/>
              </w:rPr>
            </w:pPr>
          </w:p>
        </w:tc>
        <w:tc>
          <w:tcPr>
            <w:tcW w:w="850" w:type="dxa"/>
          </w:tcPr>
          <w:p w14:paraId="026A2D5F" w14:textId="3B1AE595" w:rsidR="00EF4ED1" w:rsidRPr="0053621E" w:rsidRDefault="00D65AE7" w:rsidP="00EF4ED1">
            <w:pPr>
              <w:ind w:right="57"/>
              <w:jc w:val="right"/>
              <w:rPr>
                <w:sz w:val="12"/>
                <w:szCs w:val="12"/>
              </w:rPr>
            </w:pPr>
            <w:r w:rsidRPr="0053621E">
              <w:rPr>
                <w:sz w:val="12"/>
                <w:szCs w:val="12"/>
              </w:rPr>
              <w:t>(30.133)</w:t>
            </w:r>
          </w:p>
        </w:tc>
        <w:tc>
          <w:tcPr>
            <w:tcW w:w="142" w:type="dxa"/>
          </w:tcPr>
          <w:p w14:paraId="3E5B3D4D" w14:textId="77777777" w:rsidR="00EF4ED1" w:rsidRPr="0053621E" w:rsidRDefault="00EF4ED1" w:rsidP="00EF4ED1">
            <w:pPr>
              <w:ind w:right="57"/>
              <w:jc w:val="right"/>
              <w:rPr>
                <w:i/>
                <w:sz w:val="12"/>
                <w:szCs w:val="12"/>
              </w:rPr>
            </w:pPr>
          </w:p>
        </w:tc>
        <w:tc>
          <w:tcPr>
            <w:tcW w:w="992" w:type="dxa"/>
          </w:tcPr>
          <w:p w14:paraId="4D4B77C2" w14:textId="6986A958" w:rsidR="00EF4ED1" w:rsidRPr="0053621E" w:rsidRDefault="00EF4ED1" w:rsidP="00EF4ED1">
            <w:pPr>
              <w:ind w:right="57"/>
              <w:jc w:val="right"/>
              <w:rPr>
                <w:i/>
                <w:sz w:val="12"/>
                <w:szCs w:val="12"/>
              </w:rPr>
            </w:pPr>
            <w:r w:rsidRPr="0053621E">
              <w:rPr>
                <w:iCs/>
                <w:sz w:val="12"/>
                <w:szCs w:val="12"/>
              </w:rPr>
              <w:t>-</w:t>
            </w:r>
          </w:p>
        </w:tc>
        <w:tc>
          <w:tcPr>
            <w:tcW w:w="142" w:type="dxa"/>
          </w:tcPr>
          <w:p w14:paraId="633E3493" w14:textId="77777777" w:rsidR="00EF4ED1" w:rsidRPr="0053621E" w:rsidRDefault="00EF4ED1" w:rsidP="00EF4ED1">
            <w:pPr>
              <w:ind w:right="57"/>
              <w:jc w:val="right"/>
              <w:rPr>
                <w:i/>
                <w:sz w:val="12"/>
                <w:szCs w:val="12"/>
              </w:rPr>
            </w:pPr>
          </w:p>
        </w:tc>
        <w:tc>
          <w:tcPr>
            <w:tcW w:w="992" w:type="dxa"/>
          </w:tcPr>
          <w:p w14:paraId="6473E934" w14:textId="6E1B76E6" w:rsidR="00EF4ED1" w:rsidRPr="0053621E" w:rsidRDefault="00EF4ED1" w:rsidP="00EF4ED1">
            <w:pPr>
              <w:ind w:right="57"/>
              <w:jc w:val="right"/>
              <w:rPr>
                <w:i/>
                <w:sz w:val="12"/>
                <w:szCs w:val="12"/>
              </w:rPr>
            </w:pPr>
            <w:r w:rsidRPr="0053621E">
              <w:rPr>
                <w:i/>
                <w:sz w:val="12"/>
                <w:szCs w:val="12"/>
              </w:rPr>
              <w:t>-</w:t>
            </w:r>
          </w:p>
        </w:tc>
        <w:tc>
          <w:tcPr>
            <w:tcW w:w="142" w:type="dxa"/>
          </w:tcPr>
          <w:p w14:paraId="4DC66F1E" w14:textId="77777777" w:rsidR="00EF4ED1" w:rsidRPr="0053621E" w:rsidRDefault="00EF4ED1" w:rsidP="00EF4ED1">
            <w:pPr>
              <w:ind w:right="57"/>
              <w:jc w:val="right"/>
              <w:rPr>
                <w:i/>
                <w:sz w:val="12"/>
                <w:szCs w:val="12"/>
              </w:rPr>
            </w:pPr>
          </w:p>
        </w:tc>
        <w:tc>
          <w:tcPr>
            <w:tcW w:w="992" w:type="dxa"/>
          </w:tcPr>
          <w:p w14:paraId="50A1BC12" w14:textId="5C94C5FD" w:rsidR="00EF4ED1" w:rsidRPr="0053621E" w:rsidRDefault="00EF4ED1" w:rsidP="00EF4ED1">
            <w:pPr>
              <w:ind w:right="57"/>
              <w:jc w:val="right"/>
              <w:rPr>
                <w:sz w:val="12"/>
                <w:szCs w:val="12"/>
              </w:rPr>
            </w:pPr>
            <w:r w:rsidRPr="0053621E">
              <w:rPr>
                <w:sz w:val="12"/>
                <w:szCs w:val="12"/>
              </w:rPr>
              <w:t>(199.412.220)</w:t>
            </w:r>
          </w:p>
        </w:tc>
        <w:tc>
          <w:tcPr>
            <w:tcW w:w="1701" w:type="dxa"/>
            <w:shd w:val="clear" w:color="auto" w:fill="auto"/>
            <w:vAlign w:val="bottom"/>
          </w:tcPr>
          <w:p w14:paraId="67B8E723" w14:textId="686D02DB" w:rsidR="00EF4ED1" w:rsidRPr="0053621E" w:rsidRDefault="00EF4ED1" w:rsidP="00EF4ED1">
            <w:pPr>
              <w:ind w:right="57"/>
              <w:jc w:val="right"/>
              <w:rPr>
                <w:i/>
                <w:sz w:val="12"/>
                <w:szCs w:val="12"/>
              </w:rPr>
            </w:pPr>
            <w:r w:rsidRPr="0053621E">
              <w:rPr>
                <w:i/>
                <w:sz w:val="12"/>
                <w:szCs w:val="12"/>
              </w:rPr>
              <w:t>NSK</w:t>
            </w:r>
          </w:p>
        </w:tc>
      </w:tr>
      <w:tr w:rsidR="00EF4ED1" w:rsidRPr="0053621E" w14:paraId="681F93A9" w14:textId="77777777" w:rsidTr="00026751">
        <w:tc>
          <w:tcPr>
            <w:tcW w:w="2065" w:type="dxa"/>
            <w:shd w:val="clear" w:color="auto" w:fill="auto"/>
            <w:vAlign w:val="bottom"/>
          </w:tcPr>
          <w:p w14:paraId="6F448A7E" w14:textId="33927C2E" w:rsidR="00EF4ED1" w:rsidRPr="0053621E" w:rsidRDefault="00EF4ED1" w:rsidP="00EF4ED1">
            <w:pPr>
              <w:ind w:left="425"/>
              <w:rPr>
                <w:sz w:val="12"/>
                <w:szCs w:val="12"/>
              </w:rPr>
            </w:pPr>
            <w:r w:rsidRPr="0053621E">
              <w:rPr>
                <w:sz w:val="12"/>
                <w:szCs w:val="12"/>
              </w:rPr>
              <w:t>MSP</w:t>
            </w:r>
          </w:p>
        </w:tc>
        <w:tc>
          <w:tcPr>
            <w:tcW w:w="1054" w:type="dxa"/>
            <w:tcBorders>
              <w:bottom w:val="single" w:sz="4" w:space="0" w:color="auto"/>
            </w:tcBorders>
            <w:shd w:val="clear" w:color="auto" w:fill="auto"/>
          </w:tcPr>
          <w:p w14:paraId="3381F571" w14:textId="75479AEC" w:rsidR="00EF4ED1" w:rsidRPr="0053621E" w:rsidRDefault="00EF4ED1" w:rsidP="00EF4ED1">
            <w:pPr>
              <w:ind w:right="57"/>
              <w:jc w:val="right"/>
              <w:rPr>
                <w:sz w:val="12"/>
                <w:szCs w:val="12"/>
              </w:rPr>
            </w:pPr>
            <w:r w:rsidRPr="0053621E">
              <w:rPr>
                <w:sz w:val="12"/>
                <w:szCs w:val="12"/>
              </w:rPr>
              <w:t>8.204.146</w:t>
            </w:r>
          </w:p>
        </w:tc>
        <w:tc>
          <w:tcPr>
            <w:tcW w:w="142" w:type="dxa"/>
            <w:shd w:val="clear" w:color="auto" w:fill="auto"/>
            <w:vAlign w:val="bottom"/>
          </w:tcPr>
          <w:p w14:paraId="1BB1B8A9" w14:textId="77777777" w:rsidR="00EF4ED1" w:rsidRPr="0053621E" w:rsidRDefault="00EF4ED1" w:rsidP="00EF4ED1">
            <w:pPr>
              <w:ind w:right="57"/>
              <w:jc w:val="right"/>
              <w:rPr>
                <w:sz w:val="12"/>
                <w:szCs w:val="12"/>
              </w:rPr>
            </w:pPr>
          </w:p>
        </w:tc>
        <w:tc>
          <w:tcPr>
            <w:tcW w:w="850" w:type="dxa"/>
            <w:tcBorders>
              <w:bottom w:val="single" w:sz="4" w:space="0" w:color="auto"/>
            </w:tcBorders>
          </w:tcPr>
          <w:p w14:paraId="0C05DF40" w14:textId="6A162DDE" w:rsidR="00EF4ED1" w:rsidRPr="0053621E" w:rsidRDefault="00D65AE7" w:rsidP="00EF4ED1">
            <w:pPr>
              <w:ind w:right="57"/>
              <w:jc w:val="right"/>
              <w:rPr>
                <w:sz w:val="12"/>
                <w:szCs w:val="12"/>
              </w:rPr>
            </w:pPr>
            <w:r w:rsidRPr="0053621E">
              <w:rPr>
                <w:sz w:val="12"/>
                <w:szCs w:val="12"/>
              </w:rPr>
              <w:t>11.222</w:t>
            </w:r>
          </w:p>
        </w:tc>
        <w:tc>
          <w:tcPr>
            <w:tcW w:w="142" w:type="dxa"/>
          </w:tcPr>
          <w:p w14:paraId="58524209" w14:textId="77777777" w:rsidR="00EF4ED1" w:rsidRPr="0053621E" w:rsidRDefault="00EF4ED1" w:rsidP="00EF4ED1">
            <w:pPr>
              <w:ind w:right="57"/>
              <w:jc w:val="right"/>
              <w:rPr>
                <w:i/>
                <w:sz w:val="12"/>
                <w:szCs w:val="12"/>
              </w:rPr>
            </w:pPr>
          </w:p>
        </w:tc>
        <w:tc>
          <w:tcPr>
            <w:tcW w:w="992" w:type="dxa"/>
            <w:tcBorders>
              <w:bottom w:val="single" w:sz="4" w:space="0" w:color="auto"/>
            </w:tcBorders>
          </w:tcPr>
          <w:p w14:paraId="66BC3E6A" w14:textId="2EAD3EE8" w:rsidR="00EF4ED1" w:rsidRPr="0053621E" w:rsidRDefault="00EF4ED1" w:rsidP="00EF4ED1">
            <w:pPr>
              <w:ind w:right="57"/>
              <w:jc w:val="right"/>
              <w:rPr>
                <w:i/>
                <w:sz w:val="12"/>
                <w:szCs w:val="12"/>
              </w:rPr>
            </w:pPr>
            <w:r w:rsidRPr="0053621E">
              <w:rPr>
                <w:iCs/>
                <w:sz w:val="12"/>
                <w:szCs w:val="12"/>
              </w:rPr>
              <w:t>-</w:t>
            </w:r>
          </w:p>
        </w:tc>
        <w:tc>
          <w:tcPr>
            <w:tcW w:w="142" w:type="dxa"/>
          </w:tcPr>
          <w:p w14:paraId="5EB35EF8" w14:textId="77777777" w:rsidR="00EF4ED1" w:rsidRPr="0053621E" w:rsidRDefault="00EF4ED1" w:rsidP="00EF4ED1">
            <w:pPr>
              <w:ind w:right="57"/>
              <w:jc w:val="right"/>
              <w:rPr>
                <w:i/>
                <w:sz w:val="12"/>
                <w:szCs w:val="12"/>
              </w:rPr>
            </w:pPr>
          </w:p>
        </w:tc>
        <w:tc>
          <w:tcPr>
            <w:tcW w:w="992" w:type="dxa"/>
            <w:tcBorders>
              <w:bottom w:val="single" w:sz="4" w:space="0" w:color="auto"/>
            </w:tcBorders>
          </w:tcPr>
          <w:p w14:paraId="224F309B" w14:textId="47530CBE" w:rsidR="00EF4ED1" w:rsidRPr="0053621E" w:rsidRDefault="00EF4ED1" w:rsidP="00EF4ED1">
            <w:pPr>
              <w:ind w:right="57"/>
              <w:jc w:val="right"/>
              <w:rPr>
                <w:i/>
                <w:sz w:val="12"/>
                <w:szCs w:val="12"/>
              </w:rPr>
            </w:pPr>
            <w:r w:rsidRPr="0053621E">
              <w:rPr>
                <w:i/>
                <w:sz w:val="12"/>
                <w:szCs w:val="12"/>
              </w:rPr>
              <w:t>-</w:t>
            </w:r>
          </w:p>
        </w:tc>
        <w:tc>
          <w:tcPr>
            <w:tcW w:w="142" w:type="dxa"/>
          </w:tcPr>
          <w:p w14:paraId="53085BFC" w14:textId="77777777" w:rsidR="00EF4ED1" w:rsidRPr="0053621E" w:rsidRDefault="00EF4ED1" w:rsidP="00EF4ED1">
            <w:pPr>
              <w:ind w:right="57"/>
              <w:jc w:val="right"/>
              <w:rPr>
                <w:i/>
                <w:sz w:val="12"/>
                <w:szCs w:val="12"/>
              </w:rPr>
            </w:pPr>
          </w:p>
        </w:tc>
        <w:tc>
          <w:tcPr>
            <w:tcW w:w="992" w:type="dxa"/>
            <w:tcBorders>
              <w:bottom w:val="single" w:sz="4" w:space="0" w:color="auto"/>
            </w:tcBorders>
          </w:tcPr>
          <w:p w14:paraId="02BDBCCD" w14:textId="028A6997" w:rsidR="00EF4ED1" w:rsidRPr="0053621E" w:rsidRDefault="00EF4ED1" w:rsidP="00EF4ED1">
            <w:pPr>
              <w:ind w:right="57"/>
              <w:jc w:val="right"/>
              <w:rPr>
                <w:sz w:val="12"/>
                <w:szCs w:val="12"/>
              </w:rPr>
            </w:pPr>
            <w:r w:rsidRPr="0053621E">
              <w:rPr>
                <w:sz w:val="12"/>
                <w:szCs w:val="12"/>
              </w:rPr>
              <w:t>8.215.368</w:t>
            </w:r>
          </w:p>
        </w:tc>
        <w:tc>
          <w:tcPr>
            <w:tcW w:w="1701" w:type="dxa"/>
            <w:shd w:val="clear" w:color="auto" w:fill="auto"/>
            <w:vAlign w:val="bottom"/>
          </w:tcPr>
          <w:p w14:paraId="4400A750" w14:textId="39137AAE" w:rsidR="00EF4ED1" w:rsidRPr="0053621E" w:rsidRDefault="00EF4ED1" w:rsidP="00EF4ED1">
            <w:pPr>
              <w:ind w:right="57"/>
              <w:jc w:val="right"/>
              <w:rPr>
                <w:i/>
                <w:sz w:val="12"/>
                <w:szCs w:val="12"/>
              </w:rPr>
            </w:pPr>
            <w:r w:rsidRPr="0053621E">
              <w:rPr>
                <w:i/>
                <w:sz w:val="12"/>
                <w:szCs w:val="12"/>
              </w:rPr>
              <w:t>MSP</w:t>
            </w:r>
          </w:p>
        </w:tc>
      </w:tr>
      <w:tr w:rsidR="00026751" w:rsidRPr="0053621E" w14:paraId="04385334" w14:textId="77777777" w:rsidTr="00026751">
        <w:trPr>
          <w:trHeight w:val="64"/>
        </w:trPr>
        <w:tc>
          <w:tcPr>
            <w:tcW w:w="2065" w:type="dxa"/>
            <w:shd w:val="clear" w:color="auto" w:fill="auto"/>
            <w:vAlign w:val="bottom"/>
          </w:tcPr>
          <w:p w14:paraId="6ECF2D46" w14:textId="77777777" w:rsidR="00026751" w:rsidRPr="0053621E" w:rsidRDefault="00026751" w:rsidP="00026751">
            <w:pPr>
              <w:ind w:left="425"/>
              <w:rPr>
                <w:sz w:val="12"/>
                <w:szCs w:val="12"/>
              </w:rPr>
            </w:pPr>
          </w:p>
        </w:tc>
        <w:tc>
          <w:tcPr>
            <w:tcW w:w="1054" w:type="dxa"/>
            <w:tcBorders>
              <w:top w:val="single" w:sz="4" w:space="0" w:color="auto"/>
            </w:tcBorders>
            <w:shd w:val="clear" w:color="auto" w:fill="auto"/>
          </w:tcPr>
          <w:p w14:paraId="1D08C04E" w14:textId="77777777" w:rsidR="00026751" w:rsidRPr="0053621E" w:rsidRDefault="00026751" w:rsidP="00026751">
            <w:pPr>
              <w:ind w:right="57"/>
              <w:jc w:val="right"/>
              <w:rPr>
                <w:b/>
                <w:sz w:val="12"/>
                <w:szCs w:val="12"/>
              </w:rPr>
            </w:pPr>
          </w:p>
        </w:tc>
        <w:tc>
          <w:tcPr>
            <w:tcW w:w="142" w:type="dxa"/>
            <w:shd w:val="clear" w:color="auto" w:fill="auto"/>
            <w:vAlign w:val="bottom"/>
          </w:tcPr>
          <w:p w14:paraId="73C63D22" w14:textId="77777777" w:rsidR="00026751" w:rsidRPr="0053621E" w:rsidRDefault="00026751" w:rsidP="00026751">
            <w:pPr>
              <w:ind w:right="57"/>
              <w:jc w:val="right"/>
              <w:rPr>
                <w:sz w:val="12"/>
                <w:szCs w:val="12"/>
              </w:rPr>
            </w:pPr>
          </w:p>
        </w:tc>
        <w:tc>
          <w:tcPr>
            <w:tcW w:w="850" w:type="dxa"/>
            <w:tcBorders>
              <w:top w:val="single" w:sz="4" w:space="0" w:color="auto"/>
            </w:tcBorders>
            <w:vAlign w:val="bottom"/>
          </w:tcPr>
          <w:p w14:paraId="17244886" w14:textId="77777777" w:rsidR="00026751" w:rsidRPr="0053621E" w:rsidRDefault="00026751" w:rsidP="00026751">
            <w:pPr>
              <w:ind w:right="57"/>
              <w:jc w:val="right"/>
              <w:rPr>
                <w:b/>
                <w:sz w:val="12"/>
                <w:szCs w:val="12"/>
              </w:rPr>
            </w:pPr>
          </w:p>
        </w:tc>
        <w:tc>
          <w:tcPr>
            <w:tcW w:w="142" w:type="dxa"/>
          </w:tcPr>
          <w:p w14:paraId="412E5F76" w14:textId="77777777" w:rsidR="00026751" w:rsidRPr="0053621E" w:rsidRDefault="00026751" w:rsidP="00026751">
            <w:pPr>
              <w:ind w:right="57"/>
              <w:jc w:val="right"/>
              <w:rPr>
                <w:i/>
                <w:sz w:val="12"/>
                <w:szCs w:val="12"/>
              </w:rPr>
            </w:pPr>
          </w:p>
        </w:tc>
        <w:tc>
          <w:tcPr>
            <w:tcW w:w="992" w:type="dxa"/>
            <w:tcBorders>
              <w:top w:val="single" w:sz="4" w:space="0" w:color="auto"/>
            </w:tcBorders>
          </w:tcPr>
          <w:p w14:paraId="32F2149B" w14:textId="77777777" w:rsidR="00026751" w:rsidRPr="0053621E" w:rsidRDefault="00026751" w:rsidP="00026751">
            <w:pPr>
              <w:ind w:right="57"/>
              <w:jc w:val="right"/>
              <w:rPr>
                <w:i/>
                <w:sz w:val="12"/>
                <w:szCs w:val="12"/>
              </w:rPr>
            </w:pPr>
          </w:p>
        </w:tc>
        <w:tc>
          <w:tcPr>
            <w:tcW w:w="142" w:type="dxa"/>
          </w:tcPr>
          <w:p w14:paraId="5EA831F2" w14:textId="77777777" w:rsidR="00026751" w:rsidRPr="0053621E" w:rsidRDefault="00026751" w:rsidP="00026751">
            <w:pPr>
              <w:ind w:right="57"/>
              <w:jc w:val="right"/>
              <w:rPr>
                <w:i/>
                <w:sz w:val="12"/>
                <w:szCs w:val="12"/>
              </w:rPr>
            </w:pPr>
          </w:p>
        </w:tc>
        <w:tc>
          <w:tcPr>
            <w:tcW w:w="992" w:type="dxa"/>
            <w:tcBorders>
              <w:top w:val="single" w:sz="4" w:space="0" w:color="auto"/>
            </w:tcBorders>
          </w:tcPr>
          <w:p w14:paraId="7590F3BE" w14:textId="77777777" w:rsidR="00026751" w:rsidRPr="0053621E" w:rsidRDefault="00026751" w:rsidP="00026751">
            <w:pPr>
              <w:ind w:right="57"/>
              <w:jc w:val="right"/>
              <w:rPr>
                <w:i/>
                <w:sz w:val="12"/>
                <w:szCs w:val="12"/>
              </w:rPr>
            </w:pPr>
          </w:p>
        </w:tc>
        <w:tc>
          <w:tcPr>
            <w:tcW w:w="142" w:type="dxa"/>
          </w:tcPr>
          <w:p w14:paraId="54E3B044" w14:textId="77777777" w:rsidR="00026751" w:rsidRPr="0053621E" w:rsidRDefault="00026751" w:rsidP="00026751">
            <w:pPr>
              <w:ind w:right="57"/>
              <w:jc w:val="right"/>
              <w:rPr>
                <w:i/>
                <w:sz w:val="12"/>
                <w:szCs w:val="12"/>
              </w:rPr>
            </w:pPr>
          </w:p>
        </w:tc>
        <w:tc>
          <w:tcPr>
            <w:tcW w:w="992" w:type="dxa"/>
            <w:tcBorders>
              <w:top w:val="single" w:sz="4" w:space="0" w:color="auto"/>
            </w:tcBorders>
          </w:tcPr>
          <w:p w14:paraId="26632AF8" w14:textId="73FA269C" w:rsidR="00026751" w:rsidRPr="0053621E" w:rsidRDefault="00026751" w:rsidP="00026751">
            <w:pPr>
              <w:ind w:right="57"/>
              <w:jc w:val="right"/>
              <w:rPr>
                <w:i/>
                <w:sz w:val="12"/>
                <w:szCs w:val="12"/>
              </w:rPr>
            </w:pPr>
          </w:p>
        </w:tc>
        <w:tc>
          <w:tcPr>
            <w:tcW w:w="1701" w:type="dxa"/>
            <w:shd w:val="clear" w:color="auto" w:fill="auto"/>
            <w:vAlign w:val="bottom"/>
          </w:tcPr>
          <w:p w14:paraId="65FF0A3A" w14:textId="671A4CA1" w:rsidR="00026751" w:rsidRPr="0053621E" w:rsidRDefault="00026751" w:rsidP="00026751">
            <w:pPr>
              <w:ind w:right="57"/>
              <w:jc w:val="right"/>
              <w:rPr>
                <w:i/>
                <w:sz w:val="12"/>
                <w:szCs w:val="12"/>
              </w:rPr>
            </w:pPr>
          </w:p>
        </w:tc>
      </w:tr>
      <w:tr w:rsidR="00FE6377" w:rsidRPr="0013526B" w14:paraId="694549ED" w14:textId="77777777" w:rsidTr="00026751">
        <w:trPr>
          <w:trHeight w:val="74"/>
        </w:trPr>
        <w:tc>
          <w:tcPr>
            <w:tcW w:w="2065" w:type="dxa"/>
            <w:shd w:val="clear" w:color="auto" w:fill="auto"/>
            <w:vAlign w:val="bottom"/>
          </w:tcPr>
          <w:p w14:paraId="7FDC963A" w14:textId="26A3D07E" w:rsidR="00FE6377" w:rsidRPr="0053621E" w:rsidRDefault="00FE6377" w:rsidP="00FE6377">
            <w:pPr>
              <w:ind w:left="425"/>
              <w:rPr>
                <w:b/>
                <w:sz w:val="12"/>
                <w:szCs w:val="12"/>
              </w:rPr>
            </w:pPr>
            <w:r w:rsidRPr="0053621E">
              <w:rPr>
                <w:b/>
                <w:sz w:val="12"/>
                <w:szCs w:val="12"/>
              </w:rPr>
              <w:t xml:space="preserve">Jumlah </w:t>
            </w:r>
          </w:p>
        </w:tc>
        <w:tc>
          <w:tcPr>
            <w:tcW w:w="1054" w:type="dxa"/>
            <w:tcBorders>
              <w:bottom w:val="double" w:sz="4" w:space="0" w:color="auto"/>
            </w:tcBorders>
            <w:shd w:val="clear" w:color="auto" w:fill="auto"/>
          </w:tcPr>
          <w:p w14:paraId="4C7C32F2" w14:textId="01E1F748" w:rsidR="00FE6377" w:rsidRPr="0053621E" w:rsidRDefault="00FE6377" w:rsidP="00FE6377">
            <w:pPr>
              <w:ind w:right="57"/>
              <w:jc w:val="right"/>
              <w:rPr>
                <w:b/>
                <w:sz w:val="12"/>
                <w:szCs w:val="12"/>
              </w:rPr>
            </w:pPr>
            <w:r w:rsidRPr="0053621E">
              <w:rPr>
                <w:b/>
                <w:bCs w:val="0"/>
                <w:sz w:val="12"/>
                <w:szCs w:val="12"/>
              </w:rPr>
              <w:t>913.032.909</w:t>
            </w:r>
          </w:p>
        </w:tc>
        <w:tc>
          <w:tcPr>
            <w:tcW w:w="142" w:type="dxa"/>
            <w:shd w:val="clear" w:color="auto" w:fill="auto"/>
            <w:vAlign w:val="bottom"/>
          </w:tcPr>
          <w:p w14:paraId="53BB3BC4" w14:textId="77777777" w:rsidR="00FE6377" w:rsidRPr="0053621E" w:rsidRDefault="00FE6377" w:rsidP="00FE6377">
            <w:pPr>
              <w:ind w:right="57"/>
              <w:jc w:val="right"/>
              <w:rPr>
                <w:b/>
                <w:sz w:val="12"/>
                <w:szCs w:val="12"/>
              </w:rPr>
            </w:pPr>
          </w:p>
        </w:tc>
        <w:tc>
          <w:tcPr>
            <w:tcW w:w="850" w:type="dxa"/>
            <w:tcBorders>
              <w:bottom w:val="double" w:sz="4" w:space="0" w:color="auto"/>
            </w:tcBorders>
            <w:vAlign w:val="bottom"/>
          </w:tcPr>
          <w:p w14:paraId="50F09D7A" w14:textId="42945519" w:rsidR="00FE6377" w:rsidRPr="0053621E" w:rsidRDefault="00FE6377" w:rsidP="000B6DDF">
            <w:pPr>
              <w:ind w:right="57"/>
              <w:jc w:val="right"/>
              <w:rPr>
                <w:b/>
                <w:bCs w:val="0"/>
                <w:sz w:val="12"/>
                <w:szCs w:val="12"/>
              </w:rPr>
            </w:pPr>
            <w:r w:rsidRPr="0053621E">
              <w:rPr>
                <w:b/>
                <w:bCs w:val="0"/>
                <w:sz w:val="12"/>
                <w:szCs w:val="12"/>
              </w:rPr>
              <w:t>(</w:t>
            </w:r>
            <w:r w:rsidR="000B6DDF" w:rsidRPr="0053621E">
              <w:rPr>
                <w:b/>
                <w:bCs w:val="0"/>
                <w:sz w:val="12"/>
                <w:szCs w:val="12"/>
              </w:rPr>
              <w:t>8.130.376</w:t>
            </w:r>
            <w:r w:rsidRPr="0053621E">
              <w:rPr>
                <w:b/>
                <w:bCs w:val="0"/>
                <w:sz w:val="12"/>
                <w:szCs w:val="12"/>
              </w:rPr>
              <w:t>)</w:t>
            </w:r>
          </w:p>
        </w:tc>
        <w:tc>
          <w:tcPr>
            <w:tcW w:w="142" w:type="dxa"/>
          </w:tcPr>
          <w:p w14:paraId="4685413D" w14:textId="77777777" w:rsidR="00FE6377" w:rsidRPr="0053621E" w:rsidRDefault="00FE6377" w:rsidP="00FE6377">
            <w:pPr>
              <w:ind w:right="57"/>
              <w:jc w:val="right"/>
              <w:rPr>
                <w:b/>
                <w:i/>
                <w:sz w:val="12"/>
                <w:szCs w:val="12"/>
              </w:rPr>
            </w:pPr>
          </w:p>
        </w:tc>
        <w:tc>
          <w:tcPr>
            <w:tcW w:w="992" w:type="dxa"/>
            <w:tcBorders>
              <w:bottom w:val="double" w:sz="4" w:space="0" w:color="auto"/>
            </w:tcBorders>
          </w:tcPr>
          <w:p w14:paraId="75914BC5" w14:textId="160848E2" w:rsidR="00FE6377" w:rsidRPr="0053621E" w:rsidRDefault="00FE6377" w:rsidP="00FE6377">
            <w:pPr>
              <w:ind w:right="57"/>
              <w:jc w:val="right"/>
              <w:rPr>
                <w:b/>
                <w:bCs w:val="0"/>
                <w:sz w:val="12"/>
                <w:szCs w:val="12"/>
              </w:rPr>
            </w:pPr>
            <w:r w:rsidRPr="0053621E">
              <w:rPr>
                <w:b/>
                <w:bCs w:val="0"/>
                <w:sz w:val="12"/>
                <w:szCs w:val="12"/>
              </w:rPr>
              <w:t>(1.087.117)</w:t>
            </w:r>
          </w:p>
        </w:tc>
        <w:tc>
          <w:tcPr>
            <w:tcW w:w="142" w:type="dxa"/>
          </w:tcPr>
          <w:p w14:paraId="6E4131B3" w14:textId="77777777" w:rsidR="00FE6377" w:rsidRPr="0053621E" w:rsidRDefault="00FE6377" w:rsidP="00FE6377">
            <w:pPr>
              <w:ind w:right="57"/>
              <w:jc w:val="right"/>
              <w:rPr>
                <w:b/>
                <w:i/>
                <w:sz w:val="12"/>
                <w:szCs w:val="12"/>
              </w:rPr>
            </w:pPr>
          </w:p>
        </w:tc>
        <w:tc>
          <w:tcPr>
            <w:tcW w:w="992" w:type="dxa"/>
            <w:tcBorders>
              <w:bottom w:val="double" w:sz="4" w:space="0" w:color="auto"/>
            </w:tcBorders>
          </w:tcPr>
          <w:p w14:paraId="561C918B" w14:textId="1FDA2504" w:rsidR="00FE6377" w:rsidRPr="0053621E" w:rsidRDefault="00FE6377" w:rsidP="00FE6377">
            <w:pPr>
              <w:ind w:right="57"/>
              <w:jc w:val="right"/>
              <w:rPr>
                <w:b/>
                <w:i/>
                <w:sz w:val="12"/>
                <w:szCs w:val="12"/>
              </w:rPr>
            </w:pPr>
            <w:r w:rsidRPr="0053621E">
              <w:rPr>
                <w:b/>
                <w:i/>
                <w:sz w:val="12"/>
                <w:szCs w:val="12"/>
              </w:rPr>
              <w:t>-</w:t>
            </w:r>
          </w:p>
        </w:tc>
        <w:tc>
          <w:tcPr>
            <w:tcW w:w="142" w:type="dxa"/>
          </w:tcPr>
          <w:p w14:paraId="21086288" w14:textId="77777777" w:rsidR="00FE6377" w:rsidRPr="0053621E" w:rsidRDefault="00FE6377" w:rsidP="00FE6377">
            <w:pPr>
              <w:ind w:right="57"/>
              <w:jc w:val="right"/>
              <w:rPr>
                <w:b/>
                <w:sz w:val="12"/>
                <w:szCs w:val="12"/>
              </w:rPr>
            </w:pPr>
          </w:p>
        </w:tc>
        <w:tc>
          <w:tcPr>
            <w:tcW w:w="992" w:type="dxa"/>
            <w:tcBorders>
              <w:bottom w:val="double" w:sz="4" w:space="0" w:color="auto"/>
            </w:tcBorders>
          </w:tcPr>
          <w:p w14:paraId="15D75417" w14:textId="74A5AE72" w:rsidR="00FE6377" w:rsidRPr="0053621E" w:rsidRDefault="002C3F8E" w:rsidP="005F208A">
            <w:pPr>
              <w:ind w:right="57"/>
              <w:jc w:val="right"/>
              <w:rPr>
                <w:b/>
                <w:bCs w:val="0"/>
                <w:sz w:val="12"/>
                <w:szCs w:val="12"/>
              </w:rPr>
            </w:pPr>
            <w:r w:rsidRPr="0053621E">
              <w:rPr>
                <w:b/>
                <w:bCs w:val="0"/>
                <w:sz w:val="12"/>
                <w:szCs w:val="12"/>
              </w:rPr>
              <w:t>903.815.4</w:t>
            </w:r>
            <w:r w:rsidR="005F208A" w:rsidRPr="0053621E">
              <w:rPr>
                <w:b/>
                <w:bCs w:val="0"/>
                <w:sz w:val="12"/>
                <w:szCs w:val="12"/>
              </w:rPr>
              <w:t>39</w:t>
            </w:r>
          </w:p>
        </w:tc>
        <w:tc>
          <w:tcPr>
            <w:tcW w:w="1701" w:type="dxa"/>
            <w:shd w:val="clear" w:color="auto" w:fill="auto"/>
            <w:vAlign w:val="bottom"/>
          </w:tcPr>
          <w:p w14:paraId="39D631E7" w14:textId="7582379B" w:rsidR="00FE6377" w:rsidRPr="001308CC" w:rsidRDefault="00FE6377" w:rsidP="00FE6377">
            <w:pPr>
              <w:ind w:right="57"/>
              <w:jc w:val="right"/>
              <w:rPr>
                <w:b/>
                <w:i/>
                <w:sz w:val="12"/>
                <w:szCs w:val="12"/>
              </w:rPr>
            </w:pPr>
            <w:r w:rsidRPr="0053621E">
              <w:rPr>
                <w:b/>
                <w:i/>
                <w:sz w:val="12"/>
                <w:szCs w:val="12"/>
              </w:rPr>
              <w:t>Total</w:t>
            </w:r>
            <w:r w:rsidRPr="001308CC">
              <w:rPr>
                <w:b/>
                <w:i/>
                <w:sz w:val="12"/>
                <w:szCs w:val="12"/>
              </w:rPr>
              <w:t xml:space="preserve"> </w:t>
            </w:r>
          </w:p>
        </w:tc>
      </w:tr>
    </w:tbl>
    <w:p w14:paraId="7C32B82D" w14:textId="77777777" w:rsidR="00CF5200" w:rsidRDefault="00CF5200" w:rsidP="007A276F">
      <w:pPr>
        <w:jc w:val="both"/>
        <w:rPr>
          <w:sz w:val="12"/>
          <w:szCs w:val="18"/>
        </w:rPr>
      </w:pPr>
    </w:p>
    <w:tbl>
      <w:tblPr>
        <w:tblW w:w="9214" w:type="dxa"/>
        <w:tblInd w:w="392" w:type="dxa"/>
        <w:tblCellMar>
          <w:left w:w="0" w:type="dxa"/>
          <w:right w:w="0" w:type="dxa"/>
        </w:tblCellMar>
        <w:tblLook w:val="04A0" w:firstRow="1" w:lastRow="0" w:firstColumn="1" w:lastColumn="0" w:noHBand="0" w:noVBand="1"/>
      </w:tblPr>
      <w:tblGrid>
        <w:gridCol w:w="2065"/>
        <w:gridCol w:w="1054"/>
        <w:gridCol w:w="142"/>
        <w:gridCol w:w="850"/>
        <w:gridCol w:w="142"/>
        <w:gridCol w:w="992"/>
        <w:gridCol w:w="142"/>
        <w:gridCol w:w="992"/>
        <w:gridCol w:w="142"/>
        <w:gridCol w:w="992"/>
        <w:gridCol w:w="1701"/>
      </w:tblGrid>
      <w:tr w:rsidR="00026751" w:rsidRPr="0013526B" w14:paraId="2A479D99" w14:textId="77777777" w:rsidTr="002108FF">
        <w:tc>
          <w:tcPr>
            <w:tcW w:w="2065" w:type="dxa"/>
            <w:shd w:val="clear" w:color="auto" w:fill="auto"/>
            <w:vAlign w:val="bottom"/>
          </w:tcPr>
          <w:p w14:paraId="699E6D6F" w14:textId="77777777" w:rsidR="00026751" w:rsidRPr="0013526B" w:rsidRDefault="00026751" w:rsidP="00026751">
            <w:pPr>
              <w:ind w:left="175"/>
              <w:rPr>
                <w:sz w:val="18"/>
                <w:szCs w:val="18"/>
              </w:rPr>
            </w:pPr>
          </w:p>
        </w:tc>
        <w:tc>
          <w:tcPr>
            <w:tcW w:w="1054" w:type="dxa"/>
            <w:tcBorders>
              <w:bottom w:val="single" w:sz="4" w:space="0" w:color="auto"/>
            </w:tcBorders>
            <w:shd w:val="clear" w:color="auto" w:fill="auto"/>
          </w:tcPr>
          <w:p w14:paraId="54BC48A6" w14:textId="77777777" w:rsidR="00026751" w:rsidRDefault="00026751" w:rsidP="00026751">
            <w:pPr>
              <w:jc w:val="center"/>
              <w:rPr>
                <w:b/>
                <w:sz w:val="14"/>
                <w:szCs w:val="14"/>
              </w:rPr>
            </w:pPr>
          </w:p>
          <w:p w14:paraId="563BF852" w14:textId="77777777" w:rsidR="00026751" w:rsidRDefault="00026751" w:rsidP="00026751">
            <w:pPr>
              <w:jc w:val="center"/>
              <w:rPr>
                <w:b/>
                <w:sz w:val="14"/>
                <w:szCs w:val="14"/>
              </w:rPr>
            </w:pPr>
          </w:p>
          <w:p w14:paraId="7F6F7AC5" w14:textId="39809822" w:rsidR="00026751" w:rsidRPr="00CF5200" w:rsidRDefault="00026751" w:rsidP="00EF4ED1">
            <w:pPr>
              <w:jc w:val="center"/>
              <w:rPr>
                <w:b/>
                <w:sz w:val="14"/>
                <w:szCs w:val="14"/>
              </w:rPr>
            </w:pPr>
            <w:r>
              <w:rPr>
                <w:b/>
                <w:sz w:val="14"/>
                <w:szCs w:val="14"/>
              </w:rPr>
              <w:t>Saldo 1 Januari 2019/</w:t>
            </w:r>
            <w:r>
              <w:rPr>
                <w:b/>
                <w:sz w:val="14"/>
                <w:szCs w:val="14"/>
              </w:rPr>
              <w:br/>
            </w:r>
            <w:r w:rsidRPr="00CF5200">
              <w:rPr>
                <w:b/>
                <w:i/>
                <w:sz w:val="14"/>
                <w:szCs w:val="14"/>
              </w:rPr>
              <w:t>Balance as of January 1</w:t>
            </w:r>
            <w:r w:rsidR="00305CA0">
              <w:rPr>
                <w:b/>
                <w:i/>
                <w:sz w:val="14"/>
                <w:szCs w:val="14"/>
              </w:rPr>
              <w:t>.</w:t>
            </w:r>
            <w:r w:rsidRPr="00CF5200">
              <w:rPr>
                <w:b/>
                <w:i/>
                <w:sz w:val="14"/>
                <w:szCs w:val="14"/>
              </w:rPr>
              <w:t xml:space="preserve"> 2019</w:t>
            </w:r>
          </w:p>
        </w:tc>
        <w:tc>
          <w:tcPr>
            <w:tcW w:w="142" w:type="dxa"/>
            <w:shd w:val="clear" w:color="auto" w:fill="auto"/>
          </w:tcPr>
          <w:p w14:paraId="72C5C602" w14:textId="77777777" w:rsidR="00026751" w:rsidRPr="0013526B" w:rsidRDefault="00026751" w:rsidP="00026751">
            <w:pPr>
              <w:jc w:val="center"/>
              <w:rPr>
                <w:b/>
                <w:sz w:val="18"/>
                <w:szCs w:val="18"/>
              </w:rPr>
            </w:pPr>
          </w:p>
        </w:tc>
        <w:tc>
          <w:tcPr>
            <w:tcW w:w="850" w:type="dxa"/>
            <w:tcBorders>
              <w:bottom w:val="single" w:sz="4" w:space="0" w:color="auto"/>
            </w:tcBorders>
            <w:vAlign w:val="bottom"/>
          </w:tcPr>
          <w:p w14:paraId="284A30E4" w14:textId="3EC14A58" w:rsidR="00026751" w:rsidRPr="00CF5200" w:rsidRDefault="00026751" w:rsidP="00026751">
            <w:pPr>
              <w:jc w:val="center"/>
              <w:rPr>
                <w:b/>
                <w:i/>
                <w:sz w:val="14"/>
                <w:szCs w:val="14"/>
              </w:rPr>
            </w:pPr>
            <w:r>
              <w:rPr>
                <w:b/>
                <w:sz w:val="14"/>
                <w:szCs w:val="14"/>
              </w:rPr>
              <w:t xml:space="preserve">Bagian atas laba rugi neto/ </w:t>
            </w:r>
            <w:r>
              <w:rPr>
                <w:b/>
                <w:sz w:val="14"/>
                <w:szCs w:val="14"/>
              </w:rPr>
              <w:br/>
            </w:r>
            <w:r>
              <w:rPr>
                <w:b/>
                <w:i/>
                <w:sz w:val="14"/>
                <w:szCs w:val="14"/>
              </w:rPr>
              <w:t>Share in net profit loss</w:t>
            </w:r>
          </w:p>
        </w:tc>
        <w:tc>
          <w:tcPr>
            <w:tcW w:w="142" w:type="dxa"/>
          </w:tcPr>
          <w:p w14:paraId="41425F8A" w14:textId="77777777" w:rsidR="00026751" w:rsidRPr="00CF5200" w:rsidRDefault="00026751" w:rsidP="00026751">
            <w:pPr>
              <w:jc w:val="right"/>
              <w:rPr>
                <w:sz w:val="14"/>
                <w:szCs w:val="14"/>
              </w:rPr>
            </w:pPr>
          </w:p>
        </w:tc>
        <w:tc>
          <w:tcPr>
            <w:tcW w:w="992" w:type="dxa"/>
            <w:tcBorders>
              <w:bottom w:val="single" w:sz="4" w:space="0" w:color="auto"/>
            </w:tcBorders>
          </w:tcPr>
          <w:p w14:paraId="7D42D990" w14:textId="77777777" w:rsidR="00026751" w:rsidRDefault="00026751" w:rsidP="00026751">
            <w:pPr>
              <w:jc w:val="center"/>
              <w:rPr>
                <w:b/>
                <w:sz w:val="14"/>
                <w:szCs w:val="14"/>
              </w:rPr>
            </w:pPr>
            <w:r>
              <w:rPr>
                <w:b/>
                <w:sz w:val="14"/>
                <w:szCs w:val="14"/>
              </w:rPr>
              <w:t xml:space="preserve">Penghasilan komprehensif lain/ </w:t>
            </w:r>
          </w:p>
          <w:p w14:paraId="0C28C0F9" w14:textId="08A15B95" w:rsidR="00026751" w:rsidRPr="00CF5200" w:rsidRDefault="00026751" w:rsidP="00026751">
            <w:pPr>
              <w:jc w:val="center"/>
              <w:rPr>
                <w:b/>
                <w:i/>
                <w:sz w:val="14"/>
                <w:szCs w:val="14"/>
              </w:rPr>
            </w:pPr>
            <w:r w:rsidRPr="00CF5200">
              <w:rPr>
                <w:b/>
                <w:i/>
                <w:sz w:val="14"/>
                <w:szCs w:val="14"/>
              </w:rPr>
              <w:t xml:space="preserve">Other comprehensive income </w:t>
            </w:r>
          </w:p>
        </w:tc>
        <w:tc>
          <w:tcPr>
            <w:tcW w:w="142" w:type="dxa"/>
          </w:tcPr>
          <w:p w14:paraId="127FC1C3" w14:textId="77777777" w:rsidR="00026751" w:rsidRPr="00CF5200" w:rsidRDefault="00026751" w:rsidP="00026751">
            <w:pPr>
              <w:jc w:val="right"/>
              <w:rPr>
                <w:sz w:val="14"/>
                <w:szCs w:val="14"/>
              </w:rPr>
            </w:pPr>
          </w:p>
        </w:tc>
        <w:tc>
          <w:tcPr>
            <w:tcW w:w="992" w:type="dxa"/>
            <w:tcBorders>
              <w:bottom w:val="single" w:sz="4" w:space="0" w:color="auto"/>
            </w:tcBorders>
            <w:vAlign w:val="bottom"/>
          </w:tcPr>
          <w:p w14:paraId="75CCC9B8" w14:textId="77777777" w:rsidR="00026751" w:rsidRDefault="00026751" w:rsidP="00026751">
            <w:pPr>
              <w:jc w:val="center"/>
              <w:rPr>
                <w:b/>
                <w:sz w:val="14"/>
                <w:szCs w:val="14"/>
              </w:rPr>
            </w:pPr>
          </w:p>
          <w:p w14:paraId="0C23D7B3" w14:textId="4C638F5B" w:rsidR="00026751" w:rsidRPr="00CF5200" w:rsidRDefault="00026751" w:rsidP="00026751">
            <w:pPr>
              <w:jc w:val="center"/>
              <w:rPr>
                <w:b/>
                <w:sz w:val="14"/>
                <w:szCs w:val="14"/>
              </w:rPr>
            </w:pPr>
            <w:r w:rsidRPr="00CF5200">
              <w:rPr>
                <w:b/>
                <w:sz w:val="14"/>
                <w:szCs w:val="14"/>
              </w:rPr>
              <w:t>Tambahan modal disetor/</w:t>
            </w:r>
            <w:r w:rsidRPr="00CF5200">
              <w:rPr>
                <w:b/>
                <w:sz w:val="14"/>
                <w:szCs w:val="14"/>
              </w:rPr>
              <w:br/>
            </w:r>
            <w:r w:rsidRPr="00CF5200">
              <w:rPr>
                <w:b/>
                <w:i/>
                <w:sz w:val="14"/>
                <w:szCs w:val="14"/>
              </w:rPr>
              <w:t>Additional paid in capital</w:t>
            </w:r>
          </w:p>
        </w:tc>
        <w:tc>
          <w:tcPr>
            <w:tcW w:w="142" w:type="dxa"/>
          </w:tcPr>
          <w:p w14:paraId="5616B163" w14:textId="77777777" w:rsidR="00026751" w:rsidRPr="00CF5200" w:rsidRDefault="00026751" w:rsidP="00026751">
            <w:pPr>
              <w:jc w:val="right"/>
              <w:rPr>
                <w:sz w:val="14"/>
                <w:szCs w:val="14"/>
              </w:rPr>
            </w:pPr>
          </w:p>
        </w:tc>
        <w:tc>
          <w:tcPr>
            <w:tcW w:w="992" w:type="dxa"/>
            <w:tcBorders>
              <w:bottom w:val="single" w:sz="4" w:space="0" w:color="auto"/>
            </w:tcBorders>
          </w:tcPr>
          <w:p w14:paraId="0C56AEDA" w14:textId="77777777" w:rsidR="00026751" w:rsidRDefault="00026751" w:rsidP="00026751">
            <w:pPr>
              <w:jc w:val="center"/>
              <w:rPr>
                <w:b/>
                <w:sz w:val="14"/>
                <w:szCs w:val="14"/>
              </w:rPr>
            </w:pPr>
          </w:p>
          <w:p w14:paraId="747EA634" w14:textId="77777777" w:rsidR="00026751" w:rsidRPr="00CF5200" w:rsidRDefault="00026751" w:rsidP="00026751">
            <w:pPr>
              <w:jc w:val="center"/>
              <w:rPr>
                <w:b/>
                <w:sz w:val="14"/>
                <w:szCs w:val="14"/>
              </w:rPr>
            </w:pPr>
            <w:r w:rsidRPr="00CF5200">
              <w:rPr>
                <w:b/>
                <w:sz w:val="14"/>
                <w:szCs w:val="14"/>
              </w:rPr>
              <w:t>Saldo 31 Desember 2019/</w:t>
            </w:r>
          </w:p>
          <w:p w14:paraId="1750961C" w14:textId="15F70B08" w:rsidR="00026751" w:rsidRPr="00CF5200" w:rsidRDefault="00026751" w:rsidP="00EF4ED1">
            <w:pPr>
              <w:jc w:val="center"/>
              <w:rPr>
                <w:i/>
                <w:sz w:val="14"/>
                <w:szCs w:val="14"/>
              </w:rPr>
            </w:pPr>
            <w:r w:rsidRPr="00CF5200">
              <w:rPr>
                <w:b/>
                <w:i/>
                <w:sz w:val="14"/>
                <w:szCs w:val="14"/>
              </w:rPr>
              <w:t>Balance as of December 31</w:t>
            </w:r>
            <w:r w:rsidR="00305CA0">
              <w:rPr>
                <w:b/>
                <w:i/>
                <w:sz w:val="14"/>
                <w:szCs w:val="14"/>
              </w:rPr>
              <w:t>.</w:t>
            </w:r>
            <w:r w:rsidRPr="00CF5200">
              <w:rPr>
                <w:b/>
                <w:i/>
                <w:sz w:val="14"/>
                <w:szCs w:val="14"/>
              </w:rPr>
              <w:t xml:space="preserve"> 201</w:t>
            </w:r>
            <w:r>
              <w:rPr>
                <w:b/>
                <w:i/>
                <w:sz w:val="14"/>
                <w:szCs w:val="14"/>
              </w:rPr>
              <w:t>9</w:t>
            </w:r>
          </w:p>
        </w:tc>
        <w:tc>
          <w:tcPr>
            <w:tcW w:w="1701" w:type="dxa"/>
            <w:shd w:val="clear" w:color="auto" w:fill="auto"/>
            <w:vAlign w:val="bottom"/>
          </w:tcPr>
          <w:p w14:paraId="099B6A3F" w14:textId="77777777" w:rsidR="00026751" w:rsidRPr="00CF5200" w:rsidRDefault="00026751" w:rsidP="00026751">
            <w:pPr>
              <w:jc w:val="right"/>
              <w:rPr>
                <w:sz w:val="14"/>
                <w:szCs w:val="14"/>
              </w:rPr>
            </w:pPr>
          </w:p>
        </w:tc>
      </w:tr>
      <w:tr w:rsidR="00E14DBC" w:rsidRPr="0013526B" w14:paraId="1F6B0340" w14:textId="77777777" w:rsidTr="002108FF">
        <w:trPr>
          <w:trHeight w:val="183"/>
        </w:trPr>
        <w:tc>
          <w:tcPr>
            <w:tcW w:w="2065" w:type="dxa"/>
            <w:shd w:val="clear" w:color="auto" w:fill="auto"/>
            <w:vAlign w:val="bottom"/>
          </w:tcPr>
          <w:p w14:paraId="1875BE97" w14:textId="77777777" w:rsidR="00E14DBC" w:rsidRPr="0013526B" w:rsidRDefault="00E14DBC" w:rsidP="006A720D">
            <w:pPr>
              <w:rPr>
                <w:sz w:val="16"/>
                <w:szCs w:val="18"/>
              </w:rPr>
            </w:pPr>
          </w:p>
        </w:tc>
        <w:tc>
          <w:tcPr>
            <w:tcW w:w="1054" w:type="dxa"/>
            <w:tcBorders>
              <w:top w:val="single" w:sz="4" w:space="0" w:color="auto"/>
            </w:tcBorders>
            <w:shd w:val="clear" w:color="auto" w:fill="auto"/>
            <w:vAlign w:val="bottom"/>
          </w:tcPr>
          <w:p w14:paraId="781D6FAF" w14:textId="77777777" w:rsidR="00E14DBC" w:rsidRPr="0013526B" w:rsidRDefault="00E14DBC" w:rsidP="006A720D">
            <w:pPr>
              <w:jc w:val="right"/>
              <w:rPr>
                <w:sz w:val="16"/>
                <w:szCs w:val="18"/>
              </w:rPr>
            </w:pPr>
          </w:p>
        </w:tc>
        <w:tc>
          <w:tcPr>
            <w:tcW w:w="142" w:type="dxa"/>
            <w:shd w:val="clear" w:color="auto" w:fill="auto"/>
            <w:vAlign w:val="bottom"/>
          </w:tcPr>
          <w:p w14:paraId="1C527BB2" w14:textId="77777777" w:rsidR="00E14DBC" w:rsidRPr="0013526B" w:rsidRDefault="00E14DBC" w:rsidP="006A720D">
            <w:pPr>
              <w:jc w:val="right"/>
              <w:rPr>
                <w:sz w:val="16"/>
                <w:szCs w:val="18"/>
              </w:rPr>
            </w:pPr>
          </w:p>
        </w:tc>
        <w:tc>
          <w:tcPr>
            <w:tcW w:w="850" w:type="dxa"/>
            <w:tcBorders>
              <w:top w:val="single" w:sz="4" w:space="0" w:color="auto"/>
            </w:tcBorders>
            <w:vAlign w:val="bottom"/>
          </w:tcPr>
          <w:p w14:paraId="23601D87" w14:textId="77777777" w:rsidR="00E14DBC" w:rsidRPr="0013526B" w:rsidRDefault="00E14DBC" w:rsidP="006A720D">
            <w:pPr>
              <w:jc w:val="right"/>
              <w:rPr>
                <w:sz w:val="16"/>
                <w:szCs w:val="18"/>
              </w:rPr>
            </w:pPr>
          </w:p>
        </w:tc>
        <w:tc>
          <w:tcPr>
            <w:tcW w:w="142" w:type="dxa"/>
          </w:tcPr>
          <w:p w14:paraId="395990EC" w14:textId="77777777" w:rsidR="00E14DBC" w:rsidRPr="0013526B" w:rsidRDefault="00E14DBC" w:rsidP="006A720D">
            <w:pPr>
              <w:jc w:val="right"/>
              <w:rPr>
                <w:sz w:val="16"/>
                <w:szCs w:val="18"/>
              </w:rPr>
            </w:pPr>
          </w:p>
        </w:tc>
        <w:tc>
          <w:tcPr>
            <w:tcW w:w="992" w:type="dxa"/>
            <w:tcBorders>
              <w:top w:val="single" w:sz="4" w:space="0" w:color="auto"/>
            </w:tcBorders>
          </w:tcPr>
          <w:p w14:paraId="3C196F26" w14:textId="77777777" w:rsidR="00E14DBC" w:rsidRPr="0013526B" w:rsidRDefault="00E14DBC" w:rsidP="006A720D">
            <w:pPr>
              <w:jc w:val="right"/>
              <w:rPr>
                <w:sz w:val="16"/>
                <w:szCs w:val="18"/>
              </w:rPr>
            </w:pPr>
          </w:p>
        </w:tc>
        <w:tc>
          <w:tcPr>
            <w:tcW w:w="142" w:type="dxa"/>
          </w:tcPr>
          <w:p w14:paraId="36C9CE3C" w14:textId="77777777" w:rsidR="00E14DBC" w:rsidRPr="0013526B" w:rsidRDefault="00E14DBC" w:rsidP="006A720D">
            <w:pPr>
              <w:jc w:val="right"/>
              <w:rPr>
                <w:sz w:val="16"/>
                <w:szCs w:val="18"/>
              </w:rPr>
            </w:pPr>
          </w:p>
        </w:tc>
        <w:tc>
          <w:tcPr>
            <w:tcW w:w="992" w:type="dxa"/>
            <w:tcBorders>
              <w:top w:val="single" w:sz="4" w:space="0" w:color="auto"/>
            </w:tcBorders>
          </w:tcPr>
          <w:p w14:paraId="76F9ADEF" w14:textId="77777777" w:rsidR="00E14DBC" w:rsidRPr="0013526B" w:rsidRDefault="00E14DBC" w:rsidP="006A720D">
            <w:pPr>
              <w:jc w:val="right"/>
              <w:rPr>
                <w:sz w:val="16"/>
                <w:szCs w:val="18"/>
              </w:rPr>
            </w:pPr>
          </w:p>
        </w:tc>
        <w:tc>
          <w:tcPr>
            <w:tcW w:w="142" w:type="dxa"/>
          </w:tcPr>
          <w:p w14:paraId="6392975E" w14:textId="77777777" w:rsidR="00E14DBC" w:rsidRPr="0013526B" w:rsidRDefault="00E14DBC" w:rsidP="006A720D">
            <w:pPr>
              <w:jc w:val="right"/>
              <w:rPr>
                <w:sz w:val="16"/>
                <w:szCs w:val="18"/>
              </w:rPr>
            </w:pPr>
          </w:p>
        </w:tc>
        <w:tc>
          <w:tcPr>
            <w:tcW w:w="992" w:type="dxa"/>
            <w:tcBorders>
              <w:top w:val="single" w:sz="4" w:space="0" w:color="auto"/>
            </w:tcBorders>
          </w:tcPr>
          <w:p w14:paraId="09C5E06C" w14:textId="77777777" w:rsidR="00E14DBC" w:rsidRPr="0013526B" w:rsidRDefault="00E14DBC" w:rsidP="006A720D">
            <w:pPr>
              <w:jc w:val="right"/>
              <w:rPr>
                <w:sz w:val="16"/>
                <w:szCs w:val="18"/>
              </w:rPr>
            </w:pPr>
          </w:p>
        </w:tc>
        <w:tc>
          <w:tcPr>
            <w:tcW w:w="1701" w:type="dxa"/>
            <w:shd w:val="clear" w:color="auto" w:fill="auto"/>
            <w:vAlign w:val="bottom"/>
          </w:tcPr>
          <w:p w14:paraId="073F3899" w14:textId="77777777" w:rsidR="00E14DBC" w:rsidRPr="0013526B" w:rsidRDefault="00E14DBC" w:rsidP="006A720D">
            <w:pPr>
              <w:jc w:val="right"/>
              <w:rPr>
                <w:sz w:val="16"/>
                <w:szCs w:val="18"/>
              </w:rPr>
            </w:pPr>
          </w:p>
        </w:tc>
      </w:tr>
      <w:tr w:rsidR="00026751" w:rsidRPr="0013526B" w14:paraId="474A7BBD" w14:textId="77777777" w:rsidTr="002108FF">
        <w:tc>
          <w:tcPr>
            <w:tcW w:w="2065" w:type="dxa"/>
            <w:shd w:val="clear" w:color="auto" w:fill="auto"/>
            <w:vAlign w:val="bottom"/>
          </w:tcPr>
          <w:p w14:paraId="67687488" w14:textId="18903CF0" w:rsidR="00026751" w:rsidRPr="001308CC" w:rsidRDefault="00026751" w:rsidP="00026751">
            <w:pPr>
              <w:ind w:left="425"/>
              <w:rPr>
                <w:sz w:val="12"/>
                <w:szCs w:val="12"/>
              </w:rPr>
            </w:pPr>
            <w:r>
              <w:rPr>
                <w:sz w:val="12"/>
                <w:szCs w:val="12"/>
              </w:rPr>
              <w:t>NKM</w:t>
            </w:r>
          </w:p>
        </w:tc>
        <w:tc>
          <w:tcPr>
            <w:tcW w:w="1054" w:type="dxa"/>
            <w:shd w:val="clear" w:color="auto" w:fill="auto"/>
          </w:tcPr>
          <w:p w14:paraId="2D4B6DC8" w14:textId="3E842A77" w:rsidR="00026751" w:rsidRPr="00473530" w:rsidRDefault="00026751" w:rsidP="00026751">
            <w:pPr>
              <w:ind w:right="57"/>
              <w:jc w:val="right"/>
              <w:rPr>
                <w:sz w:val="12"/>
                <w:szCs w:val="12"/>
              </w:rPr>
            </w:pPr>
            <w:r w:rsidRPr="00473530">
              <w:rPr>
                <w:sz w:val="12"/>
                <w:szCs w:val="12"/>
              </w:rPr>
              <w:t>730.933.818</w:t>
            </w:r>
          </w:p>
        </w:tc>
        <w:tc>
          <w:tcPr>
            <w:tcW w:w="142" w:type="dxa"/>
            <w:shd w:val="clear" w:color="auto" w:fill="auto"/>
            <w:vAlign w:val="bottom"/>
          </w:tcPr>
          <w:p w14:paraId="41BF6C78" w14:textId="77777777" w:rsidR="00026751" w:rsidRPr="00473530" w:rsidRDefault="00026751" w:rsidP="00026751">
            <w:pPr>
              <w:ind w:right="57"/>
              <w:jc w:val="right"/>
              <w:rPr>
                <w:sz w:val="12"/>
                <w:szCs w:val="12"/>
              </w:rPr>
            </w:pPr>
          </w:p>
        </w:tc>
        <w:tc>
          <w:tcPr>
            <w:tcW w:w="850" w:type="dxa"/>
          </w:tcPr>
          <w:p w14:paraId="67B11720" w14:textId="011B9B0B" w:rsidR="00026751" w:rsidRPr="00473530" w:rsidRDefault="00026751" w:rsidP="00026751">
            <w:pPr>
              <w:ind w:right="57"/>
              <w:jc w:val="right"/>
              <w:rPr>
                <w:sz w:val="12"/>
                <w:szCs w:val="12"/>
              </w:rPr>
            </w:pPr>
            <w:r w:rsidRPr="00006A68">
              <w:rPr>
                <w:sz w:val="12"/>
                <w:szCs w:val="12"/>
              </w:rPr>
              <w:t>(83.473.84</w:t>
            </w:r>
            <w:r>
              <w:rPr>
                <w:sz w:val="12"/>
                <w:szCs w:val="12"/>
              </w:rPr>
              <w:t>4</w:t>
            </w:r>
            <w:r w:rsidRPr="00006A68">
              <w:rPr>
                <w:sz w:val="12"/>
                <w:szCs w:val="12"/>
              </w:rPr>
              <w:t>)</w:t>
            </w:r>
          </w:p>
        </w:tc>
        <w:tc>
          <w:tcPr>
            <w:tcW w:w="142" w:type="dxa"/>
          </w:tcPr>
          <w:p w14:paraId="0FD1172C" w14:textId="77777777" w:rsidR="00026751" w:rsidRPr="00473530" w:rsidRDefault="00026751" w:rsidP="00026751">
            <w:pPr>
              <w:ind w:right="57"/>
              <w:jc w:val="right"/>
              <w:rPr>
                <w:i/>
                <w:sz w:val="12"/>
                <w:szCs w:val="12"/>
              </w:rPr>
            </w:pPr>
          </w:p>
        </w:tc>
        <w:tc>
          <w:tcPr>
            <w:tcW w:w="992" w:type="dxa"/>
          </w:tcPr>
          <w:p w14:paraId="63729FB7" w14:textId="768CF148" w:rsidR="00026751" w:rsidRPr="00473530" w:rsidRDefault="00026751" w:rsidP="00026751">
            <w:pPr>
              <w:ind w:right="57"/>
              <w:jc w:val="right"/>
              <w:rPr>
                <w:i/>
                <w:sz w:val="12"/>
                <w:szCs w:val="12"/>
              </w:rPr>
            </w:pPr>
            <w:r w:rsidRPr="009124DB">
              <w:rPr>
                <w:iCs/>
                <w:sz w:val="12"/>
                <w:szCs w:val="12"/>
              </w:rPr>
              <w:t>13.045.39</w:t>
            </w:r>
            <w:r>
              <w:rPr>
                <w:iCs/>
                <w:sz w:val="12"/>
                <w:szCs w:val="12"/>
              </w:rPr>
              <w:t>9</w:t>
            </w:r>
          </w:p>
        </w:tc>
        <w:tc>
          <w:tcPr>
            <w:tcW w:w="142" w:type="dxa"/>
          </w:tcPr>
          <w:p w14:paraId="3F661A2E" w14:textId="77777777" w:rsidR="00026751" w:rsidRPr="00473530" w:rsidRDefault="00026751" w:rsidP="00026751">
            <w:pPr>
              <w:ind w:right="57"/>
              <w:jc w:val="right"/>
              <w:rPr>
                <w:i/>
                <w:sz w:val="12"/>
                <w:szCs w:val="12"/>
              </w:rPr>
            </w:pPr>
          </w:p>
        </w:tc>
        <w:tc>
          <w:tcPr>
            <w:tcW w:w="992" w:type="dxa"/>
          </w:tcPr>
          <w:p w14:paraId="4B07235D" w14:textId="6A8F5A71" w:rsidR="00026751" w:rsidRPr="00473530" w:rsidRDefault="00026751" w:rsidP="00026751">
            <w:pPr>
              <w:ind w:right="57"/>
              <w:jc w:val="right"/>
              <w:rPr>
                <w:i/>
                <w:sz w:val="12"/>
                <w:szCs w:val="12"/>
              </w:rPr>
            </w:pPr>
            <w:r>
              <w:rPr>
                <w:i/>
                <w:sz w:val="12"/>
                <w:szCs w:val="12"/>
              </w:rPr>
              <w:t>-</w:t>
            </w:r>
          </w:p>
        </w:tc>
        <w:tc>
          <w:tcPr>
            <w:tcW w:w="142" w:type="dxa"/>
          </w:tcPr>
          <w:p w14:paraId="6BE479A7" w14:textId="77777777" w:rsidR="00026751" w:rsidRPr="00473530" w:rsidRDefault="00026751" w:rsidP="00026751">
            <w:pPr>
              <w:ind w:right="57"/>
              <w:jc w:val="right"/>
              <w:rPr>
                <w:i/>
                <w:sz w:val="12"/>
                <w:szCs w:val="12"/>
              </w:rPr>
            </w:pPr>
          </w:p>
        </w:tc>
        <w:tc>
          <w:tcPr>
            <w:tcW w:w="992" w:type="dxa"/>
          </w:tcPr>
          <w:p w14:paraId="371BF7D3" w14:textId="0CDA6781" w:rsidR="00026751" w:rsidRPr="00473530" w:rsidRDefault="00026751" w:rsidP="00026751">
            <w:pPr>
              <w:ind w:right="57"/>
              <w:jc w:val="right"/>
              <w:rPr>
                <w:i/>
                <w:sz w:val="12"/>
                <w:szCs w:val="12"/>
              </w:rPr>
            </w:pPr>
            <w:r>
              <w:rPr>
                <w:sz w:val="12"/>
                <w:szCs w:val="12"/>
              </w:rPr>
              <w:t>660.505.373</w:t>
            </w:r>
          </w:p>
        </w:tc>
        <w:tc>
          <w:tcPr>
            <w:tcW w:w="1701" w:type="dxa"/>
            <w:shd w:val="clear" w:color="auto" w:fill="auto"/>
            <w:vAlign w:val="bottom"/>
          </w:tcPr>
          <w:p w14:paraId="46FF32BE" w14:textId="77777777" w:rsidR="00026751" w:rsidRPr="00E14DBC" w:rsidRDefault="00026751" w:rsidP="00026751">
            <w:pPr>
              <w:ind w:right="57"/>
              <w:jc w:val="right"/>
              <w:rPr>
                <w:i/>
                <w:sz w:val="12"/>
                <w:szCs w:val="12"/>
              </w:rPr>
            </w:pPr>
            <w:r w:rsidRPr="00E14DBC">
              <w:rPr>
                <w:i/>
                <w:sz w:val="12"/>
                <w:szCs w:val="12"/>
              </w:rPr>
              <w:t>NKM</w:t>
            </w:r>
          </w:p>
        </w:tc>
      </w:tr>
      <w:tr w:rsidR="00026751" w:rsidRPr="0013526B" w14:paraId="5C216789" w14:textId="77777777" w:rsidTr="002108FF">
        <w:tc>
          <w:tcPr>
            <w:tcW w:w="2065" w:type="dxa"/>
            <w:shd w:val="clear" w:color="auto" w:fill="auto"/>
            <w:vAlign w:val="bottom"/>
          </w:tcPr>
          <w:p w14:paraId="0F79DDE6" w14:textId="6586C15F" w:rsidR="00026751" w:rsidRPr="001308CC" w:rsidRDefault="00026751" w:rsidP="00026751">
            <w:pPr>
              <w:ind w:left="425"/>
              <w:rPr>
                <w:sz w:val="12"/>
                <w:szCs w:val="12"/>
              </w:rPr>
            </w:pPr>
            <w:r>
              <w:rPr>
                <w:sz w:val="12"/>
                <w:szCs w:val="12"/>
              </w:rPr>
              <w:t>FKM</w:t>
            </w:r>
          </w:p>
        </w:tc>
        <w:tc>
          <w:tcPr>
            <w:tcW w:w="1054" w:type="dxa"/>
            <w:shd w:val="clear" w:color="auto" w:fill="auto"/>
          </w:tcPr>
          <w:p w14:paraId="51428B08" w14:textId="2CDBA5B8" w:rsidR="00026751" w:rsidRPr="00473530" w:rsidRDefault="00026751" w:rsidP="00026751">
            <w:pPr>
              <w:ind w:right="57"/>
              <w:jc w:val="right"/>
              <w:rPr>
                <w:sz w:val="12"/>
                <w:szCs w:val="12"/>
                <w:lang w:val="id-ID"/>
              </w:rPr>
            </w:pPr>
            <w:r w:rsidRPr="00473530">
              <w:rPr>
                <w:sz w:val="12"/>
                <w:szCs w:val="12"/>
              </w:rPr>
              <w:t>428.676.351</w:t>
            </w:r>
          </w:p>
        </w:tc>
        <w:tc>
          <w:tcPr>
            <w:tcW w:w="142" w:type="dxa"/>
            <w:shd w:val="clear" w:color="auto" w:fill="auto"/>
            <w:vAlign w:val="bottom"/>
          </w:tcPr>
          <w:p w14:paraId="00DCA0E1" w14:textId="77777777" w:rsidR="00026751" w:rsidRPr="00473530" w:rsidRDefault="00026751" w:rsidP="00026751">
            <w:pPr>
              <w:ind w:right="57"/>
              <w:jc w:val="right"/>
              <w:rPr>
                <w:sz w:val="12"/>
                <w:szCs w:val="12"/>
              </w:rPr>
            </w:pPr>
          </w:p>
        </w:tc>
        <w:tc>
          <w:tcPr>
            <w:tcW w:w="850" w:type="dxa"/>
          </w:tcPr>
          <w:p w14:paraId="2B148B97" w14:textId="751854C3" w:rsidR="00026751" w:rsidRPr="00473530" w:rsidRDefault="00026751" w:rsidP="00026751">
            <w:pPr>
              <w:ind w:right="57"/>
              <w:jc w:val="right"/>
              <w:rPr>
                <w:sz w:val="12"/>
                <w:szCs w:val="12"/>
                <w:lang w:val="id-ID"/>
              </w:rPr>
            </w:pPr>
            <w:r w:rsidRPr="00135F7F">
              <w:rPr>
                <w:sz w:val="12"/>
                <w:szCs w:val="12"/>
                <w:lang w:val="id-ID"/>
              </w:rPr>
              <w:t>(10.947.34</w:t>
            </w:r>
            <w:r>
              <w:rPr>
                <w:sz w:val="12"/>
                <w:szCs w:val="12"/>
              </w:rPr>
              <w:t>3</w:t>
            </w:r>
            <w:r w:rsidRPr="00135F7F">
              <w:rPr>
                <w:sz w:val="12"/>
                <w:szCs w:val="12"/>
                <w:lang w:val="id-ID"/>
              </w:rPr>
              <w:t>)</w:t>
            </w:r>
          </w:p>
        </w:tc>
        <w:tc>
          <w:tcPr>
            <w:tcW w:w="142" w:type="dxa"/>
          </w:tcPr>
          <w:p w14:paraId="4E3BEE02" w14:textId="77777777" w:rsidR="00026751" w:rsidRPr="00473530" w:rsidRDefault="00026751" w:rsidP="00026751">
            <w:pPr>
              <w:ind w:right="57"/>
              <w:jc w:val="right"/>
              <w:rPr>
                <w:i/>
                <w:sz w:val="12"/>
                <w:szCs w:val="12"/>
              </w:rPr>
            </w:pPr>
          </w:p>
        </w:tc>
        <w:tc>
          <w:tcPr>
            <w:tcW w:w="992" w:type="dxa"/>
          </w:tcPr>
          <w:p w14:paraId="6C269303" w14:textId="4CA092D2" w:rsidR="00026751" w:rsidRPr="00473530" w:rsidRDefault="00026751" w:rsidP="00026751">
            <w:pPr>
              <w:ind w:right="57"/>
              <w:jc w:val="right"/>
              <w:rPr>
                <w:i/>
                <w:sz w:val="12"/>
                <w:szCs w:val="12"/>
              </w:rPr>
            </w:pPr>
            <w:r>
              <w:rPr>
                <w:i/>
                <w:sz w:val="12"/>
                <w:szCs w:val="12"/>
              </w:rPr>
              <w:t>-</w:t>
            </w:r>
          </w:p>
        </w:tc>
        <w:tc>
          <w:tcPr>
            <w:tcW w:w="142" w:type="dxa"/>
          </w:tcPr>
          <w:p w14:paraId="1EE2B8E0" w14:textId="77777777" w:rsidR="00026751" w:rsidRPr="00473530" w:rsidRDefault="00026751" w:rsidP="00026751">
            <w:pPr>
              <w:ind w:right="57"/>
              <w:jc w:val="right"/>
              <w:rPr>
                <w:i/>
                <w:sz w:val="12"/>
                <w:szCs w:val="12"/>
              </w:rPr>
            </w:pPr>
          </w:p>
        </w:tc>
        <w:tc>
          <w:tcPr>
            <w:tcW w:w="992" w:type="dxa"/>
          </w:tcPr>
          <w:p w14:paraId="7ADB3AAB" w14:textId="33174572" w:rsidR="00026751" w:rsidRPr="00473530" w:rsidRDefault="00026751" w:rsidP="00026751">
            <w:pPr>
              <w:ind w:right="57"/>
              <w:jc w:val="right"/>
              <w:rPr>
                <w:i/>
                <w:sz w:val="12"/>
                <w:szCs w:val="12"/>
              </w:rPr>
            </w:pPr>
            <w:r>
              <w:rPr>
                <w:i/>
                <w:sz w:val="12"/>
                <w:szCs w:val="12"/>
              </w:rPr>
              <w:t>-</w:t>
            </w:r>
          </w:p>
        </w:tc>
        <w:tc>
          <w:tcPr>
            <w:tcW w:w="142" w:type="dxa"/>
          </w:tcPr>
          <w:p w14:paraId="4766B565" w14:textId="77777777" w:rsidR="00026751" w:rsidRPr="00473530" w:rsidRDefault="00026751" w:rsidP="00026751">
            <w:pPr>
              <w:ind w:right="57"/>
              <w:jc w:val="right"/>
              <w:rPr>
                <w:i/>
                <w:sz w:val="12"/>
                <w:szCs w:val="12"/>
              </w:rPr>
            </w:pPr>
          </w:p>
        </w:tc>
        <w:tc>
          <w:tcPr>
            <w:tcW w:w="992" w:type="dxa"/>
          </w:tcPr>
          <w:p w14:paraId="4A49C686" w14:textId="29C99044" w:rsidR="00026751" w:rsidRPr="00473530" w:rsidRDefault="00026751" w:rsidP="00026751">
            <w:pPr>
              <w:ind w:right="57"/>
              <w:jc w:val="right"/>
              <w:rPr>
                <w:i/>
                <w:sz w:val="12"/>
                <w:szCs w:val="12"/>
              </w:rPr>
            </w:pPr>
            <w:r>
              <w:rPr>
                <w:sz w:val="12"/>
                <w:szCs w:val="12"/>
              </w:rPr>
              <w:t>417.729.008</w:t>
            </w:r>
          </w:p>
        </w:tc>
        <w:tc>
          <w:tcPr>
            <w:tcW w:w="1701" w:type="dxa"/>
            <w:shd w:val="clear" w:color="auto" w:fill="auto"/>
            <w:vAlign w:val="bottom"/>
          </w:tcPr>
          <w:p w14:paraId="0B51CC90" w14:textId="77777777" w:rsidR="00026751" w:rsidRPr="00E14DBC" w:rsidRDefault="00026751" w:rsidP="00026751">
            <w:pPr>
              <w:ind w:right="57"/>
              <w:jc w:val="right"/>
              <w:rPr>
                <w:i/>
                <w:sz w:val="12"/>
                <w:szCs w:val="12"/>
              </w:rPr>
            </w:pPr>
            <w:r w:rsidRPr="00E14DBC">
              <w:rPr>
                <w:i/>
                <w:sz w:val="12"/>
                <w:szCs w:val="12"/>
              </w:rPr>
              <w:t>FKM</w:t>
            </w:r>
          </w:p>
        </w:tc>
      </w:tr>
      <w:tr w:rsidR="00026751" w:rsidRPr="0013526B" w14:paraId="3A86DE70" w14:textId="77777777" w:rsidTr="002108FF">
        <w:trPr>
          <w:trHeight w:val="64"/>
        </w:trPr>
        <w:tc>
          <w:tcPr>
            <w:tcW w:w="2065" w:type="dxa"/>
            <w:shd w:val="clear" w:color="auto" w:fill="auto"/>
            <w:vAlign w:val="bottom"/>
          </w:tcPr>
          <w:p w14:paraId="088DC798" w14:textId="68FF2129" w:rsidR="00026751" w:rsidRPr="001308CC" w:rsidRDefault="00026751" w:rsidP="00026751">
            <w:pPr>
              <w:ind w:left="425"/>
              <w:rPr>
                <w:sz w:val="12"/>
                <w:szCs w:val="12"/>
              </w:rPr>
            </w:pPr>
            <w:r>
              <w:rPr>
                <w:sz w:val="12"/>
                <w:szCs w:val="12"/>
              </w:rPr>
              <w:t>SIS</w:t>
            </w:r>
          </w:p>
        </w:tc>
        <w:tc>
          <w:tcPr>
            <w:tcW w:w="1054" w:type="dxa"/>
            <w:shd w:val="clear" w:color="auto" w:fill="auto"/>
          </w:tcPr>
          <w:p w14:paraId="422EB702" w14:textId="336D480A" w:rsidR="00026751" w:rsidRPr="00473530" w:rsidRDefault="00026751" w:rsidP="00026751">
            <w:pPr>
              <w:ind w:right="57"/>
              <w:jc w:val="right"/>
              <w:rPr>
                <w:b/>
                <w:sz w:val="12"/>
                <w:szCs w:val="12"/>
              </w:rPr>
            </w:pPr>
            <w:r w:rsidRPr="00473530">
              <w:rPr>
                <w:sz w:val="12"/>
                <w:szCs w:val="12"/>
              </w:rPr>
              <w:t>9.487.705</w:t>
            </w:r>
          </w:p>
        </w:tc>
        <w:tc>
          <w:tcPr>
            <w:tcW w:w="142" w:type="dxa"/>
            <w:shd w:val="clear" w:color="auto" w:fill="auto"/>
            <w:vAlign w:val="bottom"/>
          </w:tcPr>
          <w:p w14:paraId="152FA8B0" w14:textId="77777777" w:rsidR="00026751" w:rsidRPr="00473530" w:rsidRDefault="00026751" w:rsidP="00026751">
            <w:pPr>
              <w:ind w:right="57"/>
              <w:jc w:val="right"/>
              <w:rPr>
                <w:sz w:val="12"/>
                <w:szCs w:val="12"/>
              </w:rPr>
            </w:pPr>
          </w:p>
        </w:tc>
        <w:tc>
          <w:tcPr>
            <w:tcW w:w="850" w:type="dxa"/>
          </w:tcPr>
          <w:p w14:paraId="60671D0F" w14:textId="55F70258" w:rsidR="00026751" w:rsidRPr="00473530" w:rsidRDefault="00026751" w:rsidP="00026751">
            <w:pPr>
              <w:ind w:right="57"/>
              <w:jc w:val="right"/>
              <w:rPr>
                <w:b/>
                <w:sz w:val="12"/>
                <w:szCs w:val="12"/>
              </w:rPr>
            </w:pPr>
            <w:r w:rsidRPr="00135F7F">
              <w:rPr>
                <w:b/>
                <w:sz w:val="12"/>
                <w:szCs w:val="12"/>
              </w:rPr>
              <w:t xml:space="preserve"> </w:t>
            </w:r>
            <w:r w:rsidRPr="002602EA">
              <w:rPr>
                <w:iCs/>
                <w:sz w:val="12"/>
                <w:szCs w:val="12"/>
              </w:rPr>
              <w:t>(3.356.251)</w:t>
            </w:r>
            <w:r w:rsidRPr="00135F7F">
              <w:rPr>
                <w:b/>
                <w:sz w:val="12"/>
                <w:szCs w:val="12"/>
              </w:rPr>
              <w:t xml:space="preserve">  </w:t>
            </w:r>
          </w:p>
        </w:tc>
        <w:tc>
          <w:tcPr>
            <w:tcW w:w="142" w:type="dxa"/>
          </w:tcPr>
          <w:p w14:paraId="6ED2C055" w14:textId="77777777" w:rsidR="00026751" w:rsidRPr="00473530" w:rsidRDefault="00026751" w:rsidP="00026751">
            <w:pPr>
              <w:ind w:right="57"/>
              <w:jc w:val="right"/>
              <w:rPr>
                <w:i/>
                <w:sz w:val="12"/>
                <w:szCs w:val="12"/>
              </w:rPr>
            </w:pPr>
          </w:p>
        </w:tc>
        <w:tc>
          <w:tcPr>
            <w:tcW w:w="992" w:type="dxa"/>
          </w:tcPr>
          <w:p w14:paraId="26296EB2" w14:textId="2E6F7630" w:rsidR="00026751" w:rsidRPr="00473530" w:rsidRDefault="00026751" w:rsidP="00026751">
            <w:pPr>
              <w:ind w:right="57"/>
              <w:jc w:val="right"/>
              <w:rPr>
                <w:i/>
                <w:sz w:val="12"/>
                <w:szCs w:val="12"/>
              </w:rPr>
            </w:pPr>
            <w:r>
              <w:rPr>
                <w:iCs/>
                <w:sz w:val="12"/>
                <w:szCs w:val="12"/>
              </w:rPr>
              <w:t>-</w:t>
            </w:r>
          </w:p>
        </w:tc>
        <w:tc>
          <w:tcPr>
            <w:tcW w:w="142" w:type="dxa"/>
          </w:tcPr>
          <w:p w14:paraId="1E887935" w14:textId="77777777" w:rsidR="00026751" w:rsidRPr="00473530" w:rsidRDefault="00026751" w:rsidP="00026751">
            <w:pPr>
              <w:ind w:right="57"/>
              <w:jc w:val="right"/>
              <w:rPr>
                <w:i/>
                <w:sz w:val="12"/>
                <w:szCs w:val="12"/>
              </w:rPr>
            </w:pPr>
          </w:p>
        </w:tc>
        <w:tc>
          <w:tcPr>
            <w:tcW w:w="992" w:type="dxa"/>
          </w:tcPr>
          <w:p w14:paraId="749EB839" w14:textId="347AEAAA" w:rsidR="00026751" w:rsidRPr="00473530" w:rsidRDefault="00026751" w:rsidP="00026751">
            <w:pPr>
              <w:ind w:right="57"/>
              <w:jc w:val="right"/>
              <w:rPr>
                <w:i/>
                <w:sz w:val="12"/>
                <w:szCs w:val="12"/>
              </w:rPr>
            </w:pPr>
            <w:r>
              <w:rPr>
                <w:i/>
                <w:sz w:val="12"/>
                <w:szCs w:val="12"/>
              </w:rPr>
              <w:t>-</w:t>
            </w:r>
          </w:p>
        </w:tc>
        <w:tc>
          <w:tcPr>
            <w:tcW w:w="142" w:type="dxa"/>
          </w:tcPr>
          <w:p w14:paraId="080E57F9" w14:textId="77777777" w:rsidR="00026751" w:rsidRPr="00473530" w:rsidRDefault="00026751" w:rsidP="00026751">
            <w:pPr>
              <w:ind w:right="57"/>
              <w:jc w:val="right"/>
              <w:rPr>
                <w:i/>
                <w:sz w:val="12"/>
                <w:szCs w:val="12"/>
              </w:rPr>
            </w:pPr>
          </w:p>
        </w:tc>
        <w:tc>
          <w:tcPr>
            <w:tcW w:w="992" w:type="dxa"/>
          </w:tcPr>
          <w:p w14:paraId="2951A946" w14:textId="2E024A28" w:rsidR="00026751" w:rsidRPr="00473530" w:rsidRDefault="00026751" w:rsidP="00026751">
            <w:pPr>
              <w:ind w:right="57"/>
              <w:jc w:val="right"/>
              <w:rPr>
                <w:i/>
                <w:sz w:val="12"/>
                <w:szCs w:val="12"/>
              </w:rPr>
            </w:pPr>
            <w:r>
              <w:rPr>
                <w:sz w:val="12"/>
                <w:szCs w:val="12"/>
              </w:rPr>
              <w:t>6.131.454</w:t>
            </w:r>
          </w:p>
        </w:tc>
        <w:tc>
          <w:tcPr>
            <w:tcW w:w="1701" w:type="dxa"/>
            <w:shd w:val="clear" w:color="auto" w:fill="auto"/>
            <w:vAlign w:val="bottom"/>
          </w:tcPr>
          <w:p w14:paraId="3CD7B6A6" w14:textId="77777777" w:rsidR="00026751" w:rsidRPr="00E14DBC" w:rsidRDefault="00026751" w:rsidP="00026751">
            <w:pPr>
              <w:ind w:right="57"/>
              <w:jc w:val="right"/>
              <w:rPr>
                <w:i/>
                <w:sz w:val="12"/>
                <w:szCs w:val="12"/>
              </w:rPr>
            </w:pPr>
            <w:r w:rsidRPr="00E14DBC">
              <w:rPr>
                <w:i/>
                <w:sz w:val="12"/>
                <w:szCs w:val="12"/>
              </w:rPr>
              <w:t>SIS</w:t>
            </w:r>
          </w:p>
        </w:tc>
      </w:tr>
      <w:tr w:rsidR="00026751" w:rsidRPr="0013526B" w14:paraId="1541518E" w14:textId="77777777" w:rsidTr="002108FF">
        <w:tc>
          <w:tcPr>
            <w:tcW w:w="2065" w:type="dxa"/>
            <w:shd w:val="clear" w:color="auto" w:fill="auto"/>
            <w:vAlign w:val="bottom"/>
          </w:tcPr>
          <w:p w14:paraId="63104A40" w14:textId="4240EDE4" w:rsidR="00026751" w:rsidRPr="001308CC" w:rsidRDefault="00026751" w:rsidP="00026751">
            <w:pPr>
              <w:ind w:left="425"/>
              <w:rPr>
                <w:sz w:val="12"/>
                <w:szCs w:val="12"/>
              </w:rPr>
            </w:pPr>
            <w:r>
              <w:rPr>
                <w:sz w:val="12"/>
                <w:szCs w:val="12"/>
              </w:rPr>
              <w:t>SAS</w:t>
            </w:r>
          </w:p>
        </w:tc>
        <w:tc>
          <w:tcPr>
            <w:tcW w:w="1054" w:type="dxa"/>
            <w:shd w:val="clear" w:color="auto" w:fill="auto"/>
          </w:tcPr>
          <w:p w14:paraId="02FD51BF" w14:textId="3EEDE1F6" w:rsidR="00026751" w:rsidRPr="00473530" w:rsidRDefault="00026751" w:rsidP="00026751">
            <w:pPr>
              <w:ind w:right="57"/>
              <w:jc w:val="right"/>
              <w:rPr>
                <w:sz w:val="12"/>
                <w:szCs w:val="12"/>
              </w:rPr>
            </w:pPr>
            <w:r w:rsidRPr="00473530">
              <w:rPr>
                <w:sz w:val="12"/>
                <w:szCs w:val="12"/>
              </w:rPr>
              <w:t>10.018.677</w:t>
            </w:r>
          </w:p>
        </w:tc>
        <w:tc>
          <w:tcPr>
            <w:tcW w:w="142" w:type="dxa"/>
            <w:shd w:val="clear" w:color="auto" w:fill="auto"/>
            <w:vAlign w:val="bottom"/>
          </w:tcPr>
          <w:p w14:paraId="4B35AD5B" w14:textId="77777777" w:rsidR="00026751" w:rsidRPr="00473530" w:rsidRDefault="00026751" w:rsidP="00026751">
            <w:pPr>
              <w:ind w:right="57"/>
              <w:jc w:val="right"/>
              <w:rPr>
                <w:sz w:val="12"/>
                <w:szCs w:val="12"/>
              </w:rPr>
            </w:pPr>
          </w:p>
        </w:tc>
        <w:tc>
          <w:tcPr>
            <w:tcW w:w="850" w:type="dxa"/>
          </w:tcPr>
          <w:p w14:paraId="654852E7" w14:textId="46478EDF" w:rsidR="00026751" w:rsidRPr="00473530" w:rsidRDefault="00026751" w:rsidP="00026751">
            <w:pPr>
              <w:ind w:right="57"/>
              <w:jc w:val="right"/>
              <w:rPr>
                <w:sz w:val="12"/>
                <w:szCs w:val="12"/>
              </w:rPr>
            </w:pPr>
            <w:r w:rsidRPr="00135F7F">
              <w:rPr>
                <w:sz w:val="12"/>
                <w:szCs w:val="12"/>
              </w:rPr>
              <w:t>(50.02</w:t>
            </w:r>
            <w:r>
              <w:rPr>
                <w:sz w:val="12"/>
                <w:szCs w:val="12"/>
              </w:rPr>
              <w:t>2</w:t>
            </w:r>
            <w:r w:rsidRPr="00135F7F">
              <w:rPr>
                <w:sz w:val="12"/>
                <w:szCs w:val="12"/>
              </w:rPr>
              <w:t>)</w:t>
            </w:r>
          </w:p>
        </w:tc>
        <w:tc>
          <w:tcPr>
            <w:tcW w:w="142" w:type="dxa"/>
          </w:tcPr>
          <w:p w14:paraId="22A14668" w14:textId="77777777" w:rsidR="00026751" w:rsidRPr="00473530" w:rsidRDefault="00026751" w:rsidP="00026751">
            <w:pPr>
              <w:ind w:right="57"/>
              <w:jc w:val="right"/>
              <w:rPr>
                <w:i/>
                <w:sz w:val="12"/>
                <w:szCs w:val="12"/>
              </w:rPr>
            </w:pPr>
          </w:p>
        </w:tc>
        <w:tc>
          <w:tcPr>
            <w:tcW w:w="992" w:type="dxa"/>
          </w:tcPr>
          <w:p w14:paraId="2016B922" w14:textId="4D242E59" w:rsidR="00026751" w:rsidRPr="00473530" w:rsidRDefault="00026751" w:rsidP="00026751">
            <w:pPr>
              <w:ind w:right="57"/>
              <w:jc w:val="right"/>
              <w:rPr>
                <w:i/>
                <w:sz w:val="12"/>
                <w:szCs w:val="12"/>
              </w:rPr>
            </w:pPr>
            <w:r>
              <w:rPr>
                <w:i/>
                <w:sz w:val="12"/>
                <w:szCs w:val="12"/>
              </w:rPr>
              <w:t>-</w:t>
            </w:r>
          </w:p>
        </w:tc>
        <w:tc>
          <w:tcPr>
            <w:tcW w:w="142" w:type="dxa"/>
          </w:tcPr>
          <w:p w14:paraId="22C90D6B" w14:textId="77777777" w:rsidR="00026751" w:rsidRPr="00473530" w:rsidRDefault="00026751" w:rsidP="00026751">
            <w:pPr>
              <w:ind w:right="57"/>
              <w:jc w:val="right"/>
              <w:rPr>
                <w:i/>
                <w:sz w:val="12"/>
                <w:szCs w:val="12"/>
              </w:rPr>
            </w:pPr>
          </w:p>
        </w:tc>
        <w:tc>
          <w:tcPr>
            <w:tcW w:w="992" w:type="dxa"/>
          </w:tcPr>
          <w:p w14:paraId="161480F7" w14:textId="734B12AB" w:rsidR="00026751" w:rsidRPr="00473530" w:rsidRDefault="00026751" w:rsidP="00026751">
            <w:pPr>
              <w:ind w:right="57"/>
              <w:jc w:val="right"/>
              <w:rPr>
                <w:i/>
                <w:sz w:val="12"/>
                <w:szCs w:val="12"/>
              </w:rPr>
            </w:pPr>
            <w:r>
              <w:rPr>
                <w:i/>
                <w:sz w:val="12"/>
                <w:szCs w:val="12"/>
              </w:rPr>
              <w:t>-</w:t>
            </w:r>
          </w:p>
        </w:tc>
        <w:tc>
          <w:tcPr>
            <w:tcW w:w="142" w:type="dxa"/>
          </w:tcPr>
          <w:p w14:paraId="2BA434F6" w14:textId="77777777" w:rsidR="00026751" w:rsidRPr="00473530" w:rsidRDefault="00026751" w:rsidP="00026751">
            <w:pPr>
              <w:ind w:right="57"/>
              <w:jc w:val="right"/>
              <w:rPr>
                <w:i/>
                <w:sz w:val="12"/>
                <w:szCs w:val="12"/>
              </w:rPr>
            </w:pPr>
          </w:p>
        </w:tc>
        <w:tc>
          <w:tcPr>
            <w:tcW w:w="992" w:type="dxa"/>
          </w:tcPr>
          <w:p w14:paraId="559081CE" w14:textId="0FE3C22A" w:rsidR="00026751" w:rsidRPr="00473530" w:rsidRDefault="00026751" w:rsidP="00026751">
            <w:pPr>
              <w:ind w:right="57"/>
              <w:jc w:val="right"/>
              <w:rPr>
                <w:i/>
                <w:sz w:val="12"/>
                <w:szCs w:val="12"/>
              </w:rPr>
            </w:pPr>
            <w:r>
              <w:rPr>
                <w:sz w:val="12"/>
                <w:szCs w:val="12"/>
              </w:rPr>
              <w:t>9.968.655</w:t>
            </w:r>
          </w:p>
        </w:tc>
        <w:tc>
          <w:tcPr>
            <w:tcW w:w="1701" w:type="dxa"/>
            <w:shd w:val="clear" w:color="auto" w:fill="auto"/>
            <w:vAlign w:val="bottom"/>
          </w:tcPr>
          <w:p w14:paraId="23D09DC5" w14:textId="77777777" w:rsidR="00026751" w:rsidRPr="00E14DBC" w:rsidRDefault="00026751" w:rsidP="00026751">
            <w:pPr>
              <w:ind w:right="57"/>
              <w:jc w:val="right"/>
              <w:rPr>
                <w:i/>
                <w:sz w:val="12"/>
                <w:szCs w:val="12"/>
              </w:rPr>
            </w:pPr>
            <w:r w:rsidRPr="00E14DBC">
              <w:rPr>
                <w:i/>
                <w:sz w:val="12"/>
                <w:szCs w:val="12"/>
              </w:rPr>
              <w:t>SAS</w:t>
            </w:r>
          </w:p>
        </w:tc>
      </w:tr>
      <w:tr w:rsidR="00026751" w:rsidRPr="0013526B" w14:paraId="0EEA727C" w14:textId="77777777" w:rsidTr="002108FF">
        <w:tc>
          <w:tcPr>
            <w:tcW w:w="2065" w:type="dxa"/>
            <w:shd w:val="clear" w:color="auto" w:fill="auto"/>
            <w:vAlign w:val="bottom"/>
          </w:tcPr>
          <w:p w14:paraId="05E276E7" w14:textId="245FCCF9" w:rsidR="00026751" w:rsidRPr="001308CC" w:rsidRDefault="00026751" w:rsidP="00026751">
            <w:pPr>
              <w:ind w:left="425"/>
              <w:rPr>
                <w:sz w:val="12"/>
                <w:szCs w:val="12"/>
              </w:rPr>
            </w:pPr>
            <w:r>
              <w:rPr>
                <w:sz w:val="12"/>
                <w:szCs w:val="12"/>
              </w:rPr>
              <w:t>KKS</w:t>
            </w:r>
          </w:p>
        </w:tc>
        <w:tc>
          <w:tcPr>
            <w:tcW w:w="1054" w:type="dxa"/>
            <w:shd w:val="clear" w:color="auto" w:fill="auto"/>
          </w:tcPr>
          <w:p w14:paraId="5BF825E0" w14:textId="6B01C78C" w:rsidR="00026751" w:rsidRPr="00473530" w:rsidRDefault="00026751" w:rsidP="00026751">
            <w:pPr>
              <w:ind w:right="57"/>
              <w:jc w:val="right"/>
              <w:rPr>
                <w:sz w:val="12"/>
                <w:szCs w:val="12"/>
              </w:rPr>
            </w:pPr>
            <w:r w:rsidRPr="00473530">
              <w:rPr>
                <w:sz w:val="12"/>
                <w:szCs w:val="12"/>
              </w:rPr>
              <w:t>6.109.885</w:t>
            </w:r>
          </w:p>
        </w:tc>
        <w:tc>
          <w:tcPr>
            <w:tcW w:w="142" w:type="dxa"/>
            <w:shd w:val="clear" w:color="auto" w:fill="auto"/>
            <w:vAlign w:val="bottom"/>
          </w:tcPr>
          <w:p w14:paraId="59D1F7C9" w14:textId="77777777" w:rsidR="00026751" w:rsidRPr="00473530" w:rsidRDefault="00026751" w:rsidP="00026751">
            <w:pPr>
              <w:ind w:right="57"/>
              <w:jc w:val="right"/>
              <w:rPr>
                <w:sz w:val="12"/>
                <w:szCs w:val="12"/>
              </w:rPr>
            </w:pPr>
          </w:p>
        </w:tc>
        <w:tc>
          <w:tcPr>
            <w:tcW w:w="850" w:type="dxa"/>
          </w:tcPr>
          <w:p w14:paraId="671BCC0F" w14:textId="4C4AA465" w:rsidR="00026751" w:rsidRPr="00473530" w:rsidRDefault="00026751" w:rsidP="00026751">
            <w:pPr>
              <w:ind w:right="57"/>
              <w:jc w:val="right"/>
              <w:rPr>
                <w:sz w:val="12"/>
                <w:szCs w:val="12"/>
              </w:rPr>
            </w:pPr>
            <w:r w:rsidRPr="00135F7F">
              <w:rPr>
                <w:sz w:val="12"/>
                <w:szCs w:val="12"/>
              </w:rPr>
              <w:t>(5.431)</w:t>
            </w:r>
          </w:p>
        </w:tc>
        <w:tc>
          <w:tcPr>
            <w:tcW w:w="142" w:type="dxa"/>
          </w:tcPr>
          <w:p w14:paraId="307046D3" w14:textId="77777777" w:rsidR="00026751" w:rsidRPr="00473530" w:rsidRDefault="00026751" w:rsidP="00026751">
            <w:pPr>
              <w:ind w:right="57"/>
              <w:jc w:val="right"/>
              <w:rPr>
                <w:i/>
                <w:sz w:val="12"/>
                <w:szCs w:val="12"/>
              </w:rPr>
            </w:pPr>
          </w:p>
        </w:tc>
        <w:tc>
          <w:tcPr>
            <w:tcW w:w="992" w:type="dxa"/>
          </w:tcPr>
          <w:p w14:paraId="5E59CB4A" w14:textId="77713973" w:rsidR="00026751" w:rsidRPr="00473530" w:rsidRDefault="00026751" w:rsidP="00026751">
            <w:pPr>
              <w:ind w:right="57"/>
              <w:jc w:val="right"/>
              <w:rPr>
                <w:i/>
                <w:sz w:val="12"/>
                <w:szCs w:val="12"/>
              </w:rPr>
            </w:pPr>
            <w:r>
              <w:rPr>
                <w:i/>
                <w:sz w:val="12"/>
                <w:szCs w:val="12"/>
              </w:rPr>
              <w:t>-</w:t>
            </w:r>
          </w:p>
        </w:tc>
        <w:tc>
          <w:tcPr>
            <w:tcW w:w="142" w:type="dxa"/>
          </w:tcPr>
          <w:p w14:paraId="35D8D064" w14:textId="77777777" w:rsidR="00026751" w:rsidRPr="00473530" w:rsidRDefault="00026751" w:rsidP="00026751">
            <w:pPr>
              <w:ind w:right="57"/>
              <w:jc w:val="right"/>
              <w:rPr>
                <w:i/>
                <w:sz w:val="12"/>
                <w:szCs w:val="12"/>
              </w:rPr>
            </w:pPr>
          </w:p>
        </w:tc>
        <w:tc>
          <w:tcPr>
            <w:tcW w:w="992" w:type="dxa"/>
          </w:tcPr>
          <w:p w14:paraId="59BF657E" w14:textId="55751B2D" w:rsidR="00026751" w:rsidRPr="00473530" w:rsidRDefault="00026751" w:rsidP="00026751">
            <w:pPr>
              <w:ind w:right="57"/>
              <w:jc w:val="right"/>
              <w:rPr>
                <w:i/>
                <w:sz w:val="12"/>
                <w:szCs w:val="12"/>
              </w:rPr>
            </w:pPr>
            <w:r>
              <w:rPr>
                <w:i/>
                <w:sz w:val="12"/>
                <w:szCs w:val="12"/>
              </w:rPr>
              <w:t>-</w:t>
            </w:r>
          </w:p>
        </w:tc>
        <w:tc>
          <w:tcPr>
            <w:tcW w:w="142" w:type="dxa"/>
          </w:tcPr>
          <w:p w14:paraId="1EA57276" w14:textId="77777777" w:rsidR="00026751" w:rsidRPr="00473530" w:rsidRDefault="00026751" w:rsidP="00026751">
            <w:pPr>
              <w:ind w:right="57"/>
              <w:jc w:val="right"/>
              <w:rPr>
                <w:i/>
                <w:sz w:val="12"/>
                <w:szCs w:val="12"/>
              </w:rPr>
            </w:pPr>
          </w:p>
        </w:tc>
        <w:tc>
          <w:tcPr>
            <w:tcW w:w="992" w:type="dxa"/>
          </w:tcPr>
          <w:p w14:paraId="4C24CA9F" w14:textId="0F976C1A" w:rsidR="00026751" w:rsidRPr="00473530" w:rsidRDefault="00026751" w:rsidP="00026751">
            <w:pPr>
              <w:ind w:right="57"/>
              <w:jc w:val="right"/>
              <w:rPr>
                <w:i/>
                <w:sz w:val="12"/>
                <w:szCs w:val="12"/>
              </w:rPr>
            </w:pPr>
            <w:r>
              <w:rPr>
                <w:sz w:val="12"/>
                <w:szCs w:val="12"/>
              </w:rPr>
              <w:t>6.104.454</w:t>
            </w:r>
          </w:p>
        </w:tc>
        <w:tc>
          <w:tcPr>
            <w:tcW w:w="1701" w:type="dxa"/>
            <w:shd w:val="clear" w:color="auto" w:fill="auto"/>
            <w:vAlign w:val="bottom"/>
          </w:tcPr>
          <w:p w14:paraId="3A7E009E" w14:textId="77777777" w:rsidR="00026751" w:rsidRPr="00E14DBC" w:rsidRDefault="00026751" w:rsidP="00026751">
            <w:pPr>
              <w:ind w:right="57"/>
              <w:jc w:val="right"/>
              <w:rPr>
                <w:i/>
                <w:sz w:val="12"/>
                <w:szCs w:val="12"/>
              </w:rPr>
            </w:pPr>
            <w:r w:rsidRPr="00E14DBC">
              <w:rPr>
                <w:i/>
                <w:sz w:val="12"/>
                <w:szCs w:val="12"/>
              </w:rPr>
              <w:t>KKS</w:t>
            </w:r>
          </w:p>
        </w:tc>
      </w:tr>
      <w:tr w:rsidR="00026751" w:rsidRPr="0013526B" w14:paraId="59DCBA33" w14:textId="77777777" w:rsidTr="002108FF">
        <w:tc>
          <w:tcPr>
            <w:tcW w:w="2065" w:type="dxa"/>
            <w:shd w:val="clear" w:color="auto" w:fill="auto"/>
            <w:vAlign w:val="bottom"/>
          </w:tcPr>
          <w:p w14:paraId="5336C4A8" w14:textId="01E324DF" w:rsidR="00026751" w:rsidRPr="001308CC" w:rsidRDefault="00026751" w:rsidP="00026751">
            <w:pPr>
              <w:ind w:left="425"/>
              <w:rPr>
                <w:sz w:val="12"/>
                <w:szCs w:val="12"/>
              </w:rPr>
            </w:pPr>
            <w:r>
              <w:rPr>
                <w:sz w:val="12"/>
                <w:szCs w:val="12"/>
              </w:rPr>
              <w:t>AIK</w:t>
            </w:r>
          </w:p>
        </w:tc>
        <w:tc>
          <w:tcPr>
            <w:tcW w:w="1054" w:type="dxa"/>
            <w:shd w:val="clear" w:color="auto" w:fill="auto"/>
          </w:tcPr>
          <w:p w14:paraId="7723310D" w14:textId="595178D6" w:rsidR="00026751" w:rsidRPr="00473530" w:rsidRDefault="00026751" w:rsidP="00026751">
            <w:pPr>
              <w:ind w:right="57"/>
              <w:jc w:val="right"/>
              <w:rPr>
                <w:sz w:val="12"/>
                <w:szCs w:val="12"/>
              </w:rPr>
            </w:pPr>
            <w:r w:rsidRPr="00473530">
              <w:rPr>
                <w:sz w:val="12"/>
                <w:szCs w:val="12"/>
              </w:rPr>
              <w:t>8.690.325</w:t>
            </w:r>
          </w:p>
        </w:tc>
        <w:tc>
          <w:tcPr>
            <w:tcW w:w="142" w:type="dxa"/>
            <w:shd w:val="clear" w:color="auto" w:fill="auto"/>
            <w:vAlign w:val="bottom"/>
          </w:tcPr>
          <w:p w14:paraId="1C1DBFA1" w14:textId="77777777" w:rsidR="00026751" w:rsidRPr="00473530" w:rsidRDefault="00026751" w:rsidP="00026751">
            <w:pPr>
              <w:ind w:right="57"/>
              <w:jc w:val="right"/>
              <w:rPr>
                <w:sz w:val="12"/>
                <w:szCs w:val="12"/>
              </w:rPr>
            </w:pPr>
          </w:p>
        </w:tc>
        <w:tc>
          <w:tcPr>
            <w:tcW w:w="850" w:type="dxa"/>
          </w:tcPr>
          <w:p w14:paraId="3C4D395D" w14:textId="777D6568" w:rsidR="00026751" w:rsidRPr="00473530" w:rsidRDefault="00026751" w:rsidP="00026751">
            <w:pPr>
              <w:ind w:right="57"/>
              <w:jc w:val="right"/>
              <w:rPr>
                <w:sz w:val="12"/>
                <w:szCs w:val="12"/>
              </w:rPr>
            </w:pPr>
            <w:r w:rsidRPr="009124DB">
              <w:rPr>
                <w:sz w:val="12"/>
                <w:szCs w:val="12"/>
              </w:rPr>
              <w:t>(4.918.4</w:t>
            </w:r>
            <w:r>
              <w:rPr>
                <w:sz w:val="12"/>
                <w:szCs w:val="12"/>
              </w:rPr>
              <w:t>19</w:t>
            </w:r>
            <w:r w:rsidRPr="009124DB">
              <w:rPr>
                <w:sz w:val="12"/>
                <w:szCs w:val="12"/>
              </w:rPr>
              <w:t>)</w:t>
            </w:r>
          </w:p>
        </w:tc>
        <w:tc>
          <w:tcPr>
            <w:tcW w:w="142" w:type="dxa"/>
          </w:tcPr>
          <w:p w14:paraId="799E6F43" w14:textId="77777777" w:rsidR="00026751" w:rsidRPr="00473530" w:rsidRDefault="00026751" w:rsidP="00026751">
            <w:pPr>
              <w:ind w:right="57"/>
              <w:jc w:val="right"/>
              <w:rPr>
                <w:i/>
                <w:sz w:val="12"/>
                <w:szCs w:val="12"/>
              </w:rPr>
            </w:pPr>
          </w:p>
        </w:tc>
        <w:tc>
          <w:tcPr>
            <w:tcW w:w="992" w:type="dxa"/>
          </w:tcPr>
          <w:p w14:paraId="4E1F4C4F" w14:textId="73367D9A" w:rsidR="00026751" w:rsidRPr="00473530" w:rsidRDefault="00026751" w:rsidP="00026751">
            <w:pPr>
              <w:ind w:right="57"/>
              <w:jc w:val="right"/>
              <w:rPr>
                <w:i/>
                <w:sz w:val="12"/>
                <w:szCs w:val="12"/>
              </w:rPr>
            </w:pPr>
            <w:r>
              <w:rPr>
                <w:i/>
                <w:sz w:val="12"/>
                <w:szCs w:val="12"/>
              </w:rPr>
              <w:t>-</w:t>
            </w:r>
          </w:p>
        </w:tc>
        <w:tc>
          <w:tcPr>
            <w:tcW w:w="142" w:type="dxa"/>
          </w:tcPr>
          <w:p w14:paraId="21BF4CFD" w14:textId="77777777" w:rsidR="00026751" w:rsidRPr="00473530" w:rsidRDefault="00026751" w:rsidP="00026751">
            <w:pPr>
              <w:ind w:right="57"/>
              <w:jc w:val="right"/>
              <w:rPr>
                <w:i/>
                <w:sz w:val="12"/>
                <w:szCs w:val="12"/>
              </w:rPr>
            </w:pPr>
          </w:p>
        </w:tc>
        <w:tc>
          <w:tcPr>
            <w:tcW w:w="992" w:type="dxa"/>
          </w:tcPr>
          <w:p w14:paraId="42F95B07" w14:textId="4203B17C" w:rsidR="00026751" w:rsidRPr="00473530" w:rsidRDefault="00026751" w:rsidP="00026751">
            <w:pPr>
              <w:ind w:right="57"/>
              <w:jc w:val="right"/>
              <w:rPr>
                <w:i/>
                <w:sz w:val="12"/>
                <w:szCs w:val="12"/>
              </w:rPr>
            </w:pPr>
            <w:r>
              <w:rPr>
                <w:i/>
                <w:sz w:val="12"/>
                <w:szCs w:val="12"/>
              </w:rPr>
              <w:t>-</w:t>
            </w:r>
          </w:p>
        </w:tc>
        <w:tc>
          <w:tcPr>
            <w:tcW w:w="142" w:type="dxa"/>
          </w:tcPr>
          <w:p w14:paraId="73260291" w14:textId="77777777" w:rsidR="00026751" w:rsidRPr="00473530" w:rsidRDefault="00026751" w:rsidP="00026751">
            <w:pPr>
              <w:ind w:right="57"/>
              <w:jc w:val="right"/>
              <w:rPr>
                <w:i/>
                <w:sz w:val="12"/>
                <w:szCs w:val="12"/>
              </w:rPr>
            </w:pPr>
          </w:p>
        </w:tc>
        <w:tc>
          <w:tcPr>
            <w:tcW w:w="992" w:type="dxa"/>
          </w:tcPr>
          <w:p w14:paraId="143D6B84" w14:textId="3D4FE756" w:rsidR="00026751" w:rsidRPr="00473530" w:rsidRDefault="00026751" w:rsidP="00026751">
            <w:pPr>
              <w:ind w:right="57"/>
              <w:jc w:val="right"/>
              <w:rPr>
                <w:i/>
                <w:sz w:val="12"/>
                <w:szCs w:val="12"/>
              </w:rPr>
            </w:pPr>
            <w:r>
              <w:rPr>
                <w:sz w:val="12"/>
                <w:szCs w:val="12"/>
              </w:rPr>
              <w:t>3.771.906</w:t>
            </w:r>
          </w:p>
        </w:tc>
        <w:tc>
          <w:tcPr>
            <w:tcW w:w="1701" w:type="dxa"/>
            <w:shd w:val="clear" w:color="auto" w:fill="auto"/>
            <w:vAlign w:val="bottom"/>
          </w:tcPr>
          <w:p w14:paraId="13525D94" w14:textId="77777777" w:rsidR="00026751" w:rsidRPr="00E14DBC" w:rsidRDefault="00026751" w:rsidP="00026751">
            <w:pPr>
              <w:ind w:right="57"/>
              <w:jc w:val="right"/>
              <w:rPr>
                <w:i/>
                <w:sz w:val="12"/>
                <w:szCs w:val="12"/>
              </w:rPr>
            </w:pPr>
            <w:r w:rsidRPr="00E14DBC">
              <w:rPr>
                <w:i/>
                <w:sz w:val="12"/>
                <w:szCs w:val="12"/>
              </w:rPr>
              <w:t>AIK</w:t>
            </w:r>
          </w:p>
        </w:tc>
      </w:tr>
      <w:tr w:rsidR="00026751" w:rsidRPr="0013526B" w14:paraId="4CB6C909" w14:textId="77777777" w:rsidTr="002108FF">
        <w:tc>
          <w:tcPr>
            <w:tcW w:w="2065" w:type="dxa"/>
            <w:shd w:val="clear" w:color="auto" w:fill="auto"/>
            <w:vAlign w:val="bottom"/>
          </w:tcPr>
          <w:p w14:paraId="03E022A7" w14:textId="3EADEB96" w:rsidR="00026751" w:rsidRPr="001308CC" w:rsidRDefault="00026751" w:rsidP="00026751">
            <w:pPr>
              <w:ind w:left="425"/>
              <w:rPr>
                <w:sz w:val="12"/>
                <w:szCs w:val="12"/>
              </w:rPr>
            </w:pPr>
            <w:r>
              <w:rPr>
                <w:sz w:val="12"/>
                <w:szCs w:val="12"/>
              </w:rPr>
              <w:t>NSK</w:t>
            </w:r>
          </w:p>
        </w:tc>
        <w:tc>
          <w:tcPr>
            <w:tcW w:w="1054" w:type="dxa"/>
            <w:shd w:val="clear" w:color="auto" w:fill="auto"/>
          </w:tcPr>
          <w:p w14:paraId="489E1844" w14:textId="289028C0" w:rsidR="00026751" w:rsidRPr="00473530" w:rsidRDefault="00026751" w:rsidP="00026751">
            <w:pPr>
              <w:ind w:right="57"/>
              <w:jc w:val="right"/>
              <w:rPr>
                <w:sz w:val="12"/>
                <w:szCs w:val="12"/>
              </w:rPr>
            </w:pPr>
            <w:r w:rsidRPr="00473530">
              <w:rPr>
                <w:sz w:val="12"/>
                <w:szCs w:val="12"/>
              </w:rPr>
              <w:t>(199.056.035)</w:t>
            </w:r>
          </w:p>
        </w:tc>
        <w:tc>
          <w:tcPr>
            <w:tcW w:w="142" w:type="dxa"/>
            <w:shd w:val="clear" w:color="auto" w:fill="auto"/>
            <w:vAlign w:val="bottom"/>
          </w:tcPr>
          <w:p w14:paraId="7415B9FF" w14:textId="77777777" w:rsidR="00026751" w:rsidRPr="00473530" w:rsidRDefault="00026751" w:rsidP="00026751">
            <w:pPr>
              <w:ind w:right="57"/>
              <w:jc w:val="right"/>
              <w:rPr>
                <w:sz w:val="12"/>
                <w:szCs w:val="12"/>
              </w:rPr>
            </w:pPr>
          </w:p>
        </w:tc>
        <w:tc>
          <w:tcPr>
            <w:tcW w:w="850" w:type="dxa"/>
          </w:tcPr>
          <w:p w14:paraId="008D6EEA" w14:textId="41DC2856" w:rsidR="00026751" w:rsidRPr="00473530" w:rsidRDefault="00026751" w:rsidP="00026751">
            <w:pPr>
              <w:ind w:right="57"/>
              <w:jc w:val="right"/>
              <w:rPr>
                <w:sz w:val="12"/>
                <w:szCs w:val="12"/>
              </w:rPr>
            </w:pPr>
            <w:r w:rsidRPr="002E5B14">
              <w:rPr>
                <w:sz w:val="12"/>
                <w:szCs w:val="12"/>
              </w:rPr>
              <w:t>(326.052)</w:t>
            </w:r>
          </w:p>
        </w:tc>
        <w:tc>
          <w:tcPr>
            <w:tcW w:w="142" w:type="dxa"/>
          </w:tcPr>
          <w:p w14:paraId="4CE4C379" w14:textId="77777777" w:rsidR="00026751" w:rsidRPr="00473530" w:rsidRDefault="00026751" w:rsidP="00026751">
            <w:pPr>
              <w:ind w:right="57"/>
              <w:jc w:val="right"/>
              <w:rPr>
                <w:i/>
                <w:sz w:val="12"/>
                <w:szCs w:val="12"/>
              </w:rPr>
            </w:pPr>
          </w:p>
        </w:tc>
        <w:tc>
          <w:tcPr>
            <w:tcW w:w="992" w:type="dxa"/>
          </w:tcPr>
          <w:p w14:paraId="7F2BE932" w14:textId="5A3D466F" w:rsidR="00026751" w:rsidRPr="00473530" w:rsidRDefault="00026751" w:rsidP="00026751">
            <w:pPr>
              <w:ind w:right="57"/>
              <w:jc w:val="right"/>
              <w:rPr>
                <w:i/>
                <w:sz w:val="12"/>
                <w:szCs w:val="12"/>
              </w:rPr>
            </w:pPr>
            <w:r>
              <w:rPr>
                <w:i/>
                <w:sz w:val="12"/>
                <w:szCs w:val="12"/>
              </w:rPr>
              <w:t>-</w:t>
            </w:r>
          </w:p>
        </w:tc>
        <w:tc>
          <w:tcPr>
            <w:tcW w:w="142" w:type="dxa"/>
          </w:tcPr>
          <w:p w14:paraId="529E3293" w14:textId="77777777" w:rsidR="00026751" w:rsidRPr="00473530" w:rsidRDefault="00026751" w:rsidP="00026751">
            <w:pPr>
              <w:ind w:right="57"/>
              <w:jc w:val="right"/>
              <w:rPr>
                <w:i/>
                <w:sz w:val="12"/>
                <w:szCs w:val="12"/>
              </w:rPr>
            </w:pPr>
          </w:p>
        </w:tc>
        <w:tc>
          <w:tcPr>
            <w:tcW w:w="992" w:type="dxa"/>
          </w:tcPr>
          <w:p w14:paraId="1A072492" w14:textId="2614FDC5" w:rsidR="00026751" w:rsidRPr="00473530" w:rsidRDefault="00026751" w:rsidP="00026751">
            <w:pPr>
              <w:ind w:right="57"/>
              <w:jc w:val="right"/>
              <w:rPr>
                <w:i/>
                <w:sz w:val="12"/>
                <w:szCs w:val="12"/>
              </w:rPr>
            </w:pPr>
            <w:r>
              <w:rPr>
                <w:i/>
                <w:sz w:val="12"/>
                <w:szCs w:val="12"/>
              </w:rPr>
              <w:t>-</w:t>
            </w:r>
          </w:p>
        </w:tc>
        <w:tc>
          <w:tcPr>
            <w:tcW w:w="142" w:type="dxa"/>
          </w:tcPr>
          <w:p w14:paraId="1F12AF7C" w14:textId="77777777" w:rsidR="00026751" w:rsidRPr="00473530" w:rsidRDefault="00026751" w:rsidP="00026751">
            <w:pPr>
              <w:ind w:right="57"/>
              <w:jc w:val="right"/>
              <w:rPr>
                <w:i/>
                <w:sz w:val="12"/>
                <w:szCs w:val="12"/>
              </w:rPr>
            </w:pPr>
          </w:p>
        </w:tc>
        <w:tc>
          <w:tcPr>
            <w:tcW w:w="992" w:type="dxa"/>
          </w:tcPr>
          <w:p w14:paraId="2AE2F599" w14:textId="6641501D" w:rsidR="00026751" w:rsidRPr="00473530" w:rsidRDefault="00026751" w:rsidP="00026751">
            <w:pPr>
              <w:ind w:right="57"/>
              <w:jc w:val="right"/>
              <w:rPr>
                <w:i/>
                <w:sz w:val="12"/>
                <w:szCs w:val="12"/>
              </w:rPr>
            </w:pPr>
            <w:r w:rsidRPr="002E5B14">
              <w:rPr>
                <w:sz w:val="12"/>
                <w:szCs w:val="12"/>
              </w:rPr>
              <w:t>(199.382.087)</w:t>
            </w:r>
          </w:p>
        </w:tc>
        <w:tc>
          <w:tcPr>
            <w:tcW w:w="1701" w:type="dxa"/>
            <w:shd w:val="clear" w:color="auto" w:fill="auto"/>
            <w:vAlign w:val="bottom"/>
          </w:tcPr>
          <w:p w14:paraId="5FF4C858" w14:textId="77777777" w:rsidR="00026751" w:rsidRPr="00E14DBC" w:rsidRDefault="00026751" w:rsidP="00026751">
            <w:pPr>
              <w:ind w:right="57"/>
              <w:jc w:val="right"/>
              <w:rPr>
                <w:i/>
                <w:sz w:val="12"/>
                <w:szCs w:val="12"/>
              </w:rPr>
            </w:pPr>
            <w:r w:rsidRPr="00E14DBC">
              <w:rPr>
                <w:i/>
                <w:sz w:val="12"/>
                <w:szCs w:val="12"/>
              </w:rPr>
              <w:t>NSK</w:t>
            </w:r>
          </w:p>
        </w:tc>
      </w:tr>
      <w:tr w:rsidR="00026751" w:rsidRPr="0013526B" w14:paraId="482F6425" w14:textId="77777777" w:rsidTr="002108FF">
        <w:tc>
          <w:tcPr>
            <w:tcW w:w="2065" w:type="dxa"/>
            <w:shd w:val="clear" w:color="auto" w:fill="auto"/>
            <w:vAlign w:val="bottom"/>
          </w:tcPr>
          <w:p w14:paraId="1B4B3BC8" w14:textId="33234040" w:rsidR="00026751" w:rsidRPr="001308CC" w:rsidRDefault="00026751" w:rsidP="00026751">
            <w:pPr>
              <w:ind w:left="425"/>
              <w:rPr>
                <w:sz w:val="12"/>
                <w:szCs w:val="12"/>
              </w:rPr>
            </w:pPr>
            <w:r>
              <w:rPr>
                <w:sz w:val="12"/>
                <w:szCs w:val="12"/>
              </w:rPr>
              <w:t>MSP</w:t>
            </w:r>
          </w:p>
        </w:tc>
        <w:tc>
          <w:tcPr>
            <w:tcW w:w="1054" w:type="dxa"/>
            <w:tcBorders>
              <w:bottom w:val="single" w:sz="4" w:space="0" w:color="auto"/>
            </w:tcBorders>
            <w:shd w:val="clear" w:color="auto" w:fill="auto"/>
            <w:vAlign w:val="bottom"/>
          </w:tcPr>
          <w:p w14:paraId="30413582" w14:textId="3138B011" w:rsidR="00026751" w:rsidRPr="00473530" w:rsidRDefault="00026751" w:rsidP="00026751">
            <w:pPr>
              <w:ind w:right="57"/>
              <w:jc w:val="right"/>
              <w:rPr>
                <w:sz w:val="12"/>
                <w:szCs w:val="12"/>
              </w:rPr>
            </w:pPr>
            <w:r w:rsidRPr="00473530">
              <w:rPr>
                <w:sz w:val="12"/>
                <w:szCs w:val="12"/>
              </w:rPr>
              <w:t>9.450.000</w:t>
            </w:r>
          </w:p>
        </w:tc>
        <w:tc>
          <w:tcPr>
            <w:tcW w:w="142" w:type="dxa"/>
            <w:shd w:val="clear" w:color="auto" w:fill="auto"/>
            <w:vAlign w:val="bottom"/>
          </w:tcPr>
          <w:p w14:paraId="50AE8B80" w14:textId="77777777" w:rsidR="00026751" w:rsidRPr="00473530" w:rsidRDefault="00026751" w:rsidP="00026751">
            <w:pPr>
              <w:ind w:right="57"/>
              <w:jc w:val="right"/>
              <w:rPr>
                <w:sz w:val="12"/>
                <w:szCs w:val="12"/>
              </w:rPr>
            </w:pPr>
          </w:p>
        </w:tc>
        <w:tc>
          <w:tcPr>
            <w:tcW w:w="850" w:type="dxa"/>
            <w:tcBorders>
              <w:bottom w:val="single" w:sz="4" w:space="0" w:color="auto"/>
            </w:tcBorders>
          </w:tcPr>
          <w:p w14:paraId="532A8E15" w14:textId="06E87864" w:rsidR="00026751" w:rsidRPr="00473530" w:rsidRDefault="00026751" w:rsidP="00026751">
            <w:pPr>
              <w:ind w:right="57"/>
              <w:jc w:val="right"/>
              <w:rPr>
                <w:sz w:val="12"/>
                <w:szCs w:val="12"/>
              </w:rPr>
            </w:pPr>
            <w:r w:rsidRPr="002E5B14">
              <w:rPr>
                <w:sz w:val="12"/>
                <w:szCs w:val="12"/>
              </w:rPr>
              <w:t>(1.245.854)</w:t>
            </w:r>
          </w:p>
        </w:tc>
        <w:tc>
          <w:tcPr>
            <w:tcW w:w="142" w:type="dxa"/>
          </w:tcPr>
          <w:p w14:paraId="22999AA4" w14:textId="77777777" w:rsidR="00026751" w:rsidRPr="00473530" w:rsidRDefault="00026751" w:rsidP="00026751">
            <w:pPr>
              <w:ind w:right="57"/>
              <w:jc w:val="right"/>
              <w:rPr>
                <w:i/>
                <w:sz w:val="12"/>
                <w:szCs w:val="12"/>
              </w:rPr>
            </w:pPr>
          </w:p>
        </w:tc>
        <w:tc>
          <w:tcPr>
            <w:tcW w:w="992" w:type="dxa"/>
            <w:tcBorders>
              <w:bottom w:val="single" w:sz="4" w:space="0" w:color="auto"/>
            </w:tcBorders>
          </w:tcPr>
          <w:p w14:paraId="79CE4557" w14:textId="236411C1" w:rsidR="00026751" w:rsidRPr="00473530" w:rsidRDefault="00026751" w:rsidP="00026751">
            <w:pPr>
              <w:ind w:right="57"/>
              <w:jc w:val="right"/>
              <w:rPr>
                <w:i/>
                <w:sz w:val="12"/>
                <w:szCs w:val="12"/>
              </w:rPr>
            </w:pPr>
            <w:r>
              <w:rPr>
                <w:i/>
                <w:sz w:val="12"/>
                <w:szCs w:val="12"/>
              </w:rPr>
              <w:t>-</w:t>
            </w:r>
          </w:p>
        </w:tc>
        <w:tc>
          <w:tcPr>
            <w:tcW w:w="142" w:type="dxa"/>
          </w:tcPr>
          <w:p w14:paraId="79470A8C" w14:textId="77777777" w:rsidR="00026751" w:rsidRPr="00473530" w:rsidRDefault="00026751" w:rsidP="00026751">
            <w:pPr>
              <w:ind w:right="57"/>
              <w:jc w:val="right"/>
              <w:rPr>
                <w:i/>
                <w:sz w:val="12"/>
                <w:szCs w:val="12"/>
              </w:rPr>
            </w:pPr>
          </w:p>
        </w:tc>
        <w:tc>
          <w:tcPr>
            <w:tcW w:w="992" w:type="dxa"/>
            <w:tcBorders>
              <w:bottom w:val="single" w:sz="4" w:space="0" w:color="auto"/>
            </w:tcBorders>
          </w:tcPr>
          <w:p w14:paraId="356C84F0" w14:textId="02A6AFC0" w:rsidR="00026751" w:rsidRPr="00473530" w:rsidRDefault="00026751" w:rsidP="00026751">
            <w:pPr>
              <w:ind w:right="57"/>
              <w:jc w:val="right"/>
              <w:rPr>
                <w:i/>
                <w:sz w:val="12"/>
                <w:szCs w:val="12"/>
              </w:rPr>
            </w:pPr>
            <w:r>
              <w:rPr>
                <w:i/>
                <w:sz w:val="12"/>
                <w:szCs w:val="12"/>
              </w:rPr>
              <w:t>-</w:t>
            </w:r>
          </w:p>
        </w:tc>
        <w:tc>
          <w:tcPr>
            <w:tcW w:w="142" w:type="dxa"/>
          </w:tcPr>
          <w:p w14:paraId="1F34AA34" w14:textId="77777777" w:rsidR="00026751" w:rsidRPr="00473530" w:rsidRDefault="00026751" w:rsidP="00026751">
            <w:pPr>
              <w:ind w:right="57"/>
              <w:jc w:val="right"/>
              <w:rPr>
                <w:i/>
                <w:sz w:val="12"/>
                <w:szCs w:val="12"/>
              </w:rPr>
            </w:pPr>
          </w:p>
        </w:tc>
        <w:tc>
          <w:tcPr>
            <w:tcW w:w="992" w:type="dxa"/>
            <w:tcBorders>
              <w:bottom w:val="single" w:sz="4" w:space="0" w:color="auto"/>
            </w:tcBorders>
          </w:tcPr>
          <w:p w14:paraId="42725D83" w14:textId="589BC2CF" w:rsidR="00026751" w:rsidRPr="00473530" w:rsidRDefault="00026751" w:rsidP="00026751">
            <w:pPr>
              <w:ind w:right="57"/>
              <w:jc w:val="right"/>
              <w:rPr>
                <w:i/>
                <w:sz w:val="12"/>
                <w:szCs w:val="12"/>
              </w:rPr>
            </w:pPr>
            <w:r w:rsidRPr="002E5B14">
              <w:rPr>
                <w:sz w:val="12"/>
                <w:szCs w:val="12"/>
              </w:rPr>
              <w:t>8.204.146</w:t>
            </w:r>
          </w:p>
        </w:tc>
        <w:tc>
          <w:tcPr>
            <w:tcW w:w="1701" w:type="dxa"/>
            <w:shd w:val="clear" w:color="auto" w:fill="auto"/>
            <w:vAlign w:val="bottom"/>
          </w:tcPr>
          <w:p w14:paraId="387A5583" w14:textId="77777777" w:rsidR="00026751" w:rsidRPr="00E14DBC" w:rsidRDefault="00026751" w:rsidP="00026751">
            <w:pPr>
              <w:ind w:right="57"/>
              <w:jc w:val="right"/>
              <w:rPr>
                <w:i/>
                <w:sz w:val="12"/>
                <w:szCs w:val="12"/>
              </w:rPr>
            </w:pPr>
            <w:r w:rsidRPr="00E14DBC">
              <w:rPr>
                <w:i/>
                <w:sz w:val="12"/>
                <w:szCs w:val="12"/>
              </w:rPr>
              <w:t>MSP</w:t>
            </w:r>
          </w:p>
        </w:tc>
      </w:tr>
      <w:tr w:rsidR="00026751" w:rsidRPr="0013526B" w14:paraId="1E15D759" w14:textId="77777777" w:rsidTr="002108FF">
        <w:trPr>
          <w:trHeight w:val="64"/>
        </w:trPr>
        <w:tc>
          <w:tcPr>
            <w:tcW w:w="2065" w:type="dxa"/>
            <w:shd w:val="clear" w:color="auto" w:fill="auto"/>
            <w:vAlign w:val="bottom"/>
          </w:tcPr>
          <w:p w14:paraId="5D21CC50" w14:textId="77777777" w:rsidR="00026751" w:rsidRPr="001308CC" w:rsidRDefault="00026751" w:rsidP="00026751">
            <w:pPr>
              <w:ind w:left="425"/>
              <w:rPr>
                <w:sz w:val="12"/>
                <w:szCs w:val="12"/>
              </w:rPr>
            </w:pPr>
          </w:p>
        </w:tc>
        <w:tc>
          <w:tcPr>
            <w:tcW w:w="1054" w:type="dxa"/>
            <w:tcBorders>
              <w:top w:val="single" w:sz="4" w:space="0" w:color="auto"/>
            </w:tcBorders>
            <w:shd w:val="clear" w:color="auto" w:fill="auto"/>
            <w:vAlign w:val="bottom"/>
          </w:tcPr>
          <w:p w14:paraId="74A7EFFA" w14:textId="77777777" w:rsidR="00026751" w:rsidRPr="00473530" w:rsidRDefault="00026751" w:rsidP="00026751">
            <w:pPr>
              <w:ind w:right="57"/>
              <w:jc w:val="right"/>
              <w:rPr>
                <w:b/>
                <w:sz w:val="12"/>
                <w:szCs w:val="12"/>
              </w:rPr>
            </w:pPr>
          </w:p>
        </w:tc>
        <w:tc>
          <w:tcPr>
            <w:tcW w:w="142" w:type="dxa"/>
            <w:shd w:val="clear" w:color="auto" w:fill="auto"/>
            <w:vAlign w:val="bottom"/>
          </w:tcPr>
          <w:p w14:paraId="69AE3EA2" w14:textId="77777777" w:rsidR="00026751" w:rsidRPr="00473530" w:rsidRDefault="00026751" w:rsidP="00026751">
            <w:pPr>
              <w:ind w:right="57"/>
              <w:jc w:val="right"/>
              <w:rPr>
                <w:sz w:val="12"/>
                <w:szCs w:val="12"/>
              </w:rPr>
            </w:pPr>
          </w:p>
        </w:tc>
        <w:tc>
          <w:tcPr>
            <w:tcW w:w="850" w:type="dxa"/>
            <w:tcBorders>
              <w:top w:val="single" w:sz="4" w:space="0" w:color="auto"/>
            </w:tcBorders>
            <w:vAlign w:val="bottom"/>
          </w:tcPr>
          <w:p w14:paraId="5CA5AD95" w14:textId="77777777" w:rsidR="00026751" w:rsidRPr="00473530" w:rsidRDefault="00026751" w:rsidP="00026751">
            <w:pPr>
              <w:ind w:right="57"/>
              <w:jc w:val="right"/>
              <w:rPr>
                <w:b/>
                <w:sz w:val="12"/>
                <w:szCs w:val="12"/>
              </w:rPr>
            </w:pPr>
          </w:p>
        </w:tc>
        <w:tc>
          <w:tcPr>
            <w:tcW w:w="142" w:type="dxa"/>
          </w:tcPr>
          <w:p w14:paraId="5B011A13" w14:textId="77777777" w:rsidR="00026751" w:rsidRPr="00473530" w:rsidRDefault="00026751" w:rsidP="00026751">
            <w:pPr>
              <w:ind w:right="57"/>
              <w:jc w:val="right"/>
              <w:rPr>
                <w:i/>
                <w:sz w:val="12"/>
                <w:szCs w:val="12"/>
              </w:rPr>
            </w:pPr>
          </w:p>
        </w:tc>
        <w:tc>
          <w:tcPr>
            <w:tcW w:w="992" w:type="dxa"/>
            <w:tcBorders>
              <w:top w:val="single" w:sz="4" w:space="0" w:color="auto"/>
            </w:tcBorders>
          </w:tcPr>
          <w:p w14:paraId="545228C9" w14:textId="77777777" w:rsidR="00026751" w:rsidRPr="00473530" w:rsidRDefault="00026751" w:rsidP="00026751">
            <w:pPr>
              <w:ind w:right="57"/>
              <w:jc w:val="right"/>
              <w:rPr>
                <w:i/>
                <w:sz w:val="12"/>
                <w:szCs w:val="12"/>
              </w:rPr>
            </w:pPr>
          </w:p>
        </w:tc>
        <w:tc>
          <w:tcPr>
            <w:tcW w:w="142" w:type="dxa"/>
          </w:tcPr>
          <w:p w14:paraId="6EF397B6" w14:textId="77777777" w:rsidR="00026751" w:rsidRPr="00473530" w:rsidRDefault="00026751" w:rsidP="00026751">
            <w:pPr>
              <w:ind w:right="57"/>
              <w:jc w:val="right"/>
              <w:rPr>
                <w:i/>
                <w:sz w:val="12"/>
                <w:szCs w:val="12"/>
              </w:rPr>
            </w:pPr>
          </w:p>
        </w:tc>
        <w:tc>
          <w:tcPr>
            <w:tcW w:w="992" w:type="dxa"/>
            <w:tcBorders>
              <w:top w:val="single" w:sz="4" w:space="0" w:color="auto"/>
            </w:tcBorders>
          </w:tcPr>
          <w:p w14:paraId="12100227" w14:textId="77777777" w:rsidR="00026751" w:rsidRPr="00473530" w:rsidRDefault="00026751" w:rsidP="00026751">
            <w:pPr>
              <w:ind w:right="57"/>
              <w:jc w:val="right"/>
              <w:rPr>
                <w:i/>
                <w:sz w:val="12"/>
                <w:szCs w:val="12"/>
              </w:rPr>
            </w:pPr>
          </w:p>
        </w:tc>
        <w:tc>
          <w:tcPr>
            <w:tcW w:w="142" w:type="dxa"/>
          </w:tcPr>
          <w:p w14:paraId="0B2F4E57" w14:textId="77777777" w:rsidR="00026751" w:rsidRPr="00473530" w:rsidRDefault="00026751" w:rsidP="00026751">
            <w:pPr>
              <w:ind w:right="57"/>
              <w:jc w:val="right"/>
              <w:rPr>
                <w:i/>
                <w:sz w:val="12"/>
                <w:szCs w:val="12"/>
              </w:rPr>
            </w:pPr>
          </w:p>
        </w:tc>
        <w:tc>
          <w:tcPr>
            <w:tcW w:w="992" w:type="dxa"/>
            <w:tcBorders>
              <w:top w:val="single" w:sz="4" w:space="0" w:color="auto"/>
            </w:tcBorders>
          </w:tcPr>
          <w:p w14:paraId="30DD0D9D" w14:textId="77777777" w:rsidR="00026751" w:rsidRPr="00473530" w:rsidRDefault="00026751" w:rsidP="00026751">
            <w:pPr>
              <w:ind w:right="57"/>
              <w:jc w:val="right"/>
              <w:rPr>
                <w:i/>
                <w:sz w:val="12"/>
                <w:szCs w:val="12"/>
              </w:rPr>
            </w:pPr>
          </w:p>
        </w:tc>
        <w:tc>
          <w:tcPr>
            <w:tcW w:w="1701" w:type="dxa"/>
            <w:shd w:val="clear" w:color="auto" w:fill="auto"/>
            <w:vAlign w:val="bottom"/>
          </w:tcPr>
          <w:p w14:paraId="2B6007BE" w14:textId="77777777" w:rsidR="00026751" w:rsidRPr="001308CC" w:rsidRDefault="00026751" w:rsidP="00026751">
            <w:pPr>
              <w:ind w:right="57"/>
              <w:jc w:val="right"/>
              <w:rPr>
                <w:i/>
                <w:sz w:val="12"/>
                <w:szCs w:val="12"/>
              </w:rPr>
            </w:pPr>
          </w:p>
        </w:tc>
      </w:tr>
      <w:tr w:rsidR="00026751" w:rsidRPr="0013526B" w14:paraId="5D6BED87" w14:textId="77777777" w:rsidTr="002108FF">
        <w:trPr>
          <w:trHeight w:val="74"/>
        </w:trPr>
        <w:tc>
          <w:tcPr>
            <w:tcW w:w="2065" w:type="dxa"/>
            <w:shd w:val="clear" w:color="auto" w:fill="auto"/>
            <w:vAlign w:val="bottom"/>
          </w:tcPr>
          <w:p w14:paraId="46F32435" w14:textId="4DD3ECD4" w:rsidR="00026751" w:rsidRPr="001308CC" w:rsidRDefault="00026751" w:rsidP="00026751">
            <w:pPr>
              <w:ind w:left="425"/>
              <w:rPr>
                <w:b/>
                <w:sz w:val="12"/>
                <w:szCs w:val="12"/>
              </w:rPr>
            </w:pPr>
            <w:r w:rsidRPr="001308CC">
              <w:rPr>
                <w:b/>
                <w:sz w:val="12"/>
                <w:szCs w:val="12"/>
              </w:rPr>
              <w:t xml:space="preserve">Jumlah </w:t>
            </w:r>
          </w:p>
        </w:tc>
        <w:tc>
          <w:tcPr>
            <w:tcW w:w="1054" w:type="dxa"/>
            <w:tcBorders>
              <w:bottom w:val="double" w:sz="4" w:space="0" w:color="auto"/>
            </w:tcBorders>
            <w:shd w:val="clear" w:color="auto" w:fill="auto"/>
            <w:vAlign w:val="bottom"/>
          </w:tcPr>
          <w:p w14:paraId="78C0EBE7" w14:textId="3D7780BE" w:rsidR="00026751" w:rsidRPr="00473530" w:rsidRDefault="00026751" w:rsidP="00026751">
            <w:pPr>
              <w:ind w:right="57"/>
              <w:jc w:val="right"/>
              <w:rPr>
                <w:b/>
                <w:sz w:val="12"/>
                <w:szCs w:val="12"/>
              </w:rPr>
            </w:pPr>
            <w:r w:rsidRPr="00A24EFC">
              <w:rPr>
                <w:b/>
                <w:sz w:val="12"/>
                <w:szCs w:val="12"/>
              </w:rPr>
              <w:t>1.004.310.726</w:t>
            </w:r>
          </w:p>
        </w:tc>
        <w:tc>
          <w:tcPr>
            <w:tcW w:w="142" w:type="dxa"/>
            <w:shd w:val="clear" w:color="auto" w:fill="auto"/>
            <w:vAlign w:val="bottom"/>
          </w:tcPr>
          <w:p w14:paraId="1C26F747" w14:textId="77777777" w:rsidR="00026751" w:rsidRPr="00473530" w:rsidRDefault="00026751" w:rsidP="00026751">
            <w:pPr>
              <w:ind w:right="57"/>
              <w:jc w:val="right"/>
              <w:rPr>
                <w:sz w:val="12"/>
                <w:szCs w:val="12"/>
              </w:rPr>
            </w:pPr>
          </w:p>
        </w:tc>
        <w:tc>
          <w:tcPr>
            <w:tcW w:w="850" w:type="dxa"/>
            <w:tcBorders>
              <w:bottom w:val="double" w:sz="4" w:space="0" w:color="auto"/>
            </w:tcBorders>
            <w:vAlign w:val="bottom"/>
          </w:tcPr>
          <w:p w14:paraId="1DE92A19" w14:textId="151837D6" w:rsidR="00026751" w:rsidRPr="00473530" w:rsidRDefault="00026751" w:rsidP="00026751">
            <w:pPr>
              <w:ind w:right="57"/>
              <w:jc w:val="right"/>
              <w:rPr>
                <w:b/>
                <w:sz w:val="12"/>
                <w:szCs w:val="12"/>
              </w:rPr>
            </w:pPr>
            <w:r w:rsidRPr="004941B5">
              <w:rPr>
                <w:b/>
                <w:bCs w:val="0"/>
                <w:sz w:val="12"/>
                <w:szCs w:val="12"/>
              </w:rPr>
              <w:t>(104.323.216)</w:t>
            </w:r>
          </w:p>
        </w:tc>
        <w:tc>
          <w:tcPr>
            <w:tcW w:w="142" w:type="dxa"/>
          </w:tcPr>
          <w:p w14:paraId="1500C99E" w14:textId="77777777" w:rsidR="00026751" w:rsidRPr="00473530" w:rsidRDefault="00026751" w:rsidP="00026751">
            <w:pPr>
              <w:ind w:right="57"/>
              <w:jc w:val="right"/>
              <w:rPr>
                <w:b/>
                <w:i/>
                <w:sz w:val="12"/>
                <w:szCs w:val="12"/>
              </w:rPr>
            </w:pPr>
          </w:p>
        </w:tc>
        <w:tc>
          <w:tcPr>
            <w:tcW w:w="992" w:type="dxa"/>
            <w:tcBorders>
              <w:bottom w:val="double" w:sz="4" w:space="0" w:color="auto"/>
            </w:tcBorders>
          </w:tcPr>
          <w:p w14:paraId="5A435F47" w14:textId="1812A315" w:rsidR="00026751" w:rsidRPr="00473530" w:rsidRDefault="00026751" w:rsidP="00026751">
            <w:pPr>
              <w:ind w:right="57"/>
              <w:jc w:val="right"/>
              <w:rPr>
                <w:b/>
                <w:i/>
                <w:sz w:val="12"/>
                <w:szCs w:val="12"/>
              </w:rPr>
            </w:pPr>
            <w:r w:rsidRPr="002602EA">
              <w:rPr>
                <w:b/>
                <w:bCs w:val="0"/>
                <w:iCs/>
                <w:sz w:val="12"/>
                <w:szCs w:val="12"/>
              </w:rPr>
              <w:t>13.045.39</w:t>
            </w:r>
            <w:r>
              <w:rPr>
                <w:b/>
                <w:bCs w:val="0"/>
                <w:iCs/>
                <w:sz w:val="12"/>
                <w:szCs w:val="12"/>
              </w:rPr>
              <w:t>9</w:t>
            </w:r>
          </w:p>
        </w:tc>
        <w:tc>
          <w:tcPr>
            <w:tcW w:w="142" w:type="dxa"/>
          </w:tcPr>
          <w:p w14:paraId="65AB1F6D" w14:textId="77777777" w:rsidR="00026751" w:rsidRPr="00473530" w:rsidRDefault="00026751" w:rsidP="00026751">
            <w:pPr>
              <w:ind w:right="57"/>
              <w:jc w:val="right"/>
              <w:rPr>
                <w:b/>
                <w:i/>
                <w:sz w:val="12"/>
                <w:szCs w:val="12"/>
              </w:rPr>
            </w:pPr>
          </w:p>
        </w:tc>
        <w:tc>
          <w:tcPr>
            <w:tcW w:w="992" w:type="dxa"/>
            <w:tcBorders>
              <w:bottom w:val="double" w:sz="4" w:space="0" w:color="auto"/>
            </w:tcBorders>
          </w:tcPr>
          <w:p w14:paraId="70E1835E" w14:textId="0F131838" w:rsidR="00026751" w:rsidRPr="00473530" w:rsidRDefault="00026751" w:rsidP="00026751">
            <w:pPr>
              <w:ind w:right="57"/>
              <w:jc w:val="right"/>
              <w:rPr>
                <w:b/>
                <w:i/>
                <w:sz w:val="12"/>
                <w:szCs w:val="12"/>
              </w:rPr>
            </w:pPr>
            <w:r>
              <w:rPr>
                <w:b/>
                <w:i/>
                <w:sz w:val="12"/>
                <w:szCs w:val="12"/>
              </w:rPr>
              <w:t>-</w:t>
            </w:r>
          </w:p>
        </w:tc>
        <w:tc>
          <w:tcPr>
            <w:tcW w:w="142" w:type="dxa"/>
          </w:tcPr>
          <w:p w14:paraId="1679A722" w14:textId="77777777" w:rsidR="00026751" w:rsidRPr="00473530" w:rsidRDefault="00026751" w:rsidP="00026751">
            <w:pPr>
              <w:ind w:right="57"/>
              <w:jc w:val="right"/>
              <w:rPr>
                <w:b/>
                <w:i/>
                <w:sz w:val="12"/>
                <w:szCs w:val="12"/>
              </w:rPr>
            </w:pPr>
          </w:p>
        </w:tc>
        <w:tc>
          <w:tcPr>
            <w:tcW w:w="992" w:type="dxa"/>
            <w:tcBorders>
              <w:bottom w:val="double" w:sz="4" w:space="0" w:color="auto"/>
            </w:tcBorders>
          </w:tcPr>
          <w:p w14:paraId="540D921A" w14:textId="6968A34C" w:rsidR="00026751" w:rsidRPr="00473530" w:rsidRDefault="00026751" w:rsidP="00026751">
            <w:pPr>
              <w:ind w:right="57"/>
              <w:jc w:val="right"/>
              <w:rPr>
                <w:b/>
                <w:i/>
                <w:sz w:val="12"/>
                <w:szCs w:val="12"/>
              </w:rPr>
            </w:pPr>
            <w:r w:rsidRPr="004941B5">
              <w:rPr>
                <w:b/>
                <w:bCs w:val="0"/>
                <w:sz w:val="12"/>
                <w:szCs w:val="12"/>
              </w:rPr>
              <w:t>913.032.909</w:t>
            </w:r>
          </w:p>
        </w:tc>
        <w:tc>
          <w:tcPr>
            <w:tcW w:w="1701" w:type="dxa"/>
            <w:shd w:val="clear" w:color="auto" w:fill="auto"/>
            <w:vAlign w:val="bottom"/>
          </w:tcPr>
          <w:p w14:paraId="27AAC59D" w14:textId="77777777" w:rsidR="00026751" w:rsidRPr="001308CC" w:rsidRDefault="00026751" w:rsidP="00026751">
            <w:pPr>
              <w:ind w:right="57"/>
              <w:jc w:val="right"/>
              <w:rPr>
                <w:b/>
                <w:i/>
                <w:sz w:val="12"/>
                <w:szCs w:val="12"/>
              </w:rPr>
            </w:pPr>
            <w:r w:rsidRPr="001308CC">
              <w:rPr>
                <w:b/>
                <w:i/>
                <w:sz w:val="12"/>
                <w:szCs w:val="12"/>
              </w:rPr>
              <w:t xml:space="preserve">Total </w:t>
            </w:r>
          </w:p>
        </w:tc>
      </w:tr>
    </w:tbl>
    <w:p w14:paraId="40D09859" w14:textId="0A17B22B" w:rsidR="002602EA" w:rsidRDefault="002602EA" w:rsidP="007A276F">
      <w:pPr>
        <w:jc w:val="both"/>
        <w:rPr>
          <w:sz w:val="12"/>
          <w:szCs w:val="18"/>
        </w:rPr>
      </w:pPr>
    </w:p>
    <w:p w14:paraId="51581B0A" w14:textId="77777777" w:rsidR="00EE78B5" w:rsidRDefault="00EE78B5" w:rsidP="0013526B">
      <w:pPr>
        <w:rPr>
          <w:sz w:val="12"/>
          <w:szCs w:val="18"/>
        </w:rPr>
      </w:pPr>
    </w:p>
    <w:p w14:paraId="77603A73" w14:textId="42E055FF" w:rsidR="007D7908" w:rsidRPr="002602EA" w:rsidRDefault="007D7908" w:rsidP="0013526B">
      <w:pPr>
        <w:rPr>
          <w:sz w:val="12"/>
          <w:szCs w:val="18"/>
        </w:rPr>
      </w:pPr>
    </w:p>
    <w:tbl>
      <w:tblPr>
        <w:tblW w:w="9214" w:type="dxa"/>
        <w:tblInd w:w="406" w:type="dxa"/>
        <w:tblLayout w:type="fixed"/>
        <w:tblLook w:val="0000" w:firstRow="0" w:lastRow="0" w:firstColumn="0" w:lastColumn="0" w:noHBand="0" w:noVBand="0"/>
      </w:tblPr>
      <w:tblGrid>
        <w:gridCol w:w="4607"/>
        <w:gridCol w:w="4607"/>
      </w:tblGrid>
      <w:tr w:rsidR="00083896" w:rsidRPr="002602EA" w14:paraId="4B68405E" w14:textId="77777777" w:rsidTr="002108FF">
        <w:tc>
          <w:tcPr>
            <w:tcW w:w="4607" w:type="dxa"/>
            <w:tcBorders>
              <w:top w:val="nil"/>
              <w:left w:val="nil"/>
              <w:bottom w:val="nil"/>
              <w:right w:val="nil"/>
            </w:tcBorders>
          </w:tcPr>
          <w:p w14:paraId="41AF364D" w14:textId="064F2C80" w:rsidR="00083896" w:rsidRPr="002602EA" w:rsidRDefault="00083896" w:rsidP="00070D1F">
            <w:pPr>
              <w:numPr>
                <w:ilvl w:val="0"/>
                <w:numId w:val="390"/>
              </w:numPr>
              <w:jc w:val="both"/>
              <w:rPr>
                <w:b/>
                <w:bCs w:val="0"/>
                <w:sz w:val="18"/>
                <w:szCs w:val="18"/>
              </w:rPr>
            </w:pPr>
            <w:r w:rsidRPr="002602EA">
              <w:rPr>
                <w:b/>
                <w:bCs w:val="0"/>
                <w:sz w:val="18"/>
                <w:szCs w:val="18"/>
              </w:rPr>
              <w:t>PEN</w:t>
            </w:r>
            <w:r w:rsidR="00E14DBC" w:rsidRPr="002602EA">
              <w:rPr>
                <w:b/>
                <w:bCs w:val="0"/>
                <w:sz w:val="18"/>
                <w:szCs w:val="18"/>
              </w:rPr>
              <w:t>DAPATAN</w:t>
            </w:r>
          </w:p>
        </w:tc>
        <w:tc>
          <w:tcPr>
            <w:tcW w:w="4607" w:type="dxa"/>
            <w:tcBorders>
              <w:top w:val="nil"/>
              <w:left w:val="nil"/>
              <w:bottom w:val="nil"/>
              <w:right w:val="nil"/>
            </w:tcBorders>
          </w:tcPr>
          <w:p w14:paraId="79C310CB" w14:textId="6F031845" w:rsidR="00083896" w:rsidRPr="002602EA" w:rsidRDefault="00E14DBC" w:rsidP="00070D1F">
            <w:pPr>
              <w:numPr>
                <w:ilvl w:val="0"/>
                <w:numId w:val="377"/>
              </w:numPr>
              <w:jc w:val="both"/>
              <w:rPr>
                <w:b/>
                <w:bCs w:val="0"/>
                <w:i/>
                <w:iCs/>
                <w:sz w:val="18"/>
                <w:szCs w:val="18"/>
              </w:rPr>
            </w:pPr>
            <w:r w:rsidRPr="002602EA">
              <w:rPr>
                <w:b/>
                <w:bCs w:val="0"/>
                <w:i/>
                <w:iCs/>
                <w:sz w:val="18"/>
                <w:szCs w:val="18"/>
              </w:rPr>
              <w:t>REVENUE</w:t>
            </w:r>
          </w:p>
        </w:tc>
      </w:tr>
      <w:tr w:rsidR="00083896" w:rsidRPr="0013526B" w14:paraId="2A788F3E" w14:textId="77777777" w:rsidTr="002108FF">
        <w:tc>
          <w:tcPr>
            <w:tcW w:w="4607" w:type="dxa"/>
            <w:tcBorders>
              <w:top w:val="nil"/>
              <w:left w:val="nil"/>
              <w:bottom w:val="nil"/>
              <w:right w:val="nil"/>
            </w:tcBorders>
          </w:tcPr>
          <w:p w14:paraId="797A4377" w14:textId="77777777" w:rsidR="00083896" w:rsidRPr="0013526B" w:rsidRDefault="00083896" w:rsidP="0013526B">
            <w:pPr>
              <w:ind w:left="709"/>
              <w:jc w:val="both"/>
              <w:rPr>
                <w:sz w:val="14"/>
                <w:szCs w:val="18"/>
              </w:rPr>
            </w:pPr>
          </w:p>
        </w:tc>
        <w:tc>
          <w:tcPr>
            <w:tcW w:w="4607" w:type="dxa"/>
            <w:tcBorders>
              <w:top w:val="nil"/>
              <w:left w:val="nil"/>
              <w:bottom w:val="nil"/>
              <w:right w:val="nil"/>
            </w:tcBorders>
          </w:tcPr>
          <w:p w14:paraId="627B2CF5" w14:textId="77777777" w:rsidR="00083896" w:rsidRPr="0013526B" w:rsidRDefault="00083896" w:rsidP="0013526B">
            <w:pPr>
              <w:pStyle w:val="ListParagraph"/>
              <w:ind w:left="743"/>
              <w:jc w:val="both"/>
              <w:rPr>
                <w:i/>
                <w:sz w:val="16"/>
                <w:szCs w:val="18"/>
              </w:rPr>
            </w:pPr>
          </w:p>
        </w:tc>
      </w:tr>
      <w:tr w:rsidR="00083896" w:rsidRPr="0013526B" w14:paraId="7822C261" w14:textId="77777777" w:rsidTr="002108FF">
        <w:tc>
          <w:tcPr>
            <w:tcW w:w="4607" w:type="dxa"/>
            <w:tcBorders>
              <w:top w:val="nil"/>
              <w:left w:val="nil"/>
              <w:bottom w:val="nil"/>
              <w:right w:val="nil"/>
            </w:tcBorders>
          </w:tcPr>
          <w:p w14:paraId="6E1C0800" w14:textId="43DDF906" w:rsidR="00083896" w:rsidRPr="0013526B" w:rsidRDefault="00040A37" w:rsidP="00E14DBC">
            <w:pPr>
              <w:pStyle w:val="ListParagraph"/>
              <w:ind w:left="284"/>
              <w:jc w:val="both"/>
              <w:rPr>
                <w:sz w:val="18"/>
                <w:szCs w:val="18"/>
              </w:rPr>
            </w:pPr>
            <w:r w:rsidRPr="0013526B">
              <w:rPr>
                <w:bCs w:val="0"/>
                <w:sz w:val="18"/>
                <w:szCs w:val="18"/>
              </w:rPr>
              <w:t>P</w:t>
            </w:r>
            <w:r w:rsidR="00322EBD" w:rsidRPr="0013526B">
              <w:rPr>
                <w:bCs w:val="0"/>
                <w:sz w:val="18"/>
                <w:szCs w:val="18"/>
              </w:rPr>
              <w:t>en</w:t>
            </w:r>
            <w:r w:rsidR="00E14DBC">
              <w:rPr>
                <w:bCs w:val="0"/>
                <w:sz w:val="18"/>
                <w:szCs w:val="18"/>
              </w:rPr>
              <w:t>dapatan</w:t>
            </w:r>
            <w:r w:rsidR="00322EBD" w:rsidRPr="0013526B">
              <w:rPr>
                <w:bCs w:val="0"/>
                <w:sz w:val="18"/>
                <w:szCs w:val="18"/>
              </w:rPr>
              <w:t xml:space="preserve"> terdiri dari:</w:t>
            </w:r>
          </w:p>
        </w:tc>
        <w:tc>
          <w:tcPr>
            <w:tcW w:w="4607" w:type="dxa"/>
            <w:tcBorders>
              <w:top w:val="nil"/>
              <w:left w:val="nil"/>
              <w:bottom w:val="nil"/>
              <w:right w:val="nil"/>
            </w:tcBorders>
          </w:tcPr>
          <w:p w14:paraId="446BD6F8" w14:textId="6831C42F" w:rsidR="00083896" w:rsidRPr="0013526B" w:rsidRDefault="008D5BD3" w:rsidP="0013526B">
            <w:pPr>
              <w:pStyle w:val="ListParagraph"/>
              <w:tabs>
                <w:tab w:val="right" w:pos="9340"/>
                <w:tab w:val="right" w:pos="10080"/>
              </w:tabs>
              <w:ind w:left="284"/>
              <w:jc w:val="both"/>
              <w:rPr>
                <w:i/>
                <w:sz w:val="18"/>
                <w:szCs w:val="18"/>
              </w:rPr>
            </w:pPr>
            <w:r>
              <w:rPr>
                <w:bCs w:val="0"/>
                <w:i/>
                <w:sz w:val="18"/>
                <w:szCs w:val="18"/>
              </w:rPr>
              <w:t xml:space="preserve">Revenue </w:t>
            </w:r>
            <w:r w:rsidR="00322EBD" w:rsidRPr="0013526B">
              <w:rPr>
                <w:bCs w:val="0"/>
                <w:i/>
                <w:sz w:val="18"/>
                <w:szCs w:val="18"/>
              </w:rPr>
              <w:t>consist of:</w:t>
            </w:r>
          </w:p>
        </w:tc>
      </w:tr>
    </w:tbl>
    <w:p w14:paraId="6887FEB8" w14:textId="77777777" w:rsidR="00083896" w:rsidRPr="0013526B" w:rsidRDefault="00083896" w:rsidP="0013526B">
      <w:pPr>
        <w:ind w:left="567"/>
        <w:jc w:val="both"/>
        <w:rPr>
          <w:sz w:val="14"/>
          <w:szCs w:val="18"/>
        </w:rPr>
      </w:pPr>
    </w:p>
    <w:tbl>
      <w:tblPr>
        <w:tblW w:w="9197" w:type="dxa"/>
        <w:tblInd w:w="420" w:type="dxa"/>
        <w:tblCellMar>
          <w:left w:w="0" w:type="dxa"/>
          <w:right w:w="0" w:type="dxa"/>
        </w:tblCellMar>
        <w:tblLook w:val="04A0" w:firstRow="1" w:lastRow="0" w:firstColumn="1" w:lastColumn="0" w:noHBand="0" w:noVBand="1"/>
      </w:tblPr>
      <w:tblGrid>
        <w:gridCol w:w="2864"/>
        <w:gridCol w:w="1682"/>
        <w:gridCol w:w="93"/>
        <w:gridCol w:w="1682"/>
        <w:gridCol w:w="2876"/>
      </w:tblGrid>
      <w:tr w:rsidR="00842EF9" w:rsidRPr="00780678" w14:paraId="5DCA2E4F" w14:textId="77777777" w:rsidTr="002108FF">
        <w:tc>
          <w:tcPr>
            <w:tcW w:w="2864" w:type="dxa"/>
            <w:shd w:val="clear" w:color="auto" w:fill="auto"/>
            <w:vAlign w:val="bottom"/>
          </w:tcPr>
          <w:p w14:paraId="4443BFDF" w14:textId="77777777" w:rsidR="00842EF9" w:rsidRPr="00780678" w:rsidRDefault="00842EF9" w:rsidP="0013526B">
            <w:pPr>
              <w:ind w:left="175"/>
              <w:rPr>
                <w:sz w:val="18"/>
                <w:szCs w:val="18"/>
              </w:rPr>
            </w:pPr>
          </w:p>
        </w:tc>
        <w:tc>
          <w:tcPr>
            <w:tcW w:w="1682" w:type="dxa"/>
            <w:tcBorders>
              <w:bottom w:val="single" w:sz="4" w:space="0" w:color="auto"/>
            </w:tcBorders>
            <w:shd w:val="clear" w:color="auto" w:fill="auto"/>
          </w:tcPr>
          <w:p w14:paraId="330BD159" w14:textId="77777777" w:rsidR="002C6EE3" w:rsidRDefault="007E3467" w:rsidP="0013526B">
            <w:pPr>
              <w:jc w:val="center"/>
              <w:rPr>
                <w:b/>
                <w:sz w:val="18"/>
                <w:szCs w:val="18"/>
              </w:rPr>
            </w:pPr>
            <w:r>
              <w:rPr>
                <w:b/>
                <w:sz w:val="18"/>
                <w:szCs w:val="18"/>
              </w:rPr>
              <w:t>31 Maret</w:t>
            </w:r>
            <w:r w:rsidR="002C6EE3">
              <w:rPr>
                <w:b/>
                <w:sz w:val="18"/>
                <w:szCs w:val="18"/>
              </w:rPr>
              <w:t>/</w:t>
            </w:r>
          </w:p>
          <w:p w14:paraId="76249E7B" w14:textId="5787E515" w:rsidR="00842EF9" w:rsidRPr="00780678" w:rsidRDefault="002C6EE3" w:rsidP="0013526B">
            <w:pPr>
              <w:jc w:val="center"/>
              <w:rPr>
                <w:b/>
                <w:sz w:val="18"/>
                <w:szCs w:val="18"/>
              </w:rPr>
            </w:pPr>
            <w:r>
              <w:rPr>
                <w:b/>
                <w:sz w:val="18"/>
                <w:szCs w:val="18"/>
              </w:rPr>
              <w:t>March 31</w:t>
            </w:r>
            <w:r w:rsidR="00305CA0">
              <w:rPr>
                <w:b/>
                <w:sz w:val="18"/>
                <w:szCs w:val="18"/>
              </w:rPr>
              <w:t>.</w:t>
            </w:r>
            <w:r w:rsidR="007E3467">
              <w:rPr>
                <w:b/>
                <w:sz w:val="18"/>
                <w:szCs w:val="18"/>
              </w:rPr>
              <w:t xml:space="preserve"> 2020</w:t>
            </w:r>
          </w:p>
        </w:tc>
        <w:tc>
          <w:tcPr>
            <w:tcW w:w="93" w:type="dxa"/>
            <w:shd w:val="clear" w:color="auto" w:fill="auto"/>
          </w:tcPr>
          <w:p w14:paraId="75E0D808" w14:textId="77777777" w:rsidR="00842EF9" w:rsidRPr="00780678" w:rsidRDefault="00842EF9" w:rsidP="0013526B">
            <w:pPr>
              <w:jc w:val="center"/>
              <w:rPr>
                <w:b/>
                <w:sz w:val="18"/>
                <w:szCs w:val="18"/>
              </w:rPr>
            </w:pPr>
          </w:p>
        </w:tc>
        <w:tc>
          <w:tcPr>
            <w:tcW w:w="1682" w:type="dxa"/>
            <w:tcBorders>
              <w:bottom w:val="single" w:sz="4" w:space="0" w:color="auto"/>
            </w:tcBorders>
          </w:tcPr>
          <w:p w14:paraId="426DFEE8" w14:textId="1BB14A0A" w:rsidR="002C6EE3" w:rsidRDefault="007E3467" w:rsidP="007E3467">
            <w:pPr>
              <w:jc w:val="center"/>
              <w:rPr>
                <w:b/>
                <w:sz w:val="18"/>
                <w:szCs w:val="18"/>
              </w:rPr>
            </w:pPr>
            <w:r>
              <w:rPr>
                <w:b/>
                <w:sz w:val="18"/>
                <w:szCs w:val="18"/>
              </w:rPr>
              <w:t>31 Maret</w:t>
            </w:r>
            <w:r w:rsidR="002C6EE3">
              <w:rPr>
                <w:b/>
                <w:sz w:val="18"/>
                <w:szCs w:val="18"/>
              </w:rPr>
              <w:t>/</w:t>
            </w:r>
            <w:r>
              <w:rPr>
                <w:b/>
                <w:sz w:val="18"/>
                <w:szCs w:val="18"/>
              </w:rPr>
              <w:t xml:space="preserve"> </w:t>
            </w:r>
          </w:p>
          <w:p w14:paraId="4DCC94C8" w14:textId="38BA3B32" w:rsidR="00842EF9" w:rsidRPr="00780678" w:rsidRDefault="002C6EE3" w:rsidP="007E3467">
            <w:pPr>
              <w:jc w:val="center"/>
              <w:rPr>
                <w:b/>
                <w:sz w:val="18"/>
                <w:szCs w:val="18"/>
              </w:rPr>
            </w:pPr>
            <w:r>
              <w:rPr>
                <w:b/>
                <w:sz w:val="18"/>
                <w:szCs w:val="18"/>
              </w:rPr>
              <w:t>March 31</w:t>
            </w:r>
            <w:r w:rsidR="00305CA0">
              <w:rPr>
                <w:b/>
                <w:sz w:val="18"/>
                <w:szCs w:val="18"/>
              </w:rPr>
              <w:t>.</w:t>
            </w:r>
            <w:r>
              <w:rPr>
                <w:b/>
                <w:sz w:val="18"/>
                <w:szCs w:val="18"/>
              </w:rPr>
              <w:t xml:space="preserve"> </w:t>
            </w:r>
            <w:r w:rsidR="007E3467">
              <w:rPr>
                <w:b/>
                <w:sz w:val="18"/>
                <w:szCs w:val="18"/>
              </w:rPr>
              <w:t xml:space="preserve">2019 </w:t>
            </w:r>
          </w:p>
        </w:tc>
        <w:tc>
          <w:tcPr>
            <w:tcW w:w="2876" w:type="dxa"/>
            <w:shd w:val="clear" w:color="auto" w:fill="auto"/>
            <w:vAlign w:val="bottom"/>
          </w:tcPr>
          <w:p w14:paraId="3C748975" w14:textId="77777777" w:rsidR="00842EF9" w:rsidRPr="00780678" w:rsidRDefault="00842EF9" w:rsidP="0013526B">
            <w:pPr>
              <w:jc w:val="right"/>
              <w:rPr>
                <w:sz w:val="18"/>
                <w:szCs w:val="18"/>
              </w:rPr>
            </w:pPr>
          </w:p>
        </w:tc>
      </w:tr>
      <w:tr w:rsidR="00842EF9" w:rsidRPr="00780678" w14:paraId="5BCA2E34" w14:textId="77777777" w:rsidTr="002108FF">
        <w:trPr>
          <w:trHeight w:val="183"/>
        </w:trPr>
        <w:tc>
          <w:tcPr>
            <w:tcW w:w="2864" w:type="dxa"/>
            <w:shd w:val="clear" w:color="auto" w:fill="auto"/>
            <w:vAlign w:val="bottom"/>
          </w:tcPr>
          <w:p w14:paraId="305F809D" w14:textId="77777777" w:rsidR="00842EF9" w:rsidRPr="00780678" w:rsidRDefault="00842EF9" w:rsidP="0013526B">
            <w:pPr>
              <w:rPr>
                <w:sz w:val="18"/>
                <w:szCs w:val="18"/>
              </w:rPr>
            </w:pPr>
          </w:p>
        </w:tc>
        <w:tc>
          <w:tcPr>
            <w:tcW w:w="1682" w:type="dxa"/>
            <w:tcBorders>
              <w:top w:val="single" w:sz="4" w:space="0" w:color="auto"/>
            </w:tcBorders>
            <w:shd w:val="clear" w:color="auto" w:fill="auto"/>
            <w:vAlign w:val="bottom"/>
          </w:tcPr>
          <w:p w14:paraId="5AD5E0CC" w14:textId="77777777" w:rsidR="00842EF9" w:rsidRPr="00780678" w:rsidRDefault="00842EF9" w:rsidP="0013526B">
            <w:pPr>
              <w:jc w:val="right"/>
              <w:rPr>
                <w:sz w:val="18"/>
                <w:szCs w:val="18"/>
              </w:rPr>
            </w:pPr>
          </w:p>
        </w:tc>
        <w:tc>
          <w:tcPr>
            <w:tcW w:w="93" w:type="dxa"/>
            <w:shd w:val="clear" w:color="auto" w:fill="auto"/>
            <w:vAlign w:val="bottom"/>
          </w:tcPr>
          <w:p w14:paraId="5A1DE32D" w14:textId="77777777" w:rsidR="00842EF9" w:rsidRPr="00780678" w:rsidRDefault="00842EF9" w:rsidP="0013526B">
            <w:pPr>
              <w:jc w:val="right"/>
              <w:rPr>
                <w:sz w:val="18"/>
                <w:szCs w:val="18"/>
              </w:rPr>
            </w:pPr>
          </w:p>
        </w:tc>
        <w:tc>
          <w:tcPr>
            <w:tcW w:w="1682" w:type="dxa"/>
            <w:tcBorders>
              <w:top w:val="single" w:sz="4" w:space="0" w:color="auto"/>
            </w:tcBorders>
            <w:vAlign w:val="bottom"/>
          </w:tcPr>
          <w:p w14:paraId="47A112DC" w14:textId="77777777" w:rsidR="00842EF9" w:rsidRPr="00780678" w:rsidRDefault="00842EF9" w:rsidP="0013526B">
            <w:pPr>
              <w:jc w:val="right"/>
              <w:rPr>
                <w:sz w:val="18"/>
                <w:szCs w:val="18"/>
              </w:rPr>
            </w:pPr>
          </w:p>
        </w:tc>
        <w:tc>
          <w:tcPr>
            <w:tcW w:w="2876" w:type="dxa"/>
            <w:shd w:val="clear" w:color="auto" w:fill="auto"/>
            <w:vAlign w:val="bottom"/>
          </w:tcPr>
          <w:p w14:paraId="095D4FC7" w14:textId="77777777" w:rsidR="00842EF9" w:rsidRPr="00780678" w:rsidRDefault="00842EF9" w:rsidP="0013526B">
            <w:pPr>
              <w:jc w:val="right"/>
              <w:rPr>
                <w:sz w:val="18"/>
                <w:szCs w:val="18"/>
              </w:rPr>
            </w:pPr>
          </w:p>
        </w:tc>
      </w:tr>
      <w:tr w:rsidR="008D5BD3" w:rsidRPr="00780678" w14:paraId="209DCDB5" w14:textId="77777777" w:rsidTr="002108FF">
        <w:tc>
          <w:tcPr>
            <w:tcW w:w="2864" w:type="dxa"/>
            <w:shd w:val="clear" w:color="auto" w:fill="auto"/>
          </w:tcPr>
          <w:p w14:paraId="765B6178" w14:textId="44BE7A9D" w:rsidR="008D5BD3" w:rsidRPr="00780678" w:rsidRDefault="008D5BD3" w:rsidP="00024352">
            <w:pPr>
              <w:ind w:left="379"/>
              <w:rPr>
                <w:sz w:val="18"/>
                <w:szCs w:val="18"/>
              </w:rPr>
            </w:pPr>
            <w:r w:rsidRPr="00780678">
              <w:rPr>
                <w:sz w:val="18"/>
                <w:szCs w:val="18"/>
              </w:rPr>
              <w:t>Rawat inap</w:t>
            </w:r>
          </w:p>
        </w:tc>
        <w:tc>
          <w:tcPr>
            <w:tcW w:w="1682" w:type="dxa"/>
            <w:shd w:val="clear" w:color="auto" w:fill="auto"/>
            <w:vAlign w:val="bottom"/>
          </w:tcPr>
          <w:p w14:paraId="2AB73DF8" w14:textId="3E2C17E4" w:rsidR="008D5BD3" w:rsidRPr="00780678" w:rsidRDefault="00CB2C31" w:rsidP="002C6EE3">
            <w:pPr>
              <w:ind w:right="57"/>
              <w:jc w:val="right"/>
              <w:rPr>
                <w:sz w:val="18"/>
                <w:szCs w:val="18"/>
              </w:rPr>
            </w:pPr>
            <w:r w:rsidRPr="00CB2C31">
              <w:rPr>
                <w:sz w:val="18"/>
                <w:szCs w:val="18"/>
              </w:rPr>
              <w:t>145</w:t>
            </w:r>
            <w:r w:rsidR="002C6EE3">
              <w:rPr>
                <w:sz w:val="18"/>
                <w:szCs w:val="18"/>
              </w:rPr>
              <w:t>.</w:t>
            </w:r>
            <w:r w:rsidRPr="00CB2C31">
              <w:rPr>
                <w:sz w:val="18"/>
                <w:szCs w:val="18"/>
              </w:rPr>
              <w:t>594</w:t>
            </w:r>
            <w:r w:rsidR="002C6EE3">
              <w:rPr>
                <w:sz w:val="18"/>
                <w:szCs w:val="18"/>
              </w:rPr>
              <w:t>.</w:t>
            </w:r>
            <w:r w:rsidRPr="00CB2C31">
              <w:rPr>
                <w:sz w:val="18"/>
                <w:szCs w:val="18"/>
              </w:rPr>
              <w:t>282</w:t>
            </w:r>
            <w:r w:rsidR="002C6EE3">
              <w:rPr>
                <w:sz w:val="18"/>
                <w:szCs w:val="18"/>
              </w:rPr>
              <w:t>.</w:t>
            </w:r>
            <w:r w:rsidRPr="00CB2C31">
              <w:rPr>
                <w:sz w:val="18"/>
                <w:szCs w:val="18"/>
              </w:rPr>
              <w:t>055</w:t>
            </w:r>
          </w:p>
        </w:tc>
        <w:tc>
          <w:tcPr>
            <w:tcW w:w="93" w:type="dxa"/>
            <w:shd w:val="clear" w:color="auto" w:fill="auto"/>
            <w:vAlign w:val="bottom"/>
          </w:tcPr>
          <w:p w14:paraId="52D112DB" w14:textId="77777777" w:rsidR="008D5BD3" w:rsidRPr="00780678" w:rsidRDefault="008D5BD3" w:rsidP="0013526B">
            <w:pPr>
              <w:ind w:right="57"/>
              <w:jc w:val="right"/>
              <w:rPr>
                <w:sz w:val="18"/>
                <w:szCs w:val="18"/>
              </w:rPr>
            </w:pPr>
          </w:p>
        </w:tc>
        <w:tc>
          <w:tcPr>
            <w:tcW w:w="1682" w:type="dxa"/>
          </w:tcPr>
          <w:p w14:paraId="39CD4B81" w14:textId="1A0D3BE4" w:rsidR="008D5BD3" w:rsidRPr="00780678" w:rsidRDefault="00A46EB7" w:rsidP="0013526B">
            <w:pPr>
              <w:ind w:right="57"/>
              <w:jc w:val="right"/>
              <w:rPr>
                <w:sz w:val="18"/>
                <w:szCs w:val="18"/>
              </w:rPr>
            </w:pPr>
            <w:r>
              <w:rPr>
                <w:sz w:val="18"/>
                <w:szCs w:val="18"/>
              </w:rPr>
              <w:t>8</w:t>
            </w:r>
            <w:r w:rsidRPr="00A46EB7">
              <w:rPr>
                <w:sz w:val="18"/>
                <w:szCs w:val="18"/>
              </w:rPr>
              <w:t>3</w:t>
            </w:r>
            <w:r w:rsidR="00026751">
              <w:rPr>
                <w:sz w:val="18"/>
                <w:szCs w:val="18"/>
              </w:rPr>
              <w:t>.</w:t>
            </w:r>
            <w:r w:rsidRPr="00A46EB7">
              <w:rPr>
                <w:sz w:val="18"/>
                <w:szCs w:val="18"/>
              </w:rPr>
              <w:t>361</w:t>
            </w:r>
            <w:r w:rsidR="00026751">
              <w:rPr>
                <w:sz w:val="18"/>
                <w:szCs w:val="18"/>
              </w:rPr>
              <w:t>.</w:t>
            </w:r>
            <w:r w:rsidRPr="00A46EB7">
              <w:rPr>
                <w:sz w:val="18"/>
                <w:szCs w:val="18"/>
              </w:rPr>
              <w:t>493</w:t>
            </w:r>
            <w:r w:rsidR="00026751">
              <w:rPr>
                <w:sz w:val="18"/>
                <w:szCs w:val="18"/>
              </w:rPr>
              <w:t>.</w:t>
            </w:r>
            <w:r w:rsidRPr="00A46EB7">
              <w:rPr>
                <w:sz w:val="18"/>
                <w:szCs w:val="18"/>
              </w:rPr>
              <w:t>011</w:t>
            </w:r>
          </w:p>
        </w:tc>
        <w:tc>
          <w:tcPr>
            <w:tcW w:w="2876" w:type="dxa"/>
            <w:shd w:val="clear" w:color="auto" w:fill="auto"/>
          </w:tcPr>
          <w:p w14:paraId="13D65594" w14:textId="6F191EC4" w:rsidR="008D5BD3" w:rsidRPr="00780678" w:rsidRDefault="008D5BD3" w:rsidP="0013526B">
            <w:pPr>
              <w:ind w:right="57"/>
              <w:jc w:val="right"/>
              <w:rPr>
                <w:i/>
                <w:sz w:val="18"/>
                <w:szCs w:val="18"/>
              </w:rPr>
            </w:pPr>
            <w:r w:rsidRPr="00780678">
              <w:rPr>
                <w:i/>
                <w:sz w:val="18"/>
                <w:szCs w:val="18"/>
              </w:rPr>
              <w:t>Inpatient</w:t>
            </w:r>
          </w:p>
        </w:tc>
      </w:tr>
      <w:tr w:rsidR="008D5BD3" w:rsidRPr="00780678" w14:paraId="58F0A1D2" w14:textId="77777777" w:rsidTr="002108FF">
        <w:tc>
          <w:tcPr>
            <w:tcW w:w="2864" w:type="dxa"/>
            <w:shd w:val="clear" w:color="auto" w:fill="auto"/>
          </w:tcPr>
          <w:p w14:paraId="60E96268" w14:textId="5A72B5DF" w:rsidR="008D5BD3" w:rsidRPr="00780678" w:rsidRDefault="008D5BD3" w:rsidP="00024352">
            <w:pPr>
              <w:ind w:left="379"/>
              <w:rPr>
                <w:sz w:val="18"/>
                <w:szCs w:val="18"/>
              </w:rPr>
            </w:pPr>
            <w:r w:rsidRPr="00780678">
              <w:rPr>
                <w:sz w:val="18"/>
                <w:szCs w:val="18"/>
              </w:rPr>
              <w:t>Obat-obatan</w:t>
            </w:r>
          </w:p>
        </w:tc>
        <w:tc>
          <w:tcPr>
            <w:tcW w:w="1682" w:type="dxa"/>
            <w:shd w:val="clear" w:color="auto" w:fill="auto"/>
            <w:vAlign w:val="bottom"/>
          </w:tcPr>
          <w:p w14:paraId="74711ED2" w14:textId="4844D390" w:rsidR="008D5BD3" w:rsidRPr="00780678" w:rsidRDefault="002C6EE3" w:rsidP="002C6EE3">
            <w:pPr>
              <w:ind w:right="57"/>
              <w:jc w:val="right"/>
              <w:rPr>
                <w:sz w:val="18"/>
                <w:szCs w:val="18"/>
                <w:lang w:val="id-ID"/>
              </w:rPr>
            </w:pPr>
            <w:r>
              <w:rPr>
                <w:sz w:val="18"/>
                <w:szCs w:val="18"/>
                <w:lang w:val="id-ID"/>
              </w:rPr>
              <w:t>62</w:t>
            </w:r>
            <w:r>
              <w:rPr>
                <w:sz w:val="18"/>
                <w:szCs w:val="18"/>
              </w:rPr>
              <w:t>.</w:t>
            </w:r>
            <w:r w:rsidR="00CB2C31" w:rsidRPr="00CB2C31">
              <w:rPr>
                <w:sz w:val="18"/>
                <w:szCs w:val="18"/>
                <w:lang w:val="id-ID"/>
              </w:rPr>
              <w:t>922</w:t>
            </w:r>
            <w:r>
              <w:rPr>
                <w:sz w:val="18"/>
                <w:szCs w:val="18"/>
              </w:rPr>
              <w:t>.</w:t>
            </w:r>
            <w:r w:rsidR="00CB2C31" w:rsidRPr="00CB2C31">
              <w:rPr>
                <w:sz w:val="18"/>
                <w:szCs w:val="18"/>
                <w:lang w:val="id-ID"/>
              </w:rPr>
              <w:t>769</w:t>
            </w:r>
            <w:r>
              <w:rPr>
                <w:sz w:val="18"/>
                <w:szCs w:val="18"/>
              </w:rPr>
              <w:t>.</w:t>
            </w:r>
            <w:r w:rsidR="00CB2C31" w:rsidRPr="00CB2C31">
              <w:rPr>
                <w:sz w:val="18"/>
                <w:szCs w:val="18"/>
                <w:lang w:val="id-ID"/>
              </w:rPr>
              <w:t>456</w:t>
            </w:r>
          </w:p>
        </w:tc>
        <w:tc>
          <w:tcPr>
            <w:tcW w:w="93" w:type="dxa"/>
            <w:shd w:val="clear" w:color="auto" w:fill="auto"/>
            <w:vAlign w:val="bottom"/>
          </w:tcPr>
          <w:p w14:paraId="32B865D6" w14:textId="77777777" w:rsidR="008D5BD3" w:rsidRPr="00780678" w:rsidRDefault="008D5BD3" w:rsidP="0013526B">
            <w:pPr>
              <w:ind w:right="57"/>
              <w:jc w:val="right"/>
              <w:rPr>
                <w:sz w:val="18"/>
                <w:szCs w:val="18"/>
              </w:rPr>
            </w:pPr>
          </w:p>
        </w:tc>
        <w:tc>
          <w:tcPr>
            <w:tcW w:w="1682" w:type="dxa"/>
          </w:tcPr>
          <w:p w14:paraId="67278CD8" w14:textId="24237C3B" w:rsidR="008D5BD3" w:rsidRPr="00780678" w:rsidRDefault="00A46EB7" w:rsidP="0013526B">
            <w:pPr>
              <w:ind w:right="57"/>
              <w:jc w:val="right"/>
              <w:rPr>
                <w:sz w:val="18"/>
                <w:szCs w:val="18"/>
                <w:lang w:val="id-ID"/>
              </w:rPr>
            </w:pPr>
            <w:r>
              <w:rPr>
                <w:rFonts w:ascii="Arial" w:hAnsi="Arial" w:cs="Arial"/>
                <w:bCs w:val="0"/>
                <w:sz w:val="16"/>
                <w:szCs w:val="16"/>
              </w:rPr>
              <w:t>88</w:t>
            </w:r>
            <w:r w:rsidR="00026751">
              <w:rPr>
                <w:rFonts w:ascii="Arial" w:hAnsi="Arial" w:cs="Arial"/>
                <w:bCs w:val="0"/>
                <w:sz w:val="16"/>
                <w:szCs w:val="16"/>
              </w:rPr>
              <w:t>.</w:t>
            </w:r>
            <w:r>
              <w:rPr>
                <w:rFonts w:ascii="Arial" w:hAnsi="Arial" w:cs="Arial"/>
                <w:bCs w:val="0"/>
                <w:sz w:val="16"/>
                <w:szCs w:val="16"/>
              </w:rPr>
              <w:t>227</w:t>
            </w:r>
            <w:r w:rsidR="00026751">
              <w:rPr>
                <w:rFonts w:ascii="Arial" w:hAnsi="Arial" w:cs="Arial"/>
                <w:bCs w:val="0"/>
                <w:sz w:val="16"/>
                <w:szCs w:val="16"/>
              </w:rPr>
              <w:t>.</w:t>
            </w:r>
            <w:r>
              <w:rPr>
                <w:rFonts w:ascii="Arial" w:hAnsi="Arial" w:cs="Arial"/>
                <w:bCs w:val="0"/>
                <w:sz w:val="16"/>
                <w:szCs w:val="16"/>
              </w:rPr>
              <w:t>051</w:t>
            </w:r>
            <w:r w:rsidR="00026751">
              <w:rPr>
                <w:rFonts w:ascii="Arial" w:hAnsi="Arial" w:cs="Arial"/>
                <w:bCs w:val="0"/>
                <w:sz w:val="16"/>
                <w:szCs w:val="16"/>
              </w:rPr>
              <w:t>.</w:t>
            </w:r>
            <w:r>
              <w:rPr>
                <w:rFonts w:ascii="Arial" w:hAnsi="Arial" w:cs="Arial"/>
                <w:bCs w:val="0"/>
                <w:sz w:val="16"/>
                <w:szCs w:val="16"/>
              </w:rPr>
              <w:t>440</w:t>
            </w:r>
          </w:p>
        </w:tc>
        <w:tc>
          <w:tcPr>
            <w:tcW w:w="2876" w:type="dxa"/>
            <w:shd w:val="clear" w:color="auto" w:fill="auto"/>
          </w:tcPr>
          <w:p w14:paraId="73532CF5" w14:textId="31BE37FF" w:rsidR="008D5BD3" w:rsidRPr="00780678" w:rsidRDefault="008D5BD3" w:rsidP="0013526B">
            <w:pPr>
              <w:ind w:right="57"/>
              <w:jc w:val="right"/>
              <w:rPr>
                <w:i/>
                <w:sz w:val="18"/>
                <w:szCs w:val="18"/>
              </w:rPr>
            </w:pPr>
            <w:r w:rsidRPr="00780678">
              <w:rPr>
                <w:i/>
                <w:sz w:val="18"/>
                <w:szCs w:val="18"/>
              </w:rPr>
              <w:t>Medicines</w:t>
            </w:r>
          </w:p>
        </w:tc>
      </w:tr>
      <w:tr w:rsidR="008D5BD3" w:rsidRPr="00780678" w14:paraId="39428DF0" w14:textId="77777777" w:rsidTr="002108FF">
        <w:tc>
          <w:tcPr>
            <w:tcW w:w="2864" w:type="dxa"/>
            <w:shd w:val="clear" w:color="auto" w:fill="auto"/>
          </w:tcPr>
          <w:p w14:paraId="7F3CBA51" w14:textId="7DB807DF" w:rsidR="008D5BD3" w:rsidRPr="00780678" w:rsidRDefault="008D5BD3" w:rsidP="00024352">
            <w:pPr>
              <w:ind w:left="379"/>
              <w:rPr>
                <w:sz w:val="18"/>
                <w:szCs w:val="18"/>
              </w:rPr>
            </w:pPr>
            <w:r w:rsidRPr="00780678">
              <w:rPr>
                <w:sz w:val="18"/>
                <w:szCs w:val="18"/>
              </w:rPr>
              <w:t>Poliklinik</w:t>
            </w:r>
          </w:p>
        </w:tc>
        <w:tc>
          <w:tcPr>
            <w:tcW w:w="1682" w:type="dxa"/>
            <w:shd w:val="clear" w:color="auto" w:fill="auto"/>
            <w:vAlign w:val="bottom"/>
          </w:tcPr>
          <w:p w14:paraId="57C4B793" w14:textId="5C29C425" w:rsidR="008D5BD3" w:rsidRPr="00780678" w:rsidRDefault="00CB2C31" w:rsidP="002C6EE3">
            <w:pPr>
              <w:ind w:right="57"/>
              <w:jc w:val="right"/>
              <w:rPr>
                <w:sz w:val="18"/>
                <w:szCs w:val="18"/>
                <w:lang w:val="id-ID"/>
              </w:rPr>
            </w:pPr>
            <w:r w:rsidRPr="00CB2C31">
              <w:rPr>
                <w:sz w:val="18"/>
                <w:szCs w:val="18"/>
                <w:lang w:val="id-ID"/>
              </w:rPr>
              <w:t>36</w:t>
            </w:r>
            <w:r w:rsidR="002C6EE3">
              <w:rPr>
                <w:sz w:val="18"/>
                <w:szCs w:val="18"/>
              </w:rPr>
              <w:t>.</w:t>
            </w:r>
            <w:r w:rsidRPr="00CB2C31">
              <w:rPr>
                <w:sz w:val="18"/>
                <w:szCs w:val="18"/>
                <w:lang w:val="id-ID"/>
              </w:rPr>
              <w:t>420</w:t>
            </w:r>
            <w:r w:rsidR="002C6EE3">
              <w:rPr>
                <w:sz w:val="18"/>
                <w:szCs w:val="18"/>
              </w:rPr>
              <w:t>.</w:t>
            </w:r>
            <w:r w:rsidRPr="00CB2C31">
              <w:rPr>
                <w:sz w:val="18"/>
                <w:szCs w:val="18"/>
                <w:lang w:val="id-ID"/>
              </w:rPr>
              <w:t>728</w:t>
            </w:r>
            <w:r w:rsidR="002C6EE3">
              <w:rPr>
                <w:sz w:val="18"/>
                <w:szCs w:val="18"/>
              </w:rPr>
              <w:t>.</w:t>
            </w:r>
            <w:r w:rsidRPr="00CB2C31">
              <w:rPr>
                <w:sz w:val="18"/>
                <w:szCs w:val="18"/>
                <w:lang w:val="id-ID"/>
              </w:rPr>
              <w:t>970</w:t>
            </w:r>
          </w:p>
        </w:tc>
        <w:tc>
          <w:tcPr>
            <w:tcW w:w="93" w:type="dxa"/>
            <w:shd w:val="clear" w:color="auto" w:fill="auto"/>
            <w:vAlign w:val="bottom"/>
          </w:tcPr>
          <w:p w14:paraId="30C36FE0" w14:textId="77777777" w:rsidR="008D5BD3" w:rsidRPr="00780678" w:rsidRDefault="008D5BD3" w:rsidP="0013526B">
            <w:pPr>
              <w:ind w:right="57"/>
              <w:jc w:val="right"/>
              <w:rPr>
                <w:sz w:val="18"/>
                <w:szCs w:val="18"/>
              </w:rPr>
            </w:pPr>
          </w:p>
        </w:tc>
        <w:tc>
          <w:tcPr>
            <w:tcW w:w="1682" w:type="dxa"/>
          </w:tcPr>
          <w:p w14:paraId="54A7A650" w14:textId="36FEE96C" w:rsidR="008D5BD3" w:rsidRPr="00780678" w:rsidRDefault="00A46EB7" w:rsidP="0013526B">
            <w:pPr>
              <w:ind w:right="57"/>
              <w:jc w:val="right"/>
              <w:rPr>
                <w:sz w:val="18"/>
                <w:szCs w:val="18"/>
                <w:lang w:val="id-ID"/>
              </w:rPr>
            </w:pPr>
            <w:r>
              <w:rPr>
                <w:sz w:val="18"/>
                <w:szCs w:val="18"/>
                <w:lang w:val="id-ID"/>
              </w:rPr>
              <w:t>4</w:t>
            </w:r>
            <w:r w:rsidRPr="00A46EB7">
              <w:rPr>
                <w:sz w:val="18"/>
                <w:szCs w:val="18"/>
                <w:lang w:val="id-ID"/>
              </w:rPr>
              <w:t>7</w:t>
            </w:r>
            <w:r w:rsidR="00026751">
              <w:rPr>
                <w:sz w:val="18"/>
                <w:szCs w:val="18"/>
                <w:lang w:val="id-ID"/>
              </w:rPr>
              <w:t>.</w:t>
            </w:r>
            <w:r w:rsidRPr="00A46EB7">
              <w:rPr>
                <w:sz w:val="18"/>
                <w:szCs w:val="18"/>
                <w:lang w:val="id-ID"/>
              </w:rPr>
              <w:t>624</w:t>
            </w:r>
            <w:r w:rsidR="00026751">
              <w:rPr>
                <w:sz w:val="18"/>
                <w:szCs w:val="18"/>
                <w:lang w:val="id-ID"/>
              </w:rPr>
              <w:t>.</w:t>
            </w:r>
            <w:r w:rsidRPr="00A46EB7">
              <w:rPr>
                <w:sz w:val="18"/>
                <w:szCs w:val="18"/>
                <w:lang w:val="id-ID"/>
              </w:rPr>
              <w:t>289</w:t>
            </w:r>
            <w:r w:rsidR="00026751">
              <w:rPr>
                <w:sz w:val="18"/>
                <w:szCs w:val="18"/>
                <w:lang w:val="id-ID"/>
              </w:rPr>
              <w:t>.</w:t>
            </w:r>
            <w:r w:rsidRPr="00A46EB7">
              <w:rPr>
                <w:sz w:val="18"/>
                <w:szCs w:val="18"/>
                <w:lang w:val="id-ID"/>
              </w:rPr>
              <w:t>697</w:t>
            </w:r>
          </w:p>
        </w:tc>
        <w:tc>
          <w:tcPr>
            <w:tcW w:w="2876" w:type="dxa"/>
            <w:shd w:val="clear" w:color="auto" w:fill="auto"/>
          </w:tcPr>
          <w:p w14:paraId="3EA41EE8" w14:textId="6976EF9A" w:rsidR="008D5BD3" w:rsidRPr="00780678" w:rsidRDefault="008D5BD3" w:rsidP="0013526B">
            <w:pPr>
              <w:ind w:right="57"/>
              <w:jc w:val="right"/>
              <w:rPr>
                <w:i/>
                <w:sz w:val="18"/>
                <w:szCs w:val="18"/>
              </w:rPr>
            </w:pPr>
            <w:r w:rsidRPr="00780678">
              <w:rPr>
                <w:i/>
                <w:sz w:val="18"/>
                <w:szCs w:val="18"/>
              </w:rPr>
              <w:t>Polyclinic</w:t>
            </w:r>
          </w:p>
        </w:tc>
      </w:tr>
      <w:tr w:rsidR="008D5BD3" w:rsidRPr="00780678" w14:paraId="25D40BF0" w14:textId="77777777" w:rsidTr="002108FF">
        <w:tc>
          <w:tcPr>
            <w:tcW w:w="2864" w:type="dxa"/>
            <w:shd w:val="clear" w:color="auto" w:fill="auto"/>
          </w:tcPr>
          <w:p w14:paraId="494BF9FE" w14:textId="1812EA61" w:rsidR="008D5BD3" w:rsidRPr="00780678" w:rsidRDefault="008D5BD3" w:rsidP="00024352">
            <w:pPr>
              <w:ind w:left="379"/>
              <w:rPr>
                <w:sz w:val="18"/>
                <w:szCs w:val="18"/>
              </w:rPr>
            </w:pPr>
            <w:r w:rsidRPr="00780678">
              <w:rPr>
                <w:sz w:val="18"/>
                <w:szCs w:val="18"/>
              </w:rPr>
              <w:t>Laboratorium</w:t>
            </w:r>
          </w:p>
        </w:tc>
        <w:tc>
          <w:tcPr>
            <w:tcW w:w="1682" w:type="dxa"/>
            <w:shd w:val="clear" w:color="auto" w:fill="auto"/>
            <w:vAlign w:val="bottom"/>
          </w:tcPr>
          <w:p w14:paraId="02C25BE5" w14:textId="5293869B" w:rsidR="008D5BD3" w:rsidRPr="00780678" w:rsidRDefault="00CB2C31" w:rsidP="002C6EE3">
            <w:pPr>
              <w:ind w:right="57"/>
              <w:jc w:val="right"/>
              <w:rPr>
                <w:sz w:val="18"/>
                <w:szCs w:val="18"/>
                <w:lang w:val="id-ID"/>
              </w:rPr>
            </w:pPr>
            <w:r w:rsidRPr="00CB2C31">
              <w:rPr>
                <w:sz w:val="18"/>
                <w:szCs w:val="18"/>
                <w:lang w:val="id-ID"/>
              </w:rPr>
              <w:t>25</w:t>
            </w:r>
            <w:r w:rsidR="002C6EE3">
              <w:rPr>
                <w:sz w:val="18"/>
                <w:szCs w:val="18"/>
              </w:rPr>
              <w:t>.</w:t>
            </w:r>
            <w:r w:rsidRPr="00CB2C31">
              <w:rPr>
                <w:sz w:val="18"/>
                <w:szCs w:val="18"/>
                <w:lang w:val="id-ID"/>
              </w:rPr>
              <w:t>823</w:t>
            </w:r>
            <w:r w:rsidR="002C6EE3">
              <w:rPr>
                <w:sz w:val="18"/>
                <w:szCs w:val="18"/>
              </w:rPr>
              <w:t>.</w:t>
            </w:r>
            <w:r w:rsidRPr="00CB2C31">
              <w:rPr>
                <w:sz w:val="18"/>
                <w:szCs w:val="18"/>
                <w:lang w:val="id-ID"/>
              </w:rPr>
              <w:t>685</w:t>
            </w:r>
            <w:r w:rsidR="002C6EE3">
              <w:rPr>
                <w:sz w:val="18"/>
                <w:szCs w:val="18"/>
              </w:rPr>
              <w:t>.</w:t>
            </w:r>
            <w:r w:rsidRPr="00CB2C31">
              <w:rPr>
                <w:sz w:val="18"/>
                <w:szCs w:val="18"/>
                <w:lang w:val="id-ID"/>
              </w:rPr>
              <w:t>954</w:t>
            </w:r>
          </w:p>
        </w:tc>
        <w:tc>
          <w:tcPr>
            <w:tcW w:w="93" w:type="dxa"/>
            <w:shd w:val="clear" w:color="auto" w:fill="auto"/>
            <w:vAlign w:val="bottom"/>
          </w:tcPr>
          <w:p w14:paraId="754C12C4" w14:textId="77777777" w:rsidR="008D5BD3" w:rsidRPr="00780678" w:rsidRDefault="008D5BD3" w:rsidP="0013526B">
            <w:pPr>
              <w:ind w:right="57"/>
              <w:jc w:val="right"/>
              <w:rPr>
                <w:sz w:val="18"/>
                <w:szCs w:val="18"/>
              </w:rPr>
            </w:pPr>
          </w:p>
        </w:tc>
        <w:tc>
          <w:tcPr>
            <w:tcW w:w="1682" w:type="dxa"/>
          </w:tcPr>
          <w:p w14:paraId="0278DA5A" w14:textId="7B9C6ED8" w:rsidR="008D5BD3" w:rsidRPr="00780678" w:rsidRDefault="00A46EB7" w:rsidP="0013526B">
            <w:pPr>
              <w:ind w:right="57"/>
              <w:jc w:val="right"/>
              <w:rPr>
                <w:sz w:val="18"/>
                <w:szCs w:val="18"/>
                <w:lang w:val="id-ID"/>
              </w:rPr>
            </w:pPr>
            <w:r w:rsidRPr="00A46EB7">
              <w:rPr>
                <w:sz w:val="18"/>
                <w:szCs w:val="18"/>
                <w:lang w:val="id-ID"/>
              </w:rPr>
              <w:t>2</w:t>
            </w:r>
            <w:r w:rsidR="00026751">
              <w:rPr>
                <w:sz w:val="18"/>
                <w:szCs w:val="18"/>
                <w:lang w:val="id-ID"/>
              </w:rPr>
              <w:t>.</w:t>
            </w:r>
            <w:r w:rsidRPr="00A46EB7">
              <w:rPr>
                <w:sz w:val="18"/>
                <w:szCs w:val="18"/>
                <w:lang w:val="id-ID"/>
              </w:rPr>
              <w:t>798</w:t>
            </w:r>
            <w:r w:rsidR="00026751">
              <w:rPr>
                <w:sz w:val="18"/>
                <w:szCs w:val="18"/>
                <w:lang w:val="id-ID"/>
              </w:rPr>
              <w:t>.</w:t>
            </w:r>
            <w:r w:rsidRPr="00A46EB7">
              <w:rPr>
                <w:sz w:val="18"/>
                <w:szCs w:val="18"/>
                <w:lang w:val="id-ID"/>
              </w:rPr>
              <w:t>939</w:t>
            </w:r>
            <w:r w:rsidR="00026751">
              <w:rPr>
                <w:sz w:val="18"/>
                <w:szCs w:val="18"/>
                <w:lang w:val="id-ID"/>
              </w:rPr>
              <w:t>.</w:t>
            </w:r>
            <w:r w:rsidRPr="00A46EB7">
              <w:rPr>
                <w:sz w:val="18"/>
                <w:szCs w:val="18"/>
                <w:lang w:val="id-ID"/>
              </w:rPr>
              <w:t>777</w:t>
            </w:r>
          </w:p>
        </w:tc>
        <w:tc>
          <w:tcPr>
            <w:tcW w:w="2876" w:type="dxa"/>
            <w:shd w:val="clear" w:color="auto" w:fill="auto"/>
          </w:tcPr>
          <w:p w14:paraId="715D5D5F" w14:textId="12D2C91B" w:rsidR="008D5BD3" w:rsidRPr="00780678" w:rsidRDefault="008D5BD3" w:rsidP="0013526B">
            <w:pPr>
              <w:ind w:right="57"/>
              <w:jc w:val="right"/>
              <w:rPr>
                <w:i/>
                <w:sz w:val="18"/>
                <w:szCs w:val="18"/>
              </w:rPr>
            </w:pPr>
            <w:r w:rsidRPr="00780678">
              <w:rPr>
                <w:i/>
                <w:sz w:val="18"/>
                <w:szCs w:val="18"/>
              </w:rPr>
              <w:t>Laboratory</w:t>
            </w:r>
          </w:p>
        </w:tc>
      </w:tr>
      <w:tr w:rsidR="008D5BD3" w:rsidRPr="00780678" w14:paraId="4F5D193A" w14:textId="77777777" w:rsidTr="002108FF">
        <w:tc>
          <w:tcPr>
            <w:tcW w:w="2864" w:type="dxa"/>
            <w:shd w:val="clear" w:color="auto" w:fill="auto"/>
          </w:tcPr>
          <w:p w14:paraId="60358D4E" w14:textId="28B6422A" w:rsidR="008D5BD3" w:rsidRPr="00780678" w:rsidRDefault="008D5BD3" w:rsidP="00024352">
            <w:pPr>
              <w:ind w:left="379"/>
              <w:rPr>
                <w:sz w:val="18"/>
                <w:szCs w:val="18"/>
              </w:rPr>
            </w:pPr>
            <w:r w:rsidRPr="00780678">
              <w:rPr>
                <w:sz w:val="18"/>
                <w:szCs w:val="18"/>
              </w:rPr>
              <w:t>Radiologi</w:t>
            </w:r>
          </w:p>
        </w:tc>
        <w:tc>
          <w:tcPr>
            <w:tcW w:w="1682" w:type="dxa"/>
            <w:shd w:val="clear" w:color="auto" w:fill="auto"/>
            <w:vAlign w:val="bottom"/>
          </w:tcPr>
          <w:p w14:paraId="017ADE4E" w14:textId="69009917" w:rsidR="008D5BD3" w:rsidRPr="00780678" w:rsidRDefault="00CB2C31" w:rsidP="002C6EE3">
            <w:pPr>
              <w:ind w:right="57"/>
              <w:jc w:val="right"/>
              <w:rPr>
                <w:sz w:val="18"/>
                <w:szCs w:val="18"/>
                <w:lang w:val="id-ID"/>
              </w:rPr>
            </w:pPr>
            <w:r w:rsidRPr="00CB2C31">
              <w:rPr>
                <w:sz w:val="18"/>
                <w:szCs w:val="18"/>
                <w:lang w:val="id-ID"/>
              </w:rPr>
              <w:t>13</w:t>
            </w:r>
            <w:r w:rsidR="002C6EE3">
              <w:rPr>
                <w:sz w:val="18"/>
                <w:szCs w:val="18"/>
              </w:rPr>
              <w:t>.</w:t>
            </w:r>
            <w:r w:rsidRPr="00CB2C31">
              <w:rPr>
                <w:sz w:val="18"/>
                <w:szCs w:val="18"/>
                <w:lang w:val="id-ID"/>
              </w:rPr>
              <w:t>519</w:t>
            </w:r>
            <w:r w:rsidR="002C6EE3">
              <w:rPr>
                <w:sz w:val="18"/>
                <w:szCs w:val="18"/>
              </w:rPr>
              <w:t>.</w:t>
            </w:r>
            <w:r w:rsidRPr="00CB2C31">
              <w:rPr>
                <w:sz w:val="18"/>
                <w:szCs w:val="18"/>
                <w:lang w:val="id-ID"/>
              </w:rPr>
              <w:t>368</w:t>
            </w:r>
            <w:r w:rsidR="002C6EE3">
              <w:rPr>
                <w:sz w:val="18"/>
                <w:szCs w:val="18"/>
              </w:rPr>
              <w:t>.</w:t>
            </w:r>
            <w:r w:rsidRPr="00CB2C31">
              <w:rPr>
                <w:sz w:val="18"/>
                <w:szCs w:val="18"/>
                <w:lang w:val="id-ID"/>
              </w:rPr>
              <w:t>430</w:t>
            </w:r>
          </w:p>
        </w:tc>
        <w:tc>
          <w:tcPr>
            <w:tcW w:w="93" w:type="dxa"/>
            <w:shd w:val="clear" w:color="auto" w:fill="auto"/>
            <w:vAlign w:val="bottom"/>
          </w:tcPr>
          <w:p w14:paraId="61AEF834" w14:textId="77777777" w:rsidR="008D5BD3" w:rsidRPr="00780678" w:rsidRDefault="008D5BD3" w:rsidP="0013526B">
            <w:pPr>
              <w:ind w:right="57"/>
              <w:jc w:val="right"/>
              <w:rPr>
                <w:sz w:val="18"/>
                <w:szCs w:val="18"/>
              </w:rPr>
            </w:pPr>
          </w:p>
        </w:tc>
        <w:tc>
          <w:tcPr>
            <w:tcW w:w="1682" w:type="dxa"/>
          </w:tcPr>
          <w:p w14:paraId="1074C0A1" w14:textId="06BFBD66" w:rsidR="008D5BD3" w:rsidRPr="00780678" w:rsidRDefault="00A46EB7" w:rsidP="0013526B">
            <w:pPr>
              <w:ind w:right="57"/>
              <w:jc w:val="right"/>
              <w:rPr>
                <w:sz w:val="18"/>
                <w:szCs w:val="18"/>
                <w:lang w:val="id-ID"/>
              </w:rPr>
            </w:pPr>
            <w:r>
              <w:rPr>
                <w:sz w:val="18"/>
                <w:szCs w:val="18"/>
                <w:lang w:val="id-ID"/>
              </w:rPr>
              <w:t>2</w:t>
            </w:r>
            <w:r w:rsidRPr="00A46EB7">
              <w:rPr>
                <w:sz w:val="18"/>
                <w:szCs w:val="18"/>
                <w:lang w:val="id-ID"/>
              </w:rPr>
              <w:t>5</w:t>
            </w:r>
            <w:r w:rsidR="00026751">
              <w:rPr>
                <w:sz w:val="18"/>
                <w:szCs w:val="18"/>
                <w:lang w:val="id-ID"/>
              </w:rPr>
              <w:t>.</w:t>
            </w:r>
            <w:r w:rsidRPr="00A46EB7">
              <w:rPr>
                <w:sz w:val="18"/>
                <w:szCs w:val="18"/>
                <w:lang w:val="id-ID"/>
              </w:rPr>
              <w:t>154</w:t>
            </w:r>
            <w:r w:rsidR="00026751">
              <w:rPr>
                <w:sz w:val="18"/>
                <w:szCs w:val="18"/>
                <w:lang w:val="id-ID"/>
              </w:rPr>
              <w:t>.</w:t>
            </w:r>
            <w:r w:rsidRPr="00A46EB7">
              <w:rPr>
                <w:sz w:val="18"/>
                <w:szCs w:val="18"/>
                <w:lang w:val="id-ID"/>
              </w:rPr>
              <w:t>204</w:t>
            </w:r>
            <w:r w:rsidR="00026751">
              <w:rPr>
                <w:sz w:val="18"/>
                <w:szCs w:val="18"/>
                <w:lang w:val="id-ID"/>
              </w:rPr>
              <w:t>.</w:t>
            </w:r>
            <w:r w:rsidRPr="00A46EB7">
              <w:rPr>
                <w:sz w:val="18"/>
                <w:szCs w:val="18"/>
                <w:lang w:val="id-ID"/>
              </w:rPr>
              <w:t>350</w:t>
            </w:r>
          </w:p>
        </w:tc>
        <w:tc>
          <w:tcPr>
            <w:tcW w:w="2876" w:type="dxa"/>
            <w:shd w:val="clear" w:color="auto" w:fill="auto"/>
          </w:tcPr>
          <w:p w14:paraId="6A0EA858" w14:textId="3B79C256" w:rsidR="008D5BD3" w:rsidRPr="00780678" w:rsidRDefault="008D5BD3" w:rsidP="0013526B">
            <w:pPr>
              <w:ind w:right="57"/>
              <w:jc w:val="right"/>
              <w:rPr>
                <w:i/>
                <w:sz w:val="18"/>
                <w:szCs w:val="18"/>
              </w:rPr>
            </w:pPr>
            <w:r w:rsidRPr="00780678">
              <w:rPr>
                <w:i/>
                <w:sz w:val="18"/>
                <w:szCs w:val="18"/>
              </w:rPr>
              <w:t>Radiology</w:t>
            </w:r>
          </w:p>
        </w:tc>
      </w:tr>
      <w:tr w:rsidR="00026751" w:rsidRPr="00780678" w14:paraId="50A8FCBB" w14:textId="77777777" w:rsidTr="00026751">
        <w:trPr>
          <w:trHeight w:val="64"/>
        </w:trPr>
        <w:tc>
          <w:tcPr>
            <w:tcW w:w="2864" w:type="dxa"/>
            <w:shd w:val="clear" w:color="auto" w:fill="auto"/>
          </w:tcPr>
          <w:p w14:paraId="672D7579" w14:textId="77777777" w:rsidR="00026751" w:rsidRPr="00780678" w:rsidRDefault="00026751" w:rsidP="00026751">
            <w:pPr>
              <w:ind w:left="379"/>
              <w:rPr>
                <w:sz w:val="18"/>
                <w:szCs w:val="18"/>
              </w:rPr>
            </w:pPr>
            <w:r w:rsidRPr="00780678">
              <w:rPr>
                <w:sz w:val="18"/>
                <w:szCs w:val="18"/>
              </w:rPr>
              <w:t>Hemodialisa</w:t>
            </w:r>
          </w:p>
        </w:tc>
        <w:tc>
          <w:tcPr>
            <w:tcW w:w="1682" w:type="dxa"/>
            <w:shd w:val="clear" w:color="auto" w:fill="auto"/>
            <w:vAlign w:val="bottom"/>
          </w:tcPr>
          <w:p w14:paraId="56008197" w14:textId="77777777" w:rsidR="00026751" w:rsidRPr="00967C60" w:rsidRDefault="00026751" w:rsidP="00026751">
            <w:pPr>
              <w:ind w:right="57"/>
              <w:jc w:val="right"/>
              <w:rPr>
                <w:bCs w:val="0"/>
                <w:sz w:val="18"/>
                <w:szCs w:val="18"/>
              </w:rPr>
            </w:pPr>
            <w:r w:rsidRPr="00CB2C31">
              <w:rPr>
                <w:bCs w:val="0"/>
                <w:sz w:val="18"/>
                <w:szCs w:val="18"/>
              </w:rPr>
              <w:t>5</w:t>
            </w:r>
            <w:r>
              <w:rPr>
                <w:bCs w:val="0"/>
                <w:sz w:val="18"/>
                <w:szCs w:val="18"/>
              </w:rPr>
              <w:t>.</w:t>
            </w:r>
            <w:r w:rsidRPr="00CB2C31">
              <w:rPr>
                <w:bCs w:val="0"/>
                <w:sz w:val="18"/>
                <w:szCs w:val="18"/>
              </w:rPr>
              <w:t>507</w:t>
            </w:r>
            <w:r>
              <w:rPr>
                <w:bCs w:val="0"/>
                <w:sz w:val="18"/>
                <w:szCs w:val="18"/>
              </w:rPr>
              <w:t>.</w:t>
            </w:r>
            <w:r w:rsidRPr="00CB2C31">
              <w:rPr>
                <w:bCs w:val="0"/>
                <w:sz w:val="18"/>
                <w:szCs w:val="18"/>
              </w:rPr>
              <w:t>210</w:t>
            </w:r>
            <w:r>
              <w:rPr>
                <w:bCs w:val="0"/>
                <w:sz w:val="18"/>
                <w:szCs w:val="18"/>
              </w:rPr>
              <w:t>.</w:t>
            </w:r>
            <w:r w:rsidRPr="00CB2C31">
              <w:rPr>
                <w:bCs w:val="0"/>
                <w:sz w:val="18"/>
                <w:szCs w:val="18"/>
              </w:rPr>
              <w:t>687</w:t>
            </w:r>
          </w:p>
        </w:tc>
        <w:tc>
          <w:tcPr>
            <w:tcW w:w="93" w:type="dxa"/>
            <w:shd w:val="clear" w:color="auto" w:fill="auto"/>
            <w:vAlign w:val="bottom"/>
          </w:tcPr>
          <w:p w14:paraId="6C786781" w14:textId="77777777" w:rsidR="00026751" w:rsidRPr="00780678" w:rsidRDefault="00026751" w:rsidP="00026751">
            <w:pPr>
              <w:ind w:right="57"/>
              <w:jc w:val="right"/>
              <w:rPr>
                <w:sz w:val="18"/>
                <w:szCs w:val="18"/>
              </w:rPr>
            </w:pPr>
          </w:p>
        </w:tc>
        <w:tc>
          <w:tcPr>
            <w:tcW w:w="1682" w:type="dxa"/>
          </w:tcPr>
          <w:p w14:paraId="62279E0C" w14:textId="77777777" w:rsidR="00026751" w:rsidRPr="00A46EB7" w:rsidRDefault="00026751" w:rsidP="00026751">
            <w:pPr>
              <w:ind w:right="57"/>
              <w:jc w:val="right"/>
              <w:rPr>
                <w:sz w:val="18"/>
                <w:szCs w:val="18"/>
              </w:rPr>
            </w:pPr>
            <w:r>
              <w:rPr>
                <w:sz w:val="18"/>
                <w:szCs w:val="18"/>
              </w:rPr>
              <w:t>3.</w:t>
            </w:r>
            <w:r w:rsidRPr="00A46EB7">
              <w:rPr>
                <w:sz w:val="18"/>
                <w:szCs w:val="18"/>
              </w:rPr>
              <w:t>437</w:t>
            </w:r>
            <w:r>
              <w:rPr>
                <w:sz w:val="18"/>
                <w:szCs w:val="18"/>
              </w:rPr>
              <w:t>.</w:t>
            </w:r>
            <w:r w:rsidRPr="00A46EB7">
              <w:rPr>
                <w:sz w:val="18"/>
                <w:szCs w:val="18"/>
              </w:rPr>
              <w:t>300</w:t>
            </w:r>
            <w:r>
              <w:rPr>
                <w:sz w:val="18"/>
                <w:szCs w:val="18"/>
              </w:rPr>
              <w:t>.</w:t>
            </w:r>
            <w:r w:rsidRPr="00A46EB7">
              <w:rPr>
                <w:sz w:val="18"/>
                <w:szCs w:val="18"/>
              </w:rPr>
              <w:t>699</w:t>
            </w:r>
          </w:p>
        </w:tc>
        <w:tc>
          <w:tcPr>
            <w:tcW w:w="2876" w:type="dxa"/>
            <w:shd w:val="clear" w:color="auto" w:fill="auto"/>
          </w:tcPr>
          <w:p w14:paraId="24E718A3" w14:textId="77777777" w:rsidR="00026751" w:rsidRPr="00780678" w:rsidRDefault="00026751" w:rsidP="00026751">
            <w:pPr>
              <w:ind w:right="57"/>
              <w:jc w:val="right"/>
              <w:rPr>
                <w:i/>
                <w:sz w:val="18"/>
                <w:szCs w:val="18"/>
              </w:rPr>
            </w:pPr>
            <w:r w:rsidRPr="00780678">
              <w:rPr>
                <w:i/>
                <w:sz w:val="18"/>
                <w:szCs w:val="18"/>
              </w:rPr>
              <w:t>Hemodialysis</w:t>
            </w:r>
          </w:p>
        </w:tc>
      </w:tr>
      <w:tr w:rsidR="008D5BD3" w:rsidRPr="00780678" w14:paraId="57F344D3" w14:textId="77777777" w:rsidTr="002108FF">
        <w:tc>
          <w:tcPr>
            <w:tcW w:w="2864" w:type="dxa"/>
            <w:shd w:val="clear" w:color="auto" w:fill="auto"/>
          </w:tcPr>
          <w:p w14:paraId="419D9711" w14:textId="4513D09F" w:rsidR="008D5BD3" w:rsidRPr="005621E7" w:rsidRDefault="005621E7" w:rsidP="00024352">
            <w:pPr>
              <w:ind w:left="379"/>
              <w:rPr>
                <w:sz w:val="18"/>
                <w:szCs w:val="18"/>
              </w:rPr>
            </w:pPr>
            <w:r>
              <w:rPr>
                <w:sz w:val="18"/>
                <w:szCs w:val="18"/>
              </w:rPr>
              <w:t>Pemeriksaan medis</w:t>
            </w:r>
          </w:p>
        </w:tc>
        <w:tc>
          <w:tcPr>
            <w:tcW w:w="1682" w:type="dxa"/>
            <w:shd w:val="clear" w:color="auto" w:fill="auto"/>
            <w:vAlign w:val="bottom"/>
          </w:tcPr>
          <w:p w14:paraId="55B94E93" w14:textId="0937806C" w:rsidR="008D5BD3" w:rsidRPr="00780678" w:rsidRDefault="00CB2C31" w:rsidP="002C6EE3">
            <w:pPr>
              <w:ind w:right="57"/>
              <w:jc w:val="right"/>
              <w:rPr>
                <w:sz w:val="18"/>
                <w:szCs w:val="18"/>
                <w:lang w:val="id-ID"/>
              </w:rPr>
            </w:pPr>
            <w:r w:rsidRPr="00CB2C31">
              <w:rPr>
                <w:sz w:val="18"/>
                <w:szCs w:val="18"/>
                <w:lang w:val="id-ID"/>
              </w:rPr>
              <w:t>3</w:t>
            </w:r>
            <w:r w:rsidR="002C6EE3">
              <w:rPr>
                <w:sz w:val="18"/>
                <w:szCs w:val="18"/>
              </w:rPr>
              <w:t>.</w:t>
            </w:r>
            <w:r w:rsidRPr="00CB2C31">
              <w:rPr>
                <w:sz w:val="18"/>
                <w:szCs w:val="18"/>
                <w:lang w:val="id-ID"/>
              </w:rPr>
              <w:t>989</w:t>
            </w:r>
            <w:r w:rsidR="002C6EE3">
              <w:rPr>
                <w:sz w:val="18"/>
                <w:szCs w:val="18"/>
              </w:rPr>
              <w:t>.</w:t>
            </w:r>
            <w:r w:rsidRPr="00CB2C31">
              <w:rPr>
                <w:sz w:val="18"/>
                <w:szCs w:val="18"/>
                <w:lang w:val="id-ID"/>
              </w:rPr>
              <w:t>981</w:t>
            </w:r>
            <w:r w:rsidR="002C6EE3">
              <w:rPr>
                <w:sz w:val="18"/>
                <w:szCs w:val="18"/>
              </w:rPr>
              <w:t>.</w:t>
            </w:r>
            <w:r w:rsidRPr="00CB2C31">
              <w:rPr>
                <w:sz w:val="18"/>
                <w:szCs w:val="18"/>
                <w:lang w:val="id-ID"/>
              </w:rPr>
              <w:t>937</w:t>
            </w:r>
          </w:p>
        </w:tc>
        <w:tc>
          <w:tcPr>
            <w:tcW w:w="93" w:type="dxa"/>
            <w:shd w:val="clear" w:color="auto" w:fill="auto"/>
            <w:vAlign w:val="bottom"/>
          </w:tcPr>
          <w:p w14:paraId="410850B8" w14:textId="77777777" w:rsidR="008D5BD3" w:rsidRPr="00780678" w:rsidRDefault="008D5BD3" w:rsidP="0013526B">
            <w:pPr>
              <w:ind w:right="57"/>
              <w:jc w:val="right"/>
              <w:rPr>
                <w:sz w:val="18"/>
                <w:szCs w:val="18"/>
              </w:rPr>
            </w:pPr>
          </w:p>
        </w:tc>
        <w:tc>
          <w:tcPr>
            <w:tcW w:w="1682" w:type="dxa"/>
          </w:tcPr>
          <w:p w14:paraId="770D6B39" w14:textId="68CBE838" w:rsidR="008D5BD3" w:rsidRPr="00780678" w:rsidRDefault="00A46EB7" w:rsidP="0013526B">
            <w:pPr>
              <w:ind w:right="57"/>
              <w:jc w:val="right"/>
              <w:rPr>
                <w:sz w:val="18"/>
                <w:szCs w:val="18"/>
                <w:lang w:val="id-ID"/>
              </w:rPr>
            </w:pPr>
            <w:r>
              <w:rPr>
                <w:sz w:val="18"/>
                <w:szCs w:val="18"/>
                <w:lang w:val="id-ID"/>
              </w:rPr>
              <w:t>4</w:t>
            </w:r>
            <w:r w:rsidR="00026751">
              <w:rPr>
                <w:sz w:val="18"/>
                <w:szCs w:val="18"/>
                <w:lang w:val="id-ID"/>
              </w:rPr>
              <w:t>.</w:t>
            </w:r>
            <w:r w:rsidRPr="00A46EB7">
              <w:rPr>
                <w:sz w:val="18"/>
                <w:szCs w:val="18"/>
                <w:lang w:val="id-ID"/>
              </w:rPr>
              <w:t>367</w:t>
            </w:r>
            <w:r w:rsidR="00026751">
              <w:rPr>
                <w:sz w:val="18"/>
                <w:szCs w:val="18"/>
                <w:lang w:val="id-ID"/>
              </w:rPr>
              <w:t>.</w:t>
            </w:r>
            <w:r w:rsidRPr="00A46EB7">
              <w:rPr>
                <w:sz w:val="18"/>
                <w:szCs w:val="18"/>
                <w:lang w:val="id-ID"/>
              </w:rPr>
              <w:t>624</w:t>
            </w:r>
            <w:r w:rsidR="00026751">
              <w:rPr>
                <w:sz w:val="18"/>
                <w:szCs w:val="18"/>
                <w:lang w:val="id-ID"/>
              </w:rPr>
              <w:t>.</w:t>
            </w:r>
            <w:r w:rsidRPr="00A46EB7">
              <w:rPr>
                <w:sz w:val="18"/>
                <w:szCs w:val="18"/>
                <w:lang w:val="id-ID"/>
              </w:rPr>
              <w:t>228</w:t>
            </w:r>
          </w:p>
        </w:tc>
        <w:tc>
          <w:tcPr>
            <w:tcW w:w="2876" w:type="dxa"/>
            <w:shd w:val="clear" w:color="auto" w:fill="auto"/>
          </w:tcPr>
          <w:p w14:paraId="58D75561" w14:textId="4921398E" w:rsidR="008D5BD3" w:rsidRPr="00780678" w:rsidRDefault="008D5BD3" w:rsidP="0013526B">
            <w:pPr>
              <w:ind w:right="57"/>
              <w:jc w:val="right"/>
              <w:rPr>
                <w:i/>
                <w:sz w:val="18"/>
                <w:szCs w:val="18"/>
              </w:rPr>
            </w:pPr>
            <w:r w:rsidRPr="00780678">
              <w:rPr>
                <w:i/>
                <w:sz w:val="18"/>
                <w:szCs w:val="18"/>
              </w:rPr>
              <w:t>Medical check-up</w:t>
            </w:r>
          </w:p>
        </w:tc>
      </w:tr>
      <w:tr w:rsidR="008D5BD3" w:rsidRPr="00780678" w14:paraId="0824DAAF" w14:textId="77777777" w:rsidTr="002108FF">
        <w:tc>
          <w:tcPr>
            <w:tcW w:w="2864" w:type="dxa"/>
            <w:shd w:val="clear" w:color="auto" w:fill="auto"/>
          </w:tcPr>
          <w:p w14:paraId="795C45BF" w14:textId="5F46D693" w:rsidR="008D5BD3" w:rsidRPr="00780678" w:rsidRDefault="008D5BD3" w:rsidP="00024352">
            <w:pPr>
              <w:ind w:left="379"/>
              <w:rPr>
                <w:sz w:val="18"/>
                <w:szCs w:val="18"/>
              </w:rPr>
            </w:pPr>
            <w:r w:rsidRPr="00780678">
              <w:rPr>
                <w:sz w:val="18"/>
                <w:szCs w:val="18"/>
              </w:rPr>
              <w:t>Diskon pasien</w:t>
            </w:r>
          </w:p>
        </w:tc>
        <w:tc>
          <w:tcPr>
            <w:tcW w:w="1682" w:type="dxa"/>
            <w:tcBorders>
              <w:bottom w:val="single" w:sz="4" w:space="0" w:color="auto"/>
            </w:tcBorders>
            <w:shd w:val="clear" w:color="auto" w:fill="auto"/>
            <w:vAlign w:val="bottom"/>
          </w:tcPr>
          <w:p w14:paraId="63EC9C95" w14:textId="5A664954" w:rsidR="008D5BD3" w:rsidRPr="00780678" w:rsidRDefault="00CB2C31" w:rsidP="0013526B">
            <w:pPr>
              <w:ind w:right="57"/>
              <w:jc w:val="right"/>
              <w:rPr>
                <w:sz w:val="18"/>
                <w:szCs w:val="18"/>
              </w:rPr>
            </w:pPr>
            <w:r w:rsidRPr="00CB2C31">
              <w:rPr>
                <w:sz w:val="18"/>
                <w:szCs w:val="18"/>
              </w:rPr>
              <w:t>(11</w:t>
            </w:r>
            <w:r w:rsidR="00026751">
              <w:rPr>
                <w:sz w:val="18"/>
                <w:szCs w:val="18"/>
              </w:rPr>
              <w:t>.</w:t>
            </w:r>
            <w:r w:rsidRPr="00CB2C31">
              <w:rPr>
                <w:sz w:val="18"/>
                <w:szCs w:val="18"/>
              </w:rPr>
              <w:t>654</w:t>
            </w:r>
            <w:r w:rsidR="00026751">
              <w:rPr>
                <w:sz w:val="18"/>
                <w:szCs w:val="18"/>
              </w:rPr>
              <w:t>.</w:t>
            </w:r>
            <w:r w:rsidRPr="00CB2C31">
              <w:rPr>
                <w:sz w:val="18"/>
                <w:szCs w:val="18"/>
              </w:rPr>
              <w:t>938</w:t>
            </w:r>
            <w:r w:rsidR="00026751">
              <w:rPr>
                <w:sz w:val="18"/>
                <w:szCs w:val="18"/>
              </w:rPr>
              <w:t>.</w:t>
            </w:r>
            <w:r w:rsidRPr="00CB2C31">
              <w:rPr>
                <w:sz w:val="18"/>
                <w:szCs w:val="18"/>
              </w:rPr>
              <w:t>958)</w:t>
            </w:r>
          </w:p>
        </w:tc>
        <w:tc>
          <w:tcPr>
            <w:tcW w:w="93" w:type="dxa"/>
            <w:shd w:val="clear" w:color="auto" w:fill="auto"/>
            <w:vAlign w:val="bottom"/>
          </w:tcPr>
          <w:p w14:paraId="073FF09A" w14:textId="77777777" w:rsidR="008D5BD3" w:rsidRPr="00780678" w:rsidRDefault="008D5BD3" w:rsidP="0013526B">
            <w:pPr>
              <w:ind w:right="57"/>
              <w:jc w:val="right"/>
              <w:rPr>
                <w:sz w:val="18"/>
                <w:szCs w:val="18"/>
              </w:rPr>
            </w:pPr>
          </w:p>
        </w:tc>
        <w:tc>
          <w:tcPr>
            <w:tcW w:w="1682" w:type="dxa"/>
            <w:tcBorders>
              <w:bottom w:val="single" w:sz="4" w:space="0" w:color="auto"/>
            </w:tcBorders>
          </w:tcPr>
          <w:p w14:paraId="3AFDE9B6" w14:textId="04B864F2" w:rsidR="008D5BD3" w:rsidRPr="00780678" w:rsidRDefault="00A46EB7" w:rsidP="0013526B">
            <w:pPr>
              <w:ind w:right="57"/>
              <w:jc w:val="right"/>
              <w:rPr>
                <w:sz w:val="18"/>
                <w:szCs w:val="18"/>
              </w:rPr>
            </w:pPr>
            <w:r w:rsidRPr="00A46EB7">
              <w:rPr>
                <w:sz w:val="18"/>
                <w:szCs w:val="18"/>
              </w:rPr>
              <w:t>(5</w:t>
            </w:r>
            <w:r w:rsidR="00026751">
              <w:rPr>
                <w:sz w:val="18"/>
                <w:szCs w:val="18"/>
              </w:rPr>
              <w:t>.</w:t>
            </w:r>
            <w:r w:rsidRPr="00A46EB7">
              <w:rPr>
                <w:sz w:val="18"/>
                <w:szCs w:val="18"/>
              </w:rPr>
              <w:t>829</w:t>
            </w:r>
            <w:r w:rsidR="00026751">
              <w:rPr>
                <w:sz w:val="18"/>
                <w:szCs w:val="18"/>
              </w:rPr>
              <w:t>.</w:t>
            </w:r>
            <w:r w:rsidRPr="00A46EB7">
              <w:rPr>
                <w:sz w:val="18"/>
                <w:szCs w:val="18"/>
              </w:rPr>
              <w:t>639</w:t>
            </w:r>
            <w:r w:rsidR="00026751">
              <w:rPr>
                <w:sz w:val="18"/>
                <w:szCs w:val="18"/>
              </w:rPr>
              <w:t>.</w:t>
            </w:r>
            <w:r w:rsidRPr="00A46EB7">
              <w:rPr>
                <w:sz w:val="18"/>
                <w:szCs w:val="18"/>
              </w:rPr>
              <w:t>490)</w:t>
            </w:r>
          </w:p>
        </w:tc>
        <w:tc>
          <w:tcPr>
            <w:tcW w:w="2876" w:type="dxa"/>
            <w:shd w:val="clear" w:color="auto" w:fill="auto"/>
          </w:tcPr>
          <w:p w14:paraId="39FBB393" w14:textId="7F51F3C0" w:rsidR="008D5BD3" w:rsidRPr="00780678" w:rsidRDefault="008D5BD3" w:rsidP="0013526B">
            <w:pPr>
              <w:ind w:right="57"/>
              <w:jc w:val="right"/>
              <w:rPr>
                <w:i/>
                <w:sz w:val="18"/>
                <w:szCs w:val="18"/>
              </w:rPr>
            </w:pPr>
            <w:r w:rsidRPr="00780678">
              <w:rPr>
                <w:i/>
                <w:sz w:val="18"/>
                <w:szCs w:val="18"/>
              </w:rPr>
              <w:t>Discount patients</w:t>
            </w:r>
          </w:p>
        </w:tc>
      </w:tr>
      <w:tr w:rsidR="008D5BD3" w:rsidRPr="00780678" w14:paraId="7AB5A57E" w14:textId="77777777" w:rsidTr="002108FF">
        <w:tc>
          <w:tcPr>
            <w:tcW w:w="2864" w:type="dxa"/>
            <w:shd w:val="clear" w:color="auto" w:fill="auto"/>
          </w:tcPr>
          <w:p w14:paraId="2B081A0E" w14:textId="77777777" w:rsidR="008D5BD3" w:rsidRPr="00780678" w:rsidRDefault="008D5BD3" w:rsidP="00024352">
            <w:pPr>
              <w:ind w:left="379"/>
              <w:rPr>
                <w:sz w:val="18"/>
                <w:szCs w:val="18"/>
              </w:rPr>
            </w:pPr>
          </w:p>
        </w:tc>
        <w:tc>
          <w:tcPr>
            <w:tcW w:w="1682" w:type="dxa"/>
            <w:tcBorders>
              <w:top w:val="single" w:sz="4" w:space="0" w:color="auto"/>
            </w:tcBorders>
            <w:shd w:val="clear" w:color="auto" w:fill="auto"/>
            <w:vAlign w:val="bottom"/>
          </w:tcPr>
          <w:p w14:paraId="70DC642C" w14:textId="77777777" w:rsidR="008D5BD3" w:rsidRPr="00780678" w:rsidRDefault="008D5BD3" w:rsidP="0013526B">
            <w:pPr>
              <w:ind w:right="57"/>
              <w:jc w:val="right"/>
              <w:rPr>
                <w:sz w:val="18"/>
                <w:szCs w:val="18"/>
              </w:rPr>
            </w:pPr>
          </w:p>
        </w:tc>
        <w:tc>
          <w:tcPr>
            <w:tcW w:w="93" w:type="dxa"/>
            <w:shd w:val="clear" w:color="auto" w:fill="auto"/>
            <w:vAlign w:val="bottom"/>
          </w:tcPr>
          <w:p w14:paraId="51FBEB10" w14:textId="77777777" w:rsidR="008D5BD3" w:rsidRPr="00780678" w:rsidRDefault="008D5BD3" w:rsidP="0013526B">
            <w:pPr>
              <w:ind w:right="57"/>
              <w:jc w:val="right"/>
              <w:rPr>
                <w:sz w:val="18"/>
                <w:szCs w:val="18"/>
              </w:rPr>
            </w:pPr>
          </w:p>
        </w:tc>
        <w:tc>
          <w:tcPr>
            <w:tcW w:w="1682" w:type="dxa"/>
            <w:tcBorders>
              <w:top w:val="single" w:sz="4" w:space="0" w:color="auto"/>
            </w:tcBorders>
            <w:vAlign w:val="bottom"/>
          </w:tcPr>
          <w:p w14:paraId="4875A10D" w14:textId="77777777" w:rsidR="008D5BD3" w:rsidRPr="00780678" w:rsidRDefault="008D5BD3" w:rsidP="0013526B">
            <w:pPr>
              <w:ind w:right="57"/>
              <w:jc w:val="right"/>
              <w:rPr>
                <w:sz w:val="18"/>
                <w:szCs w:val="18"/>
              </w:rPr>
            </w:pPr>
          </w:p>
        </w:tc>
        <w:tc>
          <w:tcPr>
            <w:tcW w:w="2876" w:type="dxa"/>
            <w:shd w:val="clear" w:color="auto" w:fill="auto"/>
            <w:vAlign w:val="bottom"/>
          </w:tcPr>
          <w:p w14:paraId="63B03A33" w14:textId="77777777" w:rsidR="008D5BD3" w:rsidRPr="00780678" w:rsidRDefault="008D5BD3" w:rsidP="0013526B">
            <w:pPr>
              <w:ind w:right="57"/>
              <w:jc w:val="right"/>
              <w:rPr>
                <w:i/>
                <w:sz w:val="18"/>
                <w:szCs w:val="18"/>
              </w:rPr>
            </w:pPr>
          </w:p>
        </w:tc>
      </w:tr>
      <w:tr w:rsidR="008D5BD3" w:rsidRPr="00780678" w14:paraId="2A8C2CFC" w14:textId="77777777" w:rsidTr="002108FF">
        <w:tc>
          <w:tcPr>
            <w:tcW w:w="2864" w:type="dxa"/>
            <w:shd w:val="clear" w:color="auto" w:fill="auto"/>
          </w:tcPr>
          <w:p w14:paraId="259AD35A" w14:textId="0BF164BA" w:rsidR="008D5BD3" w:rsidRPr="00780678" w:rsidRDefault="008D5BD3" w:rsidP="00024352">
            <w:pPr>
              <w:ind w:left="379"/>
              <w:rPr>
                <w:b/>
                <w:sz w:val="18"/>
                <w:szCs w:val="18"/>
              </w:rPr>
            </w:pPr>
            <w:r w:rsidRPr="00780678">
              <w:rPr>
                <w:b/>
                <w:sz w:val="18"/>
                <w:szCs w:val="18"/>
              </w:rPr>
              <w:t>Jumlah pendapatan</w:t>
            </w:r>
          </w:p>
        </w:tc>
        <w:tc>
          <w:tcPr>
            <w:tcW w:w="1682" w:type="dxa"/>
            <w:tcBorders>
              <w:bottom w:val="double" w:sz="4" w:space="0" w:color="auto"/>
            </w:tcBorders>
            <w:shd w:val="clear" w:color="auto" w:fill="auto"/>
            <w:vAlign w:val="bottom"/>
          </w:tcPr>
          <w:p w14:paraId="3FAAF1D9" w14:textId="185E79C4" w:rsidR="008D5BD3" w:rsidRPr="00967C60" w:rsidRDefault="00CB2C31" w:rsidP="002C6EE3">
            <w:pPr>
              <w:ind w:right="57"/>
              <w:jc w:val="right"/>
              <w:rPr>
                <w:b/>
                <w:bCs w:val="0"/>
                <w:sz w:val="18"/>
                <w:szCs w:val="18"/>
              </w:rPr>
            </w:pPr>
            <w:r w:rsidRPr="00CB2C31">
              <w:rPr>
                <w:b/>
                <w:bCs w:val="0"/>
                <w:sz w:val="18"/>
                <w:szCs w:val="18"/>
              </w:rPr>
              <w:t>282</w:t>
            </w:r>
            <w:r w:rsidR="002C6EE3">
              <w:rPr>
                <w:b/>
                <w:bCs w:val="0"/>
                <w:sz w:val="18"/>
                <w:szCs w:val="18"/>
              </w:rPr>
              <w:t>.</w:t>
            </w:r>
            <w:r w:rsidRPr="00CB2C31">
              <w:rPr>
                <w:b/>
                <w:bCs w:val="0"/>
                <w:sz w:val="18"/>
                <w:szCs w:val="18"/>
              </w:rPr>
              <w:t>123</w:t>
            </w:r>
            <w:r w:rsidR="002C6EE3">
              <w:rPr>
                <w:b/>
                <w:bCs w:val="0"/>
                <w:sz w:val="18"/>
                <w:szCs w:val="18"/>
              </w:rPr>
              <w:t>.</w:t>
            </w:r>
            <w:r w:rsidRPr="00CB2C31">
              <w:rPr>
                <w:b/>
                <w:bCs w:val="0"/>
                <w:sz w:val="18"/>
                <w:szCs w:val="18"/>
              </w:rPr>
              <w:t>088</w:t>
            </w:r>
            <w:r w:rsidR="002C6EE3">
              <w:rPr>
                <w:b/>
                <w:bCs w:val="0"/>
                <w:sz w:val="18"/>
                <w:szCs w:val="18"/>
              </w:rPr>
              <w:t>.</w:t>
            </w:r>
            <w:r w:rsidRPr="00CB2C31">
              <w:rPr>
                <w:b/>
                <w:bCs w:val="0"/>
                <w:sz w:val="18"/>
                <w:szCs w:val="18"/>
              </w:rPr>
              <w:t>531</w:t>
            </w:r>
          </w:p>
        </w:tc>
        <w:tc>
          <w:tcPr>
            <w:tcW w:w="93" w:type="dxa"/>
            <w:shd w:val="clear" w:color="auto" w:fill="auto"/>
            <w:vAlign w:val="bottom"/>
          </w:tcPr>
          <w:p w14:paraId="1C0CD69E" w14:textId="77777777" w:rsidR="008D5BD3" w:rsidRPr="00780678" w:rsidRDefault="008D5BD3" w:rsidP="0013526B">
            <w:pPr>
              <w:ind w:right="57"/>
              <w:jc w:val="right"/>
              <w:rPr>
                <w:sz w:val="18"/>
                <w:szCs w:val="18"/>
              </w:rPr>
            </w:pPr>
          </w:p>
        </w:tc>
        <w:tc>
          <w:tcPr>
            <w:tcW w:w="1682" w:type="dxa"/>
            <w:tcBorders>
              <w:bottom w:val="double" w:sz="4" w:space="0" w:color="auto"/>
            </w:tcBorders>
            <w:vAlign w:val="bottom"/>
          </w:tcPr>
          <w:p w14:paraId="33923B7F" w14:textId="1ACB06E3" w:rsidR="008D5BD3" w:rsidRPr="00780678" w:rsidRDefault="00A46EB7" w:rsidP="0013526B">
            <w:pPr>
              <w:ind w:right="57"/>
              <w:jc w:val="right"/>
              <w:rPr>
                <w:b/>
                <w:sz w:val="18"/>
                <w:szCs w:val="18"/>
              </w:rPr>
            </w:pPr>
            <w:r w:rsidRPr="00A46EB7">
              <w:rPr>
                <w:b/>
                <w:sz w:val="18"/>
                <w:szCs w:val="18"/>
              </w:rPr>
              <w:t>259</w:t>
            </w:r>
            <w:r w:rsidR="00026751">
              <w:rPr>
                <w:b/>
                <w:sz w:val="18"/>
                <w:szCs w:val="18"/>
              </w:rPr>
              <w:t>.</w:t>
            </w:r>
            <w:r w:rsidRPr="00A46EB7">
              <w:rPr>
                <w:b/>
                <w:sz w:val="18"/>
                <w:szCs w:val="18"/>
              </w:rPr>
              <w:t>141</w:t>
            </w:r>
            <w:r w:rsidR="00026751">
              <w:rPr>
                <w:b/>
                <w:sz w:val="18"/>
                <w:szCs w:val="18"/>
              </w:rPr>
              <w:t>.</w:t>
            </w:r>
            <w:r w:rsidRPr="00A46EB7">
              <w:rPr>
                <w:b/>
                <w:sz w:val="18"/>
                <w:szCs w:val="18"/>
              </w:rPr>
              <w:t>263</w:t>
            </w:r>
            <w:r w:rsidR="00026751">
              <w:rPr>
                <w:b/>
                <w:sz w:val="18"/>
                <w:szCs w:val="18"/>
              </w:rPr>
              <w:t>.</w:t>
            </w:r>
            <w:r w:rsidRPr="00A46EB7">
              <w:rPr>
                <w:b/>
                <w:sz w:val="18"/>
                <w:szCs w:val="18"/>
              </w:rPr>
              <w:t>712</w:t>
            </w:r>
          </w:p>
        </w:tc>
        <w:tc>
          <w:tcPr>
            <w:tcW w:w="2876" w:type="dxa"/>
            <w:shd w:val="clear" w:color="auto" w:fill="auto"/>
            <w:vAlign w:val="bottom"/>
          </w:tcPr>
          <w:p w14:paraId="0C0157A6" w14:textId="71777D17" w:rsidR="008D5BD3" w:rsidRPr="00780678" w:rsidRDefault="008D5BD3" w:rsidP="0013526B">
            <w:pPr>
              <w:ind w:right="57"/>
              <w:jc w:val="right"/>
              <w:rPr>
                <w:i/>
                <w:sz w:val="18"/>
                <w:szCs w:val="18"/>
              </w:rPr>
            </w:pPr>
            <w:r w:rsidRPr="00780678">
              <w:rPr>
                <w:b/>
                <w:i/>
                <w:sz w:val="18"/>
                <w:szCs w:val="18"/>
              </w:rPr>
              <w:t>Total revenue</w:t>
            </w:r>
          </w:p>
        </w:tc>
      </w:tr>
      <w:tr w:rsidR="002602EA" w:rsidRPr="00780678" w14:paraId="2942072C" w14:textId="77777777" w:rsidTr="002108FF">
        <w:tc>
          <w:tcPr>
            <w:tcW w:w="2864" w:type="dxa"/>
            <w:shd w:val="clear" w:color="auto" w:fill="auto"/>
          </w:tcPr>
          <w:p w14:paraId="37E864E7" w14:textId="77777777" w:rsidR="002602EA" w:rsidRPr="00780678" w:rsidRDefault="002602EA" w:rsidP="00024352">
            <w:pPr>
              <w:ind w:left="379"/>
              <w:rPr>
                <w:b/>
                <w:sz w:val="18"/>
                <w:szCs w:val="18"/>
              </w:rPr>
            </w:pPr>
          </w:p>
        </w:tc>
        <w:tc>
          <w:tcPr>
            <w:tcW w:w="1682" w:type="dxa"/>
            <w:shd w:val="clear" w:color="auto" w:fill="auto"/>
            <w:vAlign w:val="bottom"/>
          </w:tcPr>
          <w:p w14:paraId="6973C6E2" w14:textId="77777777" w:rsidR="002602EA" w:rsidRPr="00967C60" w:rsidRDefault="002602EA" w:rsidP="0013526B">
            <w:pPr>
              <w:ind w:right="57"/>
              <w:jc w:val="right"/>
              <w:rPr>
                <w:b/>
                <w:bCs w:val="0"/>
                <w:sz w:val="18"/>
                <w:szCs w:val="18"/>
              </w:rPr>
            </w:pPr>
          </w:p>
        </w:tc>
        <w:tc>
          <w:tcPr>
            <w:tcW w:w="93" w:type="dxa"/>
            <w:shd w:val="clear" w:color="auto" w:fill="auto"/>
            <w:vAlign w:val="bottom"/>
          </w:tcPr>
          <w:p w14:paraId="19A1CB8F" w14:textId="77777777" w:rsidR="002602EA" w:rsidRPr="00780678" w:rsidRDefault="002602EA" w:rsidP="0013526B">
            <w:pPr>
              <w:ind w:right="57"/>
              <w:jc w:val="right"/>
              <w:rPr>
                <w:sz w:val="18"/>
                <w:szCs w:val="18"/>
              </w:rPr>
            </w:pPr>
          </w:p>
        </w:tc>
        <w:tc>
          <w:tcPr>
            <w:tcW w:w="1682" w:type="dxa"/>
            <w:vAlign w:val="bottom"/>
          </w:tcPr>
          <w:p w14:paraId="6F0ADF4C" w14:textId="77777777" w:rsidR="002602EA" w:rsidRPr="00780678" w:rsidRDefault="002602EA" w:rsidP="0013526B">
            <w:pPr>
              <w:ind w:right="57"/>
              <w:jc w:val="right"/>
              <w:rPr>
                <w:b/>
                <w:sz w:val="18"/>
                <w:szCs w:val="18"/>
              </w:rPr>
            </w:pPr>
          </w:p>
        </w:tc>
        <w:tc>
          <w:tcPr>
            <w:tcW w:w="2876" w:type="dxa"/>
            <w:shd w:val="clear" w:color="auto" w:fill="auto"/>
            <w:vAlign w:val="bottom"/>
          </w:tcPr>
          <w:p w14:paraId="0F256936" w14:textId="77777777" w:rsidR="002602EA" w:rsidRPr="00780678" w:rsidRDefault="002602EA" w:rsidP="0013526B">
            <w:pPr>
              <w:ind w:right="57"/>
              <w:jc w:val="right"/>
              <w:rPr>
                <w:b/>
                <w:i/>
                <w:sz w:val="18"/>
                <w:szCs w:val="18"/>
              </w:rPr>
            </w:pPr>
          </w:p>
        </w:tc>
      </w:tr>
      <w:tr w:rsidR="008D5BD3" w:rsidRPr="00780678" w14:paraId="66D9699C" w14:textId="77777777" w:rsidTr="002108FF">
        <w:trPr>
          <w:trHeight w:val="260"/>
        </w:trPr>
        <w:tc>
          <w:tcPr>
            <w:tcW w:w="2864" w:type="dxa"/>
            <w:shd w:val="clear" w:color="auto" w:fill="auto"/>
            <w:vAlign w:val="bottom"/>
          </w:tcPr>
          <w:p w14:paraId="08E61B9B" w14:textId="09594404" w:rsidR="008D5BD3" w:rsidRPr="00780678" w:rsidRDefault="008D5BD3" w:rsidP="004E4129">
            <w:pPr>
              <w:ind w:left="379"/>
              <w:rPr>
                <w:sz w:val="18"/>
                <w:szCs w:val="18"/>
              </w:rPr>
            </w:pPr>
            <w:r w:rsidRPr="00780678">
              <w:rPr>
                <w:sz w:val="18"/>
                <w:szCs w:val="18"/>
              </w:rPr>
              <w:t xml:space="preserve">Pihak berelasi </w:t>
            </w:r>
            <w:r w:rsidR="005621E7" w:rsidRPr="00C4152E">
              <w:rPr>
                <w:sz w:val="18"/>
                <w:szCs w:val="18"/>
              </w:rPr>
              <w:t>(C</w:t>
            </w:r>
            <w:r w:rsidRPr="00C4152E">
              <w:rPr>
                <w:sz w:val="18"/>
                <w:szCs w:val="18"/>
              </w:rPr>
              <w:t>atatan</w:t>
            </w:r>
            <w:r w:rsidR="002602EA" w:rsidRPr="00C4152E">
              <w:rPr>
                <w:sz w:val="18"/>
                <w:szCs w:val="18"/>
              </w:rPr>
              <w:t xml:space="preserve"> </w:t>
            </w:r>
            <w:r w:rsidRPr="00C4152E">
              <w:rPr>
                <w:sz w:val="18"/>
                <w:szCs w:val="18"/>
              </w:rPr>
              <w:t>3</w:t>
            </w:r>
            <w:r w:rsidR="004E4129">
              <w:rPr>
                <w:sz w:val="18"/>
                <w:szCs w:val="18"/>
              </w:rPr>
              <w:t>2</w:t>
            </w:r>
            <w:r w:rsidR="005621E7" w:rsidRPr="00C4152E">
              <w:rPr>
                <w:sz w:val="18"/>
                <w:szCs w:val="18"/>
              </w:rPr>
              <w:t>)</w:t>
            </w:r>
          </w:p>
        </w:tc>
        <w:tc>
          <w:tcPr>
            <w:tcW w:w="1682" w:type="dxa"/>
            <w:shd w:val="clear" w:color="auto" w:fill="auto"/>
            <w:vAlign w:val="bottom"/>
          </w:tcPr>
          <w:p w14:paraId="7EBDCD57" w14:textId="1DE4CF26" w:rsidR="008D5BD3" w:rsidRPr="00780678" w:rsidRDefault="00026751" w:rsidP="0013526B">
            <w:pPr>
              <w:ind w:right="57"/>
              <w:jc w:val="right"/>
              <w:rPr>
                <w:sz w:val="18"/>
                <w:szCs w:val="18"/>
                <w:lang w:val="en-ID"/>
              </w:rPr>
            </w:pPr>
            <w:r>
              <w:rPr>
                <w:sz w:val="18"/>
                <w:szCs w:val="18"/>
                <w:lang w:val="en-ID"/>
              </w:rPr>
              <w:t>-</w:t>
            </w:r>
          </w:p>
        </w:tc>
        <w:tc>
          <w:tcPr>
            <w:tcW w:w="93" w:type="dxa"/>
            <w:shd w:val="clear" w:color="auto" w:fill="auto"/>
            <w:vAlign w:val="bottom"/>
          </w:tcPr>
          <w:p w14:paraId="527B801C" w14:textId="77777777" w:rsidR="008D5BD3" w:rsidRPr="00780678" w:rsidRDefault="008D5BD3" w:rsidP="0013526B">
            <w:pPr>
              <w:ind w:right="57"/>
              <w:jc w:val="right"/>
              <w:rPr>
                <w:sz w:val="18"/>
                <w:szCs w:val="18"/>
              </w:rPr>
            </w:pPr>
          </w:p>
        </w:tc>
        <w:tc>
          <w:tcPr>
            <w:tcW w:w="1682" w:type="dxa"/>
            <w:vAlign w:val="bottom"/>
          </w:tcPr>
          <w:p w14:paraId="66EE959A" w14:textId="5A381CEB" w:rsidR="008D5BD3" w:rsidRPr="00CB2C31" w:rsidRDefault="00CB2C31" w:rsidP="0013526B">
            <w:pPr>
              <w:ind w:right="57"/>
              <w:jc w:val="right"/>
              <w:rPr>
                <w:sz w:val="18"/>
                <w:szCs w:val="18"/>
              </w:rPr>
            </w:pPr>
            <w:r>
              <w:rPr>
                <w:sz w:val="18"/>
                <w:szCs w:val="18"/>
              </w:rPr>
              <w:t>-</w:t>
            </w:r>
          </w:p>
        </w:tc>
        <w:tc>
          <w:tcPr>
            <w:tcW w:w="2876" w:type="dxa"/>
            <w:shd w:val="clear" w:color="auto" w:fill="auto"/>
            <w:vAlign w:val="bottom"/>
          </w:tcPr>
          <w:p w14:paraId="6CF0A43B" w14:textId="61278258" w:rsidR="008D5BD3" w:rsidRPr="00780678" w:rsidRDefault="008D5BD3" w:rsidP="004E4129">
            <w:pPr>
              <w:ind w:right="57"/>
              <w:jc w:val="right"/>
              <w:rPr>
                <w:i/>
                <w:sz w:val="18"/>
                <w:szCs w:val="18"/>
              </w:rPr>
            </w:pPr>
            <w:r w:rsidRPr="00780678">
              <w:rPr>
                <w:i/>
                <w:sz w:val="18"/>
                <w:szCs w:val="18"/>
              </w:rPr>
              <w:t xml:space="preserve">Related parties </w:t>
            </w:r>
            <w:r w:rsidR="005621E7">
              <w:rPr>
                <w:i/>
                <w:sz w:val="18"/>
                <w:szCs w:val="18"/>
              </w:rPr>
              <w:t>(</w:t>
            </w:r>
            <w:r w:rsidR="005621E7" w:rsidRPr="00C4152E">
              <w:rPr>
                <w:i/>
                <w:sz w:val="18"/>
                <w:szCs w:val="18"/>
              </w:rPr>
              <w:t>N</w:t>
            </w:r>
            <w:r w:rsidRPr="00C4152E">
              <w:rPr>
                <w:i/>
                <w:sz w:val="18"/>
                <w:szCs w:val="18"/>
              </w:rPr>
              <w:t>ote 3</w:t>
            </w:r>
            <w:r w:rsidR="004E4129">
              <w:rPr>
                <w:i/>
                <w:sz w:val="18"/>
                <w:szCs w:val="18"/>
              </w:rPr>
              <w:t>2</w:t>
            </w:r>
            <w:r w:rsidR="005621E7" w:rsidRPr="00C4152E">
              <w:rPr>
                <w:i/>
                <w:sz w:val="18"/>
                <w:szCs w:val="18"/>
              </w:rPr>
              <w:t>)</w:t>
            </w:r>
          </w:p>
        </w:tc>
      </w:tr>
      <w:tr w:rsidR="008D5BD3" w:rsidRPr="00780678" w14:paraId="214820E3" w14:textId="77777777" w:rsidTr="002108FF">
        <w:trPr>
          <w:trHeight w:val="64"/>
        </w:trPr>
        <w:tc>
          <w:tcPr>
            <w:tcW w:w="2864" w:type="dxa"/>
            <w:shd w:val="clear" w:color="auto" w:fill="auto"/>
            <w:vAlign w:val="bottom"/>
          </w:tcPr>
          <w:p w14:paraId="3DB58161" w14:textId="7DD7DE67" w:rsidR="008D5BD3" w:rsidRPr="00780678" w:rsidRDefault="008D5BD3" w:rsidP="00024352">
            <w:pPr>
              <w:ind w:left="379"/>
              <w:rPr>
                <w:sz w:val="18"/>
                <w:szCs w:val="18"/>
              </w:rPr>
            </w:pPr>
            <w:r w:rsidRPr="00780678">
              <w:rPr>
                <w:sz w:val="18"/>
                <w:szCs w:val="18"/>
              </w:rPr>
              <w:t>Pihak ketiga</w:t>
            </w:r>
          </w:p>
        </w:tc>
        <w:tc>
          <w:tcPr>
            <w:tcW w:w="1682" w:type="dxa"/>
            <w:tcBorders>
              <w:bottom w:val="single" w:sz="4" w:space="0" w:color="auto"/>
            </w:tcBorders>
            <w:shd w:val="clear" w:color="auto" w:fill="auto"/>
            <w:vAlign w:val="bottom"/>
          </w:tcPr>
          <w:p w14:paraId="77313BCE" w14:textId="32D0FD64" w:rsidR="008D5BD3" w:rsidRPr="002602EA" w:rsidRDefault="00CB2C31" w:rsidP="002C6EE3">
            <w:pPr>
              <w:ind w:right="57"/>
              <w:jc w:val="right"/>
              <w:rPr>
                <w:sz w:val="18"/>
                <w:szCs w:val="18"/>
              </w:rPr>
            </w:pPr>
            <w:r w:rsidRPr="00CB2C31">
              <w:rPr>
                <w:sz w:val="18"/>
                <w:szCs w:val="18"/>
              </w:rPr>
              <w:t>282</w:t>
            </w:r>
            <w:r w:rsidR="002C6EE3">
              <w:rPr>
                <w:sz w:val="18"/>
                <w:szCs w:val="18"/>
              </w:rPr>
              <w:t>.</w:t>
            </w:r>
            <w:r w:rsidRPr="00CB2C31">
              <w:rPr>
                <w:sz w:val="18"/>
                <w:szCs w:val="18"/>
              </w:rPr>
              <w:t>123</w:t>
            </w:r>
            <w:r w:rsidR="002C6EE3">
              <w:rPr>
                <w:sz w:val="18"/>
                <w:szCs w:val="18"/>
              </w:rPr>
              <w:t>.</w:t>
            </w:r>
            <w:r w:rsidRPr="00CB2C31">
              <w:rPr>
                <w:sz w:val="18"/>
                <w:szCs w:val="18"/>
              </w:rPr>
              <w:t>088</w:t>
            </w:r>
            <w:r w:rsidR="002C6EE3">
              <w:rPr>
                <w:sz w:val="18"/>
                <w:szCs w:val="18"/>
              </w:rPr>
              <w:t>.</w:t>
            </w:r>
            <w:r w:rsidRPr="00CB2C31">
              <w:rPr>
                <w:sz w:val="18"/>
                <w:szCs w:val="18"/>
              </w:rPr>
              <w:t>531</w:t>
            </w:r>
          </w:p>
        </w:tc>
        <w:tc>
          <w:tcPr>
            <w:tcW w:w="93" w:type="dxa"/>
            <w:shd w:val="clear" w:color="auto" w:fill="auto"/>
            <w:vAlign w:val="bottom"/>
          </w:tcPr>
          <w:p w14:paraId="36D0384F" w14:textId="77777777" w:rsidR="008D5BD3" w:rsidRPr="00780678" w:rsidRDefault="008D5BD3" w:rsidP="0013526B">
            <w:pPr>
              <w:ind w:right="57"/>
              <w:jc w:val="right"/>
              <w:rPr>
                <w:sz w:val="18"/>
                <w:szCs w:val="18"/>
              </w:rPr>
            </w:pPr>
          </w:p>
        </w:tc>
        <w:tc>
          <w:tcPr>
            <w:tcW w:w="1682" w:type="dxa"/>
            <w:tcBorders>
              <w:bottom w:val="single" w:sz="4" w:space="0" w:color="auto"/>
            </w:tcBorders>
            <w:vAlign w:val="bottom"/>
          </w:tcPr>
          <w:p w14:paraId="6D0D0CE2" w14:textId="35A581FC" w:rsidR="008D5BD3" w:rsidRPr="00CB2C31" w:rsidRDefault="00CB2C31" w:rsidP="00026751">
            <w:pPr>
              <w:ind w:right="57"/>
              <w:jc w:val="right"/>
              <w:rPr>
                <w:sz w:val="18"/>
                <w:szCs w:val="18"/>
              </w:rPr>
            </w:pPr>
            <w:r w:rsidRPr="00CB2C31">
              <w:rPr>
                <w:sz w:val="18"/>
                <w:szCs w:val="18"/>
              </w:rPr>
              <w:t>259</w:t>
            </w:r>
            <w:r w:rsidR="00026751">
              <w:rPr>
                <w:sz w:val="18"/>
                <w:szCs w:val="18"/>
              </w:rPr>
              <w:t>.</w:t>
            </w:r>
            <w:r w:rsidRPr="00CB2C31">
              <w:rPr>
                <w:sz w:val="18"/>
                <w:szCs w:val="18"/>
              </w:rPr>
              <w:t>141</w:t>
            </w:r>
            <w:r w:rsidR="00026751">
              <w:rPr>
                <w:sz w:val="18"/>
                <w:szCs w:val="18"/>
              </w:rPr>
              <w:t>.</w:t>
            </w:r>
            <w:r w:rsidRPr="00CB2C31">
              <w:rPr>
                <w:sz w:val="18"/>
                <w:szCs w:val="18"/>
              </w:rPr>
              <w:t>263</w:t>
            </w:r>
            <w:r w:rsidR="00026751">
              <w:rPr>
                <w:sz w:val="18"/>
                <w:szCs w:val="18"/>
              </w:rPr>
              <w:t>.</w:t>
            </w:r>
            <w:r w:rsidRPr="00CB2C31">
              <w:rPr>
                <w:sz w:val="18"/>
                <w:szCs w:val="18"/>
              </w:rPr>
              <w:t>712</w:t>
            </w:r>
          </w:p>
        </w:tc>
        <w:tc>
          <w:tcPr>
            <w:tcW w:w="2876" w:type="dxa"/>
            <w:shd w:val="clear" w:color="auto" w:fill="auto"/>
            <w:vAlign w:val="bottom"/>
          </w:tcPr>
          <w:p w14:paraId="28B4204E" w14:textId="5CA144E9" w:rsidR="008D5BD3" w:rsidRPr="00780678" w:rsidRDefault="008D5BD3" w:rsidP="0013526B">
            <w:pPr>
              <w:ind w:right="57"/>
              <w:jc w:val="right"/>
              <w:rPr>
                <w:i/>
                <w:sz w:val="18"/>
                <w:szCs w:val="18"/>
              </w:rPr>
            </w:pPr>
            <w:r w:rsidRPr="00780678">
              <w:rPr>
                <w:i/>
                <w:sz w:val="18"/>
                <w:szCs w:val="18"/>
              </w:rPr>
              <w:t>Third parties</w:t>
            </w:r>
          </w:p>
        </w:tc>
      </w:tr>
      <w:tr w:rsidR="008D5BD3" w:rsidRPr="00780678" w14:paraId="3577A37D" w14:textId="77777777" w:rsidTr="002108FF">
        <w:trPr>
          <w:trHeight w:val="74"/>
        </w:trPr>
        <w:tc>
          <w:tcPr>
            <w:tcW w:w="2864" w:type="dxa"/>
            <w:shd w:val="clear" w:color="auto" w:fill="auto"/>
            <w:vAlign w:val="bottom"/>
          </w:tcPr>
          <w:p w14:paraId="6722620E" w14:textId="118E7599" w:rsidR="008D5BD3" w:rsidRPr="00780678" w:rsidRDefault="008D5BD3" w:rsidP="00024352">
            <w:pPr>
              <w:ind w:left="379"/>
              <w:rPr>
                <w:b/>
                <w:sz w:val="18"/>
                <w:szCs w:val="18"/>
              </w:rPr>
            </w:pPr>
          </w:p>
        </w:tc>
        <w:tc>
          <w:tcPr>
            <w:tcW w:w="1682" w:type="dxa"/>
            <w:tcBorders>
              <w:top w:val="single" w:sz="4" w:space="0" w:color="auto"/>
            </w:tcBorders>
            <w:shd w:val="clear" w:color="auto" w:fill="auto"/>
            <w:vAlign w:val="bottom"/>
          </w:tcPr>
          <w:p w14:paraId="2D1898C4" w14:textId="760AB64E" w:rsidR="008D5BD3" w:rsidRPr="00780678" w:rsidRDefault="008D5BD3" w:rsidP="0013526B">
            <w:pPr>
              <w:ind w:right="57"/>
              <w:jc w:val="right"/>
              <w:rPr>
                <w:b/>
                <w:sz w:val="18"/>
                <w:szCs w:val="18"/>
              </w:rPr>
            </w:pPr>
          </w:p>
        </w:tc>
        <w:tc>
          <w:tcPr>
            <w:tcW w:w="93" w:type="dxa"/>
            <w:shd w:val="clear" w:color="auto" w:fill="auto"/>
            <w:vAlign w:val="bottom"/>
          </w:tcPr>
          <w:p w14:paraId="23A95D57" w14:textId="77777777" w:rsidR="008D5BD3" w:rsidRPr="00780678" w:rsidRDefault="008D5BD3" w:rsidP="0013526B">
            <w:pPr>
              <w:ind w:right="57"/>
              <w:jc w:val="right"/>
              <w:rPr>
                <w:sz w:val="18"/>
                <w:szCs w:val="18"/>
              </w:rPr>
            </w:pPr>
          </w:p>
        </w:tc>
        <w:tc>
          <w:tcPr>
            <w:tcW w:w="1682" w:type="dxa"/>
            <w:tcBorders>
              <w:top w:val="single" w:sz="4" w:space="0" w:color="auto"/>
            </w:tcBorders>
            <w:vAlign w:val="bottom"/>
          </w:tcPr>
          <w:p w14:paraId="336E86AF" w14:textId="04B02F14" w:rsidR="008D5BD3" w:rsidRPr="00780678" w:rsidRDefault="008D5BD3" w:rsidP="0013526B">
            <w:pPr>
              <w:ind w:right="57"/>
              <w:jc w:val="right"/>
              <w:rPr>
                <w:b/>
                <w:sz w:val="18"/>
                <w:szCs w:val="18"/>
              </w:rPr>
            </w:pPr>
          </w:p>
        </w:tc>
        <w:tc>
          <w:tcPr>
            <w:tcW w:w="2876" w:type="dxa"/>
            <w:shd w:val="clear" w:color="auto" w:fill="auto"/>
            <w:vAlign w:val="bottom"/>
          </w:tcPr>
          <w:p w14:paraId="3231A444" w14:textId="40838B94" w:rsidR="008D5BD3" w:rsidRPr="00780678" w:rsidRDefault="008D5BD3" w:rsidP="0013526B">
            <w:pPr>
              <w:ind w:right="57"/>
              <w:jc w:val="right"/>
              <w:rPr>
                <w:b/>
                <w:i/>
                <w:sz w:val="18"/>
                <w:szCs w:val="18"/>
              </w:rPr>
            </w:pPr>
          </w:p>
        </w:tc>
      </w:tr>
      <w:tr w:rsidR="008D5BD3" w:rsidRPr="00780678" w14:paraId="1226CFF0" w14:textId="77777777" w:rsidTr="002108FF">
        <w:trPr>
          <w:trHeight w:val="74"/>
        </w:trPr>
        <w:tc>
          <w:tcPr>
            <w:tcW w:w="2864" w:type="dxa"/>
            <w:shd w:val="clear" w:color="auto" w:fill="auto"/>
            <w:vAlign w:val="bottom"/>
          </w:tcPr>
          <w:p w14:paraId="53352603" w14:textId="34FBE65F" w:rsidR="008D5BD3" w:rsidRPr="00780678" w:rsidRDefault="008D5BD3" w:rsidP="00024352">
            <w:pPr>
              <w:ind w:left="379"/>
              <w:rPr>
                <w:b/>
                <w:sz w:val="18"/>
                <w:szCs w:val="18"/>
              </w:rPr>
            </w:pPr>
            <w:r w:rsidRPr="00780678">
              <w:rPr>
                <w:b/>
                <w:sz w:val="18"/>
                <w:szCs w:val="18"/>
              </w:rPr>
              <w:t>Jumlah pendapatan</w:t>
            </w:r>
          </w:p>
        </w:tc>
        <w:tc>
          <w:tcPr>
            <w:tcW w:w="1682" w:type="dxa"/>
            <w:tcBorders>
              <w:bottom w:val="double" w:sz="4" w:space="0" w:color="auto"/>
            </w:tcBorders>
            <w:shd w:val="clear" w:color="auto" w:fill="auto"/>
            <w:vAlign w:val="bottom"/>
          </w:tcPr>
          <w:p w14:paraId="390018AF" w14:textId="2872FD1A" w:rsidR="008D5BD3" w:rsidRPr="00780678" w:rsidRDefault="00CB2C31" w:rsidP="002C6EE3">
            <w:pPr>
              <w:ind w:right="57"/>
              <w:jc w:val="right"/>
              <w:rPr>
                <w:b/>
                <w:sz w:val="18"/>
                <w:szCs w:val="18"/>
              </w:rPr>
            </w:pPr>
            <w:r w:rsidRPr="00CB2C31">
              <w:rPr>
                <w:b/>
                <w:sz w:val="18"/>
                <w:szCs w:val="18"/>
              </w:rPr>
              <w:t>282</w:t>
            </w:r>
            <w:r w:rsidR="002C6EE3">
              <w:rPr>
                <w:b/>
                <w:sz w:val="18"/>
                <w:szCs w:val="18"/>
              </w:rPr>
              <w:t>.</w:t>
            </w:r>
            <w:r w:rsidRPr="00CB2C31">
              <w:rPr>
                <w:b/>
                <w:sz w:val="18"/>
                <w:szCs w:val="18"/>
              </w:rPr>
              <w:t>123</w:t>
            </w:r>
            <w:r w:rsidR="002C6EE3">
              <w:rPr>
                <w:b/>
                <w:sz w:val="18"/>
                <w:szCs w:val="18"/>
              </w:rPr>
              <w:t>.</w:t>
            </w:r>
            <w:r w:rsidRPr="00CB2C31">
              <w:rPr>
                <w:b/>
                <w:sz w:val="18"/>
                <w:szCs w:val="18"/>
              </w:rPr>
              <w:t>088</w:t>
            </w:r>
            <w:r w:rsidR="002C6EE3">
              <w:rPr>
                <w:b/>
                <w:sz w:val="18"/>
                <w:szCs w:val="18"/>
              </w:rPr>
              <w:t>.</w:t>
            </w:r>
            <w:r w:rsidRPr="00CB2C31">
              <w:rPr>
                <w:b/>
                <w:sz w:val="18"/>
                <w:szCs w:val="18"/>
              </w:rPr>
              <w:t>531</w:t>
            </w:r>
          </w:p>
        </w:tc>
        <w:tc>
          <w:tcPr>
            <w:tcW w:w="93" w:type="dxa"/>
            <w:shd w:val="clear" w:color="auto" w:fill="auto"/>
            <w:vAlign w:val="bottom"/>
          </w:tcPr>
          <w:p w14:paraId="53BFB203" w14:textId="77777777" w:rsidR="008D5BD3" w:rsidRPr="00780678" w:rsidRDefault="008D5BD3" w:rsidP="0013526B">
            <w:pPr>
              <w:ind w:right="57"/>
              <w:jc w:val="right"/>
              <w:rPr>
                <w:sz w:val="18"/>
                <w:szCs w:val="18"/>
              </w:rPr>
            </w:pPr>
          </w:p>
        </w:tc>
        <w:tc>
          <w:tcPr>
            <w:tcW w:w="1682" w:type="dxa"/>
            <w:tcBorders>
              <w:bottom w:val="double" w:sz="4" w:space="0" w:color="auto"/>
            </w:tcBorders>
            <w:vAlign w:val="bottom"/>
          </w:tcPr>
          <w:p w14:paraId="7C1CFF05" w14:textId="3861C74F" w:rsidR="008D5BD3" w:rsidRPr="00780678" w:rsidRDefault="00CB2C31" w:rsidP="00026751">
            <w:pPr>
              <w:ind w:right="57"/>
              <w:jc w:val="right"/>
              <w:rPr>
                <w:b/>
                <w:sz w:val="18"/>
                <w:szCs w:val="18"/>
              </w:rPr>
            </w:pPr>
            <w:r w:rsidRPr="00A46EB7">
              <w:rPr>
                <w:b/>
                <w:sz w:val="18"/>
                <w:szCs w:val="18"/>
              </w:rPr>
              <w:t>259</w:t>
            </w:r>
            <w:r w:rsidR="00026751">
              <w:rPr>
                <w:b/>
                <w:sz w:val="18"/>
                <w:szCs w:val="18"/>
              </w:rPr>
              <w:t>.</w:t>
            </w:r>
            <w:r w:rsidRPr="00A46EB7">
              <w:rPr>
                <w:b/>
                <w:sz w:val="18"/>
                <w:szCs w:val="18"/>
              </w:rPr>
              <w:t>141</w:t>
            </w:r>
            <w:r w:rsidR="00026751">
              <w:rPr>
                <w:b/>
                <w:sz w:val="18"/>
                <w:szCs w:val="18"/>
              </w:rPr>
              <w:t>.</w:t>
            </w:r>
            <w:r w:rsidRPr="00A46EB7">
              <w:rPr>
                <w:b/>
                <w:sz w:val="18"/>
                <w:szCs w:val="18"/>
              </w:rPr>
              <w:t>263</w:t>
            </w:r>
            <w:r w:rsidR="00026751">
              <w:rPr>
                <w:b/>
                <w:sz w:val="18"/>
                <w:szCs w:val="18"/>
              </w:rPr>
              <w:t>.</w:t>
            </w:r>
            <w:r w:rsidRPr="00A46EB7">
              <w:rPr>
                <w:b/>
                <w:sz w:val="18"/>
                <w:szCs w:val="18"/>
              </w:rPr>
              <w:t>712</w:t>
            </w:r>
          </w:p>
        </w:tc>
        <w:tc>
          <w:tcPr>
            <w:tcW w:w="2876" w:type="dxa"/>
            <w:shd w:val="clear" w:color="auto" w:fill="auto"/>
            <w:vAlign w:val="bottom"/>
          </w:tcPr>
          <w:p w14:paraId="7F704C29" w14:textId="1D54439C" w:rsidR="008D5BD3" w:rsidRPr="00780678" w:rsidRDefault="008D5BD3" w:rsidP="0013526B">
            <w:pPr>
              <w:ind w:right="57"/>
              <w:jc w:val="right"/>
              <w:rPr>
                <w:b/>
                <w:i/>
                <w:sz w:val="18"/>
                <w:szCs w:val="18"/>
              </w:rPr>
            </w:pPr>
            <w:r w:rsidRPr="00780678">
              <w:rPr>
                <w:b/>
                <w:i/>
                <w:sz w:val="18"/>
                <w:szCs w:val="18"/>
              </w:rPr>
              <w:t>Total revenue</w:t>
            </w:r>
          </w:p>
        </w:tc>
      </w:tr>
    </w:tbl>
    <w:p w14:paraId="6E6CB198" w14:textId="764B4F71" w:rsidR="00780678" w:rsidRDefault="00780678">
      <w:pPr>
        <w:rPr>
          <w:sz w:val="12"/>
          <w:szCs w:val="18"/>
        </w:rPr>
      </w:pPr>
    </w:p>
    <w:tbl>
      <w:tblPr>
        <w:tblW w:w="9214" w:type="dxa"/>
        <w:tblInd w:w="406" w:type="dxa"/>
        <w:tblLayout w:type="fixed"/>
        <w:tblLook w:val="0000" w:firstRow="0" w:lastRow="0" w:firstColumn="0" w:lastColumn="0" w:noHBand="0" w:noVBand="0"/>
      </w:tblPr>
      <w:tblGrid>
        <w:gridCol w:w="4607"/>
        <w:gridCol w:w="4607"/>
      </w:tblGrid>
      <w:tr w:rsidR="004444FA" w:rsidRPr="0013526B" w14:paraId="2E3847EF" w14:textId="77777777" w:rsidTr="002108FF">
        <w:tc>
          <w:tcPr>
            <w:tcW w:w="4607" w:type="dxa"/>
            <w:tcBorders>
              <w:top w:val="nil"/>
              <w:left w:val="nil"/>
              <w:bottom w:val="nil"/>
              <w:right w:val="nil"/>
            </w:tcBorders>
          </w:tcPr>
          <w:p w14:paraId="468D75BC" w14:textId="04D4F131" w:rsidR="004444FA" w:rsidRPr="00B35789" w:rsidRDefault="004444FA" w:rsidP="00026751">
            <w:pPr>
              <w:pStyle w:val="ListParagraph"/>
              <w:ind w:left="284"/>
              <w:jc w:val="both"/>
              <w:rPr>
                <w:sz w:val="18"/>
                <w:szCs w:val="18"/>
              </w:rPr>
            </w:pPr>
            <w:r w:rsidRPr="00B35789">
              <w:rPr>
                <w:bCs w:val="0"/>
                <w:sz w:val="18"/>
                <w:szCs w:val="18"/>
              </w:rPr>
              <w:t xml:space="preserve">Pada </w:t>
            </w:r>
            <w:r w:rsidR="00026751">
              <w:rPr>
                <w:bCs w:val="0"/>
                <w:sz w:val="18"/>
                <w:szCs w:val="18"/>
              </w:rPr>
              <w:t xml:space="preserve">tanggal berakhir 31 Maret 2020 dan </w:t>
            </w:r>
            <w:r w:rsidRPr="00B35789">
              <w:rPr>
                <w:bCs w:val="0"/>
                <w:sz w:val="18"/>
                <w:szCs w:val="18"/>
              </w:rPr>
              <w:t>2019</w:t>
            </w:r>
            <w:r w:rsidR="00305CA0">
              <w:rPr>
                <w:bCs w:val="0"/>
                <w:sz w:val="18"/>
                <w:szCs w:val="18"/>
              </w:rPr>
              <w:t>.</w:t>
            </w:r>
            <w:r w:rsidRPr="00B35789">
              <w:rPr>
                <w:bCs w:val="0"/>
                <w:sz w:val="18"/>
                <w:szCs w:val="18"/>
              </w:rPr>
              <w:t xml:space="preserve"> </w:t>
            </w:r>
            <w:proofErr w:type="gramStart"/>
            <w:r w:rsidRPr="00B35789">
              <w:rPr>
                <w:bCs w:val="0"/>
                <w:sz w:val="18"/>
                <w:szCs w:val="18"/>
              </w:rPr>
              <w:t>tidak</w:t>
            </w:r>
            <w:proofErr w:type="gramEnd"/>
            <w:r w:rsidRPr="00B35789">
              <w:rPr>
                <w:bCs w:val="0"/>
                <w:sz w:val="18"/>
                <w:szCs w:val="18"/>
              </w:rPr>
              <w:t xml:space="preserve"> terdapat transaksi penjualan </w:t>
            </w:r>
            <w:r w:rsidR="00324BF0">
              <w:rPr>
                <w:bCs w:val="0"/>
                <w:sz w:val="18"/>
                <w:szCs w:val="18"/>
              </w:rPr>
              <w:t>terhadap pelanggan yang melebihi 10%.</w:t>
            </w:r>
          </w:p>
        </w:tc>
        <w:tc>
          <w:tcPr>
            <w:tcW w:w="4607" w:type="dxa"/>
            <w:tcBorders>
              <w:top w:val="nil"/>
              <w:left w:val="nil"/>
              <w:bottom w:val="nil"/>
              <w:right w:val="nil"/>
            </w:tcBorders>
          </w:tcPr>
          <w:p w14:paraId="3BEA7FDE" w14:textId="79C5BDC2" w:rsidR="004444FA" w:rsidRPr="0013526B" w:rsidRDefault="00026751" w:rsidP="00026751">
            <w:pPr>
              <w:pStyle w:val="ListParagraph"/>
              <w:tabs>
                <w:tab w:val="right" w:pos="9340"/>
                <w:tab w:val="right" w:pos="10080"/>
              </w:tabs>
              <w:ind w:left="284"/>
              <w:jc w:val="both"/>
              <w:rPr>
                <w:i/>
                <w:sz w:val="18"/>
                <w:szCs w:val="18"/>
              </w:rPr>
            </w:pPr>
            <w:r>
              <w:rPr>
                <w:bCs w:val="0"/>
                <w:i/>
                <w:sz w:val="18"/>
                <w:szCs w:val="18"/>
              </w:rPr>
              <w:t>For period ended March 31</w:t>
            </w:r>
            <w:r w:rsidR="00305CA0">
              <w:rPr>
                <w:bCs w:val="0"/>
                <w:i/>
                <w:sz w:val="18"/>
                <w:szCs w:val="18"/>
              </w:rPr>
              <w:t>.</w:t>
            </w:r>
            <w:r>
              <w:rPr>
                <w:bCs w:val="0"/>
                <w:i/>
                <w:sz w:val="18"/>
                <w:szCs w:val="18"/>
              </w:rPr>
              <w:t xml:space="preserve"> 2020 and </w:t>
            </w:r>
            <w:r w:rsidR="00324BF0" w:rsidRPr="00324BF0">
              <w:rPr>
                <w:bCs w:val="0"/>
                <w:i/>
                <w:sz w:val="18"/>
                <w:szCs w:val="18"/>
              </w:rPr>
              <w:t>2019</w:t>
            </w:r>
            <w:r w:rsidR="00305CA0">
              <w:rPr>
                <w:bCs w:val="0"/>
                <w:i/>
                <w:sz w:val="18"/>
                <w:szCs w:val="18"/>
              </w:rPr>
              <w:t>.</w:t>
            </w:r>
            <w:r w:rsidR="00324BF0" w:rsidRPr="00324BF0">
              <w:rPr>
                <w:bCs w:val="0"/>
                <w:i/>
                <w:sz w:val="18"/>
                <w:szCs w:val="18"/>
              </w:rPr>
              <w:t xml:space="preserve"> </w:t>
            </w:r>
            <w:proofErr w:type="gramStart"/>
            <w:r w:rsidR="00324BF0" w:rsidRPr="00324BF0">
              <w:rPr>
                <w:bCs w:val="0"/>
                <w:i/>
                <w:sz w:val="18"/>
                <w:szCs w:val="18"/>
              </w:rPr>
              <w:t>there</w:t>
            </w:r>
            <w:proofErr w:type="gramEnd"/>
            <w:r w:rsidR="00324BF0" w:rsidRPr="00324BF0">
              <w:rPr>
                <w:bCs w:val="0"/>
                <w:i/>
                <w:sz w:val="18"/>
                <w:szCs w:val="18"/>
              </w:rPr>
              <w:t xml:space="preserve"> were no sales transactions to customers that exceed 10%</w:t>
            </w:r>
            <w:r w:rsidR="00324BF0">
              <w:rPr>
                <w:bCs w:val="0"/>
                <w:i/>
                <w:sz w:val="18"/>
                <w:szCs w:val="18"/>
              </w:rPr>
              <w:t>.</w:t>
            </w:r>
          </w:p>
        </w:tc>
      </w:tr>
    </w:tbl>
    <w:p w14:paraId="4233A9BF" w14:textId="11E62E5E" w:rsidR="00845B6C" w:rsidRDefault="00845B6C">
      <w:pPr>
        <w:rPr>
          <w:sz w:val="12"/>
          <w:szCs w:val="18"/>
        </w:rPr>
      </w:pPr>
    </w:p>
    <w:p w14:paraId="6EF6ECC5" w14:textId="548371B2" w:rsidR="004444FA" w:rsidRDefault="004444FA">
      <w:pPr>
        <w:rPr>
          <w:sz w:val="12"/>
          <w:szCs w:val="18"/>
        </w:rPr>
      </w:pPr>
    </w:p>
    <w:p w14:paraId="51ADA39D" w14:textId="6DEC041B" w:rsidR="00EE78B5" w:rsidRDefault="00EE78B5">
      <w:pPr>
        <w:rPr>
          <w:sz w:val="12"/>
          <w:szCs w:val="18"/>
        </w:rPr>
      </w:pPr>
    </w:p>
    <w:p w14:paraId="12666989" w14:textId="37F70B64" w:rsidR="00EE78B5" w:rsidRDefault="00EE78B5">
      <w:pPr>
        <w:rPr>
          <w:sz w:val="12"/>
          <w:szCs w:val="18"/>
        </w:rPr>
      </w:pPr>
    </w:p>
    <w:p w14:paraId="1B7CC5F6" w14:textId="77777777" w:rsidR="00EE78B5" w:rsidRDefault="00EE78B5">
      <w:pPr>
        <w:rPr>
          <w:sz w:val="12"/>
          <w:szCs w:val="18"/>
        </w:rPr>
      </w:pPr>
    </w:p>
    <w:tbl>
      <w:tblPr>
        <w:tblW w:w="9214" w:type="dxa"/>
        <w:tblInd w:w="392" w:type="dxa"/>
        <w:tblLayout w:type="fixed"/>
        <w:tblLook w:val="0000" w:firstRow="0" w:lastRow="0" w:firstColumn="0" w:lastColumn="0" w:noHBand="0" w:noVBand="0"/>
      </w:tblPr>
      <w:tblGrid>
        <w:gridCol w:w="4607"/>
        <w:gridCol w:w="4607"/>
      </w:tblGrid>
      <w:tr w:rsidR="00780678" w:rsidRPr="00845B6C" w14:paraId="50F46F9F" w14:textId="77777777" w:rsidTr="002108FF">
        <w:tc>
          <w:tcPr>
            <w:tcW w:w="2500" w:type="pct"/>
            <w:tcBorders>
              <w:top w:val="nil"/>
              <w:left w:val="nil"/>
              <w:bottom w:val="nil"/>
              <w:right w:val="nil"/>
            </w:tcBorders>
          </w:tcPr>
          <w:p w14:paraId="1E0E4D11" w14:textId="2AAF4D37" w:rsidR="00780678" w:rsidRPr="00845B6C" w:rsidRDefault="00780678" w:rsidP="00070D1F">
            <w:pPr>
              <w:numPr>
                <w:ilvl w:val="0"/>
                <w:numId w:val="390"/>
              </w:numPr>
              <w:jc w:val="both"/>
              <w:rPr>
                <w:b/>
                <w:bCs w:val="0"/>
                <w:sz w:val="18"/>
                <w:szCs w:val="18"/>
              </w:rPr>
            </w:pPr>
            <w:r w:rsidRPr="00845B6C">
              <w:rPr>
                <w:b/>
                <w:bCs w:val="0"/>
                <w:sz w:val="18"/>
                <w:szCs w:val="18"/>
              </w:rPr>
              <w:lastRenderedPageBreak/>
              <w:t>BEBAN LANGSUNG</w:t>
            </w:r>
          </w:p>
        </w:tc>
        <w:tc>
          <w:tcPr>
            <w:tcW w:w="2500" w:type="pct"/>
            <w:tcBorders>
              <w:top w:val="nil"/>
              <w:left w:val="nil"/>
              <w:bottom w:val="nil"/>
              <w:right w:val="nil"/>
            </w:tcBorders>
          </w:tcPr>
          <w:p w14:paraId="25AF4B9C" w14:textId="727A7F76" w:rsidR="00780678" w:rsidRPr="00845B6C" w:rsidRDefault="00780678" w:rsidP="00070D1F">
            <w:pPr>
              <w:numPr>
                <w:ilvl w:val="0"/>
                <w:numId w:val="378"/>
              </w:numPr>
              <w:jc w:val="both"/>
              <w:rPr>
                <w:b/>
                <w:bCs w:val="0"/>
                <w:i/>
                <w:iCs/>
                <w:sz w:val="18"/>
                <w:szCs w:val="18"/>
              </w:rPr>
            </w:pPr>
            <w:r w:rsidRPr="00845B6C">
              <w:rPr>
                <w:b/>
                <w:bCs w:val="0"/>
                <w:i/>
                <w:iCs/>
                <w:sz w:val="18"/>
                <w:szCs w:val="18"/>
              </w:rPr>
              <w:t>DIRECT COST</w:t>
            </w:r>
          </w:p>
        </w:tc>
      </w:tr>
      <w:tr w:rsidR="00780678" w:rsidRPr="00640098" w14:paraId="01819866" w14:textId="77777777" w:rsidTr="002108FF">
        <w:tc>
          <w:tcPr>
            <w:tcW w:w="2500" w:type="pct"/>
            <w:tcBorders>
              <w:top w:val="nil"/>
              <w:left w:val="nil"/>
              <w:bottom w:val="nil"/>
              <w:right w:val="nil"/>
            </w:tcBorders>
          </w:tcPr>
          <w:p w14:paraId="4C6AF955" w14:textId="77777777" w:rsidR="00780678" w:rsidRPr="00640098" w:rsidRDefault="00780678" w:rsidP="006A720D">
            <w:pPr>
              <w:ind w:left="709"/>
              <w:jc w:val="both"/>
              <w:rPr>
                <w:sz w:val="12"/>
                <w:szCs w:val="18"/>
              </w:rPr>
            </w:pPr>
          </w:p>
        </w:tc>
        <w:tc>
          <w:tcPr>
            <w:tcW w:w="2500" w:type="pct"/>
            <w:tcBorders>
              <w:top w:val="nil"/>
              <w:left w:val="nil"/>
              <w:bottom w:val="nil"/>
              <w:right w:val="nil"/>
            </w:tcBorders>
          </w:tcPr>
          <w:p w14:paraId="3EEC122A" w14:textId="77777777" w:rsidR="00780678" w:rsidRPr="00640098" w:rsidRDefault="00780678" w:rsidP="006A720D">
            <w:pPr>
              <w:pStyle w:val="ListParagraph"/>
              <w:ind w:left="743"/>
              <w:jc w:val="both"/>
              <w:rPr>
                <w:i/>
                <w:sz w:val="12"/>
                <w:szCs w:val="18"/>
              </w:rPr>
            </w:pPr>
          </w:p>
        </w:tc>
      </w:tr>
      <w:tr w:rsidR="00780678" w:rsidRPr="0013526B" w14:paraId="44C94D1D" w14:textId="77777777" w:rsidTr="002108FF">
        <w:tc>
          <w:tcPr>
            <w:tcW w:w="2500" w:type="pct"/>
            <w:tcBorders>
              <w:top w:val="nil"/>
              <w:left w:val="nil"/>
              <w:bottom w:val="nil"/>
              <w:right w:val="nil"/>
            </w:tcBorders>
          </w:tcPr>
          <w:p w14:paraId="63C02AF0" w14:textId="77777777" w:rsidR="00780678" w:rsidRPr="0013526B" w:rsidRDefault="00780678" w:rsidP="00024352">
            <w:pPr>
              <w:pStyle w:val="ListParagraph"/>
              <w:ind w:left="277"/>
              <w:jc w:val="both"/>
              <w:rPr>
                <w:sz w:val="18"/>
                <w:szCs w:val="18"/>
              </w:rPr>
            </w:pPr>
            <w:r w:rsidRPr="0013526B">
              <w:rPr>
                <w:sz w:val="18"/>
                <w:szCs w:val="18"/>
              </w:rPr>
              <w:t>Akun ini terdiri dari:</w:t>
            </w:r>
          </w:p>
        </w:tc>
        <w:tc>
          <w:tcPr>
            <w:tcW w:w="2500" w:type="pct"/>
            <w:tcBorders>
              <w:top w:val="nil"/>
              <w:left w:val="nil"/>
              <w:bottom w:val="nil"/>
              <w:right w:val="nil"/>
            </w:tcBorders>
          </w:tcPr>
          <w:p w14:paraId="5E3C27A2" w14:textId="77777777" w:rsidR="00780678" w:rsidRPr="0013526B" w:rsidRDefault="00780678" w:rsidP="006A720D">
            <w:pPr>
              <w:pStyle w:val="ListParagraph"/>
              <w:tabs>
                <w:tab w:val="right" w:pos="9340"/>
                <w:tab w:val="right" w:pos="10080"/>
              </w:tabs>
              <w:ind w:left="284"/>
              <w:jc w:val="both"/>
              <w:rPr>
                <w:i/>
                <w:sz w:val="18"/>
                <w:szCs w:val="18"/>
              </w:rPr>
            </w:pPr>
            <w:r w:rsidRPr="0013526B">
              <w:rPr>
                <w:i/>
                <w:sz w:val="18"/>
                <w:szCs w:val="18"/>
              </w:rPr>
              <w:t>This account consists of:</w:t>
            </w:r>
          </w:p>
        </w:tc>
      </w:tr>
    </w:tbl>
    <w:p w14:paraId="0745AF61" w14:textId="120B83C6" w:rsidR="00083896" w:rsidRPr="00780678" w:rsidRDefault="00083896" w:rsidP="00780678">
      <w:pPr>
        <w:rPr>
          <w:sz w:val="12"/>
          <w:szCs w:val="18"/>
        </w:rPr>
      </w:pPr>
    </w:p>
    <w:tbl>
      <w:tblPr>
        <w:tblW w:w="9264" w:type="dxa"/>
        <w:tblInd w:w="378" w:type="dxa"/>
        <w:tblCellMar>
          <w:left w:w="0" w:type="dxa"/>
          <w:right w:w="0" w:type="dxa"/>
        </w:tblCellMar>
        <w:tblLook w:val="04A0" w:firstRow="1" w:lastRow="0" w:firstColumn="1" w:lastColumn="0" w:noHBand="0" w:noVBand="1"/>
      </w:tblPr>
      <w:tblGrid>
        <w:gridCol w:w="2885"/>
        <w:gridCol w:w="1694"/>
        <w:gridCol w:w="94"/>
        <w:gridCol w:w="1694"/>
        <w:gridCol w:w="2897"/>
      </w:tblGrid>
      <w:tr w:rsidR="002C6EE3" w:rsidRPr="0013526B" w14:paraId="559C8A9F" w14:textId="77777777" w:rsidTr="002108FF">
        <w:tc>
          <w:tcPr>
            <w:tcW w:w="2885" w:type="dxa"/>
            <w:shd w:val="clear" w:color="auto" w:fill="auto"/>
          </w:tcPr>
          <w:p w14:paraId="1765E12D" w14:textId="77777777" w:rsidR="002C6EE3" w:rsidRPr="0013526B" w:rsidRDefault="002C6EE3" w:rsidP="002C6EE3">
            <w:pPr>
              <w:ind w:left="175"/>
              <w:jc w:val="both"/>
              <w:rPr>
                <w:sz w:val="18"/>
                <w:szCs w:val="18"/>
              </w:rPr>
            </w:pPr>
          </w:p>
        </w:tc>
        <w:tc>
          <w:tcPr>
            <w:tcW w:w="1694" w:type="dxa"/>
            <w:tcBorders>
              <w:bottom w:val="single" w:sz="4" w:space="0" w:color="auto"/>
            </w:tcBorders>
            <w:shd w:val="clear" w:color="auto" w:fill="auto"/>
          </w:tcPr>
          <w:p w14:paraId="7D538E7D" w14:textId="77777777" w:rsidR="002C6EE3" w:rsidRDefault="002C6EE3" w:rsidP="002C6EE3">
            <w:pPr>
              <w:jc w:val="center"/>
              <w:rPr>
                <w:b/>
                <w:sz w:val="18"/>
                <w:szCs w:val="18"/>
              </w:rPr>
            </w:pPr>
            <w:r>
              <w:rPr>
                <w:b/>
                <w:sz w:val="18"/>
                <w:szCs w:val="18"/>
              </w:rPr>
              <w:t>31 Maret/</w:t>
            </w:r>
          </w:p>
          <w:p w14:paraId="3A7C3305" w14:textId="523C6719" w:rsidR="002C6EE3" w:rsidRPr="00780678" w:rsidRDefault="002C6EE3" w:rsidP="002C6EE3">
            <w:pPr>
              <w:jc w:val="center"/>
              <w:rPr>
                <w:b/>
                <w:sz w:val="18"/>
                <w:szCs w:val="18"/>
              </w:rPr>
            </w:pPr>
            <w:r>
              <w:rPr>
                <w:b/>
                <w:sz w:val="18"/>
                <w:szCs w:val="18"/>
              </w:rPr>
              <w:t>March 31</w:t>
            </w:r>
            <w:r w:rsidR="00305CA0">
              <w:rPr>
                <w:b/>
                <w:sz w:val="18"/>
                <w:szCs w:val="18"/>
              </w:rPr>
              <w:t>.</w:t>
            </w:r>
            <w:r>
              <w:rPr>
                <w:b/>
                <w:sz w:val="18"/>
                <w:szCs w:val="18"/>
              </w:rPr>
              <w:t xml:space="preserve"> 2020</w:t>
            </w:r>
          </w:p>
        </w:tc>
        <w:tc>
          <w:tcPr>
            <w:tcW w:w="94" w:type="dxa"/>
            <w:shd w:val="clear" w:color="auto" w:fill="auto"/>
          </w:tcPr>
          <w:p w14:paraId="49BE1F15" w14:textId="77777777" w:rsidR="002C6EE3" w:rsidRPr="0013526B" w:rsidRDefault="002C6EE3" w:rsidP="002C6EE3">
            <w:pPr>
              <w:jc w:val="center"/>
              <w:rPr>
                <w:b/>
                <w:sz w:val="18"/>
                <w:szCs w:val="18"/>
              </w:rPr>
            </w:pPr>
          </w:p>
        </w:tc>
        <w:tc>
          <w:tcPr>
            <w:tcW w:w="1694" w:type="dxa"/>
            <w:tcBorders>
              <w:bottom w:val="single" w:sz="4" w:space="0" w:color="auto"/>
            </w:tcBorders>
          </w:tcPr>
          <w:p w14:paraId="20759069" w14:textId="77777777" w:rsidR="002C6EE3" w:rsidRDefault="002C6EE3" w:rsidP="002C6EE3">
            <w:pPr>
              <w:jc w:val="center"/>
              <w:rPr>
                <w:b/>
                <w:sz w:val="18"/>
                <w:szCs w:val="18"/>
              </w:rPr>
            </w:pPr>
            <w:r>
              <w:rPr>
                <w:b/>
                <w:sz w:val="18"/>
                <w:szCs w:val="18"/>
              </w:rPr>
              <w:t xml:space="preserve">31 Maret/ </w:t>
            </w:r>
          </w:p>
          <w:p w14:paraId="1DBB416C" w14:textId="69A3E1E1" w:rsidR="002C6EE3" w:rsidRPr="0013526B" w:rsidRDefault="002C6EE3" w:rsidP="002C6EE3">
            <w:pPr>
              <w:jc w:val="center"/>
              <w:rPr>
                <w:b/>
                <w:sz w:val="18"/>
                <w:szCs w:val="18"/>
              </w:rPr>
            </w:pPr>
            <w:r>
              <w:rPr>
                <w:b/>
                <w:sz w:val="18"/>
                <w:szCs w:val="18"/>
              </w:rPr>
              <w:t>March 31</w:t>
            </w:r>
            <w:r w:rsidR="00305CA0">
              <w:rPr>
                <w:b/>
                <w:sz w:val="18"/>
                <w:szCs w:val="18"/>
              </w:rPr>
              <w:t>.</w:t>
            </w:r>
            <w:r>
              <w:rPr>
                <w:b/>
                <w:sz w:val="18"/>
                <w:szCs w:val="18"/>
              </w:rPr>
              <w:t xml:space="preserve"> 2019 </w:t>
            </w:r>
          </w:p>
        </w:tc>
        <w:tc>
          <w:tcPr>
            <w:tcW w:w="2897" w:type="dxa"/>
            <w:shd w:val="clear" w:color="auto" w:fill="auto"/>
          </w:tcPr>
          <w:p w14:paraId="33C98914" w14:textId="77777777" w:rsidR="002C6EE3" w:rsidRPr="0013526B" w:rsidRDefault="002C6EE3" w:rsidP="002C6EE3">
            <w:pPr>
              <w:jc w:val="both"/>
              <w:rPr>
                <w:sz w:val="18"/>
                <w:szCs w:val="18"/>
              </w:rPr>
            </w:pPr>
          </w:p>
        </w:tc>
      </w:tr>
      <w:tr w:rsidR="00842EF9" w:rsidRPr="00640098" w14:paraId="72D490EC" w14:textId="77777777" w:rsidTr="002108FF">
        <w:tc>
          <w:tcPr>
            <w:tcW w:w="2885" w:type="dxa"/>
            <w:shd w:val="clear" w:color="auto" w:fill="auto"/>
          </w:tcPr>
          <w:p w14:paraId="717EE51A" w14:textId="77777777" w:rsidR="00842EF9" w:rsidRPr="00640098" w:rsidRDefault="00842EF9" w:rsidP="0013526B">
            <w:pPr>
              <w:jc w:val="both"/>
              <w:rPr>
                <w:sz w:val="12"/>
                <w:szCs w:val="18"/>
              </w:rPr>
            </w:pPr>
          </w:p>
        </w:tc>
        <w:tc>
          <w:tcPr>
            <w:tcW w:w="1694" w:type="dxa"/>
            <w:tcBorders>
              <w:top w:val="single" w:sz="4" w:space="0" w:color="auto"/>
            </w:tcBorders>
            <w:shd w:val="clear" w:color="auto" w:fill="auto"/>
            <w:vAlign w:val="bottom"/>
          </w:tcPr>
          <w:p w14:paraId="2C281381" w14:textId="77777777" w:rsidR="00842EF9" w:rsidRPr="00640098" w:rsidRDefault="00842EF9" w:rsidP="0013526B">
            <w:pPr>
              <w:jc w:val="right"/>
              <w:rPr>
                <w:sz w:val="12"/>
                <w:szCs w:val="18"/>
                <w:lang w:val="id-ID"/>
              </w:rPr>
            </w:pPr>
          </w:p>
        </w:tc>
        <w:tc>
          <w:tcPr>
            <w:tcW w:w="94" w:type="dxa"/>
            <w:shd w:val="clear" w:color="auto" w:fill="auto"/>
            <w:vAlign w:val="bottom"/>
          </w:tcPr>
          <w:p w14:paraId="1880F57C" w14:textId="77777777" w:rsidR="00842EF9" w:rsidRPr="00640098" w:rsidRDefault="00842EF9" w:rsidP="0013526B">
            <w:pPr>
              <w:jc w:val="right"/>
              <w:rPr>
                <w:sz w:val="12"/>
                <w:szCs w:val="18"/>
              </w:rPr>
            </w:pPr>
          </w:p>
        </w:tc>
        <w:tc>
          <w:tcPr>
            <w:tcW w:w="1694" w:type="dxa"/>
            <w:tcBorders>
              <w:top w:val="single" w:sz="4" w:space="0" w:color="auto"/>
            </w:tcBorders>
            <w:vAlign w:val="bottom"/>
          </w:tcPr>
          <w:p w14:paraId="265663AD" w14:textId="77777777" w:rsidR="00842EF9" w:rsidRPr="00640098" w:rsidRDefault="00842EF9" w:rsidP="0013526B">
            <w:pPr>
              <w:jc w:val="right"/>
              <w:rPr>
                <w:sz w:val="12"/>
                <w:szCs w:val="18"/>
              </w:rPr>
            </w:pPr>
          </w:p>
        </w:tc>
        <w:tc>
          <w:tcPr>
            <w:tcW w:w="2897" w:type="dxa"/>
            <w:shd w:val="clear" w:color="auto" w:fill="auto"/>
          </w:tcPr>
          <w:p w14:paraId="5B3A9E37" w14:textId="77777777" w:rsidR="00842EF9" w:rsidRPr="00640098" w:rsidRDefault="00842EF9" w:rsidP="0013526B">
            <w:pPr>
              <w:jc w:val="both"/>
              <w:rPr>
                <w:sz w:val="12"/>
                <w:szCs w:val="18"/>
              </w:rPr>
            </w:pPr>
          </w:p>
        </w:tc>
      </w:tr>
      <w:tr w:rsidR="00780678" w:rsidRPr="0013526B" w14:paraId="5F371061" w14:textId="77777777" w:rsidTr="002108FF">
        <w:tc>
          <w:tcPr>
            <w:tcW w:w="2885" w:type="dxa"/>
            <w:shd w:val="clear" w:color="auto" w:fill="auto"/>
          </w:tcPr>
          <w:p w14:paraId="5FC8B1FB" w14:textId="49BE5DE7" w:rsidR="00780678" w:rsidRPr="00780678" w:rsidRDefault="00780678" w:rsidP="00024352">
            <w:pPr>
              <w:ind w:left="390"/>
              <w:jc w:val="both"/>
              <w:rPr>
                <w:sz w:val="18"/>
                <w:szCs w:val="18"/>
              </w:rPr>
            </w:pPr>
            <w:r w:rsidRPr="00780678">
              <w:rPr>
                <w:sz w:val="18"/>
                <w:szCs w:val="18"/>
              </w:rPr>
              <w:t>Jasa dokter</w:t>
            </w:r>
          </w:p>
        </w:tc>
        <w:tc>
          <w:tcPr>
            <w:tcW w:w="1694" w:type="dxa"/>
            <w:shd w:val="clear" w:color="auto" w:fill="auto"/>
            <w:vAlign w:val="bottom"/>
          </w:tcPr>
          <w:p w14:paraId="3160DAF4" w14:textId="4C734DEC" w:rsidR="00780678" w:rsidRPr="00A102B5" w:rsidRDefault="00CB2C31" w:rsidP="002C6EE3">
            <w:pPr>
              <w:ind w:right="57"/>
              <w:jc w:val="right"/>
              <w:rPr>
                <w:sz w:val="18"/>
                <w:szCs w:val="18"/>
              </w:rPr>
            </w:pPr>
            <w:r w:rsidRPr="00CB2C31">
              <w:rPr>
                <w:sz w:val="18"/>
                <w:szCs w:val="18"/>
              </w:rPr>
              <w:t>73</w:t>
            </w:r>
            <w:r w:rsidR="002C6EE3">
              <w:rPr>
                <w:sz w:val="18"/>
                <w:szCs w:val="18"/>
              </w:rPr>
              <w:t>.</w:t>
            </w:r>
            <w:r w:rsidRPr="00CB2C31">
              <w:rPr>
                <w:sz w:val="18"/>
                <w:szCs w:val="18"/>
              </w:rPr>
              <w:t>108</w:t>
            </w:r>
            <w:r w:rsidR="002C6EE3">
              <w:rPr>
                <w:sz w:val="18"/>
                <w:szCs w:val="18"/>
              </w:rPr>
              <w:t>.</w:t>
            </w:r>
            <w:r w:rsidRPr="00CB2C31">
              <w:rPr>
                <w:sz w:val="18"/>
                <w:szCs w:val="18"/>
              </w:rPr>
              <w:t>365</w:t>
            </w:r>
            <w:r w:rsidR="002C6EE3">
              <w:rPr>
                <w:sz w:val="18"/>
                <w:szCs w:val="18"/>
              </w:rPr>
              <w:t>.</w:t>
            </w:r>
            <w:r w:rsidRPr="00CB2C31">
              <w:rPr>
                <w:sz w:val="18"/>
                <w:szCs w:val="18"/>
              </w:rPr>
              <w:t>846</w:t>
            </w:r>
          </w:p>
        </w:tc>
        <w:tc>
          <w:tcPr>
            <w:tcW w:w="94" w:type="dxa"/>
            <w:shd w:val="clear" w:color="auto" w:fill="auto"/>
            <w:vAlign w:val="bottom"/>
          </w:tcPr>
          <w:p w14:paraId="6BBC8447" w14:textId="77777777" w:rsidR="00780678" w:rsidRPr="00780678" w:rsidRDefault="00780678" w:rsidP="0013526B">
            <w:pPr>
              <w:jc w:val="right"/>
              <w:rPr>
                <w:sz w:val="18"/>
                <w:szCs w:val="18"/>
              </w:rPr>
            </w:pPr>
          </w:p>
        </w:tc>
        <w:tc>
          <w:tcPr>
            <w:tcW w:w="1694" w:type="dxa"/>
          </w:tcPr>
          <w:p w14:paraId="3A2B7621" w14:textId="47021F59" w:rsidR="00780678" w:rsidRPr="00780678" w:rsidRDefault="00CB2C31" w:rsidP="002C6EE3">
            <w:pPr>
              <w:ind w:right="57"/>
              <w:jc w:val="right"/>
              <w:rPr>
                <w:sz w:val="18"/>
                <w:szCs w:val="18"/>
                <w:lang w:val="id-ID"/>
              </w:rPr>
            </w:pPr>
            <w:r w:rsidRPr="00CB2C31">
              <w:rPr>
                <w:sz w:val="18"/>
                <w:szCs w:val="18"/>
                <w:lang w:val="id-ID"/>
              </w:rPr>
              <w:t>67</w:t>
            </w:r>
            <w:r w:rsidR="002C6EE3">
              <w:rPr>
                <w:sz w:val="18"/>
                <w:szCs w:val="18"/>
              </w:rPr>
              <w:t>.</w:t>
            </w:r>
            <w:r w:rsidRPr="00CB2C31">
              <w:rPr>
                <w:sz w:val="18"/>
                <w:szCs w:val="18"/>
                <w:lang w:val="id-ID"/>
              </w:rPr>
              <w:t>384</w:t>
            </w:r>
            <w:r w:rsidR="002C6EE3">
              <w:rPr>
                <w:sz w:val="18"/>
                <w:szCs w:val="18"/>
              </w:rPr>
              <w:t>.</w:t>
            </w:r>
            <w:r w:rsidRPr="00CB2C31">
              <w:rPr>
                <w:sz w:val="18"/>
                <w:szCs w:val="18"/>
                <w:lang w:val="id-ID"/>
              </w:rPr>
              <w:t>218</w:t>
            </w:r>
            <w:r w:rsidR="002C6EE3">
              <w:rPr>
                <w:sz w:val="18"/>
                <w:szCs w:val="18"/>
              </w:rPr>
              <w:t>.</w:t>
            </w:r>
            <w:r w:rsidRPr="00CB2C31">
              <w:rPr>
                <w:sz w:val="18"/>
                <w:szCs w:val="18"/>
                <w:lang w:val="id-ID"/>
              </w:rPr>
              <w:t>935</w:t>
            </w:r>
          </w:p>
        </w:tc>
        <w:tc>
          <w:tcPr>
            <w:tcW w:w="2897" w:type="dxa"/>
            <w:shd w:val="clear" w:color="auto" w:fill="auto"/>
          </w:tcPr>
          <w:p w14:paraId="305F9DD7" w14:textId="7E5E7E99" w:rsidR="00780678" w:rsidRPr="00780678" w:rsidRDefault="00780678" w:rsidP="0013526B">
            <w:pPr>
              <w:ind w:right="57"/>
              <w:jc w:val="right"/>
              <w:rPr>
                <w:i/>
                <w:sz w:val="18"/>
                <w:szCs w:val="18"/>
              </w:rPr>
            </w:pPr>
            <w:r w:rsidRPr="00780678">
              <w:rPr>
                <w:i/>
                <w:sz w:val="18"/>
                <w:szCs w:val="18"/>
              </w:rPr>
              <w:t>Doctor services</w:t>
            </w:r>
          </w:p>
        </w:tc>
      </w:tr>
      <w:tr w:rsidR="00026751" w:rsidRPr="0013526B" w14:paraId="1CAA481C" w14:textId="77777777" w:rsidTr="00026751">
        <w:tc>
          <w:tcPr>
            <w:tcW w:w="2885" w:type="dxa"/>
            <w:shd w:val="clear" w:color="auto" w:fill="auto"/>
          </w:tcPr>
          <w:p w14:paraId="5C3A9B41" w14:textId="77777777" w:rsidR="00026751" w:rsidRPr="00780678" w:rsidRDefault="00026751" w:rsidP="00026751">
            <w:pPr>
              <w:ind w:left="390"/>
              <w:jc w:val="both"/>
              <w:rPr>
                <w:sz w:val="18"/>
                <w:szCs w:val="18"/>
              </w:rPr>
            </w:pPr>
            <w:r w:rsidRPr="00780678">
              <w:rPr>
                <w:sz w:val="18"/>
                <w:szCs w:val="18"/>
              </w:rPr>
              <w:t>Obat-obatan</w:t>
            </w:r>
          </w:p>
        </w:tc>
        <w:tc>
          <w:tcPr>
            <w:tcW w:w="1694" w:type="dxa"/>
            <w:shd w:val="clear" w:color="auto" w:fill="auto"/>
            <w:vAlign w:val="bottom"/>
          </w:tcPr>
          <w:p w14:paraId="4F62E660" w14:textId="77777777" w:rsidR="00026751" w:rsidRPr="00A102B5" w:rsidRDefault="00026751" w:rsidP="00026751">
            <w:pPr>
              <w:ind w:right="57"/>
              <w:jc w:val="right"/>
              <w:rPr>
                <w:sz w:val="18"/>
                <w:szCs w:val="18"/>
              </w:rPr>
            </w:pPr>
            <w:r w:rsidRPr="00CB2C31">
              <w:rPr>
                <w:sz w:val="18"/>
                <w:szCs w:val="18"/>
              </w:rPr>
              <w:t>37</w:t>
            </w:r>
            <w:r>
              <w:rPr>
                <w:sz w:val="18"/>
                <w:szCs w:val="18"/>
              </w:rPr>
              <w:t>.</w:t>
            </w:r>
            <w:r w:rsidRPr="00CB2C31">
              <w:rPr>
                <w:sz w:val="18"/>
                <w:szCs w:val="18"/>
              </w:rPr>
              <w:t>622</w:t>
            </w:r>
            <w:r>
              <w:rPr>
                <w:sz w:val="18"/>
                <w:szCs w:val="18"/>
              </w:rPr>
              <w:t>.</w:t>
            </w:r>
            <w:r w:rsidRPr="00CB2C31">
              <w:rPr>
                <w:sz w:val="18"/>
                <w:szCs w:val="18"/>
              </w:rPr>
              <w:t>468</w:t>
            </w:r>
            <w:r>
              <w:rPr>
                <w:sz w:val="18"/>
                <w:szCs w:val="18"/>
              </w:rPr>
              <w:t>.</w:t>
            </w:r>
            <w:r w:rsidRPr="00CB2C31">
              <w:rPr>
                <w:sz w:val="18"/>
                <w:szCs w:val="18"/>
              </w:rPr>
              <w:t>809</w:t>
            </w:r>
          </w:p>
        </w:tc>
        <w:tc>
          <w:tcPr>
            <w:tcW w:w="94" w:type="dxa"/>
            <w:shd w:val="clear" w:color="auto" w:fill="auto"/>
            <w:vAlign w:val="bottom"/>
          </w:tcPr>
          <w:p w14:paraId="202CE1F2" w14:textId="77777777" w:rsidR="00026751" w:rsidRPr="00780678" w:rsidRDefault="00026751" w:rsidP="00026751">
            <w:pPr>
              <w:jc w:val="right"/>
              <w:rPr>
                <w:sz w:val="18"/>
                <w:szCs w:val="18"/>
              </w:rPr>
            </w:pPr>
          </w:p>
        </w:tc>
        <w:tc>
          <w:tcPr>
            <w:tcW w:w="1694" w:type="dxa"/>
          </w:tcPr>
          <w:p w14:paraId="74E4B80F" w14:textId="77777777" w:rsidR="00026751" w:rsidRPr="00780678" w:rsidRDefault="00026751" w:rsidP="00026751">
            <w:pPr>
              <w:ind w:right="57"/>
              <w:jc w:val="right"/>
              <w:rPr>
                <w:sz w:val="18"/>
                <w:szCs w:val="18"/>
                <w:lang w:val="id-ID"/>
              </w:rPr>
            </w:pPr>
            <w:r w:rsidRPr="009A71DD">
              <w:rPr>
                <w:sz w:val="18"/>
                <w:szCs w:val="18"/>
                <w:lang w:val="id-ID"/>
              </w:rPr>
              <w:t>42</w:t>
            </w:r>
            <w:r>
              <w:rPr>
                <w:sz w:val="18"/>
                <w:szCs w:val="18"/>
              </w:rPr>
              <w:t>.</w:t>
            </w:r>
            <w:r w:rsidRPr="009A71DD">
              <w:rPr>
                <w:sz w:val="18"/>
                <w:szCs w:val="18"/>
                <w:lang w:val="id-ID"/>
              </w:rPr>
              <w:t>204</w:t>
            </w:r>
            <w:r>
              <w:rPr>
                <w:sz w:val="18"/>
                <w:szCs w:val="18"/>
              </w:rPr>
              <w:t>.</w:t>
            </w:r>
            <w:r w:rsidRPr="009A71DD">
              <w:rPr>
                <w:sz w:val="18"/>
                <w:szCs w:val="18"/>
                <w:lang w:val="id-ID"/>
              </w:rPr>
              <w:t>989</w:t>
            </w:r>
            <w:r>
              <w:rPr>
                <w:sz w:val="18"/>
                <w:szCs w:val="18"/>
              </w:rPr>
              <w:t>.</w:t>
            </w:r>
            <w:r w:rsidRPr="009A71DD">
              <w:rPr>
                <w:sz w:val="18"/>
                <w:szCs w:val="18"/>
                <w:lang w:val="id-ID"/>
              </w:rPr>
              <w:t>328</w:t>
            </w:r>
          </w:p>
        </w:tc>
        <w:tc>
          <w:tcPr>
            <w:tcW w:w="2897" w:type="dxa"/>
            <w:shd w:val="clear" w:color="auto" w:fill="auto"/>
          </w:tcPr>
          <w:p w14:paraId="05760BAB" w14:textId="77777777" w:rsidR="00026751" w:rsidRPr="00780678" w:rsidRDefault="00026751" w:rsidP="00026751">
            <w:pPr>
              <w:ind w:right="57"/>
              <w:jc w:val="right"/>
              <w:rPr>
                <w:i/>
                <w:sz w:val="18"/>
                <w:szCs w:val="18"/>
              </w:rPr>
            </w:pPr>
            <w:r w:rsidRPr="00780678">
              <w:rPr>
                <w:i/>
                <w:sz w:val="18"/>
                <w:szCs w:val="18"/>
              </w:rPr>
              <w:t>Medicines</w:t>
            </w:r>
          </w:p>
        </w:tc>
      </w:tr>
      <w:tr w:rsidR="004444FA" w:rsidRPr="0013526B" w14:paraId="5D9D8E01" w14:textId="77777777" w:rsidTr="002108FF">
        <w:trPr>
          <w:trHeight w:val="124"/>
        </w:trPr>
        <w:tc>
          <w:tcPr>
            <w:tcW w:w="2885" w:type="dxa"/>
            <w:shd w:val="clear" w:color="auto" w:fill="auto"/>
          </w:tcPr>
          <w:p w14:paraId="4E90C157" w14:textId="77777777" w:rsidR="004444FA" w:rsidRPr="00780678" w:rsidRDefault="004444FA" w:rsidP="00024352">
            <w:pPr>
              <w:ind w:left="390"/>
              <w:jc w:val="both"/>
              <w:rPr>
                <w:sz w:val="18"/>
                <w:szCs w:val="18"/>
              </w:rPr>
            </w:pPr>
            <w:r w:rsidRPr="00780678">
              <w:rPr>
                <w:sz w:val="18"/>
                <w:szCs w:val="18"/>
              </w:rPr>
              <w:t>Beban pasien rawat inap</w:t>
            </w:r>
          </w:p>
        </w:tc>
        <w:tc>
          <w:tcPr>
            <w:tcW w:w="1694" w:type="dxa"/>
            <w:shd w:val="clear" w:color="auto" w:fill="auto"/>
            <w:vAlign w:val="bottom"/>
          </w:tcPr>
          <w:p w14:paraId="225603BE" w14:textId="5F915BC3" w:rsidR="004444FA" w:rsidRPr="00780678" w:rsidRDefault="00CB2C31" w:rsidP="002C6EE3">
            <w:pPr>
              <w:ind w:right="57"/>
              <w:jc w:val="right"/>
              <w:rPr>
                <w:sz w:val="18"/>
                <w:szCs w:val="18"/>
              </w:rPr>
            </w:pPr>
            <w:r w:rsidRPr="00CB2C31">
              <w:rPr>
                <w:sz w:val="18"/>
                <w:szCs w:val="18"/>
              </w:rPr>
              <w:t>18</w:t>
            </w:r>
            <w:r w:rsidR="002C6EE3">
              <w:rPr>
                <w:sz w:val="18"/>
                <w:szCs w:val="18"/>
              </w:rPr>
              <w:t>.</w:t>
            </w:r>
            <w:r w:rsidRPr="00CB2C31">
              <w:rPr>
                <w:sz w:val="18"/>
                <w:szCs w:val="18"/>
              </w:rPr>
              <w:t>444</w:t>
            </w:r>
            <w:r w:rsidR="002C6EE3">
              <w:rPr>
                <w:sz w:val="18"/>
                <w:szCs w:val="18"/>
              </w:rPr>
              <w:t>.</w:t>
            </w:r>
            <w:r w:rsidRPr="00CB2C31">
              <w:rPr>
                <w:sz w:val="18"/>
                <w:szCs w:val="18"/>
              </w:rPr>
              <w:t>333</w:t>
            </w:r>
            <w:r w:rsidR="002C6EE3">
              <w:rPr>
                <w:sz w:val="18"/>
                <w:szCs w:val="18"/>
              </w:rPr>
              <w:t>.</w:t>
            </w:r>
            <w:r w:rsidRPr="00CB2C31">
              <w:rPr>
                <w:sz w:val="18"/>
                <w:szCs w:val="18"/>
              </w:rPr>
              <w:t>219</w:t>
            </w:r>
          </w:p>
        </w:tc>
        <w:tc>
          <w:tcPr>
            <w:tcW w:w="94" w:type="dxa"/>
            <w:shd w:val="clear" w:color="auto" w:fill="auto"/>
            <w:vAlign w:val="bottom"/>
          </w:tcPr>
          <w:p w14:paraId="58DA6165" w14:textId="77777777" w:rsidR="004444FA" w:rsidRPr="00780678" w:rsidRDefault="004444FA" w:rsidP="0013526B">
            <w:pPr>
              <w:jc w:val="right"/>
              <w:rPr>
                <w:sz w:val="18"/>
                <w:szCs w:val="18"/>
              </w:rPr>
            </w:pPr>
          </w:p>
        </w:tc>
        <w:tc>
          <w:tcPr>
            <w:tcW w:w="1694" w:type="dxa"/>
          </w:tcPr>
          <w:p w14:paraId="4CD74392" w14:textId="18E406E6" w:rsidR="004444FA" w:rsidRPr="00780678" w:rsidRDefault="009A71DD" w:rsidP="002C6EE3">
            <w:pPr>
              <w:ind w:right="57"/>
              <w:jc w:val="right"/>
              <w:rPr>
                <w:sz w:val="18"/>
                <w:szCs w:val="18"/>
              </w:rPr>
            </w:pPr>
            <w:r w:rsidRPr="009A71DD">
              <w:rPr>
                <w:sz w:val="18"/>
                <w:szCs w:val="18"/>
              </w:rPr>
              <w:t>16</w:t>
            </w:r>
            <w:r w:rsidR="002C6EE3">
              <w:rPr>
                <w:sz w:val="18"/>
                <w:szCs w:val="18"/>
              </w:rPr>
              <w:t>.</w:t>
            </w:r>
            <w:r w:rsidRPr="009A71DD">
              <w:rPr>
                <w:sz w:val="18"/>
                <w:szCs w:val="18"/>
              </w:rPr>
              <w:t>736</w:t>
            </w:r>
            <w:r w:rsidR="002C6EE3">
              <w:rPr>
                <w:sz w:val="18"/>
                <w:szCs w:val="18"/>
              </w:rPr>
              <w:t>.</w:t>
            </w:r>
            <w:r w:rsidRPr="009A71DD">
              <w:rPr>
                <w:sz w:val="18"/>
                <w:szCs w:val="18"/>
              </w:rPr>
              <w:t>076</w:t>
            </w:r>
            <w:r w:rsidR="002C6EE3">
              <w:rPr>
                <w:sz w:val="18"/>
                <w:szCs w:val="18"/>
              </w:rPr>
              <w:t>.</w:t>
            </w:r>
            <w:r w:rsidRPr="009A71DD">
              <w:rPr>
                <w:sz w:val="18"/>
                <w:szCs w:val="18"/>
              </w:rPr>
              <w:t>429</w:t>
            </w:r>
          </w:p>
        </w:tc>
        <w:tc>
          <w:tcPr>
            <w:tcW w:w="2897" w:type="dxa"/>
            <w:shd w:val="clear" w:color="auto" w:fill="auto"/>
          </w:tcPr>
          <w:p w14:paraId="794816BF" w14:textId="77777777" w:rsidR="004444FA" w:rsidRPr="00780678" w:rsidRDefault="004444FA" w:rsidP="0013526B">
            <w:pPr>
              <w:ind w:right="57"/>
              <w:jc w:val="right"/>
              <w:rPr>
                <w:i/>
                <w:sz w:val="18"/>
                <w:szCs w:val="18"/>
              </w:rPr>
            </w:pPr>
            <w:r w:rsidRPr="00780678">
              <w:rPr>
                <w:i/>
                <w:sz w:val="18"/>
                <w:szCs w:val="18"/>
              </w:rPr>
              <w:t>Inpatient expenses</w:t>
            </w:r>
          </w:p>
        </w:tc>
      </w:tr>
      <w:tr w:rsidR="00725467" w:rsidRPr="0013526B" w14:paraId="0A05D219" w14:textId="77777777" w:rsidTr="002108FF">
        <w:trPr>
          <w:trHeight w:val="204"/>
        </w:trPr>
        <w:tc>
          <w:tcPr>
            <w:tcW w:w="2885" w:type="dxa"/>
            <w:shd w:val="clear" w:color="auto" w:fill="auto"/>
          </w:tcPr>
          <w:p w14:paraId="4D3B43E2" w14:textId="77777777" w:rsidR="00725467" w:rsidRPr="00780678" w:rsidRDefault="00725467" w:rsidP="00024352">
            <w:pPr>
              <w:ind w:left="390"/>
              <w:jc w:val="both"/>
              <w:rPr>
                <w:sz w:val="18"/>
                <w:szCs w:val="18"/>
              </w:rPr>
            </w:pPr>
            <w:r w:rsidRPr="00780678">
              <w:rPr>
                <w:sz w:val="18"/>
                <w:szCs w:val="18"/>
              </w:rPr>
              <w:t>Gaji dan tunjangan</w:t>
            </w:r>
          </w:p>
        </w:tc>
        <w:tc>
          <w:tcPr>
            <w:tcW w:w="1694" w:type="dxa"/>
            <w:shd w:val="clear" w:color="auto" w:fill="auto"/>
            <w:vAlign w:val="bottom"/>
          </w:tcPr>
          <w:p w14:paraId="75A80A71" w14:textId="5DC5E1F8" w:rsidR="00725467" w:rsidRPr="00A102B5" w:rsidRDefault="00CB2C31" w:rsidP="002C6EE3">
            <w:pPr>
              <w:ind w:right="57"/>
              <w:jc w:val="right"/>
              <w:rPr>
                <w:sz w:val="18"/>
                <w:szCs w:val="18"/>
              </w:rPr>
            </w:pPr>
            <w:r w:rsidRPr="00CB2C31">
              <w:rPr>
                <w:sz w:val="18"/>
                <w:szCs w:val="18"/>
              </w:rPr>
              <w:t>18</w:t>
            </w:r>
            <w:r w:rsidR="002C6EE3">
              <w:rPr>
                <w:sz w:val="18"/>
                <w:szCs w:val="18"/>
              </w:rPr>
              <w:t>.</w:t>
            </w:r>
            <w:r w:rsidRPr="00CB2C31">
              <w:rPr>
                <w:sz w:val="18"/>
                <w:szCs w:val="18"/>
              </w:rPr>
              <w:t>008</w:t>
            </w:r>
            <w:r w:rsidR="002C6EE3">
              <w:rPr>
                <w:sz w:val="18"/>
                <w:szCs w:val="18"/>
              </w:rPr>
              <w:t>.</w:t>
            </w:r>
            <w:r w:rsidRPr="00CB2C31">
              <w:rPr>
                <w:sz w:val="18"/>
                <w:szCs w:val="18"/>
              </w:rPr>
              <w:t>057</w:t>
            </w:r>
            <w:r w:rsidR="002C6EE3">
              <w:rPr>
                <w:sz w:val="18"/>
                <w:szCs w:val="18"/>
              </w:rPr>
              <w:t>.</w:t>
            </w:r>
            <w:r w:rsidRPr="00CB2C31">
              <w:rPr>
                <w:sz w:val="18"/>
                <w:szCs w:val="18"/>
              </w:rPr>
              <w:t>472</w:t>
            </w:r>
          </w:p>
        </w:tc>
        <w:tc>
          <w:tcPr>
            <w:tcW w:w="94" w:type="dxa"/>
            <w:shd w:val="clear" w:color="auto" w:fill="auto"/>
            <w:vAlign w:val="bottom"/>
          </w:tcPr>
          <w:p w14:paraId="4AA58CFB" w14:textId="77777777" w:rsidR="00725467" w:rsidRPr="00780678" w:rsidRDefault="00725467" w:rsidP="0013526B">
            <w:pPr>
              <w:jc w:val="right"/>
              <w:rPr>
                <w:sz w:val="18"/>
                <w:szCs w:val="18"/>
              </w:rPr>
            </w:pPr>
          </w:p>
        </w:tc>
        <w:tc>
          <w:tcPr>
            <w:tcW w:w="1694" w:type="dxa"/>
          </w:tcPr>
          <w:p w14:paraId="4C1E63CE" w14:textId="1D67A00A" w:rsidR="00725467" w:rsidRPr="00780678" w:rsidRDefault="009A71DD" w:rsidP="002C6EE3">
            <w:pPr>
              <w:ind w:right="57"/>
              <w:jc w:val="right"/>
              <w:rPr>
                <w:sz w:val="18"/>
                <w:szCs w:val="18"/>
                <w:lang w:val="id-ID"/>
              </w:rPr>
            </w:pPr>
            <w:r w:rsidRPr="009A71DD">
              <w:rPr>
                <w:sz w:val="18"/>
                <w:szCs w:val="18"/>
                <w:lang w:val="id-ID"/>
              </w:rPr>
              <w:t>21</w:t>
            </w:r>
            <w:r w:rsidR="002C6EE3">
              <w:rPr>
                <w:sz w:val="18"/>
                <w:szCs w:val="18"/>
              </w:rPr>
              <w:t>.</w:t>
            </w:r>
            <w:r w:rsidRPr="009A71DD">
              <w:rPr>
                <w:sz w:val="18"/>
                <w:szCs w:val="18"/>
                <w:lang w:val="id-ID"/>
              </w:rPr>
              <w:t>428</w:t>
            </w:r>
            <w:r w:rsidR="002C6EE3">
              <w:rPr>
                <w:sz w:val="18"/>
                <w:szCs w:val="18"/>
              </w:rPr>
              <w:t>.</w:t>
            </w:r>
            <w:r w:rsidRPr="009A71DD">
              <w:rPr>
                <w:sz w:val="18"/>
                <w:szCs w:val="18"/>
                <w:lang w:val="id-ID"/>
              </w:rPr>
              <w:t>678</w:t>
            </w:r>
            <w:r w:rsidR="002C6EE3">
              <w:rPr>
                <w:sz w:val="18"/>
                <w:szCs w:val="18"/>
              </w:rPr>
              <w:t>.</w:t>
            </w:r>
            <w:r w:rsidRPr="009A71DD">
              <w:rPr>
                <w:sz w:val="18"/>
                <w:szCs w:val="18"/>
                <w:lang w:val="id-ID"/>
              </w:rPr>
              <w:t>009</w:t>
            </w:r>
          </w:p>
        </w:tc>
        <w:tc>
          <w:tcPr>
            <w:tcW w:w="2897" w:type="dxa"/>
            <w:shd w:val="clear" w:color="auto" w:fill="auto"/>
          </w:tcPr>
          <w:p w14:paraId="44E7C1E2" w14:textId="77777777" w:rsidR="00725467" w:rsidRPr="00780678" w:rsidRDefault="00725467" w:rsidP="0013526B">
            <w:pPr>
              <w:ind w:right="57"/>
              <w:jc w:val="right"/>
              <w:rPr>
                <w:i/>
                <w:sz w:val="18"/>
                <w:szCs w:val="18"/>
              </w:rPr>
            </w:pPr>
            <w:r w:rsidRPr="00780678">
              <w:rPr>
                <w:i/>
                <w:sz w:val="18"/>
                <w:szCs w:val="18"/>
              </w:rPr>
              <w:t>Salary and allowance</w:t>
            </w:r>
          </w:p>
        </w:tc>
      </w:tr>
      <w:tr w:rsidR="004444FA" w:rsidRPr="00640098" w14:paraId="17DB4923" w14:textId="77777777" w:rsidTr="002108FF">
        <w:trPr>
          <w:trHeight w:val="124"/>
        </w:trPr>
        <w:tc>
          <w:tcPr>
            <w:tcW w:w="2885" w:type="dxa"/>
            <w:shd w:val="clear" w:color="auto" w:fill="auto"/>
          </w:tcPr>
          <w:p w14:paraId="1D941B06" w14:textId="77777777" w:rsidR="004444FA" w:rsidRPr="00780678" w:rsidRDefault="004444FA" w:rsidP="00024352">
            <w:pPr>
              <w:ind w:left="390"/>
              <w:rPr>
                <w:sz w:val="18"/>
                <w:szCs w:val="18"/>
              </w:rPr>
            </w:pPr>
            <w:r w:rsidRPr="00780678">
              <w:rPr>
                <w:sz w:val="18"/>
                <w:szCs w:val="18"/>
              </w:rPr>
              <w:t>Poliklinik</w:t>
            </w:r>
          </w:p>
        </w:tc>
        <w:tc>
          <w:tcPr>
            <w:tcW w:w="1694" w:type="dxa"/>
            <w:shd w:val="clear" w:color="auto" w:fill="auto"/>
            <w:vAlign w:val="bottom"/>
          </w:tcPr>
          <w:p w14:paraId="55DD85F4" w14:textId="7B351796" w:rsidR="004444FA" w:rsidRPr="00780678" w:rsidRDefault="00CB2C31" w:rsidP="002C6EE3">
            <w:pPr>
              <w:ind w:right="57"/>
              <w:jc w:val="right"/>
              <w:rPr>
                <w:sz w:val="18"/>
                <w:szCs w:val="18"/>
              </w:rPr>
            </w:pPr>
            <w:r w:rsidRPr="00CB2C31">
              <w:rPr>
                <w:sz w:val="18"/>
                <w:szCs w:val="18"/>
              </w:rPr>
              <w:t>17</w:t>
            </w:r>
            <w:r w:rsidR="002C6EE3">
              <w:rPr>
                <w:sz w:val="18"/>
                <w:szCs w:val="18"/>
              </w:rPr>
              <w:t>.</w:t>
            </w:r>
            <w:r w:rsidRPr="00CB2C31">
              <w:rPr>
                <w:sz w:val="18"/>
                <w:szCs w:val="18"/>
              </w:rPr>
              <w:t>554</w:t>
            </w:r>
            <w:r w:rsidR="002C6EE3">
              <w:rPr>
                <w:sz w:val="18"/>
                <w:szCs w:val="18"/>
              </w:rPr>
              <w:t>.</w:t>
            </w:r>
            <w:r w:rsidRPr="00CB2C31">
              <w:rPr>
                <w:sz w:val="18"/>
                <w:szCs w:val="18"/>
              </w:rPr>
              <w:t>476</w:t>
            </w:r>
            <w:r w:rsidR="002C6EE3">
              <w:rPr>
                <w:sz w:val="18"/>
                <w:szCs w:val="18"/>
              </w:rPr>
              <w:t>.</w:t>
            </w:r>
            <w:r w:rsidRPr="00CB2C31">
              <w:rPr>
                <w:sz w:val="18"/>
                <w:szCs w:val="18"/>
              </w:rPr>
              <w:t>414</w:t>
            </w:r>
          </w:p>
        </w:tc>
        <w:tc>
          <w:tcPr>
            <w:tcW w:w="94" w:type="dxa"/>
            <w:shd w:val="clear" w:color="auto" w:fill="auto"/>
            <w:vAlign w:val="bottom"/>
          </w:tcPr>
          <w:p w14:paraId="2E68B423" w14:textId="77777777" w:rsidR="004444FA" w:rsidRPr="00780678" w:rsidRDefault="004444FA" w:rsidP="0013526B">
            <w:pPr>
              <w:jc w:val="right"/>
              <w:rPr>
                <w:sz w:val="18"/>
                <w:szCs w:val="18"/>
              </w:rPr>
            </w:pPr>
          </w:p>
        </w:tc>
        <w:tc>
          <w:tcPr>
            <w:tcW w:w="1694" w:type="dxa"/>
          </w:tcPr>
          <w:p w14:paraId="01D37C09" w14:textId="1AD1AF47" w:rsidR="004444FA" w:rsidRPr="00780678" w:rsidRDefault="009A71DD" w:rsidP="002C6EE3">
            <w:pPr>
              <w:ind w:right="57"/>
              <w:jc w:val="right"/>
              <w:rPr>
                <w:sz w:val="18"/>
                <w:szCs w:val="18"/>
              </w:rPr>
            </w:pPr>
            <w:r w:rsidRPr="009A71DD">
              <w:rPr>
                <w:sz w:val="18"/>
                <w:szCs w:val="18"/>
              </w:rPr>
              <w:t>10</w:t>
            </w:r>
            <w:r w:rsidR="002C6EE3">
              <w:rPr>
                <w:sz w:val="18"/>
                <w:szCs w:val="18"/>
              </w:rPr>
              <w:t>.</w:t>
            </w:r>
            <w:r w:rsidRPr="009A71DD">
              <w:rPr>
                <w:sz w:val="18"/>
                <w:szCs w:val="18"/>
              </w:rPr>
              <w:t>241</w:t>
            </w:r>
            <w:r w:rsidR="002C6EE3">
              <w:rPr>
                <w:sz w:val="18"/>
                <w:szCs w:val="18"/>
              </w:rPr>
              <w:t>.</w:t>
            </w:r>
            <w:r w:rsidRPr="009A71DD">
              <w:rPr>
                <w:sz w:val="18"/>
                <w:szCs w:val="18"/>
              </w:rPr>
              <w:t>377</w:t>
            </w:r>
            <w:r w:rsidR="002C6EE3">
              <w:rPr>
                <w:sz w:val="18"/>
                <w:szCs w:val="18"/>
              </w:rPr>
              <w:t>.</w:t>
            </w:r>
            <w:r w:rsidRPr="009A71DD">
              <w:rPr>
                <w:sz w:val="18"/>
                <w:szCs w:val="18"/>
              </w:rPr>
              <w:t>931</w:t>
            </w:r>
          </w:p>
        </w:tc>
        <w:tc>
          <w:tcPr>
            <w:tcW w:w="2897" w:type="dxa"/>
            <w:shd w:val="clear" w:color="auto" w:fill="auto"/>
          </w:tcPr>
          <w:p w14:paraId="294A062A" w14:textId="77777777" w:rsidR="004444FA" w:rsidRPr="00780678" w:rsidRDefault="004444FA" w:rsidP="0013526B">
            <w:pPr>
              <w:ind w:right="57"/>
              <w:jc w:val="right"/>
              <w:rPr>
                <w:i/>
                <w:sz w:val="18"/>
                <w:szCs w:val="18"/>
              </w:rPr>
            </w:pPr>
            <w:r w:rsidRPr="00780678">
              <w:rPr>
                <w:i/>
                <w:sz w:val="18"/>
                <w:szCs w:val="18"/>
              </w:rPr>
              <w:t>Polyclinic</w:t>
            </w:r>
          </w:p>
        </w:tc>
      </w:tr>
      <w:tr w:rsidR="00780678" w:rsidRPr="00640098" w14:paraId="502AB32F" w14:textId="77777777" w:rsidTr="002108FF">
        <w:trPr>
          <w:trHeight w:val="128"/>
        </w:trPr>
        <w:tc>
          <w:tcPr>
            <w:tcW w:w="2885" w:type="dxa"/>
            <w:shd w:val="clear" w:color="auto" w:fill="auto"/>
          </w:tcPr>
          <w:p w14:paraId="2AB10864" w14:textId="24D2E1B3" w:rsidR="00780678" w:rsidRPr="00780678" w:rsidRDefault="00780678" w:rsidP="00024352">
            <w:pPr>
              <w:ind w:left="390"/>
              <w:rPr>
                <w:sz w:val="18"/>
                <w:szCs w:val="18"/>
              </w:rPr>
            </w:pPr>
            <w:r w:rsidRPr="00780678">
              <w:rPr>
                <w:sz w:val="18"/>
                <w:szCs w:val="18"/>
              </w:rPr>
              <w:t xml:space="preserve">Penyusutan </w:t>
            </w:r>
            <w:r w:rsidR="005621E7">
              <w:rPr>
                <w:sz w:val="18"/>
                <w:szCs w:val="18"/>
              </w:rPr>
              <w:t>(C</w:t>
            </w:r>
            <w:r w:rsidRPr="00780678">
              <w:rPr>
                <w:sz w:val="18"/>
                <w:szCs w:val="18"/>
              </w:rPr>
              <w:t>atatan 1</w:t>
            </w:r>
            <w:r w:rsidR="002C228D">
              <w:rPr>
                <w:sz w:val="18"/>
                <w:szCs w:val="18"/>
              </w:rPr>
              <w:t>1</w:t>
            </w:r>
            <w:r w:rsidR="005621E7">
              <w:rPr>
                <w:sz w:val="18"/>
                <w:szCs w:val="18"/>
              </w:rPr>
              <w:t>)</w:t>
            </w:r>
          </w:p>
        </w:tc>
        <w:tc>
          <w:tcPr>
            <w:tcW w:w="1694" w:type="dxa"/>
            <w:shd w:val="clear" w:color="auto" w:fill="auto"/>
            <w:vAlign w:val="bottom"/>
          </w:tcPr>
          <w:p w14:paraId="649BAB5C" w14:textId="34E20BDF" w:rsidR="00780678" w:rsidRPr="00780678" w:rsidRDefault="00CB2C31" w:rsidP="002C6EE3">
            <w:pPr>
              <w:ind w:right="57"/>
              <w:jc w:val="right"/>
              <w:rPr>
                <w:sz w:val="18"/>
                <w:szCs w:val="18"/>
              </w:rPr>
            </w:pPr>
            <w:r w:rsidRPr="00CB2C31">
              <w:rPr>
                <w:sz w:val="18"/>
                <w:szCs w:val="18"/>
              </w:rPr>
              <w:t>16</w:t>
            </w:r>
            <w:r w:rsidR="002C6EE3">
              <w:rPr>
                <w:sz w:val="18"/>
                <w:szCs w:val="18"/>
              </w:rPr>
              <w:t>.</w:t>
            </w:r>
            <w:r w:rsidRPr="00CB2C31">
              <w:rPr>
                <w:sz w:val="18"/>
                <w:szCs w:val="18"/>
              </w:rPr>
              <w:t>793</w:t>
            </w:r>
            <w:r w:rsidR="002C6EE3">
              <w:rPr>
                <w:sz w:val="18"/>
                <w:szCs w:val="18"/>
              </w:rPr>
              <w:t>.</w:t>
            </w:r>
            <w:r w:rsidRPr="00CB2C31">
              <w:rPr>
                <w:sz w:val="18"/>
                <w:szCs w:val="18"/>
              </w:rPr>
              <w:t>237</w:t>
            </w:r>
            <w:r w:rsidR="002C6EE3">
              <w:rPr>
                <w:sz w:val="18"/>
                <w:szCs w:val="18"/>
              </w:rPr>
              <w:t>.</w:t>
            </w:r>
            <w:r w:rsidRPr="00CB2C31">
              <w:rPr>
                <w:sz w:val="18"/>
                <w:szCs w:val="18"/>
              </w:rPr>
              <w:t>095</w:t>
            </w:r>
          </w:p>
        </w:tc>
        <w:tc>
          <w:tcPr>
            <w:tcW w:w="94" w:type="dxa"/>
            <w:shd w:val="clear" w:color="auto" w:fill="auto"/>
            <w:vAlign w:val="bottom"/>
          </w:tcPr>
          <w:p w14:paraId="4309C9C1" w14:textId="77777777" w:rsidR="00780678" w:rsidRPr="00780678" w:rsidRDefault="00780678" w:rsidP="0013526B">
            <w:pPr>
              <w:jc w:val="right"/>
              <w:rPr>
                <w:sz w:val="18"/>
                <w:szCs w:val="18"/>
              </w:rPr>
            </w:pPr>
          </w:p>
        </w:tc>
        <w:tc>
          <w:tcPr>
            <w:tcW w:w="1694" w:type="dxa"/>
          </w:tcPr>
          <w:p w14:paraId="698DC914" w14:textId="56B1B5F5" w:rsidR="00780678" w:rsidRPr="00780678" w:rsidRDefault="009A71DD" w:rsidP="002C6EE3">
            <w:pPr>
              <w:ind w:right="57"/>
              <w:jc w:val="right"/>
              <w:rPr>
                <w:sz w:val="18"/>
                <w:szCs w:val="18"/>
              </w:rPr>
            </w:pPr>
            <w:r w:rsidRPr="009A71DD">
              <w:rPr>
                <w:sz w:val="18"/>
                <w:szCs w:val="18"/>
              </w:rPr>
              <w:t>13</w:t>
            </w:r>
            <w:r w:rsidR="002C6EE3">
              <w:rPr>
                <w:sz w:val="18"/>
                <w:szCs w:val="18"/>
              </w:rPr>
              <w:t>.</w:t>
            </w:r>
            <w:r w:rsidRPr="009A71DD">
              <w:rPr>
                <w:sz w:val="18"/>
                <w:szCs w:val="18"/>
              </w:rPr>
              <w:t>962</w:t>
            </w:r>
            <w:r w:rsidR="002C6EE3">
              <w:rPr>
                <w:sz w:val="18"/>
                <w:szCs w:val="18"/>
              </w:rPr>
              <w:t>.</w:t>
            </w:r>
            <w:r w:rsidRPr="009A71DD">
              <w:rPr>
                <w:sz w:val="18"/>
                <w:szCs w:val="18"/>
              </w:rPr>
              <w:t>741</w:t>
            </w:r>
            <w:r w:rsidR="002C6EE3">
              <w:rPr>
                <w:sz w:val="18"/>
                <w:szCs w:val="18"/>
              </w:rPr>
              <w:t>.</w:t>
            </w:r>
            <w:r w:rsidRPr="009A71DD">
              <w:rPr>
                <w:sz w:val="18"/>
                <w:szCs w:val="18"/>
              </w:rPr>
              <w:t>888</w:t>
            </w:r>
          </w:p>
        </w:tc>
        <w:tc>
          <w:tcPr>
            <w:tcW w:w="2897" w:type="dxa"/>
            <w:shd w:val="clear" w:color="auto" w:fill="auto"/>
          </w:tcPr>
          <w:p w14:paraId="7F67E78B" w14:textId="7BDB747B" w:rsidR="00780678" w:rsidRPr="00780678" w:rsidRDefault="00780678" w:rsidP="0013526B">
            <w:pPr>
              <w:ind w:right="57"/>
              <w:jc w:val="right"/>
              <w:rPr>
                <w:i/>
                <w:sz w:val="18"/>
                <w:szCs w:val="18"/>
              </w:rPr>
            </w:pPr>
            <w:r w:rsidRPr="00780678">
              <w:rPr>
                <w:i/>
                <w:sz w:val="18"/>
                <w:szCs w:val="18"/>
              </w:rPr>
              <w:t xml:space="preserve">Depreciation </w:t>
            </w:r>
            <w:r w:rsidR="005621E7">
              <w:rPr>
                <w:i/>
                <w:sz w:val="18"/>
                <w:szCs w:val="18"/>
              </w:rPr>
              <w:t>(</w:t>
            </w:r>
            <w:r w:rsidRPr="00780678">
              <w:rPr>
                <w:i/>
                <w:sz w:val="18"/>
                <w:szCs w:val="18"/>
              </w:rPr>
              <w:t>Note 1</w:t>
            </w:r>
            <w:r w:rsidR="002C228D">
              <w:rPr>
                <w:i/>
                <w:sz w:val="18"/>
                <w:szCs w:val="18"/>
              </w:rPr>
              <w:t>1</w:t>
            </w:r>
            <w:r w:rsidR="005621E7">
              <w:rPr>
                <w:i/>
                <w:sz w:val="18"/>
                <w:szCs w:val="18"/>
              </w:rPr>
              <w:t>)</w:t>
            </w:r>
          </w:p>
        </w:tc>
      </w:tr>
      <w:tr w:rsidR="00780678" w:rsidRPr="0013526B" w14:paraId="6054FC09" w14:textId="77777777" w:rsidTr="002108FF">
        <w:trPr>
          <w:trHeight w:val="74"/>
        </w:trPr>
        <w:tc>
          <w:tcPr>
            <w:tcW w:w="2885" w:type="dxa"/>
            <w:shd w:val="clear" w:color="auto" w:fill="auto"/>
          </w:tcPr>
          <w:p w14:paraId="0EC64704" w14:textId="692D0424" w:rsidR="00780678" w:rsidRPr="00780678" w:rsidRDefault="00780678" w:rsidP="00024352">
            <w:pPr>
              <w:ind w:left="390"/>
              <w:jc w:val="both"/>
              <w:rPr>
                <w:sz w:val="18"/>
                <w:szCs w:val="18"/>
              </w:rPr>
            </w:pPr>
            <w:r w:rsidRPr="00780678">
              <w:rPr>
                <w:sz w:val="18"/>
                <w:szCs w:val="18"/>
              </w:rPr>
              <w:t>Laboratorium</w:t>
            </w:r>
          </w:p>
        </w:tc>
        <w:tc>
          <w:tcPr>
            <w:tcW w:w="1694" w:type="dxa"/>
            <w:shd w:val="clear" w:color="auto" w:fill="auto"/>
            <w:vAlign w:val="bottom"/>
          </w:tcPr>
          <w:p w14:paraId="679F203E" w14:textId="327B89F1" w:rsidR="00780678" w:rsidRPr="00780678" w:rsidRDefault="00CB2C31" w:rsidP="002C6EE3">
            <w:pPr>
              <w:ind w:right="57"/>
              <w:jc w:val="right"/>
              <w:rPr>
                <w:sz w:val="18"/>
                <w:szCs w:val="18"/>
              </w:rPr>
            </w:pPr>
            <w:r w:rsidRPr="00CB2C31">
              <w:rPr>
                <w:sz w:val="18"/>
                <w:szCs w:val="18"/>
              </w:rPr>
              <w:t>10</w:t>
            </w:r>
            <w:r w:rsidR="002C6EE3">
              <w:rPr>
                <w:sz w:val="18"/>
                <w:szCs w:val="18"/>
              </w:rPr>
              <w:t>.</w:t>
            </w:r>
            <w:r w:rsidRPr="00CB2C31">
              <w:rPr>
                <w:sz w:val="18"/>
                <w:szCs w:val="18"/>
              </w:rPr>
              <w:t>922</w:t>
            </w:r>
            <w:r w:rsidR="002C6EE3">
              <w:rPr>
                <w:sz w:val="18"/>
                <w:szCs w:val="18"/>
              </w:rPr>
              <w:t>.</w:t>
            </w:r>
            <w:r w:rsidRPr="00CB2C31">
              <w:rPr>
                <w:sz w:val="18"/>
                <w:szCs w:val="18"/>
              </w:rPr>
              <w:t>161</w:t>
            </w:r>
            <w:r w:rsidR="002C6EE3">
              <w:rPr>
                <w:sz w:val="18"/>
                <w:szCs w:val="18"/>
              </w:rPr>
              <w:t>.</w:t>
            </w:r>
            <w:r w:rsidRPr="00CB2C31">
              <w:rPr>
                <w:sz w:val="18"/>
                <w:szCs w:val="18"/>
              </w:rPr>
              <w:t>206</w:t>
            </w:r>
          </w:p>
        </w:tc>
        <w:tc>
          <w:tcPr>
            <w:tcW w:w="94" w:type="dxa"/>
            <w:shd w:val="clear" w:color="auto" w:fill="auto"/>
            <w:vAlign w:val="bottom"/>
          </w:tcPr>
          <w:p w14:paraId="5EA4E8C7" w14:textId="77777777" w:rsidR="00780678" w:rsidRPr="00780678" w:rsidRDefault="00780678" w:rsidP="0013526B">
            <w:pPr>
              <w:jc w:val="right"/>
              <w:rPr>
                <w:sz w:val="18"/>
                <w:szCs w:val="18"/>
              </w:rPr>
            </w:pPr>
          </w:p>
        </w:tc>
        <w:tc>
          <w:tcPr>
            <w:tcW w:w="1694" w:type="dxa"/>
          </w:tcPr>
          <w:p w14:paraId="7782F69A" w14:textId="64EB347A" w:rsidR="00780678" w:rsidRPr="00780678" w:rsidRDefault="009A71DD" w:rsidP="002C6EE3">
            <w:pPr>
              <w:ind w:right="57"/>
              <w:jc w:val="right"/>
              <w:rPr>
                <w:sz w:val="18"/>
                <w:szCs w:val="18"/>
              </w:rPr>
            </w:pPr>
            <w:r w:rsidRPr="009A71DD">
              <w:rPr>
                <w:sz w:val="18"/>
                <w:szCs w:val="18"/>
              </w:rPr>
              <w:t>7</w:t>
            </w:r>
            <w:r w:rsidR="002C6EE3">
              <w:rPr>
                <w:sz w:val="18"/>
                <w:szCs w:val="18"/>
              </w:rPr>
              <w:t>.</w:t>
            </w:r>
            <w:r w:rsidRPr="009A71DD">
              <w:rPr>
                <w:sz w:val="18"/>
                <w:szCs w:val="18"/>
              </w:rPr>
              <w:t>119</w:t>
            </w:r>
            <w:r w:rsidR="002C6EE3">
              <w:rPr>
                <w:sz w:val="18"/>
                <w:szCs w:val="18"/>
              </w:rPr>
              <w:t>.</w:t>
            </w:r>
            <w:r w:rsidRPr="009A71DD">
              <w:rPr>
                <w:sz w:val="18"/>
                <w:szCs w:val="18"/>
              </w:rPr>
              <w:t>141</w:t>
            </w:r>
            <w:r w:rsidR="002C6EE3">
              <w:rPr>
                <w:sz w:val="18"/>
                <w:szCs w:val="18"/>
              </w:rPr>
              <w:t>.</w:t>
            </w:r>
            <w:r w:rsidRPr="009A71DD">
              <w:rPr>
                <w:sz w:val="18"/>
                <w:szCs w:val="18"/>
              </w:rPr>
              <w:t>492</w:t>
            </w:r>
          </w:p>
        </w:tc>
        <w:tc>
          <w:tcPr>
            <w:tcW w:w="2897" w:type="dxa"/>
            <w:shd w:val="clear" w:color="auto" w:fill="auto"/>
          </w:tcPr>
          <w:p w14:paraId="763B69C1" w14:textId="123EADA1" w:rsidR="00780678" w:rsidRPr="00780678" w:rsidRDefault="00780678" w:rsidP="0013526B">
            <w:pPr>
              <w:ind w:right="57"/>
              <w:jc w:val="right"/>
              <w:rPr>
                <w:i/>
                <w:sz w:val="18"/>
                <w:szCs w:val="18"/>
              </w:rPr>
            </w:pPr>
            <w:r w:rsidRPr="00780678">
              <w:rPr>
                <w:i/>
                <w:sz w:val="18"/>
                <w:szCs w:val="18"/>
              </w:rPr>
              <w:t>Laboratory</w:t>
            </w:r>
          </w:p>
        </w:tc>
      </w:tr>
      <w:tr w:rsidR="004444FA" w:rsidRPr="0013526B" w14:paraId="46062A2E" w14:textId="77777777" w:rsidTr="002108FF">
        <w:trPr>
          <w:trHeight w:val="140"/>
        </w:trPr>
        <w:tc>
          <w:tcPr>
            <w:tcW w:w="2885" w:type="dxa"/>
            <w:shd w:val="clear" w:color="auto" w:fill="auto"/>
          </w:tcPr>
          <w:p w14:paraId="6079482B" w14:textId="77777777" w:rsidR="004444FA" w:rsidRPr="00780678" w:rsidRDefault="004444FA" w:rsidP="00024352">
            <w:pPr>
              <w:ind w:left="390"/>
              <w:jc w:val="both"/>
              <w:rPr>
                <w:sz w:val="18"/>
                <w:szCs w:val="18"/>
              </w:rPr>
            </w:pPr>
            <w:r w:rsidRPr="00780678">
              <w:rPr>
                <w:sz w:val="18"/>
                <w:szCs w:val="18"/>
              </w:rPr>
              <w:t>Hemodialisa</w:t>
            </w:r>
          </w:p>
        </w:tc>
        <w:tc>
          <w:tcPr>
            <w:tcW w:w="1694" w:type="dxa"/>
            <w:shd w:val="clear" w:color="auto" w:fill="auto"/>
            <w:vAlign w:val="bottom"/>
          </w:tcPr>
          <w:p w14:paraId="27D293FB" w14:textId="2CD2F8EF" w:rsidR="004444FA" w:rsidRPr="00A102B5" w:rsidRDefault="00CB2C31" w:rsidP="002C6EE3">
            <w:pPr>
              <w:ind w:right="57"/>
              <w:jc w:val="right"/>
              <w:rPr>
                <w:sz w:val="18"/>
                <w:szCs w:val="18"/>
              </w:rPr>
            </w:pPr>
            <w:r w:rsidRPr="00CB2C31">
              <w:rPr>
                <w:sz w:val="18"/>
                <w:szCs w:val="18"/>
              </w:rPr>
              <w:t>1</w:t>
            </w:r>
            <w:r w:rsidR="002C6EE3">
              <w:rPr>
                <w:sz w:val="18"/>
                <w:szCs w:val="18"/>
              </w:rPr>
              <w:t>.</w:t>
            </w:r>
            <w:r w:rsidRPr="00CB2C31">
              <w:rPr>
                <w:sz w:val="18"/>
                <w:szCs w:val="18"/>
              </w:rPr>
              <w:t>772</w:t>
            </w:r>
            <w:r w:rsidR="002C6EE3">
              <w:rPr>
                <w:sz w:val="18"/>
                <w:szCs w:val="18"/>
              </w:rPr>
              <w:t>.</w:t>
            </w:r>
            <w:r w:rsidRPr="00CB2C31">
              <w:rPr>
                <w:sz w:val="18"/>
                <w:szCs w:val="18"/>
              </w:rPr>
              <w:t>633</w:t>
            </w:r>
            <w:r w:rsidR="002C6EE3">
              <w:rPr>
                <w:sz w:val="18"/>
                <w:szCs w:val="18"/>
              </w:rPr>
              <w:t>.</w:t>
            </w:r>
            <w:r w:rsidRPr="00CB2C31">
              <w:rPr>
                <w:sz w:val="18"/>
                <w:szCs w:val="18"/>
              </w:rPr>
              <w:t>955</w:t>
            </w:r>
          </w:p>
        </w:tc>
        <w:tc>
          <w:tcPr>
            <w:tcW w:w="94" w:type="dxa"/>
            <w:shd w:val="clear" w:color="auto" w:fill="auto"/>
            <w:vAlign w:val="bottom"/>
          </w:tcPr>
          <w:p w14:paraId="5483CF69" w14:textId="77777777" w:rsidR="004444FA" w:rsidRPr="00780678" w:rsidRDefault="004444FA" w:rsidP="0013526B">
            <w:pPr>
              <w:jc w:val="right"/>
              <w:rPr>
                <w:sz w:val="18"/>
                <w:szCs w:val="18"/>
              </w:rPr>
            </w:pPr>
          </w:p>
        </w:tc>
        <w:tc>
          <w:tcPr>
            <w:tcW w:w="1694" w:type="dxa"/>
          </w:tcPr>
          <w:p w14:paraId="5FB8D712" w14:textId="67AD1B1F" w:rsidR="004444FA" w:rsidRPr="00780678" w:rsidRDefault="009A71DD" w:rsidP="002C6EE3">
            <w:pPr>
              <w:ind w:right="57"/>
              <w:jc w:val="right"/>
              <w:rPr>
                <w:sz w:val="18"/>
                <w:szCs w:val="18"/>
                <w:lang w:val="id-ID"/>
              </w:rPr>
            </w:pPr>
            <w:r w:rsidRPr="009A71DD">
              <w:rPr>
                <w:sz w:val="18"/>
                <w:szCs w:val="18"/>
                <w:lang w:val="id-ID"/>
              </w:rPr>
              <w:t>880</w:t>
            </w:r>
            <w:r w:rsidR="002C6EE3">
              <w:rPr>
                <w:sz w:val="18"/>
                <w:szCs w:val="18"/>
              </w:rPr>
              <w:t>.</w:t>
            </w:r>
            <w:r w:rsidRPr="009A71DD">
              <w:rPr>
                <w:sz w:val="18"/>
                <w:szCs w:val="18"/>
                <w:lang w:val="id-ID"/>
              </w:rPr>
              <w:t>710</w:t>
            </w:r>
            <w:r w:rsidR="002C6EE3">
              <w:rPr>
                <w:sz w:val="18"/>
                <w:szCs w:val="18"/>
              </w:rPr>
              <w:t>.</w:t>
            </w:r>
            <w:r w:rsidRPr="009A71DD">
              <w:rPr>
                <w:sz w:val="18"/>
                <w:szCs w:val="18"/>
                <w:lang w:val="id-ID"/>
              </w:rPr>
              <w:t>731</w:t>
            </w:r>
          </w:p>
        </w:tc>
        <w:tc>
          <w:tcPr>
            <w:tcW w:w="2897" w:type="dxa"/>
            <w:shd w:val="clear" w:color="auto" w:fill="auto"/>
          </w:tcPr>
          <w:p w14:paraId="511FA4E8" w14:textId="77777777" w:rsidR="004444FA" w:rsidRPr="00780678" w:rsidRDefault="004444FA" w:rsidP="0013526B">
            <w:pPr>
              <w:ind w:right="57"/>
              <w:jc w:val="right"/>
              <w:rPr>
                <w:i/>
                <w:sz w:val="18"/>
                <w:szCs w:val="18"/>
              </w:rPr>
            </w:pPr>
            <w:r w:rsidRPr="00780678">
              <w:rPr>
                <w:i/>
                <w:sz w:val="18"/>
                <w:szCs w:val="18"/>
              </w:rPr>
              <w:t>Hemodialysis</w:t>
            </w:r>
          </w:p>
        </w:tc>
      </w:tr>
      <w:tr w:rsidR="00780678" w:rsidRPr="0013526B" w14:paraId="68F00A16" w14:textId="77777777" w:rsidTr="002108FF">
        <w:trPr>
          <w:trHeight w:val="130"/>
        </w:trPr>
        <w:tc>
          <w:tcPr>
            <w:tcW w:w="2885" w:type="dxa"/>
            <w:shd w:val="clear" w:color="auto" w:fill="auto"/>
          </w:tcPr>
          <w:p w14:paraId="3755C6E7" w14:textId="7F04BAEE" w:rsidR="00780678" w:rsidRPr="00780678" w:rsidRDefault="00780678" w:rsidP="00024352">
            <w:pPr>
              <w:ind w:left="390"/>
              <w:jc w:val="both"/>
              <w:rPr>
                <w:sz w:val="18"/>
                <w:szCs w:val="18"/>
              </w:rPr>
            </w:pPr>
            <w:r w:rsidRPr="00780678">
              <w:rPr>
                <w:sz w:val="18"/>
                <w:szCs w:val="18"/>
              </w:rPr>
              <w:t>Radiologi</w:t>
            </w:r>
          </w:p>
        </w:tc>
        <w:tc>
          <w:tcPr>
            <w:tcW w:w="1694" w:type="dxa"/>
            <w:shd w:val="clear" w:color="auto" w:fill="auto"/>
            <w:vAlign w:val="bottom"/>
          </w:tcPr>
          <w:p w14:paraId="70BC5964" w14:textId="711B5857" w:rsidR="00780678" w:rsidRPr="00780678" w:rsidRDefault="00CB2C31" w:rsidP="002C6EE3">
            <w:pPr>
              <w:ind w:right="57"/>
              <w:jc w:val="right"/>
              <w:rPr>
                <w:sz w:val="18"/>
                <w:szCs w:val="18"/>
              </w:rPr>
            </w:pPr>
            <w:r w:rsidRPr="00CB2C31">
              <w:rPr>
                <w:sz w:val="18"/>
                <w:szCs w:val="18"/>
              </w:rPr>
              <w:t>1</w:t>
            </w:r>
            <w:r w:rsidR="002C6EE3">
              <w:rPr>
                <w:sz w:val="18"/>
                <w:szCs w:val="18"/>
              </w:rPr>
              <w:t>.</w:t>
            </w:r>
            <w:r w:rsidRPr="00CB2C31">
              <w:rPr>
                <w:sz w:val="18"/>
                <w:szCs w:val="18"/>
              </w:rPr>
              <w:t>186</w:t>
            </w:r>
            <w:r w:rsidR="002C6EE3">
              <w:rPr>
                <w:sz w:val="18"/>
                <w:szCs w:val="18"/>
              </w:rPr>
              <w:t>.</w:t>
            </w:r>
            <w:r w:rsidRPr="00CB2C31">
              <w:rPr>
                <w:sz w:val="18"/>
                <w:szCs w:val="18"/>
              </w:rPr>
              <w:t>237</w:t>
            </w:r>
            <w:r w:rsidR="002C6EE3">
              <w:rPr>
                <w:sz w:val="18"/>
                <w:szCs w:val="18"/>
              </w:rPr>
              <w:t>.</w:t>
            </w:r>
            <w:r w:rsidRPr="00CB2C31">
              <w:rPr>
                <w:sz w:val="18"/>
                <w:szCs w:val="18"/>
              </w:rPr>
              <w:t>441</w:t>
            </w:r>
          </w:p>
        </w:tc>
        <w:tc>
          <w:tcPr>
            <w:tcW w:w="94" w:type="dxa"/>
            <w:shd w:val="clear" w:color="auto" w:fill="auto"/>
            <w:vAlign w:val="bottom"/>
          </w:tcPr>
          <w:p w14:paraId="04BE4A7E" w14:textId="77777777" w:rsidR="00780678" w:rsidRPr="00780678" w:rsidRDefault="00780678" w:rsidP="0013526B">
            <w:pPr>
              <w:jc w:val="right"/>
              <w:rPr>
                <w:sz w:val="18"/>
                <w:szCs w:val="18"/>
              </w:rPr>
            </w:pPr>
          </w:p>
        </w:tc>
        <w:tc>
          <w:tcPr>
            <w:tcW w:w="1694" w:type="dxa"/>
          </w:tcPr>
          <w:p w14:paraId="133C6C50" w14:textId="6BAC89E5" w:rsidR="00780678" w:rsidRPr="00780678" w:rsidRDefault="009A71DD" w:rsidP="002C6EE3">
            <w:pPr>
              <w:ind w:right="57"/>
              <w:jc w:val="right"/>
              <w:rPr>
                <w:sz w:val="18"/>
                <w:szCs w:val="18"/>
              </w:rPr>
            </w:pPr>
            <w:r w:rsidRPr="009A71DD">
              <w:rPr>
                <w:sz w:val="18"/>
                <w:szCs w:val="18"/>
              </w:rPr>
              <w:t>701</w:t>
            </w:r>
            <w:r w:rsidR="002C6EE3">
              <w:rPr>
                <w:sz w:val="18"/>
                <w:szCs w:val="18"/>
              </w:rPr>
              <w:t>.</w:t>
            </w:r>
            <w:r w:rsidRPr="009A71DD">
              <w:rPr>
                <w:sz w:val="18"/>
                <w:szCs w:val="18"/>
              </w:rPr>
              <w:t>858</w:t>
            </w:r>
            <w:r w:rsidR="002C6EE3">
              <w:rPr>
                <w:sz w:val="18"/>
                <w:szCs w:val="18"/>
              </w:rPr>
              <w:t>.</w:t>
            </w:r>
            <w:r w:rsidRPr="009A71DD">
              <w:rPr>
                <w:sz w:val="18"/>
                <w:szCs w:val="18"/>
              </w:rPr>
              <w:t>085</w:t>
            </w:r>
          </w:p>
        </w:tc>
        <w:tc>
          <w:tcPr>
            <w:tcW w:w="2897" w:type="dxa"/>
            <w:shd w:val="clear" w:color="auto" w:fill="auto"/>
          </w:tcPr>
          <w:p w14:paraId="1013F6CF" w14:textId="0997AC98" w:rsidR="00780678" w:rsidRPr="00780678" w:rsidRDefault="00780678" w:rsidP="0013526B">
            <w:pPr>
              <w:ind w:right="57"/>
              <w:jc w:val="right"/>
              <w:rPr>
                <w:i/>
                <w:sz w:val="18"/>
                <w:szCs w:val="18"/>
              </w:rPr>
            </w:pPr>
            <w:r w:rsidRPr="00780678">
              <w:rPr>
                <w:i/>
                <w:sz w:val="18"/>
                <w:szCs w:val="18"/>
              </w:rPr>
              <w:t>Radiology</w:t>
            </w:r>
          </w:p>
        </w:tc>
      </w:tr>
      <w:tr w:rsidR="00780678" w:rsidRPr="00640098" w14:paraId="2F5A9CB7" w14:textId="77777777" w:rsidTr="002108FF">
        <w:trPr>
          <w:trHeight w:val="154"/>
        </w:trPr>
        <w:tc>
          <w:tcPr>
            <w:tcW w:w="2885" w:type="dxa"/>
            <w:shd w:val="clear" w:color="auto" w:fill="auto"/>
            <w:vAlign w:val="center"/>
          </w:tcPr>
          <w:p w14:paraId="0894E7E4" w14:textId="77777777" w:rsidR="00780678" w:rsidRPr="00780678" w:rsidRDefault="00780678" w:rsidP="00024352">
            <w:pPr>
              <w:ind w:left="390"/>
              <w:rPr>
                <w:sz w:val="14"/>
                <w:szCs w:val="18"/>
              </w:rPr>
            </w:pPr>
          </w:p>
        </w:tc>
        <w:tc>
          <w:tcPr>
            <w:tcW w:w="1694" w:type="dxa"/>
            <w:tcBorders>
              <w:top w:val="single" w:sz="4" w:space="0" w:color="auto"/>
            </w:tcBorders>
            <w:shd w:val="clear" w:color="auto" w:fill="auto"/>
            <w:vAlign w:val="bottom"/>
          </w:tcPr>
          <w:p w14:paraId="5390D631" w14:textId="77777777" w:rsidR="00780678" w:rsidRPr="00780678" w:rsidRDefault="00780678" w:rsidP="0013526B">
            <w:pPr>
              <w:ind w:right="57"/>
              <w:jc w:val="right"/>
              <w:rPr>
                <w:sz w:val="14"/>
                <w:szCs w:val="18"/>
              </w:rPr>
            </w:pPr>
          </w:p>
        </w:tc>
        <w:tc>
          <w:tcPr>
            <w:tcW w:w="94" w:type="dxa"/>
            <w:shd w:val="clear" w:color="auto" w:fill="auto"/>
            <w:vAlign w:val="bottom"/>
          </w:tcPr>
          <w:p w14:paraId="7675F0C3" w14:textId="77777777" w:rsidR="00780678" w:rsidRPr="00780678" w:rsidRDefault="00780678" w:rsidP="0013526B">
            <w:pPr>
              <w:jc w:val="right"/>
              <w:rPr>
                <w:sz w:val="14"/>
                <w:szCs w:val="18"/>
              </w:rPr>
            </w:pPr>
          </w:p>
        </w:tc>
        <w:tc>
          <w:tcPr>
            <w:tcW w:w="1694" w:type="dxa"/>
            <w:tcBorders>
              <w:top w:val="single" w:sz="4" w:space="0" w:color="auto"/>
            </w:tcBorders>
            <w:vAlign w:val="bottom"/>
          </w:tcPr>
          <w:p w14:paraId="25A25650" w14:textId="77777777" w:rsidR="00780678" w:rsidRPr="00780678" w:rsidRDefault="00780678" w:rsidP="0013526B">
            <w:pPr>
              <w:ind w:right="57"/>
              <w:jc w:val="right"/>
              <w:rPr>
                <w:sz w:val="14"/>
                <w:szCs w:val="18"/>
              </w:rPr>
            </w:pPr>
          </w:p>
        </w:tc>
        <w:tc>
          <w:tcPr>
            <w:tcW w:w="2897" w:type="dxa"/>
            <w:shd w:val="clear" w:color="auto" w:fill="auto"/>
            <w:vAlign w:val="center"/>
          </w:tcPr>
          <w:p w14:paraId="5FD5FD13" w14:textId="77777777" w:rsidR="00780678" w:rsidRPr="00780678" w:rsidRDefault="00780678" w:rsidP="0013526B">
            <w:pPr>
              <w:ind w:right="57"/>
              <w:jc w:val="right"/>
              <w:rPr>
                <w:i/>
                <w:sz w:val="14"/>
                <w:szCs w:val="18"/>
              </w:rPr>
            </w:pPr>
          </w:p>
        </w:tc>
      </w:tr>
      <w:tr w:rsidR="00780678" w:rsidRPr="0013526B" w14:paraId="6A43A991" w14:textId="77777777" w:rsidTr="002108FF">
        <w:trPr>
          <w:trHeight w:val="74"/>
        </w:trPr>
        <w:tc>
          <w:tcPr>
            <w:tcW w:w="2885" w:type="dxa"/>
            <w:shd w:val="clear" w:color="auto" w:fill="auto"/>
            <w:vAlign w:val="center"/>
          </w:tcPr>
          <w:p w14:paraId="423AF804" w14:textId="1086A45B" w:rsidR="00780678" w:rsidRPr="00780678" w:rsidRDefault="00780678" w:rsidP="00024352">
            <w:pPr>
              <w:ind w:left="390"/>
              <w:jc w:val="both"/>
              <w:rPr>
                <w:b/>
                <w:sz w:val="18"/>
                <w:szCs w:val="18"/>
              </w:rPr>
            </w:pPr>
            <w:r>
              <w:rPr>
                <w:b/>
                <w:sz w:val="18"/>
                <w:szCs w:val="18"/>
              </w:rPr>
              <w:t>Jumlah beban langsung</w:t>
            </w:r>
          </w:p>
        </w:tc>
        <w:tc>
          <w:tcPr>
            <w:tcW w:w="1694" w:type="dxa"/>
            <w:tcBorders>
              <w:bottom w:val="double" w:sz="4" w:space="0" w:color="auto"/>
            </w:tcBorders>
            <w:shd w:val="clear" w:color="auto" w:fill="auto"/>
            <w:vAlign w:val="bottom"/>
          </w:tcPr>
          <w:p w14:paraId="6B497BA1" w14:textId="325EBD52" w:rsidR="00780678" w:rsidRPr="00725467" w:rsidRDefault="00CB2C31" w:rsidP="002C6EE3">
            <w:pPr>
              <w:ind w:right="57"/>
              <w:jc w:val="right"/>
              <w:rPr>
                <w:b/>
                <w:bCs w:val="0"/>
                <w:sz w:val="18"/>
                <w:szCs w:val="18"/>
              </w:rPr>
            </w:pPr>
            <w:r w:rsidRPr="00CB2C31">
              <w:rPr>
                <w:b/>
                <w:bCs w:val="0"/>
                <w:sz w:val="18"/>
                <w:szCs w:val="18"/>
              </w:rPr>
              <w:t>195</w:t>
            </w:r>
            <w:r w:rsidR="002C6EE3">
              <w:rPr>
                <w:b/>
                <w:bCs w:val="0"/>
                <w:sz w:val="18"/>
                <w:szCs w:val="18"/>
              </w:rPr>
              <w:t>.</w:t>
            </w:r>
            <w:r w:rsidRPr="00CB2C31">
              <w:rPr>
                <w:b/>
                <w:bCs w:val="0"/>
                <w:sz w:val="18"/>
                <w:szCs w:val="18"/>
              </w:rPr>
              <w:t>411</w:t>
            </w:r>
            <w:r w:rsidR="002C6EE3">
              <w:rPr>
                <w:b/>
                <w:bCs w:val="0"/>
                <w:sz w:val="18"/>
                <w:szCs w:val="18"/>
              </w:rPr>
              <w:t>.</w:t>
            </w:r>
            <w:r w:rsidRPr="00CB2C31">
              <w:rPr>
                <w:b/>
                <w:bCs w:val="0"/>
                <w:sz w:val="18"/>
                <w:szCs w:val="18"/>
              </w:rPr>
              <w:t>971</w:t>
            </w:r>
            <w:r w:rsidR="002C6EE3">
              <w:rPr>
                <w:b/>
                <w:bCs w:val="0"/>
                <w:sz w:val="18"/>
                <w:szCs w:val="18"/>
              </w:rPr>
              <w:t>.</w:t>
            </w:r>
            <w:r w:rsidRPr="00CB2C31">
              <w:rPr>
                <w:b/>
                <w:bCs w:val="0"/>
                <w:sz w:val="18"/>
                <w:szCs w:val="18"/>
              </w:rPr>
              <w:t>457</w:t>
            </w:r>
          </w:p>
        </w:tc>
        <w:tc>
          <w:tcPr>
            <w:tcW w:w="94" w:type="dxa"/>
            <w:shd w:val="clear" w:color="auto" w:fill="auto"/>
            <w:vAlign w:val="bottom"/>
          </w:tcPr>
          <w:p w14:paraId="7D18C8F2" w14:textId="77777777" w:rsidR="00780678" w:rsidRPr="00780678" w:rsidRDefault="00780678" w:rsidP="0013526B">
            <w:pPr>
              <w:jc w:val="right"/>
              <w:rPr>
                <w:b/>
                <w:sz w:val="18"/>
                <w:szCs w:val="18"/>
              </w:rPr>
            </w:pPr>
          </w:p>
        </w:tc>
        <w:tc>
          <w:tcPr>
            <w:tcW w:w="1694" w:type="dxa"/>
            <w:tcBorders>
              <w:bottom w:val="double" w:sz="4" w:space="0" w:color="auto"/>
            </w:tcBorders>
            <w:vAlign w:val="bottom"/>
          </w:tcPr>
          <w:p w14:paraId="3AE1D6B0" w14:textId="70E99E2E" w:rsidR="00780678" w:rsidRPr="00780678" w:rsidRDefault="009A71DD" w:rsidP="002C6EE3">
            <w:pPr>
              <w:ind w:right="57"/>
              <w:jc w:val="right"/>
              <w:rPr>
                <w:b/>
                <w:sz w:val="18"/>
                <w:szCs w:val="18"/>
              </w:rPr>
            </w:pPr>
            <w:r>
              <w:rPr>
                <w:b/>
                <w:sz w:val="18"/>
                <w:szCs w:val="18"/>
              </w:rPr>
              <w:t>1</w:t>
            </w:r>
            <w:r w:rsidRPr="009A71DD">
              <w:rPr>
                <w:b/>
                <w:sz w:val="18"/>
                <w:szCs w:val="18"/>
              </w:rPr>
              <w:t>80</w:t>
            </w:r>
            <w:r w:rsidR="002C6EE3">
              <w:rPr>
                <w:b/>
                <w:sz w:val="18"/>
                <w:szCs w:val="18"/>
              </w:rPr>
              <w:t>.</w:t>
            </w:r>
            <w:r w:rsidRPr="009A71DD">
              <w:rPr>
                <w:b/>
                <w:sz w:val="18"/>
                <w:szCs w:val="18"/>
              </w:rPr>
              <w:t>659</w:t>
            </w:r>
            <w:r w:rsidR="002C6EE3">
              <w:rPr>
                <w:b/>
                <w:sz w:val="18"/>
                <w:szCs w:val="18"/>
              </w:rPr>
              <w:t>.</w:t>
            </w:r>
            <w:r w:rsidRPr="009A71DD">
              <w:rPr>
                <w:b/>
                <w:sz w:val="18"/>
                <w:szCs w:val="18"/>
              </w:rPr>
              <w:t>792</w:t>
            </w:r>
            <w:r w:rsidR="002C6EE3">
              <w:rPr>
                <w:b/>
                <w:sz w:val="18"/>
                <w:szCs w:val="18"/>
              </w:rPr>
              <w:t>.</w:t>
            </w:r>
            <w:r w:rsidRPr="009A71DD">
              <w:rPr>
                <w:b/>
                <w:sz w:val="18"/>
                <w:szCs w:val="18"/>
              </w:rPr>
              <w:t>826</w:t>
            </w:r>
          </w:p>
        </w:tc>
        <w:tc>
          <w:tcPr>
            <w:tcW w:w="2897" w:type="dxa"/>
            <w:shd w:val="clear" w:color="auto" w:fill="auto"/>
            <w:vAlign w:val="center"/>
          </w:tcPr>
          <w:p w14:paraId="04F5F1A3" w14:textId="04F3360E" w:rsidR="00780678" w:rsidRPr="00780678" w:rsidRDefault="00780678" w:rsidP="0013526B">
            <w:pPr>
              <w:ind w:right="57"/>
              <w:jc w:val="right"/>
              <w:rPr>
                <w:b/>
                <w:i/>
                <w:sz w:val="18"/>
                <w:szCs w:val="18"/>
              </w:rPr>
            </w:pPr>
            <w:r>
              <w:rPr>
                <w:b/>
                <w:i/>
                <w:sz w:val="18"/>
                <w:szCs w:val="18"/>
              </w:rPr>
              <w:t>Total direct costs</w:t>
            </w:r>
          </w:p>
        </w:tc>
      </w:tr>
    </w:tbl>
    <w:p w14:paraId="40CD1816" w14:textId="724BDFB7" w:rsidR="00083896" w:rsidRDefault="00083896" w:rsidP="0013526B">
      <w:pPr>
        <w:ind w:left="567"/>
        <w:jc w:val="both"/>
        <w:rPr>
          <w:sz w:val="8"/>
          <w:szCs w:val="18"/>
        </w:rPr>
      </w:pPr>
    </w:p>
    <w:tbl>
      <w:tblPr>
        <w:tblW w:w="9214" w:type="dxa"/>
        <w:tblInd w:w="364" w:type="dxa"/>
        <w:tblLayout w:type="fixed"/>
        <w:tblLook w:val="0000" w:firstRow="0" w:lastRow="0" w:firstColumn="0" w:lastColumn="0" w:noHBand="0" w:noVBand="0"/>
      </w:tblPr>
      <w:tblGrid>
        <w:gridCol w:w="4607"/>
        <w:gridCol w:w="4607"/>
      </w:tblGrid>
      <w:tr w:rsidR="005621E7" w:rsidRPr="0013526B" w14:paraId="1633FB60" w14:textId="77777777" w:rsidTr="002108FF">
        <w:tc>
          <w:tcPr>
            <w:tcW w:w="4607" w:type="dxa"/>
            <w:tcBorders>
              <w:top w:val="nil"/>
              <w:left w:val="nil"/>
              <w:bottom w:val="nil"/>
              <w:right w:val="nil"/>
            </w:tcBorders>
          </w:tcPr>
          <w:p w14:paraId="0CF97EEF" w14:textId="33AF862E" w:rsidR="005621E7" w:rsidRPr="00B35789" w:rsidRDefault="00026751" w:rsidP="002C6EE3">
            <w:pPr>
              <w:pStyle w:val="ListParagraph"/>
              <w:ind w:left="284"/>
              <w:jc w:val="both"/>
              <w:rPr>
                <w:sz w:val="18"/>
                <w:szCs w:val="18"/>
              </w:rPr>
            </w:pPr>
            <w:r w:rsidRPr="00B35789">
              <w:rPr>
                <w:bCs w:val="0"/>
                <w:sz w:val="18"/>
                <w:szCs w:val="18"/>
              </w:rPr>
              <w:t xml:space="preserve">Pada </w:t>
            </w:r>
            <w:r>
              <w:rPr>
                <w:bCs w:val="0"/>
                <w:sz w:val="18"/>
                <w:szCs w:val="18"/>
              </w:rPr>
              <w:t xml:space="preserve">tanggal berakhir 31 Maret 2020 dan </w:t>
            </w:r>
            <w:r w:rsidRPr="00B35789">
              <w:rPr>
                <w:bCs w:val="0"/>
                <w:sz w:val="18"/>
                <w:szCs w:val="18"/>
              </w:rPr>
              <w:t>2019</w:t>
            </w:r>
            <w:r w:rsidR="00305CA0">
              <w:rPr>
                <w:bCs w:val="0"/>
                <w:sz w:val="18"/>
                <w:szCs w:val="18"/>
              </w:rPr>
              <w:t>.</w:t>
            </w:r>
            <w:r>
              <w:rPr>
                <w:bCs w:val="0"/>
                <w:sz w:val="18"/>
                <w:szCs w:val="18"/>
              </w:rPr>
              <w:t xml:space="preserve"> </w:t>
            </w:r>
            <w:proofErr w:type="gramStart"/>
            <w:r w:rsidR="00324BF0" w:rsidRPr="00B35789">
              <w:rPr>
                <w:bCs w:val="0"/>
                <w:sz w:val="18"/>
                <w:szCs w:val="18"/>
              </w:rPr>
              <w:t>tidak</w:t>
            </w:r>
            <w:proofErr w:type="gramEnd"/>
            <w:r w:rsidR="00324BF0" w:rsidRPr="00B35789">
              <w:rPr>
                <w:bCs w:val="0"/>
                <w:sz w:val="18"/>
                <w:szCs w:val="18"/>
              </w:rPr>
              <w:t xml:space="preserve"> terdapat transaksi </w:t>
            </w:r>
            <w:r w:rsidR="00324BF0">
              <w:rPr>
                <w:bCs w:val="0"/>
                <w:sz w:val="18"/>
                <w:szCs w:val="18"/>
              </w:rPr>
              <w:t>beban langsung</w:t>
            </w:r>
            <w:r w:rsidR="00324BF0" w:rsidRPr="00B35789">
              <w:rPr>
                <w:bCs w:val="0"/>
                <w:sz w:val="18"/>
                <w:szCs w:val="18"/>
              </w:rPr>
              <w:t xml:space="preserve"> </w:t>
            </w:r>
            <w:r w:rsidR="00324BF0">
              <w:rPr>
                <w:bCs w:val="0"/>
                <w:sz w:val="18"/>
                <w:szCs w:val="18"/>
              </w:rPr>
              <w:t>terhadap pemasok yang melebihi 10%.</w:t>
            </w:r>
          </w:p>
        </w:tc>
        <w:tc>
          <w:tcPr>
            <w:tcW w:w="4607" w:type="dxa"/>
            <w:tcBorders>
              <w:top w:val="nil"/>
              <w:left w:val="nil"/>
              <w:bottom w:val="nil"/>
              <w:right w:val="nil"/>
            </w:tcBorders>
          </w:tcPr>
          <w:p w14:paraId="5A875E28" w14:textId="7CF2FAB8" w:rsidR="005621E7" w:rsidRPr="0013526B" w:rsidRDefault="00026751" w:rsidP="002C6EE3">
            <w:pPr>
              <w:pStyle w:val="ListParagraph"/>
              <w:tabs>
                <w:tab w:val="right" w:pos="9340"/>
                <w:tab w:val="right" w:pos="10080"/>
              </w:tabs>
              <w:ind w:left="284"/>
              <w:jc w:val="both"/>
              <w:rPr>
                <w:i/>
                <w:sz w:val="18"/>
                <w:szCs w:val="18"/>
              </w:rPr>
            </w:pPr>
            <w:r>
              <w:rPr>
                <w:bCs w:val="0"/>
                <w:i/>
                <w:sz w:val="18"/>
                <w:szCs w:val="18"/>
              </w:rPr>
              <w:t>For period ended March 31</w:t>
            </w:r>
            <w:r w:rsidR="00305CA0">
              <w:rPr>
                <w:bCs w:val="0"/>
                <w:i/>
                <w:sz w:val="18"/>
                <w:szCs w:val="18"/>
              </w:rPr>
              <w:t>.</w:t>
            </w:r>
            <w:r>
              <w:rPr>
                <w:bCs w:val="0"/>
                <w:i/>
                <w:sz w:val="18"/>
                <w:szCs w:val="18"/>
              </w:rPr>
              <w:t xml:space="preserve"> 2020 and </w:t>
            </w:r>
            <w:r w:rsidRPr="00324BF0">
              <w:rPr>
                <w:bCs w:val="0"/>
                <w:i/>
                <w:sz w:val="18"/>
                <w:szCs w:val="18"/>
              </w:rPr>
              <w:t>2019</w:t>
            </w:r>
            <w:r w:rsidR="00305CA0">
              <w:rPr>
                <w:bCs w:val="0"/>
                <w:i/>
                <w:sz w:val="18"/>
                <w:szCs w:val="18"/>
              </w:rPr>
              <w:t>.</w:t>
            </w:r>
            <w:r w:rsidR="00324BF0" w:rsidRPr="00324BF0">
              <w:rPr>
                <w:bCs w:val="0"/>
                <w:i/>
                <w:sz w:val="18"/>
                <w:szCs w:val="18"/>
              </w:rPr>
              <w:t xml:space="preserve"> </w:t>
            </w:r>
            <w:proofErr w:type="gramStart"/>
            <w:r w:rsidR="00324BF0" w:rsidRPr="00324BF0">
              <w:rPr>
                <w:bCs w:val="0"/>
                <w:i/>
                <w:sz w:val="18"/>
                <w:szCs w:val="18"/>
              </w:rPr>
              <w:t>there</w:t>
            </w:r>
            <w:proofErr w:type="gramEnd"/>
            <w:r w:rsidR="00324BF0" w:rsidRPr="00324BF0">
              <w:rPr>
                <w:bCs w:val="0"/>
                <w:i/>
                <w:sz w:val="18"/>
                <w:szCs w:val="18"/>
              </w:rPr>
              <w:t xml:space="preserve"> were no direct </w:t>
            </w:r>
            <w:r w:rsidR="00324BF0">
              <w:rPr>
                <w:bCs w:val="0"/>
                <w:i/>
                <w:sz w:val="18"/>
                <w:szCs w:val="18"/>
              </w:rPr>
              <w:t>cost</w:t>
            </w:r>
            <w:r w:rsidR="00324BF0" w:rsidRPr="00324BF0">
              <w:rPr>
                <w:bCs w:val="0"/>
                <w:i/>
                <w:sz w:val="18"/>
                <w:szCs w:val="18"/>
              </w:rPr>
              <w:t xml:space="preserve"> transactions to suppliers that exceed 10%.</w:t>
            </w:r>
          </w:p>
        </w:tc>
      </w:tr>
    </w:tbl>
    <w:p w14:paraId="63D26AE3" w14:textId="1A5B669A" w:rsidR="005621E7" w:rsidRDefault="005621E7" w:rsidP="0013526B">
      <w:pPr>
        <w:ind w:left="567"/>
        <w:jc w:val="both"/>
        <w:rPr>
          <w:sz w:val="8"/>
          <w:szCs w:val="18"/>
        </w:rPr>
      </w:pPr>
    </w:p>
    <w:p w14:paraId="3F7BD725" w14:textId="77777777" w:rsidR="005621E7" w:rsidRDefault="005621E7" w:rsidP="0013526B">
      <w:pPr>
        <w:ind w:left="567"/>
        <w:jc w:val="both"/>
        <w:rPr>
          <w:sz w:val="8"/>
          <w:szCs w:val="18"/>
        </w:rPr>
      </w:pPr>
    </w:p>
    <w:p w14:paraId="050B8057" w14:textId="77777777" w:rsidR="00845B6C" w:rsidRDefault="00845B6C" w:rsidP="0013526B">
      <w:pPr>
        <w:ind w:left="567"/>
        <w:jc w:val="both"/>
        <w:rPr>
          <w:sz w:val="8"/>
          <w:szCs w:val="18"/>
        </w:rPr>
      </w:pPr>
    </w:p>
    <w:tbl>
      <w:tblPr>
        <w:tblW w:w="9214" w:type="dxa"/>
        <w:tblInd w:w="350" w:type="dxa"/>
        <w:tblLayout w:type="fixed"/>
        <w:tblLook w:val="0000" w:firstRow="0" w:lastRow="0" w:firstColumn="0" w:lastColumn="0" w:noHBand="0" w:noVBand="0"/>
      </w:tblPr>
      <w:tblGrid>
        <w:gridCol w:w="4607"/>
        <w:gridCol w:w="4607"/>
      </w:tblGrid>
      <w:tr w:rsidR="00780678" w:rsidRPr="00845B6C" w14:paraId="45DC6D66" w14:textId="77777777" w:rsidTr="002108FF">
        <w:tc>
          <w:tcPr>
            <w:tcW w:w="4607" w:type="dxa"/>
            <w:tcBorders>
              <w:top w:val="nil"/>
              <w:left w:val="nil"/>
              <w:bottom w:val="nil"/>
              <w:right w:val="nil"/>
            </w:tcBorders>
          </w:tcPr>
          <w:p w14:paraId="60176274" w14:textId="1284B232" w:rsidR="00780678" w:rsidRPr="00845B6C" w:rsidRDefault="00780678" w:rsidP="00070D1F">
            <w:pPr>
              <w:numPr>
                <w:ilvl w:val="0"/>
                <w:numId w:val="390"/>
              </w:numPr>
              <w:jc w:val="both"/>
              <w:rPr>
                <w:b/>
                <w:bCs w:val="0"/>
                <w:sz w:val="18"/>
                <w:szCs w:val="18"/>
              </w:rPr>
            </w:pPr>
            <w:r w:rsidRPr="00845B6C">
              <w:rPr>
                <w:b/>
                <w:bCs w:val="0"/>
                <w:sz w:val="18"/>
                <w:szCs w:val="18"/>
              </w:rPr>
              <w:t>BEBAN PENJUALAN</w:t>
            </w:r>
          </w:p>
        </w:tc>
        <w:tc>
          <w:tcPr>
            <w:tcW w:w="4607" w:type="dxa"/>
            <w:tcBorders>
              <w:top w:val="nil"/>
              <w:left w:val="nil"/>
              <w:bottom w:val="nil"/>
              <w:right w:val="nil"/>
            </w:tcBorders>
          </w:tcPr>
          <w:p w14:paraId="7C28D766" w14:textId="1830B09B" w:rsidR="00780678" w:rsidRPr="00845B6C" w:rsidRDefault="00780678" w:rsidP="00070D1F">
            <w:pPr>
              <w:numPr>
                <w:ilvl w:val="0"/>
                <w:numId w:val="379"/>
              </w:numPr>
              <w:jc w:val="both"/>
              <w:rPr>
                <w:b/>
                <w:bCs w:val="0"/>
                <w:i/>
                <w:iCs/>
                <w:sz w:val="18"/>
                <w:szCs w:val="18"/>
              </w:rPr>
            </w:pPr>
            <w:r w:rsidRPr="00845B6C">
              <w:rPr>
                <w:b/>
                <w:bCs w:val="0"/>
                <w:i/>
                <w:iCs/>
                <w:sz w:val="18"/>
                <w:szCs w:val="18"/>
              </w:rPr>
              <w:t>SELLING EXPENSES</w:t>
            </w:r>
          </w:p>
        </w:tc>
      </w:tr>
      <w:tr w:rsidR="00780678" w:rsidRPr="00640098" w14:paraId="1CD96385" w14:textId="77777777" w:rsidTr="002108FF">
        <w:tc>
          <w:tcPr>
            <w:tcW w:w="4607" w:type="dxa"/>
            <w:tcBorders>
              <w:top w:val="nil"/>
              <w:left w:val="nil"/>
              <w:bottom w:val="nil"/>
              <w:right w:val="nil"/>
            </w:tcBorders>
          </w:tcPr>
          <w:p w14:paraId="345DB9F2" w14:textId="77777777" w:rsidR="00780678" w:rsidRPr="00640098" w:rsidRDefault="00780678" w:rsidP="006A720D">
            <w:pPr>
              <w:ind w:left="709"/>
              <w:jc w:val="both"/>
              <w:rPr>
                <w:sz w:val="12"/>
                <w:szCs w:val="18"/>
              </w:rPr>
            </w:pPr>
          </w:p>
        </w:tc>
        <w:tc>
          <w:tcPr>
            <w:tcW w:w="4607" w:type="dxa"/>
            <w:tcBorders>
              <w:top w:val="nil"/>
              <w:left w:val="nil"/>
              <w:bottom w:val="nil"/>
              <w:right w:val="nil"/>
            </w:tcBorders>
          </w:tcPr>
          <w:p w14:paraId="0AB3553B" w14:textId="77777777" w:rsidR="00780678" w:rsidRPr="00640098" w:rsidRDefault="00780678" w:rsidP="006A720D">
            <w:pPr>
              <w:pStyle w:val="ListParagraph"/>
              <w:ind w:left="743"/>
              <w:jc w:val="both"/>
              <w:rPr>
                <w:i/>
                <w:sz w:val="12"/>
                <w:szCs w:val="18"/>
              </w:rPr>
            </w:pPr>
          </w:p>
        </w:tc>
      </w:tr>
      <w:tr w:rsidR="00780678" w:rsidRPr="0013526B" w14:paraId="2E624871" w14:textId="77777777" w:rsidTr="002108FF">
        <w:tc>
          <w:tcPr>
            <w:tcW w:w="4607" w:type="dxa"/>
            <w:tcBorders>
              <w:top w:val="nil"/>
              <w:left w:val="nil"/>
              <w:bottom w:val="nil"/>
              <w:right w:val="nil"/>
            </w:tcBorders>
          </w:tcPr>
          <w:p w14:paraId="5ACBA9CD" w14:textId="743D937D" w:rsidR="00780678" w:rsidRPr="0013526B" w:rsidRDefault="00780678" w:rsidP="001722EA">
            <w:pPr>
              <w:pStyle w:val="ListParagraph"/>
              <w:ind w:left="284" w:right="-57"/>
              <w:jc w:val="both"/>
              <w:rPr>
                <w:sz w:val="18"/>
                <w:szCs w:val="18"/>
              </w:rPr>
            </w:pPr>
            <w:r w:rsidRPr="00780678">
              <w:rPr>
                <w:sz w:val="18"/>
                <w:szCs w:val="18"/>
              </w:rPr>
              <w:t>Beban penjualan terutama terdiri dari beban iklan dan promosi.</w:t>
            </w:r>
          </w:p>
        </w:tc>
        <w:tc>
          <w:tcPr>
            <w:tcW w:w="4607" w:type="dxa"/>
            <w:tcBorders>
              <w:top w:val="nil"/>
              <w:left w:val="nil"/>
              <w:bottom w:val="nil"/>
              <w:right w:val="nil"/>
            </w:tcBorders>
          </w:tcPr>
          <w:p w14:paraId="523DF80F" w14:textId="722DD8E4" w:rsidR="00780678" w:rsidRPr="0013526B" w:rsidRDefault="00780678" w:rsidP="00780678">
            <w:pPr>
              <w:pStyle w:val="ListParagraph"/>
              <w:tabs>
                <w:tab w:val="right" w:pos="9340"/>
                <w:tab w:val="right" w:pos="10080"/>
              </w:tabs>
              <w:ind w:left="284" w:right="-57"/>
              <w:jc w:val="both"/>
              <w:rPr>
                <w:i/>
                <w:sz w:val="18"/>
                <w:szCs w:val="18"/>
              </w:rPr>
            </w:pPr>
            <w:r w:rsidRPr="00780678">
              <w:rPr>
                <w:i/>
                <w:sz w:val="18"/>
                <w:szCs w:val="18"/>
              </w:rPr>
              <w:t>Selling expenses primarly consist of advertising and promotion.</w:t>
            </w:r>
          </w:p>
        </w:tc>
      </w:tr>
    </w:tbl>
    <w:p w14:paraId="44AEF41E" w14:textId="77777777" w:rsidR="00780678" w:rsidRDefault="00780678" w:rsidP="00780678">
      <w:pPr>
        <w:jc w:val="both"/>
        <w:rPr>
          <w:sz w:val="8"/>
          <w:szCs w:val="18"/>
        </w:rPr>
      </w:pPr>
    </w:p>
    <w:p w14:paraId="63072A41" w14:textId="77777777" w:rsidR="00EE78B5" w:rsidRDefault="00EE78B5" w:rsidP="0013526B">
      <w:pPr>
        <w:rPr>
          <w:sz w:val="12"/>
          <w:szCs w:val="14"/>
        </w:rPr>
      </w:pPr>
    </w:p>
    <w:p w14:paraId="22257C9A" w14:textId="3D1DEF16" w:rsidR="005621E7" w:rsidRPr="00640098" w:rsidRDefault="005621E7" w:rsidP="0013526B">
      <w:pPr>
        <w:rPr>
          <w:sz w:val="12"/>
          <w:szCs w:val="14"/>
        </w:rPr>
      </w:pPr>
    </w:p>
    <w:tbl>
      <w:tblPr>
        <w:tblW w:w="9214" w:type="dxa"/>
        <w:tblInd w:w="392" w:type="dxa"/>
        <w:tblLayout w:type="fixed"/>
        <w:tblLook w:val="0000" w:firstRow="0" w:lastRow="0" w:firstColumn="0" w:lastColumn="0" w:noHBand="0" w:noVBand="0"/>
      </w:tblPr>
      <w:tblGrid>
        <w:gridCol w:w="4607"/>
        <w:gridCol w:w="4607"/>
      </w:tblGrid>
      <w:tr w:rsidR="00083896" w:rsidRPr="00845B6C" w14:paraId="33860EA3" w14:textId="77777777" w:rsidTr="00284CA5">
        <w:tc>
          <w:tcPr>
            <w:tcW w:w="4607" w:type="dxa"/>
            <w:tcBorders>
              <w:top w:val="nil"/>
              <w:left w:val="nil"/>
              <w:bottom w:val="nil"/>
              <w:right w:val="nil"/>
            </w:tcBorders>
          </w:tcPr>
          <w:p w14:paraId="735CB82E" w14:textId="72042CD0" w:rsidR="00083896" w:rsidRPr="00845B6C" w:rsidRDefault="00803E08" w:rsidP="00070D1F">
            <w:pPr>
              <w:numPr>
                <w:ilvl w:val="0"/>
                <w:numId w:val="390"/>
              </w:numPr>
              <w:jc w:val="both"/>
              <w:rPr>
                <w:b/>
                <w:bCs w:val="0"/>
                <w:sz w:val="18"/>
                <w:szCs w:val="18"/>
              </w:rPr>
            </w:pPr>
            <w:r w:rsidRPr="00845B6C">
              <w:rPr>
                <w:b/>
                <w:bCs w:val="0"/>
                <w:sz w:val="18"/>
                <w:szCs w:val="18"/>
              </w:rPr>
              <w:t xml:space="preserve">BEBAN </w:t>
            </w:r>
            <w:r w:rsidR="00780678" w:rsidRPr="00845B6C">
              <w:rPr>
                <w:b/>
                <w:bCs w:val="0"/>
                <w:sz w:val="18"/>
                <w:szCs w:val="18"/>
              </w:rPr>
              <w:t>UMUM DAN ADMINISTRASI</w:t>
            </w:r>
          </w:p>
        </w:tc>
        <w:tc>
          <w:tcPr>
            <w:tcW w:w="4607" w:type="dxa"/>
            <w:tcBorders>
              <w:top w:val="nil"/>
              <w:left w:val="nil"/>
              <w:bottom w:val="nil"/>
              <w:right w:val="nil"/>
            </w:tcBorders>
          </w:tcPr>
          <w:p w14:paraId="4712B3BC" w14:textId="7F78F374" w:rsidR="00083896" w:rsidRPr="00845B6C" w:rsidRDefault="001722EA" w:rsidP="00070D1F">
            <w:pPr>
              <w:numPr>
                <w:ilvl w:val="0"/>
                <w:numId w:val="380"/>
              </w:numPr>
              <w:jc w:val="both"/>
              <w:rPr>
                <w:b/>
                <w:bCs w:val="0"/>
                <w:i/>
                <w:iCs/>
                <w:sz w:val="18"/>
                <w:szCs w:val="18"/>
              </w:rPr>
            </w:pPr>
            <w:r w:rsidRPr="00845B6C">
              <w:rPr>
                <w:b/>
                <w:bCs w:val="0"/>
                <w:i/>
                <w:iCs/>
                <w:sz w:val="18"/>
                <w:szCs w:val="18"/>
              </w:rPr>
              <w:t>GENERAL AND ADMINISTRATION EXPENSES</w:t>
            </w:r>
          </w:p>
        </w:tc>
      </w:tr>
      <w:tr w:rsidR="00083896" w:rsidRPr="0013526B" w14:paraId="4BDE1957" w14:textId="77777777" w:rsidTr="00284CA5">
        <w:tc>
          <w:tcPr>
            <w:tcW w:w="4607" w:type="dxa"/>
            <w:tcBorders>
              <w:top w:val="nil"/>
              <w:left w:val="nil"/>
              <w:bottom w:val="nil"/>
              <w:right w:val="nil"/>
            </w:tcBorders>
          </w:tcPr>
          <w:p w14:paraId="38EC46CD" w14:textId="77777777" w:rsidR="00083896" w:rsidRPr="0013526B" w:rsidRDefault="00083896" w:rsidP="0013526B">
            <w:pPr>
              <w:ind w:left="709"/>
              <w:jc w:val="both"/>
              <w:rPr>
                <w:sz w:val="10"/>
                <w:szCs w:val="14"/>
              </w:rPr>
            </w:pPr>
          </w:p>
        </w:tc>
        <w:tc>
          <w:tcPr>
            <w:tcW w:w="4607" w:type="dxa"/>
            <w:tcBorders>
              <w:top w:val="nil"/>
              <w:left w:val="nil"/>
              <w:bottom w:val="nil"/>
              <w:right w:val="nil"/>
            </w:tcBorders>
          </w:tcPr>
          <w:p w14:paraId="5B64FA2B" w14:textId="77777777" w:rsidR="00083896" w:rsidRPr="0013526B" w:rsidRDefault="00083896" w:rsidP="0013526B">
            <w:pPr>
              <w:pStyle w:val="ListParagraph"/>
              <w:ind w:left="743"/>
              <w:jc w:val="both"/>
              <w:rPr>
                <w:i/>
                <w:sz w:val="10"/>
                <w:szCs w:val="14"/>
              </w:rPr>
            </w:pPr>
          </w:p>
        </w:tc>
      </w:tr>
      <w:tr w:rsidR="00083896" w:rsidRPr="0013526B" w14:paraId="7364C3C0" w14:textId="77777777" w:rsidTr="00284CA5">
        <w:tc>
          <w:tcPr>
            <w:tcW w:w="4607" w:type="dxa"/>
            <w:tcBorders>
              <w:top w:val="nil"/>
              <w:left w:val="nil"/>
              <w:bottom w:val="nil"/>
              <w:right w:val="nil"/>
            </w:tcBorders>
          </w:tcPr>
          <w:p w14:paraId="227EF0A7" w14:textId="77777777" w:rsidR="00083896" w:rsidRPr="0013526B" w:rsidRDefault="00803E08" w:rsidP="009479DE">
            <w:pPr>
              <w:pStyle w:val="ListParagraph"/>
              <w:ind w:left="263"/>
              <w:jc w:val="both"/>
              <w:rPr>
                <w:sz w:val="18"/>
                <w:szCs w:val="18"/>
              </w:rPr>
            </w:pPr>
            <w:r w:rsidRPr="0013526B">
              <w:rPr>
                <w:sz w:val="18"/>
                <w:szCs w:val="18"/>
              </w:rPr>
              <w:t>Rincian</w:t>
            </w:r>
            <w:r w:rsidRPr="001722EA">
              <w:rPr>
                <w:sz w:val="18"/>
                <w:szCs w:val="18"/>
              </w:rPr>
              <w:t xml:space="preserve"> beban usaha adalah sebagai berikut:</w:t>
            </w:r>
          </w:p>
        </w:tc>
        <w:tc>
          <w:tcPr>
            <w:tcW w:w="4607" w:type="dxa"/>
            <w:tcBorders>
              <w:top w:val="nil"/>
              <w:left w:val="nil"/>
              <w:bottom w:val="nil"/>
              <w:right w:val="nil"/>
            </w:tcBorders>
          </w:tcPr>
          <w:p w14:paraId="7AE30C88" w14:textId="77777777" w:rsidR="00083896" w:rsidRPr="0013526B" w:rsidRDefault="00803E08" w:rsidP="0013526B">
            <w:pPr>
              <w:pStyle w:val="ListParagraph"/>
              <w:tabs>
                <w:tab w:val="right" w:pos="9340"/>
                <w:tab w:val="right" w:pos="10080"/>
              </w:tabs>
              <w:ind w:left="284"/>
              <w:jc w:val="both"/>
              <w:rPr>
                <w:i/>
                <w:sz w:val="18"/>
                <w:szCs w:val="18"/>
              </w:rPr>
            </w:pPr>
            <w:r w:rsidRPr="0013526B">
              <w:rPr>
                <w:i/>
                <w:sz w:val="18"/>
                <w:szCs w:val="18"/>
              </w:rPr>
              <w:t>Details</w:t>
            </w:r>
            <w:r w:rsidRPr="0013526B">
              <w:rPr>
                <w:bCs w:val="0"/>
                <w:i/>
                <w:sz w:val="18"/>
                <w:szCs w:val="18"/>
              </w:rPr>
              <w:t xml:space="preserve"> of operating expenses are as follows:</w:t>
            </w:r>
          </w:p>
        </w:tc>
      </w:tr>
    </w:tbl>
    <w:p w14:paraId="7BB690D0" w14:textId="77777777" w:rsidR="00083896" w:rsidRPr="00640098" w:rsidRDefault="00083896" w:rsidP="0013526B">
      <w:pPr>
        <w:ind w:left="567"/>
        <w:jc w:val="both"/>
        <w:rPr>
          <w:sz w:val="8"/>
          <w:szCs w:val="14"/>
        </w:rPr>
      </w:pPr>
    </w:p>
    <w:tbl>
      <w:tblPr>
        <w:tblW w:w="9197" w:type="dxa"/>
        <w:tblInd w:w="392" w:type="dxa"/>
        <w:tblCellMar>
          <w:left w:w="0" w:type="dxa"/>
          <w:right w:w="0" w:type="dxa"/>
        </w:tblCellMar>
        <w:tblLook w:val="04A0" w:firstRow="1" w:lastRow="0" w:firstColumn="1" w:lastColumn="0" w:noHBand="0" w:noVBand="1"/>
      </w:tblPr>
      <w:tblGrid>
        <w:gridCol w:w="2588"/>
        <w:gridCol w:w="1576"/>
        <w:gridCol w:w="87"/>
        <w:gridCol w:w="347"/>
        <w:gridCol w:w="2073"/>
        <w:gridCol w:w="2526"/>
      </w:tblGrid>
      <w:tr w:rsidR="002C6EE3" w:rsidRPr="006A720D" w14:paraId="06D81D55" w14:textId="77777777" w:rsidTr="002C6EE3">
        <w:tc>
          <w:tcPr>
            <w:tcW w:w="2588" w:type="dxa"/>
            <w:shd w:val="clear" w:color="auto" w:fill="auto"/>
            <w:vAlign w:val="bottom"/>
          </w:tcPr>
          <w:p w14:paraId="25DE6357" w14:textId="77777777" w:rsidR="002C6EE3" w:rsidRPr="006A720D" w:rsidRDefault="002C6EE3" w:rsidP="002C6EE3">
            <w:pPr>
              <w:ind w:left="176"/>
              <w:rPr>
                <w:sz w:val="18"/>
                <w:szCs w:val="18"/>
              </w:rPr>
            </w:pPr>
          </w:p>
        </w:tc>
        <w:tc>
          <w:tcPr>
            <w:tcW w:w="1576" w:type="dxa"/>
            <w:tcBorders>
              <w:bottom w:val="single" w:sz="4" w:space="0" w:color="auto"/>
            </w:tcBorders>
            <w:shd w:val="clear" w:color="auto" w:fill="auto"/>
          </w:tcPr>
          <w:p w14:paraId="3D0F1CE9" w14:textId="77777777" w:rsidR="002C6EE3" w:rsidRDefault="002C6EE3" w:rsidP="002C6EE3">
            <w:pPr>
              <w:jc w:val="center"/>
              <w:rPr>
                <w:b/>
                <w:sz w:val="18"/>
                <w:szCs w:val="18"/>
              </w:rPr>
            </w:pPr>
            <w:r>
              <w:rPr>
                <w:b/>
                <w:sz w:val="18"/>
                <w:szCs w:val="18"/>
              </w:rPr>
              <w:t>31 Maret/</w:t>
            </w:r>
          </w:p>
          <w:p w14:paraId="5F95CA1C" w14:textId="02912C1D" w:rsidR="002C6EE3" w:rsidRPr="006A720D" w:rsidRDefault="002C6EE3" w:rsidP="002C6EE3">
            <w:pPr>
              <w:jc w:val="center"/>
              <w:rPr>
                <w:b/>
                <w:sz w:val="18"/>
                <w:szCs w:val="18"/>
              </w:rPr>
            </w:pPr>
            <w:r>
              <w:rPr>
                <w:b/>
                <w:sz w:val="18"/>
                <w:szCs w:val="18"/>
              </w:rPr>
              <w:t>March 31</w:t>
            </w:r>
            <w:r w:rsidR="00305CA0">
              <w:rPr>
                <w:b/>
                <w:sz w:val="18"/>
                <w:szCs w:val="18"/>
              </w:rPr>
              <w:t>.</w:t>
            </w:r>
            <w:r>
              <w:rPr>
                <w:b/>
                <w:sz w:val="18"/>
                <w:szCs w:val="18"/>
              </w:rPr>
              <w:t xml:space="preserve"> 2020</w:t>
            </w:r>
          </w:p>
        </w:tc>
        <w:tc>
          <w:tcPr>
            <w:tcW w:w="87" w:type="dxa"/>
            <w:shd w:val="clear" w:color="auto" w:fill="auto"/>
          </w:tcPr>
          <w:p w14:paraId="10777548" w14:textId="77777777" w:rsidR="002C6EE3" w:rsidRPr="006A720D" w:rsidRDefault="002C6EE3" w:rsidP="002C6EE3">
            <w:pPr>
              <w:jc w:val="center"/>
              <w:rPr>
                <w:b/>
                <w:sz w:val="18"/>
                <w:szCs w:val="18"/>
              </w:rPr>
            </w:pPr>
          </w:p>
        </w:tc>
        <w:tc>
          <w:tcPr>
            <w:tcW w:w="2420" w:type="dxa"/>
            <w:gridSpan w:val="2"/>
            <w:tcBorders>
              <w:bottom w:val="single" w:sz="4" w:space="0" w:color="auto"/>
            </w:tcBorders>
          </w:tcPr>
          <w:p w14:paraId="15FAB70C" w14:textId="77777777" w:rsidR="002C6EE3" w:rsidRDefault="002C6EE3" w:rsidP="002C6EE3">
            <w:pPr>
              <w:jc w:val="center"/>
              <w:rPr>
                <w:b/>
                <w:sz w:val="18"/>
                <w:szCs w:val="18"/>
              </w:rPr>
            </w:pPr>
            <w:r>
              <w:rPr>
                <w:b/>
                <w:sz w:val="18"/>
                <w:szCs w:val="18"/>
              </w:rPr>
              <w:t xml:space="preserve">31 Maret/ </w:t>
            </w:r>
          </w:p>
          <w:p w14:paraId="51DB0E37" w14:textId="7F4CF7F0" w:rsidR="002C6EE3" w:rsidRPr="006A720D" w:rsidRDefault="002C6EE3" w:rsidP="002C6EE3">
            <w:pPr>
              <w:jc w:val="center"/>
              <w:rPr>
                <w:b/>
                <w:sz w:val="18"/>
                <w:szCs w:val="18"/>
              </w:rPr>
            </w:pPr>
            <w:r>
              <w:rPr>
                <w:b/>
                <w:sz w:val="18"/>
                <w:szCs w:val="18"/>
              </w:rPr>
              <w:t>March 31</w:t>
            </w:r>
            <w:r w:rsidR="00305CA0">
              <w:rPr>
                <w:b/>
                <w:sz w:val="18"/>
                <w:szCs w:val="18"/>
              </w:rPr>
              <w:t>.</w:t>
            </w:r>
            <w:r>
              <w:rPr>
                <w:b/>
                <w:sz w:val="18"/>
                <w:szCs w:val="18"/>
              </w:rPr>
              <w:t xml:space="preserve"> 2019 </w:t>
            </w:r>
          </w:p>
        </w:tc>
        <w:tc>
          <w:tcPr>
            <w:tcW w:w="2526" w:type="dxa"/>
            <w:shd w:val="clear" w:color="auto" w:fill="auto"/>
          </w:tcPr>
          <w:p w14:paraId="5BBD439F" w14:textId="77777777" w:rsidR="002C6EE3" w:rsidRPr="006A720D" w:rsidRDefault="002C6EE3" w:rsidP="002C6EE3">
            <w:pPr>
              <w:jc w:val="both"/>
              <w:rPr>
                <w:sz w:val="18"/>
                <w:szCs w:val="18"/>
              </w:rPr>
            </w:pPr>
          </w:p>
        </w:tc>
      </w:tr>
      <w:tr w:rsidR="005D64F0" w:rsidRPr="006A720D" w14:paraId="1F6D2E34" w14:textId="77777777" w:rsidTr="002C6EE3">
        <w:tc>
          <w:tcPr>
            <w:tcW w:w="2588" w:type="dxa"/>
            <w:shd w:val="clear" w:color="auto" w:fill="auto"/>
            <w:vAlign w:val="bottom"/>
          </w:tcPr>
          <w:p w14:paraId="2BE9EEF1" w14:textId="77777777" w:rsidR="005D64F0" w:rsidRPr="006A720D" w:rsidRDefault="005D64F0" w:rsidP="0013526B">
            <w:pPr>
              <w:ind w:left="176"/>
              <w:rPr>
                <w:sz w:val="18"/>
                <w:szCs w:val="18"/>
              </w:rPr>
            </w:pPr>
          </w:p>
        </w:tc>
        <w:tc>
          <w:tcPr>
            <w:tcW w:w="1576" w:type="dxa"/>
            <w:shd w:val="clear" w:color="auto" w:fill="auto"/>
          </w:tcPr>
          <w:p w14:paraId="48805BB5" w14:textId="77777777" w:rsidR="005D64F0" w:rsidRPr="006A720D" w:rsidRDefault="005D64F0" w:rsidP="0013526B">
            <w:pPr>
              <w:jc w:val="center"/>
              <w:rPr>
                <w:b/>
                <w:sz w:val="18"/>
                <w:szCs w:val="18"/>
              </w:rPr>
            </w:pPr>
          </w:p>
        </w:tc>
        <w:tc>
          <w:tcPr>
            <w:tcW w:w="87" w:type="dxa"/>
            <w:shd w:val="clear" w:color="auto" w:fill="auto"/>
          </w:tcPr>
          <w:p w14:paraId="7F4B0584" w14:textId="77777777" w:rsidR="005D64F0" w:rsidRPr="006A720D" w:rsidRDefault="005D64F0" w:rsidP="0013526B">
            <w:pPr>
              <w:jc w:val="center"/>
              <w:rPr>
                <w:b/>
                <w:sz w:val="18"/>
                <w:szCs w:val="18"/>
              </w:rPr>
            </w:pPr>
          </w:p>
        </w:tc>
        <w:tc>
          <w:tcPr>
            <w:tcW w:w="2420" w:type="dxa"/>
            <w:gridSpan w:val="2"/>
            <w:tcBorders>
              <w:top w:val="single" w:sz="4" w:space="0" w:color="auto"/>
            </w:tcBorders>
          </w:tcPr>
          <w:p w14:paraId="7C1FA631" w14:textId="77777777" w:rsidR="005D64F0" w:rsidRPr="006A720D" w:rsidRDefault="005D64F0" w:rsidP="0013526B">
            <w:pPr>
              <w:jc w:val="center"/>
              <w:rPr>
                <w:b/>
                <w:sz w:val="18"/>
                <w:szCs w:val="18"/>
              </w:rPr>
            </w:pPr>
          </w:p>
        </w:tc>
        <w:tc>
          <w:tcPr>
            <w:tcW w:w="2526" w:type="dxa"/>
            <w:shd w:val="clear" w:color="auto" w:fill="auto"/>
          </w:tcPr>
          <w:p w14:paraId="65378EC6" w14:textId="77777777" w:rsidR="005D64F0" w:rsidRPr="006A720D" w:rsidRDefault="005D64F0" w:rsidP="0013526B">
            <w:pPr>
              <w:jc w:val="both"/>
              <w:rPr>
                <w:sz w:val="18"/>
                <w:szCs w:val="18"/>
              </w:rPr>
            </w:pPr>
          </w:p>
        </w:tc>
      </w:tr>
      <w:tr w:rsidR="006A720D" w:rsidRPr="006A720D" w14:paraId="1357545B" w14:textId="77777777" w:rsidTr="002C6EE3">
        <w:trPr>
          <w:trHeight w:val="178"/>
        </w:trPr>
        <w:tc>
          <w:tcPr>
            <w:tcW w:w="2588" w:type="dxa"/>
            <w:shd w:val="clear" w:color="auto" w:fill="auto"/>
          </w:tcPr>
          <w:p w14:paraId="3A92466D" w14:textId="179F6FB9" w:rsidR="006A720D" w:rsidRPr="006A720D" w:rsidRDefault="006A720D" w:rsidP="009479DE">
            <w:pPr>
              <w:pStyle w:val="ListParagraph"/>
              <w:ind w:left="349"/>
              <w:jc w:val="both"/>
              <w:rPr>
                <w:sz w:val="18"/>
                <w:szCs w:val="18"/>
              </w:rPr>
            </w:pPr>
            <w:r w:rsidRPr="006A720D">
              <w:rPr>
                <w:sz w:val="18"/>
                <w:szCs w:val="18"/>
              </w:rPr>
              <w:t>Gaji dan tunjangan</w:t>
            </w:r>
          </w:p>
        </w:tc>
        <w:tc>
          <w:tcPr>
            <w:tcW w:w="1576" w:type="dxa"/>
            <w:shd w:val="clear" w:color="auto" w:fill="auto"/>
            <w:vAlign w:val="bottom"/>
          </w:tcPr>
          <w:p w14:paraId="18A48CA8" w14:textId="73E26644" w:rsidR="006A720D" w:rsidRPr="006A720D" w:rsidRDefault="00520E82" w:rsidP="002C6EE3">
            <w:pPr>
              <w:ind w:right="57"/>
              <w:jc w:val="right"/>
              <w:rPr>
                <w:sz w:val="18"/>
                <w:szCs w:val="18"/>
              </w:rPr>
            </w:pPr>
            <w:r w:rsidRPr="00520E82">
              <w:rPr>
                <w:sz w:val="18"/>
                <w:szCs w:val="18"/>
              </w:rPr>
              <w:t>42</w:t>
            </w:r>
            <w:r w:rsidR="002C6EE3">
              <w:rPr>
                <w:sz w:val="18"/>
                <w:szCs w:val="18"/>
              </w:rPr>
              <w:t>.</w:t>
            </w:r>
            <w:r w:rsidRPr="00520E82">
              <w:rPr>
                <w:sz w:val="18"/>
                <w:szCs w:val="18"/>
              </w:rPr>
              <w:t>301</w:t>
            </w:r>
            <w:r w:rsidR="002C6EE3">
              <w:rPr>
                <w:sz w:val="18"/>
                <w:szCs w:val="18"/>
              </w:rPr>
              <w:t>.</w:t>
            </w:r>
            <w:r w:rsidRPr="00520E82">
              <w:rPr>
                <w:sz w:val="18"/>
                <w:szCs w:val="18"/>
              </w:rPr>
              <w:t>291</w:t>
            </w:r>
            <w:r w:rsidR="002C6EE3">
              <w:rPr>
                <w:sz w:val="18"/>
                <w:szCs w:val="18"/>
              </w:rPr>
              <w:t>.</w:t>
            </w:r>
            <w:r w:rsidRPr="00520E82">
              <w:rPr>
                <w:sz w:val="18"/>
                <w:szCs w:val="18"/>
              </w:rPr>
              <w:t>255</w:t>
            </w:r>
          </w:p>
        </w:tc>
        <w:tc>
          <w:tcPr>
            <w:tcW w:w="87" w:type="dxa"/>
            <w:shd w:val="clear" w:color="auto" w:fill="auto"/>
            <w:vAlign w:val="bottom"/>
          </w:tcPr>
          <w:p w14:paraId="7BB4C053" w14:textId="77777777" w:rsidR="006A720D" w:rsidRPr="006A720D" w:rsidRDefault="006A720D" w:rsidP="0013526B">
            <w:pPr>
              <w:jc w:val="right"/>
              <w:rPr>
                <w:sz w:val="18"/>
                <w:szCs w:val="18"/>
              </w:rPr>
            </w:pPr>
          </w:p>
        </w:tc>
        <w:tc>
          <w:tcPr>
            <w:tcW w:w="2420" w:type="dxa"/>
            <w:gridSpan w:val="2"/>
          </w:tcPr>
          <w:p w14:paraId="6043324D" w14:textId="57DE4B67" w:rsidR="006A720D" w:rsidRPr="006A720D" w:rsidRDefault="00520E82" w:rsidP="00525CA4">
            <w:pPr>
              <w:ind w:right="57"/>
              <w:jc w:val="right"/>
              <w:rPr>
                <w:sz w:val="18"/>
                <w:szCs w:val="18"/>
              </w:rPr>
            </w:pPr>
            <w:r w:rsidRPr="00520E82">
              <w:rPr>
                <w:sz w:val="18"/>
                <w:szCs w:val="18"/>
              </w:rPr>
              <w:t>32</w:t>
            </w:r>
            <w:r w:rsidR="002C6EE3">
              <w:rPr>
                <w:sz w:val="18"/>
                <w:szCs w:val="18"/>
              </w:rPr>
              <w:t>.</w:t>
            </w:r>
            <w:r w:rsidRPr="00520E82">
              <w:rPr>
                <w:sz w:val="18"/>
                <w:szCs w:val="18"/>
              </w:rPr>
              <w:t>296</w:t>
            </w:r>
            <w:r w:rsidR="002C6EE3">
              <w:rPr>
                <w:sz w:val="18"/>
                <w:szCs w:val="18"/>
              </w:rPr>
              <w:t>.</w:t>
            </w:r>
            <w:r w:rsidRPr="00520E82">
              <w:rPr>
                <w:sz w:val="18"/>
                <w:szCs w:val="18"/>
              </w:rPr>
              <w:t>904</w:t>
            </w:r>
            <w:r w:rsidR="002C6EE3">
              <w:rPr>
                <w:sz w:val="18"/>
                <w:szCs w:val="18"/>
              </w:rPr>
              <w:t>.</w:t>
            </w:r>
            <w:r w:rsidRPr="00520E82">
              <w:rPr>
                <w:sz w:val="18"/>
                <w:szCs w:val="18"/>
              </w:rPr>
              <w:t>063</w:t>
            </w:r>
          </w:p>
        </w:tc>
        <w:tc>
          <w:tcPr>
            <w:tcW w:w="2526" w:type="dxa"/>
            <w:shd w:val="clear" w:color="auto" w:fill="auto"/>
            <w:vAlign w:val="bottom"/>
          </w:tcPr>
          <w:p w14:paraId="0CEDA172" w14:textId="0B926AC0" w:rsidR="006A720D" w:rsidRPr="006A720D" w:rsidRDefault="006A720D" w:rsidP="0013526B">
            <w:pPr>
              <w:ind w:right="57"/>
              <w:jc w:val="right"/>
              <w:rPr>
                <w:i/>
                <w:sz w:val="18"/>
                <w:szCs w:val="18"/>
              </w:rPr>
            </w:pPr>
            <w:r w:rsidRPr="006A720D">
              <w:rPr>
                <w:i/>
                <w:iCs/>
                <w:color w:val="000000"/>
                <w:sz w:val="18"/>
                <w:szCs w:val="18"/>
              </w:rPr>
              <w:t>Salary and allowance</w:t>
            </w:r>
          </w:p>
        </w:tc>
      </w:tr>
      <w:tr w:rsidR="00026751" w:rsidRPr="006A720D" w14:paraId="533236AB" w14:textId="77777777" w:rsidTr="00026751">
        <w:tc>
          <w:tcPr>
            <w:tcW w:w="2588" w:type="dxa"/>
            <w:shd w:val="clear" w:color="auto" w:fill="auto"/>
          </w:tcPr>
          <w:p w14:paraId="0BD81976" w14:textId="77777777" w:rsidR="00026751" w:rsidRPr="006A720D" w:rsidRDefault="00026751" w:rsidP="00026751">
            <w:pPr>
              <w:pStyle w:val="ListParagraph"/>
              <w:ind w:left="349"/>
              <w:jc w:val="both"/>
              <w:rPr>
                <w:sz w:val="18"/>
                <w:szCs w:val="18"/>
              </w:rPr>
            </w:pPr>
            <w:r w:rsidRPr="006A720D">
              <w:rPr>
                <w:sz w:val="18"/>
                <w:szCs w:val="18"/>
              </w:rPr>
              <w:t>Keamanan dan kebersihan</w:t>
            </w:r>
          </w:p>
        </w:tc>
        <w:tc>
          <w:tcPr>
            <w:tcW w:w="1576" w:type="dxa"/>
            <w:shd w:val="clear" w:color="auto" w:fill="auto"/>
            <w:vAlign w:val="bottom"/>
          </w:tcPr>
          <w:p w14:paraId="7C5577A4" w14:textId="77777777" w:rsidR="00026751" w:rsidRPr="004D6BC1" w:rsidRDefault="00026751" w:rsidP="00026751">
            <w:pPr>
              <w:ind w:right="57"/>
              <w:jc w:val="right"/>
              <w:rPr>
                <w:sz w:val="18"/>
                <w:szCs w:val="18"/>
              </w:rPr>
            </w:pPr>
            <w:r w:rsidRPr="00520E82">
              <w:rPr>
                <w:sz w:val="18"/>
                <w:szCs w:val="18"/>
              </w:rPr>
              <w:t>7</w:t>
            </w:r>
            <w:r>
              <w:rPr>
                <w:sz w:val="18"/>
                <w:szCs w:val="18"/>
              </w:rPr>
              <w:t>.</w:t>
            </w:r>
            <w:r w:rsidRPr="00520E82">
              <w:rPr>
                <w:sz w:val="18"/>
                <w:szCs w:val="18"/>
              </w:rPr>
              <w:t>713</w:t>
            </w:r>
            <w:r>
              <w:rPr>
                <w:sz w:val="18"/>
                <w:szCs w:val="18"/>
              </w:rPr>
              <w:t>.</w:t>
            </w:r>
            <w:r w:rsidRPr="00520E82">
              <w:rPr>
                <w:sz w:val="18"/>
                <w:szCs w:val="18"/>
              </w:rPr>
              <w:t>657</w:t>
            </w:r>
            <w:r>
              <w:rPr>
                <w:sz w:val="18"/>
                <w:szCs w:val="18"/>
              </w:rPr>
              <w:t>.</w:t>
            </w:r>
            <w:r w:rsidRPr="00520E82">
              <w:rPr>
                <w:sz w:val="18"/>
                <w:szCs w:val="18"/>
              </w:rPr>
              <w:t>210</w:t>
            </w:r>
          </w:p>
        </w:tc>
        <w:tc>
          <w:tcPr>
            <w:tcW w:w="87" w:type="dxa"/>
            <w:shd w:val="clear" w:color="auto" w:fill="auto"/>
            <w:vAlign w:val="bottom"/>
          </w:tcPr>
          <w:p w14:paraId="75DBBC1F" w14:textId="77777777" w:rsidR="00026751" w:rsidRPr="006A720D" w:rsidRDefault="00026751" w:rsidP="00026751">
            <w:pPr>
              <w:jc w:val="right"/>
              <w:rPr>
                <w:sz w:val="18"/>
                <w:szCs w:val="18"/>
              </w:rPr>
            </w:pPr>
          </w:p>
        </w:tc>
        <w:tc>
          <w:tcPr>
            <w:tcW w:w="2420" w:type="dxa"/>
            <w:gridSpan w:val="2"/>
          </w:tcPr>
          <w:p w14:paraId="09CCE0AF" w14:textId="77777777" w:rsidR="00026751" w:rsidRPr="006A720D" w:rsidRDefault="00026751" w:rsidP="00026751">
            <w:pPr>
              <w:ind w:right="57"/>
              <w:jc w:val="right"/>
              <w:rPr>
                <w:sz w:val="18"/>
                <w:szCs w:val="18"/>
              </w:rPr>
            </w:pPr>
            <w:r w:rsidRPr="00520E82">
              <w:rPr>
                <w:sz w:val="18"/>
                <w:szCs w:val="18"/>
              </w:rPr>
              <w:t>6</w:t>
            </w:r>
            <w:r>
              <w:rPr>
                <w:sz w:val="18"/>
                <w:szCs w:val="18"/>
              </w:rPr>
              <w:t>.</w:t>
            </w:r>
            <w:r w:rsidRPr="00520E82">
              <w:rPr>
                <w:sz w:val="18"/>
                <w:szCs w:val="18"/>
              </w:rPr>
              <w:t>987</w:t>
            </w:r>
            <w:r>
              <w:rPr>
                <w:sz w:val="18"/>
                <w:szCs w:val="18"/>
              </w:rPr>
              <w:t>.</w:t>
            </w:r>
            <w:r w:rsidRPr="00520E82">
              <w:rPr>
                <w:sz w:val="18"/>
                <w:szCs w:val="18"/>
              </w:rPr>
              <w:t>580</w:t>
            </w:r>
            <w:r>
              <w:rPr>
                <w:sz w:val="18"/>
                <w:szCs w:val="18"/>
              </w:rPr>
              <w:t>.</w:t>
            </w:r>
            <w:r w:rsidRPr="00520E82">
              <w:rPr>
                <w:sz w:val="18"/>
                <w:szCs w:val="18"/>
              </w:rPr>
              <w:t>142</w:t>
            </w:r>
          </w:p>
        </w:tc>
        <w:tc>
          <w:tcPr>
            <w:tcW w:w="2526" w:type="dxa"/>
            <w:shd w:val="clear" w:color="auto" w:fill="auto"/>
            <w:vAlign w:val="bottom"/>
          </w:tcPr>
          <w:p w14:paraId="13D450F3" w14:textId="77777777" w:rsidR="00026751" w:rsidRPr="006A720D" w:rsidRDefault="00026751" w:rsidP="00026751">
            <w:pPr>
              <w:ind w:right="57"/>
              <w:jc w:val="right"/>
              <w:rPr>
                <w:i/>
                <w:sz w:val="18"/>
                <w:szCs w:val="18"/>
              </w:rPr>
            </w:pPr>
            <w:r w:rsidRPr="006A720D">
              <w:rPr>
                <w:i/>
                <w:iCs/>
                <w:color w:val="000000"/>
                <w:sz w:val="18"/>
                <w:szCs w:val="18"/>
              </w:rPr>
              <w:t>Security and cleaning services</w:t>
            </w:r>
          </w:p>
        </w:tc>
      </w:tr>
      <w:tr w:rsidR="00BD1342" w:rsidRPr="006A720D" w14:paraId="1E4FF75B" w14:textId="77777777" w:rsidTr="002C6EE3">
        <w:tc>
          <w:tcPr>
            <w:tcW w:w="2588" w:type="dxa"/>
            <w:shd w:val="clear" w:color="auto" w:fill="auto"/>
          </w:tcPr>
          <w:p w14:paraId="064D8D3F" w14:textId="77777777" w:rsidR="00BD1342" w:rsidRPr="006A720D" w:rsidRDefault="00BD1342" w:rsidP="009479DE">
            <w:pPr>
              <w:pStyle w:val="ListParagraph"/>
              <w:ind w:left="349"/>
              <w:jc w:val="both"/>
              <w:rPr>
                <w:sz w:val="18"/>
                <w:szCs w:val="18"/>
              </w:rPr>
            </w:pPr>
            <w:r w:rsidRPr="006A720D">
              <w:rPr>
                <w:sz w:val="18"/>
                <w:szCs w:val="18"/>
              </w:rPr>
              <w:t>Listrik dan air</w:t>
            </w:r>
          </w:p>
        </w:tc>
        <w:tc>
          <w:tcPr>
            <w:tcW w:w="1576" w:type="dxa"/>
            <w:shd w:val="clear" w:color="auto" w:fill="auto"/>
            <w:vAlign w:val="bottom"/>
          </w:tcPr>
          <w:p w14:paraId="68306A19" w14:textId="4F55DCDC" w:rsidR="00BD1342" w:rsidRPr="006A720D" w:rsidRDefault="00520E82" w:rsidP="002C6EE3">
            <w:pPr>
              <w:ind w:right="57"/>
              <w:jc w:val="right"/>
              <w:rPr>
                <w:sz w:val="18"/>
                <w:szCs w:val="18"/>
              </w:rPr>
            </w:pPr>
            <w:r w:rsidRPr="00520E82">
              <w:rPr>
                <w:sz w:val="18"/>
                <w:szCs w:val="18"/>
              </w:rPr>
              <w:t>6</w:t>
            </w:r>
            <w:r w:rsidR="002C6EE3">
              <w:rPr>
                <w:sz w:val="18"/>
                <w:szCs w:val="18"/>
              </w:rPr>
              <w:t>.</w:t>
            </w:r>
            <w:r w:rsidRPr="00520E82">
              <w:rPr>
                <w:sz w:val="18"/>
                <w:szCs w:val="18"/>
              </w:rPr>
              <w:t>457</w:t>
            </w:r>
            <w:r w:rsidR="002C6EE3">
              <w:rPr>
                <w:sz w:val="18"/>
                <w:szCs w:val="18"/>
              </w:rPr>
              <w:t>.</w:t>
            </w:r>
            <w:r w:rsidRPr="00520E82">
              <w:rPr>
                <w:sz w:val="18"/>
                <w:szCs w:val="18"/>
              </w:rPr>
              <w:t>238</w:t>
            </w:r>
            <w:r w:rsidR="002C6EE3">
              <w:rPr>
                <w:sz w:val="18"/>
                <w:szCs w:val="18"/>
              </w:rPr>
              <w:t>.</w:t>
            </w:r>
            <w:r w:rsidRPr="00520E82">
              <w:rPr>
                <w:sz w:val="18"/>
                <w:szCs w:val="18"/>
              </w:rPr>
              <w:t>375</w:t>
            </w:r>
          </w:p>
        </w:tc>
        <w:tc>
          <w:tcPr>
            <w:tcW w:w="87" w:type="dxa"/>
            <w:shd w:val="clear" w:color="auto" w:fill="auto"/>
            <w:vAlign w:val="bottom"/>
          </w:tcPr>
          <w:p w14:paraId="24633479" w14:textId="77777777" w:rsidR="00BD1342" w:rsidRPr="006A720D" w:rsidRDefault="00BD1342" w:rsidP="0013526B">
            <w:pPr>
              <w:jc w:val="right"/>
              <w:rPr>
                <w:sz w:val="18"/>
                <w:szCs w:val="18"/>
              </w:rPr>
            </w:pPr>
          </w:p>
        </w:tc>
        <w:tc>
          <w:tcPr>
            <w:tcW w:w="2420" w:type="dxa"/>
            <w:gridSpan w:val="2"/>
          </w:tcPr>
          <w:p w14:paraId="0CE0D54F" w14:textId="0CFA508D" w:rsidR="00BD1342" w:rsidRPr="006A720D" w:rsidRDefault="00520E82" w:rsidP="0013526B">
            <w:pPr>
              <w:ind w:right="57"/>
              <w:jc w:val="right"/>
              <w:rPr>
                <w:sz w:val="18"/>
                <w:szCs w:val="18"/>
              </w:rPr>
            </w:pPr>
            <w:r w:rsidRPr="00520E82">
              <w:rPr>
                <w:sz w:val="18"/>
                <w:szCs w:val="18"/>
              </w:rPr>
              <w:t>4</w:t>
            </w:r>
            <w:r w:rsidR="002C6EE3">
              <w:rPr>
                <w:sz w:val="18"/>
                <w:szCs w:val="18"/>
              </w:rPr>
              <w:t>.</w:t>
            </w:r>
            <w:r w:rsidRPr="00520E82">
              <w:rPr>
                <w:sz w:val="18"/>
                <w:szCs w:val="18"/>
              </w:rPr>
              <w:t>523</w:t>
            </w:r>
            <w:r w:rsidR="002C6EE3">
              <w:rPr>
                <w:sz w:val="18"/>
                <w:szCs w:val="18"/>
              </w:rPr>
              <w:t>.</w:t>
            </w:r>
            <w:r w:rsidRPr="00520E82">
              <w:rPr>
                <w:sz w:val="18"/>
                <w:szCs w:val="18"/>
              </w:rPr>
              <w:t>029</w:t>
            </w:r>
            <w:r w:rsidR="002C6EE3">
              <w:rPr>
                <w:sz w:val="18"/>
                <w:szCs w:val="18"/>
              </w:rPr>
              <w:t>.</w:t>
            </w:r>
            <w:r w:rsidRPr="00520E82">
              <w:rPr>
                <w:sz w:val="18"/>
                <w:szCs w:val="18"/>
              </w:rPr>
              <w:t>788</w:t>
            </w:r>
          </w:p>
        </w:tc>
        <w:tc>
          <w:tcPr>
            <w:tcW w:w="2526" w:type="dxa"/>
            <w:shd w:val="clear" w:color="auto" w:fill="auto"/>
            <w:vAlign w:val="bottom"/>
          </w:tcPr>
          <w:p w14:paraId="2863F8E3" w14:textId="77777777" w:rsidR="00BD1342" w:rsidRPr="006A720D" w:rsidRDefault="00BD1342" w:rsidP="0013526B">
            <w:pPr>
              <w:ind w:right="57"/>
              <w:jc w:val="right"/>
              <w:rPr>
                <w:i/>
                <w:sz w:val="18"/>
                <w:szCs w:val="18"/>
              </w:rPr>
            </w:pPr>
            <w:r w:rsidRPr="006A720D">
              <w:rPr>
                <w:i/>
                <w:iCs/>
                <w:color w:val="000000"/>
                <w:sz w:val="18"/>
                <w:szCs w:val="18"/>
              </w:rPr>
              <w:t>Utilities</w:t>
            </w:r>
          </w:p>
        </w:tc>
      </w:tr>
      <w:tr w:rsidR="00026751" w:rsidRPr="006A720D" w14:paraId="6424ED12" w14:textId="77777777" w:rsidTr="00026751">
        <w:tc>
          <w:tcPr>
            <w:tcW w:w="2588" w:type="dxa"/>
            <w:shd w:val="clear" w:color="auto" w:fill="auto"/>
          </w:tcPr>
          <w:p w14:paraId="24F9AFD8" w14:textId="77777777" w:rsidR="00026751" w:rsidRPr="006A720D" w:rsidRDefault="00026751" w:rsidP="00026751">
            <w:pPr>
              <w:pStyle w:val="ListParagraph"/>
              <w:ind w:left="349"/>
              <w:jc w:val="both"/>
              <w:rPr>
                <w:sz w:val="18"/>
                <w:szCs w:val="18"/>
              </w:rPr>
            </w:pPr>
            <w:r w:rsidRPr="008D4EEE">
              <w:rPr>
                <w:sz w:val="18"/>
                <w:szCs w:val="18"/>
              </w:rPr>
              <w:t>Penyusutan (Catatan 11)</w:t>
            </w:r>
          </w:p>
        </w:tc>
        <w:tc>
          <w:tcPr>
            <w:tcW w:w="1576" w:type="dxa"/>
            <w:shd w:val="clear" w:color="auto" w:fill="auto"/>
            <w:vAlign w:val="bottom"/>
          </w:tcPr>
          <w:p w14:paraId="19DBADA4" w14:textId="1D0F6E53" w:rsidR="00026751" w:rsidRPr="0053621E" w:rsidRDefault="009B2DA1" w:rsidP="00026751">
            <w:pPr>
              <w:ind w:right="57"/>
              <w:jc w:val="right"/>
              <w:rPr>
                <w:sz w:val="18"/>
                <w:szCs w:val="18"/>
              </w:rPr>
            </w:pPr>
            <w:r w:rsidRPr="0053621E">
              <w:rPr>
                <w:sz w:val="18"/>
                <w:szCs w:val="18"/>
                <w:lang w:val="id-ID"/>
              </w:rPr>
              <w:t>9</w:t>
            </w:r>
            <w:r w:rsidR="00026751" w:rsidRPr="0053621E">
              <w:rPr>
                <w:sz w:val="18"/>
                <w:szCs w:val="18"/>
              </w:rPr>
              <w:t>.</w:t>
            </w:r>
            <w:r w:rsidRPr="0053621E">
              <w:rPr>
                <w:sz w:val="18"/>
                <w:szCs w:val="18"/>
                <w:lang w:val="id-ID"/>
              </w:rPr>
              <w:t>6</w:t>
            </w:r>
            <w:r w:rsidRPr="0053621E">
              <w:rPr>
                <w:sz w:val="18"/>
                <w:szCs w:val="18"/>
              </w:rPr>
              <w:t>3</w:t>
            </w:r>
            <w:r w:rsidRPr="0053621E">
              <w:rPr>
                <w:sz w:val="18"/>
                <w:szCs w:val="18"/>
                <w:lang w:val="id-ID"/>
              </w:rPr>
              <w:t>7</w:t>
            </w:r>
            <w:r w:rsidR="00026751" w:rsidRPr="0053621E">
              <w:rPr>
                <w:sz w:val="18"/>
                <w:szCs w:val="18"/>
              </w:rPr>
              <w:t>.</w:t>
            </w:r>
            <w:r w:rsidRPr="0053621E">
              <w:rPr>
                <w:sz w:val="18"/>
                <w:szCs w:val="18"/>
                <w:lang w:val="id-ID"/>
              </w:rPr>
              <w:t>824</w:t>
            </w:r>
            <w:r w:rsidR="00026751" w:rsidRPr="0053621E">
              <w:rPr>
                <w:sz w:val="18"/>
                <w:szCs w:val="18"/>
              </w:rPr>
              <w:t>.</w:t>
            </w:r>
            <w:r w:rsidRPr="0053621E">
              <w:rPr>
                <w:sz w:val="18"/>
                <w:szCs w:val="18"/>
                <w:lang w:val="id-ID"/>
              </w:rPr>
              <w:t>7</w:t>
            </w:r>
            <w:r w:rsidR="00026751" w:rsidRPr="0053621E">
              <w:rPr>
                <w:sz w:val="18"/>
                <w:szCs w:val="18"/>
              </w:rPr>
              <w:t>94</w:t>
            </w:r>
          </w:p>
        </w:tc>
        <w:tc>
          <w:tcPr>
            <w:tcW w:w="87" w:type="dxa"/>
            <w:shd w:val="clear" w:color="auto" w:fill="auto"/>
            <w:vAlign w:val="bottom"/>
          </w:tcPr>
          <w:p w14:paraId="1BA11A96" w14:textId="77777777" w:rsidR="00026751" w:rsidRPr="009B2DA1" w:rsidRDefault="00026751" w:rsidP="00026751">
            <w:pPr>
              <w:jc w:val="right"/>
              <w:rPr>
                <w:sz w:val="18"/>
                <w:szCs w:val="18"/>
                <w:highlight w:val="cyan"/>
              </w:rPr>
            </w:pPr>
          </w:p>
        </w:tc>
        <w:tc>
          <w:tcPr>
            <w:tcW w:w="2420" w:type="dxa"/>
            <w:gridSpan w:val="2"/>
          </w:tcPr>
          <w:p w14:paraId="0E85B434" w14:textId="77777777" w:rsidR="00026751" w:rsidRPr="006A720D" w:rsidRDefault="00026751" w:rsidP="00026751">
            <w:pPr>
              <w:ind w:right="57"/>
              <w:jc w:val="right"/>
              <w:rPr>
                <w:sz w:val="18"/>
                <w:szCs w:val="18"/>
              </w:rPr>
            </w:pPr>
            <w:r w:rsidRPr="00520E82">
              <w:rPr>
                <w:sz w:val="18"/>
                <w:szCs w:val="18"/>
              </w:rPr>
              <w:t>3</w:t>
            </w:r>
            <w:r>
              <w:rPr>
                <w:sz w:val="18"/>
                <w:szCs w:val="18"/>
              </w:rPr>
              <w:t>.</w:t>
            </w:r>
            <w:r w:rsidRPr="00520E82">
              <w:rPr>
                <w:sz w:val="18"/>
                <w:szCs w:val="18"/>
              </w:rPr>
              <w:t>787</w:t>
            </w:r>
            <w:r>
              <w:rPr>
                <w:sz w:val="18"/>
                <w:szCs w:val="18"/>
              </w:rPr>
              <w:t>.</w:t>
            </w:r>
            <w:r w:rsidRPr="00520E82">
              <w:rPr>
                <w:sz w:val="18"/>
                <w:szCs w:val="18"/>
              </w:rPr>
              <w:t>544</w:t>
            </w:r>
            <w:r>
              <w:rPr>
                <w:sz w:val="18"/>
                <w:szCs w:val="18"/>
              </w:rPr>
              <w:t>.</w:t>
            </w:r>
            <w:r w:rsidRPr="00520E82">
              <w:rPr>
                <w:sz w:val="18"/>
                <w:szCs w:val="18"/>
              </w:rPr>
              <w:t>551</w:t>
            </w:r>
          </w:p>
        </w:tc>
        <w:tc>
          <w:tcPr>
            <w:tcW w:w="2526" w:type="dxa"/>
            <w:shd w:val="clear" w:color="auto" w:fill="auto"/>
          </w:tcPr>
          <w:p w14:paraId="3A5EDBD9" w14:textId="77777777" w:rsidR="00026751" w:rsidRPr="006A720D" w:rsidRDefault="00026751" w:rsidP="00026751">
            <w:pPr>
              <w:ind w:right="57"/>
              <w:jc w:val="right"/>
              <w:rPr>
                <w:i/>
                <w:sz w:val="18"/>
                <w:szCs w:val="18"/>
              </w:rPr>
            </w:pPr>
            <w:r w:rsidRPr="008D4EEE">
              <w:rPr>
                <w:i/>
                <w:sz w:val="18"/>
                <w:szCs w:val="18"/>
              </w:rPr>
              <w:t>Depreciation (Note 11)</w:t>
            </w:r>
          </w:p>
        </w:tc>
      </w:tr>
      <w:tr w:rsidR="00026751" w:rsidRPr="006A720D" w14:paraId="655C2FA2" w14:textId="77777777" w:rsidTr="00026751">
        <w:tc>
          <w:tcPr>
            <w:tcW w:w="2588" w:type="dxa"/>
            <w:shd w:val="clear" w:color="auto" w:fill="auto"/>
          </w:tcPr>
          <w:p w14:paraId="22646C3F" w14:textId="77777777" w:rsidR="00026751" w:rsidRPr="006A720D" w:rsidRDefault="00026751" w:rsidP="00026751">
            <w:pPr>
              <w:pStyle w:val="ListParagraph"/>
              <w:ind w:left="349"/>
              <w:jc w:val="both"/>
              <w:rPr>
                <w:sz w:val="18"/>
                <w:szCs w:val="18"/>
              </w:rPr>
            </w:pPr>
            <w:r w:rsidRPr="006A720D">
              <w:rPr>
                <w:sz w:val="18"/>
                <w:szCs w:val="18"/>
              </w:rPr>
              <w:t>Perbaikan dan pemeliharaan</w:t>
            </w:r>
          </w:p>
        </w:tc>
        <w:tc>
          <w:tcPr>
            <w:tcW w:w="1576" w:type="dxa"/>
            <w:shd w:val="clear" w:color="auto" w:fill="auto"/>
            <w:vAlign w:val="bottom"/>
          </w:tcPr>
          <w:p w14:paraId="0199757F" w14:textId="77777777" w:rsidR="00026751" w:rsidRPr="0053621E" w:rsidRDefault="00026751" w:rsidP="00026751">
            <w:pPr>
              <w:ind w:right="57"/>
              <w:jc w:val="right"/>
              <w:rPr>
                <w:sz w:val="18"/>
                <w:szCs w:val="18"/>
              </w:rPr>
            </w:pPr>
            <w:r w:rsidRPr="0053621E">
              <w:rPr>
                <w:sz w:val="18"/>
                <w:szCs w:val="18"/>
              </w:rPr>
              <w:t>4.727.078.536</w:t>
            </w:r>
          </w:p>
        </w:tc>
        <w:tc>
          <w:tcPr>
            <w:tcW w:w="87" w:type="dxa"/>
            <w:shd w:val="clear" w:color="auto" w:fill="auto"/>
            <w:vAlign w:val="bottom"/>
          </w:tcPr>
          <w:p w14:paraId="773D3CFC" w14:textId="77777777" w:rsidR="00026751" w:rsidRPr="006A720D" w:rsidRDefault="00026751" w:rsidP="00026751">
            <w:pPr>
              <w:jc w:val="right"/>
              <w:rPr>
                <w:sz w:val="18"/>
                <w:szCs w:val="18"/>
              </w:rPr>
            </w:pPr>
          </w:p>
        </w:tc>
        <w:tc>
          <w:tcPr>
            <w:tcW w:w="2420" w:type="dxa"/>
            <w:gridSpan w:val="2"/>
          </w:tcPr>
          <w:p w14:paraId="03598411" w14:textId="77777777" w:rsidR="00026751" w:rsidRPr="006A720D" w:rsidRDefault="00026751" w:rsidP="00026751">
            <w:pPr>
              <w:ind w:right="57"/>
              <w:jc w:val="right"/>
              <w:rPr>
                <w:sz w:val="18"/>
                <w:szCs w:val="18"/>
              </w:rPr>
            </w:pPr>
            <w:r w:rsidRPr="00520E82">
              <w:rPr>
                <w:sz w:val="18"/>
                <w:szCs w:val="18"/>
              </w:rPr>
              <w:t>4</w:t>
            </w:r>
            <w:r>
              <w:rPr>
                <w:sz w:val="18"/>
                <w:szCs w:val="18"/>
              </w:rPr>
              <w:t>.</w:t>
            </w:r>
            <w:r w:rsidRPr="00520E82">
              <w:rPr>
                <w:sz w:val="18"/>
                <w:szCs w:val="18"/>
              </w:rPr>
              <w:t>445</w:t>
            </w:r>
            <w:r>
              <w:rPr>
                <w:sz w:val="18"/>
                <w:szCs w:val="18"/>
              </w:rPr>
              <w:t>.</w:t>
            </w:r>
            <w:r w:rsidRPr="00520E82">
              <w:rPr>
                <w:sz w:val="18"/>
                <w:szCs w:val="18"/>
              </w:rPr>
              <w:t>229</w:t>
            </w:r>
            <w:r>
              <w:rPr>
                <w:sz w:val="18"/>
                <w:szCs w:val="18"/>
              </w:rPr>
              <w:t>.</w:t>
            </w:r>
            <w:r w:rsidRPr="00520E82">
              <w:rPr>
                <w:sz w:val="18"/>
                <w:szCs w:val="18"/>
              </w:rPr>
              <w:t>212</w:t>
            </w:r>
          </w:p>
        </w:tc>
        <w:tc>
          <w:tcPr>
            <w:tcW w:w="2526" w:type="dxa"/>
            <w:shd w:val="clear" w:color="auto" w:fill="auto"/>
          </w:tcPr>
          <w:p w14:paraId="1C2C2A37" w14:textId="77777777" w:rsidR="00026751" w:rsidRPr="006A720D" w:rsidRDefault="00026751" w:rsidP="00026751">
            <w:pPr>
              <w:ind w:right="57"/>
              <w:jc w:val="right"/>
              <w:rPr>
                <w:i/>
                <w:sz w:val="18"/>
                <w:szCs w:val="18"/>
              </w:rPr>
            </w:pPr>
            <w:r w:rsidRPr="006A720D">
              <w:rPr>
                <w:i/>
                <w:sz w:val="18"/>
                <w:szCs w:val="18"/>
              </w:rPr>
              <w:t>Repair and maintenances</w:t>
            </w:r>
          </w:p>
        </w:tc>
      </w:tr>
      <w:tr w:rsidR="00026751" w:rsidRPr="006A720D" w14:paraId="6E03D527" w14:textId="77777777" w:rsidTr="00026751">
        <w:tc>
          <w:tcPr>
            <w:tcW w:w="2588" w:type="dxa"/>
            <w:shd w:val="clear" w:color="auto" w:fill="auto"/>
          </w:tcPr>
          <w:p w14:paraId="5104A487" w14:textId="77777777" w:rsidR="00026751" w:rsidRPr="006A720D" w:rsidRDefault="00026751" w:rsidP="00026751">
            <w:pPr>
              <w:pStyle w:val="ListParagraph"/>
              <w:ind w:left="349"/>
              <w:jc w:val="both"/>
              <w:rPr>
                <w:sz w:val="18"/>
                <w:szCs w:val="18"/>
              </w:rPr>
            </w:pPr>
            <w:r w:rsidRPr="006A720D">
              <w:rPr>
                <w:sz w:val="18"/>
                <w:szCs w:val="18"/>
              </w:rPr>
              <w:t>Pengobatan</w:t>
            </w:r>
          </w:p>
        </w:tc>
        <w:tc>
          <w:tcPr>
            <w:tcW w:w="1576" w:type="dxa"/>
            <w:shd w:val="clear" w:color="auto" w:fill="auto"/>
            <w:vAlign w:val="bottom"/>
          </w:tcPr>
          <w:p w14:paraId="3A28BDCA" w14:textId="77777777" w:rsidR="00026751" w:rsidRPr="0053621E" w:rsidRDefault="00026751" w:rsidP="00026751">
            <w:pPr>
              <w:ind w:right="57"/>
              <w:jc w:val="right"/>
              <w:rPr>
                <w:sz w:val="18"/>
                <w:szCs w:val="18"/>
              </w:rPr>
            </w:pPr>
            <w:r w:rsidRPr="0053621E">
              <w:rPr>
                <w:sz w:val="18"/>
                <w:szCs w:val="18"/>
              </w:rPr>
              <w:t>4.116.470.198</w:t>
            </w:r>
          </w:p>
        </w:tc>
        <w:tc>
          <w:tcPr>
            <w:tcW w:w="87" w:type="dxa"/>
            <w:shd w:val="clear" w:color="auto" w:fill="auto"/>
            <w:vAlign w:val="bottom"/>
          </w:tcPr>
          <w:p w14:paraId="4805B3B1" w14:textId="77777777" w:rsidR="00026751" w:rsidRPr="006A720D" w:rsidRDefault="00026751" w:rsidP="00026751">
            <w:pPr>
              <w:jc w:val="right"/>
              <w:rPr>
                <w:sz w:val="18"/>
                <w:szCs w:val="18"/>
              </w:rPr>
            </w:pPr>
          </w:p>
        </w:tc>
        <w:tc>
          <w:tcPr>
            <w:tcW w:w="2420" w:type="dxa"/>
            <w:gridSpan w:val="2"/>
          </w:tcPr>
          <w:p w14:paraId="1DCB67D1" w14:textId="77777777" w:rsidR="00026751" w:rsidRPr="006A720D" w:rsidRDefault="00026751" w:rsidP="00026751">
            <w:pPr>
              <w:ind w:right="57"/>
              <w:jc w:val="right"/>
              <w:rPr>
                <w:sz w:val="18"/>
                <w:szCs w:val="18"/>
              </w:rPr>
            </w:pPr>
            <w:r w:rsidRPr="00520E82">
              <w:rPr>
                <w:sz w:val="18"/>
                <w:szCs w:val="18"/>
              </w:rPr>
              <w:t>683</w:t>
            </w:r>
            <w:r>
              <w:rPr>
                <w:sz w:val="18"/>
                <w:szCs w:val="18"/>
              </w:rPr>
              <w:t>.</w:t>
            </w:r>
            <w:r w:rsidRPr="00520E82">
              <w:rPr>
                <w:sz w:val="18"/>
                <w:szCs w:val="18"/>
              </w:rPr>
              <w:t>689</w:t>
            </w:r>
            <w:r>
              <w:rPr>
                <w:sz w:val="18"/>
                <w:szCs w:val="18"/>
              </w:rPr>
              <w:t>.</w:t>
            </w:r>
            <w:r w:rsidRPr="00520E82">
              <w:rPr>
                <w:sz w:val="18"/>
                <w:szCs w:val="18"/>
              </w:rPr>
              <w:t>480</w:t>
            </w:r>
          </w:p>
        </w:tc>
        <w:tc>
          <w:tcPr>
            <w:tcW w:w="2526" w:type="dxa"/>
            <w:shd w:val="clear" w:color="auto" w:fill="auto"/>
          </w:tcPr>
          <w:p w14:paraId="1F5A8097" w14:textId="77777777" w:rsidR="00026751" w:rsidRPr="006A720D" w:rsidRDefault="00026751" w:rsidP="00026751">
            <w:pPr>
              <w:ind w:right="57"/>
              <w:jc w:val="right"/>
              <w:rPr>
                <w:i/>
                <w:sz w:val="18"/>
                <w:szCs w:val="18"/>
              </w:rPr>
            </w:pPr>
            <w:r w:rsidRPr="006A720D">
              <w:rPr>
                <w:i/>
                <w:sz w:val="18"/>
                <w:szCs w:val="18"/>
              </w:rPr>
              <w:t>Medical</w:t>
            </w:r>
          </w:p>
        </w:tc>
      </w:tr>
      <w:tr w:rsidR="006A720D" w:rsidRPr="006A720D" w14:paraId="6B7BA344" w14:textId="77777777" w:rsidTr="002C6EE3">
        <w:tc>
          <w:tcPr>
            <w:tcW w:w="2588" w:type="dxa"/>
            <w:shd w:val="clear" w:color="auto" w:fill="auto"/>
          </w:tcPr>
          <w:p w14:paraId="184BD48B" w14:textId="6A9B8146" w:rsidR="006A720D" w:rsidRPr="006A720D" w:rsidRDefault="006A720D" w:rsidP="004E4129">
            <w:pPr>
              <w:pStyle w:val="ListParagraph"/>
              <w:ind w:left="349"/>
              <w:jc w:val="both"/>
              <w:rPr>
                <w:sz w:val="18"/>
                <w:szCs w:val="18"/>
              </w:rPr>
            </w:pPr>
            <w:r w:rsidRPr="006A720D">
              <w:rPr>
                <w:sz w:val="18"/>
                <w:szCs w:val="18"/>
              </w:rPr>
              <w:t xml:space="preserve">Imbalan kerja </w:t>
            </w:r>
            <w:r w:rsidR="00134B6F" w:rsidRPr="00B0563F">
              <w:rPr>
                <w:sz w:val="18"/>
                <w:szCs w:val="18"/>
              </w:rPr>
              <w:t>(</w:t>
            </w:r>
            <w:r w:rsidRPr="00B0563F">
              <w:rPr>
                <w:sz w:val="18"/>
                <w:szCs w:val="18"/>
              </w:rPr>
              <w:t>Catatan 2</w:t>
            </w:r>
            <w:r w:rsidR="004E4129">
              <w:rPr>
                <w:sz w:val="18"/>
                <w:szCs w:val="18"/>
              </w:rPr>
              <w:t>1</w:t>
            </w:r>
            <w:r w:rsidR="00134B6F" w:rsidRPr="00B0563F">
              <w:rPr>
                <w:sz w:val="18"/>
                <w:szCs w:val="18"/>
              </w:rPr>
              <w:t>)</w:t>
            </w:r>
          </w:p>
        </w:tc>
        <w:tc>
          <w:tcPr>
            <w:tcW w:w="1576" w:type="dxa"/>
            <w:shd w:val="clear" w:color="auto" w:fill="auto"/>
            <w:vAlign w:val="bottom"/>
          </w:tcPr>
          <w:p w14:paraId="302595CA" w14:textId="36774770" w:rsidR="006A720D" w:rsidRPr="0053621E" w:rsidRDefault="000C7D4A" w:rsidP="0013526B">
            <w:pPr>
              <w:ind w:right="57"/>
              <w:jc w:val="right"/>
              <w:rPr>
                <w:sz w:val="18"/>
                <w:szCs w:val="18"/>
              </w:rPr>
            </w:pPr>
            <w:r w:rsidRPr="0053621E">
              <w:rPr>
                <w:sz w:val="18"/>
                <w:szCs w:val="18"/>
              </w:rPr>
              <w:t>2.346.510.839</w:t>
            </w:r>
          </w:p>
        </w:tc>
        <w:tc>
          <w:tcPr>
            <w:tcW w:w="87" w:type="dxa"/>
            <w:shd w:val="clear" w:color="auto" w:fill="auto"/>
            <w:vAlign w:val="bottom"/>
          </w:tcPr>
          <w:p w14:paraId="2CF03030" w14:textId="77777777" w:rsidR="006A720D" w:rsidRPr="00FF40BD" w:rsidRDefault="006A720D" w:rsidP="0013526B">
            <w:pPr>
              <w:jc w:val="right"/>
              <w:rPr>
                <w:sz w:val="18"/>
                <w:szCs w:val="18"/>
              </w:rPr>
            </w:pPr>
          </w:p>
        </w:tc>
        <w:tc>
          <w:tcPr>
            <w:tcW w:w="2420" w:type="dxa"/>
            <w:gridSpan w:val="2"/>
          </w:tcPr>
          <w:p w14:paraId="1575780F" w14:textId="483E8E7C" w:rsidR="006A720D" w:rsidRPr="00FF40BD" w:rsidRDefault="00520E82" w:rsidP="0013526B">
            <w:pPr>
              <w:ind w:right="57"/>
              <w:jc w:val="right"/>
              <w:rPr>
                <w:sz w:val="18"/>
                <w:szCs w:val="18"/>
              </w:rPr>
            </w:pPr>
            <w:r w:rsidRPr="00FF40BD">
              <w:rPr>
                <w:sz w:val="18"/>
                <w:szCs w:val="18"/>
              </w:rPr>
              <w:t>4</w:t>
            </w:r>
            <w:r w:rsidR="002C6EE3" w:rsidRPr="00FF40BD">
              <w:rPr>
                <w:sz w:val="18"/>
                <w:szCs w:val="18"/>
              </w:rPr>
              <w:t>.</w:t>
            </w:r>
            <w:r w:rsidRPr="00FF40BD">
              <w:rPr>
                <w:sz w:val="18"/>
                <w:szCs w:val="18"/>
              </w:rPr>
              <w:t>042</w:t>
            </w:r>
            <w:r w:rsidR="002C6EE3" w:rsidRPr="00FF40BD">
              <w:rPr>
                <w:sz w:val="18"/>
                <w:szCs w:val="18"/>
              </w:rPr>
              <w:t>.</w:t>
            </w:r>
            <w:r w:rsidRPr="00FF40BD">
              <w:rPr>
                <w:sz w:val="18"/>
                <w:szCs w:val="18"/>
              </w:rPr>
              <w:t>099</w:t>
            </w:r>
            <w:r w:rsidR="002C6EE3" w:rsidRPr="00FF40BD">
              <w:rPr>
                <w:sz w:val="18"/>
                <w:szCs w:val="18"/>
              </w:rPr>
              <w:t>.</w:t>
            </w:r>
            <w:r w:rsidRPr="00FF40BD">
              <w:rPr>
                <w:sz w:val="18"/>
                <w:szCs w:val="18"/>
              </w:rPr>
              <w:t>886</w:t>
            </w:r>
          </w:p>
        </w:tc>
        <w:tc>
          <w:tcPr>
            <w:tcW w:w="2526" w:type="dxa"/>
            <w:shd w:val="clear" w:color="auto" w:fill="auto"/>
            <w:vAlign w:val="bottom"/>
          </w:tcPr>
          <w:p w14:paraId="423AF952" w14:textId="7081C59F" w:rsidR="006A720D" w:rsidRPr="006A720D" w:rsidRDefault="006A720D" w:rsidP="004E4129">
            <w:pPr>
              <w:ind w:right="64"/>
              <w:jc w:val="right"/>
              <w:rPr>
                <w:i/>
                <w:sz w:val="18"/>
                <w:szCs w:val="18"/>
              </w:rPr>
            </w:pPr>
            <w:r w:rsidRPr="006A720D">
              <w:rPr>
                <w:i/>
                <w:iCs/>
                <w:color w:val="000000"/>
                <w:sz w:val="18"/>
                <w:szCs w:val="18"/>
              </w:rPr>
              <w:t xml:space="preserve">Employee benefits </w:t>
            </w:r>
            <w:r w:rsidR="00BA06A0" w:rsidRPr="0001731C">
              <w:rPr>
                <w:i/>
                <w:iCs/>
                <w:color w:val="000000"/>
                <w:sz w:val="18"/>
                <w:szCs w:val="18"/>
              </w:rPr>
              <w:t>(</w:t>
            </w:r>
            <w:r w:rsidRPr="0001731C">
              <w:rPr>
                <w:i/>
                <w:iCs/>
                <w:color w:val="000000"/>
                <w:sz w:val="18"/>
                <w:szCs w:val="18"/>
              </w:rPr>
              <w:t>Note 2</w:t>
            </w:r>
            <w:r w:rsidR="004E4129">
              <w:rPr>
                <w:i/>
                <w:iCs/>
                <w:color w:val="000000"/>
                <w:sz w:val="18"/>
                <w:szCs w:val="18"/>
              </w:rPr>
              <w:t>1</w:t>
            </w:r>
            <w:r w:rsidR="00BA06A0" w:rsidRPr="0001731C">
              <w:rPr>
                <w:i/>
                <w:iCs/>
                <w:color w:val="000000"/>
                <w:sz w:val="18"/>
                <w:szCs w:val="18"/>
              </w:rPr>
              <w:t>)</w:t>
            </w:r>
          </w:p>
        </w:tc>
      </w:tr>
      <w:tr w:rsidR="00026751" w:rsidRPr="006A720D" w14:paraId="7ECE22FB" w14:textId="77777777" w:rsidTr="00026751">
        <w:tc>
          <w:tcPr>
            <w:tcW w:w="2588" w:type="dxa"/>
            <w:shd w:val="clear" w:color="auto" w:fill="auto"/>
          </w:tcPr>
          <w:p w14:paraId="7061683A" w14:textId="77777777" w:rsidR="00026751" w:rsidRPr="006A720D" w:rsidRDefault="00026751" w:rsidP="00026751">
            <w:pPr>
              <w:pStyle w:val="ListParagraph"/>
              <w:ind w:left="349"/>
              <w:jc w:val="both"/>
              <w:rPr>
                <w:sz w:val="18"/>
                <w:szCs w:val="18"/>
              </w:rPr>
            </w:pPr>
            <w:r w:rsidRPr="006A720D">
              <w:rPr>
                <w:sz w:val="18"/>
                <w:szCs w:val="18"/>
              </w:rPr>
              <w:t>Jamsostek</w:t>
            </w:r>
          </w:p>
        </w:tc>
        <w:tc>
          <w:tcPr>
            <w:tcW w:w="1576" w:type="dxa"/>
            <w:shd w:val="clear" w:color="auto" w:fill="auto"/>
            <w:vAlign w:val="bottom"/>
          </w:tcPr>
          <w:p w14:paraId="63E871B4" w14:textId="77777777" w:rsidR="00026751" w:rsidRPr="006A720D" w:rsidRDefault="00026751" w:rsidP="00026751">
            <w:pPr>
              <w:ind w:right="57"/>
              <w:jc w:val="right"/>
              <w:rPr>
                <w:sz w:val="18"/>
                <w:szCs w:val="18"/>
              </w:rPr>
            </w:pPr>
            <w:r w:rsidRPr="00610909">
              <w:rPr>
                <w:sz w:val="18"/>
                <w:szCs w:val="18"/>
              </w:rPr>
              <w:t>1</w:t>
            </w:r>
            <w:r>
              <w:rPr>
                <w:sz w:val="18"/>
                <w:szCs w:val="18"/>
              </w:rPr>
              <w:t>.</w:t>
            </w:r>
            <w:r w:rsidRPr="00610909">
              <w:rPr>
                <w:sz w:val="18"/>
                <w:szCs w:val="18"/>
              </w:rPr>
              <w:t>805</w:t>
            </w:r>
            <w:r>
              <w:rPr>
                <w:sz w:val="18"/>
                <w:szCs w:val="18"/>
              </w:rPr>
              <w:t>.</w:t>
            </w:r>
            <w:r w:rsidRPr="00610909">
              <w:rPr>
                <w:sz w:val="18"/>
                <w:szCs w:val="18"/>
              </w:rPr>
              <w:t>505</w:t>
            </w:r>
            <w:r>
              <w:rPr>
                <w:sz w:val="18"/>
                <w:szCs w:val="18"/>
              </w:rPr>
              <w:t>.</w:t>
            </w:r>
            <w:r w:rsidRPr="00610909">
              <w:rPr>
                <w:sz w:val="18"/>
                <w:szCs w:val="18"/>
              </w:rPr>
              <w:t>671</w:t>
            </w:r>
          </w:p>
        </w:tc>
        <w:tc>
          <w:tcPr>
            <w:tcW w:w="87" w:type="dxa"/>
            <w:shd w:val="clear" w:color="auto" w:fill="auto"/>
            <w:vAlign w:val="bottom"/>
          </w:tcPr>
          <w:p w14:paraId="675EF150" w14:textId="77777777" w:rsidR="00026751" w:rsidRPr="006A720D" w:rsidRDefault="00026751" w:rsidP="00026751">
            <w:pPr>
              <w:jc w:val="right"/>
              <w:rPr>
                <w:sz w:val="18"/>
                <w:szCs w:val="18"/>
              </w:rPr>
            </w:pPr>
          </w:p>
        </w:tc>
        <w:tc>
          <w:tcPr>
            <w:tcW w:w="2420" w:type="dxa"/>
            <w:gridSpan w:val="2"/>
          </w:tcPr>
          <w:p w14:paraId="405C6B9F" w14:textId="77777777" w:rsidR="00026751" w:rsidRPr="006A720D" w:rsidRDefault="00026751" w:rsidP="00026751">
            <w:pPr>
              <w:ind w:right="57"/>
              <w:jc w:val="right"/>
              <w:rPr>
                <w:sz w:val="18"/>
                <w:szCs w:val="18"/>
              </w:rPr>
            </w:pPr>
            <w:r w:rsidRPr="00520E82">
              <w:rPr>
                <w:sz w:val="18"/>
                <w:szCs w:val="18"/>
              </w:rPr>
              <w:t>3</w:t>
            </w:r>
            <w:r>
              <w:rPr>
                <w:sz w:val="18"/>
                <w:szCs w:val="18"/>
              </w:rPr>
              <w:t>.</w:t>
            </w:r>
            <w:r w:rsidRPr="00520E82">
              <w:rPr>
                <w:sz w:val="18"/>
                <w:szCs w:val="18"/>
              </w:rPr>
              <w:t>059</w:t>
            </w:r>
            <w:r>
              <w:rPr>
                <w:sz w:val="18"/>
                <w:szCs w:val="18"/>
              </w:rPr>
              <w:t>.</w:t>
            </w:r>
            <w:r w:rsidRPr="00520E82">
              <w:rPr>
                <w:sz w:val="18"/>
                <w:szCs w:val="18"/>
              </w:rPr>
              <w:t>616</w:t>
            </w:r>
            <w:r>
              <w:rPr>
                <w:sz w:val="18"/>
                <w:szCs w:val="18"/>
              </w:rPr>
              <w:t>.</w:t>
            </w:r>
            <w:r w:rsidRPr="00520E82">
              <w:rPr>
                <w:sz w:val="18"/>
                <w:szCs w:val="18"/>
              </w:rPr>
              <w:t>907</w:t>
            </w:r>
          </w:p>
        </w:tc>
        <w:tc>
          <w:tcPr>
            <w:tcW w:w="2526" w:type="dxa"/>
            <w:shd w:val="clear" w:color="auto" w:fill="auto"/>
          </w:tcPr>
          <w:p w14:paraId="34997945" w14:textId="77777777" w:rsidR="00026751" w:rsidRPr="006A720D" w:rsidRDefault="00026751" w:rsidP="00026751">
            <w:pPr>
              <w:ind w:right="57"/>
              <w:jc w:val="right"/>
              <w:rPr>
                <w:i/>
                <w:sz w:val="18"/>
                <w:szCs w:val="18"/>
              </w:rPr>
            </w:pPr>
            <w:r w:rsidRPr="006A720D">
              <w:rPr>
                <w:i/>
                <w:sz w:val="18"/>
                <w:szCs w:val="18"/>
              </w:rPr>
              <w:t>Jamsostek</w:t>
            </w:r>
          </w:p>
        </w:tc>
      </w:tr>
      <w:tr w:rsidR="00026751" w:rsidRPr="006A720D" w14:paraId="4657F357" w14:textId="77777777" w:rsidTr="00026751">
        <w:tc>
          <w:tcPr>
            <w:tcW w:w="2588" w:type="dxa"/>
            <w:shd w:val="clear" w:color="auto" w:fill="auto"/>
          </w:tcPr>
          <w:p w14:paraId="71927E34" w14:textId="77777777" w:rsidR="00026751" w:rsidRPr="006A720D" w:rsidRDefault="00026751" w:rsidP="00026751">
            <w:pPr>
              <w:pStyle w:val="ListParagraph"/>
              <w:ind w:left="349"/>
              <w:jc w:val="both"/>
              <w:rPr>
                <w:sz w:val="18"/>
                <w:szCs w:val="18"/>
              </w:rPr>
            </w:pPr>
            <w:r w:rsidRPr="006A720D">
              <w:rPr>
                <w:sz w:val="18"/>
                <w:szCs w:val="18"/>
              </w:rPr>
              <w:t>Konsumsi</w:t>
            </w:r>
          </w:p>
        </w:tc>
        <w:tc>
          <w:tcPr>
            <w:tcW w:w="1576" w:type="dxa"/>
            <w:shd w:val="clear" w:color="auto" w:fill="auto"/>
            <w:vAlign w:val="bottom"/>
          </w:tcPr>
          <w:p w14:paraId="1C007D2A" w14:textId="77777777" w:rsidR="00026751" w:rsidRDefault="00026751" w:rsidP="00026751">
            <w:pPr>
              <w:ind w:right="57"/>
              <w:jc w:val="right"/>
              <w:rPr>
                <w:sz w:val="18"/>
                <w:szCs w:val="18"/>
                <w:lang w:val="id-ID"/>
              </w:rPr>
            </w:pPr>
            <w:r w:rsidRPr="00520E82">
              <w:rPr>
                <w:sz w:val="18"/>
                <w:szCs w:val="18"/>
                <w:lang w:val="id-ID"/>
              </w:rPr>
              <w:t>1</w:t>
            </w:r>
            <w:r>
              <w:rPr>
                <w:sz w:val="18"/>
                <w:szCs w:val="18"/>
                <w:lang w:val="id-ID"/>
              </w:rPr>
              <w:t>.</w:t>
            </w:r>
            <w:r w:rsidRPr="00520E82">
              <w:rPr>
                <w:sz w:val="18"/>
                <w:szCs w:val="18"/>
                <w:lang w:val="id-ID"/>
              </w:rPr>
              <w:t>461</w:t>
            </w:r>
            <w:r>
              <w:rPr>
                <w:sz w:val="18"/>
                <w:szCs w:val="18"/>
                <w:lang w:val="id-ID"/>
              </w:rPr>
              <w:t>.</w:t>
            </w:r>
            <w:r w:rsidRPr="00520E82">
              <w:rPr>
                <w:sz w:val="18"/>
                <w:szCs w:val="18"/>
                <w:lang w:val="id-ID"/>
              </w:rPr>
              <w:t>213</w:t>
            </w:r>
            <w:r>
              <w:rPr>
                <w:sz w:val="18"/>
                <w:szCs w:val="18"/>
                <w:lang w:val="id-ID"/>
              </w:rPr>
              <w:t>.</w:t>
            </w:r>
            <w:r w:rsidRPr="00520E82">
              <w:rPr>
                <w:sz w:val="18"/>
                <w:szCs w:val="18"/>
                <w:lang w:val="id-ID"/>
              </w:rPr>
              <w:t>938</w:t>
            </w:r>
          </w:p>
        </w:tc>
        <w:tc>
          <w:tcPr>
            <w:tcW w:w="87" w:type="dxa"/>
            <w:shd w:val="clear" w:color="auto" w:fill="auto"/>
            <w:vAlign w:val="bottom"/>
          </w:tcPr>
          <w:p w14:paraId="59CE79DD" w14:textId="77777777" w:rsidR="00026751" w:rsidRPr="006A720D" w:rsidRDefault="00026751" w:rsidP="00026751">
            <w:pPr>
              <w:jc w:val="right"/>
              <w:rPr>
                <w:sz w:val="18"/>
                <w:szCs w:val="18"/>
              </w:rPr>
            </w:pPr>
          </w:p>
        </w:tc>
        <w:tc>
          <w:tcPr>
            <w:tcW w:w="2420" w:type="dxa"/>
            <w:gridSpan w:val="2"/>
          </w:tcPr>
          <w:p w14:paraId="612609AC" w14:textId="77777777" w:rsidR="00026751" w:rsidRPr="006A720D" w:rsidRDefault="00026751" w:rsidP="00026751">
            <w:pPr>
              <w:ind w:right="57"/>
              <w:jc w:val="right"/>
              <w:rPr>
                <w:sz w:val="18"/>
                <w:szCs w:val="18"/>
              </w:rPr>
            </w:pPr>
            <w:r w:rsidRPr="00520E82">
              <w:rPr>
                <w:sz w:val="18"/>
                <w:szCs w:val="18"/>
              </w:rPr>
              <w:t>1</w:t>
            </w:r>
            <w:r>
              <w:rPr>
                <w:sz w:val="18"/>
                <w:szCs w:val="18"/>
              </w:rPr>
              <w:t>.</w:t>
            </w:r>
            <w:r w:rsidRPr="00520E82">
              <w:rPr>
                <w:sz w:val="18"/>
                <w:szCs w:val="18"/>
              </w:rPr>
              <w:t>168</w:t>
            </w:r>
            <w:r>
              <w:rPr>
                <w:sz w:val="18"/>
                <w:szCs w:val="18"/>
              </w:rPr>
              <w:t>.</w:t>
            </w:r>
            <w:r w:rsidRPr="00520E82">
              <w:rPr>
                <w:sz w:val="18"/>
                <w:szCs w:val="18"/>
              </w:rPr>
              <w:t>279</w:t>
            </w:r>
            <w:r>
              <w:rPr>
                <w:sz w:val="18"/>
                <w:szCs w:val="18"/>
              </w:rPr>
              <w:t>.</w:t>
            </w:r>
            <w:r w:rsidRPr="00520E82">
              <w:rPr>
                <w:sz w:val="18"/>
                <w:szCs w:val="18"/>
              </w:rPr>
              <w:t>096</w:t>
            </w:r>
          </w:p>
        </w:tc>
        <w:tc>
          <w:tcPr>
            <w:tcW w:w="2526" w:type="dxa"/>
            <w:shd w:val="clear" w:color="auto" w:fill="auto"/>
          </w:tcPr>
          <w:p w14:paraId="0B4DE507" w14:textId="77777777" w:rsidR="00026751" w:rsidRPr="006A720D" w:rsidRDefault="00026751" w:rsidP="00026751">
            <w:pPr>
              <w:ind w:right="57"/>
              <w:jc w:val="right"/>
              <w:rPr>
                <w:i/>
                <w:sz w:val="18"/>
                <w:szCs w:val="18"/>
              </w:rPr>
            </w:pPr>
            <w:r w:rsidRPr="006A720D">
              <w:rPr>
                <w:i/>
                <w:sz w:val="18"/>
                <w:szCs w:val="18"/>
              </w:rPr>
              <w:t>Meal</w:t>
            </w:r>
          </w:p>
        </w:tc>
      </w:tr>
      <w:tr w:rsidR="00026751" w:rsidRPr="006A720D" w14:paraId="572E4BE5" w14:textId="77777777" w:rsidTr="00026751">
        <w:tc>
          <w:tcPr>
            <w:tcW w:w="2588" w:type="dxa"/>
            <w:shd w:val="clear" w:color="auto" w:fill="auto"/>
          </w:tcPr>
          <w:p w14:paraId="5F4E5225" w14:textId="77777777" w:rsidR="00026751" w:rsidRPr="006A720D" w:rsidRDefault="00026751" w:rsidP="00026751">
            <w:pPr>
              <w:pStyle w:val="ListParagraph"/>
              <w:ind w:left="349"/>
              <w:jc w:val="both"/>
              <w:rPr>
                <w:sz w:val="18"/>
                <w:szCs w:val="18"/>
              </w:rPr>
            </w:pPr>
            <w:r w:rsidRPr="006A720D">
              <w:rPr>
                <w:sz w:val="18"/>
                <w:szCs w:val="18"/>
              </w:rPr>
              <w:t>Beban bank</w:t>
            </w:r>
          </w:p>
        </w:tc>
        <w:tc>
          <w:tcPr>
            <w:tcW w:w="1576" w:type="dxa"/>
            <w:shd w:val="clear" w:color="auto" w:fill="auto"/>
            <w:vAlign w:val="bottom"/>
          </w:tcPr>
          <w:p w14:paraId="5AB25112" w14:textId="77777777" w:rsidR="00026751" w:rsidRPr="006A720D" w:rsidRDefault="00026751" w:rsidP="00026751">
            <w:pPr>
              <w:ind w:right="57"/>
              <w:jc w:val="right"/>
              <w:rPr>
                <w:sz w:val="18"/>
                <w:szCs w:val="18"/>
              </w:rPr>
            </w:pPr>
            <w:r w:rsidRPr="00520E82">
              <w:rPr>
                <w:sz w:val="18"/>
                <w:szCs w:val="18"/>
              </w:rPr>
              <w:t>846</w:t>
            </w:r>
            <w:r>
              <w:rPr>
                <w:sz w:val="18"/>
                <w:szCs w:val="18"/>
              </w:rPr>
              <w:t>.</w:t>
            </w:r>
            <w:r w:rsidRPr="00520E82">
              <w:rPr>
                <w:sz w:val="18"/>
                <w:szCs w:val="18"/>
              </w:rPr>
              <w:t>274</w:t>
            </w:r>
            <w:r>
              <w:rPr>
                <w:sz w:val="18"/>
                <w:szCs w:val="18"/>
              </w:rPr>
              <w:t>.</w:t>
            </w:r>
            <w:r w:rsidRPr="00520E82">
              <w:rPr>
                <w:sz w:val="18"/>
                <w:szCs w:val="18"/>
              </w:rPr>
              <w:t>156</w:t>
            </w:r>
          </w:p>
        </w:tc>
        <w:tc>
          <w:tcPr>
            <w:tcW w:w="87" w:type="dxa"/>
            <w:shd w:val="clear" w:color="auto" w:fill="auto"/>
            <w:vAlign w:val="bottom"/>
          </w:tcPr>
          <w:p w14:paraId="05DD1482" w14:textId="77777777" w:rsidR="00026751" w:rsidRPr="006A720D" w:rsidRDefault="00026751" w:rsidP="00026751">
            <w:pPr>
              <w:jc w:val="right"/>
              <w:rPr>
                <w:sz w:val="18"/>
                <w:szCs w:val="18"/>
              </w:rPr>
            </w:pPr>
          </w:p>
        </w:tc>
        <w:tc>
          <w:tcPr>
            <w:tcW w:w="2420" w:type="dxa"/>
            <w:gridSpan w:val="2"/>
          </w:tcPr>
          <w:p w14:paraId="0D686119" w14:textId="77777777" w:rsidR="00026751" w:rsidRPr="006A720D" w:rsidRDefault="00026751" w:rsidP="00026751">
            <w:pPr>
              <w:ind w:right="57"/>
              <w:jc w:val="right"/>
              <w:rPr>
                <w:sz w:val="18"/>
                <w:szCs w:val="18"/>
              </w:rPr>
            </w:pPr>
            <w:r w:rsidRPr="00520E82">
              <w:rPr>
                <w:sz w:val="18"/>
                <w:szCs w:val="18"/>
              </w:rPr>
              <w:t>1</w:t>
            </w:r>
            <w:r>
              <w:rPr>
                <w:sz w:val="18"/>
                <w:szCs w:val="18"/>
              </w:rPr>
              <w:t>.</w:t>
            </w:r>
            <w:r w:rsidRPr="00520E82">
              <w:rPr>
                <w:sz w:val="18"/>
                <w:szCs w:val="18"/>
              </w:rPr>
              <w:t>463</w:t>
            </w:r>
            <w:r>
              <w:rPr>
                <w:sz w:val="18"/>
                <w:szCs w:val="18"/>
              </w:rPr>
              <w:t>.</w:t>
            </w:r>
            <w:r w:rsidRPr="00520E82">
              <w:rPr>
                <w:sz w:val="18"/>
                <w:szCs w:val="18"/>
              </w:rPr>
              <w:t>381</w:t>
            </w:r>
            <w:r>
              <w:rPr>
                <w:sz w:val="18"/>
                <w:szCs w:val="18"/>
              </w:rPr>
              <w:t>.</w:t>
            </w:r>
            <w:r w:rsidRPr="00520E82">
              <w:rPr>
                <w:sz w:val="18"/>
                <w:szCs w:val="18"/>
              </w:rPr>
              <w:t>803</w:t>
            </w:r>
          </w:p>
        </w:tc>
        <w:tc>
          <w:tcPr>
            <w:tcW w:w="2526" w:type="dxa"/>
            <w:shd w:val="clear" w:color="auto" w:fill="auto"/>
          </w:tcPr>
          <w:p w14:paraId="7861B373" w14:textId="77777777" w:rsidR="00026751" w:rsidRPr="006A720D" w:rsidRDefault="00026751" w:rsidP="00026751">
            <w:pPr>
              <w:ind w:right="57"/>
              <w:jc w:val="right"/>
              <w:rPr>
                <w:i/>
                <w:sz w:val="18"/>
                <w:szCs w:val="18"/>
              </w:rPr>
            </w:pPr>
            <w:r w:rsidRPr="006A720D">
              <w:rPr>
                <w:i/>
                <w:sz w:val="18"/>
                <w:szCs w:val="18"/>
              </w:rPr>
              <w:t>Bank expense</w:t>
            </w:r>
          </w:p>
        </w:tc>
      </w:tr>
      <w:tr w:rsidR="00026751" w:rsidRPr="006A720D" w14:paraId="5FE5BBD2" w14:textId="77777777" w:rsidTr="00026751">
        <w:tc>
          <w:tcPr>
            <w:tcW w:w="2588" w:type="dxa"/>
            <w:shd w:val="clear" w:color="auto" w:fill="auto"/>
          </w:tcPr>
          <w:p w14:paraId="194E5C6C" w14:textId="77777777" w:rsidR="00026751" w:rsidRPr="006A720D" w:rsidRDefault="00026751" w:rsidP="00026751">
            <w:pPr>
              <w:pStyle w:val="ListParagraph"/>
              <w:ind w:left="349"/>
              <w:jc w:val="both"/>
              <w:rPr>
                <w:sz w:val="18"/>
                <w:szCs w:val="18"/>
              </w:rPr>
            </w:pPr>
            <w:r w:rsidRPr="006A720D">
              <w:rPr>
                <w:sz w:val="18"/>
                <w:szCs w:val="18"/>
              </w:rPr>
              <w:t>Perijinan dan pajak</w:t>
            </w:r>
          </w:p>
        </w:tc>
        <w:tc>
          <w:tcPr>
            <w:tcW w:w="1576" w:type="dxa"/>
            <w:shd w:val="clear" w:color="auto" w:fill="auto"/>
            <w:vAlign w:val="bottom"/>
          </w:tcPr>
          <w:p w14:paraId="6E3C5DD8" w14:textId="77777777" w:rsidR="00026751" w:rsidRPr="006A720D" w:rsidRDefault="00026751" w:rsidP="00026751">
            <w:pPr>
              <w:ind w:right="57"/>
              <w:jc w:val="right"/>
              <w:rPr>
                <w:sz w:val="18"/>
                <w:szCs w:val="18"/>
              </w:rPr>
            </w:pPr>
            <w:r w:rsidRPr="00610909">
              <w:rPr>
                <w:sz w:val="18"/>
                <w:szCs w:val="18"/>
              </w:rPr>
              <w:t>792</w:t>
            </w:r>
            <w:r>
              <w:rPr>
                <w:sz w:val="18"/>
                <w:szCs w:val="18"/>
              </w:rPr>
              <w:t>.</w:t>
            </w:r>
            <w:r w:rsidRPr="00610909">
              <w:rPr>
                <w:sz w:val="18"/>
                <w:szCs w:val="18"/>
              </w:rPr>
              <w:t>005</w:t>
            </w:r>
            <w:r>
              <w:rPr>
                <w:sz w:val="18"/>
                <w:szCs w:val="18"/>
              </w:rPr>
              <w:t>.</w:t>
            </w:r>
            <w:r w:rsidRPr="00610909">
              <w:rPr>
                <w:sz w:val="18"/>
                <w:szCs w:val="18"/>
              </w:rPr>
              <w:t>498</w:t>
            </w:r>
          </w:p>
        </w:tc>
        <w:tc>
          <w:tcPr>
            <w:tcW w:w="87" w:type="dxa"/>
            <w:shd w:val="clear" w:color="auto" w:fill="auto"/>
            <w:vAlign w:val="bottom"/>
          </w:tcPr>
          <w:p w14:paraId="1CE913AB" w14:textId="77777777" w:rsidR="00026751" w:rsidRPr="006A720D" w:rsidRDefault="00026751" w:rsidP="00026751">
            <w:pPr>
              <w:jc w:val="right"/>
              <w:rPr>
                <w:sz w:val="18"/>
                <w:szCs w:val="18"/>
              </w:rPr>
            </w:pPr>
          </w:p>
        </w:tc>
        <w:tc>
          <w:tcPr>
            <w:tcW w:w="2420" w:type="dxa"/>
            <w:gridSpan w:val="2"/>
          </w:tcPr>
          <w:p w14:paraId="34A445B0" w14:textId="77777777" w:rsidR="00026751" w:rsidRPr="006A720D" w:rsidRDefault="00026751" w:rsidP="00026751">
            <w:pPr>
              <w:ind w:right="57"/>
              <w:jc w:val="right"/>
              <w:rPr>
                <w:sz w:val="18"/>
                <w:szCs w:val="18"/>
              </w:rPr>
            </w:pPr>
            <w:r>
              <w:rPr>
                <w:sz w:val="18"/>
                <w:szCs w:val="18"/>
              </w:rPr>
              <w:t>8</w:t>
            </w:r>
            <w:r w:rsidRPr="00520E82">
              <w:rPr>
                <w:sz w:val="18"/>
                <w:szCs w:val="18"/>
              </w:rPr>
              <w:t>8</w:t>
            </w:r>
            <w:r>
              <w:rPr>
                <w:sz w:val="18"/>
                <w:szCs w:val="18"/>
              </w:rPr>
              <w:t>.</w:t>
            </w:r>
            <w:r w:rsidRPr="00520E82">
              <w:rPr>
                <w:sz w:val="18"/>
                <w:szCs w:val="18"/>
              </w:rPr>
              <w:t>685</w:t>
            </w:r>
            <w:r>
              <w:rPr>
                <w:sz w:val="18"/>
                <w:szCs w:val="18"/>
              </w:rPr>
              <w:t>.</w:t>
            </w:r>
            <w:r w:rsidRPr="00520E82">
              <w:rPr>
                <w:sz w:val="18"/>
                <w:szCs w:val="18"/>
              </w:rPr>
              <w:t>282</w:t>
            </w:r>
          </w:p>
        </w:tc>
        <w:tc>
          <w:tcPr>
            <w:tcW w:w="2526" w:type="dxa"/>
            <w:shd w:val="clear" w:color="auto" w:fill="auto"/>
          </w:tcPr>
          <w:p w14:paraId="1D123E1E" w14:textId="77777777" w:rsidR="00026751" w:rsidRPr="006A720D" w:rsidRDefault="00026751" w:rsidP="00026751">
            <w:pPr>
              <w:ind w:right="57"/>
              <w:jc w:val="right"/>
              <w:rPr>
                <w:i/>
                <w:sz w:val="18"/>
                <w:szCs w:val="18"/>
              </w:rPr>
            </w:pPr>
            <w:r w:rsidRPr="006A720D">
              <w:rPr>
                <w:i/>
                <w:sz w:val="18"/>
                <w:szCs w:val="18"/>
              </w:rPr>
              <w:t>License and tax</w:t>
            </w:r>
          </w:p>
        </w:tc>
      </w:tr>
      <w:tr w:rsidR="00026751" w:rsidRPr="006A720D" w14:paraId="7524C444" w14:textId="77777777" w:rsidTr="00026751">
        <w:tc>
          <w:tcPr>
            <w:tcW w:w="2588" w:type="dxa"/>
            <w:shd w:val="clear" w:color="auto" w:fill="auto"/>
          </w:tcPr>
          <w:p w14:paraId="7C2D75CC" w14:textId="77777777" w:rsidR="00026751" w:rsidRPr="006A720D" w:rsidRDefault="00026751" w:rsidP="00026751">
            <w:pPr>
              <w:pStyle w:val="ListParagraph"/>
              <w:ind w:left="349"/>
              <w:jc w:val="both"/>
              <w:rPr>
                <w:sz w:val="18"/>
                <w:szCs w:val="18"/>
              </w:rPr>
            </w:pPr>
            <w:r w:rsidRPr="006A720D">
              <w:rPr>
                <w:sz w:val="18"/>
                <w:szCs w:val="18"/>
              </w:rPr>
              <w:t>Pelatihan</w:t>
            </w:r>
          </w:p>
        </w:tc>
        <w:tc>
          <w:tcPr>
            <w:tcW w:w="1576" w:type="dxa"/>
            <w:shd w:val="clear" w:color="auto" w:fill="auto"/>
            <w:vAlign w:val="bottom"/>
          </w:tcPr>
          <w:p w14:paraId="770D145C" w14:textId="77777777" w:rsidR="00026751" w:rsidRPr="006A720D" w:rsidRDefault="00026751" w:rsidP="00026751">
            <w:pPr>
              <w:ind w:right="57"/>
              <w:jc w:val="right"/>
              <w:rPr>
                <w:sz w:val="18"/>
                <w:szCs w:val="18"/>
              </w:rPr>
            </w:pPr>
            <w:r w:rsidRPr="00610909">
              <w:rPr>
                <w:sz w:val="18"/>
                <w:szCs w:val="18"/>
              </w:rPr>
              <w:t>775</w:t>
            </w:r>
            <w:r>
              <w:rPr>
                <w:sz w:val="18"/>
                <w:szCs w:val="18"/>
              </w:rPr>
              <w:t>.</w:t>
            </w:r>
            <w:r w:rsidRPr="00610909">
              <w:rPr>
                <w:sz w:val="18"/>
                <w:szCs w:val="18"/>
              </w:rPr>
              <w:t>450</w:t>
            </w:r>
            <w:r>
              <w:rPr>
                <w:sz w:val="18"/>
                <w:szCs w:val="18"/>
              </w:rPr>
              <w:t>.</w:t>
            </w:r>
            <w:r w:rsidRPr="00610909">
              <w:rPr>
                <w:sz w:val="18"/>
                <w:szCs w:val="18"/>
              </w:rPr>
              <w:t>485</w:t>
            </w:r>
          </w:p>
        </w:tc>
        <w:tc>
          <w:tcPr>
            <w:tcW w:w="87" w:type="dxa"/>
            <w:shd w:val="clear" w:color="auto" w:fill="auto"/>
            <w:vAlign w:val="bottom"/>
          </w:tcPr>
          <w:p w14:paraId="4BD2F400" w14:textId="77777777" w:rsidR="00026751" w:rsidRPr="006A720D" w:rsidRDefault="00026751" w:rsidP="00026751">
            <w:pPr>
              <w:jc w:val="right"/>
              <w:rPr>
                <w:sz w:val="18"/>
                <w:szCs w:val="18"/>
              </w:rPr>
            </w:pPr>
          </w:p>
        </w:tc>
        <w:tc>
          <w:tcPr>
            <w:tcW w:w="2420" w:type="dxa"/>
            <w:gridSpan w:val="2"/>
          </w:tcPr>
          <w:p w14:paraId="76E77119" w14:textId="77777777" w:rsidR="00026751" w:rsidRPr="006A720D" w:rsidRDefault="00026751" w:rsidP="00026751">
            <w:pPr>
              <w:ind w:right="57"/>
              <w:jc w:val="right"/>
              <w:rPr>
                <w:sz w:val="18"/>
                <w:szCs w:val="18"/>
              </w:rPr>
            </w:pPr>
            <w:r w:rsidRPr="00520E82">
              <w:rPr>
                <w:sz w:val="18"/>
                <w:szCs w:val="18"/>
              </w:rPr>
              <w:t>122</w:t>
            </w:r>
            <w:r>
              <w:rPr>
                <w:sz w:val="18"/>
                <w:szCs w:val="18"/>
              </w:rPr>
              <w:t>.</w:t>
            </w:r>
            <w:r w:rsidRPr="00520E82">
              <w:rPr>
                <w:sz w:val="18"/>
                <w:szCs w:val="18"/>
              </w:rPr>
              <w:t>128</w:t>
            </w:r>
            <w:r>
              <w:rPr>
                <w:sz w:val="18"/>
                <w:szCs w:val="18"/>
              </w:rPr>
              <w:t>.</w:t>
            </w:r>
            <w:r w:rsidRPr="00520E82">
              <w:rPr>
                <w:sz w:val="18"/>
                <w:szCs w:val="18"/>
              </w:rPr>
              <w:t>300</w:t>
            </w:r>
          </w:p>
        </w:tc>
        <w:tc>
          <w:tcPr>
            <w:tcW w:w="2526" w:type="dxa"/>
            <w:shd w:val="clear" w:color="auto" w:fill="auto"/>
          </w:tcPr>
          <w:p w14:paraId="27EAC8C4" w14:textId="77777777" w:rsidR="00026751" w:rsidRPr="006A720D" w:rsidRDefault="00026751" w:rsidP="00026751">
            <w:pPr>
              <w:ind w:right="57"/>
              <w:jc w:val="right"/>
              <w:rPr>
                <w:i/>
                <w:sz w:val="18"/>
                <w:szCs w:val="18"/>
                <w:lang w:val="id-ID"/>
              </w:rPr>
            </w:pPr>
            <w:r w:rsidRPr="006A720D">
              <w:rPr>
                <w:i/>
                <w:sz w:val="18"/>
                <w:szCs w:val="18"/>
              </w:rPr>
              <w:t>Training</w:t>
            </w:r>
          </w:p>
        </w:tc>
      </w:tr>
      <w:tr w:rsidR="00026751" w:rsidRPr="006A720D" w14:paraId="73376481" w14:textId="77777777" w:rsidTr="00026751">
        <w:tc>
          <w:tcPr>
            <w:tcW w:w="2588" w:type="dxa"/>
            <w:shd w:val="clear" w:color="auto" w:fill="auto"/>
          </w:tcPr>
          <w:p w14:paraId="0B63469A" w14:textId="77777777" w:rsidR="00026751" w:rsidRPr="006A720D" w:rsidRDefault="00026751" w:rsidP="00026751">
            <w:pPr>
              <w:pStyle w:val="ListParagraph"/>
              <w:ind w:left="349"/>
              <w:jc w:val="both"/>
              <w:rPr>
                <w:sz w:val="18"/>
                <w:szCs w:val="18"/>
              </w:rPr>
            </w:pPr>
            <w:r w:rsidRPr="006A720D">
              <w:rPr>
                <w:sz w:val="18"/>
                <w:szCs w:val="18"/>
              </w:rPr>
              <w:t>Asuransi</w:t>
            </w:r>
          </w:p>
        </w:tc>
        <w:tc>
          <w:tcPr>
            <w:tcW w:w="1576" w:type="dxa"/>
            <w:shd w:val="clear" w:color="auto" w:fill="auto"/>
            <w:vAlign w:val="bottom"/>
          </w:tcPr>
          <w:p w14:paraId="7A983737" w14:textId="77777777" w:rsidR="00026751" w:rsidRPr="006A720D" w:rsidRDefault="00026751" w:rsidP="00026751">
            <w:pPr>
              <w:ind w:right="57"/>
              <w:jc w:val="right"/>
              <w:rPr>
                <w:sz w:val="18"/>
                <w:szCs w:val="18"/>
              </w:rPr>
            </w:pPr>
            <w:r w:rsidRPr="00520E82">
              <w:rPr>
                <w:sz w:val="18"/>
                <w:szCs w:val="18"/>
              </w:rPr>
              <w:t>721</w:t>
            </w:r>
            <w:r>
              <w:rPr>
                <w:sz w:val="18"/>
                <w:szCs w:val="18"/>
              </w:rPr>
              <w:t>.</w:t>
            </w:r>
            <w:r w:rsidRPr="00520E82">
              <w:rPr>
                <w:sz w:val="18"/>
                <w:szCs w:val="18"/>
              </w:rPr>
              <w:t>537</w:t>
            </w:r>
            <w:r>
              <w:rPr>
                <w:sz w:val="18"/>
                <w:szCs w:val="18"/>
              </w:rPr>
              <w:t>.</w:t>
            </w:r>
            <w:r w:rsidRPr="00520E82">
              <w:rPr>
                <w:sz w:val="18"/>
                <w:szCs w:val="18"/>
              </w:rPr>
              <w:t>685</w:t>
            </w:r>
          </w:p>
        </w:tc>
        <w:tc>
          <w:tcPr>
            <w:tcW w:w="87" w:type="dxa"/>
            <w:shd w:val="clear" w:color="auto" w:fill="auto"/>
            <w:vAlign w:val="bottom"/>
          </w:tcPr>
          <w:p w14:paraId="3C8B3ECE" w14:textId="77777777" w:rsidR="00026751" w:rsidRPr="006A720D" w:rsidRDefault="00026751" w:rsidP="00026751">
            <w:pPr>
              <w:jc w:val="right"/>
              <w:rPr>
                <w:sz w:val="18"/>
                <w:szCs w:val="18"/>
              </w:rPr>
            </w:pPr>
          </w:p>
        </w:tc>
        <w:tc>
          <w:tcPr>
            <w:tcW w:w="2420" w:type="dxa"/>
            <w:gridSpan w:val="2"/>
          </w:tcPr>
          <w:p w14:paraId="44F52832" w14:textId="77777777" w:rsidR="00026751" w:rsidRPr="006A720D" w:rsidRDefault="00026751" w:rsidP="00026751">
            <w:pPr>
              <w:ind w:right="57"/>
              <w:jc w:val="right"/>
              <w:rPr>
                <w:sz w:val="18"/>
                <w:szCs w:val="18"/>
              </w:rPr>
            </w:pPr>
            <w:r w:rsidRPr="00520E82">
              <w:rPr>
                <w:sz w:val="18"/>
                <w:szCs w:val="18"/>
              </w:rPr>
              <w:t>885</w:t>
            </w:r>
            <w:r>
              <w:rPr>
                <w:sz w:val="18"/>
                <w:szCs w:val="18"/>
              </w:rPr>
              <w:t>.</w:t>
            </w:r>
            <w:r w:rsidRPr="00520E82">
              <w:rPr>
                <w:sz w:val="18"/>
                <w:szCs w:val="18"/>
              </w:rPr>
              <w:t>009</w:t>
            </w:r>
            <w:r>
              <w:rPr>
                <w:sz w:val="18"/>
                <w:szCs w:val="18"/>
              </w:rPr>
              <w:t>.</w:t>
            </w:r>
            <w:r w:rsidRPr="00520E82">
              <w:rPr>
                <w:sz w:val="18"/>
                <w:szCs w:val="18"/>
              </w:rPr>
              <w:t>015</w:t>
            </w:r>
          </w:p>
        </w:tc>
        <w:tc>
          <w:tcPr>
            <w:tcW w:w="2526" w:type="dxa"/>
            <w:shd w:val="clear" w:color="auto" w:fill="auto"/>
          </w:tcPr>
          <w:p w14:paraId="0C13EB52" w14:textId="77777777" w:rsidR="00026751" w:rsidRPr="006A720D" w:rsidRDefault="00026751" w:rsidP="00026751">
            <w:pPr>
              <w:ind w:right="57"/>
              <w:jc w:val="right"/>
              <w:rPr>
                <w:i/>
                <w:sz w:val="18"/>
                <w:szCs w:val="18"/>
              </w:rPr>
            </w:pPr>
            <w:r w:rsidRPr="006A720D">
              <w:rPr>
                <w:i/>
                <w:sz w:val="18"/>
                <w:szCs w:val="18"/>
              </w:rPr>
              <w:t>Insurance</w:t>
            </w:r>
          </w:p>
        </w:tc>
      </w:tr>
      <w:tr w:rsidR="00026751" w:rsidRPr="006A720D" w14:paraId="0BD096EA" w14:textId="77777777" w:rsidTr="00026751">
        <w:tc>
          <w:tcPr>
            <w:tcW w:w="2588" w:type="dxa"/>
            <w:shd w:val="clear" w:color="auto" w:fill="auto"/>
          </w:tcPr>
          <w:p w14:paraId="0D703E51" w14:textId="77777777" w:rsidR="00026751" w:rsidRPr="006A720D" w:rsidRDefault="00026751" w:rsidP="00026751">
            <w:pPr>
              <w:pStyle w:val="ListParagraph"/>
              <w:ind w:left="349"/>
              <w:jc w:val="both"/>
              <w:rPr>
                <w:sz w:val="18"/>
                <w:szCs w:val="18"/>
              </w:rPr>
            </w:pPr>
            <w:r w:rsidRPr="006A720D">
              <w:rPr>
                <w:sz w:val="18"/>
                <w:szCs w:val="18"/>
              </w:rPr>
              <w:t>Transportasi</w:t>
            </w:r>
          </w:p>
        </w:tc>
        <w:tc>
          <w:tcPr>
            <w:tcW w:w="1576" w:type="dxa"/>
            <w:shd w:val="clear" w:color="auto" w:fill="auto"/>
            <w:vAlign w:val="bottom"/>
          </w:tcPr>
          <w:p w14:paraId="2613696B" w14:textId="77777777" w:rsidR="00026751" w:rsidRPr="006A720D" w:rsidRDefault="00026751" w:rsidP="00026751">
            <w:pPr>
              <w:ind w:right="57"/>
              <w:jc w:val="right"/>
              <w:rPr>
                <w:sz w:val="18"/>
                <w:szCs w:val="18"/>
              </w:rPr>
            </w:pPr>
            <w:r w:rsidRPr="00520E82">
              <w:rPr>
                <w:sz w:val="18"/>
                <w:szCs w:val="18"/>
              </w:rPr>
              <w:t>547</w:t>
            </w:r>
            <w:r>
              <w:rPr>
                <w:sz w:val="18"/>
                <w:szCs w:val="18"/>
              </w:rPr>
              <w:t>.</w:t>
            </w:r>
            <w:r w:rsidRPr="00520E82">
              <w:rPr>
                <w:sz w:val="18"/>
                <w:szCs w:val="18"/>
              </w:rPr>
              <w:t>219</w:t>
            </w:r>
            <w:r>
              <w:rPr>
                <w:sz w:val="18"/>
                <w:szCs w:val="18"/>
              </w:rPr>
              <w:t>.</w:t>
            </w:r>
            <w:r w:rsidRPr="00520E82">
              <w:rPr>
                <w:sz w:val="18"/>
                <w:szCs w:val="18"/>
              </w:rPr>
              <w:t>863</w:t>
            </w:r>
          </w:p>
        </w:tc>
        <w:tc>
          <w:tcPr>
            <w:tcW w:w="87" w:type="dxa"/>
            <w:shd w:val="clear" w:color="auto" w:fill="auto"/>
            <w:vAlign w:val="bottom"/>
          </w:tcPr>
          <w:p w14:paraId="51BFE5FE" w14:textId="77777777" w:rsidR="00026751" w:rsidRPr="006A720D" w:rsidRDefault="00026751" w:rsidP="00026751">
            <w:pPr>
              <w:jc w:val="right"/>
              <w:rPr>
                <w:sz w:val="18"/>
                <w:szCs w:val="18"/>
              </w:rPr>
            </w:pPr>
          </w:p>
        </w:tc>
        <w:tc>
          <w:tcPr>
            <w:tcW w:w="2420" w:type="dxa"/>
            <w:gridSpan w:val="2"/>
          </w:tcPr>
          <w:p w14:paraId="49E71CFC" w14:textId="77777777" w:rsidR="00026751" w:rsidRPr="006A720D" w:rsidRDefault="00026751" w:rsidP="00026751">
            <w:pPr>
              <w:ind w:right="57"/>
              <w:jc w:val="right"/>
              <w:rPr>
                <w:sz w:val="18"/>
                <w:szCs w:val="18"/>
              </w:rPr>
            </w:pPr>
            <w:r w:rsidRPr="00520E82">
              <w:rPr>
                <w:sz w:val="18"/>
                <w:szCs w:val="18"/>
              </w:rPr>
              <w:t>429</w:t>
            </w:r>
            <w:r>
              <w:rPr>
                <w:sz w:val="18"/>
                <w:szCs w:val="18"/>
              </w:rPr>
              <w:t>.</w:t>
            </w:r>
            <w:r w:rsidRPr="00520E82">
              <w:rPr>
                <w:sz w:val="18"/>
                <w:szCs w:val="18"/>
              </w:rPr>
              <w:t>769</w:t>
            </w:r>
            <w:r>
              <w:rPr>
                <w:sz w:val="18"/>
                <w:szCs w:val="18"/>
              </w:rPr>
              <w:t>.</w:t>
            </w:r>
            <w:r w:rsidRPr="00520E82">
              <w:rPr>
                <w:sz w:val="18"/>
                <w:szCs w:val="18"/>
              </w:rPr>
              <w:t>429</w:t>
            </w:r>
          </w:p>
        </w:tc>
        <w:tc>
          <w:tcPr>
            <w:tcW w:w="2526" w:type="dxa"/>
            <w:shd w:val="clear" w:color="auto" w:fill="auto"/>
          </w:tcPr>
          <w:p w14:paraId="424FD5F9" w14:textId="77777777" w:rsidR="00026751" w:rsidRPr="006A720D" w:rsidRDefault="00026751" w:rsidP="00026751">
            <w:pPr>
              <w:ind w:right="57"/>
              <w:jc w:val="right"/>
              <w:rPr>
                <w:i/>
                <w:sz w:val="18"/>
                <w:szCs w:val="18"/>
              </w:rPr>
            </w:pPr>
            <w:r w:rsidRPr="006A720D">
              <w:rPr>
                <w:i/>
                <w:sz w:val="18"/>
                <w:szCs w:val="18"/>
              </w:rPr>
              <w:t>Transportation</w:t>
            </w:r>
          </w:p>
        </w:tc>
      </w:tr>
      <w:tr w:rsidR="00026751" w:rsidRPr="006A720D" w14:paraId="0088B8F6" w14:textId="77777777" w:rsidTr="00026751">
        <w:tc>
          <w:tcPr>
            <w:tcW w:w="2588" w:type="dxa"/>
            <w:shd w:val="clear" w:color="auto" w:fill="auto"/>
          </w:tcPr>
          <w:p w14:paraId="0CCFE61C" w14:textId="77777777" w:rsidR="00026751" w:rsidRPr="006A720D" w:rsidRDefault="00026751" w:rsidP="00026751">
            <w:pPr>
              <w:pStyle w:val="ListParagraph"/>
              <w:ind w:left="349"/>
              <w:jc w:val="both"/>
              <w:rPr>
                <w:sz w:val="18"/>
                <w:szCs w:val="18"/>
              </w:rPr>
            </w:pPr>
            <w:r w:rsidRPr="00410880">
              <w:rPr>
                <w:sz w:val="18"/>
                <w:szCs w:val="18"/>
              </w:rPr>
              <w:t>Amortisasi (Catatan 13)</w:t>
            </w:r>
          </w:p>
        </w:tc>
        <w:tc>
          <w:tcPr>
            <w:tcW w:w="1576" w:type="dxa"/>
            <w:shd w:val="clear" w:color="auto" w:fill="auto"/>
            <w:vAlign w:val="bottom"/>
          </w:tcPr>
          <w:p w14:paraId="1EBB8230" w14:textId="77777777" w:rsidR="00026751" w:rsidRPr="006A720D" w:rsidRDefault="00026751" w:rsidP="00026751">
            <w:pPr>
              <w:ind w:right="57"/>
              <w:jc w:val="right"/>
              <w:rPr>
                <w:sz w:val="18"/>
                <w:szCs w:val="18"/>
              </w:rPr>
            </w:pPr>
            <w:r w:rsidRPr="00610909">
              <w:rPr>
                <w:sz w:val="18"/>
                <w:szCs w:val="18"/>
              </w:rPr>
              <w:t>507</w:t>
            </w:r>
            <w:r>
              <w:rPr>
                <w:sz w:val="18"/>
                <w:szCs w:val="18"/>
              </w:rPr>
              <w:t>.</w:t>
            </w:r>
            <w:r w:rsidRPr="00610909">
              <w:rPr>
                <w:sz w:val="18"/>
                <w:szCs w:val="18"/>
              </w:rPr>
              <w:t>795</w:t>
            </w:r>
            <w:r>
              <w:rPr>
                <w:sz w:val="18"/>
                <w:szCs w:val="18"/>
              </w:rPr>
              <w:t>.</w:t>
            </w:r>
            <w:r w:rsidRPr="00610909">
              <w:rPr>
                <w:sz w:val="18"/>
                <w:szCs w:val="18"/>
              </w:rPr>
              <w:t>333</w:t>
            </w:r>
          </w:p>
        </w:tc>
        <w:tc>
          <w:tcPr>
            <w:tcW w:w="87" w:type="dxa"/>
            <w:shd w:val="clear" w:color="auto" w:fill="auto"/>
            <w:vAlign w:val="bottom"/>
          </w:tcPr>
          <w:p w14:paraId="1A7E1FE4" w14:textId="77777777" w:rsidR="00026751" w:rsidRPr="006A720D" w:rsidRDefault="00026751" w:rsidP="00026751">
            <w:pPr>
              <w:jc w:val="right"/>
              <w:rPr>
                <w:sz w:val="18"/>
                <w:szCs w:val="18"/>
              </w:rPr>
            </w:pPr>
          </w:p>
        </w:tc>
        <w:tc>
          <w:tcPr>
            <w:tcW w:w="2420" w:type="dxa"/>
            <w:gridSpan w:val="2"/>
          </w:tcPr>
          <w:p w14:paraId="739A26FF" w14:textId="77777777" w:rsidR="00026751" w:rsidRPr="006A720D" w:rsidRDefault="00026751" w:rsidP="00026751">
            <w:pPr>
              <w:ind w:right="57"/>
              <w:jc w:val="right"/>
              <w:rPr>
                <w:sz w:val="18"/>
                <w:szCs w:val="18"/>
              </w:rPr>
            </w:pPr>
            <w:r>
              <w:rPr>
                <w:sz w:val="18"/>
                <w:szCs w:val="18"/>
              </w:rPr>
              <w:t>3</w:t>
            </w:r>
            <w:r w:rsidRPr="00520E82">
              <w:rPr>
                <w:sz w:val="18"/>
                <w:szCs w:val="18"/>
              </w:rPr>
              <w:t>8</w:t>
            </w:r>
            <w:r>
              <w:rPr>
                <w:sz w:val="18"/>
                <w:szCs w:val="18"/>
              </w:rPr>
              <w:t>.</w:t>
            </w:r>
            <w:r w:rsidRPr="00520E82">
              <w:rPr>
                <w:sz w:val="18"/>
                <w:szCs w:val="18"/>
              </w:rPr>
              <w:t>579</w:t>
            </w:r>
            <w:r>
              <w:rPr>
                <w:sz w:val="18"/>
                <w:szCs w:val="18"/>
              </w:rPr>
              <w:t>.</w:t>
            </w:r>
            <w:r w:rsidRPr="00520E82">
              <w:rPr>
                <w:sz w:val="18"/>
                <w:szCs w:val="18"/>
              </w:rPr>
              <w:t>710</w:t>
            </w:r>
          </w:p>
        </w:tc>
        <w:tc>
          <w:tcPr>
            <w:tcW w:w="2526" w:type="dxa"/>
            <w:shd w:val="clear" w:color="auto" w:fill="auto"/>
          </w:tcPr>
          <w:p w14:paraId="7BD6F52D" w14:textId="77777777" w:rsidR="00026751" w:rsidRPr="006A720D" w:rsidRDefault="00026751" w:rsidP="00026751">
            <w:pPr>
              <w:ind w:right="57"/>
              <w:jc w:val="right"/>
              <w:rPr>
                <w:i/>
                <w:sz w:val="18"/>
                <w:szCs w:val="18"/>
              </w:rPr>
            </w:pPr>
            <w:r w:rsidRPr="00410880">
              <w:rPr>
                <w:i/>
                <w:sz w:val="18"/>
                <w:szCs w:val="18"/>
              </w:rPr>
              <w:t>Amortization (Note 13)</w:t>
            </w:r>
          </w:p>
        </w:tc>
      </w:tr>
      <w:tr w:rsidR="00026751" w:rsidRPr="006A720D" w14:paraId="200F0E63" w14:textId="77777777" w:rsidTr="00026751">
        <w:tc>
          <w:tcPr>
            <w:tcW w:w="2588" w:type="dxa"/>
            <w:shd w:val="clear" w:color="auto" w:fill="auto"/>
          </w:tcPr>
          <w:p w14:paraId="418D58C8" w14:textId="77777777" w:rsidR="00026751" w:rsidRPr="006A720D" w:rsidRDefault="00026751" w:rsidP="00026751">
            <w:pPr>
              <w:pStyle w:val="ListParagraph"/>
              <w:ind w:left="349"/>
              <w:jc w:val="both"/>
              <w:rPr>
                <w:sz w:val="18"/>
                <w:szCs w:val="18"/>
              </w:rPr>
            </w:pPr>
            <w:r w:rsidRPr="006A720D">
              <w:rPr>
                <w:sz w:val="18"/>
                <w:szCs w:val="18"/>
              </w:rPr>
              <w:t>Komunikasi</w:t>
            </w:r>
          </w:p>
        </w:tc>
        <w:tc>
          <w:tcPr>
            <w:tcW w:w="1576" w:type="dxa"/>
            <w:shd w:val="clear" w:color="auto" w:fill="auto"/>
            <w:vAlign w:val="bottom"/>
          </w:tcPr>
          <w:p w14:paraId="6693C433" w14:textId="77777777" w:rsidR="00026751" w:rsidRPr="006A720D" w:rsidRDefault="00026751" w:rsidP="00026751">
            <w:pPr>
              <w:ind w:right="57"/>
              <w:jc w:val="right"/>
              <w:rPr>
                <w:sz w:val="18"/>
                <w:szCs w:val="18"/>
              </w:rPr>
            </w:pPr>
            <w:r w:rsidRPr="00610909">
              <w:rPr>
                <w:sz w:val="18"/>
                <w:szCs w:val="18"/>
              </w:rPr>
              <w:t>460</w:t>
            </w:r>
            <w:r>
              <w:rPr>
                <w:sz w:val="18"/>
                <w:szCs w:val="18"/>
              </w:rPr>
              <w:t>.</w:t>
            </w:r>
            <w:r w:rsidRPr="00610909">
              <w:rPr>
                <w:sz w:val="18"/>
                <w:szCs w:val="18"/>
              </w:rPr>
              <w:t>082</w:t>
            </w:r>
            <w:r>
              <w:rPr>
                <w:sz w:val="18"/>
                <w:szCs w:val="18"/>
              </w:rPr>
              <w:t>.</w:t>
            </w:r>
            <w:r w:rsidRPr="00610909">
              <w:rPr>
                <w:sz w:val="18"/>
                <w:szCs w:val="18"/>
              </w:rPr>
              <w:t>354</w:t>
            </w:r>
          </w:p>
        </w:tc>
        <w:tc>
          <w:tcPr>
            <w:tcW w:w="87" w:type="dxa"/>
            <w:shd w:val="clear" w:color="auto" w:fill="auto"/>
            <w:vAlign w:val="bottom"/>
          </w:tcPr>
          <w:p w14:paraId="4DDAC6AC" w14:textId="77777777" w:rsidR="00026751" w:rsidRPr="006A720D" w:rsidRDefault="00026751" w:rsidP="00026751">
            <w:pPr>
              <w:jc w:val="right"/>
              <w:rPr>
                <w:sz w:val="18"/>
                <w:szCs w:val="18"/>
              </w:rPr>
            </w:pPr>
          </w:p>
        </w:tc>
        <w:tc>
          <w:tcPr>
            <w:tcW w:w="2420" w:type="dxa"/>
            <w:gridSpan w:val="2"/>
          </w:tcPr>
          <w:p w14:paraId="5D048EC6" w14:textId="77777777" w:rsidR="00026751" w:rsidRPr="006A720D" w:rsidRDefault="00026751" w:rsidP="00026751">
            <w:pPr>
              <w:ind w:right="57"/>
              <w:jc w:val="right"/>
              <w:rPr>
                <w:sz w:val="18"/>
                <w:szCs w:val="18"/>
              </w:rPr>
            </w:pPr>
            <w:r w:rsidRPr="00520E82">
              <w:rPr>
                <w:sz w:val="18"/>
                <w:szCs w:val="18"/>
              </w:rPr>
              <w:t>427</w:t>
            </w:r>
            <w:r>
              <w:rPr>
                <w:sz w:val="18"/>
                <w:szCs w:val="18"/>
              </w:rPr>
              <w:t>.</w:t>
            </w:r>
            <w:r w:rsidRPr="00520E82">
              <w:rPr>
                <w:sz w:val="18"/>
                <w:szCs w:val="18"/>
              </w:rPr>
              <w:t>040</w:t>
            </w:r>
            <w:r>
              <w:rPr>
                <w:sz w:val="18"/>
                <w:szCs w:val="18"/>
              </w:rPr>
              <w:t>.</w:t>
            </w:r>
            <w:r w:rsidRPr="00520E82">
              <w:rPr>
                <w:sz w:val="18"/>
                <w:szCs w:val="18"/>
              </w:rPr>
              <w:t>461</w:t>
            </w:r>
          </w:p>
        </w:tc>
        <w:tc>
          <w:tcPr>
            <w:tcW w:w="2526" w:type="dxa"/>
            <w:shd w:val="clear" w:color="auto" w:fill="auto"/>
          </w:tcPr>
          <w:p w14:paraId="12E6170D" w14:textId="77777777" w:rsidR="00026751" w:rsidRPr="006A720D" w:rsidRDefault="00026751" w:rsidP="00026751">
            <w:pPr>
              <w:ind w:right="57"/>
              <w:jc w:val="right"/>
              <w:rPr>
                <w:i/>
                <w:sz w:val="18"/>
                <w:szCs w:val="18"/>
              </w:rPr>
            </w:pPr>
            <w:r w:rsidRPr="006A720D">
              <w:rPr>
                <w:i/>
                <w:sz w:val="18"/>
                <w:szCs w:val="18"/>
              </w:rPr>
              <w:t>Communication</w:t>
            </w:r>
          </w:p>
        </w:tc>
      </w:tr>
      <w:tr w:rsidR="00026751" w:rsidRPr="006A720D" w14:paraId="62816CD3" w14:textId="77777777" w:rsidTr="00026751">
        <w:tc>
          <w:tcPr>
            <w:tcW w:w="2588" w:type="dxa"/>
            <w:shd w:val="clear" w:color="auto" w:fill="auto"/>
          </w:tcPr>
          <w:p w14:paraId="05E322EF" w14:textId="77777777" w:rsidR="00026751" w:rsidRPr="006A720D" w:rsidRDefault="00026751" w:rsidP="00026751">
            <w:pPr>
              <w:pStyle w:val="ListParagraph"/>
              <w:ind w:left="349"/>
              <w:jc w:val="both"/>
              <w:rPr>
                <w:sz w:val="18"/>
                <w:szCs w:val="18"/>
              </w:rPr>
            </w:pPr>
            <w:r w:rsidRPr="006A720D">
              <w:rPr>
                <w:sz w:val="18"/>
                <w:szCs w:val="18"/>
              </w:rPr>
              <w:t>Keperluan kantor</w:t>
            </w:r>
          </w:p>
        </w:tc>
        <w:tc>
          <w:tcPr>
            <w:tcW w:w="1576" w:type="dxa"/>
            <w:shd w:val="clear" w:color="auto" w:fill="auto"/>
            <w:vAlign w:val="bottom"/>
          </w:tcPr>
          <w:p w14:paraId="75BFD7DA" w14:textId="77777777" w:rsidR="00026751" w:rsidRPr="00A102B5" w:rsidRDefault="00026751" w:rsidP="00026751">
            <w:pPr>
              <w:ind w:right="57"/>
              <w:jc w:val="right"/>
              <w:rPr>
                <w:sz w:val="18"/>
                <w:szCs w:val="18"/>
                <w:lang w:val="id-ID"/>
              </w:rPr>
            </w:pPr>
            <w:r w:rsidRPr="00520E82">
              <w:rPr>
                <w:sz w:val="18"/>
                <w:szCs w:val="18"/>
                <w:lang w:val="id-ID"/>
              </w:rPr>
              <w:t>415</w:t>
            </w:r>
            <w:r>
              <w:rPr>
                <w:sz w:val="18"/>
                <w:szCs w:val="18"/>
                <w:lang w:val="id-ID"/>
              </w:rPr>
              <w:t>.</w:t>
            </w:r>
            <w:r w:rsidRPr="00520E82">
              <w:rPr>
                <w:sz w:val="18"/>
                <w:szCs w:val="18"/>
                <w:lang w:val="id-ID"/>
              </w:rPr>
              <w:t>277</w:t>
            </w:r>
            <w:r>
              <w:rPr>
                <w:sz w:val="18"/>
                <w:szCs w:val="18"/>
                <w:lang w:val="id-ID"/>
              </w:rPr>
              <w:t>.</w:t>
            </w:r>
            <w:r w:rsidRPr="00520E82">
              <w:rPr>
                <w:sz w:val="18"/>
                <w:szCs w:val="18"/>
                <w:lang w:val="id-ID"/>
              </w:rPr>
              <w:t>455</w:t>
            </w:r>
          </w:p>
        </w:tc>
        <w:tc>
          <w:tcPr>
            <w:tcW w:w="87" w:type="dxa"/>
            <w:shd w:val="clear" w:color="auto" w:fill="auto"/>
            <w:vAlign w:val="bottom"/>
          </w:tcPr>
          <w:p w14:paraId="5BC8CCC4" w14:textId="77777777" w:rsidR="00026751" w:rsidRPr="006A720D" w:rsidRDefault="00026751" w:rsidP="00026751">
            <w:pPr>
              <w:jc w:val="right"/>
              <w:rPr>
                <w:sz w:val="18"/>
                <w:szCs w:val="18"/>
              </w:rPr>
            </w:pPr>
          </w:p>
        </w:tc>
        <w:tc>
          <w:tcPr>
            <w:tcW w:w="2420" w:type="dxa"/>
            <w:gridSpan w:val="2"/>
          </w:tcPr>
          <w:p w14:paraId="41645DBC" w14:textId="77777777" w:rsidR="00026751" w:rsidRPr="006A720D" w:rsidRDefault="00026751" w:rsidP="00026751">
            <w:pPr>
              <w:ind w:right="57"/>
              <w:jc w:val="right"/>
              <w:rPr>
                <w:sz w:val="18"/>
                <w:szCs w:val="18"/>
              </w:rPr>
            </w:pPr>
            <w:r w:rsidRPr="00520E82">
              <w:rPr>
                <w:sz w:val="18"/>
                <w:szCs w:val="18"/>
              </w:rPr>
              <w:t>580</w:t>
            </w:r>
            <w:r>
              <w:rPr>
                <w:sz w:val="18"/>
                <w:szCs w:val="18"/>
              </w:rPr>
              <w:t>.</w:t>
            </w:r>
            <w:r w:rsidRPr="00520E82">
              <w:rPr>
                <w:sz w:val="18"/>
                <w:szCs w:val="18"/>
              </w:rPr>
              <w:t>210</w:t>
            </w:r>
            <w:r>
              <w:rPr>
                <w:sz w:val="18"/>
                <w:szCs w:val="18"/>
              </w:rPr>
              <w:t>.</w:t>
            </w:r>
            <w:r w:rsidRPr="00520E82">
              <w:rPr>
                <w:sz w:val="18"/>
                <w:szCs w:val="18"/>
              </w:rPr>
              <w:t>250</w:t>
            </w:r>
          </w:p>
        </w:tc>
        <w:tc>
          <w:tcPr>
            <w:tcW w:w="2526" w:type="dxa"/>
            <w:shd w:val="clear" w:color="auto" w:fill="auto"/>
          </w:tcPr>
          <w:p w14:paraId="426CC9AB" w14:textId="77777777" w:rsidR="00026751" w:rsidRPr="006A720D" w:rsidRDefault="00026751" w:rsidP="00026751">
            <w:pPr>
              <w:ind w:right="57"/>
              <w:jc w:val="right"/>
              <w:rPr>
                <w:i/>
                <w:sz w:val="18"/>
                <w:szCs w:val="18"/>
              </w:rPr>
            </w:pPr>
            <w:r w:rsidRPr="006A720D">
              <w:rPr>
                <w:i/>
                <w:sz w:val="18"/>
                <w:szCs w:val="18"/>
              </w:rPr>
              <w:t>Office supplies</w:t>
            </w:r>
          </w:p>
        </w:tc>
      </w:tr>
      <w:tr w:rsidR="00974233" w:rsidRPr="006A720D" w14:paraId="6AB252E1" w14:textId="77777777" w:rsidTr="002C6EE3">
        <w:tc>
          <w:tcPr>
            <w:tcW w:w="2588" w:type="dxa"/>
            <w:shd w:val="clear" w:color="auto" w:fill="auto"/>
          </w:tcPr>
          <w:p w14:paraId="7E0B891C" w14:textId="252F1D7F" w:rsidR="00974233" w:rsidRPr="006A720D" w:rsidRDefault="00974233" w:rsidP="009479DE">
            <w:pPr>
              <w:pStyle w:val="ListParagraph"/>
              <w:ind w:left="349"/>
              <w:jc w:val="both"/>
              <w:rPr>
                <w:sz w:val="18"/>
                <w:szCs w:val="18"/>
              </w:rPr>
            </w:pPr>
            <w:r w:rsidRPr="006A720D">
              <w:rPr>
                <w:sz w:val="18"/>
                <w:szCs w:val="18"/>
              </w:rPr>
              <w:t xml:space="preserve">Jasa </w:t>
            </w:r>
            <w:r w:rsidR="007E5BAC">
              <w:rPr>
                <w:sz w:val="18"/>
                <w:szCs w:val="18"/>
              </w:rPr>
              <w:t>professional</w:t>
            </w:r>
          </w:p>
        </w:tc>
        <w:tc>
          <w:tcPr>
            <w:tcW w:w="1576" w:type="dxa"/>
            <w:shd w:val="clear" w:color="auto" w:fill="auto"/>
            <w:vAlign w:val="bottom"/>
          </w:tcPr>
          <w:p w14:paraId="1B97E76B" w14:textId="6B39FBD7" w:rsidR="00974233" w:rsidRDefault="00520E82" w:rsidP="0013526B">
            <w:pPr>
              <w:ind w:right="57"/>
              <w:jc w:val="right"/>
              <w:rPr>
                <w:sz w:val="18"/>
                <w:szCs w:val="18"/>
                <w:lang w:val="id-ID"/>
              </w:rPr>
            </w:pPr>
            <w:r w:rsidRPr="00520E82">
              <w:rPr>
                <w:sz w:val="18"/>
                <w:szCs w:val="18"/>
                <w:lang w:val="id-ID"/>
              </w:rPr>
              <w:t>385</w:t>
            </w:r>
            <w:r w:rsidR="002C6EE3">
              <w:rPr>
                <w:sz w:val="18"/>
                <w:szCs w:val="18"/>
                <w:lang w:val="id-ID"/>
              </w:rPr>
              <w:t>.</w:t>
            </w:r>
            <w:r w:rsidRPr="00520E82">
              <w:rPr>
                <w:sz w:val="18"/>
                <w:szCs w:val="18"/>
                <w:lang w:val="id-ID"/>
              </w:rPr>
              <w:t>012</w:t>
            </w:r>
            <w:r w:rsidR="002C6EE3">
              <w:rPr>
                <w:sz w:val="18"/>
                <w:szCs w:val="18"/>
                <w:lang w:val="id-ID"/>
              </w:rPr>
              <w:t>.</w:t>
            </w:r>
            <w:r w:rsidRPr="00520E82">
              <w:rPr>
                <w:sz w:val="18"/>
                <w:szCs w:val="18"/>
                <w:lang w:val="id-ID"/>
              </w:rPr>
              <w:t>001</w:t>
            </w:r>
          </w:p>
        </w:tc>
        <w:tc>
          <w:tcPr>
            <w:tcW w:w="87" w:type="dxa"/>
            <w:shd w:val="clear" w:color="auto" w:fill="auto"/>
            <w:vAlign w:val="bottom"/>
          </w:tcPr>
          <w:p w14:paraId="2D95AB3F" w14:textId="77777777" w:rsidR="00974233" w:rsidRPr="006A720D" w:rsidRDefault="00974233" w:rsidP="0013526B">
            <w:pPr>
              <w:jc w:val="right"/>
              <w:rPr>
                <w:sz w:val="18"/>
                <w:szCs w:val="18"/>
              </w:rPr>
            </w:pPr>
          </w:p>
        </w:tc>
        <w:tc>
          <w:tcPr>
            <w:tcW w:w="2420" w:type="dxa"/>
            <w:gridSpan w:val="2"/>
          </w:tcPr>
          <w:p w14:paraId="61D74C47" w14:textId="1525BDFD" w:rsidR="00974233" w:rsidRPr="006A720D" w:rsidRDefault="00520E82" w:rsidP="0013526B">
            <w:pPr>
              <w:ind w:right="57"/>
              <w:jc w:val="right"/>
              <w:rPr>
                <w:sz w:val="18"/>
                <w:szCs w:val="18"/>
              </w:rPr>
            </w:pPr>
            <w:r w:rsidRPr="00520E82">
              <w:rPr>
                <w:sz w:val="18"/>
                <w:szCs w:val="18"/>
              </w:rPr>
              <w:t>1</w:t>
            </w:r>
            <w:r w:rsidR="002C6EE3">
              <w:rPr>
                <w:sz w:val="18"/>
                <w:szCs w:val="18"/>
              </w:rPr>
              <w:t>.</w:t>
            </w:r>
            <w:r w:rsidRPr="00520E82">
              <w:rPr>
                <w:sz w:val="18"/>
                <w:szCs w:val="18"/>
              </w:rPr>
              <w:t>003</w:t>
            </w:r>
            <w:r w:rsidR="002C6EE3">
              <w:rPr>
                <w:sz w:val="18"/>
                <w:szCs w:val="18"/>
              </w:rPr>
              <w:t>.</w:t>
            </w:r>
            <w:r w:rsidRPr="00520E82">
              <w:rPr>
                <w:sz w:val="18"/>
                <w:szCs w:val="18"/>
              </w:rPr>
              <w:t>144</w:t>
            </w:r>
            <w:r w:rsidR="002C6EE3">
              <w:rPr>
                <w:sz w:val="18"/>
                <w:szCs w:val="18"/>
              </w:rPr>
              <w:t>.</w:t>
            </w:r>
            <w:r w:rsidRPr="00520E82">
              <w:rPr>
                <w:sz w:val="18"/>
                <w:szCs w:val="18"/>
              </w:rPr>
              <w:t>666</w:t>
            </w:r>
          </w:p>
        </w:tc>
        <w:tc>
          <w:tcPr>
            <w:tcW w:w="2526" w:type="dxa"/>
            <w:shd w:val="clear" w:color="auto" w:fill="auto"/>
          </w:tcPr>
          <w:p w14:paraId="1B962912" w14:textId="77777777" w:rsidR="00974233" w:rsidRPr="006A720D" w:rsidRDefault="00974233" w:rsidP="0013526B">
            <w:pPr>
              <w:ind w:right="57"/>
              <w:jc w:val="right"/>
              <w:rPr>
                <w:i/>
                <w:sz w:val="18"/>
                <w:szCs w:val="18"/>
              </w:rPr>
            </w:pPr>
            <w:r w:rsidRPr="006A720D">
              <w:rPr>
                <w:i/>
                <w:sz w:val="18"/>
                <w:szCs w:val="18"/>
              </w:rPr>
              <w:t>Professional services</w:t>
            </w:r>
          </w:p>
        </w:tc>
      </w:tr>
      <w:tr w:rsidR="00026751" w:rsidRPr="006A720D" w14:paraId="513EA872" w14:textId="77777777" w:rsidTr="00026751">
        <w:tc>
          <w:tcPr>
            <w:tcW w:w="2588" w:type="dxa"/>
            <w:shd w:val="clear" w:color="auto" w:fill="auto"/>
          </w:tcPr>
          <w:p w14:paraId="6C1295F1" w14:textId="77777777" w:rsidR="00026751" w:rsidRPr="006A720D" w:rsidRDefault="00026751" w:rsidP="00026751">
            <w:pPr>
              <w:pStyle w:val="ListParagraph"/>
              <w:ind w:left="349"/>
              <w:jc w:val="both"/>
              <w:rPr>
                <w:sz w:val="18"/>
                <w:szCs w:val="18"/>
              </w:rPr>
            </w:pPr>
            <w:r w:rsidRPr="006A720D">
              <w:rPr>
                <w:sz w:val="18"/>
                <w:szCs w:val="18"/>
              </w:rPr>
              <w:t>Percetakan</w:t>
            </w:r>
          </w:p>
        </w:tc>
        <w:tc>
          <w:tcPr>
            <w:tcW w:w="1576" w:type="dxa"/>
            <w:shd w:val="clear" w:color="auto" w:fill="auto"/>
            <w:vAlign w:val="bottom"/>
          </w:tcPr>
          <w:p w14:paraId="200F1DA3" w14:textId="77777777" w:rsidR="00026751" w:rsidRPr="006A720D" w:rsidRDefault="00026751" w:rsidP="00026751">
            <w:pPr>
              <w:ind w:right="57"/>
              <w:jc w:val="right"/>
              <w:rPr>
                <w:sz w:val="18"/>
                <w:szCs w:val="18"/>
              </w:rPr>
            </w:pPr>
            <w:r w:rsidRPr="00610909">
              <w:rPr>
                <w:sz w:val="18"/>
                <w:szCs w:val="18"/>
              </w:rPr>
              <w:t>184</w:t>
            </w:r>
            <w:r>
              <w:rPr>
                <w:sz w:val="18"/>
                <w:szCs w:val="18"/>
              </w:rPr>
              <w:t>.</w:t>
            </w:r>
            <w:r w:rsidRPr="00610909">
              <w:rPr>
                <w:sz w:val="18"/>
                <w:szCs w:val="18"/>
              </w:rPr>
              <w:t>089</w:t>
            </w:r>
            <w:r>
              <w:rPr>
                <w:sz w:val="18"/>
                <w:szCs w:val="18"/>
              </w:rPr>
              <w:t>.</w:t>
            </w:r>
            <w:r w:rsidRPr="00610909">
              <w:rPr>
                <w:sz w:val="18"/>
                <w:szCs w:val="18"/>
              </w:rPr>
              <w:t>888</w:t>
            </w:r>
          </w:p>
        </w:tc>
        <w:tc>
          <w:tcPr>
            <w:tcW w:w="87" w:type="dxa"/>
            <w:shd w:val="clear" w:color="auto" w:fill="auto"/>
            <w:vAlign w:val="bottom"/>
          </w:tcPr>
          <w:p w14:paraId="7EF0BD05" w14:textId="77777777" w:rsidR="00026751" w:rsidRPr="006A720D" w:rsidRDefault="00026751" w:rsidP="00026751">
            <w:pPr>
              <w:jc w:val="right"/>
              <w:rPr>
                <w:sz w:val="18"/>
                <w:szCs w:val="18"/>
              </w:rPr>
            </w:pPr>
          </w:p>
        </w:tc>
        <w:tc>
          <w:tcPr>
            <w:tcW w:w="2420" w:type="dxa"/>
            <w:gridSpan w:val="2"/>
          </w:tcPr>
          <w:p w14:paraId="74905B9B" w14:textId="77777777" w:rsidR="00026751" w:rsidRPr="006A720D" w:rsidRDefault="00026751" w:rsidP="00026751">
            <w:pPr>
              <w:ind w:right="57"/>
              <w:jc w:val="right"/>
              <w:rPr>
                <w:sz w:val="18"/>
                <w:szCs w:val="18"/>
              </w:rPr>
            </w:pPr>
            <w:r w:rsidRPr="00520E82">
              <w:rPr>
                <w:sz w:val="18"/>
                <w:szCs w:val="18"/>
              </w:rPr>
              <w:t>761</w:t>
            </w:r>
            <w:r>
              <w:rPr>
                <w:sz w:val="18"/>
                <w:szCs w:val="18"/>
              </w:rPr>
              <w:t>.</w:t>
            </w:r>
            <w:r w:rsidRPr="00520E82">
              <w:rPr>
                <w:sz w:val="18"/>
                <w:szCs w:val="18"/>
              </w:rPr>
              <w:t>713</w:t>
            </w:r>
            <w:r>
              <w:rPr>
                <w:sz w:val="18"/>
                <w:szCs w:val="18"/>
              </w:rPr>
              <w:t>.</w:t>
            </w:r>
            <w:r w:rsidRPr="00520E82">
              <w:rPr>
                <w:sz w:val="18"/>
                <w:szCs w:val="18"/>
              </w:rPr>
              <w:t>051</w:t>
            </w:r>
          </w:p>
        </w:tc>
        <w:tc>
          <w:tcPr>
            <w:tcW w:w="2526" w:type="dxa"/>
            <w:shd w:val="clear" w:color="auto" w:fill="auto"/>
          </w:tcPr>
          <w:p w14:paraId="61172DA3" w14:textId="77777777" w:rsidR="00026751" w:rsidRPr="006A720D" w:rsidRDefault="00026751" w:rsidP="00026751">
            <w:pPr>
              <w:ind w:right="57"/>
              <w:jc w:val="right"/>
              <w:rPr>
                <w:i/>
                <w:sz w:val="18"/>
                <w:szCs w:val="18"/>
              </w:rPr>
            </w:pPr>
            <w:r w:rsidRPr="006A720D">
              <w:rPr>
                <w:i/>
                <w:sz w:val="18"/>
                <w:szCs w:val="18"/>
              </w:rPr>
              <w:t>Printing</w:t>
            </w:r>
          </w:p>
        </w:tc>
      </w:tr>
      <w:tr w:rsidR="00026751" w:rsidRPr="006A720D" w14:paraId="69F54436" w14:textId="77777777" w:rsidTr="00026751">
        <w:tc>
          <w:tcPr>
            <w:tcW w:w="2588" w:type="dxa"/>
            <w:shd w:val="clear" w:color="auto" w:fill="auto"/>
          </w:tcPr>
          <w:p w14:paraId="58EFC52F" w14:textId="77777777" w:rsidR="00026751" w:rsidRPr="00E76CB7" w:rsidRDefault="00026751" w:rsidP="00026751">
            <w:pPr>
              <w:pStyle w:val="ListParagraph"/>
              <w:ind w:left="349"/>
              <w:jc w:val="both"/>
              <w:rPr>
                <w:sz w:val="18"/>
                <w:szCs w:val="18"/>
                <w:lang w:val="id-ID"/>
              </w:rPr>
            </w:pPr>
            <w:r>
              <w:rPr>
                <w:sz w:val="18"/>
                <w:szCs w:val="18"/>
                <w:lang w:val="id-ID"/>
              </w:rPr>
              <w:t>Pensiun</w:t>
            </w:r>
          </w:p>
        </w:tc>
        <w:tc>
          <w:tcPr>
            <w:tcW w:w="1576" w:type="dxa"/>
            <w:shd w:val="clear" w:color="auto" w:fill="auto"/>
            <w:vAlign w:val="bottom"/>
          </w:tcPr>
          <w:p w14:paraId="016C79D0" w14:textId="77777777" w:rsidR="00026751" w:rsidRDefault="00026751" w:rsidP="00026751">
            <w:pPr>
              <w:ind w:right="57"/>
              <w:jc w:val="right"/>
              <w:rPr>
                <w:sz w:val="18"/>
                <w:szCs w:val="18"/>
                <w:lang w:val="id-ID"/>
              </w:rPr>
            </w:pPr>
            <w:r w:rsidRPr="00520E82">
              <w:rPr>
                <w:sz w:val="18"/>
                <w:szCs w:val="18"/>
                <w:lang w:val="id-ID"/>
              </w:rPr>
              <w:t>150</w:t>
            </w:r>
            <w:r>
              <w:rPr>
                <w:sz w:val="18"/>
                <w:szCs w:val="18"/>
                <w:lang w:val="id-ID"/>
              </w:rPr>
              <w:t>.</w:t>
            </w:r>
            <w:r w:rsidRPr="00520E82">
              <w:rPr>
                <w:sz w:val="18"/>
                <w:szCs w:val="18"/>
                <w:lang w:val="id-ID"/>
              </w:rPr>
              <w:t>142</w:t>
            </w:r>
            <w:r>
              <w:rPr>
                <w:sz w:val="18"/>
                <w:szCs w:val="18"/>
                <w:lang w:val="id-ID"/>
              </w:rPr>
              <w:t>.</w:t>
            </w:r>
            <w:r w:rsidRPr="00520E82">
              <w:rPr>
                <w:sz w:val="18"/>
                <w:szCs w:val="18"/>
                <w:lang w:val="id-ID"/>
              </w:rPr>
              <w:t>754</w:t>
            </w:r>
          </w:p>
        </w:tc>
        <w:tc>
          <w:tcPr>
            <w:tcW w:w="87" w:type="dxa"/>
            <w:shd w:val="clear" w:color="auto" w:fill="auto"/>
            <w:vAlign w:val="bottom"/>
          </w:tcPr>
          <w:p w14:paraId="3989DCF5" w14:textId="77777777" w:rsidR="00026751" w:rsidRPr="006A720D" w:rsidRDefault="00026751" w:rsidP="00026751">
            <w:pPr>
              <w:jc w:val="right"/>
              <w:rPr>
                <w:sz w:val="18"/>
                <w:szCs w:val="18"/>
              </w:rPr>
            </w:pPr>
          </w:p>
        </w:tc>
        <w:tc>
          <w:tcPr>
            <w:tcW w:w="2420" w:type="dxa"/>
            <w:gridSpan w:val="2"/>
          </w:tcPr>
          <w:p w14:paraId="78EE65EA" w14:textId="77777777" w:rsidR="00026751" w:rsidRPr="0036208D" w:rsidRDefault="00026751" w:rsidP="00026751">
            <w:pPr>
              <w:ind w:right="57"/>
              <w:jc w:val="right"/>
              <w:rPr>
                <w:sz w:val="18"/>
                <w:szCs w:val="18"/>
              </w:rPr>
            </w:pPr>
            <w:r>
              <w:rPr>
                <w:sz w:val="18"/>
                <w:szCs w:val="18"/>
              </w:rPr>
              <w:t>-</w:t>
            </w:r>
          </w:p>
        </w:tc>
        <w:tc>
          <w:tcPr>
            <w:tcW w:w="2526" w:type="dxa"/>
            <w:shd w:val="clear" w:color="auto" w:fill="auto"/>
          </w:tcPr>
          <w:p w14:paraId="6CC8AF2D" w14:textId="77777777" w:rsidR="00026751" w:rsidRPr="00E76CB7" w:rsidRDefault="00026751" w:rsidP="00026751">
            <w:pPr>
              <w:ind w:right="57"/>
              <w:jc w:val="right"/>
              <w:rPr>
                <w:i/>
                <w:sz w:val="18"/>
                <w:szCs w:val="18"/>
                <w:lang w:val="id-ID"/>
              </w:rPr>
            </w:pPr>
            <w:r>
              <w:rPr>
                <w:i/>
                <w:sz w:val="18"/>
                <w:szCs w:val="18"/>
                <w:lang w:val="id-ID"/>
              </w:rPr>
              <w:t>Pension</w:t>
            </w:r>
          </w:p>
        </w:tc>
      </w:tr>
      <w:tr w:rsidR="00026751" w:rsidRPr="006A720D" w14:paraId="3C84BD0D" w14:textId="77777777" w:rsidTr="00026751">
        <w:tc>
          <w:tcPr>
            <w:tcW w:w="2588" w:type="dxa"/>
            <w:shd w:val="clear" w:color="auto" w:fill="auto"/>
          </w:tcPr>
          <w:p w14:paraId="7BB4029D" w14:textId="77777777" w:rsidR="00026751" w:rsidRPr="006A720D" w:rsidRDefault="00026751" w:rsidP="00026751">
            <w:pPr>
              <w:pStyle w:val="ListParagraph"/>
              <w:ind w:left="349"/>
              <w:jc w:val="both"/>
              <w:rPr>
                <w:sz w:val="18"/>
                <w:szCs w:val="18"/>
              </w:rPr>
            </w:pPr>
            <w:r w:rsidRPr="00E9720D">
              <w:rPr>
                <w:sz w:val="18"/>
                <w:szCs w:val="18"/>
              </w:rPr>
              <w:t>Postage</w:t>
            </w:r>
          </w:p>
        </w:tc>
        <w:tc>
          <w:tcPr>
            <w:tcW w:w="1576" w:type="dxa"/>
            <w:shd w:val="clear" w:color="auto" w:fill="auto"/>
            <w:vAlign w:val="bottom"/>
          </w:tcPr>
          <w:p w14:paraId="43D52E35" w14:textId="77777777" w:rsidR="00026751" w:rsidRDefault="00026751" w:rsidP="00026751">
            <w:pPr>
              <w:ind w:right="57"/>
              <w:jc w:val="right"/>
              <w:rPr>
                <w:sz w:val="18"/>
                <w:szCs w:val="18"/>
                <w:lang w:val="id-ID"/>
              </w:rPr>
            </w:pPr>
            <w:r w:rsidRPr="00610909">
              <w:rPr>
                <w:sz w:val="18"/>
                <w:szCs w:val="18"/>
                <w:lang w:val="id-ID"/>
              </w:rPr>
              <w:t>122</w:t>
            </w:r>
            <w:r>
              <w:rPr>
                <w:sz w:val="18"/>
                <w:szCs w:val="18"/>
                <w:lang w:val="id-ID"/>
              </w:rPr>
              <w:t>.</w:t>
            </w:r>
            <w:r w:rsidRPr="00610909">
              <w:rPr>
                <w:sz w:val="18"/>
                <w:szCs w:val="18"/>
                <w:lang w:val="id-ID"/>
              </w:rPr>
              <w:t>713</w:t>
            </w:r>
            <w:r>
              <w:rPr>
                <w:sz w:val="18"/>
                <w:szCs w:val="18"/>
                <w:lang w:val="id-ID"/>
              </w:rPr>
              <w:t>.</w:t>
            </w:r>
            <w:r w:rsidRPr="00610909">
              <w:rPr>
                <w:sz w:val="18"/>
                <w:szCs w:val="18"/>
                <w:lang w:val="id-ID"/>
              </w:rPr>
              <w:t>628</w:t>
            </w:r>
          </w:p>
        </w:tc>
        <w:tc>
          <w:tcPr>
            <w:tcW w:w="87" w:type="dxa"/>
            <w:shd w:val="clear" w:color="auto" w:fill="auto"/>
            <w:vAlign w:val="bottom"/>
          </w:tcPr>
          <w:p w14:paraId="645A73C1" w14:textId="77777777" w:rsidR="00026751" w:rsidRPr="006A720D" w:rsidRDefault="00026751" w:rsidP="00026751">
            <w:pPr>
              <w:jc w:val="right"/>
              <w:rPr>
                <w:sz w:val="18"/>
                <w:szCs w:val="18"/>
              </w:rPr>
            </w:pPr>
          </w:p>
        </w:tc>
        <w:tc>
          <w:tcPr>
            <w:tcW w:w="2420" w:type="dxa"/>
            <w:gridSpan w:val="2"/>
          </w:tcPr>
          <w:p w14:paraId="7D179E68" w14:textId="77777777" w:rsidR="00026751" w:rsidRPr="0036208D" w:rsidRDefault="00026751" w:rsidP="00026751">
            <w:pPr>
              <w:ind w:right="57"/>
              <w:jc w:val="right"/>
              <w:rPr>
                <w:sz w:val="18"/>
                <w:szCs w:val="18"/>
              </w:rPr>
            </w:pPr>
            <w:r>
              <w:rPr>
                <w:sz w:val="18"/>
                <w:szCs w:val="18"/>
              </w:rPr>
              <w:t>-</w:t>
            </w:r>
          </w:p>
        </w:tc>
        <w:tc>
          <w:tcPr>
            <w:tcW w:w="2526" w:type="dxa"/>
            <w:shd w:val="clear" w:color="auto" w:fill="auto"/>
          </w:tcPr>
          <w:p w14:paraId="0E25002F" w14:textId="77777777" w:rsidR="00026751" w:rsidRPr="006A720D" w:rsidRDefault="00026751" w:rsidP="00026751">
            <w:pPr>
              <w:ind w:right="57"/>
              <w:jc w:val="right"/>
              <w:rPr>
                <w:i/>
                <w:sz w:val="18"/>
                <w:szCs w:val="18"/>
              </w:rPr>
            </w:pPr>
            <w:r w:rsidRPr="00E9720D">
              <w:rPr>
                <w:i/>
                <w:sz w:val="18"/>
                <w:szCs w:val="18"/>
              </w:rPr>
              <w:t>Postage</w:t>
            </w:r>
          </w:p>
        </w:tc>
      </w:tr>
      <w:tr w:rsidR="00BD1342" w:rsidRPr="006A720D" w14:paraId="10D019B0" w14:textId="77777777" w:rsidTr="002C6EE3">
        <w:tc>
          <w:tcPr>
            <w:tcW w:w="2588" w:type="dxa"/>
            <w:shd w:val="clear" w:color="auto" w:fill="auto"/>
          </w:tcPr>
          <w:p w14:paraId="616FA713" w14:textId="77777777" w:rsidR="00BD1342" w:rsidRPr="006A720D" w:rsidRDefault="00BD1342" w:rsidP="009479DE">
            <w:pPr>
              <w:pStyle w:val="ListParagraph"/>
              <w:ind w:left="349"/>
              <w:jc w:val="both"/>
              <w:rPr>
                <w:sz w:val="18"/>
                <w:szCs w:val="18"/>
              </w:rPr>
            </w:pPr>
            <w:r w:rsidRPr="006A720D">
              <w:rPr>
                <w:sz w:val="18"/>
                <w:szCs w:val="18"/>
              </w:rPr>
              <w:t>Sewa</w:t>
            </w:r>
          </w:p>
        </w:tc>
        <w:tc>
          <w:tcPr>
            <w:tcW w:w="1576" w:type="dxa"/>
            <w:shd w:val="clear" w:color="auto" w:fill="auto"/>
            <w:vAlign w:val="bottom"/>
          </w:tcPr>
          <w:p w14:paraId="13697CFD" w14:textId="3722CFC5" w:rsidR="00BD1342" w:rsidRPr="004D6BC1" w:rsidRDefault="00610909" w:rsidP="0013526B">
            <w:pPr>
              <w:ind w:right="57"/>
              <w:jc w:val="right"/>
              <w:rPr>
                <w:sz w:val="18"/>
                <w:szCs w:val="18"/>
              </w:rPr>
            </w:pPr>
            <w:r w:rsidRPr="00610909">
              <w:rPr>
                <w:sz w:val="18"/>
                <w:szCs w:val="18"/>
              </w:rPr>
              <w:t>43</w:t>
            </w:r>
            <w:r w:rsidR="002C6EE3">
              <w:rPr>
                <w:sz w:val="18"/>
                <w:szCs w:val="18"/>
              </w:rPr>
              <w:t>.</w:t>
            </w:r>
            <w:r w:rsidRPr="00610909">
              <w:rPr>
                <w:sz w:val="18"/>
                <w:szCs w:val="18"/>
              </w:rPr>
              <w:t>749</w:t>
            </w:r>
            <w:r w:rsidR="002C6EE3">
              <w:rPr>
                <w:sz w:val="18"/>
                <w:szCs w:val="18"/>
              </w:rPr>
              <w:t>.</w:t>
            </w:r>
            <w:r w:rsidRPr="00610909">
              <w:rPr>
                <w:sz w:val="18"/>
                <w:szCs w:val="18"/>
              </w:rPr>
              <w:t>999</w:t>
            </w:r>
          </w:p>
        </w:tc>
        <w:tc>
          <w:tcPr>
            <w:tcW w:w="87" w:type="dxa"/>
            <w:shd w:val="clear" w:color="auto" w:fill="auto"/>
            <w:vAlign w:val="bottom"/>
          </w:tcPr>
          <w:p w14:paraId="50ECBDC4" w14:textId="77777777" w:rsidR="00BD1342" w:rsidRPr="006A720D" w:rsidRDefault="00BD1342" w:rsidP="0013526B">
            <w:pPr>
              <w:jc w:val="right"/>
              <w:rPr>
                <w:sz w:val="18"/>
                <w:szCs w:val="18"/>
              </w:rPr>
            </w:pPr>
          </w:p>
        </w:tc>
        <w:tc>
          <w:tcPr>
            <w:tcW w:w="2420" w:type="dxa"/>
            <w:gridSpan w:val="2"/>
          </w:tcPr>
          <w:p w14:paraId="2538E976" w14:textId="3A5D367F" w:rsidR="00BD1342" w:rsidRPr="006A720D" w:rsidRDefault="00520E82" w:rsidP="0013526B">
            <w:pPr>
              <w:ind w:right="57"/>
              <w:jc w:val="right"/>
              <w:rPr>
                <w:sz w:val="18"/>
                <w:szCs w:val="18"/>
              </w:rPr>
            </w:pPr>
            <w:r w:rsidRPr="00520E82">
              <w:rPr>
                <w:sz w:val="18"/>
                <w:szCs w:val="18"/>
              </w:rPr>
              <w:t>283</w:t>
            </w:r>
            <w:r w:rsidR="002C6EE3">
              <w:rPr>
                <w:sz w:val="18"/>
                <w:szCs w:val="18"/>
              </w:rPr>
              <w:t>.</w:t>
            </w:r>
            <w:r w:rsidRPr="00520E82">
              <w:rPr>
                <w:sz w:val="18"/>
                <w:szCs w:val="18"/>
              </w:rPr>
              <w:t>469</w:t>
            </w:r>
            <w:r w:rsidR="002C6EE3">
              <w:rPr>
                <w:sz w:val="18"/>
                <w:szCs w:val="18"/>
              </w:rPr>
              <w:t>.</w:t>
            </w:r>
            <w:r w:rsidRPr="00520E82">
              <w:rPr>
                <w:sz w:val="18"/>
                <w:szCs w:val="18"/>
              </w:rPr>
              <w:t>333</w:t>
            </w:r>
          </w:p>
        </w:tc>
        <w:tc>
          <w:tcPr>
            <w:tcW w:w="2526" w:type="dxa"/>
            <w:shd w:val="clear" w:color="auto" w:fill="auto"/>
          </w:tcPr>
          <w:p w14:paraId="136124DE" w14:textId="77777777" w:rsidR="00BD1342" w:rsidRPr="006A720D" w:rsidRDefault="00BD1342" w:rsidP="0013526B">
            <w:pPr>
              <w:ind w:right="57"/>
              <w:jc w:val="right"/>
              <w:rPr>
                <w:i/>
                <w:sz w:val="18"/>
                <w:szCs w:val="18"/>
              </w:rPr>
            </w:pPr>
            <w:r w:rsidRPr="006A720D">
              <w:rPr>
                <w:i/>
                <w:sz w:val="18"/>
                <w:szCs w:val="18"/>
              </w:rPr>
              <w:t>Rent</w:t>
            </w:r>
          </w:p>
        </w:tc>
      </w:tr>
      <w:tr w:rsidR="00BD1342" w:rsidRPr="006A720D" w14:paraId="698C331E" w14:textId="77777777" w:rsidTr="002C6EE3">
        <w:tc>
          <w:tcPr>
            <w:tcW w:w="2588" w:type="dxa"/>
            <w:shd w:val="clear" w:color="auto" w:fill="auto"/>
          </w:tcPr>
          <w:p w14:paraId="37501AB8" w14:textId="77777777" w:rsidR="00BD1342" w:rsidRPr="006A720D" w:rsidRDefault="00BD1342" w:rsidP="009479DE">
            <w:pPr>
              <w:pStyle w:val="ListParagraph"/>
              <w:ind w:left="349"/>
              <w:jc w:val="both"/>
              <w:rPr>
                <w:sz w:val="18"/>
                <w:szCs w:val="18"/>
              </w:rPr>
            </w:pPr>
            <w:r w:rsidRPr="006A720D">
              <w:rPr>
                <w:sz w:val="18"/>
                <w:szCs w:val="18"/>
              </w:rPr>
              <w:t>Biaya langganan</w:t>
            </w:r>
          </w:p>
        </w:tc>
        <w:tc>
          <w:tcPr>
            <w:tcW w:w="1576" w:type="dxa"/>
            <w:shd w:val="clear" w:color="auto" w:fill="auto"/>
            <w:vAlign w:val="bottom"/>
          </w:tcPr>
          <w:p w14:paraId="171DCCC7" w14:textId="290ADFF6" w:rsidR="00BD1342" w:rsidRPr="006A720D" w:rsidRDefault="00D65AE7" w:rsidP="0013526B">
            <w:pPr>
              <w:ind w:right="57"/>
              <w:jc w:val="right"/>
              <w:rPr>
                <w:sz w:val="18"/>
                <w:szCs w:val="18"/>
              </w:rPr>
            </w:pPr>
            <w:r>
              <w:rPr>
                <w:sz w:val="18"/>
                <w:szCs w:val="18"/>
              </w:rPr>
              <w:t>-</w:t>
            </w:r>
          </w:p>
        </w:tc>
        <w:tc>
          <w:tcPr>
            <w:tcW w:w="87" w:type="dxa"/>
            <w:shd w:val="clear" w:color="auto" w:fill="auto"/>
            <w:vAlign w:val="bottom"/>
          </w:tcPr>
          <w:p w14:paraId="6D45B027" w14:textId="77777777" w:rsidR="00BD1342" w:rsidRPr="006A720D" w:rsidRDefault="00BD1342" w:rsidP="0013526B">
            <w:pPr>
              <w:jc w:val="right"/>
              <w:rPr>
                <w:sz w:val="18"/>
                <w:szCs w:val="18"/>
              </w:rPr>
            </w:pPr>
          </w:p>
        </w:tc>
        <w:tc>
          <w:tcPr>
            <w:tcW w:w="2420" w:type="dxa"/>
            <w:gridSpan w:val="2"/>
          </w:tcPr>
          <w:p w14:paraId="2583BB69" w14:textId="4B048D8E" w:rsidR="00BD1342" w:rsidRPr="006A720D" w:rsidRDefault="00520E82" w:rsidP="0013526B">
            <w:pPr>
              <w:ind w:right="57"/>
              <w:jc w:val="right"/>
              <w:rPr>
                <w:sz w:val="18"/>
                <w:szCs w:val="18"/>
              </w:rPr>
            </w:pPr>
            <w:r w:rsidRPr="00520E82">
              <w:rPr>
                <w:sz w:val="18"/>
                <w:szCs w:val="18"/>
              </w:rPr>
              <w:t>375</w:t>
            </w:r>
            <w:r w:rsidR="002C6EE3">
              <w:rPr>
                <w:sz w:val="18"/>
                <w:szCs w:val="18"/>
              </w:rPr>
              <w:t>.</w:t>
            </w:r>
            <w:r w:rsidRPr="00520E82">
              <w:rPr>
                <w:sz w:val="18"/>
                <w:szCs w:val="18"/>
              </w:rPr>
              <w:t>421</w:t>
            </w:r>
            <w:r w:rsidR="002C6EE3">
              <w:rPr>
                <w:sz w:val="18"/>
                <w:szCs w:val="18"/>
              </w:rPr>
              <w:t>.</w:t>
            </w:r>
            <w:r w:rsidRPr="00520E82">
              <w:rPr>
                <w:sz w:val="18"/>
                <w:szCs w:val="18"/>
              </w:rPr>
              <w:t>946</w:t>
            </w:r>
          </w:p>
        </w:tc>
        <w:tc>
          <w:tcPr>
            <w:tcW w:w="2526" w:type="dxa"/>
            <w:shd w:val="clear" w:color="auto" w:fill="auto"/>
          </w:tcPr>
          <w:p w14:paraId="49B96CB5" w14:textId="77777777" w:rsidR="00BD1342" w:rsidRPr="006A720D" w:rsidRDefault="00BD1342" w:rsidP="0013526B">
            <w:pPr>
              <w:ind w:right="57"/>
              <w:jc w:val="right"/>
              <w:rPr>
                <w:i/>
                <w:sz w:val="18"/>
                <w:szCs w:val="18"/>
              </w:rPr>
            </w:pPr>
            <w:r w:rsidRPr="006A720D">
              <w:rPr>
                <w:i/>
                <w:sz w:val="18"/>
                <w:szCs w:val="18"/>
              </w:rPr>
              <w:t>Subcription</w:t>
            </w:r>
          </w:p>
        </w:tc>
      </w:tr>
      <w:tr w:rsidR="00BD1342" w:rsidRPr="006A720D" w14:paraId="088A9BD5" w14:textId="77777777" w:rsidTr="002C6EE3">
        <w:tc>
          <w:tcPr>
            <w:tcW w:w="2588" w:type="dxa"/>
            <w:shd w:val="clear" w:color="auto" w:fill="auto"/>
          </w:tcPr>
          <w:p w14:paraId="39E75668" w14:textId="5C8C3E89" w:rsidR="00BD1342" w:rsidRPr="006A720D" w:rsidRDefault="00520E82" w:rsidP="009479DE">
            <w:pPr>
              <w:pStyle w:val="ListParagraph"/>
              <w:ind w:left="349"/>
              <w:jc w:val="both"/>
              <w:rPr>
                <w:sz w:val="18"/>
                <w:szCs w:val="18"/>
              </w:rPr>
            </w:pPr>
            <w:r>
              <w:rPr>
                <w:sz w:val="18"/>
                <w:szCs w:val="18"/>
              </w:rPr>
              <w:t>Pajak Bumi dan Bangunan</w:t>
            </w:r>
          </w:p>
        </w:tc>
        <w:tc>
          <w:tcPr>
            <w:tcW w:w="1576" w:type="dxa"/>
            <w:shd w:val="clear" w:color="auto" w:fill="auto"/>
            <w:vAlign w:val="bottom"/>
          </w:tcPr>
          <w:p w14:paraId="7AEA99FC" w14:textId="353A4DF2" w:rsidR="00BD1342" w:rsidRPr="006A720D" w:rsidRDefault="00D65AE7" w:rsidP="0013526B">
            <w:pPr>
              <w:ind w:right="57"/>
              <w:jc w:val="right"/>
              <w:rPr>
                <w:sz w:val="18"/>
                <w:szCs w:val="18"/>
              </w:rPr>
            </w:pPr>
            <w:r>
              <w:rPr>
                <w:sz w:val="18"/>
                <w:szCs w:val="18"/>
              </w:rPr>
              <w:t>-</w:t>
            </w:r>
          </w:p>
        </w:tc>
        <w:tc>
          <w:tcPr>
            <w:tcW w:w="87" w:type="dxa"/>
            <w:shd w:val="clear" w:color="auto" w:fill="auto"/>
            <w:vAlign w:val="bottom"/>
          </w:tcPr>
          <w:p w14:paraId="15226052" w14:textId="77777777" w:rsidR="00BD1342" w:rsidRPr="006A720D" w:rsidRDefault="00BD1342" w:rsidP="0013526B">
            <w:pPr>
              <w:jc w:val="right"/>
              <w:rPr>
                <w:sz w:val="18"/>
                <w:szCs w:val="18"/>
              </w:rPr>
            </w:pPr>
          </w:p>
        </w:tc>
        <w:tc>
          <w:tcPr>
            <w:tcW w:w="2420" w:type="dxa"/>
            <w:gridSpan w:val="2"/>
          </w:tcPr>
          <w:p w14:paraId="62D5E25C" w14:textId="3611C4F7" w:rsidR="00BD1342" w:rsidRPr="006A720D" w:rsidRDefault="00520E82" w:rsidP="00520E82">
            <w:pPr>
              <w:tabs>
                <w:tab w:val="left" w:pos="1463"/>
                <w:tab w:val="right" w:pos="1622"/>
              </w:tabs>
              <w:ind w:right="57"/>
              <w:rPr>
                <w:sz w:val="18"/>
                <w:szCs w:val="18"/>
              </w:rPr>
            </w:pPr>
            <w:r>
              <w:rPr>
                <w:sz w:val="18"/>
                <w:szCs w:val="18"/>
              </w:rPr>
              <w:tab/>
            </w:r>
            <w:r w:rsidRPr="00520E82">
              <w:rPr>
                <w:sz w:val="18"/>
                <w:szCs w:val="18"/>
              </w:rPr>
              <w:t>757</w:t>
            </w:r>
            <w:r w:rsidR="002C6EE3">
              <w:rPr>
                <w:sz w:val="18"/>
                <w:szCs w:val="18"/>
              </w:rPr>
              <w:t>.</w:t>
            </w:r>
            <w:r w:rsidRPr="00520E82">
              <w:rPr>
                <w:sz w:val="18"/>
                <w:szCs w:val="18"/>
              </w:rPr>
              <w:t>749</w:t>
            </w:r>
            <w:r w:rsidR="002C6EE3">
              <w:rPr>
                <w:sz w:val="18"/>
                <w:szCs w:val="18"/>
              </w:rPr>
              <w:t>.</w:t>
            </w:r>
            <w:r w:rsidRPr="00520E82">
              <w:rPr>
                <w:sz w:val="18"/>
                <w:szCs w:val="18"/>
              </w:rPr>
              <w:t>476</w:t>
            </w:r>
          </w:p>
        </w:tc>
        <w:tc>
          <w:tcPr>
            <w:tcW w:w="2526" w:type="dxa"/>
            <w:shd w:val="clear" w:color="auto" w:fill="auto"/>
          </w:tcPr>
          <w:p w14:paraId="4259C295" w14:textId="35CB0332" w:rsidR="00BD1342" w:rsidRPr="006A720D" w:rsidRDefault="00520E82" w:rsidP="0013526B">
            <w:pPr>
              <w:ind w:right="57"/>
              <w:jc w:val="right"/>
              <w:rPr>
                <w:i/>
                <w:sz w:val="18"/>
                <w:szCs w:val="18"/>
              </w:rPr>
            </w:pPr>
            <w:r>
              <w:rPr>
                <w:i/>
                <w:sz w:val="18"/>
                <w:szCs w:val="18"/>
              </w:rPr>
              <w:t>Land and Building Tax</w:t>
            </w:r>
          </w:p>
        </w:tc>
      </w:tr>
      <w:tr w:rsidR="00E9720D" w:rsidRPr="006A720D" w14:paraId="720991F7" w14:textId="77777777" w:rsidTr="002C6EE3">
        <w:tc>
          <w:tcPr>
            <w:tcW w:w="2588" w:type="dxa"/>
            <w:shd w:val="clear" w:color="auto" w:fill="auto"/>
          </w:tcPr>
          <w:p w14:paraId="1CF64E48" w14:textId="0B7E1E02" w:rsidR="00E9720D" w:rsidRPr="006A720D" w:rsidRDefault="00E9720D" w:rsidP="009479DE">
            <w:pPr>
              <w:pStyle w:val="ListParagraph"/>
              <w:ind w:left="349"/>
              <w:jc w:val="both"/>
              <w:rPr>
                <w:sz w:val="18"/>
                <w:szCs w:val="18"/>
              </w:rPr>
            </w:pPr>
            <w:r w:rsidRPr="006A720D">
              <w:rPr>
                <w:sz w:val="18"/>
                <w:szCs w:val="18"/>
              </w:rPr>
              <w:t>Lain-lain</w:t>
            </w:r>
          </w:p>
        </w:tc>
        <w:tc>
          <w:tcPr>
            <w:tcW w:w="1576" w:type="dxa"/>
            <w:tcBorders>
              <w:bottom w:val="single" w:sz="4" w:space="0" w:color="auto"/>
            </w:tcBorders>
            <w:shd w:val="clear" w:color="auto" w:fill="auto"/>
            <w:vAlign w:val="bottom"/>
          </w:tcPr>
          <w:p w14:paraId="3025E312" w14:textId="7339B69D" w:rsidR="00E9720D" w:rsidRPr="006A720D" w:rsidRDefault="00610909" w:rsidP="0013526B">
            <w:pPr>
              <w:ind w:right="57"/>
              <w:jc w:val="right"/>
              <w:rPr>
                <w:sz w:val="18"/>
                <w:szCs w:val="18"/>
              </w:rPr>
            </w:pPr>
            <w:r w:rsidRPr="00610909">
              <w:rPr>
                <w:sz w:val="18"/>
                <w:szCs w:val="18"/>
              </w:rPr>
              <w:t>5</w:t>
            </w:r>
            <w:r w:rsidR="002C6EE3">
              <w:rPr>
                <w:sz w:val="18"/>
                <w:szCs w:val="18"/>
              </w:rPr>
              <w:t>.</w:t>
            </w:r>
            <w:r w:rsidRPr="00610909">
              <w:rPr>
                <w:sz w:val="18"/>
                <w:szCs w:val="18"/>
              </w:rPr>
              <w:t>121</w:t>
            </w:r>
            <w:r w:rsidR="002C6EE3">
              <w:rPr>
                <w:sz w:val="18"/>
                <w:szCs w:val="18"/>
              </w:rPr>
              <w:t>.</w:t>
            </w:r>
            <w:r w:rsidRPr="00610909">
              <w:rPr>
                <w:sz w:val="18"/>
                <w:szCs w:val="18"/>
              </w:rPr>
              <w:t>200</w:t>
            </w:r>
            <w:r w:rsidR="002C6EE3">
              <w:rPr>
                <w:sz w:val="18"/>
                <w:szCs w:val="18"/>
              </w:rPr>
              <w:t>.</w:t>
            </w:r>
            <w:r w:rsidRPr="00610909">
              <w:rPr>
                <w:sz w:val="18"/>
                <w:szCs w:val="18"/>
              </w:rPr>
              <w:t>667</w:t>
            </w:r>
          </w:p>
        </w:tc>
        <w:tc>
          <w:tcPr>
            <w:tcW w:w="87" w:type="dxa"/>
            <w:shd w:val="clear" w:color="auto" w:fill="auto"/>
            <w:vAlign w:val="bottom"/>
          </w:tcPr>
          <w:p w14:paraId="3884E4E2" w14:textId="77777777" w:rsidR="00E9720D" w:rsidRPr="006A720D" w:rsidRDefault="00E9720D" w:rsidP="0013526B">
            <w:pPr>
              <w:jc w:val="right"/>
              <w:rPr>
                <w:sz w:val="18"/>
                <w:szCs w:val="18"/>
              </w:rPr>
            </w:pPr>
          </w:p>
        </w:tc>
        <w:tc>
          <w:tcPr>
            <w:tcW w:w="2420" w:type="dxa"/>
            <w:gridSpan w:val="2"/>
            <w:tcBorders>
              <w:bottom w:val="single" w:sz="4" w:space="0" w:color="auto"/>
            </w:tcBorders>
          </w:tcPr>
          <w:p w14:paraId="5D4D868B" w14:textId="60176446" w:rsidR="00E9720D" w:rsidRPr="006A720D" w:rsidRDefault="00520E82" w:rsidP="0013526B">
            <w:pPr>
              <w:ind w:right="57"/>
              <w:jc w:val="right"/>
              <w:rPr>
                <w:sz w:val="18"/>
                <w:szCs w:val="18"/>
              </w:rPr>
            </w:pPr>
            <w:r w:rsidRPr="00520E82">
              <w:rPr>
                <w:sz w:val="18"/>
                <w:szCs w:val="18"/>
              </w:rPr>
              <w:t>1</w:t>
            </w:r>
            <w:r w:rsidR="002C6EE3">
              <w:rPr>
                <w:sz w:val="18"/>
                <w:szCs w:val="18"/>
              </w:rPr>
              <w:t>.</w:t>
            </w:r>
            <w:r w:rsidRPr="00520E82">
              <w:rPr>
                <w:sz w:val="18"/>
                <w:szCs w:val="18"/>
              </w:rPr>
              <w:t>401</w:t>
            </w:r>
            <w:r w:rsidR="002C6EE3">
              <w:rPr>
                <w:sz w:val="18"/>
                <w:szCs w:val="18"/>
              </w:rPr>
              <w:t>.</w:t>
            </w:r>
            <w:r w:rsidRPr="00520E82">
              <w:rPr>
                <w:sz w:val="18"/>
                <w:szCs w:val="18"/>
              </w:rPr>
              <w:t>378</w:t>
            </w:r>
            <w:r w:rsidR="002C6EE3">
              <w:rPr>
                <w:sz w:val="18"/>
                <w:szCs w:val="18"/>
              </w:rPr>
              <w:t>.</w:t>
            </w:r>
            <w:r w:rsidRPr="00520E82">
              <w:rPr>
                <w:sz w:val="18"/>
                <w:szCs w:val="18"/>
              </w:rPr>
              <w:t>161</w:t>
            </w:r>
          </w:p>
        </w:tc>
        <w:tc>
          <w:tcPr>
            <w:tcW w:w="2526" w:type="dxa"/>
            <w:shd w:val="clear" w:color="auto" w:fill="auto"/>
          </w:tcPr>
          <w:p w14:paraId="022F778A" w14:textId="38FD0E94" w:rsidR="00E9720D" w:rsidRPr="006A720D" w:rsidRDefault="00E9720D" w:rsidP="0013526B">
            <w:pPr>
              <w:ind w:right="57"/>
              <w:jc w:val="right"/>
              <w:rPr>
                <w:i/>
                <w:sz w:val="18"/>
                <w:szCs w:val="18"/>
              </w:rPr>
            </w:pPr>
            <w:r w:rsidRPr="006A720D">
              <w:rPr>
                <w:i/>
                <w:sz w:val="18"/>
                <w:szCs w:val="18"/>
              </w:rPr>
              <w:t>Others</w:t>
            </w:r>
          </w:p>
        </w:tc>
      </w:tr>
      <w:tr w:rsidR="00E9720D" w:rsidRPr="006A720D" w14:paraId="75193CA9" w14:textId="77777777" w:rsidTr="002C6EE3">
        <w:tc>
          <w:tcPr>
            <w:tcW w:w="2588" w:type="dxa"/>
            <w:shd w:val="clear" w:color="auto" w:fill="auto"/>
            <w:vAlign w:val="bottom"/>
          </w:tcPr>
          <w:p w14:paraId="7431B0B5" w14:textId="5F251C7B" w:rsidR="00E9720D" w:rsidRPr="006A720D" w:rsidRDefault="00E9720D" w:rsidP="009479DE">
            <w:pPr>
              <w:pStyle w:val="ListParagraph"/>
              <w:ind w:left="349"/>
              <w:jc w:val="both"/>
              <w:rPr>
                <w:sz w:val="18"/>
                <w:szCs w:val="18"/>
              </w:rPr>
            </w:pPr>
          </w:p>
        </w:tc>
        <w:tc>
          <w:tcPr>
            <w:tcW w:w="1576" w:type="dxa"/>
            <w:tcBorders>
              <w:top w:val="single" w:sz="4" w:space="0" w:color="auto"/>
            </w:tcBorders>
            <w:shd w:val="clear" w:color="auto" w:fill="auto"/>
            <w:vAlign w:val="bottom"/>
          </w:tcPr>
          <w:p w14:paraId="315509D0" w14:textId="2DC276EC" w:rsidR="00E9720D" w:rsidRPr="00E76CB7" w:rsidRDefault="00E9720D" w:rsidP="0013526B">
            <w:pPr>
              <w:ind w:right="57"/>
              <w:jc w:val="right"/>
              <w:rPr>
                <w:sz w:val="18"/>
                <w:szCs w:val="18"/>
                <w:lang w:val="id-ID"/>
              </w:rPr>
            </w:pPr>
          </w:p>
        </w:tc>
        <w:tc>
          <w:tcPr>
            <w:tcW w:w="87" w:type="dxa"/>
            <w:shd w:val="clear" w:color="auto" w:fill="auto"/>
            <w:vAlign w:val="bottom"/>
          </w:tcPr>
          <w:p w14:paraId="2666465B" w14:textId="77777777" w:rsidR="00E9720D" w:rsidRPr="006A720D" w:rsidRDefault="00E9720D" w:rsidP="0013526B">
            <w:pPr>
              <w:jc w:val="right"/>
              <w:rPr>
                <w:sz w:val="18"/>
                <w:szCs w:val="18"/>
              </w:rPr>
            </w:pPr>
          </w:p>
        </w:tc>
        <w:tc>
          <w:tcPr>
            <w:tcW w:w="2420" w:type="dxa"/>
            <w:gridSpan w:val="2"/>
            <w:tcBorders>
              <w:top w:val="single" w:sz="4" w:space="0" w:color="auto"/>
            </w:tcBorders>
            <w:vAlign w:val="bottom"/>
          </w:tcPr>
          <w:p w14:paraId="3CA5EA13" w14:textId="18590637" w:rsidR="00E9720D" w:rsidRPr="006A720D" w:rsidRDefault="00E9720D" w:rsidP="0013526B">
            <w:pPr>
              <w:ind w:right="57"/>
              <w:jc w:val="right"/>
              <w:rPr>
                <w:sz w:val="18"/>
                <w:szCs w:val="18"/>
              </w:rPr>
            </w:pPr>
          </w:p>
        </w:tc>
        <w:tc>
          <w:tcPr>
            <w:tcW w:w="2526" w:type="dxa"/>
            <w:shd w:val="clear" w:color="auto" w:fill="auto"/>
            <w:vAlign w:val="bottom"/>
          </w:tcPr>
          <w:p w14:paraId="4411ACA6" w14:textId="2A503496" w:rsidR="00E9720D" w:rsidRPr="006A720D" w:rsidRDefault="00E9720D" w:rsidP="0013526B">
            <w:pPr>
              <w:ind w:right="57"/>
              <w:jc w:val="right"/>
              <w:rPr>
                <w:i/>
                <w:sz w:val="18"/>
                <w:szCs w:val="18"/>
              </w:rPr>
            </w:pPr>
          </w:p>
        </w:tc>
      </w:tr>
      <w:tr w:rsidR="00E9720D" w:rsidRPr="006A720D" w14:paraId="145B54BE" w14:textId="77777777" w:rsidTr="002C6EE3">
        <w:tc>
          <w:tcPr>
            <w:tcW w:w="2588" w:type="dxa"/>
            <w:shd w:val="clear" w:color="auto" w:fill="auto"/>
            <w:vAlign w:val="bottom"/>
          </w:tcPr>
          <w:p w14:paraId="095FA7DE" w14:textId="77777777" w:rsidR="005120C9" w:rsidRDefault="00E9720D" w:rsidP="009479DE">
            <w:pPr>
              <w:ind w:left="349"/>
              <w:rPr>
                <w:b/>
                <w:sz w:val="18"/>
                <w:szCs w:val="18"/>
              </w:rPr>
            </w:pPr>
            <w:r w:rsidRPr="006A720D">
              <w:rPr>
                <w:b/>
                <w:sz w:val="18"/>
                <w:szCs w:val="18"/>
              </w:rPr>
              <w:t xml:space="preserve">Jumlah Beban </w:t>
            </w:r>
            <w:r w:rsidR="005120C9">
              <w:rPr>
                <w:b/>
                <w:sz w:val="18"/>
                <w:szCs w:val="18"/>
              </w:rPr>
              <w:t xml:space="preserve">Umum dan </w:t>
            </w:r>
          </w:p>
          <w:p w14:paraId="1D6D1E71" w14:textId="3DC9FF9B" w:rsidR="00E9720D" w:rsidRPr="006A720D" w:rsidRDefault="005120C9" w:rsidP="005120C9">
            <w:pPr>
              <w:ind w:left="551"/>
              <w:rPr>
                <w:sz w:val="18"/>
                <w:szCs w:val="18"/>
              </w:rPr>
            </w:pPr>
            <w:r>
              <w:rPr>
                <w:b/>
                <w:sz w:val="18"/>
                <w:szCs w:val="18"/>
              </w:rPr>
              <w:t>Administrasi</w:t>
            </w:r>
          </w:p>
        </w:tc>
        <w:tc>
          <w:tcPr>
            <w:tcW w:w="1576" w:type="dxa"/>
            <w:tcBorders>
              <w:bottom w:val="double" w:sz="4" w:space="0" w:color="auto"/>
            </w:tcBorders>
            <w:shd w:val="clear" w:color="auto" w:fill="auto"/>
            <w:vAlign w:val="bottom"/>
          </w:tcPr>
          <w:p w14:paraId="7E35A525" w14:textId="2D0D38BC" w:rsidR="00E9720D" w:rsidRPr="00FF40BD" w:rsidRDefault="00367BD3" w:rsidP="000C7D4A">
            <w:pPr>
              <w:ind w:right="57"/>
              <w:jc w:val="right"/>
              <w:rPr>
                <w:b/>
                <w:bCs w:val="0"/>
                <w:sz w:val="18"/>
                <w:szCs w:val="18"/>
              </w:rPr>
            </w:pPr>
            <w:r w:rsidRPr="0053621E">
              <w:rPr>
                <w:b/>
                <w:bCs w:val="0"/>
                <w:sz w:val="18"/>
                <w:szCs w:val="18"/>
              </w:rPr>
              <w:t>9</w:t>
            </w:r>
            <w:r w:rsidR="000C7D4A" w:rsidRPr="0053621E">
              <w:rPr>
                <w:b/>
                <w:bCs w:val="0"/>
                <w:sz w:val="18"/>
                <w:szCs w:val="18"/>
              </w:rPr>
              <w:t>1.639.342.58</w:t>
            </w:r>
            <w:r w:rsidR="0053621E">
              <w:rPr>
                <w:b/>
                <w:bCs w:val="0"/>
                <w:sz w:val="18"/>
                <w:szCs w:val="18"/>
              </w:rPr>
              <w:t>3</w:t>
            </w:r>
          </w:p>
        </w:tc>
        <w:tc>
          <w:tcPr>
            <w:tcW w:w="87" w:type="dxa"/>
            <w:shd w:val="clear" w:color="auto" w:fill="auto"/>
            <w:vAlign w:val="bottom"/>
          </w:tcPr>
          <w:p w14:paraId="6B0D834F" w14:textId="77777777" w:rsidR="00E9720D" w:rsidRPr="00FF40BD" w:rsidRDefault="00E9720D" w:rsidP="0013526B">
            <w:pPr>
              <w:jc w:val="right"/>
              <w:rPr>
                <w:sz w:val="18"/>
                <w:szCs w:val="18"/>
              </w:rPr>
            </w:pPr>
          </w:p>
        </w:tc>
        <w:tc>
          <w:tcPr>
            <w:tcW w:w="2420" w:type="dxa"/>
            <w:gridSpan w:val="2"/>
            <w:tcBorders>
              <w:bottom w:val="double" w:sz="4" w:space="0" w:color="auto"/>
            </w:tcBorders>
            <w:vAlign w:val="bottom"/>
          </w:tcPr>
          <w:p w14:paraId="00736C1C" w14:textId="4EA4F093" w:rsidR="00E9720D" w:rsidRPr="00610909" w:rsidRDefault="00520E82" w:rsidP="0013526B">
            <w:pPr>
              <w:ind w:right="57"/>
              <w:jc w:val="right"/>
              <w:rPr>
                <w:b/>
                <w:sz w:val="18"/>
                <w:szCs w:val="18"/>
                <w:lang w:val="id-ID"/>
              </w:rPr>
            </w:pPr>
            <w:r w:rsidRPr="00610909">
              <w:rPr>
                <w:b/>
                <w:sz w:val="18"/>
                <w:szCs w:val="18"/>
                <w:lang w:val="id-ID"/>
              </w:rPr>
              <w:t>69</w:t>
            </w:r>
            <w:r w:rsidR="002C6EE3">
              <w:rPr>
                <w:b/>
                <w:sz w:val="18"/>
                <w:szCs w:val="18"/>
                <w:lang w:val="id-ID"/>
              </w:rPr>
              <w:t>.</w:t>
            </w:r>
            <w:r w:rsidRPr="00610909">
              <w:rPr>
                <w:b/>
                <w:sz w:val="18"/>
                <w:szCs w:val="18"/>
                <w:lang w:val="id-ID"/>
              </w:rPr>
              <w:t>611</w:t>
            </w:r>
            <w:r w:rsidR="002C6EE3">
              <w:rPr>
                <w:b/>
                <w:sz w:val="18"/>
                <w:szCs w:val="18"/>
                <w:lang w:val="id-ID"/>
              </w:rPr>
              <w:t>.</w:t>
            </w:r>
            <w:r w:rsidRPr="00610909">
              <w:rPr>
                <w:b/>
                <w:sz w:val="18"/>
                <w:szCs w:val="18"/>
                <w:lang w:val="id-ID"/>
              </w:rPr>
              <w:t>654</w:t>
            </w:r>
            <w:r w:rsidR="002C6EE3">
              <w:rPr>
                <w:b/>
                <w:sz w:val="18"/>
                <w:szCs w:val="18"/>
                <w:lang w:val="id-ID"/>
              </w:rPr>
              <w:t>.</w:t>
            </w:r>
            <w:r w:rsidRPr="00610909">
              <w:rPr>
                <w:b/>
                <w:sz w:val="18"/>
                <w:szCs w:val="18"/>
                <w:lang w:val="id-ID"/>
              </w:rPr>
              <w:t>010</w:t>
            </w:r>
          </w:p>
        </w:tc>
        <w:tc>
          <w:tcPr>
            <w:tcW w:w="2526" w:type="dxa"/>
            <w:shd w:val="clear" w:color="auto" w:fill="auto"/>
            <w:vAlign w:val="bottom"/>
          </w:tcPr>
          <w:p w14:paraId="02E45FE2" w14:textId="77777777" w:rsidR="005120C9" w:rsidRDefault="00E9720D" w:rsidP="0013526B">
            <w:pPr>
              <w:ind w:right="57"/>
              <w:jc w:val="right"/>
              <w:rPr>
                <w:b/>
                <w:bCs w:val="0"/>
                <w:i/>
                <w:color w:val="000000"/>
                <w:sz w:val="18"/>
                <w:szCs w:val="18"/>
              </w:rPr>
            </w:pPr>
            <w:r w:rsidRPr="006A720D">
              <w:rPr>
                <w:b/>
                <w:bCs w:val="0"/>
                <w:i/>
                <w:color w:val="000000"/>
                <w:sz w:val="18"/>
                <w:szCs w:val="18"/>
              </w:rPr>
              <w:t xml:space="preserve">Total </w:t>
            </w:r>
            <w:r w:rsidR="005120C9">
              <w:rPr>
                <w:b/>
                <w:bCs w:val="0"/>
                <w:i/>
                <w:color w:val="000000"/>
                <w:sz w:val="18"/>
                <w:szCs w:val="18"/>
              </w:rPr>
              <w:t xml:space="preserve">General and Administration </w:t>
            </w:r>
          </w:p>
          <w:p w14:paraId="67070BC4" w14:textId="17571599" w:rsidR="00E9720D" w:rsidRPr="006A720D" w:rsidRDefault="00E9720D" w:rsidP="005120C9">
            <w:pPr>
              <w:ind w:right="193"/>
              <w:jc w:val="right"/>
              <w:rPr>
                <w:i/>
                <w:sz w:val="18"/>
                <w:szCs w:val="18"/>
              </w:rPr>
            </w:pPr>
            <w:r w:rsidRPr="006A720D">
              <w:rPr>
                <w:b/>
                <w:bCs w:val="0"/>
                <w:i/>
                <w:color w:val="000000"/>
                <w:sz w:val="18"/>
                <w:szCs w:val="18"/>
              </w:rPr>
              <w:t>Expenses</w:t>
            </w:r>
          </w:p>
        </w:tc>
      </w:tr>
      <w:tr w:rsidR="00E9720D" w:rsidRPr="006A720D" w14:paraId="1124E92A" w14:textId="77777777" w:rsidTr="002C6EE3">
        <w:tc>
          <w:tcPr>
            <w:tcW w:w="2588" w:type="dxa"/>
            <w:shd w:val="clear" w:color="auto" w:fill="auto"/>
            <w:vAlign w:val="bottom"/>
          </w:tcPr>
          <w:p w14:paraId="0ECEC99A" w14:textId="77777777" w:rsidR="00E9720D" w:rsidRPr="006A720D" w:rsidRDefault="00E9720D" w:rsidP="0013526B">
            <w:pPr>
              <w:ind w:left="539" w:hanging="142"/>
              <w:rPr>
                <w:sz w:val="18"/>
                <w:szCs w:val="18"/>
              </w:rPr>
            </w:pPr>
          </w:p>
        </w:tc>
        <w:tc>
          <w:tcPr>
            <w:tcW w:w="1576" w:type="dxa"/>
            <w:tcBorders>
              <w:top w:val="double" w:sz="4" w:space="0" w:color="auto"/>
            </w:tcBorders>
            <w:shd w:val="clear" w:color="auto" w:fill="auto"/>
            <w:vAlign w:val="bottom"/>
          </w:tcPr>
          <w:p w14:paraId="2E18E4D9" w14:textId="77777777" w:rsidR="00E9720D" w:rsidRPr="006A720D" w:rsidRDefault="00E9720D" w:rsidP="0013526B">
            <w:pPr>
              <w:ind w:right="57"/>
              <w:jc w:val="right"/>
              <w:rPr>
                <w:sz w:val="18"/>
                <w:szCs w:val="18"/>
              </w:rPr>
            </w:pPr>
          </w:p>
        </w:tc>
        <w:tc>
          <w:tcPr>
            <w:tcW w:w="87" w:type="dxa"/>
            <w:shd w:val="clear" w:color="auto" w:fill="auto"/>
            <w:vAlign w:val="bottom"/>
          </w:tcPr>
          <w:p w14:paraId="0C1032C0" w14:textId="77777777" w:rsidR="00E9720D" w:rsidRPr="006A720D" w:rsidRDefault="00E9720D" w:rsidP="0013526B">
            <w:pPr>
              <w:jc w:val="right"/>
              <w:rPr>
                <w:sz w:val="18"/>
                <w:szCs w:val="18"/>
              </w:rPr>
            </w:pPr>
          </w:p>
        </w:tc>
        <w:tc>
          <w:tcPr>
            <w:tcW w:w="2420" w:type="dxa"/>
            <w:gridSpan w:val="2"/>
            <w:tcBorders>
              <w:top w:val="double" w:sz="4" w:space="0" w:color="auto"/>
            </w:tcBorders>
            <w:vAlign w:val="bottom"/>
          </w:tcPr>
          <w:p w14:paraId="6477A206" w14:textId="77777777" w:rsidR="00E9720D" w:rsidRPr="006A720D" w:rsidRDefault="00E9720D" w:rsidP="0013526B">
            <w:pPr>
              <w:ind w:right="57"/>
              <w:jc w:val="right"/>
              <w:rPr>
                <w:sz w:val="18"/>
                <w:szCs w:val="18"/>
              </w:rPr>
            </w:pPr>
          </w:p>
        </w:tc>
        <w:tc>
          <w:tcPr>
            <w:tcW w:w="2526" w:type="dxa"/>
            <w:shd w:val="clear" w:color="auto" w:fill="auto"/>
            <w:vAlign w:val="bottom"/>
          </w:tcPr>
          <w:p w14:paraId="5C8FBBCF" w14:textId="77777777" w:rsidR="00E9720D" w:rsidRPr="006A720D" w:rsidRDefault="00E9720D" w:rsidP="0013526B">
            <w:pPr>
              <w:ind w:right="57"/>
              <w:jc w:val="right"/>
              <w:rPr>
                <w:i/>
                <w:sz w:val="18"/>
                <w:szCs w:val="18"/>
              </w:rPr>
            </w:pPr>
          </w:p>
        </w:tc>
      </w:tr>
      <w:tr w:rsidR="006A720D" w:rsidRPr="00525CA4" w14:paraId="7DFAB89A" w14:textId="77777777" w:rsidTr="00284CA5">
        <w:tblPrEx>
          <w:tblCellMar>
            <w:left w:w="108" w:type="dxa"/>
            <w:right w:w="108" w:type="dxa"/>
          </w:tblCellMar>
          <w:tblLook w:val="0000" w:firstRow="0" w:lastRow="0" w:firstColumn="0" w:lastColumn="0" w:noHBand="0" w:noVBand="0"/>
        </w:tblPrEx>
        <w:tc>
          <w:tcPr>
            <w:tcW w:w="4598" w:type="dxa"/>
            <w:gridSpan w:val="4"/>
            <w:tcBorders>
              <w:top w:val="nil"/>
              <w:left w:val="nil"/>
              <w:bottom w:val="nil"/>
              <w:right w:val="nil"/>
            </w:tcBorders>
          </w:tcPr>
          <w:p w14:paraId="6CBDA66B" w14:textId="2F7BA3A5" w:rsidR="006A720D" w:rsidRPr="00525CA4" w:rsidRDefault="006A720D" w:rsidP="00070D1F">
            <w:pPr>
              <w:numPr>
                <w:ilvl w:val="0"/>
                <w:numId w:val="390"/>
              </w:numPr>
              <w:jc w:val="both"/>
              <w:rPr>
                <w:b/>
                <w:bCs w:val="0"/>
                <w:sz w:val="18"/>
                <w:szCs w:val="18"/>
              </w:rPr>
            </w:pPr>
            <w:r w:rsidRPr="00525CA4">
              <w:rPr>
                <w:b/>
                <w:bCs w:val="0"/>
                <w:sz w:val="18"/>
                <w:szCs w:val="18"/>
              </w:rPr>
              <w:lastRenderedPageBreak/>
              <w:t>RUGI PER SAHAM DASAR</w:t>
            </w:r>
          </w:p>
        </w:tc>
        <w:tc>
          <w:tcPr>
            <w:tcW w:w="4599" w:type="dxa"/>
            <w:gridSpan w:val="2"/>
            <w:tcBorders>
              <w:top w:val="nil"/>
              <w:left w:val="nil"/>
              <w:bottom w:val="nil"/>
              <w:right w:val="nil"/>
            </w:tcBorders>
          </w:tcPr>
          <w:p w14:paraId="42A6398D" w14:textId="054BB437" w:rsidR="006A720D" w:rsidRPr="00525CA4" w:rsidRDefault="006A720D" w:rsidP="00070D1F">
            <w:pPr>
              <w:numPr>
                <w:ilvl w:val="0"/>
                <w:numId w:val="381"/>
              </w:numPr>
              <w:jc w:val="both"/>
              <w:rPr>
                <w:b/>
                <w:bCs w:val="0"/>
                <w:i/>
                <w:iCs/>
                <w:sz w:val="18"/>
                <w:szCs w:val="18"/>
              </w:rPr>
            </w:pPr>
            <w:r w:rsidRPr="00525CA4">
              <w:rPr>
                <w:b/>
                <w:bCs w:val="0"/>
                <w:i/>
                <w:iCs/>
                <w:sz w:val="18"/>
                <w:szCs w:val="18"/>
              </w:rPr>
              <w:t>BASIC L</w:t>
            </w:r>
            <w:r w:rsidR="00A5095A" w:rsidRPr="00525CA4">
              <w:rPr>
                <w:b/>
                <w:bCs w:val="0"/>
                <w:i/>
                <w:iCs/>
                <w:sz w:val="18"/>
                <w:szCs w:val="18"/>
              </w:rPr>
              <w:t>OSS PER SHARE</w:t>
            </w:r>
          </w:p>
        </w:tc>
      </w:tr>
      <w:tr w:rsidR="006A720D" w:rsidRPr="0013526B" w14:paraId="7ACAE306" w14:textId="77777777" w:rsidTr="00284CA5">
        <w:tblPrEx>
          <w:tblCellMar>
            <w:left w:w="108" w:type="dxa"/>
            <w:right w:w="108" w:type="dxa"/>
          </w:tblCellMar>
          <w:tblLook w:val="0000" w:firstRow="0" w:lastRow="0" w:firstColumn="0" w:lastColumn="0" w:noHBand="0" w:noVBand="0"/>
        </w:tblPrEx>
        <w:tc>
          <w:tcPr>
            <w:tcW w:w="4598" w:type="dxa"/>
            <w:gridSpan w:val="4"/>
            <w:tcBorders>
              <w:top w:val="nil"/>
              <w:left w:val="nil"/>
              <w:bottom w:val="nil"/>
              <w:right w:val="nil"/>
            </w:tcBorders>
          </w:tcPr>
          <w:p w14:paraId="1688D8BE" w14:textId="77777777" w:rsidR="006A720D" w:rsidRPr="0013526B" w:rsidRDefault="006A720D" w:rsidP="006A720D">
            <w:pPr>
              <w:ind w:left="709"/>
              <w:jc w:val="both"/>
              <w:rPr>
                <w:sz w:val="18"/>
                <w:szCs w:val="18"/>
              </w:rPr>
            </w:pPr>
          </w:p>
        </w:tc>
        <w:tc>
          <w:tcPr>
            <w:tcW w:w="4599" w:type="dxa"/>
            <w:gridSpan w:val="2"/>
            <w:tcBorders>
              <w:top w:val="nil"/>
              <w:left w:val="nil"/>
              <w:bottom w:val="nil"/>
              <w:right w:val="nil"/>
            </w:tcBorders>
          </w:tcPr>
          <w:p w14:paraId="1AEFC0F9" w14:textId="77777777" w:rsidR="006A720D" w:rsidRPr="0013526B" w:rsidRDefault="006A720D" w:rsidP="006A720D">
            <w:pPr>
              <w:ind w:left="709"/>
              <w:jc w:val="both"/>
              <w:rPr>
                <w:sz w:val="18"/>
                <w:szCs w:val="18"/>
              </w:rPr>
            </w:pPr>
          </w:p>
        </w:tc>
      </w:tr>
      <w:tr w:rsidR="006A720D" w:rsidRPr="0013526B" w14:paraId="2FEBAB4A" w14:textId="77777777" w:rsidTr="00284CA5">
        <w:tblPrEx>
          <w:tblCellMar>
            <w:left w:w="108" w:type="dxa"/>
            <w:right w:w="108" w:type="dxa"/>
          </w:tblCellMar>
          <w:tblLook w:val="0000" w:firstRow="0" w:lastRow="0" w:firstColumn="0" w:lastColumn="0" w:noHBand="0" w:noVBand="0"/>
        </w:tblPrEx>
        <w:tc>
          <w:tcPr>
            <w:tcW w:w="4598" w:type="dxa"/>
            <w:gridSpan w:val="4"/>
            <w:tcBorders>
              <w:top w:val="nil"/>
              <w:left w:val="nil"/>
              <w:bottom w:val="nil"/>
              <w:right w:val="nil"/>
            </w:tcBorders>
          </w:tcPr>
          <w:p w14:paraId="547463D3" w14:textId="3F4BD2EC" w:rsidR="006A720D" w:rsidRPr="0013526B" w:rsidRDefault="00A5095A" w:rsidP="006A720D">
            <w:pPr>
              <w:pStyle w:val="ListParagraph"/>
              <w:ind w:left="284"/>
              <w:jc w:val="both"/>
              <w:rPr>
                <w:sz w:val="18"/>
                <w:szCs w:val="18"/>
              </w:rPr>
            </w:pPr>
            <w:r w:rsidRPr="00A5095A">
              <w:rPr>
                <w:sz w:val="18"/>
                <w:szCs w:val="18"/>
              </w:rPr>
              <w:t>Rugi per saham dasar dihitung dengan membagi laba bersih pemegang saham dengan rata-rata tertimbang saham biasa yang beredar pada tahun yang bersangkutan.</w:t>
            </w:r>
          </w:p>
        </w:tc>
        <w:tc>
          <w:tcPr>
            <w:tcW w:w="4599" w:type="dxa"/>
            <w:gridSpan w:val="2"/>
            <w:tcBorders>
              <w:top w:val="nil"/>
              <w:left w:val="nil"/>
              <w:bottom w:val="nil"/>
              <w:right w:val="nil"/>
            </w:tcBorders>
          </w:tcPr>
          <w:p w14:paraId="10267F3B" w14:textId="660C4502" w:rsidR="006A720D" w:rsidRPr="00134B6F" w:rsidRDefault="00A5095A" w:rsidP="006A720D">
            <w:pPr>
              <w:pStyle w:val="ListParagraph"/>
              <w:ind w:left="284"/>
              <w:jc w:val="both"/>
              <w:rPr>
                <w:i/>
                <w:iCs/>
                <w:sz w:val="18"/>
                <w:szCs w:val="18"/>
              </w:rPr>
            </w:pPr>
            <w:r w:rsidRPr="00134B6F">
              <w:rPr>
                <w:i/>
                <w:iCs/>
                <w:sz w:val="18"/>
                <w:szCs w:val="18"/>
              </w:rPr>
              <w:t>Basic loss per shares are computed by dividing the net profit attributable to shareholders by the weighted average number of common shares outstanding during the year.</w:t>
            </w:r>
          </w:p>
        </w:tc>
      </w:tr>
    </w:tbl>
    <w:p w14:paraId="6539464B" w14:textId="77777777" w:rsidR="00EC0385" w:rsidRPr="00EC0385" w:rsidRDefault="00EC0385" w:rsidP="006A720D">
      <w:pPr>
        <w:jc w:val="both"/>
        <w:rPr>
          <w:sz w:val="12"/>
          <w:szCs w:val="14"/>
        </w:rPr>
      </w:pPr>
    </w:p>
    <w:tbl>
      <w:tblPr>
        <w:tblW w:w="9150" w:type="dxa"/>
        <w:tblInd w:w="392" w:type="dxa"/>
        <w:tblBorders>
          <w:bottom w:val="double" w:sz="4" w:space="0" w:color="auto"/>
        </w:tblBorders>
        <w:tblCellMar>
          <w:left w:w="0" w:type="dxa"/>
          <w:right w:w="0" w:type="dxa"/>
        </w:tblCellMar>
        <w:tblLook w:val="0000" w:firstRow="0" w:lastRow="0" w:firstColumn="0" w:lastColumn="0" w:noHBand="0" w:noVBand="0"/>
      </w:tblPr>
      <w:tblGrid>
        <w:gridCol w:w="2845"/>
        <w:gridCol w:w="1674"/>
        <w:gridCol w:w="107"/>
        <w:gridCol w:w="1674"/>
        <w:gridCol w:w="2850"/>
      </w:tblGrid>
      <w:tr w:rsidR="002C6EE3" w:rsidRPr="0013526B" w14:paraId="053A428A" w14:textId="77777777" w:rsidTr="00284CA5">
        <w:trPr>
          <w:trHeight w:val="20"/>
        </w:trPr>
        <w:tc>
          <w:tcPr>
            <w:tcW w:w="2845" w:type="dxa"/>
          </w:tcPr>
          <w:p w14:paraId="532644C8" w14:textId="77777777" w:rsidR="002C6EE3" w:rsidRPr="0013526B" w:rsidRDefault="002C6EE3" w:rsidP="002C6EE3">
            <w:pPr>
              <w:ind w:left="175" w:right="-57"/>
              <w:jc w:val="both"/>
              <w:rPr>
                <w:bCs w:val="0"/>
                <w:sz w:val="18"/>
                <w:szCs w:val="18"/>
              </w:rPr>
            </w:pPr>
          </w:p>
        </w:tc>
        <w:tc>
          <w:tcPr>
            <w:tcW w:w="1674" w:type="dxa"/>
            <w:tcBorders>
              <w:bottom w:val="single" w:sz="4" w:space="0" w:color="auto"/>
            </w:tcBorders>
          </w:tcPr>
          <w:p w14:paraId="65F84F9A" w14:textId="77777777" w:rsidR="002C6EE3" w:rsidRDefault="002C6EE3" w:rsidP="002C6EE3">
            <w:pPr>
              <w:jc w:val="center"/>
              <w:rPr>
                <w:b/>
                <w:sz w:val="18"/>
                <w:szCs w:val="18"/>
              </w:rPr>
            </w:pPr>
            <w:r>
              <w:rPr>
                <w:b/>
                <w:sz w:val="18"/>
                <w:szCs w:val="18"/>
              </w:rPr>
              <w:t>31 Maret/</w:t>
            </w:r>
          </w:p>
          <w:p w14:paraId="7E29945B" w14:textId="5107A4AD" w:rsidR="002C6EE3" w:rsidRPr="0013526B" w:rsidRDefault="002C6EE3" w:rsidP="002C6EE3">
            <w:pPr>
              <w:ind w:left="-18" w:right="-57"/>
              <w:jc w:val="center"/>
              <w:rPr>
                <w:b/>
                <w:bCs w:val="0"/>
                <w:sz w:val="18"/>
                <w:szCs w:val="18"/>
              </w:rPr>
            </w:pPr>
            <w:r>
              <w:rPr>
                <w:b/>
                <w:sz w:val="18"/>
                <w:szCs w:val="18"/>
              </w:rPr>
              <w:t>March 31</w:t>
            </w:r>
            <w:r w:rsidR="00305CA0">
              <w:rPr>
                <w:b/>
                <w:sz w:val="18"/>
                <w:szCs w:val="18"/>
              </w:rPr>
              <w:t>.</w:t>
            </w:r>
            <w:r>
              <w:rPr>
                <w:b/>
                <w:sz w:val="18"/>
                <w:szCs w:val="18"/>
              </w:rPr>
              <w:t xml:space="preserve"> 2020</w:t>
            </w:r>
          </w:p>
        </w:tc>
        <w:tc>
          <w:tcPr>
            <w:tcW w:w="107" w:type="dxa"/>
          </w:tcPr>
          <w:p w14:paraId="1C2D4FE3" w14:textId="77777777" w:rsidR="002C6EE3" w:rsidRPr="0013526B" w:rsidRDefault="002C6EE3" w:rsidP="002C6EE3">
            <w:pPr>
              <w:tabs>
                <w:tab w:val="left" w:pos="5590"/>
                <w:tab w:val="right" w:pos="7620"/>
                <w:tab w:val="right" w:pos="9460"/>
                <w:tab w:val="right" w:pos="10080"/>
              </w:tabs>
              <w:ind w:left="651" w:right="-57"/>
              <w:jc w:val="both"/>
              <w:rPr>
                <w:bCs w:val="0"/>
                <w:i/>
                <w:sz w:val="18"/>
                <w:szCs w:val="18"/>
              </w:rPr>
            </w:pPr>
          </w:p>
        </w:tc>
        <w:tc>
          <w:tcPr>
            <w:tcW w:w="1674" w:type="dxa"/>
            <w:tcBorders>
              <w:bottom w:val="single" w:sz="4" w:space="0" w:color="auto"/>
            </w:tcBorders>
          </w:tcPr>
          <w:p w14:paraId="2B9B8B97" w14:textId="77777777" w:rsidR="002C6EE3" w:rsidRDefault="002C6EE3" w:rsidP="002C6EE3">
            <w:pPr>
              <w:jc w:val="center"/>
              <w:rPr>
                <w:b/>
                <w:sz w:val="18"/>
                <w:szCs w:val="18"/>
              </w:rPr>
            </w:pPr>
            <w:r>
              <w:rPr>
                <w:b/>
                <w:sz w:val="18"/>
                <w:szCs w:val="18"/>
              </w:rPr>
              <w:t xml:space="preserve">31 Maret/ </w:t>
            </w:r>
          </w:p>
          <w:p w14:paraId="115E6F71" w14:textId="59083FDC" w:rsidR="002C6EE3" w:rsidRPr="0013526B" w:rsidRDefault="002C6EE3" w:rsidP="002C6EE3">
            <w:pPr>
              <w:ind w:left="11" w:right="-57"/>
              <w:jc w:val="center"/>
              <w:rPr>
                <w:b/>
                <w:bCs w:val="0"/>
                <w:sz w:val="18"/>
                <w:szCs w:val="18"/>
              </w:rPr>
            </w:pPr>
            <w:r>
              <w:rPr>
                <w:b/>
                <w:sz w:val="18"/>
                <w:szCs w:val="18"/>
              </w:rPr>
              <w:t>March 31</w:t>
            </w:r>
            <w:r w:rsidR="00305CA0">
              <w:rPr>
                <w:b/>
                <w:sz w:val="18"/>
                <w:szCs w:val="18"/>
              </w:rPr>
              <w:t>.</w:t>
            </w:r>
            <w:r>
              <w:rPr>
                <w:b/>
                <w:sz w:val="18"/>
                <w:szCs w:val="18"/>
              </w:rPr>
              <w:t xml:space="preserve"> 2019 </w:t>
            </w:r>
          </w:p>
        </w:tc>
        <w:tc>
          <w:tcPr>
            <w:tcW w:w="2850" w:type="dxa"/>
          </w:tcPr>
          <w:p w14:paraId="6EE5E976" w14:textId="77777777" w:rsidR="002C6EE3" w:rsidRPr="0013526B" w:rsidRDefault="002C6EE3" w:rsidP="002C6EE3">
            <w:pPr>
              <w:tabs>
                <w:tab w:val="left" w:pos="5590"/>
                <w:tab w:val="right" w:pos="7620"/>
                <w:tab w:val="right" w:pos="9460"/>
                <w:tab w:val="right" w:pos="10080"/>
              </w:tabs>
              <w:ind w:left="651" w:right="-57"/>
              <w:jc w:val="both"/>
              <w:rPr>
                <w:bCs w:val="0"/>
                <w:sz w:val="18"/>
                <w:szCs w:val="18"/>
              </w:rPr>
            </w:pPr>
          </w:p>
        </w:tc>
      </w:tr>
      <w:tr w:rsidR="00A5095A" w:rsidRPr="0013526B" w14:paraId="5F9C7CC4" w14:textId="77777777" w:rsidTr="00284CA5">
        <w:trPr>
          <w:trHeight w:val="20"/>
        </w:trPr>
        <w:tc>
          <w:tcPr>
            <w:tcW w:w="2845" w:type="dxa"/>
          </w:tcPr>
          <w:p w14:paraId="2717668D" w14:textId="77777777" w:rsidR="00A5095A" w:rsidRPr="0013526B" w:rsidRDefault="00A5095A" w:rsidP="005E7DC2">
            <w:pPr>
              <w:ind w:left="175" w:right="-57"/>
              <w:jc w:val="both"/>
              <w:rPr>
                <w:bCs w:val="0"/>
                <w:sz w:val="18"/>
                <w:szCs w:val="18"/>
              </w:rPr>
            </w:pPr>
          </w:p>
        </w:tc>
        <w:tc>
          <w:tcPr>
            <w:tcW w:w="1674" w:type="dxa"/>
            <w:tcBorders>
              <w:top w:val="single" w:sz="4" w:space="0" w:color="auto"/>
            </w:tcBorders>
            <w:vAlign w:val="bottom"/>
          </w:tcPr>
          <w:p w14:paraId="47C5EE76" w14:textId="77777777" w:rsidR="00A5095A" w:rsidRPr="0013526B" w:rsidRDefault="00A5095A" w:rsidP="00417FDB">
            <w:pPr>
              <w:ind w:left="522" w:right="-18"/>
              <w:jc w:val="right"/>
              <w:rPr>
                <w:b/>
                <w:bCs w:val="0"/>
                <w:sz w:val="18"/>
                <w:szCs w:val="18"/>
              </w:rPr>
            </w:pPr>
          </w:p>
        </w:tc>
        <w:tc>
          <w:tcPr>
            <w:tcW w:w="107" w:type="dxa"/>
            <w:vAlign w:val="bottom"/>
          </w:tcPr>
          <w:p w14:paraId="0F5A0A66" w14:textId="77777777" w:rsidR="00A5095A" w:rsidRPr="0013526B" w:rsidRDefault="00A5095A" w:rsidP="00417FDB">
            <w:pPr>
              <w:tabs>
                <w:tab w:val="left" w:pos="5590"/>
                <w:tab w:val="right" w:pos="7620"/>
                <w:tab w:val="right" w:pos="9460"/>
                <w:tab w:val="right" w:pos="10080"/>
              </w:tabs>
              <w:ind w:left="651" w:right="-18"/>
              <w:jc w:val="right"/>
              <w:rPr>
                <w:bCs w:val="0"/>
                <w:i/>
                <w:sz w:val="18"/>
                <w:szCs w:val="18"/>
              </w:rPr>
            </w:pPr>
          </w:p>
        </w:tc>
        <w:tc>
          <w:tcPr>
            <w:tcW w:w="1674" w:type="dxa"/>
            <w:tcBorders>
              <w:top w:val="single" w:sz="4" w:space="0" w:color="auto"/>
            </w:tcBorders>
            <w:vAlign w:val="bottom"/>
          </w:tcPr>
          <w:p w14:paraId="0C4DA341" w14:textId="77777777" w:rsidR="00A5095A" w:rsidRPr="0013526B" w:rsidRDefault="00A5095A" w:rsidP="00417FDB">
            <w:pPr>
              <w:ind w:left="522" w:right="-18"/>
              <w:jc w:val="right"/>
              <w:rPr>
                <w:b/>
                <w:bCs w:val="0"/>
                <w:sz w:val="18"/>
                <w:szCs w:val="18"/>
              </w:rPr>
            </w:pPr>
          </w:p>
        </w:tc>
        <w:tc>
          <w:tcPr>
            <w:tcW w:w="2850" w:type="dxa"/>
          </w:tcPr>
          <w:p w14:paraId="197CB0EF" w14:textId="77777777" w:rsidR="00A5095A" w:rsidRPr="0013526B" w:rsidRDefault="00A5095A" w:rsidP="00417FDB">
            <w:pPr>
              <w:tabs>
                <w:tab w:val="left" w:pos="5590"/>
                <w:tab w:val="right" w:pos="7620"/>
                <w:tab w:val="right" w:pos="9460"/>
                <w:tab w:val="right" w:pos="10080"/>
              </w:tabs>
              <w:ind w:left="651" w:right="-57"/>
              <w:jc w:val="both"/>
              <w:rPr>
                <w:bCs w:val="0"/>
                <w:sz w:val="18"/>
                <w:szCs w:val="18"/>
              </w:rPr>
            </w:pPr>
          </w:p>
        </w:tc>
      </w:tr>
      <w:tr w:rsidR="002A1BFA" w:rsidRPr="0013526B" w14:paraId="3CC2C54B" w14:textId="77777777" w:rsidTr="005120C9">
        <w:trPr>
          <w:trHeight w:val="20"/>
        </w:trPr>
        <w:tc>
          <w:tcPr>
            <w:tcW w:w="2845" w:type="dxa"/>
          </w:tcPr>
          <w:p w14:paraId="116B5109" w14:textId="57D8CDEF" w:rsidR="002A1BFA" w:rsidRPr="0013526B" w:rsidRDefault="002A1BFA" w:rsidP="002A1BFA">
            <w:pPr>
              <w:ind w:left="517" w:right="-57" w:hanging="141"/>
              <w:rPr>
                <w:bCs w:val="0"/>
                <w:sz w:val="18"/>
                <w:szCs w:val="18"/>
              </w:rPr>
            </w:pPr>
            <w:r>
              <w:rPr>
                <w:bCs w:val="0"/>
                <w:sz w:val="18"/>
                <w:szCs w:val="18"/>
              </w:rPr>
              <w:t>Rugi bersih tahun berjalan yang diatribusikan kepada pemilik perusahaan</w:t>
            </w:r>
          </w:p>
        </w:tc>
        <w:tc>
          <w:tcPr>
            <w:tcW w:w="1674" w:type="dxa"/>
            <w:tcBorders>
              <w:bottom w:val="nil"/>
            </w:tcBorders>
            <w:shd w:val="clear" w:color="auto" w:fill="auto"/>
            <w:vAlign w:val="bottom"/>
          </w:tcPr>
          <w:p w14:paraId="5D1073F9" w14:textId="79E12991" w:rsidR="002A1BFA" w:rsidRPr="00FE6377" w:rsidRDefault="00B45727" w:rsidP="00367BD3">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sz w:val="18"/>
                <w:szCs w:val="18"/>
              </w:rPr>
            </w:pPr>
            <w:r>
              <w:rPr>
                <w:b/>
                <w:sz w:val="18"/>
                <w:szCs w:val="18"/>
              </w:rPr>
              <w:t>(</w:t>
            </w:r>
            <w:r>
              <w:rPr>
                <w:b/>
                <w:sz w:val="18"/>
                <w:szCs w:val="18"/>
                <w:lang w:val="id-ID"/>
              </w:rPr>
              <w:t>9</w:t>
            </w:r>
            <w:r>
              <w:rPr>
                <w:b/>
                <w:sz w:val="18"/>
                <w:szCs w:val="18"/>
              </w:rPr>
              <w:t>.</w:t>
            </w:r>
            <w:r>
              <w:rPr>
                <w:b/>
                <w:sz w:val="18"/>
                <w:szCs w:val="18"/>
                <w:lang w:val="id-ID"/>
              </w:rPr>
              <w:t>420</w:t>
            </w:r>
            <w:r>
              <w:rPr>
                <w:b/>
                <w:sz w:val="18"/>
                <w:szCs w:val="18"/>
              </w:rPr>
              <w:t>.</w:t>
            </w:r>
            <w:r>
              <w:rPr>
                <w:b/>
                <w:sz w:val="18"/>
                <w:szCs w:val="18"/>
                <w:lang w:val="id-ID"/>
              </w:rPr>
              <w:t>691</w:t>
            </w:r>
            <w:r>
              <w:rPr>
                <w:b/>
                <w:sz w:val="18"/>
                <w:szCs w:val="18"/>
              </w:rPr>
              <w:t>.</w:t>
            </w:r>
            <w:r>
              <w:rPr>
                <w:b/>
                <w:sz w:val="18"/>
                <w:szCs w:val="18"/>
                <w:lang w:val="id-ID"/>
              </w:rPr>
              <w:t>503</w:t>
            </w:r>
            <w:r w:rsidR="00610909" w:rsidRPr="00FE6377">
              <w:rPr>
                <w:b/>
                <w:sz w:val="18"/>
                <w:szCs w:val="18"/>
              </w:rPr>
              <w:t>)</w:t>
            </w:r>
          </w:p>
        </w:tc>
        <w:tc>
          <w:tcPr>
            <w:tcW w:w="107" w:type="dxa"/>
            <w:vAlign w:val="bottom"/>
          </w:tcPr>
          <w:p w14:paraId="5B3E1004" w14:textId="77777777" w:rsidR="002A1BFA" w:rsidRPr="00FE6377" w:rsidRDefault="002A1BFA"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sz w:val="18"/>
                <w:szCs w:val="18"/>
              </w:rPr>
            </w:pPr>
          </w:p>
        </w:tc>
        <w:tc>
          <w:tcPr>
            <w:tcW w:w="1674" w:type="dxa"/>
            <w:tcBorders>
              <w:bottom w:val="nil"/>
            </w:tcBorders>
            <w:vAlign w:val="bottom"/>
          </w:tcPr>
          <w:p w14:paraId="76F94D41" w14:textId="16A67920" w:rsidR="002A1BFA" w:rsidRPr="00432345" w:rsidRDefault="00610909"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sz w:val="18"/>
                <w:szCs w:val="18"/>
              </w:rPr>
            </w:pPr>
            <w:r w:rsidRPr="00610909">
              <w:rPr>
                <w:b/>
                <w:sz w:val="18"/>
                <w:szCs w:val="18"/>
              </w:rPr>
              <w:t>4.006.403.562</w:t>
            </w:r>
          </w:p>
        </w:tc>
        <w:tc>
          <w:tcPr>
            <w:tcW w:w="2850" w:type="dxa"/>
            <w:vAlign w:val="bottom"/>
          </w:tcPr>
          <w:p w14:paraId="573B95F7" w14:textId="77777777" w:rsidR="002A1BFA" w:rsidRDefault="002A1BFA"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i/>
                <w:sz w:val="18"/>
                <w:szCs w:val="18"/>
              </w:rPr>
            </w:pPr>
            <w:r>
              <w:rPr>
                <w:rFonts w:ascii="Times New Roman" w:hAnsi="Times New Roman" w:cs="Times New Roman"/>
                <w:bCs/>
                <w:i/>
                <w:sz w:val="18"/>
                <w:szCs w:val="18"/>
              </w:rPr>
              <w:t>Total net loss attributable to owners</w:t>
            </w:r>
          </w:p>
          <w:p w14:paraId="5515B4B7" w14:textId="3E3D3B81" w:rsidR="002A1BFA" w:rsidRPr="0013526B" w:rsidRDefault="002A1BFA" w:rsidP="002A1BFA">
            <w:pPr>
              <w:pStyle w:val="Default"/>
              <w:tabs>
                <w:tab w:val="left" w:pos="142"/>
                <w:tab w:val="left" w:pos="284"/>
                <w:tab w:val="left" w:pos="720"/>
                <w:tab w:val="left" w:pos="3402"/>
                <w:tab w:val="left" w:pos="4111"/>
                <w:tab w:val="left" w:pos="4253"/>
                <w:tab w:val="left" w:pos="4678"/>
              </w:tabs>
              <w:ind w:right="206"/>
              <w:jc w:val="right"/>
              <w:rPr>
                <w:rFonts w:ascii="Times New Roman" w:hAnsi="Times New Roman" w:cs="Times New Roman"/>
                <w:bCs/>
                <w:i/>
                <w:sz w:val="18"/>
                <w:szCs w:val="18"/>
              </w:rPr>
            </w:pPr>
            <w:r>
              <w:rPr>
                <w:rFonts w:ascii="Times New Roman" w:hAnsi="Times New Roman" w:cs="Times New Roman"/>
                <w:bCs/>
                <w:i/>
                <w:sz w:val="18"/>
                <w:szCs w:val="18"/>
              </w:rPr>
              <w:t xml:space="preserve">of the company  </w:t>
            </w:r>
          </w:p>
        </w:tc>
      </w:tr>
      <w:tr w:rsidR="002A1BFA" w:rsidRPr="0013526B" w14:paraId="3272FA29" w14:textId="77777777" w:rsidTr="00284CA5">
        <w:trPr>
          <w:trHeight w:val="20"/>
        </w:trPr>
        <w:tc>
          <w:tcPr>
            <w:tcW w:w="2845" w:type="dxa"/>
          </w:tcPr>
          <w:p w14:paraId="1717AEE8" w14:textId="70673185" w:rsidR="002A1BFA" w:rsidRPr="0013526B" w:rsidRDefault="002A1BFA" w:rsidP="002A1BFA">
            <w:pPr>
              <w:ind w:left="517" w:right="-57" w:hanging="141"/>
              <w:rPr>
                <w:bCs w:val="0"/>
                <w:sz w:val="18"/>
                <w:szCs w:val="18"/>
              </w:rPr>
            </w:pPr>
            <w:r>
              <w:rPr>
                <w:bCs w:val="0"/>
                <w:sz w:val="18"/>
                <w:szCs w:val="18"/>
              </w:rPr>
              <w:t>Jumlah rata-rata tertimbang saham yang beredar</w:t>
            </w:r>
          </w:p>
        </w:tc>
        <w:tc>
          <w:tcPr>
            <w:tcW w:w="1674" w:type="dxa"/>
            <w:tcBorders>
              <w:bottom w:val="single" w:sz="4" w:space="0" w:color="auto"/>
            </w:tcBorders>
            <w:shd w:val="clear" w:color="auto" w:fill="auto"/>
            <w:vAlign w:val="bottom"/>
          </w:tcPr>
          <w:p w14:paraId="029DB9E6" w14:textId="219E9B6C" w:rsidR="002A1BFA" w:rsidRPr="00FF40BD" w:rsidRDefault="00610909"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sz w:val="18"/>
                <w:szCs w:val="18"/>
              </w:rPr>
            </w:pPr>
            <w:r w:rsidRPr="00FF40BD">
              <w:rPr>
                <w:rFonts w:ascii="Times New Roman" w:hAnsi="Times New Roman" w:cs="Times New Roman"/>
                <w:bCs/>
                <w:sz w:val="18"/>
                <w:szCs w:val="18"/>
              </w:rPr>
              <w:t>12</w:t>
            </w:r>
            <w:r w:rsidR="002C6EE3" w:rsidRPr="00FF40BD">
              <w:rPr>
                <w:rFonts w:ascii="Times New Roman" w:hAnsi="Times New Roman" w:cs="Times New Roman"/>
                <w:bCs/>
                <w:sz w:val="18"/>
                <w:szCs w:val="18"/>
              </w:rPr>
              <w:t>.</w:t>
            </w:r>
            <w:r w:rsidRPr="00FF40BD">
              <w:rPr>
                <w:rFonts w:ascii="Times New Roman" w:hAnsi="Times New Roman" w:cs="Times New Roman"/>
                <w:bCs/>
                <w:sz w:val="18"/>
                <w:szCs w:val="18"/>
              </w:rPr>
              <w:t>000</w:t>
            </w:r>
            <w:r w:rsidR="002C6EE3" w:rsidRPr="00FF40BD">
              <w:rPr>
                <w:rFonts w:ascii="Times New Roman" w:hAnsi="Times New Roman" w:cs="Times New Roman"/>
                <w:bCs/>
                <w:sz w:val="18"/>
                <w:szCs w:val="18"/>
              </w:rPr>
              <w:t>.</w:t>
            </w:r>
            <w:r w:rsidRPr="00FF40BD">
              <w:rPr>
                <w:rFonts w:ascii="Times New Roman" w:hAnsi="Times New Roman" w:cs="Times New Roman"/>
                <w:bCs/>
                <w:sz w:val="18"/>
                <w:szCs w:val="18"/>
              </w:rPr>
              <w:t>705</w:t>
            </w:r>
            <w:r w:rsidR="002C6EE3" w:rsidRPr="00FF40BD">
              <w:rPr>
                <w:rFonts w:ascii="Times New Roman" w:hAnsi="Times New Roman" w:cs="Times New Roman"/>
                <w:bCs/>
                <w:sz w:val="18"/>
                <w:szCs w:val="18"/>
              </w:rPr>
              <w:t>.</w:t>
            </w:r>
            <w:r w:rsidRPr="00FF40BD">
              <w:rPr>
                <w:rFonts w:ascii="Times New Roman" w:hAnsi="Times New Roman" w:cs="Times New Roman"/>
                <w:bCs/>
                <w:sz w:val="18"/>
                <w:szCs w:val="18"/>
              </w:rPr>
              <w:t>445</w:t>
            </w:r>
          </w:p>
        </w:tc>
        <w:tc>
          <w:tcPr>
            <w:tcW w:w="107" w:type="dxa"/>
            <w:vAlign w:val="bottom"/>
          </w:tcPr>
          <w:p w14:paraId="77F16832" w14:textId="77777777" w:rsidR="002A1BFA" w:rsidRPr="0013526B" w:rsidRDefault="002A1BFA"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sz w:val="18"/>
                <w:szCs w:val="18"/>
              </w:rPr>
            </w:pPr>
          </w:p>
        </w:tc>
        <w:tc>
          <w:tcPr>
            <w:tcW w:w="1674" w:type="dxa"/>
            <w:tcBorders>
              <w:bottom w:val="single" w:sz="4" w:space="0" w:color="auto"/>
            </w:tcBorders>
            <w:vAlign w:val="bottom"/>
          </w:tcPr>
          <w:p w14:paraId="0337367D" w14:textId="1F53F019" w:rsidR="002A1BFA" w:rsidRPr="00A5095A" w:rsidRDefault="00610909"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sz w:val="18"/>
                <w:szCs w:val="18"/>
              </w:rPr>
            </w:pPr>
            <w:r w:rsidRPr="00610909">
              <w:rPr>
                <w:rFonts w:ascii="Times New Roman" w:hAnsi="Times New Roman" w:cs="Times New Roman"/>
                <w:bCs/>
                <w:sz w:val="18"/>
                <w:szCs w:val="18"/>
              </w:rPr>
              <w:t>12</w:t>
            </w:r>
            <w:r w:rsidR="002C6EE3">
              <w:rPr>
                <w:rFonts w:ascii="Times New Roman" w:hAnsi="Times New Roman" w:cs="Times New Roman"/>
                <w:bCs/>
                <w:sz w:val="18"/>
                <w:szCs w:val="18"/>
              </w:rPr>
              <w:t>.</w:t>
            </w:r>
            <w:r w:rsidRPr="00610909">
              <w:rPr>
                <w:rFonts w:ascii="Times New Roman" w:hAnsi="Times New Roman" w:cs="Times New Roman"/>
                <w:bCs/>
                <w:sz w:val="18"/>
                <w:szCs w:val="18"/>
              </w:rPr>
              <w:t>000</w:t>
            </w:r>
            <w:r w:rsidR="002C6EE3">
              <w:rPr>
                <w:rFonts w:ascii="Times New Roman" w:hAnsi="Times New Roman" w:cs="Times New Roman"/>
                <w:bCs/>
                <w:sz w:val="18"/>
                <w:szCs w:val="18"/>
              </w:rPr>
              <w:t>.</w:t>
            </w:r>
            <w:r w:rsidRPr="00610909">
              <w:rPr>
                <w:rFonts w:ascii="Times New Roman" w:hAnsi="Times New Roman" w:cs="Times New Roman"/>
                <w:bCs/>
                <w:sz w:val="18"/>
                <w:szCs w:val="18"/>
              </w:rPr>
              <w:t>705</w:t>
            </w:r>
            <w:r w:rsidR="002C6EE3">
              <w:rPr>
                <w:rFonts w:ascii="Times New Roman" w:hAnsi="Times New Roman" w:cs="Times New Roman"/>
                <w:bCs/>
                <w:sz w:val="18"/>
                <w:szCs w:val="18"/>
              </w:rPr>
              <w:t>.</w:t>
            </w:r>
            <w:r w:rsidRPr="00610909">
              <w:rPr>
                <w:rFonts w:ascii="Times New Roman" w:hAnsi="Times New Roman" w:cs="Times New Roman"/>
                <w:bCs/>
                <w:sz w:val="18"/>
                <w:szCs w:val="18"/>
              </w:rPr>
              <w:t>445</w:t>
            </w:r>
          </w:p>
        </w:tc>
        <w:tc>
          <w:tcPr>
            <w:tcW w:w="2850" w:type="dxa"/>
          </w:tcPr>
          <w:p w14:paraId="4C6727FF" w14:textId="77777777" w:rsidR="002A1BFA" w:rsidRDefault="002A1BFA"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i/>
                <w:sz w:val="18"/>
                <w:szCs w:val="18"/>
              </w:rPr>
            </w:pPr>
            <w:r>
              <w:rPr>
                <w:rFonts w:ascii="Times New Roman" w:hAnsi="Times New Roman" w:cs="Times New Roman"/>
                <w:bCs/>
                <w:i/>
                <w:sz w:val="18"/>
                <w:szCs w:val="18"/>
              </w:rPr>
              <w:t>Total of weighted average of the</w:t>
            </w:r>
          </w:p>
          <w:p w14:paraId="7832083D" w14:textId="4A797C5E" w:rsidR="002A1BFA" w:rsidRPr="0013526B" w:rsidRDefault="00621D3F" w:rsidP="002A1BFA">
            <w:pPr>
              <w:pStyle w:val="Default"/>
              <w:tabs>
                <w:tab w:val="left" w:pos="142"/>
                <w:tab w:val="left" w:pos="284"/>
                <w:tab w:val="left" w:pos="720"/>
                <w:tab w:val="left" w:pos="3402"/>
                <w:tab w:val="left" w:pos="4111"/>
                <w:tab w:val="left" w:pos="4253"/>
                <w:tab w:val="left" w:pos="4678"/>
              </w:tabs>
              <w:ind w:right="192"/>
              <w:jc w:val="right"/>
              <w:rPr>
                <w:rFonts w:ascii="Times New Roman" w:hAnsi="Times New Roman" w:cs="Times New Roman"/>
                <w:bCs/>
                <w:i/>
                <w:sz w:val="18"/>
                <w:szCs w:val="18"/>
              </w:rPr>
            </w:pPr>
            <w:r>
              <w:rPr>
                <w:rFonts w:ascii="Times New Roman" w:hAnsi="Times New Roman" w:cs="Times New Roman"/>
                <w:bCs/>
                <w:i/>
                <w:sz w:val="18"/>
                <w:szCs w:val="18"/>
              </w:rPr>
              <w:t>company</w:t>
            </w:r>
          </w:p>
        </w:tc>
      </w:tr>
      <w:tr w:rsidR="002A1BFA" w:rsidRPr="0013526B" w14:paraId="709D6EFB" w14:textId="77777777" w:rsidTr="00284CA5">
        <w:trPr>
          <w:trHeight w:val="20"/>
        </w:trPr>
        <w:tc>
          <w:tcPr>
            <w:tcW w:w="2845" w:type="dxa"/>
            <w:tcBorders>
              <w:bottom w:val="nil"/>
            </w:tcBorders>
          </w:tcPr>
          <w:p w14:paraId="7FF3B3CF" w14:textId="451576A3" w:rsidR="002A1BFA" w:rsidRPr="0013526B" w:rsidRDefault="002A1BFA" w:rsidP="002A1BFA">
            <w:pPr>
              <w:ind w:left="517" w:right="-57" w:hanging="141"/>
              <w:rPr>
                <w:bCs w:val="0"/>
                <w:sz w:val="18"/>
                <w:szCs w:val="18"/>
              </w:rPr>
            </w:pPr>
          </w:p>
        </w:tc>
        <w:tc>
          <w:tcPr>
            <w:tcW w:w="1674" w:type="dxa"/>
            <w:tcBorders>
              <w:top w:val="single" w:sz="4" w:space="0" w:color="auto"/>
            </w:tcBorders>
            <w:shd w:val="clear" w:color="auto" w:fill="auto"/>
            <w:vAlign w:val="bottom"/>
          </w:tcPr>
          <w:p w14:paraId="4345FFE3" w14:textId="3606FC9A" w:rsidR="002A1BFA" w:rsidRPr="00FF40BD" w:rsidRDefault="002A1BFA"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sz w:val="18"/>
                <w:szCs w:val="18"/>
              </w:rPr>
            </w:pPr>
          </w:p>
        </w:tc>
        <w:tc>
          <w:tcPr>
            <w:tcW w:w="107" w:type="dxa"/>
            <w:tcBorders>
              <w:bottom w:val="nil"/>
            </w:tcBorders>
            <w:vAlign w:val="bottom"/>
          </w:tcPr>
          <w:p w14:paraId="6F7692AF" w14:textId="77777777" w:rsidR="002A1BFA" w:rsidRPr="0013526B" w:rsidRDefault="002A1BFA"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sz w:val="18"/>
                <w:szCs w:val="18"/>
              </w:rPr>
            </w:pPr>
          </w:p>
        </w:tc>
        <w:tc>
          <w:tcPr>
            <w:tcW w:w="1674" w:type="dxa"/>
            <w:tcBorders>
              <w:top w:val="single" w:sz="4" w:space="0" w:color="auto"/>
            </w:tcBorders>
            <w:vAlign w:val="bottom"/>
          </w:tcPr>
          <w:p w14:paraId="32E64101" w14:textId="3BC2AA2B" w:rsidR="002A1BFA" w:rsidRPr="00A5095A" w:rsidRDefault="002A1BFA"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sz w:val="18"/>
                <w:szCs w:val="18"/>
              </w:rPr>
            </w:pPr>
          </w:p>
        </w:tc>
        <w:tc>
          <w:tcPr>
            <w:tcW w:w="2850" w:type="dxa"/>
            <w:tcBorders>
              <w:bottom w:val="nil"/>
            </w:tcBorders>
          </w:tcPr>
          <w:p w14:paraId="50F5612A" w14:textId="29ABB81B" w:rsidR="002A1BFA" w:rsidRPr="0013526B" w:rsidRDefault="002A1BFA"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i/>
                <w:sz w:val="18"/>
                <w:szCs w:val="18"/>
              </w:rPr>
            </w:pPr>
          </w:p>
        </w:tc>
      </w:tr>
      <w:tr w:rsidR="002A1BFA" w:rsidRPr="0013526B" w14:paraId="24271F3B" w14:textId="77777777" w:rsidTr="00284CA5">
        <w:trPr>
          <w:trHeight w:val="20"/>
        </w:trPr>
        <w:tc>
          <w:tcPr>
            <w:tcW w:w="2845" w:type="dxa"/>
            <w:tcBorders>
              <w:bottom w:val="nil"/>
            </w:tcBorders>
          </w:tcPr>
          <w:p w14:paraId="62B79482" w14:textId="7CD01DC2" w:rsidR="002A1BFA" w:rsidRPr="00A5095A" w:rsidRDefault="002A1BFA" w:rsidP="002A1BFA">
            <w:pPr>
              <w:ind w:left="517" w:right="-57" w:hanging="141"/>
              <w:rPr>
                <w:b/>
                <w:bCs w:val="0"/>
                <w:sz w:val="18"/>
                <w:szCs w:val="18"/>
              </w:rPr>
            </w:pPr>
            <w:r w:rsidRPr="00A5095A">
              <w:rPr>
                <w:b/>
                <w:bCs w:val="0"/>
                <w:sz w:val="18"/>
                <w:szCs w:val="18"/>
              </w:rPr>
              <w:t>Rugi per saham dasar</w:t>
            </w:r>
          </w:p>
        </w:tc>
        <w:tc>
          <w:tcPr>
            <w:tcW w:w="1674" w:type="dxa"/>
            <w:shd w:val="clear" w:color="auto" w:fill="auto"/>
            <w:vAlign w:val="bottom"/>
          </w:tcPr>
          <w:p w14:paraId="37C92CB3" w14:textId="2C7AE26A" w:rsidR="002A1BFA" w:rsidRPr="00B45727" w:rsidRDefault="00B45727" w:rsidP="00B45727">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
                <w:sz w:val="18"/>
                <w:szCs w:val="18"/>
                <w:lang w:val="id-ID"/>
              </w:rPr>
            </w:pPr>
            <w:r>
              <w:rPr>
                <w:rFonts w:ascii="Times New Roman" w:hAnsi="Times New Roman" w:cs="Times New Roman"/>
                <w:b/>
                <w:sz w:val="18"/>
                <w:szCs w:val="18"/>
              </w:rPr>
              <w:t>(</w:t>
            </w:r>
            <w:r>
              <w:rPr>
                <w:rFonts w:ascii="Times New Roman" w:hAnsi="Times New Roman" w:cs="Times New Roman"/>
                <w:b/>
                <w:sz w:val="18"/>
                <w:szCs w:val="18"/>
                <w:lang w:val="id-ID"/>
              </w:rPr>
              <w:t>0,79</w:t>
            </w:r>
            <w:r w:rsidR="00FE6377" w:rsidRPr="00FE6377">
              <w:rPr>
                <w:rFonts w:ascii="Times New Roman" w:hAnsi="Times New Roman" w:cs="Times New Roman"/>
                <w:b/>
                <w:sz w:val="18"/>
                <w:szCs w:val="18"/>
              </w:rPr>
              <w:t>)</w:t>
            </w:r>
          </w:p>
        </w:tc>
        <w:tc>
          <w:tcPr>
            <w:tcW w:w="107" w:type="dxa"/>
            <w:tcBorders>
              <w:bottom w:val="nil"/>
            </w:tcBorders>
            <w:vAlign w:val="bottom"/>
          </w:tcPr>
          <w:p w14:paraId="3BC490F7" w14:textId="77777777" w:rsidR="002A1BFA" w:rsidRPr="00FE6377" w:rsidRDefault="002A1BFA"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Cs/>
                <w:sz w:val="18"/>
                <w:szCs w:val="18"/>
              </w:rPr>
            </w:pPr>
          </w:p>
        </w:tc>
        <w:tc>
          <w:tcPr>
            <w:tcW w:w="1674" w:type="dxa"/>
            <w:vAlign w:val="bottom"/>
          </w:tcPr>
          <w:p w14:paraId="7EFA2792" w14:textId="0198BAB2" w:rsidR="002A1BFA" w:rsidRPr="00610909" w:rsidRDefault="00610909" w:rsidP="002A1BFA">
            <w:pPr>
              <w:pStyle w:val="Default"/>
              <w:tabs>
                <w:tab w:val="left" w:pos="142"/>
                <w:tab w:val="left" w:pos="284"/>
                <w:tab w:val="left" w:pos="720"/>
                <w:tab w:val="left" w:pos="3402"/>
                <w:tab w:val="left" w:pos="4111"/>
                <w:tab w:val="left" w:pos="4253"/>
                <w:tab w:val="left" w:pos="4678"/>
              </w:tabs>
              <w:ind w:right="57"/>
              <w:jc w:val="right"/>
              <w:rPr>
                <w:rFonts w:ascii="Times New Roman" w:hAnsi="Times New Roman" w:cs="Times New Roman"/>
                <w:b/>
                <w:bCs/>
                <w:sz w:val="18"/>
                <w:szCs w:val="18"/>
                <w:lang w:val="id-ID"/>
              </w:rPr>
            </w:pPr>
            <w:r w:rsidRPr="00610909">
              <w:rPr>
                <w:rFonts w:ascii="Times New Roman" w:hAnsi="Times New Roman" w:cs="Times New Roman"/>
                <w:b/>
                <w:bCs/>
                <w:sz w:val="18"/>
                <w:szCs w:val="18"/>
                <w:lang w:val="id-ID"/>
              </w:rPr>
              <w:t>0.33</w:t>
            </w:r>
          </w:p>
        </w:tc>
        <w:tc>
          <w:tcPr>
            <w:tcW w:w="2850" w:type="dxa"/>
            <w:tcBorders>
              <w:bottom w:val="nil"/>
            </w:tcBorders>
          </w:tcPr>
          <w:p w14:paraId="1FD40742" w14:textId="6F716A8C" w:rsidR="002A1BFA" w:rsidRPr="00A5095A" w:rsidRDefault="002A1BFA" w:rsidP="002A1BFA">
            <w:pPr>
              <w:pStyle w:val="Default"/>
              <w:tabs>
                <w:tab w:val="left" w:pos="142"/>
                <w:tab w:val="left" w:pos="284"/>
                <w:tab w:val="left" w:pos="720"/>
                <w:tab w:val="left" w:pos="3402"/>
                <w:tab w:val="left" w:pos="4111"/>
                <w:tab w:val="left" w:pos="4253"/>
                <w:tab w:val="left" w:pos="4678"/>
              </w:tabs>
              <w:ind w:right="52"/>
              <w:jc w:val="right"/>
              <w:rPr>
                <w:rFonts w:ascii="Times New Roman" w:hAnsi="Times New Roman" w:cs="Times New Roman"/>
                <w:b/>
                <w:bCs/>
                <w:i/>
                <w:sz w:val="18"/>
                <w:szCs w:val="18"/>
              </w:rPr>
            </w:pPr>
            <w:r w:rsidRPr="00A5095A">
              <w:rPr>
                <w:rFonts w:ascii="Times New Roman" w:hAnsi="Times New Roman" w:cs="Times New Roman"/>
                <w:b/>
                <w:bCs/>
                <w:i/>
                <w:sz w:val="18"/>
                <w:szCs w:val="18"/>
              </w:rPr>
              <w:t>Basic loss per shares</w:t>
            </w:r>
          </w:p>
        </w:tc>
      </w:tr>
    </w:tbl>
    <w:p w14:paraId="55C32531" w14:textId="12AA7862" w:rsidR="00A5095A" w:rsidRDefault="00A5095A" w:rsidP="0013526B">
      <w:pPr>
        <w:jc w:val="both"/>
        <w:rPr>
          <w:sz w:val="12"/>
          <w:szCs w:val="18"/>
        </w:rPr>
      </w:pPr>
    </w:p>
    <w:p w14:paraId="30D90592" w14:textId="3A56B782" w:rsidR="00432345" w:rsidRDefault="00432345">
      <w:pPr>
        <w:rPr>
          <w:sz w:val="12"/>
          <w:szCs w:val="18"/>
        </w:rPr>
      </w:pPr>
    </w:p>
    <w:tbl>
      <w:tblPr>
        <w:tblW w:w="9197" w:type="dxa"/>
        <w:tblInd w:w="392" w:type="dxa"/>
        <w:tblLook w:val="0000" w:firstRow="0" w:lastRow="0" w:firstColumn="0" w:lastColumn="0" w:noHBand="0" w:noVBand="0"/>
      </w:tblPr>
      <w:tblGrid>
        <w:gridCol w:w="4592"/>
        <w:gridCol w:w="4591"/>
        <w:gridCol w:w="14"/>
      </w:tblGrid>
      <w:tr w:rsidR="00307877" w:rsidRPr="00525CA4" w14:paraId="23B66C4D" w14:textId="77777777" w:rsidTr="00284CA5">
        <w:tc>
          <w:tcPr>
            <w:tcW w:w="4598" w:type="dxa"/>
            <w:tcBorders>
              <w:top w:val="nil"/>
              <w:left w:val="nil"/>
              <w:bottom w:val="nil"/>
              <w:right w:val="nil"/>
            </w:tcBorders>
          </w:tcPr>
          <w:p w14:paraId="14BEB0C5" w14:textId="0AD56770" w:rsidR="00307877" w:rsidRPr="00525CA4" w:rsidRDefault="00307877" w:rsidP="00070D1F">
            <w:pPr>
              <w:numPr>
                <w:ilvl w:val="0"/>
                <w:numId w:val="390"/>
              </w:numPr>
              <w:jc w:val="both"/>
              <w:rPr>
                <w:b/>
                <w:bCs w:val="0"/>
                <w:sz w:val="18"/>
                <w:szCs w:val="18"/>
              </w:rPr>
            </w:pPr>
            <w:r w:rsidRPr="00525CA4">
              <w:rPr>
                <w:b/>
                <w:bCs w:val="0"/>
                <w:sz w:val="18"/>
                <w:szCs w:val="18"/>
              </w:rPr>
              <w:t>PE</w:t>
            </w:r>
            <w:r w:rsidR="00A5095A" w:rsidRPr="00525CA4">
              <w:rPr>
                <w:b/>
                <w:bCs w:val="0"/>
                <w:sz w:val="18"/>
                <w:szCs w:val="18"/>
              </w:rPr>
              <w:t xml:space="preserve">RJANJIAN-PERJANJIAN PENTING </w:t>
            </w:r>
          </w:p>
        </w:tc>
        <w:tc>
          <w:tcPr>
            <w:tcW w:w="4599" w:type="dxa"/>
            <w:gridSpan w:val="2"/>
            <w:tcBorders>
              <w:top w:val="nil"/>
              <w:left w:val="nil"/>
              <w:bottom w:val="nil"/>
              <w:right w:val="nil"/>
            </w:tcBorders>
          </w:tcPr>
          <w:p w14:paraId="72904510" w14:textId="27A9DA5B" w:rsidR="00307877" w:rsidRPr="00432345" w:rsidRDefault="00A5095A" w:rsidP="00070D1F">
            <w:pPr>
              <w:numPr>
                <w:ilvl w:val="0"/>
                <w:numId w:val="382"/>
              </w:numPr>
              <w:jc w:val="both"/>
              <w:rPr>
                <w:b/>
                <w:bCs w:val="0"/>
                <w:i/>
                <w:iCs/>
                <w:sz w:val="18"/>
                <w:szCs w:val="18"/>
              </w:rPr>
            </w:pPr>
            <w:r w:rsidRPr="00432345">
              <w:rPr>
                <w:b/>
                <w:bCs w:val="0"/>
                <w:i/>
                <w:iCs/>
                <w:sz w:val="18"/>
                <w:szCs w:val="18"/>
              </w:rPr>
              <w:t>SIGNIFICANTS AGREEMENTS</w:t>
            </w:r>
          </w:p>
        </w:tc>
      </w:tr>
      <w:tr w:rsidR="00307877" w:rsidRPr="005E7DC2" w14:paraId="0663E1B0" w14:textId="77777777" w:rsidTr="00284CA5">
        <w:tc>
          <w:tcPr>
            <w:tcW w:w="4598" w:type="dxa"/>
            <w:tcBorders>
              <w:top w:val="nil"/>
              <w:left w:val="nil"/>
              <w:bottom w:val="nil"/>
              <w:right w:val="nil"/>
            </w:tcBorders>
          </w:tcPr>
          <w:p w14:paraId="2865989F" w14:textId="77777777" w:rsidR="00307877" w:rsidRPr="005E7DC2" w:rsidRDefault="00307877" w:rsidP="00634E77">
            <w:pPr>
              <w:ind w:left="318"/>
              <w:jc w:val="both"/>
              <w:rPr>
                <w:sz w:val="14"/>
                <w:szCs w:val="14"/>
              </w:rPr>
            </w:pPr>
          </w:p>
        </w:tc>
        <w:tc>
          <w:tcPr>
            <w:tcW w:w="4599" w:type="dxa"/>
            <w:gridSpan w:val="2"/>
            <w:tcBorders>
              <w:top w:val="nil"/>
              <w:left w:val="nil"/>
              <w:bottom w:val="nil"/>
              <w:right w:val="nil"/>
            </w:tcBorders>
          </w:tcPr>
          <w:p w14:paraId="5C9CCCA6" w14:textId="77777777" w:rsidR="00307877" w:rsidRPr="005E7DC2" w:rsidRDefault="00307877" w:rsidP="0013526B">
            <w:pPr>
              <w:pStyle w:val="ListParagraph"/>
              <w:ind w:left="743"/>
              <w:jc w:val="both"/>
              <w:rPr>
                <w:i/>
                <w:sz w:val="14"/>
                <w:szCs w:val="14"/>
              </w:rPr>
            </w:pPr>
          </w:p>
        </w:tc>
      </w:tr>
      <w:tr w:rsidR="00307877" w:rsidRPr="0013526B" w14:paraId="2DD4918D" w14:textId="77777777" w:rsidTr="00284CA5">
        <w:trPr>
          <w:trHeight w:val="90"/>
        </w:trPr>
        <w:tc>
          <w:tcPr>
            <w:tcW w:w="4598" w:type="dxa"/>
            <w:tcBorders>
              <w:top w:val="nil"/>
              <w:left w:val="nil"/>
              <w:bottom w:val="nil"/>
              <w:right w:val="nil"/>
            </w:tcBorders>
          </w:tcPr>
          <w:p w14:paraId="40D5C733" w14:textId="19988CF9" w:rsidR="00307877" w:rsidRPr="00634E77" w:rsidRDefault="00634E77" w:rsidP="00634E77">
            <w:pPr>
              <w:pStyle w:val="ListParagraph"/>
              <w:ind w:left="318" w:right="-57"/>
              <w:jc w:val="both"/>
              <w:rPr>
                <w:sz w:val="18"/>
                <w:szCs w:val="18"/>
                <w:u w:val="single"/>
              </w:rPr>
            </w:pPr>
            <w:r>
              <w:rPr>
                <w:sz w:val="18"/>
                <w:szCs w:val="18"/>
                <w:u w:val="single"/>
              </w:rPr>
              <w:t>Perusahaan</w:t>
            </w:r>
          </w:p>
        </w:tc>
        <w:tc>
          <w:tcPr>
            <w:tcW w:w="4599" w:type="dxa"/>
            <w:gridSpan w:val="2"/>
            <w:tcBorders>
              <w:top w:val="nil"/>
              <w:left w:val="nil"/>
              <w:bottom w:val="nil"/>
              <w:right w:val="nil"/>
            </w:tcBorders>
          </w:tcPr>
          <w:p w14:paraId="6447B416" w14:textId="0C64EFE5" w:rsidR="00307877" w:rsidRPr="00634E77" w:rsidRDefault="00634E77" w:rsidP="0013526B">
            <w:pPr>
              <w:pStyle w:val="ListParagraph"/>
              <w:tabs>
                <w:tab w:val="right" w:pos="9340"/>
                <w:tab w:val="right" w:pos="10080"/>
              </w:tabs>
              <w:ind w:left="284" w:right="-57"/>
              <w:jc w:val="both"/>
              <w:rPr>
                <w:i/>
                <w:sz w:val="18"/>
                <w:szCs w:val="18"/>
                <w:u w:val="single"/>
              </w:rPr>
            </w:pPr>
            <w:r>
              <w:rPr>
                <w:i/>
                <w:sz w:val="18"/>
                <w:szCs w:val="18"/>
                <w:u w:val="single"/>
              </w:rPr>
              <w:t>Company</w:t>
            </w:r>
          </w:p>
        </w:tc>
      </w:tr>
      <w:tr w:rsidR="001420D9" w:rsidRPr="0013526B" w14:paraId="162E8E08" w14:textId="77777777" w:rsidTr="00284CA5">
        <w:trPr>
          <w:trHeight w:val="90"/>
        </w:trPr>
        <w:tc>
          <w:tcPr>
            <w:tcW w:w="4598" w:type="dxa"/>
            <w:tcBorders>
              <w:top w:val="nil"/>
              <w:left w:val="nil"/>
              <w:bottom w:val="nil"/>
              <w:right w:val="nil"/>
            </w:tcBorders>
          </w:tcPr>
          <w:p w14:paraId="29AC46E4" w14:textId="77777777" w:rsidR="001420D9" w:rsidRPr="001420D9" w:rsidRDefault="001420D9" w:rsidP="00634E77">
            <w:pPr>
              <w:pStyle w:val="ListParagraph"/>
              <w:ind w:left="318" w:right="-57"/>
              <w:jc w:val="both"/>
              <w:rPr>
                <w:sz w:val="12"/>
                <w:szCs w:val="12"/>
                <w:u w:val="single"/>
              </w:rPr>
            </w:pPr>
          </w:p>
        </w:tc>
        <w:tc>
          <w:tcPr>
            <w:tcW w:w="4599" w:type="dxa"/>
            <w:gridSpan w:val="2"/>
            <w:tcBorders>
              <w:top w:val="nil"/>
              <w:left w:val="nil"/>
              <w:bottom w:val="nil"/>
              <w:right w:val="nil"/>
            </w:tcBorders>
          </w:tcPr>
          <w:p w14:paraId="5128681A" w14:textId="77777777" w:rsidR="001420D9" w:rsidRPr="001420D9" w:rsidRDefault="001420D9" w:rsidP="0013526B">
            <w:pPr>
              <w:pStyle w:val="ListParagraph"/>
              <w:tabs>
                <w:tab w:val="right" w:pos="9340"/>
                <w:tab w:val="right" w:pos="10080"/>
              </w:tabs>
              <w:ind w:left="284" w:right="-57"/>
              <w:jc w:val="both"/>
              <w:rPr>
                <w:i/>
                <w:sz w:val="12"/>
                <w:szCs w:val="12"/>
                <w:u w:val="single"/>
              </w:rPr>
            </w:pPr>
          </w:p>
        </w:tc>
      </w:tr>
      <w:tr w:rsidR="001420D9" w:rsidRPr="0013526B" w14:paraId="345EDD6F" w14:textId="77777777" w:rsidTr="00284CA5">
        <w:trPr>
          <w:gridAfter w:val="1"/>
          <w:wAfter w:w="14" w:type="dxa"/>
          <w:trHeight w:val="90"/>
        </w:trPr>
        <w:tc>
          <w:tcPr>
            <w:tcW w:w="4599" w:type="dxa"/>
            <w:tcBorders>
              <w:top w:val="nil"/>
              <w:left w:val="nil"/>
              <w:bottom w:val="nil"/>
              <w:right w:val="nil"/>
            </w:tcBorders>
          </w:tcPr>
          <w:p w14:paraId="03C615B3" w14:textId="3C5FBE3B" w:rsidR="001420D9" w:rsidRPr="00547983" w:rsidRDefault="001420D9" w:rsidP="002C6EE3">
            <w:pPr>
              <w:pStyle w:val="ListParagraph"/>
              <w:ind w:left="318" w:right="-57"/>
              <w:jc w:val="both"/>
              <w:rPr>
                <w:sz w:val="17"/>
                <w:highlight w:val="cyan"/>
              </w:rPr>
            </w:pPr>
            <w:r w:rsidRPr="00D70683">
              <w:rPr>
                <w:sz w:val="17"/>
              </w:rPr>
              <w:t xml:space="preserve">Pada tanggal </w:t>
            </w:r>
            <w:r>
              <w:rPr>
                <w:sz w:val="17"/>
              </w:rPr>
              <w:t>16</w:t>
            </w:r>
            <w:r w:rsidRPr="00D70683">
              <w:rPr>
                <w:sz w:val="17"/>
              </w:rPr>
              <w:t xml:space="preserve"> </w:t>
            </w:r>
            <w:r>
              <w:rPr>
                <w:sz w:val="17"/>
              </w:rPr>
              <w:t>Oktober</w:t>
            </w:r>
            <w:r w:rsidRPr="00D70683">
              <w:rPr>
                <w:sz w:val="17"/>
              </w:rPr>
              <w:t xml:space="preserve"> 201</w:t>
            </w:r>
            <w:r>
              <w:rPr>
                <w:sz w:val="17"/>
              </w:rPr>
              <w:t>9</w:t>
            </w:r>
            <w:r w:rsidR="00305CA0">
              <w:rPr>
                <w:sz w:val="17"/>
              </w:rPr>
              <w:t>.</w:t>
            </w:r>
            <w:r w:rsidRPr="00D70683">
              <w:rPr>
                <w:sz w:val="17"/>
              </w:rPr>
              <w:t xml:space="preserve"> </w:t>
            </w:r>
            <w:proofErr w:type="gramStart"/>
            <w:r w:rsidRPr="00D70683">
              <w:rPr>
                <w:sz w:val="17"/>
              </w:rPr>
              <w:t>berdasarkan</w:t>
            </w:r>
            <w:proofErr w:type="gramEnd"/>
            <w:r w:rsidRPr="00D70683">
              <w:rPr>
                <w:sz w:val="17"/>
              </w:rPr>
              <w:t xml:space="preserve"> </w:t>
            </w:r>
            <w:r>
              <w:rPr>
                <w:sz w:val="17"/>
              </w:rPr>
              <w:br/>
            </w:r>
            <w:r w:rsidRPr="00D70683">
              <w:rPr>
                <w:sz w:val="17"/>
              </w:rPr>
              <w:t xml:space="preserve">perjanjian No. </w:t>
            </w:r>
            <w:r>
              <w:rPr>
                <w:sz w:val="17"/>
              </w:rPr>
              <w:t>002/PKS/PT-SRAJ/XI/2019</w:t>
            </w:r>
            <w:r w:rsidR="00305CA0">
              <w:rPr>
                <w:sz w:val="17"/>
              </w:rPr>
              <w:t>.</w:t>
            </w:r>
            <w:r w:rsidRPr="00D70683">
              <w:rPr>
                <w:sz w:val="17"/>
              </w:rPr>
              <w:t xml:space="preserve"> Perusahaan mengadakan perjanjian kerjasama dengan </w:t>
            </w:r>
            <w:r>
              <w:rPr>
                <w:sz w:val="17"/>
              </w:rPr>
              <w:t>PT Tawada Healthcare</w:t>
            </w:r>
            <w:r w:rsidRPr="00D70683">
              <w:rPr>
                <w:sz w:val="17"/>
              </w:rPr>
              <w:t xml:space="preserve"> dalam hal </w:t>
            </w:r>
            <w:r>
              <w:rPr>
                <w:sz w:val="17"/>
              </w:rPr>
              <w:t>pembelian alat kesehatan endoscopy dengan harga Rp 2.541.023.465 sudah termasuk PPN.</w:t>
            </w:r>
            <w:r w:rsidRPr="00D70683">
              <w:rPr>
                <w:i/>
                <w:iCs/>
                <w:sz w:val="17"/>
              </w:rPr>
              <w:t xml:space="preserve"> </w:t>
            </w:r>
          </w:p>
        </w:tc>
        <w:tc>
          <w:tcPr>
            <w:tcW w:w="4598" w:type="dxa"/>
            <w:tcBorders>
              <w:top w:val="nil"/>
              <w:left w:val="nil"/>
              <w:bottom w:val="nil"/>
              <w:right w:val="nil"/>
            </w:tcBorders>
          </w:tcPr>
          <w:p w14:paraId="613B209C" w14:textId="1513C6BA" w:rsidR="001420D9" w:rsidRPr="001420D9" w:rsidRDefault="001420D9" w:rsidP="002C6EE3">
            <w:pPr>
              <w:pStyle w:val="ListParagraph"/>
              <w:tabs>
                <w:tab w:val="right" w:pos="9340"/>
                <w:tab w:val="right" w:pos="10080"/>
              </w:tabs>
              <w:ind w:left="284" w:right="-57"/>
              <w:jc w:val="both"/>
              <w:rPr>
                <w:i/>
                <w:sz w:val="17"/>
              </w:rPr>
            </w:pPr>
            <w:r w:rsidRPr="001420D9">
              <w:rPr>
                <w:i/>
                <w:sz w:val="17"/>
              </w:rPr>
              <w:t>On October 16</w:t>
            </w:r>
            <w:r w:rsidR="00305CA0">
              <w:rPr>
                <w:i/>
                <w:sz w:val="17"/>
              </w:rPr>
              <w:t>.</w:t>
            </w:r>
            <w:r w:rsidRPr="001420D9">
              <w:rPr>
                <w:i/>
                <w:sz w:val="17"/>
              </w:rPr>
              <w:t xml:space="preserve"> 2019</w:t>
            </w:r>
            <w:r w:rsidR="00305CA0">
              <w:rPr>
                <w:i/>
                <w:sz w:val="17"/>
              </w:rPr>
              <w:t>.</w:t>
            </w:r>
            <w:r w:rsidRPr="001420D9">
              <w:rPr>
                <w:i/>
                <w:sz w:val="17"/>
              </w:rPr>
              <w:t xml:space="preserve"> based</w:t>
            </w:r>
            <w:r>
              <w:rPr>
                <w:i/>
                <w:sz w:val="17"/>
              </w:rPr>
              <w:t xml:space="preserve"> </w:t>
            </w:r>
            <w:r w:rsidRPr="001420D9">
              <w:rPr>
                <w:i/>
                <w:sz w:val="17"/>
              </w:rPr>
              <w:t xml:space="preserve">agreement </w:t>
            </w:r>
            <w:r>
              <w:rPr>
                <w:i/>
                <w:sz w:val="17"/>
              </w:rPr>
              <w:br/>
            </w:r>
            <w:r w:rsidRPr="001420D9">
              <w:rPr>
                <w:i/>
                <w:sz w:val="17"/>
              </w:rPr>
              <w:t>No. 002 / PKS / PT-SRAJ / XI / 2019</w:t>
            </w:r>
            <w:r w:rsidR="00305CA0">
              <w:rPr>
                <w:i/>
                <w:sz w:val="17"/>
              </w:rPr>
              <w:t>.</w:t>
            </w:r>
            <w:r w:rsidRPr="001420D9">
              <w:rPr>
                <w:i/>
                <w:sz w:val="17"/>
              </w:rPr>
              <w:t xml:space="preserve"> </w:t>
            </w:r>
            <w:proofErr w:type="gramStart"/>
            <w:r w:rsidRPr="001420D9">
              <w:rPr>
                <w:i/>
                <w:sz w:val="17"/>
              </w:rPr>
              <w:t>the</w:t>
            </w:r>
            <w:proofErr w:type="gramEnd"/>
            <w:r w:rsidRPr="001420D9">
              <w:rPr>
                <w:i/>
                <w:sz w:val="17"/>
              </w:rPr>
              <w:t xml:space="preserve"> Company entered into a cooperation agreement with PT Tawada Healthcare in the case of purchasing endoscopy medical devices at a price of Rp 2</w:t>
            </w:r>
            <w:r w:rsidR="00305CA0">
              <w:rPr>
                <w:i/>
                <w:sz w:val="17"/>
              </w:rPr>
              <w:t>.</w:t>
            </w:r>
            <w:r w:rsidRPr="001420D9">
              <w:rPr>
                <w:i/>
                <w:sz w:val="17"/>
              </w:rPr>
              <w:t>541</w:t>
            </w:r>
            <w:r w:rsidR="00305CA0">
              <w:rPr>
                <w:i/>
                <w:sz w:val="17"/>
              </w:rPr>
              <w:t>.</w:t>
            </w:r>
            <w:r w:rsidRPr="001420D9">
              <w:rPr>
                <w:i/>
                <w:sz w:val="17"/>
              </w:rPr>
              <w:t>023</w:t>
            </w:r>
            <w:r w:rsidR="00305CA0">
              <w:rPr>
                <w:i/>
                <w:sz w:val="17"/>
              </w:rPr>
              <w:t>.</w:t>
            </w:r>
            <w:r w:rsidRPr="001420D9">
              <w:rPr>
                <w:i/>
                <w:sz w:val="17"/>
              </w:rPr>
              <w:t>465 including VAT.</w:t>
            </w:r>
          </w:p>
        </w:tc>
      </w:tr>
      <w:tr w:rsidR="001420D9" w:rsidRPr="001420D9" w14:paraId="5142A5A2" w14:textId="77777777" w:rsidTr="00284CA5">
        <w:trPr>
          <w:gridAfter w:val="1"/>
          <w:wAfter w:w="14" w:type="dxa"/>
          <w:trHeight w:val="90"/>
        </w:trPr>
        <w:tc>
          <w:tcPr>
            <w:tcW w:w="4599" w:type="dxa"/>
            <w:tcBorders>
              <w:top w:val="nil"/>
              <w:left w:val="nil"/>
              <w:bottom w:val="nil"/>
              <w:right w:val="nil"/>
            </w:tcBorders>
          </w:tcPr>
          <w:p w14:paraId="35571011" w14:textId="77777777" w:rsidR="001420D9" w:rsidRPr="001420D9" w:rsidRDefault="001420D9" w:rsidP="001420D9">
            <w:pPr>
              <w:pStyle w:val="ListParagraph"/>
              <w:ind w:left="318" w:right="-57"/>
              <w:jc w:val="both"/>
              <w:rPr>
                <w:sz w:val="12"/>
                <w:szCs w:val="12"/>
              </w:rPr>
            </w:pPr>
          </w:p>
        </w:tc>
        <w:tc>
          <w:tcPr>
            <w:tcW w:w="4598" w:type="dxa"/>
            <w:tcBorders>
              <w:top w:val="nil"/>
              <w:left w:val="nil"/>
              <w:bottom w:val="nil"/>
              <w:right w:val="nil"/>
            </w:tcBorders>
          </w:tcPr>
          <w:p w14:paraId="68103809" w14:textId="77777777" w:rsidR="001420D9" w:rsidRPr="001420D9" w:rsidRDefault="001420D9" w:rsidP="001420D9">
            <w:pPr>
              <w:pStyle w:val="ListParagraph"/>
              <w:tabs>
                <w:tab w:val="right" w:pos="9340"/>
                <w:tab w:val="right" w:pos="10080"/>
              </w:tabs>
              <w:ind w:left="284" w:right="-57"/>
              <w:jc w:val="both"/>
              <w:rPr>
                <w:i/>
                <w:sz w:val="12"/>
                <w:szCs w:val="12"/>
              </w:rPr>
            </w:pPr>
          </w:p>
        </w:tc>
      </w:tr>
      <w:tr w:rsidR="001420D9" w:rsidRPr="0013526B" w14:paraId="35E2BBD3" w14:textId="77777777" w:rsidTr="00284CA5">
        <w:trPr>
          <w:trHeight w:val="90"/>
        </w:trPr>
        <w:tc>
          <w:tcPr>
            <w:tcW w:w="4599" w:type="dxa"/>
            <w:tcBorders>
              <w:top w:val="nil"/>
              <w:left w:val="nil"/>
              <w:bottom w:val="nil"/>
              <w:right w:val="nil"/>
            </w:tcBorders>
          </w:tcPr>
          <w:p w14:paraId="29633C26" w14:textId="477F376B" w:rsidR="001420D9" w:rsidRPr="00547983" w:rsidRDefault="001420D9" w:rsidP="002C6EE3">
            <w:pPr>
              <w:pStyle w:val="ListParagraph"/>
              <w:ind w:left="318" w:right="-57"/>
              <w:jc w:val="both"/>
              <w:rPr>
                <w:sz w:val="17"/>
                <w:highlight w:val="cyan"/>
              </w:rPr>
            </w:pPr>
            <w:r w:rsidRPr="00D70683">
              <w:rPr>
                <w:sz w:val="17"/>
              </w:rPr>
              <w:t xml:space="preserve">Pada tanggal </w:t>
            </w:r>
            <w:r>
              <w:rPr>
                <w:sz w:val="17"/>
              </w:rPr>
              <w:t>27</w:t>
            </w:r>
            <w:r w:rsidRPr="00D70683">
              <w:rPr>
                <w:sz w:val="17"/>
              </w:rPr>
              <w:t xml:space="preserve"> </w:t>
            </w:r>
            <w:r>
              <w:rPr>
                <w:sz w:val="17"/>
              </w:rPr>
              <w:t>September</w:t>
            </w:r>
            <w:r w:rsidRPr="00D70683">
              <w:rPr>
                <w:sz w:val="17"/>
              </w:rPr>
              <w:t xml:space="preserve"> 201</w:t>
            </w:r>
            <w:r>
              <w:rPr>
                <w:sz w:val="17"/>
              </w:rPr>
              <w:t>9</w:t>
            </w:r>
            <w:r w:rsidR="00305CA0">
              <w:rPr>
                <w:sz w:val="17"/>
              </w:rPr>
              <w:t>.</w:t>
            </w:r>
            <w:r w:rsidRPr="00D70683">
              <w:rPr>
                <w:sz w:val="17"/>
              </w:rPr>
              <w:t xml:space="preserve"> </w:t>
            </w:r>
            <w:proofErr w:type="gramStart"/>
            <w:r w:rsidRPr="00D70683">
              <w:rPr>
                <w:sz w:val="17"/>
              </w:rPr>
              <w:t>berdasarkan</w:t>
            </w:r>
            <w:proofErr w:type="gramEnd"/>
            <w:r w:rsidRPr="00D70683">
              <w:rPr>
                <w:sz w:val="17"/>
              </w:rPr>
              <w:t xml:space="preserve"> </w:t>
            </w:r>
            <w:r>
              <w:rPr>
                <w:sz w:val="17"/>
              </w:rPr>
              <w:br/>
            </w:r>
            <w:r w:rsidRPr="00D70683">
              <w:rPr>
                <w:sz w:val="17"/>
              </w:rPr>
              <w:t xml:space="preserve">perjanjian No. </w:t>
            </w:r>
            <w:r>
              <w:rPr>
                <w:sz w:val="17"/>
              </w:rPr>
              <w:t>MSA/ER/2019/01/50093 - RE1</w:t>
            </w:r>
            <w:r w:rsidR="00305CA0">
              <w:rPr>
                <w:sz w:val="17"/>
              </w:rPr>
              <w:t>.</w:t>
            </w:r>
            <w:r w:rsidRPr="00D70683">
              <w:rPr>
                <w:sz w:val="17"/>
              </w:rPr>
              <w:t xml:space="preserve"> Perusahaan mengadakan perjanjian kerjasama dengan </w:t>
            </w:r>
            <w:r>
              <w:rPr>
                <w:sz w:val="17"/>
              </w:rPr>
              <w:t>PT GE Operations Indonesia</w:t>
            </w:r>
            <w:r w:rsidRPr="00D70683">
              <w:rPr>
                <w:sz w:val="17"/>
              </w:rPr>
              <w:t xml:space="preserve"> dalam hal </w:t>
            </w:r>
            <w:r>
              <w:rPr>
                <w:sz w:val="17"/>
              </w:rPr>
              <w:t>pemeliharaan dan jasa untuk 1</w:t>
            </w:r>
            <w:r w:rsidR="00305CA0">
              <w:rPr>
                <w:sz w:val="17"/>
              </w:rPr>
              <w:t>.</w:t>
            </w:r>
            <w:r>
              <w:rPr>
                <w:sz w:val="17"/>
              </w:rPr>
              <w:t>5 HDXT Echospeed/Explore Lift dan AW VS7</w:t>
            </w:r>
            <w:r w:rsidRPr="00D70683">
              <w:rPr>
                <w:i/>
                <w:iCs/>
                <w:sz w:val="17"/>
              </w:rPr>
              <w:t xml:space="preserve">. </w:t>
            </w:r>
            <w:r w:rsidRPr="00D70683">
              <w:rPr>
                <w:sz w:val="17"/>
              </w:rPr>
              <w:t xml:space="preserve">Perjanjian ini berlaku untuk jangka waktu </w:t>
            </w:r>
            <w:r>
              <w:rPr>
                <w:sz w:val="17"/>
              </w:rPr>
              <w:t>lima</w:t>
            </w:r>
            <w:r w:rsidRPr="00D70683">
              <w:rPr>
                <w:sz w:val="17"/>
              </w:rPr>
              <w:t xml:space="preserve"> tahun </w:t>
            </w:r>
            <w:proofErr w:type="gramStart"/>
            <w:r w:rsidRPr="00D70683">
              <w:rPr>
                <w:sz w:val="17"/>
              </w:rPr>
              <w:t>yang  berakhir</w:t>
            </w:r>
            <w:proofErr w:type="gramEnd"/>
            <w:r w:rsidRPr="00D70683">
              <w:rPr>
                <w:sz w:val="17"/>
              </w:rPr>
              <w:t xml:space="preserve">  pada  tanggal  </w:t>
            </w:r>
            <w:r>
              <w:rPr>
                <w:sz w:val="17"/>
              </w:rPr>
              <w:t xml:space="preserve">26 September </w:t>
            </w:r>
            <w:r w:rsidRPr="00D70683">
              <w:rPr>
                <w:sz w:val="17"/>
              </w:rPr>
              <w:t>202</w:t>
            </w:r>
            <w:r>
              <w:rPr>
                <w:sz w:val="17"/>
              </w:rPr>
              <w:t>4</w:t>
            </w:r>
            <w:r w:rsidRPr="00D70683">
              <w:rPr>
                <w:sz w:val="17"/>
              </w:rPr>
              <w:t>.</w:t>
            </w:r>
          </w:p>
        </w:tc>
        <w:tc>
          <w:tcPr>
            <w:tcW w:w="4598" w:type="dxa"/>
            <w:gridSpan w:val="2"/>
            <w:tcBorders>
              <w:top w:val="nil"/>
              <w:left w:val="nil"/>
              <w:bottom w:val="nil"/>
              <w:right w:val="nil"/>
            </w:tcBorders>
          </w:tcPr>
          <w:p w14:paraId="5F074B5B" w14:textId="603DE1A3" w:rsidR="001420D9" w:rsidRPr="00547983" w:rsidRDefault="001420D9" w:rsidP="00026751">
            <w:pPr>
              <w:pStyle w:val="ListParagraph"/>
              <w:tabs>
                <w:tab w:val="right" w:pos="9340"/>
                <w:tab w:val="right" w:pos="10080"/>
              </w:tabs>
              <w:ind w:left="284" w:right="-57"/>
              <w:jc w:val="both"/>
              <w:rPr>
                <w:i/>
                <w:sz w:val="17"/>
                <w:highlight w:val="cyan"/>
              </w:rPr>
            </w:pPr>
            <w:proofErr w:type="gramStart"/>
            <w:r w:rsidRPr="00D70683">
              <w:rPr>
                <w:i/>
                <w:sz w:val="17"/>
              </w:rPr>
              <w:t xml:space="preserve">On  </w:t>
            </w:r>
            <w:r>
              <w:rPr>
                <w:i/>
                <w:sz w:val="17"/>
              </w:rPr>
              <w:t>September</w:t>
            </w:r>
            <w:proofErr w:type="gramEnd"/>
            <w:r w:rsidRPr="00D70683">
              <w:rPr>
                <w:i/>
                <w:sz w:val="17"/>
              </w:rPr>
              <w:t xml:space="preserve"> </w:t>
            </w:r>
            <w:r>
              <w:rPr>
                <w:i/>
                <w:sz w:val="17"/>
              </w:rPr>
              <w:t>27</w:t>
            </w:r>
            <w:r w:rsidR="00305CA0">
              <w:rPr>
                <w:i/>
                <w:sz w:val="17"/>
              </w:rPr>
              <w:t>.</w:t>
            </w:r>
            <w:r w:rsidRPr="00D70683">
              <w:rPr>
                <w:i/>
                <w:sz w:val="17"/>
              </w:rPr>
              <w:t xml:space="preserve">  201</w:t>
            </w:r>
            <w:r>
              <w:rPr>
                <w:i/>
                <w:sz w:val="17"/>
              </w:rPr>
              <w:t>9</w:t>
            </w:r>
            <w:r w:rsidR="00870FD0">
              <w:rPr>
                <w:i/>
                <w:sz w:val="17"/>
              </w:rPr>
              <w:t>.</w:t>
            </w:r>
            <w:r w:rsidRPr="00D70683">
              <w:rPr>
                <w:i/>
                <w:sz w:val="17"/>
              </w:rPr>
              <w:t xml:space="preserve">  </w:t>
            </w:r>
            <w:proofErr w:type="gramStart"/>
            <w:r w:rsidRPr="00D70683">
              <w:rPr>
                <w:i/>
                <w:sz w:val="17"/>
              </w:rPr>
              <w:t>based  on</w:t>
            </w:r>
            <w:proofErr w:type="gramEnd"/>
            <w:r w:rsidRPr="00D70683">
              <w:rPr>
                <w:i/>
                <w:sz w:val="17"/>
              </w:rPr>
              <w:t xml:space="preserve">  agreement </w:t>
            </w:r>
            <w:r>
              <w:rPr>
                <w:i/>
                <w:sz w:val="17"/>
              </w:rPr>
              <w:br/>
            </w:r>
            <w:r w:rsidRPr="00AB6035">
              <w:rPr>
                <w:i/>
                <w:iCs/>
                <w:sz w:val="17"/>
              </w:rPr>
              <w:t>No. MSA/ER/2019/01/50093 - RE1</w:t>
            </w:r>
            <w:r w:rsidR="00305CA0">
              <w:rPr>
                <w:i/>
                <w:sz w:val="17"/>
              </w:rPr>
              <w:t>.</w:t>
            </w:r>
            <w:r w:rsidRPr="00D70683">
              <w:rPr>
                <w:i/>
                <w:sz w:val="17"/>
              </w:rPr>
              <w:t xml:space="preserve"> </w:t>
            </w:r>
            <w:proofErr w:type="gramStart"/>
            <w:r w:rsidRPr="00D70683">
              <w:rPr>
                <w:i/>
                <w:sz w:val="17"/>
              </w:rPr>
              <w:t>the</w:t>
            </w:r>
            <w:proofErr w:type="gramEnd"/>
            <w:r w:rsidRPr="00D70683">
              <w:rPr>
                <w:i/>
                <w:sz w:val="17"/>
              </w:rPr>
              <w:t xml:space="preserve"> Company entered into an agreement with </w:t>
            </w:r>
            <w:r>
              <w:rPr>
                <w:i/>
                <w:iCs/>
                <w:sz w:val="17"/>
              </w:rPr>
              <w:t>PT GE Operations Indonesia</w:t>
            </w:r>
            <w:r w:rsidRPr="00D70683">
              <w:rPr>
                <w:i/>
                <w:sz w:val="17"/>
              </w:rPr>
              <w:t xml:space="preserve"> to providing </w:t>
            </w:r>
            <w:r>
              <w:rPr>
                <w:i/>
                <w:sz w:val="17"/>
              </w:rPr>
              <w:t xml:space="preserve">maintenance services for </w:t>
            </w:r>
            <w:r w:rsidRPr="00AB6035">
              <w:rPr>
                <w:i/>
                <w:sz w:val="17"/>
              </w:rPr>
              <w:t>1</w:t>
            </w:r>
            <w:r w:rsidR="00870FD0">
              <w:rPr>
                <w:i/>
                <w:sz w:val="17"/>
              </w:rPr>
              <w:t>.</w:t>
            </w:r>
            <w:r w:rsidRPr="00AB6035">
              <w:rPr>
                <w:i/>
                <w:sz w:val="17"/>
              </w:rPr>
              <w:t>5 HDXT Echospeed/Explore Lift dan AW VS7</w:t>
            </w:r>
            <w:r w:rsidRPr="00D70683">
              <w:rPr>
                <w:i/>
                <w:sz w:val="17"/>
              </w:rPr>
              <w:t xml:space="preserve">. The agreement is valid for a period of </w:t>
            </w:r>
            <w:r>
              <w:rPr>
                <w:i/>
                <w:sz w:val="17"/>
              </w:rPr>
              <w:t>five</w:t>
            </w:r>
            <w:r w:rsidRPr="00D70683">
              <w:rPr>
                <w:i/>
                <w:sz w:val="17"/>
              </w:rPr>
              <w:t xml:space="preserve"> years ended </w:t>
            </w:r>
            <w:r>
              <w:rPr>
                <w:i/>
                <w:sz w:val="17"/>
              </w:rPr>
              <w:t>September</w:t>
            </w:r>
            <w:r w:rsidRPr="00D70683">
              <w:rPr>
                <w:i/>
                <w:sz w:val="17"/>
              </w:rPr>
              <w:t xml:space="preserve"> </w:t>
            </w:r>
            <w:r>
              <w:rPr>
                <w:i/>
                <w:sz w:val="17"/>
              </w:rPr>
              <w:t>26</w:t>
            </w:r>
            <w:r w:rsidR="00305CA0">
              <w:rPr>
                <w:i/>
                <w:sz w:val="17"/>
              </w:rPr>
              <w:t>.</w:t>
            </w:r>
            <w:r w:rsidRPr="00D70683">
              <w:rPr>
                <w:i/>
                <w:spacing w:val="-1"/>
                <w:sz w:val="17"/>
              </w:rPr>
              <w:t xml:space="preserve"> </w:t>
            </w:r>
            <w:r w:rsidRPr="00D70683">
              <w:rPr>
                <w:i/>
                <w:sz w:val="17"/>
              </w:rPr>
              <w:t>202</w:t>
            </w:r>
            <w:r>
              <w:rPr>
                <w:i/>
                <w:sz w:val="17"/>
              </w:rPr>
              <w:t>4</w:t>
            </w:r>
            <w:r w:rsidRPr="00D70683">
              <w:rPr>
                <w:i/>
                <w:sz w:val="17"/>
              </w:rPr>
              <w:t>.</w:t>
            </w:r>
          </w:p>
        </w:tc>
      </w:tr>
    </w:tbl>
    <w:p w14:paraId="325C1F1E" w14:textId="55F41542" w:rsidR="002001B2" w:rsidRPr="00BA06A0" w:rsidRDefault="002001B2">
      <w:pPr>
        <w:rPr>
          <w:sz w:val="14"/>
          <w:szCs w:val="14"/>
        </w:rPr>
      </w:pPr>
    </w:p>
    <w:tbl>
      <w:tblPr>
        <w:tblW w:w="9197" w:type="dxa"/>
        <w:tblInd w:w="392" w:type="dxa"/>
        <w:tblLook w:val="0000" w:firstRow="0" w:lastRow="0" w:firstColumn="0" w:lastColumn="0" w:noHBand="0" w:noVBand="0"/>
      </w:tblPr>
      <w:tblGrid>
        <w:gridCol w:w="4592"/>
        <w:gridCol w:w="4591"/>
        <w:gridCol w:w="14"/>
      </w:tblGrid>
      <w:tr w:rsidR="001420D9" w:rsidRPr="0013526B" w14:paraId="1A852C6A" w14:textId="77777777" w:rsidTr="001420D9">
        <w:trPr>
          <w:trHeight w:val="90"/>
        </w:trPr>
        <w:tc>
          <w:tcPr>
            <w:tcW w:w="4592" w:type="dxa"/>
            <w:tcBorders>
              <w:top w:val="nil"/>
              <w:left w:val="nil"/>
              <w:bottom w:val="nil"/>
              <w:right w:val="nil"/>
            </w:tcBorders>
          </w:tcPr>
          <w:p w14:paraId="7DE988F5" w14:textId="45FBF6FD" w:rsidR="001420D9" w:rsidRPr="00432345" w:rsidRDefault="001420D9" w:rsidP="0068130A">
            <w:pPr>
              <w:pStyle w:val="ListParagraph"/>
              <w:ind w:left="318" w:right="-57"/>
              <w:jc w:val="both"/>
              <w:rPr>
                <w:sz w:val="18"/>
                <w:szCs w:val="18"/>
                <w:u w:val="single"/>
              </w:rPr>
            </w:pPr>
            <w:r w:rsidRPr="00432345">
              <w:rPr>
                <w:sz w:val="17"/>
              </w:rPr>
              <w:t>Pada tanggal 30 Juli 2019</w:t>
            </w:r>
            <w:r w:rsidR="00870FD0">
              <w:rPr>
                <w:sz w:val="17"/>
              </w:rPr>
              <w:t>.</w:t>
            </w:r>
            <w:r w:rsidRPr="00432345">
              <w:rPr>
                <w:sz w:val="17"/>
              </w:rPr>
              <w:t xml:space="preserve"> </w:t>
            </w:r>
            <w:proofErr w:type="gramStart"/>
            <w:r w:rsidRPr="00432345">
              <w:rPr>
                <w:sz w:val="17"/>
              </w:rPr>
              <w:t>berdasarkan</w:t>
            </w:r>
            <w:proofErr w:type="gramEnd"/>
            <w:r w:rsidRPr="00432345">
              <w:rPr>
                <w:sz w:val="17"/>
              </w:rPr>
              <w:t xml:space="preserve"> perjanjian </w:t>
            </w:r>
            <w:r>
              <w:rPr>
                <w:sz w:val="17"/>
              </w:rPr>
              <w:br/>
            </w:r>
            <w:r w:rsidRPr="00432345">
              <w:rPr>
                <w:sz w:val="17"/>
              </w:rPr>
              <w:t>No. 007/PKS/PT-SRAJ/VII/2019</w:t>
            </w:r>
            <w:r w:rsidR="00305CA0">
              <w:rPr>
                <w:sz w:val="17"/>
              </w:rPr>
              <w:t>.</w:t>
            </w:r>
            <w:r w:rsidRPr="00432345">
              <w:rPr>
                <w:sz w:val="17"/>
              </w:rPr>
              <w:t xml:space="preserve"> Perusahaan mengadakan perjanjian kerjasama dalam hal sewa menyewa ruang untuk mesin Anjungan Tunai Mandiri “ATM” PT Bank Central Asia</w:t>
            </w:r>
            <w:r w:rsidR="00305CA0">
              <w:rPr>
                <w:sz w:val="17"/>
              </w:rPr>
              <w:t>.</w:t>
            </w:r>
            <w:r w:rsidRPr="00432345">
              <w:rPr>
                <w:sz w:val="17"/>
              </w:rPr>
              <w:t xml:space="preserve"> Tbk. Perjanjian ini berlaku untuk jangka waktu 2 dua tahun yang berakhir pada tanggal 14 Juli 2021.</w:t>
            </w:r>
          </w:p>
        </w:tc>
        <w:tc>
          <w:tcPr>
            <w:tcW w:w="4605" w:type="dxa"/>
            <w:gridSpan w:val="2"/>
            <w:tcBorders>
              <w:top w:val="nil"/>
              <w:left w:val="nil"/>
              <w:bottom w:val="nil"/>
              <w:right w:val="nil"/>
            </w:tcBorders>
          </w:tcPr>
          <w:p w14:paraId="03381B8A" w14:textId="1EDF0620" w:rsidR="001420D9" w:rsidRDefault="001420D9" w:rsidP="0068130A">
            <w:pPr>
              <w:pStyle w:val="ListParagraph"/>
              <w:tabs>
                <w:tab w:val="right" w:pos="9340"/>
                <w:tab w:val="right" w:pos="10080"/>
              </w:tabs>
              <w:ind w:left="284" w:right="-57"/>
              <w:jc w:val="both"/>
              <w:rPr>
                <w:i/>
                <w:sz w:val="18"/>
                <w:szCs w:val="18"/>
                <w:u w:val="single"/>
              </w:rPr>
            </w:pPr>
            <w:r w:rsidRPr="00432345">
              <w:rPr>
                <w:i/>
                <w:sz w:val="17"/>
              </w:rPr>
              <w:t xml:space="preserve">On </w:t>
            </w:r>
            <w:proofErr w:type="gramStart"/>
            <w:r w:rsidRPr="00432345">
              <w:rPr>
                <w:i/>
                <w:sz w:val="17"/>
              </w:rPr>
              <w:t>July  30</w:t>
            </w:r>
            <w:proofErr w:type="gramEnd"/>
            <w:r w:rsidR="00305CA0">
              <w:rPr>
                <w:i/>
                <w:sz w:val="17"/>
              </w:rPr>
              <w:t>.</w:t>
            </w:r>
            <w:r w:rsidRPr="00432345">
              <w:rPr>
                <w:i/>
                <w:sz w:val="17"/>
              </w:rPr>
              <w:t xml:space="preserve">  2019</w:t>
            </w:r>
            <w:r w:rsidR="00305CA0">
              <w:rPr>
                <w:i/>
                <w:sz w:val="17"/>
              </w:rPr>
              <w:t>.</w:t>
            </w:r>
            <w:r w:rsidRPr="00432345">
              <w:rPr>
                <w:i/>
                <w:sz w:val="17"/>
              </w:rPr>
              <w:t xml:space="preserve">  </w:t>
            </w:r>
            <w:proofErr w:type="gramStart"/>
            <w:r w:rsidRPr="00432345">
              <w:rPr>
                <w:i/>
                <w:sz w:val="17"/>
              </w:rPr>
              <w:t>based  on</w:t>
            </w:r>
            <w:proofErr w:type="gramEnd"/>
            <w:r w:rsidRPr="00432345">
              <w:rPr>
                <w:i/>
                <w:sz w:val="17"/>
              </w:rPr>
              <w:t xml:space="preserve">  agreement </w:t>
            </w:r>
            <w:r>
              <w:rPr>
                <w:i/>
                <w:sz w:val="17"/>
              </w:rPr>
              <w:br/>
            </w:r>
            <w:r w:rsidRPr="00432345">
              <w:rPr>
                <w:i/>
                <w:sz w:val="17"/>
              </w:rPr>
              <w:t xml:space="preserve">No. </w:t>
            </w:r>
            <w:r w:rsidRPr="00432345">
              <w:rPr>
                <w:i/>
                <w:iCs/>
                <w:sz w:val="17"/>
              </w:rPr>
              <w:t>007/PKS/PT-SRAJ/VII/2019</w:t>
            </w:r>
            <w:r w:rsidR="00305CA0">
              <w:rPr>
                <w:i/>
                <w:sz w:val="17"/>
              </w:rPr>
              <w:t>.</w:t>
            </w:r>
            <w:r w:rsidRPr="00432345">
              <w:rPr>
                <w:i/>
                <w:sz w:val="17"/>
              </w:rPr>
              <w:t xml:space="preserve"> </w:t>
            </w:r>
            <w:proofErr w:type="gramStart"/>
            <w:r w:rsidRPr="00432345">
              <w:rPr>
                <w:i/>
                <w:sz w:val="17"/>
              </w:rPr>
              <w:t>the</w:t>
            </w:r>
            <w:proofErr w:type="gramEnd"/>
            <w:r w:rsidRPr="00432345">
              <w:rPr>
                <w:i/>
                <w:sz w:val="17"/>
              </w:rPr>
              <w:t xml:space="preserve"> Company entered into an agreement in terms of renting space for Automated Teller Machine “ATM” of PT Bank Central Asia</w:t>
            </w:r>
            <w:r w:rsidR="00305CA0">
              <w:rPr>
                <w:i/>
                <w:sz w:val="17"/>
              </w:rPr>
              <w:t>.</w:t>
            </w:r>
            <w:r w:rsidRPr="00432345">
              <w:rPr>
                <w:i/>
                <w:sz w:val="17"/>
              </w:rPr>
              <w:t xml:space="preserve"> Tbk. The agreement is valid for a period of 2 two years ending </w:t>
            </w:r>
            <w:r>
              <w:rPr>
                <w:i/>
                <w:sz w:val="17"/>
              </w:rPr>
              <w:br/>
            </w:r>
            <w:r w:rsidRPr="00432345">
              <w:rPr>
                <w:i/>
                <w:sz w:val="17"/>
              </w:rPr>
              <w:t>July 14</w:t>
            </w:r>
            <w:r w:rsidR="00305CA0">
              <w:rPr>
                <w:i/>
                <w:sz w:val="17"/>
              </w:rPr>
              <w:t>.</w:t>
            </w:r>
            <w:r w:rsidRPr="00432345">
              <w:rPr>
                <w:i/>
                <w:spacing w:val="-3"/>
                <w:sz w:val="17"/>
              </w:rPr>
              <w:t xml:space="preserve"> </w:t>
            </w:r>
            <w:r w:rsidRPr="00432345">
              <w:rPr>
                <w:i/>
                <w:sz w:val="17"/>
              </w:rPr>
              <w:t>2021.</w:t>
            </w:r>
          </w:p>
        </w:tc>
      </w:tr>
      <w:tr w:rsidR="001420D9" w:rsidRPr="001420D9" w14:paraId="01FC8937" w14:textId="77777777" w:rsidTr="001420D9">
        <w:trPr>
          <w:trHeight w:val="90"/>
        </w:trPr>
        <w:tc>
          <w:tcPr>
            <w:tcW w:w="4592" w:type="dxa"/>
            <w:tcBorders>
              <w:top w:val="nil"/>
              <w:left w:val="nil"/>
              <w:bottom w:val="nil"/>
              <w:right w:val="nil"/>
            </w:tcBorders>
          </w:tcPr>
          <w:p w14:paraId="1415FB98" w14:textId="77777777" w:rsidR="001420D9" w:rsidRPr="001420D9" w:rsidRDefault="001420D9" w:rsidP="006F0435">
            <w:pPr>
              <w:pStyle w:val="ListParagraph"/>
              <w:ind w:left="318" w:right="-57"/>
              <w:jc w:val="both"/>
              <w:rPr>
                <w:sz w:val="12"/>
                <w:szCs w:val="12"/>
              </w:rPr>
            </w:pPr>
          </w:p>
        </w:tc>
        <w:tc>
          <w:tcPr>
            <w:tcW w:w="4605" w:type="dxa"/>
            <w:gridSpan w:val="2"/>
            <w:tcBorders>
              <w:top w:val="nil"/>
              <w:left w:val="nil"/>
              <w:bottom w:val="nil"/>
              <w:right w:val="nil"/>
            </w:tcBorders>
          </w:tcPr>
          <w:p w14:paraId="2A61B8D5" w14:textId="77777777" w:rsidR="001420D9" w:rsidRPr="001420D9" w:rsidRDefault="001420D9" w:rsidP="006F0435">
            <w:pPr>
              <w:pStyle w:val="ListParagraph"/>
              <w:tabs>
                <w:tab w:val="right" w:pos="9340"/>
                <w:tab w:val="right" w:pos="10080"/>
              </w:tabs>
              <w:ind w:left="284" w:right="-57"/>
              <w:jc w:val="both"/>
              <w:rPr>
                <w:i/>
                <w:sz w:val="12"/>
                <w:szCs w:val="12"/>
              </w:rPr>
            </w:pPr>
          </w:p>
        </w:tc>
      </w:tr>
      <w:tr w:rsidR="001420D9" w:rsidRPr="0013526B" w14:paraId="4B0ACAC1" w14:textId="77777777" w:rsidTr="001420D9">
        <w:trPr>
          <w:gridAfter w:val="1"/>
          <w:wAfter w:w="14" w:type="dxa"/>
          <w:trHeight w:val="90"/>
        </w:trPr>
        <w:tc>
          <w:tcPr>
            <w:tcW w:w="4592" w:type="dxa"/>
            <w:tcBorders>
              <w:top w:val="nil"/>
              <w:left w:val="nil"/>
              <w:bottom w:val="nil"/>
              <w:right w:val="nil"/>
            </w:tcBorders>
          </w:tcPr>
          <w:p w14:paraId="0B16FC92" w14:textId="116B59D5" w:rsidR="001420D9" w:rsidRPr="00BF5A15" w:rsidRDefault="001420D9" w:rsidP="0068130A">
            <w:pPr>
              <w:pStyle w:val="ListParagraph"/>
              <w:ind w:left="318" w:right="-57"/>
              <w:jc w:val="both"/>
              <w:rPr>
                <w:sz w:val="17"/>
              </w:rPr>
            </w:pPr>
            <w:r w:rsidRPr="00BF5A15">
              <w:rPr>
                <w:sz w:val="17"/>
              </w:rPr>
              <w:t>Pada tanggal 1 Juli 2019</w:t>
            </w:r>
            <w:r w:rsidR="00305CA0">
              <w:rPr>
                <w:sz w:val="17"/>
              </w:rPr>
              <w:t>.</w:t>
            </w:r>
            <w:r w:rsidRPr="00BF5A15">
              <w:rPr>
                <w:sz w:val="17"/>
              </w:rPr>
              <w:t xml:space="preserve"> </w:t>
            </w:r>
            <w:proofErr w:type="gramStart"/>
            <w:r w:rsidRPr="00BF5A15">
              <w:rPr>
                <w:sz w:val="17"/>
              </w:rPr>
              <w:t>berdasarkan</w:t>
            </w:r>
            <w:proofErr w:type="gramEnd"/>
            <w:r w:rsidRPr="00BF5A15">
              <w:rPr>
                <w:sz w:val="17"/>
              </w:rPr>
              <w:t xml:space="preserve"> perjanjian </w:t>
            </w:r>
            <w:r>
              <w:rPr>
                <w:sz w:val="17"/>
              </w:rPr>
              <w:br/>
            </w:r>
            <w:r w:rsidRPr="00BF5A15">
              <w:rPr>
                <w:sz w:val="17"/>
              </w:rPr>
              <w:t>No. 008/PKS/PT-SRAJ/VII/2019</w:t>
            </w:r>
            <w:r w:rsidR="00305CA0">
              <w:rPr>
                <w:sz w:val="17"/>
              </w:rPr>
              <w:t>.</w:t>
            </w:r>
            <w:r w:rsidRPr="00BF5A15">
              <w:rPr>
                <w:sz w:val="17"/>
              </w:rPr>
              <w:t xml:space="preserve"> Perusahaan mengadakan perjanjian kerjasama dengan PT Unggul </w:t>
            </w:r>
            <w:proofErr w:type="gramStart"/>
            <w:r w:rsidRPr="00BF5A15">
              <w:rPr>
                <w:sz w:val="17"/>
              </w:rPr>
              <w:t>Cipta  Indah</w:t>
            </w:r>
            <w:proofErr w:type="gramEnd"/>
            <w:r w:rsidRPr="00BF5A15">
              <w:rPr>
                <w:sz w:val="17"/>
              </w:rPr>
              <w:t xml:space="preserve">.  </w:t>
            </w:r>
            <w:r>
              <w:rPr>
                <w:sz w:val="17"/>
              </w:rPr>
              <w:br/>
            </w:r>
            <w:r w:rsidRPr="00BF5A15">
              <w:rPr>
                <w:sz w:val="17"/>
              </w:rPr>
              <w:t xml:space="preserve">PT Unggul Cipta Indah berkewajiban untuk menyediakan jasa perawatan taman. Perjanjian ini berlaku untuk jangka waktu dua tahun </w:t>
            </w:r>
            <w:proofErr w:type="gramStart"/>
            <w:r w:rsidRPr="00BF5A15">
              <w:rPr>
                <w:sz w:val="17"/>
              </w:rPr>
              <w:t>yang  berakhir</w:t>
            </w:r>
            <w:proofErr w:type="gramEnd"/>
            <w:r w:rsidRPr="00BF5A15">
              <w:rPr>
                <w:sz w:val="17"/>
              </w:rPr>
              <w:t xml:space="preserve">  pada  tanggal  31 Mei 2021.</w:t>
            </w:r>
          </w:p>
        </w:tc>
        <w:tc>
          <w:tcPr>
            <w:tcW w:w="4591" w:type="dxa"/>
            <w:tcBorders>
              <w:top w:val="nil"/>
              <w:left w:val="nil"/>
              <w:bottom w:val="nil"/>
              <w:right w:val="nil"/>
            </w:tcBorders>
          </w:tcPr>
          <w:p w14:paraId="0BE42923" w14:textId="6D37A307" w:rsidR="001420D9" w:rsidRDefault="001420D9" w:rsidP="0068130A">
            <w:pPr>
              <w:pStyle w:val="ListParagraph"/>
              <w:tabs>
                <w:tab w:val="right" w:pos="9340"/>
                <w:tab w:val="right" w:pos="10080"/>
              </w:tabs>
              <w:ind w:left="284" w:right="-57"/>
              <w:jc w:val="both"/>
              <w:rPr>
                <w:i/>
                <w:sz w:val="18"/>
                <w:szCs w:val="18"/>
                <w:u w:val="single"/>
              </w:rPr>
            </w:pPr>
            <w:proofErr w:type="gramStart"/>
            <w:r w:rsidRPr="00BF5A15">
              <w:rPr>
                <w:i/>
                <w:sz w:val="17"/>
              </w:rPr>
              <w:t>On  July</w:t>
            </w:r>
            <w:proofErr w:type="gramEnd"/>
            <w:r w:rsidRPr="00BF5A15">
              <w:rPr>
                <w:i/>
                <w:sz w:val="17"/>
              </w:rPr>
              <w:t xml:space="preserve"> 1</w:t>
            </w:r>
            <w:r w:rsidR="00305CA0">
              <w:rPr>
                <w:i/>
                <w:sz w:val="17"/>
              </w:rPr>
              <w:t>.</w:t>
            </w:r>
            <w:r w:rsidRPr="00BF5A15">
              <w:rPr>
                <w:i/>
                <w:sz w:val="17"/>
              </w:rPr>
              <w:t xml:space="preserve">  2019</w:t>
            </w:r>
            <w:r w:rsidR="00305CA0">
              <w:rPr>
                <w:i/>
                <w:sz w:val="17"/>
              </w:rPr>
              <w:t>.</w:t>
            </w:r>
            <w:r w:rsidRPr="00BF5A15">
              <w:rPr>
                <w:i/>
                <w:sz w:val="17"/>
              </w:rPr>
              <w:t xml:space="preserve">  </w:t>
            </w:r>
            <w:proofErr w:type="gramStart"/>
            <w:r w:rsidRPr="00BF5A15">
              <w:rPr>
                <w:i/>
                <w:sz w:val="17"/>
              </w:rPr>
              <w:t>based  on</w:t>
            </w:r>
            <w:proofErr w:type="gramEnd"/>
            <w:r w:rsidRPr="00BF5A15">
              <w:rPr>
                <w:i/>
                <w:sz w:val="17"/>
              </w:rPr>
              <w:t xml:space="preserve">  agreement </w:t>
            </w:r>
            <w:r>
              <w:rPr>
                <w:i/>
                <w:sz w:val="17"/>
              </w:rPr>
              <w:br/>
            </w:r>
            <w:r w:rsidRPr="00BF5A15">
              <w:rPr>
                <w:i/>
                <w:sz w:val="17"/>
              </w:rPr>
              <w:t xml:space="preserve">No. </w:t>
            </w:r>
            <w:r w:rsidRPr="00BF5A15">
              <w:rPr>
                <w:i/>
                <w:iCs/>
                <w:sz w:val="17"/>
              </w:rPr>
              <w:t>008/PKS/PT-SRAJ/VII/2019</w:t>
            </w:r>
            <w:r w:rsidR="00305CA0">
              <w:rPr>
                <w:i/>
                <w:sz w:val="17"/>
              </w:rPr>
              <w:t>.</w:t>
            </w:r>
            <w:r w:rsidRPr="00BF5A15">
              <w:rPr>
                <w:i/>
                <w:sz w:val="17"/>
              </w:rPr>
              <w:t xml:space="preserve"> </w:t>
            </w:r>
            <w:proofErr w:type="gramStart"/>
            <w:r w:rsidRPr="00BF5A15">
              <w:rPr>
                <w:i/>
                <w:sz w:val="17"/>
              </w:rPr>
              <w:t>the</w:t>
            </w:r>
            <w:proofErr w:type="gramEnd"/>
            <w:r w:rsidRPr="00BF5A15">
              <w:rPr>
                <w:i/>
                <w:sz w:val="17"/>
              </w:rPr>
              <w:t xml:space="preserve"> Company entered into an agreement with PT Unggul Cipta Indah. PT Unggul Cipta Indah obligated to providing garden maintencance service. The agreement is valid for a period of two years ended </w:t>
            </w:r>
            <w:r>
              <w:rPr>
                <w:i/>
                <w:sz w:val="17"/>
              </w:rPr>
              <w:br/>
            </w:r>
            <w:r w:rsidRPr="00BF5A15">
              <w:rPr>
                <w:i/>
                <w:sz w:val="17"/>
              </w:rPr>
              <w:t>M</w:t>
            </w:r>
            <w:r>
              <w:rPr>
                <w:i/>
                <w:sz w:val="17"/>
              </w:rPr>
              <w:t>ay</w:t>
            </w:r>
            <w:r w:rsidRPr="00BF5A15">
              <w:rPr>
                <w:i/>
                <w:sz w:val="17"/>
              </w:rPr>
              <w:t xml:space="preserve"> 31</w:t>
            </w:r>
            <w:r w:rsidR="00870FD0">
              <w:rPr>
                <w:i/>
                <w:sz w:val="17"/>
              </w:rPr>
              <w:t>.</w:t>
            </w:r>
            <w:r w:rsidRPr="00BF5A15">
              <w:rPr>
                <w:i/>
                <w:spacing w:val="-1"/>
                <w:sz w:val="17"/>
              </w:rPr>
              <w:t xml:space="preserve"> </w:t>
            </w:r>
            <w:r w:rsidRPr="00BF5A15">
              <w:rPr>
                <w:i/>
                <w:sz w:val="17"/>
              </w:rPr>
              <w:t>2021.</w:t>
            </w:r>
          </w:p>
        </w:tc>
      </w:tr>
      <w:tr w:rsidR="001420D9" w:rsidRPr="001420D9" w14:paraId="7CB230C9" w14:textId="77777777" w:rsidTr="001420D9">
        <w:trPr>
          <w:gridAfter w:val="1"/>
          <w:wAfter w:w="14" w:type="dxa"/>
          <w:trHeight w:val="90"/>
        </w:trPr>
        <w:tc>
          <w:tcPr>
            <w:tcW w:w="4592" w:type="dxa"/>
            <w:tcBorders>
              <w:top w:val="nil"/>
              <w:left w:val="nil"/>
              <w:bottom w:val="nil"/>
              <w:right w:val="nil"/>
            </w:tcBorders>
          </w:tcPr>
          <w:p w14:paraId="4B68B5F9" w14:textId="77777777" w:rsidR="001420D9" w:rsidRPr="001420D9" w:rsidRDefault="001420D9" w:rsidP="00921DC2">
            <w:pPr>
              <w:pStyle w:val="ListParagraph"/>
              <w:ind w:left="318" w:right="-57"/>
              <w:jc w:val="both"/>
              <w:rPr>
                <w:sz w:val="12"/>
                <w:szCs w:val="12"/>
              </w:rPr>
            </w:pPr>
          </w:p>
        </w:tc>
        <w:tc>
          <w:tcPr>
            <w:tcW w:w="4591" w:type="dxa"/>
            <w:tcBorders>
              <w:top w:val="nil"/>
              <w:left w:val="nil"/>
              <w:bottom w:val="nil"/>
              <w:right w:val="nil"/>
            </w:tcBorders>
          </w:tcPr>
          <w:p w14:paraId="0B19ED53" w14:textId="77777777" w:rsidR="001420D9" w:rsidRPr="001420D9" w:rsidRDefault="001420D9" w:rsidP="00921DC2">
            <w:pPr>
              <w:pStyle w:val="ListParagraph"/>
              <w:tabs>
                <w:tab w:val="right" w:pos="9340"/>
                <w:tab w:val="right" w:pos="10080"/>
              </w:tabs>
              <w:ind w:left="284" w:right="-57"/>
              <w:jc w:val="both"/>
              <w:rPr>
                <w:i/>
                <w:sz w:val="12"/>
                <w:szCs w:val="12"/>
              </w:rPr>
            </w:pPr>
          </w:p>
        </w:tc>
      </w:tr>
      <w:tr w:rsidR="001420D9" w:rsidRPr="0013526B" w14:paraId="72BC05E6" w14:textId="77777777" w:rsidTr="001420D9">
        <w:trPr>
          <w:gridAfter w:val="1"/>
          <w:wAfter w:w="14" w:type="dxa"/>
          <w:trHeight w:val="90"/>
        </w:trPr>
        <w:tc>
          <w:tcPr>
            <w:tcW w:w="4592" w:type="dxa"/>
            <w:tcBorders>
              <w:top w:val="nil"/>
              <w:left w:val="nil"/>
              <w:bottom w:val="nil"/>
              <w:right w:val="nil"/>
            </w:tcBorders>
          </w:tcPr>
          <w:p w14:paraId="667807A9" w14:textId="4D8AEF38" w:rsidR="001420D9" w:rsidRPr="00D70683" w:rsidRDefault="001420D9" w:rsidP="0068130A">
            <w:pPr>
              <w:pStyle w:val="ListParagraph"/>
              <w:ind w:left="318" w:right="-57"/>
              <w:jc w:val="both"/>
              <w:rPr>
                <w:sz w:val="17"/>
              </w:rPr>
            </w:pPr>
            <w:r w:rsidRPr="00D70683">
              <w:rPr>
                <w:sz w:val="17"/>
              </w:rPr>
              <w:t>Pada tanggal 31 Mei 2019</w:t>
            </w:r>
            <w:r w:rsidR="00305CA0">
              <w:rPr>
                <w:sz w:val="17"/>
              </w:rPr>
              <w:t>.</w:t>
            </w:r>
            <w:r w:rsidRPr="00D70683">
              <w:rPr>
                <w:sz w:val="17"/>
              </w:rPr>
              <w:t xml:space="preserve"> </w:t>
            </w:r>
            <w:proofErr w:type="gramStart"/>
            <w:r w:rsidRPr="00D70683">
              <w:rPr>
                <w:sz w:val="17"/>
              </w:rPr>
              <w:t>berdasarkan</w:t>
            </w:r>
            <w:proofErr w:type="gramEnd"/>
            <w:r w:rsidRPr="00D70683">
              <w:rPr>
                <w:sz w:val="17"/>
              </w:rPr>
              <w:t xml:space="preserve"> perjanjian </w:t>
            </w:r>
            <w:r>
              <w:rPr>
                <w:sz w:val="17"/>
              </w:rPr>
              <w:br/>
            </w:r>
            <w:r w:rsidRPr="00D70683">
              <w:rPr>
                <w:sz w:val="17"/>
              </w:rPr>
              <w:t>No. 002/PKS/PT-SRAJ/VI/2019</w:t>
            </w:r>
            <w:r w:rsidR="00305CA0">
              <w:rPr>
                <w:sz w:val="17"/>
              </w:rPr>
              <w:t>.</w:t>
            </w:r>
            <w:r w:rsidRPr="00D70683">
              <w:rPr>
                <w:sz w:val="17"/>
              </w:rPr>
              <w:t xml:space="preserve"> Perusahaan mengadakan perjanjian kerjasama dengan PT Sinar Jernih Sarana.  </w:t>
            </w:r>
            <w:r>
              <w:rPr>
                <w:sz w:val="17"/>
              </w:rPr>
              <w:br/>
            </w:r>
            <w:r w:rsidRPr="00D70683">
              <w:rPr>
                <w:sz w:val="17"/>
              </w:rPr>
              <w:t xml:space="preserve">PT Sinar Jernih Sarana berkewajiban untuk menyediakan </w:t>
            </w:r>
            <w:r w:rsidRPr="00D70683">
              <w:rPr>
                <w:i/>
                <w:iCs/>
                <w:sz w:val="17"/>
              </w:rPr>
              <w:t>facility service</w:t>
            </w:r>
            <w:r w:rsidRPr="00D70683">
              <w:rPr>
                <w:sz w:val="17"/>
              </w:rPr>
              <w:t xml:space="preserve">. Perjanjian ini berlaku untuk jangka </w:t>
            </w:r>
            <w:proofErr w:type="gramStart"/>
            <w:r w:rsidRPr="00D70683">
              <w:rPr>
                <w:sz w:val="17"/>
              </w:rPr>
              <w:t>waktu  dua</w:t>
            </w:r>
            <w:proofErr w:type="gramEnd"/>
            <w:r w:rsidRPr="00D70683">
              <w:rPr>
                <w:sz w:val="17"/>
              </w:rPr>
              <w:t xml:space="preserve"> tahun yang  berakhir  pada  tanggal  31 Mei 2021.</w:t>
            </w:r>
          </w:p>
        </w:tc>
        <w:tc>
          <w:tcPr>
            <w:tcW w:w="4591" w:type="dxa"/>
            <w:tcBorders>
              <w:top w:val="nil"/>
              <w:left w:val="nil"/>
              <w:bottom w:val="nil"/>
              <w:right w:val="nil"/>
            </w:tcBorders>
          </w:tcPr>
          <w:p w14:paraId="25CADE39" w14:textId="03ED7B63" w:rsidR="001420D9" w:rsidRDefault="001420D9" w:rsidP="0068130A">
            <w:pPr>
              <w:pStyle w:val="ListParagraph"/>
              <w:tabs>
                <w:tab w:val="right" w:pos="9340"/>
                <w:tab w:val="right" w:pos="10080"/>
              </w:tabs>
              <w:ind w:left="284" w:right="-57"/>
              <w:jc w:val="both"/>
              <w:rPr>
                <w:i/>
                <w:sz w:val="18"/>
                <w:szCs w:val="18"/>
                <w:u w:val="single"/>
              </w:rPr>
            </w:pPr>
            <w:proofErr w:type="gramStart"/>
            <w:r w:rsidRPr="00D70683">
              <w:rPr>
                <w:i/>
                <w:sz w:val="17"/>
              </w:rPr>
              <w:t>On  May</w:t>
            </w:r>
            <w:proofErr w:type="gramEnd"/>
            <w:r w:rsidRPr="00D70683">
              <w:rPr>
                <w:i/>
                <w:sz w:val="17"/>
              </w:rPr>
              <w:t xml:space="preserve"> 31</w:t>
            </w:r>
            <w:r w:rsidR="00305CA0">
              <w:rPr>
                <w:i/>
                <w:sz w:val="17"/>
              </w:rPr>
              <w:t>.</w:t>
            </w:r>
            <w:r w:rsidRPr="00D70683">
              <w:rPr>
                <w:i/>
                <w:sz w:val="17"/>
              </w:rPr>
              <w:t xml:space="preserve">  2019</w:t>
            </w:r>
            <w:r w:rsidR="00305CA0">
              <w:rPr>
                <w:i/>
                <w:sz w:val="17"/>
              </w:rPr>
              <w:t>.</w:t>
            </w:r>
            <w:r w:rsidRPr="00D70683">
              <w:rPr>
                <w:i/>
                <w:sz w:val="17"/>
              </w:rPr>
              <w:t xml:space="preserve">  </w:t>
            </w:r>
            <w:proofErr w:type="gramStart"/>
            <w:r w:rsidRPr="00D70683">
              <w:rPr>
                <w:i/>
                <w:sz w:val="17"/>
              </w:rPr>
              <w:t>based  on</w:t>
            </w:r>
            <w:proofErr w:type="gramEnd"/>
            <w:r w:rsidRPr="00D70683">
              <w:rPr>
                <w:i/>
                <w:sz w:val="17"/>
              </w:rPr>
              <w:t xml:space="preserve">  agreement </w:t>
            </w:r>
            <w:r>
              <w:rPr>
                <w:i/>
                <w:sz w:val="17"/>
              </w:rPr>
              <w:br/>
            </w:r>
            <w:r w:rsidRPr="00D70683">
              <w:rPr>
                <w:i/>
                <w:sz w:val="17"/>
              </w:rPr>
              <w:t xml:space="preserve">No. </w:t>
            </w:r>
            <w:r w:rsidRPr="00D70683">
              <w:rPr>
                <w:i/>
                <w:iCs/>
                <w:sz w:val="17"/>
              </w:rPr>
              <w:t>002/PKS/PT-SRAJ/VI/2019</w:t>
            </w:r>
            <w:r w:rsidR="00870FD0">
              <w:rPr>
                <w:i/>
                <w:sz w:val="17"/>
              </w:rPr>
              <w:t>.</w:t>
            </w:r>
            <w:r w:rsidRPr="00D70683">
              <w:rPr>
                <w:i/>
                <w:sz w:val="17"/>
              </w:rPr>
              <w:t xml:space="preserve"> </w:t>
            </w:r>
            <w:proofErr w:type="gramStart"/>
            <w:r w:rsidRPr="00D70683">
              <w:rPr>
                <w:i/>
                <w:sz w:val="17"/>
              </w:rPr>
              <w:t>the</w:t>
            </w:r>
            <w:proofErr w:type="gramEnd"/>
            <w:r w:rsidRPr="00D70683">
              <w:rPr>
                <w:i/>
                <w:sz w:val="17"/>
              </w:rPr>
              <w:t xml:space="preserve"> Company entered into an agreement with </w:t>
            </w:r>
            <w:r w:rsidRPr="00D70683">
              <w:rPr>
                <w:i/>
                <w:iCs/>
                <w:sz w:val="17"/>
              </w:rPr>
              <w:t>PT Sinar Jernih Sarana</w:t>
            </w:r>
            <w:r w:rsidRPr="00D70683">
              <w:rPr>
                <w:i/>
                <w:sz w:val="17"/>
              </w:rPr>
              <w:t xml:space="preserve">. </w:t>
            </w:r>
            <w:r w:rsidRPr="00D70683">
              <w:rPr>
                <w:i/>
                <w:iCs/>
                <w:sz w:val="17"/>
              </w:rPr>
              <w:t>PT Sinar Jernih Sarana</w:t>
            </w:r>
            <w:r w:rsidRPr="00D70683">
              <w:rPr>
                <w:i/>
                <w:sz w:val="17"/>
              </w:rPr>
              <w:t xml:space="preserve"> obligated to providing facility service. The agreement is valid for a period of two years ended Mei 31</w:t>
            </w:r>
            <w:r w:rsidR="00305CA0">
              <w:rPr>
                <w:i/>
                <w:sz w:val="17"/>
              </w:rPr>
              <w:t>.</w:t>
            </w:r>
            <w:r w:rsidRPr="00D70683">
              <w:rPr>
                <w:i/>
                <w:spacing w:val="-1"/>
                <w:sz w:val="17"/>
              </w:rPr>
              <w:t xml:space="preserve"> </w:t>
            </w:r>
            <w:r w:rsidRPr="00D70683">
              <w:rPr>
                <w:i/>
                <w:sz w:val="17"/>
              </w:rPr>
              <w:t>2021.</w:t>
            </w:r>
          </w:p>
        </w:tc>
      </w:tr>
      <w:tr w:rsidR="001420D9" w:rsidRPr="001420D9" w14:paraId="5B94547D" w14:textId="77777777" w:rsidTr="001420D9">
        <w:trPr>
          <w:gridAfter w:val="1"/>
          <w:wAfter w:w="14" w:type="dxa"/>
          <w:trHeight w:val="90"/>
        </w:trPr>
        <w:tc>
          <w:tcPr>
            <w:tcW w:w="4592" w:type="dxa"/>
            <w:tcBorders>
              <w:top w:val="nil"/>
              <w:left w:val="nil"/>
              <w:bottom w:val="nil"/>
              <w:right w:val="nil"/>
            </w:tcBorders>
          </w:tcPr>
          <w:p w14:paraId="70FF63C3" w14:textId="77777777" w:rsidR="001420D9" w:rsidRPr="001420D9" w:rsidRDefault="001420D9" w:rsidP="00921DC2">
            <w:pPr>
              <w:pStyle w:val="ListParagraph"/>
              <w:ind w:left="318" w:right="-57"/>
              <w:jc w:val="both"/>
              <w:rPr>
                <w:sz w:val="12"/>
                <w:szCs w:val="12"/>
              </w:rPr>
            </w:pPr>
          </w:p>
        </w:tc>
        <w:tc>
          <w:tcPr>
            <w:tcW w:w="4591" w:type="dxa"/>
            <w:tcBorders>
              <w:top w:val="nil"/>
              <w:left w:val="nil"/>
              <w:bottom w:val="nil"/>
              <w:right w:val="nil"/>
            </w:tcBorders>
          </w:tcPr>
          <w:p w14:paraId="10A3161F" w14:textId="77777777" w:rsidR="001420D9" w:rsidRPr="001420D9" w:rsidRDefault="001420D9" w:rsidP="00921DC2">
            <w:pPr>
              <w:pStyle w:val="ListParagraph"/>
              <w:tabs>
                <w:tab w:val="right" w:pos="9340"/>
                <w:tab w:val="right" w:pos="10080"/>
              </w:tabs>
              <w:ind w:left="284" w:right="-57"/>
              <w:jc w:val="both"/>
              <w:rPr>
                <w:i/>
                <w:sz w:val="12"/>
                <w:szCs w:val="12"/>
              </w:rPr>
            </w:pPr>
          </w:p>
        </w:tc>
      </w:tr>
      <w:tr w:rsidR="001420D9" w:rsidRPr="0013526B" w14:paraId="25558D2E" w14:textId="77777777" w:rsidTr="001420D9">
        <w:trPr>
          <w:gridAfter w:val="1"/>
          <w:wAfter w:w="14" w:type="dxa"/>
          <w:trHeight w:val="90"/>
        </w:trPr>
        <w:tc>
          <w:tcPr>
            <w:tcW w:w="4592" w:type="dxa"/>
            <w:tcBorders>
              <w:top w:val="nil"/>
              <w:left w:val="nil"/>
              <w:bottom w:val="nil"/>
              <w:right w:val="nil"/>
            </w:tcBorders>
          </w:tcPr>
          <w:p w14:paraId="0F9FA452" w14:textId="0CB3AD34" w:rsidR="001420D9" w:rsidRPr="00D70683" w:rsidRDefault="001420D9" w:rsidP="0068130A">
            <w:pPr>
              <w:pStyle w:val="ListParagraph"/>
              <w:ind w:left="318" w:right="-57"/>
              <w:jc w:val="both"/>
              <w:rPr>
                <w:sz w:val="18"/>
                <w:szCs w:val="18"/>
                <w:u w:val="single"/>
              </w:rPr>
            </w:pPr>
            <w:r w:rsidRPr="00D70683">
              <w:rPr>
                <w:sz w:val="17"/>
              </w:rPr>
              <w:t>Pada tanggal 13 Januari 2019</w:t>
            </w:r>
            <w:r w:rsidR="00305CA0">
              <w:rPr>
                <w:sz w:val="17"/>
              </w:rPr>
              <w:t>.</w:t>
            </w:r>
            <w:r w:rsidRPr="00D70683">
              <w:rPr>
                <w:sz w:val="17"/>
              </w:rPr>
              <w:t xml:space="preserve"> </w:t>
            </w:r>
            <w:proofErr w:type="gramStart"/>
            <w:r w:rsidRPr="00D70683">
              <w:rPr>
                <w:sz w:val="17"/>
              </w:rPr>
              <w:t>berdasarkan</w:t>
            </w:r>
            <w:proofErr w:type="gramEnd"/>
            <w:r w:rsidRPr="00D70683">
              <w:rPr>
                <w:sz w:val="17"/>
              </w:rPr>
              <w:t xml:space="preserve"> perjanjian </w:t>
            </w:r>
            <w:r>
              <w:rPr>
                <w:sz w:val="17"/>
              </w:rPr>
              <w:br/>
            </w:r>
            <w:r w:rsidRPr="00D70683">
              <w:rPr>
                <w:sz w:val="17"/>
              </w:rPr>
              <w:t>No. 003/PKS/PT-SRAJ/I/2019</w:t>
            </w:r>
            <w:r w:rsidR="00305CA0">
              <w:rPr>
                <w:sz w:val="17"/>
              </w:rPr>
              <w:t>.</w:t>
            </w:r>
            <w:r w:rsidRPr="00D70683">
              <w:rPr>
                <w:sz w:val="17"/>
              </w:rPr>
              <w:t xml:space="preserve"> Perusahaan mengadakan perjanjian kerjasama dalam hal sewa menyewa ruang untuk ruang kantor PT Bank Mayapada Internasional</w:t>
            </w:r>
            <w:r w:rsidR="00870FD0">
              <w:rPr>
                <w:sz w:val="17"/>
              </w:rPr>
              <w:t>.</w:t>
            </w:r>
            <w:r w:rsidRPr="00D70683">
              <w:rPr>
                <w:sz w:val="17"/>
              </w:rPr>
              <w:t xml:space="preserve"> Tbk. Perjanjian ini berlaku untuk jangka waktu tiga tahun yang berakhir pada tanggal 1 Februari 2022.</w:t>
            </w:r>
          </w:p>
        </w:tc>
        <w:tc>
          <w:tcPr>
            <w:tcW w:w="4591" w:type="dxa"/>
            <w:tcBorders>
              <w:top w:val="nil"/>
              <w:left w:val="nil"/>
              <w:bottom w:val="nil"/>
              <w:right w:val="nil"/>
            </w:tcBorders>
          </w:tcPr>
          <w:p w14:paraId="7A6F9289" w14:textId="0E5B966E" w:rsidR="001420D9" w:rsidRDefault="001420D9" w:rsidP="0068130A">
            <w:pPr>
              <w:pStyle w:val="ListParagraph"/>
              <w:tabs>
                <w:tab w:val="right" w:pos="9340"/>
                <w:tab w:val="right" w:pos="10080"/>
              </w:tabs>
              <w:ind w:left="284" w:right="-57"/>
              <w:jc w:val="both"/>
              <w:rPr>
                <w:i/>
                <w:sz w:val="18"/>
                <w:szCs w:val="18"/>
                <w:u w:val="single"/>
              </w:rPr>
            </w:pPr>
            <w:r w:rsidRPr="00D70683">
              <w:rPr>
                <w:i/>
                <w:sz w:val="17"/>
              </w:rPr>
              <w:t xml:space="preserve">On </w:t>
            </w:r>
            <w:proofErr w:type="gramStart"/>
            <w:r w:rsidRPr="00D70683">
              <w:rPr>
                <w:i/>
                <w:sz w:val="17"/>
              </w:rPr>
              <w:t>January  13</w:t>
            </w:r>
            <w:proofErr w:type="gramEnd"/>
            <w:r w:rsidR="00305CA0">
              <w:rPr>
                <w:i/>
                <w:sz w:val="17"/>
              </w:rPr>
              <w:t>.</w:t>
            </w:r>
            <w:r w:rsidRPr="00D70683">
              <w:rPr>
                <w:i/>
                <w:sz w:val="17"/>
              </w:rPr>
              <w:t xml:space="preserve">  2019</w:t>
            </w:r>
            <w:r w:rsidR="00305CA0">
              <w:rPr>
                <w:i/>
                <w:sz w:val="17"/>
              </w:rPr>
              <w:t>.</w:t>
            </w:r>
            <w:r w:rsidRPr="00D70683">
              <w:rPr>
                <w:i/>
                <w:sz w:val="17"/>
              </w:rPr>
              <w:t xml:space="preserve">  </w:t>
            </w:r>
            <w:proofErr w:type="gramStart"/>
            <w:r w:rsidRPr="00D70683">
              <w:rPr>
                <w:i/>
                <w:sz w:val="17"/>
              </w:rPr>
              <w:t>based  on</w:t>
            </w:r>
            <w:proofErr w:type="gramEnd"/>
            <w:r w:rsidRPr="00D70683">
              <w:rPr>
                <w:i/>
                <w:sz w:val="17"/>
              </w:rPr>
              <w:t xml:space="preserve">  agreement </w:t>
            </w:r>
            <w:r>
              <w:rPr>
                <w:i/>
                <w:sz w:val="17"/>
              </w:rPr>
              <w:br/>
            </w:r>
            <w:r w:rsidRPr="00D70683">
              <w:rPr>
                <w:i/>
                <w:sz w:val="17"/>
              </w:rPr>
              <w:t xml:space="preserve">No. </w:t>
            </w:r>
            <w:r w:rsidRPr="00D70683">
              <w:rPr>
                <w:i/>
                <w:iCs/>
                <w:sz w:val="17"/>
              </w:rPr>
              <w:t>003/PKS/PT-SRAJ/I/2019</w:t>
            </w:r>
            <w:r w:rsidR="00870FD0">
              <w:rPr>
                <w:i/>
                <w:sz w:val="17"/>
              </w:rPr>
              <w:t>.</w:t>
            </w:r>
            <w:r w:rsidRPr="00D70683">
              <w:rPr>
                <w:i/>
                <w:sz w:val="17"/>
              </w:rPr>
              <w:t xml:space="preserve"> </w:t>
            </w:r>
            <w:proofErr w:type="gramStart"/>
            <w:r w:rsidRPr="00D70683">
              <w:rPr>
                <w:i/>
                <w:sz w:val="17"/>
              </w:rPr>
              <w:t>the</w:t>
            </w:r>
            <w:proofErr w:type="gramEnd"/>
            <w:r w:rsidRPr="00D70683">
              <w:rPr>
                <w:i/>
                <w:sz w:val="17"/>
              </w:rPr>
              <w:t xml:space="preserve"> Company entered into an agreement in terms of renting space for office of PT </w:t>
            </w:r>
            <w:r w:rsidRPr="00D70683">
              <w:rPr>
                <w:i/>
                <w:iCs/>
                <w:sz w:val="17"/>
              </w:rPr>
              <w:t>Bank Mayapada Internasional</w:t>
            </w:r>
            <w:r w:rsidR="00870FD0">
              <w:rPr>
                <w:i/>
                <w:iCs/>
                <w:sz w:val="17"/>
              </w:rPr>
              <w:t>.</w:t>
            </w:r>
            <w:r w:rsidRPr="00D70683">
              <w:rPr>
                <w:i/>
                <w:iCs/>
                <w:sz w:val="17"/>
              </w:rPr>
              <w:t xml:space="preserve"> </w:t>
            </w:r>
            <w:r w:rsidRPr="00D70683">
              <w:rPr>
                <w:i/>
                <w:sz w:val="17"/>
              </w:rPr>
              <w:t>Tbk. The agreement is valid for a period of three years ending February 1</w:t>
            </w:r>
            <w:r w:rsidR="00305CA0">
              <w:rPr>
                <w:i/>
                <w:sz w:val="17"/>
              </w:rPr>
              <w:t>.</w:t>
            </w:r>
            <w:r w:rsidRPr="00D70683">
              <w:rPr>
                <w:i/>
                <w:spacing w:val="-3"/>
                <w:sz w:val="17"/>
              </w:rPr>
              <w:t xml:space="preserve"> </w:t>
            </w:r>
            <w:r w:rsidRPr="00D70683">
              <w:rPr>
                <w:i/>
                <w:sz w:val="17"/>
              </w:rPr>
              <w:t>2022.</w:t>
            </w:r>
          </w:p>
        </w:tc>
      </w:tr>
    </w:tbl>
    <w:p w14:paraId="308848A9" w14:textId="2DB23921" w:rsidR="00EE78B5" w:rsidRDefault="00EE78B5">
      <w:r>
        <w:br w:type="page"/>
      </w:r>
    </w:p>
    <w:tbl>
      <w:tblPr>
        <w:tblW w:w="9197" w:type="dxa"/>
        <w:tblInd w:w="392" w:type="dxa"/>
        <w:tblLook w:val="0000" w:firstRow="0" w:lastRow="0" w:firstColumn="0" w:lastColumn="0" w:noHBand="0" w:noVBand="0"/>
      </w:tblPr>
      <w:tblGrid>
        <w:gridCol w:w="4592"/>
        <w:gridCol w:w="4591"/>
        <w:gridCol w:w="14"/>
      </w:tblGrid>
      <w:tr w:rsidR="00EE78B5" w:rsidRPr="00EE78B5" w14:paraId="35F91185" w14:textId="77777777" w:rsidTr="00EE78B5">
        <w:trPr>
          <w:gridAfter w:val="1"/>
          <w:wAfter w:w="14" w:type="dxa"/>
          <w:trHeight w:val="90"/>
        </w:trPr>
        <w:tc>
          <w:tcPr>
            <w:tcW w:w="4592" w:type="dxa"/>
            <w:tcBorders>
              <w:top w:val="nil"/>
              <w:left w:val="nil"/>
              <w:bottom w:val="nil"/>
              <w:right w:val="nil"/>
            </w:tcBorders>
          </w:tcPr>
          <w:p w14:paraId="189493FF" w14:textId="4B6CFCF5" w:rsidR="00EE78B5" w:rsidRPr="00EE78B5" w:rsidRDefault="00EE78B5" w:rsidP="00070D1F">
            <w:pPr>
              <w:numPr>
                <w:ilvl w:val="0"/>
                <w:numId w:val="390"/>
              </w:numPr>
              <w:jc w:val="both"/>
              <w:rPr>
                <w:b/>
                <w:sz w:val="18"/>
                <w:szCs w:val="18"/>
              </w:rPr>
            </w:pPr>
            <w:r w:rsidRPr="00EE78B5">
              <w:rPr>
                <w:b/>
                <w:sz w:val="18"/>
                <w:szCs w:val="18"/>
              </w:rPr>
              <w:lastRenderedPageBreak/>
              <w:t xml:space="preserve">PERJANJIAN-PERJANJIAN PENTING </w:t>
            </w:r>
            <w:r>
              <w:rPr>
                <w:b/>
                <w:sz w:val="18"/>
                <w:szCs w:val="18"/>
              </w:rPr>
              <w:t>- Lanjutan</w:t>
            </w:r>
          </w:p>
        </w:tc>
        <w:tc>
          <w:tcPr>
            <w:tcW w:w="4591" w:type="dxa"/>
            <w:tcBorders>
              <w:top w:val="nil"/>
              <w:left w:val="nil"/>
              <w:bottom w:val="nil"/>
              <w:right w:val="nil"/>
            </w:tcBorders>
          </w:tcPr>
          <w:p w14:paraId="16FE546A" w14:textId="640A540B" w:rsidR="00EE78B5" w:rsidRPr="00EE78B5" w:rsidRDefault="00EE78B5" w:rsidP="00070D1F">
            <w:pPr>
              <w:numPr>
                <w:ilvl w:val="0"/>
                <w:numId w:val="382"/>
              </w:numPr>
              <w:jc w:val="both"/>
              <w:rPr>
                <w:b/>
                <w:i/>
                <w:sz w:val="18"/>
                <w:szCs w:val="18"/>
              </w:rPr>
            </w:pPr>
            <w:r w:rsidRPr="00EE78B5">
              <w:rPr>
                <w:b/>
                <w:i/>
                <w:sz w:val="18"/>
                <w:szCs w:val="18"/>
              </w:rPr>
              <w:t>SIGNIFICANTS AGREEMENTS</w:t>
            </w:r>
            <w:r>
              <w:rPr>
                <w:b/>
                <w:i/>
                <w:sz w:val="18"/>
                <w:szCs w:val="18"/>
              </w:rPr>
              <w:t xml:space="preserve"> - Continued</w:t>
            </w:r>
          </w:p>
        </w:tc>
      </w:tr>
      <w:tr w:rsidR="00EE78B5" w:rsidRPr="00EE78B5" w14:paraId="465C369C" w14:textId="77777777" w:rsidTr="00EE78B5">
        <w:trPr>
          <w:gridAfter w:val="1"/>
          <w:wAfter w:w="14" w:type="dxa"/>
          <w:trHeight w:val="90"/>
        </w:trPr>
        <w:tc>
          <w:tcPr>
            <w:tcW w:w="4592" w:type="dxa"/>
            <w:tcBorders>
              <w:top w:val="nil"/>
              <w:left w:val="nil"/>
              <w:bottom w:val="nil"/>
              <w:right w:val="nil"/>
            </w:tcBorders>
          </w:tcPr>
          <w:p w14:paraId="2F21D8D5" w14:textId="77777777" w:rsidR="00EE78B5" w:rsidRPr="00EE78B5" w:rsidRDefault="00EE78B5" w:rsidP="00EE78B5">
            <w:pPr>
              <w:pStyle w:val="ListParagraph"/>
              <w:ind w:right="-57"/>
              <w:rPr>
                <w:b/>
                <w:sz w:val="12"/>
                <w:szCs w:val="12"/>
              </w:rPr>
            </w:pPr>
          </w:p>
        </w:tc>
        <w:tc>
          <w:tcPr>
            <w:tcW w:w="4591" w:type="dxa"/>
            <w:tcBorders>
              <w:top w:val="nil"/>
              <w:left w:val="nil"/>
              <w:bottom w:val="nil"/>
              <w:right w:val="nil"/>
            </w:tcBorders>
          </w:tcPr>
          <w:p w14:paraId="40884217" w14:textId="77777777" w:rsidR="00EE78B5" w:rsidRPr="00EE78B5" w:rsidRDefault="00EE78B5" w:rsidP="00EE78B5">
            <w:pPr>
              <w:pStyle w:val="ListParagraph"/>
              <w:tabs>
                <w:tab w:val="right" w:pos="9340"/>
                <w:tab w:val="right" w:pos="10080"/>
              </w:tabs>
              <w:ind w:left="284" w:right="-57"/>
              <w:jc w:val="both"/>
              <w:rPr>
                <w:b/>
                <w:i/>
                <w:sz w:val="12"/>
                <w:szCs w:val="12"/>
              </w:rPr>
            </w:pPr>
          </w:p>
        </w:tc>
      </w:tr>
      <w:tr w:rsidR="00EE78B5" w:rsidRPr="00EE78B5" w14:paraId="52068067" w14:textId="77777777" w:rsidTr="00EE78B5">
        <w:trPr>
          <w:gridAfter w:val="1"/>
          <w:wAfter w:w="14" w:type="dxa"/>
          <w:trHeight w:val="90"/>
        </w:trPr>
        <w:tc>
          <w:tcPr>
            <w:tcW w:w="4592" w:type="dxa"/>
            <w:tcBorders>
              <w:top w:val="nil"/>
              <w:left w:val="nil"/>
              <w:bottom w:val="nil"/>
              <w:right w:val="nil"/>
            </w:tcBorders>
          </w:tcPr>
          <w:p w14:paraId="5AA7D8BC" w14:textId="11E84544" w:rsidR="00EE78B5" w:rsidRPr="00EE78B5" w:rsidRDefault="00EE78B5" w:rsidP="00091DE4">
            <w:pPr>
              <w:pStyle w:val="ListParagraph"/>
              <w:ind w:left="318" w:right="-57"/>
              <w:jc w:val="both"/>
              <w:rPr>
                <w:sz w:val="18"/>
                <w:szCs w:val="18"/>
                <w:u w:val="single"/>
              </w:rPr>
            </w:pPr>
            <w:r w:rsidRPr="00EE78B5">
              <w:rPr>
                <w:sz w:val="18"/>
                <w:szCs w:val="18"/>
                <w:u w:val="single"/>
              </w:rPr>
              <w:t>Perusahaan</w:t>
            </w:r>
            <w:r>
              <w:rPr>
                <w:sz w:val="18"/>
                <w:szCs w:val="18"/>
                <w:u w:val="single"/>
              </w:rPr>
              <w:t xml:space="preserve"> - Lanjutan</w:t>
            </w:r>
          </w:p>
        </w:tc>
        <w:tc>
          <w:tcPr>
            <w:tcW w:w="4591" w:type="dxa"/>
            <w:tcBorders>
              <w:top w:val="nil"/>
              <w:left w:val="nil"/>
              <w:bottom w:val="nil"/>
              <w:right w:val="nil"/>
            </w:tcBorders>
          </w:tcPr>
          <w:p w14:paraId="74328ADF" w14:textId="1B33D168" w:rsidR="00EE78B5" w:rsidRPr="00EE78B5" w:rsidRDefault="00EE78B5" w:rsidP="00091DE4">
            <w:pPr>
              <w:pStyle w:val="ListParagraph"/>
              <w:tabs>
                <w:tab w:val="right" w:pos="9340"/>
                <w:tab w:val="right" w:pos="10080"/>
              </w:tabs>
              <w:ind w:left="284" w:right="-57"/>
              <w:jc w:val="both"/>
              <w:rPr>
                <w:i/>
                <w:sz w:val="18"/>
                <w:szCs w:val="18"/>
                <w:u w:val="single"/>
              </w:rPr>
            </w:pPr>
            <w:r w:rsidRPr="00EE78B5">
              <w:rPr>
                <w:i/>
                <w:sz w:val="18"/>
                <w:szCs w:val="18"/>
                <w:u w:val="single"/>
              </w:rPr>
              <w:t>Company</w:t>
            </w:r>
            <w:r>
              <w:rPr>
                <w:i/>
                <w:sz w:val="18"/>
                <w:szCs w:val="18"/>
                <w:u w:val="single"/>
              </w:rPr>
              <w:t xml:space="preserve"> - Continued</w:t>
            </w:r>
          </w:p>
        </w:tc>
      </w:tr>
      <w:tr w:rsidR="00EE78B5" w:rsidRPr="0013526B" w14:paraId="52FC6300" w14:textId="77777777" w:rsidTr="00EE78B5">
        <w:trPr>
          <w:gridAfter w:val="1"/>
          <w:wAfter w:w="14" w:type="dxa"/>
          <w:trHeight w:val="90"/>
        </w:trPr>
        <w:tc>
          <w:tcPr>
            <w:tcW w:w="4592" w:type="dxa"/>
            <w:tcBorders>
              <w:top w:val="nil"/>
              <w:left w:val="nil"/>
              <w:bottom w:val="nil"/>
              <w:right w:val="nil"/>
            </w:tcBorders>
          </w:tcPr>
          <w:p w14:paraId="5E78BEC4" w14:textId="77777777" w:rsidR="00EE78B5" w:rsidRPr="00EE78B5" w:rsidRDefault="00EE78B5" w:rsidP="00091DE4">
            <w:pPr>
              <w:pStyle w:val="ListParagraph"/>
              <w:ind w:left="318" w:right="-57"/>
              <w:jc w:val="both"/>
              <w:rPr>
                <w:sz w:val="12"/>
                <w:szCs w:val="12"/>
              </w:rPr>
            </w:pPr>
          </w:p>
        </w:tc>
        <w:tc>
          <w:tcPr>
            <w:tcW w:w="4591" w:type="dxa"/>
            <w:tcBorders>
              <w:top w:val="nil"/>
              <w:left w:val="nil"/>
              <w:bottom w:val="nil"/>
              <w:right w:val="nil"/>
            </w:tcBorders>
          </w:tcPr>
          <w:p w14:paraId="593B4CC1" w14:textId="77777777" w:rsidR="00EE78B5" w:rsidRPr="00EE78B5" w:rsidRDefault="00EE78B5" w:rsidP="00091DE4">
            <w:pPr>
              <w:pStyle w:val="ListParagraph"/>
              <w:tabs>
                <w:tab w:val="right" w:pos="9340"/>
                <w:tab w:val="right" w:pos="10080"/>
              </w:tabs>
              <w:ind w:left="284" w:right="-57"/>
              <w:jc w:val="both"/>
              <w:rPr>
                <w:i/>
                <w:sz w:val="12"/>
                <w:szCs w:val="12"/>
              </w:rPr>
            </w:pPr>
          </w:p>
        </w:tc>
      </w:tr>
      <w:tr w:rsidR="001420D9" w:rsidRPr="001420D9" w14:paraId="5D27D822" w14:textId="77777777" w:rsidTr="001420D9">
        <w:trPr>
          <w:gridAfter w:val="1"/>
          <w:wAfter w:w="14" w:type="dxa"/>
          <w:trHeight w:val="90"/>
        </w:trPr>
        <w:tc>
          <w:tcPr>
            <w:tcW w:w="4592" w:type="dxa"/>
            <w:tcBorders>
              <w:top w:val="nil"/>
              <w:left w:val="nil"/>
              <w:bottom w:val="nil"/>
              <w:right w:val="nil"/>
            </w:tcBorders>
          </w:tcPr>
          <w:p w14:paraId="7EF368E0" w14:textId="52AF7780" w:rsidR="001420D9" w:rsidRPr="001420D9" w:rsidRDefault="001420D9" w:rsidP="00921DC2">
            <w:pPr>
              <w:pStyle w:val="ListParagraph"/>
              <w:ind w:left="318" w:right="-57"/>
              <w:jc w:val="both"/>
              <w:rPr>
                <w:sz w:val="12"/>
                <w:szCs w:val="12"/>
              </w:rPr>
            </w:pPr>
          </w:p>
        </w:tc>
        <w:tc>
          <w:tcPr>
            <w:tcW w:w="4591" w:type="dxa"/>
            <w:tcBorders>
              <w:top w:val="nil"/>
              <w:left w:val="nil"/>
              <w:bottom w:val="nil"/>
              <w:right w:val="nil"/>
            </w:tcBorders>
          </w:tcPr>
          <w:p w14:paraId="5B0B577A" w14:textId="77777777" w:rsidR="001420D9" w:rsidRPr="001420D9" w:rsidRDefault="001420D9" w:rsidP="00921DC2">
            <w:pPr>
              <w:pStyle w:val="ListParagraph"/>
              <w:tabs>
                <w:tab w:val="right" w:pos="9340"/>
                <w:tab w:val="right" w:pos="10080"/>
              </w:tabs>
              <w:ind w:left="284" w:right="-57"/>
              <w:jc w:val="both"/>
              <w:rPr>
                <w:i/>
                <w:sz w:val="12"/>
                <w:szCs w:val="12"/>
              </w:rPr>
            </w:pPr>
          </w:p>
        </w:tc>
      </w:tr>
      <w:tr w:rsidR="001420D9" w:rsidRPr="0013526B" w14:paraId="0250FA62" w14:textId="77777777" w:rsidTr="001420D9">
        <w:trPr>
          <w:gridAfter w:val="1"/>
          <w:wAfter w:w="14" w:type="dxa"/>
          <w:trHeight w:val="90"/>
        </w:trPr>
        <w:tc>
          <w:tcPr>
            <w:tcW w:w="4592" w:type="dxa"/>
            <w:tcBorders>
              <w:top w:val="nil"/>
              <w:left w:val="nil"/>
              <w:bottom w:val="nil"/>
              <w:right w:val="nil"/>
            </w:tcBorders>
          </w:tcPr>
          <w:p w14:paraId="5E15D77B" w14:textId="1A40433C" w:rsidR="001420D9" w:rsidRPr="00D70683" w:rsidRDefault="001420D9" w:rsidP="0068130A">
            <w:pPr>
              <w:pStyle w:val="ListParagraph"/>
              <w:ind w:left="318" w:right="-57"/>
              <w:jc w:val="both"/>
              <w:rPr>
                <w:sz w:val="17"/>
              </w:rPr>
            </w:pPr>
            <w:r w:rsidRPr="00D70683">
              <w:rPr>
                <w:sz w:val="17"/>
              </w:rPr>
              <w:t>Pada tanggal 1 Januari 2019</w:t>
            </w:r>
            <w:r w:rsidR="00305CA0">
              <w:rPr>
                <w:sz w:val="17"/>
              </w:rPr>
              <w:t>.</w:t>
            </w:r>
            <w:r w:rsidRPr="00D70683">
              <w:rPr>
                <w:sz w:val="17"/>
              </w:rPr>
              <w:t xml:space="preserve"> </w:t>
            </w:r>
            <w:proofErr w:type="gramStart"/>
            <w:r w:rsidRPr="00D70683">
              <w:rPr>
                <w:sz w:val="17"/>
              </w:rPr>
              <w:t>berdasarkan</w:t>
            </w:r>
            <w:proofErr w:type="gramEnd"/>
            <w:r w:rsidRPr="00D70683">
              <w:rPr>
                <w:sz w:val="17"/>
              </w:rPr>
              <w:t xml:space="preserve"> perjanjian </w:t>
            </w:r>
            <w:r>
              <w:rPr>
                <w:sz w:val="17"/>
              </w:rPr>
              <w:br/>
            </w:r>
            <w:r w:rsidRPr="00D70683">
              <w:rPr>
                <w:sz w:val="17"/>
              </w:rPr>
              <w:t>No. 024/PKS/BMC-MH/V/2019</w:t>
            </w:r>
            <w:r w:rsidR="00305CA0">
              <w:rPr>
                <w:sz w:val="17"/>
              </w:rPr>
              <w:t>.</w:t>
            </w:r>
            <w:r w:rsidRPr="00D70683">
              <w:rPr>
                <w:sz w:val="17"/>
              </w:rPr>
              <w:t xml:space="preserve"> Perusahaan mengadakan perjanjian kerjasama dengan CV Ibrahim Anak Sholeh dalam hal pengadaan gizi basah</w:t>
            </w:r>
            <w:r w:rsidRPr="00D70683">
              <w:rPr>
                <w:i/>
                <w:iCs/>
                <w:sz w:val="17"/>
              </w:rPr>
              <w:t xml:space="preserve">. </w:t>
            </w:r>
            <w:r w:rsidRPr="00D70683">
              <w:rPr>
                <w:sz w:val="17"/>
              </w:rPr>
              <w:t xml:space="preserve">Perjanjian ini berlaku untuk jangka waktu dua tahun </w:t>
            </w:r>
            <w:proofErr w:type="gramStart"/>
            <w:r w:rsidRPr="00D70683">
              <w:rPr>
                <w:sz w:val="17"/>
              </w:rPr>
              <w:t>yang  berakhir</w:t>
            </w:r>
            <w:proofErr w:type="gramEnd"/>
            <w:r w:rsidRPr="00D70683">
              <w:rPr>
                <w:sz w:val="17"/>
              </w:rPr>
              <w:t xml:space="preserve">  pada  tanggal  </w:t>
            </w:r>
            <w:r>
              <w:rPr>
                <w:sz w:val="17"/>
              </w:rPr>
              <w:br/>
            </w:r>
            <w:r w:rsidRPr="00D70683">
              <w:rPr>
                <w:sz w:val="17"/>
              </w:rPr>
              <w:t>31 Desember 2021.</w:t>
            </w:r>
          </w:p>
        </w:tc>
        <w:tc>
          <w:tcPr>
            <w:tcW w:w="4591" w:type="dxa"/>
            <w:tcBorders>
              <w:top w:val="nil"/>
              <w:left w:val="nil"/>
              <w:bottom w:val="nil"/>
              <w:right w:val="nil"/>
            </w:tcBorders>
          </w:tcPr>
          <w:p w14:paraId="06F86540" w14:textId="59B7938C" w:rsidR="001420D9" w:rsidRDefault="001420D9" w:rsidP="0068130A">
            <w:pPr>
              <w:pStyle w:val="ListParagraph"/>
              <w:tabs>
                <w:tab w:val="right" w:pos="9340"/>
                <w:tab w:val="right" w:pos="10080"/>
              </w:tabs>
              <w:ind w:left="284" w:right="-57"/>
              <w:jc w:val="both"/>
              <w:rPr>
                <w:i/>
                <w:sz w:val="18"/>
                <w:szCs w:val="18"/>
                <w:u w:val="single"/>
              </w:rPr>
            </w:pPr>
            <w:proofErr w:type="gramStart"/>
            <w:r w:rsidRPr="00D70683">
              <w:rPr>
                <w:i/>
                <w:sz w:val="17"/>
              </w:rPr>
              <w:t>On  January</w:t>
            </w:r>
            <w:proofErr w:type="gramEnd"/>
            <w:r w:rsidRPr="00D70683">
              <w:rPr>
                <w:i/>
                <w:sz w:val="17"/>
              </w:rPr>
              <w:t xml:space="preserve"> 1</w:t>
            </w:r>
            <w:r w:rsidR="00305CA0">
              <w:rPr>
                <w:i/>
                <w:sz w:val="17"/>
              </w:rPr>
              <w:t>.</w:t>
            </w:r>
            <w:r w:rsidRPr="00D70683">
              <w:rPr>
                <w:i/>
                <w:sz w:val="17"/>
              </w:rPr>
              <w:t xml:space="preserve">  2019</w:t>
            </w:r>
            <w:r w:rsidR="00305CA0">
              <w:rPr>
                <w:i/>
                <w:sz w:val="17"/>
              </w:rPr>
              <w:t>.</w:t>
            </w:r>
            <w:r w:rsidRPr="00D70683">
              <w:rPr>
                <w:i/>
                <w:sz w:val="17"/>
              </w:rPr>
              <w:t xml:space="preserve">  </w:t>
            </w:r>
            <w:proofErr w:type="gramStart"/>
            <w:r w:rsidRPr="00D70683">
              <w:rPr>
                <w:i/>
                <w:sz w:val="17"/>
              </w:rPr>
              <w:t>based  on</w:t>
            </w:r>
            <w:proofErr w:type="gramEnd"/>
            <w:r w:rsidRPr="00D70683">
              <w:rPr>
                <w:i/>
                <w:sz w:val="17"/>
              </w:rPr>
              <w:t xml:space="preserve">  agreement </w:t>
            </w:r>
            <w:r>
              <w:rPr>
                <w:i/>
                <w:sz w:val="17"/>
              </w:rPr>
              <w:br/>
            </w:r>
            <w:r w:rsidRPr="00D70683">
              <w:rPr>
                <w:i/>
                <w:sz w:val="17"/>
              </w:rPr>
              <w:t xml:space="preserve">No. </w:t>
            </w:r>
            <w:r w:rsidRPr="00D70683">
              <w:rPr>
                <w:i/>
                <w:iCs/>
                <w:sz w:val="17"/>
              </w:rPr>
              <w:t>024/PKS/BMC-MH/V/2019</w:t>
            </w:r>
            <w:r w:rsidR="00305CA0">
              <w:rPr>
                <w:i/>
                <w:sz w:val="17"/>
              </w:rPr>
              <w:t>.</w:t>
            </w:r>
            <w:r w:rsidRPr="00D70683">
              <w:rPr>
                <w:i/>
                <w:sz w:val="17"/>
              </w:rPr>
              <w:t xml:space="preserve"> </w:t>
            </w:r>
            <w:proofErr w:type="gramStart"/>
            <w:r w:rsidRPr="00D70683">
              <w:rPr>
                <w:i/>
                <w:sz w:val="17"/>
              </w:rPr>
              <w:t>the</w:t>
            </w:r>
            <w:proofErr w:type="gramEnd"/>
            <w:r w:rsidRPr="00D70683">
              <w:rPr>
                <w:i/>
                <w:sz w:val="17"/>
              </w:rPr>
              <w:t xml:space="preserve"> Company entered into an agreement with </w:t>
            </w:r>
            <w:r w:rsidRPr="00D70683">
              <w:rPr>
                <w:i/>
                <w:iCs/>
                <w:sz w:val="17"/>
              </w:rPr>
              <w:t>CV Ibrahim Anak Sholeh</w:t>
            </w:r>
            <w:r w:rsidRPr="00D70683">
              <w:rPr>
                <w:i/>
                <w:sz w:val="17"/>
              </w:rPr>
              <w:t xml:space="preserve"> to providing wet nutrition. The agreement is valid for a period of two years ended December 31</w:t>
            </w:r>
            <w:r w:rsidR="00305CA0">
              <w:rPr>
                <w:i/>
                <w:sz w:val="17"/>
              </w:rPr>
              <w:t>.</w:t>
            </w:r>
            <w:r w:rsidRPr="00D70683">
              <w:rPr>
                <w:i/>
                <w:spacing w:val="-1"/>
                <w:sz w:val="17"/>
              </w:rPr>
              <w:t xml:space="preserve"> </w:t>
            </w:r>
            <w:r w:rsidRPr="00D70683">
              <w:rPr>
                <w:i/>
                <w:sz w:val="17"/>
              </w:rPr>
              <w:t>2021.</w:t>
            </w:r>
          </w:p>
        </w:tc>
      </w:tr>
      <w:tr w:rsidR="001420D9" w:rsidRPr="001420D9" w14:paraId="14BC4649" w14:textId="77777777" w:rsidTr="001420D9">
        <w:trPr>
          <w:gridAfter w:val="1"/>
          <w:wAfter w:w="14" w:type="dxa"/>
          <w:trHeight w:val="90"/>
        </w:trPr>
        <w:tc>
          <w:tcPr>
            <w:tcW w:w="4592" w:type="dxa"/>
            <w:tcBorders>
              <w:top w:val="nil"/>
              <w:left w:val="nil"/>
              <w:bottom w:val="nil"/>
              <w:right w:val="nil"/>
            </w:tcBorders>
          </w:tcPr>
          <w:p w14:paraId="2BD7BE66" w14:textId="77777777" w:rsidR="001420D9" w:rsidRPr="001420D9" w:rsidRDefault="001420D9" w:rsidP="00921DC2">
            <w:pPr>
              <w:pStyle w:val="ListParagraph"/>
              <w:ind w:left="318" w:right="-57"/>
              <w:jc w:val="both"/>
              <w:rPr>
                <w:sz w:val="12"/>
                <w:szCs w:val="12"/>
              </w:rPr>
            </w:pPr>
          </w:p>
        </w:tc>
        <w:tc>
          <w:tcPr>
            <w:tcW w:w="4591" w:type="dxa"/>
            <w:tcBorders>
              <w:top w:val="nil"/>
              <w:left w:val="nil"/>
              <w:bottom w:val="nil"/>
              <w:right w:val="nil"/>
            </w:tcBorders>
          </w:tcPr>
          <w:p w14:paraId="0EB01903" w14:textId="77777777" w:rsidR="001420D9" w:rsidRPr="001420D9" w:rsidRDefault="001420D9" w:rsidP="00921DC2">
            <w:pPr>
              <w:pStyle w:val="ListParagraph"/>
              <w:tabs>
                <w:tab w:val="right" w:pos="9340"/>
                <w:tab w:val="right" w:pos="10080"/>
              </w:tabs>
              <w:ind w:left="284" w:right="-57"/>
              <w:jc w:val="both"/>
              <w:rPr>
                <w:i/>
                <w:sz w:val="12"/>
                <w:szCs w:val="12"/>
              </w:rPr>
            </w:pPr>
          </w:p>
        </w:tc>
      </w:tr>
      <w:tr w:rsidR="001420D9" w:rsidRPr="0013526B" w14:paraId="1D5BE997" w14:textId="77777777" w:rsidTr="001420D9">
        <w:trPr>
          <w:gridAfter w:val="1"/>
          <w:wAfter w:w="14" w:type="dxa"/>
          <w:trHeight w:val="90"/>
        </w:trPr>
        <w:tc>
          <w:tcPr>
            <w:tcW w:w="4592" w:type="dxa"/>
            <w:tcBorders>
              <w:top w:val="nil"/>
              <w:left w:val="nil"/>
              <w:bottom w:val="nil"/>
              <w:right w:val="nil"/>
            </w:tcBorders>
          </w:tcPr>
          <w:p w14:paraId="77A22291" w14:textId="368FF987" w:rsidR="001420D9" w:rsidRPr="00D70683" w:rsidRDefault="001420D9" w:rsidP="0068130A">
            <w:pPr>
              <w:pStyle w:val="ListParagraph"/>
              <w:ind w:left="318" w:right="-57"/>
              <w:jc w:val="both"/>
              <w:rPr>
                <w:sz w:val="17"/>
              </w:rPr>
            </w:pPr>
            <w:r w:rsidRPr="00D70683">
              <w:rPr>
                <w:sz w:val="17"/>
              </w:rPr>
              <w:t>Pada tanggal 1 Januari 2019</w:t>
            </w:r>
            <w:r w:rsidR="00305CA0">
              <w:rPr>
                <w:sz w:val="17"/>
              </w:rPr>
              <w:t>.</w:t>
            </w:r>
            <w:r w:rsidRPr="00D70683">
              <w:rPr>
                <w:sz w:val="17"/>
              </w:rPr>
              <w:t xml:space="preserve"> </w:t>
            </w:r>
            <w:proofErr w:type="gramStart"/>
            <w:r w:rsidRPr="00D70683">
              <w:rPr>
                <w:sz w:val="17"/>
              </w:rPr>
              <w:t>berdasarkan</w:t>
            </w:r>
            <w:proofErr w:type="gramEnd"/>
            <w:r w:rsidRPr="00D70683">
              <w:rPr>
                <w:sz w:val="17"/>
              </w:rPr>
              <w:t xml:space="preserve"> perjanjian </w:t>
            </w:r>
            <w:r>
              <w:rPr>
                <w:sz w:val="17"/>
              </w:rPr>
              <w:br/>
            </w:r>
            <w:r w:rsidRPr="00D70683">
              <w:rPr>
                <w:sz w:val="17"/>
              </w:rPr>
              <w:t>No. 020/PKS/BMC-MH/V/2019</w:t>
            </w:r>
            <w:r w:rsidR="00305CA0">
              <w:rPr>
                <w:sz w:val="17"/>
              </w:rPr>
              <w:t>.</w:t>
            </w:r>
            <w:r w:rsidRPr="00D70683">
              <w:rPr>
                <w:sz w:val="17"/>
              </w:rPr>
              <w:t xml:space="preserve"> Perusahaan mengadakan perjanjian kerjasama dengan Masabif dalam hal pengadaan gizi basah</w:t>
            </w:r>
            <w:r w:rsidRPr="00D70683">
              <w:rPr>
                <w:i/>
                <w:iCs/>
                <w:sz w:val="17"/>
              </w:rPr>
              <w:t xml:space="preserve">. </w:t>
            </w:r>
            <w:r w:rsidRPr="00D70683">
              <w:rPr>
                <w:sz w:val="17"/>
              </w:rPr>
              <w:t xml:space="preserve">Perjanjian ini berlaku untuk jangka waktu dua tahun </w:t>
            </w:r>
            <w:proofErr w:type="gramStart"/>
            <w:r w:rsidRPr="00D70683">
              <w:rPr>
                <w:sz w:val="17"/>
              </w:rPr>
              <w:t>yang  berakhir</w:t>
            </w:r>
            <w:proofErr w:type="gramEnd"/>
            <w:r w:rsidRPr="00D70683">
              <w:rPr>
                <w:sz w:val="17"/>
              </w:rPr>
              <w:t xml:space="preserve">  pada  tanggal  31 Desember 2021.</w:t>
            </w:r>
          </w:p>
        </w:tc>
        <w:tc>
          <w:tcPr>
            <w:tcW w:w="4591" w:type="dxa"/>
            <w:tcBorders>
              <w:top w:val="nil"/>
              <w:left w:val="nil"/>
              <w:bottom w:val="nil"/>
              <w:right w:val="nil"/>
            </w:tcBorders>
          </w:tcPr>
          <w:p w14:paraId="221511E3" w14:textId="11DAFE8C" w:rsidR="001420D9" w:rsidRDefault="001420D9" w:rsidP="0068130A">
            <w:pPr>
              <w:pStyle w:val="ListParagraph"/>
              <w:tabs>
                <w:tab w:val="right" w:pos="9340"/>
                <w:tab w:val="right" w:pos="10080"/>
              </w:tabs>
              <w:ind w:left="284" w:right="-57"/>
              <w:jc w:val="both"/>
              <w:rPr>
                <w:i/>
                <w:sz w:val="18"/>
                <w:szCs w:val="18"/>
                <w:u w:val="single"/>
              </w:rPr>
            </w:pPr>
            <w:proofErr w:type="gramStart"/>
            <w:r w:rsidRPr="00D70683">
              <w:rPr>
                <w:i/>
                <w:sz w:val="17"/>
              </w:rPr>
              <w:t>On  January</w:t>
            </w:r>
            <w:proofErr w:type="gramEnd"/>
            <w:r w:rsidRPr="00D70683">
              <w:rPr>
                <w:i/>
                <w:sz w:val="17"/>
              </w:rPr>
              <w:t xml:space="preserve"> 1</w:t>
            </w:r>
            <w:r w:rsidR="00305CA0">
              <w:rPr>
                <w:i/>
                <w:sz w:val="17"/>
              </w:rPr>
              <w:t>.</w:t>
            </w:r>
            <w:r w:rsidRPr="00D70683">
              <w:rPr>
                <w:i/>
                <w:sz w:val="17"/>
              </w:rPr>
              <w:t xml:space="preserve">  2019</w:t>
            </w:r>
            <w:r w:rsidR="00305CA0">
              <w:rPr>
                <w:i/>
                <w:sz w:val="17"/>
              </w:rPr>
              <w:t>.</w:t>
            </w:r>
            <w:r w:rsidRPr="00D70683">
              <w:rPr>
                <w:i/>
                <w:sz w:val="17"/>
              </w:rPr>
              <w:t xml:space="preserve">  </w:t>
            </w:r>
            <w:proofErr w:type="gramStart"/>
            <w:r w:rsidRPr="00D70683">
              <w:rPr>
                <w:i/>
                <w:sz w:val="17"/>
              </w:rPr>
              <w:t>based  on</w:t>
            </w:r>
            <w:proofErr w:type="gramEnd"/>
            <w:r w:rsidRPr="00D70683">
              <w:rPr>
                <w:i/>
                <w:sz w:val="17"/>
              </w:rPr>
              <w:t xml:space="preserve">  agreement </w:t>
            </w:r>
            <w:r>
              <w:rPr>
                <w:i/>
                <w:sz w:val="17"/>
              </w:rPr>
              <w:br/>
            </w:r>
            <w:r w:rsidRPr="00D70683">
              <w:rPr>
                <w:i/>
                <w:sz w:val="17"/>
              </w:rPr>
              <w:t xml:space="preserve">No. </w:t>
            </w:r>
            <w:r w:rsidRPr="00D70683">
              <w:rPr>
                <w:i/>
                <w:iCs/>
                <w:sz w:val="17"/>
              </w:rPr>
              <w:t>020/PKS/BMC-MH/V/2019</w:t>
            </w:r>
            <w:r w:rsidR="00305CA0">
              <w:rPr>
                <w:i/>
                <w:sz w:val="17"/>
              </w:rPr>
              <w:t>.</w:t>
            </w:r>
            <w:r w:rsidRPr="00D70683">
              <w:rPr>
                <w:i/>
                <w:sz w:val="17"/>
              </w:rPr>
              <w:t xml:space="preserve"> </w:t>
            </w:r>
            <w:proofErr w:type="gramStart"/>
            <w:r w:rsidRPr="00D70683">
              <w:rPr>
                <w:i/>
                <w:sz w:val="17"/>
              </w:rPr>
              <w:t>the</w:t>
            </w:r>
            <w:proofErr w:type="gramEnd"/>
            <w:r w:rsidRPr="00D70683">
              <w:rPr>
                <w:i/>
                <w:sz w:val="17"/>
              </w:rPr>
              <w:t xml:space="preserve"> Company entered into an agreement with </w:t>
            </w:r>
            <w:r w:rsidRPr="00D70683">
              <w:rPr>
                <w:i/>
                <w:iCs/>
                <w:sz w:val="17"/>
              </w:rPr>
              <w:t>Masabif</w:t>
            </w:r>
            <w:r w:rsidRPr="00D70683">
              <w:rPr>
                <w:i/>
                <w:sz w:val="17"/>
              </w:rPr>
              <w:t xml:space="preserve"> to providing wet nutrition. The agreement is valid for a period </w:t>
            </w:r>
            <w:proofErr w:type="gramStart"/>
            <w:r w:rsidRPr="00D70683">
              <w:rPr>
                <w:i/>
                <w:sz w:val="17"/>
              </w:rPr>
              <w:t xml:space="preserve">of </w:t>
            </w:r>
            <w:r>
              <w:rPr>
                <w:i/>
                <w:sz w:val="17"/>
              </w:rPr>
              <w:t xml:space="preserve"> </w:t>
            </w:r>
            <w:r w:rsidRPr="00D70683">
              <w:rPr>
                <w:i/>
                <w:sz w:val="17"/>
              </w:rPr>
              <w:t>two</w:t>
            </w:r>
            <w:proofErr w:type="gramEnd"/>
            <w:r w:rsidRPr="00D70683">
              <w:rPr>
                <w:i/>
                <w:sz w:val="17"/>
              </w:rPr>
              <w:t xml:space="preserve"> years ended </w:t>
            </w:r>
            <w:r>
              <w:rPr>
                <w:i/>
                <w:sz w:val="17"/>
              </w:rPr>
              <w:br/>
            </w:r>
            <w:r w:rsidRPr="00D70683">
              <w:rPr>
                <w:i/>
                <w:sz w:val="17"/>
              </w:rPr>
              <w:t>December 31</w:t>
            </w:r>
            <w:r w:rsidR="00305CA0">
              <w:rPr>
                <w:i/>
                <w:sz w:val="17"/>
              </w:rPr>
              <w:t>.</w:t>
            </w:r>
            <w:r w:rsidRPr="00D70683">
              <w:rPr>
                <w:i/>
                <w:spacing w:val="-1"/>
                <w:sz w:val="17"/>
              </w:rPr>
              <w:t xml:space="preserve"> </w:t>
            </w:r>
            <w:r w:rsidRPr="00D70683">
              <w:rPr>
                <w:i/>
                <w:sz w:val="17"/>
              </w:rPr>
              <w:t>2021.</w:t>
            </w:r>
          </w:p>
        </w:tc>
      </w:tr>
      <w:tr w:rsidR="001420D9" w:rsidRPr="001420D9" w14:paraId="0A0DD5BD" w14:textId="77777777" w:rsidTr="001420D9">
        <w:trPr>
          <w:gridAfter w:val="1"/>
          <w:wAfter w:w="14" w:type="dxa"/>
          <w:trHeight w:val="90"/>
        </w:trPr>
        <w:tc>
          <w:tcPr>
            <w:tcW w:w="4592" w:type="dxa"/>
            <w:tcBorders>
              <w:top w:val="nil"/>
              <w:left w:val="nil"/>
              <w:bottom w:val="nil"/>
              <w:right w:val="nil"/>
            </w:tcBorders>
          </w:tcPr>
          <w:p w14:paraId="08877A6E" w14:textId="77777777" w:rsidR="001420D9" w:rsidRPr="001420D9" w:rsidRDefault="001420D9" w:rsidP="001420D9">
            <w:pPr>
              <w:pStyle w:val="ListParagraph"/>
              <w:ind w:left="318" w:right="-57"/>
              <w:jc w:val="both"/>
              <w:rPr>
                <w:sz w:val="12"/>
                <w:szCs w:val="12"/>
              </w:rPr>
            </w:pPr>
          </w:p>
        </w:tc>
        <w:tc>
          <w:tcPr>
            <w:tcW w:w="4591" w:type="dxa"/>
            <w:tcBorders>
              <w:top w:val="nil"/>
              <w:left w:val="nil"/>
              <w:bottom w:val="nil"/>
              <w:right w:val="nil"/>
            </w:tcBorders>
          </w:tcPr>
          <w:p w14:paraId="507094EB" w14:textId="77777777" w:rsidR="001420D9" w:rsidRPr="001420D9" w:rsidRDefault="001420D9" w:rsidP="001420D9">
            <w:pPr>
              <w:pStyle w:val="ListParagraph"/>
              <w:tabs>
                <w:tab w:val="right" w:pos="9340"/>
                <w:tab w:val="right" w:pos="10080"/>
              </w:tabs>
              <w:ind w:left="284" w:right="-57"/>
              <w:jc w:val="both"/>
              <w:rPr>
                <w:i/>
                <w:sz w:val="12"/>
                <w:szCs w:val="12"/>
              </w:rPr>
            </w:pPr>
          </w:p>
        </w:tc>
      </w:tr>
      <w:tr w:rsidR="001B2239" w:rsidRPr="0013526B" w14:paraId="2B40A1AA" w14:textId="77777777" w:rsidTr="001420D9">
        <w:trPr>
          <w:trHeight w:val="90"/>
        </w:trPr>
        <w:tc>
          <w:tcPr>
            <w:tcW w:w="4592" w:type="dxa"/>
            <w:tcBorders>
              <w:top w:val="nil"/>
              <w:left w:val="nil"/>
              <w:bottom w:val="nil"/>
              <w:right w:val="nil"/>
            </w:tcBorders>
          </w:tcPr>
          <w:p w14:paraId="3235BA42" w14:textId="003DA993" w:rsidR="001B2239" w:rsidRPr="00432345" w:rsidRDefault="001B2239" w:rsidP="0068130A">
            <w:pPr>
              <w:pStyle w:val="ListParagraph"/>
              <w:ind w:left="318" w:right="-57"/>
              <w:jc w:val="both"/>
              <w:rPr>
                <w:sz w:val="18"/>
                <w:szCs w:val="18"/>
                <w:u w:val="single"/>
              </w:rPr>
            </w:pPr>
            <w:r w:rsidRPr="00432345">
              <w:rPr>
                <w:sz w:val="17"/>
              </w:rPr>
              <w:t>Pada tanggal 1</w:t>
            </w:r>
            <w:r w:rsidR="002001B2" w:rsidRPr="00432345">
              <w:rPr>
                <w:sz w:val="17"/>
              </w:rPr>
              <w:t>3</w:t>
            </w:r>
            <w:r w:rsidRPr="00432345">
              <w:rPr>
                <w:sz w:val="17"/>
              </w:rPr>
              <w:t xml:space="preserve"> </w:t>
            </w:r>
            <w:r w:rsidR="002001B2" w:rsidRPr="00432345">
              <w:rPr>
                <w:sz w:val="17"/>
              </w:rPr>
              <w:t>Desember</w:t>
            </w:r>
            <w:r w:rsidRPr="00432345">
              <w:rPr>
                <w:sz w:val="17"/>
              </w:rPr>
              <w:t xml:space="preserve"> 201</w:t>
            </w:r>
            <w:r w:rsidR="002001B2" w:rsidRPr="00432345">
              <w:rPr>
                <w:sz w:val="17"/>
              </w:rPr>
              <w:t>8</w:t>
            </w:r>
            <w:r w:rsidR="00305CA0">
              <w:rPr>
                <w:sz w:val="17"/>
              </w:rPr>
              <w:t>.</w:t>
            </w:r>
            <w:r w:rsidRPr="00432345">
              <w:rPr>
                <w:sz w:val="17"/>
              </w:rPr>
              <w:t xml:space="preserve"> </w:t>
            </w:r>
            <w:proofErr w:type="gramStart"/>
            <w:r w:rsidRPr="00432345">
              <w:rPr>
                <w:sz w:val="17"/>
              </w:rPr>
              <w:t>berdasarkan</w:t>
            </w:r>
            <w:proofErr w:type="gramEnd"/>
            <w:r w:rsidRPr="00432345">
              <w:rPr>
                <w:sz w:val="17"/>
              </w:rPr>
              <w:t xml:space="preserve"> perjanjian </w:t>
            </w:r>
            <w:r w:rsidR="00432345">
              <w:rPr>
                <w:sz w:val="17"/>
              </w:rPr>
              <w:br/>
            </w:r>
            <w:r w:rsidRPr="00432345">
              <w:rPr>
                <w:sz w:val="17"/>
              </w:rPr>
              <w:t xml:space="preserve">No. </w:t>
            </w:r>
            <w:r w:rsidR="002001B2" w:rsidRPr="00432345">
              <w:rPr>
                <w:sz w:val="17"/>
              </w:rPr>
              <w:t>002/PKS/PT-SRAJ/XII/2018</w:t>
            </w:r>
            <w:r w:rsidR="00305CA0">
              <w:rPr>
                <w:sz w:val="17"/>
              </w:rPr>
              <w:t>.</w:t>
            </w:r>
            <w:r w:rsidR="002001B2" w:rsidRPr="00432345">
              <w:rPr>
                <w:sz w:val="17"/>
              </w:rPr>
              <w:t xml:space="preserve"> </w:t>
            </w:r>
            <w:r w:rsidRPr="00432345">
              <w:rPr>
                <w:sz w:val="17"/>
              </w:rPr>
              <w:t xml:space="preserve">Perusahaan mengadakan perjanjian kerjasama dalam hal sewa menyewa ruang untuk mesin Anjungan Tunai Mandiri “ATM” PT Bank </w:t>
            </w:r>
            <w:r w:rsidR="002001B2" w:rsidRPr="00432345">
              <w:rPr>
                <w:sz w:val="17"/>
              </w:rPr>
              <w:t>Mayapada Internasional</w:t>
            </w:r>
            <w:r w:rsidR="00305CA0">
              <w:rPr>
                <w:sz w:val="17"/>
              </w:rPr>
              <w:t>.</w:t>
            </w:r>
            <w:r w:rsidR="002001B2" w:rsidRPr="00432345">
              <w:rPr>
                <w:sz w:val="17"/>
              </w:rPr>
              <w:t xml:space="preserve"> </w:t>
            </w:r>
            <w:r w:rsidRPr="00432345">
              <w:rPr>
                <w:sz w:val="17"/>
              </w:rPr>
              <w:t xml:space="preserve">Tbk. Perjanjian ini berlaku untuk jangka waktu </w:t>
            </w:r>
            <w:r w:rsidR="002001B2" w:rsidRPr="00432345">
              <w:rPr>
                <w:sz w:val="17"/>
              </w:rPr>
              <w:t>4</w:t>
            </w:r>
            <w:r w:rsidRPr="00432345">
              <w:rPr>
                <w:sz w:val="17"/>
              </w:rPr>
              <w:t xml:space="preserve"> </w:t>
            </w:r>
            <w:r w:rsidR="000177DA">
              <w:rPr>
                <w:sz w:val="17"/>
              </w:rPr>
              <w:t>(</w:t>
            </w:r>
            <w:r w:rsidR="002001B2" w:rsidRPr="00432345">
              <w:rPr>
                <w:sz w:val="17"/>
              </w:rPr>
              <w:t>empat</w:t>
            </w:r>
            <w:r w:rsidR="000177DA">
              <w:rPr>
                <w:sz w:val="17"/>
              </w:rPr>
              <w:t>)</w:t>
            </w:r>
            <w:r w:rsidRPr="00432345">
              <w:rPr>
                <w:sz w:val="17"/>
              </w:rPr>
              <w:t xml:space="preserve"> tahun yang berakhir pada tanggal </w:t>
            </w:r>
            <w:r w:rsidR="002001B2" w:rsidRPr="00432345">
              <w:rPr>
                <w:sz w:val="17"/>
              </w:rPr>
              <w:t>31</w:t>
            </w:r>
            <w:r w:rsidRPr="00432345">
              <w:rPr>
                <w:sz w:val="17"/>
              </w:rPr>
              <w:t xml:space="preserve"> </w:t>
            </w:r>
            <w:r w:rsidR="002001B2" w:rsidRPr="00432345">
              <w:rPr>
                <w:sz w:val="17"/>
              </w:rPr>
              <w:t>Januari</w:t>
            </w:r>
            <w:r w:rsidRPr="00432345">
              <w:rPr>
                <w:spacing w:val="-11"/>
                <w:sz w:val="17"/>
              </w:rPr>
              <w:t xml:space="preserve"> </w:t>
            </w:r>
            <w:r w:rsidRPr="00432345">
              <w:rPr>
                <w:sz w:val="17"/>
              </w:rPr>
              <w:t>202</w:t>
            </w:r>
            <w:r w:rsidR="002001B2" w:rsidRPr="00432345">
              <w:rPr>
                <w:sz w:val="17"/>
              </w:rPr>
              <w:t>3</w:t>
            </w:r>
            <w:r w:rsidRPr="00432345">
              <w:rPr>
                <w:sz w:val="17"/>
              </w:rPr>
              <w:t>.</w:t>
            </w:r>
          </w:p>
        </w:tc>
        <w:tc>
          <w:tcPr>
            <w:tcW w:w="4605" w:type="dxa"/>
            <w:gridSpan w:val="2"/>
            <w:tcBorders>
              <w:top w:val="nil"/>
              <w:left w:val="nil"/>
              <w:bottom w:val="nil"/>
              <w:right w:val="nil"/>
            </w:tcBorders>
          </w:tcPr>
          <w:p w14:paraId="523736DD" w14:textId="28EDE547" w:rsidR="001B2239" w:rsidRDefault="001B2239" w:rsidP="00026751">
            <w:pPr>
              <w:pStyle w:val="ListParagraph"/>
              <w:tabs>
                <w:tab w:val="right" w:pos="9340"/>
                <w:tab w:val="right" w:pos="10080"/>
              </w:tabs>
              <w:ind w:left="284" w:right="-57"/>
              <w:jc w:val="both"/>
              <w:rPr>
                <w:i/>
                <w:sz w:val="18"/>
                <w:szCs w:val="18"/>
                <w:u w:val="single"/>
              </w:rPr>
            </w:pPr>
            <w:r w:rsidRPr="00432345">
              <w:rPr>
                <w:i/>
                <w:sz w:val="17"/>
              </w:rPr>
              <w:t xml:space="preserve">On </w:t>
            </w:r>
            <w:proofErr w:type="gramStart"/>
            <w:r w:rsidR="00296E4D" w:rsidRPr="00432345">
              <w:rPr>
                <w:i/>
                <w:sz w:val="17"/>
              </w:rPr>
              <w:t>December</w:t>
            </w:r>
            <w:r w:rsidRPr="00432345">
              <w:rPr>
                <w:i/>
                <w:sz w:val="17"/>
              </w:rPr>
              <w:t xml:space="preserve">  1</w:t>
            </w:r>
            <w:r w:rsidR="00296E4D" w:rsidRPr="00432345">
              <w:rPr>
                <w:i/>
                <w:sz w:val="17"/>
              </w:rPr>
              <w:t>3</w:t>
            </w:r>
            <w:proofErr w:type="gramEnd"/>
            <w:r w:rsidR="00305CA0">
              <w:rPr>
                <w:i/>
                <w:sz w:val="17"/>
              </w:rPr>
              <w:t>.</w:t>
            </w:r>
            <w:r w:rsidRPr="00432345">
              <w:rPr>
                <w:i/>
                <w:sz w:val="17"/>
              </w:rPr>
              <w:t xml:space="preserve">  201</w:t>
            </w:r>
            <w:r w:rsidR="00296E4D" w:rsidRPr="00432345">
              <w:rPr>
                <w:i/>
                <w:sz w:val="17"/>
              </w:rPr>
              <w:t>8</w:t>
            </w:r>
            <w:r w:rsidR="00305CA0">
              <w:rPr>
                <w:i/>
                <w:sz w:val="17"/>
              </w:rPr>
              <w:t>.</w:t>
            </w:r>
            <w:r w:rsidRPr="00432345">
              <w:rPr>
                <w:i/>
                <w:sz w:val="17"/>
              </w:rPr>
              <w:t xml:space="preserve">  </w:t>
            </w:r>
            <w:proofErr w:type="gramStart"/>
            <w:r w:rsidRPr="00432345">
              <w:rPr>
                <w:i/>
                <w:sz w:val="17"/>
              </w:rPr>
              <w:t>based  on</w:t>
            </w:r>
            <w:proofErr w:type="gramEnd"/>
            <w:r w:rsidRPr="00432345">
              <w:rPr>
                <w:i/>
                <w:sz w:val="17"/>
              </w:rPr>
              <w:t xml:space="preserve">  agreement </w:t>
            </w:r>
            <w:r w:rsidR="00432345">
              <w:rPr>
                <w:i/>
                <w:sz w:val="17"/>
              </w:rPr>
              <w:br/>
            </w:r>
            <w:r w:rsidRPr="00432345">
              <w:rPr>
                <w:i/>
                <w:sz w:val="17"/>
              </w:rPr>
              <w:t xml:space="preserve">No. </w:t>
            </w:r>
            <w:r w:rsidR="00296E4D" w:rsidRPr="00432345">
              <w:rPr>
                <w:i/>
                <w:iCs/>
                <w:sz w:val="17"/>
              </w:rPr>
              <w:t>002/PKS/PT-SRAJ/XII/2018</w:t>
            </w:r>
            <w:r w:rsidR="00305CA0">
              <w:rPr>
                <w:i/>
                <w:sz w:val="17"/>
              </w:rPr>
              <w:t>.</w:t>
            </w:r>
            <w:r w:rsidRPr="00432345">
              <w:rPr>
                <w:i/>
                <w:sz w:val="17"/>
              </w:rPr>
              <w:t xml:space="preserve"> </w:t>
            </w:r>
            <w:proofErr w:type="gramStart"/>
            <w:r w:rsidRPr="00432345">
              <w:rPr>
                <w:i/>
                <w:sz w:val="17"/>
              </w:rPr>
              <w:t>the</w:t>
            </w:r>
            <w:proofErr w:type="gramEnd"/>
            <w:r w:rsidRPr="00432345">
              <w:rPr>
                <w:i/>
                <w:sz w:val="17"/>
              </w:rPr>
              <w:t xml:space="preserve"> Company entered into an agreement in terms of renting space for Automated Teller Machine “ATM” of PT Bank</w:t>
            </w:r>
            <w:r w:rsidR="00296E4D" w:rsidRPr="00432345">
              <w:rPr>
                <w:i/>
                <w:sz w:val="17"/>
              </w:rPr>
              <w:t xml:space="preserve"> Mayapada Internasional</w:t>
            </w:r>
            <w:r w:rsidR="00305CA0">
              <w:rPr>
                <w:i/>
                <w:sz w:val="17"/>
              </w:rPr>
              <w:t>.</w:t>
            </w:r>
            <w:r w:rsidRPr="00432345">
              <w:rPr>
                <w:i/>
                <w:sz w:val="17"/>
              </w:rPr>
              <w:t xml:space="preserve"> Tbk. The agreement is valid for a period of </w:t>
            </w:r>
            <w:r w:rsidR="00296E4D" w:rsidRPr="00432345">
              <w:rPr>
                <w:i/>
                <w:sz w:val="17"/>
              </w:rPr>
              <w:t>4</w:t>
            </w:r>
            <w:r w:rsidRPr="00432345">
              <w:rPr>
                <w:i/>
                <w:sz w:val="17"/>
              </w:rPr>
              <w:t xml:space="preserve"> </w:t>
            </w:r>
            <w:r w:rsidR="000177DA">
              <w:rPr>
                <w:i/>
                <w:sz w:val="17"/>
              </w:rPr>
              <w:t>(</w:t>
            </w:r>
            <w:r w:rsidR="00296E4D" w:rsidRPr="00432345">
              <w:rPr>
                <w:i/>
                <w:sz w:val="17"/>
              </w:rPr>
              <w:t>four</w:t>
            </w:r>
            <w:r w:rsidR="000177DA">
              <w:rPr>
                <w:i/>
                <w:sz w:val="17"/>
              </w:rPr>
              <w:t>)</w:t>
            </w:r>
            <w:r w:rsidRPr="00432345">
              <w:rPr>
                <w:i/>
                <w:sz w:val="17"/>
              </w:rPr>
              <w:t xml:space="preserve"> years ending </w:t>
            </w:r>
            <w:r w:rsidR="00296E4D" w:rsidRPr="00432345">
              <w:rPr>
                <w:i/>
                <w:sz w:val="17"/>
              </w:rPr>
              <w:t>January</w:t>
            </w:r>
            <w:r w:rsidRPr="00432345">
              <w:rPr>
                <w:i/>
                <w:sz w:val="17"/>
              </w:rPr>
              <w:t xml:space="preserve"> </w:t>
            </w:r>
            <w:r w:rsidR="00296E4D" w:rsidRPr="00432345">
              <w:rPr>
                <w:i/>
                <w:sz w:val="17"/>
              </w:rPr>
              <w:t>31</w:t>
            </w:r>
            <w:r w:rsidR="00305CA0">
              <w:rPr>
                <w:i/>
                <w:sz w:val="17"/>
              </w:rPr>
              <w:t>.</w:t>
            </w:r>
            <w:r w:rsidRPr="00432345">
              <w:rPr>
                <w:i/>
                <w:spacing w:val="-3"/>
                <w:sz w:val="17"/>
              </w:rPr>
              <w:t xml:space="preserve"> </w:t>
            </w:r>
            <w:r w:rsidRPr="00432345">
              <w:rPr>
                <w:i/>
                <w:sz w:val="17"/>
              </w:rPr>
              <w:t>202</w:t>
            </w:r>
            <w:r w:rsidR="00296E4D" w:rsidRPr="00432345">
              <w:rPr>
                <w:i/>
                <w:sz w:val="17"/>
              </w:rPr>
              <w:t>3</w:t>
            </w:r>
            <w:r w:rsidRPr="00432345">
              <w:rPr>
                <w:i/>
                <w:sz w:val="17"/>
              </w:rPr>
              <w:t>.</w:t>
            </w:r>
          </w:p>
        </w:tc>
      </w:tr>
      <w:tr w:rsidR="001B2239" w:rsidRPr="005E7DC2" w14:paraId="66ADDC37" w14:textId="77777777" w:rsidTr="001420D9">
        <w:trPr>
          <w:trHeight w:val="90"/>
        </w:trPr>
        <w:tc>
          <w:tcPr>
            <w:tcW w:w="4592" w:type="dxa"/>
            <w:tcBorders>
              <w:top w:val="nil"/>
              <w:left w:val="nil"/>
              <w:bottom w:val="nil"/>
              <w:right w:val="nil"/>
            </w:tcBorders>
          </w:tcPr>
          <w:p w14:paraId="6D3089BE" w14:textId="77777777" w:rsidR="001B2239" w:rsidRPr="005E7DC2" w:rsidRDefault="001B2239" w:rsidP="00634E77">
            <w:pPr>
              <w:pStyle w:val="ListParagraph"/>
              <w:ind w:left="318" w:right="-57"/>
              <w:jc w:val="both"/>
              <w:rPr>
                <w:sz w:val="14"/>
                <w:szCs w:val="14"/>
                <w:u w:val="single"/>
              </w:rPr>
            </w:pPr>
          </w:p>
        </w:tc>
        <w:tc>
          <w:tcPr>
            <w:tcW w:w="4605" w:type="dxa"/>
            <w:gridSpan w:val="2"/>
            <w:tcBorders>
              <w:top w:val="nil"/>
              <w:left w:val="nil"/>
              <w:bottom w:val="nil"/>
              <w:right w:val="nil"/>
            </w:tcBorders>
          </w:tcPr>
          <w:p w14:paraId="7A2132FC" w14:textId="77777777" w:rsidR="001B2239" w:rsidRPr="005E7DC2" w:rsidRDefault="001B2239" w:rsidP="0013526B">
            <w:pPr>
              <w:pStyle w:val="ListParagraph"/>
              <w:tabs>
                <w:tab w:val="right" w:pos="9340"/>
                <w:tab w:val="right" w:pos="10080"/>
              </w:tabs>
              <w:ind w:left="284" w:right="-57"/>
              <w:jc w:val="both"/>
              <w:rPr>
                <w:i/>
                <w:sz w:val="14"/>
                <w:szCs w:val="14"/>
                <w:u w:val="single"/>
              </w:rPr>
            </w:pPr>
          </w:p>
        </w:tc>
      </w:tr>
      <w:tr w:rsidR="001420D9" w:rsidRPr="0013526B" w14:paraId="2699FBBC" w14:textId="77777777" w:rsidTr="00EE78B5">
        <w:trPr>
          <w:gridAfter w:val="1"/>
          <w:wAfter w:w="14" w:type="dxa"/>
          <w:trHeight w:val="90"/>
        </w:trPr>
        <w:tc>
          <w:tcPr>
            <w:tcW w:w="4592" w:type="dxa"/>
            <w:tcBorders>
              <w:top w:val="nil"/>
              <w:left w:val="nil"/>
              <w:bottom w:val="nil"/>
              <w:right w:val="nil"/>
            </w:tcBorders>
          </w:tcPr>
          <w:p w14:paraId="6ABF5CCB" w14:textId="3C247729" w:rsidR="001420D9" w:rsidRPr="00547983" w:rsidRDefault="001420D9" w:rsidP="0068130A">
            <w:pPr>
              <w:pStyle w:val="ListParagraph"/>
              <w:ind w:left="318" w:right="-57"/>
              <w:jc w:val="both"/>
              <w:rPr>
                <w:sz w:val="17"/>
                <w:highlight w:val="cyan"/>
              </w:rPr>
            </w:pPr>
            <w:r w:rsidRPr="00D70683">
              <w:rPr>
                <w:sz w:val="17"/>
              </w:rPr>
              <w:t xml:space="preserve">Pada tanggal 1 </w:t>
            </w:r>
            <w:r>
              <w:rPr>
                <w:sz w:val="17"/>
              </w:rPr>
              <w:t>April</w:t>
            </w:r>
            <w:r w:rsidRPr="00D70683">
              <w:rPr>
                <w:sz w:val="17"/>
              </w:rPr>
              <w:t xml:space="preserve"> 201</w:t>
            </w:r>
            <w:r>
              <w:rPr>
                <w:sz w:val="17"/>
              </w:rPr>
              <w:t>8</w:t>
            </w:r>
            <w:r w:rsidR="00305CA0">
              <w:rPr>
                <w:sz w:val="17"/>
              </w:rPr>
              <w:t>.</w:t>
            </w:r>
            <w:r w:rsidRPr="00D70683">
              <w:rPr>
                <w:sz w:val="17"/>
              </w:rPr>
              <w:t xml:space="preserve"> </w:t>
            </w:r>
            <w:proofErr w:type="gramStart"/>
            <w:r w:rsidRPr="00D70683">
              <w:rPr>
                <w:sz w:val="17"/>
              </w:rPr>
              <w:t>berdasarkan</w:t>
            </w:r>
            <w:proofErr w:type="gramEnd"/>
            <w:r w:rsidRPr="00D70683">
              <w:rPr>
                <w:sz w:val="17"/>
              </w:rPr>
              <w:t xml:space="preserve"> perjanjian </w:t>
            </w:r>
            <w:r>
              <w:rPr>
                <w:sz w:val="17"/>
              </w:rPr>
              <w:br/>
            </w:r>
            <w:r w:rsidRPr="00D70683">
              <w:rPr>
                <w:sz w:val="17"/>
              </w:rPr>
              <w:t xml:space="preserve">No. </w:t>
            </w:r>
            <w:r>
              <w:rPr>
                <w:sz w:val="17"/>
              </w:rPr>
              <w:t xml:space="preserve">MSA/TK/2017/7/20113 </w:t>
            </w:r>
            <w:r w:rsidR="00725467">
              <w:rPr>
                <w:sz w:val="17"/>
              </w:rPr>
              <w:t>-</w:t>
            </w:r>
            <w:r>
              <w:rPr>
                <w:sz w:val="17"/>
              </w:rPr>
              <w:t xml:space="preserve"> RE1</w:t>
            </w:r>
            <w:r w:rsidR="00305CA0">
              <w:rPr>
                <w:sz w:val="17"/>
              </w:rPr>
              <w:t>.</w:t>
            </w:r>
            <w:r w:rsidRPr="00D70683">
              <w:rPr>
                <w:sz w:val="17"/>
              </w:rPr>
              <w:t xml:space="preserve"> Perusahaan mengadakan perjanjian kerjasama dengan </w:t>
            </w:r>
            <w:r>
              <w:rPr>
                <w:sz w:val="17"/>
              </w:rPr>
              <w:t>PT GE Operations Indonesia</w:t>
            </w:r>
            <w:r w:rsidRPr="00D70683">
              <w:rPr>
                <w:sz w:val="17"/>
              </w:rPr>
              <w:t xml:space="preserve"> dalam hal </w:t>
            </w:r>
            <w:r>
              <w:rPr>
                <w:sz w:val="17"/>
              </w:rPr>
              <w:t>pemeliharaan dan jasa untuk Precision RXI 32D</w:t>
            </w:r>
            <w:r w:rsidRPr="00D70683">
              <w:rPr>
                <w:i/>
                <w:iCs/>
                <w:sz w:val="17"/>
              </w:rPr>
              <w:t xml:space="preserve">. </w:t>
            </w:r>
            <w:r w:rsidRPr="00D70683">
              <w:rPr>
                <w:sz w:val="17"/>
              </w:rPr>
              <w:t xml:space="preserve">Perjanjian ini berlaku untuk jangka waktu </w:t>
            </w:r>
            <w:r>
              <w:rPr>
                <w:sz w:val="17"/>
              </w:rPr>
              <w:t>lima</w:t>
            </w:r>
            <w:r w:rsidRPr="00D70683">
              <w:rPr>
                <w:sz w:val="17"/>
              </w:rPr>
              <w:t xml:space="preserve"> tahun </w:t>
            </w:r>
            <w:proofErr w:type="gramStart"/>
            <w:r w:rsidRPr="00D70683">
              <w:rPr>
                <w:sz w:val="17"/>
              </w:rPr>
              <w:t>yang  berakhir</w:t>
            </w:r>
            <w:proofErr w:type="gramEnd"/>
            <w:r w:rsidRPr="00D70683">
              <w:rPr>
                <w:sz w:val="17"/>
              </w:rPr>
              <w:t xml:space="preserve">  pada  tanggal  31 </w:t>
            </w:r>
            <w:r>
              <w:rPr>
                <w:sz w:val="17"/>
              </w:rPr>
              <w:t xml:space="preserve">Maret </w:t>
            </w:r>
            <w:r w:rsidRPr="00D70683">
              <w:rPr>
                <w:sz w:val="17"/>
              </w:rPr>
              <w:t>202</w:t>
            </w:r>
            <w:r>
              <w:rPr>
                <w:sz w:val="17"/>
              </w:rPr>
              <w:t>3</w:t>
            </w:r>
            <w:r w:rsidRPr="00D70683">
              <w:rPr>
                <w:sz w:val="17"/>
              </w:rPr>
              <w:t>.</w:t>
            </w:r>
          </w:p>
        </w:tc>
        <w:tc>
          <w:tcPr>
            <w:tcW w:w="4591" w:type="dxa"/>
            <w:tcBorders>
              <w:top w:val="nil"/>
              <w:left w:val="nil"/>
              <w:bottom w:val="nil"/>
              <w:right w:val="nil"/>
            </w:tcBorders>
          </w:tcPr>
          <w:p w14:paraId="4A57D52D" w14:textId="268C2D73" w:rsidR="001420D9" w:rsidRPr="00547983" w:rsidRDefault="001420D9" w:rsidP="0068130A">
            <w:pPr>
              <w:pStyle w:val="ListParagraph"/>
              <w:tabs>
                <w:tab w:val="right" w:pos="9340"/>
                <w:tab w:val="right" w:pos="10080"/>
              </w:tabs>
              <w:ind w:left="284" w:right="-57"/>
              <w:jc w:val="both"/>
              <w:rPr>
                <w:i/>
                <w:sz w:val="17"/>
                <w:highlight w:val="cyan"/>
              </w:rPr>
            </w:pPr>
            <w:r w:rsidRPr="00D70683">
              <w:rPr>
                <w:i/>
                <w:sz w:val="17"/>
              </w:rPr>
              <w:t>On</w:t>
            </w:r>
            <w:r w:rsidR="00725467">
              <w:rPr>
                <w:i/>
                <w:sz w:val="17"/>
              </w:rPr>
              <w:t xml:space="preserve"> </w:t>
            </w:r>
            <w:r>
              <w:rPr>
                <w:i/>
                <w:sz w:val="17"/>
              </w:rPr>
              <w:t>April</w:t>
            </w:r>
            <w:r w:rsidRPr="00D70683">
              <w:rPr>
                <w:i/>
                <w:sz w:val="17"/>
              </w:rPr>
              <w:t xml:space="preserve"> 1</w:t>
            </w:r>
            <w:r w:rsidR="00305CA0">
              <w:rPr>
                <w:i/>
                <w:sz w:val="17"/>
              </w:rPr>
              <w:t>.</w:t>
            </w:r>
            <w:r w:rsidR="00725467">
              <w:rPr>
                <w:i/>
                <w:sz w:val="17"/>
              </w:rPr>
              <w:t xml:space="preserve"> </w:t>
            </w:r>
            <w:r w:rsidRPr="00D70683">
              <w:rPr>
                <w:i/>
                <w:sz w:val="17"/>
              </w:rPr>
              <w:t>201</w:t>
            </w:r>
            <w:r>
              <w:rPr>
                <w:i/>
                <w:sz w:val="17"/>
              </w:rPr>
              <w:t>8</w:t>
            </w:r>
            <w:r w:rsidR="00305CA0">
              <w:rPr>
                <w:i/>
                <w:sz w:val="17"/>
              </w:rPr>
              <w:t>.</w:t>
            </w:r>
            <w:r w:rsidRPr="00D70683">
              <w:rPr>
                <w:i/>
                <w:sz w:val="17"/>
              </w:rPr>
              <w:t xml:space="preserve"> </w:t>
            </w:r>
            <w:proofErr w:type="gramStart"/>
            <w:r w:rsidRPr="00D70683">
              <w:rPr>
                <w:i/>
                <w:sz w:val="17"/>
              </w:rPr>
              <w:t>based</w:t>
            </w:r>
            <w:proofErr w:type="gramEnd"/>
            <w:r w:rsidRPr="00D70683">
              <w:rPr>
                <w:i/>
                <w:sz w:val="17"/>
              </w:rPr>
              <w:t xml:space="preserve"> on agreement </w:t>
            </w:r>
            <w:r>
              <w:rPr>
                <w:i/>
                <w:sz w:val="17"/>
              </w:rPr>
              <w:br/>
            </w:r>
            <w:r w:rsidRPr="005750B9">
              <w:rPr>
                <w:i/>
                <w:iCs/>
                <w:sz w:val="17"/>
              </w:rPr>
              <w:t xml:space="preserve">No. MSA/TK/2017/7/20113 </w:t>
            </w:r>
            <w:r w:rsidR="00725467">
              <w:rPr>
                <w:i/>
                <w:iCs/>
                <w:sz w:val="17"/>
              </w:rPr>
              <w:t>-</w:t>
            </w:r>
            <w:r w:rsidRPr="005750B9">
              <w:rPr>
                <w:i/>
                <w:iCs/>
                <w:sz w:val="17"/>
              </w:rPr>
              <w:t xml:space="preserve"> RE1</w:t>
            </w:r>
            <w:r w:rsidR="00305CA0">
              <w:rPr>
                <w:i/>
                <w:sz w:val="17"/>
              </w:rPr>
              <w:t>.</w:t>
            </w:r>
            <w:r w:rsidRPr="00D70683">
              <w:rPr>
                <w:i/>
                <w:sz w:val="17"/>
              </w:rPr>
              <w:t xml:space="preserve"> </w:t>
            </w:r>
            <w:proofErr w:type="gramStart"/>
            <w:r w:rsidRPr="00D70683">
              <w:rPr>
                <w:i/>
                <w:sz w:val="17"/>
              </w:rPr>
              <w:t>the</w:t>
            </w:r>
            <w:proofErr w:type="gramEnd"/>
            <w:r w:rsidRPr="00D70683">
              <w:rPr>
                <w:i/>
                <w:sz w:val="17"/>
              </w:rPr>
              <w:t xml:space="preserve"> Company entered into an agreement with </w:t>
            </w:r>
            <w:r>
              <w:rPr>
                <w:i/>
                <w:iCs/>
                <w:sz w:val="17"/>
              </w:rPr>
              <w:t>PT GE Operations Indonesia</w:t>
            </w:r>
            <w:r w:rsidRPr="00D70683">
              <w:rPr>
                <w:i/>
                <w:sz w:val="17"/>
              </w:rPr>
              <w:t xml:space="preserve"> to providing </w:t>
            </w:r>
            <w:r>
              <w:rPr>
                <w:i/>
                <w:sz w:val="17"/>
              </w:rPr>
              <w:t>maintenance services for Precision RXI 32D</w:t>
            </w:r>
            <w:r w:rsidRPr="00D70683">
              <w:rPr>
                <w:i/>
                <w:sz w:val="17"/>
              </w:rPr>
              <w:t xml:space="preserve">. The agreement is valid for a period of </w:t>
            </w:r>
            <w:r>
              <w:rPr>
                <w:i/>
                <w:sz w:val="17"/>
              </w:rPr>
              <w:t>five</w:t>
            </w:r>
            <w:r w:rsidRPr="00D70683">
              <w:rPr>
                <w:i/>
                <w:sz w:val="17"/>
              </w:rPr>
              <w:t xml:space="preserve"> years ended </w:t>
            </w:r>
            <w:r>
              <w:rPr>
                <w:i/>
                <w:sz w:val="17"/>
              </w:rPr>
              <w:t>March</w:t>
            </w:r>
            <w:r w:rsidRPr="00D70683">
              <w:rPr>
                <w:i/>
                <w:sz w:val="17"/>
              </w:rPr>
              <w:t xml:space="preserve"> 31</w:t>
            </w:r>
            <w:r w:rsidR="00305CA0">
              <w:rPr>
                <w:i/>
                <w:sz w:val="17"/>
              </w:rPr>
              <w:t>.</w:t>
            </w:r>
            <w:r w:rsidRPr="00D70683">
              <w:rPr>
                <w:i/>
                <w:spacing w:val="-1"/>
                <w:sz w:val="17"/>
              </w:rPr>
              <w:t xml:space="preserve"> </w:t>
            </w:r>
            <w:r w:rsidRPr="00D70683">
              <w:rPr>
                <w:i/>
                <w:sz w:val="17"/>
              </w:rPr>
              <w:t>202</w:t>
            </w:r>
            <w:r>
              <w:rPr>
                <w:i/>
                <w:sz w:val="17"/>
              </w:rPr>
              <w:t>3</w:t>
            </w:r>
            <w:r w:rsidRPr="00D70683">
              <w:rPr>
                <w:i/>
                <w:sz w:val="17"/>
              </w:rPr>
              <w:t>.</w:t>
            </w:r>
          </w:p>
        </w:tc>
      </w:tr>
      <w:tr w:rsidR="001420D9" w:rsidRPr="001420D9" w14:paraId="4762334D" w14:textId="77777777" w:rsidTr="00EE78B5">
        <w:trPr>
          <w:gridAfter w:val="1"/>
          <w:wAfter w:w="14" w:type="dxa"/>
          <w:trHeight w:val="90"/>
        </w:trPr>
        <w:tc>
          <w:tcPr>
            <w:tcW w:w="4592" w:type="dxa"/>
            <w:tcBorders>
              <w:top w:val="nil"/>
              <w:left w:val="nil"/>
              <w:bottom w:val="nil"/>
              <w:right w:val="nil"/>
            </w:tcBorders>
          </w:tcPr>
          <w:p w14:paraId="748F4081" w14:textId="77777777" w:rsidR="001420D9" w:rsidRPr="001420D9" w:rsidRDefault="001420D9" w:rsidP="005750B9">
            <w:pPr>
              <w:pStyle w:val="ListParagraph"/>
              <w:ind w:left="318" w:right="-57"/>
              <w:jc w:val="both"/>
              <w:rPr>
                <w:sz w:val="12"/>
                <w:szCs w:val="12"/>
              </w:rPr>
            </w:pPr>
          </w:p>
        </w:tc>
        <w:tc>
          <w:tcPr>
            <w:tcW w:w="4591" w:type="dxa"/>
            <w:tcBorders>
              <w:top w:val="nil"/>
              <w:left w:val="nil"/>
              <w:bottom w:val="nil"/>
              <w:right w:val="nil"/>
            </w:tcBorders>
          </w:tcPr>
          <w:p w14:paraId="36AA894E" w14:textId="77777777" w:rsidR="001420D9" w:rsidRPr="001420D9" w:rsidRDefault="001420D9" w:rsidP="005750B9">
            <w:pPr>
              <w:pStyle w:val="ListParagraph"/>
              <w:tabs>
                <w:tab w:val="right" w:pos="9340"/>
                <w:tab w:val="right" w:pos="10080"/>
              </w:tabs>
              <w:ind w:left="284" w:right="-57"/>
              <w:jc w:val="both"/>
              <w:rPr>
                <w:i/>
                <w:sz w:val="12"/>
                <w:szCs w:val="12"/>
              </w:rPr>
            </w:pPr>
          </w:p>
        </w:tc>
      </w:tr>
      <w:tr w:rsidR="001420D9" w:rsidRPr="0013526B" w14:paraId="5C6B2E31" w14:textId="77777777" w:rsidTr="00EE78B5">
        <w:trPr>
          <w:gridAfter w:val="1"/>
          <w:wAfter w:w="14" w:type="dxa"/>
          <w:trHeight w:val="90"/>
        </w:trPr>
        <w:tc>
          <w:tcPr>
            <w:tcW w:w="4592" w:type="dxa"/>
            <w:tcBorders>
              <w:top w:val="nil"/>
              <w:left w:val="nil"/>
              <w:bottom w:val="nil"/>
              <w:right w:val="nil"/>
            </w:tcBorders>
          </w:tcPr>
          <w:p w14:paraId="68F6ECBC" w14:textId="2484A91F" w:rsidR="001420D9" w:rsidRPr="009B2605" w:rsidRDefault="001420D9" w:rsidP="0068130A">
            <w:pPr>
              <w:pStyle w:val="ListParagraph"/>
              <w:ind w:left="318" w:right="-57"/>
              <w:jc w:val="both"/>
              <w:rPr>
                <w:sz w:val="18"/>
                <w:szCs w:val="18"/>
                <w:u w:val="single"/>
              </w:rPr>
            </w:pPr>
            <w:r w:rsidRPr="009B2605">
              <w:rPr>
                <w:sz w:val="17"/>
              </w:rPr>
              <w:t>Pada tanggal 15 Maret 2018</w:t>
            </w:r>
            <w:r w:rsidR="00305CA0">
              <w:rPr>
                <w:sz w:val="17"/>
              </w:rPr>
              <w:t>.</w:t>
            </w:r>
            <w:r w:rsidRPr="009B2605">
              <w:rPr>
                <w:sz w:val="17"/>
              </w:rPr>
              <w:t xml:space="preserve"> </w:t>
            </w:r>
            <w:proofErr w:type="gramStart"/>
            <w:r w:rsidRPr="009B2605">
              <w:rPr>
                <w:sz w:val="17"/>
              </w:rPr>
              <w:t>berdasarkan</w:t>
            </w:r>
            <w:proofErr w:type="gramEnd"/>
            <w:r w:rsidRPr="009B2605">
              <w:rPr>
                <w:sz w:val="17"/>
              </w:rPr>
              <w:t xml:space="preserve"> perjanjian </w:t>
            </w:r>
            <w:r>
              <w:rPr>
                <w:sz w:val="17"/>
              </w:rPr>
              <w:br/>
            </w:r>
            <w:r w:rsidRPr="009B2605">
              <w:rPr>
                <w:sz w:val="17"/>
              </w:rPr>
              <w:t>No. 011/100-10AEB/LGL/18</w:t>
            </w:r>
            <w:r w:rsidR="00305CA0">
              <w:rPr>
                <w:sz w:val="17"/>
              </w:rPr>
              <w:t>.</w:t>
            </w:r>
            <w:r w:rsidRPr="009B2605">
              <w:rPr>
                <w:sz w:val="17"/>
              </w:rPr>
              <w:t xml:space="preserve"> Perusahaan mengadakan perjanjian kerjasama dalam hal sewa menyewa tempat untuk mendirikan atau membangun Menara Telekomunikasi </w:t>
            </w:r>
            <w:r>
              <w:rPr>
                <w:sz w:val="17"/>
              </w:rPr>
              <w:br/>
            </w:r>
            <w:r w:rsidRPr="009B2605">
              <w:rPr>
                <w:sz w:val="17"/>
              </w:rPr>
              <w:t>PT Indosat</w:t>
            </w:r>
            <w:r w:rsidR="00305CA0">
              <w:rPr>
                <w:sz w:val="17"/>
              </w:rPr>
              <w:t>.</w:t>
            </w:r>
            <w:r w:rsidRPr="009B2605">
              <w:rPr>
                <w:sz w:val="17"/>
              </w:rPr>
              <w:t xml:space="preserve"> Tbk. Perjanjian ini berlaku untuk jangka waktu lima tahun yang berakhir pada tanggal 30 September</w:t>
            </w:r>
            <w:r w:rsidRPr="009B2605">
              <w:rPr>
                <w:spacing w:val="-11"/>
                <w:sz w:val="17"/>
              </w:rPr>
              <w:t xml:space="preserve"> </w:t>
            </w:r>
            <w:r w:rsidRPr="009B2605">
              <w:rPr>
                <w:sz w:val="17"/>
              </w:rPr>
              <w:t>2022.</w:t>
            </w:r>
          </w:p>
        </w:tc>
        <w:tc>
          <w:tcPr>
            <w:tcW w:w="4591" w:type="dxa"/>
            <w:tcBorders>
              <w:top w:val="nil"/>
              <w:left w:val="nil"/>
              <w:bottom w:val="nil"/>
              <w:right w:val="nil"/>
            </w:tcBorders>
          </w:tcPr>
          <w:p w14:paraId="63E4D278" w14:textId="75AD9A23" w:rsidR="001420D9" w:rsidRDefault="001420D9" w:rsidP="0068130A">
            <w:pPr>
              <w:pStyle w:val="ListParagraph"/>
              <w:tabs>
                <w:tab w:val="right" w:pos="9340"/>
                <w:tab w:val="right" w:pos="10080"/>
              </w:tabs>
              <w:ind w:left="284" w:right="-57"/>
              <w:jc w:val="both"/>
              <w:rPr>
                <w:i/>
                <w:sz w:val="18"/>
                <w:szCs w:val="18"/>
                <w:u w:val="single"/>
              </w:rPr>
            </w:pPr>
            <w:r w:rsidRPr="009B2605">
              <w:rPr>
                <w:i/>
                <w:sz w:val="17"/>
              </w:rPr>
              <w:t xml:space="preserve">On </w:t>
            </w:r>
            <w:proofErr w:type="gramStart"/>
            <w:r w:rsidRPr="009B2605">
              <w:rPr>
                <w:i/>
                <w:sz w:val="17"/>
              </w:rPr>
              <w:t>March  15</w:t>
            </w:r>
            <w:proofErr w:type="gramEnd"/>
            <w:r w:rsidR="00305CA0">
              <w:rPr>
                <w:i/>
                <w:sz w:val="17"/>
              </w:rPr>
              <w:t>.</w:t>
            </w:r>
            <w:r w:rsidRPr="009B2605">
              <w:rPr>
                <w:i/>
                <w:sz w:val="17"/>
              </w:rPr>
              <w:t xml:space="preserve">  2018</w:t>
            </w:r>
            <w:r w:rsidR="00305CA0">
              <w:rPr>
                <w:i/>
                <w:sz w:val="17"/>
              </w:rPr>
              <w:t>.</w:t>
            </w:r>
            <w:r w:rsidRPr="009B2605">
              <w:rPr>
                <w:i/>
                <w:sz w:val="17"/>
              </w:rPr>
              <w:t xml:space="preserve">  </w:t>
            </w:r>
            <w:proofErr w:type="gramStart"/>
            <w:r w:rsidRPr="009B2605">
              <w:rPr>
                <w:i/>
                <w:sz w:val="17"/>
              </w:rPr>
              <w:t>based  on</w:t>
            </w:r>
            <w:proofErr w:type="gramEnd"/>
            <w:r w:rsidRPr="009B2605">
              <w:rPr>
                <w:i/>
                <w:sz w:val="17"/>
              </w:rPr>
              <w:t xml:space="preserve">  agreement </w:t>
            </w:r>
            <w:r>
              <w:rPr>
                <w:i/>
                <w:sz w:val="17"/>
              </w:rPr>
              <w:br/>
            </w:r>
            <w:r w:rsidRPr="009B2605">
              <w:rPr>
                <w:i/>
                <w:sz w:val="17"/>
              </w:rPr>
              <w:t xml:space="preserve">No. </w:t>
            </w:r>
            <w:r w:rsidRPr="009B2605">
              <w:rPr>
                <w:i/>
                <w:iCs/>
                <w:sz w:val="17"/>
              </w:rPr>
              <w:t>011/100-10AEB/LGL/18</w:t>
            </w:r>
            <w:r w:rsidR="00870FD0">
              <w:rPr>
                <w:i/>
                <w:sz w:val="17"/>
              </w:rPr>
              <w:t>.</w:t>
            </w:r>
            <w:r w:rsidRPr="009B2605">
              <w:rPr>
                <w:i/>
                <w:sz w:val="17"/>
              </w:rPr>
              <w:t xml:space="preserve"> </w:t>
            </w:r>
            <w:proofErr w:type="gramStart"/>
            <w:r w:rsidRPr="009B2605">
              <w:rPr>
                <w:i/>
                <w:sz w:val="17"/>
              </w:rPr>
              <w:t>the</w:t>
            </w:r>
            <w:proofErr w:type="gramEnd"/>
            <w:r w:rsidRPr="009B2605">
              <w:rPr>
                <w:i/>
                <w:sz w:val="17"/>
              </w:rPr>
              <w:t xml:space="preserve"> Company entered into an agreement in terms of renting space for build of </w:t>
            </w:r>
            <w:r>
              <w:rPr>
                <w:i/>
                <w:sz w:val="17"/>
              </w:rPr>
              <w:br/>
            </w:r>
            <w:r w:rsidRPr="009B2605">
              <w:rPr>
                <w:i/>
                <w:sz w:val="17"/>
              </w:rPr>
              <w:t>PT Indosat</w:t>
            </w:r>
            <w:r w:rsidR="00305CA0">
              <w:rPr>
                <w:i/>
                <w:sz w:val="17"/>
              </w:rPr>
              <w:t>.</w:t>
            </w:r>
            <w:r w:rsidRPr="009B2605">
              <w:rPr>
                <w:i/>
                <w:sz w:val="17"/>
              </w:rPr>
              <w:t xml:space="preserve"> Tbk. The agreement is valid for a period of five years ending September 30</w:t>
            </w:r>
            <w:r w:rsidR="00305CA0">
              <w:rPr>
                <w:i/>
                <w:sz w:val="17"/>
              </w:rPr>
              <w:t>.</w:t>
            </w:r>
            <w:r w:rsidRPr="009B2605">
              <w:rPr>
                <w:i/>
                <w:spacing w:val="-3"/>
                <w:sz w:val="17"/>
              </w:rPr>
              <w:t xml:space="preserve"> </w:t>
            </w:r>
            <w:r w:rsidRPr="009B2605">
              <w:rPr>
                <w:i/>
                <w:sz w:val="17"/>
              </w:rPr>
              <w:t>2022.</w:t>
            </w:r>
          </w:p>
        </w:tc>
      </w:tr>
      <w:tr w:rsidR="001420D9" w:rsidRPr="001420D9" w14:paraId="5AC3EF48" w14:textId="77777777" w:rsidTr="00EE78B5">
        <w:trPr>
          <w:gridAfter w:val="1"/>
          <w:wAfter w:w="14" w:type="dxa"/>
          <w:trHeight w:val="90"/>
        </w:trPr>
        <w:tc>
          <w:tcPr>
            <w:tcW w:w="4592" w:type="dxa"/>
            <w:tcBorders>
              <w:top w:val="nil"/>
              <w:left w:val="nil"/>
              <w:bottom w:val="nil"/>
              <w:right w:val="nil"/>
            </w:tcBorders>
          </w:tcPr>
          <w:p w14:paraId="7B0A48B6" w14:textId="77777777" w:rsidR="001420D9" w:rsidRPr="001420D9" w:rsidRDefault="001420D9" w:rsidP="00921DC2">
            <w:pPr>
              <w:pStyle w:val="ListParagraph"/>
              <w:ind w:left="318" w:right="-57"/>
              <w:jc w:val="both"/>
              <w:rPr>
                <w:sz w:val="12"/>
                <w:szCs w:val="12"/>
              </w:rPr>
            </w:pPr>
          </w:p>
        </w:tc>
        <w:tc>
          <w:tcPr>
            <w:tcW w:w="4591" w:type="dxa"/>
            <w:tcBorders>
              <w:top w:val="nil"/>
              <w:left w:val="nil"/>
              <w:bottom w:val="nil"/>
              <w:right w:val="nil"/>
            </w:tcBorders>
          </w:tcPr>
          <w:p w14:paraId="54945D16" w14:textId="77777777" w:rsidR="001420D9" w:rsidRPr="001420D9" w:rsidRDefault="001420D9" w:rsidP="00921DC2">
            <w:pPr>
              <w:pStyle w:val="ListParagraph"/>
              <w:tabs>
                <w:tab w:val="right" w:pos="9340"/>
                <w:tab w:val="right" w:pos="10080"/>
              </w:tabs>
              <w:ind w:left="284" w:right="-57"/>
              <w:jc w:val="both"/>
              <w:rPr>
                <w:i/>
                <w:sz w:val="12"/>
                <w:szCs w:val="12"/>
              </w:rPr>
            </w:pPr>
          </w:p>
        </w:tc>
      </w:tr>
      <w:tr w:rsidR="00634E77" w:rsidRPr="0013526B" w14:paraId="55449A40" w14:textId="77777777" w:rsidTr="001420D9">
        <w:trPr>
          <w:trHeight w:val="90"/>
        </w:trPr>
        <w:tc>
          <w:tcPr>
            <w:tcW w:w="4592" w:type="dxa"/>
            <w:tcBorders>
              <w:top w:val="nil"/>
              <w:left w:val="nil"/>
              <w:bottom w:val="nil"/>
              <w:right w:val="nil"/>
            </w:tcBorders>
          </w:tcPr>
          <w:p w14:paraId="058A42AB" w14:textId="566658BF" w:rsidR="00634E77" w:rsidRPr="00432345" w:rsidRDefault="00634E77" w:rsidP="0068130A">
            <w:pPr>
              <w:pStyle w:val="ListParagraph"/>
              <w:ind w:left="318" w:right="-57"/>
              <w:jc w:val="both"/>
              <w:rPr>
                <w:sz w:val="18"/>
                <w:szCs w:val="18"/>
                <w:u w:val="single"/>
              </w:rPr>
            </w:pPr>
            <w:r w:rsidRPr="00432345">
              <w:rPr>
                <w:sz w:val="17"/>
              </w:rPr>
              <w:t>Pada tanggal 4 Desember 2017</w:t>
            </w:r>
            <w:r w:rsidR="00305CA0">
              <w:rPr>
                <w:sz w:val="17"/>
              </w:rPr>
              <w:t>.</w:t>
            </w:r>
            <w:r w:rsidRPr="00432345">
              <w:rPr>
                <w:sz w:val="17"/>
              </w:rPr>
              <w:t xml:space="preserve"> </w:t>
            </w:r>
            <w:proofErr w:type="gramStart"/>
            <w:r w:rsidRPr="00432345">
              <w:rPr>
                <w:sz w:val="17"/>
              </w:rPr>
              <w:t>berdasarkan</w:t>
            </w:r>
            <w:proofErr w:type="gramEnd"/>
            <w:r w:rsidRPr="00432345">
              <w:rPr>
                <w:sz w:val="17"/>
              </w:rPr>
              <w:t xml:space="preserve"> perjanjian </w:t>
            </w:r>
            <w:r w:rsidR="00432345">
              <w:rPr>
                <w:sz w:val="17"/>
              </w:rPr>
              <w:br/>
            </w:r>
            <w:r w:rsidRPr="00432345">
              <w:rPr>
                <w:sz w:val="17"/>
              </w:rPr>
              <w:t>No. 2185/LG.05/RC-01/X/2017</w:t>
            </w:r>
            <w:r w:rsidR="00305CA0">
              <w:rPr>
                <w:sz w:val="17"/>
              </w:rPr>
              <w:t>.</w:t>
            </w:r>
            <w:r w:rsidRPr="00432345">
              <w:rPr>
                <w:sz w:val="17"/>
              </w:rPr>
              <w:t xml:space="preserve"> Perusahaan mengadakan perjanjian kerjasama dalam hal sewa menyewa ruang untuk perangkat sistem telekomunikasi seluler dengan</w:t>
            </w:r>
            <w:r w:rsidR="00432345">
              <w:rPr>
                <w:sz w:val="17"/>
              </w:rPr>
              <w:t xml:space="preserve"> </w:t>
            </w:r>
            <w:r w:rsidR="00432345">
              <w:rPr>
                <w:sz w:val="17"/>
              </w:rPr>
              <w:br/>
            </w:r>
            <w:r w:rsidRPr="00432345">
              <w:rPr>
                <w:sz w:val="17"/>
              </w:rPr>
              <w:t xml:space="preserve">PT Telekomunikasi Selular. Perjanjian ini berlaku untuk </w:t>
            </w:r>
            <w:proofErr w:type="gramStart"/>
            <w:r w:rsidRPr="00432345">
              <w:rPr>
                <w:sz w:val="17"/>
              </w:rPr>
              <w:t>jangka  waktu</w:t>
            </w:r>
            <w:proofErr w:type="gramEnd"/>
            <w:r w:rsidRPr="00432345">
              <w:rPr>
                <w:sz w:val="17"/>
              </w:rPr>
              <w:t xml:space="preserve"> lima  tahun     yang     berakhir     pada      tanggal 14 Desember</w:t>
            </w:r>
            <w:r w:rsidRPr="00432345">
              <w:rPr>
                <w:spacing w:val="-1"/>
                <w:sz w:val="17"/>
              </w:rPr>
              <w:t xml:space="preserve"> </w:t>
            </w:r>
            <w:r w:rsidRPr="00432345">
              <w:rPr>
                <w:sz w:val="17"/>
              </w:rPr>
              <w:t>2022.</w:t>
            </w:r>
          </w:p>
        </w:tc>
        <w:tc>
          <w:tcPr>
            <w:tcW w:w="4605" w:type="dxa"/>
            <w:gridSpan w:val="2"/>
            <w:tcBorders>
              <w:top w:val="nil"/>
              <w:left w:val="nil"/>
              <w:bottom w:val="nil"/>
              <w:right w:val="nil"/>
            </w:tcBorders>
          </w:tcPr>
          <w:p w14:paraId="242C5EFB" w14:textId="6B431B77" w:rsidR="00634E77" w:rsidRDefault="00634E77" w:rsidP="0068130A">
            <w:pPr>
              <w:pStyle w:val="ListParagraph"/>
              <w:tabs>
                <w:tab w:val="right" w:pos="9340"/>
                <w:tab w:val="right" w:pos="10080"/>
              </w:tabs>
              <w:ind w:left="284" w:right="-57"/>
              <w:jc w:val="both"/>
              <w:rPr>
                <w:i/>
                <w:sz w:val="18"/>
                <w:szCs w:val="18"/>
                <w:u w:val="single"/>
              </w:rPr>
            </w:pPr>
            <w:r w:rsidRPr="00432345">
              <w:rPr>
                <w:i/>
                <w:sz w:val="17"/>
              </w:rPr>
              <w:t>On December 4</w:t>
            </w:r>
            <w:r w:rsidR="00305CA0">
              <w:rPr>
                <w:i/>
                <w:sz w:val="17"/>
              </w:rPr>
              <w:t>.</w:t>
            </w:r>
            <w:r w:rsidRPr="00432345">
              <w:rPr>
                <w:i/>
                <w:sz w:val="17"/>
              </w:rPr>
              <w:t xml:space="preserve"> 2017</w:t>
            </w:r>
            <w:r w:rsidR="00305CA0">
              <w:rPr>
                <w:i/>
                <w:sz w:val="17"/>
              </w:rPr>
              <w:t>.</w:t>
            </w:r>
            <w:r w:rsidRPr="00432345">
              <w:rPr>
                <w:i/>
                <w:sz w:val="17"/>
              </w:rPr>
              <w:t xml:space="preserve"> </w:t>
            </w:r>
            <w:proofErr w:type="gramStart"/>
            <w:r w:rsidRPr="00432345">
              <w:rPr>
                <w:i/>
                <w:sz w:val="17"/>
              </w:rPr>
              <w:t>based</w:t>
            </w:r>
            <w:proofErr w:type="gramEnd"/>
            <w:r w:rsidRPr="00432345">
              <w:rPr>
                <w:i/>
                <w:sz w:val="17"/>
              </w:rPr>
              <w:t xml:space="preserve"> on agreement </w:t>
            </w:r>
            <w:r w:rsidR="00432345">
              <w:rPr>
                <w:i/>
                <w:sz w:val="17"/>
              </w:rPr>
              <w:br/>
            </w:r>
            <w:r w:rsidRPr="00432345">
              <w:rPr>
                <w:i/>
                <w:sz w:val="17"/>
              </w:rPr>
              <w:t>No. 2185/LG.05/RC-01/X/2017</w:t>
            </w:r>
            <w:r w:rsidR="00305CA0">
              <w:rPr>
                <w:i/>
                <w:sz w:val="17"/>
              </w:rPr>
              <w:t>.</w:t>
            </w:r>
            <w:r w:rsidRPr="00432345">
              <w:rPr>
                <w:i/>
                <w:sz w:val="17"/>
              </w:rPr>
              <w:t xml:space="preserve"> </w:t>
            </w:r>
            <w:proofErr w:type="gramStart"/>
            <w:r w:rsidRPr="00432345">
              <w:rPr>
                <w:i/>
                <w:sz w:val="17"/>
              </w:rPr>
              <w:t>the</w:t>
            </w:r>
            <w:proofErr w:type="gramEnd"/>
            <w:r w:rsidRPr="00432345">
              <w:rPr>
                <w:i/>
                <w:sz w:val="17"/>
              </w:rPr>
              <w:t xml:space="preserve"> Company entered into an agreement in terms of renting space for mobile telecommunication system device with PT Telekomunikasi Selular. The agreement is valid for a period of five years ended December 14</w:t>
            </w:r>
            <w:r w:rsidR="00305CA0">
              <w:rPr>
                <w:i/>
                <w:sz w:val="17"/>
              </w:rPr>
              <w:t>.</w:t>
            </w:r>
            <w:r w:rsidRPr="00432345">
              <w:rPr>
                <w:i/>
                <w:spacing w:val="-2"/>
                <w:sz w:val="17"/>
              </w:rPr>
              <w:t xml:space="preserve"> </w:t>
            </w:r>
            <w:r w:rsidRPr="00432345">
              <w:rPr>
                <w:i/>
                <w:sz w:val="17"/>
              </w:rPr>
              <w:t>2022.</w:t>
            </w:r>
          </w:p>
        </w:tc>
      </w:tr>
    </w:tbl>
    <w:p w14:paraId="48284F02" w14:textId="77777777" w:rsidR="005E7DC2" w:rsidRPr="005E7DC2" w:rsidRDefault="005E7DC2">
      <w:pPr>
        <w:rPr>
          <w:sz w:val="2"/>
          <w:szCs w:val="2"/>
        </w:rPr>
      </w:pPr>
    </w:p>
    <w:p w14:paraId="10B76DD6" w14:textId="77777777" w:rsidR="005E7DC2" w:rsidRPr="005E7DC2" w:rsidRDefault="005E7DC2">
      <w:pPr>
        <w:rPr>
          <w:sz w:val="2"/>
          <w:szCs w:val="2"/>
        </w:rPr>
      </w:pPr>
    </w:p>
    <w:tbl>
      <w:tblPr>
        <w:tblW w:w="9197" w:type="dxa"/>
        <w:tblInd w:w="378" w:type="dxa"/>
        <w:tblLook w:val="0000" w:firstRow="0" w:lastRow="0" w:firstColumn="0" w:lastColumn="0" w:noHBand="0" w:noVBand="0"/>
      </w:tblPr>
      <w:tblGrid>
        <w:gridCol w:w="4599"/>
        <w:gridCol w:w="4598"/>
      </w:tblGrid>
      <w:tr w:rsidR="001420D9" w:rsidRPr="0013526B" w14:paraId="58DDF6D1" w14:textId="77777777" w:rsidTr="00284CA5">
        <w:trPr>
          <w:trHeight w:val="90"/>
        </w:trPr>
        <w:tc>
          <w:tcPr>
            <w:tcW w:w="4598" w:type="dxa"/>
            <w:tcBorders>
              <w:top w:val="nil"/>
              <w:left w:val="nil"/>
              <w:bottom w:val="nil"/>
              <w:right w:val="nil"/>
            </w:tcBorders>
          </w:tcPr>
          <w:p w14:paraId="036B32AE" w14:textId="01E75926" w:rsidR="001420D9" w:rsidRPr="00BF5A15" w:rsidRDefault="001420D9" w:rsidP="0068130A">
            <w:pPr>
              <w:pStyle w:val="ListParagraph"/>
              <w:ind w:left="318" w:right="-57"/>
              <w:jc w:val="both"/>
              <w:rPr>
                <w:sz w:val="17"/>
              </w:rPr>
            </w:pPr>
            <w:r w:rsidRPr="00BF5A15">
              <w:rPr>
                <w:sz w:val="17"/>
              </w:rPr>
              <w:t>Pada tanggal 1 Juli 2017</w:t>
            </w:r>
            <w:r w:rsidR="00305CA0">
              <w:rPr>
                <w:sz w:val="17"/>
              </w:rPr>
              <w:t>.</w:t>
            </w:r>
            <w:r w:rsidRPr="00BF5A15">
              <w:rPr>
                <w:sz w:val="17"/>
              </w:rPr>
              <w:t xml:space="preserve"> </w:t>
            </w:r>
            <w:proofErr w:type="gramStart"/>
            <w:r w:rsidRPr="00BF5A15">
              <w:rPr>
                <w:sz w:val="17"/>
              </w:rPr>
              <w:t>berdasarkan</w:t>
            </w:r>
            <w:proofErr w:type="gramEnd"/>
            <w:r w:rsidRPr="00BF5A15">
              <w:rPr>
                <w:sz w:val="17"/>
              </w:rPr>
              <w:t xml:space="preserve"> perjanjian </w:t>
            </w:r>
            <w:r>
              <w:rPr>
                <w:sz w:val="17"/>
              </w:rPr>
              <w:br/>
            </w:r>
            <w:r w:rsidRPr="00BF5A15">
              <w:rPr>
                <w:sz w:val="17"/>
              </w:rPr>
              <w:t>No. 009/PKS/PT-SRAJ/VII/2019</w:t>
            </w:r>
            <w:r w:rsidR="00305CA0">
              <w:rPr>
                <w:sz w:val="17"/>
              </w:rPr>
              <w:t>.</w:t>
            </w:r>
            <w:r w:rsidRPr="00BF5A15">
              <w:rPr>
                <w:sz w:val="17"/>
              </w:rPr>
              <w:t xml:space="preserve"> Perusahaan mengadakan perjanjian kerjasama dengan PT Unggul </w:t>
            </w:r>
            <w:proofErr w:type="gramStart"/>
            <w:r w:rsidRPr="00BF5A15">
              <w:rPr>
                <w:sz w:val="17"/>
              </w:rPr>
              <w:t>Cipta  Indah</w:t>
            </w:r>
            <w:proofErr w:type="gramEnd"/>
            <w:r w:rsidRPr="00BF5A15">
              <w:rPr>
                <w:sz w:val="17"/>
              </w:rPr>
              <w:t xml:space="preserve">.  </w:t>
            </w:r>
            <w:r>
              <w:rPr>
                <w:sz w:val="17"/>
              </w:rPr>
              <w:br/>
            </w:r>
            <w:r w:rsidRPr="00BF5A15">
              <w:rPr>
                <w:sz w:val="17"/>
              </w:rPr>
              <w:t xml:space="preserve">PT Unggul Cipta Indah berkewajiban untuk menyediakan jasa housemaid. Perjanjian ini berlaku untuk jangka </w:t>
            </w:r>
            <w:proofErr w:type="gramStart"/>
            <w:r w:rsidRPr="00BF5A15">
              <w:rPr>
                <w:sz w:val="17"/>
              </w:rPr>
              <w:t>waktu  dua</w:t>
            </w:r>
            <w:proofErr w:type="gramEnd"/>
            <w:r w:rsidRPr="00BF5A15">
              <w:rPr>
                <w:sz w:val="17"/>
              </w:rPr>
              <w:t xml:space="preserve"> tahun yang  berakhir  pada  tanggal  31 Mei 2021.</w:t>
            </w:r>
          </w:p>
        </w:tc>
        <w:tc>
          <w:tcPr>
            <w:tcW w:w="4599" w:type="dxa"/>
            <w:tcBorders>
              <w:top w:val="nil"/>
              <w:left w:val="nil"/>
              <w:bottom w:val="nil"/>
              <w:right w:val="nil"/>
            </w:tcBorders>
          </w:tcPr>
          <w:p w14:paraId="4283E466" w14:textId="64D831B0" w:rsidR="001420D9" w:rsidRDefault="001420D9" w:rsidP="0068130A">
            <w:pPr>
              <w:pStyle w:val="ListParagraph"/>
              <w:tabs>
                <w:tab w:val="right" w:pos="9340"/>
                <w:tab w:val="right" w:pos="10080"/>
              </w:tabs>
              <w:ind w:left="284" w:right="-57"/>
              <w:jc w:val="both"/>
              <w:rPr>
                <w:i/>
                <w:sz w:val="18"/>
                <w:szCs w:val="18"/>
                <w:u w:val="single"/>
              </w:rPr>
            </w:pPr>
            <w:proofErr w:type="gramStart"/>
            <w:r w:rsidRPr="00BF5A15">
              <w:rPr>
                <w:i/>
                <w:sz w:val="17"/>
              </w:rPr>
              <w:t>On  July</w:t>
            </w:r>
            <w:proofErr w:type="gramEnd"/>
            <w:r w:rsidRPr="00BF5A15">
              <w:rPr>
                <w:i/>
                <w:sz w:val="17"/>
              </w:rPr>
              <w:t xml:space="preserve"> 1</w:t>
            </w:r>
            <w:r w:rsidR="00305CA0">
              <w:rPr>
                <w:i/>
                <w:sz w:val="17"/>
              </w:rPr>
              <w:t>.</w:t>
            </w:r>
            <w:r w:rsidRPr="00BF5A15">
              <w:rPr>
                <w:i/>
                <w:sz w:val="17"/>
              </w:rPr>
              <w:t xml:space="preserve">  2017</w:t>
            </w:r>
            <w:r w:rsidR="00305CA0">
              <w:rPr>
                <w:i/>
                <w:sz w:val="17"/>
              </w:rPr>
              <w:t>.</w:t>
            </w:r>
            <w:r w:rsidRPr="00BF5A15">
              <w:rPr>
                <w:i/>
                <w:sz w:val="17"/>
              </w:rPr>
              <w:t xml:space="preserve">  </w:t>
            </w:r>
            <w:proofErr w:type="gramStart"/>
            <w:r w:rsidRPr="00BF5A15">
              <w:rPr>
                <w:i/>
                <w:sz w:val="17"/>
              </w:rPr>
              <w:t>based  on</w:t>
            </w:r>
            <w:proofErr w:type="gramEnd"/>
            <w:r w:rsidRPr="00BF5A15">
              <w:rPr>
                <w:i/>
                <w:sz w:val="17"/>
              </w:rPr>
              <w:t xml:space="preserve">  agreement </w:t>
            </w:r>
            <w:r>
              <w:rPr>
                <w:i/>
                <w:sz w:val="17"/>
              </w:rPr>
              <w:br/>
            </w:r>
            <w:r w:rsidRPr="00BF5A15">
              <w:rPr>
                <w:i/>
                <w:sz w:val="17"/>
              </w:rPr>
              <w:t xml:space="preserve">No. </w:t>
            </w:r>
            <w:r w:rsidRPr="00BF5A15">
              <w:rPr>
                <w:i/>
                <w:iCs/>
                <w:sz w:val="17"/>
              </w:rPr>
              <w:t>009/PKS/PT-SRAJ/VII/2019</w:t>
            </w:r>
            <w:r w:rsidR="00870FD0">
              <w:rPr>
                <w:i/>
                <w:sz w:val="17"/>
              </w:rPr>
              <w:t>.</w:t>
            </w:r>
            <w:r w:rsidRPr="00BF5A15">
              <w:rPr>
                <w:i/>
                <w:sz w:val="17"/>
              </w:rPr>
              <w:t xml:space="preserve"> </w:t>
            </w:r>
            <w:proofErr w:type="gramStart"/>
            <w:r w:rsidRPr="00BF5A15">
              <w:rPr>
                <w:i/>
                <w:sz w:val="17"/>
              </w:rPr>
              <w:t>the</w:t>
            </w:r>
            <w:proofErr w:type="gramEnd"/>
            <w:r w:rsidRPr="00BF5A15">
              <w:rPr>
                <w:i/>
                <w:sz w:val="17"/>
              </w:rPr>
              <w:t xml:space="preserve"> Company entered into an agreement with PT Unggul Cipta Indah. PT Unggul Cipta Indah obligated to providing housemaid services. The agreement is valid for a period of two years ended </w:t>
            </w:r>
            <w:r>
              <w:rPr>
                <w:i/>
                <w:sz w:val="17"/>
              </w:rPr>
              <w:br/>
            </w:r>
            <w:r w:rsidRPr="00BF5A15">
              <w:rPr>
                <w:i/>
                <w:sz w:val="17"/>
              </w:rPr>
              <w:t>Mei 31</w:t>
            </w:r>
            <w:r w:rsidR="00305CA0">
              <w:rPr>
                <w:i/>
                <w:sz w:val="17"/>
              </w:rPr>
              <w:t>.</w:t>
            </w:r>
            <w:r w:rsidRPr="00BF5A15">
              <w:rPr>
                <w:i/>
                <w:spacing w:val="-1"/>
                <w:sz w:val="17"/>
              </w:rPr>
              <w:t xml:space="preserve"> </w:t>
            </w:r>
            <w:r w:rsidRPr="00BF5A15">
              <w:rPr>
                <w:i/>
                <w:sz w:val="17"/>
              </w:rPr>
              <w:t>2021.</w:t>
            </w:r>
          </w:p>
        </w:tc>
      </w:tr>
      <w:tr w:rsidR="001420D9" w:rsidRPr="001420D9" w14:paraId="5069701A" w14:textId="77777777" w:rsidTr="00284CA5">
        <w:trPr>
          <w:trHeight w:val="90"/>
        </w:trPr>
        <w:tc>
          <w:tcPr>
            <w:tcW w:w="4598" w:type="dxa"/>
            <w:tcBorders>
              <w:top w:val="nil"/>
              <w:left w:val="nil"/>
              <w:bottom w:val="nil"/>
              <w:right w:val="nil"/>
            </w:tcBorders>
          </w:tcPr>
          <w:p w14:paraId="32D8A5DF" w14:textId="77777777" w:rsidR="001420D9" w:rsidRPr="001420D9" w:rsidRDefault="001420D9" w:rsidP="00921DC2">
            <w:pPr>
              <w:pStyle w:val="ListParagraph"/>
              <w:ind w:left="318" w:right="-57"/>
              <w:jc w:val="both"/>
              <w:rPr>
                <w:sz w:val="12"/>
                <w:szCs w:val="12"/>
              </w:rPr>
            </w:pPr>
          </w:p>
        </w:tc>
        <w:tc>
          <w:tcPr>
            <w:tcW w:w="4599" w:type="dxa"/>
            <w:tcBorders>
              <w:top w:val="nil"/>
              <w:left w:val="nil"/>
              <w:bottom w:val="nil"/>
              <w:right w:val="nil"/>
            </w:tcBorders>
          </w:tcPr>
          <w:p w14:paraId="3C602B49" w14:textId="77777777" w:rsidR="001420D9" w:rsidRPr="001420D9" w:rsidRDefault="001420D9" w:rsidP="00921DC2">
            <w:pPr>
              <w:pStyle w:val="ListParagraph"/>
              <w:tabs>
                <w:tab w:val="right" w:pos="9340"/>
                <w:tab w:val="right" w:pos="10080"/>
              </w:tabs>
              <w:ind w:left="284" w:right="-57"/>
              <w:jc w:val="both"/>
              <w:rPr>
                <w:i/>
                <w:sz w:val="12"/>
                <w:szCs w:val="12"/>
              </w:rPr>
            </w:pPr>
          </w:p>
        </w:tc>
      </w:tr>
      <w:tr w:rsidR="00634E77" w:rsidRPr="00432345" w14:paraId="516F6A6A" w14:textId="77777777" w:rsidTr="00284CA5">
        <w:trPr>
          <w:trHeight w:val="90"/>
        </w:trPr>
        <w:tc>
          <w:tcPr>
            <w:tcW w:w="4599" w:type="dxa"/>
            <w:tcBorders>
              <w:top w:val="nil"/>
              <w:left w:val="nil"/>
              <w:bottom w:val="nil"/>
              <w:right w:val="nil"/>
            </w:tcBorders>
          </w:tcPr>
          <w:p w14:paraId="2FC65654" w14:textId="7071CDEB" w:rsidR="00634E77" w:rsidRPr="00432345" w:rsidRDefault="00634E77" w:rsidP="0068130A">
            <w:pPr>
              <w:pStyle w:val="ListParagraph"/>
              <w:ind w:left="318" w:right="-57"/>
              <w:jc w:val="both"/>
              <w:rPr>
                <w:sz w:val="18"/>
                <w:szCs w:val="18"/>
                <w:u w:val="single"/>
              </w:rPr>
            </w:pPr>
            <w:r w:rsidRPr="00432345">
              <w:rPr>
                <w:sz w:val="17"/>
              </w:rPr>
              <w:t>Pada tanggal 12 Juni 2017</w:t>
            </w:r>
            <w:r w:rsidR="00305CA0">
              <w:rPr>
                <w:sz w:val="17"/>
              </w:rPr>
              <w:t>.</w:t>
            </w:r>
            <w:r w:rsidRPr="00432345">
              <w:rPr>
                <w:sz w:val="17"/>
              </w:rPr>
              <w:t xml:space="preserve"> </w:t>
            </w:r>
            <w:proofErr w:type="gramStart"/>
            <w:r w:rsidRPr="00432345">
              <w:rPr>
                <w:sz w:val="17"/>
              </w:rPr>
              <w:t>berdasarkan</w:t>
            </w:r>
            <w:proofErr w:type="gramEnd"/>
            <w:r w:rsidRPr="00432345">
              <w:rPr>
                <w:sz w:val="17"/>
              </w:rPr>
              <w:t xml:space="preserve"> perjanjian </w:t>
            </w:r>
            <w:r w:rsidR="009B2605">
              <w:rPr>
                <w:sz w:val="17"/>
              </w:rPr>
              <w:br/>
            </w:r>
            <w:r w:rsidRPr="00432345">
              <w:rPr>
                <w:sz w:val="17"/>
              </w:rPr>
              <w:t>No. 280/KS-POG/HELIN/VI/2017</w:t>
            </w:r>
            <w:r w:rsidR="00305CA0">
              <w:rPr>
                <w:sz w:val="17"/>
              </w:rPr>
              <w:t>.</w:t>
            </w:r>
            <w:r w:rsidRPr="00432345">
              <w:rPr>
                <w:sz w:val="17"/>
              </w:rPr>
              <w:t xml:space="preserve"> Perusahaan mengadakan perjanjian kerjasama dengan PT Hyundai Elevator Indonesia. PT Hyundai Elevator Indonesia berkewajiban untuk menyediakan jasa pemeliharaan elevator. Perjanjian ini berlaku untuk jangka waktu</w:t>
            </w:r>
            <w:r w:rsidR="009B2605">
              <w:rPr>
                <w:sz w:val="17"/>
              </w:rPr>
              <w:t xml:space="preserve"> </w:t>
            </w:r>
            <w:r w:rsidRPr="00432345">
              <w:rPr>
                <w:sz w:val="17"/>
              </w:rPr>
              <w:t xml:space="preserve">tiga tahun. Terhitung </w:t>
            </w:r>
            <w:proofErr w:type="gramStart"/>
            <w:r w:rsidRPr="00432345">
              <w:rPr>
                <w:sz w:val="17"/>
              </w:rPr>
              <w:t xml:space="preserve">sejak  </w:t>
            </w:r>
            <w:proofErr w:type="gramEnd"/>
            <w:r w:rsidR="009B2605">
              <w:rPr>
                <w:sz w:val="17"/>
              </w:rPr>
              <w:br/>
            </w:r>
            <w:r w:rsidRPr="00432345">
              <w:rPr>
                <w:sz w:val="17"/>
              </w:rPr>
              <w:t>1  Juni  2017  berakhir  pada  tanggal  31 Mei 2020.</w:t>
            </w:r>
          </w:p>
        </w:tc>
        <w:tc>
          <w:tcPr>
            <w:tcW w:w="4598" w:type="dxa"/>
            <w:tcBorders>
              <w:top w:val="nil"/>
              <w:left w:val="nil"/>
              <w:bottom w:val="nil"/>
              <w:right w:val="nil"/>
            </w:tcBorders>
          </w:tcPr>
          <w:p w14:paraId="66EA9BFF" w14:textId="53AF67F6" w:rsidR="00634E77" w:rsidRPr="00432345" w:rsidRDefault="00634E77" w:rsidP="0068130A">
            <w:pPr>
              <w:pStyle w:val="ListParagraph"/>
              <w:tabs>
                <w:tab w:val="right" w:pos="9340"/>
                <w:tab w:val="right" w:pos="10080"/>
              </w:tabs>
              <w:ind w:left="284" w:right="-57"/>
              <w:jc w:val="both"/>
              <w:rPr>
                <w:i/>
                <w:sz w:val="18"/>
                <w:szCs w:val="18"/>
                <w:u w:val="single"/>
              </w:rPr>
            </w:pPr>
            <w:r w:rsidRPr="00432345">
              <w:rPr>
                <w:i/>
                <w:sz w:val="17"/>
              </w:rPr>
              <w:t xml:space="preserve">On </w:t>
            </w:r>
            <w:proofErr w:type="gramStart"/>
            <w:r w:rsidRPr="00432345">
              <w:rPr>
                <w:i/>
                <w:sz w:val="17"/>
              </w:rPr>
              <w:t>June  12</w:t>
            </w:r>
            <w:proofErr w:type="gramEnd"/>
            <w:r w:rsidR="00305CA0">
              <w:rPr>
                <w:i/>
                <w:sz w:val="17"/>
              </w:rPr>
              <w:t>.</w:t>
            </w:r>
            <w:r w:rsidRPr="00432345">
              <w:rPr>
                <w:i/>
                <w:sz w:val="17"/>
              </w:rPr>
              <w:t xml:space="preserve">  2017</w:t>
            </w:r>
            <w:r w:rsidR="00305CA0">
              <w:rPr>
                <w:i/>
                <w:sz w:val="17"/>
              </w:rPr>
              <w:t>.</w:t>
            </w:r>
            <w:r w:rsidRPr="00432345">
              <w:rPr>
                <w:i/>
                <w:sz w:val="17"/>
              </w:rPr>
              <w:t xml:space="preserve">  </w:t>
            </w:r>
            <w:proofErr w:type="gramStart"/>
            <w:r w:rsidRPr="00432345">
              <w:rPr>
                <w:i/>
                <w:sz w:val="17"/>
              </w:rPr>
              <w:t>based  on</w:t>
            </w:r>
            <w:proofErr w:type="gramEnd"/>
            <w:r w:rsidRPr="00432345">
              <w:rPr>
                <w:i/>
                <w:sz w:val="17"/>
              </w:rPr>
              <w:t xml:space="preserve">  agreement </w:t>
            </w:r>
            <w:r w:rsidR="009B2605">
              <w:rPr>
                <w:i/>
                <w:sz w:val="17"/>
              </w:rPr>
              <w:br/>
            </w:r>
            <w:r w:rsidRPr="00432345">
              <w:rPr>
                <w:i/>
                <w:sz w:val="17"/>
              </w:rPr>
              <w:t>No. 280/KS-POG/HELIN/VI/2017</w:t>
            </w:r>
            <w:r w:rsidR="00870FD0">
              <w:rPr>
                <w:i/>
                <w:sz w:val="17"/>
              </w:rPr>
              <w:t>.</w:t>
            </w:r>
            <w:r w:rsidRPr="00432345">
              <w:rPr>
                <w:i/>
                <w:sz w:val="17"/>
              </w:rPr>
              <w:t xml:space="preserve"> </w:t>
            </w:r>
            <w:proofErr w:type="gramStart"/>
            <w:r w:rsidRPr="00432345">
              <w:rPr>
                <w:i/>
                <w:sz w:val="17"/>
              </w:rPr>
              <w:t>the</w:t>
            </w:r>
            <w:proofErr w:type="gramEnd"/>
            <w:r w:rsidRPr="00432345">
              <w:rPr>
                <w:i/>
                <w:sz w:val="17"/>
              </w:rPr>
              <w:t xml:space="preserve"> Company entered into an  agreement  with  PT Hyundai Elevator Indonesia. </w:t>
            </w:r>
            <w:r w:rsidR="009B2605">
              <w:rPr>
                <w:i/>
                <w:sz w:val="17"/>
              </w:rPr>
              <w:br/>
            </w:r>
            <w:r w:rsidRPr="00432345">
              <w:rPr>
                <w:i/>
                <w:sz w:val="17"/>
              </w:rPr>
              <w:t>PT Hyundai Elevator Indonesia obligated to providing elevator maintenance services. The agreement is valid for a period of three years. Started on June</w:t>
            </w:r>
            <w:r w:rsidR="00305CA0">
              <w:rPr>
                <w:i/>
                <w:sz w:val="17"/>
              </w:rPr>
              <w:t>.</w:t>
            </w:r>
            <w:r w:rsidRPr="00432345">
              <w:rPr>
                <w:i/>
                <w:sz w:val="17"/>
              </w:rPr>
              <w:t xml:space="preserve"> 1 2017 and ended on May 31</w:t>
            </w:r>
            <w:r w:rsidR="00305CA0">
              <w:rPr>
                <w:i/>
                <w:sz w:val="17"/>
              </w:rPr>
              <w:t>.</w:t>
            </w:r>
            <w:r w:rsidRPr="00432345">
              <w:rPr>
                <w:i/>
                <w:sz w:val="17"/>
              </w:rPr>
              <w:t xml:space="preserve"> 2020.</w:t>
            </w:r>
          </w:p>
        </w:tc>
      </w:tr>
    </w:tbl>
    <w:p w14:paraId="775E04B5" w14:textId="77777777" w:rsidR="00DA3A62" w:rsidRPr="00DA3A62" w:rsidRDefault="00DA3A62">
      <w:pPr>
        <w:rPr>
          <w:sz w:val="2"/>
          <w:szCs w:val="2"/>
        </w:rPr>
      </w:pPr>
    </w:p>
    <w:p w14:paraId="6DF52367" w14:textId="0DF0E961" w:rsidR="00BF5A15" w:rsidRDefault="00BF5A15">
      <w:pPr>
        <w:rPr>
          <w:sz w:val="12"/>
          <w:szCs w:val="12"/>
        </w:rPr>
      </w:pPr>
    </w:p>
    <w:p w14:paraId="6E35EFCC" w14:textId="3182B48A" w:rsidR="00EE78B5" w:rsidRDefault="00EE78B5">
      <w:pPr>
        <w:rPr>
          <w:sz w:val="12"/>
          <w:szCs w:val="12"/>
        </w:rPr>
      </w:pPr>
    </w:p>
    <w:p w14:paraId="7E54EEF7" w14:textId="1478EA92" w:rsidR="00EE78B5" w:rsidRDefault="00EE78B5">
      <w:pPr>
        <w:rPr>
          <w:sz w:val="12"/>
          <w:szCs w:val="12"/>
        </w:rPr>
      </w:pPr>
    </w:p>
    <w:p w14:paraId="7DCBAC3E" w14:textId="5878E730" w:rsidR="00EE78B5" w:rsidRDefault="00EE78B5">
      <w:pPr>
        <w:rPr>
          <w:sz w:val="12"/>
          <w:szCs w:val="12"/>
        </w:rPr>
      </w:pPr>
    </w:p>
    <w:p w14:paraId="3149F99D" w14:textId="1C1D4A59" w:rsidR="00EE78B5" w:rsidRDefault="00EE78B5">
      <w:pPr>
        <w:rPr>
          <w:sz w:val="12"/>
          <w:szCs w:val="12"/>
        </w:rPr>
      </w:pPr>
    </w:p>
    <w:p w14:paraId="2AB9ECDC" w14:textId="6450DB4F" w:rsidR="00EE78B5" w:rsidRDefault="00EE78B5">
      <w:pPr>
        <w:rPr>
          <w:sz w:val="12"/>
          <w:szCs w:val="12"/>
        </w:rPr>
      </w:pPr>
    </w:p>
    <w:p w14:paraId="0CFA4AC8" w14:textId="08E75658" w:rsidR="00EE78B5" w:rsidRDefault="00EE78B5">
      <w:pPr>
        <w:rPr>
          <w:sz w:val="12"/>
          <w:szCs w:val="12"/>
        </w:rPr>
      </w:pPr>
    </w:p>
    <w:p w14:paraId="2DE83321" w14:textId="6BBED828" w:rsidR="00EE78B5" w:rsidRDefault="00EE78B5">
      <w:pPr>
        <w:rPr>
          <w:sz w:val="12"/>
          <w:szCs w:val="12"/>
        </w:rPr>
      </w:pPr>
    </w:p>
    <w:p w14:paraId="1377735D" w14:textId="1080D5D0" w:rsidR="00EE78B5" w:rsidRDefault="00EE78B5">
      <w:pPr>
        <w:rPr>
          <w:sz w:val="12"/>
          <w:szCs w:val="12"/>
        </w:rPr>
      </w:pPr>
    </w:p>
    <w:p w14:paraId="39974EE0" w14:textId="656ED476" w:rsidR="00EE78B5" w:rsidRDefault="00EE78B5">
      <w:pPr>
        <w:rPr>
          <w:sz w:val="12"/>
          <w:szCs w:val="12"/>
        </w:rPr>
      </w:pPr>
    </w:p>
    <w:p w14:paraId="67D9A129" w14:textId="59C0BF46" w:rsidR="00EE78B5" w:rsidRDefault="00EE78B5">
      <w:pPr>
        <w:rPr>
          <w:sz w:val="12"/>
          <w:szCs w:val="12"/>
        </w:rPr>
      </w:pPr>
    </w:p>
    <w:p w14:paraId="5276BBC4" w14:textId="53CA43C0" w:rsidR="00EE78B5" w:rsidRDefault="00EE78B5">
      <w:pPr>
        <w:rPr>
          <w:sz w:val="12"/>
          <w:szCs w:val="12"/>
        </w:rPr>
      </w:pPr>
    </w:p>
    <w:p w14:paraId="11960CEC" w14:textId="76879406" w:rsidR="00EE78B5" w:rsidRDefault="00EE78B5">
      <w:pPr>
        <w:rPr>
          <w:sz w:val="12"/>
          <w:szCs w:val="12"/>
        </w:rPr>
      </w:pPr>
    </w:p>
    <w:tbl>
      <w:tblPr>
        <w:tblW w:w="9197" w:type="dxa"/>
        <w:tblInd w:w="392" w:type="dxa"/>
        <w:tblLook w:val="0000" w:firstRow="0" w:lastRow="0" w:firstColumn="0" w:lastColumn="0" w:noHBand="0" w:noVBand="0"/>
      </w:tblPr>
      <w:tblGrid>
        <w:gridCol w:w="4599"/>
        <w:gridCol w:w="4598"/>
      </w:tblGrid>
      <w:tr w:rsidR="00EE78B5" w:rsidRPr="00525CA4" w14:paraId="4DF79262" w14:textId="77777777" w:rsidTr="00EE78B5">
        <w:tc>
          <w:tcPr>
            <w:tcW w:w="4599" w:type="dxa"/>
            <w:tcBorders>
              <w:top w:val="nil"/>
              <w:left w:val="nil"/>
              <w:bottom w:val="nil"/>
              <w:right w:val="nil"/>
            </w:tcBorders>
          </w:tcPr>
          <w:p w14:paraId="542A7EC8" w14:textId="77777777" w:rsidR="00EE78B5" w:rsidRPr="00525CA4" w:rsidRDefault="00EE78B5" w:rsidP="00070D1F">
            <w:pPr>
              <w:numPr>
                <w:ilvl w:val="0"/>
                <w:numId w:val="391"/>
              </w:numPr>
              <w:jc w:val="both"/>
              <w:rPr>
                <w:b/>
                <w:bCs w:val="0"/>
                <w:sz w:val="18"/>
                <w:szCs w:val="18"/>
              </w:rPr>
            </w:pPr>
            <w:r w:rsidRPr="00525CA4">
              <w:rPr>
                <w:b/>
                <w:bCs w:val="0"/>
                <w:sz w:val="18"/>
                <w:szCs w:val="18"/>
              </w:rPr>
              <w:lastRenderedPageBreak/>
              <w:t xml:space="preserve">PERJANJIAN-PERJANJIAN PENTING </w:t>
            </w:r>
            <w:r>
              <w:rPr>
                <w:b/>
                <w:bCs w:val="0"/>
                <w:sz w:val="18"/>
                <w:szCs w:val="18"/>
              </w:rPr>
              <w:t>- Lanjutan</w:t>
            </w:r>
          </w:p>
        </w:tc>
        <w:tc>
          <w:tcPr>
            <w:tcW w:w="4598" w:type="dxa"/>
            <w:tcBorders>
              <w:top w:val="nil"/>
              <w:left w:val="nil"/>
              <w:bottom w:val="nil"/>
              <w:right w:val="nil"/>
            </w:tcBorders>
          </w:tcPr>
          <w:p w14:paraId="7D4EAAB3" w14:textId="77777777" w:rsidR="00EE78B5" w:rsidRPr="00432345" w:rsidRDefault="00EE78B5" w:rsidP="00070D1F">
            <w:pPr>
              <w:numPr>
                <w:ilvl w:val="0"/>
                <w:numId w:val="392"/>
              </w:numPr>
              <w:jc w:val="both"/>
              <w:rPr>
                <w:b/>
                <w:bCs w:val="0"/>
                <w:i/>
                <w:iCs/>
                <w:sz w:val="18"/>
                <w:szCs w:val="18"/>
              </w:rPr>
            </w:pPr>
            <w:r w:rsidRPr="00432345">
              <w:rPr>
                <w:b/>
                <w:bCs w:val="0"/>
                <w:i/>
                <w:iCs/>
                <w:sz w:val="18"/>
                <w:szCs w:val="18"/>
              </w:rPr>
              <w:t>SIGNIFICANTS AGREEMENTS</w:t>
            </w:r>
            <w:r>
              <w:rPr>
                <w:b/>
                <w:bCs w:val="0"/>
                <w:i/>
                <w:iCs/>
                <w:sz w:val="18"/>
                <w:szCs w:val="18"/>
              </w:rPr>
              <w:t xml:space="preserve"> - Continued</w:t>
            </w:r>
          </w:p>
        </w:tc>
      </w:tr>
      <w:tr w:rsidR="00EE78B5" w:rsidRPr="0013526B" w14:paraId="7D2CBFEF" w14:textId="77777777" w:rsidTr="00EE78B5">
        <w:trPr>
          <w:trHeight w:val="90"/>
        </w:trPr>
        <w:tc>
          <w:tcPr>
            <w:tcW w:w="4599" w:type="dxa"/>
            <w:tcBorders>
              <w:top w:val="nil"/>
              <w:left w:val="nil"/>
              <w:bottom w:val="nil"/>
              <w:right w:val="nil"/>
            </w:tcBorders>
          </w:tcPr>
          <w:p w14:paraId="2DB78F19" w14:textId="77777777" w:rsidR="00EE78B5" w:rsidRPr="00547983" w:rsidRDefault="00EE78B5" w:rsidP="00091DE4">
            <w:pPr>
              <w:pStyle w:val="ListParagraph"/>
              <w:ind w:left="318" w:right="-57"/>
              <w:jc w:val="both"/>
              <w:rPr>
                <w:sz w:val="17"/>
                <w:highlight w:val="cyan"/>
              </w:rPr>
            </w:pPr>
          </w:p>
        </w:tc>
        <w:tc>
          <w:tcPr>
            <w:tcW w:w="4598" w:type="dxa"/>
            <w:tcBorders>
              <w:top w:val="nil"/>
              <w:left w:val="nil"/>
              <w:bottom w:val="nil"/>
              <w:right w:val="nil"/>
            </w:tcBorders>
          </w:tcPr>
          <w:p w14:paraId="75F96F38" w14:textId="77777777" w:rsidR="00EE78B5" w:rsidRPr="00547983" w:rsidRDefault="00EE78B5" w:rsidP="00091DE4">
            <w:pPr>
              <w:pStyle w:val="ListParagraph"/>
              <w:tabs>
                <w:tab w:val="right" w:pos="9340"/>
                <w:tab w:val="right" w:pos="10080"/>
              </w:tabs>
              <w:ind w:left="284" w:right="-57"/>
              <w:jc w:val="both"/>
              <w:rPr>
                <w:i/>
                <w:sz w:val="17"/>
                <w:highlight w:val="cyan"/>
              </w:rPr>
            </w:pPr>
          </w:p>
        </w:tc>
      </w:tr>
    </w:tbl>
    <w:p w14:paraId="5BBDE74D" w14:textId="77777777" w:rsidR="00104084" w:rsidRPr="00104084" w:rsidRDefault="00104084">
      <w:pPr>
        <w:rPr>
          <w:sz w:val="2"/>
          <w:szCs w:val="2"/>
        </w:rPr>
      </w:pPr>
    </w:p>
    <w:tbl>
      <w:tblPr>
        <w:tblW w:w="9197" w:type="dxa"/>
        <w:tblInd w:w="406" w:type="dxa"/>
        <w:tblLook w:val="0000" w:firstRow="0" w:lastRow="0" w:firstColumn="0" w:lastColumn="0" w:noHBand="0" w:noVBand="0"/>
      </w:tblPr>
      <w:tblGrid>
        <w:gridCol w:w="4599"/>
        <w:gridCol w:w="4598"/>
      </w:tblGrid>
      <w:tr w:rsidR="001420D9" w:rsidRPr="0013526B" w14:paraId="2A4E97BC" w14:textId="77777777" w:rsidTr="00284CA5">
        <w:trPr>
          <w:trHeight w:val="90"/>
        </w:trPr>
        <w:tc>
          <w:tcPr>
            <w:tcW w:w="4599" w:type="dxa"/>
            <w:tcBorders>
              <w:top w:val="nil"/>
              <w:left w:val="nil"/>
              <w:bottom w:val="nil"/>
              <w:right w:val="nil"/>
            </w:tcBorders>
          </w:tcPr>
          <w:p w14:paraId="438A7401" w14:textId="0B4FDE00" w:rsidR="001420D9" w:rsidRPr="002C3E1A" w:rsidRDefault="001420D9" w:rsidP="001420D9">
            <w:pPr>
              <w:pStyle w:val="ListParagraph"/>
              <w:ind w:left="318" w:right="-57"/>
              <w:jc w:val="both"/>
              <w:rPr>
                <w:sz w:val="18"/>
                <w:szCs w:val="18"/>
                <w:u w:val="single"/>
              </w:rPr>
            </w:pPr>
            <w:r w:rsidRPr="002C3E1A">
              <w:rPr>
                <w:sz w:val="18"/>
                <w:szCs w:val="18"/>
                <w:u w:val="single"/>
              </w:rPr>
              <w:t>NKM</w:t>
            </w:r>
          </w:p>
        </w:tc>
        <w:tc>
          <w:tcPr>
            <w:tcW w:w="4598" w:type="dxa"/>
            <w:tcBorders>
              <w:top w:val="nil"/>
              <w:left w:val="nil"/>
              <w:bottom w:val="nil"/>
              <w:right w:val="nil"/>
            </w:tcBorders>
          </w:tcPr>
          <w:p w14:paraId="31913297" w14:textId="1C3A381A" w:rsidR="001420D9" w:rsidRPr="002C3E1A" w:rsidRDefault="001420D9" w:rsidP="001420D9">
            <w:pPr>
              <w:pStyle w:val="ListParagraph"/>
              <w:tabs>
                <w:tab w:val="right" w:pos="9340"/>
                <w:tab w:val="right" w:pos="10080"/>
              </w:tabs>
              <w:ind w:left="284" w:right="-57"/>
              <w:jc w:val="both"/>
              <w:rPr>
                <w:i/>
                <w:sz w:val="18"/>
                <w:szCs w:val="18"/>
                <w:u w:val="single"/>
              </w:rPr>
            </w:pPr>
            <w:r w:rsidRPr="002C3E1A">
              <w:rPr>
                <w:i/>
                <w:sz w:val="18"/>
                <w:szCs w:val="18"/>
                <w:u w:val="single"/>
              </w:rPr>
              <w:t>NKM</w:t>
            </w:r>
          </w:p>
        </w:tc>
      </w:tr>
      <w:tr w:rsidR="001420D9" w:rsidRPr="0013526B" w14:paraId="76854FFF" w14:textId="77777777" w:rsidTr="00284CA5">
        <w:trPr>
          <w:trHeight w:val="90"/>
        </w:trPr>
        <w:tc>
          <w:tcPr>
            <w:tcW w:w="4599" w:type="dxa"/>
            <w:tcBorders>
              <w:top w:val="nil"/>
              <w:left w:val="nil"/>
              <w:bottom w:val="nil"/>
              <w:right w:val="nil"/>
            </w:tcBorders>
          </w:tcPr>
          <w:p w14:paraId="241FC8B6" w14:textId="77777777" w:rsidR="001420D9" w:rsidRDefault="001420D9" w:rsidP="001420D9">
            <w:pPr>
              <w:pStyle w:val="ListParagraph"/>
              <w:ind w:left="318" w:right="-57"/>
              <w:jc w:val="both"/>
              <w:rPr>
                <w:sz w:val="18"/>
                <w:szCs w:val="18"/>
                <w:u w:val="single"/>
              </w:rPr>
            </w:pPr>
          </w:p>
        </w:tc>
        <w:tc>
          <w:tcPr>
            <w:tcW w:w="4598" w:type="dxa"/>
            <w:tcBorders>
              <w:top w:val="nil"/>
              <w:left w:val="nil"/>
              <w:bottom w:val="nil"/>
              <w:right w:val="nil"/>
            </w:tcBorders>
          </w:tcPr>
          <w:p w14:paraId="7263B78B" w14:textId="77777777" w:rsidR="001420D9" w:rsidRDefault="001420D9" w:rsidP="001420D9">
            <w:pPr>
              <w:pStyle w:val="ListParagraph"/>
              <w:tabs>
                <w:tab w:val="right" w:pos="9340"/>
                <w:tab w:val="right" w:pos="10080"/>
              </w:tabs>
              <w:ind w:left="284" w:right="-57"/>
              <w:jc w:val="both"/>
              <w:rPr>
                <w:i/>
                <w:sz w:val="18"/>
                <w:szCs w:val="18"/>
                <w:u w:val="single"/>
              </w:rPr>
            </w:pPr>
          </w:p>
        </w:tc>
      </w:tr>
      <w:tr w:rsidR="001420D9" w:rsidRPr="0013526B" w14:paraId="5D0F2CBE" w14:textId="77777777" w:rsidTr="00284CA5">
        <w:trPr>
          <w:trHeight w:val="90"/>
        </w:trPr>
        <w:tc>
          <w:tcPr>
            <w:tcW w:w="4599" w:type="dxa"/>
            <w:tcBorders>
              <w:top w:val="nil"/>
              <w:left w:val="nil"/>
              <w:bottom w:val="nil"/>
              <w:right w:val="nil"/>
            </w:tcBorders>
          </w:tcPr>
          <w:p w14:paraId="735AD741" w14:textId="6E1BEE5E" w:rsidR="001420D9" w:rsidRPr="001F216A" w:rsidRDefault="001420D9" w:rsidP="0068130A">
            <w:pPr>
              <w:pStyle w:val="ListParagraph"/>
              <w:ind w:left="318" w:right="-57"/>
              <w:jc w:val="both"/>
              <w:rPr>
                <w:sz w:val="18"/>
                <w:szCs w:val="18"/>
                <w:u w:val="single"/>
              </w:rPr>
            </w:pPr>
            <w:r w:rsidRPr="001F216A">
              <w:rPr>
                <w:sz w:val="17"/>
              </w:rPr>
              <w:t>Pada tanggal 1 Agustus 2018</w:t>
            </w:r>
            <w:r w:rsidR="00305CA0">
              <w:rPr>
                <w:sz w:val="17"/>
              </w:rPr>
              <w:t>.</w:t>
            </w:r>
            <w:r w:rsidRPr="001F216A">
              <w:rPr>
                <w:sz w:val="17"/>
              </w:rPr>
              <w:t xml:space="preserve"> Perusahaan mengadakan perjanjian kerjasama dalam hal pengelolaan     kamar     jenazah     </w:t>
            </w:r>
            <w:proofErr w:type="gramStart"/>
            <w:r w:rsidRPr="001F216A">
              <w:rPr>
                <w:sz w:val="17"/>
              </w:rPr>
              <w:t>dengan  PT</w:t>
            </w:r>
            <w:proofErr w:type="gramEnd"/>
            <w:r w:rsidRPr="001F216A">
              <w:rPr>
                <w:sz w:val="17"/>
              </w:rPr>
              <w:t xml:space="preserve"> Eternal Anugerah Selamat. Perjanjian ini merupakan addendum kedua dan berlaku untuk jangka waktu tiga tahun yang berakhir pada tanggal 31 Juli</w:t>
            </w:r>
            <w:r w:rsidRPr="001F216A">
              <w:rPr>
                <w:spacing w:val="-5"/>
                <w:sz w:val="17"/>
              </w:rPr>
              <w:t xml:space="preserve"> </w:t>
            </w:r>
            <w:r w:rsidRPr="001F216A">
              <w:rPr>
                <w:sz w:val="17"/>
              </w:rPr>
              <w:t>2021.</w:t>
            </w:r>
          </w:p>
        </w:tc>
        <w:tc>
          <w:tcPr>
            <w:tcW w:w="4598" w:type="dxa"/>
            <w:tcBorders>
              <w:top w:val="nil"/>
              <w:left w:val="nil"/>
              <w:bottom w:val="nil"/>
              <w:right w:val="nil"/>
            </w:tcBorders>
          </w:tcPr>
          <w:p w14:paraId="7F00CEEC" w14:textId="07F43A64" w:rsidR="001420D9" w:rsidRDefault="001420D9" w:rsidP="0068130A">
            <w:pPr>
              <w:pStyle w:val="ListParagraph"/>
              <w:tabs>
                <w:tab w:val="right" w:pos="9340"/>
                <w:tab w:val="right" w:pos="10080"/>
              </w:tabs>
              <w:ind w:left="284" w:right="-57"/>
              <w:jc w:val="both"/>
              <w:rPr>
                <w:i/>
                <w:sz w:val="18"/>
                <w:szCs w:val="18"/>
                <w:u w:val="single"/>
              </w:rPr>
            </w:pPr>
            <w:r w:rsidRPr="001F216A">
              <w:rPr>
                <w:i/>
                <w:sz w:val="17"/>
              </w:rPr>
              <w:t>On August 1</w:t>
            </w:r>
            <w:r w:rsidR="00305CA0">
              <w:rPr>
                <w:i/>
                <w:sz w:val="17"/>
              </w:rPr>
              <w:t>.</w:t>
            </w:r>
            <w:r w:rsidRPr="001F216A">
              <w:rPr>
                <w:i/>
                <w:sz w:val="17"/>
              </w:rPr>
              <w:t xml:space="preserve"> 2018</w:t>
            </w:r>
            <w:r w:rsidR="00305CA0">
              <w:rPr>
                <w:i/>
                <w:sz w:val="17"/>
              </w:rPr>
              <w:t>.</w:t>
            </w:r>
            <w:r w:rsidRPr="001F216A">
              <w:rPr>
                <w:i/>
                <w:sz w:val="17"/>
              </w:rPr>
              <w:t xml:space="preserve"> </w:t>
            </w:r>
            <w:proofErr w:type="gramStart"/>
            <w:r w:rsidRPr="001F216A">
              <w:rPr>
                <w:i/>
                <w:sz w:val="17"/>
              </w:rPr>
              <w:t>the</w:t>
            </w:r>
            <w:proofErr w:type="gramEnd"/>
            <w:r w:rsidRPr="001F216A">
              <w:rPr>
                <w:i/>
                <w:sz w:val="17"/>
              </w:rPr>
              <w:t xml:space="preserve"> Company entered into an agreement in terms of management of the morgue with PT Eternal Anugerah Selamat. This agreement is second addendum and</w:t>
            </w:r>
            <w:r w:rsidRPr="001F216A">
              <w:rPr>
                <w:i/>
                <w:spacing w:val="-27"/>
                <w:sz w:val="17"/>
              </w:rPr>
              <w:t xml:space="preserve"> </w:t>
            </w:r>
            <w:r w:rsidRPr="001F216A">
              <w:rPr>
                <w:i/>
                <w:sz w:val="17"/>
              </w:rPr>
              <w:t xml:space="preserve">valid </w:t>
            </w:r>
            <w:proofErr w:type="gramStart"/>
            <w:r w:rsidRPr="001F216A">
              <w:rPr>
                <w:i/>
                <w:sz w:val="17"/>
              </w:rPr>
              <w:t>for  a</w:t>
            </w:r>
            <w:proofErr w:type="gramEnd"/>
            <w:r w:rsidRPr="001F216A">
              <w:rPr>
                <w:i/>
                <w:sz w:val="17"/>
              </w:rPr>
              <w:t xml:space="preserve">  period  of</w:t>
            </w:r>
            <w:r>
              <w:rPr>
                <w:i/>
                <w:sz w:val="17"/>
              </w:rPr>
              <w:t xml:space="preserve"> three</w:t>
            </w:r>
            <w:r w:rsidRPr="001F216A">
              <w:rPr>
                <w:i/>
                <w:sz w:val="17"/>
              </w:rPr>
              <w:t xml:space="preserve">  years   ended   July 31</w:t>
            </w:r>
            <w:r w:rsidR="00305CA0">
              <w:rPr>
                <w:i/>
                <w:sz w:val="17"/>
              </w:rPr>
              <w:t>.</w:t>
            </w:r>
            <w:r w:rsidRPr="001F216A">
              <w:rPr>
                <w:i/>
                <w:sz w:val="17"/>
              </w:rPr>
              <w:t xml:space="preserve"> 2021.</w:t>
            </w:r>
          </w:p>
        </w:tc>
      </w:tr>
      <w:tr w:rsidR="001420D9" w:rsidRPr="0013526B" w14:paraId="488515B6" w14:textId="77777777" w:rsidTr="00284CA5">
        <w:trPr>
          <w:trHeight w:val="90"/>
        </w:trPr>
        <w:tc>
          <w:tcPr>
            <w:tcW w:w="4599" w:type="dxa"/>
            <w:tcBorders>
              <w:top w:val="nil"/>
              <w:left w:val="nil"/>
              <w:bottom w:val="nil"/>
              <w:right w:val="nil"/>
            </w:tcBorders>
          </w:tcPr>
          <w:p w14:paraId="2A345C5A" w14:textId="77777777" w:rsidR="001420D9" w:rsidRDefault="001420D9" w:rsidP="001420D9">
            <w:pPr>
              <w:pStyle w:val="ListParagraph"/>
              <w:ind w:left="318" w:right="-57"/>
              <w:jc w:val="both"/>
              <w:rPr>
                <w:sz w:val="18"/>
                <w:szCs w:val="18"/>
                <w:u w:val="single"/>
              </w:rPr>
            </w:pPr>
          </w:p>
        </w:tc>
        <w:tc>
          <w:tcPr>
            <w:tcW w:w="4598" w:type="dxa"/>
            <w:tcBorders>
              <w:top w:val="nil"/>
              <w:left w:val="nil"/>
              <w:bottom w:val="nil"/>
              <w:right w:val="nil"/>
            </w:tcBorders>
          </w:tcPr>
          <w:p w14:paraId="35C7AEAE" w14:textId="77777777" w:rsidR="001420D9" w:rsidRDefault="001420D9" w:rsidP="001420D9">
            <w:pPr>
              <w:pStyle w:val="ListParagraph"/>
              <w:tabs>
                <w:tab w:val="right" w:pos="9340"/>
                <w:tab w:val="right" w:pos="10080"/>
              </w:tabs>
              <w:ind w:left="284" w:right="-57"/>
              <w:jc w:val="both"/>
              <w:rPr>
                <w:i/>
                <w:sz w:val="18"/>
                <w:szCs w:val="18"/>
                <w:u w:val="single"/>
              </w:rPr>
            </w:pPr>
          </w:p>
        </w:tc>
      </w:tr>
      <w:tr w:rsidR="001420D9" w:rsidRPr="0013526B" w14:paraId="5DA43C01" w14:textId="77777777" w:rsidTr="00284CA5">
        <w:trPr>
          <w:trHeight w:val="90"/>
        </w:trPr>
        <w:tc>
          <w:tcPr>
            <w:tcW w:w="4599" w:type="dxa"/>
            <w:tcBorders>
              <w:top w:val="nil"/>
              <w:left w:val="nil"/>
              <w:bottom w:val="nil"/>
              <w:right w:val="nil"/>
            </w:tcBorders>
          </w:tcPr>
          <w:p w14:paraId="4A11C34F" w14:textId="61A885F3" w:rsidR="001420D9" w:rsidRPr="00A63BE2" w:rsidRDefault="001420D9" w:rsidP="0068130A">
            <w:pPr>
              <w:pStyle w:val="ListParagraph"/>
              <w:ind w:left="318" w:right="-57"/>
              <w:jc w:val="both"/>
              <w:rPr>
                <w:sz w:val="18"/>
                <w:szCs w:val="18"/>
                <w:u w:val="single"/>
              </w:rPr>
            </w:pPr>
            <w:r w:rsidRPr="00A63BE2">
              <w:rPr>
                <w:sz w:val="17"/>
              </w:rPr>
              <w:t>Pada tanggal 12 Agustus 2016</w:t>
            </w:r>
            <w:r w:rsidR="00305CA0">
              <w:rPr>
                <w:sz w:val="17"/>
              </w:rPr>
              <w:t>.</w:t>
            </w:r>
            <w:r w:rsidRPr="00A63BE2">
              <w:rPr>
                <w:sz w:val="17"/>
              </w:rPr>
              <w:t xml:space="preserve"> NKM </w:t>
            </w:r>
            <w:proofErr w:type="gramStart"/>
            <w:r w:rsidRPr="00A63BE2">
              <w:rPr>
                <w:sz w:val="17"/>
              </w:rPr>
              <w:t>mengadakan  perjanjian</w:t>
            </w:r>
            <w:proofErr w:type="gramEnd"/>
            <w:r w:rsidRPr="00A63BE2">
              <w:rPr>
                <w:sz w:val="17"/>
              </w:rPr>
              <w:t xml:space="preserve">   kejasama   dalam hal        pemeliharaan        alat         dengan PT Philips Indonesia Commercial. Perjanjian ini berlaku enam puluh bulan</w:t>
            </w:r>
            <w:r w:rsidR="00870FD0">
              <w:rPr>
                <w:sz w:val="17"/>
              </w:rPr>
              <w:t>.</w:t>
            </w:r>
            <w:r w:rsidRPr="00A63BE2">
              <w:rPr>
                <w:sz w:val="17"/>
              </w:rPr>
              <w:t xml:space="preserve"> </w:t>
            </w:r>
            <w:proofErr w:type="gramStart"/>
            <w:r w:rsidRPr="00A63BE2">
              <w:rPr>
                <w:sz w:val="17"/>
              </w:rPr>
              <w:t>sejak</w:t>
            </w:r>
            <w:proofErr w:type="gramEnd"/>
            <w:r w:rsidRPr="00A63BE2">
              <w:rPr>
                <w:sz w:val="17"/>
              </w:rPr>
              <w:t xml:space="preserve"> tanggal   17   Juni   2015   sampai dengan 16 Juni</w:t>
            </w:r>
            <w:r w:rsidRPr="00A63BE2">
              <w:rPr>
                <w:spacing w:val="-2"/>
                <w:sz w:val="17"/>
              </w:rPr>
              <w:t xml:space="preserve"> </w:t>
            </w:r>
            <w:r w:rsidRPr="00A63BE2">
              <w:rPr>
                <w:sz w:val="17"/>
              </w:rPr>
              <w:t>2020.</w:t>
            </w:r>
          </w:p>
        </w:tc>
        <w:tc>
          <w:tcPr>
            <w:tcW w:w="4598" w:type="dxa"/>
            <w:tcBorders>
              <w:top w:val="nil"/>
              <w:left w:val="nil"/>
              <w:bottom w:val="nil"/>
              <w:right w:val="nil"/>
            </w:tcBorders>
          </w:tcPr>
          <w:p w14:paraId="267E7D93" w14:textId="2E563048" w:rsidR="001420D9" w:rsidRDefault="001420D9" w:rsidP="0068130A">
            <w:pPr>
              <w:pStyle w:val="ListParagraph"/>
              <w:tabs>
                <w:tab w:val="right" w:pos="9340"/>
                <w:tab w:val="right" w:pos="10080"/>
              </w:tabs>
              <w:ind w:left="284" w:right="-57"/>
              <w:jc w:val="both"/>
              <w:rPr>
                <w:i/>
                <w:sz w:val="18"/>
                <w:szCs w:val="18"/>
                <w:u w:val="single"/>
              </w:rPr>
            </w:pPr>
            <w:r w:rsidRPr="00A63BE2">
              <w:rPr>
                <w:i/>
                <w:sz w:val="17"/>
              </w:rPr>
              <w:t>On August 12</w:t>
            </w:r>
            <w:r w:rsidR="00305CA0">
              <w:rPr>
                <w:i/>
                <w:sz w:val="17"/>
              </w:rPr>
              <w:t>.</w:t>
            </w:r>
            <w:r w:rsidRPr="00A63BE2">
              <w:rPr>
                <w:i/>
                <w:sz w:val="17"/>
              </w:rPr>
              <w:t xml:space="preserve"> 2016</w:t>
            </w:r>
            <w:r w:rsidR="00305CA0">
              <w:rPr>
                <w:i/>
                <w:sz w:val="17"/>
              </w:rPr>
              <w:t>.</w:t>
            </w:r>
            <w:r w:rsidRPr="00A63BE2">
              <w:rPr>
                <w:i/>
                <w:sz w:val="17"/>
              </w:rPr>
              <w:t xml:space="preserve"> NKM entered into agreement of equipment </w:t>
            </w:r>
            <w:proofErr w:type="gramStart"/>
            <w:r w:rsidRPr="00A63BE2">
              <w:rPr>
                <w:i/>
                <w:sz w:val="17"/>
              </w:rPr>
              <w:t>maintenance  with</w:t>
            </w:r>
            <w:proofErr w:type="gramEnd"/>
            <w:r w:rsidRPr="00A63BE2">
              <w:rPr>
                <w:i/>
                <w:sz w:val="17"/>
              </w:rPr>
              <w:t xml:space="preserve"> PT Philips Indonesia Commercial. This agreement is applicable for sixty months starting from June 17</w:t>
            </w:r>
            <w:r w:rsidR="00305CA0">
              <w:rPr>
                <w:i/>
                <w:sz w:val="17"/>
              </w:rPr>
              <w:t>.</w:t>
            </w:r>
            <w:r w:rsidRPr="00A63BE2">
              <w:rPr>
                <w:i/>
                <w:sz w:val="17"/>
              </w:rPr>
              <w:t xml:space="preserve"> 2015 to June 16</w:t>
            </w:r>
            <w:r w:rsidR="00305CA0">
              <w:rPr>
                <w:i/>
                <w:sz w:val="17"/>
              </w:rPr>
              <w:t>.</w:t>
            </w:r>
            <w:r w:rsidRPr="00A63BE2">
              <w:rPr>
                <w:i/>
                <w:spacing w:val="-30"/>
                <w:sz w:val="17"/>
              </w:rPr>
              <w:t xml:space="preserve"> </w:t>
            </w:r>
            <w:r w:rsidRPr="00A63BE2">
              <w:rPr>
                <w:i/>
                <w:sz w:val="17"/>
              </w:rPr>
              <w:t>2020.</w:t>
            </w:r>
          </w:p>
        </w:tc>
      </w:tr>
      <w:tr w:rsidR="001420D9" w:rsidRPr="0013526B" w14:paraId="2AD9984A" w14:textId="77777777" w:rsidTr="00284CA5">
        <w:trPr>
          <w:trHeight w:val="90"/>
        </w:trPr>
        <w:tc>
          <w:tcPr>
            <w:tcW w:w="4599" w:type="dxa"/>
            <w:tcBorders>
              <w:top w:val="nil"/>
              <w:left w:val="nil"/>
              <w:bottom w:val="nil"/>
              <w:right w:val="nil"/>
            </w:tcBorders>
          </w:tcPr>
          <w:p w14:paraId="009ED6C5" w14:textId="77777777" w:rsidR="001420D9" w:rsidRDefault="001420D9" w:rsidP="001420D9">
            <w:pPr>
              <w:pStyle w:val="ListParagraph"/>
              <w:ind w:left="318" w:right="-57"/>
              <w:jc w:val="both"/>
              <w:rPr>
                <w:sz w:val="18"/>
                <w:szCs w:val="18"/>
                <w:u w:val="single"/>
              </w:rPr>
            </w:pPr>
          </w:p>
        </w:tc>
        <w:tc>
          <w:tcPr>
            <w:tcW w:w="4598" w:type="dxa"/>
            <w:tcBorders>
              <w:top w:val="nil"/>
              <w:left w:val="nil"/>
              <w:bottom w:val="nil"/>
              <w:right w:val="nil"/>
            </w:tcBorders>
          </w:tcPr>
          <w:p w14:paraId="68A20653" w14:textId="77777777" w:rsidR="001420D9" w:rsidRDefault="001420D9" w:rsidP="001420D9">
            <w:pPr>
              <w:pStyle w:val="ListParagraph"/>
              <w:tabs>
                <w:tab w:val="right" w:pos="9340"/>
                <w:tab w:val="right" w:pos="10080"/>
              </w:tabs>
              <w:ind w:left="284" w:right="-57"/>
              <w:jc w:val="both"/>
              <w:rPr>
                <w:i/>
                <w:sz w:val="18"/>
                <w:szCs w:val="18"/>
                <w:u w:val="single"/>
              </w:rPr>
            </w:pPr>
          </w:p>
        </w:tc>
      </w:tr>
      <w:tr w:rsidR="001420D9" w:rsidRPr="0013526B" w14:paraId="111E1F50" w14:textId="77777777" w:rsidTr="00284CA5">
        <w:trPr>
          <w:trHeight w:val="90"/>
        </w:trPr>
        <w:tc>
          <w:tcPr>
            <w:tcW w:w="4599" w:type="dxa"/>
            <w:tcBorders>
              <w:top w:val="nil"/>
              <w:left w:val="nil"/>
              <w:bottom w:val="nil"/>
              <w:right w:val="nil"/>
            </w:tcBorders>
          </w:tcPr>
          <w:p w14:paraId="5651AC3B" w14:textId="4600475D" w:rsidR="001420D9" w:rsidRPr="00A63BE2" w:rsidRDefault="001420D9" w:rsidP="0068130A">
            <w:pPr>
              <w:pStyle w:val="ListParagraph"/>
              <w:ind w:left="318" w:right="-57"/>
              <w:jc w:val="both"/>
              <w:rPr>
                <w:sz w:val="18"/>
                <w:szCs w:val="18"/>
                <w:u w:val="single"/>
              </w:rPr>
            </w:pPr>
            <w:r w:rsidRPr="00A63BE2">
              <w:rPr>
                <w:sz w:val="17"/>
              </w:rPr>
              <w:t>Pada tanggal 2 Desember 2015</w:t>
            </w:r>
            <w:r w:rsidR="00305CA0">
              <w:rPr>
                <w:sz w:val="17"/>
              </w:rPr>
              <w:t>.</w:t>
            </w:r>
            <w:r w:rsidRPr="00A63BE2">
              <w:rPr>
                <w:sz w:val="17"/>
              </w:rPr>
              <w:t xml:space="preserve"> NKM mengadakan perjanjian kerjasama dalam hal sewa menyewa tempat penjualan makanan dan minuman dengan </w:t>
            </w:r>
            <w:proofErr w:type="gramStart"/>
            <w:r w:rsidRPr="00A63BE2">
              <w:rPr>
                <w:sz w:val="17"/>
              </w:rPr>
              <w:t>PT  Golden</w:t>
            </w:r>
            <w:proofErr w:type="gramEnd"/>
            <w:r w:rsidRPr="00A63BE2">
              <w:rPr>
                <w:sz w:val="17"/>
              </w:rPr>
              <w:t xml:space="preserve">  Dolbe  “MM Juice”. Perjanjian ini berlaku untuk jangka </w:t>
            </w:r>
            <w:proofErr w:type="gramStart"/>
            <w:r w:rsidRPr="00A63BE2">
              <w:rPr>
                <w:sz w:val="17"/>
              </w:rPr>
              <w:t>waktu  lima</w:t>
            </w:r>
            <w:proofErr w:type="gramEnd"/>
            <w:r w:rsidRPr="00A63BE2">
              <w:rPr>
                <w:sz w:val="17"/>
              </w:rPr>
              <w:t xml:space="preserve"> tahun yang berakhir pada tanggal 1 Desember</w:t>
            </w:r>
            <w:r w:rsidRPr="00A63BE2">
              <w:rPr>
                <w:spacing w:val="-3"/>
                <w:sz w:val="17"/>
              </w:rPr>
              <w:t xml:space="preserve"> </w:t>
            </w:r>
            <w:r w:rsidRPr="00A63BE2">
              <w:rPr>
                <w:sz w:val="17"/>
              </w:rPr>
              <w:t>2020.</w:t>
            </w:r>
          </w:p>
        </w:tc>
        <w:tc>
          <w:tcPr>
            <w:tcW w:w="4598" w:type="dxa"/>
            <w:tcBorders>
              <w:top w:val="nil"/>
              <w:left w:val="nil"/>
              <w:bottom w:val="nil"/>
              <w:right w:val="nil"/>
            </w:tcBorders>
          </w:tcPr>
          <w:p w14:paraId="1649325F" w14:textId="384CDEA1" w:rsidR="001420D9" w:rsidRDefault="001420D9" w:rsidP="0068130A">
            <w:pPr>
              <w:pStyle w:val="ListParagraph"/>
              <w:tabs>
                <w:tab w:val="right" w:pos="9340"/>
                <w:tab w:val="right" w:pos="10080"/>
              </w:tabs>
              <w:ind w:left="284" w:right="-57"/>
              <w:jc w:val="both"/>
              <w:rPr>
                <w:i/>
                <w:sz w:val="18"/>
                <w:szCs w:val="18"/>
                <w:u w:val="single"/>
              </w:rPr>
            </w:pPr>
            <w:r w:rsidRPr="00A63BE2">
              <w:rPr>
                <w:i/>
                <w:sz w:val="17"/>
              </w:rPr>
              <w:t>On December 2</w:t>
            </w:r>
            <w:r w:rsidR="00305CA0">
              <w:rPr>
                <w:i/>
                <w:sz w:val="17"/>
              </w:rPr>
              <w:t>.</w:t>
            </w:r>
            <w:r w:rsidRPr="00A63BE2">
              <w:rPr>
                <w:i/>
                <w:sz w:val="17"/>
              </w:rPr>
              <w:t xml:space="preserve"> 2015</w:t>
            </w:r>
            <w:r w:rsidR="00305CA0">
              <w:rPr>
                <w:i/>
                <w:sz w:val="17"/>
              </w:rPr>
              <w:t>.</w:t>
            </w:r>
            <w:r w:rsidRPr="00A63BE2">
              <w:rPr>
                <w:i/>
                <w:sz w:val="17"/>
              </w:rPr>
              <w:t xml:space="preserve"> NKM entered into an agreement in terms of renting space for selling foods and drinks with</w:t>
            </w:r>
            <w:r>
              <w:rPr>
                <w:i/>
                <w:sz w:val="17"/>
              </w:rPr>
              <w:br/>
            </w:r>
            <w:r w:rsidRPr="00A63BE2">
              <w:rPr>
                <w:i/>
                <w:sz w:val="17"/>
              </w:rPr>
              <w:t>PT Golden Dolbe “MM Juice”. The agreement is valid for a period of five years ended December 1</w:t>
            </w:r>
            <w:r w:rsidR="00305CA0">
              <w:rPr>
                <w:i/>
                <w:sz w:val="17"/>
              </w:rPr>
              <w:t>.</w:t>
            </w:r>
            <w:r w:rsidRPr="00A63BE2">
              <w:rPr>
                <w:i/>
                <w:spacing w:val="-10"/>
                <w:sz w:val="17"/>
              </w:rPr>
              <w:t xml:space="preserve"> </w:t>
            </w:r>
            <w:r w:rsidRPr="00A63BE2">
              <w:rPr>
                <w:i/>
                <w:sz w:val="17"/>
              </w:rPr>
              <w:t>2020.</w:t>
            </w:r>
          </w:p>
        </w:tc>
      </w:tr>
      <w:tr w:rsidR="001420D9" w:rsidRPr="0013526B" w14:paraId="128C9308" w14:textId="77777777" w:rsidTr="00284CA5">
        <w:trPr>
          <w:trHeight w:val="90"/>
        </w:trPr>
        <w:tc>
          <w:tcPr>
            <w:tcW w:w="4599" w:type="dxa"/>
            <w:tcBorders>
              <w:top w:val="nil"/>
              <w:left w:val="nil"/>
              <w:bottom w:val="nil"/>
              <w:right w:val="nil"/>
            </w:tcBorders>
          </w:tcPr>
          <w:p w14:paraId="5155241D" w14:textId="77777777" w:rsidR="001420D9" w:rsidRDefault="001420D9" w:rsidP="001420D9">
            <w:pPr>
              <w:pStyle w:val="ListParagraph"/>
              <w:ind w:left="318" w:right="-57"/>
              <w:jc w:val="both"/>
              <w:rPr>
                <w:sz w:val="18"/>
                <w:szCs w:val="18"/>
                <w:u w:val="single"/>
              </w:rPr>
            </w:pPr>
          </w:p>
        </w:tc>
        <w:tc>
          <w:tcPr>
            <w:tcW w:w="4598" w:type="dxa"/>
            <w:tcBorders>
              <w:top w:val="nil"/>
              <w:left w:val="nil"/>
              <w:bottom w:val="nil"/>
              <w:right w:val="nil"/>
            </w:tcBorders>
          </w:tcPr>
          <w:p w14:paraId="4A574F5E" w14:textId="77777777" w:rsidR="001420D9" w:rsidRDefault="001420D9" w:rsidP="001420D9">
            <w:pPr>
              <w:pStyle w:val="ListParagraph"/>
              <w:tabs>
                <w:tab w:val="right" w:pos="9340"/>
                <w:tab w:val="right" w:pos="10080"/>
              </w:tabs>
              <w:ind w:left="284" w:right="-57"/>
              <w:jc w:val="both"/>
              <w:rPr>
                <w:i/>
                <w:sz w:val="18"/>
                <w:szCs w:val="18"/>
                <w:u w:val="single"/>
              </w:rPr>
            </w:pPr>
          </w:p>
        </w:tc>
      </w:tr>
    </w:tbl>
    <w:p w14:paraId="147B9BDC" w14:textId="26C46CCC" w:rsidR="00845677" w:rsidRPr="003F4D87" w:rsidRDefault="00845677">
      <w:pPr>
        <w:rPr>
          <w:sz w:val="14"/>
        </w:rPr>
      </w:pPr>
    </w:p>
    <w:tbl>
      <w:tblPr>
        <w:tblW w:w="9197" w:type="dxa"/>
        <w:tblInd w:w="406" w:type="dxa"/>
        <w:tblLook w:val="0000" w:firstRow="0" w:lastRow="0" w:firstColumn="0" w:lastColumn="0" w:noHBand="0" w:noVBand="0"/>
      </w:tblPr>
      <w:tblGrid>
        <w:gridCol w:w="4598"/>
        <w:gridCol w:w="4599"/>
      </w:tblGrid>
      <w:tr w:rsidR="00583BC9" w:rsidRPr="00BA06A0" w14:paraId="03720538" w14:textId="77777777" w:rsidTr="00284CA5">
        <w:trPr>
          <w:trHeight w:val="90"/>
        </w:trPr>
        <w:tc>
          <w:tcPr>
            <w:tcW w:w="4598" w:type="dxa"/>
            <w:tcBorders>
              <w:top w:val="nil"/>
              <w:left w:val="nil"/>
              <w:bottom w:val="nil"/>
              <w:right w:val="nil"/>
            </w:tcBorders>
          </w:tcPr>
          <w:p w14:paraId="6517052F" w14:textId="7653132C" w:rsidR="00845677" w:rsidRPr="00104084" w:rsidRDefault="00845677" w:rsidP="00070D1F">
            <w:pPr>
              <w:numPr>
                <w:ilvl w:val="0"/>
                <w:numId w:val="392"/>
              </w:numPr>
              <w:jc w:val="both"/>
              <w:rPr>
                <w:b/>
                <w:sz w:val="18"/>
                <w:szCs w:val="18"/>
              </w:rPr>
            </w:pPr>
            <w:r>
              <w:rPr>
                <w:b/>
                <w:sz w:val="18"/>
                <w:szCs w:val="18"/>
              </w:rPr>
              <w:t>TRANSAKSI</w:t>
            </w:r>
            <w:r w:rsidR="00583BC9">
              <w:rPr>
                <w:b/>
                <w:sz w:val="18"/>
                <w:szCs w:val="18"/>
              </w:rPr>
              <w:t>-TRANSAKSI DAN SALDO DENGAN PIHAK - PIHAK BERELASI</w:t>
            </w:r>
          </w:p>
        </w:tc>
        <w:tc>
          <w:tcPr>
            <w:tcW w:w="4599" w:type="dxa"/>
            <w:tcBorders>
              <w:top w:val="nil"/>
              <w:left w:val="nil"/>
              <w:bottom w:val="nil"/>
              <w:right w:val="nil"/>
            </w:tcBorders>
          </w:tcPr>
          <w:p w14:paraId="3F2EDA1B" w14:textId="435704EB" w:rsidR="00845677" w:rsidRPr="00104084" w:rsidRDefault="00583BC9" w:rsidP="00070D1F">
            <w:pPr>
              <w:numPr>
                <w:ilvl w:val="0"/>
                <w:numId w:val="393"/>
              </w:numPr>
              <w:jc w:val="both"/>
              <w:rPr>
                <w:b/>
                <w:i/>
                <w:iCs/>
                <w:sz w:val="18"/>
                <w:szCs w:val="18"/>
              </w:rPr>
            </w:pPr>
            <w:r>
              <w:rPr>
                <w:b/>
                <w:i/>
                <w:iCs/>
                <w:sz w:val="18"/>
                <w:szCs w:val="18"/>
              </w:rPr>
              <w:t>TRANSACTIONS AND BALANCES WITH RELATED PARTIES</w:t>
            </w:r>
          </w:p>
        </w:tc>
      </w:tr>
      <w:tr w:rsidR="00583BC9" w:rsidRPr="00BA06A0" w14:paraId="4DCB5037" w14:textId="77777777" w:rsidTr="00284CA5">
        <w:trPr>
          <w:trHeight w:val="90"/>
        </w:trPr>
        <w:tc>
          <w:tcPr>
            <w:tcW w:w="4598" w:type="dxa"/>
            <w:tcBorders>
              <w:top w:val="nil"/>
              <w:left w:val="nil"/>
              <w:bottom w:val="nil"/>
              <w:right w:val="nil"/>
            </w:tcBorders>
          </w:tcPr>
          <w:p w14:paraId="1D6F4F21" w14:textId="77777777" w:rsidR="00583BC9" w:rsidRDefault="00583BC9" w:rsidP="00583BC9">
            <w:pPr>
              <w:ind w:left="252"/>
              <w:jc w:val="both"/>
              <w:rPr>
                <w:b/>
                <w:sz w:val="18"/>
                <w:szCs w:val="18"/>
              </w:rPr>
            </w:pPr>
          </w:p>
        </w:tc>
        <w:tc>
          <w:tcPr>
            <w:tcW w:w="4599" w:type="dxa"/>
            <w:tcBorders>
              <w:top w:val="nil"/>
              <w:left w:val="nil"/>
              <w:bottom w:val="nil"/>
              <w:right w:val="nil"/>
            </w:tcBorders>
          </w:tcPr>
          <w:p w14:paraId="523B7383" w14:textId="77777777" w:rsidR="00583BC9" w:rsidRDefault="00583BC9" w:rsidP="00583BC9">
            <w:pPr>
              <w:ind w:left="252"/>
              <w:jc w:val="both"/>
              <w:rPr>
                <w:b/>
                <w:i/>
                <w:iCs/>
                <w:sz w:val="18"/>
                <w:szCs w:val="18"/>
              </w:rPr>
            </w:pPr>
          </w:p>
        </w:tc>
      </w:tr>
      <w:tr w:rsidR="00583BC9" w:rsidRPr="00BA06A0" w14:paraId="538EBFD3" w14:textId="77777777" w:rsidTr="00284CA5">
        <w:trPr>
          <w:trHeight w:val="90"/>
        </w:trPr>
        <w:tc>
          <w:tcPr>
            <w:tcW w:w="4598" w:type="dxa"/>
            <w:tcBorders>
              <w:top w:val="nil"/>
              <w:left w:val="nil"/>
              <w:bottom w:val="nil"/>
              <w:right w:val="nil"/>
            </w:tcBorders>
          </w:tcPr>
          <w:p w14:paraId="41B4F1B2" w14:textId="207200D2" w:rsidR="00583BC9" w:rsidRPr="00583BC9" w:rsidRDefault="00583BC9" w:rsidP="00070D1F">
            <w:pPr>
              <w:pStyle w:val="ListParagraph"/>
              <w:numPr>
                <w:ilvl w:val="0"/>
                <w:numId w:val="350"/>
              </w:numPr>
              <w:ind w:left="470" w:hanging="240"/>
              <w:jc w:val="both"/>
              <w:rPr>
                <w:b/>
                <w:sz w:val="18"/>
                <w:szCs w:val="18"/>
              </w:rPr>
            </w:pPr>
            <w:r>
              <w:rPr>
                <w:b/>
                <w:sz w:val="18"/>
                <w:szCs w:val="18"/>
              </w:rPr>
              <w:t>Sifat hubungan berelasi</w:t>
            </w:r>
          </w:p>
        </w:tc>
        <w:tc>
          <w:tcPr>
            <w:tcW w:w="4599" w:type="dxa"/>
            <w:tcBorders>
              <w:top w:val="nil"/>
              <w:left w:val="nil"/>
              <w:bottom w:val="nil"/>
              <w:right w:val="nil"/>
            </w:tcBorders>
          </w:tcPr>
          <w:p w14:paraId="55A91B72" w14:textId="4844A11F" w:rsidR="00583BC9" w:rsidRPr="00583BC9" w:rsidRDefault="00583BC9" w:rsidP="00070D1F">
            <w:pPr>
              <w:pStyle w:val="ListParagraph"/>
              <w:numPr>
                <w:ilvl w:val="0"/>
                <w:numId w:val="351"/>
              </w:numPr>
              <w:ind w:left="470" w:hanging="225"/>
              <w:jc w:val="both"/>
              <w:rPr>
                <w:b/>
                <w:i/>
                <w:iCs/>
                <w:sz w:val="18"/>
                <w:szCs w:val="18"/>
              </w:rPr>
            </w:pPr>
            <w:r>
              <w:rPr>
                <w:b/>
                <w:i/>
                <w:iCs/>
                <w:sz w:val="18"/>
                <w:szCs w:val="18"/>
              </w:rPr>
              <w:t>Nature of related parties</w:t>
            </w:r>
          </w:p>
        </w:tc>
      </w:tr>
    </w:tbl>
    <w:p w14:paraId="223C8985" w14:textId="66743E01" w:rsidR="00845677" w:rsidRPr="003F4D87" w:rsidRDefault="00845677">
      <w:pPr>
        <w:rPr>
          <w:sz w:val="14"/>
        </w:rPr>
      </w:pPr>
    </w:p>
    <w:tbl>
      <w:tblPr>
        <w:tblW w:w="8930" w:type="dxa"/>
        <w:tblInd w:w="672" w:type="dxa"/>
        <w:tblCellMar>
          <w:left w:w="0" w:type="dxa"/>
          <w:right w:w="0" w:type="dxa"/>
        </w:tblCellMar>
        <w:tblLook w:val="04A0" w:firstRow="1" w:lastRow="0" w:firstColumn="1" w:lastColumn="0" w:noHBand="0" w:noVBand="1"/>
      </w:tblPr>
      <w:tblGrid>
        <w:gridCol w:w="2964"/>
        <w:gridCol w:w="90"/>
        <w:gridCol w:w="2893"/>
        <w:gridCol w:w="90"/>
        <w:gridCol w:w="2893"/>
      </w:tblGrid>
      <w:tr w:rsidR="00814476" w:rsidRPr="0013526B" w14:paraId="71B8586D" w14:textId="77777777" w:rsidTr="00284CA5">
        <w:tc>
          <w:tcPr>
            <w:tcW w:w="2964" w:type="dxa"/>
            <w:shd w:val="clear" w:color="auto" w:fill="auto"/>
            <w:vAlign w:val="bottom"/>
          </w:tcPr>
          <w:p w14:paraId="4C207F11" w14:textId="77777777" w:rsidR="00845677" w:rsidRDefault="002F7A56" w:rsidP="002F7A56">
            <w:pPr>
              <w:jc w:val="center"/>
              <w:rPr>
                <w:b/>
                <w:bCs w:val="0"/>
                <w:sz w:val="18"/>
                <w:szCs w:val="18"/>
              </w:rPr>
            </w:pPr>
            <w:r>
              <w:rPr>
                <w:b/>
                <w:bCs w:val="0"/>
                <w:sz w:val="18"/>
                <w:szCs w:val="18"/>
              </w:rPr>
              <w:t>Nama Pihak Berelasi/</w:t>
            </w:r>
          </w:p>
          <w:p w14:paraId="07747003" w14:textId="4D985079" w:rsidR="002F7A56" w:rsidRPr="002F7A56" w:rsidRDefault="002F7A56" w:rsidP="002F7A56">
            <w:pPr>
              <w:jc w:val="center"/>
              <w:rPr>
                <w:b/>
                <w:bCs w:val="0"/>
                <w:i/>
                <w:iCs/>
                <w:sz w:val="18"/>
                <w:szCs w:val="18"/>
              </w:rPr>
            </w:pPr>
            <w:r>
              <w:rPr>
                <w:b/>
                <w:bCs w:val="0"/>
                <w:i/>
                <w:iCs/>
                <w:sz w:val="18"/>
                <w:szCs w:val="18"/>
              </w:rPr>
              <w:t>Name of Related Parties</w:t>
            </w:r>
          </w:p>
        </w:tc>
        <w:tc>
          <w:tcPr>
            <w:tcW w:w="90" w:type="dxa"/>
            <w:shd w:val="clear" w:color="auto" w:fill="auto"/>
            <w:vAlign w:val="bottom"/>
          </w:tcPr>
          <w:p w14:paraId="18F9DB83" w14:textId="37265C7D" w:rsidR="00845677" w:rsidRPr="0013526B" w:rsidRDefault="00845677" w:rsidP="002F7A56">
            <w:pPr>
              <w:jc w:val="center"/>
              <w:rPr>
                <w:b/>
                <w:sz w:val="18"/>
                <w:szCs w:val="18"/>
              </w:rPr>
            </w:pPr>
          </w:p>
        </w:tc>
        <w:tc>
          <w:tcPr>
            <w:tcW w:w="2893" w:type="dxa"/>
            <w:shd w:val="clear" w:color="auto" w:fill="auto"/>
            <w:vAlign w:val="bottom"/>
          </w:tcPr>
          <w:p w14:paraId="1B88022A" w14:textId="77777777" w:rsidR="00845677" w:rsidRDefault="002F7A56" w:rsidP="002F7A56">
            <w:pPr>
              <w:jc w:val="center"/>
              <w:rPr>
                <w:b/>
                <w:sz w:val="18"/>
                <w:szCs w:val="18"/>
              </w:rPr>
            </w:pPr>
            <w:r>
              <w:rPr>
                <w:b/>
                <w:sz w:val="18"/>
                <w:szCs w:val="18"/>
              </w:rPr>
              <w:t>Sifat Hubungan Berelasi/</w:t>
            </w:r>
          </w:p>
          <w:p w14:paraId="446701D0" w14:textId="559250B7" w:rsidR="002F7A56" w:rsidRPr="002F7A56" w:rsidRDefault="002F7A56" w:rsidP="002F7A56">
            <w:pPr>
              <w:jc w:val="center"/>
              <w:rPr>
                <w:b/>
                <w:i/>
                <w:iCs/>
                <w:sz w:val="18"/>
                <w:szCs w:val="18"/>
              </w:rPr>
            </w:pPr>
            <w:r>
              <w:rPr>
                <w:b/>
                <w:i/>
                <w:iCs/>
                <w:sz w:val="18"/>
                <w:szCs w:val="18"/>
              </w:rPr>
              <w:t>Nature of Related Parties</w:t>
            </w:r>
          </w:p>
        </w:tc>
        <w:tc>
          <w:tcPr>
            <w:tcW w:w="90" w:type="dxa"/>
            <w:vAlign w:val="bottom"/>
          </w:tcPr>
          <w:p w14:paraId="3EBD5E81" w14:textId="7C6483EF" w:rsidR="00845677" w:rsidRPr="0013526B" w:rsidRDefault="00845677" w:rsidP="002F7A56">
            <w:pPr>
              <w:jc w:val="center"/>
              <w:rPr>
                <w:b/>
                <w:sz w:val="18"/>
                <w:szCs w:val="18"/>
              </w:rPr>
            </w:pPr>
          </w:p>
        </w:tc>
        <w:tc>
          <w:tcPr>
            <w:tcW w:w="2893" w:type="dxa"/>
            <w:shd w:val="clear" w:color="auto" w:fill="auto"/>
            <w:vAlign w:val="bottom"/>
          </w:tcPr>
          <w:p w14:paraId="33953A72" w14:textId="77777777" w:rsidR="00845677" w:rsidRDefault="002F7A56" w:rsidP="002F7A56">
            <w:pPr>
              <w:jc w:val="center"/>
              <w:rPr>
                <w:b/>
                <w:bCs w:val="0"/>
                <w:sz w:val="18"/>
                <w:szCs w:val="18"/>
              </w:rPr>
            </w:pPr>
            <w:r>
              <w:rPr>
                <w:b/>
                <w:bCs w:val="0"/>
                <w:sz w:val="18"/>
                <w:szCs w:val="18"/>
              </w:rPr>
              <w:t>Sifat Saldo/Akun Transaksi/</w:t>
            </w:r>
          </w:p>
          <w:p w14:paraId="21331F3B" w14:textId="4141E4D7" w:rsidR="002F7A56" w:rsidRDefault="002F7A56" w:rsidP="002F7A56">
            <w:pPr>
              <w:jc w:val="center"/>
              <w:rPr>
                <w:b/>
                <w:bCs w:val="0"/>
                <w:i/>
                <w:iCs/>
                <w:sz w:val="18"/>
                <w:szCs w:val="18"/>
              </w:rPr>
            </w:pPr>
            <w:r>
              <w:rPr>
                <w:b/>
                <w:bCs w:val="0"/>
                <w:i/>
                <w:iCs/>
                <w:sz w:val="18"/>
                <w:szCs w:val="18"/>
              </w:rPr>
              <w:t>Nature of Account Balance/</w:t>
            </w:r>
          </w:p>
          <w:p w14:paraId="01DF61D2" w14:textId="02877228" w:rsidR="002F7A56" w:rsidRPr="002F7A56" w:rsidRDefault="002F7A56" w:rsidP="002F7A56">
            <w:pPr>
              <w:jc w:val="center"/>
              <w:rPr>
                <w:b/>
                <w:bCs w:val="0"/>
                <w:i/>
                <w:iCs/>
                <w:sz w:val="18"/>
                <w:szCs w:val="18"/>
              </w:rPr>
            </w:pPr>
            <w:r>
              <w:rPr>
                <w:b/>
                <w:bCs w:val="0"/>
                <w:i/>
                <w:iCs/>
                <w:sz w:val="18"/>
                <w:szCs w:val="18"/>
              </w:rPr>
              <w:t>Accounts Transaction</w:t>
            </w:r>
          </w:p>
        </w:tc>
      </w:tr>
      <w:tr w:rsidR="002F7A56" w:rsidRPr="0013526B" w14:paraId="639FFF5D" w14:textId="77777777" w:rsidTr="00284CA5">
        <w:tc>
          <w:tcPr>
            <w:tcW w:w="2964" w:type="dxa"/>
            <w:shd w:val="clear" w:color="auto" w:fill="auto"/>
          </w:tcPr>
          <w:p w14:paraId="48255512" w14:textId="77777777" w:rsidR="00845677" w:rsidRPr="00065C68" w:rsidRDefault="00845677" w:rsidP="002F7A56">
            <w:pPr>
              <w:jc w:val="center"/>
              <w:rPr>
                <w:sz w:val="16"/>
                <w:szCs w:val="18"/>
              </w:rPr>
            </w:pPr>
          </w:p>
        </w:tc>
        <w:tc>
          <w:tcPr>
            <w:tcW w:w="90" w:type="dxa"/>
            <w:shd w:val="clear" w:color="auto" w:fill="auto"/>
          </w:tcPr>
          <w:p w14:paraId="5B3D6DAD" w14:textId="77777777" w:rsidR="00845677" w:rsidRPr="00065C68" w:rsidRDefault="00845677" w:rsidP="002F7A56">
            <w:pPr>
              <w:jc w:val="center"/>
              <w:rPr>
                <w:b/>
                <w:sz w:val="16"/>
                <w:szCs w:val="18"/>
              </w:rPr>
            </w:pPr>
          </w:p>
        </w:tc>
        <w:tc>
          <w:tcPr>
            <w:tcW w:w="2893" w:type="dxa"/>
            <w:shd w:val="clear" w:color="auto" w:fill="auto"/>
          </w:tcPr>
          <w:p w14:paraId="5EA57364" w14:textId="77777777" w:rsidR="00845677" w:rsidRPr="00065C68" w:rsidRDefault="00845677" w:rsidP="002F7A56">
            <w:pPr>
              <w:jc w:val="center"/>
              <w:rPr>
                <w:b/>
                <w:sz w:val="16"/>
                <w:szCs w:val="18"/>
              </w:rPr>
            </w:pPr>
          </w:p>
        </w:tc>
        <w:tc>
          <w:tcPr>
            <w:tcW w:w="90" w:type="dxa"/>
          </w:tcPr>
          <w:p w14:paraId="0C48B29A" w14:textId="77777777" w:rsidR="00845677" w:rsidRPr="00065C68" w:rsidRDefault="00845677" w:rsidP="002F7A56">
            <w:pPr>
              <w:jc w:val="center"/>
              <w:rPr>
                <w:b/>
                <w:sz w:val="16"/>
                <w:szCs w:val="18"/>
              </w:rPr>
            </w:pPr>
          </w:p>
        </w:tc>
        <w:tc>
          <w:tcPr>
            <w:tcW w:w="2893" w:type="dxa"/>
            <w:shd w:val="clear" w:color="auto" w:fill="auto"/>
          </w:tcPr>
          <w:p w14:paraId="5BF8674E" w14:textId="77777777" w:rsidR="00845677" w:rsidRPr="00065C68" w:rsidRDefault="00845677" w:rsidP="002F7A56">
            <w:pPr>
              <w:jc w:val="center"/>
              <w:rPr>
                <w:sz w:val="16"/>
                <w:szCs w:val="18"/>
              </w:rPr>
            </w:pPr>
          </w:p>
        </w:tc>
      </w:tr>
      <w:tr w:rsidR="002F7A56" w:rsidRPr="00EC0164" w14:paraId="7D0D9EA5" w14:textId="77777777" w:rsidTr="00284CA5">
        <w:trPr>
          <w:trHeight w:val="249"/>
        </w:trPr>
        <w:tc>
          <w:tcPr>
            <w:tcW w:w="2964" w:type="dxa"/>
            <w:shd w:val="clear" w:color="auto" w:fill="auto"/>
            <w:vAlign w:val="bottom"/>
          </w:tcPr>
          <w:p w14:paraId="0C147F6F" w14:textId="2CDA49F5" w:rsidR="00845677" w:rsidRPr="00C8472B" w:rsidRDefault="002F7A56" w:rsidP="002F7A56">
            <w:pPr>
              <w:ind w:left="113"/>
              <w:rPr>
                <w:sz w:val="18"/>
                <w:szCs w:val="18"/>
              </w:rPr>
            </w:pPr>
            <w:r>
              <w:rPr>
                <w:sz w:val="18"/>
                <w:szCs w:val="18"/>
              </w:rPr>
              <w:t>PT Surya Cipta Inti Cemerlang</w:t>
            </w:r>
          </w:p>
        </w:tc>
        <w:tc>
          <w:tcPr>
            <w:tcW w:w="90" w:type="dxa"/>
            <w:shd w:val="clear" w:color="auto" w:fill="auto"/>
            <w:vAlign w:val="bottom"/>
          </w:tcPr>
          <w:p w14:paraId="09698757" w14:textId="6F55E666" w:rsidR="00845677" w:rsidRPr="00C8472B" w:rsidRDefault="00845677" w:rsidP="002F7A56">
            <w:pPr>
              <w:ind w:right="57"/>
              <w:jc w:val="center"/>
              <w:rPr>
                <w:sz w:val="18"/>
                <w:szCs w:val="18"/>
              </w:rPr>
            </w:pPr>
          </w:p>
        </w:tc>
        <w:tc>
          <w:tcPr>
            <w:tcW w:w="2893" w:type="dxa"/>
            <w:shd w:val="clear" w:color="auto" w:fill="auto"/>
            <w:vAlign w:val="bottom"/>
          </w:tcPr>
          <w:p w14:paraId="3079C90E" w14:textId="3BE1092F" w:rsidR="00845677" w:rsidRPr="00C8472B" w:rsidRDefault="002F7A56" w:rsidP="002F7A56">
            <w:pPr>
              <w:ind w:right="57"/>
              <w:jc w:val="center"/>
              <w:rPr>
                <w:sz w:val="18"/>
                <w:szCs w:val="18"/>
              </w:rPr>
            </w:pPr>
            <w:r>
              <w:rPr>
                <w:sz w:val="18"/>
                <w:szCs w:val="18"/>
              </w:rPr>
              <w:t xml:space="preserve">Pemegang saham mayoritas / </w:t>
            </w:r>
            <w:r w:rsidRPr="002F7A56">
              <w:rPr>
                <w:i/>
                <w:iCs/>
                <w:sz w:val="18"/>
                <w:szCs w:val="18"/>
              </w:rPr>
              <w:t>The majority shareholder</w:t>
            </w:r>
          </w:p>
        </w:tc>
        <w:tc>
          <w:tcPr>
            <w:tcW w:w="90" w:type="dxa"/>
          </w:tcPr>
          <w:p w14:paraId="4B22FD9F" w14:textId="67A99214" w:rsidR="00845677" w:rsidRPr="00C8472B" w:rsidRDefault="00845677" w:rsidP="002F7A56">
            <w:pPr>
              <w:ind w:right="57"/>
              <w:jc w:val="center"/>
              <w:rPr>
                <w:sz w:val="18"/>
                <w:szCs w:val="18"/>
              </w:rPr>
            </w:pPr>
          </w:p>
        </w:tc>
        <w:tc>
          <w:tcPr>
            <w:tcW w:w="2893" w:type="dxa"/>
            <w:shd w:val="clear" w:color="auto" w:fill="auto"/>
            <w:vAlign w:val="bottom"/>
          </w:tcPr>
          <w:p w14:paraId="1E0CE24F" w14:textId="77777777" w:rsidR="002F7A56" w:rsidRDefault="002F7A56" w:rsidP="002F7A56">
            <w:pPr>
              <w:ind w:right="57"/>
              <w:jc w:val="center"/>
              <w:rPr>
                <w:iCs/>
                <w:sz w:val="18"/>
                <w:szCs w:val="18"/>
              </w:rPr>
            </w:pPr>
            <w:r>
              <w:rPr>
                <w:iCs/>
                <w:sz w:val="18"/>
                <w:szCs w:val="18"/>
              </w:rPr>
              <w:t xml:space="preserve">Utang lain-lain / </w:t>
            </w:r>
          </w:p>
          <w:p w14:paraId="186886F2" w14:textId="2C499604" w:rsidR="00845677" w:rsidRPr="00C8472B" w:rsidRDefault="002F7A56" w:rsidP="002F7A56">
            <w:pPr>
              <w:ind w:right="57"/>
              <w:jc w:val="center"/>
              <w:rPr>
                <w:i/>
                <w:sz w:val="18"/>
                <w:szCs w:val="18"/>
              </w:rPr>
            </w:pPr>
            <w:r>
              <w:rPr>
                <w:i/>
                <w:sz w:val="18"/>
                <w:szCs w:val="18"/>
              </w:rPr>
              <w:t>Other payable</w:t>
            </w:r>
          </w:p>
        </w:tc>
      </w:tr>
      <w:tr w:rsidR="002F7A56" w:rsidRPr="00EC0164" w14:paraId="5031E11C" w14:textId="77777777" w:rsidTr="00284CA5">
        <w:trPr>
          <w:trHeight w:val="249"/>
        </w:trPr>
        <w:tc>
          <w:tcPr>
            <w:tcW w:w="2964" w:type="dxa"/>
            <w:shd w:val="clear" w:color="auto" w:fill="auto"/>
            <w:vAlign w:val="bottom"/>
          </w:tcPr>
          <w:p w14:paraId="0E8C0AA5" w14:textId="322D294A" w:rsidR="00845677" w:rsidRPr="00C8472B" w:rsidRDefault="00845677" w:rsidP="002F7A56">
            <w:pPr>
              <w:ind w:left="113"/>
              <w:rPr>
                <w:sz w:val="18"/>
                <w:szCs w:val="18"/>
              </w:rPr>
            </w:pPr>
          </w:p>
        </w:tc>
        <w:tc>
          <w:tcPr>
            <w:tcW w:w="90" w:type="dxa"/>
            <w:shd w:val="clear" w:color="auto" w:fill="auto"/>
            <w:vAlign w:val="bottom"/>
          </w:tcPr>
          <w:p w14:paraId="2D81023B" w14:textId="0CE46CC3" w:rsidR="00845677" w:rsidRPr="00C8472B" w:rsidRDefault="00845677" w:rsidP="002F7A56">
            <w:pPr>
              <w:ind w:right="57"/>
              <w:jc w:val="center"/>
              <w:rPr>
                <w:sz w:val="18"/>
                <w:szCs w:val="18"/>
              </w:rPr>
            </w:pPr>
          </w:p>
        </w:tc>
        <w:tc>
          <w:tcPr>
            <w:tcW w:w="2893" w:type="dxa"/>
            <w:shd w:val="clear" w:color="auto" w:fill="auto"/>
            <w:vAlign w:val="bottom"/>
          </w:tcPr>
          <w:p w14:paraId="493F644E" w14:textId="77777777" w:rsidR="00845677" w:rsidRPr="00C8472B" w:rsidRDefault="00845677" w:rsidP="002F7A56">
            <w:pPr>
              <w:ind w:right="57"/>
              <w:jc w:val="center"/>
              <w:rPr>
                <w:sz w:val="18"/>
                <w:szCs w:val="18"/>
              </w:rPr>
            </w:pPr>
          </w:p>
        </w:tc>
        <w:tc>
          <w:tcPr>
            <w:tcW w:w="90" w:type="dxa"/>
          </w:tcPr>
          <w:p w14:paraId="1FF7DA22" w14:textId="20AC4BCB" w:rsidR="00845677" w:rsidRPr="00C8472B" w:rsidRDefault="00845677" w:rsidP="002F7A56">
            <w:pPr>
              <w:ind w:right="57"/>
              <w:jc w:val="center"/>
              <w:rPr>
                <w:sz w:val="18"/>
                <w:szCs w:val="18"/>
              </w:rPr>
            </w:pPr>
          </w:p>
        </w:tc>
        <w:tc>
          <w:tcPr>
            <w:tcW w:w="2893" w:type="dxa"/>
            <w:shd w:val="clear" w:color="auto" w:fill="auto"/>
            <w:vAlign w:val="bottom"/>
          </w:tcPr>
          <w:p w14:paraId="0277FD02" w14:textId="152DFF6A" w:rsidR="00845677" w:rsidRPr="00C8472B" w:rsidRDefault="00845677" w:rsidP="002F7A56">
            <w:pPr>
              <w:ind w:right="57"/>
              <w:jc w:val="center"/>
              <w:rPr>
                <w:i/>
                <w:sz w:val="18"/>
                <w:szCs w:val="18"/>
              </w:rPr>
            </w:pPr>
          </w:p>
        </w:tc>
      </w:tr>
      <w:tr w:rsidR="002F7A56" w:rsidRPr="00EC0164" w14:paraId="2C5243ED" w14:textId="77777777" w:rsidTr="00284CA5">
        <w:trPr>
          <w:trHeight w:val="249"/>
        </w:trPr>
        <w:tc>
          <w:tcPr>
            <w:tcW w:w="2964" w:type="dxa"/>
            <w:shd w:val="clear" w:color="auto" w:fill="auto"/>
            <w:vAlign w:val="bottom"/>
          </w:tcPr>
          <w:p w14:paraId="2495CF89" w14:textId="20B47305" w:rsidR="00845677" w:rsidRPr="00C8472B" w:rsidRDefault="002F7A56" w:rsidP="002F7A56">
            <w:pPr>
              <w:ind w:left="113"/>
              <w:rPr>
                <w:sz w:val="18"/>
                <w:szCs w:val="18"/>
              </w:rPr>
            </w:pPr>
            <w:r>
              <w:rPr>
                <w:sz w:val="18"/>
                <w:szCs w:val="18"/>
              </w:rPr>
              <w:t>PT Bank Mayapada Internasional Tbk</w:t>
            </w:r>
          </w:p>
        </w:tc>
        <w:tc>
          <w:tcPr>
            <w:tcW w:w="90" w:type="dxa"/>
            <w:shd w:val="clear" w:color="auto" w:fill="auto"/>
            <w:vAlign w:val="bottom"/>
          </w:tcPr>
          <w:p w14:paraId="22477584" w14:textId="4A315FD1" w:rsidR="00845677" w:rsidRPr="00C8472B" w:rsidRDefault="00845677" w:rsidP="002F7A56">
            <w:pPr>
              <w:ind w:right="57"/>
              <w:jc w:val="center"/>
              <w:rPr>
                <w:sz w:val="18"/>
                <w:szCs w:val="18"/>
              </w:rPr>
            </w:pPr>
          </w:p>
        </w:tc>
        <w:tc>
          <w:tcPr>
            <w:tcW w:w="2893" w:type="dxa"/>
            <w:shd w:val="clear" w:color="auto" w:fill="auto"/>
            <w:vAlign w:val="bottom"/>
          </w:tcPr>
          <w:p w14:paraId="1A3118D7" w14:textId="77777777" w:rsidR="00845677" w:rsidRDefault="002F7A56" w:rsidP="002F7A56">
            <w:pPr>
              <w:ind w:right="57"/>
              <w:jc w:val="center"/>
              <w:rPr>
                <w:sz w:val="18"/>
                <w:szCs w:val="18"/>
              </w:rPr>
            </w:pPr>
            <w:r>
              <w:rPr>
                <w:sz w:val="18"/>
                <w:szCs w:val="18"/>
              </w:rPr>
              <w:t>Perusahaan afiliasi/</w:t>
            </w:r>
          </w:p>
          <w:p w14:paraId="2A740C04" w14:textId="097DEEA6" w:rsidR="002F7A56" w:rsidRPr="002F7A56" w:rsidRDefault="002F7A56" w:rsidP="002F7A56">
            <w:pPr>
              <w:ind w:right="57"/>
              <w:jc w:val="center"/>
              <w:rPr>
                <w:i/>
                <w:iCs/>
                <w:sz w:val="18"/>
                <w:szCs w:val="18"/>
              </w:rPr>
            </w:pPr>
            <w:r>
              <w:rPr>
                <w:i/>
                <w:iCs/>
                <w:sz w:val="18"/>
                <w:szCs w:val="18"/>
              </w:rPr>
              <w:t>Affiliated company</w:t>
            </w:r>
          </w:p>
        </w:tc>
        <w:tc>
          <w:tcPr>
            <w:tcW w:w="90" w:type="dxa"/>
          </w:tcPr>
          <w:p w14:paraId="40FDBEBC" w14:textId="550F620D" w:rsidR="00845677" w:rsidRPr="00C8472B" w:rsidRDefault="00845677" w:rsidP="002F7A56">
            <w:pPr>
              <w:ind w:right="57"/>
              <w:jc w:val="center"/>
              <w:rPr>
                <w:sz w:val="18"/>
                <w:szCs w:val="18"/>
              </w:rPr>
            </w:pPr>
          </w:p>
        </w:tc>
        <w:tc>
          <w:tcPr>
            <w:tcW w:w="2893" w:type="dxa"/>
            <w:shd w:val="clear" w:color="auto" w:fill="auto"/>
            <w:vAlign w:val="bottom"/>
          </w:tcPr>
          <w:p w14:paraId="454469F5" w14:textId="5ABC4868" w:rsidR="00845677" w:rsidRDefault="002F7A56" w:rsidP="002F7A56">
            <w:pPr>
              <w:ind w:right="57"/>
              <w:jc w:val="center"/>
              <w:rPr>
                <w:iCs/>
                <w:sz w:val="18"/>
                <w:szCs w:val="18"/>
              </w:rPr>
            </w:pPr>
            <w:r>
              <w:rPr>
                <w:iCs/>
                <w:sz w:val="18"/>
                <w:szCs w:val="18"/>
              </w:rPr>
              <w:t>Kas dan setara kas</w:t>
            </w:r>
            <w:r w:rsidR="00305CA0">
              <w:rPr>
                <w:iCs/>
                <w:sz w:val="18"/>
                <w:szCs w:val="18"/>
              </w:rPr>
              <w:t>.</w:t>
            </w:r>
            <w:r>
              <w:rPr>
                <w:iCs/>
                <w:sz w:val="18"/>
                <w:szCs w:val="18"/>
              </w:rPr>
              <w:t xml:space="preserve"> </w:t>
            </w:r>
            <w:proofErr w:type="gramStart"/>
            <w:r>
              <w:rPr>
                <w:iCs/>
                <w:sz w:val="18"/>
                <w:szCs w:val="18"/>
              </w:rPr>
              <w:t>piutang</w:t>
            </w:r>
            <w:proofErr w:type="gramEnd"/>
            <w:r>
              <w:rPr>
                <w:iCs/>
                <w:sz w:val="18"/>
                <w:szCs w:val="18"/>
              </w:rPr>
              <w:t xml:space="preserve"> lain-lain</w:t>
            </w:r>
            <w:r w:rsidR="00305CA0">
              <w:rPr>
                <w:iCs/>
                <w:sz w:val="18"/>
                <w:szCs w:val="18"/>
              </w:rPr>
              <w:t>.</w:t>
            </w:r>
            <w:r>
              <w:rPr>
                <w:iCs/>
                <w:sz w:val="18"/>
                <w:szCs w:val="18"/>
              </w:rPr>
              <w:t xml:space="preserve"> </w:t>
            </w:r>
            <w:proofErr w:type="gramStart"/>
            <w:r>
              <w:rPr>
                <w:iCs/>
                <w:sz w:val="18"/>
                <w:szCs w:val="18"/>
              </w:rPr>
              <w:t>pendapatan</w:t>
            </w:r>
            <w:proofErr w:type="gramEnd"/>
            <w:r>
              <w:rPr>
                <w:iCs/>
                <w:sz w:val="18"/>
                <w:szCs w:val="18"/>
              </w:rPr>
              <w:t xml:space="preserve"> sewa diterima di muka</w:t>
            </w:r>
            <w:r w:rsidR="00305CA0">
              <w:rPr>
                <w:iCs/>
                <w:sz w:val="18"/>
                <w:szCs w:val="18"/>
              </w:rPr>
              <w:t>.</w:t>
            </w:r>
            <w:r>
              <w:rPr>
                <w:iCs/>
                <w:sz w:val="18"/>
                <w:szCs w:val="18"/>
              </w:rPr>
              <w:t xml:space="preserve"> </w:t>
            </w:r>
            <w:proofErr w:type="gramStart"/>
            <w:r>
              <w:rPr>
                <w:iCs/>
                <w:sz w:val="18"/>
                <w:szCs w:val="18"/>
              </w:rPr>
              <w:t>pendapatan</w:t>
            </w:r>
            <w:proofErr w:type="gramEnd"/>
            <w:r w:rsidR="00305CA0">
              <w:rPr>
                <w:iCs/>
                <w:sz w:val="18"/>
                <w:szCs w:val="18"/>
              </w:rPr>
              <w:t>.</w:t>
            </w:r>
            <w:r>
              <w:rPr>
                <w:iCs/>
                <w:sz w:val="18"/>
                <w:szCs w:val="18"/>
              </w:rPr>
              <w:t xml:space="preserve"> </w:t>
            </w:r>
            <w:proofErr w:type="gramStart"/>
            <w:r>
              <w:rPr>
                <w:iCs/>
                <w:sz w:val="18"/>
                <w:szCs w:val="18"/>
              </w:rPr>
              <w:t>beban</w:t>
            </w:r>
            <w:proofErr w:type="gramEnd"/>
            <w:r>
              <w:rPr>
                <w:iCs/>
                <w:sz w:val="18"/>
                <w:szCs w:val="18"/>
              </w:rPr>
              <w:t xml:space="preserve"> operasional</w:t>
            </w:r>
            <w:r w:rsidR="00305CA0">
              <w:rPr>
                <w:iCs/>
                <w:sz w:val="18"/>
                <w:szCs w:val="18"/>
              </w:rPr>
              <w:t>.</w:t>
            </w:r>
            <w:r>
              <w:rPr>
                <w:iCs/>
                <w:sz w:val="18"/>
                <w:szCs w:val="18"/>
              </w:rPr>
              <w:t xml:space="preserve"> </w:t>
            </w:r>
            <w:proofErr w:type="gramStart"/>
            <w:r>
              <w:rPr>
                <w:iCs/>
                <w:sz w:val="18"/>
                <w:szCs w:val="18"/>
              </w:rPr>
              <w:t>pendapatan</w:t>
            </w:r>
            <w:proofErr w:type="gramEnd"/>
            <w:r>
              <w:rPr>
                <w:iCs/>
                <w:sz w:val="18"/>
                <w:szCs w:val="18"/>
              </w:rPr>
              <w:t xml:space="preserve"> bunga</w:t>
            </w:r>
            <w:r w:rsidR="00305CA0">
              <w:rPr>
                <w:iCs/>
                <w:sz w:val="18"/>
                <w:szCs w:val="18"/>
              </w:rPr>
              <w:t>.</w:t>
            </w:r>
            <w:r>
              <w:rPr>
                <w:iCs/>
                <w:sz w:val="18"/>
                <w:szCs w:val="18"/>
              </w:rPr>
              <w:t xml:space="preserve"> pendapatan sewa/</w:t>
            </w:r>
          </w:p>
          <w:p w14:paraId="618AFE7F" w14:textId="35CB9B31" w:rsidR="002F7A56" w:rsidRPr="002F7A56" w:rsidRDefault="002F7A56" w:rsidP="0068130A">
            <w:pPr>
              <w:ind w:right="57"/>
              <w:jc w:val="center"/>
              <w:rPr>
                <w:i/>
                <w:sz w:val="18"/>
                <w:szCs w:val="18"/>
              </w:rPr>
            </w:pPr>
            <w:r>
              <w:rPr>
                <w:i/>
                <w:sz w:val="18"/>
                <w:szCs w:val="18"/>
              </w:rPr>
              <w:t>Cash and cash equivalents</w:t>
            </w:r>
            <w:r w:rsidR="00305CA0">
              <w:rPr>
                <w:i/>
                <w:sz w:val="18"/>
                <w:szCs w:val="18"/>
              </w:rPr>
              <w:t>.</w:t>
            </w:r>
            <w:r>
              <w:rPr>
                <w:i/>
                <w:sz w:val="18"/>
                <w:szCs w:val="18"/>
              </w:rPr>
              <w:t xml:space="preserve"> </w:t>
            </w:r>
            <w:proofErr w:type="gramStart"/>
            <w:r>
              <w:rPr>
                <w:i/>
                <w:sz w:val="18"/>
                <w:szCs w:val="18"/>
              </w:rPr>
              <w:t>trade</w:t>
            </w:r>
            <w:proofErr w:type="gramEnd"/>
            <w:r>
              <w:rPr>
                <w:i/>
                <w:sz w:val="18"/>
                <w:szCs w:val="18"/>
              </w:rPr>
              <w:t xml:space="preserve"> receivable</w:t>
            </w:r>
            <w:r w:rsidR="00305CA0">
              <w:rPr>
                <w:i/>
                <w:sz w:val="18"/>
                <w:szCs w:val="18"/>
              </w:rPr>
              <w:t>.</w:t>
            </w:r>
            <w:r>
              <w:rPr>
                <w:i/>
                <w:sz w:val="18"/>
                <w:szCs w:val="18"/>
              </w:rPr>
              <w:t xml:space="preserve"> </w:t>
            </w:r>
            <w:proofErr w:type="gramStart"/>
            <w:r>
              <w:rPr>
                <w:i/>
                <w:sz w:val="18"/>
                <w:szCs w:val="18"/>
              </w:rPr>
              <w:t>other</w:t>
            </w:r>
            <w:proofErr w:type="gramEnd"/>
            <w:r>
              <w:rPr>
                <w:i/>
                <w:sz w:val="18"/>
                <w:szCs w:val="18"/>
              </w:rPr>
              <w:t xml:space="preserve"> receivable</w:t>
            </w:r>
            <w:r w:rsidR="00305CA0">
              <w:rPr>
                <w:i/>
                <w:sz w:val="18"/>
                <w:szCs w:val="18"/>
              </w:rPr>
              <w:t>.</w:t>
            </w:r>
            <w:r>
              <w:rPr>
                <w:i/>
                <w:sz w:val="18"/>
                <w:szCs w:val="18"/>
              </w:rPr>
              <w:t xml:space="preserve"> </w:t>
            </w:r>
            <w:proofErr w:type="gramStart"/>
            <w:r>
              <w:rPr>
                <w:i/>
                <w:sz w:val="18"/>
                <w:szCs w:val="18"/>
              </w:rPr>
              <w:t>unearned</w:t>
            </w:r>
            <w:proofErr w:type="gramEnd"/>
            <w:r>
              <w:rPr>
                <w:i/>
                <w:sz w:val="18"/>
                <w:szCs w:val="18"/>
              </w:rPr>
              <w:t xml:space="preserve"> revenue</w:t>
            </w:r>
            <w:r w:rsidR="00305CA0">
              <w:rPr>
                <w:i/>
                <w:sz w:val="18"/>
                <w:szCs w:val="18"/>
              </w:rPr>
              <w:t>.</w:t>
            </w:r>
            <w:r>
              <w:rPr>
                <w:i/>
                <w:sz w:val="18"/>
                <w:szCs w:val="18"/>
              </w:rPr>
              <w:t xml:space="preserve"> </w:t>
            </w:r>
            <w:proofErr w:type="gramStart"/>
            <w:r>
              <w:rPr>
                <w:i/>
                <w:sz w:val="18"/>
                <w:szCs w:val="18"/>
              </w:rPr>
              <w:t>revenue</w:t>
            </w:r>
            <w:proofErr w:type="gramEnd"/>
            <w:r w:rsidR="00305CA0">
              <w:rPr>
                <w:i/>
                <w:sz w:val="18"/>
                <w:szCs w:val="18"/>
              </w:rPr>
              <w:t>.</w:t>
            </w:r>
            <w:r>
              <w:rPr>
                <w:i/>
                <w:sz w:val="18"/>
                <w:szCs w:val="18"/>
              </w:rPr>
              <w:t xml:space="preserve"> </w:t>
            </w:r>
            <w:proofErr w:type="gramStart"/>
            <w:r>
              <w:rPr>
                <w:i/>
                <w:sz w:val="18"/>
                <w:szCs w:val="18"/>
              </w:rPr>
              <w:t>operating</w:t>
            </w:r>
            <w:proofErr w:type="gramEnd"/>
            <w:r>
              <w:rPr>
                <w:i/>
                <w:sz w:val="18"/>
                <w:szCs w:val="18"/>
              </w:rPr>
              <w:t xml:space="preserve"> expenses</w:t>
            </w:r>
            <w:r w:rsidR="00305CA0">
              <w:rPr>
                <w:i/>
                <w:sz w:val="18"/>
                <w:szCs w:val="18"/>
              </w:rPr>
              <w:t>.</w:t>
            </w:r>
            <w:r>
              <w:rPr>
                <w:i/>
                <w:sz w:val="18"/>
                <w:szCs w:val="18"/>
              </w:rPr>
              <w:t xml:space="preserve"> </w:t>
            </w:r>
            <w:proofErr w:type="gramStart"/>
            <w:r>
              <w:rPr>
                <w:i/>
                <w:sz w:val="18"/>
                <w:szCs w:val="18"/>
              </w:rPr>
              <w:t>interest</w:t>
            </w:r>
            <w:proofErr w:type="gramEnd"/>
            <w:r>
              <w:rPr>
                <w:i/>
                <w:sz w:val="18"/>
                <w:szCs w:val="18"/>
              </w:rPr>
              <w:t xml:space="preserve"> income</w:t>
            </w:r>
            <w:r w:rsidR="00870FD0">
              <w:rPr>
                <w:i/>
                <w:sz w:val="18"/>
                <w:szCs w:val="18"/>
              </w:rPr>
              <w:t>.</w:t>
            </w:r>
            <w:r>
              <w:rPr>
                <w:i/>
                <w:sz w:val="18"/>
                <w:szCs w:val="18"/>
              </w:rPr>
              <w:t xml:space="preserve"> rent income</w:t>
            </w:r>
          </w:p>
        </w:tc>
      </w:tr>
      <w:tr w:rsidR="002F7A56" w:rsidRPr="00EC0164" w14:paraId="190AA9C1" w14:textId="77777777" w:rsidTr="00284CA5">
        <w:tc>
          <w:tcPr>
            <w:tcW w:w="2964" w:type="dxa"/>
            <w:shd w:val="clear" w:color="auto" w:fill="auto"/>
          </w:tcPr>
          <w:p w14:paraId="6B04A340" w14:textId="265622BE" w:rsidR="00845677" w:rsidRPr="00C8472B" w:rsidRDefault="00845677" w:rsidP="002F7A56">
            <w:pPr>
              <w:ind w:left="113"/>
              <w:rPr>
                <w:sz w:val="18"/>
                <w:szCs w:val="18"/>
              </w:rPr>
            </w:pPr>
          </w:p>
        </w:tc>
        <w:tc>
          <w:tcPr>
            <w:tcW w:w="90" w:type="dxa"/>
            <w:shd w:val="clear" w:color="auto" w:fill="auto"/>
            <w:vAlign w:val="bottom"/>
          </w:tcPr>
          <w:p w14:paraId="2BF7CB62" w14:textId="5861430D" w:rsidR="00845677" w:rsidRPr="00C8472B" w:rsidRDefault="00845677" w:rsidP="002F7A56">
            <w:pPr>
              <w:ind w:right="57"/>
              <w:jc w:val="center"/>
              <w:rPr>
                <w:sz w:val="18"/>
                <w:szCs w:val="18"/>
              </w:rPr>
            </w:pPr>
          </w:p>
        </w:tc>
        <w:tc>
          <w:tcPr>
            <w:tcW w:w="2893" w:type="dxa"/>
            <w:shd w:val="clear" w:color="auto" w:fill="auto"/>
            <w:vAlign w:val="bottom"/>
          </w:tcPr>
          <w:p w14:paraId="5C422F43" w14:textId="77777777" w:rsidR="00845677" w:rsidRPr="00C8472B" w:rsidRDefault="00845677" w:rsidP="002F7A56">
            <w:pPr>
              <w:ind w:right="57"/>
              <w:jc w:val="center"/>
              <w:rPr>
                <w:sz w:val="18"/>
                <w:szCs w:val="18"/>
              </w:rPr>
            </w:pPr>
          </w:p>
        </w:tc>
        <w:tc>
          <w:tcPr>
            <w:tcW w:w="90" w:type="dxa"/>
          </w:tcPr>
          <w:p w14:paraId="721C142C" w14:textId="01208A2B" w:rsidR="00845677" w:rsidRPr="00C8472B" w:rsidRDefault="00845677" w:rsidP="002F7A56">
            <w:pPr>
              <w:ind w:right="57"/>
              <w:jc w:val="center"/>
              <w:rPr>
                <w:sz w:val="18"/>
                <w:szCs w:val="18"/>
              </w:rPr>
            </w:pPr>
          </w:p>
        </w:tc>
        <w:tc>
          <w:tcPr>
            <w:tcW w:w="2893" w:type="dxa"/>
            <w:shd w:val="clear" w:color="auto" w:fill="auto"/>
          </w:tcPr>
          <w:p w14:paraId="3A3EDF56" w14:textId="200529C7" w:rsidR="00845677" w:rsidRPr="00C8472B" w:rsidRDefault="00845677" w:rsidP="002F7A56">
            <w:pPr>
              <w:ind w:right="57"/>
              <w:jc w:val="center"/>
              <w:rPr>
                <w:i/>
                <w:sz w:val="18"/>
                <w:szCs w:val="18"/>
              </w:rPr>
            </w:pPr>
          </w:p>
        </w:tc>
      </w:tr>
      <w:tr w:rsidR="00814476" w:rsidRPr="002F7A56" w14:paraId="1AB22C45" w14:textId="77777777" w:rsidTr="00284CA5">
        <w:tc>
          <w:tcPr>
            <w:tcW w:w="2964" w:type="dxa"/>
            <w:shd w:val="clear" w:color="auto" w:fill="auto"/>
          </w:tcPr>
          <w:p w14:paraId="491F1DD7" w14:textId="62296660" w:rsidR="00845677" w:rsidRPr="002F7A56" w:rsidRDefault="002F7A56" w:rsidP="002F7A56">
            <w:pPr>
              <w:ind w:left="113"/>
              <w:rPr>
                <w:sz w:val="18"/>
                <w:szCs w:val="18"/>
              </w:rPr>
            </w:pPr>
            <w:r>
              <w:rPr>
                <w:sz w:val="18"/>
                <w:szCs w:val="18"/>
              </w:rPr>
              <w:t>PT Topas Multi Finance</w:t>
            </w:r>
          </w:p>
        </w:tc>
        <w:tc>
          <w:tcPr>
            <w:tcW w:w="90" w:type="dxa"/>
            <w:shd w:val="clear" w:color="auto" w:fill="auto"/>
            <w:vAlign w:val="bottom"/>
          </w:tcPr>
          <w:p w14:paraId="49C89AF2" w14:textId="77777777" w:rsidR="00845677" w:rsidRPr="002F7A56" w:rsidRDefault="00845677" w:rsidP="002F7A56">
            <w:pPr>
              <w:ind w:left="113"/>
              <w:jc w:val="center"/>
              <w:rPr>
                <w:sz w:val="18"/>
                <w:szCs w:val="18"/>
              </w:rPr>
            </w:pPr>
          </w:p>
        </w:tc>
        <w:tc>
          <w:tcPr>
            <w:tcW w:w="2893" w:type="dxa"/>
            <w:shd w:val="clear" w:color="auto" w:fill="auto"/>
            <w:vAlign w:val="bottom"/>
          </w:tcPr>
          <w:p w14:paraId="6AF54CFC" w14:textId="77777777" w:rsidR="002F7A56" w:rsidRDefault="002F7A56" w:rsidP="002F7A56">
            <w:pPr>
              <w:ind w:right="57"/>
              <w:jc w:val="center"/>
              <w:rPr>
                <w:sz w:val="18"/>
                <w:szCs w:val="18"/>
              </w:rPr>
            </w:pPr>
            <w:r>
              <w:rPr>
                <w:sz w:val="18"/>
                <w:szCs w:val="18"/>
              </w:rPr>
              <w:t>Perusahaan afiliasi/</w:t>
            </w:r>
          </w:p>
          <w:p w14:paraId="2FED0796" w14:textId="5F97405A" w:rsidR="002F7A56" w:rsidRPr="002F7A56" w:rsidRDefault="002F7A56" w:rsidP="002F7A56">
            <w:pPr>
              <w:ind w:left="113"/>
              <w:jc w:val="center"/>
              <w:rPr>
                <w:sz w:val="18"/>
                <w:szCs w:val="18"/>
              </w:rPr>
            </w:pPr>
            <w:r>
              <w:rPr>
                <w:i/>
                <w:iCs/>
                <w:sz w:val="18"/>
                <w:szCs w:val="18"/>
              </w:rPr>
              <w:t>Affiliated company</w:t>
            </w:r>
          </w:p>
        </w:tc>
        <w:tc>
          <w:tcPr>
            <w:tcW w:w="90" w:type="dxa"/>
            <w:vAlign w:val="bottom"/>
          </w:tcPr>
          <w:p w14:paraId="3348DEE2" w14:textId="77777777" w:rsidR="00845677" w:rsidRPr="002F7A56" w:rsidRDefault="00845677" w:rsidP="002F7A56">
            <w:pPr>
              <w:ind w:left="113"/>
              <w:jc w:val="center"/>
              <w:rPr>
                <w:sz w:val="18"/>
                <w:szCs w:val="18"/>
              </w:rPr>
            </w:pPr>
          </w:p>
        </w:tc>
        <w:tc>
          <w:tcPr>
            <w:tcW w:w="2893" w:type="dxa"/>
            <w:shd w:val="clear" w:color="auto" w:fill="auto"/>
          </w:tcPr>
          <w:p w14:paraId="51B84C84" w14:textId="77777777" w:rsidR="00845677" w:rsidRDefault="002F7A56" w:rsidP="002F7A56">
            <w:pPr>
              <w:ind w:left="113"/>
              <w:jc w:val="center"/>
              <w:rPr>
                <w:sz w:val="18"/>
                <w:szCs w:val="18"/>
              </w:rPr>
            </w:pPr>
            <w:r>
              <w:rPr>
                <w:sz w:val="18"/>
                <w:szCs w:val="18"/>
              </w:rPr>
              <w:t>Utang sewa pembiayaan/</w:t>
            </w:r>
          </w:p>
          <w:p w14:paraId="0D9B5255" w14:textId="0F75A042" w:rsidR="002F7A56" w:rsidRPr="002F7A56" w:rsidRDefault="002F7A56" w:rsidP="002F7A56">
            <w:pPr>
              <w:ind w:left="113"/>
              <w:jc w:val="center"/>
              <w:rPr>
                <w:i/>
                <w:iCs/>
                <w:sz w:val="18"/>
                <w:szCs w:val="18"/>
              </w:rPr>
            </w:pPr>
            <w:r>
              <w:rPr>
                <w:i/>
                <w:iCs/>
                <w:sz w:val="18"/>
                <w:szCs w:val="18"/>
              </w:rPr>
              <w:t>Finance lease payable</w:t>
            </w:r>
          </w:p>
        </w:tc>
      </w:tr>
      <w:tr w:rsidR="00622371" w:rsidRPr="002F7A56" w14:paraId="6B18CD1F" w14:textId="77777777" w:rsidTr="00284CA5">
        <w:tc>
          <w:tcPr>
            <w:tcW w:w="2964" w:type="dxa"/>
            <w:shd w:val="clear" w:color="auto" w:fill="auto"/>
          </w:tcPr>
          <w:p w14:paraId="31C1D821" w14:textId="77777777" w:rsidR="00622371" w:rsidRDefault="00622371" w:rsidP="002F7A56">
            <w:pPr>
              <w:ind w:left="113"/>
              <w:rPr>
                <w:sz w:val="18"/>
                <w:szCs w:val="18"/>
              </w:rPr>
            </w:pPr>
          </w:p>
        </w:tc>
        <w:tc>
          <w:tcPr>
            <w:tcW w:w="90" w:type="dxa"/>
            <w:shd w:val="clear" w:color="auto" w:fill="auto"/>
            <w:vAlign w:val="bottom"/>
          </w:tcPr>
          <w:p w14:paraId="748D2CF9" w14:textId="77777777" w:rsidR="00622371" w:rsidRPr="002F7A56" w:rsidRDefault="00622371" w:rsidP="002F7A56">
            <w:pPr>
              <w:ind w:left="113"/>
              <w:jc w:val="center"/>
              <w:rPr>
                <w:sz w:val="18"/>
                <w:szCs w:val="18"/>
              </w:rPr>
            </w:pPr>
          </w:p>
        </w:tc>
        <w:tc>
          <w:tcPr>
            <w:tcW w:w="2893" w:type="dxa"/>
            <w:shd w:val="clear" w:color="auto" w:fill="auto"/>
            <w:vAlign w:val="bottom"/>
          </w:tcPr>
          <w:p w14:paraId="67033521" w14:textId="77777777" w:rsidR="00622371" w:rsidRDefault="00622371" w:rsidP="002F7A56">
            <w:pPr>
              <w:ind w:right="57"/>
              <w:jc w:val="center"/>
              <w:rPr>
                <w:sz w:val="18"/>
                <w:szCs w:val="18"/>
              </w:rPr>
            </w:pPr>
          </w:p>
        </w:tc>
        <w:tc>
          <w:tcPr>
            <w:tcW w:w="90" w:type="dxa"/>
            <w:vAlign w:val="bottom"/>
          </w:tcPr>
          <w:p w14:paraId="011A29C1" w14:textId="77777777" w:rsidR="00622371" w:rsidRPr="002F7A56" w:rsidRDefault="00622371" w:rsidP="002F7A56">
            <w:pPr>
              <w:ind w:left="113"/>
              <w:jc w:val="center"/>
              <w:rPr>
                <w:sz w:val="18"/>
                <w:szCs w:val="18"/>
              </w:rPr>
            </w:pPr>
          </w:p>
        </w:tc>
        <w:tc>
          <w:tcPr>
            <w:tcW w:w="2893" w:type="dxa"/>
            <w:shd w:val="clear" w:color="auto" w:fill="auto"/>
          </w:tcPr>
          <w:p w14:paraId="63C080C4" w14:textId="77777777" w:rsidR="00622371" w:rsidRDefault="00622371" w:rsidP="002F7A56">
            <w:pPr>
              <w:ind w:left="113"/>
              <w:jc w:val="center"/>
              <w:rPr>
                <w:sz w:val="18"/>
                <w:szCs w:val="18"/>
              </w:rPr>
            </w:pPr>
          </w:p>
        </w:tc>
      </w:tr>
      <w:tr w:rsidR="00622371" w:rsidRPr="002F7A56" w14:paraId="3A1DEF23" w14:textId="77777777" w:rsidTr="00284CA5">
        <w:tc>
          <w:tcPr>
            <w:tcW w:w="2964" w:type="dxa"/>
            <w:shd w:val="clear" w:color="auto" w:fill="auto"/>
          </w:tcPr>
          <w:p w14:paraId="792DBE54" w14:textId="63A51B53" w:rsidR="00622371" w:rsidRDefault="00622371" w:rsidP="002F7A56">
            <w:pPr>
              <w:ind w:left="113"/>
              <w:rPr>
                <w:sz w:val="18"/>
                <w:szCs w:val="18"/>
              </w:rPr>
            </w:pPr>
            <w:r>
              <w:rPr>
                <w:sz w:val="18"/>
                <w:szCs w:val="18"/>
              </w:rPr>
              <w:t>PT Karya Kreatif Bersama Topas TV</w:t>
            </w:r>
          </w:p>
        </w:tc>
        <w:tc>
          <w:tcPr>
            <w:tcW w:w="90" w:type="dxa"/>
            <w:shd w:val="clear" w:color="auto" w:fill="auto"/>
            <w:vAlign w:val="bottom"/>
          </w:tcPr>
          <w:p w14:paraId="6AEB90CD" w14:textId="77777777" w:rsidR="00622371" w:rsidRPr="002F7A56" w:rsidRDefault="00622371" w:rsidP="002F7A56">
            <w:pPr>
              <w:ind w:left="113"/>
              <w:jc w:val="center"/>
              <w:rPr>
                <w:sz w:val="18"/>
                <w:szCs w:val="18"/>
              </w:rPr>
            </w:pPr>
          </w:p>
        </w:tc>
        <w:tc>
          <w:tcPr>
            <w:tcW w:w="2893" w:type="dxa"/>
            <w:shd w:val="clear" w:color="auto" w:fill="auto"/>
            <w:vAlign w:val="bottom"/>
          </w:tcPr>
          <w:p w14:paraId="667D8134" w14:textId="77777777" w:rsidR="00622371" w:rsidRDefault="00622371" w:rsidP="00622371">
            <w:pPr>
              <w:ind w:right="57"/>
              <w:jc w:val="center"/>
              <w:rPr>
                <w:sz w:val="18"/>
                <w:szCs w:val="18"/>
              </w:rPr>
            </w:pPr>
            <w:r>
              <w:rPr>
                <w:sz w:val="18"/>
                <w:szCs w:val="18"/>
              </w:rPr>
              <w:t>Perusahaan afiliasi/</w:t>
            </w:r>
          </w:p>
          <w:p w14:paraId="6A1F0513" w14:textId="77D284F3" w:rsidR="00622371" w:rsidRDefault="00622371" w:rsidP="00622371">
            <w:pPr>
              <w:ind w:right="57"/>
              <w:jc w:val="center"/>
              <w:rPr>
                <w:sz w:val="18"/>
                <w:szCs w:val="18"/>
              </w:rPr>
            </w:pPr>
            <w:r>
              <w:rPr>
                <w:i/>
                <w:iCs/>
                <w:sz w:val="18"/>
                <w:szCs w:val="18"/>
              </w:rPr>
              <w:t>Affiliated company</w:t>
            </w:r>
          </w:p>
        </w:tc>
        <w:tc>
          <w:tcPr>
            <w:tcW w:w="90" w:type="dxa"/>
            <w:vAlign w:val="bottom"/>
          </w:tcPr>
          <w:p w14:paraId="4312ACCD" w14:textId="77777777" w:rsidR="00622371" w:rsidRPr="002F7A56" w:rsidRDefault="00622371" w:rsidP="002F7A56">
            <w:pPr>
              <w:ind w:left="113"/>
              <w:jc w:val="center"/>
              <w:rPr>
                <w:sz w:val="18"/>
                <w:szCs w:val="18"/>
              </w:rPr>
            </w:pPr>
          </w:p>
        </w:tc>
        <w:tc>
          <w:tcPr>
            <w:tcW w:w="2893" w:type="dxa"/>
            <w:shd w:val="clear" w:color="auto" w:fill="auto"/>
          </w:tcPr>
          <w:p w14:paraId="3E7C1AD3" w14:textId="3CCF11D8" w:rsidR="00622371" w:rsidRPr="00622371" w:rsidRDefault="00622371" w:rsidP="00622371">
            <w:pPr>
              <w:ind w:left="113"/>
              <w:jc w:val="center"/>
              <w:rPr>
                <w:i/>
                <w:iCs/>
                <w:sz w:val="18"/>
                <w:szCs w:val="18"/>
              </w:rPr>
            </w:pPr>
            <w:r>
              <w:rPr>
                <w:sz w:val="18"/>
                <w:szCs w:val="18"/>
              </w:rPr>
              <w:t xml:space="preserve">Biaya dibayar dimuka dan beban promosi/ </w:t>
            </w:r>
            <w:r>
              <w:rPr>
                <w:i/>
                <w:iCs/>
                <w:sz w:val="18"/>
                <w:szCs w:val="18"/>
              </w:rPr>
              <w:t xml:space="preserve">Prepaid expense and </w:t>
            </w:r>
            <w:r>
              <w:rPr>
                <w:i/>
                <w:iCs/>
                <w:sz w:val="18"/>
                <w:szCs w:val="18"/>
              </w:rPr>
              <w:br/>
              <w:t>selling expense</w:t>
            </w:r>
          </w:p>
        </w:tc>
      </w:tr>
      <w:tr w:rsidR="00814476" w:rsidRPr="002F7A56" w14:paraId="08AE8E19" w14:textId="77777777" w:rsidTr="00284CA5">
        <w:tc>
          <w:tcPr>
            <w:tcW w:w="2964" w:type="dxa"/>
            <w:shd w:val="clear" w:color="auto" w:fill="auto"/>
            <w:vAlign w:val="bottom"/>
          </w:tcPr>
          <w:p w14:paraId="40591F0B" w14:textId="7EA8F539" w:rsidR="00845677" w:rsidRPr="002F7A56" w:rsidRDefault="00845677" w:rsidP="002F7A56">
            <w:pPr>
              <w:ind w:left="113"/>
              <w:jc w:val="center"/>
              <w:rPr>
                <w:sz w:val="18"/>
                <w:szCs w:val="18"/>
              </w:rPr>
            </w:pPr>
          </w:p>
        </w:tc>
        <w:tc>
          <w:tcPr>
            <w:tcW w:w="90" w:type="dxa"/>
            <w:shd w:val="clear" w:color="auto" w:fill="auto"/>
            <w:vAlign w:val="bottom"/>
          </w:tcPr>
          <w:p w14:paraId="3608C9E1" w14:textId="35224474" w:rsidR="00845677" w:rsidRPr="002F7A56" w:rsidRDefault="00845677" w:rsidP="002F7A56">
            <w:pPr>
              <w:ind w:left="113"/>
              <w:jc w:val="center"/>
              <w:rPr>
                <w:sz w:val="18"/>
                <w:szCs w:val="18"/>
              </w:rPr>
            </w:pPr>
          </w:p>
        </w:tc>
        <w:tc>
          <w:tcPr>
            <w:tcW w:w="2893" w:type="dxa"/>
            <w:shd w:val="clear" w:color="auto" w:fill="auto"/>
            <w:vAlign w:val="bottom"/>
          </w:tcPr>
          <w:p w14:paraId="0A359143" w14:textId="77777777" w:rsidR="00845677" w:rsidRPr="002F7A56" w:rsidRDefault="00845677" w:rsidP="002F7A56">
            <w:pPr>
              <w:ind w:left="113"/>
              <w:jc w:val="center"/>
              <w:rPr>
                <w:sz w:val="18"/>
                <w:szCs w:val="18"/>
              </w:rPr>
            </w:pPr>
          </w:p>
        </w:tc>
        <w:tc>
          <w:tcPr>
            <w:tcW w:w="90" w:type="dxa"/>
            <w:vAlign w:val="bottom"/>
          </w:tcPr>
          <w:p w14:paraId="4412669F" w14:textId="24D9085B" w:rsidR="00845677" w:rsidRPr="002F7A56" w:rsidRDefault="00845677" w:rsidP="002F7A56">
            <w:pPr>
              <w:ind w:left="113"/>
              <w:jc w:val="center"/>
              <w:rPr>
                <w:sz w:val="18"/>
                <w:szCs w:val="18"/>
              </w:rPr>
            </w:pPr>
          </w:p>
        </w:tc>
        <w:tc>
          <w:tcPr>
            <w:tcW w:w="2893" w:type="dxa"/>
            <w:shd w:val="clear" w:color="auto" w:fill="auto"/>
            <w:vAlign w:val="bottom"/>
          </w:tcPr>
          <w:p w14:paraId="10F7ACD8" w14:textId="517F89DF" w:rsidR="00845677" w:rsidRPr="002F7A56" w:rsidRDefault="00845677" w:rsidP="002F7A56">
            <w:pPr>
              <w:ind w:left="113"/>
              <w:jc w:val="center"/>
              <w:rPr>
                <w:sz w:val="18"/>
                <w:szCs w:val="18"/>
              </w:rPr>
            </w:pPr>
          </w:p>
        </w:tc>
      </w:tr>
      <w:tr w:rsidR="002F7A56" w:rsidRPr="002F7A56" w14:paraId="110DBC83" w14:textId="77777777" w:rsidTr="00284CA5">
        <w:tc>
          <w:tcPr>
            <w:tcW w:w="2964" w:type="dxa"/>
            <w:shd w:val="clear" w:color="auto" w:fill="auto"/>
            <w:vAlign w:val="bottom"/>
          </w:tcPr>
          <w:p w14:paraId="6ECECFCD" w14:textId="7EEEF88B" w:rsidR="002F7A56" w:rsidRPr="002F7A56" w:rsidRDefault="002F7A56" w:rsidP="002F7A56">
            <w:pPr>
              <w:ind w:left="113"/>
              <w:rPr>
                <w:sz w:val="18"/>
                <w:szCs w:val="18"/>
              </w:rPr>
            </w:pPr>
            <w:r>
              <w:rPr>
                <w:sz w:val="18"/>
                <w:szCs w:val="18"/>
              </w:rPr>
              <w:t>Tahir Foundation</w:t>
            </w:r>
          </w:p>
        </w:tc>
        <w:tc>
          <w:tcPr>
            <w:tcW w:w="90" w:type="dxa"/>
            <w:shd w:val="clear" w:color="auto" w:fill="auto"/>
            <w:vAlign w:val="bottom"/>
          </w:tcPr>
          <w:p w14:paraId="0F06D86C" w14:textId="77777777" w:rsidR="002F7A56" w:rsidRPr="002F7A56" w:rsidRDefault="002F7A56" w:rsidP="002F7A56">
            <w:pPr>
              <w:ind w:left="113"/>
              <w:jc w:val="center"/>
              <w:rPr>
                <w:sz w:val="18"/>
                <w:szCs w:val="18"/>
              </w:rPr>
            </w:pPr>
          </w:p>
        </w:tc>
        <w:tc>
          <w:tcPr>
            <w:tcW w:w="2893" w:type="dxa"/>
            <w:shd w:val="clear" w:color="auto" w:fill="auto"/>
            <w:vAlign w:val="bottom"/>
          </w:tcPr>
          <w:p w14:paraId="23442302" w14:textId="77777777" w:rsidR="002F7A56" w:rsidRDefault="002F7A56" w:rsidP="002F7A56">
            <w:pPr>
              <w:ind w:right="57"/>
              <w:jc w:val="center"/>
              <w:rPr>
                <w:sz w:val="18"/>
                <w:szCs w:val="18"/>
              </w:rPr>
            </w:pPr>
            <w:r>
              <w:rPr>
                <w:sz w:val="18"/>
                <w:szCs w:val="18"/>
              </w:rPr>
              <w:t>Perusahaan afiliasi/</w:t>
            </w:r>
          </w:p>
          <w:p w14:paraId="14A95EE9" w14:textId="07FFBE53" w:rsidR="002F7A56" w:rsidRPr="002F7A56" w:rsidRDefault="002F7A56" w:rsidP="002F7A56">
            <w:pPr>
              <w:ind w:left="113"/>
              <w:jc w:val="center"/>
              <w:rPr>
                <w:sz w:val="18"/>
                <w:szCs w:val="18"/>
              </w:rPr>
            </w:pPr>
            <w:r>
              <w:rPr>
                <w:i/>
                <w:iCs/>
                <w:sz w:val="18"/>
                <w:szCs w:val="18"/>
              </w:rPr>
              <w:t>Affiliated company</w:t>
            </w:r>
          </w:p>
        </w:tc>
        <w:tc>
          <w:tcPr>
            <w:tcW w:w="90" w:type="dxa"/>
            <w:vAlign w:val="bottom"/>
          </w:tcPr>
          <w:p w14:paraId="40AAC28C" w14:textId="77777777" w:rsidR="002F7A56" w:rsidRPr="002F7A56" w:rsidRDefault="002F7A56" w:rsidP="002F7A56">
            <w:pPr>
              <w:ind w:left="113"/>
              <w:jc w:val="center"/>
              <w:rPr>
                <w:sz w:val="18"/>
                <w:szCs w:val="18"/>
              </w:rPr>
            </w:pPr>
          </w:p>
        </w:tc>
        <w:tc>
          <w:tcPr>
            <w:tcW w:w="2893" w:type="dxa"/>
            <w:shd w:val="clear" w:color="auto" w:fill="auto"/>
            <w:vAlign w:val="bottom"/>
          </w:tcPr>
          <w:p w14:paraId="103DF330" w14:textId="77777777" w:rsidR="002F7A56" w:rsidRDefault="002F7A56" w:rsidP="002F7A56">
            <w:pPr>
              <w:ind w:left="113"/>
              <w:jc w:val="center"/>
              <w:rPr>
                <w:sz w:val="18"/>
                <w:szCs w:val="18"/>
              </w:rPr>
            </w:pPr>
            <w:r>
              <w:rPr>
                <w:sz w:val="18"/>
                <w:szCs w:val="18"/>
              </w:rPr>
              <w:t>Piutang usaha dan pendapatan/</w:t>
            </w:r>
          </w:p>
          <w:p w14:paraId="71F64DA6" w14:textId="1912BB27" w:rsidR="002F7A56" w:rsidRPr="002F7A56" w:rsidRDefault="002F7A56" w:rsidP="002F7A56">
            <w:pPr>
              <w:ind w:left="113"/>
              <w:jc w:val="center"/>
              <w:rPr>
                <w:i/>
                <w:iCs/>
                <w:sz w:val="18"/>
                <w:szCs w:val="18"/>
              </w:rPr>
            </w:pPr>
            <w:r>
              <w:rPr>
                <w:i/>
                <w:iCs/>
                <w:sz w:val="18"/>
                <w:szCs w:val="18"/>
              </w:rPr>
              <w:t>Trade receivable and revenue</w:t>
            </w:r>
          </w:p>
        </w:tc>
      </w:tr>
      <w:tr w:rsidR="002F7A56" w:rsidRPr="002F7A56" w14:paraId="4F9F787B" w14:textId="77777777" w:rsidTr="00284CA5">
        <w:tc>
          <w:tcPr>
            <w:tcW w:w="2964" w:type="dxa"/>
            <w:shd w:val="clear" w:color="auto" w:fill="auto"/>
            <w:vAlign w:val="bottom"/>
          </w:tcPr>
          <w:p w14:paraId="3E38DB5E" w14:textId="77777777" w:rsidR="002F7A56" w:rsidRPr="002F7A56" w:rsidRDefault="002F7A56" w:rsidP="002F7A56">
            <w:pPr>
              <w:ind w:left="113"/>
              <w:jc w:val="center"/>
              <w:rPr>
                <w:sz w:val="18"/>
                <w:szCs w:val="18"/>
              </w:rPr>
            </w:pPr>
          </w:p>
        </w:tc>
        <w:tc>
          <w:tcPr>
            <w:tcW w:w="90" w:type="dxa"/>
            <w:shd w:val="clear" w:color="auto" w:fill="auto"/>
            <w:vAlign w:val="bottom"/>
          </w:tcPr>
          <w:p w14:paraId="26447446" w14:textId="77777777" w:rsidR="002F7A56" w:rsidRPr="002F7A56" w:rsidRDefault="002F7A56" w:rsidP="002F7A56">
            <w:pPr>
              <w:ind w:left="113"/>
              <w:jc w:val="center"/>
              <w:rPr>
                <w:sz w:val="18"/>
                <w:szCs w:val="18"/>
              </w:rPr>
            </w:pPr>
          </w:p>
        </w:tc>
        <w:tc>
          <w:tcPr>
            <w:tcW w:w="2893" w:type="dxa"/>
            <w:shd w:val="clear" w:color="auto" w:fill="auto"/>
            <w:vAlign w:val="bottom"/>
          </w:tcPr>
          <w:p w14:paraId="2B2D7414" w14:textId="77777777" w:rsidR="002F7A56" w:rsidRPr="002F7A56" w:rsidRDefault="002F7A56" w:rsidP="002F7A56">
            <w:pPr>
              <w:ind w:left="113"/>
              <w:jc w:val="center"/>
              <w:rPr>
                <w:sz w:val="18"/>
                <w:szCs w:val="18"/>
              </w:rPr>
            </w:pPr>
          </w:p>
        </w:tc>
        <w:tc>
          <w:tcPr>
            <w:tcW w:w="90" w:type="dxa"/>
            <w:vAlign w:val="bottom"/>
          </w:tcPr>
          <w:p w14:paraId="09CAE428" w14:textId="77777777" w:rsidR="002F7A56" w:rsidRPr="002F7A56" w:rsidRDefault="002F7A56" w:rsidP="002F7A56">
            <w:pPr>
              <w:ind w:left="113"/>
              <w:jc w:val="center"/>
              <w:rPr>
                <w:sz w:val="18"/>
                <w:szCs w:val="18"/>
              </w:rPr>
            </w:pPr>
          </w:p>
        </w:tc>
        <w:tc>
          <w:tcPr>
            <w:tcW w:w="2893" w:type="dxa"/>
            <w:shd w:val="clear" w:color="auto" w:fill="auto"/>
            <w:vAlign w:val="bottom"/>
          </w:tcPr>
          <w:p w14:paraId="479F918C" w14:textId="77777777" w:rsidR="002F7A56" w:rsidRPr="002F7A56" w:rsidRDefault="002F7A56" w:rsidP="002F7A56">
            <w:pPr>
              <w:ind w:left="113"/>
              <w:jc w:val="center"/>
              <w:rPr>
                <w:sz w:val="18"/>
                <w:szCs w:val="18"/>
              </w:rPr>
            </w:pPr>
          </w:p>
        </w:tc>
      </w:tr>
      <w:tr w:rsidR="002F7A56" w:rsidRPr="002F7A56" w14:paraId="2AC6EED1" w14:textId="77777777" w:rsidTr="00284CA5">
        <w:tc>
          <w:tcPr>
            <w:tcW w:w="2964" w:type="dxa"/>
            <w:shd w:val="clear" w:color="auto" w:fill="auto"/>
            <w:vAlign w:val="bottom"/>
          </w:tcPr>
          <w:p w14:paraId="19061FD3" w14:textId="77777777" w:rsidR="00814476" w:rsidRDefault="002F7A56" w:rsidP="002F7A56">
            <w:pPr>
              <w:ind w:left="113"/>
              <w:rPr>
                <w:sz w:val="18"/>
                <w:szCs w:val="18"/>
              </w:rPr>
            </w:pPr>
            <w:r>
              <w:rPr>
                <w:sz w:val="18"/>
                <w:szCs w:val="18"/>
              </w:rPr>
              <w:t>Komisaris dan Direksi /</w:t>
            </w:r>
          </w:p>
          <w:p w14:paraId="5F306260" w14:textId="1AE68843" w:rsidR="002F7A56" w:rsidRPr="002F7A56" w:rsidRDefault="002F7A56" w:rsidP="002F7A56">
            <w:pPr>
              <w:ind w:left="250"/>
              <w:rPr>
                <w:i/>
                <w:iCs/>
                <w:sz w:val="18"/>
                <w:szCs w:val="18"/>
              </w:rPr>
            </w:pPr>
            <w:r>
              <w:rPr>
                <w:i/>
                <w:iCs/>
                <w:sz w:val="18"/>
                <w:szCs w:val="18"/>
              </w:rPr>
              <w:t>Commissioners and Directors</w:t>
            </w:r>
          </w:p>
        </w:tc>
        <w:tc>
          <w:tcPr>
            <w:tcW w:w="90" w:type="dxa"/>
            <w:shd w:val="clear" w:color="auto" w:fill="auto"/>
            <w:vAlign w:val="bottom"/>
          </w:tcPr>
          <w:p w14:paraId="5E3AE852" w14:textId="77777777" w:rsidR="002F7A56" w:rsidRPr="002F7A56" w:rsidRDefault="002F7A56" w:rsidP="002F7A56">
            <w:pPr>
              <w:ind w:left="113"/>
              <w:jc w:val="center"/>
              <w:rPr>
                <w:sz w:val="18"/>
                <w:szCs w:val="18"/>
              </w:rPr>
            </w:pPr>
          </w:p>
        </w:tc>
        <w:tc>
          <w:tcPr>
            <w:tcW w:w="2893" w:type="dxa"/>
            <w:shd w:val="clear" w:color="auto" w:fill="auto"/>
            <w:vAlign w:val="bottom"/>
          </w:tcPr>
          <w:p w14:paraId="3B767161" w14:textId="77777777" w:rsidR="002F7A56" w:rsidRDefault="002F7A56" w:rsidP="002F7A56">
            <w:pPr>
              <w:ind w:left="113"/>
              <w:jc w:val="center"/>
              <w:rPr>
                <w:sz w:val="18"/>
                <w:szCs w:val="18"/>
              </w:rPr>
            </w:pPr>
            <w:r>
              <w:rPr>
                <w:sz w:val="18"/>
                <w:szCs w:val="18"/>
              </w:rPr>
              <w:t xml:space="preserve">Karyawan kunci/ </w:t>
            </w:r>
          </w:p>
          <w:p w14:paraId="14EF7DC4" w14:textId="08FF0BDA" w:rsidR="002F7A56" w:rsidRPr="002F7A56" w:rsidRDefault="002F7A56" w:rsidP="002F7A56">
            <w:pPr>
              <w:ind w:left="113"/>
              <w:jc w:val="center"/>
              <w:rPr>
                <w:sz w:val="18"/>
                <w:szCs w:val="18"/>
              </w:rPr>
            </w:pPr>
            <w:r w:rsidRPr="002F7A56">
              <w:rPr>
                <w:i/>
                <w:iCs/>
                <w:sz w:val="18"/>
                <w:szCs w:val="18"/>
              </w:rPr>
              <w:t>Key management</w:t>
            </w:r>
          </w:p>
        </w:tc>
        <w:tc>
          <w:tcPr>
            <w:tcW w:w="90" w:type="dxa"/>
            <w:vAlign w:val="bottom"/>
          </w:tcPr>
          <w:p w14:paraId="42B871DD" w14:textId="77777777" w:rsidR="002F7A56" w:rsidRPr="002F7A56" w:rsidRDefault="002F7A56" w:rsidP="002F7A56">
            <w:pPr>
              <w:ind w:left="113"/>
              <w:jc w:val="center"/>
              <w:rPr>
                <w:sz w:val="18"/>
                <w:szCs w:val="18"/>
              </w:rPr>
            </w:pPr>
          </w:p>
        </w:tc>
        <w:tc>
          <w:tcPr>
            <w:tcW w:w="2893" w:type="dxa"/>
            <w:shd w:val="clear" w:color="auto" w:fill="auto"/>
            <w:vAlign w:val="bottom"/>
          </w:tcPr>
          <w:p w14:paraId="38F504D3" w14:textId="2CAABC67" w:rsidR="002F7A56" w:rsidRPr="002F7A56" w:rsidRDefault="002F7A56" w:rsidP="002F7A56">
            <w:pPr>
              <w:ind w:left="113"/>
              <w:jc w:val="center"/>
              <w:rPr>
                <w:i/>
                <w:iCs/>
                <w:sz w:val="18"/>
                <w:szCs w:val="18"/>
              </w:rPr>
            </w:pPr>
            <w:r>
              <w:rPr>
                <w:sz w:val="18"/>
                <w:szCs w:val="18"/>
              </w:rPr>
              <w:t xml:space="preserve">Kompensasi jangka pendek dan jangka Panjang/ </w:t>
            </w:r>
            <w:r>
              <w:rPr>
                <w:i/>
                <w:iCs/>
                <w:sz w:val="18"/>
                <w:szCs w:val="18"/>
              </w:rPr>
              <w:t xml:space="preserve">Short-term </w:t>
            </w:r>
            <w:r w:rsidR="00814476">
              <w:rPr>
                <w:i/>
                <w:iCs/>
                <w:sz w:val="18"/>
                <w:szCs w:val="18"/>
              </w:rPr>
              <w:t xml:space="preserve">and </w:t>
            </w:r>
            <w:r>
              <w:rPr>
                <w:i/>
                <w:iCs/>
                <w:sz w:val="18"/>
                <w:szCs w:val="18"/>
              </w:rPr>
              <w:t>long-term benefit</w:t>
            </w:r>
          </w:p>
        </w:tc>
      </w:tr>
      <w:tr w:rsidR="003458DF" w:rsidRPr="002F7A56" w14:paraId="56DE0012" w14:textId="77777777" w:rsidTr="00284CA5">
        <w:tc>
          <w:tcPr>
            <w:tcW w:w="2964" w:type="dxa"/>
            <w:shd w:val="clear" w:color="auto" w:fill="auto"/>
            <w:vAlign w:val="bottom"/>
          </w:tcPr>
          <w:p w14:paraId="16F75B8B" w14:textId="77777777" w:rsidR="003458DF" w:rsidRDefault="003458DF" w:rsidP="002F7A56">
            <w:pPr>
              <w:ind w:left="113"/>
              <w:rPr>
                <w:sz w:val="18"/>
                <w:szCs w:val="18"/>
              </w:rPr>
            </w:pPr>
          </w:p>
        </w:tc>
        <w:tc>
          <w:tcPr>
            <w:tcW w:w="90" w:type="dxa"/>
            <w:shd w:val="clear" w:color="auto" w:fill="auto"/>
            <w:vAlign w:val="bottom"/>
          </w:tcPr>
          <w:p w14:paraId="2A7F9121" w14:textId="77777777" w:rsidR="003458DF" w:rsidRPr="002F7A56" w:rsidRDefault="003458DF" w:rsidP="002F7A56">
            <w:pPr>
              <w:ind w:left="113"/>
              <w:jc w:val="center"/>
              <w:rPr>
                <w:sz w:val="18"/>
                <w:szCs w:val="18"/>
              </w:rPr>
            </w:pPr>
          </w:p>
        </w:tc>
        <w:tc>
          <w:tcPr>
            <w:tcW w:w="2893" w:type="dxa"/>
            <w:shd w:val="clear" w:color="auto" w:fill="auto"/>
            <w:vAlign w:val="bottom"/>
          </w:tcPr>
          <w:p w14:paraId="7AEF6A37" w14:textId="77777777" w:rsidR="003458DF" w:rsidRDefault="003458DF" w:rsidP="002F7A56">
            <w:pPr>
              <w:ind w:left="113"/>
              <w:jc w:val="center"/>
              <w:rPr>
                <w:sz w:val="18"/>
                <w:szCs w:val="18"/>
              </w:rPr>
            </w:pPr>
          </w:p>
        </w:tc>
        <w:tc>
          <w:tcPr>
            <w:tcW w:w="90" w:type="dxa"/>
            <w:vAlign w:val="bottom"/>
          </w:tcPr>
          <w:p w14:paraId="4DCAA7E8" w14:textId="77777777" w:rsidR="003458DF" w:rsidRPr="002F7A56" w:rsidRDefault="003458DF" w:rsidP="002F7A56">
            <w:pPr>
              <w:ind w:left="113"/>
              <w:jc w:val="center"/>
              <w:rPr>
                <w:sz w:val="18"/>
                <w:szCs w:val="18"/>
              </w:rPr>
            </w:pPr>
          </w:p>
        </w:tc>
        <w:tc>
          <w:tcPr>
            <w:tcW w:w="2893" w:type="dxa"/>
            <w:shd w:val="clear" w:color="auto" w:fill="auto"/>
            <w:vAlign w:val="bottom"/>
          </w:tcPr>
          <w:p w14:paraId="729846B8" w14:textId="77777777" w:rsidR="003458DF" w:rsidRDefault="003458DF" w:rsidP="002F7A56">
            <w:pPr>
              <w:ind w:left="113"/>
              <w:jc w:val="center"/>
              <w:rPr>
                <w:sz w:val="18"/>
                <w:szCs w:val="18"/>
              </w:rPr>
            </w:pPr>
          </w:p>
        </w:tc>
      </w:tr>
    </w:tbl>
    <w:p w14:paraId="734E1CA5" w14:textId="79BF7D0A" w:rsidR="003F4D87" w:rsidRDefault="003F4D87">
      <w:pPr>
        <w:rPr>
          <w:sz w:val="14"/>
        </w:rPr>
      </w:pPr>
    </w:p>
    <w:p w14:paraId="422CDEA5" w14:textId="35AFD5D6" w:rsidR="00EE78B5" w:rsidRDefault="00EE78B5">
      <w:pPr>
        <w:rPr>
          <w:sz w:val="14"/>
        </w:rPr>
      </w:pPr>
    </w:p>
    <w:p w14:paraId="35AB35F4" w14:textId="0E0F26B3" w:rsidR="00EE78B5" w:rsidRDefault="00EE78B5">
      <w:pPr>
        <w:rPr>
          <w:sz w:val="14"/>
        </w:rPr>
      </w:pPr>
    </w:p>
    <w:p w14:paraId="764C4CA2" w14:textId="04BF410C" w:rsidR="00EE78B5" w:rsidRDefault="00EE78B5">
      <w:pPr>
        <w:rPr>
          <w:sz w:val="14"/>
        </w:rPr>
      </w:pPr>
    </w:p>
    <w:p w14:paraId="382F20E2" w14:textId="7A891CED" w:rsidR="00EE78B5" w:rsidRDefault="00EE78B5">
      <w:pPr>
        <w:rPr>
          <w:sz w:val="14"/>
        </w:rPr>
      </w:pPr>
    </w:p>
    <w:p w14:paraId="7927A043" w14:textId="2A2FC83E" w:rsidR="00EE78B5" w:rsidRDefault="00EE78B5">
      <w:pPr>
        <w:rPr>
          <w:sz w:val="14"/>
        </w:rPr>
      </w:pPr>
    </w:p>
    <w:p w14:paraId="0621B849" w14:textId="77777777" w:rsidR="00EE78B5" w:rsidRPr="003F4D87" w:rsidRDefault="00EE78B5">
      <w:pPr>
        <w:rPr>
          <w:sz w:val="14"/>
        </w:rPr>
      </w:pPr>
    </w:p>
    <w:p w14:paraId="178B5B24" w14:textId="7309847C" w:rsidR="00235BB5" w:rsidRDefault="00235BB5" w:rsidP="0013526B">
      <w:pPr>
        <w:rPr>
          <w:sz w:val="12"/>
          <w:szCs w:val="4"/>
          <w:lang w:val="id-ID"/>
        </w:rPr>
      </w:pPr>
    </w:p>
    <w:p w14:paraId="4F2C729F" w14:textId="69B7FF7A" w:rsidR="00EE78B5" w:rsidRDefault="00EE78B5" w:rsidP="0013526B">
      <w:pPr>
        <w:rPr>
          <w:sz w:val="12"/>
          <w:szCs w:val="4"/>
          <w:lang w:val="id-ID"/>
        </w:rPr>
      </w:pPr>
    </w:p>
    <w:tbl>
      <w:tblPr>
        <w:tblW w:w="9197" w:type="dxa"/>
        <w:tblInd w:w="392" w:type="dxa"/>
        <w:tblLook w:val="0000" w:firstRow="0" w:lastRow="0" w:firstColumn="0" w:lastColumn="0" w:noHBand="0" w:noVBand="0"/>
      </w:tblPr>
      <w:tblGrid>
        <w:gridCol w:w="4599"/>
        <w:gridCol w:w="4598"/>
      </w:tblGrid>
      <w:tr w:rsidR="00EE78B5" w:rsidRPr="00BA06A0" w14:paraId="528B1BB7" w14:textId="77777777" w:rsidTr="00EE78B5">
        <w:trPr>
          <w:trHeight w:val="90"/>
        </w:trPr>
        <w:tc>
          <w:tcPr>
            <w:tcW w:w="4599" w:type="dxa"/>
            <w:tcBorders>
              <w:top w:val="nil"/>
              <w:left w:val="nil"/>
              <w:bottom w:val="nil"/>
              <w:right w:val="nil"/>
            </w:tcBorders>
          </w:tcPr>
          <w:p w14:paraId="714067CF" w14:textId="12E47694" w:rsidR="00EE78B5" w:rsidRPr="00104084" w:rsidRDefault="00EE78B5" w:rsidP="00070D1F">
            <w:pPr>
              <w:numPr>
                <w:ilvl w:val="0"/>
                <w:numId w:val="392"/>
              </w:numPr>
              <w:jc w:val="both"/>
              <w:rPr>
                <w:b/>
                <w:sz w:val="18"/>
                <w:szCs w:val="18"/>
              </w:rPr>
            </w:pPr>
            <w:r>
              <w:rPr>
                <w:b/>
                <w:sz w:val="18"/>
                <w:szCs w:val="18"/>
              </w:rPr>
              <w:lastRenderedPageBreak/>
              <w:t>TRANSAKSI-TRANSAKSI DAN SALDO DENGAN PIHAK - PIHAK BERELASI - Lanjutan</w:t>
            </w:r>
          </w:p>
        </w:tc>
        <w:tc>
          <w:tcPr>
            <w:tcW w:w="4598" w:type="dxa"/>
            <w:tcBorders>
              <w:top w:val="nil"/>
              <w:left w:val="nil"/>
              <w:bottom w:val="nil"/>
              <w:right w:val="nil"/>
            </w:tcBorders>
          </w:tcPr>
          <w:p w14:paraId="4EDB6A55" w14:textId="7EAA468A" w:rsidR="00EE78B5" w:rsidRPr="00104084" w:rsidRDefault="00EE78B5" w:rsidP="00070D1F">
            <w:pPr>
              <w:numPr>
                <w:ilvl w:val="0"/>
                <w:numId w:val="393"/>
              </w:numPr>
              <w:jc w:val="both"/>
              <w:rPr>
                <w:b/>
                <w:i/>
                <w:iCs/>
                <w:sz w:val="18"/>
                <w:szCs w:val="18"/>
              </w:rPr>
            </w:pPr>
            <w:r>
              <w:rPr>
                <w:b/>
                <w:i/>
                <w:iCs/>
                <w:sz w:val="18"/>
                <w:szCs w:val="18"/>
              </w:rPr>
              <w:t>TRANSACTIONS AND BALANCES WITH RELATED PARTIES - Continued</w:t>
            </w:r>
          </w:p>
        </w:tc>
      </w:tr>
      <w:tr w:rsidR="00EE78B5" w:rsidRPr="00BA06A0" w14:paraId="21C8FF4F" w14:textId="77777777" w:rsidTr="00EE78B5">
        <w:trPr>
          <w:trHeight w:val="90"/>
        </w:trPr>
        <w:tc>
          <w:tcPr>
            <w:tcW w:w="4599" w:type="dxa"/>
            <w:tcBorders>
              <w:top w:val="nil"/>
              <w:left w:val="nil"/>
              <w:bottom w:val="nil"/>
              <w:right w:val="nil"/>
            </w:tcBorders>
          </w:tcPr>
          <w:p w14:paraId="3DB31758" w14:textId="77777777" w:rsidR="00EE78B5" w:rsidRDefault="00EE78B5" w:rsidP="00EE78B5">
            <w:pPr>
              <w:pStyle w:val="ListParagraph"/>
              <w:ind w:left="470" w:hanging="240"/>
              <w:rPr>
                <w:b/>
                <w:sz w:val="18"/>
                <w:szCs w:val="18"/>
              </w:rPr>
            </w:pPr>
          </w:p>
        </w:tc>
        <w:tc>
          <w:tcPr>
            <w:tcW w:w="4598" w:type="dxa"/>
            <w:tcBorders>
              <w:top w:val="nil"/>
              <w:left w:val="nil"/>
              <w:bottom w:val="nil"/>
              <w:right w:val="nil"/>
            </w:tcBorders>
          </w:tcPr>
          <w:p w14:paraId="1A9358F9" w14:textId="77777777" w:rsidR="00EE78B5" w:rsidRDefault="00EE78B5" w:rsidP="00EE78B5">
            <w:pPr>
              <w:pStyle w:val="ListParagraph"/>
              <w:ind w:left="470" w:hanging="225"/>
              <w:rPr>
                <w:b/>
                <w:i/>
                <w:iCs/>
                <w:sz w:val="18"/>
                <w:szCs w:val="18"/>
              </w:rPr>
            </w:pPr>
          </w:p>
        </w:tc>
      </w:tr>
      <w:tr w:rsidR="00814476" w:rsidRPr="00BA06A0" w14:paraId="5D499C74" w14:textId="77777777" w:rsidTr="00284CA5">
        <w:trPr>
          <w:trHeight w:val="90"/>
        </w:trPr>
        <w:tc>
          <w:tcPr>
            <w:tcW w:w="4599" w:type="dxa"/>
            <w:tcBorders>
              <w:top w:val="nil"/>
              <w:left w:val="nil"/>
              <w:bottom w:val="nil"/>
              <w:right w:val="nil"/>
            </w:tcBorders>
          </w:tcPr>
          <w:p w14:paraId="1E970B93" w14:textId="43378A6F" w:rsidR="00814476" w:rsidRPr="00583BC9" w:rsidRDefault="00814476" w:rsidP="00070D1F">
            <w:pPr>
              <w:pStyle w:val="ListParagraph"/>
              <w:numPr>
                <w:ilvl w:val="0"/>
                <w:numId w:val="350"/>
              </w:numPr>
              <w:ind w:left="470" w:hanging="240"/>
              <w:jc w:val="both"/>
              <w:rPr>
                <w:b/>
                <w:sz w:val="18"/>
                <w:szCs w:val="18"/>
              </w:rPr>
            </w:pPr>
            <w:r>
              <w:rPr>
                <w:b/>
                <w:sz w:val="18"/>
                <w:szCs w:val="18"/>
              </w:rPr>
              <w:t>Transaksi hubungan berelasi</w:t>
            </w:r>
          </w:p>
        </w:tc>
        <w:tc>
          <w:tcPr>
            <w:tcW w:w="4598" w:type="dxa"/>
            <w:tcBorders>
              <w:top w:val="nil"/>
              <w:left w:val="nil"/>
              <w:bottom w:val="nil"/>
              <w:right w:val="nil"/>
            </w:tcBorders>
          </w:tcPr>
          <w:p w14:paraId="23A3C858" w14:textId="46595914" w:rsidR="00814476" w:rsidRPr="00583BC9" w:rsidRDefault="00814476" w:rsidP="00070D1F">
            <w:pPr>
              <w:pStyle w:val="ListParagraph"/>
              <w:numPr>
                <w:ilvl w:val="0"/>
                <w:numId w:val="351"/>
              </w:numPr>
              <w:ind w:left="470" w:hanging="225"/>
              <w:jc w:val="both"/>
              <w:rPr>
                <w:b/>
                <w:i/>
                <w:iCs/>
                <w:sz w:val="18"/>
                <w:szCs w:val="18"/>
              </w:rPr>
            </w:pPr>
            <w:r>
              <w:rPr>
                <w:b/>
                <w:i/>
                <w:iCs/>
                <w:sz w:val="18"/>
                <w:szCs w:val="18"/>
              </w:rPr>
              <w:t>Transactions with related parties</w:t>
            </w:r>
          </w:p>
        </w:tc>
      </w:tr>
      <w:tr w:rsidR="00814476" w:rsidRPr="00BA06A0" w14:paraId="085F5823" w14:textId="77777777" w:rsidTr="00284CA5">
        <w:trPr>
          <w:trHeight w:val="90"/>
        </w:trPr>
        <w:tc>
          <w:tcPr>
            <w:tcW w:w="4599" w:type="dxa"/>
            <w:tcBorders>
              <w:top w:val="nil"/>
              <w:left w:val="nil"/>
              <w:bottom w:val="nil"/>
              <w:right w:val="nil"/>
            </w:tcBorders>
          </w:tcPr>
          <w:p w14:paraId="3DBD0B83" w14:textId="77777777" w:rsidR="00814476" w:rsidRDefault="00814476" w:rsidP="00814476">
            <w:pPr>
              <w:pStyle w:val="ListParagraph"/>
              <w:ind w:left="470"/>
              <w:jc w:val="both"/>
              <w:rPr>
                <w:b/>
                <w:sz w:val="18"/>
                <w:szCs w:val="18"/>
              </w:rPr>
            </w:pPr>
          </w:p>
        </w:tc>
        <w:tc>
          <w:tcPr>
            <w:tcW w:w="4598" w:type="dxa"/>
            <w:tcBorders>
              <w:top w:val="nil"/>
              <w:left w:val="nil"/>
              <w:bottom w:val="nil"/>
              <w:right w:val="nil"/>
            </w:tcBorders>
          </w:tcPr>
          <w:p w14:paraId="186F7EC7" w14:textId="77777777" w:rsidR="00814476" w:rsidRDefault="00814476" w:rsidP="00814476">
            <w:pPr>
              <w:pStyle w:val="ListParagraph"/>
              <w:ind w:left="470"/>
              <w:jc w:val="both"/>
              <w:rPr>
                <w:b/>
                <w:i/>
                <w:iCs/>
                <w:sz w:val="18"/>
                <w:szCs w:val="18"/>
              </w:rPr>
            </w:pPr>
          </w:p>
        </w:tc>
      </w:tr>
      <w:tr w:rsidR="00814476" w:rsidRPr="00BA06A0" w14:paraId="12547B24" w14:textId="77777777" w:rsidTr="00284CA5">
        <w:trPr>
          <w:trHeight w:val="90"/>
        </w:trPr>
        <w:tc>
          <w:tcPr>
            <w:tcW w:w="4599" w:type="dxa"/>
            <w:tcBorders>
              <w:top w:val="nil"/>
              <w:left w:val="nil"/>
              <w:bottom w:val="nil"/>
              <w:right w:val="nil"/>
            </w:tcBorders>
          </w:tcPr>
          <w:p w14:paraId="64952839" w14:textId="673E7FE3" w:rsidR="00814476" w:rsidRPr="00814476" w:rsidRDefault="00814476" w:rsidP="00814476">
            <w:pPr>
              <w:pStyle w:val="ListParagraph"/>
              <w:ind w:left="470"/>
              <w:jc w:val="both"/>
              <w:rPr>
                <w:bCs w:val="0"/>
                <w:sz w:val="18"/>
                <w:szCs w:val="18"/>
              </w:rPr>
            </w:pPr>
            <w:r w:rsidRPr="00814476">
              <w:rPr>
                <w:bCs w:val="0"/>
                <w:sz w:val="18"/>
                <w:szCs w:val="18"/>
              </w:rPr>
              <w:t>Persentase saldo masing-masing aset pihak berelasi terhadap jumlah aset sebagai berikut:</w:t>
            </w:r>
          </w:p>
        </w:tc>
        <w:tc>
          <w:tcPr>
            <w:tcW w:w="4598" w:type="dxa"/>
            <w:tcBorders>
              <w:top w:val="nil"/>
              <w:left w:val="nil"/>
              <w:bottom w:val="nil"/>
              <w:right w:val="nil"/>
            </w:tcBorders>
          </w:tcPr>
          <w:p w14:paraId="493506D8" w14:textId="4111354E" w:rsidR="00814476" w:rsidRPr="00814476" w:rsidRDefault="00814476" w:rsidP="00814476">
            <w:pPr>
              <w:pStyle w:val="ListParagraph"/>
              <w:ind w:left="470"/>
              <w:jc w:val="both"/>
              <w:rPr>
                <w:bCs w:val="0"/>
                <w:i/>
                <w:iCs/>
                <w:sz w:val="18"/>
                <w:szCs w:val="18"/>
              </w:rPr>
            </w:pPr>
            <w:r>
              <w:rPr>
                <w:bCs w:val="0"/>
                <w:i/>
                <w:iCs/>
                <w:sz w:val="18"/>
                <w:szCs w:val="18"/>
              </w:rPr>
              <w:t>The percentage of each asset to related part</w:t>
            </w:r>
            <w:r w:rsidR="00F64A5D">
              <w:rPr>
                <w:bCs w:val="0"/>
                <w:i/>
                <w:iCs/>
                <w:sz w:val="18"/>
                <w:szCs w:val="18"/>
              </w:rPr>
              <w:t>ies</w:t>
            </w:r>
            <w:r>
              <w:rPr>
                <w:bCs w:val="0"/>
                <w:i/>
                <w:iCs/>
                <w:sz w:val="18"/>
                <w:szCs w:val="18"/>
              </w:rPr>
              <w:t xml:space="preserve"> balances to total assets are as follows:</w:t>
            </w:r>
          </w:p>
        </w:tc>
      </w:tr>
    </w:tbl>
    <w:p w14:paraId="59545A8A" w14:textId="6C03E8BA" w:rsidR="00814476" w:rsidRDefault="00814476" w:rsidP="0013526B">
      <w:pPr>
        <w:rPr>
          <w:sz w:val="12"/>
          <w:szCs w:val="4"/>
          <w:lang w:val="id-ID"/>
        </w:rPr>
      </w:pPr>
    </w:p>
    <w:tbl>
      <w:tblPr>
        <w:tblW w:w="9197" w:type="dxa"/>
        <w:tblInd w:w="426" w:type="dxa"/>
        <w:tblCellMar>
          <w:left w:w="0" w:type="dxa"/>
          <w:right w:w="0" w:type="dxa"/>
        </w:tblCellMar>
        <w:tblLook w:val="04A0" w:firstRow="1" w:lastRow="0" w:firstColumn="1" w:lastColumn="0" w:noHBand="0" w:noVBand="1"/>
      </w:tblPr>
      <w:tblGrid>
        <w:gridCol w:w="2653"/>
        <w:gridCol w:w="59"/>
        <w:gridCol w:w="1856"/>
        <w:gridCol w:w="59"/>
        <w:gridCol w:w="1858"/>
        <w:gridCol w:w="60"/>
        <w:gridCol w:w="2652"/>
      </w:tblGrid>
      <w:tr w:rsidR="00BA17C1" w:rsidRPr="0013526B" w14:paraId="0E25EE99" w14:textId="77777777" w:rsidTr="00284CA5">
        <w:tc>
          <w:tcPr>
            <w:tcW w:w="2653" w:type="dxa"/>
            <w:shd w:val="clear" w:color="auto" w:fill="auto"/>
            <w:vAlign w:val="bottom"/>
          </w:tcPr>
          <w:p w14:paraId="4D543A77" w14:textId="0E061C66" w:rsidR="00F16A86" w:rsidRPr="002F7A56" w:rsidRDefault="00F16A86" w:rsidP="00B06D55">
            <w:pPr>
              <w:jc w:val="center"/>
              <w:rPr>
                <w:b/>
                <w:bCs w:val="0"/>
                <w:i/>
                <w:iCs/>
                <w:sz w:val="18"/>
                <w:szCs w:val="18"/>
              </w:rPr>
            </w:pPr>
          </w:p>
        </w:tc>
        <w:tc>
          <w:tcPr>
            <w:tcW w:w="59" w:type="dxa"/>
          </w:tcPr>
          <w:p w14:paraId="3483316B" w14:textId="77777777" w:rsidR="00F16A86" w:rsidRPr="0013526B" w:rsidRDefault="00F16A86" w:rsidP="00B06D55">
            <w:pPr>
              <w:jc w:val="center"/>
              <w:rPr>
                <w:b/>
                <w:sz w:val="18"/>
                <w:szCs w:val="18"/>
              </w:rPr>
            </w:pPr>
          </w:p>
        </w:tc>
        <w:tc>
          <w:tcPr>
            <w:tcW w:w="1856" w:type="dxa"/>
            <w:tcBorders>
              <w:bottom w:val="single" w:sz="4" w:space="0" w:color="auto"/>
            </w:tcBorders>
          </w:tcPr>
          <w:p w14:paraId="2974FDBF" w14:textId="77777777" w:rsidR="0068130A" w:rsidRPr="008109D0" w:rsidRDefault="00610909" w:rsidP="00610909">
            <w:pPr>
              <w:jc w:val="center"/>
              <w:rPr>
                <w:b/>
                <w:sz w:val="18"/>
                <w:szCs w:val="18"/>
              </w:rPr>
            </w:pPr>
            <w:r w:rsidRPr="008109D0">
              <w:rPr>
                <w:b/>
                <w:sz w:val="18"/>
                <w:szCs w:val="18"/>
              </w:rPr>
              <w:t>31 Maret/</w:t>
            </w:r>
          </w:p>
          <w:p w14:paraId="7464FF23" w14:textId="256E7558" w:rsidR="00F16A86" w:rsidRPr="008109D0" w:rsidRDefault="00610909" w:rsidP="0068130A">
            <w:pPr>
              <w:jc w:val="center"/>
              <w:rPr>
                <w:b/>
                <w:sz w:val="18"/>
                <w:szCs w:val="18"/>
              </w:rPr>
            </w:pPr>
            <w:r w:rsidRPr="008109D0">
              <w:rPr>
                <w:b/>
                <w:sz w:val="18"/>
                <w:szCs w:val="18"/>
              </w:rPr>
              <w:t>March 31</w:t>
            </w:r>
            <w:r w:rsidR="00305CA0">
              <w:rPr>
                <w:b/>
                <w:sz w:val="18"/>
                <w:szCs w:val="18"/>
              </w:rPr>
              <w:t>.</w:t>
            </w:r>
            <w:r w:rsidRPr="008109D0">
              <w:rPr>
                <w:b/>
                <w:sz w:val="18"/>
                <w:szCs w:val="18"/>
              </w:rPr>
              <w:t xml:space="preserve">  </w:t>
            </w:r>
            <w:r w:rsidR="00F16A86" w:rsidRPr="008109D0">
              <w:rPr>
                <w:b/>
                <w:sz w:val="18"/>
                <w:szCs w:val="18"/>
              </w:rPr>
              <w:t>20</w:t>
            </w:r>
            <w:r w:rsidRPr="008109D0">
              <w:rPr>
                <w:b/>
                <w:sz w:val="18"/>
                <w:szCs w:val="18"/>
              </w:rPr>
              <w:t>20</w:t>
            </w:r>
          </w:p>
        </w:tc>
        <w:tc>
          <w:tcPr>
            <w:tcW w:w="59" w:type="dxa"/>
            <w:shd w:val="clear" w:color="auto" w:fill="auto"/>
            <w:vAlign w:val="bottom"/>
          </w:tcPr>
          <w:p w14:paraId="3353BED3" w14:textId="079B85B4" w:rsidR="00F16A86" w:rsidRPr="0013526B" w:rsidRDefault="00F16A86" w:rsidP="00B06D55">
            <w:pPr>
              <w:jc w:val="center"/>
              <w:rPr>
                <w:b/>
                <w:sz w:val="18"/>
                <w:szCs w:val="18"/>
              </w:rPr>
            </w:pPr>
          </w:p>
        </w:tc>
        <w:tc>
          <w:tcPr>
            <w:tcW w:w="1858" w:type="dxa"/>
            <w:tcBorders>
              <w:bottom w:val="single" w:sz="4" w:space="0" w:color="auto"/>
            </w:tcBorders>
            <w:shd w:val="clear" w:color="auto" w:fill="auto"/>
            <w:vAlign w:val="bottom"/>
          </w:tcPr>
          <w:p w14:paraId="724F0549" w14:textId="0AC767BF" w:rsidR="00F16A86" w:rsidRPr="00F16A86" w:rsidRDefault="000177DA" w:rsidP="0068130A">
            <w:pPr>
              <w:jc w:val="center"/>
              <w:rPr>
                <w:b/>
                <w:sz w:val="18"/>
                <w:szCs w:val="18"/>
              </w:rPr>
            </w:pPr>
            <w:r>
              <w:rPr>
                <w:b/>
                <w:sz w:val="18"/>
                <w:szCs w:val="18"/>
              </w:rPr>
              <w:t xml:space="preserve">31 Desember/ </w:t>
            </w:r>
            <w:r w:rsidR="00610909">
              <w:rPr>
                <w:b/>
                <w:sz w:val="18"/>
                <w:szCs w:val="18"/>
              </w:rPr>
              <w:t>December 31</w:t>
            </w:r>
            <w:r w:rsidR="00305CA0">
              <w:rPr>
                <w:b/>
                <w:sz w:val="18"/>
                <w:szCs w:val="18"/>
              </w:rPr>
              <w:t>.</w:t>
            </w:r>
            <w:r w:rsidR="00610909">
              <w:rPr>
                <w:b/>
                <w:sz w:val="18"/>
                <w:szCs w:val="18"/>
              </w:rPr>
              <w:t xml:space="preserve"> </w:t>
            </w:r>
            <w:r w:rsidR="00F16A86" w:rsidRPr="00F16A86">
              <w:rPr>
                <w:b/>
                <w:sz w:val="18"/>
                <w:szCs w:val="18"/>
              </w:rPr>
              <w:t>201</w:t>
            </w:r>
            <w:r w:rsidR="00610909">
              <w:rPr>
                <w:b/>
                <w:sz w:val="18"/>
                <w:szCs w:val="18"/>
              </w:rPr>
              <w:t>9</w:t>
            </w:r>
          </w:p>
        </w:tc>
        <w:tc>
          <w:tcPr>
            <w:tcW w:w="60" w:type="dxa"/>
            <w:vAlign w:val="bottom"/>
          </w:tcPr>
          <w:p w14:paraId="5C8AAADE" w14:textId="77777777" w:rsidR="00F16A86" w:rsidRPr="0013526B" w:rsidRDefault="00F16A86" w:rsidP="00B06D55">
            <w:pPr>
              <w:jc w:val="center"/>
              <w:rPr>
                <w:b/>
                <w:sz w:val="18"/>
                <w:szCs w:val="18"/>
              </w:rPr>
            </w:pPr>
          </w:p>
        </w:tc>
        <w:tc>
          <w:tcPr>
            <w:tcW w:w="2652" w:type="dxa"/>
            <w:shd w:val="clear" w:color="auto" w:fill="auto"/>
            <w:vAlign w:val="bottom"/>
          </w:tcPr>
          <w:p w14:paraId="5257D226" w14:textId="7DF1B2DE" w:rsidR="00F16A86" w:rsidRPr="002F7A56" w:rsidRDefault="00F16A86" w:rsidP="00B06D55">
            <w:pPr>
              <w:jc w:val="center"/>
              <w:rPr>
                <w:b/>
                <w:bCs w:val="0"/>
                <w:i/>
                <w:iCs/>
                <w:sz w:val="18"/>
                <w:szCs w:val="18"/>
              </w:rPr>
            </w:pPr>
          </w:p>
        </w:tc>
      </w:tr>
      <w:tr w:rsidR="00BA17C1" w:rsidRPr="0013526B" w14:paraId="4E1852AF" w14:textId="77777777" w:rsidTr="00284CA5">
        <w:tc>
          <w:tcPr>
            <w:tcW w:w="2653" w:type="dxa"/>
            <w:shd w:val="clear" w:color="auto" w:fill="auto"/>
          </w:tcPr>
          <w:p w14:paraId="603F218C" w14:textId="77777777" w:rsidR="00F16A86" w:rsidRPr="00065C68" w:rsidRDefault="00F16A86" w:rsidP="00B06D55">
            <w:pPr>
              <w:jc w:val="center"/>
              <w:rPr>
                <w:sz w:val="16"/>
                <w:szCs w:val="18"/>
              </w:rPr>
            </w:pPr>
          </w:p>
        </w:tc>
        <w:tc>
          <w:tcPr>
            <w:tcW w:w="59" w:type="dxa"/>
          </w:tcPr>
          <w:p w14:paraId="61EDDB78" w14:textId="77777777" w:rsidR="00F16A86" w:rsidRPr="00065C68" w:rsidRDefault="00F16A86" w:rsidP="00B06D55">
            <w:pPr>
              <w:jc w:val="center"/>
              <w:rPr>
                <w:b/>
                <w:sz w:val="16"/>
                <w:szCs w:val="18"/>
              </w:rPr>
            </w:pPr>
          </w:p>
        </w:tc>
        <w:tc>
          <w:tcPr>
            <w:tcW w:w="1856" w:type="dxa"/>
            <w:tcBorders>
              <w:top w:val="single" w:sz="4" w:space="0" w:color="auto"/>
            </w:tcBorders>
          </w:tcPr>
          <w:p w14:paraId="59DBCE65" w14:textId="280BA60C" w:rsidR="00F16A86" w:rsidRPr="008109D0" w:rsidRDefault="00F16A86" w:rsidP="00B06D55">
            <w:pPr>
              <w:jc w:val="center"/>
              <w:rPr>
                <w:b/>
                <w:sz w:val="16"/>
                <w:szCs w:val="18"/>
              </w:rPr>
            </w:pPr>
          </w:p>
        </w:tc>
        <w:tc>
          <w:tcPr>
            <w:tcW w:w="59" w:type="dxa"/>
            <w:shd w:val="clear" w:color="auto" w:fill="auto"/>
          </w:tcPr>
          <w:p w14:paraId="70F6DA03" w14:textId="619CDD1F" w:rsidR="00F16A86" w:rsidRPr="00065C68" w:rsidRDefault="00F16A86" w:rsidP="00B06D55">
            <w:pPr>
              <w:jc w:val="center"/>
              <w:rPr>
                <w:b/>
                <w:sz w:val="16"/>
                <w:szCs w:val="18"/>
              </w:rPr>
            </w:pPr>
          </w:p>
        </w:tc>
        <w:tc>
          <w:tcPr>
            <w:tcW w:w="1858" w:type="dxa"/>
            <w:tcBorders>
              <w:top w:val="single" w:sz="4" w:space="0" w:color="auto"/>
            </w:tcBorders>
            <w:shd w:val="clear" w:color="auto" w:fill="auto"/>
          </w:tcPr>
          <w:p w14:paraId="4916A358" w14:textId="77777777" w:rsidR="00F16A86" w:rsidRPr="00065C68" w:rsidRDefault="00F16A86" w:rsidP="00B06D55">
            <w:pPr>
              <w:jc w:val="center"/>
              <w:rPr>
                <w:b/>
                <w:sz w:val="16"/>
                <w:szCs w:val="18"/>
              </w:rPr>
            </w:pPr>
          </w:p>
        </w:tc>
        <w:tc>
          <w:tcPr>
            <w:tcW w:w="60" w:type="dxa"/>
          </w:tcPr>
          <w:p w14:paraId="0485435C" w14:textId="77777777" w:rsidR="00F16A86" w:rsidRPr="00065C68" w:rsidRDefault="00F16A86" w:rsidP="00B06D55">
            <w:pPr>
              <w:jc w:val="center"/>
              <w:rPr>
                <w:b/>
                <w:sz w:val="16"/>
                <w:szCs w:val="18"/>
              </w:rPr>
            </w:pPr>
          </w:p>
        </w:tc>
        <w:tc>
          <w:tcPr>
            <w:tcW w:w="2652" w:type="dxa"/>
            <w:shd w:val="clear" w:color="auto" w:fill="auto"/>
          </w:tcPr>
          <w:p w14:paraId="0775D27A" w14:textId="77777777" w:rsidR="00F16A86" w:rsidRPr="00065C68" w:rsidRDefault="00F16A86" w:rsidP="00B06D55">
            <w:pPr>
              <w:jc w:val="center"/>
              <w:rPr>
                <w:sz w:val="16"/>
                <w:szCs w:val="18"/>
              </w:rPr>
            </w:pPr>
          </w:p>
        </w:tc>
      </w:tr>
      <w:tr w:rsidR="00BA17C1" w:rsidRPr="00EC0164" w14:paraId="400009EA" w14:textId="77777777" w:rsidTr="00284CA5">
        <w:trPr>
          <w:trHeight w:val="249"/>
        </w:trPr>
        <w:tc>
          <w:tcPr>
            <w:tcW w:w="2653" w:type="dxa"/>
            <w:shd w:val="clear" w:color="auto" w:fill="auto"/>
            <w:vAlign w:val="bottom"/>
          </w:tcPr>
          <w:p w14:paraId="1628DE8A" w14:textId="0BB3D228" w:rsidR="00F16A86" w:rsidRPr="00F16A86" w:rsidRDefault="00F16A86" w:rsidP="007D62AC">
            <w:pPr>
              <w:ind w:left="559"/>
              <w:rPr>
                <w:b/>
                <w:bCs w:val="0"/>
                <w:sz w:val="18"/>
                <w:szCs w:val="18"/>
              </w:rPr>
            </w:pPr>
            <w:r>
              <w:rPr>
                <w:b/>
                <w:bCs w:val="0"/>
                <w:sz w:val="18"/>
                <w:szCs w:val="18"/>
              </w:rPr>
              <w:t>Aset</w:t>
            </w:r>
          </w:p>
        </w:tc>
        <w:tc>
          <w:tcPr>
            <w:tcW w:w="59" w:type="dxa"/>
          </w:tcPr>
          <w:p w14:paraId="713B6FFF" w14:textId="77777777" w:rsidR="00F16A86" w:rsidRPr="00C8472B" w:rsidRDefault="00F16A86" w:rsidP="00B06D55">
            <w:pPr>
              <w:ind w:right="57"/>
              <w:jc w:val="center"/>
              <w:rPr>
                <w:sz w:val="18"/>
                <w:szCs w:val="18"/>
              </w:rPr>
            </w:pPr>
          </w:p>
        </w:tc>
        <w:tc>
          <w:tcPr>
            <w:tcW w:w="1856" w:type="dxa"/>
          </w:tcPr>
          <w:p w14:paraId="22A09A1B" w14:textId="7D0984E0" w:rsidR="00F16A86" w:rsidRPr="00AA50B8" w:rsidRDefault="00F16A86" w:rsidP="00B06D55">
            <w:pPr>
              <w:ind w:right="57"/>
              <w:jc w:val="center"/>
              <w:rPr>
                <w:sz w:val="18"/>
                <w:szCs w:val="18"/>
                <w:highlight w:val="yellow"/>
              </w:rPr>
            </w:pPr>
          </w:p>
        </w:tc>
        <w:tc>
          <w:tcPr>
            <w:tcW w:w="59" w:type="dxa"/>
            <w:shd w:val="clear" w:color="auto" w:fill="auto"/>
            <w:vAlign w:val="bottom"/>
          </w:tcPr>
          <w:p w14:paraId="38EE1B3E" w14:textId="6089D441" w:rsidR="00F16A86" w:rsidRPr="00C8472B" w:rsidRDefault="00F16A86" w:rsidP="00B06D55">
            <w:pPr>
              <w:ind w:right="57"/>
              <w:jc w:val="center"/>
              <w:rPr>
                <w:sz w:val="18"/>
                <w:szCs w:val="18"/>
              </w:rPr>
            </w:pPr>
          </w:p>
        </w:tc>
        <w:tc>
          <w:tcPr>
            <w:tcW w:w="1858" w:type="dxa"/>
            <w:shd w:val="clear" w:color="auto" w:fill="auto"/>
            <w:vAlign w:val="bottom"/>
          </w:tcPr>
          <w:p w14:paraId="2197DB76" w14:textId="14299865" w:rsidR="00F16A86" w:rsidRPr="00C8472B" w:rsidRDefault="00F16A86" w:rsidP="0082756C">
            <w:pPr>
              <w:ind w:right="57"/>
              <w:jc w:val="right"/>
              <w:rPr>
                <w:sz w:val="18"/>
                <w:szCs w:val="18"/>
              </w:rPr>
            </w:pPr>
          </w:p>
        </w:tc>
        <w:tc>
          <w:tcPr>
            <w:tcW w:w="60" w:type="dxa"/>
          </w:tcPr>
          <w:p w14:paraId="59CB11B6" w14:textId="77777777" w:rsidR="00F16A86" w:rsidRPr="00C8472B" w:rsidRDefault="00F16A86" w:rsidP="00B06D55">
            <w:pPr>
              <w:ind w:right="57"/>
              <w:jc w:val="center"/>
              <w:rPr>
                <w:sz w:val="18"/>
                <w:szCs w:val="18"/>
              </w:rPr>
            </w:pPr>
          </w:p>
        </w:tc>
        <w:tc>
          <w:tcPr>
            <w:tcW w:w="2652" w:type="dxa"/>
            <w:shd w:val="clear" w:color="auto" w:fill="auto"/>
            <w:vAlign w:val="bottom"/>
          </w:tcPr>
          <w:p w14:paraId="09D4B3BD" w14:textId="04EB9A9C" w:rsidR="00F16A86" w:rsidRPr="0082756C" w:rsidRDefault="0082756C" w:rsidP="00BA17C1">
            <w:pPr>
              <w:ind w:right="113"/>
              <w:jc w:val="right"/>
              <w:rPr>
                <w:b/>
                <w:bCs w:val="0"/>
                <w:i/>
                <w:sz w:val="18"/>
                <w:szCs w:val="18"/>
              </w:rPr>
            </w:pPr>
            <w:r>
              <w:rPr>
                <w:b/>
                <w:bCs w:val="0"/>
                <w:i/>
                <w:sz w:val="18"/>
                <w:szCs w:val="18"/>
              </w:rPr>
              <w:t xml:space="preserve">Assets </w:t>
            </w:r>
          </w:p>
        </w:tc>
      </w:tr>
      <w:tr w:rsidR="00BA17C1" w:rsidRPr="00EC0164" w14:paraId="01337A07" w14:textId="77777777" w:rsidTr="00284CA5">
        <w:trPr>
          <w:trHeight w:val="249"/>
        </w:trPr>
        <w:tc>
          <w:tcPr>
            <w:tcW w:w="2653" w:type="dxa"/>
            <w:shd w:val="clear" w:color="auto" w:fill="auto"/>
            <w:vAlign w:val="bottom"/>
          </w:tcPr>
          <w:p w14:paraId="5C892EF2" w14:textId="57E3056E" w:rsidR="00F16A86" w:rsidRPr="00C8472B" w:rsidRDefault="00F16A86" w:rsidP="007D62AC">
            <w:pPr>
              <w:ind w:left="559"/>
              <w:rPr>
                <w:sz w:val="18"/>
                <w:szCs w:val="18"/>
              </w:rPr>
            </w:pPr>
            <w:r>
              <w:rPr>
                <w:sz w:val="18"/>
                <w:szCs w:val="18"/>
              </w:rPr>
              <w:t>Kas dan setara kas</w:t>
            </w:r>
          </w:p>
        </w:tc>
        <w:tc>
          <w:tcPr>
            <w:tcW w:w="59" w:type="dxa"/>
          </w:tcPr>
          <w:p w14:paraId="2D667183" w14:textId="77777777" w:rsidR="00F16A86" w:rsidRPr="00C8472B" w:rsidRDefault="00F16A86" w:rsidP="00B06D55">
            <w:pPr>
              <w:ind w:right="57"/>
              <w:jc w:val="center"/>
              <w:rPr>
                <w:sz w:val="18"/>
                <w:szCs w:val="18"/>
              </w:rPr>
            </w:pPr>
          </w:p>
        </w:tc>
        <w:tc>
          <w:tcPr>
            <w:tcW w:w="1856" w:type="dxa"/>
          </w:tcPr>
          <w:p w14:paraId="174BCCEC" w14:textId="104475C3" w:rsidR="00F16A86" w:rsidRPr="00AA50B8" w:rsidRDefault="00F16A86" w:rsidP="00B06D55">
            <w:pPr>
              <w:ind w:right="57"/>
              <w:jc w:val="center"/>
              <w:rPr>
                <w:sz w:val="18"/>
                <w:szCs w:val="18"/>
                <w:highlight w:val="yellow"/>
              </w:rPr>
            </w:pPr>
          </w:p>
        </w:tc>
        <w:tc>
          <w:tcPr>
            <w:tcW w:w="59" w:type="dxa"/>
            <w:shd w:val="clear" w:color="auto" w:fill="auto"/>
            <w:vAlign w:val="bottom"/>
          </w:tcPr>
          <w:p w14:paraId="15DAEB0F" w14:textId="0644C525" w:rsidR="00F16A86" w:rsidRPr="00C8472B" w:rsidRDefault="00F16A86" w:rsidP="00B06D55">
            <w:pPr>
              <w:ind w:right="57"/>
              <w:jc w:val="center"/>
              <w:rPr>
                <w:sz w:val="18"/>
                <w:szCs w:val="18"/>
              </w:rPr>
            </w:pPr>
          </w:p>
        </w:tc>
        <w:tc>
          <w:tcPr>
            <w:tcW w:w="1858" w:type="dxa"/>
            <w:shd w:val="clear" w:color="auto" w:fill="auto"/>
            <w:vAlign w:val="bottom"/>
          </w:tcPr>
          <w:p w14:paraId="0A785C92" w14:textId="77777777" w:rsidR="00F16A86" w:rsidRPr="0082756C" w:rsidRDefault="00F16A86" w:rsidP="0082756C">
            <w:pPr>
              <w:ind w:right="57"/>
              <w:jc w:val="right"/>
              <w:rPr>
                <w:sz w:val="18"/>
                <w:szCs w:val="18"/>
              </w:rPr>
            </w:pPr>
          </w:p>
        </w:tc>
        <w:tc>
          <w:tcPr>
            <w:tcW w:w="60" w:type="dxa"/>
          </w:tcPr>
          <w:p w14:paraId="4683F068" w14:textId="77777777" w:rsidR="00F16A86" w:rsidRPr="00C8472B" w:rsidRDefault="00F16A86" w:rsidP="00B06D55">
            <w:pPr>
              <w:ind w:right="57"/>
              <w:jc w:val="center"/>
              <w:rPr>
                <w:sz w:val="18"/>
                <w:szCs w:val="18"/>
              </w:rPr>
            </w:pPr>
          </w:p>
        </w:tc>
        <w:tc>
          <w:tcPr>
            <w:tcW w:w="2652" w:type="dxa"/>
            <w:shd w:val="clear" w:color="auto" w:fill="auto"/>
            <w:vAlign w:val="bottom"/>
          </w:tcPr>
          <w:p w14:paraId="4EAA956E" w14:textId="57816927" w:rsidR="00F16A86" w:rsidRPr="00C8472B" w:rsidRDefault="000177DA" w:rsidP="00BA17C1">
            <w:pPr>
              <w:ind w:right="113"/>
              <w:jc w:val="right"/>
              <w:rPr>
                <w:i/>
                <w:sz w:val="18"/>
                <w:szCs w:val="18"/>
              </w:rPr>
            </w:pPr>
            <w:r>
              <w:rPr>
                <w:i/>
                <w:sz w:val="18"/>
                <w:szCs w:val="18"/>
              </w:rPr>
              <w:t>C</w:t>
            </w:r>
            <w:r w:rsidR="00BA17C1" w:rsidRPr="0013526B">
              <w:rPr>
                <w:i/>
                <w:sz w:val="18"/>
                <w:szCs w:val="18"/>
              </w:rPr>
              <w:t>ash and cash equivalents</w:t>
            </w:r>
          </w:p>
        </w:tc>
      </w:tr>
      <w:tr w:rsidR="00610909" w:rsidRPr="00EC0164" w14:paraId="46C76DD9" w14:textId="77777777" w:rsidTr="00284CA5">
        <w:trPr>
          <w:trHeight w:val="249"/>
        </w:trPr>
        <w:tc>
          <w:tcPr>
            <w:tcW w:w="2653" w:type="dxa"/>
            <w:shd w:val="clear" w:color="auto" w:fill="auto"/>
            <w:vAlign w:val="bottom"/>
          </w:tcPr>
          <w:p w14:paraId="0A8E8BBE" w14:textId="77777777" w:rsidR="00610909" w:rsidRDefault="00610909" w:rsidP="00610909">
            <w:pPr>
              <w:ind w:left="559"/>
              <w:rPr>
                <w:sz w:val="18"/>
                <w:szCs w:val="18"/>
              </w:rPr>
            </w:pPr>
            <w:r>
              <w:rPr>
                <w:sz w:val="18"/>
                <w:szCs w:val="18"/>
              </w:rPr>
              <w:t xml:space="preserve">   PT Bank Mayapada</w:t>
            </w:r>
          </w:p>
          <w:p w14:paraId="2EDD0296" w14:textId="10B85481" w:rsidR="00610909" w:rsidRPr="00C8472B" w:rsidRDefault="00610909" w:rsidP="00610909">
            <w:pPr>
              <w:ind w:left="769"/>
              <w:rPr>
                <w:sz w:val="18"/>
                <w:szCs w:val="18"/>
              </w:rPr>
            </w:pPr>
            <w:r>
              <w:rPr>
                <w:sz w:val="18"/>
                <w:szCs w:val="18"/>
              </w:rPr>
              <w:t>Internasional Tbk</w:t>
            </w:r>
          </w:p>
        </w:tc>
        <w:tc>
          <w:tcPr>
            <w:tcW w:w="59" w:type="dxa"/>
          </w:tcPr>
          <w:p w14:paraId="5DCB5859" w14:textId="77777777" w:rsidR="00610909" w:rsidRPr="00C8472B" w:rsidRDefault="00610909" w:rsidP="00610909">
            <w:pPr>
              <w:ind w:right="57"/>
              <w:jc w:val="center"/>
              <w:rPr>
                <w:sz w:val="18"/>
                <w:szCs w:val="18"/>
              </w:rPr>
            </w:pPr>
          </w:p>
        </w:tc>
        <w:tc>
          <w:tcPr>
            <w:tcW w:w="1856" w:type="dxa"/>
            <w:vAlign w:val="bottom"/>
          </w:tcPr>
          <w:p w14:paraId="152FBFC3" w14:textId="24BCD944" w:rsidR="00610909" w:rsidRPr="00FF40BD" w:rsidRDefault="00270C8D" w:rsidP="00610909">
            <w:pPr>
              <w:ind w:right="57"/>
              <w:jc w:val="right"/>
              <w:rPr>
                <w:sz w:val="18"/>
                <w:szCs w:val="18"/>
              </w:rPr>
            </w:pPr>
            <w:r w:rsidRPr="00FF40BD">
              <w:rPr>
                <w:sz w:val="18"/>
                <w:szCs w:val="18"/>
              </w:rPr>
              <w:t>182.287.792.701</w:t>
            </w:r>
          </w:p>
        </w:tc>
        <w:tc>
          <w:tcPr>
            <w:tcW w:w="59" w:type="dxa"/>
            <w:shd w:val="clear" w:color="auto" w:fill="auto"/>
            <w:vAlign w:val="bottom"/>
          </w:tcPr>
          <w:p w14:paraId="6FB8F621" w14:textId="52014137" w:rsidR="00610909" w:rsidRPr="00C8472B" w:rsidRDefault="00610909" w:rsidP="00610909">
            <w:pPr>
              <w:ind w:right="57"/>
              <w:jc w:val="center"/>
              <w:rPr>
                <w:sz w:val="18"/>
                <w:szCs w:val="18"/>
              </w:rPr>
            </w:pPr>
          </w:p>
        </w:tc>
        <w:tc>
          <w:tcPr>
            <w:tcW w:w="1858" w:type="dxa"/>
            <w:shd w:val="clear" w:color="auto" w:fill="auto"/>
            <w:vAlign w:val="bottom"/>
          </w:tcPr>
          <w:p w14:paraId="67023030" w14:textId="168A4992" w:rsidR="00610909" w:rsidRPr="0082756C" w:rsidRDefault="00610909" w:rsidP="00610909">
            <w:pPr>
              <w:ind w:right="57"/>
              <w:jc w:val="right"/>
              <w:rPr>
                <w:sz w:val="18"/>
                <w:szCs w:val="18"/>
              </w:rPr>
            </w:pPr>
            <w:r>
              <w:rPr>
                <w:sz w:val="18"/>
                <w:szCs w:val="18"/>
              </w:rPr>
              <w:t>196.564.460.128</w:t>
            </w:r>
          </w:p>
        </w:tc>
        <w:tc>
          <w:tcPr>
            <w:tcW w:w="60" w:type="dxa"/>
          </w:tcPr>
          <w:p w14:paraId="59FF87CA" w14:textId="77777777" w:rsidR="00610909" w:rsidRPr="00C8472B" w:rsidRDefault="00610909" w:rsidP="00610909">
            <w:pPr>
              <w:ind w:right="57"/>
              <w:jc w:val="center"/>
              <w:rPr>
                <w:sz w:val="18"/>
                <w:szCs w:val="18"/>
              </w:rPr>
            </w:pPr>
          </w:p>
        </w:tc>
        <w:tc>
          <w:tcPr>
            <w:tcW w:w="2652" w:type="dxa"/>
            <w:shd w:val="clear" w:color="auto" w:fill="auto"/>
            <w:vAlign w:val="bottom"/>
          </w:tcPr>
          <w:p w14:paraId="3222BAC3" w14:textId="77777777" w:rsidR="00610909" w:rsidRDefault="00610909" w:rsidP="00610909">
            <w:pPr>
              <w:ind w:right="227"/>
              <w:jc w:val="right"/>
              <w:rPr>
                <w:i/>
                <w:sz w:val="18"/>
                <w:szCs w:val="18"/>
              </w:rPr>
            </w:pPr>
            <w:r w:rsidRPr="0013526B">
              <w:rPr>
                <w:i/>
                <w:sz w:val="18"/>
                <w:szCs w:val="18"/>
              </w:rPr>
              <w:t>PT Bank Ma</w:t>
            </w:r>
            <w:r>
              <w:rPr>
                <w:i/>
                <w:sz w:val="18"/>
                <w:szCs w:val="18"/>
              </w:rPr>
              <w:t>yapada</w:t>
            </w:r>
          </w:p>
          <w:p w14:paraId="6A57D65C" w14:textId="343A0D73" w:rsidR="00610909" w:rsidRPr="002F7A56" w:rsidRDefault="00610909" w:rsidP="00610909">
            <w:pPr>
              <w:ind w:right="454"/>
              <w:jc w:val="right"/>
              <w:rPr>
                <w:i/>
                <w:sz w:val="18"/>
                <w:szCs w:val="18"/>
              </w:rPr>
            </w:pPr>
            <w:r>
              <w:rPr>
                <w:i/>
                <w:sz w:val="18"/>
                <w:szCs w:val="18"/>
              </w:rPr>
              <w:t xml:space="preserve">International </w:t>
            </w:r>
            <w:r w:rsidRPr="0013526B">
              <w:rPr>
                <w:i/>
                <w:sz w:val="18"/>
                <w:szCs w:val="18"/>
              </w:rPr>
              <w:t>Tbk</w:t>
            </w:r>
          </w:p>
        </w:tc>
      </w:tr>
      <w:tr w:rsidR="00610909" w:rsidRPr="00EC0164" w14:paraId="490B61F1" w14:textId="77777777" w:rsidTr="00D04295">
        <w:tc>
          <w:tcPr>
            <w:tcW w:w="2653" w:type="dxa"/>
            <w:shd w:val="clear" w:color="auto" w:fill="auto"/>
          </w:tcPr>
          <w:p w14:paraId="6BCE0348" w14:textId="28FC3A25" w:rsidR="00610909" w:rsidRPr="00C8472B" w:rsidRDefault="00610909" w:rsidP="00610909">
            <w:pPr>
              <w:ind w:left="559"/>
              <w:rPr>
                <w:sz w:val="18"/>
                <w:szCs w:val="18"/>
              </w:rPr>
            </w:pPr>
            <w:r>
              <w:rPr>
                <w:sz w:val="18"/>
                <w:szCs w:val="18"/>
              </w:rPr>
              <w:t xml:space="preserve">Piutang usaha </w:t>
            </w:r>
          </w:p>
        </w:tc>
        <w:tc>
          <w:tcPr>
            <w:tcW w:w="59" w:type="dxa"/>
          </w:tcPr>
          <w:p w14:paraId="44BE417E" w14:textId="77777777" w:rsidR="00610909" w:rsidRPr="00C8472B" w:rsidRDefault="00610909" w:rsidP="00610909">
            <w:pPr>
              <w:ind w:right="57"/>
              <w:jc w:val="center"/>
              <w:rPr>
                <w:sz w:val="18"/>
                <w:szCs w:val="18"/>
              </w:rPr>
            </w:pPr>
          </w:p>
        </w:tc>
        <w:tc>
          <w:tcPr>
            <w:tcW w:w="1856" w:type="dxa"/>
          </w:tcPr>
          <w:p w14:paraId="179EF3CC" w14:textId="5D093189" w:rsidR="00610909" w:rsidRPr="00FF40BD" w:rsidRDefault="00610909" w:rsidP="00610909">
            <w:pPr>
              <w:ind w:right="57"/>
              <w:jc w:val="center"/>
              <w:rPr>
                <w:sz w:val="18"/>
                <w:szCs w:val="18"/>
              </w:rPr>
            </w:pPr>
          </w:p>
        </w:tc>
        <w:tc>
          <w:tcPr>
            <w:tcW w:w="59" w:type="dxa"/>
            <w:shd w:val="clear" w:color="auto" w:fill="auto"/>
            <w:vAlign w:val="bottom"/>
          </w:tcPr>
          <w:p w14:paraId="5960DF1C" w14:textId="63DC5B14" w:rsidR="00610909" w:rsidRPr="00C8472B" w:rsidRDefault="00610909" w:rsidP="00610909">
            <w:pPr>
              <w:ind w:right="57"/>
              <w:jc w:val="center"/>
              <w:rPr>
                <w:sz w:val="18"/>
                <w:szCs w:val="18"/>
              </w:rPr>
            </w:pPr>
          </w:p>
        </w:tc>
        <w:tc>
          <w:tcPr>
            <w:tcW w:w="1858" w:type="dxa"/>
            <w:shd w:val="clear" w:color="auto" w:fill="auto"/>
          </w:tcPr>
          <w:p w14:paraId="745C1C0C" w14:textId="77777777" w:rsidR="00610909" w:rsidRPr="0082756C" w:rsidRDefault="00610909" w:rsidP="00610909">
            <w:pPr>
              <w:ind w:right="57"/>
              <w:jc w:val="right"/>
              <w:rPr>
                <w:sz w:val="18"/>
                <w:szCs w:val="18"/>
              </w:rPr>
            </w:pPr>
          </w:p>
        </w:tc>
        <w:tc>
          <w:tcPr>
            <w:tcW w:w="60" w:type="dxa"/>
          </w:tcPr>
          <w:p w14:paraId="0CACE143" w14:textId="77777777" w:rsidR="00610909" w:rsidRPr="00C8472B" w:rsidRDefault="00610909" w:rsidP="00610909">
            <w:pPr>
              <w:ind w:right="57"/>
              <w:jc w:val="center"/>
              <w:rPr>
                <w:sz w:val="18"/>
                <w:szCs w:val="18"/>
              </w:rPr>
            </w:pPr>
          </w:p>
        </w:tc>
        <w:tc>
          <w:tcPr>
            <w:tcW w:w="2652" w:type="dxa"/>
            <w:shd w:val="clear" w:color="auto" w:fill="auto"/>
          </w:tcPr>
          <w:p w14:paraId="5F4A8634" w14:textId="21E430BE" w:rsidR="00610909" w:rsidRPr="00C8472B" w:rsidRDefault="00610909" w:rsidP="00610909">
            <w:pPr>
              <w:ind w:right="113"/>
              <w:jc w:val="right"/>
              <w:rPr>
                <w:i/>
                <w:sz w:val="18"/>
                <w:szCs w:val="18"/>
              </w:rPr>
            </w:pPr>
            <w:r>
              <w:rPr>
                <w:i/>
                <w:sz w:val="18"/>
                <w:szCs w:val="18"/>
              </w:rPr>
              <w:t>Trade receivables</w:t>
            </w:r>
          </w:p>
        </w:tc>
      </w:tr>
      <w:tr w:rsidR="00610909" w:rsidRPr="002F7A56" w14:paraId="25A4CCFE" w14:textId="77777777" w:rsidTr="00284CA5">
        <w:tc>
          <w:tcPr>
            <w:tcW w:w="2653" w:type="dxa"/>
            <w:shd w:val="clear" w:color="auto" w:fill="auto"/>
          </w:tcPr>
          <w:p w14:paraId="54B9275A" w14:textId="020980EE" w:rsidR="00610909" w:rsidRPr="002F7A56" w:rsidRDefault="00610909" w:rsidP="00610909">
            <w:pPr>
              <w:ind w:left="559"/>
              <w:rPr>
                <w:sz w:val="18"/>
                <w:szCs w:val="18"/>
              </w:rPr>
            </w:pPr>
            <w:r>
              <w:rPr>
                <w:sz w:val="18"/>
                <w:szCs w:val="18"/>
              </w:rPr>
              <w:t xml:space="preserve">   Tahir Foundation</w:t>
            </w:r>
          </w:p>
        </w:tc>
        <w:tc>
          <w:tcPr>
            <w:tcW w:w="59" w:type="dxa"/>
          </w:tcPr>
          <w:p w14:paraId="17448DCF" w14:textId="77777777" w:rsidR="00610909" w:rsidRPr="002F7A56" w:rsidRDefault="00610909" w:rsidP="00610909">
            <w:pPr>
              <w:ind w:left="113"/>
              <w:jc w:val="center"/>
              <w:rPr>
                <w:sz w:val="18"/>
                <w:szCs w:val="18"/>
              </w:rPr>
            </w:pPr>
          </w:p>
        </w:tc>
        <w:tc>
          <w:tcPr>
            <w:tcW w:w="1856" w:type="dxa"/>
            <w:vAlign w:val="bottom"/>
          </w:tcPr>
          <w:p w14:paraId="19024005" w14:textId="2731DCFE" w:rsidR="00610909" w:rsidRPr="00FF40BD" w:rsidRDefault="00586B56" w:rsidP="00610909">
            <w:pPr>
              <w:ind w:right="57"/>
              <w:jc w:val="right"/>
              <w:rPr>
                <w:sz w:val="18"/>
                <w:szCs w:val="18"/>
              </w:rPr>
            </w:pPr>
            <w:r w:rsidRPr="00FF40BD">
              <w:rPr>
                <w:sz w:val="18"/>
                <w:szCs w:val="18"/>
              </w:rPr>
              <w:t>-</w:t>
            </w:r>
          </w:p>
        </w:tc>
        <w:tc>
          <w:tcPr>
            <w:tcW w:w="59" w:type="dxa"/>
            <w:shd w:val="clear" w:color="auto" w:fill="auto"/>
            <w:vAlign w:val="bottom"/>
          </w:tcPr>
          <w:p w14:paraId="5E278880" w14:textId="47FB914E" w:rsidR="00610909" w:rsidRPr="002F7A56" w:rsidRDefault="00610909" w:rsidP="00610909">
            <w:pPr>
              <w:ind w:left="113"/>
              <w:jc w:val="center"/>
              <w:rPr>
                <w:sz w:val="18"/>
                <w:szCs w:val="18"/>
              </w:rPr>
            </w:pPr>
          </w:p>
        </w:tc>
        <w:tc>
          <w:tcPr>
            <w:tcW w:w="1858" w:type="dxa"/>
            <w:shd w:val="clear" w:color="auto" w:fill="auto"/>
            <w:vAlign w:val="bottom"/>
          </w:tcPr>
          <w:p w14:paraId="4F46DE45" w14:textId="5E36FF8D" w:rsidR="00610909" w:rsidRPr="0082756C" w:rsidRDefault="00610909" w:rsidP="00610909">
            <w:pPr>
              <w:ind w:right="57"/>
              <w:jc w:val="right"/>
              <w:rPr>
                <w:sz w:val="18"/>
                <w:szCs w:val="18"/>
              </w:rPr>
            </w:pPr>
            <w:r>
              <w:rPr>
                <w:sz w:val="18"/>
                <w:szCs w:val="18"/>
              </w:rPr>
              <w:t>1.927.400</w:t>
            </w:r>
          </w:p>
        </w:tc>
        <w:tc>
          <w:tcPr>
            <w:tcW w:w="60" w:type="dxa"/>
            <w:vAlign w:val="bottom"/>
          </w:tcPr>
          <w:p w14:paraId="6CC9EE21" w14:textId="77777777" w:rsidR="00610909" w:rsidRPr="002F7A56" w:rsidRDefault="00610909" w:rsidP="00610909">
            <w:pPr>
              <w:ind w:left="113"/>
              <w:jc w:val="center"/>
              <w:rPr>
                <w:sz w:val="18"/>
                <w:szCs w:val="18"/>
              </w:rPr>
            </w:pPr>
          </w:p>
        </w:tc>
        <w:tc>
          <w:tcPr>
            <w:tcW w:w="2652" w:type="dxa"/>
            <w:shd w:val="clear" w:color="auto" w:fill="auto"/>
          </w:tcPr>
          <w:p w14:paraId="2C53CB23" w14:textId="13C79E33" w:rsidR="00610909" w:rsidRPr="002F7A56" w:rsidRDefault="00610909" w:rsidP="00610909">
            <w:pPr>
              <w:ind w:right="113"/>
              <w:jc w:val="right"/>
              <w:rPr>
                <w:i/>
                <w:iCs/>
                <w:sz w:val="18"/>
                <w:szCs w:val="18"/>
              </w:rPr>
            </w:pPr>
            <w:r w:rsidRPr="00113C31">
              <w:rPr>
                <w:bCs w:val="0"/>
                <w:i/>
                <w:sz w:val="18"/>
                <w:szCs w:val="18"/>
              </w:rPr>
              <w:t>Tahir Foundation</w:t>
            </w:r>
          </w:p>
        </w:tc>
      </w:tr>
      <w:tr w:rsidR="00610909" w:rsidRPr="002F7A56" w14:paraId="10AE093A" w14:textId="77777777" w:rsidTr="00284CA5">
        <w:tc>
          <w:tcPr>
            <w:tcW w:w="2653" w:type="dxa"/>
            <w:shd w:val="clear" w:color="auto" w:fill="auto"/>
            <w:vAlign w:val="bottom"/>
          </w:tcPr>
          <w:p w14:paraId="0A8A218E" w14:textId="77777777" w:rsidR="00610909" w:rsidRDefault="00610909" w:rsidP="00610909">
            <w:pPr>
              <w:ind w:left="559"/>
              <w:rPr>
                <w:sz w:val="18"/>
                <w:szCs w:val="18"/>
              </w:rPr>
            </w:pPr>
            <w:r>
              <w:rPr>
                <w:sz w:val="18"/>
                <w:szCs w:val="18"/>
              </w:rPr>
              <w:t xml:space="preserve">   PT Bank Mayapada </w:t>
            </w:r>
          </w:p>
          <w:p w14:paraId="3E58E67E" w14:textId="1ACECC8E" w:rsidR="00610909" w:rsidRPr="002F7A56" w:rsidRDefault="00610909" w:rsidP="00610909">
            <w:pPr>
              <w:ind w:left="769"/>
              <w:rPr>
                <w:sz w:val="18"/>
                <w:szCs w:val="18"/>
              </w:rPr>
            </w:pPr>
            <w:r>
              <w:rPr>
                <w:sz w:val="18"/>
                <w:szCs w:val="18"/>
              </w:rPr>
              <w:t>Internasional Tbk</w:t>
            </w:r>
          </w:p>
        </w:tc>
        <w:tc>
          <w:tcPr>
            <w:tcW w:w="59" w:type="dxa"/>
          </w:tcPr>
          <w:p w14:paraId="0C2D210C" w14:textId="77777777" w:rsidR="00610909" w:rsidRPr="002F7A56" w:rsidRDefault="00610909" w:rsidP="00610909">
            <w:pPr>
              <w:ind w:left="113"/>
              <w:jc w:val="center"/>
              <w:rPr>
                <w:sz w:val="18"/>
                <w:szCs w:val="18"/>
              </w:rPr>
            </w:pPr>
          </w:p>
        </w:tc>
        <w:tc>
          <w:tcPr>
            <w:tcW w:w="1856" w:type="dxa"/>
            <w:vAlign w:val="bottom"/>
          </w:tcPr>
          <w:p w14:paraId="7B55E74D" w14:textId="431ED8AF" w:rsidR="00610909" w:rsidRPr="00FF40BD" w:rsidRDefault="00586B56" w:rsidP="00610909">
            <w:pPr>
              <w:ind w:right="57"/>
              <w:jc w:val="right"/>
              <w:rPr>
                <w:sz w:val="18"/>
                <w:szCs w:val="18"/>
              </w:rPr>
            </w:pPr>
            <w:r w:rsidRPr="00FF40BD">
              <w:rPr>
                <w:sz w:val="18"/>
                <w:szCs w:val="18"/>
              </w:rPr>
              <w:t>-</w:t>
            </w:r>
          </w:p>
        </w:tc>
        <w:tc>
          <w:tcPr>
            <w:tcW w:w="59" w:type="dxa"/>
            <w:shd w:val="clear" w:color="auto" w:fill="auto"/>
            <w:vAlign w:val="bottom"/>
          </w:tcPr>
          <w:p w14:paraId="738F4EC8" w14:textId="065EBBC3" w:rsidR="00610909" w:rsidRPr="002F7A56" w:rsidRDefault="00610909" w:rsidP="00610909">
            <w:pPr>
              <w:ind w:left="113"/>
              <w:jc w:val="center"/>
              <w:rPr>
                <w:sz w:val="18"/>
                <w:szCs w:val="18"/>
              </w:rPr>
            </w:pPr>
          </w:p>
        </w:tc>
        <w:tc>
          <w:tcPr>
            <w:tcW w:w="1858" w:type="dxa"/>
            <w:shd w:val="clear" w:color="auto" w:fill="auto"/>
            <w:vAlign w:val="bottom"/>
          </w:tcPr>
          <w:p w14:paraId="5BCE34C8" w14:textId="5573E4FC" w:rsidR="00610909" w:rsidRPr="0082756C" w:rsidRDefault="00610909" w:rsidP="00610909">
            <w:pPr>
              <w:ind w:right="57"/>
              <w:jc w:val="right"/>
              <w:rPr>
                <w:sz w:val="18"/>
                <w:szCs w:val="18"/>
              </w:rPr>
            </w:pPr>
            <w:r>
              <w:rPr>
                <w:sz w:val="18"/>
                <w:szCs w:val="18"/>
              </w:rPr>
              <w:t>-</w:t>
            </w:r>
          </w:p>
        </w:tc>
        <w:tc>
          <w:tcPr>
            <w:tcW w:w="60" w:type="dxa"/>
            <w:vAlign w:val="bottom"/>
          </w:tcPr>
          <w:p w14:paraId="10CBCCAD" w14:textId="77777777" w:rsidR="00610909" w:rsidRPr="002F7A56" w:rsidRDefault="00610909" w:rsidP="00610909">
            <w:pPr>
              <w:ind w:left="113"/>
              <w:jc w:val="center"/>
              <w:rPr>
                <w:sz w:val="18"/>
                <w:szCs w:val="18"/>
              </w:rPr>
            </w:pPr>
          </w:p>
        </w:tc>
        <w:tc>
          <w:tcPr>
            <w:tcW w:w="2652" w:type="dxa"/>
            <w:shd w:val="clear" w:color="auto" w:fill="auto"/>
            <w:vAlign w:val="bottom"/>
          </w:tcPr>
          <w:p w14:paraId="751FA18D" w14:textId="77777777" w:rsidR="00610909" w:rsidRDefault="00610909" w:rsidP="00610909">
            <w:pPr>
              <w:ind w:right="227"/>
              <w:jc w:val="right"/>
              <w:rPr>
                <w:i/>
                <w:sz w:val="18"/>
                <w:szCs w:val="18"/>
              </w:rPr>
            </w:pPr>
            <w:r w:rsidRPr="0013526B">
              <w:rPr>
                <w:i/>
                <w:sz w:val="18"/>
                <w:szCs w:val="18"/>
              </w:rPr>
              <w:t>PT Bank Ma</w:t>
            </w:r>
            <w:r>
              <w:rPr>
                <w:i/>
                <w:sz w:val="18"/>
                <w:szCs w:val="18"/>
              </w:rPr>
              <w:t>yapada</w:t>
            </w:r>
          </w:p>
          <w:p w14:paraId="7577D186" w14:textId="0113F160" w:rsidR="00610909" w:rsidRPr="002F7A56" w:rsidRDefault="00610909" w:rsidP="00610909">
            <w:pPr>
              <w:ind w:right="454"/>
              <w:jc w:val="right"/>
              <w:rPr>
                <w:sz w:val="18"/>
                <w:szCs w:val="18"/>
              </w:rPr>
            </w:pPr>
            <w:r>
              <w:rPr>
                <w:i/>
                <w:sz w:val="18"/>
                <w:szCs w:val="18"/>
              </w:rPr>
              <w:t xml:space="preserve">International </w:t>
            </w:r>
            <w:r w:rsidRPr="0013526B">
              <w:rPr>
                <w:i/>
                <w:sz w:val="18"/>
                <w:szCs w:val="18"/>
              </w:rPr>
              <w:t>Tbk</w:t>
            </w:r>
          </w:p>
        </w:tc>
      </w:tr>
      <w:tr w:rsidR="00610909" w:rsidRPr="002F7A56" w14:paraId="6B352FFA" w14:textId="77777777" w:rsidTr="00284CA5">
        <w:tc>
          <w:tcPr>
            <w:tcW w:w="2653" w:type="dxa"/>
            <w:shd w:val="clear" w:color="auto" w:fill="auto"/>
            <w:vAlign w:val="bottom"/>
          </w:tcPr>
          <w:p w14:paraId="7FA4C02C" w14:textId="6587A4AB" w:rsidR="00610909" w:rsidRPr="002F7A56" w:rsidRDefault="00610909" w:rsidP="00610909">
            <w:pPr>
              <w:ind w:left="559"/>
              <w:rPr>
                <w:sz w:val="18"/>
                <w:szCs w:val="18"/>
              </w:rPr>
            </w:pPr>
            <w:r>
              <w:rPr>
                <w:sz w:val="18"/>
                <w:szCs w:val="18"/>
              </w:rPr>
              <w:t xml:space="preserve">Piutang lain-lain </w:t>
            </w:r>
          </w:p>
        </w:tc>
        <w:tc>
          <w:tcPr>
            <w:tcW w:w="59" w:type="dxa"/>
          </w:tcPr>
          <w:p w14:paraId="17BD7C68" w14:textId="77777777" w:rsidR="00610909" w:rsidRPr="002F7A56" w:rsidRDefault="00610909" w:rsidP="00610909">
            <w:pPr>
              <w:ind w:left="113"/>
              <w:jc w:val="center"/>
              <w:rPr>
                <w:sz w:val="18"/>
                <w:szCs w:val="18"/>
              </w:rPr>
            </w:pPr>
          </w:p>
        </w:tc>
        <w:tc>
          <w:tcPr>
            <w:tcW w:w="1856" w:type="dxa"/>
            <w:vAlign w:val="bottom"/>
          </w:tcPr>
          <w:p w14:paraId="3199BB21" w14:textId="3A5987DA" w:rsidR="00610909" w:rsidRPr="00FF40BD" w:rsidRDefault="00610909" w:rsidP="00610909">
            <w:pPr>
              <w:ind w:right="57"/>
              <w:jc w:val="right"/>
              <w:rPr>
                <w:sz w:val="18"/>
                <w:szCs w:val="18"/>
              </w:rPr>
            </w:pPr>
          </w:p>
        </w:tc>
        <w:tc>
          <w:tcPr>
            <w:tcW w:w="59" w:type="dxa"/>
            <w:shd w:val="clear" w:color="auto" w:fill="auto"/>
            <w:vAlign w:val="bottom"/>
          </w:tcPr>
          <w:p w14:paraId="6E6D4A79" w14:textId="29976F68" w:rsidR="00610909" w:rsidRPr="002F7A56" w:rsidRDefault="00610909" w:rsidP="00610909">
            <w:pPr>
              <w:ind w:left="113"/>
              <w:jc w:val="center"/>
              <w:rPr>
                <w:sz w:val="18"/>
                <w:szCs w:val="18"/>
              </w:rPr>
            </w:pPr>
          </w:p>
        </w:tc>
        <w:tc>
          <w:tcPr>
            <w:tcW w:w="1858" w:type="dxa"/>
            <w:shd w:val="clear" w:color="auto" w:fill="auto"/>
            <w:vAlign w:val="bottom"/>
          </w:tcPr>
          <w:p w14:paraId="2B4488A6" w14:textId="117EAEC9" w:rsidR="00610909" w:rsidRPr="0082756C" w:rsidRDefault="00610909" w:rsidP="00610909">
            <w:pPr>
              <w:ind w:right="57"/>
              <w:jc w:val="right"/>
              <w:rPr>
                <w:sz w:val="18"/>
                <w:szCs w:val="18"/>
              </w:rPr>
            </w:pPr>
          </w:p>
        </w:tc>
        <w:tc>
          <w:tcPr>
            <w:tcW w:w="60" w:type="dxa"/>
            <w:vAlign w:val="bottom"/>
          </w:tcPr>
          <w:p w14:paraId="7F3AFF60" w14:textId="77777777" w:rsidR="00610909" w:rsidRPr="002F7A56" w:rsidRDefault="00610909" w:rsidP="00610909">
            <w:pPr>
              <w:ind w:left="113"/>
              <w:jc w:val="center"/>
              <w:rPr>
                <w:sz w:val="18"/>
                <w:szCs w:val="18"/>
              </w:rPr>
            </w:pPr>
          </w:p>
        </w:tc>
        <w:tc>
          <w:tcPr>
            <w:tcW w:w="2652" w:type="dxa"/>
            <w:shd w:val="clear" w:color="auto" w:fill="auto"/>
            <w:vAlign w:val="bottom"/>
          </w:tcPr>
          <w:p w14:paraId="3672BFCF" w14:textId="48133843" w:rsidR="00610909" w:rsidRPr="002F7A56" w:rsidRDefault="00610909" w:rsidP="00610909">
            <w:pPr>
              <w:ind w:right="113"/>
              <w:jc w:val="right"/>
              <w:rPr>
                <w:i/>
                <w:iCs/>
                <w:sz w:val="18"/>
                <w:szCs w:val="18"/>
              </w:rPr>
            </w:pPr>
            <w:r>
              <w:rPr>
                <w:i/>
                <w:iCs/>
                <w:sz w:val="18"/>
                <w:szCs w:val="18"/>
              </w:rPr>
              <w:t xml:space="preserve">Other receivables </w:t>
            </w:r>
          </w:p>
        </w:tc>
      </w:tr>
      <w:tr w:rsidR="00610909" w:rsidRPr="002F7A56" w14:paraId="4F3843CA" w14:textId="77777777" w:rsidTr="00284CA5">
        <w:tc>
          <w:tcPr>
            <w:tcW w:w="2653" w:type="dxa"/>
            <w:shd w:val="clear" w:color="auto" w:fill="auto"/>
            <w:vAlign w:val="bottom"/>
          </w:tcPr>
          <w:p w14:paraId="506621BD" w14:textId="17EB4947" w:rsidR="00610909" w:rsidRPr="00F16A86" w:rsidRDefault="00610909" w:rsidP="00610909">
            <w:pPr>
              <w:ind w:left="559"/>
              <w:rPr>
                <w:sz w:val="18"/>
                <w:szCs w:val="18"/>
              </w:rPr>
            </w:pPr>
            <w:r>
              <w:rPr>
                <w:sz w:val="18"/>
                <w:szCs w:val="18"/>
              </w:rPr>
              <w:t>Jonathan Tahir</w:t>
            </w:r>
          </w:p>
        </w:tc>
        <w:tc>
          <w:tcPr>
            <w:tcW w:w="59" w:type="dxa"/>
          </w:tcPr>
          <w:p w14:paraId="5C0E1A5E" w14:textId="77777777" w:rsidR="00610909" w:rsidRPr="002F7A56" w:rsidRDefault="00610909" w:rsidP="00610909">
            <w:pPr>
              <w:ind w:left="113"/>
              <w:jc w:val="center"/>
              <w:rPr>
                <w:sz w:val="18"/>
                <w:szCs w:val="18"/>
              </w:rPr>
            </w:pPr>
          </w:p>
        </w:tc>
        <w:tc>
          <w:tcPr>
            <w:tcW w:w="1856" w:type="dxa"/>
            <w:tcBorders>
              <w:bottom w:val="single" w:sz="4" w:space="0" w:color="auto"/>
            </w:tcBorders>
            <w:vAlign w:val="bottom"/>
          </w:tcPr>
          <w:p w14:paraId="70B8EA7A" w14:textId="3F3EA5D1" w:rsidR="00610909" w:rsidRPr="00FF40BD" w:rsidRDefault="00586B56" w:rsidP="00610909">
            <w:pPr>
              <w:ind w:right="57"/>
              <w:jc w:val="right"/>
              <w:rPr>
                <w:sz w:val="18"/>
                <w:szCs w:val="18"/>
              </w:rPr>
            </w:pPr>
            <w:r w:rsidRPr="00FF40BD">
              <w:rPr>
                <w:sz w:val="18"/>
                <w:szCs w:val="18"/>
              </w:rPr>
              <w:t>-</w:t>
            </w:r>
          </w:p>
        </w:tc>
        <w:tc>
          <w:tcPr>
            <w:tcW w:w="59" w:type="dxa"/>
            <w:shd w:val="clear" w:color="auto" w:fill="auto"/>
            <w:vAlign w:val="bottom"/>
          </w:tcPr>
          <w:p w14:paraId="79291EDB" w14:textId="0177EC82" w:rsidR="00610909" w:rsidRPr="002F7A56" w:rsidRDefault="00610909" w:rsidP="00610909">
            <w:pPr>
              <w:ind w:left="113"/>
              <w:jc w:val="center"/>
              <w:rPr>
                <w:sz w:val="18"/>
                <w:szCs w:val="18"/>
              </w:rPr>
            </w:pPr>
          </w:p>
        </w:tc>
        <w:tc>
          <w:tcPr>
            <w:tcW w:w="1858" w:type="dxa"/>
            <w:tcBorders>
              <w:bottom w:val="single" w:sz="4" w:space="0" w:color="auto"/>
            </w:tcBorders>
            <w:shd w:val="clear" w:color="auto" w:fill="auto"/>
            <w:vAlign w:val="bottom"/>
          </w:tcPr>
          <w:p w14:paraId="263AE5E7" w14:textId="4460A627" w:rsidR="00610909" w:rsidRPr="0082756C" w:rsidRDefault="00610909" w:rsidP="00610909">
            <w:pPr>
              <w:ind w:right="57"/>
              <w:jc w:val="right"/>
              <w:rPr>
                <w:sz w:val="18"/>
                <w:szCs w:val="18"/>
              </w:rPr>
            </w:pPr>
            <w:r>
              <w:rPr>
                <w:sz w:val="18"/>
                <w:szCs w:val="18"/>
              </w:rPr>
              <w:t>-</w:t>
            </w:r>
          </w:p>
        </w:tc>
        <w:tc>
          <w:tcPr>
            <w:tcW w:w="60" w:type="dxa"/>
            <w:vAlign w:val="bottom"/>
          </w:tcPr>
          <w:p w14:paraId="3C928E4F" w14:textId="3DA4AB80" w:rsidR="00610909" w:rsidRPr="002F7A56" w:rsidRDefault="00610909" w:rsidP="00610909">
            <w:pPr>
              <w:ind w:left="113"/>
              <w:jc w:val="center"/>
              <w:rPr>
                <w:sz w:val="18"/>
                <w:szCs w:val="18"/>
              </w:rPr>
            </w:pPr>
          </w:p>
        </w:tc>
        <w:tc>
          <w:tcPr>
            <w:tcW w:w="2652" w:type="dxa"/>
            <w:shd w:val="clear" w:color="auto" w:fill="auto"/>
            <w:vAlign w:val="bottom"/>
          </w:tcPr>
          <w:p w14:paraId="5D6A39CD" w14:textId="51541351" w:rsidR="00610909" w:rsidRPr="002F7A56" w:rsidRDefault="00610909" w:rsidP="00610909">
            <w:pPr>
              <w:ind w:right="227"/>
              <w:jc w:val="right"/>
              <w:rPr>
                <w:i/>
                <w:iCs/>
                <w:sz w:val="18"/>
                <w:szCs w:val="18"/>
              </w:rPr>
            </w:pPr>
            <w:r>
              <w:rPr>
                <w:i/>
                <w:iCs/>
                <w:sz w:val="18"/>
                <w:szCs w:val="18"/>
              </w:rPr>
              <w:t>Jonathan Tahir</w:t>
            </w:r>
          </w:p>
        </w:tc>
      </w:tr>
      <w:tr w:rsidR="00610909" w:rsidRPr="002F7A56" w14:paraId="5603B7CC" w14:textId="77777777" w:rsidTr="00D04295">
        <w:tc>
          <w:tcPr>
            <w:tcW w:w="2653" w:type="dxa"/>
            <w:shd w:val="clear" w:color="auto" w:fill="auto"/>
            <w:vAlign w:val="bottom"/>
          </w:tcPr>
          <w:p w14:paraId="3C8D7FD0" w14:textId="77777777" w:rsidR="00610909" w:rsidRPr="002F7A56" w:rsidRDefault="00610909" w:rsidP="00610909">
            <w:pPr>
              <w:ind w:left="559"/>
              <w:jc w:val="center"/>
              <w:rPr>
                <w:sz w:val="18"/>
                <w:szCs w:val="18"/>
              </w:rPr>
            </w:pPr>
          </w:p>
        </w:tc>
        <w:tc>
          <w:tcPr>
            <w:tcW w:w="59" w:type="dxa"/>
          </w:tcPr>
          <w:p w14:paraId="0BCDC0A9" w14:textId="77777777" w:rsidR="00610909" w:rsidRPr="002F7A56" w:rsidRDefault="00610909" w:rsidP="00610909">
            <w:pPr>
              <w:ind w:left="113"/>
              <w:jc w:val="center"/>
              <w:rPr>
                <w:sz w:val="18"/>
                <w:szCs w:val="18"/>
              </w:rPr>
            </w:pPr>
          </w:p>
        </w:tc>
        <w:tc>
          <w:tcPr>
            <w:tcW w:w="1856" w:type="dxa"/>
            <w:tcBorders>
              <w:top w:val="single" w:sz="4" w:space="0" w:color="auto"/>
            </w:tcBorders>
          </w:tcPr>
          <w:p w14:paraId="31C48625" w14:textId="24166FDA" w:rsidR="00610909" w:rsidRPr="00FF40BD" w:rsidRDefault="00610909" w:rsidP="00610909">
            <w:pPr>
              <w:ind w:left="113"/>
              <w:jc w:val="center"/>
              <w:rPr>
                <w:sz w:val="18"/>
                <w:szCs w:val="18"/>
              </w:rPr>
            </w:pPr>
          </w:p>
        </w:tc>
        <w:tc>
          <w:tcPr>
            <w:tcW w:w="59" w:type="dxa"/>
            <w:shd w:val="clear" w:color="auto" w:fill="auto"/>
            <w:vAlign w:val="bottom"/>
          </w:tcPr>
          <w:p w14:paraId="1B6D29D4" w14:textId="01082D75" w:rsidR="00610909" w:rsidRPr="002F7A56" w:rsidRDefault="00610909" w:rsidP="00610909">
            <w:pPr>
              <w:ind w:left="113"/>
              <w:jc w:val="center"/>
              <w:rPr>
                <w:sz w:val="18"/>
                <w:szCs w:val="18"/>
              </w:rPr>
            </w:pPr>
          </w:p>
        </w:tc>
        <w:tc>
          <w:tcPr>
            <w:tcW w:w="1858" w:type="dxa"/>
            <w:tcBorders>
              <w:top w:val="single" w:sz="4" w:space="0" w:color="auto"/>
            </w:tcBorders>
            <w:shd w:val="clear" w:color="auto" w:fill="auto"/>
          </w:tcPr>
          <w:p w14:paraId="45EA66A2" w14:textId="77777777" w:rsidR="00610909" w:rsidRPr="0082756C" w:rsidRDefault="00610909" w:rsidP="00610909">
            <w:pPr>
              <w:ind w:left="113"/>
              <w:jc w:val="right"/>
              <w:rPr>
                <w:sz w:val="18"/>
                <w:szCs w:val="18"/>
              </w:rPr>
            </w:pPr>
          </w:p>
        </w:tc>
        <w:tc>
          <w:tcPr>
            <w:tcW w:w="60" w:type="dxa"/>
            <w:vAlign w:val="bottom"/>
          </w:tcPr>
          <w:p w14:paraId="4C702CAB" w14:textId="77777777" w:rsidR="00610909" w:rsidRPr="002F7A56" w:rsidRDefault="00610909" w:rsidP="00610909">
            <w:pPr>
              <w:ind w:left="113"/>
              <w:jc w:val="center"/>
              <w:rPr>
                <w:sz w:val="18"/>
                <w:szCs w:val="18"/>
              </w:rPr>
            </w:pPr>
          </w:p>
        </w:tc>
        <w:tc>
          <w:tcPr>
            <w:tcW w:w="2652" w:type="dxa"/>
            <w:shd w:val="clear" w:color="auto" w:fill="auto"/>
            <w:vAlign w:val="bottom"/>
          </w:tcPr>
          <w:p w14:paraId="066E7178" w14:textId="77777777" w:rsidR="00610909" w:rsidRPr="002F7A56" w:rsidRDefault="00610909" w:rsidP="00610909">
            <w:pPr>
              <w:ind w:left="113"/>
              <w:jc w:val="right"/>
              <w:rPr>
                <w:sz w:val="18"/>
                <w:szCs w:val="18"/>
              </w:rPr>
            </w:pPr>
          </w:p>
        </w:tc>
      </w:tr>
      <w:tr w:rsidR="00610909" w:rsidRPr="002F7A56" w14:paraId="399B014D" w14:textId="77777777" w:rsidTr="00284CA5">
        <w:tc>
          <w:tcPr>
            <w:tcW w:w="2653" w:type="dxa"/>
            <w:shd w:val="clear" w:color="auto" w:fill="auto"/>
            <w:vAlign w:val="bottom"/>
          </w:tcPr>
          <w:p w14:paraId="22DA3116" w14:textId="4010A392" w:rsidR="00610909" w:rsidRPr="00F16A86" w:rsidRDefault="00610909" w:rsidP="00610909">
            <w:pPr>
              <w:ind w:left="559"/>
              <w:rPr>
                <w:b/>
                <w:bCs w:val="0"/>
                <w:sz w:val="18"/>
                <w:szCs w:val="18"/>
              </w:rPr>
            </w:pPr>
            <w:r>
              <w:rPr>
                <w:b/>
                <w:bCs w:val="0"/>
                <w:sz w:val="18"/>
                <w:szCs w:val="18"/>
              </w:rPr>
              <w:t>Jumlah aset</w:t>
            </w:r>
          </w:p>
        </w:tc>
        <w:tc>
          <w:tcPr>
            <w:tcW w:w="59" w:type="dxa"/>
          </w:tcPr>
          <w:p w14:paraId="2799EC2A" w14:textId="77777777" w:rsidR="00610909" w:rsidRPr="002F7A56" w:rsidRDefault="00610909" w:rsidP="00610909">
            <w:pPr>
              <w:ind w:left="113"/>
              <w:jc w:val="center"/>
              <w:rPr>
                <w:sz w:val="18"/>
                <w:szCs w:val="18"/>
              </w:rPr>
            </w:pPr>
          </w:p>
        </w:tc>
        <w:tc>
          <w:tcPr>
            <w:tcW w:w="1856" w:type="dxa"/>
            <w:tcBorders>
              <w:bottom w:val="double" w:sz="4" w:space="0" w:color="auto"/>
            </w:tcBorders>
            <w:vAlign w:val="bottom"/>
          </w:tcPr>
          <w:p w14:paraId="5705D28F" w14:textId="53877E2D" w:rsidR="00610909" w:rsidRPr="00FF40BD" w:rsidRDefault="00270C8D" w:rsidP="00610909">
            <w:pPr>
              <w:ind w:right="57"/>
              <w:jc w:val="right"/>
              <w:rPr>
                <w:b/>
                <w:bCs w:val="0"/>
                <w:sz w:val="18"/>
                <w:szCs w:val="18"/>
              </w:rPr>
            </w:pPr>
            <w:r w:rsidRPr="00FF40BD">
              <w:rPr>
                <w:sz w:val="18"/>
                <w:szCs w:val="18"/>
              </w:rPr>
              <w:t>182.287.792.701</w:t>
            </w:r>
          </w:p>
        </w:tc>
        <w:tc>
          <w:tcPr>
            <w:tcW w:w="59" w:type="dxa"/>
            <w:shd w:val="clear" w:color="auto" w:fill="auto"/>
            <w:vAlign w:val="bottom"/>
          </w:tcPr>
          <w:p w14:paraId="156BA6D9" w14:textId="77777777" w:rsidR="00610909" w:rsidRPr="00EA773D" w:rsidRDefault="00610909" w:rsidP="00610909">
            <w:pPr>
              <w:ind w:left="113"/>
              <w:jc w:val="center"/>
              <w:rPr>
                <w:b/>
                <w:bCs w:val="0"/>
                <w:sz w:val="18"/>
                <w:szCs w:val="18"/>
              </w:rPr>
            </w:pPr>
          </w:p>
        </w:tc>
        <w:tc>
          <w:tcPr>
            <w:tcW w:w="1858" w:type="dxa"/>
            <w:tcBorders>
              <w:bottom w:val="double" w:sz="4" w:space="0" w:color="auto"/>
            </w:tcBorders>
            <w:shd w:val="clear" w:color="auto" w:fill="auto"/>
            <w:vAlign w:val="bottom"/>
          </w:tcPr>
          <w:p w14:paraId="5DEC7FB6" w14:textId="1B74E13F" w:rsidR="00610909" w:rsidRPr="00EA773D" w:rsidRDefault="00610909" w:rsidP="00610909">
            <w:pPr>
              <w:ind w:right="57"/>
              <w:jc w:val="right"/>
              <w:rPr>
                <w:b/>
                <w:bCs w:val="0"/>
                <w:sz w:val="18"/>
                <w:szCs w:val="18"/>
              </w:rPr>
            </w:pPr>
            <w:r w:rsidRPr="002F44FE">
              <w:rPr>
                <w:b/>
                <w:bCs w:val="0"/>
                <w:sz w:val="18"/>
                <w:szCs w:val="18"/>
              </w:rPr>
              <w:t>196.566.387.528</w:t>
            </w:r>
          </w:p>
        </w:tc>
        <w:tc>
          <w:tcPr>
            <w:tcW w:w="60" w:type="dxa"/>
            <w:vAlign w:val="bottom"/>
          </w:tcPr>
          <w:p w14:paraId="54EC61C0" w14:textId="77777777" w:rsidR="00610909" w:rsidRPr="002F7A56" w:rsidRDefault="00610909" w:rsidP="00610909">
            <w:pPr>
              <w:ind w:left="113"/>
              <w:jc w:val="center"/>
              <w:rPr>
                <w:sz w:val="18"/>
                <w:szCs w:val="18"/>
              </w:rPr>
            </w:pPr>
          </w:p>
        </w:tc>
        <w:tc>
          <w:tcPr>
            <w:tcW w:w="2652" w:type="dxa"/>
            <w:shd w:val="clear" w:color="auto" w:fill="auto"/>
            <w:vAlign w:val="bottom"/>
          </w:tcPr>
          <w:p w14:paraId="0B6EED87" w14:textId="7AA968D5" w:rsidR="00610909" w:rsidRPr="00B94791" w:rsidRDefault="00610909" w:rsidP="00610909">
            <w:pPr>
              <w:ind w:right="113"/>
              <w:jc w:val="right"/>
              <w:rPr>
                <w:b/>
                <w:bCs w:val="0"/>
                <w:i/>
                <w:iCs/>
                <w:sz w:val="18"/>
                <w:szCs w:val="18"/>
              </w:rPr>
            </w:pPr>
            <w:r w:rsidRPr="00B94791">
              <w:rPr>
                <w:b/>
                <w:bCs w:val="0"/>
                <w:i/>
                <w:iCs/>
                <w:sz w:val="18"/>
                <w:szCs w:val="18"/>
              </w:rPr>
              <w:t xml:space="preserve">Total </w:t>
            </w:r>
            <w:r w:rsidRPr="00EA773D">
              <w:rPr>
                <w:b/>
                <w:bCs w:val="0"/>
                <w:i/>
                <w:sz w:val="18"/>
                <w:szCs w:val="18"/>
              </w:rPr>
              <w:t>assets</w:t>
            </w:r>
          </w:p>
        </w:tc>
      </w:tr>
    </w:tbl>
    <w:p w14:paraId="6D04188F" w14:textId="512F22DB" w:rsidR="00814476" w:rsidRDefault="00814476" w:rsidP="0013526B">
      <w:pPr>
        <w:rPr>
          <w:sz w:val="12"/>
          <w:szCs w:val="4"/>
          <w:lang w:val="id-ID"/>
        </w:rPr>
      </w:pPr>
    </w:p>
    <w:tbl>
      <w:tblPr>
        <w:tblW w:w="9197" w:type="dxa"/>
        <w:tblInd w:w="392" w:type="dxa"/>
        <w:tblCellMar>
          <w:left w:w="0" w:type="dxa"/>
          <w:right w:w="0" w:type="dxa"/>
        </w:tblCellMar>
        <w:tblLook w:val="04A0" w:firstRow="1" w:lastRow="0" w:firstColumn="1" w:lastColumn="0" w:noHBand="0" w:noVBand="1"/>
      </w:tblPr>
      <w:tblGrid>
        <w:gridCol w:w="2651"/>
        <w:gridCol w:w="59"/>
        <w:gridCol w:w="3776"/>
        <w:gridCol w:w="60"/>
        <w:gridCol w:w="2651"/>
      </w:tblGrid>
      <w:tr w:rsidR="00B94791" w:rsidRPr="0013526B" w14:paraId="2AB8F0C3" w14:textId="77777777" w:rsidTr="00284CA5">
        <w:tc>
          <w:tcPr>
            <w:tcW w:w="2651" w:type="dxa"/>
            <w:shd w:val="clear" w:color="auto" w:fill="auto"/>
            <w:vAlign w:val="bottom"/>
          </w:tcPr>
          <w:p w14:paraId="0208D86D" w14:textId="77777777" w:rsidR="00B94791" w:rsidRPr="002F7A56" w:rsidRDefault="00B94791" w:rsidP="00B06D55">
            <w:pPr>
              <w:jc w:val="center"/>
              <w:rPr>
                <w:b/>
                <w:bCs w:val="0"/>
                <w:i/>
                <w:iCs/>
                <w:sz w:val="18"/>
                <w:szCs w:val="18"/>
              </w:rPr>
            </w:pPr>
          </w:p>
        </w:tc>
        <w:tc>
          <w:tcPr>
            <w:tcW w:w="59" w:type="dxa"/>
          </w:tcPr>
          <w:p w14:paraId="28637CF4" w14:textId="77777777" w:rsidR="00B94791" w:rsidRPr="0013526B" w:rsidRDefault="00B94791" w:rsidP="00B06D55">
            <w:pPr>
              <w:jc w:val="center"/>
              <w:rPr>
                <w:b/>
                <w:sz w:val="18"/>
                <w:szCs w:val="18"/>
              </w:rPr>
            </w:pPr>
          </w:p>
        </w:tc>
        <w:tc>
          <w:tcPr>
            <w:tcW w:w="3776" w:type="dxa"/>
            <w:tcBorders>
              <w:bottom w:val="single" w:sz="4" w:space="0" w:color="auto"/>
            </w:tcBorders>
          </w:tcPr>
          <w:p w14:paraId="71ABD61D" w14:textId="4DD11C70" w:rsidR="00B94791" w:rsidRPr="00F16A86" w:rsidRDefault="00B94791" w:rsidP="00B06D55">
            <w:pPr>
              <w:jc w:val="center"/>
              <w:rPr>
                <w:b/>
                <w:sz w:val="18"/>
                <w:szCs w:val="18"/>
              </w:rPr>
            </w:pPr>
            <w:r>
              <w:rPr>
                <w:b/>
                <w:sz w:val="18"/>
                <w:szCs w:val="18"/>
              </w:rPr>
              <w:t>Persentase terhadap jumlah aset/</w:t>
            </w:r>
            <w:r>
              <w:rPr>
                <w:b/>
                <w:sz w:val="18"/>
                <w:szCs w:val="18"/>
              </w:rPr>
              <w:br/>
              <w:t xml:space="preserve"> </w:t>
            </w:r>
            <w:r w:rsidRPr="00B94791">
              <w:rPr>
                <w:b/>
                <w:i/>
                <w:iCs/>
                <w:sz w:val="18"/>
                <w:szCs w:val="18"/>
              </w:rPr>
              <w:t>Percentage of total assets</w:t>
            </w:r>
          </w:p>
        </w:tc>
        <w:tc>
          <w:tcPr>
            <w:tcW w:w="60" w:type="dxa"/>
            <w:vAlign w:val="bottom"/>
          </w:tcPr>
          <w:p w14:paraId="68420B59" w14:textId="77777777" w:rsidR="00B94791" w:rsidRPr="0013526B" w:rsidRDefault="00B94791" w:rsidP="00B06D55">
            <w:pPr>
              <w:jc w:val="center"/>
              <w:rPr>
                <w:b/>
                <w:sz w:val="18"/>
                <w:szCs w:val="18"/>
              </w:rPr>
            </w:pPr>
          </w:p>
        </w:tc>
        <w:tc>
          <w:tcPr>
            <w:tcW w:w="2651" w:type="dxa"/>
            <w:shd w:val="clear" w:color="auto" w:fill="auto"/>
            <w:vAlign w:val="bottom"/>
          </w:tcPr>
          <w:p w14:paraId="48BA3610" w14:textId="77777777" w:rsidR="00B94791" w:rsidRPr="002F7A56" w:rsidRDefault="00B94791" w:rsidP="00B06D55">
            <w:pPr>
              <w:jc w:val="center"/>
              <w:rPr>
                <w:b/>
                <w:bCs w:val="0"/>
                <w:i/>
                <w:iCs/>
                <w:sz w:val="18"/>
                <w:szCs w:val="18"/>
              </w:rPr>
            </w:pPr>
          </w:p>
        </w:tc>
      </w:tr>
    </w:tbl>
    <w:p w14:paraId="5B3467FC" w14:textId="77777777" w:rsidR="0071253B" w:rsidRPr="0071253B" w:rsidRDefault="0071253B" w:rsidP="0071253B">
      <w:pPr>
        <w:tabs>
          <w:tab w:val="left" w:pos="4253"/>
        </w:tabs>
        <w:rPr>
          <w:sz w:val="2"/>
          <w:szCs w:val="2"/>
        </w:rPr>
      </w:pPr>
    </w:p>
    <w:tbl>
      <w:tblPr>
        <w:tblW w:w="9197" w:type="dxa"/>
        <w:tblInd w:w="378" w:type="dxa"/>
        <w:tblCellMar>
          <w:left w:w="0" w:type="dxa"/>
          <w:right w:w="0" w:type="dxa"/>
        </w:tblCellMar>
        <w:tblLook w:val="04A0" w:firstRow="1" w:lastRow="0" w:firstColumn="1" w:lastColumn="0" w:noHBand="0" w:noVBand="1"/>
      </w:tblPr>
      <w:tblGrid>
        <w:gridCol w:w="2652"/>
        <w:gridCol w:w="59"/>
        <w:gridCol w:w="1858"/>
        <w:gridCol w:w="59"/>
        <w:gridCol w:w="1858"/>
        <w:gridCol w:w="60"/>
        <w:gridCol w:w="2651"/>
      </w:tblGrid>
      <w:tr w:rsidR="000177DA" w:rsidRPr="0013526B" w14:paraId="6368F9DC" w14:textId="77777777" w:rsidTr="00284CA5">
        <w:tc>
          <w:tcPr>
            <w:tcW w:w="2652" w:type="dxa"/>
            <w:shd w:val="clear" w:color="auto" w:fill="auto"/>
            <w:vAlign w:val="bottom"/>
          </w:tcPr>
          <w:p w14:paraId="1C7A1189" w14:textId="77777777" w:rsidR="000177DA" w:rsidRPr="002F7A56" w:rsidRDefault="000177DA" w:rsidP="000177DA">
            <w:pPr>
              <w:jc w:val="center"/>
              <w:rPr>
                <w:b/>
                <w:bCs w:val="0"/>
                <w:i/>
                <w:iCs/>
                <w:sz w:val="18"/>
                <w:szCs w:val="18"/>
              </w:rPr>
            </w:pPr>
          </w:p>
        </w:tc>
        <w:tc>
          <w:tcPr>
            <w:tcW w:w="59" w:type="dxa"/>
          </w:tcPr>
          <w:p w14:paraId="11FF71B0" w14:textId="77777777" w:rsidR="000177DA" w:rsidRPr="0013526B" w:rsidRDefault="000177DA" w:rsidP="000177DA">
            <w:pPr>
              <w:jc w:val="center"/>
              <w:rPr>
                <w:b/>
                <w:sz w:val="18"/>
                <w:szCs w:val="18"/>
              </w:rPr>
            </w:pPr>
          </w:p>
        </w:tc>
        <w:tc>
          <w:tcPr>
            <w:tcW w:w="1858" w:type="dxa"/>
            <w:tcBorders>
              <w:bottom w:val="single" w:sz="4" w:space="0" w:color="auto"/>
            </w:tcBorders>
          </w:tcPr>
          <w:p w14:paraId="0C0D8525" w14:textId="77777777" w:rsidR="000177DA" w:rsidRPr="008109D0" w:rsidRDefault="000177DA" w:rsidP="000177DA">
            <w:pPr>
              <w:jc w:val="center"/>
              <w:rPr>
                <w:b/>
                <w:sz w:val="18"/>
                <w:szCs w:val="18"/>
              </w:rPr>
            </w:pPr>
            <w:r w:rsidRPr="008109D0">
              <w:rPr>
                <w:b/>
                <w:sz w:val="18"/>
                <w:szCs w:val="18"/>
              </w:rPr>
              <w:t>31 Maret/</w:t>
            </w:r>
          </w:p>
          <w:p w14:paraId="0FB93A44" w14:textId="23EEA254" w:rsidR="000177DA" w:rsidRPr="008109D0" w:rsidRDefault="000177DA" w:rsidP="000177DA">
            <w:pPr>
              <w:jc w:val="center"/>
              <w:rPr>
                <w:b/>
                <w:sz w:val="18"/>
                <w:szCs w:val="18"/>
              </w:rPr>
            </w:pPr>
            <w:r w:rsidRPr="008109D0">
              <w:rPr>
                <w:b/>
                <w:sz w:val="18"/>
                <w:szCs w:val="18"/>
              </w:rPr>
              <w:t>March 31</w:t>
            </w:r>
            <w:r w:rsidR="00305CA0">
              <w:rPr>
                <w:b/>
                <w:sz w:val="18"/>
                <w:szCs w:val="18"/>
              </w:rPr>
              <w:t>.</w:t>
            </w:r>
            <w:r w:rsidRPr="008109D0">
              <w:rPr>
                <w:b/>
                <w:sz w:val="18"/>
                <w:szCs w:val="18"/>
              </w:rPr>
              <w:t xml:space="preserve">  2020</w:t>
            </w:r>
          </w:p>
        </w:tc>
        <w:tc>
          <w:tcPr>
            <w:tcW w:w="59" w:type="dxa"/>
            <w:tcBorders>
              <w:top w:val="single" w:sz="4" w:space="0" w:color="auto"/>
            </w:tcBorders>
            <w:shd w:val="clear" w:color="auto" w:fill="auto"/>
            <w:vAlign w:val="bottom"/>
          </w:tcPr>
          <w:p w14:paraId="4FFD0790" w14:textId="77777777" w:rsidR="000177DA" w:rsidRPr="0013526B" w:rsidRDefault="000177DA" w:rsidP="000177DA">
            <w:pPr>
              <w:jc w:val="center"/>
              <w:rPr>
                <w:b/>
                <w:sz w:val="18"/>
                <w:szCs w:val="18"/>
              </w:rPr>
            </w:pPr>
          </w:p>
        </w:tc>
        <w:tc>
          <w:tcPr>
            <w:tcW w:w="1858" w:type="dxa"/>
            <w:tcBorders>
              <w:bottom w:val="single" w:sz="4" w:space="0" w:color="auto"/>
            </w:tcBorders>
            <w:shd w:val="clear" w:color="auto" w:fill="auto"/>
            <w:vAlign w:val="bottom"/>
          </w:tcPr>
          <w:p w14:paraId="3917F661" w14:textId="77466C66" w:rsidR="000177DA" w:rsidRPr="00F16A86" w:rsidRDefault="000177DA" w:rsidP="000177DA">
            <w:pPr>
              <w:jc w:val="center"/>
              <w:rPr>
                <w:b/>
                <w:sz w:val="18"/>
                <w:szCs w:val="18"/>
              </w:rPr>
            </w:pPr>
            <w:r>
              <w:rPr>
                <w:b/>
                <w:sz w:val="18"/>
                <w:szCs w:val="18"/>
              </w:rPr>
              <w:t>31 Desember/ December 31</w:t>
            </w:r>
            <w:r w:rsidR="00305CA0">
              <w:rPr>
                <w:b/>
                <w:sz w:val="18"/>
                <w:szCs w:val="18"/>
              </w:rPr>
              <w:t>.</w:t>
            </w:r>
            <w:r>
              <w:rPr>
                <w:b/>
                <w:sz w:val="18"/>
                <w:szCs w:val="18"/>
              </w:rPr>
              <w:t xml:space="preserve"> </w:t>
            </w:r>
            <w:r w:rsidRPr="00F16A86">
              <w:rPr>
                <w:b/>
                <w:sz w:val="18"/>
                <w:szCs w:val="18"/>
              </w:rPr>
              <w:t>201</w:t>
            </w:r>
            <w:r>
              <w:rPr>
                <w:b/>
                <w:sz w:val="18"/>
                <w:szCs w:val="18"/>
              </w:rPr>
              <w:t>9</w:t>
            </w:r>
          </w:p>
        </w:tc>
        <w:tc>
          <w:tcPr>
            <w:tcW w:w="60" w:type="dxa"/>
            <w:vAlign w:val="bottom"/>
          </w:tcPr>
          <w:p w14:paraId="6753C39F" w14:textId="77777777" w:rsidR="000177DA" w:rsidRPr="0013526B" w:rsidRDefault="000177DA" w:rsidP="000177DA">
            <w:pPr>
              <w:jc w:val="center"/>
              <w:rPr>
                <w:b/>
                <w:sz w:val="18"/>
                <w:szCs w:val="18"/>
              </w:rPr>
            </w:pPr>
          </w:p>
        </w:tc>
        <w:tc>
          <w:tcPr>
            <w:tcW w:w="2651" w:type="dxa"/>
            <w:shd w:val="clear" w:color="auto" w:fill="auto"/>
            <w:vAlign w:val="bottom"/>
          </w:tcPr>
          <w:p w14:paraId="1384A98B" w14:textId="77777777" w:rsidR="000177DA" w:rsidRPr="002F7A56" w:rsidRDefault="000177DA" w:rsidP="000177DA">
            <w:pPr>
              <w:jc w:val="center"/>
              <w:rPr>
                <w:b/>
                <w:bCs w:val="0"/>
                <w:i/>
                <w:iCs/>
                <w:sz w:val="18"/>
                <w:szCs w:val="18"/>
              </w:rPr>
            </w:pPr>
          </w:p>
        </w:tc>
      </w:tr>
      <w:tr w:rsidR="00B94791" w:rsidRPr="004757CC" w14:paraId="66419A73" w14:textId="77777777" w:rsidTr="00284CA5">
        <w:tc>
          <w:tcPr>
            <w:tcW w:w="2652" w:type="dxa"/>
            <w:shd w:val="clear" w:color="auto" w:fill="auto"/>
          </w:tcPr>
          <w:p w14:paraId="4D4647E2" w14:textId="77777777" w:rsidR="00B94791" w:rsidRPr="004757CC" w:rsidRDefault="00B94791" w:rsidP="00B06D55">
            <w:pPr>
              <w:jc w:val="center"/>
              <w:rPr>
                <w:sz w:val="8"/>
                <w:szCs w:val="8"/>
              </w:rPr>
            </w:pPr>
          </w:p>
        </w:tc>
        <w:tc>
          <w:tcPr>
            <w:tcW w:w="59" w:type="dxa"/>
          </w:tcPr>
          <w:p w14:paraId="1C409693" w14:textId="77777777" w:rsidR="00B94791" w:rsidRPr="004757CC" w:rsidRDefault="00B94791" w:rsidP="00B06D55">
            <w:pPr>
              <w:jc w:val="center"/>
              <w:rPr>
                <w:b/>
                <w:sz w:val="8"/>
                <w:szCs w:val="8"/>
              </w:rPr>
            </w:pPr>
          </w:p>
        </w:tc>
        <w:tc>
          <w:tcPr>
            <w:tcW w:w="1858" w:type="dxa"/>
            <w:tcBorders>
              <w:top w:val="single" w:sz="4" w:space="0" w:color="auto"/>
            </w:tcBorders>
          </w:tcPr>
          <w:p w14:paraId="74DD4756" w14:textId="77777777" w:rsidR="00B94791" w:rsidRPr="008109D0" w:rsidRDefault="00B94791" w:rsidP="00B06D55">
            <w:pPr>
              <w:jc w:val="center"/>
              <w:rPr>
                <w:b/>
                <w:sz w:val="8"/>
                <w:szCs w:val="8"/>
              </w:rPr>
            </w:pPr>
          </w:p>
        </w:tc>
        <w:tc>
          <w:tcPr>
            <w:tcW w:w="59" w:type="dxa"/>
            <w:shd w:val="clear" w:color="auto" w:fill="auto"/>
          </w:tcPr>
          <w:p w14:paraId="6806A873" w14:textId="77777777" w:rsidR="00B94791" w:rsidRPr="004757CC" w:rsidRDefault="00B94791" w:rsidP="00B06D55">
            <w:pPr>
              <w:jc w:val="center"/>
              <w:rPr>
                <w:b/>
                <w:sz w:val="8"/>
                <w:szCs w:val="8"/>
              </w:rPr>
            </w:pPr>
          </w:p>
        </w:tc>
        <w:tc>
          <w:tcPr>
            <w:tcW w:w="1858" w:type="dxa"/>
            <w:tcBorders>
              <w:top w:val="single" w:sz="4" w:space="0" w:color="auto"/>
            </w:tcBorders>
            <w:shd w:val="clear" w:color="auto" w:fill="auto"/>
          </w:tcPr>
          <w:p w14:paraId="62792781" w14:textId="77777777" w:rsidR="00B94791" w:rsidRPr="004757CC" w:rsidRDefault="00B94791" w:rsidP="00B06D55">
            <w:pPr>
              <w:jc w:val="center"/>
              <w:rPr>
                <w:b/>
                <w:sz w:val="8"/>
                <w:szCs w:val="8"/>
              </w:rPr>
            </w:pPr>
          </w:p>
        </w:tc>
        <w:tc>
          <w:tcPr>
            <w:tcW w:w="60" w:type="dxa"/>
          </w:tcPr>
          <w:p w14:paraId="5CED76FF" w14:textId="77777777" w:rsidR="00B94791" w:rsidRPr="004757CC" w:rsidRDefault="00B94791" w:rsidP="00B06D55">
            <w:pPr>
              <w:jc w:val="center"/>
              <w:rPr>
                <w:b/>
                <w:sz w:val="8"/>
                <w:szCs w:val="8"/>
              </w:rPr>
            </w:pPr>
          </w:p>
        </w:tc>
        <w:tc>
          <w:tcPr>
            <w:tcW w:w="2651" w:type="dxa"/>
            <w:shd w:val="clear" w:color="auto" w:fill="auto"/>
          </w:tcPr>
          <w:p w14:paraId="1CFB0D80" w14:textId="77777777" w:rsidR="00B94791" w:rsidRPr="004757CC" w:rsidRDefault="00B94791" w:rsidP="00B06D55">
            <w:pPr>
              <w:jc w:val="center"/>
              <w:rPr>
                <w:sz w:val="8"/>
                <w:szCs w:val="8"/>
              </w:rPr>
            </w:pPr>
          </w:p>
        </w:tc>
      </w:tr>
      <w:tr w:rsidR="00B94791" w:rsidRPr="00EC0164" w14:paraId="2BD50949" w14:textId="77777777" w:rsidTr="00284CA5">
        <w:trPr>
          <w:trHeight w:val="249"/>
        </w:trPr>
        <w:tc>
          <w:tcPr>
            <w:tcW w:w="2652" w:type="dxa"/>
            <w:shd w:val="clear" w:color="auto" w:fill="auto"/>
            <w:vAlign w:val="bottom"/>
          </w:tcPr>
          <w:p w14:paraId="7DCF1B65" w14:textId="77777777" w:rsidR="00B94791" w:rsidRPr="00F16A86" w:rsidRDefault="00B94791" w:rsidP="007D62AC">
            <w:pPr>
              <w:ind w:left="587"/>
              <w:rPr>
                <w:b/>
                <w:bCs w:val="0"/>
                <w:sz w:val="18"/>
                <w:szCs w:val="18"/>
              </w:rPr>
            </w:pPr>
            <w:r>
              <w:rPr>
                <w:b/>
                <w:bCs w:val="0"/>
                <w:sz w:val="18"/>
                <w:szCs w:val="18"/>
              </w:rPr>
              <w:t>Aset</w:t>
            </w:r>
          </w:p>
        </w:tc>
        <w:tc>
          <w:tcPr>
            <w:tcW w:w="59" w:type="dxa"/>
          </w:tcPr>
          <w:p w14:paraId="0D5AE7EF" w14:textId="77777777" w:rsidR="00B94791" w:rsidRPr="00C8472B" w:rsidRDefault="00B94791" w:rsidP="00B06D55">
            <w:pPr>
              <w:ind w:right="57"/>
              <w:jc w:val="center"/>
              <w:rPr>
                <w:sz w:val="18"/>
                <w:szCs w:val="18"/>
              </w:rPr>
            </w:pPr>
          </w:p>
        </w:tc>
        <w:tc>
          <w:tcPr>
            <w:tcW w:w="1858" w:type="dxa"/>
          </w:tcPr>
          <w:p w14:paraId="73806136" w14:textId="77777777" w:rsidR="00B94791" w:rsidRPr="00C8472B" w:rsidRDefault="00B94791" w:rsidP="00B06D55">
            <w:pPr>
              <w:ind w:right="57"/>
              <w:jc w:val="center"/>
              <w:rPr>
                <w:sz w:val="18"/>
                <w:szCs w:val="18"/>
              </w:rPr>
            </w:pPr>
          </w:p>
        </w:tc>
        <w:tc>
          <w:tcPr>
            <w:tcW w:w="59" w:type="dxa"/>
            <w:shd w:val="clear" w:color="auto" w:fill="auto"/>
            <w:vAlign w:val="bottom"/>
          </w:tcPr>
          <w:p w14:paraId="1F1E46F6" w14:textId="77777777" w:rsidR="00B94791" w:rsidRPr="00C8472B" w:rsidRDefault="00B94791" w:rsidP="00B06D55">
            <w:pPr>
              <w:ind w:right="57"/>
              <w:jc w:val="center"/>
              <w:rPr>
                <w:sz w:val="18"/>
                <w:szCs w:val="18"/>
              </w:rPr>
            </w:pPr>
          </w:p>
        </w:tc>
        <w:tc>
          <w:tcPr>
            <w:tcW w:w="1858" w:type="dxa"/>
            <w:shd w:val="clear" w:color="auto" w:fill="auto"/>
            <w:vAlign w:val="bottom"/>
          </w:tcPr>
          <w:p w14:paraId="67950609" w14:textId="77777777" w:rsidR="00B94791" w:rsidRPr="00C8472B" w:rsidRDefault="00B94791" w:rsidP="00B06D55">
            <w:pPr>
              <w:ind w:right="57"/>
              <w:jc w:val="right"/>
              <w:rPr>
                <w:sz w:val="18"/>
                <w:szCs w:val="18"/>
              </w:rPr>
            </w:pPr>
          </w:p>
        </w:tc>
        <w:tc>
          <w:tcPr>
            <w:tcW w:w="60" w:type="dxa"/>
          </w:tcPr>
          <w:p w14:paraId="5B1569B9" w14:textId="77777777" w:rsidR="00B94791" w:rsidRPr="00C8472B" w:rsidRDefault="00B94791" w:rsidP="00B06D55">
            <w:pPr>
              <w:ind w:right="57"/>
              <w:jc w:val="center"/>
              <w:rPr>
                <w:sz w:val="18"/>
                <w:szCs w:val="18"/>
              </w:rPr>
            </w:pPr>
          </w:p>
        </w:tc>
        <w:tc>
          <w:tcPr>
            <w:tcW w:w="2651" w:type="dxa"/>
            <w:shd w:val="clear" w:color="auto" w:fill="auto"/>
            <w:vAlign w:val="bottom"/>
          </w:tcPr>
          <w:p w14:paraId="5F85D1F8" w14:textId="77777777" w:rsidR="00B94791" w:rsidRPr="0082756C" w:rsidRDefault="00B94791" w:rsidP="00B06D55">
            <w:pPr>
              <w:ind w:right="113"/>
              <w:jc w:val="right"/>
              <w:rPr>
                <w:b/>
                <w:bCs w:val="0"/>
                <w:i/>
                <w:sz w:val="18"/>
                <w:szCs w:val="18"/>
              </w:rPr>
            </w:pPr>
            <w:r>
              <w:rPr>
                <w:b/>
                <w:bCs w:val="0"/>
                <w:i/>
                <w:sz w:val="18"/>
                <w:szCs w:val="18"/>
              </w:rPr>
              <w:t xml:space="preserve">Assets </w:t>
            </w:r>
          </w:p>
        </w:tc>
      </w:tr>
      <w:tr w:rsidR="00B94791" w:rsidRPr="00EC0164" w14:paraId="3A8D18EB" w14:textId="77777777" w:rsidTr="00284CA5">
        <w:trPr>
          <w:trHeight w:val="249"/>
        </w:trPr>
        <w:tc>
          <w:tcPr>
            <w:tcW w:w="2652" w:type="dxa"/>
            <w:shd w:val="clear" w:color="auto" w:fill="auto"/>
            <w:vAlign w:val="bottom"/>
          </w:tcPr>
          <w:p w14:paraId="26D20878" w14:textId="211C16F4" w:rsidR="00B94791" w:rsidRPr="00C8472B" w:rsidRDefault="00B94791" w:rsidP="007D62AC">
            <w:pPr>
              <w:ind w:left="587"/>
              <w:rPr>
                <w:sz w:val="18"/>
                <w:szCs w:val="18"/>
              </w:rPr>
            </w:pPr>
            <w:r>
              <w:rPr>
                <w:sz w:val="18"/>
                <w:szCs w:val="18"/>
              </w:rPr>
              <w:t xml:space="preserve">Kas dan setara kas </w:t>
            </w:r>
          </w:p>
        </w:tc>
        <w:tc>
          <w:tcPr>
            <w:tcW w:w="59" w:type="dxa"/>
          </w:tcPr>
          <w:p w14:paraId="629B99FD" w14:textId="77777777" w:rsidR="00B94791" w:rsidRPr="00C8472B" w:rsidRDefault="00B94791" w:rsidP="00B06D55">
            <w:pPr>
              <w:ind w:right="57"/>
              <w:jc w:val="center"/>
              <w:rPr>
                <w:sz w:val="18"/>
                <w:szCs w:val="18"/>
              </w:rPr>
            </w:pPr>
          </w:p>
        </w:tc>
        <w:tc>
          <w:tcPr>
            <w:tcW w:w="1858" w:type="dxa"/>
          </w:tcPr>
          <w:p w14:paraId="066F7A2C" w14:textId="77777777" w:rsidR="00B94791" w:rsidRPr="00C8472B" w:rsidRDefault="00B94791" w:rsidP="00B06D55">
            <w:pPr>
              <w:ind w:right="57"/>
              <w:jc w:val="center"/>
              <w:rPr>
                <w:sz w:val="18"/>
                <w:szCs w:val="18"/>
              </w:rPr>
            </w:pPr>
          </w:p>
        </w:tc>
        <w:tc>
          <w:tcPr>
            <w:tcW w:w="59" w:type="dxa"/>
            <w:shd w:val="clear" w:color="auto" w:fill="auto"/>
            <w:vAlign w:val="bottom"/>
          </w:tcPr>
          <w:p w14:paraId="7DAE95BD" w14:textId="77777777" w:rsidR="00B94791" w:rsidRPr="00C8472B" w:rsidRDefault="00B94791" w:rsidP="00B06D55">
            <w:pPr>
              <w:ind w:right="57"/>
              <w:jc w:val="center"/>
              <w:rPr>
                <w:sz w:val="18"/>
                <w:szCs w:val="18"/>
              </w:rPr>
            </w:pPr>
          </w:p>
        </w:tc>
        <w:tc>
          <w:tcPr>
            <w:tcW w:w="1858" w:type="dxa"/>
            <w:shd w:val="clear" w:color="auto" w:fill="auto"/>
            <w:vAlign w:val="bottom"/>
          </w:tcPr>
          <w:p w14:paraId="2DB376DC" w14:textId="77777777" w:rsidR="00B94791" w:rsidRPr="0082756C" w:rsidRDefault="00B94791" w:rsidP="00B06D55">
            <w:pPr>
              <w:ind w:right="57"/>
              <w:jc w:val="right"/>
              <w:rPr>
                <w:sz w:val="18"/>
                <w:szCs w:val="18"/>
              </w:rPr>
            </w:pPr>
          </w:p>
        </w:tc>
        <w:tc>
          <w:tcPr>
            <w:tcW w:w="60" w:type="dxa"/>
          </w:tcPr>
          <w:p w14:paraId="58E3B1DC" w14:textId="77777777" w:rsidR="00B94791" w:rsidRPr="00C8472B" w:rsidRDefault="00B94791" w:rsidP="00B06D55">
            <w:pPr>
              <w:ind w:right="57"/>
              <w:jc w:val="center"/>
              <w:rPr>
                <w:sz w:val="18"/>
                <w:szCs w:val="18"/>
              </w:rPr>
            </w:pPr>
          </w:p>
        </w:tc>
        <w:tc>
          <w:tcPr>
            <w:tcW w:w="2651" w:type="dxa"/>
            <w:shd w:val="clear" w:color="auto" w:fill="auto"/>
            <w:vAlign w:val="bottom"/>
          </w:tcPr>
          <w:p w14:paraId="322B19E4" w14:textId="5DF90ED8" w:rsidR="00B94791" w:rsidRPr="00C8472B" w:rsidRDefault="00CE1C02" w:rsidP="00B06D55">
            <w:pPr>
              <w:ind w:right="113"/>
              <w:jc w:val="right"/>
              <w:rPr>
                <w:i/>
                <w:sz w:val="18"/>
                <w:szCs w:val="18"/>
              </w:rPr>
            </w:pPr>
            <w:r>
              <w:rPr>
                <w:i/>
                <w:sz w:val="18"/>
                <w:szCs w:val="18"/>
              </w:rPr>
              <w:t>C</w:t>
            </w:r>
            <w:r w:rsidR="00B94791" w:rsidRPr="0013526B">
              <w:rPr>
                <w:i/>
                <w:sz w:val="18"/>
                <w:szCs w:val="18"/>
              </w:rPr>
              <w:t>ash and cash equivalents</w:t>
            </w:r>
          </w:p>
        </w:tc>
      </w:tr>
      <w:tr w:rsidR="000177DA" w:rsidRPr="00EC0164" w14:paraId="426988DC" w14:textId="77777777" w:rsidTr="00284CA5">
        <w:trPr>
          <w:trHeight w:val="249"/>
        </w:trPr>
        <w:tc>
          <w:tcPr>
            <w:tcW w:w="2652" w:type="dxa"/>
            <w:shd w:val="clear" w:color="auto" w:fill="auto"/>
            <w:vAlign w:val="bottom"/>
          </w:tcPr>
          <w:p w14:paraId="5201C816" w14:textId="77777777" w:rsidR="000177DA" w:rsidRDefault="000177DA" w:rsidP="000177DA">
            <w:pPr>
              <w:ind w:left="587"/>
              <w:rPr>
                <w:sz w:val="18"/>
                <w:szCs w:val="18"/>
              </w:rPr>
            </w:pPr>
            <w:r>
              <w:rPr>
                <w:sz w:val="18"/>
                <w:szCs w:val="18"/>
              </w:rPr>
              <w:t xml:space="preserve">   PT Bank Mayapada</w:t>
            </w:r>
          </w:p>
          <w:p w14:paraId="2965D03B" w14:textId="77777777" w:rsidR="000177DA" w:rsidRPr="00C8472B" w:rsidRDefault="000177DA" w:rsidP="000177DA">
            <w:pPr>
              <w:ind w:left="811"/>
              <w:rPr>
                <w:sz w:val="18"/>
                <w:szCs w:val="18"/>
              </w:rPr>
            </w:pPr>
            <w:r>
              <w:rPr>
                <w:sz w:val="18"/>
                <w:szCs w:val="18"/>
              </w:rPr>
              <w:t>Internasional Tbk</w:t>
            </w:r>
          </w:p>
        </w:tc>
        <w:tc>
          <w:tcPr>
            <w:tcW w:w="59" w:type="dxa"/>
          </w:tcPr>
          <w:p w14:paraId="41F231EA" w14:textId="77777777" w:rsidR="000177DA" w:rsidRPr="00C8472B" w:rsidRDefault="000177DA" w:rsidP="000177DA">
            <w:pPr>
              <w:ind w:right="57"/>
              <w:jc w:val="center"/>
              <w:rPr>
                <w:sz w:val="18"/>
                <w:szCs w:val="18"/>
              </w:rPr>
            </w:pPr>
          </w:p>
        </w:tc>
        <w:tc>
          <w:tcPr>
            <w:tcW w:w="1858" w:type="dxa"/>
            <w:vAlign w:val="bottom"/>
          </w:tcPr>
          <w:p w14:paraId="0371A69E" w14:textId="786991C5" w:rsidR="000177DA" w:rsidRPr="00FF40BD" w:rsidRDefault="00270C8D" w:rsidP="000177DA">
            <w:pPr>
              <w:ind w:right="57"/>
              <w:jc w:val="right"/>
              <w:rPr>
                <w:sz w:val="18"/>
                <w:szCs w:val="18"/>
              </w:rPr>
            </w:pPr>
            <w:r w:rsidRPr="00FF40BD">
              <w:rPr>
                <w:sz w:val="18"/>
                <w:szCs w:val="18"/>
              </w:rPr>
              <w:t>5.78%</w:t>
            </w:r>
          </w:p>
        </w:tc>
        <w:tc>
          <w:tcPr>
            <w:tcW w:w="59" w:type="dxa"/>
            <w:shd w:val="clear" w:color="auto" w:fill="auto"/>
            <w:vAlign w:val="bottom"/>
          </w:tcPr>
          <w:p w14:paraId="3A11AF40" w14:textId="77777777" w:rsidR="000177DA" w:rsidRPr="00FF40BD" w:rsidRDefault="000177DA" w:rsidP="000177DA">
            <w:pPr>
              <w:ind w:right="57"/>
              <w:jc w:val="center"/>
              <w:rPr>
                <w:sz w:val="18"/>
                <w:szCs w:val="18"/>
              </w:rPr>
            </w:pPr>
          </w:p>
        </w:tc>
        <w:tc>
          <w:tcPr>
            <w:tcW w:w="1858" w:type="dxa"/>
            <w:shd w:val="clear" w:color="auto" w:fill="auto"/>
            <w:vAlign w:val="bottom"/>
          </w:tcPr>
          <w:p w14:paraId="537CF866" w14:textId="26AD284E" w:rsidR="000177DA" w:rsidRPr="00FF40BD" w:rsidRDefault="000177DA" w:rsidP="000177DA">
            <w:pPr>
              <w:ind w:right="57"/>
              <w:jc w:val="right"/>
              <w:rPr>
                <w:sz w:val="18"/>
                <w:szCs w:val="18"/>
              </w:rPr>
            </w:pPr>
            <w:r w:rsidRPr="00FF40BD">
              <w:rPr>
                <w:sz w:val="18"/>
                <w:szCs w:val="18"/>
              </w:rPr>
              <w:t>6.32%</w:t>
            </w:r>
          </w:p>
        </w:tc>
        <w:tc>
          <w:tcPr>
            <w:tcW w:w="60" w:type="dxa"/>
          </w:tcPr>
          <w:p w14:paraId="7C524C33" w14:textId="77777777" w:rsidR="000177DA" w:rsidRPr="00C8472B" w:rsidRDefault="000177DA" w:rsidP="000177DA">
            <w:pPr>
              <w:ind w:right="57"/>
              <w:jc w:val="center"/>
              <w:rPr>
                <w:sz w:val="18"/>
                <w:szCs w:val="18"/>
              </w:rPr>
            </w:pPr>
          </w:p>
        </w:tc>
        <w:tc>
          <w:tcPr>
            <w:tcW w:w="2651" w:type="dxa"/>
            <w:shd w:val="clear" w:color="auto" w:fill="auto"/>
            <w:vAlign w:val="bottom"/>
          </w:tcPr>
          <w:p w14:paraId="7C4236FC" w14:textId="77777777" w:rsidR="000177DA" w:rsidRDefault="000177DA" w:rsidP="000177DA">
            <w:pPr>
              <w:ind w:right="227"/>
              <w:jc w:val="right"/>
              <w:rPr>
                <w:i/>
                <w:sz w:val="18"/>
                <w:szCs w:val="18"/>
              </w:rPr>
            </w:pPr>
            <w:r w:rsidRPr="0013526B">
              <w:rPr>
                <w:i/>
                <w:sz w:val="18"/>
                <w:szCs w:val="18"/>
              </w:rPr>
              <w:t>PT Bank Ma</w:t>
            </w:r>
            <w:r>
              <w:rPr>
                <w:i/>
                <w:sz w:val="18"/>
                <w:szCs w:val="18"/>
              </w:rPr>
              <w:t>yapada</w:t>
            </w:r>
          </w:p>
          <w:p w14:paraId="1344687F" w14:textId="77777777" w:rsidR="000177DA" w:rsidRPr="002F7A56" w:rsidRDefault="000177DA" w:rsidP="000177DA">
            <w:pPr>
              <w:ind w:right="454"/>
              <w:jc w:val="right"/>
              <w:rPr>
                <w:i/>
                <w:sz w:val="18"/>
                <w:szCs w:val="18"/>
              </w:rPr>
            </w:pPr>
            <w:r>
              <w:rPr>
                <w:i/>
                <w:sz w:val="18"/>
                <w:szCs w:val="18"/>
              </w:rPr>
              <w:t xml:space="preserve">International </w:t>
            </w:r>
            <w:r w:rsidRPr="0013526B">
              <w:rPr>
                <w:i/>
                <w:sz w:val="18"/>
                <w:szCs w:val="18"/>
              </w:rPr>
              <w:t>Tbk</w:t>
            </w:r>
          </w:p>
        </w:tc>
      </w:tr>
      <w:tr w:rsidR="000177DA" w:rsidRPr="00EC0164" w14:paraId="2771B7E2" w14:textId="77777777" w:rsidTr="00284CA5">
        <w:tc>
          <w:tcPr>
            <w:tcW w:w="2652" w:type="dxa"/>
            <w:shd w:val="clear" w:color="auto" w:fill="auto"/>
          </w:tcPr>
          <w:p w14:paraId="65B426A7" w14:textId="75CF773A" w:rsidR="000177DA" w:rsidRPr="00C8472B" w:rsidRDefault="000177DA" w:rsidP="000177DA">
            <w:pPr>
              <w:ind w:left="587"/>
              <w:rPr>
                <w:sz w:val="18"/>
                <w:szCs w:val="18"/>
              </w:rPr>
            </w:pPr>
            <w:r>
              <w:rPr>
                <w:sz w:val="18"/>
                <w:szCs w:val="18"/>
              </w:rPr>
              <w:t xml:space="preserve">Piutang usaha </w:t>
            </w:r>
          </w:p>
        </w:tc>
        <w:tc>
          <w:tcPr>
            <w:tcW w:w="59" w:type="dxa"/>
          </w:tcPr>
          <w:p w14:paraId="4B3BC07D" w14:textId="77777777" w:rsidR="000177DA" w:rsidRPr="00C8472B" w:rsidRDefault="000177DA" w:rsidP="000177DA">
            <w:pPr>
              <w:ind w:right="57"/>
              <w:jc w:val="center"/>
              <w:rPr>
                <w:sz w:val="18"/>
                <w:szCs w:val="18"/>
              </w:rPr>
            </w:pPr>
          </w:p>
        </w:tc>
        <w:tc>
          <w:tcPr>
            <w:tcW w:w="1858" w:type="dxa"/>
            <w:vAlign w:val="bottom"/>
          </w:tcPr>
          <w:p w14:paraId="4E5463DC" w14:textId="77777777" w:rsidR="000177DA" w:rsidRPr="00FF40BD" w:rsidRDefault="000177DA" w:rsidP="000177DA">
            <w:pPr>
              <w:ind w:right="57"/>
              <w:jc w:val="right"/>
              <w:rPr>
                <w:sz w:val="18"/>
                <w:szCs w:val="18"/>
              </w:rPr>
            </w:pPr>
          </w:p>
        </w:tc>
        <w:tc>
          <w:tcPr>
            <w:tcW w:w="59" w:type="dxa"/>
            <w:shd w:val="clear" w:color="auto" w:fill="auto"/>
            <w:vAlign w:val="bottom"/>
          </w:tcPr>
          <w:p w14:paraId="1687D0B5" w14:textId="77777777" w:rsidR="000177DA" w:rsidRPr="00FF40BD" w:rsidRDefault="000177DA" w:rsidP="000177DA">
            <w:pPr>
              <w:ind w:right="57"/>
              <w:jc w:val="center"/>
              <w:rPr>
                <w:sz w:val="18"/>
                <w:szCs w:val="18"/>
              </w:rPr>
            </w:pPr>
          </w:p>
        </w:tc>
        <w:tc>
          <w:tcPr>
            <w:tcW w:w="1858" w:type="dxa"/>
            <w:shd w:val="clear" w:color="auto" w:fill="auto"/>
            <w:vAlign w:val="bottom"/>
          </w:tcPr>
          <w:p w14:paraId="735E64CD" w14:textId="77777777" w:rsidR="000177DA" w:rsidRPr="00FF40BD" w:rsidRDefault="000177DA" w:rsidP="000177DA">
            <w:pPr>
              <w:ind w:right="57"/>
              <w:jc w:val="right"/>
              <w:rPr>
                <w:sz w:val="18"/>
                <w:szCs w:val="18"/>
              </w:rPr>
            </w:pPr>
          </w:p>
        </w:tc>
        <w:tc>
          <w:tcPr>
            <w:tcW w:w="60" w:type="dxa"/>
          </w:tcPr>
          <w:p w14:paraId="074DFD65" w14:textId="77777777" w:rsidR="000177DA" w:rsidRPr="00C8472B" w:rsidRDefault="000177DA" w:rsidP="000177DA">
            <w:pPr>
              <w:ind w:right="57"/>
              <w:jc w:val="center"/>
              <w:rPr>
                <w:sz w:val="18"/>
                <w:szCs w:val="18"/>
              </w:rPr>
            </w:pPr>
          </w:p>
        </w:tc>
        <w:tc>
          <w:tcPr>
            <w:tcW w:w="2651" w:type="dxa"/>
            <w:shd w:val="clear" w:color="auto" w:fill="auto"/>
          </w:tcPr>
          <w:p w14:paraId="55FEB4FA" w14:textId="77777777" w:rsidR="000177DA" w:rsidRPr="00C8472B" w:rsidRDefault="000177DA" w:rsidP="000177DA">
            <w:pPr>
              <w:ind w:right="113"/>
              <w:jc w:val="right"/>
              <w:rPr>
                <w:i/>
                <w:sz w:val="18"/>
                <w:szCs w:val="18"/>
              </w:rPr>
            </w:pPr>
            <w:r>
              <w:rPr>
                <w:i/>
                <w:sz w:val="18"/>
                <w:szCs w:val="18"/>
              </w:rPr>
              <w:t>Trade receivables</w:t>
            </w:r>
          </w:p>
        </w:tc>
      </w:tr>
      <w:tr w:rsidR="000177DA" w:rsidRPr="002F7A56" w14:paraId="789DFDE7" w14:textId="77777777" w:rsidTr="00284CA5">
        <w:tc>
          <w:tcPr>
            <w:tcW w:w="2652" w:type="dxa"/>
            <w:shd w:val="clear" w:color="auto" w:fill="auto"/>
          </w:tcPr>
          <w:p w14:paraId="50A82381" w14:textId="77777777" w:rsidR="000177DA" w:rsidRPr="002F7A56" w:rsidRDefault="000177DA" w:rsidP="000177DA">
            <w:pPr>
              <w:ind w:left="587"/>
              <w:rPr>
                <w:sz w:val="18"/>
                <w:szCs w:val="18"/>
              </w:rPr>
            </w:pPr>
            <w:r>
              <w:rPr>
                <w:sz w:val="18"/>
                <w:szCs w:val="18"/>
              </w:rPr>
              <w:t xml:space="preserve">   Tahir Foundation</w:t>
            </w:r>
          </w:p>
        </w:tc>
        <w:tc>
          <w:tcPr>
            <w:tcW w:w="59" w:type="dxa"/>
          </w:tcPr>
          <w:p w14:paraId="5D66F3DD" w14:textId="77777777" w:rsidR="000177DA" w:rsidRPr="002F7A56" w:rsidRDefault="000177DA" w:rsidP="000177DA">
            <w:pPr>
              <w:ind w:left="113"/>
              <w:jc w:val="center"/>
              <w:rPr>
                <w:sz w:val="18"/>
                <w:szCs w:val="18"/>
              </w:rPr>
            </w:pPr>
          </w:p>
        </w:tc>
        <w:tc>
          <w:tcPr>
            <w:tcW w:w="1858" w:type="dxa"/>
            <w:vAlign w:val="bottom"/>
          </w:tcPr>
          <w:p w14:paraId="51A6439E" w14:textId="078350CF" w:rsidR="000177DA" w:rsidRPr="00FF40BD" w:rsidRDefault="00270C8D" w:rsidP="000177DA">
            <w:pPr>
              <w:ind w:right="57"/>
              <w:jc w:val="right"/>
              <w:rPr>
                <w:sz w:val="18"/>
                <w:szCs w:val="18"/>
              </w:rPr>
            </w:pPr>
            <w:r w:rsidRPr="00FF40BD">
              <w:rPr>
                <w:sz w:val="18"/>
                <w:szCs w:val="18"/>
              </w:rPr>
              <w:t>0.00%</w:t>
            </w:r>
          </w:p>
        </w:tc>
        <w:tc>
          <w:tcPr>
            <w:tcW w:w="59" w:type="dxa"/>
            <w:shd w:val="clear" w:color="auto" w:fill="auto"/>
            <w:vAlign w:val="bottom"/>
          </w:tcPr>
          <w:p w14:paraId="727CF889" w14:textId="77777777" w:rsidR="000177DA" w:rsidRPr="00FF40BD" w:rsidRDefault="000177DA" w:rsidP="000177DA">
            <w:pPr>
              <w:ind w:left="113"/>
              <w:jc w:val="center"/>
              <w:rPr>
                <w:sz w:val="18"/>
                <w:szCs w:val="18"/>
              </w:rPr>
            </w:pPr>
          </w:p>
        </w:tc>
        <w:tc>
          <w:tcPr>
            <w:tcW w:w="1858" w:type="dxa"/>
            <w:shd w:val="clear" w:color="auto" w:fill="auto"/>
            <w:vAlign w:val="bottom"/>
          </w:tcPr>
          <w:p w14:paraId="3F578E70" w14:textId="1F0832CC" w:rsidR="000177DA" w:rsidRPr="00FF40BD" w:rsidRDefault="000177DA" w:rsidP="000177DA">
            <w:pPr>
              <w:ind w:right="57"/>
              <w:jc w:val="right"/>
              <w:rPr>
                <w:sz w:val="18"/>
                <w:szCs w:val="18"/>
              </w:rPr>
            </w:pPr>
            <w:r w:rsidRPr="00FF40BD">
              <w:rPr>
                <w:sz w:val="18"/>
                <w:szCs w:val="18"/>
              </w:rPr>
              <w:t>0.00%</w:t>
            </w:r>
          </w:p>
        </w:tc>
        <w:tc>
          <w:tcPr>
            <w:tcW w:w="60" w:type="dxa"/>
            <w:vAlign w:val="bottom"/>
          </w:tcPr>
          <w:p w14:paraId="1D004378" w14:textId="77777777" w:rsidR="000177DA" w:rsidRPr="002F7A56" w:rsidRDefault="000177DA" w:rsidP="000177DA">
            <w:pPr>
              <w:ind w:left="113"/>
              <w:jc w:val="center"/>
              <w:rPr>
                <w:sz w:val="18"/>
                <w:szCs w:val="18"/>
              </w:rPr>
            </w:pPr>
          </w:p>
        </w:tc>
        <w:tc>
          <w:tcPr>
            <w:tcW w:w="2651" w:type="dxa"/>
            <w:shd w:val="clear" w:color="auto" w:fill="auto"/>
          </w:tcPr>
          <w:p w14:paraId="2E2911D6" w14:textId="77777777" w:rsidR="000177DA" w:rsidRPr="002F7A56" w:rsidRDefault="000177DA" w:rsidP="000177DA">
            <w:pPr>
              <w:ind w:right="227"/>
              <w:jc w:val="right"/>
              <w:rPr>
                <w:i/>
                <w:iCs/>
                <w:sz w:val="18"/>
                <w:szCs w:val="18"/>
              </w:rPr>
            </w:pPr>
            <w:r w:rsidRPr="00113C31">
              <w:rPr>
                <w:bCs w:val="0"/>
                <w:i/>
                <w:sz w:val="18"/>
                <w:szCs w:val="18"/>
              </w:rPr>
              <w:t xml:space="preserve">Tahir </w:t>
            </w:r>
            <w:r w:rsidRPr="004F37C1">
              <w:rPr>
                <w:i/>
                <w:sz w:val="18"/>
                <w:szCs w:val="18"/>
              </w:rPr>
              <w:t>Foundation</w:t>
            </w:r>
          </w:p>
        </w:tc>
      </w:tr>
      <w:tr w:rsidR="000177DA" w:rsidRPr="002F7A56" w14:paraId="5586CE07" w14:textId="77777777" w:rsidTr="00284CA5">
        <w:tc>
          <w:tcPr>
            <w:tcW w:w="2652" w:type="dxa"/>
            <w:shd w:val="clear" w:color="auto" w:fill="auto"/>
            <w:vAlign w:val="bottom"/>
          </w:tcPr>
          <w:p w14:paraId="60228BD7" w14:textId="77777777" w:rsidR="000177DA" w:rsidRDefault="000177DA" w:rsidP="000177DA">
            <w:pPr>
              <w:ind w:left="587"/>
              <w:rPr>
                <w:sz w:val="18"/>
                <w:szCs w:val="18"/>
              </w:rPr>
            </w:pPr>
            <w:r>
              <w:rPr>
                <w:sz w:val="18"/>
                <w:szCs w:val="18"/>
              </w:rPr>
              <w:t xml:space="preserve">   PT Bank Mayapada </w:t>
            </w:r>
          </w:p>
          <w:p w14:paraId="285B99F0" w14:textId="77777777" w:rsidR="000177DA" w:rsidRPr="002F7A56" w:rsidRDefault="000177DA" w:rsidP="000177DA">
            <w:pPr>
              <w:ind w:left="825"/>
              <w:rPr>
                <w:sz w:val="18"/>
                <w:szCs w:val="18"/>
              </w:rPr>
            </w:pPr>
            <w:r>
              <w:rPr>
                <w:sz w:val="18"/>
                <w:szCs w:val="18"/>
              </w:rPr>
              <w:t>Internasional Tbk</w:t>
            </w:r>
          </w:p>
        </w:tc>
        <w:tc>
          <w:tcPr>
            <w:tcW w:w="59" w:type="dxa"/>
          </w:tcPr>
          <w:p w14:paraId="5D2D5611" w14:textId="77777777" w:rsidR="000177DA" w:rsidRPr="002F7A56" w:rsidRDefault="000177DA" w:rsidP="000177DA">
            <w:pPr>
              <w:ind w:left="113"/>
              <w:jc w:val="center"/>
              <w:rPr>
                <w:sz w:val="18"/>
                <w:szCs w:val="18"/>
              </w:rPr>
            </w:pPr>
          </w:p>
        </w:tc>
        <w:tc>
          <w:tcPr>
            <w:tcW w:w="1858" w:type="dxa"/>
            <w:vAlign w:val="bottom"/>
          </w:tcPr>
          <w:p w14:paraId="2F4BA7C3" w14:textId="53BFD7E2" w:rsidR="000177DA" w:rsidRPr="00FF40BD" w:rsidRDefault="00270C8D" w:rsidP="000177DA">
            <w:pPr>
              <w:ind w:right="57"/>
              <w:jc w:val="right"/>
              <w:rPr>
                <w:sz w:val="18"/>
                <w:szCs w:val="18"/>
              </w:rPr>
            </w:pPr>
            <w:r w:rsidRPr="00FF40BD">
              <w:rPr>
                <w:sz w:val="18"/>
                <w:szCs w:val="18"/>
              </w:rPr>
              <w:t>0.00%</w:t>
            </w:r>
          </w:p>
        </w:tc>
        <w:tc>
          <w:tcPr>
            <w:tcW w:w="59" w:type="dxa"/>
            <w:shd w:val="clear" w:color="auto" w:fill="auto"/>
            <w:vAlign w:val="bottom"/>
          </w:tcPr>
          <w:p w14:paraId="046FB8AA" w14:textId="77777777" w:rsidR="000177DA" w:rsidRPr="00FF40BD" w:rsidRDefault="000177DA" w:rsidP="000177DA">
            <w:pPr>
              <w:ind w:left="113"/>
              <w:jc w:val="center"/>
              <w:rPr>
                <w:sz w:val="18"/>
                <w:szCs w:val="18"/>
              </w:rPr>
            </w:pPr>
          </w:p>
        </w:tc>
        <w:tc>
          <w:tcPr>
            <w:tcW w:w="1858" w:type="dxa"/>
            <w:shd w:val="clear" w:color="auto" w:fill="auto"/>
            <w:vAlign w:val="bottom"/>
          </w:tcPr>
          <w:p w14:paraId="4D0BF68C" w14:textId="1F4A3578" w:rsidR="000177DA" w:rsidRPr="00FF40BD" w:rsidRDefault="000177DA" w:rsidP="000177DA">
            <w:pPr>
              <w:ind w:right="57"/>
              <w:jc w:val="right"/>
              <w:rPr>
                <w:sz w:val="18"/>
                <w:szCs w:val="18"/>
              </w:rPr>
            </w:pPr>
            <w:r w:rsidRPr="00FF40BD">
              <w:rPr>
                <w:sz w:val="18"/>
                <w:szCs w:val="18"/>
              </w:rPr>
              <w:t>0.00%</w:t>
            </w:r>
          </w:p>
        </w:tc>
        <w:tc>
          <w:tcPr>
            <w:tcW w:w="60" w:type="dxa"/>
            <w:vAlign w:val="bottom"/>
          </w:tcPr>
          <w:p w14:paraId="5EFE39D1" w14:textId="77777777" w:rsidR="000177DA" w:rsidRPr="002F7A56" w:rsidRDefault="000177DA" w:rsidP="000177DA">
            <w:pPr>
              <w:ind w:left="113"/>
              <w:jc w:val="center"/>
              <w:rPr>
                <w:sz w:val="18"/>
                <w:szCs w:val="18"/>
              </w:rPr>
            </w:pPr>
          </w:p>
        </w:tc>
        <w:tc>
          <w:tcPr>
            <w:tcW w:w="2651" w:type="dxa"/>
            <w:shd w:val="clear" w:color="auto" w:fill="auto"/>
            <w:vAlign w:val="bottom"/>
          </w:tcPr>
          <w:p w14:paraId="5300F2DC" w14:textId="77777777" w:rsidR="000177DA" w:rsidRDefault="000177DA" w:rsidP="000177DA">
            <w:pPr>
              <w:ind w:right="227"/>
              <w:jc w:val="right"/>
              <w:rPr>
                <w:i/>
                <w:sz w:val="18"/>
                <w:szCs w:val="18"/>
              </w:rPr>
            </w:pPr>
            <w:r w:rsidRPr="0013526B">
              <w:rPr>
                <w:i/>
                <w:sz w:val="18"/>
                <w:szCs w:val="18"/>
              </w:rPr>
              <w:t>PT Bank Ma</w:t>
            </w:r>
            <w:r>
              <w:rPr>
                <w:i/>
                <w:sz w:val="18"/>
                <w:szCs w:val="18"/>
              </w:rPr>
              <w:t xml:space="preserve">yapada </w:t>
            </w:r>
          </w:p>
          <w:p w14:paraId="59FCE269" w14:textId="2890B874" w:rsidR="000177DA" w:rsidRPr="002F7A56" w:rsidRDefault="000177DA" w:rsidP="000177DA">
            <w:pPr>
              <w:ind w:right="454"/>
              <w:jc w:val="right"/>
              <w:rPr>
                <w:sz w:val="18"/>
                <w:szCs w:val="18"/>
              </w:rPr>
            </w:pPr>
            <w:r>
              <w:rPr>
                <w:i/>
                <w:sz w:val="18"/>
                <w:szCs w:val="18"/>
              </w:rPr>
              <w:t xml:space="preserve">International </w:t>
            </w:r>
            <w:r w:rsidRPr="0013526B">
              <w:rPr>
                <w:i/>
                <w:sz w:val="18"/>
                <w:szCs w:val="18"/>
              </w:rPr>
              <w:t>Tbk</w:t>
            </w:r>
          </w:p>
        </w:tc>
      </w:tr>
      <w:tr w:rsidR="000177DA" w:rsidRPr="002F7A56" w14:paraId="3861C6A8" w14:textId="77777777" w:rsidTr="00284CA5">
        <w:tc>
          <w:tcPr>
            <w:tcW w:w="2652" w:type="dxa"/>
            <w:shd w:val="clear" w:color="auto" w:fill="auto"/>
            <w:vAlign w:val="bottom"/>
          </w:tcPr>
          <w:p w14:paraId="2F9AD45C" w14:textId="1A3556D6" w:rsidR="000177DA" w:rsidRPr="002F7A56" w:rsidRDefault="000177DA" w:rsidP="000177DA">
            <w:pPr>
              <w:ind w:left="587"/>
              <w:rPr>
                <w:sz w:val="18"/>
                <w:szCs w:val="18"/>
              </w:rPr>
            </w:pPr>
            <w:r>
              <w:rPr>
                <w:sz w:val="18"/>
                <w:szCs w:val="18"/>
              </w:rPr>
              <w:t xml:space="preserve">Piutang lain-lain </w:t>
            </w:r>
          </w:p>
        </w:tc>
        <w:tc>
          <w:tcPr>
            <w:tcW w:w="59" w:type="dxa"/>
          </w:tcPr>
          <w:p w14:paraId="61D1A3E3" w14:textId="77777777" w:rsidR="000177DA" w:rsidRPr="002F7A56" w:rsidRDefault="000177DA" w:rsidP="000177DA">
            <w:pPr>
              <w:ind w:left="113"/>
              <w:jc w:val="center"/>
              <w:rPr>
                <w:sz w:val="18"/>
                <w:szCs w:val="18"/>
              </w:rPr>
            </w:pPr>
          </w:p>
        </w:tc>
        <w:tc>
          <w:tcPr>
            <w:tcW w:w="1858" w:type="dxa"/>
            <w:vAlign w:val="bottom"/>
          </w:tcPr>
          <w:p w14:paraId="42892CD5" w14:textId="77777777" w:rsidR="000177DA" w:rsidRPr="00FF40BD" w:rsidRDefault="000177DA" w:rsidP="000177DA">
            <w:pPr>
              <w:ind w:right="57"/>
              <w:jc w:val="right"/>
              <w:rPr>
                <w:sz w:val="18"/>
                <w:szCs w:val="18"/>
              </w:rPr>
            </w:pPr>
          </w:p>
        </w:tc>
        <w:tc>
          <w:tcPr>
            <w:tcW w:w="59" w:type="dxa"/>
            <w:shd w:val="clear" w:color="auto" w:fill="auto"/>
            <w:vAlign w:val="bottom"/>
          </w:tcPr>
          <w:p w14:paraId="2389BA67" w14:textId="77777777" w:rsidR="000177DA" w:rsidRPr="00FF40BD" w:rsidRDefault="000177DA" w:rsidP="000177DA">
            <w:pPr>
              <w:ind w:left="113"/>
              <w:jc w:val="center"/>
              <w:rPr>
                <w:sz w:val="18"/>
                <w:szCs w:val="18"/>
              </w:rPr>
            </w:pPr>
          </w:p>
        </w:tc>
        <w:tc>
          <w:tcPr>
            <w:tcW w:w="1858" w:type="dxa"/>
            <w:shd w:val="clear" w:color="auto" w:fill="auto"/>
            <w:vAlign w:val="bottom"/>
          </w:tcPr>
          <w:p w14:paraId="75C0BEC8" w14:textId="77777777" w:rsidR="000177DA" w:rsidRPr="00FF40BD" w:rsidRDefault="000177DA" w:rsidP="000177DA">
            <w:pPr>
              <w:ind w:right="57"/>
              <w:jc w:val="right"/>
              <w:rPr>
                <w:sz w:val="18"/>
                <w:szCs w:val="18"/>
              </w:rPr>
            </w:pPr>
          </w:p>
        </w:tc>
        <w:tc>
          <w:tcPr>
            <w:tcW w:w="60" w:type="dxa"/>
            <w:vAlign w:val="bottom"/>
          </w:tcPr>
          <w:p w14:paraId="7E63F5CA" w14:textId="77777777" w:rsidR="000177DA" w:rsidRPr="002F7A56" w:rsidRDefault="000177DA" w:rsidP="000177DA">
            <w:pPr>
              <w:ind w:left="113"/>
              <w:jc w:val="center"/>
              <w:rPr>
                <w:sz w:val="18"/>
                <w:szCs w:val="18"/>
              </w:rPr>
            </w:pPr>
          </w:p>
        </w:tc>
        <w:tc>
          <w:tcPr>
            <w:tcW w:w="2651" w:type="dxa"/>
            <w:shd w:val="clear" w:color="auto" w:fill="auto"/>
            <w:vAlign w:val="bottom"/>
          </w:tcPr>
          <w:p w14:paraId="5BD93F64" w14:textId="77777777" w:rsidR="000177DA" w:rsidRPr="002F7A56" w:rsidRDefault="000177DA" w:rsidP="000177DA">
            <w:pPr>
              <w:ind w:right="113"/>
              <w:jc w:val="right"/>
              <w:rPr>
                <w:i/>
                <w:iCs/>
                <w:sz w:val="18"/>
                <w:szCs w:val="18"/>
              </w:rPr>
            </w:pPr>
            <w:r>
              <w:rPr>
                <w:i/>
                <w:iCs/>
                <w:sz w:val="18"/>
                <w:szCs w:val="18"/>
              </w:rPr>
              <w:t xml:space="preserve">Other receivables </w:t>
            </w:r>
          </w:p>
        </w:tc>
      </w:tr>
      <w:tr w:rsidR="000177DA" w:rsidRPr="002F7A56" w14:paraId="5DDE848B" w14:textId="77777777" w:rsidTr="00284CA5">
        <w:tc>
          <w:tcPr>
            <w:tcW w:w="2652" w:type="dxa"/>
            <w:shd w:val="clear" w:color="auto" w:fill="auto"/>
            <w:vAlign w:val="bottom"/>
          </w:tcPr>
          <w:p w14:paraId="1A0EE104" w14:textId="77777777" w:rsidR="000177DA" w:rsidRDefault="000177DA" w:rsidP="000177DA">
            <w:pPr>
              <w:ind w:left="587"/>
              <w:rPr>
                <w:sz w:val="18"/>
                <w:szCs w:val="18"/>
              </w:rPr>
            </w:pPr>
            <w:r>
              <w:rPr>
                <w:sz w:val="18"/>
                <w:szCs w:val="18"/>
              </w:rPr>
              <w:t xml:space="preserve">   PT Bank Mayapada </w:t>
            </w:r>
          </w:p>
          <w:p w14:paraId="47DB22F4" w14:textId="77777777" w:rsidR="000177DA" w:rsidRPr="002F7A56" w:rsidRDefault="000177DA" w:rsidP="000177DA">
            <w:pPr>
              <w:ind w:left="811" w:firstLine="14"/>
              <w:rPr>
                <w:sz w:val="18"/>
                <w:szCs w:val="18"/>
              </w:rPr>
            </w:pPr>
            <w:r>
              <w:rPr>
                <w:sz w:val="18"/>
                <w:szCs w:val="18"/>
              </w:rPr>
              <w:t>Internasional Tbk</w:t>
            </w:r>
          </w:p>
        </w:tc>
        <w:tc>
          <w:tcPr>
            <w:tcW w:w="59" w:type="dxa"/>
          </w:tcPr>
          <w:p w14:paraId="3CD8D5F0" w14:textId="77777777" w:rsidR="000177DA" w:rsidRPr="002F7A56" w:rsidRDefault="000177DA" w:rsidP="000177DA">
            <w:pPr>
              <w:ind w:left="113"/>
              <w:jc w:val="center"/>
              <w:rPr>
                <w:sz w:val="18"/>
                <w:szCs w:val="18"/>
              </w:rPr>
            </w:pPr>
          </w:p>
        </w:tc>
        <w:tc>
          <w:tcPr>
            <w:tcW w:w="1858" w:type="dxa"/>
            <w:vAlign w:val="bottom"/>
          </w:tcPr>
          <w:p w14:paraId="65943638" w14:textId="01C9EC45" w:rsidR="000177DA" w:rsidRPr="00FF40BD" w:rsidRDefault="00270C8D" w:rsidP="000177DA">
            <w:pPr>
              <w:ind w:right="57"/>
              <w:jc w:val="right"/>
              <w:rPr>
                <w:sz w:val="18"/>
                <w:szCs w:val="18"/>
              </w:rPr>
            </w:pPr>
            <w:r w:rsidRPr="00FF40BD">
              <w:rPr>
                <w:sz w:val="18"/>
                <w:szCs w:val="18"/>
              </w:rPr>
              <w:t>0.00%</w:t>
            </w:r>
          </w:p>
        </w:tc>
        <w:tc>
          <w:tcPr>
            <w:tcW w:w="59" w:type="dxa"/>
            <w:shd w:val="clear" w:color="auto" w:fill="auto"/>
            <w:vAlign w:val="bottom"/>
          </w:tcPr>
          <w:p w14:paraId="01F100FA" w14:textId="77777777" w:rsidR="000177DA" w:rsidRPr="00FF40BD" w:rsidRDefault="000177DA" w:rsidP="000177DA">
            <w:pPr>
              <w:ind w:left="113"/>
              <w:jc w:val="center"/>
              <w:rPr>
                <w:sz w:val="18"/>
                <w:szCs w:val="18"/>
              </w:rPr>
            </w:pPr>
          </w:p>
        </w:tc>
        <w:tc>
          <w:tcPr>
            <w:tcW w:w="1858" w:type="dxa"/>
            <w:shd w:val="clear" w:color="auto" w:fill="auto"/>
            <w:vAlign w:val="bottom"/>
          </w:tcPr>
          <w:p w14:paraId="15BF2940" w14:textId="682F18BC" w:rsidR="000177DA" w:rsidRPr="00FF40BD" w:rsidRDefault="000177DA" w:rsidP="000177DA">
            <w:pPr>
              <w:ind w:right="57"/>
              <w:jc w:val="right"/>
              <w:rPr>
                <w:sz w:val="18"/>
                <w:szCs w:val="18"/>
              </w:rPr>
            </w:pPr>
            <w:r w:rsidRPr="00FF40BD">
              <w:rPr>
                <w:sz w:val="18"/>
                <w:szCs w:val="18"/>
              </w:rPr>
              <w:t>0.00%</w:t>
            </w:r>
          </w:p>
        </w:tc>
        <w:tc>
          <w:tcPr>
            <w:tcW w:w="60" w:type="dxa"/>
            <w:vAlign w:val="bottom"/>
          </w:tcPr>
          <w:p w14:paraId="619E3918" w14:textId="77777777" w:rsidR="000177DA" w:rsidRPr="002F7A56" w:rsidRDefault="000177DA" w:rsidP="000177DA">
            <w:pPr>
              <w:ind w:left="113"/>
              <w:jc w:val="center"/>
              <w:rPr>
                <w:sz w:val="18"/>
                <w:szCs w:val="18"/>
              </w:rPr>
            </w:pPr>
          </w:p>
        </w:tc>
        <w:tc>
          <w:tcPr>
            <w:tcW w:w="2651" w:type="dxa"/>
            <w:shd w:val="clear" w:color="auto" w:fill="auto"/>
            <w:vAlign w:val="bottom"/>
          </w:tcPr>
          <w:p w14:paraId="51725AA4" w14:textId="77777777" w:rsidR="000177DA" w:rsidRDefault="000177DA" w:rsidP="000177DA">
            <w:pPr>
              <w:ind w:right="227"/>
              <w:jc w:val="right"/>
              <w:rPr>
                <w:i/>
                <w:sz w:val="18"/>
                <w:szCs w:val="18"/>
              </w:rPr>
            </w:pPr>
            <w:r w:rsidRPr="0013526B">
              <w:rPr>
                <w:i/>
                <w:sz w:val="18"/>
                <w:szCs w:val="18"/>
              </w:rPr>
              <w:t>PT Bank Ma</w:t>
            </w:r>
            <w:r>
              <w:rPr>
                <w:i/>
                <w:sz w:val="18"/>
                <w:szCs w:val="18"/>
              </w:rPr>
              <w:t xml:space="preserve">yapada </w:t>
            </w:r>
          </w:p>
          <w:p w14:paraId="0E012B15" w14:textId="15A0B5FD" w:rsidR="000177DA" w:rsidRPr="002F7A56" w:rsidRDefault="000177DA" w:rsidP="000177DA">
            <w:pPr>
              <w:ind w:right="454"/>
              <w:jc w:val="right"/>
              <w:rPr>
                <w:sz w:val="18"/>
                <w:szCs w:val="18"/>
              </w:rPr>
            </w:pPr>
            <w:r>
              <w:rPr>
                <w:i/>
                <w:sz w:val="18"/>
                <w:szCs w:val="18"/>
              </w:rPr>
              <w:t xml:space="preserve">International </w:t>
            </w:r>
            <w:r w:rsidRPr="0013526B">
              <w:rPr>
                <w:i/>
                <w:sz w:val="18"/>
                <w:szCs w:val="18"/>
              </w:rPr>
              <w:t>Tbk</w:t>
            </w:r>
          </w:p>
        </w:tc>
      </w:tr>
      <w:tr w:rsidR="000177DA" w:rsidRPr="002F7A56" w14:paraId="0C2CC696" w14:textId="77777777" w:rsidTr="00284CA5">
        <w:tc>
          <w:tcPr>
            <w:tcW w:w="2652" w:type="dxa"/>
            <w:shd w:val="clear" w:color="auto" w:fill="auto"/>
            <w:vAlign w:val="bottom"/>
          </w:tcPr>
          <w:p w14:paraId="3C8FA003" w14:textId="77777777" w:rsidR="000177DA" w:rsidRPr="00F16A86" w:rsidRDefault="000177DA" w:rsidP="000177DA">
            <w:pPr>
              <w:ind w:left="587"/>
              <w:rPr>
                <w:sz w:val="18"/>
                <w:szCs w:val="18"/>
              </w:rPr>
            </w:pPr>
            <w:r>
              <w:rPr>
                <w:sz w:val="18"/>
                <w:szCs w:val="18"/>
              </w:rPr>
              <w:t>Jonathan Tahir</w:t>
            </w:r>
          </w:p>
        </w:tc>
        <w:tc>
          <w:tcPr>
            <w:tcW w:w="59" w:type="dxa"/>
          </w:tcPr>
          <w:p w14:paraId="6CFA72EC" w14:textId="77777777" w:rsidR="000177DA" w:rsidRPr="002F7A56" w:rsidRDefault="000177DA" w:rsidP="000177DA">
            <w:pPr>
              <w:ind w:left="113"/>
              <w:jc w:val="center"/>
              <w:rPr>
                <w:sz w:val="18"/>
                <w:szCs w:val="18"/>
              </w:rPr>
            </w:pPr>
          </w:p>
        </w:tc>
        <w:tc>
          <w:tcPr>
            <w:tcW w:w="1858" w:type="dxa"/>
            <w:tcBorders>
              <w:bottom w:val="single" w:sz="4" w:space="0" w:color="auto"/>
            </w:tcBorders>
            <w:vAlign w:val="bottom"/>
          </w:tcPr>
          <w:p w14:paraId="5F17ADC9" w14:textId="509A0E29" w:rsidR="000177DA" w:rsidRPr="00FF40BD" w:rsidRDefault="000177DA" w:rsidP="000177DA">
            <w:pPr>
              <w:ind w:right="57"/>
              <w:jc w:val="right"/>
              <w:rPr>
                <w:sz w:val="18"/>
                <w:szCs w:val="18"/>
              </w:rPr>
            </w:pPr>
          </w:p>
        </w:tc>
        <w:tc>
          <w:tcPr>
            <w:tcW w:w="59" w:type="dxa"/>
            <w:shd w:val="clear" w:color="auto" w:fill="auto"/>
            <w:vAlign w:val="bottom"/>
          </w:tcPr>
          <w:p w14:paraId="2A72E125" w14:textId="77777777" w:rsidR="000177DA" w:rsidRPr="00FF40BD" w:rsidRDefault="000177DA" w:rsidP="000177DA">
            <w:pPr>
              <w:ind w:left="113"/>
              <w:jc w:val="center"/>
              <w:rPr>
                <w:sz w:val="18"/>
                <w:szCs w:val="18"/>
              </w:rPr>
            </w:pPr>
          </w:p>
        </w:tc>
        <w:tc>
          <w:tcPr>
            <w:tcW w:w="1858" w:type="dxa"/>
            <w:tcBorders>
              <w:bottom w:val="single" w:sz="4" w:space="0" w:color="auto"/>
            </w:tcBorders>
            <w:shd w:val="clear" w:color="auto" w:fill="auto"/>
            <w:vAlign w:val="bottom"/>
          </w:tcPr>
          <w:p w14:paraId="14341C37" w14:textId="0DDEE4BB" w:rsidR="000177DA" w:rsidRPr="00FF40BD" w:rsidRDefault="000177DA" w:rsidP="000177DA">
            <w:pPr>
              <w:ind w:right="57"/>
              <w:jc w:val="right"/>
              <w:rPr>
                <w:sz w:val="18"/>
                <w:szCs w:val="18"/>
              </w:rPr>
            </w:pPr>
            <w:r w:rsidRPr="00FF40BD">
              <w:rPr>
                <w:sz w:val="18"/>
                <w:szCs w:val="18"/>
              </w:rPr>
              <w:t>0.00%</w:t>
            </w:r>
          </w:p>
        </w:tc>
        <w:tc>
          <w:tcPr>
            <w:tcW w:w="60" w:type="dxa"/>
            <w:vAlign w:val="bottom"/>
          </w:tcPr>
          <w:p w14:paraId="2E2B204E" w14:textId="77777777" w:rsidR="000177DA" w:rsidRPr="002F7A56" w:rsidRDefault="000177DA" w:rsidP="000177DA">
            <w:pPr>
              <w:ind w:left="113"/>
              <w:jc w:val="center"/>
              <w:rPr>
                <w:sz w:val="18"/>
                <w:szCs w:val="18"/>
              </w:rPr>
            </w:pPr>
          </w:p>
        </w:tc>
        <w:tc>
          <w:tcPr>
            <w:tcW w:w="2651" w:type="dxa"/>
            <w:shd w:val="clear" w:color="auto" w:fill="auto"/>
            <w:vAlign w:val="bottom"/>
          </w:tcPr>
          <w:p w14:paraId="47831E43" w14:textId="77777777" w:rsidR="000177DA" w:rsidRPr="002F7A56" w:rsidRDefault="000177DA" w:rsidP="000177DA">
            <w:pPr>
              <w:ind w:right="227"/>
              <w:jc w:val="right"/>
              <w:rPr>
                <w:i/>
                <w:iCs/>
                <w:sz w:val="18"/>
                <w:szCs w:val="18"/>
              </w:rPr>
            </w:pPr>
            <w:r w:rsidRPr="004F37C1">
              <w:rPr>
                <w:i/>
                <w:sz w:val="18"/>
                <w:szCs w:val="18"/>
              </w:rPr>
              <w:t>Jonathan</w:t>
            </w:r>
            <w:r>
              <w:rPr>
                <w:i/>
                <w:iCs/>
                <w:sz w:val="18"/>
                <w:szCs w:val="18"/>
              </w:rPr>
              <w:t xml:space="preserve"> Tahir</w:t>
            </w:r>
          </w:p>
        </w:tc>
      </w:tr>
      <w:tr w:rsidR="000177DA" w:rsidRPr="004757CC" w14:paraId="2B5FA50F" w14:textId="77777777" w:rsidTr="00284CA5">
        <w:tc>
          <w:tcPr>
            <w:tcW w:w="2652" w:type="dxa"/>
            <w:shd w:val="clear" w:color="auto" w:fill="auto"/>
            <w:vAlign w:val="bottom"/>
          </w:tcPr>
          <w:p w14:paraId="2CCB1E98" w14:textId="77777777" w:rsidR="000177DA" w:rsidRPr="004757CC" w:rsidRDefault="000177DA" w:rsidP="000177DA">
            <w:pPr>
              <w:ind w:left="587"/>
              <w:jc w:val="center"/>
              <w:rPr>
                <w:sz w:val="8"/>
                <w:szCs w:val="8"/>
              </w:rPr>
            </w:pPr>
          </w:p>
        </w:tc>
        <w:tc>
          <w:tcPr>
            <w:tcW w:w="59" w:type="dxa"/>
          </w:tcPr>
          <w:p w14:paraId="0761663E" w14:textId="77777777" w:rsidR="000177DA" w:rsidRPr="004757CC" w:rsidRDefault="000177DA" w:rsidP="000177DA">
            <w:pPr>
              <w:ind w:left="113"/>
              <w:jc w:val="center"/>
              <w:rPr>
                <w:sz w:val="8"/>
                <w:szCs w:val="8"/>
              </w:rPr>
            </w:pPr>
          </w:p>
        </w:tc>
        <w:tc>
          <w:tcPr>
            <w:tcW w:w="1858" w:type="dxa"/>
            <w:tcBorders>
              <w:top w:val="single" w:sz="4" w:space="0" w:color="auto"/>
            </w:tcBorders>
            <w:vAlign w:val="bottom"/>
          </w:tcPr>
          <w:p w14:paraId="3E9C14C4" w14:textId="77777777" w:rsidR="000177DA" w:rsidRPr="00FF40BD" w:rsidRDefault="000177DA" w:rsidP="000177DA">
            <w:pPr>
              <w:ind w:left="113"/>
              <w:jc w:val="right"/>
              <w:rPr>
                <w:sz w:val="8"/>
                <w:szCs w:val="8"/>
              </w:rPr>
            </w:pPr>
          </w:p>
        </w:tc>
        <w:tc>
          <w:tcPr>
            <w:tcW w:w="59" w:type="dxa"/>
            <w:shd w:val="clear" w:color="auto" w:fill="auto"/>
            <w:vAlign w:val="bottom"/>
          </w:tcPr>
          <w:p w14:paraId="04D57E8B" w14:textId="77777777" w:rsidR="000177DA" w:rsidRPr="00FF40BD" w:rsidRDefault="000177DA" w:rsidP="000177DA">
            <w:pPr>
              <w:ind w:left="113"/>
              <w:jc w:val="center"/>
              <w:rPr>
                <w:sz w:val="8"/>
                <w:szCs w:val="8"/>
              </w:rPr>
            </w:pPr>
          </w:p>
        </w:tc>
        <w:tc>
          <w:tcPr>
            <w:tcW w:w="1858" w:type="dxa"/>
            <w:tcBorders>
              <w:top w:val="single" w:sz="4" w:space="0" w:color="auto"/>
            </w:tcBorders>
            <w:shd w:val="clear" w:color="auto" w:fill="auto"/>
            <w:vAlign w:val="bottom"/>
          </w:tcPr>
          <w:p w14:paraId="0D645E16" w14:textId="77777777" w:rsidR="000177DA" w:rsidRPr="00FF40BD" w:rsidRDefault="000177DA" w:rsidP="000177DA">
            <w:pPr>
              <w:ind w:left="113"/>
              <w:jc w:val="right"/>
              <w:rPr>
                <w:sz w:val="8"/>
                <w:szCs w:val="8"/>
              </w:rPr>
            </w:pPr>
          </w:p>
        </w:tc>
        <w:tc>
          <w:tcPr>
            <w:tcW w:w="60" w:type="dxa"/>
            <w:vAlign w:val="bottom"/>
          </w:tcPr>
          <w:p w14:paraId="5E7A1F53" w14:textId="77777777" w:rsidR="000177DA" w:rsidRPr="004757CC" w:rsidRDefault="000177DA" w:rsidP="000177DA">
            <w:pPr>
              <w:ind w:left="113"/>
              <w:jc w:val="center"/>
              <w:rPr>
                <w:sz w:val="8"/>
                <w:szCs w:val="8"/>
              </w:rPr>
            </w:pPr>
          </w:p>
        </w:tc>
        <w:tc>
          <w:tcPr>
            <w:tcW w:w="2651" w:type="dxa"/>
            <w:shd w:val="clear" w:color="auto" w:fill="auto"/>
            <w:vAlign w:val="bottom"/>
          </w:tcPr>
          <w:p w14:paraId="0E1088E0" w14:textId="77777777" w:rsidR="000177DA" w:rsidRPr="004757CC" w:rsidRDefault="000177DA" w:rsidP="000177DA">
            <w:pPr>
              <w:ind w:left="113"/>
              <w:jc w:val="right"/>
              <w:rPr>
                <w:sz w:val="8"/>
                <w:szCs w:val="8"/>
              </w:rPr>
            </w:pPr>
          </w:p>
        </w:tc>
      </w:tr>
      <w:tr w:rsidR="000177DA" w:rsidRPr="002F7A56" w14:paraId="071B0E8E" w14:textId="77777777" w:rsidTr="00284CA5">
        <w:tc>
          <w:tcPr>
            <w:tcW w:w="2652" w:type="dxa"/>
            <w:shd w:val="clear" w:color="auto" w:fill="auto"/>
            <w:vAlign w:val="bottom"/>
          </w:tcPr>
          <w:p w14:paraId="0F4C0652" w14:textId="77777777" w:rsidR="000177DA" w:rsidRPr="00F16A86" w:rsidRDefault="000177DA" w:rsidP="000177DA">
            <w:pPr>
              <w:ind w:left="587"/>
              <w:rPr>
                <w:b/>
                <w:bCs w:val="0"/>
                <w:sz w:val="18"/>
                <w:szCs w:val="18"/>
              </w:rPr>
            </w:pPr>
            <w:r>
              <w:rPr>
                <w:b/>
                <w:bCs w:val="0"/>
                <w:sz w:val="18"/>
                <w:szCs w:val="18"/>
              </w:rPr>
              <w:t>Jumlah aset</w:t>
            </w:r>
          </w:p>
        </w:tc>
        <w:tc>
          <w:tcPr>
            <w:tcW w:w="59" w:type="dxa"/>
          </w:tcPr>
          <w:p w14:paraId="729B3168" w14:textId="77777777" w:rsidR="000177DA" w:rsidRPr="002F7A56" w:rsidRDefault="000177DA" w:rsidP="000177DA">
            <w:pPr>
              <w:ind w:left="113"/>
              <w:jc w:val="center"/>
              <w:rPr>
                <w:sz w:val="18"/>
                <w:szCs w:val="18"/>
              </w:rPr>
            </w:pPr>
          </w:p>
        </w:tc>
        <w:tc>
          <w:tcPr>
            <w:tcW w:w="1858" w:type="dxa"/>
            <w:tcBorders>
              <w:bottom w:val="double" w:sz="4" w:space="0" w:color="auto"/>
            </w:tcBorders>
            <w:vAlign w:val="bottom"/>
          </w:tcPr>
          <w:p w14:paraId="46C356C5" w14:textId="0F4F9DD9" w:rsidR="000177DA" w:rsidRPr="00FF40BD" w:rsidRDefault="00270C8D" w:rsidP="000177DA">
            <w:pPr>
              <w:ind w:right="57"/>
              <w:jc w:val="right"/>
              <w:rPr>
                <w:b/>
                <w:bCs w:val="0"/>
                <w:sz w:val="18"/>
                <w:szCs w:val="18"/>
              </w:rPr>
            </w:pPr>
            <w:r w:rsidRPr="00FF40BD">
              <w:rPr>
                <w:sz w:val="18"/>
                <w:szCs w:val="18"/>
              </w:rPr>
              <w:t>5.78%</w:t>
            </w:r>
          </w:p>
        </w:tc>
        <w:tc>
          <w:tcPr>
            <w:tcW w:w="59" w:type="dxa"/>
            <w:shd w:val="clear" w:color="auto" w:fill="auto"/>
            <w:vAlign w:val="bottom"/>
          </w:tcPr>
          <w:p w14:paraId="4EE4A44C" w14:textId="77777777" w:rsidR="000177DA" w:rsidRPr="00FF40BD" w:rsidRDefault="000177DA" w:rsidP="000177DA">
            <w:pPr>
              <w:ind w:left="113"/>
              <w:jc w:val="center"/>
              <w:rPr>
                <w:sz w:val="18"/>
                <w:szCs w:val="18"/>
              </w:rPr>
            </w:pPr>
          </w:p>
        </w:tc>
        <w:tc>
          <w:tcPr>
            <w:tcW w:w="1858" w:type="dxa"/>
            <w:tcBorders>
              <w:bottom w:val="double" w:sz="4" w:space="0" w:color="auto"/>
            </w:tcBorders>
            <w:shd w:val="clear" w:color="auto" w:fill="auto"/>
            <w:vAlign w:val="bottom"/>
          </w:tcPr>
          <w:p w14:paraId="347FE48E" w14:textId="113757E4" w:rsidR="000177DA" w:rsidRPr="00FF40BD" w:rsidRDefault="000177DA" w:rsidP="000177DA">
            <w:pPr>
              <w:ind w:right="57"/>
              <w:jc w:val="right"/>
              <w:rPr>
                <w:b/>
                <w:bCs w:val="0"/>
                <w:sz w:val="18"/>
                <w:szCs w:val="18"/>
              </w:rPr>
            </w:pPr>
            <w:r w:rsidRPr="00FF40BD">
              <w:rPr>
                <w:b/>
                <w:bCs w:val="0"/>
                <w:sz w:val="18"/>
                <w:szCs w:val="18"/>
              </w:rPr>
              <w:t>6.32%</w:t>
            </w:r>
          </w:p>
        </w:tc>
        <w:tc>
          <w:tcPr>
            <w:tcW w:w="60" w:type="dxa"/>
            <w:vAlign w:val="bottom"/>
          </w:tcPr>
          <w:p w14:paraId="296FF979" w14:textId="77777777" w:rsidR="000177DA" w:rsidRPr="002F7A56" w:rsidRDefault="000177DA" w:rsidP="000177DA">
            <w:pPr>
              <w:ind w:left="113"/>
              <w:jc w:val="center"/>
              <w:rPr>
                <w:sz w:val="18"/>
                <w:szCs w:val="18"/>
              </w:rPr>
            </w:pPr>
          </w:p>
        </w:tc>
        <w:tc>
          <w:tcPr>
            <w:tcW w:w="2651" w:type="dxa"/>
            <w:shd w:val="clear" w:color="auto" w:fill="auto"/>
            <w:vAlign w:val="bottom"/>
          </w:tcPr>
          <w:p w14:paraId="47C26149" w14:textId="77777777" w:rsidR="000177DA" w:rsidRPr="00B94791" w:rsidRDefault="000177DA" w:rsidP="000177DA">
            <w:pPr>
              <w:ind w:right="113"/>
              <w:jc w:val="right"/>
              <w:rPr>
                <w:b/>
                <w:bCs w:val="0"/>
                <w:i/>
                <w:iCs/>
                <w:sz w:val="18"/>
                <w:szCs w:val="18"/>
              </w:rPr>
            </w:pPr>
            <w:r w:rsidRPr="00B94791">
              <w:rPr>
                <w:b/>
                <w:bCs w:val="0"/>
                <w:i/>
                <w:iCs/>
                <w:sz w:val="18"/>
                <w:szCs w:val="18"/>
              </w:rPr>
              <w:t xml:space="preserve">Total </w:t>
            </w:r>
            <w:r w:rsidRPr="00CE1C02">
              <w:rPr>
                <w:b/>
                <w:bCs w:val="0"/>
                <w:i/>
                <w:sz w:val="18"/>
                <w:szCs w:val="18"/>
              </w:rPr>
              <w:t>assets</w:t>
            </w:r>
          </w:p>
        </w:tc>
      </w:tr>
      <w:tr w:rsidR="004F37C1" w:rsidRPr="00BA06A0" w14:paraId="15B2FDE0" w14:textId="77777777" w:rsidTr="00284CA5">
        <w:tblPrEx>
          <w:tblCellMar>
            <w:left w:w="108" w:type="dxa"/>
            <w:right w:w="108" w:type="dxa"/>
          </w:tblCellMar>
          <w:tblLook w:val="0000" w:firstRow="0" w:lastRow="0" w:firstColumn="0" w:lastColumn="0" w:noHBand="0" w:noVBand="0"/>
        </w:tblPrEx>
        <w:trPr>
          <w:trHeight w:val="90"/>
        </w:trPr>
        <w:tc>
          <w:tcPr>
            <w:tcW w:w="4628" w:type="dxa"/>
            <w:gridSpan w:val="4"/>
            <w:tcBorders>
              <w:top w:val="nil"/>
              <w:left w:val="nil"/>
              <w:bottom w:val="nil"/>
              <w:right w:val="nil"/>
            </w:tcBorders>
          </w:tcPr>
          <w:p w14:paraId="3097E0EE" w14:textId="77777777" w:rsidR="004F37C1" w:rsidRPr="00CA6883" w:rsidRDefault="004F37C1" w:rsidP="004F37C1">
            <w:pPr>
              <w:pStyle w:val="ListParagraph"/>
              <w:ind w:left="470"/>
              <w:jc w:val="both"/>
              <w:rPr>
                <w:bCs w:val="0"/>
                <w:sz w:val="14"/>
                <w:szCs w:val="14"/>
              </w:rPr>
            </w:pPr>
          </w:p>
        </w:tc>
        <w:tc>
          <w:tcPr>
            <w:tcW w:w="4569" w:type="dxa"/>
            <w:gridSpan w:val="3"/>
            <w:tcBorders>
              <w:top w:val="nil"/>
              <w:left w:val="nil"/>
              <w:bottom w:val="nil"/>
              <w:right w:val="nil"/>
            </w:tcBorders>
          </w:tcPr>
          <w:p w14:paraId="4D9CDC0F" w14:textId="77777777" w:rsidR="004F37C1" w:rsidRPr="00CA6883" w:rsidRDefault="004F37C1" w:rsidP="004F37C1">
            <w:pPr>
              <w:pStyle w:val="ListParagraph"/>
              <w:ind w:left="470"/>
              <w:jc w:val="both"/>
              <w:rPr>
                <w:bCs w:val="0"/>
                <w:i/>
                <w:iCs/>
                <w:sz w:val="14"/>
                <w:szCs w:val="14"/>
              </w:rPr>
            </w:pPr>
          </w:p>
        </w:tc>
      </w:tr>
      <w:tr w:rsidR="004F37C1" w:rsidRPr="00BA06A0" w14:paraId="73B2C84F" w14:textId="77777777" w:rsidTr="00284CA5">
        <w:tblPrEx>
          <w:tblCellMar>
            <w:left w:w="108" w:type="dxa"/>
            <w:right w:w="108" w:type="dxa"/>
          </w:tblCellMar>
          <w:tblLook w:val="0000" w:firstRow="0" w:lastRow="0" w:firstColumn="0" w:lastColumn="0" w:noHBand="0" w:noVBand="0"/>
        </w:tblPrEx>
        <w:trPr>
          <w:trHeight w:val="90"/>
        </w:trPr>
        <w:tc>
          <w:tcPr>
            <w:tcW w:w="4628" w:type="dxa"/>
            <w:gridSpan w:val="4"/>
            <w:tcBorders>
              <w:top w:val="nil"/>
              <w:left w:val="nil"/>
              <w:bottom w:val="nil"/>
              <w:right w:val="nil"/>
            </w:tcBorders>
          </w:tcPr>
          <w:p w14:paraId="42430BC3" w14:textId="75E01E14" w:rsidR="004F37C1" w:rsidRPr="00814476" w:rsidRDefault="004F37C1" w:rsidP="004F37C1">
            <w:pPr>
              <w:pStyle w:val="ListParagraph"/>
              <w:ind w:left="470"/>
              <w:jc w:val="both"/>
              <w:rPr>
                <w:bCs w:val="0"/>
                <w:sz w:val="18"/>
                <w:szCs w:val="18"/>
              </w:rPr>
            </w:pPr>
            <w:r w:rsidRPr="00814476">
              <w:rPr>
                <w:bCs w:val="0"/>
                <w:sz w:val="18"/>
                <w:szCs w:val="18"/>
              </w:rPr>
              <w:t xml:space="preserve">Persentase saldo masing-masing </w:t>
            </w:r>
            <w:r>
              <w:rPr>
                <w:bCs w:val="0"/>
                <w:sz w:val="18"/>
                <w:szCs w:val="18"/>
              </w:rPr>
              <w:t>liabilitas kepada pihak berelasi terhadap jumlah liabilitas sebagai berikut:</w:t>
            </w:r>
          </w:p>
        </w:tc>
        <w:tc>
          <w:tcPr>
            <w:tcW w:w="4569" w:type="dxa"/>
            <w:gridSpan w:val="3"/>
            <w:tcBorders>
              <w:top w:val="nil"/>
              <w:left w:val="nil"/>
              <w:bottom w:val="nil"/>
              <w:right w:val="nil"/>
            </w:tcBorders>
          </w:tcPr>
          <w:p w14:paraId="2127173A" w14:textId="180153E3" w:rsidR="004F37C1" w:rsidRDefault="004F37C1" w:rsidP="004F37C1">
            <w:pPr>
              <w:pStyle w:val="ListParagraph"/>
              <w:ind w:left="470"/>
              <w:jc w:val="both"/>
              <w:rPr>
                <w:bCs w:val="0"/>
                <w:i/>
                <w:iCs/>
                <w:sz w:val="18"/>
                <w:szCs w:val="18"/>
              </w:rPr>
            </w:pPr>
            <w:r>
              <w:rPr>
                <w:bCs w:val="0"/>
                <w:i/>
                <w:iCs/>
                <w:sz w:val="18"/>
                <w:szCs w:val="18"/>
              </w:rPr>
              <w:t>The percentage of each liability to related part</w:t>
            </w:r>
            <w:r w:rsidR="00F64A5D">
              <w:rPr>
                <w:bCs w:val="0"/>
                <w:i/>
                <w:iCs/>
                <w:sz w:val="18"/>
                <w:szCs w:val="18"/>
              </w:rPr>
              <w:t>ies</w:t>
            </w:r>
            <w:r>
              <w:rPr>
                <w:bCs w:val="0"/>
                <w:i/>
                <w:iCs/>
                <w:sz w:val="18"/>
                <w:szCs w:val="18"/>
              </w:rPr>
              <w:t xml:space="preserve"> balances to total liabilities are as follows:</w:t>
            </w:r>
          </w:p>
        </w:tc>
      </w:tr>
    </w:tbl>
    <w:p w14:paraId="13174396" w14:textId="77777777" w:rsidR="00F16A86" w:rsidRDefault="00F16A86" w:rsidP="0013526B">
      <w:pPr>
        <w:rPr>
          <w:sz w:val="12"/>
          <w:szCs w:val="4"/>
          <w:lang w:val="id-ID"/>
        </w:rPr>
      </w:pPr>
    </w:p>
    <w:tbl>
      <w:tblPr>
        <w:tblW w:w="9197" w:type="dxa"/>
        <w:tblInd w:w="378" w:type="dxa"/>
        <w:tblCellMar>
          <w:left w:w="0" w:type="dxa"/>
          <w:right w:w="0" w:type="dxa"/>
        </w:tblCellMar>
        <w:tblLook w:val="04A0" w:firstRow="1" w:lastRow="0" w:firstColumn="1" w:lastColumn="0" w:noHBand="0" w:noVBand="1"/>
      </w:tblPr>
      <w:tblGrid>
        <w:gridCol w:w="2649"/>
        <w:gridCol w:w="61"/>
        <w:gridCol w:w="1857"/>
        <w:gridCol w:w="60"/>
        <w:gridCol w:w="1857"/>
        <w:gridCol w:w="63"/>
        <w:gridCol w:w="2650"/>
      </w:tblGrid>
      <w:tr w:rsidR="000177DA" w:rsidRPr="0013526B" w14:paraId="5B940957" w14:textId="77777777" w:rsidTr="00284CA5">
        <w:tc>
          <w:tcPr>
            <w:tcW w:w="2649" w:type="dxa"/>
            <w:shd w:val="clear" w:color="auto" w:fill="auto"/>
            <w:vAlign w:val="bottom"/>
          </w:tcPr>
          <w:p w14:paraId="74A1AA23" w14:textId="77777777" w:rsidR="000177DA" w:rsidRPr="002F7A56" w:rsidRDefault="000177DA" w:rsidP="000177DA">
            <w:pPr>
              <w:jc w:val="center"/>
              <w:rPr>
                <w:b/>
                <w:bCs w:val="0"/>
                <w:i/>
                <w:iCs/>
                <w:sz w:val="18"/>
                <w:szCs w:val="18"/>
              </w:rPr>
            </w:pPr>
          </w:p>
        </w:tc>
        <w:tc>
          <w:tcPr>
            <w:tcW w:w="61" w:type="dxa"/>
          </w:tcPr>
          <w:p w14:paraId="790900EA" w14:textId="77777777" w:rsidR="000177DA" w:rsidRPr="0013526B" w:rsidRDefault="000177DA" w:rsidP="000177DA">
            <w:pPr>
              <w:jc w:val="center"/>
              <w:rPr>
                <w:b/>
                <w:sz w:val="18"/>
                <w:szCs w:val="18"/>
              </w:rPr>
            </w:pPr>
          </w:p>
        </w:tc>
        <w:tc>
          <w:tcPr>
            <w:tcW w:w="1857" w:type="dxa"/>
            <w:tcBorders>
              <w:bottom w:val="single" w:sz="4" w:space="0" w:color="auto"/>
            </w:tcBorders>
          </w:tcPr>
          <w:p w14:paraId="29E7A84F" w14:textId="77777777" w:rsidR="000177DA" w:rsidRPr="008109D0" w:rsidRDefault="000177DA" w:rsidP="000177DA">
            <w:pPr>
              <w:jc w:val="center"/>
              <w:rPr>
                <w:b/>
                <w:sz w:val="18"/>
                <w:szCs w:val="18"/>
              </w:rPr>
            </w:pPr>
            <w:r w:rsidRPr="008109D0">
              <w:rPr>
                <w:b/>
                <w:sz w:val="18"/>
                <w:szCs w:val="18"/>
              </w:rPr>
              <w:t>31 Maret/</w:t>
            </w:r>
          </w:p>
          <w:p w14:paraId="6975091E" w14:textId="5CBEC361" w:rsidR="000177DA" w:rsidRPr="008109D0" w:rsidRDefault="000177DA" w:rsidP="000177DA">
            <w:pPr>
              <w:jc w:val="center"/>
              <w:rPr>
                <w:b/>
                <w:sz w:val="18"/>
                <w:szCs w:val="18"/>
              </w:rPr>
            </w:pPr>
            <w:r w:rsidRPr="008109D0">
              <w:rPr>
                <w:b/>
                <w:sz w:val="18"/>
                <w:szCs w:val="18"/>
              </w:rPr>
              <w:t>March 31</w:t>
            </w:r>
            <w:r w:rsidR="00305CA0">
              <w:rPr>
                <w:b/>
                <w:sz w:val="18"/>
                <w:szCs w:val="18"/>
              </w:rPr>
              <w:t>.</w:t>
            </w:r>
            <w:r w:rsidRPr="008109D0">
              <w:rPr>
                <w:b/>
                <w:sz w:val="18"/>
                <w:szCs w:val="18"/>
              </w:rPr>
              <w:t xml:space="preserve">  2020</w:t>
            </w:r>
          </w:p>
        </w:tc>
        <w:tc>
          <w:tcPr>
            <w:tcW w:w="60" w:type="dxa"/>
            <w:shd w:val="clear" w:color="auto" w:fill="auto"/>
            <w:vAlign w:val="bottom"/>
          </w:tcPr>
          <w:p w14:paraId="49EBA455" w14:textId="77777777" w:rsidR="000177DA" w:rsidRPr="0013526B" w:rsidRDefault="000177DA" w:rsidP="000177DA">
            <w:pPr>
              <w:jc w:val="center"/>
              <w:rPr>
                <w:b/>
                <w:sz w:val="18"/>
                <w:szCs w:val="18"/>
              </w:rPr>
            </w:pPr>
          </w:p>
        </w:tc>
        <w:tc>
          <w:tcPr>
            <w:tcW w:w="1857" w:type="dxa"/>
            <w:tcBorders>
              <w:bottom w:val="single" w:sz="4" w:space="0" w:color="auto"/>
            </w:tcBorders>
            <w:shd w:val="clear" w:color="auto" w:fill="auto"/>
            <w:vAlign w:val="bottom"/>
          </w:tcPr>
          <w:p w14:paraId="700C21F3" w14:textId="29F9FCDC" w:rsidR="000177DA" w:rsidRPr="00F16A86" w:rsidRDefault="000177DA" w:rsidP="000177DA">
            <w:pPr>
              <w:jc w:val="center"/>
              <w:rPr>
                <w:b/>
                <w:sz w:val="18"/>
                <w:szCs w:val="18"/>
              </w:rPr>
            </w:pPr>
            <w:r>
              <w:rPr>
                <w:b/>
                <w:sz w:val="18"/>
                <w:szCs w:val="18"/>
              </w:rPr>
              <w:t>31 Desember/ December 31</w:t>
            </w:r>
            <w:r w:rsidR="00305CA0">
              <w:rPr>
                <w:b/>
                <w:sz w:val="18"/>
                <w:szCs w:val="18"/>
              </w:rPr>
              <w:t>.</w:t>
            </w:r>
            <w:r>
              <w:rPr>
                <w:b/>
                <w:sz w:val="18"/>
                <w:szCs w:val="18"/>
              </w:rPr>
              <w:t xml:space="preserve"> </w:t>
            </w:r>
            <w:r w:rsidRPr="00F16A86">
              <w:rPr>
                <w:b/>
                <w:sz w:val="18"/>
                <w:szCs w:val="18"/>
              </w:rPr>
              <w:t>201</w:t>
            </w:r>
            <w:r>
              <w:rPr>
                <w:b/>
                <w:sz w:val="18"/>
                <w:szCs w:val="18"/>
              </w:rPr>
              <w:t>9</w:t>
            </w:r>
          </w:p>
        </w:tc>
        <w:tc>
          <w:tcPr>
            <w:tcW w:w="63" w:type="dxa"/>
            <w:vAlign w:val="bottom"/>
          </w:tcPr>
          <w:p w14:paraId="1C7F55A6" w14:textId="77777777" w:rsidR="000177DA" w:rsidRPr="0013526B" w:rsidRDefault="000177DA" w:rsidP="000177DA">
            <w:pPr>
              <w:jc w:val="center"/>
              <w:rPr>
                <w:b/>
                <w:sz w:val="18"/>
                <w:szCs w:val="18"/>
              </w:rPr>
            </w:pPr>
          </w:p>
        </w:tc>
        <w:tc>
          <w:tcPr>
            <w:tcW w:w="2650" w:type="dxa"/>
            <w:shd w:val="clear" w:color="auto" w:fill="auto"/>
            <w:vAlign w:val="bottom"/>
          </w:tcPr>
          <w:p w14:paraId="5C058A35" w14:textId="77777777" w:rsidR="000177DA" w:rsidRPr="002F7A56" w:rsidRDefault="000177DA" w:rsidP="000177DA">
            <w:pPr>
              <w:jc w:val="center"/>
              <w:rPr>
                <w:b/>
                <w:bCs w:val="0"/>
                <w:i/>
                <w:iCs/>
                <w:sz w:val="18"/>
                <w:szCs w:val="18"/>
              </w:rPr>
            </w:pPr>
          </w:p>
        </w:tc>
      </w:tr>
      <w:tr w:rsidR="00CA6883" w:rsidRPr="004757CC" w14:paraId="0C458A4E" w14:textId="77777777" w:rsidTr="00284CA5">
        <w:tc>
          <w:tcPr>
            <w:tcW w:w="2649" w:type="dxa"/>
            <w:shd w:val="clear" w:color="auto" w:fill="auto"/>
          </w:tcPr>
          <w:p w14:paraId="593732A2" w14:textId="77777777" w:rsidR="00CA6883" w:rsidRPr="004757CC" w:rsidRDefault="00CA6883" w:rsidP="00B06D55">
            <w:pPr>
              <w:jc w:val="center"/>
              <w:rPr>
                <w:sz w:val="8"/>
                <w:szCs w:val="8"/>
              </w:rPr>
            </w:pPr>
          </w:p>
        </w:tc>
        <w:tc>
          <w:tcPr>
            <w:tcW w:w="61" w:type="dxa"/>
          </w:tcPr>
          <w:p w14:paraId="359E5D80" w14:textId="77777777" w:rsidR="00CA6883" w:rsidRPr="004757CC" w:rsidRDefault="00CA6883" w:rsidP="00B06D55">
            <w:pPr>
              <w:jc w:val="center"/>
              <w:rPr>
                <w:b/>
                <w:sz w:val="8"/>
                <w:szCs w:val="8"/>
              </w:rPr>
            </w:pPr>
          </w:p>
        </w:tc>
        <w:tc>
          <w:tcPr>
            <w:tcW w:w="1857" w:type="dxa"/>
            <w:tcBorders>
              <w:top w:val="single" w:sz="4" w:space="0" w:color="auto"/>
            </w:tcBorders>
          </w:tcPr>
          <w:p w14:paraId="1775B984" w14:textId="77777777" w:rsidR="00CA6883" w:rsidRPr="008109D0" w:rsidRDefault="00CA6883" w:rsidP="00B06D55">
            <w:pPr>
              <w:jc w:val="center"/>
              <w:rPr>
                <w:b/>
                <w:sz w:val="8"/>
                <w:szCs w:val="8"/>
              </w:rPr>
            </w:pPr>
          </w:p>
        </w:tc>
        <w:tc>
          <w:tcPr>
            <w:tcW w:w="60" w:type="dxa"/>
            <w:shd w:val="clear" w:color="auto" w:fill="auto"/>
          </w:tcPr>
          <w:p w14:paraId="1A5AB168" w14:textId="77777777" w:rsidR="00CA6883" w:rsidRPr="004757CC" w:rsidRDefault="00CA6883" w:rsidP="00B06D55">
            <w:pPr>
              <w:jc w:val="center"/>
              <w:rPr>
                <w:b/>
                <w:sz w:val="8"/>
                <w:szCs w:val="8"/>
              </w:rPr>
            </w:pPr>
          </w:p>
        </w:tc>
        <w:tc>
          <w:tcPr>
            <w:tcW w:w="1857" w:type="dxa"/>
            <w:tcBorders>
              <w:top w:val="single" w:sz="4" w:space="0" w:color="auto"/>
            </w:tcBorders>
            <w:shd w:val="clear" w:color="auto" w:fill="auto"/>
          </w:tcPr>
          <w:p w14:paraId="24549BF4" w14:textId="77777777" w:rsidR="00CA6883" w:rsidRPr="004757CC" w:rsidRDefault="00CA6883" w:rsidP="00B06D55">
            <w:pPr>
              <w:jc w:val="center"/>
              <w:rPr>
                <w:b/>
                <w:sz w:val="8"/>
                <w:szCs w:val="8"/>
              </w:rPr>
            </w:pPr>
          </w:p>
        </w:tc>
        <w:tc>
          <w:tcPr>
            <w:tcW w:w="63" w:type="dxa"/>
          </w:tcPr>
          <w:p w14:paraId="5CEFA9D1" w14:textId="77777777" w:rsidR="00CA6883" w:rsidRPr="004757CC" w:rsidRDefault="00CA6883" w:rsidP="00B06D55">
            <w:pPr>
              <w:jc w:val="center"/>
              <w:rPr>
                <w:b/>
                <w:sz w:val="8"/>
                <w:szCs w:val="8"/>
              </w:rPr>
            </w:pPr>
          </w:p>
        </w:tc>
        <w:tc>
          <w:tcPr>
            <w:tcW w:w="2650" w:type="dxa"/>
            <w:shd w:val="clear" w:color="auto" w:fill="auto"/>
          </w:tcPr>
          <w:p w14:paraId="7152B062" w14:textId="77777777" w:rsidR="00CA6883" w:rsidRPr="004757CC" w:rsidRDefault="00CA6883" w:rsidP="00B06D55">
            <w:pPr>
              <w:jc w:val="center"/>
              <w:rPr>
                <w:sz w:val="8"/>
                <w:szCs w:val="8"/>
              </w:rPr>
            </w:pPr>
          </w:p>
        </w:tc>
      </w:tr>
      <w:tr w:rsidR="00CA6883" w:rsidRPr="00EC0164" w14:paraId="1BC34C60" w14:textId="77777777" w:rsidTr="00284CA5">
        <w:trPr>
          <w:trHeight w:val="249"/>
        </w:trPr>
        <w:tc>
          <w:tcPr>
            <w:tcW w:w="2649" w:type="dxa"/>
            <w:shd w:val="clear" w:color="auto" w:fill="auto"/>
            <w:vAlign w:val="bottom"/>
          </w:tcPr>
          <w:p w14:paraId="62D7789F" w14:textId="09ABBECA" w:rsidR="00CA6883" w:rsidRPr="00F16A86" w:rsidRDefault="00CA6883" w:rsidP="007D62AC">
            <w:pPr>
              <w:ind w:left="587"/>
              <w:rPr>
                <w:b/>
                <w:bCs w:val="0"/>
                <w:sz w:val="18"/>
                <w:szCs w:val="18"/>
              </w:rPr>
            </w:pPr>
            <w:r>
              <w:rPr>
                <w:b/>
                <w:bCs w:val="0"/>
                <w:sz w:val="18"/>
                <w:szCs w:val="18"/>
              </w:rPr>
              <w:t>Liabilitas</w:t>
            </w:r>
          </w:p>
        </w:tc>
        <w:tc>
          <w:tcPr>
            <w:tcW w:w="61" w:type="dxa"/>
          </w:tcPr>
          <w:p w14:paraId="7F3B64FE" w14:textId="77777777" w:rsidR="00CA6883" w:rsidRPr="00C8472B" w:rsidRDefault="00CA6883" w:rsidP="00B06D55">
            <w:pPr>
              <w:ind w:right="57"/>
              <w:jc w:val="center"/>
              <w:rPr>
                <w:sz w:val="18"/>
                <w:szCs w:val="18"/>
              </w:rPr>
            </w:pPr>
          </w:p>
        </w:tc>
        <w:tc>
          <w:tcPr>
            <w:tcW w:w="1857" w:type="dxa"/>
          </w:tcPr>
          <w:p w14:paraId="249E606E" w14:textId="77777777" w:rsidR="00CA6883" w:rsidRPr="008109D0" w:rsidRDefault="00CA6883" w:rsidP="00B06D55">
            <w:pPr>
              <w:ind w:right="57"/>
              <w:jc w:val="center"/>
              <w:rPr>
                <w:sz w:val="18"/>
                <w:szCs w:val="18"/>
              </w:rPr>
            </w:pPr>
          </w:p>
        </w:tc>
        <w:tc>
          <w:tcPr>
            <w:tcW w:w="60" w:type="dxa"/>
            <w:shd w:val="clear" w:color="auto" w:fill="auto"/>
            <w:vAlign w:val="bottom"/>
          </w:tcPr>
          <w:p w14:paraId="6AE6350C" w14:textId="77777777" w:rsidR="00CA6883" w:rsidRPr="00C8472B" w:rsidRDefault="00CA6883" w:rsidP="00B06D55">
            <w:pPr>
              <w:ind w:right="57"/>
              <w:jc w:val="center"/>
              <w:rPr>
                <w:sz w:val="18"/>
                <w:szCs w:val="18"/>
              </w:rPr>
            </w:pPr>
          </w:p>
        </w:tc>
        <w:tc>
          <w:tcPr>
            <w:tcW w:w="1857" w:type="dxa"/>
            <w:shd w:val="clear" w:color="auto" w:fill="auto"/>
            <w:vAlign w:val="bottom"/>
          </w:tcPr>
          <w:p w14:paraId="1C8E0C71" w14:textId="77777777" w:rsidR="00CA6883" w:rsidRPr="00C8472B" w:rsidRDefault="00CA6883" w:rsidP="00B06D55">
            <w:pPr>
              <w:ind w:right="57"/>
              <w:jc w:val="right"/>
              <w:rPr>
                <w:sz w:val="18"/>
                <w:szCs w:val="18"/>
              </w:rPr>
            </w:pPr>
          </w:p>
        </w:tc>
        <w:tc>
          <w:tcPr>
            <w:tcW w:w="63" w:type="dxa"/>
          </w:tcPr>
          <w:p w14:paraId="108000ED" w14:textId="77777777" w:rsidR="00CA6883" w:rsidRPr="00C8472B" w:rsidRDefault="00CA6883" w:rsidP="00B06D55">
            <w:pPr>
              <w:ind w:right="57"/>
              <w:jc w:val="center"/>
              <w:rPr>
                <w:sz w:val="18"/>
                <w:szCs w:val="18"/>
              </w:rPr>
            </w:pPr>
          </w:p>
        </w:tc>
        <w:tc>
          <w:tcPr>
            <w:tcW w:w="2650" w:type="dxa"/>
            <w:shd w:val="clear" w:color="auto" w:fill="auto"/>
            <w:vAlign w:val="bottom"/>
          </w:tcPr>
          <w:p w14:paraId="19B04E94" w14:textId="44AA0414" w:rsidR="00CA6883" w:rsidRPr="0082756C" w:rsidRDefault="00CA6883" w:rsidP="00B06D55">
            <w:pPr>
              <w:ind w:right="113"/>
              <w:jc w:val="right"/>
              <w:rPr>
                <w:b/>
                <w:bCs w:val="0"/>
                <w:i/>
                <w:sz w:val="18"/>
                <w:szCs w:val="18"/>
              </w:rPr>
            </w:pPr>
            <w:r>
              <w:rPr>
                <w:b/>
                <w:bCs w:val="0"/>
                <w:i/>
                <w:sz w:val="18"/>
                <w:szCs w:val="18"/>
              </w:rPr>
              <w:t xml:space="preserve">Liabilities </w:t>
            </w:r>
          </w:p>
        </w:tc>
      </w:tr>
      <w:tr w:rsidR="00CA6883" w:rsidRPr="00EC0164" w14:paraId="18E58F5F" w14:textId="77777777" w:rsidTr="00284CA5">
        <w:trPr>
          <w:trHeight w:val="249"/>
        </w:trPr>
        <w:tc>
          <w:tcPr>
            <w:tcW w:w="2649" w:type="dxa"/>
            <w:shd w:val="clear" w:color="auto" w:fill="auto"/>
            <w:vAlign w:val="bottom"/>
          </w:tcPr>
          <w:p w14:paraId="2E55B2BA" w14:textId="5AD9F43D" w:rsidR="00CA6883" w:rsidRPr="00C8472B" w:rsidRDefault="00CA6883" w:rsidP="007D62AC">
            <w:pPr>
              <w:ind w:left="587"/>
              <w:rPr>
                <w:sz w:val="18"/>
                <w:szCs w:val="18"/>
              </w:rPr>
            </w:pPr>
            <w:r>
              <w:rPr>
                <w:sz w:val="18"/>
                <w:szCs w:val="18"/>
              </w:rPr>
              <w:t>Utang lain-lain</w:t>
            </w:r>
          </w:p>
        </w:tc>
        <w:tc>
          <w:tcPr>
            <w:tcW w:w="61" w:type="dxa"/>
          </w:tcPr>
          <w:p w14:paraId="28B657B9" w14:textId="77777777" w:rsidR="00CA6883" w:rsidRPr="00C8472B" w:rsidRDefault="00CA6883" w:rsidP="00B06D55">
            <w:pPr>
              <w:ind w:right="57"/>
              <w:jc w:val="center"/>
              <w:rPr>
                <w:sz w:val="18"/>
                <w:szCs w:val="18"/>
              </w:rPr>
            </w:pPr>
          </w:p>
        </w:tc>
        <w:tc>
          <w:tcPr>
            <w:tcW w:w="1857" w:type="dxa"/>
            <w:vAlign w:val="bottom"/>
          </w:tcPr>
          <w:p w14:paraId="765018FD" w14:textId="77777777" w:rsidR="00CA6883" w:rsidRPr="008109D0" w:rsidRDefault="00CA6883" w:rsidP="007C1860">
            <w:pPr>
              <w:ind w:right="57"/>
              <w:jc w:val="right"/>
              <w:rPr>
                <w:sz w:val="18"/>
                <w:szCs w:val="18"/>
              </w:rPr>
            </w:pPr>
          </w:p>
        </w:tc>
        <w:tc>
          <w:tcPr>
            <w:tcW w:w="60" w:type="dxa"/>
            <w:shd w:val="clear" w:color="auto" w:fill="auto"/>
            <w:vAlign w:val="bottom"/>
          </w:tcPr>
          <w:p w14:paraId="79DB985E" w14:textId="77777777" w:rsidR="00CA6883" w:rsidRPr="00C8472B" w:rsidRDefault="00CA6883" w:rsidP="00B06D55">
            <w:pPr>
              <w:ind w:right="57"/>
              <w:jc w:val="center"/>
              <w:rPr>
                <w:sz w:val="18"/>
                <w:szCs w:val="18"/>
              </w:rPr>
            </w:pPr>
          </w:p>
        </w:tc>
        <w:tc>
          <w:tcPr>
            <w:tcW w:w="1857" w:type="dxa"/>
            <w:shd w:val="clear" w:color="auto" w:fill="auto"/>
            <w:vAlign w:val="bottom"/>
          </w:tcPr>
          <w:p w14:paraId="78715517" w14:textId="77777777" w:rsidR="00CA6883" w:rsidRPr="0082756C" w:rsidRDefault="00CA6883" w:rsidP="00B06D55">
            <w:pPr>
              <w:ind w:right="57"/>
              <w:jc w:val="right"/>
              <w:rPr>
                <w:sz w:val="18"/>
                <w:szCs w:val="18"/>
              </w:rPr>
            </w:pPr>
          </w:p>
        </w:tc>
        <w:tc>
          <w:tcPr>
            <w:tcW w:w="63" w:type="dxa"/>
          </w:tcPr>
          <w:p w14:paraId="2EDA58CE" w14:textId="77777777" w:rsidR="00CA6883" w:rsidRPr="00C8472B" w:rsidRDefault="00CA6883" w:rsidP="00B06D55">
            <w:pPr>
              <w:ind w:right="57"/>
              <w:jc w:val="center"/>
              <w:rPr>
                <w:sz w:val="18"/>
                <w:szCs w:val="18"/>
              </w:rPr>
            </w:pPr>
          </w:p>
        </w:tc>
        <w:tc>
          <w:tcPr>
            <w:tcW w:w="2650" w:type="dxa"/>
            <w:shd w:val="clear" w:color="auto" w:fill="auto"/>
            <w:vAlign w:val="bottom"/>
          </w:tcPr>
          <w:p w14:paraId="098D9DA6" w14:textId="708D591B" w:rsidR="00CA6883" w:rsidRPr="00C8472B" w:rsidRDefault="00CA6883" w:rsidP="00B06D55">
            <w:pPr>
              <w:ind w:right="113"/>
              <w:jc w:val="right"/>
              <w:rPr>
                <w:i/>
                <w:sz w:val="18"/>
                <w:szCs w:val="18"/>
              </w:rPr>
            </w:pPr>
            <w:r w:rsidRPr="00EA2E1E">
              <w:rPr>
                <w:i/>
                <w:sz w:val="18"/>
                <w:szCs w:val="18"/>
              </w:rPr>
              <w:t>Other payable</w:t>
            </w:r>
          </w:p>
        </w:tc>
      </w:tr>
      <w:tr w:rsidR="000177DA" w:rsidRPr="00EC0164" w14:paraId="0FA8E012" w14:textId="77777777" w:rsidTr="00284CA5">
        <w:trPr>
          <w:trHeight w:val="249"/>
        </w:trPr>
        <w:tc>
          <w:tcPr>
            <w:tcW w:w="2649" w:type="dxa"/>
            <w:shd w:val="clear" w:color="auto" w:fill="auto"/>
            <w:vAlign w:val="bottom"/>
          </w:tcPr>
          <w:p w14:paraId="4CDFE58A" w14:textId="77777777" w:rsidR="000177DA" w:rsidRDefault="000177DA" w:rsidP="000177DA">
            <w:pPr>
              <w:ind w:left="587"/>
              <w:rPr>
                <w:sz w:val="18"/>
                <w:szCs w:val="18"/>
              </w:rPr>
            </w:pPr>
            <w:r>
              <w:rPr>
                <w:sz w:val="18"/>
                <w:szCs w:val="18"/>
              </w:rPr>
              <w:t xml:space="preserve">   PT Surya Cipta Inti </w:t>
            </w:r>
          </w:p>
          <w:p w14:paraId="2CD8437A" w14:textId="36BB5CB2" w:rsidR="000177DA" w:rsidRPr="00C8472B" w:rsidRDefault="000177DA" w:rsidP="000177DA">
            <w:pPr>
              <w:ind w:left="755" w:firstLine="84"/>
              <w:rPr>
                <w:sz w:val="18"/>
                <w:szCs w:val="18"/>
              </w:rPr>
            </w:pPr>
            <w:r>
              <w:rPr>
                <w:sz w:val="18"/>
                <w:szCs w:val="18"/>
              </w:rPr>
              <w:t>Cemerlang</w:t>
            </w:r>
          </w:p>
        </w:tc>
        <w:tc>
          <w:tcPr>
            <w:tcW w:w="61" w:type="dxa"/>
          </w:tcPr>
          <w:p w14:paraId="7FA17735" w14:textId="77777777" w:rsidR="000177DA" w:rsidRPr="00C8472B" w:rsidRDefault="000177DA" w:rsidP="000177DA">
            <w:pPr>
              <w:ind w:right="57"/>
              <w:jc w:val="center"/>
              <w:rPr>
                <w:sz w:val="18"/>
                <w:szCs w:val="18"/>
              </w:rPr>
            </w:pPr>
          </w:p>
        </w:tc>
        <w:tc>
          <w:tcPr>
            <w:tcW w:w="1857" w:type="dxa"/>
            <w:vAlign w:val="bottom"/>
          </w:tcPr>
          <w:p w14:paraId="70672EED" w14:textId="74A84F28" w:rsidR="000177DA" w:rsidRPr="00FF40BD" w:rsidRDefault="0053621E" w:rsidP="000177DA">
            <w:pPr>
              <w:ind w:right="57"/>
              <w:jc w:val="right"/>
              <w:rPr>
                <w:sz w:val="18"/>
                <w:szCs w:val="18"/>
              </w:rPr>
            </w:pPr>
            <w:r>
              <w:rPr>
                <w:sz w:val="18"/>
                <w:szCs w:val="18"/>
              </w:rPr>
              <w:t>971.345.117.213</w:t>
            </w:r>
          </w:p>
        </w:tc>
        <w:tc>
          <w:tcPr>
            <w:tcW w:w="60" w:type="dxa"/>
            <w:shd w:val="clear" w:color="auto" w:fill="auto"/>
            <w:vAlign w:val="bottom"/>
          </w:tcPr>
          <w:p w14:paraId="418031E9" w14:textId="77777777" w:rsidR="000177DA" w:rsidRPr="00FF40BD" w:rsidRDefault="000177DA" w:rsidP="000177DA">
            <w:pPr>
              <w:ind w:right="57"/>
              <w:jc w:val="center"/>
              <w:rPr>
                <w:sz w:val="18"/>
                <w:szCs w:val="18"/>
              </w:rPr>
            </w:pPr>
          </w:p>
        </w:tc>
        <w:tc>
          <w:tcPr>
            <w:tcW w:w="1857" w:type="dxa"/>
            <w:shd w:val="clear" w:color="auto" w:fill="auto"/>
            <w:vAlign w:val="bottom"/>
          </w:tcPr>
          <w:p w14:paraId="6E077C34" w14:textId="55A725AB" w:rsidR="000177DA" w:rsidRPr="0082756C" w:rsidRDefault="000177DA" w:rsidP="000177DA">
            <w:pPr>
              <w:ind w:right="57"/>
              <w:jc w:val="right"/>
              <w:rPr>
                <w:sz w:val="18"/>
                <w:szCs w:val="18"/>
              </w:rPr>
            </w:pPr>
            <w:r>
              <w:rPr>
                <w:sz w:val="18"/>
                <w:szCs w:val="18"/>
              </w:rPr>
              <w:t>742.910.378.334</w:t>
            </w:r>
          </w:p>
        </w:tc>
        <w:tc>
          <w:tcPr>
            <w:tcW w:w="63" w:type="dxa"/>
          </w:tcPr>
          <w:p w14:paraId="3034B873" w14:textId="77777777" w:rsidR="000177DA" w:rsidRPr="00C8472B" w:rsidRDefault="000177DA" w:rsidP="000177DA">
            <w:pPr>
              <w:ind w:right="57"/>
              <w:jc w:val="center"/>
              <w:rPr>
                <w:sz w:val="18"/>
                <w:szCs w:val="18"/>
              </w:rPr>
            </w:pPr>
          </w:p>
        </w:tc>
        <w:tc>
          <w:tcPr>
            <w:tcW w:w="2650" w:type="dxa"/>
            <w:shd w:val="clear" w:color="auto" w:fill="auto"/>
            <w:vAlign w:val="bottom"/>
          </w:tcPr>
          <w:p w14:paraId="2793843E" w14:textId="77777777" w:rsidR="000177DA" w:rsidRDefault="000177DA" w:rsidP="000177DA">
            <w:pPr>
              <w:ind w:right="227"/>
              <w:jc w:val="right"/>
              <w:rPr>
                <w:i/>
                <w:iCs/>
                <w:sz w:val="18"/>
                <w:szCs w:val="18"/>
              </w:rPr>
            </w:pPr>
            <w:r w:rsidRPr="00CA6883">
              <w:rPr>
                <w:i/>
                <w:iCs/>
                <w:sz w:val="18"/>
                <w:szCs w:val="18"/>
              </w:rPr>
              <w:t xml:space="preserve"> PT Surya Cipta Inti</w:t>
            </w:r>
          </w:p>
          <w:p w14:paraId="768CB92D" w14:textId="53FCE2BE" w:rsidR="000177DA" w:rsidRPr="00CA6883" w:rsidRDefault="000177DA" w:rsidP="000177DA">
            <w:pPr>
              <w:ind w:right="454"/>
              <w:jc w:val="right"/>
              <w:rPr>
                <w:i/>
                <w:iCs/>
                <w:sz w:val="18"/>
                <w:szCs w:val="18"/>
              </w:rPr>
            </w:pPr>
            <w:r w:rsidRPr="007C1860">
              <w:rPr>
                <w:i/>
                <w:sz w:val="18"/>
                <w:szCs w:val="18"/>
              </w:rPr>
              <w:t>Cemerlang</w:t>
            </w:r>
          </w:p>
        </w:tc>
      </w:tr>
      <w:tr w:rsidR="000177DA" w:rsidRPr="00EC0164" w14:paraId="20863197" w14:textId="77777777" w:rsidTr="00284CA5">
        <w:tc>
          <w:tcPr>
            <w:tcW w:w="2649" w:type="dxa"/>
            <w:shd w:val="clear" w:color="auto" w:fill="auto"/>
          </w:tcPr>
          <w:p w14:paraId="4965ACC9" w14:textId="77777777" w:rsidR="000177DA" w:rsidRDefault="000177DA" w:rsidP="000177DA">
            <w:pPr>
              <w:ind w:left="587"/>
              <w:rPr>
                <w:sz w:val="18"/>
                <w:szCs w:val="18"/>
              </w:rPr>
            </w:pPr>
            <w:r>
              <w:rPr>
                <w:sz w:val="18"/>
                <w:szCs w:val="18"/>
              </w:rPr>
              <w:t xml:space="preserve">Pendapatan sewa </w:t>
            </w:r>
          </w:p>
          <w:p w14:paraId="5CA8DB98" w14:textId="079DBCEE" w:rsidR="000177DA" w:rsidRPr="00C8472B" w:rsidRDefault="000177DA" w:rsidP="000177DA">
            <w:pPr>
              <w:ind w:left="741"/>
              <w:rPr>
                <w:sz w:val="18"/>
                <w:szCs w:val="18"/>
              </w:rPr>
            </w:pPr>
            <w:r>
              <w:rPr>
                <w:sz w:val="18"/>
                <w:szCs w:val="18"/>
              </w:rPr>
              <w:t>diterima dimuka</w:t>
            </w:r>
          </w:p>
        </w:tc>
        <w:tc>
          <w:tcPr>
            <w:tcW w:w="61" w:type="dxa"/>
          </w:tcPr>
          <w:p w14:paraId="54FD33E1" w14:textId="77777777" w:rsidR="000177DA" w:rsidRPr="00C8472B" w:rsidRDefault="000177DA" w:rsidP="000177DA">
            <w:pPr>
              <w:ind w:right="57"/>
              <w:jc w:val="center"/>
              <w:rPr>
                <w:sz w:val="18"/>
                <w:szCs w:val="18"/>
              </w:rPr>
            </w:pPr>
          </w:p>
        </w:tc>
        <w:tc>
          <w:tcPr>
            <w:tcW w:w="1857" w:type="dxa"/>
            <w:vAlign w:val="bottom"/>
          </w:tcPr>
          <w:p w14:paraId="10BC1A87" w14:textId="77777777" w:rsidR="000177DA" w:rsidRPr="00FF40BD" w:rsidRDefault="000177DA" w:rsidP="000177DA">
            <w:pPr>
              <w:ind w:right="57"/>
              <w:jc w:val="right"/>
              <w:rPr>
                <w:sz w:val="18"/>
                <w:szCs w:val="18"/>
              </w:rPr>
            </w:pPr>
          </w:p>
        </w:tc>
        <w:tc>
          <w:tcPr>
            <w:tcW w:w="60" w:type="dxa"/>
            <w:shd w:val="clear" w:color="auto" w:fill="auto"/>
            <w:vAlign w:val="bottom"/>
          </w:tcPr>
          <w:p w14:paraId="1B527414" w14:textId="77777777" w:rsidR="000177DA" w:rsidRPr="00FF40BD" w:rsidRDefault="000177DA" w:rsidP="000177DA">
            <w:pPr>
              <w:ind w:right="57"/>
              <w:jc w:val="center"/>
              <w:rPr>
                <w:sz w:val="18"/>
                <w:szCs w:val="18"/>
              </w:rPr>
            </w:pPr>
          </w:p>
        </w:tc>
        <w:tc>
          <w:tcPr>
            <w:tcW w:w="1857" w:type="dxa"/>
            <w:shd w:val="clear" w:color="auto" w:fill="auto"/>
            <w:vAlign w:val="bottom"/>
          </w:tcPr>
          <w:p w14:paraId="453BDE3C" w14:textId="77777777" w:rsidR="000177DA" w:rsidRPr="0082756C" w:rsidRDefault="000177DA" w:rsidP="000177DA">
            <w:pPr>
              <w:ind w:right="57"/>
              <w:jc w:val="right"/>
              <w:rPr>
                <w:sz w:val="18"/>
                <w:szCs w:val="18"/>
              </w:rPr>
            </w:pPr>
          </w:p>
        </w:tc>
        <w:tc>
          <w:tcPr>
            <w:tcW w:w="63" w:type="dxa"/>
          </w:tcPr>
          <w:p w14:paraId="24C97BC4" w14:textId="77777777" w:rsidR="000177DA" w:rsidRPr="00C8472B" w:rsidRDefault="000177DA" w:rsidP="000177DA">
            <w:pPr>
              <w:ind w:right="57"/>
              <w:jc w:val="center"/>
              <w:rPr>
                <w:sz w:val="18"/>
                <w:szCs w:val="18"/>
              </w:rPr>
            </w:pPr>
          </w:p>
        </w:tc>
        <w:tc>
          <w:tcPr>
            <w:tcW w:w="2650" w:type="dxa"/>
            <w:shd w:val="clear" w:color="auto" w:fill="auto"/>
            <w:vAlign w:val="bottom"/>
          </w:tcPr>
          <w:p w14:paraId="609DCB1E" w14:textId="4B8D28AD" w:rsidR="000177DA" w:rsidRPr="00C8472B" w:rsidRDefault="000177DA" w:rsidP="000177DA">
            <w:pPr>
              <w:ind w:right="113"/>
              <w:jc w:val="right"/>
              <w:rPr>
                <w:i/>
                <w:sz w:val="18"/>
                <w:szCs w:val="18"/>
              </w:rPr>
            </w:pPr>
            <w:r w:rsidRPr="00EA2E1E">
              <w:rPr>
                <w:i/>
                <w:sz w:val="18"/>
                <w:szCs w:val="18"/>
              </w:rPr>
              <w:t>Unearned rent</w:t>
            </w:r>
          </w:p>
        </w:tc>
      </w:tr>
      <w:tr w:rsidR="000177DA" w:rsidRPr="002F7A56" w14:paraId="7F4DDA89" w14:textId="77777777" w:rsidTr="00284CA5">
        <w:tc>
          <w:tcPr>
            <w:tcW w:w="2649" w:type="dxa"/>
            <w:shd w:val="clear" w:color="auto" w:fill="auto"/>
          </w:tcPr>
          <w:p w14:paraId="066FA5D1" w14:textId="77777777" w:rsidR="000177DA" w:rsidRDefault="000177DA" w:rsidP="000177DA">
            <w:pPr>
              <w:ind w:left="587"/>
              <w:rPr>
                <w:sz w:val="18"/>
                <w:szCs w:val="18"/>
              </w:rPr>
            </w:pPr>
            <w:r>
              <w:rPr>
                <w:sz w:val="18"/>
                <w:szCs w:val="18"/>
              </w:rPr>
              <w:t xml:space="preserve">   PT Bank Mayapada</w:t>
            </w:r>
          </w:p>
          <w:p w14:paraId="572932B7" w14:textId="56A15611" w:rsidR="000177DA" w:rsidRPr="002F7A56" w:rsidRDefault="000177DA" w:rsidP="000177DA">
            <w:pPr>
              <w:ind w:left="769" w:firstLine="84"/>
              <w:rPr>
                <w:sz w:val="18"/>
                <w:szCs w:val="18"/>
              </w:rPr>
            </w:pPr>
            <w:r>
              <w:rPr>
                <w:sz w:val="18"/>
                <w:szCs w:val="18"/>
              </w:rPr>
              <w:t>Internasional Tbk</w:t>
            </w:r>
          </w:p>
        </w:tc>
        <w:tc>
          <w:tcPr>
            <w:tcW w:w="61" w:type="dxa"/>
          </w:tcPr>
          <w:p w14:paraId="628B6D8C" w14:textId="77777777" w:rsidR="000177DA" w:rsidRPr="002F7A56" w:rsidRDefault="000177DA" w:rsidP="000177DA">
            <w:pPr>
              <w:ind w:left="113"/>
              <w:jc w:val="center"/>
              <w:rPr>
                <w:sz w:val="18"/>
                <w:szCs w:val="18"/>
              </w:rPr>
            </w:pPr>
          </w:p>
        </w:tc>
        <w:tc>
          <w:tcPr>
            <w:tcW w:w="1857" w:type="dxa"/>
            <w:vAlign w:val="bottom"/>
          </w:tcPr>
          <w:p w14:paraId="19F67040" w14:textId="1C328F76" w:rsidR="000177DA" w:rsidRPr="00FF40BD" w:rsidRDefault="004C3804" w:rsidP="000177DA">
            <w:pPr>
              <w:ind w:right="57"/>
              <w:jc w:val="right"/>
              <w:rPr>
                <w:sz w:val="18"/>
                <w:szCs w:val="18"/>
              </w:rPr>
            </w:pPr>
            <w:r w:rsidRPr="00FF40BD">
              <w:rPr>
                <w:sz w:val="18"/>
                <w:szCs w:val="18"/>
              </w:rPr>
              <w:t>-</w:t>
            </w:r>
          </w:p>
        </w:tc>
        <w:tc>
          <w:tcPr>
            <w:tcW w:w="60" w:type="dxa"/>
            <w:shd w:val="clear" w:color="auto" w:fill="auto"/>
            <w:vAlign w:val="bottom"/>
          </w:tcPr>
          <w:p w14:paraId="1E3CF94E" w14:textId="77777777" w:rsidR="000177DA" w:rsidRPr="00FF40BD" w:rsidRDefault="000177DA" w:rsidP="000177DA">
            <w:pPr>
              <w:ind w:left="113"/>
              <w:jc w:val="center"/>
              <w:rPr>
                <w:sz w:val="18"/>
                <w:szCs w:val="18"/>
              </w:rPr>
            </w:pPr>
          </w:p>
        </w:tc>
        <w:tc>
          <w:tcPr>
            <w:tcW w:w="1857" w:type="dxa"/>
            <w:shd w:val="clear" w:color="auto" w:fill="auto"/>
            <w:vAlign w:val="bottom"/>
          </w:tcPr>
          <w:p w14:paraId="2434E5B4" w14:textId="72077602" w:rsidR="000177DA" w:rsidRPr="0082756C" w:rsidRDefault="000177DA" w:rsidP="000177DA">
            <w:pPr>
              <w:ind w:right="57"/>
              <w:jc w:val="right"/>
              <w:rPr>
                <w:sz w:val="18"/>
                <w:szCs w:val="18"/>
              </w:rPr>
            </w:pPr>
            <w:r>
              <w:rPr>
                <w:sz w:val="18"/>
                <w:szCs w:val="18"/>
              </w:rPr>
              <w:t>1.701.750.000</w:t>
            </w:r>
          </w:p>
        </w:tc>
        <w:tc>
          <w:tcPr>
            <w:tcW w:w="63" w:type="dxa"/>
            <w:vAlign w:val="bottom"/>
          </w:tcPr>
          <w:p w14:paraId="1C5CDEFE" w14:textId="77777777" w:rsidR="000177DA" w:rsidRPr="002F7A56" w:rsidRDefault="000177DA" w:rsidP="000177DA">
            <w:pPr>
              <w:ind w:left="113"/>
              <w:jc w:val="center"/>
              <w:rPr>
                <w:sz w:val="18"/>
                <w:szCs w:val="18"/>
              </w:rPr>
            </w:pPr>
          </w:p>
        </w:tc>
        <w:tc>
          <w:tcPr>
            <w:tcW w:w="2650" w:type="dxa"/>
            <w:shd w:val="clear" w:color="auto" w:fill="auto"/>
          </w:tcPr>
          <w:p w14:paraId="4809AC6C" w14:textId="77777777" w:rsidR="000177DA" w:rsidRDefault="000177DA" w:rsidP="000177DA">
            <w:pPr>
              <w:ind w:right="227"/>
              <w:jc w:val="right"/>
              <w:rPr>
                <w:bCs w:val="0"/>
                <w:i/>
                <w:sz w:val="18"/>
                <w:szCs w:val="18"/>
              </w:rPr>
            </w:pPr>
            <w:r w:rsidRPr="00CA6883">
              <w:rPr>
                <w:bCs w:val="0"/>
                <w:i/>
                <w:sz w:val="18"/>
                <w:szCs w:val="18"/>
              </w:rPr>
              <w:t>PT Bank Mayapada</w:t>
            </w:r>
          </w:p>
          <w:p w14:paraId="31E37D62" w14:textId="5526AEB8" w:rsidR="000177DA" w:rsidRPr="007C1860" w:rsidRDefault="000177DA" w:rsidP="000177DA">
            <w:pPr>
              <w:ind w:right="454"/>
              <w:jc w:val="right"/>
              <w:rPr>
                <w:bCs w:val="0"/>
                <w:i/>
                <w:sz w:val="18"/>
                <w:szCs w:val="18"/>
              </w:rPr>
            </w:pPr>
            <w:r w:rsidRPr="007C1860">
              <w:rPr>
                <w:i/>
                <w:sz w:val="18"/>
                <w:szCs w:val="18"/>
              </w:rPr>
              <w:t>Internasional</w:t>
            </w:r>
            <w:r w:rsidRPr="00CA6883">
              <w:rPr>
                <w:bCs w:val="0"/>
                <w:i/>
                <w:sz w:val="18"/>
                <w:szCs w:val="18"/>
              </w:rPr>
              <w:t xml:space="preserve"> Tbk</w:t>
            </w:r>
          </w:p>
        </w:tc>
      </w:tr>
      <w:tr w:rsidR="000177DA" w:rsidRPr="002F7A56" w14:paraId="23E7AF1F" w14:textId="77777777" w:rsidTr="00284CA5">
        <w:tc>
          <w:tcPr>
            <w:tcW w:w="2649" w:type="dxa"/>
            <w:shd w:val="clear" w:color="auto" w:fill="auto"/>
            <w:vAlign w:val="bottom"/>
          </w:tcPr>
          <w:p w14:paraId="0396618E" w14:textId="301441E0" w:rsidR="000177DA" w:rsidRPr="002F7A56" w:rsidRDefault="000177DA" w:rsidP="000177DA">
            <w:pPr>
              <w:ind w:left="587"/>
              <w:rPr>
                <w:sz w:val="18"/>
                <w:szCs w:val="18"/>
              </w:rPr>
            </w:pPr>
            <w:r>
              <w:rPr>
                <w:sz w:val="18"/>
                <w:szCs w:val="18"/>
              </w:rPr>
              <w:t xml:space="preserve">Utang Bank </w:t>
            </w:r>
          </w:p>
        </w:tc>
        <w:tc>
          <w:tcPr>
            <w:tcW w:w="61" w:type="dxa"/>
          </w:tcPr>
          <w:p w14:paraId="3B292EFF" w14:textId="77777777" w:rsidR="000177DA" w:rsidRPr="002F7A56" w:rsidRDefault="000177DA" w:rsidP="000177DA">
            <w:pPr>
              <w:ind w:left="113"/>
              <w:jc w:val="center"/>
              <w:rPr>
                <w:sz w:val="18"/>
                <w:szCs w:val="18"/>
              </w:rPr>
            </w:pPr>
          </w:p>
        </w:tc>
        <w:tc>
          <w:tcPr>
            <w:tcW w:w="1857" w:type="dxa"/>
            <w:vAlign w:val="bottom"/>
          </w:tcPr>
          <w:p w14:paraId="35FCBF22" w14:textId="77777777" w:rsidR="000177DA" w:rsidRPr="00FF40BD" w:rsidRDefault="000177DA" w:rsidP="000177DA">
            <w:pPr>
              <w:ind w:right="57"/>
              <w:jc w:val="right"/>
              <w:rPr>
                <w:sz w:val="18"/>
                <w:szCs w:val="18"/>
              </w:rPr>
            </w:pPr>
          </w:p>
        </w:tc>
        <w:tc>
          <w:tcPr>
            <w:tcW w:w="60" w:type="dxa"/>
            <w:shd w:val="clear" w:color="auto" w:fill="auto"/>
            <w:vAlign w:val="bottom"/>
          </w:tcPr>
          <w:p w14:paraId="3C3D54AB" w14:textId="77777777" w:rsidR="000177DA" w:rsidRPr="00FF40BD" w:rsidRDefault="000177DA" w:rsidP="000177DA">
            <w:pPr>
              <w:ind w:left="113"/>
              <w:jc w:val="center"/>
              <w:rPr>
                <w:sz w:val="18"/>
                <w:szCs w:val="18"/>
              </w:rPr>
            </w:pPr>
          </w:p>
        </w:tc>
        <w:tc>
          <w:tcPr>
            <w:tcW w:w="1857" w:type="dxa"/>
            <w:shd w:val="clear" w:color="auto" w:fill="auto"/>
            <w:vAlign w:val="bottom"/>
          </w:tcPr>
          <w:p w14:paraId="17E5EB61" w14:textId="4BBD7A92" w:rsidR="000177DA" w:rsidRPr="0082756C" w:rsidRDefault="000177DA" w:rsidP="000177DA">
            <w:pPr>
              <w:ind w:right="57"/>
              <w:jc w:val="right"/>
              <w:rPr>
                <w:sz w:val="18"/>
                <w:szCs w:val="18"/>
              </w:rPr>
            </w:pPr>
          </w:p>
        </w:tc>
        <w:tc>
          <w:tcPr>
            <w:tcW w:w="63" w:type="dxa"/>
            <w:vAlign w:val="bottom"/>
          </w:tcPr>
          <w:p w14:paraId="6A83B81C" w14:textId="77777777" w:rsidR="000177DA" w:rsidRPr="002F7A56" w:rsidRDefault="000177DA" w:rsidP="000177DA">
            <w:pPr>
              <w:ind w:left="113"/>
              <w:jc w:val="center"/>
              <w:rPr>
                <w:sz w:val="18"/>
                <w:szCs w:val="18"/>
              </w:rPr>
            </w:pPr>
          </w:p>
        </w:tc>
        <w:tc>
          <w:tcPr>
            <w:tcW w:w="2650" w:type="dxa"/>
            <w:shd w:val="clear" w:color="auto" w:fill="auto"/>
            <w:vAlign w:val="bottom"/>
          </w:tcPr>
          <w:p w14:paraId="5A3AFC23" w14:textId="1E22E055" w:rsidR="000177DA" w:rsidRPr="002F7A56" w:rsidRDefault="000177DA" w:rsidP="000177DA">
            <w:pPr>
              <w:ind w:right="113"/>
              <w:jc w:val="right"/>
              <w:rPr>
                <w:sz w:val="18"/>
                <w:szCs w:val="18"/>
              </w:rPr>
            </w:pPr>
            <w:r w:rsidRPr="00EA2E1E">
              <w:rPr>
                <w:i/>
                <w:sz w:val="18"/>
                <w:szCs w:val="18"/>
              </w:rPr>
              <w:t>Bank loans</w:t>
            </w:r>
          </w:p>
        </w:tc>
      </w:tr>
      <w:tr w:rsidR="000177DA" w:rsidRPr="002F7A56" w14:paraId="3662ECFC" w14:textId="77777777" w:rsidTr="00284CA5">
        <w:tc>
          <w:tcPr>
            <w:tcW w:w="2649" w:type="dxa"/>
            <w:shd w:val="clear" w:color="auto" w:fill="auto"/>
            <w:vAlign w:val="bottom"/>
          </w:tcPr>
          <w:p w14:paraId="644DB4C6" w14:textId="77777777" w:rsidR="000177DA" w:rsidRDefault="000177DA" w:rsidP="000177DA">
            <w:pPr>
              <w:ind w:left="587"/>
              <w:rPr>
                <w:sz w:val="18"/>
                <w:szCs w:val="18"/>
              </w:rPr>
            </w:pPr>
            <w:r>
              <w:rPr>
                <w:sz w:val="18"/>
                <w:szCs w:val="18"/>
              </w:rPr>
              <w:t xml:space="preserve">   PT Bank Mayapada</w:t>
            </w:r>
          </w:p>
          <w:p w14:paraId="0A35FB07" w14:textId="6BCAF609" w:rsidR="000177DA" w:rsidRPr="002F7A56" w:rsidRDefault="000177DA" w:rsidP="000177DA">
            <w:pPr>
              <w:ind w:left="783" w:firstLine="84"/>
              <w:rPr>
                <w:sz w:val="18"/>
                <w:szCs w:val="18"/>
              </w:rPr>
            </w:pPr>
            <w:r>
              <w:rPr>
                <w:sz w:val="18"/>
                <w:szCs w:val="18"/>
              </w:rPr>
              <w:t>Internasional Tbk</w:t>
            </w:r>
          </w:p>
        </w:tc>
        <w:tc>
          <w:tcPr>
            <w:tcW w:w="61" w:type="dxa"/>
          </w:tcPr>
          <w:p w14:paraId="53EBE8F3" w14:textId="77777777" w:rsidR="000177DA" w:rsidRPr="002F7A56" w:rsidRDefault="000177DA" w:rsidP="000177DA">
            <w:pPr>
              <w:ind w:left="113"/>
              <w:jc w:val="center"/>
              <w:rPr>
                <w:sz w:val="18"/>
                <w:szCs w:val="18"/>
              </w:rPr>
            </w:pPr>
          </w:p>
        </w:tc>
        <w:tc>
          <w:tcPr>
            <w:tcW w:w="1857" w:type="dxa"/>
            <w:vAlign w:val="bottom"/>
          </w:tcPr>
          <w:p w14:paraId="1C548EF7" w14:textId="74D1CFDE" w:rsidR="000177DA" w:rsidRPr="00FF40BD" w:rsidRDefault="004C3804" w:rsidP="000177DA">
            <w:pPr>
              <w:ind w:right="57"/>
              <w:jc w:val="right"/>
              <w:rPr>
                <w:sz w:val="18"/>
                <w:szCs w:val="18"/>
              </w:rPr>
            </w:pPr>
            <w:r w:rsidRPr="00FF40BD">
              <w:rPr>
                <w:sz w:val="18"/>
                <w:szCs w:val="18"/>
              </w:rPr>
              <w:t>248.664.153.860</w:t>
            </w:r>
          </w:p>
        </w:tc>
        <w:tc>
          <w:tcPr>
            <w:tcW w:w="60" w:type="dxa"/>
            <w:shd w:val="clear" w:color="auto" w:fill="auto"/>
            <w:vAlign w:val="bottom"/>
          </w:tcPr>
          <w:p w14:paraId="72FD67A7" w14:textId="77777777" w:rsidR="000177DA" w:rsidRPr="00FF40BD" w:rsidRDefault="000177DA" w:rsidP="000177DA">
            <w:pPr>
              <w:ind w:left="113"/>
              <w:jc w:val="center"/>
              <w:rPr>
                <w:sz w:val="18"/>
                <w:szCs w:val="18"/>
              </w:rPr>
            </w:pPr>
          </w:p>
        </w:tc>
        <w:tc>
          <w:tcPr>
            <w:tcW w:w="1857" w:type="dxa"/>
            <w:shd w:val="clear" w:color="auto" w:fill="auto"/>
            <w:vAlign w:val="bottom"/>
          </w:tcPr>
          <w:p w14:paraId="7E7E6E45" w14:textId="799D7CEE" w:rsidR="000177DA" w:rsidRPr="0082756C" w:rsidRDefault="000177DA" w:rsidP="000177DA">
            <w:pPr>
              <w:ind w:right="57"/>
              <w:jc w:val="right"/>
              <w:rPr>
                <w:sz w:val="18"/>
                <w:szCs w:val="18"/>
              </w:rPr>
            </w:pPr>
            <w:r>
              <w:rPr>
                <w:sz w:val="18"/>
                <w:szCs w:val="18"/>
              </w:rPr>
              <w:t>226.879.793.470</w:t>
            </w:r>
          </w:p>
        </w:tc>
        <w:tc>
          <w:tcPr>
            <w:tcW w:w="63" w:type="dxa"/>
            <w:vAlign w:val="bottom"/>
          </w:tcPr>
          <w:p w14:paraId="53594FF7" w14:textId="77777777" w:rsidR="000177DA" w:rsidRPr="002F7A56" w:rsidRDefault="000177DA" w:rsidP="000177DA">
            <w:pPr>
              <w:ind w:left="113"/>
              <w:jc w:val="center"/>
              <w:rPr>
                <w:sz w:val="18"/>
                <w:szCs w:val="18"/>
              </w:rPr>
            </w:pPr>
          </w:p>
        </w:tc>
        <w:tc>
          <w:tcPr>
            <w:tcW w:w="2650" w:type="dxa"/>
            <w:shd w:val="clear" w:color="auto" w:fill="auto"/>
            <w:vAlign w:val="bottom"/>
          </w:tcPr>
          <w:p w14:paraId="0266AF6B" w14:textId="77777777" w:rsidR="000177DA" w:rsidRDefault="000177DA" w:rsidP="000177DA">
            <w:pPr>
              <w:ind w:right="227"/>
              <w:jc w:val="right"/>
              <w:rPr>
                <w:bCs w:val="0"/>
                <w:i/>
                <w:sz w:val="18"/>
                <w:szCs w:val="18"/>
              </w:rPr>
            </w:pPr>
            <w:r w:rsidRPr="00CA6883">
              <w:rPr>
                <w:bCs w:val="0"/>
                <w:i/>
                <w:sz w:val="18"/>
                <w:szCs w:val="18"/>
              </w:rPr>
              <w:t>PT Bank Mayapada</w:t>
            </w:r>
          </w:p>
          <w:p w14:paraId="245D9D29" w14:textId="67A00EDA" w:rsidR="000177DA" w:rsidRPr="007C1860" w:rsidRDefault="000177DA" w:rsidP="000177DA">
            <w:pPr>
              <w:ind w:right="454"/>
              <w:jc w:val="right"/>
              <w:rPr>
                <w:bCs w:val="0"/>
                <w:i/>
                <w:sz w:val="18"/>
                <w:szCs w:val="18"/>
              </w:rPr>
            </w:pPr>
            <w:r w:rsidRPr="00CA6883">
              <w:rPr>
                <w:bCs w:val="0"/>
                <w:i/>
                <w:sz w:val="18"/>
                <w:szCs w:val="18"/>
              </w:rPr>
              <w:t>Internasional Tbk</w:t>
            </w:r>
          </w:p>
        </w:tc>
      </w:tr>
      <w:tr w:rsidR="000177DA" w:rsidRPr="004757CC" w14:paraId="50AE528A" w14:textId="77777777" w:rsidTr="00284CA5">
        <w:tc>
          <w:tcPr>
            <w:tcW w:w="2649" w:type="dxa"/>
            <w:shd w:val="clear" w:color="auto" w:fill="auto"/>
            <w:vAlign w:val="bottom"/>
          </w:tcPr>
          <w:p w14:paraId="5BAA5A1A" w14:textId="77777777" w:rsidR="000177DA" w:rsidRPr="004757CC" w:rsidRDefault="000177DA" w:rsidP="000177DA">
            <w:pPr>
              <w:ind w:left="587"/>
              <w:jc w:val="center"/>
              <w:rPr>
                <w:sz w:val="8"/>
                <w:szCs w:val="8"/>
              </w:rPr>
            </w:pPr>
          </w:p>
        </w:tc>
        <w:tc>
          <w:tcPr>
            <w:tcW w:w="61" w:type="dxa"/>
          </w:tcPr>
          <w:p w14:paraId="314F85BE" w14:textId="77777777" w:rsidR="000177DA" w:rsidRPr="004757CC" w:rsidRDefault="000177DA" w:rsidP="000177DA">
            <w:pPr>
              <w:ind w:left="113"/>
              <w:jc w:val="center"/>
              <w:rPr>
                <w:sz w:val="8"/>
                <w:szCs w:val="8"/>
              </w:rPr>
            </w:pPr>
          </w:p>
        </w:tc>
        <w:tc>
          <w:tcPr>
            <w:tcW w:w="1857" w:type="dxa"/>
            <w:tcBorders>
              <w:top w:val="single" w:sz="4" w:space="0" w:color="auto"/>
            </w:tcBorders>
            <w:vAlign w:val="bottom"/>
          </w:tcPr>
          <w:p w14:paraId="52CA8BE2" w14:textId="77777777" w:rsidR="000177DA" w:rsidRPr="00FF40BD" w:rsidRDefault="000177DA" w:rsidP="000177DA">
            <w:pPr>
              <w:ind w:right="57"/>
              <w:jc w:val="right"/>
              <w:rPr>
                <w:sz w:val="18"/>
                <w:szCs w:val="18"/>
              </w:rPr>
            </w:pPr>
          </w:p>
        </w:tc>
        <w:tc>
          <w:tcPr>
            <w:tcW w:w="60" w:type="dxa"/>
            <w:shd w:val="clear" w:color="auto" w:fill="auto"/>
            <w:vAlign w:val="bottom"/>
          </w:tcPr>
          <w:p w14:paraId="3F655057" w14:textId="77777777" w:rsidR="000177DA" w:rsidRPr="00FF40BD" w:rsidRDefault="000177DA" w:rsidP="000177DA">
            <w:pPr>
              <w:ind w:left="113"/>
              <w:jc w:val="center"/>
              <w:rPr>
                <w:sz w:val="8"/>
                <w:szCs w:val="8"/>
              </w:rPr>
            </w:pPr>
          </w:p>
        </w:tc>
        <w:tc>
          <w:tcPr>
            <w:tcW w:w="1857" w:type="dxa"/>
            <w:tcBorders>
              <w:top w:val="single" w:sz="4" w:space="0" w:color="auto"/>
            </w:tcBorders>
            <w:shd w:val="clear" w:color="auto" w:fill="auto"/>
            <w:vAlign w:val="bottom"/>
          </w:tcPr>
          <w:p w14:paraId="2CC80162" w14:textId="77777777" w:rsidR="000177DA" w:rsidRPr="004757CC" w:rsidRDefault="000177DA" w:rsidP="000177DA">
            <w:pPr>
              <w:ind w:left="113"/>
              <w:jc w:val="right"/>
              <w:rPr>
                <w:sz w:val="8"/>
                <w:szCs w:val="8"/>
              </w:rPr>
            </w:pPr>
          </w:p>
        </w:tc>
        <w:tc>
          <w:tcPr>
            <w:tcW w:w="63" w:type="dxa"/>
            <w:vAlign w:val="bottom"/>
          </w:tcPr>
          <w:p w14:paraId="0FE9D609" w14:textId="77777777" w:rsidR="000177DA" w:rsidRPr="004757CC" w:rsidRDefault="000177DA" w:rsidP="000177DA">
            <w:pPr>
              <w:ind w:left="113"/>
              <w:jc w:val="center"/>
              <w:rPr>
                <w:sz w:val="8"/>
                <w:szCs w:val="8"/>
              </w:rPr>
            </w:pPr>
          </w:p>
        </w:tc>
        <w:tc>
          <w:tcPr>
            <w:tcW w:w="2650" w:type="dxa"/>
            <w:shd w:val="clear" w:color="auto" w:fill="auto"/>
            <w:vAlign w:val="bottom"/>
          </w:tcPr>
          <w:p w14:paraId="18C4CB0C" w14:textId="77777777" w:rsidR="000177DA" w:rsidRPr="004757CC" w:rsidRDefault="000177DA" w:rsidP="000177DA">
            <w:pPr>
              <w:ind w:left="113"/>
              <w:jc w:val="right"/>
              <w:rPr>
                <w:sz w:val="8"/>
                <w:szCs w:val="8"/>
              </w:rPr>
            </w:pPr>
          </w:p>
        </w:tc>
      </w:tr>
      <w:tr w:rsidR="000177DA" w:rsidRPr="002F7A56" w14:paraId="7A7AEDD6" w14:textId="77777777" w:rsidTr="00284CA5">
        <w:tc>
          <w:tcPr>
            <w:tcW w:w="2649" w:type="dxa"/>
            <w:shd w:val="clear" w:color="auto" w:fill="auto"/>
            <w:vAlign w:val="bottom"/>
          </w:tcPr>
          <w:p w14:paraId="4AA16767" w14:textId="75B0E875" w:rsidR="000177DA" w:rsidRPr="00F16A86" w:rsidRDefault="000177DA" w:rsidP="000177DA">
            <w:pPr>
              <w:ind w:left="587"/>
              <w:rPr>
                <w:b/>
                <w:bCs w:val="0"/>
                <w:sz w:val="18"/>
                <w:szCs w:val="18"/>
              </w:rPr>
            </w:pPr>
            <w:r>
              <w:rPr>
                <w:b/>
                <w:bCs w:val="0"/>
                <w:sz w:val="18"/>
                <w:szCs w:val="18"/>
              </w:rPr>
              <w:t>Jumlah liabilitas</w:t>
            </w:r>
          </w:p>
        </w:tc>
        <w:tc>
          <w:tcPr>
            <w:tcW w:w="61" w:type="dxa"/>
          </w:tcPr>
          <w:p w14:paraId="2D08AA25" w14:textId="77777777" w:rsidR="000177DA" w:rsidRPr="002F7A56" w:rsidRDefault="000177DA" w:rsidP="000177DA">
            <w:pPr>
              <w:ind w:left="113"/>
              <w:jc w:val="center"/>
              <w:rPr>
                <w:sz w:val="18"/>
                <w:szCs w:val="18"/>
              </w:rPr>
            </w:pPr>
          </w:p>
        </w:tc>
        <w:tc>
          <w:tcPr>
            <w:tcW w:w="1857" w:type="dxa"/>
            <w:tcBorders>
              <w:bottom w:val="double" w:sz="4" w:space="0" w:color="auto"/>
            </w:tcBorders>
            <w:vAlign w:val="bottom"/>
          </w:tcPr>
          <w:p w14:paraId="40740B1C" w14:textId="0F16C138" w:rsidR="000177DA" w:rsidRPr="00FF40BD" w:rsidRDefault="004C3804" w:rsidP="0053621E">
            <w:pPr>
              <w:ind w:right="57"/>
              <w:jc w:val="right"/>
              <w:rPr>
                <w:b/>
                <w:bCs w:val="0"/>
                <w:sz w:val="18"/>
                <w:szCs w:val="18"/>
              </w:rPr>
            </w:pPr>
            <w:r w:rsidRPr="00FF40BD">
              <w:rPr>
                <w:b/>
                <w:bCs w:val="0"/>
                <w:sz w:val="18"/>
                <w:szCs w:val="18"/>
              </w:rPr>
              <w:t>1.</w:t>
            </w:r>
            <w:r w:rsidR="0053621E">
              <w:rPr>
                <w:b/>
                <w:bCs w:val="0"/>
                <w:sz w:val="18"/>
                <w:szCs w:val="18"/>
              </w:rPr>
              <w:t>220.009.271.073</w:t>
            </w:r>
          </w:p>
        </w:tc>
        <w:tc>
          <w:tcPr>
            <w:tcW w:w="60" w:type="dxa"/>
            <w:shd w:val="clear" w:color="auto" w:fill="auto"/>
            <w:vAlign w:val="bottom"/>
          </w:tcPr>
          <w:p w14:paraId="3EDAF774" w14:textId="77777777" w:rsidR="000177DA" w:rsidRPr="00FF40BD" w:rsidRDefault="000177DA" w:rsidP="000177DA">
            <w:pPr>
              <w:ind w:left="113"/>
              <w:jc w:val="center"/>
              <w:rPr>
                <w:sz w:val="18"/>
                <w:szCs w:val="18"/>
              </w:rPr>
            </w:pPr>
          </w:p>
        </w:tc>
        <w:tc>
          <w:tcPr>
            <w:tcW w:w="1857" w:type="dxa"/>
            <w:tcBorders>
              <w:bottom w:val="double" w:sz="4" w:space="0" w:color="auto"/>
            </w:tcBorders>
            <w:shd w:val="clear" w:color="auto" w:fill="auto"/>
            <w:vAlign w:val="bottom"/>
          </w:tcPr>
          <w:p w14:paraId="71540583" w14:textId="792B961F" w:rsidR="000177DA" w:rsidRPr="0082756C" w:rsidRDefault="000177DA" w:rsidP="000177DA">
            <w:pPr>
              <w:ind w:right="57"/>
              <w:jc w:val="right"/>
              <w:rPr>
                <w:sz w:val="18"/>
                <w:szCs w:val="18"/>
              </w:rPr>
            </w:pPr>
            <w:r w:rsidRPr="00CE1C02">
              <w:rPr>
                <w:b/>
                <w:bCs w:val="0"/>
                <w:sz w:val="18"/>
                <w:szCs w:val="18"/>
              </w:rPr>
              <w:t>971.491.921.804</w:t>
            </w:r>
          </w:p>
        </w:tc>
        <w:tc>
          <w:tcPr>
            <w:tcW w:w="63" w:type="dxa"/>
            <w:vAlign w:val="bottom"/>
          </w:tcPr>
          <w:p w14:paraId="3F6473C4" w14:textId="77777777" w:rsidR="000177DA" w:rsidRPr="002F7A56" w:rsidRDefault="000177DA" w:rsidP="000177DA">
            <w:pPr>
              <w:ind w:left="113"/>
              <w:jc w:val="center"/>
              <w:rPr>
                <w:sz w:val="18"/>
                <w:szCs w:val="18"/>
              </w:rPr>
            </w:pPr>
          </w:p>
        </w:tc>
        <w:tc>
          <w:tcPr>
            <w:tcW w:w="2650" w:type="dxa"/>
            <w:shd w:val="clear" w:color="auto" w:fill="auto"/>
            <w:vAlign w:val="bottom"/>
          </w:tcPr>
          <w:p w14:paraId="0BBA05BD" w14:textId="3A87CBA0" w:rsidR="000177DA" w:rsidRPr="00B94791" w:rsidRDefault="000177DA" w:rsidP="000177DA">
            <w:pPr>
              <w:ind w:right="113"/>
              <w:jc w:val="right"/>
              <w:rPr>
                <w:b/>
                <w:bCs w:val="0"/>
                <w:i/>
                <w:iCs/>
                <w:sz w:val="18"/>
                <w:szCs w:val="18"/>
              </w:rPr>
            </w:pPr>
            <w:r w:rsidRPr="00B94791">
              <w:rPr>
                <w:b/>
                <w:bCs w:val="0"/>
                <w:i/>
                <w:iCs/>
                <w:sz w:val="18"/>
                <w:szCs w:val="18"/>
              </w:rPr>
              <w:t xml:space="preserve">Total </w:t>
            </w:r>
            <w:r w:rsidRPr="00CE1C02">
              <w:rPr>
                <w:b/>
                <w:bCs w:val="0"/>
                <w:i/>
                <w:sz w:val="18"/>
                <w:szCs w:val="18"/>
              </w:rPr>
              <w:t>liabilities</w:t>
            </w:r>
          </w:p>
        </w:tc>
      </w:tr>
    </w:tbl>
    <w:p w14:paraId="020540E4" w14:textId="2629B7CD" w:rsidR="00814476" w:rsidRDefault="00814476" w:rsidP="0013526B">
      <w:pPr>
        <w:rPr>
          <w:sz w:val="12"/>
          <w:szCs w:val="4"/>
          <w:lang w:val="id-ID"/>
        </w:rPr>
      </w:pPr>
    </w:p>
    <w:p w14:paraId="297CFA5B" w14:textId="740FCDAE" w:rsidR="00384FD8" w:rsidRDefault="00384FD8" w:rsidP="0013526B">
      <w:pPr>
        <w:rPr>
          <w:sz w:val="12"/>
          <w:szCs w:val="4"/>
          <w:lang w:val="id-ID"/>
        </w:rPr>
      </w:pPr>
    </w:p>
    <w:tbl>
      <w:tblPr>
        <w:tblW w:w="9197" w:type="dxa"/>
        <w:tblInd w:w="392" w:type="dxa"/>
        <w:tblLook w:val="0000" w:firstRow="0" w:lastRow="0" w:firstColumn="0" w:lastColumn="0" w:noHBand="0" w:noVBand="0"/>
      </w:tblPr>
      <w:tblGrid>
        <w:gridCol w:w="4598"/>
        <w:gridCol w:w="4599"/>
      </w:tblGrid>
      <w:tr w:rsidR="00EE78B5" w:rsidRPr="00BA06A0" w14:paraId="0763BC42" w14:textId="77777777" w:rsidTr="00091DE4">
        <w:trPr>
          <w:trHeight w:val="90"/>
        </w:trPr>
        <w:tc>
          <w:tcPr>
            <w:tcW w:w="4598" w:type="dxa"/>
            <w:tcBorders>
              <w:top w:val="nil"/>
              <w:left w:val="nil"/>
              <w:bottom w:val="nil"/>
              <w:right w:val="nil"/>
            </w:tcBorders>
          </w:tcPr>
          <w:p w14:paraId="0BD0E395" w14:textId="77777777" w:rsidR="00EE78B5" w:rsidRPr="00104084" w:rsidRDefault="00EE78B5" w:rsidP="00070D1F">
            <w:pPr>
              <w:numPr>
                <w:ilvl w:val="0"/>
                <w:numId w:val="394"/>
              </w:numPr>
              <w:jc w:val="both"/>
              <w:rPr>
                <w:b/>
                <w:sz w:val="18"/>
                <w:szCs w:val="18"/>
              </w:rPr>
            </w:pPr>
            <w:r>
              <w:rPr>
                <w:sz w:val="12"/>
                <w:szCs w:val="4"/>
                <w:lang w:val="id-ID"/>
              </w:rPr>
              <w:lastRenderedPageBreak/>
              <w:br w:type="page"/>
            </w:r>
            <w:r>
              <w:rPr>
                <w:b/>
                <w:sz w:val="18"/>
                <w:szCs w:val="18"/>
              </w:rPr>
              <w:t>TRANSAKSI-TRANSAKSI DAN SALDO DENGAN PIHAK - PIHAK BERELASI - Lanjutan</w:t>
            </w:r>
          </w:p>
        </w:tc>
        <w:tc>
          <w:tcPr>
            <w:tcW w:w="4599" w:type="dxa"/>
            <w:tcBorders>
              <w:top w:val="nil"/>
              <w:left w:val="nil"/>
              <w:bottom w:val="nil"/>
              <w:right w:val="nil"/>
            </w:tcBorders>
          </w:tcPr>
          <w:p w14:paraId="67B78B31" w14:textId="77777777" w:rsidR="00EE78B5" w:rsidRPr="00104084" w:rsidRDefault="00EE78B5" w:rsidP="00070D1F">
            <w:pPr>
              <w:numPr>
                <w:ilvl w:val="0"/>
                <w:numId w:val="395"/>
              </w:numPr>
              <w:jc w:val="both"/>
              <w:rPr>
                <w:b/>
                <w:i/>
                <w:iCs/>
                <w:sz w:val="18"/>
                <w:szCs w:val="18"/>
              </w:rPr>
            </w:pPr>
            <w:r>
              <w:rPr>
                <w:b/>
                <w:i/>
                <w:iCs/>
                <w:sz w:val="18"/>
                <w:szCs w:val="18"/>
              </w:rPr>
              <w:t>TRANSACTIONS AND BALANCES WITH RELATED PARTIES - Continued</w:t>
            </w:r>
          </w:p>
        </w:tc>
      </w:tr>
    </w:tbl>
    <w:p w14:paraId="1839E135" w14:textId="77777777" w:rsidR="00EE78B5" w:rsidRDefault="00EE78B5" w:rsidP="00EE78B5">
      <w:pPr>
        <w:rPr>
          <w:sz w:val="12"/>
          <w:szCs w:val="4"/>
          <w:lang w:val="id-ID"/>
        </w:rPr>
      </w:pPr>
    </w:p>
    <w:tbl>
      <w:tblPr>
        <w:tblW w:w="9197" w:type="dxa"/>
        <w:tblInd w:w="392" w:type="dxa"/>
        <w:tblLook w:val="0000" w:firstRow="0" w:lastRow="0" w:firstColumn="0" w:lastColumn="0" w:noHBand="0" w:noVBand="0"/>
      </w:tblPr>
      <w:tblGrid>
        <w:gridCol w:w="4599"/>
        <w:gridCol w:w="4598"/>
      </w:tblGrid>
      <w:tr w:rsidR="00EE78B5" w:rsidRPr="00BA06A0" w14:paraId="0EABE6DC" w14:textId="77777777" w:rsidTr="00091DE4">
        <w:trPr>
          <w:trHeight w:val="90"/>
        </w:trPr>
        <w:tc>
          <w:tcPr>
            <w:tcW w:w="4599" w:type="dxa"/>
            <w:tcBorders>
              <w:top w:val="nil"/>
              <w:left w:val="nil"/>
              <w:bottom w:val="nil"/>
              <w:right w:val="nil"/>
            </w:tcBorders>
          </w:tcPr>
          <w:p w14:paraId="7F816EB0" w14:textId="77777777" w:rsidR="00EE78B5" w:rsidRPr="00583BC9" w:rsidRDefault="00EE78B5" w:rsidP="00070D1F">
            <w:pPr>
              <w:pStyle w:val="ListParagraph"/>
              <w:numPr>
                <w:ilvl w:val="0"/>
                <w:numId w:val="357"/>
              </w:numPr>
              <w:ind w:left="474" w:hanging="222"/>
              <w:jc w:val="both"/>
              <w:rPr>
                <w:b/>
                <w:sz w:val="18"/>
                <w:szCs w:val="18"/>
              </w:rPr>
            </w:pPr>
            <w:r>
              <w:rPr>
                <w:b/>
                <w:sz w:val="18"/>
                <w:szCs w:val="18"/>
              </w:rPr>
              <w:t>Transaksi hubungan berelasi - Lanjutan</w:t>
            </w:r>
          </w:p>
        </w:tc>
        <w:tc>
          <w:tcPr>
            <w:tcW w:w="4598" w:type="dxa"/>
            <w:tcBorders>
              <w:top w:val="nil"/>
              <w:left w:val="nil"/>
              <w:bottom w:val="nil"/>
              <w:right w:val="nil"/>
            </w:tcBorders>
          </w:tcPr>
          <w:p w14:paraId="23805E3C" w14:textId="77777777" w:rsidR="00EE78B5" w:rsidRPr="00583BC9" w:rsidRDefault="00EE78B5" w:rsidP="00070D1F">
            <w:pPr>
              <w:pStyle w:val="ListParagraph"/>
              <w:numPr>
                <w:ilvl w:val="0"/>
                <w:numId w:val="358"/>
              </w:numPr>
              <w:jc w:val="both"/>
              <w:rPr>
                <w:b/>
                <w:i/>
                <w:iCs/>
                <w:sz w:val="18"/>
                <w:szCs w:val="18"/>
              </w:rPr>
            </w:pPr>
            <w:r>
              <w:rPr>
                <w:b/>
                <w:i/>
                <w:iCs/>
                <w:sz w:val="18"/>
                <w:szCs w:val="18"/>
              </w:rPr>
              <w:t>Transactions with related parties - Continued</w:t>
            </w:r>
          </w:p>
        </w:tc>
      </w:tr>
    </w:tbl>
    <w:p w14:paraId="73C44F33" w14:textId="77777777" w:rsidR="00EE78B5" w:rsidRDefault="00EE78B5" w:rsidP="00EE78B5">
      <w:pPr>
        <w:rPr>
          <w:sz w:val="12"/>
          <w:szCs w:val="4"/>
          <w:lang w:val="id-ID"/>
        </w:rPr>
      </w:pPr>
    </w:p>
    <w:p w14:paraId="1D5286DF" w14:textId="77777777" w:rsidR="00EE78B5" w:rsidRDefault="00EE78B5" w:rsidP="0013526B">
      <w:pPr>
        <w:rPr>
          <w:sz w:val="12"/>
          <w:szCs w:val="4"/>
          <w:lang w:val="id-ID"/>
        </w:rPr>
      </w:pPr>
    </w:p>
    <w:tbl>
      <w:tblPr>
        <w:tblW w:w="9197" w:type="dxa"/>
        <w:tblInd w:w="364" w:type="dxa"/>
        <w:tblCellMar>
          <w:left w:w="0" w:type="dxa"/>
          <w:right w:w="0" w:type="dxa"/>
        </w:tblCellMar>
        <w:tblLook w:val="04A0" w:firstRow="1" w:lastRow="0" w:firstColumn="1" w:lastColumn="0" w:noHBand="0" w:noVBand="1"/>
      </w:tblPr>
      <w:tblGrid>
        <w:gridCol w:w="2649"/>
        <w:gridCol w:w="61"/>
        <w:gridCol w:w="3774"/>
        <w:gridCol w:w="63"/>
        <w:gridCol w:w="2650"/>
      </w:tblGrid>
      <w:tr w:rsidR="00B06D55" w:rsidRPr="00FF40BD" w14:paraId="5A0292A9" w14:textId="77777777" w:rsidTr="00284CA5">
        <w:tc>
          <w:tcPr>
            <w:tcW w:w="2649" w:type="dxa"/>
            <w:shd w:val="clear" w:color="auto" w:fill="auto"/>
            <w:vAlign w:val="bottom"/>
          </w:tcPr>
          <w:p w14:paraId="47928D56" w14:textId="77777777" w:rsidR="00B06D55" w:rsidRPr="002F7A56" w:rsidRDefault="00B06D55" w:rsidP="00B06D55">
            <w:pPr>
              <w:jc w:val="center"/>
              <w:rPr>
                <w:b/>
                <w:bCs w:val="0"/>
                <w:i/>
                <w:iCs/>
                <w:sz w:val="18"/>
                <w:szCs w:val="18"/>
              </w:rPr>
            </w:pPr>
          </w:p>
        </w:tc>
        <w:tc>
          <w:tcPr>
            <w:tcW w:w="61" w:type="dxa"/>
          </w:tcPr>
          <w:p w14:paraId="5C4504EA" w14:textId="77777777" w:rsidR="00B06D55" w:rsidRPr="0013526B" w:rsidRDefault="00B06D55" w:rsidP="00B06D55">
            <w:pPr>
              <w:jc w:val="center"/>
              <w:rPr>
                <w:b/>
                <w:sz w:val="18"/>
                <w:szCs w:val="18"/>
              </w:rPr>
            </w:pPr>
          </w:p>
        </w:tc>
        <w:tc>
          <w:tcPr>
            <w:tcW w:w="3774" w:type="dxa"/>
            <w:tcBorders>
              <w:bottom w:val="single" w:sz="4" w:space="0" w:color="auto"/>
            </w:tcBorders>
          </w:tcPr>
          <w:p w14:paraId="601B7A28" w14:textId="0EC326A6" w:rsidR="00B06D55" w:rsidRPr="00FF40BD" w:rsidRDefault="004C3804" w:rsidP="00B06D55">
            <w:pPr>
              <w:jc w:val="center"/>
              <w:rPr>
                <w:b/>
                <w:sz w:val="18"/>
                <w:szCs w:val="18"/>
              </w:rPr>
            </w:pPr>
            <w:r w:rsidRPr="00FF40BD">
              <w:rPr>
                <w:b/>
                <w:sz w:val="18"/>
                <w:szCs w:val="18"/>
              </w:rPr>
              <w:t>Persentase terhadap jumlah kewajiban</w:t>
            </w:r>
            <w:r w:rsidR="00B06D55" w:rsidRPr="00FF40BD">
              <w:rPr>
                <w:b/>
                <w:sz w:val="18"/>
                <w:szCs w:val="18"/>
              </w:rPr>
              <w:t>/</w:t>
            </w:r>
            <w:r w:rsidR="00B06D55" w:rsidRPr="00FF40BD">
              <w:rPr>
                <w:b/>
                <w:sz w:val="18"/>
                <w:szCs w:val="18"/>
              </w:rPr>
              <w:br/>
              <w:t xml:space="preserve"> </w:t>
            </w:r>
            <w:r w:rsidRPr="00FF40BD">
              <w:rPr>
                <w:b/>
                <w:i/>
                <w:iCs/>
                <w:sz w:val="18"/>
                <w:szCs w:val="18"/>
              </w:rPr>
              <w:t>Percentage of total liabilities</w:t>
            </w:r>
          </w:p>
        </w:tc>
        <w:tc>
          <w:tcPr>
            <w:tcW w:w="63" w:type="dxa"/>
            <w:vAlign w:val="bottom"/>
          </w:tcPr>
          <w:p w14:paraId="192A3C0E" w14:textId="77777777" w:rsidR="00B06D55" w:rsidRPr="00FF40BD" w:rsidRDefault="00B06D55" w:rsidP="00B06D55">
            <w:pPr>
              <w:jc w:val="center"/>
              <w:rPr>
                <w:b/>
                <w:sz w:val="18"/>
                <w:szCs w:val="18"/>
              </w:rPr>
            </w:pPr>
          </w:p>
        </w:tc>
        <w:tc>
          <w:tcPr>
            <w:tcW w:w="2650" w:type="dxa"/>
            <w:shd w:val="clear" w:color="auto" w:fill="auto"/>
            <w:vAlign w:val="bottom"/>
          </w:tcPr>
          <w:p w14:paraId="044EB1AB" w14:textId="77777777" w:rsidR="00B06D55" w:rsidRPr="00FF40BD" w:rsidRDefault="00B06D55" w:rsidP="00B06D55">
            <w:pPr>
              <w:jc w:val="center"/>
              <w:rPr>
                <w:b/>
                <w:bCs w:val="0"/>
                <w:i/>
                <w:iCs/>
                <w:sz w:val="18"/>
                <w:szCs w:val="18"/>
              </w:rPr>
            </w:pPr>
          </w:p>
        </w:tc>
      </w:tr>
    </w:tbl>
    <w:p w14:paraId="494F6623" w14:textId="77777777" w:rsidR="00E06C69" w:rsidRPr="00FF40BD" w:rsidRDefault="00E06C69">
      <w:pPr>
        <w:rPr>
          <w:sz w:val="2"/>
          <w:szCs w:val="2"/>
        </w:rPr>
      </w:pPr>
    </w:p>
    <w:tbl>
      <w:tblPr>
        <w:tblW w:w="9197" w:type="dxa"/>
        <w:tblInd w:w="364" w:type="dxa"/>
        <w:tblCellMar>
          <w:left w:w="0" w:type="dxa"/>
          <w:right w:w="0" w:type="dxa"/>
        </w:tblCellMar>
        <w:tblLook w:val="04A0" w:firstRow="1" w:lastRow="0" w:firstColumn="1" w:lastColumn="0" w:noHBand="0" w:noVBand="1"/>
      </w:tblPr>
      <w:tblGrid>
        <w:gridCol w:w="2649"/>
        <w:gridCol w:w="61"/>
        <w:gridCol w:w="1857"/>
        <w:gridCol w:w="60"/>
        <w:gridCol w:w="1857"/>
        <w:gridCol w:w="63"/>
        <w:gridCol w:w="2650"/>
      </w:tblGrid>
      <w:tr w:rsidR="000177DA" w:rsidRPr="00FF40BD" w14:paraId="229F7D51" w14:textId="77777777" w:rsidTr="00284CA5">
        <w:tc>
          <w:tcPr>
            <w:tcW w:w="2649" w:type="dxa"/>
            <w:shd w:val="clear" w:color="auto" w:fill="auto"/>
            <w:vAlign w:val="bottom"/>
          </w:tcPr>
          <w:p w14:paraId="4C628A4A" w14:textId="77777777" w:rsidR="000177DA" w:rsidRPr="00FF40BD" w:rsidRDefault="000177DA" w:rsidP="000177DA">
            <w:pPr>
              <w:jc w:val="center"/>
              <w:rPr>
                <w:b/>
                <w:bCs w:val="0"/>
                <w:i/>
                <w:iCs/>
                <w:sz w:val="18"/>
                <w:szCs w:val="18"/>
              </w:rPr>
            </w:pPr>
          </w:p>
        </w:tc>
        <w:tc>
          <w:tcPr>
            <w:tcW w:w="61" w:type="dxa"/>
          </w:tcPr>
          <w:p w14:paraId="7B60115F" w14:textId="77777777" w:rsidR="000177DA" w:rsidRPr="00FF40BD" w:rsidRDefault="000177DA" w:rsidP="000177DA">
            <w:pPr>
              <w:jc w:val="center"/>
              <w:rPr>
                <w:b/>
                <w:sz w:val="18"/>
                <w:szCs w:val="18"/>
              </w:rPr>
            </w:pPr>
          </w:p>
        </w:tc>
        <w:tc>
          <w:tcPr>
            <w:tcW w:w="1857" w:type="dxa"/>
            <w:tcBorders>
              <w:bottom w:val="single" w:sz="4" w:space="0" w:color="auto"/>
            </w:tcBorders>
          </w:tcPr>
          <w:p w14:paraId="52D68FCD" w14:textId="77777777" w:rsidR="000177DA" w:rsidRPr="00FF40BD" w:rsidRDefault="000177DA" w:rsidP="000177DA">
            <w:pPr>
              <w:jc w:val="center"/>
              <w:rPr>
                <w:b/>
                <w:sz w:val="18"/>
                <w:szCs w:val="18"/>
              </w:rPr>
            </w:pPr>
            <w:r w:rsidRPr="00FF40BD">
              <w:rPr>
                <w:b/>
                <w:sz w:val="18"/>
                <w:szCs w:val="18"/>
              </w:rPr>
              <w:t>31 Maret/</w:t>
            </w:r>
          </w:p>
          <w:p w14:paraId="2F875735" w14:textId="4FCEB785" w:rsidR="000177DA" w:rsidRPr="00FF40BD" w:rsidRDefault="000177DA" w:rsidP="00586B56">
            <w:pPr>
              <w:jc w:val="center"/>
              <w:rPr>
                <w:b/>
                <w:sz w:val="18"/>
                <w:szCs w:val="18"/>
              </w:rPr>
            </w:pPr>
            <w:r w:rsidRPr="00FF40BD">
              <w:rPr>
                <w:b/>
                <w:sz w:val="18"/>
                <w:szCs w:val="18"/>
              </w:rPr>
              <w:t>March 31</w:t>
            </w:r>
            <w:r w:rsidR="00305CA0" w:rsidRPr="00FF40BD">
              <w:rPr>
                <w:b/>
                <w:sz w:val="18"/>
                <w:szCs w:val="18"/>
              </w:rPr>
              <w:t>.</w:t>
            </w:r>
            <w:r w:rsidRPr="00FF40BD">
              <w:rPr>
                <w:b/>
                <w:sz w:val="18"/>
                <w:szCs w:val="18"/>
              </w:rPr>
              <w:t xml:space="preserve"> 2020</w:t>
            </w:r>
          </w:p>
        </w:tc>
        <w:tc>
          <w:tcPr>
            <w:tcW w:w="60" w:type="dxa"/>
            <w:shd w:val="clear" w:color="auto" w:fill="auto"/>
            <w:vAlign w:val="bottom"/>
          </w:tcPr>
          <w:p w14:paraId="76296318" w14:textId="77777777" w:rsidR="000177DA" w:rsidRPr="00FF40BD" w:rsidRDefault="000177DA" w:rsidP="000177DA">
            <w:pPr>
              <w:jc w:val="center"/>
              <w:rPr>
                <w:b/>
                <w:sz w:val="18"/>
                <w:szCs w:val="18"/>
              </w:rPr>
            </w:pPr>
          </w:p>
        </w:tc>
        <w:tc>
          <w:tcPr>
            <w:tcW w:w="1857" w:type="dxa"/>
            <w:tcBorders>
              <w:bottom w:val="single" w:sz="4" w:space="0" w:color="auto"/>
            </w:tcBorders>
            <w:shd w:val="clear" w:color="auto" w:fill="auto"/>
            <w:vAlign w:val="bottom"/>
          </w:tcPr>
          <w:p w14:paraId="2CCB7D91" w14:textId="24EB91FF" w:rsidR="000177DA" w:rsidRPr="00FF40BD" w:rsidRDefault="000177DA" w:rsidP="000177DA">
            <w:pPr>
              <w:jc w:val="center"/>
              <w:rPr>
                <w:b/>
                <w:sz w:val="18"/>
                <w:szCs w:val="18"/>
              </w:rPr>
            </w:pPr>
            <w:r w:rsidRPr="00FF40BD">
              <w:rPr>
                <w:b/>
                <w:sz w:val="18"/>
                <w:szCs w:val="18"/>
              </w:rPr>
              <w:t>31 Desember/ December 31</w:t>
            </w:r>
            <w:r w:rsidR="00305CA0" w:rsidRPr="00FF40BD">
              <w:rPr>
                <w:b/>
                <w:sz w:val="18"/>
                <w:szCs w:val="18"/>
              </w:rPr>
              <w:t>.</w:t>
            </w:r>
            <w:r w:rsidRPr="00FF40BD">
              <w:rPr>
                <w:b/>
                <w:sz w:val="18"/>
                <w:szCs w:val="18"/>
              </w:rPr>
              <w:t xml:space="preserve"> 2019</w:t>
            </w:r>
          </w:p>
        </w:tc>
        <w:tc>
          <w:tcPr>
            <w:tcW w:w="63" w:type="dxa"/>
            <w:vAlign w:val="bottom"/>
          </w:tcPr>
          <w:p w14:paraId="159CE23E" w14:textId="77777777" w:rsidR="000177DA" w:rsidRPr="00FF40BD" w:rsidRDefault="000177DA" w:rsidP="000177DA">
            <w:pPr>
              <w:jc w:val="center"/>
              <w:rPr>
                <w:b/>
                <w:sz w:val="18"/>
                <w:szCs w:val="18"/>
              </w:rPr>
            </w:pPr>
          </w:p>
        </w:tc>
        <w:tc>
          <w:tcPr>
            <w:tcW w:w="2650" w:type="dxa"/>
            <w:shd w:val="clear" w:color="auto" w:fill="auto"/>
            <w:vAlign w:val="bottom"/>
          </w:tcPr>
          <w:p w14:paraId="3EA031B3" w14:textId="77777777" w:rsidR="000177DA" w:rsidRPr="00FF40BD" w:rsidRDefault="000177DA" w:rsidP="000177DA">
            <w:pPr>
              <w:jc w:val="center"/>
              <w:rPr>
                <w:b/>
                <w:bCs w:val="0"/>
                <w:i/>
                <w:iCs/>
                <w:sz w:val="18"/>
                <w:szCs w:val="18"/>
              </w:rPr>
            </w:pPr>
          </w:p>
        </w:tc>
      </w:tr>
      <w:tr w:rsidR="00B06D55" w:rsidRPr="00FF40BD" w14:paraId="640903E4" w14:textId="77777777" w:rsidTr="00284CA5">
        <w:tc>
          <w:tcPr>
            <w:tcW w:w="2649" w:type="dxa"/>
            <w:shd w:val="clear" w:color="auto" w:fill="auto"/>
          </w:tcPr>
          <w:p w14:paraId="5B97455F" w14:textId="77777777" w:rsidR="00B06D55" w:rsidRPr="00FF40BD" w:rsidRDefault="00B06D55" w:rsidP="00B06D55">
            <w:pPr>
              <w:jc w:val="center"/>
              <w:rPr>
                <w:sz w:val="8"/>
                <w:szCs w:val="8"/>
              </w:rPr>
            </w:pPr>
          </w:p>
        </w:tc>
        <w:tc>
          <w:tcPr>
            <w:tcW w:w="61" w:type="dxa"/>
          </w:tcPr>
          <w:p w14:paraId="554D2926" w14:textId="77777777" w:rsidR="00B06D55" w:rsidRPr="00FF40BD" w:rsidRDefault="00B06D55" w:rsidP="00B06D55">
            <w:pPr>
              <w:jc w:val="center"/>
              <w:rPr>
                <w:b/>
                <w:sz w:val="8"/>
                <w:szCs w:val="8"/>
              </w:rPr>
            </w:pPr>
          </w:p>
        </w:tc>
        <w:tc>
          <w:tcPr>
            <w:tcW w:w="1857" w:type="dxa"/>
            <w:tcBorders>
              <w:top w:val="single" w:sz="4" w:space="0" w:color="auto"/>
            </w:tcBorders>
          </w:tcPr>
          <w:p w14:paraId="0C307644" w14:textId="77777777" w:rsidR="00B06D55" w:rsidRPr="00FF40BD" w:rsidRDefault="00B06D55" w:rsidP="00B06D55">
            <w:pPr>
              <w:jc w:val="center"/>
              <w:rPr>
                <w:b/>
                <w:sz w:val="8"/>
                <w:szCs w:val="8"/>
              </w:rPr>
            </w:pPr>
          </w:p>
        </w:tc>
        <w:tc>
          <w:tcPr>
            <w:tcW w:w="60" w:type="dxa"/>
            <w:shd w:val="clear" w:color="auto" w:fill="auto"/>
          </w:tcPr>
          <w:p w14:paraId="3A35D1EA" w14:textId="77777777" w:rsidR="00B06D55" w:rsidRPr="00FF40BD" w:rsidRDefault="00B06D55" w:rsidP="00B06D55">
            <w:pPr>
              <w:jc w:val="center"/>
              <w:rPr>
                <w:b/>
                <w:sz w:val="8"/>
                <w:szCs w:val="8"/>
              </w:rPr>
            </w:pPr>
          </w:p>
        </w:tc>
        <w:tc>
          <w:tcPr>
            <w:tcW w:w="1857" w:type="dxa"/>
            <w:tcBorders>
              <w:top w:val="single" w:sz="4" w:space="0" w:color="auto"/>
            </w:tcBorders>
            <w:shd w:val="clear" w:color="auto" w:fill="auto"/>
          </w:tcPr>
          <w:p w14:paraId="3DC2D53A" w14:textId="77777777" w:rsidR="00B06D55" w:rsidRPr="00FF40BD" w:rsidRDefault="00B06D55" w:rsidP="00B06D55">
            <w:pPr>
              <w:jc w:val="center"/>
              <w:rPr>
                <w:b/>
                <w:sz w:val="8"/>
                <w:szCs w:val="8"/>
              </w:rPr>
            </w:pPr>
          </w:p>
        </w:tc>
        <w:tc>
          <w:tcPr>
            <w:tcW w:w="63" w:type="dxa"/>
          </w:tcPr>
          <w:p w14:paraId="767AD607" w14:textId="77777777" w:rsidR="00B06D55" w:rsidRPr="00FF40BD" w:rsidRDefault="00B06D55" w:rsidP="00B06D55">
            <w:pPr>
              <w:jc w:val="center"/>
              <w:rPr>
                <w:b/>
                <w:sz w:val="8"/>
                <w:szCs w:val="8"/>
              </w:rPr>
            </w:pPr>
          </w:p>
        </w:tc>
        <w:tc>
          <w:tcPr>
            <w:tcW w:w="2650" w:type="dxa"/>
            <w:shd w:val="clear" w:color="auto" w:fill="auto"/>
          </w:tcPr>
          <w:p w14:paraId="6171C114" w14:textId="77777777" w:rsidR="00B06D55" w:rsidRPr="00FF40BD" w:rsidRDefault="00B06D55" w:rsidP="00B06D55">
            <w:pPr>
              <w:jc w:val="center"/>
              <w:rPr>
                <w:sz w:val="8"/>
                <w:szCs w:val="8"/>
              </w:rPr>
            </w:pPr>
          </w:p>
        </w:tc>
      </w:tr>
      <w:tr w:rsidR="00B06D55" w:rsidRPr="00FF40BD" w14:paraId="41EEF681" w14:textId="77777777" w:rsidTr="00284CA5">
        <w:trPr>
          <w:trHeight w:val="249"/>
        </w:trPr>
        <w:tc>
          <w:tcPr>
            <w:tcW w:w="2649" w:type="dxa"/>
            <w:shd w:val="clear" w:color="auto" w:fill="auto"/>
            <w:vAlign w:val="bottom"/>
          </w:tcPr>
          <w:p w14:paraId="48E723AF" w14:textId="77777777" w:rsidR="00B06D55" w:rsidRPr="00FF40BD" w:rsidRDefault="00B06D55" w:rsidP="00A07E1E">
            <w:pPr>
              <w:ind w:left="573"/>
              <w:rPr>
                <w:b/>
                <w:bCs w:val="0"/>
                <w:sz w:val="18"/>
                <w:szCs w:val="18"/>
              </w:rPr>
            </w:pPr>
            <w:r w:rsidRPr="00FF40BD">
              <w:rPr>
                <w:b/>
                <w:bCs w:val="0"/>
                <w:sz w:val="18"/>
                <w:szCs w:val="18"/>
              </w:rPr>
              <w:t>Liabilitas</w:t>
            </w:r>
          </w:p>
        </w:tc>
        <w:tc>
          <w:tcPr>
            <w:tcW w:w="61" w:type="dxa"/>
          </w:tcPr>
          <w:p w14:paraId="6650D2F4" w14:textId="77777777" w:rsidR="00B06D55" w:rsidRPr="00FF40BD" w:rsidRDefault="00B06D55" w:rsidP="00B06D55">
            <w:pPr>
              <w:ind w:right="57"/>
              <w:jc w:val="center"/>
              <w:rPr>
                <w:sz w:val="18"/>
                <w:szCs w:val="18"/>
              </w:rPr>
            </w:pPr>
          </w:p>
        </w:tc>
        <w:tc>
          <w:tcPr>
            <w:tcW w:w="1857" w:type="dxa"/>
            <w:vAlign w:val="bottom"/>
          </w:tcPr>
          <w:p w14:paraId="45B9C770" w14:textId="77777777" w:rsidR="00B06D55" w:rsidRPr="00FF40BD" w:rsidRDefault="00B06D55" w:rsidP="00C4152E">
            <w:pPr>
              <w:ind w:right="57"/>
              <w:jc w:val="right"/>
              <w:rPr>
                <w:sz w:val="18"/>
                <w:szCs w:val="18"/>
              </w:rPr>
            </w:pPr>
          </w:p>
        </w:tc>
        <w:tc>
          <w:tcPr>
            <w:tcW w:w="60" w:type="dxa"/>
            <w:shd w:val="clear" w:color="auto" w:fill="auto"/>
            <w:vAlign w:val="bottom"/>
          </w:tcPr>
          <w:p w14:paraId="0324E3A4" w14:textId="77777777" w:rsidR="00B06D55" w:rsidRPr="00FF40BD" w:rsidRDefault="00B06D55" w:rsidP="00B06D55">
            <w:pPr>
              <w:ind w:right="57"/>
              <w:jc w:val="center"/>
              <w:rPr>
                <w:sz w:val="18"/>
                <w:szCs w:val="18"/>
              </w:rPr>
            </w:pPr>
          </w:p>
        </w:tc>
        <w:tc>
          <w:tcPr>
            <w:tcW w:w="1857" w:type="dxa"/>
            <w:shd w:val="clear" w:color="auto" w:fill="auto"/>
            <w:vAlign w:val="bottom"/>
          </w:tcPr>
          <w:p w14:paraId="393DB6C9" w14:textId="77777777" w:rsidR="00B06D55" w:rsidRPr="00FF40BD" w:rsidRDefault="00B06D55" w:rsidP="00B06D55">
            <w:pPr>
              <w:ind w:right="57"/>
              <w:jc w:val="right"/>
              <w:rPr>
                <w:sz w:val="18"/>
                <w:szCs w:val="18"/>
              </w:rPr>
            </w:pPr>
          </w:p>
        </w:tc>
        <w:tc>
          <w:tcPr>
            <w:tcW w:w="63" w:type="dxa"/>
          </w:tcPr>
          <w:p w14:paraId="0F9A1D4F" w14:textId="77777777" w:rsidR="00B06D55" w:rsidRPr="00FF40BD" w:rsidRDefault="00B06D55" w:rsidP="00B06D55">
            <w:pPr>
              <w:ind w:right="57"/>
              <w:jc w:val="center"/>
              <w:rPr>
                <w:sz w:val="18"/>
                <w:szCs w:val="18"/>
              </w:rPr>
            </w:pPr>
          </w:p>
        </w:tc>
        <w:tc>
          <w:tcPr>
            <w:tcW w:w="2650" w:type="dxa"/>
            <w:shd w:val="clear" w:color="auto" w:fill="auto"/>
            <w:vAlign w:val="bottom"/>
          </w:tcPr>
          <w:p w14:paraId="2663137A" w14:textId="77777777" w:rsidR="00B06D55" w:rsidRPr="00FF40BD" w:rsidRDefault="00B06D55" w:rsidP="00B06D55">
            <w:pPr>
              <w:ind w:right="113"/>
              <w:jc w:val="right"/>
              <w:rPr>
                <w:b/>
                <w:bCs w:val="0"/>
                <w:i/>
                <w:sz w:val="18"/>
                <w:szCs w:val="18"/>
              </w:rPr>
            </w:pPr>
            <w:r w:rsidRPr="00FF40BD">
              <w:rPr>
                <w:b/>
                <w:bCs w:val="0"/>
                <w:i/>
                <w:sz w:val="18"/>
                <w:szCs w:val="18"/>
              </w:rPr>
              <w:t xml:space="preserve">Liabilities </w:t>
            </w:r>
          </w:p>
        </w:tc>
      </w:tr>
      <w:tr w:rsidR="00B06D55" w:rsidRPr="00FF40BD" w14:paraId="0FA072EC" w14:textId="77777777" w:rsidTr="00284CA5">
        <w:trPr>
          <w:trHeight w:val="249"/>
        </w:trPr>
        <w:tc>
          <w:tcPr>
            <w:tcW w:w="2649" w:type="dxa"/>
            <w:shd w:val="clear" w:color="auto" w:fill="auto"/>
            <w:vAlign w:val="bottom"/>
          </w:tcPr>
          <w:p w14:paraId="07737BC6" w14:textId="77777777" w:rsidR="00B06D55" w:rsidRPr="00FF40BD" w:rsidRDefault="00B06D55" w:rsidP="00A07E1E">
            <w:pPr>
              <w:ind w:left="573"/>
              <w:rPr>
                <w:sz w:val="18"/>
                <w:szCs w:val="18"/>
              </w:rPr>
            </w:pPr>
            <w:r w:rsidRPr="00FF40BD">
              <w:rPr>
                <w:sz w:val="18"/>
                <w:szCs w:val="18"/>
              </w:rPr>
              <w:t>Utang lain-lain</w:t>
            </w:r>
          </w:p>
        </w:tc>
        <w:tc>
          <w:tcPr>
            <w:tcW w:w="61" w:type="dxa"/>
          </w:tcPr>
          <w:p w14:paraId="7460044A" w14:textId="77777777" w:rsidR="00B06D55" w:rsidRPr="00FF40BD" w:rsidRDefault="00B06D55" w:rsidP="00B06D55">
            <w:pPr>
              <w:ind w:right="57"/>
              <w:jc w:val="center"/>
              <w:rPr>
                <w:sz w:val="18"/>
                <w:szCs w:val="18"/>
              </w:rPr>
            </w:pPr>
          </w:p>
        </w:tc>
        <w:tc>
          <w:tcPr>
            <w:tcW w:w="1857" w:type="dxa"/>
            <w:vAlign w:val="bottom"/>
          </w:tcPr>
          <w:p w14:paraId="22916EEA" w14:textId="77777777" w:rsidR="00B06D55" w:rsidRPr="00FF40BD" w:rsidRDefault="00B06D55" w:rsidP="00C4152E">
            <w:pPr>
              <w:ind w:right="57"/>
              <w:jc w:val="right"/>
              <w:rPr>
                <w:sz w:val="18"/>
                <w:szCs w:val="18"/>
              </w:rPr>
            </w:pPr>
          </w:p>
        </w:tc>
        <w:tc>
          <w:tcPr>
            <w:tcW w:w="60" w:type="dxa"/>
            <w:shd w:val="clear" w:color="auto" w:fill="auto"/>
            <w:vAlign w:val="bottom"/>
          </w:tcPr>
          <w:p w14:paraId="4058CD5E" w14:textId="77777777" w:rsidR="00B06D55" w:rsidRPr="00FF40BD" w:rsidRDefault="00B06D55" w:rsidP="00B06D55">
            <w:pPr>
              <w:ind w:right="57"/>
              <w:jc w:val="center"/>
              <w:rPr>
                <w:sz w:val="18"/>
                <w:szCs w:val="18"/>
              </w:rPr>
            </w:pPr>
          </w:p>
        </w:tc>
        <w:tc>
          <w:tcPr>
            <w:tcW w:w="1857" w:type="dxa"/>
            <w:shd w:val="clear" w:color="auto" w:fill="auto"/>
            <w:vAlign w:val="bottom"/>
          </w:tcPr>
          <w:p w14:paraId="29CB5821" w14:textId="77777777" w:rsidR="00B06D55" w:rsidRPr="00FF40BD" w:rsidRDefault="00B06D55" w:rsidP="00B06D55">
            <w:pPr>
              <w:ind w:right="57"/>
              <w:jc w:val="right"/>
              <w:rPr>
                <w:sz w:val="18"/>
                <w:szCs w:val="18"/>
              </w:rPr>
            </w:pPr>
          </w:p>
        </w:tc>
        <w:tc>
          <w:tcPr>
            <w:tcW w:w="63" w:type="dxa"/>
          </w:tcPr>
          <w:p w14:paraId="7900C0AD" w14:textId="77777777" w:rsidR="00B06D55" w:rsidRPr="00FF40BD" w:rsidRDefault="00B06D55" w:rsidP="00B06D55">
            <w:pPr>
              <w:ind w:right="57"/>
              <w:jc w:val="center"/>
              <w:rPr>
                <w:sz w:val="18"/>
                <w:szCs w:val="18"/>
              </w:rPr>
            </w:pPr>
          </w:p>
        </w:tc>
        <w:tc>
          <w:tcPr>
            <w:tcW w:w="2650" w:type="dxa"/>
            <w:shd w:val="clear" w:color="auto" w:fill="auto"/>
            <w:vAlign w:val="bottom"/>
          </w:tcPr>
          <w:p w14:paraId="2CECB31F" w14:textId="77777777" w:rsidR="00B06D55" w:rsidRPr="00FF40BD" w:rsidRDefault="00B06D55" w:rsidP="00B06D55">
            <w:pPr>
              <w:ind w:right="113"/>
              <w:jc w:val="right"/>
              <w:rPr>
                <w:i/>
                <w:sz w:val="18"/>
                <w:szCs w:val="18"/>
              </w:rPr>
            </w:pPr>
            <w:r w:rsidRPr="00FF40BD">
              <w:rPr>
                <w:i/>
                <w:sz w:val="18"/>
                <w:szCs w:val="18"/>
              </w:rPr>
              <w:t>Other payable</w:t>
            </w:r>
          </w:p>
        </w:tc>
      </w:tr>
      <w:tr w:rsidR="000177DA" w:rsidRPr="00FF40BD" w14:paraId="34870F16" w14:textId="77777777" w:rsidTr="00284CA5">
        <w:trPr>
          <w:trHeight w:val="249"/>
        </w:trPr>
        <w:tc>
          <w:tcPr>
            <w:tcW w:w="2649" w:type="dxa"/>
            <w:shd w:val="clear" w:color="auto" w:fill="auto"/>
            <w:vAlign w:val="bottom"/>
          </w:tcPr>
          <w:p w14:paraId="3C7DFC1A" w14:textId="77777777" w:rsidR="000177DA" w:rsidRPr="00FF40BD" w:rsidRDefault="000177DA" w:rsidP="000177DA">
            <w:pPr>
              <w:ind w:left="573"/>
              <w:rPr>
                <w:sz w:val="18"/>
                <w:szCs w:val="18"/>
              </w:rPr>
            </w:pPr>
            <w:r w:rsidRPr="00FF40BD">
              <w:rPr>
                <w:sz w:val="18"/>
                <w:szCs w:val="18"/>
              </w:rPr>
              <w:t xml:space="preserve">   PT Surya Cipta Inti </w:t>
            </w:r>
          </w:p>
          <w:p w14:paraId="1965863A" w14:textId="659FBF62" w:rsidR="000177DA" w:rsidRPr="00FF40BD" w:rsidRDefault="000177DA" w:rsidP="000177DA">
            <w:pPr>
              <w:ind w:left="853" w:hanging="28"/>
              <w:rPr>
                <w:sz w:val="18"/>
                <w:szCs w:val="18"/>
              </w:rPr>
            </w:pPr>
            <w:r w:rsidRPr="00FF40BD">
              <w:rPr>
                <w:sz w:val="18"/>
                <w:szCs w:val="18"/>
              </w:rPr>
              <w:t>Cemerlang</w:t>
            </w:r>
          </w:p>
        </w:tc>
        <w:tc>
          <w:tcPr>
            <w:tcW w:w="61" w:type="dxa"/>
          </w:tcPr>
          <w:p w14:paraId="66DB2547" w14:textId="77777777" w:rsidR="000177DA" w:rsidRPr="00FF40BD" w:rsidRDefault="000177DA" w:rsidP="000177DA">
            <w:pPr>
              <w:ind w:right="57"/>
              <w:jc w:val="center"/>
              <w:rPr>
                <w:sz w:val="18"/>
                <w:szCs w:val="18"/>
              </w:rPr>
            </w:pPr>
          </w:p>
        </w:tc>
        <w:tc>
          <w:tcPr>
            <w:tcW w:w="1857" w:type="dxa"/>
            <w:vAlign w:val="bottom"/>
          </w:tcPr>
          <w:p w14:paraId="0031F634" w14:textId="66C7EAF1" w:rsidR="000177DA" w:rsidRPr="00FF40BD" w:rsidRDefault="00E95ACD" w:rsidP="000177DA">
            <w:pPr>
              <w:ind w:right="57"/>
              <w:jc w:val="right"/>
              <w:rPr>
                <w:sz w:val="18"/>
                <w:szCs w:val="18"/>
              </w:rPr>
            </w:pPr>
            <w:r>
              <w:rPr>
                <w:sz w:val="18"/>
                <w:szCs w:val="18"/>
              </w:rPr>
              <w:t>57.01</w:t>
            </w:r>
            <w:r w:rsidR="004C3804" w:rsidRPr="00FF40BD">
              <w:rPr>
                <w:sz w:val="18"/>
                <w:szCs w:val="18"/>
              </w:rPr>
              <w:t>%</w:t>
            </w:r>
          </w:p>
        </w:tc>
        <w:tc>
          <w:tcPr>
            <w:tcW w:w="60" w:type="dxa"/>
            <w:shd w:val="clear" w:color="auto" w:fill="auto"/>
            <w:vAlign w:val="bottom"/>
          </w:tcPr>
          <w:p w14:paraId="17BEE177" w14:textId="77777777" w:rsidR="000177DA" w:rsidRPr="00FF40BD" w:rsidRDefault="000177DA" w:rsidP="000177DA">
            <w:pPr>
              <w:ind w:right="57"/>
              <w:jc w:val="center"/>
              <w:rPr>
                <w:sz w:val="18"/>
                <w:szCs w:val="18"/>
              </w:rPr>
            </w:pPr>
          </w:p>
        </w:tc>
        <w:tc>
          <w:tcPr>
            <w:tcW w:w="1857" w:type="dxa"/>
            <w:shd w:val="clear" w:color="auto" w:fill="auto"/>
            <w:vAlign w:val="bottom"/>
          </w:tcPr>
          <w:p w14:paraId="10DC4B08" w14:textId="09AEDC05" w:rsidR="000177DA" w:rsidRPr="00FF40BD" w:rsidRDefault="000177DA" w:rsidP="000177DA">
            <w:pPr>
              <w:ind w:right="57"/>
              <w:jc w:val="right"/>
              <w:rPr>
                <w:sz w:val="18"/>
                <w:szCs w:val="18"/>
              </w:rPr>
            </w:pPr>
            <w:r w:rsidRPr="00FF40BD">
              <w:rPr>
                <w:sz w:val="18"/>
                <w:szCs w:val="18"/>
              </w:rPr>
              <w:t>55.70%</w:t>
            </w:r>
          </w:p>
        </w:tc>
        <w:tc>
          <w:tcPr>
            <w:tcW w:w="63" w:type="dxa"/>
          </w:tcPr>
          <w:p w14:paraId="6E37279C" w14:textId="77777777" w:rsidR="000177DA" w:rsidRPr="00FF40BD" w:rsidRDefault="000177DA" w:rsidP="000177DA">
            <w:pPr>
              <w:ind w:right="57"/>
              <w:jc w:val="center"/>
              <w:rPr>
                <w:sz w:val="18"/>
                <w:szCs w:val="18"/>
              </w:rPr>
            </w:pPr>
          </w:p>
        </w:tc>
        <w:tc>
          <w:tcPr>
            <w:tcW w:w="2650" w:type="dxa"/>
            <w:shd w:val="clear" w:color="auto" w:fill="auto"/>
            <w:vAlign w:val="bottom"/>
          </w:tcPr>
          <w:p w14:paraId="635C4256" w14:textId="77777777" w:rsidR="000177DA" w:rsidRPr="00FF40BD" w:rsidRDefault="000177DA" w:rsidP="000177DA">
            <w:pPr>
              <w:ind w:right="227"/>
              <w:jc w:val="right"/>
              <w:rPr>
                <w:i/>
                <w:iCs/>
                <w:sz w:val="18"/>
                <w:szCs w:val="18"/>
              </w:rPr>
            </w:pPr>
            <w:r w:rsidRPr="00FF40BD">
              <w:rPr>
                <w:i/>
                <w:iCs/>
                <w:sz w:val="18"/>
                <w:szCs w:val="18"/>
              </w:rPr>
              <w:t>PT Surya Cipta Inti</w:t>
            </w:r>
          </w:p>
          <w:p w14:paraId="54F7766D" w14:textId="6569BD86" w:rsidR="000177DA" w:rsidRPr="00FF40BD" w:rsidRDefault="000177DA" w:rsidP="000177DA">
            <w:pPr>
              <w:ind w:right="454"/>
              <w:jc w:val="right"/>
              <w:rPr>
                <w:i/>
                <w:iCs/>
                <w:sz w:val="18"/>
                <w:szCs w:val="18"/>
              </w:rPr>
            </w:pPr>
            <w:r w:rsidRPr="00FF40BD">
              <w:rPr>
                <w:i/>
                <w:sz w:val="18"/>
                <w:szCs w:val="18"/>
              </w:rPr>
              <w:t>Cemerlang</w:t>
            </w:r>
          </w:p>
        </w:tc>
      </w:tr>
      <w:tr w:rsidR="000177DA" w:rsidRPr="00FF40BD" w14:paraId="4ED03618" w14:textId="77777777" w:rsidTr="00284CA5">
        <w:tc>
          <w:tcPr>
            <w:tcW w:w="2649" w:type="dxa"/>
            <w:shd w:val="clear" w:color="auto" w:fill="auto"/>
          </w:tcPr>
          <w:p w14:paraId="317D1024" w14:textId="77777777" w:rsidR="000177DA" w:rsidRPr="00FF40BD" w:rsidRDefault="000177DA" w:rsidP="000177DA">
            <w:pPr>
              <w:ind w:left="587"/>
              <w:rPr>
                <w:sz w:val="18"/>
                <w:szCs w:val="18"/>
              </w:rPr>
            </w:pPr>
            <w:r w:rsidRPr="00FF40BD">
              <w:rPr>
                <w:sz w:val="18"/>
                <w:szCs w:val="18"/>
              </w:rPr>
              <w:t xml:space="preserve">Pendapatan sewa </w:t>
            </w:r>
          </w:p>
          <w:p w14:paraId="3C5A9084" w14:textId="294E075C" w:rsidR="000177DA" w:rsidRPr="00FF40BD" w:rsidRDefault="000177DA" w:rsidP="000177DA">
            <w:pPr>
              <w:ind w:left="685"/>
              <w:rPr>
                <w:sz w:val="18"/>
                <w:szCs w:val="18"/>
              </w:rPr>
            </w:pPr>
            <w:r w:rsidRPr="00FF40BD">
              <w:rPr>
                <w:sz w:val="18"/>
                <w:szCs w:val="18"/>
              </w:rPr>
              <w:t>diterima dimuka</w:t>
            </w:r>
          </w:p>
        </w:tc>
        <w:tc>
          <w:tcPr>
            <w:tcW w:w="61" w:type="dxa"/>
          </w:tcPr>
          <w:p w14:paraId="7966E367" w14:textId="77777777" w:rsidR="000177DA" w:rsidRPr="00FF40BD" w:rsidRDefault="000177DA" w:rsidP="000177DA">
            <w:pPr>
              <w:ind w:right="57"/>
              <w:jc w:val="center"/>
              <w:rPr>
                <w:sz w:val="18"/>
                <w:szCs w:val="18"/>
              </w:rPr>
            </w:pPr>
          </w:p>
        </w:tc>
        <w:tc>
          <w:tcPr>
            <w:tcW w:w="1857" w:type="dxa"/>
            <w:vAlign w:val="bottom"/>
          </w:tcPr>
          <w:p w14:paraId="7B2EE33F" w14:textId="77777777" w:rsidR="000177DA" w:rsidRPr="00FF40BD" w:rsidRDefault="000177DA" w:rsidP="000177DA">
            <w:pPr>
              <w:ind w:right="57"/>
              <w:jc w:val="right"/>
              <w:rPr>
                <w:sz w:val="18"/>
                <w:szCs w:val="18"/>
              </w:rPr>
            </w:pPr>
          </w:p>
        </w:tc>
        <w:tc>
          <w:tcPr>
            <w:tcW w:w="60" w:type="dxa"/>
            <w:shd w:val="clear" w:color="auto" w:fill="auto"/>
            <w:vAlign w:val="bottom"/>
          </w:tcPr>
          <w:p w14:paraId="50D0D967" w14:textId="77777777" w:rsidR="000177DA" w:rsidRPr="00FF40BD" w:rsidRDefault="000177DA" w:rsidP="000177DA">
            <w:pPr>
              <w:ind w:right="57"/>
              <w:jc w:val="center"/>
              <w:rPr>
                <w:sz w:val="18"/>
                <w:szCs w:val="18"/>
              </w:rPr>
            </w:pPr>
          </w:p>
        </w:tc>
        <w:tc>
          <w:tcPr>
            <w:tcW w:w="1857" w:type="dxa"/>
            <w:shd w:val="clear" w:color="auto" w:fill="auto"/>
            <w:vAlign w:val="bottom"/>
          </w:tcPr>
          <w:p w14:paraId="77312572" w14:textId="77777777" w:rsidR="000177DA" w:rsidRPr="00FF40BD" w:rsidRDefault="000177DA" w:rsidP="000177DA">
            <w:pPr>
              <w:ind w:right="57"/>
              <w:jc w:val="right"/>
              <w:rPr>
                <w:sz w:val="18"/>
                <w:szCs w:val="18"/>
              </w:rPr>
            </w:pPr>
          </w:p>
        </w:tc>
        <w:tc>
          <w:tcPr>
            <w:tcW w:w="63" w:type="dxa"/>
          </w:tcPr>
          <w:p w14:paraId="33768F3C" w14:textId="77777777" w:rsidR="000177DA" w:rsidRPr="00FF40BD" w:rsidRDefault="000177DA" w:rsidP="000177DA">
            <w:pPr>
              <w:ind w:right="57"/>
              <w:jc w:val="center"/>
              <w:rPr>
                <w:sz w:val="18"/>
                <w:szCs w:val="18"/>
              </w:rPr>
            </w:pPr>
          </w:p>
        </w:tc>
        <w:tc>
          <w:tcPr>
            <w:tcW w:w="2650" w:type="dxa"/>
            <w:shd w:val="clear" w:color="auto" w:fill="auto"/>
            <w:vAlign w:val="bottom"/>
          </w:tcPr>
          <w:p w14:paraId="6661BE58" w14:textId="77777777" w:rsidR="000177DA" w:rsidRPr="00FF40BD" w:rsidRDefault="000177DA" w:rsidP="000177DA">
            <w:pPr>
              <w:ind w:right="113"/>
              <w:jc w:val="right"/>
              <w:rPr>
                <w:i/>
                <w:sz w:val="18"/>
                <w:szCs w:val="18"/>
              </w:rPr>
            </w:pPr>
            <w:r w:rsidRPr="00FF40BD">
              <w:rPr>
                <w:i/>
                <w:sz w:val="18"/>
                <w:szCs w:val="18"/>
              </w:rPr>
              <w:t>Unearned rent</w:t>
            </w:r>
          </w:p>
        </w:tc>
      </w:tr>
      <w:tr w:rsidR="000177DA" w:rsidRPr="00FF40BD" w14:paraId="4A61EDE1" w14:textId="77777777" w:rsidTr="00284CA5">
        <w:tc>
          <w:tcPr>
            <w:tcW w:w="2649" w:type="dxa"/>
            <w:shd w:val="clear" w:color="auto" w:fill="auto"/>
          </w:tcPr>
          <w:p w14:paraId="24B827CA" w14:textId="77777777" w:rsidR="000177DA" w:rsidRPr="00FF40BD" w:rsidRDefault="000177DA" w:rsidP="000177DA">
            <w:pPr>
              <w:ind w:left="573"/>
              <w:rPr>
                <w:sz w:val="18"/>
                <w:szCs w:val="18"/>
              </w:rPr>
            </w:pPr>
            <w:r w:rsidRPr="00FF40BD">
              <w:rPr>
                <w:sz w:val="18"/>
                <w:szCs w:val="18"/>
              </w:rPr>
              <w:t xml:space="preserve">   PT Bank Mayapada </w:t>
            </w:r>
          </w:p>
          <w:p w14:paraId="47DB2788" w14:textId="77777777" w:rsidR="000177DA" w:rsidRPr="00FF40BD" w:rsidRDefault="000177DA" w:rsidP="000177DA">
            <w:pPr>
              <w:ind w:left="839" w:firstLine="84"/>
              <w:rPr>
                <w:sz w:val="18"/>
                <w:szCs w:val="18"/>
              </w:rPr>
            </w:pPr>
            <w:r w:rsidRPr="00FF40BD">
              <w:rPr>
                <w:sz w:val="18"/>
                <w:szCs w:val="18"/>
              </w:rPr>
              <w:t>Internasional Tbk</w:t>
            </w:r>
          </w:p>
        </w:tc>
        <w:tc>
          <w:tcPr>
            <w:tcW w:w="61" w:type="dxa"/>
          </w:tcPr>
          <w:p w14:paraId="3D885A42" w14:textId="77777777" w:rsidR="000177DA" w:rsidRPr="00FF40BD" w:rsidRDefault="000177DA" w:rsidP="000177DA">
            <w:pPr>
              <w:ind w:left="113"/>
              <w:jc w:val="center"/>
              <w:rPr>
                <w:sz w:val="18"/>
                <w:szCs w:val="18"/>
              </w:rPr>
            </w:pPr>
          </w:p>
        </w:tc>
        <w:tc>
          <w:tcPr>
            <w:tcW w:w="1857" w:type="dxa"/>
            <w:vAlign w:val="bottom"/>
          </w:tcPr>
          <w:p w14:paraId="32FB6540" w14:textId="6EB15EA4" w:rsidR="000177DA" w:rsidRPr="00FF40BD" w:rsidRDefault="004C3804" w:rsidP="000177DA">
            <w:pPr>
              <w:ind w:right="57"/>
              <w:jc w:val="right"/>
              <w:rPr>
                <w:sz w:val="18"/>
                <w:szCs w:val="18"/>
              </w:rPr>
            </w:pPr>
            <w:r w:rsidRPr="00FF40BD">
              <w:rPr>
                <w:sz w:val="18"/>
                <w:szCs w:val="18"/>
              </w:rPr>
              <w:t>0.00%</w:t>
            </w:r>
          </w:p>
        </w:tc>
        <w:tc>
          <w:tcPr>
            <w:tcW w:w="60" w:type="dxa"/>
            <w:shd w:val="clear" w:color="auto" w:fill="auto"/>
            <w:vAlign w:val="bottom"/>
          </w:tcPr>
          <w:p w14:paraId="716828D4" w14:textId="77777777" w:rsidR="000177DA" w:rsidRPr="00FF40BD" w:rsidRDefault="000177DA" w:rsidP="000177DA">
            <w:pPr>
              <w:ind w:left="113"/>
              <w:jc w:val="center"/>
              <w:rPr>
                <w:sz w:val="18"/>
                <w:szCs w:val="18"/>
              </w:rPr>
            </w:pPr>
          </w:p>
        </w:tc>
        <w:tc>
          <w:tcPr>
            <w:tcW w:w="1857" w:type="dxa"/>
            <w:shd w:val="clear" w:color="auto" w:fill="auto"/>
            <w:vAlign w:val="bottom"/>
          </w:tcPr>
          <w:p w14:paraId="43F35263" w14:textId="45700A29" w:rsidR="000177DA" w:rsidRPr="00FF40BD" w:rsidRDefault="000177DA" w:rsidP="000177DA">
            <w:pPr>
              <w:ind w:right="57"/>
              <w:jc w:val="right"/>
              <w:rPr>
                <w:sz w:val="18"/>
                <w:szCs w:val="18"/>
              </w:rPr>
            </w:pPr>
            <w:r w:rsidRPr="00FF40BD">
              <w:rPr>
                <w:sz w:val="18"/>
                <w:szCs w:val="18"/>
              </w:rPr>
              <w:t>0.00%</w:t>
            </w:r>
          </w:p>
        </w:tc>
        <w:tc>
          <w:tcPr>
            <w:tcW w:w="63" w:type="dxa"/>
            <w:vAlign w:val="bottom"/>
          </w:tcPr>
          <w:p w14:paraId="68AC8617" w14:textId="77777777" w:rsidR="000177DA" w:rsidRPr="00FF40BD" w:rsidRDefault="000177DA" w:rsidP="000177DA">
            <w:pPr>
              <w:ind w:left="113"/>
              <w:jc w:val="center"/>
              <w:rPr>
                <w:sz w:val="18"/>
                <w:szCs w:val="18"/>
              </w:rPr>
            </w:pPr>
          </w:p>
        </w:tc>
        <w:tc>
          <w:tcPr>
            <w:tcW w:w="2650" w:type="dxa"/>
            <w:shd w:val="clear" w:color="auto" w:fill="auto"/>
          </w:tcPr>
          <w:p w14:paraId="1E4C4076" w14:textId="77777777" w:rsidR="000177DA" w:rsidRPr="00FF40BD" w:rsidRDefault="000177DA" w:rsidP="000177DA">
            <w:pPr>
              <w:ind w:right="227"/>
              <w:jc w:val="right"/>
              <w:rPr>
                <w:bCs w:val="0"/>
                <w:i/>
                <w:sz w:val="18"/>
                <w:szCs w:val="18"/>
              </w:rPr>
            </w:pPr>
            <w:r w:rsidRPr="00FF40BD">
              <w:rPr>
                <w:bCs w:val="0"/>
                <w:i/>
                <w:sz w:val="18"/>
                <w:szCs w:val="18"/>
              </w:rPr>
              <w:t>PT Bank Mayapada</w:t>
            </w:r>
          </w:p>
          <w:p w14:paraId="66FB1BAF" w14:textId="45EC88E3" w:rsidR="000177DA" w:rsidRPr="00FF40BD" w:rsidRDefault="000177DA" w:rsidP="000177DA">
            <w:pPr>
              <w:ind w:right="454"/>
              <w:jc w:val="right"/>
              <w:rPr>
                <w:bCs w:val="0"/>
                <w:i/>
                <w:sz w:val="18"/>
                <w:szCs w:val="18"/>
              </w:rPr>
            </w:pPr>
            <w:r w:rsidRPr="00FF40BD">
              <w:rPr>
                <w:i/>
                <w:sz w:val="18"/>
                <w:szCs w:val="18"/>
              </w:rPr>
              <w:t>Internasional</w:t>
            </w:r>
            <w:r w:rsidRPr="00FF40BD">
              <w:rPr>
                <w:bCs w:val="0"/>
                <w:i/>
                <w:sz w:val="18"/>
                <w:szCs w:val="18"/>
              </w:rPr>
              <w:t xml:space="preserve"> </w:t>
            </w:r>
            <w:r w:rsidRPr="00FF40BD">
              <w:rPr>
                <w:i/>
                <w:sz w:val="18"/>
                <w:szCs w:val="18"/>
              </w:rPr>
              <w:t>Tbk</w:t>
            </w:r>
          </w:p>
        </w:tc>
      </w:tr>
      <w:tr w:rsidR="000177DA" w:rsidRPr="00FF40BD" w14:paraId="6902F027" w14:textId="77777777" w:rsidTr="00284CA5">
        <w:tc>
          <w:tcPr>
            <w:tcW w:w="2649" w:type="dxa"/>
            <w:shd w:val="clear" w:color="auto" w:fill="auto"/>
            <w:vAlign w:val="bottom"/>
          </w:tcPr>
          <w:p w14:paraId="29EF9A65" w14:textId="0C7D844A" w:rsidR="000177DA" w:rsidRPr="00FF40BD" w:rsidRDefault="000177DA" w:rsidP="000177DA">
            <w:pPr>
              <w:ind w:left="573"/>
              <w:rPr>
                <w:sz w:val="18"/>
                <w:szCs w:val="18"/>
              </w:rPr>
            </w:pPr>
            <w:r w:rsidRPr="00FF40BD">
              <w:rPr>
                <w:sz w:val="18"/>
                <w:szCs w:val="18"/>
              </w:rPr>
              <w:t xml:space="preserve">Utang Bank </w:t>
            </w:r>
          </w:p>
        </w:tc>
        <w:tc>
          <w:tcPr>
            <w:tcW w:w="61" w:type="dxa"/>
          </w:tcPr>
          <w:p w14:paraId="6802DD5F" w14:textId="77777777" w:rsidR="000177DA" w:rsidRPr="00FF40BD" w:rsidRDefault="000177DA" w:rsidP="000177DA">
            <w:pPr>
              <w:ind w:left="113"/>
              <w:jc w:val="center"/>
              <w:rPr>
                <w:sz w:val="18"/>
                <w:szCs w:val="18"/>
              </w:rPr>
            </w:pPr>
          </w:p>
        </w:tc>
        <w:tc>
          <w:tcPr>
            <w:tcW w:w="1857" w:type="dxa"/>
            <w:vAlign w:val="bottom"/>
          </w:tcPr>
          <w:p w14:paraId="50F366B1" w14:textId="77777777" w:rsidR="000177DA" w:rsidRPr="00FF40BD" w:rsidRDefault="000177DA" w:rsidP="000177DA">
            <w:pPr>
              <w:ind w:right="57"/>
              <w:jc w:val="right"/>
              <w:rPr>
                <w:sz w:val="18"/>
                <w:szCs w:val="18"/>
              </w:rPr>
            </w:pPr>
          </w:p>
        </w:tc>
        <w:tc>
          <w:tcPr>
            <w:tcW w:w="60" w:type="dxa"/>
            <w:shd w:val="clear" w:color="auto" w:fill="auto"/>
            <w:vAlign w:val="bottom"/>
          </w:tcPr>
          <w:p w14:paraId="24B784B2" w14:textId="77777777" w:rsidR="000177DA" w:rsidRPr="00FF40BD" w:rsidRDefault="000177DA" w:rsidP="000177DA">
            <w:pPr>
              <w:ind w:left="113"/>
              <w:jc w:val="center"/>
              <w:rPr>
                <w:sz w:val="18"/>
                <w:szCs w:val="18"/>
              </w:rPr>
            </w:pPr>
          </w:p>
        </w:tc>
        <w:tc>
          <w:tcPr>
            <w:tcW w:w="1857" w:type="dxa"/>
            <w:shd w:val="clear" w:color="auto" w:fill="auto"/>
            <w:vAlign w:val="bottom"/>
          </w:tcPr>
          <w:p w14:paraId="2F6A65D3" w14:textId="77777777" w:rsidR="000177DA" w:rsidRPr="00FF40BD" w:rsidRDefault="000177DA" w:rsidP="000177DA">
            <w:pPr>
              <w:ind w:right="57"/>
              <w:jc w:val="right"/>
              <w:rPr>
                <w:sz w:val="18"/>
                <w:szCs w:val="18"/>
              </w:rPr>
            </w:pPr>
          </w:p>
        </w:tc>
        <w:tc>
          <w:tcPr>
            <w:tcW w:w="63" w:type="dxa"/>
            <w:vAlign w:val="bottom"/>
          </w:tcPr>
          <w:p w14:paraId="1FD11C3B" w14:textId="77777777" w:rsidR="000177DA" w:rsidRPr="00FF40BD" w:rsidRDefault="000177DA" w:rsidP="000177DA">
            <w:pPr>
              <w:ind w:left="113"/>
              <w:jc w:val="center"/>
              <w:rPr>
                <w:sz w:val="18"/>
                <w:szCs w:val="18"/>
              </w:rPr>
            </w:pPr>
          </w:p>
        </w:tc>
        <w:tc>
          <w:tcPr>
            <w:tcW w:w="2650" w:type="dxa"/>
            <w:shd w:val="clear" w:color="auto" w:fill="auto"/>
            <w:vAlign w:val="bottom"/>
          </w:tcPr>
          <w:p w14:paraId="3434CF56" w14:textId="77777777" w:rsidR="000177DA" w:rsidRPr="00FF40BD" w:rsidRDefault="000177DA" w:rsidP="000177DA">
            <w:pPr>
              <w:ind w:right="113"/>
              <w:jc w:val="right"/>
              <w:rPr>
                <w:sz w:val="18"/>
                <w:szCs w:val="18"/>
              </w:rPr>
            </w:pPr>
            <w:r w:rsidRPr="00FF40BD">
              <w:rPr>
                <w:i/>
                <w:sz w:val="18"/>
                <w:szCs w:val="18"/>
              </w:rPr>
              <w:t>Bank loans</w:t>
            </w:r>
          </w:p>
        </w:tc>
      </w:tr>
      <w:tr w:rsidR="000177DA" w:rsidRPr="00FF40BD" w14:paraId="6A7BCB9C" w14:textId="77777777" w:rsidTr="00284CA5">
        <w:tc>
          <w:tcPr>
            <w:tcW w:w="2649" w:type="dxa"/>
            <w:shd w:val="clear" w:color="auto" w:fill="auto"/>
            <w:vAlign w:val="bottom"/>
          </w:tcPr>
          <w:p w14:paraId="30C4072C" w14:textId="77777777" w:rsidR="000177DA" w:rsidRPr="00FF40BD" w:rsidRDefault="000177DA" w:rsidP="000177DA">
            <w:pPr>
              <w:ind w:left="573"/>
              <w:rPr>
                <w:sz w:val="18"/>
                <w:szCs w:val="18"/>
              </w:rPr>
            </w:pPr>
            <w:r w:rsidRPr="00FF40BD">
              <w:rPr>
                <w:sz w:val="18"/>
                <w:szCs w:val="18"/>
              </w:rPr>
              <w:t xml:space="preserve">   PT Bank Mayapada </w:t>
            </w:r>
          </w:p>
          <w:p w14:paraId="6B53F840" w14:textId="77777777" w:rsidR="000177DA" w:rsidRPr="00FF40BD" w:rsidRDefault="000177DA" w:rsidP="000177DA">
            <w:pPr>
              <w:ind w:left="825" w:firstLine="84"/>
              <w:rPr>
                <w:sz w:val="18"/>
                <w:szCs w:val="18"/>
              </w:rPr>
            </w:pPr>
            <w:r w:rsidRPr="00FF40BD">
              <w:rPr>
                <w:sz w:val="18"/>
                <w:szCs w:val="18"/>
              </w:rPr>
              <w:t>Internasional Tbk</w:t>
            </w:r>
          </w:p>
        </w:tc>
        <w:tc>
          <w:tcPr>
            <w:tcW w:w="61" w:type="dxa"/>
          </w:tcPr>
          <w:p w14:paraId="0F67A437" w14:textId="77777777" w:rsidR="000177DA" w:rsidRPr="00FF40BD" w:rsidRDefault="000177DA" w:rsidP="000177DA">
            <w:pPr>
              <w:ind w:left="113"/>
              <w:jc w:val="center"/>
              <w:rPr>
                <w:sz w:val="18"/>
                <w:szCs w:val="18"/>
              </w:rPr>
            </w:pPr>
          </w:p>
        </w:tc>
        <w:tc>
          <w:tcPr>
            <w:tcW w:w="1857" w:type="dxa"/>
            <w:vAlign w:val="bottom"/>
          </w:tcPr>
          <w:p w14:paraId="16139A4A" w14:textId="65B75991" w:rsidR="000177DA" w:rsidRPr="00FF40BD" w:rsidRDefault="004C3804" w:rsidP="000177DA">
            <w:pPr>
              <w:ind w:right="57"/>
              <w:jc w:val="right"/>
              <w:rPr>
                <w:sz w:val="18"/>
                <w:szCs w:val="18"/>
              </w:rPr>
            </w:pPr>
            <w:r w:rsidRPr="00FF40BD">
              <w:rPr>
                <w:sz w:val="18"/>
                <w:szCs w:val="18"/>
              </w:rPr>
              <w:t>18.07%</w:t>
            </w:r>
          </w:p>
        </w:tc>
        <w:tc>
          <w:tcPr>
            <w:tcW w:w="60" w:type="dxa"/>
            <w:shd w:val="clear" w:color="auto" w:fill="auto"/>
            <w:vAlign w:val="bottom"/>
          </w:tcPr>
          <w:p w14:paraId="0912C73A" w14:textId="77777777" w:rsidR="000177DA" w:rsidRPr="00FF40BD" w:rsidRDefault="000177DA" w:rsidP="000177DA">
            <w:pPr>
              <w:ind w:left="113"/>
              <w:jc w:val="center"/>
              <w:rPr>
                <w:sz w:val="18"/>
                <w:szCs w:val="18"/>
              </w:rPr>
            </w:pPr>
          </w:p>
        </w:tc>
        <w:tc>
          <w:tcPr>
            <w:tcW w:w="1857" w:type="dxa"/>
            <w:shd w:val="clear" w:color="auto" w:fill="auto"/>
            <w:vAlign w:val="bottom"/>
          </w:tcPr>
          <w:p w14:paraId="3071B458" w14:textId="727C7C3A" w:rsidR="000177DA" w:rsidRPr="00FF40BD" w:rsidRDefault="000177DA" w:rsidP="000177DA">
            <w:pPr>
              <w:ind w:right="57"/>
              <w:jc w:val="right"/>
              <w:rPr>
                <w:sz w:val="18"/>
                <w:szCs w:val="18"/>
              </w:rPr>
            </w:pPr>
            <w:r w:rsidRPr="00FF40BD">
              <w:rPr>
                <w:sz w:val="18"/>
                <w:szCs w:val="18"/>
              </w:rPr>
              <w:t>17.00%</w:t>
            </w:r>
          </w:p>
        </w:tc>
        <w:tc>
          <w:tcPr>
            <w:tcW w:w="63" w:type="dxa"/>
            <w:vAlign w:val="bottom"/>
          </w:tcPr>
          <w:p w14:paraId="15205742" w14:textId="77777777" w:rsidR="000177DA" w:rsidRPr="00FF40BD" w:rsidRDefault="000177DA" w:rsidP="000177DA">
            <w:pPr>
              <w:ind w:left="113"/>
              <w:jc w:val="center"/>
              <w:rPr>
                <w:sz w:val="18"/>
                <w:szCs w:val="18"/>
              </w:rPr>
            </w:pPr>
          </w:p>
        </w:tc>
        <w:tc>
          <w:tcPr>
            <w:tcW w:w="2650" w:type="dxa"/>
            <w:shd w:val="clear" w:color="auto" w:fill="auto"/>
            <w:vAlign w:val="bottom"/>
          </w:tcPr>
          <w:p w14:paraId="086A85AE" w14:textId="77777777" w:rsidR="000177DA" w:rsidRPr="00FF40BD" w:rsidRDefault="000177DA" w:rsidP="000177DA">
            <w:pPr>
              <w:ind w:right="227"/>
              <w:jc w:val="right"/>
              <w:rPr>
                <w:bCs w:val="0"/>
                <w:i/>
                <w:sz w:val="18"/>
                <w:szCs w:val="18"/>
              </w:rPr>
            </w:pPr>
            <w:r w:rsidRPr="00FF40BD">
              <w:rPr>
                <w:bCs w:val="0"/>
                <w:i/>
                <w:sz w:val="18"/>
                <w:szCs w:val="18"/>
              </w:rPr>
              <w:t>PT Bank Mayapada</w:t>
            </w:r>
          </w:p>
          <w:p w14:paraId="2D031650" w14:textId="0A62B947" w:rsidR="000177DA" w:rsidRPr="00FF40BD" w:rsidRDefault="000177DA" w:rsidP="000177DA">
            <w:pPr>
              <w:ind w:right="454"/>
              <w:jc w:val="right"/>
              <w:rPr>
                <w:bCs w:val="0"/>
                <w:i/>
                <w:sz w:val="18"/>
                <w:szCs w:val="18"/>
              </w:rPr>
            </w:pPr>
            <w:r w:rsidRPr="00FF40BD">
              <w:rPr>
                <w:bCs w:val="0"/>
                <w:i/>
                <w:sz w:val="18"/>
                <w:szCs w:val="18"/>
              </w:rPr>
              <w:t>Internasional Tbk</w:t>
            </w:r>
          </w:p>
        </w:tc>
      </w:tr>
      <w:tr w:rsidR="000177DA" w:rsidRPr="00FF40BD" w14:paraId="00FFCEEF" w14:textId="77777777" w:rsidTr="00284CA5">
        <w:tc>
          <w:tcPr>
            <w:tcW w:w="2649" w:type="dxa"/>
            <w:shd w:val="clear" w:color="auto" w:fill="auto"/>
            <w:vAlign w:val="bottom"/>
          </w:tcPr>
          <w:p w14:paraId="3F82BCC4" w14:textId="77777777" w:rsidR="000177DA" w:rsidRPr="00FF40BD" w:rsidRDefault="000177DA" w:rsidP="000177DA">
            <w:pPr>
              <w:ind w:left="573"/>
              <w:jc w:val="center"/>
              <w:rPr>
                <w:sz w:val="8"/>
                <w:szCs w:val="8"/>
              </w:rPr>
            </w:pPr>
          </w:p>
        </w:tc>
        <w:tc>
          <w:tcPr>
            <w:tcW w:w="61" w:type="dxa"/>
          </w:tcPr>
          <w:p w14:paraId="159071DD" w14:textId="77777777" w:rsidR="000177DA" w:rsidRPr="00FF40BD" w:rsidRDefault="000177DA" w:rsidP="000177DA">
            <w:pPr>
              <w:ind w:left="113"/>
              <w:jc w:val="center"/>
              <w:rPr>
                <w:sz w:val="8"/>
                <w:szCs w:val="8"/>
              </w:rPr>
            </w:pPr>
          </w:p>
        </w:tc>
        <w:tc>
          <w:tcPr>
            <w:tcW w:w="1857" w:type="dxa"/>
            <w:tcBorders>
              <w:top w:val="single" w:sz="4" w:space="0" w:color="auto"/>
            </w:tcBorders>
            <w:vAlign w:val="bottom"/>
          </w:tcPr>
          <w:p w14:paraId="616CE9C6" w14:textId="77777777" w:rsidR="000177DA" w:rsidRPr="00FF40BD" w:rsidRDefault="000177DA" w:rsidP="000177DA">
            <w:pPr>
              <w:ind w:right="57"/>
              <w:jc w:val="right"/>
              <w:rPr>
                <w:sz w:val="18"/>
                <w:szCs w:val="18"/>
              </w:rPr>
            </w:pPr>
          </w:p>
        </w:tc>
        <w:tc>
          <w:tcPr>
            <w:tcW w:w="60" w:type="dxa"/>
            <w:shd w:val="clear" w:color="auto" w:fill="auto"/>
            <w:vAlign w:val="bottom"/>
          </w:tcPr>
          <w:p w14:paraId="2A513D81" w14:textId="77777777" w:rsidR="000177DA" w:rsidRPr="00FF40BD" w:rsidRDefault="000177DA" w:rsidP="000177DA">
            <w:pPr>
              <w:ind w:left="113"/>
              <w:jc w:val="center"/>
              <w:rPr>
                <w:sz w:val="8"/>
                <w:szCs w:val="8"/>
              </w:rPr>
            </w:pPr>
          </w:p>
        </w:tc>
        <w:tc>
          <w:tcPr>
            <w:tcW w:w="1857" w:type="dxa"/>
            <w:tcBorders>
              <w:top w:val="single" w:sz="4" w:space="0" w:color="auto"/>
            </w:tcBorders>
            <w:shd w:val="clear" w:color="auto" w:fill="auto"/>
            <w:vAlign w:val="bottom"/>
          </w:tcPr>
          <w:p w14:paraId="09B138E9" w14:textId="77777777" w:rsidR="000177DA" w:rsidRPr="00FF40BD" w:rsidRDefault="000177DA" w:rsidP="000177DA">
            <w:pPr>
              <w:ind w:left="113"/>
              <w:jc w:val="right"/>
              <w:rPr>
                <w:sz w:val="8"/>
                <w:szCs w:val="8"/>
              </w:rPr>
            </w:pPr>
          </w:p>
        </w:tc>
        <w:tc>
          <w:tcPr>
            <w:tcW w:w="63" w:type="dxa"/>
            <w:vAlign w:val="bottom"/>
          </w:tcPr>
          <w:p w14:paraId="6EE0FB36" w14:textId="77777777" w:rsidR="000177DA" w:rsidRPr="00FF40BD" w:rsidRDefault="000177DA" w:rsidP="000177DA">
            <w:pPr>
              <w:ind w:left="113"/>
              <w:jc w:val="center"/>
              <w:rPr>
                <w:sz w:val="8"/>
                <w:szCs w:val="8"/>
              </w:rPr>
            </w:pPr>
          </w:p>
        </w:tc>
        <w:tc>
          <w:tcPr>
            <w:tcW w:w="2650" w:type="dxa"/>
            <w:shd w:val="clear" w:color="auto" w:fill="auto"/>
            <w:vAlign w:val="bottom"/>
          </w:tcPr>
          <w:p w14:paraId="48124C24" w14:textId="77777777" w:rsidR="000177DA" w:rsidRPr="00FF40BD" w:rsidRDefault="000177DA" w:rsidP="000177DA">
            <w:pPr>
              <w:ind w:left="113"/>
              <w:jc w:val="right"/>
              <w:rPr>
                <w:sz w:val="8"/>
                <w:szCs w:val="8"/>
              </w:rPr>
            </w:pPr>
          </w:p>
        </w:tc>
      </w:tr>
      <w:tr w:rsidR="000177DA" w:rsidRPr="00C4152E" w14:paraId="1C379D11" w14:textId="77777777" w:rsidTr="00284CA5">
        <w:tc>
          <w:tcPr>
            <w:tcW w:w="2649" w:type="dxa"/>
            <w:shd w:val="clear" w:color="auto" w:fill="auto"/>
            <w:vAlign w:val="bottom"/>
          </w:tcPr>
          <w:p w14:paraId="70B24FBC" w14:textId="77777777" w:rsidR="000177DA" w:rsidRPr="00FF40BD" w:rsidRDefault="000177DA" w:rsidP="000177DA">
            <w:pPr>
              <w:ind w:left="573"/>
              <w:rPr>
                <w:b/>
                <w:bCs w:val="0"/>
                <w:sz w:val="18"/>
                <w:szCs w:val="18"/>
              </w:rPr>
            </w:pPr>
            <w:r w:rsidRPr="00FF40BD">
              <w:rPr>
                <w:b/>
                <w:bCs w:val="0"/>
                <w:sz w:val="18"/>
                <w:szCs w:val="18"/>
              </w:rPr>
              <w:t>Jumlah liabilitas</w:t>
            </w:r>
          </w:p>
        </w:tc>
        <w:tc>
          <w:tcPr>
            <w:tcW w:w="61" w:type="dxa"/>
          </w:tcPr>
          <w:p w14:paraId="03A9BFE2" w14:textId="77777777" w:rsidR="000177DA" w:rsidRPr="00FF40BD" w:rsidRDefault="000177DA" w:rsidP="000177DA">
            <w:pPr>
              <w:ind w:left="113"/>
              <w:jc w:val="center"/>
              <w:rPr>
                <w:b/>
                <w:bCs w:val="0"/>
                <w:sz w:val="18"/>
                <w:szCs w:val="18"/>
              </w:rPr>
            </w:pPr>
          </w:p>
        </w:tc>
        <w:tc>
          <w:tcPr>
            <w:tcW w:w="1857" w:type="dxa"/>
            <w:tcBorders>
              <w:bottom w:val="double" w:sz="4" w:space="0" w:color="auto"/>
            </w:tcBorders>
            <w:vAlign w:val="bottom"/>
          </w:tcPr>
          <w:p w14:paraId="2233055D" w14:textId="21A15EFE" w:rsidR="000177DA" w:rsidRPr="00FF40BD" w:rsidRDefault="00E95ACD" w:rsidP="000177DA">
            <w:pPr>
              <w:ind w:right="57"/>
              <w:jc w:val="right"/>
              <w:rPr>
                <w:b/>
                <w:bCs w:val="0"/>
                <w:sz w:val="18"/>
                <w:szCs w:val="18"/>
              </w:rPr>
            </w:pPr>
            <w:r>
              <w:rPr>
                <w:b/>
                <w:bCs w:val="0"/>
                <w:sz w:val="18"/>
                <w:szCs w:val="18"/>
              </w:rPr>
              <w:t>75.08</w:t>
            </w:r>
            <w:r w:rsidR="0034438D" w:rsidRPr="00FF40BD">
              <w:rPr>
                <w:b/>
                <w:bCs w:val="0"/>
                <w:sz w:val="18"/>
                <w:szCs w:val="18"/>
              </w:rPr>
              <w:t>%</w:t>
            </w:r>
          </w:p>
        </w:tc>
        <w:tc>
          <w:tcPr>
            <w:tcW w:w="60" w:type="dxa"/>
            <w:shd w:val="clear" w:color="auto" w:fill="auto"/>
            <w:vAlign w:val="bottom"/>
          </w:tcPr>
          <w:p w14:paraId="1A618679" w14:textId="77777777" w:rsidR="000177DA" w:rsidRPr="00FF40BD" w:rsidRDefault="000177DA" w:rsidP="000177DA">
            <w:pPr>
              <w:ind w:left="113"/>
              <w:jc w:val="center"/>
              <w:rPr>
                <w:b/>
                <w:bCs w:val="0"/>
                <w:sz w:val="18"/>
                <w:szCs w:val="18"/>
              </w:rPr>
            </w:pPr>
          </w:p>
        </w:tc>
        <w:tc>
          <w:tcPr>
            <w:tcW w:w="1857" w:type="dxa"/>
            <w:tcBorders>
              <w:bottom w:val="double" w:sz="4" w:space="0" w:color="auto"/>
            </w:tcBorders>
            <w:shd w:val="clear" w:color="auto" w:fill="auto"/>
            <w:vAlign w:val="bottom"/>
          </w:tcPr>
          <w:p w14:paraId="2A708096" w14:textId="7A3FEFE5" w:rsidR="000177DA" w:rsidRPr="00FF40BD" w:rsidRDefault="000177DA" w:rsidP="000177DA">
            <w:pPr>
              <w:ind w:right="57"/>
              <w:jc w:val="right"/>
              <w:rPr>
                <w:b/>
                <w:bCs w:val="0"/>
                <w:sz w:val="18"/>
                <w:szCs w:val="18"/>
              </w:rPr>
            </w:pPr>
            <w:r w:rsidRPr="00FF40BD">
              <w:rPr>
                <w:b/>
                <w:bCs w:val="0"/>
                <w:sz w:val="18"/>
                <w:szCs w:val="18"/>
              </w:rPr>
              <w:t>72.70%</w:t>
            </w:r>
          </w:p>
        </w:tc>
        <w:tc>
          <w:tcPr>
            <w:tcW w:w="63" w:type="dxa"/>
            <w:vAlign w:val="bottom"/>
          </w:tcPr>
          <w:p w14:paraId="3901CFE9" w14:textId="77777777" w:rsidR="000177DA" w:rsidRPr="00FF40BD" w:rsidRDefault="000177DA" w:rsidP="000177DA">
            <w:pPr>
              <w:ind w:left="113"/>
              <w:jc w:val="center"/>
              <w:rPr>
                <w:b/>
                <w:bCs w:val="0"/>
                <w:sz w:val="18"/>
                <w:szCs w:val="18"/>
              </w:rPr>
            </w:pPr>
          </w:p>
        </w:tc>
        <w:tc>
          <w:tcPr>
            <w:tcW w:w="2650" w:type="dxa"/>
            <w:shd w:val="clear" w:color="auto" w:fill="auto"/>
            <w:vAlign w:val="bottom"/>
          </w:tcPr>
          <w:p w14:paraId="1591FA2F" w14:textId="77777777" w:rsidR="000177DA" w:rsidRPr="00C4152E" w:rsidRDefault="000177DA" w:rsidP="000177DA">
            <w:pPr>
              <w:ind w:right="113"/>
              <w:jc w:val="right"/>
              <w:rPr>
                <w:b/>
                <w:bCs w:val="0"/>
                <w:i/>
                <w:iCs/>
                <w:sz w:val="18"/>
                <w:szCs w:val="18"/>
              </w:rPr>
            </w:pPr>
            <w:r w:rsidRPr="00FF40BD">
              <w:rPr>
                <w:b/>
                <w:bCs w:val="0"/>
                <w:i/>
                <w:iCs/>
                <w:sz w:val="18"/>
                <w:szCs w:val="18"/>
              </w:rPr>
              <w:t xml:space="preserve">Total </w:t>
            </w:r>
            <w:r w:rsidRPr="00FF40BD">
              <w:rPr>
                <w:b/>
                <w:bCs w:val="0"/>
                <w:i/>
                <w:sz w:val="18"/>
                <w:szCs w:val="18"/>
              </w:rPr>
              <w:t>liabilities</w:t>
            </w:r>
          </w:p>
        </w:tc>
      </w:tr>
    </w:tbl>
    <w:p w14:paraId="16FC1954" w14:textId="7675BCE3" w:rsidR="00384FD8" w:rsidRDefault="00384FD8"/>
    <w:tbl>
      <w:tblPr>
        <w:tblW w:w="9197" w:type="dxa"/>
        <w:tblInd w:w="392" w:type="dxa"/>
        <w:tblLook w:val="0000" w:firstRow="0" w:lastRow="0" w:firstColumn="0" w:lastColumn="0" w:noHBand="0" w:noVBand="0"/>
      </w:tblPr>
      <w:tblGrid>
        <w:gridCol w:w="4598"/>
        <w:gridCol w:w="4599"/>
      </w:tblGrid>
      <w:tr w:rsidR="00B06D55" w:rsidRPr="000B72DF" w14:paraId="5D9ECEDB" w14:textId="77777777" w:rsidTr="00284CA5">
        <w:tc>
          <w:tcPr>
            <w:tcW w:w="4598" w:type="dxa"/>
            <w:tcBorders>
              <w:top w:val="nil"/>
              <w:left w:val="nil"/>
              <w:bottom w:val="nil"/>
              <w:right w:val="nil"/>
            </w:tcBorders>
          </w:tcPr>
          <w:p w14:paraId="45F7BE99" w14:textId="77777777" w:rsidR="00B06D55" w:rsidRPr="000B72DF" w:rsidRDefault="00B06D55" w:rsidP="00EE78B5">
            <w:pPr>
              <w:rPr>
                <w:sz w:val="12"/>
                <w:szCs w:val="18"/>
              </w:rPr>
            </w:pPr>
          </w:p>
        </w:tc>
        <w:tc>
          <w:tcPr>
            <w:tcW w:w="4599" w:type="dxa"/>
            <w:tcBorders>
              <w:top w:val="nil"/>
              <w:left w:val="nil"/>
              <w:bottom w:val="nil"/>
              <w:right w:val="nil"/>
            </w:tcBorders>
          </w:tcPr>
          <w:p w14:paraId="4C57C148" w14:textId="77777777" w:rsidR="00B06D55" w:rsidRPr="000B72DF" w:rsidRDefault="00B06D55" w:rsidP="0013526B">
            <w:pPr>
              <w:pStyle w:val="ListParagraph"/>
              <w:ind w:left="743"/>
              <w:jc w:val="both"/>
              <w:rPr>
                <w:i/>
                <w:sz w:val="12"/>
                <w:szCs w:val="18"/>
              </w:rPr>
            </w:pPr>
          </w:p>
        </w:tc>
      </w:tr>
      <w:tr w:rsidR="00B06D55" w:rsidRPr="000B72DF" w14:paraId="5D483EC5" w14:textId="77777777" w:rsidTr="00284CA5">
        <w:tc>
          <w:tcPr>
            <w:tcW w:w="4598" w:type="dxa"/>
            <w:tcBorders>
              <w:top w:val="nil"/>
              <w:left w:val="nil"/>
              <w:bottom w:val="nil"/>
              <w:right w:val="nil"/>
            </w:tcBorders>
          </w:tcPr>
          <w:p w14:paraId="19612E18" w14:textId="0D190588" w:rsidR="00B06D55" w:rsidRPr="000B72DF" w:rsidRDefault="00B06D55" w:rsidP="00C4152E">
            <w:pPr>
              <w:pStyle w:val="ListParagraph"/>
              <w:ind w:left="624" w:right="-57"/>
              <w:jc w:val="both"/>
              <w:rPr>
                <w:sz w:val="12"/>
                <w:szCs w:val="18"/>
              </w:rPr>
            </w:pPr>
            <w:r>
              <w:rPr>
                <w:sz w:val="18"/>
                <w:szCs w:val="18"/>
              </w:rPr>
              <w:t>Utang lain-lain jangka pendek kepada PT Surya Cipta Inti Cemerlang timbul dari biaya Perusahaan yang dibayarkan terlebih dahulu oleh pemegang saham mayoritas. Utang ini tanpa bunga dan dapat dilunasi sewaktu-waktu</w:t>
            </w:r>
          </w:p>
        </w:tc>
        <w:tc>
          <w:tcPr>
            <w:tcW w:w="4599" w:type="dxa"/>
            <w:tcBorders>
              <w:top w:val="nil"/>
              <w:left w:val="nil"/>
              <w:bottom w:val="nil"/>
              <w:right w:val="nil"/>
            </w:tcBorders>
          </w:tcPr>
          <w:p w14:paraId="40321B25" w14:textId="7AC56831" w:rsidR="00B06D55" w:rsidRPr="000B72DF" w:rsidRDefault="00B06D55" w:rsidP="00C4152E">
            <w:pPr>
              <w:pStyle w:val="ListParagraph"/>
              <w:ind w:left="624" w:right="-57"/>
              <w:jc w:val="both"/>
              <w:rPr>
                <w:i/>
                <w:sz w:val="12"/>
                <w:szCs w:val="18"/>
              </w:rPr>
            </w:pPr>
            <w:r>
              <w:rPr>
                <w:i/>
                <w:sz w:val="18"/>
                <w:szCs w:val="18"/>
              </w:rPr>
              <w:t>Short-term other payables to PT Surya Cipta Inti Cemerlang mainly arise from the expenses of the Company</w:t>
            </w:r>
            <w:r w:rsidR="00054578">
              <w:rPr>
                <w:i/>
                <w:sz w:val="18"/>
                <w:szCs w:val="18"/>
              </w:rPr>
              <w:t xml:space="preserve"> </w:t>
            </w:r>
            <w:r>
              <w:rPr>
                <w:i/>
                <w:sz w:val="18"/>
                <w:szCs w:val="18"/>
              </w:rPr>
              <w:t>which paid by related parties. This payable has no interest and can be repaid at any time.</w:t>
            </w:r>
          </w:p>
        </w:tc>
      </w:tr>
      <w:tr w:rsidR="00B06D55" w:rsidRPr="000B72DF" w14:paraId="2875D290" w14:textId="77777777" w:rsidTr="00284CA5">
        <w:tc>
          <w:tcPr>
            <w:tcW w:w="4598" w:type="dxa"/>
            <w:tcBorders>
              <w:top w:val="nil"/>
              <w:left w:val="nil"/>
              <w:bottom w:val="nil"/>
              <w:right w:val="nil"/>
            </w:tcBorders>
          </w:tcPr>
          <w:p w14:paraId="56825D65" w14:textId="77777777" w:rsidR="00B06D55" w:rsidRPr="000B72DF" w:rsidRDefault="00B06D55" w:rsidP="00B06D55">
            <w:pPr>
              <w:ind w:left="709"/>
              <w:jc w:val="both"/>
              <w:rPr>
                <w:sz w:val="12"/>
                <w:szCs w:val="18"/>
              </w:rPr>
            </w:pPr>
          </w:p>
        </w:tc>
        <w:tc>
          <w:tcPr>
            <w:tcW w:w="4599" w:type="dxa"/>
            <w:tcBorders>
              <w:top w:val="nil"/>
              <w:left w:val="nil"/>
              <w:bottom w:val="nil"/>
              <w:right w:val="nil"/>
            </w:tcBorders>
          </w:tcPr>
          <w:p w14:paraId="6245BD23" w14:textId="77777777" w:rsidR="00B06D55" w:rsidRPr="000B72DF" w:rsidRDefault="00B06D55" w:rsidP="00B06D55">
            <w:pPr>
              <w:pStyle w:val="ListParagraph"/>
              <w:ind w:left="743"/>
              <w:jc w:val="both"/>
              <w:rPr>
                <w:i/>
                <w:sz w:val="12"/>
                <w:szCs w:val="18"/>
              </w:rPr>
            </w:pPr>
          </w:p>
        </w:tc>
      </w:tr>
    </w:tbl>
    <w:p w14:paraId="72EAA033" w14:textId="2E10BC7D" w:rsidR="00B84656" w:rsidRPr="008109D0" w:rsidRDefault="00B84656">
      <w:pPr>
        <w:rPr>
          <w:sz w:val="2"/>
          <w:szCs w:val="2"/>
        </w:rPr>
      </w:pPr>
    </w:p>
    <w:p w14:paraId="531BD9E8" w14:textId="6E837298" w:rsidR="00B84656" w:rsidRPr="008109D0" w:rsidRDefault="00B84656">
      <w:pPr>
        <w:rPr>
          <w:sz w:val="2"/>
          <w:szCs w:val="2"/>
        </w:rPr>
      </w:pPr>
    </w:p>
    <w:p w14:paraId="43D01ED7" w14:textId="223BEE0E" w:rsidR="00B84656" w:rsidRPr="008109D0" w:rsidRDefault="00B84656">
      <w:pPr>
        <w:rPr>
          <w:sz w:val="2"/>
          <w:szCs w:val="2"/>
        </w:rPr>
      </w:pPr>
    </w:p>
    <w:p w14:paraId="702861A8" w14:textId="77777777" w:rsidR="00B84656" w:rsidRPr="008109D0" w:rsidRDefault="00B84656">
      <w:pPr>
        <w:rPr>
          <w:sz w:val="2"/>
          <w:szCs w:val="2"/>
        </w:rPr>
      </w:pPr>
    </w:p>
    <w:p w14:paraId="25A729CF" w14:textId="50865A52" w:rsidR="00EE78B5" w:rsidRDefault="00EE78B5">
      <w:r>
        <w:br w:type="page"/>
      </w:r>
    </w:p>
    <w:tbl>
      <w:tblPr>
        <w:tblW w:w="9197" w:type="dxa"/>
        <w:tblInd w:w="378" w:type="dxa"/>
        <w:tblLook w:val="0000" w:firstRow="0" w:lastRow="0" w:firstColumn="0" w:lastColumn="0" w:noHBand="0" w:noVBand="0"/>
      </w:tblPr>
      <w:tblGrid>
        <w:gridCol w:w="4598"/>
        <w:gridCol w:w="4599"/>
      </w:tblGrid>
      <w:tr w:rsidR="00EE78B5" w:rsidRPr="008109D0" w14:paraId="12356207" w14:textId="77777777" w:rsidTr="00091DE4">
        <w:trPr>
          <w:trHeight w:val="90"/>
        </w:trPr>
        <w:tc>
          <w:tcPr>
            <w:tcW w:w="4598" w:type="dxa"/>
            <w:tcBorders>
              <w:top w:val="nil"/>
              <w:left w:val="nil"/>
              <w:bottom w:val="nil"/>
              <w:right w:val="nil"/>
            </w:tcBorders>
          </w:tcPr>
          <w:p w14:paraId="0B3BE08A" w14:textId="77777777" w:rsidR="00EE78B5" w:rsidRPr="008109D0" w:rsidRDefault="00EE78B5" w:rsidP="00070D1F">
            <w:pPr>
              <w:numPr>
                <w:ilvl w:val="0"/>
                <w:numId w:val="396"/>
              </w:numPr>
              <w:jc w:val="both"/>
              <w:rPr>
                <w:b/>
                <w:sz w:val="18"/>
                <w:szCs w:val="18"/>
              </w:rPr>
            </w:pPr>
            <w:r w:rsidRPr="008109D0">
              <w:rPr>
                <w:sz w:val="12"/>
                <w:szCs w:val="4"/>
                <w:lang w:val="id-ID"/>
              </w:rPr>
              <w:lastRenderedPageBreak/>
              <w:br w:type="page"/>
            </w:r>
            <w:r w:rsidRPr="008109D0">
              <w:rPr>
                <w:b/>
                <w:sz w:val="18"/>
                <w:szCs w:val="18"/>
              </w:rPr>
              <w:t>TRANSAKSI-TRANSAKSI DAN SALDO DENGAN PIHAK - PIHAK BERELASI - Lanjutan</w:t>
            </w:r>
          </w:p>
        </w:tc>
        <w:tc>
          <w:tcPr>
            <w:tcW w:w="4599" w:type="dxa"/>
            <w:tcBorders>
              <w:top w:val="nil"/>
              <w:left w:val="nil"/>
              <w:bottom w:val="nil"/>
              <w:right w:val="nil"/>
            </w:tcBorders>
          </w:tcPr>
          <w:p w14:paraId="1321C954" w14:textId="77777777" w:rsidR="00EE78B5" w:rsidRPr="008109D0" w:rsidRDefault="00EE78B5" w:rsidP="00070D1F">
            <w:pPr>
              <w:numPr>
                <w:ilvl w:val="0"/>
                <w:numId w:val="397"/>
              </w:numPr>
              <w:jc w:val="both"/>
              <w:rPr>
                <w:b/>
                <w:i/>
                <w:iCs/>
                <w:sz w:val="18"/>
                <w:szCs w:val="18"/>
              </w:rPr>
            </w:pPr>
            <w:r w:rsidRPr="008109D0">
              <w:rPr>
                <w:b/>
                <w:i/>
                <w:iCs/>
                <w:sz w:val="18"/>
                <w:szCs w:val="18"/>
              </w:rPr>
              <w:t>TRANSACTIONS AND BALANCES WITH RELATED PARTIES - Continued</w:t>
            </w:r>
          </w:p>
        </w:tc>
      </w:tr>
    </w:tbl>
    <w:p w14:paraId="24FE5719" w14:textId="77777777" w:rsidR="00EE78B5" w:rsidRPr="008109D0" w:rsidRDefault="00EE78B5" w:rsidP="00EE78B5">
      <w:pPr>
        <w:rPr>
          <w:sz w:val="12"/>
          <w:szCs w:val="4"/>
          <w:lang w:val="id-ID"/>
        </w:rPr>
      </w:pPr>
    </w:p>
    <w:tbl>
      <w:tblPr>
        <w:tblW w:w="9197" w:type="dxa"/>
        <w:tblInd w:w="350" w:type="dxa"/>
        <w:tblLook w:val="0000" w:firstRow="0" w:lastRow="0" w:firstColumn="0" w:lastColumn="0" w:noHBand="0" w:noVBand="0"/>
      </w:tblPr>
      <w:tblGrid>
        <w:gridCol w:w="4599"/>
        <w:gridCol w:w="4598"/>
      </w:tblGrid>
      <w:tr w:rsidR="00EE78B5" w:rsidRPr="008109D0" w14:paraId="32F7ADCB" w14:textId="77777777" w:rsidTr="00091DE4">
        <w:trPr>
          <w:trHeight w:val="90"/>
        </w:trPr>
        <w:tc>
          <w:tcPr>
            <w:tcW w:w="4599" w:type="dxa"/>
            <w:tcBorders>
              <w:top w:val="nil"/>
              <w:left w:val="nil"/>
              <w:bottom w:val="nil"/>
              <w:right w:val="nil"/>
            </w:tcBorders>
          </w:tcPr>
          <w:p w14:paraId="4C602888" w14:textId="77777777" w:rsidR="00EE78B5" w:rsidRPr="008109D0" w:rsidRDefault="00EE78B5" w:rsidP="00070D1F">
            <w:pPr>
              <w:pStyle w:val="ListParagraph"/>
              <w:numPr>
                <w:ilvl w:val="0"/>
                <w:numId w:val="359"/>
              </w:numPr>
              <w:ind w:left="516" w:hanging="238"/>
              <w:jc w:val="both"/>
              <w:rPr>
                <w:b/>
                <w:sz w:val="18"/>
                <w:szCs w:val="18"/>
              </w:rPr>
            </w:pPr>
            <w:r w:rsidRPr="008109D0">
              <w:rPr>
                <w:b/>
                <w:sz w:val="18"/>
                <w:szCs w:val="18"/>
              </w:rPr>
              <w:t>Transaksi hubungan berelasi - Lanjutan</w:t>
            </w:r>
          </w:p>
        </w:tc>
        <w:tc>
          <w:tcPr>
            <w:tcW w:w="4598" w:type="dxa"/>
            <w:tcBorders>
              <w:top w:val="nil"/>
              <w:left w:val="nil"/>
              <w:bottom w:val="nil"/>
              <w:right w:val="nil"/>
            </w:tcBorders>
          </w:tcPr>
          <w:p w14:paraId="1FFFCA11" w14:textId="77777777" w:rsidR="00EE78B5" w:rsidRPr="008109D0" w:rsidRDefault="00EE78B5" w:rsidP="00070D1F">
            <w:pPr>
              <w:pStyle w:val="ListParagraph"/>
              <w:numPr>
                <w:ilvl w:val="0"/>
                <w:numId w:val="360"/>
              </w:numPr>
              <w:jc w:val="both"/>
              <w:rPr>
                <w:b/>
                <w:i/>
                <w:iCs/>
                <w:sz w:val="18"/>
                <w:szCs w:val="18"/>
              </w:rPr>
            </w:pPr>
            <w:r w:rsidRPr="008109D0">
              <w:rPr>
                <w:b/>
                <w:i/>
                <w:iCs/>
                <w:sz w:val="18"/>
                <w:szCs w:val="18"/>
              </w:rPr>
              <w:t>Transactions with related parties - Continued</w:t>
            </w:r>
          </w:p>
        </w:tc>
      </w:tr>
    </w:tbl>
    <w:p w14:paraId="4D43E570" w14:textId="77777777" w:rsidR="00EE78B5" w:rsidRPr="008109D0" w:rsidRDefault="00EE78B5"/>
    <w:tbl>
      <w:tblPr>
        <w:tblW w:w="9197" w:type="dxa"/>
        <w:tblInd w:w="350" w:type="dxa"/>
        <w:tblLook w:val="0000" w:firstRow="0" w:lastRow="0" w:firstColumn="0" w:lastColumn="0" w:noHBand="0" w:noVBand="0"/>
      </w:tblPr>
      <w:tblGrid>
        <w:gridCol w:w="4627"/>
        <w:gridCol w:w="4570"/>
      </w:tblGrid>
      <w:tr w:rsidR="00456CAC" w:rsidRPr="008109D0" w14:paraId="2AB3CAE0" w14:textId="77777777" w:rsidTr="00284CA5">
        <w:trPr>
          <w:trHeight w:val="201"/>
        </w:trPr>
        <w:tc>
          <w:tcPr>
            <w:tcW w:w="0" w:type="auto"/>
            <w:tcBorders>
              <w:top w:val="nil"/>
              <w:left w:val="nil"/>
              <w:bottom w:val="nil"/>
              <w:right w:val="nil"/>
            </w:tcBorders>
          </w:tcPr>
          <w:p w14:paraId="31F2E6E7" w14:textId="09B5FC92" w:rsidR="00456CAC" w:rsidRPr="008109D0" w:rsidRDefault="00456CAC" w:rsidP="0001485A">
            <w:pPr>
              <w:pStyle w:val="ListParagraph"/>
              <w:ind w:left="558" w:right="-57"/>
              <w:jc w:val="both"/>
              <w:rPr>
                <w:sz w:val="18"/>
                <w:szCs w:val="18"/>
              </w:rPr>
            </w:pPr>
            <w:r w:rsidRPr="008109D0">
              <w:rPr>
                <w:sz w:val="18"/>
                <w:szCs w:val="18"/>
              </w:rPr>
              <w:t>Kompensasi yang diberikan kepada Direksi dan Komisaris</w:t>
            </w:r>
          </w:p>
        </w:tc>
        <w:tc>
          <w:tcPr>
            <w:tcW w:w="4570" w:type="dxa"/>
            <w:tcBorders>
              <w:top w:val="nil"/>
              <w:left w:val="nil"/>
              <w:bottom w:val="nil"/>
              <w:right w:val="nil"/>
            </w:tcBorders>
          </w:tcPr>
          <w:p w14:paraId="4E90F92B" w14:textId="682E2309" w:rsidR="00456CAC" w:rsidRPr="008109D0" w:rsidRDefault="00456CAC" w:rsidP="00456CAC">
            <w:pPr>
              <w:pStyle w:val="ListParagraph"/>
              <w:tabs>
                <w:tab w:val="right" w:pos="9340"/>
                <w:tab w:val="right" w:pos="10080"/>
              </w:tabs>
              <w:ind w:left="284" w:right="-57"/>
              <w:jc w:val="both"/>
              <w:rPr>
                <w:i/>
                <w:sz w:val="18"/>
                <w:szCs w:val="18"/>
              </w:rPr>
            </w:pPr>
            <w:r w:rsidRPr="008109D0">
              <w:rPr>
                <w:i/>
                <w:sz w:val="18"/>
                <w:szCs w:val="18"/>
              </w:rPr>
              <w:t>Compensastion which is granted to Directors and Commissioners</w:t>
            </w:r>
          </w:p>
        </w:tc>
      </w:tr>
    </w:tbl>
    <w:p w14:paraId="7DAFF2AA" w14:textId="77777777" w:rsidR="00F22BA7" w:rsidRPr="008109D0" w:rsidRDefault="00F22BA7">
      <w:pPr>
        <w:rPr>
          <w:sz w:val="10"/>
          <w:szCs w:val="10"/>
        </w:rPr>
      </w:pPr>
    </w:p>
    <w:tbl>
      <w:tblPr>
        <w:tblW w:w="9197" w:type="dxa"/>
        <w:tblInd w:w="350" w:type="dxa"/>
        <w:tblCellMar>
          <w:left w:w="0" w:type="dxa"/>
          <w:right w:w="0" w:type="dxa"/>
        </w:tblCellMar>
        <w:tblLook w:val="04A0" w:firstRow="1" w:lastRow="0" w:firstColumn="1" w:lastColumn="0" w:noHBand="0" w:noVBand="1"/>
      </w:tblPr>
      <w:tblGrid>
        <w:gridCol w:w="2649"/>
        <w:gridCol w:w="61"/>
        <w:gridCol w:w="1857"/>
        <w:gridCol w:w="60"/>
        <w:gridCol w:w="1857"/>
        <w:gridCol w:w="63"/>
        <w:gridCol w:w="2650"/>
      </w:tblGrid>
      <w:tr w:rsidR="00FC2851" w:rsidRPr="008109D0" w14:paraId="390366FC" w14:textId="77777777" w:rsidTr="00E90C38">
        <w:trPr>
          <w:trHeight w:val="249"/>
        </w:trPr>
        <w:tc>
          <w:tcPr>
            <w:tcW w:w="2649" w:type="dxa"/>
            <w:shd w:val="clear" w:color="auto" w:fill="auto"/>
            <w:vAlign w:val="bottom"/>
          </w:tcPr>
          <w:p w14:paraId="3438749D" w14:textId="77777777" w:rsidR="00FC2851" w:rsidRPr="008109D0" w:rsidRDefault="00FC2851" w:rsidP="00FC2851">
            <w:pPr>
              <w:ind w:left="113"/>
              <w:rPr>
                <w:sz w:val="18"/>
                <w:szCs w:val="18"/>
              </w:rPr>
            </w:pPr>
          </w:p>
        </w:tc>
        <w:tc>
          <w:tcPr>
            <w:tcW w:w="61" w:type="dxa"/>
          </w:tcPr>
          <w:p w14:paraId="74DE6C5F" w14:textId="77777777" w:rsidR="00FC2851" w:rsidRPr="008109D0" w:rsidRDefault="00FC2851" w:rsidP="00FC2851">
            <w:pPr>
              <w:ind w:right="57"/>
              <w:jc w:val="center"/>
              <w:rPr>
                <w:sz w:val="18"/>
                <w:szCs w:val="18"/>
              </w:rPr>
            </w:pPr>
          </w:p>
        </w:tc>
        <w:tc>
          <w:tcPr>
            <w:tcW w:w="1857" w:type="dxa"/>
            <w:tcBorders>
              <w:bottom w:val="single" w:sz="4" w:space="0" w:color="auto"/>
            </w:tcBorders>
          </w:tcPr>
          <w:p w14:paraId="0C05A1C5" w14:textId="77777777" w:rsidR="00FC2851" w:rsidRPr="008109D0" w:rsidRDefault="00FC2851" w:rsidP="00FC2851">
            <w:pPr>
              <w:jc w:val="center"/>
              <w:rPr>
                <w:b/>
                <w:sz w:val="18"/>
                <w:szCs w:val="18"/>
              </w:rPr>
            </w:pPr>
            <w:r w:rsidRPr="008109D0">
              <w:rPr>
                <w:b/>
                <w:sz w:val="18"/>
                <w:szCs w:val="18"/>
              </w:rPr>
              <w:t>31 Maret/</w:t>
            </w:r>
          </w:p>
          <w:p w14:paraId="13F06157" w14:textId="1E1168E9" w:rsidR="00FC2851" w:rsidRPr="008109D0" w:rsidRDefault="00FC2851" w:rsidP="00FC2851">
            <w:pPr>
              <w:ind w:right="57"/>
              <w:jc w:val="center"/>
              <w:rPr>
                <w:b/>
                <w:bCs w:val="0"/>
                <w:sz w:val="18"/>
                <w:szCs w:val="18"/>
              </w:rPr>
            </w:pPr>
            <w:r w:rsidRPr="008109D0">
              <w:rPr>
                <w:b/>
                <w:sz w:val="18"/>
                <w:szCs w:val="18"/>
              </w:rPr>
              <w:t>March 31</w:t>
            </w:r>
            <w:r w:rsidR="00305CA0">
              <w:rPr>
                <w:b/>
                <w:sz w:val="18"/>
                <w:szCs w:val="18"/>
              </w:rPr>
              <w:t>.</w:t>
            </w:r>
            <w:r w:rsidRPr="008109D0">
              <w:rPr>
                <w:b/>
                <w:sz w:val="18"/>
                <w:szCs w:val="18"/>
              </w:rPr>
              <w:t xml:space="preserve">  2020</w:t>
            </w:r>
          </w:p>
        </w:tc>
        <w:tc>
          <w:tcPr>
            <w:tcW w:w="60" w:type="dxa"/>
            <w:shd w:val="clear" w:color="auto" w:fill="auto"/>
            <w:vAlign w:val="bottom"/>
          </w:tcPr>
          <w:p w14:paraId="07D2FE95" w14:textId="77777777" w:rsidR="00FC2851" w:rsidRPr="008109D0" w:rsidRDefault="00FC2851" w:rsidP="00FC2851">
            <w:pPr>
              <w:ind w:right="57"/>
              <w:jc w:val="center"/>
              <w:rPr>
                <w:sz w:val="18"/>
                <w:szCs w:val="18"/>
              </w:rPr>
            </w:pPr>
          </w:p>
        </w:tc>
        <w:tc>
          <w:tcPr>
            <w:tcW w:w="1857" w:type="dxa"/>
            <w:tcBorders>
              <w:bottom w:val="single" w:sz="4" w:space="0" w:color="auto"/>
            </w:tcBorders>
            <w:shd w:val="clear" w:color="auto" w:fill="auto"/>
            <w:vAlign w:val="bottom"/>
          </w:tcPr>
          <w:p w14:paraId="601F25BD" w14:textId="77777777" w:rsidR="00FC2851" w:rsidRPr="008109D0" w:rsidRDefault="00FC2851" w:rsidP="00FC2851">
            <w:pPr>
              <w:ind w:right="57"/>
              <w:jc w:val="center"/>
              <w:rPr>
                <w:b/>
                <w:sz w:val="18"/>
                <w:szCs w:val="18"/>
              </w:rPr>
            </w:pPr>
            <w:r w:rsidRPr="008109D0">
              <w:rPr>
                <w:b/>
                <w:sz w:val="18"/>
                <w:szCs w:val="18"/>
              </w:rPr>
              <w:t>31 Maret/</w:t>
            </w:r>
          </w:p>
          <w:p w14:paraId="447D418B" w14:textId="1EB6D1B9" w:rsidR="00FC2851" w:rsidRPr="008109D0" w:rsidRDefault="00FC2851" w:rsidP="00FC2851">
            <w:pPr>
              <w:ind w:right="57"/>
              <w:jc w:val="center"/>
              <w:rPr>
                <w:b/>
                <w:bCs w:val="0"/>
                <w:sz w:val="18"/>
                <w:szCs w:val="18"/>
              </w:rPr>
            </w:pPr>
            <w:r w:rsidRPr="008109D0">
              <w:rPr>
                <w:b/>
                <w:sz w:val="18"/>
                <w:szCs w:val="18"/>
              </w:rPr>
              <w:t>March 31</w:t>
            </w:r>
            <w:r w:rsidR="00305CA0">
              <w:rPr>
                <w:b/>
                <w:sz w:val="18"/>
                <w:szCs w:val="18"/>
              </w:rPr>
              <w:t>.</w:t>
            </w:r>
            <w:r w:rsidRPr="008109D0">
              <w:rPr>
                <w:b/>
                <w:sz w:val="18"/>
                <w:szCs w:val="18"/>
              </w:rPr>
              <w:t xml:space="preserve"> 2019</w:t>
            </w:r>
          </w:p>
        </w:tc>
        <w:tc>
          <w:tcPr>
            <w:tcW w:w="63" w:type="dxa"/>
          </w:tcPr>
          <w:p w14:paraId="144839CE" w14:textId="77777777" w:rsidR="00FC2851" w:rsidRPr="008109D0" w:rsidRDefault="00FC2851" w:rsidP="00FC2851">
            <w:pPr>
              <w:ind w:right="57"/>
              <w:jc w:val="center"/>
              <w:rPr>
                <w:sz w:val="18"/>
                <w:szCs w:val="18"/>
              </w:rPr>
            </w:pPr>
          </w:p>
        </w:tc>
        <w:tc>
          <w:tcPr>
            <w:tcW w:w="2650" w:type="dxa"/>
            <w:shd w:val="clear" w:color="auto" w:fill="auto"/>
            <w:vAlign w:val="bottom"/>
          </w:tcPr>
          <w:p w14:paraId="31DE522D" w14:textId="77777777" w:rsidR="00FC2851" w:rsidRPr="008109D0" w:rsidRDefault="00FC2851" w:rsidP="00FC2851">
            <w:pPr>
              <w:ind w:right="113"/>
              <w:jc w:val="right"/>
              <w:rPr>
                <w:i/>
                <w:iCs/>
                <w:sz w:val="18"/>
                <w:szCs w:val="18"/>
              </w:rPr>
            </w:pPr>
          </w:p>
        </w:tc>
      </w:tr>
      <w:tr w:rsidR="00F22BA7" w:rsidRPr="00E030CA" w14:paraId="49A64250" w14:textId="77777777" w:rsidTr="00284CA5">
        <w:trPr>
          <w:trHeight w:val="249"/>
        </w:trPr>
        <w:tc>
          <w:tcPr>
            <w:tcW w:w="2649" w:type="dxa"/>
            <w:shd w:val="clear" w:color="auto" w:fill="auto"/>
            <w:vAlign w:val="bottom"/>
          </w:tcPr>
          <w:p w14:paraId="4812E2E0" w14:textId="77777777" w:rsidR="002368C4" w:rsidRPr="008109D0" w:rsidRDefault="00F22BA7" w:rsidP="0001485A">
            <w:pPr>
              <w:ind w:left="685"/>
              <w:rPr>
                <w:sz w:val="18"/>
                <w:szCs w:val="18"/>
              </w:rPr>
            </w:pPr>
            <w:r w:rsidRPr="008109D0">
              <w:rPr>
                <w:sz w:val="18"/>
                <w:szCs w:val="18"/>
              </w:rPr>
              <w:t xml:space="preserve">Imbalan kerja jangka </w:t>
            </w:r>
          </w:p>
          <w:p w14:paraId="06451A3B" w14:textId="1D47018B" w:rsidR="00F22BA7" w:rsidRPr="008109D0" w:rsidRDefault="00F22BA7" w:rsidP="002368C4">
            <w:pPr>
              <w:ind w:left="926"/>
              <w:rPr>
                <w:sz w:val="18"/>
                <w:szCs w:val="18"/>
              </w:rPr>
            </w:pPr>
            <w:r w:rsidRPr="008109D0">
              <w:rPr>
                <w:sz w:val="18"/>
                <w:szCs w:val="18"/>
              </w:rPr>
              <w:t>pendek</w:t>
            </w:r>
          </w:p>
        </w:tc>
        <w:tc>
          <w:tcPr>
            <w:tcW w:w="61" w:type="dxa"/>
          </w:tcPr>
          <w:p w14:paraId="240BFB90" w14:textId="77777777" w:rsidR="00F22BA7" w:rsidRPr="008109D0" w:rsidRDefault="00F22BA7" w:rsidP="00F22BA7">
            <w:pPr>
              <w:ind w:right="57"/>
              <w:jc w:val="center"/>
              <w:rPr>
                <w:sz w:val="18"/>
                <w:szCs w:val="18"/>
              </w:rPr>
            </w:pPr>
          </w:p>
        </w:tc>
        <w:tc>
          <w:tcPr>
            <w:tcW w:w="1857" w:type="dxa"/>
            <w:tcBorders>
              <w:top w:val="single" w:sz="4" w:space="0" w:color="auto"/>
            </w:tcBorders>
            <w:vAlign w:val="bottom"/>
          </w:tcPr>
          <w:p w14:paraId="7ABE8AA4" w14:textId="2D3291FE" w:rsidR="00F22BA7" w:rsidRPr="00281BF7" w:rsidRDefault="00281BF7" w:rsidP="00F22BA7">
            <w:pPr>
              <w:ind w:right="57"/>
              <w:jc w:val="right"/>
              <w:rPr>
                <w:bCs w:val="0"/>
                <w:sz w:val="18"/>
                <w:szCs w:val="18"/>
              </w:rPr>
            </w:pPr>
            <w:r w:rsidRPr="00281BF7">
              <w:rPr>
                <w:bCs w:val="0"/>
                <w:sz w:val="18"/>
                <w:szCs w:val="18"/>
              </w:rPr>
              <w:t>661.722.115</w:t>
            </w:r>
          </w:p>
        </w:tc>
        <w:tc>
          <w:tcPr>
            <w:tcW w:w="60" w:type="dxa"/>
            <w:shd w:val="clear" w:color="auto" w:fill="auto"/>
            <w:vAlign w:val="bottom"/>
          </w:tcPr>
          <w:p w14:paraId="7AD9B2C8" w14:textId="77777777" w:rsidR="00F22BA7" w:rsidRPr="008109D0" w:rsidRDefault="00F22BA7" w:rsidP="00F22BA7">
            <w:pPr>
              <w:ind w:right="57"/>
              <w:jc w:val="center"/>
              <w:rPr>
                <w:sz w:val="18"/>
                <w:szCs w:val="18"/>
              </w:rPr>
            </w:pPr>
          </w:p>
        </w:tc>
        <w:tc>
          <w:tcPr>
            <w:tcW w:w="1857" w:type="dxa"/>
            <w:tcBorders>
              <w:top w:val="single" w:sz="4" w:space="0" w:color="auto"/>
            </w:tcBorders>
            <w:shd w:val="clear" w:color="auto" w:fill="auto"/>
            <w:vAlign w:val="bottom"/>
          </w:tcPr>
          <w:p w14:paraId="0CAC9094" w14:textId="5ECC4CF7" w:rsidR="00F22BA7" w:rsidRPr="008109D0" w:rsidRDefault="00FC2851" w:rsidP="00F22BA7">
            <w:pPr>
              <w:ind w:right="57"/>
              <w:jc w:val="right"/>
              <w:rPr>
                <w:sz w:val="18"/>
                <w:szCs w:val="18"/>
              </w:rPr>
            </w:pPr>
            <w:r w:rsidRPr="008109D0">
              <w:rPr>
                <w:sz w:val="18"/>
                <w:szCs w:val="18"/>
              </w:rPr>
              <w:t>614.857.101</w:t>
            </w:r>
          </w:p>
        </w:tc>
        <w:tc>
          <w:tcPr>
            <w:tcW w:w="63" w:type="dxa"/>
          </w:tcPr>
          <w:p w14:paraId="53334339" w14:textId="77777777" w:rsidR="00F22BA7" w:rsidRPr="008109D0" w:rsidRDefault="00F22BA7" w:rsidP="00F22BA7">
            <w:pPr>
              <w:ind w:right="57"/>
              <w:jc w:val="center"/>
              <w:rPr>
                <w:sz w:val="18"/>
                <w:szCs w:val="18"/>
              </w:rPr>
            </w:pPr>
          </w:p>
        </w:tc>
        <w:tc>
          <w:tcPr>
            <w:tcW w:w="2650" w:type="dxa"/>
            <w:shd w:val="clear" w:color="auto" w:fill="auto"/>
            <w:vAlign w:val="bottom"/>
          </w:tcPr>
          <w:p w14:paraId="70A6CA28" w14:textId="1386F597" w:rsidR="00F22BA7" w:rsidRDefault="00F22BA7" w:rsidP="00F22BA7">
            <w:pPr>
              <w:ind w:right="113"/>
              <w:jc w:val="right"/>
              <w:rPr>
                <w:i/>
                <w:iCs/>
                <w:sz w:val="18"/>
                <w:szCs w:val="18"/>
              </w:rPr>
            </w:pPr>
            <w:r w:rsidRPr="008109D0">
              <w:rPr>
                <w:i/>
                <w:iCs/>
                <w:sz w:val="18"/>
                <w:szCs w:val="18"/>
              </w:rPr>
              <w:t>Short-term employee benefits</w:t>
            </w:r>
          </w:p>
        </w:tc>
      </w:tr>
    </w:tbl>
    <w:p w14:paraId="7FF86ED6" w14:textId="77777777" w:rsidR="007D05E1" w:rsidRDefault="007D05E1"/>
    <w:tbl>
      <w:tblPr>
        <w:tblW w:w="9197" w:type="dxa"/>
        <w:tblInd w:w="336" w:type="dxa"/>
        <w:tblLook w:val="0000" w:firstRow="0" w:lastRow="0" w:firstColumn="0" w:lastColumn="0" w:noHBand="0" w:noVBand="0"/>
      </w:tblPr>
      <w:tblGrid>
        <w:gridCol w:w="4598"/>
        <w:gridCol w:w="4599"/>
      </w:tblGrid>
      <w:tr w:rsidR="00083896" w:rsidRPr="00104084" w14:paraId="171F04B9" w14:textId="77777777" w:rsidTr="00284CA5">
        <w:tc>
          <w:tcPr>
            <w:tcW w:w="4598" w:type="dxa"/>
            <w:tcBorders>
              <w:top w:val="nil"/>
              <w:left w:val="nil"/>
              <w:bottom w:val="nil"/>
              <w:right w:val="nil"/>
            </w:tcBorders>
          </w:tcPr>
          <w:p w14:paraId="5A3A00E2" w14:textId="77777777" w:rsidR="00083896" w:rsidRPr="0013526B" w:rsidRDefault="007B474A" w:rsidP="00070D1F">
            <w:pPr>
              <w:numPr>
                <w:ilvl w:val="0"/>
                <w:numId w:val="397"/>
              </w:numPr>
              <w:ind w:left="269" w:hanging="283"/>
              <w:jc w:val="both"/>
              <w:rPr>
                <w:b/>
                <w:sz w:val="18"/>
                <w:szCs w:val="18"/>
              </w:rPr>
            </w:pPr>
            <w:r w:rsidRPr="00104084">
              <w:rPr>
                <w:b/>
                <w:sz w:val="18"/>
                <w:szCs w:val="18"/>
              </w:rPr>
              <w:br w:type="page"/>
            </w:r>
            <w:r w:rsidR="00083896" w:rsidRPr="0013526B">
              <w:rPr>
                <w:b/>
                <w:sz w:val="18"/>
                <w:szCs w:val="18"/>
              </w:rPr>
              <w:t>ASET DAN LIABILITAS MONETER DALAM MATA UANG ASING</w:t>
            </w:r>
          </w:p>
        </w:tc>
        <w:tc>
          <w:tcPr>
            <w:tcW w:w="4599" w:type="dxa"/>
            <w:tcBorders>
              <w:top w:val="nil"/>
              <w:left w:val="nil"/>
              <w:bottom w:val="nil"/>
              <w:right w:val="nil"/>
            </w:tcBorders>
          </w:tcPr>
          <w:p w14:paraId="7E40CDAB" w14:textId="77777777" w:rsidR="00083896" w:rsidRPr="00104084" w:rsidRDefault="00083896" w:rsidP="00070D1F">
            <w:pPr>
              <w:numPr>
                <w:ilvl w:val="0"/>
                <w:numId w:val="398"/>
              </w:numPr>
              <w:jc w:val="both"/>
              <w:rPr>
                <w:b/>
                <w:i/>
                <w:iCs/>
                <w:sz w:val="18"/>
                <w:szCs w:val="18"/>
              </w:rPr>
            </w:pPr>
            <w:r w:rsidRPr="00104084">
              <w:rPr>
                <w:b/>
                <w:i/>
                <w:iCs/>
                <w:sz w:val="18"/>
                <w:szCs w:val="18"/>
              </w:rPr>
              <w:t>MONETARY ASSETS AND LIABILITIES DENOMINATED IN FOREIGN CURRENCIES</w:t>
            </w:r>
          </w:p>
        </w:tc>
      </w:tr>
      <w:tr w:rsidR="00083896" w:rsidRPr="000B72DF" w14:paraId="4E006A76" w14:textId="77777777" w:rsidTr="00284CA5">
        <w:tc>
          <w:tcPr>
            <w:tcW w:w="4598" w:type="dxa"/>
            <w:tcBorders>
              <w:top w:val="nil"/>
              <w:left w:val="nil"/>
              <w:bottom w:val="nil"/>
              <w:right w:val="nil"/>
            </w:tcBorders>
          </w:tcPr>
          <w:p w14:paraId="1C04DA64" w14:textId="77777777" w:rsidR="00083896" w:rsidRPr="000B72DF" w:rsidRDefault="00083896" w:rsidP="0013526B">
            <w:pPr>
              <w:ind w:left="709"/>
              <w:jc w:val="both"/>
              <w:rPr>
                <w:sz w:val="12"/>
                <w:szCs w:val="18"/>
              </w:rPr>
            </w:pPr>
          </w:p>
        </w:tc>
        <w:tc>
          <w:tcPr>
            <w:tcW w:w="4599" w:type="dxa"/>
            <w:tcBorders>
              <w:top w:val="nil"/>
              <w:left w:val="nil"/>
              <w:bottom w:val="nil"/>
              <w:right w:val="nil"/>
            </w:tcBorders>
          </w:tcPr>
          <w:p w14:paraId="013AF61D" w14:textId="77777777" w:rsidR="00083896" w:rsidRPr="000B72DF" w:rsidRDefault="00083896" w:rsidP="0013526B">
            <w:pPr>
              <w:pStyle w:val="ListParagraph"/>
              <w:ind w:left="743"/>
              <w:jc w:val="both"/>
              <w:rPr>
                <w:i/>
                <w:sz w:val="12"/>
                <w:szCs w:val="18"/>
              </w:rPr>
            </w:pPr>
          </w:p>
        </w:tc>
      </w:tr>
      <w:tr w:rsidR="00083896" w:rsidRPr="0013526B" w14:paraId="48FC5317" w14:textId="77777777" w:rsidTr="00284CA5">
        <w:trPr>
          <w:trHeight w:val="201"/>
        </w:trPr>
        <w:tc>
          <w:tcPr>
            <w:tcW w:w="4598" w:type="dxa"/>
            <w:tcBorders>
              <w:top w:val="nil"/>
              <w:left w:val="nil"/>
              <w:bottom w:val="nil"/>
              <w:right w:val="nil"/>
            </w:tcBorders>
          </w:tcPr>
          <w:p w14:paraId="010105FE" w14:textId="004A8281" w:rsidR="00083896" w:rsidRPr="0013526B" w:rsidRDefault="00C46F66" w:rsidP="0046654F">
            <w:pPr>
              <w:pStyle w:val="ListParagraph"/>
              <w:ind w:left="284" w:right="-57"/>
              <w:jc w:val="both"/>
              <w:rPr>
                <w:sz w:val="18"/>
                <w:szCs w:val="18"/>
              </w:rPr>
            </w:pPr>
            <w:r w:rsidRPr="0013526B">
              <w:rPr>
                <w:sz w:val="18"/>
                <w:szCs w:val="18"/>
              </w:rPr>
              <w:t xml:space="preserve">Pada tanggal </w:t>
            </w:r>
            <w:r w:rsidR="0046654F">
              <w:rPr>
                <w:sz w:val="18"/>
                <w:szCs w:val="18"/>
              </w:rPr>
              <w:t xml:space="preserve">31 Maret 2020 dan </w:t>
            </w:r>
            <w:r w:rsidRPr="0013526B">
              <w:rPr>
                <w:sz w:val="18"/>
                <w:szCs w:val="18"/>
              </w:rPr>
              <w:t>31 Desember 201</w:t>
            </w:r>
            <w:proofErr w:type="gramStart"/>
            <w:r w:rsidR="00305CA0">
              <w:rPr>
                <w:sz w:val="18"/>
                <w:szCs w:val="18"/>
              </w:rPr>
              <w:t>.</w:t>
            </w:r>
            <w:r w:rsidR="00870FD0">
              <w:rPr>
                <w:sz w:val="18"/>
                <w:szCs w:val="18"/>
              </w:rPr>
              <w:t>.</w:t>
            </w:r>
            <w:proofErr w:type="gramEnd"/>
            <w:r w:rsidRPr="0013526B">
              <w:rPr>
                <w:sz w:val="18"/>
                <w:szCs w:val="18"/>
              </w:rPr>
              <w:t xml:space="preserve"> aset dan liabilitas moneter Kelompok Usaha dalam mata uang asing adalah sebagai berikut:</w:t>
            </w:r>
          </w:p>
        </w:tc>
        <w:tc>
          <w:tcPr>
            <w:tcW w:w="4599" w:type="dxa"/>
            <w:tcBorders>
              <w:top w:val="nil"/>
              <w:left w:val="nil"/>
              <w:bottom w:val="nil"/>
              <w:right w:val="nil"/>
            </w:tcBorders>
          </w:tcPr>
          <w:p w14:paraId="1F4F870A" w14:textId="7E3476E5" w:rsidR="00083896" w:rsidRPr="0013526B" w:rsidRDefault="00C46F66" w:rsidP="0046654F">
            <w:pPr>
              <w:pStyle w:val="ListParagraph"/>
              <w:tabs>
                <w:tab w:val="right" w:pos="9340"/>
                <w:tab w:val="right" w:pos="10080"/>
              </w:tabs>
              <w:ind w:left="284" w:right="-57"/>
              <w:jc w:val="both"/>
              <w:rPr>
                <w:i/>
                <w:sz w:val="18"/>
                <w:szCs w:val="18"/>
              </w:rPr>
            </w:pPr>
            <w:r w:rsidRPr="0013526B">
              <w:rPr>
                <w:i/>
                <w:sz w:val="18"/>
                <w:szCs w:val="18"/>
              </w:rPr>
              <w:t>As of</w:t>
            </w:r>
            <w:r w:rsidR="0046654F">
              <w:rPr>
                <w:i/>
                <w:sz w:val="18"/>
                <w:szCs w:val="18"/>
              </w:rPr>
              <w:t xml:space="preserve"> march 31</w:t>
            </w:r>
            <w:r w:rsidR="00305CA0">
              <w:rPr>
                <w:i/>
                <w:sz w:val="18"/>
                <w:szCs w:val="18"/>
              </w:rPr>
              <w:t>.</w:t>
            </w:r>
            <w:r w:rsidR="0046654F">
              <w:rPr>
                <w:i/>
                <w:sz w:val="18"/>
                <w:szCs w:val="18"/>
              </w:rPr>
              <w:t xml:space="preserve"> 2020 </w:t>
            </w:r>
            <w:proofErr w:type="gramStart"/>
            <w:r w:rsidR="0046654F">
              <w:rPr>
                <w:i/>
                <w:sz w:val="18"/>
                <w:szCs w:val="18"/>
              </w:rPr>
              <w:t xml:space="preserve">amd </w:t>
            </w:r>
            <w:r w:rsidRPr="0013526B">
              <w:rPr>
                <w:i/>
                <w:sz w:val="18"/>
                <w:szCs w:val="18"/>
              </w:rPr>
              <w:t xml:space="preserve"> December</w:t>
            </w:r>
            <w:proofErr w:type="gramEnd"/>
            <w:r w:rsidRPr="0013526B">
              <w:rPr>
                <w:i/>
                <w:sz w:val="18"/>
                <w:szCs w:val="18"/>
              </w:rPr>
              <w:t xml:space="preserve"> 31</w:t>
            </w:r>
            <w:r w:rsidR="00305CA0">
              <w:rPr>
                <w:i/>
                <w:sz w:val="18"/>
                <w:szCs w:val="18"/>
              </w:rPr>
              <w:t>.</w:t>
            </w:r>
            <w:r w:rsidRPr="0013526B">
              <w:rPr>
                <w:i/>
                <w:sz w:val="18"/>
                <w:szCs w:val="18"/>
              </w:rPr>
              <w:t xml:space="preserve"> 201</w:t>
            </w:r>
            <w:r w:rsidR="00104084">
              <w:rPr>
                <w:i/>
                <w:sz w:val="18"/>
                <w:szCs w:val="18"/>
              </w:rPr>
              <w:t>9</w:t>
            </w:r>
            <w:r w:rsidR="00305CA0">
              <w:rPr>
                <w:i/>
                <w:sz w:val="18"/>
                <w:szCs w:val="18"/>
              </w:rPr>
              <w:t>.</w:t>
            </w:r>
            <w:r w:rsidRPr="0013526B">
              <w:rPr>
                <w:i/>
                <w:sz w:val="18"/>
                <w:szCs w:val="18"/>
              </w:rPr>
              <w:t xml:space="preserve"> the carrying amount of the Group’s monetary assets and liabilities in foreign currencies are as follows:</w:t>
            </w:r>
          </w:p>
        </w:tc>
      </w:tr>
    </w:tbl>
    <w:p w14:paraId="130C7123" w14:textId="78C0FE80" w:rsidR="00083896" w:rsidRDefault="00083896" w:rsidP="0013526B">
      <w:pPr>
        <w:ind w:left="567"/>
        <w:jc w:val="both"/>
        <w:rPr>
          <w:sz w:val="8"/>
          <w:szCs w:val="18"/>
        </w:rPr>
      </w:pPr>
    </w:p>
    <w:p w14:paraId="1EF070F5" w14:textId="77777777" w:rsidR="007D05E1" w:rsidRPr="000B72DF" w:rsidRDefault="007D05E1" w:rsidP="0013526B">
      <w:pPr>
        <w:ind w:left="567"/>
        <w:jc w:val="both"/>
        <w:rPr>
          <w:sz w:val="8"/>
          <w:szCs w:val="18"/>
        </w:rPr>
      </w:pPr>
    </w:p>
    <w:tbl>
      <w:tblPr>
        <w:tblW w:w="9331" w:type="dxa"/>
        <w:tblInd w:w="336" w:type="dxa"/>
        <w:tblLook w:val="04A0" w:firstRow="1" w:lastRow="0" w:firstColumn="1" w:lastColumn="0" w:noHBand="0" w:noVBand="1"/>
      </w:tblPr>
      <w:tblGrid>
        <w:gridCol w:w="1880"/>
        <w:gridCol w:w="1132"/>
        <w:gridCol w:w="240"/>
        <w:gridCol w:w="1374"/>
        <w:gridCol w:w="275"/>
        <w:gridCol w:w="1323"/>
        <w:gridCol w:w="275"/>
        <w:gridCol w:w="1336"/>
        <w:gridCol w:w="1496"/>
      </w:tblGrid>
      <w:tr w:rsidR="00083896" w:rsidRPr="0013526B" w14:paraId="00F0E11F" w14:textId="77777777" w:rsidTr="00FC2851">
        <w:tc>
          <w:tcPr>
            <w:tcW w:w="1880" w:type="dxa"/>
            <w:shd w:val="clear" w:color="auto" w:fill="auto"/>
          </w:tcPr>
          <w:p w14:paraId="5F5D0A5A" w14:textId="77777777" w:rsidR="00083896" w:rsidRPr="0013526B" w:rsidRDefault="00083896" w:rsidP="0013526B">
            <w:pPr>
              <w:jc w:val="both"/>
              <w:rPr>
                <w:sz w:val="18"/>
                <w:szCs w:val="18"/>
              </w:rPr>
            </w:pPr>
          </w:p>
        </w:tc>
        <w:tc>
          <w:tcPr>
            <w:tcW w:w="2746" w:type="dxa"/>
            <w:gridSpan w:val="3"/>
            <w:tcBorders>
              <w:bottom w:val="single" w:sz="4" w:space="0" w:color="auto"/>
            </w:tcBorders>
            <w:shd w:val="clear" w:color="auto" w:fill="auto"/>
          </w:tcPr>
          <w:p w14:paraId="0F631935" w14:textId="77777777" w:rsidR="00083896" w:rsidRPr="0013526B" w:rsidRDefault="00083896" w:rsidP="0013526B">
            <w:pPr>
              <w:jc w:val="center"/>
              <w:rPr>
                <w:b/>
                <w:sz w:val="18"/>
                <w:szCs w:val="18"/>
              </w:rPr>
            </w:pPr>
            <w:r w:rsidRPr="0013526B">
              <w:rPr>
                <w:b/>
                <w:sz w:val="18"/>
                <w:szCs w:val="18"/>
              </w:rPr>
              <w:t>Mata Uang Asing/</w:t>
            </w:r>
          </w:p>
          <w:p w14:paraId="67CAB90E" w14:textId="77777777" w:rsidR="00083896" w:rsidRPr="0013526B" w:rsidRDefault="00083896" w:rsidP="0013526B">
            <w:pPr>
              <w:jc w:val="center"/>
              <w:rPr>
                <w:i/>
                <w:sz w:val="18"/>
                <w:szCs w:val="18"/>
              </w:rPr>
            </w:pPr>
            <w:r w:rsidRPr="0013526B">
              <w:rPr>
                <w:b/>
                <w:i/>
                <w:sz w:val="18"/>
                <w:szCs w:val="18"/>
              </w:rPr>
              <w:t>Foreign Currencies</w:t>
            </w:r>
          </w:p>
        </w:tc>
        <w:tc>
          <w:tcPr>
            <w:tcW w:w="275" w:type="dxa"/>
            <w:shd w:val="clear" w:color="auto" w:fill="auto"/>
          </w:tcPr>
          <w:p w14:paraId="672A2DC4" w14:textId="77777777" w:rsidR="00083896" w:rsidRPr="0013526B" w:rsidRDefault="00083896" w:rsidP="0013526B">
            <w:pPr>
              <w:jc w:val="both"/>
              <w:rPr>
                <w:sz w:val="18"/>
                <w:szCs w:val="18"/>
              </w:rPr>
            </w:pPr>
          </w:p>
        </w:tc>
        <w:tc>
          <w:tcPr>
            <w:tcW w:w="2934" w:type="dxa"/>
            <w:gridSpan w:val="3"/>
            <w:tcBorders>
              <w:bottom w:val="single" w:sz="4" w:space="0" w:color="auto"/>
            </w:tcBorders>
            <w:shd w:val="clear" w:color="auto" w:fill="auto"/>
          </w:tcPr>
          <w:p w14:paraId="582AB6AE" w14:textId="77777777" w:rsidR="00483925" w:rsidRPr="0013526B" w:rsidRDefault="00483925" w:rsidP="0013526B">
            <w:pPr>
              <w:tabs>
                <w:tab w:val="left" w:pos="5590"/>
                <w:tab w:val="right" w:pos="7620"/>
                <w:tab w:val="right" w:pos="9460"/>
                <w:tab w:val="right" w:pos="10080"/>
              </w:tabs>
              <w:ind w:right="-57"/>
              <w:jc w:val="center"/>
              <w:rPr>
                <w:sz w:val="18"/>
                <w:szCs w:val="18"/>
              </w:rPr>
            </w:pPr>
            <w:r w:rsidRPr="0013526B">
              <w:rPr>
                <w:b/>
                <w:bCs w:val="0"/>
                <w:sz w:val="18"/>
                <w:szCs w:val="18"/>
              </w:rPr>
              <w:t>Setara dengan</w:t>
            </w:r>
            <w:r w:rsidR="001C12BF" w:rsidRPr="0013526B">
              <w:rPr>
                <w:b/>
                <w:bCs w:val="0"/>
                <w:sz w:val="18"/>
                <w:szCs w:val="18"/>
              </w:rPr>
              <w:t xml:space="preserve"> </w:t>
            </w:r>
            <w:r w:rsidRPr="0013526B">
              <w:rPr>
                <w:b/>
                <w:bCs w:val="0"/>
                <w:sz w:val="18"/>
                <w:szCs w:val="18"/>
              </w:rPr>
              <w:t>Rp/</w:t>
            </w:r>
          </w:p>
          <w:p w14:paraId="79AF226D" w14:textId="77777777" w:rsidR="00083896" w:rsidRPr="0013526B" w:rsidRDefault="00483925" w:rsidP="0013526B">
            <w:pPr>
              <w:jc w:val="center"/>
              <w:rPr>
                <w:i/>
                <w:sz w:val="18"/>
                <w:szCs w:val="18"/>
              </w:rPr>
            </w:pPr>
            <w:r w:rsidRPr="0013526B">
              <w:rPr>
                <w:b/>
                <w:bCs w:val="0"/>
                <w:i/>
                <w:sz w:val="18"/>
                <w:szCs w:val="18"/>
              </w:rPr>
              <w:t>Equivalent to Rp</w:t>
            </w:r>
          </w:p>
        </w:tc>
        <w:tc>
          <w:tcPr>
            <w:tcW w:w="1496" w:type="dxa"/>
            <w:shd w:val="clear" w:color="auto" w:fill="auto"/>
          </w:tcPr>
          <w:p w14:paraId="4EC89B0B" w14:textId="77777777" w:rsidR="00083896" w:rsidRPr="0013526B" w:rsidRDefault="00083896" w:rsidP="0013526B">
            <w:pPr>
              <w:jc w:val="both"/>
              <w:rPr>
                <w:sz w:val="18"/>
                <w:szCs w:val="18"/>
              </w:rPr>
            </w:pPr>
          </w:p>
        </w:tc>
      </w:tr>
      <w:tr w:rsidR="00FC2851" w:rsidRPr="0013526B" w14:paraId="067056A0" w14:textId="77777777" w:rsidTr="00FC2851">
        <w:tc>
          <w:tcPr>
            <w:tcW w:w="1880" w:type="dxa"/>
            <w:shd w:val="clear" w:color="auto" w:fill="auto"/>
          </w:tcPr>
          <w:p w14:paraId="33F919DC" w14:textId="77777777" w:rsidR="00FC2851" w:rsidRPr="0013526B" w:rsidRDefault="00FC2851" w:rsidP="00FC2851">
            <w:pPr>
              <w:jc w:val="both"/>
              <w:rPr>
                <w:sz w:val="18"/>
                <w:szCs w:val="18"/>
              </w:rPr>
            </w:pPr>
          </w:p>
        </w:tc>
        <w:tc>
          <w:tcPr>
            <w:tcW w:w="1132" w:type="dxa"/>
            <w:tcBorders>
              <w:top w:val="single" w:sz="4" w:space="0" w:color="auto"/>
              <w:bottom w:val="single" w:sz="4" w:space="0" w:color="auto"/>
            </w:tcBorders>
            <w:shd w:val="clear" w:color="auto" w:fill="auto"/>
          </w:tcPr>
          <w:p w14:paraId="4D325CFB" w14:textId="77777777" w:rsidR="00FC2851" w:rsidRDefault="00FC2851" w:rsidP="00FC2851">
            <w:pPr>
              <w:jc w:val="center"/>
              <w:rPr>
                <w:b/>
                <w:sz w:val="18"/>
                <w:szCs w:val="18"/>
              </w:rPr>
            </w:pPr>
            <w:r>
              <w:rPr>
                <w:b/>
                <w:sz w:val="18"/>
                <w:szCs w:val="18"/>
              </w:rPr>
              <w:t>31 Maret/</w:t>
            </w:r>
          </w:p>
          <w:p w14:paraId="7661DE38" w14:textId="5B53C206" w:rsidR="00FC2851" w:rsidRPr="0013526B" w:rsidRDefault="00FC2851" w:rsidP="00FC2851">
            <w:pPr>
              <w:jc w:val="center"/>
              <w:rPr>
                <w:b/>
                <w:sz w:val="18"/>
                <w:szCs w:val="18"/>
              </w:rPr>
            </w:pPr>
            <w:r>
              <w:rPr>
                <w:b/>
                <w:sz w:val="18"/>
                <w:szCs w:val="18"/>
              </w:rPr>
              <w:t>March 31</w:t>
            </w:r>
            <w:r w:rsidR="00305CA0">
              <w:rPr>
                <w:b/>
                <w:sz w:val="18"/>
                <w:szCs w:val="18"/>
              </w:rPr>
              <w:t>.</w:t>
            </w:r>
            <w:r>
              <w:rPr>
                <w:b/>
                <w:sz w:val="18"/>
                <w:szCs w:val="18"/>
              </w:rPr>
              <w:t xml:space="preserve"> 2020</w:t>
            </w:r>
          </w:p>
        </w:tc>
        <w:tc>
          <w:tcPr>
            <w:tcW w:w="240" w:type="dxa"/>
            <w:tcBorders>
              <w:top w:val="single" w:sz="4" w:space="0" w:color="auto"/>
            </w:tcBorders>
            <w:shd w:val="clear" w:color="auto" w:fill="auto"/>
          </w:tcPr>
          <w:p w14:paraId="2396F2C2" w14:textId="77777777" w:rsidR="00FC2851" w:rsidRPr="0013526B" w:rsidRDefault="00FC2851" w:rsidP="00FC2851">
            <w:pPr>
              <w:jc w:val="center"/>
              <w:rPr>
                <w:b/>
                <w:sz w:val="18"/>
                <w:szCs w:val="18"/>
              </w:rPr>
            </w:pPr>
          </w:p>
        </w:tc>
        <w:tc>
          <w:tcPr>
            <w:tcW w:w="1374" w:type="dxa"/>
            <w:tcBorders>
              <w:top w:val="single" w:sz="4" w:space="0" w:color="auto"/>
              <w:bottom w:val="single" w:sz="4" w:space="0" w:color="auto"/>
            </w:tcBorders>
            <w:shd w:val="clear" w:color="auto" w:fill="auto"/>
          </w:tcPr>
          <w:p w14:paraId="5E5A5460" w14:textId="77777777" w:rsidR="00FC2851" w:rsidRDefault="00FC2851" w:rsidP="00FC2851">
            <w:pPr>
              <w:jc w:val="center"/>
              <w:rPr>
                <w:b/>
                <w:sz w:val="18"/>
                <w:szCs w:val="18"/>
              </w:rPr>
            </w:pPr>
            <w:r>
              <w:rPr>
                <w:b/>
                <w:sz w:val="18"/>
                <w:szCs w:val="18"/>
              </w:rPr>
              <w:t>31 Desember/</w:t>
            </w:r>
          </w:p>
          <w:p w14:paraId="70EBC7A1" w14:textId="44AEAAC9" w:rsidR="00FC2851" w:rsidRPr="0013526B" w:rsidRDefault="00FC2851" w:rsidP="00FC2851">
            <w:pPr>
              <w:jc w:val="center"/>
              <w:rPr>
                <w:b/>
                <w:sz w:val="18"/>
                <w:szCs w:val="18"/>
              </w:rPr>
            </w:pPr>
            <w:r>
              <w:rPr>
                <w:b/>
                <w:sz w:val="18"/>
                <w:szCs w:val="18"/>
              </w:rPr>
              <w:t>December 31</w:t>
            </w:r>
            <w:r w:rsidR="00305CA0">
              <w:rPr>
                <w:b/>
                <w:sz w:val="18"/>
                <w:szCs w:val="18"/>
              </w:rPr>
              <w:t>.</w:t>
            </w:r>
            <w:r>
              <w:rPr>
                <w:b/>
                <w:sz w:val="18"/>
                <w:szCs w:val="18"/>
              </w:rPr>
              <w:t xml:space="preserve"> </w:t>
            </w:r>
            <w:r w:rsidRPr="0013526B">
              <w:rPr>
                <w:b/>
                <w:sz w:val="18"/>
                <w:szCs w:val="18"/>
              </w:rPr>
              <w:t>201</w:t>
            </w:r>
            <w:r>
              <w:rPr>
                <w:b/>
                <w:sz w:val="18"/>
                <w:szCs w:val="18"/>
              </w:rPr>
              <w:t>9</w:t>
            </w:r>
          </w:p>
        </w:tc>
        <w:tc>
          <w:tcPr>
            <w:tcW w:w="275" w:type="dxa"/>
            <w:shd w:val="clear" w:color="auto" w:fill="auto"/>
          </w:tcPr>
          <w:p w14:paraId="20564C73" w14:textId="77777777" w:rsidR="00FC2851" w:rsidRPr="0013526B" w:rsidRDefault="00FC2851" w:rsidP="00FC2851">
            <w:pPr>
              <w:jc w:val="center"/>
              <w:rPr>
                <w:b/>
                <w:sz w:val="18"/>
                <w:szCs w:val="18"/>
              </w:rPr>
            </w:pPr>
          </w:p>
        </w:tc>
        <w:tc>
          <w:tcPr>
            <w:tcW w:w="1323" w:type="dxa"/>
            <w:tcBorders>
              <w:top w:val="single" w:sz="4" w:space="0" w:color="auto"/>
              <w:bottom w:val="single" w:sz="4" w:space="0" w:color="auto"/>
            </w:tcBorders>
            <w:shd w:val="clear" w:color="auto" w:fill="auto"/>
          </w:tcPr>
          <w:p w14:paraId="266DAABB" w14:textId="77777777" w:rsidR="00FC2851" w:rsidRDefault="00FC2851" w:rsidP="00FC2851">
            <w:pPr>
              <w:jc w:val="center"/>
              <w:rPr>
                <w:b/>
                <w:sz w:val="18"/>
                <w:szCs w:val="18"/>
              </w:rPr>
            </w:pPr>
            <w:r>
              <w:rPr>
                <w:b/>
                <w:sz w:val="18"/>
                <w:szCs w:val="18"/>
              </w:rPr>
              <w:t>31 Maret/</w:t>
            </w:r>
          </w:p>
          <w:p w14:paraId="29BF8D0E" w14:textId="13F41C6E" w:rsidR="00FC2851" w:rsidRPr="0013526B" w:rsidRDefault="00FC2851" w:rsidP="00FC2851">
            <w:pPr>
              <w:jc w:val="center"/>
              <w:rPr>
                <w:b/>
                <w:sz w:val="18"/>
                <w:szCs w:val="18"/>
              </w:rPr>
            </w:pPr>
            <w:r>
              <w:rPr>
                <w:b/>
                <w:sz w:val="18"/>
                <w:szCs w:val="18"/>
              </w:rPr>
              <w:t>March 31</w:t>
            </w:r>
            <w:r w:rsidR="00305CA0">
              <w:rPr>
                <w:b/>
                <w:sz w:val="18"/>
                <w:szCs w:val="18"/>
              </w:rPr>
              <w:t>.</w:t>
            </w:r>
            <w:r>
              <w:rPr>
                <w:b/>
                <w:sz w:val="18"/>
                <w:szCs w:val="18"/>
              </w:rPr>
              <w:t xml:space="preserve"> 2020</w:t>
            </w:r>
          </w:p>
        </w:tc>
        <w:tc>
          <w:tcPr>
            <w:tcW w:w="275" w:type="dxa"/>
            <w:tcBorders>
              <w:top w:val="single" w:sz="4" w:space="0" w:color="auto"/>
            </w:tcBorders>
            <w:shd w:val="clear" w:color="auto" w:fill="auto"/>
          </w:tcPr>
          <w:p w14:paraId="34930B2F" w14:textId="77777777" w:rsidR="00FC2851" w:rsidRPr="0013526B" w:rsidRDefault="00FC2851" w:rsidP="00FC2851">
            <w:pPr>
              <w:jc w:val="center"/>
              <w:rPr>
                <w:b/>
                <w:sz w:val="18"/>
                <w:szCs w:val="18"/>
              </w:rPr>
            </w:pPr>
          </w:p>
        </w:tc>
        <w:tc>
          <w:tcPr>
            <w:tcW w:w="1336" w:type="dxa"/>
            <w:tcBorders>
              <w:top w:val="single" w:sz="4" w:space="0" w:color="auto"/>
              <w:bottom w:val="single" w:sz="4" w:space="0" w:color="auto"/>
            </w:tcBorders>
            <w:shd w:val="clear" w:color="auto" w:fill="auto"/>
          </w:tcPr>
          <w:p w14:paraId="67EF6958" w14:textId="77777777" w:rsidR="00FC2851" w:rsidRDefault="00FC2851" w:rsidP="00FC2851">
            <w:pPr>
              <w:jc w:val="center"/>
              <w:rPr>
                <w:b/>
                <w:sz w:val="18"/>
                <w:szCs w:val="18"/>
              </w:rPr>
            </w:pPr>
            <w:r>
              <w:rPr>
                <w:b/>
                <w:sz w:val="18"/>
                <w:szCs w:val="18"/>
              </w:rPr>
              <w:t>31 Desember/</w:t>
            </w:r>
          </w:p>
          <w:p w14:paraId="0820CD4A" w14:textId="119D22A3" w:rsidR="00FC2851" w:rsidRPr="0013526B" w:rsidRDefault="00FC2851" w:rsidP="00FC2851">
            <w:pPr>
              <w:jc w:val="center"/>
              <w:rPr>
                <w:b/>
                <w:sz w:val="18"/>
                <w:szCs w:val="18"/>
              </w:rPr>
            </w:pPr>
            <w:r>
              <w:rPr>
                <w:b/>
                <w:sz w:val="18"/>
                <w:szCs w:val="18"/>
              </w:rPr>
              <w:t>December 31</w:t>
            </w:r>
            <w:r w:rsidR="00305CA0">
              <w:rPr>
                <w:b/>
                <w:sz w:val="18"/>
                <w:szCs w:val="18"/>
              </w:rPr>
              <w:t>.</w:t>
            </w:r>
            <w:r>
              <w:rPr>
                <w:b/>
                <w:sz w:val="18"/>
                <w:szCs w:val="18"/>
              </w:rPr>
              <w:t xml:space="preserve"> </w:t>
            </w:r>
            <w:r w:rsidRPr="0013526B">
              <w:rPr>
                <w:b/>
                <w:sz w:val="18"/>
                <w:szCs w:val="18"/>
              </w:rPr>
              <w:t>201</w:t>
            </w:r>
            <w:r>
              <w:rPr>
                <w:b/>
                <w:sz w:val="18"/>
                <w:szCs w:val="18"/>
              </w:rPr>
              <w:t>9</w:t>
            </w:r>
          </w:p>
        </w:tc>
        <w:tc>
          <w:tcPr>
            <w:tcW w:w="1496" w:type="dxa"/>
            <w:shd w:val="clear" w:color="auto" w:fill="auto"/>
          </w:tcPr>
          <w:p w14:paraId="6D7040BC" w14:textId="77777777" w:rsidR="00FC2851" w:rsidRPr="0013526B" w:rsidRDefault="00FC2851" w:rsidP="00FC2851">
            <w:pPr>
              <w:jc w:val="both"/>
              <w:rPr>
                <w:sz w:val="18"/>
                <w:szCs w:val="18"/>
              </w:rPr>
            </w:pPr>
          </w:p>
        </w:tc>
      </w:tr>
      <w:tr w:rsidR="005D64F0" w:rsidRPr="0013526B" w14:paraId="11079206" w14:textId="77777777" w:rsidTr="00FC2851">
        <w:tc>
          <w:tcPr>
            <w:tcW w:w="1880" w:type="dxa"/>
            <w:shd w:val="clear" w:color="auto" w:fill="auto"/>
            <w:vAlign w:val="bottom"/>
          </w:tcPr>
          <w:p w14:paraId="1EB7E203" w14:textId="77777777" w:rsidR="005D64F0" w:rsidRPr="0013526B" w:rsidRDefault="005D64F0" w:rsidP="0013526B">
            <w:pPr>
              <w:ind w:left="459" w:hanging="141"/>
              <w:rPr>
                <w:sz w:val="18"/>
                <w:szCs w:val="18"/>
                <w:u w:val="single"/>
              </w:rPr>
            </w:pPr>
            <w:r w:rsidRPr="0013526B">
              <w:rPr>
                <w:sz w:val="18"/>
                <w:szCs w:val="18"/>
                <w:u w:val="single"/>
              </w:rPr>
              <w:t>Aset</w:t>
            </w:r>
          </w:p>
        </w:tc>
        <w:tc>
          <w:tcPr>
            <w:tcW w:w="1132" w:type="dxa"/>
            <w:tcBorders>
              <w:top w:val="single" w:sz="4" w:space="0" w:color="auto"/>
            </w:tcBorders>
            <w:shd w:val="clear" w:color="auto" w:fill="auto"/>
          </w:tcPr>
          <w:p w14:paraId="0F66552D" w14:textId="77777777" w:rsidR="005D64F0" w:rsidRPr="0013526B" w:rsidRDefault="005D64F0" w:rsidP="0013526B">
            <w:pPr>
              <w:jc w:val="center"/>
              <w:rPr>
                <w:sz w:val="18"/>
                <w:szCs w:val="18"/>
                <w:u w:val="single"/>
              </w:rPr>
            </w:pPr>
          </w:p>
        </w:tc>
        <w:tc>
          <w:tcPr>
            <w:tcW w:w="240" w:type="dxa"/>
            <w:shd w:val="clear" w:color="auto" w:fill="auto"/>
          </w:tcPr>
          <w:p w14:paraId="63DE48C8" w14:textId="77777777" w:rsidR="005D64F0" w:rsidRPr="0013526B" w:rsidRDefault="005D64F0" w:rsidP="0013526B">
            <w:pPr>
              <w:jc w:val="center"/>
              <w:rPr>
                <w:sz w:val="18"/>
                <w:szCs w:val="18"/>
                <w:u w:val="single"/>
              </w:rPr>
            </w:pPr>
          </w:p>
        </w:tc>
        <w:tc>
          <w:tcPr>
            <w:tcW w:w="1374" w:type="dxa"/>
            <w:tcBorders>
              <w:top w:val="single" w:sz="4" w:space="0" w:color="auto"/>
            </w:tcBorders>
            <w:shd w:val="clear" w:color="auto" w:fill="auto"/>
          </w:tcPr>
          <w:p w14:paraId="619B0BA7" w14:textId="77777777" w:rsidR="005D64F0" w:rsidRPr="0013526B" w:rsidRDefault="005D64F0" w:rsidP="0013526B">
            <w:pPr>
              <w:jc w:val="center"/>
              <w:rPr>
                <w:sz w:val="18"/>
                <w:szCs w:val="18"/>
                <w:u w:val="single"/>
              </w:rPr>
            </w:pPr>
          </w:p>
        </w:tc>
        <w:tc>
          <w:tcPr>
            <w:tcW w:w="275" w:type="dxa"/>
            <w:shd w:val="clear" w:color="auto" w:fill="auto"/>
          </w:tcPr>
          <w:p w14:paraId="141AEE32" w14:textId="77777777" w:rsidR="005D64F0" w:rsidRPr="0013526B" w:rsidRDefault="005D64F0" w:rsidP="0013526B">
            <w:pPr>
              <w:jc w:val="both"/>
              <w:rPr>
                <w:sz w:val="18"/>
                <w:szCs w:val="18"/>
                <w:u w:val="single"/>
              </w:rPr>
            </w:pPr>
          </w:p>
        </w:tc>
        <w:tc>
          <w:tcPr>
            <w:tcW w:w="1323" w:type="dxa"/>
            <w:tcBorders>
              <w:top w:val="single" w:sz="4" w:space="0" w:color="auto"/>
            </w:tcBorders>
            <w:shd w:val="clear" w:color="auto" w:fill="auto"/>
            <w:vAlign w:val="bottom"/>
          </w:tcPr>
          <w:p w14:paraId="6830B68C" w14:textId="77777777" w:rsidR="005D64F0" w:rsidRPr="0013526B" w:rsidRDefault="005D64F0" w:rsidP="0013526B">
            <w:pPr>
              <w:ind w:right="-18"/>
              <w:jc w:val="right"/>
              <w:rPr>
                <w:sz w:val="18"/>
                <w:szCs w:val="18"/>
                <w:u w:val="single"/>
              </w:rPr>
            </w:pPr>
          </w:p>
        </w:tc>
        <w:tc>
          <w:tcPr>
            <w:tcW w:w="275" w:type="dxa"/>
            <w:shd w:val="clear" w:color="auto" w:fill="auto"/>
            <w:vAlign w:val="bottom"/>
          </w:tcPr>
          <w:p w14:paraId="2FD81684" w14:textId="77777777" w:rsidR="005D64F0" w:rsidRPr="0013526B" w:rsidRDefault="005D64F0" w:rsidP="0013526B">
            <w:pPr>
              <w:ind w:right="-18"/>
              <w:jc w:val="right"/>
              <w:rPr>
                <w:sz w:val="18"/>
                <w:szCs w:val="18"/>
                <w:u w:val="single"/>
              </w:rPr>
            </w:pPr>
          </w:p>
        </w:tc>
        <w:tc>
          <w:tcPr>
            <w:tcW w:w="1336" w:type="dxa"/>
            <w:tcBorders>
              <w:top w:val="single" w:sz="4" w:space="0" w:color="auto"/>
            </w:tcBorders>
            <w:shd w:val="clear" w:color="auto" w:fill="auto"/>
            <w:vAlign w:val="bottom"/>
          </w:tcPr>
          <w:p w14:paraId="0FE490E2" w14:textId="77777777" w:rsidR="005D64F0" w:rsidRPr="0013526B" w:rsidRDefault="005D64F0" w:rsidP="0013526B">
            <w:pPr>
              <w:ind w:right="-18"/>
              <w:jc w:val="right"/>
              <w:rPr>
                <w:sz w:val="18"/>
                <w:szCs w:val="18"/>
                <w:u w:val="single"/>
              </w:rPr>
            </w:pPr>
          </w:p>
        </w:tc>
        <w:tc>
          <w:tcPr>
            <w:tcW w:w="1496" w:type="dxa"/>
            <w:shd w:val="clear" w:color="auto" w:fill="auto"/>
            <w:vAlign w:val="bottom"/>
          </w:tcPr>
          <w:p w14:paraId="4E96FA27" w14:textId="77777777" w:rsidR="005D64F0" w:rsidRPr="0013526B" w:rsidRDefault="005D64F0" w:rsidP="0013526B">
            <w:pPr>
              <w:jc w:val="right"/>
              <w:rPr>
                <w:i/>
                <w:sz w:val="18"/>
                <w:szCs w:val="18"/>
                <w:u w:val="single"/>
              </w:rPr>
            </w:pPr>
            <w:r w:rsidRPr="0013526B">
              <w:rPr>
                <w:i/>
                <w:sz w:val="18"/>
                <w:szCs w:val="18"/>
                <w:u w:val="single"/>
              </w:rPr>
              <w:t>Assets</w:t>
            </w:r>
          </w:p>
        </w:tc>
      </w:tr>
      <w:tr w:rsidR="00FC2851" w:rsidRPr="0013526B" w14:paraId="775A13F7" w14:textId="77777777" w:rsidTr="00FC2851">
        <w:trPr>
          <w:trHeight w:val="74"/>
        </w:trPr>
        <w:tc>
          <w:tcPr>
            <w:tcW w:w="1880" w:type="dxa"/>
            <w:shd w:val="clear" w:color="auto" w:fill="auto"/>
            <w:vAlign w:val="bottom"/>
          </w:tcPr>
          <w:p w14:paraId="6A799A36" w14:textId="77777777" w:rsidR="00FC2851" w:rsidRPr="0013526B" w:rsidRDefault="00FC2851" w:rsidP="00FC2851">
            <w:pPr>
              <w:ind w:left="459" w:hanging="141"/>
              <w:rPr>
                <w:sz w:val="18"/>
                <w:szCs w:val="18"/>
              </w:rPr>
            </w:pPr>
            <w:r w:rsidRPr="0013526B">
              <w:rPr>
                <w:sz w:val="18"/>
                <w:szCs w:val="18"/>
              </w:rPr>
              <w:t>Kas dan setara kas</w:t>
            </w:r>
          </w:p>
        </w:tc>
        <w:tc>
          <w:tcPr>
            <w:tcW w:w="1132" w:type="dxa"/>
            <w:tcBorders>
              <w:bottom w:val="single" w:sz="4" w:space="0" w:color="auto"/>
            </w:tcBorders>
            <w:shd w:val="clear" w:color="auto" w:fill="auto"/>
            <w:vAlign w:val="bottom"/>
          </w:tcPr>
          <w:p w14:paraId="561E05FF" w14:textId="5829D75E" w:rsidR="00FC2851" w:rsidRPr="00FF40BD" w:rsidRDefault="0034438D" w:rsidP="00FC2851">
            <w:pPr>
              <w:jc w:val="right"/>
              <w:rPr>
                <w:sz w:val="18"/>
                <w:szCs w:val="18"/>
              </w:rPr>
            </w:pPr>
            <w:r w:rsidRPr="00FF40BD">
              <w:rPr>
                <w:sz w:val="18"/>
                <w:szCs w:val="18"/>
              </w:rPr>
              <w:t>223.830</w:t>
            </w:r>
          </w:p>
        </w:tc>
        <w:tc>
          <w:tcPr>
            <w:tcW w:w="240" w:type="dxa"/>
            <w:shd w:val="clear" w:color="auto" w:fill="auto"/>
            <w:vAlign w:val="bottom"/>
          </w:tcPr>
          <w:p w14:paraId="58D8F58E" w14:textId="77777777" w:rsidR="00FC2851" w:rsidRPr="00FF40BD" w:rsidRDefault="00FC2851" w:rsidP="00FC2851">
            <w:pPr>
              <w:jc w:val="center"/>
              <w:rPr>
                <w:sz w:val="18"/>
                <w:szCs w:val="18"/>
              </w:rPr>
            </w:pPr>
          </w:p>
        </w:tc>
        <w:tc>
          <w:tcPr>
            <w:tcW w:w="1374" w:type="dxa"/>
            <w:tcBorders>
              <w:bottom w:val="single" w:sz="4" w:space="0" w:color="auto"/>
            </w:tcBorders>
            <w:shd w:val="clear" w:color="auto" w:fill="auto"/>
            <w:vAlign w:val="bottom"/>
          </w:tcPr>
          <w:p w14:paraId="16513456" w14:textId="3C8CDAD5" w:rsidR="00FC2851" w:rsidRPr="00FF40BD" w:rsidRDefault="00FC2851" w:rsidP="00FC2851">
            <w:pPr>
              <w:jc w:val="right"/>
              <w:rPr>
                <w:sz w:val="18"/>
                <w:szCs w:val="18"/>
              </w:rPr>
            </w:pPr>
            <w:r w:rsidRPr="00FF40BD">
              <w:rPr>
                <w:sz w:val="18"/>
                <w:szCs w:val="18"/>
              </w:rPr>
              <w:t>229.339</w:t>
            </w:r>
          </w:p>
        </w:tc>
        <w:tc>
          <w:tcPr>
            <w:tcW w:w="275" w:type="dxa"/>
            <w:shd w:val="clear" w:color="auto" w:fill="auto"/>
            <w:vAlign w:val="bottom"/>
          </w:tcPr>
          <w:p w14:paraId="4451825C" w14:textId="77777777" w:rsidR="00FC2851" w:rsidRPr="00FF40BD" w:rsidRDefault="00FC2851" w:rsidP="00FC2851">
            <w:pPr>
              <w:jc w:val="right"/>
              <w:rPr>
                <w:sz w:val="18"/>
                <w:szCs w:val="18"/>
              </w:rPr>
            </w:pPr>
          </w:p>
        </w:tc>
        <w:tc>
          <w:tcPr>
            <w:tcW w:w="1323" w:type="dxa"/>
            <w:shd w:val="clear" w:color="auto" w:fill="auto"/>
            <w:vAlign w:val="bottom"/>
          </w:tcPr>
          <w:p w14:paraId="0602E954" w14:textId="5C65D0FF" w:rsidR="00FC2851" w:rsidRPr="00FF40BD" w:rsidRDefault="00D24185" w:rsidP="00FC2851">
            <w:pPr>
              <w:ind w:right="-18"/>
              <w:jc w:val="right"/>
              <w:rPr>
                <w:sz w:val="18"/>
                <w:szCs w:val="18"/>
              </w:rPr>
            </w:pPr>
            <w:r w:rsidRPr="00FF40BD">
              <w:rPr>
                <w:sz w:val="18"/>
                <w:szCs w:val="18"/>
              </w:rPr>
              <w:t>3.663.438.454</w:t>
            </w:r>
          </w:p>
        </w:tc>
        <w:tc>
          <w:tcPr>
            <w:tcW w:w="275" w:type="dxa"/>
            <w:shd w:val="clear" w:color="auto" w:fill="auto"/>
            <w:vAlign w:val="bottom"/>
          </w:tcPr>
          <w:p w14:paraId="38BDF031" w14:textId="77777777" w:rsidR="00FC2851" w:rsidRPr="0013526B" w:rsidRDefault="00FC2851" w:rsidP="00FC2851">
            <w:pPr>
              <w:ind w:right="-18"/>
              <w:jc w:val="right"/>
              <w:rPr>
                <w:sz w:val="18"/>
                <w:szCs w:val="18"/>
              </w:rPr>
            </w:pPr>
          </w:p>
        </w:tc>
        <w:tc>
          <w:tcPr>
            <w:tcW w:w="1336" w:type="dxa"/>
            <w:shd w:val="clear" w:color="auto" w:fill="auto"/>
            <w:vAlign w:val="bottom"/>
          </w:tcPr>
          <w:p w14:paraId="69B455E0" w14:textId="4371F109" w:rsidR="00FC2851" w:rsidRPr="0013526B" w:rsidRDefault="00FC2851" w:rsidP="00FC2851">
            <w:pPr>
              <w:ind w:right="-18"/>
              <w:jc w:val="right"/>
              <w:rPr>
                <w:sz w:val="18"/>
                <w:szCs w:val="18"/>
              </w:rPr>
            </w:pPr>
            <w:r>
              <w:rPr>
                <w:sz w:val="18"/>
                <w:szCs w:val="18"/>
              </w:rPr>
              <w:t>3.188.035.184</w:t>
            </w:r>
          </w:p>
        </w:tc>
        <w:tc>
          <w:tcPr>
            <w:tcW w:w="1496" w:type="dxa"/>
            <w:shd w:val="clear" w:color="auto" w:fill="auto"/>
            <w:vAlign w:val="bottom"/>
          </w:tcPr>
          <w:p w14:paraId="464F568E" w14:textId="77777777" w:rsidR="00FC2851" w:rsidRPr="0013526B" w:rsidRDefault="00FC2851" w:rsidP="00FC2851">
            <w:pPr>
              <w:jc w:val="right"/>
              <w:rPr>
                <w:i/>
                <w:sz w:val="18"/>
                <w:szCs w:val="18"/>
              </w:rPr>
            </w:pPr>
            <w:r w:rsidRPr="0013526B">
              <w:rPr>
                <w:i/>
                <w:sz w:val="18"/>
                <w:szCs w:val="18"/>
              </w:rPr>
              <w:t>Cash and cash</w:t>
            </w:r>
          </w:p>
          <w:p w14:paraId="6CB859CE" w14:textId="77777777" w:rsidR="00FC2851" w:rsidRPr="0013526B" w:rsidRDefault="00FC2851" w:rsidP="00FC2851">
            <w:pPr>
              <w:ind w:right="96"/>
              <w:jc w:val="right"/>
              <w:rPr>
                <w:i/>
                <w:sz w:val="18"/>
                <w:szCs w:val="18"/>
              </w:rPr>
            </w:pPr>
            <w:r w:rsidRPr="0013526B">
              <w:rPr>
                <w:i/>
                <w:sz w:val="18"/>
                <w:szCs w:val="18"/>
              </w:rPr>
              <w:t>Equivalents</w:t>
            </w:r>
          </w:p>
        </w:tc>
      </w:tr>
      <w:tr w:rsidR="00FC2851" w:rsidRPr="000B72DF" w14:paraId="4A7E021B" w14:textId="77777777" w:rsidTr="00FC2851">
        <w:tc>
          <w:tcPr>
            <w:tcW w:w="1880" w:type="dxa"/>
            <w:shd w:val="clear" w:color="auto" w:fill="auto"/>
            <w:vAlign w:val="bottom"/>
          </w:tcPr>
          <w:p w14:paraId="142C4F2F" w14:textId="77777777" w:rsidR="00FC2851" w:rsidRPr="000B72DF" w:rsidRDefault="00FC2851" w:rsidP="00FC2851">
            <w:pPr>
              <w:ind w:left="459" w:hanging="141"/>
              <w:rPr>
                <w:sz w:val="8"/>
                <w:szCs w:val="18"/>
              </w:rPr>
            </w:pPr>
          </w:p>
        </w:tc>
        <w:tc>
          <w:tcPr>
            <w:tcW w:w="1132" w:type="dxa"/>
            <w:tcBorders>
              <w:top w:val="single" w:sz="4" w:space="0" w:color="auto"/>
            </w:tcBorders>
            <w:shd w:val="clear" w:color="auto" w:fill="auto"/>
            <w:vAlign w:val="bottom"/>
          </w:tcPr>
          <w:p w14:paraId="02E67D8B" w14:textId="77777777" w:rsidR="00FC2851" w:rsidRPr="00FF40BD" w:rsidRDefault="00FC2851" w:rsidP="00FC2851">
            <w:pPr>
              <w:jc w:val="right"/>
              <w:rPr>
                <w:sz w:val="8"/>
                <w:szCs w:val="18"/>
              </w:rPr>
            </w:pPr>
          </w:p>
        </w:tc>
        <w:tc>
          <w:tcPr>
            <w:tcW w:w="240" w:type="dxa"/>
            <w:shd w:val="clear" w:color="auto" w:fill="auto"/>
            <w:vAlign w:val="bottom"/>
          </w:tcPr>
          <w:p w14:paraId="5F6AEB33" w14:textId="77777777" w:rsidR="00FC2851" w:rsidRPr="00FF40BD" w:rsidRDefault="00FC2851" w:rsidP="00FC2851">
            <w:pPr>
              <w:jc w:val="center"/>
              <w:rPr>
                <w:sz w:val="8"/>
                <w:szCs w:val="18"/>
              </w:rPr>
            </w:pPr>
          </w:p>
        </w:tc>
        <w:tc>
          <w:tcPr>
            <w:tcW w:w="1374" w:type="dxa"/>
            <w:tcBorders>
              <w:top w:val="single" w:sz="4" w:space="0" w:color="auto"/>
            </w:tcBorders>
            <w:shd w:val="clear" w:color="auto" w:fill="auto"/>
            <w:vAlign w:val="bottom"/>
          </w:tcPr>
          <w:p w14:paraId="23CDFC17" w14:textId="77777777" w:rsidR="00FC2851" w:rsidRPr="00FF40BD" w:rsidRDefault="00FC2851" w:rsidP="00FC2851">
            <w:pPr>
              <w:jc w:val="right"/>
              <w:rPr>
                <w:sz w:val="8"/>
                <w:szCs w:val="18"/>
              </w:rPr>
            </w:pPr>
          </w:p>
        </w:tc>
        <w:tc>
          <w:tcPr>
            <w:tcW w:w="275" w:type="dxa"/>
            <w:tcBorders>
              <w:left w:val="nil"/>
            </w:tcBorders>
            <w:shd w:val="clear" w:color="auto" w:fill="auto"/>
            <w:vAlign w:val="bottom"/>
          </w:tcPr>
          <w:p w14:paraId="304CD2CD" w14:textId="77777777" w:rsidR="00FC2851" w:rsidRPr="00FF40BD" w:rsidRDefault="00FC2851" w:rsidP="00FC2851">
            <w:pPr>
              <w:jc w:val="right"/>
              <w:rPr>
                <w:sz w:val="8"/>
                <w:szCs w:val="18"/>
              </w:rPr>
            </w:pPr>
          </w:p>
        </w:tc>
        <w:tc>
          <w:tcPr>
            <w:tcW w:w="1323" w:type="dxa"/>
            <w:tcBorders>
              <w:top w:val="single" w:sz="4" w:space="0" w:color="auto"/>
            </w:tcBorders>
            <w:shd w:val="clear" w:color="auto" w:fill="auto"/>
            <w:vAlign w:val="bottom"/>
          </w:tcPr>
          <w:p w14:paraId="0E3FD127" w14:textId="77777777" w:rsidR="00FC2851" w:rsidRPr="00FF40BD" w:rsidRDefault="00FC2851" w:rsidP="00FC2851">
            <w:pPr>
              <w:ind w:right="-18"/>
              <w:jc w:val="right"/>
              <w:rPr>
                <w:sz w:val="8"/>
                <w:szCs w:val="18"/>
              </w:rPr>
            </w:pPr>
          </w:p>
        </w:tc>
        <w:tc>
          <w:tcPr>
            <w:tcW w:w="275" w:type="dxa"/>
            <w:shd w:val="clear" w:color="auto" w:fill="auto"/>
            <w:vAlign w:val="bottom"/>
          </w:tcPr>
          <w:p w14:paraId="41476E01" w14:textId="77777777" w:rsidR="00FC2851" w:rsidRPr="000B72DF" w:rsidRDefault="00FC2851" w:rsidP="00FC2851">
            <w:pPr>
              <w:ind w:right="-18"/>
              <w:jc w:val="right"/>
              <w:rPr>
                <w:sz w:val="8"/>
                <w:szCs w:val="18"/>
              </w:rPr>
            </w:pPr>
          </w:p>
        </w:tc>
        <w:tc>
          <w:tcPr>
            <w:tcW w:w="1336" w:type="dxa"/>
            <w:tcBorders>
              <w:top w:val="single" w:sz="4" w:space="0" w:color="auto"/>
            </w:tcBorders>
            <w:shd w:val="clear" w:color="auto" w:fill="auto"/>
            <w:vAlign w:val="bottom"/>
          </w:tcPr>
          <w:p w14:paraId="6C53F5FA" w14:textId="77777777" w:rsidR="00FC2851" w:rsidRPr="000B72DF" w:rsidRDefault="00FC2851" w:rsidP="00FC2851">
            <w:pPr>
              <w:ind w:right="-18"/>
              <w:jc w:val="right"/>
              <w:rPr>
                <w:sz w:val="8"/>
                <w:szCs w:val="18"/>
              </w:rPr>
            </w:pPr>
          </w:p>
        </w:tc>
        <w:tc>
          <w:tcPr>
            <w:tcW w:w="1496" w:type="dxa"/>
            <w:shd w:val="clear" w:color="auto" w:fill="auto"/>
            <w:vAlign w:val="bottom"/>
          </w:tcPr>
          <w:p w14:paraId="6C105AF3" w14:textId="77777777" w:rsidR="00FC2851" w:rsidRPr="000B72DF" w:rsidRDefault="00FC2851" w:rsidP="00FC2851">
            <w:pPr>
              <w:jc w:val="right"/>
              <w:rPr>
                <w:i/>
                <w:sz w:val="8"/>
                <w:szCs w:val="18"/>
              </w:rPr>
            </w:pPr>
          </w:p>
        </w:tc>
      </w:tr>
      <w:tr w:rsidR="00FC2851" w:rsidRPr="0013526B" w14:paraId="03F31472" w14:textId="77777777" w:rsidTr="00FC2851">
        <w:trPr>
          <w:trHeight w:val="74"/>
        </w:trPr>
        <w:tc>
          <w:tcPr>
            <w:tcW w:w="1880" w:type="dxa"/>
            <w:shd w:val="clear" w:color="auto" w:fill="auto"/>
            <w:vAlign w:val="bottom"/>
          </w:tcPr>
          <w:p w14:paraId="3775AA82" w14:textId="77777777" w:rsidR="00FC2851" w:rsidRPr="0013526B" w:rsidRDefault="00FC2851" w:rsidP="00FC2851">
            <w:pPr>
              <w:ind w:left="459" w:hanging="141"/>
              <w:rPr>
                <w:sz w:val="18"/>
                <w:szCs w:val="18"/>
                <w:u w:val="single"/>
              </w:rPr>
            </w:pPr>
            <w:r w:rsidRPr="0013526B">
              <w:rPr>
                <w:sz w:val="18"/>
                <w:szCs w:val="18"/>
                <w:u w:val="single"/>
              </w:rPr>
              <w:t>Liabilitas</w:t>
            </w:r>
          </w:p>
        </w:tc>
        <w:tc>
          <w:tcPr>
            <w:tcW w:w="1132" w:type="dxa"/>
            <w:shd w:val="clear" w:color="auto" w:fill="auto"/>
            <w:vAlign w:val="bottom"/>
          </w:tcPr>
          <w:p w14:paraId="381B0934" w14:textId="77777777" w:rsidR="00FC2851" w:rsidRPr="00FF40BD" w:rsidRDefault="00FC2851" w:rsidP="00FC2851">
            <w:pPr>
              <w:jc w:val="right"/>
              <w:rPr>
                <w:sz w:val="18"/>
                <w:szCs w:val="18"/>
              </w:rPr>
            </w:pPr>
          </w:p>
        </w:tc>
        <w:tc>
          <w:tcPr>
            <w:tcW w:w="240" w:type="dxa"/>
            <w:shd w:val="clear" w:color="auto" w:fill="auto"/>
            <w:vAlign w:val="bottom"/>
          </w:tcPr>
          <w:p w14:paraId="003CF0C7" w14:textId="77777777" w:rsidR="00FC2851" w:rsidRPr="00FF40BD" w:rsidRDefault="00FC2851" w:rsidP="00FC2851">
            <w:pPr>
              <w:jc w:val="center"/>
              <w:rPr>
                <w:sz w:val="18"/>
                <w:szCs w:val="18"/>
              </w:rPr>
            </w:pPr>
          </w:p>
        </w:tc>
        <w:tc>
          <w:tcPr>
            <w:tcW w:w="1374" w:type="dxa"/>
            <w:shd w:val="clear" w:color="auto" w:fill="auto"/>
            <w:vAlign w:val="bottom"/>
          </w:tcPr>
          <w:p w14:paraId="3CEDB073" w14:textId="77777777" w:rsidR="00FC2851" w:rsidRPr="00FF40BD" w:rsidRDefault="00FC2851" w:rsidP="00FC2851">
            <w:pPr>
              <w:jc w:val="right"/>
              <w:rPr>
                <w:sz w:val="18"/>
                <w:szCs w:val="18"/>
              </w:rPr>
            </w:pPr>
          </w:p>
        </w:tc>
        <w:tc>
          <w:tcPr>
            <w:tcW w:w="275" w:type="dxa"/>
            <w:shd w:val="clear" w:color="auto" w:fill="auto"/>
            <w:vAlign w:val="bottom"/>
          </w:tcPr>
          <w:p w14:paraId="0597016D" w14:textId="77777777" w:rsidR="00FC2851" w:rsidRPr="00FF40BD" w:rsidRDefault="00FC2851" w:rsidP="00FC2851">
            <w:pPr>
              <w:jc w:val="right"/>
              <w:rPr>
                <w:sz w:val="18"/>
                <w:szCs w:val="18"/>
              </w:rPr>
            </w:pPr>
          </w:p>
        </w:tc>
        <w:tc>
          <w:tcPr>
            <w:tcW w:w="1323" w:type="dxa"/>
            <w:shd w:val="clear" w:color="auto" w:fill="auto"/>
            <w:vAlign w:val="bottom"/>
          </w:tcPr>
          <w:p w14:paraId="0D1E65B4" w14:textId="77777777" w:rsidR="00FC2851" w:rsidRPr="00FF40BD" w:rsidRDefault="00FC2851" w:rsidP="00FC2851">
            <w:pPr>
              <w:ind w:right="-18"/>
              <w:jc w:val="right"/>
              <w:rPr>
                <w:sz w:val="18"/>
                <w:szCs w:val="18"/>
              </w:rPr>
            </w:pPr>
          </w:p>
        </w:tc>
        <w:tc>
          <w:tcPr>
            <w:tcW w:w="275" w:type="dxa"/>
            <w:shd w:val="clear" w:color="auto" w:fill="auto"/>
            <w:vAlign w:val="bottom"/>
          </w:tcPr>
          <w:p w14:paraId="62305938" w14:textId="77777777" w:rsidR="00FC2851" w:rsidRPr="0013526B" w:rsidRDefault="00FC2851" w:rsidP="00FC2851">
            <w:pPr>
              <w:ind w:right="-18"/>
              <w:jc w:val="right"/>
              <w:rPr>
                <w:sz w:val="18"/>
                <w:szCs w:val="18"/>
              </w:rPr>
            </w:pPr>
          </w:p>
        </w:tc>
        <w:tc>
          <w:tcPr>
            <w:tcW w:w="1336" w:type="dxa"/>
            <w:shd w:val="clear" w:color="auto" w:fill="auto"/>
            <w:vAlign w:val="bottom"/>
          </w:tcPr>
          <w:p w14:paraId="73DBA756" w14:textId="77777777" w:rsidR="00FC2851" w:rsidRPr="0013526B" w:rsidRDefault="00FC2851" w:rsidP="00FC2851">
            <w:pPr>
              <w:ind w:right="-18"/>
              <w:jc w:val="right"/>
              <w:rPr>
                <w:sz w:val="18"/>
                <w:szCs w:val="18"/>
              </w:rPr>
            </w:pPr>
          </w:p>
        </w:tc>
        <w:tc>
          <w:tcPr>
            <w:tcW w:w="1496" w:type="dxa"/>
            <w:shd w:val="clear" w:color="auto" w:fill="auto"/>
            <w:vAlign w:val="bottom"/>
          </w:tcPr>
          <w:p w14:paraId="4CAF80F5" w14:textId="77777777" w:rsidR="00FC2851" w:rsidRPr="0013526B" w:rsidRDefault="00FC2851" w:rsidP="00FC2851">
            <w:pPr>
              <w:jc w:val="right"/>
              <w:rPr>
                <w:i/>
                <w:sz w:val="18"/>
                <w:szCs w:val="18"/>
                <w:u w:val="single"/>
              </w:rPr>
            </w:pPr>
            <w:r w:rsidRPr="0013526B">
              <w:rPr>
                <w:i/>
                <w:sz w:val="18"/>
                <w:szCs w:val="18"/>
                <w:u w:val="single"/>
              </w:rPr>
              <w:t>Liabilities</w:t>
            </w:r>
          </w:p>
        </w:tc>
      </w:tr>
      <w:tr w:rsidR="00FC2851" w:rsidRPr="0013526B" w14:paraId="40C115CD" w14:textId="77777777" w:rsidTr="00FC2851">
        <w:trPr>
          <w:trHeight w:val="74"/>
        </w:trPr>
        <w:tc>
          <w:tcPr>
            <w:tcW w:w="1880" w:type="dxa"/>
            <w:shd w:val="clear" w:color="auto" w:fill="auto"/>
            <w:vAlign w:val="bottom"/>
          </w:tcPr>
          <w:p w14:paraId="1F63F9EF" w14:textId="1560B558" w:rsidR="00FC2851" w:rsidRPr="0013526B" w:rsidRDefault="00FC2851" w:rsidP="00FC2851">
            <w:pPr>
              <w:ind w:left="459" w:hanging="141"/>
              <w:rPr>
                <w:sz w:val="18"/>
                <w:szCs w:val="18"/>
              </w:rPr>
            </w:pPr>
            <w:r>
              <w:rPr>
                <w:sz w:val="18"/>
                <w:szCs w:val="18"/>
              </w:rPr>
              <w:t>Biaya yang masih harus dibayar</w:t>
            </w:r>
          </w:p>
        </w:tc>
        <w:tc>
          <w:tcPr>
            <w:tcW w:w="1132" w:type="dxa"/>
            <w:tcBorders>
              <w:bottom w:val="single" w:sz="4" w:space="0" w:color="auto"/>
            </w:tcBorders>
            <w:shd w:val="clear" w:color="auto" w:fill="auto"/>
            <w:vAlign w:val="bottom"/>
          </w:tcPr>
          <w:p w14:paraId="59781938" w14:textId="1DD4A82D" w:rsidR="00FC2851" w:rsidRPr="00FF40BD" w:rsidRDefault="00FC2851" w:rsidP="00FC2851">
            <w:pPr>
              <w:jc w:val="right"/>
              <w:rPr>
                <w:sz w:val="18"/>
                <w:szCs w:val="18"/>
              </w:rPr>
            </w:pPr>
          </w:p>
        </w:tc>
        <w:tc>
          <w:tcPr>
            <w:tcW w:w="240" w:type="dxa"/>
            <w:shd w:val="clear" w:color="auto" w:fill="auto"/>
            <w:vAlign w:val="bottom"/>
          </w:tcPr>
          <w:p w14:paraId="6F6C598D" w14:textId="77777777" w:rsidR="00FC2851" w:rsidRPr="00FF40BD" w:rsidRDefault="00FC2851" w:rsidP="00FC2851">
            <w:pPr>
              <w:jc w:val="center"/>
              <w:rPr>
                <w:sz w:val="18"/>
                <w:szCs w:val="18"/>
              </w:rPr>
            </w:pPr>
          </w:p>
        </w:tc>
        <w:tc>
          <w:tcPr>
            <w:tcW w:w="1374" w:type="dxa"/>
            <w:tcBorders>
              <w:bottom w:val="single" w:sz="4" w:space="0" w:color="auto"/>
            </w:tcBorders>
            <w:shd w:val="clear" w:color="auto" w:fill="auto"/>
            <w:vAlign w:val="bottom"/>
          </w:tcPr>
          <w:p w14:paraId="2AB458C1" w14:textId="4DAFAA8C" w:rsidR="00FC2851" w:rsidRPr="00FF40BD" w:rsidRDefault="00FC2851" w:rsidP="00FC2851">
            <w:pPr>
              <w:jc w:val="right"/>
              <w:rPr>
                <w:sz w:val="18"/>
                <w:szCs w:val="18"/>
              </w:rPr>
            </w:pPr>
            <w:r w:rsidRPr="00FF40BD">
              <w:rPr>
                <w:sz w:val="18"/>
                <w:szCs w:val="18"/>
              </w:rPr>
              <w:t>-</w:t>
            </w:r>
          </w:p>
        </w:tc>
        <w:tc>
          <w:tcPr>
            <w:tcW w:w="275" w:type="dxa"/>
            <w:shd w:val="clear" w:color="auto" w:fill="auto"/>
            <w:vAlign w:val="bottom"/>
          </w:tcPr>
          <w:p w14:paraId="63BDB88E" w14:textId="77777777" w:rsidR="00FC2851" w:rsidRPr="00FF40BD" w:rsidRDefault="00FC2851" w:rsidP="00FC2851">
            <w:pPr>
              <w:jc w:val="right"/>
              <w:rPr>
                <w:sz w:val="18"/>
                <w:szCs w:val="18"/>
              </w:rPr>
            </w:pPr>
          </w:p>
        </w:tc>
        <w:tc>
          <w:tcPr>
            <w:tcW w:w="1323" w:type="dxa"/>
            <w:tcBorders>
              <w:bottom w:val="single" w:sz="4" w:space="0" w:color="auto"/>
            </w:tcBorders>
            <w:shd w:val="clear" w:color="auto" w:fill="auto"/>
            <w:vAlign w:val="bottom"/>
          </w:tcPr>
          <w:p w14:paraId="005E14A1" w14:textId="31BB7C8A" w:rsidR="00FC2851" w:rsidRPr="00FF40BD" w:rsidRDefault="00FC2851" w:rsidP="00FC2851">
            <w:pPr>
              <w:ind w:right="-18"/>
              <w:jc w:val="right"/>
              <w:rPr>
                <w:sz w:val="18"/>
                <w:szCs w:val="18"/>
              </w:rPr>
            </w:pPr>
          </w:p>
        </w:tc>
        <w:tc>
          <w:tcPr>
            <w:tcW w:w="275" w:type="dxa"/>
            <w:shd w:val="clear" w:color="auto" w:fill="auto"/>
            <w:vAlign w:val="bottom"/>
          </w:tcPr>
          <w:p w14:paraId="344A0D53" w14:textId="77777777" w:rsidR="00FC2851" w:rsidRPr="0013526B" w:rsidRDefault="00FC2851" w:rsidP="00FC2851">
            <w:pPr>
              <w:ind w:right="-18"/>
              <w:jc w:val="right"/>
              <w:rPr>
                <w:sz w:val="18"/>
                <w:szCs w:val="18"/>
              </w:rPr>
            </w:pPr>
          </w:p>
        </w:tc>
        <w:tc>
          <w:tcPr>
            <w:tcW w:w="1336" w:type="dxa"/>
            <w:tcBorders>
              <w:bottom w:val="single" w:sz="4" w:space="0" w:color="auto"/>
            </w:tcBorders>
            <w:shd w:val="clear" w:color="auto" w:fill="auto"/>
            <w:vAlign w:val="bottom"/>
          </w:tcPr>
          <w:p w14:paraId="17EE02C5" w14:textId="6F5F4A9F" w:rsidR="00FC2851" w:rsidRPr="0013526B" w:rsidRDefault="00FC2851" w:rsidP="00FC2851">
            <w:pPr>
              <w:ind w:right="-18"/>
              <w:jc w:val="right"/>
              <w:rPr>
                <w:sz w:val="18"/>
                <w:szCs w:val="18"/>
              </w:rPr>
            </w:pPr>
            <w:r>
              <w:rPr>
                <w:sz w:val="18"/>
                <w:szCs w:val="18"/>
              </w:rPr>
              <w:t>-</w:t>
            </w:r>
          </w:p>
        </w:tc>
        <w:tc>
          <w:tcPr>
            <w:tcW w:w="1496" w:type="dxa"/>
            <w:shd w:val="clear" w:color="auto" w:fill="auto"/>
            <w:vAlign w:val="bottom"/>
          </w:tcPr>
          <w:p w14:paraId="20ED0AB9" w14:textId="5C82B3AC" w:rsidR="00FC2851" w:rsidRPr="0013526B" w:rsidRDefault="00FC2851" w:rsidP="00FC2851">
            <w:pPr>
              <w:jc w:val="right"/>
              <w:rPr>
                <w:i/>
                <w:sz w:val="18"/>
                <w:szCs w:val="18"/>
              </w:rPr>
            </w:pPr>
            <w:r>
              <w:rPr>
                <w:i/>
                <w:sz w:val="18"/>
                <w:szCs w:val="18"/>
              </w:rPr>
              <w:t>Accrued expense</w:t>
            </w:r>
          </w:p>
        </w:tc>
      </w:tr>
      <w:tr w:rsidR="00FC2851" w:rsidRPr="000B72DF" w14:paraId="173CB4CB" w14:textId="77777777" w:rsidTr="00FC2851">
        <w:trPr>
          <w:trHeight w:val="74"/>
        </w:trPr>
        <w:tc>
          <w:tcPr>
            <w:tcW w:w="1880" w:type="dxa"/>
            <w:shd w:val="clear" w:color="auto" w:fill="auto"/>
            <w:vAlign w:val="bottom"/>
          </w:tcPr>
          <w:p w14:paraId="4A6E34F6" w14:textId="77777777" w:rsidR="00FC2851" w:rsidRPr="000B72DF" w:rsidRDefault="00FC2851" w:rsidP="00FC2851">
            <w:pPr>
              <w:ind w:left="459" w:hanging="141"/>
              <w:rPr>
                <w:sz w:val="8"/>
                <w:szCs w:val="18"/>
              </w:rPr>
            </w:pPr>
          </w:p>
        </w:tc>
        <w:tc>
          <w:tcPr>
            <w:tcW w:w="1132" w:type="dxa"/>
            <w:tcBorders>
              <w:top w:val="single" w:sz="4" w:space="0" w:color="auto"/>
            </w:tcBorders>
            <w:shd w:val="clear" w:color="auto" w:fill="auto"/>
            <w:vAlign w:val="bottom"/>
          </w:tcPr>
          <w:p w14:paraId="00F292E5" w14:textId="77777777" w:rsidR="00FC2851" w:rsidRPr="00FF40BD" w:rsidRDefault="00FC2851" w:rsidP="00FC2851">
            <w:pPr>
              <w:jc w:val="right"/>
              <w:rPr>
                <w:sz w:val="8"/>
                <w:szCs w:val="18"/>
              </w:rPr>
            </w:pPr>
          </w:p>
        </w:tc>
        <w:tc>
          <w:tcPr>
            <w:tcW w:w="240" w:type="dxa"/>
            <w:shd w:val="clear" w:color="auto" w:fill="auto"/>
            <w:vAlign w:val="bottom"/>
          </w:tcPr>
          <w:p w14:paraId="74FA0047" w14:textId="77777777" w:rsidR="00FC2851" w:rsidRPr="00FF40BD" w:rsidRDefault="00FC2851" w:rsidP="00FC2851">
            <w:pPr>
              <w:jc w:val="center"/>
              <w:rPr>
                <w:sz w:val="8"/>
                <w:szCs w:val="18"/>
              </w:rPr>
            </w:pPr>
          </w:p>
        </w:tc>
        <w:tc>
          <w:tcPr>
            <w:tcW w:w="1374" w:type="dxa"/>
            <w:tcBorders>
              <w:top w:val="single" w:sz="4" w:space="0" w:color="auto"/>
            </w:tcBorders>
            <w:shd w:val="clear" w:color="auto" w:fill="auto"/>
            <w:vAlign w:val="bottom"/>
          </w:tcPr>
          <w:p w14:paraId="35E9A0A0" w14:textId="77777777" w:rsidR="00FC2851" w:rsidRPr="00FF40BD" w:rsidRDefault="00FC2851" w:rsidP="00FC2851">
            <w:pPr>
              <w:jc w:val="right"/>
              <w:rPr>
                <w:sz w:val="8"/>
                <w:szCs w:val="18"/>
              </w:rPr>
            </w:pPr>
          </w:p>
        </w:tc>
        <w:tc>
          <w:tcPr>
            <w:tcW w:w="275" w:type="dxa"/>
            <w:shd w:val="clear" w:color="auto" w:fill="auto"/>
            <w:vAlign w:val="bottom"/>
          </w:tcPr>
          <w:p w14:paraId="5EC3F0AA" w14:textId="77777777" w:rsidR="00FC2851" w:rsidRPr="00FF40BD" w:rsidRDefault="00FC2851" w:rsidP="00FC2851">
            <w:pPr>
              <w:jc w:val="right"/>
              <w:rPr>
                <w:sz w:val="8"/>
                <w:szCs w:val="18"/>
              </w:rPr>
            </w:pPr>
          </w:p>
        </w:tc>
        <w:tc>
          <w:tcPr>
            <w:tcW w:w="1323" w:type="dxa"/>
            <w:tcBorders>
              <w:top w:val="single" w:sz="4" w:space="0" w:color="auto"/>
            </w:tcBorders>
            <w:shd w:val="clear" w:color="auto" w:fill="auto"/>
            <w:vAlign w:val="bottom"/>
          </w:tcPr>
          <w:p w14:paraId="1DF4A218" w14:textId="77777777" w:rsidR="00FC2851" w:rsidRPr="00FF40BD" w:rsidRDefault="00FC2851" w:rsidP="00FC2851">
            <w:pPr>
              <w:ind w:right="-18"/>
              <w:jc w:val="right"/>
              <w:rPr>
                <w:sz w:val="8"/>
                <w:szCs w:val="18"/>
              </w:rPr>
            </w:pPr>
          </w:p>
        </w:tc>
        <w:tc>
          <w:tcPr>
            <w:tcW w:w="275" w:type="dxa"/>
            <w:shd w:val="clear" w:color="auto" w:fill="auto"/>
            <w:vAlign w:val="bottom"/>
          </w:tcPr>
          <w:p w14:paraId="4CFB419E" w14:textId="77777777" w:rsidR="00FC2851" w:rsidRPr="000B72DF" w:rsidRDefault="00FC2851" w:rsidP="00FC2851">
            <w:pPr>
              <w:ind w:right="-18"/>
              <w:jc w:val="right"/>
              <w:rPr>
                <w:sz w:val="8"/>
                <w:szCs w:val="18"/>
              </w:rPr>
            </w:pPr>
          </w:p>
        </w:tc>
        <w:tc>
          <w:tcPr>
            <w:tcW w:w="1336" w:type="dxa"/>
            <w:tcBorders>
              <w:top w:val="single" w:sz="4" w:space="0" w:color="auto"/>
            </w:tcBorders>
            <w:shd w:val="clear" w:color="auto" w:fill="auto"/>
            <w:vAlign w:val="bottom"/>
          </w:tcPr>
          <w:p w14:paraId="5E112E80" w14:textId="77777777" w:rsidR="00FC2851" w:rsidRPr="000B72DF" w:rsidRDefault="00FC2851" w:rsidP="00FC2851">
            <w:pPr>
              <w:ind w:right="-18"/>
              <w:jc w:val="right"/>
              <w:rPr>
                <w:sz w:val="8"/>
                <w:szCs w:val="18"/>
              </w:rPr>
            </w:pPr>
          </w:p>
        </w:tc>
        <w:tc>
          <w:tcPr>
            <w:tcW w:w="1496" w:type="dxa"/>
            <w:shd w:val="clear" w:color="auto" w:fill="auto"/>
            <w:vAlign w:val="bottom"/>
          </w:tcPr>
          <w:p w14:paraId="5431D81D" w14:textId="77777777" w:rsidR="00FC2851" w:rsidRPr="000B72DF" w:rsidRDefault="00FC2851" w:rsidP="00FC2851">
            <w:pPr>
              <w:jc w:val="right"/>
              <w:rPr>
                <w:i/>
                <w:sz w:val="8"/>
                <w:szCs w:val="18"/>
              </w:rPr>
            </w:pPr>
          </w:p>
        </w:tc>
      </w:tr>
      <w:tr w:rsidR="00FC2851" w:rsidRPr="0038363F" w14:paraId="64AA5C9B" w14:textId="77777777" w:rsidTr="00FC2851">
        <w:trPr>
          <w:trHeight w:val="64"/>
        </w:trPr>
        <w:tc>
          <w:tcPr>
            <w:tcW w:w="1880" w:type="dxa"/>
            <w:shd w:val="clear" w:color="auto" w:fill="auto"/>
            <w:vAlign w:val="bottom"/>
          </w:tcPr>
          <w:p w14:paraId="49617E71" w14:textId="47A89262" w:rsidR="00FC2851" w:rsidRPr="0038363F" w:rsidRDefault="00FC2851" w:rsidP="00FC2851">
            <w:pPr>
              <w:ind w:left="459" w:right="-16" w:hanging="141"/>
              <w:rPr>
                <w:b/>
                <w:sz w:val="18"/>
                <w:szCs w:val="18"/>
              </w:rPr>
            </w:pPr>
            <w:r w:rsidRPr="0038363F">
              <w:rPr>
                <w:b/>
                <w:sz w:val="18"/>
                <w:szCs w:val="18"/>
              </w:rPr>
              <w:t xml:space="preserve">Aset liabilitas </w:t>
            </w:r>
            <w:r w:rsidRPr="0038363F">
              <w:rPr>
                <w:b/>
                <w:sz w:val="18"/>
                <w:szCs w:val="18"/>
                <w:lang w:val="id-ID"/>
              </w:rPr>
              <w:t>-</w:t>
            </w:r>
            <w:r w:rsidRPr="0038363F">
              <w:rPr>
                <w:b/>
                <w:sz w:val="18"/>
                <w:szCs w:val="18"/>
              </w:rPr>
              <w:t xml:space="preserve"> bersih</w:t>
            </w:r>
          </w:p>
        </w:tc>
        <w:tc>
          <w:tcPr>
            <w:tcW w:w="1132" w:type="dxa"/>
            <w:tcBorders>
              <w:bottom w:val="double" w:sz="4" w:space="0" w:color="auto"/>
            </w:tcBorders>
            <w:shd w:val="clear" w:color="auto" w:fill="auto"/>
            <w:vAlign w:val="bottom"/>
          </w:tcPr>
          <w:p w14:paraId="3C3C9662" w14:textId="315570B1" w:rsidR="00FC2851" w:rsidRPr="00FF40BD" w:rsidRDefault="0034438D" w:rsidP="00FC2851">
            <w:pPr>
              <w:jc w:val="right"/>
              <w:rPr>
                <w:b/>
                <w:sz w:val="18"/>
                <w:szCs w:val="18"/>
              </w:rPr>
            </w:pPr>
            <w:r w:rsidRPr="00FF40BD">
              <w:rPr>
                <w:sz w:val="18"/>
                <w:szCs w:val="18"/>
              </w:rPr>
              <w:t>223.830</w:t>
            </w:r>
          </w:p>
        </w:tc>
        <w:tc>
          <w:tcPr>
            <w:tcW w:w="240" w:type="dxa"/>
            <w:shd w:val="clear" w:color="auto" w:fill="auto"/>
            <w:vAlign w:val="bottom"/>
          </w:tcPr>
          <w:p w14:paraId="7B620590" w14:textId="77777777" w:rsidR="00FC2851" w:rsidRPr="00FF40BD" w:rsidRDefault="00FC2851" w:rsidP="00FC2851">
            <w:pPr>
              <w:jc w:val="center"/>
              <w:rPr>
                <w:b/>
                <w:sz w:val="18"/>
                <w:szCs w:val="18"/>
              </w:rPr>
            </w:pPr>
          </w:p>
        </w:tc>
        <w:tc>
          <w:tcPr>
            <w:tcW w:w="1374" w:type="dxa"/>
            <w:tcBorders>
              <w:bottom w:val="double" w:sz="4" w:space="0" w:color="auto"/>
            </w:tcBorders>
            <w:shd w:val="clear" w:color="auto" w:fill="auto"/>
            <w:vAlign w:val="bottom"/>
          </w:tcPr>
          <w:p w14:paraId="7A7C6EF4" w14:textId="04E490D7" w:rsidR="00FC2851" w:rsidRPr="00FF40BD" w:rsidRDefault="00FC2851" w:rsidP="00FC2851">
            <w:pPr>
              <w:jc w:val="right"/>
              <w:rPr>
                <w:b/>
                <w:bCs w:val="0"/>
                <w:sz w:val="18"/>
                <w:szCs w:val="18"/>
              </w:rPr>
            </w:pPr>
            <w:r w:rsidRPr="00FF40BD">
              <w:rPr>
                <w:b/>
                <w:sz w:val="18"/>
                <w:szCs w:val="18"/>
              </w:rPr>
              <w:t>229.339</w:t>
            </w:r>
          </w:p>
        </w:tc>
        <w:tc>
          <w:tcPr>
            <w:tcW w:w="275" w:type="dxa"/>
            <w:shd w:val="clear" w:color="auto" w:fill="auto"/>
            <w:vAlign w:val="bottom"/>
          </w:tcPr>
          <w:p w14:paraId="12B97A68" w14:textId="77777777" w:rsidR="00FC2851" w:rsidRPr="00FF40BD" w:rsidRDefault="00FC2851" w:rsidP="00FC2851">
            <w:pPr>
              <w:jc w:val="right"/>
              <w:rPr>
                <w:b/>
                <w:sz w:val="18"/>
                <w:szCs w:val="18"/>
              </w:rPr>
            </w:pPr>
          </w:p>
        </w:tc>
        <w:tc>
          <w:tcPr>
            <w:tcW w:w="1323" w:type="dxa"/>
            <w:tcBorders>
              <w:bottom w:val="double" w:sz="4" w:space="0" w:color="auto"/>
            </w:tcBorders>
            <w:shd w:val="clear" w:color="auto" w:fill="auto"/>
            <w:vAlign w:val="bottom"/>
          </w:tcPr>
          <w:p w14:paraId="7099B3AE" w14:textId="1030D0A1" w:rsidR="00FC2851" w:rsidRPr="00FF40BD" w:rsidRDefault="00D24185" w:rsidP="00FC2851">
            <w:pPr>
              <w:ind w:right="-18"/>
              <w:jc w:val="right"/>
              <w:rPr>
                <w:b/>
                <w:sz w:val="18"/>
                <w:szCs w:val="18"/>
              </w:rPr>
            </w:pPr>
            <w:r w:rsidRPr="00FF40BD">
              <w:rPr>
                <w:b/>
                <w:sz w:val="18"/>
                <w:szCs w:val="18"/>
              </w:rPr>
              <w:t>3.663.438.454</w:t>
            </w:r>
          </w:p>
        </w:tc>
        <w:tc>
          <w:tcPr>
            <w:tcW w:w="275" w:type="dxa"/>
            <w:shd w:val="clear" w:color="auto" w:fill="auto"/>
            <w:vAlign w:val="bottom"/>
          </w:tcPr>
          <w:p w14:paraId="538F1A7D" w14:textId="77777777" w:rsidR="00FC2851" w:rsidRPr="0038363F" w:rsidRDefault="00FC2851" w:rsidP="00FC2851">
            <w:pPr>
              <w:ind w:right="-18"/>
              <w:jc w:val="right"/>
              <w:rPr>
                <w:b/>
                <w:sz w:val="18"/>
                <w:szCs w:val="18"/>
              </w:rPr>
            </w:pPr>
          </w:p>
        </w:tc>
        <w:tc>
          <w:tcPr>
            <w:tcW w:w="1336" w:type="dxa"/>
            <w:tcBorders>
              <w:bottom w:val="double" w:sz="4" w:space="0" w:color="auto"/>
            </w:tcBorders>
            <w:shd w:val="clear" w:color="auto" w:fill="auto"/>
            <w:vAlign w:val="bottom"/>
          </w:tcPr>
          <w:p w14:paraId="33F8060D" w14:textId="7093F3AF" w:rsidR="00FC2851" w:rsidRPr="0038363F" w:rsidRDefault="00FC2851" w:rsidP="00FC2851">
            <w:pPr>
              <w:ind w:right="-18"/>
              <w:jc w:val="right"/>
              <w:rPr>
                <w:b/>
                <w:sz w:val="18"/>
                <w:szCs w:val="18"/>
              </w:rPr>
            </w:pPr>
            <w:r w:rsidRPr="0038363F">
              <w:rPr>
                <w:b/>
                <w:sz w:val="18"/>
                <w:szCs w:val="18"/>
              </w:rPr>
              <w:t>3.188.035.184</w:t>
            </w:r>
          </w:p>
        </w:tc>
        <w:tc>
          <w:tcPr>
            <w:tcW w:w="1496" w:type="dxa"/>
            <w:shd w:val="clear" w:color="auto" w:fill="auto"/>
            <w:vAlign w:val="bottom"/>
          </w:tcPr>
          <w:p w14:paraId="4D0CF5FE" w14:textId="2FF52396" w:rsidR="00FC2851" w:rsidRPr="0038363F" w:rsidRDefault="00FC2851" w:rsidP="00FC2851">
            <w:pPr>
              <w:rPr>
                <w:b/>
                <w:i/>
                <w:sz w:val="18"/>
                <w:szCs w:val="18"/>
              </w:rPr>
            </w:pPr>
            <w:r w:rsidRPr="0038363F">
              <w:rPr>
                <w:b/>
                <w:i/>
                <w:sz w:val="18"/>
                <w:szCs w:val="18"/>
              </w:rPr>
              <w:t xml:space="preserve">Asset liabilities - </w:t>
            </w:r>
          </w:p>
          <w:p w14:paraId="0545DFE1" w14:textId="15266181" w:rsidR="00FC2851" w:rsidRPr="0038363F" w:rsidRDefault="00FC2851" w:rsidP="00FC2851">
            <w:pPr>
              <w:ind w:right="142"/>
              <w:jc w:val="right"/>
              <w:rPr>
                <w:b/>
                <w:i/>
                <w:sz w:val="18"/>
                <w:szCs w:val="18"/>
              </w:rPr>
            </w:pPr>
            <w:r w:rsidRPr="0038363F">
              <w:rPr>
                <w:b/>
                <w:i/>
                <w:sz w:val="18"/>
                <w:szCs w:val="18"/>
              </w:rPr>
              <w:t>net</w:t>
            </w:r>
          </w:p>
        </w:tc>
      </w:tr>
    </w:tbl>
    <w:p w14:paraId="76AF840A" w14:textId="77777777" w:rsidR="00083896" w:rsidRPr="000B72DF" w:rsidRDefault="00083896" w:rsidP="0013526B">
      <w:pPr>
        <w:ind w:left="567"/>
        <w:jc w:val="both"/>
        <w:rPr>
          <w:sz w:val="8"/>
          <w:szCs w:val="18"/>
        </w:rPr>
      </w:pPr>
    </w:p>
    <w:tbl>
      <w:tblPr>
        <w:tblW w:w="9197" w:type="dxa"/>
        <w:tblInd w:w="335" w:type="dxa"/>
        <w:tblLayout w:type="fixed"/>
        <w:tblLook w:val="0000" w:firstRow="0" w:lastRow="0" w:firstColumn="0" w:lastColumn="0" w:noHBand="0" w:noVBand="0"/>
      </w:tblPr>
      <w:tblGrid>
        <w:gridCol w:w="4598"/>
        <w:gridCol w:w="4599"/>
      </w:tblGrid>
      <w:tr w:rsidR="00083896" w:rsidRPr="0013526B" w14:paraId="569076A0" w14:textId="77777777" w:rsidTr="005B429F">
        <w:tc>
          <w:tcPr>
            <w:tcW w:w="2500" w:type="pct"/>
            <w:tcBorders>
              <w:top w:val="nil"/>
              <w:left w:val="nil"/>
              <w:bottom w:val="nil"/>
              <w:right w:val="nil"/>
            </w:tcBorders>
          </w:tcPr>
          <w:p w14:paraId="46697CC0" w14:textId="2504F0B1" w:rsidR="00083896" w:rsidRPr="0013526B" w:rsidRDefault="00083896" w:rsidP="005B429F">
            <w:pPr>
              <w:pStyle w:val="ListParagraph"/>
              <w:ind w:left="321" w:right="-57"/>
              <w:jc w:val="both"/>
              <w:rPr>
                <w:sz w:val="18"/>
                <w:szCs w:val="18"/>
              </w:rPr>
            </w:pPr>
            <w:r w:rsidRPr="0013526B">
              <w:rPr>
                <w:sz w:val="18"/>
                <w:szCs w:val="18"/>
              </w:rPr>
              <w:t>Manajemen berpendapat bahwa risiko atas liabilitas bersih mata uang asing tersebut tidak akan berdampak secara signifikan terhadap</w:t>
            </w:r>
            <w:r w:rsidR="001C12BF" w:rsidRPr="0013526B">
              <w:rPr>
                <w:sz w:val="18"/>
                <w:szCs w:val="18"/>
              </w:rPr>
              <w:t xml:space="preserve"> </w:t>
            </w:r>
            <w:r w:rsidRPr="0013526B">
              <w:rPr>
                <w:sz w:val="18"/>
                <w:szCs w:val="18"/>
              </w:rPr>
              <w:t xml:space="preserve">hasil usaha </w:t>
            </w:r>
            <w:r w:rsidR="00605E86" w:rsidRPr="0013526B">
              <w:rPr>
                <w:sz w:val="18"/>
                <w:szCs w:val="18"/>
              </w:rPr>
              <w:t>Kelompok Usaha</w:t>
            </w:r>
            <w:r w:rsidRPr="0013526B">
              <w:rPr>
                <w:sz w:val="18"/>
                <w:szCs w:val="18"/>
              </w:rPr>
              <w:t xml:space="preserve">. </w:t>
            </w:r>
            <w:r w:rsidR="00D81BAE" w:rsidRPr="0013526B">
              <w:rPr>
                <w:sz w:val="18"/>
                <w:szCs w:val="18"/>
              </w:rPr>
              <w:br/>
            </w:r>
            <w:r w:rsidRPr="0013526B">
              <w:rPr>
                <w:sz w:val="18"/>
                <w:szCs w:val="18"/>
              </w:rPr>
              <w:t>Namun demikian</w:t>
            </w:r>
            <w:r w:rsidR="00870FD0">
              <w:rPr>
                <w:sz w:val="18"/>
                <w:szCs w:val="18"/>
              </w:rPr>
              <w:t>.</w:t>
            </w:r>
            <w:r w:rsidRPr="0013526B">
              <w:rPr>
                <w:sz w:val="18"/>
                <w:szCs w:val="18"/>
              </w:rPr>
              <w:t xml:space="preserve"> </w:t>
            </w:r>
            <w:proofErr w:type="gramStart"/>
            <w:r w:rsidRPr="0013526B">
              <w:rPr>
                <w:sz w:val="18"/>
                <w:szCs w:val="18"/>
              </w:rPr>
              <w:t>manajemen</w:t>
            </w:r>
            <w:proofErr w:type="gramEnd"/>
            <w:r w:rsidRPr="0013526B">
              <w:rPr>
                <w:sz w:val="18"/>
                <w:szCs w:val="18"/>
              </w:rPr>
              <w:t xml:space="preserve"> secara berkelanjutan akan mengevaluasi struktur aset dan liabilitas moneter dalam mata uang asing.</w:t>
            </w:r>
          </w:p>
        </w:tc>
        <w:tc>
          <w:tcPr>
            <w:tcW w:w="2500" w:type="pct"/>
            <w:tcBorders>
              <w:top w:val="nil"/>
              <w:left w:val="nil"/>
              <w:bottom w:val="nil"/>
              <w:right w:val="nil"/>
            </w:tcBorders>
          </w:tcPr>
          <w:p w14:paraId="57E3BB2C" w14:textId="11B4402C" w:rsidR="00083896" w:rsidRPr="0013526B" w:rsidRDefault="00083896" w:rsidP="0013526B">
            <w:pPr>
              <w:pStyle w:val="ListParagraph"/>
              <w:tabs>
                <w:tab w:val="right" w:pos="9340"/>
                <w:tab w:val="right" w:pos="10080"/>
              </w:tabs>
              <w:ind w:left="284" w:right="-57"/>
              <w:jc w:val="both"/>
              <w:rPr>
                <w:i/>
                <w:sz w:val="18"/>
                <w:szCs w:val="18"/>
              </w:rPr>
            </w:pPr>
            <w:r w:rsidRPr="0013526B">
              <w:rPr>
                <w:i/>
                <w:sz w:val="18"/>
                <w:szCs w:val="18"/>
              </w:rPr>
              <w:t xml:space="preserve">Management believes that the related risk of net liabilities denominated in foreign currencies will have no significant impact to the result of operations of the </w:t>
            </w:r>
            <w:r w:rsidR="00605E86" w:rsidRPr="0013526B">
              <w:rPr>
                <w:i/>
                <w:sz w:val="18"/>
                <w:szCs w:val="18"/>
              </w:rPr>
              <w:t>Group</w:t>
            </w:r>
            <w:r w:rsidR="00264936" w:rsidRPr="0013526B">
              <w:rPr>
                <w:i/>
                <w:sz w:val="18"/>
                <w:szCs w:val="18"/>
              </w:rPr>
              <w:t xml:space="preserve">. </w:t>
            </w:r>
            <w:r w:rsidRPr="0013526B">
              <w:rPr>
                <w:i/>
                <w:sz w:val="18"/>
                <w:szCs w:val="18"/>
              </w:rPr>
              <w:t>However</w:t>
            </w:r>
            <w:r w:rsidR="00870FD0">
              <w:rPr>
                <w:i/>
                <w:sz w:val="18"/>
                <w:szCs w:val="18"/>
              </w:rPr>
              <w:t>.</w:t>
            </w:r>
            <w:r w:rsidRPr="0013526B">
              <w:rPr>
                <w:i/>
                <w:sz w:val="18"/>
                <w:szCs w:val="18"/>
              </w:rPr>
              <w:t xml:space="preserve"> </w:t>
            </w:r>
            <w:proofErr w:type="gramStart"/>
            <w:r w:rsidRPr="0013526B">
              <w:rPr>
                <w:i/>
                <w:sz w:val="18"/>
                <w:szCs w:val="18"/>
              </w:rPr>
              <w:t>management</w:t>
            </w:r>
            <w:proofErr w:type="gramEnd"/>
            <w:r w:rsidRPr="0013526B">
              <w:rPr>
                <w:i/>
                <w:sz w:val="18"/>
                <w:szCs w:val="18"/>
              </w:rPr>
              <w:t xml:space="preserve"> will continuosly evaluate the structure of monetary assets and liabilities denominated in foreign currencies.</w:t>
            </w:r>
          </w:p>
        </w:tc>
      </w:tr>
      <w:tr w:rsidR="00415E1B" w:rsidRPr="0013526B" w14:paraId="644CA5FD" w14:textId="77777777" w:rsidTr="005B429F">
        <w:tc>
          <w:tcPr>
            <w:tcW w:w="2500" w:type="pct"/>
            <w:tcBorders>
              <w:top w:val="nil"/>
              <w:left w:val="nil"/>
              <w:bottom w:val="nil"/>
              <w:right w:val="nil"/>
            </w:tcBorders>
          </w:tcPr>
          <w:p w14:paraId="53E98EEB" w14:textId="77777777" w:rsidR="00415E1B" w:rsidRPr="0013526B" w:rsidRDefault="00415E1B" w:rsidP="005B429F">
            <w:pPr>
              <w:pStyle w:val="ListParagraph"/>
              <w:ind w:left="321" w:right="-57"/>
              <w:jc w:val="both"/>
              <w:rPr>
                <w:sz w:val="18"/>
                <w:szCs w:val="18"/>
              </w:rPr>
            </w:pPr>
          </w:p>
        </w:tc>
        <w:tc>
          <w:tcPr>
            <w:tcW w:w="2500" w:type="pct"/>
            <w:tcBorders>
              <w:top w:val="nil"/>
              <w:left w:val="nil"/>
              <w:bottom w:val="nil"/>
              <w:right w:val="nil"/>
            </w:tcBorders>
          </w:tcPr>
          <w:p w14:paraId="421CC209" w14:textId="77777777" w:rsidR="00415E1B" w:rsidRPr="0013526B" w:rsidRDefault="00415E1B" w:rsidP="0013526B">
            <w:pPr>
              <w:pStyle w:val="ListParagraph"/>
              <w:tabs>
                <w:tab w:val="right" w:pos="9340"/>
                <w:tab w:val="right" w:pos="10080"/>
              </w:tabs>
              <w:ind w:left="284" w:right="-57"/>
              <w:jc w:val="both"/>
              <w:rPr>
                <w:i/>
                <w:sz w:val="18"/>
                <w:szCs w:val="18"/>
              </w:rPr>
            </w:pPr>
          </w:p>
        </w:tc>
      </w:tr>
      <w:tr w:rsidR="00083896" w:rsidRPr="00CC3CFA" w14:paraId="37DD1057" w14:textId="77777777" w:rsidTr="005B429F">
        <w:tc>
          <w:tcPr>
            <w:tcW w:w="2500" w:type="pct"/>
            <w:tcBorders>
              <w:top w:val="nil"/>
              <w:left w:val="nil"/>
              <w:bottom w:val="nil"/>
              <w:right w:val="nil"/>
            </w:tcBorders>
          </w:tcPr>
          <w:p w14:paraId="1B23B7BA" w14:textId="4BB71D54" w:rsidR="00083896" w:rsidRPr="0013526B" w:rsidRDefault="007D05E1" w:rsidP="00070D1F">
            <w:pPr>
              <w:numPr>
                <w:ilvl w:val="0"/>
                <w:numId w:val="397"/>
              </w:numPr>
              <w:ind w:left="269" w:hanging="283"/>
              <w:jc w:val="both"/>
              <w:rPr>
                <w:b/>
                <w:sz w:val="18"/>
                <w:szCs w:val="18"/>
              </w:rPr>
            </w:pPr>
            <w:r>
              <w:rPr>
                <w:sz w:val="12"/>
                <w:szCs w:val="18"/>
                <w:lang w:val="id-ID"/>
              </w:rPr>
              <w:br w:type="page"/>
            </w:r>
            <w:r w:rsidR="00756FCF" w:rsidRPr="0013526B">
              <w:rPr>
                <w:b/>
                <w:sz w:val="18"/>
                <w:szCs w:val="18"/>
              </w:rPr>
              <w:t>SEGMEN OPERASI</w:t>
            </w:r>
          </w:p>
        </w:tc>
        <w:tc>
          <w:tcPr>
            <w:tcW w:w="2500" w:type="pct"/>
            <w:tcBorders>
              <w:top w:val="nil"/>
              <w:left w:val="nil"/>
              <w:bottom w:val="nil"/>
              <w:right w:val="nil"/>
            </w:tcBorders>
          </w:tcPr>
          <w:p w14:paraId="444C22BA" w14:textId="77777777" w:rsidR="00083896" w:rsidRPr="00CC3CFA" w:rsidRDefault="00756FCF" w:rsidP="00070D1F">
            <w:pPr>
              <w:numPr>
                <w:ilvl w:val="0"/>
                <w:numId w:val="399"/>
              </w:numPr>
              <w:jc w:val="both"/>
              <w:rPr>
                <w:b/>
                <w:i/>
                <w:iCs/>
                <w:sz w:val="18"/>
                <w:szCs w:val="18"/>
              </w:rPr>
            </w:pPr>
            <w:r w:rsidRPr="00CC3CFA">
              <w:rPr>
                <w:b/>
                <w:i/>
                <w:iCs/>
                <w:sz w:val="18"/>
                <w:szCs w:val="18"/>
              </w:rPr>
              <w:t>OPERATING SEGMENT</w:t>
            </w:r>
          </w:p>
        </w:tc>
      </w:tr>
      <w:tr w:rsidR="00083896" w:rsidRPr="00740BD4" w14:paraId="08FACC57" w14:textId="77777777" w:rsidTr="005B429F">
        <w:tc>
          <w:tcPr>
            <w:tcW w:w="2500" w:type="pct"/>
            <w:tcBorders>
              <w:top w:val="nil"/>
              <w:left w:val="nil"/>
              <w:bottom w:val="nil"/>
              <w:right w:val="nil"/>
            </w:tcBorders>
          </w:tcPr>
          <w:p w14:paraId="36C89A1F" w14:textId="77777777" w:rsidR="00083896" w:rsidRPr="00740BD4" w:rsidRDefault="00083896" w:rsidP="0013526B">
            <w:pPr>
              <w:ind w:left="709"/>
              <w:jc w:val="both"/>
              <w:rPr>
                <w:sz w:val="12"/>
                <w:szCs w:val="18"/>
              </w:rPr>
            </w:pPr>
          </w:p>
        </w:tc>
        <w:tc>
          <w:tcPr>
            <w:tcW w:w="2500" w:type="pct"/>
            <w:tcBorders>
              <w:top w:val="nil"/>
              <w:left w:val="nil"/>
              <w:bottom w:val="nil"/>
              <w:right w:val="nil"/>
            </w:tcBorders>
          </w:tcPr>
          <w:p w14:paraId="48CD59CC" w14:textId="77777777" w:rsidR="00083896" w:rsidRPr="00740BD4" w:rsidRDefault="00083896" w:rsidP="0013526B">
            <w:pPr>
              <w:pStyle w:val="ListParagraph"/>
              <w:ind w:left="743"/>
              <w:jc w:val="both"/>
              <w:rPr>
                <w:i/>
                <w:sz w:val="12"/>
                <w:szCs w:val="18"/>
              </w:rPr>
            </w:pPr>
          </w:p>
        </w:tc>
      </w:tr>
      <w:tr w:rsidR="00C46F66" w:rsidRPr="0013526B" w14:paraId="4B69772B" w14:textId="77777777" w:rsidTr="005B429F">
        <w:tc>
          <w:tcPr>
            <w:tcW w:w="2500" w:type="pct"/>
            <w:tcBorders>
              <w:top w:val="nil"/>
              <w:left w:val="nil"/>
              <w:bottom w:val="nil"/>
              <w:right w:val="nil"/>
            </w:tcBorders>
          </w:tcPr>
          <w:p w14:paraId="187DE84B" w14:textId="44413280" w:rsidR="00C46F66" w:rsidRPr="0013526B" w:rsidRDefault="005F692D" w:rsidP="0013526B">
            <w:pPr>
              <w:pStyle w:val="ListParagraph"/>
              <w:ind w:left="284" w:right="-57"/>
              <w:jc w:val="both"/>
              <w:rPr>
                <w:sz w:val="18"/>
                <w:szCs w:val="18"/>
              </w:rPr>
            </w:pPr>
            <w:r>
              <w:rPr>
                <w:sz w:val="18"/>
                <w:szCs w:val="18"/>
              </w:rPr>
              <w:t>Untuk tujuan pelaporan manajemen</w:t>
            </w:r>
            <w:r w:rsidR="00870FD0">
              <w:rPr>
                <w:sz w:val="18"/>
                <w:szCs w:val="18"/>
              </w:rPr>
              <w:t>.</w:t>
            </w:r>
            <w:r>
              <w:rPr>
                <w:sz w:val="18"/>
                <w:szCs w:val="18"/>
              </w:rPr>
              <w:t xml:space="preserve"> Group dibagi dalam dua kelempok utama kegiatan usaha</w:t>
            </w:r>
            <w:r w:rsidR="00870FD0">
              <w:rPr>
                <w:sz w:val="18"/>
                <w:szCs w:val="18"/>
              </w:rPr>
              <w:t>.</w:t>
            </w:r>
            <w:r>
              <w:rPr>
                <w:sz w:val="18"/>
                <w:szCs w:val="18"/>
              </w:rPr>
              <w:t xml:space="preserve"> </w:t>
            </w:r>
            <w:proofErr w:type="gramStart"/>
            <w:r>
              <w:rPr>
                <w:sz w:val="18"/>
                <w:szCs w:val="18"/>
              </w:rPr>
              <w:t>yaitu</w:t>
            </w:r>
            <w:proofErr w:type="gramEnd"/>
            <w:r>
              <w:rPr>
                <w:sz w:val="18"/>
                <w:szCs w:val="18"/>
              </w:rPr>
              <w:t xml:space="preserve"> rawat inap termasuk jasa penunjang dan rawat jalan termasuk jasa penunjang. Kegiatan usaha tersebut menjadi dasar pelaporan segmen operasi primer Group</w:t>
            </w:r>
            <w:r w:rsidR="00870FD0">
              <w:rPr>
                <w:sz w:val="18"/>
                <w:szCs w:val="18"/>
              </w:rPr>
              <w:t>.</w:t>
            </w:r>
            <w:r>
              <w:rPr>
                <w:sz w:val="18"/>
                <w:szCs w:val="18"/>
              </w:rPr>
              <w:t xml:space="preserve"> sebagai berikut:</w:t>
            </w:r>
          </w:p>
        </w:tc>
        <w:tc>
          <w:tcPr>
            <w:tcW w:w="2500" w:type="pct"/>
            <w:tcBorders>
              <w:top w:val="nil"/>
              <w:left w:val="nil"/>
              <w:bottom w:val="nil"/>
              <w:right w:val="nil"/>
            </w:tcBorders>
          </w:tcPr>
          <w:p w14:paraId="3145520C" w14:textId="77300A72" w:rsidR="00C46F66" w:rsidRPr="0013526B" w:rsidRDefault="005F692D" w:rsidP="0013526B">
            <w:pPr>
              <w:pStyle w:val="ListParagraph"/>
              <w:tabs>
                <w:tab w:val="right" w:pos="9340"/>
                <w:tab w:val="right" w:pos="10080"/>
              </w:tabs>
              <w:ind w:left="284" w:right="-57"/>
              <w:jc w:val="both"/>
              <w:rPr>
                <w:i/>
                <w:sz w:val="18"/>
                <w:szCs w:val="18"/>
              </w:rPr>
            </w:pPr>
            <w:r>
              <w:rPr>
                <w:i/>
                <w:sz w:val="18"/>
                <w:szCs w:val="18"/>
              </w:rPr>
              <w:t>For management reporting purposes</w:t>
            </w:r>
            <w:r w:rsidR="00870FD0">
              <w:rPr>
                <w:i/>
                <w:sz w:val="18"/>
                <w:szCs w:val="18"/>
              </w:rPr>
              <w:t>.</w:t>
            </w:r>
            <w:r>
              <w:rPr>
                <w:i/>
                <w:sz w:val="18"/>
                <w:szCs w:val="18"/>
              </w:rPr>
              <w:t xml:space="preserve"> </w:t>
            </w:r>
            <w:proofErr w:type="gramStart"/>
            <w:r>
              <w:rPr>
                <w:i/>
                <w:sz w:val="18"/>
                <w:szCs w:val="18"/>
              </w:rPr>
              <w:t>the</w:t>
            </w:r>
            <w:proofErr w:type="gramEnd"/>
            <w:r>
              <w:rPr>
                <w:i/>
                <w:sz w:val="18"/>
                <w:szCs w:val="18"/>
              </w:rPr>
              <w:t xml:space="preserve"> Group is currently organized into two main business activities</w:t>
            </w:r>
            <w:r w:rsidR="00870FD0">
              <w:rPr>
                <w:i/>
                <w:sz w:val="18"/>
                <w:szCs w:val="18"/>
              </w:rPr>
              <w:t>.</w:t>
            </w:r>
            <w:r>
              <w:rPr>
                <w:i/>
                <w:sz w:val="18"/>
                <w:szCs w:val="18"/>
              </w:rPr>
              <w:t xml:space="preserve"> </w:t>
            </w:r>
            <w:proofErr w:type="gramStart"/>
            <w:r>
              <w:rPr>
                <w:i/>
                <w:sz w:val="18"/>
                <w:szCs w:val="18"/>
              </w:rPr>
              <w:t>in-patient</w:t>
            </w:r>
            <w:proofErr w:type="gramEnd"/>
            <w:r>
              <w:rPr>
                <w:i/>
                <w:sz w:val="18"/>
                <w:szCs w:val="18"/>
              </w:rPr>
              <w:t xml:space="preserve"> including its supporting facilities and out-patient including its supporting facilities. These business activities are the basis on which Group’s report their primary segment information</w:t>
            </w:r>
            <w:r w:rsidR="00870FD0">
              <w:rPr>
                <w:i/>
                <w:sz w:val="18"/>
                <w:szCs w:val="18"/>
              </w:rPr>
              <w:t>.</w:t>
            </w:r>
            <w:r>
              <w:rPr>
                <w:i/>
                <w:sz w:val="18"/>
                <w:szCs w:val="18"/>
              </w:rPr>
              <w:t xml:space="preserve"> as follows:</w:t>
            </w:r>
          </w:p>
        </w:tc>
      </w:tr>
    </w:tbl>
    <w:p w14:paraId="5FFD6901" w14:textId="45497C19" w:rsidR="007D05E1" w:rsidRDefault="007D05E1"/>
    <w:p w14:paraId="2F2AB6FB" w14:textId="2F0F1F1F" w:rsidR="001105A9" w:rsidRDefault="001105A9"/>
    <w:p w14:paraId="7229AA6C" w14:textId="3A200FE6" w:rsidR="001105A9" w:rsidRDefault="001105A9"/>
    <w:p w14:paraId="7B0EC8F6" w14:textId="495149A6" w:rsidR="001105A9" w:rsidRDefault="001105A9"/>
    <w:p w14:paraId="4E833853" w14:textId="6A725FA9" w:rsidR="001105A9" w:rsidRDefault="001105A9"/>
    <w:p w14:paraId="40CCD852" w14:textId="08F6010C" w:rsidR="001105A9" w:rsidRDefault="001105A9"/>
    <w:p w14:paraId="6092E84C" w14:textId="07B20A4D" w:rsidR="001105A9" w:rsidRDefault="001105A9"/>
    <w:p w14:paraId="5441F0E8" w14:textId="4750C06E" w:rsidR="001105A9" w:rsidRDefault="001105A9"/>
    <w:p w14:paraId="7FF32635" w14:textId="234ABA78" w:rsidR="001105A9" w:rsidRDefault="001105A9"/>
    <w:p w14:paraId="04E05441" w14:textId="767B4CE9" w:rsidR="001105A9" w:rsidRDefault="001105A9"/>
    <w:p w14:paraId="73427636" w14:textId="6A14C694" w:rsidR="001105A9" w:rsidRDefault="001105A9"/>
    <w:tbl>
      <w:tblPr>
        <w:tblW w:w="9273" w:type="dxa"/>
        <w:tblInd w:w="335" w:type="dxa"/>
        <w:tblLayout w:type="fixed"/>
        <w:tblLook w:val="0000" w:firstRow="0" w:lastRow="0" w:firstColumn="0" w:lastColumn="0" w:noHBand="0" w:noVBand="0"/>
      </w:tblPr>
      <w:tblGrid>
        <w:gridCol w:w="95"/>
        <w:gridCol w:w="2060"/>
        <w:gridCol w:w="45"/>
        <w:gridCol w:w="1630"/>
        <w:gridCol w:w="48"/>
        <w:gridCol w:w="720"/>
        <w:gridCol w:w="911"/>
        <w:gridCol w:w="48"/>
        <w:gridCol w:w="1634"/>
        <w:gridCol w:w="48"/>
        <w:gridCol w:w="1958"/>
        <w:gridCol w:w="76"/>
      </w:tblGrid>
      <w:tr w:rsidR="001105A9" w:rsidRPr="00CC3CFA" w14:paraId="487943AD" w14:textId="77777777" w:rsidTr="00C30263">
        <w:trPr>
          <w:gridAfter w:val="1"/>
          <w:wAfter w:w="41" w:type="pct"/>
        </w:trPr>
        <w:tc>
          <w:tcPr>
            <w:tcW w:w="2479" w:type="pct"/>
            <w:gridSpan w:val="6"/>
            <w:tcBorders>
              <w:top w:val="nil"/>
              <w:left w:val="nil"/>
              <w:bottom w:val="nil"/>
              <w:right w:val="nil"/>
            </w:tcBorders>
          </w:tcPr>
          <w:p w14:paraId="24A3486C" w14:textId="66D8C8F4" w:rsidR="001105A9" w:rsidRPr="0013526B" w:rsidRDefault="001105A9" w:rsidP="00070D1F">
            <w:pPr>
              <w:numPr>
                <w:ilvl w:val="0"/>
                <w:numId w:val="400"/>
              </w:numPr>
              <w:jc w:val="both"/>
              <w:rPr>
                <w:b/>
                <w:sz w:val="18"/>
                <w:szCs w:val="18"/>
              </w:rPr>
            </w:pPr>
            <w:r>
              <w:rPr>
                <w:sz w:val="12"/>
                <w:szCs w:val="18"/>
                <w:lang w:val="id-ID"/>
              </w:rPr>
              <w:lastRenderedPageBreak/>
              <w:br w:type="page"/>
            </w:r>
            <w:r w:rsidRPr="0013526B">
              <w:rPr>
                <w:b/>
                <w:sz w:val="18"/>
                <w:szCs w:val="18"/>
              </w:rPr>
              <w:t>SEGMEN OPERASI</w:t>
            </w:r>
            <w:r>
              <w:rPr>
                <w:b/>
                <w:sz w:val="18"/>
                <w:szCs w:val="18"/>
              </w:rPr>
              <w:t xml:space="preserve"> - Lanjutan</w:t>
            </w:r>
          </w:p>
        </w:tc>
        <w:tc>
          <w:tcPr>
            <w:tcW w:w="2480" w:type="pct"/>
            <w:gridSpan w:val="5"/>
            <w:tcBorders>
              <w:top w:val="nil"/>
              <w:left w:val="nil"/>
              <w:bottom w:val="nil"/>
              <w:right w:val="nil"/>
            </w:tcBorders>
          </w:tcPr>
          <w:p w14:paraId="271E1786" w14:textId="31583161" w:rsidR="001105A9" w:rsidRPr="00CC3CFA" w:rsidRDefault="001105A9" w:rsidP="00070D1F">
            <w:pPr>
              <w:numPr>
                <w:ilvl w:val="0"/>
                <w:numId w:val="401"/>
              </w:numPr>
              <w:jc w:val="both"/>
              <w:rPr>
                <w:b/>
                <w:i/>
                <w:iCs/>
                <w:sz w:val="18"/>
                <w:szCs w:val="18"/>
              </w:rPr>
            </w:pPr>
            <w:r w:rsidRPr="00CC3CFA">
              <w:rPr>
                <w:b/>
                <w:i/>
                <w:iCs/>
                <w:sz w:val="18"/>
                <w:szCs w:val="18"/>
              </w:rPr>
              <w:t>OPERATING SEGMENT</w:t>
            </w:r>
            <w:r>
              <w:rPr>
                <w:b/>
                <w:i/>
                <w:iCs/>
                <w:sz w:val="18"/>
                <w:szCs w:val="18"/>
              </w:rPr>
              <w:t xml:space="preserve"> - Continued</w:t>
            </w:r>
          </w:p>
        </w:tc>
      </w:tr>
      <w:tr w:rsidR="001105A9" w:rsidRPr="00740BD4" w14:paraId="555A2375" w14:textId="77777777" w:rsidTr="00C30263">
        <w:trPr>
          <w:gridAfter w:val="1"/>
          <w:wAfter w:w="41" w:type="pct"/>
        </w:trPr>
        <w:tc>
          <w:tcPr>
            <w:tcW w:w="2479" w:type="pct"/>
            <w:gridSpan w:val="6"/>
            <w:tcBorders>
              <w:top w:val="nil"/>
              <w:left w:val="nil"/>
              <w:bottom w:val="nil"/>
              <w:right w:val="nil"/>
            </w:tcBorders>
          </w:tcPr>
          <w:p w14:paraId="6F260F13" w14:textId="77777777" w:rsidR="001105A9" w:rsidRPr="00740BD4" w:rsidRDefault="001105A9" w:rsidP="00091DE4">
            <w:pPr>
              <w:ind w:left="709"/>
              <w:jc w:val="both"/>
              <w:rPr>
                <w:sz w:val="12"/>
                <w:szCs w:val="18"/>
              </w:rPr>
            </w:pPr>
          </w:p>
        </w:tc>
        <w:tc>
          <w:tcPr>
            <w:tcW w:w="2480" w:type="pct"/>
            <w:gridSpan w:val="5"/>
            <w:tcBorders>
              <w:top w:val="nil"/>
              <w:left w:val="nil"/>
              <w:bottom w:val="nil"/>
              <w:right w:val="nil"/>
            </w:tcBorders>
          </w:tcPr>
          <w:p w14:paraId="221D33D4" w14:textId="77777777" w:rsidR="001105A9" w:rsidRPr="00740BD4" w:rsidRDefault="001105A9" w:rsidP="00091DE4">
            <w:pPr>
              <w:pStyle w:val="ListParagraph"/>
              <w:ind w:left="743"/>
              <w:jc w:val="both"/>
              <w:rPr>
                <w:i/>
                <w:sz w:val="12"/>
                <w:szCs w:val="18"/>
              </w:rPr>
            </w:pPr>
          </w:p>
        </w:tc>
      </w:tr>
      <w:tr w:rsidR="00FC2851" w:rsidRPr="0013526B" w14:paraId="6146A4D1" w14:textId="77777777" w:rsidTr="00FE6377">
        <w:tblPrEx>
          <w:tblCellMar>
            <w:left w:w="0" w:type="dxa"/>
            <w:right w:w="0" w:type="dxa"/>
          </w:tblCellMar>
          <w:tblLook w:val="04A0" w:firstRow="1" w:lastRow="0" w:firstColumn="1" w:lastColumn="0" w:noHBand="0" w:noVBand="1"/>
        </w:tblPrEx>
        <w:trPr>
          <w:gridBefore w:val="1"/>
          <w:wBefore w:w="51" w:type="pct"/>
          <w:trHeight w:val="255"/>
        </w:trPr>
        <w:tc>
          <w:tcPr>
            <w:tcW w:w="1111" w:type="pct"/>
            <w:tcBorders>
              <w:top w:val="nil"/>
              <w:left w:val="nil"/>
              <w:right w:val="nil"/>
            </w:tcBorders>
            <w:shd w:val="clear" w:color="auto" w:fill="auto"/>
            <w:noWrap/>
            <w:vAlign w:val="bottom"/>
          </w:tcPr>
          <w:p w14:paraId="1D23FF14" w14:textId="77777777" w:rsidR="00FC2851" w:rsidRPr="0013526B" w:rsidRDefault="00FC2851" w:rsidP="003E17A9">
            <w:pPr>
              <w:rPr>
                <w:b/>
                <w:sz w:val="16"/>
                <w:szCs w:val="16"/>
              </w:rPr>
            </w:pPr>
          </w:p>
        </w:tc>
        <w:tc>
          <w:tcPr>
            <w:tcW w:w="24" w:type="pct"/>
            <w:tcBorders>
              <w:top w:val="nil"/>
              <w:left w:val="nil"/>
              <w:right w:val="nil"/>
            </w:tcBorders>
          </w:tcPr>
          <w:p w14:paraId="08FD5CCA" w14:textId="77777777" w:rsidR="00FC2851" w:rsidRPr="0013526B" w:rsidRDefault="00FC2851" w:rsidP="003E17A9">
            <w:pPr>
              <w:jc w:val="center"/>
              <w:rPr>
                <w:b/>
                <w:sz w:val="16"/>
                <w:szCs w:val="16"/>
                <w:lang w:val="id-ID"/>
              </w:rPr>
            </w:pPr>
          </w:p>
        </w:tc>
        <w:tc>
          <w:tcPr>
            <w:tcW w:w="2691" w:type="pct"/>
            <w:gridSpan w:val="6"/>
            <w:tcBorders>
              <w:top w:val="nil"/>
              <w:left w:val="nil"/>
              <w:bottom w:val="single" w:sz="4" w:space="0" w:color="auto"/>
              <w:right w:val="nil"/>
            </w:tcBorders>
            <w:vAlign w:val="bottom"/>
          </w:tcPr>
          <w:p w14:paraId="43D2D900" w14:textId="312DCF55" w:rsidR="00FC2851" w:rsidRDefault="00FC2851" w:rsidP="00FC2851">
            <w:pPr>
              <w:jc w:val="center"/>
              <w:rPr>
                <w:b/>
                <w:sz w:val="16"/>
                <w:szCs w:val="16"/>
              </w:rPr>
            </w:pPr>
            <w:r>
              <w:rPr>
                <w:b/>
                <w:sz w:val="16"/>
                <w:szCs w:val="16"/>
              </w:rPr>
              <w:t>31 Maret/ March 31</w:t>
            </w:r>
            <w:r w:rsidR="00305CA0">
              <w:rPr>
                <w:b/>
                <w:sz w:val="16"/>
                <w:szCs w:val="16"/>
              </w:rPr>
              <w:t>.</w:t>
            </w:r>
            <w:r>
              <w:rPr>
                <w:b/>
                <w:sz w:val="16"/>
                <w:szCs w:val="16"/>
              </w:rPr>
              <w:t xml:space="preserve"> 2020</w:t>
            </w:r>
          </w:p>
        </w:tc>
        <w:tc>
          <w:tcPr>
            <w:tcW w:w="26" w:type="pct"/>
            <w:tcBorders>
              <w:top w:val="nil"/>
              <w:left w:val="nil"/>
              <w:right w:val="nil"/>
            </w:tcBorders>
            <w:shd w:val="clear" w:color="auto" w:fill="auto"/>
            <w:noWrap/>
            <w:vAlign w:val="bottom"/>
          </w:tcPr>
          <w:p w14:paraId="0ADBA687" w14:textId="77777777" w:rsidR="00FC2851" w:rsidRPr="0013526B" w:rsidRDefault="00FC2851" w:rsidP="003E17A9">
            <w:pPr>
              <w:rPr>
                <w:b/>
                <w:iCs/>
                <w:sz w:val="16"/>
                <w:szCs w:val="16"/>
              </w:rPr>
            </w:pPr>
          </w:p>
        </w:tc>
        <w:tc>
          <w:tcPr>
            <w:tcW w:w="1097" w:type="pct"/>
            <w:gridSpan w:val="2"/>
            <w:tcBorders>
              <w:top w:val="nil"/>
              <w:left w:val="nil"/>
              <w:right w:val="nil"/>
            </w:tcBorders>
            <w:shd w:val="clear" w:color="auto" w:fill="auto"/>
            <w:noWrap/>
            <w:vAlign w:val="bottom"/>
          </w:tcPr>
          <w:p w14:paraId="27902E22" w14:textId="77777777" w:rsidR="00FC2851" w:rsidRPr="0013526B" w:rsidRDefault="00FC2851" w:rsidP="003E17A9">
            <w:pPr>
              <w:ind w:right="85"/>
              <w:jc w:val="right"/>
              <w:rPr>
                <w:b/>
                <w:i/>
                <w:iCs/>
                <w:sz w:val="16"/>
                <w:szCs w:val="16"/>
              </w:rPr>
            </w:pPr>
          </w:p>
        </w:tc>
      </w:tr>
      <w:tr w:rsidR="00F0572B" w:rsidRPr="0013526B" w14:paraId="4F6AE4D0" w14:textId="77777777" w:rsidTr="00FE6377">
        <w:tblPrEx>
          <w:tblCellMar>
            <w:left w:w="0" w:type="dxa"/>
            <w:right w:w="0" w:type="dxa"/>
          </w:tblCellMar>
          <w:tblLook w:val="04A0" w:firstRow="1" w:lastRow="0" w:firstColumn="1" w:lastColumn="0" w:noHBand="0" w:noVBand="1"/>
        </w:tblPrEx>
        <w:trPr>
          <w:gridBefore w:val="1"/>
          <w:wBefore w:w="51" w:type="pct"/>
          <w:trHeight w:val="255"/>
        </w:trPr>
        <w:tc>
          <w:tcPr>
            <w:tcW w:w="1111" w:type="pct"/>
            <w:tcBorders>
              <w:top w:val="nil"/>
              <w:left w:val="nil"/>
              <w:right w:val="nil"/>
            </w:tcBorders>
            <w:shd w:val="clear" w:color="auto" w:fill="auto"/>
            <w:noWrap/>
            <w:vAlign w:val="bottom"/>
          </w:tcPr>
          <w:p w14:paraId="6E2DD74A" w14:textId="77777777" w:rsidR="00F0572B" w:rsidRPr="0013526B" w:rsidRDefault="00F0572B" w:rsidP="003E17A9">
            <w:pPr>
              <w:rPr>
                <w:b/>
                <w:sz w:val="16"/>
                <w:szCs w:val="16"/>
              </w:rPr>
            </w:pPr>
          </w:p>
        </w:tc>
        <w:tc>
          <w:tcPr>
            <w:tcW w:w="24" w:type="pct"/>
            <w:tcBorders>
              <w:top w:val="nil"/>
              <w:left w:val="nil"/>
              <w:right w:val="nil"/>
            </w:tcBorders>
          </w:tcPr>
          <w:p w14:paraId="6FA92B44" w14:textId="77777777" w:rsidR="00F0572B" w:rsidRPr="0013526B" w:rsidRDefault="00F0572B" w:rsidP="003E17A9">
            <w:pPr>
              <w:jc w:val="center"/>
              <w:rPr>
                <w:b/>
                <w:sz w:val="16"/>
                <w:szCs w:val="16"/>
                <w:lang w:val="id-ID"/>
              </w:rPr>
            </w:pPr>
          </w:p>
        </w:tc>
        <w:tc>
          <w:tcPr>
            <w:tcW w:w="879" w:type="pct"/>
            <w:tcBorders>
              <w:top w:val="single" w:sz="4" w:space="0" w:color="auto"/>
              <w:left w:val="nil"/>
              <w:bottom w:val="single" w:sz="4" w:space="0" w:color="auto"/>
              <w:right w:val="nil"/>
            </w:tcBorders>
            <w:vAlign w:val="bottom"/>
          </w:tcPr>
          <w:p w14:paraId="47EDB36F" w14:textId="77777777" w:rsidR="00F0572B" w:rsidRPr="00073249" w:rsidRDefault="00F0572B" w:rsidP="003E17A9">
            <w:pPr>
              <w:jc w:val="center"/>
              <w:rPr>
                <w:b/>
                <w:sz w:val="16"/>
                <w:szCs w:val="16"/>
              </w:rPr>
            </w:pPr>
            <w:r>
              <w:rPr>
                <w:b/>
                <w:sz w:val="16"/>
                <w:szCs w:val="16"/>
              </w:rPr>
              <w:t>Rawat Inap/</w:t>
            </w:r>
            <w:r w:rsidRPr="00073249">
              <w:rPr>
                <w:b/>
                <w:i/>
                <w:iCs/>
                <w:sz w:val="16"/>
                <w:szCs w:val="16"/>
              </w:rPr>
              <w:t xml:space="preserve">In-Patient </w:t>
            </w:r>
            <w:r>
              <w:rPr>
                <w:b/>
                <w:i/>
                <w:iCs/>
                <w:sz w:val="16"/>
                <w:szCs w:val="16"/>
              </w:rPr>
              <w:br/>
            </w:r>
            <w:r>
              <w:rPr>
                <w:b/>
                <w:sz w:val="16"/>
                <w:szCs w:val="16"/>
              </w:rPr>
              <w:t>termasuk/including</w:t>
            </w:r>
            <w:r>
              <w:rPr>
                <w:b/>
                <w:sz w:val="16"/>
                <w:szCs w:val="16"/>
              </w:rPr>
              <w:br/>
              <w:t>jasa penunjang/supporting services</w:t>
            </w:r>
          </w:p>
        </w:tc>
        <w:tc>
          <w:tcPr>
            <w:tcW w:w="26" w:type="pct"/>
            <w:tcBorders>
              <w:top w:val="single" w:sz="4" w:space="0" w:color="auto"/>
              <w:left w:val="nil"/>
              <w:right w:val="nil"/>
            </w:tcBorders>
            <w:vAlign w:val="bottom"/>
          </w:tcPr>
          <w:p w14:paraId="05097A2D" w14:textId="77777777" w:rsidR="00F0572B" w:rsidRPr="0013526B" w:rsidRDefault="00F0572B" w:rsidP="003E17A9">
            <w:pPr>
              <w:jc w:val="center"/>
              <w:rPr>
                <w:b/>
                <w:sz w:val="16"/>
                <w:szCs w:val="16"/>
              </w:rPr>
            </w:pPr>
          </w:p>
        </w:tc>
        <w:tc>
          <w:tcPr>
            <w:tcW w:w="879" w:type="pct"/>
            <w:gridSpan w:val="2"/>
            <w:tcBorders>
              <w:top w:val="single" w:sz="4" w:space="0" w:color="auto"/>
              <w:left w:val="nil"/>
              <w:bottom w:val="single" w:sz="4" w:space="0" w:color="auto"/>
              <w:right w:val="nil"/>
            </w:tcBorders>
            <w:vAlign w:val="bottom"/>
          </w:tcPr>
          <w:p w14:paraId="57A0C373" w14:textId="77777777" w:rsidR="00F0572B" w:rsidRPr="00073249" w:rsidRDefault="00F0572B" w:rsidP="003E17A9">
            <w:pPr>
              <w:jc w:val="center"/>
              <w:rPr>
                <w:b/>
                <w:sz w:val="16"/>
                <w:szCs w:val="16"/>
              </w:rPr>
            </w:pPr>
            <w:r>
              <w:rPr>
                <w:b/>
                <w:sz w:val="16"/>
                <w:szCs w:val="16"/>
              </w:rPr>
              <w:t>Rawat jalan/Out-Patient</w:t>
            </w:r>
            <w:r>
              <w:rPr>
                <w:b/>
                <w:sz w:val="16"/>
                <w:szCs w:val="16"/>
              </w:rPr>
              <w:br/>
              <w:t>termasuk/including</w:t>
            </w:r>
            <w:r>
              <w:rPr>
                <w:b/>
                <w:sz w:val="16"/>
                <w:szCs w:val="16"/>
              </w:rPr>
              <w:br/>
              <w:t>jasa penunjang/supporting services</w:t>
            </w:r>
          </w:p>
        </w:tc>
        <w:tc>
          <w:tcPr>
            <w:tcW w:w="26" w:type="pct"/>
            <w:tcBorders>
              <w:top w:val="single" w:sz="4" w:space="0" w:color="auto"/>
              <w:left w:val="nil"/>
              <w:right w:val="nil"/>
            </w:tcBorders>
            <w:vAlign w:val="bottom"/>
          </w:tcPr>
          <w:p w14:paraId="4D76E7F8" w14:textId="77777777" w:rsidR="00F0572B" w:rsidRPr="0013526B" w:rsidRDefault="00F0572B" w:rsidP="003E17A9">
            <w:pPr>
              <w:jc w:val="center"/>
              <w:rPr>
                <w:b/>
                <w:sz w:val="16"/>
                <w:szCs w:val="16"/>
              </w:rPr>
            </w:pPr>
          </w:p>
        </w:tc>
        <w:tc>
          <w:tcPr>
            <w:tcW w:w="881" w:type="pct"/>
            <w:tcBorders>
              <w:top w:val="single" w:sz="4" w:space="0" w:color="auto"/>
              <w:left w:val="nil"/>
              <w:bottom w:val="single" w:sz="4" w:space="0" w:color="auto"/>
              <w:right w:val="nil"/>
            </w:tcBorders>
            <w:shd w:val="clear" w:color="auto" w:fill="auto"/>
            <w:noWrap/>
            <w:vAlign w:val="bottom"/>
          </w:tcPr>
          <w:p w14:paraId="65AE0316" w14:textId="77777777" w:rsidR="00F0572B" w:rsidRPr="000E27E3" w:rsidRDefault="00F0572B" w:rsidP="003E17A9">
            <w:pPr>
              <w:jc w:val="center"/>
              <w:rPr>
                <w:b/>
                <w:sz w:val="16"/>
                <w:szCs w:val="16"/>
              </w:rPr>
            </w:pPr>
            <w:r>
              <w:rPr>
                <w:b/>
                <w:sz w:val="16"/>
                <w:szCs w:val="16"/>
              </w:rPr>
              <w:t>Konsolidasian/ Consolidated</w:t>
            </w:r>
          </w:p>
        </w:tc>
        <w:tc>
          <w:tcPr>
            <w:tcW w:w="26" w:type="pct"/>
            <w:tcBorders>
              <w:top w:val="nil"/>
              <w:left w:val="nil"/>
              <w:right w:val="nil"/>
            </w:tcBorders>
            <w:shd w:val="clear" w:color="auto" w:fill="auto"/>
            <w:noWrap/>
            <w:vAlign w:val="bottom"/>
          </w:tcPr>
          <w:p w14:paraId="5FB955B5" w14:textId="77777777" w:rsidR="00F0572B" w:rsidRPr="0013526B" w:rsidRDefault="00F0572B" w:rsidP="003E17A9">
            <w:pPr>
              <w:rPr>
                <w:b/>
                <w:iCs/>
                <w:sz w:val="16"/>
                <w:szCs w:val="16"/>
              </w:rPr>
            </w:pPr>
          </w:p>
        </w:tc>
        <w:tc>
          <w:tcPr>
            <w:tcW w:w="1097" w:type="pct"/>
            <w:gridSpan w:val="2"/>
            <w:tcBorders>
              <w:top w:val="nil"/>
              <w:left w:val="nil"/>
              <w:right w:val="nil"/>
            </w:tcBorders>
            <w:shd w:val="clear" w:color="auto" w:fill="auto"/>
            <w:noWrap/>
            <w:vAlign w:val="bottom"/>
          </w:tcPr>
          <w:p w14:paraId="6419DE1D" w14:textId="77777777" w:rsidR="00F0572B" w:rsidRPr="0013526B" w:rsidRDefault="00F0572B" w:rsidP="003E17A9">
            <w:pPr>
              <w:ind w:right="85"/>
              <w:jc w:val="right"/>
              <w:rPr>
                <w:b/>
                <w:i/>
                <w:iCs/>
                <w:sz w:val="16"/>
                <w:szCs w:val="16"/>
              </w:rPr>
            </w:pPr>
          </w:p>
        </w:tc>
      </w:tr>
      <w:tr w:rsidR="00F0572B" w:rsidRPr="0013526B" w14:paraId="3BB1B503" w14:textId="77777777" w:rsidTr="00FE6377">
        <w:tblPrEx>
          <w:tblCellMar>
            <w:left w:w="0" w:type="dxa"/>
            <w:right w:w="0" w:type="dxa"/>
          </w:tblCellMar>
          <w:tblLook w:val="04A0" w:firstRow="1" w:lastRow="0" w:firstColumn="1" w:lastColumn="0" w:noHBand="0" w:noVBand="1"/>
        </w:tblPrEx>
        <w:trPr>
          <w:gridBefore w:val="1"/>
          <w:wBefore w:w="51" w:type="pct"/>
          <w:trHeight w:val="255"/>
        </w:trPr>
        <w:tc>
          <w:tcPr>
            <w:tcW w:w="1111" w:type="pct"/>
            <w:tcBorders>
              <w:top w:val="nil"/>
              <w:left w:val="nil"/>
              <w:right w:val="nil"/>
            </w:tcBorders>
            <w:shd w:val="clear" w:color="auto" w:fill="auto"/>
            <w:noWrap/>
            <w:vAlign w:val="bottom"/>
          </w:tcPr>
          <w:p w14:paraId="52D8D714" w14:textId="77777777" w:rsidR="00F0572B" w:rsidRPr="0013526B" w:rsidRDefault="00F0572B" w:rsidP="005910CC">
            <w:pPr>
              <w:ind w:left="366"/>
              <w:rPr>
                <w:b/>
                <w:sz w:val="16"/>
                <w:szCs w:val="16"/>
              </w:rPr>
            </w:pPr>
            <w:r>
              <w:rPr>
                <w:b/>
                <w:sz w:val="16"/>
                <w:szCs w:val="16"/>
              </w:rPr>
              <w:t>PENDAPATAN</w:t>
            </w:r>
          </w:p>
        </w:tc>
        <w:tc>
          <w:tcPr>
            <w:tcW w:w="24" w:type="pct"/>
            <w:tcBorders>
              <w:top w:val="nil"/>
              <w:left w:val="nil"/>
              <w:right w:val="nil"/>
            </w:tcBorders>
          </w:tcPr>
          <w:p w14:paraId="63BFFA19" w14:textId="77777777" w:rsidR="00F0572B" w:rsidRPr="0013526B" w:rsidRDefault="00F0572B" w:rsidP="003E17A9">
            <w:pPr>
              <w:jc w:val="center"/>
              <w:rPr>
                <w:b/>
                <w:sz w:val="16"/>
                <w:szCs w:val="16"/>
                <w:lang w:val="id-ID"/>
              </w:rPr>
            </w:pPr>
          </w:p>
        </w:tc>
        <w:tc>
          <w:tcPr>
            <w:tcW w:w="879" w:type="pct"/>
            <w:tcBorders>
              <w:top w:val="single" w:sz="4" w:space="0" w:color="auto"/>
              <w:left w:val="nil"/>
              <w:right w:val="nil"/>
            </w:tcBorders>
            <w:vAlign w:val="bottom"/>
          </w:tcPr>
          <w:p w14:paraId="56EA7722" w14:textId="77777777" w:rsidR="00F0572B" w:rsidRPr="0013526B" w:rsidRDefault="00F0572B" w:rsidP="003E17A9">
            <w:pPr>
              <w:jc w:val="center"/>
              <w:rPr>
                <w:b/>
                <w:sz w:val="16"/>
                <w:szCs w:val="16"/>
                <w:lang w:val="id-ID"/>
              </w:rPr>
            </w:pPr>
          </w:p>
        </w:tc>
        <w:tc>
          <w:tcPr>
            <w:tcW w:w="26" w:type="pct"/>
            <w:tcBorders>
              <w:top w:val="nil"/>
              <w:left w:val="nil"/>
              <w:right w:val="nil"/>
            </w:tcBorders>
            <w:vAlign w:val="bottom"/>
          </w:tcPr>
          <w:p w14:paraId="7BE93C53" w14:textId="77777777" w:rsidR="00F0572B" w:rsidRPr="0013526B" w:rsidRDefault="00F0572B" w:rsidP="003E17A9">
            <w:pPr>
              <w:jc w:val="center"/>
              <w:rPr>
                <w:b/>
                <w:sz w:val="16"/>
                <w:szCs w:val="16"/>
              </w:rPr>
            </w:pPr>
          </w:p>
        </w:tc>
        <w:tc>
          <w:tcPr>
            <w:tcW w:w="879" w:type="pct"/>
            <w:gridSpan w:val="2"/>
            <w:tcBorders>
              <w:top w:val="single" w:sz="4" w:space="0" w:color="auto"/>
              <w:left w:val="nil"/>
              <w:right w:val="nil"/>
            </w:tcBorders>
            <w:vAlign w:val="bottom"/>
          </w:tcPr>
          <w:p w14:paraId="3DBC2859" w14:textId="77777777" w:rsidR="00F0572B" w:rsidRPr="0013526B" w:rsidRDefault="00F0572B" w:rsidP="003E17A9">
            <w:pPr>
              <w:jc w:val="center"/>
              <w:rPr>
                <w:b/>
                <w:sz w:val="16"/>
                <w:szCs w:val="16"/>
                <w:lang w:val="id-ID"/>
              </w:rPr>
            </w:pPr>
          </w:p>
        </w:tc>
        <w:tc>
          <w:tcPr>
            <w:tcW w:w="26" w:type="pct"/>
            <w:tcBorders>
              <w:top w:val="nil"/>
              <w:left w:val="nil"/>
              <w:right w:val="nil"/>
            </w:tcBorders>
            <w:vAlign w:val="bottom"/>
          </w:tcPr>
          <w:p w14:paraId="7664C342" w14:textId="77777777" w:rsidR="00F0572B" w:rsidRPr="0013526B" w:rsidRDefault="00F0572B" w:rsidP="003E17A9">
            <w:pPr>
              <w:jc w:val="center"/>
              <w:rPr>
                <w:b/>
                <w:sz w:val="16"/>
                <w:szCs w:val="16"/>
              </w:rPr>
            </w:pPr>
          </w:p>
        </w:tc>
        <w:tc>
          <w:tcPr>
            <w:tcW w:w="881" w:type="pct"/>
            <w:tcBorders>
              <w:top w:val="single" w:sz="4" w:space="0" w:color="auto"/>
              <w:left w:val="nil"/>
              <w:right w:val="nil"/>
            </w:tcBorders>
            <w:shd w:val="clear" w:color="auto" w:fill="auto"/>
            <w:noWrap/>
            <w:vAlign w:val="bottom"/>
          </w:tcPr>
          <w:p w14:paraId="12A3AE85" w14:textId="77777777" w:rsidR="00F0572B" w:rsidRPr="0013526B" w:rsidRDefault="00F0572B" w:rsidP="003E17A9">
            <w:pPr>
              <w:jc w:val="center"/>
              <w:rPr>
                <w:b/>
                <w:sz w:val="16"/>
                <w:szCs w:val="16"/>
                <w:lang w:val="id-ID"/>
              </w:rPr>
            </w:pPr>
          </w:p>
        </w:tc>
        <w:tc>
          <w:tcPr>
            <w:tcW w:w="26" w:type="pct"/>
            <w:tcBorders>
              <w:top w:val="nil"/>
              <w:left w:val="nil"/>
              <w:right w:val="nil"/>
            </w:tcBorders>
            <w:shd w:val="clear" w:color="auto" w:fill="auto"/>
            <w:noWrap/>
            <w:vAlign w:val="bottom"/>
          </w:tcPr>
          <w:p w14:paraId="2C6ADB64" w14:textId="77777777" w:rsidR="00F0572B" w:rsidRPr="0013526B" w:rsidRDefault="00F0572B" w:rsidP="003E17A9">
            <w:pPr>
              <w:rPr>
                <w:b/>
                <w:iCs/>
                <w:sz w:val="16"/>
                <w:szCs w:val="16"/>
              </w:rPr>
            </w:pPr>
          </w:p>
        </w:tc>
        <w:tc>
          <w:tcPr>
            <w:tcW w:w="1097" w:type="pct"/>
            <w:gridSpan w:val="2"/>
            <w:tcBorders>
              <w:top w:val="nil"/>
              <w:left w:val="nil"/>
              <w:right w:val="nil"/>
            </w:tcBorders>
            <w:shd w:val="clear" w:color="auto" w:fill="auto"/>
            <w:noWrap/>
            <w:vAlign w:val="bottom"/>
          </w:tcPr>
          <w:p w14:paraId="1A6F5237" w14:textId="77777777" w:rsidR="00F0572B" w:rsidRPr="0013526B" w:rsidRDefault="00F0572B" w:rsidP="003E17A9">
            <w:pPr>
              <w:ind w:right="85"/>
              <w:jc w:val="right"/>
              <w:rPr>
                <w:b/>
                <w:i/>
                <w:iCs/>
                <w:sz w:val="16"/>
                <w:szCs w:val="16"/>
              </w:rPr>
            </w:pPr>
            <w:r>
              <w:rPr>
                <w:b/>
                <w:i/>
                <w:iCs/>
                <w:sz w:val="16"/>
                <w:szCs w:val="16"/>
              </w:rPr>
              <w:t>REVENUE</w:t>
            </w:r>
          </w:p>
        </w:tc>
      </w:tr>
      <w:tr w:rsidR="00802F0E" w:rsidRPr="0013526B" w14:paraId="55FDA680"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left w:val="nil"/>
              <w:bottom w:val="nil"/>
              <w:right w:val="nil"/>
            </w:tcBorders>
            <w:shd w:val="clear" w:color="auto" w:fill="auto"/>
            <w:noWrap/>
            <w:vAlign w:val="bottom"/>
          </w:tcPr>
          <w:p w14:paraId="2B7A144D" w14:textId="77777777" w:rsidR="00802F0E" w:rsidRPr="0013526B" w:rsidRDefault="00802F0E" w:rsidP="005910CC">
            <w:pPr>
              <w:ind w:left="366"/>
              <w:rPr>
                <w:sz w:val="16"/>
                <w:szCs w:val="16"/>
              </w:rPr>
            </w:pPr>
            <w:r>
              <w:rPr>
                <w:sz w:val="16"/>
                <w:szCs w:val="16"/>
              </w:rPr>
              <w:t>Pendapatan</w:t>
            </w:r>
          </w:p>
        </w:tc>
        <w:tc>
          <w:tcPr>
            <w:tcW w:w="24" w:type="pct"/>
            <w:tcBorders>
              <w:left w:val="nil"/>
              <w:right w:val="nil"/>
            </w:tcBorders>
          </w:tcPr>
          <w:p w14:paraId="05698A25" w14:textId="77777777" w:rsidR="00802F0E" w:rsidRPr="0013526B" w:rsidRDefault="00802F0E" w:rsidP="00802F0E">
            <w:pPr>
              <w:jc w:val="right"/>
              <w:rPr>
                <w:sz w:val="16"/>
                <w:szCs w:val="16"/>
              </w:rPr>
            </w:pPr>
          </w:p>
        </w:tc>
        <w:tc>
          <w:tcPr>
            <w:tcW w:w="879" w:type="pct"/>
            <w:tcBorders>
              <w:left w:val="nil"/>
              <w:right w:val="nil"/>
            </w:tcBorders>
            <w:shd w:val="clear" w:color="auto" w:fill="auto"/>
            <w:vAlign w:val="bottom"/>
          </w:tcPr>
          <w:p w14:paraId="3CE55B73" w14:textId="5346CB08" w:rsidR="00802F0E" w:rsidRPr="00FF40BD" w:rsidRDefault="00210124" w:rsidP="00EE5079">
            <w:pPr>
              <w:ind w:right="57"/>
              <w:jc w:val="right"/>
              <w:rPr>
                <w:bCs w:val="0"/>
                <w:sz w:val="16"/>
                <w:szCs w:val="16"/>
              </w:rPr>
            </w:pPr>
            <w:r w:rsidRPr="00FF40BD">
              <w:rPr>
                <w:bCs w:val="0"/>
                <w:sz w:val="16"/>
                <w:szCs w:val="16"/>
              </w:rPr>
              <w:t>169,848,859,439</w:t>
            </w:r>
          </w:p>
        </w:tc>
        <w:tc>
          <w:tcPr>
            <w:tcW w:w="26" w:type="pct"/>
            <w:tcBorders>
              <w:left w:val="nil"/>
              <w:right w:val="nil"/>
            </w:tcBorders>
            <w:shd w:val="clear" w:color="auto" w:fill="auto"/>
            <w:vAlign w:val="bottom"/>
          </w:tcPr>
          <w:p w14:paraId="45F2127C" w14:textId="77777777" w:rsidR="00802F0E" w:rsidRPr="00FF40BD" w:rsidRDefault="00802F0E" w:rsidP="00EE5079">
            <w:pPr>
              <w:ind w:right="57"/>
              <w:jc w:val="right"/>
              <w:rPr>
                <w:bCs w:val="0"/>
                <w:sz w:val="16"/>
                <w:szCs w:val="16"/>
              </w:rPr>
            </w:pPr>
          </w:p>
        </w:tc>
        <w:tc>
          <w:tcPr>
            <w:tcW w:w="879" w:type="pct"/>
            <w:gridSpan w:val="2"/>
            <w:tcBorders>
              <w:left w:val="nil"/>
              <w:right w:val="nil"/>
            </w:tcBorders>
            <w:shd w:val="clear" w:color="auto" w:fill="auto"/>
            <w:vAlign w:val="bottom"/>
          </w:tcPr>
          <w:p w14:paraId="72BBF25D" w14:textId="3D9CBE60" w:rsidR="00802F0E" w:rsidRPr="00FF40BD" w:rsidRDefault="00210124" w:rsidP="00EE5079">
            <w:pPr>
              <w:ind w:right="57"/>
              <w:jc w:val="right"/>
              <w:rPr>
                <w:bCs w:val="0"/>
                <w:sz w:val="16"/>
                <w:szCs w:val="16"/>
              </w:rPr>
            </w:pPr>
            <w:r w:rsidRPr="00FF40BD">
              <w:rPr>
                <w:bCs w:val="0"/>
                <w:sz w:val="16"/>
                <w:szCs w:val="16"/>
              </w:rPr>
              <w:t>112,274,229,092</w:t>
            </w:r>
          </w:p>
        </w:tc>
        <w:tc>
          <w:tcPr>
            <w:tcW w:w="26" w:type="pct"/>
            <w:tcBorders>
              <w:left w:val="nil"/>
              <w:right w:val="nil"/>
            </w:tcBorders>
            <w:shd w:val="clear" w:color="auto" w:fill="auto"/>
            <w:vAlign w:val="bottom"/>
          </w:tcPr>
          <w:p w14:paraId="2F4DD964" w14:textId="77777777" w:rsidR="00802F0E" w:rsidRPr="00FF40BD" w:rsidRDefault="00802F0E" w:rsidP="00802F0E">
            <w:pPr>
              <w:jc w:val="right"/>
              <w:rPr>
                <w:sz w:val="16"/>
                <w:szCs w:val="16"/>
              </w:rPr>
            </w:pPr>
          </w:p>
        </w:tc>
        <w:tc>
          <w:tcPr>
            <w:tcW w:w="881" w:type="pct"/>
            <w:tcBorders>
              <w:left w:val="nil"/>
              <w:right w:val="nil"/>
            </w:tcBorders>
            <w:shd w:val="clear" w:color="auto" w:fill="auto"/>
            <w:noWrap/>
            <w:vAlign w:val="bottom"/>
          </w:tcPr>
          <w:p w14:paraId="589991B1" w14:textId="03610984" w:rsidR="00802F0E" w:rsidRPr="00FF40BD" w:rsidRDefault="00AA405B" w:rsidP="00EE5079">
            <w:pPr>
              <w:ind w:right="57"/>
              <w:jc w:val="right"/>
              <w:rPr>
                <w:bCs w:val="0"/>
                <w:sz w:val="16"/>
                <w:szCs w:val="16"/>
              </w:rPr>
            </w:pPr>
            <w:r w:rsidRPr="00FF40BD">
              <w:rPr>
                <w:bCs w:val="0"/>
                <w:sz w:val="16"/>
                <w:szCs w:val="16"/>
              </w:rPr>
              <w:t>282.123.088.531</w:t>
            </w:r>
          </w:p>
        </w:tc>
        <w:tc>
          <w:tcPr>
            <w:tcW w:w="26" w:type="pct"/>
            <w:tcBorders>
              <w:left w:val="nil"/>
              <w:right w:val="nil"/>
            </w:tcBorders>
            <w:shd w:val="clear" w:color="auto" w:fill="auto"/>
            <w:noWrap/>
            <w:vAlign w:val="bottom"/>
          </w:tcPr>
          <w:p w14:paraId="16770E44" w14:textId="77777777" w:rsidR="00802F0E" w:rsidRPr="0013526B" w:rsidRDefault="00802F0E" w:rsidP="00802F0E">
            <w:pPr>
              <w:jc w:val="right"/>
              <w:rPr>
                <w:i/>
                <w:iCs/>
                <w:sz w:val="16"/>
                <w:szCs w:val="16"/>
              </w:rPr>
            </w:pPr>
          </w:p>
        </w:tc>
        <w:tc>
          <w:tcPr>
            <w:tcW w:w="1097" w:type="pct"/>
            <w:gridSpan w:val="2"/>
            <w:tcBorders>
              <w:left w:val="nil"/>
              <w:right w:val="nil"/>
            </w:tcBorders>
            <w:shd w:val="clear" w:color="auto" w:fill="auto"/>
            <w:noWrap/>
            <w:vAlign w:val="bottom"/>
          </w:tcPr>
          <w:p w14:paraId="706B0DCF" w14:textId="77777777" w:rsidR="00802F0E" w:rsidRPr="00FF47C6" w:rsidRDefault="00802F0E" w:rsidP="00FF47C6">
            <w:pPr>
              <w:ind w:right="85"/>
              <w:jc w:val="right"/>
              <w:rPr>
                <w:bCs w:val="0"/>
                <w:i/>
                <w:iCs/>
                <w:sz w:val="16"/>
                <w:szCs w:val="16"/>
              </w:rPr>
            </w:pPr>
            <w:r w:rsidRPr="00FF47C6">
              <w:rPr>
                <w:bCs w:val="0"/>
                <w:i/>
                <w:iCs/>
                <w:sz w:val="16"/>
                <w:szCs w:val="16"/>
              </w:rPr>
              <w:t>Revenue</w:t>
            </w:r>
          </w:p>
        </w:tc>
      </w:tr>
      <w:tr w:rsidR="000E1557" w:rsidRPr="0013526B" w14:paraId="68C358C9"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7EE95057" w14:textId="77777777" w:rsidR="000E1557" w:rsidRPr="000E27E3" w:rsidRDefault="000E1557" w:rsidP="000E1557">
            <w:pPr>
              <w:ind w:left="366"/>
              <w:rPr>
                <w:bCs w:val="0"/>
                <w:sz w:val="16"/>
                <w:szCs w:val="16"/>
              </w:rPr>
            </w:pPr>
            <w:r w:rsidRPr="000E27E3">
              <w:rPr>
                <w:bCs w:val="0"/>
                <w:sz w:val="16"/>
                <w:szCs w:val="16"/>
              </w:rPr>
              <w:t xml:space="preserve">Beban </w:t>
            </w:r>
            <w:r>
              <w:rPr>
                <w:bCs w:val="0"/>
                <w:sz w:val="16"/>
                <w:szCs w:val="16"/>
              </w:rPr>
              <w:t>l</w:t>
            </w:r>
            <w:r w:rsidRPr="000E27E3">
              <w:rPr>
                <w:bCs w:val="0"/>
                <w:sz w:val="16"/>
                <w:szCs w:val="16"/>
              </w:rPr>
              <w:t>angsung</w:t>
            </w:r>
          </w:p>
        </w:tc>
        <w:tc>
          <w:tcPr>
            <w:tcW w:w="24" w:type="pct"/>
            <w:tcBorders>
              <w:left w:val="nil"/>
              <w:bottom w:val="nil"/>
              <w:right w:val="nil"/>
            </w:tcBorders>
          </w:tcPr>
          <w:p w14:paraId="57BC239F" w14:textId="77777777" w:rsidR="000E1557" w:rsidRPr="0013526B" w:rsidRDefault="000E1557" w:rsidP="000E1557">
            <w:pPr>
              <w:jc w:val="right"/>
              <w:rPr>
                <w:b/>
                <w:sz w:val="16"/>
                <w:szCs w:val="16"/>
              </w:rPr>
            </w:pPr>
          </w:p>
        </w:tc>
        <w:tc>
          <w:tcPr>
            <w:tcW w:w="879" w:type="pct"/>
            <w:tcBorders>
              <w:left w:val="nil"/>
              <w:bottom w:val="single" w:sz="4" w:space="0" w:color="auto"/>
              <w:right w:val="nil"/>
            </w:tcBorders>
            <w:shd w:val="clear" w:color="auto" w:fill="auto"/>
            <w:vAlign w:val="bottom"/>
          </w:tcPr>
          <w:p w14:paraId="67AF7B14" w14:textId="1A682D7A" w:rsidR="000E1557" w:rsidRPr="00FF40BD" w:rsidRDefault="00210124" w:rsidP="000E1557">
            <w:pPr>
              <w:ind w:right="57"/>
              <w:jc w:val="right"/>
              <w:rPr>
                <w:bCs w:val="0"/>
                <w:sz w:val="16"/>
                <w:szCs w:val="16"/>
              </w:rPr>
            </w:pPr>
            <w:r w:rsidRPr="00FF40BD">
              <w:rPr>
                <w:bCs w:val="0"/>
                <w:sz w:val="16"/>
                <w:szCs w:val="16"/>
              </w:rPr>
              <w:t>(120.237.542.395)</w:t>
            </w:r>
          </w:p>
        </w:tc>
        <w:tc>
          <w:tcPr>
            <w:tcW w:w="26" w:type="pct"/>
            <w:tcBorders>
              <w:left w:val="nil"/>
              <w:bottom w:val="nil"/>
              <w:right w:val="nil"/>
            </w:tcBorders>
            <w:shd w:val="clear" w:color="auto" w:fill="auto"/>
            <w:vAlign w:val="bottom"/>
          </w:tcPr>
          <w:p w14:paraId="521192D2" w14:textId="77777777" w:rsidR="000E1557" w:rsidRPr="00FF40BD" w:rsidRDefault="000E1557" w:rsidP="000E1557">
            <w:pPr>
              <w:ind w:right="57"/>
              <w:jc w:val="right"/>
              <w:rPr>
                <w:bCs w:val="0"/>
                <w:sz w:val="16"/>
                <w:szCs w:val="16"/>
              </w:rPr>
            </w:pPr>
          </w:p>
        </w:tc>
        <w:tc>
          <w:tcPr>
            <w:tcW w:w="879" w:type="pct"/>
            <w:gridSpan w:val="2"/>
            <w:tcBorders>
              <w:left w:val="nil"/>
              <w:bottom w:val="single" w:sz="4" w:space="0" w:color="auto"/>
              <w:right w:val="nil"/>
            </w:tcBorders>
            <w:shd w:val="clear" w:color="auto" w:fill="auto"/>
            <w:vAlign w:val="bottom"/>
          </w:tcPr>
          <w:p w14:paraId="073A52FE" w14:textId="416D1313" w:rsidR="000E1557" w:rsidRPr="00FF40BD" w:rsidRDefault="00210124" w:rsidP="00210124">
            <w:pPr>
              <w:ind w:right="57"/>
              <w:jc w:val="right"/>
              <w:rPr>
                <w:bCs w:val="0"/>
                <w:sz w:val="16"/>
                <w:szCs w:val="16"/>
              </w:rPr>
            </w:pPr>
            <w:r w:rsidRPr="00FF40BD">
              <w:rPr>
                <w:bCs w:val="0"/>
                <w:sz w:val="16"/>
                <w:szCs w:val="16"/>
              </w:rPr>
              <w:t>(75.174.429.062)</w:t>
            </w:r>
          </w:p>
        </w:tc>
        <w:tc>
          <w:tcPr>
            <w:tcW w:w="26" w:type="pct"/>
            <w:tcBorders>
              <w:left w:val="nil"/>
              <w:bottom w:val="nil"/>
              <w:right w:val="nil"/>
            </w:tcBorders>
            <w:shd w:val="clear" w:color="auto" w:fill="auto"/>
            <w:vAlign w:val="bottom"/>
          </w:tcPr>
          <w:p w14:paraId="638E7F70" w14:textId="77777777" w:rsidR="000E1557" w:rsidRPr="00FF40BD" w:rsidRDefault="000E1557" w:rsidP="000E1557">
            <w:pPr>
              <w:jc w:val="right"/>
              <w:rPr>
                <w:b/>
                <w:sz w:val="16"/>
                <w:szCs w:val="16"/>
              </w:rPr>
            </w:pPr>
          </w:p>
        </w:tc>
        <w:tc>
          <w:tcPr>
            <w:tcW w:w="881" w:type="pct"/>
            <w:tcBorders>
              <w:left w:val="nil"/>
              <w:bottom w:val="single" w:sz="4" w:space="0" w:color="auto"/>
              <w:right w:val="nil"/>
            </w:tcBorders>
            <w:shd w:val="clear" w:color="auto" w:fill="auto"/>
            <w:noWrap/>
            <w:vAlign w:val="bottom"/>
          </w:tcPr>
          <w:p w14:paraId="6CBBC91F" w14:textId="2727A2A0" w:rsidR="000E1557" w:rsidRPr="00FF40BD" w:rsidRDefault="000E1557" w:rsidP="00AA405B">
            <w:pPr>
              <w:ind w:right="57"/>
              <w:jc w:val="right"/>
              <w:rPr>
                <w:bCs w:val="0"/>
                <w:sz w:val="16"/>
                <w:szCs w:val="16"/>
              </w:rPr>
            </w:pPr>
            <w:r w:rsidRPr="00FF40BD">
              <w:rPr>
                <w:bCs w:val="0"/>
                <w:sz w:val="16"/>
                <w:szCs w:val="16"/>
                <w:lang w:val="id-ID"/>
              </w:rPr>
              <w:t>(</w:t>
            </w:r>
            <w:r w:rsidR="00AA405B" w:rsidRPr="00FF40BD">
              <w:rPr>
                <w:bCs w:val="0"/>
                <w:sz w:val="16"/>
                <w:szCs w:val="16"/>
              </w:rPr>
              <w:t>195.411.971.457</w:t>
            </w:r>
            <w:r w:rsidRPr="00FF40BD">
              <w:rPr>
                <w:bCs w:val="0"/>
                <w:sz w:val="16"/>
                <w:szCs w:val="16"/>
                <w:lang w:val="id-ID"/>
              </w:rPr>
              <w:t>)</w:t>
            </w:r>
          </w:p>
        </w:tc>
        <w:tc>
          <w:tcPr>
            <w:tcW w:w="26" w:type="pct"/>
            <w:tcBorders>
              <w:left w:val="nil"/>
              <w:bottom w:val="nil"/>
              <w:right w:val="nil"/>
            </w:tcBorders>
            <w:shd w:val="clear" w:color="auto" w:fill="auto"/>
            <w:noWrap/>
            <w:vAlign w:val="bottom"/>
          </w:tcPr>
          <w:p w14:paraId="7B1F9781" w14:textId="77777777" w:rsidR="000E1557" w:rsidRPr="0013526B" w:rsidRDefault="000E1557" w:rsidP="000E1557">
            <w:pPr>
              <w:jc w:val="right"/>
              <w:rPr>
                <w:b/>
                <w:sz w:val="16"/>
                <w:szCs w:val="16"/>
              </w:rPr>
            </w:pPr>
          </w:p>
        </w:tc>
        <w:tc>
          <w:tcPr>
            <w:tcW w:w="1097" w:type="pct"/>
            <w:gridSpan w:val="2"/>
            <w:tcBorders>
              <w:left w:val="nil"/>
              <w:bottom w:val="nil"/>
              <w:right w:val="nil"/>
            </w:tcBorders>
            <w:shd w:val="clear" w:color="auto" w:fill="auto"/>
            <w:noWrap/>
            <w:vAlign w:val="bottom"/>
          </w:tcPr>
          <w:p w14:paraId="060429C7" w14:textId="77777777" w:rsidR="000E1557" w:rsidRPr="0093130F" w:rsidRDefault="000E1557" w:rsidP="000E1557">
            <w:pPr>
              <w:ind w:right="85"/>
              <w:jc w:val="right"/>
              <w:rPr>
                <w:bCs w:val="0"/>
                <w:i/>
                <w:iCs/>
                <w:sz w:val="16"/>
                <w:szCs w:val="16"/>
              </w:rPr>
            </w:pPr>
            <w:r w:rsidRPr="0093130F">
              <w:rPr>
                <w:bCs w:val="0"/>
                <w:i/>
                <w:iCs/>
                <w:sz w:val="16"/>
                <w:szCs w:val="16"/>
              </w:rPr>
              <w:t>Direct costs</w:t>
            </w:r>
          </w:p>
        </w:tc>
      </w:tr>
      <w:tr w:rsidR="000E1557" w:rsidRPr="0013526B" w14:paraId="4AF7A32A"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2931F847" w14:textId="77777777" w:rsidR="000E1557" w:rsidRPr="0013526B" w:rsidRDefault="000E1557" w:rsidP="000E1557">
            <w:pPr>
              <w:ind w:left="366" w:hanging="141"/>
              <w:rPr>
                <w:sz w:val="16"/>
                <w:szCs w:val="16"/>
              </w:rPr>
            </w:pPr>
          </w:p>
        </w:tc>
        <w:tc>
          <w:tcPr>
            <w:tcW w:w="24" w:type="pct"/>
            <w:tcBorders>
              <w:left w:val="nil"/>
              <w:bottom w:val="nil"/>
              <w:right w:val="nil"/>
            </w:tcBorders>
          </w:tcPr>
          <w:p w14:paraId="7D0E8CC9" w14:textId="77777777" w:rsidR="000E1557" w:rsidRPr="0013526B" w:rsidRDefault="000E1557" w:rsidP="000E1557">
            <w:pPr>
              <w:ind w:right="57"/>
              <w:jc w:val="right"/>
              <w:rPr>
                <w:sz w:val="16"/>
                <w:szCs w:val="16"/>
              </w:rPr>
            </w:pPr>
          </w:p>
        </w:tc>
        <w:tc>
          <w:tcPr>
            <w:tcW w:w="879" w:type="pct"/>
            <w:tcBorders>
              <w:top w:val="single" w:sz="4" w:space="0" w:color="auto"/>
              <w:left w:val="nil"/>
              <w:bottom w:val="nil"/>
              <w:right w:val="nil"/>
            </w:tcBorders>
            <w:shd w:val="clear" w:color="auto" w:fill="auto"/>
            <w:vAlign w:val="bottom"/>
          </w:tcPr>
          <w:p w14:paraId="323C08C9" w14:textId="77777777" w:rsidR="000E1557" w:rsidRPr="00FF40BD" w:rsidRDefault="000E1557" w:rsidP="000E1557">
            <w:pPr>
              <w:ind w:right="57"/>
              <w:jc w:val="right"/>
              <w:rPr>
                <w:sz w:val="16"/>
                <w:szCs w:val="16"/>
                <w:lang w:val="id-ID"/>
              </w:rPr>
            </w:pPr>
          </w:p>
        </w:tc>
        <w:tc>
          <w:tcPr>
            <w:tcW w:w="26" w:type="pct"/>
            <w:tcBorders>
              <w:left w:val="nil"/>
              <w:bottom w:val="nil"/>
              <w:right w:val="nil"/>
            </w:tcBorders>
            <w:shd w:val="clear" w:color="auto" w:fill="auto"/>
            <w:vAlign w:val="bottom"/>
          </w:tcPr>
          <w:p w14:paraId="4429D3F9" w14:textId="77777777" w:rsidR="000E1557" w:rsidRPr="00FF40BD" w:rsidRDefault="000E1557" w:rsidP="000E1557">
            <w:pPr>
              <w:jc w:val="right"/>
              <w:rPr>
                <w:sz w:val="16"/>
                <w:szCs w:val="16"/>
              </w:rPr>
            </w:pPr>
          </w:p>
        </w:tc>
        <w:tc>
          <w:tcPr>
            <w:tcW w:w="879" w:type="pct"/>
            <w:gridSpan w:val="2"/>
            <w:tcBorders>
              <w:top w:val="single" w:sz="4" w:space="0" w:color="auto"/>
              <w:left w:val="nil"/>
              <w:bottom w:val="nil"/>
              <w:right w:val="nil"/>
            </w:tcBorders>
            <w:shd w:val="clear" w:color="auto" w:fill="auto"/>
            <w:vAlign w:val="bottom"/>
          </w:tcPr>
          <w:p w14:paraId="13B5BFD7" w14:textId="77777777" w:rsidR="000E1557" w:rsidRPr="00FF40BD" w:rsidRDefault="000E1557" w:rsidP="000E1557">
            <w:pPr>
              <w:ind w:right="57"/>
              <w:jc w:val="right"/>
              <w:rPr>
                <w:sz w:val="16"/>
                <w:szCs w:val="16"/>
              </w:rPr>
            </w:pPr>
          </w:p>
        </w:tc>
        <w:tc>
          <w:tcPr>
            <w:tcW w:w="26" w:type="pct"/>
            <w:tcBorders>
              <w:left w:val="nil"/>
              <w:bottom w:val="nil"/>
              <w:right w:val="nil"/>
            </w:tcBorders>
            <w:shd w:val="clear" w:color="auto" w:fill="auto"/>
            <w:vAlign w:val="bottom"/>
          </w:tcPr>
          <w:p w14:paraId="3E8D606A" w14:textId="77777777" w:rsidR="000E1557" w:rsidRPr="00FF40BD" w:rsidRDefault="000E1557" w:rsidP="000E1557">
            <w:pPr>
              <w:jc w:val="right"/>
              <w:rPr>
                <w:sz w:val="16"/>
                <w:szCs w:val="16"/>
              </w:rPr>
            </w:pPr>
          </w:p>
        </w:tc>
        <w:tc>
          <w:tcPr>
            <w:tcW w:w="881" w:type="pct"/>
            <w:tcBorders>
              <w:top w:val="single" w:sz="4" w:space="0" w:color="auto"/>
              <w:left w:val="nil"/>
              <w:bottom w:val="nil"/>
              <w:right w:val="nil"/>
            </w:tcBorders>
            <w:shd w:val="clear" w:color="auto" w:fill="auto"/>
            <w:noWrap/>
            <w:vAlign w:val="bottom"/>
          </w:tcPr>
          <w:p w14:paraId="50B89D05" w14:textId="77777777" w:rsidR="000E1557" w:rsidRPr="00FF40BD" w:rsidRDefault="000E1557" w:rsidP="000E1557">
            <w:pPr>
              <w:ind w:right="57"/>
              <w:jc w:val="right"/>
              <w:rPr>
                <w:bCs w:val="0"/>
                <w:sz w:val="16"/>
                <w:szCs w:val="16"/>
              </w:rPr>
            </w:pPr>
          </w:p>
        </w:tc>
        <w:tc>
          <w:tcPr>
            <w:tcW w:w="26" w:type="pct"/>
            <w:tcBorders>
              <w:left w:val="nil"/>
              <w:bottom w:val="nil"/>
              <w:right w:val="nil"/>
            </w:tcBorders>
            <w:shd w:val="clear" w:color="auto" w:fill="auto"/>
            <w:noWrap/>
            <w:vAlign w:val="bottom"/>
          </w:tcPr>
          <w:p w14:paraId="556CB2D7" w14:textId="77777777" w:rsidR="000E1557" w:rsidRPr="0013526B" w:rsidRDefault="000E1557" w:rsidP="000E1557">
            <w:pPr>
              <w:jc w:val="right"/>
              <w:rPr>
                <w:sz w:val="16"/>
                <w:szCs w:val="16"/>
              </w:rPr>
            </w:pPr>
          </w:p>
        </w:tc>
        <w:tc>
          <w:tcPr>
            <w:tcW w:w="1097" w:type="pct"/>
            <w:gridSpan w:val="2"/>
            <w:tcBorders>
              <w:left w:val="nil"/>
              <w:bottom w:val="nil"/>
              <w:right w:val="nil"/>
            </w:tcBorders>
            <w:shd w:val="clear" w:color="auto" w:fill="auto"/>
            <w:noWrap/>
            <w:vAlign w:val="bottom"/>
          </w:tcPr>
          <w:p w14:paraId="4615BCC5" w14:textId="77777777" w:rsidR="000E1557" w:rsidRPr="0093130F" w:rsidRDefault="000E1557" w:rsidP="000E1557">
            <w:pPr>
              <w:ind w:right="85"/>
              <w:jc w:val="right"/>
              <w:rPr>
                <w:bCs w:val="0"/>
                <w:i/>
                <w:iCs/>
                <w:sz w:val="16"/>
                <w:szCs w:val="16"/>
              </w:rPr>
            </w:pPr>
          </w:p>
        </w:tc>
      </w:tr>
      <w:tr w:rsidR="000E1557" w:rsidRPr="0013526B" w14:paraId="6E204010"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right w:val="nil"/>
            </w:tcBorders>
            <w:shd w:val="clear" w:color="auto" w:fill="auto"/>
            <w:noWrap/>
            <w:vAlign w:val="bottom"/>
          </w:tcPr>
          <w:p w14:paraId="193B54AE" w14:textId="77777777" w:rsidR="000E1557" w:rsidRPr="0013526B" w:rsidRDefault="000E1557" w:rsidP="000E1557">
            <w:pPr>
              <w:ind w:left="366"/>
              <w:rPr>
                <w:sz w:val="16"/>
                <w:szCs w:val="16"/>
              </w:rPr>
            </w:pPr>
            <w:r>
              <w:rPr>
                <w:sz w:val="16"/>
                <w:szCs w:val="16"/>
              </w:rPr>
              <w:t>Laba kotor</w:t>
            </w:r>
          </w:p>
        </w:tc>
        <w:tc>
          <w:tcPr>
            <w:tcW w:w="24" w:type="pct"/>
            <w:tcBorders>
              <w:left w:val="nil"/>
              <w:right w:val="nil"/>
            </w:tcBorders>
          </w:tcPr>
          <w:p w14:paraId="142C698F" w14:textId="77777777" w:rsidR="000E1557" w:rsidRPr="0013526B" w:rsidRDefault="000E1557" w:rsidP="000E1557">
            <w:pPr>
              <w:ind w:right="57"/>
              <w:jc w:val="right"/>
              <w:rPr>
                <w:sz w:val="16"/>
                <w:szCs w:val="16"/>
              </w:rPr>
            </w:pPr>
          </w:p>
        </w:tc>
        <w:tc>
          <w:tcPr>
            <w:tcW w:w="879" w:type="pct"/>
            <w:tcBorders>
              <w:left w:val="nil"/>
              <w:right w:val="nil"/>
            </w:tcBorders>
            <w:shd w:val="clear" w:color="auto" w:fill="auto"/>
            <w:vAlign w:val="bottom"/>
          </w:tcPr>
          <w:p w14:paraId="06DA5E55" w14:textId="026CE2C4" w:rsidR="000E1557" w:rsidRPr="008119FA" w:rsidRDefault="000E1557" w:rsidP="000E1557">
            <w:pPr>
              <w:ind w:right="57"/>
              <w:jc w:val="right"/>
              <w:rPr>
                <w:sz w:val="16"/>
                <w:szCs w:val="16"/>
                <w:highlight w:val="yellow"/>
                <w:lang w:val="id-ID"/>
              </w:rPr>
            </w:pPr>
          </w:p>
        </w:tc>
        <w:tc>
          <w:tcPr>
            <w:tcW w:w="26" w:type="pct"/>
            <w:tcBorders>
              <w:left w:val="nil"/>
              <w:right w:val="nil"/>
            </w:tcBorders>
            <w:shd w:val="clear" w:color="auto" w:fill="auto"/>
            <w:vAlign w:val="bottom"/>
          </w:tcPr>
          <w:p w14:paraId="02618C05" w14:textId="77777777" w:rsidR="000E1557" w:rsidRPr="008119FA" w:rsidRDefault="000E1557" w:rsidP="000E1557">
            <w:pPr>
              <w:jc w:val="right"/>
              <w:rPr>
                <w:sz w:val="16"/>
                <w:szCs w:val="16"/>
                <w:highlight w:val="yellow"/>
              </w:rPr>
            </w:pPr>
          </w:p>
        </w:tc>
        <w:tc>
          <w:tcPr>
            <w:tcW w:w="879" w:type="pct"/>
            <w:gridSpan w:val="2"/>
            <w:tcBorders>
              <w:left w:val="nil"/>
              <w:right w:val="nil"/>
            </w:tcBorders>
            <w:shd w:val="clear" w:color="auto" w:fill="auto"/>
            <w:vAlign w:val="bottom"/>
          </w:tcPr>
          <w:p w14:paraId="73454493" w14:textId="38FDFA02" w:rsidR="000E1557" w:rsidRPr="008119FA" w:rsidRDefault="000E1557" w:rsidP="000E1557">
            <w:pPr>
              <w:ind w:right="57"/>
              <w:jc w:val="right"/>
              <w:rPr>
                <w:sz w:val="16"/>
                <w:szCs w:val="16"/>
                <w:highlight w:val="yellow"/>
              </w:rPr>
            </w:pPr>
          </w:p>
        </w:tc>
        <w:tc>
          <w:tcPr>
            <w:tcW w:w="26" w:type="pct"/>
            <w:tcBorders>
              <w:left w:val="nil"/>
              <w:right w:val="nil"/>
            </w:tcBorders>
            <w:shd w:val="clear" w:color="auto" w:fill="auto"/>
            <w:vAlign w:val="bottom"/>
          </w:tcPr>
          <w:p w14:paraId="4364B46A" w14:textId="77777777" w:rsidR="000E1557" w:rsidRPr="008119FA" w:rsidRDefault="000E1557" w:rsidP="000E1557">
            <w:pPr>
              <w:jc w:val="right"/>
              <w:rPr>
                <w:sz w:val="16"/>
                <w:szCs w:val="16"/>
                <w:highlight w:val="yellow"/>
              </w:rPr>
            </w:pPr>
          </w:p>
        </w:tc>
        <w:tc>
          <w:tcPr>
            <w:tcW w:w="881" w:type="pct"/>
            <w:tcBorders>
              <w:left w:val="nil"/>
              <w:right w:val="nil"/>
            </w:tcBorders>
            <w:shd w:val="clear" w:color="auto" w:fill="auto"/>
            <w:noWrap/>
            <w:vAlign w:val="bottom"/>
          </w:tcPr>
          <w:p w14:paraId="096A1E67" w14:textId="3E374FA9" w:rsidR="000E1557" w:rsidRPr="00415E1B" w:rsidRDefault="00AA405B" w:rsidP="000E1557">
            <w:pPr>
              <w:ind w:right="57"/>
              <w:jc w:val="right"/>
              <w:rPr>
                <w:bCs w:val="0"/>
                <w:sz w:val="16"/>
                <w:szCs w:val="16"/>
              </w:rPr>
            </w:pPr>
            <w:r w:rsidRPr="00415E1B">
              <w:rPr>
                <w:sz w:val="16"/>
                <w:szCs w:val="16"/>
              </w:rPr>
              <w:t>86.711.117.074</w:t>
            </w:r>
          </w:p>
        </w:tc>
        <w:tc>
          <w:tcPr>
            <w:tcW w:w="26" w:type="pct"/>
            <w:tcBorders>
              <w:left w:val="nil"/>
              <w:right w:val="nil"/>
            </w:tcBorders>
            <w:shd w:val="clear" w:color="auto" w:fill="auto"/>
            <w:noWrap/>
            <w:vAlign w:val="bottom"/>
          </w:tcPr>
          <w:p w14:paraId="471D0B5E" w14:textId="77777777" w:rsidR="000E1557" w:rsidRPr="0013526B" w:rsidRDefault="000E1557" w:rsidP="000E1557">
            <w:pPr>
              <w:jc w:val="right"/>
              <w:rPr>
                <w:sz w:val="16"/>
                <w:szCs w:val="16"/>
              </w:rPr>
            </w:pPr>
          </w:p>
        </w:tc>
        <w:tc>
          <w:tcPr>
            <w:tcW w:w="1097" w:type="pct"/>
            <w:gridSpan w:val="2"/>
            <w:tcBorders>
              <w:left w:val="nil"/>
              <w:right w:val="nil"/>
            </w:tcBorders>
            <w:shd w:val="clear" w:color="auto" w:fill="auto"/>
            <w:noWrap/>
            <w:vAlign w:val="bottom"/>
          </w:tcPr>
          <w:p w14:paraId="4049E699" w14:textId="77777777" w:rsidR="000E1557" w:rsidRPr="0093130F" w:rsidRDefault="000E1557" w:rsidP="000E1557">
            <w:pPr>
              <w:ind w:right="85"/>
              <w:jc w:val="right"/>
              <w:rPr>
                <w:bCs w:val="0"/>
                <w:i/>
                <w:iCs/>
                <w:sz w:val="16"/>
                <w:szCs w:val="16"/>
              </w:rPr>
            </w:pPr>
            <w:r w:rsidRPr="0093130F">
              <w:rPr>
                <w:bCs w:val="0"/>
                <w:i/>
                <w:iCs/>
                <w:sz w:val="16"/>
                <w:szCs w:val="16"/>
              </w:rPr>
              <w:t>Gross profit</w:t>
            </w:r>
          </w:p>
        </w:tc>
      </w:tr>
      <w:tr w:rsidR="000E1557" w:rsidRPr="0013526B" w14:paraId="1C9AF763"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6646A6C3" w14:textId="77777777" w:rsidR="000E1557" w:rsidRPr="0013526B" w:rsidRDefault="000E1557" w:rsidP="000E1557">
            <w:pPr>
              <w:ind w:left="366" w:hanging="141"/>
              <w:rPr>
                <w:sz w:val="16"/>
                <w:szCs w:val="16"/>
              </w:rPr>
            </w:pPr>
          </w:p>
        </w:tc>
        <w:tc>
          <w:tcPr>
            <w:tcW w:w="24" w:type="pct"/>
            <w:tcBorders>
              <w:left w:val="nil"/>
              <w:bottom w:val="nil"/>
              <w:right w:val="nil"/>
            </w:tcBorders>
          </w:tcPr>
          <w:p w14:paraId="3F7877E8" w14:textId="77777777" w:rsidR="000E1557" w:rsidRPr="0013526B" w:rsidRDefault="000E1557" w:rsidP="000E1557">
            <w:pPr>
              <w:ind w:right="57"/>
              <w:jc w:val="right"/>
              <w:rPr>
                <w:sz w:val="16"/>
                <w:szCs w:val="16"/>
              </w:rPr>
            </w:pPr>
          </w:p>
        </w:tc>
        <w:tc>
          <w:tcPr>
            <w:tcW w:w="879" w:type="pct"/>
            <w:tcBorders>
              <w:left w:val="nil"/>
              <w:bottom w:val="nil"/>
              <w:right w:val="nil"/>
            </w:tcBorders>
            <w:shd w:val="clear" w:color="auto" w:fill="auto"/>
            <w:vAlign w:val="bottom"/>
          </w:tcPr>
          <w:p w14:paraId="0B9CDCCC" w14:textId="77777777" w:rsidR="000E1557" w:rsidRPr="008119FA" w:rsidRDefault="000E1557" w:rsidP="000E1557">
            <w:pPr>
              <w:ind w:right="57"/>
              <w:jc w:val="right"/>
              <w:rPr>
                <w:sz w:val="16"/>
                <w:szCs w:val="16"/>
                <w:highlight w:val="yellow"/>
              </w:rPr>
            </w:pPr>
          </w:p>
        </w:tc>
        <w:tc>
          <w:tcPr>
            <w:tcW w:w="26" w:type="pct"/>
            <w:tcBorders>
              <w:left w:val="nil"/>
              <w:bottom w:val="nil"/>
              <w:right w:val="nil"/>
            </w:tcBorders>
            <w:shd w:val="clear" w:color="auto" w:fill="auto"/>
            <w:vAlign w:val="bottom"/>
          </w:tcPr>
          <w:p w14:paraId="1BCF2599" w14:textId="77777777" w:rsidR="000E1557" w:rsidRPr="008119FA" w:rsidRDefault="000E1557" w:rsidP="000E1557">
            <w:pPr>
              <w:jc w:val="right"/>
              <w:rPr>
                <w:sz w:val="16"/>
                <w:szCs w:val="16"/>
                <w:highlight w:val="yellow"/>
              </w:rPr>
            </w:pPr>
          </w:p>
        </w:tc>
        <w:tc>
          <w:tcPr>
            <w:tcW w:w="879" w:type="pct"/>
            <w:gridSpan w:val="2"/>
            <w:tcBorders>
              <w:left w:val="nil"/>
              <w:bottom w:val="nil"/>
              <w:right w:val="nil"/>
            </w:tcBorders>
            <w:shd w:val="clear" w:color="auto" w:fill="auto"/>
            <w:vAlign w:val="bottom"/>
          </w:tcPr>
          <w:p w14:paraId="74E22DDA" w14:textId="77777777" w:rsidR="000E1557" w:rsidRPr="008119FA" w:rsidRDefault="000E1557" w:rsidP="000E1557">
            <w:pPr>
              <w:ind w:right="57"/>
              <w:jc w:val="right"/>
              <w:rPr>
                <w:sz w:val="16"/>
                <w:szCs w:val="16"/>
                <w:highlight w:val="yellow"/>
              </w:rPr>
            </w:pPr>
          </w:p>
        </w:tc>
        <w:tc>
          <w:tcPr>
            <w:tcW w:w="26" w:type="pct"/>
            <w:tcBorders>
              <w:left w:val="nil"/>
              <w:bottom w:val="nil"/>
              <w:right w:val="nil"/>
            </w:tcBorders>
            <w:shd w:val="clear" w:color="auto" w:fill="auto"/>
            <w:vAlign w:val="bottom"/>
          </w:tcPr>
          <w:p w14:paraId="24060B25" w14:textId="77777777" w:rsidR="000E1557" w:rsidRPr="008119FA" w:rsidRDefault="000E1557" w:rsidP="000E1557">
            <w:pPr>
              <w:jc w:val="right"/>
              <w:rPr>
                <w:sz w:val="16"/>
                <w:szCs w:val="16"/>
                <w:highlight w:val="yellow"/>
              </w:rPr>
            </w:pPr>
          </w:p>
        </w:tc>
        <w:tc>
          <w:tcPr>
            <w:tcW w:w="881" w:type="pct"/>
            <w:tcBorders>
              <w:left w:val="nil"/>
              <w:bottom w:val="nil"/>
              <w:right w:val="nil"/>
            </w:tcBorders>
            <w:shd w:val="clear" w:color="auto" w:fill="auto"/>
            <w:noWrap/>
            <w:vAlign w:val="bottom"/>
          </w:tcPr>
          <w:p w14:paraId="16E6432A" w14:textId="77777777" w:rsidR="000E1557" w:rsidRPr="00415E1B" w:rsidRDefault="000E1557" w:rsidP="000E1557">
            <w:pPr>
              <w:ind w:right="57"/>
              <w:jc w:val="right"/>
              <w:rPr>
                <w:bCs w:val="0"/>
                <w:sz w:val="16"/>
                <w:szCs w:val="16"/>
              </w:rPr>
            </w:pPr>
          </w:p>
        </w:tc>
        <w:tc>
          <w:tcPr>
            <w:tcW w:w="26" w:type="pct"/>
            <w:tcBorders>
              <w:left w:val="nil"/>
              <w:bottom w:val="nil"/>
              <w:right w:val="nil"/>
            </w:tcBorders>
            <w:shd w:val="clear" w:color="auto" w:fill="auto"/>
            <w:noWrap/>
            <w:vAlign w:val="bottom"/>
          </w:tcPr>
          <w:p w14:paraId="1AAB68FE" w14:textId="77777777" w:rsidR="000E1557" w:rsidRPr="0013526B" w:rsidRDefault="000E1557" w:rsidP="000E1557">
            <w:pPr>
              <w:jc w:val="right"/>
              <w:rPr>
                <w:sz w:val="16"/>
                <w:szCs w:val="16"/>
              </w:rPr>
            </w:pPr>
          </w:p>
        </w:tc>
        <w:tc>
          <w:tcPr>
            <w:tcW w:w="1097" w:type="pct"/>
            <w:gridSpan w:val="2"/>
            <w:tcBorders>
              <w:left w:val="nil"/>
              <w:bottom w:val="nil"/>
              <w:right w:val="nil"/>
            </w:tcBorders>
            <w:shd w:val="clear" w:color="auto" w:fill="auto"/>
            <w:noWrap/>
            <w:vAlign w:val="bottom"/>
          </w:tcPr>
          <w:p w14:paraId="3CE79DBC" w14:textId="77777777" w:rsidR="000E1557" w:rsidRPr="0093130F" w:rsidRDefault="000E1557" w:rsidP="000E1557">
            <w:pPr>
              <w:ind w:right="85"/>
              <w:jc w:val="right"/>
              <w:rPr>
                <w:bCs w:val="0"/>
                <w:i/>
                <w:iCs/>
                <w:sz w:val="16"/>
                <w:szCs w:val="16"/>
              </w:rPr>
            </w:pPr>
          </w:p>
        </w:tc>
      </w:tr>
      <w:tr w:rsidR="000E1557" w:rsidRPr="0013526B" w14:paraId="3F8E1E5B"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right w:val="nil"/>
            </w:tcBorders>
            <w:shd w:val="clear" w:color="auto" w:fill="auto"/>
            <w:noWrap/>
            <w:vAlign w:val="bottom"/>
          </w:tcPr>
          <w:p w14:paraId="00114C63" w14:textId="77777777" w:rsidR="000E1557" w:rsidRPr="000E27E3" w:rsidRDefault="000E1557" w:rsidP="000E1557">
            <w:pPr>
              <w:ind w:left="506" w:hanging="141"/>
              <w:rPr>
                <w:bCs w:val="0"/>
                <w:sz w:val="16"/>
                <w:szCs w:val="16"/>
              </w:rPr>
            </w:pPr>
            <w:r w:rsidRPr="000E27E3">
              <w:rPr>
                <w:bCs w:val="0"/>
                <w:sz w:val="16"/>
                <w:szCs w:val="16"/>
              </w:rPr>
              <w:t>Beban Penjualan</w:t>
            </w:r>
          </w:p>
        </w:tc>
        <w:tc>
          <w:tcPr>
            <w:tcW w:w="24" w:type="pct"/>
            <w:tcBorders>
              <w:left w:val="nil"/>
              <w:right w:val="nil"/>
            </w:tcBorders>
          </w:tcPr>
          <w:p w14:paraId="32AC2704" w14:textId="77777777" w:rsidR="000E1557" w:rsidRPr="0013526B" w:rsidRDefault="000E1557" w:rsidP="000E1557">
            <w:pPr>
              <w:ind w:right="57"/>
              <w:jc w:val="right"/>
              <w:rPr>
                <w:b/>
                <w:sz w:val="16"/>
                <w:szCs w:val="16"/>
              </w:rPr>
            </w:pPr>
          </w:p>
        </w:tc>
        <w:tc>
          <w:tcPr>
            <w:tcW w:w="879" w:type="pct"/>
            <w:tcBorders>
              <w:left w:val="nil"/>
              <w:right w:val="nil"/>
            </w:tcBorders>
            <w:shd w:val="clear" w:color="auto" w:fill="auto"/>
            <w:vAlign w:val="bottom"/>
          </w:tcPr>
          <w:p w14:paraId="11618F03" w14:textId="77777777" w:rsidR="000E1557" w:rsidRPr="008119FA" w:rsidRDefault="000E1557" w:rsidP="000E1557">
            <w:pPr>
              <w:ind w:right="57"/>
              <w:jc w:val="right"/>
              <w:rPr>
                <w:b/>
                <w:sz w:val="16"/>
                <w:szCs w:val="16"/>
                <w:highlight w:val="yellow"/>
              </w:rPr>
            </w:pPr>
          </w:p>
        </w:tc>
        <w:tc>
          <w:tcPr>
            <w:tcW w:w="26" w:type="pct"/>
            <w:tcBorders>
              <w:left w:val="nil"/>
              <w:right w:val="nil"/>
            </w:tcBorders>
            <w:shd w:val="clear" w:color="auto" w:fill="auto"/>
            <w:vAlign w:val="bottom"/>
          </w:tcPr>
          <w:p w14:paraId="66B81CEF" w14:textId="77777777" w:rsidR="000E1557" w:rsidRPr="008119FA" w:rsidRDefault="000E1557" w:rsidP="000E1557">
            <w:pPr>
              <w:jc w:val="right"/>
              <w:rPr>
                <w:b/>
                <w:sz w:val="16"/>
                <w:szCs w:val="16"/>
                <w:highlight w:val="yellow"/>
              </w:rPr>
            </w:pPr>
          </w:p>
        </w:tc>
        <w:tc>
          <w:tcPr>
            <w:tcW w:w="879" w:type="pct"/>
            <w:gridSpan w:val="2"/>
            <w:tcBorders>
              <w:left w:val="nil"/>
              <w:right w:val="nil"/>
            </w:tcBorders>
            <w:shd w:val="clear" w:color="auto" w:fill="auto"/>
            <w:vAlign w:val="bottom"/>
          </w:tcPr>
          <w:p w14:paraId="403AFB87" w14:textId="77777777" w:rsidR="000E1557" w:rsidRPr="008119FA" w:rsidRDefault="000E1557" w:rsidP="000E1557">
            <w:pPr>
              <w:ind w:right="57"/>
              <w:jc w:val="right"/>
              <w:rPr>
                <w:b/>
                <w:sz w:val="16"/>
                <w:szCs w:val="16"/>
                <w:highlight w:val="yellow"/>
              </w:rPr>
            </w:pPr>
          </w:p>
        </w:tc>
        <w:tc>
          <w:tcPr>
            <w:tcW w:w="26" w:type="pct"/>
            <w:tcBorders>
              <w:left w:val="nil"/>
              <w:right w:val="nil"/>
            </w:tcBorders>
            <w:shd w:val="clear" w:color="auto" w:fill="auto"/>
            <w:vAlign w:val="bottom"/>
          </w:tcPr>
          <w:p w14:paraId="31D049CD" w14:textId="77777777" w:rsidR="000E1557" w:rsidRPr="008119FA" w:rsidRDefault="000E1557" w:rsidP="000E1557">
            <w:pPr>
              <w:jc w:val="right"/>
              <w:rPr>
                <w:b/>
                <w:sz w:val="16"/>
                <w:szCs w:val="16"/>
                <w:highlight w:val="yellow"/>
              </w:rPr>
            </w:pPr>
          </w:p>
        </w:tc>
        <w:tc>
          <w:tcPr>
            <w:tcW w:w="881" w:type="pct"/>
            <w:tcBorders>
              <w:left w:val="nil"/>
              <w:right w:val="nil"/>
            </w:tcBorders>
            <w:shd w:val="clear" w:color="auto" w:fill="auto"/>
            <w:noWrap/>
            <w:vAlign w:val="bottom"/>
          </w:tcPr>
          <w:p w14:paraId="1EAC1C8F" w14:textId="427CCFEF" w:rsidR="000E1557" w:rsidRPr="00415E1B" w:rsidRDefault="000E1557" w:rsidP="00AA405B">
            <w:pPr>
              <w:ind w:right="57"/>
              <w:jc w:val="right"/>
              <w:rPr>
                <w:bCs w:val="0"/>
                <w:sz w:val="16"/>
                <w:szCs w:val="16"/>
              </w:rPr>
            </w:pPr>
            <w:r w:rsidRPr="00415E1B">
              <w:rPr>
                <w:bCs w:val="0"/>
                <w:sz w:val="16"/>
                <w:szCs w:val="16"/>
                <w:lang w:val="id-ID"/>
              </w:rPr>
              <w:t>(</w:t>
            </w:r>
            <w:r w:rsidR="00AA405B" w:rsidRPr="00415E1B">
              <w:rPr>
                <w:bCs w:val="0"/>
                <w:sz w:val="16"/>
                <w:szCs w:val="16"/>
              </w:rPr>
              <w:t>2.908.833.601</w:t>
            </w:r>
            <w:r w:rsidRPr="00415E1B">
              <w:rPr>
                <w:bCs w:val="0"/>
                <w:sz w:val="16"/>
                <w:szCs w:val="16"/>
                <w:lang w:val="id-ID"/>
              </w:rPr>
              <w:t>)</w:t>
            </w:r>
          </w:p>
        </w:tc>
        <w:tc>
          <w:tcPr>
            <w:tcW w:w="26" w:type="pct"/>
            <w:tcBorders>
              <w:left w:val="nil"/>
              <w:right w:val="nil"/>
            </w:tcBorders>
            <w:shd w:val="clear" w:color="auto" w:fill="auto"/>
            <w:noWrap/>
            <w:vAlign w:val="bottom"/>
          </w:tcPr>
          <w:p w14:paraId="4BD060AE" w14:textId="77777777" w:rsidR="000E1557" w:rsidRPr="0013526B" w:rsidRDefault="000E1557" w:rsidP="000E1557">
            <w:pPr>
              <w:jc w:val="right"/>
              <w:rPr>
                <w:b/>
                <w:sz w:val="16"/>
                <w:szCs w:val="16"/>
              </w:rPr>
            </w:pPr>
          </w:p>
        </w:tc>
        <w:tc>
          <w:tcPr>
            <w:tcW w:w="1097" w:type="pct"/>
            <w:gridSpan w:val="2"/>
            <w:tcBorders>
              <w:left w:val="nil"/>
              <w:right w:val="nil"/>
            </w:tcBorders>
            <w:shd w:val="clear" w:color="auto" w:fill="auto"/>
            <w:noWrap/>
            <w:vAlign w:val="bottom"/>
          </w:tcPr>
          <w:p w14:paraId="1419DF09" w14:textId="77777777" w:rsidR="000E1557" w:rsidRPr="0093130F" w:rsidRDefault="000E1557" w:rsidP="000E1557">
            <w:pPr>
              <w:ind w:right="85"/>
              <w:jc w:val="right"/>
              <w:rPr>
                <w:bCs w:val="0"/>
                <w:i/>
                <w:iCs/>
                <w:sz w:val="16"/>
                <w:szCs w:val="16"/>
              </w:rPr>
            </w:pPr>
            <w:r w:rsidRPr="0093130F">
              <w:rPr>
                <w:bCs w:val="0"/>
                <w:i/>
                <w:iCs/>
                <w:sz w:val="16"/>
                <w:szCs w:val="16"/>
              </w:rPr>
              <w:t>Selling expenses</w:t>
            </w:r>
          </w:p>
        </w:tc>
      </w:tr>
      <w:tr w:rsidR="00FE6377" w:rsidRPr="0013526B" w14:paraId="54CDF370"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left w:val="nil"/>
              <w:bottom w:val="nil"/>
              <w:right w:val="nil"/>
            </w:tcBorders>
            <w:shd w:val="clear" w:color="auto" w:fill="auto"/>
            <w:noWrap/>
            <w:vAlign w:val="bottom"/>
          </w:tcPr>
          <w:p w14:paraId="4A2F6AD7" w14:textId="77777777" w:rsidR="00FE6377" w:rsidRPr="000E27E3" w:rsidRDefault="00FE6377" w:rsidP="00FE6377">
            <w:pPr>
              <w:ind w:left="506" w:hanging="141"/>
              <w:rPr>
                <w:bCs w:val="0"/>
                <w:sz w:val="16"/>
                <w:szCs w:val="16"/>
              </w:rPr>
            </w:pPr>
            <w:r w:rsidRPr="000E27E3">
              <w:rPr>
                <w:bCs w:val="0"/>
                <w:sz w:val="16"/>
                <w:szCs w:val="16"/>
              </w:rPr>
              <w:t>Beban umum dan administrasi</w:t>
            </w:r>
          </w:p>
        </w:tc>
        <w:tc>
          <w:tcPr>
            <w:tcW w:w="24" w:type="pct"/>
            <w:tcBorders>
              <w:left w:val="nil"/>
              <w:bottom w:val="nil"/>
              <w:right w:val="nil"/>
            </w:tcBorders>
          </w:tcPr>
          <w:p w14:paraId="18229585" w14:textId="77777777" w:rsidR="00FE6377" w:rsidRPr="0013526B" w:rsidRDefault="00FE6377" w:rsidP="00FE6377">
            <w:pPr>
              <w:ind w:right="57"/>
              <w:jc w:val="right"/>
              <w:rPr>
                <w:b/>
                <w:sz w:val="16"/>
                <w:szCs w:val="16"/>
              </w:rPr>
            </w:pPr>
          </w:p>
        </w:tc>
        <w:tc>
          <w:tcPr>
            <w:tcW w:w="879" w:type="pct"/>
            <w:tcBorders>
              <w:left w:val="nil"/>
              <w:bottom w:val="nil"/>
              <w:right w:val="nil"/>
            </w:tcBorders>
            <w:shd w:val="clear" w:color="auto" w:fill="auto"/>
            <w:vAlign w:val="bottom"/>
          </w:tcPr>
          <w:p w14:paraId="01CED9E0" w14:textId="77777777" w:rsidR="00FE6377" w:rsidRPr="008119FA" w:rsidRDefault="00FE6377" w:rsidP="00FE6377">
            <w:pPr>
              <w:ind w:right="57"/>
              <w:jc w:val="right"/>
              <w:rPr>
                <w:b/>
                <w:sz w:val="16"/>
                <w:szCs w:val="16"/>
                <w:highlight w:val="yellow"/>
              </w:rPr>
            </w:pPr>
          </w:p>
        </w:tc>
        <w:tc>
          <w:tcPr>
            <w:tcW w:w="26" w:type="pct"/>
            <w:tcBorders>
              <w:left w:val="nil"/>
              <w:bottom w:val="nil"/>
              <w:right w:val="nil"/>
            </w:tcBorders>
            <w:shd w:val="clear" w:color="auto" w:fill="auto"/>
            <w:vAlign w:val="bottom"/>
          </w:tcPr>
          <w:p w14:paraId="77890F95" w14:textId="77777777" w:rsidR="00FE6377" w:rsidRPr="008119FA" w:rsidRDefault="00FE6377" w:rsidP="00FE6377">
            <w:pPr>
              <w:jc w:val="right"/>
              <w:rPr>
                <w:b/>
                <w:sz w:val="16"/>
                <w:szCs w:val="16"/>
                <w:highlight w:val="yellow"/>
              </w:rPr>
            </w:pPr>
          </w:p>
        </w:tc>
        <w:tc>
          <w:tcPr>
            <w:tcW w:w="879" w:type="pct"/>
            <w:gridSpan w:val="2"/>
            <w:tcBorders>
              <w:left w:val="nil"/>
              <w:bottom w:val="nil"/>
              <w:right w:val="nil"/>
            </w:tcBorders>
            <w:shd w:val="clear" w:color="auto" w:fill="auto"/>
            <w:vAlign w:val="bottom"/>
          </w:tcPr>
          <w:p w14:paraId="6027C396" w14:textId="77777777" w:rsidR="00FE6377" w:rsidRPr="008119FA" w:rsidRDefault="00FE6377" w:rsidP="00FE6377">
            <w:pPr>
              <w:ind w:right="57"/>
              <w:jc w:val="right"/>
              <w:rPr>
                <w:b/>
                <w:sz w:val="16"/>
                <w:szCs w:val="16"/>
                <w:highlight w:val="yellow"/>
              </w:rPr>
            </w:pPr>
          </w:p>
        </w:tc>
        <w:tc>
          <w:tcPr>
            <w:tcW w:w="26" w:type="pct"/>
            <w:tcBorders>
              <w:left w:val="nil"/>
              <w:bottom w:val="nil"/>
              <w:right w:val="nil"/>
            </w:tcBorders>
            <w:shd w:val="clear" w:color="auto" w:fill="auto"/>
            <w:vAlign w:val="bottom"/>
          </w:tcPr>
          <w:p w14:paraId="70873704" w14:textId="77777777" w:rsidR="00FE6377" w:rsidRPr="008119FA" w:rsidRDefault="00FE6377" w:rsidP="00FE6377">
            <w:pPr>
              <w:jc w:val="right"/>
              <w:rPr>
                <w:b/>
                <w:sz w:val="16"/>
                <w:szCs w:val="16"/>
                <w:highlight w:val="yellow"/>
              </w:rPr>
            </w:pPr>
          </w:p>
        </w:tc>
        <w:tc>
          <w:tcPr>
            <w:tcW w:w="881" w:type="pct"/>
            <w:tcBorders>
              <w:left w:val="nil"/>
              <w:right w:val="nil"/>
            </w:tcBorders>
            <w:shd w:val="clear" w:color="auto" w:fill="auto"/>
            <w:noWrap/>
            <w:vAlign w:val="bottom"/>
          </w:tcPr>
          <w:p w14:paraId="0E569961" w14:textId="5E3A2844" w:rsidR="00FE6377" w:rsidRPr="008723B4" w:rsidRDefault="00FE6377" w:rsidP="008723B4">
            <w:pPr>
              <w:ind w:right="57"/>
              <w:jc w:val="right"/>
              <w:rPr>
                <w:bCs w:val="0"/>
                <w:sz w:val="16"/>
                <w:szCs w:val="16"/>
              </w:rPr>
            </w:pPr>
            <w:r w:rsidRPr="008723B4">
              <w:rPr>
                <w:sz w:val="16"/>
                <w:szCs w:val="18"/>
              </w:rPr>
              <w:t xml:space="preserve">     (</w:t>
            </w:r>
            <w:r w:rsidR="00AB14D0" w:rsidRPr="008723B4">
              <w:rPr>
                <w:sz w:val="16"/>
                <w:szCs w:val="18"/>
              </w:rPr>
              <w:t>91.639.342.58</w:t>
            </w:r>
            <w:r w:rsidR="008723B4" w:rsidRPr="008723B4">
              <w:rPr>
                <w:sz w:val="16"/>
                <w:szCs w:val="18"/>
              </w:rPr>
              <w:t>3</w:t>
            </w:r>
            <w:r w:rsidRPr="008723B4">
              <w:rPr>
                <w:sz w:val="16"/>
                <w:szCs w:val="18"/>
              </w:rPr>
              <w:t>)</w:t>
            </w:r>
          </w:p>
        </w:tc>
        <w:tc>
          <w:tcPr>
            <w:tcW w:w="26" w:type="pct"/>
            <w:tcBorders>
              <w:left w:val="nil"/>
              <w:bottom w:val="nil"/>
              <w:right w:val="nil"/>
            </w:tcBorders>
            <w:shd w:val="clear" w:color="auto" w:fill="auto"/>
            <w:noWrap/>
            <w:vAlign w:val="bottom"/>
          </w:tcPr>
          <w:p w14:paraId="2B46DAB5" w14:textId="77777777" w:rsidR="00FE6377" w:rsidRPr="0013526B" w:rsidRDefault="00FE6377" w:rsidP="00FE6377">
            <w:pPr>
              <w:jc w:val="right"/>
              <w:rPr>
                <w:b/>
                <w:sz w:val="16"/>
                <w:szCs w:val="16"/>
              </w:rPr>
            </w:pPr>
          </w:p>
        </w:tc>
        <w:tc>
          <w:tcPr>
            <w:tcW w:w="1097" w:type="pct"/>
            <w:gridSpan w:val="2"/>
            <w:tcBorders>
              <w:left w:val="nil"/>
              <w:bottom w:val="nil"/>
              <w:right w:val="nil"/>
            </w:tcBorders>
            <w:shd w:val="clear" w:color="auto" w:fill="auto"/>
            <w:noWrap/>
            <w:vAlign w:val="bottom"/>
          </w:tcPr>
          <w:p w14:paraId="159CE6D7" w14:textId="77777777" w:rsidR="00FE6377" w:rsidRDefault="00FE6377" w:rsidP="00FE6377">
            <w:pPr>
              <w:ind w:right="85"/>
              <w:jc w:val="right"/>
              <w:rPr>
                <w:bCs w:val="0"/>
                <w:i/>
                <w:iCs/>
                <w:sz w:val="16"/>
                <w:szCs w:val="16"/>
              </w:rPr>
            </w:pPr>
            <w:r w:rsidRPr="0093130F">
              <w:rPr>
                <w:bCs w:val="0"/>
                <w:i/>
                <w:iCs/>
                <w:sz w:val="16"/>
                <w:szCs w:val="16"/>
              </w:rPr>
              <w:t xml:space="preserve">General and </w:t>
            </w:r>
          </w:p>
          <w:p w14:paraId="58411BA2" w14:textId="2C2153E9" w:rsidR="00FE6377" w:rsidRPr="0093130F" w:rsidRDefault="00FE6377" w:rsidP="00FE6377">
            <w:pPr>
              <w:ind w:right="227"/>
              <w:jc w:val="right"/>
              <w:rPr>
                <w:bCs w:val="0"/>
                <w:i/>
                <w:iCs/>
                <w:sz w:val="16"/>
                <w:szCs w:val="16"/>
              </w:rPr>
            </w:pPr>
            <w:r w:rsidRPr="0093130F">
              <w:rPr>
                <w:bCs w:val="0"/>
                <w:i/>
                <w:iCs/>
                <w:sz w:val="16"/>
                <w:szCs w:val="16"/>
              </w:rPr>
              <w:t>administrative expenses</w:t>
            </w:r>
          </w:p>
        </w:tc>
      </w:tr>
      <w:tr w:rsidR="00FE6377" w:rsidRPr="0013526B" w14:paraId="6ACEACA9"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right w:val="nil"/>
            </w:tcBorders>
            <w:shd w:val="clear" w:color="auto" w:fill="auto"/>
            <w:noWrap/>
            <w:vAlign w:val="bottom"/>
          </w:tcPr>
          <w:p w14:paraId="7C00E481" w14:textId="77777777" w:rsidR="00FE6377" w:rsidRPr="000E27E3" w:rsidRDefault="00FE6377" w:rsidP="00FE6377">
            <w:pPr>
              <w:ind w:left="506" w:hanging="141"/>
              <w:rPr>
                <w:bCs w:val="0"/>
                <w:sz w:val="16"/>
                <w:szCs w:val="16"/>
              </w:rPr>
            </w:pPr>
            <w:r w:rsidRPr="000E27E3">
              <w:rPr>
                <w:bCs w:val="0"/>
                <w:sz w:val="16"/>
                <w:szCs w:val="16"/>
              </w:rPr>
              <w:t>Lain-lain - bersih</w:t>
            </w:r>
          </w:p>
        </w:tc>
        <w:tc>
          <w:tcPr>
            <w:tcW w:w="24" w:type="pct"/>
            <w:tcBorders>
              <w:left w:val="nil"/>
              <w:right w:val="nil"/>
            </w:tcBorders>
          </w:tcPr>
          <w:p w14:paraId="494B1A61" w14:textId="77777777" w:rsidR="00FE6377" w:rsidRPr="0013526B" w:rsidRDefault="00FE6377" w:rsidP="00FE6377">
            <w:pPr>
              <w:ind w:right="57"/>
              <w:jc w:val="right"/>
              <w:rPr>
                <w:b/>
                <w:sz w:val="16"/>
                <w:szCs w:val="16"/>
              </w:rPr>
            </w:pPr>
          </w:p>
        </w:tc>
        <w:tc>
          <w:tcPr>
            <w:tcW w:w="879" w:type="pct"/>
            <w:tcBorders>
              <w:left w:val="nil"/>
              <w:right w:val="nil"/>
            </w:tcBorders>
            <w:shd w:val="clear" w:color="auto" w:fill="auto"/>
            <w:vAlign w:val="bottom"/>
          </w:tcPr>
          <w:p w14:paraId="613FDC45" w14:textId="77777777" w:rsidR="00FE6377" w:rsidRPr="008119FA" w:rsidRDefault="00FE6377" w:rsidP="00FE6377">
            <w:pPr>
              <w:ind w:right="57"/>
              <w:jc w:val="right"/>
              <w:rPr>
                <w:b/>
                <w:sz w:val="16"/>
                <w:szCs w:val="16"/>
                <w:highlight w:val="yellow"/>
              </w:rPr>
            </w:pPr>
          </w:p>
        </w:tc>
        <w:tc>
          <w:tcPr>
            <w:tcW w:w="26" w:type="pct"/>
            <w:tcBorders>
              <w:left w:val="nil"/>
              <w:right w:val="nil"/>
            </w:tcBorders>
            <w:shd w:val="clear" w:color="auto" w:fill="auto"/>
            <w:vAlign w:val="bottom"/>
          </w:tcPr>
          <w:p w14:paraId="69F22585" w14:textId="77777777" w:rsidR="00FE6377" w:rsidRPr="008119FA" w:rsidRDefault="00FE6377" w:rsidP="00FE6377">
            <w:pPr>
              <w:jc w:val="right"/>
              <w:rPr>
                <w:b/>
                <w:sz w:val="16"/>
                <w:szCs w:val="16"/>
                <w:highlight w:val="yellow"/>
              </w:rPr>
            </w:pPr>
          </w:p>
        </w:tc>
        <w:tc>
          <w:tcPr>
            <w:tcW w:w="879" w:type="pct"/>
            <w:gridSpan w:val="2"/>
            <w:tcBorders>
              <w:left w:val="nil"/>
              <w:right w:val="nil"/>
            </w:tcBorders>
            <w:shd w:val="clear" w:color="auto" w:fill="auto"/>
            <w:vAlign w:val="bottom"/>
          </w:tcPr>
          <w:p w14:paraId="09965316" w14:textId="77777777" w:rsidR="00FE6377" w:rsidRPr="008119FA" w:rsidRDefault="00FE6377" w:rsidP="00FE6377">
            <w:pPr>
              <w:ind w:right="57"/>
              <w:jc w:val="right"/>
              <w:rPr>
                <w:b/>
                <w:sz w:val="16"/>
                <w:szCs w:val="16"/>
                <w:highlight w:val="yellow"/>
              </w:rPr>
            </w:pPr>
          </w:p>
        </w:tc>
        <w:tc>
          <w:tcPr>
            <w:tcW w:w="26" w:type="pct"/>
            <w:tcBorders>
              <w:left w:val="nil"/>
              <w:right w:val="nil"/>
            </w:tcBorders>
            <w:shd w:val="clear" w:color="auto" w:fill="auto"/>
            <w:vAlign w:val="bottom"/>
          </w:tcPr>
          <w:p w14:paraId="66FE1874" w14:textId="77777777" w:rsidR="00FE6377" w:rsidRPr="008119FA" w:rsidRDefault="00FE6377" w:rsidP="00FE6377">
            <w:pPr>
              <w:jc w:val="right"/>
              <w:rPr>
                <w:b/>
                <w:sz w:val="16"/>
                <w:szCs w:val="16"/>
                <w:highlight w:val="yellow"/>
              </w:rPr>
            </w:pPr>
          </w:p>
        </w:tc>
        <w:tc>
          <w:tcPr>
            <w:tcW w:w="881" w:type="pct"/>
            <w:tcBorders>
              <w:left w:val="nil"/>
              <w:bottom w:val="single" w:sz="4" w:space="0" w:color="auto"/>
              <w:right w:val="nil"/>
            </w:tcBorders>
            <w:shd w:val="clear" w:color="auto" w:fill="auto"/>
            <w:noWrap/>
            <w:vAlign w:val="bottom"/>
          </w:tcPr>
          <w:p w14:paraId="3CFD1373" w14:textId="571A9ED8" w:rsidR="00FE6377" w:rsidRPr="008723B4" w:rsidRDefault="00FE6377" w:rsidP="00FE6377">
            <w:pPr>
              <w:ind w:right="57"/>
              <w:jc w:val="right"/>
              <w:rPr>
                <w:bCs w:val="0"/>
                <w:sz w:val="16"/>
                <w:szCs w:val="16"/>
              </w:rPr>
            </w:pPr>
            <w:r w:rsidRPr="008723B4">
              <w:rPr>
                <w:bCs w:val="0"/>
                <w:sz w:val="16"/>
                <w:szCs w:val="16"/>
              </w:rPr>
              <w:t>(191.028.736)</w:t>
            </w:r>
          </w:p>
        </w:tc>
        <w:tc>
          <w:tcPr>
            <w:tcW w:w="26" w:type="pct"/>
            <w:tcBorders>
              <w:left w:val="nil"/>
              <w:right w:val="nil"/>
            </w:tcBorders>
            <w:shd w:val="clear" w:color="auto" w:fill="auto"/>
            <w:noWrap/>
            <w:vAlign w:val="bottom"/>
          </w:tcPr>
          <w:p w14:paraId="53DFFF8A" w14:textId="77777777" w:rsidR="00FE6377" w:rsidRPr="0013526B" w:rsidRDefault="00FE6377" w:rsidP="00FE6377">
            <w:pPr>
              <w:jc w:val="right"/>
              <w:rPr>
                <w:b/>
                <w:sz w:val="16"/>
                <w:szCs w:val="16"/>
              </w:rPr>
            </w:pPr>
          </w:p>
        </w:tc>
        <w:tc>
          <w:tcPr>
            <w:tcW w:w="1097" w:type="pct"/>
            <w:gridSpan w:val="2"/>
            <w:tcBorders>
              <w:left w:val="nil"/>
              <w:right w:val="nil"/>
            </w:tcBorders>
            <w:shd w:val="clear" w:color="auto" w:fill="auto"/>
            <w:noWrap/>
            <w:vAlign w:val="bottom"/>
          </w:tcPr>
          <w:p w14:paraId="535B2607" w14:textId="17497E00" w:rsidR="00FE6377" w:rsidRPr="0093130F" w:rsidRDefault="00FE6377" w:rsidP="00FE6377">
            <w:pPr>
              <w:ind w:left="-284" w:right="85"/>
              <w:jc w:val="right"/>
              <w:rPr>
                <w:bCs w:val="0"/>
                <w:i/>
                <w:iCs/>
                <w:sz w:val="16"/>
                <w:szCs w:val="16"/>
              </w:rPr>
            </w:pPr>
            <w:r w:rsidRPr="0093130F">
              <w:rPr>
                <w:bCs w:val="0"/>
                <w:i/>
                <w:iCs/>
                <w:sz w:val="16"/>
                <w:szCs w:val="16"/>
              </w:rPr>
              <w:t xml:space="preserve">Others </w:t>
            </w:r>
            <w:r>
              <w:rPr>
                <w:bCs w:val="0"/>
                <w:i/>
                <w:iCs/>
                <w:sz w:val="16"/>
                <w:szCs w:val="16"/>
              </w:rPr>
              <w:t>-</w:t>
            </w:r>
            <w:r w:rsidRPr="0093130F">
              <w:rPr>
                <w:bCs w:val="0"/>
                <w:i/>
                <w:iCs/>
                <w:sz w:val="16"/>
                <w:szCs w:val="16"/>
              </w:rPr>
              <w:t xml:space="preserve"> net</w:t>
            </w:r>
          </w:p>
        </w:tc>
      </w:tr>
      <w:tr w:rsidR="00FE6377" w:rsidRPr="0013526B" w14:paraId="51B1E381"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right w:val="nil"/>
            </w:tcBorders>
            <w:shd w:val="clear" w:color="auto" w:fill="auto"/>
            <w:noWrap/>
            <w:vAlign w:val="bottom"/>
          </w:tcPr>
          <w:p w14:paraId="15C2D299" w14:textId="77777777" w:rsidR="00FE6377" w:rsidRPr="0013526B" w:rsidRDefault="00FE6377" w:rsidP="00FE6377">
            <w:pPr>
              <w:ind w:left="141" w:hanging="141"/>
              <w:rPr>
                <w:b/>
                <w:sz w:val="16"/>
                <w:szCs w:val="16"/>
              </w:rPr>
            </w:pPr>
          </w:p>
        </w:tc>
        <w:tc>
          <w:tcPr>
            <w:tcW w:w="24" w:type="pct"/>
            <w:tcBorders>
              <w:left w:val="nil"/>
              <w:right w:val="nil"/>
            </w:tcBorders>
          </w:tcPr>
          <w:p w14:paraId="6E15ED27" w14:textId="77777777" w:rsidR="00FE6377" w:rsidRPr="0013526B" w:rsidRDefault="00FE6377" w:rsidP="00FE6377">
            <w:pPr>
              <w:ind w:right="57"/>
              <w:jc w:val="right"/>
              <w:rPr>
                <w:b/>
                <w:sz w:val="16"/>
                <w:szCs w:val="16"/>
              </w:rPr>
            </w:pPr>
          </w:p>
        </w:tc>
        <w:tc>
          <w:tcPr>
            <w:tcW w:w="879" w:type="pct"/>
            <w:tcBorders>
              <w:left w:val="nil"/>
              <w:right w:val="nil"/>
            </w:tcBorders>
            <w:vAlign w:val="bottom"/>
          </w:tcPr>
          <w:p w14:paraId="5A37EC80" w14:textId="77777777" w:rsidR="00FE6377" w:rsidRPr="008119FA" w:rsidRDefault="00FE6377" w:rsidP="00FE6377">
            <w:pPr>
              <w:ind w:right="57"/>
              <w:jc w:val="right"/>
              <w:rPr>
                <w:b/>
                <w:sz w:val="16"/>
                <w:szCs w:val="16"/>
                <w:highlight w:val="yellow"/>
              </w:rPr>
            </w:pPr>
          </w:p>
        </w:tc>
        <w:tc>
          <w:tcPr>
            <w:tcW w:w="26" w:type="pct"/>
            <w:tcBorders>
              <w:left w:val="nil"/>
              <w:right w:val="nil"/>
            </w:tcBorders>
            <w:vAlign w:val="bottom"/>
          </w:tcPr>
          <w:p w14:paraId="2E78C3BE" w14:textId="77777777" w:rsidR="00FE6377" w:rsidRPr="008119FA" w:rsidRDefault="00FE6377" w:rsidP="00FE6377">
            <w:pPr>
              <w:jc w:val="right"/>
              <w:rPr>
                <w:b/>
                <w:sz w:val="16"/>
                <w:szCs w:val="16"/>
                <w:highlight w:val="yellow"/>
              </w:rPr>
            </w:pPr>
          </w:p>
        </w:tc>
        <w:tc>
          <w:tcPr>
            <w:tcW w:w="879" w:type="pct"/>
            <w:gridSpan w:val="2"/>
            <w:tcBorders>
              <w:left w:val="nil"/>
              <w:right w:val="nil"/>
            </w:tcBorders>
            <w:vAlign w:val="bottom"/>
          </w:tcPr>
          <w:p w14:paraId="69FA104F" w14:textId="77777777" w:rsidR="00FE6377" w:rsidRPr="008119FA" w:rsidRDefault="00FE6377" w:rsidP="00FE6377">
            <w:pPr>
              <w:ind w:right="57"/>
              <w:jc w:val="right"/>
              <w:rPr>
                <w:b/>
                <w:sz w:val="16"/>
                <w:szCs w:val="16"/>
                <w:highlight w:val="yellow"/>
              </w:rPr>
            </w:pPr>
          </w:p>
        </w:tc>
        <w:tc>
          <w:tcPr>
            <w:tcW w:w="26" w:type="pct"/>
            <w:tcBorders>
              <w:left w:val="nil"/>
              <w:right w:val="nil"/>
            </w:tcBorders>
            <w:vAlign w:val="bottom"/>
          </w:tcPr>
          <w:p w14:paraId="3950A10F" w14:textId="77777777" w:rsidR="00FE6377" w:rsidRPr="008119FA" w:rsidRDefault="00FE6377" w:rsidP="00FE6377">
            <w:pPr>
              <w:jc w:val="right"/>
              <w:rPr>
                <w:b/>
                <w:sz w:val="16"/>
                <w:szCs w:val="16"/>
                <w:highlight w:val="yellow"/>
              </w:rPr>
            </w:pPr>
          </w:p>
        </w:tc>
        <w:tc>
          <w:tcPr>
            <w:tcW w:w="881" w:type="pct"/>
            <w:tcBorders>
              <w:top w:val="single" w:sz="4" w:space="0" w:color="auto"/>
              <w:left w:val="nil"/>
              <w:right w:val="nil"/>
            </w:tcBorders>
            <w:shd w:val="clear" w:color="auto" w:fill="auto"/>
            <w:noWrap/>
            <w:vAlign w:val="bottom"/>
          </w:tcPr>
          <w:p w14:paraId="653F87AD" w14:textId="77777777" w:rsidR="00FE6377" w:rsidRPr="008723B4" w:rsidRDefault="00FE6377" w:rsidP="00FE6377">
            <w:pPr>
              <w:ind w:right="57"/>
              <w:jc w:val="right"/>
              <w:rPr>
                <w:bCs w:val="0"/>
                <w:sz w:val="16"/>
                <w:szCs w:val="16"/>
              </w:rPr>
            </w:pPr>
          </w:p>
        </w:tc>
        <w:tc>
          <w:tcPr>
            <w:tcW w:w="26" w:type="pct"/>
            <w:tcBorders>
              <w:left w:val="nil"/>
              <w:right w:val="nil"/>
            </w:tcBorders>
            <w:shd w:val="clear" w:color="auto" w:fill="auto"/>
            <w:noWrap/>
            <w:vAlign w:val="bottom"/>
          </w:tcPr>
          <w:p w14:paraId="5144DFC6" w14:textId="77777777" w:rsidR="00FE6377" w:rsidRPr="0013526B" w:rsidRDefault="00FE6377" w:rsidP="00FE6377">
            <w:pPr>
              <w:jc w:val="right"/>
              <w:rPr>
                <w:b/>
                <w:sz w:val="16"/>
                <w:szCs w:val="16"/>
              </w:rPr>
            </w:pPr>
          </w:p>
        </w:tc>
        <w:tc>
          <w:tcPr>
            <w:tcW w:w="1097" w:type="pct"/>
            <w:gridSpan w:val="2"/>
            <w:tcBorders>
              <w:left w:val="nil"/>
              <w:right w:val="nil"/>
            </w:tcBorders>
            <w:shd w:val="clear" w:color="auto" w:fill="auto"/>
            <w:noWrap/>
            <w:vAlign w:val="bottom"/>
          </w:tcPr>
          <w:p w14:paraId="5A49864B" w14:textId="77777777" w:rsidR="00FE6377" w:rsidRPr="0013526B" w:rsidRDefault="00FE6377" w:rsidP="00FE6377">
            <w:pPr>
              <w:ind w:right="85"/>
              <w:jc w:val="right"/>
              <w:rPr>
                <w:b/>
                <w:i/>
                <w:iCs/>
                <w:sz w:val="16"/>
                <w:szCs w:val="16"/>
              </w:rPr>
            </w:pPr>
          </w:p>
        </w:tc>
      </w:tr>
      <w:tr w:rsidR="00FE6377" w:rsidRPr="0013526B" w14:paraId="07202B5B"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3071BA29" w14:textId="77777777" w:rsidR="00FE6377" w:rsidRPr="0013526B" w:rsidRDefault="00FE6377" w:rsidP="00FE6377">
            <w:pPr>
              <w:ind w:left="478" w:hanging="141"/>
              <w:rPr>
                <w:sz w:val="16"/>
                <w:szCs w:val="16"/>
              </w:rPr>
            </w:pPr>
            <w:r>
              <w:rPr>
                <w:sz w:val="16"/>
                <w:szCs w:val="16"/>
              </w:rPr>
              <w:t>Rugi sebelum pajak penghasilan</w:t>
            </w:r>
          </w:p>
        </w:tc>
        <w:tc>
          <w:tcPr>
            <w:tcW w:w="24" w:type="pct"/>
            <w:tcBorders>
              <w:left w:val="nil"/>
              <w:right w:val="nil"/>
            </w:tcBorders>
          </w:tcPr>
          <w:p w14:paraId="15FF78C2"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04C8775B"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19979F79"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68CDAE62"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35A7E61B" w14:textId="77777777" w:rsidR="00FE6377" w:rsidRPr="008119FA" w:rsidRDefault="00FE6377" w:rsidP="00FE6377">
            <w:pPr>
              <w:jc w:val="right"/>
              <w:rPr>
                <w:sz w:val="16"/>
                <w:szCs w:val="16"/>
                <w:highlight w:val="yellow"/>
              </w:rPr>
            </w:pPr>
          </w:p>
        </w:tc>
        <w:tc>
          <w:tcPr>
            <w:tcW w:w="881" w:type="pct"/>
            <w:tcBorders>
              <w:left w:val="nil"/>
              <w:right w:val="nil"/>
            </w:tcBorders>
            <w:shd w:val="clear" w:color="auto" w:fill="auto"/>
            <w:noWrap/>
            <w:vAlign w:val="bottom"/>
          </w:tcPr>
          <w:p w14:paraId="053360FF" w14:textId="6C664BBF" w:rsidR="00FE6377" w:rsidRPr="008723B4" w:rsidRDefault="00AB14D0" w:rsidP="00AB14D0">
            <w:pPr>
              <w:ind w:right="57"/>
              <w:jc w:val="right"/>
              <w:rPr>
                <w:bCs w:val="0"/>
                <w:sz w:val="16"/>
                <w:szCs w:val="16"/>
              </w:rPr>
            </w:pPr>
            <w:r w:rsidRPr="008723B4">
              <w:rPr>
                <w:sz w:val="16"/>
                <w:szCs w:val="16"/>
              </w:rPr>
              <w:t>(8.028.087.847)</w:t>
            </w:r>
          </w:p>
        </w:tc>
        <w:tc>
          <w:tcPr>
            <w:tcW w:w="26" w:type="pct"/>
            <w:tcBorders>
              <w:left w:val="nil"/>
              <w:bottom w:val="nil"/>
              <w:right w:val="nil"/>
            </w:tcBorders>
            <w:shd w:val="clear" w:color="auto" w:fill="auto"/>
            <w:noWrap/>
            <w:vAlign w:val="bottom"/>
          </w:tcPr>
          <w:p w14:paraId="1F1CB92E" w14:textId="77777777" w:rsidR="00FE6377" w:rsidRPr="0013526B" w:rsidRDefault="00FE6377" w:rsidP="00FE6377">
            <w:pPr>
              <w:jc w:val="right"/>
              <w:rPr>
                <w:sz w:val="16"/>
                <w:szCs w:val="16"/>
              </w:rPr>
            </w:pPr>
          </w:p>
        </w:tc>
        <w:tc>
          <w:tcPr>
            <w:tcW w:w="1097" w:type="pct"/>
            <w:gridSpan w:val="2"/>
            <w:tcBorders>
              <w:left w:val="nil"/>
              <w:bottom w:val="nil"/>
              <w:right w:val="nil"/>
            </w:tcBorders>
            <w:shd w:val="clear" w:color="auto" w:fill="auto"/>
            <w:noWrap/>
            <w:vAlign w:val="bottom"/>
          </w:tcPr>
          <w:p w14:paraId="2BF8E970" w14:textId="77777777" w:rsidR="00FE6377" w:rsidRPr="0013526B" w:rsidRDefault="00FE6377" w:rsidP="00FE6377">
            <w:pPr>
              <w:ind w:left="-284" w:right="85"/>
              <w:jc w:val="right"/>
              <w:rPr>
                <w:i/>
                <w:iCs/>
                <w:sz w:val="16"/>
                <w:szCs w:val="16"/>
              </w:rPr>
            </w:pPr>
            <w:r>
              <w:rPr>
                <w:i/>
                <w:iCs/>
                <w:sz w:val="16"/>
                <w:szCs w:val="16"/>
              </w:rPr>
              <w:t xml:space="preserve">Loss before income </w:t>
            </w:r>
            <w:r w:rsidRPr="00FF47C6">
              <w:rPr>
                <w:bCs w:val="0"/>
                <w:i/>
                <w:iCs/>
                <w:sz w:val="16"/>
                <w:szCs w:val="16"/>
              </w:rPr>
              <w:t>tax</w:t>
            </w:r>
          </w:p>
        </w:tc>
      </w:tr>
      <w:tr w:rsidR="00FE6377" w:rsidRPr="0013526B" w14:paraId="1D92B8D3"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782C0857" w14:textId="77777777" w:rsidR="00FE6377" w:rsidRPr="0013526B" w:rsidRDefault="00FE6377" w:rsidP="00FE6377">
            <w:pPr>
              <w:ind w:left="478" w:hanging="141"/>
              <w:rPr>
                <w:sz w:val="16"/>
                <w:szCs w:val="16"/>
              </w:rPr>
            </w:pPr>
            <w:r>
              <w:rPr>
                <w:sz w:val="16"/>
                <w:szCs w:val="16"/>
              </w:rPr>
              <w:t>Manfaat pajak penghasilan</w:t>
            </w:r>
          </w:p>
        </w:tc>
        <w:tc>
          <w:tcPr>
            <w:tcW w:w="24" w:type="pct"/>
            <w:tcBorders>
              <w:left w:val="nil"/>
              <w:right w:val="nil"/>
            </w:tcBorders>
          </w:tcPr>
          <w:p w14:paraId="4C48D9FB"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21DF4D13"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0E9C920B"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279B760E"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120CCA8F" w14:textId="77777777" w:rsidR="00FE6377" w:rsidRPr="008119FA" w:rsidRDefault="00FE6377" w:rsidP="00FE6377">
            <w:pPr>
              <w:jc w:val="right"/>
              <w:rPr>
                <w:sz w:val="16"/>
                <w:szCs w:val="16"/>
                <w:highlight w:val="yellow"/>
              </w:rPr>
            </w:pPr>
          </w:p>
        </w:tc>
        <w:tc>
          <w:tcPr>
            <w:tcW w:w="881" w:type="pct"/>
            <w:tcBorders>
              <w:left w:val="nil"/>
              <w:bottom w:val="single" w:sz="4" w:space="0" w:color="auto"/>
              <w:right w:val="nil"/>
            </w:tcBorders>
            <w:shd w:val="clear" w:color="auto" w:fill="auto"/>
            <w:noWrap/>
            <w:vAlign w:val="bottom"/>
          </w:tcPr>
          <w:p w14:paraId="0FC390C4" w14:textId="1E6A827A" w:rsidR="00FE6377" w:rsidRPr="00FE6377" w:rsidRDefault="00FE6377" w:rsidP="00FE6377">
            <w:pPr>
              <w:ind w:right="57"/>
              <w:jc w:val="right"/>
              <w:rPr>
                <w:bCs w:val="0"/>
                <w:sz w:val="16"/>
                <w:szCs w:val="16"/>
              </w:rPr>
            </w:pPr>
            <w:r w:rsidRPr="00FE6377">
              <w:rPr>
                <w:sz w:val="16"/>
                <w:szCs w:val="16"/>
              </w:rPr>
              <w:t>(1.401.821.126)</w:t>
            </w:r>
          </w:p>
        </w:tc>
        <w:tc>
          <w:tcPr>
            <w:tcW w:w="26" w:type="pct"/>
            <w:tcBorders>
              <w:left w:val="nil"/>
              <w:bottom w:val="nil"/>
              <w:right w:val="nil"/>
            </w:tcBorders>
            <w:shd w:val="clear" w:color="auto" w:fill="auto"/>
            <w:noWrap/>
            <w:vAlign w:val="bottom"/>
          </w:tcPr>
          <w:p w14:paraId="5C956740" w14:textId="77777777" w:rsidR="00FE6377" w:rsidRPr="0013526B" w:rsidRDefault="00FE6377" w:rsidP="00FE6377">
            <w:pPr>
              <w:jc w:val="right"/>
              <w:rPr>
                <w:sz w:val="16"/>
                <w:szCs w:val="16"/>
              </w:rPr>
            </w:pPr>
          </w:p>
        </w:tc>
        <w:tc>
          <w:tcPr>
            <w:tcW w:w="1097" w:type="pct"/>
            <w:gridSpan w:val="2"/>
            <w:tcBorders>
              <w:left w:val="nil"/>
              <w:bottom w:val="nil"/>
              <w:right w:val="nil"/>
            </w:tcBorders>
            <w:shd w:val="clear" w:color="auto" w:fill="auto"/>
            <w:noWrap/>
            <w:vAlign w:val="bottom"/>
          </w:tcPr>
          <w:p w14:paraId="6AA6D6FE" w14:textId="77777777" w:rsidR="00FE6377" w:rsidRPr="0013526B" w:rsidRDefault="00FE6377" w:rsidP="00FE6377">
            <w:pPr>
              <w:ind w:right="85"/>
              <w:jc w:val="right"/>
              <w:rPr>
                <w:i/>
                <w:iCs/>
                <w:sz w:val="16"/>
                <w:szCs w:val="16"/>
              </w:rPr>
            </w:pPr>
            <w:r>
              <w:rPr>
                <w:i/>
                <w:iCs/>
                <w:sz w:val="16"/>
                <w:szCs w:val="16"/>
              </w:rPr>
              <w:t>Income tax benefits</w:t>
            </w:r>
          </w:p>
        </w:tc>
      </w:tr>
      <w:tr w:rsidR="00FE6377" w:rsidRPr="0013526B" w14:paraId="65504E2C"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20C9355F" w14:textId="77777777" w:rsidR="00FE6377" w:rsidRPr="0013526B" w:rsidRDefault="00FE6377" w:rsidP="00FE6377">
            <w:pPr>
              <w:ind w:left="478" w:hanging="141"/>
              <w:rPr>
                <w:sz w:val="16"/>
                <w:szCs w:val="16"/>
              </w:rPr>
            </w:pPr>
          </w:p>
        </w:tc>
        <w:tc>
          <w:tcPr>
            <w:tcW w:w="24" w:type="pct"/>
            <w:tcBorders>
              <w:left w:val="nil"/>
              <w:right w:val="nil"/>
            </w:tcBorders>
          </w:tcPr>
          <w:p w14:paraId="62113242"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48C20962"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56EED4A9"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23612BFE"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61E16585" w14:textId="77777777" w:rsidR="00FE6377" w:rsidRPr="008119FA" w:rsidRDefault="00FE6377" w:rsidP="00FE6377">
            <w:pPr>
              <w:jc w:val="right"/>
              <w:rPr>
                <w:sz w:val="16"/>
                <w:szCs w:val="16"/>
                <w:highlight w:val="yellow"/>
              </w:rPr>
            </w:pPr>
          </w:p>
        </w:tc>
        <w:tc>
          <w:tcPr>
            <w:tcW w:w="881" w:type="pct"/>
            <w:tcBorders>
              <w:top w:val="single" w:sz="4" w:space="0" w:color="auto"/>
              <w:left w:val="nil"/>
              <w:right w:val="nil"/>
            </w:tcBorders>
            <w:shd w:val="clear" w:color="auto" w:fill="auto"/>
            <w:noWrap/>
            <w:vAlign w:val="bottom"/>
          </w:tcPr>
          <w:p w14:paraId="1F008CA4" w14:textId="77777777" w:rsidR="00FE6377" w:rsidRPr="00FE6377" w:rsidRDefault="00FE6377" w:rsidP="00FE6377">
            <w:pPr>
              <w:ind w:right="57"/>
              <w:jc w:val="right"/>
              <w:rPr>
                <w:bCs w:val="0"/>
                <w:sz w:val="16"/>
                <w:szCs w:val="16"/>
              </w:rPr>
            </w:pPr>
          </w:p>
        </w:tc>
        <w:tc>
          <w:tcPr>
            <w:tcW w:w="26" w:type="pct"/>
            <w:tcBorders>
              <w:left w:val="nil"/>
              <w:bottom w:val="nil"/>
              <w:right w:val="nil"/>
            </w:tcBorders>
            <w:shd w:val="clear" w:color="auto" w:fill="auto"/>
            <w:noWrap/>
            <w:vAlign w:val="bottom"/>
          </w:tcPr>
          <w:p w14:paraId="73202393" w14:textId="77777777" w:rsidR="00FE6377" w:rsidRPr="0013526B" w:rsidRDefault="00FE6377" w:rsidP="00FE6377">
            <w:pPr>
              <w:jc w:val="right"/>
              <w:rPr>
                <w:sz w:val="16"/>
                <w:szCs w:val="16"/>
              </w:rPr>
            </w:pPr>
          </w:p>
        </w:tc>
        <w:tc>
          <w:tcPr>
            <w:tcW w:w="1097" w:type="pct"/>
            <w:gridSpan w:val="2"/>
            <w:tcBorders>
              <w:left w:val="nil"/>
              <w:bottom w:val="nil"/>
              <w:right w:val="nil"/>
            </w:tcBorders>
            <w:shd w:val="clear" w:color="auto" w:fill="auto"/>
            <w:noWrap/>
            <w:vAlign w:val="bottom"/>
          </w:tcPr>
          <w:p w14:paraId="3301C0DB" w14:textId="77777777" w:rsidR="00FE6377" w:rsidRPr="0013526B" w:rsidRDefault="00FE6377" w:rsidP="00FE6377">
            <w:pPr>
              <w:ind w:right="85"/>
              <w:jc w:val="right"/>
              <w:rPr>
                <w:i/>
                <w:iCs/>
                <w:sz w:val="16"/>
                <w:szCs w:val="16"/>
              </w:rPr>
            </w:pPr>
          </w:p>
        </w:tc>
      </w:tr>
      <w:tr w:rsidR="00FE6377" w:rsidRPr="00EE5079" w14:paraId="6D943E12"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left w:val="nil"/>
              <w:bottom w:val="nil"/>
              <w:right w:val="nil"/>
            </w:tcBorders>
            <w:shd w:val="clear" w:color="auto" w:fill="auto"/>
            <w:noWrap/>
            <w:vAlign w:val="bottom"/>
          </w:tcPr>
          <w:p w14:paraId="54D3EC2A" w14:textId="77777777" w:rsidR="00FE6377" w:rsidRPr="00EE5079" w:rsidRDefault="00FE6377" w:rsidP="00FE6377">
            <w:pPr>
              <w:ind w:left="478" w:hanging="141"/>
              <w:rPr>
                <w:b/>
                <w:bCs w:val="0"/>
                <w:sz w:val="16"/>
                <w:szCs w:val="16"/>
              </w:rPr>
            </w:pPr>
            <w:r w:rsidRPr="00EE5079">
              <w:rPr>
                <w:b/>
                <w:bCs w:val="0"/>
                <w:sz w:val="16"/>
                <w:szCs w:val="16"/>
              </w:rPr>
              <w:t>Rugi bersih tahun berjalan</w:t>
            </w:r>
          </w:p>
        </w:tc>
        <w:tc>
          <w:tcPr>
            <w:tcW w:w="24" w:type="pct"/>
            <w:tcBorders>
              <w:left w:val="nil"/>
              <w:bottom w:val="nil"/>
              <w:right w:val="nil"/>
            </w:tcBorders>
          </w:tcPr>
          <w:p w14:paraId="6117DC99" w14:textId="77777777" w:rsidR="00FE6377" w:rsidRPr="00EE5079" w:rsidRDefault="00FE6377" w:rsidP="00FE6377">
            <w:pPr>
              <w:ind w:right="57"/>
              <w:jc w:val="right"/>
              <w:rPr>
                <w:b/>
                <w:bCs w:val="0"/>
                <w:sz w:val="16"/>
                <w:szCs w:val="16"/>
              </w:rPr>
            </w:pPr>
          </w:p>
        </w:tc>
        <w:tc>
          <w:tcPr>
            <w:tcW w:w="879" w:type="pct"/>
            <w:tcBorders>
              <w:left w:val="nil"/>
              <w:bottom w:val="nil"/>
              <w:right w:val="nil"/>
            </w:tcBorders>
            <w:vAlign w:val="bottom"/>
          </w:tcPr>
          <w:p w14:paraId="6B76D583" w14:textId="77777777" w:rsidR="00FE6377" w:rsidRPr="008119FA" w:rsidRDefault="00FE6377" w:rsidP="00FE6377">
            <w:pPr>
              <w:ind w:right="57"/>
              <w:jc w:val="right"/>
              <w:rPr>
                <w:b/>
                <w:bCs w:val="0"/>
                <w:sz w:val="16"/>
                <w:szCs w:val="16"/>
                <w:highlight w:val="yellow"/>
              </w:rPr>
            </w:pPr>
          </w:p>
        </w:tc>
        <w:tc>
          <w:tcPr>
            <w:tcW w:w="26" w:type="pct"/>
            <w:tcBorders>
              <w:left w:val="nil"/>
              <w:bottom w:val="nil"/>
              <w:right w:val="nil"/>
            </w:tcBorders>
            <w:vAlign w:val="bottom"/>
          </w:tcPr>
          <w:p w14:paraId="48E9ED10" w14:textId="77777777" w:rsidR="00FE6377" w:rsidRPr="008119FA" w:rsidRDefault="00FE6377" w:rsidP="00FE6377">
            <w:pPr>
              <w:jc w:val="right"/>
              <w:rPr>
                <w:b/>
                <w:bCs w:val="0"/>
                <w:sz w:val="16"/>
                <w:szCs w:val="16"/>
                <w:highlight w:val="yellow"/>
              </w:rPr>
            </w:pPr>
          </w:p>
        </w:tc>
        <w:tc>
          <w:tcPr>
            <w:tcW w:w="879" w:type="pct"/>
            <w:gridSpan w:val="2"/>
            <w:tcBorders>
              <w:left w:val="nil"/>
              <w:bottom w:val="nil"/>
              <w:right w:val="nil"/>
            </w:tcBorders>
            <w:vAlign w:val="bottom"/>
          </w:tcPr>
          <w:p w14:paraId="51385CFF" w14:textId="77777777" w:rsidR="00FE6377" w:rsidRPr="008119FA" w:rsidRDefault="00FE6377" w:rsidP="00FE6377">
            <w:pPr>
              <w:ind w:right="57"/>
              <w:jc w:val="right"/>
              <w:rPr>
                <w:b/>
                <w:bCs w:val="0"/>
                <w:sz w:val="16"/>
                <w:szCs w:val="16"/>
                <w:highlight w:val="yellow"/>
              </w:rPr>
            </w:pPr>
          </w:p>
        </w:tc>
        <w:tc>
          <w:tcPr>
            <w:tcW w:w="26" w:type="pct"/>
            <w:tcBorders>
              <w:left w:val="nil"/>
              <w:bottom w:val="nil"/>
              <w:right w:val="nil"/>
            </w:tcBorders>
            <w:vAlign w:val="bottom"/>
          </w:tcPr>
          <w:p w14:paraId="7A5488D6" w14:textId="77777777" w:rsidR="00FE6377" w:rsidRPr="008119FA" w:rsidRDefault="00FE6377" w:rsidP="00FE6377">
            <w:pPr>
              <w:jc w:val="right"/>
              <w:rPr>
                <w:b/>
                <w:bCs w:val="0"/>
                <w:sz w:val="16"/>
                <w:szCs w:val="16"/>
                <w:highlight w:val="yellow"/>
              </w:rPr>
            </w:pPr>
          </w:p>
        </w:tc>
        <w:tc>
          <w:tcPr>
            <w:tcW w:w="881" w:type="pct"/>
            <w:tcBorders>
              <w:left w:val="nil"/>
              <w:bottom w:val="double" w:sz="4" w:space="0" w:color="auto"/>
              <w:right w:val="nil"/>
            </w:tcBorders>
            <w:shd w:val="clear" w:color="auto" w:fill="auto"/>
            <w:noWrap/>
            <w:vAlign w:val="bottom"/>
          </w:tcPr>
          <w:p w14:paraId="181270A8" w14:textId="554B77CC" w:rsidR="00FE6377" w:rsidRPr="008723B4" w:rsidRDefault="00FE6377" w:rsidP="00AB14D0">
            <w:pPr>
              <w:ind w:right="57"/>
              <w:jc w:val="right"/>
              <w:rPr>
                <w:b/>
                <w:bCs w:val="0"/>
                <w:sz w:val="16"/>
                <w:szCs w:val="16"/>
              </w:rPr>
            </w:pPr>
            <w:r w:rsidRPr="008723B4">
              <w:rPr>
                <w:b/>
                <w:bCs w:val="0"/>
                <w:sz w:val="16"/>
                <w:szCs w:val="16"/>
              </w:rPr>
              <w:t>(</w:t>
            </w:r>
            <w:r w:rsidR="00AB14D0" w:rsidRPr="008723B4">
              <w:rPr>
                <w:b/>
                <w:bCs w:val="0"/>
                <w:sz w:val="16"/>
                <w:szCs w:val="16"/>
              </w:rPr>
              <w:t>9.429.908.973</w:t>
            </w:r>
            <w:r w:rsidRPr="008723B4">
              <w:rPr>
                <w:b/>
                <w:bCs w:val="0"/>
                <w:sz w:val="16"/>
                <w:szCs w:val="16"/>
              </w:rPr>
              <w:t>)</w:t>
            </w:r>
          </w:p>
        </w:tc>
        <w:tc>
          <w:tcPr>
            <w:tcW w:w="26" w:type="pct"/>
            <w:tcBorders>
              <w:left w:val="nil"/>
              <w:bottom w:val="nil"/>
              <w:right w:val="nil"/>
            </w:tcBorders>
            <w:shd w:val="clear" w:color="auto" w:fill="auto"/>
            <w:noWrap/>
            <w:vAlign w:val="bottom"/>
          </w:tcPr>
          <w:p w14:paraId="16789AB3" w14:textId="77777777" w:rsidR="00FE6377" w:rsidRPr="00EE5079" w:rsidRDefault="00FE6377" w:rsidP="00FE6377">
            <w:pPr>
              <w:jc w:val="right"/>
              <w:rPr>
                <w:b/>
                <w:bCs w:val="0"/>
                <w:sz w:val="16"/>
                <w:szCs w:val="16"/>
              </w:rPr>
            </w:pPr>
          </w:p>
        </w:tc>
        <w:tc>
          <w:tcPr>
            <w:tcW w:w="1097" w:type="pct"/>
            <w:gridSpan w:val="2"/>
            <w:tcBorders>
              <w:left w:val="nil"/>
              <w:bottom w:val="nil"/>
              <w:right w:val="nil"/>
            </w:tcBorders>
            <w:shd w:val="clear" w:color="auto" w:fill="auto"/>
            <w:noWrap/>
            <w:vAlign w:val="bottom"/>
          </w:tcPr>
          <w:p w14:paraId="2BD38B50" w14:textId="77777777" w:rsidR="00FE6377" w:rsidRPr="00EE5079" w:rsidRDefault="00FE6377" w:rsidP="00FE6377">
            <w:pPr>
              <w:ind w:right="85"/>
              <w:jc w:val="right"/>
              <w:rPr>
                <w:b/>
                <w:bCs w:val="0"/>
                <w:i/>
                <w:iCs/>
                <w:sz w:val="16"/>
                <w:szCs w:val="16"/>
              </w:rPr>
            </w:pPr>
            <w:r w:rsidRPr="00EE5079">
              <w:rPr>
                <w:b/>
                <w:bCs w:val="0"/>
                <w:i/>
                <w:iCs/>
                <w:sz w:val="16"/>
                <w:szCs w:val="16"/>
              </w:rPr>
              <w:t>Net loss for the year</w:t>
            </w:r>
          </w:p>
        </w:tc>
      </w:tr>
      <w:tr w:rsidR="00FE6377" w:rsidRPr="0013526B" w14:paraId="1C91E53E"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left w:val="nil"/>
              <w:bottom w:val="nil"/>
              <w:right w:val="nil"/>
            </w:tcBorders>
            <w:shd w:val="clear" w:color="auto" w:fill="auto"/>
            <w:noWrap/>
            <w:vAlign w:val="bottom"/>
          </w:tcPr>
          <w:p w14:paraId="6B1E39B7" w14:textId="77777777" w:rsidR="00FE6377" w:rsidRPr="0013526B" w:rsidRDefault="00FE6377" w:rsidP="00FE6377">
            <w:pPr>
              <w:ind w:left="141" w:hanging="141"/>
              <w:rPr>
                <w:sz w:val="16"/>
                <w:szCs w:val="16"/>
              </w:rPr>
            </w:pPr>
          </w:p>
        </w:tc>
        <w:tc>
          <w:tcPr>
            <w:tcW w:w="24" w:type="pct"/>
            <w:tcBorders>
              <w:left w:val="nil"/>
              <w:bottom w:val="nil"/>
              <w:right w:val="nil"/>
            </w:tcBorders>
          </w:tcPr>
          <w:p w14:paraId="01990105" w14:textId="77777777" w:rsidR="00FE6377" w:rsidRPr="0013526B" w:rsidRDefault="00FE6377" w:rsidP="00FE6377">
            <w:pPr>
              <w:ind w:right="57"/>
              <w:jc w:val="right"/>
              <w:rPr>
                <w:sz w:val="16"/>
                <w:szCs w:val="16"/>
              </w:rPr>
            </w:pPr>
          </w:p>
        </w:tc>
        <w:tc>
          <w:tcPr>
            <w:tcW w:w="879" w:type="pct"/>
            <w:tcBorders>
              <w:left w:val="nil"/>
              <w:bottom w:val="nil"/>
              <w:right w:val="nil"/>
            </w:tcBorders>
            <w:vAlign w:val="bottom"/>
          </w:tcPr>
          <w:p w14:paraId="65C8C0B5"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6195B9D1" w14:textId="77777777" w:rsidR="00FE6377" w:rsidRPr="008119FA" w:rsidRDefault="00FE6377" w:rsidP="00FE6377">
            <w:pPr>
              <w:jc w:val="right"/>
              <w:rPr>
                <w:sz w:val="16"/>
                <w:szCs w:val="16"/>
                <w:highlight w:val="yellow"/>
              </w:rPr>
            </w:pPr>
          </w:p>
        </w:tc>
        <w:tc>
          <w:tcPr>
            <w:tcW w:w="879" w:type="pct"/>
            <w:gridSpan w:val="2"/>
            <w:tcBorders>
              <w:left w:val="nil"/>
              <w:bottom w:val="nil"/>
              <w:right w:val="nil"/>
            </w:tcBorders>
            <w:vAlign w:val="bottom"/>
          </w:tcPr>
          <w:p w14:paraId="480678F7"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3B5B871A" w14:textId="77777777" w:rsidR="00FE6377" w:rsidRPr="008119FA" w:rsidRDefault="00FE6377" w:rsidP="00FE6377">
            <w:pPr>
              <w:jc w:val="right"/>
              <w:rPr>
                <w:sz w:val="16"/>
                <w:szCs w:val="16"/>
                <w:highlight w:val="yellow"/>
              </w:rPr>
            </w:pPr>
          </w:p>
        </w:tc>
        <w:tc>
          <w:tcPr>
            <w:tcW w:w="881" w:type="pct"/>
            <w:tcBorders>
              <w:top w:val="double" w:sz="4" w:space="0" w:color="auto"/>
              <w:left w:val="nil"/>
              <w:bottom w:val="nil"/>
              <w:right w:val="nil"/>
            </w:tcBorders>
            <w:shd w:val="clear" w:color="auto" w:fill="auto"/>
            <w:noWrap/>
            <w:vAlign w:val="bottom"/>
          </w:tcPr>
          <w:p w14:paraId="415AD573" w14:textId="77777777" w:rsidR="00FE6377" w:rsidRPr="008723B4" w:rsidRDefault="00FE6377" w:rsidP="00FE6377">
            <w:pPr>
              <w:ind w:right="57"/>
              <w:jc w:val="right"/>
              <w:rPr>
                <w:bCs w:val="0"/>
                <w:sz w:val="16"/>
                <w:szCs w:val="16"/>
              </w:rPr>
            </w:pPr>
          </w:p>
        </w:tc>
        <w:tc>
          <w:tcPr>
            <w:tcW w:w="26" w:type="pct"/>
            <w:tcBorders>
              <w:left w:val="nil"/>
              <w:bottom w:val="nil"/>
              <w:right w:val="nil"/>
            </w:tcBorders>
            <w:shd w:val="clear" w:color="auto" w:fill="auto"/>
            <w:noWrap/>
            <w:vAlign w:val="bottom"/>
          </w:tcPr>
          <w:p w14:paraId="54BB70EC" w14:textId="77777777" w:rsidR="00FE6377" w:rsidRPr="0013526B" w:rsidRDefault="00FE6377" w:rsidP="00FE6377">
            <w:pPr>
              <w:jc w:val="right"/>
              <w:rPr>
                <w:sz w:val="16"/>
                <w:szCs w:val="16"/>
              </w:rPr>
            </w:pPr>
          </w:p>
        </w:tc>
        <w:tc>
          <w:tcPr>
            <w:tcW w:w="1097" w:type="pct"/>
            <w:gridSpan w:val="2"/>
            <w:tcBorders>
              <w:left w:val="nil"/>
              <w:bottom w:val="nil"/>
              <w:right w:val="nil"/>
            </w:tcBorders>
            <w:shd w:val="clear" w:color="auto" w:fill="auto"/>
            <w:noWrap/>
            <w:vAlign w:val="bottom"/>
          </w:tcPr>
          <w:p w14:paraId="35E7E6E6" w14:textId="77777777" w:rsidR="00FE6377" w:rsidRPr="0013526B" w:rsidRDefault="00FE6377" w:rsidP="00FE6377">
            <w:pPr>
              <w:ind w:right="85"/>
              <w:jc w:val="right"/>
              <w:rPr>
                <w:i/>
                <w:iCs/>
                <w:sz w:val="16"/>
                <w:szCs w:val="16"/>
              </w:rPr>
            </w:pPr>
          </w:p>
        </w:tc>
      </w:tr>
      <w:tr w:rsidR="00FE6377" w:rsidRPr="0013526B" w14:paraId="5773F8AF"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24142D47" w14:textId="77777777" w:rsidR="00FE6377" w:rsidRPr="0013526B" w:rsidRDefault="00FE6377" w:rsidP="00FE6377">
            <w:pPr>
              <w:ind w:left="478" w:hanging="141"/>
              <w:rPr>
                <w:sz w:val="16"/>
                <w:szCs w:val="16"/>
              </w:rPr>
            </w:pPr>
            <w:r>
              <w:rPr>
                <w:sz w:val="16"/>
                <w:szCs w:val="16"/>
              </w:rPr>
              <w:t>Rugi bersih yang dapat diatribusikan kepada:</w:t>
            </w:r>
          </w:p>
        </w:tc>
        <w:tc>
          <w:tcPr>
            <w:tcW w:w="24" w:type="pct"/>
            <w:tcBorders>
              <w:left w:val="nil"/>
              <w:right w:val="nil"/>
            </w:tcBorders>
          </w:tcPr>
          <w:p w14:paraId="3519C7A6"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390CF064"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406EF1F0"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7B445435"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075F7529" w14:textId="77777777" w:rsidR="00FE6377" w:rsidRPr="008119FA" w:rsidRDefault="00FE6377" w:rsidP="00FE6377">
            <w:pPr>
              <w:jc w:val="right"/>
              <w:rPr>
                <w:sz w:val="16"/>
                <w:szCs w:val="16"/>
                <w:highlight w:val="yellow"/>
              </w:rPr>
            </w:pPr>
          </w:p>
        </w:tc>
        <w:tc>
          <w:tcPr>
            <w:tcW w:w="881" w:type="pct"/>
            <w:tcBorders>
              <w:left w:val="nil"/>
              <w:right w:val="nil"/>
            </w:tcBorders>
            <w:shd w:val="clear" w:color="auto" w:fill="auto"/>
            <w:noWrap/>
            <w:vAlign w:val="bottom"/>
          </w:tcPr>
          <w:p w14:paraId="741E5BC4" w14:textId="77777777" w:rsidR="00FE6377" w:rsidRPr="008723B4" w:rsidRDefault="00FE6377" w:rsidP="00FE6377">
            <w:pPr>
              <w:ind w:right="57"/>
              <w:jc w:val="right"/>
              <w:rPr>
                <w:bCs w:val="0"/>
                <w:sz w:val="16"/>
                <w:szCs w:val="16"/>
              </w:rPr>
            </w:pPr>
          </w:p>
        </w:tc>
        <w:tc>
          <w:tcPr>
            <w:tcW w:w="26" w:type="pct"/>
            <w:tcBorders>
              <w:left w:val="nil"/>
              <w:right w:val="nil"/>
            </w:tcBorders>
            <w:shd w:val="clear" w:color="auto" w:fill="auto"/>
            <w:noWrap/>
            <w:vAlign w:val="bottom"/>
          </w:tcPr>
          <w:p w14:paraId="4BB35F0B" w14:textId="77777777" w:rsidR="00FE6377" w:rsidRPr="0013526B" w:rsidRDefault="00FE6377" w:rsidP="00FE6377">
            <w:pPr>
              <w:jc w:val="right"/>
              <w:rPr>
                <w:sz w:val="16"/>
                <w:szCs w:val="16"/>
              </w:rPr>
            </w:pPr>
          </w:p>
        </w:tc>
        <w:tc>
          <w:tcPr>
            <w:tcW w:w="1097" w:type="pct"/>
            <w:gridSpan w:val="2"/>
            <w:tcBorders>
              <w:left w:val="nil"/>
              <w:bottom w:val="nil"/>
              <w:right w:val="nil"/>
            </w:tcBorders>
            <w:shd w:val="clear" w:color="auto" w:fill="auto"/>
            <w:noWrap/>
            <w:vAlign w:val="bottom"/>
          </w:tcPr>
          <w:p w14:paraId="4E9B07BE" w14:textId="77777777" w:rsidR="00FE6377" w:rsidRDefault="00FE6377" w:rsidP="00FE6377">
            <w:pPr>
              <w:ind w:right="102"/>
              <w:jc w:val="right"/>
              <w:rPr>
                <w:i/>
                <w:iCs/>
                <w:sz w:val="16"/>
                <w:szCs w:val="16"/>
              </w:rPr>
            </w:pPr>
            <w:r>
              <w:rPr>
                <w:i/>
                <w:iCs/>
                <w:sz w:val="16"/>
                <w:szCs w:val="16"/>
              </w:rPr>
              <w:t>Net loss for the year</w:t>
            </w:r>
          </w:p>
          <w:p w14:paraId="3B52181E" w14:textId="4D4AEE0B" w:rsidR="00FE6377" w:rsidRPr="0013526B" w:rsidRDefault="00FE6377" w:rsidP="00FE6377">
            <w:pPr>
              <w:ind w:right="227"/>
              <w:jc w:val="right"/>
              <w:rPr>
                <w:i/>
                <w:iCs/>
                <w:sz w:val="16"/>
                <w:szCs w:val="16"/>
              </w:rPr>
            </w:pPr>
            <w:r>
              <w:rPr>
                <w:i/>
                <w:iCs/>
                <w:sz w:val="16"/>
                <w:szCs w:val="16"/>
              </w:rPr>
              <w:t>attributables to:</w:t>
            </w:r>
          </w:p>
        </w:tc>
      </w:tr>
      <w:tr w:rsidR="00FE6377" w:rsidRPr="0013526B" w14:paraId="393D5E47"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17183DD9" w14:textId="2D08D529" w:rsidR="00FE6377" w:rsidRPr="0013526B" w:rsidRDefault="00FE6377" w:rsidP="00FE6377">
            <w:pPr>
              <w:ind w:left="144"/>
              <w:rPr>
                <w:sz w:val="16"/>
                <w:szCs w:val="16"/>
              </w:rPr>
            </w:pPr>
            <w:r>
              <w:rPr>
                <w:sz w:val="16"/>
                <w:szCs w:val="16"/>
              </w:rPr>
              <w:t xml:space="preserve">        Pemilik entitas induk</w:t>
            </w:r>
          </w:p>
        </w:tc>
        <w:tc>
          <w:tcPr>
            <w:tcW w:w="24" w:type="pct"/>
            <w:tcBorders>
              <w:left w:val="nil"/>
              <w:bottom w:val="nil"/>
              <w:right w:val="nil"/>
            </w:tcBorders>
          </w:tcPr>
          <w:p w14:paraId="1809735E" w14:textId="77777777" w:rsidR="00FE6377" w:rsidRPr="0013526B" w:rsidRDefault="00FE6377" w:rsidP="00FE6377">
            <w:pPr>
              <w:ind w:right="57"/>
              <w:jc w:val="right"/>
              <w:rPr>
                <w:sz w:val="16"/>
                <w:szCs w:val="16"/>
              </w:rPr>
            </w:pPr>
          </w:p>
        </w:tc>
        <w:tc>
          <w:tcPr>
            <w:tcW w:w="879" w:type="pct"/>
            <w:tcBorders>
              <w:left w:val="nil"/>
              <w:bottom w:val="nil"/>
              <w:right w:val="nil"/>
            </w:tcBorders>
            <w:vAlign w:val="bottom"/>
          </w:tcPr>
          <w:p w14:paraId="3D9BA634"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1743F68E" w14:textId="77777777" w:rsidR="00FE6377" w:rsidRPr="008119FA" w:rsidRDefault="00FE6377" w:rsidP="00FE6377">
            <w:pPr>
              <w:jc w:val="right"/>
              <w:rPr>
                <w:sz w:val="16"/>
                <w:szCs w:val="16"/>
                <w:highlight w:val="yellow"/>
              </w:rPr>
            </w:pPr>
          </w:p>
        </w:tc>
        <w:tc>
          <w:tcPr>
            <w:tcW w:w="879" w:type="pct"/>
            <w:gridSpan w:val="2"/>
            <w:tcBorders>
              <w:left w:val="nil"/>
              <w:bottom w:val="nil"/>
              <w:right w:val="nil"/>
            </w:tcBorders>
            <w:vAlign w:val="bottom"/>
          </w:tcPr>
          <w:p w14:paraId="25565B03"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7CEE491E" w14:textId="77777777" w:rsidR="00FE6377" w:rsidRPr="008119FA" w:rsidRDefault="00FE6377" w:rsidP="00FE6377">
            <w:pPr>
              <w:jc w:val="right"/>
              <w:rPr>
                <w:sz w:val="16"/>
                <w:szCs w:val="16"/>
                <w:highlight w:val="yellow"/>
              </w:rPr>
            </w:pPr>
          </w:p>
        </w:tc>
        <w:tc>
          <w:tcPr>
            <w:tcW w:w="881" w:type="pct"/>
            <w:tcBorders>
              <w:left w:val="nil"/>
              <w:right w:val="nil"/>
            </w:tcBorders>
            <w:shd w:val="clear" w:color="auto" w:fill="auto"/>
            <w:noWrap/>
            <w:vAlign w:val="bottom"/>
          </w:tcPr>
          <w:p w14:paraId="5C780B98" w14:textId="22CB9D8C" w:rsidR="00FE6377" w:rsidRPr="008723B4" w:rsidRDefault="00FE6377" w:rsidP="008723B4">
            <w:pPr>
              <w:ind w:right="57"/>
              <w:jc w:val="right"/>
              <w:rPr>
                <w:bCs w:val="0"/>
                <w:sz w:val="16"/>
                <w:szCs w:val="16"/>
              </w:rPr>
            </w:pPr>
            <w:r w:rsidRPr="008723B4">
              <w:rPr>
                <w:sz w:val="16"/>
                <w:szCs w:val="16"/>
              </w:rPr>
              <w:t>(</w:t>
            </w:r>
            <w:r w:rsidR="00AB14D0" w:rsidRPr="008723B4">
              <w:rPr>
                <w:sz w:val="16"/>
                <w:szCs w:val="16"/>
              </w:rPr>
              <w:t>9.</w:t>
            </w:r>
            <w:r w:rsidR="008723B4" w:rsidRPr="008723B4">
              <w:rPr>
                <w:sz w:val="16"/>
                <w:szCs w:val="16"/>
              </w:rPr>
              <w:t>420.691.503</w:t>
            </w:r>
            <w:r w:rsidRPr="008723B4">
              <w:rPr>
                <w:sz w:val="16"/>
                <w:szCs w:val="16"/>
              </w:rPr>
              <w:t>)</w:t>
            </w:r>
          </w:p>
        </w:tc>
        <w:tc>
          <w:tcPr>
            <w:tcW w:w="26" w:type="pct"/>
            <w:tcBorders>
              <w:left w:val="nil"/>
              <w:bottom w:val="nil"/>
              <w:right w:val="nil"/>
            </w:tcBorders>
            <w:shd w:val="clear" w:color="auto" w:fill="auto"/>
            <w:noWrap/>
            <w:vAlign w:val="bottom"/>
          </w:tcPr>
          <w:p w14:paraId="04619E43" w14:textId="77777777" w:rsidR="00FE6377" w:rsidRPr="0013526B" w:rsidRDefault="00FE6377" w:rsidP="00FE6377">
            <w:pPr>
              <w:jc w:val="right"/>
              <w:rPr>
                <w:sz w:val="16"/>
                <w:szCs w:val="16"/>
              </w:rPr>
            </w:pPr>
          </w:p>
        </w:tc>
        <w:tc>
          <w:tcPr>
            <w:tcW w:w="1097" w:type="pct"/>
            <w:gridSpan w:val="2"/>
            <w:tcBorders>
              <w:left w:val="nil"/>
              <w:bottom w:val="nil"/>
              <w:right w:val="nil"/>
            </w:tcBorders>
            <w:shd w:val="clear" w:color="auto" w:fill="auto"/>
            <w:noWrap/>
            <w:vAlign w:val="bottom"/>
          </w:tcPr>
          <w:p w14:paraId="3001343A" w14:textId="77777777" w:rsidR="00FE6377" w:rsidRPr="0013526B" w:rsidRDefault="00FE6377" w:rsidP="00FE6377">
            <w:pPr>
              <w:ind w:right="256"/>
              <w:jc w:val="right"/>
              <w:rPr>
                <w:i/>
                <w:iCs/>
                <w:sz w:val="16"/>
                <w:szCs w:val="16"/>
              </w:rPr>
            </w:pPr>
            <w:r>
              <w:rPr>
                <w:i/>
                <w:iCs/>
                <w:sz w:val="16"/>
                <w:szCs w:val="16"/>
              </w:rPr>
              <w:t>Owner parent campony</w:t>
            </w:r>
          </w:p>
        </w:tc>
      </w:tr>
      <w:tr w:rsidR="00FE6377" w:rsidRPr="0013526B" w14:paraId="0EFDDE9D" w14:textId="77777777" w:rsidTr="00FE6377">
        <w:tblPrEx>
          <w:tblCellMar>
            <w:left w:w="0" w:type="dxa"/>
            <w:right w:w="0" w:type="dxa"/>
          </w:tblCellMar>
          <w:tblLook w:val="04A0" w:firstRow="1" w:lastRow="0" w:firstColumn="1" w:lastColumn="0" w:noHBand="0" w:noVBand="1"/>
        </w:tblPrEx>
        <w:trPr>
          <w:gridBefore w:val="1"/>
          <w:wBefore w:w="51" w:type="pct"/>
          <w:trHeight w:val="68"/>
        </w:trPr>
        <w:tc>
          <w:tcPr>
            <w:tcW w:w="1111" w:type="pct"/>
            <w:tcBorders>
              <w:top w:val="nil"/>
              <w:left w:val="nil"/>
              <w:bottom w:val="nil"/>
              <w:right w:val="nil"/>
            </w:tcBorders>
            <w:shd w:val="clear" w:color="auto" w:fill="auto"/>
            <w:noWrap/>
            <w:vAlign w:val="bottom"/>
          </w:tcPr>
          <w:p w14:paraId="02568F08" w14:textId="77777777" w:rsidR="00FE6377" w:rsidRPr="0013526B" w:rsidRDefault="00FE6377" w:rsidP="00FE6377">
            <w:pPr>
              <w:ind w:left="284" w:hanging="141"/>
              <w:rPr>
                <w:sz w:val="16"/>
                <w:szCs w:val="16"/>
              </w:rPr>
            </w:pPr>
            <w:r>
              <w:rPr>
                <w:sz w:val="16"/>
                <w:szCs w:val="16"/>
              </w:rPr>
              <w:t xml:space="preserve">        Kepentingan non  </w:t>
            </w:r>
            <w:r>
              <w:rPr>
                <w:sz w:val="16"/>
                <w:szCs w:val="16"/>
              </w:rPr>
              <w:br/>
              <w:t xml:space="preserve">        pengendali</w:t>
            </w:r>
          </w:p>
        </w:tc>
        <w:tc>
          <w:tcPr>
            <w:tcW w:w="24" w:type="pct"/>
            <w:tcBorders>
              <w:left w:val="nil"/>
              <w:right w:val="nil"/>
            </w:tcBorders>
          </w:tcPr>
          <w:p w14:paraId="4DB9D316"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6CE3E123"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7D40ED01"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3ED131C7" w14:textId="77777777" w:rsidR="00FE6377" w:rsidRPr="008119FA" w:rsidRDefault="00FE6377" w:rsidP="00FE6377">
            <w:pPr>
              <w:ind w:right="57"/>
              <w:jc w:val="right"/>
              <w:rPr>
                <w:sz w:val="16"/>
                <w:szCs w:val="16"/>
                <w:highlight w:val="yellow"/>
              </w:rPr>
            </w:pPr>
          </w:p>
        </w:tc>
        <w:tc>
          <w:tcPr>
            <w:tcW w:w="26" w:type="pct"/>
            <w:tcBorders>
              <w:left w:val="nil"/>
              <w:bottom w:val="nil"/>
              <w:right w:val="nil"/>
            </w:tcBorders>
            <w:vAlign w:val="bottom"/>
          </w:tcPr>
          <w:p w14:paraId="7A6F8737" w14:textId="77777777" w:rsidR="00FE6377" w:rsidRPr="008119FA" w:rsidRDefault="00FE6377" w:rsidP="00FE6377">
            <w:pPr>
              <w:jc w:val="right"/>
              <w:rPr>
                <w:sz w:val="16"/>
                <w:szCs w:val="16"/>
                <w:highlight w:val="yellow"/>
              </w:rPr>
            </w:pPr>
          </w:p>
        </w:tc>
        <w:tc>
          <w:tcPr>
            <w:tcW w:w="881" w:type="pct"/>
            <w:tcBorders>
              <w:left w:val="nil"/>
              <w:bottom w:val="single" w:sz="4" w:space="0" w:color="auto"/>
              <w:right w:val="nil"/>
            </w:tcBorders>
            <w:shd w:val="clear" w:color="auto" w:fill="auto"/>
            <w:noWrap/>
            <w:vAlign w:val="bottom"/>
          </w:tcPr>
          <w:p w14:paraId="23A346B6" w14:textId="40F38D41" w:rsidR="00FE6377" w:rsidRPr="008723B4" w:rsidRDefault="00FE6377" w:rsidP="008723B4">
            <w:pPr>
              <w:ind w:right="57"/>
              <w:jc w:val="right"/>
              <w:rPr>
                <w:bCs w:val="0"/>
                <w:sz w:val="16"/>
                <w:szCs w:val="16"/>
              </w:rPr>
            </w:pPr>
            <w:r w:rsidRPr="008723B4">
              <w:rPr>
                <w:sz w:val="16"/>
                <w:szCs w:val="16"/>
              </w:rPr>
              <w:t>(</w:t>
            </w:r>
            <w:r w:rsidR="008723B4" w:rsidRPr="008723B4">
              <w:rPr>
                <w:sz w:val="16"/>
                <w:szCs w:val="16"/>
              </w:rPr>
              <w:t>9.217.470</w:t>
            </w:r>
            <w:r w:rsidRPr="008723B4">
              <w:rPr>
                <w:sz w:val="16"/>
                <w:szCs w:val="16"/>
              </w:rPr>
              <w:t>)</w:t>
            </w:r>
          </w:p>
        </w:tc>
        <w:tc>
          <w:tcPr>
            <w:tcW w:w="26" w:type="pct"/>
            <w:tcBorders>
              <w:left w:val="nil"/>
              <w:bottom w:val="nil"/>
              <w:right w:val="nil"/>
            </w:tcBorders>
            <w:shd w:val="clear" w:color="auto" w:fill="auto"/>
            <w:noWrap/>
            <w:vAlign w:val="bottom"/>
          </w:tcPr>
          <w:p w14:paraId="49DC862A" w14:textId="77777777" w:rsidR="00FE6377" w:rsidRPr="0013526B" w:rsidRDefault="00FE6377" w:rsidP="00FE6377">
            <w:pPr>
              <w:jc w:val="right"/>
              <w:rPr>
                <w:sz w:val="16"/>
                <w:szCs w:val="16"/>
              </w:rPr>
            </w:pPr>
          </w:p>
        </w:tc>
        <w:tc>
          <w:tcPr>
            <w:tcW w:w="1097" w:type="pct"/>
            <w:gridSpan w:val="2"/>
            <w:tcBorders>
              <w:left w:val="nil"/>
              <w:bottom w:val="nil"/>
              <w:right w:val="nil"/>
            </w:tcBorders>
            <w:shd w:val="clear" w:color="auto" w:fill="auto"/>
            <w:noWrap/>
            <w:vAlign w:val="bottom"/>
          </w:tcPr>
          <w:p w14:paraId="2C13CF21" w14:textId="77777777" w:rsidR="00FE6377" w:rsidRPr="0013526B" w:rsidRDefault="00FE6377" w:rsidP="00FE6377">
            <w:pPr>
              <w:ind w:right="270"/>
              <w:jc w:val="right"/>
              <w:rPr>
                <w:i/>
                <w:iCs/>
                <w:sz w:val="16"/>
                <w:szCs w:val="16"/>
              </w:rPr>
            </w:pPr>
            <w:r>
              <w:rPr>
                <w:i/>
                <w:iCs/>
                <w:sz w:val="16"/>
                <w:szCs w:val="16"/>
              </w:rPr>
              <w:t>Non-controlling interest</w:t>
            </w:r>
          </w:p>
        </w:tc>
      </w:tr>
      <w:tr w:rsidR="00FE6377" w:rsidRPr="0013526B" w14:paraId="65BACE0E"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3C51D44C" w14:textId="77777777" w:rsidR="00FE6377" w:rsidRPr="0013526B" w:rsidRDefault="00FE6377" w:rsidP="00FE6377">
            <w:pPr>
              <w:ind w:left="141" w:hanging="141"/>
              <w:rPr>
                <w:sz w:val="16"/>
                <w:szCs w:val="16"/>
              </w:rPr>
            </w:pPr>
          </w:p>
        </w:tc>
        <w:tc>
          <w:tcPr>
            <w:tcW w:w="24" w:type="pct"/>
            <w:tcBorders>
              <w:left w:val="nil"/>
              <w:right w:val="nil"/>
            </w:tcBorders>
          </w:tcPr>
          <w:p w14:paraId="2A4A4858"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7EC61E8C"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118EE51C"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31F82D94"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18F94868" w14:textId="77777777" w:rsidR="00FE6377" w:rsidRPr="008119FA" w:rsidRDefault="00FE6377" w:rsidP="00FE6377">
            <w:pPr>
              <w:jc w:val="right"/>
              <w:rPr>
                <w:sz w:val="16"/>
                <w:szCs w:val="16"/>
                <w:highlight w:val="yellow"/>
              </w:rPr>
            </w:pPr>
          </w:p>
        </w:tc>
        <w:tc>
          <w:tcPr>
            <w:tcW w:w="881" w:type="pct"/>
            <w:tcBorders>
              <w:top w:val="single" w:sz="4" w:space="0" w:color="auto"/>
              <w:left w:val="nil"/>
              <w:right w:val="nil"/>
            </w:tcBorders>
            <w:shd w:val="clear" w:color="auto" w:fill="auto"/>
            <w:noWrap/>
            <w:vAlign w:val="bottom"/>
          </w:tcPr>
          <w:p w14:paraId="2E5B75C1" w14:textId="77777777" w:rsidR="00FE6377" w:rsidRPr="008723B4" w:rsidRDefault="00FE6377" w:rsidP="00FE6377">
            <w:pPr>
              <w:ind w:right="57"/>
              <w:jc w:val="right"/>
              <w:rPr>
                <w:bCs w:val="0"/>
                <w:sz w:val="16"/>
                <w:szCs w:val="16"/>
              </w:rPr>
            </w:pPr>
          </w:p>
        </w:tc>
        <w:tc>
          <w:tcPr>
            <w:tcW w:w="26" w:type="pct"/>
            <w:tcBorders>
              <w:left w:val="nil"/>
              <w:right w:val="nil"/>
            </w:tcBorders>
            <w:shd w:val="clear" w:color="auto" w:fill="auto"/>
            <w:noWrap/>
            <w:vAlign w:val="bottom"/>
          </w:tcPr>
          <w:p w14:paraId="05C13AE5" w14:textId="77777777" w:rsidR="00FE6377" w:rsidRPr="0013526B" w:rsidRDefault="00FE6377" w:rsidP="00FE6377">
            <w:pPr>
              <w:jc w:val="right"/>
              <w:rPr>
                <w:sz w:val="16"/>
                <w:szCs w:val="16"/>
              </w:rPr>
            </w:pPr>
          </w:p>
        </w:tc>
        <w:tc>
          <w:tcPr>
            <w:tcW w:w="1097" w:type="pct"/>
            <w:gridSpan w:val="2"/>
            <w:tcBorders>
              <w:left w:val="nil"/>
              <w:bottom w:val="nil"/>
              <w:right w:val="nil"/>
            </w:tcBorders>
            <w:shd w:val="clear" w:color="auto" w:fill="auto"/>
            <w:noWrap/>
            <w:vAlign w:val="bottom"/>
          </w:tcPr>
          <w:p w14:paraId="60FD0522" w14:textId="77777777" w:rsidR="00FE6377" w:rsidRPr="00FF47C6" w:rsidRDefault="00FE6377" w:rsidP="00FE6377">
            <w:pPr>
              <w:ind w:right="85"/>
              <w:jc w:val="right"/>
              <w:rPr>
                <w:i/>
                <w:iCs/>
                <w:sz w:val="16"/>
                <w:szCs w:val="16"/>
              </w:rPr>
            </w:pPr>
          </w:p>
        </w:tc>
      </w:tr>
      <w:tr w:rsidR="00FE6377" w:rsidRPr="00EE5079" w14:paraId="7DB246D2"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4A7FCDB8" w14:textId="77777777" w:rsidR="00FE6377" w:rsidRPr="00EE5079" w:rsidRDefault="00FE6377" w:rsidP="00FE6377">
            <w:pPr>
              <w:ind w:left="464" w:hanging="141"/>
              <w:rPr>
                <w:b/>
                <w:bCs w:val="0"/>
                <w:sz w:val="16"/>
                <w:szCs w:val="16"/>
              </w:rPr>
            </w:pPr>
            <w:r w:rsidRPr="00EE5079">
              <w:rPr>
                <w:b/>
                <w:bCs w:val="0"/>
                <w:sz w:val="16"/>
                <w:szCs w:val="16"/>
              </w:rPr>
              <w:t>Jumlah</w:t>
            </w:r>
          </w:p>
        </w:tc>
        <w:tc>
          <w:tcPr>
            <w:tcW w:w="24" w:type="pct"/>
            <w:tcBorders>
              <w:left w:val="nil"/>
              <w:right w:val="nil"/>
            </w:tcBorders>
          </w:tcPr>
          <w:p w14:paraId="2403F57F" w14:textId="77777777" w:rsidR="00FE6377" w:rsidRPr="00EE5079" w:rsidRDefault="00FE6377" w:rsidP="00FE6377">
            <w:pPr>
              <w:ind w:right="57"/>
              <w:jc w:val="right"/>
              <w:rPr>
                <w:b/>
                <w:bCs w:val="0"/>
                <w:sz w:val="16"/>
                <w:szCs w:val="16"/>
              </w:rPr>
            </w:pPr>
          </w:p>
        </w:tc>
        <w:tc>
          <w:tcPr>
            <w:tcW w:w="879" w:type="pct"/>
            <w:tcBorders>
              <w:left w:val="nil"/>
              <w:right w:val="nil"/>
            </w:tcBorders>
            <w:vAlign w:val="bottom"/>
          </w:tcPr>
          <w:p w14:paraId="46EDC0F5" w14:textId="77777777" w:rsidR="00FE6377" w:rsidRPr="008119FA" w:rsidRDefault="00FE6377" w:rsidP="00FE6377">
            <w:pPr>
              <w:ind w:right="57"/>
              <w:jc w:val="right"/>
              <w:rPr>
                <w:b/>
                <w:bCs w:val="0"/>
                <w:sz w:val="16"/>
                <w:szCs w:val="16"/>
                <w:highlight w:val="yellow"/>
              </w:rPr>
            </w:pPr>
          </w:p>
        </w:tc>
        <w:tc>
          <w:tcPr>
            <w:tcW w:w="26" w:type="pct"/>
            <w:tcBorders>
              <w:left w:val="nil"/>
              <w:right w:val="nil"/>
            </w:tcBorders>
            <w:vAlign w:val="bottom"/>
          </w:tcPr>
          <w:p w14:paraId="2A105D35" w14:textId="77777777" w:rsidR="00FE6377" w:rsidRPr="008119FA" w:rsidRDefault="00FE6377" w:rsidP="00FE6377">
            <w:pPr>
              <w:jc w:val="right"/>
              <w:rPr>
                <w:b/>
                <w:bCs w:val="0"/>
                <w:sz w:val="16"/>
                <w:szCs w:val="16"/>
                <w:highlight w:val="yellow"/>
              </w:rPr>
            </w:pPr>
          </w:p>
        </w:tc>
        <w:tc>
          <w:tcPr>
            <w:tcW w:w="879" w:type="pct"/>
            <w:gridSpan w:val="2"/>
            <w:tcBorders>
              <w:left w:val="nil"/>
              <w:right w:val="nil"/>
            </w:tcBorders>
            <w:vAlign w:val="bottom"/>
          </w:tcPr>
          <w:p w14:paraId="50D48ACD" w14:textId="77777777" w:rsidR="00FE6377" w:rsidRPr="008119FA" w:rsidRDefault="00FE6377" w:rsidP="00FE6377">
            <w:pPr>
              <w:ind w:right="57"/>
              <w:jc w:val="right"/>
              <w:rPr>
                <w:b/>
                <w:bCs w:val="0"/>
                <w:sz w:val="16"/>
                <w:szCs w:val="16"/>
                <w:highlight w:val="yellow"/>
              </w:rPr>
            </w:pPr>
          </w:p>
        </w:tc>
        <w:tc>
          <w:tcPr>
            <w:tcW w:w="26" w:type="pct"/>
            <w:tcBorders>
              <w:left w:val="nil"/>
              <w:right w:val="nil"/>
            </w:tcBorders>
            <w:vAlign w:val="bottom"/>
          </w:tcPr>
          <w:p w14:paraId="04DDBE6E" w14:textId="77777777" w:rsidR="00FE6377" w:rsidRPr="008119FA" w:rsidRDefault="00FE6377" w:rsidP="00FE6377">
            <w:pPr>
              <w:jc w:val="right"/>
              <w:rPr>
                <w:b/>
                <w:bCs w:val="0"/>
                <w:sz w:val="16"/>
                <w:szCs w:val="16"/>
                <w:highlight w:val="yellow"/>
              </w:rPr>
            </w:pPr>
          </w:p>
        </w:tc>
        <w:tc>
          <w:tcPr>
            <w:tcW w:w="881" w:type="pct"/>
            <w:tcBorders>
              <w:left w:val="nil"/>
              <w:bottom w:val="double" w:sz="4" w:space="0" w:color="auto"/>
              <w:right w:val="nil"/>
            </w:tcBorders>
            <w:shd w:val="clear" w:color="auto" w:fill="auto"/>
            <w:noWrap/>
            <w:vAlign w:val="bottom"/>
          </w:tcPr>
          <w:p w14:paraId="49DF4146" w14:textId="7A6BC2CC" w:rsidR="00FE6377" w:rsidRPr="008723B4" w:rsidRDefault="00AB14D0" w:rsidP="00FE6377">
            <w:pPr>
              <w:ind w:right="57"/>
              <w:jc w:val="right"/>
              <w:rPr>
                <w:b/>
                <w:bCs w:val="0"/>
                <w:sz w:val="16"/>
                <w:szCs w:val="16"/>
              </w:rPr>
            </w:pPr>
            <w:r w:rsidRPr="008723B4">
              <w:rPr>
                <w:b/>
                <w:bCs w:val="0"/>
                <w:sz w:val="16"/>
                <w:szCs w:val="16"/>
              </w:rPr>
              <w:t>(9.429.908.973)</w:t>
            </w:r>
          </w:p>
        </w:tc>
        <w:tc>
          <w:tcPr>
            <w:tcW w:w="26" w:type="pct"/>
            <w:tcBorders>
              <w:left w:val="nil"/>
              <w:right w:val="nil"/>
            </w:tcBorders>
            <w:shd w:val="clear" w:color="auto" w:fill="auto"/>
            <w:noWrap/>
            <w:vAlign w:val="bottom"/>
          </w:tcPr>
          <w:p w14:paraId="14D806EE" w14:textId="77777777" w:rsidR="00FE6377" w:rsidRPr="00EE5079" w:rsidRDefault="00FE6377" w:rsidP="00FE6377">
            <w:pPr>
              <w:jc w:val="right"/>
              <w:rPr>
                <w:b/>
                <w:bCs w:val="0"/>
                <w:sz w:val="16"/>
                <w:szCs w:val="16"/>
              </w:rPr>
            </w:pPr>
          </w:p>
        </w:tc>
        <w:tc>
          <w:tcPr>
            <w:tcW w:w="1097" w:type="pct"/>
            <w:gridSpan w:val="2"/>
            <w:tcBorders>
              <w:left w:val="nil"/>
              <w:bottom w:val="nil"/>
              <w:right w:val="nil"/>
            </w:tcBorders>
            <w:shd w:val="clear" w:color="auto" w:fill="auto"/>
            <w:noWrap/>
            <w:vAlign w:val="bottom"/>
          </w:tcPr>
          <w:p w14:paraId="3E8E8C89" w14:textId="77777777" w:rsidR="00FE6377" w:rsidRPr="00EE5079" w:rsidRDefault="00FE6377" w:rsidP="00FE6377">
            <w:pPr>
              <w:ind w:right="85"/>
              <w:jc w:val="right"/>
              <w:rPr>
                <w:b/>
                <w:bCs w:val="0"/>
                <w:i/>
                <w:iCs/>
                <w:sz w:val="16"/>
                <w:szCs w:val="16"/>
              </w:rPr>
            </w:pPr>
            <w:r w:rsidRPr="00EE5079">
              <w:rPr>
                <w:b/>
                <w:bCs w:val="0"/>
                <w:i/>
                <w:iCs/>
                <w:sz w:val="16"/>
                <w:szCs w:val="16"/>
              </w:rPr>
              <w:t>Total</w:t>
            </w:r>
          </w:p>
        </w:tc>
      </w:tr>
      <w:tr w:rsidR="00FE6377" w:rsidRPr="0013526B" w14:paraId="21E24D60"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right w:val="nil"/>
            </w:tcBorders>
            <w:shd w:val="clear" w:color="auto" w:fill="auto"/>
            <w:noWrap/>
            <w:vAlign w:val="bottom"/>
          </w:tcPr>
          <w:p w14:paraId="3B53EB70" w14:textId="77777777" w:rsidR="00FE6377" w:rsidRPr="00310F9B" w:rsidRDefault="00FE6377" w:rsidP="00FE6377">
            <w:pPr>
              <w:ind w:left="141" w:hanging="141"/>
              <w:rPr>
                <w:sz w:val="16"/>
                <w:szCs w:val="16"/>
              </w:rPr>
            </w:pPr>
          </w:p>
        </w:tc>
        <w:tc>
          <w:tcPr>
            <w:tcW w:w="24" w:type="pct"/>
            <w:tcBorders>
              <w:left w:val="nil"/>
              <w:right w:val="nil"/>
            </w:tcBorders>
          </w:tcPr>
          <w:p w14:paraId="1D7BF8FD"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380BB875"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34B04356"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6914041F"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3FEEF6D9" w14:textId="77777777" w:rsidR="00FE6377" w:rsidRPr="008119FA" w:rsidRDefault="00FE6377" w:rsidP="00FE6377">
            <w:pPr>
              <w:jc w:val="right"/>
              <w:rPr>
                <w:sz w:val="16"/>
                <w:szCs w:val="16"/>
                <w:highlight w:val="yellow"/>
              </w:rPr>
            </w:pPr>
          </w:p>
        </w:tc>
        <w:tc>
          <w:tcPr>
            <w:tcW w:w="881" w:type="pct"/>
            <w:tcBorders>
              <w:top w:val="double" w:sz="4" w:space="0" w:color="auto"/>
              <w:left w:val="nil"/>
              <w:right w:val="nil"/>
            </w:tcBorders>
            <w:shd w:val="clear" w:color="auto" w:fill="auto"/>
            <w:noWrap/>
            <w:vAlign w:val="bottom"/>
          </w:tcPr>
          <w:p w14:paraId="4D80B7A6" w14:textId="5EF75013" w:rsidR="00FE6377" w:rsidRPr="00FE6377" w:rsidRDefault="00FE6377" w:rsidP="00FE6377">
            <w:pPr>
              <w:ind w:right="57"/>
              <w:jc w:val="right"/>
              <w:rPr>
                <w:bCs w:val="0"/>
                <w:sz w:val="16"/>
                <w:szCs w:val="16"/>
              </w:rPr>
            </w:pPr>
          </w:p>
        </w:tc>
        <w:tc>
          <w:tcPr>
            <w:tcW w:w="26" w:type="pct"/>
            <w:tcBorders>
              <w:left w:val="nil"/>
              <w:right w:val="nil"/>
            </w:tcBorders>
            <w:shd w:val="clear" w:color="auto" w:fill="auto"/>
            <w:noWrap/>
            <w:vAlign w:val="bottom"/>
          </w:tcPr>
          <w:p w14:paraId="5E124CD2" w14:textId="77777777" w:rsidR="00FE6377" w:rsidRPr="0013526B" w:rsidRDefault="00FE6377" w:rsidP="00FE6377">
            <w:pPr>
              <w:jc w:val="right"/>
              <w:rPr>
                <w:sz w:val="16"/>
                <w:szCs w:val="16"/>
              </w:rPr>
            </w:pPr>
          </w:p>
        </w:tc>
        <w:tc>
          <w:tcPr>
            <w:tcW w:w="1097" w:type="pct"/>
            <w:gridSpan w:val="2"/>
            <w:tcBorders>
              <w:left w:val="nil"/>
              <w:right w:val="nil"/>
            </w:tcBorders>
            <w:shd w:val="clear" w:color="auto" w:fill="auto"/>
            <w:noWrap/>
            <w:vAlign w:val="bottom"/>
          </w:tcPr>
          <w:p w14:paraId="7F19F53E" w14:textId="77777777" w:rsidR="00FE6377" w:rsidRPr="0013526B" w:rsidRDefault="00FE6377" w:rsidP="00FE6377">
            <w:pPr>
              <w:ind w:right="85"/>
              <w:jc w:val="right"/>
              <w:rPr>
                <w:i/>
                <w:iCs/>
                <w:sz w:val="16"/>
                <w:szCs w:val="16"/>
              </w:rPr>
            </w:pPr>
          </w:p>
        </w:tc>
      </w:tr>
      <w:tr w:rsidR="00FE6377" w:rsidRPr="0013526B" w14:paraId="1C6008FC"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right w:val="nil"/>
            </w:tcBorders>
            <w:shd w:val="clear" w:color="auto" w:fill="auto"/>
            <w:noWrap/>
            <w:vAlign w:val="bottom"/>
          </w:tcPr>
          <w:p w14:paraId="01BF2D7A" w14:textId="74A2B677" w:rsidR="00FE6377" w:rsidRPr="00840B1E" w:rsidRDefault="00FE6377" w:rsidP="00FE6377">
            <w:pPr>
              <w:ind w:left="478" w:hanging="141"/>
              <w:rPr>
                <w:color w:val="FF0000"/>
                <w:sz w:val="16"/>
                <w:szCs w:val="16"/>
              </w:rPr>
            </w:pPr>
          </w:p>
        </w:tc>
        <w:tc>
          <w:tcPr>
            <w:tcW w:w="24" w:type="pct"/>
            <w:tcBorders>
              <w:left w:val="nil"/>
              <w:right w:val="nil"/>
            </w:tcBorders>
          </w:tcPr>
          <w:p w14:paraId="1E404D61" w14:textId="77777777" w:rsidR="00FE6377" w:rsidRPr="00840B1E" w:rsidRDefault="00FE6377" w:rsidP="00FE6377">
            <w:pPr>
              <w:ind w:right="57"/>
              <w:jc w:val="right"/>
              <w:rPr>
                <w:color w:val="FF0000"/>
                <w:sz w:val="16"/>
                <w:szCs w:val="16"/>
              </w:rPr>
            </w:pPr>
          </w:p>
        </w:tc>
        <w:tc>
          <w:tcPr>
            <w:tcW w:w="879" w:type="pct"/>
            <w:tcBorders>
              <w:left w:val="nil"/>
              <w:right w:val="nil"/>
            </w:tcBorders>
            <w:vAlign w:val="bottom"/>
          </w:tcPr>
          <w:p w14:paraId="23E55497" w14:textId="77777777" w:rsidR="00FE6377" w:rsidRPr="00840B1E" w:rsidRDefault="00FE6377" w:rsidP="00FE6377">
            <w:pPr>
              <w:ind w:right="57"/>
              <w:jc w:val="right"/>
              <w:rPr>
                <w:color w:val="FF0000"/>
                <w:sz w:val="16"/>
                <w:szCs w:val="16"/>
                <w:highlight w:val="yellow"/>
              </w:rPr>
            </w:pPr>
          </w:p>
        </w:tc>
        <w:tc>
          <w:tcPr>
            <w:tcW w:w="26" w:type="pct"/>
            <w:tcBorders>
              <w:left w:val="nil"/>
              <w:right w:val="nil"/>
            </w:tcBorders>
            <w:vAlign w:val="bottom"/>
          </w:tcPr>
          <w:p w14:paraId="2FEAE0E0" w14:textId="77777777" w:rsidR="00FE6377" w:rsidRPr="00840B1E" w:rsidRDefault="00FE6377" w:rsidP="00FE6377">
            <w:pPr>
              <w:jc w:val="right"/>
              <w:rPr>
                <w:color w:val="FF0000"/>
                <w:sz w:val="16"/>
                <w:szCs w:val="16"/>
                <w:highlight w:val="yellow"/>
              </w:rPr>
            </w:pPr>
          </w:p>
        </w:tc>
        <w:tc>
          <w:tcPr>
            <w:tcW w:w="879" w:type="pct"/>
            <w:gridSpan w:val="2"/>
            <w:tcBorders>
              <w:left w:val="nil"/>
              <w:right w:val="nil"/>
            </w:tcBorders>
            <w:vAlign w:val="bottom"/>
          </w:tcPr>
          <w:p w14:paraId="60C1B7CE" w14:textId="77777777" w:rsidR="00FE6377" w:rsidRPr="00840B1E" w:rsidRDefault="00FE6377" w:rsidP="00FE6377">
            <w:pPr>
              <w:ind w:right="57"/>
              <w:jc w:val="right"/>
              <w:rPr>
                <w:color w:val="FF0000"/>
                <w:sz w:val="16"/>
                <w:szCs w:val="16"/>
                <w:highlight w:val="yellow"/>
              </w:rPr>
            </w:pPr>
          </w:p>
        </w:tc>
        <w:tc>
          <w:tcPr>
            <w:tcW w:w="26" w:type="pct"/>
            <w:tcBorders>
              <w:left w:val="nil"/>
              <w:right w:val="nil"/>
            </w:tcBorders>
            <w:vAlign w:val="bottom"/>
          </w:tcPr>
          <w:p w14:paraId="02B55027" w14:textId="77777777" w:rsidR="00FE6377" w:rsidRPr="00840B1E" w:rsidRDefault="00FE6377" w:rsidP="00FE6377">
            <w:pPr>
              <w:jc w:val="right"/>
              <w:rPr>
                <w:color w:val="FF0000"/>
                <w:sz w:val="16"/>
                <w:szCs w:val="16"/>
                <w:highlight w:val="yellow"/>
              </w:rPr>
            </w:pPr>
          </w:p>
        </w:tc>
        <w:tc>
          <w:tcPr>
            <w:tcW w:w="881" w:type="pct"/>
            <w:tcBorders>
              <w:left w:val="nil"/>
              <w:right w:val="nil"/>
            </w:tcBorders>
            <w:shd w:val="clear" w:color="auto" w:fill="auto"/>
            <w:noWrap/>
            <w:vAlign w:val="bottom"/>
          </w:tcPr>
          <w:p w14:paraId="00D09461" w14:textId="50C7C570" w:rsidR="00FE6377" w:rsidRPr="00FE6377" w:rsidRDefault="00FE6377" w:rsidP="00FE6377">
            <w:pPr>
              <w:ind w:right="57"/>
              <w:jc w:val="right"/>
              <w:rPr>
                <w:bCs w:val="0"/>
                <w:color w:val="FF0000"/>
                <w:sz w:val="16"/>
                <w:szCs w:val="16"/>
              </w:rPr>
            </w:pPr>
          </w:p>
        </w:tc>
        <w:tc>
          <w:tcPr>
            <w:tcW w:w="26" w:type="pct"/>
            <w:tcBorders>
              <w:left w:val="nil"/>
              <w:right w:val="nil"/>
            </w:tcBorders>
            <w:shd w:val="clear" w:color="auto" w:fill="auto"/>
            <w:noWrap/>
            <w:vAlign w:val="bottom"/>
          </w:tcPr>
          <w:p w14:paraId="5CD90729" w14:textId="77777777" w:rsidR="00FE6377" w:rsidRPr="00840B1E" w:rsidRDefault="00FE6377" w:rsidP="00FE6377">
            <w:pPr>
              <w:jc w:val="right"/>
              <w:rPr>
                <w:color w:val="FF0000"/>
                <w:sz w:val="16"/>
                <w:szCs w:val="16"/>
              </w:rPr>
            </w:pPr>
          </w:p>
        </w:tc>
        <w:tc>
          <w:tcPr>
            <w:tcW w:w="1097" w:type="pct"/>
            <w:gridSpan w:val="2"/>
            <w:tcBorders>
              <w:left w:val="nil"/>
              <w:right w:val="nil"/>
            </w:tcBorders>
            <w:shd w:val="clear" w:color="auto" w:fill="auto"/>
            <w:noWrap/>
            <w:vAlign w:val="bottom"/>
          </w:tcPr>
          <w:p w14:paraId="0CF48A08" w14:textId="213ED936" w:rsidR="00FE6377" w:rsidRPr="00840B1E" w:rsidRDefault="00FE6377" w:rsidP="00FE6377">
            <w:pPr>
              <w:ind w:right="85"/>
              <w:jc w:val="right"/>
              <w:rPr>
                <w:i/>
                <w:iCs/>
                <w:color w:val="FF0000"/>
                <w:sz w:val="16"/>
                <w:szCs w:val="16"/>
              </w:rPr>
            </w:pPr>
          </w:p>
        </w:tc>
      </w:tr>
      <w:tr w:rsidR="00FE6377" w:rsidRPr="0013526B" w14:paraId="1E95F417"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2B45683E" w14:textId="7089BC29" w:rsidR="00FE6377" w:rsidRPr="00840B1E" w:rsidRDefault="00FE6377" w:rsidP="00FE6377">
            <w:pPr>
              <w:ind w:left="478" w:hanging="141"/>
              <w:rPr>
                <w:color w:val="FF0000"/>
                <w:sz w:val="16"/>
                <w:szCs w:val="16"/>
              </w:rPr>
            </w:pPr>
            <w:r>
              <w:rPr>
                <w:b/>
                <w:bCs w:val="0"/>
                <w:sz w:val="16"/>
                <w:szCs w:val="16"/>
              </w:rPr>
              <w:t>ASET</w:t>
            </w:r>
          </w:p>
        </w:tc>
        <w:tc>
          <w:tcPr>
            <w:tcW w:w="24" w:type="pct"/>
            <w:tcBorders>
              <w:left w:val="nil"/>
              <w:right w:val="nil"/>
            </w:tcBorders>
          </w:tcPr>
          <w:p w14:paraId="20BCCAF2" w14:textId="77777777" w:rsidR="00FE6377" w:rsidRPr="00840B1E" w:rsidRDefault="00FE6377" w:rsidP="00FE6377">
            <w:pPr>
              <w:ind w:right="57"/>
              <w:jc w:val="right"/>
              <w:rPr>
                <w:color w:val="FF0000"/>
                <w:sz w:val="16"/>
                <w:szCs w:val="16"/>
              </w:rPr>
            </w:pPr>
          </w:p>
        </w:tc>
        <w:tc>
          <w:tcPr>
            <w:tcW w:w="879" w:type="pct"/>
            <w:tcBorders>
              <w:left w:val="nil"/>
              <w:right w:val="nil"/>
            </w:tcBorders>
            <w:vAlign w:val="bottom"/>
          </w:tcPr>
          <w:p w14:paraId="05C27724" w14:textId="0A5A0A83" w:rsidR="00FE6377" w:rsidRPr="00840B1E" w:rsidRDefault="00FE6377" w:rsidP="00FE6377">
            <w:pPr>
              <w:ind w:right="57"/>
              <w:jc w:val="right"/>
              <w:rPr>
                <w:color w:val="FF0000"/>
                <w:sz w:val="16"/>
                <w:szCs w:val="16"/>
                <w:highlight w:val="yellow"/>
              </w:rPr>
            </w:pPr>
          </w:p>
        </w:tc>
        <w:tc>
          <w:tcPr>
            <w:tcW w:w="26" w:type="pct"/>
            <w:tcBorders>
              <w:left w:val="nil"/>
              <w:right w:val="nil"/>
            </w:tcBorders>
            <w:vAlign w:val="bottom"/>
          </w:tcPr>
          <w:p w14:paraId="10614FA9" w14:textId="77777777" w:rsidR="00FE6377" w:rsidRPr="00840B1E" w:rsidRDefault="00FE6377" w:rsidP="00FE6377">
            <w:pPr>
              <w:jc w:val="right"/>
              <w:rPr>
                <w:color w:val="FF0000"/>
                <w:sz w:val="16"/>
                <w:szCs w:val="16"/>
                <w:highlight w:val="yellow"/>
              </w:rPr>
            </w:pPr>
          </w:p>
        </w:tc>
        <w:tc>
          <w:tcPr>
            <w:tcW w:w="879" w:type="pct"/>
            <w:gridSpan w:val="2"/>
            <w:tcBorders>
              <w:left w:val="nil"/>
              <w:right w:val="nil"/>
            </w:tcBorders>
            <w:vAlign w:val="bottom"/>
          </w:tcPr>
          <w:p w14:paraId="0039C6FD" w14:textId="29AA6E66" w:rsidR="00FE6377" w:rsidRPr="00840B1E" w:rsidRDefault="00FE6377" w:rsidP="00FE6377">
            <w:pPr>
              <w:ind w:right="57"/>
              <w:jc w:val="right"/>
              <w:rPr>
                <w:color w:val="FF0000"/>
                <w:sz w:val="16"/>
                <w:szCs w:val="16"/>
                <w:highlight w:val="yellow"/>
              </w:rPr>
            </w:pPr>
          </w:p>
        </w:tc>
        <w:tc>
          <w:tcPr>
            <w:tcW w:w="26" w:type="pct"/>
            <w:tcBorders>
              <w:left w:val="nil"/>
              <w:right w:val="nil"/>
            </w:tcBorders>
            <w:vAlign w:val="bottom"/>
          </w:tcPr>
          <w:p w14:paraId="43937B0D" w14:textId="77777777" w:rsidR="00FE6377" w:rsidRPr="00840B1E" w:rsidRDefault="00FE6377" w:rsidP="00FE6377">
            <w:pPr>
              <w:jc w:val="right"/>
              <w:rPr>
                <w:color w:val="FF0000"/>
                <w:sz w:val="16"/>
                <w:szCs w:val="16"/>
                <w:highlight w:val="yellow"/>
              </w:rPr>
            </w:pPr>
          </w:p>
        </w:tc>
        <w:tc>
          <w:tcPr>
            <w:tcW w:w="881" w:type="pct"/>
            <w:tcBorders>
              <w:left w:val="nil"/>
              <w:right w:val="nil"/>
            </w:tcBorders>
            <w:shd w:val="clear" w:color="auto" w:fill="auto"/>
            <w:noWrap/>
            <w:vAlign w:val="bottom"/>
          </w:tcPr>
          <w:p w14:paraId="0BE482D6" w14:textId="6F0477B1" w:rsidR="00FE6377" w:rsidRPr="00FE6377" w:rsidRDefault="00FE6377" w:rsidP="00FE6377">
            <w:pPr>
              <w:ind w:right="57"/>
              <w:jc w:val="right"/>
              <w:rPr>
                <w:bCs w:val="0"/>
                <w:color w:val="FF0000"/>
                <w:sz w:val="16"/>
                <w:szCs w:val="16"/>
              </w:rPr>
            </w:pPr>
          </w:p>
        </w:tc>
        <w:tc>
          <w:tcPr>
            <w:tcW w:w="26" w:type="pct"/>
            <w:tcBorders>
              <w:left w:val="nil"/>
              <w:right w:val="nil"/>
            </w:tcBorders>
            <w:shd w:val="clear" w:color="auto" w:fill="auto"/>
            <w:noWrap/>
            <w:vAlign w:val="bottom"/>
          </w:tcPr>
          <w:p w14:paraId="587BF6D3" w14:textId="77777777" w:rsidR="00FE6377" w:rsidRPr="00840B1E" w:rsidRDefault="00FE6377" w:rsidP="00FE6377">
            <w:pPr>
              <w:jc w:val="right"/>
              <w:rPr>
                <w:color w:val="FF0000"/>
                <w:sz w:val="16"/>
                <w:szCs w:val="16"/>
              </w:rPr>
            </w:pPr>
          </w:p>
        </w:tc>
        <w:tc>
          <w:tcPr>
            <w:tcW w:w="1097" w:type="pct"/>
            <w:gridSpan w:val="2"/>
            <w:tcBorders>
              <w:left w:val="nil"/>
              <w:right w:val="nil"/>
            </w:tcBorders>
            <w:shd w:val="clear" w:color="auto" w:fill="auto"/>
            <w:noWrap/>
            <w:vAlign w:val="bottom"/>
          </w:tcPr>
          <w:p w14:paraId="26B8E781" w14:textId="121EAD42" w:rsidR="00FE6377" w:rsidRPr="00840B1E" w:rsidRDefault="00FE6377" w:rsidP="00FE6377">
            <w:pPr>
              <w:ind w:right="256"/>
              <w:jc w:val="right"/>
              <w:rPr>
                <w:i/>
                <w:iCs/>
                <w:color w:val="FF0000"/>
                <w:sz w:val="16"/>
                <w:szCs w:val="16"/>
              </w:rPr>
            </w:pPr>
            <w:r w:rsidRPr="0093130F">
              <w:rPr>
                <w:b/>
                <w:bCs w:val="0"/>
                <w:i/>
                <w:iCs/>
                <w:sz w:val="16"/>
                <w:szCs w:val="16"/>
              </w:rPr>
              <w:t>ASSETS</w:t>
            </w:r>
          </w:p>
        </w:tc>
      </w:tr>
      <w:tr w:rsidR="00FE6377" w:rsidRPr="0013526B" w14:paraId="4479AD06"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79C1E0FB" w14:textId="3E2A53B8" w:rsidR="00FE6377" w:rsidRPr="00840B1E" w:rsidRDefault="00FE6377" w:rsidP="00FE6377">
            <w:pPr>
              <w:ind w:left="478" w:firstLine="112"/>
              <w:rPr>
                <w:color w:val="FF0000"/>
                <w:sz w:val="16"/>
                <w:szCs w:val="16"/>
              </w:rPr>
            </w:pPr>
            <w:r>
              <w:rPr>
                <w:sz w:val="16"/>
                <w:szCs w:val="16"/>
              </w:rPr>
              <w:t>Jumlah aset konsolidasian</w:t>
            </w:r>
          </w:p>
        </w:tc>
        <w:tc>
          <w:tcPr>
            <w:tcW w:w="24" w:type="pct"/>
            <w:tcBorders>
              <w:left w:val="nil"/>
              <w:right w:val="nil"/>
            </w:tcBorders>
          </w:tcPr>
          <w:p w14:paraId="1DE0FA17" w14:textId="77777777" w:rsidR="00FE6377" w:rsidRPr="00840B1E" w:rsidRDefault="00FE6377" w:rsidP="00FE6377">
            <w:pPr>
              <w:ind w:right="57"/>
              <w:jc w:val="right"/>
              <w:rPr>
                <w:color w:val="FF0000"/>
                <w:sz w:val="16"/>
                <w:szCs w:val="16"/>
              </w:rPr>
            </w:pPr>
          </w:p>
        </w:tc>
        <w:tc>
          <w:tcPr>
            <w:tcW w:w="879" w:type="pct"/>
            <w:tcBorders>
              <w:left w:val="nil"/>
              <w:right w:val="nil"/>
            </w:tcBorders>
            <w:vAlign w:val="bottom"/>
          </w:tcPr>
          <w:p w14:paraId="5AE71667" w14:textId="51FEBEAB" w:rsidR="00FE6377" w:rsidRPr="00840B1E" w:rsidRDefault="00FE6377" w:rsidP="00FE6377">
            <w:pPr>
              <w:ind w:right="57"/>
              <w:jc w:val="right"/>
              <w:rPr>
                <w:color w:val="FF0000"/>
                <w:sz w:val="16"/>
                <w:szCs w:val="16"/>
                <w:highlight w:val="yellow"/>
              </w:rPr>
            </w:pPr>
          </w:p>
        </w:tc>
        <w:tc>
          <w:tcPr>
            <w:tcW w:w="26" w:type="pct"/>
            <w:tcBorders>
              <w:left w:val="nil"/>
              <w:right w:val="nil"/>
            </w:tcBorders>
            <w:vAlign w:val="bottom"/>
          </w:tcPr>
          <w:p w14:paraId="6E534349" w14:textId="77777777" w:rsidR="00FE6377" w:rsidRPr="00840B1E" w:rsidRDefault="00FE6377" w:rsidP="00FE6377">
            <w:pPr>
              <w:jc w:val="right"/>
              <w:rPr>
                <w:color w:val="FF0000"/>
                <w:sz w:val="16"/>
                <w:szCs w:val="16"/>
                <w:highlight w:val="yellow"/>
              </w:rPr>
            </w:pPr>
          </w:p>
        </w:tc>
        <w:tc>
          <w:tcPr>
            <w:tcW w:w="879" w:type="pct"/>
            <w:gridSpan w:val="2"/>
            <w:tcBorders>
              <w:left w:val="nil"/>
              <w:right w:val="nil"/>
            </w:tcBorders>
            <w:vAlign w:val="bottom"/>
          </w:tcPr>
          <w:p w14:paraId="0B492782" w14:textId="3B51F3B2" w:rsidR="00FE6377" w:rsidRPr="00840B1E" w:rsidRDefault="00FE6377" w:rsidP="00FE6377">
            <w:pPr>
              <w:ind w:right="57"/>
              <w:jc w:val="right"/>
              <w:rPr>
                <w:color w:val="FF0000"/>
                <w:sz w:val="16"/>
                <w:szCs w:val="16"/>
                <w:highlight w:val="yellow"/>
              </w:rPr>
            </w:pPr>
          </w:p>
        </w:tc>
        <w:tc>
          <w:tcPr>
            <w:tcW w:w="26" w:type="pct"/>
            <w:tcBorders>
              <w:left w:val="nil"/>
              <w:right w:val="nil"/>
            </w:tcBorders>
            <w:vAlign w:val="bottom"/>
          </w:tcPr>
          <w:p w14:paraId="107D4D91" w14:textId="77777777" w:rsidR="00FE6377" w:rsidRPr="00840B1E" w:rsidRDefault="00FE6377" w:rsidP="00FE6377">
            <w:pPr>
              <w:jc w:val="right"/>
              <w:rPr>
                <w:color w:val="FF0000"/>
                <w:sz w:val="16"/>
                <w:szCs w:val="16"/>
                <w:highlight w:val="yellow"/>
              </w:rPr>
            </w:pPr>
          </w:p>
        </w:tc>
        <w:tc>
          <w:tcPr>
            <w:tcW w:w="881" w:type="pct"/>
            <w:tcBorders>
              <w:left w:val="nil"/>
              <w:right w:val="nil"/>
            </w:tcBorders>
            <w:shd w:val="clear" w:color="auto" w:fill="auto"/>
            <w:noWrap/>
            <w:vAlign w:val="bottom"/>
          </w:tcPr>
          <w:p w14:paraId="32157504" w14:textId="523B4EAA" w:rsidR="00FE6377" w:rsidRPr="008723B4" w:rsidRDefault="00FE6377" w:rsidP="008723B4">
            <w:pPr>
              <w:ind w:right="57"/>
              <w:jc w:val="right"/>
              <w:rPr>
                <w:b/>
                <w:bCs w:val="0"/>
                <w:color w:val="FF0000"/>
                <w:sz w:val="16"/>
                <w:szCs w:val="16"/>
              </w:rPr>
            </w:pPr>
            <w:r w:rsidRPr="008723B4">
              <w:rPr>
                <w:b/>
                <w:sz w:val="16"/>
                <w:szCs w:val="16"/>
              </w:rPr>
              <w:t>3.</w:t>
            </w:r>
            <w:r w:rsidR="008723B4">
              <w:rPr>
                <w:b/>
                <w:sz w:val="16"/>
                <w:szCs w:val="16"/>
              </w:rPr>
              <w:t>470.697.516.594</w:t>
            </w:r>
          </w:p>
        </w:tc>
        <w:tc>
          <w:tcPr>
            <w:tcW w:w="26" w:type="pct"/>
            <w:tcBorders>
              <w:left w:val="nil"/>
              <w:right w:val="nil"/>
            </w:tcBorders>
            <w:shd w:val="clear" w:color="auto" w:fill="auto"/>
            <w:noWrap/>
            <w:vAlign w:val="bottom"/>
          </w:tcPr>
          <w:p w14:paraId="7C36DCE9" w14:textId="77777777" w:rsidR="00FE6377" w:rsidRPr="00840B1E" w:rsidRDefault="00FE6377" w:rsidP="00FE6377">
            <w:pPr>
              <w:jc w:val="right"/>
              <w:rPr>
                <w:color w:val="FF0000"/>
                <w:sz w:val="16"/>
                <w:szCs w:val="16"/>
              </w:rPr>
            </w:pPr>
          </w:p>
        </w:tc>
        <w:tc>
          <w:tcPr>
            <w:tcW w:w="1097" w:type="pct"/>
            <w:gridSpan w:val="2"/>
            <w:tcBorders>
              <w:left w:val="nil"/>
              <w:right w:val="nil"/>
            </w:tcBorders>
            <w:shd w:val="clear" w:color="auto" w:fill="auto"/>
            <w:noWrap/>
            <w:vAlign w:val="bottom"/>
          </w:tcPr>
          <w:p w14:paraId="5FC5DB44" w14:textId="36C6FAD9" w:rsidR="00FE6377" w:rsidRPr="00840B1E" w:rsidRDefault="00FE6377" w:rsidP="00FE6377">
            <w:pPr>
              <w:ind w:right="410"/>
              <w:jc w:val="right"/>
              <w:rPr>
                <w:i/>
                <w:iCs/>
                <w:color w:val="FF0000"/>
                <w:sz w:val="16"/>
                <w:szCs w:val="16"/>
              </w:rPr>
            </w:pPr>
            <w:r>
              <w:rPr>
                <w:i/>
                <w:iCs/>
                <w:sz w:val="16"/>
                <w:szCs w:val="16"/>
              </w:rPr>
              <w:t>Total consolidated assets</w:t>
            </w:r>
          </w:p>
        </w:tc>
      </w:tr>
      <w:tr w:rsidR="00FE6377" w:rsidRPr="0013526B" w14:paraId="36F09B72"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0AEF998C" w14:textId="77777777" w:rsidR="00FE6377" w:rsidRPr="0013526B" w:rsidRDefault="00FE6377" w:rsidP="00FE6377">
            <w:pPr>
              <w:ind w:left="141" w:hanging="141"/>
              <w:rPr>
                <w:sz w:val="16"/>
                <w:szCs w:val="16"/>
              </w:rPr>
            </w:pPr>
          </w:p>
        </w:tc>
        <w:tc>
          <w:tcPr>
            <w:tcW w:w="24" w:type="pct"/>
            <w:tcBorders>
              <w:left w:val="nil"/>
              <w:right w:val="nil"/>
            </w:tcBorders>
          </w:tcPr>
          <w:p w14:paraId="24E24596"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17944809"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2E9C521E"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3E07225D"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32BE1EFB" w14:textId="77777777" w:rsidR="00FE6377" w:rsidRPr="008119FA" w:rsidRDefault="00FE6377" w:rsidP="00FE6377">
            <w:pPr>
              <w:jc w:val="right"/>
              <w:rPr>
                <w:sz w:val="16"/>
                <w:szCs w:val="16"/>
                <w:highlight w:val="yellow"/>
              </w:rPr>
            </w:pPr>
          </w:p>
        </w:tc>
        <w:tc>
          <w:tcPr>
            <w:tcW w:w="881" w:type="pct"/>
            <w:tcBorders>
              <w:left w:val="nil"/>
              <w:right w:val="nil"/>
            </w:tcBorders>
            <w:shd w:val="clear" w:color="auto" w:fill="auto"/>
            <w:noWrap/>
            <w:vAlign w:val="bottom"/>
          </w:tcPr>
          <w:p w14:paraId="42B74AD1" w14:textId="411B9E1E" w:rsidR="00FE6377" w:rsidRPr="00FE6377" w:rsidRDefault="00FE6377" w:rsidP="00FE6377">
            <w:pPr>
              <w:ind w:right="57"/>
              <w:jc w:val="right"/>
              <w:rPr>
                <w:bCs w:val="0"/>
                <w:sz w:val="16"/>
                <w:szCs w:val="16"/>
              </w:rPr>
            </w:pPr>
          </w:p>
        </w:tc>
        <w:tc>
          <w:tcPr>
            <w:tcW w:w="26" w:type="pct"/>
            <w:tcBorders>
              <w:left w:val="nil"/>
              <w:right w:val="nil"/>
            </w:tcBorders>
            <w:shd w:val="clear" w:color="auto" w:fill="auto"/>
            <w:noWrap/>
            <w:vAlign w:val="bottom"/>
          </w:tcPr>
          <w:p w14:paraId="0CBE0048" w14:textId="77777777" w:rsidR="00FE6377" w:rsidRPr="0013526B" w:rsidRDefault="00FE6377" w:rsidP="00FE6377">
            <w:pPr>
              <w:jc w:val="right"/>
              <w:rPr>
                <w:sz w:val="16"/>
                <w:szCs w:val="16"/>
              </w:rPr>
            </w:pPr>
          </w:p>
        </w:tc>
        <w:tc>
          <w:tcPr>
            <w:tcW w:w="1097" w:type="pct"/>
            <w:gridSpan w:val="2"/>
            <w:tcBorders>
              <w:left w:val="nil"/>
              <w:right w:val="nil"/>
            </w:tcBorders>
            <w:shd w:val="clear" w:color="auto" w:fill="auto"/>
            <w:noWrap/>
            <w:vAlign w:val="bottom"/>
          </w:tcPr>
          <w:p w14:paraId="701D8127" w14:textId="77777777" w:rsidR="00FE6377" w:rsidRPr="0013526B" w:rsidRDefault="00FE6377" w:rsidP="00FE6377">
            <w:pPr>
              <w:ind w:right="85"/>
              <w:jc w:val="right"/>
              <w:rPr>
                <w:i/>
                <w:iCs/>
                <w:sz w:val="16"/>
                <w:szCs w:val="16"/>
              </w:rPr>
            </w:pPr>
          </w:p>
        </w:tc>
      </w:tr>
      <w:tr w:rsidR="00FE6377" w:rsidRPr="0013526B" w14:paraId="11AAC60C"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47883C01" w14:textId="26D4D77A" w:rsidR="00FE6377" w:rsidRPr="000E27E3" w:rsidRDefault="00FE6377" w:rsidP="00FE6377">
            <w:pPr>
              <w:ind w:left="506" w:hanging="141"/>
              <w:rPr>
                <w:b/>
                <w:bCs w:val="0"/>
                <w:sz w:val="16"/>
                <w:szCs w:val="16"/>
              </w:rPr>
            </w:pPr>
            <w:r w:rsidRPr="000E27E3">
              <w:rPr>
                <w:b/>
                <w:bCs w:val="0"/>
                <w:sz w:val="16"/>
                <w:szCs w:val="16"/>
              </w:rPr>
              <w:t>LIABILITAS</w:t>
            </w:r>
          </w:p>
        </w:tc>
        <w:tc>
          <w:tcPr>
            <w:tcW w:w="24" w:type="pct"/>
            <w:tcBorders>
              <w:left w:val="nil"/>
              <w:right w:val="nil"/>
            </w:tcBorders>
          </w:tcPr>
          <w:p w14:paraId="5072D92A"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61020230"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251AD4CA"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11620BB3"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79677BFC" w14:textId="77777777" w:rsidR="00FE6377" w:rsidRPr="008119FA" w:rsidRDefault="00FE6377" w:rsidP="00FE6377">
            <w:pPr>
              <w:jc w:val="right"/>
              <w:rPr>
                <w:sz w:val="16"/>
                <w:szCs w:val="16"/>
                <w:highlight w:val="yellow"/>
              </w:rPr>
            </w:pPr>
          </w:p>
        </w:tc>
        <w:tc>
          <w:tcPr>
            <w:tcW w:w="881" w:type="pct"/>
            <w:tcBorders>
              <w:left w:val="nil"/>
              <w:right w:val="nil"/>
            </w:tcBorders>
            <w:shd w:val="clear" w:color="auto" w:fill="auto"/>
            <w:noWrap/>
            <w:vAlign w:val="bottom"/>
          </w:tcPr>
          <w:p w14:paraId="120C67F6" w14:textId="77777777" w:rsidR="00FE6377" w:rsidRPr="00FE6377" w:rsidRDefault="00FE6377" w:rsidP="00FE6377">
            <w:pPr>
              <w:ind w:right="57"/>
              <w:jc w:val="right"/>
              <w:rPr>
                <w:bCs w:val="0"/>
                <w:sz w:val="16"/>
                <w:szCs w:val="16"/>
              </w:rPr>
            </w:pPr>
          </w:p>
        </w:tc>
        <w:tc>
          <w:tcPr>
            <w:tcW w:w="26" w:type="pct"/>
            <w:tcBorders>
              <w:left w:val="nil"/>
              <w:right w:val="nil"/>
            </w:tcBorders>
            <w:shd w:val="clear" w:color="auto" w:fill="auto"/>
            <w:noWrap/>
            <w:vAlign w:val="bottom"/>
          </w:tcPr>
          <w:p w14:paraId="00FD1420" w14:textId="77777777" w:rsidR="00FE6377" w:rsidRPr="0013526B" w:rsidRDefault="00FE6377" w:rsidP="00FE6377">
            <w:pPr>
              <w:jc w:val="right"/>
              <w:rPr>
                <w:sz w:val="16"/>
                <w:szCs w:val="16"/>
              </w:rPr>
            </w:pPr>
          </w:p>
        </w:tc>
        <w:tc>
          <w:tcPr>
            <w:tcW w:w="1097" w:type="pct"/>
            <w:gridSpan w:val="2"/>
            <w:tcBorders>
              <w:left w:val="nil"/>
              <w:right w:val="nil"/>
            </w:tcBorders>
            <w:shd w:val="clear" w:color="auto" w:fill="auto"/>
            <w:noWrap/>
            <w:vAlign w:val="bottom"/>
          </w:tcPr>
          <w:p w14:paraId="07F9B53E" w14:textId="1846F91E" w:rsidR="00FE6377" w:rsidRPr="0093130F" w:rsidRDefault="00FE6377" w:rsidP="00FE6377">
            <w:pPr>
              <w:ind w:right="85"/>
              <w:jc w:val="right"/>
              <w:rPr>
                <w:b/>
                <w:bCs w:val="0"/>
                <w:i/>
                <w:iCs/>
                <w:sz w:val="16"/>
                <w:szCs w:val="16"/>
              </w:rPr>
            </w:pPr>
            <w:r w:rsidRPr="0093130F">
              <w:rPr>
                <w:b/>
                <w:bCs w:val="0"/>
                <w:i/>
                <w:iCs/>
                <w:sz w:val="16"/>
                <w:szCs w:val="16"/>
              </w:rPr>
              <w:t>LIABILITIES</w:t>
            </w:r>
          </w:p>
        </w:tc>
      </w:tr>
      <w:tr w:rsidR="00FE6377" w:rsidRPr="0013526B" w14:paraId="21A641DA"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5F7C7404" w14:textId="3EE10B2C" w:rsidR="00FE6377" w:rsidRPr="0013526B" w:rsidRDefault="00FE6377" w:rsidP="00FE6377">
            <w:pPr>
              <w:ind w:left="506" w:hanging="141"/>
              <w:rPr>
                <w:sz w:val="16"/>
                <w:szCs w:val="16"/>
              </w:rPr>
            </w:pPr>
            <w:r w:rsidRPr="000E27E3">
              <w:rPr>
                <w:bCs w:val="0"/>
                <w:sz w:val="16"/>
                <w:szCs w:val="16"/>
              </w:rPr>
              <w:t>J</w:t>
            </w:r>
            <w:r>
              <w:rPr>
                <w:bCs w:val="0"/>
                <w:sz w:val="16"/>
                <w:szCs w:val="16"/>
              </w:rPr>
              <w:t>umlah liabilitas konsolidasian</w:t>
            </w:r>
          </w:p>
        </w:tc>
        <w:tc>
          <w:tcPr>
            <w:tcW w:w="24" w:type="pct"/>
            <w:tcBorders>
              <w:left w:val="nil"/>
              <w:right w:val="nil"/>
            </w:tcBorders>
          </w:tcPr>
          <w:p w14:paraId="447BA1BF"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55F8E7EA" w14:textId="62653DCE"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48E5D971"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34D3B14C" w14:textId="34E57925"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38458401" w14:textId="77777777" w:rsidR="00FE6377" w:rsidRPr="008119FA" w:rsidRDefault="00FE6377" w:rsidP="00FE6377">
            <w:pPr>
              <w:jc w:val="right"/>
              <w:rPr>
                <w:sz w:val="16"/>
                <w:szCs w:val="16"/>
                <w:highlight w:val="yellow"/>
              </w:rPr>
            </w:pPr>
          </w:p>
        </w:tc>
        <w:tc>
          <w:tcPr>
            <w:tcW w:w="881" w:type="pct"/>
            <w:tcBorders>
              <w:left w:val="nil"/>
              <w:right w:val="nil"/>
            </w:tcBorders>
            <w:shd w:val="clear" w:color="auto" w:fill="auto"/>
            <w:noWrap/>
            <w:vAlign w:val="bottom"/>
          </w:tcPr>
          <w:p w14:paraId="5DE5FA92" w14:textId="4F3AB65D" w:rsidR="00FE6377" w:rsidRPr="008723B4" w:rsidRDefault="00E325EC" w:rsidP="008723B4">
            <w:pPr>
              <w:ind w:right="57"/>
              <w:jc w:val="right"/>
              <w:rPr>
                <w:bCs w:val="0"/>
                <w:sz w:val="16"/>
                <w:szCs w:val="16"/>
              </w:rPr>
            </w:pPr>
            <w:r w:rsidRPr="008723B4">
              <w:rPr>
                <w:b/>
                <w:sz w:val="16"/>
                <w:szCs w:val="16"/>
              </w:rPr>
              <w:t>1.</w:t>
            </w:r>
            <w:r w:rsidR="008723B4" w:rsidRPr="008723B4">
              <w:rPr>
                <w:b/>
                <w:sz w:val="16"/>
                <w:szCs w:val="16"/>
              </w:rPr>
              <w:t>703.737.361.551</w:t>
            </w:r>
          </w:p>
        </w:tc>
        <w:tc>
          <w:tcPr>
            <w:tcW w:w="26" w:type="pct"/>
            <w:tcBorders>
              <w:left w:val="nil"/>
              <w:right w:val="nil"/>
            </w:tcBorders>
            <w:shd w:val="clear" w:color="auto" w:fill="auto"/>
            <w:noWrap/>
            <w:vAlign w:val="bottom"/>
          </w:tcPr>
          <w:p w14:paraId="5ACA9592" w14:textId="77777777" w:rsidR="00FE6377" w:rsidRPr="0013526B" w:rsidRDefault="00FE6377" w:rsidP="00FE6377">
            <w:pPr>
              <w:jc w:val="right"/>
              <w:rPr>
                <w:sz w:val="16"/>
                <w:szCs w:val="16"/>
              </w:rPr>
            </w:pPr>
          </w:p>
        </w:tc>
        <w:tc>
          <w:tcPr>
            <w:tcW w:w="1097" w:type="pct"/>
            <w:gridSpan w:val="2"/>
            <w:tcBorders>
              <w:left w:val="nil"/>
              <w:right w:val="nil"/>
            </w:tcBorders>
            <w:shd w:val="clear" w:color="auto" w:fill="auto"/>
            <w:noWrap/>
            <w:vAlign w:val="bottom"/>
          </w:tcPr>
          <w:p w14:paraId="1DD89231" w14:textId="77777777" w:rsidR="00FE6377" w:rsidRDefault="00FE6377" w:rsidP="00FE6377">
            <w:pPr>
              <w:ind w:right="102"/>
              <w:jc w:val="right"/>
              <w:rPr>
                <w:bCs w:val="0"/>
                <w:i/>
                <w:iCs/>
                <w:sz w:val="16"/>
                <w:szCs w:val="16"/>
              </w:rPr>
            </w:pPr>
            <w:r w:rsidRPr="0093130F">
              <w:rPr>
                <w:bCs w:val="0"/>
                <w:i/>
                <w:iCs/>
                <w:sz w:val="16"/>
                <w:szCs w:val="16"/>
              </w:rPr>
              <w:t xml:space="preserve">Total consolidated </w:t>
            </w:r>
          </w:p>
          <w:p w14:paraId="28D8D669" w14:textId="186D368C" w:rsidR="00FE6377" w:rsidRPr="0013526B" w:rsidRDefault="00FE6377" w:rsidP="00FE6377">
            <w:pPr>
              <w:ind w:right="85"/>
              <w:jc w:val="right"/>
              <w:rPr>
                <w:i/>
                <w:iCs/>
                <w:sz w:val="16"/>
                <w:szCs w:val="16"/>
              </w:rPr>
            </w:pPr>
            <w:r w:rsidRPr="0093130F">
              <w:rPr>
                <w:bCs w:val="0"/>
                <w:i/>
                <w:iCs/>
                <w:sz w:val="16"/>
                <w:szCs w:val="16"/>
              </w:rPr>
              <w:t>liabilities</w:t>
            </w:r>
          </w:p>
        </w:tc>
      </w:tr>
      <w:tr w:rsidR="00FE6377" w:rsidRPr="0013526B" w14:paraId="06D2A706"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02391B85" w14:textId="77777777" w:rsidR="00FE6377" w:rsidRPr="0013526B" w:rsidRDefault="00FE6377" w:rsidP="00FE6377">
            <w:pPr>
              <w:ind w:left="141" w:hanging="141"/>
              <w:rPr>
                <w:sz w:val="16"/>
                <w:szCs w:val="16"/>
              </w:rPr>
            </w:pPr>
          </w:p>
        </w:tc>
        <w:tc>
          <w:tcPr>
            <w:tcW w:w="24" w:type="pct"/>
            <w:tcBorders>
              <w:left w:val="nil"/>
              <w:right w:val="nil"/>
            </w:tcBorders>
          </w:tcPr>
          <w:p w14:paraId="63E17031"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5A99EE74"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5E5DC323"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4E13FE3D"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700D52E8" w14:textId="77777777" w:rsidR="00FE6377" w:rsidRPr="008119FA" w:rsidRDefault="00FE6377" w:rsidP="00FE6377">
            <w:pPr>
              <w:jc w:val="right"/>
              <w:rPr>
                <w:sz w:val="16"/>
                <w:szCs w:val="16"/>
                <w:highlight w:val="yellow"/>
              </w:rPr>
            </w:pPr>
          </w:p>
        </w:tc>
        <w:tc>
          <w:tcPr>
            <w:tcW w:w="881" w:type="pct"/>
            <w:tcBorders>
              <w:left w:val="nil"/>
              <w:right w:val="nil"/>
            </w:tcBorders>
            <w:shd w:val="clear" w:color="auto" w:fill="auto"/>
            <w:noWrap/>
            <w:vAlign w:val="bottom"/>
          </w:tcPr>
          <w:p w14:paraId="4A328BF0" w14:textId="77777777" w:rsidR="00FE6377" w:rsidRPr="00FE6377" w:rsidRDefault="00FE6377" w:rsidP="00FE6377">
            <w:pPr>
              <w:ind w:right="57"/>
              <w:jc w:val="right"/>
              <w:rPr>
                <w:bCs w:val="0"/>
                <w:sz w:val="16"/>
                <w:szCs w:val="16"/>
              </w:rPr>
            </w:pPr>
          </w:p>
        </w:tc>
        <w:tc>
          <w:tcPr>
            <w:tcW w:w="26" w:type="pct"/>
            <w:tcBorders>
              <w:left w:val="nil"/>
              <w:right w:val="nil"/>
            </w:tcBorders>
            <w:shd w:val="clear" w:color="auto" w:fill="auto"/>
            <w:noWrap/>
            <w:vAlign w:val="bottom"/>
          </w:tcPr>
          <w:p w14:paraId="102F4132" w14:textId="77777777" w:rsidR="00FE6377" w:rsidRPr="0013526B" w:rsidRDefault="00FE6377" w:rsidP="00FE6377">
            <w:pPr>
              <w:jc w:val="right"/>
              <w:rPr>
                <w:sz w:val="16"/>
                <w:szCs w:val="16"/>
              </w:rPr>
            </w:pPr>
          </w:p>
        </w:tc>
        <w:tc>
          <w:tcPr>
            <w:tcW w:w="1097" w:type="pct"/>
            <w:gridSpan w:val="2"/>
            <w:tcBorders>
              <w:left w:val="nil"/>
              <w:right w:val="nil"/>
            </w:tcBorders>
            <w:shd w:val="clear" w:color="auto" w:fill="auto"/>
            <w:noWrap/>
            <w:vAlign w:val="bottom"/>
          </w:tcPr>
          <w:p w14:paraId="7FE4C7D1" w14:textId="77777777" w:rsidR="00FE6377" w:rsidRPr="0013526B" w:rsidRDefault="00FE6377" w:rsidP="00FE6377">
            <w:pPr>
              <w:ind w:right="227"/>
              <w:jc w:val="right"/>
              <w:rPr>
                <w:i/>
                <w:iCs/>
                <w:sz w:val="16"/>
                <w:szCs w:val="16"/>
              </w:rPr>
            </w:pPr>
          </w:p>
        </w:tc>
      </w:tr>
      <w:tr w:rsidR="00FE6377" w:rsidRPr="0013526B" w14:paraId="4C3161C2"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5A5E3BAA" w14:textId="1D115196" w:rsidR="00FE6377" w:rsidRPr="000E27E3" w:rsidRDefault="00FE6377" w:rsidP="00FE6377">
            <w:pPr>
              <w:ind w:left="506" w:hanging="141"/>
              <w:rPr>
                <w:b/>
                <w:bCs w:val="0"/>
                <w:sz w:val="16"/>
                <w:szCs w:val="16"/>
              </w:rPr>
            </w:pPr>
          </w:p>
        </w:tc>
        <w:tc>
          <w:tcPr>
            <w:tcW w:w="24" w:type="pct"/>
            <w:tcBorders>
              <w:left w:val="nil"/>
              <w:right w:val="nil"/>
            </w:tcBorders>
          </w:tcPr>
          <w:p w14:paraId="6C23C238"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32DED9E7"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2A5A3AA0" w14:textId="77777777" w:rsidR="00FE6377" w:rsidRPr="008119FA" w:rsidRDefault="00FE6377" w:rsidP="00FE6377">
            <w:pPr>
              <w:jc w:val="right"/>
              <w:rPr>
                <w:sz w:val="16"/>
                <w:szCs w:val="16"/>
                <w:highlight w:val="yellow"/>
              </w:rPr>
            </w:pPr>
          </w:p>
        </w:tc>
        <w:tc>
          <w:tcPr>
            <w:tcW w:w="879" w:type="pct"/>
            <w:gridSpan w:val="2"/>
            <w:tcBorders>
              <w:left w:val="nil"/>
              <w:right w:val="nil"/>
            </w:tcBorders>
            <w:vAlign w:val="bottom"/>
          </w:tcPr>
          <w:p w14:paraId="6287DF72" w14:textId="77777777"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1193F1A8" w14:textId="77777777" w:rsidR="00FE6377" w:rsidRPr="008119FA" w:rsidRDefault="00FE6377" w:rsidP="00FE6377">
            <w:pPr>
              <w:jc w:val="right"/>
              <w:rPr>
                <w:sz w:val="16"/>
                <w:szCs w:val="16"/>
                <w:highlight w:val="yellow"/>
              </w:rPr>
            </w:pPr>
          </w:p>
        </w:tc>
        <w:tc>
          <w:tcPr>
            <w:tcW w:w="881" w:type="pct"/>
            <w:tcBorders>
              <w:left w:val="nil"/>
              <w:right w:val="nil"/>
            </w:tcBorders>
            <w:shd w:val="clear" w:color="auto" w:fill="auto"/>
            <w:noWrap/>
            <w:vAlign w:val="bottom"/>
          </w:tcPr>
          <w:p w14:paraId="73AA7A51" w14:textId="77777777" w:rsidR="00FE6377" w:rsidRPr="00FE6377" w:rsidRDefault="00FE6377" w:rsidP="00FE6377">
            <w:pPr>
              <w:ind w:right="57"/>
              <w:jc w:val="right"/>
              <w:rPr>
                <w:bCs w:val="0"/>
                <w:sz w:val="16"/>
                <w:szCs w:val="16"/>
              </w:rPr>
            </w:pPr>
          </w:p>
        </w:tc>
        <w:tc>
          <w:tcPr>
            <w:tcW w:w="26" w:type="pct"/>
            <w:tcBorders>
              <w:left w:val="nil"/>
              <w:right w:val="nil"/>
            </w:tcBorders>
            <w:shd w:val="clear" w:color="auto" w:fill="auto"/>
            <w:noWrap/>
            <w:vAlign w:val="bottom"/>
          </w:tcPr>
          <w:p w14:paraId="6E236FC8" w14:textId="77777777" w:rsidR="00FE6377" w:rsidRPr="0013526B" w:rsidRDefault="00FE6377" w:rsidP="00FE6377">
            <w:pPr>
              <w:jc w:val="right"/>
              <w:rPr>
                <w:sz w:val="16"/>
                <w:szCs w:val="16"/>
              </w:rPr>
            </w:pPr>
          </w:p>
        </w:tc>
        <w:tc>
          <w:tcPr>
            <w:tcW w:w="1097" w:type="pct"/>
            <w:gridSpan w:val="2"/>
            <w:tcBorders>
              <w:left w:val="nil"/>
              <w:right w:val="nil"/>
            </w:tcBorders>
            <w:shd w:val="clear" w:color="auto" w:fill="auto"/>
            <w:noWrap/>
            <w:vAlign w:val="bottom"/>
          </w:tcPr>
          <w:p w14:paraId="60843D52" w14:textId="132C143E" w:rsidR="00FE6377" w:rsidRPr="0093130F" w:rsidRDefault="00FE6377" w:rsidP="00FE6377">
            <w:pPr>
              <w:ind w:right="85"/>
              <w:jc w:val="right"/>
              <w:rPr>
                <w:b/>
                <w:bCs w:val="0"/>
                <w:i/>
                <w:iCs/>
                <w:sz w:val="16"/>
                <w:szCs w:val="16"/>
              </w:rPr>
            </w:pPr>
          </w:p>
        </w:tc>
      </w:tr>
      <w:tr w:rsidR="00FE6377" w:rsidRPr="0013526B" w14:paraId="2DC0979B"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1D8029B1" w14:textId="7714AFC6" w:rsidR="00FE6377" w:rsidRPr="000E27E3" w:rsidRDefault="00FE6377" w:rsidP="00FE6377">
            <w:pPr>
              <w:ind w:left="506" w:hanging="141"/>
              <w:rPr>
                <w:bCs w:val="0"/>
                <w:sz w:val="16"/>
                <w:szCs w:val="16"/>
              </w:rPr>
            </w:pPr>
          </w:p>
        </w:tc>
        <w:tc>
          <w:tcPr>
            <w:tcW w:w="24" w:type="pct"/>
            <w:tcBorders>
              <w:left w:val="nil"/>
              <w:right w:val="nil"/>
            </w:tcBorders>
          </w:tcPr>
          <w:p w14:paraId="58CC3973" w14:textId="77777777" w:rsidR="00FE6377" w:rsidRPr="0013526B" w:rsidRDefault="00FE6377" w:rsidP="00FE6377">
            <w:pPr>
              <w:ind w:right="57"/>
              <w:jc w:val="right"/>
              <w:rPr>
                <w:sz w:val="16"/>
                <w:szCs w:val="16"/>
              </w:rPr>
            </w:pPr>
          </w:p>
        </w:tc>
        <w:tc>
          <w:tcPr>
            <w:tcW w:w="879" w:type="pct"/>
            <w:tcBorders>
              <w:left w:val="nil"/>
              <w:right w:val="nil"/>
            </w:tcBorders>
            <w:vAlign w:val="bottom"/>
          </w:tcPr>
          <w:p w14:paraId="2DC4DBED" w14:textId="7E4268F3"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7435E331" w14:textId="77777777" w:rsidR="00FE6377" w:rsidRPr="008119FA" w:rsidRDefault="00FE6377" w:rsidP="00FE6377">
            <w:pPr>
              <w:jc w:val="right"/>
              <w:rPr>
                <w:b/>
                <w:sz w:val="16"/>
                <w:szCs w:val="16"/>
                <w:highlight w:val="yellow"/>
              </w:rPr>
            </w:pPr>
          </w:p>
        </w:tc>
        <w:tc>
          <w:tcPr>
            <w:tcW w:w="879" w:type="pct"/>
            <w:gridSpan w:val="2"/>
            <w:tcBorders>
              <w:left w:val="nil"/>
              <w:right w:val="nil"/>
            </w:tcBorders>
            <w:vAlign w:val="bottom"/>
          </w:tcPr>
          <w:p w14:paraId="5259D5AC" w14:textId="6100FEF8" w:rsidR="00FE6377" w:rsidRPr="008119FA" w:rsidRDefault="00FE6377" w:rsidP="00FE6377">
            <w:pPr>
              <w:ind w:right="57"/>
              <w:jc w:val="right"/>
              <w:rPr>
                <w:sz w:val="16"/>
                <w:szCs w:val="16"/>
                <w:highlight w:val="yellow"/>
              </w:rPr>
            </w:pPr>
          </w:p>
        </w:tc>
        <w:tc>
          <w:tcPr>
            <w:tcW w:w="26" w:type="pct"/>
            <w:tcBorders>
              <w:left w:val="nil"/>
              <w:right w:val="nil"/>
            </w:tcBorders>
            <w:vAlign w:val="bottom"/>
          </w:tcPr>
          <w:p w14:paraId="5B66FF86" w14:textId="77777777" w:rsidR="00FE6377" w:rsidRPr="008119FA" w:rsidRDefault="00FE6377" w:rsidP="00FE6377">
            <w:pPr>
              <w:jc w:val="right"/>
              <w:rPr>
                <w:sz w:val="16"/>
                <w:szCs w:val="16"/>
                <w:highlight w:val="yellow"/>
              </w:rPr>
            </w:pPr>
          </w:p>
        </w:tc>
        <w:tc>
          <w:tcPr>
            <w:tcW w:w="881" w:type="pct"/>
            <w:tcBorders>
              <w:left w:val="nil"/>
              <w:right w:val="nil"/>
            </w:tcBorders>
            <w:shd w:val="clear" w:color="auto" w:fill="auto"/>
            <w:noWrap/>
            <w:vAlign w:val="bottom"/>
          </w:tcPr>
          <w:p w14:paraId="1965A1EE" w14:textId="68230719" w:rsidR="00FE6377" w:rsidRPr="00FE6377" w:rsidRDefault="00FE6377" w:rsidP="00FE6377">
            <w:pPr>
              <w:ind w:right="57"/>
              <w:jc w:val="right"/>
              <w:rPr>
                <w:bCs w:val="0"/>
                <w:sz w:val="16"/>
                <w:szCs w:val="16"/>
              </w:rPr>
            </w:pPr>
          </w:p>
        </w:tc>
        <w:tc>
          <w:tcPr>
            <w:tcW w:w="26" w:type="pct"/>
            <w:tcBorders>
              <w:left w:val="nil"/>
              <w:right w:val="nil"/>
            </w:tcBorders>
            <w:shd w:val="clear" w:color="auto" w:fill="auto"/>
            <w:noWrap/>
            <w:vAlign w:val="bottom"/>
          </w:tcPr>
          <w:p w14:paraId="6B01F0AA" w14:textId="77777777" w:rsidR="00FE6377" w:rsidRPr="0013526B" w:rsidRDefault="00FE6377" w:rsidP="00FE6377">
            <w:pPr>
              <w:jc w:val="right"/>
              <w:rPr>
                <w:sz w:val="16"/>
                <w:szCs w:val="16"/>
              </w:rPr>
            </w:pPr>
          </w:p>
        </w:tc>
        <w:tc>
          <w:tcPr>
            <w:tcW w:w="1097" w:type="pct"/>
            <w:gridSpan w:val="2"/>
            <w:tcBorders>
              <w:left w:val="nil"/>
              <w:right w:val="nil"/>
            </w:tcBorders>
            <w:shd w:val="clear" w:color="auto" w:fill="auto"/>
            <w:noWrap/>
            <w:vAlign w:val="bottom"/>
          </w:tcPr>
          <w:p w14:paraId="447A955B" w14:textId="3C73B0C6" w:rsidR="00FE6377" w:rsidRPr="0093130F" w:rsidRDefault="00FE6377" w:rsidP="00FE6377">
            <w:pPr>
              <w:ind w:right="242"/>
              <w:jc w:val="right"/>
              <w:rPr>
                <w:bCs w:val="0"/>
                <w:i/>
                <w:iCs/>
                <w:sz w:val="16"/>
                <w:szCs w:val="16"/>
              </w:rPr>
            </w:pPr>
          </w:p>
        </w:tc>
      </w:tr>
      <w:tr w:rsidR="00FE6377" w:rsidRPr="000E27E3" w14:paraId="443C2BCE" w14:textId="77777777" w:rsidTr="00FE6377">
        <w:tblPrEx>
          <w:tblCellMar>
            <w:left w:w="0" w:type="dxa"/>
            <w:right w:w="0" w:type="dxa"/>
          </w:tblCellMar>
          <w:tblLook w:val="04A0" w:firstRow="1" w:lastRow="0" w:firstColumn="1" w:lastColumn="0" w:noHBand="0" w:noVBand="1"/>
        </w:tblPrEx>
        <w:trPr>
          <w:gridBefore w:val="1"/>
          <w:wBefore w:w="51" w:type="pct"/>
          <w:trHeight w:val="117"/>
        </w:trPr>
        <w:tc>
          <w:tcPr>
            <w:tcW w:w="1111" w:type="pct"/>
            <w:tcBorders>
              <w:top w:val="nil"/>
              <w:left w:val="nil"/>
              <w:bottom w:val="nil"/>
              <w:right w:val="nil"/>
            </w:tcBorders>
            <w:shd w:val="clear" w:color="auto" w:fill="auto"/>
            <w:noWrap/>
            <w:vAlign w:val="bottom"/>
          </w:tcPr>
          <w:p w14:paraId="5084DD17" w14:textId="77777777" w:rsidR="00FE6377" w:rsidRPr="000E27E3" w:rsidRDefault="00FE6377" w:rsidP="00FE6377">
            <w:pPr>
              <w:ind w:left="141" w:hanging="141"/>
              <w:rPr>
                <w:b/>
                <w:sz w:val="16"/>
                <w:szCs w:val="16"/>
                <w:vertAlign w:val="superscript"/>
              </w:rPr>
            </w:pPr>
          </w:p>
        </w:tc>
        <w:tc>
          <w:tcPr>
            <w:tcW w:w="24" w:type="pct"/>
            <w:tcBorders>
              <w:left w:val="nil"/>
              <w:right w:val="nil"/>
            </w:tcBorders>
          </w:tcPr>
          <w:p w14:paraId="142295A6" w14:textId="77777777" w:rsidR="00FE6377" w:rsidRPr="000E27E3" w:rsidRDefault="00FE6377" w:rsidP="00FE6377">
            <w:pPr>
              <w:ind w:right="57"/>
              <w:jc w:val="right"/>
              <w:rPr>
                <w:sz w:val="16"/>
                <w:szCs w:val="16"/>
                <w:vertAlign w:val="superscript"/>
              </w:rPr>
            </w:pPr>
          </w:p>
        </w:tc>
        <w:tc>
          <w:tcPr>
            <w:tcW w:w="879" w:type="pct"/>
            <w:tcBorders>
              <w:left w:val="nil"/>
              <w:right w:val="nil"/>
            </w:tcBorders>
            <w:vAlign w:val="bottom"/>
          </w:tcPr>
          <w:p w14:paraId="0DD3B010" w14:textId="77777777" w:rsidR="00FE6377" w:rsidRPr="00EE5079" w:rsidRDefault="00FE6377" w:rsidP="00FE6377">
            <w:pPr>
              <w:ind w:right="57"/>
              <w:jc w:val="right"/>
              <w:rPr>
                <w:sz w:val="16"/>
                <w:szCs w:val="16"/>
                <w:vertAlign w:val="superscript"/>
              </w:rPr>
            </w:pPr>
          </w:p>
        </w:tc>
        <w:tc>
          <w:tcPr>
            <w:tcW w:w="26" w:type="pct"/>
            <w:tcBorders>
              <w:left w:val="nil"/>
              <w:right w:val="nil"/>
            </w:tcBorders>
            <w:vAlign w:val="bottom"/>
          </w:tcPr>
          <w:p w14:paraId="0D16167B" w14:textId="77777777" w:rsidR="00FE6377" w:rsidRPr="00EE5079" w:rsidRDefault="00FE6377" w:rsidP="00FE6377">
            <w:pPr>
              <w:jc w:val="right"/>
              <w:rPr>
                <w:b/>
                <w:sz w:val="16"/>
                <w:szCs w:val="16"/>
                <w:vertAlign w:val="superscript"/>
              </w:rPr>
            </w:pPr>
          </w:p>
        </w:tc>
        <w:tc>
          <w:tcPr>
            <w:tcW w:w="879" w:type="pct"/>
            <w:gridSpan w:val="2"/>
            <w:tcBorders>
              <w:left w:val="nil"/>
              <w:right w:val="nil"/>
            </w:tcBorders>
            <w:vAlign w:val="bottom"/>
          </w:tcPr>
          <w:p w14:paraId="236916CC" w14:textId="77777777" w:rsidR="00FE6377" w:rsidRPr="00EE5079" w:rsidRDefault="00FE6377" w:rsidP="00FE6377">
            <w:pPr>
              <w:ind w:right="57"/>
              <w:jc w:val="right"/>
              <w:rPr>
                <w:sz w:val="16"/>
                <w:szCs w:val="16"/>
                <w:vertAlign w:val="superscript"/>
              </w:rPr>
            </w:pPr>
          </w:p>
        </w:tc>
        <w:tc>
          <w:tcPr>
            <w:tcW w:w="26" w:type="pct"/>
            <w:tcBorders>
              <w:left w:val="nil"/>
              <w:right w:val="nil"/>
            </w:tcBorders>
            <w:vAlign w:val="bottom"/>
          </w:tcPr>
          <w:p w14:paraId="119C46BC" w14:textId="77777777" w:rsidR="00FE6377" w:rsidRPr="00EE5079" w:rsidRDefault="00FE6377" w:rsidP="00FE6377">
            <w:pPr>
              <w:jc w:val="right"/>
              <w:rPr>
                <w:sz w:val="16"/>
                <w:szCs w:val="16"/>
                <w:vertAlign w:val="superscript"/>
              </w:rPr>
            </w:pPr>
          </w:p>
        </w:tc>
        <w:tc>
          <w:tcPr>
            <w:tcW w:w="881" w:type="pct"/>
            <w:tcBorders>
              <w:left w:val="nil"/>
              <w:right w:val="nil"/>
            </w:tcBorders>
            <w:shd w:val="clear" w:color="auto" w:fill="auto"/>
            <w:noWrap/>
            <w:vAlign w:val="bottom"/>
          </w:tcPr>
          <w:p w14:paraId="33525DBC" w14:textId="77777777" w:rsidR="00FE6377" w:rsidRPr="00FE6377" w:rsidRDefault="00FE6377" w:rsidP="00FE6377">
            <w:pPr>
              <w:ind w:right="57"/>
              <w:jc w:val="right"/>
              <w:rPr>
                <w:sz w:val="16"/>
                <w:szCs w:val="16"/>
                <w:vertAlign w:val="superscript"/>
              </w:rPr>
            </w:pPr>
          </w:p>
        </w:tc>
        <w:tc>
          <w:tcPr>
            <w:tcW w:w="26" w:type="pct"/>
            <w:tcBorders>
              <w:left w:val="nil"/>
              <w:right w:val="nil"/>
            </w:tcBorders>
            <w:shd w:val="clear" w:color="auto" w:fill="auto"/>
            <w:noWrap/>
            <w:vAlign w:val="bottom"/>
          </w:tcPr>
          <w:p w14:paraId="79E2BB0D" w14:textId="77777777" w:rsidR="00FE6377" w:rsidRPr="000E27E3" w:rsidRDefault="00FE6377" w:rsidP="00FE6377">
            <w:pPr>
              <w:jc w:val="right"/>
              <w:rPr>
                <w:sz w:val="16"/>
                <w:szCs w:val="16"/>
                <w:vertAlign w:val="superscript"/>
              </w:rPr>
            </w:pPr>
          </w:p>
        </w:tc>
        <w:tc>
          <w:tcPr>
            <w:tcW w:w="1097" w:type="pct"/>
            <w:gridSpan w:val="2"/>
            <w:tcBorders>
              <w:left w:val="nil"/>
              <w:right w:val="nil"/>
            </w:tcBorders>
            <w:shd w:val="clear" w:color="auto" w:fill="auto"/>
            <w:noWrap/>
            <w:vAlign w:val="bottom"/>
          </w:tcPr>
          <w:p w14:paraId="0A2EE60D" w14:textId="77777777" w:rsidR="00FE6377" w:rsidRPr="000E27E3" w:rsidRDefault="00FE6377" w:rsidP="00FE6377">
            <w:pPr>
              <w:ind w:right="227"/>
              <w:jc w:val="right"/>
              <w:rPr>
                <w:b/>
                <w:i/>
                <w:iCs/>
                <w:sz w:val="16"/>
                <w:szCs w:val="16"/>
                <w:vertAlign w:val="superscript"/>
              </w:rPr>
            </w:pPr>
          </w:p>
        </w:tc>
      </w:tr>
    </w:tbl>
    <w:p w14:paraId="0FF5C784" w14:textId="77777777" w:rsidR="00314480" w:rsidRPr="0013526B" w:rsidRDefault="00314480" w:rsidP="0013526B">
      <w:pPr>
        <w:rPr>
          <w:sz w:val="18"/>
          <w:szCs w:val="18"/>
        </w:rPr>
        <w:sectPr w:rsidR="00314480" w:rsidRPr="0013526B" w:rsidSect="00073249">
          <w:pgSz w:w="11907" w:h="16840" w:code="9"/>
          <w:pgMar w:top="1701" w:right="680" w:bottom="1134" w:left="1247" w:header="851" w:footer="397" w:gutter="0"/>
          <w:cols w:space="720"/>
          <w:titlePg/>
          <w:docGrid w:linePitch="360"/>
        </w:sectPr>
      </w:pPr>
    </w:p>
    <w:tbl>
      <w:tblPr>
        <w:tblW w:w="9197" w:type="dxa"/>
        <w:tblInd w:w="434" w:type="dxa"/>
        <w:tblLayout w:type="fixed"/>
        <w:tblLook w:val="0000" w:firstRow="0" w:lastRow="0" w:firstColumn="0" w:lastColumn="0" w:noHBand="0" w:noVBand="0"/>
      </w:tblPr>
      <w:tblGrid>
        <w:gridCol w:w="4598"/>
        <w:gridCol w:w="4599"/>
      </w:tblGrid>
      <w:tr w:rsidR="004F3A46" w:rsidRPr="00CC3CFA" w14:paraId="189D9D21" w14:textId="77777777" w:rsidTr="00D15EC3">
        <w:tc>
          <w:tcPr>
            <w:tcW w:w="4598" w:type="dxa"/>
            <w:tcBorders>
              <w:top w:val="nil"/>
              <w:left w:val="nil"/>
              <w:bottom w:val="nil"/>
              <w:right w:val="nil"/>
            </w:tcBorders>
          </w:tcPr>
          <w:p w14:paraId="62F3DDCE" w14:textId="77777777" w:rsidR="004F3A46" w:rsidRPr="003D227D" w:rsidRDefault="004F3A46" w:rsidP="00070D1F">
            <w:pPr>
              <w:pStyle w:val="ListParagraph"/>
              <w:numPr>
                <w:ilvl w:val="0"/>
                <w:numId w:val="403"/>
              </w:numPr>
              <w:jc w:val="both"/>
              <w:rPr>
                <w:b/>
                <w:sz w:val="18"/>
                <w:szCs w:val="18"/>
              </w:rPr>
            </w:pPr>
            <w:r w:rsidRPr="003D227D">
              <w:rPr>
                <w:b/>
                <w:sz w:val="18"/>
                <w:szCs w:val="18"/>
              </w:rPr>
              <w:lastRenderedPageBreak/>
              <w:br w:type="page"/>
              <w:t>SEGMEN</w:t>
            </w:r>
            <w:r w:rsidR="00756FCF" w:rsidRPr="003D227D">
              <w:rPr>
                <w:b/>
                <w:sz w:val="18"/>
                <w:szCs w:val="18"/>
              </w:rPr>
              <w:t xml:space="preserve"> OPERASI </w:t>
            </w:r>
            <w:r w:rsidR="009C5262" w:rsidRPr="003D227D">
              <w:rPr>
                <w:b/>
                <w:sz w:val="18"/>
                <w:szCs w:val="18"/>
              </w:rPr>
              <w:t>-</w:t>
            </w:r>
            <w:r w:rsidRPr="003D227D">
              <w:rPr>
                <w:b/>
                <w:sz w:val="18"/>
                <w:szCs w:val="18"/>
              </w:rPr>
              <w:t xml:space="preserve"> Lanjutan</w:t>
            </w:r>
          </w:p>
        </w:tc>
        <w:tc>
          <w:tcPr>
            <w:tcW w:w="4599" w:type="dxa"/>
            <w:tcBorders>
              <w:top w:val="nil"/>
              <w:left w:val="nil"/>
              <w:bottom w:val="nil"/>
              <w:right w:val="nil"/>
            </w:tcBorders>
          </w:tcPr>
          <w:p w14:paraId="40911349" w14:textId="663601DB" w:rsidR="004F3A46" w:rsidRPr="00CC3CFA" w:rsidRDefault="00756FCF" w:rsidP="00070D1F">
            <w:pPr>
              <w:numPr>
                <w:ilvl w:val="0"/>
                <w:numId w:val="402"/>
              </w:numPr>
              <w:jc w:val="both"/>
              <w:rPr>
                <w:b/>
                <w:i/>
                <w:iCs/>
                <w:sz w:val="18"/>
                <w:szCs w:val="18"/>
              </w:rPr>
            </w:pPr>
            <w:r w:rsidRPr="00CC3CFA">
              <w:rPr>
                <w:b/>
                <w:i/>
                <w:iCs/>
                <w:sz w:val="18"/>
                <w:szCs w:val="18"/>
              </w:rPr>
              <w:t xml:space="preserve">OPERATING SEGMENT </w:t>
            </w:r>
            <w:r w:rsidR="00284CA5">
              <w:rPr>
                <w:b/>
                <w:i/>
                <w:iCs/>
                <w:sz w:val="18"/>
                <w:szCs w:val="18"/>
              </w:rPr>
              <w:t>-</w:t>
            </w:r>
            <w:r w:rsidR="004F3A46" w:rsidRPr="00CC3CFA">
              <w:rPr>
                <w:b/>
                <w:i/>
                <w:iCs/>
                <w:sz w:val="18"/>
                <w:szCs w:val="18"/>
              </w:rPr>
              <w:t xml:space="preserve"> Continued</w:t>
            </w:r>
          </w:p>
        </w:tc>
      </w:tr>
    </w:tbl>
    <w:p w14:paraId="4EB39415" w14:textId="77777777" w:rsidR="004F3A46" w:rsidRPr="0013526B" w:rsidRDefault="004F3A46" w:rsidP="0013526B">
      <w:pPr>
        <w:rPr>
          <w:sz w:val="18"/>
        </w:rPr>
      </w:pPr>
    </w:p>
    <w:tbl>
      <w:tblPr>
        <w:tblW w:w="9178" w:type="dxa"/>
        <w:tblInd w:w="406" w:type="dxa"/>
        <w:tblLayout w:type="fixed"/>
        <w:tblCellMar>
          <w:left w:w="0" w:type="dxa"/>
          <w:right w:w="0" w:type="dxa"/>
        </w:tblCellMar>
        <w:tblLook w:val="04A0" w:firstRow="1" w:lastRow="0" w:firstColumn="1" w:lastColumn="0" w:noHBand="0" w:noVBand="1"/>
      </w:tblPr>
      <w:tblGrid>
        <w:gridCol w:w="2064"/>
        <w:gridCol w:w="46"/>
        <w:gridCol w:w="1630"/>
        <w:gridCol w:w="47"/>
        <w:gridCol w:w="1630"/>
        <w:gridCol w:w="47"/>
        <w:gridCol w:w="1630"/>
        <w:gridCol w:w="47"/>
        <w:gridCol w:w="2037"/>
      </w:tblGrid>
      <w:tr w:rsidR="00FC2851" w:rsidRPr="0013526B" w14:paraId="7B518C67" w14:textId="77777777" w:rsidTr="00E90C38">
        <w:trPr>
          <w:trHeight w:val="255"/>
        </w:trPr>
        <w:tc>
          <w:tcPr>
            <w:tcW w:w="2064" w:type="dxa"/>
            <w:tcBorders>
              <w:top w:val="nil"/>
              <w:left w:val="nil"/>
              <w:right w:val="nil"/>
            </w:tcBorders>
            <w:shd w:val="clear" w:color="auto" w:fill="auto"/>
            <w:noWrap/>
            <w:vAlign w:val="bottom"/>
          </w:tcPr>
          <w:p w14:paraId="4381069A" w14:textId="77777777" w:rsidR="00FC2851" w:rsidRPr="0013526B" w:rsidRDefault="00FC2851" w:rsidP="003E17A9">
            <w:pPr>
              <w:rPr>
                <w:b/>
                <w:sz w:val="16"/>
                <w:szCs w:val="16"/>
              </w:rPr>
            </w:pPr>
          </w:p>
        </w:tc>
        <w:tc>
          <w:tcPr>
            <w:tcW w:w="46" w:type="dxa"/>
            <w:tcBorders>
              <w:top w:val="nil"/>
              <w:left w:val="nil"/>
              <w:right w:val="nil"/>
            </w:tcBorders>
          </w:tcPr>
          <w:p w14:paraId="47E70F0C" w14:textId="77777777" w:rsidR="00FC2851" w:rsidRPr="0013526B" w:rsidRDefault="00FC2851" w:rsidP="003E17A9">
            <w:pPr>
              <w:jc w:val="center"/>
              <w:rPr>
                <w:b/>
                <w:sz w:val="16"/>
                <w:szCs w:val="16"/>
                <w:lang w:val="id-ID"/>
              </w:rPr>
            </w:pPr>
          </w:p>
        </w:tc>
        <w:tc>
          <w:tcPr>
            <w:tcW w:w="4984" w:type="dxa"/>
            <w:gridSpan w:val="5"/>
            <w:tcBorders>
              <w:top w:val="nil"/>
              <w:left w:val="nil"/>
              <w:bottom w:val="single" w:sz="4" w:space="0" w:color="auto"/>
              <w:right w:val="nil"/>
            </w:tcBorders>
            <w:vAlign w:val="bottom"/>
          </w:tcPr>
          <w:p w14:paraId="7E6DDC10" w14:textId="1EB372D4" w:rsidR="00FC2851" w:rsidRDefault="00FC2851" w:rsidP="003E17A9">
            <w:pPr>
              <w:jc w:val="center"/>
              <w:rPr>
                <w:b/>
                <w:sz w:val="16"/>
                <w:szCs w:val="16"/>
              </w:rPr>
            </w:pPr>
            <w:r>
              <w:rPr>
                <w:b/>
                <w:sz w:val="16"/>
                <w:szCs w:val="16"/>
              </w:rPr>
              <w:t>31 Maret/ March 31</w:t>
            </w:r>
            <w:r w:rsidR="00305CA0">
              <w:rPr>
                <w:b/>
                <w:sz w:val="16"/>
                <w:szCs w:val="16"/>
              </w:rPr>
              <w:t>.</w:t>
            </w:r>
            <w:r>
              <w:rPr>
                <w:b/>
                <w:sz w:val="16"/>
                <w:szCs w:val="16"/>
              </w:rPr>
              <w:t xml:space="preserve"> 2019</w:t>
            </w:r>
          </w:p>
        </w:tc>
        <w:tc>
          <w:tcPr>
            <w:tcW w:w="47" w:type="dxa"/>
            <w:tcBorders>
              <w:top w:val="nil"/>
              <w:left w:val="nil"/>
              <w:right w:val="nil"/>
            </w:tcBorders>
            <w:shd w:val="clear" w:color="auto" w:fill="auto"/>
            <w:noWrap/>
            <w:vAlign w:val="bottom"/>
          </w:tcPr>
          <w:p w14:paraId="57A0547C" w14:textId="77777777" w:rsidR="00FC2851" w:rsidRPr="0013526B" w:rsidRDefault="00FC2851" w:rsidP="003E17A9">
            <w:pPr>
              <w:rPr>
                <w:b/>
                <w:iCs/>
                <w:sz w:val="16"/>
                <w:szCs w:val="16"/>
              </w:rPr>
            </w:pPr>
          </w:p>
        </w:tc>
        <w:tc>
          <w:tcPr>
            <w:tcW w:w="2037" w:type="dxa"/>
            <w:tcBorders>
              <w:top w:val="nil"/>
              <w:left w:val="nil"/>
              <w:right w:val="nil"/>
            </w:tcBorders>
            <w:shd w:val="clear" w:color="auto" w:fill="auto"/>
            <w:noWrap/>
            <w:vAlign w:val="bottom"/>
          </w:tcPr>
          <w:p w14:paraId="3CD610DC" w14:textId="77777777" w:rsidR="00FC2851" w:rsidRPr="0013526B" w:rsidRDefault="00FC2851" w:rsidP="003E17A9">
            <w:pPr>
              <w:ind w:right="85"/>
              <w:jc w:val="right"/>
              <w:rPr>
                <w:b/>
                <w:i/>
                <w:iCs/>
                <w:sz w:val="16"/>
                <w:szCs w:val="16"/>
              </w:rPr>
            </w:pPr>
          </w:p>
        </w:tc>
      </w:tr>
      <w:tr w:rsidR="0093130F" w:rsidRPr="0013526B" w14:paraId="37D14659" w14:textId="77777777" w:rsidTr="00D15EC3">
        <w:trPr>
          <w:trHeight w:val="255"/>
        </w:trPr>
        <w:tc>
          <w:tcPr>
            <w:tcW w:w="2064" w:type="dxa"/>
            <w:tcBorders>
              <w:top w:val="nil"/>
              <w:left w:val="nil"/>
              <w:right w:val="nil"/>
            </w:tcBorders>
            <w:shd w:val="clear" w:color="auto" w:fill="auto"/>
            <w:noWrap/>
            <w:vAlign w:val="bottom"/>
          </w:tcPr>
          <w:p w14:paraId="312816E1" w14:textId="77777777" w:rsidR="0093130F" w:rsidRPr="0013526B" w:rsidRDefault="0093130F" w:rsidP="003E17A9">
            <w:pPr>
              <w:rPr>
                <w:b/>
                <w:sz w:val="16"/>
                <w:szCs w:val="16"/>
              </w:rPr>
            </w:pPr>
          </w:p>
        </w:tc>
        <w:tc>
          <w:tcPr>
            <w:tcW w:w="46" w:type="dxa"/>
            <w:tcBorders>
              <w:top w:val="nil"/>
              <w:left w:val="nil"/>
              <w:right w:val="nil"/>
            </w:tcBorders>
          </w:tcPr>
          <w:p w14:paraId="6A02750D" w14:textId="77777777" w:rsidR="0093130F" w:rsidRPr="0013526B" w:rsidRDefault="0093130F" w:rsidP="003E17A9">
            <w:pPr>
              <w:jc w:val="center"/>
              <w:rPr>
                <w:b/>
                <w:sz w:val="16"/>
                <w:szCs w:val="16"/>
                <w:lang w:val="id-ID"/>
              </w:rPr>
            </w:pPr>
          </w:p>
        </w:tc>
        <w:tc>
          <w:tcPr>
            <w:tcW w:w="1630" w:type="dxa"/>
            <w:tcBorders>
              <w:top w:val="single" w:sz="4" w:space="0" w:color="auto"/>
              <w:left w:val="nil"/>
              <w:bottom w:val="single" w:sz="4" w:space="0" w:color="auto"/>
              <w:right w:val="nil"/>
            </w:tcBorders>
            <w:vAlign w:val="bottom"/>
          </w:tcPr>
          <w:p w14:paraId="7B516037" w14:textId="77777777" w:rsidR="0093130F" w:rsidRPr="00073249" w:rsidRDefault="0093130F" w:rsidP="003E17A9">
            <w:pPr>
              <w:jc w:val="center"/>
              <w:rPr>
                <w:b/>
                <w:sz w:val="16"/>
                <w:szCs w:val="16"/>
              </w:rPr>
            </w:pPr>
            <w:r>
              <w:rPr>
                <w:b/>
                <w:sz w:val="16"/>
                <w:szCs w:val="16"/>
              </w:rPr>
              <w:t>Rawat Inap/</w:t>
            </w:r>
            <w:r w:rsidRPr="00073249">
              <w:rPr>
                <w:b/>
                <w:i/>
                <w:iCs/>
                <w:sz w:val="16"/>
                <w:szCs w:val="16"/>
              </w:rPr>
              <w:t xml:space="preserve">In-Patient </w:t>
            </w:r>
            <w:r>
              <w:rPr>
                <w:b/>
                <w:i/>
                <w:iCs/>
                <w:sz w:val="16"/>
                <w:szCs w:val="16"/>
              </w:rPr>
              <w:br/>
            </w:r>
            <w:r>
              <w:rPr>
                <w:b/>
                <w:sz w:val="16"/>
                <w:szCs w:val="16"/>
              </w:rPr>
              <w:t>termasuk/including</w:t>
            </w:r>
            <w:r>
              <w:rPr>
                <w:b/>
                <w:sz w:val="16"/>
                <w:szCs w:val="16"/>
              </w:rPr>
              <w:br/>
              <w:t>jasa penunjang/supporting services</w:t>
            </w:r>
          </w:p>
        </w:tc>
        <w:tc>
          <w:tcPr>
            <w:tcW w:w="47" w:type="dxa"/>
            <w:tcBorders>
              <w:top w:val="single" w:sz="4" w:space="0" w:color="auto"/>
              <w:left w:val="nil"/>
              <w:right w:val="nil"/>
            </w:tcBorders>
            <w:vAlign w:val="bottom"/>
          </w:tcPr>
          <w:p w14:paraId="7BE51EC7" w14:textId="77777777" w:rsidR="0093130F" w:rsidRPr="0013526B" w:rsidRDefault="0093130F" w:rsidP="003E17A9">
            <w:pPr>
              <w:jc w:val="center"/>
              <w:rPr>
                <w:b/>
                <w:sz w:val="16"/>
                <w:szCs w:val="16"/>
              </w:rPr>
            </w:pPr>
          </w:p>
        </w:tc>
        <w:tc>
          <w:tcPr>
            <w:tcW w:w="1630" w:type="dxa"/>
            <w:tcBorders>
              <w:top w:val="single" w:sz="4" w:space="0" w:color="auto"/>
              <w:left w:val="nil"/>
              <w:bottom w:val="single" w:sz="4" w:space="0" w:color="auto"/>
              <w:right w:val="nil"/>
            </w:tcBorders>
            <w:vAlign w:val="bottom"/>
          </w:tcPr>
          <w:p w14:paraId="1FDAC1CA" w14:textId="77777777" w:rsidR="0093130F" w:rsidRPr="00073249" w:rsidRDefault="0093130F" w:rsidP="003E17A9">
            <w:pPr>
              <w:jc w:val="center"/>
              <w:rPr>
                <w:b/>
                <w:sz w:val="16"/>
                <w:szCs w:val="16"/>
              </w:rPr>
            </w:pPr>
            <w:r>
              <w:rPr>
                <w:b/>
                <w:sz w:val="16"/>
                <w:szCs w:val="16"/>
              </w:rPr>
              <w:t>Rawat jalan/Out-Patient</w:t>
            </w:r>
            <w:r>
              <w:rPr>
                <w:b/>
                <w:sz w:val="16"/>
                <w:szCs w:val="16"/>
              </w:rPr>
              <w:br/>
              <w:t>termasuk/including</w:t>
            </w:r>
            <w:r>
              <w:rPr>
                <w:b/>
                <w:sz w:val="16"/>
                <w:szCs w:val="16"/>
              </w:rPr>
              <w:br/>
              <w:t>jasa penunjang/supporting services</w:t>
            </w:r>
          </w:p>
        </w:tc>
        <w:tc>
          <w:tcPr>
            <w:tcW w:w="47" w:type="dxa"/>
            <w:tcBorders>
              <w:top w:val="single" w:sz="4" w:space="0" w:color="auto"/>
              <w:left w:val="nil"/>
              <w:right w:val="nil"/>
            </w:tcBorders>
            <w:vAlign w:val="bottom"/>
          </w:tcPr>
          <w:p w14:paraId="264921D9" w14:textId="77777777" w:rsidR="0093130F" w:rsidRPr="0013526B" w:rsidRDefault="0093130F" w:rsidP="003E17A9">
            <w:pPr>
              <w:jc w:val="center"/>
              <w:rPr>
                <w:b/>
                <w:sz w:val="16"/>
                <w:szCs w:val="16"/>
              </w:rPr>
            </w:pPr>
          </w:p>
        </w:tc>
        <w:tc>
          <w:tcPr>
            <w:tcW w:w="1630" w:type="dxa"/>
            <w:tcBorders>
              <w:top w:val="single" w:sz="4" w:space="0" w:color="auto"/>
              <w:left w:val="nil"/>
              <w:bottom w:val="single" w:sz="4" w:space="0" w:color="auto"/>
              <w:right w:val="nil"/>
            </w:tcBorders>
            <w:shd w:val="clear" w:color="auto" w:fill="auto"/>
            <w:noWrap/>
            <w:vAlign w:val="bottom"/>
          </w:tcPr>
          <w:p w14:paraId="5EA455E6" w14:textId="77777777" w:rsidR="0093130F" w:rsidRPr="000E27E3" w:rsidRDefault="0093130F" w:rsidP="003E17A9">
            <w:pPr>
              <w:jc w:val="center"/>
              <w:rPr>
                <w:b/>
                <w:sz w:val="16"/>
                <w:szCs w:val="16"/>
              </w:rPr>
            </w:pPr>
            <w:r>
              <w:rPr>
                <w:b/>
                <w:sz w:val="16"/>
                <w:szCs w:val="16"/>
              </w:rPr>
              <w:t>Konsolidasian/ Consolidated</w:t>
            </w:r>
          </w:p>
        </w:tc>
        <w:tc>
          <w:tcPr>
            <w:tcW w:w="47" w:type="dxa"/>
            <w:tcBorders>
              <w:top w:val="nil"/>
              <w:left w:val="nil"/>
              <w:right w:val="nil"/>
            </w:tcBorders>
            <w:shd w:val="clear" w:color="auto" w:fill="auto"/>
            <w:noWrap/>
            <w:vAlign w:val="bottom"/>
          </w:tcPr>
          <w:p w14:paraId="6180511D" w14:textId="77777777" w:rsidR="0093130F" w:rsidRPr="0013526B" w:rsidRDefault="0093130F" w:rsidP="003E17A9">
            <w:pPr>
              <w:rPr>
                <w:b/>
                <w:iCs/>
                <w:sz w:val="16"/>
                <w:szCs w:val="16"/>
              </w:rPr>
            </w:pPr>
          </w:p>
        </w:tc>
        <w:tc>
          <w:tcPr>
            <w:tcW w:w="2037" w:type="dxa"/>
            <w:tcBorders>
              <w:top w:val="nil"/>
              <w:left w:val="nil"/>
              <w:right w:val="nil"/>
            </w:tcBorders>
            <w:shd w:val="clear" w:color="auto" w:fill="auto"/>
            <w:noWrap/>
            <w:vAlign w:val="bottom"/>
          </w:tcPr>
          <w:p w14:paraId="12B4A958" w14:textId="77777777" w:rsidR="0093130F" w:rsidRPr="0013526B" w:rsidRDefault="0093130F" w:rsidP="003E17A9">
            <w:pPr>
              <w:ind w:right="85"/>
              <w:jc w:val="right"/>
              <w:rPr>
                <w:b/>
                <w:i/>
                <w:iCs/>
                <w:sz w:val="16"/>
                <w:szCs w:val="16"/>
              </w:rPr>
            </w:pPr>
          </w:p>
        </w:tc>
      </w:tr>
      <w:tr w:rsidR="0093130F" w:rsidRPr="0013526B" w14:paraId="72F8C8C0" w14:textId="77777777" w:rsidTr="00D15EC3">
        <w:trPr>
          <w:trHeight w:val="255"/>
        </w:trPr>
        <w:tc>
          <w:tcPr>
            <w:tcW w:w="2064" w:type="dxa"/>
            <w:tcBorders>
              <w:top w:val="nil"/>
              <w:left w:val="nil"/>
              <w:right w:val="nil"/>
            </w:tcBorders>
            <w:shd w:val="clear" w:color="auto" w:fill="auto"/>
            <w:noWrap/>
            <w:vAlign w:val="bottom"/>
          </w:tcPr>
          <w:p w14:paraId="728492B4" w14:textId="77777777" w:rsidR="0093130F" w:rsidRPr="0013526B" w:rsidRDefault="0093130F" w:rsidP="001723A2">
            <w:pPr>
              <w:ind w:left="352"/>
              <w:rPr>
                <w:b/>
                <w:sz w:val="16"/>
                <w:szCs w:val="16"/>
              </w:rPr>
            </w:pPr>
            <w:r>
              <w:rPr>
                <w:b/>
                <w:sz w:val="16"/>
                <w:szCs w:val="16"/>
              </w:rPr>
              <w:t>PENDAPATAN</w:t>
            </w:r>
          </w:p>
        </w:tc>
        <w:tc>
          <w:tcPr>
            <w:tcW w:w="46" w:type="dxa"/>
            <w:tcBorders>
              <w:top w:val="nil"/>
              <w:left w:val="nil"/>
              <w:right w:val="nil"/>
            </w:tcBorders>
          </w:tcPr>
          <w:p w14:paraId="62FD0371" w14:textId="77777777" w:rsidR="0093130F" w:rsidRPr="0013526B" w:rsidRDefault="0093130F" w:rsidP="003E17A9">
            <w:pPr>
              <w:jc w:val="center"/>
              <w:rPr>
                <w:b/>
                <w:sz w:val="16"/>
                <w:szCs w:val="16"/>
                <w:lang w:val="id-ID"/>
              </w:rPr>
            </w:pPr>
          </w:p>
        </w:tc>
        <w:tc>
          <w:tcPr>
            <w:tcW w:w="1630" w:type="dxa"/>
            <w:tcBorders>
              <w:top w:val="single" w:sz="4" w:space="0" w:color="auto"/>
              <w:left w:val="nil"/>
              <w:right w:val="nil"/>
            </w:tcBorders>
            <w:vAlign w:val="bottom"/>
          </w:tcPr>
          <w:p w14:paraId="1F79F03A" w14:textId="77777777" w:rsidR="0093130F" w:rsidRPr="0013526B" w:rsidRDefault="0093130F" w:rsidP="003E17A9">
            <w:pPr>
              <w:jc w:val="center"/>
              <w:rPr>
                <w:b/>
                <w:sz w:val="16"/>
                <w:szCs w:val="16"/>
                <w:lang w:val="id-ID"/>
              </w:rPr>
            </w:pPr>
          </w:p>
        </w:tc>
        <w:tc>
          <w:tcPr>
            <w:tcW w:w="47" w:type="dxa"/>
            <w:tcBorders>
              <w:top w:val="nil"/>
              <w:left w:val="nil"/>
              <w:right w:val="nil"/>
            </w:tcBorders>
            <w:vAlign w:val="bottom"/>
          </w:tcPr>
          <w:p w14:paraId="2401A34F" w14:textId="77777777" w:rsidR="0093130F" w:rsidRPr="0013526B" w:rsidRDefault="0093130F" w:rsidP="003E17A9">
            <w:pPr>
              <w:jc w:val="center"/>
              <w:rPr>
                <w:b/>
                <w:sz w:val="16"/>
                <w:szCs w:val="16"/>
              </w:rPr>
            </w:pPr>
          </w:p>
        </w:tc>
        <w:tc>
          <w:tcPr>
            <w:tcW w:w="1630" w:type="dxa"/>
            <w:tcBorders>
              <w:top w:val="single" w:sz="4" w:space="0" w:color="auto"/>
              <w:left w:val="nil"/>
              <w:right w:val="nil"/>
            </w:tcBorders>
            <w:vAlign w:val="bottom"/>
          </w:tcPr>
          <w:p w14:paraId="6DE2D70D" w14:textId="77777777" w:rsidR="0093130F" w:rsidRPr="0013526B" w:rsidRDefault="0093130F" w:rsidP="003E17A9">
            <w:pPr>
              <w:jc w:val="center"/>
              <w:rPr>
                <w:b/>
                <w:sz w:val="16"/>
                <w:szCs w:val="16"/>
                <w:lang w:val="id-ID"/>
              </w:rPr>
            </w:pPr>
          </w:p>
        </w:tc>
        <w:tc>
          <w:tcPr>
            <w:tcW w:w="47" w:type="dxa"/>
            <w:tcBorders>
              <w:top w:val="nil"/>
              <w:left w:val="nil"/>
              <w:right w:val="nil"/>
            </w:tcBorders>
            <w:vAlign w:val="bottom"/>
          </w:tcPr>
          <w:p w14:paraId="32610742" w14:textId="77777777" w:rsidR="0093130F" w:rsidRPr="0013526B" w:rsidRDefault="0093130F" w:rsidP="003E17A9">
            <w:pPr>
              <w:jc w:val="center"/>
              <w:rPr>
                <w:b/>
                <w:sz w:val="16"/>
                <w:szCs w:val="16"/>
              </w:rPr>
            </w:pPr>
          </w:p>
        </w:tc>
        <w:tc>
          <w:tcPr>
            <w:tcW w:w="1630" w:type="dxa"/>
            <w:tcBorders>
              <w:top w:val="single" w:sz="4" w:space="0" w:color="auto"/>
              <w:left w:val="nil"/>
              <w:right w:val="nil"/>
            </w:tcBorders>
            <w:shd w:val="clear" w:color="auto" w:fill="auto"/>
            <w:noWrap/>
            <w:vAlign w:val="bottom"/>
          </w:tcPr>
          <w:p w14:paraId="4F603A6E" w14:textId="77777777" w:rsidR="0093130F" w:rsidRPr="0013526B" w:rsidRDefault="0093130F" w:rsidP="003E17A9">
            <w:pPr>
              <w:jc w:val="center"/>
              <w:rPr>
                <w:b/>
                <w:sz w:val="16"/>
                <w:szCs w:val="16"/>
                <w:lang w:val="id-ID"/>
              </w:rPr>
            </w:pPr>
          </w:p>
        </w:tc>
        <w:tc>
          <w:tcPr>
            <w:tcW w:w="47" w:type="dxa"/>
            <w:tcBorders>
              <w:top w:val="nil"/>
              <w:left w:val="nil"/>
              <w:right w:val="nil"/>
            </w:tcBorders>
            <w:shd w:val="clear" w:color="auto" w:fill="auto"/>
            <w:noWrap/>
            <w:vAlign w:val="bottom"/>
          </w:tcPr>
          <w:p w14:paraId="39AE646E" w14:textId="77777777" w:rsidR="0093130F" w:rsidRPr="0013526B" w:rsidRDefault="0093130F" w:rsidP="003E17A9">
            <w:pPr>
              <w:rPr>
                <w:b/>
                <w:iCs/>
                <w:sz w:val="16"/>
                <w:szCs w:val="16"/>
              </w:rPr>
            </w:pPr>
          </w:p>
        </w:tc>
        <w:tc>
          <w:tcPr>
            <w:tcW w:w="2037" w:type="dxa"/>
            <w:tcBorders>
              <w:top w:val="nil"/>
              <w:left w:val="nil"/>
              <w:right w:val="nil"/>
            </w:tcBorders>
            <w:shd w:val="clear" w:color="auto" w:fill="auto"/>
            <w:noWrap/>
            <w:vAlign w:val="bottom"/>
          </w:tcPr>
          <w:p w14:paraId="724F9AF6" w14:textId="77777777" w:rsidR="0093130F" w:rsidRPr="0013526B" w:rsidRDefault="0093130F" w:rsidP="003E17A9">
            <w:pPr>
              <w:ind w:right="85"/>
              <w:jc w:val="right"/>
              <w:rPr>
                <w:b/>
                <w:i/>
                <w:iCs/>
                <w:sz w:val="16"/>
                <w:szCs w:val="16"/>
              </w:rPr>
            </w:pPr>
            <w:r>
              <w:rPr>
                <w:b/>
                <w:i/>
                <w:iCs/>
                <w:sz w:val="16"/>
                <w:szCs w:val="16"/>
              </w:rPr>
              <w:t>REVENUE</w:t>
            </w:r>
          </w:p>
        </w:tc>
      </w:tr>
      <w:tr w:rsidR="0093130F" w:rsidRPr="0013526B" w14:paraId="7AD09628" w14:textId="77777777" w:rsidTr="00D15EC3">
        <w:trPr>
          <w:trHeight w:val="117"/>
        </w:trPr>
        <w:tc>
          <w:tcPr>
            <w:tcW w:w="2064" w:type="dxa"/>
            <w:tcBorders>
              <w:left w:val="nil"/>
              <w:bottom w:val="nil"/>
              <w:right w:val="nil"/>
            </w:tcBorders>
            <w:shd w:val="clear" w:color="auto" w:fill="auto"/>
            <w:noWrap/>
            <w:vAlign w:val="bottom"/>
          </w:tcPr>
          <w:p w14:paraId="4D3A517B" w14:textId="77777777" w:rsidR="0093130F" w:rsidRPr="0013526B" w:rsidRDefault="0093130F" w:rsidP="001723A2">
            <w:pPr>
              <w:ind w:left="352"/>
              <w:rPr>
                <w:sz w:val="16"/>
                <w:szCs w:val="16"/>
              </w:rPr>
            </w:pPr>
            <w:r>
              <w:rPr>
                <w:sz w:val="16"/>
                <w:szCs w:val="16"/>
              </w:rPr>
              <w:t>Pendapatan</w:t>
            </w:r>
          </w:p>
        </w:tc>
        <w:tc>
          <w:tcPr>
            <w:tcW w:w="46" w:type="dxa"/>
            <w:tcBorders>
              <w:left w:val="nil"/>
              <w:right w:val="nil"/>
            </w:tcBorders>
          </w:tcPr>
          <w:p w14:paraId="5154AC88" w14:textId="77777777" w:rsidR="0093130F" w:rsidRPr="0013526B" w:rsidRDefault="0093130F" w:rsidP="003E17A9">
            <w:pPr>
              <w:jc w:val="right"/>
              <w:rPr>
                <w:sz w:val="16"/>
                <w:szCs w:val="16"/>
              </w:rPr>
            </w:pPr>
          </w:p>
        </w:tc>
        <w:tc>
          <w:tcPr>
            <w:tcW w:w="1630" w:type="dxa"/>
            <w:tcBorders>
              <w:left w:val="nil"/>
              <w:right w:val="nil"/>
            </w:tcBorders>
            <w:shd w:val="clear" w:color="auto" w:fill="auto"/>
            <w:vAlign w:val="bottom"/>
          </w:tcPr>
          <w:p w14:paraId="386BB6DF" w14:textId="38AF95D2" w:rsidR="0093130F" w:rsidRPr="008119FA" w:rsidRDefault="008119FA" w:rsidP="003E17A9">
            <w:pPr>
              <w:jc w:val="right"/>
              <w:rPr>
                <w:sz w:val="16"/>
                <w:szCs w:val="16"/>
              </w:rPr>
            </w:pPr>
            <w:r>
              <w:rPr>
                <w:bCs w:val="0"/>
                <w:sz w:val="16"/>
                <w:szCs w:val="16"/>
              </w:rPr>
              <w:t>1</w:t>
            </w:r>
            <w:r w:rsidR="00FC2851" w:rsidRPr="008119FA">
              <w:rPr>
                <w:bCs w:val="0"/>
                <w:sz w:val="16"/>
                <w:szCs w:val="16"/>
              </w:rPr>
              <w:t>39</w:t>
            </w:r>
            <w:r>
              <w:rPr>
                <w:bCs w:val="0"/>
                <w:sz w:val="16"/>
                <w:szCs w:val="16"/>
              </w:rPr>
              <w:t>.</w:t>
            </w:r>
            <w:r w:rsidR="00FC2851" w:rsidRPr="008119FA">
              <w:rPr>
                <w:bCs w:val="0"/>
                <w:sz w:val="16"/>
                <w:szCs w:val="16"/>
              </w:rPr>
              <w:t>759</w:t>
            </w:r>
            <w:r>
              <w:rPr>
                <w:bCs w:val="0"/>
                <w:sz w:val="16"/>
                <w:szCs w:val="16"/>
              </w:rPr>
              <w:t>.</w:t>
            </w:r>
            <w:r w:rsidR="00FC2851" w:rsidRPr="008119FA">
              <w:rPr>
                <w:bCs w:val="0"/>
                <w:sz w:val="16"/>
                <w:szCs w:val="16"/>
              </w:rPr>
              <w:t>452</w:t>
            </w:r>
            <w:r>
              <w:rPr>
                <w:bCs w:val="0"/>
                <w:sz w:val="16"/>
                <w:szCs w:val="16"/>
              </w:rPr>
              <w:t>.</w:t>
            </w:r>
            <w:r w:rsidR="00FC2851" w:rsidRPr="008119FA">
              <w:rPr>
                <w:bCs w:val="0"/>
                <w:sz w:val="16"/>
                <w:szCs w:val="16"/>
              </w:rPr>
              <w:t>246</w:t>
            </w:r>
          </w:p>
        </w:tc>
        <w:tc>
          <w:tcPr>
            <w:tcW w:w="47" w:type="dxa"/>
            <w:tcBorders>
              <w:left w:val="nil"/>
              <w:right w:val="nil"/>
            </w:tcBorders>
            <w:shd w:val="clear" w:color="auto" w:fill="auto"/>
            <w:vAlign w:val="bottom"/>
          </w:tcPr>
          <w:p w14:paraId="17535E35" w14:textId="77777777" w:rsidR="0093130F" w:rsidRPr="008119FA" w:rsidRDefault="0093130F" w:rsidP="003E17A9">
            <w:pPr>
              <w:jc w:val="right"/>
              <w:rPr>
                <w:sz w:val="16"/>
                <w:szCs w:val="16"/>
              </w:rPr>
            </w:pPr>
          </w:p>
        </w:tc>
        <w:tc>
          <w:tcPr>
            <w:tcW w:w="1630" w:type="dxa"/>
            <w:tcBorders>
              <w:left w:val="nil"/>
              <w:right w:val="nil"/>
            </w:tcBorders>
            <w:shd w:val="clear" w:color="auto" w:fill="auto"/>
            <w:vAlign w:val="bottom"/>
          </w:tcPr>
          <w:p w14:paraId="7451DEE2" w14:textId="10BCCDA9" w:rsidR="0093130F" w:rsidRPr="008119FA" w:rsidRDefault="008119FA" w:rsidP="003E17A9">
            <w:pPr>
              <w:jc w:val="right"/>
              <w:rPr>
                <w:sz w:val="16"/>
                <w:szCs w:val="16"/>
              </w:rPr>
            </w:pPr>
            <w:r>
              <w:rPr>
                <w:bCs w:val="0"/>
                <w:sz w:val="16"/>
                <w:szCs w:val="16"/>
              </w:rPr>
              <w:t>1</w:t>
            </w:r>
            <w:r w:rsidR="00FC2851" w:rsidRPr="008119FA">
              <w:rPr>
                <w:bCs w:val="0"/>
                <w:sz w:val="16"/>
                <w:szCs w:val="16"/>
              </w:rPr>
              <w:t>19</w:t>
            </w:r>
            <w:r>
              <w:rPr>
                <w:bCs w:val="0"/>
                <w:sz w:val="16"/>
                <w:szCs w:val="16"/>
              </w:rPr>
              <w:t>.</w:t>
            </w:r>
            <w:r w:rsidR="00FC2851" w:rsidRPr="008119FA">
              <w:rPr>
                <w:bCs w:val="0"/>
                <w:sz w:val="16"/>
                <w:szCs w:val="16"/>
              </w:rPr>
              <w:t>381</w:t>
            </w:r>
            <w:r>
              <w:rPr>
                <w:bCs w:val="0"/>
                <w:sz w:val="16"/>
                <w:szCs w:val="16"/>
              </w:rPr>
              <w:t>.</w:t>
            </w:r>
            <w:r w:rsidR="00FC2851" w:rsidRPr="008119FA">
              <w:rPr>
                <w:bCs w:val="0"/>
                <w:sz w:val="16"/>
                <w:szCs w:val="16"/>
              </w:rPr>
              <w:t>811</w:t>
            </w:r>
            <w:r>
              <w:rPr>
                <w:bCs w:val="0"/>
                <w:sz w:val="16"/>
                <w:szCs w:val="16"/>
              </w:rPr>
              <w:t>.</w:t>
            </w:r>
            <w:r w:rsidR="00FC2851" w:rsidRPr="008119FA">
              <w:rPr>
                <w:bCs w:val="0"/>
                <w:sz w:val="16"/>
                <w:szCs w:val="16"/>
              </w:rPr>
              <w:t>466</w:t>
            </w:r>
          </w:p>
        </w:tc>
        <w:tc>
          <w:tcPr>
            <w:tcW w:w="47" w:type="dxa"/>
            <w:tcBorders>
              <w:left w:val="nil"/>
              <w:right w:val="nil"/>
            </w:tcBorders>
            <w:shd w:val="clear" w:color="auto" w:fill="auto"/>
            <w:vAlign w:val="bottom"/>
          </w:tcPr>
          <w:p w14:paraId="03E076D2"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553B0D5C" w14:textId="51CAF954" w:rsidR="0093130F" w:rsidRPr="008119FA" w:rsidRDefault="00FC2851" w:rsidP="003E17A9">
            <w:pPr>
              <w:jc w:val="right"/>
              <w:rPr>
                <w:sz w:val="16"/>
                <w:szCs w:val="16"/>
              </w:rPr>
            </w:pPr>
            <w:r w:rsidRPr="008119FA">
              <w:rPr>
                <w:bCs w:val="0"/>
                <w:sz w:val="16"/>
                <w:szCs w:val="16"/>
              </w:rPr>
              <w:t>259</w:t>
            </w:r>
            <w:r w:rsidR="008119FA">
              <w:rPr>
                <w:bCs w:val="0"/>
                <w:sz w:val="16"/>
                <w:szCs w:val="16"/>
              </w:rPr>
              <w:t>.</w:t>
            </w:r>
            <w:r w:rsidRPr="008119FA">
              <w:rPr>
                <w:bCs w:val="0"/>
                <w:sz w:val="16"/>
                <w:szCs w:val="16"/>
              </w:rPr>
              <w:t>141</w:t>
            </w:r>
            <w:r w:rsidR="008119FA">
              <w:rPr>
                <w:bCs w:val="0"/>
                <w:sz w:val="16"/>
                <w:szCs w:val="16"/>
              </w:rPr>
              <w:t>.</w:t>
            </w:r>
            <w:r w:rsidRPr="008119FA">
              <w:rPr>
                <w:bCs w:val="0"/>
                <w:sz w:val="16"/>
                <w:szCs w:val="16"/>
              </w:rPr>
              <w:t>263</w:t>
            </w:r>
            <w:r w:rsidR="008119FA">
              <w:rPr>
                <w:bCs w:val="0"/>
                <w:sz w:val="16"/>
                <w:szCs w:val="16"/>
              </w:rPr>
              <w:t>.</w:t>
            </w:r>
            <w:r w:rsidRPr="008119FA">
              <w:rPr>
                <w:bCs w:val="0"/>
                <w:sz w:val="16"/>
                <w:szCs w:val="16"/>
              </w:rPr>
              <w:t>712</w:t>
            </w:r>
          </w:p>
        </w:tc>
        <w:tc>
          <w:tcPr>
            <w:tcW w:w="47" w:type="dxa"/>
            <w:tcBorders>
              <w:left w:val="nil"/>
              <w:right w:val="nil"/>
            </w:tcBorders>
            <w:shd w:val="clear" w:color="auto" w:fill="auto"/>
            <w:noWrap/>
            <w:vAlign w:val="bottom"/>
          </w:tcPr>
          <w:p w14:paraId="557C6FAB" w14:textId="77777777" w:rsidR="0093130F" w:rsidRPr="008119FA" w:rsidRDefault="0093130F" w:rsidP="003E17A9">
            <w:pPr>
              <w:jc w:val="right"/>
              <w:rPr>
                <w:i/>
                <w:iCs/>
                <w:sz w:val="16"/>
                <w:szCs w:val="16"/>
              </w:rPr>
            </w:pPr>
          </w:p>
        </w:tc>
        <w:tc>
          <w:tcPr>
            <w:tcW w:w="2037" w:type="dxa"/>
            <w:tcBorders>
              <w:left w:val="nil"/>
              <w:right w:val="nil"/>
            </w:tcBorders>
            <w:shd w:val="clear" w:color="auto" w:fill="auto"/>
            <w:noWrap/>
            <w:vAlign w:val="bottom"/>
          </w:tcPr>
          <w:p w14:paraId="21D4C685" w14:textId="77777777" w:rsidR="0093130F" w:rsidRPr="0093130F" w:rsidRDefault="0093130F" w:rsidP="00EE5079">
            <w:pPr>
              <w:ind w:right="109"/>
              <w:jc w:val="right"/>
              <w:rPr>
                <w:bCs w:val="0"/>
                <w:i/>
                <w:iCs/>
                <w:sz w:val="16"/>
                <w:szCs w:val="16"/>
              </w:rPr>
            </w:pPr>
            <w:r w:rsidRPr="0093130F">
              <w:rPr>
                <w:bCs w:val="0"/>
                <w:i/>
                <w:iCs/>
                <w:sz w:val="16"/>
                <w:szCs w:val="16"/>
              </w:rPr>
              <w:t>Revenue</w:t>
            </w:r>
          </w:p>
        </w:tc>
      </w:tr>
      <w:tr w:rsidR="0093130F" w:rsidRPr="0013526B" w14:paraId="2B2A3D33" w14:textId="77777777" w:rsidTr="00D15EC3">
        <w:trPr>
          <w:trHeight w:val="117"/>
        </w:trPr>
        <w:tc>
          <w:tcPr>
            <w:tcW w:w="2064" w:type="dxa"/>
            <w:tcBorders>
              <w:top w:val="nil"/>
              <w:left w:val="nil"/>
              <w:bottom w:val="nil"/>
              <w:right w:val="nil"/>
            </w:tcBorders>
            <w:shd w:val="clear" w:color="auto" w:fill="auto"/>
            <w:noWrap/>
            <w:vAlign w:val="bottom"/>
          </w:tcPr>
          <w:p w14:paraId="2F1D856D" w14:textId="77777777" w:rsidR="0093130F" w:rsidRPr="000E27E3" w:rsidRDefault="0093130F" w:rsidP="001723A2">
            <w:pPr>
              <w:ind w:left="352"/>
              <w:rPr>
                <w:bCs w:val="0"/>
                <w:sz w:val="16"/>
                <w:szCs w:val="16"/>
              </w:rPr>
            </w:pPr>
            <w:r w:rsidRPr="000E27E3">
              <w:rPr>
                <w:bCs w:val="0"/>
                <w:sz w:val="16"/>
                <w:szCs w:val="16"/>
              </w:rPr>
              <w:t xml:space="preserve">Beban </w:t>
            </w:r>
            <w:r>
              <w:rPr>
                <w:bCs w:val="0"/>
                <w:sz w:val="16"/>
                <w:szCs w:val="16"/>
              </w:rPr>
              <w:t>l</w:t>
            </w:r>
            <w:r w:rsidRPr="000E27E3">
              <w:rPr>
                <w:bCs w:val="0"/>
                <w:sz w:val="16"/>
                <w:szCs w:val="16"/>
              </w:rPr>
              <w:t>angsung</w:t>
            </w:r>
          </w:p>
        </w:tc>
        <w:tc>
          <w:tcPr>
            <w:tcW w:w="46" w:type="dxa"/>
            <w:tcBorders>
              <w:left w:val="nil"/>
              <w:bottom w:val="nil"/>
              <w:right w:val="nil"/>
            </w:tcBorders>
          </w:tcPr>
          <w:p w14:paraId="1A947B0B" w14:textId="77777777" w:rsidR="0093130F" w:rsidRPr="0013526B" w:rsidRDefault="0093130F" w:rsidP="003E17A9">
            <w:pPr>
              <w:jc w:val="right"/>
              <w:rPr>
                <w:b/>
                <w:sz w:val="16"/>
                <w:szCs w:val="16"/>
              </w:rPr>
            </w:pPr>
          </w:p>
        </w:tc>
        <w:tc>
          <w:tcPr>
            <w:tcW w:w="1630" w:type="dxa"/>
            <w:tcBorders>
              <w:left w:val="nil"/>
              <w:bottom w:val="single" w:sz="4" w:space="0" w:color="auto"/>
              <w:right w:val="nil"/>
            </w:tcBorders>
            <w:shd w:val="clear" w:color="auto" w:fill="auto"/>
            <w:vAlign w:val="bottom"/>
          </w:tcPr>
          <w:p w14:paraId="4D4123AC" w14:textId="6EB5D7F3" w:rsidR="0093130F" w:rsidRPr="008119FA" w:rsidRDefault="00533566" w:rsidP="003E17A9">
            <w:pPr>
              <w:jc w:val="right"/>
              <w:rPr>
                <w:b/>
                <w:sz w:val="16"/>
                <w:szCs w:val="16"/>
              </w:rPr>
            </w:pPr>
            <w:r w:rsidRPr="008119FA">
              <w:rPr>
                <w:bCs w:val="0"/>
                <w:sz w:val="16"/>
                <w:szCs w:val="16"/>
              </w:rPr>
              <w:t>(</w:t>
            </w:r>
            <w:r w:rsidR="00FC2851" w:rsidRPr="008119FA">
              <w:rPr>
                <w:bCs w:val="0"/>
                <w:sz w:val="16"/>
                <w:szCs w:val="16"/>
              </w:rPr>
              <w:t>99</w:t>
            </w:r>
            <w:r w:rsidR="008119FA">
              <w:rPr>
                <w:bCs w:val="0"/>
                <w:sz w:val="16"/>
                <w:szCs w:val="16"/>
              </w:rPr>
              <w:t>.</w:t>
            </w:r>
            <w:r w:rsidR="00FC2851" w:rsidRPr="008119FA">
              <w:rPr>
                <w:bCs w:val="0"/>
                <w:sz w:val="16"/>
                <w:szCs w:val="16"/>
              </w:rPr>
              <w:t>461</w:t>
            </w:r>
            <w:r w:rsidR="008119FA">
              <w:rPr>
                <w:bCs w:val="0"/>
                <w:sz w:val="16"/>
                <w:szCs w:val="16"/>
              </w:rPr>
              <w:t>.</w:t>
            </w:r>
            <w:r w:rsidR="00FC2851" w:rsidRPr="008119FA">
              <w:rPr>
                <w:bCs w:val="0"/>
                <w:sz w:val="16"/>
                <w:szCs w:val="16"/>
              </w:rPr>
              <w:t>682</w:t>
            </w:r>
            <w:r w:rsidR="008119FA">
              <w:rPr>
                <w:bCs w:val="0"/>
                <w:sz w:val="16"/>
                <w:szCs w:val="16"/>
              </w:rPr>
              <w:t>.</w:t>
            </w:r>
            <w:r w:rsidR="00FC2851" w:rsidRPr="008119FA">
              <w:rPr>
                <w:bCs w:val="0"/>
                <w:sz w:val="16"/>
                <w:szCs w:val="16"/>
              </w:rPr>
              <w:t>110</w:t>
            </w:r>
            <w:r w:rsidRPr="008119FA">
              <w:rPr>
                <w:b/>
                <w:sz w:val="16"/>
                <w:szCs w:val="16"/>
              </w:rPr>
              <w:t>)</w:t>
            </w:r>
          </w:p>
        </w:tc>
        <w:tc>
          <w:tcPr>
            <w:tcW w:w="47" w:type="dxa"/>
            <w:tcBorders>
              <w:left w:val="nil"/>
              <w:bottom w:val="nil"/>
              <w:right w:val="nil"/>
            </w:tcBorders>
            <w:shd w:val="clear" w:color="auto" w:fill="auto"/>
            <w:vAlign w:val="bottom"/>
          </w:tcPr>
          <w:p w14:paraId="57024CAF" w14:textId="49A0867A" w:rsidR="0093130F" w:rsidRPr="008119FA" w:rsidRDefault="0093130F" w:rsidP="003E17A9">
            <w:pPr>
              <w:jc w:val="right"/>
              <w:rPr>
                <w:b/>
                <w:sz w:val="16"/>
                <w:szCs w:val="16"/>
              </w:rPr>
            </w:pPr>
          </w:p>
        </w:tc>
        <w:tc>
          <w:tcPr>
            <w:tcW w:w="1630" w:type="dxa"/>
            <w:tcBorders>
              <w:left w:val="nil"/>
              <w:bottom w:val="single" w:sz="4" w:space="0" w:color="auto"/>
              <w:right w:val="nil"/>
            </w:tcBorders>
            <w:shd w:val="clear" w:color="auto" w:fill="auto"/>
            <w:vAlign w:val="bottom"/>
          </w:tcPr>
          <w:p w14:paraId="0E44AF31" w14:textId="7C6E4F1D" w:rsidR="0093130F" w:rsidRPr="008119FA" w:rsidRDefault="00533566" w:rsidP="003E17A9">
            <w:pPr>
              <w:jc w:val="right"/>
              <w:rPr>
                <w:bCs w:val="0"/>
                <w:sz w:val="16"/>
                <w:szCs w:val="16"/>
              </w:rPr>
            </w:pPr>
            <w:r w:rsidRPr="008119FA">
              <w:rPr>
                <w:bCs w:val="0"/>
                <w:sz w:val="16"/>
                <w:szCs w:val="16"/>
              </w:rPr>
              <w:t>(</w:t>
            </w:r>
            <w:r w:rsidR="00FC2851" w:rsidRPr="008119FA">
              <w:rPr>
                <w:bCs w:val="0"/>
                <w:sz w:val="16"/>
                <w:szCs w:val="16"/>
              </w:rPr>
              <w:t>81</w:t>
            </w:r>
            <w:r w:rsidR="008119FA">
              <w:rPr>
                <w:bCs w:val="0"/>
                <w:sz w:val="16"/>
                <w:szCs w:val="16"/>
              </w:rPr>
              <w:t>.</w:t>
            </w:r>
            <w:r w:rsidR="00FC2851" w:rsidRPr="008119FA">
              <w:rPr>
                <w:bCs w:val="0"/>
                <w:sz w:val="16"/>
                <w:szCs w:val="16"/>
              </w:rPr>
              <w:t>198</w:t>
            </w:r>
            <w:r w:rsidR="008119FA">
              <w:rPr>
                <w:bCs w:val="0"/>
                <w:sz w:val="16"/>
                <w:szCs w:val="16"/>
              </w:rPr>
              <w:t>.</w:t>
            </w:r>
            <w:r w:rsidR="00FC2851" w:rsidRPr="008119FA">
              <w:rPr>
                <w:bCs w:val="0"/>
                <w:sz w:val="16"/>
                <w:szCs w:val="16"/>
              </w:rPr>
              <w:t>110</w:t>
            </w:r>
            <w:r w:rsidR="008119FA">
              <w:rPr>
                <w:bCs w:val="0"/>
                <w:sz w:val="16"/>
                <w:szCs w:val="16"/>
              </w:rPr>
              <w:t>.717</w:t>
            </w:r>
            <w:r w:rsidRPr="008119FA">
              <w:rPr>
                <w:bCs w:val="0"/>
                <w:sz w:val="16"/>
                <w:szCs w:val="16"/>
              </w:rPr>
              <w:t>)</w:t>
            </w:r>
          </w:p>
        </w:tc>
        <w:tc>
          <w:tcPr>
            <w:tcW w:w="47" w:type="dxa"/>
            <w:tcBorders>
              <w:left w:val="nil"/>
              <w:bottom w:val="nil"/>
              <w:right w:val="nil"/>
            </w:tcBorders>
            <w:shd w:val="clear" w:color="auto" w:fill="auto"/>
            <w:vAlign w:val="bottom"/>
          </w:tcPr>
          <w:p w14:paraId="7C01A790" w14:textId="54F211F8" w:rsidR="0093130F" w:rsidRPr="008119FA" w:rsidRDefault="0093130F" w:rsidP="003E17A9">
            <w:pPr>
              <w:jc w:val="right"/>
              <w:rPr>
                <w:b/>
                <w:sz w:val="16"/>
                <w:szCs w:val="16"/>
              </w:rPr>
            </w:pPr>
          </w:p>
        </w:tc>
        <w:tc>
          <w:tcPr>
            <w:tcW w:w="1630" w:type="dxa"/>
            <w:tcBorders>
              <w:left w:val="nil"/>
              <w:bottom w:val="single" w:sz="4" w:space="0" w:color="auto"/>
              <w:right w:val="nil"/>
            </w:tcBorders>
            <w:shd w:val="clear" w:color="auto" w:fill="auto"/>
            <w:noWrap/>
            <w:vAlign w:val="bottom"/>
          </w:tcPr>
          <w:p w14:paraId="66864B6D" w14:textId="57AE6CDE" w:rsidR="0093130F" w:rsidRPr="008119FA" w:rsidRDefault="00533566" w:rsidP="003E17A9">
            <w:pPr>
              <w:jc w:val="right"/>
              <w:rPr>
                <w:b/>
                <w:sz w:val="16"/>
                <w:szCs w:val="16"/>
              </w:rPr>
            </w:pPr>
            <w:r w:rsidRPr="008119FA">
              <w:rPr>
                <w:bCs w:val="0"/>
                <w:sz w:val="16"/>
                <w:szCs w:val="16"/>
              </w:rPr>
              <w:t>(</w:t>
            </w:r>
            <w:r w:rsidR="00FC2851" w:rsidRPr="008119FA">
              <w:rPr>
                <w:bCs w:val="0"/>
                <w:sz w:val="16"/>
                <w:szCs w:val="16"/>
              </w:rPr>
              <w:t>180</w:t>
            </w:r>
            <w:r w:rsidR="008119FA">
              <w:rPr>
                <w:bCs w:val="0"/>
                <w:sz w:val="16"/>
                <w:szCs w:val="16"/>
              </w:rPr>
              <w:t>.</w:t>
            </w:r>
            <w:r w:rsidR="00FC2851" w:rsidRPr="008119FA">
              <w:rPr>
                <w:bCs w:val="0"/>
                <w:sz w:val="16"/>
                <w:szCs w:val="16"/>
              </w:rPr>
              <w:t>659</w:t>
            </w:r>
            <w:r w:rsidR="008119FA">
              <w:rPr>
                <w:bCs w:val="0"/>
                <w:sz w:val="16"/>
                <w:szCs w:val="16"/>
              </w:rPr>
              <w:t>.</w:t>
            </w:r>
            <w:r w:rsidR="00FC2851" w:rsidRPr="008119FA">
              <w:rPr>
                <w:bCs w:val="0"/>
                <w:sz w:val="16"/>
                <w:szCs w:val="16"/>
              </w:rPr>
              <w:t>792</w:t>
            </w:r>
            <w:r w:rsidR="008119FA">
              <w:rPr>
                <w:bCs w:val="0"/>
                <w:sz w:val="16"/>
                <w:szCs w:val="16"/>
              </w:rPr>
              <w:t>.</w:t>
            </w:r>
            <w:r w:rsidR="00FC2851" w:rsidRPr="008119FA">
              <w:rPr>
                <w:bCs w:val="0"/>
                <w:sz w:val="16"/>
                <w:szCs w:val="16"/>
              </w:rPr>
              <w:t>826</w:t>
            </w:r>
            <w:r w:rsidRPr="008119FA">
              <w:rPr>
                <w:bCs w:val="0"/>
                <w:sz w:val="16"/>
                <w:szCs w:val="16"/>
              </w:rPr>
              <w:t>)</w:t>
            </w:r>
          </w:p>
        </w:tc>
        <w:tc>
          <w:tcPr>
            <w:tcW w:w="47" w:type="dxa"/>
            <w:tcBorders>
              <w:left w:val="nil"/>
              <w:bottom w:val="nil"/>
              <w:right w:val="nil"/>
            </w:tcBorders>
            <w:shd w:val="clear" w:color="auto" w:fill="auto"/>
            <w:noWrap/>
            <w:vAlign w:val="bottom"/>
          </w:tcPr>
          <w:p w14:paraId="49088836" w14:textId="77777777" w:rsidR="0093130F" w:rsidRPr="008119FA" w:rsidRDefault="0093130F" w:rsidP="003E17A9">
            <w:pPr>
              <w:jc w:val="right"/>
              <w:rPr>
                <w:b/>
                <w:sz w:val="16"/>
                <w:szCs w:val="16"/>
              </w:rPr>
            </w:pPr>
          </w:p>
        </w:tc>
        <w:tc>
          <w:tcPr>
            <w:tcW w:w="2037" w:type="dxa"/>
            <w:tcBorders>
              <w:left w:val="nil"/>
              <w:bottom w:val="nil"/>
              <w:right w:val="nil"/>
            </w:tcBorders>
            <w:shd w:val="clear" w:color="auto" w:fill="auto"/>
            <w:noWrap/>
            <w:vAlign w:val="bottom"/>
          </w:tcPr>
          <w:p w14:paraId="675E63DF" w14:textId="77777777" w:rsidR="0093130F" w:rsidRPr="0093130F" w:rsidRDefault="0093130F" w:rsidP="0093130F">
            <w:pPr>
              <w:ind w:right="85"/>
              <w:jc w:val="right"/>
              <w:rPr>
                <w:bCs w:val="0"/>
                <w:i/>
                <w:iCs/>
                <w:sz w:val="16"/>
                <w:szCs w:val="16"/>
              </w:rPr>
            </w:pPr>
            <w:r w:rsidRPr="0093130F">
              <w:rPr>
                <w:bCs w:val="0"/>
                <w:i/>
                <w:iCs/>
                <w:sz w:val="16"/>
                <w:szCs w:val="16"/>
              </w:rPr>
              <w:t>Direct costs</w:t>
            </w:r>
          </w:p>
        </w:tc>
      </w:tr>
      <w:tr w:rsidR="0093130F" w:rsidRPr="0013526B" w14:paraId="113E0A03" w14:textId="77777777" w:rsidTr="00D15EC3">
        <w:trPr>
          <w:trHeight w:val="117"/>
        </w:trPr>
        <w:tc>
          <w:tcPr>
            <w:tcW w:w="2064" w:type="dxa"/>
            <w:tcBorders>
              <w:top w:val="nil"/>
              <w:left w:val="nil"/>
              <w:bottom w:val="nil"/>
              <w:right w:val="nil"/>
            </w:tcBorders>
            <w:shd w:val="clear" w:color="auto" w:fill="auto"/>
            <w:noWrap/>
            <w:vAlign w:val="bottom"/>
          </w:tcPr>
          <w:p w14:paraId="0E7AA98B" w14:textId="77777777" w:rsidR="0093130F" w:rsidRPr="0013526B" w:rsidRDefault="0093130F" w:rsidP="001723A2">
            <w:pPr>
              <w:ind w:left="352" w:hanging="141"/>
              <w:rPr>
                <w:sz w:val="16"/>
                <w:szCs w:val="16"/>
              </w:rPr>
            </w:pPr>
          </w:p>
        </w:tc>
        <w:tc>
          <w:tcPr>
            <w:tcW w:w="46" w:type="dxa"/>
            <w:tcBorders>
              <w:left w:val="nil"/>
              <w:bottom w:val="nil"/>
              <w:right w:val="nil"/>
            </w:tcBorders>
          </w:tcPr>
          <w:p w14:paraId="12C6EF13" w14:textId="77777777" w:rsidR="0093130F" w:rsidRPr="0013526B" w:rsidRDefault="0093130F" w:rsidP="003E17A9">
            <w:pPr>
              <w:ind w:right="57"/>
              <w:jc w:val="right"/>
              <w:rPr>
                <w:sz w:val="16"/>
                <w:szCs w:val="16"/>
              </w:rPr>
            </w:pPr>
          </w:p>
        </w:tc>
        <w:tc>
          <w:tcPr>
            <w:tcW w:w="1630" w:type="dxa"/>
            <w:tcBorders>
              <w:top w:val="single" w:sz="4" w:space="0" w:color="auto"/>
              <w:left w:val="nil"/>
              <w:bottom w:val="nil"/>
              <w:right w:val="nil"/>
            </w:tcBorders>
            <w:shd w:val="clear" w:color="auto" w:fill="auto"/>
            <w:vAlign w:val="bottom"/>
          </w:tcPr>
          <w:p w14:paraId="74CE5A81" w14:textId="77777777" w:rsidR="0093130F" w:rsidRPr="008119FA" w:rsidRDefault="0093130F" w:rsidP="003E17A9">
            <w:pPr>
              <w:ind w:right="57"/>
              <w:jc w:val="right"/>
              <w:rPr>
                <w:sz w:val="16"/>
                <w:szCs w:val="16"/>
                <w:lang w:val="id-ID"/>
              </w:rPr>
            </w:pPr>
          </w:p>
        </w:tc>
        <w:tc>
          <w:tcPr>
            <w:tcW w:w="47" w:type="dxa"/>
            <w:tcBorders>
              <w:left w:val="nil"/>
              <w:bottom w:val="nil"/>
              <w:right w:val="nil"/>
            </w:tcBorders>
            <w:shd w:val="clear" w:color="auto" w:fill="auto"/>
            <w:vAlign w:val="bottom"/>
          </w:tcPr>
          <w:p w14:paraId="2B730651" w14:textId="77777777" w:rsidR="0093130F" w:rsidRPr="008119FA" w:rsidRDefault="0093130F" w:rsidP="003E17A9">
            <w:pPr>
              <w:jc w:val="right"/>
              <w:rPr>
                <w:sz w:val="16"/>
                <w:szCs w:val="16"/>
              </w:rPr>
            </w:pPr>
          </w:p>
        </w:tc>
        <w:tc>
          <w:tcPr>
            <w:tcW w:w="1630" w:type="dxa"/>
            <w:tcBorders>
              <w:top w:val="single" w:sz="4" w:space="0" w:color="auto"/>
              <w:left w:val="nil"/>
              <w:bottom w:val="nil"/>
              <w:right w:val="nil"/>
            </w:tcBorders>
            <w:shd w:val="clear" w:color="auto" w:fill="auto"/>
            <w:vAlign w:val="bottom"/>
          </w:tcPr>
          <w:p w14:paraId="76C62A36" w14:textId="77777777" w:rsidR="0093130F" w:rsidRPr="008119FA" w:rsidRDefault="0093130F" w:rsidP="003E17A9">
            <w:pPr>
              <w:ind w:right="57"/>
              <w:jc w:val="right"/>
              <w:rPr>
                <w:sz w:val="16"/>
                <w:szCs w:val="16"/>
              </w:rPr>
            </w:pPr>
          </w:p>
        </w:tc>
        <w:tc>
          <w:tcPr>
            <w:tcW w:w="47" w:type="dxa"/>
            <w:tcBorders>
              <w:left w:val="nil"/>
              <w:bottom w:val="nil"/>
              <w:right w:val="nil"/>
            </w:tcBorders>
            <w:shd w:val="clear" w:color="auto" w:fill="auto"/>
            <w:vAlign w:val="bottom"/>
          </w:tcPr>
          <w:p w14:paraId="2B4E6330" w14:textId="77777777" w:rsidR="0093130F" w:rsidRPr="008119FA" w:rsidRDefault="0093130F" w:rsidP="003E17A9">
            <w:pPr>
              <w:jc w:val="right"/>
              <w:rPr>
                <w:sz w:val="16"/>
                <w:szCs w:val="16"/>
              </w:rPr>
            </w:pPr>
          </w:p>
        </w:tc>
        <w:tc>
          <w:tcPr>
            <w:tcW w:w="1630" w:type="dxa"/>
            <w:tcBorders>
              <w:top w:val="single" w:sz="4" w:space="0" w:color="auto"/>
              <w:left w:val="nil"/>
              <w:bottom w:val="nil"/>
              <w:right w:val="nil"/>
            </w:tcBorders>
            <w:shd w:val="clear" w:color="auto" w:fill="auto"/>
            <w:noWrap/>
            <w:vAlign w:val="bottom"/>
          </w:tcPr>
          <w:p w14:paraId="793FEECB" w14:textId="77777777" w:rsidR="0093130F" w:rsidRPr="008119FA" w:rsidRDefault="0093130F" w:rsidP="003E17A9">
            <w:pPr>
              <w:ind w:right="57"/>
              <w:jc w:val="right"/>
              <w:rPr>
                <w:sz w:val="16"/>
                <w:szCs w:val="16"/>
              </w:rPr>
            </w:pPr>
          </w:p>
        </w:tc>
        <w:tc>
          <w:tcPr>
            <w:tcW w:w="47" w:type="dxa"/>
            <w:tcBorders>
              <w:left w:val="nil"/>
              <w:bottom w:val="nil"/>
              <w:right w:val="nil"/>
            </w:tcBorders>
            <w:shd w:val="clear" w:color="auto" w:fill="auto"/>
            <w:noWrap/>
            <w:vAlign w:val="bottom"/>
          </w:tcPr>
          <w:p w14:paraId="24B8D117"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613A3632" w14:textId="77777777" w:rsidR="0093130F" w:rsidRPr="0093130F" w:rsidRDefault="0093130F" w:rsidP="0093130F">
            <w:pPr>
              <w:ind w:right="85"/>
              <w:jc w:val="right"/>
              <w:rPr>
                <w:bCs w:val="0"/>
                <w:i/>
                <w:iCs/>
                <w:sz w:val="16"/>
                <w:szCs w:val="16"/>
              </w:rPr>
            </w:pPr>
          </w:p>
        </w:tc>
      </w:tr>
      <w:tr w:rsidR="0093130F" w:rsidRPr="0013526B" w14:paraId="69B5F8E2" w14:textId="77777777" w:rsidTr="00D15EC3">
        <w:trPr>
          <w:trHeight w:val="117"/>
        </w:trPr>
        <w:tc>
          <w:tcPr>
            <w:tcW w:w="2064" w:type="dxa"/>
            <w:tcBorders>
              <w:top w:val="nil"/>
              <w:left w:val="nil"/>
              <w:right w:val="nil"/>
            </w:tcBorders>
            <w:shd w:val="clear" w:color="auto" w:fill="auto"/>
            <w:noWrap/>
            <w:vAlign w:val="bottom"/>
          </w:tcPr>
          <w:p w14:paraId="1412D382" w14:textId="77777777" w:rsidR="0093130F" w:rsidRPr="0013526B" w:rsidRDefault="0093130F" w:rsidP="001723A2">
            <w:pPr>
              <w:ind w:left="352" w:hanging="14"/>
              <w:rPr>
                <w:sz w:val="16"/>
                <w:szCs w:val="16"/>
              </w:rPr>
            </w:pPr>
            <w:r>
              <w:rPr>
                <w:sz w:val="16"/>
                <w:szCs w:val="16"/>
              </w:rPr>
              <w:t>Laba kotor</w:t>
            </w:r>
          </w:p>
        </w:tc>
        <w:tc>
          <w:tcPr>
            <w:tcW w:w="46" w:type="dxa"/>
            <w:tcBorders>
              <w:left w:val="nil"/>
              <w:right w:val="nil"/>
            </w:tcBorders>
          </w:tcPr>
          <w:p w14:paraId="3148E178" w14:textId="77777777" w:rsidR="0093130F" w:rsidRPr="0013526B" w:rsidRDefault="0093130F" w:rsidP="003E17A9">
            <w:pPr>
              <w:ind w:right="57"/>
              <w:jc w:val="right"/>
              <w:rPr>
                <w:sz w:val="16"/>
                <w:szCs w:val="16"/>
              </w:rPr>
            </w:pPr>
          </w:p>
        </w:tc>
        <w:tc>
          <w:tcPr>
            <w:tcW w:w="1630" w:type="dxa"/>
            <w:tcBorders>
              <w:left w:val="nil"/>
              <w:right w:val="nil"/>
            </w:tcBorders>
            <w:shd w:val="clear" w:color="auto" w:fill="auto"/>
            <w:vAlign w:val="bottom"/>
          </w:tcPr>
          <w:p w14:paraId="53FE77C2" w14:textId="617275D3" w:rsidR="0093130F" w:rsidRPr="008119FA" w:rsidRDefault="008119FA" w:rsidP="003E17A9">
            <w:pPr>
              <w:ind w:right="57"/>
              <w:jc w:val="right"/>
              <w:rPr>
                <w:sz w:val="16"/>
                <w:szCs w:val="16"/>
                <w:lang w:val="id-ID"/>
              </w:rPr>
            </w:pPr>
            <w:r>
              <w:rPr>
                <w:bCs w:val="0"/>
                <w:sz w:val="16"/>
                <w:szCs w:val="16"/>
              </w:rPr>
              <w:t>4</w:t>
            </w:r>
            <w:r w:rsidR="00FC2851" w:rsidRPr="008119FA">
              <w:rPr>
                <w:bCs w:val="0"/>
                <w:sz w:val="16"/>
                <w:szCs w:val="16"/>
              </w:rPr>
              <w:t>0</w:t>
            </w:r>
            <w:r>
              <w:rPr>
                <w:bCs w:val="0"/>
                <w:sz w:val="16"/>
                <w:szCs w:val="16"/>
              </w:rPr>
              <w:t>.</w:t>
            </w:r>
            <w:r w:rsidR="00FC2851" w:rsidRPr="008119FA">
              <w:rPr>
                <w:bCs w:val="0"/>
                <w:sz w:val="16"/>
                <w:szCs w:val="16"/>
              </w:rPr>
              <w:t>297</w:t>
            </w:r>
            <w:r>
              <w:rPr>
                <w:bCs w:val="0"/>
                <w:sz w:val="16"/>
                <w:szCs w:val="16"/>
              </w:rPr>
              <w:t>.</w:t>
            </w:r>
            <w:r w:rsidR="00FC2851" w:rsidRPr="008119FA">
              <w:rPr>
                <w:bCs w:val="0"/>
                <w:sz w:val="16"/>
                <w:szCs w:val="16"/>
              </w:rPr>
              <w:t>770</w:t>
            </w:r>
            <w:r>
              <w:rPr>
                <w:bCs w:val="0"/>
                <w:sz w:val="16"/>
                <w:szCs w:val="16"/>
              </w:rPr>
              <w:t>.</w:t>
            </w:r>
            <w:r w:rsidR="00FC2851" w:rsidRPr="008119FA">
              <w:rPr>
                <w:bCs w:val="0"/>
                <w:sz w:val="16"/>
                <w:szCs w:val="16"/>
              </w:rPr>
              <w:t>136</w:t>
            </w:r>
          </w:p>
        </w:tc>
        <w:tc>
          <w:tcPr>
            <w:tcW w:w="47" w:type="dxa"/>
            <w:tcBorders>
              <w:left w:val="nil"/>
              <w:right w:val="nil"/>
            </w:tcBorders>
            <w:shd w:val="clear" w:color="auto" w:fill="auto"/>
            <w:vAlign w:val="bottom"/>
          </w:tcPr>
          <w:p w14:paraId="64452C09" w14:textId="77777777" w:rsidR="0093130F" w:rsidRPr="008119FA" w:rsidRDefault="0093130F" w:rsidP="003E17A9">
            <w:pPr>
              <w:jc w:val="right"/>
              <w:rPr>
                <w:sz w:val="16"/>
                <w:szCs w:val="16"/>
              </w:rPr>
            </w:pPr>
          </w:p>
        </w:tc>
        <w:tc>
          <w:tcPr>
            <w:tcW w:w="1630" w:type="dxa"/>
            <w:tcBorders>
              <w:left w:val="nil"/>
              <w:right w:val="nil"/>
            </w:tcBorders>
            <w:shd w:val="clear" w:color="auto" w:fill="auto"/>
            <w:vAlign w:val="bottom"/>
          </w:tcPr>
          <w:p w14:paraId="4CB737F3" w14:textId="6BA9AC9E" w:rsidR="0093130F" w:rsidRPr="008119FA" w:rsidRDefault="00FC2851" w:rsidP="008119FA">
            <w:pPr>
              <w:ind w:right="57"/>
              <w:jc w:val="right"/>
              <w:rPr>
                <w:sz w:val="16"/>
                <w:szCs w:val="16"/>
              </w:rPr>
            </w:pPr>
            <w:r w:rsidRPr="008119FA">
              <w:rPr>
                <w:bCs w:val="0"/>
                <w:sz w:val="16"/>
                <w:szCs w:val="16"/>
              </w:rPr>
              <w:t>38</w:t>
            </w:r>
            <w:r w:rsidR="008119FA">
              <w:rPr>
                <w:bCs w:val="0"/>
                <w:sz w:val="16"/>
                <w:szCs w:val="16"/>
              </w:rPr>
              <w:t>.</w:t>
            </w:r>
            <w:r w:rsidRPr="008119FA">
              <w:rPr>
                <w:bCs w:val="0"/>
                <w:sz w:val="16"/>
                <w:szCs w:val="16"/>
              </w:rPr>
              <w:t>183</w:t>
            </w:r>
            <w:r w:rsidR="008119FA">
              <w:rPr>
                <w:bCs w:val="0"/>
                <w:sz w:val="16"/>
                <w:szCs w:val="16"/>
              </w:rPr>
              <w:t>.</w:t>
            </w:r>
            <w:r w:rsidRPr="008119FA">
              <w:rPr>
                <w:bCs w:val="0"/>
                <w:sz w:val="16"/>
                <w:szCs w:val="16"/>
              </w:rPr>
              <w:t>700</w:t>
            </w:r>
            <w:r w:rsidR="008119FA">
              <w:rPr>
                <w:bCs w:val="0"/>
                <w:sz w:val="16"/>
                <w:szCs w:val="16"/>
              </w:rPr>
              <w:t>.</w:t>
            </w:r>
            <w:r w:rsidRPr="008119FA">
              <w:rPr>
                <w:bCs w:val="0"/>
                <w:sz w:val="16"/>
                <w:szCs w:val="16"/>
              </w:rPr>
              <w:t>749</w:t>
            </w:r>
          </w:p>
        </w:tc>
        <w:tc>
          <w:tcPr>
            <w:tcW w:w="47" w:type="dxa"/>
            <w:tcBorders>
              <w:left w:val="nil"/>
              <w:right w:val="nil"/>
            </w:tcBorders>
            <w:shd w:val="clear" w:color="auto" w:fill="auto"/>
            <w:vAlign w:val="bottom"/>
          </w:tcPr>
          <w:p w14:paraId="2BEA4796"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55C904F5" w14:textId="3A7357B0" w:rsidR="0093130F" w:rsidRPr="008119FA" w:rsidRDefault="00FC2851" w:rsidP="003E17A9">
            <w:pPr>
              <w:ind w:right="57"/>
              <w:jc w:val="right"/>
              <w:rPr>
                <w:sz w:val="16"/>
                <w:szCs w:val="16"/>
              </w:rPr>
            </w:pPr>
            <w:r w:rsidRPr="008119FA">
              <w:rPr>
                <w:bCs w:val="0"/>
                <w:sz w:val="16"/>
                <w:szCs w:val="16"/>
              </w:rPr>
              <w:t>78</w:t>
            </w:r>
            <w:r w:rsidR="008119FA">
              <w:rPr>
                <w:bCs w:val="0"/>
                <w:sz w:val="16"/>
                <w:szCs w:val="16"/>
              </w:rPr>
              <w:t>.</w:t>
            </w:r>
            <w:r w:rsidRPr="008119FA">
              <w:rPr>
                <w:bCs w:val="0"/>
                <w:sz w:val="16"/>
                <w:szCs w:val="16"/>
              </w:rPr>
              <w:t>481</w:t>
            </w:r>
            <w:r w:rsidR="008119FA">
              <w:rPr>
                <w:bCs w:val="0"/>
                <w:sz w:val="16"/>
                <w:szCs w:val="16"/>
              </w:rPr>
              <w:t>.</w:t>
            </w:r>
            <w:r w:rsidRPr="008119FA">
              <w:rPr>
                <w:bCs w:val="0"/>
                <w:sz w:val="16"/>
                <w:szCs w:val="16"/>
              </w:rPr>
              <w:t>470</w:t>
            </w:r>
            <w:r w:rsidR="008119FA">
              <w:rPr>
                <w:bCs w:val="0"/>
                <w:sz w:val="16"/>
                <w:szCs w:val="16"/>
              </w:rPr>
              <w:t>.</w:t>
            </w:r>
            <w:r w:rsidRPr="008119FA">
              <w:rPr>
                <w:bCs w:val="0"/>
                <w:sz w:val="16"/>
                <w:szCs w:val="16"/>
              </w:rPr>
              <w:t>886</w:t>
            </w:r>
          </w:p>
        </w:tc>
        <w:tc>
          <w:tcPr>
            <w:tcW w:w="47" w:type="dxa"/>
            <w:tcBorders>
              <w:left w:val="nil"/>
              <w:right w:val="nil"/>
            </w:tcBorders>
            <w:shd w:val="clear" w:color="auto" w:fill="auto"/>
            <w:noWrap/>
            <w:vAlign w:val="bottom"/>
          </w:tcPr>
          <w:p w14:paraId="1BCFFF13" w14:textId="77777777" w:rsidR="0093130F" w:rsidRPr="008119FA" w:rsidRDefault="0093130F" w:rsidP="003E17A9">
            <w:pPr>
              <w:jc w:val="right"/>
              <w:rPr>
                <w:sz w:val="16"/>
                <w:szCs w:val="16"/>
              </w:rPr>
            </w:pPr>
          </w:p>
        </w:tc>
        <w:tc>
          <w:tcPr>
            <w:tcW w:w="2037" w:type="dxa"/>
            <w:tcBorders>
              <w:left w:val="nil"/>
              <w:right w:val="nil"/>
            </w:tcBorders>
            <w:shd w:val="clear" w:color="auto" w:fill="auto"/>
            <w:noWrap/>
            <w:vAlign w:val="bottom"/>
          </w:tcPr>
          <w:p w14:paraId="15794E1A" w14:textId="77777777" w:rsidR="0093130F" w:rsidRPr="0093130F" w:rsidRDefault="0093130F" w:rsidP="0093130F">
            <w:pPr>
              <w:ind w:right="85"/>
              <w:jc w:val="right"/>
              <w:rPr>
                <w:bCs w:val="0"/>
                <w:i/>
                <w:iCs/>
                <w:sz w:val="16"/>
                <w:szCs w:val="16"/>
              </w:rPr>
            </w:pPr>
            <w:r w:rsidRPr="0093130F">
              <w:rPr>
                <w:bCs w:val="0"/>
                <w:i/>
                <w:iCs/>
                <w:sz w:val="16"/>
                <w:szCs w:val="16"/>
              </w:rPr>
              <w:t>Gross profit</w:t>
            </w:r>
          </w:p>
        </w:tc>
      </w:tr>
      <w:tr w:rsidR="0093130F" w:rsidRPr="0013526B" w14:paraId="4622D536" w14:textId="77777777" w:rsidTr="00D15EC3">
        <w:trPr>
          <w:trHeight w:val="117"/>
        </w:trPr>
        <w:tc>
          <w:tcPr>
            <w:tcW w:w="2064" w:type="dxa"/>
            <w:tcBorders>
              <w:top w:val="nil"/>
              <w:left w:val="nil"/>
              <w:bottom w:val="nil"/>
              <w:right w:val="nil"/>
            </w:tcBorders>
            <w:shd w:val="clear" w:color="auto" w:fill="auto"/>
            <w:noWrap/>
            <w:vAlign w:val="bottom"/>
          </w:tcPr>
          <w:p w14:paraId="0519F436" w14:textId="77777777" w:rsidR="0093130F" w:rsidRPr="0013526B" w:rsidRDefault="0093130F" w:rsidP="001723A2">
            <w:pPr>
              <w:ind w:left="352" w:hanging="141"/>
              <w:rPr>
                <w:sz w:val="16"/>
                <w:szCs w:val="16"/>
              </w:rPr>
            </w:pPr>
          </w:p>
        </w:tc>
        <w:tc>
          <w:tcPr>
            <w:tcW w:w="46" w:type="dxa"/>
            <w:tcBorders>
              <w:left w:val="nil"/>
              <w:bottom w:val="nil"/>
              <w:right w:val="nil"/>
            </w:tcBorders>
          </w:tcPr>
          <w:p w14:paraId="4FBA63A1" w14:textId="77777777" w:rsidR="0093130F" w:rsidRPr="0013526B" w:rsidRDefault="0093130F" w:rsidP="003E17A9">
            <w:pPr>
              <w:ind w:right="57"/>
              <w:jc w:val="right"/>
              <w:rPr>
                <w:sz w:val="16"/>
                <w:szCs w:val="16"/>
              </w:rPr>
            </w:pPr>
          </w:p>
        </w:tc>
        <w:tc>
          <w:tcPr>
            <w:tcW w:w="1630" w:type="dxa"/>
            <w:tcBorders>
              <w:left w:val="nil"/>
              <w:bottom w:val="nil"/>
              <w:right w:val="nil"/>
            </w:tcBorders>
            <w:shd w:val="clear" w:color="auto" w:fill="auto"/>
            <w:vAlign w:val="bottom"/>
          </w:tcPr>
          <w:p w14:paraId="3C8CF12E" w14:textId="77777777" w:rsidR="0093130F" w:rsidRPr="008119FA" w:rsidRDefault="0093130F" w:rsidP="003E17A9">
            <w:pPr>
              <w:ind w:right="57"/>
              <w:jc w:val="right"/>
              <w:rPr>
                <w:sz w:val="16"/>
                <w:szCs w:val="16"/>
              </w:rPr>
            </w:pPr>
          </w:p>
        </w:tc>
        <w:tc>
          <w:tcPr>
            <w:tcW w:w="47" w:type="dxa"/>
            <w:tcBorders>
              <w:left w:val="nil"/>
              <w:bottom w:val="nil"/>
              <w:right w:val="nil"/>
            </w:tcBorders>
            <w:shd w:val="clear" w:color="auto" w:fill="auto"/>
            <w:vAlign w:val="bottom"/>
          </w:tcPr>
          <w:p w14:paraId="060D3573" w14:textId="77777777" w:rsidR="0093130F" w:rsidRPr="008119FA" w:rsidRDefault="0093130F" w:rsidP="003E17A9">
            <w:pPr>
              <w:jc w:val="right"/>
              <w:rPr>
                <w:sz w:val="16"/>
                <w:szCs w:val="16"/>
              </w:rPr>
            </w:pPr>
          </w:p>
        </w:tc>
        <w:tc>
          <w:tcPr>
            <w:tcW w:w="1630" w:type="dxa"/>
            <w:tcBorders>
              <w:left w:val="nil"/>
              <w:bottom w:val="nil"/>
              <w:right w:val="nil"/>
            </w:tcBorders>
            <w:shd w:val="clear" w:color="auto" w:fill="auto"/>
            <w:vAlign w:val="bottom"/>
          </w:tcPr>
          <w:p w14:paraId="43C8380C" w14:textId="77777777" w:rsidR="0093130F" w:rsidRPr="008119FA" w:rsidRDefault="0093130F" w:rsidP="003E17A9">
            <w:pPr>
              <w:ind w:right="57"/>
              <w:jc w:val="right"/>
              <w:rPr>
                <w:sz w:val="16"/>
                <w:szCs w:val="16"/>
              </w:rPr>
            </w:pPr>
          </w:p>
        </w:tc>
        <w:tc>
          <w:tcPr>
            <w:tcW w:w="47" w:type="dxa"/>
            <w:tcBorders>
              <w:left w:val="nil"/>
              <w:bottom w:val="nil"/>
              <w:right w:val="nil"/>
            </w:tcBorders>
            <w:shd w:val="clear" w:color="auto" w:fill="auto"/>
            <w:vAlign w:val="bottom"/>
          </w:tcPr>
          <w:p w14:paraId="731AF1D5" w14:textId="77777777" w:rsidR="0093130F" w:rsidRPr="008119FA" w:rsidRDefault="0093130F" w:rsidP="003E17A9">
            <w:pPr>
              <w:jc w:val="right"/>
              <w:rPr>
                <w:sz w:val="16"/>
                <w:szCs w:val="16"/>
              </w:rPr>
            </w:pPr>
          </w:p>
        </w:tc>
        <w:tc>
          <w:tcPr>
            <w:tcW w:w="1630" w:type="dxa"/>
            <w:tcBorders>
              <w:left w:val="nil"/>
              <w:bottom w:val="nil"/>
              <w:right w:val="nil"/>
            </w:tcBorders>
            <w:shd w:val="clear" w:color="auto" w:fill="auto"/>
            <w:noWrap/>
            <w:vAlign w:val="bottom"/>
          </w:tcPr>
          <w:p w14:paraId="6BBC7189" w14:textId="77777777" w:rsidR="0093130F" w:rsidRPr="008119FA" w:rsidRDefault="0093130F" w:rsidP="003E17A9">
            <w:pPr>
              <w:ind w:right="57"/>
              <w:jc w:val="right"/>
              <w:rPr>
                <w:sz w:val="16"/>
                <w:szCs w:val="16"/>
              </w:rPr>
            </w:pPr>
          </w:p>
        </w:tc>
        <w:tc>
          <w:tcPr>
            <w:tcW w:w="47" w:type="dxa"/>
            <w:tcBorders>
              <w:left w:val="nil"/>
              <w:bottom w:val="nil"/>
              <w:right w:val="nil"/>
            </w:tcBorders>
            <w:shd w:val="clear" w:color="auto" w:fill="auto"/>
            <w:noWrap/>
            <w:vAlign w:val="bottom"/>
          </w:tcPr>
          <w:p w14:paraId="375C8A08"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74283915" w14:textId="77777777" w:rsidR="0093130F" w:rsidRPr="0093130F" w:rsidRDefault="0093130F" w:rsidP="0093130F">
            <w:pPr>
              <w:ind w:right="85"/>
              <w:jc w:val="right"/>
              <w:rPr>
                <w:bCs w:val="0"/>
                <w:i/>
                <w:iCs/>
                <w:sz w:val="16"/>
                <w:szCs w:val="16"/>
              </w:rPr>
            </w:pPr>
          </w:p>
        </w:tc>
      </w:tr>
      <w:tr w:rsidR="0093130F" w:rsidRPr="0013526B" w14:paraId="20E392C0" w14:textId="77777777" w:rsidTr="00D15EC3">
        <w:trPr>
          <w:trHeight w:val="117"/>
        </w:trPr>
        <w:tc>
          <w:tcPr>
            <w:tcW w:w="2064" w:type="dxa"/>
            <w:tcBorders>
              <w:top w:val="nil"/>
              <w:left w:val="nil"/>
              <w:right w:val="nil"/>
            </w:tcBorders>
            <w:shd w:val="clear" w:color="auto" w:fill="auto"/>
            <w:noWrap/>
            <w:vAlign w:val="bottom"/>
          </w:tcPr>
          <w:p w14:paraId="415A58C0" w14:textId="77777777" w:rsidR="0093130F" w:rsidRPr="000E27E3" w:rsidRDefault="0093130F" w:rsidP="001723A2">
            <w:pPr>
              <w:ind w:left="352" w:hanging="14"/>
              <w:rPr>
                <w:bCs w:val="0"/>
                <w:sz w:val="16"/>
                <w:szCs w:val="16"/>
              </w:rPr>
            </w:pPr>
            <w:r w:rsidRPr="000E27E3">
              <w:rPr>
                <w:bCs w:val="0"/>
                <w:sz w:val="16"/>
                <w:szCs w:val="16"/>
              </w:rPr>
              <w:t>Beban Penjualan</w:t>
            </w:r>
          </w:p>
        </w:tc>
        <w:tc>
          <w:tcPr>
            <w:tcW w:w="46" w:type="dxa"/>
            <w:tcBorders>
              <w:left w:val="nil"/>
              <w:right w:val="nil"/>
            </w:tcBorders>
          </w:tcPr>
          <w:p w14:paraId="420B9950" w14:textId="77777777" w:rsidR="0093130F" w:rsidRPr="0013526B" w:rsidRDefault="0093130F" w:rsidP="003E17A9">
            <w:pPr>
              <w:ind w:right="57"/>
              <w:jc w:val="right"/>
              <w:rPr>
                <w:b/>
                <w:sz w:val="16"/>
                <w:szCs w:val="16"/>
              </w:rPr>
            </w:pPr>
          </w:p>
        </w:tc>
        <w:tc>
          <w:tcPr>
            <w:tcW w:w="1630" w:type="dxa"/>
            <w:tcBorders>
              <w:left w:val="nil"/>
              <w:right w:val="nil"/>
            </w:tcBorders>
            <w:shd w:val="clear" w:color="auto" w:fill="auto"/>
            <w:vAlign w:val="bottom"/>
          </w:tcPr>
          <w:p w14:paraId="52056A8D" w14:textId="77777777" w:rsidR="0093130F" w:rsidRPr="008119FA" w:rsidRDefault="0093130F" w:rsidP="003E17A9">
            <w:pPr>
              <w:ind w:right="57"/>
              <w:jc w:val="right"/>
              <w:rPr>
                <w:b/>
                <w:sz w:val="16"/>
                <w:szCs w:val="16"/>
              </w:rPr>
            </w:pPr>
          </w:p>
        </w:tc>
        <w:tc>
          <w:tcPr>
            <w:tcW w:w="47" w:type="dxa"/>
            <w:tcBorders>
              <w:left w:val="nil"/>
              <w:right w:val="nil"/>
            </w:tcBorders>
            <w:shd w:val="clear" w:color="auto" w:fill="auto"/>
            <w:vAlign w:val="bottom"/>
          </w:tcPr>
          <w:p w14:paraId="34D590EB" w14:textId="77777777" w:rsidR="0093130F" w:rsidRPr="008119FA" w:rsidRDefault="0093130F" w:rsidP="003E17A9">
            <w:pPr>
              <w:jc w:val="right"/>
              <w:rPr>
                <w:b/>
                <w:sz w:val="16"/>
                <w:szCs w:val="16"/>
              </w:rPr>
            </w:pPr>
          </w:p>
        </w:tc>
        <w:tc>
          <w:tcPr>
            <w:tcW w:w="1630" w:type="dxa"/>
            <w:tcBorders>
              <w:left w:val="nil"/>
              <w:right w:val="nil"/>
            </w:tcBorders>
            <w:shd w:val="clear" w:color="auto" w:fill="auto"/>
            <w:vAlign w:val="bottom"/>
          </w:tcPr>
          <w:p w14:paraId="00255E38" w14:textId="77777777" w:rsidR="0093130F" w:rsidRPr="008119FA" w:rsidRDefault="0093130F" w:rsidP="003E17A9">
            <w:pPr>
              <w:ind w:right="57"/>
              <w:jc w:val="right"/>
              <w:rPr>
                <w:b/>
                <w:sz w:val="16"/>
                <w:szCs w:val="16"/>
              </w:rPr>
            </w:pPr>
          </w:p>
        </w:tc>
        <w:tc>
          <w:tcPr>
            <w:tcW w:w="47" w:type="dxa"/>
            <w:tcBorders>
              <w:left w:val="nil"/>
              <w:right w:val="nil"/>
            </w:tcBorders>
            <w:shd w:val="clear" w:color="auto" w:fill="auto"/>
            <w:vAlign w:val="bottom"/>
          </w:tcPr>
          <w:p w14:paraId="349C2B77" w14:textId="77777777" w:rsidR="0093130F" w:rsidRPr="008119FA" w:rsidRDefault="0093130F" w:rsidP="003E17A9">
            <w:pPr>
              <w:jc w:val="right"/>
              <w:rPr>
                <w:b/>
                <w:sz w:val="16"/>
                <w:szCs w:val="16"/>
              </w:rPr>
            </w:pPr>
          </w:p>
        </w:tc>
        <w:tc>
          <w:tcPr>
            <w:tcW w:w="1630" w:type="dxa"/>
            <w:tcBorders>
              <w:left w:val="nil"/>
              <w:right w:val="nil"/>
            </w:tcBorders>
            <w:shd w:val="clear" w:color="auto" w:fill="auto"/>
            <w:noWrap/>
            <w:vAlign w:val="bottom"/>
          </w:tcPr>
          <w:p w14:paraId="663C32A5" w14:textId="5366DA48" w:rsidR="0093130F" w:rsidRPr="008119FA" w:rsidRDefault="00533566" w:rsidP="003E17A9">
            <w:pPr>
              <w:ind w:right="57"/>
              <w:jc w:val="right"/>
              <w:rPr>
                <w:bCs w:val="0"/>
                <w:sz w:val="16"/>
                <w:szCs w:val="16"/>
              </w:rPr>
            </w:pPr>
            <w:r w:rsidRPr="008119FA">
              <w:rPr>
                <w:bCs w:val="0"/>
                <w:sz w:val="16"/>
                <w:szCs w:val="16"/>
              </w:rPr>
              <w:t>(</w:t>
            </w:r>
            <w:r w:rsidR="00FC2851" w:rsidRPr="008119FA">
              <w:rPr>
                <w:bCs w:val="0"/>
                <w:sz w:val="16"/>
                <w:szCs w:val="16"/>
              </w:rPr>
              <w:t>2</w:t>
            </w:r>
            <w:r w:rsidR="008119FA">
              <w:rPr>
                <w:bCs w:val="0"/>
                <w:sz w:val="16"/>
                <w:szCs w:val="16"/>
              </w:rPr>
              <w:t>.</w:t>
            </w:r>
            <w:r w:rsidR="00FC2851" w:rsidRPr="008119FA">
              <w:rPr>
                <w:bCs w:val="0"/>
                <w:sz w:val="16"/>
                <w:szCs w:val="16"/>
              </w:rPr>
              <w:t>320</w:t>
            </w:r>
            <w:r w:rsidR="008119FA">
              <w:rPr>
                <w:bCs w:val="0"/>
                <w:sz w:val="16"/>
                <w:szCs w:val="16"/>
              </w:rPr>
              <w:t>.</w:t>
            </w:r>
            <w:r w:rsidR="00FC2851" w:rsidRPr="008119FA">
              <w:rPr>
                <w:bCs w:val="0"/>
                <w:sz w:val="16"/>
                <w:szCs w:val="16"/>
              </w:rPr>
              <w:t>998</w:t>
            </w:r>
            <w:r w:rsidR="008119FA">
              <w:rPr>
                <w:bCs w:val="0"/>
                <w:sz w:val="16"/>
                <w:szCs w:val="16"/>
              </w:rPr>
              <w:t>.</w:t>
            </w:r>
            <w:r w:rsidR="00FC2851" w:rsidRPr="008119FA">
              <w:rPr>
                <w:bCs w:val="0"/>
                <w:sz w:val="16"/>
                <w:szCs w:val="16"/>
              </w:rPr>
              <w:t>474</w:t>
            </w:r>
            <w:r w:rsidRPr="008119FA">
              <w:rPr>
                <w:bCs w:val="0"/>
                <w:sz w:val="16"/>
                <w:szCs w:val="16"/>
              </w:rPr>
              <w:t>)</w:t>
            </w:r>
          </w:p>
        </w:tc>
        <w:tc>
          <w:tcPr>
            <w:tcW w:w="47" w:type="dxa"/>
            <w:tcBorders>
              <w:left w:val="nil"/>
              <w:right w:val="nil"/>
            </w:tcBorders>
            <w:shd w:val="clear" w:color="auto" w:fill="auto"/>
            <w:noWrap/>
            <w:vAlign w:val="bottom"/>
          </w:tcPr>
          <w:p w14:paraId="2E6FD7EF" w14:textId="77777777" w:rsidR="0093130F" w:rsidRPr="008119FA" w:rsidRDefault="0093130F" w:rsidP="003E17A9">
            <w:pPr>
              <w:jc w:val="right"/>
              <w:rPr>
                <w:b/>
                <w:sz w:val="16"/>
                <w:szCs w:val="16"/>
              </w:rPr>
            </w:pPr>
          </w:p>
        </w:tc>
        <w:tc>
          <w:tcPr>
            <w:tcW w:w="2037" w:type="dxa"/>
            <w:tcBorders>
              <w:left w:val="nil"/>
              <w:right w:val="nil"/>
            </w:tcBorders>
            <w:shd w:val="clear" w:color="auto" w:fill="auto"/>
            <w:noWrap/>
            <w:vAlign w:val="bottom"/>
          </w:tcPr>
          <w:p w14:paraId="13BBA632" w14:textId="77777777" w:rsidR="0093130F" w:rsidRPr="0093130F" w:rsidRDefault="0093130F" w:rsidP="0093130F">
            <w:pPr>
              <w:ind w:right="85"/>
              <w:jc w:val="right"/>
              <w:rPr>
                <w:bCs w:val="0"/>
                <w:i/>
                <w:iCs/>
                <w:sz w:val="16"/>
                <w:szCs w:val="16"/>
              </w:rPr>
            </w:pPr>
            <w:r w:rsidRPr="0093130F">
              <w:rPr>
                <w:bCs w:val="0"/>
                <w:i/>
                <w:iCs/>
                <w:sz w:val="16"/>
                <w:szCs w:val="16"/>
              </w:rPr>
              <w:t>Selling expenses</w:t>
            </w:r>
          </w:p>
        </w:tc>
      </w:tr>
      <w:tr w:rsidR="0093130F" w:rsidRPr="0013526B" w14:paraId="5DA0F9AB" w14:textId="77777777" w:rsidTr="00D15EC3">
        <w:trPr>
          <w:trHeight w:val="117"/>
        </w:trPr>
        <w:tc>
          <w:tcPr>
            <w:tcW w:w="2064" w:type="dxa"/>
            <w:tcBorders>
              <w:left w:val="nil"/>
              <w:bottom w:val="nil"/>
              <w:right w:val="nil"/>
            </w:tcBorders>
            <w:shd w:val="clear" w:color="auto" w:fill="auto"/>
            <w:noWrap/>
            <w:vAlign w:val="bottom"/>
          </w:tcPr>
          <w:p w14:paraId="55818745" w14:textId="77777777" w:rsidR="0093130F" w:rsidRPr="000E27E3" w:rsidRDefault="0093130F" w:rsidP="001723A2">
            <w:pPr>
              <w:ind w:left="492" w:hanging="141"/>
              <w:rPr>
                <w:bCs w:val="0"/>
                <w:sz w:val="16"/>
                <w:szCs w:val="16"/>
              </w:rPr>
            </w:pPr>
            <w:r w:rsidRPr="000E27E3">
              <w:rPr>
                <w:bCs w:val="0"/>
                <w:sz w:val="16"/>
                <w:szCs w:val="16"/>
              </w:rPr>
              <w:t>Beban umum dan administrasi</w:t>
            </w:r>
          </w:p>
        </w:tc>
        <w:tc>
          <w:tcPr>
            <w:tcW w:w="46" w:type="dxa"/>
            <w:tcBorders>
              <w:left w:val="nil"/>
              <w:bottom w:val="nil"/>
              <w:right w:val="nil"/>
            </w:tcBorders>
          </w:tcPr>
          <w:p w14:paraId="652F52C2" w14:textId="77777777" w:rsidR="0093130F" w:rsidRPr="0013526B" w:rsidRDefault="0093130F" w:rsidP="003E17A9">
            <w:pPr>
              <w:ind w:right="57"/>
              <w:jc w:val="right"/>
              <w:rPr>
                <w:b/>
                <w:sz w:val="16"/>
                <w:szCs w:val="16"/>
              </w:rPr>
            </w:pPr>
          </w:p>
        </w:tc>
        <w:tc>
          <w:tcPr>
            <w:tcW w:w="1630" w:type="dxa"/>
            <w:tcBorders>
              <w:left w:val="nil"/>
              <w:bottom w:val="nil"/>
              <w:right w:val="nil"/>
            </w:tcBorders>
            <w:shd w:val="clear" w:color="auto" w:fill="auto"/>
            <w:vAlign w:val="bottom"/>
          </w:tcPr>
          <w:p w14:paraId="6386BD82" w14:textId="77777777" w:rsidR="0093130F" w:rsidRPr="008119FA" w:rsidRDefault="0093130F" w:rsidP="003E17A9">
            <w:pPr>
              <w:ind w:right="57"/>
              <w:jc w:val="right"/>
              <w:rPr>
                <w:b/>
                <w:sz w:val="16"/>
                <w:szCs w:val="16"/>
              </w:rPr>
            </w:pPr>
          </w:p>
        </w:tc>
        <w:tc>
          <w:tcPr>
            <w:tcW w:w="47" w:type="dxa"/>
            <w:tcBorders>
              <w:left w:val="nil"/>
              <w:bottom w:val="nil"/>
              <w:right w:val="nil"/>
            </w:tcBorders>
            <w:shd w:val="clear" w:color="auto" w:fill="auto"/>
            <w:vAlign w:val="bottom"/>
          </w:tcPr>
          <w:p w14:paraId="432106AF" w14:textId="77777777" w:rsidR="0093130F" w:rsidRPr="008119FA" w:rsidRDefault="0093130F" w:rsidP="003E17A9">
            <w:pPr>
              <w:jc w:val="right"/>
              <w:rPr>
                <w:b/>
                <w:sz w:val="16"/>
                <w:szCs w:val="16"/>
              </w:rPr>
            </w:pPr>
          </w:p>
        </w:tc>
        <w:tc>
          <w:tcPr>
            <w:tcW w:w="1630" w:type="dxa"/>
            <w:tcBorders>
              <w:left w:val="nil"/>
              <w:bottom w:val="nil"/>
              <w:right w:val="nil"/>
            </w:tcBorders>
            <w:shd w:val="clear" w:color="auto" w:fill="auto"/>
            <w:vAlign w:val="bottom"/>
          </w:tcPr>
          <w:p w14:paraId="650A34F9" w14:textId="77777777" w:rsidR="0093130F" w:rsidRPr="008119FA" w:rsidRDefault="0093130F" w:rsidP="003E17A9">
            <w:pPr>
              <w:ind w:right="57"/>
              <w:jc w:val="right"/>
              <w:rPr>
                <w:b/>
                <w:sz w:val="16"/>
                <w:szCs w:val="16"/>
              </w:rPr>
            </w:pPr>
          </w:p>
        </w:tc>
        <w:tc>
          <w:tcPr>
            <w:tcW w:w="47" w:type="dxa"/>
            <w:tcBorders>
              <w:left w:val="nil"/>
              <w:bottom w:val="nil"/>
              <w:right w:val="nil"/>
            </w:tcBorders>
            <w:shd w:val="clear" w:color="auto" w:fill="auto"/>
            <w:vAlign w:val="bottom"/>
          </w:tcPr>
          <w:p w14:paraId="539F26A6" w14:textId="77777777" w:rsidR="0093130F" w:rsidRPr="008119FA" w:rsidRDefault="0093130F" w:rsidP="003E17A9">
            <w:pPr>
              <w:jc w:val="right"/>
              <w:rPr>
                <w:b/>
                <w:sz w:val="16"/>
                <w:szCs w:val="16"/>
              </w:rPr>
            </w:pPr>
          </w:p>
        </w:tc>
        <w:tc>
          <w:tcPr>
            <w:tcW w:w="1630" w:type="dxa"/>
            <w:tcBorders>
              <w:left w:val="nil"/>
              <w:right w:val="nil"/>
            </w:tcBorders>
            <w:shd w:val="clear" w:color="auto" w:fill="auto"/>
            <w:noWrap/>
            <w:vAlign w:val="bottom"/>
          </w:tcPr>
          <w:p w14:paraId="1B9A8141" w14:textId="66F76938" w:rsidR="0093130F" w:rsidRPr="008119FA" w:rsidRDefault="00533566" w:rsidP="003E17A9">
            <w:pPr>
              <w:ind w:right="57"/>
              <w:jc w:val="right"/>
              <w:rPr>
                <w:bCs w:val="0"/>
                <w:sz w:val="16"/>
                <w:szCs w:val="16"/>
              </w:rPr>
            </w:pPr>
            <w:r w:rsidRPr="008119FA">
              <w:rPr>
                <w:bCs w:val="0"/>
                <w:sz w:val="16"/>
                <w:szCs w:val="16"/>
              </w:rPr>
              <w:t>(</w:t>
            </w:r>
            <w:r w:rsidR="00FC2851" w:rsidRPr="008119FA">
              <w:rPr>
                <w:bCs w:val="0"/>
                <w:sz w:val="16"/>
                <w:szCs w:val="16"/>
              </w:rPr>
              <w:t>69</w:t>
            </w:r>
            <w:r w:rsidR="008119FA">
              <w:rPr>
                <w:bCs w:val="0"/>
                <w:sz w:val="16"/>
                <w:szCs w:val="16"/>
              </w:rPr>
              <w:t>.</w:t>
            </w:r>
            <w:r w:rsidR="00FC2851" w:rsidRPr="008119FA">
              <w:rPr>
                <w:bCs w:val="0"/>
                <w:sz w:val="16"/>
                <w:szCs w:val="16"/>
              </w:rPr>
              <w:t>611</w:t>
            </w:r>
            <w:r w:rsidR="008119FA">
              <w:rPr>
                <w:bCs w:val="0"/>
                <w:sz w:val="16"/>
                <w:szCs w:val="16"/>
              </w:rPr>
              <w:t>.</w:t>
            </w:r>
            <w:r w:rsidR="00FC2851" w:rsidRPr="008119FA">
              <w:rPr>
                <w:bCs w:val="0"/>
                <w:sz w:val="16"/>
                <w:szCs w:val="16"/>
              </w:rPr>
              <w:t>654</w:t>
            </w:r>
            <w:r w:rsidR="008119FA">
              <w:rPr>
                <w:bCs w:val="0"/>
                <w:sz w:val="16"/>
                <w:szCs w:val="16"/>
              </w:rPr>
              <w:t>.</w:t>
            </w:r>
            <w:r w:rsidR="00FC2851" w:rsidRPr="008119FA">
              <w:rPr>
                <w:bCs w:val="0"/>
                <w:sz w:val="16"/>
                <w:szCs w:val="16"/>
              </w:rPr>
              <w:t>010</w:t>
            </w:r>
            <w:r w:rsidRPr="008119FA">
              <w:rPr>
                <w:bCs w:val="0"/>
                <w:sz w:val="16"/>
                <w:szCs w:val="16"/>
              </w:rPr>
              <w:t>)</w:t>
            </w:r>
          </w:p>
        </w:tc>
        <w:tc>
          <w:tcPr>
            <w:tcW w:w="47" w:type="dxa"/>
            <w:tcBorders>
              <w:left w:val="nil"/>
              <w:bottom w:val="nil"/>
              <w:right w:val="nil"/>
            </w:tcBorders>
            <w:shd w:val="clear" w:color="auto" w:fill="auto"/>
            <w:noWrap/>
            <w:vAlign w:val="bottom"/>
          </w:tcPr>
          <w:p w14:paraId="115D5104" w14:textId="77777777" w:rsidR="0093130F" w:rsidRPr="008119FA" w:rsidRDefault="0093130F" w:rsidP="003E17A9">
            <w:pPr>
              <w:jc w:val="right"/>
              <w:rPr>
                <w:b/>
                <w:sz w:val="16"/>
                <w:szCs w:val="16"/>
              </w:rPr>
            </w:pPr>
          </w:p>
        </w:tc>
        <w:tc>
          <w:tcPr>
            <w:tcW w:w="2037" w:type="dxa"/>
            <w:tcBorders>
              <w:left w:val="nil"/>
              <w:bottom w:val="nil"/>
              <w:right w:val="nil"/>
            </w:tcBorders>
            <w:shd w:val="clear" w:color="auto" w:fill="auto"/>
            <w:noWrap/>
            <w:vAlign w:val="bottom"/>
          </w:tcPr>
          <w:p w14:paraId="2FE7CFE1" w14:textId="77777777" w:rsidR="00EE5079" w:rsidRDefault="0093130F" w:rsidP="00EE5079">
            <w:pPr>
              <w:ind w:right="85"/>
              <w:jc w:val="right"/>
              <w:rPr>
                <w:bCs w:val="0"/>
                <w:i/>
                <w:iCs/>
                <w:sz w:val="16"/>
                <w:szCs w:val="16"/>
              </w:rPr>
            </w:pPr>
            <w:r w:rsidRPr="0093130F">
              <w:rPr>
                <w:bCs w:val="0"/>
                <w:i/>
                <w:iCs/>
                <w:sz w:val="16"/>
                <w:szCs w:val="16"/>
              </w:rPr>
              <w:t xml:space="preserve">General and </w:t>
            </w:r>
          </w:p>
          <w:p w14:paraId="43F9B4FC" w14:textId="4A8D75AA" w:rsidR="0093130F" w:rsidRPr="0093130F" w:rsidRDefault="0093130F" w:rsidP="00EE5079">
            <w:pPr>
              <w:ind w:right="249"/>
              <w:jc w:val="right"/>
              <w:rPr>
                <w:bCs w:val="0"/>
                <w:i/>
                <w:iCs/>
                <w:sz w:val="16"/>
                <w:szCs w:val="16"/>
              </w:rPr>
            </w:pPr>
            <w:r w:rsidRPr="0093130F">
              <w:rPr>
                <w:bCs w:val="0"/>
                <w:i/>
                <w:iCs/>
                <w:sz w:val="16"/>
                <w:szCs w:val="16"/>
              </w:rPr>
              <w:t>administrative expenses</w:t>
            </w:r>
          </w:p>
        </w:tc>
      </w:tr>
      <w:tr w:rsidR="0093130F" w:rsidRPr="0013526B" w14:paraId="6A1D05CF" w14:textId="77777777" w:rsidTr="00D15EC3">
        <w:trPr>
          <w:trHeight w:val="117"/>
        </w:trPr>
        <w:tc>
          <w:tcPr>
            <w:tcW w:w="2064" w:type="dxa"/>
            <w:tcBorders>
              <w:top w:val="nil"/>
              <w:left w:val="nil"/>
              <w:right w:val="nil"/>
            </w:tcBorders>
            <w:shd w:val="clear" w:color="auto" w:fill="auto"/>
            <w:noWrap/>
            <w:vAlign w:val="bottom"/>
          </w:tcPr>
          <w:p w14:paraId="0396F1F6" w14:textId="77777777" w:rsidR="0093130F" w:rsidRPr="000E27E3" w:rsidRDefault="0093130F" w:rsidP="001723A2">
            <w:pPr>
              <w:ind w:left="478" w:hanging="141"/>
              <w:rPr>
                <w:bCs w:val="0"/>
                <w:sz w:val="16"/>
                <w:szCs w:val="16"/>
              </w:rPr>
            </w:pPr>
            <w:r w:rsidRPr="000E27E3">
              <w:rPr>
                <w:bCs w:val="0"/>
                <w:sz w:val="16"/>
                <w:szCs w:val="16"/>
              </w:rPr>
              <w:t>Lain-lain - bersih</w:t>
            </w:r>
          </w:p>
        </w:tc>
        <w:tc>
          <w:tcPr>
            <w:tcW w:w="46" w:type="dxa"/>
            <w:tcBorders>
              <w:left w:val="nil"/>
              <w:right w:val="nil"/>
            </w:tcBorders>
          </w:tcPr>
          <w:p w14:paraId="50CD1FDE" w14:textId="77777777" w:rsidR="0093130F" w:rsidRPr="0013526B" w:rsidRDefault="0093130F" w:rsidP="003E17A9">
            <w:pPr>
              <w:ind w:right="57"/>
              <w:jc w:val="right"/>
              <w:rPr>
                <w:b/>
                <w:sz w:val="16"/>
                <w:szCs w:val="16"/>
              </w:rPr>
            </w:pPr>
          </w:p>
        </w:tc>
        <w:tc>
          <w:tcPr>
            <w:tcW w:w="1630" w:type="dxa"/>
            <w:tcBorders>
              <w:left w:val="nil"/>
              <w:right w:val="nil"/>
            </w:tcBorders>
            <w:shd w:val="clear" w:color="auto" w:fill="auto"/>
            <w:vAlign w:val="bottom"/>
          </w:tcPr>
          <w:p w14:paraId="684C55A6" w14:textId="77777777" w:rsidR="0093130F" w:rsidRPr="008119FA" w:rsidRDefault="0093130F" w:rsidP="003E17A9">
            <w:pPr>
              <w:ind w:right="57"/>
              <w:jc w:val="right"/>
              <w:rPr>
                <w:b/>
                <w:sz w:val="16"/>
                <w:szCs w:val="16"/>
              </w:rPr>
            </w:pPr>
          </w:p>
        </w:tc>
        <w:tc>
          <w:tcPr>
            <w:tcW w:w="47" w:type="dxa"/>
            <w:tcBorders>
              <w:left w:val="nil"/>
              <w:right w:val="nil"/>
            </w:tcBorders>
            <w:shd w:val="clear" w:color="auto" w:fill="auto"/>
            <w:vAlign w:val="bottom"/>
          </w:tcPr>
          <w:p w14:paraId="537E9E84" w14:textId="77777777" w:rsidR="0093130F" w:rsidRPr="008119FA" w:rsidRDefault="0093130F" w:rsidP="003E17A9">
            <w:pPr>
              <w:jc w:val="right"/>
              <w:rPr>
                <w:b/>
                <w:sz w:val="16"/>
                <w:szCs w:val="16"/>
              </w:rPr>
            </w:pPr>
          </w:p>
        </w:tc>
        <w:tc>
          <w:tcPr>
            <w:tcW w:w="1630" w:type="dxa"/>
            <w:tcBorders>
              <w:left w:val="nil"/>
              <w:right w:val="nil"/>
            </w:tcBorders>
            <w:shd w:val="clear" w:color="auto" w:fill="auto"/>
            <w:vAlign w:val="bottom"/>
          </w:tcPr>
          <w:p w14:paraId="3B94064B" w14:textId="77777777" w:rsidR="0093130F" w:rsidRPr="008119FA" w:rsidRDefault="0093130F" w:rsidP="003E17A9">
            <w:pPr>
              <w:ind w:right="57"/>
              <w:jc w:val="right"/>
              <w:rPr>
                <w:b/>
                <w:sz w:val="16"/>
                <w:szCs w:val="16"/>
              </w:rPr>
            </w:pPr>
          </w:p>
        </w:tc>
        <w:tc>
          <w:tcPr>
            <w:tcW w:w="47" w:type="dxa"/>
            <w:tcBorders>
              <w:left w:val="nil"/>
              <w:right w:val="nil"/>
            </w:tcBorders>
            <w:shd w:val="clear" w:color="auto" w:fill="auto"/>
            <w:vAlign w:val="bottom"/>
          </w:tcPr>
          <w:p w14:paraId="38C24B01" w14:textId="77777777" w:rsidR="0093130F" w:rsidRPr="008119FA" w:rsidRDefault="0093130F" w:rsidP="003E17A9">
            <w:pPr>
              <w:jc w:val="right"/>
              <w:rPr>
                <w:b/>
                <w:sz w:val="16"/>
                <w:szCs w:val="16"/>
              </w:rPr>
            </w:pPr>
          </w:p>
        </w:tc>
        <w:tc>
          <w:tcPr>
            <w:tcW w:w="1630" w:type="dxa"/>
            <w:tcBorders>
              <w:left w:val="nil"/>
              <w:bottom w:val="single" w:sz="4" w:space="0" w:color="auto"/>
              <w:right w:val="nil"/>
            </w:tcBorders>
            <w:shd w:val="clear" w:color="auto" w:fill="auto"/>
            <w:noWrap/>
            <w:vAlign w:val="bottom"/>
          </w:tcPr>
          <w:p w14:paraId="10C44473" w14:textId="0BD5B366" w:rsidR="0093130F" w:rsidRPr="008119FA" w:rsidRDefault="008119FA" w:rsidP="003E17A9">
            <w:pPr>
              <w:ind w:right="57"/>
              <w:jc w:val="right"/>
              <w:rPr>
                <w:bCs w:val="0"/>
                <w:sz w:val="16"/>
                <w:szCs w:val="16"/>
              </w:rPr>
            </w:pPr>
            <w:r w:rsidRPr="008119FA">
              <w:rPr>
                <w:bCs w:val="0"/>
                <w:sz w:val="16"/>
                <w:szCs w:val="16"/>
              </w:rPr>
              <w:t>56</w:t>
            </w:r>
            <w:r>
              <w:rPr>
                <w:bCs w:val="0"/>
                <w:sz w:val="16"/>
                <w:szCs w:val="16"/>
              </w:rPr>
              <w:t>.</w:t>
            </w:r>
            <w:r w:rsidRPr="008119FA">
              <w:rPr>
                <w:bCs w:val="0"/>
                <w:sz w:val="16"/>
                <w:szCs w:val="16"/>
              </w:rPr>
              <w:t>076</w:t>
            </w:r>
            <w:r>
              <w:rPr>
                <w:bCs w:val="0"/>
                <w:sz w:val="16"/>
                <w:szCs w:val="16"/>
              </w:rPr>
              <w:t>.</w:t>
            </w:r>
            <w:r w:rsidRPr="008119FA">
              <w:rPr>
                <w:bCs w:val="0"/>
                <w:sz w:val="16"/>
                <w:szCs w:val="16"/>
              </w:rPr>
              <w:t>877</w:t>
            </w:r>
          </w:p>
        </w:tc>
        <w:tc>
          <w:tcPr>
            <w:tcW w:w="47" w:type="dxa"/>
            <w:tcBorders>
              <w:left w:val="nil"/>
              <w:right w:val="nil"/>
            </w:tcBorders>
            <w:shd w:val="clear" w:color="auto" w:fill="auto"/>
            <w:noWrap/>
            <w:vAlign w:val="bottom"/>
          </w:tcPr>
          <w:p w14:paraId="5482B682" w14:textId="77777777" w:rsidR="0093130F" w:rsidRPr="008119FA" w:rsidRDefault="0093130F" w:rsidP="003E17A9">
            <w:pPr>
              <w:jc w:val="right"/>
              <w:rPr>
                <w:b/>
                <w:sz w:val="16"/>
                <w:szCs w:val="16"/>
              </w:rPr>
            </w:pPr>
          </w:p>
        </w:tc>
        <w:tc>
          <w:tcPr>
            <w:tcW w:w="2037" w:type="dxa"/>
            <w:tcBorders>
              <w:left w:val="nil"/>
              <w:right w:val="nil"/>
            </w:tcBorders>
            <w:shd w:val="clear" w:color="auto" w:fill="auto"/>
            <w:noWrap/>
            <w:vAlign w:val="bottom"/>
          </w:tcPr>
          <w:p w14:paraId="35A0850D" w14:textId="7B75FBE4" w:rsidR="0093130F" w:rsidRPr="0093130F" w:rsidRDefault="0093130F" w:rsidP="0093130F">
            <w:pPr>
              <w:ind w:left="-284" w:right="85"/>
              <w:jc w:val="right"/>
              <w:rPr>
                <w:bCs w:val="0"/>
                <w:i/>
                <w:iCs/>
                <w:sz w:val="16"/>
                <w:szCs w:val="16"/>
              </w:rPr>
            </w:pPr>
            <w:r w:rsidRPr="0093130F">
              <w:rPr>
                <w:bCs w:val="0"/>
                <w:i/>
                <w:iCs/>
                <w:sz w:val="16"/>
                <w:szCs w:val="16"/>
              </w:rPr>
              <w:t xml:space="preserve">Others </w:t>
            </w:r>
            <w:r w:rsidR="00007C5F">
              <w:rPr>
                <w:bCs w:val="0"/>
                <w:i/>
                <w:iCs/>
                <w:sz w:val="16"/>
                <w:szCs w:val="16"/>
              </w:rPr>
              <w:t>-</w:t>
            </w:r>
            <w:r w:rsidRPr="0093130F">
              <w:rPr>
                <w:bCs w:val="0"/>
                <w:i/>
                <w:iCs/>
                <w:sz w:val="16"/>
                <w:szCs w:val="16"/>
              </w:rPr>
              <w:t xml:space="preserve"> net</w:t>
            </w:r>
          </w:p>
        </w:tc>
      </w:tr>
      <w:tr w:rsidR="0093130F" w:rsidRPr="0013526B" w14:paraId="76EFF44E" w14:textId="77777777" w:rsidTr="00D15EC3">
        <w:trPr>
          <w:trHeight w:val="117"/>
        </w:trPr>
        <w:tc>
          <w:tcPr>
            <w:tcW w:w="2064" w:type="dxa"/>
            <w:tcBorders>
              <w:top w:val="nil"/>
              <w:left w:val="nil"/>
              <w:right w:val="nil"/>
            </w:tcBorders>
            <w:shd w:val="clear" w:color="auto" w:fill="auto"/>
            <w:noWrap/>
            <w:vAlign w:val="bottom"/>
          </w:tcPr>
          <w:p w14:paraId="7674B7FA" w14:textId="77777777" w:rsidR="0093130F" w:rsidRPr="0013526B" w:rsidRDefault="0093130F" w:rsidP="003E17A9">
            <w:pPr>
              <w:ind w:left="141" w:hanging="141"/>
              <w:rPr>
                <w:b/>
                <w:sz w:val="16"/>
                <w:szCs w:val="16"/>
              </w:rPr>
            </w:pPr>
          </w:p>
        </w:tc>
        <w:tc>
          <w:tcPr>
            <w:tcW w:w="46" w:type="dxa"/>
            <w:tcBorders>
              <w:left w:val="nil"/>
              <w:right w:val="nil"/>
            </w:tcBorders>
          </w:tcPr>
          <w:p w14:paraId="76C2F398" w14:textId="77777777" w:rsidR="0093130F" w:rsidRPr="0013526B" w:rsidRDefault="0093130F" w:rsidP="003E17A9">
            <w:pPr>
              <w:ind w:right="57"/>
              <w:jc w:val="right"/>
              <w:rPr>
                <w:b/>
                <w:sz w:val="16"/>
                <w:szCs w:val="16"/>
              </w:rPr>
            </w:pPr>
          </w:p>
        </w:tc>
        <w:tc>
          <w:tcPr>
            <w:tcW w:w="1630" w:type="dxa"/>
            <w:tcBorders>
              <w:left w:val="nil"/>
              <w:right w:val="nil"/>
            </w:tcBorders>
            <w:vAlign w:val="bottom"/>
          </w:tcPr>
          <w:p w14:paraId="3007FF23" w14:textId="77777777" w:rsidR="0093130F" w:rsidRPr="008119FA" w:rsidRDefault="0093130F" w:rsidP="003E17A9">
            <w:pPr>
              <w:ind w:right="57"/>
              <w:jc w:val="right"/>
              <w:rPr>
                <w:b/>
                <w:sz w:val="16"/>
                <w:szCs w:val="16"/>
              </w:rPr>
            </w:pPr>
          </w:p>
        </w:tc>
        <w:tc>
          <w:tcPr>
            <w:tcW w:w="47" w:type="dxa"/>
            <w:tcBorders>
              <w:left w:val="nil"/>
              <w:right w:val="nil"/>
            </w:tcBorders>
            <w:vAlign w:val="bottom"/>
          </w:tcPr>
          <w:p w14:paraId="3DD3B15D" w14:textId="77777777" w:rsidR="0093130F" w:rsidRPr="008119FA" w:rsidRDefault="0093130F" w:rsidP="003E17A9">
            <w:pPr>
              <w:jc w:val="right"/>
              <w:rPr>
                <w:b/>
                <w:sz w:val="16"/>
                <w:szCs w:val="16"/>
              </w:rPr>
            </w:pPr>
          </w:p>
        </w:tc>
        <w:tc>
          <w:tcPr>
            <w:tcW w:w="1630" w:type="dxa"/>
            <w:tcBorders>
              <w:left w:val="nil"/>
              <w:right w:val="nil"/>
            </w:tcBorders>
            <w:vAlign w:val="bottom"/>
          </w:tcPr>
          <w:p w14:paraId="7D4819D8" w14:textId="77777777" w:rsidR="0093130F" w:rsidRPr="008119FA" w:rsidRDefault="0093130F" w:rsidP="003E17A9">
            <w:pPr>
              <w:ind w:right="57"/>
              <w:jc w:val="right"/>
              <w:rPr>
                <w:b/>
                <w:sz w:val="16"/>
                <w:szCs w:val="16"/>
              </w:rPr>
            </w:pPr>
          </w:p>
        </w:tc>
        <w:tc>
          <w:tcPr>
            <w:tcW w:w="47" w:type="dxa"/>
            <w:tcBorders>
              <w:left w:val="nil"/>
              <w:right w:val="nil"/>
            </w:tcBorders>
            <w:vAlign w:val="bottom"/>
          </w:tcPr>
          <w:p w14:paraId="5214643C" w14:textId="77777777" w:rsidR="0093130F" w:rsidRPr="008119FA" w:rsidRDefault="0093130F" w:rsidP="003E17A9">
            <w:pPr>
              <w:jc w:val="right"/>
              <w:rPr>
                <w:b/>
                <w:sz w:val="16"/>
                <w:szCs w:val="16"/>
              </w:rPr>
            </w:pPr>
          </w:p>
        </w:tc>
        <w:tc>
          <w:tcPr>
            <w:tcW w:w="1630" w:type="dxa"/>
            <w:tcBorders>
              <w:top w:val="single" w:sz="4" w:space="0" w:color="auto"/>
              <w:left w:val="nil"/>
              <w:right w:val="nil"/>
            </w:tcBorders>
            <w:shd w:val="clear" w:color="auto" w:fill="auto"/>
            <w:noWrap/>
            <w:vAlign w:val="bottom"/>
          </w:tcPr>
          <w:p w14:paraId="735639DF" w14:textId="77777777" w:rsidR="0093130F" w:rsidRPr="008119FA" w:rsidRDefault="0093130F" w:rsidP="003E17A9">
            <w:pPr>
              <w:ind w:right="57"/>
              <w:jc w:val="right"/>
              <w:rPr>
                <w:b/>
                <w:sz w:val="16"/>
                <w:szCs w:val="16"/>
              </w:rPr>
            </w:pPr>
          </w:p>
        </w:tc>
        <w:tc>
          <w:tcPr>
            <w:tcW w:w="47" w:type="dxa"/>
            <w:tcBorders>
              <w:left w:val="nil"/>
              <w:right w:val="nil"/>
            </w:tcBorders>
            <w:shd w:val="clear" w:color="auto" w:fill="auto"/>
            <w:noWrap/>
            <w:vAlign w:val="bottom"/>
          </w:tcPr>
          <w:p w14:paraId="4DF70550" w14:textId="77777777" w:rsidR="0093130F" w:rsidRPr="008119FA" w:rsidRDefault="0093130F" w:rsidP="003E17A9">
            <w:pPr>
              <w:jc w:val="right"/>
              <w:rPr>
                <w:b/>
                <w:sz w:val="16"/>
                <w:szCs w:val="16"/>
              </w:rPr>
            </w:pPr>
          </w:p>
        </w:tc>
        <w:tc>
          <w:tcPr>
            <w:tcW w:w="2037" w:type="dxa"/>
            <w:tcBorders>
              <w:left w:val="nil"/>
              <w:right w:val="nil"/>
            </w:tcBorders>
            <w:shd w:val="clear" w:color="auto" w:fill="auto"/>
            <w:noWrap/>
            <w:vAlign w:val="bottom"/>
          </w:tcPr>
          <w:p w14:paraId="1893BE15" w14:textId="77777777" w:rsidR="0093130F" w:rsidRPr="0013526B" w:rsidRDefault="0093130F" w:rsidP="003E17A9">
            <w:pPr>
              <w:ind w:right="85"/>
              <w:jc w:val="right"/>
              <w:rPr>
                <w:b/>
                <w:i/>
                <w:iCs/>
                <w:sz w:val="16"/>
                <w:szCs w:val="16"/>
              </w:rPr>
            </w:pPr>
          </w:p>
        </w:tc>
      </w:tr>
      <w:tr w:rsidR="0093130F" w:rsidRPr="0013526B" w14:paraId="5AA53CBD" w14:textId="77777777" w:rsidTr="00D15EC3">
        <w:trPr>
          <w:trHeight w:val="117"/>
        </w:trPr>
        <w:tc>
          <w:tcPr>
            <w:tcW w:w="2064" w:type="dxa"/>
            <w:tcBorders>
              <w:top w:val="nil"/>
              <w:left w:val="nil"/>
              <w:bottom w:val="nil"/>
              <w:right w:val="nil"/>
            </w:tcBorders>
            <w:shd w:val="clear" w:color="auto" w:fill="auto"/>
            <w:noWrap/>
            <w:vAlign w:val="bottom"/>
          </w:tcPr>
          <w:p w14:paraId="6E7C5BE1" w14:textId="77777777" w:rsidR="0093130F" w:rsidRPr="0013526B" w:rsidRDefault="0093130F" w:rsidP="001723A2">
            <w:pPr>
              <w:ind w:left="464" w:hanging="141"/>
              <w:rPr>
                <w:sz w:val="16"/>
                <w:szCs w:val="16"/>
              </w:rPr>
            </w:pPr>
            <w:r>
              <w:rPr>
                <w:sz w:val="16"/>
                <w:szCs w:val="16"/>
              </w:rPr>
              <w:t>Rugi sebelum pajak penghasilan</w:t>
            </w:r>
          </w:p>
        </w:tc>
        <w:tc>
          <w:tcPr>
            <w:tcW w:w="46" w:type="dxa"/>
            <w:tcBorders>
              <w:left w:val="nil"/>
              <w:right w:val="nil"/>
            </w:tcBorders>
          </w:tcPr>
          <w:p w14:paraId="33DDB735"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5BCA3874"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77E4AFED" w14:textId="77777777" w:rsidR="0093130F" w:rsidRPr="008119FA" w:rsidRDefault="0093130F" w:rsidP="003E17A9">
            <w:pPr>
              <w:jc w:val="right"/>
              <w:rPr>
                <w:sz w:val="16"/>
                <w:szCs w:val="16"/>
              </w:rPr>
            </w:pPr>
          </w:p>
        </w:tc>
        <w:tc>
          <w:tcPr>
            <w:tcW w:w="1630" w:type="dxa"/>
            <w:tcBorders>
              <w:left w:val="nil"/>
              <w:right w:val="nil"/>
            </w:tcBorders>
            <w:vAlign w:val="bottom"/>
          </w:tcPr>
          <w:p w14:paraId="1B3E059F"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356A553E"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4B54F301" w14:textId="3F55FBF8" w:rsidR="0093130F" w:rsidRPr="008119FA" w:rsidRDefault="008119FA" w:rsidP="003E17A9">
            <w:pPr>
              <w:ind w:right="57"/>
              <w:jc w:val="right"/>
              <w:rPr>
                <w:sz w:val="16"/>
                <w:szCs w:val="16"/>
              </w:rPr>
            </w:pPr>
            <w:r w:rsidRPr="008119FA">
              <w:rPr>
                <w:bCs w:val="0"/>
                <w:sz w:val="16"/>
                <w:szCs w:val="16"/>
              </w:rPr>
              <w:t>6</w:t>
            </w:r>
            <w:r>
              <w:rPr>
                <w:bCs w:val="0"/>
                <w:sz w:val="16"/>
                <w:szCs w:val="16"/>
              </w:rPr>
              <w:t>.</w:t>
            </w:r>
            <w:r w:rsidRPr="008119FA">
              <w:rPr>
                <w:bCs w:val="0"/>
                <w:sz w:val="16"/>
                <w:szCs w:val="16"/>
              </w:rPr>
              <w:t>604</w:t>
            </w:r>
            <w:r>
              <w:rPr>
                <w:bCs w:val="0"/>
                <w:sz w:val="16"/>
                <w:szCs w:val="16"/>
              </w:rPr>
              <w:t>.</w:t>
            </w:r>
            <w:r w:rsidRPr="008119FA">
              <w:rPr>
                <w:bCs w:val="0"/>
                <w:sz w:val="16"/>
                <w:szCs w:val="16"/>
              </w:rPr>
              <w:t>895</w:t>
            </w:r>
            <w:r>
              <w:rPr>
                <w:bCs w:val="0"/>
                <w:sz w:val="16"/>
                <w:szCs w:val="16"/>
              </w:rPr>
              <w:t>.</w:t>
            </w:r>
            <w:r w:rsidRPr="008119FA">
              <w:rPr>
                <w:bCs w:val="0"/>
                <w:sz w:val="16"/>
                <w:szCs w:val="16"/>
              </w:rPr>
              <w:t>279</w:t>
            </w:r>
          </w:p>
        </w:tc>
        <w:tc>
          <w:tcPr>
            <w:tcW w:w="47" w:type="dxa"/>
            <w:tcBorders>
              <w:left w:val="nil"/>
              <w:bottom w:val="nil"/>
              <w:right w:val="nil"/>
            </w:tcBorders>
            <w:shd w:val="clear" w:color="auto" w:fill="auto"/>
            <w:noWrap/>
            <w:vAlign w:val="bottom"/>
          </w:tcPr>
          <w:p w14:paraId="14FB5225"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088B14AF" w14:textId="77777777" w:rsidR="0093130F" w:rsidRPr="0013526B" w:rsidRDefault="0093130F" w:rsidP="00EE5079">
            <w:pPr>
              <w:ind w:right="95"/>
              <w:jc w:val="right"/>
              <w:rPr>
                <w:i/>
                <w:iCs/>
                <w:sz w:val="16"/>
                <w:szCs w:val="16"/>
              </w:rPr>
            </w:pPr>
            <w:r>
              <w:rPr>
                <w:i/>
                <w:iCs/>
                <w:sz w:val="16"/>
                <w:szCs w:val="16"/>
              </w:rPr>
              <w:t>Loss before income tax</w:t>
            </w:r>
          </w:p>
        </w:tc>
      </w:tr>
      <w:tr w:rsidR="0093130F" w:rsidRPr="0013526B" w14:paraId="1A7A2B61" w14:textId="77777777" w:rsidTr="00D15EC3">
        <w:trPr>
          <w:trHeight w:val="117"/>
        </w:trPr>
        <w:tc>
          <w:tcPr>
            <w:tcW w:w="2064" w:type="dxa"/>
            <w:tcBorders>
              <w:top w:val="nil"/>
              <w:left w:val="nil"/>
              <w:bottom w:val="nil"/>
              <w:right w:val="nil"/>
            </w:tcBorders>
            <w:shd w:val="clear" w:color="auto" w:fill="auto"/>
            <w:noWrap/>
            <w:vAlign w:val="bottom"/>
          </w:tcPr>
          <w:p w14:paraId="1017FD39" w14:textId="77777777" w:rsidR="0093130F" w:rsidRPr="0013526B" w:rsidRDefault="0093130F" w:rsidP="001723A2">
            <w:pPr>
              <w:ind w:left="464" w:hanging="141"/>
              <w:rPr>
                <w:sz w:val="16"/>
                <w:szCs w:val="16"/>
              </w:rPr>
            </w:pPr>
            <w:r>
              <w:rPr>
                <w:sz w:val="16"/>
                <w:szCs w:val="16"/>
              </w:rPr>
              <w:t>Manfaat pajak penghasilan</w:t>
            </w:r>
          </w:p>
        </w:tc>
        <w:tc>
          <w:tcPr>
            <w:tcW w:w="46" w:type="dxa"/>
            <w:tcBorders>
              <w:left w:val="nil"/>
              <w:right w:val="nil"/>
            </w:tcBorders>
          </w:tcPr>
          <w:p w14:paraId="035A3007"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35F1387D"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0210D2E1" w14:textId="77777777" w:rsidR="0093130F" w:rsidRPr="008119FA" w:rsidRDefault="0093130F" w:rsidP="003E17A9">
            <w:pPr>
              <w:jc w:val="right"/>
              <w:rPr>
                <w:sz w:val="16"/>
                <w:szCs w:val="16"/>
              </w:rPr>
            </w:pPr>
          </w:p>
        </w:tc>
        <w:tc>
          <w:tcPr>
            <w:tcW w:w="1630" w:type="dxa"/>
            <w:tcBorders>
              <w:left w:val="nil"/>
              <w:right w:val="nil"/>
            </w:tcBorders>
            <w:vAlign w:val="bottom"/>
          </w:tcPr>
          <w:p w14:paraId="5A76AF71"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16357A9E" w14:textId="77777777" w:rsidR="0093130F" w:rsidRPr="008119FA" w:rsidRDefault="0093130F" w:rsidP="003E17A9">
            <w:pPr>
              <w:jc w:val="right"/>
              <w:rPr>
                <w:sz w:val="16"/>
                <w:szCs w:val="16"/>
              </w:rPr>
            </w:pPr>
          </w:p>
        </w:tc>
        <w:tc>
          <w:tcPr>
            <w:tcW w:w="1630" w:type="dxa"/>
            <w:tcBorders>
              <w:left w:val="nil"/>
              <w:bottom w:val="single" w:sz="4" w:space="0" w:color="auto"/>
              <w:right w:val="nil"/>
            </w:tcBorders>
            <w:shd w:val="clear" w:color="auto" w:fill="auto"/>
            <w:noWrap/>
            <w:vAlign w:val="bottom"/>
          </w:tcPr>
          <w:p w14:paraId="1CADAD7B" w14:textId="5B19FD6B" w:rsidR="0093130F" w:rsidRPr="008119FA" w:rsidRDefault="008119FA" w:rsidP="003E17A9">
            <w:pPr>
              <w:ind w:right="57"/>
              <w:jc w:val="right"/>
              <w:rPr>
                <w:sz w:val="16"/>
                <w:szCs w:val="16"/>
              </w:rPr>
            </w:pPr>
            <w:r w:rsidRPr="008119FA">
              <w:rPr>
                <w:bCs w:val="0"/>
                <w:sz w:val="16"/>
                <w:szCs w:val="16"/>
              </w:rPr>
              <w:t>(2</w:t>
            </w:r>
            <w:r>
              <w:rPr>
                <w:bCs w:val="0"/>
                <w:sz w:val="16"/>
                <w:szCs w:val="16"/>
              </w:rPr>
              <w:t>.</w:t>
            </w:r>
            <w:r w:rsidRPr="008119FA">
              <w:rPr>
                <w:bCs w:val="0"/>
                <w:sz w:val="16"/>
                <w:szCs w:val="16"/>
              </w:rPr>
              <w:t>615</w:t>
            </w:r>
            <w:r>
              <w:rPr>
                <w:bCs w:val="0"/>
                <w:sz w:val="16"/>
                <w:szCs w:val="16"/>
              </w:rPr>
              <w:t>.</w:t>
            </w:r>
            <w:r w:rsidRPr="008119FA">
              <w:rPr>
                <w:bCs w:val="0"/>
                <w:sz w:val="16"/>
                <w:szCs w:val="16"/>
              </w:rPr>
              <w:t>815</w:t>
            </w:r>
            <w:r>
              <w:rPr>
                <w:bCs w:val="0"/>
                <w:sz w:val="16"/>
                <w:szCs w:val="16"/>
              </w:rPr>
              <w:t>.</w:t>
            </w:r>
            <w:r w:rsidRPr="008119FA">
              <w:rPr>
                <w:bCs w:val="0"/>
                <w:sz w:val="16"/>
                <w:szCs w:val="16"/>
              </w:rPr>
              <w:t>896)</w:t>
            </w:r>
          </w:p>
        </w:tc>
        <w:tc>
          <w:tcPr>
            <w:tcW w:w="47" w:type="dxa"/>
            <w:tcBorders>
              <w:left w:val="nil"/>
              <w:bottom w:val="nil"/>
              <w:right w:val="nil"/>
            </w:tcBorders>
            <w:shd w:val="clear" w:color="auto" w:fill="auto"/>
            <w:noWrap/>
            <w:vAlign w:val="bottom"/>
          </w:tcPr>
          <w:p w14:paraId="4DE5165C"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6897969E" w14:textId="77777777" w:rsidR="0093130F" w:rsidRPr="0013526B" w:rsidRDefault="0093130F" w:rsidP="003E17A9">
            <w:pPr>
              <w:ind w:right="85"/>
              <w:jc w:val="right"/>
              <w:rPr>
                <w:i/>
                <w:iCs/>
                <w:sz w:val="16"/>
                <w:szCs w:val="16"/>
              </w:rPr>
            </w:pPr>
            <w:r>
              <w:rPr>
                <w:i/>
                <w:iCs/>
                <w:sz w:val="16"/>
                <w:szCs w:val="16"/>
              </w:rPr>
              <w:t>Income tax benefits</w:t>
            </w:r>
          </w:p>
        </w:tc>
      </w:tr>
      <w:tr w:rsidR="0093130F" w:rsidRPr="0013526B" w14:paraId="1A0F3854" w14:textId="77777777" w:rsidTr="00D15EC3">
        <w:trPr>
          <w:trHeight w:val="117"/>
        </w:trPr>
        <w:tc>
          <w:tcPr>
            <w:tcW w:w="2064" w:type="dxa"/>
            <w:tcBorders>
              <w:top w:val="nil"/>
              <w:left w:val="nil"/>
              <w:bottom w:val="nil"/>
              <w:right w:val="nil"/>
            </w:tcBorders>
            <w:shd w:val="clear" w:color="auto" w:fill="auto"/>
            <w:noWrap/>
            <w:vAlign w:val="bottom"/>
          </w:tcPr>
          <w:p w14:paraId="5BDEE501" w14:textId="77777777" w:rsidR="0093130F" w:rsidRPr="0013526B" w:rsidRDefault="0093130F" w:rsidP="003E17A9">
            <w:pPr>
              <w:ind w:left="141" w:hanging="141"/>
              <w:rPr>
                <w:sz w:val="16"/>
                <w:szCs w:val="16"/>
              </w:rPr>
            </w:pPr>
          </w:p>
        </w:tc>
        <w:tc>
          <w:tcPr>
            <w:tcW w:w="46" w:type="dxa"/>
            <w:tcBorders>
              <w:left w:val="nil"/>
              <w:right w:val="nil"/>
            </w:tcBorders>
          </w:tcPr>
          <w:p w14:paraId="11043D1E"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6AA974FF"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01FA5752" w14:textId="77777777" w:rsidR="0093130F" w:rsidRPr="008119FA" w:rsidRDefault="0093130F" w:rsidP="003E17A9">
            <w:pPr>
              <w:jc w:val="right"/>
              <w:rPr>
                <w:sz w:val="16"/>
                <w:szCs w:val="16"/>
              </w:rPr>
            </w:pPr>
          </w:p>
        </w:tc>
        <w:tc>
          <w:tcPr>
            <w:tcW w:w="1630" w:type="dxa"/>
            <w:tcBorders>
              <w:left w:val="nil"/>
              <w:right w:val="nil"/>
            </w:tcBorders>
            <w:vAlign w:val="bottom"/>
          </w:tcPr>
          <w:p w14:paraId="7BF4A1DA"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72F229D2" w14:textId="77777777" w:rsidR="0093130F" w:rsidRPr="008119FA" w:rsidRDefault="0093130F" w:rsidP="003E17A9">
            <w:pPr>
              <w:jc w:val="right"/>
              <w:rPr>
                <w:sz w:val="16"/>
                <w:szCs w:val="16"/>
              </w:rPr>
            </w:pPr>
          </w:p>
        </w:tc>
        <w:tc>
          <w:tcPr>
            <w:tcW w:w="1630" w:type="dxa"/>
            <w:tcBorders>
              <w:top w:val="single" w:sz="4" w:space="0" w:color="auto"/>
              <w:left w:val="nil"/>
              <w:right w:val="nil"/>
            </w:tcBorders>
            <w:shd w:val="clear" w:color="auto" w:fill="auto"/>
            <w:noWrap/>
            <w:vAlign w:val="bottom"/>
          </w:tcPr>
          <w:p w14:paraId="4F3B5759" w14:textId="77777777" w:rsidR="0093130F" w:rsidRPr="008119FA" w:rsidRDefault="0093130F" w:rsidP="003E17A9">
            <w:pPr>
              <w:ind w:right="57"/>
              <w:jc w:val="right"/>
              <w:rPr>
                <w:sz w:val="16"/>
                <w:szCs w:val="16"/>
              </w:rPr>
            </w:pPr>
          </w:p>
        </w:tc>
        <w:tc>
          <w:tcPr>
            <w:tcW w:w="47" w:type="dxa"/>
            <w:tcBorders>
              <w:left w:val="nil"/>
              <w:bottom w:val="nil"/>
              <w:right w:val="nil"/>
            </w:tcBorders>
            <w:shd w:val="clear" w:color="auto" w:fill="auto"/>
            <w:noWrap/>
            <w:vAlign w:val="bottom"/>
          </w:tcPr>
          <w:p w14:paraId="3292C720"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43EDEFA4" w14:textId="77777777" w:rsidR="0093130F" w:rsidRPr="0013526B" w:rsidRDefault="0093130F" w:rsidP="003E17A9">
            <w:pPr>
              <w:ind w:right="85"/>
              <w:jc w:val="right"/>
              <w:rPr>
                <w:i/>
                <w:iCs/>
                <w:sz w:val="16"/>
                <w:szCs w:val="16"/>
              </w:rPr>
            </w:pPr>
          </w:p>
        </w:tc>
      </w:tr>
      <w:tr w:rsidR="0093130F" w:rsidRPr="00EE5079" w14:paraId="024EFDF8" w14:textId="77777777" w:rsidTr="00D15EC3">
        <w:trPr>
          <w:trHeight w:val="117"/>
        </w:trPr>
        <w:tc>
          <w:tcPr>
            <w:tcW w:w="2064" w:type="dxa"/>
            <w:tcBorders>
              <w:left w:val="nil"/>
              <w:bottom w:val="nil"/>
              <w:right w:val="nil"/>
            </w:tcBorders>
            <w:shd w:val="clear" w:color="auto" w:fill="auto"/>
            <w:noWrap/>
            <w:vAlign w:val="bottom"/>
          </w:tcPr>
          <w:p w14:paraId="54F0A882" w14:textId="77777777" w:rsidR="0093130F" w:rsidRPr="00EE5079" w:rsidRDefault="0093130F" w:rsidP="001723A2">
            <w:pPr>
              <w:ind w:left="450" w:hanging="141"/>
              <w:rPr>
                <w:b/>
                <w:bCs w:val="0"/>
                <w:sz w:val="16"/>
                <w:szCs w:val="16"/>
              </w:rPr>
            </w:pPr>
            <w:r w:rsidRPr="00EE5079">
              <w:rPr>
                <w:b/>
                <w:bCs w:val="0"/>
                <w:sz w:val="16"/>
                <w:szCs w:val="16"/>
              </w:rPr>
              <w:t>Rugi bersih tahun berjalan</w:t>
            </w:r>
          </w:p>
        </w:tc>
        <w:tc>
          <w:tcPr>
            <w:tcW w:w="46" w:type="dxa"/>
            <w:tcBorders>
              <w:left w:val="nil"/>
              <w:bottom w:val="nil"/>
              <w:right w:val="nil"/>
            </w:tcBorders>
          </w:tcPr>
          <w:p w14:paraId="2F7D73B2" w14:textId="77777777" w:rsidR="0093130F" w:rsidRPr="00EE5079" w:rsidRDefault="0093130F" w:rsidP="003E17A9">
            <w:pPr>
              <w:ind w:right="57"/>
              <w:jc w:val="right"/>
              <w:rPr>
                <w:b/>
                <w:bCs w:val="0"/>
                <w:sz w:val="16"/>
                <w:szCs w:val="16"/>
              </w:rPr>
            </w:pPr>
          </w:p>
        </w:tc>
        <w:tc>
          <w:tcPr>
            <w:tcW w:w="1630" w:type="dxa"/>
            <w:tcBorders>
              <w:left w:val="nil"/>
              <w:bottom w:val="nil"/>
              <w:right w:val="nil"/>
            </w:tcBorders>
            <w:vAlign w:val="bottom"/>
          </w:tcPr>
          <w:p w14:paraId="7ACC3FCA" w14:textId="77777777" w:rsidR="0093130F" w:rsidRPr="008119FA" w:rsidRDefault="0093130F" w:rsidP="003E17A9">
            <w:pPr>
              <w:ind w:right="57"/>
              <w:jc w:val="right"/>
              <w:rPr>
                <w:b/>
                <w:bCs w:val="0"/>
                <w:sz w:val="16"/>
                <w:szCs w:val="16"/>
              </w:rPr>
            </w:pPr>
          </w:p>
        </w:tc>
        <w:tc>
          <w:tcPr>
            <w:tcW w:w="47" w:type="dxa"/>
            <w:tcBorders>
              <w:left w:val="nil"/>
              <w:bottom w:val="nil"/>
              <w:right w:val="nil"/>
            </w:tcBorders>
            <w:vAlign w:val="bottom"/>
          </w:tcPr>
          <w:p w14:paraId="08B81735" w14:textId="77777777" w:rsidR="0093130F" w:rsidRPr="008119FA" w:rsidRDefault="0093130F" w:rsidP="003E17A9">
            <w:pPr>
              <w:jc w:val="right"/>
              <w:rPr>
                <w:b/>
                <w:bCs w:val="0"/>
                <w:sz w:val="16"/>
                <w:szCs w:val="16"/>
              </w:rPr>
            </w:pPr>
          </w:p>
        </w:tc>
        <w:tc>
          <w:tcPr>
            <w:tcW w:w="1630" w:type="dxa"/>
            <w:tcBorders>
              <w:left w:val="nil"/>
              <w:bottom w:val="nil"/>
              <w:right w:val="nil"/>
            </w:tcBorders>
            <w:vAlign w:val="bottom"/>
          </w:tcPr>
          <w:p w14:paraId="195EF23F" w14:textId="77777777" w:rsidR="0093130F" w:rsidRPr="008119FA" w:rsidRDefault="0093130F" w:rsidP="003E17A9">
            <w:pPr>
              <w:ind w:right="57"/>
              <w:jc w:val="right"/>
              <w:rPr>
                <w:b/>
                <w:bCs w:val="0"/>
                <w:sz w:val="16"/>
                <w:szCs w:val="16"/>
              </w:rPr>
            </w:pPr>
          </w:p>
        </w:tc>
        <w:tc>
          <w:tcPr>
            <w:tcW w:w="47" w:type="dxa"/>
            <w:tcBorders>
              <w:left w:val="nil"/>
              <w:bottom w:val="nil"/>
              <w:right w:val="nil"/>
            </w:tcBorders>
            <w:vAlign w:val="bottom"/>
          </w:tcPr>
          <w:p w14:paraId="6A8011E2" w14:textId="77777777" w:rsidR="0093130F" w:rsidRPr="008119FA" w:rsidRDefault="0093130F" w:rsidP="003E17A9">
            <w:pPr>
              <w:jc w:val="right"/>
              <w:rPr>
                <w:b/>
                <w:bCs w:val="0"/>
                <w:sz w:val="16"/>
                <w:szCs w:val="16"/>
              </w:rPr>
            </w:pPr>
          </w:p>
        </w:tc>
        <w:tc>
          <w:tcPr>
            <w:tcW w:w="1630" w:type="dxa"/>
            <w:tcBorders>
              <w:left w:val="nil"/>
              <w:bottom w:val="double" w:sz="4" w:space="0" w:color="auto"/>
              <w:right w:val="nil"/>
            </w:tcBorders>
            <w:shd w:val="clear" w:color="auto" w:fill="auto"/>
            <w:noWrap/>
            <w:vAlign w:val="bottom"/>
          </w:tcPr>
          <w:p w14:paraId="4E3AF161" w14:textId="79663474" w:rsidR="0093130F" w:rsidRPr="008119FA" w:rsidRDefault="008119FA" w:rsidP="003E17A9">
            <w:pPr>
              <w:ind w:right="57"/>
              <w:jc w:val="right"/>
              <w:rPr>
                <w:b/>
                <w:bCs w:val="0"/>
                <w:sz w:val="16"/>
                <w:szCs w:val="16"/>
              </w:rPr>
            </w:pPr>
            <w:r w:rsidRPr="008119FA">
              <w:rPr>
                <w:b/>
                <w:sz w:val="16"/>
                <w:szCs w:val="16"/>
              </w:rPr>
              <w:t>3</w:t>
            </w:r>
            <w:r>
              <w:rPr>
                <w:b/>
                <w:sz w:val="16"/>
                <w:szCs w:val="16"/>
              </w:rPr>
              <w:t>.</w:t>
            </w:r>
            <w:r w:rsidRPr="008119FA">
              <w:rPr>
                <w:b/>
                <w:sz w:val="16"/>
                <w:szCs w:val="16"/>
              </w:rPr>
              <w:t>989</w:t>
            </w:r>
            <w:r>
              <w:rPr>
                <w:b/>
                <w:sz w:val="16"/>
                <w:szCs w:val="16"/>
              </w:rPr>
              <w:t>.</w:t>
            </w:r>
            <w:r w:rsidRPr="008119FA">
              <w:rPr>
                <w:b/>
                <w:sz w:val="16"/>
                <w:szCs w:val="16"/>
              </w:rPr>
              <w:t>079</w:t>
            </w:r>
            <w:r>
              <w:rPr>
                <w:b/>
                <w:sz w:val="16"/>
                <w:szCs w:val="16"/>
              </w:rPr>
              <w:t>.</w:t>
            </w:r>
            <w:r w:rsidRPr="008119FA">
              <w:rPr>
                <w:b/>
                <w:sz w:val="16"/>
                <w:szCs w:val="16"/>
              </w:rPr>
              <w:t>384</w:t>
            </w:r>
          </w:p>
        </w:tc>
        <w:tc>
          <w:tcPr>
            <w:tcW w:w="47" w:type="dxa"/>
            <w:tcBorders>
              <w:left w:val="nil"/>
              <w:bottom w:val="nil"/>
              <w:right w:val="nil"/>
            </w:tcBorders>
            <w:shd w:val="clear" w:color="auto" w:fill="auto"/>
            <w:noWrap/>
            <w:vAlign w:val="bottom"/>
          </w:tcPr>
          <w:p w14:paraId="464AEDC1" w14:textId="77777777" w:rsidR="0093130F" w:rsidRPr="008119FA" w:rsidRDefault="0093130F" w:rsidP="003E17A9">
            <w:pPr>
              <w:jc w:val="right"/>
              <w:rPr>
                <w:b/>
                <w:bCs w:val="0"/>
                <w:sz w:val="16"/>
                <w:szCs w:val="16"/>
              </w:rPr>
            </w:pPr>
          </w:p>
        </w:tc>
        <w:tc>
          <w:tcPr>
            <w:tcW w:w="2037" w:type="dxa"/>
            <w:tcBorders>
              <w:left w:val="nil"/>
              <w:bottom w:val="nil"/>
              <w:right w:val="nil"/>
            </w:tcBorders>
            <w:shd w:val="clear" w:color="auto" w:fill="auto"/>
            <w:noWrap/>
            <w:vAlign w:val="bottom"/>
          </w:tcPr>
          <w:p w14:paraId="438FE4F2" w14:textId="77777777" w:rsidR="0093130F" w:rsidRPr="00EE5079" w:rsidRDefault="0093130F" w:rsidP="00EE5079">
            <w:pPr>
              <w:ind w:right="95"/>
              <w:jc w:val="right"/>
              <w:rPr>
                <w:b/>
                <w:bCs w:val="0"/>
                <w:i/>
                <w:iCs/>
                <w:sz w:val="16"/>
                <w:szCs w:val="16"/>
              </w:rPr>
            </w:pPr>
            <w:r w:rsidRPr="00EE5079">
              <w:rPr>
                <w:b/>
                <w:bCs w:val="0"/>
                <w:i/>
                <w:iCs/>
                <w:sz w:val="16"/>
                <w:szCs w:val="16"/>
              </w:rPr>
              <w:t>Net loss for the year</w:t>
            </w:r>
          </w:p>
        </w:tc>
      </w:tr>
      <w:tr w:rsidR="0093130F" w:rsidRPr="0013526B" w14:paraId="01FAF44D" w14:textId="77777777" w:rsidTr="00D15EC3">
        <w:trPr>
          <w:trHeight w:val="117"/>
        </w:trPr>
        <w:tc>
          <w:tcPr>
            <w:tcW w:w="2064" w:type="dxa"/>
            <w:tcBorders>
              <w:left w:val="nil"/>
              <w:bottom w:val="nil"/>
              <w:right w:val="nil"/>
            </w:tcBorders>
            <w:shd w:val="clear" w:color="auto" w:fill="auto"/>
            <w:noWrap/>
            <w:vAlign w:val="bottom"/>
          </w:tcPr>
          <w:p w14:paraId="2B71D5B5" w14:textId="77777777" w:rsidR="0093130F" w:rsidRPr="0013526B" w:rsidRDefault="0093130F" w:rsidP="003E17A9">
            <w:pPr>
              <w:ind w:left="141" w:hanging="141"/>
              <w:rPr>
                <w:sz w:val="16"/>
                <w:szCs w:val="16"/>
              </w:rPr>
            </w:pPr>
          </w:p>
        </w:tc>
        <w:tc>
          <w:tcPr>
            <w:tcW w:w="46" w:type="dxa"/>
            <w:tcBorders>
              <w:left w:val="nil"/>
              <w:bottom w:val="nil"/>
              <w:right w:val="nil"/>
            </w:tcBorders>
          </w:tcPr>
          <w:p w14:paraId="49204697" w14:textId="77777777" w:rsidR="0093130F" w:rsidRPr="0013526B" w:rsidRDefault="0093130F" w:rsidP="003E17A9">
            <w:pPr>
              <w:ind w:right="57"/>
              <w:jc w:val="right"/>
              <w:rPr>
                <w:sz w:val="16"/>
                <w:szCs w:val="16"/>
              </w:rPr>
            </w:pPr>
          </w:p>
        </w:tc>
        <w:tc>
          <w:tcPr>
            <w:tcW w:w="1630" w:type="dxa"/>
            <w:tcBorders>
              <w:left w:val="nil"/>
              <w:bottom w:val="nil"/>
              <w:right w:val="nil"/>
            </w:tcBorders>
            <w:vAlign w:val="bottom"/>
          </w:tcPr>
          <w:p w14:paraId="7640E46C"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3287EDB5" w14:textId="77777777" w:rsidR="0093130F" w:rsidRPr="008119FA" w:rsidRDefault="0093130F" w:rsidP="003E17A9">
            <w:pPr>
              <w:jc w:val="right"/>
              <w:rPr>
                <w:sz w:val="16"/>
                <w:szCs w:val="16"/>
              </w:rPr>
            </w:pPr>
          </w:p>
        </w:tc>
        <w:tc>
          <w:tcPr>
            <w:tcW w:w="1630" w:type="dxa"/>
            <w:tcBorders>
              <w:left w:val="nil"/>
              <w:bottom w:val="nil"/>
              <w:right w:val="nil"/>
            </w:tcBorders>
            <w:vAlign w:val="bottom"/>
          </w:tcPr>
          <w:p w14:paraId="23B716F1"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41F7DB64" w14:textId="77777777" w:rsidR="0093130F" w:rsidRPr="008119FA" w:rsidRDefault="0093130F" w:rsidP="003E17A9">
            <w:pPr>
              <w:jc w:val="right"/>
              <w:rPr>
                <w:sz w:val="16"/>
                <w:szCs w:val="16"/>
              </w:rPr>
            </w:pPr>
          </w:p>
        </w:tc>
        <w:tc>
          <w:tcPr>
            <w:tcW w:w="1630" w:type="dxa"/>
            <w:tcBorders>
              <w:top w:val="double" w:sz="4" w:space="0" w:color="auto"/>
              <w:left w:val="nil"/>
              <w:bottom w:val="nil"/>
              <w:right w:val="nil"/>
            </w:tcBorders>
            <w:shd w:val="clear" w:color="auto" w:fill="auto"/>
            <w:noWrap/>
            <w:vAlign w:val="bottom"/>
          </w:tcPr>
          <w:p w14:paraId="5CA85BE0" w14:textId="77777777" w:rsidR="0093130F" w:rsidRPr="008119FA" w:rsidRDefault="0093130F" w:rsidP="003E17A9">
            <w:pPr>
              <w:ind w:right="57"/>
              <w:jc w:val="right"/>
              <w:rPr>
                <w:sz w:val="16"/>
                <w:szCs w:val="16"/>
              </w:rPr>
            </w:pPr>
          </w:p>
        </w:tc>
        <w:tc>
          <w:tcPr>
            <w:tcW w:w="47" w:type="dxa"/>
            <w:tcBorders>
              <w:left w:val="nil"/>
              <w:bottom w:val="nil"/>
              <w:right w:val="nil"/>
            </w:tcBorders>
            <w:shd w:val="clear" w:color="auto" w:fill="auto"/>
            <w:noWrap/>
            <w:vAlign w:val="bottom"/>
          </w:tcPr>
          <w:p w14:paraId="41D98454"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50B67031" w14:textId="77777777" w:rsidR="0093130F" w:rsidRPr="0013526B" w:rsidRDefault="0093130F" w:rsidP="003E17A9">
            <w:pPr>
              <w:ind w:right="85"/>
              <w:jc w:val="right"/>
              <w:rPr>
                <w:i/>
                <w:iCs/>
                <w:sz w:val="16"/>
                <w:szCs w:val="16"/>
              </w:rPr>
            </w:pPr>
          </w:p>
        </w:tc>
      </w:tr>
      <w:tr w:rsidR="0093130F" w:rsidRPr="0013526B" w14:paraId="2AD954E5" w14:textId="77777777" w:rsidTr="00D15EC3">
        <w:trPr>
          <w:trHeight w:val="117"/>
        </w:trPr>
        <w:tc>
          <w:tcPr>
            <w:tcW w:w="2064" w:type="dxa"/>
            <w:tcBorders>
              <w:top w:val="nil"/>
              <w:left w:val="nil"/>
              <w:bottom w:val="nil"/>
              <w:right w:val="nil"/>
            </w:tcBorders>
            <w:shd w:val="clear" w:color="auto" w:fill="auto"/>
            <w:noWrap/>
            <w:vAlign w:val="bottom"/>
          </w:tcPr>
          <w:p w14:paraId="137AE20D" w14:textId="77777777" w:rsidR="0093130F" w:rsidRPr="0013526B" w:rsidRDefault="0093130F" w:rsidP="001723A2">
            <w:pPr>
              <w:ind w:left="464" w:hanging="141"/>
              <w:rPr>
                <w:sz w:val="16"/>
                <w:szCs w:val="16"/>
              </w:rPr>
            </w:pPr>
            <w:r>
              <w:rPr>
                <w:sz w:val="16"/>
                <w:szCs w:val="16"/>
              </w:rPr>
              <w:t>Rugi bersih yang dapat diatribusikan kepada:</w:t>
            </w:r>
          </w:p>
        </w:tc>
        <w:tc>
          <w:tcPr>
            <w:tcW w:w="46" w:type="dxa"/>
            <w:tcBorders>
              <w:left w:val="nil"/>
              <w:right w:val="nil"/>
            </w:tcBorders>
          </w:tcPr>
          <w:p w14:paraId="6C3EC96A"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3FC1DD4C"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0B5374C5" w14:textId="77777777" w:rsidR="0093130F" w:rsidRPr="008119FA" w:rsidRDefault="0093130F" w:rsidP="003E17A9">
            <w:pPr>
              <w:jc w:val="right"/>
              <w:rPr>
                <w:sz w:val="16"/>
                <w:szCs w:val="16"/>
              </w:rPr>
            </w:pPr>
          </w:p>
        </w:tc>
        <w:tc>
          <w:tcPr>
            <w:tcW w:w="1630" w:type="dxa"/>
            <w:tcBorders>
              <w:left w:val="nil"/>
              <w:right w:val="nil"/>
            </w:tcBorders>
            <w:vAlign w:val="bottom"/>
          </w:tcPr>
          <w:p w14:paraId="1BB359F9"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4A8F65F8"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7A47C3FD" w14:textId="77777777" w:rsidR="0093130F" w:rsidRPr="008119FA" w:rsidRDefault="0093130F" w:rsidP="003E17A9">
            <w:pPr>
              <w:ind w:right="57"/>
              <w:jc w:val="right"/>
              <w:rPr>
                <w:sz w:val="16"/>
                <w:szCs w:val="16"/>
              </w:rPr>
            </w:pPr>
          </w:p>
        </w:tc>
        <w:tc>
          <w:tcPr>
            <w:tcW w:w="47" w:type="dxa"/>
            <w:tcBorders>
              <w:left w:val="nil"/>
              <w:right w:val="nil"/>
            </w:tcBorders>
            <w:shd w:val="clear" w:color="auto" w:fill="auto"/>
            <w:noWrap/>
            <w:vAlign w:val="bottom"/>
          </w:tcPr>
          <w:p w14:paraId="2E36CC81"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7F6734EB" w14:textId="77777777" w:rsidR="00EE5079" w:rsidRDefault="0093130F" w:rsidP="00EE5079">
            <w:pPr>
              <w:ind w:right="88"/>
              <w:jc w:val="right"/>
              <w:rPr>
                <w:i/>
                <w:iCs/>
                <w:sz w:val="16"/>
                <w:szCs w:val="16"/>
              </w:rPr>
            </w:pPr>
            <w:r>
              <w:rPr>
                <w:i/>
                <w:iCs/>
                <w:sz w:val="16"/>
                <w:szCs w:val="16"/>
              </w:rPr>
              <w:t xml:space="preserve">Net loss for the year </w:t>
            </w:r>
          </w:p>
          <w:p w14:paraId="075033A1" w14:textId="06A83E35" w:rsidR="0093130F" w:rsidRPr="0013526B" w:rsidRDefault="0093130F" w:rsidP="00EE5079">
            <w:pPr>
              <w:ind w:right="230"/>
              <w:jc w:val="right"/>
              <w:rPr>
                <w:i/>
                <w:iCs/>
                <w:sz w:val="16"/>
                <w:szCs w:val="16"/>
              </w:rPr>
            </w:pPr>
            <w:r>
              <w:rPr>
                <w:i/>
                <w:iCs/>
                <w:sz w:val="16"/>
                <w:szCs w:val="16"/>
              </w:rPr>
              <w:t>attributables to:</w:t>
            </w:r>
          </w:p>
        </w:tc>
      </w:tr>
      <w:tr w:rsidR="0093130F" w:rsidRPr="0013526B" w14:paraId="04F842D5" w14:textId="77777777" w:rsidTr="00D15EC3">
        <w:trPr>
          <w:trHeight w:val="117"/>
        </w:trPr>
        <w:tc>
          <w:tcPr>
            <w:tcW w:w="2064" w:type="dxa"/>
            <w:tcBorders>
              <w:top w:val="nil"/>
              <w:left w:val="nil"/>
              <w:bottom w:val="nil"/>
              <w:right w:val="nil"/>
            </w:tcBorders>
            <w:shd w:val="clear" w:color="auto" w:fill="auto"/>
            <w:noWrap/>
            <w:vAlign w:val="bottom"/>
          </w:tcPr>
          <w:p w14:paraId="6E9AB1E0" w14:textId="77777777" w:rsidR="0093130F" w:rsidRPr="0013526B" w:rsidRDefault="0093130F" w:rsidP="00EE5079">
            <w:pPr>
              <w:ind w:left="152"/>
              <w:rPr>
                <w:sz w:val="16"/>
                <w:szCs w:val="16"/>
              </w:rPr>
            </w:pPr>
            <w:r>
              <w:rPr>
                <w:sz w:val="16"/>
                <w:szCs w:val="16"/>
              </w:rPr>
              <w:t xml:space="preserve">        Pemilik entitas induk</w:t>
            </w:r>
          </w:p>
        </w:tc>
        <w:tc>
          <w:tcPr>
            <w:tcW w:w="46" w:type="dxa"/>
            <w:tcBorders>
              <w:left w:val="nil"/>
              <w:bottom w:val="nil"/>
              <w:right w:val="nil"/>
            </w:tcBorders>
          </w:tcPr>
          <w:p w14:paraId="3FA6D2AA" w14:textId="77777777" w:rsidR="0093130F" w:rsidRPr="0013526B" w:rsidRDefault="0093130F" w:rsidP="003E17A9">
            <w:pPr>
              <w:ind w:right="57"/>
              <w:jc w:val="right"/>
              <w:rPr>
                <w:sz w:val="16"/>
                <w:szCs w:val="16"/>
              </w:rPr>
            </w:pPr>
          </w:p>
        </w:tc>
        <w:tc>
          <w:tcPr>
            <w:tcW w:w="1630" w:type="dxa"/>
            <w:tcBorders>
              <w:left w:val="nil"/>
              <w:bottom w:val="nil"/>
              <w:right w:val="nil"/>
            </w:tcBorders>
            <w:vAlign w:val="bottom"/>
          </w:tcPr>
          <w:p w14:paraId="7DEC99FF"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78DCCE75" w14:textId="77777777" w:rsidR="0093130F" w:rsidRPr="008119FA" w:rsidRDefault="0093130F" w:rsidP="003E17A9">
            <w:pPr>
              <w:jc w:val="right"/>
              <w:rPr>
                <w:sz w:val="16"/>
                <w:szCs w:val="16"/>
              </w:rPr>
            </w:pPr>
          </w:p>
        </w:tc>
        <w:tc>
          <w:tcPr>
            <w:tcW w:w="1630" w:type="dxa"/>
            <w:tcBorders>
              <w:left w:val="nil"/>
              <w:bottom w:val="nil"/>
              <w:right w:val="nil"/>
            </w:tcBorders>
            <w:vAlign w:val="bottom"/>
          </w:tcPr>
          <w:p w14:paraId="49E96467"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19BD8DAD"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17F0D98D" w14:textId="7294A181" w:rsidR="0093130F" w:rsidRPr="008119FA" w:rsidRDefault="008119FA" w:rsidP="003E17A9">
            <w:pPr>
              <w:ind w:right="57"/>
              <w:jc w:val="right"/>
              <w:rPr>
                <w:sz w:val="16"/>
                <w:szCs w:val="16"/>
              </w:rPr>
            </w:pPr>
            <w:r w:rsidRPr="008119FA">
              <w:rPr>
                <w:bCs w:val="0"/>
                <w:sz w:val="16"/>
                <w:szCs w:val="16"/>
              </w:rPr>
              <w:t>4</w:t>
            </w:r>
            <w:r>
              <w:rPr>
                <w:bCs w:val="0"/>
                <w:sz w:val="16"/>
                <w:szCs w:val="16"/>
              </w:rPr>
              <w:t>.</w:t>
            </w:r>
            <w:r w:rsidRPr="008119FA">
              <w:rPr>
                <w:bCs w:val="0"/>
                <w:sz w:val="16"/>
                <w:szCs w:val="16"/>
              </w:rPr>
              <w:t>006</w:t>
            </w:r>
            <w:r>
              <w:rPr>
                <w:bCs w:val="0"/>
                <w:sz w:val="16"/>
                <w:szCs w:val="16"/>
              </w:rPr>
              <w:t>.</w:t>
            </w:r>
            <w:r w:rsidRPr="008119FA">
              <w:rPr>
                <w:bCs w:val="0"/>
                <w:sz w:val="16"/>
                <w:szCs w:val="16"/>
              </w:rPr>
              <w:t>403</w:t>
            </w:r>
            <w:r>
              <w:rPr>
                <w:bCs w:val="0"/>
                <w:sz w:val="16"/>
                <w:szCs w:val="16"/>
              </w:rPr>
              <w:t>.</w:t>
            </w:r>
            <w:r w:rsidRPr="008119FA">
              <w:rPr>
                <w:bCs w:val="0"/>
                <w:sz w:val="16"/>
                <w:szCs w:val="16"/>
              </w:rPr>
              <w:t>562</w:t>
            </w:r>
          </w:p>
        </w:tc>
        <w:tc>
          <w:tcPr>
            <w:tcW w:w="47" w:type="dxa"/>
            <w:tcBorders>
              <w:left w:val="nil"/>
              <w:bottom w:val="nil"/>
              <w:right w:val="nil"/>
            </w:tcBorders>
            <w:shd w:val="clear" w:color="auto" w:fill="auto"/>
            <w:noWrap/>
            <w:vAlign w:val="bottom"/>
          </w:tcPr>
          <w:p w14:paraId="0DD6B671"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0121B3B8" w14:textId="77777777" w:rsidR="0093130F" w:rsidRPr="0013526B" w:rsidRDefault="0093130F" w:rsidP="00EE5079">
            <w:pPr>
              <w:ind w:right="263"/>
              <w:jc w:val="right"/>
              <w:rPr>
                <w:i/>
                <w:iCs/>
                <w:sz w:val="16"/>
                <w:szCs w:val="16"/>
              </w:rPr>
            </w:pPr>
            <w:r>
              <w:rPr>
                <w:i/>
                <w:iCs/>
                <w:sz w:val="16"/>
                <w:szCs w:val="16"/>
              </w:rPr>
              <w:t>Owner parent campony</w:t>
            </w:r>
          </w:p>
        </w:tc>
      </w:tr>
      <w:tr w:rsidR="0093130F" w:rsidRPr="0013526B" w14:paraId="04AAE00A" w14:textId="77777777" w:rsidTr="00D15EC3">
        <w:trPr>
          <w:trHeight w:val="68"/>
        </w:trPr>
        <w:tc>
          <w:tcPr>
            <w:tcW w:w="2064" w:type="dxa"/>
            <w:tcBorders>
              <w:top w:val="nil"/>
              <w:left w:val="nil"/>
              <w:bottom w:val="nil"/>
              <w:right w:val="nil"/>
            </w:tcBorders>
            <w:shd w:val="clear" w:color="auto" w:fill="auto"/>
            <w:noWrap/>
            <w:vAlign w:val="bottom"/>
          </w:tcPr>
          <w:p w14:paraId="4328A691" w14:textId="77777777" w:rsidR="0093130F" w:rsidRPr="0013526B" w:rsidRDefault="0093130F" w:rsidP="00EE5079">
            <w:pPr>
              <w:ind w:left="278" w:hanging="141"/>
              <w:rPr>
                <w:sz w:val="16"/>
                <w:szCs w:val="16"/>
              </w:rPr>
            </w:pPr>
            <w:r>
              <w:rPr>
                <w:sz w:val="16"/>
                <w:szCs w:val="16"/>
              </w:rPr>
              <w:t xml:space="preserve">        Kepentingan non  </w:t>
            </w:r>
            <w:r>
              <w:rPr>
                <w:sz w:val="16"/>
                <w:szCs w:val="16"/>
              </w:rPr>
              <w:br/>
              <w:t xml:space="preserve">        pengendali</w:t>
            </w:r>
          </w:p>
        </w:tc>
        <w:tc>
          <w:tcPr>
            <w:tcW w:w="46" w:type="dxa"/>
            <w:tcBorders>
              <w:left w:val="nil"/>
              <w:right w:val="nil"/>
            </w:tcBorders>
          </w:tcPr>
          <w:p w14:paraId="098AEF10"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3201FFFF"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11C6A28C" w14:textId="77777777" w:rsidR="0093130F" w:rsidRPr="008119FA" w:rsidRDefault="0093130F" w:rsidP="003E17A9">
            <w:pPr>
              <w:jc w:val="right"/>
              <w:rPr>
                <w:sz w:val="16"/>
                <w:szCs w:val="16"/>
              </w:rPr>
            </w:pPr>
          </w:p>
        </w:tc>
        <w:tc>
          <w:tcPr>
            <w:tcW w:w="1630" w:type="dxa"/>
            <w:tcBorders>
              <w:left w:val="nil"/>
              <w:right w:val="nil"/>
            </w:tcBorders>
            <w:vAlign w:val="bottom"/>
          </w:tcPr>
          <w:p w14:paraId="0C567E39" w14:textId="77777777"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6D350E5F" w14:textId="77777777" w:rsidR="0093130F" w:rsidRPr="008119FA" w:rsidRDefault="0093130F" w:rsidP="003E17A9">
            <w:pPr>
              <w:jc w:val="right"/>
              <w:rPr>
                <w:sz w:val="16"/>
                <w:szCs w:val="16"/>
              </w:rPr>
            </w:pPr>
          </w:p>
        </w:tc>
        <w:tc>
          <w:tcPr>
            <w:tcW w:w="1630" w:type="dxa"/>
            <w:tcBorders>
              <w:left w:val="nil"/>
              <w:bottom w:val="single" w:sz="4" w:space="0" w:color="auto"/>
              <w:right w:val="nil"/>
            </w:tcBorders>
            <w:shd w:val="clear" w:color="auto" w:fill="auto"/>
            <w:noWrap/>
            <w:vAlign w:val="bottom"/>
          </w:tcPr>
          <w:p w14:paraId="27753F29" w14:textId="093AD27E" w:rsidR="0093130F" w:rsidRPr="008119FA" w:rsidRDefault="008119FA" w:rsidP="003E17A9">
            <w:pPr>
              <w:ind w:right="57"/>
              <w:jc w:val="right"/>
              <w:rPr>
                <w:sz w:val="16"/>
                <w:szCs w:val="16"/>
              </w:rPr>
            </w:pPr>
            <w:r w:rsidRPr="008119FA">
              <w:rPr>
                <w:bCs w:val="0"/>
                <w:sz w:val="16"/>
                <w:szCs w:val="16"/>
              </w:rPr>
              <w:t>(17</w:t>
            </w:r>
            <w:r>
              <w:rPr>
                <w:bCs w:val="0"/>
                <w:sz w:val="16"/>
                <w:szCs w:val="16"/>
              </w:rPr>
              <w:t>.</w:t>
            </w:r>
            <w:r w:rsidRPr="008119FA">
              <w:rPr>
                <w:bCs w:val="0"/>
                <w:sz w:val="16"/>
                <w:szCs w:val="16"/>
              </w:rPr>
              <w:t>324</w:t>
            </w:r>
            <w:r>
              <w:rPr>
                <w:bCs w:val="0"/>
                <w:sz w:val="16"/>
                <w:szCs w:val="16"/>
              </w:rPr>
              <w:t>.</w:t>
            </w:r>
            <w:r w:rsidRPr="008119FA">
              <w:rPr>
                <w:bCs w:val="0"/>
                <w:sz w:val="16"/>
                <w:szCs w:val="16"/>
              </w:rPr>
              <w:t>178)</w:t>
            </w:r>
          </w:p>
        </w:tc>
        <w:tc>
          <w:tcPr>
            <w:tcW w:w="47" w:type="dxa"/>
            <w:tcBorders>
              <w:left w:val="nil"/>
              <w:bottom w:val="nil"/>
              <w:right w:val="nil"/>
            </w:tcBorders>
            <w:shd w:val="clear" w:color="auto" w:fill="auto"/>
            <w:noWrap/>
            <w:vAlign w:val="bottom"/>
          </w:tcPr>
          <w:p w14:paraId="5804CA0E"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4AC863D6" w14:textId="77777777" w:rsidR="0093130F" w:rsidRPr="0013526B" w:rsidRDefault="0093130F" w:rsidP="00EE5079">
            <w:pPr>
              <w:ind w:right="263"/>
              <w:jc w:val="right"/>
              <w:rPr>
                <w:i/>
                <w:iCs/>
                <w:sz w:val="16"/>
                <w:szCs w:val="16"/>
              </w:rPr>
            </w:pPr>
            <w:r>
              <w:rPr>
                <w:i/>
                <w:iCs/>
                <w:sz w:val="16"/>
                <w:szCs w:val="16"/>
              </w:rPr>
              <w:t>Non-controlling interest</w:t>
            </w:r>
          </w:p>
        </w:tc>
      </w:tr>
      <w:tr w:rsidR="0093130F" w:rsidRPr="0013526B" w14:paraId="489D570D" w14:textId="77777777" w:rsidTr="00D15EC3">
        <w:trPr>
          <w:trHeight w:val="117"/>
        </w:trPr>
        <w:tc>
          <w:tcPr>
            <w:tcW w:w="2064" w:type="dxa"/>
            <w:tcBorders>
              <w:top w:val="nil"/>
              <w:left w:val="nil"/>
              <w:bottom w:val="nil"/>
              <w:right w:val="nil"/>
            </w:tcBorders>
            <w:shd w:val="clear" w:color="auto" w:fill="auto"/>
            <w:noWrap/>
            <w:vAlign w:val="bottom"/>
          </w:tcPr>
          <w:p w14:paraId="2A618433" w14:textId="77777777" w:rsidR="0093130F" w:rsidRPr="0013526B" w:rsidRDefault="0093130F" w:rsidP="003E17A9">
            <w:pPr>
              <w:ind w:left="141" w:hanging="141"/>
              <w:rPr>
                <w:sz w:val="16"/>
                <w:szCs w:val="16"/>
              </w:rPr>
            </w:pPr>
          </w:p>
        </w:tc>
        <w:tc>
          <w:tcPr>
            <w:tcW w:w="46" w:type="dxa"/>
            <w:tcBorders>
              <w:left w:val="nil"/>
              <w:right w:val="nil"/>
            </w:tcBorders>
          </w:tcPr>
          <w:p w14:paraId="7A196494"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3B34699E"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64C4A2F2" w14:textId="77777777" w:rsidR="0093130F" w:rsidRPr="008119FA" w:rsidRDefault="0093130F" w:rsidP="003E17A9">
            <w:pPr>
              <w:jc w:val="right"/>
              <w:rPr>
                <w:sz w:val="16"/>
                <w:szCs w:val="16"/>
              </w:rPr>
            </w:pPr>
          </w:p>
        </w:tc>
        <w:tc>
          <w:tcPr>
            <w:tcW w:w="1630" w:type="dxa"/>
            <w:tcBorders>
              <w:left w:val="nil"/>
              <w:right w:val="nil"/>
            </w:tcBorders>
            <w:vAlign w:val="bottom"/>
          </w:tcPr>
          <w:p w14:paraId="66AC01DE"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6FD08753" w14:textId="77777777" w:rsidR="0093130F" w:rsidRPr="008119FA" w:rsidRDefault="0093130F" w:rsidP="003E17A9">
            <w:pPr>
              <w:jc w:val="right"/>
              <w:rPr>
                <w:sz w:val="16"/>
                <w:szCs w:val="16"/>
              </w:rPr>
            </w:pPr>
          </w:p>
        </w:tc>
        <w:tc>
          <w:tcPr>
            <w:tcW w:w="1630" w:type="dxa"/>
            <w:tcBorders>
              <w:top w:val="single" w:sz="4" w:space="0" w:color="auto"/>
              <w:left w:val="nil"/>
              <w:right w:val="nil"/>
            </w:tcBorders>
            <w:shd w:val="clear" w:color="auto" w:fill="auto"/>
            <w:noWrap/>
            <w:vAlign w:val="bottom"/>
          </w:tcPr>
          <w:p w14:paraId="2DE467A6" w14:textId="77777777" w:rsidR="0093130F" w:rsidRPr="008119FA" w:rsidRDefault="0093130F" w:rsidP="003E17A9">
            <w:pPr>
              <w:ind w:right="57"/>
              <w:jc w:val="right"/>
              <w:rPr>
                <w:sz w:val="16"/>
                <w:szCs w:val="16"/>
              </w:rPr>
            </w:pPr>
          </w:p>
        </w:tc>
        <w:tc>
          <w:tcPr>
            <w:tcW w:w="47" w:type="dxa"/>
            <w:tcBorders>
              <w:left w:val="nil"/>
              <w:right w:val="nil"/>
            </w:tcBorders>
            <w:shd w:val="clear" w:color="auto" w:fill="auto"/>
            <w:noWrap/>
            <w:vAlign w:val="bottom"/>
          </w:tcPr>
          <w:p w14:paraId="2E6925BF"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12D9CD15" w14:textId="77777777" w:rsidR="0093130F" w:rsidRPr="0013526B" w:rsidRDefault="0093130F" w:rsidP="003E17A9">
            <w:pPr>
              <w:ind w:right="85"/>
              <w:jc w:val="right"/>
              <w:rPr>
                <w:i/>
                <w:iCs/>
                <w:sz w:val="16"/>
                <w:szCs w:val="16"/>
                <w:lang w:val="id-ID"/>
              </w:rPr>
            </w:pPr>
          </w:p>
        </w:tc>
      </w:tr>
      <w:tr w:rsidR="0093130F" w:rsidRPr="0013526B" w14:paraId="590B3843" w14:textId="77777777" w:rsidTr="00D15EC3">
        <w:trPr>
          <w:trHeight w:val="117"/>
        </w:trPr>
        <w:tc>
          <w:tcPr>
            <w:tcW w:w="2064" w:type="dxa"/>
            <w:tcBorders>
              <w:top w:val="nil"/>
              <w:left w:val="nil"/>
              <w:bottom w:val="nil"/>
              <w:right w:val="nil"/>
            </w:tcBorders>
            <w:shd w:val="clear" w:color="auto" w:fill="auto"/>
            <w:noWrap/>
            <w:vAlign w:val="bottom"/>
          </w:tcPr>
          <w:p w14:paraId="57215EF2" w14:textId="77777777" w:rsidR="0093130F" w:rsidRPr="000E27E3" w:rsidRDefault="0093130F" w:rsidP="001723A2">
            <w:pPr>
              <w:ind w:left="450" w:hanging="141"/>
              <w:rPr>
                <w:b/>
                <w:bCs w:val="0"/>
                <w:sz w:val="16"/>
                <w:szCs w:val="16"/>
              </w:rPr>
            </w:pPr>
            <w:r w:rsidRPr="000E27E3">
              <w:rPr>
                <w:b/>
                <w:bCs w:val="0"/>
                <w:sz w:val="16"/>
                <w:szCs w:val="16"/>
              </w:rPr>
              <w:t>Jumlah</w:t>
            </w:r>
          </w:p>
        </w:tc>
        <w:tc>
          <w:tcPr>
            <w:tcW w:w="46" w:type="dxa"/>
            <w:tcBorders>
              <w:left w:val="nil"/>
              <w:right w:val="nil"/>
            </w:tcBorders>
          </w:tcPr>
          <w:p w14:paraId="36443FDC"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73529B82"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4324BA18" w14:textId="77777777" w:rsidR="0093130F" w:rsidRPr="008119FA" w:rsidRDefault="0093130F" w:rsidP="003E17A9">
            <w:pPr>
              <w:jc w:val="right"/>
              <w:rPr>
                <w:sz w:val="16"/>
                <w:szCs w:val="16"/>
              </w:rPr>
            </w:pPr>
          </w:p>
        </w:tc>
        <w:tc>
          <w:tcPr>
            <w:tcW w:w="1630" w:type="dxa"/>
            <w:tcBorders>
              <w:left w:val="nil"/>
              <w:right w:val="nil"/>
            </w:tcBorders>
            <w:vAlign w:val="bottom"/>
          </w:tcPr>
          <w:p w14:paraId="73040BE6"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7D4966F2" w14:textId="77777777" w:rsidR="0093130F" w:rsidRPr="008119FA" w:rsidRDefault="0093130F" w:rsidP="003E17A9">
            <w:pPr>
              <w:jc w:val="right"/>
              <w:rPr>
                <w:sz w:val="16"/>
                <w:szCs w:val="16"/>
              </w:rPr>
            </w:pPr>
          </w:p>
        </w:tc>
        <w:tc>
          <w:tcPr>
            <w:tcW w:w="1630" w:type="dxa"/>
            <w:tcBorders>
              <w:left w:val="nil"/>
              <w:bottom w:val="double" w:sz="4" w:space="0" w:color="auto"/>
              <w:right w:val="nil"/>
            </w:tcBorders>
            <w:shd w:val="clear" w:color="auto" w:fill="auto"/>
            <w:noWrap/>
            <w:vAlign w:val="bottom"/>
          </w:tcPr>
          <w:p w14:paraId="03FF3D71" w14:textId="0EB363DF" w:rsidR="0093130F" w:rsidRPr="008119FA" w:rsidRDefault="008119FA" w:rsidP="003E17A9">
            <w:pPr>
              <w:ind w:right="57"/>
              <w:jc w:val="right"/>
              <w:rPr>
                <w:b/>
                <w:bCs w:val="0"/>
                <w:sz w:val="16"/>
                <w:szCs w:val="16"/>
              </w:rPr>
            </w:pPr>
            <w:r w:rsidRPr="008119FA">
              <w:rPr>
                <w:b/>
                <w:sz w:val="16"/>
                <w:szCs w:val="16"/>
              </w:rPr>
              <w:t>3</w:t>
            </w:r>
            <w:r>
              <w:rPr>
                <w:b/>
                <w:sz w:val="16"/>
                <w:szCs w:val="16"/>
              </w:rPr>
              <w:t>.</w:t>
            </w:r>
            <w:r w:rsidRPr="008119FA">
              <w:rPr>
                <w:b/>
                <w:sz w:val="16"/>
                <w:szCs w:val="16"/>
              </w:rPr>
              <w:t>989</w:t>
            </w:r>
            <w:r>
              <w:rPr>
                <w:b/>
                <w:sz w:val="16"/>
                <w:szCs w:val="16"/>
              </w:rPr>
              <w:t>.</w:t>
            </w:r>
            <w:r w:rsidRPr="008119FA">
              <w:rPr>
                <w:b/>
                <w:sz w:val="16"/>
                <w:szCs w:val="16"/>
              </w:rPr>
              <w:t>079</w:t>
            </w:r>
            <w:r>
              <w:rPr>
                <w:b/>
                <w:sz w:val="16"/>
                <w:szCs w:val="16"/>
              </w:rPr>
              <w:t>.</w:t>
            </w:r>
            <w:r w:rsidRPr="008119FA">
              <w:rPr>
                <w:b/>
                <w:sz w:val="16"/>
                <w:szCs w:val="16"/>
              </w:rPr>
              <w:t>384</w:t>
            </w:r>
          </w:p>
        </w:tc>
        <w:tc>
          <w:tcPr>
            <w:tcW w:w="47" w:type="dxa"/>
            <w:tcBorders>
              <w:left w:val="nil"/>
              <w:right w:val="nil"/>
            </w:tcBorders>
            <w:shd w:val="clear" w:color="auto" w:fill="auto"/>
            <w:noWrap/>
            <w:vAlign w:val="bottom"/>
          </w:tcPr>
          <w:p w14:paraId="71E4BE56"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6F66E279" w14:textId="77777777" w:rsidR="0093130F" w:rsidRPr="0093130F" w:rsidRDefault="0093130F" w:rsidP="003E4541">
            <w:pPr>
              <w:pStyle w:val="Default"/>
              <w:ind w:right="81"/>
              <w:jc w:val="right"/>
              <w:rPr>
                <w:rFonts w:ascii="Times New Roman" w:eastAsia="Times New Roman" w:hAnsi="Times New Roman" w:cs="Times New Roman"/>
                <w:b/>
                <w:i/>
                <w:sz w:val="16"/>
                <w:szCs w:val="18"/>
              </w:rPr>
            </w:pPr>
            <w:r w:rsidRPr="0093130F">
              <w:rPr>
                <w:rFonts w:ascii="Times New Roman" w:eastAsia="Times New Roman" w:hAnsi="Times New Roman" w:cs="Times New Roman"/>
                <w:b/>
                <w:i/>
                <w:sz w:val="16"/>
                <w:szCs w:val="18"/>
              </w:rPr>
              <w:t>Total</w:t>
            </w:r>
          </w:p>
        </w:tc>
      </w:tr>
      <w:tr w:rsidR="0093130F" w:rsidRPr="0013526B" w14:paraId="47C07DAE" w14:textId="77777777" w:rsidTr="00D15EC3">
        <w:trPr>
          <w:trHeight w:val="117"/>
        </w:trPr>
        <w:tc>
          <w:tcPr>
            <w:tcW w:w="2064" w:type="dxa"/>
            <w:tcBorders>
              <w:top w:val="nil"/>
              <w:left w:val="nil"/>
              <w:right w:val="nil"/>
            </w:tcBorders>
            <w:shd w:val="clear" w:color="auto" w:fill="auto"/>
            <w:noWrap/>
            <w:vAlign w:val="bottom"/>
          </w:tcPr>
          <w:p w14:paraId="1E7A495E" w14:textId="77777777" w:rsidR="0093130F" w:rsidRPr="00310F9B" w:rsidRDefault="0093130F" w:rsidP="003E17A9">
            <w:pPr>
              <w:ind w:left="141" w:hanging="141"/>
              <w:rPr>
                <w:sz w:val="16"/>
                <w:szCs w:val="16"/>
              </w:rPr>
            </w:pPr>
          </w:p>
        </w:tc>
        <w:tc>
          <w:tcPr>
            <w:tcW w:w="46" w:type="dxa"/>
            <w:tcBorders>
              <w:left w:val="nil"/>
              <w:right w:val="nil"/>
            </w:tcBorders>
          </w:tcPr>
          <w:p w14:paraId="545D6B9F"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1EF68FC0"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73F57C2F" w14:textId="77777777" w:rsidR="0093130F" w:rsidRPr="008119FA" w:rsidRDefault="0093130F" w:rsidP="003E17A9">
            <w:pPr>
              <w:jc w:val="right"/>
              <w:rPr>
                <w:sz w:val="16"/>
                <w:szCs w:val="16"/>
              </w:rPr>
            </w:pPr>
          </w:p>
        </w:tc>
        <w:tc>
          <w:tcPr>
            <w:tcW w:w="1630" w:type="dxa"/>
            <w:tcBorders>
              <w:left w:val="nil"/>
              <w:right w:val="nil"/>
            </w:tcBorders>
            <w:vAlign w:val="bottom"/>
          </w:tcPr>
          <w:p w14:paraId="2BAA0333"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34497333" w14:textId="77777777" w:rsidR="0093130F" w:rsidRPr="008119FA" w:rsidRDefault="0093130F" w:rsidP="003E17A9">
            <w:pPr>
              <w:jc w:val="right"/>
              <w:rPr>
                <w:sz w:val="16"/>
                <w:szCs w:val="16"/>
              </w:rPr>
            </w:pPr>
          </w:p>
        </w:tc>
        <w:tc>
          <w:tcPr>
            <w:tcW w:w="1630" w:type="dxa"/>
            <w:tcBorders>
              <w:top w:val="double" w:sz="4" w:space="0" w:color="auto"/>
              <w:left w:val="nil"/>
              <w:right w:val="nil"/>
            </w:tcBorders>
            <w:shd w:val="clear" w:color="auto" w:fill="auto"/>
            <w:noWrap/>
            <w:vAlign w:val="bottom"/>
          </w:tcPr>
          <w:p w14:paraId="00D543CC" w14:textId="77777777" w:rsidR="0093130F" w:rsidRPr="008119FA" w:rsidRDefault="0093130F" w:rsidP="003E17A9">
            <w:pPr>
              <w:ind w:right="57"/>
              <w:jc w:val="right"/>
              <w:rPr>
                <w:sz w:val="16"/>
                <w:szCs w:val="16"/>
              </w:rPr>
            </w:pPr>
          </w:p>
        </w:tc>
        <w:tc>
          <w:tcPr>
            <w:tcW w:w="47" w:type="dxa"/>
            <w:tcBorders>
              <w:left w:val="nil"/>
              <w:right w:val="nil"/>
            </w:tcBorders>
            <w:shd w:val="clear" w:color="auto" w:fill="auto"/>
            <w:noWrap/>
            <w:vAlign w:val="bottom"/>
          </w:tcPr>
          <w:p w14:paraId="10969B8A" w14:textId="77777777" w:rsidR="0093130F" w:rsidRPr="008119FA" w:rsidRDefault="0093130F" w:rsidP="003E17A9">
            <w:pPr>
              <w:jc w:val="right"/>
              <w:rPr>
                <w:sz w:val="16"/>
                <w:szCs w:val="16"/>
              </w:rPr>
            </w:pPr>
          </w:p>
        </w:tc>
        <w:tc>
          <w:tcPr>
            <w:tcW w:w="2037" w:type="dxa"/>
            <w:tcBorders>
              <w:left w:val="nil"/>
              <w:right w:val="nil"/>
            </w:tcBorders>
            <w:shd w:val="clear" w:color="auto" w:fill="auto"/>
            <w:noWrap/>
            <w:vAlign w:val="bottom"/>
          </w:tcPr>
          <w:p w14:paraId="7CD9B9F9" w14:textId="77777777" w:rsidR="0093130F" w:rsidRPr="0013526B" w:rsidRDefault="0093130F" w:rsidP="003E17A9">
            <w:pPr>
              <w:ind w:right="85"/>
              <w:jc w:val="right"/>
              <w:rPr>
                <w:i/>
                <w:iCs/>
                <w:sz w:val="16"/>
                <w:szCs w:val="16"/>
              </w:rPr>
            </w:pPr>
          </w:p>
        </w:tc>
      </w:tr>
      <w:tr w:rsidR="0093130F" w:rsidRPr="0013526B" w14:paraId="56D373DE" w14:textId="77777777" w:rsidTr="00D15EC3">
        <w:trPr>
          <w:trHeight w:val="117"/>
        </w:trPr>
        <w:tc>
          <w:tcPr>
            <w:tcW w:w="2064" w:type="dxa"/>
            <w:tcBorders>
              <w:left w:val="nil"/>
              <w:bottom w:val="nil"/>
              <w:right w:val="nil"/>
            </w:tcBorders>
            <w:shd w:val="clear" w:color="auto" w:fill="auto"/>
            <w:noWrap/>
            <w:vAlign w:val="bottom"/>
          </w:tcPr>
          <w:p w14:paraId="3EA253F4" w14:textId="77777777" w:rsidR="0093130F" w:rsidRPr="0013526B" w:rsidRDefault="0093130F" w:rsidP="001723A2">
            <w:pPr>
              <w:ind w:left="464" w:hanging="141"/>
              <w:rPr>
                <w:sz w:val="16"/>
                <w:szCs w:val="16"/>
              </w:rPr>
            </w:pPr>
            <w:r>
              <w:rPr>
                <w:sz w:val="16"/>
                <w:szCs w:val="16"/>
              </w:rPr>
              <w:t>Informasi lain:</w:t>
            </w:r>
          </w:p>
        </w:tc>
        <w:tc>
          <w:tcPr>
            <w:tcW w:w="46" w:type="dxa"/>
            <w:tcBorders>
              <w:left w:val="nil"/>
              <w:right w:val="nil"/>
            </w:tcBorders>
          </w:tcPr>
          <w:p w14:paraId="747B8603"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41D12124"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0EF14C41" w14:textId="77777777" w:rsidR="0093130F" w:rsidRPr="008119FA" w:rsidRDefault="0093130F" w:rsidP="003E17A9">
            <w:pPr>
              <w:jc w:val="right"/>
              <w:rPr>
                <w:sz w:val="16"/>
                <w:szCs w:val="16"/>
              </w:rPr>
            </w:pPr>
          </w:p>
        </w:tc>
        <w:tc>
          <w:tcPr>
            <w:tcW w:w="1630" w:type="dxa"/>
            <w:tcBorders>
              <w:left w:val="nil"/>
              <w:right w:val="nil"/>
            </w:tcBorders>
            <w:vAlign w:val="bottom"/>
          </w:tcPr>
          <w:p w14:paraId="5A071BD9"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5DC4438C"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4D604B64" w14:textId="77777777" w:rsidR="0093130F" w:rsidRPr="008119FA" w:rsidRDefault="0093130F" w:rsidP="003E17A9">
            <w:pPr>
              <w:ind w:right="57"/>
              <w:jc w:val="right"/>
              <w:rPr>
                <w:sz w:val="16"/>
                <w:szCs w:val="16"/>
              </w:rPr>
            </w:pPr>
          </w:p>
        </w:tc>
        <w:tc>
          <w:tcPr>
            <w:tcW w:w="47" w:type="dxa"/>
            <w:tcBorders>
              <w:left w:val="nil"/>
              <w:right w:val="nil"/>
            </w:tcBorders>
            <w:shd w:val="clear" w:color="auto" w:fill="auto"/>
            <w:noWrap/>
            <w:vAlign w:val="bottom"/>
          </w:tcPr>
          <w:p w14:paraId="02392D00" w14:textId="77777777" w:rsidR="0093130F" w:rsidRPr="008119FA" w:rsidRDefault="0093130F" w:rsidP="003E17A9">
            <w:pPr>
              <w:jc w:val="right"/>
              <w:rPr>
                <w:sz w:val="16"/>
                <w:szCs w:val="16"/>
              </w:rPr>
            </w:pPr>
          </w:p>
        </w:tc>
        <w:tc>
          <w:tcPr>
            <w:tcW w:w="2037" w:type="dxa"/>
            <w:tcBorders>
              <w:left w:val="nil"/>
              <w:right w:val="nil"/>
            </w:tcBorders>
            <w:shd w:val="clear" w:color="auto" w:fill="auto"/>
            <w:noWrap/>
            <w:vAlign w:val="bottom"/>
          </w:tcPr>
          <w:p w14:paraId="667FFB2A" w14:textId="77777777" w:rsidR="0093130F" w:rsidRPr="0013526B" w:rsidRDefault="0093130F" w:rsidP="003E4541">
            <w:pPr>
              <w:ind w:right="95"/>
              <w:jc w:val="right"/>
              <w:rPr>
                <w:i/>
                <w:iCs/>
                <w:sz w:val="16"/>
                <w:szCs w:val="16"/>
              </w:rPr>
            </w:pPr>
            <w:r>
              <w:rPr>
                <w:i/>
                <w:iCs/>
                <w:sz w:val="16"/>
                <w:szCs w:val="16"/>
              </w:rPr>
              <w:t>Other information:</w:t>
            </w:r>
          </w:p>
        </w:tc>
      </w:tr>
      <w:tr w:rsidR="0093130F" w:rsidRPr="0013526B" w14:paraId="4D9E24B8" w14:textId="77777777" w:rsidTr="00D15EC3">
        <w:trPr>
          <w:trHeight w:val="117"/>
        </w:trPr>
        <w:tc>
          <w:tcPr>
            <w:tcW w:w="2064" w:type="dxa"/>
            <w:tcBorders>
              <w:left w:val="nil"/>
              <w:bottom w:val="nil"/>
              <w:right w:val="nil"/>
            </w:tcBorders>
            <w:shd w:val="clear" w:color="auto" w:fill="auto"/>
            <w:noWrap/>
            <w:vAlign w:val="bottom"/>
          </w:tcPr>
          <w:p w14:paraId="0910F4ED" w14:textId="77777777" w:rsidR="0093130F" w:rsidRPr="0013526B" w:rsidRDefault="0093130F" w:rsidP="001723A2">
            <w:pPr>
              <w:ind w:left="478" w:hanging="141"/>
              <w:rPr>
                <w:sz w:val="16"/>
                <w:szCs w:val="16"/>
              </w:rPr>
            </w:pPr>
            <w:r>
              <w:rPr>
                <w:sz w:val="16"/>
                <w:szCs w:val="16"/>
              </w:rPr>
              <w:t xml:space="preserve">   Pengeluaran modal </w:t>
            </w:r>
          </w:p>
        </w:tc>
        <w:tc>
          <w:tcPr>
            <w:tcW w:w="46" w:type="dxa"/>
            <w:tcBorders>
              <w:left w:val="nil"/>
              <w:right w:val="nil"/>
            </w:tcBorders>
          </w:tcPr>
          <w:p w14:paraId="6A90E370"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53723A7E" w14:textId="12A64B44"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603AE8CF" w14:textId="77777777" w:rsidR="0093130F" w:rsidRPr="008119FA" w:rsidRDefault="0093130F" w:rsidP="003E17A9">
            <w:pPr>
              <w:jc w:val="right"/>
              <w:rPr>
                <w:sz w:val="16"/>
                <w:szCs w:val="16"/>
              </w:rPr>
            </w:pPr>
          </w:p>
        </w:tc>
        <w:tc>
          <w:tcPr>
            <w:tcW w:w="1630" w:type="dxa"/>
            <w:tcBorders>
              <w:left w:val="nil"/>
              <w:right w:val="nil"/>
            </w:tcBorders>
            <w:vAlign w:val="bottom"/>
          </w:tcPr>
          <w:p w14:paraId="4F0242C3" w14:textId="54C131F4" w:rsidR="0093130F" w:rsidRPr="008119FA" w:rsidRDefault="0093130F" w:rsidP="003E17A9">
            <w:pPr>
              <w:ind w:right="57"/>
              <w:jc w:val="right"/>
              <w:rPr>
                <w:sz w:val="16"/>
                <w:szCs w:val="16"/>
              </w:rPr>
            </w:pPr>
          </w:p>
        </w:tc>
        <w:tc>
          <w:tcPr>
            <w:tcW w:w="47" w:type="dxa"/>
            <w:tcBorders>
              <w:left w:val="nil"/>
              <w:bottom w:val="nil"/>
              <w:right w:val="nil"/>
            </w:tcBorders>
            <w:vAlign w:val="bottom"/>
          </w:tcPr>
          <w:p w14:paraId="24C80C75"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2992A146" w14:textId="723E8CEF" w:rsidR="0093130F" w:rsidRPr="008119FA" w:rsidRDefault="008119FA" w:rsidP="003E17A9">
            <w:pPr>
              <w:ind w:right="57"/>
              <w:jc w:val="right"/>
              <w:rPr>
                <w:sz w:val="16"/>
                <w:szCs w:val="16"/>
              </w:rPr>
            </w:pPr>
            <w:r w:rsidRPr="008119FA">
              <w:rPr>
                <w:bCs w:val="0"/>
                <w:sz w:val="16"/>
                <w:szCs w:val="16"/>
              </w:rPr>
              <w:t>143</w:t>
            </w:r>
            <w:r>
              <w:rPr>
                <w:bCs w:val="0"/>
                <w:sz w:val="16"/>
                <w:szCs w:val="16"/>
              </w:rPr>
              <w:t>.</w:t>
            </w:r>
            <w:r w:rsidRPr="008119FA">
              <w:rPr>
                <w:bCs w:val="0"/>
                <w:sz w:val="16"/>
                <w:szCs w:val="16"/>
              </w:rPr>
              <w:t>470</w:t>
            </w:r>
            <w:r>
              <w:rPr>
                <w:bCs w:val="0"/>
                <w:sz w:val="16"/>
                <w:szCs w:val="16"/>
              </w:rPr>
              <w:t>.</w:t>
            </w:r>
            <w:r w:rsidRPr="008119FA">
              <w:rPr>
                <w:bCs w:val="0"/>
                <w:sz w:val="16"/>
                <w:szCs w:val="16"/>
              </w:rPr>
              <w:t>632</w:t>
            </w:r>
            <w:r>
              <w:rPr>
                <w:bCs w:val="0"/>
                <w:sz w:val="16"/>
                <w:szCs w:val="16"/>
              </w:rPr>
              <w:t>.</w:t>
            </w:r>
            <w:r w:rsidRPr="008119FA">
              <w:rPr>
                <w:bCs w:val="0"/>
                <w:sz w:val="16"/>
                <w:szCs w:val="16"/>
              </w:rPr>
              <w:t>272</w:t>
            </w:r>
          </w:p>
        </w:tc>
        <w:tc>
          <w:tcPr>
            <w:tcW w:w="47" w:type="dxa"/>
            <w:tcBorders>
              <w:left w:val="nil"/>
              <w:bottom w:val="nil"/>
              <w:right w:val="nil"/>
            </w:tcBorders>
            <w:shd w:val="clear" w:color="auto" w:fill="auto"/>
            <w:noWrap/>
            <w:vAlign w:val="bottom"/>
          </w:tcPr>
          <w:p w14:paraId="7941B9D1" w14:textId="77777777" w:rsidR="0093130F" w:rsidRPr="008119FA" w:rsidRDefault="0093130F" w:rsidP="003E17A9">
            <w:pPr>
              <w:jc w:val="right"/>
              <w:rPr>
                <w:sz w:val="16"/>
                <w:szCs w:val="16"/>
              </w:rPr>
            </w:pPr>
          </w:p>
        </w:tc>
        <w:tc>
          <w:tcPr>
            <w:tcW w:w="2037" w:type="dxa"/>
            <w:tcBorders>
              <w:left w:val="nil"/>
              <w:right w:val="nil"/>
            </w:tcBorders>
            <w:shd w:val="clear" w:color="auto" w:fill="auto"/>
            <w:noWrap/>
            <w:vAlign w:val="bottom"/>
          </w:tcPr>
          <w:p w14:paraId="69827A63" w14:textId="77777777" w:rsidR="0093130F" w:rsidRPr="0013526B" w:rsidRDefault="0093130F" w:rsidP="003E4541">
            <w:pPr>
              <w:ind w:right="249"/>
              <w:jc w:val="right"/>
              <w:rPr>
                <w:i/>
                <w:iCs/>
                <w:sz w:val="16"/>
                <w:szCs w:val="16"/>
              </w:rPr>
            </w:pPr>
            <w:r>
              <w:rPr>
                <w:i/>
                <w:iCs/>
                <w:sz w:val="16"/>
                <w:szCs w:val="16"/>
              </w:rPr>
              <w:t>Capital Expenditures</w:t>
            </w:r>
          </w:p>
        </w:tc>
      </w:tr>
      <w:tr w:rsidR="0093130F" w:rsidRPr="0013526B" w14:paraId="265C99EA" w14:textId="77777777" w:rsidTr="00D15EC3">
        <w:trPr>
          <w:trHeight w:val="117"/>
        </w:trPr>
        <w:tc>
          <w:tcPr>
            <w:tcW w:w="2064" w:type="dxa"/>
            <w:tcBorders>
              <w:top w:val="nil"/>
              <w:left w:val="nil"/>
              <w:bottom w:val="nil"/>
              <w:right w:val="nil"/>
            </w:tcBorders>
            <w:shd w:val="clear" w:color="auto" w:fill="auto"/>
            <w:noWrap/>
            <w:vAlign w:val="bottom"/>
          </w:tcPr>
          <w:p w14:paraId="005B5EB7" w14:textId="77777777" w:rsidR="003E4541" w:rsidRDefault="0093130F" w:rsidP="001723A2">
            <w:pPr>
              <w:ind w:left="478" w:hanging="141"/>
              <w:rPr>
                <w:sz w:val="16"/>
                <w:szCs w:val="16"/>
              </w:rPr>
            </w:pPr>
            <w:r>
              <w:rPr>
                <w:sz w:val="16"/>
                <w:szCs w:val="16"/>
              </w:rPr>
              <w:t xml:space="preserve">   Depresiasi dan </w:t>
            </w:r>
          </w:p>
          <w:p w14:paraId="46F3913E" w14:textId="2772F630" w:rsidR="0093130F" w:rsidRPr="0013526B" w:rsidRDefault="0093130F" w:rsidP="003E4541">
            <w:pPr>
              <w:ind w:left="712" w:hanging="141"/>
              <w:rPr>
                <w:sz w:val="16"/>
                <w:szCs w:val="16"/>
              </w:rPr>
            </w:pPr>
            <w:r>
              <w:rPr>
                <w:sz w:val="16"/>
                <w:szCs w:val="16"/>
              </w:rPr>
              <w:t>amortisasi</w:t>
            </w:r>
          </w:p>
        </w:tc>
        <w:tc>
          <w:tcPr>
            <w:tcW w:w="46" w:type="dxa"/>
            <w:tcBorders>
              <w:left w:val="nil"/>
              <w:right w:val="nil"/>
            </w:tcBorders>
          </w:tcPr>
          <w:p w14:paraId="0917CEAB"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7160331C" w14:textId="35AE1E96" w:rsidR="0093130F" w:rsidRPr="008119FA" w:rsidRDefault="0093130F" w:rsidP="003E17A9">
            <w:pPr>
              <w:ind w:right="57"/>
              <w:jc w:val="right"/>
              <w:rPr>
                <w:sz w:val="16"/>
                <w:szCs w:val="16"/>
              </w:rPr>
            </w:pPr>
          </w:p>
        </w:tc>
        <w:tc>
          <w:tcPr>
            <w:tcW w:w="47" w:type="dxa"/>
            <w:tcBorders>
              <w:left w:val="nil"/>
              <w:right w:val="nil"/>
            </w:tcBorders>
            <w:vAlign w:val="bottom"/>
          </w:tcPr>
          <w:p w14:paraId="1295B3D5" w14:textId="77777777" w:rsidR="0093130F" w:rsidRPr="008119FA" w:rsidRDefault="0093130F" w:rsidP="003E17A9">
            <w:pPr>
              <w:jc w:val="right"/>
              <w:rPr>
                <w:sz w:val="16"/>
                <w:szCs w:val="16"/>
              </w:rPr>
            </w:pPr>
          </w:p>
        </w:tc>
        <w:tc>
          <w:tcPr>
            <w:tcW w:w="1630" w:type="dxa"/>
            <w:tcBorders>
              <w:left w:val="nil"/>
              <w:right w:val="nil"/>
            </w:tcBorders>
            <w:vAlign w:val="bottom"/>
          </w:tcPr>
          <w:p w14:paraId="1420B332" w14:textId="10A21937" w:rsidR="0093130F" w:rsidRPr="008119FA" w:rsidRDefault="0093130F" w:rsidP="003E17A9">
            <w:pPr>
              <w:ind w:right="57"/>
              <w:jc w:val="right"/>
              <w:rPr>
                <w:sz w:val="16"/>
                <w:szCs w:val="16"/>
              </w:rPr>
            </w:pPr>
          </w:p>
        </w:tc>
        <w:tc>
          <w:tcPr>
            <w:tcW w:w="47" w:type="dxa"/>
            <w:tcBorders>
              <w:left w:val="nil"/>
              <w:right w:val="nil"/>
            </w:tcBorders>
            <w:vAlign w:val="bottom"/>
          </w:tcPr>
          <w:p w14:paraId="45873D36"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7044155C" w14:textId="7B70E324" w:rsidR="0093130F" w:rsidRPr="008119FA" w:rsidRDefault="008119FA" w:rsidP="003E17A9">
            <w:pPr>
              <w:ind w:right="57"/>
              <w:jc w:val="right"/>
              <w:rPr>
                <w:sz w:val="16"/>
                <w:szCs w:val="16"/>
              </w:rPr>
            </w:pPr>
            <w:r w:rsidRPr="008119FA">
              <w:rPr>
                <w:sz w:val="16"/>
                <w:szCs w:val="16"/>
              </w:rPr>
              <w:t>-</w:t>
            </w:r>
          </w:p>
        </w:tc>
        <w:tc>
          <w:tcPr>
            <w:tcW w:w="47" w:type="dxa"/>
            <w:tcBorders>
              <w:left w:val="nil"/>
              <w:right w:val="nil"/>
            </w:tcBorders>
            <w:shd w:val="clear" w:color="auto" w:fill="auto"/>
            <w:noWrap/>
            <w:vAlign w:val="bottom"/>
          </w:tcPr>
          <w:p w14:paraId="7EF454F7" w14:textId="77777777" w:rsidR="0093130F" w:rsidRPr="008119FA" w:rsidRDefault="0093130F" w:rsidP="003E17A9">
            <w:pPr>
              <w:jc w:val="right"/>
              <w:rPr>
                <w:sz w:val="16"/>
                <w:szCs w:val="16"/>
              </w:rPr>
            </w:pPr>
          </w:p>
        </w:tc>
        <w:tc>
          <w:tcPr>
            <w:tcW w:w="2037" w:type="dxa"/>
            <w:tcBorders>
              <w:left w:val="nil"/>
              <w:bottom w:val="nil"/>
              <w:right w:val="nil"/>
            </w:tcBorders>
            <w:shd w:val="clear" w:color="auto" w:fill="auto"/>
            <w:noWrap/>
            <w:vAlign w:val="bottom"/>
          </w:tcPr>
          <w:p w14:paraId="2CFC3D54" w14:textId="77777777" w:rsidR="003E4541" w:rsidRDefault="0093130F" w:rsidP="003E4541">
            <w:pPr>
              <w:ind w:right="263"/>
              <w:jc w:val="right"/>
              <w:rPr>
                <w:i/>
                <w:iCs/>
                <w:sz w:val="16"/>
                <w:szCs w:val="16"/>
              </w:rPr>
            </w:pPr>
            <w:r>
              <w:rPr>
                <w:i/>
                <w:iCs/>
                <w:sz w:val="16"/>
                <w:szCs w:val="16"/>
              </w:rPr>
              <w:t xml:space="preserve">Depreciation and </w:t>
            </w:r>
          </w:p>
          <w:p w14:paraId="7E6C9352" w14:textId="3CD75C49" w:rsidR="0093130F" w:rsidRPr="0013526B" w:rsidRDefault="0093130F" w:rsidP="003E4541">
            <w:pPr>
              <w:ind w:right="459"/>
              <w:jc w:val="right"/>
              <w:rPr>
                <w:i/>
                <w:iCs/>
                <w:sz w:val="16"/>
                <w:szCs w:val="16"/>
              </w:rPr>
            </w:pPr>
            <w:r>
              <w:rPr>
                <w:i/>
                <w:iCs/>
                <w:sz w:val="16"/>
                <w:szCs w:val="16"/>
              </w:rPr>
              <w:t>amortitation</w:t>
            </w:r>
          </w:p>
        </w:tc>
      </w:tr>
      <w:tr w:rsidR="0093130F" w:rsidRPr="0013526B" w14:paraId="378DB39A" w14:textId="77777777" w:rsidTr="00D15EC3">
        <w:trPr>
          <w:trHeight w:val="117"/>
        </w:trPr>
        <w:tc>
          <w:tcPr>
            <w:tcW w:w="2064" w:type="dxa"/>
            <w:tcBorders>
              <w:top w:val="nil"/>
              <w:left w:val="nil"/>
              <w:right w:val="nil"/>
            </w:tcBorders>
            <w:shd w:val="clear" w:color="auto" w:fill="auto"/>
            <w:noWrap/>
            <w:vAlign w:val="bottom"/>
          </w:tcPr>
          <w:p w14:paraId="498979DA" w14:textId="77777777" w:rsidR="0093130F" w:rsidRPr="0013526B" w:rsidRDefault="0093130F" w:rsidP="003E17A9">
            <w:pPr>
              <w:ind w:left="141" w:hanging="141"/>
              <w:rPr>
                <w:sz w:val="16"/>
                <w:szCs w:val="16"/>
              </w:rPr>
            </w:pPr>
          </w:p>
        </w:tc>
        <w:tc>
          <w:tcPr>
            <w:tcW w:w="46" w:type="dxa"/>
            <w:tcBorders>
              <w:left w:val="nil"/>
              <w:right w:val="nil"/>
            </w:tcBorders>
          </w:tcPr>
          <w:p w14:paraId="3A1483DA"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40130C00"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35C0329E" w14:textId="77777777" w:rsidR="0093130F" w:rsidRPr="008119FA" w:rsidRDefault="0093130F" w:rsidP="003E17A9">
            <w:pPr>
              <w:jc w:val="right"/>
              <w:rPr>
                <w:sz w:val="16"/>
                <w:szCs w:val="16"/>
              </w:rPr>
            </w:pPr>
          </w:p>
        </w:tc>
        <w:tc>
          <w:tcPr>
            <w:tcW w:w="1630" w:type="dxa"/>
            <w:tcBorders>
              <w:left w:val="nil"/>
              <w:right w:val="nil"/>
            </w:tcBorders>
            <w:vAlign w:val="bottom"/>
          </w:tcPr>
          <w:p w14:paraId="2962B057"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4A13C462"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7361C814" w14:textId="77777777" w:rsidR="0093130F" w:rsidRPr="008119FA" w:rsidRDefault="0093130F" w:rsidP="003E17A9">
            <w:pPr>
              <w:ind w:right="57"/>
              <w:jc w:val="right"/>
              <w:rPr>
                <w:sz w:val="16"/>
                <w:szCs w:val="16"/>
              </w:rPr>
            </w:pPr>
          </w:p>
        </w:tc>
        <w:tc>
          <w:tcPr>
            <w:tcW w:w="47" w:type="dxa"/>
            <w:tcBorders>
              <w:left w:val="nil"/>
              <w:right w:val="nil"/>
            </w:tcBorders>
            <w:shd w:val="clear" w:color="auto" w:fill="auto"/>
            <w:noWrap/>
            <w:vAlign w:val="bottom"/>
          </w:tcPr>
          <w:p w14:paraId="0945975D" w14:textId="77777777" w:rsidR="0093130F" w:rsidRPr="008119FA" w:rsidRDefault="0093130F" w:rsidP="003E17A9">
            <w:pPr>
              <w:jc w:val="right"/>
              <w:rPr>
                <w:sz w:val="16"/>
                <w:szCs w:val="16"/>
              </w:rPr>
            </w:pPr>
          </w:p>
        </w:tc>
        <w:tc>
          <w:tcPr>
            <w:tcW w:w="2037" w:type="dxa"/>
            <w:tcBorders>
              <w:left w:val="nil"/>
              <w:right w:val="nil"/>
            </w:tcBorders>
            <w:shd w:val="clear" w:color="auto" w:fill="auto"/>
            <w:noWrap/>
            <w:vAlign w:val="bottom"/>
          </w:tcPr>
          <w:p w14:paraId="4DCC7412" w14:textId="77777777" w:rsidR="0093130F" w:rsidRPr="0013526B" w:rsidRDefault="0093130F" w:rsidP="003E17A9">
            <w:pPr>
              <w:ind w:right="85"/>
              <w:jc w:val="right"/>
              <w:rPr>
                <w:i/>
                <w:iCs/>
                <w:sz w:val="16"/>
                <w:szCs w:val="16"/>
              </w:rPr>
            </w:pPr>
          </w:p>
        </w:tc>
      </w:tr>
      <w:tr w:rsidR="0093130F" w:rsidRPr="0013526B" w14:paraId="51086020" w14:textId="77777777" w:rsidTr="00D15EC3">
        <w:trPr>
          <w:trHeight w:val="117"/>
        </w:trPr>
        <w:tc>
          <w:tcPr>
            <w:tcW w:w="2064" w:type="dxa"/>
            <w:tcBorders>
              <w:top w:val="nil"/>
              <w:left w:val="nil"/>
              <w:bottom w:val="nil"/>
              <w:right w:val="nil"/>
            </w:tcBorders>
            <w:shd w:val="clear" w:color="auto" w:fill="auto"/>
            <w:noWrap/>
            <w:vAlign w:val="bottom"/>
          </w:tcPr>
          <w:p w14:paraId="522FE559" w14:textId="77777777" w:rsidR="0093130F" w:rsidRPr="000E27E3" w:rsidRDefault="0093130F" w:rsidP="001723A2">
            <w:pPr>
              <w:ind w:left="436" w:hanging="141"/>
              <w:rPr>
                <w:b/>
                <w:bCs w:val="0"/>
                <w:sz w:val="16"/>
                <w:szCs w:val="16"/>
              </w:rPr>
            </w:pPr>
            <w:r>
              <w:rPr>
                <w:b/>
                <w:bCs w:val="0"/>
                <w:sz w:val="16"/>
                <w:szCs w:val="16"/>
              </w:rPr>
              <w:t>ASET</w:t>
            </w:r>
          </w:p>
        </w:tc>
        <w:tc>
          <w:tcPr>
            <w:tcW w:w="46" w:type="dxa"/>
            <w:tcBorders>
              <w:left w:val="nil"/>
              <w:right w:val="nil"/>
            </w:tcBorders>
          </w:tcPr>
          <w:p w14:paraId="127E6F56"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1781EE37"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6E9C81C1" w14:textId="77777777" w:rsidR="0093130F" w:rsidRPr="008119FA" w:rsidRDefault="0093130F" w:rsidP="003E17A9">
            <w:pPr>
              <w:jc w:val="right"/>
              <w:rPr>
                <w:sz w:val="16"/>
                <w:szCs w:val="16"/>
              </w:rPr>
            </w:pPr>
          </w:p>
        </w:tc>
        <w:tc>
          <w:tcPr>
            <w:tcW w:w="1630" w:type="dxa"/>
            <w:tcBorders>
              <w:left w:val="nil"/>
              <w:right w:val="nil"/>
            </w:tcBorders>
            <w:vAlign w:val="bottom"/>
          </w:tcPr>
          <w:p w14:paraId="052AB7C9"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52D9586F"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77227FED" w14:textId="77777777" w:rsidR="0093130F" w:rsidRPr="008119FA" w:rsidRDefault="0093130F" w:rsidP="003E17A9">
            <w:pPr>
              <w:ind w:right="57"/>
              <w:jc w:val="right"/>
              <w:rPr>
                <w:sz w:val="16"/>
                <w:szCs w:val="16"/>
              </w:rPr>
            </w:pPr>
          </w:p>
        </w:tc>
        <w:tc>
          <w:tcPr>
            <w:tcW w:w="47" w:type="dxa"/>
            <w:tcBorders>
              <w:left w:val="nil"/>
              <w:right w:val="nil"/>
            </w:tcBorders>
            <w:shd w:val="clear" w:color="auto" w:fill="auto"/>
            <w:noWrap/>
            <w:vAlign w:val="bottom"/>
          </w:tcPr>
          <w:p w14:paraId="01928CA1" w14:textId="77777777" w:rsidR="0093130F" w:rsidRPr="008119FA" w:rsidRDefault="0093130F" w:rsidP="003E17A9">
            <w:pPr>
              <w:jc w:val="right"/>
              <w:rPr>
                <w:sz w:val="16"/>
                <w:szCs w:val="16"/>
              </w:rPr>
            </w:pPr>
          </w:p>
        </w:tc>
        <w:tc>
          <w:tcPr>
            <w:tcW w:w="2037" w:type="dxa"/>
            <w:tcBorders>
              <w:left w:val="nil"/>
              <w:right w:val="nil"/>
            </w:tcBorders>
            <w:shd w:val="clear" w:color="auto" w:fill="auto"/>
            <w:noWrap/>
            <w:vAlign w:val="bottom"/>
          </w:tcPr>
          <w:p w14:paraId="6E29B4C2" w14:textId="77777777" w:rsidR="0093130F" w:rsidRPr="0093130F" w:rsidRDefault="0093130F" w:rsidP="003E17A9">
            <w:pPr>
              <w:ind w:right="85"/>
              <w:jc w:val="right"/>
              <w:rPr>
                <w:b/>
                <w:bCs w:val="0"/>
                <w:i/>
                <w:iCs/>
                <w:sz w:val="16"/>
                <w:szCs w:val="16"/>
              </w:rPr>
            </w:pPr>
            <w:r w:rsidRPr="0093130F">
              <w:rPr>
                <w:b/>
                <w:bCs w:val="0"/>
                <w:i/>
                <w:iCs/>
                <w:sz w:val="16"/>
                <w:szCs w:val="16"/>
              </w:rPr>
              <w:t>ASSETS</w:t>
            </w:r>
          </w:p>
        </w:tc>
      </w:tr>
      <w:tr w:rsidR="0093130F" w:rsidRPr="0013526B" w14:paraId="39677FA1" w14:textId="77777777" w:rsidTr="00D15EC3">
        <w:trPr>
          <w:trHeight w:val="117"/>
        </w:trPr>
        <w:tc>
          <w:tcPr>
            <w:tcW w:w="2064" w:type="dxa"/>
            <w:tcBorders>
              <w:top w:val="nil"/>
              <w:left w:val="nil"/>
              <w:bottom w:val="nil"/>
              <w:right w:val="nil"/>
            </w:tcBorders>
            <w:shd w:val="clear" w:color="auto" w:fill="auto"/>
            <w:noWrap/>
            <w:vAlign w:val="bottom"/>
          </w:tcPr>
          <w:p w14:paraId="495C9559" w14:textId="77777777" w:rsidR="0093130F" w:rsidRPr="0013526B" w:rsidRDefault="0093130F" w:rsidP="001723A2">
            <w:pPr>
              <w:ind w:left="436" w:hanging="141"/>
              <w:rPr>
                <w:sz w:val="16"/>
                <w:szCs w:val="16"/>
              </w:rPr>
            </w:pPr>
            <w:r>
              <w:rPr>
                <w:sz w:val="16"/>
                <w:szCs w:val="16"/>
              </w:rPr>
              <w:t>Jumlah aset konsolidasian</w:t>
            </w:r>
          </w:p>
        </w:tc>
        <w:tc>
          <w:tcPr>
            <w:tcW w:w="46" w:type="dxa"/>
            <w:tcBorders>
              <w:left w:val="nil"/>
              <w:right w:val="nil"/>
            </w:tcBorders>
          </w:tcPr>
          <w:p w14:paraId="7FDA5C7B"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771AE320" w14:textId="45183088" w:rsidR="0093130F" w:rsidRPr="008119FA" w:rsidRDefault="0093130F" w:rsidP="003E17A9">
            <w:pPr>
              <w:ind w:right="57"/>
              <w:jc w:val="right"/>
              <w:rPr>
                <w:sz w:val="16"/>
                <w:szCs w:val="16"/>
              </w:rPr>
            </w:pPr>
          </w:p>
        </w:tc>
        <w:tc>
          <w:tcPr>
            <w:tcW w:w="47" w:type="dxa"/>
            <w:tcBorders>
              <w:left w:val="nil"/>
              <w:right w:val="nil"/>
            </w:tcBorders>
            <w:vAlign w:val="bottom"/>
          </w:tcPr>
          <w:p w14:paraId="5D8839FC" w14:textId="77777777" w:rsidR="0093130F" w:rsidRPr="008119FA" w:rsidRDefault="0093130F" w:rsidP="003E17A9">
            <w:pPr>
              <w:jc w:val="right"/>
              <w:rPr>
                <w:sz w:val="16"/>
                <w:szCs w:val="16"/>
              </w:rPr>
            </w:pPr>
          </w:p>
        </w:tc>
        <w:tc>
          <w:tcPr>
            <w:tcW w:w="1630" w:type="dxa"/>
            <w:tcBorders>
              <w:left w:val="nil"/>
              <w:right w:val="nil"/>
            </w:tcBorders>
            <w:vAlign w:val="bottom"/>
          </w:tcPr>
          <w:p w14:paraId="4E256006" w14:textId="73D81E88" w:rsidR="0093130F" w:rsidRPr="008119FA" w:rsidRDefault="0093130F" w:rsidP="003E17A9">
            <w:pPr>
              <w:ind w:right="57"/>
              <w:jc w:val="right"/>
              <w:rPr>
                <w:sz w:val="16"/>
                <w:szCs w:val="16"/>
              </w:rPr>
            </w:pPr>
          </w:p>
        </w:tc>
        <w:tc>
          <w:tcPr>
            <w:tcW w:w="47" w:type="dxa"/>
            <w:tcBorders>
              <w:left w:val="nil"/>
              <w:right w:val="nil"/>
            </w:tcBorders>
            <w:vAlign w:val="bottom"/>
          </w:tcPr>
          <w:p w14:paraId="0AE19A1A"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0BE19BB5" w14:textId="03B306D9" w:rsidR="0093130F" w:rsidRPr="008119FA" w:rsidRDefault="008119FA" w:rsidP="003E17A9">
            <w:pPr>
              <w:ind w:right="57"/>
              <w:jc w:val="right"/>
              <w:rPr>
                <w:sz w:val="16"/>
                <w:szCs w:val="16"/>
              </w:rPr>
            </w:pPr>
            <w:r w:rsidRPr="008119FA">
              <w:rPr>
                <w:bCs w:val="0"/>
                <w:sz w:val="16"/>
                <w:szCs w:val="16"/>
              </w:rPr>
              <w:t>2</w:t>
            </w:r>
            <w:r>
              <w:rPr>
                <w:bCs w:val="0"/>
                <w:sz w:val="16"/>
                <w:szCs w:val="16"/>
              </w:rPr>
              <w:t>.</w:t>
            </w:r>
            <w:r w:rsidRPr="008119FA">
              <w:rPr>
                <w:bCs w:val="0"/>
                <w:sz w:val="16"/>
                <w:szCs w:val="16"/>
              </w:rPr>
              <w:t>871</w:t>
            </w:r>
            <w:r>
              <w:rPr>
                <w:bCs w:val="0"/>
                <w:sz w:val="16"/>
                <w:szCs w:val="16"/>
              </w:rPr>
              <w:t>.</w:t>
            </w:r>
            <w:r w:rsidRPr="008119FA">
              <w:rPr>
                <w:bCs w:val="0"/>
                <w:sz w:val="16"/>
                <w:szCs w:val="16"/>
              </w:rPr>
              <w:t>347</w:t>
            </w:r>
            <w:r>
              <w:rPr>
                <w:bCs w:val="0"/>
                <w:sz w:val="16"/>
                <w:szCs w:val="16"/>
              </w:rPr>
              <w:t>.</w:t>
            </w:r>
            <w:r w:rsidRPr="008119FA">
              <w:rPr>
                <w:bCs w:val="0"/>
                <w:sz w:val="16"/>
                <w:szCs w:val="16"/>
              </w:rPr>
              <w:t>531</w:t>
            </w:r>
            <w:r>
              <w:rPr>
                <w:bCs w:val="0"/>
                <w:sz w:val="16"/>
                <w:szCs w:val="16"/>
              </w:rPr>
              <w:t>.</w:t>
            </w:r>
            <w:r w:rsidRPr="008119FA">
              <w:rPr>
                <w:bCs w:val="0"/>
                <w:sz w:val="16"/>
                <w:szCs w:val="16"/>
              </w:rPr>
              <w:t>713</w:t>
            </w:r>
          </w:p>
        </w:tc>
        <w:tc>
          <w:tcPr>
            <w:tcW w:w="47" w:type="dxa"/>
            <w:tcBorders>
              <w:left w:val="nil"/>
              <w:right w:val="nil"/>
            </w:tcBorders>
            <w:shd w:val="clear" w:color="auto" w:fill="auto"/>
            <w:noWrap/>
            <w:vAlign w:val="bottom"/>
          </w:tcPr>
          <w:p w14:paraId="691F346F" w14:textId="77777777" w:rsidR="0093130F" w:rsidRPr="008119FA" w:rsidRDefault="0093130F" w:rsidP="003E17A9">
            <w:pPr>
              <w:jc w:val="right"/>
              <w:rPr>
                <w:sz w:val="16"/>
                <w:szCs w:val="16"/>
              </w:rPr>
            </w:pPr>
          </w:p>
        </w:tc>
        <w:tc>
          <w:tcPr>
            <w:tcW w:w="2037" w:type="dxa"/>
            <w:tcBorders>
              <w:left w:val="nil"/>
              <w:right w:val="nil"/>
            </w:tcBorders>
            <w:shd w:val="clear" w:color="auto" w:fill="auto"/>
            <w:noWrap/>
            <w:vAlign w:val="bottom"/>
          </w:tcPr>
          <w:p w14:paraId="6D2B83AD" w14:textId="77777777" w:rsidR="0093130F" w:rsidRPr="0013526B" w:rsidRDefault="0093130F" w:rsidP="003E17A9">
            <w:pPr>
              <w:ind w:right="85"/>
              <w:jc w:val="right"/>
              <w:rPr>
                <w:i/>
                <w:iCs/>
                <w:sz w:val="16"/>
                <w:szCs w:val="16"/>
              </w:rPr>
            </w:pPr>
            <w:r>
              <w:rPr>
                <w:i/>
                <w:iCs/>
                <w:sz w:val="16"/>
                <w:szCs w:val="16"/>
              </w:rPr>
              <w:t>Total consolidated assets</w:t>
            </w:r>
          </w:p>
        </w:tc>
      </w:tr>
      <w:tr w:rsidR="0093130F" w:rsidRPr="0013526B" w14:paraId="4299B1B2" w14:textId="77777777" w:rsidTr="00D15EC3">
        <w:trPr>
          <w:trHeight w:val="117"/>
        </w:trPr>
        <w:tc>
          <w:tcPr>
            <w:tcW w:w="2064" w:type="dxa"/>
            <w:tcBorders>
              <w:top w:val="nil"/>
              <w:left w:val="nil"/>
              <w:bottom w:val="nil"/>
              <w:right w:val="nil"/>
            </w:tcBorders>
            <w:shd w:val="clear" w:color="auto" w:fill="auto"/>
            <w:noWrap/>
            <w:vAlign w:val="bottom"/>
          </w:tcPr>
          <w:p w14:paraId="52982006" w14:textId="77777777" w:rsidR="0093130F" w:rsidRPr="0013526B" w:rsidRDefault="0093130F" w:rsidP="001723A2">
            <w:pPr>
              <w:ind w:left="436" w:hanging="141"/>
              <w:rPr>
                <w:sz w:val="16"/>
                <w:szCs w:val="16"/>
              </w:rPr>
            </w:pPr>
          </w:p>
        </w:tc>
        <w:tc>
          <w:tcPr>
            <w:tcW w:w="46" w:type="dxa"/>
            <w:tcBorders>
              <w:left w:val="nil"/>
              <w:right w:val="nil"/>
            </w:tcBorders>
          </w:tcPr>
          <w:p w14:paraId="31116C88"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047D7BE5"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5D06B58A" w14:textId="77777777" w:rsidR="0093130F" w:rsidRPr="008119FA" w:rsidRDefault="0093130F" w:rsidP="003E17A9">
            <w:pPr>
              <w:jc w:val="right"/>
              <w:rPr>
                <w:sz w:val="16"/>
                <w:szCs w:val="16"/>
              </w:rPr>
            </w:pPr>
          </w:p>
        </w:tc>
        <w:tc>
          <w:tcPr>
            <w:tcW w:w="1630" w:type="dxa"/>
            <w:tcBorders>
              <w:left w:val="nil"/>
              <w:right w:val="nil"/>
            </w:tcBorders>
            <w:vAlign w:val="bottom"/>
          </w:tcPr>
          <w:p w14:paraId="656F558F"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7B323466"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50112B02" w14:textId="77777777" w:rsidR="0093130F" w:rsidRPr="008119FA" w:rsidRDefault="0093130F" w:rsidP="003E17A9">
            <w:pPr>
              <w:ind w:right="57"/>
              <w:jc w:val="right"/>
              <w:rPr>
                <w:sz w:val="16"/>
                <w:szCs w:val="16"/>
              </w:rPr>
            </w:pPr>
          </w:p>
        </w:tc>
        <w:tc>
          <w:tcPr>
            <w:tcW w:w="47" w:type="dxa"/>
            <w:tcBorders>
              <w:left w:val="nil"/>
              <w:right w:val="nil"/>
            </w:tcBorders>
            <w:shd w:val="clear" w:color="auto" w:fill="auto"/>
            <w:noWrap/>
            <w:vAlign w:val="bottom"/>
          </w:tcPr>
          <w:p w14:paraId="3DABD29B" w14:textId="77777777" w:rsidR="0093130F" w:rsidRPr="008119FA" w:rsidRDefault="0093130F" w:rsidP="003E17A9">
            <w:pPr>
              <w:jc w:val="right"/>
              <w:rPr>
                <w:sz w:val="16"/>
                <w:szCs w:val="16"/>
              </w:rPr>
            </w:pPr>
          </w:p>
        </w:tc>
        <w:tc>
          <w:tcPr>
            <w:tcW w:w="2037" w:type="dxa"/>
            <w:tcBorders>
              <w:left w:val="nil"/>
              <w:right w:val="nil"/>
            </w:tcBorders>
            <w:shd w:val="clear" w:color="auto" w:fill="auto"/>
            <w:noWrap/>
            <w:vAlign w:val="bottom"/>
          </w:tcPr>
          <w:p w14:paraId="03BB46D9" w14:textId="77777777" w:rsidR="0093130F" w:rsidRPr="0013526B" w:rsidRDefault="0093130F" w:rsidP="003E17A9">
            <w:pPr>
              <w:ind w:right="227"/>
              <w:jc w:val="right"/>
              <w:rPr>
                <w:i/>
                <w:iCs/>
                <w:sz w:val="16"/>
                <w:szCs w:val="16"/>
              </w:rPr>
            </w:pPr>
          </w:p>
        </w:tc>
      </w:tr>
      <w:tr w:rsidR="0093130F" w:rsidRPr="0013526B" w14:paraId="767D1143" w14:textId="77777777" w:rsidTr="00D15EC3">
        <w:trPr>
          <w:trHeight w:val="117"/>
        </w:trPr>
        <w:tc>
          <w:tcPr>
            <w:tcW w:w="2064" w:type="dxa"/>
            <w:tcBorders>
              <w:top w:val="nil"/>
              <w:left w:val="nil"/>
              <w:bottom w:val="nil"/>
              <w:right w:val="nil"/>
            </w:tcBorders>
            <w:shd w:val="clear" w:color="auto" w:fill="auto"/>
            <w:noWrap/>
            <w:vAlign w:val="bottom"/>
          </w:tcPr>
          <w:p w14:paraId="1D42E2B7" w14:textId="77777777" w:rsidR="0093130F" w:rsidRPr="000E27E3" w:rsidRDefault="0093130F" w:rsidP="001723A2">
            <w:pPr>
              <w:ind w:left="436" w:hanging="141"/>
              <w:rPr>
                <w:b/>
                <w:bCs w:val="0"/>
                <w:sz w:val="16"/>
                <w:szCs w:val="16"/>
              </w:rPr>
            </w:pPr>
            <w:r w:rsidRPr="000E27E3">
              <w:rPr>
                <w:b/>
                <w:bCs w:val="0"/>
                <w:sz w:val="16"/>
                <w:szCs w:val="16"/>
              </w:rPr>
              <w:t>LIABILITAS</w:t>
            </w:r>
          </w:p>
        </w:tc>
        <w:tc>
          <w:tcPr>
            <w:tcW w:w="46" w:type="dxa"/>
            <w:tcBorders>
              <w:left w:val="nil"/>
              <w:right w:val="nil"/>
            </w:tcBorders>
          </w:tcPr>
          <w:p w14:paraId="2A005349"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6987D1F6"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1A8EBE49" w14:textId="77777777" w:rsidR="0093130F" w:rsidRPr="008119FA" w:rsidRDefault="0093130F" w:rsidP="003E17A9">
            <w:pPr>
              <w:jc w:val="right"/>
              <w:rPr>
                <w:sz w:val="16"/>
                <w:szCs w:val="16"/>
              </w:rPr>
            </w:pPr>
          </w:p>
        </w:tc>
        <w:tc>
          <w:tcPr>
            <w:tcW w:w="1630" w:type="dxa"/>
            <w:tcBorders>
              <w:left w:val="nil"/>
              <w:right w:val="nil"/>
            </w:tcBorders>
            <w:vAlign w:val="bottom"/>
          </w:tcPr>
          <w:p w14:paraId="7126A9EB" w14:textId="77777777" w:rsidR="0093130F" w:rsidRPr="008119FA" w:rsidRDefault="0093130F" w:rsidP="003E17A9">
            <w:pPr>
              <w:ind w:right="57"/>
              <w:jc w:val="right"/>
              <w:rPr>
                <w:sz w:val="16"/>
                <w:szCs w:val="16"/>
              </w:rPr>
            </w:pPr>
          </w:p>
        </w:tc>
        <w:tc>
          <w:tcPr>
            <w:tcW w:w="47" w:type="dxa"/>
            <w:tcBorders>
              <w:left w:val="nil"/>
              <w:right w:val="nil"/>
            </w:tcBorders>
            <w:vAlign w:val="bottom"/>
          </w:tcPr>
          <w:p w14:paraId="73518D6F"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1AABDF47" w14:textId="77777777" w:rsidR="0093130F" w:rsidRPr="008119FA" w:rsidRDefault="0093130F" w:rsidP="003E17A9">
            <w:pPr>
              <w:ind w:right="57"/>
              <w:jc w:val="right"/>
              <w:rPr>
                <w:sz w:val="16"/>
                <w:szCs w:val="16"/>
              </w:rPr>
            </w:pPr>
          </w:p>
        </w:tc>
        <w:tc>
          <w:tcPr>
            <w:tcW w:w="47" w:type="dxa"/>
            <w:tcBorders>
              <w:left w:val="nil"/>
              <w:right w:val="nil"/>
            </w:tcBorders>
            <w:shd w:val="clear" w:color="auto" w:fill="auto"/>
            <w:noWrap/>
            <w:vAlign w:val="bottom"/>
          </w:tcPr>
          <w:p w14:paraId="4EA15553" w14:textId="77777777" w:rsidR="0093130F" w:rsidRPr="008119FA" w:rsidRDefault="0093130F" w:rsidP="003E17A9">
            <w:pPr>
              <w:jc w:val="right"/>
              <w:rPr>
                <w:sz w:val="16"/>
                <w:szCs w:val="16"/>
              </w:rPr>
            </w:pPr>
          </w:p>
        </w:tc>
        <w:tc>
          <w:tcPr>
            <w:tcW w:w="2037" w:type="dxa"/>
            <w:tcBorders>
              <w:left w:val="nil"/>
              <w:right w:val="nil"/>
            </w:tcBorders>
            <w:shd w:val="clear" w:color="auto" w:fill="auto"/>
            <w:noWrap/>
            <w:vAlign w:val="bottom"/>
          </w:tcPr>
          <w:p w14:paraId="1E532347" w14:textId="77777777" w:rsidR="0093130F" w:rsidRPr="0093130F" w:rsidRDefault="0093130F" w:rsidP="003E17A9">
            <w:pPr>
              <w:ind w:right="85"/>
              <w:jc w:val="right"/>
              <w:rPr>
                <w:b/>
                <w:bCs w:val="0"/>
                <w:i/>
                <w:iCs/>
                <w:sz w:val="16"/>
                <w:szCs w:val="16"/>
              </w:rPr>
            </w:pPr>
            <w:r w:rsidRPr="0093130F">
              <w:rPr>
                <w:b/>
                <w:bCs w:val="0"/>
                <w:i/>
                <w:iCs/>
                <w:sz w:val="16"/>
                <w:szCs w:val="16"/>
              </w:rPr>
              <w:t>LIABILITIES</w:t>
            </w:r>
          </w:p>
        </w:tc>
      </w:tr>
      <w:tr w:rsidR="0093130F" w:rsidRPr="0013526B" w14:paraId="4DE8D74D" w14:textId="77777777" w:rsidTr="00D15EC3">
        <w:trPr>
          <w:trHeight w:val="117"/>
        </w:trPr>
        <w:tc>
          <w:tcPr>
            <w:tcW w:w="2064" w:type="dxa"/>
            <w:tcBorders>
              <w:top w:val="nil"/>
              <w:left w:val="nil"/>
              <w:bottom w:val="nil"/>
              <w:right w:val="nil"/>
            </w:tcBorders>
            <w:shd w:val="clear" w:color="auto" w:fill="auto"/>
            <w:noWrap/>
            <w:vAlign w:val="bottom"/>
          </w:tcPr>
          <w:p w14:paraId="370C3991" w14:textId="77777777" w:rsidR="0093130F" w:rsidRPr="000E27E3" w:rsidRDefault="0093130F" w:rsidP="001723A2">
            <w:pPr>
              <w:ind w:left="436" w:hanging="141"/>
              <w:rPr>
                <w:bCs w:val="0"/>
                <w:sz w:val="16"/>
                <w:szCs w:val="16"/>
              </w:rPr>
            </w:pPr>
            <w:r w:rsidRPr="000E27E3">
              <w:rPr>
                <w:bCs w:val="0"/>
                <w:sz w:val="16"/>
                <w:szCs w:val="16"/>
              </w:rPr>
              <w:t>J</w:t>
            </w:r>
            <w:r>
              <w:rPr>
                <w:bCs w:val="0"/>
                <w:sz w:val="16"/>
                <w:szCs w:val="16"/>
              </w:rPr>
              <w:t>umlah liabilitas konsolidasian</w:t>
            </w:r>
          </w:p>
        </w:tc>
        <w:tc>
          <w:tcPr>
            <w:tcW w:w="46" w:type="dxa"/>
            <w:tcBorders>
              <w:left w:val="nil"/>
              <w:right w:val="nil"/>
            </w:tcBorders>
          </w:tcPr>
          <w:p w14:paraId="6B093DD3" w14:textId="77777777" w:rsidR="0093130F" w:rsidRPr="0013526B" w:rsidRDefault="0093130F" w:rsidP="003E17A9">
            <w:pPr>
              <w:ind w:right="57"/>
              <w:jc w:val="right"/>
              <w:rPr>
                <w:sz w:val="16"/>
                <w:szCs w:val="16"/>
              </w:rPr>
            </w:pPr>
          </w:p>
        </w:tc>
        <w:tc>
          <w:tcPr>
            <w:tcW w:w="1630" w:type="dxa"/>
            <w:tcBorders>
              <w:left w:val="nil"/>
              <w:right w:val="nil"/>
            </w:tcBorders>
            <w:vAlign w:val="bottom"/>
          </w:tcPr>
          <w:p w14:paraId="5C95B2CC" w14:textId="4F726BE7" w:rsidR="0093130F" w:rsidRPr="008119FA" w:rsidRDefault="0093130F" w:rsidP="003E17A9">
            <w:pPr>
              <w:ind w:right="57"/>
              <w:jc w:val="right"/>
              <w:rPr>
                <w:sz w:val="16"/>
                <w:szCs w:val="16"/>
              </w:rPr>
            </w:pPr>
          </w:p>
        </w:tc>
        <w:tc>
          <w:tcPr>
            <w:tcW w:w="47" w:type="dxa"/>
            <w:tcBorders>
              <w:left w:val="nil"/>
              <w:right w:val="nil"/>
            </w:tcBorders>
            <w:vAlign w:val="bottom"/>
          </w:tcPr>
          <w:p w14:paraId="75F932B8" w14:textId="77777777" w:rsidR="0093130F" w:rsidRPr="008119FA" w:rsidRDefault="0093130F" w:rsidP="003E17A9">
            <w:pPr>
              <w:jc w:val="right"/>
              <w:rPr>
                <w:b/>
                <w:sz w:val="16"/>
                <w:szCs w:val="16"/>
              </w:rPr>
            </w:pPr>
          </w:p>
        </w:tc>
        <w:tc>
          <w:tcPr>
            <w:tcW w:w="1630" w:type="dxa"/>
            <w:tcBorders>
              <w:left w:val="nil"/>
              <w:right w:val="nil"/>
            </w:tcBorders>
            <w:vAlign w:val="bottom"/>
          </w:tcPr>
          <w:p w14:paraId="741BAB49" w14:textId="4C0AA540" w:rsidR="0093130F" w:rsidRPr="008119FA" w:rsidRDefault="0093130F" w:rsidP="003E17A9">
            <w:pPr>
              <w:ind w:right="57"/>
              <w:jc w:val="right"/>
              <w:rPr>
                <w:sz w:val="16"/>
                <w:szCs w:val="16"/>
              </w:rPr>
            </w:pPr>
          </w:p>
        </w:tc>
        <w:tc>
          <w:tcPr>
            <w:tcW w:w="47" w:type="dxa"/>
            <w:tcBorders>
              <w:left w:val="nil"/>
              <w:right w:val="nil"/>
            </w:tcBorders>
            <w:vAlign w:val="bottom"/>
          </w:tcPr>
          <w:p w14:paraId="648705D4" w14:textId="77777777" w:rsidR="0093130F" w:rsidRPr="008119FA" w:rsidRDefault="0093130F" w:rsidP="003E17A9">
            <w:pPr>
              <w:jc w:val="right"/>
              <w:rPr>
                <w:sz w:val="16"/>
                <w:szCs w:val="16"/>
              </w:rPr>
            </w:pPr>
          </w:p>
        </w:tc>
        <w:tc>
          <w:tcPr>
            <w:tcW w:w="1630" w:type="dxa"/>
            <w:tcBorders>
              <w:left w:val="nil"/>
              <w:right w:val="nil"/>
            </w:tcBorders>
            <w:shd w:val="clear" w:color="auto" w:fill="auto"/>
            <w:noWrap/>
            <w:vAlign w:val="bottom"/>
          </w:tcPr>
          <w:p w14:paraId="2AF78F07" w14:textId="6DC1A206" w:rsidR="0093130F" w:rsidRPr="008119FA" w:rsidRDefault="008119FA" w:rsidP="003E17A9">
            <w:pPr>
              <w:ind w:right="57"/>
              <w:jc w:val="right"/>
              <w:rPr>
                <w:sz w:val="16"/>
                <w:szCs w:val="16"/>
              </w:rPr>
            </w:pPr>
            <w:r w:rsidRPr="008119FA">
              <w:rPr>
                <w:bCs w:val="0"/>
                <w:sz w:val="16"/>
                <w:szCs w:val="16"/>
              </w:rPr>
              <w:t>1</w:t>
            </w:r>
            <w:r>
              <w:rPr>
                <w:bCs w:val="0"/>
                <w:sz w:val="16"/>
                <w:szCs w:val="16"/>
              </w:rPr>
              <w:t>.</w:t>
            </w:r>
            <w:r w:rsidRPr="008119FA">
              <w:rPr>
                <w:bCs w:val="0"/>
                <w:sz w:val="16"/>
                <w:szCs w:val="16"/>
              </w:rPr>
              <w:t>024</w:t>
            </w:r>
            <w:r>
              <w:rPr>
                <w:bCs w:val="0"/>
                <w:sz w:val="16"/>
                <w:szCs w:val="16"/>
              </w:rPr>
              <w:t>.</w:t>
            </w:r>
            <w:r w:rsidRPr="008119FA">
              <w:rPr>
                <w:bCs w:val="0"/>
                <w:sz w:val="16"/>
                <w:szCs w:val="16"/>
              </w:rPr>
              <w:t>111</w:t>
            </w:r>
            <w:r>
              <w:rPr>
                <w:bCs w:val="0"/>
                <w:sz w:val="16"/>
                <w:szCs w:val="16"/>
              </w:rPr>
              <w:t>.</w:t>
            </w:r>
            <w:r w:rsidRPr="008119FA">
              <w:rPr>
                <w:bCs w:val="0"/>
                <w:sz w:val="16"/>
                <w:szCs w:val="16"/>
              </w:rPr>
              <w:t>160</w:t>
            </w:r>
            <w:r>
              <w:rPr>
                <w:bCs w:val="0"/>
                <w:sz w:val="16"/>
                <w:szCs w:val="16"/>
              </w:rPr>
              <w:t>.</w:t>
            </w:r>
            <w:r w:rsidRPr="008119FA">
              <w:rPr>
                <w:bCs w:val="0"/>
                <w:sz w:val="16"/>
                <w:szCs w:val="16"/>
              </w:rPr>
              <w:t>552</w:t>
            </w:r>
          </w:p>
        </w:tc>
        <w:tc>
          <w:tcPr>
            <w:tcW w:w="47" w:type="dxa"/>
            <w:tcBorders>
              <w:left w:val="nil"/>
              <w:right w:val="nil"/>
            </w:tcBorders>
            <w:shd w:val="clear" w:color="auto" w:fill="auto"/>
            <w:noWrap/>
            <w:vAlign w:val="bottom"/>
          </w:tcPr>
          <w:p w14:paraId="7636C06E" w14:textId="77777777" w:rsidR="0093130F" w:rsidRPr="008119FA" w:rsidRDefault="0093130F" w:rsidP="003E17A9">
            <w:pPr>
              <w:jc w:val="right"/>
              <w:rPr>
                <w:sz w:val="16"/>
                <w:szCs w:val="16"/>
              </w:rPr>
            </w:pPr>
          </w:p>
        </w:tc>
        <w:tc>
          <w:tcPr>
            <w:tcW w:w="2037" w:type="dxa"/>
            <w:tcBorders>
              <w:left w:val="nil"/>
              <w:right w:val="nil"/>
            </w:tcBorders>
            <w:shd w:val="clear" w:color="auto" w:fill="auto"/>
            <w:noWrap/>
            <w:vAlign w:val="bottom"/>
          </w:tcPr>
          <w:p w14:paraId="648DCA55" w14:textId="77777777" w:rsidR="003E4541" w:rsidRDefault="0093130F" w:rsidP="003E4541">
            <w:pPr>
              <w:ind w:right="81"/>
              <w:jc w:val="right"/>
              <w:rPr>
                <w:bCs w:val="0"/>
                <w:i/>
                <w:iCs/>
                <w:sz w:val="16"/>
                <w:szCs w:val="16"/>
              </w:rPr>
            </w:pPr>
            <w:r w:rsidRPr="0093130F">
              <w:rPr>
                <w:bCs w:val="0"/>
                <w:i/>
                <w:iCs/>
                <w:sz w:val="16"/>
                <w:szCs w:val="16"/>
              </w:rPr>
              <w:t xml:space="preserve">Total consolidated </w:t>
            </w:r>
          </w:p>
          <w:p w14:paraId="2D812157" w14:textId="6911A257" w:rsidR="0093130F" w:rsidRPr="0093130F" w:rsidRDefault="0093130F" w:rsidP="003E17A9">
            <w:pPr>
              <w:ind w:right="227"/>
              <w:jc w:val="right"/>
              <w:rPr>
                <w:bCs w:val="0"/>
                <w:i/>
                <w:iCs/>
                <w:sz w:val="16"/>
                <w:szCs w:val="16"/>
              </w:rPr>
            </w:pPr>
            <w:r w:rsidRPr="0093130F">
              <w:rPr>
                <w:bCs w:val="0"/>
                <w:i/>
                <w:iCs/>
                <w:sz w:val="16"/>
                <w:szCs w:val="16"/>
              </w:rPr>
              <w:t>liabilities</w:t>
            </w:r>
          </w:p>
        </w:tc>
      </w:tr>
      <w:tr w:rsidR="0093130F" w:rsidRPr="000E27E3" w14:paraId="3C7AD1D8" w14:textId="77777777" w:rsidTr="00D15EC3">
        <w:trPr>
          <w:trHeight w:val="117"/>
        </w:trPr>
        <w:tc>
          <w:tcPr>
            <w:tcW w:w="2064" w:type="dxa"/>
            <w:tcBorders>
              <w:top w:val="nil"/>
              <w:left w:val="nil"/>
              <w:bottom w:val="nil"/>
              <w:right w:val="nil"/>
            </w:tcBorders>
            <w:shd w:val="clear" w:color="auto" w:fill="auto"/>
            <w:noWrap/>
            <w:vAlign w:val="bottom"/>
          </w:tcPr>
          <w:p w14:paraId="789896DC" w14:textId="77777777" w:rsidR="0093130F" w:rsidRPr="000E27E3" w:rsidRDefault="0093130F" w:rsidP="003E17A9">
            <w:pPr>
              <w:ind w:left="141" w:hanging="141"/>
              <w:rPr>
                <w:b/>
                <w:sz w:val="16"/>
                <w:szCs w:val="16"/>
                <w:vertAlign w:val="superscript"/>
              </w:rPr>
            </w:pPr>
          </w:p>
        </w:tc>
        <w:tc>
          <w:tcPr>
            <w:tcW w:w="46" w:type="dxa"/>
            <w:tcBorders>
              <w:left w:val="nil"/>
              <w:right w:val="nil"/>
            </w:tcBorders>
          </w:tcPr>
          <w:p w14:paraId="10E079B9" w14:textId="77777777" w:rsidR="0093130F" w:rsidRPr="000E27E3" w:rsidRDefault="0093130F" w:rsidP="003E17A9">
            <w:pPr>
              <w:ind w:right="57"/>
              <w:jc w:val="right"/>
              <w:rPr>
                <w:sz w:val="16"/>
                <w:szCs w:val="16"/>
                <w:vertAlign w:val="superscript"/>
              </w:rPr>
            </w:pPr>
          </w:p>
        </w:tc>
        <w:tc>
          <w:tcPr>
            <w:tcW w:w="1630" w:type="dxa"/>
            <w:tcBorders>
              <w:left w:val="nil"/>
              <w:right w:val="nil"/>
            </w:tcBorders>
            <w:vAlign w:val="bottom"/>
          </w:tcPr>
          <w:p w14:paraId="0EAA752B" w14:textId="77777777" w:rsidR="0093130F" w:rsidRPr="000E27E3" w:rsidRDefault="0093130F" w:rsidP="003E17A9">
            <w:pPr>
              <w:ind w:right="57"/>
              <w:jc w:val="right"/>
              <w:rPr>
                <w:sz w:val="16"/>
                <w:szCs w:val="16"/>
                <w:vertAlign w:val="superscript"/>
              </w:rPr>
            </w:pPr>
          </w:p>
        </w:tc>
        <w:tc>
          <w:tcPr>
            <w:tcW w:w="47" w:type="dxa"/>
            <w:tcBorders>
              <w:left w:val="nil"/>
              <w:right w:val="nil"/>
            </w:tcBorders>
            <w:vAlign w:val="bottom"/>
          </w:tcPr>
          <w:p w14:paraId="3C5DA69F" w14:textId="77777777" w:rsidR="0093130F" w:rsidRPr="000E27E3" w:rsidRDefault="0093130F" w:rsidP="003E17A9">
            <w:pPr>
              <w:jc w:val="right"/>
              <w:rPr>
                <w:b/>
                <w:sz w:val="16"/>
                <w:szCs w:val="16"/>
                <w:vertAlign w:val="superscript"/>
              </w:rPr>
            </w:pPr>
          </w:p>
        </w:tc>
        <w:tc>
          <w:tcPr>
            <w:tcW w:w="1630" w:type="dxa"/>
            <w:tcBorders>
              <w:left w:val="nil"/>
              <w:right w:val="nil"/>
            </w:tcBorders>
            <w:vAlign w:val="bottom"/>
          </w:tcPr>
          <w:p w14:paraId="6FCDFDD9" w14:textId="77777777" w:rsidR="0093130F" w:rsidRPr="000E27E3" w:rsidRDefault="0093130F" w:rsidP="003E17A9">
            <w:pPr>
              <w:ind w:right="57"/>
              <w:jc w:val="right"/>
              <w:rPr>
                <w:sz w:val="16"/>
                <w:szCs w:val="16"/>
                <w:vertAlign w:val="superscript"/>
              </w:rPr>
            </w:pPr>
          </w:p>
        </w:tc>
        <w:tc>
          <w:tcPr>
            <w:tcW w:w="47" w:type="dxa"/>
            <w:tcBorders>
              <w:left w:val="nil"/>
              <w:right w:val="nil"/>
            </w:tcBorders>
            <w:vAlign w:val="bottom"/>
          </w:tcPr>
          <w:p w14:paraId="4C9050BD" w14:textId="77777777" w:rsidR="0093130F" w:rsidRPr="000E27E3" w:rsidRDefault="0093130F" w:rsidP="003E17A9">
            <w:pPr>
              <w:jc w:val="right"/>
              <w:rPr>
                <w:sz w:val="16"/>
                <w:szCs w:val="16"/>
                <w:vertAlign w:val="superscript"/>
              </w:rPr>
            </w:pPr>
          </w:p>
        </w:tc>
        <w:tc>
          <w:tcPr>
            <w:tcW w:w="1630" w:type="dxa"/>
            <w:tcBorders>
              <w:left w:val="nil"/>
              <w:right w:val="nil"/>
            </w:tcBorders>
            <w:shd w:val="clear" w:color="auto" w:fill="auto"/>
            <w:noWrap/>
            <w:vAlign w:val="bottom"/>
          </w:tcPr>
          <w:p w14:paraId="57763382" w14:textId="77777777" w:rsidR="0093130F" w:rsidRPr="000E27E3" w:rsidRDefault="0093130F" w:rsidP="003E17A9">
            <w:pPr>
              <w:ind w:right="57"/>
              <w:jc w:val="right"/>
              <w:rPr>
                <w:sz w:val="16"/>
                <w:szCs w:val="16"/>
                <w:vertAlign w:val="superscript"/>
              </w:rPr>
            </w:pPr>
          </w:p>
        </w:tc>
        <w:tc>
          <w:tcPr>
            <w:tcW w:w="47" w:type="dxa"/>
            <w:tcBorders>
              <w:left w:val="nil"/>
              <w:right w:val="nil"/>
            </w:tcBorders>
            <w:shd w:val="clear" w:color="auto" w:fill="auto"/>
            <w:noWrap/>
            <w:vAlign w:val="bottom"/>
          </w:tcPr>
          <w:p w14:paraId="6CA2DBB0" w14:textId="77777777" w:rsidR="0093130F" w:rsidRPr="000E27E3" w:rsidRDefault="0093130F" w:rsidP="003E17A9">
            <w:pPr>
              <w:jc w:val="right"/>
              <w:rPr>
                <w:sz w:val="16"/>
                <w:szCs w:val="16"/>
                <w:vertAlign w:val="superscript"/>
              </w:rPr>
            </w:pPr>
          </w:p>
        </w:tc>
        <w:tc>
          <w:tcPr>
            <w:tcW w:w="2037" w:type="dxa"/>
            <w:tcBorders>
              <w:left w:val="nil"/>
              <w:right w:val="nil"/>
            </w:tcBorders>
            <w:shd w:val="clear" w:color="auto" w:fill="auto"/>
            <w:noWrap/>
            <w:vAlign w:val="bottom"/>
          </w:tcPr>
          <w:p w14:paraId="3ED2EA7F" w14:textId="77777777" w:rsidR="0093130F" w:rsidRPr="000E27E3" w:rsidRDefault="0093130F" w:rsidP="003E17A9">
            <w:pPr>
              <w:ind w:right="227"/>
              <w:jc w:val="right"/>
              <w:rPr>
                <w:b/>
                <w:i/>
                <w:iCs/>
                <w:sz w:val="16"/>
                <w:szCs w:val="16"/>
                <w:vertAlign w:val="superscript"/>
              </w:rPr>
            </w:pPr>
          </w:p>
        </w:tc>
      </w:tr>
    </w:tbl>
    <w:p w14:paraId="4A986250" w14:textId="089B7D17" w:rsidR="001105A9" w:rsidRDefault="001105A9" w:rsidP="0013526B">
      <w:pPr>
        <w:tabs>
          <w:tab w:val="left" w:pos="2070"/>
        </w:tabs>
      </w:pPr>
    </w:p>
    <w:p w14:paraId="34A02A8C" w14:textId="77777777" w:rsidR="00C96684" w:rsidRPr="003C2319" w:rsidRDefault="00C96684" w:rsidP="0013526B">
      <w:pPr>
        <w:rPr>
          <w:sz w:val="2"/>
          <w:szCs w:val="2"/>
        </w:rPr>
      </w:pPr>
    </w:p>
    <w:tbl>
      <w:tblPr>
        <w:tblW w:w="9197" w:type="dxa"/>
        <w:tblInd w:w="126" w:type="dxa"/>
        <w:tblLayout w:type="fixed"/>
        <w:tblLook w:val="0000" w:firstRow="0" w:lastRow="0" w:firstColumn="0" w:lastColumn="0" w:noHBand="0" w:noVBand="0"/>
      </w:tblPr>
      <w:tblGrid>
        <w:gridCol w:w="4598"/>
        <w:gridCol w:w="4599"/>
      </w:tblGrid>
      <w:tr w:rsidR="00F01842" w:rsidRPr="0013526B" w14:paraId="6CE37B3C" w14:textId="77777777" w:rsidTr="009A292C">
        <w:tc>
          <w:tcPr>
            <w:tcW w:w="4598" w:type="dxa"/>
            <w:tcBorders>
              <w:top w:val="nil"/>
              <w:left w:val="nil"/>
              <w:bottom w:val="nil"/>
              <w:right w:val="nil"/>
            </w:tcBorders>
          </w:tcPr>
          <w:p w14:paraId="7ACC209F" w14:textId="77777777" w:rsidR="00F01842" w:rsidRPr="0013526B" w:rsidRDefault="00F01842" w:rsidP="00070D1F">
            <w:pPr>
              <w:numPr>
                <w:ilvl w:val="0"/>
                <w:numId w:val="402"/>
              </w:numPr>
              <w:ind w:left="331" w:hanging="425"/>
              <w:jc w:val="both"/>
              <w:rPr>
                <w:b/>
                <w:sz w:val="18"/>
                <w:szCs w:val="18"/>
              </w:rPr>
            </w:pPr>
            <w:r w:rsidRPr="0013526B">
              <w:rPr>
                <w:b/>
                <w:sz w:val="18"/>
                <w:szCs w:val="18"/>
              </w:rPr>
              <w:t>TUJUAN DAN KEBIJAKAN MANAJEMEN RISIKO</w:t>
            </w:r>
          </w:p>
        </w:tc>
        <w:tc>
          <w:tcPr>
            <w:tcW w:w="4599" w:type="dxa"/>
            <w:tcBorders>
              <w:top w:val="nil"/>
              <w:left w:val="nil"/>
              <w:bottom w:val="nil"/>
              <w:right w:val="nil"/>
            </w:tcBorders>
          </w:tcPr>
          <w:p w14:paraId="040C74A4" w14:textId="2975C2E0" w:rsidR="00F01842" w:rsidRPr="0013526B" w:rsidRDefault="00F01842" w:rsidP="00070D1F">
            <w:pPr>
              <w:numPr>
                <w:ilvl w:val="0"/>
                <w:numId w:val="404"/>
              </w:numPr>
              <w:jc w:val="both"/>
              <w:rPr>
                <w:b/>
                <w:i/>
                <w:sz w:val="18"/>
                <w:szCs w:val="18"/>
              </w:rPr>
            </w:pPr>
            <w:r w:rsidRPr="0013526B">
              <w:rPr>
                <w:b/>
                <w:i/>
                <w:sz w:val="18"/>
                <w:szCs w:val="18"/>
              </w:rPr>
              <w:t>FINANCIAL RISK MANAGEMENT OBJE</w:t>
            </w:r>
            <w:r w:rsidR="00054578">
              <w:rPr>
                <w:b/>
                <w:i/>
                <w:sz w:val="18"/>
                <w:szCs w:val="18"/>
              </w:rPr>
              <w:t>C</w:t>
            </w:r>
            <w:r w:rsidRPr="0013526B">
              <w:rPr>
                <w:b/>
                <w:i/>
                <w:sz w:val="18"/>
                <w:szCs w:val="18"/>
              </w:rPr>
              <w:t>TIVES AND POLICIES</w:t>
            </w:r>
          </w:p>
        </w:tc>
      </w:tr>
      <w:tr w:rsidR="00F01842" w:rsidRPr="0013526B" w14:paraId="4F34AE7D" w14:textId="77777777" w:rsidTr="009A292C">
        <w:tc>
          <w:tcPr>
            <w:tcW w:w="4598" w:type="dxa"/>
            <w:tcBorders>
              <w:top w:val="nil"/>
              <w:left w:val="nil"/>
              <w:bottom w:val="nil"/>
              <w:right w:val="nil"/>
            </w:tcBorders>
          </w:tcPr>
          <w:p w14:paraId="6DFBADD2" w14:textId="77777777" w:rsidR="00F01842" w:rsidRPr="0013526B" w:rsidRDefault="00F01842" w:rsidP="0013526B">
            <w:pPr>
              <w:pStyle w:val="Default"/>
              <w:ind w:right="-57"/>
              <w:jc w:val="both"/>
              <w:rPr>
                <w:rFonts w:ascii="Times New Roman" w:hAnsi="Times New Roman" w:cs="Times New Roman"/>
                <w:b/>
                <w:sz w:val="16"/>
                <w:szCs w:val="16"/>
              </w:rPr>
            </w:pPr>
          </w:p>
        </w:tc>
        <w:tc>
          <w:tcPr>
            <w:tcW w:w="4599" w:type="dxa"/>
            <w:tcBorders>
              <w:top w:val="nil"/>
              <w:left w:val="nil"/>
              <w:bottom w:val="nil"/>
              <w:right w:val="nil"/>
            </w:tcBorders>
          </w:tcPr>
          <w:p w14:paraId="6B484966" w14:textId="77777777" w:rsidR="00F01842" w:rsidRPr="0013526B" w:rsidRDefault="00F01842" w:rsidP="0013526B">
            <w:pPr>
              <w:pStyle w:val="ListParagraph"/>
              <w:ind w:left="431" w:right="-57"/>
              <w:jc w:val="both"/>
              <w:rPr>
                <w:b/>
                <w:i/>
                <w:sz w:val="16"/>
                <w:szCs w:val="16"/>
              </w:rPr>
            </w:pPr>
          </w:p>
        </w:tc>
      </w:tr>
      <w:tr w:rsidR="00F01842" w:rsidRPr="0013526B" w14:paraId="33A066CF" w14:textId="77777777" w:rsidTr="009A292C">
        <w:tc>
          <w:tcPr>
            <w:tcW w:w="4598" w:type="dxa"/>
            <w:tcBorders>
              <w:top w:val="nil"/>
              <w:left w:val="nil"/>
              <w:bottom w:val="nil"/>
              <w:right w:val="nil"/>
            </w:tcBorders>
          </w:tcPr>
          <w:p w14:paraId="3316C28F" w14:textId="3C4D5D98" w:rsidR="00F01842" w:rsidRPr="0013526B" w:rsidRDefault="00F01842" w:rsidP="0046654F">
            <w:pPr>
              <w:pStyle w:val="ListParagraph"/>
              <w:ind w:left="284" w:right="-57"/>
              <w:jc w:val="both"/>
              <w:rPr>
                <w:sz w:val="18"/>
                <w:szCs w:val="18"/>
              </w:rPr>
            </w:pPr>
            <w:r w:rsidRPr="0013526B">
              <w:rPr>
                <w:sz w:val="18"/>
                <w:szCs w:val="18"/>
              </w:rPr>
              <w:t xml:space="preserve">Risiko utama dari instrumen keuangan </w:t>
            </w:r>
            <w:r w:rsidR="00605E86" w:rsidRPr="0013526B">
              <w:rPr>
                <w:sz w:val="18"/>
                <w:szCs w:val="18"/>
              </w:rPr>
              <w:t>Kelompok Usaha</w:t>
            </w:r>
            <w:r w:rsidRPr="0013526B">
              <w:rPr>
                <w:sz w:val="18"/>
                <w:szCs w:val="18"/>
              </w:rPr>
              <w:t xml:space="preserve"> adalah risiko pasar termasuk risiko perubahan nilai tukar mata uang asing dan risiko tingkat bunga</w:t>
            </w:r>
            <w:r w:rsidR="00305CA0">
              <w:rPr>
                <w:sz w:val="18"/>
                <w:szCs w:val="18"/>
              </w:rPr>
              <w:t>.</w:t>
            </w:r>
            <w:r w:rsidRPr="0013526B">
              <w:rPr>
                <w:sz w:val="18"/>
                <w:szCs w:val="18"/>
              </w:rPr>
              <w:t xml:space="preserve"> </w:t>
            </w:r>
            <w:proofErr w:type="gramStart"/>
            <w:r w:rsidRPr="0013526B">
              <w:rPr>
                <w:sz w:val="18"/>
                <w:szCs w:val="18"/>
              </w:rPr>
              <w:t>risiko</w:t>
            </w:r>
            <w:proofErr w:type="gramEnd"/>
            <w:r w:rsidRPr="0013526B">
              <w:rPr>
                <w:sz w:val="18"/>
                <w:szCs w:val="18"/>
              </w:rPr>
              <w:t xml:space="preserve"> kredit serta risiko likuiditas. Kebijakan keuangan </w:t>
            </w:r>
            <w:r w:rsidR="00605E86" w:rsidRPr="0013526B">
              <w:rPr>
                <w:sz w:val="18"/>
                <w:szCs w:val="18"/>
              </w:rPr>
              <w:t>Kelompok Usaha</w:t>
            </w:r>
            <w:r w:rsidRPr="0013526B">
              <w:rPr>
                <w:sz w:val="18"/>
                <w:szCs w:val="18"/>
              </w:rPr>
              <w:t xml:space="preserve"> dimaksudkan untuk mengurangi dampak keuangan dari fluktuasi tingkat bunga dan nilai tukar mata uang asing serta meminimalisir potensi kerugian yang dapat berdampak pada risiko keuangan </w:t>
            </w:r>
            <w:r w:rsidR="00605E86" w:rsidRPr="0013526B">
              <w:rPr>
                <w:sz w:val="18"/>
                <w:szCs w:val="18"/>
              </w:rPr>
              <w:t>Kelompok Usaha</w:t>
            </w:r>
            <w:r w:rsidRPr="0013526B">
              <w:rPr>
                <w:sz w:val="18"/>
                <w:szCs w:val="18"/>
              </w:rPr>
              <w:t>.</w:t>
            </w:r>
          </w:p>
        </w:tc>
        <w:tc>
          <w:tcPr>
            <w:tcW w:w="4599" w:type="dxa"/>
            <w:tcBorders>
              <w:top w:val="nil"/>
              <w:left w:val="nil"/>
              <w:bottom w:val="nil"/>
              <w:right w:val="nil"/>
            </w:tcBorders>
          </w:tcPr>
          <w:p w14:paraId="0B32B6ED" w14:textId="1BB20316" w:rsidR="00F01842" w:rsidRPr="0013526B" w:rsidRDefault="00F01842" w:rsidP="0046654F">
            <w:pPr>
              <w:pStyle w:val="ListParagraph"/>
              <w:ind w:left="374" w:right="-57"/>
              <w:jc w:val="both"/>
              <w:rPr>
                <w:i/>
                <w:sz w:val="18"/>
                <w:szCs w:val="18"/>
              </w:rPr>
            </w:pPr>
            <w:r w:rsidRPr="0013526B">
              <w:rPr>
                <w:i/>
                <w:sz w:val="18"/>
                <w:szCs w:val="18"/>
              </w:rPr>
              <w:t xml:space="preserve">The main risk arising from the </w:t>
            </w:r>
            <w:r w:rsidR="00605E86" w:rsidRPr="0013526B">
              <w:rPr>
                <w:i/>
                <w:sz w:val="18"/>
                <w:szCs w:val="18"/>
              </w:rPr>
              <w:t>Group</w:t>
            </w:r>
            <w:r w:rsidRPr="0013526B">
              <w:rPr>
                <w:i/>
                <w:sz w:val="18"/>
                <w:szCs w:val="18"/>
              </w:rPr>
              <w:t>’</w:t>
            </w:r>
            <w:r w:rsidR="00E6799A">
              <w:rPr>
                <w:i/>
                <w:sz w:val="18"/>
                <w:szCs w:val="18"/>
              </w:rPr>
              <w:t>s</w:t>
            </w:r>
            <w:r w:rsidRPr="0013526B">
              <w:rPr>
                <w:i/>
                <w:sz w:val="18"/>
                <w:szCs w:val="18"/>
              </w:rPr>
              <w:t xml:space="preserve"> financial instruments are market risk including foreign exchange risk and interest rate risk</w:t>
            </w:r>
            <w:r w:rsidR="00305CA0">
              <w:rPr>
                <w:i/>
                <w:sz w:val="18"/>
                <w:szCs w:val="18"/>
              </w:rPr>
              <w:t>.</w:t>
            </w:r>
            <w:r w:rsidRPr="0013526B">
              <w:rPr>
                <w:i/>
                <w:sz w:val="18"/>
                <w:szCs w:val="18"/>
              </w:rPr>
              <w:t xml:space="preserve"> </w:t>
            </w:r>
            <w:proofErr w:type="gramStart"/>
            <w:r w:rsidRPr="0013526B">
              <w:rPr>
                <w:i/>
                <w:sz w:val="18"/>
                <w:szCs w:val="18"/>
              </w:rPr>
              <w:t>credit</w:t>
            </w:r>
            <w:proofErr w:type="gramEnd"/>
            <w:r w:rsidRPr="0013526B">
              <w:rPr>
                <w:i/>
                <w:sz w:val="18"/>
                <w:szCs w:val="18"/>
              </w:rPr>
              <w:t xml:space="preserve"> risk and liquidity risk. The </w:t>
            </w:r>
            <w:r w:rsidR="00605E86" w:rsidRPr="0013526B">
              <w:rPr>
                <w:i/>
                <w:sz w:val="18"/>
                <w:szCs w:val="18"/>
              </w:rPr>
              <w:t>Group</w:t>
            </w:r>
            <w:r w:rsidR="00E6799A">
              <w:rPr>
                <w:i/>
                <w:sz w:val="18"/>
                <w:szCs w:val="18"/>
              </w:rPr>
              <w:t>s</w:t>
            </w:r>
            <w:r w:rsidRPr="0013526B">
              <w:rPr>
                <w:i/>
                <w:sz w:val="18"/>
                <w:szCs w:val="18"/>
              </w:rPr>
              <w:t xml:space="preserve"> treasury policies are designed to mitigate the financial impact of fluctuations in interest rates and foreign exchanges rates and to minimize poential adverse effects on the </w:t>
            </w:r>
            <w:r w:rsidR="00605E86" w:rsidRPr="0013526B">
              <w:rPr>
                <w:i/>
                <w:sz w:val="18"/>
                <w:szCs w:val="18"/>
              </w:rPr>
              <w:t>Group</w:t>
            </w:r>
            <w:r w:rsidR="002C6A14">
              <w:rPr>
                <w:i/>
                <w:sz w:val="18"/>
                <w:szCs w:val="18"/>
              </w:rPr>
              <w:t>s</w:t>
            </w:r>
            <w:r w:rsidRPr="0013526B">
              <w:rPr>
                <w:i/>
                <w:sz w:val="18"/>
                <w:szCs w:val="18"/>
              </w:rPr>
              <w:t xml:space="preserve"> financial risk.</w:t>
            </w:r>
          </w:p>
        </w:tc>
      </w:tr>
    </w:tbl>
    <w:p w14:paraId="6597DF34" w14:textId="31A2F8F8" w:rsidR="00081AE3" w:rsidRDefault="00081AE3">
      <w:pPr>
        <w:rPr>
          <w:sz w:val="18"/>
        </w:rPr>
      </w:pPr>
    </w:p>
    <w:p w14:paraId="543619AF" w14:textId="538452FF" w:rsidR="001105A9" w:rsidRDefault="001105A9">
      <w:pPr>
        <w:rPr>
          <w:sz w:val="18"/>
        </w:rPr>
      </w:pPr>
    </w:p>
    <w:p w14:paraId="1670E3FF" w14:textId="0C4E834F" w:rsidR="001105A9" w:rsidRDefault="001105A9">
      <w:pPr>
        <w:rPr>
          <w:sz w:val="18"/>
        </w:rPr>
      </w:pPr>
    </w:p>
    <w:p w14:paraId="3B10193C" w14:textId="0C28C784" w:rsidR="001105A9" w:rsidRDefault="001105A9">
      <w:pPr>
        <w:rPr>
          <w:sz w:val="18"/>
        </w:rPr>
      </w:pPr>
    </w:p>
    <w:p w14:paraId="137AD172" w14:textId="517CF80D" w:rsidR="001105A9" w:rsidRDefault="001105A9">
      <w:pPr>
        <w:rPr>
          <w:sz w:val="18"/>
        </w:rPr>
      </w:pPr>
    </w:p>
    <w:p w14:paraId="4244ECBB" w14:textId="0D7827F7" w:rsidR="001105A9" w:rsidRDefault="001105A9">
      <w:pPr>
        <w:rPr>
          <w:sz w:val="18"/>
        </w:rPr>
      </w:pPr>
    </w:p>
    <w:p w14:paraId="55A1E4D4" w14:textId="5A669135" w:rsidR="001105A9" w:rsidRDefault="001105A9">
      <w:pPr>
        <w:rPr>
          <w:sz w:val="18"/>
        </w:rPr>
      </w:pPr>
    </w:p>
    <w:p w14:paraId="2BDD8907" w14:textId="491FB595" w:rsidR="001105A9" w:rsidRDefault="001105A9">
      <w:pPr>
        <w:rPr>
          <w:sz w:val="18"/>
        </w:rPr>
      </w:pPr>
    </w:p>
    <w:tbl>
      <w:tblPr>
        <w:tblW w:w="9197" w:type="dxa"/>
        <w:tblInd w:w="154" w:type="dxa"/>
        <w:tblLayout w:type="fixed"/>
        <w:tblLook w:val="0000" w:firstRow="0" w:lastRow="0" w:firstColumn="0" w:lastColumn="0" w:noHBand="0" w:noVBand="0"/>
      </w:tblPr>
      <w:tblGrid>
        <w:gridCol w:w="4598"/>
        <w:gridCol w:w="4599"/>
      </w:tblGrid>
      <w:tr w:rsidR="001105A9" w:rsidRPr="0013526B" w14:paraId="32976EA4" w14:textId="77777777" w:rsidTr="001105A9">
        <w:tc>
          <w:tcPr>
            <w:tcW w:w="4598" w:type="dxa"/>
            <w:tcBorders>
              <w:top w:val="nil"/>
              <w:left w:val="nil"/>
              <w:bottom w:val="nil"/>
              <w:right w:val="nil"/>
            </w:tcBorders>
          </w:tcPr>
          <w:p w14:paraId="4516C925" w14:textId="7EF302B3" w:rsidR="001105A9" w:rsidRPr="001105A9" w:rsidRDefault="001105A9" w:rsidP="00070D1F">
            <w:pPr>
              <w:numPr>
                <w:ilvl w:val="0"/>
                <w:numId w:val="405"/>
              </w:numPr>
              <w:jc w:val="both"/>
              <w:rPr>
                <w:rFonts w:eastAsia="Calibri"/>
                <w:b/>
                <w:bCs w:val="0"/>
                <w:color w:val="000000"/>
                <w:sz w:val="18"/>
                <w:szCs w:val="18"/>
              </w:rPr>
            </w:pPr>
            <w:r w:rsidRPr="001105A9">
              <w:rPr>
                <w:rFonts w:eastAsia="Calibri"/>
                <w:b/>
                <w:bCs w:val="0"/>
                <w:color w:val="000000"/>
                <w:sz w:val="18"/>
                <w:szCs w:val="18"/>
              </w:rPr>
              <w:lastRenderedPageBreak/>
              <w:t>TUJUAN DAN KEBIJAKAN MANAJEMEN RISIKO</w:t>
            </w:r>
            <w:r>
              <w:rPr>
                <w:rFonts w:eastAsia="Calibri"/>
                <w:b/>
                <w:bCs w:val="0"/>
                <w:color w:val="000000"/>
                <w:sz w:val="18"/>
                <w:szCs w:val="18"/>
              </w:rPr>
              <w:t xml:space="preserve"> - Lanjutan</w:t>
            </w:r>
          </w:p>
        </w:tc>
        <w:tc>
          <w:tcPr>
            <w:tcW w:w="4599" w:type="dxa"/>
            <w:tcBorders>
              <w:top w:val="nil"/>
              <w:left w:val="nil"/>
              <w:bottom w:val="nil"/>
              <w:right w:val="nil"/>
            </w:tcBorders>
          </w:tcPr>
          <w:p w14:paraId="162F608B" w14:textId="5688F8A6" w:rsidR="001105A9" w:rsidRPr="0013526B" w:rsidRDefault="001105A9" w:rsidP="00070D1F">
            <w:pPr>
              <w:numPr>
                <w:ilvl w:val="0"/>
                <w:numId w:val="406"/>
              </w:numPr>
              <w:jc w:val="both"/>
              <w:rPr>
                <w:b/>
                <w:i/>
                <w:sz w:val="18"/>
                <w:szCs w:val="18"/>
              </w:rPr>
            </w:pPr>
            <w:r w:rsidRPr="0013526B">
              <w:rPr>
                <w:b/>
                <w:i/>
                <w:sz w:val="18"/>
                <w:szCs w:val="18"/>
              </w:rPr>
              <w:t>FINANCIAL RISK MANAGEMENT OBJE</w:t>
            </w:r>
            <w:r>
              <w:rPr>
                <w:b/>
                <w:i/>
                <w:sz w:val="18"/>
                <w:szCs w:val="18"/>
              </w:rPr>
              <w:t>C</w:t>
            </w:r>
            <w:r w:rsidRPr="0013526B">
              <w:rPr>
                <w:b/>
                <w:i/>
                <w:sz w:val="18"/>
                <w:szCs w:val="18"/>
              </w:rPr>
              <w:t>TIVES AND POLICIES</w:t>
            </w:r>
            <w:r>
              <w:rPr>
                <w:b/>
                <w:i/>
                <w:sz w:val="18"/>
                <w:szCs w:val="18"/>
              </w:rPr>
              <w:t xml:space="preserve"> - Continued</w:t>
            </w:r>
          </w:p>
        </w:tc>
      </w:tr>
      <w:tr w:rsidR="001105A9" w:rsidRPr="0013526B" w14:paraId="201FADA9" w14:textId="77777777" w:rsidTr="001105A9">
        <w:tc>
          <w:tcPr>
            <w:tcW w:w="4598" w:type="dxa"/>
            <w:tcBorders>
              <w:top w:val="nil"/>
              <w:left w:val="nil"/>
              <w:bottom w:val="nil"/>
              <w:right w:val="nil"/>
            </w:tcBorders>
          </w:tcPr>
          <w:p w14:paraId="767C619E" w14:textId="77777777" w:rsidR="001105A9" w:rsidRPr="001105A9" w:rsidRDefault="001105A9" w:rsidP="001105A9">
            <w:pPr>
              <w:pStyle w:val="Default"/>
              <w:ind w:left="284"/>
              <w:jc w:val="both"/>
              <w:rPr>
                <w:rFonts w:ascii="Times New Roman" w:hAnsi="Times New Roman" w:cs="Times New Roman"/>
                <w:b/>
                <w:sz w:val="18"/>
                <w:szCs w:val="18"/>
              </w:rPr>
            </w:pPr>
          </w:p>
        </w:tc>
        <w:tc>
          <w:tcPr>
            <w:tcW w:w="4599" w:type="dxa"/>
            <w:tcBorders>
              <w:top w:val="nil"/>
              <w:left w:val="nil"/>
              <w:bottom w:val="nil"/>
              <w:right w:val="nil"/>
            </w:tcBorders>
          </w:tcPr>
          <w:p w14:paraId="1CB9D4A6" w14:textId="77777777" w:rsidR="001105A9" w:rsidRPr="001105A9" w:rsidRDefault="001105A9" w:rsidP="001105A9">
            <w:pPr>
              <w:pStyle w:val="ListParagraph"/>
              <w:ind w:left="284"/>
              <w:jc w:val="both"/>
              <w:rPr>
                <w:b/>
                <w:i/>
                <w:sz w:val="18"/>
                <w:szCs w:val="18"/>
              </w:rPr>
            </w:pPr>
          </w:p>
        </w:tc>
      </w:tr>
      <w:tr w:rsidR="00F01842" w:rsidRPr="0013526B" w14:paraId="2A095700" w14:textId="77777777" w:rsidTr="009A292C">
        <w:tc>
          <w:tcPr>
            <w:tcW w:w="4598" w:type="dxa"/>
            <w:tcBorders>
              <w:top w:val="nil"/>
              <w:left w:val="nil"/>
              <w:bottom w:val="nil"/>
              <w:right w:val="nil"/>
            </w:tcBorders>
          </w:tcPr>
          <w:p w14:paraId="0109CF95" w14:textId="77777777" w:rsidR="00F01842" w:rsidRPr="0013526B" w:rsidRDefault="00F01842" w:rsidP="0013526B">
            <w:pPr>
              <w:pStyle w:val="Default"/>
              <w:ind w:left="284"/>
              <w:jc w:val="both"/>
              <w:rPr>
                <w:rFonts w:ascii="Times New Roman" w:hAnsi="Times New Roman" w:cs="Times New Roman"/>
                <w:b/>
                <w:sz w:val="18"/>
                <w:szCs w:val="18"/>
              </w:rPr>
            </w:pPr>
            <w:r w:rsidRPr="0013526B">
              <w:rPr>
                <w:rFonts w:ascii="Times New Roman" w:hAnsi="Times New Roman" w:cs="Times New Roman"/>
                <w:b/>
                <w:sz w:val="18"/>
                <w:szCs w:val="18"/>
              </w:rPr>
              <w:t>Faktor</w:t>
            </w:r>
            <w:r w:rsidR="00037369" w:rsidRPr="0013526B">
              <w:rPr>
                <w:rFonts w:ascii="Times New Roman" w:hAnsi="Times New Roman" w:cs="Times New Roman"/>
                <w:b/>
                <w:sz w:val="18"/>
                <w:szCs w:val="18"/>
              </w:rPr>
              <w:t>-</w:t>
            </w:r>
            <w:r w:rsidRPr="0013526B">
              <w:rPr>
                <w:rFonts w:ascii="Times New Roman" w:hAnsi="Times New Roman" w:cs="Times New Roman"/>
                <w:b/>
                <w:sz w:val="18"/>
                <w:szCs w:val="18"/>
              </w:rPr>
              <w:t>faktor Risiko Keuangan</w:t>
            </w:r>
          </w:p>
        </w:tc>
        <w:tc>
          <w:tcPr>
            <w:tcW w:w="4599" w:type="dxa"/>
            <w:tcBorders>
              <w:top w:val="nil"/>
              <w:left w:val="nil"/>
              <w:bottom w:val="nil"/>
              <w:right w:val="nil"/>
            </w:tcBorders>
          </w:tcPr>
          <w:p w14:paraId="706D3EA6" w14:textId="77777777" w:rsidR="00F01842" w:rsidRPr="0013526B" w:rsidRDefault="00F01842" w:rsidP="0013526B">
            <w:pPr>
              <w:pStyle w:val="ListParagraph"/>
              <w:ind w:left="284"/>
              <w:jc w:val="both"/>
              <w:rPr>
                <w:b/>
                <w:i/>
                <w:sz w:val="18"/>
                <w:szCs w:val="18"/>
              </w:rPr>
            </w:pPr>
            <w:r w:rsidRPr="0013526B">
              <w:rPr>
                <w:b/>
                <w:i/>
                <w:sz w:val="18"/>
                <w:szCs w:val="18"/>
              </w:rPr>
              <w:t>Financial Risk Factors</w:t>
            </w:r>
          </w:p>
        </w:tc>
      </w:tr>
      <w:tr w:rsidR="00F01842" w:rsidRPr="0013526B" w14:paraId="413EA554" w14:textId="77777777" w:rsidTr="009A292C">
        <w:tc>
          <w:tcPr>
            <w:tcW w:w="4598" w:type="dxa"/>
            <w:tcBorders>
              <w:top w:val="nil"/>
              <w:left w:val="nil"/>
              <w:bottom w:val="nil"/>
              <w:right w:val="nil"/>
            </w:tcBorders>
          </w:tcPr>
          <w:p w14:paraId="435B6135" w14:textId="77777777" w:rsidR="00F01842" w:rsidRPr="0013526B" w:rsidRDefault="00F01842" w:rsidP="0013526B">
            <w:pPr>
              <w:pStyle w:val="ListParagraph"/>
              <w:ind w:left="567" w:right="-57"/>
              <w:rPr>
                <w:sz w:val="16"/>
                <w:szCs w:val="16"/>
              </w:rPr>
            </w:pPr>
          </w:p>
        </w:tc>
        <w:tc>
          <w:tcPr>
            <w:tcW w:w="4599" w:type="dxa"/>
            <w:tcBorders>
              <w:top w:val="nil"/>
              <w:left w:val="nil"/>
              <w:bottom w:val="nil"/>
              <w:right w:val="nil"/>
            </w:tcBorders>
          </w:tcPr>
          <w:p w14:paraId="23AD0FAA" w14:textId="77777777" w:rsidR="00F01842" w:rsidRPr="0013526B" w:rsidRDefault="00F01842" w:rsidP="0013526B">
            <w:pPr>
              <w:pStyle w:val="ListParagraph"/>
              <w:ind w:left="601" w:right="-57"/>
              <w:jc w:val="both"/>
              <w:rPr>
                <w:i/>
                <w:sz w:val="16"/>
                <w:szCs w:val="16"/>
              </w:rPr>
            </w:pPr>
          </w:p>
        </w:tc>
      </w:tr>
      <w:tr w:rsidR="00F01842" w:rsidRPr="0013526B" w14:paraId="4B4E8A8F" w14:textId="77777777" w:rsidTr="009A292C">
        <w:tc>
          <w:tcPr>
            <w:tcW w:w="4598" w:type="dxa"/>
            <w:tcBorders>
              <w:top w:val="nil"/>
              <w:left w:val="nil"/>
              <w:bottom w:val="nil"/>
              <w:right w:val="nil"/>
            </w:tcBorders>
          </w:tcPr>
          <w:p w14:paraId="1B5966AD" w14:textId="77777777" w:rsidR="00F01842" w:rsidRPr="0013526B" w:rsidRDefault="00F01842" w:rsidP="005F361E">
            <w:pPr>
              <w:pStyle w:val="Default"/>
              <w:numPr>
                <w:ilvl w:val="0"/>
                <w:numId w:val="9"/>
              </w:numPr>
              <w:ind w:left="568" w:hanging="284"/>
              <w:jc w:val="both"/>
              <w:rPr>
                <w:rFonts w:ascii="Times New Roman" w:hAnsi="Times New Roman" w:cs="Times New Roman"/>
                <w:b/>
                <w:sz w:val="18"/>
                <w:szCs w:val="18"/>
              </w:rPr>
            </w:pPr>
            <w:r w:rsidRPr="0013526B">
              <w:rPr>
                <w:rFonts w:ascii="Times New Roman" w:hAnsi="Times New Roman" w:cs="Times New Roman"/>
                <w:b/>
                <w:sz w:val="18"/>
                <w:szCs w:val="18"/>
              </w:rPr>
              <w:t>Risiko Pasar</w:t>
            </w:r>
          </w:p>
        </w:tc>
        <w:tc>
          <w:tcPr>
            <w:tcW w:w="4599" w:type="dxa"/>
            <w:tcBorders>
              <w:top w:val="nil"/>
              <w:left w:val="nil"/>
              <w:bottom w:val="nil"/>
              <w:right w:val="nil"/>
            </w:tcBorders>
          </w:tcPr>
          <w:p w14:paraId="4FC4C88C" w14:textId="77777777" w:rsidR="00F01842" w:rsidRPr="0013526B" w:rsidRDefault="00F01842" w:rsidP="005F361E">
            <w:pPr>
              <w:pStyle w:val="ListParagraph"/>
              <w:numPr>
                <w:ilvl w:val="0"/>
                <w:numId w:val="11"/>
              </w:numPr>
              <w:ind w:left="568" w:hanging="284"/>
              <w:jc w:val="both"/>
              <w:rPr>
                <w:b/>
                <w:i/>
                <w:sz w:val="18"/>
                <w:szCs w:val="18"/>
              </w:rPr>
            </w:pPr>
            <w:r w:rsidRPr="0013526B">
              <w:rPr>
                <w:b/>
                <w:i/>
                <w:sz w:val="18"/>
                <w:szCs w:val="18"/>
              </w:rPr>
              <w:t>Market Risk</w:t>
            </w:r>
          </w:p>
        </w:tc>
      </w:tr>
    </w:tbl>
    <w:p w14:paraId="4978529F" w14:textId="77777777" w:rsidR="00C95D12" w:rsidRPr="00C95D12" w:rsidRDefault="00C95D12">
      <w:pPr>
        <w:rPr>
          <w:sz w:val="16"/>
        </w:rPr>
      </w:pPr>
    </w:p>
    <w:tbl>
      <w:tblPr>
        <w:tblW w:w="9197" w:type="dxa"/>
        <w:tblInd w:w="140" w:type="dxa"/>
        <w:tblLayout w:type="fixed"/>
        <w:tblLook w:val="0000" w:firstRow="0" w:lastRow="0" w:firstColumn="0" w:lastColumn="0" w:noHBand="0" w:noVBand="0"/>
      </w:tblPr>
      <w:tblGrid>
        <w:gridCol w:w="4599"/>
        <w:gridCol w:w="4598"/>
      </w:tblGrid>
      <w:tr w:rsidR="00F01842" w:rsidRPr="0013526B" w14:paraId="2ACC824D" w14:textId="77777777" w:rsidTr="001105A9">
        <w:tc>
          <w:tcPr>
            <w:tcW w:w="4599" w:type="dxa"/>
            <w:tcBorders>
              <w:top w:val="nil"/>
              <w:left w:val="nil"/>
              <w:bottom w:val="nil"/>
              <w:right w:val="nil"/>
            </w:tcBorders>
          </w:tcPr>
          <w:p w14:paraId="31AFC51A" w14:textId="77777777" w:rsidR="00F01842" w:rsidRPr="0013526B" w:rsidRDefault="00F01842" w:rsidP="005F361E">
            <w:pPr>
              <w:pStyle w:val="Default"/>
              <w:numPr>
                <w:ilvl w:val="0"/>
                <w:numId w:val="10"/>
              </w:numPr>
              <w:ind w:left="851" w:hanging="284"/>
              <w:jc w:val="both"/>
              <w:rPr>
                <w:rFonts w:ascii="Times New Roman" w:hAnsi="Times New Roman" w:cs="Times New Roman"/>
                <w:sz w:val="18"/>
                <w:szCs w:val="18"/>
              </w:rPr>
            </w:pPr>
            <w:r w:rsidRPr="0013526B">
              <w:rPr>
                <w:rFonts w:ascii="Times New Roman" w:hAnsi="Times New Roman" w:cs="Times New Roman"/>
                <w:sz w:val="18"/>
                <w:szCs w:val="18"/>
              </w:rPr>
              <w:t>Risiko Perubahan Nilai Tukar Mata Uang Asing</w:t>
            </w:r>
          </w:p>
        </w:tc>
        <w:tc>
          <w:tcPr>
            <w:tcW w:w="4598" w:type="dxa"/>
            <w:tcBorders>
              <w:top w:val="nil"/>
              <w:left w:val="nil"/>
              <w:bottom w:val="nil"/>
              <w:right w:val="nil"/>
            </w:tcBorders>
          </w:tcPr>
          <w:p w14:paraId="3F293469" w14:textId="77777777" w:rsidR="00F01842" w:rsidRPr="0013526B" w:rsidRDefault="00F01842" w:rsidP="005F361E">
            <w:pPr>
              <w:pStyle w:val="ListParagraph"/>
              <w:numPr>
                <w:ilvl w:val="0"/>
                <w:numId w:val="12"/>
              </w:numPr>
              <w:ind w:left="851" w:hanging="284"/>
              <w:jc w:val="both"/>
              <w:rPr>
                <w:i/>
                <w:sz w:val="18"/>
                <w:szCs w:val="18"/>
              </w:rPr>
            </w:pPr>
            <w:r w:rsidRPr="0013526B">
              <w:rPr>
                <w:i/>
                <w:sz w:val="18"/>
                <w:szCs w:val="18"/>
              </w:rPr>
              <w:t>Foreign Exchange Risk</w:t>
            </w:r>
          </w:p>
        </w:tc>
      </w:tr>
      <w:tr w:rsidR="00F01842" w:rsidRPr="0013526B" w14:paraId="34434408" w14:textId="77777777" w:rsidTr="001105A9">
        <w:tc>
          <w:tcPr>
            <w:tcW w:w="4599" w:type="dxa"/>
            <w:tcBorders>
              <w:top w:val="nil"/>
              <w:left w:val="nil"/>
              <w:bottom w:val="nil"/>
              <w:right w:val="nil"/>
            </w:tcBorders>
          </w:tcPr>
          <w:p w14:paraId="02AF9BDE" w14:textId="77777777" w:rsidR="00F01842" w:rsidRPr="0013526B" w:rsidRDefault="00F01842" w:rsidP="0013526B">
            <w:pPr>
              <w:pStyle w:val="ListParagraph"/>
              <w:ind w:left="567" w:right="-57"/>
              <w:rPr>
                <w:sz w:val="16"/>
                <w:szCs w:val="16"/>
              </w:rPr>
            </w:pPr>
          </w:p>
        </w:tc>
        <w:tc>
          <w:tcPr>
            <w:tcW w:w="4598" w:type="dxa"/>
            <w:tcBorders>
              <w:top w:val="nil"/>
              <w:left w:val="nil"/>
              <w:bottom w:val="nil"/>
              <w:right w:val="nil"/>
            </w:tcBorders>
          </w:tcPr>
          <w:p w14:paraId="25FB4999" w14:textId="77777777" w:rsidR="00F01842" w:rsidRPr="0013526B" w:rsidRDefault="00F01842" w:rsidP="0013526B">
            <w:pPr>
              <w:pStyle w:val="ListParagraph"/>
              <w:ind w:left="601" w:right="-57"/>
              <w:jc w:val="both"/>
              <w:rPr>
                <w:i/>
                <w:sz w:val="16"/>
                <w:szCs w:val="16"/>
              </w:rPr>
            </w:pPr>
          </w:p>
        </w:tc>
      </w:tr>
      <w:tr w:rsidR="00F01842" w:rsidRPr="0013526B" w14:paraId="4943FF6F" w14:textId="77777777" w:rsidTr="001105A9">
        <w:tc>
          <w:tcPr>
            <w:tcW w:w="4599" w:type="dxa"/>
            <w:tcBorders>
              <w:top w:val="nil"/>
              <w:left w:val="nil"/>
              <w:bottom w:val="nil"/>
              <w:right w:val="nil"/>
            </w:tcBorders>
          </w:tcPr>
          <w:p w14:paraId="1395C266" w14:textId="798CD2C8" w:rsidR="00F01842" w:rsidRPr="0013526B" w:rsidRDefault="00F01842" w:rsidP="0013526B">
            <w:pPr>
              <w:pStyle w:val="Default"/>
              <w:ind w:left="851" w:right="-57"/>
              <w:jc w:val="both"/>
              <w:rPr>
                <w:rFonts w:ascii="Times New Roman" w:hAnsi="Times New Roman" w:cs="Times New Roman"/>
                <w:sz w:val="18"/>
                <w:szCs w:val="18"/>
              </w:rPr>
            </w:pPr>
            <w:r w:rsidRPr="0013526B">
              <w:rPr>
                <w:rFonts w:ascii="Times New Roman" w:hAnsi="Times New Roman" w:cs="Times New Roman"/>
                <w:sz w:val="18"/>
                <w:szCs w:val="18"/>
              </w:rPr>
              <w:t xml:space="preserve">Mata uang pelaporan konsolidasian </w:t>
            </w:r>
            <w:r w:rsidR="00605E86" w:rsidRPr="0013526B">
              <w:rPr>
                <w:rFonts w:ascii="Times New Roman" w:hAnsi="Times New Roman" w:cs="Times New Roman"/>
                <w:sz w:val="18"/>
                <w:szCs w:val="18"/>
              </w:rPr>
              <w:t>Kelompok Usaha</w:t>
            </w:r>
            <w:r w:rsidRPr="0013526B">
              <w:rPr>
                <w:rFonts w:ascii="Times New Roman" w:hAnsi="Times New Roman" w:cs="Times New Roman"/>
                <w:sz w:val="18"/>
                <w:szCs w:val="18"/>
              </w:rPr>
              <w:t xml:space="preserve"> adalah Rupiah. Risiko perubahan nilai tukar mata uang asing terkait dengan </w:t>
            </w:r>
            <w:r w:rsidR="00605E86" w:rsidRPr="0013526B">
              <w:rPr>
                <w:rFonts w:ascii="Times New Roman" w:hAnsi="Times New Roman" w:cs="Times New Roman"/>
                <w:sz w:val="18"/>
                <w:szCs w:val="18"/>
              </w:rPr>
              <w:t>Kelompok Usaha</w:t>
            </w:r>
            <w:r w:rsidRPr="0013526B">
              <w:rPr>
                <w:rFonts w:ascii="Times New Roman" w:hAnsi="Times New Roman" w:cs="Times New Roman"/>
                <w:sz w:val="18"/>
                <w:szCs w:val="18"/>
              </w:rPr>
              <w:t xml:space="preserve"> terutama adalah terdapatnya </w:t>
            </w:r>
            <w:r w:rsidR="003A79AF">
              <w:rPr>
                <w:rFonts w:ascii="Times New Roman" w:hAnsi="Times New Roman" w:cs="Times New Roman"/>
                <w:sz w:val="18"/>
                <w:szCs w:val="18"/>
              </w:rPr>
              <w:t>saldo bank pada mata uang asing yang berasal dari Dolar Amerika Serikat.</w:t>
            </w:r>
          </w:p>
        </w:tc>
        <w:tc>
          <w:tcPr>
            <w:tcW w:w="4598" w:type="dxa"/>
            <w:tcBorders>
              <w:top w:val="nil"/>
              <w:left w:val="nil"/>
              <w:bottom w:val="nil"/>
              <w:right w:val="nil"/>
            </w:tcBorders>
          </w:tcPr>
          <w:p w14:paraId="734F6E36" w14:textId="0758491D" w:rsidR="00F01842" w:rsidRPr="0013526B" w:rsidRDefault="00F01842" w:rsidP="0013526B">
            <w:pPr>
              <w:pStyle w:val="ListParagraph"/>
              <w:ind w:left="851" w:right="-57"/>
              <w:jc w:val="both"/>
              <w:rPr>
                <w:i/>
                <w:sz w:val="18"/>
                <w:szCs w:val="18"/>
              </w:rPr>
            </w:pPr>
            <w:r w:rsidRPr="0013526B">
              <w:rPr>
                <w:i/>
                <w:sz w:val="18"/>
                <w:szCs w:val="18"/>
              </w:rPr>
              <w:t xml:space="preserve">The </w:t>
            </w:r>
            <w:r w:rsidR="00605E86" w:rsidRPr="0013526B">
              <w:rPr>
                <w:i/>
                <w:sz w:val="18"/>
                <w:szCs w:val="18"/>
              </w:rPr>
              <w:t>Group</w:t>
            </w:r>
            <w:r w:rsidR="00054578">
              <w:rPr>
                <w:i/>
                <w:sz w:val="18"/>
                <w:szCs w:val="18"/>
              </w:rPr>
              <w:t>s</w:t>
            </w:r>
            <w:r w:rsidRPr="0013526B">
              <w:rPr>
                <w:i/>
                <w:sz w:val="18"/>
                <w:szCs w:val="18"/>
              </w:rPr>
              <w:t xml:space="preserve"> consolidated reporting currency is Rupiah. The Foreign exchange risks of the </w:t>
            </w:r>
            <w:r w:rsidR="00605E86" w:rsidRPr="0013526B">
              <w:rPr>
                <w:i/>
                <w:sz w:val="18"/>
                <w:szCs w:val="18"/>
              </w:rPr>
              <w:t>Group</w:t>
            </w:r>
            <w:r w:rsidR="002C6A14">
              <w:rPr>
                <w:i/>
                <w:sz w:val="18"/>
                <w:szCs w:val="18"/>
              </w:rPr>
              <w:t>ss</w:t>
            </w:r>
            <w:r w:rsidRPr="0013526B">
              <w:rPr>
                <w:i/>
                <w:sz w:val="18"/>
                <w:szCs w:val="18"/>
              </w:rPr>
              <w:t xml:space="preserve"> mainly arises </w:t>
            </w:r>
            <w:r w:rsidR="003A79AF">
              <w:rPr>
                <w:i/>
                <w:sz w:val="18"/>
                <w:szCs w:val="18"/>
              </w:rPr>
              <w:t>from bank balance in foreign currency derived primarily from United States Dollar.</w:t>
            </w:r>
          </w:p>
        </w:tc>
      </w:tr>
      <w:tr w:rsidR="0085245A" w:rsidRPr="0013526B" w14:paraId="206DD3AA" w14:textId="77777777" w:rsidTr="001105A9">
        <w:tc>
          <w:tcPr>
            <w:tcW w:w="4599" w:type="dxa"/>
            <w:tcBorders>
              <w:top w:val="nil"/>
              <w:left w:val="nil"/>
              <w:bottom w:val="nil"/>
              <w:right w:val="nil"/>
            </w:tcBorders>
          </w:tcPr>
          <w:p w14:paraId="50AB1BDE" w14:textId="77777777" w:rsidR="0085245A" w:rsidRPr="0013526B" w:rsidRDefault="0085245A" w:rsidP="0013526B">
            <w:pPr>
              <w:pStyle w:val="Default"/>
              <w:ind w:left="851" w:right="-57"/>
              <w:jc w:val="both"/>
              <w:rPr>
                <w:rFonts w:ascii="Times New Roman" w:hAnsi="Times New Roman" w:cs="Times New Roman"/>
                <w:sz w:val="16"/>
                <w:szCs w:val="14"/>
              </w:rPr>
            </w:pPr>
          </w:p>
        </w:tc>
        <w:tc>
          <w:tcPr>
            <w:tcW w:w="4598" w:type="dxa"/>
            <w:tcBorders>
              <w:top w:val="nil"/>
              <w:left w:val="nil"/>
              <w:bottom w:val="nil"/>
              <w:right w:val="nil"/>
            </w:tcBorders>
          </w:tcPr>
          <w:p w14:paraId="4F58E59F" w14:textId="77777777" w:rsidR="0085245A" w:rsidRPr="0013526B" w:rsidRDefault="0085245A" w:rsidP="0013526B">
            <w:pPr>
              <w:pStyle w:val="ListParagraph"/>
              <w:ind w:left="851" w:right="-57"/>
              <w:jc w:val="both"/>
              <w:rPr>
                <w:i/>
                <w:sz w:val="16"/>
                <w:szCs w:val="14"/>
              </w:rPr>
            </w:pPr>
          </w:p>
        </w:tc>
      </w:tr>
      <w:tr w:rsidR="00073931" w:rsidRPr="0013526B" w14:paraId="1DA32702" w14:textId="77777777" w:rsidTr="001105A9">
        <w:tc>
          <w:tcPr>
            <w:tcW w:w="4599" w:type="dxa"/>
            <w:tcBorders>
              <w:top w:val="nil"/>
              <w:left w:val="nil"/>
              <w:bottom w:val="nil"/>
              <w:right w:val="nil"/>
            </w:tcBorders>
          </w:tcPr>
          <w:p w14:paraId="305DDE80" w14:textId="77777777" w:rsidR="00073931" w:rsidRPr="0013526B" w:rsidRDefault="00073931" w:rsidP="0013526B">
            <w:pPr>
              <w:pStyle w:val="Default"/>
              <w:ind w:left="851" w:right="-57"/>
              <w:jc w:val="both"/>
              <w:rPr>
                <w:rFonts w:ascii="Times New Roman" w:hAnsi="Times New Roman" w:cs="Times New Roman"/>
                <w:sz w:val="18"/>
                <w:szCs w:val="18"/>
              </w:rPr>
            </w:pPr>
            <w:r w:rsidRPr="0013526B">
              <w:rPr>
                <w:rFonts w:ascii="Times New Roman" w:hAnsi="Times New Roman" w:cs="Times New Roman"/>
                <w:sz w:val="18"/>
                <w:szCs w:val="18"/>
              </w:rPr>
              <w:t>Manajemen berkeyakinan bahwa risiko perubahan nilai tukar mata uang asing tersebut dapat dikendalikan karena manajemen senantiasa melakukan penelahaan secara periodik terhadap proposi pembiayaan dalam mata uang asing tersebut agar tetap terkendali dan senantiasa menelaah perubahan nilai mata uang asing tersebut atas posisi aset dan liabilitas moneter dalam mata uang asing.</w:t>
            </w:r>
          </w:p>
        </w:tc>
        <w:tc>
          <w:tcPr>
            <w:tcW w:w="4598" w:type="dxa"/>
            <w:tcBorders>
              <w:top w:val="nil"/>
              <w:left w:val="nil"/>
              <w:bottom w:val="nil"/>
              <w:right w:val="nil"/>
            </w:tcBorders>
          </w:tcPr>
          <w:p w14:paraId="1C2DA1C1" w14:textId="77777777" w:rsidR="00073931" w:rsidRPr="0013526B" w:rsidRDefault="00073931" w:rsidP="0013526B">
            <w:pPr>
              <w:pStyle w:val="ListParagraph"/>
              <w:ind w:left="851" w:right="-57"/>
              <w:jc w:val="both"/>
              <w:rPr>
                <w:i/>
                <w:sz w:val="18"/>
                <w:szCs w:val="18"/>
              </w:rPr>
            </w:pPr>
            <w:r w:rsidRPr="0013526B">
              <w:rPr>
                <w:i/>
                <w:sz w:val="18"/>
                <w:szCs w:val="18"/>
              </w:rPr>
              <w:t>Management believes t</w:t>
            </w:r>
            <w:r w:rsidR="00506EF7" w:rsidRPr="0013526B">
              <w:rPr>
                <w:i/>
                <w:sz w:val="18"/>
                <w:szCs w:val="18"/>
              </w:rPr>
              <w:t>hat the foreign exchange risk is</w:t>
            </w:r>
            <w:r w:rsidRPr="0013526B">
              <w:rPr>
                <w:i/>
                <w:sz w:val="18"/>
                <w:szCs w:val="18"/>
              </w:rPr>
              <w:t xml:space="preserve"> managab</w:t>
            </w:r>
            <w:r w:rsidR="00506EF7" w:rsidRPr="0013526B">
              <w:rPr>
                <w:i/>
                <w:sz w:val="18"/>
                <w:szCs w:val="18"/>
              </w:rPr>
              <w:t>l</w:t>
            </w:r>
            <w:r w:rsidRPr="0013526B">
              <w:rPr>
                <w:i/>
                <w:sz w:val="18"/>
                <w:szCs w:val="18"/>
              </w:rPr>
              <w:t>e due to management always performs periodic review to the proportion of funding in foreign currencies with managable level and always reviews the changes of foreign currency rates on the position of monetary assets and liabilities in foreign currencies.</w:t>
            </w:r>
          </w:p>
        </w:tc>
      </w:tr>
      <w:tr w:rsidR="00073931" w:rsidRPr="0013526B" w14:paraId="47974EBC" w14:textId="77777777" w:rsidTr="001105A9">
        <w:tc>
          <w:tcPr>
            <w:tcW w:w="4599" w:type="dxa"/>
            <w:tcBorders>
              <w:top w:val="nil"/>
              <w:left w:val="nil"/>
              <w:bottom w:val="nil"/>
              <w:right w:val="nil"/>
            </w:tcBorders>
          </w:tcPr>
          <w:p w14:paraId="171C2C8E" w14:textId="77777777" w:rsidR="00073931" w:rsidRPr="0013526B" w:rsidRDefault="00073931" w:rsidP="0013526B">
            <w:pPr>
              <w:pStyle w:val="ListParagraph"/>
              <w:ind w:left="1026" w:right="-57"/>
              <w:rPr>
                <w:sz w:val="16"/>
                <w:szCs w:val="14"/>
              </w:rPr>
            </w:pPr>
          </w:p>
        </w:tc>
        <w:tc>
          <w:tcPr>
            <w:tcW w:w="4598" w:type="dxa"/>
            <w:tcBorders>
              <w:top w:val="nil"/>
              <w:left w:val="nil"/>
              <w:bottom w:val="nil"/>
              <w:right w:val="nil"/>
            </w:tcBorders>
          </w:tcPr>
          <w:p w14:paraId="2EE5F93C" w14:textId="77777777" w:rsidR="00073931" w:rsidRPr="0013526B" w:rsidRDefault="00073931" w:rsidP="0013526B">
            <w:pPr>
              <w:pStyle w:val="ListParagraph"/>
              <w:ind w:left="856" w:right="-57"/>
              <w:jc w:val="both"/>
              <w:rPr>
                <w:i/>
                <w:sz w:val="16"/>
                <w:szCs w:val="14"/>
              </w:rPr>
            </w:pPr>
          </w:p>
        </w:tc>
      </w:tr>
      <w:tr w:rsidR="00073931" w:rsidRPr="0013526B" w14:paraId="1AB2D877" w14:textId="77777777" w:rsidTr="001105A9">
        <w:tc>
          <w:tcPr>
            <w:tcW w:w="4599" w:type="dxa"/>
            <w:tcBorders>
              <w:top w:val="nil"/>
              <w:left w:val="nil"/>
              <w:bottom w:val="nil"/>
              <w:right w:val="nil"/>
            </w:tcBorders>
          </w:tcPr>
          <w:p w14:paraId="12B45745" w14:textId="3BA09EC7" w:rsidR="00073931" w:rsidRPr="0013526B" w:rsidRDefault="00073931" w:rsidP="0046654F">
            <w:pPr>
              <w:pStyle w:val="Default"/>
              <w:ind w:left="851" w:right="-57"/>
              <w:jc w:val="both"/>
              <w:rPr>
                <w:rFonts w:ascii="Times New Roman" w:hAnsi="Times New Roman" w:cs="Times New Roman"/>
                <w:sz w:val="18"/>
                <w:szCs w:val="18"/>
              </w:rPr>
            </w:pPr>
            <w:r w:rsidRPr="0013526B">
              <w:rPr>
                <w:rFonts w:ascii="Times New Roman" w:hAnsi="Times New Roman" w:cs="Times New Roman"/>
                <w:sz w:val="18"/>
                <w:szCs w:val="18"/>
              </w:rPr>
              <w:t>Sehubungan dengan hal tersebut</w:t>
            </w:r>
            <w:r w:rsidR="00305CA0">
              <w:rPr>
                <w:rFonts w:ascii="Times New Roman" w:hAnsi="Times New Roman" w:cs="Times New Roman"/>
                <w:sz w:val="18"/>
                <w:szCs w:val="18"/>
              </w:rPr>
              <w:t>.</w:t>
            </w:r>
            <w:r w:rsidRPr="0013526B">
              <w:rPr>
                <w:rFonts w:ascii="Times New Roman" w:hAnsi="Times New Roman" w:cs="Times New Roman"/>
                <w:sz w:val="18"/>
                <w:szCs w:val="18"/>
              </w:rPr>
              <w:t xml:space="preserve"> </w:t>
            </w:r>
            <w:proofErr w:type="gramStart"/>
            <w:r w:rsidRPr="0013526B">
              <w:rPr>
                <w:rFonts w:ascii="Times New Roman" w:hAnsi="Times New Roman" w:cs="Times New Roman"/>
                <w:sz w:val="18"/>
                <w:szCs w:val="18"/>
              </w:rPr>
              <w:t>manajemen</w:t>
            </w:r>
            <w:proofErr w:type="gramEnd"/>
            <w:r w:rsidRPr="0013526B">
              <w:rPr>
                <w:rFonts w:ascii="Times New Roman" w:hAnsi="Times New Roman" w:cs="Times New Roman"/>
                <w:sz w:val="18"/>
                <w:szCs w:val="18"/>
              </w:rPr>
              <w:t xml:space="preserve"> berpendapat bahwa risiko perubahan nilai tukar mata uang asing tidak akan berdampak signifikan terhadap kegiatan usaha Kelompok Usaha.</w:t>
            </w:r>
          </w:p>
        </w:tc>
        <w:tc>
          <w:tcPr>
            <w:tcW w:w="4598" w:type="dxa"/>
            <w:tcBorders>
              <w:top w:val="nil"/>
              <w:left w:val="nil"/>
              <w:bottom w:val="nil"/>
              <w:right w:val="nil"/>
            </w:tcBorders>
          </w:tcPr>
          <w:p w14:paraId="2B84A4CB" w14:textId="171031B3" w:rsidR="00073931" w:rsidRPr="0013526B" w:rsidRDefault="00073931" w:rsidP="0046654F">
            <w:pPr>
              <w:pStyle w:val="ListParagraph"/>
              <w:ind w:left="851" w:right="-57"/>
              <w:jc w:val="both"/>
              <w:rPr>
                <w:i/>
                <w:sz w:val="18"/>
                <w:szCs w:val="18"/>
              </w:rPr>
            </w:pPr>
            <w:r w:rsidRPr="0013526B">
              <w:rPr>
                <w:i/>
                <w:sz w:val="18"/>
                <w:szCs w:val="18"/>
              </w:rPr>
              <w:t>Based on those factors</w:t>
            </w:r>
            <w:r w:rsidR="00305CA0">
              <w:rPr>
                <w:i/>
                <w:sz w:val="18"/>
                <w:szCs w:val="18"/>
              </w:rPr>
              <w:t>.</w:t>
            </w:r>
            <w:r w:rsidRPr="0013526B">
              <w:rPr>
                <w:i/>
                <w:sz w:val="18"/>
                <w:szCs w:val="18"/>
              </w:rPr>
              <w:t xml:space="preserve"> </w:t>
            </w:r>
            <w:proofErr w:type="gramStart"/>
            <w:r w:rsidRPr="0013526B">
              <w:rPr>
                <w:i/>
                <w:sz w:val="18"/>
                <w:szCs w:val="18"/>
              </w:rPr>
              <w:t>management</w:t>
            </w:r>
            <w:proofErr w:type="gramEnd"/>
            <w:r w:rsidRPr="0013526B">
              <w:rPr>
                <w:i/>
                <w:sz w:val="18"/>
                <w:szCs w:val="18"/>
              </w:rPr>
              <w:t xml:space="preserve"> believes that the foreign exchange risk will not significantly impact the operating activities of the Group</w:t>
            </w:r>
            <w:r w:rsidR="002C6A14">
              <w:rPr>
                <w:i/>
                <w:sz w:val="18"/>
                <w:szCs w:val="18"/>
              </w:rPr>
              <w:t>s</w:t>
            </w:r>
            <w:r w:rsidRPr="0013526B">
              <w:rPr>
                <w:i/>
                <w:sz w:val="18"/>
                <w:szCs w:val="18"/>
              </w:rPr>
              <w:t>.</w:t>
            </w:r>
          </w:p>
        </w:tc>
      </w:tr>
      <w:tr w:rsidR="00073931" w:rsidRPr="0013526B" w14:paraId="42D1F87D" w14:textId="77777777" w:rsidTr="001105A9">
        <w:tc>
          <w:tcPr>
            <w:tcW w:w="4599" w:type="dxa"/>
            <w:tcBorders>
              <w:top w:val="nil"/>
              <w:left w:val="nil"/>
              <w:bottom w:val="nil"/>
              <w:right w:val="nil"/>
            </w:tcBorders>
          </w:tcPr>
          <w:p w14:paraId="5A27031A" w14:textId="77777777" w:rsidR="00073931" w:rsidRPr="0013526B" w:rsidRDefault="00073931" w:rsidP="0013526B">
            <w:pPr>
              <w:pStyle w:val="ListParagraph"/>
              <w:ind w:left="1026" w:right="-57"/>
              <w:rPr>
                <w:sz w:val="16"/>
                <w:szCs w:val="14"/>
              </w:rPr>
            </w:pPr>
          </w:p>
        </w:tc>
        <w:tc>
          <w:tcPr>
            <w:tcW w:w="4598" w:type="dxa"/>
            <w:tcBorders>
              <w:top w:val="nil"/>
              <w:left w:val="nil"/>
              <w:bottom w:val="nil"/>
              <w:right w:val="nil"/>
            </w:tcBorders>
          </w:tcPr>
          <w:p w14:paraId="25AEED4A" w14:textId="77777777" w:rsidR="00073931" w:rsidRPr="0013526B" w:rsidRDefault="00073931" w:rsidP="0013526B">
            <w:pPr>
              <w:pStyle w:val="ListParagraph"/>
              <w:ind w:left="856" w:right="-57"/>
              <w:jc w:val="both"/>
              <w:rPr>
                <w:i/>
                <w:sz w:val="16"/>
                <w:szCs w:val="14"/>
              </w:rPr>
            </w:pPr>
          </w:p>
        </w:tc>
      </w:tr>
      <w:tr w:rsidR="00073931" w:rsidRPr="0013526B" w14:paraId="74CAE593" w14:textId="77777777" w:rsidTr="001105A9">
        <w:tc>
          <w:tcPr>
            <w:tcW w:w="4599" w:type="dxa"/>
            <w:tcBorders>
              <w:top w:val="nil"/>
              <w:left w:val="nil"/>
              <w:bottom w:val="nil"/>
              <w:right w:val="nil"/>
            </w:tcBorders>
          </w:tcPr>
          <w:p w14:paraId="0C36ADA1" w14:textId="769BC5AB" w:rsidR="00073931" w:rsidRPr="0013526B" w:rsidRDefault="00073931" w:rsidP="004E4129">
            <w:pPr>
              <w:pStyle w:val="Default"/>
              <w:ind w:left="851" w:right="-57"/>
              <w:jc w:val="both"/>
              <w:rPr>
                <w:rFonts w:ascii="Times New Roman" w:hAnsi="Times New Roman" w:cs="Times New Roman"/>
                <w:sz w:val="18"/>
                <w:szCs w:val="18"/>
              </w:rPr>
            </w:pPr>
            <w:r w:rsidRPr="0013526B">
              <w:rPr>
                <w:rFonts w:ascii="Times New Roman" w:hAnsi="Times New Roman" w:cs="Times New Roman"/>
                <w:sz w:val="18"/>
                <w:szCs w:val="18"/>
              </w:rPr>
              <w:t>Aset dan liabilitas moneter bersih dalam mata uang asing disajikan pada Catatan 3</w:t>
            </w:r>
            <w:r w:rsidR="004E4129">
              <w:rPr>
                <w:rFonts w:ascii="Times New Roman" w:hAnsi="Times New Roman" w:cs="Times New Roman"/>
                <w:sz w:val="18"/>
                <w:szCs w:val="18"/>
              </w:rPr>
              <w:t>3</w:t>
            </w:r>
            <w:r w:rsidRPr="0013526B">
              <w:rPr>
                <w:rFonts w:ascii="Times New Roman" w:hAnsi="Times New Roman" w:cs="Times New Roman"/>
                <w:sz w:val="18"/>
                <w:szCs w:val="18"/>
              </w:rPr>
              <w:t>.</w:t>
            </w:r>
          </w:p>
        </w:tc>
        <w:tc>
          <w:tcPr>
            <w:tcW w:w="4598" w:type="dxa"/>
            <w:tcBorders>
              <w:top w:val="nil"/>
              <w:left w:val="nil"/>
              <w:bottom w:val="nil"/>
              <w:right w:val="nil"/>
            </w:tcBorders>
          </w:tcPr>
          <w:p w14:paraId="28AFA147" w14:textId="474AFFD8" w:rsidR="00073931" w:rsidRPr="0013526B" w:rsidRDefault="00073931" w:rsidP="004E4129">
            <w:pPr>
              <w:pStyle w:val="ListParagraph"/>
              <w:ind w:left="851" w:right="-57"/>
              <w:jc w:val="both"/>
              <w:rPr>
                <w:i/>
                <w:sz w:val="18"/>
                <w:szCs w:val="18"/>
              </w:rPr>
            </w:pPr>
            <w:r w:rsidRPr="0013526B">
              <w:rPr>
                <w:i/>
                <w:sz w:val="18"/>
                <w:szCs w:val="18"/>
              </w:rPr>
              <w:t>Net monetary assets and liabilities denominated in foreign currencies are disclosed in Note 3</w:t>
            </w:r>
            <w:r w:rsidR="004E4129">
              <w:rPr>
                <w:i/>
                <w:sz w:val="18"/>
                <w:szCs w:val="18"/>
              </w:rPr>
              <w:t>3</w:t>
            </w:r>
            <w:r w:rsidRPr="0013526B">
              <w:rPr>
                <w:i/>
                <w:sz w:val="18"/>
                <w:szCs w:val="18"/>
              </w:rPr>
              <w:t>.</w:t>
            </w:r>
          </w:p>
        </w:tc>
      </w:tr>
      <w:tr w:rsidR="00465ADB" w:rsidRPr="0013526B" w14:paraId="3A5F11B5" w14:textId="77777777" w:rsidTr="001105A9">
        <w:tc>
          <w:tcPr>
            <w:tcW w:w="4599" w:type="dxa"/>
            <w:tcBorders>
              <w:top w:val="nil"/>
              <w:left w:val="nil"/>
              <w:bottom w:val="nil"/>
              <w:right w:val="nil"/>
            </w:tcBorders>
          </w:tcPr>
          <w:p w14:paraId="1C8170DA" w14:textId="77777777" w:rsidR="00465ADB" w:rsidRPr="0013526B" w:rsidRDefault="00465ADB" w:rsidP="0013526B">
            <w:pPr>
              <w:pStyle w:val="Default"/>
              <w:ind w:left="851" w:right="-57"/>
              <w:jc w:val="both"/>
              <w:rPr>
                <w:rFonts w:ascii="Times New Roman" w:hAnsi="Times New Roman" w:cs="Times New Roman"/>
                <w:sz w:val="18"/>
                <w:szCs w:val="18"/>
              </w:rPr>
            </w:pPr>
          </w:p>
        </w:tc>
        <w:tc>
          <w:tcPr>
            <w:tcW w:w="4598" w:type="dxa"/>
            <w:tcBorders>
              <w:top w:val="nil"/>
              <w:left w:val="nil"/>
              <w:bottom w:val="nil"/>
              <w:right w:val="nil"/>
            </w:tcBorders>
          </w:tcPr>
          <w:p w14:paraId="2CD31F28" w14:textId="77777777" w:rsidR="00465ADB" w:rsidRPr="0013526B" w:rsidRDefault="00465ADB" w:rsidP="0013526B">
            <w:pPr>
              <w:pStyle w:val="ListParagraph"/>
              <w:ind w:left="851" w:right="-57"/>
              <w:jc w:val="both"/>
              <w:rPr>
                <w:i/>
                <w:sz w:val="18"/>
                <w:szCs w:val="18"/>
              </w:rPr>
            </w:pPr>
          </w:p>
        </w:tc>
      </w:tr>
      <w:tr w:rsidR="00465ADB" w:rsidRPr="0013526B" w14:paraId="6C0FD256" w14:textId="77777777" w:rsidTr="001105A9">
        <w:tc>
          <w:tcPr>
            <w:tcW w:w="4599" w:type="dxa"/>
            <w:tcBorders>
              <w:top w:val="nil"/>
              <w:left w:val="nil"/>
              <w:bottom w:val="nil"/>
              <w:right w:val="nil"/>
            </w:tcBorders>
          </w:tcPr>
          <w:p w14:paraId="725C52F2" w14:textId="77777777" w:rsidR="00465ADB" w:rsidRPr="0013526B" w:rsidRDefault="00465ADB" w:rsidP="005F361E">
            <w:pPr>
              <w:pStyle w:val="Default"/>
              <w:numPr>
                <w:ilvl w:val="0"/>
                <w:numId w:val="10"/>
              </w:numPr>
              <w:ind w:left="851" w:hanging="284"/>
              <w:jc w:val="both"/>
              <w:rPr>
                <w:rFonts w:ascii="Times New Roman" w:hAnsi="Times New Roman" w:cs="Times New Roman"/>
                <w:sz w:val="18"/>
                <w:szCs w:val="18"/>
              </w:rPr>
            </w:pPr>
            <w:r w:rsidRPr="0013526B">
              <w:rPr>
                <w:rFonts w:ascii="Times New Roman" w:eastAsia="Times New Roman" w:hAnsi="Times New Roman" w:cs="Times New Roman"/>
                <w:bCs/>
                <w:color w:val="auto"/>
                <w:sz w:val="18"/>
                <w:szCs w:val="18"/>
              </w:rPr>
              <w:t>Risiko</w:t>
            </w:r>
            <w:r w:rsidRPr="0013526B">
              <w:rPr>
                <w:rFonts w:ascii="Times New Roman" w:hAnsi="Times New Roman" w:cs="Times New Roman"/>
                <w:sz w:val="18"/>
                <w:szCs w:val="18"/>
              </w:rPr>
              <w:t xml:space="preserve"> Tingkat Bunga</w:t>
            </w:r>
          </w:p>
        </w:tc>
        <w:tc>
          <w:tcPr>
            <w:tcW w:w="4598" w:type="dxa"/>
            <w:tcBorders>
              <w:top w:val="nil"/>
              <w:left w:val="nil"/>
              <w:bottom w:val="nil"/>
              <w:right w:val="nil"/>
            </w:tcBorders>
          </w:tcPr>
          <w:p w14:paraId="5AE7074C" w14:textId="77777777" w:rsidR="00465ADB" w:rsidRPr="0013526B" w:rsidRDefault="00465ADB" w:rsidP="005F361E">
            <w:pPr>
              <w:pStyle w:val="ListParagraph"/>
              <w:numPr>
                <w:ilvl w:val="0"/>
                <w:numId w:val="12"/>
              </w:numPr>
              <w:ind w:left="856" w:right="-57" w:hanging="283"/>
              <w:jc w:val="both"/>
              <w:rPr>
                <w:i/>
                <w:sz w:val="18"/>
                <w:szCs w:val="18"/>
              </w:rPr>
            </w:pPr>
            <w:r w:rsidRPr="0013526B">
              <w:rPr>
                <w:i/>
                <w:sz w:val="18"/>
                <w:szCs w:val="18"/>
              </w:rPr>
              <w:t>Interest Rate Risk</w:t>
            </w:r>
          </w:p>
        </w:tc>
      </w:tr>
      <w:tr w:rsidR="00465ADB" w:rsidRPr="0013526B" w14:paraId="153E185B" w14:textId="77777777" w:rsidTr="001105A9">
        <w:tc>
          <w:tcPr>
            <w:tcW w:w="4599" w:type="dxa"/>
            <w:tcBorders>
              <w:top w:val="nil"/>
              <w:left w:val="nil"/>
              <w:bottom w:val="nil"/>
              <w:right w:val="nil"/>
            </w:tcBorders>
          </w:tcPr>
          <w:p w14:paraId="36052461" w14:textId="77777777" w:rsidR="00465ADB" w:rsidRPr="0013526B" w:rsidRDefault="00465ADB" w:rsidP="00C95D12">
            <w:pPr>
              <w:pStyle w:val="ListParagraph"/>
              <w:ind w:left="567" w:right="-57"/>
              <w:rPr>
                <w:sz w:val="18"/>
                <w:szCs w:val="18"/>
              </w:rPr>
            </w:pPr>
          </w:p>
        </w:tc>
        <w:tc>
          <w:tcPr>
            <w:tcW w:w="4598" w:type="dxa"/>
            <w:tcBorders>
              <w:top w:val="nil"/>
              <w:left w:val="nil"/>
              <w:bottom w:val="nil"/>
              <w:right w:val="nil"/>
            </w:tcBorders>
          </w:tcPr>
          <w:p w14:paraId="7E516FE1" w14:textId="77777777" w:rsidR="00465ADB" w:rsidRPr="0013526B" w:rsidRDefault="00465ADB" w:rsidP="00C95D12">
            <w:pPr>
              <w:pStyle w:val="ListParagraph"/>
              <w:ind w:left="601" w:right="-57"/>
              <w:jc w:val="both"/>
              <w:rPr>
                <w:i/>
                <w:sz w:val="18"/>
                <w:szCs w:val="18"/>
              </w:rPr>
            </w:pPr>
          </w:p>
        </w:tc>
      </w:tr>
      <w:tr w:rsidR="00465ADB" w:rsidRPr="0013526B" w14:paraId="347BA262" w14:textId="77777777" w:rsidTr="001105A9">
        <w:tc>
          <w:tcPr>
            <w:tcW w:w="4599" w:type="dxa"/>
            <w:tcBorders>
              <w:top w:val="nil"/>
              <w:left w:val="nil"/>
              <w:bottom w:val="nil"/>
              <w:right w:val="nil"/>
            </w:tcBorders>
          </w:tcPr>
          <w:p w14:paraId="0A391A3A" w14:textId="77777777" w:rsidR="00465ADB" w:rsidRPr="0013526B" w:rsidRDefault="00465ADB" w:rsidP="00C95D12">
            <w:pPr>
              <w:pStyle w:val="Default"/>
              <w:ind w:left="851" w:right="-57"/>
              <w:jc w:val="both"/>
              <w:rPr>
                <w:rFonts w:ascii="Times New Roman" w:eastAsia="Times New Roman" w:hAnsi="Times New Roman" w:cs="Times New Roman"/>
                <w:bCs/>
                <w:color w:val="auto"/>
                <w:sz w:val="18"/>
                <w:szCs w:val="18"/>
              </w:rPr>
            </w:pPr>
            <w:r w:rsidRPr="0013526B">
              <w:rPr>
                <w:rFonts w:ascii="Times New Roman" w:eastAsia="Times New Roman" w:hAnsi="Times New Roman" w:cs="Times New Roman"/>
                <w:bCs/>
                <w:color w:val="auto"/>
                <w:sz w:val="18"/>
                <w:szCs w:val="18"/>
              </w:rPr>
              <w:t>Risiko tingkat bunga adalah risiko dimana nilai wajar arus kas di masa depan akan berfluktuasi karena perubahan tingkat suku bunga di pasar. Pinjaman yang diperoleh dengan tingkat bunga mengambang menimbulkan risiko suku bunga atas arus kas.</w:t>
            </w:r>
          </w:p>
        </w:tc>
        <w:tc>
          <w:tcPr>
            <w:tcW w:w="4598" w:type="dxa"/>
            <w:tcBorders>
              <w:top w:val="nil"/>
              <w:left w:val="nil"/>
              <w:bottom w:val="nil"/>
              <w:right w:val="nil"/>
            </w:tcBorders>
          </w:tcPr>
          <w:p w14:paraId="4BAFDB44" w14:textId="69C139A7" w:rsidR="00465ADB" w:rsidRPr="0013526B" w:rsidRDefault="00465ADB" w:rsidP="00C95D12">
            <w:pPr>
              <w:pStyle w:val="Default"/>
              <w:ind w:left="851" w:right="-57"/>
              <w:jc w:val="both"/>
              <w:rPr>
                <w:rFonts w:ascii="Times New Roman" w:hAnsi="Times New Roman" w:cs="Times New Roman"/>
                <w:i/>
                <w:sz w:val="18"/>
                <w:szCs w:val="18"/>
              </w:rPr>
            </w:pPr>
            <w:r w:rsidRPr="0013526B">
              <w:rPr>
                <w:rFonts w:ascii="Times New Roman" w:hAnsi="Times New Roman" w:cs="Times New Roman"/>
                <w:i/>
                <w:sz w:val="18"/>
                <w:szCs w:val="18"/>
              </w:rPr>
              <w:t>Interest rate risk is defined as a risk in which the fair value of future cash flows might be fluctuated due to the changes of market rate of the interest. Loans obtained at variable rates expose the Group</w:t>
            </w:r>
            <w:r w:rsidR="002C6A14">
              <w:rPr>
                <w:rFonts w:ascii="Times New Roman" w:hAnsi="Times New Roman" w:cs="Times New Roman"/>
                <w:i/>
                <w:sz w:val="18"/>
                <w:szCs w:val="18"/>
              </w:rPr>
              <w:t>s</w:t>
            </w:r>
            <w:r w:rsidRPr="0013526B">
              <w:rPr>
                <w:rFonts w:ascii="Times New Roman" w:hAnsi="Times New Roman" w:cs="Times New Roman"/>
                <w:i/>
                <w:sz w:val="18"/>
                <w:szCs w:val="18"/>
              </w:rPr>
              <w:t xml:space="preserve"> to cash flow interest rate risk.</w:t>
            </w:r>
          </w:p>
        </w:tc>
      </w:tr>
      <w:tr w:rsidR="00465ADB" w:rsidRPr="0013526B" w14:paraId="0349CB3F" w14:textId="77777777" w:rsidTr="001105A9">
        <w:tc>
          <w:tcPr>
            <w:tcW w:w="4599" w:type="dxa"/>
            <w:tcBorders>
              <w:top w:val="nil"/>
              <w:left w:val="nil"/>
              <w:bottom w:val="nil"/>
              <w:right w:val="nil"/>
            </w:tcBorders>
          </w:tcPr>
          <w:p w14:paraId="06116BE9" w14:textId="77777777" w:rsidR="00465ADB" w:rsidRPr="0013526B" w:rsidRDefault="00465ADB" w:rsidP="00C95D12">
            <w:pPr>
              <w:pStyle w:val="Default"/>
              <w:ind w:left="1026" w:right="-57"/>
              <w:jc w:val="both"/>
              <w:rPr>
                <w:rFonts w:ascii="Times New Roman" w:eastAsia="Times New Roman" w:hAnsi="Times New Roman" w:cs="Times New Roman"/>
                <w:bCs/>
                <w:color w:val="auto"/>
                <w:sz w:val="18"/>
                <w:szCs w:val="18"/>
              </w:rPr>
            </w:pPr>
          </w:p>
        </w:tc>
        <w:tc>
          <w:tcPr>
            <w:tcW w:w="4598" w:type="dxa"/>
            <w:tcBorders>
              <w:top w:val="nil"/>
              <w:left w:val="nil"/>
              <w:bottom w:val="nil"/>
              <w:right w:val="nil"/>
            </w:tcBorders>
          </w:tcPr>
          <w:p w14:paraId="6565891B" w14:textId="77777777" w:rsidR="00465ADB" w:rsidRPr="0013526B" w:rsidRDefault="00465ADB" w:rsidP="00C95D12">
            <w:pPr>
              <w:pStyle w:val="Default"/>
              <w:ind w:left="856" w:right="-57"/>
              <w:jc w:val="both"/>
              <w:rPr>
                <w:rFonts w:ascii="Times New Roman" w:hAnsi="Times New Roman" w:cs="Times New Roman"/>
                <w:i/>
                <w:sz w:val="18"/>
                <w:szCs w:val="18"/>
              </w:rPr>
            </w:pPr>
          </w:p>
        </w:tc>
      </w:tr>
      <w:tr w:rsidR="00465ADB" w:rsidRPr="0013526B" w14:paraId="7D6DA00C" w14:textId="77777777" w:rsidTr="001105A9">
        <w:tc>
          <w:tcPr>
            <w:tcW w:w="4599" w:type="dxa"/>
            <w:tcBorders>
              <w:top w:val="nil"/>
              <w:left w:val="nil"/>
              <w:bottom w:val="nil"/>
              <w:right w:val="nil"/>
            </w:tcBorders>
          </w:tcPr>
          <w:p w14:paraId="4106DBB8" w14:textId="74FF0E38" w:rsidR="00465ADB" w:rsidRPr="0013526B" w:rsidRDefault="00465ADB" w:rsidP="00C95D12">
            <w:pPr>
              <w:pStyle w:val="Default"/>
              <w:ind w:left="851" w:right="-57"/>
              <w:jc w:val="both"/>
              <w:rPr>
                <w:rFonts w:ascii="Times New Roman" w:eastAsia="Times New Roman" w:hAnsi="Times New Roman" w:cs="Times New Roman"/>
                <w:bCs/>
                <w:color w:val="auto"/>
                <w:sz w:val="18"/>
                <w:szCs w:val="18"/>
              </w:rPr>
            </w:pPr>
            <w:r w:rsidRPr="0013526B">
              <w:rPr>
                <w:rFonts w:ascii="Times New Roman" w:eastAsia="Times New Roman" w:hAnsi="Times New Roman" w:cs="Times New Roman"/>
                <w:bCs/>
                <w:color w:val="auto"/>
                <w:sz w:val="18"/>
                <w:szCs w:val="18"/>
              </w:rPr>
              <w:t xml:space="preserve">Risiko tingkat bunga Kelompok Usaha terutama terkait dengan pinjaman yang diperoleh </w:t>
            </w:r>
            <w:r w:rsidR="00081AE3">
              <w:rPr>
                <w:rFonts w:ascii="Times New Roman" w:eastAsia="Times New Roman" w:hAnsi="Times New Roman" w:cs="Times New Roman"/>
                <w:bCs/>
                <w:color w:val="auto"/>
                <w:sz w:val="18"/>
                <w:szCs w:val="18"/>
              </w:rPr>
              <w:t xml:space="preserve">Kelompok Usaha lihat Catatan </w:t>
            </w:r>
            <w:r w:rsidR="003A79AF">
              <w:rPr>
                <w:rFonts w:ascii="Times New Roman" w:eastAsia="Times New Roman" w:hAnsi="Times New Roman" w:cs="Times New Roman"/>
                <w:bCs/>
                <w:color w:val="auto"/>
                <w:sz w:val="18"/>
                <w:szCs w:val="18"/>
              </w:rPr>
              <w:t xml:space="preserve">14 dan </w:t>
            </w:r>
            <w:r w:rsidR="00081AE3">
              <w:rPr>
                <w:rFonts w:ascii="Times New Roman" w:eastAsia="Times New Roman" w:hAnsi="Times New Roman" w:cs="Times New Roman"/>
                <w:bCs/>
                <w:color w:val="auto"/>
                <w:sz w:val="18"/>
                <w:szCs w:val="18"/>
              </w:rPr>
              <w:t>19</w:t>
            </w:r>
            <w:r w:rsidRPr="0013526B">
              <w:rPr>
                <w:rFonts w:ascii="Times New Roman" w:eastAsia="Times New Roman" w:hAnsi="Times New Roman" w:cs="Times New Roman"/>
                <w:bCs/>
                <w:color w:val="auto"/>
                <w:sz w:val="18"/>
                <w:szCs w:val="18"/>
              </w:rPr>
              <w:t>.</w:t>
            </w:r>
          </w:p>
        </w:tc>
        <w:tc>
          <w:tcPr>
            <w:tcW w:w="4598" w:type="dxa"/>
            <w:tcBorders>
              <w:top w:val="nil"/>
              <w:left w:val="nil"/>
              <w:bottom w:val="nil"/>
              <w:right w:val="nil"/>
            </w:tcBorders>
          </w:tcPr>
          <w:p w14:paraId="3F2805A7" w14:textId="56A10839" w:rsidR="00465ADB" w:rsidRPr="0013526B" w:rsidRDefault="00465ADB" w:rsidP="00C95D12">
            <w:pPr>
              <w:pStyle w:val="Default"/>
              <w:ind w:left="851" w:right="-57"/>
              <w:jc w:val="both"/>
              <w:rPr>
                <w:rFonts w:ascii="Times New Roman" w:hAnsi="Times New Roman" w:cs="Times New Roman"/>
                <w:i/>
                <w:sz w:val="18"/>
                <w:szCs w:val="18"/>
              </w:rPr>
            </w:pPr>
            <w:r w:rsidRPr="0013526B">
              <w:rPr>
                <w:rFonts w:ascii="Times New Roman" w:hAnsi="Times New Roman" w:cs="Times New Roman"/>
                <w:i/>
                <w:sz w:val="18"/>
                <w:szCs w:val="18"/>
              </w:rPr>
              <w:t>The Group</w:t>
            </w:r>
            <w:r w:rsidR="00054578">
              <w:rPr>
                <w:rFonts w:ascii="Times New Roman" w:hAnsi="Times New Roman" w:cs="Times New Roman"/>
                <w:i/>
                <w:sz w:val="18"/>
                <w:szCs w:val="18"/>
              </w:rPr>
              <w:t>s</w:t>
            </w:r>
            <w:r w:rsidRPr="0013526B">
              <w:rPr>
                <w:rFonts w:ascii="Times New Roman" w:hAnsi="Times New Roman" w:cs="Times New Roman"/>
                <w:i/>
                <w:sz w:val="18"/>
                <w:szCs w:val="18"/>
              </w:rPr>
              <w:t xml:space="preserve"> interest rate risk mainly arises from loans obtained</w:t>
            </w:r>
            <w:r w:rsidR="00081AE3">
              <w:rPr>
                <w:rFonts w:ascii="Times New Roman" w:hAnsi="Times New Roman" w:cs="Times New Roman"/>
                <w:i/>
                <w:sz w:val="18"/>
                <w:szCs w:val="18"/>
              </w:rPr>
              <w:t xml:space="preserve"> by the Group see Note </w:t>
            </w:r>
            <w:r w:rsidR="003A79AF">
              <w:rPr>
                <w:rFonts w:ascii="Times New Roman" w:hAnsi="Times New Roman" w:cs="Times New Roman"/>
                <w:i/>
                <w:sz w:val="18"/>
                <w:szCs w:val="18"/>
              </w:rPr>
              <w:t xml:space="preserve">14 and </w:t>
            </w:r>
            <w:r w:rsidR="00081AE3">
              <w:rPr>
                <w:rFonts w:ascii="Times New Roman" w:hAnsi="Times New Roman" w:cs="Times New Roman"/>
                <w:i/>
                <w:sz w:val="18"/>
                <w:szCs w:val="18"/>
              </w:rPr>
              <w:t>19</w:t>
            </w:r>
            <w:r w:rsidRPr="0013526B">
              <w:rPr>
                <w:rFonts w:ascii="Times New Roman" w:hAnsi="Times New Roman" w:cs="Times New Roman"/>
                <w:i/>
                <w:sz w:val="18"/>
                <w:szCs w:val="18"/>
              </w:rPr>
              <w:t>.</w:t>
            </w:r>
          </w:p>
        </w:tc>
      </w:tr>
      <w:tr w:rsidR="00465ADB" w:rsidRPr="0013526B" w14:paraId="61B323D7" w14:textId="77777777" w:rsidTr="001105A9">
        <w:tc>
          <w:tcPr>
            <w:tcW w:w="4599" w:type="dxa"/>
            <w:tcBorders>
              <w:top w:val="nil"/>
              <w:left w:val="nil"/>
              <w:bottom w:val="nil"/>
              <w:right w:val="nil"/>
            </w:tcBorders>
          </w:tcPr>
          <w:p w14:paraId="71A1D807" w14:textId="77777777" w:rsidR="00465ADB" w:rsidRPr="0013526B" w:rsidRDefault="00465ADB" w:rsidP="00C95D12">
            <w:pPr>
              <w:pStyle w:val="Default"/>
              <w:ind w:left="885" w:right="-57"/>
              <w:jc w:val="both"/>
              <w:rPr>
                <w:rFonts w:ascii="Times New Roman" w:eastAsia="Times New Roman" w:hAnsi="Times New Roman" w:cs="Times New Roman"/>
                <w:bCs/>
                <w:color w:val="auto"/>
                <w:sz w:val="18"/>
                <w:szCs w:val="18"/>
              </w:rPr>
            </w:pPr>
          </w:p>
        </w:tc>
        <w:tc>
          <w:tcPr>
            <w:tcW w:w="4598" w:type="dxa"/>
            <w:tcBorders>
              <w:top w:val="nil"/>
              <w:left w:val="nil"/>
              <w:bottom w:val="nil"/>
              <w:right w:val="nil"/>
            </w:tcBorders>
          </w:tcPr>
          <w:p w14:paraId="68E9857E" w14:textId="77777777" w:rsidR="00465ADB" w:rsidRPr="0013526B" w:rsidRDefault="00465ADB" w:rsidP="00C95D12">
            <w:pPr>
              <w:pStyle w:val="Default"/>
              <w:ind w:left="856" w:right="-57"/>
              <w:jc w:val="both"/>
              <w:rPr>
                <w:rFonts w:ascii="Times New Roman" w:hAnsi="Times New Roman" w:cs="Times New Roman"/>
                <w:i/>
                <w:sz w:val="18"/>
                <w:szCs w:val="18"/>
              </w:rPr>
            </w:pPr>
          </w:p>
        </w:tc>
      </w:tr>
      <w:tr w:rsidR="00465ADB" w:rsidRPr="0013526B" w14:paraId="60574186" w14:textId="77777777" w:rsidTr="001105A9">
        <w:tc>
          <w:tcPr>
            <w:tcW w:w="4599" w:type="dxa"/>
            <w:tcBorders>
              <w:top w:val="nil"/>
              <w:left w:val="nil"/>
              <w:bottom w:val="nil"/>
              <w:right w:val="nil"/>
            </w:tcBorders>
          </w:tcPr>
          <w:p w14:paraId="3072CC9E" w14:textId="4E79F248" w:rsidR="00465ADB" w:rsidRPr="0013526B" w:rsidRDefault="00465ADB" w:rsidP="00C95D12">
            <w:pPr>
              <w:pStyle w:val="Default"/>
              <w:ind w:left="851" w:right="-57"/>
              <w:jc w:val="both"/>
              <w:rPr>
                <w:rFonts w:ascii="Times New Roman" w:eastAsia="Times New Roman" w:hAnsi="Times New Roman" w:cs="Times New Roman"/>
                <w:bCs/>
                <w:color w:val="auto"/>
                <w:sz w:val="18"/>
                <w:szCs w:val="18"/>
              </w:rPr>
            </w:pPr>
            <w:r w:rsidRPr="0013526B">
              <w:rPr>
                <w:rFonts w:ascii="Times New Roman" w:eastAsia="Times New Roman" w:hAnsi="Times New Roman" w:cs="Times New Roman"/>
                <w:bCs/>
                <w:color w:val="auto"/>
                <w:sz w:val="18"/>
                <w:szCs w:val="18"/>
              </w:rPr>
              <w:t>Kelompok Usaha melakukan penelahaan berkala atas dampak perubahan suku bunga dan senantiasa menjaga komposisi pendanaan dengan sesuai kebutuhan untuk mengola risiko suku bunga. Berdasarkan analisis tersebut</w:t>
            </w:r>
            <w:r w:rsidR="00870FD0">
              <w:rPr>
                <w:rFonts w:ascii="Times New Roman" w:eastAsia="Times New Roman" w:hAnsi="Times New Roman" w:cs="Times New Roman"/>
                <w:bCs/>
                <w:color w:val="auto"/>
                <w:sz w:val="18"/>
                <w:szCs w:val="18"/>
              </w:rPr>
              <w:t>.</w:t>
            </w:r>
            <w:r w:rsidRPr="0013526B">
              <w:rPr>
                <w:rFonts w:ascii="Times New Roman" w:eastAsia="Times New Roman" w:hAnsi="Times New Roman" w:cs="Times New Roman"/>
                <w:bCs/>
                <w:color w:val="auto"/>
                <w:sz w:val="18"/>
                <w:szCs w:val="18"/>
              </w:rPr>
              <w:t xml:space="preserve"> Kelompok Usaha menghitung dampak terhadap laba rugi dari pergeseran tingkat bunga yang ditetapkan.</w:t>
            </w:r>
          </w:p>
        </w:tc>
        <w:tc>
          <w:tcPr>
            <w:tcW w:w="4598" w:type="dxa"/>
            <w:tcBorders>
              <w:top w:val="nil"/>
              <w:left w:val="nil"/>
              <w:bottom w:val="nil"/>
              <w:right w:val="nil"/>
            </w:tcBorders>
          </w:tcPr>
          <w:p w14:paraId="3F209740" w14:textId="2A69AA08" w:rsidR="00465ADB" w:rsidRPr="0013526B" w:rsidRDefault="00465ADB" w:rsidP="00C95D12">
            <w:pPr>
              <w:pStyle w:val="Default"/>
              <w:ind w:left="851" w:right="-57"/>
              <w:jc w:val="both"/>
              <w:rPr>
                <w:rFonts w:ascii="Times New Roman" w:hAnsi="Times New Roman" w:cs="Times New Roman"/>
                <w:i/>
                <w:sz w:val="18"/>
                <w:szCs w:val="18"/>
              </w:rPr>
            </w:pPr>
            <w:r w:rsidRPr="0013526B">
              <w:rPr>
                <w:rFonts w:ascii="Times New Roman" w:hAnsi="Times New Roman" w:cs="Times New Roman"/>
                <w:i/>
                <w:sz w:val="18"/>
                <w:szCs w:val="18"/>
              </w:rPr>
              <w:t>The Group</w:t>
            </w:r>
            <w:r w:rsidR="00054578">
              <w:rPr>
                <w:rFonts w:ascii="Times New Roman" w:hAnsi="Times New Roman" w:cs="Times New Roman"/>
                <w:i/>
                <w:sz w:val="18"/>
                <w:szCs w:val="18"/>
              </w:rPr>
              <w:t>s</w:t>
            </w:r>
            <w:r w:rsidRPr="0013526B">
              <w:rPr>
                <w:rFonts w:ascii="Times New Roman" w:hAnsi="Times New Roman" w:cs="Times New Roman"/>
                <w:i/>
                <w:sz w:val="18"/>
                <w:szCs w:val="18"/>
              </w:rPr>
              <w:t xml:space="preserve"> perform regular review on the impact of interest rate changes and always maintain the proportion of loans obtained in accordance to their needs to manage the interest rate risk. Based on this analysis</w:t>
            </w:r>
            <w:r w:rsidR="00870FD0">
              <w:rPr>
                <w:rFonts w:ascii="Times New Roman" w:hAnsi="Times New Roman" w:cs="Times New Roman"/>
                <w:i/>
                <w:sz w:val="18"/>
                <w:szCs w:val="18"/>
              </w:rPr>
              <w:t>.</w:t>
            </w:r>
            <w:r w:rsidRPr="0013526B">
              <w:rPr>
                <w:rFonts w:ascii="Times New Roman" w:hAnsi="Times New Roman" w:cs="Times New Roman"/>
                <w:i/>
                <w:sz w:val="18"/>
                <w:szCs w:val="18"/>
              </w:rPr>
              <w:t xml:space="preserve"> </w:t>
            </w:r>
            <w:proofErr w:type="gramStart"/>
            <w:r w:rsidRPr="0013526B">
              <w:rPr>
                <w:rFonts w:ascii="Times New Roman" w:hAnsi="Times New Roman" w:cs="Times New Roman"/>
                <w:i/>
                <w:sz w:val="18"/>
                <w:szCs w:val="18"/>
              </w:rPr>
              <w:t>the</w:t>
            </w:r>
            <w:proofErr w:type="gramEnd"/>
            <w:r w:rsidRPr="0013526B">
              <w:rPr>
                <w:rFonts w:ascii="Times New Roman" w:hAnsi="Times New Roman" w:cs="Times New Roman"/>
                <w:i/>
                <w:sz w:val="18"/>
                <w:szCs w:val="18"/>
              </w:rPr>
              <w:t xml:space="preserve"> Group</w:t>
            </w:r>
            <w:r w:rsidR="002C6A14">
              <w:rPr>
                <w:rFonts w:ascii="Times New Roman" w:hAnsi="Times New Roman" w:cs="Times New Roman"/>
                <w:i/>
                <w:sz w:val="18"/>
                <w:szCs w:val="18"/>
              </w:rPr>
              <w:t>s</w:t>
            </w:r>
            <w:r w:rsidRPr="0013526B">
              <w:rPr>
                <w:rFonts w:ascii="Times New Roman" w:hAnsi="Times New Roman" w:cs="Times New Roman"/>
                <w:i/>
                <w:sz w:val="18"/>
                <w:szCs w:val="18"/>
              </w:rPr>
              <w:t xml:space="preserve"> calculates the impact on profit and loss of a defined interest rate shift.</w:t>
            </w:r>
          </w:p>
        </w:tc>
      </w:tr>
    </w:tbl>
    <w:p w14:paraId="3DCC3129" w14:textId="2FADB6B0" w:rsidR="001105A9" w:rsidRDefault="001105A9">
      <w:r>
        <w:br w:type="page"/>
      </w:r>
    </w:p>
    <w:tbl>
      <w:tblPr>
        <w:tblW w:w="9225" w:type="dxa"/>
        <w:tblInd w:w="112" w:type="dxa"/>
        <w:tblLayout w:type="fixed"/>
        <w:tblLook w:val="0000" w:firstRow="0" w:lastRow="0" w:firstColumn="0" w:lastColumn="0" w:noHBand="0" w:noVBand="0"/>
      </w:tblPr>
      <w:tblGrid>
        <w:gridCol w:w="4612"/>
        <w:gridCol w:w="4613"/>
      </w:tblGrid>
      <w:tr w:rsidR="001105A9" w:rsidRPr="00D847FD" w14:paraId="00B44DA2" w14:textId="77777777" w:rsidTr="00091DE4">
        <w:tc>
          <w:tcPr>
            <w:tcW w:w="4598" w:type="dxa"/>
            <w:tcBorders>
              <w:top w:val="nil"/>
              <w:left w:val="nil"/>
              <w:bottom w:val="nil"/>
              <w:right w:val="nil"/>
            </w:tcBorders>
          </w:tcPr>
          <w:p w14:paraId="2FFFE5E8" w14:textId="77777777" w:rsidR="001105A9" w:rsidRPr="0013526B" w:rsidRDefault="001105A9" w:rsidP="00070D1F">
            <w:pPr>
              <w:numPr>
                <w:ilvl w:val="0"/>
                <w:numId w:val="407"/>
              </w:numPr>
              <w:jc w:val="both"/>
              <w:rPr>
                <w:b/>
                <w:sz w:val="18"/>
                <w:szCs w:val="18"/>
              </w:rPr>
            </w:pPr>
            <w:r w:rsidRPr="0013526B">
              <w:rPr>
                <w:b/>
                <w:sz w:val="18"/>
                <w:szCs w:val="18"/>
              </w:rPr>
              <w:lastRenderedPageBreak/>
              <w:br w:type="page"/>
              <w:t xml:space="preserve">TUJUAN DAN KEBIJAKAN MANAJEMEN RISIKO </w:t>
            </w:r>
            <w:r>
              <w:rPr>
                <w:b/>
                <w:sz w:val="18"/>
                <w:szCs w:val="18"/>
              </w:rPr>
              <w:t>-</w:t>
            </w:r>
            <w:r w:rsidRPr="0013526B">
              <w:rPr>
                <w:b/>
                <w:sz w:val="18"/>
                <w:szCs w:val="18"/>
              </w:rPr>
              <w:t xml:space="preserve"> Lanjutan</w:t>
            </w:r>
          </w:p>
        </w:tc>
        <w:tc>
          <w:tcPr>
            <w:tcW w:w="4599" w:type="dxa"/>
            <w:tcBorders>
              <w:top w:val="nil"/>
              <w:left w:val="nil"/>
              <w:bottom w:val="nil"/>
              <w:right w:val="nil"/>
            </w:tcBorders>
          </w:tcPr>
          <w:p w14:paraId="0723BA72" w14:textId="77777777" w:rsidR="001105A9" w:rsidRPr="00D847FD" w:rsidRDefault="001105A9" w:rsidP="00070D1F">
            <w:pPr>
              <w:numPr>
                <w:ilvl w:val="0"/>
                <w:numId w:val="408"/>
              </w:numPr>
              <w:jc w:val="both"/>
              <w:rPr>
                <w:b/>
                <w:i/>
                <w:iCs/>
                <w:sz w:val="18"/>
                <w:szCs w:val="18"/>
              </w:rPr>
            </w:pPr>
            <w:r w:rsidRPr="00D847FD">
              <w:rPr>
                <w:b/>
                <w:i/>
                <w:iCs/>
                <w:sz w:val="18"/>
                <w:szCs w:val="18"/>
              </w:rPr>
              <w:t>FINANCIAL RISK MANAGEMENT OBJECTIVES AND POLICIES - Continued</w:t>
            </w:r>
          </w:p>
        </w:tc>
      </w:tr>
      <w:tr w:rsidR="001105A9" w:rsidRPr="00465ADB" w14:paraId="12DDB9AB" w14:textId="77777777" w:rsidTr="00091DE4">
        <w:tc>
          <w:tcPr>
            <w:tcW w:w="4598" w:type="dxa"/>
            <w:tcBorders>
              <w:top w:val="nil"/>
              <w:left w:val="nil"/>
              <w:bottom w:val="nil"/>
              <w:right w:val="nil"/>
            </w:tcBorders>
          </w:tcPr>
          <w:p w14:paraId="2012E565" w14:textId="77777777" w:rsidR="001105A9" w:rsidRPr="00465ADB" w:rsidRDefault="001105A9" w:rsidP="00091DE4">
            <w:pPr>
              <w:ind w:left="360" w:right="-58"/>
              <w:jc w:val="both"/>
              <w:rPr>
                <w:sz w:val="8"/>
                <w:szCs w:val="18"/>
              </w:rPr>
            </w:pPr>
          </w:p>
        </w:tc>
        <w:tc>
          <w:tcPr>
            <w:tcW w:w="4599" w:type="dxa"/>
            <w:tcBorders>
              <w:top w:val="nil"/>
              <w:left w:val="nil"/>
              <w:bottom w:val="nil"/>
              <w:right w:val="nil"/>
            </w:tcBorders>
          </w:tcPr>
          <w:p w14:paraId="0FF7073F" w14:textId="77777777" w:rsidR="001105A9" w:rsidRPr="00465ADB" w:rsidRDefault="001105A9" w:rsidP="00091DE4">
            <w:pPr>
              <w:ind w:left="360" w:right="-58"/>
              <w:jc w:val="both"/>
              <w:rPr>
                <w:i/>
                <w:sz w:val="8"/>
                <w:szCs w:val="18"/>
              </w:rPr>
            </w:pPr>
          </w:p>
        </w:tc>
      </w:tr>
      <w:tr w:rsidR="001105A9" w:rsidRPr="0013526B" w14:paraId="50A66455" w14:textId="77777777" w:rsidTr="00091DE4">
        <w:tc>
          <w:tcPr>
            <w:tcW w:w="4598" w:type="dxa"/>
            <w:tcBorders>
              <w:top w:val="nil"/>
              <w:left w:val="nil"/>
              <w:bottom w:val="nil"/>
              <w:right w:val="nil"/>
            </w:tcBorders>
          </w:tcPr>
          <w:p w14:paraId="5F2892AC" w14:textId="77777777" w:rsidR="001105A9" w:rsidRPr="0013526B" w:rsidRDefault="001105A9" w:rsidP="00091DE4">
            <w:pPr>
              <w:pStyle w:val="ListParagraph"/>
              <w:ind w:left="284"/>
              <w:jc w:val="both"/>
              <w:rPr>
                <w:b/>
                <w:sz w:val="18"/>
                <w:szCs w:val="18"/>
              </w:rPr>
            </w:pPr>
            <w:r w:rsidRPr="0013526B">
              <w:rPr>
                <w:b/>
                <w:sz w:val="18"/>
                <w:szCs w:val="18"/>
              </w:rPr>
              <w:t xml:space="preserve">Faktor-faktor Risiko Keuangan </w:t>
            </w:r>
            <w:r>
              <w:rPr>
                <w:b/>
                <w:sz w:val="18"/>
                <w:szCs w:val="18"/>
              </w:rPr>
              <w:t>-</w:t>
            </w:r>
            <w:r w:rsidRPr="0013526B">
              <w:rPr>
                <w:b/>
                <w:sz w:val="18"/>
                <w:szCs w:val="18"/>
              </w:rPr>
              <w:t xml:space="preserve"> Lanjutan</w:t>
            </w:r>
          </w:p>
        </w:tc>
        <w:tc>
          <w:tcPr>
            <w:tcW w:w="4599" w:type="dxa"/>
            <w:tcBorders>
              <w:top w:val="nil"/>
              <w:left w:val="nil"/>
              <w:bottom w:val="nil"/>
              <w:right w:val="nil"/>
            </w:tcBorders>
          </w:tcPr>
          <w:p w14:paraId="328FC5DC" w14:textId="77777777" w:rsidR="001105A9" w:rsidRPr="0013526B" w:rsidRDefault="001105A9" w:rsidP="00091DE4">
            <w:pPr>
              <w:pStyle w:val="ListParagraph"/>
              <w:ind w:left="284"/>
              <w:jc w:val="both"/>
              <w:rPr>
                <w:b/>
                <w:i/>
                <w:sz w:val="18"/>
                <w:szCs w:val="18"/>
              </w:rPr>
            </w:pPr>
            <w:r w:rsidRPr="0013526B">
              <w:rPr>
                <w:b/>
                <w:i/>
                <w:sz w:val="18"/>
                <w:szCs w:val="18"/>
              </w:rPr>
              <w:t>Financial Risk Factors - Continued</w:t>
            </w:r>
          </w:p>
        </w:tc>
      </w:tr>
    </w:tbl>
    <w:p w14:paraId="1A6401CC" w14:textId="77777777" w:rsidR="001105A9" w:rsidRPr="00C95D12" w:rsidRDefault="001105A9" w:rsidP="001105A9">
      <w:pPr>
        <w:rPr>
          <w:sz w:val="8"/>
        </w:rPr>
      </w:pPr>
    </w:p>
    <w:tbl>
      <w:tblPr>
        <w:tblW w:w="9197" w:type="dxa"/>
        <w:tblInd w:w="112" w:type="dxa"/>
        <w:tblLayout w:type="fixed"/>
        <w:tblLook w:val="0000" w:firstRow="0" w:lastRow="0" w:firstColumn="0" w:lastColumn="0" w:noHBand="0" w:noVBand="0"/>
      </w:tblPr>
      <w:tblGrid>
        <w:gridCol w:w="4598"/>
        <w:gridCol w:w="4599"/>
      </w:tblGrid>
      <w:tr w:rsidR="001105A9" w:rsidRPr="0013526B" w14:paraId="76F90FA5" w14:textId="77777777" w:rsidTr="00091DE4">
        <w:tc>
          <w:tcPr>
            <w:tcW w:w="4598" w:type="dxa"/>
            <w:tcBorders>
              <w:top w:val="nil"/>
              <w:left w:val="nil"/>
              <w:bottom w:val="nil"/>
              <w:right w:val="nil"/>
            </w:tcBorders>
          </w:tcPr>
          <w:p w14:paraId="09A5BEB0" w14:textId="77777777" w:rsidR="001105A9" w:rsidRPr="0013526B" w:rsidRDefault="001105A9" w:rsidP="00091DE4">
            <w:pPr>
              <w:pStyle w:val="Default"/>
              <w:numPr>
                <w:ilvl w:val="1"/>
                <w:numId w:val="13"/>
              </w:numPr>
              <w:ind w:left="568" w:hanging="284"/>
              <w:jc w:val="both"/>
              <w:rPr>
                <w:rFonts w:ascii="Times New Roman" w:hAnsi="Times New Roman" w:cs="Times New Roman"/>
                <w:b/>
                <w:sz w:val="18"/>
                <w:szCs w:val="18"/>
              </w:rPr>
            </w:pPr>
            <w:r w:rsidRPr="0013526B">
              <w:rPr>
                <w:rFonts w:ascii="Times New Roman" w:hAnsi="Times New Roman" w:cs="Times New Roman"/>
                <w:b/>
                <w:sz w:val="18"/>
                <w:szCs w:val="18"/>
              </w:rPr>
              <w:t xml:space="preserve">Risiko Pasar </w:t>
            </w:r>
            <w:r>
              <w:rPr>
                <w:rFonts w:ascii="Times New Roman" w:hAnsi="Times New Roman" w:cs="Times New Roman"/>
                <w:b/>
                <w:sz w:val="18"/>
                <w:szCs w:val="18"/>
              </w:rPr>
              <w:t>-</w:t>
            </w:r>
            <w:r w:rsidRPr="0013526B">
              <w:rPr>
                <w:rFonts w:ascii="Times New Roman" w:hAnsi="Times New Roman" w:cs="Times New Roman"/>
                <w:b/>
                <w:sz w:val="18"/>
                <w:szCs w:val="18"/>
              </w:rPr>
              <w:t xml:space="preserve"> Lanjutan</w:t>
            </w:r>
          </w:p>
        </w:tc>
        <w:tc>
          <w:tcPr>
            <w:tcW w:w="4599" w:type="dxa"/>
            <w:tcBorders>
              <w:top w:val="nil"/>
              <w:left w:val="nil"/>
              <w:bottom w:val="nil"/>
              <w:right w:val="nil"/>
            </w:tcBorders>
          </w:tcPr>
          <w:p w14:paraId="369115AB" w14:textId="77777777" w:rsidR="001105A9" w:rsidRPr="0013526B" w:rsidRDefault="001105A9" w:rsidP="00091DE4">
            <w:pPr>
              <w:pStyle w:val="Default"/>
              <w:numPr>
                <w:ilvl w:val="0"/>
                <w:numId w:val="14"/>
              </w:numPr>
              <w:ind w:left="568" w:hanging="284"/>
              <w:jc w:val="both"/>
              <w:rPr>
                <w:rFonts w:ascii="Times New Roman" w:hAnsi="Times New Roman" w:cs="Times New Roman"/>
                <w:b/>
                <w:i/>
                <w:sz w:val="18"/>
                <w:szCs w:val="18"/>
              </w:rPr>
            </w:pPr>
            <w:r w:rsidRPr="0013526B">
              <w:rPr>
                <w:rFonts w:ascii="Times New Roman" w:hAnsi="Times New Roman" w:cs="Times New Roman"/>
                <w:b/>
                <w:i/>
                <w:sz w:val="18"/>
                <w:szCs w:val="18"/>
              </w:rPr>
              <w:t>Market Risk - Continued</w:t>
            </w:r>
          </w:p>
        </w:tc>
      </w:tr>
      <w:tr w:rsidR="00BB7456" w:rsidRPr="00465ADB" w14:paraId="17BC0DF2" w14:textId="77777777" w:rsidTr="001105A9">
        <w:tc>
          <w:tcPr>
            <w:tcW w:w="4598" w:type="dxa"/>
            <w:tcBorders>
              <w:top w:val="nil"/>
              <w:left w:val="nil"/>
              <w:bottom w:val="nil"/>
              <w:right w:val="nil"/>
            </w:tcBorders>
          </w:tcPr>
          <w:p w14:paraId="462FB2FB" w14:textId="2F8288F0" w:rsidR="00BB7456" w:rsidRPr="001105A9" w:rsidRDefault="00BB7456" w:rsidP="001105A9">
            <w:pPr>
              <w:rPr>
                <w:b/>
                <w:sz w:val="16"/>
                <w:szCs w:val="16"/>
              </w:rPr>
            </w:pPr>
          </w:p>
        </w:tc>
        <w:tc>
          <w:tcPr>
            <w:tcW w:w="4599" w:type="dxa"/>
            <w:tcBorders>
              <w:top w:val="nil"/>
              <w:left w:val="nil"/>
              <w:bottom w:val="nil"/>
              <w:right w:val="nil"/>
            </w:tcBorders>
          </w:tcPr>
          <w:p w14:paraId="2EF2127D" w14:textId="77777777" w:rsidR="00BB7456" w:rsidRPr="00465ADB" w:rsidRDefault="00BB7456" w:rsidP="0013526B">
            <w:pPr>
              <w:pStyle w:val="ListParagraph"/>
              <w:ind w:left="601" w:right="-57"/>
              <w:jc w:val="both"/>
              <w:rPr>
                <w:b/>
                <w:i/>
                <w:sz w:val="8"/>
                <w:szCs w:val="18"/>
              </w:rPr>
            </w:pPr>
          </w:p>
        </w:tc>
      </w:tr>
      <w:tr w:rsidR="00BB7456" w:rsidRPr="0013526B" w14:paraId="6C4709FE" w14:textId="77777777" w:rsidTr="001105A9">
        <w:tc>
          <w:tcPr>
            <w:tcW w:w="4598" w:type="dxa"/>
            <w:tcBorders>
              <w:top w:val="nil"/>
              <w:left w:val="nil"/>
              <w:bottom w:val="nil"/>
              <w:right w:val="nil"/>
            </w:tcBorders>
          </w:tcPr>
          <w:p w14:paraId="1E00201A" w14:textId="77777777" w:rsidR="00BB7456" w:rsidRPr="0013526B" w:rsidRDefault="00BB7456" w:rsidP="00C95D12">
            <w:pPr>
              <w:pStyle w:val="Default"/>
              <w:ind w:left="567" w:right="-57"/>
              <w:jc w:val="both"/>
              <w:rPr>
                <w:rFonts w:ascii="Times New Roman" w:eastAsia="Times New Roman" w:hAnsi="Times New Roman" w:cs="Times New Roman"/>
                <w:bCs/>
                <w:color w:val="auto"/>
                <w:sz w:val="18"/>
                <w:szCs w:val="18"/>
              </w:rPr>
            </w:pPr>
            <w:r w:rsidRPr="0013526B">
              <w:rPr>
                <w:rFonts w:ascii="Times New Roman" w:eastAsia="Times New Roman" w:hAnsi="Times New Roman" w:cs="Times New Roman"/>
                <w:bCs/>
                <w:color w:val="auto"/>
                <w:sz w:val="18"/>
                <w:szCs w:val="18"/>
              </w:rPr>
              <w:t xml:space="preserve">Tabel berikut menyajikan nilai tercatat instrumen keuangan yang dimiliki oleh </w:t>
            </w:r>
            <w:r w:rsidR="00605E86" w:rsidRPr="0013526B">
              <w:rPr>
                <w:rFonts w:ascii="Times New Roman" w:eastAsia="Times New Roman" w:hAnsi="Times New Roman" w:cs="Times New Roman"/>
                <w:bCs/>
                <w:color w:val="auto"/>
                <w:sz w:val="18"/>
                <w:szCs w:val="18"/>
              </w:rPr>
              <w:t>Kelompok Usaha</w:t>
            </w:r>
            <w:r w:rsidRPr="0013526B">
              <w:rPr>
                <w:rFonts w:ascii="Times New Roman" w:eastAsia="Times New Roman" w:hAnsi="Times New Roman" w:cs="Times New Roman"/>
                <w:bCs/>
                <w:color w:val="auto"/>
                <w:sz w:val="18"/>
                <w:szCs w:val="18"/>
              </w:rPr>
              <w:t xml:space="preserve"> yang terpengaruh oleh risiko suku bunga berdasarkan tanggal jatuh tempo:</w:t>
            </w:r>
          </w:p>
        </w:tc>
        <w:tc>
          <w:tcPr>
            <w:tcW w:w="4599" w:type="dxa"/>
            <w:tcBorders>
              <w:top w:val="nil"/>
              <w:left w:val="nil"/>
              <w:bottom w:val="nil"/>
              <w:right w:val="nil"/>
            </w:tcBorders>
          </w:tcPr>
          <w:p w14:paraId="05DC376D" w14:textId="656FB93C" w:rsidR="00BB7456" w:rsidRPr="0013526B" w:rsidRDefault="00BB7456" w:rsidP="00C95D12">
            <w:pPr>
              <w:pStyle w:val="Default"/>
              <w:ind w:left="571" w:right="-57"/>
              <w:jc w:val="both"/>
              <w:rPr>
                <w:rFonts w:ascii="Times New Roman" w:hAnsi="Times New Roman" w:cs="Times New Roman"/>
                <w:i/>
                <w:sz w:val="18"/>
                <w:szCs w:val="18"/>
              </w:rPr>
            </w:pPr>
            <w:r w:rsidRPr="0013526B">
              <w:rPr>
                <w:rFonts w:ascii="Times New Roman" w:hAnsi="Times New Roman" w:cs="Times New Roman"/>
                <w:i/>
                <w:sz w:val="18"/>
                <w:szCs w:val="18"/>
              </w:rPr>
              <w:t>The following table sets out the carrying amoun</w:t>
            </w:r>
            <w:r w:rsidR="00430F74" w:rsidRPr="0013526B">
              <w:rPr>
                <w:rFonts w:ascii="Times New Roman" w:hAnsi="Times New Roman" w:cs="Times New Roman"/>
                <w:i/>
                <w:sz w:val="18"/>
                <w:szCs w:val="18"/>
              </w:rPr>
              <w:t>ts</w:t>
            </w:r>
            <w:r w:rsidR="00870FD0">
              <w:rPr>
                <w:rFonts w:ascii="Times New Roman" w:hAnsi="Times New Roman" w:cs="Times New Roman"/>
                <w:i/>
                <w:sz w:val="18"/>
                <w:szCs w:val="18"/>
              </w:rPr>
              <w:t>.</w:t>
            </w:r>
            <w:r w:rsidR="00430F74" w:rsidRPr="0013526B">
              <w:rPr>
                <w:rFonts w:ascii="Times New Roman" w:hAnsi="Times New Roman" w:cs="Times New Roman"/>
                <w:i/>
                <w:sz w:val="18"/>
                <w:szCs w:val="18"/>
              </w:rPr>
              <w:t xml:space="preserve"> </w:t>
            </w:r>
            <w:proofErr w:type="gramStart"/>
            <w:r w:rsidR="00430F74" w:rsidRPr="0013526B">
              <w:rPr>
                <w:rFonts w:ascii="Times New Roman" w:hAnsi="Times New Roman" w:cs="Times New Roman"/>
                <w:i/>
                <w:sz w:val="18"/>
                <w:szCs w:val="18"/>
              </w:rPr>
              <w:t>by</w:t>
            </w:r>
            <w:proofErr w:type="gramEnd"/>
            <w:r w:rsidR="00430F74" w:rsidRPr="0013526B">
              <w:rPr>
                <w:rFonts w:ascii="Times New Roman" w:hAnsi="Times New Roman" w:cs="Times New Roman"/>
                <w:i/>
                <w:sz w:val="18"/>
                <w:szCs w:val="18"/>
              </w:rPr>
              <w:t xml:space="preserve"> maturity</w:t>
            </w:r>
            <w:r w:rsidR="00870FD0">
              <w:rPr>
                <w:rFonts w:ascii="Times New Roman" w:hAnsi="Times New Roman" w:cs="Times New Roman"/>
                <w:i/>
                <w:sz w:val="18"/>
                <w:szCs w:val="18"/>
              </w:rPr>
              <w:t>.</w:t>
            </w:r>
            <w:r w:rsidR="00430F74" w:rsidRPr="0013526B">
              <w:rPr>
                <w:rFonts w:ascii="Times New Roman" w:hAnsi="Times New Roman" w:cs="Times New Roman"/>
                <w:i/>
                <w:sz w:val="18"/>
                <w:szCs w:val="18"/>
              </w:rPr>
              <w:t xml:space="preserve"> of the Group</w:t>
            </w:r>
            <w:r w:rsidR="002C6A14">
              <w:rPr>
                <w:rFonts w:ascii="Times New Roman" w:hAnsi="Times New Roman" w:cs="Times New Roman"/>
                <w:i/>
                <w:sz w:val="18"/>
                <w:szCs w:val="18"/>
              </w:rPr>
              <w:t>s</w:t>
            </w:r>
            <w:r w:rsidRPr="0013526B">
              <w:rPr>
                <w:rFonts w:ascii="Times New Roman" w:hAnsi="Times New Roman" w:cs="Times New Roman"/>
                <w:i/>
                <w:sz w:val="18"/>
                <w:szCs w:val="18"/>
              </w:rPr>
              <w:t xml:space="preserve"> financial instruments that are exposed to interest rate risk:</w:t>
            </w:r>
          </w:p>
        </w:tc>
      </w:tr>
    </w:tbl>
    <w:p w14:paraId="7C57345B" w14:textId="77777777" w:rsidR="00073931" w:rsidRPr="00465ADB" w:rsidRDefault="00073931" w:rsidP="0013526B">
      <w:pPr>
        <w:rPr>
          <w:sz w:val="8"/>
          <w:szCs w:val="18"/>
        </w:rPr>
      </w:pPr>
    </w:p>
    <w:tbl>
      <w:tblPr>
        <w:tblW w:w="9197" w:type="dxa"/>
        <w:tblInd w:w="84" w:type="dxa"/>
        <w:tblLayout w:type="fixed"/>
        <w:tblCellMar>
          <w:left w:w="0" w:type="dxa"/>
          <w:right w:w="0" w:type="dxa"/>
        </w:tblCellMar>
        <w:tblLook w:val="01E0" w:firstRow="1" w:lastRow="1" w:firstColumn="1" w:lastColumn="1" w:noHBand="0" w:noVBand="0"/>
      </w:tblPr>
      <w:tblGrid>
        <w:gridCol w:w="2721"/>
        <w:gridCol w:w="1365"/>
        <w:gridCol w:w="50"/>
        <w:gridCol w:w="1363"/>
        <w:gridCol w:w="50"/>
        <w:gridCol w:w="1363"/>
        <w:gridCol w:w="2285"/>
      </w:tblGrid>
      <w:tr w:rsidR="0062412D" w:rsidRPr="0013526B" w14:paraId="23240E4C" w14:textId="77777777" w:rsidTr="009A292C">
        <w:trPr>
          <w:trHeight w:val="20"/>
        </w:trPr>
        <w:tc>
          <w:tcPr>
            <w:tcW w:w="1479" w:type="pct"/>
          </w:tcPr>
          <w:p w14:paraId="3880743B" w14:textId="77777777" w:rsidR="0062412D" w:rsidRPr="0013526B" w:rsidRDefault="0062412D" w:rsidP="0013526B">
            <w:pPr>
              <w:ind w:left="1134" w:right="17" w:hanging="142"/>
              <w:jc w:val="both"/>
              <w:rPr>
                <w:sz w:val="18"/>
                <w:szCs w:val="18"/>
              </w:rPr>
            </w:pPr>
          </w:p>
        </w:tc>
        <w:tc>
          <w:tcPr>
            <w:tcW w:w="2278" w:type="pct"/>
            <w:gridSpan w:val="5"/>
            <w:vAlign w:val="bottom"/>
          </w:tcPr>
          <w:p w14:paraId="32F7C7F0" w14:textId="7593C9E9" w:rsidR="0062412D" w:rsidRPr="0013526B" w:rsidRDefault="008119FA" w:rsidP="008119FA">
            <w:pPr>
              <w:ind w:right="57"/>
              <w:jc w:val="center"/>
              <w:rPr>
                <w:b/>
                <w:bCs w:val="0"/>
                <w:sz w:val="18"/>
                <w:szCs w:val="18"/>
              </w:rPr>
            </w:pPr>
            <w:r>
              <w:rPr>
                <w:b/>
                <w:bCs w:val="0"/>
                <w:sz w:val="18"/>
                <w:szCs w:val="18"/>
              </w:rPr>
              <w:t>31 Maret/ March 31</w:t>
            </w:r>
            <w:r w:rsidR="00305CA0">
              <w:rPr>
                <w:b/>
                <w:bCs w:val="0"/>
                <w:sz w:val="18"/>
                <w:szCs w:val="18"/>
              </w:rPr>
              <w:t>.</w:t>
            </w:r>
            <w:r>
              <w:rPr>
                <w:b/>
                <w:bCs w:val="0"/>
                <w:sz w:val="18"/>
                <w:szCs w:val="18"/>
              </w:rPr>
              <w:t xml:space="preserve"> </w:t>
            </w:r>
            <w:r w:rsidR="00B15D8C" w:rsidRPr="0013526B">
              <w:rPr>
                <w:b/>
                <w:bCs w:val="0"/>
                <w:sz w:val="18"/>
                <w:szCs w:val="18"/>
              </w:rPr>
              <w:t>20</w:t>
            </w:r>
            <w:r>
              <w:rPr>
                <w:b/>
                <w:bCs w:val="0"/>
                <w:sz w:val="18"/>
                <w:szCs w:val="18"/>
              </w:rPr>
              <w:t>20</w:t>
            </w:r>
          </w:p>
        </w:tc>
        <w:tc>
          <w:tcPr>
            <w:tcW w:w="1242" w:type="pct"/>
            <w:vAlign w:val="bottom"/>
          </w:tcPr>
          <w:p w14:paraId="66BE071F" w14:textId="77777777" w:rsidR="0062412D" w:rsidRPr="0013526B" w:rsidRDefault="0062412D" w:rsidP="0013526B">
            <w:pPr>
              <w:numPr>
                <w:ilvl w:val="12"/>
                <w:numId w:val="0"/>
              </w:numPr>
              <w:ind w:right="57"/>
              <w:jc w:val="right"/>
              <w:rPr>
                <w:i/>
                <w:sz w:val="18"/>
                <w:szCs w:val="18"/>
              </w:rPr>
            </w:pPr>
          </w:p>
        </w:tc>
      </w:tr>
      <w:tr w:rsidR="0062412D" w:rsidRPr="0013526B" w14:paraId="70E3A3A8" w14:textId="77777777" w:rsidTr="009A292C">
        <w:trPr>
          <w:trHeight w:val="20"/>
        </w:trPr>
        <w:tc>
          <w:tcPr>
            <w:tcW w:w="1479" w:type="pct"/>
          </w:tcPr>
          <w:p w14:paraId="394551E0" w14:textId="77777777" w:rsidR="00073931" w:rsidRPr="0013526B" w:rsidRDefault="00073931" w:rsidP="0013526B">
            <w:pPr>
              <w:ind w:left="524" w:right="17"/>
              <w:rPr>
                <w:sz w:val="18"/>
                <w:szCs w:val="18"/>
              </w:rPr>
            </w:pPr>
          </w:p>
        </w:tc>
        <w:tc>
          <w:tcPr>
            <w:tcW w:w="742" w:type="pct"/>
            <w:tcBorders>
              <w:top w:val="single" w:sz="4" w:space="0" w:color="auto"/>
            </w:tcBorders>
          </w:tcPr>
          <w:p w14:paraId="3362D72B" w14:textId="77777777" w:rsidR="00073931" w:rsidRPr="0013526B" w:rsidRDefault="00073931" w:rsidP="0013526B">
            <w:pPr>
              <w:ind w:left="28" w:right="28"/>
              <w:jc w:val="right"/>
              <w:rPr>
                <w:sz w:val="18"/>
                <w:szCs w:val="18"/>
              </w:rPr>
            </w:pPr>
          </w:p>
        </w:tc>
        <w:tc>
          <w:tcPr>
            <w:tcW w:w="27" w:type="pct"/>
            <w:tcBorders>
              <w:top w:val="single" w:sz="4" w:space="0" w:color="auto"/>
            </w:tcBorders>
          </w:tcPr>
          <w:p w14:paraId="71E54976" w14:textId="77777777" w:rsidR="00073931" w:rsidRPr="0013526B" w:rsidRDefault="00073931" w:rsidP="0013526B">
            <w:pPr>
              <w:ind w:left="28" w:right="28"/>
              <w:jc w:val="right"/>
              <w:rPr>
                <w:sz w:val="18"/>
                <w:szCs w:val="18"/>
              </w:rPr>
            </w:pPr>
          </w:p>
        </w:tc>
        <w:tc>
          <w:tcPr>
            <w:tcW w:w="741" w:type="pct"/>
            <w:tcBorders>
              <w:top w:val="single" w:sz="4" w:space="0" w:color="auto"/>
            </w:tcBorders>
          </w:tcPr>
          <w:p w14:paraId="04402098" w14:textId="77777777" w:rsidR="00073931" w:rsidRPr="0013526B" w:rsidRDefault="00073931" w:rsidP="0013526B">
            <w:pPr>
              <w:ind w:left="28" w:right="28"/>
              <w:jc w:val="right"/>
              <w:rPr>
                <w:sz w:val="18"/>
                <w:szCs w:val="18"/>
              </w:rPr>
            </w:pPr>
          </w:p>
        </w:tc>
        <w:tc>
          <w:tcPr>
            <w:tcW w:w="27" w:type="pct"/>
            <w:tcBorders>
              <w:top w:val="single" w:sz="4" w:space="0" w:color="auto"/>
            </w:tcBorders>
          </w:tcPr>
          <w:p w14:paraId="2B2F09EA" w14:textId="77777777" w:rsidR="00073931" w:rsidRPr="0013526B" w:rsidRDefault="00073931" w:rsidP="0013526B">
            <w:pPr>
              <w:ind w:left="28" w:right="28"/>
              <w:jc w:val="right"/>
              <w:rPr>
                <w:sz w:val="18"/>
                <w:szCs w:val="18"/>
              </w:rPr>
            </w:pPr>
          </w:p>
        </w:tc>
        <w:tc>
          <w:tcPr>
            <w:tcW w:w="741" w:type="pct"/>
            <w:tcBorders>
              <w:top w:val="single" w:sz="4" w:space="0" w:color="auto"/>
            </w:tcBorders>
          </w:tcPr>
          <w:p w14:paraId="469C0D4E" w14:textId="77777777" w:rsidR="00073931" w:rsidRPr="0013526B" w:rsidRDefault="00073931" w:rsidP="0013526B">
            <w:pPr>
              <w:ind w:left="28" w:right="28"/>
              <w:jc w:val="right"/>
              <w:rPr>
                <w:sz w:val="18"/>
                <w:szCs w:val="18"/>
              </w:rPr>
            </w:pPr>
          </w:p>
        </w:tc>
        <w:tc>
          <w:tcPr>
            <w:tcW w:w="1242" w:type="pct"/>
          </w:tcPr>
          <w:p w14:paraId="6BB7451F" w14:textId="77777777" w:rsidR="00073931" w:rsidRPr="0013526B" w:rsidRDefault="00073931" w:rsidP="0013526B">
            <w:pPr>
              <w:ind w:right="57"/>
              <w:jc w:val="right"/>
              <w:rPr>
                <w:i/>
                <w:sz w:val="18"/>
                <w:szCs w:val="18"/>
              </w:rPr>
            </w:pPr>
          </w:p>
        </w:tc>
      </w:tr>
      <w:tr w:rsidR="0062412D" w:rsidRPr="0013526B" w14:paraId="645CCC30" w14:textId="77777777" w:rsidTr="009A292C">
        <w:trPr>
          <w:trHeight w:val="20"/>
        </w:trPr>
        <w:tc>
          <w:tcPr>
            <w:tcW w:w="1479" w:type="pct"/>
          </w:tcPr>
          <w:p w14:paraId="680A455C" w14:textId="77777777" w:rsidR="00073931" w:rsidRPr="0013526B" w:rsidRDefault="00073931" w:rsidP="0013526B">
            <w:pPr>
              <w:ind w:left="851" w:right="17" w:hanging="142"/>
              <w:jc w:val="both"/>
              <w:rPr>
                <w:sz w:val="18"/>
                <w:szCs w:val="18"/>
              </w:rPr>
            </w:pPr>
          </w:p>
        </w:tc>
        <w:tc>
          <w:tcPr>
            <w:tcW w:w="742" w:type="pct"/>
            <w:tcBorders>
              <w:bottom w:val="single" w:sz="4" w:space="0" w:color="auto"/>
            </w:tcBorders>
            <w:vAlign w:val="bottom"/>
          </w:tcPr>
          <w:p w14:paraId="6D13D8D3" w14:textId="4AF2B372" w:rsidR="00073931" w:rsidRPr="0013526B" w:rsidRDefault="00073931" w:rsidP="0013526B">
            <w:pPr>
              <w:ind w:right="57"/>
              <w:jc w:val="center"/>
              <w:rPr>
                <w:b/>
                <w:sz w:val="18"/>
                <w:szCs w:val="18"/>
              </w:rPr>
            </w:pPr>
            <w:r w:rsidRPr="0013526B">
              <w:rPr>
                <w:b/>
                <w:sz w:val="18"/>
                <w:szCs w:val="18"/>
              </w:rPr>
              <w:t xml:space="preserve">Kurang dari satu tahun/ </w:t>
            </w:r>
            <w:r w:rsidRPr="0013526B">
              <w:rPr>
                <w:b/>
                <w:i/>
                <w:sz w:val="18"/>
                <w:szCs w:val="18"/>
              </w:rPr>
              <w:t xml:space="preserve">Less </w:t>
            </w:r>
            <w:r w:rsidR="00D04295">
              <w:rPr>
                <w:b/>
                <w:i/>
                <w:sz w:val="18"/>
                <w:szCs w:val="18"/>
              </w:rPr>
              <w:t>dagang</w:t>
            </w:r>
            <w:r w:rsidRPr="0013526B">
              <w:rPr>
                <w:b/>
                <w:i/>
                <w:sz w:val="18"/>
                <w:szCs w:val="18"/>
              </w:rPr>
              <w:t>than one year</w:t>
            </w:r>
          </w:p>
        </w:tc>
        <w:tc>
          <w:tcPr>
            <w:tcW w:w="27" w:type="pct"/>
            <w:vAlign w:val="bottom"/>
          </w:tcPr>
          <w:p w14:paraId="2D7200E7" w14:textId="77777777" w:rsidR="00073931" w:rsidRPr="0013526B" w:rsidRDefault="00073931" w:rsidP="0013526B">
            <w:pPr>
              <w:ind w:left="318" w:right="95"/>
              <w:jc w:val="center"/>
              <w:rPr>
                <w:b/>
                <w:sz w:val="18"/>
                <w:szCs w:val="18"/>
              </w:rPr>
            </w:pPr>
          </w:p>
        </w:tc>
        <w:tc>
          <w:tcPr>
            <w:tcW w:w="741" w:type="pct"/>
            <w:tcBorders>
              <w:bottom w:val="single" w:sz="4" w:space="0" w:color="auto"/>
            </w:tcBorders>
            <w:vAlign w:val="bottom"/>
          </w:tcPr>
          <w:p w14:paraId="09996747" w14:textId="77777777" w:rsidR="00073931" w:rsidRPr="0013526B" w:rsidRDefault="00073931" w:rsidP="0013526B">
            <w:pPr>
              <w:ind w:right="95"/>
              <w:jc w:val="center"/>
              <w:rPr>
                <w:b/>
                <w:sz w:val="18"/>
                <w:szCs w:val="18"/>
              </w:rPr>
            </w:pPr>
            <w:r w:rsidRPr="0013526B">
              <w:rPr>
                <w:b/>
                <w:sz w:val="18"/>
                <w:szCs w:val="18"/>
              </w:rPr>
              <w:t xml:space="preserve">Lebih dari satu tahun/ </w:t>
            </w:r>
            <w:r w:rsidRPr="0013526B">
              <w:rPr>
                <w:b/>
                <w:i/>
                <w:sz w:val="18"/>
                <w:szCs w:val="18"/>
              </w:rPr>
              <w:t>More than one year</w:t>
            </w:r>
          </w:p>
        </w:tc>
        <w:tc>
          <w:tcPr>
            <w:tcW w:w="27" w:type="pct"/>
            <w:vAlign w:val="bottom"/>
          </w:tcPr>
          <w:p w14:paraId="5D1BBB99" w14:textId="77777777" w:rsidR="00073931" w:rsidRPr="0013526B" w:rsidRDefault="00073931" w:rsidP="0013526B">
            <w:pPr>
              <w:ind w:right="95"/>
              <w:jc w:val="center"/>
              <w:rPr>
                <w:b/>
                <w:sz w:val="18"/>
                <w:szCs w:val="18"/>
              </w:rPr>
            </w:pPr>
          </w:p>
        </w:tc>
        <w:tc>
          <w:tcPr>
            <w:tcW w:w="741" w:type="pct"/>
            <w:tcBorders>
              <w:bottom w:val="single" w:sz="4" w:space="0" w:color="auto"/>
            </w:tcBorders>
            <w:vAlign w:val="bottom"/>
          </w:tcPr>
          <w:p w14:paraId="0BF8CE40" w14:textId="77777777" w:rsidR="00073931" w:rsidRPr="0013526B" w:rsidRDefault="00073931" w:rsidP="0013526B">
            <w:pPr>
              <w:ind w:right="57"/>
              <w:jc w:val="center"/>
              <w:rPr>
                <w:b/>
                <w:sz w:val="18"/>
                <w:szCs w:val="18"/>
              </w:rPr>
            </w:pPr>
          </w:p>
          <w:p w14:paraId="630D35C7" w14:textId="77777777" w:rsidR="00073931" w:rsidRPr="0013526B" w:rsidRDefault="00073931" w:rsidP="0013526B">
            <w:pPr>
              <w:ind w:right="57"/>
              <w:jc w:val="center"/>
              <w:rPr>
                <w:b/>
                <w:sz w:val="18"/>
                <w:szCs w:val="18"/>
              </w:rPr>
            </w:pPr>
            <w:r w:rsidRPr="0013526B">
              <w:rPr>
                <w:b/>
                <w:sz w:val="18"/>
                <w:szCs w:val="18"/>
              </w:rPr>
              <w:t xml:space="preserve">Nilai tercatat/ </w:t>
            </w:r>
            <w:r w:rsidRPr="0013526B">
              <w:rPr>
                <w:b/>
                <w:i/>
                <w:sz w:val="18"/>
                <w:szCs w:val="18"/>
              </w:rPr>
              <w:t>Carrying value</w:t>
            </w:r>
          </w:p>
        </w:tc>
        <w:tc>
          <w:tcPr>
            <w:tcW w:w="1242" w:type="pct"/>
            <w:vAlign w:val="bottom"/>
          </w:tcPr>
          <w:p w14:paraId="0CD50CE8" w14:textId="77777777" w:rsidR="00073931" w:rsidRPr="0013526B" w:rsidRDefault="00073931" w:rsidP="0013526B">
            <w:pPr>
              <w:numPr>
                <w:ilvl w:val="12"/>
                <w:numId w:val="0"/>
              </w:numPr>
              <w:ind w:right="55"/>
              <w:jc w:val="right"/>
              <w:rPr>
                <w:i/>
                <w:sz w:val="18"/>
                <w:szCs w:val="18"/>
              </w:rPr>
            </w:pPr>
          </w:p>
        </w:tc>
      </w:tr>
      <w:tr w:rsidR="0062412D" w:rsidRPr="00465ADB" w14:paraId="6583CF38" w14:textId="77777777" w:rsidTr="009A292C">
        <w:trPr>
          <w:trHeight w:val="20"/>
        </w:trPr>
        <w:tc>
          <w:tcPr>
            <w:tcW w:w="1479" w:type="pct"/>
          </w:tcPr>
          <w:p w14:paraId="57123836" w14:textId="77777777" w:rsidR="00073931" w:rsidRPr="00465ADB" w:rsidRDefault="00073931" w:rsidP="0013526B">
            <w:pPr>
              <w:ind w:left="900" w:right="17" w:firstLine="720"/>
              <w:jc w:val="both"/>
              <w:rPr>
                <w:sz w:val="8"/>
                <w:szCs w:val="18"/>
              </w:rPr>
            </w:pPr>
          </w:p>
        </w:tc>
        <w:tc>
          <w:tcPr>
            <w:tcW w:w="742" w:type="pct"/>
            <w:tcBorders>
              <w:top w:val="single" w:sz="4" w:space="0" w:color="auto"/>
            </w:tcBorders>
            <w:vAlign w:val="bottom"/>
          </w:tcPr>
          <w:p w14:paraId="7103433C" w14:textId="77777777" w:rsidR="00073931" w:rsidRPr="00465ADB" w:rsidRDefault="00073931" w:rsidP="0013526B">
            <w:pPr>
              <w:ind w:right="57"/>
              <w:jc w:val="center"/>
              <w:rPr>
                <w:sz w:val="8"/>
                <w:szCs w:val="18"/>
              </w:rPr>
            </w:pPr>
          </w:p>
        </w:tc>
        <w:tc>
          <w:tcPr>
            <w:tcW w:w="27" w:type="pct"/>
            <w:vAlign w:val="bottom"/>
          </w:tcPr>
          <w:p w14:paraId="253749E9" w14:textId="77777777" w:rsidR="00073931" w:rsidRPr="00465ADB" w:rsidRDefault="00073931" w:rsidP="0013526B">
            <w:pPr>
              <w:ind w:left="318" w:right="95"/>
              <w:jc w:val="center"/>
              <w:rPr>
                <w:sz w:val="8"/>
                <w:szCs w:val="18"/>
              </w:rPr>
            </w:pPr>
          </w:p>
        </w:tc>
        <w:tc>
          <w:tcPr>
            <w:tcW w:w="741" w:type="pct"/>
            <w:tcBorders>
              <w:top w:val="single" w:sz="4" w:space="0" w:color="auto"/>
            </w:tcBorders>
            <w:vAlign w:val="bottom"/>
          </w:tcPr>
          <w:p w14:paraId="551B45E3" w14:textId="77777777" w:rsidR="00073931" w:rsidRPr="00465ADB" w:rsidRDefault="00073931" w:rsidP="0013526B">
            <w:pPr>
              <w:ind w:right="95"/>
              <w:jc w:val="center"/>
              <w:rPr>
                <w:sz w:val="8"/>
                <w:szCs w:val="18"/>
              </w:rPr>
            </w:pPr>
          </w:p>
        </w:tc>
        <w:tc>
          <w:tcPr>
            <w:tcW w:w="27" w:type="pct"/>
            <w:vAlign w:val="bottom"/>
          </w:tcPr>
          <w:p w14:paraId="1254F1EE" w14:textId="77777777" w:rsidR="00073931" w:rsidRPr="00465ADB" w:rsidRDefault="00073931" w:rsidP="0013526B">
            <w:pPr>
              <w:ind w:left="318" w:right="95"/>
              <w:jc w:val="center"/>
              <w:rPr>
                <w:sz w:val="8"/>
                <w:szCs w:val="18"/>
              </w:rPr>
            </w:pPr>
          </w:p>
        </w:tc>
        <w:tc>
          <w:tcPr>
            <w:tcW w:w="741" w:type="pct"/>
            <w:tcBorders>
              <w:top w:val="single" w:sz="4" w:space="0" w:color="auto"/>
            </w:tcBorders>
            <w:vAlign w:val="bottom"/>
          </w:tcPr>
          <w:p w14:paraId="5FD1F07B" w14:textId="77777777" w:rsidR="00073931" w:rsidRPr="00465ADB" w:rsidRDefault="00073931" w:rsidP="0013526B">
            <w:pPr>
              <w:ind w:right="57"/>
              <w:jc w:val="center"/>
              <w:rPr>
                <w:sz w:val="8"/>
                <w:szCs w:val="18"/>
              </w:rPr>
            </w:pPr>
          </w:p>
        </w:tc>
        <w:tc>
          <w:tcPr>
            <w:tcW w:w="1242" w:type="pct"/>
            <w:vAlign w:val="bottom"/>
          </w:tcPr>
          <w:p w14:paraId="1403814B" w14:textId="77777777" w:rsidR="00073931" w:rsidRPr="00465ADB" w:rsidRDefault="00073931" w:rsidP="0013526B">
            <w:pPr>
              <w:numPr>
                <w:ilvl w:val="12"/>
                <w:numId w:val="0"/>
              </w:numPr>
              <w:ind w:right="55"/>
              <w:jc w:val="right"/>
              <w:rPr>
                <w:i/>
                <w:sz w:val="8"/>
                <w:szCs w:val="18"/>
              </w:rPr>
            </w:pPr>
          </w:p>
        </w:tc>
      </w:tr>
      <w:tr w:rsidR="0062412D" w:rsidRPr="0013526B" w14:paraId="2BA30583" w14:textId="77777777" w:rsidTr="009A292C">
        <w:trPr>
          <w:trHeight w:val="20"/>
        </w:trPr>
        <w:tc>
          <w:tcPr>
            <w:tcW w:w="1479" w:type="pct"/>
          </w:tcPr>
          <w:p w14:paraId="0CB1814C" w14:textId="77777777" w:rsidR="00073931" w:rsidRPr="0013526B" w:rsidRDefault="00073931" w:rsidP="004F7FBD">
            <w:pPr>
              <w:ind w:left="826" w:right="143" w:hanging="142"/>
              <w:rPr>
                <w:sz w:val="18"/>
                <w:szCs w:val="18"/>
              </w:rPr>
            </w:pPr>
            <w:r w:rsidRPr="0013526B">
              <w:rPr>
                <w:sz w:val="18"/>
                <w:szCs w:val="18"/>
              </w:rPr>
              <w:t>Suku bunga mengambang</w:t>
            </w:r>
          </w:p>
        </w:tc>
        <w:tc>
          <w:tcPr>
            <w:tcW w:w="742" w:type="pct"/>
            <w:vAlign w:val="bottom"/>
          </w:tcPr>
          <w:p w14:paraId="10B9EDF2" w14:textId="77777777" w:rsidR="00073931" w:rsidRPr="0013526B" w:rsidRDefault="00073931" w:rsidP="0013526B">
            <w:pPr>
              <w:ind w:right="57"/>
              <w:jc w:val="right"/>
              <w:rPr>
                <w:sz w:val="18"/>
                <w:szCs w:val="18"/>
              </w:rPr>
            </w:pPr>
          </w:p>
        </w:tc>
        <w:tc>
          <w:tcPr>
            <w:tcW w:w="27" w:type="pct"/>
            <w:vAlign w:val="bottom"/>
          </w:tcPr>
          <w:p w14:paraId="47EA0C45" w14:textId="77777777" w:rsidR="00073931" w:rsidRPr="0013526B" w:rsidRDefault="00073931" w:rsidP="0013526B">
            <w:pPr>
              <w:ind w:left="318" w:right="95"/>
              <w:jc w:val="right"/>
              <w:rPr>
                <w:sz w:val="18"/>
                <w:szCs w:val="18"/>
              </w:rPr>
            </w:pPr>
          </w:p>
        </w:tc>
        <w:tc>
          <w:tcPr>
            <w:tcW w:w="741" w:type="pct"/>
            <w:vAlign w:val="bottom"/>
          </w:tcPr>
          <w:p w14:paraId="78E5851C" w14:textId="77777777" w:rsidR="00073931" w:rsidRPr="0013526B" w:rsidRDefault="00073931" w:rsidP="0013526B">
            <w:pPr>
              <w:ind w:right="95"/>
              <w:jc w:val="right"/>
              <w:rPr>
                <w:sz w:val="18"/>
                <w:szCs w:val="18"/>
              </w:rPr>
            </w:pPr>
          </w:p>
        </w:tc>
        <w:tc>
          <w:tcPr>
            <w:tcW w:w="27" w:type="pct"/>
            <w:vAlign w:val="bottom"/>
          </w:tcPr>
          <w:p w14:paraId="18307F68" w14:textId="77777777" w:rsidR="00073931" w:rsidRPr="0013526B" w:rsidRDefault="00073931" w:rsidP="0013526B">
            <w:pPr>
              <w:ind w:left="318" w:right="95"/>
              <w:jc w:val="right"/>
              <w:rPr>
                <w:sz w:val="18"/>
                <w:szCs w:val="18"/>
              </w:rPr>
            </w:pPr>
          </w:p>
        </w:tc>
        <w:tc>
          <w:tcPr>
            <w:tcW w:w="741" w:type="pct"/>
            <w:vAlign w:val="bottom"/>
          </w:tcPr>
          <w:p w14:paraId="1794728E" w14:textId="77777777" w:rsidR="00073931" w:rsidRPr="0013526B" w:rsidRDefault="00073931" w:rsidP="0013526B">
            <w:pPr>
              <w:ind w:right="57"/>
              <w:jc w:val="right"/>
              <w:rPr>
                <w:sz w:val="18"/>
                <w:szCs w:val="18"/>
              </w:rPr>
            </w:pPr>
          </w:p>
        </w:tc>
        <w:tc>
          <w:tcPr>
            <w:tcW w:w="1242" w:type="pct"/>
            <w:vAlign w:val="bottom"/>
          </w:tcPr>
          <w:p w14:paraId="34FB66C9" w14:textId="77777777" w:rsidR="00073931" w:rsidRPr="0013526B" w:rsidRDefault="00073931" w:rsidP="0013526B">
            <w:pPr>
              <w:numPr>
                <w:ilvl w:val="12"/>
                <w:numId w:val="0"/>
              </w:numPr>
              <w:ind w:right="57"/>
              <w:jc w:val="right"/>
              <w:rPr>
                <w:i/>
                <w:sz w:val="18"/>
                <w:szCs w:val="18"/>
              </w:rPr>
            </w:pPr>
            <w:r w:rsidRPr="0013526B">
              <w:rPr>
                <w:i/>
                <w:sz w:val="18"/>
                <w:szCs w:val="18"/>
              </w:rPr>
              <w:t>Floating rate</w:t>
            </w:r>
          </w:p>
        </w:tc>
      </w:tr>
      <w:tr w:rsidR="00415E1B" w:rsidRPr="0013526B" w14:paraId="2FCAED8B" w14:textId="77777777" w:rsidTr="009A292C">
        <w:trPr>
          <w:trHeight w:val="20"/>
        </w:trPr>
        <w:tc>
          <w:tcPr>
            <w:tcW w:w="1479" w:type="pct"/>
          </w:tcPr>
          <w:p w14:paraId="20C8CC9D" w14:textId="77777777" w:rsidR="00415E1B" w:rsidRDefault="00415E1B" w:rsidP="00415E1B">
            <w:pPr>
              <w:ind w:left="826" w:right="17" w:hanging="142"/>
              <w:rPr>
                <w:sz w:val="18"/>
                <w:szCs w:val="18"/>
              </w:rPr>
            </w:pPr>
          </w:p>
          <w:p w14:paraId="281739EC" w14:textId="77777777" w:rsidR="00415E1B" w:rsidRPr="0013526B" w:rsidRDefault="00415E1B" w:rsidP="00415E1B">
            <w:pPr>
              <w:ind w:left="826" w:right="17" w:hanging="142"/>
              <w:rPr>
                <w:sz w:val="18"/>
                <w:szCs w:val="18"/>
              </w:rPr>
            </w:pPr>
            <w:r w:rsidRPr="0013526B">
              <w:rPr>
                <w:sz w:val="18"/>
                <w:szCs w:val="18"/>
              </w:rPr>
              <w:t>Kas di bank dan setara kas</w:t>
            </w:r>
          </w:p>
        </w:tc>
        <w:tc>
          <w:tcPr>
            <w:tcW w:w="742" w:type="pct"/>
            <w:vAlign w:val="bottom"/>
          </w:tcPr>
          <w:p w14:paraId="1E15E994" w14:textId="7EA400F1" w:rsidR="00415E1B" w:rsidRPr="0013526B" w:rsidRDefault="00415E1B" w:rsidP="00415E1B">
            <w:pPr>
              <w:ind w:right="57"/>
              <w:jc w:val="right"/>
              <w:rPr>
                <w:sz w:val="18"/>
                <w:szCs w:val="18"/>
              </w:rPr>
            </w:pPr>
            <w:r>
              <w:rPr>
                <w:sz w:val="18"/>
                <w:szCs w:val="18"/>
              </w:rPr>
              <w:t>216.662.299.289</w:t>
            </w:r>
          </w:p>
        </w:tc>
        <w:tc>
          <w:tcPr>
            <w:tcW w:w="27" w:type="pct"/>
            <w:vAlign w:val="bottom"/>
          </w:tcPr>
          <w:p w14:paraId="49AE9A3F" w14:textId="77777777" w:rsidR="00415E1B" w:rsidRPr="0013526B" w:rsidRDefault="00415E1B" w:rsidP="00415E1B">
            <w:pPr>
              <w:ind w:left="318" w:right="57"/>
              <w:jc w:val="right"/>
              <w:rPr>
                <w:sz w:val="18"/>
                <w:szCs w:val="18"/>
              </w:rPr>
            </w:pPr>
          </w:p>
        </w:tc>
        <w:tc>
          <w:tcPr>
            <w:tcW w:w="741" w:type="pct"/>
            <w:vAlign w:val="bottom"/>
          </w:tcPr>
          <w:p w14:paraId="4A6047AA" w14:textId="1D9B9A75" w:rsidR="00415E1B" w:rsidRPr="0013526B" w:rsidRDefault="00415E1B" w:rsidP="00415E1B">
            <w:pPr>
              <w:ind w:right="57"/>
              <w:jc w:val="right"/>
              <w:rPr>
                <w:sz w:val="18"/>
                <w:szCs w:val="18"/>
              </w:rPr>
            </w:pPr>
            <w:r>
              <w:rPr>
                <w:sz w:val="18"/>
                <w:szCs w:val="18"/>
              </w:rPr>
              <w:t>-</w:t>
            </w:r>
          </w:p>
        </w:tc>
        <w:tc>
          <w:tcPr>
            <w:tcW w:w="27" w:type="pct"/>
            <w:vAlign w:val="bottom"/>
          </w:tcPr>
          <w:p w14:paraId="6AAA2A5C" w14:textId="77777777" w:rsidR="00415E1B" w:rsidRPr="0013526B" w:rsidRDefault="00415E1B" w:rsidP="00415E1B">
            <w:pPr>
              <w:ind w:left="318" w:right="57"/>
              <w:jc w:val="right"/>
              <w:rPr>
                <w:sz w:val="18"/>
                <w:szCs w:val="18"/>
              </w:rPr>
            </w:pPr>
          </w:p>
        </w:tc>
        <w:tc>
          <w:tcPr>
            <w:tcW w:w="741" w:type="pct"/>
            <w:vAlign w:val="bottom"/>
          </w:tcPr>
          <w:p w14:paraId="1D27F0F4" w14:textId="577D2690" w:rsidR="00415E1B" w:rsidRPr="0013526B" w:rsidRDefault="00415E1B" w:rsidP="00415E1B">
            <w:pPr>
              <w:ind w:right="57"/>
              <w:jc w:val="right"/>
              <w:rPr>
                <w:sz w:val="18"/>
                <w:szCs w:val="18"/>
              </w:rPr>
            </w:pPr>
            <w:r>
              <w:rPr>
                <w:sz w:val="18"/>
                <w:szCs w:val="18"/>
              </w:rPr>
              <w:t>216.662.299.289</w:t>
            </w:r>
          </w:p>
        </w:tc>
        <w:tc>
          <w:tcPr>
            <w:tcW w:w="1242" w:type="pct"/>
            <w:vAlign w:val="bottom"/>
          </w:tcPr>
          <w:p w14:paraId="205378D7" w14:textId="77777777" w:rsidR="00415E1B" w:rsidRPr="0013526B" w:rsidRDefault="00415E1B" w:rsidP="00415E1B">
            <w:pPr>
              <w:numPr>
                <w:ilvl w:val="12"/>
                <w:numId w:val="0"/>
              </w:numPr>
              <w:ind w:right="57"/>
              <w:jc w:val="right"/>
              <w:rPr>
                <w:i/>
                <w:sz w:val="18"/>
                <w:szCs w:val="18"/>
              </w:rPr>
            </w:pPr>
            <w:r w:rsidRPr="0013526B">
              <w:rPr>
                <w:i/>
                <w:sz w:val="18"/>
                <w:szCs w:val="18"/>
              </w:rPr>
              <w:t xml:space="preserve">Cash in banks and cash </w:t>
            </w:r>
          </w:p>
          <w:p w14:paraId="3D4F8C6C" w14:textId="77777777" w:rsidR="00415E1B" w:rsidRPr="0013526B" w:rsidRDefault="00415E1B" w:rsidP="00415E1B">
            <w:pPr>
              <w:numPr>
                <w:ilvl w:val="12"/>
                <w:numId w:val="0"/>
              </w:numPr>
              <w:ind w:right="57"/>
              <w:jc w:val="right"/>
              <w:rPr>
                <w:i/>
                <w:sz w:val="18"/>
                <w:szCs w:val="18"/>
              </w:rPr>
            </w:pPr>
            <w:r w:rsidRPr="0013526B">
              <w:rPr>
                <w:i/>
                <w:sz w:val="18"/>
                <w:szCs w:val="18"/>
              </w:rPr>
              <w:t>equivalent</w:t>
            </w:r>
          </w:p>
        </w:tc>
      </w:tr>
      <w:tr w:rsidR="00415E1B" w:rsidRPr="0013526B" w14:paraId="4A936530" w14:textId="77777777" w:rsidTr="009A292C">
        <w:trPr>
          <w:trHeight w:val="20"/>
        </w:trPr>
        <w:tc>
          <w:tcPr>
            <w:tcW w:w="1479" w:type="pct"/>
          </w:tcPr>
          <w:p w14:paraId="3149B8AD" w14:textId="77777777" w:rsidR="00415E1B" w:rsidRPr="0013526B" w:rsidRDefault="00415E1B" w:rsidP="00415E1B">
            <w:pPr>
              <w:ind w:left="826" w:right="17" w:hanging="142"/>
              <w:rPr>
                <w:sz w:val="18"/>
                <w:szCs w:val="18"/>
              </w:rPr>
            </w:pPr>
            <w:r w:rsidRPr="0013526B">
              <w:rPr>
                <w:sz w:val="18"/>
                <w:szCs w:val="18"/>
              </w:rPr>
              <w:t>Utang bank jangka pendek</w:t>
            </w:r>
          </w:p>
        </w:tc>
        <w:tc>
          <w:tcPr>
            <w:tcW w:w="742" w:type="pct"/>
            <w:vAlign w:val="bottom"/>
          </w:tcPr>
          <w:p w14:paraId="743E9252" w14:textId="68E04F5D" w:rsidR="00415E1B" w:rsidRPr="0013526B" w:rsidRDefault="00415E1B" w:rsidP="00415E1B">
            <w:pPr>
              <w:ind w:right="57"/>
              <w:jc w:val="right"/>
              <w:rPr>
                <w:sz w:val="18"/>
                <w:szCs w:val="18"/>
              </w:rPr>
            </w:pPr>
            <w:r>
              <w:rPr>
                <w:sz w:val="18"/>
                <w:szCs w:val="18"/>
              </w:rPr>
              <w:t>25.007.256.836</w:t>
            </w:r>
          </w:p>
        </w:tc>
        <w:tc>
          <w:tcPr>
            <w:tcW w:w="27" w:type="pct"/>
            <w:vAlign w:val="bottom"/>
          </w:tcPr>
          <w:p w14:paraId="1F804CF3" w14:textId="77777777" w:rsidR="00415E1B" w:rsidRPr="0013526B" w:rsidRDefault="00415E1B" w:rsidP="00415E1B">
            <w:pPr>
              <w:ind w:left="318" w:right="57"/>
              <w:jc w:val="right"/>
              <w:rPr>
                <w:sz w:val="18"/>
                <w:szCs w:val="18"/>
              </w:rPr>
            </w:pPr>
          </w:p>
        </w:tc>
        <w:tc>
          <w:tcPr>
            <w:tcW w:w="741" w:type="pct"/>
            <w:vAlign w:val="bottom"/>
          </w:tcPr>
          <w:p w14:paraId="1814D52E" w14:textId="735360B2" w:rsidR="00415E1B" w:rsidRPr="0013526B" w:rsidRDefault="00415E1B" w:rsidP="00415E1B">
            <w:pPr>
              <w:ind w:right="57"/>
              <w:jc w:val="right"/>
              <w:rPr>
                <w:sz w:val="18"/>
                <w:szCs w:val="18"/>
              </w:rPr>
            </w:pPr>
            <w:r>
              <w:rPr>
                <w:sz w:val="18"/>
                <w:szCs w:val="18"/>
              </w:rPr>
              <w:t>-</w:t>
            </w:r>
          </w:p>
        </w:tc>
        <w:tc>
          <w:tcPr>
            <w:tcW w:w="27" w:type="pct"/>
            <w:vAlign w:val="bottom"/>
          </w:tcPr>
          <w:p w14:paraId="72430373" w14:textId="77777777" w:rsidR="00415E1B" w:rsidRPr="0013526B" w:rsidRDefault="00415E1B" w:rsidP="00415E1B">
            <w:pPr>
              <w:ind w:left="318" w:right="57"/>
              <w:jc w:val="right"/>
              <w:rPr>
                <w:sz w:val="18"/>
                <w:szCs w:val="18"/>
              </w:rPr>
            </w:pPr>
          </w:p>
        </w:tc>
        <w:tc>
          <w:tcPr>
            <w:tcW w:w="741" w:type="pct"/>
            <w:vAlign w:val="bottom"/>
          </w:tcPr>
          <w:p w14:paraId="0FE84665" w14:textId="773D595F" w:rsidR="00415E1B" w:rsidRPr="0013526B" w:rsidRDefault="00415E1B" w:rsidP="00415E1B">
            <w:pPr>
              <w:ind w:right="57"/>
              <w:jc w:val="right"/>
              <w:rPr>
                <w:sz w:val="18"/>
                <w:szCs w:val="18"/>
              </w:rPr>
            </w:pPr>
            <w:r>
              <w:rPr>
                <w:sz w:val="18"/>
                <w:szCs w:val="18"/>
              </w:rPr>
              <w:t>25.007.256.836</w:t>
            </w:r>
          </w:p>
        </w:tc>
        <w:tc>
          <w:tcPr>
            <w:tcW w:w="1242" w:type="pct"/>
            <w:vAlign w:val="bottom"/>
          </w:tcPr>
          <w:p w14:paraId="5CE14EA8" w14:textId="77777777" w:rsidR="00415E1B" w:rsidRPr="0013526B" w:rsidRDefault="00415E1B" w:rsidP="00415E1B">
            <w:pPr>
              <w:numPr>
                <w:ilvl w:val="12"/>
                <w:numId w:val="0"/>
              </w:numPr>
              <w:ind w:right="57"/>
              <w:jc w:val="right"/>
              <w:rPr>
                <w:i/>
                <w:sz w:val="18"/>
                <w:szCs w:val="18"/>
              </w:rPr>
            </w:pPr>
            <w:r w:rsidRPr="0013526B">
              <w:rPr>
                <w:i/>
                <w:sz w:val="18"/>
                <w:szCs w:val="18"/>
              </w:rPr>
              <w:t>Short-term bank loans</w:t>
            </w:r>
          </w:p>
        </w:tc>
      </w:tr>
      <w:tr w:rsidR="00415E1B" w:rsidRPr="0013526B" w14:paraId="6F59C9D5" w14:textId="77777777" w:rsidTr="009A292C">
        <w:trPr>
          <w:trHeight w:val="20"/>
        </w:trPr>
        <w:tc>
          <w:tcPr>
            <w:tcW w:w="1479" w:type="pct"/>
          </w:tcPr>
          <w:p w14:paraId="139DBA55" w14:textId="77777777" w:rsidR="00415E1B" w:rsidRPr="0013526B" w:rsidRDefault="00415E1B" w:rsidP="00415E1B">
            <w:pPr>
              <w:ind w:left="826" w:right="17" w:hanging="142"/>
              <w:rPr>
                <w:sz w:val="18"/>
                <w:szCs w:val="18"/>
              </w:rPr>
            </w:pPr>
            <w:r w:rsidRPr="0013526B">
              <w:rPr>
                <w:sz w:val="18"/>
                <w:szCs w:val="18"/>
              </w:rPr>
              <w:t>Utang bank jangka panjang yang jatuh tempo dalam waktu satu tahun</w:t>
            </w:r>
          </w:p>
        </w:tc>
        <w:tc>
          <w:tcPr>
            <w:tcW w:w="742" w:type="pct"/>
            <w:vAlign w:val="bottom"/>
          </w:tcPr>
          <w:p w14:paraId="250204D4" w14:textId="4BDA1CF3" w:rsidR="00415E1B" w:rsidRPr="0013526B" w:rsidRDefault="00415E1B" w:rsidP="00415E1B">
            <w:pPr>
              <w:ind w:right="57"/>
              <w:jc w:val="right"/>
              <w:rPr>
                <w:sz w:val="18"/>
                <w:szCs w:val="18"/>
              </w:rPr>
            </w:pPr>
            <w:r>
              <w:rPr>
                <w:sz w:val="18"/>
                <w:szCs w:val="18"/>
              </w:rPr>
              <w:t>98.664.153.860</w:t>
            </w:r>
          </w:p>
        </w:tc>
        <w:tc>
          <w:tcPr>
            <w:tcW w:w="27" w:type="pct"/>
            <w:vAlign w:val="bottom"/>
          </w:tcPr>
          <w:p w14:paraId="59800A76" w14:textId="77777777" w:rsidR="00415E1B" w:rsidRPr="0013526B" w:rsidRDefault="00415E1B" w:rsidP="00415E1B">
            <w:pPr>
              <w:ind w:left="318" w:right="57"/>
              <w:jc w:val="right"/>
              <w:rPr>
                <w:sz w:val="18"/>
                <w:szCs w:val="18"/>
              </w:rPr>
            </w:pPr>
          </w:p>
        </w:tc>
        <w:tc>
          <w:tcPr>
            <w:tcW w:w="741" w:type="pct"/>
            <w:vAlign w:val="bottom"/>
          </w:tcPr>
          <w:p w14:paraId="201E3BB8" w14:textId="61755D4C" w:rsidR="00415E1B" w:rsidRPr="0013526B" w:rsidRDefault="00415E1B" w:rsidP="00415E1B">
            <w:pPr>
              <w:ind w:right="57"/>
              <w:jc w:val="right"/>
              <w:rPr>
                <w:sz w:val="18"/>
                <w:szCs w:val="18"/>
              </w:rPr>
            </w:pPr>
            <w:r>
              <w:rPr>
                <w:sz w:val="18"/>
                <w:szCs w:val="18"/>
              </w:rPr>
              <w:t>-</w:t>
            </w:r>
          </w:p>
        </w:tc>
        <w:tc>
          <w:tcPr>
            <w:tcW w:w="27" w:type="pct"/>
            <w:vAlign w:val="bottom"/>
          </w:tcPr>
          <w:p w14:paraId="42E5B612" w14:textId="77777777" w:rsidR="00415E1B" w:rsidRPr="0013526B" w:rsidRDefault="00415E1B" w:rsidP="00415E1B">
            <w:pPr>
              <w:ind w:left="318" w:right="57"/>
              <w:jc w:val="right"/>
              <w:rPr>
                <w:sz w:val="18"/>
                <w:szCs w:val="18"/>
              </w:rPr>
            </w:pPr>
          </w:p>
        </w:tc>
        <w:tc>
          <w:tcPr>
            <w:tcW w:w="741" w:type="pct"/>
            <w:vAlign w:val="bottom"/>
          </w:tcPr>
          <w:p w14:paraId="01869B2C" w14:textId="079A8368" w:rsidR="00415E1B" w:rsidRPr="0013526B" w:rsidRDefault="00415E1B" w:rsidP="00415E1B">
            <w:pPr>
              <w:ind w:right="57"/>
              <w:jc w:val="right"/>
              <w:rPr>
                <w:sz w:val="18"/>
                <w:szCs w:val="18"/>
              </w:rPr>
            </w:pPr>
            <w:r>
              <w:rPr>
                <w:sz w:val="18"/>
                <w:szCs w:val="18"/>
              </w:rPr>
              <w:t>98.664.153.860</w:t>
            </w:r>
          </w:p>
        </w:tc>
        <w:tc>
          <w:tcPr>
            <w:tcW w:w="1242" w:type="pct"/>
            <w:vAlign w:val="bottom"/>
          </w:tcPr>
          <w:p w14:paraId="23FB972A" w14:textId="77777777" w:rsidR="00415E1B" w:rsidRPr="0013526B" w:rsidRDefault="00415E1B" w:rsidP="00415E1B">
            <w:pPr>
              <w:numPr>
                <w:ilvl w:val="12"/>
                <w:numId w:val="0"/>
              </w:numPr>
              <w:ind w:right="57"/>
              <w:jc w:val="right"/>
              <w:rPr>
                <w:i/>
                <w:sz w:val="18"/>
                <w:szCs w:val="18"/>
              </w:rPr>
            </w:pPr>
            <w:r w:rsidRPr="0013526B">
              <w:rPr>
                <w:i/>
                <w:sz w:val="18"/>
                <w:szCs w:val="18"/>
              </w:rPr>
              <w:tab/>
              <w:t>Current maturities</w:t>
            </w:r>
          </w:p>
          <w:p w14:paraId="05E2F83C" w14:textId="77777777" w:rsidR="00415E1B" w:rsidRPr="0013526B" w:rsidRDefault="00415E1B" w:rsidP="00415E1B">
            <w:pPr>
              <w:numPr>
                <w:ilvl w:val="12"/>
                <w:numId w:val="0"/>
              </w:numPr>
              <w:ind w:right="198"/>
              <w:jc w:val="right"/>
              <w:rPr>
                <w:i/>
                <w:sz w:val="18"/>
                <w:szCs w:val="18"/>
              </w:rPr>
            </w:pPr>
            <w:r w:rsidRPr="0013526B">
              <w:rPr>
                <w:i/>
                <w:sz w:val="18"/>
                <w:szCs w:val="18"/>
              </w:rPr>
              <w:t>of long-term bank loans</w:t>
            </w:r>
          </w:p>
        </w:tc>
      </w:tr>
      <w:tr w:rsidR="00415E1B" w:rsidRPr="0013526B" w14:paraId="460FE008" w14:textId="77777777" w:rsidTr="009A292C">
        <w:trPr>
          <w:trHeight w:val="20"/>
        </w:trPr>
        <w:tc>
          <w:tcPr>
            <w:tcW w:w="1479" w:type="pct"/>
          </w:tcPr>
          <w:p w14:paraId="62A0E321" w14:textId="77777777" w:rsidR="00415E1B" w:rsidRPr="0013526B" w:rsidRDefault="00415E1B" w:rsidP="00415E1B">
            <w:pPr>
              <w:ind w:left="826" w:right="17" w:hanging="142"/>
              <w:rPr>
                <w:sz w:val="18"/>
                <w:szCs w:val="18"/>
              </w:rPr>
            </w:pPr>
            <w:r w:rsidRPr="0013526B">
              <w:rPr>
                <w:sz w:val="18"/>
                <w:szCs w:val="18"/>
              </w:rPr>
              <w:t>Utang bank jangka panjang setelah dikurangi bagian yang jatuh tempo dalam waktu satu tahun</w:t>
            </w:r>
          </w:p>
        </w:tc>
        <w:tc>
          <w:tcPr>
            <w:tcW w:w="742" w:type="pct"/>
            <w:tcBorders>
              <w:bottom w:val="single" w:sz="4" w:space="0" w:color="auto"/>
            </w:tcBorders>
            <w:vAlign w:val="bottom"/>
          </w:tcPr>
          <w:p w14:paraId="51365D0D" w14:textId="02C98B98" w:rsidR="00415E1B" w:rsidRPr="0013526B" w:rsidRDefault="00415E1B" w:rsidP="00415E1B">
            <w:pPr>
              <w:ind w:right="57"/>
              <w:jc w:val="right"/>
              <w:rPr>
                <w:sz w:val="18"/>
                <w:szCs w:val="18"/>
              </w:rPr>
            </w:pPr>
            <w:r>
              <w:rPr>
                <w:sz w:val="18"/>
                <w:szCs w:val="18"/>
              </w:rPr>
              <w:t>-</w:t>
            </w:r>
          </w:p>
        </w:tc>
        <w:tc>
          <w:tcPr>
            <w:tcW w:w="27" w:type="pct"/>
            <w:vAlign w:val="bottom"/>
          </w:tcPr>
          <w:p w14:paraId="2D9CA36D" w14:textId="77777777" w:rsidR="00415E1B" w:rsidRPr="0013526B" w:rsidRDefault="00415E1B" w:rsidP="00415E1B">
            <w:pPr>
              <w:ind w:left="318" w:right="57"/>
              <w:jc w:val="right"/>
              <w:rPr>
                <w:sz w:val="18"/>
                <w:szCs w:val="18"/>
              </w:rPr>
            </w:pPr>
          </w:p>
        </w:tc>
        <w:tc>
          <w:tcPr>
            <w:tcW w:w="741" w:type="pct"/>
            <w:tcBorders>
              <w:bottom w:val="single" w:sz="4" w:space="0" w:color="auto"/>
            </w:tcBorders>
            <w:vAlign w:val="bottom"/>
          </w:tcPr>
          <w:p w14:paraId="6D364F0E" w14:textId="3AD5C3CD" w:rsidR="00415E1B" w:rsidRPr="0013526B" w:rsidRDefault="00415E1B" w:rsidP="00415E1B">
            <w:pPr>
              <w:ind w:right="57"/>
              <w:jc w:val="right"/>
              <w:rPr>
                <w:sz w:val="18"/>
                <w:szCs w:val="18"/>
              </w:rPr>
            </w:pPr>
            <w:r>
              <w:rPr>
                <w:sz w:val="18"/>
                <w:szCs w:val="18"/>
              </w:rPr>
              <w:t>150.000.000.000</w:t>
            </w:r>
          </w:p>
        </w:tc>
        <w:tc>
          <w:tcPr>
            <w:tcW w:w="27" w:type="pct"/>
            <w:vAlign w:val="bottom"/>
          </w:tcPr>
          <w:p w14:paraId="5783D0B5" w14:textId="77777777" w:rsidR="00415E1B" w:rsidRPr="0013526B" w:rsidRDefault="00415E1B" w:rsidP="00415E1B">
            <w:pPr>
              <w:ind w:left="318" w:right="57"/>
              <w:jc w:val="right"/>
              <w:rPr>
                <w:sz w:val="18"/>
                <w:szCs w:val="18"/>
              </w:rPr>
            </w:pPr>
          </w:p>
        </w:tc>
        <w:tc>
          <w:tcPr>
            <w:tcW w:w="741" w:type="pct"/>
            <w:tcBorders>
              <w:bottom w:val="single" w:sz="4" w:space="0" w:color="auto"/>
            </w:tcBorders>
            <w:vAlign w:val="bottom"/>
          </w:tcPr>
          <w:p w14:paraId="76EA9D12" w14:textId="22007DE6" w:rsidR="00415E1B" w:rsidRPr="0013526B" w:rsidRDefault="00415E1B" w:rsidP="00415E1B">
            <w:pPr>
              <w:ind w:right="57"/>
              <w:jc w:val="right"/>
              <w:rPr>
                <w:sz w:val="18"/>
                <w:szCs w:val="18"/>
              </w:rPr>
            </w:pPr>
            <w:r>
              <w:rPr>
                <w:sz w:val="18"/>
                <w:szCs w:val="18"/>
              </w:rPr>
              <w:t>150.000.000.000</w:t>
            </w:r>
          </w:p>
        </w:tc>
        <w:tc>
          <w:tcPr>
            <w:tcW w:w="1242" w:type="pct"/>
            <w:vAlign w:val="bottom"/>
          </w:tcPr>
          <w:p w14:paraId="2198BC45" w14:textId="77777777" w:rsidR="00415E1B" w:rsidRPr="0013526B" w:rsidRDefault="00415E1B" w:rsidP="00415E1B">
            <w:pPr>
              <w:numPr>
                <w:ilvl w:val="12"/>
                <w:numId w:val="0"/>
              </w:numPr>
              <w:ind w:left="-284" w:right="57"/>
              <w:jc w:val="right"/>
              <w:rPr>
                <w:i/>
                <w:sz w:val="18"/>
                <w:szCs w:val="18"/>
              </w:rPr>
            </w:pPr>
            <w:r w:rsidRPr="0013526B">
              <w:rPr>
                <w:i/>
                <w:sz w:val="18"/>
                <w:szCs w:val="18"/>
              </w:rPr>
              <w:tab/>
              <w:t>Long-term bank loans</w:t>
            </w:r>
          </w:p>
          <w:p w14:paraId="7B7B58F0" w14:textId="77777777" w:rsidR="00415E1B" w:rsidRPr="0013526B" w:rsidRDefault="00415E1B" w:rsidP="00415E1B">
            <w:pPr>
              <w:numPr>
                <w:ilvl w:val="12"/>
                <w:numId w:val="0"/>
              </w:numPr>
              <w:ind w:right="198"/>
              <w:jc w:val="right"/>
              <w:rPr>
                <w:i/>
                <w:sz w:val="18"/>
                <w:szCs w:val="18"/>
              </w:rPr>
            </w:pPr>
            <w:r w:rsidRPr="0013526B">
              <w:rPr>
                <w:i/>
                <w:sz w:val="18"/>
                <w:szCs w:val="18"/>
              </w:rPr>
              <w:t>- net off current maturities</w:t>
            </w:r>
          </w:p>
        </w:tc>
      </w:tr>
      <w:tr w:rsidR="00415E1B" w:rsidRPr="00465ADB" w14:paraId="47D2717F" w14:textId="77777777" w:rsidTr="009A292C">
        <w:trPr>
          <w:trHeight w:val="20"/>
        </w:trPr>
        <w:tc>
          <w:tcPr>
            <w:tcW w:w="1479" w:type="pct"/>
          </w:tcPr>
          <w:p w14:paraId="6A125BA9" w14:textId="77777777" w:rsidR="00415E1B" w:rsidRPr="00465ADB" w:rsidRDefault="00415E1B" w:rsidP="00415E1B">
            <w:pPr>
              <w:ind w:left="826" w:right="17" w:hanging="142"/>
              <w:jc w:val="both"/>
              <w:rPr>
                <w:sz w:val="8"/>
                <w:szCs w:val="18"/>
              </w:rPr>
            </w:pPr>
          </w:p>
        </w:tc>
        <w:tc>
          <w:tcPr>
            <w:tcW w:w="742" w:type="pct"/>
            <w:tcBorders>
              <w:top w:val="single" w:sz="4" w:space="0" w:color="auto"/>
            </w:tcBorders>
          </w:tcPr>
          <w:p w14:paraId="5D534A8B" w14:textId="77777777" w:rsidR="00415E1B" w:rsidRPr="00465ADB" w:rsidRDefault="00415E1B" w:rsidP="00415E1B">
            <w:pPr>
              <w:ind w:right="57"/>
              <w:jc w:val="right"/>
              <w:rPr>
                <w:sz w:val="8"/>
                <w:szCs w:val="18"/>
              </w:rPr>
            </w:pPr>
          </w:p>
        </w:tc>
        <w:tc>
          <w:tcPr>
            <w:tcW w:w="27" w:type="pct"/>
          </w:tcPr>
          <w:p w14:paraId="5F5FA2C4" w14:textId="77777777" w:rsidR="00415E1B" w:rsidRPr="00465ADB" w:rsidRDefault="00415E1B" w:rsidP="00415E1B">
            <w:pPr>
              <w:ind w:left="318" w:right="57"/>
              <w:jc w:val="right"/>
              <w:rPr>
                <w:sz w:val="8"/>
                <w:szCs w:val="18"/>
              </w:rPr>
            </w:pPr>
          </w:p>
        </w:tc>
        <w:tc>
          <w:tcPr>
            <w:tcW w:w="741" w:type="pct"/>
            <w:tcBorders>
              <w:top w:val="single" w:sz="4" w:space="0" w:color="auto"/>
            </w:tcBorders>
          </w:tcPr>
          <w:p w14:paraId="72F42519" w14:textId="77777777" w:rsidR="00415E1B" w:rsidRPr="00465ADB" w:rsidRDefault="00415E1B" w:rsidP="00415E1B">
            <w:pPr>
              <w:ind w:right="57"/>
              <w:jc w:val="right"/>
              <w:rPr>
                <w:sz w:val="8"/>
                <w:szCs w:val="18"/>
              </w:rPr>
            </w:pPr>
          </w:p>
        </w:tc>
        <w:tc>
          <w:tcPr>
            <w:tcW w:w="27" w:type="pct"/>
          </w:tcPr>
          <w:p w14:paraId="1B401F81" w14:textId="77777777" w:rsidR="00415E1B" w:rsidRPr="00465ADB" w:rsidRDefault="00415E1B" w:rsidP="00415E1B">
            <w:pPr>
              <w:ind w:left="318" w:right="57"/>
              <w:jc w:val="right"/>
              <w:rPr>
                <w:sz w:val="8"/>
                <w:szCs w:val="18"/>
              </w:rPr>
            </w:pPr>
          </w:p>
        </w:tc>
        <w:tc>
          <w:tcPr>
            <w:tcW w:w="741" w:type="pct"/>
            <w:tcBorders>
              <w:top w:val="single" w:sz="4" w:space="0" w:color="auto"/>
            </w:tcBorders>
          </w:tcPr>
          <w:p w14:paraId="06054F3D" w14:textId="77777777" w:rsidR="00415E1B" w:rsidRPr="00465ADB" w:rsidRDefault="00415E1B" w:rsidP="00415E1B">
            <w:pPr>
              <w:ind w:right="57"/>
              <w:jc w:val="right"/>
              <w:rPr>
                <w:sz w:val="8"/>
                <w:szCs w:val="18"/>
              </w:rPr>
            </w:pPr>
          </w:p>
        </w:tc>
        <w:tc>
          <w:tcPr>
            <w:tcW w:w="1242" w:type="pct"/>
            <w:vAlign w:val="bottom"/>
          </w:tcPr>
          <w:p w14:paraId="14BD938E" w14:textId="77777777" w:rsidR="00415E1B" w:rsidRPr="00465ADB" w:rsidRDefault="00415E1B" w:rsidP="00415E1B">
            <w:pPr>
              <w:numPr>
                <w:ilvl w:val="12"/>
                <w:numId w:val="0"/>
              </w:numPr>
              <w:ind w:right="57"/>
              <w:jc w:val="right"/>
              <w:rPr>
                <w:i/>
                <w:sz w:val="8"/>
                <w:szCs w:val="18"/>
              </w:rPr>
            </w:pPr>
          </w:p>
        </w:tc>
      </w:tr>
      <w:tr w:rsidR="00415E1B" w:rsidRPr="0013526B" w14:paraId="06CF1DC0" w14:textId="77777777" w:rsidTr="009A292C">
        <w:trPr>
          <w:trHeight w:val="20"/>
        </w:trPr>
        <w:tc>
          <w:tcPr>
            <w:tcW w:w="1479" w:type="pct"/>
          </w:tcPr>
          <w:p w14:paraId="6F58F6D7" w14:textId="77777777" w:rsidR="00415E1B" w:rsidRPr="0013526B" w:rsidRDefault="00415E1B" w:rsidP="00415E1B">
            <w:pPr>
              <w:ind w:left="826" w:right="17" w:hanging="142"/>
              <w:jc w:val="both"/>
              <w:rPr>
                <w:b/>
                <w:sz w:val="18"/>
                <w:szCs w:val="18"/>
              </w:rPr>
            </w:pPr>
            <w:r w:rsidRPr="0013526B">
              <w:rPr>
                <w:b/>
                <w:sz w:val="18"/>
                <w:szCs w:val="18"/>
              </w:rPr>
              <w:t>Bersih</w:t>
            </w:r>
          </w:p>
        </w:tc>
        <w:tc>
          <w:tcPr>
            <w:tcW w:w="742" w:type="pct"/>
            <w:tcBorders>
              <w:bottom w:val="double" w:sz="4" w:space="0" w:color="auto"/>
            </w:tcBorders>
          </w:tcPr>
          <w:p w14:paraId="430290EA" w14:textId="01E26D2B" w:rsidR="00415E1B" w:rsidRPr="003A79AF" w:rsidRDefault="00415E1B" w:rsidP="00415E1B">
            <w:pPr>
              <w:ind w:right="57"/>
              <w:jc w:val="right"/>
              <w:rPr>
                <w:b/>
                <w:bCs w:val="0"/>
                <w:sz w:val="18"/>
                <w:szCs w:val="18"/>
              </w:rPr>
            </w:pPr>
            <w:r>
              <w:rPr>
                <w:b/>
                <w:bCs w:val="0"/>
                <w:sz w:val="18"/>
                <w:szCs w:val="18"/>
              </w:rPr>
              <w:t>340.333.709.985</w:t>
            </w:r>
          </w:p>
        </w:tc>
        <w:tc>
          <w:tcPr>
            <w:tcW w:w="27" w:type="pct"/>
          </w:tcPr>
          <w:p w14:paraId="547E2FC2" w14:textId="77777777" w:rsidR="00415E1B" w:rsidRPr="003A79AF" w:rsidRDefault="00415E1B" w:rsidP="00415E1B">
            <w:pPr>
              <w:ind w:left="318" w:right="57"/>
              <w:jc w:val="right"/>
              <w:rPr>
                <w:b/>
                <w:bCs w:val="0"/>
                <w:sz w:val="18"/>
                <w:szCs w:val="18"/>
              </w:rPr>
            </w:pPr>
          </w:p>
        </w:tc>
        <w:tc>
          <w:tcPr>
            <w:tcW w:w="741" w:type="pct"/>
            <w:tcBorders>
              <w:bottom w:val="double" w:sz="4" w:space="0" w:color="auto"/>
            </w:tcBorders>
          </w:tcPr>
          <w:p w14:paraId="07FAFBA6" w14:textId="55B5DE8C" w:rsidR="00415E1B" w:rsidRPr="003A79AF" w:rsidRDefault="00415E1B" w:rsidP="00415E1B">
            <w:pPr>
              <w:ind w:right="57"/>
              <w:jc w:val="right"/>
              <w:rPr>
                <w:b/>
                <w:bCs w:val="0"/>
                <w:sz w:val="18"/>
                <w:szCs w:val="18"/>
              </w:rPr>
            </w:pPr>
            <w:r>
              <w:rPr>
                <w:b/>
                <w:bCs w:val="0"/>
                <w:sz w:val="18"/>
                <w:szCs w:val="18"/>
              </w:rPr>
              <w:t>150.000.000.00</w:t>
            </w:r>
          </w:p>
        </w:tc>
        <w:tc>
          <w:tcPr>
            <w:tcW w:w="27" w:type="pct"/>
          </w:tcPr>
          <w:p w14:paraId="4294BE6F" w14:textId="77777777" w:rsidR="00415E1B" w:rsidRPr="003A79AF" w:rsidRDefault="00415E1B" w:rsidP="00415E1B">
            <w:pPr>
              <w:ind w:left="318" w:right="57"/>
              <w:jc w:val="right"/>
              <w:rPr>
                <w:b/>
                <w:bCs w:val="0"/>
                <w:sz w:val="18"/>
                <w:szCs w:val="18"/>
              </w:rPr>
            </w:pPr>
          </w:p>
        </w:tc>
        <w:tc>
          <w:tcPr>
            <w:tcW w:w="741" w:type="pct"/>
            <w:tcBorders>
              <w:bottom w:val="double" w:sz="4" w:space="0" w:color="auto"/>
            </w:tcBorders>
          </w:tcPr>
          <w:p w14:paraId="5F5A8BD4" w14:textId="05726B50" w:rsidR="00415E1B" w:rsidRPr="003A79AF" w:rsidRDefault="00415E1B" w:rsidP="00415E1B">
            <w:pPr>
              <w:ind w:right="57"/>
              <w:jc w:val="right"/>
              <w:rPr>
                <w:b/>
                <w:bCs w:val="0"/>
                <w:sz w:val="18"/>
                <w:szCs w:val="18"/>
              </w:rPr>
            </w:pPr>
            <w:r>
              <w:rPr>
                <w:b/>
                <w:bCs w:val="0"/>
                <w:sz w:val="18"/>
                <w:szCs w:val="18"/>
              </w:rPr>
              <w:t>490.333.709.985</w:t>
            </w:r>
          </w:p>
        </w:tc>
        <w:tc>
          <w:tcPr>
            <w:tcW w:w="1242" w:type="pct"/>
            <w:vAlign w:val="bottom"/>
          </w:tcPr>
          <w:p w14:paraId="2FB3263F" w14:textId="77777777" w:rsidR="00415E1B" w:rsidRPr="0013526B" w:rsidRDefault="00415E1B" w:rsidP="00415E1B">
            <w:pPr>
              <w:numPr>
                <w:ilvl w:val="12"/>
                <w:numId w:val="0"/>
              </w:numPr>
              <w:ind w:right="57"/>
              <w:jc w:val="right"/>
              <w:rPr>
                <w:b/>
                <w:i/>
                <w:sz w:val="18"/>
                <w:szCs w:val="18"/>
              </w:rPr>
            </w:pPr>
            <w:r w:rsidRPr="0013526B">
              <w:rPr>
                <w:b/>
                <w:i/>
                <w:sz w:val="18"/>
                <w:szCs w:val="18"/>
              </w:rPr>
              <w:t>Net</w:t>
            </w:r>
          </w:p>
        </w:tc>
      </w:tr>
    </w:tbl>
    <w:p w14:paraId="6A77B903" w14:textId="77777777" w:rsidR="00133676" w:rsidRPr="0013526B" w:rsidRDefault="00133676" w:rsidP="0013526B">
      <w:pPr>
        <w:rPr>
          <w:sz w:val="14"/>
          <w:szCs w:val="14"/>
        </w:rPr>
      </w:pPr>
    </w:p>
    <w:tbl>
      <w:tblPr>
        <w:tblW w:w="9197" w:type="dxa"/>
        <w:tblInd w:w="70" w:type="dxa"/>
        <w:tblLayout w:type="fixed"/>
        <w:tblCellMar>
          <w:left w:w="0" w:type="dxa"/>
          <w:right w:w="0" w:type="dxa"/>
        </w:tblCellMar>
        <w:tblLook w:val="01E0" w:firstRow="1" w:lastRow="1" w:firstColumn="1" w:lastColumn="1" w:noHBand="0" w:noVBand="0"/>
      </w:tblPr>
      <w:tblGrid>
        <w:gridCol w:w="2742"/>
        <w:gridCol w:w="1376"/>
        <w:gridCol w:w="50"/>
        <w:gridCol w:w="1374"/>
        <w:gridCol w:w="52"/>
        <w:gridCol w:w="1374"/>
        <w:gridCol w:w="2229"/>
      </w:tblGrid>
      <w:tr w:rsidR="00B15D8C" w:rsidRPr="0013526B" w14:paraId="4413204F" w14:textId="77777777" w:rsidTr="009A292C">
        <w:trPr>
          <w:trHeight w:val="20"/>
        </w:trPr>
        <w:tc>
          <w:tcPr>
            <w:tcW w:w="1491" w:type="pct"/>
          </w:tcPr>
          <w:p w14:paraId="0E0191D1" w14:textId="77777777" w:rsidR="00B15D8C" w:rsidRPr="0013526B" w:rsidRDefault="00B15D8C" w:rsidP="0013526B">
            <w:pPr>
              <w:ind w:left="1134" w:right="17" w:hanging="142"/>
              <w:jc w:val="both"/>
              <w:rPr>
                <w:sz w:val="18"/>
                <w:szCs w:val="18"/>
              </w:rPr>
            </w:pPr>
          </w:p>
        </w:tc>
        <w:tc>
          <w:tcPr>
            <w:tcW w:w="2297" w:type="pct"/>
            <w:gridSpan w:val="5"/>
            <w:vAlign w:val="bottom"/>
          </w:tcPr>
          <w:p w14:paraId="6D43BDB7" w14:textId="7BA26ADE" w:rsidR="00B15D8C" w:rsidRPr="0013526B" w:rsidRDefault="008119FA" w:rsidP="0013526B">
            <w:pPr>
              <w:ind w:right="57"/>
              <w:jc w:val="center"/>
              <w:rPr>
                <w:b/>
                <w:bCs w:val="0"/>
                <w:sz w:val="18"/>
                <w:szCs w:val="18"/>
              </w:rPr>
            </w:pPr>
            <w:r>
              <w:rPr>
                <w:b/>
                <w:bCs w:val="0"/>
                <w:sz w:val="18"/>
                <w:szCs w:val="18"/>
              </w:rPr>
              <w:t>31 Desember/ December 31</w:t>
            </w:r>
            <w:r w:rsidR="00305CA0">
              <w:rPr>
                <w:b/>
                <w:bCs w:val="0"/>
                <w:sz w:val="18"/>
                <w:szCs w:val="18"/>
              </w:rPr>
              <w:t>.</w:t>
            </w:r>
            <w:r>
              <w:rPr>
                <w:b/>
                <w:bCs w:val="0"/>
                <w:sz w:val="18"/>
                <w:szCs w:val="18"/>
              </w:rPr>
              <w:t xml:space="preserve"> </w:t>
            </w:r>
            <w:r w:rsidR="00B15D8C" w:rsidRPr="0013526B">
              <w:rPr>
                <w:b/>
                <w:bCs w:val="0"/>
                <w:sz w:val="18"/>
                <w:szCs w:val="18"/>
              </w:rPr>
              <w:t>2</w:t>
            </w:r>
            <w:r w:rsidR="00DD45D0" w:rsidRPr="0013526B">
              <w:rPr>
                <w:b/>
                <w:bCs w:val="0"/>
                <w:sz w:val="18"/>
                <w:szCs w:val="18"/>
              </w:rPr>
              <w:t>01</w:t>
            </w:r>
            <w:r>
              <w:rPr>
                <w:b/>
                <w:bCs w:val="0"/>
                <w:sz w:val="18"/>
                <w:szCs w:val="18"/>
              </w:rPr>
              <w:t>9</w:t>
            </w:r>
          </w:p>
        </w:tc>
        <w:tc>
          <w:tcPr>
            <w:tcW w:w="1212" w:type="pct"/>
            <w:vAlign w:val="bottom"/>
          </w:tcPr>
          <w:p w14:paraId="5AD1F78F" w14:textId="77777777" w:rsidR="00B15D8C" w:rsidRPr="0013526B" w:rsidRDefault="00B15D8C" w:rsidP="0013526B">
            <w:pPr>
              <w:numPr>
                <w:ilvl w:val="12"/>
                <w:numId w:val="0"/>
              </w:numPr>
              <w:ind w:right="57"/>
              <w:jc w:val="right"/>
              <w:rPr>
                <w:i/>
                <w:sz w:val="18"/>
                <w:szCs w:val="18"/>
              </w:rPr>
            </w:pPr>
          </w:p>
        </w:tc>
      </w:tr>
      <w:tr w:rsidR="00B15D8C" w:rsidRPr="0013526B" w14:paraId="359081AE" w14:textId="77777777" w:rsidTr="009A292C">
        <w:trPr>
          <w:trHeight w:val="20"/>
        </w:trPr>
        <w:tc>
          <w:tcPr>
            <w:tcW w:w="1491" w:type="pct"/>
          </w:tcPr>
          <w:p w14:paraId="2CCB5E1A" w14:textId="77777777" w:rsidR="00B15D8C" w:rsidRPr="0013526B" w:rsidRDefault="00B15D8C" w:rsidP="0013526B">
            <w:pPr>
              <w:ind w:left="524" w:right="17"/>
              <w:rPr>
                <w:sz w:val="14"/>
                <w:szCs w:val="18"/>
              </w:rPr>
            </w:pPr>
          </w:p>
        </w:tc>
        <w:tc>
          <w:tcPr>
            <w:tcW w:w="748" w:type="pct"/>
            <w:tcBorders>
              <w:top w:val="single" w:sz="4" w:space="0" w:color="auto"/>
            </w:tcBorders>
          </w:tcPr>
          <w:p w14:paraId="10E5D866" w14:textId="77777777" w:rsidR="00B15D8C" w:rsidRPr="0013526B" w:rsidRDefault="00B15D8C" w:rsidP="0013526B">
            <w:pPr>
              <w:ind w:left="28" w:right="28"/>
              <w:jc w:val="right"/>
              <w:rPr>
                <w:sz w:val="14"/>
                <w:szCs w:val="18"/>
              </w:rPr>
            </w:pPr>
          </w:p>
        </w:tc>
        <w:tc>
          <w:tcPr>
            <w:tcW w:w="27" w:type="pct"/>
            <w:tcBorders>
              <w:top w:val="single" w:sz="4" w:space="0" w:color="auto"/>
            </w:tcBorders>
          </w:tcPr>
          <w:p w14:paraId="5CAB896F" w14:textId="77777777" w:rsidR="00B15D8C" w:rsidRPr="0013526B" w:rsidRDefault="00B15D8C" w:rsidP="0013526B">
            <w:pPr>
              <w:ind w:left="28" w:right="28"/>
              <w:jc w:val="right"/>
              <w:rPr>
                <w:sz w:val="14"/>
                <w:szCs w:val="18"/>
              </w:rPr>
            </w:pPr>
          </w:p>
        </w:tc>
        <w:tc>
          <w:tcPr>
            <w:tcW w:w="747" w:type="pct"/>
            <w:tcBorders>
              <w:top w:val="single" w:sz="4" w:space="0" w:color="auto"/>
            </w:tcBorders>
          </w:tcPr>
          <w:p w14:paraId="3BC452FF" w14:textId="77777777" w:rsidR="00B15D8C" w:rsidRPr="0013526B" w:rsidRDefault="00B15D8C" w:rsidP="0013526B">
            <w:pPr>
              <w:ind w:left="28" w:right="28"/>
              <w:jc w:val="right"/>
              <w:rPr>
                <w:sz w:val="14"/>
                <w:szCs w:val="18"/>
              </w:rPr>
            </w:pPr>
          </w:p>
        </w:tc>
        <w:tc>
          <w:tcPr>
            <w:tcW w:w="28" w:type="pct"/>
            <w:tcBorders>
              <w:top w:val="single" w:sz="4" w:space="0" w:color="auto"/>
            </w:tcBorders>
          </w:tcPr>
          <w:p w14:paraId="75B0DB26" w14:textId="77777777" w:rsidR="00B15D8C" w:rsidRPr="0013526B" w:rsidRDefault="00B15D8C" w:rsidP="0013526B">
            <w:pPr>
              <w:ind w:left="28" w:right="28"/>
              <w:jc w:val="right"/>
              <w:rPr>
                <w:sz w:val="14"/>
                <w:szCs w:val="18"/>
              </w:rPr>
            </w:pPr>
          </w:p>
        </w:tc>
        <w:tc>
          <w:tcPr>
            <w:tcW w:w="747" w:type="pct"/>
            <w:tcBorders>
              <w:top w:val="single" w:sz="4" w:space="0" w:color="auto"/>
            </w:tcBorders>
          </w:tcPr>
          <w:p w14:paraId="1CD42AD5" w14:textId="77777777" w:rsidR="00B15D8C" w:rsidRPr="0013526B" w:rsidRDefault="00B15D8C" w:rsidP="0013526B">
            <w:pPr>
              <w:ind w:left="28" w:right="28"/>
              <w:jc w:val="right"/>
              <w:rPr>
                <w:sz w:val="14"/>
                <w:szCs w:val="18"/>
              </w:rPr>
            </w:pPr>
          </w:p>
        </w:tc>
        <w:tc>
          <w:tcPr>
            <w:tcW w:w="1212" w:type="pct"/>
          </w:tcPr>
          <w:p w14:paraId="127BE1C2" w14:textId="77777777" w:rsidR="00B15D8C" w:rsidRPr="0013526B" w:rsidRDefault="00B15D8C" w:rsidP="0013526B">
            <w:pPr>
              <w:ind w:right="57"/>
              <w:jc w:val="right"/>
              <w:rPr>
                <w:i/>
                <w:sz w:val="14"/>
                <w:szCs w:val="18"/>
              </w:rPr>
            </w:pPr>
          </w:p>
        </w:tc>
      </w:tr>
      <w:tr w:rsidR="00B15D8C" w:rsidRPr="0013526B" w14:paraId="7A944078" w14:textId="77777777" w:rsidTr="009A292C">
        <w:trPr>
          <w:trHeight w:val="20"/>
        </w:trPr>
        <w:tc>
          <w:tcPr>
            <w:tcW w:w="1491" w:type="pct"/>
          </w:tcPr>
          <w:p w14:paraId="03CBBE84" w14:textId="77777777" w:rsidR="00B15D8C" w:rsidRPr="0013526B" w:rsidRDefault="00B15D8C" w:rsidP="0013526B">
            <w:pPr>
              <w:ind w:left="851" w:right="17" w:hanging="142"/>
              <w:jc w:val="both"/>
              <w:rPr>
                <w:sz w:val="18"/>
                <w:szCs w:val="18"/>
              </w:rPr>
            </w:pPr>
          </w:p>
        </w:tc>
        <w:tc>
          <w:tcPr>
            <w:tcW w:w="748" w:type="pct"/>
            <w:tcBorders>
              <w:bottom w:val="single" w:sz="4" w:space="0" w:color="auto"/>
            </w:tcBorders>
            <w:vAlign w:val="bottom"/>
          </w:tcPr>
          <w:p w14:paraId="3A587A50" w14:textId="77777777" w:rsidR="00B15D8C" w:rsidRPr="0013526B" w:rsidRDefault="00B15D8C" w:rsidP="0013526B">
            <w:pPr>
              <w:ind w:right="57"/>
              <w:jc w:val="center"/>
              <w:rPr>
                <w:b/>
                <w:sz w:val="18"/>
                <w:szCs w:val="18"/>
              </w:rPr>
            </w:pPr>
            <w:r w:rsidRPr="0013526B">
              <w:rPr>
                <w:b/>
                <w:sz w:val="18"/>
                <w:szCs w:val="18"/>
              </w:rPr>
              <w:t xml:space="preserve">Kurang dari satu tahun/ </w:t>
            </w:r>
            <w:r w:rsidRPr="0013526B">
              <w:rPr>
                <w:b/>
                <w:i/>
                <w:sz w:val="18"/>
                <w:szCs w:val="18"/>
              </w:rPr>
              <w:t>Less than one year</w:t>
            </w:r>
          </w:p>
        </w:tc>
        <w:tc>
          <w:tcPr>
            <w:tcW w:w="27" w:type="pct"/>
            <w:vAlign w:val="bottom"/>
          </w:tcPr>
          <w:p w14:paraId="6F5916EB" w14:textId="77777777" w:rsidR="00B15D8C" w:rsidRPr="0013526B" w:rsidRDefault="00B15D8C" w:rsidP="0013526B">
            <w:pPr>
              <w:ind w:left="318" w:right="95"/>
              <w:jc w:val="center"/>
              <w:rPr>
                <w:b/>
                <w:sz w:val="18"/>
                <w:szCs w:val="18"/>
              </w:rPr>
            </w:pPr>
          </w:p>
        </w:tc>
        <w:tc>
          <w:tcPr>
            <w:tcW w:w="747" w:type="pct"/>
            <w:tcBorders>
              <w:bottom w:val="single" w:sz="4" w:space="0" w:color="auto"/>
            </w:tcBorders>
            <w:vAlign w:val="bottom"/>
          </w:tcPr>
          <w:p w14:paraId="47D116A1" w14:textId="77777777" w:rsidR="00B15D8C" w:rsidRPr="0013526B" w:rsidRDefault="00B15D8C" w:rsidP="0013526B">
            <w:pPr>
              <w:ind w:right="95"/>
              <w:jc w:val="center"/>
              <w:rPr>
                <w:b/>
                <w:sz w:val="18"/>
                <w:szCs w:val="18"/>
              </w:rPr>
            </w:pPr>
            <w:r w:rsidRPr="0013526B">
              <w:rPr>
                <w:b/>
                <w:sz w:val="18"/>
                <w:szCs w:val="18"/>
              </w:rPr>
              <w:t xml:space="preserve">Lebih dari satu tahun/ </w:t>
            </w:r>
            <w:r w:rsidRPr="0013526B">
              <w:rPr>
                <w:b/>
                <w:i/>
                <w:sz w:val="18"/>
                <w:szCs w:val="18"/>
              </w:rPr>
              <w:t>More than one year</w:t>
            </w:r>
          </w:p>
        </w:tc>
        <w:tc>
          <w:tcPr>
            <w:tcW w:w="28" w:type="pct"/>
            <w:vAlign w:val="bottom"/>
          </w:tcPr>
          <w:p w14:paraId="3B5DEFA3" w14:textId="77777777" w:rsidR="00B15D8C" w:rsidRPr="0013526B" w:rsidRDefault="00B15D8C" w:rsidP="0013526B">
            <w:pPr>
              <w:ind w:right="95"/>
              <w:jc w:val="center"/>
              <w:rPr>
                <w:b/>
                <w:sz w:val="18"/>
                <w:szCs w:val="18"/>
              </w:rPr>
            </w:pPr>
          </w:p>
        </w:tc>
        <w:tc>
          <w:tcPr>
            <w:tcW w:w="747" w:type="pct"/>
            <w:tcBorders>
              <w:bottom w:val="single" w:sz="4" w:space="0" w:color="auto"/>
            </w:tcBorders>
            <w:vAlign w:val="bottom"/>
          </w:tcPr>
          <w:p w14:paraId="1DBF0F31" w14:textId="77777777" w:rsidR="00B15D8C" w:rsidRPr="0013526B" w:rsidRDefault="00B15D8C" w:rsidP="0013526B">
            <w:pPr>
              <w:ind w:right="57"/>
              <w:jc w:val="center"/>
              <w:rPr>
                <w:b/>
                <w:sz w:val="18"/>
                <w:szCs w:val="18"/>
              </w:rPr>
            </w:pPr>
          </w:p>
          <w:p w14:paraId="45B68F83" w14:textId="77777777" w:rsidR="00B15D8C" w:rsidRPr="0013526B" w:rsidRDefault="00B15D8C" w:rsidP="0013526B">
            <w:pPr>
              <w:ind w:right="57"/>
              <w:jc w:val="center"/>
              <w:rPr>
                <w:b/>
                <w:sz w:val="18"/>
                <w:szCs w:val="18"/>
              </w:rPr>
            </w:pPr>
            <w:r w:rsidRPr="0013526B">
              <w:rPr>
                <w:b/>
                <w:sz w:val="18"/>
                <w:szCs w:val="18"/>
              </w:rPr>
              <w:t xml:space="preserve">Nilai tercatat/ </w:t>
            </w:r>
            <w:r w:rsidRPr="0013526B">
              <w:rPr>
                <w:b/>
                <w:i/>
                <w:sz w:val="18"/>
                <w:szCs w:val="18"/>
              </w:rPr>
              <w:t>Carrying value</w:t>
            </w:r>
          </w:p>
        </w:tc>
        <w:tc>
          <w:tcPr>
            <w:tcW w:w="1212" w:type="pct"/>
            <w:vAlign w:val="bottom"/>
          </w:tcPr>
          <w:p w14:paraId="07AC5DB9" w14:textId="77777777" w:rsidR="00B15D8C" w:rsidRPr="0013526B" w:rsidRDefault="00B15D8C" w:rsidP="0013526B">
            <w:pPr>
              <w:numPr>
                <w:ilvl w:val="12"/>
                <w:numId w:val="0"/>
              </w:numPr>
              <w:ind w:right="55"/>
              <w:jc w:val="right"/>
              <w:rPr>
                <w:i/>
                <w:sz w:val="18"/>
                <w:szCs w:val="18"/>
              </w:rPr>
            </w:pPr>
          </w:p>
        </w:tc>
      </w:tr>
      <w:tr w:rsidR="00B15D8C" w:rsidRPr="0013526B" w14:paraId="79F3E830" w14:textId="77777777" w:rsidTr="009A292C">
        <w:trPr>
          <w:trHeight w:val="20"/>
        </w:trPr>
        <w:tc>
          <w:tcPr>
            <w:tcW w:w="1491" w:type="pct"/>
          </w:tcPr>
          <w:p w14:paraId="247A39A0" w14:textId="77777777" w:rsidR="00B15D8C" w:rsidRPr="0013526B" w:rsidRDefault="00B15D8C" w:rsidP="0013526B">
            <w:pPr>
              <w:ind w:left="900" w:right="17" w:firstLine="720"/>
              <w:jc w:val="both"/>
              <w:rPr>
                <w:sz w:val="14"/>
                <w:szCs w:val="18"/>
              </w:rPr>
            </w:pPr>
          </w:p>
        </w:tc>
        <w:tc>
          <w:tcPr>
            <w:tcW w:w="748" w:type="pct"/>
            <w:tcBorders>
              <w:top w:val="single" w:sz="4" w:space="0" w:color="auto"/>
            </w:tcBorders>
            <w:vAlign w:val="bottom"/>
          </w:tcPr>
          <w:p w14:paraId="000176B0" w14:textId="77777777" w:rsidR="00B15D8C" w:rsidRPr="0013526B" w:rsidRDefault="00B15D8C" w:rsidP="0013526B">
            <w:pPr>
              <w:ind w:right="57"/>
              <w:jc w:val="center"/>
              <w:rPr>
                <w:sz w:val="14"/>
                <w:szCs w:val="18"/>
              </w:rPr>
            </w:pPr>
          </w:p>
        </w:tc>
        <w:tc>
          <w:tcPr>
            <w:tcW w:w="27" w:type="pct"/>
            <w:vAlign w:val="bottom"/>
          </w:tcPr>
          <w:p w14:paraId="5332DCF5" w14:textId="77777777" w:rsidR="00B15D8C" w:rsidRPr="0013526B" w:rsidRDefault="00B15D8C" w:rsidP="0013526B">
            <w:pPr>
              <w:ind w:left="318" w:right="95"/>
              <w:jc w:val="center"/>
              <w:rPr>
                <w:sz w:val="14"/>
                <w:szCs w:val="18"/>
              </w:rPr>
            </w:pPr>
          </w:p>
        </w:tc>
        <w:tc>
          <w:tcPr>
            <w:tcW w:w="747" w:type="pct"/>
            <w:tcBorders>
              <w:top w:val="single" w:sz="4" w:space="0" w:color="auto"/>
            </w:tcBorders>
            <w:vAlign w:val="bottom"/>
          </w:tcPr>
          <w:p w14:paraId="6153847C" w14:textId="77777777" w:rsidR="00B15D8C" w:rsidRPr="0013526B" w:rsidRDefault="00B15D8C" w:rsidP="0013526B">
            <w:pPr>
              <w:ind w:right="95"/>
              <w:jc w:val="center"/>
              <w:rPr>
                <w:sz w:val="14"/>
                <w:szCs w:val="18"/>
              </w:rPr>
            </w:pPr>
          </w:p>
        </w:tc>
        <w:tc>
          <w:tcPr>
            <w:tcW w:w="28" w:type="pct"/>
            <w:vAlign w:val="bottom"/>
          </w:tcPr>
          <w:p w14:paraId="5C0E7CCF" w14:textId="77777777" w:rsidR="00B15D8C" w:rsidRPr="0013526B" w:rsidRDefault="00B15D8C" w:rsidP="0013526B">
            <w:pPr>
              <w:ind w:left="318" w:right="95"/>
              <w:jc w:val="center"/>
              <w:rPr>
                <w:sz w:val="14"/>
                <w:szCs w:val="18"/>
              </w:rPr>
            </w:pPr>
          </w:p>
        </w:tc>
        <w:tc>
          <w:tcPr>
            <w:tcW w:w="747" w:type="pct"/>
            <w:tcBorders>
              <w:top w:val="single" w:sz="4" w:space="0" w:color="auto"/>
            </w:tcBorders>
            <w:vAlign w:val="bottom"/>
          </w:tcPr>
          <w:p w14:paraId="32D70364" w14:textId="77777777" w:rsidR="00B15D8C" w:rsidRPr="0013526B" w:rsidRDefault="00B15D8C" w:rsidP="0013526B">
            <w:pPr>
              <w:ind w:right="57"/>
              <w:jc w:val="center"/>
              <w:rPr>
                <w:sz w:val="14"/>
                <w:szCs w:val="18"/>
              </w:rPr>
            </w:pPr>
          </w:p>
        </w:tc>
        <w:tc>
          <w:tcPr>
            <w:tcW w:w="1212" w:type="pct"/>
            <w:vAlign w:val="bottom"/>
          </w:tcPr>
          <w:p w14:paraId="7DA9E645" w14:textId="77777777" w:rsidR="00B15D8C" w:rsidRPr="0013526B" w:rsidRDefault="00B15D8C" w:rsidP="0013526B">
            <w:pPr>
              <w:numPr>
                <w:ilvl w:val="12"/>
                <w:numId w:val="0"/>
              </w:numPr>
              <w:ind w:right="55"/>
              <w:jc w:val="right"/>
              <w:rPr>
                <w:i/>
                <w:sz w:val="14"/>
                <w:szCs w:val="18"/>
              </w:rPr>
            </w:pPr>
          </w:p>
        </w:tc>
      </w:tr>
      <w:tr w:rsidR="00B15D8C" w:rsidRPr="0013526B" w14:paraId="413848EF" w14:textId="77777777" w:rsidTr="009A292C">
        <w:trPr>
          <w:trHeight w:val="20"/>
        </w:trPr>
        <w:tc>
          <w:tcPr>
            <w:tcW w:w="1491" w:type="pct"/>
          </w:tcPr>
          <w:p w14:paraId="1D1F74D9" w14:textId="77777777" w:rsidR="00B15D8C" w:rsidRPr="0013526B" w:rsidRDefault="00B15D8C" w:rsidP="004F7FBD">
            <w:pPr>
              <w:ind w:left="854" w:right="17" w:hanging="142"/>
              <w:rPr>
                <w:sz w:val="18"/>
                <w:szCs w:val="18"/>
              </w:rPr>
            </w:pPr>
            <w:r w:rsidRPr="0013526B">
              <w:rPr>
                <w:sz w:val="18"/>
                <w:szCs w:val="18"/>
              </w:rPr>
              <w:t>Suku bunga mengambang</w:t>
            </w:r>
          </w:p>
        </w:tc>
        <w:tc>
          <w:tcPr>
            <w:tcW w:w="748" w:type="pct"/>
            <w:vAlign w:val="bottom"/>
          </w:tcPr>
          <w:p w14:paraId="5AD2629A" w14:textId="77777777" w:rsidR="00B15D8C" w:rsidRPr="0013526B" w:rsidRDefault="00B15D8C" w:rsidP="0013526B">
            <w:pPr>
              <w:ind w:right="57"/>
              <w:jc w:val="right"/>
              <w:rPr>
                <w:sz w:val="18"/>
                <w:szCs w:val="18"/>
              </w:rPr>
            </w:pPr>
          </w:p>
        </w:tc>
        <w:tc>
          <w:tcPr>
            <w:tcW w:w="27" w:type="pct"/>
            <w:vAlign w:val="bottom"/>
          </w:tcPr>
          <w:p w14:paraId="541D8982" w14:textId="77777777" w:rsidR="00B15D8C" w:rsidRPr="0013526B" w:rsidRDefault="00B15D8C" w:rsidP="0013526B">
            <w:pPr>
              <w:ind w:left="318" w:right="95"/>
              <w:jc w:val="right"/>
              <w:rPr>
                <w:sz w:val="18"/>
                <w:szCs w:val="18"/>
              </w:rPr>
            </w:pPr>
          </w:p>
        </w:tc>
        <w:tc>
          <w:tcPr>
            <w:tcW w:w="747" w:type="pct"/>
            <w:vAlign w:val="bottom"/>
          </w:tcPr>
          <w:p w14:paraId="0C3118B8" w14:textId="77777777" w:rsidR="00B15D8C" w:rsidRPr="0013526B" w:rsidRDefault="00B15D8C" w:rsidP="0013526B">
            <w:pPr>
              <w:ind w:right="95"/>
              <w:jc w:val="right"/>
              <w:rPr>
                <w:sz w:val="18"/>
                <w:szCs w:val="18"/>
              </w:rPr>
            </w:pPr>
          </w:p>
        </w:tc>
        <w:tc>
          <w:tcPr>
            <w:tcW w:w="28" w:type="pct"/>
            <w:vAlign w:val="bottom"/>
          </w:tcPr>
          <w:p w14:paraId="528E122D" w14:textId="77777777" w:rsidR="00B15D8C" w:rsidRPr="0013526B" w:rsidRDefault="00B15D8C" w:rsidP="0013526B">
            <w:pPr>
              <w:ind w:left="318" w:right="95"/>
              <w:jc w:val="right"/>
              <w:rPr>
                <w:sz w:val="18"/>
                <w:szCs w:val="18"/>
              </w:rPr>
            </w:pPr>
          </w:p>
        </w:tc>
        <w:tc>
          <w:tcPr>
            <w:tcW w:w="747" w:type="pct"/>
            <w:vAlign w:val="bottom"/>
          </w:tcPr>
          <w:p w14:paraId="2F5C1F31" w14:textId="77777777" w:rsidR="00B15D8C" w:rsidRPr="0013526B" w:rsidRDefault="00B15D8C" w:rsidP="0013526B">
            <w:pPr>
              <w:ind w:right="57"/>
              <w:jc w:val="right"/>
              <w:rPr>
                <w:sz w:val="18"/>
                <w:szCs w:val="18"/>
              </w:rPr>
            </w:pPr>
          </w:p>
        </w:tc>
        <w:tc>
          <w:tcPr>
            <w:tcW w:w="1212" w:type="pct"/>
            <w:vAlign w:val="bottom"/>
          </w:tcPr>
          <w:p w14:paraId="7C256247" w14:textId="77777777" w:rsidR="00B15D8C" w:rsidRPr="0013526B" w:rsidRDefault="00B15D8C" w:rsidP="0013526B">
            <w:pPr>
              <w:numPr>
                <w:ilvl w:val="12"/>
                <w:numId w:val="0"/>
              </w:numPr>
              <w:ind w:right="57"/>
              <w:jc w:val="right"/>
              <w:rPr>
                <w:i/>
                <w:sz w:val="18"/>
                <w:szCs w:val="18"/>
              </w:rPr>
            </w:pPr>
            <w:r w:rsidRPr="0013526B">
              <w:rPr>
                <w:i/>
                <w:sz w:val="18"/>
                <w:szCs w:val="18"/>
              </w:rPr>
              <w:t>Floating rate</w:t>
            </w:r>
          </w:p>
        </w:tc>
      </w:tr>
      <w:tr w:rsidR="008119FA" w:rsidRPr="0013526B" w14:paraId="6A9CD599" w14:textId="77777777" w:rsidTr="009A292C">
        <w:trPr>
          <w:trHeight w:val="20"/>
        </w:trPr>
        <w:tc>
          <w:tcPr>
            <w:tcW w:w="1491" w:type="pct"/>
          </w:tcPr>
          <w:p w14:paraId="2752DE81" w14:textId="7ED0D848" w:rsidR="008119FA" w:rsidRPr="0013526B" w:rsidRDefault="008119FA" w:rsidP="008119FA">
            <w:pPr>
              <w:ind w:left="854" w:right="17" w:hanging="142"/>
              <w:rPr>
                <w:sz w:val="18"/>
                <w:szCs w:val="18"/>
              </w:rPr>
            </w:pPr>
            <w:r w:rsidRPr="00EA2E1E">
              <w:rPr>
                <w:sz w:val="18"/>
                <w:szCs w:val="18"/>
              </w:rPr>
              <w:t>Kas dan setara kas</w:t>
            </w:r>
          </w:p>
        </w:tc>
        <w:tc>
          <w:tcPr>
            <w:tcW w:w="748" w:type="pct"/>
            <w:vAlign w:val="bottom"/>
          </w:tcPr>
          <w:p w14:paraId="312EC0FF" w14:textId="75E51160" w:rsidR="008119FA" w:rsidRPr="0013526B" w:rsidRDefault="008119FA" w:rsidP="008119FA">
            <w:pPr>
              <w:ind w:right="57"/>
              <w:jc w:val="right"/>
              <w:rPr>
                <w:sz w:val="18"/>
                <w:szCs w:val="18"/>
              </w:rPr>
            </w:pPr>
            <w:r w:rsidRPr="003E545E">
              <w:rPr>
                <w:bCs w:val="0"/>
                <w:sz w:val="18"/>
                <w:szCs w:val="18"/>
              </w:rPr>
              <w:t>232.11</w:t>
            </w:r>
            <w:r>
              <w:rPr>
                <w:bCs w:val="0"/>
                <w:sz w:val="18"/>
                <w:szCs w:val="18"/>
              </w:rPr>
              <w:t>7</w:t>
            </w:r>
            <w:r w:rsidRPr="003E545E">
              <w:rPr>
                <w:bCs w:val="0"/>
                <w:sz w:val="18"/>
                <w:szCs w:val="18"/>
              </w:rPr>
              <w:t>.189.241</w:t>
            </w:r>
          </w:p>
        </w:tc>
        <w:tc>
          <w:tcPr>
            <w:tcW w:w="27" w:type="pct"/>
            <w:vAlign w:val="bottom"/>
          </w:tcPr>
          <w:p w14:paraId="69AED113" w14:textId="77777777" w:rsidR="008119FA" w:rsidRPr="0013526B" w:rsidRDefault="008119FA" w:rsidP="008119FA">
            <w:pPr>
              <w:ind w:left="318" w:right="57"/>
              <w:jc w:val="right"/>
              <w:rPr>
                <w:sz w:val="18"/>
                <w:szCs w:val="18"/>
              </w:rPr>
            </w:pPr>
          </w:p>
        </w:tc>
        <w:tc>
          <w:tcPr>
            <w:tcW w:w="747" w:type="pct"/>
            <w:vAlign w:val="bottom"/>
          </w:tcPr>
          <w:p w14:paraId="7297A8F4" w14:textId="6016B84A" w:rsidR="008119FA" w:rsidRPr="0013526B" w:rsidRDefault="008119FA" w:rsidP="008119FA">
            <w:pPr>
              <w:ind w:right="57"/>
              <w:jc w:val="right"/>
              <w:rPr>
                <w:sz w:val="18"/>
                <w:szCs w:val="18"/>
              </w:rPr>
            </w:pPr>
            <w:r>
              <w:rPr>
                <w:sz w:val="18"/>
                <w:szCs w:val="18"/>
              </w:rPr>
              <w:t>-</w:t>
            </w:r>
          </w:p>
        </w:tc>
        <w:tc>
          <w:tcPr>
            <w:tcW w:w="28" w:type="pct"/>
            <w:vAlign w:val="bottom"/>
          </w:tcPr>
          <w:p w14:paraId="3F399DCA" w14:textId="77777777" w:rsidR="008119FA" w:rsidRPr="0013526B" w:rsidRDefault="008119FA" w:rsidP="008119FA">
            <w:pPr>
              <w:ind w:left="318" w:right="57"/>
              <w:jc w:val="right"/>
              <w:rPr>
                <w:sz w:val="18"/>
                <w:szCs w:val="18"/>
              </w:rPr>
            </w:pPr>
          </w:p>
        </w:tc>
        <w:tc>
          <w:tcPr>
            <w:tcW w:w="747" w:type="pct"/>
            <w:vAlign w:val="bottom"/>
          </w:tcPr>
          <w:p w14:paraId="20671FAF" w14:textId="03149142" w:rsidR="008119FA" w:rsidRPr="0013526B" w:rsidRDefault="008119FA" w:rsidP="008119FA">
            <w:pPr>
              <w:ind w:right="57"/>
              <w:jc w:val="right"/>
              <w:rPr>
                <w:sz w:val="18"/>
                <w:szCs w:val="18"/>
              </w:rPr>
            </w:pPr>
            <w:r w:rsidRPr="003E545E">
              <w:rPr>
                <w:bCs w:val="0"/>
                <w:sz w:val="18"/>
                <w:szCs w:val="18"/>
              </w:rPr>
              <w:t>232.11</w:t>
            </w:r>
            <w:r>
              <w:rPr>
                <w:bCs w:val="0"/>
                <w:sz w:val="18"/>
                <w:szCs w:val="18"/>
              </w:rPr>
              <w:t>7</w:t>
            </w:r>
            <w:r w:rsidRPr="003E545E">
              <w:rPr>
                <w:bCs w:val="0"/>
                <w:sz w:val="18"/>
                <w:szCs w:val="18"/>
              </w:rPr>
              <w:t>.189.241</w:t>
            </w:r>
          </w:p>
        </w:tc>
        <w:tc>
          <w:tcPr>
            <w:tcW w:w="1212" w:type="pct"/>
            <w:vAlign w:val="bottom"/>
          </w:tcPr>
          <w:p w14:paraId="73B10F17" w14:textId="16FFFEE7" w:rsidR="008119FA" w:rsidRPr="0013526B" w:rsidRDefault="008119FA" w:rsidP="008119FA">
            <w:pPr>
              <w:numPr>
                <w:ilvl w:val="12"/>
                <w:numId w:val="0"/>
              </w:numPr>
              <w:ind w:right="57"/>
              <w:jc w:val="right"/>
              <w:rPr>
                <w:i/>
                <w:sz w:val="18"/>
                <w:szCs w:val="18"/>
              </w:rPr>
            </w:pPr>
            <w:r w:rsidRPr="00EA2E1E">
              <w:rPr>
                <w:i/>
                <w:sz w:val="18"/>
                <w:szCs w:val="18"/>
              </w:rPr>
              <w:t>Cash and cash equivalents</w:t>
            </w:r>
          </w:p>
        </w:tc>
      </w:tr>
      <w:tr w:rsidR="008119FA" w:rsidRPr="0013526B" w14:paraId="3EA1A5EE" w14:textId="77777777" w:rsidTr="009A292C">
        <w:trPr>
          <w:trHeight w:val="20"/>
        </w:trPr>
        <w:tc>
          <w:tcPr>
            <w:tcW w:w="1491" w:type="pct"/>
          </w:tcPr>
          <w:p w14:paraId="7BD4B17B" w14:textId="77777777" w:rsidR="008119FA" w:rsidRPr="0013526B" w:rsidRDefault="008119FA" w:rsidP="008119FA">
            <w:pPr>
              <w:ind w:left="854" w:right="17" w:hanging="142"/>
              <w:rPr>
                <w:sz w:val="18"/>
                <w:szCs w:val="18"/>
              </w:rPr>
            </w:pPr>
            <w:r w:rsidRPr="0013526B">
              <w:rPr>
                <w:sz w:val="18"/>
                <w:szCs w:val="18"/>
              </w:rPr>
              <w:t>Utang bank jangka pendek</w:t>
            </w:r>
          </w:p>
        </w:tc>
        <w:tc>
          <w:tcPr>
            <w:tcW w:w="748" w:type="pct"/>
            <w:vAlign w:val="bottom"/>
          </w:tcPr>
          <w:p w14:paraId="29A9C46E" w14:textId="164623F0" w:rsidR="008119FA" w:rsidRPr="0013526B" w:rsidRDefault="008119FA" w:rsidP="008119FA">
            <w:pPr>
              <w:ind w:right="57"/>
              <w:jc w:val="right"/>
              <w:rPr>
                <w:sz w:val="18"/>
                <w:szCs w:val="18"/>
              </w:rPr>
            </w:pPr>
            <w:r w:rsidRPr="00FE279F">
              <w:rPr>
                <w:sz w:val="18"/>
                <w:szCs w:val="18"/>
              </w:rPr>
              <w:t xml:space="preserve">24.678.569.749    </w:t>
            </w:r>
          </w:p>
        </w:tc>
        <w:tc>
          <w:tcPr>
            <w:tcW w:w="27" w:type="pct"/>
            <w:vAlign w:val="bottom"/>
          </w:tcPr>
          <w:p w14:paraId="70E17677" w14:textId="77777777" w:rsidR="008119FA" w:rsidRPr="0013526B" w:rsidRDefault="008119FA" w:rsidP="008119FA">
            <w:pPr>
              <w:ind w:left="318" w:right="57"/>
              <w:jc w:val="right"/>
              <w:rPr>
                <w:sz w:val="18"/>
                <w:szCs w:val="18"/>
              </w:rPr>
            </w:pPr>
          </w:p>
        </w:tc>
        <w:tc>
          <w:tcPr>
            <w:tcW w:w="747" w:type="pct"/>
            <w:vAlign w:val="bottom"/>
          </w:tcPr>
          <w:p w14:paraId="148AB083" w14:textId="19121040" w:rsidR="008119FA" w:rsidRPr="0013526B" w:rsidRDefault="008119FA" w:rsidP="008119FA">
            <w:pPr>
              <w:ind w:right="57"/>
              <w:jc w:val="right"/>
              <w:rPr>
                <w:sz w:val="18"/>
                <w:szCs w:val="18"/>
              </w:rPr>
            </w:pPr>
            <w:r>
              <w:rPr>
                <w:sz w:val="18"/>
                <w:szCs w:val="18"/>
              </w:rPr>
              <w:t>-</w:t>
            </w:r>
          </w:p>
        </w:tc>
        <w:tc>
          <w:tcPr>
            <w:tcW w:w="28" w:type="pct"/>
            <w:vAlign w:val="bottom"/>
          </w:tcPr>
          <w:p w14:paraId="27A2600B" w14:textId="77777777" w:rsidR="008119FA" w:rsidRPr="0013526B" w:rsidRDefault="008119FA" w:rsidP="008119FA">
            <w:pPr>
              <w:ind w:left="318" w:right="57"/>
              <w:jc w:val="right"/>
              <w:rPr>
                <w:sz w:val="18"/>
                <w:szCs w:val="18"/>
              </w:rPr>
            </w:pPr>
          </w:p>
        </w:tc>
        <w:tc>
          <w:tcPr>
            <w:tcW w:w="747" w:type="pct"/>
            <w:vAlign w:val="bottom"/>
          </w:tcPr>
          <w:p w14:paraId="1B4B404B" w14:textId="35A989D7" w:rsidR="008119FA" w:rsidRPr="0013526B" w:rsidRDefault="008119FA" w:rsidP="008119FA">
            <w:pPr>
              <w:ind w:right="57"/>
              <w:jc w:val="right"/>
              <w:rPr>
                <w:sz w:val="18"/>
                <w:szCs w:val="18"/>
              </w:rPr>
            </w:pPr>
            <w:r w:rsidRPr="00FE279F">
              <w:rPr>
                <w:sz w:val="18"/>
                <w:szCs w:val="18"/>
              </w:rPr>
              <w:t xml:space="preserve">24.678.569.749    </w:t>
            </w:r>
          </w:p>
        </w:tc>
        <w:tc>
          <w:tcPr>
            <w:tcW w:w="1212" w:type="pct"/>
            <w:vAlign w:val="bottom"/>
          </w:tcPr>
          <w:p w14:paraId="30EE3CDD" w14:textId="77777777" w:rsidR="008119FA" w:rsidRPr="0013526B" w:rsidRDefault="008119FA" w:rsidP="008119FA">
            <w:pPr>
              <w:numPr>
                <w:ilvl w:val="12"/>
                <w:numId w:val="0"/>
              </w:numPr>
              <w:ind w:right="57"/>
              <w:jc w:val="right"/>
              <w:rPr>
                <w:i/>
                <w:sz w:val="18"/>
                <w:szCs w:val="18"/>
              </w:rPr>
            </w:pPr>
            <w:r w:rsidRPr="0013526B">
              <w:rPr>
                <w:i/>
                <w:sz w:val="18"/>
                <w:szCs w:val="18"/>
              </w:rPr>
              <w:t>Short-term bank loans</w:t>
            </w:r>
          </w:p>
        </w:tc>
      </w:tr>
      <w:tr w:rsidR="008119FA" w:rsidRPr="0013526B" w14:paraId="053784FE" w14:textId="77777777" w:rsidTr="009A292C">
        <w:trPr>
          <w:trHeight w:val="20"/>
        </w:trPr>
        <w:tc>
          <w:tcPr>
            <w:tcW w:w="1491" w:type="pct"/>
          </w:tcPr>
          <w:p w14:paraId="5A67656A" w14:textId="77777777" w:rsidR="008119FA" w:rsidRPr="0013526B" w:rsidRDefault="008119FA" w:rsidP="008119FA">
            <w:pPr>
              <w:ind w:left="854" w:right="17" w:hanging="142"/>
              <w:rPr>
                <w:sz w:val="18"/>
                <w:szCs w:val="18"/>
              </w:rPr>
            </w:pPr>
            <w:r w:rsidRPr="0013526B">
              <w:rPr>
                <w:sz w:val="18"/>
                <w:szCs w:val="18"/>
              </w:rPr>
              <w:t>Utang bank jangka panjang yang jatuh tempo dalam waktu satu tahun</w:t>
            </w:r>
          </w:p>
        </w:tc>
        <w:tc>
          <w:tcPr>
            <w:tcW w:w="748" w:type="pct"/>
            <w:vAlign w:val="bottom"/>
          </w:tcPr>
          <w:p w14:paraId="4BAA7810" w14:textId="2B4716E5" w:rsidR="008119FA" w:rsidRPr="0013526B" w:rsidRDefault="008119FA" w:rsidP="008119FA">
            <w:pPr>
              <w:ind w:right="57"/>
              <w:jc w:val="right"/>
              <w:rPr>
                <w:sz w:val="18"/>
                <w:szCs w:val="18"/>
              </w:rPr>
            </w:pPr>
            <w:r w:rsidRPr="00FE279F">
              <w:rPr>
                <w:sz w:val="18"/>
                <w:szCs w:val="18"/>
                <w:lang w:val="id-ID"/>
              </w:rPr>
              <w:t>50.000.000.000</w:t>
            </w:r>
          </w:p>
        </w:tc>
        <w:tc>
          <w:tcPr>
            <w:tcW w:w="27" w:type="pct"/>
            <w:vAlign w:val="bottom"/>
          </w:tcPr>
          <w:p w14:paraId="65CCCE82" w14:textId="77777777" w:rsidR="008119FA" w:rsidRPr="0013526B" w:rsidRDefault="008119FA" w:rsidP="008119FA">
            <w:pPr>
              <w:ind w:left="318" w:right="57"/>
              <w:jc w:val="right"/>
              <w:rPr>
                <w:sz w:val="18"/>
                <w:szCs w:val="18"/>
              </w:rPr>
            </w:pPr>
          </w:p>
        </w:tc>
        <w:tc>
          <w:tcPr>
            <w:tcW w:w="747" w:type="pct"/>
            <w:vAlign w:val="bottom"/>
          </w:tcPr>
          <w:p w14:paraId="7D1B431D" w14:textId="57AFF6F8" w:rsidR="008119FA" w:rsidRPr="0013526B" w:rsidRDefault="008119FA" w:rsidP="008119FA">
            <w:pPr>
              <w:ind w:right="57"/>
              <w:jc w:val="right"/>
              <w:rPr>
                <w:sz w:val="18"/>
                <w:szCs w:val="18"/>
              </w:rPr>
            </w:pPr>
            <w:r>
              <w:rPr>
                <w:sz w:val="18"/>
                <w:szCs w:val="18"/>
              </w:rPr>
              <w:t>-</w:t>
            </w:r>
          </w:p>
        </w:tc>
        <w:tc>
          <w:tcPr>
            <w:tcW w:w="28" w:type="pct"/>
            <w:vAlign w:val="bottom"/>
          </w:tcPr>
          <w:p w14:paraId="19EAB356" w14:textId="77777777" w:rsidR="008119FA" w:rsidRPr="0013526B" w:rsidRDefault="008119FA" w:rsidP="008119FA">
            <w:pPr>
              <w:ind w:left="318" w:right="57"/>
              <w:jc w:val="right"/>
              <w:rPr>
                <w:sz w:val="18"/>
                <w:szCs w:val="18"/>
              </w:rPr>
            </w:pPr>
          </w:p>
        </w:tc>
        <w:tc>
          <w:tcPr>
            <w:tcW w:w="747" w:type="pct"/>
            <w:vAlign w:val="bottom"/>
          </w:tcPr>
          <w:p w14:paraId="5BEEB133" w14:textId="38905196" w:rsidR="008119FA" w:rsidRPr="0013526B" w:rsidRDefault="008119FA" w:rsidP="008119FA">
            <w:pPr>
              <w:ind w:right="57"/>
              <w:jc w:val="right"/>
              <w:rPr>
                <w:sz w:val="18"/>
                <w:szCs w:val="18"/>
              </w:rPr>
            </w:pPr>
            <w:r w:rsidRPr="00FE279F">
              <w:rPr>
                <w:sz w:val="18"/>
                <w:szCs w:val="18"/>
                <w:lang w:val="id-ID"/>
              </w:rPr>
              <w:t>50.000.000.000</w:t>
            </w:r>
          </w:p>
        </w:tc>
        <w:tc>
          <w:tcPr>
            <w:tcW w:w="1212" w:type="pct"/>
            <w:vAlign w:val="bottom"/>
          </w:tcPr>
          <w:p w14:paraId="6F10CBE3" w14:textId="77777777" w:rsidR="008119FA" w:rsidRPr="0013526B" w:rsidRDefault="008119FA" w:rsidP="008119FA">
            <w:pPr>
              <w:numPr>
                <w:ilvl w:val="12"/>
                <w:numId w:val="0"/>
              </w:numPr>
              <w:ind w:right="57"/>
              <w:jc w:val="right"/>
              <w:rPr>
                <w:i/>
                <w:sz w:val="18"/>
                <w:szCs w:val="18"/>
              </w:rPr>
            </w:pPr>
            <w:r w:rsidRPr="0013526B">
              <w:rPr>
                <w:i/>
                <w:sz w:val="18"/>
                <w:szCs w:val="18"/>
              </w:rPr>
              <w:tab/>
              <w:t>Current maturities</w:t>
            </w:r>
          </w:p>
          <w:p w14:paraId="726AC5EA" w14:textId="77777777" w:rsidR="008119FA" w:rsidRPr="0013526B" w:rsidRDefault="008119FA" w:rsidP="008119FA">
            <w:pPr>
              <w:numPr>
                <w:ilvl w:val="12"/>
                <w:numId w:val="0"/>
              </w:numPr>
              <w:ind w:right="198"/>
              <w:jc w:val="right"/>
              <w:rPr>
                <w:i/>
                <w:sz w:val="18"/>
                <w:szCs w:val="18"/>
              </w:rPr>
            </w:pPr>
            <w:r w:rsidRPr="0013526B">
              <w:rPr>
                <w:i/>
                <w:sz w:val="18"/>
                <w:szCs w:val="18"/>
              </w:rPr>
              <w:t>of long-term bank loans</w:t>
            </w:r>
          </w:p>
        </w:tc>
      </w:tr>
      <w:tr w:rsidR="008119FA" w:rsidRPr="0013526B" w14:paraId="60F0DD4D" w14:textId="77777777" w:rsidTr="009A292C">
        <w:trPr>
          <w:trHeight w:val="20"/>
        </w:trPr>
        <w:tc>
          <w:tcPr>
            <w:tcW w:w="1491" w:type="pct"/>
          </w:tcPr>
          <w:p w14:paraId="3DF5B5CD" w14:textId="77777777" w:rsidR="008119FA" w:rsidRPr="0013526B" w:rsidRDefault="008119FA" w:rsidP="008119FA">
            <w:pPr>
              <w:ind w:left="854" w:right="17" w:hanging="142"/>
              <w:rPr>
                <w:sz w:val="18"/>
                <w:szCs w:val="18"/>
              </w:rPr>
            </w:pPr>
            <w:r w:rsidRPr="0013526B">
              <w:rPr>
                <w:sz w:val="18"/>
                <w:szCs w:val="18"/>
              </w:rPr>
              <w:t>Utang bank jangka panjang setelah dikurangi bagian yang jatuh tempo dalam waktu satu tahun</w:t>
            </w:r>
          </w:p>
        </w:tc>
        <w:tc>
          <w:tcPr>
            <w:tcW w:w="748" w:type="pct"/>
            <w:tcBorders>
              <w:bottom w:val="single" w:sz="4" w:space="0" w:color="auto"/>
            </w:tcBorders>
            <w:vAlign w:val="bottom"/>
          </w:tcPr>
          <w:p w14:paraId="164C55CA" w14:textId="18AC1541" w:rsidR="008119FA" w:rsidRPr="0013526B" w:rsidRDefault="008119FA" w:rsidP="008119FA">
            <w:pPr>
              <w:ind w:right="57"/>
              <w:jc w:val="right"/>
              <w:rPr>
                <w:sz w:val="18"/>
                <w:szCs w:val="18"/>
              </w:rPr>
            </w:pPr>
            <w:r>
              <w:rPr>
                <w:sz w:val="18"/>
                <w:szCs w:val="18"/>
              </w:rPr>
              <w:t>-</w:t>
            </w:r>
          </w:p>
        </w:tc>
        <w:tc>
          <w:tcPr>
            <w:tcW w:w="27" w:type="pct"/>
            <w:vAlign w:val="bottom"/>
          </w:tcPr>
          <w:p w14:paraId="0983D178" w14:textId="77777777" w:rsidR="008119FA" w:rsidRPr="0013526B" w:rsidRDefault="008119FA" w:rsidP="008119FA">
            <w:pPr>
              <w:ind w:left="318" w:right="57"/>
              <w:jc w:val="right"/>
              <w:rPr>
                <w:sz w:val="18"/>
                <w:szCs w:val="18"/>
              </w:rPr>
            </w:pPr>
          </w:p>
        </w:tc>
        <w:tc>
          <w:tcPr>
            <w:tcW w:w="747" w:type="pct"/>
            <w:tcBorders>
              <w:bottom w:val="single" w:sz="4" w:space="0" w:color="auto"/>
            </w:tcBorders>
            <w:vAlign w:val="bottom"/>
          </w:tcPr>
          <w:p w14:paraId="2107AD15" w14:textId="5CDCEB0D" w:rsidR="008119FA" w:rsidRPr="0013526B" w:rsidRDefault="008119FA" w:rsidP="008119FA">
            <w:pPr>
              <w:ind w:right="57"/>
              <w:jc w:val="right"/>
              <w:rPr>
                <w:sz w:val="18"/>
                <w:szCs w:val="18"/>
              </w:rPr>
            </w:pPr>
            <w:r w:rsidRPr="00FE279F">
              <w:rPr>
                <w:sz w:val="18"/>
                <w:szCs w:val="18"/>
              </w:rPr>
              <w:t>176.879.793.470</w:t>
            </w:r>
          </w:p>
        </w:tc>
        <w:tc>
          <w:tcPr>
            <w:tcW w:w="28" w:type="pct"/>
            <w:vAlign w:val="bottom"/>
          </w:tcPr>
          <w:p w14:paraId="3E87B2DB" w14:textId="77777777" w:rsidR="008119FA" w:rsidRPr="0013526B" w:rsidRDefault="008119FA" w:rsidP="008119FA">
            <w:pPr>
              <w:ind w:left="318" w:right="57"/>
              <w:jc w:val="right"/>
              <w:rPr>
                <w:sz w:val="18"/>
                <w:szCs w:val="18"/>
              </w:rPr>
            </w:pPr>
          </w:p>
        </w:tc>
        <w:tc>
          <w:tcPr>
            <w:tcW w:w="747" w:type="pct"/>
            <w:tcBorders>
              <w:bottom w:val="single" w:sz="4" w:space="0" w:color="auto"/>
            </w:tcBorders>
            <w:vAlign w:val="bottom"/>
          </w:tcPr>
          <w:p w14:paraId="76E5462F" w14:textId="7CB7C2B6" w:rsidR="008119FA" w:rsidRPr="0013526B" w:rsidRDefault="008119FA" w:rsidP="008119FA">
            <w:pPr>
              <w:ind w:right="57"/>
              <w:jc w:val="right"/>
              <w:rPr>
                <w:sz w:val="18"/>
                <w:szCs w:val="18"/>
              </w:rPr>
            </w:pPr>
            <w:r w:rsidRPr="00FE279F">
              <w:rPr>
                <w:sz w:val="18"/>
                <w:szCs w:val="18"/>
              </w:rPr>
              <w:t>176.879.793.470</w:t>
            </w:r>
          </w:p>
        </w:tc>
        <w:tc>
          <w:tcPr>
            <w:tcW w:w="1212" w:type="pct"/>
            <w:vAlign w:val="bottom"/>
          </w:tcPr>
          <w:p w14:paraId="54C275FB" w14:textId="77777777" w:rsidR="008119FA" w:rsidRPr="0013526B" w:rsidRDefault="008119FA" w:rsidP="008119FA">
            <w:pPr>
              <w:numPr>
                <w:ilvl w:val="12"/>
                <w:numId w:val="0"/>
              </w:numPr>
              <w:ind w:left="-284" w:right="57"/>
              <w:jc w:val="right"/>
              <w:rPr>
                <w:i/>
                <w:sz w:val="18"/>
                <w:szCs w:val="18"/>
              </w:rPr>
            </w:pPr>
            <w:r w:rsidRPr="0013526B">
              <w:rPr>
                <w:i/>
                <w:sz w:val="18"/>
                <w:szCs w:val="18"/>
              </w:rPr>
              <w:tab/>
              <w:t>Long-term bank loans</w:t>
            </w:r>
          </w:p>
          <w:p w14:paraId="4334F03B" w14:textId="77777777" w:rsidR="008119FA" w:rsidRPr="0013526B" w:rsidRDefault="008119FA" w:rsidP="008119FA">
            <w:pPr>
              <w:numPr>
                <w:ilvl w:val="12"/>
                <w:numId w:val="0"/>
              </w:numPr>
              <w:ind w:right="198"/>
              <w:jc w:val="right"/>
              <w:rPr>
                <w:i/>
                <w:sz w:val="18"/>
                <w:szCs w:val="18"/>
              </w:rPr>
            </w:pPr>
            <w:r w:rsidRPr="0013526B">
              <w:rPr>
                <w:i/>
                <w:sz w:val="18"/>
                <w:szCs w:val="18"/>
              </w:rPr>
              <w:t>- net off current maturities</w:t>
            </w:r>
          </w:p>
        </w:tc>
      </w:tr>
      <w:tr w:rsidR="008119FA" w:rsidRPr="0013526B" w14:paraId="63B5EE29" w14:textId="77777777" w:rsidTr="009A292C">
        <w:trPr>
          <w:trHeight w:val="20"/>
        </w:trPr>
        <w:tc>
          <w:tcPr>
            <w:tcW w:w="1491" w:type="pct"/>
          </w:tcPr>
          <w:p w14:paraId="1366B2F5" w14:textId="77777777" w:rsidR="008119FA" w:rsidRPr="003A79AF" w:rsidRDefault="008119FA" w:rsidP="008119FA">
            <w:pPr>
              <w:ind w:left="854" w:right="17" w:hanging="142"/>
              <w:rPr>
                <w:sz w:val="18"/>
                <w:szCs w:val="18"/>
              </w:rPr>
            </w:pPr>
          </w:p>
        </w:tc>
        <w:tc>
          <w:tcPr>
            <w:tcW w:w="748" w:type="pct"/>
            <w:tcBorders>
              <w:top w:val="single" w:sz="4" w:space="0" w:color="auto"/>
            </w:tcBorders>
          </w:tcPr>
          <w:p w14:paraId="65EC2EA1" w14:textId="77777777" w:rsidR="008119FA" w:rsidRPr="0013526B" w:rsidRDefault="008119FA" w:rsidP="008119FA">
            <w:pPr>
              <w:ind w:right="57"/>
              <w:jc w:val="right"/>
              <w:rPr>
                <w:sz w:val="18"/>
                <w:szCs w:val="18"/>
              </w:rPr>
            </w:pPr>
          </w:p>
        </w:tc>
        <w:tc>
          <w:tcPr>
            <w:tcW w:w="27" w:type="pct"/>
          </w:tcPr>
          <w:p w14:paraId="30C5B739" w14:textId="77777777" w:rsidR="008119FA" w:rsidRPr="0013526B" w:rsidRDefault="008119FA" w:rsidP="008119FA">
            <w:pPr>
              <w:ind w:left="318" w:right="57"/>
              <w:jc w:val="right"/>
              <w:rPr>
                <w:sz w:val="18"/>
                <w:szCs w:val="18"/>
              </w:rPr>
            </w:pPr>
          </w:p>
        </w:tc>
        <w:tc>
          <w:tcPr>
            <w:tcW w:w="747" w:type="pct"/>
            <w:tcBorders>
              <w:top w:val="single" w:sz="4" w:space="0" w:color="auto"/>
            </w:tcBorders>
          </w:tcPr>
          <w:p w14:paraId="2C12CC4B" w14:textId="77777777" w:rsidR="008119FA" w:rsidRPr="0013526B" w:rsidRDefault="008119FA" w:rsidP="008119FA">
            <w:pPr>
              <w:ind w:right="57"/>
              <w:jc w:val="right"/>
              <w:rPr>
                <w:sz w:val="18"/>
                <w:szCs w:val="18"/>
              </w:rPr>
            </w:pPr>
          </w:p>
        </w:tc>
        <w:tc>
          <w:tcPr>
            <w:tcW w:w="28" w:type="pct"/>
          </w:tcPr>
          <w:p w14:paraId="683410C4" w14:textId="77777777" w:rsidR="008119FA" w:rsidRPr="0013526B" w:rsidRDefault="008119FA" w:rsidP="008119FA">
            <w:pPr>
              <w:ind w:left="318" w:right="57"/>
              <w:jc w:val="right"/>
              <w:rPr>
                <w:sz w:val="18"/>
                <w:szCs w:val="18"/>
              </w:rPr>
            </w:pPr>
          </w:p>
        </w:tc>
        <w:tc>
          <w:tcPr>
            <w:tcW w:w="747" w:type="pct"/>
            <w:tcBorders>
              <w:top w:val="single" w:sz="4" w:space="0" w:color="auto"/>
            </w:tcBorders>
          </w:tcPr>
          <w:p w14:paraId="30741FE6" w14:textId="77777777" w:rsidR="008119FA" w:rsidRPr="0013526B" w:rsidRDefault="008119FA" w:rsidP="008119FA">
            <w:pPr>
              <w:ind w:right="57"/>
              <w:jc w:val="right"/>
              <w:rPr>
                <w:sz w:val="18"/>
                <w:szCs w:val="18"/>
              </w:rPr>
            </w:pPr>
          </w:p>
        </w:tc>
        <w:tc>
          <w:tcPr>
            <w:tcW w:w="1212" w:type="pct"/>
            <w:vAlign w:val="bottom"/>
          </w:tcPr>
          <w:p w14:paraId="71F87539" w14:textId="77777777" w:rsidR="008119FA" w:rsidRPr="0013526B" w:rsidRDefault="008119FA" w:rsidP="008119FA">
            <w:pPr>
              <w:numPr>
                <w:ilvl w:val="12"/>
                <w:numId w:val="0"/>
              </w:numPr>
              <w:ind w:right="57"/>
              <w:jc w:val="right"/>
              <w:rPr>
                <w:i/>
                <w:sz w:val="14"/>
                <w:szCs w:val="18"/>
              </w:rPr>
            </w:pPr>
          </w:p>
        </w:tc>
      </w:tr>
      <w:tr w:rsidR="008119FA" w:rsidRPr="0013526B" w14:paraId="7091FDA3" w14:textId="77777777" w:rsidTr="009A292C">
        <w:trPr>
          <w:trHeight w:val="20"/>
        </w:trPr>
        <w:tc>
          <w:tcPr>
            <w:tcW w:w="1491" w:type="pct"/>
          </w:tcPr>
          <w:p w14:paraId="557E8ECF" w14:textId="77777777" w:rsidR="008119FA" w:rsidRPr="003A79AF" w:rsidRDefault="008119FA" w:rsidP="008119FA">
            <w:pPr>
              <w:ind w:left="854" w:right="17" w:hanging="142"/>
              <w:rPr>
                <w:b/>
                <w:bCs w:val="0"/>
                <w:sz w:val="18"/>
                <w:szCs w:val="18"/>
              </w:rPr>
            </w:pPr>
            <w:r w:rsidRPr="003A79AF">
              <w:rPr>
                <w:b/>
                <w:bCs w:val="0"/>
                <w:sz w:val="18"/>
                <w:szCs w:val="18"/>
              </w:rPr>
              <w:t>Bersih</w:t>
            </w:r>
          </w:p>
        </w:tc>
        <w:tc>
          <w:tcPr>
            <w:tcW w:w="748" w:type="pct"/>
            <w:tcBorders>
              <w:bottom w:val="double" w:sz="4" w:space="0" w:color="auto"/>
            </w:tcBorders>
          </w:tcPr>
          <w:p w14:paraId="733974F6" w14:textId="44DF9B4C" w:rsidR="008119FA" w:rsidRPr="003A79AF" w:rsidRDefault="008119FA" w:rsidP="008119FA">
            <w:pPr>
              <w:ind w:right="57"/>
              <w:jc w:val="right"/>
              <w:rPr>
                <w:b/>
                <w:bCs w:val="0"/>
                <w:sz w:val="18"/>
                <w:szCs w:val="18"/>
              </w:rPr>
            </w:pPr>
            <w:r w:rsidRPr="003A79AF">
              <w:rPr>
                <w:b/>
                <w:bCs w:val="0"/>
                <w:sz w:val="18"/>
                <w:szCs w:val="18"/>
              </w:rPr>
              <w:t>306.795.758.990</w:t>
            </w:r>
          </w:p>
        </w:tc>
        <w:tc>
          <w:tcPr>
            <w:tcW w:w="27" w:type="pct"/>
          </w:tcPr>
          <w:p w14:paraId="7E48F26E" w14:textId="77777777" w:rsidR="008119FA" w:rsidRPr="003A79AF" w:rsidRDefault="008119FA" w:rsidP="008119FA">
            <w:pPr>
              <w:ind w:left="318" w:right="57"/>
              <w:jc w:val="right"/>
              <w:rPr>
                <w:b/>
                <w:bCs w:val="0"/>
                <w:sz w:val="18"/>
                <w:szCs w:val="18"/>
              </w:rPr>
            </w:pPr>
          </w:p>
        </w:tc>
        <w:tc>
          <w:tcPr>
            <w:tcW w:w="747" w:type="pct"/>
            <w:tcBorders>
              <w:bottom w:val="double" w:sz="4" w:space="0" w:color="auto"/>
            </w:tcBorders>
          </w:tcPr>
          <w:p w14:paraId="4F8969E9" w14:textId="58141F4E" w:rsidR="008119FA" w:rsidRPr="003A79AF" w:rsidRDefault="008119FA" w:rsidP="008119FA">
            <w:pPr>
              <w:ind w:right="57"/>
              <w:jc w:val="right"/>
              <w:rPr>
                <w:b/>
                <w:bCs w:val="0"/>
                <w:sz w:val="18"/>
                <w:szCs w:val="18"/>
              </w:rPr>
            </w:pPr>
            <w:r w:rsidRPr="003A79AF">
              <w:rPr>
                <w:b/>
                <w:bCs w:val="0"/>
                <w:sz w:val="18"/>
                <w:szCs w:val="18"/>
              </w:rPr>
              <w:t>176.879.793.470</w:t>
            </w:r>
          </w:p>
        </w:tc>
        <w:tc>
          <w:tcPr>
            <w:tcW w:w="28" w:type="pct"/>
          </w:tcPr>
          <w:p w14:paraId="65B0E489" w14:textId="77777777" w:rsidR="008119FA" w:rsidRPr="003A79AF" w:rsidRDefault="008119FA" w:rsidP="008119FA">
            <w:pPr>
              <w:ind w:left="318" w:right="57"/>
              <w:jc w:val="right"/>
              <w:rPr>
                <w:b/>
                <w:bCs w:val="0"/>
                <w:sz w:val="18"/>
                <w:szCs w:val="18"/>
              </w:rPr>
            </w:pPr>
          </w:p>
        </w:tc>
        <w:tc>
          <w:tcPr>
            <w:tcW w:w="747" w:type="pct"/>
            <w:tcBorders>
              <w:bottom w:val="double" w:sz="4" w:space="0" w:color="auto"/>
            </w:tcBorders>
          </w:tcPr>
          <w:p w14:paraId="4E3C5441" w14:textId="3BFADF94" w:rsidR="008119FA" w:rsidRPr="003A79AF" w:rsidRDefault="008119FA" w:rsidP="008119FA">
            <w:pPr>
              <w:ind w:right="57"/>
              <w:jc w:val="right"/>
              <w:rPr>
                <w:b/>
                <w:bCs w:val="0"/>
                <w:sz w:val="18"/>
                <w:szCs w:val="18"/>
              </w:rPr>
            </w:pPr>
            <w:r w:rsidRPr="003A79AF">
              <w:rPr>
                <w:b/>
                <w:bCs w:val="0"/>
                <w:sz w:val="18"/>
                <w:szCs w:val="18"/>
              </w:rPr>
              <w:t>483.675.552.460</w:t>
            </w:r>
          </w:p>
        </w:tc>
        <w:tc>
          <w:tcPr>
            <w:tcW w:w="1212" w:type="pct"/>
            <w:vAlign w:val="bottom"/>
          </w:tcPr>
          <w:p w14:paraId="7B791E72" w14:textId="77777777" w:rsidR="008119FA" w:rsidRPr="0013526B" w:rsidRDefault="008119FA" w:rsidP="008119FA">
            <w:pPr>
              <w:numPr>
                <w:ilvl w:val="12"/>
                <w:numId w:val="0"/>
              </w:numPr>
              <w:ind w:right="57"/>
              <w:jc w:val="right"/>
              <w:rPr>
                <w:b/>
                <w:i/>
                <w:sz w:val="18"/>
                <w:szCs w:val="18"/>
              </w:rPr>
            </w:pPr>
            <w:r w:rsidRPr="0013526B">
              <w:rPr>
                <w:b/>
                <w:i/>
                <w:sz w:val="18"/>
                <w:szCs w:val="18"/>
              </w:rPr>
              <w:t>Net</w:t>
            </w:r>
          </w:p>
        </w:tc>
      </w:tr>
    </w:tbl>
    <w:p w14:paraId="2BBC4ABB" w14:textId="77777777" w:rsidR="00B15D8C" w:rsidRPr="0013526B" w:rsidRDefault="00B15D8C" w:rsidP="0013526B">
      <w:pPr>
        <w:rPr>
          <w:b/>
          <w:sz w:val="14"/>
          <w:szCs w:val="14"/>
        </w:rPr>
      </w:pPr>
    </w:p>
    <w:tbl>
      <w:tblPr>
        <w:tblW w:w="9197" w:type="dxa"/>
        <w:tblInd w:w="84" w:type="dxa"/>
        <w:tblLayout w:type="fixed"/>
        <w:tblLook w:val="0000" w:firstRow="0" w:lastRow="0" w:firstColumn="0" w:lastColumn="0" w:noHBand="0" w:noVBand="0"/>
      </w:tblPr>
      <w:tblGrid>
        <w:gridCol w:w="4598"/>
        <w:gridCol w:w="4599"/>
      </w:tblGrid>
      <w:tr w:rsidR="00133676" w:rsidRPr="0013526B" w14:paraId="7E550E18" w14:textId="77777777" w:rsidTr="009A292C">
        <w:trPr>
          <w:trHeight w:val="205"/>
        </w:trPr>
        <w:tc>
          <w:tcPr>
            <w:tcW w:w="4598" w:type="dxa"/>
            <w:tcBorders>
              <w:top w:val="nil"/>
              <w:left w:val="nil"/>
              <w:bottom w:val="nil"/>
              <w:right w:val="nil"/>
            </w:tcBorders>
          </w:tcPr>
          <w:p w14:paraId="718BACCA" w14:textId="77777777" w:rsidR="00133676" w:rsidRPr="0013526B" w:rsidRDefault="00200EC2" w:rsidP="0013526B">
            <w:pPr>
              <w:ind w:left="567" w:right="-57"/>
              <w:jc w:val="both"/>
              <w:rPr>
                <w:sz w:val="18"/>
                <w:szCs w:val="18"/>
              </w:rPr>
            </w:pPr>
            <w:r w:rsidRPr="0013526B">
              <w:rPr>
                <w:sz w:val="18"/>
                <w:szCs w:val="18"/>
              </w:rPr>
              <w:t>Instrumen</w:t>
            </w:r>
            <w:r w:rsidR="00133676" w:rsidRPr="0013526B">
              <w:rPr>
                <w:sz w:val="18"/>
                <w:szCs w:val="18"/>
              </w:rPr>
              <w:t xml:space="preserve"> keuangan lainnya yang dimiliki </w:t>
            </w:r>
            <w:r w:rsidR="00605E86" w:rsidRPr="0013526B">
              <w:rPr>
                <w:sz w:val="18"/>
                <w:szCs w:val="18"/>
              </w:rPr>
              <w:t>Kelompok Usaha</w:t>
            </w:r>
            <w:r w:rsidR="00133676" w:rsidRPr="0013526B">
              <w:rPr>
                <w:sz w:val="18"/>
                <w:szCs w:val="18"/>
              </w:rPr>
              <w:t xml:space="preserve"> yang tidak dimasukkan pada tabel diatas adalah yang tidak dikenakan bunga sehingga tidak terpengaruh risiko tingkat bunga.</w:t>
            </w:r>
          </w:p>
        </w:tc>
        <w:tc>
          <w:tcPr>
            <w:tcW w:w="4599" w:type="dxa"/>
            <w:tcBorders>
              <w:top w:val="nil"/>
              <w:left w:val="nil"/>
              <w:bottom w:val="nil"/>
              <w:right w:val="nil"/>
            </w:tcBorders>
          </w:tcPr>
          <w:p w14:paraId="1670BED1" w14:textId="5CE3317C" w:rsidR="00133676" w:rsidRPr="0013526B" w:rsidRDefault="00133676" w:rsidP="0013526B">
            <w:pPr>
              <w:ind w:left="284" w:right="-57"/>
              <w:jc w:val="both"/>
              <w:rPr>
                <w:i/>
                <w:color w:val="000000"/>
                <w:sz w:val="18"/>
                <w:szCs w:val="18"/>
              </w:rPr>
            </w:pPr>
            <w:r w:rsidRPr="0013526B">
              <w:rPr>
                <w:i/>
                <w:color w:val="000000"/>
                <w:sz w:val="18"/>
                <w:szCs w:val="18"/>
              </w:rPr>
              <w:t xml:space="preserve">The other financial instruments of the </w:t>
            </w:r>
            <w:r w:rsidR="00605E86" w:rsidRPr="0013526B">
              <w:rPr>
                <w:i/>
                <w:color w:val="000000"/>
                <w:sz w:val="18"/>
                <w:szCs w:val="18"/>
              </w:rPr>
              <w:t>Group</w:t>
            </w:r>
            <w:r w:rsidR="002C6A14">
              <w:rPr>
                <w:i/>
                <w:color w:val="000000"/>
                <w:sz w:val="18"/>
                <w:szCs w:val="18"/>
              </w:rPr>
              <w:t>s</w:t>
            </w:r>
            <w:r w:rsidRPr="0013526B">
              <w:rPr>
                <w:i/>
                <w:color w:val="000000"/>
                <w:sz w:val="18"/>
                <w:szCs w:val="18"/>
              </w:rPr>
              <w:t xml:space="preserve"> that are not included in the above table are non</w:t>
            </w:r>
            <w:r w:rsidR="00037369" w:rsidRPr="0013526B">
              <w:rPr>
                <w:i/>
                <w:color w:val="000000"/>
                <w:sz w:val="18"/>
                <w:szCs w:val="18"/>
              </w:rPr>
              <w:t>-</w:t>
            </w:r>
            <w:r w:rsidRPr="0013526B">
              <w:rPr>
                <w:i/>
                <w:color w:val="000000"/>
                <w:sz w:val="18"/>
                <w:szCs w:val="18"/>
              </w:rPr>
              <w:t>interest bearing</w:t>
            </w:r>
            <w:r w:rsidR="00870FD0">
              <w:rPr>
                <w:i/>
                <w:color w:val="000000"/>
                <w:sz w:val="18"/>
                <w:szCs w:val="18"/>
              </w:rPr>
              <w:t>.</w:t>
            </w:r>
            <w:r w:rsidRPr="0013526B">
              <w:rPr>
                <w:i/>
                <w:color w:val="000000"/>
                <w:sz w:val="18"/>
                <w:szCs w:val="18"/>
              </w:rPr>
              <w:t xml:space="preserve"> </w:t>
            </w:r>
            <w:proofErr w:type="gramStart"/>
            <w:r w:rsidRPr="0013526B">
              <w:rPr>
                <w:i/>
                <w:color w:val="000000"/>
                <w:sz w:val="18"/>
                <w:szCs w:val="18"/>
              </w:rPr>
              <w:t>th</w:t>
            </w:r>
            <w:r w:rsidR="00EB6BC4" w:rsidRPr="0013526B">
              <w:rPr>
                <w:i/>
                <w:color w:val="000000"/>
                <w:sz w:val="18"/>
                <w:szCs w:val="18"/>
              </w:rPr>
              <w:t>erefore</w:t>
            </w:r>
            <w:proofErr w:type="gramEnd"/>
            <w:r w:rsidR="00EB6BC4" w:rsidRPr="0013526B">
              <w:rPr>
                <w:i/>
                <w:color w:val="000000"/>
                <w:sz w:val="18"/>
                <w:szCs w:val="18"/>
              </w:rPr>
              <w:t xml:space="preserve"> are not subjected to in</w:t>
            </w:r>
            <w:r w:rsidRPr="0013526B">
              <w:rPr>
                <w:i/>
                <w:color w:val="000000"/>
                <w:sz w:val="18"/>
                <w:szCs w:val="18"/>
              </w:rPr>
              <w:t>terest rate risk.</w:t>
            </w:r>
          </w:p>
        </w:tc>
      </w:tr>
    </w:tbl>
    <w:p w14:paraId="46B354A2" w14:textId="1D34BD9D" w:rsidR="006E430B" w:rsidRDefault="006E430B"/>
    <w:p w14:paraId="31EE475E" w14:textId="043D750D" w:rsidR="004F6533" w:rsidRPr="007D05E1" w:rsidRDefault="006E430B">
      <w:r>
        <w:br w:type="page"/>
      </w:r>
    </w:p>
    <w:tbl>
      <w:tblPr>
        <w:tblW w:w="9197" w:type="dxa"/>
        <w:tblInd w:w="140" w:type="dxa"/>
        <w:tblLayout w:type="fixed"/>
        <w:tblLook w:val="0000" w:firstRow="0" w:lastRow="0" w:firstColumn="0" w:lastColumn="0" w:noHBand="0" w:noVBand="0"/>
      </w:tblPr>
      <w:tblGrid>
        <w:gridCol w:w="4598"/>
        <w:gridCol w:w="4599"/>
      </w:tblGrid>
      <w:tr w:rsidR="00DA744D" w:rsidRPr="0013526B" w14:paraId="2CFAB308" w14:textId="77777777" w:rsidTr="009A292C">
        <w:tc>
          <w:tcPr>
            <w:tcW w:w="4598" w:type="dxa"/>
            <w:tcBorders>
              <w:top w:val="nil"/>
              <w:left w:val="nil"/>
              <w:bottom w:val="nil"/>
              <w:right w:val="nil"/>
            </w:tcBorders>
          </w:tcPr>
          <w:p w14:paraId="1D1A5BE5" w14:textId="77777777" w:rsidR="00DA744D" w:rsidRPr="0013526B" w:rsidRDefault="00DA744D" w:rsidP="00070D1F">
            <w:pPr>
              <w:numPr>
                <w:ilvl w:val="0"/>
                <w:numId w:val="409"/>
              </w:numPr>
              <w:ind w:right="-57"/>
              <w:jc w:val="both"/>
              <w:rPr>
                <w:b/>
                <w:sz w:val="18"/>
                <w:szCs w:val="18"/>
              </w:rPr>
            </w:pPr>
            <w:r w:rsidRPr="0013526B">
              <w:rPr>
                <w:b/>
                <w:sz w:val="18"/>
                <w:szCs w:val="18"/>
              </w:rPr>
              <w:lastRenderedPageBreak/>
              <w:br w:type="page"/>
              <w:t xml:space="preserve">TUJUAN DAN KEBIJAKAN MANAJEMEN RISIKO </w:t>
            </w:r>
            <w:r>
              <w:rPr>
                <w:b/>
                <w:sz w:val="18"/>
                <w:szCs w:val="18"/>
              </w:rPr>
              <w:t>-</w:t>
            </w:r>
            <w:r w:rsidRPr="0013526B">
              <w:rPr>
                <w:b/>
                <w:sz w:val="18"/>
                <w:szCs w:val="18"/>
              </w:rPr>
              <w:t xml:space="preserve"> Lanjutan</w:t>
            </w:r>
          </w:p>
        </w:tc>
        <w:tc>
          <w:tcPr>
            <w:tcW w:w="4599" w:type="dxa"/>
            <w:tcBorders>
              <w:top w:val="nil"/>
              <w:left w:val="nil"/>
              <w:bottom w:val="nil"/>
              <w:right w:val="nil"/>
            </w:tcBorders>
          </w:tcPr>
          <w:p w14:paraId="1744298D" w14:textId="77777777" w:rsidR="00DA744D" w:rsidRPr="0013526B" w:rsidRDefault="00DA744D" w:rsidP="00070D1F">
            <w:pPr>
              <w:numPr>
                <w:ilvl w:val="0"/>
                <w:numId w:val="410"/>
              </w:numPr>
              <w:ind w:right="-57"/>
              <w:jc w:val="both"/>
              <w:rPr>
                <w:b/>
                <w:i/>
                <w:sz w:val="18"/>
                <w:szCs w:val="18"/>
              </w:rPr>
            </w:pPr>
            <w:r w:rsidRPr="0013526B">
              <w:rPr>
                <w:b/>
                <w:i/>
                <w:sz w:val="18"/>
                <w:szCs w:val="18"/>
              </w:rPr>
              <w:t>FINANCIAL RISK MANAGEMENT OBJECTIVES AND POLICIES - Continued</w:t>
            </w:r>
          </w:p>
        </w:tc>
      </w:tr>
    </w:tbl>
    <w:p w14:paraId="56A6C056" w14:textId="3ADAE892" w:rsidR="00DA744D" w:rsidRPr="00DA744D" w:rsidRDefault="00DA744D">
      <w:pPr>
        <w:rPr>
          <w:sz w:val="6"/>
        </w:rPr>
      </w:pPr>
    </w:p>
    <w:tbl>
      <w:tblPr>
        <w:tblW w:w="9197" w:type="dxa"/>
        <w:tblInd w:w="140" w:type="dxa"/>
        <w:tblLayout w:type="fixed"/>
        <w:tblLook w:val="0000" w:firstRow="0" w:lastRow="0" w:firstColumn="0" w:lastColumn="0" w:noHBand="0" w:noVBand="0"/>
      </w:tblPr>
      <w:tblGrid>
        <w:gridCol w:w="4598"/>
        <w:gridCol w:w="4599"/>
      </w:tblGrid>
      <w:tr w:rsidR="00C95D12" w:rsidRPr="00C95D12" w14:paraId="426EF5B9" w14:textId="77777777" w:rsidTr="009A292C">
        <w:trPr>
          <w:trHeight w:val="205"/>
        </w:trPr>
        <w:tc>
          <w:tcPr>
            <w:tcW w:w="4598" w:type="dxa"/>
            <w:tcBorders>
              <w:top w:val="nil"/>
              <w:left w:val="nil"/>
              <w:bottom w:val="nil"/>
              <w:right w:val="nil"/>
            </w:tcBorders>
          </w:tcPr>
          <w:p w14:paraId="0F49E40C" w14:textId="77777777" w:rsidR="00C95D12" w:rsidRPr="00C95D12" w:rsidRDefault="00C95D12" w:rsidP="00C95D12">
            <w:pPr>
              <w:ind w:left="567" w:right="-57" w:hanging="216"/>
              <w:rPr>
                <w:b/>
                <w:sz w:val="18"/>
                <w:szCs w:val="18"/>
              </w:rPr>
            </w:pPr>
            <w:r w:rsidRPr="00C95D12">
              <w:rPr>
                <w:b/>
                <w:sz w:val="18"/>
                <w:szCs w:val="18"/>
              </w:rPr>
              <w:t>Faktor-faktor Risiko Keuangan - Lanjutan</w:t>
            </w:r>
          </w:p>
        </w:tc>
        <w:tc>
          <w:tcPr>
            <w:tcW w:w="4599" w:type="dxa"/>
            <w:tcBorders>
              <w:top w:val="nil"/>
              <w:left w:val="nil"/>
              <w:bottom w:val="nil"/>
              <w:right w:val="nil"/>
            </w:tcBorders>
          </w:tcPr>
          <w:p w14:paraId="20BE5FD3" w14:textId="77777777" w:rsidR="00C95D12" w:rsidRPr="00C95D12" w:rsidRDefault="00C95D12" w:rsidP="00C95D12">
            <w:pPr>
              <w:ind w:right="-57" w:firstLine="323"/>
              <w:rPr>
                <w:b/>
                <w:i/>
                <w:color w:val="000000"/>
                <w:sz w:val="18"/>
                <w:szCs w:val="18"/>
              </w:rPr>
            </w:pPr>
            <w:r w:rsidRPr="00C95D12">
              <w:rPr>
                <w:b/>
                <w:i/>
                <w:color w:val="000000"/>
                <w:sz w:val="18"/>
                <w:szCs w:val="18"/>
              </w:rPr>
              <w:t>Financial Risk Factors - Continued</w:t>
            </w:r>
          </w:p>
        </w:tc>
      </w:tr>
    </w:tbl>
    <w:p w14:paraId="2EDB4FD1" w14:textId="77777777" w:rsidR="00C95D12" w:rsidRPr="007D05E1" w:rsidRDefault="00C95D12" w:rsidP="0013526B">
      <w:pPr>
        <w:rPr>
          <w:sz w:val="6"/>
          <w:szCs w:val="6"/>
        </w:rPr>
      </w:pPr>
    </w:p>
    <w:tbl>
      <w:tblPr>
        <w:tblW w:w="9197" w:type="dxa"/>
        <w:tblInd w:w="126" w:type="dxa"/>
        <w:tblLayout w:type="fixed"/>
        <w:tblLook w:val="0000" w:firstRow="0" w:lastRow="0" w:firstColumn="0" w:lastColumn="0" w:noHBand="0" w:noVBand="0"/>
      </w:tblPr>
      <w:tblGrid>
        <w:gridCol w:w="4598"/>
        <w:gridCol w:w="4599"/>
      </w:tblGrid>
      <w:tr w:rsidR="00133676" w:rsidRPr="0013526B" w14:paraId="0EE42BDB" w14:textId="77777777" w:rsidTr="009A292C">
        <w:tc>
          <w:tcPr>
            <w:tcW w:w="2500" w:type="pct"/>
            <w:tcBorders>
              <w:top w:val="nil"/>
              <w:left w:val="nil"/>
              <w:bottom w:val="nil"/>
              <w:right w:val="nil"/>
            </w:tcBorders>
          </w:tcPr>
          <w:p w14:paraId="56C56FF5" w14:textId="77777777" w:rsidR="00133676" w:rsidRPr="0013526B" w:rsidRDefault="00C2255B" w:rsidP="005F361E">
            <w:pPr>
              <w:pStyle w:val="ListParagraph"/>
              <w:numPr>
                <w:ilvl w:val="0"/>
                <w:numId w:val="14"/>
              </w:numPr>
              <w:tabs>
                <w:tab w:val="left" w:pos="567"/>
                <w:tab w:val="left" w:pos="601"/>
                <w:tab w:val="right" w:pos="9340"/>
                <w:tab w:val="right" w:pos="10080"/>
              </w:tabs>
              <w:rPr>
                <w:b/>
                <w:sz w:val="18"/>
                <w:szCs w:val="18"/>
              </w:rPr>
            </w:pPr>
            <w:r w:rsidRPr="0013526B">
              <w:rPr>
                <w:b/>
                <w:sz w:val="18"/>
                <w:szCs w:val="18"/>
              </w:rPr>
              <w:t>R</w:t>
            </w:r>
            <w:r w:rsidR="00133676" w:rsidRPr="0013526B">
              <w:rPr>
                <w:b/>
                <w:sz w:val="18"/>
                <w:szCs w:val="18"/>
              </w:rPr>
              <w:t>isiko Kredit</w:t>
            </w:r>
          </w:p>
        </w:tc>
        <w:tc>
          <w:tcPr>
            <w:tcW w:w="2500" w:type="pct"/>
            <w:tcBorders>
              <w:top w:val="nil"/>
              <w:left w:val="nil"/>
              <w:bottom w:val="nil"/>
              <w:right w:val="nil"/>
            </w:tcBorders>
          </w:tcPr>
          <w:p w14:paraId="6F64F3A6" w14:textId="77777777" w:rsidR="00133676" w:rsidRPr="0013526B" w:rsidRDefault="00133676" w:rsidP="00070D1F">
            <w:pPr>
              <w:pStyle w:val="ListParagraph"/>
              <w:numPr>
                <w:ilvl w:val="0"/>
                <w:numId w:val="250"/>
              </w:numPr>
              <w:tabs>
                <w:tab w:val="left" w:pos="574"/>
                <w:tab w:val="right" w:pos="9340"/>
                <w:tab w:val="right" w:pos="10080"/>
              </w:tabs>
              <w:rPr>
                <w:b/>
                <w:i/>
                <w:sz w:val="18"/>
                <w:szCs w:val="18"/>
              </w:rPr>
            </w:pPr>
            <w:r w:rsidRPr="0013526B">
              <w:rPr>
                <w:b/>
                <w:i/>
                <w:sz w:val="18"/>
                <w:szCs w:val="18"/>
              </w:rPr>
              <w:t>Credit Risk</w:t>
            </w:r>
          </w:p>
        </w:tc>
      </w:tr>
    </w:tbl>
    <w:p w14:paraId="62733078" w14:textId="77777777" w:rsidR="00133676" w:rsidRPr="007D05E1" w:rsidRDefault="00133676" w:rsidP="0013526B">
      <w:pPr>
        <w:rPr>
          <w:sz w:val="6"/>
          <w:szCs w:val="6"/>
        </w:rPr>
      </w:pPr>
    </w:p>
    <w:tbl>
      <w:tblPr>
        <w:tblW w:w="9197" w:type="dxa"/>
        <w:tblInd w:w="154" w:type="dxa"/>
        <w:tblLayout w:type="fixed"/>
        <w:tblLook w:val="0000" w:firstRow="0" w:lastRow="0" w:firstColumn="0" w:lastColumn="0" w:noHBand="0" w:noVBand="0"/>
      </w:tblPr>
      <w:tblGrid>
        <w:gridCol w:w="4598"/>
        <w:gridCol w:w="4599"/>
      </w:tblGrid>
      <w:tr w:rsidR="00133676" w:rsidRPr="0013526B" w14:paraId="797AF982" w14:textId="77777777" w:rsidTr="009A292C">
        <w:trPr>
          <w:trHeight w:val="205"/>
        </w:trPr>
        <w:tc>
          <w:tcPr>
            <w:tcW w:w="4598" w:type="dxa"/>
            <w:tcBorders>
              <w:top w:val="nil"/>
              <w:left w:val="nil"/>
              <w:bottom w:val="nil"/>
              <w:right w:val="nil"/>
            </w:tcBorders>
          </w:tcPr>
          <w:p w14:paraId="78176978" w14:textId="59F4D432" w:rsidR="00133676" w:rsidRPr="0013526B" w:rsidRDefault="00605E86" w:rsidP="0013526B">
            <w:pPr>
              <w:ind w:left="567" w:right="-57"/>
              <w:jc w:val="both"/>
              <w:rPr>
                <w:sz w:val="18"/>
                <w:szCs w:val="18"/>
              </w:rPr>
            </w:pPr>
            <w:r w:rsidRPr="0013526B">
              <w:rPr>
                <w:sz w:val="18"/>
                <w:szCs w:val="18"/>
              </w:rPr>
              <w:t>Kelompok Usaha</w:t>
            </w:r>
            <w:r w:rsidR="00133676" w:rsidRPr="0013526B">
              <w:rPr>
                <w:sz w:val="18"/>
                <w:szCs w:val="18"/>
              </w:rPr>
              <w:t xml:space="preserve"> tidak memiliki risiko yang signifikan terhadap risiko kredit. </w:t>
            </w:r>
            <w:r w:rsidRPr="0013526B">
              <w:rPr>
                <w:sz w:val="18"/>
                <w:szCs w:val="18"/>
              </w:rPr>
              <w:t>Kelompok Usaha</w:t>
            </w:r>
            <w:r w:rsidR="00133676" w:rsidRPr="0013526B">
              <w:rPr>
                <w:sz w:val="18"/>
                <w:szCs w:val="18"/>
              </w:rPr>
              <w:t xml:space="preserve"> memiliki kebijakan untuk memastikan keseluruhan penjualan</w:t>
            </w:r>
            <w:r w:rsidR="005B0F02">
              <w:rPr>
                <w:sz w:val="18"/>
                <w:szCs w:val="18"/>
              </w:rPr>
              <w:t xml:space="preserve"> jasa kesehatan </w:t>
            </w:r>
            <w:r w:rsidR="00133676" w:rsidRPr="0013526B">
              <w:rPr>
                <w:sz w:val="18"/>
                <w:szCs w:val="18"/>
              </w:rPr>
              <w:t xml:space="preserve">dilakukan kepada </w:t>
            </w:r>
            <w:r w:rsidR="005B0F02">
              <w:rPr>
                <w:sz w:val="18"/>
                <w:szCs w:val="18"/>
              </w:rPr>
              <w:t>pelanggan</w:t>
            </w:r>
            <w:r w:rsidR="00133676" w:rsidRPr="0013526B">
              <w:rPr>
                <w:sz w:val="18"/>
                <w:szCs w:val="18"/>
              </w:rPr>
              <w:t xml:space="preserve"> dengan reputasi dan riwayat kredit yang baik. Selain itu</w:t>
            </w:r>
            <w:r w:rsidR="00870FD0">
              <w:rPr>
                <w:sz w:val="18"/>
                <w:szCs w:val="18"/>
              </w:rPr>
              <w:t>.</w:t>
            </w:r>
            <w:r w:rsidR="00133676" w:rsidRPr="0013526B">
              <w:rPr>
                <w:sz w:val="18"/>
                <w:szCs w:val="18"/>
              </w:rPr>
              <w:t xml:space="preserve"> </w:t>
            </w:r>
            <w:r w:rsidRPr="0013526B">
              <w:rPr>
                <w:sz w:val="18"/>
                <w:szCs w:val="18"/>
              </w:rPr>
              <w:t>Kelompok Usaha</w:t>
            </w:r>
            <w:r w:rsidR="00133676" w:rsidRPr="0013526B">
              <w:rPr>
                <w:sz w:val="18"/>
                <w:szCs w:val="18"/>
              </w:rPr>
              <w:t xml:space="preserve"> senantiasa melakukan penelaahan berkala atas kredit pelanggan yang ada.</w:t>
            </w:r>
          </w:p>
        </w:tc>
        <w:tc>
          <w:tcPr>
            <w:tcW w:w="4599" w:type="dxa"/>
            <w:tcBorders>
              <w:top w:val="nil"/>
              <w:left w:val="nil"/>
              <w:bottom w:val="nil"/>
              <w:right w:val="nil"/>
            </w:tcBorders>
          </w:tcPr>
          <w:p w14:paraId="353626CB" w14:textId="03C3C99A" w:rsidR="00133676" w:rsidRPr="0013526B" w:rsidRDefault="00133676" w:rsidP="0013526B">
            <w:pPr>
              <w:ind w:left="567" w:right="-57"/>
              <w:jc w:val="both"/>
              <w:rPr>
                <w:i/>
                <w:color w:val="000000"/>
                <w:sz w:val="18"/>
                <w:szCs w:val="18"/>
              </w:rPr>
            </w:pPr>
            <w:r w:rsidRPr="0013526B">
              <w:rPr>
                <w:i/>
                <w:color w:val="000000"/>
                <w:sz w:val="18"/>
                <w:szCs w:val="18"/>
              </w:rPr>
              <w:t xml:space="preserve">The </w:t>
            </w:r>
            <w:r w:rsidR="00605E86" w:rsidRPr="0013526B">
              <w:rPr>
                <w:i/>
                <w:color w:val="000000"/>
                <w:sz w:val="18"/>
                <w:szCs w:val="18"/>
              </w:rPr>
              <w:t>Group</w:t>
            </w:r>
            <w:r w:rsidR="002C6A14">
              <w:rPr>
                <w:i/>
                <w:color w:val="000000"/>
                <w:sz w:val="18"/>
                <w:szCs w:val="18"/>
              </w:rPr>
              <w:t>s</w:t>
            </w:r>
            <w:r w:rsidRPr="0013526B">
              <w:rPr>
                <w:i/>
                <w:color w:val="000000"/>
                <w:sz w:val="18"/>
                <w:szCs w:val="18"/>
              </w:rPr>
              <w:t xml:space="preserve"> </w:t>
            </w:r>
            <w:r w:rsidR="00FF5CCC" w:rsidRPr="0013526B">
              <w:rPr>
                <w:i/>
                <w:color w:val="000000"/>
                <w:sz w:val="18"/>
                <w:szCs w:val="18"/>
              </w:rPr>
              <w:t>has</w:t>
            </w:r>
            <w:r w:rsidRPr="0013526B">
              <w:rPr>
                <w:i/>
                <w:color w:val="000000"/>
                <w:sz w:val="18"/>
                <w:szCs w:val="18"/>
              </w:rPr>
              <w:t xml:space="preserve"> no significant concentration of credit risk. They have policies in place to ensure that sales of </w:t>
            </w:r>
            <w:r w:rsidR="005B0F02">
              <w:rPr>
                <w:i/>
                <w:color w:val="000000"/>
                <w:sz w:val="18"/>
                <w:szCs w:val="18"/>
              </w:rPr>
              <w:t>health service</w:t>
            </w:r>
            <w:r w:rsidRPr="0013526B">
              <w:rPr>
                <w:i/>
                <w:color w:val="000000"/>
                <w:sz w:val="18"/>
                <w:szCs w:val="18"/>
              </w:rPr>
              <w:t>s are made to customers with an appropriate reputation and credit history. In addition</w:t>
            </w:r>
            <w:r w:rsidR="00870FD0">
              <w:rPr>
                <w:i/>
                <w:color w:val="000000"/>
                <w:sz w:val="18"/>
                <w:szCs w:val="18"/>
              </w:rPr>
              <w:t>.</w:t>
            </w:r>
            <w:r w:rsidRPr="0013526B">
              <w:rPr>
                <w:i/>
                <w:color w:val="000000"/>
                <w:sz w:val="18"/>
                <w:szCs w:val="18"/>
              </w:rPr>
              <w:t xml:space="preserve"> </w:t>
            </w:r>
            <w:proofErr w:type="gramStart"/>
            <w:r w:rsidRPr="0013526B">
              <w:rPr>
                <w:i/>
                <w:color w:val="000000"/>
                <w:sz w:val="18"/>
                <w:szCs w:val="18"/>
              </w:rPr>
              <w:t>the</w:t>
            </w:r>
            <w:proofErr w:type="gramEnd"/>
            <w:r w:rsidRPr="0013526B">
              <w:rPr>
                <w:i/>
                <w:color w:val="000000"/>
                <w:sz w:val="18"/>
                <w:szCs w:val="18"/>
              </w:rPr>
              <w:t xml:space="preserve"> </w:t>
            </w:r>
            <w:r w:rsidR="00605E86" w:rsidRPr="0013526B">
              <w:rPr>
                <w:i/>
                <w:color w:val="000000"/>
                <w:sz w:val="18"/>
                <w:szCs w:val="18"/>
              </w:rPr>
              <w:t>Group</w:t>
            </w:r>
            <w:r w:rsidR="002C6A14">
              <w:rPr>
                <w:i/>
                <w:color w:val="000000"/>
                <w:sz w:val="18"/>
                <w:szCs w:val="18"/>
              </w:rPr>
              <w:t>s</w:t>
            </w:r>
            <w:r w:rsidRPr="0013526B">
              <w:rPr>
                <w:i/>
                <w:color w:val="000000"/>
                <w:sz w:val="18"/>
                <w:szCs w:val="18"/>
              </w:rPr>
              <w:t xml:space="preserve"> always perform regular credit reviews of their existing customers.</w:t>
            </w:r>
          </w:p>
        </w:tc>
      </w:tr>
    </w:tbl>
    <w:p w14:paraId="7DC2E02A" w14:textId="77777777" w:rsidR="00133676" w:rsidRPr="007D05E1" w:rsidRDefault="00133676" w:rsidP="0013526B">
      <w:pPr>
        <w:rPr>
          <w:sz w:val="6"/>
          <w:szCs w:val="6"/>
        </w:rPr>
      </w:pPr>
    </w:p>
    <w:tbl>
      <w:tblPr>
        <w:tblW w:w="9197" w:type="dxa"/>
        <w:tblInd w:w="154" w:type="dxa"/>
        <w:tblLayout w:type="fixed"/>
        <w:tblLook w:val="0000" w:firstRow="0" w:lastRow="0" w:firstColumn="0" w:lastColumn="0" w:noHBand="0" w:noVBand="0"/>
      </w:tblPr>
      <w:tblGrid>
        <w:gridCol w:w="4598"/>
        <w:gridCol w:w="4599"/>
      </w:tblGrid>
      <w:tr w:rsidR="00770C9B" w:rsidRPr="0013526B" w14:paraId="7A5B9566" w14:textId="77777777" w:rsidTr="009A292C">
        <w:trPr>
          <w:trHeight w:val="238"/>
        </w:trPr>
        <w:tc>
          <w:tcPr>
            <w:tcW w:w="2500" w:type="pct"/>
            <w:tcBorders>
              <w:top w:val="nil"/>
              <w:left w:val="nil"/>
              <w:bottom w:val="nil"/>
              <w:right w:val="nil"/>
            </w:tcBorders>
          </w:tcPr>
          <w:p w14:paraId="381EB9D9" w14:textId="77777777" w:rsidR="00770C9B" w:rsidRPr="0013526B" w:rsidRDefault="00770C9B" w:rsidP="005F361E">
            <w:pPr>
              <w:pStyle w:val="ListParagraph"/>
              <w:numPr>
                <w:ilvl w:val="0"/>
                <w:numId w:val="14"/>
              </w:numPr>
              <w:tabs>
                <w:tab w:val="left" w:pos="567"/>
                <w:tab w:val="left" w:pos="601"/>
                <w:tab w:val="right" w:pos="9340"/>
                <w:tab w:val="right" w:pos="10080"/>
              </w:tabs>
              <w:rPr>
                <w:b/>
                <w:sz w:val="18"/>
                <w:szCs w:val="18"/>
              </w:rPr>
            </w:pPr>
            <w:r w:rsidRPr="0013526B">
              <w:rPr>
                <w:b/>
                <w:sz w:val="18"/>
                <w:szCs w:val="18"/>
              </w:rPr>
              <w:t xml:space="preserve">Risiko likuiditas </w:t>
            </w:r>
          </w:p>
        </w:tc>
        <w:tc>
          <w:tcPr>
            <w:tcW w:w="2500" w:type="pct"/>
            <w:tcBorders>
              <w:top w:val="nil"/>
              <w:left w:val="nil"/>
              <w:bottom w:val="nil"/>
              <w:right w:val="nil"/>
            </w:tcBorders>
          </w:tcPr>
          <w:p w14:paraId="0DCC86C9" w14:textId="77777777" w:rsidR="00770C9B" w:rsidRPr="0013526B" w:rsidRDefault="00770C9B" w:rsidP="00070D1F">
            <w:pPr>
              <w:pStyle w:val="ListParagraph"/>
              <w:numPr>
                <w:ilvl w:val="0"/>
                <w:numId w:val="250"/>
              </w:numPr>
              <w:tabs>
                <w:tab w:val="left" w:pos="574"/>
                <w:tab w:val="right" w:pos="9340"/>
                <w:tab w:val="right" w:pos="10080"/>
              </w:tabs>
              <w:rPr>
                <w:b/>
                <w:i/>
                <w:iCs/>
                <w:sz w:val="18"/>
                <w:szCs w:val="18"/>
              </w:rPr>
            </w:pPr>
            <w:r w:rsidRPr="0013526B">
              <w:rPr>
                <w:b/>
                <w:sz w:val="18"/>
                <w:szCs w:val="18"/>
              </w:rPr>
              <w:t xml:space="preserve"> </w:t>
            </w:r>
            <w:r w:rsidRPr="0013526B">
              <w:rPr>
                <w:b/>
                <w:i/>
                <w:sz w:val="18"/>
                <w:szCs w:val="18"/>
              </w:rPr>
              <w:t>Liquidity Risk</w:t>
            </w:r>
          </w:p>
        </w:tc>
      </w:tr>
    </w:tbl>
    <w:p w14:paraId="267F55BB" w14:textId="77777777" w:rsidR="00770C9B" w:rsidRPr="007D05E1" w:rsidRDefault="00770C9B" w:rsidP="0013526B">
      <w:pPr>
        <w:rPr>
          <w:sz w:val="6"/>
          <w:szCs w:val="6"/>
        </w:rPr>
      </w:pPr>
    </w:p>
    <w:tbl>
      <w:tblPr>
        <w:tblW w:w="9214" w:type="dxa"/>
        <w:tblInd w:w="126" w:type="dxa"/>
        <w:tblLook w:val="0000" w:firstRow="0" w:lastRow="0" w:firstColumn="0" w:lastColumn="0" w:noHBand="0" w:noVBand="0"/>
      </w:tblPr>
      <w:tblGrid>
        <w:gridCol w:w="4592"/>
        <w:gridCol w:w="4622"/>
      </w:tblGrid>
      <w:tr w:rsidR="003B0801" w:rsidRPr="0013526B" w14:paraId="34AC7139" w14:textId="77777777" w:rsidTr="009A292C">
        <w:trPr>
          <w:trHeight w:val="709"/>
        </w:trPr>
        <w:tc>
          <w:tcPr>
            <w:tcW w:w="4592" w:type="dxa"/>
            <w:tcBorders>
              <w:top w:val="nil"/>
              <w:left w:val="nil"/>
              <w:bottom w:val="nil"/>
              <w:right w:val="nil"/>
            </w:tcBorders>
          </w:tcPr>
          <w:p w14:paraId="7E089B28" w14:textId="40190BEB" w:rsidR="003B0801" w:rsidRPr="0013526B" w:rsidRDefault="003B0801" w:rsidP="003A79AF">
            <w:pPr>
              <w:ind w:left="567" w:right="-57"/>
              <w:jc w:val="both"/>
              <w:rPr>
                <w:sz w:val="18"/>
                <w:szCs w:val="18"/>
              </w:rPr>
            </w:pPr>
            <w:r w:rsidRPr="0013526B">
              <w:rPr>
                <w:sz w:val="18"/>
                <w:szCs w:val="18"/>
              </w:rPr>
              <w:t>Manajemen risiko likuiditas yang hati-hati mensyaratkan tersedianya kas dan setara kas yang memadai untuk memenuhi kebutuhan modal operasional.</w:t>
            </w:r>
          </w:p>
        </w:tc>
        <w:tc>
          <w:tcPr>
            <w:tcW w:w="4622" w:type="dxa"/>
            <w:tcBorders>
              <w:top w:val="nil"/>
              <w:left w:val="nil"/>
              <w:bottom w:val="nil"/>
              <w:right w:val="nil"/>
            </w:tcBorders>
          </w:tcPr>
          <w:p w14:paraId="2B353E86" w14:textId="1BEB0F9D" w:rsidR="003B0801" w:rsidRPr="005B0F02" w:rsidRDefault="003B0801" w:rsidP="002C6A14">
            <w:pPr>
              <w:ind w:left="567" w:right="-57"/>
              <w:jc w:val="both"/>
              <w:rPr>
                <w:i/>
                <w:color w:val="000000"/>
                <w:sz w:val="18"/>
                <w:szCs w:val="18"/>
              </w:rPr>
            </w:pPr>
            <w:r w:rsidRPr="0013526B">
              <w:rPr>
                <w:i/>
                <w:color w:val="000000"/>
                <w:sz w:val="18"/>
                <w:szCs w:val="18"/>
              </w:rPr>
              <w:t>Prudent</w:t>
            </w:r>
            <w:r w:rsidRPr="005B0F02">
              <w:rPr>
                <w:i/>
                <w:color w:val="000000"/>
                <w:sz w:val="18"/>
                <w:szCs w:val="18"/>
              </w:rPr>
              <w:t xml:space="preserve"> liquidity risk management implies maintaining </w:t>
            </w:r>
            <w:r w:rsidRPr="0013526B">
              <w:rPr>
                <w:i/>
                <w:color w:val="000000"/>
                <w:sz w:val="18"/>
                <w:szCs w:val="18"/>
              </w:rPr>
              <w:t>sufficient</w:t>
            </w:r>
            <w:r w:rsidRPr="005B0F02">
              <w:rPr>
                <w:i/>
                <w:color w:val="000000"/>
                <w:sz w:val="18"/>
                <w:szCs w:val="18"/>
              </w:rPr>
              <w:t xml:space="preserve"> cash and cash equivalents to meet operating capital requirements. </w:t>
            </w:r>
          </w:p>
        </w:tc>
      </w:tr>
      <w:tr w:rsidR="003B0801" w:rsidRPr="0013526B" w14:paraId="4D14A147" w14:textId="77777777" w:rsidTr="009A292C">
        <w:trPr>
          <w:trHeight w:val="132"/>
        </w:trPr>
        <w:tc>
          <w:tcPr>
            <w:tcW w:w="4592" w:type="dxa"/>
            <w:tcBorders>
              <w:top w:val="nil"/>
              <w:left w:val="nil"/>
              <w:bottom w:val="nil"/>
              <w:right w:val="nil"/>
            </w:tcBorders>
          </w:tcPr>
          <w:p w14:paraId="568069AD" w14:textId="77777777" w:rsidR="003B0801" w:rsidRPr="00E3194F" w:rsidRDefault="003B0801" w:rsidP="0013526B">
            <w:pPr>
              <w:ind w:left="743" w:right="-57"/>
              <w:jc w:val="both"/>
              <w:rPr>
                <w:sz w:val="8"/>
                <w:szCs w:val="10"/>
              </w:rPr>
            </w:pPr>
          </w:p>
        </w:tc>
        <w:tc>
          <w:tcPr>
            <w:tcW w:w="4622" w:type="dxa"/>
            <w:tcBorders>
              <w:top w:val="nil"/>
              <w:left w:val="nil"/>
              <w:bottom w:val="nil"/>
              <w:right w:val="nil"/>
            </w:tcBorders>
          </w:tcPr>
          <w:p w14:paraId="1763071D" w14:textId="5FE32480" w:rsidR="003B0801" w:rsidRPr="00E3194F" w:rsidRDefault="003B0801" w:rsidP="005B0F02">
            <w:pPr>
              <w:ind w:left="567" w:right="-57"/>
              <w:jc w:val="both"/>
              <w:rPr>
                <w:i/>
                <w:color w:val="000000"/>
                <w:sz w:val="8"/>
                <w:szCs w:val="10"/>
              </w:rPr>
            </w:pPr>
          </w:p>
        </w:tc>
      </w:tr>
      <w:tr w:rsidR="003B0801" w:rsidRPr="0013526B" w14:paraId="4CDE7270" w14:textId="77777777" w:rsidTr="009A292C">
        <w:trPr>
          <w:trHeight w:val="1814"/>
        </w:trPr>
        <w:tc>
          <w:tcPr>
            <w:tcW w:w="4592" w:type="dxa"/>
            <w:tcBorders>
              <w:top w:val="nil"/>
              <w:left w:val="nil"/>
              <w:bottom w:val="nil"/>
              <w:right w:val="nil"/>
            </w:tcBorders>
          </w:tcPr>
          <w:p w14:paraId="2B7BEE0C" w14:textId="77777777" w:rsidR="003B0801" w:rsidRPr="0013526B" w:rsidRDefault="003B0801" w:rsidP="0013526B">
            <w:pPr>
              <w:ind w:left="567" w:right="-57"/>
              <w:jc w:val="both"/>
              <w:rPr>
                <w:sz w:val="18"/>
                <w:szCs w:val="18"/>
              </w:rPr>
            </w:pPr>
            <w:r w:rsidRPr="0013526B">
              <w:rPr>
                <w:sz w:val="18"/>
                <w:szCs w:val="18"/>
              </w:rPr>
              <w:t>Kelompok Usaha dalam menjalankan kegiatan usahanya senantiasa menjaga fleksibilitas melalui dana kas dan setara kas yang memadai dan ketersediaan dana dalam bentuk kredit yang memadai. Manajemen mengelola risiko likuiditas dengan senantiasa memantau pekiraan cadangan likuiditas Kelompok Usaha berdasarkan arus kas yang diharapkan serta menelaah kebutuhan pembiayaan untuk modal kerja dan aktivitas pendanaan secara teratur dan pada saat yang dianggap perlu.</w:t>
            </w:r>
          </w:p>
        </w:tc>
        <w:tc>
          <w:tcPr>
            <w:tcW w:w="4622" w:type="dxa"/>
            <w:tcBorders>
              <w:top w:val="nil"/>
              <w:left w:val="nil"/>
              <w:bottom w:val="nil"/>
              <w:right w:val="nil"/>
            </w:tcBorders>
          </w:tcPr>
          <w:p w14:paraId="4C680040" w14:textId="3B8256E7" w:rsidR="003B0801" w:rsidRPr="005B0F02" w:rsidRDefault="003B0801" w:rsidP="0013526B">
            <w:pPr>
              <w:ind w:left="567" w:right="-57"/>
              <w:jc w:val="both"/>
              <w:rPr>
                <w:i/>
                <w:color w:val="000000"/>
                <w:sz w:val="18"/>
                <w:szCs w:val="18"/>
              </w:rPr>
            </w:pPr>
            <w:r w:rsidRPr="005B0F02">
              <w:rPr>
                <w:i/>
                <w:color w:val="000000"/>
                <w:sz w:val="18"/>
                <w:szCs w:val="18"/>
              </w:rPr>
              <w:t>In the regular conduct of business</w:t>
            </w:r>
            <w:r w:rsidR="00870FD0">
              <w:rPr>
                <w:i/>
                <w:color w:val="000000"/>
                <w:sz w:val="18"/>
                <w:szCs w:val="18"/>
              </w:rPr>
              <w:t>.</w:t>
            </w:r>
            <w:r w:rsidRPr="005B0F02">
              <w:rPr>
                <w:i/>
                <w:color w:val="000000"/>
                <w:sz w:val="18"/>
                <w:szCs w:val="18"/>
              </w:rPr>
              <w:t xml:space="preserve"> </w:t>
            </w:r>
            <w:proofErr w:type="gramStart"/>
            <w:r w:rsidRPr="005B0F02">
              <w:rPr>
                <w:i/>
                <w:color w:val="000000"/>
                <w:sz w:val="18"/>
                <w:szCs w:val="18"/>
              </w:rPr>
              <w:t>the</w:t>
            </w:r>
            <w:proofErr w:type="gramEnd"/>
            <w:r w:rsidRPr="005B0F02">
              <w:rPr>
                <w:i/>
                <w:color w:val="000000"/>
                <w:sz w:val="18"/>
                <w:szCs w:val="18"/>
              </w:rPr>
              <w:t xml:space="preserve"> Group</w:t>
            </w:r>
            <w:r w:rsidR="002C6A14">
              <w:rPr>
                <w:i/>
                <w:color w:val="000000"/>
                <w:sz w:val="18"/>
                <w:szCs w:val="18"/>
              </w:rPr>
              <w:t>s</w:t>
            </w:r>
            <w:r w:rsidRPr="005B0F02">
              <w:rPr>
                <w:i/>
                <w:color w:val="000000"/>
                <w:sz w:val="18"/>
                <w:szCs w:val="18"/>
              </w:rPr>
              <w:t xml:space="preserve"> always maintain flexibility through adequate cash and cash equivalent funds and availability of funding in the form of adequate credit lines. Management manages the liquidity risks by continuously monitoring the rolling forecasts of the Group</w:t>
            </w:r>
            <w:r w:rsidR="002C6A14">
              <w:rPr>
                <w:i/>
                <w:color w:val="000000"/>
                <w:sz w:val="18"/>
                <w:szCs w:val="18"/>
              </w:rPr>
              <w:t>s</w:t>
            </w:r>
            <w:r w:rsidRPr="005B0F02">
              <w:rPr>
                <w:i/>
                <w:color w:val="000000"/>
                <w:sz w:val="18"/>
                <w:szCs w:val="18"/>
              </w:rPr>
              <w:t xml:space="preserve"> liquidity reserve on the basis of expected cash flows and reviewing financing requirements for working capital and funding activities on a regular basis and where deemed necessary.</w:t>
            </w:r>
          </w:p>
        </w:tc>
      </w:tr>
    </w:tbl>
    <w:p w14:paraId="527BA10E" w14:textId="77777777" w:rsidR="007D05E1" w:rsidRPr="00E3194F" w:rsidRDefault="007D05E1">
      <w:pPr>
        <w:rPr>
          <w:sz w:val="18"/>
          <w:szCs w:val="18"/>
        </w:rPr>
      </w:pPr>
    </w:p>
    <w:tbl>
      <w:tblPr>
        <w:tblW w:w="9197" w:type="dxa"/>
        <w:tblInd w:w="126" w:type="dxa"/>
        <w:tblLook w:val="0000" w:firstRow="0" w:lastRow="0" w:firstColumn="0" w:lastColumn="0" w:noHBand="0" w:noVBand="0"/>
      </w:tblPr>
      <w:tblGrid>
        <w:gridCol w:w="4598"/>
        <w:gridCol w:w="4599"/>
      </w:tblGrid>
      <w:tr w:rsidR="003F24C1" w:rsidRPr="0013526B" w14:paraId="0E039C0B" w14:textId="77777777" w:rsidTr="009A292C">
        <w:trPr>
          <w:trHeight w:val="205"/>
        </w:trPr>
        <w:tc>
          <w:tcPr>
            <w:tcW w:w="4598" w:type="dxa"/>
            <w:tcBorders>
              <w:top w:val="nil"/>
              <w:left w:val="nil"/>
              <w:bottom w:val="nil"/>
              <w:right w:val="nil"/>
            </w:tcBorders>
          </w:tcPr>
          <w:p w14:paraId="7DFD5CB6" w14:textId="67927515" w:rsidR="003F24C1" w:rsidRPr="00C95D12" w:rsidRDefault="003F24C1" w:rsidP="00070D1F">
            <w:pPr>
              <w:numPr>
                <w:ilvl w:val="0"/>
                <w:numId w:val="409"/>
              </w:numPr>
              <w:ind w:left="349" w:right="-57" w:hanging="349"/>
              <w:jc w:val="both"/>
              <w:rPr>
                <w:b/>
                <w:sz w:val="18"/>
                <w:szCs w:val="18"/>
              </w:rPr>
            </w:pPr>
            <w:r w:rsidRPr="00C95D12">
              <w:rPr>
                <w:b/>
                <w:sz w:val="18"/>
                <w:szCs w:val="18"/>
              </w:rPr>
              <w:br w:type="page"/>
            </w:r>
            <w:r>
              <w:rPr>
                <w:b/>
                <w:sz w:val="18"/>
                <w:szCs w:val="18"/>
              </w:rPr>
              <w:t>AKTIVITAS INVESTASI NON KAS</w:t>
            </w:r>
          </w:p>
        </w:tc>
        <w:tc>
          <w:tcPr>
            <w:tcW w:w="4599" w:type="dxa"/>
            <w:tcBorders>
              <w:top w:val="nil"/>
              <w:left w:val="nil"/>
              <w:bottom w:val="nil"/>
              <w:right w:val="nil"/>
            </w:tcBorders>
          </w:tcPr>
          <w:p w14:paraId="7BDAA547" w14:textId="6A3F5282" w:rsidR="003F24C1" w:rsidRPr="00C95D12" w:rsidRDefault="003F24C1" w:rsidP="00070D1F">
            <w:pPr>
              <w:numPr>
                <w:ilvl w:val="0"/>
                <w:numId w:val="410"/>
              </w:numPr>
              <w:ind w:left="327" w:right="-57"/>
              <w:jc w:val="both"/>
              <w:rPr>
                <w:b/>
                <w:i/>
                <w:color w:val="000000"/>
                <w:sz w:val="18"/>
                <w:szCs w:val="18"/>
              </w:rPr>
            </w:pPr>
            <w:r>
              <w:rPr>
                <w:b/>
                <w:i/>
                <w:color w:val="000000"/>
                <w:sz w:val="18"/>
                <w:szCs w:val="18"/>
              </w:rPr>
              <w:t>NON CAH INVESTING ACTIVITIES</w:t>
            </w:r>
          </w:p>
        </w:tc>
      </w:tr>
    </w:tbl>
    <w:p w14:paraId="63A001C0" w14:textId="77777777" w:rsidR="00D76D68" w:rsidRPr="00E3194F" w:rsidRDefault="00D76D68">
      <w:pPr>
        <w:rPr>
          <w:sz w:val="18"/>
          <w:szCs w:val="18"/>
        </w:rPr>
      </w:pPr>
    </w:p>
    <w:tbl>
      <w:tblPr>
        <w:tblW w:w="8930" w:type="dxa"/>
        <w:tblInd w:w="350" w:type="dxa"/>
        <w:tblCellMar>
          <w:left w:w="0" w:type="dxa"/>
          <w:right w:w="0" w:type="dxa"/>
        </w:tblCellMar>
        <w:tblLook w:val="01E0" w:firstRow="1" w:lastRow="1" w:firstColumn="1" w:lastColumn="1" w:noHBand="0" w:noVBand="0"/>
      </w:tblPr>
      <w:tblGrid>
        <w:gridCol w:w="2766"/>
        <w:gridCol w:w="1656"/>
        <w:gridCol w:w="95"/>
        <w:gridCol w:w="1645"/>
        <w:gridCol w:w="2768"/>
      </w:tblGrid>
      <w:tr w:rsidR="003F24C1" w:rsidRPr="0013526B" w14:paraId="3E99FB8B" w14:textId="77777777" w:rsidTr="009A292C">
        <w:trPr>
          <w:trHeight w:val="20"/>
        </w:trPr>
        <w:tc>
          <w:tcPr>
            <w:tcW w:w="2766" w:type="dxa"/>
          </w:tcPr>
          <w:p w14:paraId="28A708E5" w14:textId="77777777" w:rsidR="003F24C1" w:rsidRPr="0013526B" w:rsidRDefault="003F24C1" w:rsidP="001775FB">
            <w:pPr>
              <w:ind w:left="284"/>
              <w:rPr>
                <w:sz w:val="18"/>
                <w:szCs w:val="18"/>
                <w:u w:val="single"/>
              </w:rPr>
            </w:pPr>
          </w:p>
        </w:tc>
        <w:tc>
          <w:tcPr>
            <w:tcW w:w="1656" w:type="dxa"/>
            <w:tcBorders>
              <w:bottom w:val="single" w:sz="4" w:space="0" w:color="auto"/>
            </w:tcBorders>
            <w:vAlign w:val="bottom"/>
          </w:tcPr>
          <w:p w14:paraId="2ECD2FED" w14:textId="77777777" w:rsidR="002453C4" w:rsidRDefault="002453C4" w:rsidP="001775FB">
            <w:pPr>
              <w:tabs>
                <w:tab w:val="left" w:pos="1390"/>
              </w:tabs>
              <w:ind w:left="28" w:right="57"/>
              <w:jc w:val="center"/>
              <w:rPr>
                <w:b/>
                <w:sz w:val="18"/>
                <w:szCs w:val="18"/>
              </w:rPr>
            </w:pPr>
            <w:r>
              <w:rPr>
                <w:b/>
                <w:sz w:val="18"/>
                <w:szCs w:val="18"/>
              </w:rPr>
              <w:t>31 Maret/</w:t>
            </w:r>
          </w:p>
          <w:p w14:paraId="2B0D0BFD" w14:textId="6B42BAB3" w:rsidR="003F24C1" w:rsidRPr="0013526B" w:rsidRDefault="002453C4" w:rsidP="002453C4">
            <w:pPr>
              <w:tabs>
                <w:tab w:val="left" w:pos="1390"/>
              </w:tabs>
              <w:ind w:left="28" w:right="57"/>
              <w:jc w:val="center"/>
              <w:rPr>
                <w:b/>
                <w:sz w:val="18"/>
                <w:szCs w:val="18"/>
              </w:rPr>
            </w:pPr>
            <w:r>
              <w:rPr>
                <w:b/>
                <w:sz w:val="18"/>
                <w:szCs w:val="18"/>
              </w:rPr>
              <w:t>March 31</w:t>
            </w:r>
            <w:r w:rsidR="00305CA0">
              <w:rPr>
                <w:b/>
                <w:sz w:val="18"/>
                <w:szCs w:val="18"/>
              </w:rPr>
              <w:t>.</w:t>
            </w:r>
            <w:r>
              <w:rPr>
                <w:b/>
                <w:sz w:val="18"/>
                <w:szCs w:val="18"/>
              </w:rPr>
              <w:t xml:space="preserve"> 2020</w:t>
            </w:r>
          </w:p>
        </w:tc>
        <w:tc>
          <w:tcPr>
            <w:tcW w:w="95" w:type="dxa"/>
          </w:tcPr>
          <w:p w14:paraId="2E91B7BC" w14:textId="77777777" w:rsidR="003F24C1" w:rsidRPr="0013526B" w:rsidRDefault="003F24C1" w:rsidP="001775FB">
            <w:pPr>
              <w:tabs>
                <w:tab w:val="left" w:pos="1390"/>
              </w:tabs>
              <w:ind w:left="28" w:right="28"/>
              <w:jc w:val="center"/>
              <w:rPr>
                <w:b/>
                <w:sz w:val="18"/>
                <w:szCs w:val="18"/>
              </w:rPr>
            </w:pPr>
          </w:p>
        </w:tc>
        <w:tc>
          <w:tcPr>
            <w:tcW w:w="1645" w:type="dxa"/>
            <w:tcBorders>
              <w:bottom w:val="single" w:sz="4" w:space="0" w:color="auto"/>
            </w:tcBorders>
            <w:vAlign w:val="bottom"/>
          </w:tcPr>
          <w:p w14:paraId="3689BB68" w14:textId="77777777" w:rsidR="003F24C1" w:rsidRDefault="002453C4" w:rsidP="001775FB">
            <w:pPr>
              <w:tabs>
                <w:tab w:val="left" w:pos="1390"/>
              </w:tabs>
              <w:ind w:left="28" w:right="57"/>
              <w:jc w:val="center"/>
              <w:rPr>
                <w:b/>
                <w:sz w:val="18"/>
                <w:szCs w:val="18"/>
              </w:rPr>
            </w:pPr>
            <w:r>
              <w:rPr>
                <w:b/>
                <w:sz w:val="18"/>
                <w:szCs w:val="18"/>
              </w:rPr>
              <w:t>31 Desember/</w:t>
            </w:r>
          </w:p>
          <w:p w14:paraId="2742846F" w14:textId="200E975B" w:rsidR="002453C4" w:rsidRPr="0013526B" w:rsidRDefault="002453C4" w:rsidP="001775FB">
            <w:pPr>
              <w:tabs>
                <w:tab w:val="left" w:pos="1390"/>
              </w:tabs>
              <w:ind w:left="28" w:right="57"/>
              <w:jc w:val="center"/>
              <w:rPr>
                <w:b/>
                <w:sz w:val="18"/>
                <w:szCs w:val="18"/>
              </w:rPr>
            </w:pPr>
            <w:r>
              <w:rPr>
                <w:b/>
                <w:sz w:val="18"/>
                <w:szCs w:val="18"/>
              </w:rPr>
              <w:t>December 31</w:t>
            </w:r>
            <w:r w:rsidR="00305CA0">
              <w:rPr>
                <w:b/>
                <w:sz w:val="18"/>
                <w:szCs w:val="18"/>
              </w:rPr>
              <w:t>.</w:t>
            </w:r>
            <w:r>
              <w:rPr>
                <w:b/>
                <w:sz w:val="18"/>
                <w:szCs w:val="18"/>
              </w:rPr>
              <w:t xml:space="preserve"> 2019</w:t>
            </w:r>
          </w:p>
        </w:tc>
        <w:tc>
          <w:tcPr>
            <w:tcW w:w="2768" w:type="dxa"/>
          </w:tcPr>
          <w:p w14:paraId="3DDF67B2" w14:textId="77777777" w:rsidR="003F24C1" w:rsidRPr="0013526B" w:rsidRDefault="003F24C1" w:rsidP="001775FB">
            <w:pPr>
              <w:ind w:left="43" w:right="216"/>
              <w:jc w:val="center"/>
              <w:rPr>
                <w:i/>
                <w:sz w:val="18"/>
                <w:szCs w:val="18"/>
                <w:u w:val="single"/>
              </w:rPr>
            </w:pPr>
          </w:p>
        </w:tc>
      </w:tr>
      <w:tr w:rsidR="003F24C1" w:rsidRPr="0013526B" w14:paraId="0DF6028B" w14:textId="77777777" w:rsidTr="000E3B9B">
        <w:trPr>
          <w:trHeight w:val="20"/>
        </w:trPr>
        <w:tc>
          <w:tcPr>
            <w:tcW w:w="2766" w:type="dxa"/>
          </w:tcPr>
          <w:p w14:paraId="3453E235" w14:textId="77777777" w:rsidR="003F24C1" w:rsidRPr="00E3194F" w:rsidRDefault="003F24C1" w:rsidP="001775FB">
            <w:pPr>
              <w:ind w:left="284"/>
              <w:rPr>
                <w:sz w:val="10"/>
                <w:szCs w:val="10"/>
                <w:u w:val="single"/>
              </w:rPr>
            </w:pPr>
          </w:p>
        </w:tc>
        <w:tc>
          <w:tcPr>
            <w:tcW w:w="1656" w:type="dxa"/>
            <w:vAlign w:val="bottom"/>
          </w:tcPr>
          <w:p w14:paraId="1119D583" w14:textId="77777777" w:rsidR="003F24C1" w:rsidRPr="00E3194F" w:rsidRDefault="003F24C1" w:rsidP="001775FB">
            <w:pPr>
              <w:tabs>
                <w:tab w:val="left" w:pos="1390"/>
              </w:tabs>
              <w:ind w:left="28" w:right="57"/>
              <w:jc w:val="right"/>
              <w:rPr>
                <w:b/>
                <w:sz w:val="10"/>
                <w:szCs w:val="10"/>
              </w:rPr>
            </w:pPr>
          </w:p>
        </w:tc>
        <w:tc>
          <w:tcPr>
            <w:tcW w:w="95" w:type="dxa"/>
            <w:vAlign w:val="bottom"/>
          </w:tcPr>
          <w:p w14:paraId="2720B64B" w14:textId="77777777" w:rsidR="003F24C1" w:rsidRPr="00E3194F" w:rsidRDefault="003F24C1" w:rsidP="001775FB">
            <w:pPr>
              <w:tabs>
                <w:tab w:val="left" w:pos="1390"/>
              </w:tabs>
              <w:ind w:left="28" w:right="28"/>
              <w:jc w:val="right"/>
              <w:rPr>
                <w:b/>
                <w:sz w:val="10"/>
                <w:szCs w:val="10"/>
              </w:rPr>
            </w:pPr>
          </w:p>
        </w:tc>
        <w:tc>
          <w:tcPr>
            <w:tcW w:w="1645" w:type="dxa"/>
            <w:tcBorders>
              <w:top w:val="single" w:sz="4" w:space="0" w:color="auto"/>
            </w:tcBorders>
            <w:vAlign w:val="bottom"/>
          </w:tcPr>
          <w:p w14:paraId="2CFE1B76" w14:textId="77777777" w:rsidR="003F24C1" w:rsidRPr="00E3194F" w:rsidRDefault="003F24C1" w:rsidP="001775FB">
            <w:pPr>
              <w:tabs>
                <w:tab w:val="left" w:pos="1390"/>
              </w:tabs>
              <w:ind w:left="28" w:right="57"/>
              <w:jc w:val="right"/>
              <w:rPr>
                <w:b/>
                <w:sz w:val="10"/>
                <w:szCs w:val="10"/>
              </w:rPr>
            </w:pPr>
          </w:p>
        </w:tc>
        <w:tc>
          <w:tcPr>
            <w:tcW w:w="2768" w:type="dxa"/>
          </w:tcPr>
          <w:p w14:paraId="2B704AE5" w14:textId="77777777" w:rsidR="003F24C1" w:rsidRPr="00E3194F" w:rsidRDefault="003F24C1" w:rsidP="001775FB">
            <w:pPr>
              <w:ind w:left="43" w:right="216"/>
              <w:jc w:val="center"/>
              <w:rPr>
                <w:i/>
                <w:sz w:val="10"/>
                <w:szCs w:val="10"/>
                <w:u w:val="single"/>
              </w:rPr>
            </w:pPr>
          </w:p>
        </w:tc>
      </w:tr>
      <w:tr w:rsidR="002453C4" w:rsidRPr="004E4129" w14:paraId="1BFDA17F" w14:textId="77777777" w:rsidTr="000E3B9B">
        <w:trPr>
          <w:trHeight w:val="20"/>
        </w:trPr>
        <w:tc>
          <w:tcPr>
            <w:tcW w:w="2766" w:type="dxa"/>
            <w:vAlign w:val="bottom"/>
          </w:tcPr>
          <w:p w14:paraId="7D3C0D62" w14:textId="77777777" w:rsidR="002453C4" w:rsidRPr="008109D0" w:rsidRDefault="002453C4" w:rsidP="002453C4">
            <w:pPr>
              <w:ind w:left="284"/>
              <w:rPr>
                <w:sz w:val="18"/>
                <w:szCs w:val="18"/>
              </w:rPr>
            </w:pPr>
            <w:r w:rsidRPr="008109D0">
              <w:rPr>
                <w:sz w:val="18"/>
                <w:szCs w:val="18"/>
              </w:rPr>
              <w:t xml:space="preserve">Penambahan aset tetap yang </w:t>
            </w:r>
          </w:p>
          <w:p w14:paraId="6E8BA637" w14:textId="77777777" w:rsidR="002453C4" w:rsidRPr="008109D0" w:rsidRDefault="002453C4" w:rsidP="002453C4">
            <w:pPr>
              <w:ind w:left="359" w:firstLine="47"/>
              <w:rPr>
                <w:sz w:val="18"/>
                <w:szCs w:val="18"/>
              </w:rPr>
            </w:pPr>
            <w:r w:rsidRPr="008109D0">
              <w:rPr>
                <w:sz w:val="18"/>
                <w:szCs w:val="18"/>
              </w:rPr>
              <w:t xml:space="preserve">berasal dari aset dalam </w:t>
            </w:r>
          </w:p>
          <w:p w14:paraId="70B2F223" w14:textId="03DA7373" w:rsidR="002453C4" w:rsidRPr="008109D0" w:rsidRDefault="002453C4" w:rsidP="002453C4">
            <w:pPr>
              <w:ind w:left="406"/>
              <w:rPr>
                <w:sz w:val="16"/>
                <w:szCs w:val="16"/>
                <w:u w:val="single"/>
              </w:rPr>
            </w:pPr>
            <w:r w:rsidRPr="008109D0">
              <w:rPr>
                <w:sz w:val="18"/>
                <w:szCs w:val="18"/>
              </w:rPr>
              <w:t>penyelesaian</w:t>
            </w:r>
          </w:p>
        </w:tc>
        <w:tc>
          <w:tcPr>
            <w:tcW w:w="1656" w:type="dxa"/>
            <w:tcBorders>
              <w:bottom w:val="single" w:sz="4" w:space="0" w:color="auto"/>
            </w:tcBorders>
            <w:vAlign w:val="bottom"/>
          </w:tcPr>
          <w:p w14:paraId="1C000BC6" w14:textId="3D451E0E" w:rsidR="002453C4" w:rsidRPr="008109D0" w:rsidRDefault="00C30263" w:rsidP="002453C4">
            <w:pPr>
              <w:tabs>
                <w:tab w:val="left" w:pos="1390"/>
              </w:tabs>
              <w:ind w:left="28" w:right="57"/>
              <w:jc w:val="right"/>
              <w:rPr>
                <w:b/>
                <w:sz w:val="16"/>
                <w:szCs w:val="16"/>
              </w:rPr>
            </w:pPr>
            <w:r>
              <w:rPr>
                <w:b/>
                <w:sz w:val="16"/>
                <w:szCs w:val="16"/>
              </w:rPr>
              <w:t>-</w:t>
            </w:r>
          </w:p>
        </w:tc>
        <w:tc>
          <w:tcPr>
            <w:tcW w:w="95" w:type="dxa"/>
            <w:vAlign w:val="bottom"/>
          </w:tcPr>
          <w:p w14:paraId="48D06380" w14:textId="77777777" w:rsidR="002453C4" w:rsidRPr="008109D0" w:rsidRDefault="002453C4" w:rsidP="002453C4">
            <w:pPr>
              <w:tabs>
                <w:tab w:val="left" w:pos="1390"/>
              </w:tabs>
              <w:ind w:left="28" w:right="28"/>
              <w:jc w:val="right"/>
              <w:rPr>
                <w:b/>
                <w:sz w:val="16"/>
                <w:szCs w:val="16"/>
              </w:rPr>
            </w:pPr>
          </w:p>
        </w:tc>
        <w:tc>
          <w:tcPr>
            <w:tcW w:w="1645" w:type="dxa"/>
            <w:tcBorders>
              <w:bottom w:val="single" w:sz="4" w:space="0" w:color="auto"/>
            </w:tcBorders>
            <w:vAlign w:val="bottom"/>
          </w:tcPr>
          <w:p w14:paraId="7D8604A8" w14:textId="1175CDCC" w:rsidR="002453C4" w:rsidRPr="008109D0" w:rsidRDefault="002453C4" w:rsidP="002453C4">
            <w:pPr>
              <w:tabs>
                <w:tab w:val="left" w:pos="1390"/>
              </w:tabs>
              <w:ind w:left="28" w:right="57"/>
              <w:jc w:val="right"/>
              <w:rPr>
                <w:b/>
                <w:sz w:val="16"/>
                <w:szCs w:val="16"/>
              </w:rPr>
            </w:pPr>
            <w:r w:rsidRPr="008109D0">
              <w:rPr>
                <w:sz w:val="18"/>
                <w:szCs w:val="18"/>
              </w:rPr>
              <w:t>324.038.265.525</w:t>
            </w:r>
          </w:p>
        </w:tc>
        <w:tc>
          <w:tcPr>
            <w:tcW w:w="2768" w:type="dxa"/>
            <w:vAlign w:val="bottom"/>
          </w:tcPr>
          <w:p w14:paraId="4D23C006" w14:textId="77777777" w:rsidR="002453C4" w:rsidRPr="008109D0" w:rsidRDefault="002453C4" w:rsidP="002453C4">
            <w:pPr>
              <w:ind w:right="55"/>
              <w:jc w:val="right"/>
              <w:rPr>
                <w:i/>
                <w:sz w:val="18"/>
                <w:szCs w:val="18"/>
              </w:rPr>
            </w:pPr>
            <w:r w:rsidRPr="008109D0">
              <w:rPr>
                <w:i/>
                <w:sz w:val="18"/>
                <w:szCs w:val="18"/>
              </w:rPr>
              <w:t xml:space="preserve">Additional fixed assets from </w:t>
            </w:r>
          </w:p>
          <w:p w14:paraId="196D9519" w14:textId="13EB8396" w:rsidR="002453C4" w:rsidRPr="008109D0" w:rsidRDefault="002453C4" w:rsidP="002453C4">
            <w:pPr>
              <w:ind w:right="293"/>
              <w:jc w:val="right"/>
              <w:rPr>
                <w:i/>
                <w:sz w:val="18"/>
                <w:szCs w:val="18"/>
              </w:rPr>
            </w:pPr>
            <w:r w:rsidRPr="008109D0">
              <w:rPr>
                <w:i/>
                <w:sz w:val="18"/>
                <w:szCs w:val="18"/>
              </w:rPr>
              <w:t>construction in progress</w:t>
            </w:r>
          </w:p>
        </w:tc>
      </w:tr>
      <w:tr w:rsidR="002453C4" w:rsidRPr="004E4129" w14:paraId="0C7A3EA0" w14:textId="77777777" w:rsidTr="000E3B9B">
        <w:trPr>
          <w:trHeight w:val="20"/>
        </w:trPr>
        <w:tc>
          <w:tcPr>
            <w:tcW w:w="2766" w:type="dxa"/>
          </w:tcPr>
          <w:p w14:paraId="3DDFA3F6" w14:textId="77777777" w:rsidR="002453C4" w:rsidRPr="008109D0" w:rsidRDefault="002453C4" w:rsidP="002453C4">
            <w:pPr>
              <w:ind w:left="284"/>
              <w:rPr>
                <w:sz w:val="10"/>
                <w:szCs w:val="10"/>
                <w:u w:val="single"/>
              </w:rPr>
            </w:pPr>
          </w:p>
        </w:tc>
        <w:tc>
          <w:tcPr>
            <w:tcW w:w="1656" w:type="dxa"/>
            <w:tcBorders>
              <w:top w:val="single" w:sz="4" w:space="0" w:color="auto"/>
            </w:tcBorders>
            <w:vAlign w:val="bottom"/>
          </w:tcPr>
          <w:p w14:paraId="47A1DCAC" w14:textId="77777777" w:rsidR="002453C4" w:rsidRPr="008109D0" w:rsidRDefault="002453C4" w:rsidP="002453C4">
            <w:pPr>
              <w:tabs>
                <w:tab w:val="left" w:pos="1390"/>
              </w:tabs>
              <w:ind w:left="28" w:right="57"/>
              <w:jc w:val="right"/>
              <w:rPr>
                <w:b/>
                <w:sz w:val="10"/>
                <w:szCs w:val="10"/>
              </w:rPr>
            </w:pPr>
          </w:p>
        </w:tc>
        <w:tc>
          <w:tcPr>
            <w:tcW w:w="95" w:type="dxa"/>
            <w:vAlign w:val="bottom"/>
          </w:tcPr>
          <w:p w14:paraId="279B9731" w14:textId="77777777" w:rsidR="002453C4" w:rsidRPr="008109D0" w:rsidRDefault="002453C4" w:rsidP="002453C4">
            <w:pPr>
              <w:tabs>
                <w:tab w:val="left" w:pos="1390"/>
              </w:tabs>
              <w:ind w:left="28" w:right="28"/>
              <w:jc w:val="right"/>
              <w:rPr>
                <w:b/>
                <w:sz w:val="10"/>
                <w:szCs w:val="10"/>
              </w:rPr>
            </w:pPr>
          </w:p>
        </w:tc>
        <w:tc>
          <w:tcPr>
            <w:tcW w:w="1645" w:type="dxa"/>
            <w:tcBorders>
              <w:top w:val="single" w:sz="4" w:space="0" w:color="auto"/>
            </w:tcBorders>
            <w:vAlign w:val="bottom"/>
          </w:tcPr>
          <w:p w14:paraId="1703EB13" w14:textId="77777777" w:rsidR="002453C4" w:rsidRPr="008109D0" w:rsidRDefault="002453C4" w:rsidP="002453C4">
            <w:pPr>
              <w:tabs>
                <w:tab w:val="left" w:pos="1390"/>
              </w:tabs>
              <w:ind w:left="28" w:right="57"/>
              <w:jc w:val="right"/>
              <w:rPr>
                <w:b/>
                <w:sz w:val="10"/>
                <w:szCs w:val="10"/>
              </w:rPr>
            </w:pPr>
          </w:p>
        </w:tc>
        <w:tc>
          <w:tcPr>
            <w:tcW w:w="2768" w:type="dxa"/>
          </w:tcPr>
          <w:p w14:paraId="0C5DFB31" w14:textId="77777777" w:rsidR="002453C4" w:rsidRPr="008109D0" w:rsidRDefault="002453C4" w:rsidP="002453C4">
            <w:pPr>
              <w:ind w:left="43" w:right="216"/>
              <w:jc w:val="center"/>
              <w:rPr>
                <w:i/>
                <w:sz w:val="10"/>
                <w:szCs w:val="10"/>
                <w:u w:val="single"/>
              </w:rPr>
            </w:pPr>
          </w:p>
        </w:tc>
      </w:tr>
      <w:tr w:rsidR="002453C4" w:rsidRPr="0013526B" w14:paraId="2C9225D4" w14:textId="77777777" w:rsidTr="00E42F2E">
        <w:trPr>
          <w:trHeight w:val="20"/>
        </w:trPr>
        <w:tc>
          <w:tcPr>
            <w:tcW w:w="2766" w:type="dxa"/>
          </w:tcPr>
          <w:p w14:paraId="31CC4FAF" w14:textId="69541188" w:rsidR="002453C4" w:rsidRPr="008109D0" w:rsidRDefault="002453C4" w:rsidP="002453C4">
            <w:pPr>
              <w:ind w:left="406" w:hanging="112"/>
              <w:rPr>
                <w:sz w:val="18"/>
                <w:szCs w:val="18"/>
              </w:rPr>
            </w:pPr>
            <w:r w:rsidRPr="008109D0">
              <w:rPr>
                <w:sz w:val="18"/>
                <w:szCs w:val="18"/>
              </w:rPr>
              <w:t>Penambahan aset tetap yang berasal dari uang muka pembelian</w:t>
            </w:r>
          </w:p>
        </w:tc>
        <w:tc>
          <w:tcPr>
            <w:tcW w:w="1656" w:type="dxa"/>
            <w:tcBorders>
              <w:bottom w:val="double" w:sz="4" w:space="0" w:color="auto"/>
            </w:tcBorders>
            <w:shd w:val="clear" w:color="auto" w:fill="auto"/>
            <w:vAlign w:val="bottom"/>
          </w:tcPr>
          <w:p w14:paraId="0619C777" w14:textId="1F9EDDDF" w:rsidR="002453C4" w:rsidRPr="008109D0" w:rsidRDefault="00C30263" w:rsidP="002453C4">
            <w:pPr>
              <w:tabs>
                <w:tab w:val="left" w:pos="1390"/>
              </w:tabs>
              <w:ind w:left="28" w:right="57"/>
              <w:jc w:val="right"/>
              <w:rPr>
                <w:sz w:val="18"/>
                <w:szCs w:val="18"/>
              </w:rPr>
            </w:pPr>
            <w:r>
              <w:rPr>
                <w:sz w:val="18"/>
                <w:szCs w:val="18"/>
              </w:rPr>
              <w:t>-</w:t>
            </w:r>
          </w:p>
        </w:tc>
        <w:tc>
          <w:tcPr>
            <w:tcW w:w="95" w:type="dxa"/>
            <w:vAlign w:val="bottom"/>
          </w:tcPr>
          <w:p w14:paraId="2605E05F" w14:textId="77777777" w:rsidR="002453C4" w:rsidRPr="008109D0" w:rsidRDefault="002453C4" w:rsidP="002453C4">
            <w:pPr>
              <w:tabs>
                <w:tab w:val="left" w:pos="1390"/>
              </w:tabs>
              <w:ind w:left="28" w:right="28"/>
              <w:jc w:val="right"/>
              <w:rPr>
                <w:sz w:val="18"/>
                <w:szCs w:val="18"/>
              </w:rPr>
            </w:pPr>
          </w:p>
        </w:tc>
        <w:tc>
          <w:tcPr>
            <w:tcW w:w="1645" w:type="dxa"/>
            <w:tcBorders>
              <w:bottom w:val="double" w:sz="4" w:space="0" w:color="auto"/>
            </w:tcBorders>
            <w:vAlign w:val="bottom"/>
          </w:tcPr>
          <w:p w14:paraId="4A7D6292" w14:textId="0715B07D" w:rsidR="002453C4" w:rsidRPr="008109D0" w:rsidRDefault="002453C4" w:rsidP="002453C4">
            <w:pPr>
              <w:tabs>
                <w:tab w:val="left" w:pos="1390"/>
              </w:tabs>
              <w:ind w:left="28" w:right="57"/>
              <w:jc w:val="right"/>
              <w:rPr>
                <w:sz w:val="18"/>
                <w:szCs w:val="18"/>
              </w:rPr>
            </w:pPr>
            <w:r w:rsidRPr="008109D0">
              <w:rPr>
                <w:sz w:val="18"/>
                <w:szCs w:val="18"/>
              </w:rPr>
              <w:t>-</w:t>
            </w:r>
          </w:p>
        </w:tc>
        <w:tc>
          <w:tcPr>
            <w:tcW w:w="2768" w:type="dxa"/>
            <w:vAlign w:val="bottom"/>
          </w:tcPr>
          <w:p w14:paraId="4CFAFB44" w14:textId="77777777" w:rsidR="002453C4" w:rsidRPr="008109D0" w:rsidRDefault="002453C4" w:rsidP="002453C4">
            <w:pPr>
              <w:ind w:right="66"/>
              <w:jc w:val="right"/>
              <w:rPr>
                <w:i/>
                <w:sz w:val="18"/>
                <w:szCs w:val="18"/>
              </w:rPr>
            </w:pPr>
            <w:r w:rsidRPr="008109D0">
              <w:rPr>
                <w:i/>
                <w:sz w:val="18"/>
                <w:szCs w:val="18"/>
              </w:rPr>
              <w:t xml:space="preserve">Additions of fixed assets from </w:t>
            </w:r>
          </w:p>
          <w:p w14:paraId="493FB867" w14:textId="1B98B8EC" w:rsidR="002453C4" w:rsidRPr="008109D0" w:rsidRDefault="002453C4" w:rsidP="002453C4">
            <w:pPr>
              <w:ind w:right="293"/>
              <w:jc w:val="right"/>
              <w:rPr>
                <w:i/>
                <w:sz w:val="18"/>
                <w:szCs w:val="18"/>
              </w:rPr>
            </w:pPr>
            <w:r w:rsidRPr="008109D0">
              <w:rPr>
                <w:i/>
                <w:sz w:val="18"/>
                <w:szCs w:val="18"/>
              </w:rPr>
              <w:t>execution of advances</w:t>
            </w:r>
          </w:p>
        </w:tc>
      </w:tr>
      <w:tr w:rsidR="00E3194F" w:rsidRPr="0013526B" w14:paraId="7AF25184" w14:textId="77777777" w:rsidTr="000E3B9B">
        <w:trPr>
          <w:trHeight w:val="20"/>
        </w:trPr>
        <w:tc>
          <w:tcPr>
            <w:tcW w:w="2766" w:type="dxa"/>
          </w:tcPr>
          <w:p w14:paraId="7DC20AC2" w14:textId="77777777" w:rsidR="00E3194F" w:rsidRPr="00E3194F" w:rsidRDefault="00E3194F" w:rsidP="00E3194F">
            <w:pPr>
              <w:ind w:left="141" w:hanging="141"/>
              <w:rPr>
                <w:sz w:val="10"/>
                <w:szCs w:val="10"/>
              </w:rPr>
            </w:pPr>
          </w:p>
        </w:tc>
        <w:tc>
          <w:tcPr>
            <w:tcW w:w="1656" w:type="dxa"/>
            <w:tcBorders>
              <w:top w:val="double" w:sz="4" w:space="0" w:color="auto"/>
            </w:tcBorders>
            <w:shd w:val="clear" w:color="auto" w:fill="auto"/>
            <w:vAlign w:val="bottom"/>
          </w:tcPr>
          <w:p w14:paraId="18239F07" w14:textId="77777777" w:rsidR="00E3194F" w:rsidRPr="00E3194F" w:rsidRDefault="00E3194F" w:rsidP="00E3194F">
            <w:pPr>
              <w:tabs>
                <w:tab w:val="left" w:pos="1390"/>
              </w:tabs>
              <w:ind w:left="28" w:right="57"/>
              <w:jc w:val="right"/>
              <w:rPr>
                <w:sz w:val="10"/>
                <w:szCs w:val="10"/>
              </w:rPr>
            </w:pPr>
          </w:p>
        </w:tc>
        <w:tc>
          <w:tcPr>
            <w:tcW w:w="95" w:type="dxa"/>
            <w:vAlign w:val="bottom"/>
          </w:tcPr>
          <w:p w14:paraId="29988E69" w14:textId="77777777" w:rsidR="00E3194F" w:rsidRPr="00E3194F" w:rsidRDefault="00E3194F" w:rsidP="00E3194F">
            <w:pPr>
              <w:tabs>
                <w:tab w:val="left" w:pos="1390"/>
              </w:tabs>
              <w:ind w:left="28" w:right="28"/>
              <w:jc w:val="right"/>
              <w:rPr>
                <w:sz w:val="10"/>
                <w:szCs w:val="10"/>
              </w:rPr>
            </w:pPr>
          </w:p>
        </w:tc>
        <w:tc>
          <w:tcPr>
            <w:tcW w:w="1645" w:type="dxa"/>
            <w:tcBorders>
              <w:top w:val="double" w:sz="4" w:space="0" w:color="auto"/>
            </w:tcBorders>
            <w:vAlign w:val="bottom"/>
          </w:tcPr>
          <w:p w14:paraId="5C9C14D4" w14:textId="77777777" w:rsidR="00E3194F" w:rsidRPr="00E3194F" w:rsidRDefault="00E3194F" w:rsidP="00E3194F">
            <w:pPr>
              <w:tabs>
                <w:tab w:val="left" w:pos="1390"/>
              </w:tabs>
              <w:ind w:left="28" w:right="57"/>
              <w:jc w:val="right"/>
              <w:rPr>
                <w:sz w:val="10"/>
                <w:szCs w:val="10"/>
              </w:rPr>
            </w:pPr>
          </w:p>
        </w:tc>
        <w:tc>
          <w:tcPr>
            <w:tcW w:w="2768" w:type="dxa"/>
          </w:tcPr>
          <w:p w14:paraId="6AD7FC2E" w14:textId="77777777" w:rsidR="00E3194F" w:rsidRPr="00E3194F" w:rsidRDefault="00E3194F" w:rsidP="00E3194F">
            <w:pPr>
              <w:ind w:left="43" w:right="216"/>
              <w:jc w:val="right"/>
              <w:rPr>
                <w:i/>
                <w:sz w:val="10"/>
                <w:szCs w:val="10"/>
              </w:rPr>
            </w:pPr>
          </w:p>
        </w:tc>
      </w:tr>
    </w:tbl>
    <w:p w14:paraId="70F06C67" w14:textId="77777777" w:rsidR="007D05E1" w:rsidRPr="007D05E1" w:rsidRDefault="007D05E1">
      <w:pPr>
        <w:rPr>
          <w:sz w:val="14"/>
          <w:szCs w:val="14"/>
        </w:rPr>
      </w:pPr>
    </w:p>
    <w:tbl>
      <w:tblPr>
        <w:tblW w:w="9197" w:type="dxa"/>
        <w:tblInd w:w="126" w:type="dxa"/>
        <w:tblLook w:val="0000" w:firstRow="0" w:lastRow="0" w:firstColumn="0" w:lastColumn="0" w:noHBand="0" w:noVBand="0"/>
      </w:tblPr>
      <w:tblGrid>
        <w:gridCol w:w="4598"/>
        <w:gridCol w:w="4599"/>
      </w:tblGrid>
      <w:tr w:rsidR="003F24C1" w:rsidRPr="00C95D12" w14:paraId="3B137D02" w14:textId="77777777" w:rsidTr="009A292C">
        <w:trPr>
          <w:trHeight w:val="205"/>
        </w:trPr>
        <w:tc>
          <w:tcPr>
            <w:tcW w:w="4598" w:type="dxa"/>
            <w:tcBorders>
              <w:top w:val="nil"/>
              <w:left w:val="nil"/>
              <w:bottom w:val="nil"/>
              <w:right w:val="nil"/>
            </w:tcBorders>
          </w:tcPr>
          <w:p w14:paraId="3FAE91D7" w14:textId="01F04B44" w:rsidR="003F24C1" w:rsidRPr="00C95D12" w:rsidRDefault="003F24C1" w:rsidP="00070D1F">
            <w:pPr>
              <w:numPr>
                <w:ilvl w:val="0"/>
                <w:numId w:val="409"/>
              </w:numPr>
              <w:ind w:left="349" w:right="-57" w:hanging="349"/>
              <w:jc w:val="both"/>
              <w:rPr>
                <w:b/>
                <w:sz w:val="18"/>
                <w:szCs w:val="18"/>
              </w:rPr>
            </w:pPr>
            <w:r w:rsidRPr="00C95D12">
              <w:rPr>
                <w:b/>
                <w:sz w:val="18"/>
                <w:szCs w:val="18"/>
              </w:rPr>
              <w:br w:type="page"/>
            </w:r>
            <w:r>
              <w:rPr>
                <w:b/>
                <w:sz w:val="18"/>
                <w:szCs w:val="18"/>
              </w:rPr>
              <w:t>ASET TIDAK LANCAR</w:t>
            </w:r>
          </w:p>
        </w:tc>
        <w:tc>
          <w:tcPr>
            <w:tcW w:w="4599" w:type="dxa"/>
            <w:tcBorders>
              <w:top w:val="nil"/>
              <w:left w:val="nil"/>
              <w:bottom w:val="nil"/>
              <w:right w:val="nil"/>
            </w:tcBorders>
          </w:tcPr>
          <w:p w14:paraId="271DBE1F" w14:textId="2639143E" w:rsidR="003F24C1" w:rsidRPr="00C95D12" w:rsidRDefault="003F24C1" w:rsidP="00070D1F">
            <w:pPr>
              <w:numPr>
                <w:ilvl w:val="0"/>
                <w:numId w:val="410"/>
              </w:numPr>
              <w:ind w:left="327" w:right="-57"/>
              <w:jc w:val="both"/>
              <w:rPr>
                <w:b/>
                <w:i/>
                <w:color w:val="000000"/>
                <w:sz w:val="18"/>
                <w:szCs w:val="18"/>
              </w:rPr>
            </w:pPr>
            <w:r>
              <w:rPr>
                <w:b/>
                <w:i/>
                <w:color w:val="000000"/>
                <w:sz w:val="18"/>
                <w:szCs w:val="18"/>
              </w:rPr>
              <w:t>OTHER NON CURRENT ASSETS</w:t>
            </w:r>
          </w:p>
        </w:tc>
      </w:tr>
      <w:tr w:rsidR="003F24C1" w:rsidRPr="007E5684" w14:paraId="6DA7342A" w14:textId="77777777" w:rsidTr="009A292C">
        <w:trPr>
          <w:trHeight w:val="112"/>
        </w:trPr>
        <w:tc>
          <w:tcPr>
            <w:tcW w:w="4598" w:type="dxa"/>
            <w:tcBorders>
              <w:top w:val="nil"/>
              <w:left w:val="nil"/>
              <w:bottom w:val="nil"/>
              <w:right w:val="nil"/>
            </w:tcBorders>
          </w:tcPr>
          <w:p w14:paraId="0892DED6" w14:textId="77777777" w:rsidR="003F24C1" w:rsidRPr="007E5684" w:rsidRDefault="003F24C1" w:rsidP="0096552A">
            <w:pPr>
              <w:ind w:left="353" w:right="-57"/>
              <w:jc w:val="both"/>
              <w:rPr>
                <w:sz w:val="10"/>
                <w:szCs w:val="10"/>
                <w:u w:val="single"/>
              </w:rPr>
            </w:pPr>
          </w:p>
        </w:tc>
        <w:tc>
          <w:tcPr>
            <w:tcW w:w="4599" w:type="dxa"/>
            <w:tcBorders>
              <w:top w:val="nil"/>
              <w:left w:val="nil"/>
              <w:bottom w:val="nil"/>
              <w:right w:val="nil"/>
            </w:tcBorders>
          </w:tcPr>
          <w:p w14:paraId="057B7E41" w14:textId="77777777" w:rsidR="003F24C1" w:rsidRPr="007E5684" w:rsidRDefault="003F24C1" w:rsidP="00DA744D">
            <w:pPr>
              <w:ind w:left="345" w:right="-57"/>
              <w:jc w:val="both"/>
              <w:rPr>
                <w:i/>
                <w:color w:val="000000"/>
                <w:sz w:val="10"/>
                <w:szCs w:val="10"/>
                <w:u w:val="single"/>
              </w:rPr>
            </w:pPr>
          </w:p>
        </w:tc>
      </w:tr>
      <w:tr w:rsidR="003F24C1" w:rsidRPr="0013526B" w14:paraId="292AFACC" w14:textId="77777777" w:rsidTr="009A292C">
        <w:trPr>
          <w:trHeight w:val="205"/>
        </w:trPr>
        <w:tc>
          <w:tcPr>
            <w:tcW w:w="4598" w:type="dxa"/>
            <w:tcBorders>
              <w:top w:val="nil"/>
              <w:left w:val="nil"/>
              <w:bottom w:val="nil"/>
              <w:right w:val="nil"/>
            </w:tcBorders>
          </w:tcPr>
          <w:p w14:paraId="2CD30EC3" w14:textId="796883C7" w:rsidR="003F24C1" w:rsidRPr="005B0F02" w:rsidRDefault="003F24C1" w:rsidP="0046654F">
            <w:pPr>
              <w:ind w:left="353" w:right="-57"/>
              <w:jc w:val="both"/>
              <w:rPr>
                <w:sz w:val="18"/>
                <w:szCs w:val="18"/>
              </w:rPr>
            </w:pPr>
            <w:r w:rsidRPr="005B0F02">
              <w:rPr>
                <w:sz w:val="18"/>
                <w:szCs w:val="18"/>
              </w:rPr>
              <w:t>Aset lain-lain tidak lancer merupakan beberapa bidang tanah milik NKM yang akan diserahkan kepada Pemerintah Provinsi DKI Jakarta (“Pemprov DKI”). Sebagaimana dinyatakan dalam penyempurnaan SIPPT No.62/-1.711.</w:t>
            </w:r>
            <w:r w:rsidR="00D2418B" w:rsidRPr="005B0F02">
              <w:rPr>
                <w:sz w:val="18"/>
                <w:szCs w:val="18"/>
              </w:rPr>
              <w:t>534</w:t>
            </w:r>
            <w:r w:rsidR="00870FD0">
              <w:rPr>
                <w:sz w:val="18"/>
                <w:szCs w:val="18"/>
              </w:rPr>
              <w:t>.</w:t>
            </w:r>
            <w:r w:rsidR="00D2418B" w:rsidRPr="005B0F02">
              <w:rPr>
                <w:sz w:val="18"/>
                <w:szCs w:val="18"/>
              </w:rPr>
              <w:t xml:space="preserve"> </w:t>
            </w:r>
            <w:proofErr w:type="gramStart"/>
            <w:r w:rsidR="00D2418B" w:rsidRPr="005B0F02">
              <w:rPr>
                <w:sz w:val="18"/>
                <w:szCs w:val="18"/>
              </w:rPr>
              <w:t>tertanggal</w:t>
            </w:r>
            <w:proofErr w:type="gramEnd"/>
            <w:r w:rsidR="00D2418B" w:rsidRPr="005B0F02">
              <w:rPr>
                <w:sz w:val="18"/>
                <w:szCs w:val="18"/>
              </w:rPr>
              <w:t xml:space="preserve"> 15 Januari 2010 dan Berita Acara Serah Terima Sementara (Fisik) No.805/-076.98 tertanggal 27 September 2013 tentang penyerahan tanah Fasos dan Fasum dengan peruntukan Tanah Penyempurnaan Hijau Taman (“PHT”)</w:t>
            </w:r>
            <w:r w:rsidR="00870FD0">
              <w:rPr>
                <w:sz w:val="18"/>
                <w:szCs w:val="18"/>
              </w:rPr>
              <w:t>.</w:t>
            </w:r>
            <w:r w:rsidR="00D2418B" w:rsidRPr="005B0F02">
              <w:rPr>
                <w:sz w:val="18"/>
                <w:szCs w:val="18"/>
              </w:rPr>
              <w:t xml:space="preserve"> Marga Drainase dan Tata air (“MDT”) dan Marga Jalan (“MJL”) yang terletak di Jalan Lebak Bulu</w:t>
            </w:r>
            <w:r w:rsidR="00870FD0">
              <w:rPr>
                <w:sz w:val="18"/>
                <w:szCs w:val="18"/>
              </w:rPr>
              <w:t>.</w:t>
            </w:r>
            <w:r w:rsidR="00D2418B" w:rsidRPr="005B0F02">
              <w:rPr>
                <w:sz w:val="18"/>
                <w:szCs w:val="18"/>
              </w:rPr>
              <w:t xml:space="preserve"> Kelurahan Cilandak</w:t>
            </w:r>
            <w:r w:rsidR="00870FD0">
              <w:rPr>
                <w:sz w:val="18"/>
                <w:szCs w:val="18"/>
              </w:rPr>
              <w:t>.</w:t>
            </w:r>
            <w:r w:rsidR="00D2418B" w:rsidRPr="005B0F02">
              <w:rPr>
                <w:sz w:val="18"/>
                <w:szCs w:val="18"/>
              </w:rPr>
              <w:t xml:space="preserve"> Kecamatan Cilandak</w:t>
            </w:r>
            <w:r w:rsidR="00870FD0">
              <w:rPr>
                <w:sz w:val="18"/>
                <w:szCs w:val="18"/>
              </w:rPr>
              <w:t>.</w:t>
            </w:r>
            <w:r w:rsidR="00D2418B" w:rsidRPr="005B0F02">
              <w:rPr>
                <w:sz w:val="18"/>
                <w:szCs w:val="18"/>
              </w:rPr>
              <w:t xml:space="preserve"> Kota Administrasi</w:t>
            </w:r>
            <w:r w:rsidR="00305CA0">
              <w:rPr>
                <w:sz w:val="18"/>
                <w:szCs w:val="18"/>
              </w:rPr>
              <w:t>.</w:t>
            </w:r>
            <w:r w:rsidR="00D2418B" w:rsidRPr="005B0F02">
              <w:rPr>
                <w:sz w:val="18"/>
                <w:szCs w:val="18"/>
              </w:rPr>
              <w:t xml:space="preserve"> Jakarta Selatan.</w:t>
            </w:r>
          </w:p>
        </w:tc>
        <w:tc>
          <w:tcPr>
            <w:tcW w:w="4599" w:type="dxa"/>
            <w:tcBorders>
              <w:top w:val="nil"/>
              <w:left w:val="nil"/>
              <w:bottom w:val="nil"/>
              <w:right w:val="nil"/>
            </w:tcBorders>
          </w:tcPr>
          <w:p w14:paraId="37EA0E15" w14:textId="0CB8E939" w:rsidR="003F24C1" w:rsidRPr="005B0F02" w:rsidRDefault="00D2418B" w:rsidP="0046654F">
            <w:pPr>
              <w:ind w:left="345" w:right="-57"/>
              <w:jc w:val="both"/>
              <w:rPr>
                <w:i/>
                <w:color w:val="000000"/>
                <w:sz w:val="18"/>
                <w:szCs w:val="18"/>
              </w:rPr>
            </w:pPr>
            <w:r w:rsidRPr="005B0F02">
              <w:rPr>
                <w:i/>
                <w:color w:val="000000"/>
                <w:sz w:val="18"/>
                <w:szCs w:val="18"/>
              </w:rPr>
              <w:t xml:space="preserve">Other non-current asset is a </w:t>
            </w:r>
            <w:r w:rsidR="00F64A5D">
              <w:rPr>
                <w:i/>
                <w:color w:val="000000"/>
                <w:sz w:val="18"/>
                <w:szCs w:val="18"/>
              </w:rPr>
              <w:t>consist</w:t>
            </w:r>
            <w:r w:rsidRPr="005B0F02">
              <w:rPr>
                <w:i/>
                <w:color w:val="000000"/>
                <w:sz w:val="18"/>
                <w:szCs w:val="18"/>
              </w:rPr>
              <w:t xml:space="preserve"> of land owned by NKM that will be handed over to DKI Jakarta Provincial Government (Pemprov DKI) as stated in the Permit of Land Use (SIPPT) No.62/-1/711.534</w:t>
            </w:r>
            <w:r w:rsidR="00870FD0">
              <w:rPr>
                <w:i/>
                <w:color w:val="000000"/>
                <w:sz w:val="18"/>
                <w:szCs w:val="18"/>
              </w:rPr>
              <w:t>.</w:t>
            </w:r>
            <w:r w:rsidRPr="005B0F02">
              <w:rPr>
                <w:i/>
                <w:color w:val="000000"/>
                <w:sz w:val="18"/>
                <w:szCs w:val="18"/>
              </w:rPr>
              <w:t xml:space="preserve"> </w:t>
            </w:r>
            <w:proofErr w:type="gramStart"/>
            <w:r w:rsidRPr="005B0F02">
              <w:rPr>
                <w:i/>
                <w:color w:val="000000"/>
                <w:sz w:val="18"/>
                <w:szCs w:val="18"/>
              </w:rPr>
              <w:t>dated</w:t>
            </w:r>
            <w:proofErr w:type="gramEnd"/>
            <w:r w:rsidRPr="005B0F02">
              <w:rPr>
                <w:i/>
                <w:color w:val="000000"/>
                <w:sz w:val="18"/>
                <w:szCs w:val="18"/>
              </w:rPr>
              <w:t xml:space="preserve"> January 15</w:t>
            </w:r>
            <w:r w:rsidR="00305CA0">
              <w:rPr>
                <w:i/>
                <w:color w:val="000000"/>
                <w:sz w:val="18"/>
                <w:szCs w:val="18"/>
              </w:rPr>
              <w:t>.</w:t>
            </w:r>
            <w:r w:rsidRPr="005B0F02">
              <w:rPr>
                <w:i/>
                <w:color w:val="000000"/>
                <w:sz w:val="18"/>
                <w:szCs w:val="18"/>
              </w:rPr>
              <w:t xml:space="preserve"> 2010 and the Minutes of Temporary Acceptance No. 805/-076.98 dated September 27</w:t>
            </w:r>
            <w:r w:rsidR="00305CA0">
              <w:rPr>
                <w:i/>
                <w:color w:val="000000"/>
                <w:sz w:val="18"/>
                <w:szCs w:val="18"/>
              </w:rPr>
              <w:t>.</w:t>
            </w:r>
            <w:r w:rsidRPr="005B0F02">
              <w:rPr>
                <w:i/>
                <w:color w:val="000000"/>
                <w:sz w:val="18"/>
                <w:szCs w:val="18"/>
              </w:rPr>
              <w:t xml:space="preserve"> 2013</w:t>
            </w:r>
            <w:r w:rsidR="00870FD0">
              <w:rPr>
                <w:i/>
                <w:color w:val="000000"/>
                <w:sz w:val="18"/>
                <w:szCs w:val="18"/>
              </w:rPr>
              <w:t>.</w:t>
            </w:r>
            <w:r w:rsidRPr="005B0F02">
              <w:rPr>
                <w:i/>
                <w:color w:val="000000"/>
                <w:sz w:val="18"/>
                <w:szCs w:val="18"/>
              </w:rPr>
              <w:t xml:space="preserve"> about the Social and Public Facility with the allotment of “Tanah Penyempurnaan Hijau” (PHT)</w:t>
            </w:r>
            <w:r w:rsidR="00870FD0">
              <w:rPr>
                <w:i/>
                <w:color w:val="000000"/>
                <w:sz w:val="18"/>
                <w:szCs w:val="18"/>
              </w:rPr>
              <w:t>.</w:t>
            </w:r>
            <w:r w:rsidRPr="005B0F02">
              <w:rPr>
                <w:i/>
                <w:color w:val="000000"/>
                <w:sz w:val="18"/>
                <w:szCs w:val="18"/>
              </w:rPr>
              <w:t xml:space="preserve"> “Marga Drainase dan Tata Air (MDT) and “Marga Jalan” (MJL). Which located in Lebak Bulus street</w:t>
            </w:r>
            <w:r w:rsidR="00870FD0">
              <w:rPr>
                <w:i/>
                <w:color w:val="000000"/>
                <w:sz w:val="18"/>
                <w:szCs w:val="18"/>
              </w:rPr>
              <w:t>.</w:t>
            </w:r>
            <w:r w:rsidRPr="005B0F02">
              <w:rPr>
                <w:i/>
                <w:color w:val="000000"/>
                <w:sz w:val="18"/>
                <w:szCs w:val="18"/>
              </w:rPr>
              <w:t xml:space="preserve"> Cilandak Village</w:t>
            </w:r>
            <w:r w:rsidR="00870FD0">
              <w:rPr>
                <w:i/>
                <w:color w:val="000000"/>
                <w:sz w:val="18"/>
                <w:szCs w:val="18"/>
              </w:rPr>
              <w:t>.</w:t>
            </w:r>
            <w:r w:rsidRPr="005B0F02">
              <w:rPr>
                <w:i/>
                <w:color w:val="000000"/>
                <w:sz w:val="18"/>
                <w:szCs w:val="18"/>
              </w:rPr>
              <w:t xml:space="preserve"> Cilandak District</w:t>
            </w:r>
            <w:r w:rsidR="00305CA0">
              <w:rPr>
                <w:i/>
                <w:color w:val="000000"/>
                <w:sz w:val="18"/>
                <w:szCs w:val="18"/>
              </w:rPr>
              <w:t>.</w:t>
            </w:r>
            <w:r w:rsidRPr="005B0F02">
              <w:rPr>
                <w:i/>
                <w:color w:val="000000"/>
                <w:sz w:val="18"/>
                <w:szCs w:val="18"/>
              </w:rPr>
              <w:t xml:space="preserve"> South Jakarta Administrative City.</w:t>
            </w:r>
          </w:p>
        </w:tc>
      </w:tr>
      <w:tr w:rsidR="00D2418B" w:rsidRPr="007D05E1" w14:paraId="673D8B64" w14:textId="77777777" w:rsidTr="009A292C">
        <w:trPr>
          <w:trHeight w:val="205"/>
        </w:trPr>
        <w:tc>
          <w:tcPr>
            <w:tcW w:w="4598" w:type="dxa"/>
            <w:tcBorders>
              <w:top w:val="nil"/>
              <w:left w:val="nil"/>
              <w:bottom w:val="nil"/>
              <w:right w:val="nil"/>
            </w:tcBorders>
          </w:tcPr>
          <w:p w14:paraId="4BB78728" w14:textId="77777777" w:rsidR="00D2418B" w:rsidRPr="007D05E1" w:rsidRDefault="00D2418B" w:rsidP="0096552A">
            <w:pPr>
              <w:ind w:left="353" w:right="-57"/>
              <w:jc w:val="both"/>
              <w:rPr>
                <w:sz w:val="8"/>
                <w:szCs w:val="8"/>
                <w:highlight w:val="red"/>
              </w:rPr>
            </w:pPr>
          </w:p>
        </w:tc>
        <w:tc>
          <w:tcPr>
            <w:tcW w:w="4599" w:type="dxa"/>
            <w:tcBorders>
              <w:top w:val="nil"/>
              <w:left w:val="nil"/>
              <w:bottom w:val="nil"/>
              <w:right w:val="nil"/>
            </w:tcBorders>
          </w:tcPr>
          <w:p w14:paraId="5AC8DFC6" w14:textId="77777777" w:rsidR="00D2418B" w:rsidRPr="007D05E1" w:rsidRDefault="00D2418B" w:rsidP="00DA744D">
            <w:pPr>
              <w:ind w:left="345" w:right="-57"/>
              <w:jc w:val="both"/>
              <w:rPr>
                <w:i/>
                <w:color w:val="000000"/>
                <w:sz w:val="8"/>
                <w:szCs w:val="8"/>
                <w:highlight w:val="red"/>
              </w:rPr>
            </w:pPr>
          </w:p>
        </w:tc>
      </w:tr>
      <w:tr w:rsidR="00D2418B" w:rsidRPr="005B0F02" w14:paraId="16DF3487" w14:textId="77777777" w:rsidTr="009A292C">
        <w:trPr>
          <w:trHeight w:val="205"/>
        </w:trPr>
        <w:tc>
          <w:tcPr>
            <w:tcW w:w="4598" w:type="dxa"/>
            <w:tcBorders>
              <w:top w:val="nil"/>
              <w:left w:val="nil"/>
              <w:bottom w:val="nil"/>
              <w:right w:val="nil"/>
            </w:tcBorders>
            <w:shd w:val="clear" w:color="auto" w:fill="auto"/>
          </w:tcPr>
          <w:p w14:paraId="2E3929A4" w14:textId="21711E04" w:rsidR="00D2418B" w:rsidRPr="005B0F02" w:rsidRDefault="00D2418B" w:rsidP="0096552A">
            <w:pPr>
              <w:ind w:left="353" w:right="-57"/>
              <w:jc w:val="both"/>
              <w:rPr>
                <w:sz w:val="18"/>
                <w:szCs w:val="18"/>
              </w:rPr>
            </w:pPr>
            <w:r w:rsidRPr="005B0F02">
              <w:rPr>
                <w:sz w:val="18"/>
                <w:szCs w:val="18"/>
              </w:rPr>
              <w:t xml:space="preserve">Penyerahan atas beberapa bidanng tanah milik NKM tersebut akan dilaksanakan setelah memperoleh instruksi dari </w:t>
            </w:r>
            <w:r w:rsidR="001A60B3" w:rsidRPr="005B0F02">
              <w:rPr>
                <w:sz w:val="18"/>
                <w:szCs w:val="18"/>
              </w:rPr>
              <w:t>Pemprov DKI.</w:t>
            </w:r>
          </w:p>
        </w:tc>
        <w:tc>
          <w:tcPr>
            <w:tcW w:w="4599" w:type="dxa"/>
            <w:tcBorders>
              <w:top w:val="nil"/>
              <w:left w:val="nil"/>
              <w:bottom w:val="nil"/>
              <w:right w:val="nil"/>
            </w:tcBorders>
            <w:shd w:val="clear" w:color="auto" w:fill="auto"/>
          </w:tcPr>
          <w:p w14:paraId="61FF369E" w14:textId="6CF3C891" w:rsidR="00D2418B" w:rsidRPr="005B0F02" w:rsidRDefault="001A60B3" w:rsidP="00DA744D">
            <w:pPr>
              <w:ind w:left="345" w:right="-57"/>
              <w:jc w:val="both"/>
              <w:rPr>
                <w:i/>
                <w:color w:val="000000"/>
                <w:sz w:val="18"/>
                <w:szCs w:val="18"/>
              </w:rPr>
            </w:pPr>
            <w:r w:rsidRPr="005B0F02">
              <w:rPr>
                <w:i/>
                <w:color w:val="000000"/>
                <w:sz w:val="18"/>
                <w:szCs w:val="18"/>
              </w:rPr>
              <w:t xml:space="preserve">The handling </w:t>
            </w:r>
            <w:r w:rsidR="00054578">
              <w:rPr>
                <w:i/>
                <w:color w:val="000000"/>
                <w:sz w:val="18"/>
                <w:szCs w:val="18"/>
              </w:rPr>
              <w:t>consist</w:t>
            </w:r>
            <w:r w:rsidRPr="005B0F02">
              <w:rPr>
                <w:i/>
                <w:color w:val="000000"/>
                <w:sz w:val="18"/>
                <w:szCs w:val="18"/>
              </w:rPr>
              <w:t xml:space="preserve"> of land owned by NKM will be executed after the instruction gave by DKI Jakarta Provincial Government instruction.</w:t>
            </w:r>
          </w:p>
        </w:tc>
      </w:tr>
    </w:tbl>
    <w:p w14:paraId="76D18744" w14:textId="53FAC441" w:rsidR="001105A9" w:rsidRDefault="001105A9">
      <w:r>
        <w:br w:type="page"/>
      </w:r>
    </w:p>
    <w:tbl>
      <w:tblPr>
        <w:tblW w:w="9197" w:type="dxa"/>
        <w:tblInd w:w="126" w:type="dxa"/>
        <w:tblLook w:val="0000" w:firstRow="0" w:lastRow="0" w:firstColumn="0" w:lastColumn="0" w:noHBand="0" w:noVBand="0"/>
      </w:tblPr>
      <w:tblGrid>
        <w:gridCol w:w="4598"/>
        <w:gridCol w:w="4599"/>
      </w:tblGrid>
      <w:tr w:rsidR="001105A9" w:rsidRPr="00C95D12" w14:paraId="6116076A" w14:textId="77777777" w:rsidTr="00091DE4">
        <w:trPr>
          <w:trHeight w:val="205"/>
        </w:trPr>
        <w:tc>
          <w:tcPr>
            <w:tcW w:w="4598" w:type="dxa"/>
            <w:tcBorders>
              <w:top w:val="nil"/>
              <w:left w:val="nil"/>
              <w:bottom w:val="nil"/>
              <w:right w:val="nil"/>
            </w:tcBorders>
          </w:tcPr>
          <w:p w14:paraId="0709F85F" w14:textId="77777777" w:rsidR="001105A9" w:rsidRPr="00C95D12" w:rsidRDefault="001105A9" w:rsidP="00070D1F">
            <w:pPr>
              <w:numPr>
                <w:ilvl w:val="0"/>
                <w:numId w:val="411"/>
              </w:numPr>
              <w:ind w:right="-57"/>
              <w:jc w:val="both"/>
              <w:rPr>
                <w:b/>
                <w:sz w:val="18"/>
                <w:szCs w:val="18"/>
              </w:rPr>
            </w:pPr>
            <w:r w:rsidRPr="00C95D12">
              <w:rPr>
                <w:b/>
                <w:sz w:val="18"/>
                <w:szCs w:val="18"/>
              </w:rPr>
              <w:lastRenderedPageBreak/>
              <w:br w:type="page"/>
            </w:r>
            <w:r>
              <w:rPr>
                <w:b/>
                <w:sz w:val="18"/>
                <w:szCs w:val="18"/>
              </w:rPr>
              <w:t>ASET TIDAK LANCAR</w:t>
            </w:r>
          </w:p>
        </w:tc>
        <w:tc>
          <w:tcPr>
            <w:tcW w:w="4599" w:type="dxa"/>
            <w:tcBorders>
              <w:top w:val="nil"/>
              <w:left w:val="nil"/>
              <w:bottom w:val="nil"/>
              <w:right w:val="nil"/>
            </w:tcBorders>
          </w:tcPr>
          <w:p w14:paraId="248A1A0C" w14:textId="77777777" w:rsidR="001105A9" w:rsidRPr="00C95D12" w:rsidRDefault="001105A9" w:rsidP="00070D1F">
            <w:pPr>
              <w:numPr>
                <w:ilvl w:val="0"/>
                <w:numId w:val="412"/>
              </w:numPr>
              <w:ind w:right="-57"/>
              <w:jc w:val="both"/>
              <w:rPr>
                <w:b/>
                <w:i/>
                <w:color w:val="000000"/>
                <w:sz w:val="18"/>
                <w:szCs w:val="18"/>
              </w:rPr>
            </w:pPr>
            <w:r>
              <w:rPr>
                <w:b/>
                <w:i/>
                <w:color w:val="000000"/>
                <w:sz w:val="18"/>
                <w:szCs w:val="18"/>
              </w:rPr>
              <w:t>OTHER NON CURRENT ASSETS</w:t>
            </w:r>
          </w:p>
        </w:tc>
      </w:tr>
      <w:tr w:rsidR="00D2418B" w:rsidRPr="005B0F02" w14:paraId="49F70E1F" w14:textId="77777777" w:rsidTr="009A292C">
        <w:trPr>
          <w:trHeight w:val="205"/>
        </w:trPr>
        <w:tc>
          <w:tcPr>
            <w:tcW w:w="4598" w:type="dxa"/>
            <w:tcBorders>
              <w:top w:val="nil"/>
              <w:left w:val="nil"/>
              <w:bottom w:val="nil"/>
              <w:right w:val="nil"/>
            </w:tcBorders>
            <w:shd w:val="clear" w:color="auto" w:fill="auto"/>
          </w:tcPr>
          <w:p w14:paraId="6005810B" w14:textId="7130C3B9" w:rsidR="00D2418B" w:rsidRPr="001105A9" w:rsidRDefault="00D2418B" w:rsidP="007D05E1">
            <w:pPr>
              <w:ind w:right="-57"/>
              <w:jc w:val="both"/>
              <w:rPr>
                <w:sz w:val="16"/>
                <w:szCs w:val="16"/>
              </w:rPr>
            </w:pPr>
          </w:p>
        </w:tc>
        <w:tc>
          <w:tcPr>
            <w:tcW w:w="4599" w:type="dxa"/>
            <w:tcBorders>
              <w:top w:val="nil"/>
              <w:left w:val="nil"/>
              <w:bottom w:val="nil"/>
              <w:right w:val="nil"/>
            </w:tcBorders>
            <w:shd w:val="clear" w:color="auto" w:fill="auto"/>
          </w:tcPr>
          <w:p w14:paraId="4E345D95" w14:textId="77777777" w:rsidR="00D2418B" w:rsidRPr="005B0F02" w:rsidRDefault="00D2418B" w:rsidP="00DA744D">
            <w:pPr>
              <w:ind w:left="345" w:right="-57"/>
              <w:jc w:val="both"/>
              <w:rPr>
                <w:i/>
                <w:color w:val="000000"/>
                <w:sz w:val="8"/>
                <w:szCs w:val="8"/>
              </w:rPr>
            </w:pPr>
          </w:p>
        </w:tc>
      </w:tr>
      <w:tr w:rsidR="001A60B3" w:rsidRPr="0013526B" w14:paraId="34675B07" w14:textId="77777777" w:rsidTr="009A292C">
        <w:trPr>
          <w:trHeight w:val="205"/>
        </w:trPr>
        <w:tc>
          <w:tcPr>
            <w:tcW w:w="4598" w:type="dxa"/>
            <w:tcBorders>
              <w:top w:val="nil"/>
              <w:left w:val="nil"/>
              <w:bottom w:val="nil"/>
              <w:right w:val="nil"/>
            </w:tcBorders>
            <w:shd w:val="clear" w:color="auto" w:fill="auto"/>
          </w:tcPr>
          <w:p w14:paraId="787398F6" w14:textId="7293BA4D" w:rsidR="001A60B3" w:rsidRPr="005B0F02" w:rsidRDefault="001A60B3" w:rsidP="002453C4">
            <w:pPr>
              <w:ind w:left="353" w:right="-57"/>
              <w:jc w:val="both"/>
              <w:rPr>
                <w:sz w:val="18"/>
                <w:szCs w:val="18"/>
              </w:rPr>
            </w:pPr>
            <w:r w:rsidRPr="005B0F02">
              <w:rPr>
                <w:sz w:val="18"/>
                <w:szCs w:val="18"/>
              </w:rPr>
              <w:t xml:space="preserve">Total beberapa bidang tanah milik NKM yang akan diserahakan kepada Pemprov DKI pada tanggal </w:t>
            </w:r>
            <w:r w:rsidR="005B0F02">
              <w:rPr>
                <w:sz w:val="18"/>
                <w:szCs w:val="18"/>
              </w:rPr>
              <w:br/>
            </w:r>
            <w:r w:rsidR="002453C4">
              <w:rPr>
                <w:sz w:val="18"/>
                <w:szCs w:val="18"/>
              </w:rPr>
              <w:t xml:space="preserve">31 Maret 2020 dan </w:t>
            </w:r>
            <w:r w:rsidRPr="005B0F02">
              <w:rPr>
                <w:sz w:val="18"/>
                <w:szCs w:val="18"/>
              </w:rPr>
              <w:t>31 Desember 201</w:t>
            </w:r>
            <w:r w:rsidR="005B0F02">
              <w:rPr>
                <w:sz w:val="18"/>
                <w:szCs w:val="18"/>
              </w:rPr>
              <w:t>9</w:t>
            </w:r>
            <w:r w:rsidRPr="005B0F02">
              <w:rPr>
                <w:sz w:val="18"/>
                <w:szCs w:val="18"/>
              </w:rPr>
              <w:t xml:space="preserve"> masing-masing dibayar sebesar </w:t>
            </w:r>
            <w:r w:rsidR="004A1988" w:rsidRPr="005B0F02">
              <w:rPr>
                <w:sz w:val="18"/>
                <w:szCs w:val="18"/>
              </w:rPr>
              <w:t>Rp 8</w:t>
            </w:r>
            <w:r w:rsidRPr="005B0F02">
              <w:rPr>
                <w:sz w:val="18"/>
                <w:szCs w:val="18"/>
              </w:rPr>
              <w:t>1.085.153.235.</w:t>
            </w:r>
          </w:p>
        </w:tc>
        <w:tc>
          <w:tcPr>
            <w:tcW w:w="4599" w:type="dxa"/>
            <w:tcBorders>
              <w:top w:val="nil"/>
              <w:left w:val="nil"/>
              <w:bottom w:val="nil"/>
              <w:right w:val="nil"/>
            </w:tcBorders>
            <w:shd w:val="clear" w:color="auto" w:fill="auto"/>
          </w:tcPr>
          <w:p w14:paraId="05C01161" w14:textId="2B66AFDF" w:rsidR="001A60B3" w:rsidRPr="005B0F02" w:rsidRDefault="001A60B3" w:rsidP="002453C4">
            <w:pPr>
              <w:ind w:left="345" w:right="-57"/>
              <w:jc w:val="both"/>
              <w:rPr>
                <w:i/>
                <w:color w:val="000000"/>
                <w:sz w:val="18"/>
                <w:szCs w:val="18"/>
              </w:rPr>
            </w:pPr>
            <w:r w:rsidRPr="005B0F02">
              <w:rPr>
                <w:i/>
                <w:color w:val="000000"/>
                <w:sz w:val="18"/>
                <w:szCs w:val="18"/>
              </w:rPr>
              <w:t xml:space="preserve">The amount </w:t>
            </w:r>
            <w:r w:rsidR="00054578">
              <w:rPr>
                <w:i/>
                <w:color w:val="000000"/>
                <w:sz w:val="18"/>
                <w:szCs w:val="18"/>
              </w:rPr>
              <w:t>consist</w:t>
            </w:r>
            <w:r w:rsidRPr="005B0F02">
              <w:rPr>
                <w:i/>
                <w:color w:val="000000"/>
                <w:sz w:val="18"/>
                <w:szCs w:val="18"/>
              </w:rPr>
              <w:t xml:space="preserve"> of land owned by NKM that will be handed over to DKI Jakarta Provincial Government on </w:t>
            </w:r>
            <w:r w:rsidR="002453C4">
              <w:rPr>
                <w:i/>
                <w:color w:val="000000"/>
                <w:sz w:val="18"/>
                <w:szCs w:val="18"/>
              </w:rPr>
              <w:t>March 31</w:t>
            </w:r>
            <w:r w:rsidR="00305CA0">
              <w:rPr>
                <w:i/>
                <w:color w:val="000000"/>
                <w:sz w:val="18"/>
                <w:szCs w:val="18"/>
              </w:rPr>
              <w:t>.</w:t>
            </w:r>
            <w:r w:rsidR="002453C4">
              <w:rPr>
                <w:i/>
                <w:color w:val="000000"/>
                <w:sz w:val="18"/>
                <w:szCs w:val="18"/>
              </w:rPr>
              <w:t xml:space="preserve"> 2020 and </w:t>
            </w:r>
            <w:r w:rsidRPr="005B0F02">
              <w:rPr>
                <w:i/>
                <w:color w:val="000000"/>
                <w:sz w:val="18"/>
                <w:szCs w:val="18"/>
              </w:rPr>
              <w:t>December 31</w:t>
            </w:r>
            <w:r w:rsidR="00305CA0">
              <w:rPr>
                <w:i/>
                <w:color w:val="000000"/>
                <w:sz w:val="18"/>
                <w:szCs w:val="18"/>
              </w:rPr>
              <w:t>.</w:t>
            </w:r>
            <w:r w:rsidRPr="005B0F02">
              <w:rPr>
                <w:i/>
                <w:color w:val="000000"/>
                <w:sz w:val="18"/>
                <w:szCs w:val="18"/>
              </w:rPr>
              <w:t xml:space="preserve"> 20</w:t>
            </w:r>
            <w:r w:rsidR="005B0F02">
              <w:rPr>
                <w:i/>
                <w:color w:val="000000"/>
                <w:sz w:val="18"/>
                <w:szCs w:val="18"/>
              </w:rPr>
              <w:t>19</w:t>
            </w:r>
            <w:r w:rsidR="00305CA0">
              <w:rPr>
                <w:i/>
                <w:color w:val="000000"/>
                <w:sz w:val="18"/>
                <w:szCs w:val="18"/>
              </w:rPr>
              <w:t>.</w:t>
            </w:r>
            <w:r w:rsidRPr="005B0F02">
              <w:rPr>
                <w:i/>
                <w:color w:val="000000"/>
                <w:sz w:val="18"/>
                <w:szCs w:val="18"/>
              </w:rPr>
              <w:t xml:space="preserve"> is </w:t>
            </w:r>
            <w:r w:rsidR="005B0F02">
              <w:rPr>
                <w:i/>
                <w:color w:val="000000"/>
                <w:sz w:val="18"/>
                <w:szCs w:val="18"/>
              </w:rPr>
              <w:br/>
            </w:r>
            <w:r w:rsidR="004A1988" w:rsidRPr="005B0F02">
              <w:rPr>
                <w:i/>
                <w:color w:val="000000"/>
                <w:sz w:val="18"/>
                <w:szCs w:val="18"/>
              </w:rPr>
              <w:t>Rp 8</w:t>
            </w:r>
            <w:r w:rsidRPr="005B0F02">
              <w:rPr>
                <w:i/>
                <w:color w:val="000000"/>
                <w:sz w:val="18"/>
                <w:szCs w:val="18"/>
              </w:rPr>
              <w:t>1</w:t>
            </w:r>
            <w:r w:rsidR="00305CA0">
              <w:rPr>
                <w:i/>
                <w:color w:val="000000"/>
                <w:sz w:val="18"/>
                <w:szCs w:val="18"/>
              </w:rPr>
              <w:t>.</w:t>
            </w:r>
            <w:r w:rsidRPr="005B0F02">
              <w:rPr>
                <w:i/>
                <w:color w:val="000000"/>
                <w:sz w:val="18"/>
                <w:szCs w:val="18"/>
              </w:rPr>
              <w:t>085</w:t>
            </w:r>
            <w:r w:rsidR="00305CA0">
              <w:rPr>
                <w:i/>
                <w:color w:val="000000"/>
                <w:sz w:val="18"/>
                <w:szCs w:val="18"/>
              </w:rPr>
              <w:t>.</w:t>
            </w:r>
            <w:r w:rsidRPr="005B0F02">
              <w:rPr>
                <w:i/>
                <w:color w:val="000000"/>
                <w:sz w:val="18"/>
                <w:szCs w:val="18"/>
              </w:rPr>
              <w:t>153</w:t>
            </w:r>
            <w:r w:rsidR="00305CA0">
              <w:rPr>
                <w:i/>
                <w:color w:val="000000"/>
                <w:sz w:val="18"/>
                <w:szCs w:val="18"/>
              </w:rPr>
              <w:t>.</w:t>
            </w:r>
            <w:r w:rsidRPr="005B0F02">
              <w:rPr>
                <w:i/>
                <w:color w:val="000000"/>
                <w:sz w:val="18"/>
                <w:szCs w:val="18"/>
              </w:rPr>
              <w:t>235</w:t>
            </w:r>
            <w:r w:rsidR="00305CA0">
              <w:rPr>
                <w:i/>
                <w:color w:val="000000"/>
                <w:sz w:val="18"/>
                <w:szCs w:val="18"/>
              </w:rPr>
              <w:t>.</w:t>
            </w:r>
            <w:r w:rsidRPr="005B0F02">
              <w:rPr>
                <w:i/>
                <w:color w:val="000000"/>
                <w:sz w:val="18"/>
                <w:szCs w:val="18"/>
              </w:rPr>
              <w:t xml:space="preserve"> respectively</w:t>
            </w:r>
          </w:p>
        </w:tc>
      </w:tr>
      <w:tr w:rsidR="002453C4" w:rsidRPr="0013526B" w14:paraId="0D083B76" w14:textId="77777777" w:rsidTr="009A292C">
        <w:trPr>
          <w:trHeight w:val="205"/>
        </w:trPr>
        <w:tc>
          <w:tcPr>
            <w:tcW w:w="4598" w:type="dxa"/>
            <w:tcBorders>
              <w:top w:val="nil"/>
              <w:left w:val="nil"/>
              <w:bottom w:val="nil"/>
              <w:right w:val="nil"/>
            </w:tcBorders>
            <w:shd w:val="clear" w:color="auto" w:fill="auto"/>
          </w:tcPr>
          <w:p w14:paraId="3F396C8A" w14:textId="77777777" w:rsidR="002453C4" w:rsidRPr="005B0F02" w:rsidRDefault="002453C4" w:rsidP="002453C4">
            <w:pPr>
              <w:ind w:left="353" w:right="-57"/>
              <w:jc w:val="both"/>
              <w:rPr>
                <w:sz w:val="18"/>
                <w:szCs w:val="18"/>
              </w:rPr>
            </w:pPr>
          </w:p>
        </w:tc>
        <w:tc>
          <w:tcPr>
            <w:tcW w:w="4599" w:type="dxa"/>
            <w:tcBorders>
              <w:top w:val="nil"/>
              <w:left w:val="nil"/>
              <w:bottom w:val="nil"/>
              <w:right w:val="nil"/>
            </w:tcBorders>
            <w:shd w:val="clear" w:color="auto" w:fill="auto"/>
          </w:tcPr>
          <w:p w14:paraId="1905C2A0" w14:textId="77777777" w:rsidR="002453C4" w:rsidRPr="005B0F02" w:rsidRDefault="002453C4" w:rsidP="002453C4">
            <w:pPr>
              <w:ind w:left="345" w:right="-57"/>
              <w:jc w:val="both"/>
              <w:rPr>
                <w:i/>
                <w:color w:val="000000"/>
                <w:sz w:val="18"/>
                <w:szCs w:val="18"/>
              </w:rPr>
            </w:pPr>
          </w:p>
        </w:tc>
      </w:tr>
      <w:tr w:rsidR="005B0F02" w:rsidRPr="005B0F02" w14:paraId="3AB9C514" w14:textId="77777777" w:rsidTr="009A292C">
        <w:trPr>
          <w:trHeight w:val="212"/>
        </w:trPr>
        <w:tc>
          <w:tcPr>
            <w:tcW w:w="4598" w:type="dxa"/>
            <w:tcBorders>
              <w:top w:val="nil"/>
              <w:left w:val="nil"/>
              <w:bottom w:val="nil"/>
              <w:right w:val="nil"/>
            </w:tcBorders>
            <w:shd w:val="clear" w:color="auto" w:fill="auto"/>
          </w:tcPr>
          <w:p w14:paraId="11197033" w14:textId="64BD9D0A" w:rsidR="005B0F02" w:rsidRPr="005B0F02" w:rsidRDefault="005B0F02" w:rsidP="00070D1F">
            <w:pPr>
              <w:numPr>
                <w:ilvl w:val="0"/>
                <w:numId w:val="411"/>
              </w:numPr>
              <w:ind w:left="349" w:right="-57" w:hanging="349"/>
              <w:jc w:val="both"/>
              <w:rPr>
                <w:b/>
                <w:i/>
                <w:iCs/>
                <w:sz w:val="18"/>
                <w:szCs w:val="18"/>
              </w:rPr>
            </w:pPr>
            <w:r w:rsidRPr="005D1CE2">
              <w:rPr>
                <w:b/>
                <w:sz w:val="18"/>
                <w:szCs w:val="18"/>
              </w:rPr>
              <w:br w:type="page"/>
            </w:r>
            <w:r>
              <w:rPr>
                <w:b/>
                <w:i/>
                <w:iCs/>
                <w:sz w:val="18"/>
                <w:szCs w:val="18"/>
              </w:rPr>
              <w:t>Goo</w:t>
            </w:r>
            <w:r w:rsidR="007E5684">
              <w:rPr>
                <w:b/>
                <w:i/>
                <w:iCs/>
                <w:sz w:val="18"/>
                <w:szCs w:val="18"/>
              </w:rPr>
              <w:t>d</w:t>
            </w:r>
            <w:r>
              <w:rPr>
                <w:b/>
                <w:i/>
                <w:iCs/>
                <w:sz w:val="18"/>
                <w:szCs w:val="18"/>
              </w:rPr>
              <w:t>will</w:t>
            </w:r>
          </w:p>
        </w:tc>
        <w:tc>
          <w:tcPr>
            <w:tcW w:w="4599" w:type="dxa"/>
            <w:tcBorders>
              <w:top w:val="nil"/>
              <w:left w:val="nil"/>
              <w:bottom w:val="nil"/>
              <w:right w:val="nil"/>
            </w:tcBorders>
            <w:shd w:val="clear" w:color="auto" w:fill="auto"/>
          </w:tcPr>
          <w:p w14:paraId="17F20515" w14:textId="7736976E" w:rsidR="005B0F02" w:rsidRPr="005B0F02" w:rsidRDefault="005B0F02" w:rsidP="00070D1F">
            <w:pPr>
              <w:numPr>
                <w:ilvl w:val="0"/>
                <w:numId w:val="413"/>
              </w:numPr>
              <w:ind w:right="-57"/>
              <w:jc w:val="both"/>
              <w:rPr>
                <w:b/>
                <w:i/>
                <w:iCs/>
                <w:sz w:val="18"/>
                <w:szCs w:val="18"/>
              </w:rPr>
            </w:pPr>
            <w:r w:rsidRPr="005B0F02">
              <w:rPr>
                <w:b/>
                <w:i/>
                <w:iCs/>
                <w:sz w:val="18"/>
                <w:szCs w:val="18"/>
              </w:rPr>
              <w:t>Goodwill</w:t>
            </w:r>
          </w:p>
        </w:tc>
      </w:tr>
      <w:tr w:rsidR="005B0F02" w:rsidRPr="0013526B" w14:paraId="24446F20" w14:textId="77777777" w:rsidTr="009A292C">
        <w:trPr>
          <w:trHeight w:val="151"/>
        </w:trPr>
        <w:tc>
          <w:tcPr>
            <w:tcW w:w="4598" w:type="dxa"/>
            <w:tcBorders>
              <w:top w:val="nil"/>
              <w:left w:val="nil"/>
              <w:bottom w:val="nil"/>
              <w:right w:val="nil"/>
            </w:tcBorders>
          </w:tcPr>
          <w:p w14:paraId="03CA70ED" w14:textId="77777777" w:rsidR="005B0F02" w:rsidRPr="00605E4C" w:rsidRDefault="005B0F02" w:rsidP="004A3865">
            <w:pPr>
              <w:ind w:left="357" w:right="-57"/>
              <w:jc w:val="both"/>
              <w:rPr>
                <w:i/>
                <w:sz w:val="14"/>
                <w:szCs w:val="18"/>
              </w:rPr>
            </w:pPr>
          </w:p>
        </w:tc>
        <w:tc>
          <w:tcPr>
            <w:tcW w:w="4599" w:type="dxa"/>
            <w:tcBorders>
              <w:top w:val="nil"/>
              <w:left w:val="nil"/>
              <w:bottom w:val="nil"/>
              <w:right w:val="nil"/>
            </w:tcBorders>
          </w:tcPr>
          <w:p w14:paraId="085AF3B7" w14:textId="77777777" w:rsidR="005B0F02" w:rsidRPr="00605E4C" w:rsidRDefault="005B0F02" w:rsidP="004A3865">
            <w:pPr>
              <w:ind w:left="357" w:right="-57"/>
              <w:jc w:val="both"/>
              <w:rPr>
                <w:i/>
                <w:sz w:val="14"/>
                <w:szCs w:val="18"/>
              </w:rPr>
            </w:pPr>
          </w:p>
        </w:tc>
      </w:tr>
      <w:tr w:rsidR="005B0F02" w:rsidRPr="0013526B" w14:paraId="3B5FCCA3" w14:textId="77777777" w:rsidTr="009A292C">
        <w:trPr>
          <w:trHeight w:val="363"/>
        </w:trPr>
        <w:tc>
          <w:tcPr>
            <w:tcW w:w="4598" w:type="dxa"/>
            <w:tcBorders>
              <w:top w:val="nil"/>
              <w:left w:val="nil"/>
              <w:bottom w:val="nil"/>
              <w:right w:val="nil"/>
            </w:tcBorders>
          </w:tcPr>
          <w:p w14:paraId="7067E894" w14:textId="01B4B123" w:rsidR="005B0F02" w:rsidRPr="0013526B" w:rsidRDefault="005B0F02" w:rsidP="005B0F02">
            <w:pPr>
              <w:ind w:left="377" w:right="-57"/>
              <w:jc w:val="both"/>
              <w:rPr>
                <w:i/>
                <w:sz w:val="18"/>
                <w:szCs w:val="18"/>
              </w:rPr>
            </w:pPr>
            <w:r>
              <w:rPr>
                <w:sz w:val="18"/>
                <w:szCs w:val="18"/>
              </w:rPr>
              <w:t>Akun ini merupakan selisih lebih antara imbalan yang dialihkan dengan jumlah aset neto.</w:t>
            </w:r>
          </w:p>
        </w:tc>
        <w:tc>
          <w:tcPr>
            <w:tcW w:w="4599" w:type="dxa"/>
            <w:tcBorders>
              <w:top w:val="nil"/>
              <w:left w:val="nil"/>
              <w:bottom w:val="nil"/>
              <w:right w:val="nil"/>
            </w:tcBorders>
          </w:tcPr>
          <w:p w14:paraId="5D525A51" w14:textId="7B8AE134" w:rsidR="005B0F02" w:rsidRPr="0013526B" w:rsidRDefault="005B0F02" w:rsidP="004A3865">
            <w:pPr>
              <w:ind w:left="284" w:right="-57"/>
              <w:jc w:val="both"/>
              <w:rPr>
                <w:i/>
                <w:sz w:val="18"/>
                <w:szCs w:val="18"/>
              </w:rPr>
            </w:pPr>
            <w:r>
              <w:rPr>
                <w:i/>
                <w:sz w:val="18"/>
                <w:szCs w:val="18"/>
              </w:rPr>
              <w:t>This account represents the excess between the consideration transferred and the net of assets.</w:t>
            </w:r>
          </w:p>
        </w:tc>
      </w:tr>
    </w:tbl>
    <w:p w14:paraId="43BDC535" w14:textId="465BBB2F" w:rsidR="00DA744D" w:rsidRDefault="00DA744D">
      <w:pPr>
        <w:rPr>
          <w:sz w:val="14"/>
        </w:rPr>
      </w:pPr>
    </w:p>
    <w:tbl>
      <w:tblPr>
        <w:tblW w:w="9197" w:type="dxa"/>
        <w:tblInd w:w="113" w:type="dxa"/>
        <w:tblCellMar>
          <w:left w:w="0" w:type="dxa"/>
          <w:right w:w="0" w:type="dxa"/>
        </w:tblCellMar>
        <w:tblLook w:val="01E0" w:firstRow="1" w:lastRow="1" w:firstColumn="1" w:lastColumn="1" w:noHBand="0" w:noVBand="0"/>
      </w:tblPr>
      <w:tblGrid>
        <w:gridCol w:w="2863"/>
        <w:gridCol w:w="1680"/>
        <w:gridCol w:w="101"/>
        <w:gridCol w:w="1680"/>
        <w:gridCol w:w="2873"/>
      </w:tblGrid>
      <w:tr w:rsidR="00D76D68" w:rsidRPr="0013526B" w14:paraId="4C402B3F" w14:textId="77777777" w:rsidTr="002453C4">
        <w:trPr>
          <w:trHeight w:val="20"/>
        </w:trPr>
        <w:tc>
          <w:tcPr>
            <w:tcW w:w="2863" w:type="dxa"/>
          </w:tcPr>
          <w:p w14:paraId="3DF8E54D" w14:textId="77777777" w:rsidR="00D76D68" w:rsidRPr="0013526B" w:rsidRDefault="00D76D68" w:rsidP="004A3865">
            <w:pPr>
              <w:ind w:left="284"/>
              <w:rPr>
                <w:sz w:val="18"/>
                <w:szCs w:val="18"/>
                <w:u w:val="single"/>
              </w:rPr>
            </w:pPr>
          </w:p>
        </w:tc>
        <w:tc>
          <w:tcPr>
            <w:tcW w:w="1680" w:type="dxa"/>
            <w:vAlign w:val="bottom"/>
          </w:tcPr>
          <w:p w14:paraId="108194F7" w14:textId="77777777" w:rsidR="00D76D68" w:rsidRPr="0013526B" w:rsidRDefault="00D76D68" w:rsidP="004A3865">
            <w:pPr>
              <w:tabs>
                <w:tab w:val="left" w:pos="1390"/>
              </w:tabs>
              <w:ind w:left="28" w:right="57"/>
              <w:jc w:val="center"/>
              <w:rPr>
                <w:b/>
                <w:sz w:val="18"/>
                <w:szCs w:val="18"/>
              </w:rPr>
            </w:pPr>
          </w:p>
        </w:tc>
        <w:tc>
          <w:tcPr>
            <w:tcW w:w="101" w:type="dxa"/>
          </w:tcPr>
          <w:p w14:paraId="563C80FA" w14:textId="77777777" w:rsidR="00D76D68" w:rsidRPr="0013526B" w:rsidRDefault="00D76D68" w:rsidP="004A3865">
            <w:pPr>
              <w:tabs>
                <w:tab w:val="left" w:pos="1390"/>
              </w:tabs>
              <w:ind w:left="28" w:right="28"/>
              <w:jc w:val="center"/>
              <w:rPr>
                <w:b/>
                <w:sz w:val="18"/>
                <w:szCs w:val="18"/>
              </w:rPr>
            </w:pPr>
          </w:p>
        </w:tc>
        <w:tc>
          <w:tcPr>
            <w:tcW w:w="1680" w:type="dxa"/>
            <w:vAlign w:val="bottom"/>
          </w:tcPr>
          <w:p w14:paraId="6A2CC7F7" w14:textId="77777777" w:rsidR="00D76D68" w:rsidRPr="0013526B" w:rsidRDefault="00D76D68" w:rsidP="004A3865">
            <w:pPr>
              <w:tabs>
                <w:tab w:val="left" w:pos="1390"/>
              </w:tabs>
              <w:ind w:left="28" w:right="57"/>
              <w:jc w:val="center"/>
              <w:rPr>
                <w:b/>
                <w:sz w:val="18"/>
                <w:szCs w:val="18"/>
              </w:rPr>
            </w:pPr>
          </w:p>
        </w:tc>
        <w:tc>
          <w:tcPr>
            <w:tcW w:w="2873" w:type="dxa"/>
          </w:tcPr>
          <w:p w14:paraId="53004411" w14:textId="77777777" w:rsidR="00D76D68" w:rsidRPr="0013526B" w:rsidRDefault="00D76D68" w:rsidP="004A3865">
            <w:pPr>
              <w:ind w:left="43" w:right="216"/>
              <w:jc w:val="center"/>
              <w:rPr>
                <w:i/>
                <w:sz w:val="18"/>
                <w:szCs w:val="18"/>
                <w:u w:val="single"/>
              </w:rPr>
            </w:pPr>
          </w:p>
        </w:tc>
      </w:tr>
      <w:tr w:rsidR="002453C4" w:rsidRPr="0013526B" w14:paraId="7BF45607" w14:textId="77777777" w:rsidTr="002453C4">
        <w:trPr>
          <w:trHeight w:val="20"/>
        </w:trPr>
        <w:tc>
          <w:tcPr>
            <w:tcW w:w="2863" w:type="dxa"/>
          </w:tcPr>
          <w:p w14:paraId="54C7FF61" w14:textId="77777777" w:rsidR="002453C4" w:rsidRPr="0013526B" w:rsidRDefault="002453C4" w:rsidP="002453C4">
            <w:pPr>
              <w:ind w:left="284"/>
              <w:rPr>
                <w:sz w:val="18"/>
                <w:szCs w:val="18"/>
                <w:u w:val="single"/>
              </w:rPr>
            </w:pPr>
          </w:p>
        </w:tc>
        <w:tc>
          <w:tcPr>
            <w:tcW w:w="1680" w:type="dxa"/>
            <w:tcBorders>
              <w:bottom w:val="single" w:sz="4" w:space="0" w:color="auto"/>
            </w:tcBorders>
            <w:vAlign w:val="bottom"/>
          </w:tcPr>
          <w:p w14:paraId="3BFB6EB6" w14:textId="77777777" w:rsidR="002453C4" w:rsidRDefault="002453C4" w:rsidP="002453C4">
            <w:pPr>
              <w:tabs>
                <w:tab w:val="left" w:pos="1390"/>
              </w:tabs>
              <w:ind w:left="28" w:right="57"/>
              <w:jc w:val="center"/>
              <w:rPr>
                <w:b/>
                <w:sz w:val="18"/>
                <w:szCs w:val="18"/>
              </w:rPr>
            </w:pPr>
            <w:r>
              <w:rPr>
                <w:b/>
                <w:sz w:val="18"/>
                <w:szCs w:val="18"/>
              </w:rPr>
              <w:t>31 Maret/</w:t>
            </w:r>
          </w:p>
          <w:p w14:paraId="179D10DF" w14:textId="4CE977BD" w:rsidR="002453C4" w:rsidRPr="0013526B" w:rsidRDefault="002453C4" w:rsidP="002453C4">
            <w:pPr>
              <w:tabs>
                <w:tab w:val="left" w:pos="1390"/>
              </w:tabs>
              <w:ind w:left="28" w:right="57"/>
              <w:jc w:val="center"/>
              <w:rPr>
                <w:b/>
                <w:sz w:val="18"/>
                <w:szCs w:val="18"/>
              </w:rPr>
            </w:pPr>
            <w:r>
              <w:rPr>
                <w:b/>
                <w:sz w:val="18"/>
                <w:szCs w:val="18"/>
              </w:rPr>
              <w:t>March 31</w:t>
            </w:r>
            <w:r w:rsidR="00305CA0">
              <w:rPr>
                <w:b/>
                <w:sz w:val="18"/>
                <w:szCs w:val="18"/>
              </w:rPr>
              <w:t>.</w:t>
            </w:r>
            <w:r>
              <w:rPr>
                <w:b/>
                <w:sz w:val="18"/>
                <w:szCs w:val="18"/>
              </w:rPr>
              <w:t xml:space="preserve"> 2020</w:t>
            </w:r>
          </w:p>
        </w:tc>
        <w:tc>
          <w:tcPr>
            <w:tcW w:w="101" w:type="dxa"/>
          </w:tcPr>
          <w:p w14:paraId="7F9CEC50" w14:textId="77777777" w:rsidR="002453C4" w:rsidRPr="0013526B" w:rsidRDefault="002453C4" w:rsidP="002453C4">
            <w:pPr>
              <w:tabs>
                <w:tab w:val="left" w:pos="1390"/>
              </w:tabs>
              <w:ind w:left="28" w:right="28"/>
              <w:jc w:val="center"/>
              <w:rPr>
                <w:b/>
                <w:sz w:val="18"/>
                <w:szCs w:val="18"/>
              </w:rPr>
            </w:pPr>
          </w:p>
        </w:tc>
        <w:tc>
          <w:tcPr>
            <w:tcW w:w="1680" w:type="dxa"/>
            <w:tcBorders>
              <w:bottom w:val="single" w:sz="4" w:space="0" w:color="auto"/>
            </w:tcBorders>
            <w:vAlign w:val="bottom"/>
          </w:tcPr>
          <w:p w14:paraId="12DF2D8E" w14:textId="77777777" w:rsidR="002453C4" w:rsidRDefault="002453C4" w:rsidP="002453C4">
            <w:pPr>
              <w:tabs>
                <w:tab w:val="left" w:pos="1390"/>
              </w:tabs>
              <w:ind w:left="28" w:right="57"/>
              <w:jc w:val="center"/>
              <w:rPr>
                <w:b/>
                <w:sz w:val="18"/>
                <w:szCs w:val="18"/>
              </w:rPr>
            </w:pPr>
            <w:r>
              <w:rPr>
                <w:b/>
                <w:sz w:val="18"/>
                <w:szCs w:val="18"/>
              </w:rPr>
              <w:t>31 Desember/</w:t>
            </w:r>
          </w:p>
          <w:p w14:paraId="4222A6D5" w14:textId="1E171310" w:rsidR="002453C4" w:rsidRPr="0013526B" w:rsidRDefault="002453C4" w:rsidP="002453C4">
            <w:pPr>
              <w:tabs>
                <w:tab w:val="left" w:pos="1390"/>
              </w:tabs>
              <w:ind w:left="28" w:right="57"/>
              <w:jc w:val="center"/>
              <w:rPr>
                <w:b/>
                <w:sz w:val="18"/>
                <w:szCs w:val="18"/>
              </w:rPr>
            </w:pPr>
            <w:r>
              <w:rPr>
                <w:b/>
                <w:sz w:val="18"/>
                <w:szCs w:val="18"/>
              </w:rPr>
              <w:t>December 31</w:t>
            </w:r>
            <w:r w:rsidR="00305CA0">
              <w:rPr>
                <w:b/>
                <w:sz w:val="18"/>
                <w:szCs w:val="18"/>
              </w:rPr>
              <w:t>.</w:t>
            </w:r>
            <w:r>
              <w:rPr>
                <w:b/>
                <w:sz w:val="18"/>
                <w:szCs w:val="18"/>
              </w:rPr>
              <w:t xml:space="preserve"> 2019</w:t>
            </w:r>
          </w:p>
        </w:tc>
        <w:tc>
          <w:tcPr>
            <w:tcW w:w="2873" w:type="dxa"/>
          </w:tcPr>
          <w:p w14:paraId="46671744" w14:textId="77777777" w:rsidR="002453C4" w:rsidRPr="0013526B" w:rsidRDefault="002453C4" w:rsidP="002453C4">
            <w:pPr>
              <w:ind w:left="43" w:right="216"/>
              <w:jc w:val="center"/>
              <w:rPr>
                <w:i/>
                <w:sz w:val="18"/>
                <w:szCs w:val="18"/>
                <w:u w:val="single"/>
              </w:rPr>
            </w:pPr>
          </w:p>
        </w:tc>
      </w:tr>
      <w:tr w:rsidR="00D76D68" w:rsidRPr="0013526B" w14:paraId="5F425A37" w14:textId="77777777" w:rsidTr="002453C4">
        <w:trPr>
          <w:trHeight w:val="20"/>
        </w:trPr>
        <w:tc>
          <w:tcPr>
            <w:tcW w:w="2863" w:type="dxa"/>
          </w:tcPr>
          <w:p w14:paraId="679551F0" w14:textId="77777777" w:rsidR="00D76D68" w:rsidRPr="0013526B" w:rsidRDefault="00D76D68" w:rsidP="004A3865">
            <w:pPr>
              <w:ind w:left="284"/>
              <w:rPr>
                <w:sz w:val="16"/>
                <w:szCs w:val="16"/>
                <w:u w:val="single"/>
              </w:rPr>
            </w:pPr>
          </w:p>
        </w:tc>
        <w:tc>
          <w:tcPr>
            <w:tcW w:w="1680" w:type="dxa"/>
            <w:vAlign w:val="bottom"/>
          </w:tcPr>
          <w:p w14:paraId="667546B7" w14:textId="77777777" w:rsidR="00D76D68" w:rsidRPr="0013526B" w:rsidRDefault="00D76D68" w:rsidP="004A3865">
            <w:pPr>
              <w:tabs>
                <w:tab w:val="left" w:pos="1390"/>
              </w:tabs>
              <w:ind w:left="28" w:right="57"/>
              <w:jc w:val="right"/>
              <w:rPr>
                <w:b/>
                <w:sz w:val="16"/>
                <w:szCs w:val="16"/>
              </w:rPr>
            </w:pPr>
          </w:p>
        </w:tc>
        <w:tc>
          <w:tcPr>
            <w:tcW w:w="101" w:type="dxa"/>
            <w:vAlign w:val="bottom"/>
          </w:tcPr>
          <w:p w14:paraId="3C26D537" w14:textId="77777777" w:rsidR="00D76D68" w:rsidRPr="0013526B" w:rsidRDefault="00D76D68" w:rsidP="004A3865">
            <w:pPr>
              <w:tabs>
                <w:tab w:val="left" w:pos="1390"/>
              </w:tabs>
              <w:ind w:left="28" w:right="28"/>
              <w:jc w:val="right"/>
              <w:rPr>
                <w:b/>
                <w:sz w:val="16"/>
                <w:szCs w:val="16"/>
              </w:rPr>
            </w:pPr>
          </w:p>
        </w:tc>
        <w:tc>
          <w:tcPr>
            <w:tcW w:w="1680" w:type="dxa"/>
            <w:tcBorders>
              <w:top w:val="single" w:sz="4" w:space="0" w:color="auto"/>
            </w:tcBorders>
            <w:vAlign w:val="bottom"/>
          </w:tcPr>
          <w:p w14:paraId="38CE66B0" w14:textId="77777777" w:rsidR="00D76D68" w:rsidRPr="0013526B" w:rsidRDefault="00D76D68" w:rsidP="004A3865">
            <w:pPr>
              <w:tabs>
                <w:tab w:val="left" w:pos="1390"/>
              </w:tabs>
              <w:ind w:left="28" w:right="57"/>
              <w:jc w:val="right"/>
              <w:rPr>
                <w:b/>
                <w:sz w:val="16"/>
                <w:szCs w:val="16"/>
              </w:rPr>
            </w:pPr>
          </w:p>
        </w:tc>
        <w:tc>
          <w:tcPr>
            <w:tcW w:w="2873" w:type="dxa"/>
          </w:tcPr>
          <w:p w14:paraId="61464142" w14:textId="77777777" w:rsidR="00D76D68" w:rsidRPr="0013526B" w:rsidRDefault="00D76D68" w:rsidP="004A3865">
            <w:pPr>
              <w:ind w:left="43" w:right="216"/>
              <w:jc w:val="center"/>
              <w:rPr>
                <w:i/>
                <w:sz w:val="16"/>
                <w:szCs w:val="16"/>
                <w:u w:val="single"/>
              </w:rPr>
            </w:pPr>
          </w:p>
        </w:tc>
      </w:tr>
      <w:tr w:rsidR="007E5684" w:rsidRPr="0013526B" w14:paraId="48792DB8" w14:textId="77777777" w:rsidTr="002453C4">
        <w:trPr>
          <w:trHeight w:val="20"/>
        </w:trPr>
        <w:tc>
          <w:tcPr>
            <w:tcW w:w="2863" w:type="dxa"/>
          </w:tcPr>
          <w:p w14:paraId="0F8BD6A3" w14:textId="3119FB93" w:rsidR="007E5684" w:rsidRPr="0013526B" w:rsidRDefault="007E5684" w:rsidP="007E5684">
            <w:pPr>
              <w:ind w:left="539" w:hanging="142"/>
              <w:rPr>
                <w:sz w:val="18"/>
                <w:szCs w:val="18"/>
              </w:rPr>
            </w:pPr>
            <w:r>
              <w:rPr>
                <w:sz w:val="18"/>
                <w:szCs w:val="18"/>
              </w:rPr>
              <w:t>Imbalan yang dialihkan</w:t>
            </w:r>
          </w:p>
        </w:tc>
        <w:tc>
          <w:tcPr>
            <w:tcW w:w="1680" w:type="dxa"/>
            <w:shd w:val="clear" w:color="auto" w:fill="auto"/>
            <w:vAlign w:val="bottom"/>
          </w:tcPr>
          <w:p w14:paraId="02B5D8DA" w14:textId="6B8B1D5A" w:rsidR="007E5684" w:rsidRPr="0013526B" w:rsidRDefault="007E5684" w:rsidP="007E5684">
            <w:pPr>
              <w:tabs>
                <w:tab w:val="left" w:pos="1390"/>
              </w:tabs>
              <w:ind w:left="28" w:right="57"/>
              <w:jc w:val="right"/>
              <w:rPr>
                <w:sz w:val="18"/>
                <w:szCs w:val="18"/>
              </w:rPr>
            </w:pPr>
            <w:r>
              <w:rPr>
                <w:sz w:val="18"/>
                <w:szCs w:val="18"/>
              </w:rPr>
              <w:t>305.383.868.760</w:t>
            </w:r>
          </w:p>
        </w:tc>
        <w:tc>
          <w:tcPr>
            <w:tcW w:w="101" w:type="dxa"/>
            <w:vAlign w:val="bottom"/>
          </w:tcPr>
          <w:p w14:paraId="154CC810" w14:textId="77777777" w:rsidR="007E5684" w:rsidRPr="0013526B" w:rsidRDefault="007E5684" w:rsidP="007E5684">
            <w:pPr>
              <w:tabs>
                <w:tab w:val="left" w:pos="1390"/>
              </w:tabs>
              <w:ind w:left="28" w:right="28"/>
              <w:jc w:val="right"/>
              <w:rPr>
                <w:sz w:val="18"/>
                <w:szCs w:val="18"/>
              </w:rPr>
            </w:pPr>
          </w:p>
        </w:tc>
        <w:tc>
          <w:tcPr>
            <w:tcW w:w="1680" w:type="dxa"/>
            <w:vAlign w:val="bottom"/>
          </w:tcPr>
          <w:p w14:paraId="3DA3CF61" w14:textId="33EB0EEA" w:rsidR="007E5684" w:rsidRPr="0013526B" w:rsidRDefault="007E5684" w:rsidP="007E5684">
            <w:pPr>
              <w:tabs>
                <w:tab w:val="left" w:pos="1390"/>
              </w:tabs>
              <w:ind w:left="28" w:right="57"/>
              <w:jc w:val="right"/>
              <w:rPr>
                <w:sz w:val="18"/>
                <w:szCs w:val="18"/>
              </w:rPr>
            </w:pPr>
            <w:r>
              <w:rPr>
                <w:sz w:val="18"/>
                <w:szCs w:val="18"/>
              </w:rPr>
              <w:t>305.383.868.760</w:t>
            </w:r>
          </w:p>
        </w:tc>
        <w:tc>
          <w:tcPr>
            <w:tcW w:w="2873" w:type="dxa"/>
          </w:tcPr>
          <w:p w14:paraId="5057843E" w14:textId="049D14C9" w:rsidR="007E5684" w:rsidRPr="0013526B" w:rsidRDefault="007E5684" w:rsidP="007E5684">
            <w:pPr>
              <w:ind w:right="198"/>
              <w:jc w:val="right"/>
              <w:rPr>
                <w:i/>
                <w:sz w:val="18"/>
                <w:szCs w:val="18"/>
              </w:rPr>
            </w:pPr>
            <w:r>
              <w:rPr>
                <w:i/>
                <w:sz w:val="18"/>
                <w:szCs w:val="18"/>
              </w:rPr>
              <w:t>Consideration transferred</w:t>
            </w:r>
          </w:p>
        </w:tc>
      </w:tr>
      <w:tr w:rsidR="007E5684" w:rsidRPr="0013526B" w14:paraId="583F4008" w14:textId="77777777" w:rsidTr="002453C4">
        <w:trPr>
          <w:trHeight w:val="20"/>
        </w:trPr>
        <w:tc>
          <w:tcPr>
            <w:tcW w:w="2863" w:type="dxa"/>
          </w:tcPr>
          <w:p w14:paraId="4D466475" w14:textId="3C404684" w:rsidR="007E5684" w:rsidRDefault="007E5684" w:rsidP="007E5684">
            <w:pPr>
              <w:ind w:left="539" w:hanging="142"/>
              <w:rPr>
                <w:sz w:val="18"/>
                <w:szCs w:val="18"/>
              </w:rPr>
            </w:pPr>
            <w:r>
              <w:rPr>
                <w:sz w:val="18"/>
                <w:szCs w:val="18"/>
              </w:rPr>
              <w:t>Aset neto</w:t>
            </w:r>
          </w:p>
        </w:tc>
        <w:tc>
          <w:tcPr>
            <w:tcW w:w="1680" w:type="dxa"/>
            <w:tcBorders>
              <w:bottom w:val="single" w:sz="4" w:space="0" w:color="auto"/>
            </w:tcBorders>
            <w:shd w:val="clear" w:color="auto" w:fill="auto"/>
            <w:vAlign w:val="bottom"/>
          </w:tcPr>
          <w:p w14:paraId="2088C615" w14:textId="52F1EEAB" w:rsidR="007E5684" w:rsidRPr="0013526B" w:rsidRDefault="007E5684" w:rsidP="007E5684">
            <w:pPr>
              <w:tabs>
                <w:tab w:val="left" w:pos="1390"/>
              </w:tabs>
              <w:ind w:left="28" w:right="57"/>
              <w:jc w:val="right"/>
              <w:rPr>
                <w:sz w:val="18"/>
                <w:szCs w:val="18"/>
              </w:rPr>
            </w:pPr>
            <w:r>
              <w:rPr>
                <w:sz w:val="18"/>
                <w:szCs w:val="18"/>
              </w:rPr>
              <w:t>(67.613.294.523)</w:t>
            </w:r>
          </w:p>
        </w:tc>
        <w:tc>
          <w:tcPr>
            <w:tcW w:w="101" w:type="dxa"/>
            <w:vAlign w:val="bottom"/>
          </w:tcPr>
          <w:p w14:paraId="3A23C47C" w14:textId="77777777" w:rsidR="007E5684" w:rsidRPr="0013526B" w:rsidRDefault="007E5684" w:rsidP="007E5684">
            <w:pPr>
              <w:tabs>
                <w:tab w:val="left" w:pos="1390"/>
              </w:tabs>
              <w:ind w:left="28" w:right="28"/>
              <w:jc w:val="right"/>
              <w:rPr>
                <w:sz w:val="18"/>
                <w:szCs w:val="18"/>
              </w:rPr>
            </w:pPr>
          </w:p>
        </w:tc>
        <w:tc>
          <w:tcPr>
            <w:tcW w:w="1680" w:type="dxa"/>
            <w:tcBorders>
              <w:bottom w:val="single" w:sz="4" w:space="0" w:color="auto"/>
            </w:tcBorders>
            <w:vAlign w:val="bottom"/>
          </w:tcPr>
          <w:p w14:paraId="09358D03" w14:textId="24A5ABA6" w:rsidR="007E5684" w:rsidRPr="0013526B" w:rsidRDefault="007E5684" w:rsidP="007E5684">
            <w:pPr>
              <w:tabs>
                <w:tab w:val="left" w:pos="1390"/>
              </w:tabs>
              <w:ind w:left="28" w:right="57"/>
              <w:jc w:val="right"/>
              <w:rPr>
                <w:sz w:val="18"/>
                <w:szCs w:val="18"/>
              </w:rPr>
            </w:pPr>
            <w:r>
              <w:rPr>
                <w:sz w:val="18"/>
                <w:szCs w:val="18"/>
              </w:rPr>
              <w:t>(67.613.294.523)</w:t>
            </w:r>
          </w:p>
        </w:tc>
        <w:tc>
          <w:tcPr>
            <w:tcW w:w="2873" w:type="dxa"/>
          </w:tcPr>
          <w:p w14:paraId="666F55E6" w14:textId="1FDEFEBD" w:rsidR="007E5684" w:rsidRPr="0013526B" w:rsidRDefault="00F64A5D" w:rsidP="007E5684">
            <w:pPr>
              <w:ind w:right="198"/>
              <w:jc w:val="right"/>
              <w:rPr>
                <w:i/>
                <w:sz w:val="18"/>
                <w:szCs w:val="18"/>
              </w:rPr>
            </w:pPr>
            <w:r>
              <w:rPr>
                <w:i/>
                <w:sz w:val="18"/>
                <w:szCs w:val="18"/>
              </w:rPr>
              <w:t>Value of the n</w:t>
            </w:r>
            <w:r w:rsidR="007E5684">
              <w:rPr>
                <w:i/>
                <w:sz w:val="18"/>
                <w:szCs w:val="18"/>
              </w:rPr>
              <w:t>et assets</w:t>
            </w:r>
          </w:p>
        </w:tc>
      </w:tr>
      <w:tr w:rsidR="007E5684" w:rsidRPr="0013526B" w14:paraId="107DDE13" w14:textId="77777777" w:rsidTr="002453C4">
        <w:trPr>
          <w:trHeight w:val="20"/>
        </w:trPr>
        <w:tc>
          <w:tcPr>
            <w:tcW w:w="2863" w:type="dxa"/>
          </w:tcPr>
          <w:p w14:paraId="709F9038" w14:textId="77777777" w:rsidR="007E5684" w:rsidRDefault="007E5684" w:rsidP="007E5684">
            <w:pPr>
              <w:ind w:left="539" w:hanging="142"/>
              <w:rPr>
                <w:sz w:val="18"/>
                <w:szCs w:val="18"/>
              </w:rPr>
            </w:pPr>
          </w:p>
        </w:tc>
        <w:tc>
          <w:tcPr>
            <w:tcW w:w="1680" w:type="dxa"/>
            <w:tcBorders>
              <w:top w:val="single" w:sz="4" w:space="0" w:color="auto"/>
            </w:tcBorders>
            <w:shd w:val="clear" w:color="auto" w:fill="auto"/>
            <w:vAlign w:val="bottom"/>
          </w:tcPr>
          <w:p w14:paraId="346C9D2B" w14:textId="77777777" w:rsidR="007E5684" w:rsidRPr="0013526B" w:rsidRDefault="007E5684" w:rsidP="007E5684">
            <w:pPr>
              <w:tabs>
                <w:tab w:val="left" w:pos="1390"/>
              </w:tabs>
              <w:ind w:left="28" w:right="57"/>
              <w:jc w:val="right"/>
              <w:rPr>
                <w:sz w:val="18"/>
                <w:szCs w:val="18"/>
              </w:rPr>
            </w:pPr>
          </w:p>
        </w:tc>
        <w:tc>
          <w:tcPr>
            <w:tcW w:w="101" w:type="dxa"/>
            <w:vAlign w:val="bottom"/>
          </w:tcPr>
          <w:p w14:paraId="45D658F5" w14:textId="77777777" w:rsidR="007E5684" w:rsidRPr="0013526B" w:rsidRDefault="007E5684" w:rsidP="007E5684">
            <w:pPr>
              <w:tabs>
                <w:tab w:val="left" w:pos="1390"/>
              </w:tabs>
              <w:ind w:left="28" w:right="28"/>
              <w:jc w:val="right"/>
              <w:rPr>
                <w:sz w:val="18"/>
                <w:szCs w:val="18"/>
              </w:rPr>
            </w:pPr>
          </w:p>
        </w:tc>
        <w:tc>
          <w:tcPr>
            <w:tcW w:w="1680" w:type="dxa"/>
            <w:tcBorders>
              <w:top w:val="single" w:sz="4" w:space="0" w:color="auto"/>
            </w:tcBorders>
            <w:vAlign w:val="bottom"/>
          </w:tcPr>
          <w:p w14:paraId="4B1F7CC7" w14:textId="77777777" w:rsidR="007E5684" w:rsidRPr="0013526B" w:rsidRDefault="007E5684" w:rsidP="007E5684">
            <w:pPr>
              <w:tabs>
                <w:tab w:val="left" w:pos="1390"/>
              </w:tabs>
              <w:ind w:left="28" w:right="57"/>
              <w:jc w:val="right"/>
              <w:rPr>
                <w:sz w:val="18"/>
                <w:szCs w:val="18"/>
              </w:rPr>
            </w:pPr>
          </w:p>
        </w:tc>
        <w:tc>
          <w:tcPr>
            <w:tcW w:w="2873" w:type="dxa"/>
          </w:tcPr>
          <w:p w14:paraId="1202CCF7" w14:textId="77777777" w:rsidR="007E5684" w:rsidRPr="0013526B" w:rsidRDefault="007E5684" w:rsidP="007E5684">
            <w:pPr>
              <w:ind w:right="198"/>
              <w:jc w:val="right"/>
              <w:rPr>
                <w:i/>
                <w:sz w:val="18"/>
                <w:szCs w:val="18"/>
              </w:rPr>
            </w:pPr>
          </w:p>
        </w:tc>
      </w:tr>
      <w:tr w:rsidR="007E5684" w:rsidRPr="0013526B" w14:paraId="747B457E" w14:textId="77777777" w:rsidTr="002453C4">
        <w:trPr>
          <w:trHeight w:val="20"/>
        </w:trPr>
        <w:tc>
          <w:tcPr>
            <w:tcW w:w="2863" w:type="dxa"/>
          </w:tcPr>
          <w:p w14:paraId="6BDBB499" w14:textId="6C1E5083" w:rsidR="007E5684" w:rsidRPr="00D76D68" w:rsidRDefault="007E5684" w:rsidP="007E5684">
            <w:pPr>
              <w:ind w:left="539" w:hanging="142"/>
              <w:rPr>
                <w:b/>
                <w:bCs w:val="0"/>
                <w:i/>
                <w:iCs/>
                <w:sz w:val="16"/>
                <w:szCs w:val="16"/>
              </w:rPr>
            </w:pPr>
            <w:r>
              <w:rPr>
                <w:b/>
                <w:bCs w:val="0"/>
                <w:sz w:val="16"/>
                <w:szCs w:val="16"/>
              </w:rPr>
              <w:t xml:space="preserve">Jumlah </w:t>
            </w:r>
            <w:r>
              <w:rPr>
                <w:b/>
                <w:bCs w:val="0"/>
                <w:i/>
                <w:iCs/>
                <w:sz w:val="16"/>
                <w:szCs w:val="16"/>
              </w:rPr>
              <w:t>goodwill</w:t>
            </w:r>
          </w:p>
        </w:tc>
        <w:tc>
          <w:tcPr>
            <w:tcW w:w="1680" w:type="dxa"/>
            <w:tcBorders>
              <w:bottom w:val="double" w:sz="4" w:space="0" w:color="auto"/>
            </w:tcBorders>
            <w:shd w:val="clear" w:color="auto" w:fill="auto"/>
            <w:vAlign w:val="bottom"/>
          </w:tcPr>
          <w:p w14:paraId="66AC39BB" w14:textId="265E0265" w:rsidR="007E5684" w:rsidRPr="008723B4" w:rsidRDefault="007E5684" w:rsidP="007E5684">
            <w:pPr>
              <w:tabs>
                <w:tab w:val="left" w:pos="1390"/>
              </w:tabs>
              <w:ind w:left="28" w:right="57"/>
              <w:jc w:val="right"/>
              <w:rPr>
                <w:sz w:val="18"/>
                <w:szCs w:val="18"/>
              </w:rPr>
            </w:pPr>
            <w:r w:rsidRPr="008723B4">
              <w:rPr>
                <w:b/>
                <w:bCs w:val="0"/>
                <w:sz w:val="18"/>
                <w:szCs w:val="18"/>
              </w:rPr>
              <w:t>237.770.574.237</w:t>
            </w:r>
          </w:p>
        </w:tc>
        <w:tc>
          <w:tcPr>
            <w:tcW w:w="101" w:type="dxa"/>
            <w:vAlign w:val="bottom"/>
          </w:tcPr>
          <w:p w14:paraId="782FA75A" w14:textId="77777777" w:rsidR="007E5684" w:rsidRPr="008723B4" w:rsidRDefault="007E5684" w:rsidP="007E5684">
            <w:pPr>
              <w:tabs>
                <w:tab w:val="left" w:pos="1390"/>
              </w:tabs>
              <w:ind w:left="28" w:right="28"/>
              <w:jc w:val="right"/>
              <w:rPr>
                <w:sz w:val="18"/>
                <w:szCs w:val="18"/>
              </w:rPr>
            </w:pPr>
          </w:p>
        </w:tc>
        <w:tc>
          <w:tcPr>
            <w:tcW w:w="1680" w:type="dxa"/>
            <w:tcBorders>
              <w:bottom w:val="double" w:sz="4" w:space="0" w:color="auto"/>
            </w:tcBorders>
            <w:vAlign w:val="bottom"/>
          </w:tcPr>
          <w:p w14:paraId="57342187" w14:textId="2586E953" w:rsidR="007E5684" w:rsidRPr="008723B4" w:rsidRDefault="007E5684" w:rsidP="007E5684">
            <w:pPr>
              <w:tabs>
                <w:tab w:val="left" w:pos="1390"/>
              </w:tabs>
              <w:ind w:left="28" w:right="57"/>
              <w:jc w:val="right"/>
              <w:rPr>
                <w:b/>
                <w:bCs w:val="0"/>
                <w:sz w:val="18"/>
                <w:szCs w:val="18"/>
              </w:rPr>
            </w:pPr>
            <w:r w:rsidRPr="008723B4">
              <w:rPr>
                <w:b/>
                <w:bCs w:val="0"/>
                <w:sz w:val="18"/>
                <w:szCs w:val="18"/>
              </w:rPr>
              <w:t>237.770.574.237</w:t>
            </w:r>
          </w:p>
        </w:tc>
        <w:tc>
          <w:tcPr>
            <w:tcW w:w="2873" w:type="dxa"/>
          </w:tcPr>
          <w:p w14:paraId="05F71F5F" w14:textId="2AB5FA6B" w:rsidR="007E5684" w:rsidRPr="00D76D68" w:rsidRDefault="007E5684" w:rsidP="007E5684">
            <w:pPr>
              <w:ind w:left="43" w:right="216"/>
              <w:jc w:val="right"/>
              <w:rPr>
                <w:b/>
                <w:bCs w:val="0"/>
                <w:i/>
                <w:sz w:val="16"/>
                <w:szCs w:val="16"/>
              </w:rPr>
            </w:pPr>
            <w:r>
              <w:rPr>
                <w:b/>
                <w:bCs w:val="0"/>
                <w:i/>
                <w:sz w:val="16"/>
                <w:szCs w:val="16"/>
              </w:rPr>
              <w:t>Total goodwill</w:t>
            </w:r>
          </w:p>
        </w:tc>
      </w:tr>
    </w:tbl>
    <w:p w14:paraId="4828C321" w14:textId="5ED2A6A6" w:rsidR="00D76D68" w:rsidRDefault="00D76D68">
      <w:pPr>
        <w:rPr>
          <w:sz w:val="14"/>
        </w:rPr>
      </w:pPr>
    </w:p>
    <w:tbl>
      <w:tblPr>
        <w:tblW w:w="9197" w:type="dxa"/>
        <w:tblLook w:val="0000" w:firstRow="0" w:lastRow="0" w:firstColumn="0" w:lastColumn="0" w:noHBand="0" w:noVBand="0"/>
      </w:tblPr>
      <w:tblGrid>
        <w:gridCol w:w="4598"/>
        <w:gridCol w:w="4599"/>
      </w:tblGrid>
      <w:tr w:rsidR="00D76D68" w:rsidRPr="0013526B" w14:paraId="3D728752" w14:textId="77777777" w:rsidTr="004A3865">
        <w:trPr>
          <w:trHeight w:val="363"/>
        </w:trPr>
        <w:tc>
          <w:tcPr>
            <w:tcW w:w="4598" w:type="dxa"/>
            <w:tcBorders>
              <w:top w:val="nil"/>
              <w:left w:val="nil"/>
              <w:bottom w:val="nil"/>
              <w:right w:val="nil"/>
            </w:tcBorders>
          </w:tcPr>
          <w:p w14:paraId="16A0EC38" w14:textId="04B9674B" w:rsidR="00D76D68" w:rsidRPr="00D76D68" w:rsidRDefault="00D76D68" w:rsidP="004A3865">
            <w:pPr>
              <w:ind w:left="377" w:right="-57"/>
              <w:jc w:val="both"/>
              <w:rPr>
                <w:iCs/>
                <w:sz w:val="18"/>
                <w:szCs w:val="18"/>
              </w:rPr>
            </w:pPr>
            <w:r>
              <w:rPr>
                <w:iCs/>
                <w:sz w:val="18"/>
                <w:szCs w:val="18"/>
              </w:rPr>
              <w:t xml:space="preserve">Imbalan yang dialihkan tersebut mengacu kepada Laporan Penilaian Saham antara SRAJ dan BMC yang di rilis oleh Kantor Jasa Penilai Publik Stefanus Tonny Hardi dan Rekan (KJPP STH) masing-masing pada tanggal 27 Februari 2018 dan 24 April 2018. </w:t>
            </w:r>
          </w:p>
        </w:tc>
        <w:tc>
          <w:tcPr>
            <w:tcW w:w="4598" w:type="dxa"/>
            <w:tcBorders>
              <w:top w:val="nil"/>
              <w:left w:val="nil"/>
              <w:bottom w:val="nil"/>
              <w:right w:val="nil"/>
            </w:tcBorders>
          </w:tcPr>
          <w:p w14:paraId="3692EBF3" w14:textId="4449B515" w:rsidR="00D76D68" w:rsidRPr="0013526B" w:rsidRDefault="00D76D68" w:rsidP="00415E1B">
            <w:pPr>
              <w:ind w:left="397" w:right="-57"/>
              <w:jc w:val="both"/>
              <w:rPr>
                <w:i/>
                <w:sz w:val="18"/>
                <w:szCs w:val="18"/>
              </w:rPr>
            </w:pPr>
            <w:r>
              <w:rPr>
                <w:i/>
                <w:sz w:val="18"/>
                <w:szCs w:val="18"/>
              </w:rPr>
              <w:t>Consideration transferred is referred to Report of Stock Valuation between SRAJ and BMC which released by Kantor Jasa Penilai Publik Stefanus Tonny Hardi dan Rekan (KJPP STH) dated February 27</w:t>
            </w:r>
            <w:r w:rsidR="00305CA0">
              <w:rPr>
                <w:i/>
                <w:sz w:val="18"/>
                <w:szCs w:val="18"/>
              </w:rPr>
              <w:t>.</w:t>
            </w:r>
            <w:r w:rsidR="00946853">
              <w:rPr>
                <w:i/>
                <w:sz w:val="18"/>
                <w:szCs w:val="18"/>
              </w:rPr>
              <w:t xml:space="preserve"> </w:t>
            </w:r>
            <w:r>
              <w:rPr>
                <w:i/>
                <w:sz w:val="18"/>
                <w:szCs w:val="18"/>
              </w:rPr>
              <w:t>2018 and April 24</w:t>
            </w:r>
            <w:r w:rsidR="00305CA0">
              <w:rPr>
                <w:i/>
                <w:sz w:val="18"/>
                <w:szCs w:val="18"/>
              </w:rPr>
              <w:t>.</w:t>
            </w:r>
            <w:r w:rsidR="00946853">
              <w:rPr>
                <w:i/>
                <w:sz w:val="18"/>
                <w:szCs w:val="18"/>
              </w:rPr>
              <w:t xml:space="preserve"> </w:t>
            </w:r>
            <w:r>
              <w:rPr>
                <w:i/>
                <w:sz w:val="18"/>
                <w:szCs w:val="18"/>
              </w:rPr>
              <w:t>2018.</w:t>
            </w:r>
          </w:p>
        </w:tc>
      </w:tr>
    </w:tbl>
    <w:p w14:paraId="52500A17" w14:textId="77777777" w:rsidR="00D76D68" w:rsidRDefault="00D76D68">
      <w:pPr>
        <w:rPr>
          <w:sz w:val="14"/>
        </w:rPr>
      </w:pPr>
    </w:p>
    <w:p w14:paraId="442C5EB5" w14:textId="77777777" w:rsidR="005B0F02" w:rsidRPr="002A0921" w:rsidRDefault="005B0F02">
      <w:pPr>
        <w:rPr>
          <w:sz w:val="14"/>
        </w:rPr>
      </w:pPr>
    </w:p>
    <w:tbl>
      <w:tblPr>
        <w:tblW w:w="9197" w:type="dxa"/>
        <w:tblInd w:w="112" w:type="dxa"/>
        <w:tblLook w:val="0000" w:firstRow="0" w:lastRow="0" w:firstColumn="0" w:lastColumn="0" w:noHBand="0" w:noVBand="0"/>
      </w:tblPr>
      <w:tblGrid>
        <w:gridCol w:w="4655"/>
        <w:gridCol w:w="4542"/>
      </w:tblGrid>
      <w:tr w:rsidR="005D1CE2" w:rsidRPr="007E5684" w14:paraId="24320CB4" w14:textId="77777777" w:rsidTr="005B429F">
        <w:trPr>
          <w:trHeight w:val="212"/>
        </w:trPr>
        <w:tc>
          <w:tcPr>
            <w:tcW w:w="4598" w:type="dxa"/>
            <w:tcBorders>
              <w:top w:val="nil"/>
              <w:left w:val="nil"/>
              <w:bottom w:val="nil"/>
              <w:right w:val="nil"/>
            </w:tcBorders>
            <w:shd w:val="clear" w:color="auto" w:fill="auto"/>
          </w:tcPr>
          <w:p w14:paraId="6640DCF4" w14:textId="0A8F84BF" w:rsidR="005D1CE2" w:rsidRPr="007E5684" w:rsidRDefault="005D1CE2" w:rsidP="00070D1F">
            <w:pPr>
              <w:numPr>
                <w:ilvl w:val="0"/>
                <w:numId w:val="411"/>
              </w:numPr>
              <w:ind w:left="293" w:right="-57" w:hanging="349"/>
              <w:jc w:val="both"/>
              <w:rPr>
                <w:b/>
                <w:sz w:val="18"/>
                <w:szCs w:val="18"/>
              </w:rPr>
            </w:pPr>
            <w:r w:rsidRPr="005D1CE2">
              <w:rPr>
                <w:b/>
                <w:sz w:val="18"/>
                <w:szCs w:val="18"/>
              </w:rPr>
              <w:br w:type="page"/>
              <w:t>INSTRUMEN KEUANGAN</w:t>
            </w:r>
          </w:p>
        </w:tc>
        <w:tc>
          <w:tcPr>
            <w:tcW w:w="4487" w:type="dxa"/>
            <w:tcBorders>
              <w:top w:val="nil"/>
              <w:left w:val="nil"/>
              <w:bottom w:val="nil"/>
              <w:right w:val="nil"/>
            </w:tcBorders>
            <w:shd w:val="clear" w:color="auto" w:fill="auto"/>
          </w:tcPr>
          <w:p w14:paraId="7E15C4F6" w14:textId="54CFB53A" w:rsidR="005D1CE2" w:rsidRPr="007E5684" w:rsidRDefault="005D1CE2" w:rsidP="00070D1F">
            <w:pPr>
              <w:numPr>
                <w:ilvl w:val="0"/>
                <w:numId w:val="414"/>
              </w:numPr>
              <w:ind w:right="-57"/>
              <w:jc w:val="both"/>
              <w:rPr>
                <w:b/>
                <w:i/>
                <w:iCs/>
                <w:sz w:val="18"/>
                <w:szCs w:val="18"/>
              </w:rPr>
            </w:pPr>
            <w:r w:rsidRPr="007E5684">
              <w:rPr>
                <w:b/>
                <w:i/>
                <w:iCs/>
                <w:sz w:val="18"/>
                <w:szCs w:val="18"/>
              </w:rPr>
              <w:t>FINANCIAL INSTRUMENTS</w:t>
            </w:r>
          </w:p>
        </w:tc>
      </w:tr>
      <w:tr w:rsidR="005D1CE2" w:rsidRPr="0013526B" w14:paraId="02641A0F" w14:textId="77777777" w:rsidTr="005B429F">
        <w:trPr>
          <w:trHeight w:val="151"/>
        </w:trPr>
        <w:tc>
          <w:tcPr>
            <w:tcW w:w="4598" w:type="dxa"/>
            <w:tcBorders>
              <w:top w:val="nil"/>
              <w:left w:val="nil"/>
              <w:bottom w:val="nil"/>
              <w:right w:val="nil"/>
            </w:tcBorders>
          </w:tcPr>
          <w:p w14:paraId="23A2C1C7" w14:textId="77777777" w:rsidR="005D1CE2" w:rsidRPr="00605E4C" w:rsidRDefault="005D1CE2" w:rsidP="0013526B">
            <w:pPr>
              <w:ind w:left="357" w:right="-57"/>
              <w:jc w:val="both"/>
              <w:rPr>
                <w:i/>
                <w:sz w:val="14"/>
                <w:szCs w:val="18"/>
              </w:rPr>
            </w:pPr>
          </w:p>
        </w:tc>
        <w:tc>
          <w:tcPr>
            <w:tcW w:w="4487" w:type="dxa"/>
            <w:tcBorders>
              <w:top w:val="nil"/>
              <w:left w:val="nil"/>
              <w:bottom w:val="nil"/>
              <w:right w:val="nil"/>
            </w:tcBorders>
          </w:tcPr>
          <w:p w14:paraId="2E2FFF5B" w14:textId="1E85BA36" w:rsidR="005D1CE2" w:rsidRPr="00605E4C" w:rsidRDefault="005D1CE2" w:rsidP="0013526B">
            <w:pPr>
              <w:ind w:left="357" w:right="-57"/>
              <w:jc w:val="both"/>
              <w:rPr>
                <w:i/>
                <w:sz w:val="14"/>
                <w:szCs w:val="18"/>
              </w:rPr>
            </w:pPr>
          </w:p>
        </w:tc>
      </w:tr>
      <w:tr w:rsidR="005D1CE2" w:rsidRPr="0013526B" w14:paraId="2C5F3248" w14:textId="77777777" w:rsidTr="005B429F">
        <w:trPr>
          <w:trHeight w:val="958"/>
        </w:trPr>
        <w:tc>
          <w:tcPr>
            <w:tcW w:w="4598" w:type="dxa"/>
            <w:tcBorders>
              <w:top w:val="nil"/>
              <w:left w:val="nil"/>
              <w:bottom w:val="nil"/>
              <w:right w:val="nil"/>
            </w:tcBorders>
          </w:tcPr>
          <w:p w14:paraId="6D0E40D0" w14:textId="754B1372" w:rsidR="005D1CE2" w:rsidRPr="0013526B" w:rsidRDefault="005D1CE2" w:rsidP="00946853">
            <w:pPr>
              <w:ind w:left="284" w:right="-57"/>
              <w:jc w:val="both"/>
              <w:rPr>
                <w:i/>
                <w:sz w:val="18"/>
                <w:szCs w:val="18"/>
              </w:rPr>
            </w:pPr>
            <w:r w:rsidRPr="0013526B">
              <w:rPr>
                <w:sz w:val="18"/>
                <w:szCs w:val="18"/>
              </w:rPr>
              <w:t xml:space="preserve">Nilai tercatat dan taksiran nilai wajar dari instrumen keuangan Kelompok Usaha yang dicatat di laporan posisi keuangan konsolidasian tanggal </w:t>
            </w:r>
            <w:r w:rsidR="00946853">
              <w:rPr>
                <w:sz w:val="18"/>
                <w:szCs w:val="18"/>
              </w:rPr>
              <w:t xml:space="preserve">31 Maret 2020 dan </w:t>
            </w:r>
            <w:r w:rsidRPr="0013526B">
              <w:rPr>
                <w:sz w:val="18"/>
                <w:szCs w:val="18"/>
              </w:rPr>
              <w:t>31 Desember 201</w:t>
            </w:r>
            <w:r w:rsidR="007E5684">
              <w:rPr>
                <w:sz w:val="18"/>
                <w:szCs w:val="18"/>
              </w:rPr>
              <w:t>9</w:t>
            </w:r>
            <w:r w:rsidR="00946853">
              <w:rPr>
                <w:sz w:val="18"/>
                <w:szCs w:val="18"/>
              </w:rPr>
              <w:t xml:space="preserve"> </w:t>
            </w:r>
            <w:r w:rsidRPr="0013526B">
              <w:rPr>
                <w:sz w:val="18"/>
                <w:szCs w:val="18"/>
              </w:rPr>
              <w:t>adalah sebagai berikut:</w:t>
            </w:r>
          </w:p>
        </w:tc>
        <w:tc>
          <w:tcPr>
            <w:tcW w:w="4487" w:type="dxa"/>
            <w:tcBorders>
              <w:top w:val="nil"/>
              <w:left w:val="nil"/>
              <w:bottom w:val="nil"/>
              <w:right w:val="nil"/>
            </w:tcBorders>
          </w:tcPr>
          <w:p w14:paraId="532422FD" w14:textId="0199152A" w:rsidR="005D1CE2" w:rsidRPr="0013526B" w:rsidRDefault="005D1CE2" w:rsidP="00946853">
            <w:pPr>
              <w:ind w:left="284" w:right="-57"/>
              <w:jc w:val="both"/>
              <w:rPr>
                <w:i/>
                <w:sz w:val="18"/>
                <w:szCs w:val="18"/>
              </w:rPr>
            </w:pPr>
            <w:r w:rsidRPr="0013526B">
              <w:rPr>
                <w:i/>
                <w:sz w:val="18"/>
                <w:szCs w:val="18"/>
              </w:rPr>
              <w:t xml:space="preserve">The carrying values and the estimated fair values of the Group’ financial instruments that are carried in the consolidated statements of financial position as of </w:t>
            </w:r>
            <w:r w:rsidR="00946853">
              <w:rPr>
                <w:i/>
                <w:sz w:val="18"/>
                <w:szCs w:val="18"/>
              </w:rPr>
              <w:t>March 31</w:t>
            </w:r>
            <w:r w:rsidR="00305CA0">
              <w:rPr>
                <w:i/>
                <w:sz w:val="18"/>
                <w:szCs w:val="18"/>
              </w:rPr>
              <w:t>.</w:t>
            </w:r>
            <w:r w:rsidR="00946853">
              <w:rPr>
                <w:i/>
                <w:sz w:val="18"/>
                <w:szCs w:val="18"/>
              </w:rPr>
              <w:t xml:space="preserve"> 2020 and </w:t>
            </w:r>
            <w:r w:rsidRPr="0013526B">
              <w:rPr>
                <w:i/>
                <w:sz w:val="18"/>
                <w:szCs w:val="18"/>
              </w:rPr>
              <w:t>December 31</w:t>
            </w:r>
            <w:r w:rsidR="00305CA0">
              <w:rPr>
                <w:i/>
                <w:sz w:val="18"/>
                <w:szCs w:val="18"/>
              </w:rPr>
              <w:t>.</w:t>
            </w:r>
            <w:r w:rsidRPr="0013526B">
              <w:rPr>
                <w:i/>
                <w:sz w:val="18"/>
                <w:szCs w:val="18"/>
              </w:rPr>
              <w:t xml:space="preserve"> 201</w:t>
            </w:r>
            <w:r w:rsidR="007E5684">
              <w:rPr>
                <w:i/>
                <w:sz w:val="18"/>
                <w:szCs w:val="18"/>
              </w:rPr>
              <w:t>9</w:t>
            </w:r>
            <w:r w:rsidR="00305CA0">
              <w:rPr>
                <w:i/>
                <w:sz w:val="18"/>
                <w:szCs w:val="18"/>
              </w:rPr>
              <w:t>.</w:t>
            </w:r>
            <w:r w:rsidRPr="0013526B">
              <w:rPr>
                <w:i/>
                <w:sz w:val="18"/>
                <w:szCs w:val="18"/>
              </w:rPr>
              <w:t xml:space="preserve"> are as follows:</w:t>
            </w:r>
          </w:p>
        </w:tc>
      </w:tr>
    </w:tbl>
    <w:p w14:paraId="2020829F" w14:textId="303BB7C5" w:rsidR="00907CD9" w:rsidRDefault="00907CD9">
      <w:pPr>
        <w:rPr>
          <w:sz w:val="12"/>
        </w:rPr>
      </w:pPr>
    </w:p>
    <w:tbl>
      <w:tblPr>
        <w:tblW w:w="9197" w:type="dxa"/>
        <w:tblInd w:w="113" w:type="dxa"/>
        <w:tblCellMar>
          <w:left w:w="0" w:type="dxa"/>
          <w:right w:w="0" w:type="dxa"/>
        </w:tblCellMar>
        <w:tblLook w:val="01E0" w:firstRow="1" w:lastRow="1" w:firstColumn="1" w:lastColumn="1" w:noHBand="0" w:noVBand="0"/>
      </w:tblPr>
      <w:tblGrid>
        <w:gridCol w:w="2864"/>
        <w:gridCol w:w="1692"/>
        <w:gridCol w:w="99"/>
        <w:gridCol w:w="1693"/>
        <w:gridCol w:w="2849"/>
      </w:tblGrid>
      <w:tr w:rsidR="005B429F" w:rsidRPr="0013526B" w14:paraId="062CC5F3" w14:textId="77777777" w:rsidTr="00AD14FF">
        <w:trPr>
          <w:trHeight w:val="20"/>
        </w:trPr>
        <w:tc>
          <w:tcPr>
            <w:tcW w:w="2864" w:type="dxa"/>
          </w:tcPr>
          <w:p w14:paraId="7E41CE65" w14:textId="77777777" w:rsidR="005B429F" w:rsidRPr="0013526B" w:rsidRDefault="005B429F" w:rsidP="004A3865">
            <w:pPr>
              <w:ind w:left="284"/>
              <w:rPr>
                <w:sz w:val="18"/>
                <w:szCs w:val="18"/>
                <w:u w:val="single"/>
              </w:rPr>
            </w:pPr>
          </w:p>
        </w:tc>
        <w:tc>
          <w:tcPr>
            <w:tcW w:w="3484" w:type="dxa"/>
            <w:gridSpan w:val="3"/>
            <w:tcBorders>
              <w:bottom w:val="single" w:sz="4" w:space="0" w:color="auto"/>
            </w:tcBorders>
            <w:vAlign w:val="bottom"/>
          </w:tcPr>
          <w:p w14:paraId="5A319773" w14:textId="35D165D0" w:rsidR="005B429F" w:rsidRPr="005B429F" w:rsidRDefault="00946853" w:rsidP="00946853">
            <w:pPr>
              <w:tabs>
                <w:tab w:val="left" w:pos="1390"/>
              </w:tabs>
              <w:ind w:left="28" w:right="57"/>
              <w:jc w:val="center"/>
              <w:rPr>
                <w:b/>
                <w:sz w:val="18"/>
                <w:szCs w:val="18"/>
              </w:rPr>
            </w:pPr>
            <w:r>
              <w:rPr>
                <w:b/>
                <w:sz w:val="18"/>
                <w:szCs w:val="18"/>
              </w:rPr>
              <w:t>31 Maret/ March 31</w:t>
            </w:r>
            <w:r w:rsidR="00305CA0">
              <w:rPr>
                <w:b/>
                <w:sz w:val="18"/>
                <w:szCs w:val="18"/>
              </w:rPr>
              <w:t>.</w:t>
            </w:r>
            <w:r>
              <w:rPr>
                <w:b/>
                <w:sz w:val="18"/>
                <w:szCs w:val="18"/>
              </w:rPr>
              <w:t xml:space="preserve"> 2020</w:t>
            </w:r>
          </w:p>
        </w:tc>
        <w:tc>
          <w:tcPr>
            <w:tcW w:w="2849" w:type="dxa"/>
          </w:tcPr>
          <w:p w14:paraId="3B8C0872" w14:textId="77777777" w:rsidR="005B429F" w:rsidRPr="0013526B" w:rsidRDefault="005B429F" w:rsidP="004A3865">
            <w:pPr>
              <w:ind w:left="43" w:right="216"/>
              <w:jc w:val="center"/>
              <w:rPr>
                <w:i/>
                <w:sz w:val="18"/>
                <w:szCs w:val="18"/>
                <w:u w:val="single"/>
              </w:rPr>
            </w:pPr>
          </w:p>
        </w:tc>
      </w:tr>
      <w:tr w:rsidR="00810F09" w:rsidRPr="0013526B" w14:paraId="2C8479D4" w14:textId="77777777" w:rsidTr="005B429F">
        <w:trPr>
          <w:trHeight w:val="20"/>
        </w:trPr>
        <w:tc>
          <w:tcPr>
            <w:tcW w:w="2864" w:type="dxa"/>
          </w:tcPr>
          <w:p w14:paraId="3153D5BE" w14:textId="77777777" w:rsidR="00810F09" w:rsidRPr="0013526B" w:rsidRDefault="00810F09" w:rsidP="004A3865">
            <w:pPr>
              <w:ind w:left="284"/>
              <w:rPr>
                <w:sz w:val="18"/>
                <w:szCs w:val="18"/>
                <w:u w:val="single"/>
              </w:rPr>
            </w:pPr>
          </w:p>
        </w:tc>
        <w:tc>
          <w:tcPr>
            <w:tcW w:w="1692" w:type="dxa"/>
            <w:tcBorders>
              <w:bottom w:val="single" w:sz="4" w:space="0" w:color="auto"/>
            </w:tcBorders>
            <w:vAlign w:val="bottom"/>
          </w:tcPr>
          <w:p w14:paraId="538F15C2" w14:textId="77777777" w:rsidR="00810F09" w:rsidRDefault="00810F09" w:rsidP="004A3865">
            <w:pPr>
              <w:tabs>
                <w:tab w:val="left" w:pos="1390"/>
              </w:tabs>
              <w:ind w:left="28" w:right="57"/>
              <w:jc w:val="center"/>
              <w:rPr>
                <w:b/>
                <w:sz w:val="18"/>
                <w:szCs w:val="18"/>
              </w:rPr>
            </w:pPr>
            <w:r>
              <w:rPr>
                <w:b/>
                <w:sz w:val="18"/>
                <w:szCs w:val="18"/>
              </w:rPr>
              <w:t>Nilai tercatat/</w:t>
            </w:r>
          </w:p>
          <w:p w14:paraId="783BA1BA" w14:textId="15A62FC8" w:rsidR="00810F09" w:rsidRPr="00810F09" w:rsidRDefault="00810F09" w:rsidP="004A3865">
            <w:pPr>
              <w:tabs>
                <w:tab w:val="left" w:pos="1390"/>
              </w:tabs>
              <w:ind w:left="28" w:right="57"/>
              <w:jc w:val="center"/>
              <w:rPr>
                <w:b/>
                <w:i/>
                <w:iCs/>
                <w:sz w:val="18"/>
                <w:szCs w:val="18"/>
              </w:rPr>
            </w:pPr>
            <w:r>
              <w:rPr>
                <w:b/>
                <w:i/>
                <w:iCs/>
                <w:sz w:val="18"/>
                <w:szCs w:val="18"/>
              </w:rPr>
              <w:t>Carrying value</w:t>
            </w:r>
          </w:p>
        </w:tc>
        <w:tc>
          <w:tcPr>
            <w:tcW w:w="99" w:type="dxa"/>
          </w:tcPr>
          <w:p w14:paraId="22B85642" w14:textId="77777777" w:rsidR="00810F09" w:rsidRPr="0013526B" w:rsidRDefault="00810F09" w:rsidP="004A3865">
            <w:pPr>
              <w:tabs>
                <w:tab w:val="left" w:pos="1390"/>
              </w:tabs>
              <w:ind w:left="28" w:right="28"/>
              <w:jc w:val="center"/>
              <w:rPr>
                <w:b/>
                <w:sz w:val="18"/>
                <w:szCs w:val="18"/>
              </w:rPr>
            </w:pPr>
          </w:p>
        </w:tc>
        <w:tc>
          <w:tcPr>
            <w:tcW w:w="1693" w:type="dxa"/>
            <w:tcBorders>
              <w:bottom w:val="single" w:sz="4" w:space="0" w:color="auto"/>
            </w:tcBorders>
            <w:vAlign w:val="bottom"/>
          </w:tcPr>
          <w:p w14:paraId="5E70F4EF" w14:textId="77777777" w:rsidR="00810F09" w:rsidRDefault="00810F09" w:rsidP="004A3865">
            <w:pPr>
              <w:tabs>
                <w:tab w:val="left" w:pos="1390"/>
              </w:tabs>
              <w:ind w:left="28" w:right="57"/>
              <w:jc w:val="center"/>
              <w:rPr>
                <w:b/>
                <w:sz w:val="18"/>
                <w:szCs w:val="18"/>
              </w:rPr>
            </w:pPr>
            <w:r>
              <w:rPr>
                <w:b/>
                <w:sz w:val="18"/>
                <w:szCs w:val="18"/>
              </w:rPr>
              <w:t>Nilai wajar/</w:t>
            </w:r>
          </w:p>
          <w:p w14:paraId="14D1D4DB" w14:textId="1BC4D054" w:rsidR="00810F09" w:rsidRPr="00810F09" w:rsidRDefault="00810F09" w:rsidP="004A3865">
            <w:pPr>
              <w:tabs>
                <w:tab w:val="left" w:pos="1390"/>
              </w:tabs>
              <w:ind w:left="28" w:right="57"/>
              <w:jc w:val="center"/>
              <w:rPr>
                <w:b/>
                <w:i/>
                <w:iCs/>
                <w:sz w:val="18"/>
                <w:szCs w:val="18"/>
              </w:rPr>
            </w:pPr>
            <w:r>
              <w:rPr>
                <w:b/>
                <w:i/>
                <w:iCs/>
                <w:sz w:val="18"/>
                <w:szCs w:val="18"/>
              </w:rPr>
              <w:t>Fair value</w:t>
            </w:r>
          </w:p>
        </w:tc>
        <w:tc>
          <w:tcPr>
            <w:tcW w:w="2849" w:type="dxa"/>
          </w:tcPr>
          <w:p w14:paraId="50DF95D9" w14:textId="77777777" w:rsidR="00810F09" w:rsidRPr="0013526B" w:rsidRDefault="00810F09" w:rsidP="004A3865">
            <w:pPr>
              <w:ind w:left="43" w:right="216"/>
              <w:jc w:val="center"/>
              <w:rPr>
                <w:i/>
                <w:sz w:val="18"/>
                <w:szCs w:val="18"/>
                <w:u w:val="single"/>
              </w:rPr>
            </w:pPr>
          </w:p>
        </w:tc>
      </w:tr>
      <w:tr w:rsidR="00810F09" w:rsidRPr="0013526B" w14:paraId="13D51B34" w14:textId="77777777" w:rsidTr="005B429F">
        <w:trPr>
          <w:trHeight w:val="20"/>
        </w:trPr>
        <w:tc>
          <w:tcPr>
            <w:tcW w:w="2864" w:type="dxa"/>
          </w:tcPr>
          <w:p w14:paraId="7142853E" w14:textId="77777777" w:rsidR="00810F09" w:rsidRPr="0013526B" w:rsidRDefault="00810F09" w:rsidP="004A3865">
            <w:pPr>
              <w:ind w:left="284"/>
              <w:rPr>
                <w:sz w:val="16"/>
                <w:szCs w:val="16"/>
                <w:u w:val="single"/>
              </w:rPr>
            </w:pPr>
          </w:p>
        </w:tc>
        <w:tc>
          <w:tcPr>
            <w:tcW w:w="1692" w:type="dxa"/>
            <w:vAlign w:val="bottom"/>
          </w:tcPr>
          <w:p w14:paraId="1FFE8374" w14:textId="77777777" w:rsidR="00810F09" w:rsidRPr="0013526B" w:rsidRDefault="00810F09" w:rsidP="004A3865">
            <w:pPr>
              <w:tabs>
                <w:tab w:val="left" w:pos="1390"/>
              </w:tabs>
              <w:ind w:left="28" w:right="57"/>
              <w:jc w:val="right"/>
              <w:rPr>
                <w:b/>
                <w:sz w:val="16"/>
                <w:szCs w:val="16"/>
              </w:rPr>
            </w:pPr>
          </w:p>
        </w:tc>
        <w:tc>
          <w:tcPr>
            <w:tcW w:w="99" w:type="dxa"/>
            <w:vAlign w:val="bottom"/>
          </w:tcPr>
          <w:p w14:paraId="0205AA39" w14:textId="77777777" w:rsidR="00810F09" w:rsidRPr="0013526B" w:rsidRDefault="00810F09" w:rsidP="004A3865">
            <w:pPr>
              <w:tabs>
                <w:tab w:val="left" w:pos="1390"/>
              </w:tabs>
              <w:ind w:left="28" w:right="28"/>
              <w:jc w:val="right"/>
              <w:rPr>
                <w:b/>
                <w:sz w:val="16"/>
                <w:szCs w:val="16"/>
              </w:rPr>
            </w:pPr>
          </w:p>
        </w:tc>
        <w:tc>
          <w:tcPr>
            <w:tcW w:w="1693" w:type="dxa"/>
            <w:tcBorders>
              <w:top w:val="single" w:sz="4" w:space="0" w:color="auto"/>
            </w:tcBorders>
            <w:vAlign w:val="bottom"/>
          </w:tcPr>
          <w:p w14:paraId="2E5FFF36" w14:textId="77777777" w:rsidR="00810F09" w:rsidRPr="0013526B" w:rsidRDefault="00810F09" w:rsidP="004A3865">
            <w:pPr>
              <w:tabs>
                <w:tab w:val="left" w:pos="1390"/>
              </w:tabs>
              <w:ind w:left="28" w:right="57"/>
              <w:jc w:val="right"/>
              <w:rPr>
                <w:b/>
                <w:sz w:val="16"/>
                <w:szCs w:val="16"/>
              </w:rPr>
            </w:pPr>
          </w:p>
        </w:tc>
        <w:tc>
          <w:tcPr>
            <w:tcW w:w="2849" w:type="dxa"/>
          </w:tcPr>
          <w:p w14:paraId="33CE7E6E" w14:textId="77777777" w:rsidR="00810F09" w:rsidRPr="0013526B" w:rsidRDefault="00810F09" w:rsidP="004A3865">
            <w:pPr>
              <w:ind w:left="43" w:right="216"/>
              <w:jc w:val="center"/>
              <w:rPr>
                <w:i/>
                <w:sz w:val="16"/>
                <w:szCs w:val="16"/>
                <w:u w:val="single"/>
              </w:rPr>
            </w:pPr>
          </w:p>
        </w:tc>
      </w:tr>
      <w:tr w:rsidR="00810F09" w:rsidRPr="0013526B" w14:paraId="3A609E4F" w14:textId="77777777" w:rsidTr="005B429F">
        <w:trPr>
          <w:trHeight w:val="20"/>
        </w:trPr>
        <w:tc>
          <w:tcPr>
            <w:tcW w:w="2864" w:type="dxa"/>
          </w:tcPr>
          <w:p w14:paraId="71815A2D" w14:textId="512D6A59" w:rsidR="00810F09" w:rsidRPr="00810F09" w:rsidRDefault="00810F09" w:rsidP="00810F09">
            <w:pPr>
              <w:ind w:left="293"/>
              <w:rPr>
                <w:b/>
                <w:bCs w:val="0"/>
                <w:sz w:val="18"/>
                <w:szCs w:val="18"/>
              </w:rPr>
            </w:pPr>
            <w:r>
              <w:rPr>
                <w:b/>
                <w:bCs w:val="0"/>
                <w:sz w:val="18"/>
                <w:szCs w:val="18"/>
              </w:rPr>
              <w:t>Aset keuangan</w:t>
            </w:r>
          </w:p>
        </w:tc>
        <w:tc>
          <w:tcPr>
            <w:tcW w:w="1692" w:type="dxa"/>
            <w:shd w:val="clear" w:color="auto" w:fill="auto"/>
            <w:vAlign w:val="bottom"/>
          </w:tcPr>
          <w:p w14:paraId="0A6D6AB6" w14:textId="4D2E0CB0" w:rsidR="00810F09" w:rsidRPr="0013526B" w:rsidRDefault="00810F09" w:rsidP="004A3865">
            <w:pPr>
              <w:tabs>
                <w:tab w:val="left" w:pos="1390"/>
              </w:tabs>
              <w:ind w:left="28" w:right="57"/>
              <w:jc w:val="right"/>
              <w:rPr>
                <w:sz w:val="18"/>
                <w:szCs w:val="18"/>
              </w:rPr>
            </w:pPr>
          </w:p>
        </w:tc>
        <w:tc>
          <w:tcPr>
            <w:tcW w:w="99" w:type="dxa"/>
            <w:vAlign w:val="bottom"/>
          </w:tcPr>
          <w:p w14:paraId="22A36D0F" w14:textId="77777777" w:rsidR="00810F09" w:rsidRPr="0013526B" w:rsidRDefault="00810F09" w:rsidP="004A3865">
            <w:pPr>
              <w:tabs>
                <w:tab w:val="left" w:pos="1390"/>
              </w:tabs>
              <w:ind w:left="28" w:right="28"/>
              <w:jc w:val="right"/>
              <w:rPr>
                <w:sz w:val="18"/>
                <w:szCs w:val="18"/>
              </w:rPr>
            </w:pPr>
          </w:p>
        </w:tc>
        <w:tc>
          <w:tcPr>
            <w:tcW w:w="1693" w:type="dxa"/>
            <w:vAlign w:val="bottom"/>
          </w:tcPr>
          <w:p w14:paraId="729BA0FA" w14:textId="027492BD" w:rsidR="00810F09" w:rsidRPr="0013526B" w:rsidRDefault="00810F09" w:rsidP="004A3865">
            <w:pPr>
              <w:tabs>
                <w:tab w:val="left" w:pos="1390"/>
              </w:tabs>
              <w:ind w:left="28" w:right="57"/>
              <w:jc w:val="right"/>
              <w:rPr>
                <w:sz w:val="18"/>
                <w:szCs w:val="18"/>
              </w:rPr>
            </w:pPr>
          </w:p>
        </w:tc>
        <w:tc>
          <w:tcPr>
            <w:tcW w:w="2849" w:type="dxa"/>
          </w:tcPr>
          <w:p w14:paraId="577B906E" w14:textId="35F481C5" w:rsidR="00810F09" w:rsidRPr="00810F09" w:rsidRDefault="00810F09" w:rsidP="00327025">
            <w:pPr>
              <w:ind w:right="41"/>
              <w:jc w:val="right"/>
              <w:rPr>
                <w:b/>
                <w:bCs w:val="0"/>
                <w:i/>
                <w:sz w:val="18"/>
                <w:szCs w:val="18"/>
              </w:rPr>
            </w:pPr>
            <w:r w:rsidRPr="00810F09">
              <w:rPr>
                <w:b/>
                <w:bCs w:val="0"/>
                <w:i/>
                <w:sz w:val="18"/>
                <w:szCs w:val="18"/>
              </w:rPr>
              <w:t>Financial asset</w:t>
            </w:r>
          </w:p>
        </w:tc>
      </w:tr>
      <w:tr w:rsidR="00415E1B" w:rsidRPr="0013526B" w14:paraId="516299C4" w14:textId="77777777" w:rsidTr="005B429F">
        <w:trPr>
          <w:trHeight w:val="20"/>
        </w:trPr>
        <w:tc>
          <w:tcPr>
            <w:tcW w:w="2864" w:type="dxa"/>
          </w:tcPr>
          <w:p w14:paraId="27A60814" w14:textId="3F5D5475" w:rsidR="00415E1B" w:rsidRPr="00810F09" w:rsidRDefault="00415E1B" w:rsidP="00415E1B">
            <w:pPr>
              <w:ind w:left="293"/>
              <w:rPr>
                <w:sz w:val="18"/>
                <w:szCs w:val="18"/>
              </w:rPr>
            </w:pPr>
            <w:r w:rsidRPr="00810F09">
              <w:rPr>
                <w:sz w:val="18"/>
                <w:szCs w:val="18"/>
              </w:rPr>
              <w:t>Kas dan setara kas</w:t>
            </w:r>
          </w:p>
        </w:tc>
        <w:tc>
          <w:tcPr>
            <w:tcW w:w="1692" w:type="dxa"/>
            <w:shd w:val="clear" w:color="auto" w:fill="auto"/>
            <w:vAlign w:val="bottom"/>
          </w:tcPr>
          <w:p w14:paraId="2790B6C4" w14:textId="76505E08" w:rsidR="00415E1B" w:rsidRPr="0013526B" w:rsidRDefault="00415E1B" w:rsidP="00415E1B">
            <w:pPr>
              <w:tabs>
                <w:tab w:val="left" w:pos="1390"/>
              </w:tabs>
              <w:ind w:left="28" w:right="57"/>
              <w:jc w:val="right"/>
              <w:rPr>
                <w:sz w:val="18"/>
                <w:szCs w:val="18"/>
              </w:rPr>
            </w:pPr>
            <w:r>
              <w:rPr>
                <w:sz w:val="18"/>
                <w:szCs w:val="18"/>
              </w:rPr>
              <w:t>216.662.299.289</w:t>
            </w:r>
          </w:p>
        </w:tc>
        <w:tc>
          <w:tcPr>
            <w:tcW w:w="99" w:type="dxa"/>
            <w:vAlign w:val="bottom"/>
          </w:tcPr>
          <w:p w14:paraId="75C04C53" w14:textId="77777777" w:rsidR="00415E1B" w:rsidRPr="0013526B" w:rsidRDefault="00415E1B" w:rsidP="00415E1B">
            <w:pPr>
              <w:tabs>
                <w:tab w:val="left" w:pos="1390"/>
              </w:tabs>
              <w:ind w:left="28" w:right="28"/>
              <w:jc w:val="right"/>
              <w:rPr>
                <w:sz w:val="18"/>
                <w:szCs w:val="18"/>
              </w:rPr>
            </w:pPr>
          </w:p>
        </w:tc>
        <w:tc>
          <w:tcPr>
            <w:tcW w:w="1693" w:type="dxa"/>
            <w:vAlign w:val="bottom"/>
          </w:tcPr>
          <w:p w14:paraId="6D3D0529" w14:textId="6686A2DF" w:rsidR="00415E1B" w:rsidRPr="00297002" w:rsidRDefault="00415E1B" w:rsidP="00415E1B">
            <w:pPr>
              <w:tabs>
                <w:tab w:val="left" w:pos="1390"/>
              </w:tabs>
              <w:ind w:left="28" w:right="57"/>
              <w:jc w:val="right"/>
              <w:rPr>
                <w:bCs w:val="0"/>
                <w:sz w:val="18"/>
                <w:szCs w:val="18"/>
              </w:rPr>
            </w:pPr>
            <w:r>
              <w:rPr>
                <w:sz w:val="18"/>
                <w:szCs w:val="18"/>
              </w:rPr>
              <w:t>216.662.299.289</w:t>
            </w:r>
          </w:p>
        </w:tc>
        <w:tc>
          <w:tcPr>
            <w:tcW w:w="2849" w:type="dxa"/>
          </w:tcPr>
          <w:p w14:paraId="58FBDD38" w14:textId="75BF50D0" w:rsidR="00415E1B" w:rsidRPr="0013526B" w:rsidRDefault="00415E1B" w:rsidP="00415E1B">
            <w:pPr>
              <w:ind w:right="41"/>
              <w:jc w:val="right"/>
              <w:rPr>
                <w:i/>
                <w:sz w:val="18"/>
                <w:szCs w:val="18"/>
              </w:rPr>
            </w:pPr>
            <w:r>
              <w:rPr>
                <w:i/>
                <w:sz w:val="18"/>
                <w:szCs w:val="18"/>
              </w:rPr>
              <w:t>Cash and cash equivalents</w:t>
            </w:r>
          </w:p>
        </w:tc>
      </w:tr>
      <w:tr w:rsidR="00415E1B" w:rsidRPr="0013526B" w14:paraId="7062D394" w14:textId="77777777" w:rsidTr="005B429F">
        <w:trPr>
          <w:trHeight w:val="20"/>
        </w:trPr>
        <w:tc>
          <w:tcPr>
            <w:tcW w:w="2864" w:type="dxa"/>
          </w:tcPr>
          <w:p w14:paraId="40706391" w14:textId="34FE5E9F" w:rsidR="00415E1B" w:rsidRPr="00810F09" w:rsidRDefault="00415E1B" w:rsidP="00415E1B">
            <w:pPr>
              <w:ind w:left="293"/>
              <w:rPr>
                <w:sz w:val="18"/>
                <w:szCs w:val="18"/>
              </w:rPr>
            </w:pPr>
            <w:r w:rsidRPr="00810F09">
              <w:rPr>
                <w:sz w:val="18"/>
                <w:szCs w:val="18"/>
              </w:rPr>
              <w:t>Piutang usaha</w:t>
            </w:r>
          </w:p>
        </w:tc>
        <w:tc>
          <w:tcPr>
            <w:tcW w:w="1692" w:type="dxa"/>
            <w:shd w:val="clear" w:color="auto" w:fill="auto"/>
            <w:vAlign w:val="bottom"/>
          </w:tcPr>
          <w:p w14:paraId="32A88D2A" w14:textId="5B54DC76" w:rsidR="00415E1B" w:rsidRPr="0013526B" w:rsidRDefault="00415E1B" w:rsidP="00415E1B">
            <w:pPr>
              <w:tabs>
                <w:tab w:val="left" w:pos="1390"/>
              </w:tabs>
              <w:ind w:left="28" w:right="57"/>
              <w:jc w:val="right"/>
              <w:rPr>
                <w:sz w:val="18"/>
                <w:szCs w:val="18"/>
              </w:rPr>
            </w:pPr>
            <w:r>
              <w:rPr>
                <w:sz w:val="18"/>
                <w:szCs w:val="18"/>
              </w:rPr>
              <w:t>156.858.349.822</w:t>
            </w:r>
          </w:p>
        </w:tc>
        <w:tc>
          <w:tcPr>
            <w:tcW w:w="99" w:type="dxa"/>
            <w:vAlign w:val="bottom"/>
          </w:tcPr>
          <w:p w14:paraId="073C55C9" w14:textId="77777777" w:rsidR="00415E1B" w:rsidRPr="0013526B" w:rsidRDefault="00415E1B" w:rsidP="00415E1B">
            <w:pPr>
              <w:tabs>
                <w:tab w:val="left" w:pos="1390"/>
              </w:tabs>
              <w:ind w:left="28" w:right="28"/>
              <w:jc w:val="right"/>
              <w:rPr>
                <w:sz w:val="18"/>
                <w:szCs w:val="18"/>
              </w:rPr>
            </w:pPr>
          </w:p>
        </w:tc>
        <w:tc>
          <w:tcPr>
            <w:tcW w:w="1693" w:type="dxa"/>
            <w:vAlign w:val="bottom"/>
          </w:tcPr>
          <w:p w14:paraId="30B3A51C" w14:textId="56232837" w:rsidR="00415E1B" w:rsidRPr="00297002" w:rsidRDefault="00415E1B" w:rsidP="00415E1B">
            <w:pPr>
              <w:tabs>
                <w:tab w:val="left" w:pos="1390"/>
              </w:tabs>
              <w:ind w:left="28" w:right="57"/>
              <w:jc w:val="right"/>
              <w:rPr>
                <w:bCs w:val="0"/>
                <w:sz w:val="18"/>
                <w:szCs w:val="18"/>
              </w:rPr>
            </w:pPr>
            <w:r>
              <w:rPr>
                <w:sz w:val="18"/>
                <w:szCs w:val="18"/>
              </w:rPr>
              <w:t>156.858.349.822</w:t>
            </w:r>
          </w:p>
        </w:tc>
        <w:tc>
          <w:tcPr>
            <w:tcW w:w="2849" w:type="dxa"/>
          </w:tcPr>
          <w:p w14:paraId="76D1F9A3" w14:textId="405A977B" w:rsidR="00415E1B" w:rsidRPr="0013526B" w:rsidRDefault="00415E1B" w:rsidP="00415E1B">
            <w:pPr>
              <w:ind w:right="41"/>
              <w:jc w:val="right"/>
              <w:rPr>
                <w:i/>
                <w:sz w:val="18"/>
                <w:szCs w:val="18"/>
              </w:rPr>
            </w:pPr>
            <w:r>
              <w:rPr>
                <w:i/>
                <w:sz w:val="18"/>
                <w:szCs w:val="18"/>
              </w:rPr>
              <w:t>Trade receivables</w:t>
            </w:r>
          </w:p>
        </w:tc>
      </w:tr>
      <w:tr w:rsidR="00415E1B" w:rsidRPr="0013526B" w14:paraId="67508951" w14:textId="77777777" w:rsidTr="005B429F">
        <w:trPr>
          <w:trHeight w:val="20"/>
        </w:trPr>
        <w:tc>
          <w:tcPr>
            <w:tcW w:w="2864" w:type="dxa"/>
          </w:tcPr>
          <w:p w14:paraId="5DDCA092" w14:textId="7FE60D8C" w:rsidR="00415E1B" w:rsidRPr="00810F09" w:rsidRDefault="00415E1B" w:rsidP="00415E1B">
            <w:pPr>
              <w:ind w:left="293"/>
              <w:rPr>
                <w:sz w:val="18"/>
                <w:szCs w:val="18"/>
              </w:rPr>
            </w:pPr>
            <w:r w:rsidRPr="00810F09">
              <w:rPr>
                <w:sz w:val="18"/>
                <w:szCs w:val="18"/>
              </w:rPr>
              <w:t>Piutang lain-lain</w:t>
            </w:r>
          </w:p>
        </w:tc>
        <w:tc>
          <w:tcPr>
            <w:tcW w:w="1692" w:type="dxa"/>
            <w:tcBorders>
              <w:bottom w:val="single" w:sz="4" w:space="0" w:color="auto"/>
            </w:tcBorders>
            <w:shd w:val="clear" w:color="auto" w:fill="auto"/>
            <w:vAlign w:val="bottom"/>
          </w:tcPr>
          <w:p w14:paraId="7408FB2B" w14:textId="10BC0E2A" w:rsidR="00415E1B" w:rsidRPr="0013526B" w:rsidRDefault="00415E1B" w:rsidP="00415E1B">
            <w:pPr>
              <w:tabs>
                <w:tab w:val="left" w:pos="1390"/>
              </w:tabs>
              <w:ind w:left="28" w:right="57"/>
              <w:jc w:val="right"/>
              <w:rPr>
                <w:sz w:val="18"/>
                <w:szCs w:val="18"/>
              </w:rPr>
            </w:pPr>
            <w:r>
              <w:rPr>
                <w:sz w:val="18"/>
                <w:szCs w:val="18"/>
              </w:rPr>
              <w:t>3.773.319.569</w:t>
            </w:r>
          </w:p>
        </w:tc>
        <w:tc>
          <w:tcPr>
            <w:tcW w:w="99" w:type="dxa"/>
            <w:vAlign w:val="bottom"/>
          </w:tcPr>
          <w:p w14:paraId="1798A3AC" w14:textId="77777777" w:rsidR="00415E1B" w:rsidRPr="0013526B" w:rsidRDefault="00415E1B" w:rsidP="00415E1B">
            <w:pPr>
              <w:tabs>
                <w:tab w:val="left" w:pos="1390"/>
              </w:tabs>
              <w:ind w:left="28" w:right="28"/>
              <w:jc w:val="right"/>
              <w:rPr>
                <w:sz w:val="18"/>
                <w:szCs w:val="18"/>
              </w:rPr>
            </w:pPr>
          </w:p>
        </w:tc>
        <w:tc>
          <w:tcPr>
            <w:tcW w:w="1693" w:type="dxa"/>
            <w:tcBorders>
              <w:bottom w:val="single" w:sz="4" w:space="0" w:color="auto"/>
            </w:tcBorders>
            <w:vAlign w:val="bottom"/>
          </w:tcPr>
          <w:p w14:paraId="55CBCB7C" w14:textId="1DCAB2B4" w:rsidR="00415E1B" w:rsidRPr="00297002" w:rsidRDefault="00415E1B" w:rsidP="00415E1B">
            <w:pPr>
              <w:tabs>
                <w:tab w:val="left" w:pos="1390"/>
              </w:tabs>
              <w:ind w:left="28" w:right="57"/>
              <w:jc w:val="right"/>
              <w:rPr>
                <w:bCs w:val="0"/>
                <w:sz w:val="18"/>
                <w:szCs w:val="18"/>
              </w:rPr>
            </w:pPr>
            <w:r>
              <w:rPr>
                <w:sz w:val="18"/>
                <w:szCs w:val="18"/>
              </w:rPr>
              <w:t>3.773.319.569</w:t>
            </w:r>
          </w:p>
        </w:tc>
        <w:tc>
          <w:tcPr>
            <w:tcW w:w="2849" w:type="dxa"/>
          </w:tcPr>
          <w:p w14:paraId="064A3143" w14:textId="15B0E7F2" w:rsidR="00415E1B" w:rsidRPr="0013526B" w:rsidRDefault="00415E1B" w:rsidP="00415E1B">
            <w:pPr>
              <w:ind w:right="41"/>
              <w:jc w:val="right"/>
              <w:rPr>
                <w:i/>
                <w:sz w:val="18"/>
                <w:szCs w:val="18"/>
              </w:rPr>
            </w:pPr>
            <w:r>
              <w:rPr>
                <w:i/>
                <w:sz w:val="18"/>
                <w:szCs w:val="18"/>
              </w:rPr>
              <w:t>Other receivables</w:t>
            </w:r>
          </w:p>
        </w:tc>
      </w:tr>
      <w:tr w:rsidR="00415E1B" w:rsidRPr="0013526B" w14:paraId="75F67CD8" w14:textId="77777777" w:rsidTr="005B429F">
        <w:trPr>
          <w:trHeight w:val="20"/>
        </w:trPr>
        <w:tc>
          <w:tcPr>
            <w:tcW w:w="2864" w:type="dxa"/>
          </w:tcPr>
          <w:p w14:paraId="6A506694" w14:textId="77777777" w:rsidR="00415E1B" w:rsidRDefault="00415E1B" w:rsidP="00415E1B">
            <w:pPr>
              <w:rPr>
                <w:sz w:val="18"/>
                <w:szCs w:val="18"/>
              </w:rPr>
            </w:pPr>
          </w:p>
        </w:tc>
        <w:tc>
          <w:tcPr>
            <w:tcW w:w="1692" w:type="dxa"/>
            <w:tcBorders>
              <w:top w:val="single" w:sz="4" w:space="0" w:color="auto"/>
            </w:tcBorders>
            <w:shd w:val="clear" w:color="auto" w:fill="auto"/>
            <w:vAlign w:val="bottom"/>
          </w:tcPr>
          <w:p w14:paraId="297C26FD" w14:textId="77777777" w:rsidR="00415E1B" w:rsidRPr="0013526B" w:rsidRDefault="00415E1B" w:rsidP="00415E1B">
            <w:pPr>
              <w:tabs>
                <w:tab w:val="left" w:pos="1390"/>
              </w:tabs>
              <w:ind w:left="28" w:right="57"/>
              <w:jc w:val="right"/>
              <w:rPr>
                <w:sz w:val="18"/>
                <w:szCs w:val="18"/>
              </w:rPr>
            </w:pPr>
          </w:p>
        </w:tc>
        <w:tc>
          <w:tcPr>
            <w:tcW w:w="99" w:type="dxa"/>
            <w:vAlign w:val="bottom"/>
          </w:tcPr>
          <w:p w14:paraId="1AF08EFB" w14:textId="77777777" w:rsidR="00415E1B" w:rsidRPr="0013526B" w:rsidRDefault="00415E1B" w:rsidP="00415E1B">
            <w:pPr>
              <w:tabs>
                <w:tab w:val="left" w:pos="1390"/>
              </w:tabs>
              <w:ind w:left="28" w:right="28"/>
              <w:jc w:val="right"/>
              <w:rPr>
                <w:sz w:val="18"/>
                <w:szCs w:val="18"/>
              </w:rPr>
            </w:pPr>
          </w:p>
        </w:tc>
        <w:tc>
          <w:tcPr>
            <w:tcW w:w="1693" w:type="dxa"/>
            <w:tcBorders>
              <w:top w:val="single" w:sz="4" w:space="0" w:color="auto"/>
            </w:tcBorders>
            <w:vAlign w:val="bottom"/>
          </w:tcPr>
          <w:p w14:paraId="19A9E936" w14:textId="77777777" w:rsidR="00415E1B" w:rsidRPr="00297002" w:rsidRDefault="00415E1B" w:rsidP="00415E1B">
            <w:pPr>
              <w:tabs>
                <w:tab w:val="left" w:pos="1390"/>
              </w:tabs>
              <w:ind w:left="28" w:right="57"/>
              <w:jc w:val="right"/>
              <w:rPr>
                <w:bCs w:val="0"/>
                <w:sz w:val="18"/>
                <w:szCs w:val="18"/>
              </w:rPr>
            </w:pPr>
          </w:p>
        </w:tc>
        <w:tc>
          <w:tcPr>
            <w:tcW w:w="2849" w:type="dxa"/>
          </w:tcPr>
          <w:p w14:paraId="26646EAC" w14:textId="77777777" w:rsidR="00415E1B" w:rsidRPr="0013526B" w:rsidRDefault="00415E1B" w:rsidP="00415E1B">
            <w:pPr>
              <w:ind w:right="41"/>
              <w:jc w:val="right"/>
              <w:rPr>
                <w:i/>
                <w:sz w:val="18"/>
                <w:szCs w:val="18"/>
              </w:rPr>
            </w:pPr>
          </w:p>
        </w:tc>
      </w:tr>
      <w:tr w:rsidR="00415E1B" w:rsidRPr="00952B41" w14:paraId="2E1FCE85" w14:textId="77777777" w:rsidTr="005B429F">
        <w:trPr>
          <w:trHeight w:val="20"/>
        </w:trPr>
        <w:tc>
          <w:tcPr>
            <w:tcW w:w="2864" w:type="dxa"/>
          </w:tcPr>
          <w:p w14:paraId="19F2A4F0" w14:textId="449CC3FD" w:rsidR="00415E1B" w:rsidRPr="00952B41" w:rsidRDefault="00415E1B" w:rsidP="00415E1B">
            <w:pPr>
              <w:ind w:left="293"/>
              <w:rPr>
                <w:b/>
                <w:bCs w:val="0"/>
                <w:sz w:val="18"/>
                <w:szCs w:val="18"/>
              </w:rPr>
            </w:pPr>
            <w:r w:rsidRPr="00952B41">
              <w:rPr>
                <w:b/>
                <w:bCs w:val="0"/>
                <w:sz w:val="18"/>
                <w:szCs w:val="18"/>
              </w:rPr>
              <w:t>Jumlah aset keuangan</w:t>
            </w:r>
          </w:p>
        </w:tc>
        <w:tc>
          <w:tcPr>
            <w:tcW w:w="1692" w:type="dxa"/>
            <w:tcBorders>
              <w:bottom w:val="double" w:sz="4" w:space="0" w:color="auto"/>
            </w:tcBorders>
            <w:shd w:val="clear" w:color="auto" w:fill="auto"/>
            <w:vAlign w:val="bottom"/>
          </w:tcPr>
          <w:p w14:paraId="0CAE573E" w14:textId="01CF3F4D" w:rsidR="00415E1B" w:rsidRPr="00F65FCA" w:rsidRDefault="00415E1B" w:rsidP="00415E1B">
            <w:pPr>
              <w:tabs>
                <w:tab w:val="left" w:pos="1390"/>
              </w:tabs>
              <w:ind w:left="28" w:right="57"/>
              <w:jc w:val="right"/>
              <w:rPr>
                <w:b/>
                <w:bCs w:val="0"/>
                <w:sz w:val="18"/>
                <w:szCs w:val="18"/>
              </w:rPr>
            </w:pPr>
            <w:r>
              <w:rPr>
                <w:b/>
                <w:bCs w:val="0"/>
                <w:sz w:val="18"/>
                <w:szCs w:val="18"/>
              </w:rPr>
              <w:t>377.293.968.680</w:t>
            </w:r>
          </w:p>
        </w:tc>
        <w:tc>
          <w:tcPr>
            <w:tcW w:w="99" w:type="dxa"/>
            <w:vAlign w:val="bottom"/>
          </w:tcPr>
          <w:p w14:paraId="1755A703" w14:textId="77777777" w:rsidR="00415E1B" w:rsidRPr="002C662F" w:rsidRDefault="00415E1B" w:rsidP="00415E1B">
            <w:pPr>
              <w:tabs>
                <w:tab w:val="left" w:pos="1390"/>
              </w:tabs>
              <w:ind w:left="28" w:right="57"/>
              <w:rPr>
                <w:sz w:val="18"/>
                <w:szCs w:val="18"/>
              </w:rPr>
            </w:pPr>
          </w:p>
        </w:tc>
        <w:tc>
          <w:tcPr>
            <w:tcW w:w="1693" w:type="dxa"/>
            <w:tcBorders>
              <w:bottom w:val="double" w:sz="4" w:space="0" w:color="auto"/>
            </w:tcBorders>
            <w:vAlign w:val="bottom"/>
          </w:tcPr>
          <w:p w14:paraId="4BF4EE7D" w14:textId="04366C60" w:rsidR="00415E1B" w:rsidRPr="00F64A5D" w:rsidRDefault="00415E1B" w:rsidP="00415E1B">
            <w:pPr>
              <w:tabs>
                <w:tab w:val="left" w:pos="1390"/>
              </w:tabs>
              <w:ind w:left="28" w:right="57"/>
              <w:jc w:val="right"/>
              <w:rPr>
                <w:b/>
                <w:bCs w:val="0"/>
                <w:sz w:val="18"/>
                <w:szCs w:val="18"/>
              </w:rPr>
            </w:pPr>
            <w:r>
              <w:rPr>
                <w:b/>
                <w:bCs w:val="0"/>
                <w:sz w:val="18"/>
                <w:szCs w:val="18"/>
              </w:rPr>
              <w:t>377.293.968.680</w:t>
            </w:r>
          </w:p>
        </w:tc>
        <w:tc>
          <w:tcPr>
            <w:tcW w:w="2849" w:type="dxa"/>
          </w:tcPr>
          <w:p w14:paraId="0E6E076E" w14:textId="64C75EEE" w:rsidR="00415E1B" w:rsidRPr="00952B41" w:rsidRDefault="00415E1B" w:rsidP="00415E1B">
            <w:pPr>
              <w:ind w:right="41"/>
              <w:jc w:val="right"/>
              <w:rPr>
                <w:b/>
                <w:bCs w:val="0"/>
                <w:i/>
                <w:sz w:val="18"/>
                <w:szCs w:val="18"/>
              </w:rPr>
            </w:pPr>
            <w:r w:rsidRPr="00952B41">
              <w:rPr>
                <w:b/>
                <w:bCs w:val="0"/>
                <w:i/>
                <w:sz w:val="18"/>
                <w:szCs w:val="18"/>
              </w:rPr>
              <w:t>Total financial asset</w:t>
            </w:r>
          </w:p>
        </w:tc>
      </w:tr>
      <w:tr w:rsidR="00F64A5D" w:rsidRPr="00810F09" w14:paraId="66173369" w14:textId="77777777" w:rsidTr="005B429F">
        <w:trPr>
          <w:trHeight w:val="20"/>
        </w:trPr>
        <w:tc>
          <w:tcPr>
            <w:tcW w:w="2864" w:type="dxa"/>
          </w:tcPr>
          <w:p w14:paraId="614DF986" w14:textId="77777777" w:rsidR="00F64A5D" w:rsidRPr="00810F09" w:rsidRDefault="00F64A5D" w:rsidP="00F64A5D">
            <w:pPr>
              <w:ind w:left="293"/>
              <w:rPr>
                <w:b/>
                <w:bCs w:val="0"/>
                <w:sz w:val="18"/>
                <w:szCs w:val="18"/>
              </w:rPr>
            </w:pPr>
          </w:p>
        </w:tc>
        <w:tc>
          <w:tcPr>
            <w:tcW w:w="1692" w:type="dxa"/>
            <w:tcBorders>
              <w:top w:val="double" w:sz="4" w:space="0" w:color="auto"/>
            </w:tcBorders>
            <w:shd w:val="clear" w:color="auto" w:fill="auto"/>
            <w:vAlign w:val="bottom"/>
          </w:tcPr>
          <w:p w14:paraId="076A829E" w14:textId="77777777" w:rsidR="00F64A5D" w:rsidRPr="00810F09" w:rsidRDefault="00F64A5D" w:rsidP="00F64A5D">
            <w:pPr>
              <w:ind w:left="293"/>
              <w:rPr>
                <w:b/>
                <w:bCs w:val="0"/>
                <w:sz w:val="18"/>
                <w:szCs w:val="18"/>
              </w:rPr>
            </w:pPr>
          </w:p>
        </w:tc>
        <w:tc>
          <w:tcPr>
            <w:tcW w:w="99" w:type="dxa"/>
            <w:vAlign w:val="bottom"/>
          </w:tcPr>
          <w:p w14:paraId="1C21A152" w14:textId="77777777" w:rsidR="00F64A5D" w:rsidRPr="00810F09" w:rsidRDefault="00F64A5D" w:rsidP="00F64A5D">
            <w:pPr>
              <w:ind w:left="293"/>
              <w:rPr>
                <w:b/>
                <w:bCs w:val="0"/>
                <w:sz w:val="18"/>
                <w:szCs w:val="18"/>
              </w:rPr>
            </w:pPr>
          </w:p>
        </w:tc>
        <w:tc>
          <w:tcPr>
            <w:tcW w:w="1693" w:type="dxa"/>
            <w:tcBorders>
              <w:top w:val="double" w:sz="4" w:space="0" w:color="auto"/>
            </w:tcBorders>
            <w:vAlign w:val="bottom"/>
          </w:tcPr>
          <w:p w14:paraId="513689ED" w14:textId="77777777" w:rsidR="00F64A5D" w:rsidRPr="00810F09" w:rsidRDefault="00F64A5D" w:rsidP="00F64A5D">
            <w:pPr>
              <w:ind w:left="293"/>
              <w:rPr>
                <w:b/>
                <w:bCs w:val="0"/>
                <w:sz w:val="18"/>
                <w:szCs w:val="18"/>
              </w:rPr>
            </w:pPr>
          </w:p>
        </w:tc>
        <w:tc>
          <w:tcPr>
            <w:tcW w:w="2849" w:type="dxa"/>
          </w:tcPr>
          <w:p w14:paraId="34561959" w14:textId="77777777" w:rsidR="00F64A5D" w:rsidRPr="00810F09" w:rsidRDefault="00F64A5D" w:rsidP="00F64A5D">
            <w:pPr>
              <w:ind w:right="41"/>
              <w:jc w:val="right"/>
              <w:rPr>
                <w:i/>
                <w:sz w:val="18"/>
                <w:szCs w:val="18"/>
              </w:rPr>
            </w:pPr>
          </w:p>
        </w:tc>
      </w:tr>
      <w:tr w:rsidR="00F64A5D" w:rsidRPr="00810F09" w14:paraId="726BE969" w14:textId="77777777" w:rsidTr="005B429F">
        <w:trPr>
          <w:trHeight w:val="20"/>
        </w:trPr>
        <w:tc>
          <w:tcPr>
            <w:tcW w:w="2864" w:type="dxa"/>
          </w:tcPr>
          <w:p w14:paraId="35E7F4FF" w14:textId="31C12B40" w:rsidR="00F64A5D" w:rsidRPr="00810F09" w:rsidRDefault="00F64A5D" w:rsidP="00F64A5D">
            <w:pPr>
              <w:ind w:left="293"/>
              <w:rPr>
                <w:b/>
                <w:bCs w:val="0"/>
                <w:sz w:val="18"/>
                <w:szCs w:val="18"/>
              </w:rPr>
            </w:pPr>
            <w:r>
              <w:rPr>
                <w:b/>
                <w:bCs w:val="0"/>
                <w:sz w:val="18"/>
                <w:szCs w:val="18"/>
              </w:rPr>
              <w:t>Liabilitas keuangan</w:t>
            </w:r>
          </w:p>
        </w:tc>
        <w:tc>
          <w:tcPr>
            <w:tcW w:w="1692" w:type="dxa"/>
            <w:shd w:val="clear" w:color="auto" w:fill="auto"/>
            <w:vAlign w:val="bottom"/>
          </w:tcPr>
          <w:p w14:paraId="1EAEBC6C" w14:textId="77777777" w:rsidR="00F64A5D" w:rsidRPr="00810F09" w:rsidRDefault="00F64A5D" w:rsidP="00F64A5D">
            <w:pPr>
              <w:ind w:left="293"/>
              <w:rPr>
                <w:b/>
                <w:bCs w:val="0"/>
                <w:sz w:val="18"/>
                <w:szCs w:val="18"/>
              </w:rPr>
            </w:pPr>
          </w:p>
        </w:tc>
        <w:tc>
          <w:tcPr>
            <w:tcW w:w="99" w:type="dxa"/>
            <w:vAlign w:val="bottom"/>
          </w:tcPr>
          <w:p w14:paraId="307F3049" w14:textId="77777777" w:rsidR="00F64A5D" w:rsidRPr="00810F09" w:rsidRDefault="00F64A5D" w:rsidP="00F64A5D">
            <w:pPr>
              <w:ind w:left="293"/>
              <w:rPr>
                <w:b/>
                <w:bCs w:val="0"/>
                <w:sz w:val="18"/>
                <w:szCs w:val="18"/>
              </w:rPr>
            </w:pPr>
          </w:p>
        </w:tc>
        <w:tc>
          <w:tcPr>
            <w:tcW w:w="1693" w:type="dxa"/>
            <w:vAlign w:val="bottom"/>
          </w:tcPr>
          <w:p w14:paraId="1A6C2B13" w14:textId="77777777" w:rsidR="00F64A5D" w:rsidRPr="00810F09" w:rsidRDefault="00F64A5D" w:rsidP="00F64A5D">
            <w:pPr>
              <w:ind w:left="293"/>
              <w:rPr>
                <w:b/>
                <w:bCs w:val="0"/>
                <w:sz w:val="18"/>
                <w:szCs w:val="18"/>
              </w:rPr>
            </w:pPr>
          </w:p>
        </w:tc>
        <w:tc>
          <w:tcPr>
            <w:tcW w:w="2849" w:type="dxa"/>
          </w:tcPr>
          <w:p w14:paraId="42BD477A" w14:textId="6FAE0DF8" w:rsidR="00F64A5D" w:rsidRPr="00810F09" w:rsidRDefault="00F64A5D" w:rsidP="00F64A5D">
            <w:pPr>
              <w:ind w:right="41"/>
              <w:jc w:val="right"/>
              <w:rPr>
                <w:b/>
                <w:bCs w:val="0"/>
                <w:i/>
                <w:sz w:val="18"/>
                <w:szCs w:val="18"/>
              </w:rPr>
            </w:pPr>
            <w:r w:rsidRPr="00810F09">
              <w:rPr>
                <w:b/>
                <w:bCs w:val="0"/>
                <w:i/>
                <w:sz w:val="18"/>
                <w:szCs w:val="18"/>
              </w:rPr>
              <w:t>Financial liabilities</w:t>
            </w:r>
          </w:p>
        </w:tc>
      </w:tr>
      <w:tr w:rsidR="00B20D9F" w:rsidRPr="00810F09" w14:paraId="17CD9225" w14:textId="77777777" w:rsidTr="005B429F">
        <w:trPr>
          <w:trHeight w:val="20"/>
        </w:trPr>
        <w:tc>
          <w:tcPr>
            <w:tcW w:w="2864" w:type="dxa"/>
          </w:tcPr>
          <w:p w14:paraId="4EB1C7AC" w14:textId="57CE805B" w:rsidR="00B20D9F" w:rsidRPr="00810F09" w:rsidRDefault="00B20D9F" w:rsidP="00B20D9F">
            <w:pPr>
              <w:ind w:left="293"/>
              <w:rPr>
                <w:sz w:val="18"/>
                <w:szCs w:val="18"/>
              </w:rPr>
            </w:pPr>
            <w:r w:rsidRPr="00810F09">
              <w:rPr>
                <w:sz w:val="18"/>
                <w:szCs w:val="18"/>
              </w:rPr>
              <w:t>Utang bank jangka pendek</w:t>
            </w:r>
          </w:p>
        </w:tc>
        <w:tc>
          <w:tcPr>
            <w:tcW w:w="1692" w:type="dxa"/>
            <w:shd w:val="clear" w:color="auto" w:fill="auto"/>
            <w:vAlign w:val="bottom"/>
          </w:tcPr>
          <w:p w14:paraId="1545F8AA" w14:textId="6D4AE6E9" w:rsidR="00B20D9F" w:rsidRPr="008723B4" w:rsidRDefault="00B20D9F" w:rsidP="00B20D9F">
            <w:pPr>
              <w:tabs>
                <w:tab w:val="left" w:pos="1390"/>
              </w:tabs>
              <w:ind w:left="28" w:right="57"/>
              <w:jc w:val="right"/>
              <w:rPr>
                <w:bCs w:val="0"/>
                <w:sz w:val="18"/>
                <w:szCs w:val="18"/>
              </w:rPr>
            </w:pPr>
            <w:r w:rsidRPr="008723B4">
              <w:rPr>
                <w:bCs w:val="0"/>
                <w:sz w:val="18"/>
                <w:szCs w:val="18"/>
              </w:rPr>
              <w:t>25.007.256.836</w:t>
            </w:r>
          </w:p>
        </w:tc>
        <w:tc>
          <w:tcPr>
            <w:tcW w:w="99" w:type="dxa"/>
            <w:vAlign w:val="bottom"/>
          </w:tcPr>
          <w:p w14:paraId="386149CE" w14:textId="77777777" w:rsidR="00B20D9F" w:rsidRPr="00C62B94" w:rsidRDefault="00B20D9F" w:rsidP="00B20D9F">
            <w:pPr>
              <w:ind w:left="293"/>
              <w:rPr>
                <w:b/>
                <w:bCs w:val="0"/>
                <w:sz w:val="18"/>
                <w:szCs w:val="18"/>
                <w:highlight w:val="yellow"/>
              </w:rPr>
            </w:pPr>
          </w:p>
        </w:tc>
        <w:tc>
          <w:tcPr>
            <w:tcW w:w="1693" w:type="dxa"/>
            <w:vAlign w:val="bottom"/>
          </w:tcPr>
          <w:p w14:paraId="07593895" w14:textId="484CFE2F" w:rsidR="00B20D9F" w:rsidRPr="00297002" w:rsidRDefault="00B20D9F" w:rsidP="00B20D9F">
            <w:pPr>
              <w:tabs>
                <w:tab w:val="left" w:pos="1390"/>
              </w:tabs>
              <w:ind w:left="28" w:right="57"/>
              <w:jc w:val="right"/>
              <w:rPr>
                <w:bCs w:val="0"/>
                <w:sz w:val="18"/>
                <w:szCs w:val="18"/>
              </w:rPr>
            </w:pPr>
            <w:r>
              <w:rPr>
                <w:bCs w:val="0"/>
                <w:sz w:val="18"/>
                <w:szCs w:val="18"/>
              </w:rPr>
              <w:t>25.007.256.836</w:t>
            </w:r>
          </w:p>
        </w:tc>
        <w:tc>
          <w:tcPr>
            <w:tcW w:w="2849" w:type="dxa"/>
          </w:tcPr>
          <w:p w14:paraId="04DC7051" w14:textId="4D79BCB1" w:rsidR="00B20D9F" w:rsidRPr="00810F09" w:rsidRDefault="00B20D9F" w:rsidP="00B20D9F">
            <w:pPr>
              <w:ind w:right="41"/>
              <w:jc w:val="right"/>
              <w:rPr>
                <w:i/>
                <w:sz w:val="18"/>
                <w:szCs w:val="18"/>
              </w:rPr>
            </w:pPr>
            <w:r w:rsidRPr="00810F09">
              <w:rPr>
                <w:i/>
                <w:sz w:val="18"/>
                <w:szCs w:val="18"/>
              </w:rPr>
              <w:t>Short-term bank loans</w:t>
            </w:r>
          </w:p>
        </w:tc>
      </w:tr>
      <w:tr w:rsidR="00B20D9F" w:rsidRPr="00810F09" w14:paraId="43EBF157" w14:textId="77777777" w:rsidTr="005B429F">
        <w:trPr>
          <w:trHeight w:val="20"/>
        </w:trPr>
        <w:tc>
          <w:tcPr>
            <w:tcW w:w="2864" w:type="dxa"/>
          </w:tcPr>
          <w:p w14:paraId="6388F252" w14:textId="3FB416A2" w:rsidR="00B20D9F" w:rsidRPr="00810F09" w:rsidRDefault="00B20D9F" w:rsidP="00B20D9F">
            <w:pPr>
              <w:ind w:left="293"/>
              <w:rPr>
                <w:sz w:val="18"/>
                <w:szCs w:val="18"/>
              </w:rPr>
            </w:pPr>
            <w:r w:rsidRPr="00810F09">
              <w:rPr>
                <w:sz w:val="18"/>
                <w:szCs w:val="18"/>
              </w:rPr>
              <w:t>Utang usaha</w:t>
            </w:r>
          </w:p>
        </w:tc>
        <w:tc>
          <w:tcPr>
            <w:tcW w:w="1692" w:type="dxa"/>
            <w:shd w:val="clear" w:color="auto" w:fill="auto"/>
            <w:vAlign w:val="bottom"/>
          </w:tcPr>
          <w:p w14:paraId="17C512F3" w14:textId="73D5926A" w:rsidR="00B20D9F" w:rsidRPr="008723B4" w:rsidRDefault="00B20D9F" w:rsidP="00B20D9F">
            <w:pPr>
              <w:tabs>
                <w:tab w:val="left" w:pos="1390"/>
              </w:tabs>
              <w:ind w:left="28" w:right="57"/>
              <w:jc w:val="right"/>
              <w:rPr>
                <w:bCs w:val="0"/>
                <w:sz w:val="18"/>
                <w:szCs w:val="18"/>
              </w:rPr>
            </w:pPr>
            <w:r w:rsidRPr="008723B4">
              <w:rPr>
                <w:bCs w:val="0"/>
                <w:sz w:val="18"/>
                <w:szCs w:val="18"/>
              </w:rPr>
              <w:t>110.499.274.270</w:t>
            </w:r>
          </w:p>
        </w:tc>
        <w:tc>
          <w:tcPr>
            <w:tcW w:w="99" w:type="dxa"/>
            <w:vAlign w:val="bottom"/>
          </w:tcPr>
          <w:p w14:paraId="7E74C1F9" w14:textId="77777777" w:rsidR="00B20D9F" w:rsidRPr="00810F09" w:rsidRDefault="00B20D9F" w:rsidP="00B20D9F">
            <w:pPr>
              <w:ind w:left="293"/>
              <w:rPr>
                <w:b/>
                <w:bCs w:val="0"/>
                <w:sz w:val="18"/>
                <w:szCs w:val="18"/>
              </w:rPr>
            </w:pPr>
          </w:p>
        </w:tc>
        <w:tc>
          <w:tcPr>
            <w:tcW w:w="1693" w:type="dxa"/>
            <w:vAlign w:val="bottom"/>
          </w:tcPr>
          <w:p w14:paraId="60427B85" w14:textId="4CC03494" w:rsidR="00B20D9F" w:rsidRPr="00297002" w:rsidRDefault="00B20D9F" w:rsidP="00B20D9F">
            <w:pPr>
              <w:tabs>
                <w:tab w:val="left" w:pos="1390"/>
              </w:tabs>
              <w:ind w:left="28" w:right="57"/>
              <w:jc w:val="right"/>
              <w:rPr>
                <w:bCs w:val="0"/>
                <w:sz w:val="18"/>
                <w:szCs w:val="18"/>
              </w:rPr>
            </w:pPr>
            <w:r>
              <w:rPr>
                <w:bCs w:val="0"/>
                <w:sz w:val="18"/>
                <w:szCs w:val="18"/>
              </w:rPr>
              <w:t>110.499.274.270</w:t>
            </w:r>
          </w:p>
        </w:tc>
        <w:tc>
          <w:tcPr>
            <w:tcW w:w="2849" w:type="dxa"/>
          </w:tcPr>
          <w:p w14:paraId="71898623" w14:textId="4C4E340C" w:rsidR="00B20D9F" w:rsidRPr="00810F09" w:rsidRDefault="00B20D9F" w:rsidP="00B20D9F">
            <w:pPr>
              <w:ind w:right="41"/>
              <w:jc w:val="right"/>
              <w:rPr>
                <w:i/>
                <w:sz w:val="18"/>
                <w:szCs w:val="18"/>
              </w:rPr>
            </w:pPr>
            <w:r w:rsidRPr="00810F09">
              <w:rPr>
                <w:i/>
                <w:sz w:val="18"/>
                <w:szCs w:val="18"/>
              </w:rPr>
              <w:t>Trade payables</w:t>
            </w:r>
          </w:p>
        </w:tc>
      </w:tr>
      <w:tr w:rsidR="00B20D9F" w:rsidRPr="00810F09" w14:paraId="52F45469" w14:textId="77777777" w:rsidTr="005B429F">
        <w:trPr>
          <w:trHeight w:val="20"/>
        </w:trPr>
        <w:tc>
          <w:tcPr>
            <w:tcW w:w="2864" w:type="dxa"/>
          </w:tcPr>
          <w:p w14:paraId="2DF1FE15" w14:textId="084F936A" w:rsidR="00B20D9F" w:rsidRPr="00810F09" w:rsidRDefault="00B20D9F" w:rsidP="00B20D9F">
            <w:pPr>
              <w:ind w:left="293"/>
              <w:rPr>
                <w:sz w:val="18"/>
                <w:szCs w:val="18"/>
              </w:rPr>
            </w:pPr>
            <w:r w:rsidRPr="00810F09">
              <w:rPr>
                <w:sz w:val="18"/>
                <w:szCs w:val="18"/>
              </w:rPr>
              <w:t>Utang kontraktor</w:t>
            </w:r>
          </w:p>
        </w:tc>
        <w:tc>
          <w:tcPr>
            <w:tcW w:w="1692" w:type="dxa"/>
            <w:shd w:val="clear" w:color="auto" w:fill="auto"/>
            <w:vAlign w:val="bottom"/>
          </w:tcPr>
          <w:p w14:paraId="37AD2B05" w14:textId="66BF3517" w:rsidR="00B20D9F" w:rsidRPr="008723B4" w:rsidRDefault="00C211AE" w:rsidP="00B20D9F">
            <w:pPr>
              <w:tabs>
                <w:tab w:val="left" w:pos="1390"/>
              </w:tabs>
              <w:ind w:left="28" w:right="57"/>
              <w:jc w:val="right"/>
              <w:rPr>
                <w:bCs w:val="0"/>
                <w:sz w:val="18"/>
                <w:szCs w:val="18"/>
                <w:lang w:val="id-ID"/>
              </w:rPr>
            </w:pPr>
            <w:r w:rsidRPr="008723B4">
              <w:rPr>
                <w:bCs w:val="0"/>
                <w:sz w:val="18"/>
                <w:szCs w:val="18"/>
                <w:lang w:val="id-ID"/>
              </w:rPr>
              <w:t>2</w:t>
            </w:r>
            <w:r w:rsidR="00B836DE" w:rsidRPr="008723B4">
              <w:rPr>
                <w:bCs w:val="0"/>
                <w:sz w:val="18"/>
                <w:szCs w:val="18"/>
                <w:lang w:val="id-ID"/>
              </w:rPr>
              <w:t>7</w:t>
            </w:r>
            <w:r w:rsidR="00B836DE" w:rsidRPr="008723B4">
              <w:rPr>
                <w:bCs w:val="0"/>
                <w:sz w:val="18"/>
                <w:szCs w:val="18"/>
              </w:rPr>
              <w:t>.</w:t>
            </w:r>
            <w:r w:rsidRPr="008723B4">
              <w:rPr>
                <w:bCs w:val="0"/>
                <w:sz w:val="18"/>
                <w:szCs w:val="18"/>
                <w:lang w:val="id-ID"/>
              </w:rPr>
              <w:t>468</w:t>
            </w:r>
            <w:r w:rsidR="00B836DE" w:rsidRPr="008723B4">
              <w:rPr>
                <w:bCs w:val="0"/>
                <w:sz w:val="18"/>
                <w:szCs w:val="18"/>
              </w:rPr>
              <w:t>.</w:t>
            </w:r>
            <w:r w:rsidRPr="008723B4">
              <w:rPr>
                <w:bCs w:val="0"/>
                <w:sz w:val="18"/>
                <w:szCs w:val="18"/>
                <w:lang w:val="id-ID"/>
              </w:rPr>
              <w:t>49</w:t>
            </w:r>
            <w:r w:rsidR="00B836DE" w:rsidRPr="008723B4">
              <w:rPr>
                <w:bCs w:val="0"/>
                <w:sz w:val="18"/>
                <w:szCs w:val="18"/>
                <w:lang w:val="id-ID"/>
              </w:rPr>
              <w:t>4</w:t>
            </w:r>
            <w:r w:rsidR="00B836DE" w:rsidRPr="008723B4">
              <w:rPr>
                <w:bCs w:val="0"/>
                <w:sz w:val="18"/>
                <w:szCs w:val="18"/>
              </w:rPr>
              <w:t>.</w:t>
            </w:r>
            <w:r w:rsidRPr="008723B4">
              <w:rPr>
                <w:bCs w:val="0"/>
                <w:sz w:val="18"/>
                <w:szCs w:val="18"/>
                <w:lang w:val="id-ID"/>
              </w:rPr>
              <w:t>698</w:t>
            </w:r>
          </w:p>
        </w:tc>
        <w:tc>
          <w:tcPr>
            <w:tcW w:w="99" w:type="dxa"/>
            <w:vAlign w:val="bottom"/>
          </w:tcPr>
          <w:p w14:paraId="09582BEC" w14:textId="77777777" w:rsidR="00B20D9F" w:rsidRPr="00810F09" w:rsidRDefault="00B20D9F" w:rsidP="00B20D9F">
            <w:pPr>
              <w:ind w:left="293"/>
              <w:rPr>
                <w:b/>
                <w:bCs w:val="0"/>
                <w:sz w:val="18"/>
                <w:szCs w:val="18"/>
              </w:rPr>
            </w:pPr>
          </w:p>
        </w:tc>
        <w:tc>
          <w:tcPr>
            <w:tcW w:w="1693" w:type="dxa"/>
            <w:vAlign w:val="bottom"/>
          </w:tcPr>
          <w:p w14:paraId="1699ACB1" w14:textId="138BC6DA" w:rsidR="00B20D9F" w:rsidRPr="00297002" w:rsidRDefault="004D6F06" w:rsidP="00B20D9F">
            <w:pPr>
              <w:tabs>
                <w:tab w:val="left" w:pos="1390"/>
              </w:tabs>
              <w:ind w:left="28" w:right="57"/>
              <w:jc w:val="right"/>
              <w:rPr>
                <w:bCs w:val="0"/>
                <w:sz w:val="18"/>
                <w:szCs w:val="18"/>
              </w:rPr>
            </w:pPr>
            <w:r>
              <w:rPr>
                <w:bCs w:val="0"/>
                <w:sz w:val="18"/>
                <w:szCs w:val="18"/>
                <w:lang w:val="id-ID"/>
              </w:rPr>
              <w:t>27</w:t>
            </w:r>
            <w:r>
              <w:rPr>
                <w:bCs w:val="0"/>
                <w:sz w:val="18"/>
                <w:szCs w:val="18"/>
              </w:rPr>
              <w:t>.</w:t>
            </w:r>
            <w:r>
              <w:rPr>
                <w:bCs w:val="0"/>
                <w:sz w:val="18"/>
                <w:szCs w:val="18"/>
                <w:lang w:val="id-ID"/>
              </w:rPr>
              <w:t>468</w:t>
            </w:r>
            <w:r>
              <w:rPr>
                <w:bCs w:val="0"/>
                <w:sz w:val="18"/>
                <w:szCs w:val="18"/>
              </w:rPr>
              <w:t>.</w:t>
            </w:r>
            <w:r>
              <w:rPr>
                <w:bCs w:val="0"/>
                <w:sz w:val="18"/>
                <w:szCs w:val="18"/>
                <w:lang w:val="id-ID"/>
              </w:rPr>
              <w:t>494</w:t>
            </w:r>
            <w:r>
              <w:rPr>
                <w:bCs w:val="0"/>
                <w:sz w:val="18"/>
                <w:szCs w:val="18"/>
              </w:rPr>
              <w:t>.</w:t>
            </w:r>
            <w:r>
              <w:rPr>
                <w:bCs w:val="0"/>
                <w:sz w:val="18"/>
                <w:szCs w:val="18"/>
                <w:lang w:val="id-ID"/>
              </w:rPr>
              <w:t>69</w:t>
            </w:r>
            <w:r w:rsidR="00B20D9F">
              <w:rPr>
                <w:bCs w:val="0"/>
                <w:sz w:val="18"/>
                <w:szCs w:val="18"/>
              </w:rPr>
              <w:t>8</w:t>
            </w:r>
          </w:p>
        </w:tc>
        <w:tc>
          <w:tcPr>
            <w:tcW w:w="2849" w:type="dxa"/>
          </w:tcPr>
          <w:p w14:paraId="2082BF5F" w14:textId="44E50E22" w:rsidR="00B20D9F" w:rsidRPr="00810F09" w:rsidRDefault="00B20D9F" w:rsidP="00B20D9F">
            <w:pPr>
              <w:ind w:right="41"/>
              <w:jc w:val="right"/>
              <w:rPr>
                <w:i/>
                <w:sz w:val="18"/>
                <w:szCs w:val="18"/>
              </w:rPr>
            </w:pPr>
            <w:r w:rsidRPr="00810F09">
              <w:rPr>
                <w:i/>
                <w:sz w:val="18"/>
                <w:szCs w:val="18"/>
              </w:rPr>
              <w:t>Contractor payables</w:t>
            </w:r>
          </w:p>
        </w:tc>
      </w:tr>
      <w:tr w:rsidR="00B20D9F" w:rsidRPr="00810F09" w14:paraId="0368D843" w14:textId="77777777" w:rsidTr="005B429F">
        <w:trPr>
          <w:trHeight w:val="20"/>
        </w:trPr>
        <w:tc>
          <w:tcPr>
            <w:tcW w:w="2864" w:type="dxa"/>
          </w:tcPr>
          <w:p w14:paraId="032281A5" w14:textId="643EFCE9" w:rsidR="00B20D9F" w:rsidRPr="00810F09" w:rsidRDefault="00B20D9F" w:rsidP="00B20D9F">
            <w:pPr>
              <w:ind w:left="293"/>
              <w:rPr>
                <w:sz w:val="18"/>
                <w:szCs w:val="18"/>
              </w:rPr>
            </w:pPr>
            <w:r w:rsidRPr="00810F09">
              <w:rPr>
                <w:sz w:val="18"/>
                <w:szCs w:val="18"/>
              </w:rPr>
              <w:t>Utang lain-lain</w:t>
            </w:r>
          </w:p>
        </w:tc>
        <w:tc>
          <w:tcPr>
            <w:tcW w:w="1692" w:type="dxa"/>
            <w:shd w:val="clear" w:color="auto" w:fill="auto"/>
            <w:vAlign w:val="bottom"/>
          </w:tcPr>
          <w:p w14:paraId="5DD444DF" w14:textId="49473013" w:rsidR="00B20D9F" w:rsidRPr="008723B4" w:rsidRDefault="004D6F06" w:rsidP="00B20D9F">
            <w:pPr>
              <w:tabs>
                <w:tab w:val="left" w:pos="1390"/>
              </w:tabs>
              <w:ind w:left="28" w:right="57"/>
              <w:jc w:val="right"/>
              <w:rPr>
                <w:bCs w:val="0"/>
                <w:sz w:val="18"/>
                <w:szCs w:val="18"/>
                <w:lang w:val="id-ID"/>
              </w:rPr>
            </w:pPr>
            <w:r w:rsidRPr="008723B4">
              <w:rPr>
                <w:bCs w:val="0"/>
                <w:sz w:val="18"/>
                <w:szCs w:val="18"/>
                <w:lang w:val="id-ID"/>
              </w:rPr>
              <w:t>1.149</w:t>
            </w:r>
            <w:r w:rsidRPr="008723B4">
              <w:rPr>
                <w:bCs w:val="0"/>
                <w:sz w:val="18"/>
                <w:szCs w:val="18"/>
              </w:rPr>
              <w:t>.</w:t>
            </w:r>
            <w:r w:rsidRPr="008723B4">
              <w:rPr>
                <w:bCs w:val="0"/>
                <w:sz w:val="18"/>
                <w:szCs w:val="18"/>
                <w:lang w:val="id-ID"/>
              </w:rPr>
              <w:t>501</w:t>
            </w:r>
            <w:r w:rsidRPr="008723B4">
              <w:rPr>
                <w:bCs w:val="0"/>
                <w:sz w:val="18"/>
                <w:szCs w:val="18"/>
              </w:rPr>
              <w:t>.</w:t>
            </w:r>
            <w:r w:rsidRPr="008723B4">
              <w:rPr>
                <w:bCs w:val="0"/>
                <w:sz w:val="18"/>
                <w:szCs w:val="18"/>
                <w:lang w:val="id-ID"/>
              </w:rPr>
              <w:t>330</w:t>
            </w:r>
            <w:r w:rsidRPr="008723B4">
              <w:rPr>
                <w:bCs w:val="0"/>
                <w:sz w:val="18"/>
                <w:szCs w:val="18"/>
              </w:rPr>
              <w:t>.</w:t>
            </w:r>
            <w:r w:rsidRPr="008723B4">
              <w:rPr>
                <w:bCs w:val="0"/>
                <w:sz w:val="18"/>
                <w:szCs w:val="18"/>
                <w:lang w:val="id-ID"/>
              </w:rPr>
              <w:t>072</w:t>
            </w:r>
          </w:p>
        </w:tc>
        <w:tc>
          <w:tcPr>
            <w:tcW w:w="99" w:type="dxa"/>
            <w:vAlign w:val="bottom"/>
          </w:tcPr>
          <w:p w14:paraId="3363061E" w14:textId="77777777" w:rsidR="00B20D9F" w:rsidRPr="00810F09" w:rsidRDefault="00B20D9F" w:rsidP="00B20D9F">
            <w:pPr>
              <w:ind w:left="293"/>
              <w:rPr>
                <w:b/>
                <w:bCs w:val="0"/>
                <w:sz w:val="18"/>
                <w:szCs w:val="18"/>
              </w:rPr>
            </w:pPr>
          </w:p>
        </w:tc>
        <w:tc>
          <w:tcPr>
            <w:tcW w:w="1693" w:type="dxa"/>
            <w:vAlign w:val="bottom"/>
          </w:tcPr>
          <w:p w14:paraId="78EE74FA" w14:textId="29586F1F" w:rsidR="00B20D9F" w:rsidRPr="004D6F06" w:rsidRDefault="004D6F06" w:rsidP="00B20D9F">
            <w:pPr>
              <w:tabs>
                <w:tab w:val="left" w:pos="1390"/>
              </w:tabs>
              <w:ind w:left="28" w:right="57"/>
              <w:jc w:val="right"/>
              <w:rPr>
                <w:bCs w:val="0"/>
                <w:sz w:val="18"/>
                <w:szCs w:val="18"/>
                <w:lang w:val="id-ID"/>
              </w:rPr>
            </w:pPr>
            <w:r>
              <w:rPr>
                <w:bCs w:val="0"/>
                <w:sz w:val="18"/>
                <w:szCs w:val="18"/>
                <w:lang w:val="id-ID"/>
              </w:rPr>
              <w:t>1.149</w:t>
            </w:r>
            <w:r>
              <w:rPr>
                <w:bCs w:val="0"/>
                <w:sz w:val="18"/>
                <w:szCs w:val="18"/>
              </w:rPr>
              <w:t>.</w:t>
            </w:r>
            <w:r>
              <w:rPr>
                <w:bCs w:val="0"/>
                <w:sz w:val="18"/>
                <w:szCs w:val="18"/>
                <w:lang w:val="id-ID"/>
              </w:rPr>
              <w:t>501</w:t>
            </w:r>
            <w:r>
              <w:rPr>
                <w:bCs w:val="0"/>
                <w:sz w:val="18"/>
                <w:szCs w:val="18"/>
              </w:rPr>
              <w:t>.</w:t>
            </w:r>
            <w:r>
              <w:rPr>
                <w:bCs w:val="0"/>
                <w:sz w:val="18"/>
                <w:szCs w:val="18"/>
                <w:lang w:val="id-ID"/>
              </w:rPr>
              <w:t>330</w:t>
            </w:r>
            <w:r>
              <w:rPr>
                <w:bCs w:val="0"/>
                <w:sz w:val="18"/>
                <w:szCs w:val="18"/>
              </w:rPr>
              <w:t>.</w:t>
            </w:r>
            <w:r w:rsidR="00B20D9F">
              <w:rPr>
                <w:bCs w:val="0"/>
                <w:sz w:val="18"/>
                <w:szCs w:val="18"/>
              </w:rPr>
              <w:t>0</w:t>
            </w:r>
            <w:r>
              <w:rPr>
                <w:bCs w:val="0"/>
                <w:sz w:val="18"/>
                <w:szCs w:val="18"/>
                <w:lang w:val="id-ID"/>
              </w:rPr>
              <w:t>72</w:t>
            </w:r>
          </w:p>
        </w:tc>
        <w:tc>
          <w:tcPr>
            <w:tcW w:w="2849" w:type="dxa"/>
          </w:tcPr>
          <w:p w14:paraId="6F0A90FB" w14:textId="5E6C036A" w:rsidR="00B20D9F" w:rsidRPr="00810F09" w:rsidRDefault="00B20D9F" w:rsidP="00B20D9F">
            <w:pPr>
              <w:ind w:right="41"/>
              <w:jc w:val="right"/>
              <w:rPr>
                <w:i/>
                <w:sz w:val="18"/>
                <w:szCs w:val="18"/>
              </w:rPr>
            </w:pPr>
            <w:r w:rsidRPr="00810F09">
              <w:rPr>
                <w:i/>
                <w:sz w:val="18"/>
                <w:szCs w:val="18"/>
              </w:rPr>
              <w:t>Other payables</w:t>
            </w:r>
          </w:p>
        </w:tc>
      </w:tr>
      <w:tr w:rsidR="00B20D9F" w:rsidRPr="00810F09" w14:paraId="78CA106C" w14:textId="77777777" w:rsidTr="005B429F">
        <w:trPr>
          <w:trHeight w:val="20"/>
        </w:trPr>
        <w:tc>
          <w:tcPr>
            <w:tcW w:w="2864" w:type="dxa"/>
          </w:tcPr>
          <w:p w14:paraId="3D2EFCF2" w14:textId="1B629994" w:rsidR="00B20D9F" w:rsidRPr="00810F09" w:rsidRDefault="00B20D9F" w:rsidP="00B20D9F">
            <w:pPr>
              <w:ind w:left="293"/>
              <w:rPr>
                <w:sz w:val="18"/>
                <w:szCs w:val="18"/>
              </w:rPr>
            </w:pPr>
            <w:r w:rsidRPr="00810F09">
              <w:rPr>
                <w:sz w:val="18"/>
                <w:szCs w:val="18"/>
              </w:rPr>
              <w:t xml:space="preserve">Biaya </w:t>
            </w:r>
            <w:r>
              <w:rPr>
                <w:sz w:val="18"/>
                <w:szCs w:val="18"/>
              </w:rPr>
              <w:t>yang masih harus dibayar</w:t>
            </w:r>
          </w:p>
        </w:tc>
        <w:tc>
          <w:tcPr>
            <w:tcW w:w="1692" w:type="dxa"/>
            <w:shd w:val="clear" w:color="auto" w:fill="auto"/>
            <w:vAlign w:val="bottom"/>
          </w:tcPr>
          <w:p w14:paraId="4EAA91ED" w14:textId="366720BC" w:rsidR="00B20D9F" w:rsidRPr="008723B4" w:rsidRDefault="00B20D9F" w:rsidP="00B20D9F">
            <w:pPr>
              <w:tabs>
                <w:tab w:val="left" w:pos="1390"/>
              </w:tabs>
              <w:ind w:left="28" w:right="57"/>
              <w:jc w:val="right"/>
              <w:rPr>
                <w:bCs w:val="0"/>
                <w:sz w:val="18"/>
                <w:szCs w:val="18"/>
              </w:rPr>
            </w:pPr>
            <w:r w:rsidRPr="008723B4">
              <w:rPr>
                <w:bCs w:val="0"/>
                <w:sz w:val="18"/>
                <w:szCs w:val="18"/>
              </w:rPr>
              <w:t>59.478.812.710</w:t>
            </w:r>
          </w:p>
        </w:tc>
        <w:tc>
          <w:tcPr>
            <w:tcW w:w="99" w:type="dxa"/>
            <w:vAlign w:val="bottom"/>
          </w:tcPr>
          <w:p w14:paraId="00AD0BEA" w14:textId="77777777" w:rsidR="00B20D9F" w:rsidRPr="00810F09" w:rsidRDefault="00B20D9F" w:rsidP="00B20D9F">
            <w:pPr>
              <w:ind w:left="293"/>
              <w:rPr>
                <w:b/>
                <w:bCs w:val="0"/>
                <w:sz w:val="18"/>
                <w:szCs w:val="18"/>
              </w:rPr>
            </w:pPr>
          </w:p>
        </w:tc>
        <w:tc>
          <w:tcPr>
            <w:tcW w:w="1693" w:type="dxa"/>
            <w:vAlign w:val="bottom"/>
          </w:tcPr>
          <w:p w14:paraId="09AEC92F" w14:textId="77C74C53" w:rsidR="00B20D9F" w:rsidRPr="00297002" w:rsidRDefault="00B20D9F" w:rsidP="00B20D9F">
            <w:pPr>
              <w:tabs>
                <w:tab w:val="left" w:pos="1390"/>
              </w:tabs>
              <w:ind w:left="28" w:right="57"/>
              <w:jc w:val="right"/>
              <w:rPr>
                <w:bCs w:val="0"/>
                <w:sz w:val="18"/>
                <w:szCs w:val="18"/>
              </w:rPr>
            </w:pPr>
            <w:r>
              <w:rPr>
                <w:bCs w:val="0"/>
                <w:sz w:val="18"/>
                <w:szCs w:val="18"/>
              </w:rPr>
              <w:t>59.478.812.710</w:t>
            </w:r>
          </w:p>
        </w:tc>
        <w:tc>
          <w:tcPr>
            <w:tcW w:w="2849" w:type="dxa"/>
          </w:tcPr>
          <w:p w14:paraId="1168B3E5" w14:textId="26D84EB4" w:rsidR="00B20D9F" w:rsidRPr="00810F09" w:rsidRDefault="00B20D9F" w:rsidP="00B20D9F">
            <w:pPr>
              <w:ind w:right="41"/>
              <w:jc w:val="right"/>
              <w:rPr>
                <w:i/>
                <w:sz w:val="18"/>
                <w:szCs w:val="18"/>
              </w:rPr>
            </w:pPr>
            <w:r w:rsidRPr="00810F09">
              <w:rPr>
                <w:i/>
                <w:sz w:val="18"/>
                <w:szCs w:val="18"/>
              </w:rPr>
              <w:t>Accrued expenses</w:t>
            </w:r>
          </w:p>
        </w:tc>
      </w:tr>
      <w:tr w:rsidR="00B20D9F" w:rsidRPr="00810F09" w14:paraId="4633130D" w14:textId="77777777" w:rsidTr="005B429F">
        <w:trPr>
          <w:trHeight w:val="20"/>
        </w:trPr>
        <w:tc>
          <w:tcPr>
            <w:tcW w:w="2864" w:type="dxa"/>
          </w:tcPr>
          <w:p w14:paraId="60E9379C" w14:textId="46F4EE53" w:rsidR="00B20D9F" w:rsidRPr="00810F09" w:rsidRDefault="00B20D9F" w:rsidP="00B20D9F">
            <w:pPr>
              <w:ind w:left="293"/>
              <w:rPr>
                <w:sz w:val="18"/>
                <w:szCs w:val="18"/>
              </w:rPr>
            </w:pPr>
            <w:r w:rsidRPr="00810F09">
              <w:rPr>
                <w:sz w:val="18"/>
                <w:szCs w:val="18"/>
              </w:rPr>
              <w:t>Utang lainnya jangka pendek</w:t>
            </w:r>
          </w:p>
        </w:tc>
        <w:tc>
          <w:tcPr>
            <w:tcW w:w="1692" w:type="dxa"/>
            <w:shd w:val="clear" w:color="auto" w:fill="auto"/>
            <w:vAlign w:val="bottom"/>
          </w:tcPr>
          <w:p w14:paraId="6E07561A" w14:textId="7C8C7812" w:rsidR="00B20D9F" w:rsidRPr="008723B4" w:rsidRDefault="00B20D9F" w:rsidP="00B20D9F">
            <w:pPr>
              <w:tabs>
                <w:tab w:val="left" w:pos="1390"/>
              </w:tabs>
              <w:ind w:left="28" w:right="57"/>
              <w:jc w:val="right"/>
              <w:rPr>
                <w:bCs w:val="0"/>
                <w:sz w:val="18"/>
                <w:szCs w:val="18"/>
                <w:lang w:val="id-ID"/>
              </w:rPr>
            </w:pPr>
            <w:r w:rsidRPr="008723B4">
              <w:rPr>
                <w:bCs w:val="0"/>
                <w:sz w:val="18"/>
                <w:szCs w:val="18"/>
              </w:rPr>
              <w:t>1.524.564.029</w:t>
            </w:r>
          </w:p>
        </w:tc>
        <w:tc>
          <w:tcPr>
            <w:tcW w:w="99" w:type="dxa"/>
            <w:vAlign w:val="bottom"/>
          </w:tcPr>
          <w:p w14:paraId="2A7F1C02" w14:textId="77777777" w:rsidR="00B20D9F" w:rsidRPr="00C62B94" w:rsidRDefault="00B20D9F" w:rsidP="00B20D9F">
            <w:pPr>
              <w:ind w:left="293"/>
              <w:rPr>
                <w:b/>
                <w:bCs w:val="0"/>
                <w:sz w:val="18"/>
                <w:szCs w:val="18"/>
                <w:highlight w:val="yellow"/>
              </w:rPr>
            </w:pPr>
          </w:p>
        </w:tc>
        <w:tc>
          <w:tcPr>
            <w:tcW w:w="1693" w:type="dxa"/>
            <w:vAlign w:val="bottom"/>
          </w:tcPr>
          <w:p w14:paraId="6962363E" w14:textId="33C80457" w:rsidR="00B20D9F" w:rsidRPr="00297002" w:rsidRDefault="00B20D9F" w:rsidP="00B20D9F">
            <w:pPr>
              <w:tabs>
                <w:tab w:val="left" w:pos="1390"/>
              </w:tabs>
              <w:ind w:left="28" w:right="57"/>
              <w:jc w:val="right"/>
              <w:rPr>
                <w:bCs w:val="0"/>
                <w:sz w:val="18"/>
                <w:szCs w:val="18"/>
              </w:rPr>
            </w:pPr>
            <w:r>
              <w:rPr>
                <w:bCs w:val="0"/>
                <w:sz w:val="18"/>
                <w:szCs w:val="18"/>
              </w:rPr>
              <w:t>1.524.564.029</w:t>
            </w:r>
          </w:p>
        </w:tc>
        <w:tc>
          <w:tcPr>
            <w:tcW w:w="2849" w:type="dxa"/>
          </w:tcPr>
          <w:p w14:paraId="77C7C73B" w14:textId="1A432F92" w:rsidR="00B20D9F" w:rsidRPr="00810F09" w:rsidRDefault="00B20D9F" w:rsidP="00B20D9F">
            <w:pPr>
              <w:ind w:right="41"/>
              <w:jc w:val="right"/>
              <w:rPr>
                <w:i/>
                <w:sz w:val="18"/>
                <w:szCs w:val="18"/>
              </w:rPr>
            </w:pPr>
            <w:r w:rsidRPr="00810F09">
              <w:rPr>
                <w:i/>
                <w:sz w:val="18"/>
                <w:szCs w:val="18"/>
              </w:rPr>
              <w:t>Short-term other payable</w:t>
            </w:r>
          </w:p>
        </w:tc>
      </w:tr>
      <w:tr w:rsidR="00D838C6" w:rsidRPr="00810F09" w14:paraId="48B6D4EC" w14:textId="77777777" w:rsidTr="005B429F">
        <w:trPr>
          <w:trHeight w:val="20"/>
        </w:trPr>
        <w:tc>
          <w:tcPr>
            <w:tcW w:w="2864" w:type="dxa"/>
          </w:tcPr>
          <w:p w14:paraId="17A60E5C" w14:textId="29134996" w:rsidR="00D838C6" w:rsidRPr="00D838C6" w:rsidRDefault="00D838C6" w:rsidP="00B20D9F">
            <w:pPr>
              <w:ind w:left="293"/>
              <w:rPr>
                <w:sz w:val="18"/>
                <w:szCs w:val="18"/>
                <w:lang w:val="id-ID"/>
              </w:rPr>
            </w:pPr>
            <w:r>
              <w:rPr>
                <w:sz w:val="18"/>
                <w:szCs w:val="18"/>
                <w:lang w:val="id-ID"/>
              </w:rPr>
              <w:t>Liabilitas sewa</w:t>
            </w:r>
          </w:p>
        </w:tc>
        <w:tc>
          <w:tcPr>
            <w:tcW w:w="1692" w:type="dxa"/>
            <w:shd w:val="clear" w:color="auto" w:fill="auto"/>
            <w:vAlign w:val="bottom"/>
          </w:tcPr>
          <w:p w14:paraId="5881A10F" w14:textId="415D68B6" w:rsidR="00D838C6" w:rsidRPr="008723B4" w:rsidRDefault="00D838C6" w:rsidP="00B20D9F">
            <w:pPr>
              <w:tabs>
                <w:tab w:val="left" w:pos="1390"/>
              </w:tabs>
              <w:ind w:left="28" w:right="57"/>
              <w:jc w:val="right"/>
              <w:rPr>
                <w:bCs w:val="0"/>
                <w:sz w:val="18"/>
                <w:szCs w:val="18"/>
                <w:lang w:val="id-ID"/>
              </w:rPr>
            </w:pPr>
            <w:r w:rsidRPr="008723B4">
              <w:rPr>
                <w:bCs w:val="0"/>
                <w:sz w:val="18"/>
                <w:szCs w:val="18"/>
                <w:lang w:val="id-ID"/>
              </w:rPr>
              <w:t>180.257.628.937</w:t>
            </w:r>
          </w:p>
        </w:tc>
        <w:tc>
          <w:tcPr>
            <w:tcW w:w="99" w:type="dxa"/>
            <w:vAlign w:val="bottom"/>
          </w:tcPr>
          <w:p w14:paraId="000C9ACA" w14:textId="77777777" w:rsidR="00D838C6" w:rsidRPr="00C62B94" w:rsidRDefault="00D838C6" w:rsidP="00B20D9F">
            <w:pPr>
              <w:ind w:left="293"/>
              <w:rPr>
                <w:b/>
                <w:bCs w:val="0"/>
                <w:sz w:val="18"/>
                <w:szCs w:val="18"/>
                <w:highlight w:val="yellow"/>
              </w:rPr>
            </w:pPr>
          </w:p>
        </w:tc>
        <w:tc>
          <w:tcPr>
            <w:tcW w:w="1693" w:type="dxa"/>
            <w:vAlign w:val="bottom"/>
          </w:tcPr>
          <w:p w14:paraId="7E9ADECB" w14:textId="40ABBEB2" w:rsidR="00D838C6" w:rsidRPr="004D6F06" w:rsidRDefault="004D6F06" w:rsidP="00B20D9F">
            <w:pPr>
              <w:tabs>
                <w:tab w:val="left" w:pos="1390"/>
              </w:tabs>
              <w:ind w:left="28" w:right="57"/>
              <w:jc w:val="right"/>
              <w:rPr>
                <w:bCs w:val="0"/>
                <w:sz w:val="18"/>
                <w:szCs w:val="18"/>
                <w:lang w:val="id-ID"/>
              </w:rPr>
            </w:pPr>
            <w:r>
              <w:rPr>
                <w:bCs w:val="0"/>
                <w:sz w:val="18"/>
                <w:szCs w:val="18"/>
                <w:lang w:val="id-ID"/>
              </w:rPr>
              <w:t>180.257628937</w:t>
            </w:r>
          </w:p>
        </w:tc>
        <w:tc>
          <w:tcPr>
            <w:tcW w:w="2849" w:type="dxa"/>
          </w:tcPr>
          <w:p w14:paraId="1662006B" w14:textId="63FACFE3" w:rsidR="00D838C6" w:rsidRPr="00D838C6" w:rsidRDefault="00D838C6" w:rsidP="00B20D9F">
            <w:pPr>
              <w:ind w:right="41"/>
              <w:jc w:val="right"/>
              <w:rPr>
                <w:i/>
                <w:sz w:val="18"/>
                <w:szCs w:val="18"/>
                <w:lang w:val="id-ID"/>
              </w:rPr>
            </w:pPr>
            <w:r>
              <w:rPr>
                <w:i/>
                <w:sz w:val="18"/>
                <w:szCs w:val="18"/>
                <w:lang w:val="id-ID"/>
              </w:rPr>
              <w:t>Lease Liabilities</w:t>
            </w:r>
          </w:p>
        </w:tc>
      </w:tr>
      <w:tr w:rsidR="00B20D9F" w:rsidRPr="00810F09" w14:paraId="7664DF7A" w14:textId="77777777" w:rsidTr="005B429F">
        <w:trPr>
          <w:trHeight w:val="20"/>
        </w:trPr>
        <w:tc>
          <w:tcPr>
            <w:tcW w:w="2864" w:type="dxa"/>
          </w:tcPr>
          <w:p w14:paraId="4B17075E" w14:textId="07F8184D" w:rsidR="00B20D9F" w:rsidRPr="00810F09" w:rsidRDefault="00B20D9F" w:rsidP="00B20D9F">
            <w:pPr>
              <w:ind w:left="293"/>
              <w:rPr>
                <w:sz w:val="18"/>
                <w:szCs w:val="18"/>
              </w:rPr>
            </w:pPr>
            <w:r w:rsidRPr="00810F09">
              <w:rPr>
                <w:sz w:val="18"/>
                <w:szCs w:val="18"/>
              </w:rPr>
              <w:t>Utang bank jangka Panjang</w:t>
            </w:r>
          </w:p>
        </w:tc>
        <w:tc>
          <w:tcPr>
            <w:tcW w:w="1692" w:type="dxa"/>
            <w:shd w:val="clear" w:color="auto" w:fill="auto"/>
            <w:vAlign w:val="bottom"/>
          </w:tcPr>
          <w:p w14:paraId="4D827691" w14:textId="0B673562" w:rsidR="00B20D9F" w:rsidRPr="008723B4" w:rsidRDefault="00B20D9F" w:rsidP="00B20D9F">
            <w:pPr>
              <w:tabs>
                <w:tab w:val="left" w:pos="1390"/>
              </w:tabs>
              <w:ind w:left="28" w:right="57"/>
              <w:jc w:val="right"/>
              <w:rPr>
                <w:bCs w:val="0"/>
                <w:sz w:val="18"/>
                <w:szCs w:val="18"/>
                <w:lang w:val="id-ID"/>
              </w:rPr>
            </w:pPr>
            <w:r w:rsidRPr="008723B4">
              <w:rPr>
                <w:bCs w:val="0"/>
                <w:sz w:val="18"/>
                <w:szCs w:val="18"/>
              </w:rPr>
              <w:t>150.000.000.000</w:t>
            </w:r>
          </w:p>
        </w:tc>
        <w:tc>
          <w:tcPr>
            <w:tcW w:w="99" w:type="dxa"/>
            <w:vAlign w:val="bottom"/>
          </w:tcPr>
          <w:p w14:paraId="210B7537" w14:textId="77777777" w:rsidR="00B20D9F" w:rsidRPr="00810F09" w:rsidRDefault="00B20D9F" w:rsidP="00B20D9F">
            <w:pPr>
              <w:ind w:left="293"/>
              <w:rPr>
                <w:b/>
                <w:bCs w:val="0"/>
                <w:sz w:val="18"/>
                <w:szCs w:val="18"/>
              </w:rPr>
            </w:pPr>
          </w:p>
        </w:tc>
        <w:tc>
          <w:tcPr>
            <w:tcW w:w="1693" w:type="dxa"/>
            <w:vAlign w:val="bottom"/>
          </w:tcPr>
          <w:p w14:paraId="4F9C7EF8" w14:textId="1B5B3E92" w:rsidR="00B20D9F" w:rsidRPr="00297002" w:rsidRDefault="00B20D9F" w:rsidP="00B20D9F">
            <w:pPr>
              <w:tabs>
                <w:tab w:val="left" w:pos="1390"/>
              </w:tabs>
              <w:ind w:left="28" w:right="57"/>
              <w:jc w:val="right"/>
              <w:rPr>
                <w:bCs w:val="0"/>
                <w:sz w:val="18"/>
                <w:szCs w:val="18"/>
              </w:rPr>
            </w:pPr>
            <w:r>
              <w:rPr>
                <w:bCs w:val="0"/>
                <w:sz w:val="18"/>
                <w:szCs w:val="18"/>
              </w:rPr>
              <w:t>150.000.000.000</w:t>
            </w:r>
          </w:p>
        </w:tc>
        <w:tc>
          <w:tcPr>
            <w:tcW w:w="2849" w:type="dxa"/>
          </w:tcPr>
          <w:p w14:paraId="41BFCE94" w14:textId="3BB87C4E" w:rsidR="00B20D9F" w:rsidRPr="00C62B94" w:rsidRDefault="00B20D9F" w:rsidP="00B20D9F">
            <w:pPr>
              <w:ind w:right="41"/>
              <w:jc w:val="right"/>
              <w:rPr>
                <w:i/>
                <w:sz w:val="18"/>
                <w:szCs w:val="18"/>
                <w:lang w:val="id-ID"/>
              </w:rPr>
            </w:pPr>
            <w:r w:rsidRPr="00810F09">
              <w:rPr>
                <w:i/>
                <w:sz w:val="18"/>
                <w:szCs w:val="18"/>
              </w:rPr>
              <w:t>Long-term bank loans</w:t>
            </w:r>
          </w:p>
        </w:tc>
      </w:tr>
      <w:tr w:rsidR="00B20D9F" w:rsidRPr="00810F09" w14:paraId="4CD201F6" w14:textId="77777777" w:rsidTr="005B429F">
        <w:trPr>
          <w:trHeight w:val="20"/>
        </w:trPr>
        <w:tc>
          <w:tcPr>
            <w:tcW w:w="2864" w:type="dxa"/>
          </w:tcPr>
          <w:p w14:paraId="43300BC8" w14:textId="77777777" w:rsidR="00B20D9F" w:rsidRPr="00810F09" w:rsidRDefault="00B20D9F" w:rsidP="00B20D9F">
            <w:pPr>
              <w:ind w:left="293"/>
              <w:rPr>
                <w:b/>
                <w:bCs w:val="0"/>
                <w:sz w:val="18"/>
                <w:szCs w:val="18"/>
              </w:rPr>
            </w:pPr>
          </w:p>
        </w:tc>
        <w:tc>
          <w:tcPr>
            <w:tcW w:w="1692" w:type="dxa"/>
            <w:tcBorders>
              <w:top w:val="single" w:sz="4" w:space="0" w:color="auto"/>
            </w:tcBorders>
            <w:shd w:val="clear" w:color="auto" w:fill="auto"/>
            <w:vAlign w:val="bottom"/>
          </w:tcPr>
          <w:p w14:paraId="2540C403" w14:textId="77777777" w:rsidR="00B20D9F" w:rsidRPr="008723B4" w:rsidRDefault="00B20D9F" w:rsidP="00B20D9F">
            <w:pPr>
              <w:tabs>
                <w:tab w:val="left" w:pos="1390"/>
              </w:tabs>
              <w:ind w:left="28" w:right="57"/>
              <w:jc w:val="right"/>
              <w:rPr>
                <w:bCs w:val="0"/>
                <w:sz w:val="18"/>
                <w:szCs w:val="18"/>
              </w:rPr>
            </w:pPr>
          </w:p>
        </w:tc>
        <w:tc>
          <w:tcPr>
            <w:tcW w:w="99" w:type="dxa"/>
            <w:vAlign w:val="bottom"/>
          </w:tcPr>
          <w:p w14:paraId="40AC5E16" w14:textId="77777777" w:rsidR="00B20D9F" w:rsidRPr="00810F09" w:rsidRDefault="00B20D9F" w:rsidP="00B20D9F">
            <w:pPr>
              <w:ind w:left="293"/>
              <w:rPr>
                <w:b/>
                <w:bCs w:val="0"/>
                <w:sz w:val="18"/>
                <w:szCs w:val="18"/>
              </w:rPr>
            </w:pPr>
          </w:p>
        </w:tc>
        <w:tc>
          <w:tcPr>
            <w:tcW w:w="1693" w:type="dxa"/>
            <w:tcBorders>
              <w:top w:val="single" w:sz="4" w:space="0" w:color="auto"/>
            </w:tcBorders>
            <w:vAlign w:val="bottom"/>
          </w:tcPr>
          <w:p w14:paraId="2FA25845" w14:textId="77777777" w:rsidR="00B20D9F" w:rsidRPr="00297002" w:rsidRDefault="00B20D9F" w:rsidP="00B20D9F">
            <w:pPr>
              <w:tabs>
                <w:tab w:val="left" w:pos="1390"/>
              </w:tabs>
              <w:ind w:left="28" w:right="57"/>
              <w:jc w:val="right"/>
              <w:rPr>
                <w:bCs w:val="0"/>
                <w:sz w:val="18"/>
                <w:szCs w:val="18"/>
              </w:rPr>
            </w:pPr>
          </w:p>
        </w:tc>
        <w:tc>
          <w:tcPr>
            <w:tcW w:w="2849" w:type="dxa"/>
          </w:tcPr>
          <w:p w14:paraId="02212696" w14:textId="77777777" w:rsidR="00B20D9F" w:rsidRPr="00810F09" w:rsidRDefault="00B20D9F" w:rsidP="00B20D9F">
            <w:pPr>
              <w:ind w:right="41"/>
              <w:jc w:val="right"/>
              <w:rPr>
                <w:i/>
                <w:sz w:val="18"/>
                <w:szCs w:val="18"/>
              </w:rPr>
            </w:pPr>
          </w:p>
        </w:tc>
      </w:tr>
      <w:tr w:rsidR="00B20D9F" w:rsidRPr="00952B41" w14:paraId="540BE376" w14:textId="77777777" w:rsidTr="005B429F">
        <w:trPr>
          <w:trHeight w:val="20"/>
        </w:trPr>
        <w:tc>
          <w:tcPr>
            <w:tcW w:w="2864" w:type="dxa"/>
          </w:tcPr>
          <w:p w14:paraId="7124423E" w14:textId="3149951A" w:rsidR="00B20D9F" w:rsidRPr="00952B41" w:rsidRDefault="00B20D9F" w:rsidP="00B20D9F">
            <w:pPr>
              <w:ind w:left="293"/>
              <w:rPr>
                <w:b/>
                <w:bCs w:val="0"/>
                <w:sz w:val="18"/>
                <w:szCs w:val="18"/>
              </w:rPr>
            </w:pPr>
            <w:r w:rsidRPr="00952B41">
              <w:rPr>
                <w:b/>
                <w:bCs w:val="0"/>
                <w:sz w:val="18"/>
                <w:szCs w:val="18"/>
              </w:rPr>
              <w:t>Jumlah liabilitas keuangan</w:t>
            </w:r>
          </w:p>
        </w:tc>
        <w:tc>
          <w:tcPr>
            <w:tcW w:w="1692" w:type="dxa"/>
            <w:tcBorders>
              <w:bottom w:val="double" w:sz="4" w:space="0" w:color="auto"/>
            </w:tcBorders>
            <w:shd w:val="clear" w:color="auto" w:fill="auto"/>
            <w:vAlign w:val="bottom"/>
          </w:tcPr>
          <w:p w14:paraId="170E26FB" w14:textId="09EF1A88" w:rsidR="00B20D9F" w:rsidRPr="008723B4" w:rsidRDefault="003D4D7B" w:rsidP="00B20D9F">
            <w:pPr>
              <w:tabs>
                <w:tab w:val="left" w:pos="1390"/>
              </w:tabs>
              <w:ind w:left="28" w:right="57"/>
              <w:jc w:val="right"/>
              <w:rPr>
                <w:b/>
                <w:bCs w:val="0"/>
                <w:sz w:val="18"/>
                <w:szCs w:val="18"/>
                <w:lang w:val="id-ID"/>
              </w:rPr>
            </w:pPr>
            <w:r w:rsidRPr="008723B4">
              <w:rPr>
                <w:b/>
                <w:bCs w:val="0"/>
                <w:sz w:val="18"/>
                <w:szCs w:val="18"/>
              </w:rPr>
              <w:t>1.</w:t>
            </w:r>
            <w:r w:rsidR="00FB4909" w:rsidRPr="008723B4">
              <w:rPr>
                <w:b/>
                <w:bCs w:val="0"/>
                <w:sz w:val="18"/>
                <w:szCs w:val="18"/>
                <w:lang w:val="id-ID"/>
              </w:rPr>
              <w:t>703</w:t>
            </w:r>
            <w:r w:rsidRPr="008723B4">
              <w:rPr>
                <w:b/>
                <w:bCs w:val="0"/>
                <w:sz w:val="18"/>
                <w:szCs w:val="18"/>
              </w:rPr>
              <w:t>.</w:t>
            </w:r>
            <w:r w:rsidR="00FB4909" w:rsidRPr="008723B4">
              <w:rPr>
                <w:b/>
                <w:bCs w:val="0"/>
                <w:sz w:val="18"/>
                <w:szCs w:val="18"/>
                <w:lang w:val="id-ID"/>
              </w:rPr>
              <w:t>737</w:t>
            </w:r>
            <w:r w:rsidRPr="008723B4">
              <w:rPr>
                <w:b/>
                <w:bCs w:val="0"/>
                <w:sz w:val="18"/>
                <w:szCs w:val="18"/>
              </w:rPr>
              <w:t>.</w:t>
            </w:r>
            <w:r w:rsidR="00FB4909" w:rsidRPr="008723B4">
              <w:rPr>
                <w:b/>
                <w:bCs w:val="0"/>
                <w:sz w:val="18"/>
                <w:szCs w:val="18"/>
                <w:lang w:val="id-ID"/>
              </w:rPr>
              <w:t>361</w:t>
            </w:r>
            <w:r w:rsidRPr="008723B4">
              <w:rPr>
                <w:b/>
                <w:bCs w:val="0"/>
                <w:sz w:val="18"/>
                <w:szCs w:val="18"/>
              </w:rPr>
              <w:t>.</w:t>
            </w:r>
            <w:r w:rsidR="00FB4909" w:rsidRPr="008723B4">
              <w:rPr>
                <w:b/>
                <w:bCs w:val="0"/>
                <w:sz w:val="18"/>
                <w:szCs w:val="18"/>
                <w:lang w:val="id-ID"/>
              </w:rPr>
              <w:t>552</w:t>
            </w:r>
          </w:p>
        </w:tc>
        <w:tc>
          <w:tcPr>
            <w:tcW w:w="99" w:type="dxa"/>
            <w:vAlign w:val="bottom"/>
          </w:tcPr>
          <w:p w14:paraId="14FA38BD" w14:textId="77777777" w:rsidR="00B20D9F" w:rsidRPr="003D4D7B" w:rsidRDefault="00B20D9F" w:rsidP="00B20D9F">
            <w:pPr>
              <w:ind w:left="293"/>
              <w:rPr>
                <w:b/>
                <w:bCs w:val="0"/>
                <w:sz w:val="18"/>
                <w:szCs w:val="18"/>
                <w:highlight w:val="cyan"/>
              </w:rPr>
            </w:pPr>
          </w:p>
        </w:tc>
        <w:tc>
          <w:tcPr>
            <w:tcW w:w="1693" w:type="dxa"/>
            <w:tcBorders>
              <w:bottom w:val="double" w:sz="4" w:space="0" w:color="auto"/>
            </w:tcBorders>
            <w:vAlign w:val="bottom"/>
          </w:tcPr>
          <w:p w14:paraId="5E5F5E0F" w14:textId="4BE63088" w:rsidR="00B20D9F" w:rsidRPr="008F3663" w:rsidRDefault="008F3663" w:rsidP="008F3663">
            <w:pPr>
              <w:tabs>
                <w:tab w:val="left" w:pos="1390"/>
              </w:tabs>
              <w:ind w:left="28" w:right="57"/>
              <w:jc w:val="right"/>
              <w:rPr>
                <w:b/>
                <w:bCs w:val="0"/>
                <w:sz w:val="18"/>
                <w:szCs w:val="18"/>
                <w:lang w:val="id-ID"/>
              </w:rPr>
            </w:pPr>
            <w:r>
              <w:rPr>
                <w:b/>
                <w:bCs w:val="0"/>
                <w:sz w:val="18"/>
                <w:szCs w:val="18"/>
              </w:rPr>
              <w:t>1.</w:t>
            </w:r>
            <w:r>
              <w:rPr>
                <w:b/>
                <w:bCs w:val="0"/>
                <w:sz w:val="18"/>
                <w:szCs w:val="18"/>
                <w:lang w:val="id-ID"/>
              </w:rPr>
              <w:t>703</w:t>
            </w:r>
            <w:r>
              <w:rPr>
                <w:b/>
                <w:bCs w:val="0"/>
                <w:sz w:val="18"/>
                <w:szCs w:val="18"/>
              </w:rPr>
              <w:t>.</w:t>
            </w:r>
            <w:r>
              <w:rPr>
                <w:b/>
                <w:bCs w:val="0"/>
                <w:sz w:val="18"/>
                <w:szCs w:val="18"/>
                <w:lang w:val="id-ID"/>
              </w:rPr>
              <w:t>73</w:t>
            </w:r>
            <w:r>
              <w:rPr>
                <w:b/>
                <w:bCs w:val="0"/>
                <w:sz w:val="18"/>
                <w:szCs w:val="18"/>
              </w:rPr>
              <w:t>7.3</w:t>
            </w:r>
            <w:r>
              <w:rPr>
                <w:b/>
                <w:bCs w:val="0"/>
                <w:sz w:val="18"/>
                <w:szCs w:val="18"/>
                <w:lang w:val="id-ID"/>
              </w:rPr>
              <w:t>61</w:t>
            </w:r>
            <w:r>
              <w:rPr>
                <w:b/>
                <w:bCs w:val="0"/>
                <w:sz w:val="18"/>
                <w:szCs w:val="18"/>
              </w:rPr>
              <w:t>.5</w:t>
            </w:r>
            <w:r>
              <w:rPr>
                <w:b/>
                <w:bCs w:val="0"/>
                <w:sz w:val="18"/>
                <w:szCs w:val="18"/>
                <w:lang w:val="id-ID"/>
              </w:rPr>
              <w:t>62</w:t>
            </w:r>
          </w:p>
        </w:tc>
        <w:tc>
          <w:tcPr>
            <w:tcW w:w="2849" w:type="dxa"/>
          </w:tcPr>
          <w:p w14:paraId="0BA85685" w14:textId="46FB4681" w:rsidR="00B20D9F" w:rsidRPr="00952B41" w:rsidRDefault="00B20D9F" w:rsidP="00B20D9F">
            <w:pPr>
              <w:ind w:right="41"/>
              <w:jc w:val="right"/>
              <w:rPr>
                <w:b/>
                <w:bCs w:val="0"/>
                <w:i/>
                <w:sz w:val="18"/>
                <w:szCs w:val="18"/>
              </w:rPr>
            </w:pPr>
            <w:r w:rsidRPr="00952B41">
              <w:rPr>
                <w:b/>
                <w:bCs w:val="0"/>
                <w:i/>
                <w:sz w:val="18"/>
                <w:szCs w:val="18"/>
              </w:rPr>
              <w:t>Total financial liabilities</w:t>
            </w:r>
          </w:p>
        </w:tc>
      </w:tr>
      <w:tr w:rsidR="00B20D9F" w:rsidRPr="00810F09" w14:paraId="3DF31A41" w14:textId="77777777" w:rsidTr="005B429F">
        <w:trPr>
          <w:trHeight w:val="20"/>
        </w:trPr>
        <w:tc>
          <w:tcPr>
            <w:tcW w:w="2864" w:type="dxa"/>
          </w:tcPr>
          <w:p w14:paraId="7D28C16D" w14:textId="77777777" w:rsidR="00B20D9F" w:rsidRPr="00810F09" w:rsidRDefault="00B20D9F" w:rsidP="00B20D9F">
            <w:pPr>
              <w:ind w:left="293"/>
              <w:rPr>
                <w:b/>
                <w:bCs w:val="0"/>
                <w:sz w:val="18"/>
                <w:szCs w:val="18"/>
              </w:rPr>
            </w:pPr>
          </w:p>
        </w:tc>
        <w:tc>
          <w:tcPr>
            <w:tcW w:w="1692" w:type="dxa"/>
            <w:tcBorders>
              <w:top w:val="double" w:sz="4" w:space="0" w:color="auto"/>
            </w:tcBorders>
            <w:shd w:val="clear" w:color="auto" w:fill="auto"/>
            <w:vAlign w:val="bottom"/>
          </w:tcPr>
          <w:p w14:paraId="1F915E0C" w14:textId="77777777" w:rsidR="00B20D9F" w:rsidRPr="00810F09" w:rsidRDefault="00B20D9F" w:rsidP="00B20D9F">
            <w:pPr>
              <w:ind w:left="293"/>
              <w:rPr>
                <w:b/>
                <w:bCs w:val="0"/>
                <w:sz w:val="18"/>
                <w:szCs w:val="18"/>
              </w:rPr>
            </w:pPr>
          </w:p>
        </w:tc>
        <w:tc>
          <w:tcPr>
            <w:tcW w:w="99" w:type="dxa"/>
            <w:vAlign w:val="bottom"/>
          </w:tcPr>
          <w:p w14:paraId="26D1B81F" w14:textId="77777777" w:rsidR="00B20D9F" w:rsidRPr="00810F09" w:rsidRDefault="00B20D9F" w:rsidP="00B20D9F">
            <w:pPr>
              <w:ind w:left="293"/>
              <w:rPr>
                <w:b/>
                <w:bCs w:val="0"/>
                <w:sz w:val="18"/>
                <w:szCs w:val="18"/>
              </w:rPr>
            </w:pPr>
          </w:p>
        </w:tc>
        <w:tc>
          <w:tcPr>
            <w:tcW w:w="1693" w:type="dxa"/>
            <w:tcBorders>
              <w:top w:val="double" w:sz="4" w:space="0" w:color="auto"/>
            </w:tcBorders>
            <w:vAlign w:val="bottom"/>
          </w:tcPr>
          <w:p w14:paraId="569134DC" w14:textId="77777777" w:rsidR="00B20D9F" w:rsidRPr="00810F09" w:rsidRDefault="00B20D9F" w:rsidP="00B20D9F">
            <w:pPr>
              <w:ind w:left="293"/>
              <w:rPr>
                <w:b/>
                <w:bCs w:val="0"/>
                <w:sz w:val="18"/>
                <w:szCs w:val="18"/>
              </w:rPr>
            </w:pPr>
          </w:p>
        </w:tc>
        <w:tc>
          <w:tcPr>
            <w:tcW w:w="2849" w:type="dxa"/>
          </w:tcPr>
          <w:p w14:paraId="1BA5AD39" w14:textId="77777777" w:rsidR="00B20D9F" w:rsidRPr="00810F09" w:rsidRDefault="00B20D9F" w:rsidP="00B20D9F">
            <w:pPr>
              <w:ind w:left="293"/>
              <w:rPr>
                <w:b/>
                <w:bCs w:val="0"/>
                <w:sz w:val="18"/>
                <w:szCs w:val="18"/>
              </w:rPr>
            </w:pPr>
          </w:p>
        </w:tc>
      </w:tr>
    </w:tbl>
    <w:p w14:paraId="7E05BF21" w14:textId="77777777" w:rsidR="00810F09" w:rsidRPr="00810F09" w:rsidRDefault="00810F09" w:rsidP="00810F09">
      <w:pPr>
        <w:ind w:left="293"/>
        <w:rPr>
          <w:b/>
          <w:bCs w:val="0"/>
          <w:sz w:val="18"/>
          <w:szCs w:val="18"/>
        </w:rPr>
      </w:pPr>
    </w:p>
    <w:p w14:paraId="66895FF5" w14:textId="0D5EBD9C" w:rsidR="00952B41" w:rsidRDefault="00952B41">
      <w:pPr>
        <w:rPr>
          <w:b/>
          <w:bCs w:val="0"/>
          <w:sz w:val="18"/>
          <w:szCs w:val="18"/>
        </w:rPr>
      </w:pPr>
      <w:r>
        <w:rPr>
          <w:b/>
          <w:bCs w:val="0"/>
          <w:sz w:val="18"/>
          <w:szCs w:val="18"/>
        </w:rPr>
        <w:br w:type="page"/>
      </w:r>
    </w:p>
    <w:tbl>
      <w:tblPr>
        <w:tblW w:w="9197" w:type="dxa"/>
        <w:tblInd w:w="126" w:type="dxa"/>
        <w:tblLook w:val="0000" w:firstRow="0" w:lastRow="0" w:firstColumn="0" w:lastColumn="0" w:noHBand="0" w:noVBand="0"/>
      </w:tblPr>
      <w:tblGrid>
        <w:gridCol w:w="4598"/>
        <w:gridCol w:w="4599"/>
      </w:tblGrid>
      <w:tr w:rsidR="00952B41" w:rsidRPr="007E5684" w14:paraId="1D6215EA" w14:textId="77777777" w:rsidTr="009A292C">
        <w:trPr>
          <w:trHeight w:val="212"/>
        </w:trPr>
        <w:tc>
          <w:tcPr>
            <w:tcW w:w="4598" w:type="dxa"/>
            <w:tcBorders>
              <w:top w:val="nil"/>
              <w:left w:val="nil"/>
              <w:bottom w:val="nil"/>
              <w:right w:val="nil"/>
            </w:tcBorders>
            <w:shd w:val="clear" w:color="auto" w:fill="auto"/>
          </w:tcPr>
          <w:p w14:paraId="4C4D481A" w14:textId="29E0EC7D" w:rsidR="00952B41" w:rsidRPr="007E5684" w:rsidRDefault="00952B41" w:rsidP="00070D1F">
            <w:pPr>
              <w:numPr>
                <w:ilvl w:val="0"/>
                <w:numId w:val="415"/>
              </w:numPr>
              <w:ind w:right="-57"/>
              <w:jc w:val="both"/>
              <w:rPr>
                <w:b/>
                <w:sz w:val="18"/>
                <w:szCs w:val="18"/>
              </w:rPr>
            </w:pPr>
            <w:r w:rsidRPr="005D1CE2">
              <w:rPr>
                <w:b/>
                <w:sz w:val="18"/>
                <w:szCs w:val="18"/>
              </w:rPr>
              <w:lastRenderedPageBreak/>
              <w:br w:type="page"/>
              <w:t>INSTRUMEN KEUANGAN</w:t>
            </w:r>
            <w:r>
              <w:rPr>
                <w:b/>
                <w:sz w:val="18"/>
                <w:szCs w:val="18"/>
              </w:rPr>
              <w:t xml:space="preserve"> </w:t>
            </w:r>
            <w:r w:rsidR="00B836DE">
              <w:rPr>
                <w:b/>
                <w:sz w:val="18"/>
                <w:szCs w:val="18"/>
              </w:rPr>
              <w:t>–</w:t>
            </w:r>
            <w:r>
              <w:rPr>
                <w:b/>
                <w:sz w:val="18"/>
                <w:szCs w:val="18"/>
              </w:rPr>
              <w:t xml:space="preserve"> Lanjutan</w:t>
            </w:r>
          </w:p>
        </w:tc>
        <w:tc>
          <w:tcPr>
            <w:tcW w:w="4599" w:type="dxa"/>
            <w:tcBorders>
              <w:top w:val="nil"/>
              <w:left w:val="nil"/>
              <w:bottom w:val="nil"/>
              <w:right w:val="nil"/>
            </w:tcBorders>
            <w:shd w:val="clear" w:color="auto" w:fill="auto"/>
          </w:tcPr>
          <w:p w14:paraId="4BD3F4C5" w14:textId="4611AE8C" w:rsidR="00952B41" w:rsidRPr="007E5684" w:rsidRDefault="00952B41" w:rsidP="00070D1F">
            <w:pPr>
              <w:numPr>
                <w:ilvl w:val="0"/>
                <w:numId w:val="416"/>
              </w:numPr>
              <w:ind w:right="-57"/>
              <w:jc w:val="both"/>
              <w:rPr>
                <w:b/>
                <w:i/>
                <w:iCs/>
                <w:sz w:val="18"/>
                <w:szCs w:val="18"/>
              </w:rPr>
            </w:pPr>
            <w:r w:rsidRPr="007E5684">
              <w:rPr>
                <w:b/>
                <w:i/>
                <w:iCs/>
                <w:sz w:val="18"/>
                <w:szCs w:val="18"/>
              </w:rPr>
              <w:t>FINANCIAL INSTRUMENTS</w:t>
            </w:r>
            <w:r>
              <w:rPr>
                <w:b/>
                <w:i/>
                <w:iCs/>
                <w:sz w:val="18"/>
                <w:szCs w:val="18"/>
              </w:rPr>
              <w:t xml:space="preserve"> - Continued</w:t>
            </w:r>
          </w:p>
        </w:tc>
      </w:tr>
    </w:tbl>
    <w:p w14:paraId="069CB6EF" w14:textId="37FF3118" w:rsidR="003B75BD" w:rsidRDefault="003B75BD" w:rsidP="00810F09">
      <w:pPr>
        <w:ind w:left="293"/>
        <w:rPr>
          <w:b/>
          <w:bCs w:val="0"/>
          <w:sz w:val="18"/>
          <w:szCs w:val="18"/>
        </w:rPr>
      </w:pPr>
    </w:p>
    <w:tbl>
      <w:tblPr>
        <w:tblW w:w="9101" w:type="dxa"/>
        <w:tblInd w:w="238" w:type="dxa"/>
        <w:tblCellMar>
          <w:left w:w="0" w:type="dxa"/>
          <w:right w:w="0" w:type="dxa"/>
        </w:tblCellMar>
        <w:tblLook w:val="01E0" w:firstRow="1" w:lastRow="1" w:firstColumn="1" w:lastColumn="1" w:noHBand="0" w:noVBand="0"/>
      </w:tblPr>
      <w:tblGrid>
        <w:gridCol w:w="2827"/>
        <w:gridCol w:w="1674"/>
        <w:gridCol w:w="96"/>
        <w:gridCol w:w="1674"/>
        <w:gridCol w:w="2830"/>
      </w:tblGrid>
      <w:tr w:rsidR="00946853" w:rsidRPr="0013526B" w14:paraId="28675761" w14:textId="77777777" w:rsidTr="00946853">
        <w:trPr>
          <w:trHeight w:val="20"/>
        </w:trPr>
        <w:tc>
          <w:tcPr>
            <w:tcW w:w="2827" w:type="dxa"/>
          </w:tcPr>
          <w:p w14:paraId="6D3B0E90" w14:textId="77777777" w:rsidR="00946853" w:rsidRPr="0013526B" w:rsidRDefault="00946853" w:rsidP="00946853">
            <w:pPr>
              <w:ind w:left="284"/>
              <w:rPr>
                <w:sz w:val="18"/>
                <w:szCs w:val="18"/>
                <w:u w:val="single"/>
              </w:rPr>
            </w:pPr>
          </w:p>
        </w:tc>
        <w:tc>
          <w:tcPr>
            <w:tcW w:w="3444" w:type="dxa"/>
            <w:gridSpan w:val="3"/>
            <w:tcBorders>
              <w:bottom w:val="single" w:sz="4" w:space="0" w:color="auto"/>
            </w:tcBorders>
            <w:vAlign w:val="bottom"/>
          </w:tcPr>
          <w:p w14:paraId="0DAA9C22" w14:textId="3541D111" w:rsidR="00946853" w:rsidRPr="0013526B" w:rsidRDefault="00946853" w:rsidP="00946853">
            <w:pPr>
              <w:tabs>
                <w:tab w:val="left" w:pos="1390"/>
              </w:tabs>
              <w:ind w:left="28" w:right="57"/>
              <w:jc w:val="center"/>
              <w:rPr>
                <w:b/>
                <w:sz w:val="18"/>
                <w:szCs w:val="18"/>
              </w:rPr>
            </w:pPr>
            <w:r>
              <w:rPr>
                <w:b/>
                <w:sz w:val="18"/>
                <w:szCs w:val="18"/>
              </w:rPr>
              <w:t>31 Desember/ December 31</w:t>
            </w:r>
            <w:r w:rsidR="00305CA0">
              <w:rPr>
                <w:b/>
                <w:sz w:val="18"/>
                <w:szCs w:val="18"/>
              </w:rPr>
              <w:t>.</w:t>
            </w:r>
            <w:r>
              <w:rPr>
                <w:b/>
                <w:sz w:val="18"/>
                <w:szCs w:val="18"/>
              </w:rPr>
              <w:t xml:space="preserve"> </w:t>
            </w:r>
            <w:r w:rsidRPr="005B429F">
              <w:rPr>
                <w:b/>
                <w:sz w:val="18"/>
                <w:szCs w:val="18"/>
              </w:rPr>
              <w:t>2019</w:t>
            </w:r>
          </w:p>
        </w:tc>
        <w:tc>
          <w:tcPr>
            <w:tcW w:w="2830" w:type="dxa"/>
          </w:tcPr>
          <w:p w14:paraId="65347487" w14:textId="77777777" w:rsidR="00946853" w:rsidRPr="0013526B" w:rsidRDefault="00946853" w:rsidP="00946853">
            <w:pPr>
              <w:ind w:left="43" w:right="216"/>
              <w:jc w:val="center"/>
              <w:rPr>
                <w:i/>
                <w:sz w:val="18"/>
                <w:szCs w:val="18"/>
                <w:u w:val="single"/>
              </w:rPr>
            </w:pPr>
          </w:p>
        </w:tc>
      </w:tr>
      <w:tr w:rsidR="003433AA" w:rsidRPr="0013526B" w14:paraId="476B23BC" w14:textId="77777777" w:rsidTr="00946853">
        <w:trPr>
          <w:trHeight w:val="20"/>
        </w:trPr>
        <w:tc>
          <w:tcPr>
            <w:tcW w:w="2827" w:type="dxa"/>
          </w:tcPr>
          <w:p w14:paraId="1F8FF324" w14:textId="77777777" w:rsidR="003433AA" w:rsidRPr="0013526B" w:rsidRDefault="003433AA" w:rsidP="004A3865">
            <w:pPr>
              <w:ind w:left="284"/>
              <w:rPr>
                <w:sz w:val="18"/>
                <w:szCs w:val="18"/>
                <w:u w:val="single"/>
              </w:rPr>
            </w:pPr>
          </w:p>
        </w:tc>
        <w:tc>
          <w:tcPr>
            <w:tcW w:w="1674" w:type="dxa"/>
            <w:tcBorders>
              <w:top w:val="single" w:sz="4" w:space="0" w:color="auto"/>
              <w:bottom w:val="single" w:sz="4" w:space="0" w:color="auto"/>
            </w:tcBorders>
            <w:vAlign w:val="bottom"/>
          </w:tcPr>
          <w:p w14:paraId="706F69D1" w14:textId="77777777" w:rsidR="003433AA" w:rsidRDefault="003433AA" w:rsidP="004A3865">
            <w:pPr>
              <w:tabs>
                <w:tab w:val="left" w:pos="1390"/>
              </w:tabs>
              <w:ind w:left="28" w:right="57"/>
              <w:jc w:val="center"/>
              <w:rPr>
                <w:b/>
                <w:sz w:val="18"/>
                <w:szCs w:val="18"/>
              </w:rPr>
            </w:pPr>
            <w:r>
              <w:rPr>
                <w:b/>
                <w:sz w:val="18"/>
                <w:szCs w:val="18"/>
              </w:rPr>
              <w:t>Nilai tercatat/</w:t>
            </w:r>
          </w:p>
          <w:p w14:paraId="7D3B6A89" w14:textId="77777777" w:rsidR="003433AA" w:rsidRPr="00810F09" w:rsidRDefault="003433AA" w:rsidP="004A3865">
            <w:pPr>
              <w:tabs>
                <w:tab w:val="left" w:pos="1390"/>
              </w:tabs>
              <w:ind w:left="28" w:right="57"/>
              <w:jc w:val="center"/>
              <w:rPr>
                <w:b/>
                <w:i/>
                <w:iCs/>
                <w:sz w:val="18"/>
                <w:szCs w:val="18"/>
              </w:rPr>
            </w:pPr>
            <w:r>
              <w:rPr>
                <w:b/>
                <w:i/>
                <w:iCs/>
                <w:sz w:val="18"/>
                <w:szCs w:val="18"/>
              </w:rPr>
              <w:t>Carrying value</w:t>
            </w:r>
          </w:p>
        </w:tc>
        <w:tc>
          <w:tcPr>
            <w:tcW w:w="96" w:type="dxa"/>
            <w:tcBorders>
              <w:top w:val="single" w:sz="4" w:space="0" w:color="auto"/>
            </w:tcBorders>
          </w:tcPr>
          <w:p w14:paraId="6B731476" w14:textId="77777777" w:rsidR="003433AA" w:rsidRPr="0013526B" w:rsidRDefault="003433AA" w:rsidP="004A3865">
            <w:pPr>
              <w:tabs>
                <w:tab w:val="left" w:pos="1390"/>
              </w:tabs>
              <w:ind w:left="28" w:right="28"/>
              <w:jc w:val="center"/>
              <w:rPr>
                <w:b/>
                <w:sz w:val="18"/>
                <w:szCs w:val="18"/>
              </w:rPr>
            </w:pPr>
          </w:p>
        </w:tc>
        <w:tc>
          <w:tcPr>
            <w:tcW w:w="1674" w:type="dxa"/>
            <w:tcBorders>
              <w:top w:val="single" w:sz="4" w:space="0" w:color="auto"/>
              <w:bottom w:val="single" w:sz="4" w:space="0" w:color="auto"/>
            </w:tcBorders>
            <w:vAlign w:val="bottom"/>
          </w:tcPr>
          <w:p w14:paraId="38E4D519" w14:textId="77777777" w:rsidR="003433AA" w:rsidRDefault="003433AA" w:rsidP="004A3865">
            <w:pPr>
              <w:tabs>
                <w:tab w:val="left" w:pos="1390"/>
              </w:tabs>
              <w:ind w:left="28" w:right="57"/>
              <w:jc w:val="center"/>
              <w:rPr>
                <w:b/>
                <w:sz w:val="18"/>
                <w:szCs w:val="18"/>
              </w:rPr>
            </w:pPr>
            <w:r>
              <w:rPr>
                <w:b/>
                <w:sz w:val="18"/>
                <w:szCs w:val="18"/>
              </w:rPr>
              <w:t>Nilai wajar/</w:t>
            </w:r>
          </w:p>
          <w:p w14:paraId="3DCFFF04" w14:textId="77777777" w:rsidR="003433AA" w:rsidRPr="00810F09" w:rsidRDefault="003433AA" w:rsidP="004A3865">
            <w:pPr>
              <w:tabs>
                <w:tab w:val="left" w:pos="1390"/>
              </w:tabs>
              <w:ind w:left="28" w:right="57"/>
              <w:jc w:val="center"/>
              <w:rPr>
                <w:b/>
                <w:i/>
                <w:iCs/>
                <w:sz w:val="18"/>
                <w:szCs w:val="18"/>
              </w:rPr>
            </w:pPr>
            <w:r>
              <w:rPr>
                <w:b/>
                <w:i/>
                <w:iCs/>
                <w:sz w:val="18"/>
                <w:szCs w:val="18"/>
              </w:rPr>
              <w:t>Fair value</w:t>
            </w:r>
          </w:p>
        </w:tc>
        <w:tc>
          <w:tcPr>
            <w:tcW w:w="2830" w:type="dxa"/>
          </w:tcPr>
          <w:p w14:paraId="6F771B9C" w14:textId="77777777" w:rsidR="003433AA" w:rsidRPr="0013526B" w:rsidRDefault="003433AA" w:rsidP="004A3865">
            <w:pPr>
              <w:ind w:left="43" w:right="216"/>
              <w:jc w:val="center"/>
              <w:rPr>
                <w:i/>
                <w:sz w:val="18"/>
                <w:szCs w:val="18"/>
                <w:u w:val="single"/>
              </w:rPr>
            </w:pPr>
          </w:p>
        </w:tc>
      </w:tr>
      <w:tr w:rsidR="003433AA" w:rsidRPr="0013526B" w14:paraId="00D55F02" w14:textId="77777777" w:rsidTr="009A292C">
        <w:trPr>
          <w:trHeight w:val="20"/>
        </w:trPr>
        <w:tc>
          <w:tcPr>
            <w:tcW w:w="2827" w:type="dxa"/>
          </w:tcPr>
          <w:p w14:paraId="7446CB12" w14:textId="77777777" w:rsidR="003433AA" w:rsidRPr="0013526B" w:rsidRDefault="003433AA" w:rsidP="004A3865">
            <w:pPr>
              <w:ind w:left="284"/>
              <w:rPr>
                <w:sz w:val="16"/>
                <w:szCs w:val="16"/>
                <w:u w:val="single"/>
              </w:rPr>
            </w:pPr>
          </w:p>
        </w:tc>
        <w:tc>
          <w:tcPr>
            <w:tcW w:w="1674" w:type="dxa"/>
            <w:vAlign w:val="bottom"/>
          </w:tcPr>
          <w:p w14:paraId="5AE96155" w14:textId="77777777" w:rsidR="003433AA" w:rsidRPr="0013526B" w:rsidRDefault="003433AA" w:rsidP="004A3865">
            <w:pPr>
              <w:tabs>
                <w:tab w:val="left" w:pos="1390"/>
              </w:tabs>
              <w:ind w:left="28" w:right="57"/>
              <w:jc w:val="right"/>
              <w:rPr>
                <w:b/>
                <w:sz w:val="16"/>
                <w:szCs w:val="16"/>
              </w:rPr>
            </w:pPr>
          </w:p>
        </w:tc>
        <w:tc>
          <w:tcPr>
            <w:tcW w:w="96" w:type="dxa"/>
            <w:vAlign w:val="bottom"/>
          </w:tcPr>
          <w:p w14:paraId="4647D405" w14:textId="77777777" w:rsidR="003433AA" w:rsidRPr="0013526B" w:rsidRDefault="003433AA" w:rsidP="004A3865">
            <w:pPr>
              <w:tabs>
                <w:tab w:val="left" w:pos="1390"/>
              </w:tabs>
              <w:ind w:left="28" w:right="28"/>
              <w:jc w:val="right"/>
              <w:rPr>
                <w:b/>
                <w:sz w:val="16"/>
                <w:szCs w:val="16"/>
              </w:rPr>
            </w:pPr>
          </w:p>
        </w:tc>
        <w:tc>
          <w:tcPr>
            <w:tcW w:w="1674" w:type="dxa"/>
            <w:tcBorders>
              <w:top w:val="single" w:sz="4" w:space="0" w:color="auto"/>
            </w:tcBorders>
            <w:vAlign w:val="bottom"/>
          </w:tcPr>
          <w:p w14:paraId="4C9D8AFF" w14:textId="77777777" w:rsidR="003433AA" w:rsidRPr="0013526B" w:rsidRDefault="003433AA" w:rsidP="004A3865">
            <w:pPr>
              <w:tabs>
                <w:tab w:val="left" w:pos="1390"/>
              </w:tabs>
              <w:ind w:left="28" w:right="57"/>
              <w:jc w:val="right"/>
              <w:rPr>
                <w:b/>
                <w:sz w:val="16"/>
                <w:szCs w:val="16"/>
              </w:rPr>
            </w:pPr>
          </w:p>
        </w:tc>
        <w:tc>
          <w:tcPr>
            <w:tcW w:w="2830" w:type="dxa"/>
          </w:tcPr>
          <w:p w14:paraId="52EA47E8" w14:textId="77777777" w:rsidR="003433AA" w:rsidRPr="0013526B" w:rsidRDefault="003433AA" w:rsidP="004A3865">
            <w:pPr>
              <w:ind w:left="43" w:right="216"/>
              <w:jc w:val="center"/>
              <w:rPr>
                <w:i/>
                <w:sz w:val="16"/>
                <w:szCs w:val="16"/>
                <w:u w:val="single"/>
              </w:rPr>
            </w:pPr>
          </w:p>
        </w:tc>
      </w:tr>
      <w:tr w:rsidR="003433AA" w:rsidRPr="0013526B" w14:paraId="6EEBBD40" w14:textId="77777777" w:rsidTr="009A292C">
        <w:trPr>
          <w:trHeight w:val="20"/>
        </w:trPr>
        <w:tc>
          <w:tcPr>
            <w:tcW w:w="2827" w:type="dxa"/>
          </w:tcPr>
          <w:p w14:paraId="14AA8D65" w14:textId="77777777" w:rsidR="003433AA" w:rsidRPr="00810F09" w:rsidRDefault="003433AA" w:rsidP="004A3865">
            <w:pPr>
              <w:ind w:left="293"/>
              <w:rPr>
                <w:b/>
                <w:bCs w:val="0"/>
                <w:sz w:val="18"/>
                <w:szCs w:val="18"/>
              </w:rPr>
            </w:pPr>
            <w:r>
              <w:rPr>
                <w:b/>
                <w:bCs w:val="0"/>
                <w:sz w:val="18"/>
                <w:szCs w:val="18"/>
              </w:rPr>
              <w:t>Aset keuangan</w:t>
            </w:r>
          </w:p>
        </w:tc>
        <w:tc>
          <w:tcPr>
            <w:tcW w:w="1674" w:type="dxa"/>
            <w:shd w:val="clear" w:color="auto" w:fill="auto"/>
            <w:vAlign w:val="bottom"/>
          </w:tcPr>
          <w:p w14:paraId="6DFF21F9" w14:textId="77777777" w:rsidR="003433AA" w:rsidRPr="0013526B" w:rsidRDefault="003433AA" w:rsidP="004A3865">
            <w:pPr>
              <w:tabs>
                <w:tab w:val="left" w:pos="1390"/>
              </w:tabs>
              <w:ind w:left="28" w:right="57"/>
              <w:jc w:val="right"/>
              <w:rPr>
                <w:sz w:val="18"/>
                <w:szCs w:val="18"/>
              </w:rPr>
            </w:pPr>
          </w:p>
        </w:tc>
        <w:tc>
          <w:tcPr>
            <w:tcW w:w="96" w:type="dxa"/>
            <w:vAlign w:val="bottom"/>
          </w:tcPr>
          <w:p w14:paraId="6FC74155" w14:textId="77777777" w:rsidR="003433AA" w:rsidRPr="0013526B" w:rsidRDefault="003433AA" w:rsidP="004A3865">
            <w:pPr>
              <w:tabs>
                <w:tab w:val="left" w:pos="1390"/>
              </w:tabs>
              <w:ind w:left="28" w:right="28"/>
              <w:jc w:val="right"/>
              <w:rPr>
                <w:sz w:val="18"/>
                <w:szCs w:val="18"/>
              </w:rPr>
            </w:pPr>
          </w:p>
        </w:tc>
        <w:tc>
          <w:tcPr>
            <w:tcW w:w="1674" w:type="dxa"/>
            <w:vAlign w:val="bottom"/>
          </w:tcPr>
          <w:p w14:paraId="4A224374" w14:textId="77777777" w:rsidR="003433AA" w:rsidRPr="0013526B" w:rsidRDefault="003433AA" w:rsidP="004A3865">
            <w:pPr>
              <w:tabs>
                <w:tab w:val="left" w:pos="1390"/>
              </w:tabs>
              <w:ind w:left="28" w:right="57"/>
              <w:jc w:val="right"/>
              <w:rPr>
                <w:sz w:val="18"/>
                <w:szCs w:val="18"/>
              </w:rPr>
            </w:pPr>
          </w:p>
        </w:tc>
        <w:tc>
          <w:tcPr>
            <w:tcW w:w="2830" w:type="dxa"/>
          </w:tcPr>
          <w:p w14:paraId="1F82906F" w14:textId="77777777" w:rsidR="003433AA" w:rsidRPr="00810F09" w:rsidRDefault="003433AA" w:rsidP="00327025">
            <w:pPr>
              <w:ind w:right="45"/>
              <w:jc w:val="right"/>
              <w:rPr>
                <w:b/>
                <w:bCs w:val="0"/>
                <w:i/>
                <w:sz w:val="18"/>
                <w:szCs w:val="18"/>
              </w:rPr>
            </w:pPr>
            <w:r w:rsidRPr="00810F09">
              <w:rPr>
                <w:b/>
                <w:bCs w:val="0"/>
                <w:i/>
                <w:sz w:val="18"/>
                <w:szCs w:val="18"/>
              </w:rPr>
              <w:t>Financial asset</w:t>
            </w:r>
          </w:p>
        </w:tc>
      </w:tr>
      <w:tr w:rsidR="002453C4" w:rsidRPr="0013526B" w14:paraId="569A64C2" w14:textId="77777777" w:rsidTr="009A292C">
        <w:trPr>
          <w:trHeight w:val="20"/>
        </w:trPr>
        <w:tc>
          <w:tcPr>
            <w:tcW w:w="2827" w:type="dxa"/>
          </w:tcPr>
          <w:p w14:paraId="64C832AA" w14:textId="77777777" w:rsidR="002453C4" w:rsidRPr="00810F09" w:rsidRDefault="002453C4" w:rsidP="002453C4">
            <w:pPr>
              <w:ind w:left="293"/>
              <w:rPr>
                <w:sz w:val="18"/>
                <w:szCs w:val="18"/>
              </w:rPr>
            </w:pPr>
            <w:r w:rsidRPr="00810F09">
              <w:rPr>
                <w:sz w:val="18"/>
                <w:szCs w:val="18"/>
              </w:rPr>
              <w:t>Kas dan setara kas</w:t>
            </w:r>
          </w:p>
        </w:tc>
        <w:tc>
          <w:tcPr>
            <w:tcW w:w="1674" w:type="dxa"/>
            <w:shd w:val="clear" w:color="auto" w:fill="auto"/>
            <w:vAlign w:val="bottom"/>
          </w:tcPr>
          <w:p w14:paraId="6F4C8BAE" w14:textId="2D46C0E0" w:rsidR="002453C4" w:rsidRPr="0013526B" w:rsidRDefault="002453C4" w:rsidP="002453C4">
            <w:pPr>
              <w:tabs>
                <w:tab w:val="left" w:pos="1390"/>
              </w:tabs>
              <w:ind w:left="28" w:right="57"/>
              <w:jc w:val="right"/>
              <w:rPr>
                <w:sz w:val="18"/>
                <w:szCs w:val="18"/>
              </w:rPr>
            </w:pPr>
            <w:r w:rsidRPr="003E545E">
              <w:rPr>
                <w:bCs w:val="0"/>
                <w:sz w:val="18"/>
                <w:szCs w:val="18"/>
              </w:rPr>
              <w:t>232.11</w:t>
            </w:r>
            <w:r>
              <w:rPr>
                <w:bCs w:val="0"/>
                <w:sz w:val="18"/>
                <w:szCs w:val="18"/>
              </w:rPr>
              <w:t>7</w:t>
            </w:r>
            <w:r w:rsidRPr="003E545E">
              <w:rPr>
                <w:bCs w:val="0"/>
                <w:sz w:val="18"/>
                <w:szCs w:val="18"/>
              </w:rPr>
              <w:t>.189.241</w:t>
            </w:r>
          </w:p>
        </w:tc>
        <w:tc>
          <w:tcPr>
            <w:tcW w:w="96" w:type="dxa"/>
            <w:vAlign w:val="bottom"/>
          </w:tcPr>
          <w:p w14:paraId="66978FF0" w14:textId="77777777" w:rsidR="002453C4" w:rsidRPr="0013526B" w:rsidRDefault="002453C4" w:rsidP="002453C4">
            <w:pPr>
              <w:tabs>
                <w:tab w:val="left" w:pos="1390"/>
              </w:tabs>
              <w:ind w:left="28" w:right="28"/>
              <w:jc w:val="right"/>
              <w:rPr>
                <w:sz w:val="18"/>
                <w:szCs w:val="18"/>
              </w:rPr>
            </w:pPr>
          </w:p>
        </w:tc>
        <w:tc>
          <w:tcPr>
            <w:tcW w:w="1674" w:type="dxa"/>
            <w:vAlign w:val="bottom"/>
          </w:tcPr>
          <w:p w14:paraId="5F79E298" w14:textId="64EA6821" w:rsidR="002453C4" w:rsidRPr="0013526B" w:rsidRDefault="002453C4" w:rsidP="002453C4">
            <w:pPr>
              <w:tabs>
                <w:tab w:val="left" w:pos="1390"/>
              </w:tabs>
              <w:ind w:left="28" w:right="57"/>
              <w:jc w:val="right"/>
              <w:rPr>
                <w:sz w:val="18"/>
                <w:szCs w:val="18"/>
              </w:rPr>
            </w:pPr>
            <w:r w:rsidRPr="003E545E">
              <w:rPr>
                <w:bCs w:val="0"/>
                <w:sz w:val="18"/>
                <w:szCs w:val="18"/>
              </w:rPr>
              <w:t>232.11</w:t>
            </w:r>
            <w:r>
              <w:rPr>
                <w:bCs w:val="0"/>
                <w:sz w:val="18"/>
                <w:szCs w:val="18"/>
              </w:rPr>
              <w:t>7</w:t>
            </w:r>
            <w:r w:rsidRPr="003E545E">
              <w:rPr>
                <w:bCs w:val="0"/>
                <w:sz w:val="18"/>
                <w:szCs w:val="18"/>
              </w:rPr>
              <w:t>.189.241</w:t>
            </w:r>
          </w:p>
        </w:tc>
        <w:tc>
          <w:tcPr>
            <w:tcW w:w="2830" w:type="dxa"/>
          </w:tcPr>
          <w:p w14:paraId="61F6DD73" w14:textId="77777777" w:rsidR="002453C4" w:rsidRPr="0013526B" w:rsidRDefault="002453C4" w:rsidP="002453C4">
            <w:pPr>
              <w:ind w:right="45"/>
              <w:jc w:val="right"/>
              <w:rPr>
                <w:i/>
                <w:sz w:val="18"/>
                <w:szCs w:val="18"/>
              </w:rPr>
            </w:pPr>
            <w:r>
              <w:rPr>
                <w:i/>
                <w:sz w:val="18"/>
                <w:szCs w:val="18"/>
              </w:rPr>
              <w:t>Cash and cash equivalents</w:t>
            </w:r>
          </w:p>
        </w:tc>
      </w:tr>
      <w:tr w:rsidR="002453C4" w:rsidRPr="0013526B" w14:paraId="0DCE828D" w14:textId="77777777" w:rsidTr="009A292C">
        <w:trPr>
          <w:trHeight w:val="20"/>
        </w:trPr>
        <w:tc>
          <w:tcPr>
            <w:tcW w:w="2827" w:type="dxa"/>
          </w:tcPr>
          <w:p w14:paraId="7C185A76" w14:textId="77777777" w:rsidR="002453C4" w:rsidRPr="00810F09" w:rsidRDefault="002453C4" w:rsidP="002453C4">
            <w:pPr>
              <w:ind w:left="293"/>
              <w:rPr>
                <w:sz w:val="18"/>
                <w:szCs w:val="18"/>
              </w:rPr>
            </w:pPr>
            <w:r w:rsidRPr="00810F09">
              <w:rPr>
                <w:sz w:val="18"/>
                <w:szCs w:val="18"/>
              </w:rPr>
              <w:t>Piutang usaha</w:t>
            </w:r>
          </w:p>
        </w:tc>
        <w:tc>
          <w:tcPr>
            <w:tcW w:w="1674" w:type="dxa"/>
            <w:shd w:val="clear" w:color="auto" w:fill="auto"/>
            <w:vAlign w:val="bottom"/>
          </w:tcPr>
          <w:p w14:paraId="4D5367F6" w14:textId="787653BA" w:rsidR="002453C4" w:rsidRPr="0013526B" w:rsidRDefault="002453C4" w:rsidP="002453C4">
            <w:pPr>
              <w:tabs>
                <w:tab w:val="left" w:pos="1390"/>
              </w:tabs>
              <w:ind w:left="28" w:right="57"/>
              <w:jc w:val="right"/>
              <w:rPr>
                <w:sz w:val="18"/>
                <w:szCs w:val="18"/>
              </w:rPr>
            </w:pPr>
            <w:r w:rsidRPr="000E3B9B">
              <w:rPr>
                <w:sz w:val="18"/>
                <w:szCs w:val="18"/>
              </w:rPr>
              <w:t>164.454.601.20</w:t>
            </w:r>
            <w:r>
              <w:rPr>
                <w:sz w:val="18"/>
                <w:szCs w:val="18"/>
              </w:rPr>
              <w:t>9</w:t>
            </w:r>
          </w:p>
        </w:tc>
        <w:tc>
          <w:tcPr>
            <w:tcW w:w="96" w:type="dxa"/>
            <w:vAlign w:val="bottom"/>
          </w:tcPr>
          <w:p w14:paraId="13C83564" w14:textId="77777777" w:rsidR="002453C4" w:rsidRPr="0013526B" w:rsidRDefault="002453C4" w:rsidP="002453C4">
            <w:pPr>
              <w:tabs>
                <w:tab w:val="left" w:pos="1390"/>
              </w:tabs>
              <w:ind w:left="28" w:right="28"/>
              <w:jc w:val="right"/>
              <w:rPr>
                <w:sz w:val="18"/>
                <w:szCs w:val="18"/>
              </w:rPr>
            </w:pPr>
          </w:p>
        </w:tc>
        <w:tc>
          <w:tcPr>
            <w:tcW w:w="1674" w:type="dxa"/>
            <w:vAlign w:val="bottom"/>
          </w:tcPr>
          <w:p w14:paraId="02B4FBD3" w14:textId="65AADE80" w:rsidR="002453C4" w:rsidRPr="0013526B" w:rsidRDefault="002453C4" w:rsidP="002453C4">
            <w:pPr>
              <w:tabs>
                <w:tab w:val="left" w:pos="1390"/>
              </w:tabs>
              <w:ind w:left="28" w:right="57"/>
              <w:jc w:val="right"/>
              <w:rPr>
                <w:sz w:val="18"/>
                <w:szCs w:val="18"/>
              </w:rPr>
            </w:pPr>
            <w:r w:rsidRPr="005A63D1">
              <w:rPr>
                <w:sz w:val="18"/>
                <w:szCs w:val="18"/>
              </w:rPr>
              <w:t>145.815.303.089</w:t>
            </w:r>
          </w:p>
        </w:tc>
        <w:tc>
          <w:tcPr>
            <w:tcW w:w="2830" w:type="dxa"/>
          </w:tcPr>
          <w:p w14:paraId="742D6D7E" w14:textId="77777777" w:rsidR="002453C4" w:rsidRPr="0013526B" w:rsidRDefault="002453C4" w:rsidP="002453C4">
            <w:pPr>
              <w:ind w:right="45"/>
              <w:jc w:val="right"/>
              <w:rPr>
                <w:i/>
                <w:sz w:val="18"/>
                <w:szCs w:val="18"/>
              </w:rPr>
            </w:pPr>
            <w:r>
              <w:rPr>
                <w:i/>
                <w:sz w:val="18"/>
                <w:szCs w:val="18"/>
              </w:rPr>
              <w:t>Trade receivables</w:t>
            </w:r>
          </w:p>
        </w:tc>
      </w:tr>
      <w:tr w:rsidR="002453C4" w:rsidRPr="0013526B" w14:paraId="0F027972" w14:textId="77777777" w:rsidTr="009A292C">
        <w:trPr>
          <w:trHeight w:val="20"/>
        </w:trPr>
        <w:tc>
          <w:tcPr>
            <w:tcW w:w="2827" w:type="dxa"/>
          </w:tcPr>
          <w:p w14:paraId="46730482" w14:textId="77777777" w:rsidR="002453C4" w:rsidRPr="00810F09" w:rsidRDefault="002453C4" w:rsidP="002453C4">
            <w:pPr>
              <w:ind w:left="293"/>
              <w:rPr>
                <w:sz w:val="18"/>
                <w:szCs w:val="18"/>
              </w:rPr>
            </w:pPr>
            <w:r w:rsidRPr="00810F09">
              <w:rPr>
                <w:sz w:val="18"/>
                <w:szCs w:val="18"/>
              </w:rPr>
              <w:t>Piutang lain-lain</w:t>
            </w:r>
          </w:p>
        </w:tc>
        <w:tc>
          <w:tcPr>
            <w:tcW w:w="1674" w:type="dxa"/>
            <w:tcBorders>
              <w:bottom w:val="single" w:sz="4" w:space="0" w:color="auto"/>
            </w:tcBorders>
            <w:shd w:val="clear" w:color="auto" w:fill="auto"/>
            <w:vAlign w:val="bottom"/>
          </w:tcPr>
          <w:p w14:paraId="4580CC4A" w14:textId="575353B8" w:rsidR="002453C4" w:rsidRPr="0013526B" w:rsidRDefault="002453C4" w:rsidP="002453C4">
            <w:pPr>
              <w:tabs>
                <w:tab w:val="left" w:pos="1390"/>
              </w:tabs>
              <w:ind w:left="28" w:right="57"/>
              <w:jc w:val="right"/>
              <w:rPr>
                <w:sz w:val="18"/>
                <w:szCs w:val="18"/>
              </w:rPr>
            </w:pPr>
            <w:r w:rsidRPr="00FE279F">
              <w:rPr>
                <w:sz w:val="18"/>
                <w:szCs w:val="18"/>
              </w:rPr>
              <w:t>3.918.547.531</w:t>
            </w:r>
          </w:p>
        </w:tc>
        <w:tc>
          <w:tcPr>
            <w:tcW w:w="96" w:type="dxa"/>
            <w:vAlign w:val="bottom"/>
          </w:tcPr>
          <w:p w14:paraId="7929FD49" w14:textId="77777777" w:rsidR="002453C4" w:rsidRPr="0013526B" w:rsidRDefault="002453C4" w:rsidP="002453C4">
            <w:pPr>
              <w:tabs>
                <w:tab w:val="left" w:pos="1390"/>
              </w:tabs>
              <w:ind w:left="28" w:right="28"/>
              <w:jc w:val="right"/>
              <w:rPr>
                <w:sz w:val="18"/>
                <w:szCs w:val="18"/>
              </w:rPr>
            </w:pPr>
          </w:p>
        </w:tc>
        <w:tc>
          <w:tcPr>
            <w:tcW w:w="1674" w:type="dxa"/>
            <w:tcBorders>
              <w:bottom w:val="single" w:sz="4" w:space="0" w:color="auto"/>
            </w:tcBorders>
            <w:vAlign w:val="bottom"/>
          </w:tcPr>
          <w:p w14:paraId="5AE6C185" w14:textId="79BCBBD0" w:rsidR="002453C4" w:rsidRPr="0013526B" w:rsidRDefault="002453C4" w:rsidP="002453C4">
            <w:pPr>
              <w:tabs>
                <w:tab w:val="left" w:pos="1390"/>
              </w:tabs>
              <w:ind w:left="28" w:right="57"/>
              <w:jc w:val="right"/>
              <w:rPr>
                <w:sz w:val="18"/>
                <w:szCs w:val="18"/>
              </w:rPr>
            </w:pPr>
            <w:r w:rsidRPr="00FE279F">
              <w:rPr>
                <w:sz w:val="18"/>
                <w:szCs w:val="18"/>
              </w:rPr>
              <w:t>3.918.547.531</w:t>
            </w:r>
          </w:p>
        </w:tc>
        <w:tc>
          <w:tcPr>
            <w:tcW w:w="2830" w:type="dxa"/>
          </w:tcPr>
          <w:p w14:paraId="619AE9A6" w14:textId="77777777" w:rsidR="002453C4" w:rsidRPr="0013526B" w:rsidRDefault="002453C4" w:rsidP="002453C4">
            <w:pPr>
              <w:ind w:right="45"/>
              <w:jc w:val="right"/>
              <w:rPr>
                <w:i/>
                <w:sz w:val="18"/>
                <w:szCs w:val="18"/>
              </w:rPr>
            </w:pPr>
            <w:r>
              <w:rPr>
                <w:i/>
                <w:sz w:val="18"/>
                <w:szCs w:val="18"/>
              </w:rPr>
              <w:t>Other receivables</w:t>
            </w:r>
          </w:p>
        </w:tc>
      </w:tr>
      <w:tr w:rsidR="002453C4" w:rsidRPr="0013526B" w14:paraId="3C08D913" w14:textId="77777777" w:rsidTr="009A292C">
        <w:trPr>
          <w:trHeight w:val="20"/>
        </w:trPr>
        <w:tc>
          <w:tcPr>
            <w:tcW w:w="2827" w:type="dxa"/>
          </w:tcPr>
          <w:p w14:paraId="6CF9D2B8" w14:textId="77777777" w:rsidR="002453C4" w:rsidRDefault="002453C4" w:rsidP="002453C4">
            <w:pPr>
              <w:rPr>
                <w:sz w:val="18"/>
                <w:szCs w:val="18"/>
              </w:rPr>
            </w:pPr>
          </w:p>
        </w:tc>
        <w:tc>
          <w:tcPr>
            <w:tcW w:w="1674" w:type="dxa"/>
            <w:tcBorders>
              <w:top w:val="single" w:sz="4" w:space="0" w:color="auto"/>
            </w:tcBorders>
            <w:shd w:val="clear" w:color="auto" w:fill="auto"/>
            <w:vAlign w:val="bottom"/>
          </w:tcPr>
          <w:p w14:paraId="4715C18C" w14:textId="77777777" w:rsidR="002453C4" w:rsidRPr="0013526B" w:rsidRDefault="002453C4" w:rsidP="002453C4">
            <w:pPr>
              <w:tabs>
                <w:tab w:val="left" w:pos="1390"/>
              </w:tabs>
              <w:ind w:left="28" w:right="57"/>
              <w:jc w:val="right"/>
              <w:rPr>
                <w:sz w:val="18"/>
                <w:szCs w:val="18"/>
              </w:rPr>
            </w:pPr>
          </w:p>
        </w:tc>
        <w:tc>
          <w:tcPr>
            <w:tcW w:w="96" w:type="dxa"/>
            <w:vAlign w:val="bottom"/>
          </w:tcPr>
          <w:p w14:paraId="28AEF67F" w14:textId="77777777" w:rsidR="002453C4" w:rsidRPr="0013526B" w:rsidRDefault="002453C4" w:rsidP="002453C4">
            <w:pPr>
              <w:tabs>
                <w:tab w:val="left" w:pos="1390"/>
              </w:tabs>
              <w:ind w:left="28" w:right="28"/>
              <w:jc w:val="right"/>
              <w:rPr>
                <w:sz w:val="18"/>
                <w:szCs w:val="18"/>
              </w:rPr>
            </w:pPr>
          </w:p>
        </w:tc>
        <w:tc>
          <w:tcPr>
            <w:tcW w:w="1674" w:type="dxa"/>
            <w:tcBorders>
              <w:top w:val="single" w:sz="4" w:space="0" w:color="auto"/>
            </w:tcBorders>
            <w:vAlign w:val="bottom"/>
          </w:tcPr>
          <w:p w14:paraId="5B33296C" w14:textId="77777777" w:rsidR="002453C4" w:rsidRPr="0013526B" w:rsidRDefault="002453C4" w:rsidP="002453C4">
            <w:pPr>
              <w:tabs>
                <w:tab w:val="left" w:pos="1390"/>
              </w:tabs>
              <w:ind w:left="28" w:right="57"/>
              <w:jc w:val="right"/>
              <w:rPr>
                <w:sz w:val="18"/>
                <w:szCs w:val="18"/>
              </w:rPr>
            </w:pPr>
          </w:p>
        </w:tc>
        <w:tc>
          <w:tcPr>
            <w:tcW w:w="2830" w:type="dxa"/>
          </w:tcPr>
          <w:p w14:paraId="54C8F26B" w14:textId="77777777" w:rsidR="002453C4" w:rsidRPr="0013526B" w:rsidRDefault="002453C4" w:rsidP="002453C4">
            <w:pPr>
              <w:ind w:right="45"/>
              <w:jc w:val="right"/>
              <w:rPr>
                <w:i/>
                <w:sz w:val="18"/>
                <w:szCs w:val="18"/>
              </w:rPr>
            </w:pPr>
          </w:p>
        </w:tc>
      </w:tr>
      <w:tr w:rsidR="002453C4" w:rsidRPr="00952B41" w14:paraId="65F0BF94" w14:textId="77777777" w:rsidTr="002C662F">
        <w:trPr>
          <w:trHeight w:val="20"/>
        </w:trPr>
        <w:tc>
          <w:tcPr>
            <w:tcW w:w="2827" w:type="dxa"/>
          </w:tcPr>
          <w:p w14:paraId="3A7C7E73" w14:textId="77777777" w:rsidR="002453C4" w:rsidRPr="00952B41" w:rsidRDefault="002453C4" w:rsidP="002453C4">
            <w:pPr>
              <w:ind w:left="293"/>
              <w:rPr>
                <w:b/>
                <w:bCs w:val="0"/>
                <w:sz w:val="18"/>
                <w:szCs w:val="18"/>
              </w:rPr>
            </w:pPr>
            <w:r w:rsidRPr="00952B41">
              <w:rPr>
                <w:b/>
                <w:bCs w:val="0"/>
                <w:sz w:val="18"/>
                <w:szCs w:val="18"/>
              </w:rPr>
              <w:t>Jumlah aset keuangan</w:t>
            </w:r>
          </w:p>
        </w:tc>
        <w:tc>
          <w:tcPr>
            <w:tcW w:w="1674" w:type="dxa"/>
            <w:tcBorders>
              <w:bottom w:val="double" w:sz="4" w:space="0" w:color="auto"/>
            </w:tcBorders>
            <w:shd w:val="clear" w:color="auto" w:fill="auto"/>
            <w:vAlign w:val="bottom"/>
          </w:tcPr>
          <w:p w14:paraId="550BE5BB" w14:textId="7879A716" w:rsidR="002453C4" w:rsidRPr="00AE6371" w:rsidRDefault="002453C4" w:rsidP="002453C4">
            <w:pPr>
              <w:tabs>
                <w:tab w:val="left" w:pos="1390"/>
              </w:tabs>
              <w:ind w:left="28" w:right="57"/>
              <w:jc w:val="right"/>
              <w:rPr>
                <w:b/>
                <w:bCs w:val="0"/>
                <w:sz w:val="18"/>
                <w:szCs w:val="18"/>
              </w:rPr>
            </w:pPr>
            <w:r w:rsidRPr="00F65FCA">
              <w:rPr>
                <w:b/>
                <w:bCs w:val="0"/>
                <w:sz w:val="18"/>
                <w:szCs w:val="18"/>
              </w:rPr>
              <w:t>400.490.337.98</w:t>
            </w:r>
            <w:r>
              <w:rPr>
                <w:b/>
                <w:bCs w:val="0"/>
                <w:sz w:val="18"/>
                <w:szCs w:val="18"/>
              </w:rPr>
              <w:t>1</w:t>
            </w:r>
          </w:p>
        </w:tc>
        <w:tc>
          <w:tcPr>
            <w:tcW w:w="96" w:type="dxa"/>
            <w:vAlign w:val="bottom"/>
          </w:tcPr>
          <w:p w14:paraId="44791C9D" w14:textId="77777777" w:rsidR="002453C4" w:rsidRPr="00952B41" w:rsidRDefault="002453C4" w:rsidP="002453C4">
            <w:pPr>
              <w:ind w:left="293"/>
              <w:jc w:val="right"/>
              <w:rPr>
                <w:b/>
                <w:bCs w:val="0"/>
                <w:sz w:val="18"/>
                <w:szCs w:val="18"/>
              </w:rPr>
            </w:pPr>
          </w:p>
        </w:tc>
        <w:tc>
          <w:tcPr>
            <w:tcW w:w="1674" w:type="dxa"/>
            <w:tcBorders>
              <w:bottom w:val="double" w:sz="4" w:space="0" w:color="auto"/>
            </w:tcBorders>
            <w:vAlign w:val="bottom"/>
          </w:tcPr>
          <w:p w14:paraId="754B792A" w14:textId="59D544FB" w:rsidR="002453C4" w:rsidRPr="00952B41" w:rsidRDefault="002453C4" w:rsidP="002453C4">
            <w:pPr>
              <w:tabs>
                <w:tab w:val="left" w:pos="1390"/>
              </w:tabs>
              <w:ind w:left="28" w:right="57"/>
              <w:jc w:val="right"/>
              <w:rPr>
                <w:b/>
                <w:bCs w:val="0"/>
                <w:sz w:val="18"/>
                <w:szCs w:val="18"/>
              </w:rPr>
            </w:pPr>
            <w:r w:rsidRPr="00F64A5D">
              <w:rPr>
                <w:b/>
                <w:bCs w:val="0"/>
                <w:sz w:val="18"/>
                <w:szCs w:val="18"/>
              </w:rPr>
              <w:t>381.851.039.861</w:t>
            </w:r>
          </w:p>
        </w:tc>
        <w:tc>
          <w:tcPr>
            <w:tcW w:w="2830" w:type="dxa"/>
          </w:tcPr>
          <w:p w14:paraId="6B74410F" w14:textId="77777777" w:rsidR="002453C4" w:rsidRPr="00952B41" w:rsidRDefault="002453C4" w:rsidP="002453C4">
            <w:pPr>
              <w:ind w:right="45"/>
              <w:jc w:val="right"/>
              <w:rPr>
                <w:b/>
                <w:bCs w:val="0"/>
                <w:i/>
                <w:sz w:val="18"/>
                <w:szCs w:val="18"/>
              </w:rPr>
            </w:pPr>
            <w:r w:rsidRPr="00952B41">
              <w:rPr>
                <w:b/>
                <w:bCs w:val="0"/>
                <w:i/>
                <w:sz w:val="18"/>
                <w:szCs w:val="18"/>
              </w:rPr>
              <w:t>Total financial asset</w:t>
            </w:r>
          </w:p>
        </w:tc>
      </w:tr>
      <w:tr w:rsidR="002453C4" w:rsidRPr="00810F09" w14:paraId="359CB56C" w14:textId="77777777" w:rsidTr="009A292C">
        <w:trPr>
          <w:trHeight w:val="20"/>
        </w:trPr>
        <w:tc>
          <w:tcPr>
            <w:tcW w:w="2827" w:type="dxa"/>
          </w:tcPr>
          <w:p w14:paraId="5FF27697" w14:textId="77777777" w:rsidR="002453C4" w:rsidRPr="00810F09" w:rsidRDefault="002453C4" w:rsidP="002453C4">
            <w:pPr>
              <w:ind w:left="293"/>
              <w:rPr>
                <w:b/>
                <w:bCs w:val="0"/>
                <w:sz w:val="18"/>
                <w:szCs w:val="18"/>
              </w:rPr>
            </w:pPr>
          </w:p>
        </w:tc>
        <w:tc>
          <w:tcPr>
            <w:tcW w:w="1674" w:type="dxa"/>
            <w:tcBorders>
              <w:top w:val="double" w:sz="4" w:space="0" w:color="auto"/>
            </w:tcBorders>
            <w:shd w:val="clear" w:color="auto" w:fill="auto"/>
            <w:vAlign w:val="bottom"/>
          </w:tcPr>
          <w:p w14:paraId="73BC7949" w14:textId="77777777" w:rsidR="002453C4" w:rsidRPr="00810F09" w:rsidRDefault="002453C4" w:rsidP="002453C4">
            <w:pPr>
              <w:ind w:left="293"/>
              <w:rPr>
                <w:b/>
                <w:bCs w:val="0"/>
                <w:sz w:val="18"/>
                <w:szCs w:val="18"/>
              </w:rPr>
            </w:pPr>
          </w:p>
        </w:tc>
        <w:tc>
          <w:tcPr>
            <w:tcW w:w="96" w:type="dxa"/>
            <w:vAlign w:val="bottom"/>
          </w:tcPr>
          <w:p w14:paraId="2085DE15" w14:textId="77777777" w:rsidR="002453C4" w:rsidRPr="00810F09" w:rsidRDefault="002453C4" w:rsidP="002453C4">
            <w:pPr>
              <w:ind w:left="293"/>
              <w:rPr>
                <w:b/>
                <w:bCs w:val="0"/>
                <w:sz w:val="18"/>
                <w:szCs w:val="18"/>
              </w:rPr>
            </w:pPr>
          </w:p>
        </w:tc>
        <w:tc>
          <w:tcPr>
            <w:tcW w:w="1674" w:type="dxa"/>
            <w:tcBorders>
              <w:top w:val="double" w:sz="4" w:space="0" w:color="auto"/>
            </w:tcBorders>
            <w:vAlign w:val="bottom"/>
          </w:tcPr>
          <w:p w14:paraId="4AA58925" w14:textId="77777777" w:rsidR="002453C4" w:rsidRPr="00810F09" w:rsidRDefault="002453C4" w:rsidP="002453C4">
            <w:pPr>
              <w:ind w:left="293"/>
              <w:rPr>
                <w:b/>
                <w:bCs w:val="0"/>
                <w:sz w:val="18"/>
                <w:szCs w:val="18"/>
              </w:rPr>
            </w:pPr>
          </w:p>
        </w:tc>
        <w:tc>
          <w:tcPr>
            <w:tcW w:w="2830" w:type="dxa"/>
          </w:tcPr>
          <w:p w14:paraId="4B8B2F26" w14:textId="77777777" w:rsidR="002453C4" w:rsidRPr="00810F09" w:rsidRDefault="002453C4" w:rsidP="002453C4">
            <w:pPr>
              <w:ind w:right="45"/>
              <w:jc w:val="right"/>
              <w:rPr>
                <w:i/>
                <w:sz w:val="18"/>
                <w:szCs w:val="18"/>
              </w:rPr>
            </w:pPr>
          </w:p>
        </w:tc>
      </w:tr>
      <w:tr w:rsidR="002453C4" w:rsidRPr="00810F09" w14:paraId="3961C551" w14:textId="77777777" w:rsidTr="009A292C">
        <w:trPr>
          <w:trHeight w:val="20"/>
        </w:trPr>
        <w:tc>
          <w:tcPr>
            <w:tcW w:w="2827" w:type="dxa"/>
          </w:tcPr>
          <w:p w14:paraId="57E8CA4C" w14:textId="013B0FE5" w:rsidR="002453C4" w:rsidRPr="00810F09" w:rsidRDefault="002453C4" w:rsidP="002453C4">
            <w:pPr>
              <w:ind w:left="293"/>
              <w:rPr>
                <w:b/>
                <w:bCs w:val="0"/>
                <w:sz w:val="18"/>
                <w:szCs w:val="18"/>
              </w:rPr>
            </w:pPr>
            <w:r>
              <w:rPr>
                <w:b/>
                <w:bCs w:val="0"/>
                <w:sz w:val="18"/>
                <w:szCs w:val="18"/>
              </w:rPr>
              <w:t>Liabilitas keuangan</w:t>
            </w:r>
          </w:p>
        </w:tc>
        <w:tc>
          <w:tcPr>
            <w:tcW w:w="1674" w:type="dxa"/>
            <w:shd w:val="clear" w:color="auto" w:fill="auto"/>
            <w:vAlign w:val="bottom"/>
          </w:tcPr>
          <w:p w14:paraId="18A5AC30" w14:textId="77777777" w:rsidR="002453C4" w:rsidRPr="00810F09" w:rsidRDefault="002453C4" w:rsidP="002453C4">
            <w:pPr>
              <w:ind w:left="293"/>
              <w:rPr>
                <w:b/>
                <w:bCs w:val="0"/>
                <w:sz w:val="18"/>
                <w:szCs w:val="18"/>
              </w:rPr>
            </w:pPr>
          </w:p>
        </w:tc>
        <w:tc>
          <w:tcPr>
            <w:tcW w:w="96" w:type="dxa"/>
            <w:vAlign w:val="bottom"/>
          </w:tcPr>
          <w:p w14:paraId="26CB7A77" w14:textId="77777777" w:rsidR="002453C4" w:rsidRPr="00810F09" w:rsidRDefault="002453C4" w:rsidP="002453C4">
            <w:pPr>
              <w:ind w:left="293"/>
              <w:rPr>
                <w:b/>
                <w:bCs w:val="0"/>
                <w:sz w:val="18"/>
                <w:szCs w:val="18"/>
              </w:rPr>
            </w:pPr>
          </w:p>
        </w:tc>
        <w:tc>
          <w:tcPr>
            <w:tcW w:w="1674" w:type="dxa"/>
            <w:vAlign w:val="bottom"/>
          </w:tcPr>
          <w:p w14:paraId="6725F694" w14:textId="77777777" w:rsidR="002453C4" w:rsidRPr="00810F09" w:rsidRDefault="002453C4" w:rsidP="002453C4">
            <w:pPr>
              <w:ind w:left="293"/>
              <w:rPr>
                <w:b/>
                <w:bCs w:val="0"/>
                <w:sz w:val="18"/>
                <w:szCs w:val="18"/>
              </w:rPr>
            </w:pPr>
          </w:p>
        </w:tc>
        <w:tc>
          <w:tcPr>
            <w:tcW w:w="2830" w:type="dxa"/>
          </w:tcPr>
          <w:p w14:paraId="36717351" w14:textId="350E91C8" w:rsidR="002453C4" w:rsidRPr="00810F09" w:rsidRDefault="002453C4" w:rsidP="002453C4">
            <w:pPr>
              <w:ind w:right="45"/>
              <w:jc w:val="right"/>
              <w:rPr>
                <w:b/>
                <w:bCs w:val="0"/>
                <w:i/>
                <w:sz w:val="18"/>
                <w:szCs w:val="18"/>
              </w:rPr>
            </w:pPr>
            <w:r w:rsidRPr="00810F09">
              <w:rPr>
                <w:b/>
                <w:bCs w:val="0"/>
                <w:i/>
                <w:sz w:val="18"/>
                <w:szCs w:val="18"/>
              </w:rPr>
              <w:t>Financial liabilities</w:t>
            </w:r>
          </w:p>
        </w:tc>
      </w:tr>
      <w:tr w:rsidR="002453C4" w:rsidRPr="00810F09" w14:paraId="1B9F04FF" w14:textId="77777777" w:rsidTr="009A292C">
        <w:trPr>
          <w:trHeight w:val="20"/>
        </w:trPr>
        <w:tc>
          <w:tcPr>
            <w:tcW w:w="2827" w:type="dxa"/>
          </w:tcPr>
          <w:p w14:paraId="76DB7490" w14:textId="6D655C29" w:rsidR="002453C4" w:rsidRPr="00810F09" w:rsidRDefault="002453C4" w:rsidP="002453C4">
            <w:pPr>
              <w:ind w:left="293"/>
              <w:rPr>
                <w:sz w:val="18"/>
                <w:szCs w:val="18"/>
              </w:rPr>
            </w:pPr>
            <w:r w:rsidRPr="00810F09">
              <w:rPr>
                <w:sz w:val="18"/>
                <w:szCs w:val="18"/>
              </w:rPr>
              <w:t>Utang bank jangka pendek</w:t>
            </w:r>
          </w:p>
        </w:tc>
        <w:tc>
          <w:tcPr>
            <w:tcW w:w="1674" w:type="dxa"/>
            <w:shd w:val="clear" w:color="auto" w:fill="auto"/>
            <w:vAlign w:val="bottom"/>
          </w:tcPr>
          <w:p w14:paraId="5C13A4BB" w14:textId="3162DA79" w:rsidR="002453C4" w:rsidRPr="00146F6F" w:rsidRDefault="002453C4" w:rsidP="002453C4">
            <w:pPr>
              <w:tabs>
                <w:tab w:val="left" w:pos="1390"/>
              </w:tabs>
              <w:ind w:left="28" w:right="57"/>
              <w:jc w:val="right"/>
              <w:rPr>
                <w:sz w:val="18"/>
                <w:szCs w:val="18"/>
              </w:rPr>
            </w:pPr>
            <w:r w:rsidRPr="00297002">
              <w:rPr>
                <w:bCs w:val="0"/>
                <w:sz w:val="18"/>
                <w:szCs w:val="18"/>
              </w:rPr>
              <w:t xml:space="preserve">24.678.569.749    </w:t>
            </w:r>
          </w:p>
        </w:tc>
        <w:tc>
          <w:tcPr>
            <w:tcW w:w="96" w:type="dxa"/>
            <w:vAlign w:val="bottom"/>
          </w:tcPr>
          <w:p w14:paraId="78A393D7" w14:textId="77777777" w:rsidR="002453C4" w:rsidRPr="00810F09" w:rsidRDefault="002453C4" w:rsidP="002453C4">
            <w:pPr>
              <w:ind w:left="293"/>
              <w:rPr>
                <w:b/>
                <w:bCs w:val="0"/>
                <w:sz w:val="18"/>
                <w:szCs w:val="18"/>
              </w:rPr>
            </w:pPr>
          </w:p>
        </w:tc>
        <w:tc>
          <w:tcPr>
            <w:tcW w:w="1674" w:type="dxa"/>
            <w:vAlign w:val="bottom"/>
          </w:tcPr>
          <w:p w14:paraId="366B8D40" w14:textId="7637FD09" w:rsidR="002453C4" w:rsidRPr="00146F6F" w:rsidRDefault="002453C4" w:rsidP="002453C4">
            <w:pPr>
              <w:tabs>
                <w:tab w:val="left" w:pos="1390"/>
              </w:tabs>
              <w:ind w:left="28" w:right="57"/>
              <w:jc w:val="right"/>
              <w:rPr>
                <w:sz w:val="18"/>
                <w:szCs w:val="18"/>
              </w:rPr>
            </w:pPr>
            <w:r w:rsidRPr="00297002">
              <w:rPr>
                <w:bCs w:val="0"/>
                <w:sz w:val="18"/>
                <w:szCs w:val="18"/>
              </w:rPr>
              <w:t xml:space="preserve">24.678.569.749    </w:t>
            </w:r>
          </w:p>
        </w:tc>
        <w:tc>
          <w:tcPr>
            <w:tcW w:w="2830" w:type="dxa"/>
          </w:tcPr>
          <w:p w14:paraId="5716AAB0" w14:textId="77F9EEA3" w:rsidR="002453C4" w:rsidRPr="00810F09" w:rsidRDefault="002453C4" w:rsidP="002453C4">
            <w:pPr>
              <w:ind w:right="45"/>
              <w:jc w:val="right"/>
              <w:rPr>
                <w:i/>
                <w:sz w:val="18"/>
                <w:szCs w:val="18"/>
              </w:rPr>
            </w:pPr>
            <w:r w:rsidRPr="00810F09">
              <w:rPr>
                <w:i/>
                <w:sz w:val="18"/>
                <w:szCs w:val="18"/>
              </w:rPr>
              <w:t>Short-term bank loans</w:t>
            </w:r>
          </w:p>
        </w:tc>
      </w:tr>
      <w:tr w:rsidR="002453C4" w:rsidRPr="00810F09" w14:paraId="1046A1AE" w14:textId="77777777" w:rsidTr="009A292C">
        <w:trPr>
          <w:trHeight w:val="20"/>
        </w:trPr>
        <w:tc>
          <w:tcPr>
            <w:tcW w:w="2827" w:type="dxa"/>
          </w:tcPr>
          <w:p w14:paraId="3E8F630F" w14:textId="50DDC5B8" w:rsidR="002453C4" w:rsidRPr="00810F09" w:rsidRDefault="002453C4" w:rsidP="002453C4">
            <w:pPr>
              <w:ind w:left="293"/>
              <w:rPr>
                <w:sz w:val="18"/>
                <w:szCs w:val="18"/>
              </w:rPr>
            </w:pPr>
            <w:r w:rsidRPr="00810F09">
              <w:rPr>
                <w:sz w:val="18"/>
                <w:szCs w:val="18"/>
              </w:rPr>
              <w:t>Utang usaha</w:t>
            </w:r>
          </w:p>
        </w:tc>
        <w:tc>
          <w:tcPr>
            <w:tcW w:w="1674" w:type="dxa"/>
            <w:shd w:val="clear" w:color="auto" w:fill="auto"/>
            <w:vAlign w:val="bottom"/>
          </w:tcPr>
          <w:p w14:paraId="1DD807AD" w14:textId="7C74E040" w:rsidR="002453C4" w:rsidRPr="00146F6F" w:rsidRDefault="002453C4" w:rsidP="002453C4">
            <w:pPr>
              <w:tabs>
                <w:tab w:val="left" w:pos="1390"/>
              </w:tabs>
              <w:ind w:left="28" w:right="57"/>
              <w:jc w:val="right"/>
              <w:rPr>
                <w:sz w:val="18"/>
                <w:szCs w:val="18"/>
              </w:rPr>
            </w:pPr>
            <w:r w:rsidRPr="00297002">
              <w:rPr>
                <w:bCs w:val="0"/>
                <w:sz w:val="18"/>
                <w:szCs w:val="18"/>
              </w:rPr>
              <w:t>101.039.665.233</w:t>
            </w:r>
          </w:p>
        </w:tc>
        <w:tc>
          <w:tcPr>
            <w:tcW w:w="96" w:type="dxa"/>
            <w:vAlign w:val="bottom"/>
          </w:tcPr>
          <w:p w14:paraId="03AB276E" w14:textId="77777777" w:rsidR="002453C4" w:rsidRPr="00810F09" w:rsidRDefault="002453C4" w:rsidP="002453C4">
            <w:pPr>
              <w:ind w:left="293"/>
              <w:rPr>
                <w:b/>
                <w:bCs w:val="0"/>
                <w:sz w:val="18"/>
                <w:szCs w:val="18"/>
              </w:rPr>
            </w:pPr>
          </w:p>
        </w:tc>
        <w:tc>
          <w:tcPr>
            <w:tcW w:w="1674" w:type="dxa"/>
            <w:vAlign w:val="bottom"/>
          </w:tcPr>
          <w:p w14:paraId="5814678C" w14:textId="6DDE0F17" w:rsidR="002453C4" w:rsidRPr="00146F6F" w:rsidRDefault="002453C4" w:rsidP="002453C4">
            <w:pPr>
              <w:tabs>
                <w:tab w:val="left" w:pos="1390"/>
              </w:tabs>
              <w:ind w:left="28" w:right="57"/>
              <w:jc w:val="right"/>
              <w:rPr>
                <w:sz w:val="18"/>
                <w:szCs w:val="18"/>
              </w:rPr>
            </w:pPr>
            <w:r w:rsidRPr="00297002">
              <w:rPr>
                <w:bCs w:val="0"/>
                <w:sz w:val="18"/>
                <w:szCs w:val="18"/>
              </w:rPr>
              <w:t>101.039.665.233</w:t>
            </w:r>
          </w:p>
        </w:tc>
        <w:tc>
          <w:tcPr>
            <w:tcW w:w="2830" w:type="dxa"/>
          </w:tcPr>
          <w:p w14:paraId="21D555BB" w14:textId="00FBBF6B" w:rsidR="002453C4" w:rsidRPr="00810F09" w:rsidRDefault="002453C4" w:rsidP="002453C4">
            <w:pPr>
              <w:ind w:right="45"/>
              <w:jc w:val="right"/>
              <w:rPr>
                <w:i/>
                <w:sz w:val="18"/>
                <w:szCs w:val="18"/>
              </w:rPr>
            </w:pPr>
            <w:r w:rsidRPr="00810F09">
              <w:rPr>
                <w:i/>
                <w:sz w:val="18"/>
                <w:szCs w:val="18"/>
              </w:rPr>
              <w:t>Trade payables</w:t>
            </w:r>
          </w:p>
        </w:tc>
      </w:tr>
      <w:tr w:rsidR="002453C4" w:rsidRPr="00810F09" w14:paraId="0FAC84C2" w14:textId="77777777" w:rsidTr="009A292C">
        <w:trPr>
          <w:trHeight w:val="20"/>
        </w:trPr>
        <w:tc>
          <w:tcPr>
            <w:tcW w:w="2827" w:type="dxa"/>
          </w:tcPr>
          <w:p w14:paraId="00B55347" w14:textId="59891D3D" w:rsidR="002453C4" w:rsidRPr="00810F09" w:rsidRDefault="002453C4" w:rsidP="002453C4">
            <w:pPr>
              <w:ind w:left="293"/>
              <w:rPr>
                <w:sz w:val="18"/>
                <w:szCs w:val="18"/>
              </w:rPr>
            </w:pPr>
            <w:r w:rsidRPr="00810F09">
              <w:rPr>
                <w:sz w:val="18"/>
                <w:szCs w:val="18"/>
              </w:rPr>
              <w:t>Utang kontraktor</w:t>
            </w:r>
          </w:p>
        </w:tc>
        <w:tc>
          <w:tcPr>
            <w:tcW w:w="1674" w:type="dxa"/>
            <w:shd w:val="clear" w:color="auto" w:fill="auto"/>
            <w:vAlign w:val="bottom"/>
          </w:tcPr>
          <w:p w14:paraId="47486DB6" w14:textId="43583498" w:rsidR="002453C4" w:rsidRPr="00B836DE" w:rsidRDefault="002453C4" w:rsidP="002453C4">
            <w:pPr>
              <w:tabs>
                <w:tab w:val="left" w:pos="1390"/>
              </w:tabs>
              <w:ind w:left="28" w:right="57"/>
              <w:jc w:val="right"/>
              <w:rPr>
                <w:sz w:val="18"/>
                <w:szCs w:val="18"/>
                <w:lang w:val="id-ID"/>
              </w:rPr>
            </w:pPr>
            <w:r w:rsidRPr="00297002">
              <w:rPr>
                <w:bCs w:val="0"/>
                <w:sz w:val="18"/>
                <w:szCs w:val="18"/>
              </w:rPr>
              <w:t>88.419.683.936</w:t>
            </w:r>
          </w:p>
        </w:tc>
        <w:tc>
          <w:tcPr>
            <w:tcW w:w="96" w:type="dxa"/>
            <w:vAlign w:val="bottom"/>
          </w:tcPr>
          <w:p w14:paraId="40A5AB52" w14:textId="77777777" w:rsidR="002453C4" w:rsidRPr="00810F09" w:rsidRDefault="002453C4" w:rsidP="002453C4">
            <w:pPr>
              <w:ind w:left="293"/>
              <w:rPr>
                <w:b/>
                <w:bCs w:val="0"/>
                <w:sz w:val="18"/>
                <w:szCs w:val="18"/>
              </w:rPr>
            </w:pPr>
          </w:p>
        </w:tc>
        <w:tc>
          <w:tcPr>
            <w:tcW w:w="1674" w:type="dxa"/>
            <w:vAlign w:val="bottom"/>
          </w:tcPr>
          <w:p w14:paraId="2EAA43AE" w14:textId="0C2C5AE2" w:rsidR="002453C4" w:rsidRPr="00146F6F" w:rsidRDefault="002453C4" w:rsidP="002453C4">
            <w:pPr>
              <w:tabs>
                <w:tab w:val="left" w:pos="1390"/>
              </w:tabs>
              <w:ind w:left="28" w:right="57"/>
              <w:jc w:val="right"/>
              <w:rPr>
                <w:sz w:val="18"/>
                <w:szCs w:val="18"/>
              </w:rPr>
            </w:pPr>
            <w:r w:rsidRPr="00297002">
              <w:rPr>
                <w:bCs w:val="0"/>
                <w:sz w:val="18"/>
                <w:szCs w:val="18"/>
              </w:rPr>
              <w:t>88.419.683.936</w:t>
            </w:r>
          </w:p>
        </w:tc>
        <w:tc>
          <w:tcPr>
            <w:tcW w:w="2830" w:type="dxa"/>
          </w:tcPr>
          <w:p w14:paraId="54F32A59" w14:textId="3AE1F53C" w:rsidR="002453C4" w:rsidRPr="00810F09" w:rsidRDefault="002453C4" w:rsidP="002453C4">
            <w:pPr>
              <w:ind w:right="45"/>
              <w:jc w:val="right"/>
              <w:rPr>
                <w:i/>
                <w:sz w:val="18"/>
                <w:szCs w:val="18"/>
              </w:rPr>
            </w:pPr>
            <w:r w:rsidRPr="00810F09">
              <w:rPr>
                <w:i/>
                <w:sz w:val="18"/>
                <w:szCs w:val="18"/>
              </w:rPr>
              <w:t>Contractor payables</w:t>
            </w:r>
          </w:p>
        </w:tc>
      </w:tr>
      <w:tr w:rsidR="002453C4" w:rsidRPr="00810F09" w14:paraId="6D6414D8" w14:textId="77777777" w:rsidTr="009A292C">
        <w:trPr>
          <w:trHeight w:val="20"/>
        </w:trPr>
        <w:tc>
          <w:tcPr>
            <w:tcW w:w="2827" w:type="dxa"/>
          </w:tcPr>
          <w:p w14:paraId="686DB395" w14:textId="086B3557" w:rsidR="002453C4" w:rsidRPr="00810F09" w:rsidRDefault="002453C4" w:rsidP="002453C4">
            <w:pPr>
              <w:ind w:left="293"/>
              <w:rPr>
                <w:sz w:val="18"/>
                <w:szCs w:val="18"/>
              </w:rPr>
            </w:pPr>
            <w:r w:rsidRPr="00810F09">
              <w:rPr>
                <w:sz w:val="18"/>
                <w:szCs w:val="18"/>
              </w:rPr>
              <w:t>Utang lain-lain</w:t>
            </w:r>
          </w:p>
        </w:tc>
        <w:tc>
          <w:tcPr>
            <w:tcW w:w="1674" w:type="dxa"/>
            <w:shd w:val="clear" w:color="auto" w:fill="auto"/>
            <w:vAlign w:val="bottom"/>
          </w:tcPr>
          <w:p w14:paraId="538F424E" w14:textId="57B0183F" w:rsidR="002453C4" w:rsidRPr="00146F6F" w:rsidRDefault="002453C4" w:rsidP="002453C4">
            <w:pPr>
              <w:tabs>
                <w:tab w:val="left" w:pos="1390"/>
              </w:tabs>
              <w:ind w:left="28" w:right="57"/>
              <w:jc w:val="right"/>
              <w:rPr>
                <w:sz w:val="18"/>
                <w:szCs w:val="18"/>
              </w:rPr>
            </w:pPr>
            <w:r w:rsidRPr="00297002">
              <w:rPr>
                <w:bCs w:val="0"/>
                <w:sz w:val="18"/>
                <w:szCs w:val="18"/>
              </w:rPr>
              <w:t>750.256.357.970</w:t>
            </w:r>
          </w:p>
        </w:tc>
        <w:tc>
          <w:tcPr>
            <w:tcW w:w="96" w:type="dxa"/>
            <w:vAlign w:val="bottom"/>
          </w:tcPr>
          <w:p w14:paraId="39EF88BF" w14:textId="77777777" w:rsidR="002453C4" w:rsidRPr="00810F09" w:rsidRDefault="002453C4" w:rsidP="002453C4">
            <w:pPr>
              <w:ind w:left="293"/>
              <w:rPr>
                <w:b/>
                <w:bCs w:val="0"/>
                <w:sz w:val="18"/>
                <w:szCs w:val="18"/>
              </w:rPr>
            </w:pPr>
          </w:p>
        </w:tc>
        <w:tc>
          <w:tcPr>
            <w:tcW w:w="1674" w:type="dxa"/>
            <w:vAlign w:val="bottom"/>
          </w:tcPr>
          <w:p w14:paraId="355DDC22" w14:textId="070CCAA8" w:rsidR="002453C4" w:rsidRPr="00146F6F" w:rsidRDefault="002453C4" w:rsidP="002453C4">
            <w:pPr>
              <w:tabs>
                <w:tab w:val="left" w:pos="1390"/>
              </w:tabs>
              <w:ind w:left="28" w:right="57"/>
              <w:jc w:val="right"/>
              <w:rPr>
                <w:sz w:val="18"/>
                <w:szCs w:val="18"/>
              </w:rPr>
            </w:pPr>
            <w:r w:rsidRPr="00297002">
              <w:rPr>
                <w:bCs w:val="0"/>
                <w:sz w:val="18"/>
                <w:szCs w:val="18"/>
              </w:rPr>
              <w:t>750.256.357.970</w:t>
            </w:r>
          </w:p>
        </w:tc>
        <w:tc>
          <w:tcPr>
            <w:tcW w:w="2830" w:type="dxa"/>
          </w:tcPr>
          <w:p w14:paraId="6CD2C889" w14:textId="1D555AEE" w:rsidR="002453C4" w:rsidRPr="00810F09" w:rsidRDefault="002453C4" w:rsidP="002453C4">
            <w:pPr>
              <w:ind w:right="45"/>
              <w:jc w:val="right"/>
              <w:rPr>
                <w:i/>
                <w:sz w:val="18"/>
                <w:szCs w:val="18"/>
              </w:rPr>
            </w:pPr>
            <w:r w:rsidRPr="00810F09">
              <w:rPr>
                <w:i/>
                <w:sz w:val="18"/>
                <w:szCs w:val="18"/>
              </w:rPr>
              <w:t>Other payables</w:t>
            </w:r>
          </w:p>
        </w:tc>
      </w:tr>
      <w:tr w:rsidR="002453C4" w:rsidRPr="00810F09" w14:paraId="5DA269EC" w14:textId="77777777" w:rsidTr="009A292C">
        <w:trPr>
          <w:trHeight w:val="20"/>
        </w:trPr>
        <w:tc>
          <w:tcPr>
            <w:tcW w:w="2827" w:type="dxa"/>
          </w:tcPr>
          <w:p w14:paraId="3380A405" w14:textId="5FE2E3DC" w:rsidR="002453C4" w:rsidRPr="00810F09" w:rsidRDefault="002453C4" w:rsidP="002453C4">
            <w:pPr>
              <w:ind w:left="293"/>
              <w:rPr>
                <w:sz w:val="18"/>
                <w:szCs w:val="18"/>
              </w:rPr>
            </w:pPr>
            <w:r w:rsidRPr="00810F09">
              <w:rPr>
                <w:sz w:val="18"/>
                <w:szCs w:val="18"/>
              </w:rPr>
              <w:t xml:space="preserve">Biaya </w:t>
            </w:r>
            <w:r>
              <w:rPr>
                <w:sz w:val="18"/>
                <w:szCs w:val="18"/>
              </w:rPr>
              <w:t>yang masih harus dibayar</w:t>
            </w:r>
          </w:p>
        </w:tc>
        <w:tc>
          <w:tcPr>
            <w:tcW w:w="1674" w:type="dxa"/>
            <w:shd w:val="clear" w:color="auto" w:fill="auto"/>
            <w:vAlign w:val="bottom"/>
          </w:tcPr>
          <w:p w14:paraId="69212FE7" w14:textId="46D68C54" w:rsidR="002453C4" w:rsidRPr="00146F6F" w:rsidRDefault="002453C4" w:rsidP="002453C4">
            <w:pPr>
              <w:tabs>
                <w:tab w:val="left" w:pos="1390"/>
              </w:tabs>
              <w:ind w:left="28" w:right="57"/>
              <w:jc w:val="right"/>
              <w:rPr>
                <w:sz w:val="18"/>
                <w:szCs w:val="18"/>
              </w:rPr>
            </w:pPr>
            <w:r w:rsidRPr="00095CA6">
              <w:rPr>
                <w:bCs w:val="0"/>
                <w:sz w:val="18"/>
                <w:szCs w:val="18"/>
              </w:rPr>
              <w:t>62.016.194.35</w:t>
            </w:r>
            <w:r>
              <w:rPr>
                <w:bCs w:val="0"/>
                <w:sz w:val="18"/>
                <w:szCs w:val="18"/>
              </w:rPr>
              <w:t>6</w:t>
            </w:r>
          </w:p>
        </w:tc>
        <w:tc>
          <w:tcPr>
            <w:tcW w:w="96" w:type="dxa"/>
            <w:vAlign w:val="bottom"/>
          </w:tcPr>
          <w:p w14:paraId="393793D3" w14:textId="77777777" w:rsidR="002453C4" w:rsidRPr="00810F09" w:rsidRDefault="002453C4" w:rsidP="002453C4">
            <w:pPr>
              <w:ind w:left="293"/>
              <w:rPr>
                <w:b/>
                <w:bCs w:val="0"/>
                <w:sz w:val="18"/>
                <w:szCs w:val="18"/>
              </w:rPr>
            </w:pPr>
          </w:p>
        </w:tc>
        <w:tc>
          <w:tcPr>
            <w:tcW w:w="1674" w:type="dxa"/>
            <w:vAlign w:val="bottom"/>
          </w:tcPr>
          <w:p w14:paraId="242ED681" w14:textId="34A7EFA0" w:rsidR="002453C4" w:rsidRPr="00146F6F" w:rsidRDefault="002453C4" w:rsidP="002453C4">
            <w:pPr>
              <w:tabs>
                <w:tab w:val="left" w:pos="1390"/>
              </w:tabs>
              <w:ind w:left="28" w:right="57"/>
              <w:jc w:val="right"/>
              <w:rPr>
                <w:sz w:val="18"/>
                <w:szCs w:val="18"/>
              </w:rPr>
            </w:pPr>
            <w:r w:rsidRPr="00095CA6">
              <w:rPr>
                <w:bCs w:val="0"/>
                <w:sz w:val="18"/>
                <w:szCs w:val="18"/>
              </w:rPr>
              <w:t>62.016.194.35</w:t>
            </w:r>
            <w:r>
              <w:rPr>
                <w:bCs w:val="0"/>
                <w:sz w:val="18"/>
                <w:szCs w:val="18"/>
              </w:rPr>
              <w:t>6</w:t>
            </w:r>
          </w:p>
        </w:tc>
        <w:tc>
          <w:tcPr>
            <w:tcW w:w="2830" w:type="dxa"/>
          </w:tcPr>
          <w:p w14:paraId="33E7C5F7" w14:textId="56B2B498" w:rsidR="002453C4" w:rsidRPr="00810F09" w:rsidRDefault="002453C4" w:rsidP="002453C4">
            <w:pPr>
              <w:ind w:right="45"/>
              <w:jc w:val="right"/>
              <w:rPr>
                <w:i/>
                <w:sz w:val="18"/>
                <w:szCs w:val="18"/>
              </w:rPr>
            </w:pPr>
            <w:r w:rsidRPr="00810F09">
              <w:rPr>
                <w:i/>
                <w:sz w:val="18"/>
                <w:szCs w:val="18"/>
              </w:rPr>
              <w:t>Accrued expenses</w:t>
            </w:r>
          </w:p>
        </w:tc>
      </w:tr>
      <w:tr w:rsidR="002453C4" w:rsidRPr="00810F09" w14:paraId="4559EAED" w14:textId="77777777" w:rsidTr="009A292C">
        <w:trPr>
          <w:trHeight w:val="20"/>
        </w:trPr>
        <w:tc>
          <w:tcPr>
            <w:tcW w:w="2827" w:type="dxa"/>
          </w:tcPr>
          <w:p w14:paraId="3AC670BB" w14:textId="0EB7FB03" w:rsidR="002453C4" w:rsidRPr="00810F09" w:rsidRDefault="002453C4" w:rsidP="002453C4">
            <w:pPr>
              <w:ind w:left="293"/>
              <w:rPr>
                <w:sz w:val="18"/>
                <w:szCs w:val="18"/>
              </w:rPr>
            </w:pPr>
            <w:r w:rsidRPr="00810F09">
              <w:rPr>
                <w:sz w:val="18"/>
                <w:szCs w:val="18"/>
              </w:rPr>
              <w:t>Utang lainnya jangka pendek</w:t>
            </w:r>
          </w:p>
        </w:tc>
        <w:tc>
          <w:tcPr>
            <w:tcW w:w="1674" w:type="dxa"/>
            <w:shd w:val="clear" w:color="auto" w:fill="auto"/>
            <w:vAlign w:val="bottom"/>
          </w:tcPr>
          <w:p w14:paraId="69DF8249" w14:textId="1041054A" w:rsidR="002453C4" w:rsidRPr="00146F6F" w:rsidRDefault="002453C4" w:rsidP="002453C4">
            <w:pPr>
              <w:tabs>
                <w:tab w:val="left" w:pos="1390"/>
              </w:tabs>
              <w:ind w:left="28" w:right="57"/>
              <w:jc w:val="right"/>
              <w:rPr>
                <w:sz w:val="18"/>
                <w:szCs w:val="18"/>
              </w:rPr>
            </w:pPr>
            <w:r w:rsidRPr="00297002">
              <w:rPr>
                <w:bCs w:val="0"/>
                <w:sz w:val="18"/>
                <w:szCs w:val="18"/>
              </w:rPr>
              <w:t>1.524.564.029</w:t>
            </w:r>
          </w:p>
        </w:tc>
        <w:tc>
          <w:tcPr>
            <w:tcW w:w="96" w:type="dxa"/>
            <w:vAlign w:val="bottom"/>
          </w:tcPr>
          <w:p w14:paraId="3E9607E1" w14:textId="77777777" w:rsidR="002453C4" w:rsidRPr="00810F09" w:rsidRDefault="002453C4" w:rsidP="002453C4">
            <w:pPr>
              <w:ind w:left="293"/>
              <w:rPr>
                <w:b/>
                <w:bCs w:val="0"/>
                <w:sz w:val="18"/>
                <w:szCs w:val="18"/>
              </w:rPr>
            </w:pPr>
          </w:p>
        </w:tc>
        <w:tc>
          <w:tcPr>
            <w:tcW w:w="1674" w:type="dxa"/>
            <w:vAlign w:val="bottom"/>
          </w:tcPr>
          <w:p w14:paraId="1CB92905" w14:textId="7A3C614C" w:rsidR="002453C4" w:rsidRPr="00146F6F" w:rsidRDefault="002453C4" w:rsidP="002453C4">
            <w:pPr>
              <w:tabs>
                <w:tab w:val="left" w:pos="1390"/>
              </w:tabs>
              <w:ind w:left="28" w:right="57"/>
              <w:jc w:val="right"/>
              <w:rPr>
                <w:sz w:val="18"/>
                <w:szCs w:val="18"/>
              </w:rPr>
            </w:pPr>
            <w:r w:rsidRPr="00297002">
              <w:rPr>
                <w:bCs w:val="0"/>
                <w:sz w:val="18"/>
                <w:szCs w:val="18"/>
              </w:rPr>
              <w:t>1.524.564.029</w:t>
            </w:r>
          </w:p>
        </w:tc>
        <w:tc>
          <w:tcPr>
            <w:tcW w:w="2830" w:type="dxa"/>
          </w:tcPr>
          <w:p w14:paraId="066755F9" w14:textId="03B43F48" w:rsidR="002453C4" w:rsidRPr="00810F09" w:rsidRDefault="002453C4" w:rsidP="002453C4">
            <w:pPr>
              <w:ind w:right="45"/>
              <w:jc w:val="right"/>
              <w:rPr>
                <w:i/>
                <w:sz w:val="18"/>
                <w:szCs w:val="18"/>
              </w:rPr>
            </w:pPr>
            <w:r w:rsidRPr="00810F09">
              <w:rPr>
                <w:i/>
                <w:sz w:val="18"/>
                <w:szCs w:val="18"/>
              </w:rPr>
              <w:t>Short-term other payable</w:t>
            </w:r>
          </w:p>
        </w:tc>
      </w:tr>
      <w:tr w:rsidR="002453C4" w:rsidRPr="00810F09" w14:paraId="5643A017" w14:textId="77777777" w:rsidTr="00946853">
        <w:trPr>
          <w:trHeight w:val="20"/>
        </w:trPr>
        <w:tc>
          <w:tcPr>
            <w:tcW w:w="2827" w:type="dxa"/>
          </w:tcPr>
          <w:p w14:paraId="25966C27" w14:textId="6BB6F359" w:rsidR="002453C4" w:rsidRPr="00810F09" w:rsidRDefault="002453C4" w:rsidP="002453C4">
            <w:pPr>
              <w:ind w:left="293"/>
              <w:rPr>
                <w:sz w:val="18"/>
                <w:szCs w:val="18"/>
              </w:rPr>
            </w:pPr>
            <w:r w:rsidRPr="00810F09">
              <w:rPr>
                <w:sz w:val="18"/>
                <w:szCs w:val="18"/>
              </w:rPr>
              <w:t>Utang bank jangka Panjang</w:t>
            </w:r>
          </w:p>
        </w:tc>
        <w:tc>
          <w:tcPr>
            <w:tcW w:w="1674" w:type="dxa"/>
            <w:tcBorders>
              <w:bottom w:val="single" w:sz="4" w:space="0" w:color="auto"/>
            </w:tcBorders>
            <w:shd w:val="clear" w:color="auto" w:fill="auto"/>
            <w:vAlign w:val="bottom"/>
          </w:tcPr>
          <w:p w14:paraId="16BFD6C8" w14:textId="7BED7242" w:rsidR="002453C4" w:rsidRPr="00146F6F" w:rsidRDefault="002453C4" w:rsidP="002453C4">
            <w:pPr>
              <w:tabs>
                <w:tab w:val="left" w:pos="1390"/>
              </w:tabs>
              <w:ind w:left="28" w:right="57"/>
              <w:jc w:val="right"/>
              <w:rPr>
                <w:sz w:val="18"/>
                <w:szCs w:val="18"/>
              </w:rPr>
            </w:pPr>
            <w:r w:rsidRPr="00297002">
              <w:rPr>
                <w:bCs w:val="0"/>
                <w:sz w:val="18"/>
                <w:szCs w:val="18"/>
              </w:rPr>
              <w:t>176.879.793.470</w:t>
            </w:r>
          </w:p>
        </w:tc>
        <w:tc>
          <w:tcPr>
            <w:tcW w:w="96" w:type="dxa"/>
            <w:vAlign w:val="bottom"/>
          </w:tcPr>
          <w:p w14:paraId="589F7C7D" w14:textId="77777777" w:rsidR="002453C4" w:rsidRPr="00810F09" w:rsidRDefault="002453C4" w:rsidP="002453C4">
            <w:pPr>
              <w:ind w:left="293"/>
              <w:rPr>
                <w:b/>
                <w:bCs w:val="0"/>
                <w:sz w:val="18"/>
                <w:szCs w:val="18"/>
              </w:rPr>
            </w:pPr>
          </w:p>
        </w:tc>
        <w:tc>
          <w:tcPr>
            <w:tcW w:w="1674" w:type="dxa"/>
            <w:tcBorders>
              <w:bottom w:val="single" w:sz="4" w:space="0" w:color="auto"/>
            </w:tcBorders>
            <w:vAlign w:val="bottom"/>
          </w:tcPr>
          <w:p w14:paraId="7977AC56" w14:textId="7E6268A6" w:rsidR="002453C4" w:rsidRPr="00146F6F" w:rsidRDefault="002453C4" w:rsidP="002453C4">
            <w:pPr>
              <w:tabs>
                <w:tab w:val="left" w:pos="1390"/>
              </w:tabs>
              <w:ind w:left="28" w:right="57"/>
              <w:jc w:val="right"/>
              <w:rPr>
                <w:sz w:val="18"/>
                <w:szCs w:val="18"/>
              </w:rPr>
            </w:pPr>
            <w:r w:rsidRPr="00297002">
              <w:rPr>
                <w:bCs w:val="0"/>
                <w:sz w:val="18"/>
                <w:szCs w:val="18"/>
              </w:rPr>
              <w:t>176.879.793.470</w:t>
            </w:r>
          </w:p>
        </w:tc>
        <w:tc>
          <w:tcPr>
            <w:tcW w:w="2830" w:type="dxa"/>
          </w:tcPr>
          <w:p w14:paraId="7F1B52C7" w14:textId="2739F4FE" w:rsidR="002453C4" w:rsidRPr="00810F09" w:rsidRDefault="002453C4" w:rsidP="002453C4">
            <w:pPr>
              <w:ind w:right="45"/>
              <w:jc w:val="right"/>
              <w:rPr>
                <w:i/>
                <w:sz w:val="18"/>
                <w:szCs w:val="18"/>
              </w:rPr>
            </w:pPr>
            <w:r w:rsidRPr="00810F09">
              <w:rPr>
                <w:i/>
                <w:sz w:val="18"/>
                <w:szCs w:val="18"/>
              </w:rPr>
              <w:t>Long-term bank loans</w:t>
            </w:r>
          </w:p>
        </w:tc>
      </w:tr>
      <w:tr w:rsidR="002453C4" w:rsidRPr="00810F09" w14:paraId="7C8E1006" w14:textId="77777777" w:rsidTr="00946853">
        <w:trPr>
          <w:trHeight w:val="20"/>
        </w:trPr>
        <w:tc>
          <w:tcPr>
            <w:tcW w:w="2827" w:type="dxa"/>
          </w:tcPr>
          <w:p w14:paraId="666BEA36" w14:textId="757870BD" w:rsidR="002453C4" w:rsidRPr="00810F09" w:rsidRDefault="002453C4" w:rsidP="002453C4">
            <w:pPr>
              <w:ind w:left="510"/>
              <w:rPr>
                <w:sz w:val="18"/>
                <w:szCs w:val="18"/>
              </w:rPr>
            </w:pPr>
          </w:p>
        </w:tc>
        <w:tc>
          <w:tcPr>
            <w:tcW w:w="1674" w:type="dxa"/>
            <w:tcBorders>
              <w:top w:val="single" w:sz="4" w:space="0" w:color="auto"/>
            </w:tcBorders>
            <w:shd w:val="clear" w:color="auto" w:fill="auto"/>
            <w:vAlign w:val="bottom"/>
          </w:tcPr>
          <w:p w14:paraId="5504F5DA" w14:textId="2889F2E8" w:rsidR="002453C4" w:rsidRPr="00146F6F" w:rsidRDefault="002453C4" w:rsidP="002453C4">
            <w:pPr>
              <w:tabs>
                <w:tab w:val="left" w:pos="1390"/>
              </w:tabs>
              <w:ind w:left="28" w:right="57"/>
              <w:jc w:val="right"/>
              <w:rPr>
                <w:sz w:val="18"/>
                <w:szCs w:val="18"/>
              </w:rPr>
            </w:pPr>
          </w:p>
        </w:tc>
        <w:tc>
          <w:tcPr>
            <w:tcW w:w="96" w:type="dxa"/>
            <w:vAlign w:val="bottom"/>
          </w:tcPr>
          <w:p w14:paraId="3A589D0A" w14:textId="77777777" w:rsidR="002453C4" w:rsidRPr="00810F09" w:rsidRDefault="002453C4" w:rsidP="002453C4">
            <w:pPr>
              <w:ind w:left="293"/>
              <w:rPr>
                <w:b/>
                <w:bCs w:val="0"/>
                <w:sz w:val="18"/>
                <w:szCs w:val="18"/>
              </w:rPr>
            </w:pPr>
          </w:p>
        </w:tc>
        <w:tc>
          <w:tcPr>
            <w:tcW w:w="1674" w:type="dxa"/>
            <w:tcBorders>
              <w:top w:val="single" w:sz="4" w:space="0" w:color="auto"/>
            </w:tcBorders>
            <w:vAlign w:val="bottom"/>
          </w:tcPr>
          <w:p w14:paraId="748D513C" w14:textId="4F3865A7" w:rsidR="002453C4" w:rsidRPr="00146F6F" w:rsidRDefault="002453C4" w:rsidP="002453C4">
            <w:pPr>
              <w:tabs>
                <w:tab w:val="left" w:pos="1390"/>
              </w:tabs>
              <w:ind w:left="28" w:right="57"/>
              <w:jc w:val="right"/>
              <w:rPr>
                <w:sz w:val="18"/>
                <w:szCs w:val="18"/>
              </w:rPr>
            </w:pPr>
          </w:p>
        </w:tc>
        <w:tc>
          <w:tcPr>
            <w:tcW w:w="2830" w:type="dxa"/>
          </w:tcPr>
          <w:p w14:paraId="6C726B5F" w14:textId="41A09A6C" w:rsidR="002453C4" w:rsidRPr="00810F09" w:rsidRDefault="002453C4" w:rsidP="002453C4">
            <w:pPr>
              <w:ind w:right="199"/>
              <w:jc w:val="right"/>
              <w:rPr>
                <w:i/>
                <w:sz w:val="18"/>
                <w:szCs w:val="18"/>
              </w:rPr>
            </w:pPr>
          </w:p>
        </w:tc>
      </w:tr>
      <w:tr w:rsidR="002453C4" w:rsidRPr="00810F09" w14:paraId="57F9BF80" w14:textId="77777777" w:rsidTr="00946853">
        <w:trPr>
          <w:trHeight w:val="20"/>
        </w:trPr>
        <w:tc>
          <w:tcPr>
            <w:tcW w:w="2827" w:type="dxa"/>
          </w:tcPr>
          <w:p w14:paraId="7109A166" w14:textId="49510A82" w:rsidR="002453C4" w:rsidRPr="00810F09" w:rsidRDefault="002453C4" w:rsidP="002453C4">
            <w:pPr>
              <w:ind w:left="293"/>
              <w:rPr>
                <w:b/>
                <w:bCs w:val="0"/>
                <w:sz w:val="18"/>
                <w:szCs w:val="18"/>
              </w:rPr>
            </w:pPr>
            <w:r w:rsidRPr="00952B41">
              <w:rPr>
                <w:b/>
                <w:bCs w:val="0"/>
                <w:sz w:val="18"/>
                <w:szCs w:val="18"/>
              </w:rPr>
              <w:t>Jumlah liabilitas keuangan</w:t>
            </w:r>
          </w:p>
        </w:tc>
        <w:tc>
          <w:tcPr>
            <w:tcW w:w="1674" w:type="dxa"/>
            <w:shd w:val="clear" w:color="auto" w:fill="auto"/>
            <w:vAlign w:val="bottom"/>
          </w:tcPr>
          <w:p w14:paraId="1981C390" w14:textId="0ECFD031" w:rsidR="002453C4" w:rsidRPr="00B836DE" w:rsidRDefault="002453C4" w:rsidP="002453C4">
            <w:pPr>
              <w:ind w:left="293"/>
              <w:rPr>
                <w:b/>
                <w:bCs w:val="0"/>
                <w:sz w:val="18"/>
                <w:szCs w:val="18"/>
                <w:lang w:val="id-ID"/>
              </w:rPr>
            </w:pPr>
            <w:r w:rsidRPr="00095CA6">
              <w:rPr>
                <w:b/>
                <w:bCs w:val="0"/>
                <w:sz w:val="18"/>
                <w:szCs w:val="18"/>
              </w:rPr>
              <w:t>1.204.814.828.7</w:t>
            </w:r>
            <w:r>
              <w:rPr>
                <w:b/>
                <w:bCs w:val="0"/>
                <w:sz w:val="18"/>
                <w:szCs w:val="18"/>
              </w:rPr>
              <w:t>43</w:t>
            </w:r>
          </w:p>
        </w:tc>
        <w:tc>
          <w:tcPr>
            <w:tcW w:w="96" w:type="dxa"/>
            <w:vAlign w:val="bottom"/>
          </w:tcPr>
          <w:p w14:paraId="22382862" w14:textId="77777777" w:rsidR="002453C4" w:rsidRPr="00810F09" w:rsidRDefault="002453C4" w:rsidP="002453C4">
            <w:pPr>
              <w:ind w:left="293"/>
              <w:rPr>
                <w:b/>
                <w:bCs w:val="0"/>
                <w:sz w:val="18"/>
                <w:szCs w:val="18"/>
              </w:rPr>
            </w:pPr>
          </w:p>
        </w:tc>
        <w:tc>
          <w:tcPr>
            <w:tcW w:w="1674" w:type="dxa"/>
            <w:vAlign w:val="bottom"/>
          </w:tcPr>
          <w:p w14:paraId="5F71EC80" w14:textId="26BEFB5B" w:rsidR="002453C4" w:rsidRPr="00146F6F" w:rsidRDefault="002453C4" w:rsidP="002453C4">
            <w:pPr>
              <w:tabs>
                <w:tab w:val="left" w:pos="1390"/>
              </w:tabs>
              <w:ind w:left="28" w:right="57"/>
              <w:jc w:val="right"/>
              <w:rPr>
                <w:sz w:val="18"/>
                <w:szCs w:val="18"/>
              </w:rPr>
            </w:pPr>
            <w:r w:rsidRPr="00095CA6">
              <w:rPr>
                <w:b/>
                <w:bCs w:val="0"/>
                <w:sz w:val="18"/>
                <w:szCs w:val="18"/>
              </w:rPr>
              <w:t>1.204.814.828.74</w:t>
            </w:r>
            <w:r>
              <w:rPr>
                <w:b/>
                <w:bCs w:val="0"/>
                <w:sz w:val="18"/>
                <w:szCs w:val="18"/>
              </w:rPr>
              <w:t>3</w:t>
            </w:r>
          </w:p>
        </w:tc>
        <w:tc>
          <w:tcPr>
            <w:tcW w:w="2830" w:type="dxa"/>
          </w:tcPr>
          <w:p w14:paraId="308ACD7B" w14:textId="04FA84BF" w:rsidR="002453C4" w:rsidRPr="00810F09" w:rsidRDefault="002453C4" w:rsidP="002453C4">
            <w:pPr>
              <w:ind w:right="45"/>
              <w:jc w:val="right"/>
              <w:rPr>
                <w:i/>
                <w:sz w:val="18"/>
                <w:szCs w:val="18"/>
              </w:rPr>
            </w:pPr>
            <w:r w:rsidRPr="00952B41">
              <w:rPr>
                <w:b/>
                <w:bCs w:val="0"/>
                <w:i/>
                <w:sz w:val="18"/>
                <w:szCs w:val="18"/>
              </w:rPr>
              <w:t>Total financial liabilities</w:t>
            </w:r>
          </w:p>
        </w:tc>
      </w:tr>
      <w:tr w:rsidR="00146F6F" w:rsidRPr="00810F09" w14:paraId="2A2996A7" w14:textId="77777777" w:rsidTr="009A292C">
        <w:trPr>
          <w:trHeight w:val="20"/>
        </w:trPr>
        <w:tc>
          <w:tcPr>
            <w:tcW w:w="2827" w:type="dxa"/>
          </w:tcPr>
          <w:p w14:paraId="727E2A79" w14:textId="77777777" w:rsidR="00146F6F" w:rsidRPr="00810F09" w:rsidRDefault="00146F6F" w:rsidP="00146F6F">
            <w:pPr>
              <w:ind w:left="293"/>
              <w:rPr>
                <w:b/>
                <w:bCs w:val="0"/>
                <w:sz w:val="18"/>
                <w:szCs w:val="18"/>
              </w:rPr>
            </w:pPr>
          </w:p>
        </w:tc>
        <w:tc>
          <w:tcPr>
            <w:tcW w:w="1674" w:type="dxa"/>
            <w:tcBorders>
              <w:top w:val="double" w:sz="4" w:space="0" w:color="auto"/>
            </w:tcBorders>
            <w:shd w:val="clear" w:color="auto" w:fill="auto"/>
            <w:vAlign w:val="bottom"/>
          </w:tcPr>
          <w:p w14:paraId="6D304D27" w14:textId="77777777" w:rsidR="00146F6F" w:rsidRPr="00810F09" w:rsidRDefault="00146F6F" w:rsidP="00146F6F">
            <w:pPr>
              <w:ind w:left="293"/>
              <w:rPr>
                <w:b/>
                <w:bCs w:val="0"/>
                <w:sz w:val="18"/>
                <w:szCs w:val="18"/>
              </w:rPr>
            </w:pPr>
          </w:p>
        </w:tc>
        <w:tc>
          <w:tcPr>
            <w:tcW w:w="96" w:type="dxa"/>
            <w:vAlign w:val="bottom"/>
          </w:tcPr>
          <w:p w14:paraId="710CD244" w14:textId="77777777" w:rsidR="00146F6F" w:rsidRPr="00810F09" w:rsidRDefault="00146F6F" w:rsidP="00146F6F">
            <w:pPr>
              <w:ind w:left="293"/>
              <w:rPr>
                <w:b/>
                <w:bCs w:val="0"/>
                <w:sz w:val="18"/>
                <w:szCs w:val="18"/>
              </w:rPr>
            </w:pPr>
          </w:p>
        </w:tc>
        <w:tc>
          <w:tcPr>
            <w:tcW w:w="1674" w:type="dxa"/>
            <w:tcBorders>
              <w:top w:val="double" w:sz="4" w:space="0" w:color="auto"/>
            </w:tcBorders>
            <w:vAlign w:val="bottom"/>
          </w:tcPr>
          <w:p w14:paraId="13EB79B6" w14:textId="77777777" w:rsidR="00146F6F" w:rsidRPr="00810F09" w:rsidRDefault="00146F6F" w:rsidP="00146F6F">
            <w:pPr>
              <w:ind w:left="293"/>
              <w:rPr>
                <w:b/>
                <w:bCs w:val="0"/>
                <w:sz w:val="18"/>
                <w:szCs w:val="18"/>
              </w:rPr>
            </w:pPr>
          </w:p>
        </w:tc>
        <w:tc>
          <w:tcPr>
            <w:tcW w:w="2830" w:type="dxa"/>
          </w:tcPr>
          <w:p w14:paraId="4BA8EA19" w14:textId="77777777" w:rsidR="00146F6F" w:rsidRPr="00810F09" w:rsidRDefault="00146F6F" w:rsidP="00327025">
            <w:pPr>
              <w:ind w:left="293" w:right="45"/>
              <w:rPr>
                <w:b/>
                <w:bCs w:val="0"/>
                <w:sz w:val="18"/>
                <w:szCs w:val="18"/>
              </w:rPr>
            </w:pPr>
          </w:p>
        </w:tc>
      </w:tr>
    </w:tbl>
    <w:p w14:paraId="1D233FD5" w14:textId="01E22F5E" w:rsidR="006A3C8F" w:rsidRPr="00952B41" w:rsidRDefault="006A3C8F">
      <w:pPr>
        <w:rPr>
          <w:sz w:val="14"/>
          <w:szCs w:val="12"/>
        </w:rPr>
      </w:pPr>
    </w:p>
    <w:p w14:paraId="340098AF" w14:textId="77777777" w:rsidR="002732C5" w:rsidRPr="001E0DF8" w:rsidRDefault="002732C5" w:rsidP="0013526B">
      <w:pPr>
        <w:rPr>
          <w:sz w:val="14"/>
          <w:szCs w:val="12"/>
        </w:rPr>
      </w:pPr>
    </w:p>
    <w:tbl>
      <w:tblPr>
        <w:tblW w:w="9197" w:type="dxa"/>
        <w:tblInd w:w="140" w:type="dxa"/>
        <w:tblLayout w:type="fixed"/>
        <w:tblLook w:val="0000" w:firstRow="0" w:lastRow="0" w:firstColumn="0" w:lastColumn="0" w:noHBand="0" w:noVBand="0"/>
      </w:tblPr>
      <w:tblGrid>
        <w:gridCol w:w="4598"/>
        <w:gridCol w:w="4599"/>
      </w:tblGrid>
      <w:tr w:rsidR="00FE311D" w:rsidRPr="0013526B" w14:paraId="0E4CBE24" w14:textId="77777777" w:rsidTr="009A292C">
        <w:tc>
          <w:tcPr>
            <w:tcW w:w="4598" w:type="dxa"/>
            <w:tcBorders>
              <w:top w:val="nil"/>
              <w:left w:val="nil"/>
              <w:bottom w:val="nil"/>
              <w:right w:val="nil"/>
            </w:tcBorders>
          </w:tcPr>
          <w:p w14:paraId="2EBF0FEB" w14:textId="7B90F170" w:rsidR="00FE311D" w:rsidRPr="0013526B" w:rsidRDefault="00952B41" w:rsidP="0013526B">
            <w:pPr>
              <w:spacing w:before="42"/>
              <w:ind w:left="284" w:right="-57"/>
              <w:jc w:val="both"/>
              <w:rPr>
                <w:sz w:val="18"/>
                <w:szCs w:val="18"/>
              </w:rPr>
            </w:pPr>
            <w:r>
              <w:rPr>
                <w:sz w:val="18"/>
                <w:szCs w:val="18"/>
              </w:rPr>
              <w:t>Nilai wajar aset keuangan dan liabilitas keuangan diukur dengan sebagai berikut :</w:t>
            </w:r>
          </w:p>
        </w:tc>
        <w:tc>
          <w:tcPr>
            <w:tcW w:w="4599" w:type="dxa"/>
            <w:tcBorders>
              <w:top w:val="nil"/>
              <w:left w:val="nil"/>
              <w:bottom w:val="nil"/>
              <w:right w:val="nil"/>
            </w:tcBorders>
          </w:tcPr>
          <w:p w14:paraId="72D2712D" w14:textId="70FD4D75" w:rsidR="00FE311D" w:rsidRPr="0013526B" w:rsidRDefault="00A56CD3" w:rsidP="0013526B">
            <w:pPr>
              <w:ind w:left="284" w:right="-57"/>
              <w:jc w:val="both"/>
              <w:rPr>
                <w:i/>
                <w:sz w:val="18"/>
                <w:szCs w:val="18"/>
              </w:rPr>
            </w:pPr>
            <w:r>
              <w:rPr>
                <w:i/>
                <w:sz w:val="18"/>
                <w:szCs w:val="18"/>
              </w:rPr>
              <w:t>The fair value of financial asset and financial liabilities are measured at the following basis :</w:t>
            </w:r>
          </w:p>
        </w:tc>
      </w:tr>
      <w:tr w:rsidR="007A4FF5" w:rsidRPr="0013526B" w14:paraId="03D04A19" w14:textId="77777777" w:rsidTr="009A292C">
        <w:tc>
          <w:tcPr>
            <w:tcW w:w="4598" w:type="dxa"/>
            <w:tcBorders>
              <w:top w:val="nil"/>
              <w:left w:val="nil"/>
              <w:bottom w:val="nil"/>
              <w:right w:val="nil"/>
            </w:tcBorders>
          </w:tcPr>
          <w:p w14:paraId="16FE920C" w14:textId="77777777" w:rsidR="007A4FF5" w:rsidRDefault="007A4FF5" w:rsidP="0013526B">
            <w:pPr>
              <w:spacing w:before="42"/>
              <w:ind w:left="284" w:right="-57"/>
              <w:jc w:val="both"/>
              <w:rPr>
                <w:sz w:val="18"/>
                <w:szCs w:val="18"/>
              </w:rPr>
            </w:pPr>
          </w:p>
        </w:tc>
        <w:tc>
          <w:tcPr>
            <w:tcW w:w="4599" w:type="dxa"/>
            <w:tcBorders>
              <w:top w:val="nil"/>
              <w:left w:val="nil"/>
              <w:bottom w:val="nil"/>
              <w:right w:val="nil"/>
            </w:tcBorders>
          </w:tcPr>
          <w:p w14:paraId="3F3588DD" w14:textId="77777777" w:rsidR="007A4FF5" w:rsidRPr="0013526B" w:rsidRDefault="007A4FF5" w:rsidP="0013526B">
            <w:pPr>
              <w:ind w:left="284" w:right="-57"/>
              <w:jc w:val="both"/>
              <w:rPr>
                <w:i/>
                <w:sz w:val="18"/>
                <w:szCs w:val="18"/>
              </w:rPr>
            </w:pPr>
          </w:p>
        </w:tc>
      </w:tr>
      <w:tr w:rsidR="007A4FF5" w:rsidRPr="0013526B" w14:paraId="524A3741" w14:textId="77777777" w:rsidTr="009A292C">
        <w:tc>
          <w:tcPr>
            <w:tcW w:w="4598" w:type="dxa"/>
            <w:tcBorders>
              <w:top w:val="nil"/>
              <w:left w:val="nil"/>
              <w:bottom w:val="nil"/>
              <w:right w:val="nil"/>
            </w:tcBorders>
          </w:tcPr>
          <w:p w14:paraId="20A528CC" w14:textId="737612B4" w:rsidR="007A4FF5" w:rsidRPr="007A4FF5" w:rsidRDefault="007A4FF5" w:rsidP="0013526B">
            <w:pPr>
              <w:spacing w:before="42"/>
              <w:ind w:left="284" w:right="-57"/>
              <w:jc w:val="both"/>
              <w:rPr>
                <w:sz w:val="18"/>
                <w:szCs w:val="18"/>
                <w:u w:val="single"/>
              </w:rPr>
            </w:pPr>
            <w:r>
              <w:rPr>
                <w:sz w:val="18"/>
                <w:szCs w:val="18"/>
                <w:u w:val="single"/>
              </w:rPr>
              <w:t>Aset keuangan</w:t>
            </w:r>
          </w:p>
        </w:tc>
        <w:tc>
          <w:tcPr>
            <w:tcW w:w="4599" w:type="dxa"/>
            <w:tcBorders>
              <w:top w:val="nil"/>
              <w:left w:val="nil"/>
              <w:bottom w:val="nil"/>
              <w:right w:val="nil"/>
            </w:tcBorders>
          </w:tcPr>
          <w:p w14:paraId="7B1AE82E" w14:textId="59A8CCE7" w:rsidR="007A4FF5" w:rsidRPr="00A56CD3" w:rsidRDefault="00A56CD3" w:rsidP="0013526B">
            <w:pPr>
              <w:ind w:left="284" w:right="-57"/>
              <w:jc w:val="both"/>
              <w:rPr>
                <w:i/>
                <w:sz w:val="18"/>
                <w:szCs w:val="18"/>
                <w:u w:val="single"/>
              </w:rPr>
            </w:pPr>
            <w:r>
              <w:rPr>
                <w:i/>
                <w:sz w:val="18"/>
                <w:szCs w:val="18"/>
                <w:u w:val="single"/>
              </w:rPr>
              <w:t>Financial asset</w:t>
            </w:r>
          </w:p>
        </w:tc>
      </w:tr>
      <w:tr w:rsidR="007A4FF5" w:rsidRPr="0013526B" w14:paraId="652B3474" w14:textId="77777777" w:rsidTr="009A292C">
        <w:tc>
          <w:tcPr>
            <w:tcW w:w="4598" w:type="dxa"/>
            <w:tcBorders>
              <w:top w:val="nil"/>
              <w:left w:val="nil"/>
              <w:bottom w:val="nil"/>
              <w:right w:val="nil"/>
            </w:tcBorders>
          </w:tcPr>
          <w:p w14:paraId="2F6AA8A7" w14:textId="77777777" w:rsidR="007A4FF5" w:rsidRDefault="007A4FF5" w:rsidP="0013526B">
            <w:pPr>
              <w:spacing w:before="42"/>
              <w:ind w:left="284" w:right="-57"/>
              <w:jc w:val="both"/>
              <w:rPr>
                <w:sz w:val="18"/>
                <w:szCs w:val="18"/>
              </w:rPr>
            </w:pPr>
          </w:p>
        </w:tc>
        <w:tc>
          <w:tcPr>
            <w:tcW w:w="4599" w:type="dxa"/>
            <w:tcBorders>
              <w:top w:val="nil"/>
              <w:left w:val="nil"/>
              <w:bottom w:val="nil"/>
              <w:right w:val="nil"/>
            </w:tcBorders>
          </w:tcPr>
          <w:p w14:paraId="29D4D63A" w14:textId="77777777" w:rsidR="007A4FF5" w:rsidRPr="0013526B" w:rsidRDefault="007A4FF5" w:rsidP="0013526B">
            <w:pPr>
              <w:ind w:left="284" w:right="-57"/>
              <w:jc w:val="both"/>
              <w:rPr>
                <w:i/>
                <w:sz w:val="18"/>
                <w:szCs w:val="18"/>
              </w:rPr>
            </w:pPr>
          </w:p>
        </w:tc>
      </w:tr>
      <w:tr w:rsidR="007A4FF5" w:rsidRPr="0013526B" w14:paraId="78AF54AC" w14:textId="77777777" w:rsidTr="009A292C">
        <w:tc>
          <w:tcPr>
            <w:tcW w:w="4598" w:type="dxa"/>
            <w:tcBorders>
              <w:top w:val="nil"/>
              <w:left w:val="nil"/>
              <w:bottom w:val="nil"/>
              <w:right w:val="nil"/>
            </w:tcBorders>
          </w:tcPr>
          <w:p w14:paraId="70B2BC3F" w14:textId="3913225E" w:rsidR="007A4FF5" w:rsidRDefault="007A4FF5" w:rsidP="00946853">
            <w:pPr>
              <w:spacing w:before="42"/>
              <w:ind w:left="284" w:right="-57"/>
              <w:jc w:val="both"/>
              <w:rPr>
                <w:sz w:val="18"/>
                <w:szCs w:val="18"/>
              </w:rPr>
            </w:pPr>
            <w:r>
              <w:rPr>
                <w:sz w:val="18"/>
                <w:szCs w:val="18"/>
              </w:rPr>
              <w:t>Nilai wajar atas aset keuangan jangka pendek (umumnya kurang dari satu tahun) seperti kas dan setara kas</w:t>
            </w:r>
            <w:r w:rsidR="00305CA0">
              <w:rPr>
                <w:sz w:val="18"/>
                <w:szCs w:val="18"/>
              </w:rPr>
              <w:t>.</w:t>
            </w:r>
            <w:r>
              <w:rPr>
                <w:sz w:val="18"/>
                <w:szCs w:val="18"/>
              </w:rPr>
              <w:t xml:space="preserve"> </w:t>
            </w:r>
            <w:proofErr w:type="gramStart"/>
            <w:r>
              <w:rPr>
                <w:sz w:val="18"/>
                <w:szCs w:val="18"/>
              </w:rPr>
              <w:t>piutang</w:t>
            </w:r>
            <w:proofErr w:type="gramEnd"/>
            <w:r>
              <w:rPr>
                <w:sz w:val="18"/>
                <w:szCs w:val="18"/>
              </w:rPr>
              <w:t xml:space="preserve"> usaha</w:t>
            </w:r>
            <w:r w:rsidR="00305CA0">
              <w:rPr>
                <w:sz w:val="18"/>
                <w:szCs w:val="18"/>
              </w:rPr>
              <w:t>.</w:t>
            </w:r>
            <w:r w:rsidR="00D90814">
              <w:rPr>
                <w:sz w:val="18"/>
                <w:szCs w:val="18"/>
              </w:rPr>
              <w:t xml:space="preserve"> dan </w:t>
            </w:r>
            <w:r>
              <w:rPr>
                <w:sz w:val="18"/>
                <w:szCs w:val="18"/>
              </w:rPr>
              <w:t>piutang lain-lain</w:t>
            </w:r>
            <w:r w:rsidR="00A56CD3">
              <w:rPr>
                <w:sz w:val="18"/>
                <w:szCs w:val="18"/>
              </w:rPr>
              <w:t xml:space="preserve"> serta aset lain-lain adalah sebesar nilai tercatat karena telah mendekati estimasi nilai wajarnya</w:t>
            </w:r>
          </w:p>
        </w:tc>
        <w:tc>
          <w:tcPr>
            <w:tcW w:w="4599" w:type="dxa"/>
            <w:tcBorders>
              <w:top w:val="nil"/>
              <w:left w:val="nil"/>
              <w:bottom w:val="nil"/>
              <w:right w:val="nil"/>
            </w:tcBorders>
          </w:tcPr>
          <w:p w14:paraId="13ECA62A" w14:textId="22E886E4" w:rsidR="007A4FF5" w:rsidRPr="0013526B" w:rsidRDefault="00A56CD3" w:rsidP="00946853">
            <w:pPr>
              <w:ind w:left="284" w:right="-57"/>
              <w:jc w:val="both"/>
              <w:rPr>
                <w:i/>
                <w:sz w:val="18"/>
                <w:szCs w:val="18"/>
              </w:rPr>
            </w:pPr>
            <w:r>
              <w:rPr>
                <w:i/>
                <w:sz w:val="18"/>
                <w:szCs w:val="18"/>
              </w:rPr>
              <w:t>The fair value of short-term financial asset (generally less than one year) such as</w:t>
            </w:r>
            <w:r w:rsidR="00305CA0">
              <w:rPr>
                <w:i/>
                <w:sz w:val="18"/>
                <w:szCs w:val="18"/>
              </w:rPr>
              <w:t>.</w:t>
            </w:r>
            <w:r>
              <w:rPr>
                <w:i/>
                <w:sz w:val="18"/>
                <w:szCs w:val="18"/>
              </w:rPr>
              <w:t xml:space="preserve"> </w:t>
            </w:r>
            <w:proofErr w:type="gramStart"/>
            <w:r>
              <w:rPr>
                <w:i/>
                <w:sz w:val="18"/>
                <w:szCs w:val="18"/>
              </w:rPr>
              <w:t>cash</w:t>
            </w:r>
            <w:proofErr w:type="gramEnd"/>
            <w:r>
              <w:rPr>
                <w:i/>
                <w:sz w:val="18"/>
                <w:szCs w:val="18"/>
              </w:rPr>
              <w:t xml:space="preserve"> and cash equivalents</w:t>
            </w:r>
            <w:r w:rsidR="00305CA0">
              <w:rPr>
                <w:i/>
                <w:sz w:val="18"/>
                <w:szCs w:val="18"/>
              </w:rPr>
              <w:t>.</w:t>
            </w:r>
            <w:r>
              <w:rPr>
                <w:i/>
                <w:sz w:val="18"/>
                <w:szCs w:val="18"/>
              </w:rPr>
              <w:t xml:space="preserve"> </w:t>
            </w:r>
            <w:proofErr w:type="gramStart"/>
            <w:r>
              <w:rPr>
                <w:i/>
                <w:sz w:val="18"/>
                <w:szCs w:val="18"/>
              </w:rPr>
              <w:t>trade</w:t>
            </w:r>
            <w:proofErr w:type="gramEnd"/>
            <w:r>
              <w:rPr>
                <w:i/>
                <w:sz w:val="18"/>
                <w:szCs w:val="18"/>
              </w:rPr>
              <w:t xml:space="preserve"> receivables and other receivables and also other assets</w:t>
            </w:r>
            <w:r w:rsidR="00870FD0">
              <w:rPr>
                <w:i/>
                <w:sz w:val="18"/>
                <w:szCs w:val="18"/>
              </w:rPr>
              <w:t>.</w:t>
            </w:r>
            <w:r>
              <w:rPr>
                <w:i/>
                <w:sz w:val="18"/>
                <w:szCs w:val="18"/>
              </w:rPr>
              <w:t xml:space="preserve"> </w:t>
            </w:r>
            <w:proofErr w:type="gramStart"/>
            <w:r>
              <w:rPr>
                <w:i/>
                <w:sz w:val="18"/>
                <w:szCs w:val="18"/>
              </w:rPr>
              <w:t>is</w:t>
            </w:r>
            <w:proofErr w:type="gramEnd"/>
            <w:r>
              <w:rPr>
                <w:i/>
                <w:sz w:val="18"/>
                <w:szCs w:val="18"/>
              </w:rPr>
              <w:t xml:space="preserve"> represented at it carrying amount as it approximates it’s estimated fair value.  </w:t>
            </w:r>
          </w:p>
        </w:tc>
      </w:tr>
      <w:tr w:rsidR="00A56CD3" w:rsidRPr="0013526B" w14:paraId="71FFAE9F" w14:textId="77777777" w:rsidTr="009A292C">
        <w:tc>
          <w:tcPr>
            <w:tcW w:w="4598" w:type="dxa"/>
            <w:tcBorders>
              <w:top w:val="nil"/>
              <w:left w:val="nil"/>
              <w:bottom w:val="nil"/>
              <w:right w:val="nil"/>
            </w:tcBorders>
          </w:tcPr>
          <w:p w14:paraId="0EE4033C" w14:textId="77777777" w:rsidR="00A56CD3" w:rsidRDefault="00A56CD3" w:rsidP="0013526B">
            <w:pPr>
              <w:spacing w:before="42"/>
              <w:ind w:left="284" w:right="-57"/>
              <w:jc w:val="both"/>
              <w:rPr>
                <w:sz w:val="18"/>
                <w:szCs w:val="18"/>
              </w:rPr>
            </w:pPr>
          </w:p>
        </w:tc>
        <w:tc>
          <w:tcPr>
            <w:tcW w:w="4599" w:type="dxa"/>
            <w:tcBorders>
              <w:top w:val="nil"/>
              <w:left w:val="nil"/>
              <w:bottom w:val="nil"/>
              <w:right w:val="nil"/>
            </w:tcBorders>
          </w:tcPr>
          <w:p w14:paraId="5C5CDFB9" w14:textId="77777777" w:rsidR="00A56CD3" w:rsidRPr="0013526B" w:rsidRDefault="00A56CD3" w:rsidP="0013526B">
            <w:pPr>
              <w:ind w:left="284" w:right="-57"/>
              <w:jc w:val="both"/>
              <w:rPr>
                <w:i/>
                <w:sz w:val="18"/>
                <w:szCs w:val="18"/>
              </w:rPr>
            </w:pPr>
          </w:p>
        </w:tc>
      </w:tr>
      <w:tr w:rsidR="00A56CD3" w:rsidRPr="0013526B" w14:paraId="5A1C7AFF" w14:textId="77777777" w:rsidTr="009A292C">
        <w:tc>
          <w:tcPr>
            <w:tcW w:w="4598" w:type="dxa"/>
            <w:tcBorders>
              <w:top w:val="nil"/>
              <w:left w:val="nil"/>
              <w:bottom w:val="nil"/>
              <w:right w:val="nil"/>
            </w:tcBorders>
          </w:tcPr>
          <w:p w14:paraId="0E2915C5" w14:textId="34AFF0A9" w:rsidR="00A56CD3" w:rsidRPr="00946853" w:rsidRDefault="00A56CD3" w:rsidP="0013526B">
            <w:pPr>
              <w:spacing w:before="42"/>
              <w:ind w:left="284" w:right="-57"/>
              <w:jc w:val="both"/>
              <w:rPr>
                <w:sz w:val="18"/>
                <w:szCs w:val="18"/>
                <w:u w:val="single"/>
              </w:rPr>
            </w:pPr>
            <w:r w:rsidRPr="00946853">
              <w:rPr>
                <w:sz w:val="18"/>
                <w:szCs w:val="18"/>
                <w:u w:val="single"/>
              </w:rPr>
              <w:t>Liabilitas keuangan</w:t>
            </w:r>
          </w:p>
        </w:tc>
        <w:tc>
          <w:tcPr>
            <w:tcW w:w="4599" w:type="dxa"/>
            <w:tcBorders>
              <w:top w:val="nil"/>
              <w:left w:val="nil"/>
              <w:bottom w:val="nil"/>
              <w:right w:val="nil"/>
            </w:tcBorders>
          </w:tcPr>
          <w:p w14:paraId="5934D000" w14:textId="35D297BB" w:rsidR="00A56CD3" w:rsidRPr="00A56CD3" w:rsidRDefault="00A56CD3" w:rsidP="0013526B">
            <w:pPr>
              <w:ind w:left="284" w:right="-57"/>
              <w:jc w:val="both"/>
              <w:rPr>
                <w:i/>
                <w:sz w:val="18"/>
                <w:szCs w:val="18"/>
                <w:u w:val="single"/>
              </w:rPr>
            </w:pPr>
            <w:r>
              <w:rPr>
                <w:i/>
                <w:sz w:val="18"/>
                <w:szCs w:val="18"/>
                <w:u w:val="single"/>
              </w:rPr>
              <w:t>Financial liabilities</w:t>
            </w:r>
          </w:p>
        </w:tc>
      </w:tr>
      <w:tr w:rsidR="00A56CD3" w:rsidRPr="0013526B" w14:paraId="7B1F2C1B" w14:textId="77777777" w:rsidTr="009A292C">
        <w:tc>
          <w:tcPr>
            <w:tcW w:w="4598" w:type="dxa"/>
            <w:tcBorders>
              <w:top w:val="nil"/>
              <w:left w:val="nil"/>
              <w:bottom w:val="nil"/>
              <w:right w:val="nil"/>
            </w:tcBorders>
          </w:tcPr>
          <w:p w14:paraId="6636A6FD" w14:textId="77777777" w:rsidR="00A56CD3" w:rsidRDefault="00A56CD3" w:rsidP="0013526B">
            <w:pPr>
              <w:spacing w:before="42"/>
              <w:ind w:left="284" w:right="-57"/>
              <w:jc w:val="both"/>
              <w:rPr>
                <w:sz w:val="18"/>
                <w:szCs w:val="18"/>
              </w:rPr>
            </w:pPr>
          </w:p>
        </w:tc>
        <w:tc>
          <w:tcPr>
            <w:tcW w:w="4599" w:type="dxa"/>
            <w:tcBorders>
              <w:top w:val="nil"/>
              <w:left w:val="nil"/>
              <w:bottom w:val="nil"/>
              <w:right w:val="nil"/>
            </w:tcBorders>
          </w:tcPr>
          <w:p w14:paraId="59B11FD6" w14:textId="77777777" w:rsidR="00A56CD3" w:rsidRPr="0013526B" w:rsidRDefault="00A56CD3" w:rsidP="0013526B">
            <w:pPr>
              <w:ind w:left="284" w:right="-57"/>
              <w:jc w:val="both"/>
              <w:rPr>
                <w:i/>
                <w:sz w:val="18"/>
                <w:szCs w:val="18"/>
              </w:rPr>
            </w:pPr>
          </w:p>
        </w:tc>
      </w:tr>
      <w:tr w:rsidR="00A56CD3" w:rsidRPr="0013526B" w14:paraId="4E83DC79" w14:textId="77777777" w:rsidTr="009A292C">
        <w:tc>
          <w:tcPr>
            <w:tcW w:w="4598" w:type="dxa"/>
            <w:tcBorders>
              <w:top w:val="nil"/>
              <w:left w:val="nil"/>
              <w:bottom w:val="nil"/>
              <w:right w:val="nil"/>
            </w:tcBorders>
          </w:tcPr>
          <w:p w14:paraId="0B9BBA75" w14:textId="3BE36AFA" w:rsidR="00A56CD3" w:rsidRDefault="00A56CD3" w:rsidP="00946853">
            <w:pPr>
              <w:spacing w:before="42"/>
              <w:ind w:left="284" w:right="-57"/>
              <w:jc w:val="both"/>
              <w:rPr>
                <w:sz w:val="18"/>
                <w:szCs w:val="18"/>
              </w:rPr>
            </w:pPr>
            <w:r>
              <w:rPr>
                <w:sz w:val="18"/>
                <w:szCs w:val="18"/>
              </w:rPr>
              <w:t>Nilai wajar liabilitas keuangan jangka pendek seperti utang bank</w:t>
            </w:r>
            <w:r w:rsidR="00305CA0">
              <w:rPr>
                <w:sz w:val="18"/>
                <w:szCs w:val="18"/>
              </w:rPr>
              <w:t>.</w:t>
            </w:r>
            <w:r>
              <w:rPr>
                <w:sz w:val="18"/>
                <w:szCs w:val="18"/>
              </w:rPr>
              <w:t xml:space="preserve"> </w:t>
            </w:r>
            <w:proofErr w:type="gramStart"/>
            <w:r>
              <w:rPr>
                <w:sz w:val="18"/>
                <w:szCs w:val="18"/>
              </w:rPr>
              <w:t>utang</w:t>
            </w:r>
            <w:proofErr w:type="gramEnd"/>
            <w:r>
              <w:rPr>
                <w:sz w:val="18"/>
                <w:szCs w:val="18"/>
              </w:rPr>
              <w:t xml:space="preserve"> usaha</w:t>
            </w:r>
            <w:r w:rsidR="00305CA0">
              <w:rPr>
                <w:sz w:val="18"/>
                <w:szCs w:val="18"/>
              </w:rPr>
              <w:t>.</w:t>
            </w:r>
            <w:r>
              <w:rPr>
                <w:sz w:val="18"/>
                <w:szCs w:val="18"/>
              </w:rPr>
              <w:t xml:space="preserve"> </w:t>
            </w:r>
            <w:proofErr w:type="gramStart"/>
            <w:r>
              <w:rPr>
                <w:sz w:val="18"/>
                <w:szCs w:val="18"/>
              </w:rPr>
              <w:t>utang</w:t>
            </w:r>
            <w:proofErr w:type="gramEnd"/>
            <w:r>
              <w:rPr>
                <w:sz w:val="18"/>
                <w:szCs w:val="18"/>
              </w:rPr>
              <w:t xml:space="preserve"> kontraktor</w:t>
            </w:r>
            <w:r w:rsidR="00305CA0">
              <w:rPr>
                <w:sz w:val="18"/>
                <w:szCs w:val="18"/>
              </w:rPr>
              <w:t>.</w:t>
            </w:r>
            <w:r>
              <w:rPr>
                <w:sz w:val="18"/>
                <w:szCs w:val="18"/>
              </w:rPr>
              <w:t xml:space="preserve"> </w:t>
            </w:r>
            <w:proofErr w:type="gramStart"/>
            <w:r>
              <w:rPr>
                <w:sz w:val="18"/>
                <w:szCs w:val="18"/>
              </w:rPr>
              <w:t>utang</w:t>
            </w:r>
            <w:proofErr w:type="gramEnd"/>
            <w:r>
              <w:rPr>
                <w:sz w:val="18"/>
                <w:szCs w:val="18"/>
              </w:rPr>
              <w:t xml:space="preserve"> lain-lain dan biaya yang masih harus dibayar adalah sebesar nilai tercatat karena telah mendekati estimasi nilai wajarnya. </w:t>
            </w:r>
          </w:p>
        </w:tc>
        <w:tc>
          <w:tcPr>
            <w:tcW w:w="4599" w:type="dxa"/>
            <w:tcBorders>
              <w:top w:val="nil"/>
              <w:left w:val="nil"/>
              <w:bottom w:val="nil"/>
              <w:right w:val="nil"/>
            </w:tcBorders>
          </w:tcPr>
          <w:p w14:paraId="704CD492" w14:textId="57897C75" w:rsidR="00A56CD3" w:rsidRPr="0013526B" w:rsidRDefault="00A56CD3" w:rsidP="00946853">
            <w:pPr>
              <w:ind w:left="284" w:right="-57"/>
              <w:jc w:val="both"/>
              <w:rPr>
                <w:i/>
                <w:sz w:val="18"/>
                <w:szCs w:val="18"/>
              </w:rPr>
            </w:pPr>
            <w:r>
              <w:rPr>
                <w:i/>
                <w:sz w:val="18"/>
                <w:szCs w:val="18"/>
              </w:rPr>
              <w:t>The fair value of financial liabilities that are short-term such as</w:t>
            </w:r>
            <w:r w:rsidR="00870FD0">
              <w:rPr>
                <w:i/>
                <w:sz w:val="18"/>
                <w:szCs w:val="18"/>
              </w:rPr>
              <w:t>.</w:t>
            </w:r>
            <w:r>
              <w:rPr>
                <w:i/>
                <w:sz w:val="18"/>
                <w:szCs w:val="18"/>
              </w:rPr>
              <w:t xml:space="preserve"> </w:t>
            </w:r>
            <w:proofErr w:type="gramStart"/>
            <w:r>
              <w:rPr>
                <w:i/>
                <w:sz w:val="18"/>
                <w:szCs w:val="18"/>
              </w:rPr>
              <w:t>bank</w:t>
            </w:r>
            <w:proofErr w:type="gramEnd"/>
            <w:r>
              <w:rPr>
                <w:i/>
                <w:sz w:val="18"/>
                <w:szCs w:val="18"/>
              </w:rPr>
              <w:t xml:space="preserve"> loans</w:t>
            </w:r>
            <w:r w:rsidR="00305CA0">
              <w:rPr>
                <w:i/>
                <w:sz w:val="18"/>
                <w:szCs w:val="18"/>
              </w:rPr>
              <w:t>.</w:t>
            </w:r>
            <w:r>
              <w:rPr>
                <w:i/>
                <w:sz w:val="18"/>
                <w:szCs w:val="18"/>
              </w:rPr>
              <w:t xml:space="preserve"> </w:t>
            </w:r>
            <w:proofErr w:type="gramStart"/>
            <w:r>
              <w:rPr>
                <w:i/>
                <w:sz w:val="18"/>
                <w:szCs w:val="18"/>
              </w:rPr>
              <w:t>trade</w:t>
            </w:r>
            <w:proofErr w:type="gramEnd"/>
            <w:r>
              <w:rPr>
                <w:i/>
                <w:sz w:val="18"/>
                <w:szCs w:val="18"/>
              </w:rPr>
              <w:t xml:space="preserve"> payables</w:t>
            </w:r>
            <w:r w:rsidR="00305CA0">
              <w:rPr>
                <w:i/>
                <w:sz w:val="18"/>
                <w:szCs w:val="18"/>
              </w:rPr>
              <w:t>.</w:t>
            </w:r>
            <w:r>
              <w:rPr>
                <w:i/>
                <w:sz w:val="18"/>
                <w:szCs w:val="18"/>
              </w:rPr>
              <w:t xml:space="preserve"> </w:t>
            </w:r>
            <w:proofErr w:type="gramStart"/>
            <w:r>
              <w:rPr>
                <w:i/>
                <w:sz w:val="18"/>
                <w:szCs w:val="18"/>
              </w:rPr>
              <w:t>contracter</w:t>
            </w:r>
            <w:proofErr w:type="gramEnd"/>
            <w:r>
              <w:rPr>
                <w:i/>
                <w:sz w:val="18"/>
                <w:szCs w:val="18"/>
              </w:rPr>
              <w:t xml:space="preserve"> payables</w:t>
            </w:r>
            <w:r w:rsidR="00305CA0">
              <w:rPr>
                <w:i/>
                <w:sz w:val="18"/>
                <w:szCs w:val="18"/>
              </w:rPr>
              <w:t>.</w:t>
            </w:r>
            <w:r>
              <w:rPr>
                <w:i/>
                <w:sz w:val="18"/>
                <w:szCs w:val="18"/>
              </w:rPr>
              <w:t xml:space="preserve"> </w:t>
            </w:r>
            <w:proofErr w:type="gramStart"/>
            <w:r>
              <w:rPr>
                <w:i/>
                <w:sz w:val="18"/>
                <w:szCs w:val="18"/>
              </w:rPr>
              <w:t>other</w:t>
            </w:r>
            <w:proofErr w:type="gramEnd"/>
            <w:r>
              <w:rPr>
                <w:i/>
                <w:sz w:val="18"/>
                <w:szCs w:val="18"/>
              </w:rPr>
              <w:t xml:space="preserve"> payables and accrued expenses</w:t>
            </w:r>
            <w:r w:rsidR="00305CA0">
              <w:rPr>
                <w:i/>
                <w:sz w:val="18"/>
                <w:szCs w:val="18"/>
              </w:rPr>
              <w:t>.</w:t>
            </w:r>
            <w:r>
              <w:rPr>
                <w:i/>
                <w:sz w:val="18"/>
                <w:szCs w:val="18"/>
              </w:rPr>
              <w:t xml:space="preserve"> </w:t>
            </w:r>
            <w:proofErr w:type="gramStart"/>
            <w:r>
              <w:rPr>
                <w:i/>
                <w:sz w:val="18"/>
                <w:szCs w:val="18"/>
              </w:rPr>
              <w:t>is</w:t>
            </w:r>
            <w:proofErr w:type="gramEnd"/>
            <w:r>
              <w:rPr>
                <w:i/>
                <w:sz w:val="18"/>
                <w:szCs w:val="18"/>
              </w:rPr>
              <w:t xml:space="preserve"> represented at it’s carrying amount as it approximated it’s estimated fair value.</w:t>
            </w:r>
          </w:p>
        </w:tc>
      </w:tr>
      <w:tr w:rsidR="00A56CD3" w:rsidRPr="0013526B" w14:paraId="52BC95BB" w14:textId="77777777" w:rsidTr="009A292C">
        <w:tc>
          <w:tcPr>
            <w:tcW w:w="4598" w:type="dxa"/>
            <w:tcBorders>
              <w:top w:val="nil"/>
              <w:left w:val="nil"/>
              <w:bottom w:val="nil"/>
              <w:right w:val="nil"/>
            </w:tcBorders>
          </w:tcPr>
          <w:p w14:paraId="6D0620C7" w14:textId="77777777" w:rsidR="00A56CD3" w:rsidRDefault="00A56CD3" w:rsidP="0013526B">
            <w:pPr>
              <w:spacing w:before="42"/>
              <w:ind w:left="284" w:right="-57"/>
              <w:jc w:val="both"/>
              <w:rPr>
                <w:sz w:val="18"/>
                <w:szCs w:val="18"/>
              </w:rPr>
            </w:pPr>
          </w:p>
        </w:tc>
        <w:tc>
          <w:tcPr>
            <w:tcW w:w="4599" w:type="dxa"/>
            <w:tcBorders>
              <w:top w:val="nil"/>
              <w:left w:val="nil"/>
              <w:bottom w:val="nil"/>
              <w:right w:val="nil"/>
            </w:tcBorders>
          </w:tcPr>
          <w:p w14:paraId="1F246828" w14:textId="77777777" w:rsidR="00A56CD3" w:rsidRPr="0013526B" w:rsidRDefault="00A56CD3" w:rsidP="0013526B">
            <w:pPr>
              <w:ind w:left="284" w:right="-57"/>
              <w:jc w:val="both"/>
              <w:rPr>
                <w:i/>
                <w:sz w:val="18"/>
                <w:szCs w:val="18"/>
              </w:rPr>
            </w:pPr>
          </w:p>
        </w:tc>
      </w:tr>
      <w:tr w:rsidR="00A56CD3" w:rsidRPr="0013526B" w14:paraId="2C572A0E" w14:textId="77777777" w:rsidTr="009A292C">
        <w:tc>
          <w:tcPr>
            <w:tcW w:w="4598" w:type="dxa"/>
            <w:tcBorders>
              <w:top w:val="nil"/>
              <w:left w:val="nil"/>
              <w:bottom w:val="nil"/>
              <w:right w:val="nil"/>
            </w:tcBorders>
          </w:tcPr>
          <w:p w14:paraId="5B15A49B" w14:textId="227FD899" w:rsidR="00A56CD3" w:rsidRPr="00A56CD3" w:rsidRDefault="00A56CD3" w:rsidP="0013526B">
            <w:pPr>
              <w:spacing w:before="42"/>
              <w:ind w:left="284" w:right="-57"/>
              <w:jc w:val="both"/>
              <w:rPr>
                <w:sz w:val="18"/>
                <w:szCs w:val="18"/>
              </w:rPr>
            </w:pPr>
            <w:r>
              <w:rPr>
                <w:sz w:val="18"/>
                <w:szCs w:val="18"/>
              </w:rPr>
              <w:t>Nilai wajar utang bank jangka panjang dan utang lain-lain jangka panjang diperkirakan mendekati nilai tercatat karena perubahan tingkat suku bunga dinilai secara berkala.</w:t>
            </w:r>
          </w:p>
        </w:tc>
        <w:tc>
          <w:tcPr>
            <w:tcW w:w="4599" w:type="dxa"/>
            <w:tcBorders>
              <w:top w:val="nil"/>
              <w:left w:val="nil"/>
              <w:bottom w:val="nil"/>
              <w:right w:val="nil"/>
            </w:tcBorders>
          </w:tcPr>
          <w:p w14:paraId="6858A8F8" w14:textId="754F9966" w:rsidR="00A56CD3" w:rsidRPr="0013526B" w:rsidRDefault="00A56CD3" w:rsidP="0013526B">
            <w:pPr>
              <w:ind w:left="284" w:right="-57"/>
              <w:jc w:val="both"/>
              <w:rPr>
                <w:i/>
                <w:sz w:val="18"/>
                <w:szCs w:val="18"/>
              </w:rPr>
            </w:pPr>
            <w:r>
              <w:rPr>
                <w:i/>
                <w:sz w:val="18"/>
                <w:szCs w:val="18"/>
              </w:rPr>
              <w:t xml:space="preserve">The fair value of long-term bank loans and long term other payables </w:t>
            </w:r>
            <w:r w:rsidR="004A3865">
              <w:rPr>
                <w:i/>
                <w:sz w:val="18"/>
                <w:szCs w:val="18"/>
              </w:rPr>
              <w:t xml:space="preserve">is estimated to approximated </w:t>
            </w:r>
            <w:proofErr w:type="gramStart"/>
            <w:r w:rsidR="004A3865">
              <w:rPr>
                <w:i/>
                <w:sz w:val="18"/>
                <w:szCs w:val="18"/>
              </w:rPr>
              <w:t>it’s</w:t>
            </w:r>
            <w:proofErr w:type="gramEnd"/>
            <w:r w:rsidR="004A3865">
              <w:rPr>
                <w:i/>
                <w:sz w:val="18"/>
                <w:szCs w:val="18"/>
              </w:rPr>
              <w:t xml:space="preserve"> carrying amount due to change on interest rate repriced frequently.</w:t>
            </w:r>
          </w:p>
        </w:tc>
      </w:tr>
      <w:tr w:rsidR="00A56CD3" w:rsidRPr="0013526B" w14:paraId="47DD69CA" w14:textId="77777777" w:rsidTr="009A292C">
        <w:tc>
          <w:tcPr>
            <w:tcW w:w="4598" w:type="dxa"/>
            <w:tcBorders>
              <w:top w:val="nil"/>
              <w:left w:val="nil"/>
              <w:bottom w:val="nil"/>
              <w:right w:val="nil"/>
            </w:tcBorders>
          </w:tcPr>
          <w:p w14:paraId="58704D1C" w14:textId="77777777" w:rsidR="00A56CD3" w:rsidRDefault="00A56CD3" w:rsidP="0013526B">
            <w:pPr>
              <w:spacing w:before="42"/>
              <w:ind w:left="284" w:right="-57"/>
              <w:jc w:val="both"/>
              <w:rPr>
                <w:sz w:val="18"/>
                <w:szCs w:val="18"/>
              </w:rPr>
            </w:pPr>
          </w:p>
        </w:tc>
        <w:tc>
          <w:tcPr>
            <w:tcW w:w="4599" w:type="dxa"/>
            <w:tcBorders>
              <w:top w:val="nil"/>
              <w:left w:val="nil"/>
              <w:bottom w:val="nil"/>
              <w:right w:val="nil"/>
            </w:tcBorders>
          </w:tcPr>
          <w:p w14:paraId="674B1E7C" w14:textId="77777777" w:rsidR="00A56CD3" w:rsidRPr="0013526B" w:rsidRDefault="00A56CD3" w:rsidP="0013526B">
            <w:pPr>
              <w:ind w:left="284" w:right="-57"/>
              <w:jc w:val="both"/>
              <w:rPr>
                <w:i/>
                <w:sz w:val="18"/>
                <w:szCs w:val="18"/>
              </w:rPr>
            </w:pPr>
          </w:p>
        </w:tc>
      </w:tr>
      <w:tr w:rsidR="00FE311D" w:rsidRPr="00235BB5" w14:paraId="2F8E490F" w14:textId="77777777" w:rsidTr="009A292C">
        <w:tblPrEx>
          <w:tblCellMar>
            <w:left w:w="0" w:type="dxa"/>
            <w:right w:w="0" w:type="dxa"/>
          </w:tblCellMar>
          <w:tblLook w:val="01E0" w:firstRow="1" w:lastRow="1" w:firstColumn="1" w:lastColumn="1" w:noHBand="0" w:noVBand="0"/>
        </w:tblPrEx>
        <w:trPr>
          <w:trHeight w:val="20"/>
        </w:trPr>
        <w:tc>
          <w:tcPr>
            <w:tcW w:w="4598" w:type="dxa"/>
          </w:tcPr>
          <w:p w14:paraId="3127290C" w14:textId="77777777" w:rsidR="00FE311D" w:rsidRPr="00235BB5" w:rsidRDefault="00FE311D" w:rsidP="0013526B">
            <w:pPr>
              <w:ind w:left="567" w:hanging="142"/>
              <w:rPr>
                <w:b/>
                <w:bCs w:val="0"/>
                <w:sz w:val="8"/>
                <w:szCs w:val="12"/>
              </w:rPr>
            </w:pPr>
          </w:p>
        </w:tc>
        <w:tc>
          <w:tcPr>
            <w:tcW w:w="4599" w:type="dxa"/>
            <w:vAlign w:val="bottom"/>
          </w:tcPr>
          <w:p w14:paraId="465E6D27" w14:textId="77777777" w:rsidR="00FE311D" w:rsidRPr="00235BB5" w:rsidRDefault="00FE311D" w:rsidP="0013526B">
            <w:pPr>
              <w:ind w:right="57"/>
              <w:jc w:val="right"/>
              <w:rPr>
                <w:b/>
                <w:i/>
                <w:sz w:val="8"/>
                <w:szCs w:val="12"/>
              </w:rPr>
            </w:pPr>
          </w:p>
        </w:tc>
      </w:tr>
    </w:tbl>
    <w:p w14:paraId="179F028F" w14:textId="6BD73879" w:rsidR="00235BB5" w:rsidRDefault="00235BB5" w:rsidP="0013526B">
      <w:pPr>
        <w:rPr>
          <w:sz w:val="4"/>
          <w:szCs w:val="4"/>
        </w:rPr>
      </w:pPr>
    </w:p>
    <w:p w14:paraId="7FE78527" w14:textId="77777777" w:rsidR="001E0DF8" w:rsidRDefault="001E0DF8"/>
    <w:p w14:paraId="6FEC2C5D" w14:textId="77777777" w:rsidR="001E0DF8" w:rsidRDefault="001E0DF8"/>
    <w:p w14:paraId="526EEE16" w14:textId="04B0970A" w:rsidR="001E0DF8" w:rsidRDefault="001E0DF8">
      <w:r>
        <w:br w:type="page"/>
      </w:r>
    </w:p>
    <w:tbl>
      <w:tblPr>
        <w:tblW w:w="9197" w:type="dxa"/>
        <w:tblInd w:w="98" w:type="dxa"/>
        <w:tblLayout w:type="fixed"/>
        <w:tblLook w:val="0000" w:firstRow="0" w:lastRow="0" w:firstColumn="0" w:lastColumn="0" w:noHBand="0" w:noVBand="0"/>
      </w:tblPr>
      <w:tblGrid>
        <w:gridCol w:w="4598"/>
        <w:gridCol w:w="4599"/>
      </w:tblGrid>
      <w:tr w:rsidR="00043519" w:rsidRPr="0013526B" w14:paraId="4FD18DB5" w14:textId="77777777" w:rsidTr="00C02FB7">
        <w:tc>
          <w:tcPr>
            <w:tcW w:w="4598" w:type="dxa"/>
            <w:tcBorders>
              <w:top w:val="nil"/>
              <w:left w:val="nil"/>
              <w:bottom w:val="nil"/>
              <w:right w:val="nil"/>
            </w:tcBorders>
          </w:tcPr>
          <w:p w14:paraId="33D09D1D" w14:textId="77777777" w:rsidR="00043519" w:rsidRPr="0013526B" w:rsidRDefault="00043519" w:rsidP="00070D1F">
            <w:pPr>
              <w:numPr>
                <w:ilvl w:val="0"/>
                <w:numId w:val="416"/>
              </w:numPr>
              <w:ind w:right="-57"/>
              <w:jc w:val="both"/>
              <w:rPr>
                <w:b/>
                <w:sz w:val="18"/>
                <w:szCs w:val="18"/>
              </w:rPr>
            </w:pPr>
            <w:r w:rsidRPr="0013526B">
              <w:rPr>
                <w:b/>
                <w:bCs w:val="0"/>
                <w:sz w:val="18"/>
                <w:szCs w:val="18"/>
              </w:rPr>
              <w:lastRenderedPageBreak/>
              <w:t>PENYELESAIAN LAPORAN KEUANGAN KONSOLIDASIAN</w:t>
            </w:r>
          </w:p>
        </w:tc>
        <w:tc>
          <w:tcPr>
            <w:tcW w:w="4599" w:type="dxa"/>
            <w:tcBorders>
              <w:top w:val="nil"/>
              <w:left w:val="nil"/>
              <w:bottom w:val="nil"/>
              <w:right w:val="nil"/>
            </w:tcBorders>
          </w:tcPr>
          <w:p w14:paraId="652822F2" w14:textId="77777777" w:rsidR="00043519" w:rsidRPr="0013526B" w:rsidRDefault="00043519" w:rsidP="00070D1F">
            <w:pPr>
              <w:numPr>
                <w:ilvl w:val="0"/>
                <w:numId w:val="417"/>
              </w:numPr>
              <w:ind w:right="-57"/>
              <w:jc w:val="both"/>
              <w:rPr>
                <w:b/>
                <w:i/>
                <w:sz w:val="18"/>
                <w:szCs w:val="18"/>
              </w:rPr>
            </w:pPr>
            <w:bookmarkStart w:id="2" w:name="_GoBack"/>
            <w:bookmarkEnd w:id="2"/>
            <w:r w:rsidRPr="0013526B">
              <w:rPr>
                <w:b/>
                <w:bCs w:val="0"/>
                <w:i/>
                <w:sz w:val="18"/>
                <w:szCs w:val="18"/>
              </w:rPr>
              <w:t>COMPLETION OF THE CONSOLIDATED FINANCIAL STATEMENTS</w:t>
            </w:r>
          </w:p>
        </w:tc>
      </w:tr>
      <w:tr w:rsidR="00043519" w:rsidRPr="0013526B" w14:paraId="113E25C9" w14:textId="77777777" w:rsidTr="00C02FB7">
        <w:tc>
          <w:tcPr>
            <w:tcW w:w="4598" w:type="dxa"/>
            <w:tcBorders>
              <w:top w:val="nil"/>
              <w:left w:val="nil"/>
              <w:bottom w:val="nil"/>
              <w:right w:val="nil"/>
            </w:tcBorders>
          </w:tcPr>
          <w:p w14:paraId="353632E5" w14:textId="77777777" w:rsidR="00043519" w:rsidRPr="0013526B" w:rsidRDefault="00043519" w:rsidP="0013526B">
            <w:pPr>
              <w:ind w:left="340" w:right="-57"/>
              <w:jc w:val="both"/>
              <w:rPr>
                <w:b/>
                <w:bCs w:val="0"/>
                <w:sz w:val="18"/>
                <w:szCs w:val="18"/>
              </w:rPr>
            </w:pPr>
          </w:p>
        </w:tc>
        <w:tc>
          <w:tcPr>
            <w:tcW w:w="4599" w:type="dxa"/>
            <w:tcBorders>
              <w:top w:val="nil"/>
              <w:left w:val="nil"/>
              <w:bottom w:val="nil"/>
              <w:right w:val="nil"/>
            </w:tcBorders>
          </w:tcPr>
          <w:p w14:paraId="7B4B425F" w14:textId="77777777" w:rsidR="00043519" w:rsidRPr="0013526B" w:rsidRDefault="00043519" w:rsidP="0013526B">
            <w:pPr>
              <w:pStyle w:val="ListParagraph"/>
              <w:ind w:left="431" w:right="-57"/>
              <w:jc w:val="both"/>
              <w:rPr>
                <w:b/>
                <w:bCs w:val="0"/>
                <w:i/>
                <w:sz w:val="18"/>
                <w:szCs w:val="18"/>
              </w:rPr>
            </w:pPr>
          </w:p>
        </w:tc>
      </w:tr>
      <w:tr w:rsidR="00043519" w:rsidRPr="00B93865" w14:paraId="78DFE13D" w14:textId="77777777" w:rsidTr="00C02FB7">
        <w:tc>
          <w:tcPr>
            <w:tcW w:w="4598" w:type="dxa"/>
            <w:tcBorders>
              <w:top w:val="nil"/>
              <w:left w:val="nil"/>
              <w:bottom w:val="nil"/>
              <w:right w:val="nil"/>
            </w:tcBorders>
          </w:tcPr>
          <w:p w14:paraId="183C3975" w14:textId="5B160EC2" w:rsidR="00043519" w:rsidRPr="008109D0" w:rsidRDefault="0054590B" w:rsidP="008723B4">
            <w:pPr>
              <w:ind w:left="351"/>
              <w:jc w:val="both"/>
              <w:rPr>
                <w:b/>
                <w:bCs w:val="0"/>
                <w:sz w:val="18"/>
                <w:szCs w:val="18"/>
              </w:rPr>
            </w:pPr>
            <w:r w:rsidRPr="008109D0">
              <w:rPr>
                <w:bCs w:val="0"/>
                <w:sz w:val="18"/>
                <w:szCs w:val="18"/>
              </w:rPr>
              <w:t>Manajemen Kelompok Usaha</w:t>
            </w:r>
            <w:r w:rsidR="00043519" w:rsidRPr="008109D0">
              <w:rPr>
                <w:bCs w:val="0"/>
                <w:sz w:val="18"/>
                <w:szCs w:val="18"/>
              </w:rPr>
              <w:t xml:space="preserve"> bertanggung jawab atas penyusunan laporan keuangan konsolidasian ini yang telah diotorisasi oleh Direksi</w:t>
            </w:r>
            <w:r w:rsidRPr="008109D0">
              <w:rPr>
                <w:bCs w:val="0"/>
                <w:sz w:val="18"/>
                <w:szCs w:val="18"/>
              </w:rPr>
              <w:t xml:space="preserve"> untuk diterbitkan pada tanggal </w:t>
            </w:r>
            <w:r w:rsidR="005450AA" w:rsidRPr="005450AA">
              <w:rPr>
                <w:bCs w:val="0"/>
                <w:sz w:val="18"/>
                <w:szCs w:val="18"/>
              </w:rPr>
              <w:t>2</w:t>
            </w:r>
            <w:r w:rsidR="008723B4">
              <w:rPr>
                <w:bCs w:val="0"/>
                <w:sz w:val="18"/>
                <w:szCs w:val="18"/>
              </w:rPr>
              <w:t>8</w:t>
            </w:r>
            <w:r w:rsidR="005450AA" w:rsidRPr="005450AA">
              <w:rPr>
                <w:bCs w:val="0"/>
                <w:sz w:val="18"/>
                <w:szCs w:val="18"/>
              </w:rPr>
              <w:t xml:space="preserve"> </w:t>
            </w:r>
            <w:r w:rsidR="005450AA">
              <w:rPr>
                <w:bCs w:val="0"/>
                <w:sz w:val="18"/>
                <w:szCs w:val="18"/>
              </w:rPr>
              <w:t>Mei 2020</w:t>
            </w:r>
          </w:p>
        </w:tc>
        <w:tc>
          <w:tcPr>
            <w:tcW w:w="4599" w:type="dxa"/>
            <w:tcBorders>
              <w:top w:val="nil"/>
              <w:left w:val="nil"/>
              <w:bottom w:val="nil"/>
              <w:right w:val="nil"/>
            </w:tcBorders>
          </w:tcPr>
          <w:p w14:paraId="59750223" w14:textId="72EB591C" w:rsidR="00043519" w:rsidRPr="008109D0" w:rsidRDefault="0054590B" w:rsidP="008723B4">
            <w:pPr>
              <w:pStyle w:val="ListParagraph"/>
              <w:ind w:left="284"/>
              <w:jc w:val="both"/>
              <w:rPr>
                <w:b/>
                <w:bCs w:val="0"/>
                <w:i/>
                <w:sz w:val="18"/>
                <w:szCs w:val="18"/>
              </w:rPr>
            </w:pPr>
            <w:r w:rsidRPr="008109D0">
              <w:rPr>
                <w:bCs w:val="0"/>
                <w:i/>
                <w:sz w:val="18"/>
                <w:szCs w:val="18"/>
              </w:rPr>
              <w:t>The Group</w:t>
            </w:r>
            <w:r w:rsidR="00043519" w:rsidRPr="008109D0">
              <w:rPr>
                <w:bCs w:val="0"/>
                <w:i/>
                <w:sz w:val="18"/>
                <w:szCs w:val="18"/>
              </w:rPr>
              <w:t>'s management is responsible for the preparation of consolidated financial statements that have been authorized for issuance by the Directors on</w:t>
            </w:r>
            <w:r w:rsidR="00043519" w:rsidRPr="008109D0">
              <w:rPr>
                <w:bCs w:val="0"/>
                <w:i/>
                <w:sz w:val="18"/>
                <w:szCs w:val="18"/>
              </w:rPr>
              <w:br/>
            </w:r>
            <w:r w:rsidR="005450AA">
              <w:rPr>
                <w:bCs w:val="0"/>
                <w:i/>
                <w:sz w:val="18"/>
                <w:szCs w:val="18"/>
              </w:rPr>
              <w:t>May 2</w:t>
            </w:r>
            <w:r w:rsidR="008723B4">
              <w:rPr>
                <w:bCs w:val="0"/>
                <w:i/>
                <w:sz w:val="18"/>
                <w:szCs w:val="18"/>
              </w:rPr>
              <w:t>8</w:t>
            </w:r>
            <w:r w:rsidR="005450AA">
              <w:rPr>
                <w:bCs w:val="0"/>
                <w:i/>
                <w:sz w:val="18"/>
                <w:szCs w:val="18"/>
              </w:rPr>
              <w:t>, 2020.</w:t>
            </w:r>
          </w:p>
        </w:tc>
      </w:tr>
    </w:tbl>
    <w:p w14:paraId="348A46E8" w14:textId="77777777" w:rsidR="00C02FB7" w:rsidRDefault="00C02FB7">
      <w:pPr>
        <w:rPr>
          <w:sz w:val="18"/>
          <w:szCs w:val="18"/>
        </w:rPr>
        <w:sectPr w:rsidR="00C02FB7" w:rsidSect="00B11A68">
          <w:headerReference w:type="even" r:id="rId52"/>
          <w:headerReference w:type="default" r:id="rId53"/>
          <w:footerReference w:type="default" r:id="rId54"/>
          <w:headerReference w:type="first" r:id="rId55"/>
          <w:footerReference w:type="first" r:id="rId56"/>
          <w:pgSz w:w="11907" w:h="16840" w:code="9"/>
          <w:pgMar w:top="1701" w:right="992" w:bottom="1134" w:left="1559" w:header="850" w:footer="397" w:gutter="0"/>
          <w:cols w:space="720"/>
          <w:titlePg/>
          <w:docGrid w:linePitch="360"/>
        </w:sectPr>
      </w:pPr>
    </w:p>
    <w:tbl>
      <w:tblPr>
        <w:tblW w:w="9197" w:type="dxa"/>
        <w:tblInd w:w="126" w:type="dxa"/>
        <w:tblLayout w:type="fixed"/>
        <w:tblLook w:val="0000" w:firstRow="0" w:lastRow="0" w:firstColumn="0" w:lastColumn="0" w:noHBand="0" w:noVBand="0"/>
      </w:tblPr>
      <w:tblGrid>
        <w:gridCol w:w="4598"/>
        <w:gridCol w:w="4599"/>
      </w:tblGrid>
      <w:tr w:rsidR="00C02FB7" w:rsidRPr="0013526B" w14:paraId="5E8DFE25" w14:textId="77777777" w:rsidTr="00C02FB7">
        <w:tc>
          <w:tcPr>
            <w:tcW w:w="4598" w:type="dxa"/>
            <w:tcBorders>
              <w:top w:val="nil"/>
              <w:left w:val="nil"/>
              <w:bottom w:val="nil"/>
              <w:right w:val="nil"/>
            </w:tcBorders>
          </w:tcPr>
          <w:p w14:paraId="5DE9020C" w14:textId="79815E0C" w:rsidR="00C02FB7" w:rsidRPr="0013526B" w:rsidRDefault="00C02FB7" w:rsidP="00070D1F">
            <w:pPr>
              <w:numPr>
                <w:ilvl w:val="0"/>
                <w:numId w:val="416"/>
              </w:numPr>
              <w:ind w:right="-57"/>
              <w:jc w:val="both"/>
              <w:rPr>
                <w:b/>
                <w:sz w:val="18"/>
                <w:szCs w:val="18"/>
              </w:rPr>
            </w:pPr>
            <w:r>
              <w:rPr>
                <w:b/>
                <w:bCs w:val="0"/>
                <w:sz w:val="18"/>
                <w:szCs w:val="18"/>
              </w:rPr>
              <w:lastRenderedPageBreak/>
              <w:t>INFORMASI TAMBAHAN</w:t>
            </w:r>
          </w:p>
        </w:tc>
        <w:tc>
          <w:tcPr>
            <w:tcW w:w="4599" w:type="dxa"/>
            <w:tcBorders>
              <w:top w:val="nil"/>
              <w:left w:val="nil"/>
              <w:bottom w:val="nil"/>
              <w:right w:val="nil"/>
            </w:tcBorders>
          </w:tcPr>
          <w:p w14:paraId="4F006E22" w14:textId="4C1E1718" w:rsidR="00C02FB7" w:rsidRPr="0013526B" w:rsidRDefault="00C02FB7" w:rsidP="00070D1F">
            <w:pPr>
              <w:numPr>
                <w:ilvl w:val="0"/>
                <w:numId w:val="417"/>
              </w:numPr>
              <w:ind w:left="318" w:right="-57"/>
              <w:jc w:val="both"/>
              <w:rPr>
                <w:b/>
                <w:i/>
                <w:sz w:val="18"/>
                <w:szCs w:val="18"/>
              </w:rPr>
            </w:pPr>
            <w:r>
              <w:rPr>
                <w:b/>
                <w:bCs w:val="0"/>
                <w:i/>
                <w:sz w:val="18"/>
                <w:szCs w:val="18"/>
              </w:rPr>
              <w:t>SUPPLEMENTARY INFORMATION</w:t>
            </w:r>
          </w:p>
        </w:tc>
      </w:tr>
      <w:tr w:rsidR="00C02FB7" w:rsidRPr="0013526B" w14:paraId="7F13D7F7" w14:textId="77777777" w:rsidTr="00C02FB7">
        <w:tc>
          <w:tcPr>
            <w:tcW w:w="4598" w:type="dxa"/>
            <w:tcBorders>
              <w:top w:val="nil"/>
              <w:left w:val="nil"/>
              <w:bottom w:val="nil"/>
              <w:right w:val="nil"/>
            </w:tcBorders>
          </w:tcPr>
          <w:p w14:paraId="085BAB95" w14:textId="77777777" w:rsidR="00C02FB7" w:rsidRPr="0013526B" w:rsidRDefault="00C02FB7" w:rsidP="00101586">
            <w:pPr>
              <w:ind w:left="340" w:right="-57"/>
              <w:jc w:val="both"/>
              <w:rPr>
                <w:b/>
                <w:bCs w:val="0"/>
                <w:sz w:val="18"/>
                <w:szCs w:val="18"/>
              </w:rPr>
            </w:pPr>
          </w:p>
        </w:tc>
        <w:tc>
          <w:tcPr>
            <w:tcW w:w="4599" w:type="dxa"/>
            <w:tcBorders>
              <w:top w:val="nil"/>
              <w:left w:val="nil"/>
              <w:bottom w:val="nil"/>
              <w:right w:val="nil"/>
            </w:tcBorders>
          </w:tcPr>
          <w:p w14:paraId="3FD23A50" w14:textId="77777777" w:rsidR="00C02FB7" w:rsidRPr="0013526B" w:rsidRDefault="00C02FB7" w:rsidP="00101586">
            <w:pPr>
              <w:pStyle w:val="ListParagraph"/>
              <w:ind w:left="431" w:right="-57"/>
              <w:jc w:val="both"/>
              <w:rPr>
                <w:b/>
                <w:bCs w:val="0"/>
                <w:i/>
                <w:sz w:val="18"/>
                <w:szCs w:val="18"/>
              </w:rPr>
            </w:pPr>
          </w:p>
        </w:tc>
      </w:tr>
      <w:tr w:rsidR="00C02FB7" w:rsidRPr="00C02FB7" w14:paraId="408B7249" w14:textId="77777777" w:rsidTr="00C02FB7">
        <w:tc>
          <w:tcPr>
            <w:tcW w:w="4598" w:type="dxa"/>
            <w:tcBorders>
              <w:top w:val="nil"/>
              <w:left w:val="nil"/>
              <w:bottom w:val="nil"/>
              <w:right w:val="nil"/>
            </w:tcBorders>
          </w:tcPr>
          <w:p w14:paraId="375114D1" w14:textId="3CC46DDD" w:rsidR="00C02FB7" w:rsidRPr="00C02FB7" w:rsidRDefault="00C02FB7" w:rsidP="00946853">
            <w:pPr>
              <w:ind w:left="300"/>
              <w:jc w:val="both"/>
              <w:rPr>
                <w:bCs w:val="0"/>
                <w:sz w:val="18"/>
                <w:szCs w:val="18"/>
              </w:rPr>
            </w:pPr>
            <w:r w:rsidRPr="00C02FB7">
              <w:rPr>
                <w:bCs w:val="0"/>
                <w:sz w:val="18"/>
                <w:szCs w:val="18"/>
              </w:rPr>
              <w:t xml:space="preserve">Informasi tambahan pada halaman </w:t>
            </w:r>
            <w:r>
              <w:rPr>
                <w:bCs w:val="0"/>
                <w:sz w:val="18"/>
                <w:szCs w:val="18"/>
              </w:rPr>
              <w:t>10</w:t>
            </w:r>
            <w:r w:rsidR="00F05213">
              <w:rPr>
                <w:bCs w:val="0"/>
                <w:sz w:val="18"/>
                <w:szCs w:val="18"/>
              </w:rPr>
              <w:t>3</w:t>
            </w:r>
            <w:r w:rsidRPr="00C02FB7">
              <w:rPr>
                <w:bCs w:val="0"/>
                <w:sz w:val="18"/>
                <w:szCs w:val="18"/>
              </w:rPr>
              <w:t xml:space="preserve"> sampai</w:t>
            </w:r>
            <w:r>
              <w:rPr>
                <w:bCs w:val="0"/>
                <w:sz w:val="18"/>
                <w:szCs w:val="18"/>
              </w:rPr>
              <w:t xml:space="preserve"> </w:t>
            </w:r>
            <w:r w:rsidRPr="00C02FB7">
              <w:rPr>
                <w:bCs w:val="0"/>
                <w:sz w:val="18"/>
                <w:szCs w:val="18"/>
              </w:rPr>
              <w:t>dengan 1</w:t>
            </w:r>
            <w:r w:rsidR="00F05213">
              <w:rPr>
                <w:bCs w:val="0"/>
                <w:sz w:val="18"/>
                <w:szCs w:val="18"/>
              </w:rPr>
              <w:t>07</w:t>
            </w:r>
            <w:r w:rsidR="00305CA0">
              <w:rPr>
                <w:bCs w:val="0"/>
                <w:sz w:val="18"/>
                <w:szCs w:val="18"/>
              </w:rPr>
              <w:t>.</w:t>
            </w:r>
            <w:r w:rsidRPr="00C02FB7">
              <w:rPr>
                <w:bCs w:val="0"/>
                <w:sz w:val="18"/>
                <w:szCs w:val="18"/>
              </w:rPr>
              <w:t xml:space="preserve"> </w:t>
            </w:r>
            <w:proofErr w:type="gramStart"/>
            <w:r w:rsidRPr="00C02FB7">
              <w:rPr>
                <w:bCs w:val="0"/>
                <w:sz w:val="18"/>
                <w:szCs w:val="18"/>
              </w:rPr>
              <w:t>adalah</w:t>
            </w:r>
            <w:proofErr w:type="gramEnd"/>
            <w:r w:rsidRPr="00C02FB7">
              <w:rPr>
                <w:bCs w:val="0"/>
                <w:sz w:val="18"/>
                <w:szCs w:val="18"/>
              </w:rPr>
              <w:t xml:space="preserve"> informasi keuangan PT Sejahteraraya Anugrahjaya Tbk (entitas</w:t>
            </w:r>
            <w:r>
              <w:rPr>
                <w:bCs w:val="0"/>
                <w:sz w:val="18"/>
                <w:szCs w:val="18"/>
              </w:rPr>
              <w:t xml:space="preserve"> </w:t>
            </w:r>
            <w:r w:rsidRPr="00C02FB7">
              <w:rPr>
                <w:bCs w:val="0"/>
                <w:sz w:val="18"/>
                <w:szCs w:val="18"/>
              </w:rPr>
              <w:t>induk saja) pada dan untuk tahun</w:t>
            </w:r>
            <w:r>
              <w:rPr>
                <w:bCs w:val="0"/>
                <w:sz w:val="18"/>
                <w:szCs w:val="18"/>
              </w:rPr>
              <w:t xml:space="preserve"> </w:t>
            </w:r>
            <w:r w:rsidRPr="00C02FB7">
              <w:rPr>
                <w:bCs w:val="0"/>
                <w:sz w:val="18"/>
                <w:szCs w:val="18"/>
              </w:rPr>
              <w:t>yang berakhir pada tanggal-tanggal</w:t>
            </w:r>
            <w:r>
              <w:rPr>
                <w:bCs w:val="0"/>
                <w:sz w:val="18"/>
                <w:szCs w:val="18"/>
              </w:rPr>
              <w:t xml:space="preserve"> </w:t>
            </w:r>
            <w:r w:rsidRPr="00C02FB7">
              <w:rPr>
                <w:bCs w:val="0"/>
                <w:sz w:val="18"/>
                <w:szCs w:val="18"/>
              </w:rPr>
              <w:t xml:space="preserve">31 </w:t>
            </w:r>
            <w:r w:rsidR="000F3E40">
              <w:rPr>
                <w:bCs w:val="0"/>
                <w:sz w:val="18"/>
                <w:szCs w:val="18"/>
              </w:rPr>
              <w:t>Maret 2020 dan 31 Desember 2019</w:t>
            </w:r>
            <w:r w:rsidRPr="00C02FB7">
              <w:rPr>
                <w:bCs w:val="0"/>
                <w:sz w:val="18"/>
                <w:szCs w:val="18"/>
              </w:rPr>
              <w:t>.</w:t>
            </w:r>
          </w:p>
        </w:tc>
        <w:tc>
          <w:tcPr>
            <w:tcW w:w="4599" w:type="dxa"/>
            <w:tcBorders>
              <w:top w:val="nil"/>
              <w:left w:val="nil"/>
              <w:bottom w:val="nil"/>
              <w:right w:val="nil"/>
            </w:tcBorders>
          </w:tcPr>
          <w:p w14:paraId="3C9879F5" w14:textId="5ADDFE5D" w:rsidR="00C02FB7" w:rsidRPr="00C02FB7" w:rsidRDefault="00C02FB7" w:rsidP="00946853">
            <w:pPr>
              <w:ind w:left="351"/>
              <w:jc w:val="both"/>
              <w:rPr>
                <w:bCs w:val="0"/>
                <w:i/>
                <w:iCs/>
                <w:sz w:val="18"/>
                <w:szCs w:val="18"/>
              </w:rPr>
            </w:pPr>
            <w:r w:rsidRPr="00C02FB7">
              <w:rPr>
                <w:bCs w:val="0"/>
                <w:i/>
                <w:iCs/>
                <w:sz w:val="18"/>
                <w:szCs w:val="18"/>
              </w:rPr>
              <w:t xml:space="preserve">The supplementary information on pages </w:t>
            </w:r>
            <w:r>
              <w:rPr>
                <w:bCs w:val="0"/>
                <w:i/>
                <w:iCs/>
                <w:sz w:val="18"/>
                <w:szCs w:val="18"/>
              </w:rPr>
              <w:t>10</w:t>
            </w:r>
            <w:r w:rsidR="00F05213">
              <w:rPr>
                <w:bCs w:val="0"/>
                <w:i/>
                <w:iCs/>
                <w:sz w:val="18"/>
                <w:szCs w:val="18"/>
              </w:rPr>
              <w:t>3</w:t>
            </w:r>
            <w:r>
              <w:rPr>
                <w:bCs w:val="0"/>
                <w:i/>
                <w:iCs/>
                <w:sz w:val="18"/>
                <w:szCs w:val="18"/>
              </w:rPr>
              <w:t xml:space="preserve"> </w:t>
            </w:r>
            <w:r w:rsidRPr="00C02FB7">
              <w:rPr>
                <w:bCs w:val="0"/>
                <w:i/>
                <w:iCs/>
                <w:sz w:val="18"/>
                <w:szCs w:val="18"/>
              </w:rPr>
              <w:t>to 1</w:t>
            </w:r>
            <w:r w:rsidR="00F05213">
              <w:rPr>
                <w:bCs w:val="0"/>
                <w:i/>
                <w:iCs/>
                <w:sz w:val="18"/>
                <w:szCs w:val="18"/>
              </w:rPr>
              <w:t>07</w:t>
            </w:r>
            <w:r w:rsidR="00305CA0">
              <w:rPr>
                <w:bCs w:val="0"/>
                <w:i/>
                <w:iCs/>
                <w:sz w:val="18"/>
                <w:szCs w:val="18"/>
              </w:rPr>
              <w:t>.</w:t>
            </w:r>
            <w:r w:rsidRPr="00C02FB7">
              <w:rPr>
                <w:bCs w:val="0"/>
                <w:i/>
                <w:iCs/>
                <w:sz w:val="18"/>
                <w:szCs w:val="18"/>
              </w:rPr>
              <w:t xml:space="preserve"> </w:t>
            </w:r>
            <w:proofErr w:type="gramStart"/>
            <w:r w:rsidRPr="00C02FB7">
              <w:rPr>
                <w:bCs w:val="0"/>
                <w:i/>
                <w:iCs/>
                <w:sz w:val="18"/>
                <w:szCs w:val="18"/>
              </w:rPr>
              <w:t>represents</w:t>
            </w:r>
            <w:proofErr w:type="gramEnd"/>
            <w:r w:rsidRPr="00C02FB7">
              <w:rPr>
                <w:bCs w:val="0"/>
                <w:i/>
                <w:iCs/>
                <w:sz w:val="18"/>
                <w:szCs w:val="18"/>
              </w:rPr>
              <w:t xml:space="preserve"> financial information of PT Sejahteraraya Anugrahjaya Tbk (parent</w:t>
            </w:r>
            <w:r>
              <w:rPr>
                <w:bCs w:val="0"/>
                <w:i/>
                <w:iCs/>
                <w:sz w:val="18"/>
                <w:szCs w:val="18"/>
              </w:rPr>
              <w:t xml:space="preserve"> </w:t>
            </w:r>
            <w:r w:rsidRPr="00C02FB7">
              <w:rPr>
                <w:bCs w:val="0"/>
                <w:i/>
                <w:iCs/>
                <w:sz w:val="18"/>
                <w:szCs w:val="18"/>
              </w:rPr>
              <w:t>ent</w:t>
            </w:r>
            <w:r w:rsidR="000F3E40">
              <w:rPr>
                <w:bCs w:val="0"/>
                <w:i/>
                <w:iCs/>
                <w:sz w:val="18"/>
                <w:szCs w:val="18"/>
              </w:rPr>
              <w:t>ity only) as of and for the period</w:t>
            </w:r>
            <w:r w:rsidRPr="00C02FB7">
              <w:rPr>
                <w:bCs w:val="0"/>
                <w:i/>
                <w:iCs/>
                <w:sz w:val="18"/>
                <w:szCs w:val="18"/>
              </w:rPr>
              <w:t xml:space="preserve"> ended </w:t>
            </w:r>
            <w:r w:rsidR="000F3E40">
              <w:rPr>
                <w:bCs w:val="0"/>
                <w:i/>
                <w:iCs/>
                <w:sz w:val="18"/>
                <w:szCs w:val="18"/>
              </w:rPr>
              <w:t>March 31</w:t>
            </w:r>
            <w:r w:rsidR="00305CA0">
              <w:rPr>
                <w:bCs w:val="0"/>
                <w:i/>
                <w:iCs/>
                <w:sz w:val="18"/>
                <w:szCs w:val="18"/>
              </w:rPr>
              <w:t>.</w:t>
            </w:r>
            <w:r w:rsidR="000F3E40">
              <w:rPr>
                <w:bCs w:val="0"/>
                <w:i/>
                <w:iCs/>
                <w:sz w:val="18"/>
                <w:szCs w:val="18"/>
              </w:rPr>
              <w:t xml:space="preserve"> 2020</w:t>
            </w:r>
            <w:r w:rsidRPr="00C02FB7">
              <w:rPr>
                <w:bCs w:val="0"/>
                <w:i/>
                <w:iCs/>
                <w:sz w:val="18"/>
                <w:szCs w:val="18"/>
              </w:rPr>
              <w:t xml:space="preserve"> and </w:t>
            </w:r>
            <w:r w:rsidR="000F3E40">
              <w:rPr>
                <w:bCs w:val="0"/>
                <w:i/>
                <w:iCs/>
                <w:sz w:val="18"/>
                <w:szCs w:val="18"/>
              </w:rPr>
              <w:t>December 31</w:t>
            </w:r>
            <w:r w:rsidR="00305CA0">
              <w:rPr>
                <w:bCs w:val="0"/>
                <w:i/>
                <w:iCs/>
                <w:sz w:val="18"/>
                <w:szCs w:val="18"/>
              </w:rPr>
              <w:t>.</w:t>
            </w:r>
            <w:r w:rsidR="004C1AF4">
              <w:rPr>
                <w:bCs w:val="0"/>
                <w:i/>
                <w:iCs/>
                <w:sz w:val="18"/>
                <w:szCs w:val="18"/>
              </w:rPr>
              <w:t xml:space="preserve"> </w:t>
            </w:r>
            <w:r w:rsidRPr="00C02FB7">
              <w:rPr>
                <w:bCs w:val="0"/>
                <w:i/>
                <w:iCs/>
                <w:sz w:val="18"/>
                <w:szCs w:val="18"/>
              </w:rPr>
              <w:t>201</w:t>
            </w:r>
            <w:r w:rsidR="000F3E40">
              <w:rPr>
                <w:bCs w:val="0"/>
                <w:i/>
                <w:iCs/>
                <w:sz w:val="18"/>
                <w:szCs w:val="18"/>
              </w:rPr>
              <w:t>9</w:t>
            </w:r>
            <w:r w:rsidRPr="00C02FB7">
              <w:rPr>
                <w:bCs w:val="0"/>
                <w:i/>
                <w:iCs/>
                <w:sz w:val="18"/>
                <w:szCs w:val="18"/>
              </w:rPr>
              <w:t>.</w:t>
            </w:r>
          </w:p>
        </w:tc>
      </w:tr>
    </w:tbl>
    <w:p w14:paraId="3799EAFB" w14:textId="3B8FD446" w:rsidR="00C02FB7" w:rsidRDefault="00C02FB7" w:rsidP="00C02FB7">
      <w:pPr>
        <w:ind w:left="351"/>
        <w:rPr>
          <w:sz w:val="18"/>
          <w:szCs w:val="18"/>
        </w:rPr>
      </w:pPr>
    </w:p>
    <w:tbl>
      <w:tblPr>
        <w:tblW w:w="9197" w:type="dxa"/>
        <w:tblInd w:w="126" w:type="dxa"/>
        <w:tblLayout w:type="fixed"/>
        <w:tblCellMar>
          <w:left w:w="0" w:type="dxa"/>
          <w:right w:w="0" w:type="dxa"/>
        </w:tblCellMar>
        <w:tblLook w:val="01E0" w:firstRow="1" w:lastRow="1" w:firstColumn="1" w:lastColumn="1" w:noHBand="0" w:noVBand="0"/>
      </w:tblPr>
      <w:tblGrid>
        <w:gridCol w:w="2731"/>
        <w:gridCol w:w="125"/>
        <w:gridCol w:w="1680"/>
        <w:gridCol w:w="124"/>
        <w:gridCol w:w="1680"/>
        <w:gridCol w:w="125"/>
        <w:gridCol w:w="2732"/>
      </w:tblGrid>
      <w:tr w:rsidR="00C02FB7" w:rsidRPr="00DE189C" w14:paraId="37679D5F" w14:textId="77777777" w:rsidTr="005B669E">
        <w:trPr>
          <w:trHeight w:val="20"/>
        </w:trPr>
        <w:tc>
          <w:tcPr>
            <w:tcW w:w="2731" w:type="dxa"/>
          </w:tcPr>
          <w:p w14:paraId="66ABA01D" w14:textId="77777777" w:rsidR="00C02FB7" w:rsidRPr="00DE189C" w:rsidRDefault="00C02FB7" w:rsidP="00101586">
            <w:pPr>
              <w:ind w:left="283" w:hanging="170"/>
              <w:rPr>
                <w:b/>
                <w:sz w:val="18"/>
                <w:szCs w:val="18"/>
              </w:rPr>
            </w:pPr>
          </w:p>
        </w:tc>
        <w:tc>
          <w:tcPr>
            <w:tcW w:w="125" w:type="dxa"/>
            <w:tcMar>
              <w:left w:w="28" w:type="dxa"/>
              <w:right w:w="28" w:type="dxa"/>
            </w:tcMar>
          </w:tcPr>
          <w:p w14:paraId="18F9FD94" w14:textId="77777777" w:rsidR="00C02FB7" w:rsidRPr="00DE189C" w:rsidRDefault="00C02FB7" w:rsidP="00101586">
            <w:pPr>
              <w:jc w:val="center"/>
              <w:rPr>
                <w:b/>
                <w:sz w:val="18"/>
                <w:szCs w:val="18"/>
              </w:rPr>
            </w:pPr>
          </w:p>
        </w:tc>
        <w:tc>
          <w:tcPr>
            <w:tcW w:w="1680" w:type="dxa"/>
            <w:tcBorders>
              <w:bottom w:val="single" w:sz="4" w:space="0" w:color="auto"/>
            </w:tcBorders>
            <w:tcMar>
              <w:left w:w="28" w:type="dxa"/>
              <w:right w:w="28" w:type="dxa"/>
            </w:tcMar>
            <w:vAlign w:val="bottom"/>
          </w:tcPr>
          <w:p w14:paraId="72AD63A7" w14:textId="77777777" w:rsidR="000F3E40" w:rsidRDefault="000F3E40" w:rsidP="00101586">
            <w:pPr>
              <w:ind w:left="-85" w:right="28"/>
              <w:jc w:val="center"/>
              <w:rPr>
                <w:b/>
                <w:sz w:val="18"/>
                <w:szCs w:val="18"/>
              </w:rPr>
            </w:pPr>
            <w:r>
              <w:rPr>
                <w:b/>
                <w:sz w:val="18"/>
                <w:szCs w:val="18"/>
              </w:rPr>
              <w:t>31 Maret/</w:t>
            </w:r>
          </w:p>
          <w:p w14:paraId="4981E24B" w14:textId="305F5292" w:rsidR="00C02FB7" w:rsidRPr="00DE189C" w:rsidRDefault="000F3E40" w:rsidP="00946853">
            <w:pPr>
              <w:ind w:left="-85" w:right="28"/>
              <w:jc w:val="center"/>
              <w:rPr>
                <w:b/>
                <w:i/>
                <w:sz w:val="18"/>
                <w:szCs w:val="18"/>
                <w:lang w:val="en-ID"/>
              </w:rPr>
            </w:pPr>
            <w:r>
              <w:rPr>
                <w:b/>
                <w:sz w:val="18"/>
                <w:szCs w:val="18"/>
              </w:rPr>
              <w:t>March 31</w:t>
            </w:r>
            <w:r w:rsidR="00305CA0">
              <w:rPr>
                <w:b/>
                <w:sz w:val="18"/>
                <w:szCs w:val="18"/>
              </w:rPr>
              <w:t>.</w:t>
            </w:r>
            <w:r>
              <w:rPr>
                <w:b/>
                <w:sz w:val="18"/>
                <w:szCs w:val="18"/>
              </w:rPr>
              <w:t xml:space="preserve"> 2020</w:t>
            </w:r>
          </w:p>
        </w:tc>
        <w:tc>
          <w:tcPr>
            <w:tcW w:w="124" w:type="dxa"/>
            <w:tcMar>
              <w:left w:w="28" w:type="dxa"/>
              <w:right w:w="28" w:type="dxa"/>
            </w:tcMar>
          </w:tcPr>
          <w:p w14:paraId="16D334AF" w14:textId="77777777" w:rsidR="00C02FB7" w:rsidRPr="00DE189C" w:rsidRDefault="00C02FB7" w:rsidP="00101586">
            <w:pPr>
              <w:jc w:val="center"/>
              <w:rPr>
                <w:b/>
                <w:caps/>
                <w:sz w:val="18"/>
                <w:szCs w:val="18"/>
              </w:rPr>
            </w:pPr>
          </w:p>
        </w:tc>
        <w:tc>
          <w:tcPr>
            <w:tcW w:w="1680" w:type="dxa"/>
            <w:tcBorders>
              <w:bottom w:val="single" w:sz="4" w:space="0" w:color="auto"/>
            </w:tcBorders>
            <w:tcMar>
              <w:left w:w="28" w:type="dxa"/>
              <w:right w:w="28" w:type="dxa"/>
            </w:tcMar>
            <w:vAlign w:val="bottom"/>
          </w:tcPr>
          <w:p w14:paraId="69A011EE" w14:textId="77777777" w:rsidR="000F3E40" w:rsidRDefault="000F3E40" w:rsidP="00101586">
            <w:pPr>
              <w:ind w:left="-85" w:right="28"/>
              <w:jc w:val="center"/>
              <w:rPr>
                <w:b/>
                <w:sz w:val="18"/>
                <w:szCs w:val="18"/>
              </w:rPr>
            </w:pPr>
            <w:r>
              <w:rPr>
                <w:b/>
                <w:sz w:val="18"/>
                <w:szCs w:val="18"/>
              </w:rPr>
              <w:t>31 Desember/</w:t>
            </w:r>
          </w:p>
          <w:p w14:paraId="3F98E475" w14:textId="2279AF13" w:rsidR="00C02FB7" w:rsidRPr="00DE189C" w:rsidRDefault="000F3E40" w:rsidP="00946853">
            <w:pPr>
              <w:ind w:left="-85" w:right="28"/>
              <w:jc w:val="center"/>
              <w:rPr>
                <w:b/>
                <w:i/>
                <w:sz w:val="18"/>
                <w:szCs w:val="18"/>
                <w:lang w:val="en-ID"/>
              </w:rPr>
            </w:pPr>
            <w:r>
              <w:rPr>
                <w:b/>
                <w:sz w:val="18"/>
                <w:szCs w:val="18"/>
              </w:rPr>
              <w:t>December 31</w:t>
            </w:r>
            <w:r w:rsidR="00305CA0">
              <w:rPr>
                <w:b/>
                <w:sz w:val="18"/>
                <w:szCs w:val="18"/>
              </w:rPr>
              <w:t>.</w:t>
            </w:r>
            <w:r>
              <w:rPr>
                <w:b/>
                <w:sz w:val="18"/>
                <w:szCs w:val="18"/>
              </w:rPr>
              <w:t xml:space="preserve"> </w:t>
            </w:r>
            <w:r w:rsidR="00C02FB7" w:rsidRPr="00DE189C">
              <w:rPr>
                <w:b/>
                <w:sz w:val="18"/>
                <w:szCs w:val="18"/>
              </w:rPr>
              <w:t>201</w:t>
            </w:r>
            <w:r>
              <w:rPr>
                <w:b/>
                <w:sz w:val="18"/>
                <w:szCs w:val="18"/>
                <w:lang w:val="en-ID"/>
              </w:rPr>
              <w:t>9</w:t>
            </w:r>
          </w:p>
        </w:tc>
        <w:tc>
          <w:tcPr>
            <w:tcW w:w="125" w:type="dxa"/>
          </w:tcPr>
          <w:p w14:paraId="67812FE6" w14:textId="77777777" w:rsidR="00C02FB7" w:rsidRPr="00DE189C" w:rsidRDefault="00C02FB7" w:rsidP="00101586">
            <w:pPr>
              <w:ind w:right="57"/>
              <w:jc w:val="right"/>
              <w:rPr>
                <w:b/>
                <w:i/>
                <w:sz w:val="18"/>
                <w:szCs w:val="18"/>
              </w:rPr>
            </w:pPr>
          </w:p>
        </w:tc>
        <w:tc>
          <w:tcPr>
            <w:tcW w:w="2732" w:type="dxa"/>
          </w:tcPr>
          <w:p w14:paraId="62176AC3" w14:textId="77777777" w:rsidR="00C02FB7" w:rsidRPr="00DE189C" w:rsidRDefault="00C02FB7" w:rsidP="00101586">
            <w:pPr>
              <w:ind w:right="57"/>
              <w:jc w:val="right"/>
              <w:rPr>
                <w:b/>
                <w:i/>
                <w:sz w:val="18"/>
                <w:szCs w:val="18"/>
              </w:rPr>
            </w:pPr>
          </w:p>
        </w:tc>
      </w:tr>
      <w:tr w:rsidR="00C02FB7" w:rsidRPr="00DE189C" w14:paraId="54D4C511" w14:textId="77777777" w:rsidTr="005B669E">
        <w:trPr>
          <w:trHeight w:val="20"/>
        </w:trPr>
        <w:tc>
          <w:tcPr>
            <w:tcW w:w="2731" w:type="dxa"/>
          </w:tcPr>
          <w:p w14:paraId="1D0D19E2" w14:textId="3CDCC827" w:rsidR="00C02FB7" w:rsidRPr="00DE189C" w:rsidRDefault="00C02FB7" w:rsidP="00101586">
            <w:pPr>
              <w:ind w:left="283" w:hanging="170"/>
              <w:rPr>
                <w:b/>
                <w:sz w:val="18"/>
                <w:szCs w:val="18"/>
              </w:rPr>
            </w:pPr>
          </w:p>
        </w:tc>
        <w:tc>
          <w:tcPr>
            <w:tcW w:w="125" w:type="dxa"/>
            <w:tcMar>
              <w:left w:w="28" w:type="dxa"/>
              <w:right w:w="28" w:type="dxa"/>
            </w:tcMar>
          </w:tcPr>
          <w:p w14:paraId="4658498E" w14:textId="77777777" w:rsidR="00C02FB7" w:rsidRPr="00DE189C" w:rsidRDefault="00C02FB7" w:rsidP="00101586">
            <w:pPr>
              <w:jc w:val="center"/>
              <w:rPr>
                <w:b/>
                <w:sz w:val="18"/>
                <w:szCs w:val="18"/>
              </w:rPr>
            </w:pPr>
          </w:p>
        </w:tc>
        <w:tc>
          <w:tcPr>
            <w:tcW w:w="1680" w:type="dxa"/>
            <w:tcBorders>
              <w:top w:val="single" w:sz="4" w:space="0" w:color="auto"/>
            </w:tcBorders>
            <w:tcMar>
              <w:left w:w="28" w:type="dxa"/>
              <w:right w:w="28" w:type="dxa"/>
            </w:tcMar>
            <w:vAlign w:val="bottom"/>
          </w:tcPr>
          <w:p w14:paraId="440AB33D" w14:textId="77777777" w:rsidR="00C02FB7" w:rsidRPr="00DE189C" w:rsidRDefault="00C02FB7" w:rsidP="00101586">
            <w:pPr>
              <w:ind w:left="-76" w:right="28"/>
              <w:jc w:val="right"/>
              <w:rPr>
                <w:b/>
                <w:sz w:val="18"/>
                <w:szCs w:val="18"/>
              </w:rPr>
            </w:pPr>
          </w:p>
        </w:tc>
        <w:tc>
          <w:tcPr>
            <w:tcW w:w="124" w:type="dxa"/>
            <w:tcMar>
              <w:left w:w="28" w:type="dxa"/>
              <w:right w:w="28" w:type="dxa"/>
            </w:tcMar>
          </w:tcPr>
          <w:p w14:paraId="698AFF27" w14:textId="77777777" w:rsidR="00C02FB7" w:rsidRPr="00DE189C" w:rsidRDefault="00C02FB7" w:rsidP="00101586">
            <w:pPr>
              <w:ind w:left="-76" w:right="28"/>
              <w:jc w:val="right"/>
              <w:rPr>
                <w:b/>
                <w:sz w:val="18"/>
                <w:szCs w:val="18"/>
              </w:rPr>
            </w:pPr>
          </w:p>
        </w:tc>
        <w:tc>
          <w:tcPr>
            <w:tcW w:w="1680" w:type="dxa"/>
            <w:tcBorders>
              <w:top w:val="single" w:sz="4" w:space="0" w:color="auto"/>
            </w:tcBorders>
            <w:tcMar>
              <w:left w:w="28" w:type="dxa"/>
              <w:right w:w="28" w:type="dxa"/>
            </w:tcMar>
            <w:vAlign w:val="bottom"/>
          </w:tcPr>
          <w:p w14:paraId="146B6CC3" w14:textId="77777777" w:rsidR="00C02FB7" w:rsidRPr="00DE189C" w:rsidRDefault="00C02FB7" w:rsidP="00101586">
            <w:pPr>
              <w:ind w:left="-76" w:right="28"/>
              <w:jc w:val="right"/>
              <w:rPr>
                <w:b/>
                <w:sz w:val="18"/>
                <w:szCs w:val="18"/>
              </w:rPr>
            </w:pPr>
          </w:p>
        </w:tc>
        <w:tc>
          <w:tcPr>
            <w:tcW w:w="125" w:type="dxa"/>
          </w:tcPr>
          <w:p w14:paraId="78383666" w14:textId="77777777" w:rsidR="00C02FB7" w:rsidRPr="00DE189C" w:rsidRDefault="00C02FB7" w:rsidP="00101586">
            <w:pPr>
              <w:ind w:right="57"/>
              <w:jc w:val="right"/>
              <w:rPr>
                <w:b/>
                <w:i/>
                <w:sz w:val="18"/>
                <w:szCs w:val="18"/>
              </w:rPr>
            </w:pPr>
          </w:p>
        </w:tc>
        <w:tc>
          <w:tcPr>
            <w:tcW w:w="2732" w:type="dxa"/>
          </w:tcPr>
          <w:p w14:paraId="1F8BE4C9" w14:textId="77777777" w:rsidR="00C02FB7" w:rsidRPr="00DE189C" w:rsidRDefault="00C02FB7" w:rsidP="00101586">
            <w:pPr>
              <w:ind w:right="57"/>
              <w:jc w:val="right"/>
              <w:rPr>
                <w:b/>
                <w:i/>
                <w:sz w:val="18"/>
                <w:szCs w:val="18"/>
              </w:rPr>
            </w:pPr>
          </w:p>
        </w:tc>
      </w:tr>
      <w:tr w:rsidR="00C02FB7" w:rsidRPr="00DE189C" w14:paraId="37E4E795" w14:textId="77777777" w:rsidTr="005B669E">
        <w:trPr>
          <w:trHeight w:val="20"/>
        </w:trPr>
        <w:tc>
          <w:tcPr>
            <w:tcW w:w="2731" w:type="dxa"/>
            <w:vAlign w:val="bottom"/>
          </w:tcPr>
          <w:p w14:paraId="0198F30C" w14:textId="77777777" w:rsidR="00C02FB7" w:rsidRPr="00DE189C" w:rsidRDefault="00C02FB7" w:rsidP="00101586">
            <w:pPr>
              <w:ind w:left="284" w:right="99" w:hanging="142"/>
              <w:rPr>
                <w:b/>
                <w:sz w:val="18"/>
                <w:szCs w:val="18"/>
              </w:rPr>
            </w:pPr>
            <w:r w:rsidRPr="00DE189C">
              <w:rPr>
                <w:b/>
                <w:sz w:val="18"/>
                <w:szCs w:val="18"/>
              </w:rPr>
              <w:t>ASET</w:t>
            </w:r>
          </w:p>
        </w:tc>
        <w:tc>
          <w:tcPr>
            <w:tcW w:w="125" w:type="dxa"/>
            <w:tcMar>
              <w:left w:w="28" w:type="dxa"/>
              <w:right w:w="28" w:type="dxa"/>
            </w:tcMar>
          </w:tcPr>
          <w:p w14:paraId="78A49F64" w14:textId="77777777" w:rsidR="00C02FB7" w:rsidRPr="00DE189C" w:rsidRDefault="00C02FB7" w:rsidP="00101586">
            <w:pPr>
              <w:jc w:val="center"/>
              <w:rPr>
                <w:b/>
                <w:sz w:val="18"/>
                <w:szCs w:val="18"/>
              </w:rPr>
            </w:pPr>
          </w:p>
        </w:tc>
        <w:tc>
          <w:tcPr>
            <w:tcW w:w="1680" w:type="dxa"/>
            <w:tcMar>
              <w:left w:w="28" w:type="dxa"/>
              <w:right w:w="28" w:type="dxa"/>
            </w:tcMar>
            <w:vAlign w:val="bottom"/>
          </w:tcPr>
          <w:p w14:paraId="5E83CA9E" w14:textId="77777777" w:rsidR="00C02FB7" w:rsidRPr="00DE189C" w:rsidRDefault="00C02FB7" w:rsidP="00101586">
            <w:pPr>
              <w:ind w:left="-76" w:right="28"/>
              <w:jc w:val="right"/>
              <w:rPr>
                <w:sz w:val="18"/>
                <w:szCs w:val="18"/>
              </w:rPr>
            </w:pPr>
          </w:p>
        </w:tc>
        <w:tc>
          <w:tcPr>
            <w:tcW w:w="124" w:type="dxa"/>
            <w:tcMar>
              <w:left w:w="28" w:type="dxa"/>
              <w:right w:w="28" w:type="dxa"/>
            </w:tcMar>
          </w:tcPr>
          <w:p w14:paraId="01010304" w14:textId="77777777" w:rsidR="00C02FB7" w:rsidRPr="00DE189C" w:rsidRDefault="00C02FB7" w:rsidP="00101586">
            <w:pPr>
              <w:ind w:left="-76" w:right="28"/>
              <w:jc w:val="right"/>
              <w:rPr>
                <w:sz w:val="18"/>
                <w:szCs w:val="18"/>
              </w:rPr>
            </w:pPr>
          </w:p>
        </w:tc>
        <w:tc>
          <w:tcPr>
            <w:tcW w:w="1680" w:type="dxa"/>
            <w:tcMar>
              <w:left w:w="28" w:type="dxa"/>
              <w:right w:w="28" w:type="dxa"/>
            </w:tcMar>
            <w:vAlign w:val="bottom"/>
          </w:tcPr>
          <w:p w14:paraId="1EDD6E59" w14:textId="77777777" w:rsidR="00C02FB7" w:rsidRPr="00DE189C" w:rsidRDefault="00C02FB7" w:rsidP="00101586">
            <w:pPr>
              <w:ind w:left="-76" w:right="28"/>
              <w:jc w:val="right"/>
              <w:rPr>
                <w:sz w:val="18"/>
                <w:szCs w:val="18"/>
              </w:rPr>
            </w:pPr>
          </w:p>
        </w:tc>
        <w:tc>
          <w:tcPr>
            <w:tcW w:w="125" w:type="dxa"/>
          </w:tcPr>
          <w:p w14:paraId="2FDF0129" w14:textId="77777777" w:rsidR="00C02FB7" w:rsidRPr="00DE189C" w:rsidRDefault="00C02FB7" w:rsidP="00101586">
            <w:pPr>
              <w:ind w:right="57"/>
              <w:jc w:val="right"/>
              <w:rPr>
                <w:b/>
                <w:i/>
                <w:sz w:val="18"/>
                <w:szCs w:val="18"/>
              </w:rPr>
            </w:pPr>
          </w:p>
        </w:tc>
        <w:tc>
          <w:tcPr>
            <w:tcW w:w="2732" w:type="dxa"/>
            <w:vAlign w:val="bottom"/>
          </w:tcPr>
          <w:p w14:paraId="193C430C" w14:textId="77777777" w:rsidR="00C02FB7" w:rsidRPr="00DE189C" w:rsidRDefault="00C02FB7" w:rsidP="00101586">
            <w:pPr>
              <w:ind w:right="67"/>
              <w:jc w:val="right"/>
              <w:rPr>
                <w:b/>
                <w:i/>
                <w:sz w:val="18"/>
                <w:szCs w:val="18"/>
              </w:rPr>
            </w:pPr>
            <w:r w:rsidRPr="00DE189C">
              <w:rPr>
                <w:b/>
                <w:i/>
                <w:sz w:val="18"/>
                <w:szCs w:val="18"/>
              </w:rPr>
              <w:t>ASSETS</w:t>
            </w:r>
          </w:p>
        </w:tc>
      </w:tr>
      <w:tr w:rsidR="00C02FB7" w:rsidRPr="00DE189C" w14:paraId="4F0772CD" w14:textId="77777777" w:rsidTr="005B669E">
        <w:trPr>
          <w:trHeight w:val="20"/>
        </w:trPr>
        <w:tc>
          <w:tcPr>
            <w:tcW w:w="2731" w:type="dxa"/>
            <w:vAlign w:val="bottom"/>
          </w:tcPr>
          <w:p w14:paraId="63951482" w14:textId="77777777" w:rsidR="00C02FB7" w:rsidRPr="00DE189C" w:rsidRDefault="00C02FB7" w:rsidP="00101586">
            <w:pPr>
              <w:ind w:left="284" w:right="99" w:hanging="142"/>
              <w:rPr>
                <w:b/>
                <w:sz w:val="18"/>
                <w:szCs w:val="18"/>
              </w:rPr>
            </w:pPr>
            <w:r w:rsidRPr="00DE189C">
              <w:rPr>
                <w:b/>
                <w:sz w:val="18"/>
                <w:szCs w:val="18"/>
              </w:rPr>
              <w:t>Aset Lancar</w:t>
            </w:r>
          </w:p>
        </w:tc>
        <w:tc>
          <w:tcPr>
            <w:tcW w:w="125" w:type="dxa"/>
            <w:tcMar>
              <w:left w:w="28" w:type="dxa"/>
              <w:right w:w="28" w:type="dxa"/>
            </w:tcMar>
          </w:tcPr>
          <w:p w14:paraId="3CA09F6F" w14:textId="77777777" w:rsidR="00C02FB7" w:rsidRPr="00DE189C" w:rsidRDefault="00C02FB7" w:rsidP="00101586">
            <w:pPr>
              <w:jc w:val="center"/>
              <w:rPr>
                <w:b/>
                <w:sz w:val="18"/>
                <w:szCs w:val="18"/>
              </w:rPr>
            </w:pPr>
          </w:p>
        </w:tc>
        <w:tc>
          <w:tcPr>
            <w:tcW w:w="1680" w:type="dxa"/>
            <w:tcMar>
              <w:left w:w="28" w:type="dxa"/>
              <w:right w:w="28" w:type="dxa"/>
            </w:tcMar>
            <w:vAlign w:val="bottom"/>
          </w:tcPr>
          <w:p w14:paraId="791142C2" w14:textId="77777777" w:rsidR="00C02FB7" w:rsidRPr="00DA78F1" w:rsidRDefault="00C02FB7" w:rsidP="00101586">
            <w:pPr>
              <w:ind w:left="-76" w:right="28"/>
              <w:jc w:val="right"/>
              <w:rPr>
                <w:sz w:val="18"/>
                <w:szCs w:val="18"/>
              </w:rPr>
            </w:pPr>
          </w:p>
        </w:tc>
        <w:tc>
          <w:tcPr>
            <w:tcW w:w="124" w:type="dxa"/>
            <w:tcMar>
              <w:left w:w="28" w:type="dxa"/>
              <w:right w:w="28" w:type="dxa"/>
            </w:tcMar>
          </w:tcPr>
          <w:p w14:paraId="263AF9B9" w14:textId="77777777" w:rsidR="00C02FB7" w:rsidRPr="00DA78F1" w:rsidRDefault="00C02FB7" w:rsidP="00101586">
            <w:pPr>
              <w:ind w:left="-76" w:right="28"/>
              <w:jc w:val="right"/>
              <w:rPr>
                <w:sz w:val="18"/>
                <w:szCs w:val="18"/>
              </w:rPr>
            </w:pPr>
          </w:p>
        </w:tc>
        <w:tc>
          <w:tcPr>
            <w:tcW w:w="1680" w:type="dxa"/>
            <w:tcMar>
              <w:left w:w="28" w:type="dxa"/>
              <w:right w:w="28" w:type="dxa"/>
            </w:tcMar>
            <w:vAlign w:val="bottom"/>
          </w:tcPr>
          <w:p w14:paraId="3F8B01C1" w14:textId="77777777" w:rsidR="00C02FB7" w:rsidRPr="00DA78F1" w:rsidRDefault="00C02FB7" w:rsidP="00101586">
            <w:pPr>
              <w:ind w:left="-76" w:right="28"/>
              <w:jc w:val="right"/>
              <w:rPr>
                <w:sz w:val="18"/>
                <w:szCs w:val="18"/>
              </w:rPr>
            </w:pPr>
          </w:p>
        </w:tc>
        <w:tc>
          <w:tcPr>
            <w:tcW w:w="125" w:type="dxa"/>
          </w:tcPr>
          <w:p w14:paraId="52CF10E5" w14:textId="77777777" w:rsidR="00C02FB7" w:rsidRPr="00DE189C" w:rsidRDefault="00C02FB7" w:rsidP="00101586">
            <w:pPr>
              <w:ind w:right="227"/>
              <w:jc w:val="right"/>
              <w:rPr>
                <w:b/>
                <w:i/>
                <w:sz w:val="18"/>
                <w:szCs w:val="18"/>
              </w:rPr>
            </w:pPr>
          </w:p>
        </w:tc>
        <w:tc>
          <w:tcPr>
            <w:tcW w:w="2732" w:type="dxa"/>
            <w:vAlign w:val="bottom"/>
          </w:tcPr>
          <w:p w14:paraId="6CC7FB7A" w14:textId="77777777" w:rsidR="00C02FB7" w:rsidRPr="00DE189C" w:rsidRDefault="00C02FB7" w:rsidP="00101586">
            <w:pPr>
              <w:ind w:right="67"/>
              <w:jc w:val="right"/>
              <w:rPr>
                <w:b/>
                <w:i/>
                <w:sz w:val="18"/>
                <w:szCs w:val="18"/>
              </w:rPr>
            </w:pPr>
            <w:r w:rsidRPr="00DE189C">
              <w:rPr>
                <w:b/>
                <w:i/>
                <w:sz w:val="18"/>
                <w:szCs w:val="18"/>
              </w:rPr>
              <w:t>Current Assets</w:t>
            </w:r>
          </w:p>
        </w:tc>
      </w:tr>
      <w:tr w:rsidR="00F84E7F" w:rsidRPr="00DE189C" w14:paraId="0F39B500" w14:textId="77777777" w:rsidTr="002B637F">
        <w:trPr>
          <w:trHeight w:val="20"/>
        </w:trPr>
        <w:tc>
          <w:tcPr>
            <w:tcW w:w="2731" w:type="dxa"/>
            <w:vAlign w:val="bottom"/>
          </w:tcPr>
          <w:p w14:paraId="6BCC097F" w14:textId="77777777" w:rsidR="00F84E7F" w:rsidRPr="00DE189C" w:rsidRDefault="00F84E7F" w:rsidP="00F84E7F">
            <w:pPr>
              <w:ind w:left="284" w:right="99" w:hanging="142"/>
              <w:rPr>
                <w:sz w:val="18"/>
                <w:szCs w:val="18"/>
              </w:rPr>
            </w:pPr>
            <w:r w:rsidRPr="00DE189C">
              <w:rPr>
                <w:sz w:val="18"/>
                <w:szCs w:val="18"/>
              </w:rPr>
              <w:t>Kas dan setara kas</w:t>
            </w:r>
          </w:p>
        </w:tc>
        <w:tc>
          <w:tcPr>
            <w:tcW w:w="125" w:type="dxa"/>
            <w:tcMar>
              <w:left w:w="28" w:type="dxa"/>
              <w:right w:w="28" w:type="dxa"/>
            </w:tcMar>
          </w:tcPr>
          <w:p w14:paraId="48B48C97" w14:textId="77777777" w:rsidR="00F84E7F" w:rsidRPr="00DE189C" w:rsidRDefault="00F84E7F" w:rsidP="00F84E7F">
            <w:pPr>
              <w:jc w:val="center"/>
              <w:rPr>
                <w:sz w:val="18"/>
                <w:szCs w:val="18"/>
                <w:lang w:val="pt-BR"/>
              </w:rPr>
            </w:pPr>
          </w:p>
        </w:tc>
        <w:tc>
          <w:tcPr>
            <w:tcW w:w="1680" w:type="dxa"/>
            <w:tcMar>
              <w:left w:w="28" w:type="dxa"/>
              <w:right w:w="28" w:type="dxa"/>
            </w:tcMar>
            <w:vAlign w:val="bottom"/>
          </w:tcPr>
          <w:p w14:paraId="518260BC" w14:textId="5C861A5D" w:rsidR="00F84E7F" w:rsidRPr="00DA78F1" w:rsidRDefault="005B5DB2" w:rsidP="00F84E7F">
            <w:pPr>
              <w:ind w:left="-76" w:right="28"/>
              <w:jc w:val="right"/>
              <w:rPr>
                <w:sz w:val="18"/>
                <w:szCs w:val="18"/>
                <w:lang w:val="id-ID"/>
              </w:rPr>
            </w:pPr>
            <w:r w:rsidRPr="005B5DB2">
              <w:rPr>
                <w:sz w:val="18"/>
                <w:szCs w:val="18"/>
                <w:lang w:val="id-ID"/>
              </w:rPr>
              <w:t>185</w:t>
            </w:r>
            <w:r w:rsidR="006D101A">
              <w:rPr>
                <w:sz w:val="18"/>
                <w:szCs w:val="18"/>
                <w:lang w:val="id-ID"/>
              </w:rPr>
              <w:t>.</w:t>
            </w:r>
            <w:r w:rsidRPr="005B5DB2">
              <w:rPr>
                <w:sz w:val="18"/>
                <w:szCs w:val="18"/>
                <w:lang w:val="id-ID"/>
              </w:rPr>
              <w:t>316</w:t>
            </w:r>
            <w:r w:rsidR="006D101A">
              <w:rPr>
                <w:sz w:val="18"/>
                <w:szCs w:val="18"/>
                <w:lang w:val="id-ID"/>
              </w:rPr>
              <w:t>.</w:t>
            </w:r>
            <w:r w:rsidRPr="005B5DB2">
              <w:rPr>
                <w:sz w:val="18"/>
                <w:szCs w:val="18"/>
                <w:lang w:val="id-ID"/>
              </w:rPr>
              <w:t>877</w:t>
            </w:r>
            <w:r w:rsidR="006D101A">
              <w:rPr>
                <w:sz w:val="18"/>
                <w:szCs w:val="18"/>
                <w:lang w:val="id-ID"/>
              </w:rPr>
              <w:t>.</w:t>
            </w:r>
            <w:r w:rsidRPr="005B5DB2">
              <w:rPr>
                <w:sz w:val="18"/>
                <w:szCs w:val="18"/>
                <w:lang w:val="id-ID"/>
              </w:rPr>
              <w:t>087</w:t>
            </w:r>
          </w:p>
        </w:tc>
        <w:tc>
          <w:tcPr>
            <w:tcW w:w="124" w:type="dxa"/>
            <w:tcMar>
              <w:left w:w="28" w:type="dxa"/>
              <w:right w:w="28" w:type="dxa"/>
            </w:tcMar>
          </w:tcPr>
          <w:p w14:paraId="11C5EB02"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70D575FA" w14:textId="3095D5AC" w:rsidR="00F84E7F" w:rsidRPr="00DA78F1" w:rsidRDefault="00F84E7F" w:rsidP="00F84E7F">
            <w:pPr>
              <w:ind w:left="-76" w:right="28"/>
              <w:jc w:val="right"/>
              <w:rPr>
                <w:sz w:val="18"/>
                <w:szCs w:val="18"/>
              </w:rPr>
            </w:pPr>
            <w:bookmarkStart w:id="3" w:name="OLE_LINK1"/>
            <w:r w:rsidRPr="00DA78F1">
              <w:rPr>
                <w:sz w:val="18"/>
                <w:szCs w:val="18"/>
                <w:lang w:val="id-ID"/>
              </w:rPr>
              <w:t>188.448.316.724</w:t>
            </w:r>
            <w:bookmarkEnd w:id="3"/>
          </w:p>
        </w:tc>
        <w:tc>
          <w:tcPr>
            <w:tcW w:w="125" w:type="dxa"/>
          </w:tcPr>
          <w:p w14:paraId="481BF83F" w14:textId="77777777" w:rsidR="00F84E7F" w:rsidRPr="00DE189C" w:rsidRDefault="00F84E7F" w:rsidP="00F84E7F">
            <w:pPr>
              <w:ind w:right="144"/>
              <w:jc w:val="right"/>
              <w:rPr>
                <w:i/>
                <w:sz w:val="18"/>
                <w:szCs w:val="18"/>
              </w:rPr>
            </w:pPr>
          </w:p>
        </w:tc>
        <w:tc>
          <w:tcPr>
            <w:tcW w:w="2732" w:type="dxa"/>
            <w:vAlign w:val="bottom"/>
          </w:tcPr>
          <w:p w14:paraId="740F6F9C" w14:textId="77777777" w:rsidR="00F84E7F" w:rsidRPr="00DE189C" w:rsidRDefault="00F84E7F" w:rsidP="00F84E7F">
            <w:pPr>
              <w:ind w:right="67"/>
              <w:jc w:val="right"/>
              <w:rPr>
                <w:i/>
                <w:sz w:val="18"/>
                <w:szCs w:val="18"/>
              </w:rPr>
            </w:pPr>
            <w:r w:rsidRPr="00DE189C">
              <w:rPr>
                <w:i/>
                <w:sz w:val="18"/>
                <w:szCs w:val="18"/>
              </w:rPr>
              <w:t>Cash and cash equivalents</w:t>
            </w:r>
          </w:p>
        </w:tc>
      </w:tr>
      <w:tr w:rsidR="00F84E7F" w:rsidRPr="00DE189C" w14:paraId="5CDA41E8" w14:textId="77777777" w:rsidTr="002B637F">
        <w:trPr>
          <w:trHeight w:val="20"/>
        </w:trPr>
        <w:tc>
          <w:tcPr>
            <w:tcW w:w="2731" w:type="dxa"/>
          </w:tcPr>
          <w:p w14:paraId="33E18842" w14:textId="77777777" w:rsidR="00F84E7F" w:rsidRPr="00DE189C" w:rsidRDefault="00F84E7F" w:rsidP="00F84E7F">
            <w:pPr>
              <w:ind w:left="284" w:right="99" w:hanging="142"/>
              <w:rPr>
                <w:sz w:val="18"/>
                <w:szCs w:val="18"/>
              </w:rPr>
            </w:pPr>
            <w:r w:rsidRPr="00DE189C">
              <w:rPr>
                <w:sz w:val="18"/>
                <w:szCs w:val="18"/>
              </w:rPr>
              <w:t xml:space="preserve">Piutang usaha </w:t>
            </w:r>
          </w:p>
        </w:tc>
        <w:tc>
          <w:tcPr>
            <w:tcW w:w="125" w:type="dxa"/>
            <w:tcMar>
              <w:left w:w="28" w:type="dxa"/>
              <w:right w:w="28" w:type="dxa"/>
            </w:tcMar>
          </w:tcPr>
          <w:p w14:paraId="1BD48797" w14:textId="77777777" w:rsidR="00F84E7F" w:rsidRPr="00DE189C" w:rsidRDefault="00F84E7F" w:rsidP="00F84E7F">
            <w:pPr>
              <w:jc w:val="center"/>
              <w:rPr>
                <w:sz w:val="18"/>
                <w:szCs w:val="18"/>
                <w:lang w:val="id-ID"/>
              </w:rPr>
            </w:pPr>
          </w:p>
        </w:tc>
        <w:tc>
          <w:tcPr>
            <w:tcW w:w="1680" w:type="dxa"/>
            <w:tcMar>
              <w:left w:w="28" w:type="dxa"/>
              <w:right w:w="28" w:type="dxa"/>
            </w:tcMar>
            <w:vAlign w:val="bottom"/>
          </w:tcPr>
          <w:p w14:paraId="43627596" w14:textId="77777777" w:rsidR="00F84E7F" w:rsidRPr="00DA78F1" w:rsidRDefault="00F84E7F" w:rsidP="00F84E7F">
            <w:pPr>
              <w:ind w:right="28"/>
              <w:jc w:val="right"/>
              <w:rPr>
                <w:sz w:val="18"/>
                <w:szCs w:val="18"/>
                <w:lang w:val="id-ID"/>
              </w:rPr>
            </w:pPr>
          </w:p>
        </w:tc>
        <w:tc>
          <w:tcPr>
            <w:tcW w:w="124" w:type="dxa"/>
            <w:tcMar>
              <w:left w:w="28" w:type="dxa"/>
              <w:right w:w="28" w:type="dxa"/>
            </w:tcMar>
            <w:vAlign w:val="bottom"/>
          </w:tcPr>
          <w:p w14:paraId="3345CB24"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178F0124" w14:textId="77777777" w:rsidR="00F84E7F" w:rsidRPr="00DA78F1" w:rsidRDefault="00F84E7F" w:rsidP="00F84E7F">
            <w:pPr>
              <w:ind w:left="-76" w:right="28"/>
              <w:jc w:val="right"/>
              <w:rPr>
                <w:sz w:val="18"/>
                <w:szCs w:val="18"/>
                <w:lang w:val="id-ID"/>
              </w:rPr>
            </w:pPr>
          </w:p>
        </w:tc>
        <w:tc>
          <w:tcPr>
            <w:tcW w:w="125" w:type="dxa"/>
          </w:tcPr>
          <w:p w14:paraId="642B8C7B" w14:textId="77777777" w:rsidR="00F84E7F" w:rsidRPr="00DE189C" w:rsidRDefault="00F84E7F" w:rsidP="00F84E7F">
            <w:pPr>
              <w:ind w:right="144"/>
              <w:jc w:val="right"/>
              <w:rPr>
                <w:i/>
                <w:sz w:val="18"/>
                <w:szCs w:val="18"/>
              </w:rPr>
            </w:pPr>
          </w:p>
        </w:tc>
        <w:tc>
          <w:tcPr>
            <w:tcW w:w="2732" w:type="dxa"/>
            <w:vAlign w:val="bottom"/>
          </w:tcPr>
          <w:p w14:paraId="75B932AE" w14:textId="77777777" w:rsidR="00F84E7F" w:rsidRPr="00DE189C" w:rsidRDefault="00F84E7F" w:rsidP="00F84E7F">
            <w:pPr>
              <w:ind w:right="67"/>
              <w:jc w:val="right"/>
              <w:rPr>
                <w:i/>
                <w:sz w:val="18"/>
                <w:szCs w:val="18"/>
              </w:rPr>
            </w:pPr>
            <w:r w:rsidRPr="00DE189C">
              <w:rPr>
                <w:i/>
                <w:sz w:val="18"/>
                <w:szCs w:val="18"/>
              </w:rPr>
              <w:t>Trade receivables</w:t>
            </w:r>
          </w:p>
        </w:tc>
      </w:tr>
      <w:tr w:rsidR="00F84E7F" w:rsidRPr="00DE189C" w14:paraId="2B46C229" w14:textId="77777777" w:rsidTr="005B669E">
        <w:trPr>
          <w:trHeight w:val="20"/>
        </w:trPr>
        <w:tc>
          <w:tcPr>
            <w:tcW w:w="2731" w:type="dxa"/>
            <w:vAlign w:val="bottom"/>
          </w:tcPr>
          <w:p w14:paraId="3C1F557F" w14:textId="77777777" w:rsidR="00F84E7F" w:rsidRPr="00DE189C" w:rsidRDefault="00F84E7F" w:rsidP="00F84E7F">
            <w:pPr>
              <w:ind w:left="284"/>
              <w:rPr>
                <w:sz w:val="18"/>
                <w:szCs w:val="18"/>
              </w:rPr>
            </w:pPr>
            <w:r w:rsidRPr="00DE189C">
              <w:rPr>
                <w:sz w:val="18"/>
                <w:szCs w:val="18"/>
              </w:rPr>
              <w:t>Pihak berelasi</w:t>
            </w:r>
          </w:p>
        </w:tc>
        <w:tc>
          <w:tcPr>
            <w:tcW w:w="125" w:type="dxa"/>
            <w:tcMar>
              <w:left w:w="28" w:type="dxa"/>
              <w:right w:w="28" w:type="dxa"/>
            </w:tcMar>
          </w:tcPr>
          <w:p w14:paraId="2074E295" w14:textId="77777777" w:rsidR="00F84E7F" w:rsidRPr="00DE189C" w:rsidRDefault="00F84E7F" w:rsidP="00F84E7F">
            <w:pPr>
              <w:jc w:val="center"/>
              <w:rPr>
                <w:sz w:val="18"/>
                <w:szCs w:val="18"/>
              </w:rPr>
            </w:pPr>
          </w:p>
        </w:tc>
        <w:tc>
          <w:tcPr>
            <w:tcW w:w="1680" w:type="dxa"/>
            <w:tcMar>
              <w:left w:w="28" w:type="dxa"/>
              <w:right w:w="28" w:type="dxa"/>
            </w:tcMar>
            <w:vAlign w:val="bottom"/>
          </w:tcPr>
          <w:p w14:paraId="3F252DE5" w14:textId="5B40F390" w:rsidR="00F84E7F" w:rsidRPr="00DA78F1" w:rsidRDefault="00F84E7F" w:rsidP="00F84E7F">
            <w:pPr>
              <w:ind w:left="-76" w:right="28"/>
              <w:jc w:val="right"/>
              <w:rPr>
                <w:sz w:val="18"/>
                <w:szCs w:val="18"/>
              </w:rPr>
            </w:pPr>
          </w:p>
        </w:tc>
        <w:tc>
          <w:tcPr>
            <w:tcW w:w="124" w:type="dxa"/>
            <w:tcMar>
              <w:left w:w="28" w:type="dxa"/>
              <w:right w:w="28" w:type="dxa"/>
            </w:tcMar>
          </w:tcPr>
          <w:p w14:paraId="105E73C6"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128C34A5" w14:textId="5EE6EB71" w:rsidR="00F84E7F" w:rsidRPr="00DA78F1" w:rsidRDefault="00F84E7F" w:rsidP="00F84E7F">
            <w:pPr>
              <w:ind w:left="-76" w:right="28"/>
              <w:jc w:val="right"/>
              <w:rPr>
                <w:sz w:val="18"/>
                <w:szCs w:val="18"/>
              </w:rPr>
            </w:pPr>
            <w:r w:rsidRPr="00DA78F1">
              <w:rPr>
                <w:sz w:val="18"/>
                <w:szCs w:val="18"/>
              </w:rPr>
              <w:t>1.927.400</w:t>
            </w:r>
          </w:p>
        </w:tc>
        <w:tc>
          <w:tcPr>
            <w:tcW w:w="125" w:type="dxa"/>
          </w:tcPr>
          <w:p w14:paraId="27CC5CE2" w14:textId="77777777" w:rsidR="00F84E7F" w:rsidRPr="00DE189C" w:rsidRDefault="00F84E7F" w:rsidP="00F84E7F">
            <w:pPr>
              <w:ind w:right="144"/>
              <w:jc w:val="right"/>
              <w:rPr>
                <w:i/>
                <w:sz w:val="18"/>
                <w:szCs w:val="18"/>
              </w:rPr>
            </w:pPr>
          </w:p>
        </w:tc>
        <w:tc>
          <w:tcPr>
            <w:tcW w:w="2732" w:type="dxa"/>
            <w:vAlign w:val="bottom"/>
          </w:tcPr>
          <w:p w14:paraId="661413C1" w14:textId="77777777" w:rsidR="00F84E7F" w:rsidRPr="00DE189C" w:rsidRDefault="00F84E7F" w:rsidP="00F84E7F">
            <w:pPr>
              <w:ind w:right="170"/>
              <w:jc w:val="right"/>
              <w:rPr>
                <w:i/>
                <w:sz w:val="18"/>
                <w:szCs w:val="18"/>
              </w:rPr>
            </w:pPr>
            <w:r w:rsidRPr="00DE189C">
              <w:rPr>
                <w:i/>
                <w:sz w:val="18"/>
                <w:szCs w:val="18"/>
              </w:rPr>
              <w:t>Related party</w:t>
            </w:r>
          </w:p>
        </w:tc>
      </w:tr>
      <w:tr w:rsidR="00F84E7F" w:rsidRPr="00DE189C" w14:paraId="256F3BA8" w14:textId="77777777" w:rsidTr="005B669E">
        <w:trPr>
          <w:trHeight w:val="20"/>
        </w:trPr>
        <w:tc>
          <w:tcPr>
            <w:tcW w:w="2731" w:type="dxa"/>
            <w:vAlign w:val="bottom"/>
          </w:tcPr>
          <w:p w14:paraId="549359B6" w14:textId="77777777" w:rsidR="00F84E7F" w:rsidRPr="00DE189C" w:rsidRDefault="00F84E7F" w:rsidP="00F84E7F">
            <w:pPr>
              <w:ind w:left="284" w:right="99"/>
              <w:jc w:val="both"/>
              <w:rPr>
                <w:sz w:val="18"/>
                <w:szCs w:val="18"/>
              </w:rPr>
            </w:pPr>
            <w:r w:rsidRPr="00DE189C">
              <w:rPr>
                <w:sz w:val="18"/>
                <w:szCs w:val="18"/>
              </w:rPr>
              <w:t xml:space="preserve">Pihak ketiga </w:t>
            </w:r>
          </w:p>
        </w:tc>
        <w:tc>
          <w:tcPr>
            <w:tcW w:w="125" w:type="dxa"/>
            <w:tcMar>
              <w:left w:w="28" w:type="dxa"/>
              <w:right w:w="28" w:type="dxa"/>
            </w:tcMar>
          </w:tcPr>
          <w:p w14:paraId="30EBC354" w14:textId="77777777" w:rsidR="00F84E7F" w:rsidRPr="00DE189C" w:rsidRDefault="00F84E7F" w:rsidP="00F84E7F">
            <w:pPr>
              <w:jc w:val="center"/>
              <w:rPr>
                <w:sz w:val="18"/>
                <w:szCs w:val="18"/>
                <w:lang w:val="id-ID"/>
              </w:rPr>
            </w:pPr>
          </w:p>
        </w:tc>
        <w:tc>
          <w:tcPr>
            <w:tcW w:w="1680" w:type="dxa"/>
            <w:tcMar>
              <w:left w:w="28" w:type="dxa"/>
              <w:right w:w="28" w:type="dxa"/>
            </w:tcMar>
            <w:vAlign w:val="bottom"/>
          </w:tcPr>
          <w:p w14:paraId="5FB1396B" w14:textId="3733ABAC" w:rsidR="00F84E7F" w:rsidRPr="00DA78F1" w:rsidRDefault="00D015BA" w:rsidP="00F84E7F">
            <w:pPr>
              <w:ind w:left="-76" w:right="28"/>
              <w:jc w:val="right"/>
              <w:rPr>
                <w:sz w:val="18"/>
                <w:szCs w:val="18"/>
              </w:rPr>
            </w:pPr>
            <w:r w:rsidRPr="00D015BA">
              <w:rPr>
                <w:sz w:val="18"/>
                <w:szCs w:val="18"/>
              </w:rPr>
              <w:t>81</w:t>
            </w:r>
            <w:r w:rsidR="006D101A">
              <w:rPr>
                <w:sz w:val="18"/>
                <w:szCs w:val="18"/>
              </w:rPr>
              <w:t>.</w:t>
            </w:r>
            <w:r w:rsidRPr="00D015BA">
              <w:rPr>
                <w:sz w:val="18"/>
                <w:szCs w:val="18"/>
              </w:rPr>
              <w:t>351</w:t>
            </w:r>
            <w:r w:rsidR="006D101A">
              <w:rPr>
                <w:sz w:val="18"/>
                <w:szCs w:val="18"/>
              </w:rPr>
              <w:t>.</w:t>
            </w:r>
            <w:r w:rsidRPr="00D015BA">
              <w:rPr>
                <w:sz w:val="18"/>
                <w:szCs w:val="18"/>
              </w:rPr>
              <w:t>061</w:t>
            </w:r>
            <w:r w:rsidR="006D101A">
              <w:rPr>
                <w:sz w:val="18"/>
                <w:szCs w:val="18"/>
              </w:rPr>
              <w:t>.</w:t>
            </w:r>
            <w:r w:rsidRPr="00D015BA">
              <w:rPr>
                <w:sz w:val="18"/>
                <w:szCs w:val="18"/>
              </w:rPr>
              <w:t>971</w:t>
            </w:r>
          </w:p>
        </w:tc>
        <w:tc>
          <w:tcPr>
            <w:tcW w:w="124" w:type="dxa"/>
            <w:tcMar>
              <w:left w:w="28" w:type="dxa"/>
              <w:right w:w="28" w:type="dxa"/>
            </w:tcMar>
            <w:vAlign w:val="bottom"/>
          </w:tcPr>
          <w:p w14:paraId="2CF497C9"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3E6FD2A9" w14:textId="34C8E423" w:rsidR="00F84E7F" w:rsidRPr="00DA78F1" w:rsidRDefault="00F84E7F" w:rsidP="00F84E7F">
            <w:pPr>
              <w:ind w:left="-76" w:right="28"/>
              <w:jc w:val="right"/>
              <w:rPr>
                <w:sz w:val="18"/>
                <w:szCs w:val="18"/>
              </w:rPr>
            </w:pPr>
            <w:r w:rsidRPr="00DA78F1">
              <w:rPr>
                <w:sz w:val="18"/>
                <w:szCs w:val="18"/>
                <w:lang w:val="id-ID"/>
              </w:rPr>
              <w:t>77.825.941.631</w:t>
            </w:r>
          </w:p>
        </w:tc>
        <w:tc>
          <w:tcPr>
            <w:tcW w:w="125" w:type="dxa"/>
          </w:tcPr>
          <w:p w14:paraId="62F172A9" w14:textId="77777777" w:rsidR="00F84E7F" w:rsidRPr="00DE189C" w:rsidRDefault="00F84E7F" w:rsidP="00F84E7F">
            <w:pPr>
              <w:ind w:right="144"/>
              <w:jc w:val="right"/>
              <w:rPr>
                <w:i/>
                <w:sz w:val="18"/>
                <w:szCs w:val="18"/>
                <w:lang w:val="id-ID"/>
              </w:rPr>
            </w:pPr>
          </w:p>
        </w:tc>
        <w:tc>
          <w:tcPr>
            <w:tcW w:w="2732" w:type="dxa"/>
            <w:vAlign w:val="bottom"/>
          </w:tcPr>
          <w:p w14:paraId="63C8B25B" w14:textId="77777777" w:rsidR="00F84E7F" w:rsidRPr="00DE189C" w:rsidRDefault="00F84E7F" w:rsidP="00F84E7F">
            <w:pPr>
              <w:tabs>
                <w:tab w:val="left" w:pos="2122"/>
              </w:tabs>
              <w:ind w:right="170"/>
              <w:jc w:val="right"/>
              <w:rPr>
                <w:i/>
                <w:sz w:val="18"/>
                <w:szCs w:val="18"/>
              </w:rPr>
            </w:pPr>
            <w:r w:rsidRPr="00DE189C">
              <w:rPr>
                <w:i/>
                <w:sz w:val="18"/>
                <w:szCs w:val="18"/>
              </w:rPr>
              <w:t xml:space="preserve">Third parties </w:t>
            </w:r>
          </w:p>
        </w:tc>
      </w:tr>
      <w:tr w:rsidR="00F84E7F" w:rsidRPr="00DE189C" w14:paraId="2CE6B73F" w14:textId="77777777" w:rsidTr="002B637F">
        <w:trPr>
          <w:trHeight w:val="20"/>
        </w:trPr>
        <w:tc>
          <w:tcPr>
            <w:tcW w:w="2731" w:type="dxa"/>
            <w:vAlign w:val="bottom"/>
          </w:tcPr>
          <w:p w14:paraId="37505367" w14:textId="77777777" w:rsidR="00F84E7F" w:rsidRPr="00DE189C" w:rsidRDefault="00F84E7F" w:rsidP="00F84E7F">
            <w:pPr>
              <w:ind w:left="284" w:right="99" w:hanging="142"/>
              <w:rPr>
                <w:sz w:val="18"/>
                <w:szCs w:val="18"/>
              </w:rPr>
            </w:pPr>
            <w:r w:rsidRPr="00DE189C">
              <w:rPr>
                <w:sz w:val="18"/>
                <w:szCs w:val="18"/>
              </w:rPr>
              <w:t>Piutang lain-lain</w:t>
            </w:r>
          </w:p>
        </w:tc>
        <w:tc>
          <w:tcPr>
            <w:tcW w:w="125" w:type="dxa"/>
            <w:tcMar>
              <w:left w:w="28" w:type="dxa"/>
              <w:right w:w="28" w:type="dxa"/>
            </w:tcMar>
          </w:tcPr>
          <w:p w14:paraId="7482A3AE" w14:textId="77777777" w:rsidR="00F84E7F" w:rsidRPr="00DE189C" w:rsidRDefault="00F84E7F" w:rsidP="00F84E7F">
            <w:pPr>
              <w:jc w:val="center"/>
              <w:rPr>
                <w:sz w:val="18"/>
                <w:szCs w:val="18"/>
              </w:rPr>
            </w:pPr>
          </w:p>
        </w:tc>
        <w:tc>
          <w:tcPr>
            <w:tcW w:w="1680" w:type="dxa"/>
            <w:tcMar>
              <w:left w:w="28" w:type="dxa"/>
              <w:right w:w="28" w:type="dxa"/>
            </w:tcMar>
            <w:vAlign w:val="bottom"/>
          </w:tcPr>
          <w:p w14:paraId="52CE4505" w14:textId="77777777" w:rsidR="00F84E7F" w:rsidRPr="00DA78F1" w:rsidRDefault="00F84E7F" w:rsidP="00F84E7F">
            <w:pPr>
              <w:ind w:left="-76" w:right="28"/>
              <w:jc w:val="right"/>
              <w:rPr>
                <w:sz w:val="18"/>
                <w:szCs w:val="18"/>
                <w:lang w:val="id-ID"/>
              </w:rPr>
            </w:pPr>
          </w:p>
        </w:tc>
        <w:tc>
          <w:tcPr>
            <w:tcW w:w="124" w:type="dxa"/>
            <w:tcMar>
              <w:left w:w="28" w:type="dxa"/>
              <w:right w:w="28" w:type="dxa"/>
            </w:tcMar>
          </w:tcPr>
          <w:p w14:paraId="4E3A9F91"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3A0853D8" w14:textId="19E4F40D" w:rsidR="00F84E7F" w:rsidRPr="00DA78F1" w:rsidRDefault="00F84E7F" w:rsidP="00F84E7F">
            <w:pPr>
              <w:tabs>
                <w:tab w:val="left" w:pos="1209"/>
              </w:tabs>
              <w:ind w:left="-76" w:right="28"/>
              <w:jc w:val="right"/>
              <w:rPr>
                <w:sz w:val="18"/>
                <w:szCs w:val="18"/>
              </w:rPr>
            </w:pPr>
          </w:p>
        </w:tc>
        <w:tc>
          <w:tcPr>
            <w:tcW w:w="125" w:type="dxa"/>
          </w:tcPr>
          <w:p w14:paraId="6C855AF6" w14:textId="77777777" w:rsidR="00F84E7F" w:rsidRPr="00DE189C" w:rsidRDefault="00F84E7F" w:rsidP="00F84E7F">
            <w:pPr>
              <w:ind w:right="144"/>
              <w:jc w:val="right"/>
              <w:rPr>
                <w:i/>
                <w:sz w:val="18"/>
                <w:szCs w:val="18"/>
              </w:rPr>
            </w:pPr>
          </w:p>
        </w:tc>
        <w:tc>
          <w:tcPr>
            <w:tcW w:w="2732" w:type="dxa"/>
            <w:vAlign w:val="bottom"/>
          </w:tcPr>
          <w:p w14:paraId="52FF72DF" w14:textId="77777777" w:rsidR="00F84E7F" w:rsidRPr="00DE189C" w:rsidRDefault="00F84E7F" w:rsidP="00F84E7F">
            <w:pPr>
              <w:ind w:right="67"/>
              <w:jc w:val="right"/>
              <w:rPr>
                <w:i/>
                <w:sz w:val="18"/>
                <w:szCs w:val="18"/>
              </w:rPr>
            </w:pPr>
            <w:r w:rsidRPr="00DE189C">
              <w:rPr>
                <w:i/>
                <w:sz w:val="18"/>
                <w:szCs w:val="18"/>
              </w:rPr>
              <w:t xml:space="preserve">Others receivable </w:t>
            </w:r>
          </w:p>
        </w:tc>
      </w:tr>
      <w:tr w:rsidR="00F84E7F" w:rsidRPr="00DE189C" w14:paraId="0D20E0F1" w14:textId="77777777" w:rsidTr="005B669E">
        <w:trPr>
          <w:trHeight w:val="20"/>
        </w:trPr>
        <w:tc>
          <w:tcPr>
            <w:tcW w:w="2731" w:type="dxa"/>
            <w:vAlign w:val="bottom"/>
          </w:tcPr>
          <w:p w14:paraId="2A10A462" w14:textId="77777777" w:rsidR="00F84E7F" w:rsidRPr="00DE189C" w:rsidRDefault="00F84E7F" w:rsidP="00F84E7F">
            <w:pPr>
              <w:ind w:left="284" w:right="99"/>
              <w:rPr>
                <w:sz w:val="18"/>
                <w:szCs w:val="18"/>
              </w:rPr>
            </w:pPr>
            <w:r w:rsidRPr="00DE189C">
              <w:rPr>
                <w:sz w:val="18"/>
                <w:szCs w:val="18"/>
              </w:rPr>
              <w:t>Pihak berelasi</w:t>
            </w:r>
          </w:p>
        </w:tc>
        <w:tc>
          <w:tcPr>
            <w:tcW w:w="125" w:type="dxa"/>
            <w:tcMar>
              <w:left w:w="28" w:type="dxa"/>
              <w:right w:w="28" w:type="dxa"/>
            </w:tcMar>
          </w:tcPr>
          <w:p w14:paraId="37A0FE01" w14:textId="77777777" w:rsidR="00F84E7F" w:rsidRPr="00DE189C" w:rsidRDefault="00F84E7F" w:rsidP="00F84E7F">
            <w:pPr>
              <w:jc w:val="center"/>
              <w:rPr>
                <w:sz w:val="18"/>
                <w:szCs w:val="18"/>
              </w:rPr>
            </w:pPr>
          </w:p>
        </w:tc>
        <w:tc>
          <w:tcPr>
            <w:tcW w:w="1680" w:type="dxa"/>
            <w:tcMar>
              <w:left w:w="28" w:type="dxa"/>
              <w:right w:w="28" w:type="dxa"/>
            </w:tcMar>
            <w:vAlign w:val="bottom"/>
          </w:tcPr>
          <w:p w14:paraId="363D3259" w14:textId="70A54FD6" w:rsidR="00F84E7F" w:rsidRPr="008A7E30" w:rsidRDefault="00D015BA" w:rsidP="00F84E7F">
            <w:pPr>
              <w:ind w:left="-76" w:right="28"/>
              <w:jc w:val="right"/>
              <w:rPr>
                <w:sz w:val="18"/>
                <w:szCs w:val="18"/>
                <w:lang w:val="id-ID"/>
              </w:rPr>
            </w:pPr>
            <w:r w:rsidRPr="00D015BA">
              <w:rPr>
                <w:sz w:val="18"/>
                <w:szCs w:val="18"/>
                <w:lang w:val="en-ID"/>
              </w:rPr>
              <w:t>5</w:t>
            </w:r>
            <w:r w:rsidR="008A7E30">
              <w:rPr>
                <w:sz w:val="18"/>
                <w:szCs w:val="18"/>
                <w:lang w:val="id-ID"/>
              </w:rPr>
              <w:t>38</w:t>
            </w:r>
            <w:r w:rsidR="006D101A">
              <w:rPr>
                <w:sz w:val="18"/>
                <w:szCs w:val="18"/>
                <w:lang w:val="en-ID"/>
              </w:rPr>
              <w:t>.</w:t>
            </w:r>
            <w:r w:rsidR="008A7E30">
              <w:rPr>
                <w:sz w:val="18"/>
                <w:szCs w:val="18"/>
                <w:lang w:val="id-ID"/>
              </w:rPr>
              <w:t>779</w:t>
            </w:r>
            <w:r w:rsidR="006D101A">
              <w:rPr>
                <w:sz w:val="18"/>
                <w:szCs w:val="18"/>
                <w:lang w:val="en-ID"/>
              </w:rPr>
              <w:t>.</w:t>
            </w:r>
            <w:r w:rsidR="008A7E30">
              <w:rPr>
                <w:sz w:val="18"/>
                <w:szCs w:val="18"/>
                <w:lang w:val="id-ID"/>
              </w:rPr>
              <w:t>601</w:t>
            </w:r>
            <w:r w:rsidR="006D101A">
              <w:rPr>
                <w:sz w:val="18"/>
                <w:szCs w:val="18"/>
                <w:lang w:val="en-ID"/>
              </w:rPr>
              <w:t>.</w:t>
            </w:r>
            <w:r w:rsidRPr="00D015BA">
              <w:rPr>
                <w:sz w:val="18"/>
                <w:szCs w:val="18"/>
                <w:lang w:val="en-ID"/>
              </w:rPr>
              <w:t>4</w:t>
            </w:r>
            <w:r w:rsidR="008A7E30">
              <w:rPr>
                <w:sz w:val="18"/>
                <w:szCs w:val="18"/>
                <w:lang w:val="id-ID"/>
              </w:rPr>
              <w:t>08</w:t>
            </w:r>
          </w:p>
        </w:tc>
        <w:tc>
          <w:tcPr>
            <w:tcW w:w="124" w:type="dxa"/>
            <w:tcMar>
              <w:left w:w="28" w:type="dxa"/>
              <w:right w:w="28" w:type="dxa"/>
            </w:tcMar>
          </w:tcPr>
          <w:p w14:paraId="64C14CD5"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66AD72AD" w14:textId="04AA7B70" w:rsidR="00F84E7F" w:rsidRPr="00DA78F1" w:rsidRDefault="00F84E7F" w:rsidP="00F84E7F">
            <w:pPr>
              <w:ind w:left="-76" w:right="28"/>
              <w:jc w:val="right"/>
              <w:rPr>
                <w:sz w:val="18"/>
                <w:szCs w:val="18"/>
              </w:rPr>
            </w:pPr>
            <w:r w:rsidRPr="00DA78F1">
              <w:rPr>
                <w:sz w:val="18"/>
                <w:szCs w:val="18"/>
                <w:lang w:val="en-ID"/>
              </w:rPr>
              <w:t>354.166.774.735</w:t>
            </w:r>
          </w:p>
        </w:tc>
        <w:tc>
          <w:tcPr>
            <w:tcW w:w="125" w:type="dxa"/>
          </w:tcPr>
          <w:p w14:paraId="271534E2" w14:textId="77777777" w:rsidR="00F84E7F" w:rsidRPr="00DE189C" w:rsidRDefault="00F84E7F" w:rsidP="00F84E7F">
            <w:pPr>
              <w:ind w:right="144"/>
              <w:jc w:val="right"/>
              <w:rPr>
                <w:i/>
                <w:sz w:val="18"/>
                <w:szCs w:val="18"/>
              </w:rPr>
            </w:pPr>
          </w:p>
        </w:tc>
        <w:tc>
          <w:tcPr>
            <w:tcW w:w="2732" w:type="dxa"/>
            <w:vAlign w:val="bottom"/>
          </w:tcPr>
          <w:p w14:paraId="739A9A5D" w14:textId="77777777" w:rsidR="00F84E7F" w:rsidRPr="00DE189C" w:rsidRDefault="00F84E7F" w:rsidP="00F84E7F">
            <w:pPr>
              <w:ind w:right="170"/>
              <w:jc w:val="right"/>
              <w:rPr>
                <w:i/>
                <w:sz w:val="18"/>
                <w:szCs w:val="18"/>
              </w:rPr>
            </w:pPr>
            <w:r w:rsidRPr="00DE189C">
              <w:rPr>
                <w:i/>
                <w:sz w:val="18"/>
                <w:szCs w:val="18"/>
              </w:rPr>
              <w:t>Related parties</w:t>
            </w:r>
          </w:p>
        </w:tc>
      </w:tr>
      <w:tr w:rsidR="00F84E7F" w:rsidRPr="00DE189C" w14:paraId="78FFB104" w14:textId="77777777" w:rsidTr="002B637F">
        <w:trPr>
          <w:trHeight w:val="20"/>
        </w:trPr>
        <w:tc>
          <w:tcPr>
            <w:tcW w:w="2731" w:type="dxa"/>
            <w:vAlign w:val="bottom"/>
          </w:tcPr>
          <w:p w14:paraId="41623A78" w14:textId="77777777" w:rsidR="00F84E7F" w:rsidRPr="00DE189C" w:rsidRDefault="00F84E7F" w:rsidP="00F84E7F">
            <w:pPr>
              <w:ind w:left="284"/>
              <w:rPr>
                <w:sz w:val="18"/>
                <w:szCs w:val="18"/>
              </w:rPr>
            </w:pPr>
            <w:r w:rsidRPr="00DE189C">
              <w:rPr>
                <w:sz w:val="18"/>
                <w:szCs w:val="18"/>
              </w:rPr>
              <w:t>Pihak ketiga</w:t>
            </w:r>
          </w:p>
        </w:tc>
        <w:tc>
          <w:tcPr>
            <w:tcW w:w="125" w:type="dxa"/>
            <w:tcMar>
              <w:left w:w="28" w:type="dxa"/>
              <w:right w:w="28" w:type="dxa"/>
            </w:tcMar>
          </w:tcPr>
          <w:p w14:paraId="2FBA225D" w14:textId="77777777" w:rsidR="00F84E7F" w:rsidRPr="00DE189C" w:rsidRDefault="00F84E7F" w:rsidP="00F84E7F">
            <w:pPr>
              <w:jc w:val="center"/>
              <w:rPr>
                <w:sz w:val="18"/>
                <w:szCs w:val="18"/>
                <w:lang w:val="id-ID"/>
              </w:rPr>
            </w:pPr>
          </w:p>
        </w:tc>
        <w:tc>
          <w:tcPr>
            <w:tcW w:w="1680" w:type="dxa"/>
            <w:tcMar>
              <w:left w:w="28" w:type="dxa"/>
              <w:right w:w="28" w:type="dxa"/>
            </w:tcMar>
            <w:vAlign w:val="bottom"/>
          </w:tcPr>
          <w:p w14:paraId="12C506C8" w14:textId="47906765" w:rsidR="00F84E7F" w:rsidRPr="00DA78F1" w:rsidRDefault="00D015BA" w:rsidP="00F84E7F">
            <w:pPr>
              <w:ind w:left="-76" w:right="28"/>
              <w:jc w:val="right"/>
              <w:rPr>
                <w:sz w:val="18"/>
                <w:szCs w:val="18"/>
                <w:lang w:val="id-ID"/>
              </w:rPr>
            </w:pPr>
            <w:r w:rsidRPr="00D015BA">
              <w:rPr>
                <w:sz w:val="18"/>
                <w:szCs w:val="18"/>
                <w:lang w:val="id-ID"/>
              </w:rPr>
              <w:t>2</w:t>
            </w:r>
            <w:r w:rsidR="006D101A">
              <w:rPr>
                <w:sz w:val="18"/>
                <w:szCs w:val="18"/>
                <w:lang w:val="id-ID"/>
              </w:rPr>
              <w:t>.</w:t>
            </w:r>
            <w:r w:rsidRPr="00D015BA">
              <w:rPr>
                <w:sz w:val="18"/>
                <w:szCs w:val="18"/>
                <w:lang w:val="id-ID"/>
              </w:rPr>
              <w:t>151</w:t>
            </w:r>
            <w:r w:rsidR="006D101A">
              <w:rPr>
                <w:sz w:val="18"/>
                <w:szCs w:val="18"/>
                <w:lang w:val="id-ID"/>
              </w:rPr>
              <w:t>.</w:t>
            </w:r>
            <w:r w:rsidRPr="00D015BA">
              <w:rPr>
                <w:sz w:val="18"/>
                <w:szCs w:val="18"/>
                <w:lang w:val="id-ID"/>
              </w:rPr>
              <w:t>713</w:t>
            </w:r>
            <w:r w:rsidR="006D101A">
              <w:rPr>
                <w:sz w:val="18"/>
                <w:szCs w:val="18"/>
                <w:lang w:val="id-ID"/>
              </w:rPr>
              <w:t>.</w:t>
            </w:r>
            <w:r w:rsidRPr="00D015BA">
              <w:rPr>
                <w:sz w:val="18"/>
                <w:szCs w:val="18"/>
                <w:lang w:val="id-ID"/>
              </w:rPr>
              <w:t>851</w:t>
            </w:r>
          </w:p>
        </w:tc>
        <w:tc>
          <w:tcPr>
            <w:tcW w:w="124" w:type="dxa"/>
            <w:tcMar>
              <w:left w:w="28" w:type="dxa"/>
              <w:right w:w="28" w:type="dxa"/>
            </w:tcMar>
            <w:vAlign w:val="bottom"/>
          </w:tcPr>
          <w:p w14:paraId="2BA1D497"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7A656597" w14:textId="1EFD9166" w:rsidR="00F84E7F" w:rsidRPr="00DA78F1" w:rsidRDefault="00F84E7F" w:rsidP="00F84E7F">
            <w:pPr>
              <w:ind w:left="-76" w:right="28"/>
              <w:jc w:val="right"/>
              <w:rPr>
                <w:sz w:val="18"/>
                <w:szCs w:val="18"/>
              </w:rPr>
            </w:pPr>
            <w:r w:rsidRPr="00DA78F1">
              <w:rPr>
                <w:sz w:val="18"/>
                <w:szCs w:val="18"/>
                <w:lang w:val="id-ID"/>
              </w:rPr>
              <w:t>2.426.970.013</w:t>
            </w:r>
          </w:p>
        </w:tc>
        <w:tc>
          <w:tcPr>
            <w:tcW w:w="125" w:type="dxa"/>
          </w:tcPr>
          <w:p w14:paraId="1EF74FAA" w14:textId="77777777" w:rsidR="00F84E7F" w:rsidRPr="00DE189C" w:rsidRDefault="00F84E7F" w:rsidP="00F84E7F">
            <w:pPr>
              <w:ind w:right="144"/>
              <w:jc w:val="right"/>
              <w:rPr>
                <w:i/>
                <w:sz w:val="18"/>
                <w:szCs w:val="18"/>
                <w:lang w:val="id-ID"/>
              </w:rPr>
            </w:pPr>
          </w:p>
        </w:tc>
        <w:tc>
          <w:tcPr>
            <w:tcW w:w="2732" w:type="dxa"/>
            <w:vAlign w:val="bottom"/>
          </w:tcPr>
          <w:p w14:paraId="10B7DF56" w14:textId="77777777" w:rsidR="00F84E7F" w:rsidRPr="00DE189C" w:rsidRDefault="00F84E7F" w:rsidP="00F84E7F">
            <w:pPr>
              <w:ind w:right="170"/>
              <w:jc w:val="right"/>
              <w:rPr>
                <w:i/>
                <w:sz w:val="18"/>
                <w:szCs w:val="18"/>
              </w:rPr>
            </w:pPr>
            <w:r w:rsidRPr="00DE189C">
              <w:rPr>
                <w:i/>
                <w:sz w:val="18"/>
                <w:szCs w:val="18"/>
              </w:rPr>
              <w:t>Third parties</w:t>
            </w:r>
          </w:p>
        </w:tc>
      </w:tr>
      <w:tr w:rsidR="00F84E7F" w:rsidRPr="00DE189C" w14:paraId="2163E5F6" w14:textId="77777777" w:rsidTr="002B637F">
        <w:trPr>
          <w:trHeight w:val="20"/>
        </w:trPr>
        <w:tc>
          <w:tcPr>
            <w:tcW w:w="2731" w:type="dxa"/>
            <w:vAlign w:val="bottom"/>
          </w:tcPr>
          <w:p w14:paraId="0436F14D" w14:textId="77777777" w:rsidR="00F84E7F" w:rsidRPr="00DE189C" w:rsidRDefault="00F84E7F" w:rsidP="00F84E7F">
            <w:pPr>
              <w:ind w:left="284" w:right="99" w:hanging="142"/>
              <w:rPr>
                <w:sz w:val="18"/>
                <w:szCs w:val="18"/>
              </w:rPr>
            </w:pPr>
            <w:r w:rsidRPr="00DE189C">
              <w:rPr>
                <w:sz w:val="18"/>
                <w:szCs w:val="18"/>
              </w:rPr>
              <w:t>Pajak dibayar dimuka</w:t>
            </w:r>
          </w:p>
        </w:tc>
        <w:tc>
          <w:tcPr>
            <w:tcW w:w="125" w:type="dxa"/>
            <w:tcMar>
              <w:left w:w="28" w:type="dxa"/>
              <w:right w:w="28" w:type="dxa"/>
            </w:tcMar>
          </w:tcPr>
          <w:p w14:paraId="0E85E391" w14:textId="77777777" w:rsidR="00F84E7F" w:rsidRPr="00DE189C" w:rsidRDefault="00F84E7F" w:rsidP="00F84E7F">
            <w:pPr>
              <w:jc w:val="center"/>
              <w:rPr>
                <w:sz w:val="18"/>
                <w:szCs w:val="18"/>
                <w:lang w:val="id-ID"/>
              </w:rPr>
            </w:pPr>
          </w:p>
        </w:tc>
        <w:tc>
          <w:tcPr>
            <w:tcW w:w="1680" w:type="dxa"/>
            <w:tcMar>
              <w:left w:w="28" w:type="dxa"/>
              <w:right w:w="28" w:type="dxa"/>
            </w:tcMar>
            <w:vAlign w:val="bottom"/>
          </w:tcPr>
          <w:p w14:paraId="4177FC74" w14:textId="2D49917B" w:rsidR="00F84E7F" w:rsidRPr="00DA78F1" w:rsidRDefault="00D015BA" w:rsidP="00F84E7F">
            <w:pPr>
              <w:ind w:left="-76" w:right="28"/>
              <w:jc w:val="right"/>
              <w:rPr>
                <w:sz w:val="18"/>
                <w:szCs w:val="18"/>
                <w:lang w:val="id-ID"/>
              </w:rPr>
            </w:pPr>
            <w:r w:rsidRPr="00D015BA">
              <w:rPr>
                <w:sz w:val="18"/>
                <w:szCs w:val="18"/>
                <w:lang w:val="id-ID"/>
              </w:rPr>
              <w:t>6</w:t>
            </w:r>
            <w:r w:rsidR="006D101A">
              <w:rPr>
                <w:sz w:val="18"/>
                <w:szCs w:val="18"/>
                <w:lang w:val="id-ID"/>
              </w:rPr>
              <w:t>.</w:t>
            </w:r>
            <w:r w:rsidRPr="00D015BA">
              <w:rPr>
                <w:sz w:val="18"/>
                <w:szCs w:val="18"/>
                <w:lang w:val="id-ID"/>
              </w:rPr>
              <w:t>043</w:t>
            </w:r>
            <w:r w:rsidR="006D101A">
              <w:rPr>
                <w:sz w:val="18"/>
                <w:szCs w:val="18"/>
                <w:lang w:val="id-ID"/>
              </w:rPr>
              <w:t>.</w:t>
            </w:r>
            <w:r w:rsidRPr="00D015BA">
              <w:rPr>
                <w:sz w:val="18"/>
                <w:szCs w:val="18"/>
                <w:lang w:val="id-ID"/>
              </w:rPr>
              <w:t>281</w:t>
            </w:r>
          </w:p>
        </w:tc>
        <w:tc>
          <w:tcPr>
            <w:tcW w:w="124" w:type="dxa"/>
            <w:tcMar>
              <w:left w:w="28" w:type="dxa"/>
              <w:right w:w="28" w:type="dxa"/>
            </w:tcMar>
            <w:vAlign w:val="bottom"/>
          </w:tcPr>
          <w:p w14:paraId="331CD29F"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73C8E77D" w14:textId="588EE1C3" w:rsidR="00F84E7F" w:rsidRPr="00DA78F1" w:rsidRDefault="00F84E7F" w:rsidP="00F84E7F">
            <w:pPr>
              <w:ind w:left="-76" w:right="28"/>
              <w:jc w:val="right"/>
              <w:rPr>
                <w:sz w:val="18"/>
                <w:szCs w:val="18"/>
              </w:rPr>
            </w:pPr>
            <w:r w:rsidRPr="00DA78F1">
              <w:rPr>
                <w:sz w:val="18"/>
                <w:szCs w:val="18"/>
                <w:lang w:val="id-ID"/>
              </w:rPr>
              <w:t>6.043.281</w:t>
            </w:r>
          </w:p>
        </w:tc>
        <w:tc>
          <w:tcPr>
            <w:tcW w:w="125" w:type="dxa"/>
          </w:tcPr>
          <w:p w14:paraId="7D659C6B" w14:textId="77777777" w:rsidR="00F84E7F" w:rsidRPr="00DE189C" w:rsidRDefault="00F84E7F" w:rsidP="00F84E7F">
            <w:pPr>
              <w:ind w:right="144"/>
              <w:jc w:val="right"/>
              <w:rPr>
                <w:i/>
                <w:sz w:val="18"/>
                <w:szCs w:val="18"/>
                <w:lang w:val="id-ID"/>
              </w:rPr>
            </w:pPr>
          </w:p>
        </w:tc>
        <w:tc>
          <w:tcPr>
            <w:tcW w:w="2732" w:type="dxa"/>
            <w:vAlign w:val="bottom"/>
          </w:tcPr>
          <w:p w14:paraId="3E2EB85F" w14:textId="77777777" w:rsidR="00F84E7F" w:rsidRPr="00DE189C" w:rsidRDefault="00F84E7F" w:rsidP="00F84E7F">
            <w:pPr>
              <w:ind w:right="67"/>
              <w:jc w:val="right"/>
              <w:rPr>
                <w:i/>
                <w:sz w:val="18"/>
                <w:szCs w:val="18"/>
              </w:rPr>
            </w:pPr>
            <w:r w:rsidRPr="00DE189C">
              <w:rPr>
                <w:i/>
                <w:sz w:val="18"/>
                <w:szCs w:val="18"/>
              </w:rPr>
              <w:t>Prepaid tax</w:t>
            </w:r>
          </w:p>
        </w:tc>
      </w:tr>
      <w:tr w:rsidR="00F84E7F" w:rsidRPr="00DE189C" w14:paraId="1ED88B11" w14:textId="77777777" w:rsidTr="002B637F">
        <w:trPr>
          <w:trHeight w:val="20"/>
        </w:trPr>
        <w:tc>
          <w:tcPr>
            <w:tcW w:w="2731" w:type="dxa"/>
            <w:vAlign w:val="bottom"/>
          </w:tcPr>
          <w:p w14:paraId="1079D2DB" w14:textId="77777777" w:rsidR="00F84E7F" w:rsidRPr="00DE189C" w:rsidRDefault="00F84E7F" w:rsidP="00F84E7F">
            <w:pPr>
              <w:ind w:left="284" w:right="99" w:hanging="142"/>
              <w:rPr>
                <w:sz w:val="18"/>
                <w:szCs w:val="18"/>
              </w:rPr>
            </w:pPr>
            <w:r w:rsidRPr="00DE189C">
              <w:rPr>
                <w:sz w:val="18"/>
                <w:szCs w:val="18"/>
              </w:rPr>
              <w:t>Persediaan</w:t>
            </w:r>
          </w:p>
        </w:tc>
        <w:tc>
          <w:tcPr>
            <w:tcW w:w="125" w:type="dxa"/>
            <w:tcMar>
              <w:left w:w="28" w:type="dxa"/>
              <w:right w:w="28" w:type="dxa"/>
            </w:tcMar>
          </w:tcPr>
          <w:p w14:paraId="19B1E2D9" w14:textId="77777777" w:rsidR="00F84E7F" w:rsidRPr="00DE189C" w:rsidRDefault="00F84E7F" w:rsidP="00F84E7F">
            <w:pPr>
              <w:jc w:val="center"/>
              <w:rPr>
                <w:sz w:val="18"/>
                <w:szCs w:val="18"/>
              </w:rPr>
            </w:pPr>
          </w:p>
        </w:tc>
        <w:tc>
          <w:tcPr>
            <w:tcW w:w="1680" w:type="dxa"/>
            <w:tcMar>
              <w:left w:w="28" w:type="dxa"/>
              <w:right w:w="28" w:type="dxa"/>
            </w:tcMar>
            <w:vAlign w:val="bottom"/>
          </w:tcPr>
          <w:p w14:paraId="585870CD" w14:textId="5FD92885" w:rsidR="00F84E7F" w:rsidRPr="00DA78F1" w:rsidRDefault="00D015BA" w:rsidP="00F84E7F">
            <w:pPr>
              <w:ind w:left="-76" w:right="28"/>
              <w:jc w:val="right"/>
              <w:rPr>
                <w:sz w:val="18"/>
                <w:szCs w:val="18"/>
                <w:lang w:val="id-ID"/>
              </w:rPr>
            </w:pPr>
            <w:r w:rsidRPr="00D015BA">
              <w:rPr>
                <w:sz w:val="18"/>
                <w:szCs w:val="18"/>
                <w:lang w:val="id-ID"/>
              </w:rPr>
              <w:t>30</w:t>
            </w:r>
            <w:r w:rsidR="006D101A">
              <w:rPr>
                <w:sz w:val="18"/>
                <w:szCs w:val="18"/>
                <w:lang w:val="id-ID"/>
              </w:rPr>
              <w:t>.</w:t>
            </w:r>
            <w:r w:rsidRPr="00D015BA">
              <w:rPr>
                <w:sz w:val="18"/>
                <w:szCs w:val="18"/>
                <w:lang w:val="id-ID"/>
              </w:rPr>
              <w:t>167</w:t>
            </w:r>
            <w:r w:rsidR="006D101A">
              <w:rPr>
                <w:sz w:val="18"/>
                <w:szCs w:val="18"/>
                <w:lang w:val="id-ID"/>
              </w:rPr>
              <w:t>.</w:t>
            </w:r>
            <w:r w:rsidRPr="00D015BA">
              <w:rPr>
                <w:sz w:val="18"/>
                <w:szCs w:val="18"/>
                <w:lang w:val="id-ID"/>
              </w:rPr>
              <w:t>224</w:t>
            </w:r>
            <w:r w:rsidR="006D101A">
              <w:rPr>
                <w:sz w:val="18"/>
                <w:szCs w:val="18"/>
                <w:lang w:val="id-ID"/>
              </w:rPr>
              <w:t>.</w:t>
            </w:r>
            <w:r w:rsidRPr="00D015BA">
              <w:rPr>
                <w:sz w:val="18"/>
                <w:szCs w:val="18"/>
                <w:lang w:val="id-ID"/>
              </w:rPr>
              <w:t>791</w:t>
            </w:r>
          </w:p>
        </w:tc>
        <w:tc>
          <w:tcPr>
            <w:tcW w:w="124" w:type="dxa"/>
            <w:tcMar>
              <w:left w:w="28" w:type="dxa"/>
              <w:right w:w="28" w:type="dxa"/>
            </w:tcMar>
          </w:tcPr>
          <w:p w14:paraId="53EC5DBC"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2DD4D967" w14:textId="1AA96BE3" w:rsidR="00F84E7F" w:rsidRPr="00DA78F1" w:rsidRDefault="00F84E7F" w:rsidP="00F84E7F">
            <w:pPr>
              <w:ind w:left="-76" w:right="28"/>
              <w:jc w:val="right"/>
              <w:rPr>
                <w:sz w:val="18"/>
                <w:szCs w:val="18"/>
              </w:rPr>
            </w:pPr>
            <w:r w:rsidRPr="00DA78F1">
              <w:rPr>
                <w:sz w:val="18"/>
                <w:szCs w:val="18"/>
                <w:lang w:val="id-ID"/>
              </w:rPr>
              <w:t>23.298.711.811</w:t>
            </w:r>
          </w:p>
        </w:tc>
        <w:tc>
          <w:tcPr>
            <w:tcW w:w="125" w:type="dxa"/>
          </w:tcPr>
          <w:p w14:paraId="59A511AB" w14:textId="77777777" w:rsidR="00F84E7F" w:rsidRPr="00DE189C" w:rsidRDefault="00F84E7F" w:rsidP="00F84E7F">
            <w:pPr>
              <w:ind w:right="144"/>
              <w:jc w:val="right"/>
              <w:rPr>
                <w:i/>
                <w:sz w:val="18"/>
                <w:szCs w:val="18"/>
              </w:rPr>
            </w:pPr>
          </w:p>
        </w:tc>
        <w:tc>
          <w:tcPr>
            <w:tcW w:w="2732" w:type="dxa"/>
            <w:vAlign w:val="bottom"/>
          </w:tcPr>
          <w:p w14:paraId="2CA3B160" w14:textId="77777777" w:rsidR="00F84E7F" w:rsidRPr="00DE189C" w:rsidRDefault="00F84E7F" w:rsidP="00F84E7F">
            <w:pPr>
              <w:ind w:right="67"/>
              <w:jc w:val="right"/>
              <w:rPr>
                <w:i/>
                <w:sz w:val="18"/>
                <w:szCs w:val="18"/>
              </w:rPr>
            </w:pPr>
            <w:r w:rsidRPr="00DE189C">
              <w:rPr>
                <w:i/>
                <w:sz w:val="18"/>
                <w:szCs w:val="18"/>
              </w:rPr>
              <w:t>Inventories</w:t>
            </w:r>
          </w:p>
        </w:tc>
      </w:tr>
      <w:tr w:rsidR="00F84E7F" w:rsidRPr="00DE189C" w14:paraId="73FB6DFD" w14:textId="77777777" w:rsidTr="002B637F">
        <w:trPr>
          <w:trHeight w:val="109"/>
        </w:trPr>
        <w:tc>
          <w:tcPr>
            <w:tcW w:w="2731" w:type="dxa"/>
            <w:vAlign w:val="bottom"/>
          </w:tcPr>
          <w:p w14:paraId="745BC0D2" w14:textId="77777777" w:rsidR="00F84E7F" w:rsidRPr="00DE189C" w:rsidRDefault="00F84E7F" w:rsidP="00F84E7F">
            <w:pPr>
              <w:ind w:left="284" w:right="99" w:hanging="142"/>
              <w:rPr>
                <w:sz w:val="18"/>
                <w:szCs w:val="18"/>
              </w:rPr>
            </w:pPr>
            <w:r w:rsidRPr="00DE189C">
              <w:rPr>
                <w:sz w:val="18"/>
                <w:szCs w:val="18"/>
              </w:rPr>
              <w:t>Uang muka</w:t>
            </w:r>
          </w:p>
        </w:tc>
        <w:tc>
          <w:tcPr>
            <w:tcW w:w="125" w:type="dxa"/>
            <w:tcMar>
              <w:left w:w="28" w:type="dxa"/>
              <w:right w:w="28" w:type="dxa"/>
            </w:tcMar>
          </w:tcPr>
          <w:p w14:paraId="203762B1" w14:textId="77777777" w:rsidR="00F84E7F" w:rsidRPr="00DE189C" w:rsidRDefault="00F84E7F" w:rsidP="00F84E7F">
            <w:pPr>
              <w:jc w:val="center"/>
              <w:rPr>
                <w:sz w:val="18"/>
                <w:szCs w:val="18"/>
              </w:rPr>
            </w:pPr>
          </w:p>
        </w:tc>
        <w:tc>
          <w:tcPr>
            <w:tcW w:w="1680" w:type="dxa"/>
            <w:tcMar>
              <w:left w:w="28" w:type="dxa"/>
              <w:right w:w="28" w:type="dxa"/>
            </w:tcMar>
            <w:vAlign w:val="bottom"/>
          </w:tcPr>
          <w:p w14:paraId="07D1D594" w14:textId="23EDDB43" w:rsidR="00F84E7F" w:rsidRPr="00DA78F1" w:rsidRDefault="00D015BA" w:rsidP="00F84E7F">
            <w:pPr>
              <w:ind w:left="-76" w:right="28"/>
              <w:jc w:val="right"/>
              <w:rPr>
                <w:sz w:val="18"/>
                <w:szCs w:val="18"/>
                <w:lang w:val="id-ID"/>
              </w:rPr>
            </w:pPr>
            <w:r w:rsidRPr="00D015BA">
              <w:rPr>
                <w:sz w:val="18"/>
                <w:szCs w:val="18"/>
                <w:lang w:val="id-ID"/>
              </w:rPr>
              <w:t>45</w:t>
            </w:r>
            <w:r w:rsidR="006D101A">
              <w:rPr>
                <w:sz w:val="18"/>
                <w:szCs w:val="18"/>
                <w:lang w:val="id-ID"/>
              </w:rPr>
              <w:t>.</w:t>
            </w:r>
            <w:r w:rsidRPr="00D015BA">
              <w:rPr>
                <w:sz w:val="18"/>
                <w:szCs w:val="18"/>
                <w:lang w:val="id-ID"/>
              </w:rPr>
              <w:t>936</w:t>
            </w:r>
            <w:r w:rsidR="006D101A">
              <w:rPr>
                <w:sz w:val="18"/>
                <w:szCs w:val="18"/>
                <w:lang w:val="id-ID"/>
              </w:rPr>
              <w:t>.</w:t>
            </w:r>
            <w:r w:rsidRPr="00D015BA">
              <w:rPr>
                <w:sz w:val="18"/>
                <w:szCs w:val="18"/>
                <w:lang w:val="id-ID"/>
              </w:rPr>
              <w:t>297</w:t>
            </w:r>
            <w:r w:rsidR="006D101A">
              <w:rPr>
                <w:sz w:val="18"/>
                <w:szCs w:val="18"/>
                <w:lang w:val="id-ID"/>
              </w:rPr>
              <w:t>.</w:t>
            </w:r>
            <w:r w:rsidRPr="00D015BA">
              <w:rPr>
                <w:sz w:val="18"/>
                <w:szCs w:val="18"/>
                <w:lang w:val="id-ID"/>
              </w:rPr>
              <w:t>691</w:t>
            </w:r>
          </w:p>
        </w:tc>
        <w:tc>
          <w:tcPr>
            <w:tcW w:w="124" w:type="dxa"/>
            <w:tcMar>
              <w:left w:w="28" w:type="dxa"/>
              <w:right w:w="28" w:type="dxa"/>
            </w:tcMar>
          </w:tcPr>
          <w:p w14:paraId="17FB47DD"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1E00AC80" w14:textId="4199B5C2" w:rsidR="00F84E7F" w:rsidRPr="00DA78F1" w:rsidRDefault="00F84E7F" w:rsidP="00F84E7F">
            <w:pPr>
              <w:ind w:left="-76" w:right="28"/>
              <w:jc w:val="right"/>
              <w:rPr>
                <w:sz w:val="18"/>
                <w:szCs w:val="18"/>
              </w:rPr>
            </w:pPr>
            <w:r w:rsidRPr="00DA78F1">
              <w:rPr>
                <w:sz w:val="18"/>
                <w:szCs w:val="18"/>
                <w:lang w:val="id-ID"/>
              </w:rPr>
              <w:t>48.829.475.706</w:t>
            </w:r>
          </w:p>
        </w:tc>
        <w:tc>
          <w:tcPr>
            <w:tcW w:w="125" w:type="dxa"/>
          </w:tcPr>
          <w:p w14:paraId="1AE65B5B" w14:textId="77777777" w:rsidR="00F84E7F" w:rsidRPr="00DE189C" w:rsidRDefault="00F84E7F" w:rsidP="00F84E7F">
            <w:pPr>
              <w:ind w:right="144"/>
              <w:jc w:val="right"/>
              <w:rPr>
                <w:i/>
                <w:sz w:val="18"/>
                <w:szCs w:val="18"/>
              </w:rPr>
            </w:pPr>
          </w:p>
        </w:tc>
        <w:tc>
          <w:tcPr>
            <w:tcW w:w="2732" w:type="dxa"/>
            <w:vAlign w:val="bottom"/>
          </w:tcPr>
          <w:p w14:paraId="124B7606" w14:textId="77777777" w:rsidR="00F84E7F" w:rsidRPr="00DE189C" w:rsidRDefault="00F84E7F" w:rsidP="00F84E7F">
            <w:pPr>
              <w:ind w:right="67"/>
              <w:jc w:val="right"/>
              <w:rPr>
                <w:i/>
                <w:sz w:val="18"/>
                <w:szCs w:val="18"/>
              </w:rPr>
            </w:pPr>
            <w:r w:rsidRPr="00DE189C">
              <w:rPr>
                <w:i/>
                <w:sz w:val="18"/>
                <w:szCs w:val="18"/>
              </w:rPr>
              <w:t>Advances</w:t>
            </w:r>
          </w:p>
        </w:tc>
      </w:tr>
      <w:tr w:rsidR="00F84E7F" w:rsidRPr="00DE189C" w14:paraId="1FE532F4" w14:textId="77777777" w:rsidTr="005B669E">
        <w:trPr>
          <w:trHeight w:val="109"/>
        </w:trPr>
        <w:tc>
          <w:tcPr>
            <w:tcW w:w="2731" w:type="dxa"/>
            <w:vAlign w:val="bottom"/>
          </w:tcPr>
          <w:p w14:paraId="0FB76A64" w14:textId="77777777" w:rsidR="00F84E7F" w:rsidRPr="00DE189C" w:rsidRDefault="00F84E7F" w:rsidP="00F84E7F">
            <w:pPr>
              <w:ind w:left="284" w:right="99" w:hanging="142"/>
              <w:rPr>
                <w:sz w:val="18"/>
                <w:szCs w:val="18"/>
              </w:rPr>
            </w:pPr>
            <w:r w:rsidRPr="00DE189C">
              <w:rPr>
                <w:sz w:val="18"/>
                <w:szCs w:val="18"/>
              </w:rPr>
              <w:t>Biaya dibayar dimuka</w:t>
            </w:r>
          </w:p>
        </w:tc>
        <w:tc>
          <w:tcPr>
            <w:tcW w:w="125" w:type="dxa"/>
            <w:tcMar>
              <w:left w:w="28" w:type="dxa"/>
              <w:right w:w="28" w:type="dxa"/>
            </w:tcMar>
          </w:tcPr>
          <w:p w14:paraId="1DFF7A26" w14:textId="77777777" w:rsidR="00F84E7F" w:rsidRPr="00DE189C" w:rsidRDefault="00F84E7F" w:rsidP="00F84E7F">
            <w:pPr>
              <w:jc w:val="center"/>
              <w:rPr>
                <w:sz w:val="18"/>
                <w:szCs w:val="18"/>
              </w:rPr>
            </w:pPr>
          </w:p>
        </w:tc>
        <w:tc>
          <w:tcPr>
            <w:tcW w:w="1680" w:type="dxa"/>
            <w:tcBorders>
              <w:bottom w:val="single" w:sz="4" w:space="0" w:color="auto"/>
            </w:tcBorders>
            <w:tcMar>
              <w:left w:w="28" w:type="dxa"/>
              <w:right w:w="28" w:type="dxa"/>
            </w:tcMar>
            <w:vAlign w:val="bottom"/>
          </w:tcPr>
          <w:p w14:paraId="6CFDB4CE" w14:textId="0651CA5F" w:rsidR="00F84E7F" w:rsidRPr="00DA78F1" w:rsidRDefault="00D015BA" w:rsidP="00F84E7F">
            <w:pPr>
              <w:ind w:left="-76" w:right="28"/>
              <w:jc w:val="right"/>
              <w:rPr>
                <w:sz w:val="18"/>
                <w:szCs w:val="18"/>
                <w:lang w:val="id-ID"/>
              </w:rPr>
            </w:pPr>
            <w:r w:rsidRPr="00D015BA">
              <w:rPr>
                <w:sz w:val="18"/>
                <w:szCs w:val="18"/>
                <w:lang w:val="id-ID"/>
              </w:rPr>
              <w:t>2</w:t>
            </w:r>
            <w:r w:rsidR="006D101A">
              <w:rPr>
                <w:sz w:val="18"/>
                <w:szCs w:val="18"/>
                <w:lang w:val="id-ID"/>
              </w:rPr>
              <w:t>.</w:t>
            </w:r>
            <w:r w:rsidRPr="00D015BA">
              <w:rPr>
                <w:sz w:val="18"/>
                <w:szCs w:val="18"/>
                <w:lang w:val="id-ID"/>
              </w:rPr>
              <w:t>052</w:t>
            </w:r>
            <w:r w:rsidR="006D101A">
              <w:rPr>
                <w:sz w:val="18"/>
                <w:szCs w:val="18"/>
                <w:lang w:val="id-ID"/>
              </w:rPr>
              <w:t>.</w:t>
            </w:r>
            <w:r w:rsidRPr="00D015BA">
              <w:rPr>
                <w:sz w:val="18"/>
                <w:szCs w:val="18"/>
                <w:lang w:val="id-ID"/>
              </w:rPr>
              <w:t>393</w:t>
            </w:r>
            <w:r w:rsidR="006D101A">
              <w:rPr>
                <w:sz w:val="18"/>
                <w:szCs w:val="18"/>
                <w:lang w:val="id-ID"/>
              </w:rPr>
              <w:t>.</w:t>
            </w:r>
            <w:r w:rsidRPr="00D015BA">
              <w:rPr>
                <w:sz w:val="18"/>
                <w:szCs w:val="18"/>
                <w:lang w:val="id-ID"/>
              </w:rPr>
              <w:t>330</w:t>
            </w:r>
          </w:p>
        </w:tc>
        <w:tc>
          <w:tcPr>
            <w:tcW w:w="124" w:type="dxa"/>
            <w:tcMar>
              <w:left w:w="28" w:type="dxa"/>
              <w:right w:w="28" w:type="dxa"/>
            </w:tcMar>
          </w:tcPr>
          <w:p w14:paraId="5C0E3B18" w14:textId="77777777" w:rsidR="00F84E7F" w:rsidRPr="00DA78F1" w:rsidRDefault="00F84E7F" w:rsidP="00F84E7F">
            <w:pPr>
              <w:ind w:left="-76" w:right="28"/>
              <w:jc w:val="right"/>
              <w:rPr>
                <w:sz w:val="18"/>
                <w:szCs w:val="18"/>
              </w:rPr>
            </w:pPr>
          </w:p>
        </w:tc>
        <w:tc>
          <w:tcPr>
            <w:tcW w:w="1680" w:type="dxa"/>
            <w:tcBorders>
              <w:bottom w:val="single" w:sz="4" w:space="0" w:color="auto"/>
            </w:tcBorders>
            <w:tcMar>
              <w:left w:w="28" w:type="dxa"/>
              <w:right w:w="28" w:type="dxa"/>
            </w:tcMar>
            <w:vAlign w:val="bottom"/>
          </w:tcPr>
          <w:p w14:paraId="28FDF617" w14:textId="3A1EC8ED" w:rsidR="00F84E7F" w:rsidRPr="00DA78F1" w:rsidRDefault="00F84E7F" w:rsidP="00F84E7F">
            <w:pPr>
              <w:ind w:left="-76" w:right="28"/>
              <w:jc w:val="right"/>
              <w:rPr>
                <w:sz w:val="18"/>
                <w:szCs w:val="18"/>
              </w:rPr>
            </w:pPr>
            <w:r w:rsidRPr="00DA78F1">
              <w:rPr>
                <w:sz w:val="18"/>
                <w:szCs w:val="18"/>
                <w:lang w:val="id-ID"/>
              </w:rPr>
              <w:t>1.157.158.82</w:t>
            </w:r>
            <w:r w:rsidRPr="00DA78F1">
              <w:rPr>
                <w:sz w:val="18"/>
                <w:szCs w:val="18"/>
              </w:rPr>
              <w:t>6</w:t>
            </w:r>
          </w:p>
        </w:tc>
        <w:tc>
          <w:tcPr>
            <w:tcW w:w="125" w:type="dxa"/>
          </w:tcPr>
          <w:p w14:paraId="31D69930" w14:textId="77777777" w:rsidR="00F84E7F" w:rsidRPr="00DE189C" w:rsidRDefault="00F84E7F" w:rsidP="00F84E7F">
            <w:pPr>
              <w:ind w:right="144"/>
              <w:jc w:val="right"/>
              <w:rPr>
                <w:i/>
                <w:sz w:val="18"/>
                <w:szCs w:val="18"/>
              </w:rPr>
            </w:pPr>
          </w:p>
        </w:tc>
        <w:tc>
          <w:tcPr>
            <w:tcW w:w="2732" w:type="dxa"/>
            <w:vAlign w:val="bottom"/>
          </w:tcPr>
          <w:p w14:paraId="10BF8F32" w14:textId="77777777" w:rsidR="00F84E7F" w:rsidRPr="00DE189C" w:rsidRDefault="00F84E7F" w:rsidP="00F84E7F">
            <w:pPr>
              <w:ind w:right="67"/>
              <w:jc w:val="right"/>
              <w:rPr>
                <w:i/>
                <w:sz w:val="18"/>
                <w:szCs w:val="18"/>
              </w:rPr>
            </w:pPr>
            <w:r w:rsidRPr="00DE189C">
              <w:rPr>
                <w:i/>
                <w:sz w:val="18"/>
                <w:szCs w:val="18"/>
              </w:rPr>
              <w:t>Prepaid expenses</w:t>
            </w:r>
          </w:p>
        </w:tc>
      </w:tr>
      <w:tr w:rsidR="00F84E7F" w:rsidRPr="00DE189C" w14:paraId="30166647" w14:textId="77777777" w:rsidTr="005B669E">
        <w:trPr>
          <w:trHeight w:val="109"/>
        </w:trPr>
        <w:tc>
          <w:tcPr>
            <w:tcW w:w="2731" w:type="dxa"/>
            <w:vAlign w:val="bottom"/>
          </w:tcPr>
          <w:p w14:paraId="36E0808D" w14:textId="77777777" w:rsidR="00F84E7F" w:rsidRPr="00DE189C" w:rsidRDefault="00F84E7F" w:rsidP="00F84E7F">
            <w:pPr>
              <w:ind w:left="284" w:right="99" w:hanging="142"/>
              <w:rPr>
                <w:sz w:val="18"/>
                <w:szCs w:val="18"/>
              </w:rPr>
            </w:pPr>
          </w:p>
        </w:tc>
        <w:tc>
          <w:tcPr>
            <w:tcW w:w="125" w:type="dxa"/>
            <w:tcMar>
              <w:left w:w="28" w:type="dxa"/>
              <w:right w:w="28" w:type="dxa"/>
            </w:tcMar>
          </w:tcPr>
          <w:p w14:paraId="14A5E412" w14:textId="77777777" w:rsidR="00F84E7F" w:rsidRPr="00DE189C" w:rsidRDefault="00F84E7F" w:rsidP="00F84E7F">
            <w:pPr>
              <w:jc w:val="center"/>
              <w:rPr>
                <w:sz w:val="18"/>
                <w:szCs w:val="18"/>
              </w:rPr>
            </w:pPr>
          </w:p>
        </w:tc>
        <w:tc>
          <w:tcPr>
            <w:tcW w:w="1680" w:type="dxa"/>
            <w:tcBorders>
              <w:top w:val="single" w:sz="4" w:space="0" w:color="auto"/>
            </w:tcBorders>
            <w:tcMar>
              <w:left w:w="28" w:type="dxa"/>
              <w:right w:w="28" w:type="dxa"/>
            </w:tcMar>
            <w:vAlign w:val="bottom"/>
          </w:tcPr>
          <w:p w14:paraId="3B2B3BF7"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04A839C4" w14:textId="77777777" w:rsidR="00F84E7F" w:rsidRPr="00DA78F1" w:rsidRDefault="00F84E7F" w:rsidP="00F84E7F">
            <w:pPr>
              <w:jc w:val="right"/>
              <w:rPr>
                <w:sz w:val="18"/>
                <w:szCs w:val="18"/>
              </w:rPr>
            </w:pPr>
          </w:p>
        </w:tc>
        <w:tc>
          <w:tcPr>
            <w:tcW w:w="1680" w:type="dxa"/>
            <w:tcBorders>
              <w:top w:val="single" w:sz="4" w:space="0" w:color="auto"/>
            </w:tcBorders>
            <w:tcMar>
              <w:left w:w="28" w:type="dxa"/>
              <w:right w:w="28" w:type="dxa"/>
            </w:tcMar>
            <w:vAlign w:val="bottom"/>
          </w:tcPr>
          <w:p w14:paraId="44BCCF2C" w14:textId="77777777" w:rsidR="00F84E7F" w:rsidRPr="00DA78F1" w:rsidRDefault="00F84E7F" w:rsidP="00F84E7F">
            <w:pPr>
              <w:ind w:left="-76" w:right="28"/>
              <w:jc w:val="right"/>
              <w:rPr>
                <w:sz w:val="18"/>
                <w:szCs w:val="18"/>
              </w:rPr>
            </w:pPr>
          </w:p>
        </w:tc>
        <w:tc>
          <w:tcPr>
            <w:tcW w:w="125" w:type="dxa"/>
          </w:tcPr>
          <w:p w14:paraId="1A64A2F4" w14:textId="77777777" w:rsidR="00F84E7F" w:rsidRPr="00DE189C" w:rsidRDefault="00F84E7F" w:rsidP="00F84E7F">
            <w:pPr>
              <w:ind w:left="-725" w:right="144"/>
              <w:jc w:val="right"/>
              <w:rPr>
                <w:i/>
                <w:sz w:val="18"/>
                <w:szCs w:val="18"/>
                <w:lang w:val="id-ID"/>
              </w:rPr>
            </w:pPr>
          </w:p>
        </w:tc>
        <w:tc>
          <w:tcPr>
            <w:tcW w:w="2732" w:type="dxa"/>
            <w:vAlign w:val="bottom"/>
          </w:tcPr>
          <w:p w14:paraId="21CC278F" w14:textId="77777777" w:rsidR="00F84E7F" w:rsidRPr="00DE189C" w:rsidRDefault="00F84E7F" w:rsidP="00F84E7F">
            <w:pPr>
              <w:ind w:left="-725" w:right="67"/>
              <w:jc w:val="right"/>
              <w:rPr>
                <w:i/>
                <w:sz w:val="18"/>
                <w:szCs w:val="18"/>
                <w:lang w:val="id-ID"/>
              </w:rPr>
            </w:pPr>
          </w:p>
        </w:tc>
      </w:tr>
      <w:tr w:rsidR="00F84E7F" w:rsidRPr="00DE189C" w14:paraId="551E2376" w14:textId="77777777" w:rsidTr="005B669E">
        <w:trPr>
          <w:trHeight w:val="109"/>
        </w:trPr>
        <w:tc>
          <w:tcPr>
            <w:tcW w:w="2731" w:type="dxa"/>
            <w:vAlign w:val="bottom"/>
          </w:tcPr>
          <w:p w14:paraId="665E76A6" w14:textId="77777777" w:rsidR="00F84E7F" w:rsidRPr="00DE189C" w:rsidRDefault="00F84E7F" w:rsidP="00F84E7F">
            <w:pPr>
              <w:ind w:left="284" w:right="99" w:hanging="142"/>
              <w:rPr>
                <w:b/>
                <w:sz w:val="18"/>
                <w:szCs w:val="18"/>
              </w:rPr>
            </w:pPr>
            <w:r w:rsidRPr="00DE189C">
              <w:rPr>
                <w:b/>
                <w:sz w:val="18"/>
                <w:szCs w:val="18"/>
              </w:rPr>
              <w:t xml:space="preserve">Jumlah Aset Lancar </w:t>
            </w:r>
          </w:p>
        </w:tc>
        <w:tc>
          <w:tcPr>
            <w:tcW w:w="125" w:type="dxa"/>
            <w:tcMar>
              <w:left w:w="28" w:type="dxa"/>
              <w:right w:w="28" w:type="dxa"/>
            </w:tcMar>
          </w:tcPr>
          <w:p w14:paraId="462ACCFD" w14:textId="77777777" w:rsidR="00F84E7F" w:rsidRPr="00DE189C" w:rsidRDefault="00F84E7F" w:rsidP="00F84E7F">
            <w:pPr>
              <w:jc w:val="center"/>
              <w:rPr>
                <w:b/>
                <w:sz w:val="18"/>
                <w:szCs w:val="18"/>
              </w:rPr>
            </w:pPr>
          </w:p>
        </w:tc>
        <w:tc>
          <w:tcPr>
            <w:tcW w:w="1680" w:type="dxa"/>
            <w:tcBorders>
              <w:bottom w:val="single" w:sz="4" w:space="0" w:color="auto"/>
            </w:tcBorders>
            <w:tcMar>
              <w:left w:w="28" w:type="dxa"/>
              <w:right w:w="28" w:type="dxa"/>
            </w:tcMar>
            <w:vAlign w:val="bottom"/>
          </w:tcPr>
          <w:p w14:paraId="7306ECA2" w14:textId="49A478ED" w:rsidR="00F84E7F" w:rsidRPr="00DA78F1" w:rsidRDefault="008A7E30" w:rsidP="00F84E7F">
            <w:pPr>
              <w:ind w:left="-76" w:right="28"/>
              <w:jc w:val="right"/>
              <w:rPr>
                <w:b/>
                <w:bCs w:val="0"/>
                <w:sz w:val="18"/>
                <w:szCs w:val="18"/>
                <w:lang w:val="id-ID"/>
              </w:rPr>
            </w:pPr>
            <w:r>
              <w:rPr>
                <w:b/>
                <w:bCs w:val="0"/>
                <w:sz w:val="18"/>
                <w:szCs w:val="18"/>
                <w:lang w:val="id-ID"/>
              </w:rPr>
              <w:t>885</w:t>
            </w:r>
            <w:r w:rsidR="006D101A">
              <w:rPr>
                <w:b/>
                <w:bCs w:val="0"/>
                <w:sz w:val="18"/>
                <w:szCs w:val="18"/>
                <w:lang w:val="id-ID"/>
              </w:rPr>
              <w:t>.</w:t>
            </w:r>
            <w:r>
              <w:rPr>
                <w:b/>
                <w:bCs w:val="0"/>
                <w:sz w:val="18"/>
                <w:szCs w:val="18"/>
                <w:lang w:val="id-ID"/>
              </w:rPr>
              <w:t>761</w:t>
            </w:r>
            <w:r w:rsidR="006D101A">
              <w:rPr>
                <w:b/>
                <w:bCs w:val="0"/>
                <w:sz w:val="18"/>
                <w:szCs w:val="18"/>
                <w:lang w:val="id-ID"/>
              </w:rPr>
              <w:t>.</w:t>
            </w:r>
            <w:r>
              <w:rPr>
                <w:b/>
                <w:bCs w:val="0"/>
                <w:sz w:val="18"/>
                <w:szCs w:val="18"/>
                <w:lang w:val="id-ID"/>
              </w:rPr>
              <w:t>213</w:t>
            </w:r>
            <w:r w:rsidR="006D101A">
              <w:rPr>
                <w:b/>
                <w:bCs w:val="0"/>
                <w:sz w:val="18"/>
                <w:szCs w:val="18"/>
                <w:lang w:val="id-ID"/>
              </w:rPr>
              <w:t>.</w:t>
            </w:r>
            <w:r>
              <w:rPr>
                <w:b/>
                <w:bCs w:val="0"/>
                <w:sz w:val="18"/>
                <w:szCs w:val="18"/>
                <w:lang w:val="id-ID"/>
              </w:rPr>
              <w:t>41</w:t>
            </w:r>
            <w:r w:rsidR="00D015BA" w:rsidRPr="00D015BA">
              <w:rPr>
                <w:b/>
                <w:bCs w:val="0"/>
                <w:sz w:val="18"/>
                <w:szCs w:val="18"/>
                <w:lang w:val="id-ID"/>
              </w:rPr>
              <w:t>0</w:t>
            </w:r>
          </w:p>
        </w:tc>
        <w:tc>
          <w:tcPr>
            <w:tcW w:w="124" w:type="dxa"/>
            <w:tcMar>
              <w:left w:w="28" w:type="dxa"/>
              <w:right w:w="28" w:type="dxa"/>
            </w:tcMar>
          </w:tcPr>
          <w:p w14:paraId="6BB1042D" w14:textId="77777777" w:rsidR="00F84E7F" w:rsidRPr="00DA78F1" w:rsidRDefault="00F84E7F" w:rsidP="00F84E7F">
            <w:pPr>
              <w:ind w:left="-76" w:right="28"/>
              <w:jc w:val="right"/>
              <w:rPr>
                <w:b/>
                <w:sz w:val="18"/>
                <w:szCs w:val="18"/>
              </w:rPr>
            </w:pPr>
          </w:p>
        </w:tc>
        <w:tc>
          <w:tcPr>
            <w:tcW w:w="1680" w:type="dxa"/>
            <w:tcBorders>
              <w:bottom w:val="single" w:sz="4" w:space="0" w:color="auto"/>
            </w:tcBorders>
            <w:tcMar>
              <w:left w:w="28" w:type="dxa"/>
              <w:right w:w="28" w:type="dxa"/>
            </w:tcMar>
            <w:vAlign w:val="bottom"/>
          </w:tcPr>
          <w:p w14:paraId="00FA1FF9" w14:textId="3B9D6E4B" w:rsidR="00F84E7F" w:rsidRPr="00DA78F1" w:rsidRDefault="00F84E7F" w:rsidP="00F84E7F">
            <w:pPr>
              <w:ind w:left="-76" w:right="28"/>
              <w:jc w:val="right"/>
              <w:rPr>
                <w:b/>
                <w:sz w:val="18"/>
                <w:szCs w:val="18"/>
              </w:rPr>
            </w:pPr>
            <w:r w:rsidRPr="00DA78F1">
              <w:rPr>
                <w:b/>
                <w:bCs w:val="0"/>
                <w:sz w:val="18"/>
                <w:szCs w:val="18"/>
              </w:rPr>
              <w:t>696.161.320.127</w:t>
            </w:r>
          </w:p>
        </w:tc>
        <w:tc>
          <w:tcPr>
            <w:tcW w:w="125" w:type="dxa"/>
          </w:tcPr>
          <w:p w14:paraId="16A93D0C" w14:textId="77777777" w:rsidR="00F84E7F" w:rsidRPr="00DE189C" w:rsidRDefault="00F84E7F" w:rsidP="00F84E7F">
            <w:pPr>
              <w:ind w:right="144"/>
              <w:jc w:val="right"/>
              <w:rPr>
                <w:b/>
                <w:i/>
                <w:sz w:val="18"/>
                <w:szCs w:val="18"/>
              </w:rPr>
            </w:pPr>
          </w:p>
        </w:tc>
        <w:tc>
          <w:tcPr>
            <w:tcW w:w="2732" w:type="dxa"/>
            <w:vAlign w:val="bottom"/>
          </w:tcPr>
          <w:p w14:paraId="7597A191" w14:textId="77777777" w:rsidR="00F84E7F" w:rsidRPr="00DE189C" w:rsidRDefault="00F84E7F" w:rsidP="00F84E7F">
            <w:pPr>
              <w:ind w:right="67"/>
              <w:jc w:val="right"/>
              <w:rPr>
                <w:b/>
                <w:i/>
                <w:sz w:val="18"/>
                <w:szCs w:val="18"/>
              </w:rPr>
            </w:pPr>
            <w:r w:rsidRPr="00DE189C">
              <w:rPr>
                <w:b/>
                <w:i/>
                <w:sz w:val="18"/>
                <w:szCs w:val="18"/>
              </w:rPr>
              <w:t xml:space="preserve">Total Current Assets </w:t>
            </w:r>
          </w:p>
        </w:tc>
      </w:tr>
      <w:tr w:rsidR="00F84E7F" w:rsidRPr="00DE189C" w14:paraId="6AF343A8" w14:textId="77777777" w:rsidTr="005B669E">
        <w:trPr>
          <w:trHeight w:val="20"/>
        </w:trPr>
        <w:tc>
          <w:tcPr>
            <w:tcW w:w="2731" w:type="dxa"/>
            <w:vAlign w:val="bottom"/>
          </w:tcPr>
          <w:p w14:paraId="004337C5" w14:textId="77777777" w:rsidR="00F84E7F" w:rsidRPr="00DE189C" w:rsidRDefault="00F84E7F" w:rsidP="00F84E7F">
            <w:pPr>
              <w:ind w:left="284" w:right="99" w:hanging="142"/>
              <w:rPr>
                <w:b/>
                <w:sz w:val="18"/>
                <w:szCs w:val="18"/>
              </w:rPr>
            </w:pPr>
          </w:p>
        </w:tc>
        <w:tc>
          <w:tcPr>
            <w:tcW w:w="125" w:type="dxa"/>
            <w:tcMar>
              <w:left w:w="28" w:type="dxa"/>
              <w:right w:w="28" w:type="dxa"/>
            </w:tcMar>
          </w:tcPr>
          <w:p w14:paraId="01D8BB08" w14:textId="77777777" w:rsidR="00F84E7F" w:rsidRPr="00DE189C" w:rsidRDefault="00F84E7F" w:rsidP="00F84E7F">
            <w:pPr>
              <w:jc w:val="center"/>
              <w:rPr>
                <w:sz w:val="18"/>
                <w:szCs w:val="18"/>
              </w:rPr>
            </w:pPr>
          </w:p>
        </w:tc>
        <w:tc>
          <w:tcPr>
            <w:tcW w:w="1680" w:type="dxa"/>
            <w:tcBorders>
              <w:top w:val="single" w:sz="4" w:space="0" w:color="auto"/>
            </w:tcBorders>
            <w:tcMar>
              <w:left w:w="28" w:type="dxa"/>
              <w:right w:w="28" w:type="dxa"/>
            </w:tcMar>
            <w:vAlign w:val="bottom"/>
          </w:tcPr>
          <w:p w14:paraId="728BDE85"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7AE4927F" w14:textId="77777777" w:rsidR="00F84E7F" w:rsidRPr="00DA78F1" w:rsidRDefault="00F84E7F" w:rsidP="00F84E7F">
            <w:pPr>
              <w:jc w:val="right"/>
              <w:rPr>
                <w:sz w:val="18"/>
                <w:szCs w:val="18"/>
              </w:rPr>
            </w:pPr>
          </w:p>
        </w:tc>
        <w:tc>
          <w:tcPr>
            <w:tcW w:w="1680" w:type="dxa"/>
            <w:tcBorders>
              <w:top w:val="single" w:sz="4" w:space="0" w:color="auto"/>
            </w:tcBorders>
            <w:tcMar>
              <w:left w:w="28" w:type="dxa"/>
              <w:right w:w="28" w:type="dxa"/>
            </w:tcMar>
            <w:vAlign w:val="bottom"/>
          </w:tcPr>
          <w:p w14:paraId="2DD4FE8F" w14:textId="77777777" w:rsidR="00F84E7F" w:rsidRPr="00DA78F1" w:rsidRDefault="00F84E7F" w:rsidP="00F84E7F">
            <w:pPr>
              <w:ind w:left="-76" w:right="28"/>
              <w:jc w:val="right"/>
              <w:rPr>
                <w:sz w:val="18"/>
                <w:szCs w:val="18"/>
              </w:rPr>
            </w:pPr>
          </w:p>
        </w:tc>
        <w:tc>
          <w:tcPr>
            <w:tcW w:w="125" w:type="dxa"/>
          </w:tcPr>
          <w:p w14:paraId="5F36877E" w14:textId="77777777" w:rsidR="00F84E7F" w:rsidRPr="00DE189C" w:rsidRDefault="00F84E7F" w:rsidP="00F84E7F">
            <w:pPr>
              <w:ind w:right="144"/>
              <w:jc w:val="right"/>
              <w:rPr>
                <w:i/>
                <w:sz w:val="18"/>
                <w:szCs w:val="18"/>
                <w:lang w:val="id-ID"/>
              </w:rPr>
            </w:pPr>
          </w:p>
        </w:tc>
        <w:tc>
          <w:tcPr>
            <w:tcW w:w="2732" w:type="dxa"/>
            <w:vAlign w:val="bottom"/>
          </w:tcPr>
          <w:p w14:paraId="49F8DAEB" w14:textId="77777777" w:rsidR="00F84E7F" w:rsidRPr="00DE189C" w:rsidRDefault="00F84E7F" w:rsidP="00F84E7F">
            <w:pPr>
              <w:ind w:right="67"/>
              <w:jc w:val="right"/>
              <w:rPr>
                <w:i/>
                <w:sz w:val="18"/>
                <w:szCs w:val="18"/>
                <w:lang w:val="id-ID"/>
              </w:rPr>
            </w:pPr>
          </w:p>
        </w:tc>
      </w:tr>
      <w:tr w:rsidR="00F84E7F" w:rsidRPr="00DE189C" w14:paraId="58E07701" w14:textId="77777777" w:rsidTr="005B669E">
        <w:trPr>
          <w:trHeight w:val="20"/>
        </w:trPr>
        <w:tc>
          <w:tcPr>
            <w:tcW w:w="2731" w:type="dxa"/>
            <w:vAlign w:val="bottom"/>
          </w:tcPr>
          <w:p w14:paraId="11777F84" w14:textId="77777777" w:rsidR="00F84E7F" w:rsidRPr="00DE189C" w:rsidRDefault="00F84E7F" w:rsidP="00F84E7F">
            <w:pPr>
              <w:ind w:left="284" w:right="99" w:hanging="142"/>
              <w:rPr>
                <w:b/>
                <w:sz w:val="18"/>
                <w:szCs w:val="18"/>
              </w:rPr>
            </w:pPr>
            <w:r w:rsidRPr="00DE189C">
              <w:rPr>
                <w:b/>
                <w:sz w:val="18"/>
                <w:szCs w:val="18"/>
              </w:rPr>
              <w:t xml:space="preserve">Aset Tidak Lancar </w:t>
            </w:r>
          </w:p>
        </w:tc>
        <w:tc>
          <w:tcPr>
            <w:tcW w:w="125" w:type="dxa"/>
            <w:tcMar>
              <w:left w:w="28" w:type="dxa"/>
              <w:right w:w="28" w:type="dxa"/>
            </w:tcMar>
          </w:tcPr>
          <w:p w14:paraId="0A7DF400" w14:textId="77777777" w:rsidR="00F84E7F" w:rsidRPr="00DE189C" w:rsidRDefault="00F84E7F" w:rsidP="00F84E7F">
            <w:pPr>
              <w:jc w:val="center"/>
              <w:rPr>
                <w:b/>
                <w:sz w:val="18"/>
                <w:szCs w:val="18"/>
              </w:rPr>
            </w:pPr>
          </w:p>
        </w:tc>
        <w:tc>
          <w:tcPr>
            <w:tcW w:w="1680" w:type="dxa"/>
            <w:tcMar>
              <w:left w:w="28" w:type="dxa"/>
              <w:right w:w="28" w:type="dxa"/>
            </w:tcMar>
            <w:vAlign w:val="bottom"/>
          </w:tcPr>
          <w:p w14:paraId="1D066783" w14:textId="77777777" w:rsidR="00F84E7F" w:rsidRPr="00DA78F1" w:rsidRDefault="00F84E7F" w:rsidP="00F84E7F">
            <w:pPr>
              <w:ind w:left="-76" w:right="28"/>
              <w:jc w:val="right"/>
              <w:rPr>
                <w:sz w:val="18"/>
                <w:szCs w:val="18"/>
                <w:lang w:val="id-ID"/>
              </w:rPr>
            </w:pPr>
          </w:p>
        </w:tc>
        <w:tc>
          <w:tcPr>
            <w:tcW w:w="124" w:type="dxa"/>
            <w:tcMar>
              <w:left w:w="28" w:type="dxa"/>
              <w:right w:w="28" w:type="dxa"/>
            </w:tcMar>
          </w:tcPr>
          <w:p w14:paraId="19BDD952" w14:textId="77777777" w:rsidR="00F84E7F" w:rsidRPr="00DA78F1" w:rsidRDefault="00F84E7F" w:rsidP="00F84E7F">
            <w:pPr>
              <w:ind w:left="-76" w:right="28"/>
              <w:jc w:val="right"/>
              <w:rPr>
                <w:b/>
                <w:sz w:val="18"/>
                <w:szCs w:val="18"/>
              </w:rPr>
            </w:pPr>
          </w:p>
        </w:tc>
        <w:tc>
          <w:tcPr>
            <w:tcW w:w="1680" w:type="dxa"/>
            <w:tcMar>
              <w:left w:w="28" w:type="dxa"/>
              <w:right w:w="28" w:type="dxa"/>
            </w:tcMar>
            <w:vAlign w:val="bottom"/>
          </w:tcPr>
          <w:p w14:paraId="2346D244" w14:textId="77777777" w:rsidR="00F84E7F" w:rsidRPr="00DA78F1" w:rsidRDefault="00F84E7F" w:rsidP="00F84E7F">
            <w:pPr>
              <w:ind w:left="-76" w:right="28"/>
              <w:jc w:val="right"/>
              <w:rPr>
                <w:sz w:val="18"/>
                <w:szCs w:val="18"/>
              </w:rPr>
            </w:pPr>
          </w:p>
        </w:tc>
        <w:tc>
          <w:tcPr>
            <w:tcW w:w="125" w:type="dxa"/>
          </w:tcPr>
          <w:p w14:paraId="6EFD4C5F" w14:textId="77777777" w:rsidR="00F84E7F" w:rsidRPr="00DE189C" w:rsidRDefault="00F84E7F" w:rsidP="00F84E7F">
            <w:pPr>
              <w:ind w:right="144"/>
              <w:jc w:val="right"/>
              <w:rPr>
                <w:b/>
                <w:i/>
                <w:sz w:val="18"/>
                <w:szCs w:val="18"/>
              </w:rPr>
            </w:pPr>
          </w:p>
        </w:tc>
        <w:tc>
          <w:tcPr>
            <w:tcW w:w="2732" w:type="dxa"/>
            <w:vAlign w:val="bottom"/>
          </w:tcPr>
          <w:p w14:paraId="0667D845" w14:textId="77777777" w:rsidR="00F84E7F" w:rsidRPr="00DE189C" w:rsidRDefault="00F84E7F" w:rsidP="00F84E7F">
            <w:pPr>
              <w:ind w:right="67"/>
              <w:jc w:val="right"/>
              <w:rPr>
                <w:b/>
                <w:i/>
                <w:sz w:val="18"/>
                <w:szCs w:val="18"/>
              </w:rPr>
            </w:pPr>
            <w:r w:rsidRPr="00DE189C">
              <w:rPr>
                <w:b/>
                <w:i/>
                <w:sz w:val="18"/>
                <w:szCs w:val="18"/>
              </w:rPr>
              <w:t>Non</w:t>
            </w:r>
            <w:r>
              <w:rPr>
                <w:b/>
                <w:i/>
                <w:sz w:val="18"/>
                <w:szCs w:val="18"/>
              </w:rPr>
              <w:t xml:space="preserve"> </w:t>
            </w:r>
            <w:r w:rsidRPr="00DE189C">
              <w:rPr>
                <w:b/>
                <w:i/>
                <w:sz w:val="18"/>
                <w:szCs w:val="18"/>
              </w:rPr>
              <w:t>Current</w:t>
            </w:r>
            <w:r>
              <w:rPr>
                <w:b/>
                <w:i/>
                <w:sz w:val="18"/>
                <w:szCs w:val="18"/>
              </w:rPr>
              <w:t xml:space="preserve"> </w:t>
            </w:r>
            <w:r w:rsidRPr="00DE189C">
              <w:rPr>
                <w:b/>
                <w:i/>
                <w:sz w:val="18"/>
                <w:szCs w:val="18"/>
              </w:rPr>
              <w:t xml:space="preserve">Assets </w:t>
            </w:r>
          </w:p>
        </w:tc>
      </w:tr>
      <w:tr w:rsidR="00F84E7F" w:rsidRPr="00DE189C" w14:paraId="3A938C1B" w14:textId="77777777" w:rsidTr="005B669E">
        <w:trPr>
          <w:trHeight w:val="20"/>
        </w:trPr>
        <w:tc>
          <w:tcPr>
            <w:tcW w:w="2731" w:type="dxa"/>
            <w:vAlign w:val="bottom"/>
          </w:tcPr>
          <w:p w14:paraId="36423416" w14:textId="77777777" w:rsidR="00F84E7F" w:rsidRPr="00DE189C" w:rsidRDefault="00F84E7F" w:rsidP="00F84E7F">
            <w:pPr>
              <w:ind w:left="284" w:right="99" w:hanging="142"/>
              <w:rPr>
                <w:sz w:val="18"/>
                <w:szCs w:val="18"/>
              </w:rPr>
            </w:pPr>
            <w:r w:rsidRPr="00DE189C">
              <w:rPr>
                <w:sz w:val="18"/>
                <w:szCs w:val="18"/>
              </w:rPr>
              <w:t>Investasi saham</w:t>
            </w:r>
          </w:p>
        </w:tc>
        <w:tc>
          <w:tcPr>
            <w:tcW w:w="125" w:type="dxa"/>
            <w:tcMar>
              <w:left w:w="28" w:type="dxa"/>
              <w:right w:w="28" w:type="dxa"/>
            </w:tcMar>
          </w:tcPr>
          <w:p w14:paraId="2643405B" w14:textId="77777777" w:rsidR="00F84E7F" w:rsidRPr="00DE189C" w:rsidRDefault="00F84E7F" w:rsidP="00F84E7F">
            <w:pPr>
              <w:jc w:val="center"/>
              <w:rPr>
                <w:sz w:val="18"/>
                <w:szCs w:val="18"/>
              </w:rPr>
            </w:pPr>
          </w:p>
        </w:tc>
        <w:tc>
          <w:tcPr>
            <w:tcW w:w="1680" w:type="dxa"/>
            <w:tcMar>
              <w:left w:w="28" w:type="dxa"/>
              <w:right w:w="28" w:type="dxa"/>
            </w:tcMar>
            <w:vAlign w:val="bottom"/>
          </w:tcPr>
          <w:p w14:paraId="7D08A418" w14:textId="71976DA8" w:rsidR="00F84E7F" w:rsidRPr="00DA78F1" w:rsidRDefault="003E65BD" w:rsidP="00F84E7F">
            <w:pPr>
              <w:ind w:left="-76" w:right="28"/>
              <w:jc w:val="right"/>
              <w:rPr>
                <w:sz w:val="18"/>
                <w:szCs w:val="18"/>
                <w:lang w:val="id-ID"/>
              </w:rPr>
            </w:pPr>
            <w:r w:rsidRPr="003E65BD">
              <w:rPr>
                <w:sz w:val="18"/>
                <w:szCs w:val="18"/>
                <w:lang w:val="id-ID"/>
              </w:rPr>
              <w:t>1</w:t>
            </w:r>
            <w:r w:rsidR="006D101A">
              <w:rPr>
                <w:sz w:val="18"/>
                <w:szCs w:val="18"/>
                <w:lang w:val="id-ID"/>
              </w:rPr>
              <w:t>.</w:t>
            </w:r>
            <w:r w:rsidRPr="003E65BD">
              <w:rPr>
                <w:sz w:val="18"/>
                <w:szCs w:val="18"/>
                <w:lang w:val="id-ID"/>
              </w:rPr>
              <w:t>853</w:t>
            </w:r>
            <w:r w:rsidR="006D101A">
              <w:rPr>
                <w:sz w:val="18"/>
                <w:szCs w:val="18"/>
                <w:lang w:val="id-ID"/>
              </w:rPr>
              <w:t>.</w:t>
            </w:r>
            <w:r w:rsidRPr="003E65BD">
              <w:rPr>
                <w:sz w:val="18"/>
                <w:szCs w:val="18"/>
                <w:lang w:val="id-ID"/>
              </w:rPr>
              <w:t>828</w:t>
            </w:r>
            <w:r w:rsidR="006D101A">
              <w:rPr>
                <w:sz w:val="18"/>
                <w:szCs w:val="18"/>
                <w:lang w:val="id-ID"/>
              </w:rPr>
              <w:t>.</w:t>
            </w:r>
            <w:r w:rsidRPr="003E65BD">
              <w:rPr>
                <w:sz w:val="18"/>
                <w:szCs w:val="18"/>
                <w:lang w:val="id-ID"/>
              </w:rPr>
              <w:t>151</w:t>
            </w:r>
            <w:r w:rsidR="006D101A">
              <w:rPr>
                <w:sz w:val="18"/>
                <w:szCs w:val="18"/>
                <w:lang w:val="id-ID"/>
              </w:rPr>
              <w:t>.</w:t>
            </w:r>
            <w:r w:rsidRPr="003E65BD">
              <w:rPr>
                <w:sz w:val="18"/>
                <w:szCs w:val="18"/>
                <w:lang w:val="id-ID"/>
              </w:rPr>
              <w:t>600</w:t>
            </w:r>
          </w:p>
        </w:tc>
        <w:tc>
          <w:tcPr>
            <w:tcW w:w="124" w:type="dxa"/>
            <w:tcMar>
              <w:left w:w="28" w:type="dxa"/>
              <w:right w:w="28" w:type="dxa"/>
            </w:tcMar>
          </w:tcPr>
          <w:p w14:paraId="4F8C2008"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4DB5C1BA" w14:textId="20D25941" w:rsidR="00F84E7F" w:rsidRPr="00DA78F1" w:rsidRDefault="00F84E7F" w:rsidP="00F84E7F">
            <w:pPr>
              <w:ind w:left="-76" w:right="28"/>
              <w:jc w:val="right"/>
              <w:rPr>
                <w:sz w:val="18"/>
                <w:szCs w:val="18"/>
              </w:rPr>
            </w:pPr>
            <w:r w:rsidRPr="00DA78F1">
              <w:rPr>
                <w:sz w:val="18"/>
                <w:szCs w:val="18"/>
                <w:lang w:val="id-ID"/>
              </w:rPr>
              <w:t>1.853.828.151.600</w:t>
            </w:r>
          </w:p>
        </w:tc>
        <w:tc>
          <w:tcPr>
            <w:tcW w:w="125" w:type="dxa"/>
          </w:tcPr>
          <w:p w14:paraId="50D5C8D9" w14:textId="77777777" w:rsidR="00F84E7F" w:rsidRPr="00DE189C" w:rsidRDefault="00F84E7F" w:rsidP="00F84E7F">
            <w:pPr>
              <w:ind w:right="144"/>
              <w:jc w:val="right"/>
              <w:rPr>
                <w:i/>
                <w:sz w:val="18"/>
                <w:szCs w:val="18"/>
              </w:rPr>
            </w:pPr>
          </w:p>
        </w:tc>
        <w:tc>
          <w:tcPr>
            <w:tcW w:w="2732" w:type="dxa"/>
            <w:vAlign w:val="bottom"/>
          </w:tcPr>
          <w:p w14:paraId="3487033A" w14:textId="77777777" w:rsidR="00F84E7F" w:rsidRPr="00DE189C" w:rsidRDefault="00F84E7F" w:rsidP="00F84E7F">
            <w:pPr>
              <w:ind w:right="67"/>
              <w:jc w:val="right"/>
              <w:rPr>
                <w:i/>
                <w:sz w:val="18"/>
                <w:szCs w:val="18"/>
              </w:rPr>
            </w:pPr>
            <w:r w:rsidRPr="00DE189C">
              <w:rPr>
                <w:i/>
                <w:sz w:val="18"/>
                <w:szCs w:val="18"/>
              </w:rPr>
              <w:t>Investment in shares</w:t>
            </w:r>
          </w:p>
        </w:tc>
      </w:tr>
      <w:tr w:rsidR="00F84E7F" w:rsidRPr="00DE189C" w14:paraId="2E735206" w14:textId="77777777" w:rsidTr="005B669E">
        <w:trPr>
          <w:trHeight w:val="20"/>
        </w:trPr>
        <w:tc>
          <w:tcPr>
            <w:tcW w:w="2731" w:type="dxa"/>
            <w:vAlign w:val="bottom"/>
          </w:tcPr>
          <w:p w14:paraId="4972BEF3" w14:textId="77777777" w:rsidR="00F84E7F" w:rsidRPr="00DE189C" w:rsidRDefault="00F84E7F" w:rsidP="00F84E7F">
            <w:pPr>
              <w:ind w:left="284" w:right="99" w:hanging="142"/>
              <w:rPr>
                <w:sz w:val="18"/>
                <w:szCs w:val="18"/>
              </w:rPr>
            </w:pPr>
            <w:r w:rsidRPr="00DE189C">
              <w:rPr>
                <w:sz w:val="18"/>
                <w:szCs w:val="18"/>
              </w:rPr>
              <w:t>Uang muka investasi</w:t>
            </w:r>
          </w:p>
        </w:tc>
        <w:tc>
          <w:tcPr>
            <w:tcW w:w="125" w:type="dxa"/>
            <w:tcMar>
              <w:left w:w="28" w:type="dxa"/>
              <w:right w:w="28" w:type="dxa"/>
            </w:tcMar>
          </w:tcPr>
          <w:p w14:paraId="59CB6C8B" w14:textId="77777777" w:rsidR="00F84E7F" w:rsidRPr="00DE189C" w:rsidRDefault="00F84E7F" w:rsidP="00F84E7F">
            <w:pPr>
              <w:jc w:val="center"/>
              <w:rPr>
                <w:sz w:val="18"/>
                <w:szCs w:val="18"/>
              </w:rPr>
            </w:pPr>
          </w:p>
        </w:tc>
        <w:tc>
          <w:tcPr>
            <w:tcW w:w="1680" w:type="dxa"/>
            <w:tcMar>
              <w:left w:w="28" w:type="dxa"/>
              <w:right w:w="28" w:type="dxa"/>
            </w:tcMar>
            <w:vAlign w:val="bottom"/>
          </w:tcPr>
          <w:p w14:paraId="6C0FE7EF" w14:textId="685164D2" w:rsidR="00F84E7F" w:rsidRPr="00DA78F1" w:rsidRDefault="001B7CC1" w:rsidP="00F84E7F">
            <w:pPr>
              <w:ind w:left="-76" w:right="28"/>
              <w:jc w:val="right"/>
              <w:rPr>
                <w:sz w:val="18"/>
                <w:szCs w:val="18"/>
                <w:lang w:val="id-ID"/>
              </w:rPr>
            </w:pPr>
            <w:r w:rsidRPr="001B7CC1">
              <w:rPr>
                <w:sz w:val="18"/>
                <w:szCs w:val="18"/>
                <w:lang w:val="id-ID"/>
              </w:rPr>
              <w:t>153</w:t>
            </w:r>
            <w:r w:rsidR="006D101A">
              <w:rPr>
                <w:sz w:val="18"/>
                <w:szCs w:val="18"/>
                <w:lang w:val="id-ID"/>
              </w:rPr>
              <w:t>.</w:t>
            </w:r>
            <w:r w:rsidRPr="001B7CC1">
              <w:rPr>
                <w:sz w:val="18"/>
                <w:szCs w:val="18"/>
                <w:lang w:val="id-ID"/>
              </w:rPr>
              <w:t>834</w:t>
            </w:r>
            <w:r w:rsidR="006D101A">
              <w:rPr>
                <w:sz w:val="18"/>
                <w:szCs w:val="18"/>
                <w:lang w:val="id-ID"/>
              </w:rPr>
              <w:t>.</w:t>
            </w:r>
            <w:r w:rsidRPr="001B7CC1">
              <w:rPr>
                <w:sz w:val="18"/>
                <w:szCs w:val="18"/>
                <w:lang w:val="id-ID"/>
              </w:rPr>
              <w:t>062</w:t>
            </w:r>
            <w:r w:rsidR="006D101A">
              <w:rPr>
                <w:sz w:val="18"/>
                <w:szCs w:val="18"/>
                <w:lang w:val="id-ID"/>
              </w:rPr>
              <w:t>.</w:t>
            </w:r>
            <w:r w:rsidRPr="001B7CC1">
              <w:rPr>
                <w:sz w:val="18"/>
                <w:szCs w:val="18"/>
                <w:lang w:val="id-ID"/>
              </w:rPr>
              <w:t>543</w:t>
            </w:r>
          </w:p>
        </w:tc>
        <w:tc>
          <w:tcPr>
            <w:tcW w:w="124" w:type="dxa"/>
            <w:tcMar>
              <w:left w:w="28" w:type="dxa"/>
              <w:right w:w="28" w:type="dxa"/>
            </w:tcMar>
          </w:tcPr>
          <w:p w14:paraId="3941BB0E"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29B1CC0C" w14:textId="3FA368FA" w:rsidR="00F84E7F" w:rsidRPr="00DA78F1" w:rsidRDefault="00F84E7F" w:rsidP="00F84E7F">
            <w:pPr>
              <w:ind w:left="-76" w:right="28"/>
              <w:jc w:val="right"/>
              <w:rPr>
                <w:sz w:val="18"/>
                <w:szCs w:val="18"/>
              </w:rPr>
            </w:pPr>
            <w:r w:rsidRPr="00DA78F1">
              <w:rPr>
                <w:sz w:val="18"/>
                <w:szCs w:val="18"/>
                <w:lang w:val="id-ID"/>
              </w:rPr>
              <w:t>143.234.062.543</w:t>
            </w:r>
          </w:p>
        </w:tc>
        <w:tc>
          <w:tcPr>
            <w:tcW w:w="125" w:type="dxa"/>
          </w:tcPr>
          <w:p w14:paraId="24EDB889" w14:textId="77777777" w:rsidR="00F84E7F" w:rsidRPr="00DE189C" w:rsidRDefault="00F84E7F" w:rsidP="00F84E7F">
            <w:pPr>
              <w:ind w:right="144"/>
              <w:jc w:val="right"/>
              <w:rPr>
                <w:i/>
                <w:sz w:val="18"/>
                <w:szCs w:val="18"/>
              </w:rPr>
            </w:pPr>
          </w:p>
        </w:tc>
        <w:tc>
          <w:tcPr>
            <w:tcW w:w="2732" w:type="dxa"/>
            <w:vAlign w:val="bottom"/>
          </w:tcPr>
          <w:p w14:paraId="4ECD20E2" w14:textId="77777777" w:rsidR="00F84E7F" w:rsidRPr="00DE189C" w:rsidRDefault="00F84E7F" w:rsidP="00F84E7F">
            <w:pPr>
              <w:ind w:right="67"/>
              <w:jc w:val="right"/>
              <w:rPr>
                <w:i/>
                <w:sz w:val="18"/>
                <w:szCs w:val="18"/>
              </w:rPr>
            </w:pPr>
            <w:r w:rsidRPr="00DE189C">
              <w:rPr>
                <w:i/>
                <w:sz w:val="18"/>
                <w:szCs w:val="18"/>
              </w:rPr>
              <w:t>Advances for investment</w:t>
            </w:r>
          </w:p>
        </w:tc>
      </w:tr>
      <w:tr w:rsidR="00F84E7F" w:rsidRPr="00DE189C" w14:paraId="5BC6C706" w14:textId="77777777" w:rsidTr="005B669E">
        <w:trPr>
          <w:trHeight w:val="20"/>
        </w:trPr>
        <w:tc>
          <w:tcPr>
            <w:tcW w:w="2731" w:type="dxa"/>
            <w:vAlign w:val="bottom"/>
          </w:tcPr>
          <w:p w14:paraId="191E7471" w14:textId="77777777" w:rsidR="00F84E7F" w:rsidRPr="00DE189C" w:rsidRDefault="00F84E7F" w:rsidP="00F84E7F">
            <w:pPr>
              <w:ind w:left="284" w:right="99" w:hanging="142"/>
              <w:rPr>
                <w:sz w:val="18"/>
                <w:szCs w:val="18"/>
              </w:rPr>
            </w:pPr>
            <w:r w:rsidRPr="00DE189C">
              <w:rPr>
                <w:sz w:val="18"/>
                <w:szCs w:val="18"/>
              </w:rPr>
              <w:t>Taksiran tagihan pajak penghasilan</w:t>
            </w:r>
          </w:p>
        </w:tc>
        <w:tc>
          <w:tcPr>
            <w:tcW w:w="125" w:type="dxa"/>
            <w:tcMar>
              <w:left w:w="28" w:type="dxa"/>
              <w:right w:w="28" w:type="dxa"/>
            </w:tcMar>
          </w:tcPr>
          <w:p w14:paraId="77DE9B4C" w14:textId="77777777" w:rsidR="00F84E7F" w:rsidRPr="00DE189C" w:rsidRDefault="00F84E7F" w:rsidP="00F84E7F">
            <w:pPr>
              <w:jc w:val="center"/>
              <w:rPr>
                <w:sz w:val="18"/>
                <w:szCs w:val="18"/>
              </w:rPr>
            </w:pPr>
          </w:p>
        </w:tc>
        <w:tc>
          <w:tcPr>
            <w:tcW w:w="1680" w:type="dxa"/>
            <w:tcMar>
              <w:left w:w="28" w:type="dxa"/>
              <w:right w:w="28" w:type="dxa"/>
            </w:tcMar>
            <w:vAlign w:val="bottom"/>
          </w:tcPr>
          <w:p w14:paraId="31F8B583" w14:textId="6EAC002B" w:rsidR="00F84E7F" w:rsidRPr="00DA78F1" w:rsidRDefault="003E65BD" w:rsidP="00F84E7F">
            <w:pPr>
              <w:ind w:left="-76" w:right="28"/>
              <w:jc w:val="right"/>
              <w:rPr>
                <w:sz w:val="18"/>
                <w:szCs w:val="18"/>
                <w:lang w:val="id-ID"/>
              </w:rPr>
            </w:pPr>
            <w:r w:rsidRPr="003E65BD">
              <w:rPr>
                <w:sz w:val="18"/>
                <w:szCs w:val="18"/>
                <w:lang w:val="id-ID"/>
              </w:rPr>
              <w:t>1</w:t>
            </w:r>
            <w:r w:rsidR="006D101A">
              <w:rPr>
                <w:sz w:val="18"/>
                <w:szCs w:val="18"/>
                <w:lang w:val="id-ID"/>
              </w:rPr>
              <w:t>.</w:t>
            </w:r>
            <w:r w:rsidRPr="003E65BD">
              <w:rPr>
                <w:sz w:val="18"/>
                <w:szCs w:val="18"/>
                <w:lang w:val="id-ID"/>
              </w:rPr>
              <w:t>733</w:t>
            </w:r>
            <w:r w:rsidR="006D101A">
              <w:rPr>
                <w:sz w:val="18"/>
                <w:szCs w:val="18"/>
                <w:lang w:val="id-ID"/>
              </w:rPr>
              <w:t>.</w:t>
            </w:r>
            <w:r w:rsidRPr="003E65BD">
              <w:rPr>
                <w:sz w:val="18"/>
                <w:szCs w:val="18"/>
                <w:lang w:val="id-ID"/>
              </w:rPr>
              <w:t>080</w:t>
            </w:r>
            <w:r w:rsidR="006D101A">
              <w:rPr>
                <w:sz w:val="18"/>
                <w:szCs w:val="18"/>
                <w:lang w:val="id-ID"/>
              </w:rPr>
              <w:t>.</w:t>
            </w:r>
            <w:r w:rsidRPr="003E65BD">
              <w:rPr>
                <w:sz w:val="18"/>
                <w:szCs w:val="18"/>
                <w:lang w:val="id-ID"/>
              </w:rPr>
              <w:t>113</w:t>
            </w:r>
          </w:p>
        </w:tc>
        <w:tc>
          <w:tcPr>
            <w:tcW w:w="124" w:type="dxa"/>
            <w:tcMar>
              <w:left w:w="28" w:type="dxa"/>
              <w:right w:w="28" w:type="dxa"/>
            </w:tcMar>
          </w:tcPr>
          <w:p w14:paraId="2D5822A8"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2936461F" w14:textId="2454003F" w:rsidR="00F84E7F" w:rsidRPr="00DA78F1" w:rsidRDefault="00F84E7F" w:rsidP="00F84E7F">
            <w:pPr>
              <w:ind w:left="-76" w:right="28"/>
              <w:jc w:val="right"/>
              <w:rPr>
                <w:sz w:val="18"/>
                <w:szCs w:val="18"/>
              </w:rPr>
            </w:pPr>
            <w:r w:rsidRPr="00DA78F1">
              <w:rPr>
                <w:sz w:val="18"/>
                <w:szCs w:val="18"/>
                <w:lang w:val="id-ID"/>
              </w:rPr>
              <w:t>1.733.080.113</w:t>
            </w:r>
          </w:p>
        </w:tc>
        <w:tc>
          <w:tcPr>
            <w:tcW w:w="125" w:type="dxa"/>
          </w:tcPr>
          <w:p w14:paraId="222CEADB" w14:textId="77777777" w:rsidR="00F84E7F" w:rsidRPr="00DE189C" w:rsidRDefault="00F84E7F" w:rsidP="00F84E7F">
            <w:pPr>
              <w:ind w:right="144"/>
              <w:jc w:val="right"/>
              <w:rPr>
                <w:i/>
                <w:sz w:val="18"/>
                <w:szCs w:val="18"/>
              </w:rPr>
            </w:pPr>
          </w:p>
        </w:tc>
        <w:tc>
          <w:tcPr>
            <w:tcW w:w="2732" w:type="dxa"/>
            <w:vAlign w:val="bottom"/>
          </w:tcPr>
          <w:p w14:paraId="303A9400" w14:textId="77777777" w:rsidR="00F84E7F" w:rsidRPr="00DE189C" w:rsidRDefault="00F84E7F" w:rsidP="00F84E7F">
            <w:pPr>
              <w:ind w:right="67"/>
              <w:jc w:val="right"/>
              <w:rPr>
                <w:i/>
                <w:sz w:val="18"/>
                <w:szCs w:val="18"/>
              </w:rPr>
            </w:pPr>
            <w:r w:rsidRPr="00DE189C">
              <w:rPr>
                <w:i/>
                <w:sz w:val="18"/>
                <w:szCs w:val="18"/>
              </w:rPr>
              <w:t xml:space="preserve">Estimated claim for </w:t>
            </w:r>
          </w:p>
          <w:p w14:paraId="524C7F91" w14:textId="77777777" w:rsidR="00F84E7F" w:rsidRPr="00DE189C" w:rsidRDefault="00F84E7F" w:rsidP="00F84E7F">
            <w:pPr>
              <w:ind w:right="145"/>
              <w:jc w:val="right"/>
              <w:rPr>
                <w:i/>
                <w:sz w:val="18"/>
                <w:szCs w:val="18"/>
              </w:rPr>
            </w:pPr>
            <w:r w:rsidRPr="00DE189C">
              <w:rPr>
                <w:i/>
                <w:sz w:val="18"/>
                <w:szCs w:val="18"/>
              </w:rPr>
              <w:t>tax refund</w:t>
            </w:r>
          </w:p>
        </w:tc>
      </w:tr>
      <w:tr w:rsidR="00F84E7F" w:rsidRPr="00DE189C" w14:paraId="3272D8C4" w14:textId="77777777" w:rsidTr="005B669E">
        <w:trPr>
          <w:trHeight w:val="20"/>
        </w:trPr>
        <w:tc>
          <w:tcPr>
            <w:tcW w:w="2731" w:type="dxa"/>
            <w:vAlign w:val="bottom"/>
          </w:tcPr>
          <w:p w14:paraId="73CE19DA" w14:textId="67A5D9D9" w:rsidR="00F84E7F" w:rsidRPr="00DE189C" w:rsidRDefault="00F84E7F" w:rsidP="00A21CAE">
            <w:pPr>
              <w:ind w:left="284" w:right="99" w:hanging="142"/>
              <w:rPr>
                <w:sz w:val="18"/>
                <w:szCs w:val="18"/>
                <w:lang w:val="id-ID"/>
              </w:rPr>
            </w:pPr>
            <w:r w:rsidRPr="00DE189C">
              <w:rPr>
                <w:sz w:val="18"/>
                <w:szCs w:val="18"/>
              </w:rPr>
              <w:t>Aset tetap - setelah dikurangi akumulasi penyu</w:t>
            </w:r>
            <w:r w:rsidR="006D101A">
              <w:rPr>
                <w:sz w:val="18"/>
                <w:szCs w:val="18"/>
              </w:rPr>
              <w:t>sutan sebesar Rp 307.319.320.340</w:t>
            </w:r>
            <w:r w:rsidRPr="00DE189C">
              <w:rPr>
                <w:sz w:val="18"/>
                <w:szCs w:val="18"/>
              </w:rPr>
              <w:t xml:space="preserve"> pada </w:t>
            </w:r>
            <w:r w:rsidR="00A21CAE">
              <w:rPr>
                <w:sz w:val="18"/>
                <w:szCs w:val="18"/>
              </w:rPr>
              <w:t>31 Maret</w:t>
            </w:r>
            <w:r w:rsidRPr="00DE189C">
              <w:rPr>
                <w:sz w:val="18"/>
                <w:szCs w:val="18"/>
              </w:rPr>
              <w:t xml:space="preserve"> 20</w:t>
            </w:r>
            <w:r w:rsidR="00A21CAE">
              <w:rPr>
                <w:sz w:val="18"/>
                <w:szCs w:val="18"/>
              </w:rPr>
              <w:t>20</w:t>
            </w:r>
            <w:r>
              <w:rPr>
                <w:sz w:val="18"/>
                <w:szCs w:val="18"/>
              </w:rPr>
              <w:t xml:space="preserve"> </w:t>
            </w:r>
            <w:r w:rsidRPr="00DE189C">
              <w:rPr>
                <w:sz w:val="18"/>
                <w:szCs w:val="18"/>
              </w:rPr>
              <w:t xml:space="preserve">dan Rp </w:t>
            </w:r>
            <w:r w:rsidR="006D101A" w:rsidRPr="00DE189C">
              <w:rPr>
                <w:sz w:val="18"/>
                <w:szCs w:val="18"/>
              </w:rPr>
              <w:t>299.450.011.436</w:t>
            </w:r>
            <w:r w:rsidRPr="00DE189C">
              <w:rPr>
                <w:sz w:val="18"/>
                <w:szCs w:val="18"/>
              </w:rPr>
              <w:t xml:space="preserve"> pada </w:t>
            </w:r>
            <w:r w:rsidR="00A21CAE">
              <w:rPr>
                <w:sz w:val="18"/>
                <w:szCs w:val="18"/>
              </w:rPr>
              <w:t>31 Desember 2019</w:t>
            </w:r>
          </w:p>
        </w:tc>
        <w:tc>
          <w:tcPr>
            <w:tcW w:w="125" w:type="dxa"/>
            <w:tcMar>
              <w:left w:w="28" w:type="dxa"/>
              <w:right w:w="28" w:type="dxa"/>
            </w:tcMar>
          </w:tcPr>
          <w:p w14:paraId="6FF462D8" w14:textId="77777777" w:rsidR="00F84E7F" w:rsidRPr="00DE189C" w:rsidRDefault="00F84E7F" w:rsidP="00F84E7F">
            <w:pPr>
              <w:jc w:val="center"/>
              <w:rPr>
                <w:sz w:val="18"/>
                <w:szCs w:val="18"/>
              </w:rPr>
            </w:pPr>
          </w:p>
        </w:tc>
        <w:tc>
          <w:tcPr>
            <w:tcW w:w="1680" w:type="dxa"/>
            <w:tcMar>
              <w:left w:w="28" w:type="dxa"/>
              <w:right w:w="28" w:type="dxa"/>
            </w:tcMar>
            <w:vAlign w:val="bottom"/>
          </w:tcPr>
          <w:p w14:paraId="0D80E3FF" w14:textId="4F066B22" w:rsidR="00F84E7F" w:rsidRPr="00907FBF" w:rsidRDefault="00907FBF" w:rsidP="00F84E7F">
            <w:pPr>
              <w:ind w:left="-76" w:right="28"/>
              <w:jc w:val="right"/>
              <w:rPr>
                <w:sz w:val="18"/>
                <w:szCs w:val="18"/>
                <w:lang w:val="id-ID"/>
              </w:rPr>
            </w:pPr>
            <w:r>
              <w:rPr>
                <w:sz w:val="18"/>
                <w:szCs w:val="18"/>
                <w:lang w:val="en-ID"/>
              </w:rPr>
              <w:t>4</w:t>
            </w:r>
            <w:r w:rsidR="008A7E30">
              <w:rPr>
                <w:sz w:val="18"/>
                <w:szCs w:val="18"/>
                <w:lang w:val="id-ID"/>
              </w:rPr>
              <w:t>42</w:t>
            </w:r>
            <w:r w:rsidR="006D101A">
              <w:rPr>
                <w:sz w:val="18"/>
                <w:szCs w:val="18"/>
                <w:lang w:val="en-ID"/>
              </w:rPr>
              <w:t>.</w:t>
            </w:r>
            <w:r w:rsidR="008A7E30">
              <w:rPr>
                <w:sz w:val="18"/>
                <w:szCs w:val="18"/>
                <w:lang w:val="id-ID"/>
              </w:rPr>
              <w:t>179</w:t>
            </w:r>
            <w:r w:rsidR="006D101A">
              <w:rPr>
                <w:sz w:val="18"/>
                <w:szCs w:val="18"/>
                <w:lang w:val="en-ID"/>
              </w:rPr>
              <w:t>.</w:t>
            </w:r>
            <w:r w:rsidR="005714EA">
              <w:rPr>
                <w:sz w:val="18"/>
                <w:szCs w:val="18"/>
                <w:lang w:val="id-ID"/>
              </w:rPr>
              <w:t>362</w:t>
            </w:r>
            <w:r w:rsidR="006D101A">
              <w:rPr>
                <w:sz w:val="18"/>
                <w:szCs w:val="18"/>
                <w:lang w:val="en-ID"/>
              </w:rPr>
              <w:t>.</w:t>
            </w:r>
            <w:r w:rsidR="005714EA">
              <w:rPr>
                <w:sz w:val="18"/>
                <w:szCs w:val="18"/>
                <w:lang w:val="id-ID"/>
              </w:rPr>
              <w:t>17</w:t>
            </w:r>
            <w:r w:rsidR="003E65BD" w:rsidRPr="003E65BD">
              <w:rPr>
                <w:sz w:val="18"/>
                <w:szCs w:val="18"/>
                <w:lang w:val="en-ID"/>
              </w:rPr>
              <w:t>4</w:t>
            </w:r>
          </w:p>
        </w:tc>
        <w:tc>
          <w:tcPr>
            <w:tcW w:w="124" w:type="dxa"/>
            <w:tcMar>
              <w:left w:w="28" w:type="dxa"/>
              <w:right w:w="28" w:type="dxa"/>
            </w:tcMar>
          </w:tcPr>
          <w:p w14:paraId="24B753ED"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281B7DF8" w14:textId="46A8477D" w:rsidR="00F84E7F" w:rsidRPr="00DA78F1" w:rsidRDefault="00F84E7F" w:rsidP="00F84E7F">
            <w:pPr>
              <w:ind w:left="-76" w:right="28"/>
              <w:jc w:val="right"/>
              <w:rPr>
                <w:sz w:val="18"/>
                <w:szCs w:val="18"/>
              </w:rPr>
            </w:pPr>
            <w:r w:rsidRPr="00DA78F1">
              <w:rPr>
                <w:sz w:val="18"/>
                <w:szCs w:val="18"/>
                <w:lang w:val="en-ID"/>
              </w:rPr>
              <w:t>406.418.413.951</w:t>
            </w:r>
          </w:p>
        </w:tc>
        <w:tc>
          <w:tcPr>
            <w:tcW w:w="125" w:type="dxa"/>
          </w:tcPr>
          <w:p w14:paraId="41BC68E3" w14:textId="77777777" w:rsidR="00F84E7F" w:rsidRPr="00DE189C" w:rsidRDefault="00F84E7F" w:rsidP="00F84E7F">
            <w:pPr>
              <w:ind w:right="144"/>
              <w:jc w:val="right"/>
              <w:rPr>
                <w:i/>
                <w:sz w:val="18"/>
                <w:szCs w:val="18"/>
              </w:rPr>
            </w:pPr>
          </w:p>
        </w:tc>
        <w:tc>
          <w:tcPr>
            <w:tcW w:w="2732" w:type="dxa"/>
          </w:tcPr>
          <w:p w14:paraId="7410A57A" w14:textId="77777777" w:rsidR="00F84E7F" w:rsidRPr="00DE189C" w:rsidRDefault="00F84E7F" w:rsidP="00F84E7F">
            <w:pPr>
              <w:ind w:right="68"/>
              <w:jc w:val="right"/>
              <w:rPr>
                <w:i/>
                <w:sz w:val="18"/>
                <w:szCs w:val="18"/>
              </w:rPr>
            </w:pPr>
            <w:r w:rsidRPr="00DE189C">
              <w:rPr>
                <w:i/>
                <w:sz w:val="18"/>
                <w:szCs w:val="18"/>
              </w:rPr>
              <w:t>Fix assets - net of</w:t>
            </w:r>
          </w:p>
          <w:p w14:paraId="1EDA2965" w14:textId="0DEB11E8" w:rsidR="00F84E7F" w:rsidRPr="00B17C6B" w:rsidRDefault="00F84E7F" w:rsidP="00946853">
            <w:pPr>
              <w:ind w:right="170"/>
              <w:jc w:val="right"/>
              <w:rPr>
                <w:i/>
                <w:sz w:val="18"/>
                <w:szCs w:val="18"/>
                <w:lang w:val="id-ID"/>
              </w:rPr>
            </w:pPr>
            <w:r w:rsidRPr="00DE189C">
              <w:rPr>
                <w:i/>
                <w:sz w:val="18"/>
                <w:szCs w:val="18"/>
              </w:rPr>
              <w:t xml:space="preserve"> </w:t>
            </w:r>
            <w:proofErr w:type="gramStart"/>
            <w:r w:rsidRPr="00DE189C">
              <w:rPr>
                <w:i/>
                <w:sz w:val="18"/>
                <w:szCs w:val="18"/>
              </w:rPr>
              <w:t>accumulated</w:t>
            </w:r>
            <w:proofErr w:type="gramEnd"/>
            <w:r w:rsidRPr="00DE189C">
              <w:rPr>
                <w:i/>
                <w:sz w:val="18"/>
                <w:szCs w:val="18"/>
              </w:rPr>
              <w:t xml:space="preserve"> depreciation of Rp </w:t>
            </w:r>
            <w:r w:rsidR="006D101A">
              <w:rPr>
                <w:i/>
                <w:sz w:val="18"/>
                <w:szCs w:val="18"/>
              </w:rPr>
              <w:t>307</w:t>
            </w:r>
            <w:r w:rsidR="00305CA0">
              <w:rPr>
                <w:i/>
                <w:sz w:val="18"/>
                <w:szCs w:val="18"/>
              </w:rPr>
              <w:t>.</w:t>
            </w:r>
            <w:r w:rsidR="006D101A">
              <w:rPr>
                <w:i/>
                <w:sz w:val="18"/>
                <w:szCs w:val="18"/>
              </w:rPr>
              <w:t>319</w:t>
            </w:r>
            <w:r w:rsidR="00305CA0">
              <w:rPr>
                <w:i/>
                <w:sz w:val="18"/>
                <w:szCs w:val="18"/>
              </w:rPr>
              <w:t>.</w:t>
            </w:r>
            <w:r w:rsidR="006D101A">
              <w:rPr>
                <w:i/>
                <w:sz w:val="18"/>
                <w:szCs w:val="18"/>
              </w:rPr>
              <w:t>320</w:t>
            </w:r>
            <w:r w:rsidR="00305CA0">
              <w:rPr>
                <w:i/>
                <w:sz w:val="18"/>
                <w:szCs w:val="18"/>
              </w:rPr>
              <w:t>.</w:t>
            </w:r>
            <w:r w:rsidR="006D101A">
              <w:rPr>
                <w:i/>
                <w:sz w:val="18"/>
                <w:szCs w:val="18"/>
              </w:rPr>
              <w:t>340</w:t>
            </w:r>
            <w:r w:rsidRPr="00DE189C">
              <w:rPr>
                <w:i/>
                <w:sz w:val="18"/>
                <w:szCs w:val="18"/>
              </w:rPr>
              <w:t xml:space="preserve"> in</w:t>
            </w:r>
            <w:r w:rsidR="00A21CAE">
              <w:rPr>
                <w:i/>
                <w:sz w:val="18"/>
                <w:szCs w:val="18"/>
              </w:rPr>
              <w:t xml:space="preserve"> March 31</w:t>
            </w:r>
            <w:r w:rsidR="00305CA0">
              <w:rPr>
                <w:i/>
                <w:sz w:val="18"/>
                <w:szCs w:val="18"/>
              </w:rPr>
              <w:t>.</w:t>
            </w:r>
            <w:r w:rsidR="00A21CAE">
              <w:rPr>
                <w:i/>
                <w:sz w:val="18"/>
                <w:szCs w:val="18"/>
              </w:rPr>
              <w:t xml:space="preserve"> 2020</w:t>
            </w:r>
            <w:r w:rsidRPr="00DE189C">
              <w:rPr>
                <w:i/>
                <w:sz w:val="18"/>
                <w:szCs w:val="18"/>
              </w:rPr>
              <w:t xml:space="preserve"> and Rp </w:t>
            </w:r>
            <w:r w:rsidR="006D101A" w:rsidRPr="00DE189C">
              <w:rPr>
                <w:i/>
                <w:sz w:val="18"/>
                <w:szCs w:val="18"/>
              </w:rPr>
              <w:t>299</w:t>
            </w:r>
            <w:r w:rsidR="00305CA0">
              <w:rPr>
                <w:i/>
                <w:sz w:val="18"/>
                <w:szCs w:val="18"/>
              </w:rPr>
              <w:t>.</w:t>
            </w:r>
            <w:r w:rsidR="006D101A" w:rsidRPr="00DE189C">
              <w:rPr>
                <w:i/>
                <w:sz w:val="18"/>
                <w:szCs w:val="18"/>
              </w:rPr>
              <w:t>450</w:t>
            </w:r>
            <w:r w:rsidR="00305CA0">
              <w:rPr>
                <w:i/>
                <w:sz w:val="18"/>
                <w:szCs w:val="18"/>
              </w:rPr>
              <w:t>.</w:t>
            </w:r>
            <w:r w:rsidR="006D101A" w:rsidRPr="00DE189C">
              <w:rPr>
                <w:i/>
                <w:sz w:val="18"/>
                <w:szCs w:val="18"/>
              </w:rPr>
              <w:t>011</w:t>
            </w:r>
            <w:r w:rsidR="00305CA0">
              <w:rPr>
                <w:i/>
                <w:sz w:val="18"/>
                <w:szCs w:val="18"/>
              </w:rPr>
              <w:t>.</w:t>
            </w:r>
            <w:r w:rsidR="006D101A" w:rsidRPr="00DE189C">
              <w:rPr>
                <w:i/>
                <w:sz w:val="18"/>
                <w:szCs w:val="18"/>
              </w:rPr>
              <w:t>436</w:t>
            </w:r>
            <w:r w:rsidRPr="00DE189C">
              <w:rPr>
                <w:i/>
                <w:sz w:val="18"/>
                <w:szCs w:val="18"/>
              </w:rPr>
              <w:t xml:space="preserve"> in </w:t>
            </w:r>
            <w:r w:rsidR="00A21CAE">
              <w:rPr>
                <w:i/>
                <w:sz w:val="18"/>
                <w:szCs w:val="18"/>
              </w:rPr>
              <w:t>December 31</w:t>
            </w:r>
            <w:r w:rsidR="00305CA0">
              <w:rPr>
                <w:i/>
                <w:sz w:val="18"/>
                <w:szCs w:val="18"/>
              </w:rPr>
              <w:t>.</w:t>
            </w:r>
            <w:r w:rsidR="00A21CAE">
              <w:rPr>
                <w:i/>
                <w:sz w:val="18"/>
                <w:szCs w:val="18"/>
              </w:rPr>
              <w:t xml:space="preserve"> </w:t>
            </w:r>
            <w:r w:rsidRPr="00DE189C">
              <w:rPr>
                <w:i/>
                <w:sz w:val="18"/>
                <w:szCs w:val="18"/>
              </w:rPr>
              <w:t>201</w:t>
            </w:r>
            <w:r w:rsidR="00A21CAE">
              <w:rPr>
                <w:i/>
                <w:sz w:val="18"/>
                <w:szCs w:val="18"/>
              </w:rPr>
              <w:t>9</w:t>
            </w:r>
          </w:p>
        </w:tc>
      </w:tr>
      <w:tr w:rsidR="00F84E7F" w:rsidRPr="00DE189C" w14:paraId="3CEE6C3E" w14:textId="77777777" w:rsidTr="005B669E">
        <w:trPr>
          <w:trHeight w:val="20"/>
        </w:trPr>
        <w:tc>
          <w:tcPr>
            <w:tcW w:w="2731" w:type="dxa"/>
            <w:vAlign w:val="bottom"/>
          </w:tcPr>
          <w:p w14:paraId="7AF29F35" w14:textId="79650A2F" w:rsidR="00F84E7F" w:rsidRPr="00DE189C" w:rsidRDefault="00F84E7F" w:rsidP="00A21CAE">
            <w:pPr>
              <w:ind w:left="284" w:right="99" w:hanging="142"/>
              <w:rPr>
                <w:sz w:val="18"/>
                <w:szCs w:val="18"/>
                <w:lang w:val="id-ID"/>
              </w:rPr>
            </w:pPr>
            <w:r w:rsidRPr="00DE189C">
              <w:rPr>
                <w:sz w:val="18"/>
                <w:szCs w:val="18"/>
              </w:rPr>
              <w:t xml:space="preserve">Aset takberwujud - setelah dikurangi akumulasi sebesar amortisasi sebesar </w:t>
            </w:r>
            <w:r w:rsidRPr="00DE189C">
              <w:rPr>
                <w:sz w:val="18"/>
                <w:szCs w:val="18"/>
                <w:lang w:val="id-ID"/>
              </w:rPr>
              <w:br/>
            </w:r>
            <w:r w:rsidRPr="00DE189C">
              <w:rPr>
                <w:sz w:val="18"/>
                <w:szCs w:val="18"/>
              </w:rPr>
              <w:t>Rp</w:t>
            </w:r>
            <w:r w:rsidRPr="00DE189C">
              <w:rPr>
                <w:sz w:val="18"/>
                <w:szCs w:val="18"/>
                <w:lang w:val="id-ID"/>
              </w:rPr>
              <w:t xml:space="preserve"> </w:t>
            </w:r>
            <w:r w:rsidRPr="00DE189C">
              <w:rPr>
                <w:sz w:val="18"/>
                <w:szCs w:val="18"/>
              </w:rPr>
              <w:t>3.</w:t>
            </w:r>
            <w:r w:rsidR="00A21CAE">
              <w:rPr>
                <w:sz w:val="18"/>
                <w:szCs w:val="18"/>
              </w:rPr>
              <w:t>310.037.830</w:t>
            </w:r>
            <w:r w:rsidRPr="00DE189C">
              <w:rPr>
                <w:sz w:val="18"/>
                <w:szCs w:val="18"/>
              </w:rPr>
              <w:t xml:space="preserve"> pada </w:t>
            </w:r>
            <w:r w:rsidR="00A21CAE">
              <w:rPr>
                <w:sz w:val="18"/>
                <w:szCs w:val="18"/>
              </w:rPr>
              <w:t xml:space="preserve">31 Maret </w:t>
            </w:r>
            <w:r w:rsidRPr="00DE189C">
              <w:rPr>
                <w:sz w:val="18"/>
                <w:szCs w:val="18"/>
              </w:rPr>
              <w:t>20</w:t>
            </w:r>
            <w:r w:rsidR="00A21CAE">
              <w:rPr>
                <w:sz w:val="18"/>
                <w:szCs w:val="18"/>
              </w:rPr>
              <w:t>20</w:t>
            </w:r>
            <w:r w:rsidRPr="00DE189C">
              <w:rPr>
                <w:sz w:val="18"/>
                <w:szCs w:val="18"/>
              </w:rPr>
              <w:t xml:space="preserve"> dan</w:t>
            </w:r>
            <w:r>
              <w:rPr>
                <w:sz w:val="18"/>
                <w:szCs w:val="18"/>
              </w:rPr>
              <w:t xml:space="preserve"> </w:t>
            </w:r>
            <w:r w:rsidRPr="00DE189C">
              <w:rPr>
                <w:sz w:val="18"/>
                <w:szCs w:val="18"/>
              </w:rPr>
              <w:t xml:space="preserve">Rp </w:t>
            </w:r>
            <w:r w:rsidR="00A21CAE" w:rsidRPr="00DE189C">
              <w:rPr>
                <w:sz w:val="18"/>
                <w:szCs w:val="18"/>
              </w:rPr>
              <w:t>3.220.886.498</w:t>
            </w:r>
            <w:r w:rsidRPr="00DE189C">
              <w:rPr>
                <w:sz w:val="18"/>
                <w:szCs w:val="18"/>
              </w:rPr>
              <w:t xml:space="preserve"> pada </w:t>
            </w:r>
            <w:r w:rsidR="00A21CAE">
              <w:rPr>
                <w:sz w:val="18"/>
                <w:szCs w:val="18"/>
              </w:rPr>
              <w:t xml:space="preserve">31 Desember </w:t>
            </w:r>
            <w:r w:rsidRPr="00DE189C">
              <w:rPr>
                <w:sz w:val="18"/>
                <w:szCs w:val="18"/>
              </w:rPr>
              <w:t>201</w:t>
            </w:r>
            <w:r w:rsidR="00A21CAE">
              <w:rPr>
                <w:sz w:val="18"/>
                <w:szCs w:val="18"/>
              </w:rPr>
              <w:t>9</w:t>
            </w:r>
          </w:p>
        </w:tc>
        <w:tc>
          <w:tcPr>
            <w:tcW w:w="125" w:type="dxa"/>
            <w:tcMar>
              <w:left w:w="28" w:type="dxa"/>
              <w:right w:w="28" w:type="dxa"/>
            </w:tcMar>
          </w:tcPr>
          <w:p w14:paraId="3659B88F" w14:textId="77777777" w:rsidR="00F84E7F" w:rsidRPr="00DE189C" w:rsidRDefault="00F84E7F" w:rsidP="00F84E7F">
            <w:pPr>
              <w:jc w:val="center"/>
              <w:rPr>
                <w:sz w:val="18"/>
                <w:szCs w:val="18"/>
              </w:rPr>
            </w:pPr>
          </w:p>
        </w:tc>
        <w:tc>
          <w:tcPr>
            <w:tcW w:w="1680" w:type="dxa"/>
            <w:tcMar>
              <w:left w:w="28" w:type="dxa"/>
              <w:right w:w="28" w:type="dxa"/>
            </w:tcMar>
            <w:vAlign w:val="bottom"/>
          </w:tcPr>
          <w:p w14:paraId="2B0A0BDC" w14:textId="6C161C36" w:rsidR="00F84E7F" w:rsidRPr="00DA78F1" w:rsidRDefault="003E65BD" w:rsidP="00F84E7F">
            <w:pPr>
              <w:ind w:left="-76" w:right="28"/>
              <w:jc w:val="right"/>
              <w:rPr>
                <w:sz w:val="18"/>
                <w:szCs w:val="18"/>
                <w:lang w:val="en-ID"/>
              </w:rPr>
            </w:pPr>
            <w:r w:rsidRPr="003E65BD">
              <w:rPr>
                <w:sz w:val="18"/>
                <w:szCs w:val="18"/>
                <w:lang w:val="en-ID"/>
              </w:rPr>
              <w:t>263</w:t>
            </w:r>
            <w:r w:rsidR="006D101A">
              <w:rPr>
                <w:sz w:val="18"/>
                <w:szCs w:val="18"/>
                <w:lang w:val="en-ID"/>
              </w:rPr>
              <w:t>.</w:t>
            </w:r>
            <w:r w:rsidRPr="003E65BD">
              <w:rPr>
                <w:sz w:val="18"/>
                <w:szCs w:val="18"/>
                <w:lang w:val="en-ID"/>
              </w:rPr>
              <w:t>215</w:t>
            </w:r>
            <w:r w:rsidR="006D101A">
              <w:rPr>
                <w:sz w:val="18"/>
                <w:szCs w:val="18"/>
                <w:lang w:val="en-ID"/>
              </w:rPr>
              <w:t>.</w:t>
            </w:r>
            <w:r w:rsidRPr="003E65BD">
              <w:rPr>
                <w:sz w:val="18"/>
                <w:szCs w:val="18"/>
                <w:lang w:val="en-ID"/>
              </w:rPr>
              <w:t>394</w:t>
            </w:r>
          </w:p>
        </w:tc>
        <w:tc>
          <w:tcPr>
            <w:tcW w:w="124" w:type="dxa"/>
            <w:tcMar>
              <w:left w:w="28" w:type="dxa"/>
              <w:right w:w="28" w:type="dxa"/>
            </w:tcMar>
          </w:tcPr>
          <w:p w14:paraId="3B75BC75"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2ECB9D8F" w14:textId="57716F50" w:rsidR="00F84E7F" w:rsidRPr="00DA78F1" w:rsidRDefault="00F84E7F" w:rsidP="00F84E7F">
            <w:pPr>
              <w:ind w:left="-76" w:right="28"/>
              <w:jc w:val="right"/>
              <w:rPr>
                <w:sz w:val="18"/>
                <w:szCs w:val="18"/>
              </w:rPr>
            </w:pPr>
            <w:r w:rsidRPr="00DA78F1">
              <w:rPr>
                <w:sz w:val="18"/>
                <w:szCs w:val="18"/>
                <w:lang w:val="en-ID"/>
              </w:rPr>
              <w:t>224.546.725</w:t>
            </w:r>
          </w:p>
        </w:tc>
        <w:tc>
          <w:tcPr>
            <w:tcW w:w="125" w:type="dxa"/>
          </w:tcPr>
          <w:p w14:paraId="5468549C" w14:textId="77777777" w:rsidR="00F84E7F" w:rsidRPr="00DE189C" w:rsidRDefault="00F84E7F" w:rsidP="00F84E7F">
            <w:pPr>
              <w:ind w:right="144"/>
              <w:jc w:val="right"/>
              <w:rPr>
                <w:i/>
                <w:sz w:val="18"/>
                <w:szCs w:val="18"/>
              </w:rPr>
            </w:pPr>
          </w:p>
        </w:tc>
        <w:tc>
          <w:tcPr>
            <w:tcW w:w="2732" w:type="dxa"/>
          </w:tcPr>
          <w:p w14:paraId="33024F51" w14:textId="1F5BDD04" w:rsidR="00A21CAE" w:rsidRDefault="00F84E7F" w:rsidP="00F84E7F">
            <w:pPr>
              <w:ind w:right="67"/>
              <w:jc w:val="right"/>
              <w:rPr>
                <w:i/>
                <w:sz w:val="18"/>
                <w:szCs w:val="18"/>
              </w:rPr>
            </w:pPr>
            <w:r w:rsidRPr="00DE189C">
              <w:rPr>
                <w:i/>
                <w:sz w:val="18"/>
                <w:szCs w:val="18"/>
              </w:rPr>
              <w:t xml:space="preserve">Intangible assets </w:t>
            </w:r>
            <w:r w:rsidR="00A21CAE">
              <w:rPr>
                <w:i/>
                <w:sz w:val="18"/>
                <w:szCs w:val="18"/>
              </w:rPr>
              <w:t>–</w:t>
            </w:r>
          </w:p>
          <w:p w14:paraId="223AAA63" w14:textId="05FFA09C" w:rsidR="00A21CAE" w:rsidRDefault="00F84E7F" w:rsidP="00A21CAE">
            <w:pPr>
              <w:ind w:right="67"/>
              <w:jc w:val="right"/>
              <w:rPr>
                <w:i/>
                <w:sz w:val="18"/>
                <w:szCs w:val="18"/>
              </w:rPr>
            </w:pPr>
            <w:r w:rsidRPr="00DE189C">
              <w:rPr>
                <w:i/>
                <w:sz w:val="18"/>
                <w:szCs w:val="18"/>
              </w:rPr>
              <w:t xml:space="preserve"> net of</w:t>
            </w:r>
            <w:r w:rsidR="00A21CAE">
              <w:rPr>
                <w:i/>
                <w:sz w:val="18"/>
                <w:szCs w:val="18"/>
              </w:rPr>
              <w:t xml:space="preserve">  </w:t>
            </w:r>
            <w:r w:rsidRPr="00DE189C">
              <w:rPr>
                <w:i/>
                <w:sz w:val="18"/>
                <w:szCs w:val="18"/>
              </w:rPr>
              <w:t xml:space="preserve">accumulated </w:t>
            </w:r>
          </w:p>
          <w:p w14:paraId="76AFBFF0" w14:textId="6C8AA375" w:rsidR="00A21CAE" w:rsidRDefault="00F84E7F" w:rsidP="006D101A">
            <w:pPr>
              <w:ind w:right="170"/>
              <w:jc w:val="right"/>
              <w:rPr>
                <w:i/>
                <w:sz w:val="18"/>
                <w:szCs w:val="18"/>
              </w:rPr>
            </w:pPr>
            <w:r w:rsidRPr="00DE189C">
              <w:rPr>
                <w:i/>
                <w:sz w:val="18"/>
                <w:szCs w:val="18"/>
              </w:rPr>
              <w:t xml:space="preserve">amortization of Rp </w:t>
            </w:r>
            <w:r w:rsidR="006D101A">
              <w:rPr>
                <w:i/>
                <w:sz w:val="18"/>
                <w:szCs w:val="18"/>
              </w:rPr>
              <w:t>3</w:t>
            </w:r>
            <w:r w:rsidR="00305CA0">
              <w:rPr>
                <w:i/>
                <w:sz w:val="18"/>
                <w:szCs w:val="18"/>
              </w:rPr>
              <w:t>.</w:t>
            </w:r>
            <w:r w:rsidR="006D101A">
              <w:rPr>
                <w:i/>
                <w:sz w:val="18"/>
                <w:szCs w:val="18"/>
              </w:rPr>
              <w:t>310</w:t>
            </w:r>
            <w:r w:rsidR="00305CA0">
              <w:rPr>
                <w:i/>
                <w:sz w:val="18"/>
                <w:szCs w:val="18"/>
              </w:rPr>
              <w:t>.</w:t>
            </w:r>
            <w:r w:rsidR="006D101A">
              <w:rPr>
                <w:i/>
                <w:sz w:val="18"/>
                <w:szCs w:val="18"/>
              </w:rPr>
              <w:t>037</w:t>
            </w:r>
            <w:r w:rsidR="00305CA0">
              <w:rPr>
                <w:i/>
                <w:sz w:val="18"/>
                <w:szCs w:val="18"/>
              </w:rPr>
              <w:t>.</w:t>
            </w:r>
            <w:r w:rsidR="006D101A">
              <w:rPr>
                <w:i/>
                <w:sz w:val="18"/>
                <w:szCs w:val="18"/>
              </w:rPr>
              <w:t>830</w:t>
            </w:r>
            <w:r w:rsidRPr="00DE189C">
              <w:rPr>
                <w:i/>
                <w:sz w:val="18"/>
                <w:szCs w:val="18"/>
              </w:rPr>
              <w:t xml:space="preserve"> </w:t>
            </w:r>
          </w:p>
          <w:p w14:paraId="6CAFCD44" w14:textId="574F53C2" w:rsidR="00A21CAE" w:rsidRDefault="00F84E7F" w:rsidP="006D101A">
            <w:pPr>
              <w:ind w:right="170"/>
              <w:jc w:val="right"/>
              <w:rPr>
                <w:i/>
                <w:sz w:val="18"/>
                <w:szCs w:val="18"/>
              </w:rPr>
            </w:pPr>
            <w:proofErr w:type="gramStart"/>
            <w:r w:rsidRPr="00DE189C">
              <w:rPr>
                <w:i/>
                <w:sz w:val="18"/>
                <w:szCs w:val="18"/>
              </w:rPr>
              <w:t>in</w:t>
            </w:r>
            <w:proofErr w:type="gramEnd"/>
            <w:r w:rsidR="006D101A">
              <w:rPr>
                <w:i/>
                <w:sz w:val="18"/>
                <w:szCs w:val="18"/>
              </w:rPr>
              <w:t xml:space="preserve"> March 31</w:t>
            </w:r>
            <w:r w:rsidR="00305CA0">
              <w:rPr>
                <w:i/>
                <w:sz w:val="18"/>
                <w:szCs w:val="18"/>
              </w:rPr>
              <w:t>.</w:t>
            </w:r>
            <w:r w:rsidRPr="00DE189C">
              <w:rPr>
                <w:i/>
                <w:sz w:val="18"/>
                <w:szCs w:val="18"/>
              </w:rPr>
              <w:t xml:space="preserve"> 20</w:t>
            </w:r>
            <w:r w:rsidR="006D101A">
              <w:rPr>
                <w:i/>
                <w:sz w:val="18"/>
                <w:szCs w:val="18"/>
              </w:rPr>
              <w:t>20</w:t>
            </w:r>
            <w:r w:rsidR="00A21CAE">
              <w:rPr>
                <w:i/>
                <w:sz w:val="18"/>
                <w:szCs w:val="18"/>
              </w:rPr>
              <w:t xml:space="preserve"> </w:t>
            </w:r>
            <w:r w:rsidRPr="00DE189C">
              <w:rPr>
                <w:i/>
                <w:sz w:val="18"/>
                <w:szCs w:val="18"/>
              </w:rPr>
              <w:t>and</w:t>
            </w:r>
            <w:r w:rsidR="006D101A">
              <w:rPr>
                <w:i/>
                <w:sz w:val="18"/>
                <w:szCs w:val="18"/>
              </w:rPr>
              <w:t xml:space="preserve"> </w:t>
            </w:r>
            <w:r w:rsidRPr="00DE189C">
              <w:rPr>
                <w:i/>
                <w:sz w:val="18"/>
                <w:szCs w:val="18"/>
              </w:rPr>
              <w:br/>
              <w:t xml:space="preserve">Rp </w:t>
            </w:r>
            <w:r w:rsidR="006D101A" w:rsidRPr="00DE189C">
              <w:rPr>
                <w:i/>
                <w:sz w:val="18"/>
                <w:szCs w:val="18"/>
              </w:rPr>
              <w:t>3</w:t>
            </w:r>
            <w:r w:rsidR="00305CA0">
              <w:rPr>
                <w:i/>
                <w:sz w:val="18"/>
                <w:szCs w:val="18"/>
              </w:rPr>
              <w:t>.</w:t>
            </w:r>
            <w:r w:rsidR="006D101A" w:rsidRPr="00DE189C">
              <w:rPr>
                <w:i/>
                <w:sz w:val="18"/>
                <w:szCs w:val="18"/>
              </w:rPr>
              <w:t>220</w:t>
            </w:r>
            <w:r w:rsidR="00305CA0">
              <w:rPr>
                <w:i/>
                <w:sz w:val="18"/>
                <w:szCs w:val="18"/>
              </w:rPr>
              <w:t>.</w:t>
            </w:r>
            <w:r w:rsidR="006D101A" w:rsidRPr="00DE189C">
              <w:rPr>
                <w:i/>
                <w:sz w:val="18"/>
                <w:szCs w:val="18"/>
              </w:rPr>
              <w:t>886</w:t>
            </w:r>
            <w:r w:rsidR="00305CA0">
              <w:rPr>
                <w:i/>
                <w:sz w:val="18"/>
                <w:szCs w:val="18"/>
              </w:rPr>
              <w:t>.</w:t>
            </w:r>
            <w:r w:rsidR="006D101A" w:rsidRPr="00DE189C">
              <w:rPr>
                <w:i/>
                <w:sz w:val="18"/>
                <w:szCs w:val="18"/>
              </w:rPr>
              <w:t>49</w:t>
            </w:r>
            <w:r w:rsidR="006D101A">
              <w:rPr>
                <w:i/>
                <w:sz w:val="18"/>
                <w:szCs w:val="18"/>
              </w:rPr>
              <w:t>8</w:t>
            </w:r>
            <w:r w:rsidRPr="00DE189C">
              <w:rPr>
                <w:i/>
                <w:sz w:val="18"/>
                <w:szCs w:val="18"/>
              </w:rPr>
              <w:t xml:space="preserve"> </w:t>
            </w:r>
          </w:p>
          <w:p w14:paraId="424A716E" w14:textId="3D58172F" w:rsidR="00F84E7F" w:rsidRPr="00B17C6B" w:rsidRDefault="00F84E7F" w:rsidP="00946853">
            <w:pPr>
              <w:ind w:right="170"/>
              <w:jc w:val="right"/>
              <w:rPr>
                <w:i/>
                <w:sz w:val="18"/>
                <w:szCs w:val="18"/>
                <w:lang w:val="id-ID"/>
              </w:rPr>
            </w:pPr>
            <w:proofErr w:type="gramStart"/>
            <w:r w:rsidRPr="00DE189C">
              <w:rPr>
                <w:i/>
                <w:sz w:val="18"/>
                <w:szCs w:val="18"/>
              </w:rPr>
              <w:t>in</w:t>
            </w:r>
            <w:proofErr w:type="gramEnd"/>
            <w:r w:rsidRPr="00DE189C">
              <w:rPr>
                <w:i/>
                <w:sz w:val="18"/>
                <w:szCs w:val="18"/>
              </w:rPr>
              <w:t xml:space="preserve"> </w:t>
            </w:r>
            <w:r w:rsidR="006D101A">
              <w:rPr>
                <w:i/>
                <w:sz w:val="18"/>
                <w:szCs w:val="18"/>
              </w:rPr>
              <w:t>December 31</w:t>
            </w:r>
            <w:r w:rsidR="00305CA0">
              <w:rPr>
                <w:i/>
                <w:sz w:val="18"/>
                <w:szCs w:val="18"/>
              </w:rPr>
              <w:t>.</w:t>
            </w:r>
            <w:r w:rsidR="006D101A">
              <w:rPr>
                <w:i/>
                <w:sz w:val="18"/>
                <w:szCs w:val="18"/>
              </w:rPr>
              <w:t xml:space="preserve"> </w:t>
            </w:r>
            <w:r w:rsidRPr="00DE189C">
              <w:rPr>
                <w:i/>
                <w:sz w:val="18"/>
                <w:szCs w:val="18"/>
              </w:rPr>
              <w:t>201</w:t>
            </w:r>
            <w:r w:rsidR="006D101A">
              <w:rPr>
                <w:i/>
                <w:sz w:val="18"/>
                <w:szCs w:val="18"/>
              </w:rPr>
              <w:t>9</w:t>
            </w:r>
          </w:p>
        </w:tc>
      </w:tr>
      <w:tr w:rsidR="00F84E7F" w:rsidRPr="00DE189C" w14:paraId="6A967999" w14:textId="77777777" w:rsidTr="002B637F">
        <w:trPr>
          <w:trHeight w:val="20"/>
        </w:trPr>
        <w:tc>
          <w:tcPr>
            <w:tcW w:w="2731" w:type="dxa"/>
            <w:vAlign w:val="bottom"/>
          </w:tcPr>
          <w:p w14:paraId="21BB53DA" w14:textId="77777777" w:rsidR="00F84E7F" w:rsidRPr="00DE189C" w:rsidRDefault="00F84E7F" w:rsidP="00F84E7F">
            <w:pPr>
              <w:ind w:left="284" w:right="99" w:hanging="142"/>
              <w:rPr>
                <w:sz w:val="18"/>
                <w:szCs w:val="18"/>
              </w:rPr>
            </w:pPr>
            <w:r w:rsidRPr="00DE189C">
              <w:rPr>
                <w:sz w:val="18"/>
                <w:szCs w:val="18"/>
              </w:rPr>
              <w:t>Aset pajak tangguhan</w:t>
            </w:r>
          </w:p>
        </w:tc>
        <w:tc>
          <w:tcPr>
            <w:tcW w:w="125" w:type="dxa"/>
            <w:tcMar>
              <w:left w:w="28" w:type="dxa"/>
              <w:right w:w="28" w:type="dxa"/>
            </w:tcMar>
          </w:tcPr>
          <w:p w14:paraId="03FD738F" w14:textId="77777777" w:rsidR="00F84E7F" w:rsidRPr="00DE189C" w:rsidRDefault="00F84E7F" w:rsidP="00F84E7F">
            <w:pPr>
              <w:jc w:val="center"/>
              <w:rPr>
                <w:sz w:val="18"/>
                <w:szCs w:val="18"/>
              </w:rPr>
            </w:pPr>
          </w:p>
        </w:tc>
        <w:tc>
          <w:tcPr>
            <w:tcW w:w="1680" w:type="dxa"/>
            <w:tcMar>
              <w:left w:w="28" w:type="dxa"/>
              <w:right w:w="28" w:type="dxa"/>
            </w:tcMar>
            <w:vAlign w:val="bottom"/>
          </w:tcPr>
          <w:p w14:paraId="2D46E714" w14:textId="3EFAE3C8" w:rsidR="00F84E7F" w:rsidRPr="00DA78F1" w:rsidRDefault="001B120D" w:rsidP="00F84E7F">
            <w:pPr>
              <w:ind w:left="-76" w:right="28"/>
              <w:jc w:val="right"/>
              <w:rPr>
                <w:sz w:val="18"/>
                <w:szCs w:val="18"/>
                <w:lang w:val="en-ID"/>
              </w:rPr>
            </w:pPr>
            <w:r>
              <w:rPr>
                <w:sz w:val="18"/>
                <w:szCs w:val="18"/>
                <w:lang w:val="en-ID"/>
              </w:rPr>
              <w:t>20.060.116.705</w:t>
            </w:r>
          </w:p>
        </w:tc>
        <w:tc>
          <w:tcPr>
            <w:tcW w:w="124" w:type="dxa"/>
            <w:tcMar>
              <w:left w:w="28" w:type="dxa"/>
              <w:right w:w="28" w:type="dxa"/>
            </w:tcMar>
          </w:tcPr>
          <w:p w14:paraId="141BB19A"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0579116E" w14:textId="5F1E24FF" w:rsidR="00F84E7F" w:rsidRPr="00DA78F1" w:rsidRDefault="00F84E7F" w:rsidP="00F84E7F">
            <w:pPr>
              <w:ind w:left="-76" w:right="28"/>
              <w:jc w:val="right"/>
              <w:rPr>
                <w:sz w:val="18"/>
                <w:szCs w:val="18"/>
              </w:rPr>
            </w:pPr>
            <w:r w:rsidRPr="00DA78F1">
              <w:rPr>
                <w:sz w:val="18"/>
                <w:szCs w:val="18"/>
                <w:lang w:val="en-ID"/>
              </w:rPr>
              <w:t>19.748.812.549</w:t>
            </w:r>
          </w:p>
        </w:tc>
        <w:tc>
          <w:tcPr>
            <w:tcW w:w="125" w:type="dxa"/>
          </w:tcPr>
          <w:p w14:paraId="109E4A15" w14:textId="77777777" w:rsidR="00F84E7F" w:rsidRPr="00DE189C" w:rsidRDefault="00F84E7F" w:rsidP="00F84E7F">
            <w:pPr>
              <w:ind w:right="144"/>
              <w:jc w:val="right"/>
              <w:rPr>
                <w:i/>
                <w:sz w:val="18"/>
                <w:szCs w:val="18"/>
              </w:rPr>
            </w:pPr>
          </w:p>
        </w:tc>
        <w:tc>
          <w:tcPr>
            <w:tcW w:w="2732" w:type="dxa"/>
            <w:vAlign w:val="bottom"/>
          </w:tcPr>
          <w:p w14:paraId="238CC60C" w14:textId="77777777" w:rsidR="00F84E7F" w:rsidRPr="00DE189C" w:rsidRDefault="00F84E7F" w:rsidP="00F84E7F">
            <w:pPr>
              <w:ind w:right="67"/>
              <w:jc w:val="right"/>
              <w:rPr>
                <w:i/>
                <w:sz w:val="18"/>
                <w:szCs w:val="18"/>
              </w:rPr>
            </w:pPr>
            <w:r w:rsidRPr="00DE189C">
              <w:rPr>
                <w:i/>
                <w:sz w:val="18"/>
                <w:szCs w:val="18"/>
              </w:rPr>
              <w:t>Deffered tax assets</w:t>
            </w:r>
          </w:p>
        </w:tc>
      </w:tr>
      <w:tr w:rsidR="00F84E7F" w:rsidRPr="00DE189C" w14:paraId="20C6E6F2" w14:textId="77777777" w:rsidTr="002B637F">
        <w:trPr>
          <w:trHeight w:val="20"/>
        </w:trPr>
        <w:tc>
          <w:tcPr>
            <w:tcW w:w="2731" w:type="dxa"/>
            <w:vAlign w:val="bottom"/>
          </w:tcPr>
          <w:p w14:paraId="29C3C81D" w14:textId="77777777" w:rsidR="00F84E7F" w:rsidRPr="00DE189C" w:rsidRDefault="00F84E7F" w:rsidP="00F84E7F">
            <w:pPr>
              <w:ind w:left="284" w:right="99" w:hanging="142"/>
              <w:rPr>
                <w:i/>
                <w:sz w:val="18"/>
                <w:szCs w:val="18"/>
              </w:rPr>
            </w:pPr>
            <w:r w:rsidRPr="00DE189C">
              <w:rPr>
                <w:i/>
                <w:sz w:val="18"/>
                <w:szCs w:val="18"/>
              </w:rPr>
              <w:t>Goodwill</w:t>
            </w:r>
          </w:p>
        </w:tc>
        <w:tc>
          <w:tcPr>
            <w:tcW w:w="125" w:type="dxa"/>
            <w:tcMar>
              <w:left w:w="28" w:type="dxa"/>
              <w:right w:w="28" w:type="dxa"/>
            </w:tcMar>
          </w:tcPr>
          <w:p w14:paraId="71B92957" w14:textId="77777777" w:rsidR="00F84E7F" w:rsidRPr="00DE189C" w:rsidRDefault="00F84E7F" w:rsidP="00F84E7F">
            <w:pPr>
              <w:jc w:val="center"/>
              <w:rPr>
                <w:sz w:val="18"/>
                <w:szCs w:val="18"/>
              </w:rPr>
            </w:pPr>
          </w:p>
        </w:tc>
        <w:tc>
          <w:tcPr>
            <w:tcW w:w="1680" w:type="dxa"/>
            <w:tcMar>
              <w:left w:w="28" w:type="dxa"/>
              <w:right w:w="28" w:type="dxa"/>
            </w:tcMar>
            <w:vAlign w:val="bottom"/>
          </w:tcPr>
          <w:p w14:paraId="6773D46E" w14:textId="1E1D3BCA" w:rsidR="00F84E7F" w:rsidRPr="00DA78F1" w:rsidRDefault="003E65BD" w:rsidP="00F84E7F">
            <w:pPr>
              <w:ind w:left="-76" w:right="28"/>
              <w:jc w:val="right"/>
              <w:rPr>
                <w:sz w:val="18"/>
                <w:szCs w:val="18"/>
              </w:rPr>
            </w:pPr>
            <w:r w:rsidRPr="003E65BD">
              <w:rPr>
                <w:sz w:val="18"/>
                <w:szCs w:val="18"/>
              </w:rPr>
              <w:t>237</w:t>
            </w:r>
            <w:r w:rsidR="006D101A">
              <w:rPr>
                <w:sz w:val="18"/>
                <w:szCs w:val="18"/>
              </w:rPr>
              <w:t>.</w:t>
            </w:r>
            <w:r w:rsidRPr="003E65BD">
              <w:rPr>
                <w:sz w:val="18"/>
                <w:szCs w:val="18"/>
              </w:rPr>
              <w:t>770</w:t>
            </w:r>
            <w:r w:rsidR="006D101A">
              <w:rPr>
                <w:sz w:val="18"/>
                <w:szCs w:val="18"/>
              </w:rPr>
              <w:t>.</w:t>
            </w:r>
            <w:r w:rsidRPr="003E65BD">
              <w:rPr>
                <w:sz w:val="18"/>
                <w:szCs w:val="18"/>
              </w:rPr>
              <w:t>574</w:t>
            </w:r>
            <w:r w:rsidR="006D101A">
              <w:rPr>
                <w:sz w:val="18"/>
                <w:szCs w:val="18"/>
              </w:rPr>
              <w:t>.</w:t>
            </w:r>
            <w:r w:rsidRPr="003E65BD">
              <w:rPr>
                <w:sz w:val="18"/>
                <w:szCs w:val="18"/>
              </w:rPr>
              <w:t>23</w:t>
            </w:r>
            <w:r>
              <w:rPr>
                <w:sz w:val="18"/>
                <w:szCs w:val="18"/>
              </w:rPr>
              <w:t>7</w:t>
            </w:r>
          </w:p>
        </w:tc>
        <w:tc>
          <w:tcPr>
            <w:tcW w:w="124" w:type="dxa"/>
            <w:tcMar>
              <w:left w:w="28" w:type="dxa"/>
              <w:right w:w="28" w:type="dxa"/>
            </w:tcMar>
          </w:tcPr>
          <w:p w14:paraId="61A97A78" w14:textId="77777777" w:rsidR="00F84E7F" w:rsidRPr="00DA78F1" w:rsidRDefault="00F84E7F" w:rsidP="00F84E7F">
            <w:pPr>
              <w:ind w:left="-76" w:right="28"/>
              <w:jc w:val="right"/>
              <w:rPr>
                <w:sz w:val="18"/>
                <w:szCs w:val="18"/>
              </w:rPr>
            </w:pPr>
          </w:p>
        </w:tc>
        <w:tc>
          <w:tcPr>
            <w:tcW w:w="1680" w:type="dxa"/>
            <w:tcMar>
              <w:left w:w="28" w:type="dxa"/>
              <w:right w:w="28" w:type="dxa"/>
            </w:tcMar>
            <w:vAlign w:val="bottom"/>
          </w:tcPr>
          <w:p w14:paraId="3DCC26C2" w14:textId="5EEACFBA" w:rsidR="00F84E7F" w:rsidRPr="00DA78F1" w:rsidRDefault="00F84E7F" w:rsidP="00F84E7F">
            <w:pPr>
              <w:ind w:left="-76" w:right="28"/>
              <w:jc w:val="right"/>
              <w:rPr>
                <w:sz w:val="18"/>
                <w:szCs w:val="18"/>
              </w:rPr>
            </w:pPr>
            <w:r w:rsidRPr="00DA78F1">
              <w:rPr>
                <w:sz w:val="18"/>
                <w:szCs w:val="18"/>
                <w:lang w:val="id-ID"/>
              </w:rPr>
              <w:t>237.770.574.23</w:t>
            </w:r>
            <w:r w:rsidRPr="00DA78F1">
              <w:rPr>
                <w:sz w:val="18"/>
                <w:szCs w:val="18"/>
              </w:rPr>
              <w:t>7</w:t>
            </w:r>
          </w:p>
        </w:tc>
        <w:tc>
          <w:tcPr>
            <w:tcW w:w="125" w:type="dxa"/>
          </w:tcPr>
          <w:p w14:paraId="5BF7C029" w14:textId="77777777" w:rsidR="00F84E7F" w:rsidRPr="00DE189C" w:rsidRDefault="00F84E7F" w:rsidP="00F84E7F">
            <w:pPr>
              <w:ind w:right="144"/>
              <w:jc w:val="right"/>
              <w:rPr>
                <w:i/>
                <w:sz w:val="18"/>
                <w:szCs w:val="18"/>
              </w:rPr>
            </w:pPr>
          </w:p>
        </w:tc>
        <w:tc>
          <w:tcPr>
            <w:tcW w:w="2732" w:type="dxa"/>
            <w:vAlign w:val="bottom"/>
          </w:tcPr>
          <w:p w14:paraId="4A93BD03" w14:textId="77777777" w:rsidR="00F84E7F" w:rsidRPr="00DE189C" w:rsidRDefault="00F84E7F" w:rsidP="00F84E7F">
            <w:pPr>
              <w:ind w:right="67"/>
              <w:jc w:val="right"/>
              <w:rPr>
                <w:i/>
                <w:sz w:val="18"/>
                <w:szCs w:val="18"/>
              </w:rPr>
            </w:pPr>
            <w:r w:rsidRPr="00DE189C">
              <w:rPr>
                <w:i/>
                <w:sz w:val="18"/>
                <w:szCs w:val="18"/>
              </w:rPr>
              <w:t>Goodwill</w:t>
            </w:r>
          </w:p>
        </w:tc>
      </w:tr>
      <w:tr w:rsidR="00F84E7F" w:rsidRPr="00DE189C" w14:paraId="30E18A3A" w14:textId="77777777" w:rsidTr="002B637F">
        <w:trPr>
          <w:trHeight w:val="20"/>
        </w:trPr>
        <w:tc>
          <w:tcPr>
            <w:tcW w:w="2731" w:type="dxa"/>
            <w:vAlign w:val="bottom"/>
          </w:tcPr>
          <w:p w14:paraId="09969700" w14:textId="77777777" w:rsidR="00F84E7F" w:rsidRPr="00DE189C" w:rsidRDefault="00F84E7F" w:rsidP="00F84E7F">
            <w:pPr>
              <w:ind w:left="284" w:right="99" w:hanging="142"/>
              <w:rPr>
                <w:sz w:val="18"/>
                <w:szCs w:val="18"/>
              </w:rPr>
            </w:pPr>
          </w:p>
        </w:tc>
        <w:tc>
          <w:tcPr>
            <w:tcW w:w="125" w:type="dxa"/>
            <w:tcMar>
              <w:left w:w="28" w:type="dxa"/>
              <w:right w:w="28" w:type="dxa"/>
            </w:tcMar>
          </w:tcPr>
          <w:p w14:paraId="46CD9634" w14:textId="77777777" w:rsidR="00F84E7F" w:rsidRPr="00DE189C" w:rsidRDefault="00F84E7F" w:rsidP="00F84E7F">
            <w:pPr>
              <w:jc w:val="center"/>
              <w:rPr>
                <w:sz w:val="18"/>
                <w:szCs w:val="18"/>
              </w:rPr>
            </w:pPr>
          </w:p>
        </w:tc>
        <w:tc>
          <w:tcPr>
            <w:tcW w:w="1680" w:type="dxa"/>
            <w:tcBorders>
              <w:top w:val="single" w:sz="4" w:space="0" w:color="auto"/>
            </w:tcBorders>
            <w:tcMar>
              <w:left w:w="28" w:type="dxa"/>
              <w:right w:w="28" w:type="dxa"/>
            </w:tcMar>
            <w:vAlign w:val="bottom"/>
          </w:tcPr>
          <w:p w14:paraId="5808250D"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4B824D99" w14:textId="77777777" w:rsidR="00F84E7F" w:rsidRPr="00DA78F1" w:rsidRDefault="00F84E7F" w:rsidP="00F84E7F">
            <w:pPr>
              <w:jc w:val="right"/>
              <w:rPr>
                <w:sz w:val="18"/>
                <w:szCs w:val="18"/>
              </w:rPr>
            </w:pPr>
          </w:p>
        </w:tc>
        <w:tc>
          <w:tcPr>
            <w:tcW w:w="1680" w:type="dxa"/>
            <w:tcBorders>
              <w:top w:val="single" w:sz="4" w:space="0" w:color="auto"/>
            </w:tcBorders>
            <w:tcMar>
              <w:left w:w="28" w:type="dxa"/>
              <w:right w:w="28" w:type="dxa"/>
            </w:tcMar>
            <w:vAlign w:val="bottom"/>
          </w:tcPr>
          <w:p w14:paraId="60E7B34F" w14:textId="77777777" w:rsidR="00F84E7F" w:rsidRPr="00DA78F1" w:rsidRDefault="00F84E7F" w:rsidP="00F84E7F">
            <w:pPr>
              <w:ind w:left="-76" w:right="28"/>
              <w:jc w:val="right"/>
              <w:rPr>
                <w:sz w:val="18"/>
                <w:szCs w:val="18"/>
              </w:rPr>
            </w:pPr>
          </w:p>
        </w:tc>
        <w:tc>
          <w:tcPr>
            <w:tcW w:w="125" w:type="dxa"/>
          </w:tcPr>
          <w:p w14:paraId="33D6B78A" w14:textId="77777777" w:rsidR="00F84E7F" w:rsidRPr="00DE189C" w:rsidRDefault="00F84E7F" w:rsidP="00F84E7F">
            <w:pPr>
              <w:ind w:right="144"/>
              <w:jc w:val="right"/>
              <w:rPr>
                <w:i/>
                <w:sz w:val="18"/>
                <w:szCs w:val="18"/>
                <w:lang w:val="id-ID"/>
              </w:rPr>
            </w:pPr>
          </w:p>
        </w:tc>
        <w:tc>
          <w:tcPr>
            <w:tcW w:w="2732" w:type="dxa"/>
            <w:vAlign w:val="bottom"/>
          </w:tcPr>
          <w:p w14:paraId="4F4BFACE" w14:textId="77777777" w:rsidR="00F84E7F" w:rsidRPr="00DE189C" w:rsidRDefault="00F84E7F" w:rsidP="00F84E7F">
            <w:pPr>
              <w:ind w:right="67"/>
              <w:jc w:val="right"/>
              <w:rPr>
                <w:i/>
                <w:sz w:val="18"/>
                <w:szCs w:val="18"/>
                <w:lang w:val="id-ID"/>
              </w:rPr>
            </w:pPr>
          </w:p>
        </w:tc>
      </w:tr>
      <w:tr w:rsidR="00F84E7F" w:rsidRPr="00DE189C" w14:paraId="0C74CD12" w14:textId="77777777" w:rsidTr="002B637F">
        <w:trPr>
          <w:trHeight w:val="20"/>
        </w:trPr>
        <w:tc>
          <w:tcPr>
            <w:tcW w:w="2731" w:type="dxa"/>
            <w:vAlign w:val="bottom"/>
          </w:tcPr>
          <w:p w14:paraId="5780A14B" w14:textId="77777777" w:rsidR="00F84E7F" w:rsidRPr="00DE189C" w:rsidRDefault="00F84E7F" w:rsidP="00F84E7F">
            <w:pPr>
              <w:ind w:left="284" w:right="99" w:hanging="142"/>
              <w:rPr>
                <w:b/>
                <w:sz w:val="18"/>
                <w:szCs w:val="18"/>
              </w:rPr>
            </w:pPr>
            <w:r w:rsidRPr="00DE189C">
              <w:rPr>
                <w:b/>
                <w:sz w:val="18"/>
                <w:szCs w:val="18"/>
              </w:rPr>
              <w:t>Jumlah Aset Tidak Lancar</w:t>
            </w:r>
          </w:p>
        </w:tc>
        <w:tc>
          <w:tcPr>
            <w:tcW w:w="125" w:type="dxa"/>
            <w:tcMar>
              <w:left w:w="28" w:type="dxa"/>
              <w:right w:w="28" w:type="dxa"/>
            </w:tcMar>
          </w:tcPr>
          <w:p w14:paraId="039D14E0" w14:textId="77777777" w:rsidR="00F84E7F" w:rsidRPr="00DE189C" w:rsidRDefault="00F84E7F" w:rsidP="00F84E7F">
            <w:pPr>
              <w:jc w:val="center"/>
              <w:rPr>
                <w:b/>
                <w:sz w:val="18"/>
                <w:szCs w:val="18"/>
              </w:rPr>
            </w:pPr>
          </w:p>
        </w:tc>
        <w:tc>
          <w:tcPr>
            <w:tcW w:w="1680" w:type="dxa"/>
            <w:tcBorders>
              <w:bottom w:val="single" w:sz="4" w:space="0" w:color="auto"/>
            </w:tcBorders>
            <w:tcMar>
              <w:left w:w="28" w:type="dxa"/>
              <w:right w:w="28" w:type="dxa"/>
            </w:tcMar>
            <w:vAlign w:val="bottom"/>
          </w:tcPr>
          <w:p w14:paraId="3C369178" w14:textId="30AFD029" w:rsidR="00F84E7F" w:rsidRPr="00907FBF" w:rsidRDefault="00907FBF" w:rsidP="00F84E7F">
            <w:pPr>
              <w:ind w:left="-76" w:right="28"/>
              <w:jc w:val="right"/>
              <w:rPr>
                <w:b/>
                <w:bCs w:val="0"/>
                <w:sz w:val="18"/>
                <w:szCs w:val="18"/>
                <w:lang w:val="id-ID"/>
              </w:rPr>
            </w:pPr>
            <w:r>
              <w:rPr>
                <w:b/>
                <w:bCs w:val="0"/>
                <w:sz w:val="18"/>
                <w:szCs w:val="18"/>
              </w:rPr>
              <w:t>2.</w:t>
            </w:r>
            <w:r w:rsidR="005714EA">
              <w:rPr>
                <w:b/>
                <w:bCs w:val="0"/>
                <w:sz w:val="18"/>
                <w:szCs w:val="18"/>
                <w:lang w:val="id-ID"/>
              </w:rPr>
              <w:t>709</w:t>
            </w:r>
            <w:r w:rsidR="005714EA">
              <w:rPr>
                <w:b/>
                <w:bCs w:val="0"/>
                <w:sz w:val="18"/>
                <w:szCs w:val="18"/>
              </w:rPr>
              <w:t>.</w:t>
            </w:r>
            <w:r w:rsidR="005714EA">
              <w:rPr>
                <w:b/>
                <w:bCs w:val="0"/>
                <w:sz w:val="18"/>
                <w:szCs w:val="18"/>
                <w:lang w:val="id-ID"/>
              </w:rPr>
              <w:t>668</w:t>
            </w:r>
            <w:r>
              <w:rPr>
                <w:b/>
                <w:bCs w:val="0"/>
                <w:sz w:val="18"/>
                <w:szCs w:val="18"/>
              </w:rPr>
              <w:t>.</w:t>
            </w:r>
            <w:r w:rsidR="005714EA">
              <w:rPr>
                <w:b/>
                <w:bCs w:val="0"/>
                <w:sz w:val="18"/>
                <w:szCs w:val="18"/>
                <w:lang w:val="id-ID"/>
              </w:rPr>
              <w:t>562</w:t>
            </w:r>
            <w:r>
              <w:rPr>
                <w:b/>
                <w:bCs w:val="0"/>
                <w:sz w:val="18"/>
                <w:szCs w:val="18"/>
              </w:rPr>
              <w:t>.</w:t>
            </w:r>
            <w:r w:rsidR="005714EA">
              <w:rPr>
                <w:b/>
                <w:bCs w:val="0"/>
                <w:sz w:val="18"/>
                <w:szCs w:val="18"/>
                <w:lang w:val="id-ID"/>
              </w:rPr>
              <w:t>765</w:t>
            </w:r>
          </w:p>
        </w:tc>
        <w:tc>
          <w:tcPr>
            <w:tcW w:w="124" w:type="dxa"/>
            <w:tcMar>
              <w:left w:w="28" w:type="dxa"/>
              <w:right w:w="28" w:type="dxa"/>
            </w:tcMar>
          </w:tcPr>
          <w:p w14:paraId="147775FF" w14:textId="77777777" w:rsidR="00F84E7F" w:rsidRPr="00DA78F1" w:rsidRDefault="00F84E7F" w:rsidP="00F84E7F">
            <w:pPr>
              <w:ind w:left="-76" w:right="28"/>
              <w:jc w:val="right"/>
              <w:rPr>
                <w:b/>
                <w:sz w:val="18"/>
                <w:szCs w:val="18"/>
              </w:rPr>
            </w:pPr>
          </w:p>
        </w:tc>
        <w:tc>
          <w:tcPr>
            <w:tcW w:w="1680" w:type="dxa"/>
            <w:tcBorders>
              <w:bottom w:val="single" w:sz="4" w:space="0" w:color="auto"/>
            </w:tcBorders>
            <w:tcMar>
              <w:left w:w="28" w:type="dxa"/>
              <w:right w:w="28" w:type="dxa"/>
            </w:tcMar>
            <w:vAlign w:val="bottom"/>
          </w:tcPr>
          <w:p w14:paraId="45F68377" w14:textId="5B72916E" w:rsidR="00F84E7F" w:rsidRPr="00DA78F1" w:rsidRDefault="00F84E7F" w:rsidP="00F84E7F">
            <w:pPr>
              <w:ind w:left="-76" w:right="28"/>
              <w:jc w:val="right"/>
              <w:rPr>
                <w:b/>
                <w:sz w:val="18"/>
                <w:szCs w:val="18"/>
                <w:lang w:val="id-ID"/>
              </w:rPr>
            </w:pPr>
            <w:r w:rsidRPr="00DA78F1">
              <w:rPr>
                <w:b/>
                <w:bCs w:val="0"/>
                <w:sz w:val="18"/>
                <w:szCs w:val="18"/>
              </w:rPr>
              <w:t>2.662.957.641.718</w:t>
            </w:r>
          </w:p>
        </w:tc>
        <w:tc>
          <w:tcPr>
            <w:tcW w:w="125" w:type="dxa"/>
          </w:tcPr>
          <w:p w14:paraId="1D1E3F2E" w14:textId="77777777" w:rsidR="00F84E7F" w:rsidRPr="00DE189C" w:rsidRDefault="00F84E7F" w:rsidP="00F84E7F">
            <w:pPr>
              <w:ind w:right="144"/>
              <w:jc w:val="right"/>
              <w:rPr>
                <w:b/>
                <w:i/>
                <w:sz w:val="18"/>
                <w:szCs w:val="18"/>
              </w:rPr>
            </w:pPr>
          </w:p>
        </w:tc>
        <w:tc>
          <w:tcPr>
            <w:tcW w:w="2732" w:type="dxa"/>
            <w:vAlign w:val="bottom"/>
          </w:tcPr>
          <w:p w14:paraId="2C6A7E1C" w14:textId="77777777" w:rsidR="00F84E7F" w:rsidRPr="00DE189C" w:rsidRDefault="00F84E7F" w:rsidP="00F84E7F">
            <w:pPr>
              <w:ind w:right="67"/>
              <w:jc w:val="right"/>
              <w:rPr>
                <w:b/>
                <w:i/>
                <w:sz w:val="18"/>
                <w:szCs w:val="18"/>
              </w:rPr>
            </w:pPr>
            <w:r w:rsidRPr="00DE189C">
              <w:rPr>
                <w:b/>
                <w:i/>
                <w:sz w:val="18"/>
                <w:szCs w:val="18"/>
              </w:rPr>
              <w:t>Total Non - Current Assets</w:t>
            </w:r>
          </w:p>
        </w:tc>
      </w:tr>
      <w:tr w:rsidR="00F84E7F" w:rsidRPr="00DE189C" w14:paraId="62810195" w14:textId="77777777" w:rsidTr="002B637F">
        <w:trPr>
          <w:trHeight w:val="20"/>
        </w:trPr>
        <w:tc>
          <w:tcPr>
            <w:tcW w:w="2731" w:type="dxa"/>
            <w:vAlign w:val="bottom"/>
          </w:tcPr>
          <w:p w14:paraId="77EBD74B" w14:textId="77777777" w:rsidR="00F84E7F" w:rsidRPr="00DE189C" w:rsidRDefault="00F84E7F" w:rsidP="00F84E7F">
            <w:pPr>
              <w:ind w:left="284" w:right="99" w:hanging="142"/>
              <w:rPr>
                <w:b/>
                <w:sz w:val="18"/>
                <w:szCs w:val="18"/>
              </w:rPr>
            </w:pPr>
          </w:p>
        </w:tc>
        <w:tc>
          <w:tcPr>
            <w:tcW w:w="125" w:type="dxa"/>
            <w:tcMar>
              <w:left w:w="28" w:type="dxa"/>
              <w:right w:w="28" w:type="dxa"/>
            </w:tcMar>
          </w:tcPr>
          <w:p w14:paraId="209E51AB" w14:textId="77777777" w:rsidR="00F84E7F" w:rsidRPr="00DE189C" w:rsidRDefault="00F84E7F" w:rsidP="00F84E7F">
            <w:pPr>
              <w:jc w:val="center"/>
              <w:rPr>
                <w:sz w:val="18"/>
                <w:szCs w:val="18"/>
              </w:rPr>
            </w:pPr>
          </w:p>
        </w:tc>
        <w:tc>
          <w:tcPr>
            <w:tcW w:w="1680" w:type="dxa"/>
            <w:tcBorders>
              <w:top w:val="single" w:sz="4" w:space="0" w:color="auto"/>
            </w:tcBorders>
            <w:shd w:val="clear" w:color="auto" w:fill="auto"/>
            <w:tcMar>
              <w:left w:w="28" w:type="dxa"/>
              <w:right w:w="28" w:type="dxa"/>
            </w:tcMar>
            <w:vAlign w:val="bottom"/>
          </w:tcPr>
          <w:p w14:paraId="74AFBFD8" w14:textId="77777777" w:rsidR="00F84E7F" w:rsidRPr="00DA78F1" w:rsidRDefault="00F84E7F" w:rsidP="00F84E7F">
            <w:pPr>
              <w:ind w:left="-76" w:right="28"/>
              <w:jc w:val="right"/>
              <w:rPr>
                <w:b/>
                <w:sz w:val="18"/>
                <w:szCs w:val="18"/>
                <w:lang w:val="id-ID"/>
              </w:rPr>
            </w:pPr>
          </w:p>
        </w:tc>
        <w:tc>
          <w:tcPr>
            <w:tcW w:w="124" w:type="dxa"/>
            <w:tcMar>
              <w:left w:w="28" w:type="dxa"/>
              <w:right w:w="28" w:type="dxa"/>
            </w:tcMar>
            <w:vAlign w:val="bottom"/>
          </w:tcPr>
          <w:p w14:paraId="155FC08D" w14:textId="77777777" w:rsidR="00F84E7F" w:rsidRPr="00DA78F1" w:rsidRDefault="00F84E7F" w:rsidP="00F84E7F">
            <w:pPr>
              <w:jc w:val="right"/>
              <w:rPr>
                <w:b/>
                <w:sz w:val="18"/>
                <w:szCs w:val="18"/>
              </w:rPr>
            </w:pPr>
          </w:p>
        </w:tc>
        <w:tc>
          <w:tcPr>
            <w:tcW w:w="1680" w:type="dxa"/>
            <w:tcBorders>
              <w:top w:val="single" w:sz="4" w:space="0" w:color="auto"/>
            </w:tcBorders>
            <w:tcMar>
              <w:left w:w="28" w:type="dxa"/>
              <w:right w:w="28" w:type="dxa"/>
            </w:tcMar>
            <w:vAlign w:val="bottom"/>
          </w:tcPr>
          <w:p w14:paraId="156A9719" w14:textId="77777777" w:rsidR="00F84E7F" w:rsidRPr="00DA78F1" w:rsidRDefault="00F84E7F" w:rsidP="00F84E7F">
            <w:pPr>
              <w:ind w:left="-76" w:right="28"/>
              <w:jc w:val="right"/>
              <w:rPr>
                <w:b/>
                <w:sz w:val="18"/>
                <w:szCs w:val="18"/>
              </w:rPr>
            </w:pPr>
          </w:p>
        </w:tc>
        <w:tc>
          <w:tcPr>
            <w:tcW w:w="125" w:type="dxa"/>
          </w:tcPr>
          <w:p w14:paraId="35336490" w14:textId="77777777" w:rsidR="00F84E7F" w:rsidRPr="00DE189C" w:rsidRDefault="00F84E7F" w:rsidP="00F84E7F">
            <w:pPr>
              <w:ind w:right="144"/>
              <w:jc w:val="right"/>
              <w:rPr>
                <w:i/>
                <w:sz w:val="18"/>
                <w:szCs w:val="18"/>
                <w:lang w:val="id-ID"/>
              </w:rPr>
            </w:pPr>
          </w:p>
        </w:tc>
        <w:tc>
          <w:tcPr>
            <w:tcW w:w="2732" w:type="dxa"/>
            <w:vAlign w:val="bottom"/>
          </w:tcPr>
          <w:p w14:paraId="0FA5B0EC" w14:textId="77777777" w:rsidR="00F84E7F" w:rsidRPr="00DE189C" w:rsidRDefault="00F84E7F" w:rsidP="00F84E7F">
            <w:pPr>
              <w:ind w:right="67"/>
              <w:jc w:val="right"/>
              <w:rPr>
                <w:i/>
                <w:sz w:val="18"/>
                <w:szCs w:val="18"/>
                <w:lang w:val="id-ID"/>
              </w:rPr>
            </w:pPr>
          </w:p>
        </w:tc>
      </w:tr>
      <w:tr w:rsidR="00F84E7F" w:rsidRPr="00DE189C" w14:paraId="4DC3C904" w14:textId="77777777" w:rsidTr="002B637F">
        <w:trPr>
          <w:trHeight w:val="20"/>
        </w:trPr>
        <w:tc>
          <w:tcPr>
            <w:tcW w:w="2731" w:type="dxa"/>
            <w:vAlign w:val="bottom"/>
          </w:tcPr>
          <w:p w14:paraId="0A26A5A5" w14:textId="77777777" w:rsidR="00F84E7F" w:rsidRPr="00DE189C" w:rsidRDefault="00F84E7F" w:rsidP="00F84E7F">
            <w:pPr>
              <w:ind w:left="284" w:right="99" w:hanging="142"/>
              <w:rPr>
                <w:b/>
                <w:sz w:val="18"/>
                <w:szCs w:val="18"/>
              </w:rPr>
            </w:pPr>
            <w:r w:rsidRPr="00DE189C">
              <w:rPr>
                <w:b/>
                <w:sz w:val="18"/>
                <w:szCs w:val="18"/>
              </w:rPr>
              <w:t xml:space="preserve">Jumlah Aset </w:t>
            </w:r>
          </w:p>
        </w:tc>
        <w:tc>
          <w:tcPr>
            <w:tcW w:w="125" w:type="dxa"/>
            <w:tcMar>
              <w:left w:w="28" w:type="dxa"/>
              <w:right w:w="28" w:type="dxa"/>
            </w:tcMar>
          </w:tcPr>
          <w:p w14:paraId="66073AA0" w14:textId="77777777" w:rsidR="00F84E7F" w:rsidRPr="00DE189C" w:rsidRDefault="00F84E7F" w:rsidP="00F84E7F">
            <w:pPr>
              <w:jc w:val="center"/>
              <w:rPr>
                <w:b/>
                <w:sz w:val="18"/>
                <w:szCs w:val="18"/>
              </w:rPr>
            </w:pPr>
          </w:p>
        </w:tc>
        <w:tc>
          <w:tcPr>
            <w:tcW w:w="1680" w:type="dxa"/>
            <w:tcBorders>
              <w:bottom w:val="double" w:sz="4" w:space="0" w:color="auto"/>
            </w:tcBorders>
            <w:shd w:val="clear" w:color="auto" w:fill="auto"/>
            <w:tcMar>
              <w:left w:w="28" w:type="dxa"/>
              <w:right w:w="28" w:type="dxa"/>
            </w:tcMar>
            <w:vAlign w:val="bottom"/>
          </w:tcPr>
          <w:p w14:paraId="3E610A88" w14:textId="76AAEDC2" w:rsidR="00F84E7F" w:rsidRPr="00907FBF" w:rsidRDefault="00907FBF" w:rsidP="00F84E7F">
            <w:pPr>
              <w:ind w:left="-76" w:right="28"/>
              <w:jc w:val="right"/>
              <w:rPr>
                <w:b/>
                <w:sz w:val="18"/>
                <w:szCs w:val="18"/>
                <w:lang w:val="id-ID"/>
              </w:rPr>
            </w:pPr>
            <w:r>
              <w:rPr>
                <w:b/>
                <w:sz w:val="18"/>
                <w:szCs w:val="18"/>
              </w:rPr>
              <w:t>3.</w:t>
            </w:r>
            <w:r w:rsidR="005714EA">
              <w:rPr>
                <w:b/>
                <w:sz w:val="18"/>
                <w:szCs w:val="18"/>
                <w:lang w:val="id-ID"/>
              </w:rPr>
              <w:t>5</w:t>
            </w:r>
            <w:r>
              <w:rPr>
                <w:b/>
                <w:sz w:val="18"/>
                <w:szCs w:val="18"/>
                <w:lang w:val="id-ID"/>
              </w:rPr>
              <w:t>9</w:t>
            </w:r>
            <w:r w:rsidR="005714EA">
              <w:rPr>
                <w:b/>
                <w:sz w:val="18"/>
                <w:szCs w:val="18"/>
                <w:lang w:val="id-ID"/>
              </w:rPr>
              <w:t>5</w:t>
            </w:r>
            <w:r w:rsidR="005714EA">
              <w:rPr>
                <w:b/>
                <w:sz w:val="18"/>
                <w:szCs w:val="18"/>
              </w:rPr>
              <w:t>.</w:t>
            </w:r>
            <w:r w:rsidR="005714EA">
              <w:rPr>
                <w:b/>
                <w:sz w:val="18"/>
                <w:szCs w:val="18"/>
                <w:lang w:val="id-ID"/>
              </w:rPr>
              <w:t>42</w:t>
            </w:r>
            <w:r>
              <w:rPr>
                <w:b/>
                <w:sz w:val="18"/>
                <w:szCs w:val="18"/>
              </w:rPr>
              <w:t>9.</w:t>
            </w:r>
            <w:r w:rsidR="005714EA">
              <w:rPr>
                <w:b/>
                <w:sz w:val="18"/>
                <w:szCs w:val="18"/>
                <w:lang w:val="id-ID"/>
              </w:rPr>
              <w:t>776</w:t>
            </w:r>
            <w:r>
              <w:rPr>
                <w:b/>
                <w:sz w:val="18"/>
                <w:szCs w:val="18"/>
              </w:rPr>
              <w:t>.</w:t>
            </w:r>
            <w:r w:rsidR="005714EA">
              <w:rPr>
                <w:b/>
                <w:sz w:val="18"/>
                <w:szCs w:val="18"/>
                <w:lang w:val="id-ID"/>
              </w:rPr>
              <w:t>174</w:t>
            </w:r>
          </w:p>
        </w:tc>
        <w:tc>
          <w:tcPr>
            <w:tcW w:w="124" w:type="dxa"/>
            <w:tcMar>
              <w:left w:w="28" w:type="dxa"/>
              <w:right w:w="28" w:type="dxa"/>
            </w:tcMar>
          </w:tcPr>
          <w:p w14:paraId="2BDDC74B" w14:textId="77777777" w:rsidR="00F84E7F" w:rsidRPr="00DA78F1" w:rsidRDefault="00F84E7F" w:rsidP="00F84E7F">
            <w:pPr>
              <w:ind w:left="-76" w:right="28"/>
              <w:jc w:val="right"/>
              <w:rPr>
                <w:b/>
                <w:sz w:val="18"/>
                <w:szCs w:val="18"/>
              </w:rPr>
            </w:pPr>
          </w:p>
        </w:tc>
        <w:tc>
          <w:tcPr>
            <w:tcW w:w="1680" w:type="dxa"/>
            <w:tcBorders>
              <w:bottom w:val="double" w:sz="4" w:space="0" w:color="auto"/>
            </w:tcBorders>
            <w:tcMar>
              <w:left w:w="28" w:type="dxa"/>
              <w:right w:w="28" w:type="dxa"/>
            </w:tcMar>
            <w:vAlign w:val="bottom"/>
          </w:tcPr>
          <w:p w14:paraId="76335173" w14:textId="615839CC" w:rsidR="00F84E7F" w:rsidRPr="00DA78F1" w:rsidRDefault="00F84E7F" w:rsidP="00F84E7F">
            <w:pPr>
              <w:ind w:left="-76" w:right="28"/>
              <w:jc w:val="right"/>
              <w:rPr>
                <w:b/>
                <w:sz w:val="18"/>
                <w:szCs w:val="18"/>
              </w:rPr>
            </w:pPr>
            <w:r w:rsidRPr="00DA78F1">
              <w:rPr>
                <w:b/>
                <w:sz w:val="18"/>
                <w:szCs w:val="18"/>
              </w:rPr>
              <w:t>3.359.118.961.845</w:t>
            </w:r>
          </w:p>
        </w:tc>
        <w:tc>
          <w:tcPr>
            <w:tcW w:w="125" w:type="dxa"/>
          </w:tcPr>
          <w:p w14:paraId="29C89460" w14:textId="77777777" w:rsidR="00F84E7F" w:rsidRPr="00DE189C" w:rsidRDefault="00F84E7F" w:rsidP="00F84E7F">
            <w:pPr>
              <w:ind w:right="144"/>
              <w:jc w:val="right"/>
              <w:rPr>
                <w:b/>
                <w:i/>
                <w:sz w:val="18"/>
                <w:szCs w:val="18"/>
              </w:rPr>
            </w:pPr>
          </w:p>
        </w:tc>
        <w:tc>
          <w:tcPr>
            <w:tcW w:w="2732" w:type="dxa"/>
            <w:vAlign w:val="bottom"/>
          </w:tcPr>
          <w:p w14:paraId="0EF0FA6C" w14:textId="77777777" w:rsidR="00F84E7F" w:rsidRPr="00DE189C" w:rsidRDefault="00F84E7F" w:rsidP="00F84E7F">
            <w:pPr>
              <w:ind w:right="67"/>
              <w:jc w:val="right"/>
              <w:rPr>
                <w:b/>
                <w:i/>
                <w:sz w:val="18"/>
                <w:szCs w:val="18"/>
              </w:rPr>
            </w:pPr>
            <w:r w:rsidRPr="00DE189C">
              <w:rPr>
                <w:b/>
                <w:i/>
                <w:sz w:val="18"/>
                <w:szCs w:val="18"/>
              </w:rPr>
              <w:t>Total Assets</w:t>
            </w:r>
          </w:p>
        </w:tc>
      </w:tr>
    </w:tbl>
    <w:p w14:paraId="332EE749" w14:textId="77777777" w:rsidR="00C02FB7" w:rsidRDefault="00C02FB7">
      <w:pPr>
        <w:rPr>
          <w:sz w:val="18"/>
          <w:szCs w:val="18"/>
        </w:rPr>
        <w:sectPr w:rsidR="00C02FB7" w:rsidSect="00C02FB7">
          <w:headerReference w:type="default" r:id="rId57"/>
          <w:pgSz w:w="11907" w:h="16840" w:code="9"/>
          <w:pgMar w:top="1701" w:right="992" w:bottom="1134" w:left="1559" w:header="850" w:footer="397" w:gutter="0"/>
          <w:cols w:space="720"/>
          <w:docGrid w:linePitch="360"/>
        </w:sectPr>
      </w:pPr>
    </w:p>
    <w:tbl>
      <w:tblPr>
        <w:tblW w:w="9197" w:type="dxa"/>
        <w:tblInd w:w="126" w:type="dxa"/>
        <w:tblLayout w:type="fixed"/>
        <w:tblCellMar>
          <w:left w:w="0" w:type="dxa"/>
          <w:right w:w="0" w:type="dxa"/>
        </w:tblCellMar>
        <w:tblLook w:val="01E0" w:firstRow="1" w:lastRow="1" w:firstColumn="1" w:lastColumn="1" w:noHBand="0" w:noVBand="0"/>
      </w:tblPr>
      <w:tblGrid>
        <w:gridCol w:w="2733"/>
        <w:gridCol w:w="125"/>
        <w:gridCol w:w="1681"/>
        <w:gridCol w:w="124"/>
        <w:gridCol w:w="1678"/>
        <w:gridCol w:w="123"/>
        <w:gridCol w:w="2733"/>
      </w:tblGrid>
      <w:tr w:rsidR="001E4F20" w:rsidRPr="00DE189C" w14:paraId="07474594" w14:textId="77777777" w:rsidTr="001E4F20">
        <w:trPr>
          <w:trHeight w:val="20"/>
        </w:trPr>
        <w:tc>
          <w:tcPr>
            <w:tcW w:w="2733" w:type="dxa"/>
            <w:vAlign w:val="bottom"/>
          </w:tcPr>
          <w:p w14:paraId="114CC805" w14:textId="77777777" w:rsidR="001E4F20" w:rsidRPr="00DE189C" w:rsidRDefault="001E4F20" w:rsidP="001E4F20">
            <w:pPr>
              <w:ind w:left="283" w:hanging="170"/>
              <w:rPr>
                <w:b/>
                <w:sz w:val="18"/>
                <w:szCs w:val="18"/>
              </w:rPr>
            </w:pPr>
          </w:p>
          <w:p w14:paraId="49A22149" w14:textId="77777777" w:rsidR="001E4F20" w:rsidRPr="00DE189C" w:rsidRDefault="001E4F20" w:rsidP="001E4F20">
            <w:pPr>
              <w:jc w:val="right"/>
              <w:rPr>
                <w:sz w:val="18"/>
                <w:szCs w:val="18"/>
              </w:rPr>
            </w:pPr>
          </w:p>
        </w:tc>
        <w:tc>
          <w:tcPr>
            <w:tcW w:w="125" w:type="dxa"/>
            <w:tcMar>
              <w:left w:w="28" w:type="dxa"/>
              <w:right w:w="28" w:type="dxa"/>
            </w:tcMar>
            <w:vAlign w:val="bottom"/>
          </w:tcPr>
          <w:p w14:paraId="1FCDF152" w14:textId="77777777" w:rsidR="001E4F20" w:rsidRPr="00DE189C" w:rsidRDefault="001E4F20" w:rsidP="001E4F20">
            <w:pPr>
              <w:jc w:val="center"/>
              <w:rPr>
                <w:b/>
                <w:sz w:val="18"/>
                <w:szCs w:val="18"/>
              </w:rPr>
            </w:pPr>
          </w:p>
        </w:tc>
        <w:tc>
          <w:tcPr>
            <w:tcW w:w="1681" w:type="dxa"/>
            <w:tcBorders>
              <w:bottom w:val="single" w:sz="4" w:space="0" w:color="auto"/>
            </w:tcBorders>
            <w:tcMar>
              <w:left w:w="28" w:type="dxa"/>
              <w:right w:w="28" w:type="dxa"/>
            </w:tcMar>
            <w:vAlign w:val="bottom"/>
          </w:tcPr>
          <w:p w14:paraId="3ED10735" w14:textId="77777777" w:rsidR="001E4F20" w:rsidRDefault="001E4F20" w:rsidP="001E4F20">
            <w:pPr>
              <w:ind w:left="-85" w:right="28"/>
              <w:jc w:val="center"/>
              <w:rPr>
                <w:b/>
                <w:sz w:val="18"/>
                <w:szCs w:val="18"/>
              </w:rPr>
            </w:pPr>
            <w:r>
              <w:rPr>
                <w:b/>
                <w:sz w:val="18"/>
                <w:szCs w:val="18"/>
              </w:rPr>
              <w:t>31 Maret/</w:t>
            </w:r>
          </w:p>
          <w:p w14:paraId="7E93FF20" w14:textId="40DCCBE3" w:rsidR="001E4F20" w:rsidRPr="00DE189C" w:rsidRDefault="001E4F20" w:rsidP="00946853">
            <w:pPr>
              <w:ind w:left="-85" w:right="28"/>
              <w:jc w:val="center"/>
              <w:rPr>
                <w:b/>
                <w:i/>
                <w:sz w:val="18"/>
                <w:szCs w:val="18"/>
                <w:lang w:val="en-ID"/>
              </w:rPr>
            </w:pPr>
            <w:r>
              <w:rPr>
                <w:b/>
                <w:sz w:val="18"/>
                <w:szCs w:val="18"/>
              </w:rPr>
              <w:t>March 31</w:t>
            </w:r>
            <w:r w:rsidR="00305CA0">
              <w:rPr>
                <w:b/>
                <w:sz w:val="18"/>
                <w:szCs w:val="18"/>
              </w:rPr>
              <w:t>.</w:t>
            </w:r>
            <w:r>
              <w:rPr>
                <w:b/>
                <w:sz w:val="18"/>
                <w:szCs w:val="18"/>
              </w:rPr>
              <w:t xml:space="preserve"> 2020</w:t>
            </w:r>
          </w:p>
        </w:tc>
        <w:tc>
          <w:tcPr>
            <w:tcW w:w="124" w:type="dxa"/>
            <w:tcMar>
              <w:left w:w="28" w:type="dxa"/>
              <w:right w:w="28" w:type="dxa"/>
            </w:tcMar>
          </w:tcPr>
          <w:p w14:paraId="0EAF70C7" w14:textId="77777777" w:rsidR="001E4F20" w:rsidRPr="00DE189C" w:rsidRDefault="001E4F20" w:rsidP="001E4F20">
            <w:pPr>
              <w:jc w:val="center"/>
              <w:rPr>
                <w:b/>
                <w:caps/>
                <w:sz w:val="18"/>
                <w:szCs w:val="18"/>
              </w:rPr>
            </w:pPr>
          </w:p>
        </w:tc>
        <w:tc>
          <w:tcPr>
            <w:tcW w:w="1678" w:type="dxa"/>
            <w:tcBorders>
              <w:bottom w:val="single" w:sz="4" w:space="0" w:color="auto"/>
            </w:tcBorders>
            <w:tcMar>
              <w:left w:w="28" w:type="dxa"/>
              <w:right w:w="28" w:type="dxa"/>
            </w:tcMar>
            <w:vAlign w:val="bottom"/>
          </w:tcPr>
          <w:p w14:paraId="48105230" w14:textId="77777777" w:rsidR="001E4F20" w:rsidRDefault="001E4F20" w:rsidP="001E4F20">
            <w:pPr>
              <w:ind w:left="-85" w:right="28"/>
              <w:jc w:val="center"/>
              <w:rPr>
                <w:b/>
                <w:sz w:val="18"/>
                <w:szCs w:val="18"/>
              </w:rPr>
            </w:pPr>
            <w:r>
              <w:rPr>
                <w:b/>
                <w:sz w:val="18"/>
                <w:szCs w:val="18"/>
              </w:rPr>
              <w:t>31 Desember/</w:t>
            </w:r>
          </w:p>
          <w:p w14:paraId="7B864966" w14:textId="5528012E" w:rsidR="001E4F20" w:rsidRPr="00DE189C" w:rsidRDefault="001E4F20" w:rsidP="00946853">
            <w:pPr>
              <w:jc w:val="center"/>
              <w:rPr>
                <w:b/>
                <w:caps/>
                <w:sz w:val="18"/>
                <w:szCs w:val="18"/>
                <w:lang w:val="en-ID"/>
              </w:rPr>
            </w:pPr>
            <w:r>
              <w:rPr>
                <w:b/>
                <w:sz w:val="18"/>
                <w:szCs w:val="18"/>
              </w:rPr>
              <w:t>December 31</w:t>
            </w:r>
            <w:r w:rsidR="00305CA0">
              <w:rPr>
                <w:b/>
                <w:sz w:val="18"/>
                <w:szCs w:val="18"/>
              </w:rPr>
              <w:t>.</w:t>
            </w:r>
            <w:r>
              <w:rPr>
                <w:b/>
                <w:sz w:val="18"/>
                <w:szCs w:val="18"/>
              </w:rPr>
              <w:t xml:space="preserve"> </w:t>
            </w:r>
            <w:r w:rsidRPr="00DE189C">
              <w:rPr>
                <w:b/>
                <w:sz w:val="18"/>
                <w:szCs w:val="18"/>
              </w:rPr>
              <w:t>201</w:t>
            </w:r>
            <w:r>
              <w:rPr>
                <w:b/>
                <w:sz w:val="18"/>
                <w:szCs w:val="18"/>
                <w:lang w:val="en-ID"/>
              </w:rPr>
              <w:t>9</w:t>
            </w:r>
          </w:p>
        </w:tc>
        <w:tc>
          <w:tcPr>
            <w:tcW w:w="123" w:type="dxa"/>
            <w:vAlign w:val="bottom"/>
          </w:tcPr>
          <w:p w14:paraId="69BAB65A" w14:textId="77777777" w:rsidR="001E4F20" w:rsidRPr="00DE189C" w:rsidRDefault="001E4F20" w:rsidP="001E4F20">
            <w:pPr>
              <w:ind w:right="57"/>
              <w:jc w:val="right"/>
              <w:rPr>
                <w:b/>
                <w:i/>
                <w:sz w:val="18"/>
                <w:szCs w:val="18"/>
              </w:rPr>
            </w:pPr>
          </w:p>
        </w:tc>
        <w:tc>
          <w:tcPr>
            <w:tcW w:w="2733" w:type="dxa"/>
            <w:vAlign w:val="bottom"/>
          </w:tcPr>
          <w:p w14:paraId="3AF294E7" w14:textId="77777777" w:rsidR="001E4F20" w:rsidRPr="00DE189C" w:rsidRDefault="001E4F20" w:rsidP="001E4F20">
            <w:pPr>
              <w:ind w:right="57"/>
              <w:jc w:val="right"/>
              <w:rPr>
                <w:b/>
                <w:i/>
                <w:sz w:val="18"/>
                <w:szCs w:val="18"/>
              </w:rPr>
            </w:pPr>
          </w:p>
        </w:tc>
      </w:tr>
      <w:tr w:rsidR="00C02FB7" w:rsidRPr="00DE189C" w14:paraId="2A1F3F5E" w14:textId="77777777" w:rsidTr="005B669E">
        <w:trPr>
          <w:trHeight w:val="20"/>
        </w:trPr>
        <w:tc>
          <w:tcPr>
            <w:tcW w:w="2733" w:type="dxa"/>
            <w:vAlign w:val="bottom"/>
          </w:tcPr>
          <w:p w14:paraId="5444E235" w14:textId="77777777" w:rsidR="00C02FB7" w:rsidRPr="00DE189C" w:rsidRDefault="00C02FB7" w:rsidP="00101586">
            <w:pPr>
              <w:ind w:left="283" w:hanging="170"/>
              <w:rPr>
                <w:b/>
                <w:sz w:val="18"/>
                <w:szCs w:val="18"/>
              </w:rPr>
            </w:pPr>
            <w:r w:rsidRPr="00DE189C">
              <w:rPr>
                <w:b/>
                <w:sz w:val="18"/>
                <w:szCs w:val="18"/>
              </w:rPr>
              <w:t>LIABILITAS DAN EKUITAS</w:t>
            </w:r>
          </w:p>
        </w:tc>
        <w:tc>
          <w:tcPr>
            <w:tcW w:w="125" w:type="dxa"/>
            <w:tcMar>
              <w:left w:w="28" w:type="dxa"/>
              <w:right w:w="28" w:type="dxa"/>
            </w:tcMar>
            <w:vAlign w:val="bottom"/>
          </w:tcPr>
          <w:p w14:paraId="28155B7F" w14:textId="77777777" w:rsidR="00C02FB7" w:rsidRPr="00DE189C" w:rsidRDefault="00C02FB7" w:rsidP="00101586">
            <w:pPr>
              <w:jc w:val="center"/>
              <w:rPr>
                <w:b/>
                <w:sz w:val="18"/>
                <w:szCs w:val="18"/>
              </w:rPr>
            </w:pPr>
          </w:p>
        </w:tc>
        <w:tc>
          <w:tcPr>
            <w:tcW w:w="1681" w:type="dxa"/>
            <w:tcBorders>
              <w:top w:val="single" w:sz="4" w:space="0" w:color="auto"/>
            </w:tcBorders>
            <w:tcMar>
              <w:left w:w="28" w:type="dxa"/>
              <w:right w:w="28" w:type="dxa"/>
            </w:tcMar>
            <w:vAlign w:val="bottom"/>
          </w:tcPr>
          <w:p w14:paraId="5663DC38" w14:textId="77777777" w:rsidR="00C02FB7" w:rsidRPr="00DE189C" w:rsidRDefault="00C02FB7" w:rsidP="00101586">
            <w:pPr>
              <w:ind w:left="-76" w:right="28"/>
              <w:jc w:val="right"/>
              <w:rPr>
                <w:b/>
                <w:sz w:val="18"/>
                <w:szCs w:val="18"/>
              </w:rPr>
            </w:pPr>
          </w:p>
        </w:tc>
        <w:tc>
          <w:tcPr>
            <w:tcW w:w="124" w:type="dxa"/>
            <w:tcMar>
              <w:left w:w="28" w:type="dxa"/>
              <w:right w:w="28" w:type="dxa"/>
            </w:tcMar>
            <w:vAlign w:val="bottom"/>
          </w:tcPr>
          <w:p w14:paraId="50043C51" w14:textId="77777777" w:rsidR="00C02FB7" w:rsidRPr="00DE189C" w:rsidRDefault="00C02FB7" w:rsidP="00101586">
            <w:pPr>
              <w:ind w:left="-76" w:right="28"/>
              <w:jc w:val="right"/>
              <w:rPr>
                <w:b/>
                <w:sz w:val="18"/>
                <w:szCs w:val="18"/>
              </w:rPr>
            </w:pPr>
          </w:p>
        </w:tc>
        <w:tc>
          <w:tcPr>
            <w:tcW w:w="1678" w:type="dxa"/>
            <w:tcBorders>
              <w:top w:val="single" w:sz="4" w:space="0" w:color="auto"/>
            </w:tcBorders>
            <w:tcMar>
              <w:left w:w="28" w:type="dxa"/>
              <w:right w:w="28" w:type="dxa"/>
            </w:tcMar>
            <w:vAlign w:val="bottom"/>
          </w:tcPr>
          <w:p w14:paraId="4D8ABF73" w14:textId="77777777" w:rsidR="00C02FB7" w:rsidRPr="00DE189C" w:rsidRDefault="00C02FB7" w:rsidP="00101586">
            <w:pPr>
              <w:ind w:left="-49" w:right="28"/>
              <w:jc w:val="right"/>
              <w:rPr>
                <w:b/>
                <w:sz w:val="18"/>
                <w:szCs w:val="18"/>
              </w:rPr>
            </w:pPr>
          </w:p>
        </w:tc>
        <w:tc>
          <w:tcPr>
            <w:tcW w:w="123" w:type="dxa"/>
            <w:vAlign w:val="bottom"/>
          </w:tcPr>
          <w:p w14:paraId="5EDF7851" w14:textId="77777777" w:rsidR="00C02FB7" w:rsidRPr="00DE189C" w:rsidRDefault="00C02FB7" w:rsidP="00101586">
            <w:pPr>
              <w:ind w:right="57"/>
              <w:jc w:val="right"/>
              <w:rPr>
                <w:b/>
                <w:i/>
                <w:sz w:val="18"/>
                <w:szCs w:val="18"/>
              </w:rPr>
            </w:pPr>
          </w:p>
        </w:tc>
        <w:tc>
          <w:tcPr>
            <w:tcW w:w="2733" w:type="dxa"/>
            <w:vAlign w:val="bottom"/>
          </w:tcPr>
          <w:p w14:paraId="3E179797" w14:textId="77777777" w:rsidR="00C02FB7" w:rsidRPr="00DE189C" w:rsidRDefault="00C02FB7" w:rsidP="00101586">
            <w:pPr>
              <w:ind w:right="57"/>
              <w:jc w:val="right"/>
              <w:rPr>
                <w:b/>
                <w:i/>
                <w:sz w:val="18"/>
                <w:szCs w:val="18"/>
              </w:rPr>
            </w:pPr>
            <w:r w:rsidRPr="00DE189C">
              <w:rPr>
                <w:b/>
                <w:i/>
                <w:sz w:val="18"/>
                <w:szCs w:val="18"/>
              </w:rPr>
              <w:t>LIABILITIES AND EQUITY</w:t>
            </w:r>
          </w:p>
        </w:tc>
      </w:tr>
      <w:tr w:rsidR="00C02FB7" w:rsidRPr="00DE189C" w14:paraId="5FC2AAE2" w14:textId="77777777" w:rsidTr="005B669E">
        <w:trPr>
          <w:trHeight w:val="20"/>
        </w:trPr>
        <w:tc>
          <w:tcPr>
            <w:tcW w:w="2733" w:type="dxa"/>
            <w:vAlign w:val="bottom"/>
          </w:tcPr>
          <w:p w14:paraId="0BCEC5E1" w14:textId="77777777" w:rsidR="00C02FB7" w:rsidRPr="00DE189C" w:rsidRDefault="00C02FB7" w:rsidP="00101586">
            <w:pPr>
              <w:ind w:left="284" w:right="99" w:hanging="142"/>
              <w:rPr>
                <w:b/>
                <w:sz w:val="6"/>
                <w:szCs w:val="18"/>
              </w:rPr>
            </w:pPr>
          </w:p>
        </w:tc>
        <w:tc>
          <w:tcPr>
            <w:tcW w:w="125" w:type="dxa"/>
            <w:tcMar>
              <w:left w:w="28" w:type="dxa"/>
              <w:right w:w="28" w:type="dxa"/>
            </w:tcMar>
            <w:vAlign w:val="bottom"/>
          </w:tcPr>
          <w:p w14:paraId="27692F0F" w14:textId="77777777" w:rsidR="00C02FB7" w:rsidRPr="00DE189C" w:rsidRDefault="00C02FB7" w:rsidP="00101586">
            <w:pPr>
              <w:jc w:val="center"/>
              <w:rPr>
                <w:b/>
                <w:sz w:val="6"/>
                <w:szCs w:val="18"/>
              </w:rPr>
            </w:pPr>
          </w:p>
        </w:tc>
        <w:tc>
          <w:tcPr>
            <w:tcW w:w="1681" w:type="dxa"/>
            <w:tcMar>
              <w:left w:w="28" w:type="dxa"/>
              <w:right w:w="28" w:type="dxa"/>
            </w:tcMar>
            <w:vAlign w:val="bottom"/>
          </w:tcPr>
          <w:p w14:paraId="093F20AE" w14:textId="77777777" w:rsidR="00C02FB7" w:rsidRPr="00DE189C" w:rsidRDefault="00C02FB7" w:rsidP="00101586">
            <w:pPr>
              <w:ind w:left="-76" w:right="28"/>
              <w:jc w:val="right"/>
              <w:rPr>
                <w:b/>
                <w:sz w:val="6"/>
                <w:szCs w:val="18"/>
              </w:rPr>
            </w:pPr>
          </w:p>
        </w:tc>
        <w:tc>
          <w:tcPr>
            <w:tcW w:w="124" w:type="dxa"/>
            <w:tcMar>
              <w:left w:w="28" w:type="dxa"/>
              <w:right w:w="28" w:type="dxa"/>
            </w:tcMar>
            <w:vAlign w:val="bottom"/>
          </w:tcPr>
          <w:p w14:paraId="55D55899" w14:textId="77777777" w:rsidR="00C02FB7" w:rsidRPr="00DE189C" w:rsidRDefault="00C02FB7" w:rsidP="00101586">
            <w:pPr>
              <w:ind w:left="-76" w:right="28"/>
              <w:jc w:val="right"/>
              <w:rPr>
                <w:b/>
                <w:sz w:val="6"/>
                <w:szCs w:val="18"/>
              </w:rPr>
            </w:pPr>
          </w:p>
        </w:tc>
        <w:tc>
          <w:tcPr>
            <w:tcW w:w="1678" w:type="dxa"/>
            <w:tcMar>
              <w:left w:w="28" w:type="dxa"/>
              <w:right w:w="28" w:type="dxa"/>
            </w:tcMar>
            <w:vAlign w:val="bottom"/>
          </w:tcPr>
          <w:p w14:paraId="74B4D7EB" w14:textId="77777777" w:rsidR="00C02FB7" w:rsidRPr="00DE189C" w:rsidRDefault="00C02FB7" w:rsidP="00101586">
            <w:pPr>
              <w:ind w:left="-49" w:right="28"/>
              <w:jc w:val="right"/>
              <w:rPr>
                <w:b/>
                <w:sz w:val="6"/>
                <w:szCs w:val="18"/>
              </w:rPr>
            </w:pPr>
          </w:p>
        </w:tc>
        <w:tc>
          <w:tcPr>
            <w:tcW w:w="123" w:type="dxa"/>
            <w:vAlign w:val="bottom"/>
          </w:tcPr>
          <w:p w14:paraId="58CC599E" w14:textId="77777777" w:rsidR="00C02FB7" w:rsidRPr="00DE189C" w:rsidRDefault="00C02FB7" w:rsidP="00101586">
            <w:pPr>
              <w:ind w:right="144"/>
              <w:jc w:val="right"/>
              <w:rPr>
                <w:b/>
                <w:i/>
                <w:sz w:val="6"/>
                <w:szCs w:val="18"/>
              </w:rPr>
            </w:pPr>
          </w:p>
        </w:tc>
        <w:tc>
          <w:tcPr>
            <w:tcW w:w="2733" w:type="dxa"/>
            <w:vAlign w:val="bottom"/>
          </w:tcPr>
          <w:p w14:paraId="3296D6FE" w14:textId="77777777" w:rsidR="00C02FB7" w:rsidRPr="00DE189C" w:rsidRDefault="00C02FB7" w:rsidP="00101586">
            <w:pPr>
              <w:ind w:right="98"/>
              <w:jc w:val="right"/>
              <w:rPr>
                <w:b/>
                <w:i/>
                <w:sz w:val="6"/>
                <w:szCs w:val="18"/>
              </w:rPr>
            </w:pPr>
          </w:p>
        </w:tc>
      </w:tr>
      <w:tr w:rsidR="00C02FB7" w:rsidRPr="00DE189C" w14:paraId="0DF80CDA" w14:textId="77777777" w:rsidTr="005B669E">
        <w:trPr>
          <w:trHeight w:val="20"/>
        </w:trPr>
        <w:tc>
          <w:tcPr>
            <w:tcW w:w="2733" w:type="dxa"/>
            <w:vAlign w:val="bottom"/>
          </w:tcPr>
          <w:p w14:paraId="4A228D6C" w14:textId="77777777" w:rsidR="00C02FB7" w:rsidRPr="00DE189C" w:rsidRDefault="00C02FB7" w:rsidP="00101586">
            <w:pPr>
              <w:ind w:left="284" w:right="99" w:hanging="142"/>
              <w:rPr>
                <w:b/>
                <w:sz w:val="18"/>
                <w:szCs w:val="18"/>
              </w:rPr>
            </w:pPr>
            <w:r w:rsidRPr="00DE189C">
              <w:rPr>
                <w:b/>
                <w:sz w:val="18"/>
                <w:szCs w:val="18"/>
              </w:rPr>
              <w:t xml:space="preserve">Liabilitas Jangka Pendek </w:t>
            </w:r>
          </w:p>
        </w:tc>
        <w:tc>
          <w:tcPr>
            <w:tcW w:w="125" w:type="dxa"/>
            <w:tcMar>
              <w:left w:w="28" w:type="dxa"/>
              <w:right w:w="28" w:type="dxa"/>
            </w:tcMar>
            <w:vAlign w:val="bottom"/>
          </w:tcPr>
          <w:p w14:paraId="5F425A06" w14:textId="77777777" w:rsidR="00C02FB7" w:rsidRPr="00DE189C" w:rsidRDefault="00C02FB7" w:rsidP="00101586">
            <w:pPr>
              <w:jc w:val="center"/>
              <w:rPr>
                <w:b/>
                <w:sz w:val="18"/>
                <w:szCs w:val="18"/>
              </w:rPr>
            </w:pPr>
          </w:p>
        </w:tc>
        <w:tc>
          <w:tcPr>
            <w:tcW w:w="1681" w:type="dxa"/>
            <w:tcMar>
              <w:left w:w="28" w:type="dxa"/>
              <w:right w:w="28" w:type="dxa"/>
            </w:tcMar>
            <w:vAlign w:val="bottom"/>
          </w:tcPr>
          <w:p w14:paraId="0F848F65" w14:textId="77777777" w:rsidR="00C02FB7" w:rsidRPr="00DE189C" w:rsidRDefault="00C02FB7" w:rsidP="00101586">
            <w:pPr>
              <w:ind w:left="-76" w:right="28"/>
              <w:jc w:val="right"/>
              <w:rPr>
                <w:sz w:val="18"/>
                <w:szCs w:val="18"/>
              </w:rPr>
            </w:pPr>
          </w:p>
        </w:tc>
        <w:tc>
          <w:tcPr>
            <w:tcW w:w="124" w:type="dxa"/>
            <w:tcMar>
              <w:left w:w="28" w:type="dxa"/>
              <w:right w:w="28" w:type="dxa"/>
            </w:tcMar>
            <w:vAlign w:val="bottom"/>
          </w:tcPr>
          <w:p w14:paraId="6B7DC8CA" w14:textId="77777777" w:rsidR="00C02FB7" w:rsidRPr="00DE189C" w:rsidRDefault="00C02FB7" w:rsidP="00101586">
            <w:pPr>
              <w:ind w:left="-76" w:right="28"/>
              <w:jc w:val="right"/>
              <w:rPr>
                <w:sz w:val="18"/>
                <w:szCs w:val="18"/>
              </w:rPr>
            </w:pPr>
          </w:p>
        </w:tc>
        <w:tc>
          <w:tcPr>
            <w:tcW w:w="1678" w:type="dxa"/>
            <w:tcMar>
              <w:left w:w="28" w:type="dxa"/>
              <w:right w:w="28" w:type="dxa"/>
            </w:tcMar>
            <w:vAlign w:val="bottom"/>
          </w:tcPr>
          <w:p w14:paraId="538CE8F0" w14:textId="77777777" w:rsidR="00C02FB7" w:rsidRPr="00DE189C" w:rsidRDefault="00C02FB7" w:rsidP="00101586">
            <w:pPr>
              <w:ind w:left="-76" w:right="28"/>
              <w:jc w:val="right"/>
              <w:rPr>
                <w:sz w:val="18"/>
                <w:szCs w:val="18"/>
              </w:rPr>
            </w:pPr>
          </w:p>
        </w:tc>
        <w:tc>
          <w:tcPr>
            <w:tcW w:w="123" w:type="dxa"/>
            <w:vAlign w:val="bottom"/>
          </w:tcPr>
          <w:p w14:paraId="5FD12D41" w14:textId="77777777" w:rsidR="00C02FB7" w:rsidRPr="00DE189C" w:rsidRDefault="00C02FB7" w:rsidP="00101586">
            <w:pPr>
              <w:ind w:right="144"/>
              <w:jc w:val="right"/>
              <w:rPr>
                <w:b/>
                <w:i/>
                <w:sz w:val="18"/>
                <w:szCs w:val="18"/>
              </w:rPr>
            </w:pPr>
          </w:p>
        </w:tc>
        <w:tc>
          <w:tcPr>
            <w:tcW w:w="2733" w:type="dxa"/>
            <w:vAlign w:val="bottom"/>
          </w:tcPr>
          <w:p w14:paraId="76C2104B" w14:textId="77777777" w:rsidR="00C02FB7" w:rsidRPr="00DE189C" w:rsidRDefault="00C02FB7" w:rsidP="00101586">
            <w:pPr>
              <w:ind w:right="98"/>
              <w:jc w:val="right"/>
              <w:rPr>
                <w:b/>
                <w:i/>
                <w:sz w:val="18"/>
                <w:szCs w:val="18"/>
              </w:rPr>
            </w:pPr>
            <w:r w:rsidRPr="00DE189C">
              <w:rPr>
                <w:b/>
                <w:i/>
                <w:sz w:val="18"/>
                <w:szCs w:val="18"/>
              </w:rPr>
              <w:t xml:space="preserve">Short - Term Liabilities </w:t>
            </w:r>
          </w:p>
        </w:tc>
      </w:tr>
      <w:tr w:rsidR="00F84E7F" w:rsidRPr="00DE189C" w14:paraId="286E988B" w14:textId="77777777" w:rsidTr="005B669E">
        <w:trPr>
          <w:trHeight w:val="20"/>
        </w:trPr>
        <w:tc>
          <w:tcPr>
            <w:tcW w:w="2733" w:type="dxa"/>
            <w:vAlign w:val="bottom"/>
          </w:tcPr>
          <w:p w14:paraId="0011C790" w14:textId="77777777" w:rsidR="00F84E7F" w:rsidRPr="00DE189C" w:rsidRDefault="00F84E7F" w:rsidP="00F84E7F">
            <w:pPr>
              <w:ind w:left="284" w:right="99" w:hanging="142"/>
              <w:rPr>
                <w:sz w:val="18"/>
                <w:szCs w:val="18"/>
              </w:rPr>
            </w:pPr>
            <w:r w:rsidRPr="00DE189C">
              <w:rPr>
                <w:sz w:val="18"/>
                <w:szCs w:val="18"/>
              </w:rPr>
              <w:t xml:space="preserve">Utang usaha </w:t>
            </w:r>
          </w:p>
        </w:tc>
        <w:tc>
          <w:tcPr>
            <w:tcW w:w="125" w:type="dxa"/>
            <w:tcMar>
              <w:left w:w="28" w:type="dxa"/>
              <w:right w:w="28" w:type="dxa"/>
            </w:tcMar>
            <w:vAlign w:val="bottom"/>
          </w:tcPr>
          <w:p w14:paraId="53663179" w14:textId="77777777" w:rsidR="00F84E7F" w:rsidRPr="00DE189C" w:rsidRDefault="00F84E7F" w:rsidP="00F84E7F">
            <w:pPr>
              <w:jc w:val="center"/>
              <w:rPr>
                <w:sz w:val="18"/>
                <w:szCs w:val="18"/>
              </w:rPr>
            </w:pPr>
          </w:p>
        </w:tc>
        <w:tc>
          <w:tcPr>
            <w:tcW w:w="1681" w:type="dxa"/>
            <w:tcMar>
              <w:left w:w="28" w:type="dxa"/>
              <w:right w:w="28" w:type="dxa"/>
            </w:tcMar>
            <w:vAlign w:val="bottom"/>
          </w:tcPr>
          <w:p w14:paraId="1284C50E" w14:textId="2A61572C" w:rsidR="00F84E7F" w:rsidRPr="00DA78F1" w:rsidRDefault="00894135" w:rsidP="00F84E7F">
            <w:pPr>
              <w:ind w:left="-76" w:right="28"/>
              <w:jc w:val="right"/>
              <w:rPr>
                <w:sz w:val="18"/>
                <w:szCs w:val="18"/>
                <w:lang w:val="id-ID"/>
              </w:rPr>
            </w:pPr>
            <w:r w:rsidRPr="00894135">
              <w:rPr>
                <w:sz w:val="18"/>
                <w:szCs w:val="18"/>
                <w:lang w:val="id-ID"/>
              </w:rPr>
              <w:t>49</w:t>
            </w:r>
            <w:r w:rsidR="00400FA1">
              <w:rPr>
                <w:sz w:val="18"/>
                <w:szCs w:val="18"/>
                <w:lang w:val="id-ID"/>
              </w:rPr>
              <w:t>.</w:t>
            </w:r>
            <w:r w:rsidRPr="00894135">
              <w:rPr>
                <w:sz w:val="18"/>
                <w:szCs w:val="18"/>
                <w:lang w:val="id-ID"/>
              </w:rPr>
              <w:t>013</w:t>
            </w:r>
            <w:r w:rsidR="00400FA1">
              <w:rPr>
                <w:sz w:val="18"/>
                <w:szCs w:val="18"/>
                <w:lang w:val="id-ID"/>
              </w:rPr>
              <w:t>.</w:t>
            </w:r>
            <w:r w:rsidRPr="00894135">
              <w:rPr>
                <w:sz w:val="18"/>
                <w:szCs w:val="18"/>
                <w:lang w:val="id-ID"/>
              </w:rPr>
              <w:t>876</w:t>
            </w:r>
            <w:r w:rsidR="00400FA1">
              <w:rPr>
                <w:sz w:val="18"/>
                <w:szCs w:val="18"/>
                <w:lang w:val="id-ID"/>
              </w:rPr>
              <w:t>.</w:t>
            </w:r>
            <w:r w:rsidRPr="00894135">
              <w:rPr>
                <w:sz w:val="18"/>
                <w:szCs w:val="18"/>
                <w:lang w:val="id-ID"/>
              </w:rPr>
              <w:t>642</w:t>
            </w:r>
          </w:p>
        </w:tc>
        <w:tc>
          <w:tcPr>
            <w:tcW w:w="124" w:type="dxa"/>
            <w:tcMar>
              <w:left w:w="28" w:type="dxa"/>
              <w:right w:w="28" w:type="dxa"/>
            </w:tcMar>
            <w:vAlign w:val="bottom"/>
          </w:tcPr>
          <w:p w14:paraId="0A885240"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2AC82284" w14:textId="4F5DC0B3" w:rsidR="00F84E7F" w:rsidRPr="00DA78F1" w:rsidRDefault="00F84E7F" w:rsidP="00F84E7F">
            <w:pPr>
              <w:ind w:left="-76" w:right="28"/>
              <w:jc w:val="right"/>
              <w:rPr>
                <w:sz w:val="18"/>
                <w:szCs w:val="18"/>
                <w:lang w:val="en-ID"/>
              </w:rPr>
            </w:pPr>
            <w:r w:rsidRPr="00DA78F1">
              <w:rPr>
                <w:sz w:val="18"/>
                <w:szCs w:val="18"/>
                <w:lang w:val="id-ID"/>
              </w:rPr>
              <w:t>41.995.898.556</w:t>
            </w:r>
          </w:p>
        </w:tc>
        <w:tc>
          <w:tcPr>
            <w:tcW w:w="123" w:type="dxa"/>
            <w:vAlign w:val="bottom"/>
          </w:tcPr>
          <w:p w14:paraId="5AE0DD72" w14:textId="77777777" w:rsidR="00F84E7F" w:rsidRPr="00DE189C" w:rsidRDefault="00F84E7F" w:rsidP="00F84E7F">
            <w:pPr>
              <w:ind w:right="144"/>
              <w:jc w:val="right"/>
              <w:rPr>
                <w:i/>
                <w:sz w:val="18"/>
                <w:szCs w:val="18"/>
              </w:rPr>
            </w:pPr>
          </w:p>
        </w:tc>
        <w:tc>
          <w:tcPr>
            <w:tcW w:w="2733" w:type="dxa"/>
            <w:vAlign w:val="bottom"/>
          </w:tcPr>
          <w:p w14:paraId="7F9C40CB" w14:textId="77777777" w:rsidR="00F84E7F" w:rsidRPr="00DE189C" w:rsidRDefault="00F84E7F" w:rsidP="00F84E7F">
            <w:pPr>
              <w:ind w:right="98"/>
              <w:jc w:val="right"/>
              <w:rPr>
                <w:i/>
                <w:sz w:val="18"/>
                <w:szCs w:val="18"/>
              </w:rPr>
            </w:pPr>
            <w:r w:rsidRPr="00DE189C">
              <w:rPr>
                <w:i/>
                <w:sz w:val="18"/>
                <w:szCs w:val="18"/>
              </w:rPr>
              <w:t>Trade payables</w:t>
            </w:r>
          </w:p>
        </w:tc>
      </w:tr>
      <w:tr w:rsidR="00907FBF" w:rsidRPr="00DE189C" w14:paraId="398968AE" w14:textId="77777777" w:rsidTr="005B669E">
        <w:trPr>
          <w:trHeight w:val="20"/>
        </w:trPr>
        <w:tc>
          <w:tcPr>
            <w:tcW w:w="2733" w:type="dxa"/>
            <w:vAlign w:val="bottom"/>
          </w:tcPr>
          <w:p w14:paraId="6E2A46F5" w14:textId="72654F6C" w:rsidR="00907FBF" w:rsidRDefault="00907FBF" w:rsidP="00907FBF">
            <w:pPr>
              <w:ind w:right="99"/>
              <w:rPr>
                <w:sz w:val="18"/>
                <w:szCs w:val="18"/>
                <w:lang w:val="id-ID"/>
              </w:rPr>
            </w:pPr>
            <w:r>
              <w:rPr>
                <w:sz w:val="18"/>
                <w:szCs w:val="18"/>
                <w:lang w:val="id-ID"/>
              </w:rPr>
              <w:t xml:space="preserve">   Utang kontraktor                               </w:t>
            </w:r>
          </w:p>
        </w:tc>
        <w:tc>
          <w:tcPr>
            <w:tcW w:w="125" w:type="dxa"/>
            <w:tcMar>
              <w:left w:w="28" w:type="dxa"/>
              <w:right w:w="28" w:type="dxa"/>
            </w:tcMar>
            <w:vAlign w:val="bottom"/>
          </w:tcPr>
          <w:p w14:paraId="66F119BD" w14:textId="77777777" w:rsidR="00907FBF" w:rsidRPr="00DE189C" w:rsidRDefault="00907FBF" w:rsidP="00F84E7F">
            <w:pPr>
              <w:jc w:val="center"/>
              <w:rPr>
                <w:sz w:val="18"/>
                <w:szCs w:val="18"/>
              </w:rPr>
            </w:pPr>
          </w:p>
        </w:tc>
        <w:tc>
          <w:tcPr>
            <w:tcW w:w="1681" w:type="dxa"/>
            <w:tcMar>
              <w:left w:w="28" w:type="dxa"/>
              <w:right w:w="28" w:type="dxa"/>
            </w:tcMar>
            <w:vAlign w:val="bottom"/>
          </w:tcPr>
          <w:p w14:paraId="4A7567DD" w14:textId="36201C02" w:rsidR="00907FBF" w:rsidRPr="00DA78F1" w:rsidRDefault="00907FBF" w:rsidP="00F84E7F">
            <w:pPr>
              <w:ind w:left="-76" w:right="28"/>
              <w:jc w:val="right"/>
              <w:rPr>
                <w:sz w:val="18"/>
                <w:szCs w:val="18"/>
                <w:lang w:val="id-ID"/>
              </w:rPr>
            </w:pPr>
          </w:p>
        </w:tc>
        <w:tc>
          <w:tcPr>
            <w:tcW w:w="124" w:type="dxa"/>
            <w:tcMar>
              <w:left w:w="28" w:type="dxa"/>
              <w:right w:w="28" w:type="dxa"/>
            </w:tcMar>
            <w:vAlign w:val="bottom"/>
          </w:tcPr>
          <w:p w14:paraId="151E5AF6" w14:textId="77777777" w:rsidR="00907FBF" w:rsidRPr="00DA78F1" w:rsidRDefault="00907FBF" w:rsidP="00F84E7F">
            <w:pPr>
              <w:ind w:left="-76" w:right="28"/>
              <w:jc w:val="right"/>
              <w:rPr>
                <w:sz w:val="18"/>
                <w:szCs w:val="18"/>
              </w:rPr>
            </w:pPr>
          </w:p>
        </w:tc>
        <w:tc>
          <w:tcPr>
            <w:tcW w:w="1678" w:type="dxa"/>
            <w:tcMar>
              <w:left w:w="28" w:type="dxa"/>
              <w:right w:w="28" w:type="dxa"/>
            </w:tcMar>
            <w:vAlign w:val="bottom"/>
          </w:tcPr>
          <w:p w14:paraId="48944265" w14:textId="77777777" w:rsidR="00907FBF" w:rsidRPr="00DA78F1" w:rsidRDefault="00907FBF" w:rsidP="00F84E7F">
            <w:pPr>
              <w:ind w:left="-76" w:right="28"/>
              <w:jc w:val="right"/>
              <w:rPr>
                <w:sz w:val="18"/>
                <w:szCs w:val="18"/>
              </w:rPr>
            </w:pPr>
          </w:p>
        </w:tc>
        <w:tc>
          <w:tcPr>
            <w:tcW w:w="123" w:type="dxa"/>
            <w:vAlign w:val="bottom"/>
          </w:tcPr>
          <w:p w14:paraId="7AC3EAEA" w14:textId="77777777" w:rsidR="00907FBF" w:rsidRPr="00DE189C" w:rsidRDefault="00907FBF" w:rsidP="00F84E7F">
            <w:pPr>
              <w:ind w:right="144"/>
              <w:jc w:val="right"/>
              <w:rPr>
                <w:i/>
                <w:sz w:val="18"/>
                <w:szCs w:val="18"/>
              </w:rPr>
            </w:pPr>
          </w:p>
        </w:tc>
        <w:tc>
          <w:tcPr>
            <w:tcW w:w="2733" w:type="dxa"/>
            <w:vAlign w:val="bottom"/>
          </w:tcPr>
          <w:p w14:paraId="49180520" w14:textId="790C75DF" w:rsidR="00907FBF" w:rsidRPr="00E325EC" w:rsidRDefault="00E325EC" w:rsidP="00F84E7F">
            <w:pPr>
              <w:ind w:right="98"/>
              <w:jc w:val="right"/>
              <w:rPr>
                <w:i/>
                <w:sz w:val="18"/>
                <w:szCs w:val="18"/>
                <w:lang w:val="id-ID"/>
              </w:rPr>
            </w:pPr>
            <w:r>
              <w:rPr>
                <w:i/>
                <w:sz w:val="18"/>
                <w:szCs w:val="18"/>
                <w:lang w:val="id-ID"/>
              </w:rPr>
              <w:t>Contractor Payables</w:t>
            </w:r>
          </w:p>
        </w:tc>
      </w:tr>
      <w:tr w:rsidR="00F84E7F" w:rsidRPr="00DE189C" w14:paraId="11DAD7CF" w14:textId="77777777" w:rsidTr="005B669E">
        <w:trPr>
          <w:trHeight w:val="20"/>
        </w:trPr>
        <w:tc>
          <w:tcPr>
            <w:tcW w:w="2733" w:type="dxa"/>
            <w:vAlign w:val="bottom"/>
          </w:tcPr>
          <w:p w14:paraId="35DEDC72" w14:textId="0C5A7B8B" w:rsidR="00F84E7F" w:rsidRPr="00DE189C" w:rsidRDefault="00B77D45" w:rsidP="00B77D45">
            <w:pPr>
              <w:ind w:right="99"/>
              <w:rPr>
                <w:sz w:val="18"/>
                <w:szCs w:val="18"/>
              </w:rPr>
            </w:pPr>
            <w:r>
              <w:rPr>
                <w:sz w:val="18"/>
                <w:szCs w:val="18"/>
                <w:lang w:val="id-ID"/>
              </w:rPr>
              <w:t xml:space="preserve">  </w:t>
            </w:r>
            <w:r w:rsidR="00F84E7F" w:rsidRPr="00DE189C">
              <w:rPr>
                <w:sz w:val="18"/>
                <w:szCs w:val="18"/>
              </w:rPr>
              <w:t>Utang lain-lain</w:t>
            </w:r>
          </w:p>
        </w:tc>
        <w:tc>
          <w:tcPr>
            <w:tcW w:w="125" w:type="dxa"/>
            <w:tcMar>
              <w:left w:w="28" w:type="dxa"/>
              <w:right w:w="28" w:type="dxa"/>
            </w:tcMar>
            <w:vAlign w:val="bottom"/>
          </w:tcPr>
          <w:p w14:paraId="35039084" w14:textId="77777777" w:rsidR="00F84E7F" w:rsidRPr="00DE189C" w:rsidRDefault="00F84E7F" w:rsidP="00F84E7F">
            <w:pPr>
              <w:jc w:val="center"/>
              <w:rPr>
                <w:sz w:val="18"/>
                <w:szCs w:val="18"/>
              </w:rPr>
            </w:pPr>
          </w:p>
        </w:tc>
        <w:tc>
          <w:tcPr>
            <w:tcW w:w="1681" w:type="dxa"/>
            <w:tcMar>
              <w:left w:w="28" w:type="dxa"/>
              <w:right w:w="28" w:type="dxa"/>
            </w:tcMar>
            <w:vAlign w:val="bottom"/>
          </w:tcPr>
          <w:p w14:paraId="64CBE833"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7D97DAF8"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45B85241" w14:textId="77777777" w:rsidR="00F84E7F" w:rsidRPr="00DA78F1" w:rsidRDefault="00F84E7F" w:rsidP="00F84E7F">
            <w:pPr>
              <w:ind w:left="-76" w:right="28"/>
              <w:jc w:val="right"/>
              <w:rPr>
                <w:sz w:val="18"/>
                <w:szCs w:val="18"/>
              </w:rPr>
            </w:pPr>
          </w:p>
        </w:tc>
        <w:tc>
          <w:tcPr>
            <w:tcW w:w="123" w:type="dxa"/>
            <w:vAlign w:val="bottom"/>
          </w:tcPr>
          <w:p w14:paraId="4B3872AF" w14:textId="77777777" w:rsidR="00F84E7F" w:rsidRPr="00DE189C" w:rsidRDefault="00F84E7F" w:rsidP="00F84E7F">
            <w:pPr>
              <w:ind w:right="144"/>
              <w:jc w:val="right"/>
              <w:rPr>
                <w:i/>
                <w:sz w:val="18"/>
                <w:szCs w:val="18"/>
              </w:rPr>
            </w:pPr>
          </w:p>
        </w:tc>
        <w:tc>
          <w:tcPr>
            <w:tcW w:w="2733" w:type="dxa"/>
            <w:vAlign w:val="bottom"/>
          </w:tcPr>
          <w:p w14:paraId="4F949311" w14:textId="77777777" w:rsidR="00F84E7F" w:rsidRPr="00DE189C" w:rsidRDefault="00F84E7F" w:rsidP="00F84E7F">
            <w:pPr>
              <w:ind w:right="98"/>
              <w:jc w:val="right"/>
              <w:rPr>
                <w:i/>
                <w:sz w:val="18"/>
                <w:szCs w:val="18"/>
              </w:rPr>
            </w:pPr>
            <w:r w:rsidRPr="00DE189C">
              <w:rPr>
                <w:i/>
                <w:sz w:val="18"/>
                <w:szCs w:val="18"/>
              </w:rPr>
              <w:t>Other payables</w:t>
            </w:r>
          </w:p>
        </w:tc>
      </w:tr>
      <w:tr w:rsidR="00F84E7F" w:rsidRPr="00DE189C" w14:paraId="107FED1A" w14:textId="77777777" w:rsidTr="005B669E">
        <w:trPr>
          <w:trHeight w:val="20"/>
        </w:trPr>
        <w:tc>
          <w:tcPr>
            <w:tcW w:w="2733" w:type="dxa"/>
            <w:vAlign w:val="bottom"/>
          </w:tcPr>
          <w:p w14:paraId="1395D181" w14:textId="77777777" w:rsidR="00F84E7F" w:rsidRPr="00DE189C" w:rsidRDefault="00F84E7F" w:rsidP="00F84E7F">
            <w:pPr>
              <w:ind w:left="284"/>
              <w:rPr>
                <w:sz w:val="18"/>
                <w:szCs w:val="18"/>
              </w:rPr>
            </w:pPr>
            <w:r w:rsidRPr="00DE189C">
              <w:rPr>
                <w:sz w:val="18"/>
                <w:szCs w:val="18"/>
              </w:rPr>
              <w:t>Pihak berelasi</w:t>
            </w:r>
          </w:p>
        </w:tc>
        <w:tc>
          <w:tcPr>
            <w:tcW w:w="125" w:type="dxa"/>
            <w:tcMar>
              <w:left w:w="28" w:type="dxa"/>
              <w:right w:w="28" w:type="dxa"/>
            </w:tcMar>
            <w:vAlign w:val="bottom"/>
          </w:tcPr>
          <w:p w14:paraId="796B7018" w14:textId="77777777" w:rsidR="00F84E7F" w:rsidRPr="00DE189C" w:rsidRDefault="00F84E7F" w:rsidP="00F84E7F">
            <w:pPr>
              <w:jc w:val="center"/>
              <w:rPr>
                <w:sz w:val="18"/>
                <w:szCs w:val="18"/>
              </w:rPr>
            </w:pPr>
          </w:p>
        </w:tc>
        <w:tc>
          <w:tcPr>
            <w:tcW w:w="1681" w:type="dxa"/>
            <w:tcMar>
              <w:left w:w="28" w:type="dxa"/>
              <w:right w:w="28" w:type="dxa"/>
            </w:tcMar>
            <w:vAlign w:val="bottom"/>
          </w:tcPr>
          <w:p w14:paraId="29B8543D" w14:textId="718F961E" w:rsidR="00F84E7F" w:rsidRPr="00DA78F1" w:rsidRDefault="00E42806" w:rsidP="00F84E7F">
            <w:pPr>
              <w:ind w:left="-76" w:right="28"/>
              <w:jc w:val="right"/>
              <w:rPr>
                <w:sz w:val="18"/>
                <w:szCs w:val="18"/>
                <w:lang w:val="id-ID"/>
              </w:rPr>
            </w:pPr>
            <w:r>
              <w:rPr>
                <w:sz w:val="18"/>
                <w:szCs w:val="18"/>
                <w:lang w:val="id-ID"/>
              </w:rPr>
              <w:t>971</w:t>
            </w:r>
            <w:r w:rsidR="00400FA1">
              <w:rPr>
                <w:sz w:val="18"/>
                <w:szCs w:val="18"/>
                <w:lang w:val="id-ID"/>
              </w:rPr>
              <w:t>.</w:t>
            </w:r>
            <w:r>
              <w:rPr>
                <w:sz w:val="18"/>
                <w:szCs w:val="18"/>
                <w:lang w:val="id-ID"/>
              </w:rPr>
              <w:t>345</w:t>
            </w:r>
            <w:r w:rsidR="00400FA1">
              <w:rPr>
                <w:sz w:val="18"/>
                <w:szCs w:val="18"/>
                <w:lang w:val="id-ID"/>
              </w:rPr>
              <w:t>.</w:t>
            </w:r>
            <w:r>
              <w:rPr>
                <w:sz w:val="18"/>
                <w:szCs w:val="18"/>
                <w:lang w:val="id-ID"/>
              </w:rPr>
              <w:t>117</w:t>
            </w:r>
            <w:r w:rsidR="00400FA1">
              <w:rPr>
                <w:sz w:val="18"/>
                <w:szCs w:val="18"/>
                <w:lang w:val="id-ID"/>
              </w:rPr>
              <w:t>.</w:t>
            </w:r>
            <w:r>
              <w:rPr>
                <w:sz w:val="18"/>
                <w:szCs w:val="18"/>
                <w:lang w:val="id-ID"/>
              </w:rPr>
              <w:t>263</w:t>
            </w:r>
          </w:p>
        </w:tc>
        <w:tc>
          <w:tcPr>
            <w:tcW w:w="124" w:type="dxa"/>
            <w:tcMar>
              <w:left w:w="28" w:type="dxa"/>
              <w:right w:w="28" w:type="dxa"/>
            </w:tcMar>
            <w:vAlign w:val="bottom"/>
          </w:tcPr>
          <w:p w14:paraId="1F846408"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34FE3F67" w14:textId="26163452" w:rsidR="00F84E7F" w:rsidRPr="00DA78F1" w:rsidRDefault="00F84E7F" w:rsidP="00F84E7F">
            <w:pPr>
              <w:ind w:left="-76" w:right="28"/>
              <w:jc w:val="right"/>
              <w:rPr>
                <w:sz w:val="18"/>
                <w:szCs w:val="18"/>
              </w:rPr>
            </w:pPr>
            <w:r w:rsidRPr="00DA78F1">
              <w:rPr>
                <w:sz w:val="18"/>
                <w:szCs w:val="18"/>
                <w:lang w:val="id-ID"/>
              </w:rPr>
              <w:t>742.910.378.334</w:t>
            </w:r>
          </w:p>
        </w:tc>
        <w:tc>
          <w:tcPr>
            <w:tcW w:w="123" w:type="dxa"/>
            <w:vAlign w:val="bottom"/>
          </w:tcPr>
          <w:p w14:paraId="18D32A9C" w14:textId="77777777" w:rsidR="00F84E7F" w:rsidRPr="00DE189C" w:rsidRDefault="00F84E7F" w:rsidP="00F84E7F">
            <w:pPr>
              <w:ind w:right="144"/>
              <w:jc w:val="right"/>
              <w:rPr>
                <w:i/>
                <w:sz w:val="18"/>
                <w:szCs w:val="18"/>
              </w:rPr>
            </w:pPr>
          </w:p>
        </w:tc>
        <w:tc>
          <w:tcPr>
            <w:tcW w:w="2733" w:type="dxa"/>
            <w:vAlign w:val="bottom"/>
          </w:tcPr>
          <w:p w14:paraId="7816747E" w14:textId="77777777" w:rsidR="00F84E7F" w:rsidRPr="00DE189C" w:rsidRDefault="00F84E7F" w:rsidP="00F84E7F">
            <w:pPr>
              <w:ind w:right="170"/>
              <w:jc w:val="right"/>
              <w:rPr>
                <w:i/>
                <w:sz w:val="18"/>
                <w:szCs w:val="18"/>
              </w:rPr>
            </w:pPr>
            <w:r w:rsidRPr="00DE189C">
              <w:rPr>
                <w:i/>
                <w:sz w:val="18"/>
                <w:szCs w:val="18"/>
              </w:rPr>
              <w:t>Related party</w:t>
            </w:r>
          </w:p>
        </w:tc>
      </w:tr>
      <w:tr w:rsidR="00F84E7F" w:rsidRPr="00DE189C" w14:paraId="36866AD0" w14:textId="77777777" w:rsidTr="005B669E">
        <w:trPr>
          <w:trHeight w:val="20"/>
        </w:trPr>
        <w:tc>
          <w:tcPr>
            <w:tcW w:w="2733" w:type="dxa"/>
            <w:vAlign w:val="bottom"/>
          </w:tcPr>
          <w:p w14:paraId="16B7C482" w14:textId="77777777" w:rsidR="00F84E7F" w:rsidRPr="00907FBF" w:rsidRDefault="00F84E7F" w:rsidP="00F84E7F">
            <w:pPr>
              <w:ind w:left="284" w:right="99"/>
              <w:jc w:val="both"/>
              <w:rPr>
                <w:sz w:val="18"/>
                <w:szCs w:val="18"/>
                <w:lang w:val="id-ID"/>
              </w:rPr>
            </w:pPr>
            <w:r w:rsidRPr="00DE189C">
              <w:rPr>
                <w:sz w:val="18"/>
                <w:szCs w:val="18"/>
              </w:rPr>
              <w:t xml:space="preserve">Pihak ketiga </w:t>
            </w:r>
          </w:p>
        </w:tc>
        <w:tc>
          <w:tcPr>
            <w:tcW w:w="125" w:type="dxa"/>
            <w:tcMar>
              <w:left w:w="28" w:type="dxa"/>
              <w:right w:w="28" w:type="dxa"/>
            </w:tcMar>
            <w:vAlign w:val="bottom"/>
          </w:tcPr>
          <w:p w14:paraId="3235C77F" w14:textId="77777777" w:rsidR="00F84E7F" w:rsidRPr="00DE189C" w:rsidRDefault="00F84E7F" w:rsidP="00F84E7F">
            <w:pPr>
              <w:jc w:val="center"/>
              <w:rPr>
                <w:sz w:val="18"/>
                <w:szCs w:val="18"/>
                <w:lang w:val="id-ID"/>
              </w:rPr>
            </w:pPr>
          </w:p>
        </w:tc>
        <w:tc>
          <w:tcPr>
            <w:tcW w:w="1681" w:type="dxa"/>
            <w:tcMar>
              <w:left w:w="28" w:type="dxa"/>
              <w:right w:w="28" w:type="dxa"/>
            </w:tcMar>
            <w:vAlign w:val="bottom"/>
          </w:tcPr>
          <w:p w14:paraId="543327E1" w14:textId="7A392A1F" w:rsidR="00F84E7F" w:rsidRPr="00DA78F1" w:rsidRDefault="00894135" w:rsidP="00F84E7F">
            <w:pPr>
              <w:ind w:left="-76" w:right="28"/>
              <w:jc w:val="right"/>
              <w:rPr>
                <w:sz w:val="18"/>
                <w:szCs w:val="18"/>
                <w:lang w:val="id-ID"/>
              </w:rPr>
            </w:pPr>
            <w:r w:rsidRPr="00894135">
              <w:rPr>
                <w:sz w:val="18"/>
                <w:szCs w:val="18"/>
                <w:lang w:val="id-ID"/>
              </w:rPr>
              <w:t>24</w:t>
            </w:r>
            <w:r w:rsidR="00400FA1">
              <w:rPr>
                <w:sz w:val="18"/>
                <w:szCs w:val="18"/>
                <w:lang w:val="id-ID"/>
              </w:rPr>
              <w:t>.</w:t>
            </w:r>
            <w:r w:rsidRPr="00894135">
              <w:rPr>
                <w:sz w:val="18"/>
                <w:szCs w:val="18"/>
                <w:lang w:val="id-ID"/>
              </w:rPr>
              <w:t>107</w:t>
            </w:r>
            <w:r w:rsidR="00400FA1">
              <w:rPr>
                <w:sz w:val="18"/>
                <w:szCs w:val="18"/>
                <w:lang w:val="id-ID"/>
              </w:rPr>
              <w:t>.</w:t>
            </w:r>
            <w:r w:rsidRPr="00894135">
              <w:rPr>
                <w:sz w:val="18"/>
                <w:szCs w:val="18"/>
                <w:lang w:val="id-ID"/>
              </w:rPr>
              <w:t>262</w:t>
            </w:r>
          </w:p>
        </w:tc>
        <w:tc>
          <w:tcPr>
            <w:tcW w:w="124" w:type="dxa"/>
            <w:tcMar>
              <w:left w:w="28" w:type="dxa"/>
              <w:right w:w="28" w:type="dxa"/>
            </w:tcMar>
            <w:vAlign w:val="bottom"/>
          </w:tcPr>
          <w:p w14:paraId="498DCD49"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60094E99" w14:textId="40ED7AFA" w:rsidR="00F84E7F" w:rsidRPr="00DA78F1" w:rsidRDefault="00F84E7F" w:rsidP="00F84E7F">
            <w:pPr>
              <w:ind w:left="-76" w:right="28"/>
              <w:jc w:val="right"/>
              <w:rPr>
                <w:sz w:val="18"/>
                <w:szCs w:val="18"/>
              </w:rPr>
            </w:pPr>
            <w:r w:rsidRPr="00DA78F1">
              <w:rPr>
                <w:sz w:val="18"/>
                <w:szCs w:val="18"/>
                <w:lang w:val="id-ID"/>
              </w:rPr>
              <w:t>24.107.262</w:t>
            </w:r>
          </w:p>
        </w:tc>
        <w:tc>
          <w:tcPr>
            <w:tcW w:w="123" w:type="dxa"/>
            <w:vAlign w:val="bottom"/>
          </w:tcPr>
          <w:p w14:paraId="60191EB1" w14:textId="77777777" w:rsidR="00F84E7F" w:rsidRPr="00DE189C" w:rsidRDefault="00F84E7F" w:rsidP="00F84E7F">
            <w:pPr>
              <w:ind w:right="144"/>
              <w:jc w:val="right"/>
              <w:rPr>
                <w:i/>
                <w:sz w:val="18"/>
                <w:szCs w:val="18"/>
                <w:lang w:val="id-ID"/>
              </w:rPr>
            </w:pPr>
          </w:p>
        </w:tc>
        <w:tc>
          <w:tcPr>
            <w:tcW w:w="2733" w:type="dxa"/>
            <w:vAlign w:val="bottom"/>
          </w:tcPr>
          <w:p w14:paraId="3EBB67B5" w14:textId="77777777" w:rsidR="00F84E7F" w:rsidRPr="00DE189C" w:rsidRDefault="00F84E7F" w:rsidP="00F84E7F">
            <w:pPr>
              <w:tabs>
                <w:tab w:val="left" w:pos="2122"/>
              </w:tabs>
              <w:ind w:right="170"/>
              <w:jc w:val="right"/>
              <w:rPr>
                <w:i/>
                <w:sz w:val="18"/>
                <w:szCs w:val="18"/>
              </w:rPr>
            </w:pPr>
            <w:r w:rsidRPr="00DE189C">
              <w:rPr>
                <w:i/>
                <w:sz w:val="18"/>
                <w:szCs w:val="18"/>
              </w:rPr>
              <w:t xml:space="preserve">Third party </w:t>
            </w:r>
          </w:p>
        </w:tc>
      </w:tr>
      <w:tr w:rsidR="00F84E7F" w:rsidRPr="00DE189C" w14:paraId="53F9C900" w14:textId="77777777" w:rsidTr="005B669E">
        <w:trPr>
          <w:trHeight w:val="20"/>
        </w:trPr>
        <w:tc>
          <w:tcPr>
            <w:tcW w:w="2733" w:type="dxa"/>
            <w:vAlign w:val="bottom"/>
          </w:tcPr>
          <w:p w14:paraId="5DBC8228" w14:textId="77777777" w:rsidR="00F84E7F" w:rsidRPr="00DE189C" w:rsidRDefault="00F84E7F" w:rsidP="00F84E7F">
            <w:pPr>
              <w:ind w:left="284" w:right="99" w:hanging="142"/>
              <w:rPr>
                <w:sz w:val="18"/>
                <w:szCs w:val="18"/>
              </w:rPr>
            </w:pPr>
            <w:r w:rsidRPr="00DE189C">
              <w:rPr>
                <w:sz w:val="18"/>
                <w:szCs w:val="18"/>
              </w:rPr>
              <w:t xml:space="preserve">Utang pajak </w:t>
            </w:r>
          </w:p>
        </w:tc>
        <w:tc>
          <w:tcPr>
            <w:tcW w:w="125" w:type="dxa"/>
            <w:tcMar>
              <w:left w:w="28" w:type="dxa"/>
              <w:right w:w="28" w:type="dxa"/>
            </w:tcMar>
            <w:vAlign w:val="bottom"/>
          </w:tcPr>
          <w:p w14:paraId="7BAB6A6A" w14:textId="77777777" w:rsidR="00F84E7F" w:rsidRPr="00DE189C" w:rsidRDefault="00F84E7F" w:rsidP="00F84E7F">
            <w:pPr>
              <w:jc w:val="center"/>
              <w:rPr>
                <w:sz w:val="18"/>
                <w:szCs w:val="18"/>
              </w:rPr>
            </w:pPr>
          </w:p>
        </w:tc>
        <w:tc>
          <w:tcPr>
            <w:tcW w:w="1681" w:type="dxa"/>
            <w:tcMar>
              <w:left w:w="28" w:type="dxa"/>
              <w:right w:w="28" w:type="dxa"/>
            </w:tcMar>
            <w:vAlign w:val="bottom"/>
          </w:tcPr>
          <w:p w14:paraId="7A1E66F5" w14:textId="71931425" w:rsidR="00F84E7F" w:rsidRPr="00DA78F1" w:rsidRDefault="001B120D" w:rsidP="00F84E7F">
            <w:pPr>
              <w:ind w:left="-76" w:right="28"/>
              <w:jc w:val="right"/>
              <w:rPr>
                <w:sz w:val="18"/>
                <w:szCs w:val="18"/>
                <w:lang w:val="en-ID"/>
              </w:rPr>
            </w:pPr>
            <w:r>
              <w:rPr>
                <w:sz w:val="18"/>
                <w:szCs w:val="18"/>
                <w:lang w:val="en-ID"/>
              </w:rPr>
              <w:t>3.844.947.917</w:t>
            </w:r>
          </w:p>
        </w:tc>
        <w:tc>
          <w:tcPr>
            <w:tcW w:w="124" w:type="dxa"/>
            <w:tcMar>
              <w:left w:w="28" w:type="dxa"/>
              <w:right w:w="28" w:type="dxa"/>
            </w:tcMar>
            <w:vAlign w:val="bottom"/>
          </w:tcPr>
          <w:p w14:paraId="7B60B65E"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48412D9B" w14:textId="49C268D2" w:rsidR="00F84E7F" w:rsidRPr="00DA78F1" w:rsidRDefault="00F84E7F" w:rsidP="00F84E7F">
            <w:pPr>
              <w:ind w:left="-76" w:right="28"/>
              <w:jc w:val="right"/>
              <w:rPr>
                <w:sz w:val="18"/>
                <w:szCs w:val="18"/>
              </w:rPr>
            </w:pPr>
            <w:r w:rsidRPr="00DA78F1">
              <w:rPr>
                <w:sz w:val="18"/>
                <w:szCs w:val="18"/>
                <w:lang w:val="en-ID"/>
              </w:rPr>
              <w:t>3.844.206.687</w:t>
            </w:r>
          </w:p>
        </w:tc>
        <w:tc>
          <w:tcPr>
            <w:tcW w:w="123" w:type="dxa"/>
            <w:vAlign w:val="bottom"/>
          </w:tcPr>
          <w:p w14:paraId="077F7E16" w14:textId="77777777" w:rsidR="00F84E7F" w:rsidRPr="00DE189C" w:rsidRDefault="00F84E7F" w:rsidP="00F84E7F">
            <w:pPr>
              <w:ind w:right="144"/>
              <w:jc w:val="right"/>
              <w:rPr>
                <w:i/>
                <w:sz w:val="18"/>
                <w:szCs w:val="18"/>
              </w:rPr>
            </w:pPr>
          </w:p>
        </w:tc>
        <w:tc>
          <w:tcPr>
            <w:tcW w:w="2733" w:type="dxa"/>
            <w:vAlign w:val="bottom"/>
          </w:tcPr>
          <w:p w14:paraId="4114BF40" w14:textId="77777777" w:rsidR="00F84E7F" w:rsidRPr="00DE189C" w:rsidRDefault="00F84E7F" w:rsidP="00F84E7F">
            <w:pPr>
              <w:ind w:right="98"/>
              <w:jc w:val="right"/>
              <w:rPr>
                <w:i/>
                <w:sz w:val="18"/>
                <w:szCs w:val="18"/>
              </w:rPr>
            </w:pPr>
            <w:r w:rsidRPr="00DE189C">
              <w:rPr>
                <w:i/>
                <w:sz w:val="18"/>
                <w:szCs w:val="18"/>
              </w:rPr>
              <w:t>Taxes payable</w:t>
            </w:r>
          </w:p>
        </w:tc>
      </w:tr>
      <w:tr w:rsidR="00F84E7F" w:rsidRPr="00DE189C" w14:paraId="2765A883" w14:textId="77777777" w:rsidTr="005B669E">
        <w:trPr>
          <w:trHeight w:val="20"/>
        </w:trPr>
        <w:tc>
          <w:tcPr>
            <w:tcW w:w="2733" w:type="dxa"/>
            <w:vAlign w:val="bottom"/>
          </w:tcPr>
          <w:p w14:paraId="30A0DB2B" w14:textId="77777777" w:rsidR="00F84E7F" w:rsidRPr="00DE189C" w:rsidRDefault="00F84E7F" w:rsidP="00F84E7F">
            <w:pPr>
              <w:ind w:left="284" w:right="99" w:hanging="142"/>
              <w:rPr>
                <w:sz w:val="18"/>
                <w:szCs w:val="18"/>
              </w:rPr>
            </w:pPr>
            <w:r w:rsidRPr="00DE189C">
              <w:rPr>
                <w:sz w:val="18"/>
                <w:szCs w:val="18"/>
              </w:rPr>
              <w:t>Pendapatan sewa diterima dimuka</w:t>
            </w:r>
          </w:p>
        </w:tc>
        <w:tc>
          <w:tcPr>
            <w:tcW w:w="125" w:type="dxa"/>
            <w:tcMar>
              <w:left w:w="28" w:type="dxa"/>
              <w:right w:w="28" w:type="dxa"/>
            </w:tcMar>
            <w:vAlign w:val="bottom"/>
          </w:tcPr>
          <w:p w14:paraId="150333DE" w14:textId="77777777" w:rsidR="00F84E7F" w:rsidRPr="00DE189C" w:rsidRDefault="00F84E7F" w:rsidP="00F84E7F">
            <w:pPr>
              <w:jc w:val="center"/>
              <w:rPr>
                <w:sz w:val="18"/>
                <w:szCs w:val="18"/>
              </w:rPr>
            </w:pPr>
          </w:p>
        </w:tc>
        <w:tc>
          <w:tcPr>
            <w:tcW w:w="1681" w:type="dxa"/>
            <w:tcMar>
              <w:left w:w="28" w:type="dxa"/>
              <w:right w:w="28" w:type="dxa"/>
            </w:tcMar>
            <w:vAlign w:val="bottom"/>
          </w:tcPr>
          <w:p w14:paraId="36E98425"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377F57A2"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2B51B3AD" w14:textId="77777777" w:rsidR="00F84E7F" w:rsidRPr="00DA78F1" w:rsidRDefault="00F84E7F" w:rsidP="00F84E7F">
            <w:pPr>
              <w:ind w:left="-76" w:right="28"/>
              <w:jc w:val="right"/>
              <w:rPr>
                <w:sz w:val="18"/>
                <w:szCs w:val="18"/>
              </w:rPr>
            </w:pPr>
          </w:p>
        </w:tc>
        <w:tc>
          <w:tcPr>
            <w:tcW w:w="123" w:type="dxa"/>
            <w:vAlign w:val="bottom"/>
          </w:tcPr>
          <w:p w14:paraId="7866B4CF" w14:textId="77777777" w:rsidR="00F84E7F" w:rsidRPr="00DE189C" w:rsidRDefault="00F84E7F" w:rsidP="00F84E7F">
            <w:pPr>
              <w:ind w:right="144"/>
              <w:jc w:val="right"/>
              <w:rPr>
                <w:i/>
                <w:sz w:val="18"/>
                <w:szCs w:val="18"/>
              </w:rPr>
            </w:pPr>
          </w:p>
        </w:tc>
        <w:tc>
          <w:tcPr>
            <w:tcW w:w="2733" w:type="dxa"/>
            <w:vAlign w:val="bottom"/>
          </w:tcPr>
          <w:p w14:paraId="1733558C" w14:textId="77777777" w:rsidR="00F84E7F" w:rsidRPr="00DE189C" w:rsidRDefault="00F84E7F" w:rsidP="00F84E7F">
            <w:pPr>
              <w:ind w:right="98"/>
              <w:jc w:val="right"/>
              <w:rPr>
                <w:i/>
                <w:sz w:val="18"/>
                <w:szCs w:val="18"/>
              </w:rPr>
            </w:pPr>
            <w:r w:rsidRPr="00DE189C">
              <w:rPr>
                <w:i/>
                <w:sz w:val="18"/>
                <w:szCs w:val="18"/>
              </w:rPr>
              <w:t>Unearned rent</w:t>
            </w:r>
          </w:p>
        </w:tc>
      </w:tr>
      <w:tr w:rsidR="00F84E7F" w:rsidRPr="00DE189C" w14:paraId="261E55C7" w14:textId="77777777" w:rsidTr="005B669E">
        <w:trPr>
          <w:trHeight w:val="20"/>
        </w:trPr>
        <w:tc>
          <w:tcPr>
            <w:tcW w:w="2733" w:type="dxa"/>
            <w:vAlign w:val="bottom"/>
          </w:tcPr>
          <w:p w14:paraId="01FE7C77" w14:textId="77777777" w:rsidR="00F84E7F" w:rsidRPr="00DE189C" w:rsidRDefault="00F84E7F" w:rsidP="00F84E7F">
            <w:pPr>
              <w:ind w:left="284"/>
              <w:rPr>
                <w:sz w:val="18"/>
                <w:szCs w:val="18"/>
              </w:rPr>
            </w:pPr>
            <w:r w:rsidRPr="00DE189C">
              <w:rPr>
                <w:sz w:val="18"/>
                <w:szCs w:val="18"/>
              </w:rPr>
              <w:t>Pihak berelasi</w:t>
            </w:r>
          </w:p>
        </w:tc>
        <w:tc>
          <w:tcPr>
            <w:tcW w:w="125" w:type="dxa"/>
            <w:tcMar>
              <w:left w:w="28" w:type="dxa"/>
              <w:right w:w="28" w:type="dxa"/>
            </w:tcMar>
            <w:vAlign w:val="bottom"/>
          </w:tcPr>
          <w:p w14:paraId="7FC4B0E4" w14:textId="77777777" w:rsidR="00F84E7F" w:rsidRPr="00DE189C" w:rsidRDefault="00F84E7F" w:rsidP="00F84E7F">
            <w:pPr>
              <w:jc w:val="center"/>
              <w:rPr>
                <w:sz w:val="18"/>
                <w:szCs w:val="18"/>
              </w:rPr>
            </w:pPr>
          </w:p>
        </w:tc>
        <w:tc>
          <w:tcPr>
            <w:tcW w:w="1681" w:type="dxa"/>
            <w:tcMar>
              <w:left w:w="28" w:type="dxa"/>
              <w:right w:w="28" w:type="dxa"/>
            </w:tcMar>
            <w:vAlign w:val="bottom"/>
          </w:tcPr>
          <w:p w14:paraId="37C318A2" w14:textId="0A6E0C6C"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5294D7CA"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33275187" w14:textId="19BA1385" w:rsidR="00F84E7F" w:rsidRPr="00DA78F1" w:rsidRDefault="00F84E7F" w:rsidP="00F84E7F">
            <w:pPr>
              <w:ind w:left="-76" w:right="28"/>
              <w:jc w:val="right"/>
              <w:rPr>
                <w:sz w:val="18"/>
                <w:szCs w:val="18"/>
              </w:rPr>
            </w:pPr>
            <w:r w:rsidRPr="00DA78F1">
              <w:rPr>
                <w:sz w:val="18"/>
                <w:szCs w:val="18"/>
                <w:lang w:val="id-ID"/>
              </w:rPr>
              <w:t>956.950.000</w:t>
            </w:r>
          </w:p>
        </w:tc>
        <w:tc>
          <w:tcPr>
            <w:tcW w:w="123" w:type="dxa"/>
            <w:vAlign w:val="bottom"/>
          </w:tcPr>
          <w:p w14:paraId="066F662A" w14:textId="77777777" w:rsidR="00F84E7F" w:rsidRPr="00DE189C" w:rsidRDefault="00F84E7F" w:rsidP="00F84E7F">
            <w:pPr>
              <w:ind w:right="144"/>
              <w:jc w:val="right"/>
              <w:rPr>
                <w:i/>
                <w:sz w:val="18"/>
                <w:szCs w:val="18"/>
              </w:rPr>
            </w:pPr>
          </w:p>
        </w:tc>
        <w:tc>
          <w:tcPr>
            <w:tcW w:w="2733" w:type="dxa"/>
            <w:vAlign w:val="bottom"/>
          </w:tcPr>
          <w:p w14:paraId="7AAEFC9F" w14:textId="77777777" w:rsidR="00F84E7F" w:rsidRPr="00DE189C" w:rsidRDefault="00F84E7F" w:rsidP="00F84E7F">
            <w:pPr>
              <w:ind w:right="170"/>
              <w:jc w:val="right"/>
              <w:rPr>
                <w:i/>
                <w:sz w:val="18"/>
                <w:szCs w:val="18"/>
              </w:rPr>
            </w:pPr>
            <w:r w:rsidRPr="00DE189C">
              <w:rPr>
                <w:i/>
                <w:sz w:val="18"/>
                <w:szCs w:val="18"/>
              </w:rPr>
              <w:t>Related party</w:t>
            </w:r>
          </w:p>
        </w:tc>
      </w:tr>
      <w:tr w:rsidR="00F84E7F" w:rsidRPr="00DE189C" w14:paraId="468BF9A2" w14:textId="77777777" w:rsidTr="005B669E">
        <w:trPr>
          <w:trHeight w:val="159"/>
        </w:trPr>
        <w:tc>
          <w:tcPr>
            <w:tcW w:w="2733" w:type="dxa"/>
            <w:vAlign w:val="bottom"/>
          </w:tcPr>
          <w:p w14:paraId="74CD6A10" w14:textId="77777777" w:rsidR="00F84E7F" w:rsidRPr="00DE189C" w:rsidRDefault="00F84E7F" w:rsidP="00F84E7F">
            <w:pPr>
              <w:ind w:left="284"/>
              <w:rPr>
                <w:sz w:val="18"/>
                <w:szCs w:val="18"/>
              </w:rPr>
            </w:pPr>
            <w:r w:rsidRPr="00DE189C">
              <w:rPr>
                <w:sz w:val="18"/>
                <w:szCs w:val="18"/>
              </w:rPr>
              <w:t>Pihak ketiga</w:t>
            </w:r>
          </w:p>
        </w:tc>
        <w:tc>
          <w:tcPr>
            <w:tcW w:w="125" w:type="dxa"/>
            <w:tcMar>
              <w:left w:w="28" w:type="dxa"/>
              <w:right w:w="28" w:type="dxa"/>
            </w:tcMar>
            <w:vAlign w:val="bottom"/>
          </w:tcPr>
          <w:p w14:paraId="17FCAE1D" w14:textId="77777777" w:rsidR="00F84E7F" w:rsidRPr="00DE189C" w:rsidRDefault="00F84E7F" w:rsidP="00F84E7F">
            <w:pPr>
              <w:jc w:val="center"/>
              <w:rPr>
                <w:sz w:val="18"/>
                <w:szCs w:val="18"/>
                <w:lang w:val="id-ID"/>
              </w:rPr>
            </w:pPr>
          </w:p>
        </w:tc>
        <w:tc>
          <w:tcPr>
            <w:tcW w:w="1681" w:type="dxa"/>
            <w:tcMar>
              <w:left w:w="28" w:type="dxa"/>
              <w:right w:w="28" w:type="dxa"/>
            </w:tcMar>
            <w:vAlign w:val="bottom"/>
          </w:tcPr>
          <w:p w14:paraId="53B0508C" w14:textId="56B8BC23" w:rsidR="00F84E7F" w:rsidRPr="00DA78F1" w:rsidRDefault="00894135" w:rsidP="00F84E7F">
            <w:pPr>
              <w:ind w:left="-76" w:right="28"/>
              <w:jc w:val="right"/>
              <w:rPr>
                <w:sz w:val="18"/>
                <w:szCs w:val="18"/>
              </w:rPr>
            </w:pPr>
            <w:r w:rsidRPr="00894135">
              <w:rPr>
                <w:sz w:val="18"/>
                <w:szCs w:val="18"/>
              </w:rPr>
              <w:t>1</w:t>
            </w:r>
            <w:r w:rsidR="00400FA1">
              <w:rPr>
                <w:sz w:val="18"/>
                <w:szCs w:val="18"/>
              </w:rPr>
              <w:t>.</w:t>
            </w:r>
            <w:r w:rsidRPr="00894135">
              <w:rPr>
                <w:sz w:val="18"/>
                <w:szCs w:val="18"/>
              </w:rPr>
              <w:t>928</w:t>
            </w:r>
            <w:r w:rsidR="00400FA1">
              <w:rPr>
                <w:sz w:val="18"/>
                <w:szCs w:val="18"/>
              </w:rPr>
              <w:t>.</w:t>
            </w:r>
            <w:r w:rsidRPr="00894135">
              <w:rPr>
                <w:sz w:val="18"/>
                <w:szCs w:val="18"/>
              </w:rPr>
              <w:t>552</w:t>
            </w:r>
            <w:r w:rsidR="00400FA1">
              <w:rPr>
                <w:sz w:val="18"/>
                <w:szCs w:val="18"/>
              </w:rPr>
              <w:t>.</w:t>
            </w:r>
            <w:r w:rsidRPr="00894135">
              <w:rPr>
                <w:sz w:val="18"/>
                <w:szCs w:val="18"/>
              </w:rPr>
              <w:t>852</w:t>
            </w:r>
          </w:p>
        </w:tc>
        <w:tc>
          <w:tcPr>
            <w:tcW w:w="124" w:type="dxa"/>
            <w:tcMar>
              <w:left w:w="28" w:type="dxa"/>
              <w:right w:w="28" w:type="dxa"/>
            </w:tcMar>
            <w:vAlign w:val="bottom"/>
          </w:tcPr>
          <w:p w14:paraId="2E0EE5AD"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0C8DD705" w14:textId="11A93BC7" w:rsidR="00F84E7F" w:rsidRPr="00DA78F1" w:rsidRDefault="00F84E7F" w:rsidP="00F84E7F">
            <w:pPr>
              <w:ind w:left="-76" w:right="28"/>
              <w:jc w:val="right"/>
              <w:rPr>
                <w:sz w:val="18"/>
                <w:szCs w:val="18"/>
              </w:rPr>
            </w:pPr>
            <w:r w:rsidRPr="00DA78F1">
              <w:rPr>
                <w:sz w:val="18"/>
                <w:szCs w:val="18"/>
                <w:lang w:val="id-ID"/>
              </w:rPr>
              <w:t>1.093.854.13</w:t>
            </w:r>
            <w:r w:rsidRPr="00DA78F1">
              <w:rPr>
                <w:sz w:val="18"/>
                <w:szCs w:val="18"/>
              </w:rPr>
              <w:t>6</w:t>
            </w:r>
          </w:p>
        </w:tc>
        <w:tc>
          <w:tcPr>
            <w:tcW w:w="123" w:type="dxa"/>
            <w:vAlign w:val="bottom"/>
          </w:tcPr>
          <w:p w14:paraId="387EA4FF" w14:textId="77777777" w:rsidR="00F84E7F" w:rsidRPr="00DE189C" w:rsidRDefault="00F84E7F" w:rsidP="00F84E7F">
            <w:pPr>
              <w:ind w:right="144"/>
              <w:jc w:val="right"/>
              <w:rPr>
                <w:i/>
                <w:sz w:val="18"/>
                <w:szCs w:val="18"/>
                <w:lang w:val="id-ID"/>
              </w:rPr>
            </w:pPr>
          </w:p>
        </w:tc>
        <w:tc>
          <w:tcPr>
            <w:tcW w:w="2733" w:type="dxa"/>
            <w:vAlign w:val="bottom"/>
          </w:tcPr>
          <w:p w14:paraId="6D8C9DBB" w14:textId="77777777" w:rsidR="00F84E7F" w:rsidRPr="00DE189C" w:rsidRDefault="00F84E7F" w:rsidP="00F84E7F">
            <w:pPr>
              <w:ind w:right="170"/>
              <w:jc w:val="right"/>
              <w:rPr>
                <w:i/>
                <w:sz w:val="18"/>
                <w:szCs w:val="18"/>
              </w:rPr>
            </w:pPr>
            <w:r w:rsidRPr="00DE189C">
              <w:rPr>
                <w:i/>
                <w:sz w:val="18"/>
                <w:szCs w:val="18"/>
              </w:rPr>
              <w:t>Third parties</w:t>
            </w:r>
          </w:p>
        </w:tc>
      </w:tr>
      <w:tr w:rsidR="00F84E7F" w:rsidRPr="00DE189C" w14:paraId="678D5FD8" w14:textId="77777777" w:rsidTr="005B669E">
        <w:trPr>
          <w:trHeight w:val="159"/>
        </w:trPr>
        <w:tc>
          <w:tcPr>
            <w:tcW w:w="2733" w:type="dxa"/>
            <w:vAlign w:val="bottom"/>
          </w:tcPr>
          <w:p w14:paraId="02F48882" w14:textId="77777777" w:rsidR="00F84E7F" w:rsidRPr="00DE189C" w:rsidRDefault="00F84E7F" w:rsidP="00F84E7F">
            <w:pPr>
              <w:ind w:left="284" w:right="99" w:hanging="142"/>
              <w:rPr>
                <w:sz w:val="18"/>
                <w:szCs w:val="18"/>
              </w:rPr>
            </w:pPr>
            <w:r w:rsidRPr="00DE189C">
              <w:rPr>
                <w:sz w:val="18"/>
                <w:szCs w:val="18"/>
              </w:rPr>
              <w:t xml:space="preserve">Beban akrual </w:t>
            </w:r>
          </w:p>
        </w:tc>
        <w:tc>
          <w:tcPr>
            <w:tcW w:w="125" w:type="dxa"/>
            <w:tcMar>
              <w:left w:w="28" w:type="dxa"/>
              <w:right w:w="28" w:type="dxa"/>
            </w:tcMar>
            <w:vAlign w:val="bottom"/>
          </w:tcPr>
          <w:p w14:paraId="6252635F" w14:textId="77777777" w:rsidR="00F84E7F" w:rsidRPr="00DE189C" w:rsidRDefault="00F84E7F" w:rsidP="00F84E7F">
            <w:pPr>
              <w:jc w:val="center"/>
              <w:rPr>
                <w:sz w:val="18"/>
                <w:szCs w:val="18"/>
              </w:rPr>
            </w:pPr>
          </w:p>
        </w:tc>
        <w:tc>
          <w:tcPr>
            <w:tcW w:w="1681" w:type="dxa"/>
            <w:tcMar>
              <w:left w:w="28" w:type="dxa"/>
              <w:right w:w="28" w:type="dxa"/>
            </w:tcMar>
            <w:vAlign w:val="bottom"/>
          </w:tcPr>
          <w:p w14:paraId="0DBB228F" w14:textId="56E0860D" w:rsidR="00F84E7F" w:rsidRPr="00DA78F1" w:rsidRDefault="00894135" w:rsidP="00F84E7F">
            <w:pPr>
              <w:ind w:left="-76" w:right="28"/>
              <w:jc w:val="right"/>
              <w:rPr>
                <w:sz w:val="18"/>
                <w:szCs w:val="18"/>
                <w:lang w:val="en-ID"/>
              </w:rPr>
            </w:pPr>
            <w:r w:rsidRPr="00894135">
              <w:rPr>
                <w:sz w:val="18"/>
                <w:szCs w:val="18"/>
                <w:lang w:val="en-ID"/>
              </w:rPr>
              <w:t>33</w:t>
            </w:r>
            <w:r w:rsidR="00400FA1">
              <w:rPr>
                <w:sz w:val="18"/>
                <w:szCs w:val="18"/>
                <w:lang w:val="en-ID"/>
              </w:rPr>
              <w:t>.</w:t>
            </w:r>
            <w:r w:rsidRPr="00894135">
              <w:rPr>
                <w:sz w:val="18"/>
                <w:szCs w:val="18"/>
                <w:lang w:val="en-ID"/>
              </w:rPr>
              <w:t>764</w:t>
            </w:r>
            <w:r w:rsidR="00400FA1">
              <w:rPr>
                <w:sz w:val="18"/>
                <w:szCs w:val="18"/>
                <w:lang w:val="en-ID"/>
              </w:rPr>
              <w:t>.</w:t>
            </w:r>
            <w:r w:rsidRPr="00894135">
              <w:rPr>
                <w:sz w:val="18"/>
                <w:szCs w:val="18"/>
                <w:lang w:val="en-ID"/>
              </w:rPr>
              <w:t>506</w:t>
            </w:r>
            <w:r w:rsidR="00400FA1">
              <w:rPr>
                <w:sz w:val="18"/>
                <w:szCs w:val="18"/>
                <w:lang w:val="en-ID"/>
              </w:rPr>
              <w:t>.</w:t>
            </w:r>
            <w:r w:rsidRPr="00894135">
              <w:rPr>
                <w:sz w:val="18"/>
                <w:szCs w:val="18"/>
                <w:lang w:val="en-ID"/>
              </w:rPr>
              <w:t>679</w:t>
            </w:r>
          </w:p>
        </w:tc>
        <w:tc>
          <w:tcPr>
            <w:tcW w:w="124" w:type="dxa"/>
            <w:tcMar>
              <w:left w:w="28" w:type="dxa"/>
              <w:right w:w="28" w:type="dxa"/>
            </w:tcMar>
            <w:vAlign w:val="bottom"/>
          </w:tcPr>
          <w:p w14:paraId="5F2982C4"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568A8998" w14:textId="1F1360DC" w:rsidR="00F84E7F" w:rsidRPr="00DA78F1" w:rsidRDefault="00F84E7F" w:rsidP="00F84E7F">
            <w:pPr>
              <w:ind w:left="-76" w:right="28"/>
              <w:jc w:val="right"/>
              <w:rPr>
                <w:sz w:val="18"/>
                <w:szCs w:val="18"/>
              </w:rPr>
            </w:pPr>
            <w:r w:rsidRPr="00DA78F1">
              <w:rPr>
                <w:sz w:val="18"/>
                <w:szCs w:val="18"/>
                <w:lang w:val="en-ID"/>
              </w:rPr>
              <w:t>35.341.261.030</w:t>
            </w:r>
          </w:p>
        </w:tc>
        <w:tc>
          <w:tcPr>
            <w:tcW w:w="123" w:type="dxa"/>
            <w:vAlign w:val="bottom"/>
          </w:tcPr>
          <w:p w14:paraId="1BCD77BE" w14:textId="77777777" w:rsidR="00F84E7F" w:rsidRPr="00DE189C" w:rsidRDefault="00F84E7F" w:rsidP="00F84E7F">
            <w:pPr>
              <w:ind w:right="144"/>
              <w:jc w:val="right"/>
              <w:rPr>
                <w:i/>
                <w:sz w:val="18"/>
                <w:szCs w:val="18"/>
              </w:rPr>
            </w:pPr>
          </w:p>
        </w:tc>
        <w:tc>
          <w:tcPr>
            <w:tcW w:w="2733" w:type="dxa"/>
            <w:vAlign w:val="bottom"/>
          </w:tcPr>
          <w:p w14:paraId="3477809A" w14:textId="77777777" w:rsidR="00F84E7F" w:rsidRPr="00DE189C" w:rsidRDefault="00F84E7F" w:rsidP="00F84E7F">
            <w:pPr>
              <w:ind w:right="98"/>
              <w:jc w:val="right"/>
              <w:rPr>
                <w:i/>
                <w:sz w:val="18"/>
                <w:szCs w:val="18"/>
              </w:rPr>
            </w:pPr>
            <w:r w:rsidRPr="00DE189C">
              <w:rPr>
                <w:i/>
                <w:sz w:val="18"/>
                <w:szCs w:val="18"/>
              </w:rPr>
              <w:t>Accrued expenses</w:t>
            </w:r>
          </w:p>
        </w:tc>
      </w:tr>
      <w:tr w:rsidR="00F84E7F" w:rsidRPr="00DE189C" w14:paraId="547145EA" w14:textId="77777777" w:rsidTr="005B669E">
        <w:trPr>
          <w:trHeight w:val="20"/>
        </w:trPr>
        <w:tc>
          <w:tcPr>
            <w:tcW w:w="2733" w:type="dxa"/>
            <w:vAlign w:val="bottom"/>
          </w:tcPr>
          <w:p w14:paraId="35A2E1BF" w14:textId="77777777" w:rsidR="00F84E7F" w:rsidRPr="00DE189C" w:rsidRDefault="00F84E7F" w:rsidP="00F84E7F">
            <w:pPr>
              <w:ind w:left="284" w:right="99" w:hanging="142"/>
              <w:rPr>
                <w:sz w:val="18"/>
                <w:szCs w:val="18"/>
              </w:rPr>
            </w:pPr>
            <w:r w:rsidRPr="00DE189C">
              <w:rPr>
                <w:sz w:val="18"/>
                <w:szCs w:val="18"/>
              </w:rPr>
              <w:t>Utang jangka panjang jatuh tempo dalam satu tahun:</w:t>
            </w:r>
          </w:p>
        </w:tc>
        <w:tc>
          <w:tcPr>
            <w:tcW w:w="125" w:type="dxa"/>
            <w:tcMar>
              <w:left w:w="28" w:type="dxa"/>
              <w:right w:w="28" w:type="dxa"/>
            </w:tcMar>
            <w:vAlign w:val="bottom"/>
          </w:tcPr>
          <w:p w14:paraId="36BA542A" w14:textId="77777777" w:rsidR="00F84E7F" w:rsidRPr="00DE189C" w:rsidRDefault="00F84E7F" w:rsidP="00F84E7F">
            <w:pPr>
              <w:jc w:val="center"/>
              <w:rPr>
                <w:sz w:val="18"/>
                <w:szCs w:val="18"/>
              </w:rPr>
            </w:pPr>
          </w:p>
        </w:tc>
        <w:tc>
          <w:tcPr>
            <w:tcW w:w="1681" w:type="dxa"/>
            <w:tcMar>
              <w:left w:w="28" w:type="dxa"/>
              <w:right w:w="28" w:type="dxa"/>
            </w:tcMar>
            <w:vAlign w:val="bottom"/>
          </w:tcPr>
          <w:p w14:paraId="253B977E"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7A2F7424"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09879233" w14:textId="77777777" w:rsidR="00F84E7F" w:rsidRPr="00DA78F1" w:rsidRDefault="00F84E7F" w:rsidP="00F84E7F">
            <w:pPr>
              <w:ind w:left="-76" w:right="28"/>
              <w:jc w:val="right"/>
              <w:rPr>
                <w:sz w:val="18"/>
                <w:szCs w:val="18"/>
              </w:rPr>
            </w:pPr>
          </w:p>
        </w:tc>
        <w:tc>
          <w:tcPr>
            <w:tcW w:w="123" w:type="dxa"/>
            <w:vAlign w:val="bottom"/>
          </w:tcPr>
          <w:p w14:paraId="31007197" w14:textId="77777777" w:rsidR="00F84E7F" w:rsidRPr="00DE189C" w:rsidRDefault="00F84E7F" w:rsidP="00F84E7F">
            <w:pPr>
              <w:ind w:right="144"/>
              <w:jc w:val="right"/>
              <w:rPr>
                <w:i/>
                <w:sz w:val="18"/>
                <w:szCs w:val="18"/>
              </w:rPr>
            </w:pPr>
          </w:p>
        </w:tc>
        <w:tc>
          <w:tcPr>
            <w:tcW w:w="2733" w:type="dxa"/>
          </w:tcPr>
          <w:p w14:paraId="79127722" w14:textId="77777777" w:rsidR="00F84E7F" w:rsidRPr="00DE189C" w:rsidRDefault="00F84E7F" w:rsidP="00F84E7F">
            <w:pPr>
              <w:ind w:right="98"/>
              <w:jc w:val="right"/>
              <w:rPr>
                <w:i/>
                <w:sz w:val="18"/>
                <w:szCs w:val="18"/>
              </w:rPr>
            </w:pPr>
            <w:r w:rsidRPr="00DE189C">
              <w:rPr>
                <w:i/>
                <w:sz w:val="18"/>
                <w:szCs w:val="18"/>
              </w:rPr>
              <w:t>Current portion of long-term loans:</w:t>
            </w:r>
          </w:p>
        </w:tc>
      </w:tr>
      <w:tr w:rsidR="00F84E7F" w:rsidRPr="00DE189C" w14:paraId="7BB9B6CD" w14:textId="77777777" w:rsidTr="005B669E">
        <w:trPr>
          <w:trHeight w:val="20"/>
        </w:trPr>
        <w:tc>
          <w:tcPr>
            <w:tcW w:w="2733" w:type="dxa"/>
            <w:vAlign w:val="bottom"/>
          </w:tcPr>
          <w:p w14:paraId="189417DF" w14:textId="77777777" w:rsidR="00F84E7F" w:rsidRPr="00DE189C" w:rsidRDefault="00F84E7F" w:rsidP="00F84E7F">
            <w:pPr>
              <w:ind w:left="284"/>
              <w:rPr>
                <w:sz w:val="18"/>
                <w:szCs w:val="18"/>
              </w:rPr>
            </w:pPr>
            <w:r w:rsidRPr="00DE189C">
              <w:rPr>
                <w:sz w:val="18"/>
                <w:szCs w:val="18"/>
              </w:rPr>
              <w:t>Utang bank</w:t>
            </w:r>
          </w:p>
        </w:tc>
        <w:tc>
          <w:tcPr>
            <w:tcW w:w="125" w:type="dxa"/>
            <w:tcMar>
              <w:left w:w="28" w:type="dxa"/>
              <w:right w:w="28" w:type="dxa"/>
            </w:tcMar>
            <w:vAlign w:val="bottom"/>
          </w:tcPr>
          <w:p w14:paraId="7F2ADAAB" w14:textId="77777777" w:rsidR="00F84E7F" w:rsidRPr="00DE189C" w:rsidRDefault="00F84E7F" w:rsidP="00F84E7F">
            <w:pPr>
              <w:jc w:val="center"/>
              <w:rPr>
                <w:sz w:val="18"/>
                <w:szCs w:val="18"/>
              </w:rPr>
            </w:pPr>
          </w:p>
        </w:tc>
        <w:tc>
          <w:tcPr>
            <w:tcW w:w="1681" w:type="dxa"/>
            <w:tcMar>
              <w:left w:w="28" w:type="dxa"/>
              <w:right w:w="28" w:type="dxa"/>
            </w:tcMar>
            <w:vAlign w:val="bottom"/>
          </w:tcPr>
          <w:p w14:paraId="2A13DDDD"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573337FB"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62F78A13" w14:textId="77777777" w:rsidR="00F84E7F" w:rsidRPr="00DA78F1" w:rsidRDefault="00F84E7F" w:rsidP="00F84E7F">
            <w:pPr>
              <w:ind w:left="-76" w:right="28"/>
              <w:jc w:val="right"/>
              <w:rPr>
                <w:sz w:val="18"/>
                <w:szCs w:val="18"/>
                <w:lang w:val="id-ID"/>
              </w:rPr>
            </w:pPr>
          </w:p>
        </w:tc>
        <w:tc>
          <w:tcPr>
            <w:tcW w:w="123" w:type="dxa"/>
            <w:vAlign w:val="bottom"/>
          </w:tcPr>
          <w:p w14:paraId="4D78D856" w14:textId="77777777" w:rsidR="00F84E7F" w:rsidRPr="00DE189C" w:rsidRDefault="00F84E7F" w:rsidP="00F84E7F">
            <w:pPr>
              <w:ind w:right="144"/>
              <w:jc w:val="right"/>
              <w:rPr>
                <w:i/>
                <w:sz w:val="18"/>
                <w:szCs w:val="18"/>
              </w:rPr>
            </w:pPr>
          </w:p>
        </w:tc>
        <w:tc>
          <w:tcPr>
            <w:tcW w:w="2733" w:type="dxa"/>
            <w:vAlign w:val="bottom"/>
          </w:tcPr>
          <w:p w14:paraId="3010487D" w14:textId="77777777" w:rsidR="00F84E7F" w:rsidRPr="00DE189C" w:rsidRDefault="00F84E7F" w:rsidP="00F84E7F">
            <w:pPr>
              <w:tabs>
                <w:tab w:val="left" w:pos="1846"/>
              </w:tabs>
              <w:ind w:right="170"/>
              <w:jc w:val="right"/>
              <w:rPr>
                <w:i/>
                <w:sz w:val="18"/>
                <w:szCs w:val="18"/>
              </w:rPr>
            </w:pPr>
            <w:r w:rsidRPr="00DE189C">
              <w:rPr>
                <w:i/>
                <w:sz w:val="18"/>
                <w:szCs w:val="18"/>
              </w:rPr>
              <w:t>Bank loan</w:t>
            </w:r>
          </w:p>
        </w:tc>
      </w:tr>
      <w:tr w:rsidR="00F84E7F" w:rsidRPr="00DE189C" w14:paraId="3678D735" w14:textId="77777777" w:rsidTr="005B669E">
        <w:trPr>
          <w:trHeight w:val="20"/>
        </w:trPr>
        <w:tc>
          <w:tcPr>
            <w:tcW w:w="2733" w:type="dxa"/>
            <w:vAlign w:val="bottom"/>
          </w:tcPr>
          <w:p w14:paraId="1EA6DD0C" w14:textId="77777777" w:rsidR="00F84E7F" w:rsidRPr="00DE189C" w:rsidRDefault="00F84E7F" w:rsidP="00F84E7F">
            <w:pPr>
              <w:ind w:left="397"/>
              <w:rPr>
                <w:sz w:val="18"/>
                <w:szCs w:val="18"/>
              </w:rPr>
            </w:pPr>
            <w:r w:rsidRPr="00DE189C">
              <w:rPr>
                <w:sz w:val="18"/>
                <w:szCs w:val="18"/>
              </w:rPr>
              <w:t>Pihak berelasi</w:t>
            </w:r>
          </w:p>
        </w:tc>
        <w:tc>
          <w:tcPr>
            <w:tcW w:w="125" w:type="dxa"/>
            <w:tcMar>
              <w:left w:w="28" w:type="dxa"/>
              <w:right w:w="28" w:type="dxa"/>
            </w:tcMar>
            <w:vAlign w:val="bottom"/>
          </w:tcPr>
          <w:p w14:paraId="6C143637" w14:textId="77777777" w:rsidR="00F84E7F" w:rsidRPr="00DE189C" w:rsidRDefault="00F84E7F" w:rsidP="00F84E7F">
            <w:pPr>
              <w:jc w:val="center"/>
              <w:rPr>
                <w:sz w:val="18"/>
                <w:szCs w:val="18"/>
              </w:rPr>
            </w:pPr>
          </w:p>
        </w:tc>
        <w:tc>
          <w:tcPr>
            <w:tcW w:w="1681" w:type="dxa"/>
            <w:tcMar>
              <w:left w:w="28" w:type="dxa"/>
              <w:right w:w="28" w:type="dxa"/>
            </w:tcMar>
            <w:vAlign w:val="bottom"/>
          </w:tcPr>
          <w:p w14:paraId="5E70C64D" w14:textId="29848588" w:rsidR="00F84E7F" w:rsidRPr="00DA78F1" w:rsidRDefault="00894135" w:rsidP="00F84E7F">
            <w:pPr>
              <w:ind w:left="-76" w:right="28"/>
              <w:jc w:val="right"/>
              <w:rPr>
                <w:sz w:val="18"/>
                <w:szCs w:val="18"/>
                <w:lang w:val="id-ID"/>
              </w:rPr>
            </w:pPr>
            <w:r w:rsidRPr="00894135">
              <w:rPr>
                <w:sz w:val="18"/>
                <w:szCs w:val="18"/>
                <w:lang w:val="id-ID"/>
              </w:rPr>
              <w:t>50</w:t>
            </w:r>
            <w:r w:rsidR="00400FA1">
              <w:rPr>
                <w:sz w:val="18"/>
                <w:szCs w:val="18"/>
                <w:lang w:val="id-ID"/>
              </w:rPr>
              <w:t>.</w:t>
            </w:r>
            <w:r w:rsidRPr="00894135">
              <w:rPr>
                <w:sz w:val="18"/>
                <w:szCs w:val="18"/>
                <w:lang w:val="id-ID"/>
              </w:rPr>
              <w:t>000</w:t>
            </w:r>
            <w:r w:rsidR="00400FA1">
              <w:rPr>
                <w:sz w:val="18"/>
                <w:szCs w:val="18"/>
                <w:lang w:val="id-ID"/>
              </w:rPr>
              <w:t>.</w:t>
            </w:r>
            <w:r w:rsidRPr="00894135">
              <w:rPr>
                <w:sz w:val="18"/>
                <w:szCs w:val="18"/>
                <w:lang w:val="id-ID"/>
              </w:rPr>
              <w:t>000</w:t>
            </w:r>
            <w:r w:rsidR="00400FA1">
              <w:rPr>
                <w:sz w:val="18"/>
                <w:szCs w:val="18"/>
                <w:lang w:val="id-ID"/>
              </w:rPr>
              <w:t>.</w:t>
            </w:r>
            <w:r w:rsidRPr="00894135">
              <w:rPr>
                <w:sz w:val="18"/>
                <w:szCs w:val="18"/>
                <w:lang w:val="id-ID"/>
              </w:rPr>
              <w:t>000</w:t>
            </w:r>
          </w:p>
        </w:tc>
        <w:tc>
          <w:tcPr>
            <w:tcW w:w="124" w:type="dxa"/>
            <w:tcMar>
              <w:left w:w="28" w:type="dxa"/>
              <w:right w:w="28" w:type="dxa"/>
            </w:tcMar>
            <w:vAlign w:val="bottom"/>
          </w:tcPr>
          <w:p w14:paraId="27746E96"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38C33893" w14:textId="1698D4D1" w:rsidR="00F84E7F" w:rsidRPr="00DA78F1" w:rsidRDefault="00F84E7F" w:rsidP="00F84E7F">
            <w:pPr>
              <w:ind w:left="-76" w:right="28"/>
              <w:jc w:val="right"/>
              <w:rPr>
                <w:sz w:val="18"/>
                <w:szCs w:val="18"/>
              </w:rPr>
            </w:pPr>
            <w:r w:rsidRPr="00DA78F1">
              <w:rPr>
                <w:sz w:val="18"/>
                <w:szCs w:val="18"/>
                <w:lang w:val="id-ID"/>
              </w:rPr>
              <w:t>50.000.000.000</w:t>
            </w:r>
          </w:p>
        </w:tc>
        <w:tc>
          <w:tcPr>
            <w:tcW w:w="123" w:type="dxa"/>
            <w:vAlign w:val="bottom"/>
          </w:tcPr>
          <w:p w14:paraId="345E2F34" w14:textId="77777777" w:rsidR="00F84E7F" w:rsidRPr="00DE189C" w:rsidRDefault="00F84E7F" w:rsidP="00F84E7F">
            <w:pPr>
              <w:ind w:right="144"/>
              <w:jc w:val="right"/>
              <w:rPr>
                <w:i/>
                <w:sz w:val="18"/>
                <w:szCs w:val="18"/>
              </w:rPr>
            </w:pPr>
          </w:p>
        </w:tc>
        <w:tc>
          <w:tcPr>
            <w:tcW w:w="2733" w:type="dxa"/>
            <w:vAlign w:val="bottom"/>
          </w:tcPr>
          <w:p w14:paraId="1C45A287" w14:textId="77777777" w:rsidR="00F84E7F" w:rsidRPr="00DE189C" w:rsidRDefault="00F84E7F" w:rsidP="00F84E7F">
            <w:pPr>
              <w:ind w:right="251"/>
              <w:jc w:val="right"/>
              <w:rPr>
                <w:i/>
                <w:sz w:val="18"/>
                <w:szCs w:val="18"/>
              </w:rPr>
            </w:pPr>
            <w:r w:rsidRPr="00DE189C">
              <w:rPr>
                <w:i/>
                <w:sz w:val="18"/>
                <w:szCs w:val="18"/>
              </w:rPr>
              <w:t>Related party</w:t>
            </w:r>
          </w:p>
        </w:tc>
      </w:tr>
      <w:tr w:rsidR="00F84E7F" w:rsidRPr="00DE189C" w14:paraId="03183DCC" w14:textId="77777777" w:rsidTr="005B669E">
        <w:trPr>
          <w:trHeight w:val="109"/>
        </w:trPr>
        <w:tc>
          <w:tcPr>
            <w:tcW w:w="2733" w:type="dxa"/>
            <w:vAlign w:val="bottom"/>
          </w:tcPr>
          <w:p w14:paraId="54E4CEA4" w14:textId="77777777" w:rsidR="00F84E7F" w:rsidRPr="00DE189C" w:rsidRDefault="00F84E7F" w:rsidP="00F84E7F">
            <w:pPr>
              <w:ind w:left="284" w:right="99" w:hanging="142"/>
              <w:rPr>
                <w:sz w:val="18"/>
                <w:szCs w:val="18"/>
              </w:rPr>
            </w:pPr>
          </w:p>
        </w:tc>
        <w:tc>
          <w:tcPr>
            <w:tcW w:w="125" w:type="dxa"/>
            <w:tcMar>
              <w:left w:w="28" w:type="dxa"/>
              <w:right w:w="28" w:type="dxa"/>
            </w:tcMar>
            <w:vAlign w:val="bottom"/>
          </w:tcPr>
          <w:p w14:paraId="0FE26A9B" w14:textId="77777777" w:rsidR="00F84E7F" w:rsidRPr="00DE189C" w:rsidRDefault="00F84E7F" w:rsidP="00F84E7F">
            <w:pPr>
              <w:jc w:val="center"/>
              <w:rPr>
                <w:sz w:val="18"/>
                <w:szCs w:val="18"/>
              </w:rPr>
            </w:pPr>
          </w:p>
        </w:tc>
        <w:tc>
          <w:tcPr>
            <w:tcW w:w="1681" w:type="dxa"/>
            <w:tcBorders>
              <w:top w:val="single" w:sz="4" w:space="0" w:color="auto"/>
            </w:tcBorders>
            <w:tcMar>
              <w:left w:w="28" w:type="dxa"/>
              <w:right w:w="28" w:type="dxa"/>
            </w:tcMar>
            <w:vAlign w:val="bottom"/>
          </w:tcPr>
          <w:p w14:paraId="7C207DCB"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0586CB83" w14:textId="77777777" w:rsidR="00F84E7F" w:rsidRPr="00DA78F1" w:rsidRDefault="00F84E7F" w:rsidP="00F84E7F">
            <w:pPr>
              <w:ind w:left="-76" w:right="74"/>
              <w:jc w:val="right"/>
              <w:rPr>
                <w:sz w:val="18"/>
                <w:szCs w:val="18"/>
              </w:rPr>
            </w:pPr>
          </w:p>
        </w:tc>
        <w:tc>
          <w:tcPr>
            <w:tcW w:w="1678" w:type="dxa"/>
            <w:tcBorders>
              <w:top w:val="single" w:sz="4" w:space="0" w:color="auto"/>
            </w:tcBorders>
            <w:tcMar>
              <w:left w:w="28" w:type="dxa"/>
              <w:right w:w="28" w:type="dxa"/>
            </w:tcMar>
            <w:vAlign w:val="bottom"/>
          </w:tcPr>
          <w:p w14:paraId="1F3A1052" w14:textId="77777777" w:rsidR="00F84E7F" w:rsidRPr="00DA78F1" w:rsidRDefault="00F84E7F" w:rsidP="00F84E7F">
            <w:pPr>
              <w:ind w:left="-76" w:right="28"/>
              <w:jc w:val="right"/>
              <w:rPr>
                <w:sz w:val="18"/>
                <w:szCs w:val="18"/>
              </w:rPr>
            </w:pPr>
          </w:p>
        </w:tc>
        <w:tc>
          <w:tcPr>
            <w:tcW w:w="123" w:type="dxa"/>
            <w:vAlign w:val="bottom"/>
          </w:tcPr>
          <w:p w14:paraId="1190E851" w14:textId="77777777" w:rsidR="00F84E7F" w:rsidRPr="00DE189C" w:rsidRDefault="00F84E7F" w:rsidP="00F84E7F">
            <w:pPr>
              <w:ind w:right="144"/>
              <w:jc w:val="right"/>
              <w:rPr>
                <w:i/>
                <w:sz w:val="18"/>
                <w:szCs w:val="18"/>
              </w:rPr>
            </w:pPr>
          </w:p>
        </w:tc>
        <w:tc>
          <w:tcPr>
            <w:tcW w:w="2733" w:type="dxa"/>
            <w:vAlign w:val="bottom"/>
          </w:tcPr>
          <w:p w14:paraId="7F2D2CAF" w14:textId="77777777" w:rsidR="00F84E7F" w:rsidRPr="00DE189C" w:rsidRDefault="00F84E7F" w:rsidP="00F84E7F">
            <w:pPr>
              <w:ind w:right="98"/>
              <w:jc w:val="right"/>
              <w:rPr>
                <w:i/>
                <w:sz w:val="18"/>
                <w:szCs w:val="18"/>
              </w:rPr>
            </w:pPr>
          </w:p>
        </w:tc>
      </w:tr>
      <w:tr w:rsidR="00F84E7F" w:rsidRPr="00DE189C" w14:paraId="07011933" w14:textId="77777777" w:rsidTr="005B669E">
        <w:trPr>
          <w:trHeight w:val="20"/>
        </w:trPr>
        <w:tc>
          <w:tcPr>
            <w:tcW w:w="2733" w:type="dxa"/>
            <w:vAlign w:val="bottom"/>
          </w:tcPr>
          <w:p w14:paraId="54077747" w14:textId="77777777" w:rsidR="00F84E7F" w:rsidRPr="00DE189C" w:rsidRDefault="00F84E7F" w:rsidP="00F84E7F">
            <w:pPr>
              <w:ind w:left="284" w:right="99" w:hanging="142"/>
              <w:rPr>
                <w:b/>
                <w:sz w:val="18"/>
                <w:szCs w:val="18"/>
              </w:rPr>
            </w:pPr>
            <w:r w:rsidRPr="00DE189C">
              <w:rPr>
                <w:b/>
                <w:sz w:val="18"/>
                <w:szCs w:val="18"/>
              </w:rPr>
              <w:t>Jumlah Liabilitas Jangka Pendek</w:t>
            </w:r>
          </w:p>
        </w:tc>
        <w:tc>
          <w:tcPr>
            <w:tcW w:w="125" w:type="dxa"/>
            <w:tcMar>
              <w:left w:w="28" w:type="dxa"/>
              <w:right w:w="28" w:type="dxa"/>
            </w:tcMar>
            <w:vAlign w:val="bottom"/>
          </w:tcPr>
          <w:p w14:paraId="78606458" w14:textId="77777777" w:rsidR="00F84E7F" w:rsidRPr="00DE189C" w:rsidRDefault="00F84E7F" w:rsidP="00F84E7F">
            <w:pPr>
              <w:jc w:val="center"/>
              <w:rPr>
                <w:b/>
                <w:sz w:val="18"/>
                <w:szCs w:val="18"/>
              </w:rPr>
            </w:pPr>
          </w:p>
        </w:tc>
        <w:tc>
          <w:tcPr>
            <w:tcW w:w="1681" w:type="dxa"/>
            <w:tcBorders>
              <w:bottom w:val="single" w:sz="4" w:space="0" w:color="auto"/>
            </w:tcBorders>
            <w:tcMar>
              <w:left w:w="28" w:type="dxa"/>
              <w:right w:w="28" w:type="dxa"/>
            </w:tcMar>
            <w:vAlign w:val="bottom"/>
          </w:tcPr>
          <w:p w14:paraId="24F68466" w14:textId="620DB222" w:rsidR="00F84E7F" w:rsidRPr="00B77D45" w:rsidRDefault="00E42806" w:rsidP="00F84E7F">
            <w:pPr>
              <w:ind w:left="-76" w:right="28"/>
              <w:jc w:val="right"/>
              <w:rPr>
                <w:b/>
                <w:bCs w:val="0"/>
                <w:sz w:val="18"/>
                <w:szCs w:val="18"/>
                <w:lang w:val="id-ID"/>
              </w:rPr>
            </w:pPr>
            <w:r>
              <w:rPr>
                <w:b/>
                <w:bCs w:val="0"/>
                <w:sz w:val="18"/>
                <w:szCs w:val="18"/>
                <w:lang w:val="id-ID"/>
              </w:rPr>
              <w:t>1.109</w:t>
            </w:r>
            <w:r>
              <w:rPr>
                <w:b/>
                <w:bCs w:val="0"/>
                <w:sz w:val="18"/>
                <w:szCs w:val="18"/>
              </w:rPr>
              <w:t>.</w:t>
            </w:r>
            <w:r>
              <w:rPr>
                <w:b/>
                <w:bCs w:val="0"/>
                <w:sz w:val="18"/>
                <w:szCs w:val="18"/>
                <w:lang w:val="id-ID"/>
              </w:rPr>
              <w:t>92</w:t>
            </w:r>
            <w:r w:rsidR="00B77D45">
              <w:rPr>
                <w:b/>
                <w:bCs w:val="0"/>
                <w:sz w:val="18"/>
                <w:szCs w:val="18"/>
                <w:lang w:val="id-ID"/>
              </w:rPr>
              <w:t>1</w:t>
            </w:r>
            <w:r w:rsidR="00B77D45">
              <w:rPr>
                <w:b/>
                <w:bCs w:val="0"/>
                <w:sz w:val="18"/>
                <w:szCs w:val="18"/>
              </w:rPr>
              <w:t>.</w:t>
            </w:r>
            <w:r>
              <w:rPr>
                <w:b/>
                <w:bCs w:val="0"/>
                <w:sz w:val="18"/>
                <w:szCs w:val="18"/>
                <w:lang w:val="id-ID"/>
              </w:rPr>
              <w:t>10</w:t>
            </w:r>
            <w:r w:rsidR="00B77D45">
              <w:rPr>
                <w:b/>
                <w:bCs w:val="0"/>
                <w:sz w:val="18"/>
                <w:szCs w:val="18"/>
                <w:lang w:val="id-ID"/>
              </w:rPr>
              <w:t>8</w:t>
            </w:r>
            <w:r w:rsidR="00B77D45">
              <w:rPr>
                <w:b/>
                <w:bCs w:val="0"/>
                <w:sz w:val="18"/>
                <w:szCs w:val="18"/>
              </w:rPr>
              <w:t>.</w:t>
            </w:r>
            <w:r>
              <w:rPr>
                <w:b/>
                <w:bCs w:val="0"/>
                <w:sz w:val="18"/>
                <w:szCs w:val="18"/>
                <w:lang w:val="id-ID"/>
              </w:rPr>
              <w:t>615</w:t>
            </w:r>
          </w:p>
        </w:tc>
        <w:tc>
          <w:tcPr>
            <w:tcW w:w="124" w:type="dxa"/>
            <w:tcMar>
              <w:left w:w="28" w:type="dxa"/>
              <w:right w:w="28" w:type="dxa"/>
            </w:tcMar>
            <w:vAlign w:val="bottom"/>
          </w:tcPr>
          <w:p w14:paraId="2041FD6C" w14:textId="77777777" w:rsidR="00F84E7F" w:rsidRPr="00DA78F1" w:rsidRDefault="00F84E7F" w:rsidP="00F84E7F">
            <w:pPr>
              <w:ind w:left="-76" w:right="74"/>
              <w:jc w:val="right"/>
              <w:rPr>
                <w:b/>
                <w:sz w:val="18"/>
                <w:szCs w:val="18"/>
              </w:rPr>
            </w:pPr>
          </w:p>
        </w:tc>
        <w:tc>
          <w:tcPr>
            <w:tcW w:w="1678" w:type="dxa"/>
            <w:tcBorders>
              <w:bottom w:val="single" w:sz="4" w:space="0" w:color="auto"/>
            </w:tcBorders>
            <w:tcMar>
              <w:left w:w="28" w:type="dxa"/>
              <w:right w:w="28" w:type="dxa"/>
            </w:tcMar>
            <w:vAlign w:val="bottom"/>
          </w:tcPr>
          <w:p w14:paraId="1EA3CCD6" w14:textId="40D08C4C" w:rsidR="00F84E7F" w:rsidRPr="00DA78F1" w:rsidRDefault="00F84E7F" w:rsidP="00F84E7F">
            <w:pPr>
              <w:ind w:left="-76" w:right="28"/>
              <w:jc w:val="right"/>
              <w:rPr>
                <w:b/>
                <w:sz w:val="18"/>
                <w:szCs w:val="18"/>
              </w:rPr>
            </w:pPr>
            <w:r w:rsidRPr="00DA78F1">
              <w:rPr>
                <w:b/>
                <w:bCs w:val="0"/>
                <w:sz w:val="18"/>
                <w:szCs w:val="18"/>
              </w:rPr>
              <w:t>876.166.656.005</w:t>
            </w:r>
          </w:p>
        </w:tc>
        <w:tc>
          <w:tcPr>
            <w:tcW w:w="123" w:type="dxa"/>
            <w:vAlign w:val="bottom"/>
          </w:tcPr>
          <w:p w14:paraId="0CF5F4DA" w14:textId="77777777" w:rsidR="00F84E7F" w:rsidRPr="00DE189C" w:rsidRDefault="00F84E7F" w:rsidP="00F84E7F">
            <w:pPr>
              <w:ind w:right="144"/>
              <w:jc w:val="right"/>
              <w:rPr>
                <w:b/>
                <w:i/>
                <w:sz w:val="18"/>
                <w:szCs w:val="18"/>
              </w:rPr>
            </w:pPr>
          </w:p>
        </w:tc>
        <w:tc>
          <w:tcPr>
            <w:tcW w:w="2733" w:type="dxa"/>
            <w:vAlign w:val="bottom"/>
          </w:tcPr>
          <w:p w14:paraId="52BF1122" w14:textId="77777777" w:rsidR="00F84E7F" w:rsidRPr="00DE189C" w:rsidRDefault="00F84E7F" w:rsidP="00F84E7F">
            <w:pPr>
              <w:ind w:right="98"/>
              <w:jc w:val="right"/>
              <w:rPr>
                <w:b/>
                <w:i/>
                <w:sz w:val="18"/>
                <w:szCs w:val="18"/>
              </w:rPr>
            </w:pPr>
            <w:r w:rsidRPr="00DE189C">
              <w:rPr>
                <w:b/>
                <w:i/>
                <w:sz w:val="18"/>
                <w:szCs w:val="18"/>
              </w:rPr>
              <w:t>Total Current Liabilities</w:t>
            </w:r>
          </w:p>
        </w:tc>
      </w:tr>
      <w:tr w:rsidR="00F84E7F" w:rsidRPr="00DE189C" w14:paraId="18C0C898" w14:textId="77777777" w:rsidTr="005B669E">
        <w:trPr>
          <w:trHeight w:val="20"/>
        </w:trPr>
        <w:tc>
          <w:tcPr>
            <w:tcW w:w="2733" w:type="dxa"/>
            <w:vAlign w:val="bottom"/>
          </w:tcPr>
          <w:p w14:paraId="503076D1" w14:textId="77777777" w:rsidR="00F84E7F" w:rsidRPr="00DE189C" w:rsidRDefault="00F84E7F" w:rsidP="00F84E7F">
            <w:pPr>
              <w:ind w:left="284" w:right="99" w:hanging="142"/>
              <w:rPr>
                <w:b/>
                <w:sz w:val="18"/>
                <w:szCs w:val="18"/>
              </w:rPr>
            </w:pPr>
          </w:p>
        </w:tc>
        <w:tc>
          <w:tcPr>
            <w:tcW w:w="125" w:type="dxa"/>
            <w:tcMar>
              <w:left w:w="28" w:type="dxa"/>
              <w:right w:w="28" w:type="dxa"/>
            </w:tcMar>
            <w:vAlign w:val="bottom"/>
          </w:tcPr>
          <w:p w14:paraId="50282F2E" w14:textId="77777777" w:rsidR="00F84E7F" w:rsidRPr="00DE189C" w:rsidRDefault="00F84E7F" w:rsidP="00F84E7F">
            <w:pPr>
              <w:jc w:val="center"/>
              <w:rPr>
                <w:sz w:val="18"/>
                <w:szCs w:val="18"/>
              </w:rPr>
            </w:pPr>
          </w:p>
        </w:tc>
        <w:tc>
          <w:tcPr>
            <w:tcW w:w="1681" w:type="dxa"/>
            <w:tcBorders>
              <w:top w:val="single" w:sz="4" w:space="0" w:color="auto"/>
            </w:tcBorders>
            <w:tcMar>
              <w:left w:w="28" w:type="dxa"/>
              <w:right w:w="28" w:type="dxa"/>
            </w:tcMar>
            <w:vAlign w:val="bottom"/>
          </w:tcPr>
          <w:p w14:paraId="30A6E8DB" w14:textId="77777777" w:rsidR="00F84E7F" w:rsidRPr="00DA78F1" w:rsidRDefault="00F84E7F" w:rsidP="00F84E7F">
            <w:pPr>
              <w:ind w:left="-76" w:right="74"/>
              <w:jc w:val="right"/>
              <w:rPr>
                <w:b/>
                <w:sz w:val="18"/>
                <w:szCs w:val="18"/>
                <w:lang w:val="id-ID"/>
              </w:rPr>
            </w:pPr>
          </w:p>
        </w:tc>
        <w:tc>
          <w:tcPr>
            <w:tcW w:w="124" w:type="dxa"/>
            <w:tcMar>
              <w:left w:w="28" w:type="dxa"/>
              <w:right w:w="28" w:type="dxa"/>
            </w:tcMar>
            <w:vAlign w:val="bottom"/>
          </w:tcPr>
          <w:p w14:paraId="0E3FD7AD" w14:textId="77777777" w:rsidR="00F84E7F" w:rsidRPr="00DA78F1" w:rsidRDefault="00F84E7F" w:rsidP="00F84E7F">
            <w:pPr>
              <w:ind w:left="-76" w:right="74"/>
              <w:jc w:val="right"/>
              <w:rPr>
                <w:b/>
                <w:sz w:val="18"/>
                <w:szCs w:val="18"/>
              </w:rPr>
            </w:pPr>
          </w:p>
        </w:tc>
        <w:tc>
          <w:tcPr>
            <w:tcW w:w="1678" w:type="dxa"/>
            <w:tcBorders>
              <w:top w:val="single" w:sz="4" w:space="0" w:color="auto"/>
            </w:tcBorders>
            <w:tcMar>
              <w:left w:w="28" w:type="dxa"/>
              <w:right w:w="28" w:type="dxa"/>
            </w:tcMar>
            <w:vAlign w:val="bottom"/>
          </w:tcPr>
          <w:p w14:paraId="4241D194" w14:textId="77777777" w:rsidR="00F84E7F" w:rsidRPr="00DA78F1" w:rsidRDefault="00F84E7F" w:rsidP="00F84E7F">
            <w:pPr>
              <w:ind w:left="-76" w:right="28"/>
              <w:jc w:val="right"/>
              <w:rPr>
                <w:b/>
                <w:sz w:val="18"/>
                <w:szCs w:val="18"/>
              </w:rPr>
            </w:pPr>
          </w:p>
        </w:tc>
        <w:tc>
          <w:tcPr>
            <w:tcW w:w="123" w:type="dxa"/>
            <w:vAlign w:val="bottom"/>
          </w:tcPr>
          <w:p w14:paraId="7211EA69" w14:textId="77777777" w:rsidR="00F84E7F" w:rsidRPr="00DE189C" w:rsidRDefault="00F84E7F" w:rsidP="00F84E7F">
            <w:pPr>
              <w:ind w:right="144"/>
              <w:jc w:val="right"/>
              <w:rPr>
                <w:i/>
                <w:sz w:val="18"/>
                <w:szCs w:val="18"/>
              </w:rPr>
            </w:pPr>
          </w:p>
        </w:tc>
        <w:tc>
          <w:tcPr>
            <w:tcW w:w="2733" w:type="dxa"/>
            <w:vAlign w:val="bottom"/>
          </w:tcPr>
          <w:p w14:paraId="345AC192" w14:textId="77777777" w:rsidR="00F84E7F" w:rsidRPr="00DE189C" w:rsidRDefault="00F84E7F" w:rsidP="00F84E7F">
            <w:pPr>
              <w:ind w:right="98"/>
              <w:jc w:val="right"/>
              <w:rPr>
                <w:i/>
                <w:sz w:val="18"/>
                <w:szCs w:val="18"/>
              </w:rPr>
            </w:pPr>
          </w:p>
        </w:tc>
      </w:tr>
      <w:tr w:rsidR="00F84E7F" w:rsidRPr="00DE189C" w14:paraId="58537BDE" w14:textId="77777777" w:rsidTr="005B669E">
        <w:trPr>
          <w:trHeight w:val="20"/>
        </w:trPr>
        <w:tc>
          <w:tcPr>
            <w:tcW w:w="2733" w:type="dxa"/>
            <w:vAlign w:val="bottom"/>
          </w:tcPr>
          <w:p w14:paraId="36DC3ECB" w14:textId="77777777" w:rsidR="00F84E7F" w:rsidRPr="00DE189C" w:rsidRDefault="00F84E7F" w:rsidP="00F84E7F">
            <w:pPr>
              <w:ind w:left="284" w:right="99" w:hanging="142"/>
              <w:rPr>
                <w:b/>
                <w:sz w:val="18"/>
                <w:szCs w:val="18"/>
              </w:rPr>
            </w:pPr>
            <w:r w:rsidRPr="00DE189C">
              <w:rPr>
                <w:b/>
                <w:sz w:val="18"/>
                <w:szCs w:val="18"/>
              </w:rPr>
              <w:t>Liabilitas Jangka Panjang</w:t>
            </w:r>
          </w:p>
        </w:tc>
        <w:tc>
          <w:tcPr>
            <w:tcW w:w="125" w:type="dxa"/>
            <w:tcMar>
              <w:left w:w="28" w:type="dxa"/>
              <w:right w:w="28" w:type="dxa"/>
            </w:tcMar>
            <w:vAlign w:val="bottom"/>
          </w:tcPr>
          <w:p w14:paraId="2914751E" w14:textId="77777777" w:rsidR="00F84E7F" w:rsidRPr="00DE189C" w:rsidRDefault="00F84E7F" w:rsidP="00F84E7F">
            <w:pPr>
              <w:jc w:val="center"/>
              <w:rPr>
                <w:b/>
                <w:sz w:val="18"/>
                <w:szCs w:val="18"/>
              </w:rPr>
            </w:pPr>
          </w:p>
        </w:tc>
        <w:tc>
          <w:tcPr>
            <w:tcW w:w="1681" w:type="dxa"/>
            <w:tcMar>
              <w:left w:w="28" w:type="dxa"/>
              <w:right w:w="28" w:type="dxa"/>
            </w:tcMar>
            <w:vAlign w:val="bottom"/>
          </w:tcPr>
          <w:p w14:paraId="10DDBB65" w14:textId="77777777" w:rsidR="00F84E7F" w:rsidRPr="00DA78F1" w:rsidRDefault="00F84E7F" w:rsidP="00F84E7F">
            <w:pPr>
              <w:ind w:left="-76" w:right="74"/>
              <w:jc w:val="right"/>
              <w:rPr>
                <w:b/>
                <w:sz w:val="18"/>
                <w:szCs w:val="18"/>
              </w:rPr>
            </w:pPr>
          </w:p>
        </w:tc>
        <w:tc>
          <w:tcPr>
            <w:tcW w:w="124" w:type="dxa"/>
            <w:tcMar>
              <w:left w:w="28" w:type="dxa"/>
              <w:right w:w="28" w:type="dxa"/>
            </w:tcMar>
            <w:vAlign w:val="bottom"/>
          </w:tcPr>
          <w:p w14:paraId="256ACDB6" w14:textId="77777777" w:rsidR="00F84E7F" w:rsidRPr="00DA78F1" w:rsidRDefault="00F84E7F" w:rsidP="00F84E7F">
            <w:pPr>
              <w:ind w:left="-76" w:right="74"/>
              <w:jc w:val="right"/>
              <w:rPr>
                <w:b/>
                <w:sz w:val="18"/>
                <w:szCs w:val="18"/>
              </w:rPr>
            </w:pPr>
          </w:p>
        </w:tc>
        <w:tc>
          <w:tcPr>
            <w:tcW w:w="1678" w:type="dxa"/>
            <w:tcMar>
              <w:left w:w="28" w:type="dxa"/>
              <w:right w:w="28" w:type="dxa"/>
            </w:tcMar>
            <w:vAlign w:val="bottom"/>
          </w:tcPr>
          <w:p w14:paraId="0D62858E" w14:textId="77777777" w:rsidR="00F84E7F" w:rsidRPr="00DA78F1" w:rsidRDefault="00F84E7F" w:rsidP="00F84E7F">
            <w:pPr>
              <w:ind w:left="-76" w:right="28"/>
              <w:jc w:val="right"/>
              <w:rPr>
                <w:sz w:val="18"/>
                <w:szCs w:val="18"/>
              </w:rPr>
            </w:pPr>
          </w:p>
        </w:tc>
        <w:tc>
          <w:tcPr>
            <w:tcW w:w="123" w:type="dxa"/>
            <w:vAlign w:val="bottom"/>
          </w:tcPr>
          <w:p w14:paraId="17AA422D" w14:textId="77777777" w:rsidR="00F84E7F" w:rsidRPr="00DE189C" w:rsidRDefault="00F84E7F" w:rsidP="00F84E7F">
            <w:pPr>
              <w:ind w:right="144"/>
              <w:jc w:val="right"/>
              <w:rPr>
                <w:b/>
                <w:i/>
                <w:sz w:val="18"/>
                <w:szCs w:val="18"/>
              </w:rPr>
            </w:pPr>
          </w:p>
        </w:tc>
        <w:tc>
          <w:tcPr>
            <w:tcW w:w="2733" w:type="dxa"/>
            <w:vAlign w:val="bottom"/>
          </w:tcPr>
          <w:p w14:paraId="79B9648D" w14:textId="77777777" w:rsidR="00F84E7F" w:rsidRPr="00DE189C" w:rsidRDefault="00F84E7F" w:rsidP="00F84E7F">
            <w:pPr>
              <w:ind w:right="98"/>
              <w:jc w:val="right"/>
              <w:rPr>
                <w:b/>
                <w:i/>
                <w:sz w:val="18"/>
                <w:szCs w:val="18"/>
              </w:rPr>
            </w:pPr>
            <w:r w:rsidRPr="00DE189C">
              <w:rPr>
                <w:b/>
                <w:i/>
                <w:sz w:val="18"/>
                <w:szCs w:val="18"/>
              </w:rPr>
              <w:t>Non - Current Liabilities</w:t>
            </w:r>
          </w:p>
        </w:tc>
      </w:tr>
      <w:tr w:rsidR="00F84E7F" w:rsidRPr="00DE189C" w14:paraId="2B573D66" w14:textId="77777777" w:rsidTr="005B669E">
        <w:trPr>
          <w:trHeight w:val="20"/>
        </w:trPr>
        <w:tc>
          <w:tcPr>
            <w:tcW w:w="2733" w:type="dxa"/>
            <w:vAlign w:val="bottom"/>
          </w:tcPr>
          <w:p w14:paraId="15C3DD3A" w14:textId="77777777" w:rsidR="00F84E7F" w:rsidRPr="00DE189C" w:rsidRDefault="00F84E7F" w:rsidP="00F84E7F">
            <w:pPr>
              <w:ind w:left="284" w:right="99" w:hanging="142"/>
              <w:rPr>
                <w:sz w:val="18"/>
                <w:szCs w:val="18"/>
              </w:rPr>
            </w:pPr>
            <w:r w:rsidRPr="00DE189C">
              <w:rPr>
                <w:sz w:val="18"/>
                <w:szCs w:val="18"/>
              </w:rPr>
              <w:t xml:space="preserve">Liabilitas jangka panjang -setelah dikurangi bagian jatuh tempo dalam 1 tahun: </w:t>
            </w:r>
          </w:p>
        </w:tc>
        <w:tc>
          <w:tcPr>
            <w:tcW w:w="125" w:type="dxa"/>
            <w:tcMar>
              <w:left w:w="28" w:type="dxa"/>
              <w:right w:w="28" w:type="dxa"/>
            </w:tcMar>
            <w:vAlign w:val="bottom"/>
          </w:tcPr>
          <w:p w14:paraId="2A2AB1A0" w14:textId="77777777" w:rsidR="00F84E7F" w:rsidRPr="00DE189C" w:rsidRDefault="00F84E7F" w:rsidP="00F84E7F">
            <w:pPr>
              <w:jc w:val="center"/>
              <w:rPr>
                <w:sz w:val="18"/>
                <w:szCs w:val="18"/>
              </w:rPr>
            </w:pPr>
          </w:p>
        </w:tc>
        <w:tc>
          <w:tcPr>
            <w:tcW w:w="1681" w:type="dxa"/>
            <w:tcMar>
              <w:left w:w="28" w:type="dxa"/>
              <w:right w:w="28" w:type="dxa"/>
            </w:tcMar>
            <w:vAlign w:val="bottom"/>
          </w:tcPr>
          <w:p w14:paraId="42ED083D"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1A61E015"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37DE49E4" w14:textId="77777777" w:rsidR="00F84E7F" w:rsidRPr="00DA78F1" w:rsidRDefault="00F84E7F" w:rsidP="00F84E7F">
            <w:pPr>
              <w:ind w:left="-76" w:right="28"/>
              <w:jc w:val="right"/>
              <w:rPr>
                <w:sz w:val="18"/>
                <w:szCs w:val="18"/>
              </w:rPr>
            </w:pPr>
          </w:p>
        </w:tc>
        <w:tc>
          <w:tcPr>
            <w:tcW w:w="123" w:type="dxa"/>
            <w:vAlign w:val="bottom"/>
          </w:tcPr>
          <w:p w14:paraId="65C57582" w14:textId="77777777" w:rsidR="00F84E7F" w:rsidRPr="00DE189C" w:rsidRDefault="00F84E7F" w:rsidP="00F84E7F">
            <w:pPr>
              <w:ind w:right="144"/>
              <w:jc w:val="right"/>
              <w:rPr>
                <w:i/>
                <w:sz w:val="18"/>
                <w:szCs w:val="18"/>
              </w:rPr>
            </w:pPr>
          </w:p>
        </w:tc>
        <w:tc>
          <w:tcPr>
            <w:tcW w:w="2733" w:type="dxa"/>
          </w:tcPr>
          <w:p w14:paraId="6339F994" w14:textId="77777777" w:rsidR="00F84E7F" w:rsidRPr="00DE189C" w:rsidRDefault="00F84E7F" w:rsidP="00F84E7F">
            <w:pPr>
              <w:ind w:right="98"/>
              <w:jc w:val="right"/>
              <w:rPr>
                <w:i/>
                <w:sz w:val="18"/>
                <w:szCs w:val="18"/>
              </w:rPr>
            </w:pPr>
            <w:r w:rsidRPr="00DE189C">
              <w:rPr>
                <w:i/>
                <w:sz w:val="18"/>
                <w:szCs w:val="18"/>
              </w:rPr>
              <w:t>Long term loans - net of</w:t>
            </w:r>
          </w:p>
          <w:p w14:paraId="42289E8C" w14:textId="77777777" w:rsidR="00F84E7F" w:rsidRPr="00DE189C" w:rsidRDefault="00F84E7F" w:rsidP="00F84E7F">
            <w:pPr>
              <w:ind w:right="178"/>
              <w:jc w:val="right"/>
              <w:rPr>
                <w:i/>
                <w:sz w:val="18"/>
                <w:szCs w:val="18"/>
              </w:rPr>
            </w:pPr>
            <w:r w:rsidRPr="00DE189C">
              <w:rPr>
                <w:i/>
                <w:sz w:val="18"/>
                <w:szCs w:val="18"/>
              </w:rPr>
              <w:t>current portion:</w:t>
            </w:r>
          </w:p>
        </w:tc>
      </w:tr>
      <w:tr w:rsidR="00F84E7F" w:rsidRPr="00DE189C" w14:paraId="45C1ADA8" w14:textId="77777777" w:rsidTr="005B669E">
        <w:trPr>
          <w:trHeight w:val="20"/>
        </w:trPr>
        <w:tc>
          <w:tcPr>
            <w:tcW w:w="2733" w:type="dxa"/>
            <w:vAlign w:val="bottom"/>
          </w:tcPr>
          <w:p w14:paraId="4CDB320B" w14:textId="77777777" w:rsidR="00F84E7F" w:rsidRPr="00DE189C" w:rsidRDefault="00F84E7F" w:rsidP="00F84E7F">
            <w:pPr>
              <w:ind w:left="284"/>
              <w:rPr>
                <w:sz w:val="18"/>
                <w:szCs w:val="18"/>
              </w:rPr>
            </w:pPr>
            <w:r w:rsidRPr="00DE189C">
              <w:rPr>
                <w:sz w:val="18"/>
                <w:szCs w:val="18"/>
              </w:rPr>
              <w:t>Utang bank</w:t>
            </w:r>
          </w:p>
        </w:tc>
        <w:tc>
          <w:tcPr>
            <w:tcW w:w="125" w:type="dxa"/>
            <w:tcMar>
              <w:left w:w="28" w:type="dxa"/>
              <w:right w:w="28" w:type="dxa"/>
            </w:tcMar>
            <w:vAlign w:val="bottom"/>
          </w:tcPr>
          <w:p w14:paraId="01A7891F" w14:textId="77777777" w:rsidR="00F84E7F" w:rsidRPr="00DE189C" w:rsidRDefault="00F84E7F" w:rsidP="00F84E7F">
            <w:pPr>
              <w:jc w:val="center"/>
              <w:rPr>
                <w:sz w:val="18"/>
                <w:szCs w:val="18"/>
              </w:rPr>
            </w:pPr>
          </w:p>
        </w:tc>
        <w:tc>
          <w:tcPr>
            <w:tcW w:w="1681" w:type="dxa"/>
            <w:tcMar>
              <w:left w:w="28" w:type="dxa"/>
              <w:right w:w="28" w:type="dxa"/>
            </w:tcMar>
            <w:vAlign w:val="bottom"/>
          </w:tcPr>
          <w:p w14:paraId="1344295B"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38F3394A"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65E997D2" w14:textId="77777777" w:rsidR="00F84E7F" w:rsidRPr="00DA78F1" w:rsidRDefault="00F84E7F" w:rsidP="00F84E7F">
            <w:pPr>
              <w:ind w:left="-76" w:right="28"/>
              <w:jc w:val="right"/>
              <w:rPr>
                <w:sz w:val="18"/>
                <w:szCs w:val="18"/>
                <w:lang w:val="id-ID"/>
              </w:rPr>
            </w:pPr>
          </w:p>
        </w:tc>
        <w:tc>
          <w:tcPr>
            <w:tcW w:w="123" w:type="dxa"/>
            <w:vAlign w:val="bottom"/>
          </w:tcPr>
          <w:p w14:paraId="4D7243D5" w14:textId="77777777" w:rsidR="00F84E7F" w:rsidRPr="00DE189C" w:rsidRDefault="00F84E7F" w:rsidP="00F84E7F">
            <w:pPr>
              <w:ind w:right="144"/>
              <w:jc w:val="right"/>
              <w:rPr>
                <w:i/>
                <w:sz w:val="18"/>
                <w:szCs w:val="18"/>
              </w:rPr>
            </w:pPr>
          </w:p>
        </w:tc>
        <w:tc>
          <w:tcPr>
            <w:tcW w:w="2733" w:type="dxa"/>
            <w:vAlign w:val="bottom"/>
          </w:tcPr>
          <w:p w14:paraId="33A1157A" w14:textId="77777777" w:rsidR="00F84E7F" w:rsidRPr="00DE189C" w:rsidRDefault="00F84E7F" w:rsidP="00F84E7F">
            <w:pPr>
              <w:tabs>
                <w:tab w:val="left" w:pos="1846"/>
              </w:tabs>
              <w:ind w:right="170"/>
              <w:jc w:val="right"/>
              <w:rPr>
                <w:i/>
                <w:sz w:val="18"/>
                <w:szCs w:val="18"/>
              </w:rPr>
            </w:pPr>
            <w:r w:rsidRPr="00DE189C">
              <w:rPr>
                <w:i/>
                <w:sz w:val="18"/>
                <w:szCs w:val="18"/>
              </w:rPr>
              <w:t>Bank loan</w:t>
            </w:r>
          </w:p>
        </w:tc>
      </w:tr>
      <w:tr w:rsidR="00F84E7F" w:rsidRPr="00DE189C" w14:paraId="79C50CD3" w14:textId="77777777" w:rsidTr="005B669E">
        <w:trPr>
          <w:trHeight w:val="20"/>
        </w:trPr>
        <w:tc>
          <w:tcPr>
            <w:tcW w:w="2733" w:type="dxa"/>
            <w:vAlign w:val="bottom"/>
          </w:tcPr>
          <w:p w14:paraId="322FD2AF" w14:textId="77777777" w:rsidR="00F84E7F" w:rsidRPr="00DE189C" w:rsidRDefault="00F84E7F" w:rsidP="00F84E7F">
            <w:pPr>
              <w:ind w:left="397"/>
              <w:rPr>
                <w:sz w:val="18"/>
                <w:szCs w:val="18"/>
              </w:rPr>
            </w:pPr>
            <w:r w:rsidRPr="00DE189C">
              <w:rPr>
                <w:sz w:val="18"/>
                <w:szCs w:val="18"/>
              </w:rPr>
              <w:t>Pihak berelasi</w:t>
            </w:r>
          </w:p>
        </w:tc>
        <w:tc>
          <w:tcPr>
            <w:tcW w:w="125" w:type="dxa"/>
            <w:tcMar>
              <w:left w:w="28" w:type="dxa"/>
              <w:right w:w="28" w:type="dxa"/>
            </w:tcMar>
            <w:vAlign w:val="bottom"/>
          </w:tcPr>
          <w:p w14:paraId="6C58AF57" w14:textId="77777777" w:rsidR="00F84E7F" w:rsidRPr="00DE189C" w:rsidRDefault="00F84E7F" w:rsidP="00F84E7F">
            <w:pPr>
              <w:jc w:val="center"/>
              <w:rPr>
                <w:sz w:val="18"/>
                <w:szCs w:val="18"/>
              </w:rPr>
            </w:pPr>
          </w:p>
        </w:tc>
        <w:tc>
          <w:tcPr>
            <w:tcW w:w="1681" w:type="dxa"/>
            <w:tcMar>
              <w:left w:w="28" w:type="dxa"/>
              <w:right w:w="28" w:type="dxa"/>
            </w:tcMar>
            <w:vAlign w:val="bottom"/>
          </w:tcPr>
          <w:p w14:paraId="214B9BB0" w14:textId="3E4B49B1" w:rsidR="00F84E7F" w:rsidRPr="00DA78F1" w:rsidRDefault="00894135" w:rsidP="00F84E7F">
            <w:pPr>
              <w:ind w:left="-76" w:right="28"/>
              <w:jc w:val="right"/>
              <w:rPr>
                <w:sz w:val="18"/>
                <w:szCs w:val="18"/>
                <w:lang w:val="id-ID"/>
              </w:rPr>
            </w:pPr>
            <w:r w:rsidRPr="00894135">
              <w:rPr>
                <w:sz w:val="18"/>
                <w:szCs w:val="18"/>
                <w:lang w:val="id-ID"/>
              </w:rPr>
              <w:t>48</w:t>
            </w:r>
            <w:r w:rsidR="00400FA1">
              <w:rPr>
                <w:sz w:val="18"/>
                <w:szCs w:val="18"/>
                <w:lang w:val="id-ID"/>
              </w:rPr>
              <w:t>.</w:t>
            </w:r>
            <w:r w:rsidRPr="00894135">
              <w:rPr>
                <w:sz w:val="18"/>
                <w:szCs w:val="18"/>
                <w:lang w:val="id-ID"/>
              </w:rPr>
              <w:t>664</w:t>
            </w:r>
            <w:r w:rsidR="00400FA1">
              <w:rPr>
                <w:sz w:val="18"/>
                <w:szCs w:val="18"/>
                <w:lang w:val="id-ID"/>
              </w:rPr>
              <w:t>.</w:t>
            </w:r>
            <w:r w:rsidRPr="00894135">
              <w:rPr>
                <w:sz w:val="18"/>
                <w:szCs w:val="18"/>
                <w:lang w:val="id-ID"/>
              </w:rPr>
              <w:t>153</w:t>
            </w:r>
            <w:r w:rsidR="00400FA1">
              <w:rPr>
                <w:sz w:val="18"/>
                <w:szCs w:val="18"/>
                <w:lang w:val="id-ID"/>
              </w:rPr>
              <w:t>.</w:t>
            </w:r>
            <w:r w:rsidRPr="00894135">
              <w:rPr>
                <w:sz w:val="18"/>
                <w:szCs w:val="18"/>
                <w:lang w:val="id-ID"/>
              </w:rPr>
              <w:t>860</w:t>
            </w:r>
          </w:p>
        </w:tc>
        <w:tc>
          <w:tcPr>
            <w:tcW w:w="124" w:type="dxa"/>
            <w:tcMar>
              <w:left w:w="28" w:type="dxa"/>
              <w:right w:w="28" w:type="dxa"/>
            </w:tcMar>
            <w:vAlign w:val="bottom"/>
          </w:tcPr>
          <w:p w14:paraId="6CA064CF"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60484A0A" w14:textId="5BE8E744" w:rsidR="00F84E7F" w:rsidRPr="00DA78F1" w:rsidRDefault="00F84E7F" w:rsidP="00F84E7F">
            <w:pPr>
              <w:ind w:left="-76" w:right="28"/>
              <w:jc w:val="right"/>
              <w:rPr>
                <w:sz w:val="18"/>
                <w:szCs w:val="18"/>
              </w:rPr>
            </w:pPr>
            <w:r w:rsidRPr="00DA78F1">
              <w:rPr>
                <w:sz w:val="18"/>
                <w:szCs w:val="18"/>
                <w:lang w:val="id-ID"/>
              </w:rPr>
              <w:t>51.879.793.470</w:t>
            </w:r>
          </w:p>
        </w:tc>
        <w:tc>
          <w:tcPr>
            <w:tcW w:w="123" w:type="dxa"/>
            <w:vAlign w:val="bottom"/>
          </w:tcPr>
          <w:p w14:paraId="504D50C0" w14:textId="77777777" w:rsidR="00F84E7F" w:rsidRPr="00DE189C" w:rsidRDefault="00F84E7F" w:rsidP="00F84E7F">
            <w:pPr>
              <w:ind w:right="144"/>
              <w:jc w:val="right"/>
              <w:rPr>
                <w:i/>
                <w:sz w:val="18"/>
                <w:szCs w:val="18"/>
              </w:rPr>
            </w:pPr>
          </w:p>
        </w:tc>
        <w:tc>
          <w:tcPr>
            <w:tcW w:w="2733" w:type="dxa"/>
            <w:vAlign w:val="bottom"/>
          </w:tcPr>
          <w:p w14:paraId="411FBDE7" w14:textId="77777777" w:rsidR="00F84E7F" w:rsidRPr="00DE189C" w:rsidRDefault="00F84E7F" w:rsidP="00F84E7F">
            <w:pPr>
              <w:ind w:right="312"/>
              <w:jc w:val="right"/>
              <w:rPr>
                <w:i/>
                <w:sz w:val="18"/>
                <w:szCs w:val="18"/>
              </w:rPr>
            </w:pPr>
            <w:r w:rsidRPr="00DE189C">
              <w:rPr>
                <w:i/>
                <w:sz w:val="18"/>
                <w:szCs w:val="18"/>
              </w:rPr>
              <w:t>Related party</w:t>
            </w:r>
          </w:p>
        </w:tc>
      </w:tr>
      <w:tr w:rsidR="00F84E7F" w:rsidRPr="00DE189C" w14:paraId="039E7768" w14:textId="77777777" w:rsidTr="005B669E">
        <w:trPr>
          <w:trHeight w:val="20"/>
        </w:trPr>
        <w:tc>
          <w:tcPr>
            <w:tcW w:w="2733" w:type="dxa"/>
            <w:vAlign w:val="bottom"/>
          </w:tcPr>
          <w:p w14:paraId="1789E68D" w14:textId="61B9D5CE" w:rsidR="00F84E7F" w:rsidRPr="00DE189C" w:rsidRDefault="00F84E7F" w:rsidP="00F84E7F">
            <w:pPr>
              <w:ind w:left="284" w:right="99" w:hanging="126"/>
              <w:rPr>
                <w:sz w:val="18"/>
                <w:szCs w:val="18"/>
              </w:rPr>
            </w:pPr>
            <w:r w:rsidRPr="00DE189C">
              <w:rPr>
                <w:sz w:val="18"/>
                <w:szCs w:val="18"/>
              </w:rPr>
              <w:t xml:space="preserve">Liabilitas imbalan </w:t>
            </w:r>
            <w:r>
              <w:rPr>
                <w:sz w:val="18"/>
                <w:szCs w:val="18"/>
              </w:rPr>
              <w:br/>
            </w:r>
            <w:r w:rsidRPr="00DE189C">
              <w:rPr>
                <w:sz w:val="18"/>
                <w:szCs w:val="18"/>
              </w:rPr>
              <w:t>pas</w:t>
            </w:r>
            <w:r>
              <w:rPr>
                <w:sz w:val="18"/>
                <w:szCs w:val="18"/>
              </w:rPr>
              <w:t>k</w:t>
            </w:r>
            <w:r w:rsidRPr="00DE189C">
              <w:rPr>
                <w:sz w:val="18"/>
                <w:szCs w:val="18"/>
              </w:rPr>
              <w:t>a kerja</w:t>
            </w:r>
          </w:p>
        </w:tc>
        <w:tc>
          <w:tcPr>
            <w:tcW w:w="125" w:type="dxa"/>
            <w:tcMar>
              <w:left w:w="28" w:type="dxa"/>
              <w:right w:w="28" w:type="dxa"/>
            </w:tcMar>
            <w:vAlign w:val="bottom"/>
          </w:tcPr>
          <w:p w14:paraId="209252EE" w14:textId="77777777" w:rsidR="00F84E7F" w:rsidRPr="00DE189C" w:rsidRDefault="00F84E7F" w:rsidP="00F84E7F">
            <w:pPr>
              <w:jc w:val="center"/>
              <w:rPr>
                <w:sz w:val="18"/>
                <w:szCs w:val="18"/>
              </w:rPr>
            </w:pPr>
          </w:p>
        </w:tc>
        <w:tc>
          <w:tcPr>
            <w:tcW w:w="1681" w:type="dxa"/>
            <w:tcMar>
              <w:left w:w="28" w:type="dxa"/>
              <w:right w:w="28" w:type="dxa"/>
            </w:tcMar>
            <w:vAlign w:val="bottom"/>
          </w:tcPr>
          <w:p w14:paraId="28843B7F" w14:textId="2FA4E216" w:rsidR="00F84E7F" w:rsidRPr="008723B4" w:rsidRDefault="00FC2E4A" w:rsidP="00F84E7F">
            <w:pPr>
              <w:ind w:left="-76" w:right="28"/>
              <w:jc w:val="right"/>
              <w:rPr>
                <w:sz w:val="18"/>
                <w:szCs w:val="18"/>
              </w:rPr>
            </w:pPr>
            <w:r w:rsidRPr="008723B4">
              <w:rPr>
                <w:sz w:val="18"/>
                <w:szCs w:val="18"/>
              </w:rPr>
              <w:t>43.576.572.633</w:t>
            </w:r>
          </w:p>
        </w:tc>
        <w:tc>
          <w:tcPr>
            <w:tcW w:w="124" w:type="dxa"/>
            <w:tcMar>
              <w:left w:w="28" w:type="dxa"/>
              <w:right w:w="28" w:type="dxa"/>
            </w:tcMar>
            <w:vAlign w:val="bottom"/>
          </w:tcPr>
          <w:p w14:paraId="73EB321A"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20EE0DC7" w14:textId="52E62CDC" w:rsidR="00F84E7F" w:rsidRPr="00DA78F1" w:rsidRDefault="00F84E7F" w:rsidP="00F84E7F">
            <w:pPr>
              <w:ind w:left="-76" w:right="28"/>
              <w:jc w:val="right"/>
              <w:rPr>
                <w:sz w:val="18"/>
                <w:szCs w:val="18"/>
              </w:rPr>
            </w:pPr>
            <w:r w:rsidRPr="00DA78F1">
              <w:rPr>
                <w:sz w:val="18"/>
                <w:szCs w:val="18"/>
                <w:lang w:val="id-ID"/>
              </w:rPr>
              <w:t>42.762.331.340</w:t>
            </w:r>
          </w:p>
        </w:tc>
        <w:tc>
          <w:tcPr>
            <w:tcW w:w="123" w:type="dxa"/>
            <w:vAlign w:val="bottom"/>
          </w:tcPr>
          <w:p w14:paraId="6793485C" w14:textId="77777777" w:rsidR="00F84E7F" w:rsidRPr="00DE189C" w:rsidRDefault="00F84E7F" w:rsidP="00F84E7F">
            <w:pPr>
              <w:ind w:right="144"/>
              <w:jc w:val="right"/>
              <w:rPr>
                <w:i/>
                <w:sz w:val="18"/>
                <w:szCs w:val="18"/>
              </w:rPr>
            </w:pPr>
          </w:p>
        </w:tc>
        <w:tc>
          <w:tcPr>
            <w:tcW w:w="2733" w:type="dxa"/>
            <w:vAlign w:val="bottom"/>
          </w:tcPr>
          <w:p w14:paraId="184BCCB0" w14:textId="77777777" w:rsidR="00F84E7F" w:rsidRPr="00DE189C" w:rsidRDefault="00F84E7F" w:rsidP="00F84E7F">
            <w:pPr>
              <w:ind w:right="98"/>
              <w:jc w:val="right"/>
              <w:rPr>
                <w:i/>
                <w:sz w:val="18"/>
                <w:szCs w:val="18"/>
              </w:rPr>
            </w:pPr>
            <w:r w:rsidRPr="00DE189C">
              <w:rPr>
                <w:i/>
                <w:sz w:val="18"/>
                <w:szCs w:val="18"/>
              </w:rPr>
              <w:t xml:space="preserve">Post - employment benefit </w:t>
            </w:r>
          </w:p>
          <w:p w14:paraId="2EF8388E" w14:textId="77777777" w:rsidR="00F84E7F" w:rsidRPr="00DE189C" w:rsidRDefault="00F84E7F" w:rsidP="00F84E7F">
            <w:pPr>
              <w:ind w:right="178"/>
              <w:jc w:val="right"/>
              <w:rPr>
                <w:i/>
                <w:sz w:val="18"/>
                <w:szCs w:val="18"/>
              </w:rPr>
            </w:pPr>
            <w:r w:rsidRPr="00DE189C">
              <w:rPr>
                <w:i/>
                <w:sz w:val="18"/>
                <w:szCs w:val="18"/>
              </w:rPr>
              <w:t xml:space="preserve">liabilities </w:t>
            </w:r>
          </w:p>
        </w:tc>
      </w:tr>
      <w:tr w:rsidR="00F84E7F" w:rsidRPr="00DE189C" w14:paraId="3D528639" w14:textId="77777777" w:rsidTr="005B669E">
        <w:trPr>
          <w:trHeight w:val="20"/>
        </w:trPr>
        <w:tc>
          <w:tcPr>
            <w:tcW w:w="2733" w:type="dxa"/>
            <w:vAlign w:val="bottom"/>
          </w:tcPr>
          <w:p w14:paraId="71577FC2" w14:textId="77777777" w:rsidR="00F84E7F" w:rsidRPr="00DE189C" w:rsidRDefault="00F84E7F" w:rsidP="00F84E7F">
            <w:pPr>
              <w:ind w:left="284" w:right="99" w:hanging="142"/>
              <w:rPr>
                <w:sz w:val="18"/>
                <w:szCs w:val="18"/>
              </w:rPr>
            </w:pPr>
          </w:p>
        </w:tc>
        <w:tc>
          <w:tcPr>
            <w:tcW w:w="125" w:type="dxa"/>
            <w:tcMar>
              <w:left w:w="28" w:type="dxa"/>
              <w:right w:w="28" w:type="dxa"/>
            </w:tcMar>
            <w:vAlign w:val="bottom"/>
          </w:tcPr>
          <w:p w14:paraId="40BF5477" w14:textId="77777777" w:rsidR="00F84E7F" w:rsidRPr="00DE189C" w:rsidRDefault="00F84E7F" w:rsidP="00F84E7F">
            <w:pPr>
              <w:jc w:val="center"/>
              <w:rPr>
                <w:sz w:val="18"/>
                <w:szCs w:val="18"/>
              </w:rPr>
            </w:pPr>
          </w:p>
        </w:tc>
        <w:tc>
          <w:tcPr>
            <w:tcW w:w="1681" w:type="dxa"/>
            <w:tcBorders>
              <w:top w:val="single" w:sz="4" w:space="0" w:color="auto"/>
            </w:tcBorders>
            <w:tcMar>
              <w:left w:w="28" w:type="dxa"/>
              <w:right w:w="28" w:type="dxa"/>
            </w:tcMar>
            <w:vAlign w:val="bottom"/>
          </w:tcPr>
          <w:p w14:paraId="0718303A" w14:textId="77777777" w:rsidR="00F84E7F" w:rsidRPr="008723B4" w:rsidRDefault="00F84E7F" w:rsidP="00F84E7F">
            <w:pPr>
              <w:ind w:left="-76" w:right="28"/>
              <w:jc w:val="right"/>
              <w:rPr>
                <w:sz w:val="18"/>
                <w:szCs w:val="18"/>
                <w:lang w:val="id-ID"/>
              </w:rPr>
            </w:pPr>
          </w:p>
        </w:tc>
        <w:tc>
          <w:tcPr>
            <w:tcW w:w="124" w:type="dxa"/>
            <w:tcMar>
              <w:left w:w="28" w:type="dxa"/>
              <w:right w:w="28" w:type="dxa"/>
            </w:tcMar>
            <w:vAlign w:val="bottom"/>
          </w:tcPr>
          <w:p w14:paraId="45FED020" w14:textId="77777777" w:rsidR="00F84E7F" w:rsidRPr="00DA78F1" w:rsidRDefault="00F84E7F" w:rsidP="00F84E7F">
            <w:pPr>
              <w:ind w:left="-76" w:right="28"/>
              <w:jc w:val="right"/>
              <w:rPr>
                <w:sz w:val="18"/>
                <w:szCs w:val="18"/>
              </w:rPr>
            </w:pPr>
          </w:p>
        </w:tc>
        <w:tc>
          <w:tcPr>
            <w:tcW w:w="1678" w:type="dxa"/>
            <w:tcBorders>
              <w:top w:val="single" w:sz="4" w:space="0" w:color="auto"/>
            </w:tcBorders>
            <w:tcMar>
              <w:left w:w="28" w:type="dxa"/>
              <w:right w:w="28" w:type="dxa"/>
            </w:tcMar>
            <w:vAlign w:val="bottom"/>
          </w:tcPr>
          <w:p w14:paraId="5B833829" w14:textId="77777777" w:rsidR="00F84E7F" w:rsidRPr="00DA78F1" w:rsidRDefault="00F84E7F" w:rsidP="00F84E7F">
            <w:pPr>
              <w:ind w:left="-76" w:right="28"/>
              <w:jc w:val="right"/>
              <w:rPr>
                <w:sz w:val="18"/>
                <w:szCs w:val="18"/>
              </w:rPr>
            </w:pPr>
          </w:p>
        </w:tc>
        <w:tc>
          <w:tcPr>
            <w:tcW w:w="123" w:type="dxa"/>
            <w:vAlign w:val="bottom"/>
          </w:tcPr>
          <w:p w14:paraId="540E633F" w14:textId="77777777" w:rsidR="00F84E7F" w:rsidRPr="00DE189C" w:rsidRDefault="00F84E7F" w:rsidP="00F84E7F">
            <w:pPr>
              <w:ind w:right="144"/>
              <w:jc w:val="right"/>
              <w:rPr>
                <w:i/>
                <w:sz w:val="18"/>
                <w:szCs w:val="18"/>
              </w:rPr>
            </w:pPr>
          </w:p>
        </w:tc>
        <w:tc>
          <w:tcPr>
            <w:tcW w:w="2733" w:type="dxa"/>
            <w:vAlign w:val="bottom"/>
          </w:tcPr>
          <w:p w14:paraId="4702465F" w14:textId="77777777" w:rsidR="00F84E7F" w:rsidRPr="00DE189C" w:rsidRDefault="00F84E7F" w:rsidP="00F84E7F">
            <w:pPr>
              <w:ind w:right="98"/>
              <w:jc w:val="right"/>
              <w:rPr>
                <w:i/>
                <w:sz w:val="18"/>
                <w:szCs w:val="18"/>
              </w:rPr>
            </w:pPr>
          </w:p>
        </w:tc>
      </w:tr>
      <w:tr w:rsidR="00F84E7F" w:rsidRPr="00DE189C" w14:paraId="482C334A" w14:textId="77777777" w:rsidTr="005B669E">
        <w:trPr>
          <w:trHeight w:val="20"/>
        </w:trPr>
        <w:tc>
          <w:tcPr>
            <w:tcW w:w="2733" w:type="dxa"/>
            <w:vAlign w:val="bottom"/>
          </w:tcPr>
          <w:p w14:paraId="21F41F23" w14:textId="77777777" w:rsidR="00F84E7F" w:rsidRPr="00DE189C" w:rsidRDefault="00F84E7F" w:rsidP="00F84E7F">
            <w:pPr>
              <w:ind w:left="284" w:right="99" w:hanging="142"/>
              <w:rPr>
                <w:b/>
                <w:sz w:val="18"/>
                <w:szCs w:val="18"/>
              </w:rPr>
            </w:pPr>
            <w:r w:rsidRPr="00DE189C">
              <w:rPr>
                <w:b/>
                <w:sz w:val="18"/>
                <w:szCs w:val="18"/>
              </w:rPr>
              <w:t>Jumlah Liabilitas Jangka Panjang</w:t>
            </w:r>
          </w:p>
        </w:tc>
        <w:tc>
          <w:tcPr>
            <w:tcW w:w="125" w:type="dxa"/>
            <w:tcMar>
              <w:left w:w="28" w:type="dxa"/>
              <w:right w:w="28" w:type="dxa"/>
            </w:tcMar>
            <w:vAlign w:val="bottom"/>
          </w:tcPr>
          <w:p w14:paraId="31E79A67" w14:textId="77777777" w:rsidR="00F84E7F" w:rsidRPr="00DE189C" w:rsidRDefault="00F84E7F" w:rsidP="00F84E7F">
            <w:pPr>
              <w:jc w:val="center"/>
              <w:rPr>
                <w:b/>
                <w:sz w:val="18"/>
                <w:szCs w:val="18"/>
              </w:rPr>
            </w:pPr>
          </w:p>
        </w:tc>
        <w:tc>
          <w:tcPr>
            <w:tcW w:w="1681" w:type="dxa"/>
            <w:tcBorders>
              <w:bottom w:val="single" w:sz="4" w:space="0" w:color="auto"/>
            </w:tcBorders>
            <w:tcMar>
              <w:left w:w="28" w:type="dxa"/>
              <w:right w:w="28" w:type="dxa"/>
            </w:tcMar>
            <w:vAlign w:val="bottom"/>
          </w:tcPr>
          <w:p w14:paraId="1D1B1CFD" w14:textId="6204D048" w:rsidR="00F84E7F" w:rsidRPr="008723B4" w:rsidRDefault="001B120D" w:rsidP="00FC2E4A">
            <w:pPr>
              <w:ind w:left="-76" w:right="28"/>
              <w:jc w:val="right"/>
              <w:rPr>
                <w:b/>
                <w:sz w:val="18"/>
                <w:szCs w:val="18"/>
              </w:rPr>
            </w:pPr>
            <w:r w:rsidRPr="008723B4">
              <w:rPr>
                <w:b/>
                <w:sz w:val="18"/>
                <w:szCs w:val="18"/>
              </w:rPr>
              <w:t>9</w:t>
            </w:r>
            <w:r w:rsidR="00FC2E4A" w:rsidRPr="008723B4">
              <w:rPr>
                <w:b/>
                <w:sz w:val="18"/>
                <w:szCs w:val="18"/>
              </w:rPr>
              <w:t>2.240.726.493</w:t>
            </w:r>
          </w:p>
        </w:tc>
        <w:tc>
          <w:tcPr>
            <w:tcW w:w="124" w:type="dxa"/>
            <w:tcMar>
              <w:left w:w="28" w:type="dxa"/>
              <w:right w:w="28" w:type="dxa"/>
            </w:tcMar>
            <w:vAlign w:val="bottom"/>
          </w:tcPr>
          <w:p w14:paraId="3433D8E6" w14:textId="77777777" w:rsidR="00F84E7F" w:rsidRPr="00DA78F1" w:rsidRDefault="00F84E7F" w:rsidP="00F84E7F">
            <w:pPr>
              <w:ind w:left="-76" w:right="28"/>
              <w:jc w:val="right"/>
              <w:rPr>
                <w:b/>
                <w:sz w:val="18"/>
                <w:szCs w:val="18"/>
              </w:rPr>
            </w:pPr>
          </w:p>
        </w:tc>
        <w:tc>
          <w:tcPr>
            <w:tcW w:w="1678" w:type="dxa"/>
            <w:tcBorders>
              <w:bottom w:val="single" w:sz="4" w:space="0" w:color="auto"/>
            </w:tcBorders>
            <w:tcMar>
              <w:left w:w="28" w:type="dxa"/>
              <w:right w:w="28" w:type="dxa"/>
            </w:tcMar>
            <w:vAlign w:val="bottom"/>
          </w:tcPr>
          <w:p w14:paraId="4414B1DE" w14:textId="1F65D665" w:rsidR="00F84E7F" w:rsidRPr="00DA78F1" w:rsidRDefault="00F84E7F" w:rsidP="00F84E7F">
            <w:pPr>
              <w:ind w:left="-76" w:right="28"/>
              <w:jc w:val="right"/>
              <w:rPr>
                <w:b/>
                <w:sz w:val="18"/>
                <w:szCs w:val="18"/>
              </w:rPr>
            </w:pPr>
            <w:r w:rsidRPr="00DA78F1">
              <w:rPr>
                <w:b/>
                <w:sz w:val="18"/>
                <w:szCs w:val="18"/>
                <w:lang w:val="id-ID"/>
              </w:rPr>
              <w:t>94.642.124.810</w:t>
            </w:r>
          </w:p>
        </w:tc>
        <w:tc>
          <w:tcPr>
            <w:tcW w:w="123" w:type="dxa"/>
            <w:vAlign w:val="bottom"/>
          </w:tcPr>
          <w:p w14:paraId="68F861F8" w14:textId="77777777" w:rsidR="00F84E7F" w:rsidRPr="00DE189C" w:rsidRDefault="00F84E7F" w:rsidP="00F84E7F">
            <w:pPr>
              <w:ind w:right="144"/>
              <w:jc w:val="right"/>
              <w:rPr>
                <w:b/>
                <w:i/>
                <w:sz w:val="18"/>
                <w:szCs w:val="18"/>
              </w:rPr>
            </w:pPr>
          </w:p>
        </w:tc>
        <w:tc>
          <w:tcPr>
            <w:tcW w:w="2733" w:type="dxa"/>
            <w:vAlign w:val="bottom"/>
          </w:tcPr>
          <w:p w14:paraId="1BD35C82" w14:textId="77777777" w:rsidR="00F84E7F" w:rsidRPr="00DE189C" w:rsidRDefault="00F84E7F" w:rsidP="00F84E7F">
            <w:pPr>
              <w:ind w:right="98"/>
              <w:jc w:val="right"/>
              <w:rPr>
                <w:b/>
                <w:i/>
                <w:sz w:val="18"/>
                <w:szCs w:val="18"/>
              </w:rPr>
            </w:pPr>
            <w:r w:rsidRPr="00DE189C">
              <w:rPr>
                <w:b/>
                <w:i/>
                <w:sz w:val="18"/>
                <w:szCs w:val="18"/>
              </w:rPr>
              <w:t>Total</w:t>
            </w:r>
            <w:r>
              <w:rPr>
                <w:b/>
                <w:i/>
                <w:sz w:val="18"/>
                <w:szCs w:val="18"/>
              </w:rPr>
              <w:t xml:space="preserve"> </w:t>
            </w:r>
            <w:r w:rsidRPr="00DE189C">
              <w:rPr>
                <w:b/>
                <w:i/>
                <w:sz w:val="18"/>
                <w:szCs w:val="18"/>
              </w:rPr>
              <w:t>Non</w:t>
            </w:r>
            <w:r>
              <w:rPr>
                <w:b/>
                <w:i/>
                <w:sz w:val="18"/>
                <w:szCs w:val="18"/>
              </w:rPr>
              <w:t xml:space="preserve"> </w:t>
            </w:r>
            <w:r w:rsidRPr="00DE189C">
              <w:rPr>
                <w:b/>
                <w:i/>
                <w:sz w:val="18"/>
                <w:szCs w:val="18"/>
              </w:rPr>
              <w:t xml:space="preserve">Current </w:t>
            </w:r>
          </w:p>
          <w:p w14:paraId="1690B2E8" w14:textId="77777777" w:rsidR="00F84E7F" w:rsidRPr="00DE189C" w:rsidRDefault="00F84E7F" w:rsidP="00F84E7F">
            <w:pPr>
              <w:ind w:right="240"/>
              <w:jc w:val="right"/>
              <w:rPr>
                <w:b/>
                <w:i/>
                <w:sz w:val="18"/>
                <w:szCs w:val="18"/>
              </w:rPr>
            </w:pPr>
            <w:r w:rsidRPr="00DE189C">
              <w:rPr>
                <w:b/>
                <w:i/>
                <w:sz w:val="18"/>
                <w:szCs w:val="18"/>
              </w:rPr>
              <w:t>Liabilities</w:t>
            </w:r>
          </w:p>
        </w:tc>
      </w:tr>
      <w:tr w:rsidR="00F84E7F" w:rsidRPr="00DE189C" w14:paraId="6C39B4C9" w14:textId="77777777" w:rsidTr="005B669E">
        <w:trPr>
          <w:trHeight w:val="20"/>
        </w:trPr>
        <w:tc>
          <w:tcPr>
            <w:tcW w:w="2733" w:type="dxa"/>
            <w:vAlign w:val="bottom"/>
          </w:tcPr>
          <w:p w14:paraId="62B882E2" w14:textId="77777777" w:rsidR="00F84E7F" w:rsidRPr="00DE189C" w:rsidRDefault="00F84E7F" w:rsidP="00F84E7F">
            <w:pPr>
              <w:ind w:left="284" w:right="99" w:hanging="142"/>
              <w:rPr>
                <w:b/>
                <w:sz w:val="6"/>
                <w:szCs w:val="18"/>
              </w:rPr>
            </w:pPr>
          </w:p>
        </w:tc>
        <w:tc>
          <w:tcPr>
            <w:tcW w:w="125" w:type="dxa"/>
            <w:tcMar>
              <w:left w:w="28" w:type="dxa"/>
              <w:right w:w="28" w:type="dxa"/>
            </w:tcMar>
            <w:vAlign w:val="bottom"/>
          </w:tcPr>
          <w:p w14:paraId="2635C86D" w14:textId="77777777" w:rsidR="00F84E7F" w:rsidRPr="00DE189C" w:rsidRDefault="00F84E7F" w:rsidP="00F84E7F">
            <w:pPr>
              <w:jc w:val="center"/>
              <w:rPr>
                <w:b/>
                <w:sz w:val="6"/>
                <w:szCs w:val="18"/>
              </w:rPr>
            </w:pPr>
          </w:p>
        </w:tc>
        <w:tc>
          <w:tcPr>
            <w:tcW w:w="1681" w:type="dxa"/>
            <w:tcBorders>
              <w:top w:val="single" w:sz="4" w:space="0" w:color="auto"/>
            </w:tcBorders>
            <w:tcMar>
              <w:left w:w="28" w:type="dxa"/>
              <w:right w:w="28" w:type="dxa"/>
            </w:tcMar>
            <w:vAlign w:val="bottom"/>
          </w:tcPr>
          <w:p w14:paraId="7856D5B6" w14:textId="77777777" w:rsidR="00F84E7F" w:rsidRPr="008723B4" w:rsidRDefault="00F84E7F" w:rsidP="00F84E7F">
            <w:pPr>
              <w:ind w:left="-76" w:right="28"/>
              <w:jc w:val="right"/>
              <w:rPr>
                <w:b/>
                <w:sz w:val="6"/>
                <w:szCs w:val="18"/>
                <w:lang w:val="id-ID"/>
              </w:rPr>
            </w:pPr>
          </w:p>
        </w:tc>
        <w:tc>
          <w:tcPr>
            <w:tcW w:w="124" w:type="dxa"/>
            <w:tcMar>
              <w:left w:w="28" w:type="dxa"/>
              <w:right w:w="28" w:type="dxa"/>
            </w:tcMar>
            <w:vAlign w:val="bottom"/>
          </w:tcPr>
          <w:p w14:paraId="36519856" w14:textId="77777777" w:rsidR="00F84E7F" w:rsidRPr="00DA78F1" w:rsidRDefault="00F84E7F" w:rsidP="00F84E7F">
            <w:pPr>
              <w:ind w:left="-76" w:right="28"/>
              <w:jc w:val="right"/>
              <w:rPr>
                <w:b/>
                <w:sz w:val="6"/>
                <w:szCs w:val="18"/>
              </w:rPr>
            </w:pPr>
          </w:p>
        </w:tc>
        <w:tc>
          <w:tcPr>
            <w:tcW w:w="1678" w:type="dxa"/>
            <w:tcBorders>
              <w:top w:val="single" w:sz="4" w:space="0" w:color="auto"/>
            </w:tcBorders>
            <w:tcMar>
              <w:left w:w="28" w:type="dxa"/>
              <w:right w:w="28" w:type="dxa"/>
            </w:tcMar>
            <w:vAlign w:val="bottom"/>
          </w:tcPr>
          <w:p w14:paraId="734DE066" w14:textId="77777777" w:rsidR="00F84E7F" w:rsidRPr="00DA78F1" w:rsidRDefault="00F84E7F" w:rsidP="00F84E7F">
            <w:pPr>
              <w:ind w:left="-76" w:right="28"/>
              <w:jc w:val="right"/>
              <w:rPr>
                <w:b/>
                <w:sz w:val="6"/>
                <w:szCs w:val="18"/>
              </w:rPr>
            </w:pPr>
          </w:p>
        </w:tc>
        <w:tc>
          <w:tcPr>
            <w:tcW w:w="123" w:type="dxa"/>
            <w:vAlign w:val="bottom"/>
          </w:tcPr>
          <w:p w14:paraId="0DA69C00" w14:textId="77777777" w:rsidR="00F84E7F" w:rsidRPr="00DE189C" w:rsidRDefault="00F84E7F" w:rsidP="00F84E7F">
            <w:pPr>
              <w:ind w:right="144"/>
              <w:jc w:val="right"/>
              <w:rPr>
                <w:i/>
                <w:sz w:val="6"/>
                <w:szCs w:val="18"/>
              </w:rPr>
            </w:pPr>
          </w:p>
        </w:tc>
        <w:tc>
          <w:tcPr>
            <w:tcW w:w="2733" w:type="dxa"/>
            <w:vAlign w:val="bottom"/>
          </w:tcPr>
          <w:p w14:paraId="4BBB51B0" w14:textId="77777777" w:rsidR="00F84E7F" w:rsidRPr="00DE189C" w:rsidRDefault="00F84E7F" w:rsidP="00F84E7F">
            <w:pPr>
              <w:ind w:right="98"/>
              <w:jc w:val="right"/>
              <w:rPr>
                <w:i/>
                <w:sz w:val="6"/>
                <w:szCs w:val="18"/>
              </w:rPr>
            </w:pPr>
          </w:p>
        </w:tc>
      </w:tr>
      <w:tr w:rsidR="00F84E7F" w:rsidRPr="00DE189C" w14:paraId="46AE2E54" w14:textId="77777777" w:rsidTr="005B669E">
        <w:trPr>
          <w:trHeight w:val="20"/>
        </w:trPr>
        <w:tc>
          <w:tcPr>
            <w:tcW w:w="2733" w:type="dxa"/>
            <w:vAlign w:val="bottom"/>
          </w:tcPr>
          <w:p w14:paraId="7CD979C7" w14:textId="77777777" w:rsidR="00F84E7F" w:rsidRPr="00DE189C" w:rsidRDefault="00F84E7F" w:rsidP="00F84E7F">
            <w:pPr>
              <w:ind w:left="284" w:right="99" w:hanging="142"/>
              <w:rPr>
                <w:b/>
                <w:sz w:val="18"/>
                <w:szCs w:val="18"/>
              </w:rPr>
            </w:pPr>
            <w:r w:rsidRPr="00DE189C">
              <w:rPr>
                <w:b/>
                <w:sz w:val="18"/>
                <w:szCs w:val="18"/>
              </w:rPr>
              <w:t>JUMLAH LIABILITAS</w:t>
            </w:r>
          </w:p>
        </w:tc>
        <w:tc>
          <w:tcPr>
            <w:tcW w:w="125" w:type="dxa"/>
            <w:tcMar>
              <w:left w:w="28" w:type="dxa"/>
              <w:right w:w="28" w:type="dxa"/>
            </w:tcMar>
            <w:vAlign w:val="bottom"/>
          </w:tcPr>
          <w:p w14:paraId="57A623ED" w14:textId="77777777" w:rsidR="00F84E7F" w:rsidRPr="00FC2E4A" w:rsidRDefault="00F84E7F" w:rsidP="00F84E7F">
            <w:pPr>
              <w:jc w:val="center"/>
              <w:rPr>
                <w:b/>
                <w:sz w:val="18"/>
                <w:szCs w:val="18"/>
                <w:highlight w:val="yellow"/>
              </w:rPr>
            </w:pPr>
          </w:p>
        </w:tc>
        <w:tc>
          <w:tcPr>
            <w:tcW w:w="1681" w:type="dxa"/>
            <w:tcBorders>
              <w:bottom w:val="single" w:sz="4" w:space="0" w:color="auto"/>
            </w:tcBorders>
            <w:tcMar>
              <w:left w:w="28" w:type="dxa"/>
              <w:right w:w="28" w:type="dxa"/>
            </w:tcMar>
            <w:vAlign w:val="bottom"/>
          </w:tcPr>
          <w:p w14:paraId="1BBD18D6" w14:textId="7F0D17FF" w:rsidR="00F84E7F" w:rsidRPr="008723B4" w:rsidRDefault="00496218" w:rsidP="00FC2E4A">
            <w:pPr>
              <w:ind w:left="-76" w:right="28"/>
              <w:jc w:val="right"/>
              <w:rPr>
                <w:b/>
                <w:sz w:val="18"/>
                <w:szCs w:val="18"/>
                <w:lang w:val="id-ID"/>
              </w:rPr>
            </w:pPr>
            <w:r w:rsidRPr="008723B4">
              <w:rPr>
                <w:b/>
                <w:sz w:val="18"/>
                <w:szCs w:val="18"/>
                <w:lang w:val="id-ID"/>
              </w:rPr>
              <w:t>1.202</w:t>
            </w:r>
            <w:r w:rsidRPr="008723B4">
              <w:rPr>
                <w:b/>
                <w:sz w:val="18"/>
                <w:szCs w:val="18"/>
              </w:rPr>
              <w:t>.</w:t>
            </w:r>
            <w:r w:rsidR="00B77D45" w:rsidRPr="008723B4">
              <w:rPr>
                <w:b/>
                <w:sz w:val="18"/>
                <w:szCs w:val="18"/>
                <w:lang w:val="id-ID"/>
              </w:rPr>
              <w:t>1</w:t>
            </w:r>
            <w:r w:rsidRPr="008723B4">
              <w:rPr>
                <w:b/>
                <w:sz w:val="18"/>
                <w:szCs w:val="18"/>
                <w:lang w:val="id-ID"/>
              </w:rPr>
              <w:t>61</w:t>
            </w:r>
            <w:r w:rsidR="00B77D45" w:rsidRPr="008723B4">
              <w:rPr>
                <w:b/>
                <w:sz w:val="18"/>
                <w:szCs w:val="18"/>
              </w:rPr>
              <w:t>.</w:t>
            </w:r>
            <w:r w:rsidR="00B77D45" w:rsidRPr="008723B4">
              <w:rPr>
                <w:b/>
                <w:sz w:val="18"/>
                <w:szCs w:val="18"/>
                <w:lang w:val="id-ID"/>
              </w:rPr>
              <w:t>8</w:t>
            </w:r>
            <w:r w:rsidR="00C211AE" w:rsidRPr="008723B4">
              <w:rPr>
                <w:b/>
                <w:sz w:val="18"/>
                <w:szCs w:val="18"/>
                <w:lang w:val="id-ID"/>
              </w:rPr>
              <w:t>35</w:t>
            </w:r>
            <w:r w:rsidR="00B77D45" w:rsidRPr="008723B4">
              <w:rPr>
                <w:b/>
                <w:sz w:val="18"/>
                <w:szCs w:val="18"/>
              </w:rPr>
              <w:t>.</w:t>
            </w:r>
            <w:r w:rsidR="00C211AE" w:rsidRPr="008723B4">
              <w:rPr>
                <w:b/>
                <w:sz w:val="18"/>
                <w:szCs w:val="18"/>
                <w:lang w:val="id-ID"/>
              </w:rPr>
              <w:t>109</w:t>
            </w:r>
          </w:p>
        </w:tc>
        <w:tc>
          <w:tcPr>
            <w:tcW w:w="124" w:type="dxa"/>
            <w:tcMar>
              <w:left w:w="28" w:type="dxa"/>
              <w:right w:w="28" w:type="dxa"/>
            </w:tcMar>
            <w:vAlign w:val="bottom"/>
          </w:tcPr>
          <w:p w14:paraId="406E8622" w14:textId="77777777" w:rsidR="00F84E7F" w:rsidRPr="00DA78F1" w:rsidRDefault="00F84E7F" w:rsidP="00F84E7F">
            <w:pPr>
              <w:ind w:left="-76" w:right="28"/>
              <w:jc w:val="right"/>
              <w:rPr>
                <w:b/>
                <w:sz w:val="18"/>
                <w:szCs w:val="18"/>
              </w:rPr>
            </w:pPr>
          </w:p>
        </w:tc>
        <w:tc>
          <w:tcPr>
            <w:tcW w:w="1678" w:type="dxa"/>
            <w:tcBorders>
              <w:bottom w:val="single" w:sz="4" w:space="0" w:color="auto"/>
            </w:tcBorders>
            <w:tcMar>
              <w:left w:w="28" w:type="dxa"/>
              <w:right w:w="28" w:type="dxa"/>
            </w:tcMar>
            <w:vAlign w:val="bottom"/>
          </w:tcPr>
          <w:p w14:paraId="6B1CAFA0" w14:textId="19C3DACF" w:rsidR="00F84E7F" w:rsidRPr="00DA78F1" w:rsidRDefault="00F84E7F" w:rsidP="00F84E7F">
            <w:pPr>
              <w:ind w:left="-76" w:right="28"/>
              <w:jc w:val="right"/>
              <w:rPr>
                <w:b/>
                <w:sz w:val="18"/>
                <w:szCs w:val="18"/>
              </w:rPr>
            </w:pPr>
            <w:r w:rsidRPr="00DA78F1">
              <w:rPr>
                <w:b/>
                <w:sz w:val="18"/>
                <w:szCs w:val="18"/>
              </w:rPr>
              <w:t>970.808.780.815</w:t>
            </w:r>
          </w:p>
        </w:tc>
        <w:tc>
          <w:tcPr>
            <w:tcW w:w="123" w:type="dxa"/>
            <w:vAlign w:val="bottom"/>
          </w:tcPr>
          <w:p w14:paraId="468A6ED5" w14:textId="77777777" w:rsidR="00F84E7F" w:rsidRPr="00DE189C" w:rsidRDefault="00F84E7F" w:rsidP="00F84E7F">
            <w:pPr>
              <w:ind w:right="144"/>
              <w:jc w:val="right"/>
              <w:rPr>
                <w:b/>
                <w:i/>
                <w:sz w:val="18"/>
                <w:szCs w:val="18"/>
              </w:rPr>
            </w:pPr>
          </w:p>
        </w:tc>
        <w:tc>
          <w:tcPr>
            <w:tcW w:w="2733" w:type="dxa"/>
            <w:vAlign w:val="bottom"/>
          </w:tcPr>
          <w:p w14:paraId="47CAB5D3" w14:textId="77777777" w:rsidR="00F84E7F" w:rsidRPr="00DE189C" w:rsidRDefault="00F84E7F" w:rsidP="00F84E7F">
            <w:pPr>
              <w:ind w:right="98"/>
              <w:jc w:val="right"/>
              <w:rPr>
                <w:b/>
                <w:i/>
                <w:sz w:val="18"/>
                <w:szCs w:val="18"/>
              </w:rPr>
            </w:pPr>
            <w:r w:rsidRPr="00DE189C">
              <w:rPr>
                <w:b/>
                <w:i/>
                <w:sz w:val="18"/>
                <w:szCs w:val="18"/>
              </w:rPr>
              <w:t>TOTAL LIABILITIES</w:t>
            </w:r>
          </w:p>
        </w:tc>
      </w:tr>
      <w:tr w:rsidR="00F84E7F" w:rsidRPr="00DE189C" w14:paraId="1E98ABAE" w14:textId="77777777" w:rsidTr="005B669E">
        <w:trPr>
          <w:trHeight w:val="20"/>
        </w:trPr>
        <w:tc>
          <w:tcPr>
            <w:tcW w:w="2733" w:type="dxa"/>
            <w:vAlign w:val="bottom"/>
          </w:tcPr>
          <w:p w14:paraId="23341BB8" w14:textId="77777777" w:rsidR="00F84E7F" w:rsidRPr="00DE189C" w:rsidRDefault="00F84E7F" w:rsidP="00F84E7F">
            <w:pPr>
              <w:ind w:left="284" w:right="99" w:hanging="142"/>
              <w:rPr>
                <w:b/>
                <w:sz w:val="18"/>
                <w:szCs w:val="18"/>
              </w:rPr>
            </w:pPr>
          </w:p>
        </w:tc>
        <w:tc>
          <w:tcPr>
            <w:tcW w:w="125" w:type="dxa"/>
            <w:tcMar>
              <w:left w:w="28" w:type="dxa"/>
              <w:right w:w="28" w:type="dxa"/>
            </w:tcMar>
            <w:vAlign w:val="bottom"/>
          </w:tcPr>
          <w:p w14:paraId="50D59695" w14:textId="77777777" w:rsidR="00F84E7F" w:rsidRPr="00DE189C" w:rsidRDefault="00F84E7F" w:rsidP="00F84E7F">
            <w:pPr>
              <w:jc w:val="center"/>
              <w:rPr>
                <w:b/>
                <w:sz w:val="18"/>
                <w:szCs w:val="18"/>
              </w:rPr>
            </w:pPr>
          </w:p>
        </w:tc>
        <w:tc>
          <w:tcPr>
            <w:tcW w:w="1681" w:type="dxa"/>
            <w:tcBorders>
              <w:top w:val="single" w:sz="4" w:space="0" w:color="auto"/>
            </w:tcBorders>
            <w:tcMar>
              <w:left w:w="28" w:type="dxa"/>
              <w:right w:w="28" w:type="dxa"/>
            </w:tcMar>
            <w:vAlign w:val="bottom"/>
          </w:tcPr>
          <w:p w14:paraId="2CFEC598"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44EF2E89" w14:textId="77777777" w:rsidR="00F84E7F" w:rsidRPr="00DA78F1" w:rsidRDefault="00F84E7F" w:rsidP="00F84E7F">
            <w:pPr>
              <w:ind w:left="-76" w:right="28"/>
              <w:jc w:val="right"/>
              <w:rPr>
                <w:b/>
                <w:sz w:val="18"/>
                <w:szCs w:val="18"/>
              </w:rPr>
            </w:pPr>
          </w:p>
        </w:tc>
        <w:tc>
          <w:tcPr>
            <w:tcW w:w="1678" w:type="dxa"/>
            <w:tcBorders>
              <w:top w:val="single" w:sz="4" w:space="0" w:color="auto"/>
            </w:tcBorders>
            <w:tcMar>
              <w:left w:w="28" w:type="dxa"/>
              <w:right w:w="28" w:type="dxa"/>
            </w:tcMar>
            <w:vAlign w:val="bottom"/>
          </w:tcPr>
          <w:p w14:paraId="26D92134" w14:textId="77777777" w:rsidR="00F84E7F" w:rsidRPr="00DA78F1" w:rsidRDefault="00F84E7F" w:rsidP="00F84E7F">
            <w:pPr>
              <w:ind w:left="-76" w:right="74"/>
              <w:jc w:val="right"/>
              <w:rPr>
                <w:b/>
                <w:noProof/>
                <w:sz w:val="18"/>
                <w:szCs w:val="18"/>
                <w:lang w:val="id-ID"/>
              </w:rPr>
            </w:pPr>
          </w:p>
        </w:tc>
        <w:tc>
          <w:tcPr>
            <w:tcW w:w="123" w:type="dxa"/>
            <w:vAlign w:val="bottom"/>
          </w:tcPr>
          <w:p w14:paraId="72DB7CCA" w14:textId="77777777" w:rsidR="00F84E7F" w:rsidRPr="00DE189C" w:rsidRDefault="00F84E7F" w:rsidP="00F84E7F">
            <w:pPr>
              <w:ind w:right="144"/>
              <w:jc w:val="right"/>
              <w:rPr>
                <w:i/>
                <w:sz w:val="18"/>
                <w:szCs w:val="18"/>
              </w:rPr>
            </w:pPr>
          </w:p>
        </w:tc>
        <w:tc>
          <w:tcPr>
            <w:tcW w:w="2733" w:type="dxa"/>
            <w:vAlign w:val="bottom"/>
          </w:tcPr>
          <w:p w14:paraId="694F345C" w14:textId="77777777" w:rsidR="00F84E7F" w:rsidRPr="00DE189C" w:rsidRDefault="00F84E7F" w:rsidP="00F84E7F">
            <w:pPr>
              <w:ind w:right="98"/>
              <w:jc w:val="right"/>
              <w:rPr>
                <w:i/>
                <w:sz w:val="18"/>
                <w:szCs w:val="18"/>
              </w:rPr>
            </w:pPr>
          </w:p>
        </w:tc>
      </w:tr>
      <w:tr w:rsidR="00F84E7F" w:rsidRPr="00DE189C" w14:paraId="1A409A36" w14:textId="77777777" w:rsidTr="005B669E">
        <w:trPr>
          <w:trHeight w:val="20"/>
        </w:trPr>
        <w:tc>
          <w:tcPr>
            <w:tcW w:w="2733" w:type="dxa"/>
            <w:vAlign w:val="bottom"/>
          </w:tcPr>
          <w:p w14:paraId="61FEE828" w14:textId="77777777" w:rsidR="00F84E7F" w:rsidRPr="00DE189C" w:rsidRDefault="00F84E7F" w:rsidP="00F84E7F">
            <w:pPr>
              <w:ind w:left="284" w:right="99" w:hanging="142"/>
              <w:rPr>
                <w:b/>
                <w:sz w:val="18"/>
                <w:szCs w:val="18"/>
              </w:rPr>
            </w:pPr>
            <w:r w:rsidRPr="00DE189C">
              <w:rPr>
                <w:b/>
                <w:sz w:val="18"/>
                <w:szCs w:val="18"/>
              </w:rPr>
              <w:t xml:space="preserve">EKUITAS </w:t>
            </w:r>
          </w:p>
        </w:tc>
        <w:tc>
          <w:tcPr>
            <w:tcW w:w="125" w:type="dxa"/>
            <w:tcMar>
              <w:left w:w="28" w:type="dxa"/>
              <w:right w:w="28" w:type="dxa"/>
            </w:tcMar>
            <w:vAlign w:val="bottom"/>
          </w:tcPr>
          <w:p w14:paraId="607F8EBA" w14:textId="77777777" w:rsidR="00F84E7F" w:rsidRPr="00DE189C" w:rsidRDefault="00F84E7F" w:rsidP="00F84E7F">
            <w:pPr>
              <w:jc w:val="center"/>
              <w:rPr>
                <w:sz w:val="18"/>
                <w:szCs w:val="18"/>
              </w:rPr>
            </w:pPr>
          </w:p>
        </w:tc>
        <w:tc>
          <w:tcPr>
            <w:tcW w:w="1681" w:type="dxa"/>
            <w:tcMar>
              <w:left w:w="28" w:type="dxa"/>
              <w:right w:w="28" w:type="dxa"/>
            </w:tcMar>
            <w:vAlign w:val="bottom"/>
          </w:tcPr>
          <w:p w14:paraId="189366A4" w14:textId="77777777" w:rsidR="00F84E7F" w:rsidRPr="00DA78F1" w:rsidRDefault="00F84E7F" w:rsidP="00F84E7F">
            <w:pPr>
              <w:ind w:left="-76" w:right="28"/>
              <w:jc w:val="right"/>
              <w:rPr>
                <w:sz w:val="18"/>
                <w:szCs w:val="18"/>
                <w:lang w:val="id-ID"/>
              </w:rPr>
            </w:pPr>
          </w:p>
        </w:tc>
        <w:tc>
          <w:tcPr>
            <w:tcW w:w="124" w:type="dxa"/>
            <w:tcMar>
              <w:left w:w="28" w:type="dxa"/>
              <w:right w:w="28" w:type="dxa"/>
            </w:tcMar>
            <w:vAlign w:val="bottom"/>
          </w:tcPr>
          <w:p w14:paraId="69D558B9" w14:textId="77777777" w:rsidR="00F84E7F" w:rsidRPr="00DA78F1" w:rsidRDefault="00F84E7F" w:rsidP="00F84E7F">
            <w:pPr>
              <w:ind w:left="-76" w:right="74"/>
              <w:jc w:val="right"/>
              <w:rPr>
                <w:sz w:val="18"/>
                <w:szCs w:val="18"/>
              </w:rPr>
            </w:pPr>
          </w:p>
        </w:tc>
        <w:tc>
          <w:tcPr>
            <w:tcW w:w="1678" w:type="dxa"/>
            <w:tcMar>
              <w:left w:w="28" w:type="dxa"/>
              <w:right w:w="28" w:type="dxa"/>
            </w:tcMar>
            <w:vAlign w:val="bottom"/>
          </w:tcPr>
          <w:p w14:paraId="38B9A56C" w14:textId="77777777" w:rsidR="00F84E7F" w:rsidRPr="00DA78F1" w:rsidRDefault="00F84E7F" w:rsidP="00F84E7F">
            <w:pPr>
              <w:ind w:left="-76" w:right="74"/>
              <w:jc w:val="right"/>
              <w:rPr>
                <w:sz w:val="18"/>
                <w:szCs w:val="18"/>
              </w:rPr>
            </w:pPr>
          </w:p>
        </w:tc>
        <w:tc>
          <w:tcPr>
            <w:tcW w:w="123" w:type="dxa"/>
            <w:vAlign w:val="bottom"/>
          </w:tcPr>
          <w:p w14:paraId="450BEF82" w14:textId="77777777" w:rsidR="00F84E7F" w:rsidRPr="00DE189C" w:rsidRDefault="00F84E7F" w:rsidP="00F84E7F">
            <w:pPr>
              <w:ind w:right="144"/>
              <w:jc w:val="right"/>
              <w:rPr>
                <w:b/>
                <w:i/>
                <w:sz w:val="18"/>
                <w:szCs w:val="18"/>
              </w:rPr>
            </w:pPr>
          </w:p>
        </w:tc>
        <w:tc>
          <w:tcPr>
            <w:tcW w:w="2733" w:type="dxa"/>
            <w:vAlign w:val="bottom"/>
          </w:tcPr>
          <w:p w14:paraId="75F02ECE" w14:textId="77777777" w:rsidR="00F84E7F" w:rsidRPr="00DE189C" w:rsidRDefault="00F84E7F" w:rsidP="00F84E7F">
            <w:pPr>
              <w:ind w:right="98"/>
              <w:jc w:val="right"/>
              <w:rPr>
                <w:b/>
                <w:i/>
                <w:sz w:val="18"/>
                <w:szCs w:val="18"/>
              </w:rPr>
            </w:pPr>
            <w:r w:rsidRPr="00DE189C">
              <w:rPr>
                <w:b/>
                <w:i/>
                <w:sz w:val="18"/>
                <w:szCs w:val="18"/>
              </w:rPr>
              <w:t>EQUITY</w:t>
            </w:r>
          </w:p>
        </w:tc>
      </w:tr>
      <w:tr w:rsidR="00F84E7F" w:rsidRPr="00DE189C" w14:paraId="28497206" w14:textId="77777777" w:rsidTr="005B669E">
        <w:trPr>
          <w:trHeight w:val="20"/>
        </w:trPr>
        <w:tc>
          <w:tcPr>
            <w:tcW w:w="2733" w:type="dxa"/>
            <w:vAlign w:val="bottom"/>
          </w:tcPr>
          <w:p w14:paraId="3B68C962" w14:textId="77777777" w:rsidR="00F84E7F" w:rsidRPr="00DE189C" w:rsidRDefault="00F84E7F" w:rsidP="00F84E7F">
            <w:pPr>
              <w:ind w:left="284" w:right="99" w:hanging="142"/>
              <w:rPr>
                <w:sz w:val="18"/>
                <w:szCs w:val="18"/>
              </w:rPr>
            </w:pPr>
            <w:r w:rsidRPr="00DE189C">
              <w:rPr>
                <w:sz w:val="18"/>
                <w:szCs w:val="18"/>
              </w:rPr>
              <w:t xml:space="preserve">Modal saham - nilai nominal </w:t>
            </w:r>
            <w:r w:rsidRPr="00DE189C">
              <w:rPr>
                <w:sz w:val="18"/>
                <w:szCs w:val="18"/>
              </w:rPr>
              <w:br/>
              <w:t>Rp 100 per saham</w:t>
            </w:r>
          </w:p>
          <w:p w14:paraId="3E027E2E" w14:textId="77777777" w:rsidR="00F84E7F" w:rsidRPr="00DE189C" w:rsidRDefault="00F84E7F" w:rsidP="00F84E7F">
            <w:pPr>
              <w:ind w:left="284"/>
              <w:rPr>
                <w:sz w:val="18"/>
                <w:szCs w:val="18"/>
              </w:rPr>
            </w:pPr>
            <w:r w:rsidRPr="00DE189C">
              <w:rPr>
                <w:sz w:val="18"/>
                <w:szCs w:val="18"/>
              </w:rPr>
              <w:t xml:space="preserve">Modal dasar - 20.000.000.000 saham </w:t>
            </w:r>
          </w:p>
          <w:p w14:paraId="00AF92CA" w14:textId="726B6D59" w:rsidR="00F84E7F" w:rsidRPr="00DE189C" w:rsidRDefault="00F84E7F" w:rsidP="00826695">
            <w:pPr>
              <w:ind w:left="284"/>
              <w:rPr>
                <w:sz w:val="18"/>
                <w:szCs w:val="18"/>
                <w:lang w:val="id-ID"/>
              </w:rPr>
            </w:pPr>
            <w:r w:rsidRPr="00DE189C">
              <w:rPr>
                <w:sz w:val="18"/>
                <w:szCs w:val="18"/>
              </w:rPr>
              <w:t>Modal ditempatkan dan disetor - 12.</w:t>
            </w:r>
            <w:r w:rsidR="00826695">
              <w:rPr>
                <w:sz w:val="18"/>
                <w:szCs w:val="18"/>
              </w:rPr>
              <w:t xml:space="preserve">000.705.445 saham pada 31 Maret </w:t>
            </w:r>
            <w:r w:rsidRPr="00DE189C">
              <w:rPr>
                <w:sz w:val="18"/>
                <w:szCs w:val="18"/>
              </w:rPr>
              <w:t>20</w:t>
            </w:r>
            <w:r w:rsidR="00826695">
              <w:rPr>
                <w:sz w:val="18"/>
                <w:szCs w:val="18"/>
              </w:rPr>
              <w:t>20</w:t>
            </w:r>
            <w:r w:rsidRPr="00DE189C">
              <w:rPr>
                <w:sz w:val="18"/>
                <w:szCs w:val="18"/>
              </w:rPr>
              <w:t xml:space="preserve"> dan </w:t>
            </w:r>
            <w:r w:rsidR="00826695">
              <w:rPr>
                <w:sz w:val="18"/>
                <w:szCs w:val="18"/>
              </w:rPr>
              <w:t xml:space="preserve">31 Desember </w:t>
            </w:r>
            <w:r w:rsidRPr="00DE189C">
              <w:rPr>
                <w:sz w:val="18"/>
                <w:szCs w:val="18"/>
              </w:rPr>
              <w:t>201</w:t>
            </w:r>
            <w:r w:rsidR="00826695">
              <w:rPr>
                <w:sz w:val="18"/>
                <w:szCs w:val="18"/>
                <w:lang w:val="id-ID"/>
              </w:rPr>
              <w:t>9</w:t>
            </w:r>
          </w:p>
        </w:tc>
        <w:tc>
          <w:tcPr>
            <w:tcW w:w="125" w:type="dxa"/>
            <w:tcMar>
              <w:left w:w="28" w:type="dxa"/>
              <w:right w:w="28" w:type="dxa"/>
            </w:tcMar>
            <w:vAlign w:val="bottom"/>
          </w:tcPr>
          <w:p w14:paraId="48038C58" w14:textId="77777777" w:rsidR="00F84E7F" w:rsidRPr="00DE189C" w:rsidRDefault="00F84E7F" w:rsidP="00F84E7F">
            <w:pPr>
              <w:jc w:val="center"/>
              <w:rPr>
                <w:sz w:val="18"/>
                <w:szCs w:val="18"/>
              </w:rPr>
            </w:pPr>
          </w:p>
        </w:tc>
        <w:tc>
          <w:tcPr>
            <w:tcW w:w="1681" w:type="dxa"/>
            <w:tcMar>
              <w:left w:w="28" w:type="dxa"/>
              <w:right w:w="28" w:type="dxa"/>
            </w:tcMar>
            <w:vAlign w:val="bottom"/>
          </w:tcPr>
          <w:p w14:paraId="4B2BE535" w14:textId="06D47991" w:rsidR="00F84E7F" w:rsidRPr="00DA78F1" w:rsidRDefault="00894135" w:rsidP="00F84E7F">
            <w:pPr>
              <w:ind w:left="-76" w:right="28"/>
              <w:jc w:val="right"/>
              <w:rPr>
                <w:sz w:val="18"/>
                <w:szCs w:val="18"/>
                <w:lang w:val="id-ID"/>
              </w:rPr>
            </w:pPr>
            <w:r w:rsidRPr="00DA78F1">
              <w:rPr>
                <w:sz w:val="18"/>
                <w:szCs w:val="18"/>
                <w:lang w:val="id-ID"/>
              </w:rPr>
              <w:t>1.200.070.544.500</w:t>
            </w:r>
          </w:p>
        </w:tc>
        <w:tc>
          <w:tcPr>
            <w:tcW w:w="124" w:type="dxa"/>
            <w:tcMar>
              <w:left w:w="28" w:type="dxa"/>
              <w:right w:w="28" w:type="dxa"/>
            </w:tcMar>
            <w:vAlign w:val="bottom"/>
          </w:tcPr>
          <w:p w14:paraId="6E0508E7" w14:textId="77777777" w:rsidR="00F84E7F" w:rsidRPr="00DA78F1" w:rsidRDefault="00F84E7F" w:rsidP="00F84E7F">
            <w:pPr>
              <w:ind w:left="-76" w:right="74"/>
              <w:jc w:val="right"/>
              <w:rPr>
                <w:sz w:val="18"/>
                <w:szCs w:val="18"/>
              </w:rPr>
            </w:pPr>
          </w:p>
        </w:tc>
        <w:tc>
          <w:tcPr>
            <w:tcW w:w="1678" w:type="dxa"/>
            <w:tcMar>
              <w:left w:w="28" w:type="dxa"/>
              <w:right w:w="28" w:type="dxa"/>
            </w:tcMar>
            <w:vAlign w:val="bottom"/>
          </w:tcPr>
          <w:p w14:paraId="52338046" w14:textId="70447E30" w:rsidR="00F84E7F" w:rsidRPr="00DA78F1" w:rsidRDefault="00F84E7F" w:rsidP="00F84E7F">
            <w:pPr>
              <w:ind w:left="-76" w:right="28"/>
              <w:jc w:val="right"/>
              <w:rPr>
                <w:sz w:val="18"/>
                <w:szCs w:val="18"/>
              </w:rPr>
            </w:pPr>
            <w:r w:rsidRPr="00DA78F1">
              <w:rPr>
                <w:sz w:val="18"/>
                <w:szCs w:val="18"/>
                <w:lang w:val="id-ID"/>
              </w:rPr>
              <w:t>1.200.070.544.500</w:t>
            </w:r>
          </w:p>
        </w:tc>
        <w:tc>
          <w:tcPr>
            <w:tcW w:w="123" w:type="dxa"/>
            <w:vAlign w:val="bottom"/>
          </w:tcPr>
          <w:p w14:paraId="1CCCEF19" w14:textId="77777777" w:rsidR="00F84E7F" w:rsidRPr="00DE189C" w:rsidRDefault="00F84E7F" w:rsidP="00F84E7F">
            <w:pPr>
              <w:ind w:right="144"/>
              <w:jc w:val="right"/>
              <w:rPr>
                <w:i/>
                <w:sz w:val="18"/>
                <w:szCs w:val="18"/>
              </w:rPr>
            </w:pPr>
          </w:p>
        </w:tc>
        <w:tc>
          <w:tcPr>
            <w:tcW w:w="2733" w:type="dxa"/>
            <w:vAlign w:val="bottom"/>
          </w:tcPr>
          <w:p w14:paraId="7CFD5A9C" w14:textId="77777777" w:rsidR="00F84E7F" w:rsidRPr="00DE189C" w:rsidRDefault="00F84E7F" w:rsidP="00F84E7F">
            <w:pPr>
              <w:tabs>
                <w:tab w:val="left" w:pos="1858"/>
              </w:tabs>
              <w:ind w:right="98"/>
              <w:jc w:val="right"/>
              <w:rPr>
                <w:i/>
                <w:sz w:val="18"/>
                <w:szCs w:val="18"/>
              </w:rPr>
            </w:pPr>
            <w:r w:rsidRPr="00DE189C">
              <w:rPr>
                <w:i/>
                <w:sz w:val="18"/>
                <w:szCs w:val="18"/>
              </w:rPr>
              <w:t>Capital stock - Rp 100 par</w:t>
            </w:r>
          </w:p>
          <w:p w14:paraId="1E8A0C48" w14:textId="77777777" w:rsidR="00F84E7F" w:rsidRPr="00DE189C" w:rsidRDefault="00F84E7F" w:rsidP="00F84E7F">
            <w:pPr>
              <w:tabs>
                <w:tab w:val="left" w:pos="1858"/>
              </w:tabs>
              <w:ind w:right="176"/>
              <w:jc w:val="right"/>
              <w:rPr>
                <w:i/>
                <w:sz w:val="18"/>
                <w:szCs w:val="18"/>
              </w:rPr>
            </w:pPr>
            <w:r w:rsidRPr="00DE189C">
              <w:rPr>
                <w:i/>
                <w:sz w:val="18"/>
                <w:szCs w:val="18"/>
              </w:rPr>
              <w:t>value per share</w:t>
            </w:r>
          </w:p>
          <w:p w14:paraId="3105F881" w14:textId="3D07FB59" w:rsidR="00F84E7F" w:rsidRPr="00DE189C" w:rsidRDefault="00F84E7F" w:rsidP="00F84E7F">
            <w:pPr>
              <w:ind w:right="178"/>
              <w:jc w:val="right"/>
              <w:rPr>
                <w:i/>
                <w:sz w:val="18"/>
                <w:szCs w:val="18"/>
              </w:rPr>
            </w:pPr>
            <w:r w:rsidRPr="00DE189C">
              <w:rPr>
                <w:i/>
                <w:sz w:val="18"/>
                <w:szCs w:val="18"/>
              </w:rPr>
              <w:t xml:space="preserve">Authorized capital </w:t>
            </w:r>
            <w:r w:rsidR="00946853">
              <w:rPr>
                <w:i/>
                <w:sz w:val="18"/>
                <w:szCs w:val="18"/>
              </w:rPr>
              <w:t>–</w:t>
            </w:r>
            <w:r w:rsidRPr="00DE189C">
              <w:rPr>
                <w:i/>
                <w:sz w:val="18"/>
                <w:szCs w:val="18"/>
              </w:rPr>
              <w:t xml:space="preserve"> 20</w:t>
            </w:r>
            <w:r w:rsidR="00305CA0">
              <w:rPr>
                <w:i/>
                <w:sz w:val="18"/>
                <w:szCs w:val="18"/>
              </w:rPr>
              <w:t>.</w:t>
            </w:r>
            <w:r w:rsidRPr="00DE189C">
              <w:rPr>
                <w:i/>
                <w:sz w:val="18"/>
                <w:szCs w:val="18"/>
              </w:rPr>
              <w:t>000</w:t>
            </w:r>
            <w:r w:rsidR="00305CA0">
              <w:rPr>
                <w:i/>
                <w:sz w:val="18"/>
                <w:szCs w:val="18"/>
              </w:rPr>
              <w:t>.</w:t>
            </w:r>
            <w:r w:rsidRPr="00DE189C">
              <w:rPr>
                <w:i/>
                <w:sz w:val="18"/>
                <w:szCs w:val="18"/>
              </w:rPr>
              <w:t>000</w:t>
            </w:r>
            <w:r w:rsidR="00305CA0">
              <w:rPr>
                <w:i/>
                <w:sz w:val="18"/>
                <w:szCs w:val="18"/>
              </w:rPr>
              <w:t>.</w:t>
            </w:r>
            <w:r w:rsidRPr="00DE189C">
              <w:rPr>
                <w:i/>
                <w:sz w:val="18"/>
                <w:szCs w:val="18"/>
              </w:rPr>
              <w:t xml:space="preserve">000 shares </w:t>
            </w:r>
          </w:p>
          <w:p w14:paraId="4D1B383E" w14:textId="41677111" w:rsidR="00F84E7F" w:rsidRPr="00DE189C" w:rsidRDefault="00F84E7F" w:rsidP="00946853">
            <w:pPr>
              <w:tabs>
                <w:tab w:val="left" w:pos="1858"/>
              </w:tabs>
              <w:ind w:right="178"/>
              <w:jc w:val="right"/>
              <w:rPr>
                <w:i/>
                <w:sz w:val="18"/>
                <w:szCs w:val="18"/>
                <w:lang w:val="id-ID"/>
              </w:rPr>
            </w:pPr>
            <w:r w:rsidRPr="00DE189C">
              <w:rPr>
                <w:i/>
                <w:sz w:val="18"/>
                <w:szCs w:val="18"/>
              </w:rPr>
              <w:t>Issued and paid up capital 12</w:t>
            </w:r>
            <w:r w:rsidR="00305CA0">
              <w:rPr>
                <w:i/>
                <w:sz w:val="18"/>
                <w:szCs w:val="18"/>
              </w:rPr>
              <w:t>.</w:t>
            </w:r>
            <w:r w:rsidRPr="00DE189C">
              <w:rPr>
                <w:i/>
                <w:sz w:val="18"/>
                <w:szCs w:val="18"/>
              </w:rPr>
              <w:t>000</w:t>
            </w:r>
            <w:r w:rsidR="00305CA0">
              <w:rPr>
                <w:i/>
                <w:sz w:val="18"/>
                <w:szCs w:val="18"/>
              </w:rPr>
              <w:t>.</w:t>
            </w:r>
            <w:r w:rsidRPr="00DE189C">
              <w:rPr>
                <w:i/>
                <w:sz w:val="18"/>
                <w:szCs w:val="18"/>
              </w:rPr>
              <w:t>705</w:t>
            </w:r>
            <w:r w:rsidR="00305CA0">
              <w:rPr>
                <w:i/>
                <w:sz w:val="18"/>
                <w:szCs w:val="18"/>
              </w:rPr>
              <w:t>.</w:t>
            </w:r>
            <w:r w:rsidRPr="00DE189C">
              <w:rPr>
                <w:i/>
                <w:sz w:val="18"/>
                <w:szCs w:val="18"/>
              </w:rPr>
              <w:t>445 shares in</w:t>
            </w:r>
            <w:r w:rsidR="00826695">
              <w:rPr>
                <w:i/>
                <w:sz w:val="18"/>
                <w:szCs w:val="18"/>
              </w:rPr>
              <w:t xml:space="preserve"> March 31</w:t>
            </w:r>
            <w:r w:rsidR="00305CA0">
              <w:rPr>
                <w:i/>
                <w:sz w:val="18"/>
                <w:szCs w:val="18"/>
              </w:rPr>
              <w:t>.</w:t>
            </w:r>
            <w:r w:rsidR="00826695">
              <w:rPr>
                <w:i/>
                <w:sz w:val="18"/>
                <w:szCs w:val="18"/>
              </w:rPr>
              <w:t xml:space="preserve"> 2020</w:t>
            </w:r>
            <w:r w:rsidRPr="00DE189C">
              <w:rPr>
                <w:i/>
                <w:sz w:val="18"/>
                <w:szCs w:val="18"/>
              </w:rPr>
              <w:t xml:space="preserve"> and</w:t>
            </w:r>
            <w:r w:rsidR="00826695">
              <w:rPr>
                <w:i/>
                <w:sz w:val="18"/>
                <w:szCs w:val="18"/>
              </w:rPr>
              <w:t xml:space="preserve"> Dcember 31</w:t>
            </w:r>
            <w:r w:rsidR="00305CA0">
              <w:rPr>
                <w:i/>
                <w:sz w:val="18"/>
                <w:szCs w:val="18"/>
              </w:rPr>
              <w:t>.</w:t>
            </w:r>
            <w:r w:rsidRPr="00DE189C">
              <w:rPr>
                <w:i/>
                <w:sz w:val="18"/>
                <w:szCs w:val="18"/>
              </w:rPr>
              <w:t xml:space="preserve"> 201</w:t>
            </w:r>
            <w:r w:rsidR="00826695">
              <w:rPr>
                <w:i/>
                <w:sz w:val="18"/>
                <w:szCs w:val="18"/>
              </w:rPr>
              <w:t>9</w:t>
            </w:r>
          </w:p>
        </w:tc>
      </w:tr>
      <w:tr w:rsidR="00F84E7F" w:rsidRPr="00DE189C" w14:paraId="140EF7E7" w14:textId="77777777" w:rsidTr="005B669E">
        <w:trPr>
          <w:trHeight w:val="20"/>
        </w:trPr>
        <w:tc>
          <w:tcPr>
            <w:tcW w:w="2733" w:type="dxa"/>
            <w:vAlign w:val="bottom"/>
          </w:tcPr>
          <w:p w14:paraId="24A81F4E" w14:textId="3BC70A78" w:rsidR="00F84E7F" w:rsidRPr="00DE189C" w:rsidRDefault="00F84E7F" w:rsidP="00F84E7F">
            <w:pPr>
              <w:ind w:left="284" w:right="99" w:hanging="142"/>
              <w:rPr>
                <w:sz w:val="18"/>
                <w:szCs w:val="18"/>
              </w:rPr>
            </w:pPr>
            <w:r w:rsidRPr="00DE189C">
              <w:rPr>
                <w:sz w:val="18"/>
                <w:szCs w:val="18"/>
              </w:rPr>
              <w:t xml:space="preserve">Tambahan modal disetor </w:t>
            </w:r>
            <w:r>
              <w:rPr>
                <w:sz w:val="18"/>
                <w:szCs w:val="18"/>
              </w:rPr>
              <w:br/>
            </w:r>
            <w:r w:rsidRPr="00DE189C">
              <w:rPr>
                <w:sz w:val="18"/>
                <w:szCs w:val="18"/>
              </w:rPr>
              <w:t>- bersih</w:t>
            </w:r>
          </w:p>
        </w:tc>
        <w:tc>
          <w:tcPr>
            <w:tcW w:w="125" w:type="dxa"/>
            <w:tcMar>
              <w:left w:w="28" w:type="dxa"/>
              <w:right w:w="28" w:type="dxa"/>
            </w:tcMar>
            <w:vAlign w:val="bottom"/>
          </w:tcPr>
          <w:p w14:paraId="74C828B3" w14:textId="77777777" w:rsidR="00F84E7F" w:rsidRPr="00DE189C" w:rsidRDefault="00F84E7F" w:rsidP="00F84E7F">
            <w:pPr>
              <w:jc w:val="center"/>
              <w:rPr>
                <w:sz w:val="18"/>
                <w:szCs w:val="18"/>
                <w:lang w:val="sv-SE"/>
              </w:rPr>
            </w:pPr>
          </w:p>
        </w:tc>
        <w:tc>
          <w:tcPr>
            <w:tcW w:w="1681" w:type="dxa"/>
            <w:tcMar>
              <w:left w:w="28" w:type="dxa"/>
              <w:right w:w="28" w:type="dxa"/>
            </w:tcMar>
            <w:vAlign w:val="bottom"/>
          </w:tcPr>
          <w:p w14:paraId="3DCE5204" w14:textId="0AA780AE" w:rsidR="00F84E7F" w:rsidRPr="00DA3B6D" w:rsidRDefault="00894135" w:rsidP="00F84E7F">
            <w:pPr>
              <w:ind w:left="-76" w:right="28"/>
              <w:jc w:val="right"/>
              <w:rPr>
                <w:sz w:val="18"/>
                <w:szCs w:val="18"/>
                <w:lang w:val="id-ID"/>
              </w:rPr>
            </w:pPr>
            <w:r w:rsidRPr="00DA3B6D">
              <w:rPr>
                <w:sz w:val="18"/>
                <w:szCs w:val="18"/>
                <w:lang w:val="id-ID"/>
              </w:rPr>
              <w:t>1.124.816.856.453</w:t>
            </w:r>
          </w:p>
        </w:tc>
        <w:tc>
          <w:tcPr>
            <w:tcW w:w="124" w:type="dxa"/>
            <w:tcMar>
              <w:left w:w="28" w:type="dxa"/>
              <w:right w:w="28" w:type="dxa"/>
            </w:tcMar>
            <w:vAlign w:val="bottom"/>
          </w:tcPr>
          <w:p w14:paraId="2F2D2804" w14:textId="77777777" w:rsidR="00F84E7F" w:rsidRPr="00DA78F1" w:rsidRDefault="00F84E7F" w:rsidP="00F84E7F">
            <w:pPr>
              <w:ind w:left="-76" w:right="74"/>
              <w:jc w:val="right"/>
              <w:rPr>
                <w:sz w:val="18"/>
                <w:szCs w:val="18"/>
              </w:rPr>
            </w:pPr>
          </w:p>
        </w:tc>
        <w:tc>
          <w:tcPr>
            <w:tcW w:w="1678" w:type="dxa"/>
            <w:tcMar>
              <w:left w:w="28" w:type="dxa"/>
              <w:right w:w="28" w:type="dxa"/>
            </w:tcMar>
            <w:vAlign w:val="bottom"/>
          </w:tcPr>
          <w:p w14:paraId="7264DCA5" w14:textId="29DE9CB5" w:rsidR="00F84E7F" w:rsidRPr="00DA78F1" w:rsidRDefault="00F84E7F" w:rsidP="00F84E7F">
            <w:pPr>
              <w:ind w:left="-76" w:right="28"/>
              <w:jc w:val="right"/>
              <w:rPr>
                <w:sz w:val="18"/>
                <w:szCs w:val="18"/>
              </w:rPr>
            </w:pPr>
            <w:r w:rsidRPr="00DA78F1">
              <w:rPr>
                <w:sz w:val="18"/>
                <w:szCs w:val="18"/>
                <w:lang w:val="id-ID"/>
              </w:rPr>
              <w:t>1.124.816.856.453</w:t>
            </w:r>
          </w:p>
        </w:tc>
        <w:tc>
          <w:tcPr>
            <w:tcW w:w="123" w:type="dxa"/>
            <w:vAlign w:val="bottom"/>
          </w:tcPr>
          <w:p w14:paraId="227192D0" w14:textId="77777777" w:rsidR="00F84E7F" w:rsidRPr="00DE189C" w:rsidRDefault="00F84E7F" w:rsidP="00F84E7F">
            <w:pPr>
              <w:ind w:right="181"/>
              <w:jc w:val="right"/>
              <w:rPr>
                <w:i/>
                <w:sz w:val="18"/>
                <w:szCs w:val="18"/>
                <w:lang w:val="id-ID"/>
              </w:rPr>
            </w:pPr>
          </w:p>
        </w:tc>
        <w:tc>
          <w:tcPr>
            <w:tcW w:w="2733" w:type="dxa"/>
            <w:vAlign w:val="bottom"/>
          </w:tcPr>
          <w:p w14:paraId="7A1A0C8D" w14:textId="77777777" w:rsidR="00F84E7F" w:rsidRDefault="00F84E7F" w:rsidP="00F84E7F">
            <w:pPr>
              <w:tabs>
                <w:tab w:val="left" w:pos="1858"/>
              </w:tabs>
              <w:ind w:right="98"/>
              <w:jc w:val="right"/>
              <w:rPr>
                <w:i/>
                <w:sz w:val="18"/>
                <w:szCs w:val="18"/>
              </w:rPr>
            </w:pPr>
            <w:r w:rsidRPr="00DE189C">
              <w:rPr>
                <w:i/>
                <w:sz w:val="18"/>
                <w:szCs w:val="18"/>
              </w:rPr>
              <w:t xml:space="preserve">Additional paid-in capital </w:t>
            </w:r>
          </w:p>
          <w:p w14:paraId="54607901" w14:textId="77777777" w:rsidR="00F84E7F" w:rsidRPr="00DE189C" w:rsidRDefault="00F84E7F" w:rsidP="00F84E7F">
            <w:pPr>
              <w:tabs>
                <w:tab w:val="left" w:pos="1858"/>
              </w:tabs>
              <w:ind w:right="182"/>
              <w:jc w:val="right"/>
              <w:rPr>
                <w:i/>
                <w:sz w:val="18"/>
                <w:szCs w:val="18"/>
              </w:rPr>
            </w:pPr>
            <w:r w:rsidRPr="00DE189C">
              <w:rPr>
                <w:i/>
                <w:sz w:val="18"/>
                <w:szCs w:val="18"/>
              </w:rPr>
              <w:t>- net</w:t>
            </w:r>
          </w:p>
        </w:tc>
      </w:tr>
      <w:tr w:rsidR="00F84E7F" w:rsidRPr="00DE189C" w14:paraId="0131777C" w14:textId="77777777" w:rsidTr="005B669E">
        <w:trPr>
          <w:trHeight w:val="20"/>
        </w:trPr>
        <w:tc>
          <w:tcPr>
            <w:tcW w:w="2733" w:type="dxa"/>
            <w:vAlign w:val="bottom"/>
          </w:tcPr>
          <w:p w14:paraId="1D4918E9" w14:textId="77777777" w:rsidR="00F84E7F" w:rsidRPr="00DE189C" w:rsidRDefault="00F84E7F" w:rsidP="00F84E7F">
            <w:pPr>
              <w:ind w:left="284" w:right="99" w:hanging="142"/>
              <w:rPr>
                <w:sz w:val="18"/>
                <w:szCs w:val="18"/>
              </w:rPr>
            </w:pPr>
            <w:r w:rsidRPr="00DE189C">
              <w:rPr>
                <w:sz w:val="18"/>
                <w:szCs w:val="18"/>
              </w:rPr>
              <w:t>Keuntungan aktuaria</w:t>
            </w:r>
          </w:p>
        </w:tc>
        <w:tc>
          <w:tcPr>
            <w:tcW w:w="125" w:type="dxa"/>
            <w:tcMar>
              <w:left w:w="28" w:type="dxa"/>
              <w:right w:w="28" w:type="dxa"/>
            </w:tcMar>
            <w:vAlign w:val="bottom"/>
          </w:tcPr>
          <w:p w14:paraId="1450B370" w14:textId="77777777" w:rsidR="00F84E7F" w:rsidRPr="00DE189C" w:rsidRDefault="00F84E7F" w:rsidP="00F84E7F">
            <w:pPr>
              <w:jc w:val="center"/>
              <w:rPr>
                <w:sz w:val="18"/>
                <w:szCs w:val="18"/>
                <w:lang w:val="sv-SE"/>
              </w:rPr>
            </w:pPr>
          </w:p>
        </w:tc>
        <w:tc>
          <w:tcPr>
            <w:tcW w:w="1681" w:type="dxa"/>
            <w:tcMar>
              <w:left w:w="28" w:type="dxa"/>
              <w:right w:w="28" w:type="dxa"/>
            </w:tcMar>
            <w:vAlign w:val="bottom"/>
          </w:tcPr>
          <w:p w14:paraId="77008EC6" w14:textId="565E260A" w:rsidR="00F84E7F" w:rsidRPr="00B77D45" w:rsidRDefault="00B77D45" w:rsidP="00F84E7F">
            <w:pPr>
              <w:ind w:left="-76" w:right="28"/>
              <w:jc w:val="right"/>
              <w:rPr>
                <w:sz w:val="18"/>
                <w:szCs w:val="18"/>
                <w:lang w:val="id-ID"/>
              </w:rPr>
            </w:pPr>
            <w:r>
              <w:rPr>
                <w:sz w:val="18"/>
                <w:szCs w:val="18"/>
                <w:lang w:val="id-ID"/>
              </w:rPr>
              <w:t>13</w:t>
            </w:r>
            <w:r w:rsidR="00D14FB0" w:rsidRPr="00DA3B6D">
              <w:rPr>
                <w:sz w:val="18"/>
                <w:szCs w:val="18"/>
                <w:lang w:val="id-ID"/>
              </w:rPr>
              <w:t>.</w:t>
            </w:r>
            <w:r>
              <w:rPr>
                <w:sz w:val="18"/>
                <w:szCs w:val="18"/>
                <w:lang w:val="id-ID"/>
              </w:rPr>
              <w:t>16</w:t>
            </w:r>
            <w:r>
              <w:rPr>
                <w:sz w:val="18"/>
                <w:szCs w:val="18"/>
              </w:rPr>
              <w:t>6.</w:t>
            </w:r>
            <w:r w:rsidR="00D14FB0" w:rsidRPr="00DA3B6D">
              <w:rPr>
                <w:sz w:val="18"/>
                <w:szCs w:val="18"/>
              </w:rPr>
              <w:t>5</w:t>
            </w:r>
            <w:r>
              <w:rPr>
                <w:sz w:val="18"/>
                <w:szCs w:val="18"/>
                <w:lang w:val="id-ID"/>
              </w:rPr>
              <w:t>32</w:t>
            </w:r>
            <w:r>
              <w:rPr>
                <w:sz w:val="18"/>
                <w:szCs w:val="18"/>
              </w:rPr>
              <w:t>.</w:t>
            </w:r>
            <w:r w:rsidR="00D14FB0" w:rsidRPr="00DA3B6D">
              <w:rPr>
                <w:sz w:val="18"/>
                <w:szCs w:val="18"/>
              </w:rPr>
              <w:t>1</w:t>
            </w:r>
            <w:r>
              <w:rPr>
                <w:sz w:val="18"/>
                <w:szCs w:val="18"/>
                <w:lang w:val="id-ID"/>
              </w:rPr>
              <w:t>08</w:t>
            </w:r>
          </w:p>
        </w:tc>
        <w:tc>
          <w:tcPr>
            <w:tcW w:w="124" w:type="dxa"/>
            <w:tcMar>
              <w:left w:w="28" w:type="dxa"/>
              <w:right w:w="28" w:type="dxa"/>
            </w:tcMar>
            <w:vAlign w:val="bottom"/>
          </w:tcPr>
          <w:p w14:paraId="6B723FE2" w14:textId="77777777" w:rsidR="00F84E7F" w:rsidRPr="00DA78F1" w:rsidRDefault="00F84E7F" w:rsidP="00F84E7F">
            <w:pPr>
              <w:ind w:left="-76" w:right="74"/>
              <w:jc w:val="right"/>
              <w:rPr>
                <w:sz w:val="18"/>
                <w:szCs w:val="18"/>
              </w:rPr>
            </w:pPr>
          </w:p>
        </w:tc>
        <w:tc>
          <w:tcPr>
            <w:tcW w:w="1678" w:type="dxa"/>
            <w:tcMar>
              <w:left w:w="28" w:type="dxa"/>
              <w:right w:w="28" w:type="dxa"/>
            </w:tcMar>
            <w:vAlign w:val="bottom"/>
          </w:tcPr>
          <w:p w14:paraId="1909A7FB" w14:textId="7FC2615E" w:rsidR="00F84E7F" w:rsidRPr="00DA78F1" w:rsidRDefault="00F84E7F" w:rsidP="00F84E7F">
            <w:pPr>
              <w:ind w:left="-76" w:right="28"/>
              <w:jc w:val="right"/>
              <w:rPr>
                <w:sz w:val="18"/>
                <w:szCs w:val="18"/>
              </w:rPr>
            </w:pPr>
            <w:r w:rsidRPr="00DA78F1">
              <w:rPr>
                <w:sz w:val="18"/>
                <w:szCs w:val="18"/>
                <w:lang w:val="id-ID"/>
              </w:rPr>
              <w:t>12.931.494.561</w:t>
            </w:r>
          </w:p>
        </w:tc>
        <w:tc>
          <w:tcPr>
            <w:tcW w:w="123" w:type="dxa"/>
            <w:vAlign w:val="bottom"/>
          </w:tcPr>
          <w:p w14:paraId="227E0ACC" w14:textId="77777777" w:rsidR="00F84E7F" w:rsidRPr="00DE189C" w:rsidRDefault="00F84E7F" w:rsidP="00F84E7F">
            <w:pPr>
              <w:ind w:right="181"/>
              <w:jc w:val="right"/>
              <w:rPr>
                <w:i/>
                <w:sz w:val="18"/>
                <w:szCs w:val="18"/>
                <w:lang w:val="id-ID"/>
              </w:rPr>
            </w:pPr>
          </w:p>
        </w:tc>
        <w:tc>
          <w:tcPr>
            <w:tcW w:w="2733" w:type="dxa"/>
            <w:vAlign w:val="bottom"/>
          </w:tcPr>
          <w:p w14:paraId="5870F9F1" w14:textId="77777777" w:rsidR="00F84E7F" w:rsidRPr="00DE189C" w:rsidRDefault="00F84E7F" w:rsidP="00F84E7F">
            <w:pPr>
              <w:ind w:right="98"/>
              <w:jc w:val="right"/>
              <w:rPr>
                <w:i/>
                <w:sz w:val="18"/>
                <w:szCs w:val="18"/>
                <w:lang w:val="en-ID"/>
              </w:rPr>
            </w:pPr>
            <w:r w:rsidRPr="00DE189C">
              <w:rPr>
                <w:i/>
                <w:sz w:val="18"/>
                <w:szCs w:val="18"/>
                <w:lang w:val="en-ID"/>
              </w:rPr>
              <w:t>Gain on actuarial</w:t>
            </w:r>
          </w:p>
        </w:tc>
      </w:tr>
      <w:tr w:rsidR="00F84E7F" w:rsidRPr="00DE189C" w14:paraId="2A4C88C9" w14:textId="77777777" w:rsidTr="005B669E">
        <w:trPr>
          <w:trHeight w:val="20"/>
        </w:trPr>
        <w:tc>
          <w:tcPr>
            <w:tcW w:w="2733" w:type="dxa"/>
            <w:vAlign w:val="bottom"/>
          </w:tcPr>
          <w:p w14:paraId="57566DFE" w14:textId="77777777" w:rsidR="00F84E7F" w:rsidRPr="00DE189C" w:rsidRDefault="00F84E7F" w:rsidP="00F84E7F">
            <w:pPr>
              <w:ind w:left="284" w:right="99" w:hanging="142"/>
              <w:rPr>
                <w:sz w:val="18"/>
                <w:szCs w:val="18"/>
              </w:rPr>
            </w:pPr>
            <w:r w:rsidRPr="00DE189C">
              <w:rPr>
                <w:sz w:val="18"/>
                <w:szCs w:val="18"/>
              </w:rPr>
              <w:t>Ditentukan penggunaannya</w:t>
            </w:r>
          </w:p>
        </w:tc>
        <w:tc>
          <w:tcPr>
            <w:tcW w:w="125" w:type="dxa"/>
            <w:tcMar>
              <w:left w:w="28" w:type="dxa"/>
              <w:right w:w="28" w:type="dxa"/>
            </w:tcMar>
            <w:vAlign w:val="bottom"/>
          </w:tcPr>
          <w:p w14:paraId="5246918C" w14:textId="77777777" w:rsidR="00F84E7F" w:rsidRPr="00DE189C" w:rsidRDefault="00F84E7F" w:rsidP="00F84E7F">
            <w:pPr>
              <w:jc w:val="center"/>
              <w:rPr>
                <w:sz w:val="18"/>
                <w:szCs w:val="18"/>
              </w:rPr>
            </w:pPr>
          </w:p>
        </w:tc>
        <w:tc>
          <w:tcPr>
            <w:tcW w:w="1681" w:type="dxa"/>
            <w:tcMar>
              <w:left w:w="28" w:type="dxa"/>
              <w:right w:w="28" w:type="dxa"/>
            </w:tcMar>
            <w:vAlign w:val="bottom"/>
          </w:tcPr>
          <w:p w14:paraId="784A8837" w14:textId="53DABAD0" w:rsidR="00F84E7F" w:rsidRPr="00DA3B6D" w:rsidRDefault="00894135" w:rsidP="00F84E7F">
            <w:pPr>
              <w:ind w:left="-76" w:right="28"/>
              <w:jc w:val="right"/>
              <w:rPr>
                <w:sz w:val="18"/>
                <w:szCs w:val="18"/>
                <w:lang w:val="id-ID"/>
              </w:rPr>
            </w:pPr>
            <w:r w:rsidRPr="00DA3B6D">
              <w:rPr>
                <w:sz w:val="18"/>
                <w:szCs w:val="18"/>
                <w:lang w:val="id-ID"/>
              </w:rPr>
              <w:t>2.000.000.000</w:t>
            </w:r>
          </w:p>
        </w:tc>
        <w:tc>
          <w:tcPr>
            <w:tcW w:w="124" w:type="dxa"/>
            <w:tcMar>
              <w:left w:w="28" w:type="dxa"/>
              <w:right w:w="28" w:type="dxa"/>
            </w:tcMar>
            <w:vAlign w:val="bottom"/>
          </w:tcPr>
          <w:p w14:paraId="5E589672" w14:textId="77777777" w:rsidR="00F84E7F" w:rsidRPr="00DA78F1" w:rsidRDefault="00F84E7F" w:rsidP="00F84E7F">
            <w:pPr>
              <w:ind w:left="-76" w:right="28"/>
              <w:jc w:val="right"/>
              <w:rPr>
                <w:sz w:val="18"/>
                <w:szCs w:val="18"/>
              </w:rPr>
            </w:pPr>
          </w:p>
        </w:tc>
        <w:tc>
          <w:tcPr>
            <w:tcW w:w="1678" w:type="dxa"/>
            <w:tcMar>
              <w:left w:w="28" w:type="dxa"/>
              <w:right w:w="28" w:type="dxa"/>
            </w:tcMar>
            <w:vAlign w:val="bottom"/>
          </w:tcPr>
          <w:p w14:paraId="079085FC" w14:textId="29DAD095" w:rsidR="00F84E7F" w:rsidRPr="00DA78F1" w:rsidRDefault="00F84E7F" w:rsidP="00F84E7F">
            <w:pPr>
              <w:ind w:left="-76" w:right="28"/>
              <w:jc w:val="right"/>
              <w:rPr>
                <w:sz w:val="18"/>
                <w:szCs w:val="18"/>
              </w:rPr>
            </w:pPr>
            <w:r w:rsidRPr="00DA78F1">
              <w:rPr>
                <w:sz w:val="18"/>
                <w:szCs w:val="18"/>
                <w:lang w:val="id-ID"/>
              </w:rPr>
              <w:t>2.000.000.000</w:t>
            </w:r>
          </w:p>
        </w:tc>
        <w:tc>
          <w:tcPr>
            <w:tcW w:w="123" w:type="dxa"/>
            <w:vAlign w:val="bottom"/>
          </w:tcPr>
          <w:p w14:paraId="4E70BD9B" w14:textId="77777777" w:rsidR="00F84E7F" w:rsidRPr="00DE189C" w:rsidRDefault="00F84E7F" w:rsidP="00F84E7F">
            <w:pPr>
              <w:ind w:right="144"/>
              <w:jc w:val="right"/>
              <w:rPr>
                <w:i/>
                <w:sz w:val="18"/>
                <w:szCs w:val="18"/>
              </w:rPr>
            </w:pPr>
          </w:p>
        </w:tc>
        <w:tc>
          <w:tcPr>
            <w:tcW w:w="2733" w:type="dxa"/>
            <w:vAlign w:val="bottom"/>
          </w:tcPr>
          <w:p w14:paraId="5626D1D4" w14:textId="77777777" w:rsidR="00F84E7F" w:rsidRPr="00DE189C" w:rsidRDefault="00F84E7F" w:rsidP="00F84E7F">
            <w:pPr>
              <w:ind w:right="74"/>
              <w:jc w:val="right"/>
              <w:rPr>
                <w:i/>
                <w:sz w:val="18"/>
                <w:szCs w:val="18"/>
              </w:rPr>
            </w:pPr>
            <w:r w:rsidRPr="00DE189C">
              <w:rPr>
                <w:i/>
                <w:sz w:val="18"/>
                <w:szCs w:val="18"/>
              </w:rPr>
              <w:t>Appropriated</w:t>
            </w:r>
          </w:p>
        </w:tc>
      </w:tr>
      <w:tr w:rsidR="00F84E7F" w:rsidRPr="00DE189C" w14:paraId="2DAB371D" w14:textId="77777777" w:rsidTr="005B669E">
        <w:trPr>
          <w:trHeight w:val="20"/>
        </w:trPr>
        <w:tc>
          <w:tcPr>
            <w:tcW w:w="2733" w:type="dxa"/>
            <w:vAlign w:val="bottom"/>
          </w:tcPr>
          <w:p w14:paraId="55284788" w14:textId="77777777" w:rsidR="00F84E7F" w:rsidRPr="00DE189C" w:rsidRDefault="00F84E7F" w:rsidP="00F84E7F">
            <w:pPr>
              <w:ind w:left="284" w:right="99" w:hanging="142"/>
              <w:rPr>
                <w:sz w:val="18"/>
                <w:szCs w:val="18"/>
              </w:rPr>
            </w:pPr>
            <w:r w:rsidRPr="00DE189C">
              <w:rPr>
                <w:sz w:val="18"/>
                <w:szCs w:val="18"/>
              </w:rPr>
              <w:t>Belum ditentukan penggunaannya</w:t>
            </w:r>
          </w:p>
        </w:tc>
        <w:tc>
          <w:tcPr>
            <w:tcW w:w="125" w:type="dxa"/>
            <w:tcMar>
              <w:left w:w="28" w:type="dxa"/>
              <w:right w:w="28" w:type="dxa"/>
            </w:tcMar>
            <w:vAlign w:val="bottom"/>
          </w:tcPr>
          <w:p w14:paraId="56351B5C" w14:textId="77777777" w:rsidR="00F84E7F" w:rsidRPr="00DE189C" w:rsidRDefault="00F84E7F" w:rsidP="00F84E7F">
            <w:pPr>
              <w:jc w:val="center"/>
              <w:rPr>
                <w:sz w:val="18"/>
                <w:szCs w:val="18"/>
              </w:rPr>
            </w:pPr>
          </w:p>
        </w:tc>
        <w:tc>
          <w:tcPr>
            <w:tcW w:w="1681" w:type="dxa"/>
            <w:tcBorders>
              <w:bottom w:val="single" w:sz="4" w:space="0" w:color="auto"/>
            </w:tcBorders>
            <w:tcMar>
              <w:left w:w="28" w:type="dxa"/>
              <w:right w:w="28" w:type="dxa"/>
            </w:tcMar>
            <w:vAlign w:val="bottom"/>
          </w:tcPr>
          <w:p w14:paraId="4E678BBC" w14:textId="4FE092B3" w:rsidR="00F84E7F" w:rsidRPr="008723B4" w:rsidRDefault="00B77D45" w:rsidP="00F84E7F">
            <w:pPr>
              <w:ind w:left="-76" w:right="28"/>
              <w:jc w:val="right"/>
              <w:rPr>
                <w:sz w:val="18"/>
                <w:szCs w:val="18"/>
                <w:lang w:val="id-ID"/>
              </w:rPr>
            </w:pPr>
            <w:r w:rsidRPr="008723B4">
              <w:rPr>
                <w:sz w:val="18"/>
                <w:szCs w:val="18"/>
              </w:rPr>
              <w:t>53.</w:t>
            </w:r>
            <w:r w:rsidRPr="008723B4">
              <w:rPr>
                <w:sz w:val="18"/>
                <w:szCs w:val="18"/>
                <w:lang w:val="id-ID"/>
              </w:rPr>
              <w:t>21</w:t>
            </w:r>
            <w:r w:rsidR="00FC2E4A" w:rsidRPr="008723B4">
              <w:rPr>
                <w:sz w:val="18"/>
                <w:szCs w:val="18"/>
              </w:rPr>
              <w:t>4.0</w:t>
            </w:r>
            <w:r w:rsidRPr="008723B4">
              <w:rPr>
                <w:sz w:val="18"/>
                <w:szCs w:val="18"/>
                <w:lang w:val="id-ID"/>
              </w:rPr>
              <w:t>0</w:t>
            </w:r>
            <w:r w:rsidRPr="008723B4">
              <w:rPr>
                <w:sz w:val="18"/>
                <w:szCs w:val="18"/>
              </w:rPr>
              <w:t>8.0</w:t>
            </w:r>
            <w:r w:rsidRPr="008723B4">
              <w:rPr>
                <w:sz w:val="18"/>
                <w:szCs w:val="18"/>
                <w:lang w:val="id-ID"/>
              </w:rPr>
              <w:t>04</w:t>
            </w:r>
          </w:p>
        </w:tc>
        <w:tc>
          <w:tcPr>
            <w:tcW w:w="124" w:type="dxa"/>
            <w:tcMar>
              <w:left w:w="28" w:type="dxa"/>
              <w:right w:w="28" w:type="dxa"/>
            </w:tcMar>
            <w:vAlign w:val="bottom"/>
          </w:tcPr>
          <w:p w14:paraId="75689A0A" w14:textId="77777777" w:rsidR="00F84E7F" w:rsidRPr="00DA78F1" w:rsidRDefault="00F84E7F" w:rsidP="00F84E7F">
            <w:pPr>
              <w:ind w:left="-76" w:right="28"/>
              <w:jc w:val="right"/>
              <w:rPr>
                <w:sz w:val="18"/>
                <w:szCs w:val="18"/>
              </w:rPr>
            </w:pPr>
          </w:p>
        </w:tc>
        <w:tc>
          <w:tcPr>
            <w:tcW w:w="1678" w:type="dxa"/>
            <w:tcBorders>
              <w:bottom w:val="single" w:sz="4" w:space="0" w:color="auto"/>
            </w:tcBorders>
            <w:tcMar>
              <w:left w:w="28" w:type="dxa"/>
              <w:right w:w="28" w:type="dxa"/>
            </w:tcMar>
            <w:vAlign w:val="bottom"/>
          </w:tcPr>
          <w:p w14:paraId="48EA5D4E" w14:textId="4818C3DC" w:rsidR="00F84E7F" w:rsidRPr="00DA78F1" w:rsidRDefault="00F84E7F" w:rsidP="00F84E7F">
            <w:pPr>
              <w:ind w:left="-76" w:right="28"/>
              <w:jc w:val="right"/>
              <w:rPr>
                <w:sz w:val="18"/>
                <w:szCs w:val="18"/>
              </w:rPr>
            </w:pPr>
            <w:r w:rsidRPr="00DA78F1">
              <w:rPr>
                <w:sz w:val="18"/>
                <w:szCs w:val="18"/>
                <w:lang w:val="id-ID"/>
              </w:rPr>
              <w:t>48.491.285.516</w:t>
            </w:r>
          </w:p>
        </w:tc>
        <w:tc>
          <w:tcPr>
            <w:tcW w:w="123" w:type="dxa"/>
            <w:vAlign w:val="bottom"/>
          </w:tcPr>
          <w:p w14:paraId="620A53EC" w14:textId="77777777" w:rsidR="00F84E7F" w:rsidRPr="00DE189C" w:rsidRDefault="00F84E7F" w:rsidP="00F84E7F">
            <w:pPr>
              <w:ind w:right="144"/>
              <w:jc w:val="right"/>
              <w:rPr>
                <w:i/>
                <w:sz w:val="18"/>
                <w:szCs w:val="18"/>
              </w:rPr>
            </w:pPr>
          </w:p>
        </w:tc>
        <w:tc>
          <w:tcPr>
            <w:tcW w:w="2733" w:type="dxa"/>
            <w:vAlign w:val="bottom"/>
          </w:tcPr>
          <w:p w14:paraId="414275BA" w14:textId="77777777" w:rsidR="00F84E7F" w:rsidRPr="00DE189C" w:rsidRDefault="00F84E7F" w:rsidP="00F84E7F">
            <w:pPr>
              <w:ind w:right="74"/>
              <w:jc w:val="right"/>
              <w:rPr>
                <w:i/>
                <w:sz w:val="18"/>
                <w:szCs w:val="18"/>
              </w:rPr>
            </w:pPr>
            <w:r w:rsidRPr="00DE189C">
              <w:rPr>
                <w:i/>
                <w:sz w:val="18"/>
                <w:szCs w:val="18"/>
              </w:rPr>
              <w:t>Unappropriated</w:t>
            </w:r>
          </w:p>
        </w:tc>
      </w:tr>
      <w:tr w:rsidR="00F84E7F" w:rsidRPr="00DE189C" w14:paraId="693AE19D" w14:textId="77777777" w:rsidTr="005B669E">
        <w:trPr>
          <w:trHeight w:val="20"/>
        </w:trPr>
        <w:tc>
          <w:tcPr>
            <w:tcW w:w="2733" w:type="dxa"/>
            <w:vAlign w:val="bottom"/>
          </w:tcPr>
          <w:p w14:paraId="1C6E2582" w14:textId="77777777" w:rsidR="00F84E7F" w:rsidRPr="00DE189C" w:rsidRDefault="00F84E7F" w:rsidP="00F84E7F">
            <w:pPr>
              <w:ind w:left="284" w:right="99" w:hanging="142"/>
              <w:rPr>
                <w:sz w:val="6"/>
                <w:szCs w:val="18"/>
              </w:rPr>
            </w:pPr>
          </w:p>
        </w:tc>
        <w:tc>
          <w:tcPr>
            <w:tcW w:w="125" w:type="dxa"/>
            <w:tcMar>
              <w:left w:w="28" w:type="dxa"/>
              <w:right w:w="28" w:type="dxa"/>
            </w:tcMar>
            <w:vAlign w:val="bottom"/>
          </w:tcPr>
          <w:p w14:paraId="039A3930" w14:textId="77777777" w:rsidR="00F84E7F" w:rsidRPr="00DE189C" w:rsidRDefault="00F84E7F" w:rsidP="00F84E7F">
            <w:pPr>
              <w:jc w:val="center"/>
              <w:rPr>
                <w:sz w:val="6"/>
                <w:szCs w:val="18"/>
              </w:rPr>
            </w:pPr>
          </w:p>
        </w:tc>
        <w:tc>
          <w:tcPr>
            <w:tcW w:w="1681" w:type="dxa"/>
            <w:tcBorders>
              <w:top w:val="single" w:sz="4" w:space="0" w:color="auto"/>
            </w:tcBorders>
            <w:tcMar>
              <w:left w:w="28" w:type="dxa"/>
              <w:right w:w="28" w:type="dxa"/>
            </w:tcMar>
            <w:vAlign w:val="bottom"/>
          </w:tcPr>
          <w:p w14:paraId="4E90A467" w14:textId="77777777" w:rsidR="00F84E7F" w:rsidRPr="008723B4" w:rsidRDefault="00F84E7F" w:rsidP="00F84E7F">
            <w:pPr>
              <w:ind w:left="-76" w:right="28"/>
              <w:jc w:val="right"/>
              <w:rPr>
                <w:sz w:val="6"/>
                <w:szCs w:val="18"/>
                <w:lang w:val="id-ID"/>
              </w:rPr>
            </w:pPr>
          </w:p>
        </w:tc>
        <w:tc>
          <w:tcPr>
            <w:tcW w:w="124" w:type="dxa"/>
            <w:tcMar>
              <w:left w:w="28" w:type="dxa"/>
              <w:right w:w="28" w:type="dxa"/>
            </w:tcMar>
            <w:vAlign w:val="bottom"/>
          </w:tcPr>
          <w:p w14:paraId="1DFFE594" w14:textId="77777777" w:rsidR="00F84E7F" w:rsidRPr="00DA78F1" w:rsidRDefault="00F84E7F" w:rsidP="00F84E7F">
            <w:pPr>
              <w:ind w:left="-76" w:right="74"/>
              <w:jc w:val="right"/>
              <w:rPr>
                <w:sz w:val="6"/>
                <w:szCs w:val="18"/>
                <w:lang w:val="id-ID"/>
              </w:rPr>
            </w:pPr>
          </w:p>
        </w:tc>
        <w:tc>
          <w:tcPr>
            <w:tcW w:w="1678" w:type="dxa"/>
            <w:tcBorders>
              <w:top w:val="single" w:sz="4" w:space="0" w:color="auto"/>
            </w:tcBorders>
            <w:tcMar>
              <w:left w:w="28" w:type="dxa"/>
              <w:right w:w="28" w:type="dxa"/>
            </w:tcMar>
            <w:vAlign w:val="bottom"/>
          </w:tcPr>
          <w:p w14:paraId="7D17104A" w14:textId="77777777" w:rsidR="00F84E7F" w:rsidRPr="00DA78F1" w:rsidRDefault="00F84E7F" w:rsidP="00F84E7F">
            <w:pPr>
              <w:ind w:left="-76" w:right="28"/>
              <w:jc w:val="right"/>
              <w:rPr>
                <w:sz w:val="6"/>
                <w:szCs w:val="18"/>
              </w:rPr>
            </w:pPr>
          </w:p>
        </w:tc>
        <w:tc>
          <w:tcPr>
            <w:tcW w:w="123" w:type="dxa"/>
            <w:vAlign w:val="bottom"/>
          </w:tcPr>
          <w:p w14:paraId="78D8E98E" w14:textId="77777777" w:rsidR="00F84E7F" w:rsidRPr="00DE189C" w:rsidRDefault="00F84E7F" w:rsidP="00F84E7F">
            <w:pPr>
              <w:ind w:right="144"/>
              <w:jc w:val="right"/>
              <w:rPr>
                <w:i/>
                <w:sz w:val="6"/>
                <w:szCs w:val="18"/>
              </w:rPr>
            </w:pPr>
          </w:p>
        </w:tc>
        <w:tc>
          <w:tcPr>
            <w:tcW w:w="2733" w:type="dxa"/>
            <w:vAlign w:val="bottom"/>
          </w:tcPr>
          <w:p w14:paraId="3484E466" w14:textId="77777777" w:rsidR="00F84E7F" w:rsidRPr="00DE189C" w:rsidRDefault="00F84E7F" w:rsidP="00F84E7F">
            <w:pPr>
              <w:ind w:right="98"/>
              <w:jc w:val="right"/>
              <w:rPr>
                <w:i/>
                <w:sz w:val="6"/>
                <w:szCs w:val="18"/>
              </w:rPr>
            </w:pPr>
          </w:p>
        </w:tc>
      </w:tr>
      <w:tr w:rsidR="00F84E7F" w:rsidRPr="00DE189C" w14:paraId="4C2F3005" w14:textId="77777777" w:rsidTr="005B669E">
        <w:trPr>
          <w:trHeight w:val="20"/>
        </w:trPr>
        <w:tc>
          <w:tcPr>
            <w:tcW w:w="2733" w:type="dxa"/>
            <w:vAlign w:val="bottom"/>
          </w:tcPr>
          <w:p w14:paraId="12EE2598" w14:textId="77777777" w:rsidR="00F84E7F" w:rsidRPr="00DE189C" w:rsidRDefault="00F84E7F" w:rsidP="00F84E7F">
            <w:pPr>
              <w:ind w:left="284" w:right="99" w:hanging="142"/>
              <w:rPr>
                <w:b/>
                <w:sz w:val="18"/>
                <w:szCs w:val="18"/>
              </w:rPr>
            </w:pPr>
            <w:r w:rsidRPr="00DE189C">
              <w:rPr>
                <w:b/>
                <w:sz w:val="18"/>
                <w:szCs w:val="18"/>
              </w:rPr>
              <w:t>Jumlah Ekuitas</w:t>
            </w:r>
          </w:p>
        </w:tc>
        <w:tc>
          <w:tcPr>
            <w:tcW w:w="125" w:type="dxa"/>
            <w:tcMar>
              <w:left w:w="28" w:type="dxa"/>
              <w:right w:w="28" w:type="dxa"/>
            </w:tcMar>
            <w:vAlign w:val="bottom"/>
          </w:tcPr>
          <w:p w14:paraId="2F7F15DD" w14:textId="77777777" w:rsidR="00F84E7F" w:rsidRPr="00DE189C" w:rsidRDefault="00F84E7F" w:rsidP="00F84E7F">
            <w:pPr>
              <w:jc w:val="center"/>
              <w:rPr>
                <w:b/>
                <w:sz w:val="18"/>
                <w:szCs w:val="18"/>
              </w:rPr>
            </w:pPr>
          </w:p>
        </w:tc>
        <w:tc>
          <w:tcPr>
            <w:tcW w:w="1681" w:type="dxa"/>
            <w:tcBorders>
              <w:bottom w:val="single" w:sz="4" w:space="0" w:color="auto"/>
            </w:tcBorders>
            <w:tcMar>
              <w:left w:w="28" w:type="dxa"/>
              <w:right w:w="28" w:type="dxa"/>
            </w:tcMar>
            <w:vAlign w:val="bottom"/>
          </w:tcPr>
          <w:p w14:paraId="39767995" w14:textId="7000AC7A" w:rsidR="00F84E7F" w:rsidRPr="008723B4" w:rsidRDefault="00D14FB0" w:rsidP="00FC2E4A">
            <w:pPr>
              <w:ind w:left="-76" w:right="28"/>
              <w:jc w:val="right"/>
              <w:rPr>
                <w:b/>
                <w:bCs w:val="0"/>
                <w:sz w:val="18"/>
                <w:szCs w:val="18"/>
              </w:rPr>
            </w:pPr>
            <w:r w:rsidRPr="008723B4">
              <w:rPr>
                <w:b/>
                <w:bCs w:val="0"/>
                <w:sz w:val="18"/>
                <w:szCs w:val="18"/>
              </w:rPr>
              <w:t>2.39</w:t>
            </w:r>
            <w:r w:rsidR="00FC2E4A" w:rsidRPr="008723B4">
              <w:rPr>
                <w:b/>
                <w:bCs w:val="0"/>
                <w:sz w:val="18"/>
                <w:szCs w:val="18"/>
              </w:rPr>
              <w:t>3.267.941.065</w:t>
            </w:r>
          </w:p>
        </w:tc>
        <w:tc>
          <w:tcPr>
            <w:tcW w:w="124" w:type="dxa"/>
            <w:tcMar>
              <w:left w:w="28" w:type="dxa"/>
              <w:right w:w="28" w:type="dxa"/>
            </w:tcMar>
            <w:vAlign w:val="bottom"/>
          </w:tcPr>
          <w:p w14:paraId="112308BF" w14:textId="77777777" w:rsidR="00F84E7F" w:rsidRPr="00DA78F1" w:rsidRDefault="00F84E7F" w:rsidP="00F84E7F">
            <w:pPr>
              <w:ind w:left="-76" w:right="74"/>
              <w:jc w:val="right"/>
              <w:rPr>
                <w:b/>
                <w:sz w:val="18"/>
                <w:szCs w:val="18"/>
              </w:rPr>
            </w:pPr>
          </w:p>
        </w:tc>
        <w:tc>
          <w:tcPr>
            <w:tcW w:w="1678" w:type="dxa"/>
            <w:tcBorders>
              <w:bottom w:val="single" w:sz="4" w:space="0" w:color="auto"/>
            </w:tcBorders>
            <w:tcMar>
              <w:left w:w="28" w:type="dxa"/>
              <w:right w:w="28" w:type="dxa"/>
            </w:tcMar>
            <w:vAlign w:val="bottom"/>
          </w:tcPr>
          <w:p w14:paraId="08134309" w14:textId="2998E2DD" w:rsidR="00F84E7F" w:rsidRPr="00DA78F1" w:rsidRDefault="00F84E7F" w:rsidP="00F84E7F">
            <w:pPr>
              <w:ind w:left="-76" w:right="28"/>
              <w:jc w:val="right"/>
              <w:rPr>
                <w:b/>
                <w:sz w:val="18"/>
                <w:szCs w:val="18"/>
              </w:rPr>
            </w:pPr>
            <w:r w:rsidRPr="00DA78F1">
              <w:rPr>
                <w:b/>
                <w:bCs w:val="0"/>
                <w:sz w:val="18"/>
                <w:szCs w:val="18"/>
              </w:rPr>
              <w:t>2.388.310.181.030</w:t>
            </w:r>
          </w:p>
        </w:tc>
        <w:tc>
          <w:tcPr>
            <w:tcW w:w="123" w:type="dxa"/>
            <w:vAlign w:val="bottom"/>
          </w:tcPr>
          <w:p w14:paraId="65FF53DC" w14:textId="77777777" w:rsidR="00F84E7F" w:rsidRPr="00DE189C" w:rsidRDefault="00F84E7F" w:rsidP="00F84E7F">
            <w:pPr>
              <w:ind w:right="144"/>
              <w:jc w:val="right"/>
              <w:rPr>
                <w:b/>
                <w:i/>
                <w:sz w:val="18"/>
                <w:szCs w:val="18"/>
              </w:rPr>
            </w:pPr>
          </w:p>
        </w:tc>
        <w:tc>
          <w:tcPr>
            <w:tcW w:w="2733" w:type="dxa"/>
            <w:vAlign w:val="bottom"/>
          </w:tcPr>
          <w:p w14:paraId="0F41037B" w14:textId="77777777" w:rsidR="00F84E7F" w:rsidRPr="00DE189C" w:rsidRDefault="00F84E7F" w:rsidP="00F84E7F">
            <w:pPr>
              <w:ind w:right="46"/>
              <w:jc w:val="right"/>
              <w:rPr>
                <w:b/>
                <w:i/>
                <w:sz w:val="18"/>
                <w:szCs w:val="18"/>
              </w:rPr>
            </w:pPr>
            <w:r w:rsidRPr="00DE189C">
              <w:rPr>
                <w:b/>
                <w:i/>
                <w:sz w:val="18"/>
                <w:szCs w:val="18"/>
              </w:rPr>
              <w:t>Total Equity</w:t>
            </w:r>
          </w:p>
        </w:tc>
      </w:tr>
      <w:tr w:rsidR="00F84E7F" w:rsidRPr="00DE189C" w14:paraId="00233CE8" w14:textId="77777777" w:rsidTr="005B669E">
        <w:trPr>
          <w:trHeight w:val="20"/>
        </w:trPr>
        <w:tc>
          <w:tcPr>
            <w:tcW w:w="2733" w:type="dxa"/>
            <w:vAlign w:val="bottom"/>
          </w:tcPr>
          <w:p w14:paraId="4951FB58" w14:textId="77777777" w:rsidR="00F84E7F" w:rsidRPr="00DE189C" w:rsidRDefault="00F84E7F" w:rsidP="00F84E7F">
            <w:pPr>
              <w:ind w:left="284" w:right="99" w:hanging="142"/>
              <w:rPr>
                <w:b/>
                <w:sz w:val="6"/>
                <w:szCs w:val="18"/>
              </w:rPr>
            </w:pPr>
          </w:p>
        </w:tc>
        <w:tc>
          <w:tcPr>
            <w:tcW w:w="125" w:type="dxa"/>
            <w:tcMar>
              <w:left w:w="28" w:type="dxa"/>
              <w:right w:w="28" w:type="dxa"/>
            </w:tcMar>
            <w:vAlign w:val="bottom"/>
          </w:tcPr>
          <w:p w14:paraId="3BDAD527" w14:textId="77777777" w:rsidR="00F84E7F" w:rsidRPr="00DE189C" w:rsidRDefault="00F84E7F" w:rsidP="00F84E7F">
            <w:pPr>
              <w:jc w:val="center"/>
              <w:rPr>
                <w:sz w:val="6"/>
                <w:szCs w:val="18"/>
              </w:rPr>
            </w:pPr>
          </w:p>
        </w:tc>
        <w:tc>
          <w:tcPr>
            <w:tcW w:w="1681" w:type="dxa"/>
            <w:tcBorders>
              <w:top w:val="single" w:sz="4" w:space="0" w:color="auto"/>
            </w:tcBorders>
            <w:tcMar>
              <w:left w:w="28" w:type="dxa"/>
              <w:right w:w="28" w:type="dxa"/>
            </w:tcMar>
            <w:vAlign w:val="bottom"/>
          </w:tcPr>
          <w:p w14:paraId="55301960" w14:textId="77777777" w:rsidR="00F84E7F" w:rsidRPr="008723B4" w:rsidRDefault="00F84E7F" w:rsidP="00F84E7F">
            <w:pPr>
              <w:ind w:left="-76" w:right="28"/>
              <w:jc w:val="right"/>
              <w:rPr>
                <w:b/>
                <w:sz w:val="6"/>
                <w:szCs w:val="18"/>
                <w:lang w:val="id-ID"/>
              </w:rPr>
            </w:pPr>
          </w:p>
        </w:tc>
        <w:tc>
          <w:tcPr>
            <w:tcW w:w="124" w:type="dxa"/>
            <w:tcMar>
              <w:left w:w="28" w:type="dxa"/>
              <w:right w:w="28" w:type="dxa"/>
            </w:tcMar>
            <w:vAlign w:val="bottom"/>
          </w:tcPr>
          <w:p w14:paraId="314A5A68" w14:textId="77777777" w:rsidR="00F84E7F" w:rsidRPr="00DA78F1" w:rsidRDefault="00F84E7F" w:rsidP="00F84E7F">
            <w:pPr>
              <w:ind w:left="-76" w:right="74"/>
              <w:jc w:val="right"/>
              <w:rPr>
                <w:b/>
                <w:sz w:val="6"/>
                <w:szCs w:val="18"/>
              </w:rPr>
            </w:pPr>
          </w:p>
        </w:tc>
        <w:tc>
          <w:tcPr>
            <w:tcW w:w="1678" w:type="dxa"/>
            <w:tcBorders>
              <w:top w:val="single" w:sz="4" w:space="0" w:color="auto"/>
            </w:tcBorders>
            <w:tcMar>
              <w:left w:w="28" w:type="dxa"/>
              <w:right w:w="28" w:type="dxa"/>
            </w:tcMar>
            <w:vAlign w:val="bottom"/>
          </w:tcPr>
          <w:p w14:paraId="0C7B1C27" w14:textId="77777777" w:rsidR="00F84E7F" w:rsidRPr="00DA78F1" w:rsidRDefault="00F84E7F" w:rsidP="00F84E7F">
            <w:pPr>
              <w:ind w:left="-76" w:right="28"/>
              <w:jc w:val="right"/>
              <w:rPr>
                <w:b/>
                <w:sz w:val="6"/>
                <w:szCs w:val="18"/>
              </w:rPr>
            </w:pPr>
          </w:p>
        </w:tc>
        <w:tc>
          <w:tcPr>
            <w:tcW w:w="123" w:type="dxa"/>
            <w:vAlign w:val="bottom"/>
          </w:tcPr>
          <w:p w14:paraId="69F3CBDF" w14:textId="77777777" w:rsidR="00F84E7F" w:rsidRPr="00DE189C" w:rsidRDefault="00F84E7F" w:rsidP="00F84E7F">
            <w:pPr>
              <w:ind w:right="144"/>
              <w:jc w:val="right"/>
              <w:rPr>
                <w:i/>
                <w:sz w:val="6"/>
                <w:szCs w:val="18"/>
              </w:rPr>
            </w:pPr>
          </w:p>
        </w:tc>
        <w:tc>
          <w:tcPr>
            <w:tcW w:w="2733" w:type="dxa"/>
            <w:vAlign w:val="bottom"/>
          </w:tcPr>
          <w:p w14:paraId="48E123B2" w14:textId="77777777" w:rsidR="00F84E7F" w:rsidRPr="00DE189C" w:rsidRDefault="00F84E7F" w:rsidP="00F84E7F">
            <w:pPr>
              <w:ind w:right="46"/>
              <w:jc w:val="right"/>
              <w:rPr>
                <w:i/>
                <w:sz w:val="6"/>
                <w:szCs w:val="18"/>
              </w:rPr>
            </w:pPr>
          </w:p>
        </w:tc>
      </w:tr>
      <w:tr w:rsidR="00F84E7F" w:rsidRPr="00DE189C" w14:paraId="1F1A2738" w14:textId="77777777" w:rsidTr="005B669E">
        <w:trPr>
          <w:trHeight w:val="20"/>
        </w:trPr>
        <w:tc>
          <w:tcPr>
            <w:tcW w:w="2733" w:type="dxa"/>
            <w:vAlign w:val="bottom"/>
          </w:tcPr>
          <w:p w14:paraId="62E45091" w14:textId="77777777" w:rsidR="00F84E7F" w:rsidRPr="00DE189C" w:rsidRDefault="00F84E7F" w:rsidP="00F84E7F">
            <w:pPr>
              <w:ind w:left="284" w:right="99" w:hanging="142"/>
              <w:rPr>
                <w:b/>
                <w:sz w:val="18"/>
                <w:szCs w:val="18"/>
              </w:rPr>
            </w:pPr>
            <w:r w:rsidRPr="00DE189C">
              <w:rPr>
                <w:b/>
                <w:sz w:val="18"/>
                <w:szCs w:val="18"/>
              </w:rPr>
              <w:t>Jumlah Liabilitas dan Ekuitas</w:t>
            </w:r>
          </w:p>
        </w:tc>
        <w:tc>
          <w:tcPr>
            <w:tcW w:w="125" w:type="dxa"/>
            <w:tcMar>
              <w:left w:w="28" w:type="dxa"/>
              <w:right w:w="28" w:type="dxa"/>
            </w:tcMar>
            <w:vAlign w:val="bottom"/>
          </w:tcPr>
          <w:p w14:paraId="4099983B" w14:textId="77777777" w:rsidR="00F84E7F" w:rsidRPr="00DE189C" w:rsidRDefault="00F84E7F" w:rsidP="00F84E7F">
            <w:pPr>
              <w:jc w:val="center"/>
              <w:rPr>
                <w:b/>
                <w:sz w:val="18"/>
                <w:szCs w:val="18"/>
              </w:rPr>
            </w:pPr>
          </w:p>
        </w:tc>
        <w:tc>
          <w:tcPr>
            <w:tcW w:w="1681" w:type="dxa"/>
            <w:tcBorders>
              <w:bottom w:val="double" w:sz="4" w:space="0" w:color="auto"/>
            </w:tcBorders>
            <w:tcMar>
              <w:left w:w="28" w:type="dxa"/>
              <w:right w:w="28" w:type="dxa"/>
            </w:tcMar>
            <w:vAlign w:val="bottom"/>
          </w:tcPr>
          <w:p w14:paraId="5F71F530" w14:textId="1C5C0839" w:rsidR="00F84E7F" w:rsidRPr="008723B4" w:rsidRDefault="00B77D45" w:rsidP="00F84E7F">
            <w:pPr>
              <w:ind w:left="-76" w:right="28"/>
              <w:jc w:val="right"/>
              <w:rPr>
                <w:b/>
                <w:sz w:val="18"/>
                <w:szCs w:val="18"/>
                <w:lang w:val="id-ID"/>
              </w:rPr>
            </w:pPr>
            <w:r w:rsidRPr="008723B4">
              <w:rPr>
                <w:b/>
                <w:sz w:val="18"/>
                <w:szCs w:val="18"/>
              </w:rPr>
              <w:t>3.</w:t>
            </w:r>
            <w:r w:rsidR="00C211AE" w:rsidRPr="008723B4">
              <w:rPr>
                <w:b/>
                <w:sz w:val="18"/>
                <w:szCs w:val="18"/>
                <w:lang w:val="id-ID"/>
              </w:rPr>
              <w:t>5</w:t>
            </w:r>
            <w:r w:rsidRPr="008723B4">
              <w:rPr>
                <w:b/>
                <w:sz w:val="18"/>
                <w:szCs w:val="18"/>
                <w:lang w:val="id-ID"/>
              </w:rPr>
              <w:t>9</w:t>
            </w:r>
            <w:r w:rsidR="00C211AE" w:rsidRPr="008723B4">
              <w:rPr>
                <w:b/>
                <w:sz w:val="18"/>
                <w:szCs w:val="18"/>
                <w:lang w:val="id-ID"/>
              </w:rPr>
              <w:t>5</w:t>
            </w:r>
            <w:r w:rsidR="00C211AE" w:rsidRPr="008723B4">
              <w:rPr>
                <w:b/>
                <w:sz w:val="18"/>
                <w:szCs w:val="18"/>
              </w:rPr>
              <w:t>.</w:t>
            </w:r>
            <w:r w:rsidR="00C211AE" w:rsidRPr="008723B4">
              <w:rPr>
                <w:b/>
                <w:sz w:val="18"/>
                <w:szCs w:val="18"/>
                <w:lang w:val="id-ID"/>
              </w:rPr>
              <w:t>42</w:t>
            </w:r>
            <w:r w:rsidRPr="008723B4">
              <w:rPr>
                <w:b/>
                <w:sz w:val="18"/>
                <w:szCs w:val="18"/>
              </w:rPr>
              <w:t>9.</w:t>
            </w:r>
            <w:r w:rsidR="00C211AE" w:rsidRPr="008723B4">
              <w:rPr>
                <w:b/>
                <w:sz w:val="18"/>
                <w:szCs w:val="18"/>
                <w:lang w:val="id-ID"/>
              </w:rPr>
              <w:t>776</w:t>
            </w:r>
            <w:r w:rsidRPr="008723B4">
              <w:rPr>
                <w:b/>
                <w:sz w:val="18"/>
                <w:szCs w:val="18"/>
              </w:rPr>
              <w:t>.</w:t>
            </w:r>
            <w:r w:rsidR="00C211AE" w:rsidRPr="008723B4">
              <w:rPr>
                <w:b/>
                <w:sz w:val="18"/>
                <w:szCs w:val="18"/>
                <w:lang w:val="id-ID"/>
              </w:rPr>
              <w:t>174</w:t>
            </w:r>
          </w:p>
        </w:tc>
        <w:tc>
          <w:tcPr>
            <w:tcW w:w="124" w:type="dxa"/>
            <w:tcMar>
              <w:left w:w="28" w:type="dxa"/>
              <w:right w:w="28" w:type="dxa"/>
            </w:tcMar>
            <w:vAlign w:val="bottom"/>
          </w:tcPr>
          <w:p w14:paraId="31D8168B" w14:textId="77777777" w:rsidR="00F84E7F" w:rsidRPr="00DA78F1" w:rsidRDefault="00F84E7F" w:rsidP="00F84E7F">
            <w:pPr>
              <w:ind w:left="-76" w:right="74"/>
              <w:jc w:val="right"/>
              <w:rPr>
                <w:b/>
                <w:sz w:val="18"/>
                <w:szCs w:val="18"/>
              </w:rPr>
            </w:pPr>
          </w:p>
        </w:tc>
        <w:tc>
          <w:tcPr>
            <w:tcW w:w="1678" w:type="dxa"/>
            <w:tcBorders>
              <w:bottom w:val="double" w:sz="4" w:space="0" w:color="auto"/>
            </w:tcBorders>
            <w:tcMar>
              <w:left w:w="28" w:type="dxa"/>
              <w:right w:w="28" w:type="dxa"/>
            </w:tcMar>
            <w:vAlign w:val="bottom"/>
          </w:tcPr>
          <w:p w14:paraId="49E59FBF" w14:textId="736CA7D0" w:rsidR="00F84E7F" w:rsidRPr="00DA78F1" w:rsidRDefault="00F84E7F" w:rsidP="00F84E7F">
            <w:pPr>
              <w:ind w:left="-76" w:right="28"/>
              <w:jc w:val="right"/>
              <w:rPr>
                <w:b/>
                <w:sz w:val="18"/>
                <w:szCs w:val="18"/>
              </w:rPr>
            </w:pPr>
            <w:r w:rsidRPr="00DA78F1">
              <w:rPr>
                <w:b/>
                <w:sz w:val="18"/>
                <w:szCs w:val="18"/>
              </w:rPr>
              <w:t>3.359.118.961.845</w:t>
            </w:r>
          </w:p>
        </w:tc>
        <w:tc>
          <w:tcPr>
            <w:tcW w:w="123" w:type="dxa"/>
            <w:vAlign w:val="bottom"/>
          </w:tcPr>
          <w:p w14:paraId="092E46A5" w14:textId="77777777" w:rsidR="00F84E7F" w:rsidRPr="00DE189C" w:rsidRDefault="00F84E7F" w:rsidP="00F84E7F">
            <w:pPr>
              <w:ind w:right="144"/>
              <w:jc w:val="right"/>
              <w:rPr>
                <w:b/>
                <w:i/>
                <w:sz w:val="18"/>
                <w:szCs w:val="18"/>
              </w:rPr>
            </w:pPr>
          </w:p>
        </w:tc>
        <w:tc>
          <w:tcPr>
            <w:tcW w:w="2733" w:type="dxa"/>
            <w:vAlign w:val="bottom"/>
          </w:tcPr>
          <w:p w14:paraId="4F58DCC4" w14:textId="77777777" w:rsidR="00F84E7F" w:rsidRPr="00DE189C" w:rsidRDefault="00F84E7F" w:rsidP="00F84E7F">
            <w:pPr>
              <w:ind w:right="46"/>
              <w:jc w:val="right"/>
              <w:rPr>
                <w:b/>
                <w:i/>
                <w:sz w:val="18"/>
                <w:szCs w:val="18"/>
              </w:rPr>
            </w:pPr>
            <w:r w:rsidRPr="00DE189C">
              <w:rPr>
                <w:b/>
                <w:i/>
                <w:sz w:val="18"/>
                <w:szCs w:val="18"/>
              </w:rPr>
              <w:t>Total Liabilities and Equity</w:t>
            </w:r>
          </w:p>
        </w:tc>
      </w:tr>
    </w:tbl>
    <w:p w14:paraId="4FD032BE" w14:textId="77777777" w:rsidR="00C02FB7" w:rsidRDefault="00C02FB7" w:rsidP="00C02FB7">
      <w:pPr>
        <w:rPr>
          <w:sz w:val="18"/>
          <w:szCs w:val="18"/>
        </w:rPr>
        <w:sectPr w:rsidR="00C02FB7" w:rsidSect="00C02FB7">
          <w:headerReference w:type="default" r:id="rId58"/>
          <w:pgSz w:w="11907" w:h="16840" w:code="9"/>
          <w:pgMar w:top="1701" w:right="992" w:bottom="1134" w:left="1559" w:header="850" w:footer="397" w:gutter="0"/>
          <w:cols w:space="720"/>
          <w:docGrid w:linePitch="360"/>
        </w:sectPr>
      </w:pPr>
    </w:p>
    <w:tbl>
      <w:tblPr>
        <w:tblW w:w="9197" w:type="dxa"/>
        <w:tblInd w:w="140" w:type="dxa"/>
        <w:tblLayout w:type="fixed"/>
        <w:tblCellMar>
          <w:left w:w="0" w:type="dxa"/>
          <w:right w:w="0" w:type="dxa"/>
        </w:tblCellMar>
        <w:tblLook w:val="01E0" w:firstRow="1" w:lastRow="1" w:firstColumn="1" w:lastColumn="1" w:noHBand="0" w:noVBand="0"/>
      </w:tblPr>
      <w:tblGrid>
        <w:gridCol w:w="2728"/>
        <w:gridCol w:w="124"/>
        <w:gridCol w:w="1676"/>
        <w:gridCol w:w="124"/>
        <w:gridCol w:w="1675"/>
        <w:gridCol w:w="123"/>
        <w:gridCol w:w="2747"/>
      </w:tblGrid>
      <w:tr w:rsidR="00375AB2" w:rsidRPr="00DE189C" w14:paraId="7EE62688" w14:textId="77777777" w:rsidTr="005B669E">
        <w:trPr>
          <w:trHeight w:val="20"/>
        </w:trPr>
        <w:tc>
          <w:tcPr>
            <w:tcW w:w="2728" w:type="dxa"/>
            <w:vAlign w:val="bottom"/>
          </w:tcPr>
          <w:p w14:paraId="73E15D57" w14:textId="77777777" w:rsidR="00375AB2" w:rsidRPr="00DE189C" w:rsidRDefault="00375AB2" w:rsidP="00101586">
            <w:pPr>
              <w:ind w:left="283" w:hanging="170"/>
              <w:rPr>
                <w:b/>
                <w:sz w:val="18"/>
                <w:szCs w:val="18"/>
              </w:rPr>
            </w:pPr>
          </w:p>
        </w:tc>
        <w:tc>
          <w:tcPr>
            <w:tcW w:w="124" w:type="dxa"/>
            <w:tcMar>
              <w:left w:w="28" w:type="dxa"/>
              <w:right w:w="28" w:type="dxa"/>
            </w:tcMar>
            <w:vAlign w:val="bottom"/>
          </w:tcPr>
          <w:p w14:paraId="7077105A" w14:textId="77777777" w:rsidR="00375AB2" w:rsidRPr="00DE189C" w:rsidRDefault="00375AB2" w:rsidP="00101586">
            <w:pPr>
              <w:jc w:val="center"/>
              <w:rPr>
                <w:b/>
                <w:sz w:val="18"/>
                <w:szCs w:val="18"/>
              </w:rPr>
            </w:pPr>
          </w:p>
        </w:tc>
        <w:tc>
          <w:tcPr>
            <w:tcW w:w="1676" w:type="dxa"/>
            <w:tcBorders>
              <w:bottom w:val="single" w:sz="4" w:space="0" w:color="auto"/>
            </w:tcBorders>
            <w:tcMar>
              <w:left w:w="28" w:type="dxa"/>
              <w:right w:w="28" w:type="dxa"/>
            </w:tcMar>
            <w:vAlign w:val="bottom"/>
          </w:tcPr>
          <w:p w14:paraId="22BB4AE0" w14:textId="77777777" w:rsidR="00375AB2" w:rsidRPr="00DE189C" w:rsidRDefault="00375AB2" w:rsidP="00101586">
            <w:pPr>
              <w:ind w:left="-85" w:right="28"/>
              <w:jc w:val="center"/>
              <w:rPr>
                <w:b/>
                <w:sz w:val="18"/>
                <w:szCs w:val="18"/>
              </w:rPr>
            </w:pPr>
          </w:p>
          <w:p w14:paraId="0B8CA497" w14:textId="77777777" w:rsidR="001E4F20" w:rsidRDefault="001E4F20" w:rsidP="00101586">
            <w:pPr>
              <w:ind w:left="-85" w:right="28"/>
              <w:jc w:val="center"/>
              <w:rPr>
                <w:b/>
                <w:sz w:val="18"/>
                <w:szCs w:val="18"/>
              </w:rPr>
            </w:pPr>
            <w:r>
              <w:rPr>
                <w:b/>
                <w:sz w:val="18"/>
                <w:szCs w:val="18"/>
              </w:rPr>
              <w:t>31 Maret/</w:t>
            </w:r>
          </w:p>
          <w:p w14:paraId="063448B9" w14:textId="3F3D7FD5" w:rsidR="00375AB2" w:rsidRPr="00DE189C" w:rsidRDefault="001E4F20" w:rsidP="00946853">
            <w:pPr>
              <w:ind w:left="-85" w:right="28"/>
              <w:jc w:val="center"/>
              <w:rPr>
                <w:b/>
                <w:i/>
                <w:sz w:val="18"/>
                <w:szCs w:val="18"/>
                <w:lang w:val="en-ID"/>
              </w:rPr>
            </w:pPr>
            <w:r>
              <w:rPr>
                <w:b/>
                <w:sz w:val="18"/>
                <w:szCs w:val="18"/>
              </w:rPr>
              <w:t>March 31</w:t>
            </w:r>
            <w:r w:rsidR="00305CA0">
              <w:rPr>
                <w:b/>
                <w:sz w:val="18"/>
                <w:szCs w:val="18"/>
              </w:rPr>
              <w:t>.</w:t>
            </w:r>
            <w:r>
              <w:rPr>
                <w:b/>
                <w:sz w:val="18"/>
                <w:szCs w:val="18"/>
              </w:rPr>
              <w:t xml:space="preserve"> 2020</w:t>
            </w:r>
          </w:p>
        </w:tc>
        <w:tc>
          <w:tcPr>
            <w:tcW w:w="124" w:type="dxa"/>
            <w:tcMar>
              <w:left w:w="28" w:type="dxa"/>
              <w:right w:w="28" w:type="dxa"/>
            </w:tcMar>
            <w:vAlign w:val="bottom"/>
          </w:tcPr>
          <w:p w14:paraId="1ED6906A" w14:textId="77777777" w:rsidR="00375AB2" w:rsidRPr="00DE189C" w:rsidRDefault="00375AB2" w:rsidP="00101586">
            <w:pPr>
              <w:jc w:val="center"/>
              <w:rPr>
                <w:b/>
                <w:caps/>
                <w:sz w:val="18"/>
                <w:szCs w:val="18"/>
              </w:rPr>
            </w:pPr>
          </w:p>
        </w:tc>
        <w:tc>
          <w:tcPr>
            <w:tcW w:w="1675" w:type="dxa"/>
            <w:tcBorders>
              <w:bottom w:val="single" w:sz="4" w:space="0" w:color="auto"/>
            </w:tcBorders>
            <w:tcMar>
              <w:left w:w="28" w:type="dxa"/>
              <w:right w:w="28" w:type="dxa"/>
            </w:tcMar>
            <w:vAlign w:val="bottom"/>
          </w:tcPr>
          <w:p w14:paraId="668DC8AC" w14:textId="77777777" w:rsidR="001E4F20" w:rsidRDefault="001E4F20" w:rsidP="00101586">
            <w:pPr>
              <w:jc w:val="center"/>
              <w:rPr>
                <w:b/>
                <w:sz w:val="18"/>
                <w:szCs w:val="18"/>
              </w:rPr>
            </w:pPr>
            <w:r>
              <w:rPr>
                <w:b/>
                <w:sz w:val="18"/>
                <w:szCs w:val="18"/>
              </w:rPr>
              <w:t>31 Maret/</w:t>
            </w:r>
          </w:p>
          <w:p w14:paraId="286EF69F" w14:textId="70CA652F" w:rsidR="00375AB2" w:rsidRPr="00DE189C" w:rsidRDefault="001E4F20" w:rsidP="00946853">
            <w:pPr>
              <w:jc w:val="center"/>
              <w:rPr>
                <w:b/>
                <w:caps/>
                <w:sz w:val="18"/>
                <w:szCs w:val="18"/>
                <w:lang w:val="en-ID"/>
              </w:rPr>
            </w:pPr>
            <w:r>
              <w:rPr>
                <w:b/>
                <w:sz w:val="18"/>
                <w:szCs w:val="18"/>
              </w:rPr>
              <w:t>March 31</w:t>
            </w:r>
            <w:r w:rsidR="00305CA0">
              <w:rPr>
                <w:b/>
                <w:sz w:val="18"/>
                <w:szCs w:val="18"/>
              </w:rPr>
              <w:t>.</w:t>
            </w:r>
            <w:r>
              <w:rPr>
                <w:b/>
                <w:sz w:val="18"/>
                <w:szCs w:val="18"/>
              </w:rPr>
              <w:t xml:space="preserve"> </w:t>
            </w:r>
            <w:r w:rsidR="00375AB2" w:rsidRPr="00DE189C">
              <w:rPr>
                <w:b/>
                <w:sz w:val="18"/>
                <w:szCs w:val="18"/>
              </w:rPr>
              <w:t>201</w:t>
            </w:r>
            <w:r>
              <w:rPr>
                <w:b/>
                <w:sz w:val="18"/>
                <w:szCs w:val="18"/>
                <w:lang w:val="en-ID"/>
              </w:rPr>
              <w:t>9</w:t>
            </w:r>
          </w:p>
        </w:tc>
        <w:tc>
          <w:tcPr>
            <w:tcW w:w="123" w:type="dxa"/>
            <w:vAlign w:val="bottom"/>
          </w:tcPr>
          <w:p w14:paraId="43F7E982" w14:textId="77777777" w:rsidR="00375AB2" w:rsidRPr="00DE189C" w:rsidRDefault="00375AB2" w:rsidP="00101586">
            <w:pPr>
              <w:ind w:right="57"/>
              <w:jc w:val="right"/>
              <w:rPr>
                <w:b/>
                <w:i/>
                <w:sz w:val="18"/>
                <w:szCs w:val="18"/>
              </w:rPr>
            </w:pPr>
          </w:p>
        </w:tc>
        <w:tc>
          <w:tcPr>
            <w:tcW w:w="2747" w:type="dxa"/>
            <w:vAlign w:val="bottom"/>
          </w:tcPr>
          <w:p w14:paraId="18C5FF77" w14:textId="77777777" w:rsidR="00375AB2" w:rsidRPr="00DE189C" w:rsidRDefault="00375AB2" w:rsidP="00101586">
            <w:pPr>
              <w:ind w:right="57"/>
              <w:jc w:val="right"/>
              <w:rPr>
                <w:b/>
                <w:i/>
                <w:sz w:val="18"/>
                <w:szCs w:val="18"/>
              </w:rPr>
            </w:pPr>
          </w:p>
        </w:tc>
      </w:tr>
      <w:tr w:rsidR="00375AB2" w:rsidRPr="00DE189C" w14:paraId="4285EF99" w14:textId="77777777" w:rsidTr="00AC7321">
        <w:trPr>
          <w:trHeight w:val="248"/>
        </w:trPr>
        <w:tc>
          <w:tcPr>
            <w:tcW w:w="2728" w:type="dxa"/>
            <w:vAlign w:val="bottom"/>
          </w:tcPr>
          <w:p w14:paraId="5E613959" w14:textId="68585BBA" w:rsidR="00375AB2" w:rsidRPr="00DE189C" w:rsidRDefault="00375AB2" w:rsidP="00101586">
            <w:pPr>
              <w:ind w:left="283" w:hanging="170"/>
              <w:rPr>
                <w:b/>
                <w:sz w:val="18"/>
                <w:szCs w:val="18"/>
              </w:rPr>
            </w:pPr>
          </w:p>
        </w:tc>
        <w:tc>
          <w:tcPr>
            <w:tcW w:w="124" w:type="dxa"/>
            <w:tcMar>
              <w:left w:w="28" w:type="dxa"/>
              <w:right w:w="28" w:type="dxa"/>
            </w:tcMar>
            <w:vAlign w:val="bottom"/>
          </w:tcPr>
          <w:p w14:paraId="43E02DE6" w14:textId="77777777" w:rsidR="00375AB2" w:rsidRPr="00DE189C" w:rsidRDefault="00375AB2" w:rsidP="00101586">
            <w:pPr>
              <w:jc w:val="center"/>
              <w:rPr>
                <w:b/>
                <w:sz w:val="18"/>
                <w:szCs w:val="18"/>
              </w:rPr>
            </w:pPr>
          </w:p>
        </w:tc>
        <w:tc>
          <w:tcPr>
            <w:tcW w:w="1676" w:type="dxa"/>
            <w:tcBorders>
              <w:top w:val="single" w:sz="4" w:space="0" w:color="auto"/>
            </w:tcBorders>
            <w:tcMar>
              <w:left w:w="28" w:type="dxa"/>
              <w:right w:w="28" w:type="dxa"/>
            </w:tcMar>
            <w:vAlign w:val="bottom"/>
          </w:tcPr>
          <w:p w14:paraId="0A4D9F3C" w14:textId="77777777" w:rsidR="00375AB2" w:rsidRPr="00DE189C" w:rsidRDefault="00375AB2" w:rsidP="00101586">
            <w:pPr>
              <w:ind w:left="-76" w:right="28"/>
              <w:jc w:val="right"/>
              <w:rPr>
                <w:b/>
                <w:sz w:val="18"/>
                <w:szCs w:val="18"/>
              </w:rPr>
            </w:pPr>
          </w:p>
        </w:tc>
        <w:tc>
          <w:tcPr>
            <w:tcW w:w="124" w:type="dxa"/>
            <w:tcMar>
              <w:left w:w="28" w:type="dxa"/>
              <w:right w:w="28" w:type="dxa"/>
            </w:tcMar>
            <w:vAlign w:val="bottom"/>
          </w:tcPr>
          <w:p w14:paraId="5EE269A2" w14:textId="77777777" w:rsidR="00375AB2" w:rsidRPr="00DE189C" w:rsidRDefault="00375AB2" w:rsidP="00101586">
            <w:pPr>
              <w:ind w:left="-76" w:right="28"/>
              <w:jc w:val="right"/>
              <w:rPr>
                <w:b/>
                <w:sz w:val="18"/>
                <w:szCs w:val="18"/>
              </w:rPr>
            </w:pPr>
          </w:p>
        </w:tc>
        <w:tc>
          <w:tcPr>
            <w:tcW w:w="1675" w:type="dxa"/>
            <w:tcBorders>
              <w:top w:val="single" w:sz="4" w:space="0" w:color="auto"/>
            </w:tcBorders>
            <w:tcMar>
              <w:left w:w="28" w:type="dxa"/>
              <w:right w:w="28" w:type="dxa"/>
            </w:tcMar>
            <w:vAlign w:val="bottom"/>
          </w:tcPr>
          <w:p w14:paraId="2EFB4578" w14:textId="77777777" w:rsidR="00375AB2" w:rsidRPr="00DE189C" w:rsidRDefault="00375AB2" w:rsidP="00101586">
            <w:pPr>
              <w:ind w:left="-49" w:right="28"/>
              <w:jc w:val="right"/>
              <w:rPr>
                <w:b/>
                <w:sz w:val="18"/>
                <w:szCs w:val="18"/>
              </w:rPr>
            </w:pPr>
          </w:p>
        </w:tc>
        <w:tc>
          <w:tcPr>
            <w:tcW w:w="123" w:type="dxa"/>
            <w:vAlign w:val="bottom"/>
          </w:tcPr>
          <w:p w14:paraId="78A4C95C" w14:textId="77777777" w:rsidR="00375AB2" w:rsidRPr="00DE189C" w:rsidRDefault="00375AB2" w:rsidP="00101586">
            <w:pPr>
              <w:ind w:right="57"/>
              <w:jc w:val="right"/>
              <w:rPr>
                <w:b/>
                <w:i/>
                <w:sz w:val="18"/>
                <w:szCs w:val="18"/>
              </w:rPr>
            </w:pPr>
          </w:p>
        </w:tc>
        <w:tc>
          <w:tcPr>
            <w:tcW w:w="2747" w:type="dxa"/>
            <w:vAlign w:val="bottom"/>
          </w:tcPr>
          <w:p w14:paraId="64CDB42C" w14:textId="77777777" w:rsidR="00375AB2" w:rsidRPr="00DE189C" w:rsidRDefault="00375AB2" w:rsidP="00101586">
            <w:pPr>
              <w:ind w:right="57"/>
              <w:jc w:val="right"/>
              <w:rPr>
                <w:b/>
                <w:i/>
                <w:sz w:val="18"/>
                <w:szCs w:val="18"/>
              </w:rPr>
            </w:pPr>
          </w:p>
        </w:tc>
      </w:tr>
      <w:tr w:rsidR="00F75085" w:rsidRPr="00DE189C" w14:paraId="2A1331B2" w14:textId="77777777" w:rsidTr="005B669E">
        <w:trPr>
          <w:trHeight w:val="20"/>
        </w:trPr>
        <w:tc>
          <w:tcPr>
            <w:tcW w:w="2728" w:type="dxa"/>
            <w:vAlign w:val="bottom"/>
          </w:tcPr>
          <w:p w14:paraId="2745A4D7" w14:textId="77777777" w:rsidR="00F75085" w:rsidRPr="00DE189C" w:rsidRDefault="00F75085" w:rsidP="00F75085">
            <w:pPr>
              <w:ind w:left="284" w:hanging="142"/>
              <w:rPr>
                <w:sz w:val="18"/>
                <w:szCs w:val="18"/>
              </w:rPr>
            </w:pPr>
            <w:r w:rsidRPr="00DE189C">
              <w:rPr>
                <w:sz w:val="18"/>
                <w:szCs w:val="18"/>
              </w:rPr>
              <w:t>Pendapatan</w:t>
            </w:r>
          </w:p>
        </w:tc>
        <w:tc>
          <w:tcPr>
            <w:tcW w:w="124" w:type="dxa"/>
            <w:tcMar>
              <w:left w:w="28" w:type="dxa"/>
              <w:right w:w="28" w:type="dxa"/>
            </w:tcMar>
            <w:vAlign w:val="bottom"/>
          </w:tcPr>
          <w:p w14:paraId="1CA12BE6" w14:textId="77777777" w:rsidR="00F75085" w:rsidRPr="00DE189C" w:rsidRDefault="00F75085" w:rsidP="00F75085">
            <w:pPr>
              <w:jc w:val="center"/>
              <w:rPr>
                <w:b/>
                <w:sz w:val="18"/>
                <w:szCs w:val="18"/>
              </w:rPr>
            </w:pPr>
          </w:p>
        </w:tc>
        <w:tc>
          <w:tcPr>
            <w:tcW w:w="1676" w:type="dxa"/>
            <w:tcMar>
              <w:left w:w="28" w:type="dxa"/>
              <w:right w:w="28" w:type="dxa"/>
            </w:tcMar>
            <w:vAlign w:val="bottom"/>
          </w:tcPr>
          <w:p w14:paraId="6E1DC528" w14:textId="23AC55EF" w:rsidR="00F75085" w:rsidRPr="00DE189C" w:rsidRDefault="00894135" w:rsidP="00F75085">
            <w:pPr>
              <w:ind w:left="-76" w:right="28"/>
              <w:jc w:val="right"/>
              <w:rPr>
                <w:sz w:val="18"/>
                <w:szCs w:val="18"/>
                <w:lang w:val="id-ID"/>
              </w:rPr>
            </w:pPr>
            <w:r w:rsidRPr="00894135">
              <w:rPr>
                <w:sz w:val="18"/>
                <w:szCs w:val="18"/>
                <w:lang w:val="id-ID"/>
              </w:rPr>
              <w:t>153</w:t>
            </w:r>
            <w:r w:rsidR="00A43AD1">
              <w:rPr>
                <w:sz w:val="18"/>
                <w:szCs w:val="18"/>
                <w:lang w:val="id-ID"/>
              </w:rPr>
              <w:t>.</w:t>
            </w:r>
            <w:r w:rsidRPr="00894135">
              <w:rPr>
                <w:sz w:val="18"/>
                <w:szCs w:val="18"/>
                <w:lang w:val="id-ID"/>
              </w:rPr>
              <w:t>801</w:t>
            </w:r>
            <w:r w:rsidR="00A43AD1">
              <w:rPr>
                <w:sz w:val="18"/>
                <w:szCs w:val="18"/>
                <w:lang w:val="id-ID"/>
              </w:rPr>
              <w:t>.</w:t>
            </w:r>
            <w:r w:rsidRPr="00894135">
              <w:rPr>
                <w:sz w:val="18"/>
                <w:szCs w:val="18"/>
                <w:lang w:val="id-ID"/>
              </w:rPr>
              <w:t>741</w:t>
            </w:r>
            <w:r w:rsidR="00A43AD1">
              <w:rPr>
                <w:sz w:val="18"/>
                <w:szCs w:val="18"/>
                <w:lang w:val="id-ID"/>
              </w:rPr>
              <w:t>.</w:t>
            </w:r>
            <w:r w:rsidRPr="00894135">
              <w:rPr>
                <w:sz w:val="18"/>
                <w:szCs w:val="18"/>
                <w:lang w:val="id-ID"/>
              </w:rPr>
              <w:t>558</w:t>
            </w:r>
          </w:p>
        </w:tc>
        <w:tc>
          <w:tcPr>
            <w:tcW w:w="124" w:type="dxa"/>
            <w:tcMar>
              <w:left w:w="28" w:type="dxa"/>
              <w:right w:w="28" w:type="dxa"/>
            </w:tcMar>
            <w:vAlign w:val="bottom"/>
          </w:tcPr>
          <w:p w14:paraId="07218EFD"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2D773257" w14:textId="33EC3157" w:rsidR="00F75085" w:rsidRPr="00DE189C" w:rsidRDefault="00733CCB" w:rsidP="00F75085">
            <w:pPr>
              <w:ind w:left="-76" w:right="28"/>
              <w:jc w:val="right"/>
              <w:rPr>
                <w:sz w:val="18"/>
                <w:szCs w:val="18"/>
              </w:rPr>
            </w:pPr>
            <w:r>
              <w:rPr>
                <w:sz w:val="18"/>
                <w:szCs w:val="18"/>
              </w:rPr>
              <w:t>1</w:t>
            </w:r>
            <w:r w:rsidRPr="00733CCB">
              <w:rPr>
                <w:sz w:val="18"/>
                <w:szCs w:val="18"/>
              </w:rPr>
              <w:t>47</w:t>
            </w:r>
            <w:r w:rsidR="00A43AD1">
              <w:rPr>
                <w:sz w:val="18"/>
                <w:szCs w:val="18"/>
              </w:rPr>
              <w:t>.</w:t>
            </w:r>
            <w:r w:rsidRPr="00733CCB">
              <w:rPr>
                <w:sz w:val="18"/>
                <w:szCs w:val="18"/>
              </w:rPr>
              <w:t>606</w:t>
            </w:r>
            <w:r w:rsidR="00A43AD1">
              <w:rPr>
                <w:sz w:val="18"/>
                <w:szCs w:val="18"/>
              </w:rPr>
              <w:t>.</w:t>
            </w:r>
            <w:r w:rsidRPr="00733CCB">
              <w:rPr>
                <w:sz w:val="18"/>
                <w:szCs w:val="18"/>
              </w:rPr>
              <w:t>537</w:t>
            </w:r>
            <w:r w:rsidR="00A43AD1">
              <w:rPr>
                <w:sz w:val="18"/>
                <w:szCs w:val="18"/>
              </w:rPr>
              <w:t>.</w:t>
            </w:r>
            <w:r w:rsidRPr="00733CCB">
              <w:rPr>
                <w:sz w:val="18"/>
                <w:szCs w:val="18"/>
              </w:rPr>
              <w:t>572</w:t>
            </w:r>
          </w:p>
        </w:tc>
        <w:tc>
          <w:tcPr>
            <w:tcW w:w="123" w:type="dxa"/>
            <w:vAlign w:val="bottom"/>
          </w:tcPr>
          <w:p w14:paraId="50D2F072" w14:textId="77777777" w:rsidR="00F75085" w:rsidRPr="00DE189C" w:rsidRDefault="00F75085" w:rsidP="00F75085">
            <w:pPr>
              <w:ind w:right="57"/>
              <w:jc w:val="right"/>
              <w:rPr>
                <w:b/>
                <w:i/>
                <w:sz w:val="18"/>
                <w:szCs w:val="18"/>
              </w:rPr>
            </w:pPr>
          </w:p>
        </w:tc>
        <w:tc>
          <w:tcPr>
            <w:tcW w:w="2747" w:type="dxa"/>
            <w:vAlign w:val="bottom"/>
          </w:tcPr>
          <w:p w14:paraId="475F3223" w14:textId="77777777" w:rsidR="00F75085" w:rsidRPr="00DE189C" w:rsidRDefault="00F75085" w:rsidP="00F75085">
            <w:pPr>
              <w:ind w:right="98"/>
              <w:jc w:val="right"/>
              <w:rPr>
                <w:i/>
                <w:sz w:val="18"/>
                <w:szCs w:val="18"/>
              </w:rPr>
            </w:pPr>
            <w:r w:rsidRPr="00DE189C">
              <w:rPr>
                <w:i/>
                <w:sz w:val="18"/>
                <w:szCs w:val="18"/>
              </w:rPr>
              <w:t>Revenues</w:t>
            </w:r>
          </w:p>
        </w:tc>
      </w:tr>
      <w:tr w:rsidR="00F75085" w:rsidRPr="00DE189C" w14:paraId="672B9096" w14:textId="77777777" w:rsidTr="005B669E">
        <w:trPr>
          <w:trHeight w:val="20"/>
        </w:trPr>
        <w:tc>
          <w:tcPr>
            <w:tcW w:w="2728" w:type="dxa"/>
            <w:vAlign w:val="bottom"/>
          </w:tcPr>
          <w:p w14:paraId="3D66505B" w14:textId="07900DD5" w:rsidR="00F75085" w:rsidRPr="00DE189C" w:rsidRDefault="00F75085" w:rsidP="00F75085">
            <w:pPr>
              <w:ind w:left="284" w:hanging="142"/>
              <w:rPr>
                <w:sz w:val="18"/>
                <w:szCs w:val="18"/>
              </w:rPr>
            </w:pPr>
            <w:r w:rsidRPr="00DE189C">
              <w:rPr>
                <w:sz w:val="18"/>
                <w:szCs w:val="18"/>
              </w:rPr>
              <w:t xml:space="preserve">Beban langsung </w:t>
            </w:r>
          </w:p>
        </w:tc>
        <w:tc>
          <w:tcPr>
            <w:tcW w:w="124" w:type="dxa"/>
            <w:tcMar>
              <w:left w:w="28" w:type="dxa"/>
              <w:right w:w="28" w:type="dxa"/>
            </w:tcMar>
            <w:vAlign w:val="bottom"/>
          </w:tcPr>
          <w:p w14:paraId="4F377C9A" w14:textId="77777777" w:rsidR="00F75085" w:rsidRPr="00DE189C" w:rsidRDefault="00F75085" w:rsidP="00F75085">
            <w:pPr>
              <w:jc w:val="center"/>
              <w:rPr>
                <w:sz w:val="18"/>
                <w:szCs w:val="18"/>
              </w:rPr>
            </w:pPr>
          </w:p>
        </w:tc>
        <w:tc>
          <w:tcPr>
            <w:tcW w:w="1676" w:type="dxa"/>
            <w:tcBorders>
              <w:bottom w:val="single" w:sz="4" w:space="0" w:color="auto"/>
            </w:tcBorders>
            <w:tcMar>
              <w:left w:w="28" w:type="dxa"/>
              <w:right w:w="28" w:type="dxa"/>
            </w:tcMar>
            <w:vAlign w:val="bottom"/>
          </w:tcPr>
          <w:p w14:paraId="1EB40C85" w14:textId="0D481998" w:rsidR="00F75085" w:rsidRPr="00DE189C" w:rsidRDefault="00894135" w:rsidP="00F75085">
            <w:pPr>
              <w:ind w:left="-76" w:right="28"/>
              <w:jc w:val="right"/>
              <w:rPr>
                <w:sz w:val="18"/>
                <w:szCs w:val="18"/>
                <w:lang w:val="id-ID"/>
              </w:rPr>
            </w:pPr>
            <w:r w:rsidRPr="00894135">
              <w:rPr>
                <w:sz w:val="18"/>
                <w:szCs w:val="18"/>
                <w:lang w:val="id-ID"/>
              </w:rPr>
              <w:t>(102</w:t>
            </w:r>
            <w:r w:rsidR="00A43AD1">
              <w:rPr>
                <w:sz w:val="18"/>
                <w:szCs w:val="18"/>
                <w:lang w:val="id-ID"/>
              </w:rPr>
              <w:t>.</w:t>
            </w:r>
            <w:r w:rsidRPr="00894135">
              <w:rPr>
                <w:sz w:val="18"/>
                <w:szCs w:val="18"/>
                <w:lang w:val="id-ID"/>
              </w:rPr>
              <w:t>956</w:t>
            </w:r>
            <w:r w:rsidR="00A43AD1">
              <w:rPr>
                <w:sz w:val="18"/>
                <w:szCs w:val="18"/>
                <w:lang w:val="id-ID"/>
              </w:rPr>
              <w:t>.</w:t>
            </w:r>
            <w:r w:rsidRPr="00894135">
              <w:rPr>
                <w:sz w:val="18"/>
                <w:szCs w:val="18"/>
                <w:lang w:val="id-ID"/>
              </w:rPr>
              <w:t>862</w:t>
            </w:r>
            <w:r w:rsidR="00A43AD1">
              <w:rPr>
                <w:sz w:val="18"/>
                <w:szCs w:val="18"/>
                <w:lang w:val="id-ID"/>
              </w:rPr>
              <w:t>.</w:t>
            </w:r>
            <w:r w:rsidRPr="00894135">
              <w:rPr>
                <w:sz w:val="18"/>
                <w:szCs w:val="18"/>
                <w:lang w:val="id-ID"/>
              </w:rPr>
              <w:t>479)</w:t>
            </w:r>
          </w:p>
        </w:tc>
        <w:tc>
          <w:tcPr>
            <w:tcW w:w="124" w:type="dxa"/>
            <w:tcMar>
              <w:left w:w="28" w:type="dxa"/>
              <w:right w:w="28" w:type="dxa"/>
            </w:tcMar>
            <w:vAlign w:val="bottom"/>
          </w:tcPr>
          <w:p w14:paraId="7C51055B" w14:textId="77777777" w:rsidR="00F75085" w:rsidRPr="00DE189C" w:rsidRDefault="00F75085" w:rsidP="00F75085">
            <w:pPr>
              <w:ind w:left="-76" w:right="74"/>
              <w:jc w:val="right"/>
              <w:rPr>
                <w:sz w:val="18"/>
                <w:szCs w:val="18"/>
              </w:rPr>
            </w:pPr>
          </w:p>
        </w:tc>
        <w:tc>
          <w:tcPr>
            <w:tcW w:w="1675" w:type="dxa"/>
            <w:tcBorders>
              <w:bottom w:val="single" w:sz="4" w:space="0" w:color="auto"/>
            </w:tcBorders>
            <w:tcMar>
              <w:left w:w="28" w:type="dxa"/>
              <w:right w:w="28" w:type="dxa"/>
            </w:tcMar>
            <w:vAlign w:val="bottom"/>
          </w:tcPr>
          <w:p w14:paraId="4B47795B" w14:textId="0191B13C" w:rsidR="00F75085" w:rsidRPr="00DE189C" w:rsidRDefault="00733CCB" w:rsidP="00F75085">
            <w:pPr>
              <w:ind w:left="-76" w:right="28"/>
              <w:jc w:val="right"/>
              <w:rPr>
                <w:sz w:val="18"/>
                <w:szCs w:val="18"/>
              </w:rPr>
            </w:pPr>
            <w:r w:rsidRPr="00733CCB">
              <w:rPr>
                <w:sz w:val="18"/>
                <w:szCs w:val="18"/>
              </w:rPr>
              <w:t>(96</w:t>
            </w:r>
            <w:r w:rsidR="00A43AD1">
              <w:rPr>
                <w:sz w:val="18"/>
                <w:szCs w:val="18"/>
              </w:rPr>
              <w:t>.</w:t>
            </w:r>
            <w:r w:rsidRPr="00733CCB">
              <w:rPr>
                <w:sz w:val="18"/>
                <w:szCs w:val="18"/>
              </w:rPr>
              <w:t>580</w:t>
            </w:r>
            <w:r w:rsidR="00A43AD1">
              <w:rPr>
                <w:sz w:val="18"/>
                <w:szCs w:val="18"/>
              </w:rPr>
              <w:t>.</w:t>
            </w:r>
            <w:r w:rsidRPr="00733CCB">
              <w:rPr>
                <w:sz w:val="18"/>
                <w:szCs w:val="18"/>
              </w:rPr>
              <w:t>427</w:t>
            </w:r>
            <w:r w:rsidR="00A43AD1">
              <w:rPr>
                <w:sz w:val="18"/>
                <w:szCs w:val="18"/>
              </w:rPr>
              <w:t>.</w:t>
            </w:r>
            <w:r w:rsidRPr="00733CCB">
              <w:rPr>
                <w:sz w:val="18"/>
                <w:szCs w:val="18"/>
              </w:rPr>
              <w:t>922)</w:t>
            </w:r>
          </w:p>
        </w:tc>
        <w:tc>
          <w:tcPr>
            <w:tcW w:w="123" w:type="dxa"/>
            <w:vAlign w:val="bottom"/>
          </w:tcPr>
          <w:p w14:paraId="1007774C" w14:textId="77777777" w:rsidR="00F75085" w:rsidRPr="00DE189C" w:rsidRDefault="00F75085" w:rsidP="00F75085">
            <w:pPr>
              <w:ind w:right="57"/>
              <w:jc w:val="right"/>
              <w:rPr>
                <w:i/>
                <w:sz w:val="18"/>
                <w:szCs w:val="18"/>
              </w:rPr>
            </w:pPr>
          </w:p>
        </w:tc>
        <w:tc>
          <w:tcPr>
            <w:tcW w:w="2747" w:type="dxa"/>
            <w:vAlign w:val="bottom"/>
          </w:tcPr>
          <w:p w14:paraId="09784CEB" w14:textId="77777777" w:rsidR="00F75085" w:rsidRPr="00DE189C" w:rsidRDefault="00F75085" w:rsidP="00F75085">
            <w:pPr>
              <w:ind w:right="98"/>
              <w:jc w:val="right"/>
              <w:rPr>
                <w:i/>
                <w:sz w:val="18"/>
                <w:szCs w:val="18"/>
              </w:rPr>
            </w:pPr>
            <w:r w:rsidRPr="00DE189C">
              <w:rPr>
                <w:i/>
                <w:sz w:val="18"/>
                <w:szCs w:val="18"/>
              </w:rPr>
              <w:t>Direct cost</w:t>
            </w:r>
          </w:p>
        </w:tc>
      </w:tr>
      <w:tr w:rsidR="00F75085" w:rsidRPr="00DE189C" w14:paraId="1668C7A4" w14:textId="77777777" w:rsidTr="005B669E">
        <w:trPr>
          <w:trHeight w:val="20"/>
        </w:trPr>
        <w:tc>
          <w:tcPr>
            <w:tcW w:w="2728" w:type="dxa"/>
            <w:vAlign w:val="bottom"/>
          </w:tcPr>
          <w:p w14:paraId="0D56B3B2" w14:textId="77777777" w:rsidR="00F75085" w:rsidRPr="00DE189C" w:rsidRDefault="00F75085" w:rsidP="00F75085">
            <w:pPr>
              <w:ind w:left="284" w:hanging="142"/>
              <w:rPr>
                <w:sz w:val="18"/>
                <w:szCs w:val="18"/>
              </w:rPr>
            </w:pPr>
          </w:p>
        </w:tc>
        <w:tc>
          <w:tcPr>
            <w:tcW w:w="124" w:type="dxa"/>
            <w:tcMar>
              <w:left w:w="28" w:type="dxa"/>
              <w:right w:w="28" w:type="dxa"/>
            </w:tcMar>
            <w:vAlign w:val="bottom"/>
          </w:tcPr>
          <w:p w14:paraId="5B6C12D3" w14:textId="77777777" w:rsidR="00F75085" w:rsidRPr="00DE189C" w:rsidRDefault="00F75085" w:rsidP="00F75085">
            <w:pPr>
              <w:jc w:val="center"/>
              <w:rPr>
                <w:sz w:val="18"/>
                <w:szCs w:val="18"/>
              </w:rPr>
            </w:pPr>
          </w:p>
        </w:tc>
        <w:tc>
          <w:tcPr>
            <w:tcW w:w="1676" w:type="dxa"/>
            <w:tcBorders>
              <w:top w:val="single" w:sz="4" w:space="0" w:color="auto"/>
            </w:tcBorders>
            <w:tcMar>
              <w:left w:w="28" w:type="dxa"/>
              <w:right w:w="28" w:type="dxa"/>
            </w:tcMar>
            <w:vAlign w:val="bottom"/>
          </w:tcPr>
          <w:p w14:paraId="5C1B21BC" w14:textId="77777777" w:rsidR="00F75085" w:rsidRPr="00DE189C" w:rsidRDefault="00F75085" w:rsidP="00F75085">
            <w:pPr>
              <w:ind w:left="-76" w:right="28"/>
              <w:jc w:val="right"/>
              <w:rPr>
                <w:sz w:val="18"/>
                <w:szCs w:val="18"/>
                <w:lang w:val="id-ID"/>
              </w:rPr>
            </w:pPr>
          </w:p>
        </w:tc>
        <w:tc>
          <w:tcPr>
            <w:tcW w:w="124" w:type="dxa"/>
            <w:tcMar>
              <w:left w:w="28" w:type="dxa"/>
              <w:right w:w="28" w:type="dxa"/>
            </w:tcMar>
            <w:vAlign w:val="bottom"/>
          </w:tcPr>
          <w:p w14:paraId="17EA1785" w14:textId="77777777" w:rsidR="00F75085" w:rsidRPr="00DE189C" w:rsidRDefault="00F75085" w:rsidP="00F75085">
            <w:pPr>
              <w:ind w:right="74"/>
              <w:jc w:val="right"/>
              <w:rPr>
                <w:sz w:val="18"/>
                <w:szCs w:val="18"/>
              </w:rPr>
            </w:pPr>
          </w:p>
        </w:tc>
        <w:tc>
          <w:tcPr>
            <w:tcW w:w="1675" w:type="dxa"/>
            <w:tcBorders>
              <w:top w:val="single" w:sz="4" w:space="0" w:color="auto"/>
            </w:tcBorders>
            <w:tcMar>
              <w:left w:w="28" w:type="dxa"/>
              <w:right w:w="28" w:type="dxa"/>
            </w:tcMar>
            <w:vAlign w:val="bottom"/>
          </w:tcPr>
          <w:p w14:paraId="0A950437" w14:textId="77777777" w:rsidR="00F75085" w:rsidRPr="00DE189C" w:rsidRDefault="00F75085" w:rsidP="00F75085">
            <w:pPr>
              <w:ind w:left="-76" w:right="28"/>
              <w:jc w:val="right"/>
              <w:rPr>
                <w:sz w:val="18"/>
                <w:szCs w:val="18"/>
              </w:rPr>
            </w:pPr>
          </w:p>
        </w:tc>
        <w:tc>
          <w:tcPr>
            <w:tcW w:w="123" w:type="dxa"/>
            <w:vAlign w:val="bottom"/>
          </w:tcPr>
          <w:p w14:paraId="11CF5C9E" w14:textId="77777777" w:rsidR="00F75085" w:rsidRPr="00DE189C" w:rsidRDefault="00F75085" w:rsidP="00F75085">
            <w:pPr>
              <w:ind w:right="57"/>
              <w:jc w:val="right"/>
              <w:rPr>
                <w:i/>
                <w:sz w:val="18"/>
                <w:szCs w:val="18"/>
              </w:rPr>
            </w:pPr>
          </w:p>
        </w:tc>
        <w:tc>
          <w:tcPr>
            <w:tcW w:w="2747" w:type="dxa"/>
            <w:vAlign w:val="bottom"/>
          </w:tcPr>
          <w:p w14:paraId="5B20DA6F" w14:textId="77777777" w:rsidR="00F75085" w:rsidRPr="00DE189C" w:rsidRDefault="00F75085" w:rsidP="00F75085">
            <w:pPr>
              <w:ind w:right="98"/>
              <w:jc w:val="right"/>
              <w:rPr>
                <w:i/>
                <w:sz w:val="18"/>
                <w:szCs w:val="18"/>
              </w:rPr>
            </w:pPr>
          </w:p>
        </w:tc>
      </w:tr>
      <w:tr w:rsidR="00F75085" w:rsidRPr="00DE189C" w14:paraId="326D110F" w14:textId="77777777" w:rsidTr="005B669E">
        <w:trPr>
          <w:trHeight w:val="20"/>
        </w:trPr>
        <w:tc>
          <w:tcPr>
            <w:tcW w:w="2728" w:type="dxa"/>
            <w:vAlign w:val="bottom"/>
          </w:tcPr>
          <w:p w14:paraId="4CBFA6F5" w14:textId="77777777" w:rsidR="00F75085" w:rsidRPr="00DE189C" w:rsidRDefault="00F75085" w:rsidP="00F75085">
            <w:pPr>
              <w:ind w:left="142"/>
              <w:rPr>
                <w:b/>
                <w:sz w:val="18"/>
                <w:szCs w:val="18"/>
              </w:rPr>
            </w:pPr>
            <w:r w:rsidRPr="00DE189C">
              <w:rPr>
                <w:b/>
                <w:sz w:val="18"/>
                <w:szCs w:val="18"/>
              </w:rPr>
              <w:t xml:space="preserve">LABA BRUTO </w:t>
            </w:r>
          </w:p>
        </w:tc>
        <w:tc>
          <w:tcPr>
            <w:tcW w:w="124" w:type="dxa"/>
            <w:tcMar>
              <w:left w:w="28" w:type="dxa"/>
              <w:right w:w="28" w:type="dxa"/>
            </w:tcMar>
            <w:vAlign w:val="bottom"/>
          </w:tcPr>
          <w:p w14:paraId="21BB6E73" w14:textId="77777777" w:rsidR="00F75085" w:rsidRPr="00DE189C" w:rsidRDefault="00F75085" w:rsidP="00F75085">
            <w:pPr>
              <w:jc w:val="center"/>
              <w:rPr>
                <w:sz w:val="18"/>
                <w:szCs w:val="18"/>
              </w:rPr>
            </w:pPr>
          </w:p>
        </w:tc>
        <w:tc>
          <w:tcPr>
            <w:tcW w:w="1676" w:type="dxa"/>
            <w:tcMar>
              <w:left w:w="28" w:type="dxa"/>
              <w:right w:w="28" w:type="dxa"/>
            </w:tcMar>
            <w:vAlign w:val="bottom"/>
          </w:tcPr>
          <w:p w14:paraId="2E88E627" w14:textId="1D3EE157" w:rsidR="00F75085" w:rsidRPr="00DE189C" w:rsidRDefault="00894135" w:rsidP="00F75085">
            <w:pPr>
              <w:ind w:left="-76" w:right="28"/>
              <w:jc w:val="right"/>
              <w:rPr>
                <w:b/>
                <w:sz w:val="18"/>
                <w:szCs w:val="18"/>
                <w:lang w:val="id-ID"/>
              </w:rPr>
            </w:pPr>
            <w:r w:rsidRPr="00894135">
              <w:rPr>
                <w:b/>
                <w:sz w:val="18"/>
                <w:szCs w:val="18"/>
                <w:lang w:val="id-ID"/>
              </w:rPr>
              <w:t>50</w:t>
            </w:r>
            <w:r w:rsidR="00A43AD1">
              <w:rPr>
                <w:b/>
                <w:sz w:val="18"/>
                <w:szCs w:val="18"/>
                <w:lang w:val="id-ID"/>
              </w:rPr>
              <w:t>.</w:t>
            </w:r>
            <w:r w:rsidRPr="00894135">
              <w:rPr>
                <w:b/>
                <w:sz w:val="18"/>
                <w:szCs w:val="18"/>
                <w:lang w:val="id-ID"/>
              </w:rPr>
              <w:t>844</w:t>
            </w:r>
            <w:r w:rsidR="00A43AD1">
              <w:rPr>
                <w:b/>
                <w:sz w:val="18"/>
                <w:szCs w:val="18"/>
                <w:lang w:val="id-ID"/>
              </w:rPr>
              <w:t>.</w:t>
            </w:r>
            <w:r w:rsidRPr="00894135">
              <w:rPr>
                <w:b/>
                <w:sz w:val="18"/>
                <w:szCs w:val="18"/>
                <w:lang w:val="id-ID"/>
              </w:rPr>
              <w:t>879</w:t>
            </w:r>
            <w:r w:rsidR="00A43AD1">
              <w:rPr>
                <w:b/>
                <w:sz w:val="18"/>
                <w:szCs w:val="18"/>
                <w:lang w:val="id-ID"/>
              </w:rPr>
              <w:t>.</w:t>
            </w:r>
            <w:r w:rsidRPr="00894135">
              <w:rPr>
                <w:b/>
                <w:sz w:val="18"/>
                <w:szCs w:val="18"/>
                <w:lang w:val="id-ID"/>
              </w:rPr>
              <w:t>078</w:t>
            </w:r>
          </w:p>
        </w:tc>
        <w:tc>
          <w:tcPr>
            <w:tcW w:w="124" w:type="dxa"/>
            <w:tcMar>
              <w:left w:w="28" w:type="dxa"/>
              <w:right w:w="28" w:type="dxa"/>
            </w:tcMar>
            <w:vAlign w:val="bottom"/>
          </w:tcPr>
          <w:p w14:paraId="54F23EBB" w14:textId="77777777" w:rsidR="00F75085" w:rsidRPr="00DE189C" w:rsidRDefault="00F75085" w:rsidP="00F75085">
            <w:pPr>
              <w:ind w:left="-76" w:right="74"/>
              <w:jc w:val="right"/>
              <w:rPr>
                <w:b/>
                <w:sz w:val="18"/>
                <w:szCs w:val="18"/>
              </w:rPr>
            </w:pPr>
          </w:p>
        </w:tc>
        <w:tc>
          <w:tcPr>
            <w:tcW w:w="1675" w:type="dxa"/>
            <w:tcMar>
              <w:left w:w="28" w:type="dxa"/>
              <w:right w:w="28" w:type="dxa"/>
            </w:tcMar>
            <w:vAlign w:val="bottom"/>
          </w:tcPr>
          <w:p w14:paraId="6C5D8098" w14:textId="72E4AF47" w:rsidR="00F75085" w:rsidRPr="00DE189C" w:rsidRDefault="00733CCB" w:rsidP="00F75085">
            <w:pPr>
              <w:ind w:left="-76" w:right="28"/>
              <w:jc w:val="right"/>
              <w:rPr>
                <w:b/>
                <w:sz w:val="18"/>
                <w:szCs w:val="18"/>
              </w:rPr>
            </w:pPr>
            <w:r>
              <w:rPr>
                <w:b/>
                <w:sz w:val="18"/>
                <w:szCs w:val="18"/>
              </w:rPr>
              <w:t>5</w:t>
            </w:r>
            <w:r w:rsidRPr="00733CCB">
              <w:rPr>
                <w:b/>
                <w:sz w:val="18"/>
                <w:szCs w:val="18"/>
              </w:rPr>
              <w:t>1</w:t>
            </w:r>
            <w:r w:rsidR="00A43AD1">
              <w:rPr>
                <w:b/>
                <w:sz w:val="18"/>
                <w:szCs w:val="18"/>
              </w:rPr>
              <w:t>.</w:t>
            </w:r>
            <w:r w:rsidRPr="00733CCB">
              <w:rPr>
                <w:b/>
                <w:sz w:val="18"/>
                <w:szCs w:val="18"/>
              </w:rPr>
              <w:t>026</w:t>
            </w:r>
            <w:r w:rsidR="00A43AD1">
              <w:rPr>
                <w:b/>
                <w:sz w:val="18"/>
                <w:szCs w:val="18"/>
              </w:rPr>
              <w:t>.</w:t>
            </w:r>
            <w:r w:rsidRPr="00733CCB">
              <w:rPr>
                <w:b/>
                <w:sz w:val="18"/>
                <w:szCs w:val="18"/>
              </w:rPr>
              <w:t>109</w:t>
            </w:r>
            <w:r w:rsidR="00A43AD1">
              <w:rPr>
                <w:b/>
                <w:sz w:val="18"/>
                <w:szCs w:val="18"/>
              </w:rPr>
              <w:t>.</w:t>
            </w:r>
            <w:r w:rsidRPr="00733CCB">
              <w:rPr>
                <w:b/>
                <w:sz w:val="18"/>
                <w:szCs w:val="18"/>
              </w:rPr>
              <w:t>651</w:t>
            </w:r>
          </w:p>
        </w:tc>
        <w:tc>
          <w:tcPr>
            <w:tcW w:w="123" w:type="dxa"/>
            <w:vAlign w:val="bottom"/>
          </w:tcPr>
          <w:p w14:paraId="5A1B404D" w14:textId="77777777" w:rsidR="00F75085" w:rsidRPr="00DE189C" w:rsidRDefault="00F75085" w:rsidP="00F75085">
            <w:pPr>
              <w:ind w:right="88"/>
              <w:jc w:val="right"/>
              <w:rPr>
                <w:i/>
                <w:iCs/>
                <w:sz w:val="18"/>
                <w:szCs w:val="18"/>
              </w:rPr>
            </w:pPr>
          </w:p>
        </w:tc>
        <w:tc>
          <w:tcPr>
            <w:tcW w:w="2747" w:type="dxa"/>
            <w:vAlign w:val="bottom"/>
          </w:tcPr>
          <w:p w14:paraId="627EB831" w14:textId="77777777" w:rsidR="00F75085" w:rsidRPr="00DE189C" w:rsidRDefault="00F75085" w:rsidP="00F75085">
            <w:pPr>
              <w:ind w:right="98"/>
              <w:jc w:val="right"/>
              <w:rPr>
                <w:b/>
                <w:i/>
                <w:sz w:val="18"/>
                <w:szCs w:val="18"/>
              </w:rPr>
            </w:pPr>
            <w:r w:rsidRPr="00DE189C">
              <w:rPr>
                <w:b/>
                <w:i/>
                <w:sz w:val="18"/>
                <w:szCs w:val="18"/>
              </w:rPr>
              <w:t xml:space="preserve">GROSS PROFIT </w:t>
            </w:r>
          </w:p>
        </w:tc>
      </w:tr>
      <w:tr w:rsidR="00F75085" w:rsidRPr="00DE189C" w14:paraId="24D316DE" w14:textId="77777777" w:rsidTr="005B669E">
        <w:trPr>
          <w:trHeight w:val="20"/>
        </w:trPr>
        <w:tc>
          <w:tcPr>
            <w:tcW w:w="2728" w:type="dxa"/>
            <w:vAlign w:val="bottom"/>
          </w:tcPr>
          <w:p w14:paraId="1D343D73" w14:textId="77777777" w:rsidR="00F75085" w:rsidRPr="00DE189C" w:rsidRDefault="00F75085" w:rsidP="00F75085">
            <w:pPr>
              <w:ind w:left="284" w:hanging="142"/>
              <w:rPr>
                <w:sz w:val="18"/>
                <w:szCs w:val="18"/>
              </w:rPr>
            </w:pPr>
          </w:p>
        </w:tc>
        <w:tc>
          <w:tcPr>
            <w:tcW w:w="124" w:type="dxa"/>
            <w:tcMar>
              <w:left w:w="28" w:type="dxa"/>
              <w:right w:w="28" w:type="dxa"/>
            </w:tcMar>
            <w:vAlign w:val="bottom"/>
          </w:tcPr>
          <w:p w14:paraId="20ED7332" w14:textId="77777777" w:rsidR="00F75085" w:rsidRPr="00DE189C" w:rsidRDefault="00F75085" w:rsidP="00F75085">
            <w:pPr>
              <w:jc w:val="center"/>
              <w:rPr>
                <w:sz w:val="18"/>
                <w:szCs w:val="18"/>
              </w:rPr>
            </w:pPr>
          </w:p>
        </w:tc>
        <w:tc>
          <w:tcPr>
            <w:tcW w:w="1676" w:type="dxa"/>
            <w:tcMar>
              <w:left w:w="28" w:type="dxa"/>
              <w:right w:w="28" w:type="dxa"/>
            </w:tcMar>
            <w:vAlign w:val="bottom"/>
          </w:tcPr>
          <w:p w14:paraId="50691171" w14:textId="77777777" w:rsidR="00F75085" w:rsidRPr="00DE189C" w:rsidRDefault="00F75085" w:rsidP="00F75085">
            <w:pPr>
              <w:ind w:left="-76" w:right="28"/>
              <w:jc w:val="right"/>
              <w:rPr>
                <w:sz w:val="18"/>
                <w:szCs w:val="18"/>
                <w:lang w:val="id-ID"/>
              </w:rPr>
            </w:pPr>
          </w:p>
        </w:tc>
        <w:tc>
          <w:tcPr>
            <w:tcW w:w="124" w:type="dxa"/>
            <w:tcMar>
              <w:left w:w="28" w:type="dxa"/>
              <w:right w:w="28" w:type="dxa"/>
            </w:tcMar>
            <w:vAlign w:val="bottom"/>
          </w:tcPr>
          <w:p w14:paraId="69CEF271" w14:textId="77777777" w:rsidR="00F75085" w:rsidRPr="00DE189C" w:rsidRDefault="00F75085" w:rsidP="00F75085">
            <w:pPr>
              <w:ind w:right="74"/>
              <w:jc w:val="right"/>
              <w:rPr>
                <w:sz w:val="18"/>
                <w:szCs w:val="18"/>
              </w:rPr>
            </w:pPr>
          </w:p>
        </w:tc>
        <w:tc>
          <w:tcPr>
            <w:tcW w:w="1675" w:type="dxa"/>
            <w:tcMar>
              <w:left w:w="28" w:type="dxa"/>
              <w:right w:w="28" w:type="dxa"/>
            </w:tcMar>
            <w:vAlign w:val="bottom"/>
          </w:tcPr>
          <w:p w14:paraId="4337C373" w14:textId="77777777" w:rsidR="00F75085" w:rsidRPr="00DE189C" w:rsidRDefault="00F75085" w:rsidP="00F75085">
            <w:pPr>
              <w:ind w:left="-76" w:right="28"/>
              <w:jc w:val="right"/>
              <w:rPr>
                <w:sz w:val="18"/>
                <w:szCs w:val="18"/>
              </w:rPr>
            </w:pPr>
          </w:p>
        </w:tc>
        <w:tc>
          <w:tcPr>
            <w:tcW w:w="123" w:type="dxa"/>
            <w:vAlign w:val="bottom"/>
          </w:tcPr>
          <w:p w14:paraId="4D51E9EB" w14:textId="77777777" w:rsidR="00F75085" w:rsidRPr="00DE189C" w:rsidRDefault="00F75085" w:rsidP="00F75085">
            <w:pPr>
              <w:ind w:right="247"/>
              <w:jc w:val="right"/>
              <w:rPr>
                <w:i/>
                <w:sz w:val="18"/>
                <w:szCs w:val="18"/>
                <w:lang w:val="id-ID"/>
              </w:rPr>
            </w:pPr>
          </w:p>
        </w:tc>
        <w:tc>
          <w:tcPr>
            <w:tcW w:w="2747" w:type="dxa"/>
            <w:vAlign w:val="bottom"/>
          </w:tcPr>
          <w:p w14:paraId="5A87BFBA" w14:textId="77777777" w:rsidR="00F75085" w:rsidRPr="00DE189C" w:rsidRDefault="00F75085" w:rsidP="00F75085">
            <w:pPr>
              <w:ind w:right="98"/>
              <w:jc w:val="right"/>
              <w:rPr>
                <w:i/>
                <w:sz w:val="18"/>
                <w:szCs w:val="18"/>
              </w:rPr>
            </w:pPr>
          </w:p>
        </w:tc>
      </w:tr>
      <w:tr w:rsidR="00F75085" w:rsidRPr="00DE189C" w14:paraId="6D4DDB0D" w14:textId="77777777" w:rsidTr="005B669E">
        <w:trPr>
          <w:trHeight w:val="20"/>
        </w:trPr>
        <w:tc>
          <w:tcPr>
            <w:tcW w:w="2728" w:type="dxa"/>
            <w:vAlign w:val="bottom"/>
          </w:tcPr>
          <w:p w14:paraId="51210363" w14:textId="77777777" w:rsidR="00F75085" w:rsidRPr="00DE189C" w:rsidRDefault="00F75085" w:rsidP="00F75085">
            <w:pPr>
              <w:ind w:left="142"/>
              <w:rPr>
                <w:sz w:val="18"/>
                <w:szCs w:val="18"/>
              </w:rPr>
            </w:pPr>
            <w:r w:rsidRPr="00DE189C">
              <w:rPr>
                <w:sz w:val="18"/>
                <w:szCs w:val="18"/>
              </w:rPr>
              <w:t>Beban penjualan</w:t>
            </w:r>
          </w:p>
        </w:tc>
        <w:tc>
          <w:tcPr>
            <w:tcW w:w="124" w:type="dxa"/>
            <w:tcMar>
              <w:left w:w="28" w:type="dxa"/>
              <w:right w:w="28" w:type="dxa"/>
            </w:tcMar>
            <w:vAlign w:val="bottom"/>
          </w:tcPr>
          <w:p w14:paraId="503E7E44" w14:textId="77777777" w:rsidR="00F75085" w:rsidRPr="00DE189C" w:rsidRDefault="00F75085" w:rsidP="00F75085">
            <w:pPr>
              <w:jc w:val="center"/>
              <w:rPr>
                <w:sz w:val="18"/>
                <w:szCs w:val="18"/>
              </w:rPr>
            </w:pPr>
          </w:p>
        </w:tc>
        <w:tc>
          <w:tcPr>
            <w:tcW w:w="1676" w:type="dxa"/>
            <w:tcMar>
              <w:left w:w="28" w:type="dxa"/>
              <w:right w:w="28" w:type="dxa"/>
            </w:tcMar>
            <w:vAlign w:val="bottom"/>
          </w:tcPr>
          <w:p w14:paraId="087EC6E1" w14:textId="43AB7161" w:rsidR="00F75085" w:rsidRPr="00DE189C" w:rsidRDefault="00894135" w:rsidP="00F75085">
            <w:pPr>
              <w:ind w:left="-76" w:right="28"/>
              <w:jc w:val="right"/>
              <w:rPr>
                <w:sz w:val="18"/>
                <w:szCs w:val="18"/>
                <w:lang w:val="id-ID"/>
              </w:rPr>
            </w:pPr>
            <w:r w:rsidRPr="00894135">
              <w:rPr>
                <w:sz w:val="18"/>
                <w:szCs w:val="18"/>
                <w:lang w:val="id-ID"/>
              </w:rPr>
              <w:t>(1</w:t>
            </w:r>
            <w:r w:rsidR="00A43AD1">
              <w:rPr>
                <w:sz w:val="18"/>
                <w:szCs w:val="18"/>
                <w:lang w:val="id-ID"/>
              </w:rPr>
              <w:t>.</w:t>
            </w:r>
            <w:r w:rsidRPr="00894135">
              <w:rPr>
                <w:sz w:val="18"/>
                <w:szCs w:val="18"/>
                <w:lang w:val="id-ID"/>
              </w:rPr>
              <w:t>860</w:t>
            </w:r>
            <w:r w:rsidR="00A43AD1">
              <w:rPr>
                <w:sz w:val="18"/>
                <w:szCs w:val="18"/>
                <w:lang w:val="id-ID"/>
              </w:rPr>
              <w:t>.</w:t>
            </w:r>
            <w:r w:rsidRPr="00894135">
              <w:rPr>
                <w:sz w:val="18"/>
                <w:szCs w:val="18"/>
                <w:lang w:val="id-ID"/>
              </w:rPr>
              <w:t>995</w:t>
            </w:r>
            <w:r w:rsidR="00A43AD1">
              <w:rPr>
                <w:sz w:val="18"/>
                <w:szCs w:val="18"/>
                <w:lang w:val="id-ID"/>
              </w:rPr>
              <w:t>.</w:t>
            </w:r>
            <w:r w:rsidRPr="00894135">
              <w:rPr>
                <w:sz w:val="18"/>
                <w:szCs w:val="18"/>
                <w:lang w:val="id-ID"/>
              </w:rPr>
              <w:t>087)</w:t>
            </w:r>
          </w:p>
        </w:tc>
        <w:tc>
          <w:tcPr>
            <w:tcW w:w="124" w:type="dxa"/>
            <w:tcMar>
              <w:left w:w="28" w:type="dxa"/>
              <w:right w:w="28" w:type="dxa"/>
            </w:tcMar>
            <w:vAlign w:val="bottom"/>
          </w:tcPr>
          <w:p w14:paraId="02A066DB"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5E968D1D" w14:textId="3A4C8DB6" w:rsidR="00F75085" w:rsidRPr="00DE189C" w:rsidRDefault="00733CCB" w:rsidP="00F75085">
            <w:pPr>
              <w:ind w:left="-76" w:right="28"/>
              <w:jc w:val="right"/>
              <w:rPr>
                <w:sz w:val="18"/>
                <w:szCs w:val="18"/>
              </w:rPr>
            </w:pPr>
            <w:r w:rsidRPr="00733CCB">
              <w:rPr>
                <w:sz w:val="18"/>
                <w:szCs w:val="18"/>
              </w:rPr>
              <w:t>(1</w:t>
            </w:r>
            <w:r w:rsidR="00A43AD1">
              <w:rPr>
                <w:sz w:val="18"/>
                <w:szCs w:val="18"/>
              </w:rPr>
              <w:t>.</w:t>
            </w:r>
            <w:r w:rsidRPr="00733CCB">
              <w:rPr>
                <w:sz w:val="18"/>
                <w:szCs w:val="18"/>
              </w:rPr>
              <w:t>374</w:t>
            </w:r>
            <w:r w:rsidR="00A43AD1">
              <w:rPr>
                <w:sz w:val="18"/>
                <w:szCs w:val="18"/>
              </w:rPr>
              <w:t>.</w:t>
            </w:r>
            <w:r w:rsidRPr="00733CCB">
              <w:rPr>
                <w:sz w:val="18"/>
                <w:szCs w:val="18"/>
              </w:rPr>
              <w:t>880</w:t>
            </w:r>
            <w:r w:rsidR="00A43AD1">
              <w:rPr>
                <w:sz w:val="18"/>
                <w:szCs w:val="18"/>
              </w:rPr>
              <w:t>.</w:t>
            </w:r>
            <w:r w:rsidRPr="00733CCB">
              <w:rPr>
                <w:sz w:val="18"/>
                <w:szCs w:val="18"/>
              </w:rPr>
              <w:t>686)</w:t>
            </w:r>
          </w:p>
        </w:tc>
        <w:tc>
          <w:tcPr>
            <w:tcW w:w="123" w:type="dxa"/>
            <w:vAlign w:val="bottom"/>
          </w:tcPr>
          <w:p w14:paraId="50B07C29" w14:textId="77777777" w:rsidR="00F75085" w:rsidRPr="00DE189C" w:rsidRDefault="00F75085" w:rsidP="00F75085">
            <w:pPr>
              <w:ind w:right="247"/>
              <w:jc w:val="right"/>
              <w:rPr>
                <w:i/>
                <w:iCs/>
                <w:sz w:val="18"/>
                <w:szCs w:val="18"/>
                <w:lang w:val="id-ID"/>
              </w:rPr>
            </w:pPr>
          </w:p>
        </w:tc>
        <w:tc>
          <w:tcPr>
            <w:tcW w:w="2747" w:type="dxa"/>
            <w:vAlign w:val="bottom"/>
          </w:tcPr>
          <w:p w14:paraId="1D980D95" w14:textId="77777777" w:rsidR="00F75085" w:rsidRPr="00DE189C" w:rsidRDefault="00F75085" w:rsidP="00F75085">
            <w:pPr>
              <w:ind w:right="98"/>
              <w:jc w:val="right"/>
              <w:rPr>
                <w:i/>
                <w:sz w:val="18"/>
                <w:szCs w:val="18"/>
              </w:rPr>
            </w:pPr>
            <w:r w:rsidRPr="00DE189C">
              <w:rPr>
                <w:i/>
                <w:sz w:val="18"/>
                <w:szCs w:val="18"/>
              </w:rPr>
              <w:t>Selling expenses</w:t>
            </w:r>
          </w:p>
        </w:tc>
      </w:tr>
      <w:tr w:rsidR="00F75085" w:rsidRPr="00DE189C" w14:paraId="1420A83A" w14:textId="77777777" w:rsidTr="005B669E">
        <w:trPr>
          <w:trHeight w:val="20"/>
        </w:trPr>
        <w:tc>
          <w:tcPr>
            <w:tcW w:w="2728" w:type="dxa"/>
            <w:vAlign w:val="bottom"/>
          </w:tcPr>
          <w:p w14:paraId="5ED97E54" w14:textId="77777777" w:rsidR="00F75085" w:rsidRPr="00DE189C" w:rsidRDefault="00F75085" w:rsidP="00F75085">
            <w:pPr>
              <w:ind w:left="142"/>
              <w:rPr>
                <w:sz w:val="18"/>
                <w:szCs w:val="18"/>
              </w:rPr>
            </w:pPr>
            <w:r w:rsidRPr="00DE189C">
              <w:rPr>
                <w:sz w:val="18"/>
                <w:szCs w:val="18"/>
              </w:rPr>
              <w:t xml:space="preserve">Beban umum dan administrasi </w:t>
            </w:r>
          </w:p>
        </w:tc>
        <w:tc>
          <w:tcPr>
            <w:tcW w:w="124" w:type="dxa"/>
            <w:tcMar>
              <w:left w:w="28" w:type="dxa"/>
              <w:right w:w="28" w:type="dxa"/>
            </w:tcMar>
            <w:vAlign w:val="bottom"/>
          </w:tcPr>
          <w:p w14:paraId="203C4D64" w14:textId="77777777" w:rsidR="00F75085" w:rsidRPr="00DE189C" w:rsidRDefault="00F75085" w:rsidP="00F75085">
            <w:pPr>
              <w:jc w:val="center"/>
              <w:rPr>
                <w:sz w:val="18"/>
                <w:szCs w:val="18"/>
              </w:rPr>
            </w:pPr>
          </w:p>
        </w:tc>
        <w:tc>
          <w:tcPr>
            <w:tcW w:w="1676" w:type="dxa"/>
            <w:tcMar>
              <w:left w:w="28" w:type="dxa"/>
              <w:right w:w="28" w:type="dxa"/>
            </w:tcMar>
            <w:vAlign w:val="bottom"/>
          </w:tcPr>
          <w:p w14:paraId="4471AAAD" w14:textId="0363D3CB" w:rsidR="00F75085" w:rsidRPr="00DE189C" w:rsidRDefault="00FC2E4A" w:rsidP="00F75085">
            <w:pPr>
              <w:ind w:left="-76" w:right="28"/>
              <w:jc w:val="right"/>
              <w:rPr>
                <w:sz w:val="18"/>
                <w:szCs w:val="18"/>
                <w:lang w:val="id-ID"/>
              </w:rPr>
            </w:pPr>
            <w:r w:rsidRPr="008723B4">
              <w:rPr>
                <w:sz w:val="18"/>
                <w:szCs w:val="18"/>
              </w:rPr>
              <w:t>(43.567.339.828)</w:t>
            </w:r>
          </w:p>
        </w:tc>
        <w:tc>
          <w:tcPr>
            <w:tcW w:w="124" w:type="dxa"/>
            <w:tcMar>
              <w:left w:w="28" w:type="dxa"/>
              <w:right w:w="28" w:type="dxa"/>
            </w:tcMar>
            <w:vAlign w:val="bottom"/>
          </w:tcPr>
          <w:p w14:paraId="57AD9546"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394483E2" w14:textId="1E3ADFD3" w:rsidR="00F75085" w:rsidRPr="00DE189C" w:rsidRDefault="00733CCB" w:rsidP="00F75085">
            <w:pPr>
              <w:ind w:left="-76" w:right="28"/>
              <w:jc w:val="right"/>
              <w:rPr>
                <w:sz w:val="18"/>
                <w:szCs w:val="18"/>
              </w:rPr>
            </w:pPr>
            <w:r w:rsidRPr="00733CCB">
              <w:rPr>
                <w:sz w:val="18"/>
                <w:szCs w:val="18"/>
              </w:rPr>
              <w:t>(40</w:t>
            </w:r>
            <w:r w:rsidR="00A43AD1">
              <w:rPr>
                <w:sz w:val="18"/>
                <w:szCs w:val="18"/>
              </w:rPr>
              <w:t>.</w:t>
            </w:r>
            <w:r w:rsidRPr="00733CCB">
              <w:rPr>
                <w:sz w:val="18"/>
                <w:szCs w:val="18"/>
              </w:rPr>
              <w:t>737</w:t>
            </w:r>
            <w:r w:rsidR="00A43AD1">
              <w:rPr>
                <w:sz w:val="18"/>
                <w:szCs w:val="18"/>
              </w:rPr>
              <w:t>.</w:t>
            </w:r>
            <w:r w:rsidRPr="00733CCB">
              <w:rPr>
                <w:sz w:val="18"/>
                <w:szCs w:val="18"/>
              </w:rPr>
              <w:t>512</w:t>
            </w:r>
            <w:r w:rsidR="00A43AD1">
              <w:rPr>
                <w:sz w:val="18"/>
                <w:szCs w:val="18"/>
              </w:rPr>
              <w:t>.</w:t>
            </w:r>
            <w:r w:rsidRPr="00733CCB">
              <w:rPr>
                <w:sz w:val="18"/>
                <w:szCs w:val="18"/>
              </w:rPr>
              <w:t>577)</w:t>
            </w:r>
          </w:p>
        </w:tc>
        <w:tc>
          <w:tcPr>
            <w:tcW w:w="123" w:type="dxa"/>
            <w:vAlign w:val="bottom"/>
          </w:tcPr>
          <w:p w14:paraId="14844CB2" w14:textId="77777777" w:rsidR="00F75085" w:rsidRPr="00DE189C" w:rsidRDefault="00F75085" w:rsidP="00F75085">
            <w:pPr>
              <w:ind w:right="247"/>
              <w:jc w:val="right"/>
              <w:rPr>
                <w:i/>
                <w:iCs/>
                <w:sz w:val="18"/>
                <w:szCs w:val="18"/>
                <w:lang w:val="id-ID"/>
              </w:rPr>
            </w:pPr>
          </w:p>
        </w:tc>
        <w:tc>
          <w:tcPr>
            <w:tcW w:w="2747" w:type="dxa"/>
            <w:vAlign w:val="bottom"/>
          </w:tcPr>
          <w:p w14:paraId="327F091B" w14:textId="77777777" w:rsidR="00F75085" w:rsidRPr="00DE189C" w:rsidRDefault="00F75085" w:rsidP="00F75085">
            <w:pPr>
              <w:ind w:right="98"/>
              <w:jc w:val="right"/>
              <w:rPr>
                <w:i/>
                <w:sz w:val="18"/>
                <w:szCs w:val="18"/>
              </w:rPr>
            </w:pPr>
            <w:r w:rsidRPr="00DE189C">
              <w:rPr>
                <w:i/>
                <w:sz w:val="18"/>
                <w:szCs w:val="18"/>
              </w:rPr>
              <w:t xml:space="preserve">General and administrative </w:t>
            </w:r>
          </w:p>
          <w:p w14:paraId="4E8D0C60" w14:textId="77777777" w:rsidR="00F75085" w:rsidRPr="00DE189C" w:rsidRDefault="00F75085" w:rsidP="00F75085">
            <w:pPr>
              <w:ind w:right="262"/>
              <w:jc w:val="right"/>
              <w:rPr>
                <w:i/>
                <w:sz w:val="18"/>
                <w:szCs w:val="18"/>
              </w:rPr>
            </w:pPr>
            <w:r w:rsidRPr="00DE189C">
              <w:rPr>
                <w:i/>
                <w:sz w:val="18"/>
                <w:szCs w:val="18"/>
              </w:rPr>
              <w:t>expenses</w:t>
            </w:r>
          </w:p>
        </w:tc>
      </w:tr>
      <w:tr w:rsidR="00F75085" w:rsidRPr="00DE189C" w14:paraId="3F2A5AE8" w14:textId="77777777" w:rsidTr="005B669E">
        <w:trPr>
          <w:trHeight w:val="109"/>
        </w:trPr>
        <w:tc>
          <w:tcPr>
            <w:tcW w:w="2728" w:type="dxa"/>
            <w:vAlign w:val="bottom"/>
          </w:tcPr>
          <w:p w14:paraId="43E27B62" w14:textId="77777777" w:rsidR="00F75085" w:rsidRPr="00DE189C" w:rsidRDefault="00F75085" w:rsidP="00F75085">
            <w:pPr>
              <w:ind w:left="142"/>
              <w:rPr>
                <w:sz w:val="18"/>
                <w:szCs w:val="18"/>
              </w:rPr>
            </w:pPr>
            <w:r w:rsidRPr="00DE189C">
              <w:rPr>
                <w:sz w:val="18"/>
                <w:szCs w:val="18"/>
              </w:rPr>
              <w:t>Beban bunga</w:t>
            </w:r>
          </w:p>
        </w:tc>
        <w:tc>
          <w:tcPr>
            <w:tcW w:w="124" w:type="dxa"/>
            <w:tcMar>
              <w:left w:w="28" w:type="dxa"/>
              <w:right w:w="28" w:type="dxa"/>
            </w:tcMar>
            <w:vAlign w:val="bottom"/>
          </w:tcPr>
          <w:p w14:paraId="22D0C27C" w14:textId="77777777" w:rsidR="00F75085" w:rsidRPr="00DE189C" w:rsidRDefault="00F75085" w:rsidP="00F75085">
            <w:pPr>
              <w:jc w:val="center"/>
              <w:rPr>
                <w:sz w:val="18"/>
                <w:szCs w:val="18"/>
              </w:rPr>
            </w:pPr>
          </w:p>
        </w:tc>
        <w:tc>
          <w:tcPr>
            <w:tcW w:w="1676" w:type="dxa"/>
            <w:tcMar>
              <w:left w:w="28" w:type="dxa"/>
              <w:right w:w="28" w:type="dxa"/>
            </w:tcMar>
            <w:vAlign w:val="bottom"/>
          </w:tcPr>
          <w:p w14:paraId="3DC1D40E" w14:textId="2F601718" w:rsidR="00F75085" w:rsidRPr="00DE189C" w:rsidRDefault="00894135" w:rsidP="00F75085">
            <w:pPr>
              <w:ind w:left="-76" w:right="28"/>
              <w:jc w:val="right"/>
              <w:rPr>
                <w:sz w:val="18"/>
                <w:szCs w:val="18"/>
                <w:lang w:val="id-ID"/>
              </w:rPr>
            </w:pPr>
            <w:r w:rsidRPr="00894135">
              <w:rPr>
                <w:sz w:val="18"/>
                <w:szCs w:val="18"/>
                <w:lang w:val="id-ID"/>
              </w:rPr>
              <w:t>(2</w:t>
            </w:r>
            <w:r w:rsidR="00A43AD1">
              <w:rPr>
                <w:sz w:val="18"/>
                <w:szCs w:val="18"/>
                <w:lang w:val="id-ID"/>
              </w:rPr>
              <w:t>.</w:t>
            </w:r>
            <w:r w:rsidRPr="00894135">
              <w:rPr>
                <w:sz w:val="18"/>
                <w:szCs w:val="18"/>
                <w:lang w:val="id-ID"/>
              </w:rPr>
              <w:t>827</w:t>
            </w:r>
            <w:r w:rsidR="00A43AD1">
              <w:rPr>
                <w:sz w:val="18"/>
                <w:szCs w:val="18"/>
                <w:lang w:val="id-ID"/>
              </w:rPr>
              <w:t>.</w:t>
            </w:r>
            <w:r w:rsidRPr="00894135">
              <w:rPr>
                <w:sz w:val="18"/>
                <w:szCs w:val="18"/>
                <w:lang w:val="id-ID"/>
              </w:rPr>
              <w:t>856</w:t>
            </w:r>
            <w:r w:rsidR="00A43AD1">
              <w:rPr>
                <w:sz w:val="18"/>
                <w:szCs w:val="18"/>
                <w:lang w:val="id-ID"/>
              </w:rPr>
              <w:t>.</w:t>
            </w:r>
            <w:r w:rsidRPr="00894135">
              <w:rPr>
                <w:sz w:val="18"/>
                <w:szCs w:val="18"/>
                <w:lang w:val="id-ID"/>
              </w:rPr>
              <w:t>595)</w:t>
            </w:r>
          </w:p>
        </w:tc>
        <w:tc>
          <w:tcPr>
            <w:tcW w:w="124" w:type="dxa"/>
            <w:tcMar>
              <w:left w:w="28" w:type="dxa"/>
              <w:right w:w="28" w:type="dxa"/>
            </w:tcMar>
            <w:vAlign w:val="bottom"/>
          </w:tcPr>
          <w:p w14:paraId="4FF10217"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6BEA007F" w14:textId="5C1BDB60" w:rsidR="00F75085" w:rsidRPr="00DE189C" w:rsidRDefault="00733CCB" w:rsidP="00F75085">
            <w:pPr>
              <w:ind w:left="-76" w:right="28"/>
              <w:jc w:val="right"/>
              <w:rPr>
                <w:sz w:val="18"/>
                <w:szCs w:val="18"/>
              </w:rPr>
            </w:pPr>
            <w:r w:rsidRPr="00733CCB">
              <w:rPr>
                <w:sz w:val="18"/>
                <w:szCs w:val="18"/>
              </w:rPr>
              <w:t>(3</w:t>
            </w:r>
            <w:r w:rsidR="00A43AD1">
              <w:rPr>
                <w:sz w:val="18"/>
                <w:szCs w:val="18"/>
              </w:rPr>
              <w:t>.</w:t>
            </w:r>
            <w:r w:rsidRPr="00733CCB">
              <w:rPr>
                <w:sz w:val="18"/>
                <w:szCs w:val="18"/>
              </w:rPr>
              <w:t>008</w:t>
            </w:r>
            <w:r w:rsidR="00A43AD1">
              <w:rPr>
                <w:sz w:val="18"/>
                <w:szCs w:val="18"/>
              </w:rPr>
              <w:t>.</w:t>
            </w:r>
            <w:r w:rsidRPr="00733CCB">
              <w:rPr>
                <w:sz w:val="18"/>
                <w:szCs w:val="18"/>
              </w:rPr>
              <w:t>333</w:t>
            </w:r>
            <w:r w:rsidR="00A43AD1">
              <w:rPr>
                <w:sz w:val="18"/>
                <w:szCs w:val="18"/>
              </w:rPr>
              <w:t>.</w:t>
            </w:r>
            <w:r w:rsidRPr="00733CCB">
              <w:rPr>
                <w:sz w:val="18"/>
                <w:szCs w:val="18"/>
              </w:rPr>
              <w:t>343)</w:t>
            </w:r>
          </w:p>
        </w:tc>
        <w:tc>
          <w:tcPr>
            <w:tcW w:w="123" w:type="dxa"/>
            <w:vAlign w:val="bottom"/>
          </w:tcPr>
          <w:p w14:paraId="0B2207AB" w14:textId="77777777" w:rsidR="00F75085" w:rsidRPr="00DE189C" w:rsidRDefault="00F75085" w:rsidP="00F75085">
            <w:pPr>
              <w:ind w:right="57"/>
              <w:jc w:val="right"/>
              <w:rPr>
                <w:i/>
                <w:sz w:val="18"/>
                <w:szCs w:val="18"/>
              </w:rPr>
            </w:pPr>
          </w:p>
        </w:tc>
        <w:tc>
          <w:tcPr>
            <w:tcW w:w="2747" w:type="dxa"/>
            <w:vAlign w:val="bottom"/>
          </w:tcPr>
          <w:p w14:paraId="338CE498" w14:textId="77777777" w:rsidR="00F75085" w:rsidRPr="00DE189C" w:rsidRDefault="00F75085" w:rsidP="00F75085">
            <w:pPr>
              <w:ind w:right="98"/>
              <w:jc w:val="right"/>
              <w:rPr>
                <w:i/>
                <w:sz w:val="18"/>
                <w:szCs w:val="18"/>
              </w:rPr>
            </w:pPr>
            <w:r w:rsidRPr="00DE189C">
              <w:rPr>
                <w:i/>
                <w:sz w:val="18"/>
                <w:szCs w:val="18"/>
              </w:rPr>
              <w:t>Interest expense</w:t>
            </w:r>
          </w:p>
        </w:tc>
      </w:tr>
      <w:tr w:rsidR="00F75085" w:rsidRPr="00DE189C" w14:paraId="6BDEB9A8" w14:textId="77777777" w:rsidTr="005B669E">
        <w:trPr>
          <w:trHeight w:val="109"/>
        </w:trPr>
        <w:tc>
          <w:tcPr>
            <w:tcW w:w="2728" w:type="dxa"/>
            <w:vAlign w:val="bottom"/>
          </w:tcPr>
          <w:p w14:paraId="56EE5F41" w14:textId="05084328" w:rsidR="00F75085" w:rsidRPr="00DE189C" w:rsidRDefault="00F75085" w:rsidP="00F75085">
            <w:pPr>
              <w:ind w:left="284" w:right="99" w:hanging="142"/>
              <w:rPr>
                <w:sz w:val="18"/>
                <w:szCs w:val="18"/>
              </w:rPr>
            </w:pPr>
            <w:r w:rsidRPr="00DE189C">
              <w:rPr>
                <w:sz w:val="18"/>
                <w:szCs w:val="18"/>
              </w:rPr>
              <w:t>Keuntungan (kerugian) selisih</w:t>
            </w:r>
            <w:r>
              <w:rPr>
                <w:sz w:val="18"/>
                <w:szCs w:val="18"/>
              </w:rPr>
              <w:t xml:space="preserve"> </w:t>
            </w:r>
            <w:r w:rsidRPr="00DE189C">
              <w:rPr>
                <w:sz w:val="18"/>
                <w:szCs w:val="18"/>
              </w:rPr>
              <w:t>kurs</w:t>
            </w:r>
          </w:p>
        </w:tc>
        <w:tc>
          <w:tcPr>
            <w:tcW w:w="124" w:type="dxa"/>
            <w:tcMar>
              <w:left w:w="28" w:type="dxa"/>
              <w:right w:w="28" w:type="dxa"/>
            </w:tcMar>
            <w:vAlign w:val="bottom"/>
          </w:tcPr>
          <w:p w14:paraId="4F314D2A" w14:textId="77777777" w:rsidR="00F75085" w:rsidRPr="00DE189C" w:rsidRDefault="00F75085" w:rsidP="00F75085">
            <w:pPr>
              <w:jc w:val="center"/>
              <w:rPr>
                <w:sz w:val="18"/>
                <w:szCs w:val="18"/>
              </w:rPr>
            </w:pPr>
          </w:p>
        </w:tc>
        <w:tc>
          <w:tcPr>
            <w:tcW w:w="1676" w:type="dxa"/>
            <w:tcMar>
              <w:left w:w="28" w:type="dxa"/>
              <w:right w:w="28" w:type="dxa"/>
            </w:tcMar>
            <w:vAlign w:val="bottom"/>
          </w:tcPr>
          <w:p w14:paraId="316A21B2" w14:textId="3909E7C8" w:rsidR="00F75085" w:rsidRPr="00DE189C" w:rsidRDefault="00894135" w:rsidP="00F75085">
            <w:pPr>
              <w:ind w:left="-76" w:right="28"/>
              <w:jc w:val="right"/>
              <w:rPr>
                <w:sz w:val="18"/>
                <w:szCs w:val="18"/>
              </w:rPr>
            </w:pPr>
            <w:r w:rsidRPr="00894135">
              <w:rPr>
                <w:sz w:val="18"/>
                <w:szCs w:val="18"/>
              </w:rPr>
              <w:t>390</w:t>
            </w:r>
            <w:r w:rsidR="00A43AD1">
              <w:rPr>
                <w:sz w:val="18"/>
                <w:szCs w:val="18"/>
              </w:rPr>
              <w:t>.</w:t>
            </w:r>
            <w:r w:rsidRPr="00894135">
              <w:rPr>
                <w:sz w:val="18"/>
                <w:szCs w:val="18"/>
              </w:rPr>
              <w:t>333</w:t>
            </w:r>
            <w:r w:rsidR="00A43AD1">
              <w:rPr>
                <w:sz w:val="18"/>
                <w:szCs w:val="18"/>
              </w:rPr>
              <w:t>.</w:t>
            </w:r>
            <w:r w:rsidRPr="00894135">
              <w:rPr>
                <w:sz w:val="18"/>
                <w:szCs w:val="18"/>
              </w:rPr>
              <w:t>828</w:t>
            </w:r>
          </w:p>
        </w:tc>
        <w:tc>
          <w:tcPr>
            <w:tcW w:w="124" w:type="dxa"/>
            <w:tcMar>
              <w:left w:w="28" w:type="dxa"/>
              <w:right w:w="28" w:type="dxa"/>
            </w:tcMar>
            <w:vAlign w:val="bottom"/>
          </w:tcPr>
          <w:p w14:paraId="4F9B708C"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19397E42" w14:textId="25EF8F82" w:rsidR="00F75085" w:rsidRPr="00DE189C" w:rsidRDefault="00733CCB" w:rsidP="00F75085">
            <w:pPr>
              <w:ind w:left="-76" w:right="28"/>
              <w:jc w:val="right"/>
              <w:rPr>
                <w:sz w:val="18"/>
                <w:szCs w:val="18"/>
              </w:rPr>
            </w:pPr>
            <w:r>
              <w:rPr>
                <w:sz w:val="18"/>
                <w:szCs w:val="18"/>
              </w:rPr>
              <w:t>2</w:t>
            </w:r>
            <w:r w:rsidRPr="00733CCB">
              <w:rPr>
                <w:sz w:val="18"/>
                <w:szCs w:val="18"/>
              </w:rPr>
              <w:t>70</w:t>
            </w:r>
            <w:r w:rsidR="00A43AD1">
              <w:rPr>
                <w:sz w:val="18"/>
                <w:szCs w:val="18"/>
              </w:rPr>
              <w:t>.</w:t>
            </w:r>
            <w:r w:rsidRPr="00733CCB">
              <w:rPr>
                <w:sz w:val="18"/>
                <w:szCs w:val="18"/>
              </w:rPr>
              <w:t>797</w:t>
            </w:r>
            <w:r w:rsidR="00A43AD1">
              <w:rPr>
                <w:sz w:val="18"/>
                <w:szCs w:val="18"/>
              </w:rPr>
              <w:t>.</w:t>
            </w:r>
            <w:r w:rsidRPr="00733CCB">
              <w:rPr>
                <w:sz w:val="18"/>
                <w:szCs w:val="18"/>
              </w:rPr>
              <w:t>244</w:t>
            </w:r>
          </w:p>
        </w:tc>
        <w:tc>
          <w:tcPr>
            <w:tcW w:w="123" w:type="dxa"/>
            <w:vAlign w:val="bottom"/>
          </w:tcPr>
          <w:p w14:paraId="4DAD63D2" w14:textId="77777777" w:rsidR="00F75085" w:rsidRPr="00DE189C" w:rsidRDefault="00F75085" w:rsidP="00F75085">
            <w:pPr>
              <w:ind w:right="57"/>
              <w:jc w:val="right"/>
              <w:rPr>
                <w:i/>
                <w:sz w:val="18"/>
                <w:szCs w:val="18"/>
              </w:rPr>
            </w:pPr>
          </w:p>
        </w:tc>
        <w:tc>
          <w:tcPr>
            <w:tcW w:w="2747" w:type="dxa"/>
            <w:vAlign w:val="bottom"/>
          </w:tcPr>
          <w:p w14:paraId="0FDB51D3" w14:textId="77777777" w:rsidR="00F75085" w:rsidRPr="00DE189C" w:rsidRDefault="00F75085" w:rsidP="00F75085">
            <w:pPr>
              <w:ind w:right="98"/>
              <w:jc w:val="right"/>
              <w:rPr>
                <w:i/>
                <w:sz w:val="18"/>
                <w:szCs w:val="18"/>
              </w:rPr>
            </w:pPr>
            <w:r w:rsidRPr="00DE189C">
              <w:rPr>
                <w:i/>
                <w:sz w:val="18"/>
                <w:szCs w:val="18"/>
              </w:rPr>
              <w:t>Gain (loss) foreign exchange</w:t>
            </w:r>
          </w:p>
        </w:tc>
      </w:tr>
      <w:tr w:rsidR="00F75085" w:rsidRPr="00DE189C" w14:paraId="6D2A09CE" w14:textId="77777777" w:rsidTr="005B669E">
        <w:trPr>
          <w:trHeight w:val="109"/>
        </w:trPr>
        <w:tc>
          <w:tcPr>
            <w:tcW w:w="2728" w:type="dxa"/>
            <w:vAlign w:val="bottom"/>
          </w:tcPr>
          <w:p w14:paraId="5A85501A" w14:textId="77777777" w:rsidR="00F75085" w:rsidRPr="00DE189C" w:rsidRDefault="00F75085" w:rsidP="00F75085">
            <w:pPr>
              <w:ind w:left="284" w:right="99" w:hanging="142"/>
              <w:rPr>
                <w:sz w:val="18"/>
                <w:szCs w:val="18"/>
              </w:rPr>
            </w:pPr>
            <w:r w:rsidRPr="00DE189C">
              <w:rPr>
                <w:sz w:val="18"/>
                <w:szCs w:val="18"/>
              </w:rPr>
              <w:t>Beban cadangan kerugian penurunan nilai piutang</w:t>
            </w:r>
          </w:p>
        </w:tc>
        <w:tc>
          <w:tcPr>
            <w:tcW w:w="124" w:type="dxa"/>
            <w:tcMar>
              <w:left w:w="28" w:type="dxa"/>
              <w:right w:w="28" w:type="dxa"/>
            </w:tcMar>
            <w:vAlign w:val="bottom"/>
          </w:tcPr>
          <w:p w14:paraId="671D9F97" w14:textId="77777777" w:rsidR="00F75085" w:rsidRPr="00DE189C" w:rsidRDefault="00F75085" w:rsidP="00F75085">
            <w:pPr>
              <w:jc w:val="center"/>
              <w:rPr>
                <w:sz w:val="18"/>
                <w:szCs w:val="18"/>
              </w:rPr>
            </w:pPr>
          </w:p>
        </w:tc>
        <w:tc>
          <w:tcPr>
            <w:tcW w:w="1676" w:type="dxa"/>
            <w:tcMar>
              <w:left w:w="28" w:type="dxa"/>
              <w:right w:w="28" w:type="dxa"/>
            </w:tcMar>
            <w:vAlign w:val="bottom"/>
          </w:tcPr>
          <w:p w14:paraId="76805E96" w14:textId="14E23883" w:rsidR="00F75085" w:rsidRPr="00DE189C" w:rsidRDefault="00894135" w:rsidP="00F75085">
            <w:pPr>
              <w:ind w:left="-76" w:right="28"/>
              <w:jc w:val="right"/>
              <w:rPr>
                <w:sz w:val="18"/>
                <w:szCs w:val="18"/>
              </w:rPr>
            </w:pPr>
            <w:r>
              <w:rPr>
                <w:sz w:val="18"/>
                <w:szCs w:val="18"/>
              </w:rPr>
              <w:t>-</w:t>
            </w:r>
          </w:p>
        </w:tc>
        <w:tc>
          <w:tcPr>
            <w:tcW w:w="124" w:type="dxa"/>
            <w:tcMar>
              <w:left w:w="28" w:type="dxa"/>
              <w:right w:w="28" w:type="dxa"/>
            </w:tcMar>
            <w:vAlign w:val="bottom"/>
          </w:tcPr>
          <w:p w14:paraId="35B98E90"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2A9EFDB6" w14:textId="6DBF87E9" w:rsidR="00F75085" w:rsidRPr="00DE189C" w:rsidRDefault="00733CCB" w:rsidP="00F75085">
            <w:pPr>
              <w:ind w:left="-76" w:right="28"/>
              <w:jc w:val="right"/>
              <w:rPr>
                <w:sz w:val="18"/>
                <w:szCs w:val="18"/>
              </w:rPr>
            </w:pPr>
            <w:r w:rsidRPr="00733CCB">
              <w:rPr>
                <w:sz w:val="18"/>
                <w:szCs w:val="18"/>
              </w:rPr>
              <w:t>(173</w:t>
            </w:r>
            <w:r w:rsidR="00A43AD1">
              <w:rPr>
                <w:sz w:val="18"/>
                <w:szCs w:val="18"/>
              </w:rPr>
              <w:t>.</w:t>
            </w:r>
            <w:r w:rsidRPr="00733CCB">
              <w:rPr>
                <w:sz w:val="18"/>
                <w:szCs w:val="18"/>
              </w:rPr>
              <w:t>570</w:t>
            </w:r>
            <w:r w:rsidR="00A43AD1">
              <w:rPr>
                <w:sz w:val="18"/>
                <w:szCs w:val="18"/>
              </w:rPr>
              <w:t>.</w:t>
            </w:r>
            <w:r w:rsidRPr="00733CCB">
              <w:rPr>
                <w:sz w:val="18"/>
                <w:szCs w:val="18"/>
              </w:rPr>
              <w:t>001)</w:t>
            </w:r>
          </w:p>
        </w:tc>
        <w:tc>
          <w:tcPr>
            <w:tcW w:w="123" w:type="dxa"/>
            <w:vAlign w:val="bottom"/>
          </w:tcPr>
          <w:p w14:paraId="3077E8F7" w14:textId="77777777" w:rsidR="00F75085" w:rsidRPr="00DE189C" w:rsidRDefault="00F75085" w:rsidP="00F75085">
            <w:pPr>
              <w:ind w:right="57"/>
              <w:jc w:val="right"/>
              <w:rPr>
                <w:i/>
                <w:sz w:val="18"/>
                <w:szCs w:val="18"/>
              </w:rPr>
            </w:pPr>
          </w:p>
        </w:tc>
        <w:tc>
          <w:tcPr>
            <w:tcW w:w="2747" w:type="dxa"/>
            <w:vAlign w:val="bottom"/>
          </w:tcPr>
          <w:p w14:paraId="033107E7" w14:textId="77777777" w:rsidR="00F75085" w:rsidRDefault="00F75085" w:rsidP="00F75085">
            <w:pPr>
              <w:ind w:right="98"/>
              <w:jc w:val="right"/>
              <w:rPr>
                <w:i/>
                <w:sz w:val="18"/>
                <w:szCs w:val="18"/>
              </w:rPr>
            </w:pPr>
            <w:r w:rsidRPr="00DE189C">
              <w:rPr>
                <w:i/>
                <w:sz w:val="18"/>
                <w:szCs w:val="18"/>
              </w:rPr>
              <w:t xml:space="preserve">Impairment losses for </w:t>
            </w:r>
          </w:p>
          <w:p w14:paraId="0B08D6ED" w14:textId="77777777" w:rsidR="00F75085" w:rsidRPr="00DE189C" w:rsidRDefault="00F75085" w:rsidP="00F75085">
            <w:pPr>
              <w:ind w:right="254"/>
              <w:jc w:val="right"/>
              <w:rPr>
                <w:i/>
                <w:sz w:val="18"/>
                <w:szCs w:val="18"/>
              </w:rPr>
            </w:pPr>
            <w:r w:rsidRPr="00DE189C">
              <w:rPr>
                <w:i/>
                <w:sz w:val="18"/>
                <w:szCs w:val="18"/>
              </w:rPr>
              <w:t>receivables</w:t>
            </w:r>
          </w:p>
        </w:tc>
      </w:tr>
      <w:tr w:rsidR="00F75085" w:rsidRPr="00DE189C" w14:paraId="7C8020DD" w14:textId="77777777" w:rsidTr="005B669E">
        <w:trPr>
          <w:trHeight w:val="109"/>
        </w:trPr>
        <w:tc>
          <w:tcPr>
            <w:tcW w:w="2728" w:type="dxa"/>
            <w:vAlign w:val="bottom"/>
          </w:tcPr>
          <w:p w14:paraId="00C70E27" w14:textId="77777777" w:rsidR="00F75085" w:rsidRPr="00DE189C" w:rsidRDefault="00F75085" w:rsidP="00F75085">
            <w:pPr>
              <w:ind w:left="142"/>
              <w:rPr>
                <w:sz w:val="18"/>
                <w:szCs w:val="18"/>
              </w:rPr>
            </w:pPr>
            <w:r w:rsidRPr="00DE189C">
              <w:rPr>
                <w:sz w:val="18"/>
                <w:szCs w:val="18"/>
              </w:rPr>
              <w:t>Pendapatan bunga</w:t>
            </w:r>
          </w:p>
        </w:tc>
        <w:tc>
          <w:tcPr>
            <w:tcW w:w="124" w:type="dxa"/>
            <w:tcMar>
              <w:left w:w="28" w:type="dxa"/>
              <w:right w:w="28" w:type="dxa"/>
            </w:tcMar>
            <w:vAlign w:val="bottom"/>
          </w:tcPr>
          <w:p w14:paraId="4BEDC848" w14:textId="77777777" w:rsidR="00F75085" w:rsidRPr="00DE189C" w:rsidRDefault="00F75085" w:rsidP="00F75085">
            <w:pPr>
              <w:jc w:val="center"/>
              <w:rPr>
                <w:sz w:val="18"/>
                <w:szCs w:val="18"/>
              </w:rPr>
            </w:pPr>
          </w:p>
        </w:tc>
        <w:tc>
          <w:tcPr>
            <w:tcW w:w="1676" w:type="dxa"/>
            <w:tcMar>
              <w:left w:w="28" w:type="dxa"/>
              <w:right w:w="28" w:type="dxa"/>
            </w:tcMar>
            <w:vAlign w:val="bottom"/>
          </w:tcPr>
          <w:p w14:paraId="7C295C67" w14:textId="6B36D44A" w:rsidR="00F75085" w:rsidRPr="00DE189C" w:rsidRDefault="00894135" w:rsidP="00F75085">
            <w:pPr>
              <w:ind w:left="-76" w:right="28"/>
              <w:jc w:val="right"/>
              <w:rPr>
                <w:sz w:val="18"/>
                <w:szCs w:val="18"/>
                <w:lang w:val="id-ID"/>
              </w:rPr>
            </w:pPr>
            <w:r w:rsidRPr="00894135">
              <w:rPr>
                <w:sz w:val="18"/>
                <w:szCs w:val="18"/>
                <w:lang w:val="id-ID"/>
              </w:rPr>
              <w:t>2</w:t>
            </w:r>
            <w:r w:rsidR="00A43AD1">
              <w:rPr>
                <w:sz w:val="18"/>
                <w:szCs w:val="18"/>
                <w:lang w:val="id-ID"/>
              </w:rPr>
              <w:t>.</w:t>
            </w:r>
            <w:r w:rsidRPr="00894135">
              <w:rPr>
                <w:sz w:val="18"/>
                <w:szCs w:val="18"/>
                <w:lang w:val="id-ID"/>
              </w:rPr>
              <w:t>141</w:t>
            </w:r>
            <w:r w:rsidR="00A43AD1">
              <w:rPr>
                <w:sz w:val="18"/>
                <w:szCs w:val="18"/>
                <w:lang w:val="id-ID"/>
              </w:rPr>
              <w:t>.</w:t>
            </w:r>
            <w:r w:rsidRPr="00894135">
              <w:rPr>
                <w:sz w:val="18"/>
                <w:szCs w:val="18"/>
                <w:lang w:val="id-ID"/>
              </w:rPr>
              <w:t>019</w:t>
            </w:r>
            <w:r w:rsidR="00A43AD1">
              <w:rPr>
                <w:sz w:val="18"/>
                <w:szCs w:val="18"/>
                <w:lang w:val="id-ID"/>
              </w:rPr>
              <w:t>.</w:t>
            </w:r>
            <w:r w:rsidRPr="00894135">
              <w:rPr>
                <w:sz w:val="18"/>
                <w:szCs w:val="18"/>
                <w:lang w:val="id-ID"/>
              </w:rPr>
              <w:t>069</w:t>
            </w:r>
          </w:p>
        </w:tc>
        <w:tc>
          <w:tcPr>
            <w:tcW w:w="124" w:type="dxa"/>
            <w:tcMar>
              <w:left w:w="28" w:type="dxa"/>
              <w:right w:w="28" w:type="dxa"/>
            </w:tcMar>
            <w:vAlign w:val="bottom"/>
          </w:tcPr>
          <w:p w14:paraId="59CACAFC"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53DA1138" w14:textId="56FEC5D3" w:rsidR="00F75085" w:rsidRPr="00DE189C" w:rsidRDefault="00733CCB" w:rsidP="00F75085">
            <w:pPr>
              <w:ind w:left="-76" w:right="28"/>
              <w:jc w:val="right"/>
              <w:rPr>
                <w:sz w:val="18"/>
                <w:szCs w:val="18"/>
              </w:rPr>
            </w:pPr>
            <w:r w:rsidRPr="00733CCB">
              <w:rPr>
                <w:sz w:val="18"/>
                <w:szCs w:val="18"/>
              </w:rPr>
              <w:t xml:space="preserve">2 </w:t>
            </w:r>
            <w:r w:rsidR="00A43AD1">
              <w:rPr>
                <w:sz w:val="18"/>
                <w:szCs w:val="18"/>
              </w:rPr>
              <w:t>.</w:t>
            </w:r>
            <w:r w:rsidRPr="00733CCB">
              <w:rPr>
                <w:sz w:val="18"/>
                <w:szCs w:val="18"/>
              </w:rPr>
              <w:t>342</w:t>
            </w:r>
            <w:r w:rsidR="00A43AD1">
              <w:rPr>
                <w:sz w:val="18"/>
                <w:szCs w:val="18"/>
              </w:rPr>
              <w:t>.</w:t>
            </w:r>
            <w:r w:rsidRPr="00733CCB">
              <w:rPr>
                <w:sz w:val="18"/>
                <w:szCs w:val="18"/>
              </w:rPr>
              <w:t>488</w:t>
            </w:r>
            <w:r w:rsidR="00A43AD1">
              <w:rPr>
                <w:sz w:val="18"/>
                <w:szCs w:val="18"/>
              </w:rPr>
              <w:t>.</w:t>
            </w:r>
            <w:r w:rsidRPr="00733CCB">
              <w:rPr>
                <w:sz w:val="18"/>
                <w:szCs w:val="18"/>
              </w:rPr>
              <w:t>899</w:t>
            </w:r>
          </w:p>
        </w:tc>
        <w:tc>
          <w:tcPr>
            <w:tcW w:w="123" w:type="dxa"/>
            <w:vAlign w:val="bottom"/>
          </w:tcPr>
          <w:p w14:paraId="6FD36BDB" w14:textId="77777777" w:rsidR="00F75085" w:rsidRPr="00DE189C" w:rsidRDefault="00F75085" w:rsidP="00F75085">
            <w:pPr>
              <w:ind w:right="57"/>
              <w:jc w:val="right"/>
              <w:rPr>
                <w:i/>
                <w:sz w:val="18"/>
                <w:szCs w:val="18"/>
              </w:rPr>
            </w:pPr>
          </w:p>
        </w:tc>
        <w:tc>
          <w:tcPr>
            <w:tcW w:w="2747" w:type="dxa"/>
            <w:vAlign w:val="bottom"/>
          </w:tcPr>
          <w:p w14:paraId="1CDD9A96" w14:textId="77777777" w:rsidR="00F75085" w:rsidRPr="00DE189C" w:rsidRDefault="00F75085" w:rsidP="00F75085">
            <w:pPr>
              <w:ind w:right="98"/>
              <w:jc w:val="right"/>
              <w:rPr>
                <w:i/>
                <w:sz w:val="18"/>
                <w:szCs w:val="18"/>
              </w:rPr>
            </w:pPr>
            <w:r w:rsidRPr="00DE189C">
              <w:rPr>
                <w:i/>
                <w:sz w:val="18"/>
                <w:szCs w:val="18"/>
              </w:rPr>
              <w:t>Interest income</w:t>
            </w:r>
          </w:p>
        </w:tc>
      </w:tr>
      <w:tr w:rsidR="00F75085" w:rsidRPr="00DE189C" w14:paraId="0C977406" w14:textId="77777777" w:rsidTr="005B669E">
        <w:trPr>
          <w:trHeight w:val="109"/>
        </w:trPr>
        <w:tc>
          <w:tcPr>
            <w:tcW w:w="2728" w:type="dxa"/>
            <w:vAlign w:val="bottom"/>
          </w:tcPr>
          <w:p w14:paraId="5A79BD36" w14:textId="77777777" w:rsidR="00F75085" w:rsidRPr="00DE189C" w:rsidRDefault="00F75085" w:rsidP="00F75085">
            <w:pPr>
              <w:ind w:left="142"/>
              <w:rPr>
                <w:sz w:val="18"/>
                <w:szCs w:val="18"/>
              </w:rPr>
            </w:pPr>
            <w:r w:rsidRPr="00DE189C">
              <w:rPr>
                <w:sz w:val="18"/>
                <w:szCs w:val="18"/>
              </w:rPr>
              <w:t>Pendapatan sewa</w:t>
            </w:r>
          </w:p>
        </w:tc>
        <w:tc>
          <w:tcPr>
            <w:tcW w:w="124" w:type="dxa"/>
            <w:tcMar>
              <w:left w:w="28" w:type="dxa"/>
              <w:right w:w="28" w:type="dxa"/>
            </w:tcMar>
            <w:vAlign w:val="bottom"/>
          </w:tcPr>
          <w:p w14:paraId="38E21C60" w14:textId="77777777" w:rsidR="00F75085" w:rsidRPr="00DE189C" w:rsidRDefault="00F75085" w:rsidP="00F75085">
            <w:pPr>
              <w:jc w:val="center"/>
              <w:rPr>
                <w:sz w:val="18"/>
                <w:szCs w:val="18"/>
              </w:rPr>
            </w:pPr>
          </w:p>
        </w:tc>
        <w:tc>
          <w:tcPr>
            <w:tcW w:w="1676" w:type="dxa"/>
            <w:tcMar>
              <w:left w:w="28" w:type="dxa"/>
              <w:right w:w="28" w:type="dxa"/>
            </w:tcMar>
            <w:vAlign w:val="bottom"/>
          </w:tcPr>
          <w:p w14:paraId="556770F5" w14:textId="3DE05706" w:rsidR="00F75085" w:rsidRPr="00DE189C" w:rsidRDefault="00894135" w:rsidP="00F75085">
            <w:pPr>
              <w:ind w:left="-76" w:right="28"/>
              <w:jc w:val="right"/>
              <w:rPr>
                <w:sz w:val="18"/>
                <w:szCs w:val="18"/>
                <w:lang w:val="id-ID"/>
              </w:rPr>
            </w:pPr>
            <w:r w:rsidRPr="00894135">
              <w:rPr>
                <w:sz w:val="18"/>
                <w:szCs w:val="18"/>
                <w:lang w:val="id-ID"/>
              </w:rPr>
              <w:t>454</w:t>
            </w:r>
            <w:r w:rsidR="00A43AD1">
              <w:rPr>
                <w:sz w:val="18"/>
                <w:szCs w:val="18"/>
                <w:lang w:val="id-ID"/>
              </w:rPr>
              <w:t>.</w:t>
            </w:r>
            <w:r w:rsidRPr="00894135">
              <w:rPr>
                <w:sz w:val="18"/>
                <w:szCs w:val="18"/>
                <w:lang w:val="id-ID"/>
              </w:rPr>
              <w:t>329</w:t>
            </w:r>
            <w:r w:rsidR="00A43AD1">
              <w:rPr>
                <w:sz w:val="18"/>
                <w:szCs w:val="18"/>
                <w:lang w:val="id-ID"/>
              </w:rPr>
              <w:t>.</w:t>
            </w:r>
            <w:r w:rsidRPr="00894135">
              <w:rPr>
                <w:sz w:val="18"/>
                <w:szCs w:val="18"/>
                <w:lang w:val="id-ID"/>
              </w:rPr>
              <w:t>451</w:t>
            </w:r>
          </w:p>
        </w:tc>
        <w:tc>
          <w:tcPr>
            <w:tcW w:w="124" w:type="dxa"/>
            <w:tcMar>
              <w:left w:w="28" w:type="dxa"/>
              <w:right w:w="28" w:type="dxa"/>
            </w:tcMar>
            <w:vAlign w:val="bottom"/>
          </w:tcPr>
          <w:p w14:paraId="7C6537EC"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521F5F88" w14:textId="30D3B135" w:rsidR="00F75085" w:rsidRPr="00DE189C" w:rsidRDefault="00733CCB" w:rsidP="00F75085">
            <w:pPr>
              <w:ind w:left="-76" w:right="28"/>
              <w:jc w:val="right"/>
              <w:rPr>
                <w:sz w:val="18"/>
                <w:szCs w:val="18"/>
              </w:rPr>
            </w:pPr>
            <w:r>
              <w:rPr>
                <w:sz w:val="18"/>
                <w:szCs w:val="18"/>
              </w:rPr>
              <w:t>1</w:t>
            </w:r>
            <w:r w:rsidRPr="00733CCB">
              <w:rPr>
                <w:sz w:val="18"/>
                <w:szCs w:val="18"/>
              </w:rPr>
              <w:t>65</w:t>
            </w:r>
            <w:r w:rsidR="00A43AD1">
              <w:rPr>
                <w:sz w:val="18"/>
                <w:szCs w:val="18"/>
              </w:rPr>
              <w:t>.</w:t>
            </w:r>
            <w:r w:rsidRPr="00733CCB">
              <w:rPr>
                <w:sz w:val="18"/>
                <w:szCs w:val="18"/>
              </w:rPr>
              <w:t>098</w:t>
            </w:r>
            <w:r w:rsidR="00A43AD1">
              <w:rPr>
                <w:sz w:val="18"/>
                <w:szCs w:val="18"/>
              </w:rPr>
              <w:t>.</w:t>
            </w:r>
            <w:r w:rsidRPr="00733CCB">
              <w:rPr>
                <w:sz w:val="18"/>
                <w:szCs w:val="18"/>
              </w:rPr>
              <w:t>558</w:t>
            </w:r>
          </w:p>
        </w:tc>
        <w:tc>
          <w:tcPr>
            <w:tcW w:w="123" w:type="dxa"/>
            <w:vAlign w:val="bottom"/>
          </w:tcPr>
          <w:p w14:paraId="18A0B58E" w14:textId="77777777" w:rsidR="00F75085" w:rsidRPr="00DE189C" w:rsidRDefault="00F75085" w:rsidP="00F75085">
            <w:pPr>
              <w:ind w:right="57"/>
              <w:jc w:val="right"/>
              <w:rPr>
                <w:i/>
                <w:sz w:val="18"/>
                <w:szCs w:val="18"/>
              </w:rPr>
            </w:pPr>
          </w:p>
        </w:tc>
        <w:tc>
          <w:tcPr>
            <w:tcW w:w="2747" w:type="dxa"/>
            <w:vAlign w:val="bottom"/>
          </w:tcPr>
          <w:p w14:paraId="6861D78F" w14:textId="77777777" w:rsidR="00F75085" w:rsidRPr="00DE189C" w:rsidRDefault="00F75085" w:rsidP="00F75085">
            <w:pPr>
              <w:ind w:right="98"/>
              <w:jc w:val="right"/>
              <w:rPr>
                <w:i/>
                <w:sz w:val="18"/>
                <w:szCs w:val="18"/>
              </w:rPr>
            </w:pPr>
            <w:r w:rsidRPr="00DE189C">
              <w:rPr>
                <w:i/>
                <w:sz w:val="18"/>
                <w:szCs w:val="18"/>
              </w:rPr>
              <w:t>Rent income</w:t>
            </w:r>
          </w:p>
        </w:tc>
      </w:tr>
      <w:tr w:rsidR="00F75085" w:rsidRPr="00DE189C" w14:paraId="7F928519" w14:textId="77777777" w:rsidTr="005B669E">
        <w:trPr>
          <w:trHeight w:val="109"/>
        </w:trPr>
        <w:tc>
          <w:tcPr>
            <w:tcW w:w="2728" w:type="dxa"/>
            <w:vAlign w:val="bottom"/>
          </w:tcPr>
          <w:p w14:paraId="294AD350" w14:textId="77777777" w:rsidR="00F75085" w:rsidRPr="00DE189C" w:rsidRDefault="00F75085" w:rsidP="00F75085">
            <w:pPr>
              <w:ind w:left="142"/>
              <w:rPr>
                <w:sz w:val="18"/>
                <w:szCs w:val="18"/>
              </w:rPr>
            </w:pPr>
            <w:r w:rsidRPr="00DE189C">
              <w:rPr>
                <w:sz w:val="18"/>
                <w:szCs w:val="18"/>
              </w:rPr>
              <w:t>Lain-lain - bersih</w:t>
            </w:r>
          </w:p>
        </w:tc>
        <w:tc>
          <w:tcPr>
            <w:tcW w:w="124" w:type="dxa"/>
            <w:tcMar>
              <w:left w:w="28" w:type="dxa"/>
              <w:right w:w="28" w:type="dxa"/>
            </w:tcMar>
            <w:vAlign w:val="bottom"/>
          </w:tcPr>
          <w:p w14:paraId="736CBA7A" w14:textId="77777777" w:rsidR="00F75085" w:rsidRPr="00DE189C" w:rsidRDefault="00F75085" w:rsidP="00F75085">
            <w:pPr>
              <w:jc w:val="center"/>
              <w:rPr>
                <w:sz w:val="18"/>
                <w:szCs w:val="18"/>
              </w:rPr>
            </w:pPr>
          </w:p>
        </w:tc>
        <w:tc>
          <w:tcPr>
            <w:tcW w:w="1676" w:type="dxa"/>
            <w:tcMar>
              <w:left w:w="28" w:type="dxa"/>
              <w:right w:w="28" w:type="dxa"/>
            </w:tcMar>
            <w:vAlign w:val="bottom"/>
          </w:tcPr>
          <w:p w14:paraId="2D3ADE7F" w14:textId="1E1D2A48" w:rsidR="00F75085" w:rsidRPr="00AD14FF" w:rsidRDefault="00894135" w:rsidP="00F75085">
            <w:pPr>
              <w:ind w:left="-76" w:right="28"/>
              <w:jc w:val="right"/>
              <w:rPr>
                <w:sz w:val="18"/>
                <w:szCs w:val="18"/>
              </w:rPr>
            </w:pPr>
            <w:r w:rsidRPr="00894135">
              <w:rPr>
                <w:sz w:val="18"/>
                <w:szCs w:val="18"/>
              </w:rPr>
              <w:t>(272</w:t>
            </w:r>
            <w:r w:rsidR="00A43AD1">
              <w:rPr>
                <w:sz w:val="18"/>
                <w:szCs w:val="18"/>
              </w:rPr>
              <w:t>.</w:t>
            </w:r>
            <w:r w:rsidRPr="00894135">
              <w:rPr>
                <w:sz w:val="18"/>
                <w:szCs w:val="18"/>
              </w:rPr>
              <w:t>863</w:t>
            </w:r>
            <w:r w:rsidR="00A43AD1">
              <w:rPr>
                <w:sz w:val="18"/>
                <w:szCs w:val="18"/>
              </w:rPr>
              <w:t>.</w:t>
            </w:r>
            <w:r w:rsidRPr="00894135">
              <w:rPr>
                <w:sz w:val="18"/>
                <w:szCs w:val="18"/>
              </w:rPr>
              <w:t>419)</w:t>
            </w:r>
          </w:p>
        </w:tc>
        <w:tc>
          <w:tcPr>
            <w:tcW w:w="124" w:type="dxa"/>
            <w:tcMar>
              <w:left w:w="28" w:type="dxa"/>
              <w:right w:w="28" w:type="dxa"/>
            </w:tcMar>
            <w:vAlign w:val="bottom"/>
          </w:tcPr>
          <w:p w14:paraId="4676717F"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48ECFA4A" w14:textId="2C580C4B" w:rsidR="00F75085" w:rsidRPr="00DE189C" w:rsidRDefault="00733CCB" w:rsidP="00F75085">
            <w:pPr>
              <w:ind w:left="-76" w:right="28"/>
              <w:jc w:val="right"/>
              <w:rPr>
                <w:sz w:val="18"/>
                <w:szCs w:val="18"/>
              </w:rPr>
            </w:pPr>
            <w:r>
              <w:rPr>
                <w:sz w:val="18"/>
                <w:szCs w:val="18"/>
              </w:rPr>
              <w:t>4</w:t>
            </w:r>
            <w:r w:rsidRPr="00733CCB">
              <w:rPr>
                <w:sz w:val="18"/>
                <w:szCs w:val="18"/>
              </w:rPr>
              <w:t>59</w:t>
            </w:r>
            <w:r w:rsidR="00A43AD1">
              <w:rPr>
                <w:sz w:val="18"/>
                <w:szCs w:val="18"/>
              </w:rPr>
              <w:t>.</w:t>
            </w:r>
            <w:r w:rsidRPr="00733CCB">
              <w:rPr>
                <w:sz w:val="18"/>
                <w:szCs w:val="18"/>
              </w:rPr>
              <w:t>259</w:t>
            </w:r>
            <w:r w:rsidR="00A43AD1">
              <w:rPr>
                <w:sz w:val="18"/>
                <w:szCs w:val="18"/>
              </w:rPr>
              <w:t>.</w:t>
            </w:r>
            <w:r w:rsidRPr="00733CCB">
              <w:rPr>
                <w:sz w:val="18"/>
                <w:szCs w:val="18"/>
              </w:rPr>
              <w:t>483</w:t>
            </w:r>
          </w:p>
        </w:tc>
        <w:tc>
          <w:tcPr>
            <w:tcW w:w="123" w:type="dxa"/>
            <w:vAlign w:val="bottom"/>
          </w:tcPr>
          <w:p w14:paraId="464ACAF7" w14:textId="77777777" w:rsidR="00F75085" w:rsidRPr="00DE189C" w:rsidRDefault="00F75085" w:rsidP="00F75085">
            <w:pPr>
              <w:ind w:right="57"/>
              <w:jc w:val="right"/>
              <w:rPr>
                <w:i/>
                <w:sz w:val="18"/>
                <w:szCs w:val="18"/>
              </w:rPr>
            </w:pPr>
          </w:p>
        </w:tc>
        <w:tc>
          <w:tcPr>
            <w:tcW w:w="2747" w:type="dxa"/>
            <w:vAlign w:val="bottom"/>
          </w:tcPr>
          <w:p w14:paraId="3E5936A7" w14:textId="77777777" w:rsidR="00F75085" w:rsidRPr="00DE189C" w:rsidRDefault="00F75085" w:rsidP="00F75085">
            <w:pPr>
              <w:ind w:right="98"/>
              <w:jc w:val="right"/>
              <w:rPr>
                <w:i/>
                <w:sz w:val="18"/>
                <w:szCs w:val="18"/>
              </w:rPr>
            </w:pPr>
            <w:r w:rsidRPr="00DE189C">
              <w:rPr>
                <w:i/>
                <w:sz w:val="18"/>
                <w:szCs w:val="18"/>
              </w:rPr>
              <w:t>Others - net</w:t>
            </w:r>
          </w:p>
        </w:tc>
      </w:tr>
      <w:tr w:rsidR="00F75085" w:rsidRPr="00DE189C" w14:paraId="6CD4C8CD" w14:textId="77777777" w:rsidTr="005B669E">
        <w:trPr>
          <w:trHeight w:val="20"/>
        </w:trPr>
        <w:tc>
          <w:tcPr>
            <w:tcW w:w="2728" w:type="dxa"/>
            <w:vAlign w:val="bottom"/>
          </w:tcPr>
          <w:p w14:paraId="33090785" w14:textId="77777777" w:rsidR="00F75085" w:rsidRPr="00DE189C" w:rsidRDefault="00F75085" w:rsidP="00F75085">
            <w:pPr>
              <w:ind w:left="142"/>
              <w:rPr>
                <w:sz w:val="18"/>
                <w:szCs w:val="18"/>
                <w:lang w:val="en-ID"/>
              </w:rPr>
            </w:pPr>
          </w:p>
        </w:tc>
        <w:tc>
          <w:tcPr>
            <w:tcW w:w="124" w:type="dxa"/>
            <w:tcMar>
              <w:left w:w="28" w:type="dxa"/>
              <w:right w:w="28" w:type="dxa"/>
            </w:tcMar>
            <w:vAlign w:val="bottom"/>
          </w:tcPr>
          <w:p w14:paraId="1CEAC13C" w14:textId="77777777" w:rsidR="00F75085" w:rsidRPr="00DE189C" w:rsidRDefault="00F75085" w:rsidP="00F75085">
            <w:pPr>
              <w:jc w:val="center"/>
              <w:rPr>
                <w:sz w:val="18"/>
                <w:szCs w:val="18"/>
              </w:rPr>
            </w:pPr>
          </w:p>
        </w:tc>
        <w:tc>
          <w:tcPr>
            <w:tcW w:w="1676" w:type="dxa"/>
            <w:tcBorders>
              <w:top w:val="single" w:sz="4" w:space="0" w:color="auto"/>
            </w:tcBorders>
            <w:tcMar>
              <w:left w:w="28" w:type="dxa"/>
              <w:right w:w="28" w:type="dxa"/>
            </w:tcMar>
            <w:vAlign w:val="bottom"/>
          </w:tcPr>
          <w:p w14:paraId="7503EB44" w14:textId="77777777" w:rsidR="00F75085" w:rsidRPr="00DE189C" w:rsidRDefault="00F75085" w:rsidP="00F75085">
            <w:pPr>
              <w:ind w:left="-76" w:right="28"/>
              <w:jc w:val="right"/>
              <w:rPr>
                <w:sz w:val="18"/>
                <w:szCs w:val="18"/>
                <w:lang w:val="id-ID"/>
              </w:rPr>
            </w:pPr>
          </w:p>
        </w:tc>
        <w:tc>
          <w:tcPr>
            <w:tcW w:w="124" w:type="dxa"/>
            <w:tcMar>
              <w:left w:w="28" w:type="dxa"/>
              <w:right w:w="28" w:type="dxa"/>
            </w:tcMar>
            <w:vAlign w:val="bottom"/>
          </w:tcPr>
          <w:p w14:paraId="3265930E" w14:textId="77777777" w:rsidR="00F75085" w:rsidRPr="00DE189C" w:rsidRDefault="00F75085" w:rsidP="00F75085">
            <w:pPr>
              <w:ind w:left="-76" w:right="74"/>
              <w:jc w:val="right"/>
              <w:rPr>
                <w:b/>
                <w:sz w:val="18"/>
                <w:szCs w:val="18"/>
              </w:rPr>
            </w:pPr>
          </w:p>
        </w:tc>
        <w:tc>
          <w:tcPr>
            <w:tcW w:w="1675" w:type="dxa"/>
            <w:tcBorders>
              <w:top w:val="single" w:sz="4" w:space="0" w:color="auto"/>
            </w:tcBorders>
            <w:tcMar>
              <w:left w:w="28" w:type="dxa"/>
              <w:right w:w="28" w:type="dxa"/>
            </w:tcMar>
            <w:vAlign w:val="bottom"/>
          </w:tcPr>
          <w:p w14:paraId="7DC74398" w14:textId="77777777" w:rsidR="00F75085" w:rsidRPr="00DE189C" w:rsidRDefault="00F75085" w:rsidP="00F75085">
            <w:pPr>
              <w:ind w:left="-76" w:right="28"/>
              <w:jc w:val="right"/>
              <w:rPr>
                <w:sz w:val="18"/>
                <w:szCs w:val="18"/>
              </w:rPr>
            </w:pPr>
          </w:p>
        </w:tc>
        <w:tc>
          <w:tcPr>
            <w:tcW w:w="123" w:type="dxa"/>
            <w:vAlign w:val="bottom"/>
          </w:tcPr>
          <w:p w14:paraId="6079114F" w14:textId="77777777" w:rsidR="00F75085" w:rsidRPr="00DE189C" w:rsidRDefault="00F75085" w:rsidP="00F75085">
            <w:pPr>
              <w:ind w:right="247"/>
              <w:jc w:val="right"/>
              <w:rPr>
                <w:i/>
                <w:sz w:val="18"/>
                <w:szCs w:val="18"/>
                <w:lang w:val="id-ID"/>
              </w:rPr>
            </w:pPr>
          </w:p>
        </w:tc>
        <w:tc>
          <w:tcPr>
            <w:tcW w:w="2747" w:type="dxa"/>
            <w:vAlign w:val="bottom"/>
          </w:tcPr>
          <w:p w14:paraId="1F99DD8A" w14:textId="77777777" w:rsidR="00F75085" w:rsidRPr="00DE189C" w:rsidRDefault="00F75085" w:rsidP="00F75085">
            <w:pPr>
              <w:ind w:right="98"/>
              <w:jc w:val="right"/>
              <w:rPr>
                <w:i/>
                <w:sz w:val="18"/>
                <w:szCs w:val="18"/>
              </w:rPr>
            </w:pPr>
          </w:p>
        </w:tc>
      </w:tr>
      <w:tr w:rsidR="00F75085" w:rsidRPr="00DE189C" w14:paraId="5556DF3B" w14:textId="77777777" w:rsidTr="005B669E">
        <w:trPr>
          <w:trHeight w:val="20"/>
        </w:trPr>
        <w:tc>
          <w:tcPr>
            <w:tcW w:w="2728" w:type="dxa"/>
            <w:vAlign w:val="bottom"/>
          </w:tcPr>
          <w:p w14:paraId="3A28603A" w14:textId="2351D0AB" w:rsidR="00F75085" w:rsidRPr="00DE189C" w:rsidRDefault="00E60CF2" w:rsidP="00F75085">
            <w:pPr>
              <w:ind w:left="284" w:hanging="142"/>
              <w:rPr>
                <w:b/>
                <w:sz w:val="18"/>
                <w:szCs w:val="18"/>
              </w:rPr>
            </w:pPr>
            <w:r>
              <w:rPr>
                <w:b/>
                <w:sz w:val="18"/>
                <w:szCs w:val="18"/>
                <w:lang w:val="id-ID"/>
              </w:rPr>
              <w:t>LABA</w:t>
            </w:r>
            <w:r w:rsidR="00F75085" w:rsidRPr="00DE189C">
              <w:rPr>
                <w:b/>
                <w:sz w:val="18"/>
                <w:szCs w:val="18"/>
              </w:rPr>
              <w:t xml:space="preserve"> SEBELUM PAJAK PENGHASILAN </w:t>
            </w:r>
          </w:p>
        </w:tc>
        <w:tc>
          <w:tcPr>
            <w:tcW w:w="124" w:type="dxa"/>
            <w:tcMar>
              <w:left w:w="28" w:type="dxa"/>
              <w:right w:w="28" w:type="dxa"/>
            </w:tcMar>
            <w:vAlign w:val="bottom"/>
          </w:tcPr>
          <w:p w14:paraId="2991CFA8" w14:textId="77777777" w:rsidR="00F75085" w:rsidRPr="00DE189C" w:rsidRDefault="00F75085" w:rsidP="00F75085">
            <w:pPr>
              <w:jc w:val="center"/>
              <w:rPr>
                <w:sz w:val="18"/>
                <w:szCs w:val="18"/>
              </w:rPr>
            </w:pPr>
          </w:p>
        </w:tc>
        <w:tc>
          <w:tcPr>
            <w:tcW w:w="1676" w:type="dxa"/>
            <w:tcMar>
              <w:left w:w="28" w:type="dxa"/>
              <w:right w:w="28" w:type="dxa"/>
            </w:tcMar>
            <w:vAlign w:val="bottom"/>
          </w:tcPr>
          <w:p w14:paraId="59D81AEC" w14:textId="05A78F21" w:rsidR="00F75085" w:rsidRPr="004C0A20" w:rsidRDefault="00FC2E4A" w:rsidP="00F75085">
            <w:pPr>
              <w:ind w:left="-76" w:right="28"/>
              <w:jc w:val="right"/>
              <w:rPr>
                <w:b/>
                <w:sz w:val="18"/>
                <w:szCs w:val="18"/>
              </w:rPr>
            </w:pPr>
            <w:r w:rsidRPr="004C0A20">
              <w:rPr>
                <w:b/>
                <w:sz w:val="18"/>
                <w:szCs w:val="18"/>
              </w:rPr>
              <w:t>5.301.506.497</w:t>
            </w:r>
          </w:p>
        </w:tc>
        <w:tc>
          <w:tcPr>
            <w:tcW w:w="124" w:type="dxa"/>
            <w:tcMar>
              <w:left w:w="28" w:type="dxa"/>
              <w:right w:w="28" w:type="dxa"/>
            </w:tcMar>
            <w:vAlign w:val="bottom"/>
          </w:tcPr>
          <w:p w14:paraId="528DC718" w14:textId="77777777" w:rsidR="00F75085" w:rsidRPr="00DE189C" w:rsidRDefault="00F75085" w:rsidP="00F75085">
            <w:pPr>
              <w:ind w:left="-76" w:right="74"/>
              <w:jc w:val="right"/>
              <w:rPr>
                <w:b/>
                <w:sz w:val="18"/>
                <w:szCs w:val="18"/>
              </w:rPr>
            </w:pPr>
          </w:p>
        </w:tc>
        <w:tc>
          <w:tcPr>
            <w:tcW w:w="1675" w:type="dxa"/>
            <w:tcMar>
              <w:left w:w="28" w:type="dxa"/>
              <w:right w:w="28" w:type="dxa"/>
            </w:tcMar>
            <w:vAlign w:val="bottom"/>
          </w:tcPr>
          <w:p w14:paraId="241BCB1F" w14:textId="172ADC10" w:rsidR="00F75085" w:rsidRPr="00DE189C" w:rsidRDefault="00733CCB" w:rsidP="00F75085">
            <w:pPr>
              <w:ind w:left="-76" w:right="28"/>
              <w:jc w:val="right"/>
              <w:rPr>
                <w:b/>
                <w:sz w:val="18"/>
                <w:szCs w:val="18"/>
              </w:rPr>
            </w:pPr>
            <w:r w:rsidRPr="00733CCB">
              <w:rPr>
                <w:b/>
                <w:sz w:val="18"/>
                <w:szCs w:val="18"/>
              </w:rPr>
              <w:t xml:space="preserve">8 </w:t>
            </w:r>
            <w:r w:rsidR="00A43AD1">
              <w:rPr>
                <w:b/>
                <w:sz w:val="18"/>
                <w:szCs w:val="18"/>
              </w:rPr>
              <w:t>.</w:t>
            </w:r>
            <w:r w:rsidRPr="00733CCB">
              <w:rPr>
                <w:b/>
                <w:sz w:val="18"/>
                <w:szCs w:val="18"/>
              </w:rPr>
              <w:t>969</w:t>
            </w:r>
            <w:r w:rsidR="00A43AD1">
              <w:rPr>
                <w:b/>
                <w:sz w:val="18"/>
                <w:szCs w:val="18"/>
              </w:rPr>
              <w:t>.</w:t>
            </w:r>
            <w:r w:rsidRPr="00733CCB">
              <w:rPr>
                <w:b/>
                <w:sz w:val="18"/>
                <w:szCs w:val="18"/>
              </w:rPr>
              <w:t>457</w:t>
            </w:r>
            <w:r w:rsidR="00A43AD1">
              <w:rPr>
                <w:b/>
                <w:sz w:val="18"/>
                <w:szCs w:val="18"/>
              </w:rPr>
              <w:t>.</w:t>
            </w:r>
            <w:r w:rsidRPr="00733CCB">
              <w:rPr>
                <w:b/>
                <w:sz w:val="18"/>
                <w:szCs w:val="18"/>
              </w:rPr>
              <w:t>228</w:t>
            </w:r>
          </w:p>
        </w:tc>
        <w:tc>
          <w:tcPr>
            <w:tcW w:w="123" w:type="dxa"/>
            <w:vAlign w:val="bottom"/>
          </w:tcPr>
          <w:p w14:paraId="594C3136" w14:textId="77777777" w:rsidR="00F75085" w:rsidRPr="00DE189C" w:rsidRDefault="00F75085" w:rsidP="00F75085">
            <w:pPr>
              <w:ind w:right="88"/>
              <w:jc w:val="right"/>
              <w:rPr>
                <w:i/>
                <w:iCs/>
                <w:sz w:val="18"/>
                <w:szCs w:val="18"/>
              </w:rPr>
            </w:pPr>
          </w:p>
        </w:tc>
        <w:tc>
          <w:tcPr>
            <w:tcW w:w="2747" w:type="dxa"/>
            <w:vAlign w:val="bottom"/>
          </w:tcPr>
          <w:p w14:paraId="5B08D35C" w14:textId="77A07357" w:rsidR="00F75085" w:rsidRPr="00DE189C" w:rsidRDefault="003D4EDB" w:rsidP="00F75085">
            <w:pPr>
              <w:ind w:right="98"/>
              <w:jc w:val="right"/>
              <w:rPr>
                <w:b/>
                <w:i/>
                <w:sz w:val="18"/>
                <w:szCs w:val="18"/>
              </w:rPr>
            </w:pPr>
            <w:r>
              <w:rPr>
                <w:b/>
                <w:i/>
                <w:sz w:val="18"/>
                <w:szCs w:val="18"/>
                <w:lang w:val="id-ID"/>
              </w:rPr>
              <w:t>GAIN</w:t>
            </w:r>
            <w:r w:rsidR="00F75085" w:rsidRPr="00DE189C">
              <w:rPr>
                <w:b/>
                <w:i/>
                <w:sz w:val="18"/>
                <w:szCs w:val="18"/>
              </w:rPr>
              <w:t xml:space="preserve"> BEFORE</w:t>
            </w:r>
          </w:p>
          <w:p w14:paraId="7CA15C17" w14:textId="77777777" w:rsidR="00F75085" w:rsidRPr="00DE189C" w:rsidRDefault="00F75085" w:rsidP="00F75085">
            <w:pPr>
              <w:ind w:right="262"/>
              <w:jc w:val="right"/>
              <w:rPr>
                <w:b/>
                <w:i/>
                <w:sz w:val="18"/>
                <w:szCs w:val="18"/>
              </w:rPr>
            </w:pPr>
            <w:r w:rsidRPr="00DE189C">
              <w:rPr>
                <w:b/>
                <w:i/>
                <w:sz w:val="18"/>
                <w:szCs w:val="18"/>
              </w:rPr>
              <w:t xml:space="preserve"> INCOME TAX</w:t>
            </w:r>
          </w:p>
        </w:tc>
      </w:tr>
      <w:tr w:rsidR="00F75085" w:rsidRPr="00DE189C" w14:paraId="681EEC4E" w14:textId="77777777" w:rsidTr="005B669E">
        <w:trPr>
          <w:trHeight w:val="20"/>
        </w:trPr>
        <w:tc>
          <w:tcPr>
            <w:tcW w:w="2728" w:type="dxa"/>
            <w:vAlign w:val="bottom"/>
          </w:tcPr>
          <w:p w14:paraId="00BEC476" w14:textId="77777777" w:rsidR="00F75085" w:rsidRPr="00DE189C" w:rsidRDefault="00F75085" w:rsidP="00F75085">
            <w:pPr>
              <w:ind w:left="142"/>
              <w:rPr>
                <w:sz w:val="18"/>
                <w:szCs w:val="18"/>
                <w:lang w:val="id-ID"/>
              </w:rPr>
            </w:pPr>
          </w:p>
        </w:tc>
        <w:tc>
          <w:tcPr>
            <w:tcW w:w="124" w:type="dxa"/>
            <w:tcMar>
              <w:left w:w="28" w:type="dxa"/>
              <w:right w:w="28" w:type="dxa"/>
            </w:tcMar>
            <w:vAlign w:val="bottom"/>
          </w:tcPr>
          <w:p w14:paraId="7CD32843" w14:textId="77777777" w:rsidR="00F75085" w:rsidRPr="00DE189C" w:rsidRDefault="00F75085" w:rsidP="00F75085">
            <w:pPr>
              <w:jc w:val="center"/>
              <w:rPr>
                <w:sz w:val="18"/>
                <w:szCs w:val="18"/>
              </w:rPr>
            </w:pPr>
          </w:p>
        </w:tc>
        <w:tc>
          <w:tcPr>
            <w:tcW w:w="1676" w:type="dxa"/>
            <w:tcMar>
              <w:left w:w="28" w:type="dxa"/>
              <w:right w:w="28" w:type="dxa"/>
            </w:tcMar>
            <w:vAlign w:val="bottom"/>
          </w:tcPr>
          <w:p w14:paraId="4BBC99B3" w14:textId="77777777" w:rsidR="00F75085" w:rsidRPr="004C0A20" w:rsidRDefault="00F75085" w:rsidP="00F75085">
            <w:pPr>
              <w:ind w:left="-76" w:right="28"/>
              <w:jc w:val="right"/>
              <w:rPr>
                <w:sz w:val="18"/>
                <w:szCs w:val="18"/>
                <w:lang w:val="id-ID"/>
              </w:rPr>
            </w:pPr>
          </w:p>
        </w:tc>
        <w:tc>
          <w:tcPr>
            <w:tcW w:w="124" w:type="dxa"/>
            <w:tcMar>
              <w:left w:w="28" w:type="dxa"/>
              <w:right w:w="28" w:type="dxa"/>
            </w:tcMar>
            <w:vAlign w:val="bottom"/>
          </w:tcPr>
          <w:p w14:paraId="1D6133EF"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35120B60" w14:textId="77777777" w:rsidR="00F75085" w:rsidRPr="00DE189C" w:rsidRDefault="00F75085" w:rsidP="00F75085">
            <w:pPr>
              <w:ind w:left="-76" w:right="28"/>
              <w:jc w:val="right"/>
              <w:rPr>
                <w:sz w:val="18"/>
                <w:szCs w:val="18"/>
              </w:rPr>
            </w:pPr>
          </w:p>
        </w:tc>
        <w:tc>
          <w:tcPr>
            <w:tcW w:w="123" w:type="dxa"/>
            <w:vAlign w:val="bottom"/>
          </w:tcPr>
          <w:p w14:paraId="104B3A85" w14:textId="77777777" w:rsidR="00F75085" w:rsidRPr="00DE189C" w:rsidRDefault="00F75085" w:rsidP="00F75085">
            <w:pPr>
              <w:ind w:right="247"/>
              <w:jc w:val="right"/>
              <w:rPr>
                <w:i/>
                <w:sz w:val="18"/>
                <w:szCs w:val="18"/>
                <w:lang w:val="id-ID"/>
              </w:rPr>
            </w:pPr>
          </w:p>
        </w:tc>
        <w:tc>
          <w:tcPr>
            <w:tcW w:w="2747" w:type="dxa"/>
            <w:vAlign w:val="bottom"/>
          </w:tcPr>
          <w:p w14:paraId="3110AF39" w14:textId="77777777" w:rsidR="00F75085" w:rsidRPr="00DE189C" w:rsidRDefault="00F75085" w:rsidP="00F75085">
            <w:pPr>
              <w:ind w:right="98"/>
              <w:jc w:val="right"/>
              <w:rPr>
                <w:i/>
                <w:sz w:val="18"/>
                <w:szCs w:val="18"/>
              </w:rPr>
            </w:pPr>
          </w:p>
        </w:tc>
      </w:tr>
      <w:tr w:rsidR="00F75085" w:rsidRPr="00DE189C" w14:paraId="0D5A9057" w14:textId="77777777" w:rsidTr="005B669E">
        <w:trPr>
          <w:trHeight w:val="60"/>
        </w:trPr>
        <w:tc>
          <w:tcPr>
            <w:tcW w:w="2728" w:type="dxa"/>
            <w:vAlign w:val="bottom"/>
          </w:tcPr>
          <w:p w14:paraId="055C5AEF" w14:textId="77777777" w:rsidR="00F75085" w:rsidRPr="00DE189C" w:rsidRDefault="00F75085" w:rsidP="00F75085">
            <w:pPr>
              <w:ind w:left="284" w:hanging="142"/>
              <w:rPr>
                <w:b/>
                <w:sz w:val="18"/>
                <w:szCs w:val="18"/>
              </w:rPr>
            </w:pPr>
            <w:r w:rsidRPr="00DE189C">
              <w:rPr>
                <w:b/>
                <w:sz w:val="18"/>
                <w:szCs w:val="18"/>
              </w:rPr>
              <w:t>MANFAAT PAJAK PENGHASILAN</w:t>
            </w:r>
          </w:p>
        </w:tc>
        <w:tc>
          <w:tcPr>
            <w:tcW w:w="124" w:type="dxa"/>
            <w:tcMar>
              <w:left w:w="28" w:type="dxa"/>
              <w:right w:w="28" w:type="dxa"/>
            </w:tcMar>
            <w:vAlign w:val="bottom"/>
          </w:tcPr>
          <w:p w14:paraId="0C778AA6" w14:textId="77777777" w:rsidR="00F75085" w:rsidRPr="00DE189C" w:rsidRDefault="00F75085" w:rsidP="00F75085">
            <w:pPr>
              <w:jc w:val="center"/>
              <w:rPr>
                <w:sz w:val="18"/>
                <w:szCs w:val="18"/>
              </w:rPr>
            </w:pPr>
          </w:p>
        </w:tc>
        <w:tc>
          <w:tcPr>
            <w:tcW w:w="1676" w:type="dxa"/>
            <w:tcMar>
              <w:left w:w="28" w:type="dxa"/>
              <w:right w:w="28" w:type="dxa"/>
            </w:tcMar>
            <w:vAlign w:val="bottom"/>
          </w:tcPr>
          <w:p w14:paraId="610EBDA5" w14:textId="77777777" w:rsidR="00F75085" w:rsidRPr="004C0A20" w:rsidRDefault="00F75085" w:rsidP="00F75085">
            <w:pPr>
              <w:ind w:left="-76" w:right="28"/>
              <w:jc w:val="right"/>
              <w:rPr>
                <w:sz w:val="18"/>
                <w:szCs w:val="18"/>
                <w:lang w:val="id-ID"/>
              </w:rPr>
            </w:pPr>
          </w:p>
        </w:tc>
        <w:tc>
          <w:tcPr>
            <w:tcW w:w="124" w:type="dxa"/>
            <w:tcMar>
              <w:left w:w="28" w:type="dxa"/>
              <w:right w:w="28" w:type="dxa"/>
            </w:tcMar>
            <w:vAlign w:val="bottom"/>
          </w:tcPr>
          <w:p w14:paraId="0D8E5DC1"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29AF5D6D" w14:textId="77777777" w:rsidR="00F75085" w:rsidRPr="00DE189C" w:rsidRDefault="00F75085" w:rsidP="00F75085">
            <w:pPr>
              <w:ind w:left="-76" w:right="28"/>
              <w:jc w:val="right"/>
              <w:rPr>
                <w:sz w:val="18"/>
                <w:szCs w:val="18"/>
              </w:rPr>
            </w:pPr>
          </w:p>
        </w:tc>
        <w:tc>
          <w:tcPr>
            <w:tcW w:w="123" w:type="dxa"/>
            <w:vAlign w:val="bottom"/>
          </w:tcPr>
          <w:p w14:paraId="479FEDCC" w14:textId="77777777" w:rsidR="00F75085" w:rsidRPr="00DE189C" w:rsidRDefault="00F75085" w:rsidP="00F75085">
            <w:pPr>
              <w:ind w:right="247"/>
              <w:jc w:val="right"/>
              <w:rPr>
                <w:i/>
                <w:sz w:val="18"/>
                <w:szCs w:val="18"/>
                <w:lang w:val="id-ID"/>
              </w:rPr>
            </w:pPr>
          </w:p>
        </w:tc>
        <w:tc>
          <w:tcPr>
            <w:tcW w:w="2747" w:type="dxa"/>
            <w:vAlign w:val="bottom"/>
          </w:tcPr>
          <w:p w14:paraId="5D7284B9" w14:textId="77777777" w:rsidR="00F75085" w:rsidRPr="00DE189C" w:rsidRDefault="00F75085" w:rsidP="00F75085">
            <w:pPr>
              <w:ind w:right="98"/>
              <w:jc w:val="right"/>
              <w:rPr>
                <w:b/>
                <w:i/>
                <w:sz w:val="18"/>
                <w:szCs w:val="18"/>
              </w:rPr>
            </w:pPr>
            <w:r w:rsidRPr="00DE189C">
              <w:rPr>
                <w:b/>
                <w:i/>
                <w:sz w:val="18"/>
                <w:szCs w:val="18"/>
              </w:rPr>
              <w:t>INCOME TAX BENEFITS</w:t>
            </w:r>
          </w:p>
        </w:tc>
      </w:tr>
      <w:tr w:rsidR="00F75085" w:rsidRPr="00DE189C" w14:paraId="04F42F86" w14:textId="77777777" w:rsidTr="005B669E">
        <w:trPr>
          <w:trHeight w:val="20"/>
        </w:trPr>
        <w:tc>
          <w:tcPr>
            <w:tcW w:w="2728" w:type="dxa"/>
            <w:vAlign w:val="bottom"/>
          </w:tcPr>
          <w:p w14:paraId="666018FE" w14:textId="77777777" w:rsidR="00F75085" w:rsidRPr="00DE189C" w:rsidRDefault="00F75085" w:rsidP="00F75085">
            <w:pPr>
              <w:ind w:left="284"/>
              <w:rPr>
                <w:bCs w:val="0"/>
                <w:sz w:val="18"/>
                <w:szCs w:val="18"/>
              </w:rPr>
            </w:pPr>
            <w:r w:rsidRPr="00DE189C">
              <w:rPr>
                <w:bCs w:val="0"/>
                <w:sz w:val="18"/>
                <w:szCs w:val="18"/>
              </w:rPr>
              <w:t>Pajak kini</w:t>
            </w:r>
          </w:p>
        </w:tc>
        <w:tc>
          <w:tcPr>
            <w:tcW w:w="124" w:type="dxa"/>
            <w:tcMar>
              <w:left w:w="28" w:type="dxa"/>
              <w:right w:w="28" w:type="dxa"/>
            </w:tcMar>
            <w:vAlign w:val="bottom"/>
          </w:tcPr>
          <w:p w14:paraId="30FAB540" w14:textId="77777777" w:rsidR="00F75085" w:rsidRPr="00DE189C" w:rsidRDefault="00F75085" w:rsidP="00F75085">
            <w:pPr>
              <w:jc w:val="center"/>
              <w:rPr>
                <w:sz w:val="18"/>
                <w:szCs w:val="18"/>
              </w:rPr>
            </w:pPr>
          </w:p>
        </w:tc>
        <w:tc>
          <w:tcPr>
            <w:tcW w:w="1676" w:type="dxa"/>
            <w:tcMar>
              <w:left w:w="28" w:type="dxa"/>
              <w:right w:w="28" w:type="dxa"/>
            </w:tcMar>
            <w:vAlign w:val="bottom"/>
          </w:tcPr>
          <w:p w14:paraId="1D083384" w14:textId="4C9D4A16" w:rsidR="00F75085" w:rsidRPr="004C0A20" w:rsidRDefault="009734DA" w:rsidP="004C0A20">
            <w:pPr>
              <w:ind w:left="-76" w:right="28"/>
              <w:jc w:val="right"/>
              <w:rPr>
                <w:sz w:val="18"/>
                <w:szCs w:val="18"/>
              </w:rPr>
            </w:pPr>
            <w:r w:rsidRPr="004C0A20">
              <w:rPr>
                <w:sz w:val="18"/>
                <w:szCs w:val="18"/>
              </w:rPr>
              <w:t>(</w:t>
            </w:r>
            <w:r w:rsidR="004C0A20">
              <w:rPr>
                <w:sz w:val="18"/>
                <w:szCs w:val="18"/>
              </w:rPr>
              <w:t>578.784.008</w:t>
            </w:r>
            <w:r w:rsidR="001B120D" w:rsidRPr="004C0A20">
              <w:rPr>
                <w:sz w:val="18"/>
                <w:szCs w:val="18"/>
              </w:rPr>
              <w:t>)</w:t>
            </w:r>
          </w:p>
        </w:tc>
        <w:tc>
          <w:tcPr>
            <w:tcW w:w="124" w:type="dxa"/>
            <w:tcMar>
              <w:left w:w="28" w:type="dxa"/>
              <w:right w:w="28" w:type="dxa"/>
            </w:tcMar>
            <w:vAlign w:val="bottom"/>
          </w:tcPr>
          <w:p w14:paraId="5EAD0B92"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2FA1B7DB" w14:textId="4950253E" w:rsidR="00F75085" w:rsidRPr="00DE189C" w:rsidRDefault="001853DC" w:rsidP="00F75085">
            <w:pPr>
              <w:ind w:left="-76" w:right="28"/>
              <w:jc w:val="right"/>
              <w:rPr>
                <w:sz w:val="18"/>
                <w:szCs w:val="18"/>
              </w:rPr>
            </w:pPr>
            <w:r>
              <w:rPr>
                <w:sz w:val="18"/>
                <w:szCs w:val="18"/>
              </w:rPr>
              <w:t>-</w:t>
            </w:r>
          </w:p>
        </w:tc>
        <w:tc>
          <w:tcPr>
            <w:tcW w:w="123" w:type="dxa"/>
            <w:vAlign w:val="bottom"/>
          </w:tcPr>
          <w:p w14:paraId="6A1721E6" w14:textId="77777777" w:rsidR="00F75085" w:rsidRPr="00DE189C" w:rsidRDefault="00F75085" w:rsidP="00F75085">
            <w:pPr>
              <w:ind w:right="247"/>
              <w:jc w:val="right"/>
              <w:rPr>
                <w:i/>
                <w:sz w:val="18"/>
                <w:szCs w:val="18"/>
                <w:lang w:val="id-ID"/>
              </w:rPr>
            </w:pPr>
          </w:p>
        </w:tc>
        <w:tc>
          <w:tcPr>
            <w:tcW w:w="2747" w:type="dxa"/>
            <w:vAlign w:val="bottom"/>
          </w:tcPr>
          <w:p w14:paraId="147C707D" w14:textId="77777777" w:rsidR="00F75085" w:rsidRPr="00DE189C" w:rsidRDefault="00F75085" w:rsidP="00F75085">
            <w:pPr>
              <w:ind w:right="258"/>
              <w:jc w:val="right"/>
              <w:rPr>
                <w:bCs w:val="0"/>
                <w:i/>
                <w:sz w:val="18"/>
                <w:szCs w:val="18"/>
              </w:rPr>
            </w:pPr>
            <w:r w:rsidRPr="00DE189C">
              <w:rPr>
                <w:bCs w:val="0"/>
                <w:i/>
                <w:sz w:val="18"/>
                <w:szCs w:val="18"/>
              </w:rPr>
              <w:t>Current tax</w:t>
            </w:r>
          </w:p>
        </w:tc>
      </w:tr>
      <w:tr w:rsidR="00F75085" w:rsidRPr="00DE189C" w14:paraId="38677E2D" w14:textId="77777777" w:rsidTr="005B669E">
        <w:trPr>
          <w:trHeight w:val="20"/>
        </w:trPr>
        <w:tc>
          <w:tcPr>
            <w:tcW w:w="2728" w:type="dxa"/>
            <w:vAlign w:val="bottom"/>
          </w:tcPr>
          <w:p w14:paraId="26CFDF6E" w14:textId="77777777" w:rsidR="00F75085" w:rsidRPr="00DE189C" w:rsidRDefault="00F75085" w:rsidP="00F75085">
            <w:pPr>
              <w:ind w:left="284"/>
              <w:rPr>
                <w:sz w:val="18"/>
                <w:szCs w:val="18"/>
              </w:rPr>
            </w:pPr>
            <w:r w:rsidRPr="00DE189C">
              <w:rPr>
                <w:sz w:val="18"/>
                <w:szCs w:val="18"/>
              </w:rPr>
              <w:t>Pajak tangguhan</w:t>
            </w:r>
          </w:p>
        </w:tc>
        <w:tc>
          <w:tcPr>
            <w:tcW w:w="124" w:type="dxa"/>
            <w:tcMar>
              <w:left w:w="28" w:type="dxa"/>
              <w:right w:w="28" w:type="dxa"/>
            </w:tcMar>
            <w:vAlign w:val="bottom"/>
          </w:tcPr>
          <w:p w14:paraId="39699EF1" w14:textId="77777777" w:rsidR="00F75085" w:rsidRPr="009734DA" w:rsidRDefault="00F75085" w:rsidP="00F75085">
            <w:pPr>
              <w:jc w:val="center"/>
              <w:rPr>
                <w:b/>
                <w:sz w:val="18"/>
                <w:szCs w:val="18"/>
                <w:highlight w:val="yellow"/>
              </w:rPr>
            </w:pPr>
          </w:p>
        </w:tc>
        <w:tc>
          <w:tcPr>
            <w:tcW w:w="1676" w:type="dxa"/>
            <w:tcMar>
              <w:left w:w="28" w:type="dxa"/>
              <w:right w:w="28" w:type="dxa"/>
            </w:tcMar>
            <w:vAlign w:val="bottom"/>
          </w:tcPr>
          <w:p w14:paraId="24034664" w14:textId="51FFAFAE" w:rsidR="00F75085" w:rsidRPr="004C0A20" w:rsidRDefault="004C0A20" w:rsidP="00F75085">
            <w:pPr>
              <w:ind w:left="-76" w:right="28"/>
              <w:jc w:val="right"/>
              <w:rPr>
                <w:sz w:val="18"/>
                <w:szCs w:val="18"/>
              </w:rPr>
            </w:pPr>
            <w:r>
              <w:rPr>
                <w:sz w:val="18"/>
                <w:szCs w:val="18"/>
              </w:rPr>
              <w:t>-</w:t>
            </w:r>
          </w:p>
        </w:tc>
        <w:tc>
          <w:tcPr>
            <w:tcW w:w="124" w:type="dxa"/>
            <w:tcMar>
              <w:left w:w="28" w:type="dxa"/>
              <w:right w:w="28" w:type="dxa"/>
            </w:tcMar>
            <w:vAlign w:val="bottom"/>
          </w:tcPr>
          <w:p w14:paraId="2CB01EB4"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7B96B7F4" w14:textId="59B46D7B" w:rsidR="00F75085" w:rsidRPr="00DE189C" w:rsidRDefault="00AC7321" w:rsidP="00F75085">
            <w:pPr>
              <w:ind w:left="-76" w:right="28"/>
              <w:jc w:val="right"/>
              <w:rPr>
                <w:sz w:val="18"/>
                <w:szCs w:val="18"/>
              </w:rPr>
            </w:pPr>
            <w:r w:rsidRPr="00AC7321">
              <w:rPr>
                <w:sz w:val="18"/>
                <w:szCs w:val="18"/>
              </w:rPr>
              <w:t>(2</w:t>
            </w:r>
            <w:r w:rsidR="00A43AD1">
              <w:rPr>
                <w:sz w:val="18"/>
                <w:szCs w:val="18"/>
              </w:rPr>
              <w:t>.</w:t>
            </w:r>
            <w:r w:rsidRPr="00AC7321">
              <w:rPr>
                <w:sz w:val="18"/>
                <w:szCs w:val="18"/>
              </w:rPr>
              <w:t>521</w:t>
            </w:r>
            <w:r w:rsidR="00A43AD1">
              <w:rPr>
                <w:sz w:val="18"/>
                <w:szCs w:val="18"/>
              </w:rPr>
              <w:t>.</w:t>
            </w:r>
            <w:r w:rsidRPr="00AC7321">
              <w:rPr>
                <w:sz w:val="18"/>
                <w:szCs w:val="18"/>
              </w:rPr>
              <w:t>812</w:t>
            </w:r>
            <w:r w:rsidR="00A43AD1">
              <w:rPr>
                <w:sz w:val="18"/>
                <w:szCs w:val="18"/>
              </w:rPr>
              <w:t>.</w:t>
            </w:r>
            <w:r w:rsidRPr="00AC7321">
              <w:rPr>
                <w:sz w:val="18"/>
                <w:szCs w:val="18"/>
              </w:rPr>
              <w:t>445)</w:t>
            </w:r>
          </w:p>
        </w:tc>
        <w:tc>
          <w:tcPr>
            <w:tcW w:w="123" w:type="dxa"/>
            <w:vAlign w:val="bottom"/>
          </w:tcPr>
          <w:p w14:paraId="601C004D" w14:textId="77777777" w:rsidR="00F75085" w:rsidRPr="00DE189C" w:rsidRDefault="00F75085" w:rsidP="00F75085">
            <w:pPr>
              <w:ind w:right="247"/>
              <w:jc w:val="right"/>
              <w:rPr>
                <w:b/>
                <w:i/>
                <w:sz w:val="18"/>
                <w:szCs w:val="18"/>
                <w:lang w:val="id-ID"/>
              </w:rPr>
            </w:pPr>
          </w:p>
        </w:tc>
        <w:tc>
          <w:tcPr>
            <w:tcW w:w="2747" w:type="dxa"/>
            <w:vAlign w:val="bottom"/>
          </w:tcPr>
          <w:p w14:paraId="2D448322" w14:textId="77777777" w:rsidR="00F75085" w:rsidRPr="00DE189C" w:rsidRDefault="00F75085" w:rsidP="00F75085">
            <w:pPr>
              <w:ind w:right="258"/>
              <w:jc w:val="right"/>
              <w:rPr>
                <w:i/>
                <w:sz w:val="18"/>
                <w:szCs w:val="18"/>
              </w:rPr>
            </w:pPr>
            <w:r w:rsidRPr="00DE189C">
              <w:rPr>
                <w:i/>
                <w:sz w:val="18"/>
                <w:szCs w:val="18"/>
              </w:rPr>
              <w:t xml:space="preserve">Deferred tax </w:t>
            </w:r>
          </w:p>
        </w:tc>
      </w:tr>
      <w:tr w:rsidR="00F75085" w:rsidRPr="00DE189C" w14:paraId="4455BAEB" w14:textId="77777777" w:rsidTr="005B669E">
        <w:trPr>
          <w:trHeight w:val="20"/>
        </w:trPr>
        <w:tc>
          <w:tcPr>
            <w:tcW w:w="2728" w:type="dxa"/>
            <w:vAlign w:val="bottom"/>
          </w:tcPr>
          <w:p w14:paraId="7560617B" w14:textId="77777777" w:rsidR="00F75085" w:rsidRPr="00DE189C" w:rsidRDefault="00F75085" w:rsidP="00F75085">
            <w:pPr>
              <w:ind w:left="142"/>
              <w:rPr>
                <w:sz w:val="18"/>
                <w:szCs w:val="18"/>
              </w:rPr>
            </w:pPr>
          </w:p>
        </w:tc>
        <w:tc>
          <w:tcPr>
            <w:tcW w:w="124" w:type="dxa"/>
            <w:tcMar>
              <w:left w:w="28" w:type="dxa"/>
              <w:right w:w="28" w:type="dxa"/>
            </w:tcMar>
            <w:vAlign w:val="bottom"/>
          </w:tcPr>
          <w:p w14:paraId="5D581B33" w14:textId="77777777" w:rsidR="00F75085" w:rsidRPr="00DE189C" w:rsidRDefault="00F75085" w:rsidP="00F75085">
            <w:pPr>
              <w:jc w:val="center"/>
              <w:rPr>
                <w:sz w:val="18"/>
                <w:szCs w:val="18"/>
              </w:rPr>
            </w:pPr>
          </w:p>
        </w:tc>
        <w:tc>
          <w:tcPr>
            <w:tcW w:w="1676" w:type="dxa"/>
            <w:tcBorders>
              <w:top w:val="single" w:sz="4" w:space="0" w:color="auto"/>
            </w:tcBorders>
            <w:tcMar>
              <w:left w:w="28" w:type="dxa"/>
              <w:right w:w="28" w:type="dxa"/>
            </w:tcMar>
            <w:vAlign w:val="bottom"/>
          </w:tcPr>
          <w:p w14:paraId="18185BE8" w14:textId="77777777" w:rsidR="00F75085" w:rsidRPr="004C0A20" w:rsidRDefault="00F75085" w:rsidP="00F75085">
            <w:pPr>
              <w:ind w:left="-76" w:right="28"/>
              <w:jc w:val="right"/>
              <w:rPr>
                <w:sz w:val="18"/>
                <w:szCs w:val="18"/>
                <w:lang w:val="id-ID"/>
              </w:rPr>
            </w:pPr>
          </w:p>
        </w:tc>
        <w:tc>
          <w:tcPr>
            <w:tcW w:w="124" w:type="dxa"/>
            <w:tcMar>
              <w:left w:w="28" w:type="dxa"/>
              <w:right w:w="28" w:type="dxa"/>
            </w:tcMar>
            <w:vAlign w:val="bottom"/>
          </w:tcPr>
          <w:p w14:paraId="798A87BA" w14:textId="77777777" w:rsidR="00F75085" w:rsidRPr="00DE189C" w:rsidRDefault="00F75085" w:rsidP="00F75085">
            <w:pPr>
              <w:ind w:left="-76" w:right="74"/>
              <w:jc w:val="right"/>
              <w:rPr>
                <w:sz w:val="18"/>
                <w:szCs w:val="18"/>
              </w:rPr>
            </w:pPr>
          </w:p>
        </w:tc>
        <w:tc>
          <w:tcPr>
            <w:tcW w:w="1675" w:type="dxa"/>
            <w:tcBorders>
              <w:top w:val="single" w:sz="4" w:space="0" w:color="auto"/>
            </w:tcBorders>
            <w:tcMar>
              <w:left w:w="28" w:type="dxa"/>
              <w:right w:w="28" w:type="dxa"/>
            </w:tcMar>
            <w:vAlign w:val="bottom"/>
          </w:tcPr>
          <w:p w14:paraId="5285F077" w14:textId="77777777" w:rsidR="00F75085" w:rsidRPr="00DE189C" w:rsidRDefault="00F75085" w:rsidP="00F75085">
            <w:pPr>
              <w:ind w:left="-76" w:right="28"/>
              <w:jc w:val="right"/>
              <w:rPr>
                <w:sz w:val="18"/>
                <w:szCs w:val="18"/>
              </w:rPr>
            </w:pPr>
          </w:p>
        </w:tc>
        <w:tc>
          <w:tcPr>
            <w:tcW w:w="123" w:type="dxa"/>
            <w:vAlign w:val="bottom"/>
          </w:tcPr>
          <w:p w14:paraId="7766F5D8" w14:textId="77777777" w:rsidR="00F75085" w:rsidRPr="00DE189C" w:rsidRDefault="00F75085" w:rsidP="00F75085">
            <w:pPr>
              <w:ind w:right="88"/>
              <w:jc w:val="right"/>
              <w:rPr>
                <w:i/>
                <w:sz w:val="18"/>
                <w:szCs w:val="18"/>
              </w:rPr>
            </w:pPr>
          </w:p>
        </w:tc>
        <w:tc>
          <w:tcPr>
            <w:tcW w:w="2747" w:type="dxa"/>
            <w:vAlign w:val="bottom"/>
          </w:tcPr>
          <w:p w14:paraId="43F25FE5" w14:textId="77777777" w:rsidR="00F75085" w:rsidRPr="00DE189C" w:rsidRDefault="00F75085" w:rsidP="00F75085">
            <w:pPr>
              <w:ind w:right="98"/>
              <w:jc w:val="right"/>
              <w:rPr>
                <w:i/>
                <w:sz w:val="18"/>
                <w:szCs w:val="18"/>
              </w:rPr>
            </w:pPr>
          </w:p>
        </w:tc>
      </w:tr>
      <w:tr w:rsidR="00F75085" w:rsidRPr="00DE189C" w14:paraId="47F07780" w14:textId="77777777" w:rsidTr="005B669E">
        <w:trPr>
          <w:trHeight w:val="20"/>
        </w:trPr>
        <w:tc>
          <w:tcPr>
            <w:tcW w:w="2728" w:type="dxa"/>
            <w:vAlign w:val="bottom"/>
          </w:tcPr>
          <w:p w14:paraId="27F0A456" w14:textId="77777777" w:rsidR="00F75085" w:rsidRPr="00DE189C" w:rsidRDefault="00F75085" w:rsidP="00F75085">
            <w:pPr>
              <w:ind w:left="284" w:right="99" w:hanging="142"/>
              <w:rPr>
                <w:sz w:val="18"/>
                <w:szCs w:val="18"/>
              </w:rPr>
            </w:pPr>
            <w:r w:rsidRPr="00DE189C">
              <w:rPr>
                <w:sz w:val="18"/>
                <w:szCs w:val="18"/>
              </w:rPr>
              <w:t>Jumlah Manfaat Pajak Penghasilan</w:t>
            </w:r>
          </w:p>
        </w:tc>
        <w:tc>
          <w:tcPr>
            <w:tcW w:w="124" w:type="dxa"/>
            <w:tcMar>
              <w:left w:w="28" w:type="dxa"/>
              <w:right w:w="28" w:type="dxa"/>
            </w:tcMar>
            <w:vAlign w:val="bottom"/>
          </w:tcPr>
          <w:p w14:paraId="5C5D4EB2" w14:textId="77777777" w:rsidR="00F75085" w:rsidRPr="00DE189C" w:rsidRDefault="00F75085" w:rsidP="00F75085">
            <w:pPr>
              <w:jc w:val="center"/>
              <w:rPr>
                <w:sz w:val="18"/>
                <w:szCs w:val="18"/>
              </w:rPr>
            </w:pPr>
          </w:p>
        </w:tc>
        <w:tc>
          <w:tcPr>
            <w:tcW w:w="1676" w:type="dxa"/>
            <w:tcMar>
              <w:left w:w="28" w:type="dxa"/>
              <w:right w:w="28" w:type="dxa"/>
            </w:tcMar>
            <w:vAlign w:val="bottom"/>
          </w:tcPr>
          <w:p w14:paraId="02A0E653" w14:textId="78344ECB" w:rsidR="00F75085" w:rsidRPr="004C0A20" w:rsidRDefault="001B120D" w:rsidP="004C0A20">
            <w:pPr>
              <w:ind w:left="-76" w:right="28"/>
              <w:jc w:val="right"/>
              <w:rPr>
                <w:sz w:val="18"/>
                <w:szCs w:val="18"/>
                <w:lang w:val="id-ID"/>
              </w:rPr>
            </w:pPr>
            <w:r w:rsidRPr="004C0A20">
              <w:rPr>
                <w:sz w:val="18"/>
                <w:szCs w:val="18"/>
              </w:rPr>
              <w:t>(</w:t>
            </w:r>
            <w:r w:rsidR="004C0A20">
              <w:rPr>
                <w:sz w:val="18"/>
                <w:szCs w:val="18"/>
              </w:rPr>
              <w:t>578.784.008</w:t>
            </w:r>
            <w:r w:rsidRPr="004C0A20">
              <w:rPr>
                <w:sz w:val="18"/>
                <w:szCs w:val="18"/>
              </w:rPr>
              <w:t>)</w:t>
            </w:r>
          </w:p>
        </w:tc>
        <w:tc>
          <w:tcPr>
            <w:tcW w:w="124" w:type="dxa"/>
            <w:tcMar>
              <w:left w:w="28" w:type="dxa"/>
              <w:right w:w="28" w:type="dxa"/>
            </w:tcMar>
            <w:vAlign w:val="bottom"/>
          </w:tcPr>
          <w:p w14:paraId="71B0A197"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20341AD7" w14:textId="25BCCA3F" w:rsidR="00F75085" w:rsidRPr="00DE189C" w:rsidRDefault="00AC7321" w:rsidP="00F75085">
            <w:pPr>
              <w:ind w:left="-76" w:right="28"/>
              <w:jc w:val="right"/>
              <w:rPr>
                <w:sz w:val="18"/>
                <w:szCs w:val="18"/>
              </w:rPr>
            </w:pPr>
            <w:r w:rsidRPr="00AC7321">
              <w:rPr>
                <w:sz w:val="18"/>
                <w:szCs w:val="18"/>
              </w:rPr>
              <w:t>(2</w:t>
            </w:r>
            <w:r w:rsidR="00A43AD1">
              <w:rPr>
                <w:sz w:val="18"/>
                <w:szCs w:val="18"/>
              </w:rPr>
              <w:t>.</w:t>
            </w:r>
            <w:r w:rsidRPr="00AC7321">
              <w:rPr>
                <w:sz w:val="18"/>
                <w:szCs w:val="18"/>
              </w:rPr>
              <w:t>521</w:t>
            </w:r>
            <w:r w:rsidR="00A43AD1">
              <w:rPr>
                <w:sz w:val="18"/>
                <w:szCs w:val="18"/>
              </w:rPr>
              <w:t>.</w:t>
            </w:r>
            <w:r w:rsidRPr="00AC7321">
              <w:rPr>
                <w:sz w:val="18"/>
                <w:szCs w:val="18"/>
              </w:rPr>
              <w:t>812</w:t>
            </w:r>
            <w:r w:rsidR="00A43AD1">
              <w:rPr>
                <w:sz w:val="18"/>
                <w:szCs w:val="18"/>
              </w:rPr>
              <w:t>.</w:t>
            </w:r>
            <w:r w:rsidRPr="00AC7321">
              <w:rPr>
                <w:sz w:val="18"/>
                <w:szCs w:val="18"/>
              </w:rPr>
              <w:t>445)</w:t>
            </w:r>
          </w:p>
        </w:tc>
        <w:tc>
          <w:tcPr>
            <w:tcW w:w="123" w:type="dxa"/>
            <w:vAlign w:val="bottom"/>
          </w:tcPr>
          <w:p w14:paraId="09F673C3" w14:textId="77777777" w:rsidR="00F75085" w:rsidRPr="00DE189C" w:rsidRDefault="00F75085" w:rsidP="00F75085">
            <w:pPr>
              <w:ind w:right="88"/>
              <w:jc w:val="right"/>
              <w:rPr>
                <w:i/>
                <w:sz w:val="18"/>
                <w:szCs w:val="18"/>
              </w:rPr>
            </w:pPr>
          </w:p>
        </w:tc>
        <w:tc>
          <w:tcPr>
            <w:tcW w:w="2747" w:type="dxa"/>
            <w:vAlign w:val="bottom"/>
          </w:tcPr>
          <w:p w14:paraId="4EC3C885" w14:textId="77777777" w:rsidR="00F75085" w:rsidRPr="00DE189C" w:rsidRDefault="00F75085" w:rsidP="00F75085">
            <w:pPr>
              <w:ind w:right="98"/>
              <w:jc w:val="right"/>
              <w:rPr>
                <w:i/>
                <w:sz w:val="18"/>
                <w:szCs w:val="18"/>
              </w:rPr>
            </w:pPr>
            <w:r w:rsidRPr="00DE189C">
              <w:rPr>
                <w:i/>
                <w:sz w:val="18"/>
                <w:szCs w:val="18"/>
              </w:rPr>
              <w:t>Total Income Tax Benefit</w:t>
            </w:r>
          </w:p>
        </w:tc>
      </w:tr>
      <w:tr w:rsidR="00F75085" w:rsidRPr="00DE189C" w14:paraId="087163F7" w14:textId="77777777" w:rsidTr="005B669E">
        <w:trPr>
          <w:trHeight w:val="20"/>
        </w:trPr>
        <w:tc>
          <w:tcPr>
            <w:tcW w:w="2728" w:type="dxa"/>
            <w:vAlign w:val="bottom"/>
          </w:tcPr>
          <w:p w14:paraId="6F253387" w14:textId="77777777" w:rsidR="00F75085" w:rsidRPr="00DE189C" w:rsidRDefault="00F75085" w:rsidP="00F75085">
            <w:pPr>
              <w:ind w:left="142"/>
              <w:rPr>
                <w:sz w:val="18"/>
                <w:szCs w:val="18"/>
              </w:rPr>
            </w:pPr>
          </w:p>
        </w:tc>
        <w:tc>
          <w:tcPr>
            <w:tcW w:w="124" w:type="dxa"/>
            <w:tcMar>
              <w:left w:w="28" w:type="dxa"/>
              <w:right w:w="28" w:type="dxa"/>
            </w:tcMar>
            <w:vAlign w:val="bottom"/>
          </w:tcPr>
          <w:p w14:paraId="7B554962" w14:textId="77777777" w:rsidR="00F75085" w:rsidRPr="00DE189C" w:rsidRDefault="00F75085" w:rsidP="00F75085">
            <w:pPr>
              <w:jc w:val="center"/>
              <w:rPr>
                <w:sz w:val="18"/>
                <w:szCs w:val="18"/>
              </w:rPr>
            </w:pPr>
          </w:p>
        </w:tc>
        <w:tc>
          <w:tcPr>
            <w:tcW w:w="1676" w:type="dxa"/>
            <w:tcBorders>
              <w:top w:val="single" w:sz="4" w:space="0" w:color="auto"/>
            </w:tcBorders>
            <w:tcMar>
              <w:left w:w="28" w:type="dxa"/>
              <w:right w:w="28" w:type="dxa"/>
            </w:tcMar>
            <w:vAlign w:val="bottom"/>
          </w:tcPr>
          <w:p w14:paraId="11ED3C43" w14:textId="77777777" w:rsidR="00F75085" w:rsidRPr="004C0A20" w:rsidRDefault="00F75085" w:rsidP="00F75085">
            <w:pPr>
              <w:ind w:left="-76" w:right="28"/>
              <w:jc w:val="right"/>
              <w:rPr>
                <w:sz w:val="18"/>
                <w:szCs w:val="18"/>
                <w:lang w:val="id-ID"/>
              </w:rPr>
            </w:pPr>
          </w:p>
        </w:tc>
        <w:tc>
          <w:tcPr>
            <w:tcW w:w="124" w:type="dxa"/>
            <w:tcMar>
              <w:left w:w="28" w:type="dxa"/>
              <w:right w:w="28" w:type="dxa"/>
            </w:tcMar>
            <w:vAlign w:val="bottom"/>
          </w:tcPr>
          <w:p w14:paraId="552D97C0" w14:textId="77777777" w:rsidR="00F75085" w:rsidRPr="00DE189C" w:rsidRDefault="00F75085" w:rsidP="00F75085">
            <w:pPr>
              <w:ind w:left="-76" w:right="74"/>
              <w:jc w:val="right"/>
              <w:rPr>
                <w:sz w:val="18"/>
                <w:szCs w:val="18"/>
              </w:rPr>
            </w:pPr>
          </w:p>
        </w:tc>
        <w:tc>
          <w:tcPr>
            <w:tcW w:w="1675" w:type="dxa"/>
            <w:tcBorders>
              <w:top w:val="single" w:sz="4" w:space="0" w:color="auto"/>
            </w:tcBorders>
            <w:tcMar>
              <w:left w:w="28" w:type="dxa"/>
              <w:right w:w="28" w:type="dxa"/>
            </w:tcMar>
            <w:vAlign w:val="bottom"/>
          </w:tcPr>
          <w:p w14:paraId="5123908B" w14:textId="77777777" w:rsidR="00F75085" w:rsidRPr="00DE189C" w:rsidRDefault="00F75085" w:rsidP="00F75085">
            <w:pPr>
              <w:ind w:left="-76" w:right="28"/>
              <w:jc w:val="right"/>
              <w:rPr>
                <w:sz w:val="18"/>
                <w:szCs w:val="18"/>
              </w:rPr>
            </w:pPr>
          </w:p>
        </w:tc>
        <w:tc>
          <w:tcPr>
            <w:tcW w:w="123" w:type="dxa"/>
            <w:vAlign w:val="bottom"/>
          </w:tcPr>
          <w:p w14:paraId="5C6CFEA2" w14:textId="77777777" w:rsidR="00F75085" w:rsidRPr="00DE189C" w:rsidRDefault="00F75085" w:rsidP="00F75085">
            <w:pPr>
              <w:ind w:right="88"/>
              <w:jc w:val="right"/>
              <w:rPr>
                <w:i/>
                <w:sz w:val="18"/>
                <w:szCs w:val="18"/>
              </w:rPr>
            </w:pPr>
          </w:p>
        </w:tc>
        <w:tc>
          <w:tcPr>
            <w:tcW w:w="2747" w:type="dxa"/>
            <w:vAlign w:val="bottom"/>
          </w:tcPr>
          <w:p w14:paraId="5C717A65" w14:textId="77777777" w:rsidR="00F75085" w:rsidRPr="00DE189C" w:rsidRDefault="00F75085" w:rsidP="00F75085">
            <w:pPr>
              <w:ind w:right="98"/>
              <w:jc w:val="right"/>
              <w:rPr>
                <w:i/>
                <w:sz w:val="18"/>
                <w:szCs w:val="18"/>
              </w:rPr>
            </w:pPr>
          </w:p>
        </w:tc>
      </w:tr>
      <w:tr w:rsidR="00F75085" w:rsidRPr="00DE189C" w14:paraId="75E96189" w14:textId="77777777" w:rsidTr="005B669E">
        <w:trPr>
          <w:trHeight w:val="20"/>
        </w:trPr>
        <w:tc>
          <w:tcPr>
            <w:tcW w:w="2728" w:type="dxa"/>
            <w:vAlign w:val="bottom"/>
          </w:tcPr>
          <w:p w14:paraId="0114A418" w14:textId="7501E309" w:rsidR="00F75085" w:rsidRPr="00DE189C" w:rsidRDefault="00E60CF2" w:rsidP="00F75085">
            <w:pPr>
              <w:ind w:left="284" w:hanging="142"/>
              <w:rPr>
                <w:b/>
                <w:sz w:val="18"/>
                <w:szCs w:val="18"/>
              </w:rPr>
            </w:pPr>
            <w:r>
              <w:rPr>
                <w:b/>
                <w:sz w:val="18"/>
                <w:szCs w:val="18"/>
                <w:lang w:val="id-ID"/>
              </w:rPr>
              <w:t>LABA</w:t>
            </w:r>
            <w:r w:rsidR="00F75085" w:rsidRPr="00DE189C">
              <w:rPr>
                <w:b/>
                <w:sz w:val="18"/>
                <w:szCs w:val="18"/>
              </w:rPr>
              <w:t xml:space="preserve"> BERSIH TAHUN BERJALAN</w:t>
            </w:r>
          </w:p>
        </w:tc>
        <w:tc>
          <w:tcPr>
            <w:tcW w:w="124" w:type="dxa"/>
            <w:tcMar>
              <w:left w:w="28" w:type="dxa"/>
              <w:right w:w="28" w:type="dxa"/>
            </w:tcMar>
            <w:vAlign w:val="bottom"/>
          </w:tcPr>
          <w:p w14:paraId="581ECAC3" w14:textId="77777777" w:rsidR="00F75085" w:rsidRPr="00DE189C" w:rsidRDefault="00F75085" w:rsidP="00F75085">
            <w:pPr>
              <w:jc w:val="center"/>
              <w:rPr>
                <w:b/>
                <w:sz w:val="18"/>
                <w:szCs w:val="18"/>
              </w:rPr>
            </w:pPr>
          </w:p>
        </w:tc>
        <w:tc>
          <w:tcPr>
            <w:tcW w:w="1676" w:type="dxa"/>
            <w:tcMar>
              <w:left w:w="28" w:type="dxa"/>
              <w:right w:w="28" w:type="dxa"/>
            </w:tcMar>
            <w:vAlign w:val="bottom"/>
          </w:tcPr>
          <w:p w14:paraId="30558457" w14:textId="1CC835B8" w:rsidR="00F75085" w:rsidRPr="004C0A20" w:rsidRDefault="009734DA" w:rsidP="004C0A20">
            <w:pPr>
              <w:ind w:left="-76" w:right="28"/>
              <w:jc w:val="right"/>
              <w:rPr>
                <w:b/>
                <w:sz w:val="18"/>
                <w:szCs w:val="18"/>
              </w:rPr>
            </w:pPr>
            <w:r w:rsidRPr="004C0A20">
              <w:rPr>
                <w:b/>
                <w:sz w:val="18"/>
                <w:szCs w:val="18"/>
              </w:rPr>
              <w:t>4.</w:t>
            </w:r>
            <w:r w:rsidR="004C0A20">
              <w:rPr>
                <w:b/>
                <w:sz w:val="18"/>
                <w:szCs w:val="18"/>
              </w:rPr>
              <w:t>722.722.488</w:t>
            </w:r>
          </w:p>
        </w:tc>
        <w:tc>
          <w:tcPr>
            <w:tcW w:w="124" w:type="dxa"/>
            <w:tcMar>
              <w:left w:w="28" w:type="dxa"/>
              <w:right w:w="28" w:type="dxa"/>
            </w:tcMar>
            <w:vAlign w:val="bottom"/>
          </w:tcPr>
          <w:p w14:paraId="5BC2CDDA" w14:textId="77777777" w:rsidR="00F75085" w:rsidRPr="00DE189C" w:rsidRDefault="00F75085" w:rsidP="00F75085">
            <w:pPr>
              <w:ind w:left="-76" w:right="74"/>
              <w:jc w:val="right"/>
              <w:rPr>
                <w:b/>
                <w:sz w:val="18"/>
                <w:szCs w:val="18"/>
              </w:rPr>
            </w:pPr>
          </w:p>
        </w:tc>
        <w:tc>
          <w:tcPr>
            <w:tcW w:w="1675" w:type="dxa"/>
            <w:tcMar>
              <w:left w:w="28" w:type="dxa"/>
              <w:right w:w="28" w:type="dxa"/>
            </w:tcMar>
            <w:vAlign w:val="bottom"/>
          </w:tcPr>
          <w:p w14:paraId="5B6012A3" w14:textId="1296EFE8" w:rsidR="00F75085" w:rsidRPr="00DE189C" w:rsidRDefault="00AC7321" w:rsidP="00F75085">
            <w:pPr>
              <w:ind w:left="-76" w:right="28"/>
              <w:jc w:val="right"/>
              <w:rPr>
                <w:b/>
                <w:sz w:val="18"/>
                <w:szCs w:val="18"/>
                <w:lang w:val="id-ID"/>
              </w:rPr>
            </w:pPr>
            <w:r>
              <w:rPr>
                <w:b/>
                <w:sz w:val="18"/>
                <w:szCs w:val="18"/>
                <w:lang w:val="id-ID"/>
              </w:rPr>
              <w:t>6</w:t>
            </w:r>
            <w:r w:rsidR="00A43AD1">
              <w:rPr>
                <w:b/>
                <w:sz w:val="18"/>
                <w:szCs w:val="18"/>
                <w:lang w:val="id-ID"/>
              </w:rPr>
              <w:t>.</w:t>
            </w:r>
            <w:r w:rsidRPr="00AC7321">
              <w:rPr>
                <w:b/>
                <w:sz w:val="18"/>
                <w:szCs w:val="18"/>
                <w:lang w:val="id-ID"/>
              </w:rPr>
              <w:t>447</w:t>
            </w:r>
            <w:r w:rsidR="00A43AD1">
              <w:rPr>
                <w:b/>
                <w:sz w:val="18"/>
                <w:szCs w:val="18"/>
                <w:lang w:val="id-ID"/>
              </w:rPr>
              <w:t>.</w:t>
            </w:r>
            <w:r w:rsidRPr="00AC7321">
              <w:rPr>
                <w:b/>
                <w:sz w:val="18"/>
                <w:szCs w:val="18"/>
                <w:lang w:val="id-ID"/>
              </w:rPr>
              <w:t>644</w:t>
            </w:r>
            <w:r w:rsidR="00A43AD1">
              <w:rPr>
                <w:b/>
                <w:sz w:val="18"/>
                <w:szCs w:val="18"/>
                <w:lang w:val="id-ID"/>
              </w:rPr>
              <w:t>.</w:t>
            </w:r>
            <w:r w:rsidRPr="00AC7321">
              <w:rPr>
                <w:b/>
                <w:sz w:val="18"/>
                <w:szCs w:val="18"/>
                <w:lang w:val="id-ID"/>
              </w:rPr>
              <w:t>784</w:t>
            </w:r>
          </w:p>
        </w:tc>
        <w:tc>
          <w:tcPr>
            <w:tcW w:w="123" w:type="dxa"/>
            <w:vAlign w:val="bottom"/>
          </w:tcPr>
          <w:p w14:paraId="0FB7ED61" w14:textId="77777777" w:rsidR="00F75085" w:rsidRPr="00DE189C" w:rsidRDefault="00F75085" w:rsidP="00F75085">
            <w:pPr>
              <w:ind w:left="252" w:right="57"/>
              <w:jc w:val="right"/>
              <w:rPr>
                <w:b/>
                <w:i/>
                <w:sz w:val="18"/>
                <w:szCs w:val="18"/>
              </w:rPr>
            </w:pPr>
          </w:p>
        </w:tc>
        <w:tc>
          <w:tcPr>
            <w:tcW w:w="2747" w:type="dxa"/>
            <w:vAlign w:val="bottom"/>
          </w:tcPr>
          <w:p w14:paraId="1E1A66E0" w14:textId="25B06671" w:rsidR="00F75085" w:rsidRPr="00DE189C" w:rsidRDefault="003D4EDB" w:rsidP="00F75085">
            <w:pPr>
              <w:ind w:right="98"/>
              <w:jc w:val="right"/>
              <w:rPr>
                <w:i/>
                <w:sz w:val="18"/>
                <w:szCs w:val="18"/>
              </w:rPr>
            </w:pPr>
            <w:r>
              <w:rPr>
                <w:b/>
                <w:i/>
                <w:sz w:val="18"/>
                <w:szCs w:val="18"/>
              </w:rPr>
              <w:t xml:space="preserve">NET </w:t>
            </w:r>
            <w:r>
              <w:rPr>
                <w:b/>
                <w:i/>
                <w:sz w:val="18"/>
                <w:szCs w:val="18"/>
                <w:lang w:val="id-ID"/>
              </w:rPr>
              <w:t>GAIN</w:t>
            </w:r>
            <w:r w:rsidR="00F75085" w:rsidRPr="00DE189C">
              <w:rPr>
                <w:b/>
                <w:i/>
                <w:sz w:val="18"/>
                <w:szCs w:val="18"/>
              </w:rPr>
              <w:t xml:space="preserve"> FOR THE YEAR</w:t>
            </w:r>
          </w:p>
        </w:tc>
      </w:tr>
      <w:tr w:rsidR="00F75085" w:rsidRPr="00DE189C" w14:paraId="40C88F87" w14:textId="77777777" w:rsidTr="005B669E">
        <w:trPr>
          <w:trHeight w:val="20"/>
        </w:trPr>
        <w:tc>
          <w:tcPr>
            <w:tcW w:w="2728" w:type="dxa"/>
            <w:vAlign w:val="bottom"/>
          </w:tcPr>
          <w:p w14:paraId="154FAD86" w14:textId="77777777" w:rsidR="00F75085" w:rsidRPr="00DE189C" w:rsidRDefault="00F75085" w:rsidP="00F75085">
            <w:pPr>
              <w:ind w:left="142"/>
              <w:rPr>
                <w:sz w:val="18"/>
                <w:szCs w:val="18"/>
              </w:rPr>
            </w:pPr>
          </w:p>
        </w:tc>
        <w:tc>
          <w:tcPr>
            <w:tcW w:w="124" w:type="dxa"/>
            <w:tcMar>
              <w:left w:w="28" w:type="dxa"/>
              <w:right w:w="28" w:type="dxa"/>
            </w:tcMar>
            <w:vAlign w:val="bottom"/>
          </w:tcPr>
          <w:p w14:paraId="6C1860C7" w14:textId="77777777" w:rsidR="00F75085" w:rsidRPr="00DE189C" w:rsidRDefault="00F75085" w:rsidP="00F75085">
            <w:pPr>
              <w:jc w:val="center"/>
              <w:rPr>
                <w:sz w:val="18"/>
                <w:szCs w:val="18"/>
              </w:rPr>
            </w:pPr>
          </w:p>
        </w:tc>
        <w:tc>
          <w:tcPr>
            <w:tcW w:w="1676" w:type="dxa"/>
            <w:tcBorders>
              <w:top w:val="single" w:sz="4" w:space="0" w:color="auto"/>
            </w:tcBorders>
            <w:tcMar>
              <w:left w:w="28" w:type="dxa"/>
              <w:right w:w="28" w:type="dxa"/>
            </w:tcMar>
            <w:vAlign w:val="bottom"/>
          </w:tcPr>
          <w:p w14:paraId="7E459AF7" w14:textId="77777777" w:rsidR="00F75085" w:rsidRPr="004C0A20" w:rsidRDefault="00F75085" w:rsidP="00F75085">
            <w:pPr>
              <w:ind w:left="-76" w:right="74"/>
              <w:jc w:val="right"/>
              <w:rPr>
                <w:sz w:val="18"/>
                <w:szCs w:val="18"/>
                <w:lang w:val="id-ID"/>
              </w:rPr>
            </w:pPr>
          </w:p>
        </w:tc>
        <w:tc>
          <w:tcPr>
            <w:tcW w:w="124" w:type="dxa"/>
            <w:tcMar>
              <w:left w:w="28" w:type="dxa"/>
              <w:right w:w="28" w:type="dxa"/>
            </w:tcMar>
            <w:vAlign w:val="bottom"/>
          </w:tcPr>
          <w:p w14:paraId="4F56EC7E" w14:textId="77777777" w:rsidR="00F75085" w:rsidRPr="00DE189C" w:rsidRDefault="00F75085" w:rsidP="00F75085">
            <w:pPr>
              <w:ind w:left="-76" w:right="74"/>
              <w:jc w:val="right"/>
              <w:rPr>
                <w:sz w:val="18"/>
                <w:szCs w:val="18"/>
                <w:lang w:val="id-ID"/>
              </w:rPr>
            </w:pPr>
          </w:p>
        </w:tc>
        <w:tc>
          <w:tcPr>
            <w:tcW w:w="1675" w:type="dxa"/>
            <w:tcBorders>
              <w:top w:val="single" w:sz="4" w:space="0" w:color="auto"/>
            </w:tcBorders>
            <w:tcMar>
              <w:left w:w="28" w:type="dxa"/>
              <w:right w:w="28" w:type="dxa"/>
            </w:tcMar>
            <w:vAlign w:val="bottom"/>
          </w:tcPr>
          <w:p w14:paraId="54BB73DD" w14:textId="77777777" w:rsidR="00F75085" w:rsidRPr="00DE189C" w:rsidRDefault="00F75085" w:rsidP="00F75085">
            <w:pPr>
              <w:ind w:left="-76" w:right="28"/>
              <w:jc w:val="right"/>
              <w:rPr>
                <w:sz w:val="18"/>
                <w:szCs w:val="18"/>
              </w:rPr>
            </w:pPr>
          </w:p>
        </w:tc>
        <w:tc>
          <w:tcPr>
            <w:tcW w:w="123" w:type="dxa"/>
            <w:vAlign w:val="bottom"/>
          </w:tcPr>
          <w:p w14:paraId="3658DA2D" w14:textId="77777777" w:rsidR="00F75085" w:rsidRPr="00DE189C" w:rsidRDefault="00F75085" w:rsidP="00F75085">
            <w:pPr>
              <w:ind w:right="247"/>
              <w:jc w:val="right"/>
              <w:rPr>
                <w:i/>
                <w:sz w:val="18"/>
                <w:szCs w:val="18"/>
              </w:rPr>
            </w:pPr>
          </w:p>
        </w:tc>
        <w:tc>
          <w:tcPr>
            <w:tcW w:w="2747" w:type="dxa"/>
            <w:vAlign w:val="bottom"/>
          </w:tcPr>
          <w:p w14:paraId="09B6B19D" w14:textId="77777777" w:rsidR="00F75085" w:rsidRPr="00DE189C" w:rsidRDefault="00F75085" w:rsidP="00F75085">
            <w:pPr>
              <w:ind w:right="98"/>
              <w:jc w:val="right"/>
              <w:rPr>
                <w:i/>
                <w:sz w:val="18"/>
                <w:szCs w:val="18"/>
              </w:rPr>
            </w:pPr>
          </w:p>
        </w:tc>
      </w:tr>
      <w:tr w:rsidR="00F75085" w:rsidRPr="00DE189C" w14:paraId="32E9D3C3" w14:textId="77777777" w:rsidTr="005B669E">
        <w:trPr>
          <w:trHeight w:val="20"/>
        </w:trPr>
        <w:tc>
          <w:tcPr>
            <w:tcW w:w="2728" w:type="dxa"/>
            <w:vAlign w:val="bottom"/>
          </w:tcPr>
          <w:p w14:paraId="6937106C" w14:textId="77777777" w:rsidR="00F75085" w:rsidRPr="00DE189C" w:rsidRDefault="00F75085" w:rsidP="00F75085">
            <w:pPr>
              <w:ind w:left="284" w:right="99" w:hanging="142"/>
              <w:rPr>
                <w:b/>
                <w:sz w:val="18"/>
                <w:szCs w:val="18"/>
              </w:rPr>
            </w:pPr>
            <w:r w:rsidRPr="00DE189C">
              <w:rPr>
                <w:b/>
                <w:sz w:val="18"/>
                <w:szCs w:val="18"/>
              </w:rPr>
              <w:t>PENGHASILAN KOMPREHENSIF LAIN</w:t>
            </w:r>
          </w:p>
        </w:tc>
        <w:tc>
          <w:tcPr>
            <w:tcW w:w="124" w:type="dxa"/>
            <w:tcMar>
              <w:left w:w="28" w:type="dxa"/>
              <w:right w:w="28" w:type="dxa"/>
            </w:tcMar>
            <w:vAlign w:val="bottom"/>
          </w:tcPr>
          <w:p w14:paraId="71AAAA21" w14:textId="77777777" w:rsidR="00F75085" w:rsidRPr="00DE189C" w:rsidRDefault="00F75085" w:rsidP="00F75085">
            <w:pPr>
              <w:jc w:val="center"/>
              <w:rPr>
                <w:b/>
                <w:sz w:val="18"/>
                <w:szCs w:val="18"/>
              </w:rPr>
            </w:pPr>
          </w:p>
        </w:tc>
        <w:tc>
          <w:tcPr>
            <w:tcW w:w="1676" w:type="dxa"/>
            <w:tcMar>
              <w:left w:w="28" w:type="dxa"/>
              <w:right w:w="28" w:type="dxa"/>
            </w:tcMar>
            <w:vAlign w:val="bottom"/>
          </w:tcPr>
          <w:p w14:paraId="3B4D9FD0" w14:textId="77777777" w:rsidR="00F75085" w:rsidRPr="00DE189C" w:rsidRDefault="00F75085" w:rsidP="00F75085">
            <w:pPr>
              <w:ind w:left="-76" w:right="74"/>
              <w:jc w:val="right"/>
              <w:rPr>
                <w:b/>
                <w:sz w:val="18"/>
                <w:szCs w:val="18"/>
                <w:lang w:val="id-ID"/>
              </w:rPr>
            </w:pPr>
          </w:p>
        </w:tc>
        <w:tc>
          <w:tcPr>
            <w:tcW w:w="124" w:type="dxa"/>
            <w:tcMar>
              <w:left w:w="28" w:type="dxa"/>
              <w:right w:w="28" w:type="dxa"/>
            </w:tcMar>
            <w:vAlign w:val="bottom"/>
          </w:tcPr>
          <w:p w14:paraId="2BF8B0BA" w14:textId="77777777" w:rsidR="00F75085" w:rsidRPr="00DE189C" w:rsidRDefault="00F75085" w:rsidP="00F75085">
            <w:pPr>
              <w:ind w:left="-76" w:right="74"/>
              <w:jc w:val="right"/>
              <w:rPr>
                <w:b/>
                <w:sz w:val="18"/>
                <w:szCs w:val="18"/>
              </w:rPr>
            </w:pPr>
          </w:p>
        </w:tc>
        <w:tc>
          <w:tcPr>
            <w:tcW w:w="1675" w:type="dxa"/>
            <w:tcMar>
              <w:left w:w="28" w:type="dxa"/>
              <w:right w:w="28" w:type="dxa"/>
            </w:tcMar>
            <w:vAlign w:val="bottom"/>
          </w:tcPr>
          <w:p w14:paraId="7EA091F4" w14:textId="77777777" w:rsidR="00F75085" w:rsidRPr="00DE189C" w:rsidRDefault="00F75085" w:rsidP="00F75085">
            <w:pPr>
              <w:ind w:left="-76" w:right="28"/>
              <w:jc w:val="right"/>
              <w:rPr>
                <w:sz w:val="18"/>
                <w:szCs w:val="18"/>
              </w:rPr>
            </w:pPr>
          </w:p>
        </w:tc>
        <w:tc>
          <w:tcPr>
            <w:tcW w:w="123" w:type="dxa"/>
            <w:vAlign w:val="bottom"/>
          </w:tcPr>
          <w:p w14:paraId="710C3B4B" w14:textId="77777777" w:rsidR="00F75085" w:rsidRPr="00DE189C" w:rsidRDefault="00F75085" w:rsidP="00F75085">
            <w:pPr>
              <w:ind w:right="57"/>
              <w:jc w:val="right"/>
              <w:rPr>
                <w:b/>
                <w:i/>
                <w:sz w:val="18"/>
                <w:szCs w:val="18"/>
              </w:rPr>
            </w:pPr>
          </w:p>
        </w:tc>
        <w:tc>
          <w:tcPr>
            <w:tcW w:w="2747" w:type="dxa"/>
            <w:vAlign w:val="bottom"/>
          </w:tcPr>
          <w:p w14:paraId="7D4B9D9C" w14:textId="77777777" w:rsidR="00F75085" w:rsidRPr="00DE189C" w:rsidRDefault="00F75085" w:rsidP="00F75085">
            <w:pPr>
              <w:ind w:right="98"/>
              <w:jc w:val="right"/>
              <w:rPr>
                <w:b/>
                <w:i/>
                <w:sz w:val="18"/>
                <w:szCs w:val="18"/>
              </w:rPr>
            </w:pPr>
            <w:r w:rsidRPr="00DE189C">
              <w:rPr>
                <w:b/>
                <w:i/>
                <w:sz w:val="18"/>
                <w:szCs w:val="18"/>
              </w:rPr>
              <w:t>OTHER COMPREHENSIVE</w:t>
            </w:r>
          </w:p>
          <w:p w14:paraId="58EA6321" w14:textId="77777777" w:rsidR="00F75085" w:rsidRPr="00DE189C" w:rsidRDefault="00F75085" w:rsidP="00F75085">
            <w:pPr>
              <w:tabs>
                <w:tab w:val="left" w:pos="2111"/>
              </w:tabs>
              <w:ind w:right="262"/>
              <w:jc w:val="right"/>
              <w:rPr>
                <w:i/>
                <w:sz w:val="18"/>
                <w:szCs w:val="18"/>
              </w:rPr>
            </w:pPr>
            <w:r w:rsidRPr="00DE189C">
              <w:rPr>
                <w:b/>
                <w:i/>
                <w:sz w:val="18"/>
                <w:szCs w:val="18"/>
              </w:rPr>
              <w:t>INCOME</w:t>
            </w:r>
          </w:p>
        </w:tc>
      </w:tr>
      <w:tr w:rsidR="00F75085" w:rsidRPr="00DE189C" w14:paraId="77A8032D" w14:textId="77777777" w:rsidTr="005B669E">
        <w:trPr>
          <w:trHeight w:val="20"/>
        </w:trPr>
        <w:tc>
          <w:tcPr>
            <w:tcW w:w="2728" w:type="dxa"/>
            <w:vAlign w:val="bottom"/>
          </w:tcPr>
          <w:p w14:paraId="4F6DB376" w14:textId="77777777" w:rsidR="00F75085" w:rsidRPr="00DE189C" w:rsidRDefault="00F75085" w:rsidP="00F75085">
            <w:pPr>
              <w:ind w:left="284" w:right="99" w:hanging="142"/>
              <w:rPr>
                <w:b/>
                <w:sz w:val="18"/>
                <w:szCs w:val="18"/>
              </w:rPr>
            </w:pPr>
            <w:r w:rsidRPr="00DE189C">
              <w:rPr>
                <w:b/>
                <w:sz w:val="18"/>
                <w:szCs w:val="18"/>
              </w:rPr>
              <w:t>Pos yang tidak akan direklasifikasi ke laba rugi</w:t>
            </w:r>
          </w:p>
        </w:tc>
        <w:tc>
          <w:tcPr>
            <w:tcW w:w="124" w:type="dxa"/>
            <w:tcMar>
              <w:left w:w="28" w:type="dxa"/>
              <w:right w:w="28" w:type="dxa"/>
            </w:tcMar>
            <w:vAlign w:val="bottom"/>
          </w:tcPr>
          <w:p w14:paraId="3D0DCB2B" w14:textId="77777777" w:rsidR="00F75085" w:rsidRPr="00DE189C" w:rsidRDefault="00F75085" w:rsidP="00F75085">
            <w:pPr>
              <w:jc w:val="center"/>
              <w:rPr>
                <w:b/>
                <w:sz w:val="18"/>
                <w:szCs w:val="18"/>
              </w:rPr>
            </w:pPr>
          </w:p>
        </w:tc>
        <w:tc>
          <w:tcPr>
            <w:tcW w:w="1676" w:type="dxa"/>
            <w:tcMar>
              <w:left w:w="28" w:type="dxa"/>
              <w:right w:w="28" w:type="dxa"/>
            </w:tcMar>
            <w:vAlign w:val="bottom"/>
          </w:tcPr>
          <w:p w14:paraId="55381420" w14:textId="77777777" w:rsidR="00F75085" w:rsidRPr="00DE189C" w:rsidRDefault="00F75085" w:rsidP="00F75085">
            <w:pPr>
              <w:ind w:left="-76" w:right="28"/>
              <w:jc w:val="right"/>
              <w:rPr>
                <w:sz w:val="18"/>
                <w:szCs w:val="18"/>
                <w:lang w:val="id-ID"/>
              </w:rPr>
            </w:pPr>
          </w:p>
        </w:tc>
        <w:tc>
          <w:tcPr>
            <w:tcW w:w="124" w:type="dxa"/>
            <w:tcMar>
              <w:left w:w="28" w:type="dxa"/>
              <w:right w:w="28" w:type="dxa"/>
            </w:tcMar>
            <w:vAlign w:val="bottom"/>
          </w:tcPr>
          <w:p w14:paraId="6368F1DB"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4C133D6B" w14:textId="77777777" w:rsidR="00F75085" w:rsidRPr="00DE189C" w:rsidRDefault="00F75085" w:rsidP="00F75085">
            <w:pPr>
              <w:ind w:left="-76" w:right="28"/>
              <w:jc w:val="right"/>
              <w:rPr>
                <w:sz w:val="18"/>
                <w:szCs w:val="18"/>
              </w:rPr>
            </w:pPr>
          </w:p>
        </w:tc>
        <w:tc>
          <w:tcPr>
            <w:tcW w:w="123" w:type="dxa"/>
            <w:vAlign w:val="bottom"/>
          </w:tcPr>
          <w:p w14:paraId="19280A10" w14:textId="77777777" w:rsidR="00F75085" w:rsidRPr="00DE189C" w:rsidRDefault="00F75085" w:rsidP="00F75085">
            <w:pPr>
              <w:ind w:right="57"/>
              <w:jc w:val="right"/>
              <w:rPr>
                <w:b/>
                <w:i/>
                <w:sz w:val="18"/>
                <w:szCs w:val="18"/>
              </w:rPr>
            </w:pPr>
          </w:p>
        </w:tc>
        <w:tc>
          <w:tcPr>
            <w:tcW w:w="2747" w:type="dxa"/>
            <w:vAlign w:val="bottom"/>
          </w:tcPr>
          <w:p w14:paraId="3016D9A3" w14:textId="77777777" w:rsidR="00F75085" w:rsidRPr="00DE189C" w:rsidRDefault="00F75085" w:rsidP="00F75085">
            <w:pPr>
              <w:ind w:right="75"/>
              <w:jc w:val="right"/>
              <w:rPr>
                <w:i/>
                <w:sz w:val="18"/>
                <w:szCs w:val="18"/>
              </w:rPr>
            </w:pPr>
            <w:r w:rsidRPr="00DE189C">
              <w:rPr>
                <w:b/>
                <w:i/>
                <w:sz w:val="18"/>
                <w:szCs w:val="18"/>
              </w:rPr>
              <w:t>Item that will not be reclassified to profit or loss</w:t>
            </w:r>
          </w:p>
        </w:tc>
      </w:tr>
      <w:tr w:rsidR="00F75085" w:rsidRPr="00DE189C" w14:paraId="7A8CBA6A" w14:textId="77777777" w:rsidTr="005B669E">
        <w:trPr>
          <w:trHeight w:val="20"/>
        </w:trPr>
        <w:tc>
          <w:tcPr>
            <w:tcW w:w="2728" w:type="dxa"/>
            <w:vAlign w:val="bottom"/>
          </w:tcPr>
          <w:p w14:paraId="038EC1B3" w14:textId="77777777" w:rsidR="00F75085" w:rsidRPr="00DE189C" w:rsidRDefault="00F75085" w:rsidP="00F75085">
            <w:pPr>
              <w:ind w:left="284"/>
              <w:rPr>
                <w:sz w:val="18"/>
                <w:szCs w:val="18"/>
              </w:rPr>
            </w:pPr>
            <w:r w:rsidRPr="00DE189C">
              <w:rPr>
                <w:sz w:val="18"/>
                <w:szCs w:val="18"/>
              </w:rPr>
              <w:t>Keuntungan aktuaria</w:t>
            </w:r>
          </w:p>
        </w:tc>
        <w:tc>
          <w:tcPr>
            <w:tcW w:w="124" w:type="dxa"/>
            <w:tcMar>
              <w:left w:w="28" w:type="dxa"/>
              <w:right w:w="28" w:type="dxa"/>
            </w:tcMar>
            <w:vAlign w:val="bottom"/>
          </w:tcPr>
          <w:p w14:paraId="10925D68" w14:textId="77777777" w:rsidR="00F75085" w:rsidRPr="00DE189C" w:rsidRDefault="00F75085" w:rsidP="00F75085">
            <w:pPr>
              <w:jc w:val="center"/>
              <w:rPr>
                <w:b/>
                <w:sz w:val="18"/>
                <w:szCs w:val="18"/>
              </w:rPr>
            </w:pPr>
          </w:p>
        </w:tc>
        <w:tc>
          <w:tcPr>
            <w:tcW w:w="1676" w:type="dxa"/>
            <w:tcMar>
              <w:left w:w="28" w:type="dxa"/>
              <w:right w:w="28" w:type="dxa"/>
            </w:tcMar>
            <w:vAlign w:val="bottom"/>
          </w:tcPr>
          <w:p w14:paraId="5A16116F" w14:textId="6FD51C1C" w:rsidR="00F75085" w:rsidRPr="00DA3B6D" w:rsidRDefault="00D14FB0" w:rsidP="00F75085">
            <w:pPr>
              <w:ind w:left="-76" w:right="28"/>
              <w:jc w:val="right"/>
              <w:rPr>
                <w:sz w:val="18"/>
                <w:szCs w:val="18"/>
              </w:rPr>
            </w:pPr>
            <w:r w:rsidRPr="00DA3B6D">
              <w:rPr>
                <w:sz w:val="18"/>
                <w:szCs w:val="18"/>
              </w:rPr>
              <w:t>(235.037.546)</w:t>
            </w:r>
          </w:p>
        </w:tc>
        <w:tc>
          <w:tcPr>
            <w:tcW w:w="124" w:type="dxa"/>
            <w:tcMar>
              <w:left w:w="28" w:type="dxa"/>
              <w:right w:w="28" w:type="dxa"/>
            </w:tcMar>
            <w:vAlign w:val="bottom"/>
          </w:tcPr>
          <w:p w14:paraId="1BA7B814"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0C4D8833" w14:textId="7AC10093" w:rsidR="00F75085" w:rsidRPr="00DE189C" w:rsidRDefault="00AC7321" w:rsidP="00F75085">
            <w:pPr>
              <w:ind w:left="-76" w:right="28"/>
              <w:jc w:val="right"/>
              <w:rPr>
                <w:sz w:val="18"/>
                <w:szCs w:val="18"/>
              </w:rPr>
            </w:pPr>
            <w:r>
              <w:rPr>
                <w:sz w:val="18"/>
                <w:szCs w:val="18"/>
              </w:rPr>
              <w:t>7</w:t>
            </w:r>
            <w:r w:rsidRPr="00AC7321">
              <w:rPr>
                <w:sz w:val="18"/>
                <w:szCs w:val="18"/>
              </w:rPr>
              <w:t>17</w:t>
            </w:r>
            <w:r w:rsidR="00A43AD1">
              <w:rPr>
                <w:sz w:val="18"/>
                <w:szCs w:val="18"/>
              </w:rPr>
              <w:t>.</w:t>
            </w:r>
            <w:r w:rsidRPr="00AC7321">
              <w:rPr>
                <w:sz w:val="18"/>
                <w:szCs w:val="18"/>
              </w:rPr>
              <w:t>467</w:t>
            </w:r>
            <w:r w:rsidR="00A43AD1">
              <w:rPr>
                <w:sz w:val="18"/>
                <w:szCs w:val="18"/>
              </w:rPr>
              <w:t>.</w:t>
            </w:r>
            <w:r w:rsidRPr="00AC7321">
              <w:rPr>
                <w:sz w:val="18"/>
                <w:szCs w:val="18"/>
              </w:rPr>
              <w:t>307</w:t>
            </w:r>
          </w:p>
        </w:tc>
        <w:tc>
          <w:tcPr>
            <w:tcW w:w="123" w:type="dxa"/>
            <w:vAlign w:val="bottom"/>
          </w:tcPr>
          <w:p w14:paraId="156EB118" w14:textId="77777777" w:rsidR="00F75085" w:rsidRPr="00DE189C" w:rsidRDefault="00F75085" w:rsidP="00F75085">
            <w:pPr>
              <w:ind w:right="57"/>
              <w:jc w:val="right"/>
              <w:rPr>
                <w:b/>
                <w:i/>
                <w:sz w:val="18"/>
                <w:szCs w:val="18"/>
              </w:rPr>
            </w:pPr>
          </w:p>
        </w:tc>
        <w:tc>
          <w:tcPr>
            <w:tcW w:w="2747" w:type="dxa"/>
            <w:vAlign w:val="bottom"/>
          </w:tcPr>
          <w:p w14:paraId="528CB1C5" w14:textId="77777777" w:rsidR="00F75085" w:rsidRPr="00DE189C" w:rsidRDefault="00F75085" w:rsidP="00F75085">
            <w:pPr>
              <w:ind w:right="230"/>
              <w:jc w:val="right"/>
              <w:rPr>
                <w:i/>
                <w:sz w:val="18"/>
                <w:szCs w:val="18"/>
              </w:rPr>
            </w:pPr>
            <w:r w:rsidRPr="00DE189C">
              <w:rPr>
                <w:i/>
                <w:sz w:val="18"/>
                <w:szCs w:val="18"/>
              </w:rPr>
              <w:t>Gain on actuaria</w:t>
            </w:r>
          </w:p>
        </w:tc>
      </w:tr>
      <w:tr w:rsidR="00F75085" w:rsidRPr="00DE189C" w14:paraId="189BA371" w14:textId="77777777" w:rsidTr="005B669E">
        <w:trPr>
          <w:trHeight w:val="20"/>
        </w:trPr>
        <w:tc>
          <w:tcPr>
            <w:tcW w:w="2728" w:type="dxa"/>
            <w:vAlign w:val="bottom"/>
          </w:tcPr>
          <w:p w14:paraId="03D86B46" w14:textId="77777777" w:rsidR="00F75085" w:rsidRPr="00DE189C" w:rsidRDefault="00F75085" w:rsidP="00F75085">
            <w:pPr>
              <w:ind w:left="284"/>
              <w:rPr>
                <w:sz w:val="18"/>
                <w:szCs w:val="18"/>
              </w:rPr>
            </w:pPr>
            <w:r w:rsidRPr="00DE189C">
              <w:rPr>
                <w:sz w:val="18"/>
                <w:szCs w:val="18"/>
              </w:rPr>
              <w:t>Pajak penghasilan</w:t>
            </w:r>
          </w:p>
        </w:tc>
        <w:tc>
          <w:tcPr>
            <w:tcW w:w="124" w:type="dxa"/>
            <w:tcMar>
              <w:left w:w="28" w:type="dxa"/>
              <w:right w:w="28" w:type="dxa"/>
            </w:tcMar>
            <w:vAlign w:val="bottom"/>
          </w:tcPr>
          <w:p w14:paraId="0D4EA380" w14:textId="77777777" w:rsidR="00F75085" w:rsidRPr="00DE189C" w:rsidRDefault="00F75085" w:rsidP="00F75085">
            <w:pPr>
              <w:jc w:val="center"/>
              <w:rPr>
                <w:b/>
                <w:sz w:val="18"/>
                <w:szCs w:val="18"/>
              </w:rPr>
            </w:pPr>
          </w:p>
        </w:tc>
        <w:tc>
          <w:tcPr>
            <w:tcW w:w="1676" w:type="dxa"/>
            <w:tcMar>
              <w:left w:w="28" w:type="dxa"/>
              <w:right w:w="28" w:type="dxa"/>
            </w:tcMar>
            <w:vAlign w:val="bottom"/>
          </w:tcPr>
          <w:p w14:paraId="1CE320FF" w14:textId="153AF397" w:rsidR="00F75085" w:rsidRPr="00DA3B6D" w:rsidRDefault="001853DC" w:rsidP="00F75085">
            <w:pPr>
              <w:ind w:left="-76" w:right="28"/>
              <w:jc w:val="right"/>
              <w:rPr>
                <w:sz w:val="18"/>
                <w:szCs w:val="18"/>
              </w:rPr>
            </w:pPr>
            <w:r w:rsidRPr="00DA3B6D">
              <w:rPr>
                <w:sz w:val="18"/>
                <w:szCs w:val="18"/>
              </w:rPr>
              <w:t>-</w:t>
            </w:r>
          </w:p>
        </w:tc>
        <w:tc>
          <w:tcPr>
            <w:tcW w:w="124" w:type="dxa"/>
            <w:tcMar>
              <w:left w:w="28" w:type="dxa"/>
              <w:right w:w="28" w:type="dxa"/>
            </w:tcMar>
            <w:vAlign w:val="bottom"/>
          </w:tcPr>
          <w:p w14:paraId="507592A7" w14:textId="77777777" w:rsidR="00F75085" w:rsidRPr="00DE189C" w:rsidRDefault="00F75085" w:rsidP="00F75085">
            <w:pPr>
              <w:ind w:left="-76" w:right="74"/>
              <w:jc w:val="right"/>
              <w:rPr>
                <w:sz w:val="18"/>
                <w:szCs w:val="18"/>
              </w:rPr>
            </w:pPr>
          </w:p>
        </w:tc>
        <w:tc>
          <w:tcPr>
            <w:tcW w:w="1675" w:type="dxa"/>
            <w:tcMar>
              <w:left w:w="28" w:type="dxa"/>
              <w:right w:w="28" w:type="dxa"/>
            </w:tcMar>
            <w:vAlign w:val="bottom"/>
          </w:tcPr>
          <w:p w14:paraId="4987FD77" w14:textId="1165E385" w:rsidR="00F75085" w:rsidRPr="00DE189C" w:rsidRDefault="00AC7321" w:rsidP="00F75085">
            <w:pPr>
              <w:ind w:left="-76" w:right="28"/>
              <w:jc w:val="right"/>
              <w:rPr>
                <w:sz w:val="18"/>
                <w:szCs w:val="18"/>
              </w:rPr>
            </w:pPr>
            <w:r w:rsidRPr="00AC7321">
              <w:rPr>
                <w:sz w:val="18"/>
                <w:szCs w:val="18"/>
              </w:rPr>
              <w:t>(179</w:t>
            </w:r>
            <w:r w:rsidR="00A43AD1">
              <w:rPr>
                <w:sz w:val="18"/>
                <w:szCs w:val="18"/>
              </w:rPr>
              <w:t>.</w:t>
            </w:r>
            <w:r w:rsidRPr="00AC7321">
              <w:rPr>
                <w:sz w:val="18"/>
                <w:szCs w:val="18"/>
              </w:rPr>
              <w:t>366</w:t>
            </w:r>
            <w:r w:rsidR="00A43AD1">
              <w:rPr>
                <w:sz w:val="18"/>
                <w:szCs w:val="18"/>
              </w:rPr>
              <w:t>.</w:t>
            </w:r>
            <w:r w:rsidRPr="00AC7321">
              <w:rPr>
                <w:sz w:val="18"/>
                <w:szCs w:val="18"/>
              </w:rPr>
              <w:t>827)</w:t>
            </w:r>
          </w:p>
        </w:tc>
        <w:tc>
          <w:tcPr>
            <w:tcW w:w="123" w:type="dxa"/>
            <w:vAlign w:val="bottom"/>
          </w:tcPr>
          <w:p w14:paraId="01138E2F" w14:textId="77777777" w:rsidR="00F75085" w:rsidRPr="00DE189C" w:rsidRDefault="00F75085" w:rsidP="00F75085">
            <w:pPr>
              <w:ind w:right="57"/>
              <w:jc w:val="right"/>
              <w:rPr>
                <w:b/>
                <w:i/>
                <w:sz w:val="18"/>
                <w:szCs w:val="18"/>
              </w:rPr>
            </w:pPr>
          </w:p>
        </w:tc>
        <w:tc>
          <w:tcPr>
            <w:tcW w:w="2747" w:type="dxa"/>
            <w:vAlign w:val="bottom"/>
          </w:tcPr>
          <w:p w14:paraId="66424D48" w14:textId="77777777" w:rsidR="00F75085" w:rsidRPr="00DE189C" w:rsidRDefault="00F75085" w:rsidP="00F75085">
            <w:pPr>
              <w:ind w:right="230"/>
              <w:jc w:val="right"/>
              <w:rPr>
                <w:i/>
                <w:sz w:val="18"/>
                <w:szCs w:val="18"/>
              </w:rPr>
            </w:pPr>
            <w:r w:rsidRPr="00DE189C">
              <w:rPr>
                <w:i/>
                <w:sz w:val="18"/>
                <w:szCs w:val="18"/>
              </w:rPr>
              <w:t>Income tax</w:t>
            </w:r>
          </w:p>
        </w:tc>
      </w:tr>
      <w:tr w:rsidR="00F75085" w:rsidRPr="00DE189C" w14:paraId="4481E328" w14:textId="77777777" w:rsidTr="005B669E">
        <w:trPr>
          <w:trHeight w:val="20"/>
        </w:trPr>
        <w:tc>
          <w:tcPr>
            <w:tcW w:w="2728" w:type="dxa"/>
            <w:vAlign w:val="bottom"/>
          </w:tcPr>
          <w:p w14:paraId="25D9F4A7" w14:textId="77777777" w:rsidR="00F75085" w:rsidRPr="00DE189C" w:rsidRDefault="00F75085" w:rsidP="00F75085">
            <w:pPr>
              <w:ind w:left="284" w:right="99" w:hanging="142"/>
              <w:rPr>
                <w:b/>
                <w:sz w:val="18"/>
                <w:szCs w:val="18"/>
              </w:rPr>
            </w:pPr>
          </w:p>
        </w:tc>
        <w:tc>
          <w:tcPr>
            <w:tcW w:w="124" w:type="dxa"/>
            <w:tcMar>
              <w:left w:w="28" w:type="dxa"/>
              <w:right w:w="28" w:type="dxa"/>
            </w:tcMar>
            <w:vAlign w:val="bottom"/>
          </w:tcPr>
          <w:p w14:paraId="0D8E5CA4" w14:textId="77777777" w:rsidR="00F75085" w:rsidRPr="00DE189C" w:rsidRDefault="00F75085" w:rsidP="00F75085">
            <w:pPr>
              <w:jc w:val="center"/>
              <w:rPr>
                <w:b/>
                <w:sz w:val="18"/>
                <w:szCs w:val="18"/>
              </w:rPr>
            </w:pPr>
          </w:p>
        </w:tc>
        <w:tc>
          <w:tcPr>
            <w:tcW w:w="1676" w:type="dxa"/>
            <w:tcBorders>
              <w:top w:val="single" w:sz="4" w:space="0" w:color="auto"/>
            </w:tcBorders>
            <w:tcMar>
              <w:left w:w="28" w:type="dxa"/>
              <w:right w:w="28" w:type="dxa"/>
            </w:tcMar>
            <w:vAlign w:val="bottom"/>
          </w:tcPr>
          <w:p w14:paraId="2984C27E" w14:textId="77777777" w:rsidR="00F75085" w:rsidRPr="00DA3B6D" w:rsidRDefault="00F75085" w:rsidP="00F75085">
            <w:pPr>
              <w:ind w:left="-76" w:right="28"/>
              <w:jc w:val="right"/>
              <w:rPr>
                <w:sz w:val="18"/>
                <w:szCs w:val="18"/>
                <w:lang w:val="id-ID"/>
              </w:rPr>
            </w:pPr>
          </w:p>
        </w:tc>
        <w:tc>
          <w:tcPr>
            <w:tcW w:w="124" w:type="dxa"/>
            <w:tcMar>
              <w:left w:w="28" w:type="dxa"/>
              <w:right w:w="28" w:type="dxa"/>
            </w:tcMar>
            <w:vAlign w:val="bottom"/>
          </w:tcPr>
          <w:p w14:paraId="6526171D" w14:textId="77777777" w:rsidR="00F75085" w:rsidRPr="00DE189C" w:rsidRDefault="00F75085" w:rsidP="00F75085">
            <w:pPr>
              <w:ind w:left="-76" w:right="74"/>
              <w:jc w:val="right"/>
              <w:rPr>
                <w:sz w:val="18"/>
                <w:szCs w:val="18"/>
              </w:rPr>
            </w:pPr>
          </w:p>
        </w:tc>
        <w:tc>
          <w:tcPr>
            <w:tcW w:w="1675" w:type="dxa"/>
            <w:tcBorders>
              <w:top w:val="single" w:sz="4" w:space="0" w:color="auto"/>
            </w:tcBorders>
            <w:tcMar>
              <w:left w:w="28" w:type="dxa"/>
              <w:right w:w="28" w:type="dxa"/>
            </w:tcMar>
            <w:vAlign w:val="bottom"/>
          </w:tcPr>
          <w:p w14:paraId="0151AE59" w14:textId="77777777" w:rsidR="00F75085" w:rsidRPr="00DE189C" w:rsidRDefault="00F75085" w:rsidP="00F75085">
            <w:pPr>
              <w:ind w:left="-76" w:right="28"/>
              <w:jc w:val="right"/>
              <w:rPr>
                <w:sz w:val="18"/>
                <w:szCs w:val="18"/>
              </w:rPr>
            </w:pPr>
          </w:p>
        </w:tc>
        <w:tc>
          <w:tcPr>
            <w:tcW w:w="123" w:type="dxa"/>
            <w:vAlign w:val="bottom"/>
          </w:tcPr>
          <w:p w14:paraId="359A34A5" w14:textId="77777777" w:rsidR="00F75085" w:rsidRPr="00DE189C" w:rsidRDefault="00F75085" w:rsidP="00F75085">
            <w:pPr>
              <w:ind w:right="57"/>
              <w:jc w:val="right"/>
              <w:rPr>
                <w:b/>
                <w:i/>
                <w:sz w:val="18"/>
                <w:szCs w:val="18"/>
              </w:rPr>
            </w:pPr>
          </w:p>
        </w:tc>
        <w:tc>
          <w:tcPr>
            <w:tcW w:w="2747" w:type="dxa"/>
            <w:vAlign w:val="bottom"/>
          </w:tcPr>
          <w:p w14:paraId="77E26D24" w14:textId="77777777" w:rsidR="00F75085" w:rsidRPr="00DE189C" w:rsidRDefault="00F75085" w:rsidP="00F75085">
            <w:pPr>
              <w:ind w:right="98"/>
              <w:jc w:val="right"/>
              <w:rPr>
                <w:i/>
                <w:sz w:val="18"/>
                <w:szCs w:val="18"/>
              </w:rPr>
            </w:pPr>
          </w:p>
        </w:tc>
      </w:tr>
      <w:tr w:rsidR="00F75085" w:rsidRPr="00DE189C" w14:paraId="365CC85F" w14:textId="77777777" w:rsidTr="005B669E">
        <w:trPr>
          <w:trHeight w:val="20"/>
        </w:trPr>
        <w:tc>
          <w:tcPr>
            <w:tcW w:w="2728" w:type="dxa"/>
            <w:vAlign w:val="bottom"/>
          </w:tcPr>
          <w:p w14:paraId="45F450B8" w14:textId="77777777" w:rsidR="00F75085" w:rsidRPr="00DE189C" w:rsidRDefault="00F75085" w:rsidP="00F75085">
            <w:pPr>
              <w:ind w:left="284" w:right="99" w:hanging="142"/>
              <w:rPr>
                <w:sz w:val="18"/>
                <w:szCs w:val="18"/>
              </w:rPr>
            </w:pPr>
            <w:r w:rsidRPr="00DE189C">
              <w:rPr>
                <w:sz w:val="18"/>
                <w:szCs w:val="18"/>
              </w:rPr>
              <w:t>Penghasilan komprehensif bersih - setelah pajak</w:t>
            </w:r>
          </w:p>
        </w:tc>
        <w:tc>
          <w:tcPr>
            <w:tcW w:w="124" w:type="dxa"/>
            <w:tcMar>
              <w:left w:w="28" w:type="dxa"/>
              <w:right w:w="28" w:type="dxa"/>
            </w:tcMar>
            <w:vAlign w:val="bottom"/>
          </w:tcPr>
          <w:p w14:paraId="2C9FA41B" w14:textId="77777777" w:rsidR="00F75085" w:rsidRPr="00DE189C" w:rsidRDefault="00F75085" w:rsidP="00F75085">
            <w:pPr>
              <w:jc w:val="center"/>
              <w:rPr>
                <w:sz w:val="18"/>
                <w:szCs w:val="18"/>
              </w:rPr>
            </w:pPr>
          </w:p>
        </w:tc>
        <w:tc>
          <w:tcPr>
            <w:tcW w:w="1676" w:type="dxa"/>
            <w:tcBorders>
              <w:bottom w:val="single" w:sz="4" w:space="0" w:color="auto"/>
            </w:tcBorders>
            <w:tcMar>
              <w:left w:w="28" w:type="dxa"/>
              <w:right w:w="28" w:type="dxa"/>
            </w:tcMar>
            <w:vAlign w:val="bottom"/>
          </w:tcPr>
          <w:p w14:paraId="0367790D" w14:textId="6336F4EE" w:rsidR="00F75085" w:rsidRPr="00DA3B6D" w:rsidRDefault="009734DA" w:rsidP="00F75085">
            <w:pPr>
              <w:ind w:left="-76" w:right="28"/>
              <w:jc w:val="right"/>
              <w:rPr>
                <w:b/>
                <w:bCs w:val="0"/>
                <w:sz w:val="18"/>
                <w:szCs w:val="18"/>
              </w:rPr>
            </w:pPr>
            <w:r>
              <w:rPr>
                <w:b/>
                <w:sz w:val="18"/>
                <w:szCs w:val="18"/>
              </w:rPr>
              <w:t>(</w:t>
            </w:r>
            <w:r w:rsidR="00D14FB0" w:rsidRPr="00DA3B6D">
              <w:rPr>
                <w:b/>
                <w:sz w:val="18"/>
                <w:szCs w:val="18"/>
              </w:rPr>
              <w:t>235.037.546)</w:t>
            </w:r>
          </w:p>
        </w:tc>
        <w:tc>
          <w:tcPr>
            <w:tcW w:w="124" w:type="dxa"/>
            <w:tcMar>
              <w:left w:w="28" w:type="dxa"/>
              <w:right w:w="28" w:type="dxa"/>
            </w:tcMar>
            <w:vAlign w:val="bottom"/>
          </w:tcPr>
          <w:p w14:paraId="339BA803" w14:textId="77777777" w:rsidR="00F75085" w:rsidRPr="00DE189C" w:rsidRDefault="00F75085" w:rsidP="00F75085">
            <w:pPr>
              <w:ind w:left="-76" w:right="74"/>
              <w:jc w:val="right"/>
              <w:rPr>
                <w:sz w:val="18"/>
                <w:szCs w:val="18"/>
              </w:rPr>
            </w:pPr>
          </w:p>
        </w:tc>
        <w:tc>
          <w:tcPr>
            <w:tcW w:w="1675" w:type="dxa"/>
            <w:tcBorders>
              <w:bottom w:val="single" w:sz="4" w:space="0" w:color="auto"/>
            </w:tcBorders>
            <w:tcMar>
              <w:left w:w="28" w:type="dxa"/>
              <w:right w:w="28" w:type="dxa"/>
            </w:tcMar>
            <w:vAlign w:val="bottom"/>
          </w:tcPr>
          <w:p w14:paraId="75894F15" w14:textId="0A1E6247" w:rsidR="00F75085" w:rsidRPr="00DE189C" w:rsidRDefault="00AC7321" w:rsidP="00F75085">
            <w:pPr>
              <w:ind w:left="-76" w:right="28"/>
              <w:jc w:val="right"/>
              <w:rPr>
                <w:b/>
                <w:sz w:val="18"/>
                <w:szCs w:val="18"/>
              </w:rPr>
            </w:pPr>
            <w:r>
              <w:rPr>
                <w:b/>
                <w:sz w:val="18"/>
                <w:szCs w:val="18"/>
              </w:rPr>
              <w:t>5</w:t>
            </w:r>
            <w:r w:rsidRPr="00AC7321">
              <w:rPr>
                <w:b/>
                <w:sz w:val="18"/>
                <w:szCs w:val="18"/>
              </w:rPr>
              <w:t>38</w:t>
            </w:r>
            <w:r w:rsidR="00A43AD1">
              <w:rPr>
                <w:b/>
                <w:sz w:val="18"/>
                <w:szCs w:val="18"/>
              </w:rPr>
              <w:t>.</w:t>
            </w:r>
            <w:r w:rsidRPr="00AC7321">
              <w:rPr>
                <w:b/>
                <w:sz w:val="18"/>
                <w:szCs w:val="18"/>
              </w:rPr>
              <w:t>100</w:t>
            </w:r>
            <w:r w:rsidR="00A43AD1">
              <w:rPr>
                <w:b/>
                <w:sz w:val="18"/>
                <w:szCs w:val="18"/>
              </w:rPr>
              <w:t>.</w:t>
            </w:r>
            <w:r w:rsidRPr="00AC7321">
              <w:rPr>
                <w:b/>
                <w:sz w:val="18"/>
                <w:szCs w:val="18"/>
              </w:rPr>
              <w:t>480</w:t>
            </w:r>
          </w:p>
        </w:tc>
        <w:tc>
          <w:tcPr>
            <w:tcW w:w="123" w:type="dxa"/>
            <w:vAlign w:val="bottom"/>
          </w:tcPr>
          <w:p w14:paraId="2FABCA39" w14:textId="77777777" w:rsidR="00F75085" w:rsidRPr="00DE189C" w:rsidRDefault="00F75085" w:rsidP="00F75085">
            <w:pPr>
              <w:ind w:right="57"/>
              <w:jc w:val="right"/>
              <w:rPr>
                <w:i/>
                <w:sz w:val="18"/>
                <w:szCs w:val="18"/>
              </w:rPr>
            </w:pPr>
          </w:p>
        </w:tc>
        <w:tc>
          <w:tcPr>
            <w:tcW w:w="2747" w:type="dxa"/>
            <w:vAlign w:val="bottom"/>
          </w:tcPr>
          <w:p w14:paraId="6C79AE44" w14:textId="77777777" w:rsidR="00F75085" w:rsidRPr="00DE189C" w:rsidRDefault="00F75085" w:rsidP="00F75085">
            <w:pPr>
              <w:ind w:right="98"/>
              <w:jc w:val="right"/>
              <w:rPr>
                <w:i/>
                <w:sz w:val="18"/>
                <w:szCs w:val="18"/>
              </w:rPr>
            </w:pPr>
            <w:r w:rsidRPr="00DE189C">
              <w:rPr>
                <w:i/>
                <w:sz w:val="18"/>
                <w:szCs w:val="18"/>
              </w:rPr>
              <w:t>Net comprehensive income -</w:t>
            </w:r>
          </w:p>
          <w:p w14:paraId="131F6470" w14:textId="77777777" w:rsidR="00F75085" w:rsidRPr="00DE189C" w:rsidRDefault="00F75085" w:rsidP="00F75085">
            <w:pPr>
              <w:ind w:right="262"/>
              <w:jc w:val="right"/>
              <w:rPr>
                <w:i/>
                <w:sz w:val="18"/>
                <w:szCs w:val="18"/>
              </w:rPr>
            </w:pPr>
            <w:r w:rsidRPr="00DE189C">
              <w:rPr>
                <w:i/>
                <w:sz w:val="18"/>
                <w:szCs w:val="18"/>
              </w:rPr>
              <w:t xml:space="preserve"> net of tax</w:t>
            </w:r>
          </w:p>
        </w:tc>
      </w:tr>
      <w:tr w:rsidR="00F75085" w:rsidRPr="00DE189C" w14:paraId="76182DB6" w14:textId="77777777" w:rsidTr="005B669E">
        <w:trPr>
          <w:trHeight w:val="20"/>
        </w:trPr>
        <w:tc>
          <w:tcPr>
            <w:tcW w:w="2728" w:type="dxa"/>
            <w:vAlign w:val="bottom"/>
          </w:tcPr>
          <w:p w14:paraId="207FBA62" w14:textId="77777777" w:rsidR="00F75085" w:rsidRPr="00DE189C" w:rsidRDefault="00F75085" w:rsidP="00F75085">
            <w:pPr>
              <w:ind w:left="284" w:right="99" w:hanging="142"/>
              <w:rPr>
                <w:b/>
                <w:sz w:val="18"/>
                <w:szCs w:val="18"/>
              </w:rPr>
            </w:pPr>
          </w:p>
        </w:tc>
        <w:tc>
          <w:tcPr>
            <w:tcW w:w="124" w:type="dxa"/>
            <w:tcMar>
              <w:left w:w="28" w:type="dxa"/>
              <w:right w:w="28" w:type="dxa"/>
            </w:tcMar>
            <w:vAlign w:val="bottom"/>
          </w:tcPr>
          <w:p w14:paraId="32C3A89D" w14:textId="77777777" w:rsidR="00F75085" w:rsidRPr="00DE189C" w:rsidRDefault="00F75085" w:rsidP="00F75085">
            <w:pPr>
              <w:jc w:val="center"/>
              <w:rPr>
                <w:b/>
                <w:sz w:val="18"/>
                <w:szCs w:val="18"/>
              </w:rPr>
            </w:pPr>
          </w:p>
        </w:tc>
        <w:tc>
          <w:tcPr>
            <w:tcW w:w="1676" w:type="dxa"/>
            <w:tcBorders>
              <w:top w:val="single" w:sz="4" w:space="0" w:color="auto"/>
            </w:tcBorders>
            <w:tcMar>
              <w:left w:w="28" w:type="dxa"/>
              <w:right w:w="28" w:type="dxa"/>
            </w:tcMar>
            <w:vAlign w:val="bottom"/>
          </w:tcPr>
          <w:p w14:paraId="1728559F" w14:textId="77777777" w:rsidR="00F75085" w:rsidRPr="00DA3B6D" w:rsidRDefault="00F75085" w:rsidP="00F75085">
            <w:pPr>
              <w:ind w:left="-76" w:right="28"/>
              <w:jc w:val="right"/>
              <w:rPr>
                <w:sz w:val="18"/>
                <w:szCs w:val="18"/>
                <w:lang w:val="id-ID"/>
              </w:rPr>
            </w:pPr>
          </w:p>
        </w:tc>
        <w:tc>
          <w:tcPr>
            <w:tcW w:w="124" w:type="dxa"/>
            <w:tcMar>
              <w:left w:w="28" w:type="dxa"/>
              <w:right w:w="28" w:type="dxa"/>
            </w:tcMar>
            <w:vAlign w:val="bottom"/>
          </w:tcPr>
          <w:p w14:paraId="01696C4A" w14:textId="77777777" w:rsidR="00F75085" w:rsidRPr="00DE189C" w:rsidRDefault="00F75085" w:rsidP="00F75085">
            <w:pPr>
              <w:ind w:left="-76" w:right="74"/>
              <w:jc w:val="right"/>
              <w:rPr>
                <w:b/>
                <w:sz w:val="18"/>
                <w:szCs w:val="18"/>
              </w:rPr>
            </w:pPr>
          </w:p>
        </w:tc>
        <w:tc>
          <w:tcPr>
            <w:tcW w:w="1675" w:type="dxa"/>
            <w:tcBorders>
              <w:top w:val="single" w:sz="4" w:space="0" w:color="auto"/>
            </w:tcBorders>
            <w:tcMar>
              <w:left w:w="28" w:type="dxa"/>
              <w:right w:w="28" w:type="dxa"/>
            </w:tcMar>
            <w:vAlign w:val="bottom"/>
          </w:tcPr>
          <w:p w14:paraId="446BF6D9" w14:textId="77777777" w:rsidR="00F75085" w:rsidRPr="00DE189C" w:rsidRDefault="00F75085" w:rsidP="00F75085">
            <w:pPr>
              <w:ind w:left="-76" w:right="28"/>
              <w:jc w:val="right"/>
              <w:rPr>
                <w:sz w:val="18"/>
                <w:szCs w:val="18"/>
              </w:rPr>
            </w:pPr>
          </w:p>
        </w:tc>
        <w:tc>
          <w:tcPr>
            <w:tcW w:w="123" w:type="dxa"/>
            <w:vAlign w:val="bottom"/>
          </w:tcPr>
          <w:p w14:paraId="7CE9C3DD" w14:textId="77777777" w:rsidR="00F75085" w:rsidRPr="00DE189C" w:rsidRDefault="00F75085" w:rsidP="00F75085">
            <w:pPr>
              <w:ind w:right="57"/>
              <w:jc w:val="right"/>
              <w:rPr>
                <w:b/>
                <w:i/>
                <w:sz w:val="18"/>
                <w:szCs w:val="18"/>
              </w:rPr>
            </w:pPr>
          </w:p>
        </w:tc>
        <w:tc>
          <w:tcPr>
            <w:tcW w:w="2747" w:type="dxa"/>
            <w:vAlign w:val="bottom"/>
          </w:tcPr>
          <w:p w14:paraId="2F0BE335" w14:textId="77777777" w:rsidR="00F75085" w:rsidRPr="00DE189C" w:rsidRDefault="00F75085" w:rsidP="00F75085">
            <w:pPr>
              <w:ind w:right="98"/>
              <w:jc w:val="right"/>
              <w:rPr>
                <w:i/>
                <w:sz w:val="18"/>
                <w:szCs w:val="18"/>
              </w:rPr>
            </w:pPr>
          </w:p>
        </w:tc>
      </w:tr>
      <w:tr w:rsidR="00F75085" w:rsidRPr="00DE189C" w14:paraId="7ABFDB8C" w14:textId="77777777" w:rsidTr="005B669E">
        <w:trPr>
          <w:trHeight w:val="20"/>
        </w:trPr>
        <w:tc>
          <w:tcPr>
            <w:tcW w:w="2728" w:type="dxa"/>
            <w:vAlign w:val="bottom"/>
          </w:tcPr>
          <w:p w14:paraId="189E8792" w14:textId="77777777" w:rsidR="00F75085" w:rsidRPr="00DE189C" w:rsidRDefault="00F75085" w:rsidP="00F75085">
            <w:pPr>
              <w:ind w:left="284" w:right="99" w:hanging="142"/>
              <w:rPr>
                <w:b/>
                <w:sz w:val="18"/>
                <w:szCs w:val="18"/>
              </w:rPr>
            </w:pPr>
            <w:r w:rsidRPr="00DE189C">
              <w:rPr>
                <w:b/>
                <w:sz w:val="18"/>
                <w:szCs w:val="18"/>
              </w:rPr>
              <w:t xml:space="preserve">JUMLAH RUGI KOMPREHENSIF TAHUN BERJALAN </w:t>
            </w:r>
          </w:p>
        </w:tc>
        <w:tc>
          <w:tcPr>
            <w:tcW w:w="124" w:type="dxa"/>
            <w:tcMar>
              <w:left w:w="28" w:type="dxa"/>
              <w:right w:w="28" w:type="dxa"/>
            </w:tcMar>
            <w:vAlign w:val="bottom"/>
          </w:tcPr>
          <w:p w14:paraId="2D61EBB5" w14:textId="77777777" w:rsidR="00F75085" w:rsidRPr="00DE189C" w:rsidRDefault="00F75085" w:rsidP="00F75085">
            <w:pPr>
              <w:jc w:val="center"/>
              <w:rPr>
                <w:b/>
                <w:sz w:val="18"/>
                <w:szCs w:val="18"/>
              </w:rPr>
            </w:pPr>
          </w:p>
        </w:tc>
        <w:tc>
          <w:tcPr>
            <w:tcW w:w="1676" w:type="dxa"/>
            <w:tcBorders>
              <w:bottom w:val="double" w:sz="4" w:space="0" w:color="auto"/>
            </w:tcBorders>
            <w:tcMar>
              <w:left w:w="28" w:type="dxa"/>
              <w:right w:w="28" w:type="dxa"/>
            </w:tcMar>
            <w:vAlign w:val="bottom"/>
          </w:tcPr>
          <w:p w14:paraId="209C4F14" w14:textId="682EB26A" w:rsidR="00F75085" w:rsidRPr="00DA3B6D" w:rsidRDefault="00D14FB0" w:rsidP="004C0A20">
            <w:pPr>
              <w:tabs>
                <w:tab w:val="center" w:pos="605"/>
                <w:tab w:val="right" w:pos="1287"/>
              </w:tabs>
              <w:ind w:left="-76" w:right="28"/>
              <w:jc w:val="right"/>
              <w:rPr>
                <w:b/>
                <w:sz w:val="18"/>
                <w:szCs w:val="18"/>
              </w:rPr>
            </w:pPr>
            <w:r w:rsidRPr="00DA3B6D">
              <w:rPr>
                <w:b/>
                <w:bCs w:val="0"/>
                <w:sz w:val="18"/>
                <w:szCs w:val="18"/>
              </w:rPr>
              <w:t xml:space="preserve"> </w:t>
            </w:r>
            <w:r w:rsidR="009734DA" w:rsidRPr="004C0A20">
              <w:rPr>
                <w:b/>
                <w:bCs w:val="0"/>
                <w:sz w:val="18"/>
                <w:szCs w:val="18"/>
              </w:rPr>
              <w:t>4.722.722.48</w:t>
            </w:r>
            <w:r w:rsidR="004C0A20" w:rsidRPr="004C0A20">
              <w:rPr>
                <w:b/>
                <w:bCs w:val="0"/>
                <w:sz w:val="18"/>
                <w:szCs w:val="18"/>
              </w:rPr>
              <w:t>8</w:t>
            </w:r>
          </w:p>
        </w:tc>
        <w:tc>
          <w:tcPr>
            <w:tcW w:w="124" w:type="dxa"/>
            <w:tcMar>
              <w:left w:w="28" w:type="dxa"/>
              <w:right w:w="28" w:type="dxa"/>
            </w:tcMar>
            <w:vAlign w:val="bottom"/>
          </w:tcPr>
          <w:p w14:paraId="27928151" w14:textId="77777777" w:rsidR="00F75085" w:rsidRPr="00DE189C" w:rsidRDefault="00F75085" w:rsidP="00F75085">
            <w:pPr>
              <w:ind w:left="-76" w:right="74"/>
              <w:jc w:val="right"/>
              <w:rPr>
                <w:b/>
                <w:sz w:val="18"/>
                <w:szCs w:val="18"/>
              </w:rPr>
            </w:pPr>
          </w:p>
        </w:tc>
        <w:tc>
          <w:tcPr>
            <w:tcW w:w="1675" w:type="dxa"/>
            <w:tcBorders>
              <w:bottom w:val="double" w:sz="4" w:space="0" w:color="auto"/>
            </w:tcBorders>
            <w:tcMar>
              <w:left w:w="28" w:type="dxa"/>
              <w:right w:w="28" w:type="dxa"/>
            </w:tcMar>
            <w:vAlign w:val="bottom"/>
          </w:tcPr>
          <w:p w14:paraId="3A77CC1B" w14:textId="311222C4" w:rsidR="00F75085" w:rsidRPr="00DE189C" w:rsidRDefault="00AC7321" w:rsidP="00F75085">
            <w:pPr>
              <w:tabs>
                <w:tab w:val="center" w:pos="605"/>
                <w:tab w:val="right" w:pos="1287"/>
              </w:tabs>
              <w:ind w:left="-76" w:right="28"/>
              <w:jc w:val="right"/>
              <w:rPr>
                <w:b/>
                <w:sz w:val="18"/>
                <w:szCs w:val="18"/>
              </w:rPr>
            </w:pPr>
            <w:r>
              <w:rPr>
                <w:b/>
                <w:sz w:val="18"/>
                <w:szCs w:val="18"/>
              </w:rPr>
              <w:t>6</w:t>
            </w:r>
            <w:r w:rsidR="00A43AD1">
              <w:rPr>
                <w:b/>
                <w:sz w:val="18"/>
                <w:szCs w:val="18"/>
              </w:rPr>
              <w:t>.</w:t>
            </w:r>
            <w:r w:rsidRPr="00AC7321">
              <w:rPr>
                <w:b/>
                <w:sz w:val="18"/>
                <w:szCs w:val="18"/>
              </w:rPr>
              <w:t>985</w:t>
            </w:r>
            <w:r w:rsidR="00A43AD1">
              <w:rPr>
                <w:b/>
                <w:sz w:val="18"/>
                <w:szCs w:val="18"/>
              </w:rPr>
              <w:t>.</w:t>
            </w:r>
            <w:r w:rsidRPr="00AC7321">
              <w:rPr>
                <w:b/>
                <w:sz w:val="18"/>
                <w:szCs w:val="18"/>
              </w:rPr>
              <w:t>745</w:t>
            </w:r>
            <w:r w:rsidR="00A43AD1">
              <w:rPr>
                <w:b/>
                <w:sz w:val="18"/>
                <w:szCs w:val="18"/>
              </w:rPr>
              <w:t>.</w:t>
            </w:r>
            <w:r w:rsidRPr="00AC7321">
              <w:rPr>
                <w:b/>
                <w:sz w:val="18"/>
                <w:szCs w:val="18"/>
              </w:rPr>
              <w:t>264</w:t>
            </w:r>
          </w:p>
        </w:tc>
        <w:tc>
          <w:tcPr>
            <w:tcW w:w="123" w:type="dxa"/>
            <w:vAlign w:val="bottom"/>
          </w:tcPr>
          <w:p w14:paraId="20DDECD2" w14:textId="77777777" w:rsidR="00F75085" w:rsidRPr="00DE189C" w:rsidRDefault="00F75085" w:rsidP="00F75085">
            <w:pPr>
              <w:ind w:right="57"/>
              <w:jc w:val="right"/>
              <w:rPr>
                <w:b/>
                <w:i/>
                <w:sz w:val="18"/>
                <w:szCs w:val="18"/>
              </w:rPr>
            </w:pPr>
          </w:p>
        </w:tc>
        <w:tc>
          <w:tcPr>
            <w:tcW w:w="2747" w:type="dxa"/>
            <w:vAlign w:val="bottom"/>
          </w:tcPr>
          <w:p w14:paraId="7CD2F2ED" w14:textId="77777777" w:rsidR="00F75085" w:rsidRPr="00DE189C" w:rsidRDefault="00F75085" w:rsidP="00F75085">
            <w:pPr>
              <w:ind w:right="98"/>
              <w:jc w:val="right"/>
              <w:rPr>
                <w:b/>
                <w:i/>
                <w:sz w:val="18"/>
                <w:szCs w:val="18"/>
              </w:rPr>
            </w:pPr>
            <w:r w:rsidRPr="00DE189C">
              <w:rPr>
                <w:b/>
                <w:i/>
                <w:sz w:val="18"/>
                <w:szCs w:val="18"/>
              </w:rPr>
              <w:t>TOTAL COMPREHENSIVE</w:t>
            </w:r>
          </w:p>
          <w:p w14:paraId="43BE689B" w14:textId="77777777" w:rsidR="00F75085" w:rsidRPr="00DE189C" w:rsidRDefault="00F75085" w:rsidP="00F75085">
            <w:pPr>
              <w:ind w:right="262"/>
              <w:jc w:val="right"/>
              <w:rPr>
                <w:b/>
                <w:i/>
                <w:sz w:val="18"/>
                <w:szCs w:val="18"/>
              </w:rPr>
            </w:pPr>
            <w:r w:rsidRPr="00DE189C">
              <w:rPr>
                <w:b/>
                <w:i/>
                <w:sz w:val="18"/>
                <w:szCs w:val="18"/>
              </w:rPr>
              <w:t>LOSS FOR THE YEAR</w:t>
            </w:r>
          </w:p>
        </w:tc>
      </w:tr>
    </w:tbl>
    <w:p w14:paraId="1126FB96" w14:textId="77777777" w:rsidR="00375AB2" w:rsidRDefault="00375AB2" w:rsidP="00C02FB7">
      <w:pPr>
        <w:rPr>
          <w:sz w:val="18"/>
          <w:szCs w:val="18"/>
        </w:rPr>
        <w:sectPr w:rsidR="00375AB2" w:rsidSect="00C02FB7">
          <w:headerReference w:type="default" r:id="rId59"/>
          <w:pgSz w:w="11907" w:h="16840" w:code="9"/>
          <w:pgMar w:top="1701" w:right="992" w:bottom="1134" w:left="1559" w:header="850" w:footer="397" w:gutter="0"/>
          <w:cols w:space="720"/>
          <w:docGrid w:linePitch="360"/>
        </w:sectPr>
      </w:pPr>
    </w:p>
    <w:tbl>
      <w:tblPr>
        <w:tblW w:w="14698" w:type="dxa"/>
        <w:tblInd w:w="112" w:type="dxa"/>
        <w:tblLayout w:type="fixed"/>
        <w:tblCellMar>
          <w:left w:w="0" w:type="dxa"/>
          <w:right w:w="0" w:type="dxa"/>
        </w:tblCellMar>
        <w:tblLook w:val="0600" w:firstRow="0" w:lastRow="0" w:firstColumn="0" w:lastColumn="0" w:noHBand="1" w:noVBand="1"/>
      </w:tblPr>
      <w:tblGrid>
        <w:gridCol w:w="2473"/>
        <w:gridCol w:w="146"/>
        <w:gridCol w:w="1597"/>
        <w:gridCol w:w="145"/>
        <w:gridCol w:w="1596"/>
        <w:gridCol w:w="145"/>
        <w:gridCol w:w="1306"/>
        <w:gridCol w:w="145"/>
        <w:gridCol w:w="1450"/>
        <w:gridCol w:w="145"/>
        <w:gridCol w:w="1306"/>
        <w:gridCol w:w="144"/>
        <w:gridCol w:w="1451"/>
        <w:gridCol w:w="145"/>
        <w:gridCol w:w="2504"/>
      </w:tblGrid>
      <w:tr w:rsidR="00375AB2" w:rsidRPr="00DE189C" w14:paraId="054FB410" w14:textId="77777777" w:rsidTr="00375AB2">
        <w:trPr>
          <w:cantSplit/>
          <w:trHeight w:val="1134"/>
        </w:trPr>
        <w:tc>
          <w:tcPr>
            <w:tcW w:w="2473" w:type="dxa"/>
            <w:vMerge w:val="restart"/>
          </w:tcPr>
          <w:p w14:paraId="2B8615B5" w14:textId="77777777" w:rsidR="00375AB2" w:rsidRPr="00DE189C" w:rsidRDefault="00375AB2" w:rsidP="00101586">
            <w:pPr>
              <w:ind w:left="283" w:hanging="170"/>
              <w:rPr>
                <w:sz w:val="18"/>
                <w:szCs w:val="18"/>
              </w:rPr>
            </w:pPr>
          </w:p>
        </w:tc>
        <w:tc>
          <w:tcPr>
            <w:tcW w:w="146" w:type="dxa"/>
          </w:tcPr>
          <w:p w14:paraId="51FB8F0E" w14:textId="77777777" w:rsidR="00375AB2" w:rsidRPr="00DE189C" w:rsidRDefault="00375AB2" w:rsidP="00101586">
            <w:pPr>
              <w:ind w:right="57"/>
              <w:jc w:val="right"/>
              <w:rPr>
                <w:sz w:val="18"/>
                <w:szCs w:val="18"/>
              </w:rPr>
            </w:pPr>
          </w:p>
        </w:tc>
        <w:tc>
          <w:tcPr>
            <w:tcW w:w="1597" w:type="dxa"/>
            <w:vMerge w:val="restart"/>
            <w:vAlign w:val="bottom"/>
          </w:tcPr>
          <w:p w14:paraId="3AABDECF" w14:textId="77777777" w:rsidR="00375AB2" w:rsidRPr="00DE189C" w:rsidRDefault="00375AB2" w:rsidP="00101586">
            <w:pPr>
              <w:jc w:val="center"/>
              <w:rPr>
                <w:b/>
                <w:sz w:val="18"/>
                <w:szCs w:val="18"/>
              </w:rPr>
            </w:pPr>
            <w:r w:rsidRPr="00DE189C">
              <w:rPr>
                <w:b/>
                <w:sz w:val="18"/>
                <w:szCs w:val="18"/>
              </w:rPr>
              <w:t>Modal ditempatkan dan disetor/</w:t>
            </w:r>
          </w:p>
          <w:p w14:paraId="6E8F730E" w14:textId="77777777" w:rsidR="00375AB2" w:rsidRPr="00DE189C" w:rsidRDefault="00375AB2" w:rsidP="00101586">
            <w:pPr>
              <w:ind w:right="57"/>
              <w:jc w:val="center"/>
              <w:rPr>
                <w:sz w:val="18"/>
                <w:szCs w:val="18"/>
              </w:rPr>
            </w:pPr>
            <w:r w:rsidRPr="00DE189C">
              <w:rPr>
                <w:b/>
                <w:i/>
                <w:sz w:val="18"/>
                <w:szCs w:val="18"/>
              </w:rPr>
              <w:t>Issued and paid up capital</w:t>
            </w:r>
          </w:p>
        </w:tc>
        <w:tc>
          <w:tcPr>
            <w:tcW w:w="145" w:type="dxa"/>
            <w:vAlign w:val="bottom"/>
          </w:tcPr>
          <w:p w14:paraId="103DC159" w14:textId="77777777" w:rsidR="00375AB2" w:rsidRPr="00DE189C" w:rsidRDefault="00375AB2" w:rsidP="00101586">
            <w:pPr>
              <w:ind w:right="57"/>
              <w:jc w:val="right"/>
              <w:rPr>
                <w:sz w:val="18"/>
                <w:szCs w:val="18"/>
              </w:rPr>
            </w:pPr>
          </w:p>
        </w:tc>
        <w:tc>
          <w:tcPr>
            <w:tcW w:w="1596" w:type="dxa"/>
            <w:vMerge w:val="restart"/>
            <w:vAlign w:val="bottom"/>
          </w:tcPr>
          <w:p w14:paraId="2C2F1E1E" w14:textId="77777777" w:rsidR="00375AB2" w:rsidRPr="00DE189C" w:rsidRDefault="00375AB2" w:rsidP="00101586">
            <w:pPr>
              <w:ind w:right="28"/>
              <w:jc w:val="center"/>
              <w:rPr>
                <w:sz w:val="18"/>
                <w:szCs w:val="18"/>
              </w:rPr>
            </w:pPr>
            <w:r w:rsidRPr="00DE189C">
              <w:rPr>
                <w:b/>
                <w:sz w:val="18"/>
                <w:szCs w:val="18"/>
              </w:rPr>
              <w:t>Tambahan</w:t>
            </w:r>
            <w:r w:rsidRPr="00DE189C">
              <w:rPr>
                <w:b/>
                <w:sz w:val="18"/>
                <w:szCs w:val="18"/>
              </w:rPr>
              <w:br/>
              <w:t xml:space="preserve">Modal </w:t>
            </w:r>
            <w:r w:rsidRPr="00DE189C">
              <w:rPr>
                <w:b/>
                <w:sz w:val="18"/>
                <w:szCs w:val="18"/>
              </w:rPr>
              <w:br/>
              <w:t>Disetor/</w:t>
            </w:r>
            <w:r w:rsidRPr="00DE189C">
              <w:rPr>
                <w:b/>
                <w:sz w:val="18"/>
                <w:szCs w:val="18"/>
              </w:rPr>
              <w:br/>
            </w:r>
            <w:r w:rsidRPr="00DE189C">
              <w:rPr>
                <w:b/>
                <w:i/>
                <w:sz w:val="18"/>
                <w:szCs w:val="18"/>
              </w:rPr>
              <w:t xml:space="preserve">Additional </w:t>
            </w:r>
            <w:r w:rsidRPr="00DE189C">
              <w:rPr>
                <w:b/>
                <w:i/>
                <w:sz w:val="18"/>
                <w:szCs w:val="18"/>
              </w:rPr>
              <w:br/>
              <w:t>paid-in capital</w:t>
            </w:r>
          </w:p>
        </w:tc>
        <w:tc>
          <w:tcPr>
            <w:tcW w:w="145" w:type="dxa"/>
            <w:vAlign w:val="bottom"/>
          </w:tcPr>
          <w:p w14:paraId="26A333E0" w14:textId="77777777" w:rsidR="00375AB2" w:rsidRPr="00DE189C" w:rsidRDefault="00375AB2" w:rsidP="00101586">
            <w:pPr>
              <w:ind w:right="57"/>
              <w:jc w:val="right"/>
              <w:rPr>
                <w:sz w:val="18"/>
                <w:szCs w:val="18"/>
              </w:rPr>
            </w:pPr>
          </w:p>
        </w:tc>
        <w:tc>
          <w:tcPr>
            <w:tcW w:w="1306" w:type="dxa"/>
            <w:vMerge w:val="restart"/>
            <w:vAlign w:val="bottom"/>
          </w:tcPr>
          <w:p w14:paraId="5E09DD15" w14:textId="77777777" w:rsidR="00375AB2" w:rsidRPr="00DE189C" w:rsidRDefault="00375AB2" w:rsidP="00101586">
            <w:pPr>
              <w:jc w:val="center"/>
              <w:rPr>
                <w:sz w:val="18"/>
                <w:szCs w:val="18"/>
              </w:rPr>
            </w:pPr>
            <w:r w:rsidRPr="00DE189C">
              <w:rPr>
                <w:b/>
                <w:sz w:val="18"/>
                <w:szCs w:val="18"/>
              </w:rPr>
              <w:t>Keuntungan aktuarial/</w:t>
            </w:r>
            <w:r w:rsidRPr="00DE189C">
              <w:rPr>
                <w:b/>
                <w:sz w:val="18"/>
                <w:szCs w:val="18"/>
              </w:rPr>
              <w:br/>
            </w:r>
            <w:r w:rsidRPr="00DE189C">
              <w:rPr>
                <w:b/>
                <w:i/>
                <w:sz w:val="18"/>
                <w:szCs w:val="18"/>
              </w:rPr>
              <w:t>Gain on actuarial</w:t>
            </w:r>
          </w:p>
        </w:tc>
        <w:tc>
          <w:tcPr>
            <w:tcW w:w="145" w:type="dxa"/>
            <w:vAlign w:val="bottom"/>
          </w:tcPr>
          <w:p w14:paraId="3B735E1F" w14:textId="77777777" w:rsidR="00375AB2" w:rsidRPr="00DE189C" w:rsidRDefault="00375AB2" w:rsidP="00101586">
            <w:pPr>
              <w:ind w:right="57"/>
              <w:jc w:val="right"/>
              <w:rPr>
                <w:sz w:val="18"/>
                <w:szCs w:val="18"/>
              </w:rPr>
            </w:pPr>
          </w:p>
        </w:tc>
        <w:tc>
          <w:tcPr>
            <w:tcW w:w="4496" w:type="dxa"/>
            <w:gridSpan w:val="5"/>
            <w:tcBorders>
              <w:bottom w:val="single" w:sz="4" w:space="0" w:color="auto"/>
            </w:tcBorders>
            <w:vAlign w:val="bottom"/>
          </w:tcPr>
          <w:p w14:paraId="53EEAFE4" w14:textId="77777777" w:rsidR="00375AB2" w:rsidRPr="00DE189C" w:rsidRDefault="00375AB2" w:rsidP="00101586">
            <w:pPr>
              <w:ind w:right="28"/>
              <w:jc w:val="center"/>
              <w:rPr>
                <w:b/>
                <w:sz w:val="18"/>
                <w:szCs w:val="18"/>
              </w:rPr>
            </w:pPr>
            <w:r w:rsidRPr="00DE189C">
              <w:rPr>
                <w:b/>
                <w:sz w:val="18"/>
                <w:szCs w:val="18"/>
              </w:rPr>
              <w:t>Saldo Laba/</w:t>
            </w:r>
          </w:p>
          <w:p w14:paraId="06DE957F" w14:textId="77777777" w:rsidR="00375AB2" w:rsidRPr="00DE189C" w:rsidRDefault="00375AB2" w:rsidP="00101586">
            <w:pPr>
              <w:ind w:right="28"/>
              <w:jc w:val="center"/>
              <w:rPr>
                <w:b/>
                <w:i/>
                <w:sz w:val="18"/>
                <w:szCs w:val="18"/>
              </w:rPr>
            </w:pPr>
            <w:r w:rsidRPr="00DE189C">
              <w:rPr>
                <w:b/>
                <w:i/>
                <w:sz w:val="18"/>
                <w:szCs w:val="18"/>
              </w:rPr>
              <w:t>Retained Earning</w:t>
            </w:r>
          </w:p>
        </w:tc>
        <w:tc>
          <w:tcPr>
            <w:tcW w:w="145" w:type="dxa"/>
            <w:vAlign w:val="bottom"/>
          </w:tcPr>
          <w:p w14:paraId="2419F08C" w14:textId="77777777" w:rsidR="00375AB2" w:rsidRPr="00DE189C" w:rsidRDefault="00375AB2" w:rsidP="00101586">
            <w:pPr>
              <w:ind w:right="57"/>
              <w:jc w:val="right"/>
              <w:rPr>
                <w:sz w:val="18"/>
                <w:szCs w:val="18"/>
              </w:rPr>
            </w:pPr>
          </w:p>
        </w:tc>
        <w:tc>
          <w:tcPr>
            <w:tcW w:w="2504" w:type="dxa"/>
            <w:vMerge w:val="restart"/>
            <w:vAlign w:val="bottom"/>
          </w:tcPr>
          <w:p w14:paraId="122DE24F" w14:textId="77777777" w:rsidR="00375AB2" w:rsidRPr="00DE189C" w:rsidRDefault="00375AB2" w:rsidP="00101586">
            <w:pPr>
              <w:jc w:val="center"/>
              <w:rPr>
                <w:sz w:val="18"/>
                <w:szCs w:val="18"/>
              </w:rPr>
            </w:pPr>
          </w:p>
        </w:tc>
      </w:tr>
      <w:tr w:rsidR="00375AB2" w:rsidRPr="00DE189C" w14:paraId="1283A91B" w14:textId="77777777" w:rsidTr="00375AB2">
        <w:trPr>
          <w:cantSplit/>
          <w:trHeight w:val="20"/>
        </w:trPr>
        <w:tc>
          <w:tcPr>
            <w:tcW w:w="2473" w:type="dxa"/>
            <w:vMerge/>
          </w:tcPr>
          <w:p w14:paraId="5DBB889A" w14:textId="77777777" w:rsidR="00375AB2" w:rsidRPr="00DE189C" w:rsidRDefault="00375AB2" w:rsidP="00101586">
            <w:pPr>
              <w:ind w:left="283" w:hanging="170"/>
              <w:jc w:val="center"/>
              <w:rPr>
                <w:sz w:val="18"/>
                <w:szCs w:val="18"/>
              </w:rPr>
            </w:pPr>
          </w:p>
        </w:tc>
        <w:tc>
          <w:tcPr>
            <w:tcW w:w="146" w:type="dxa"/>
          </w:tcPr>
          <w:p w14:paraId="7E745E06" w14:textId="77777777" w:rsidR="00375AB2" w:rsidRPr="00DE189C" w:rsidRDefault="00375AB2" w:rsidP="00101586">
            <w:pPr>
              <w:ind w:right="57"/>
              <w:jc w:val="center"/>
              <w:rPr>
                <w:sz w:val="18"/>
                <w:szCs w:val="18"/>
              </w:rPr>
            </w:pPr>
          </w:p>
        </w:tc>
        <w:tc>
          <w:tcPr>
            <w:tcW w:w="1597" w:type="dxa"/>
            <w:vMerge/>
            <w:tcBorders>
              <w:bottom w:val="single" w:sz="4" w:space="0" w:color="auto"/>
            </w:tcBorders>
            <w:vAlign w:val="bottom"/>
          </w:tcPr>
          <w:p w14:paraId="51480377" w14:textId="77777777" w:rsidR="00375AB2" w:rsidRPr="00DE189C" w:rsidRDefault="00375AB2" w:rsidP="00101586">
            <w:pPr>
              <w:ind w:right="57"/>
              <w:jc w:val="center"/>
              <w:rPr>
                <w:sz w:val="18"/>
                <w:szCs w:val="18"/>
              </w:rPr>
            </w:pPr>
          </w:p>
        </w:tc>
        <w:tc>
          <w:tcPr>
            <w:tcW w:w="145" w:type="dxa"/>
            <w:vAlign w:val="bottom"/>
          </w:tcPr>
          <w:p w14:paraId="52B9CCAA" w14:textId="77777777" w:rsidR="00375AB2" w:rsidRPr="00DE189C" w:rsidRDefault="00375AB2" w:rsidP="00101586">
            <w:pPr>
              <w:ind w:right="57"/>
              <w:jc w:val="center"/>
              <w:rPr>
                <w:sz w:val="18"/>
                <w:szCs w:val="18"/>
              </w:rPr>
            </w:pPr>
          </w:p>
        </w:tc>
        <w:tc>
          <w:tcPr>
            <w:tcW w:w="1596" w:type="dxa"/>
            <w:vMerge/>
            <w:tcBorders>
              <w:bottom w:val="single" w:sz="4" w:space="0" w:color="auto"/>
            </w:tcBorders>
            <w:vAlign w:val="bottom"/>
          </w:tcPr>
          <w:p w14:paraId="3CED66D5" w14:textId="77777777" w:rsidR="00375AB2" w:rsidRPr="00DE189C" w:rsidRDefault="00375AB2" w:rsidP="00101586">
            <w:pPr>
              <w:ind w:right="28"/>
              <w:jc w:val="center"/>
              <w:rPr>
                <w:sz w:val="18"/>
                <w:szCs w:val="18"/>
              </w:rPr>
            </w:pPr>
          </w:p>
        </w:tc>
        <w:tc>
          <w:tcPr>
            <w:tcW w:w="145" w:type="dxa"/>
            <w:vAlign w:val="bottom"/>
          </w:tcPr>
          <w:p w14:paraId="7A8EC162" w14:textId="77777777" w:rsidR="00375AB2" w:rsidRPr="00DE189C" w:rsidRDefault="00375AB2" w:rsidP="00101586">
            <w:pPr>
              <w:ind w:right="57"/>
              <w:jc w:val="center"/>
              <w:rPr>
                <w:sz w:val="18"/>
                <w:szCs w:val="18"/>
              </w:rPr>
            </w:pPr>
          </w:p>
        </w:tc>
        <w:tc>
          <w:tcPr>
            <w:tcW w:w="1306" w:type="dxa"/>
            <w:vMerge/>
            <w:tcBorders>
              <w:top w:val="single" w:sz="4" w:space="0" w:color="auto"/>
              <w:bottom w:val="single" w:sz="4" w:space="0" w:color="auto"/>
            </w:tcBorders>
            <w:vAlign w:val="bottom"/>
          </w:tcPr>
          <w:p w14:paraId="519DBBCB" w14:textId="77777777" w:rsidR="00375AB2" w:rsidRPr="00DE189C" w:rsidRDefault="00375AB2" w:rsidP="00101586">
            <w:pPr>
              <w:jc w:val="center"/>
              <w:rPr>
                <w:sz w:val="18"/>
                <w:szCs w:val="18"/>
              </w:rPr>
            </w:pPr>
          </w:p>
        </w:tc>
        <w:tc>
          <w:tcPr>
            <w:tcW w:w="145" w:type="dxa"/>
            <w:vAlign w:val="bottom"/>
          </w:tcPr>
          <w:p w14:paraId="2B3A49DE" w14:textId="77777777" w:rsidR="00375AB2" w:rsidRPr="00DE189C" w:rsidRDefault="00375AB2" w:rsidP="00101586">
            <w:pPr>
              <w:ind w:right="57"/>
              <w:jc w:val="center"/>
              <w:rPr>
                <w:sz w:val="18"/>
                <w:szCs w:val="18"/>
              </w:rPr>
            </w:pPr>
          </w:p>
        </w:tc>
        <w:tc>
          <w:tcPr>
            <w:tcW w:w="1450" w:type="dxa"/>
            <w:tcBorders>
              <w:top w:val="single" w:sz="4" w:space="0" w:color="auto"/>
              <w:bottom w:val="single" w:sz="4" w:space="0" w:color="auto"/>
            </w:tcBorders>
            <w:vAlign w:val="bottom"/>
          </w:tcPr>
          <w:p w14:paraId="76308B6F" w14:textId="77777777" w:rsidR="00375AB2" w:rsidRPr="00DE189C" w:rsidRDefault="00375AB2" w:rsidP="00101586">
            <w:pPr>
              <w:jc w:val="center"/>
              <w:rPr>
                <w:sz w:val="18"/>
                <w:szCs w:val="18"/>
              </w:rPr>
            </w:pPr>
            <w:r w:rsidRPr="00DE189C">
              <w:rPr>
                <w:b/>
                <w:sz w:val="18"/>
                <w:szCs w:val="18"/>
              </w:rPr>
              <w:t>Ditentukan penggunaannya/</w:t>
            </w:r>
            <w:r w:rsidRPr="00DE189C">
              <w:rPr>
                <w:b/>
                <w:sz w:val="18"/>
                <w:szCs w:val="18"/>
              </w:rPr>
              <w:br/>
            </w:r>
            <w:r w:rsidRPr="00DE189C">
              <w:rPr>
                <w:b/>
                <w:i/>
                <w:sz w:val="18"/>
                <w:szCs w:val="18"/>
              </w:rPr>
              <w:t>Appropriated</w:t>
            </w:r>
          </w:p>
        </w:tc>
        <w:tc>
          <w:tcPr>
            <w:tcW w:w="145" w:type="dxa"/>
            <w:tcBorders>
              <w:top w:val="single" w:sz="4" w:space="0" w:color="auto"/>
            </w:tcBorders>
            <w:vAlign w:val="bottom"/>
          </w:tcPr>
          <w:p w14:paraId="3F620D99" w14:textId="77777777" w:rsidR="00375AB2" w:rsidRPr="00DE189C" w:rsidRDefault="00375AB2" w:rsidP="00101586">
            <w:pPr>
              <w:ind w:right="57"/>
              <w:jc w:val="center"/>
              <w:rPr>
                <w:sz w:val="18"/>
                <w:szCs w:val="18"/>
              </w:rPr>
            </w:pPr>
          </w:p>
        </w:tc>
        <w:tc>
          <w:tcPr>
            <w:tcW w:w="1306" w:type="dxa"/>
            <w:tcBorders>
              <w:top w:val="single" w:sz="4" w:space="0" w:color="auto"/>
              <w:bottom w:val="single" w:sz="4" w:space="0" w:color="auto"/>
            </w:tcBorders>
            <w:vAlign w:val="bottom"/>
          </w:tcPr>
          <w:p w14:paraId="2FB06C31" w14:textId="77777777" w:rsidR="00375AB2" w:rsidRPr="00DE189C" w:rsidRDefault="00375AB2" w:rsidP="00101586">
            <w:pPr>
              <w:jc w:val="center"/>
              <w:rPr>
                <w:b/>
                <w:sz w:val="18"/>
                <w:szCs w:val="18"/>
                <w:lang w:val="id-ID"/>
              </w:rPr>
            </w:pPr>
            <w:r w:rsidRPr="00DE189C">
              <w:rPr>
                <w:b/>
                <w:sz w:val="18"/>
                <w:szCs w:val="18"/>
              </w:rPr>
              <w:t>Belum ditentukan penggunaannya/</w:t>
            </w:r>
          </w:p>
          <w:p w14:paraId="1E3363D4" w14:textId="77777777" w:rsidR="00375AB2" w:rsidRPr="00DE189C" w:rsidRDefault="00375AB2" w:rsidP="00101586">
            <w:pPr>
              <w:jc w:val="center"/>
              <w:rPr>
                <w:sz w:val="18"/>
                <w:szCs w:val="18"/>
              </w:rPr>
            </w:pPr>
            <w:r w:rsidRPr="00DE189C">
              <w:rPr>
                <w:b/>
                <w:i/>
                <w:iCs/>
                <w:sz w:val="18"/>
                <w:szCs w:val="18"/>
              </w:rPr>
              <w:t>Unappropriated</w:t>
            </w:r>
          </w:p>
        </w:tc>
        <w:tc>
          <w:tcPr>
            <w:tcW w:w="144" w:type="dxa"/>
            <w:tcBorders>
              <w:top w:val="single" w:sz="4" w:space="0" w:color="auto"/>
            </w:tcBorders>
            <w:vAlign w:val="bottom"/>
          </w:tcPr>
          <w:p w14:paraId="34896F31" w14:textId="77777777" w:rsidR="00375AB2" w:rsidRPr="00DE189C" w:rsidRDefault="00375AB2" w:rsidP="00101586">
            <w:pPr>
              <w:ind w:right="57"/>
              <w:jc w:val="center"/>
              <w:rPr>
                <w:sz w:val="18"/>
                <w:szCs w:val="18"/>
              </w:rPr>
            </w:pPr>
          </w:p>
        </w:tc>
        <w:tc>
          <w:tcPr>
            <w:tcW w:w="1451" w:type="dxa"/>
            <w:tcBorders>
              <w:top w:val="single" w:sz="4" w:space="0" w:color="auto"/>
              <w:bottom w:val="single" w:sz="4" w:space="0" w:color="auto"/>
            </w:tcBorders>
            <w:vAlign w:val="bottom"/>
          </w:tcPr>
          <w:p w14:paraId="177B86F7" w14:textId="77777777" w:rsidR="00375AB2" w:rsidRPr="00DE189C" w:rsidRDefault="00375AB2" w:rsidP="00101586">
            <w:pPr>
              <w:jc w:val="center"/>
              <w:rPr>
                <w:b/>
                <w:sz w:val="18"/>
                <w:szCs w:val="18"/>
              </w:rPr>
            </w:pPr>
            <w:r w:rsidRPr="00DE189C">
              <w:rPr>
                <w:b/>
                <w:sz w:val="18"/>
                <w:szCs w:val="18"/>
              </w:rPr>
              <w:t>Jumlah ekuitas/</w:t>
            </w:r>
          </w:p>
          <w:p w14:paraId="78F5753D" w14:textId="77777777" w:rsidR="00375AB2" w:rsidRPr="00DE189C" w:rsidRDefault="00375AB2" w:rsidP="00101586">
            <w:pPr>
              <w:jc w:val="center"/>
              <w:rPr>
                <w:sz w:val="18"/>
                <w:szCs w:val="18"/>
              </w:rPr>
            </w:pPr>
            <w:r w:rsidRPr="00DE189C">
              <w:rPr>
                <w:b/>
                <w:i/>
                <w:sz w:val="18"/>
                <w:szCs w:val="18"/>
              </w:rPr>
              <w:t>Total equity</w:t>
            </w:r>
          </w:p>
        </w:tc>
        <w:tc>
          <w:tcPr>
            <w:tcW w:w="145" w:type="dxa"/>
            <w:vAlign w:val="bottom"/>
          </w:tcPr>
          <w:p w14:paraId="7B9F983F" w14:textId="77777777" w:rsidR="00375AB2" w:rsidRPr="00DE189C" w:rsidRDefault="00375AB2" w:rsidP="00101586">
            <w:pPr>
              <w:ind w:right="57"/>
              <w:jc w:val="center"/>
              <w:rPr>
                <w:sz w:val="18"/>
                <w:szCs w:val="18"/>
              </w:rPr>
            </w:pPr>
          </w:p>
        </w:tc>
        <w:tc>
          <w:tcPr>
            <w:tcW w:w="2504" w:type="dxa"/>
            <w:vMerge/>
            <w:vAlign w:val="bottom"/>
          </w:tcPr>
          <w:p w14:paraId="34A0A917" w14:textId="77777777" w:rsidR="00375AB2" w:rsidRPr="00DE189C" w:rsidRDefault="00375AB2" w:rsidP="00101586">
            <w:pPr>
              <w:jc w:val="center"/>
              <w:rPr>
                <w:sz w:val="18"/>
                <w:szCs w:val="18"/>
              </w:rPr>
            </w:pPr>
          </w:p>
        </w:tc>
      </w:tr>
      <w:tr w:rsidR="00375AB2" w:rsidRPr="00DE189C" w14:paraId="12A774F7" w14:textId="77777777" w:rsidTr="00375AB2">
        <w:trPr>
          <w:cantSplit/>
          <w:trHeight w:val="70"/>
        </w:trPr>
        <w:tc>
          <w:tcPr>
            <w:tcW w:w="2473" w:type="dxa"/>
          </w:tcPr>
          <w:p w14:paraId="5FFB2ACD" w14:textId="0D8610C6" w:rsidR="00375AB2" w:rsidRPr="00DE189C" w:rsidRDefault="00375AB2" w:rsidP="00101586">
            <w:pPr>
              <w:ind w:left="283" w:hanging="170"/>
              <w:rPr>
                <w:b/>
                <w:sz w:val="18"/>
                <w:szCs w:val="18"/>
              </w:rPr>
            </w:pPr>
            <w:r w:rsidRPr="00DE189C">
              <w:rPr>
                <w:b/>
                <w:sz w:val="18"/>
                <w:szCs w:val="18"/>
              </w:rPr>
              <w:t xml:space="preserve">Saldo per </w:t>
            </w:r>
            <w:r w:rsidRPr="00DE189C">
              <w:rPr>
                <w:b/>
                <w:sz w:val="18"/>
                <w:szCs w:val="18"/>
              </w:rPr>
              <w:br/>
              <w:t>31 Desember 201</w:t>
            </w:r>
            <w:r w:rsidR="00AC7321">
              <w:rPr>
                <w:b/>
                <w:sz w:val="18"/>
                <w:szCs w:val="18"/>
              </w:rPr>
              <w:t>8</w:t>
            </w:r>
          </w:p>
        </w:tc>
        <w:tc>
          <w:tcPr>
            <w:tcW w:w="146" w:type="dxa"/>
          </w:tcPr>
          <w:p w14:paraId="41A5EAF1" w14:textId="77777777" w:rsidR="00375AB2" w:rsidRPr="00DE189C" w:rsidRDefault="00375AB2" w:rsidP="00101586">
            <w:pPr>
              <w:ind w:right="57"/>
              <w:jc w:val="right"/>
              <w:rPr>
                <w:sz w:val="18"/>
                <w:szCs w:val="18"/>
              </w:rPr>
            </w:pPr>
          </w:p>
        </w:tc>
        <w:tc>
          <w:tcPr>
            <w:tcW w:w="1597" w:type="dxa"/>
            <w:tcBorders>
              <w:top w:val="single" w:sz="4" w:space="0" w:color="auto"/>
            </w:tcBorders>
            <w:vAlign w:val="bottom"/>
          </w:tcPr>
          <w:p w14:paraId="1532EBAE" w14:textId="74235FE2" w:rsidR="00375AB2" w:rsidRPr="00DE189C" w:rsidRDefault="00DD337A" w:rsidP="00101586">
            <w:pPr>
              <w:ind w:right="28"/>
              <w:jc w:val="right"/>
              <w:rPr>
                <w:b/>
                <w:sz w:val="18"/>
                <w:szCs w:val="18"/>
              </w:rPr>
            </w:pPr>
            <w:r w:rsidRPr="00DD337A">
              <w:rPr>
                <w:b/>
                <w:sz w:val="18"/>
                <w:szCs w:val="18"/>
              </w:rPr>
              <w:t>1.200.070.544.500</w:t>
            </w:r>
          </w:p>
        </w:tc>
        <w:tc>
          <w:tcPr>
            <w:tcW w:w="145" w:type="dxa"/>
            <w:vAlign w:val="bottom"/>
          </w:tcPr>
          <w:p w14:paraId="5D883AAA" w14:textId="77777777" w:rsidR="00375AB2" w:rsidRPr="00DE189C" w:rsidRDefault="00375AB2" w:rsidP="00101586">
            <w:pPr>
              <w:ind w:right="57"/>
              <w:jc w:val="right"/>
              <w:rPr>
                <w:b/>
                <w:sz w:val="18"/>
                <w:szCs w:val="18"/>
              </w:rPr>
            </w:pPr>
          </w:p>
        </w:tc>
        <w:tc>
          <w:tcPr>
            <w:tcW w:w="1596" w:type="dxa"/>
            <w:tcBorders>
              <w:top w:val="single" w:sz="4" w:space="0" w:color="auto"/>
            </w:tcBorders>
            <w:vAlign w:val="bottom"/>
          </w:tcPr>
          <w:p w14:paraId="4E3F7E66" w14:textId="21AE4391" w:rsidR="00375AB2" w:rsidRPr="00DE189C" w:rsidRDefault="00DD337A" w:rsidP="00101586">
            <w:pPr>
              <w:ind w:right="28"/>
              <w:jc w:val="right"/>
              <w:rPr>
                <w:b/>
                <w:sz w:val="18"/>
                <w:szCs w:val="18"/>
              </w:rPr>
            </w:pPr>
            <w:r w:rsidRPr="00DD337A">
              <w:rPr>
                <w:b/>
                <w:sz w:val="18"/>
                <w:szCs w:val="18"/>
              </w:rPr>
              <w:t>1.124.816.856.453</w:t>
            </w:r>
          </w:p>
        </w:tc>
        <w:tc>
          <w:tcPr>
            <w:tcW w:w="145" w:type="dxa"/>
            <w:vAlign w:val="bottom"/>
          </w:tcPr>
          <w:p w14:paraId="74E0E572" w14:textId="77777777" w:rsidR="00375AB2" w:rsidRPr="00DE189C" w:rsidRDefault="00375AB2" w:rsidP="00101586">
            <w:pPr>
              <w:ind w:right="57"/>
              <w:jc w:val="right"/>
              <w:rPr>
                <w:b/>
                <w:sz w:val="18"/>
                <w:szCs w:val="18"/>
              </w:rPr>
            </w:pPr>
          </w:p>
        </w:tc>
        <w:tc>
          <w:tcPr>
            <w:tcW w:w="1306" w:type="dxa"/>
            <w:tcBorders>
              <w:top w:val="single" w:sz="4" w:space="0" w:color="auto"/>
            </w:tcBorders>
            <w:vAlign w:val="bottom"/>
          </w:tcPr>
          <w:p w14:paraId="72CF30CF" w14:textId="61BC0D5B" w:rsidR="00375AB2" w:rsidRPr="00DE189C" w:rsidRDefault="00DD337A" w:rsidP="00101586">
            <w:pPr>
              <w:ind w:right="28"/>
              <w:jc w:val="right"/>
              <w:rPr>
                <w:b/>
                <w:sz w:val="18"/>
                <w:szCs w:val="18"/>
              </w:rPr>
            </w:pPr>
            <w:r w:rsidRPr="00DD337A">
              <w:rPr>
                <w:b/>
                <w:sz w:val="18"/>
                <w:szCs w:val="18"/>
              </w:rPr>
              <w:t>10.111.044.006</w:t>
            </w:r>
          </w:p>
        </w:tc>
        <w:tc>
          <w:tcPr>
            <w:tcW w:w="145" w:type="dxa"/>
            <w:vAlign w:val="bottom"/>
          </w:tcPr>
          <w:p w14:paraId="119072B5" w14:textId="77777777" w:rsidR="00375AB2" w:rsidRPr="00DE189C" w:rsidRDefault="00375AB2" w:rsidP="00101586">
            <w:pPr>
              <w:ind w:right="57"/>
              <w:jc w:val="right"/>
              <w:rPr>
                <w:b/>
                <w:sz w:val="18"/>
                <w:szCs w:val="18"/>
              </w:rPr>
            </w:pPr>
          </w:p>
        </w:tc>
        <w:tc>
          <w:tcPr>
            <w:tcW w:w="1450" w:type="dxa"/>
            <w:tcBorders>
              <w:top w:val="single" w:sz="4" w:space="0" w:color="auto"/>
            </w:tcBorders>
            <w:vAlign w:val="bottom"/>
          </w:tcPr>
          <w:p w14:paraId="6D8D46D1" w14:textId="77777777" w:rsidR="00375AB2" w:rsidRPr="00DE189C" w:rsidRDefault="00375AB2" w:rsidP="00101586">
            <w:pPr>
              <w:ind w:right="28"/>
              <w:jc w:val="right"/>
              <w:rPr>
                <w:b/>
                <w:sz w:val="18"/>
                <w:szCs w:val="18"/>
              </w:rPr>
            </w:pPr>
            <w:r w:rsidRPr="00DE189C">
              <w:rPr>
                <w:b/>
                <w:sz w:val="18"/>
                <w:szCs w:val="18"/>
              </w:rPr>
              <w:t>2.000.000.000</w:t>
            </w:r>
          </w:p>
        </w:tc>
        <w:tc>
          <w:tcPr>
            <w:tcW w:w="145" w:type="dxa"/>
            <w:vAlign w:val="bottom"/>
          </w:tcPr>
          <w:p w14:paraId="5FE2C18D" w14:textId="77777777" w:rsidR="00375AB2" w:rsidRPr="00DE189C" w:rsidRDefault="00375AB2" w:rsidP="00101586">
            <w:pPr>
              <w:ind w:right="57"/>
              <w:jc w:val="right"/>
              <w:rPr>
                <w:b/>
                <w:sz w:val="18"/>
                <w:szCs w:val="18"/>
              </w:rPr>
            </w:pPr>
          </w:p>
        </w:tc>
        <w:tc>
          <w:tcPr>
            <w:tcW w:w="1306" w:type="dxa"/>
            <w:tcBorders>
              <w:top w:val="single" w:sz="4" w:space="0" w:color="auto"/>
            </w:tcBorders>
            <w:vAlign w:val="bottom"/>
          </w:tcPr>
          <w:p w14:paraId="1928215B" w14:textId="3CFE39BD" w:rsidR="00375AB2" w:rsidRPr="00DE189C" w:rsidRDefault="004C0A20" w:rsidP="00101586">
            <w:pPr>
              <w:ind w:right="28"/>
              <w:jc w:val="right"/>
              <w:rPr>
                <w:b/>
                <w:sz w:val="18"/>
                <w:szCs w:val="18"/>
              </w:rPr>
            </w:pPr>
            <w:r>
              <w:rPr>
                <w:b/>
                <w:sz w:val="18"/>
                <w:szCs w:val="18"/>
              </w:rPr>
              <w:t>64.190.522.785</w:t>
            </w:r>
          </w:p>
        </w:tc>
        <w:tc>
          <w:tcPr>
            <w:tcW w:w="144" w:type="dxa"/>
            <w:vAlign w:val="bottom"/>
          </w:tcPr>
          <w:p w14:paraId="33945F73" w14:textId="77777777" w:rsidR="00375AB2" w:rsidRPr="00DE189C" w:rsidRDefault="00375AB2" w:rsidP="00101586">
            <w:pPr>
              <w:ind w:right="57"/>
              <w:jc w:val="right"/>
              <w:rPr>
                <w:b/>
                <w:sz w:val="18"/>
                <w:szCs w:val="18"/>
              </w:rPr>
            </w:pPr>
          </w:p>
        </w:tc>
        <w:tc>
          <w:tcPr>
            <w:tcW w:w="1451" w:type="dxa"/>
            <w:tcBorders>
              <w:top w:val="single" w:sz="4" w:space="0" w:color="auto"/>
            </w:tcBorders>
            <w:vAlign w:val="bottom"/>
          </w:tcPr>
          <w:p w14:paraId="5E1E8BE1" w14:textId="544A6954" w:rsidR="00375AB2" w:rsidRPr="00DE189C" w:rsidRDefault="00DD337A" w:rsidP="004C0A20">
            <w:pPr>
              <w:ind w:right="28"/>
              <w:jc w:val="right"/>
              <w:rPr>
                <w:b/>
                <w:sz w:val="18"/>
                <w:szCs w:val="18"/>
              </w:rPr>
            </w:pPr>
            <w:r w:rsidRPr="00DD337A">
              <w:rPr>
                <w:b/>
                <w:sz w:val="18"/>
                <w:szCs w:val="18"/>
              </w:rPr>
              <w:t>2.</w:t>
            </w:r>
            <w:r w:rsidR="004C0A20">
              <w:rPr>
                <w:b/>
                <w:sz w:val="18"/>
                <w:szCs w:val="18"/>
              </w:rPr>
              <w:t>401.188.967.744</w:t>
            </w:r>
          </w:p>
        </w:tc>
        <w:tc>
          <w:tcPr>
            <w:tcW w:w="145" w:type="dxa"/>
            <w:vAlign w:val="bottom"/>
          </w:tcPr>
          <w:p w14:paraId="54E90D0E" w14:textId="77777777" w:rsidR="00375AB2" w:rsidRPr="00DE189C" w:rsidRDefault="00375AB2" w:rsidP="00101586">
            <w:pPr>
              <w:ind w:right="57"/>
              <w:jc w:val="right"/>
              <w:rPr>
                <w:sz w:val="18"/>
                <w:szCs w:val="18"/>
              </w:rPr>
            </w:pPr>
          </w:p>
        </w:tc>
        <w:tc>
          <w:tcPr>
            <w:tcW w:w="2504" w:type="dxa"/>
            <w:vAlign w:val="bottom"/>
          </w:tcPr>
          <w:p w14:paraId="0BA6B585" w14:textId="77777777" w:rsidR="00375AB2" w:rsidRPr="00DE189C" w:rsidRDefault="00375AB2" w:rsidP="00101586">
            <w:pPr>
              <w:ind w:right="28"/>
              <w:jc w:val="right"/>
              <w:rPr>
                <w:b/>
                <w:i/>
                <w:sz w:val="18"/>
                <w:szCs w:val="18"/>
              </w:rPr>
            </w:pPr>
            <w:r w:rsidRPr="00DE189C">
              <w:rPr>
                <w:b/>
                <w:i/>
                <w:sz w:val="18"/>
                <w:szCs w:val="18"/>
              </w:rPr>
              <w:t xml:space="preserve">Balance as of </w:t>
            </w:r>
          </w:p>
          <w:p w14:paraId="158E6438" w14:textId="16A64C01" w:rsidR="00375AB2" w:rsidRPr="00DE189C" w:rsidRDefault="00375AB2" w:rsidP="00101586">
            <w:pPr>
              <w:ind w:right="219"/>
              <w:jc w:val="right"/>
              <w:rPr>
                <w:b/>
                <w:i/>
                <w:sz w:val="18"/>
                <w:szCs w:val="18"/>
              </w:rPr>
            </w:pPr>
            <w:r w:rsidRPr="00DE189C">
              <w:rPr>
                <w:b/>
                <w:i/>
                <w:sz w:val="18"/>
                <w:szCs w:val="18"/>
              </w:rPr>
              <w:t>December 31</w:t>
            </w:r>
            <w:r w:rsidR="00870FD0">
              <w:rPr>
                <w:b/>
                <w:i/>
                <w:sz w:val="18"/>
                <w:szCs w:val="18"/>
              </w:rPr>
              <w:t>.</w:t>
            </w:r>
            <w:r w:rsidR="000C003B">
              <w:rPr>
                <w:b/>
                <w:i/>
                <w:sz w:val="18"/>
                <w:szCs w:val="18"/>
              </w:rPr>
              <w:t xml:space="preserve"> 2018</w:t>
            </w:r>
          </w:p>
        </w:tc>
      </w:tr>
      <w:tr w:rsidR="00375AB2" w:rsidRPr="00DE189C" w14:paraId="273E49C2" w14:textId="77777777" w:rsidTr="00375AB2">
        <w:trPr>
          <w:cantSplit/>
          <w:trHeight w:val="70"/>
        </w:trPr>
        <w:tc>
          <w:tcPr>
            <w:tcW w:w="2473" w:type="dxa"/>
          </w:tcPr>
          <w:p w14:paraId="3D3ED92F" w14:textId="77777777" w:rsidR="00375AB2" w:rsidRPr="00DE189C" w:rsidRDefault="00375AB2" w:rsidP="00101586">
            <w:pPr>
              <w:ind w:left="283" w:hanging="170"/>
              <w:rPr>
                <w:sz w:val="18"/>
                <w:szCs w:val="18"/>
              </w:rPr>
            </w:pPr>
          </w:p>
        </w:tc>
        <w:tc>
          <w:tcPr>
            <w:tcW w:w="146" w:type="dxa"/>
          </w:tcPr>
          <w:p w14:paraId="2F1EB56B" w14:textId="77777777" w:rsidR="00375AB2" w:rsidRPr="00DE189C" w:rsidRDefault="00375AB2" w:rsidP="00101586">
            <w:pPr>
              <w:ind w:right="57"/>
              <w:jc w:val="right"/>
              <w:rPr>
                <w:sz w:val="18"/>
                <w:szCs w:val="18"/>
              </w:rPr>
            </w:pPr>
          </w:p>
        </w:tc>
        <w:tc>
          <w:tcPr>
            <w:tcW w:w="1597" w:type="dxa"/>
            <w:vAlign w:val="bottom"/>
          </w:tcPr>
          <w:p w14:paraId="48229F70" w14:textId="77777777" w:rsidR="00375AB2" w:rsidRPr="00DE189C" w:rsidRDefault="00375AB2" w:rsidP="00101586">
            <w:pPr>
              <w:ind w:right="28"/>
              <w:jc w:val="right"/>
              <w:rPr>
                <w:sz w:val="18"/>
                <w:szCs w:val="18"/>
              </w:rPr>
            </w:pPr>
          </w:p>
        </w:tc>
        <w:tc>
          <w:tcPr>
            <w:tcW w:w="145" w:type="dxa"/>
            <w:vAlign w:val="bottom"/>
          </w:tcPr>
          <w:p w14:paraId="734B7628" w14:textId="77777777" w:rsidR="00375AB2" w:rsidRPr="00DE189C" w:rsidRDefault="00375AB2" w:rsidP="00101586">
            <w:pPr>
              <w:ind w:right="57"/>
              <w:jc w:val="right"/>
              <w:rPr>
                <w:sz w:val="18"/>
                <w:szCs w:val="18"/>
              </w:rPr>
            </w:pPr>
          </w:p>
        </w:tc>
        <w:tc>
          <w:tcPr>
            <w:tcW w:w="1596" w:type="dxa"/>
            <w:vAlign w:val="bottom"/>
          </w:tcPr>
          <w:p w14:paraId="3100E101" w14:textId="77777777" w:rsidR="00375AB2" w:rsidRPr="00DE189C" w:rsidRDefault="00375AB2" w:rsidP="00101586">
            <w:pPr>
              <w:ind w:right="28"/>
              <w:jc w:val="right"/>
              <w:rPr>
                <w:sz w:val="18"/>
                <w:szCs w:val="18"/>
              </w:rPr>
            </w:pPr>
          </w:p>
        </w:tc>
        <w:tc>
          <w:tcPr>
            <w:tcW w:w="145" w:type="dxa"/>
            <w:vAlign w:val="bottom"/>
          </w:tcPr>
          <w:p w14:paraId="09C4C29A" w14:textId="77777777" w:rsidR="00375AB2" w:rsidRPr="00DE189C" w:rsidRDefault="00375AB2" w:rsidP="00101586">
            <w:pPr>
              <w:ind w:right="57"/>
              <w:jc w:val="right"/>
              <w:rPr>
                <w:sz w:val="18"/>
                <w:szCs w:val="18"/>
              </w:rPr>
            </w:pPr>
          </w:p>
        </w:tc>
        <w:tc>
          <w:tcPr>
            <w:tcW w:w="1306" w:type="dxa"/>
            <w:vAlign w:val="bottom"/>
          </w:tcPr>
          <w:p w14:paraId="5C6A3C40" w14:textId="77777777" w:rsidR="00375AB2" w:rsidRPr="00DE189C" w:rsidRDefault="00375AB2" w:rsidP="00101586">
            <w:pPr>
              <w:ind w:right="28"/>
              <w:jc w:val="right"/>
              <w:rPr>
                <w:sz w:val="18"/>
                <w:szCs w:val="18"/>
              </w:rPr>
            </w:pPr>
          </w:p>
        </w:tc>
        <w:tc>
          <w:tcPr>
            <w:tcW w:w="145" w:type="dxa"/>
            <w:vAlign w:val="bottom"/>
          </w:tcPr>
          <w:p w14:paraId="729646D4" w14:textId="77777777" w:rsidR="00375AB2" w:rsidRPr="00DE189C" w:rsidRDefault="00375AB2" w:rsidP="00101586">
            <w:pPr>
              <w:ind w:right="57"/>
              <w:jc w:val="right"/>
              <w:rPr>
                <w:sz w:val="18"/>
                <w:szCs w:val="18"/>
              </w:rPr>
            </w:pPr>
          </w:p>
        </w:tc>
        <w:tc>
          <w:tcPr>
            <w:tcW w:w="1450" w:type="dxa"/>
            <w:vAlign w:val="bottom"/>
          </w:tcPr>
          <w:p w14:paraId="0A281C38" w14:textId="77777777" w:rsidR="00375AB2" w:rsidRPr="00DE189C" w:rsidRDefault="00375AB2" w:rsidP="00101586">
            <w:pPr>
              <w:ind w:right="28"/>
              <w:jc w:val="right"/>
              <w:rPr>
                <w:sz w:val="18"/>
                <w:szCs w:val="18"/>
                <w:lang w:val="id-ID"/>
              </w:rPr>
            </w:pPr>
          </w:p>
        </w:tc>
        <w:tc>
          <w:tcPr>
            <w:tcW w:w="145" w:type="dxa"/>
            <w:vAlign w:val="bottom"/>
          </w:tcPr>
          <w:p w14:paraId="3FCF44B8" w14:textId="77777777" w:rsidR="00375AB2" w:rsidRPr="00DE189C" w:rsidRDefault="00375AB2" w:rsidP="00101586">
            <w:pPr>
              <w:ind w:right="57"/>
              <w:jc w:val="right"/>
              <w:rPr>
                <w:sz w:val="18"/>
                <w:szCs w:val="18"/>
              </w:rPr>
            </w:pPr>
          </w:p>
        </w:tc>
        <w:tc>
          <w:tcPr>
            <w:tcW w:w="1306" w:type="dxa"/>
            <w:vAlign w:val="bottom"/>
          </w:tcPr>
          <w:p w14:paraId="0D8C1F6A" w14:textId="77777777" w:rsidR="00375AB2" w:rsidRPr="00DE189C" w:rsidRDefault="00375AB2" w:rsidP="00101586">
            <w:pPr>
              <w:ind w:right="28"/>
              <w:jc w:val="right"/>
              <w:rPr>
                <w:sz w:val="18"/>
                <w:szCs w:val="18"/>
                <w:lang w:val="id-ID"/>
              </w:rPr>
            </w:pPr>
          </w:p>
        </w:tc>
        <w:tc>
          <w:tcPr>
            <w:tcW w:w="144" w:type="dxa"/>
            <w:vAlign w:val="bottom"/>
          </w:tcPr>
          <w:p w14:paraId="539DCD72" w14:textId="77777777" w:rsidR="00375AB2" w:rsidRPr="00DE189C" w:rsidRDefault="00375AB2" w:rsidP="00101586">
            <w:pPr>
              <w:ind w:right="57"/>
              <w:jc w:val="right"/>
              <w:rPr>
                <w:sz w:val="18"/>
                <w:szCs w:val="18"/>
              </w:rPr>
            </w:pPr>
          </w:p>
        </w:tc>
        <w:tc>
          <w:tcPr>
            <w:tcW w:w="1451" w:type="dxa"/>
            <w:vAlign w:val="bottom"/>
          </w:tcPr>
          <w:p w14:paraId="67DF6122" w14:textId="77777777" w:rsidR="00375AB2" w:rsidRPr="00DE189C" w:rsidRDefault="00375AB2" w:rsidP="00101586">
            <w:pPr>
              <w:ind w:right="28"/>
              <w:jc w:val="right"/>
              <w:rPr>
                <w:sz w:val="18"/>
                <w:szCs w:val="18"/>
                <w:lang w:val="id-ID"/>
              </w:rPr>
            </w:pPr>
          </w:p>
        </w:tc>
        <w:tc>
          <w:tcPr>
            <w:tcW w:w="145" w:type="dxa"/>
            <w:vAlign w:val="bottom"/>
          </w:tcPr>
          <w:p w14:paraId="7F9E4391" w14:textId="77777777" w:rsidR="00375AB2" w:rsidRPr="00DE189C" w:rsidRDefault="00375AB2" w:rsidP="00101586">
            <w:pPr>
              <w:ind w:right="57"/>
              <w:jc w:val="center"/>
              <w:rPr>
                <w:sz w:val="18"/>
                <w:szCs w:val="18"/>
              </w:rPr>
            </w:pPr>
          </w:p>
        </w:tc>
        <w:tc>
          <w:tcPr>
            <w:tcW w:w="2504" w:type="dxa"/>
            <w:vAlign w:val="bottom"/>
          </w:tcPr>
          <w:p w14:paraId="7593194B" w14:textId="77777777" w:rsidR="00375AB2" w:rsidRPr="00DE189C" w:rsidRDefault="00375AB2" w:rsidP="00101586">
            <w:pPr>
              <w:ind w:right="28"/>
              <w:jc w:val="right"/>
              <w:rPr>
                <w:i/>
                <w:sz w:val="18"/>
                <w:szCs w:val="18"/>
              </w:rPr>
            </w:pPr>
          </w:p>
        </w:tc>
      </w:tr>
      <w:tr w:rsidR="00375AB2" w:rsidRPr="00DE189C" w14:paraId="0CA672C4" w14:textId="77777777" w:rsidTr="00375AB2">
        <w:trPr>
          <w:cantSplit/>
          <w:trHeight w:val="70"/>
        </w:trPr>
        <w:tc>
          <w:tcPr>
            <w:tcW w:w="2473" w:type="dxa"/>
            <w:vAlign w:val="bottom"/>
          </w:tcPr>
          <w:p w14:paraId="1BA06687" w14:textId="5B0888DD" w:rsidR="00375AB2" w:rsidRPr="00DE189C" w:rsidRDefault="00DD337A" w:rsidP="00101586">
            <w:pPr>
              <w:ind w:left="283" w:hanging="170"/>
              <w:rPr>
                <w:sz w:val="18"/>
                <w:szCs w:val="18"/>
              </w:rPr>
            </w:pPr>
            <w:r>
              <w:rPr>
                <w:sz w:val="18"/>
                <w:szCs w:val="18"/>
              </w:rPr>
              <w:t xml:space="preserve">Penerbitan saham baru dalam rangka Penggabungan usaha </w:t>
            </w:r>
          </w:p>
        </w:tc>
        <w:tc>
          <w:tcPr>
            <w:tcW w:w="146" w:type="dxa"/>
          </w:tcPr>
          <w:p w14:paraId="738A14B8" w14:textId="77777777" w:rsidR="00375AB2" w:rsidRPr="00DE189C" w:rsidRDefault="00375AB2" w:rsidP="00101586">
            <w:pPr>
              <w:ind w:right="57"/>
              <w:jc w:val="right"/>
              <w:rPr>
                <w:b/>
                <w:sz w:val="18"/>
                <w:szCs w:val="18"/>
              </w:rPr>
            </w:pPr>
          </w:p>
        </w:tc>
        <w:tc>
          <w:tcPr>
            <w:tcW w:w="1597" w:type="dxa"/>
            <w:vAlign w:val="bottom"/>
          </w:tcPr>
          <w:p w14:paraId="1349C238" w14:textId="4E777FA1" w:rsidR="00375AB2" w:rsidRPr="00DE189C" w:rsidRDefault="004C0A20" w:rsidP="00101586">
            <w:pPr>
              <w:ind w:right="28"/>
              <w:jc w:val="right"/>
              <w:rPr>
                <w:sz w:val="18"/>
                <w:szCs w:val="18"/>
              </w:rPr>
            </w:pPr>
            <w:r>
              <w:rPr>
                <w:sz w:val="18"/>
                <w:szCs w:val="18"/>
              </w:rPr>
              <w:t>-</w:t>
            </w:r>
          </w:p>
        </w:tc>
        <w:tc>
          <w:tcPr>
            <w:tcW w:w="145" w:type="dxa"/>
            <w:vAlign w:val="bottom"/>
          </w:tcPr>
          <w:p w14:paraId="0FAC9D10" w14:textId="77777777" w:rsidR="00375AB2" w:rsidRPr="00DE189C" w:rsidRDefault="00375AB2" w:rsidP="00101586">
            <w:pPr>
              <w:ind w:right="57"/>
              <w:jc w:val="right"/>
              <w:rPr>
                <w:sz w:val="18"/>
                <w:szCs w:val="18"/>
              </w:rPr>
            </w:pPr>
          </w:p>
        </w:tc>
        <w:tc>
          <w:tcPr>
            <w:tcW w:w="1596" w:type="dxa"/>
            <w:vAlign w:val="bottom"/>
          </w:tcPr>
          <w:p w14:paraId="6C12238F" w14:textId="33104837" w:rsidR="00375AB2" w:rsidRPr="00DE189C" w:rsidRDefault="004C0A20" w:rsidP="00101586">
            <w:pPr>
              <w:ind w:right="28"/>
              <w:jc w:val="right"/>
              <w:rPr>
                <w:sz w:val="18"/>
                <w:szCs w:val="18"/>
              </w:rPr>
            </w:pPr>
            <w:r>
              <w:rPr>
                <w:sz w:val="18"/>
                <w:szCs w:val="18"/>
              </w:rPr>
              <w:t>-</w:t>
            </w:r>
          </w:p>
        </w:tc>
        <w:tc>
          <w:tcPr>
            <w:tcW w:w="145" w:type="dxa"/>
            <w:vAlign w:val="bottom"/>
          </w:tcPr>
          <w:p w14:paraId="0EEB205C" w14:textId="77777777" w:rsidR="00375AB2" w:rsidRPr="00DE189C" w:rsidRDefault="00375AB2" w:rsidP="00101586">
            <w:pPr>
              <w:ind w:right="57"/>
              <w:jc w:val="right"/>
              <w:rPr>
                <w:sz w:val="18"/>
                <w:szCs w:val="18"/>
              </w:rPr>
            </w:pPr>
          </w:p>
        </w:tc>
        <w:tc>
          <w:tcPr>
            <w:tcW w:w="1306" w:type="dxa"/>
            <w:vAlign w:val="bottom"/>
          </w:tcPr>
          <w:p w14:paraId="6D452330" w14:textId="2AB5F270" w:rsidR="00375AB2" w:rsidRPr="00DE189C" w:rsidRDefault="001853DC" w:rsidP="00101586">
            <w:pPr>
              <w:ind w:right="28"/>
              <w:jc w:val="right"/>
              <w:rPr>
                <w:sz w:val="18"/>
                <w:szCs w:val="18"/>
              </w:rPr>
            </w:pPr>
            <w:r>
              <w:rPr>
                <w:sz w:val="18"/>
                <w:szCs w:val="18"/>
              </w:rPr>
              <w:t>-</w:t>
            </w:r>
          </w:p>
        </w:tc>
        <w:tc>
          <w:tcPr>
            <w:tcW w:w="145" w:type="dxa"/>
            <w:vAlign w:val="bottom"/>
          </w:tcPr>
          <w:p w14:paraId="1063EA5E" w14:textId="77777777" w:rsidR="00375AB2" w:rsidRPr="00DE189C" w:rsidRDefault="00375AB2" w:rsidP="00101586">
            <w:pPr>
              <w:ind w:right="57"/>
              <w:jc w:val="right"/>
              <w:rPr>
                <w:sz w:val="18"/>
                <w:szCs w:val="18"/>
              </w:rPr>
            </w:pPr>
          </w:p>
        </w:tc>
        <w:tc>
          <w:tcPr>
            <w:tcW w:w="1450" w:type="dxa"/>
            <w:vAlign w:val="bottom"/>
          </w:tcPr>
          <w:p w14:paraId="6422CA6C" w14:textId="77777777" w:rsidR="00375AB2" w:rsidRPr="00DE189C" w:rsidRDefault="00375AB2" w:rsidP="00101586">
            <w:pPr>
              <w:ind w:right="28"/>
              <w:jc w:val="right"/>
              <w:rPr>
                <w:sz w:val="18"/>
                <w:szCs w:val="18"/>
              </w:rPr>
            </w:pPr>
            <w:r w:rsidRPr="00DE189C">
              <w:rPr>
                <w:sz w:val="18"/>
                <w:szCs w:val="18"/>
              </w:rPr>
              <w:t>-</w:t>
            </w:r>
          </w:p>
        </w:tc>
        <w:tc>
          <w:tcPr>
            <w:tcW w:w="145" w:type="dxa"/>
            <w:vAlign w:val="bottom"/>
          </w:tcPr>
          <w:p w14:paraId="25BC8CDE" w14:textId="77777777" w:rsidR="00375AB2" w:rsidRPr="00DE189C" w:rsidRDefault="00375AB2" w:rsidP="00101586">
            <w:pPr>
              <w:ind w:right="57"/>
              <w:jc w:val="right"/>
              <w:rPr>
                <w:sz w:val="18"/>
                <w:szCs w:val="18"/>
              </w:rPr>
            </w:pPr>
          </w:p>
        </w:tc>
        <w:tc>
          <w:tcPr>
            <w:tcW w:w="1306" w:type="dxa"/>
            <w:vAlign w:val="bottom"/>
          </w:tcPr>
          <w:p w14:paraId="4D74EF3F" w14:textId="58001189" w:rsidR="00375AB2" w:rsidRPr="00DE189C" w:rsidRDefault="001853DC" w:rsidP="00101586">
            <w:pPr>
              <w:ind w:right="28"/>
              <w:jc w:val="right"/>
              <w:rPr>
                <w:sz w:val="18"/>
                <w:szCs w:val="18"/>
              </w:rPr>
            </w:pPr>
            <w:r>
              <w:rPr>
                <w:sz w:val="18"/>
                <w:szCs w:val="18"/>
              </w:rPr>
              <w:t>-</w:t>
            </w:r>
          </w:p>
        </w:tc>
        <w:tc>
          <w:tcPr>
            <w:tcW w:w="144" w:type="dxa"/>
            <w:vAlign w:val="bottom"/>
          </w:tcPr>
          <w:p w14:paraId="1A0B327C" w14:textId="77777777" w:rsidR="00375AB2" w:rsidRPr="00DE189C" w:rsidRDefault="00375AB2" w:rsidP="00101586">
            <w:pPr>
              <w:ind w:right="57"/>
              <w:jc w:val="right"/>
              <w:rPr>
                <w:sz w:val="18"/>
                <w:szCs w:val="18"/>
              </w:rPr>
            </w:pPr>
          </w:p>
        </w:tc>
        <w:tc>
          <w:tcPr>
            <w:tcW w:w="1451" w:type="dxa"/>
            <w:vAlign w:val="bottom"/>
          </w:tcPr>
          <w:p w14:paraId="3A9C766B" w14:textId="31ACB5EB" w:rsidR="00375AB2" w:rsidRPr="00DE189C" w:rsidRDefault="004C0A20" w:rsidP="00101586">
            <w:pPr>
              <w:ind w:right="28"/>
              <w:jc w:val="right"/>
              <w:rPr>
                <w:sz w:val="18"/>
                <w:szCs w:val="18"/>
              </w:rPr>
            </w:pPr>
            <w:r>
              <w:rPr>
                <w:sz w:val="18"/>
                <w:szCs w:val="18"/>
              </w:rPr>
              <w:t>-</w:t>
            </w:r>
          </w:p>
        </w:tc>
        <w:tc>
          <w:tcPr>
            <w:tcW w:w="145" w:type="dxa"/>
            <w:vAlign w:val="bottom"/>
          </w:tcPr>
          <w:p w14:paraId="1F77C9A1" w14:textId="77777777" w:rsidR="00375AB2" w:rsidRPr="00DE189C" w:rsidRDefault="00375AB2" w:rsidP="00101586">
            <w:pPr>
              <w:ind w:right="57"/>
              <w:jc w:val="right"/>
              <w:rPr>
                <w:sz w:val="18"/>
                <w:szCs w:val="18"/>
              </w:rPr>
            </w:pPr>
          </w:p>
        </w:tc>
        <w:tc>
          <w:tcPr>
            <w:tcW w:w="2504" w:type="dxa"/>
            <w:vAlign w:val="bottom"/>
          </w:tcPr>
          <w:p w14:paraId="517EE866" w14:textId="77777777" w:rsidR="00375AB2" w:rsidRPr="00DE189C" w:rsidRDefault="00375AB2" w:rsidP="00101586">
            <w:pPr>
              <w:ind w:right="28"/>
              <w:jc w:val="right"/>
              <w:rPr>
                <w:i/>
                <w:sz w:val="18"/>
                <w:szCs w:val="18"/>
              </w:rPr>
            </w:pPr>
            <w:r w:rsidRPr="00DE189C">
              <w:rPr>
                <w:i/>
                <w:sz w:val="18"/>
                <w:szCs w:val="18"/>
              </w:rPr>
              <w:t>Impact from merger</w:t>
            </w:r>
          </w:p>
        </w:tc>
      </w:tr>
      <w:tr w:rsidR="00375AB2" w:rsidRPr="00DE189C" w14:paraId="7CAFFC87" w14:textId="77777777" w:rsidTr="00375AB2">
        <w:trPr>
          <w:cantSplit/>
          <w:trHeight w:val="70"/>
        </w:trPr>
        <w:tc>
          <w:tcPr>
            <w:tcW w:w="2473" w:type="dxa"/>
          </w:tcPr>
          <w:p w14:paraId="688D7748" w14:textId="77777777" w:rsidR="00375AB2" w:rsidRPr="00DE189C" w:rsidRDefault="00375AB2" w:rsidP="00101586">
            <w:pPr>
              <w:ind w:left="283" w:hanging="170"/>
              <w:rPr>
                <w:sz w:val="18"/>
                <w:szCs w:val="18"/>
              </w:rPr>
            </w:pPr>
          </w:p>
        </w:tc>
        <w:tc>
          <w:tcPr>
            <w:tcW w:w="146" w:type="dxa"/>
          </w:tcPr>
          <w:p w14:paraId="1625FA32" w14:textId="77777777" w:rsidR="00375AB2" w:rsidRPr="00DE189C" w:rsidRDefault="00375AB2" w:rsidP="00101586">
            <w:pPr>
              <w:ind w:right="57"/>
              <w:jc w:val="right"/>
              <w:rPr>
                <w:sz w:val="18"/>
                <w:szCs w:val="18"/>
              </w:rPr>
            </w:pPr>
          </w:p>
        </w:tc>
        <w:tc>
          <w:tcPr>
            <w:tcW w:w="1597" w:type="dxa"/>
            <w:vAlign w:val="bottom"/>
          </w:tcPr>
          <w:p w14:paraId="49FC1F5D" w14:textId="77777777" w:rsidR="00375AB2" w:rsidRPr="00DE189C" w:rsidRDefault="00375AB2" w:rsidP="00101586">
            <w:pPr>
              <w:ind w:right="28"/>
              <w:jc w:val="right"/>
              <w:rPr>
                <w:sz w:val="18"/>
                <w:szCs w:val="18"/>
              </w:rPr>
            </w:pPr>
          </w:p>
        </w:tc>
        <w:tc>
          <w:tcPr>
            <w:tcW w:w="145" w:type="dxa"/>
            <w:vAlign w:val="bottom"/>
          </w:tcPr>
          <w:p w14:paraId="684C0C66" w14:textId="77777777" w:rsidR="00375AB2" w:rsidRPr="00DE189C" w:rsidRDefault="00375AB2" w:rsidP="00101586">
            <w:pPr>
              <w:ind w:right="57"/>
              <w:jc w:val="right"/>
              <w:rPr>
                <w:sz w:val="18"/>
                <w:szCs w:val="18"/>
              </w:rPr>
            </w:pPr>
          </w:p>
        </w:tc>
        <w:tc>
          <w:tcPr>
            <w:tcW w:w="1596" w:type="dxa"/>
            <w:vAlign w:val="bottom"/>
          </w:tcPr>
          <w:p w14:paraId="4884882F" w14:textId="77777777" w:rsidR="00375AB2" w:rsidRPr="00DE189C" w:rsidRDefault="00375AB2" w:rsidP="00101586">
            <w:pPr>
              <w:ind w:right="28"/>
              <w:jc w:val="right"/>
              <w:rPr>
                <w:sz w:val="18"/>
                <w:szCs w:val="18"/>
              </w:rPr>
            </w:pPr>
          </w:p>
        </w:tc>
        <w:tc>
          <w:tcPr>
            <w:tcW w:w="145" w:type="dxa"/>
            <w:vAlign w:val="bottom"/>
          </w:tcPr>
          <w:p w14:paraId="1F6958D4" w14:textId="77777777" w:rsidR="00375AB2" w:rsidRPr="00DE189C" w:rsidRDefault="00375AB2" w:rsidP="00101586">
            <w:pPr>
              <w:ind w:right="57"/>
              <w:jc w:val="right"/>
              <w:rPr>
                <w:sz w:val="18"/>
                <w:szCs w:val="18"/>
              </w:rPr>
            </w:pPr>
          </w:p>
        </w:tc>
        <w:tc>
          <w:tcPr>
            <w:tcW w:w="1306" w:type="dxa"/>
            <w:vAlign w:val="bottom"/>
          </w:tcPr>
          <w:p w14:paraId="27818A1E" w14:textId="77777777" w:rsidR="00375AB2" w:rsidRPr="00DE189C" w:rsidRDefault="00375AB2" w:rsidP="00101586">
            <w:pPr>
              <w:ind w:right="28"/>
              <w:jc w:val="right"/>
              <w:rPr>
                <w:sz w:val="18"/>
                <w:szCs w:val="18"/>
              </w:rPr>
            </w:pPr>
          </w:p>
        </w:tc>
        <w:tc>
          <w:tcPr>
            <w:tcW w:w="145" w:type="dxa"/>
            <w:vAlign w:val="bottom"/>
          </w:tcPr>
          <w:p w14:paraId="2F9C7738" w14:textId="77777777" w:rsidR="00375AB2" w:rsidRPr="00DE189C" w:rsidRDefault="00375AB2" w:rsidP="00101586">
            <w:pPr>
              <w:ind w:right="57"/>
              <w:jc w:val="right"/>
              <w:rPr>
                <w:sz w:val="18"/>
                <w:szCs w:val="18"/>
              </w:rPr>
            </w:pPr>
          </w:p>
        </w:tc>
        <w:tc>
          <w:tcPr>
            <w:tcW w:w="1450" w:type="dxa"/>
            <w:vAlign w:val="bottom"/>
          </w:tcPr>
          <w:p w14:paraId="20965C6A" w14:textId="77777777" w:rsidR="00375AB2" w:rsidRPr="00DE189C" w:rsidRDefault="00375AB2" w:rsidP="00101586">
            <w:pPr>
              <w:ind w:right="28"/>
              <w:jc w:val="right"/>
              <w:rPr>
                <w:sz w:val="18"/>
                <w:szCs w:val="18"/>
              </w:rPr>
            </w:pPr>
          </w:p>
        </w:tc>
        <w:tc>
          <w:tcPr>
            <w:tcW w:w="145" w:type="dxa"/>
            <w:vAlign w:val="bottom"/>
          </w:tcPr>
          <w:p w14:paraId="43640368" w14:textId="77777777" w:rsidR="00375AB2" w:rsidRPr="00DE189C" w:rsidRDefault="00375AB2" w:rsidP="00101586">
            <w:pPr>
              <w:ind w:right="57"/>
              <w:jc w:val="right"/>
              <w:rPr>
                <w:sz w:val="18"/>
                <w:szCs w:val="18"/>
              </w:rPr>
            </w:pPr>
          </w:p>
        </w:tc>
        <w:tc>
          <w:tcPr>
            <w:tcW w:w="1306" w:type="dxa"/>
            <w:vAlign w:val="bottom"/>
          </w:tcPr>
          <w:p w14:paraId="6EE38FC2" w14:textId="77777777" w:rsidR="00375AB2" w:rsidRPr="00DE189C" w:rsidRDefault="00375AB2" w:rsidP="00101586">
            <w:pPr>
              <w:ind w:right="28"/>
              <w:jc w:val="right"/>
              <w:rPr>
                <w:sz w:val="18"/>
                <w:szCs w:val="18"/>
              </w:rPr>
            </w:pPr>
          </w:p>
        </w:tc>
        <w:tc>
          <w:tcPr>
            <w:tcW w:w="144" w:type="dxa"/>
            <w:vAlign w:val="bottom"/>
          </w:tcPr>
          <w:p w14:paraId="2B0F03A8" w14:textId="77777777" w:rsidR="00375AB2" w:rsidRPr="00DE189C" w:rsidRDefault="00375AB2" w:rsidP="00101586">
            <w:pPr>
              <w:ind w:right="57"/>
              <w:jc w:val="right"/>
              <w:rPr>
                <w:sz w:val="18"/>
                <w:szCs w:val="18"/>
              </w:rPr>
            </w:pPr>
          </w:p>
        </w:tc>
        <w:tc>
          <w:tcPr>
            <w:tcW w:w="1451" w:type="dxa"/>
            <w:vAlign w:val="bottom"/>
          </w:tcPr>
          <w:p w14:paraId="7A0C195F" w14:textId="77777777" w:rsidR="00375AB2" w:rsidRPr="00DE189C" w:rsidRDefault="00375AB2" w:rsidP="00101586">
            <w:pPr>
              <w:ind w:right="28"/>
              <w:jc w:val="right"/>
              <w:rPr>
                <w:sz w:val="18"/>
                <w:szCs w:val="18"/>
              </w:rPr>
            </w:pPr>
          </w:p>
        </w:tc>
        <w:tc>
          <w:tcPr>
            <w:tcW w:w="145" w:type="dxa"/>
            <w:vAlign w:val="bottom"/>
          </w:tcPr>
          <w:p w14:paraId="3D364D72" w14:textId="77777777" w:rsidR="00375AB2" w:rsidRPr="00DE189C" w:rsidRDefault="00375AB2" w:rsidP="00101586">
            <w:pPr>
              <w:ind w:right="57"/>
              <w:jc w:val="right"/>
              <w:rPr>
                <w:sz w:val="18"/>
                <w:szCs w:val="18"/>
              </w:rPr>
            </w:pPr>
          </w:p>
        </w:tc>
        <w:tc>
          <w:tcPr>
            <w:tcW w:w="2504" w:type="dxa"/>
            <w:vAlign w:val="bottom"/>
          </w:tcPr>
          <w:p w14:paraId="6745D2AC" w14:textId="77777777" w:rsidR="00375AB2" w:rsidRPr="00DE189C" w:rsidRDefault="00375AB2" w:rsidP="00101586">
            <w:pPr>
              <w:ind w:right="28"/>
              <w:jc w:val="right"/>
              <w:rPr>
                <w:i/>
                <w:sz w:val="18"/>
                <w:szCs w:val="18"/>
              </w:rPr>
            </w:pPr>
          </w:p>
        </w:tc>
      </w:tr>
      <w:tr w:rsidR="00375AB2" w:rsidRPr="00DE189C" w14:paraId="2E89A073" w14:textId="77777777" w:rsidTr="00375AB2">
        <w:trPr>
          <w:cantSplit/>
          <w:trHeight w:val="70"/>
        </w:trPr>
        <w:tc>
          <w:tcPr>
            <w:tcW w:w="2473" w:type="dxa"/>
          </w:tcPr>
          <w:p w14:paraId="0677C467" w14:textId="77777777" w:rsidR="00375AB2" w:rsidRPr="00DE189C" w:rsidRDefault="00375AB2" w:rsidP="00101586">
            <w:pPr>
              <w:ind w:left="283" w:hanging="170"/>
              <w:rPr>
                <w:sz w:val="18"/>
                <w:szCs w:val="18"/>
              </w:rPr>
            </w:pPr>
            <w:r w:rsidRPr="00DE189C">
              <w:rPr>
                <w:sz w:val="18"/>
                <w:szCs w:val="18"/>
              </w:rPr>
              <w:t>Total rugi komprehensif</w:t>
            </w:r>
            <w:r>
              <w:rPr>
                <w:sz w:val="18"/>
                <w:szCs w:val="18"/>
              </w:rPr>
              <w:t xml:space="preserve"> </w:t>
            </w:r>
          </w:p>
        </w:tc>
        <w:tc>
          <w:tcPr>
            <w:tcW w:w="146" w:type="dxa"/>
          </w:tcPr>
          <w:p w14:paraId="3BB6528C" w14:textId="77777777" w:rsidR="00375AB2" w:rsidRPr="00DE189C" w:rsidRDefault="00375AB2" w:rsidP="00101586">
            <w:pPr>
              <w:ind w:right="57"/>
              <w:jc w:val="right"/>
              <w:rPr>
                <w:sz w:val="18"/>
                <w:szCs w:val="18"/>
              </w:rPr>
            </w:pPr>
          </w:p>
        </w:tc>
        <w:tc>
          <w:tcPr>
            <w:tcW w:w="1597" w:type="dxa"/>
            <w:vAlign w:val="bottom"/>
          </w:tcPr>
          <w:p w14:paraId="5C89A85D" w14:textId="32C53645" w:rsidR="00375AB2" w:rsidRPr="00DE189C" w:rsidRDefault="001853DC" w:rsidP="00101586">
            <w:pPr>
              <w:ind w:right="28"/>
              <w:jc w:val="right"/>
              <w:rPr>
                <w:sz w:val="18"/>
                <w:szCs w:val="18"/>
              </w:rPr>
            </w:pPr>
            <w:r>
              <w:rPr>
                <w:sz w:val="18"/>
                <w:szCs w:val="18"/>
              </w:rPr>
              <w:t>-</w:t>
            </w:r>
          </w:p>
        </w:tc>
        <w:tc>
          <w:tcPr>
            <w:tcW w:w="145" w:type="dxa"/>
            <w:vAlign w:val="bottom"/>
          </w:tcPr>
          <w:p w14:paraId="280CDA05" w14:textId="77777777" w:rsidR="00375AB2" w:rsidRPr="00DE189C" w:rsidRDefault="00375AB2" w:rsidP="00101586">
            <w:pPr>
              <w:ind w:right="57"/>
              <w:jc w:val="right"/>
              <w:rPr>
                <w:sz w:val="18"/>
                <w:szCs w:val="18"/>
              </w:rPr>
            </w:pPr>
          </w:p>
        </w:tc>
        <w:tc>
          <w:tcPr>
            <w:tcW w:w="1596" w:type="dxa"/>
            <w:vAlign w:val="bottom"/>
          </w:tcPr>
          <w:p w14:paraId="1014AA51" w14:textId="2D863937" w:rsidR="00375AB2" w:rsidRPr="00DE189C" w:rsidRDefault="001853DC" w:rsidP="00101586">
            <w:pPr>
              <w:ind w:right="28"/>
              <w:jc w:val="right"/>
              <w:rPr>
                <w:sz w:val="18"/>
                <w:szCs w:val="18"/>
              </w:rPr>
            </w:pPr>
            <w:r>
              <w:rPr>
                <w:sz w:val="18"/>
                <w:szCs w:val="18"/>
              </w:rPr>
              <w:t>-</w:t>
            </w:r>
          </w:p>
        </w:tc>
        <w:tc>
          <w:tcPr>
            <w:tcW w:w="145" w:type="dxa"/>
            <w:vAlign w:val="bottom"/>
          </w:tcPr>
          <w:p w14:paraId="03D69742" w14:textId="77777777" w:rsidR="00375AB2" w:rsidRPr="00DE189C" w:rsidRDefault="00375AB2" w:rsidP="00101586">
            <w:pPr>
              <w:ind w:right="57"/>
              <w:jc w:val="right"/>
              <w:rPr>
                <w:sz w:val="18"/>
                <w:szCs w:val="18"/>
              </w:rPr>
            </w:pPr>
          </w:p>
        </w:tc>
        <w:tc>
          <w:tcPr>
            <w:tcW w:w="1306" w:type="dxa"/>
            <w:shd w:val="clear" w:color="auto" w:fill="auto"/>
            <w:vAlign w:val="bottom"/>
          </w:tcPr>
          <w:p w14:paraId="5A756A6F" w14:textId="47E203A0" w:rsidR="00375AB2" w:rsidRPr="00DE189C" w:rsidRDefault="00DD337A" w:rsidP="00101586">
            <w:pPr>
              <w:ind w:right="28"/>
              <w:jc w:val="right"/>
              <w:rPr>
                <w:sz w:val="18"/>
                <w:szCs w:val="18"/>
              </w:rPr>
            </w:pPr>
            <w:r w:rsidRPr="00DD337A">
              <w:rPr>
                <w:sz w:val="18"/>
                <w:szCs w:val="18"/>
              </w:rPr>
              <w:t>538</w:t>
            </w:r>
            <w:r w:rsidR="005970E6">
              <w:rPr>
                <w:sz w:val="18"/>
                <w:szCs w:val="18"/>
              </w:rPr>
              <w:t>.</w:t>
            </w:r>
            <w:r w:rsidRPr="00DD337A">
              <w:rPr>
                <w:sz w:val="18"/>
                <w:szCs w:val="18"/>
              </w:rPr>
              <w:t>100</w:t>
            </w:r>
            <w:r w:rsidR="005970E6">
              <w:rPr>
                <w:sz w:val="18"/>
                <w:szCs w:val="18"/>
              </w:rPr>
              <w:t>.</w:t>
            </w:r>
            <w:r w:rsidRPr="00DD337A">
              <w:rPr>
                <w:sz w:val="18"/>
                <w:szCs w:val="18"/>
              </w:rPr>
              <w:t>480</w:t>
            </w:r>
          </w:p>
        </w:tc>
        <w:tc>
          <w:tcPr>
            <w:tcW w:w="145" w:type="dxa"/>
            <w:vAlign w:val="bottom"/>
          </w:tcPr>
          <w:p w14:paraId="65810BA6" w14:textId="77777777" w:rsidR="00375AB2" w:rsidRPr="00DE189C" w:rsidRDefault="00375AB2" w:rsidP="00101586">
            <w:pPr>
              <w:ind w:right="57"/>
              <w:jc w:val="right"/>
              <w:rPr>
                <w:sz w:val="18"/>
                <w:szCs w:val="18"/>
              </w:rPr>
            </w:pPr>
          </w:p>
        </w:tc>
        <w:tc>
          <w:tcPr>
            <w:tcW w:w="1450" w:type="dxa"/>
            <w:vAlign w:val="bottom"/>
          </w:tcPr>
          <w:p w14:paraId="22A8CBA7" w14:textId="77777777" w:rsidR="00375AB2" w:rsidRPr="00DE189C" w:rsidRDefault="00375AB2" w:rsidP="00101586">
            <w:pPr>
              <w:ind w:right="28"/>
              <w:jc w:val="right"/>
              <w:rPr>
                <w:sz w:val="18"/>
                <w:szCs w:val="18"/>
              </w:rPr>
            </w:pPr>
            <w:r w:rsidRPr="00DE189C">
              <w:rPr>
                <w:sz w:val="18"/>
                <w:szCs w:val="18"/>
              </w:rPr>
              <w:t>-</w:t>
            </w:r>
          </w:p>
        </w:tc>
        <w:tc>
          <w:tcPr>
            <w:tcW w:w="145" w:type="dxa"/>
            <w:vAlign w:val="bottom"/>
          </w:tcPr>
          <w:p w14:paraId="4099922C" w14:textId="77777777" w:rsidR="00375AB2" w:rsidRPr="00DE189C" w:rsidRDefault="00375AB2" w:rsidP="00101586">
            <w:pPr>
              <w:ind w:right="57"/>
              <w:jc w:val="right"/>
              <w:rPr>
                <w:sz w:val="18"/>
                <w:szCs w:val="18"/>
              </w:rPr>
            </w:pPr>
          </w:p>
        </w:tc>
        <w:tc>
          <w:tcPr>
            <w:tcW w:w="1306" w:type="dxa"/>
            <w:vAlign w:val="bottom"/>
          </w:tcPr>
          <w:p w14:paraId="5E8966EB" w14:textId="6E5EC78A" w:rsidR="00375AB2" w:rsidRPr="00DE189C" w:rsidRDefault="001A6B9B" w:rsidP="00101586">
            <w:pPr>
              <w:ind w:right="28"/>
              <w:jc w:val="right"/>
              <w:rPr>
                <w:sz w:val="18"/>
                <w:szCs w:val="18"/>
              </w:rPr>
            </w:pPr>
            <w:r w:rsidRPr="001A6B9B">
              <w:rPr>
                <w:sz w:val="18"/>
                <w:szCs w:val="18"/>
              </w:rPr>
              <w:t>6</w:t>
            </w:r>
            <w:r w:rsidR="005970E6">
              <w:rPr>
                <w:sz w:val="18"/>
                <w:szCs w:val="18"/>
              </w:rPr>
              <w:t>.</w:t>
            </w:r>
            <w:r w:rsidRPr="001A6B9B">
              <w:rPr>
                <w:sz w:val="18"/>
                <w:szCs w:val="18"/>
              </w:rPr>
              <w:t>447</w:t>
            </w:r>
            <w:r w:rsidR="005970E6">
              <w:rPr>
                <w:sz w:val="18"/>
                <w:szCs w:val="18"/>
              </w:rPr>
              <w:t>.</w:t>
            </w:r>
            <w:r w:rsidRPr="001A6B9B">
              <w:rPr>
                <w:sz w:val="18"/>
                <w:szCs w:val="18"/>
              </w:rPr>
              <w:t>644</w:t>
            </w:r>
            <w:r w:rsidR="005970E6">
              <w:rPr>
                <w:sz w:val="18"/>
                <w:szCs w:val="18"/>
              </w:rPr>
              <w:t>.</w:t>
            </w:r>
            <w:r w:rsidRPr="001A6B9B">
              <w:rPr>
                <w:sz w:val="18"/>
                <w:szCs w:val="18"/>
              </w:rPr>
              <w:t>784</w:t>
            </w:r>
          </w:p>
        </w:tc>
        <w:tc>
          <w:tcPr>
            <w:tcW w:w="144" w:type="dxa"/>
            <w:vAlign w:val="bottom"/>
          </w:tcPr>
          <w:p w14:paraId="583E2368" w14:textId="77777777" w:rsidR="00375AB2" w:rsidRPr="00DE189C" w:rsidRDefault="00375AB2" w:rsidP="00101586">
            <w:pPr>
              <w:ind w:right="57"/>
              <w:jc w:val="right"/>
              <w:rPr>
                <w:sz w:val="18"/>
                <w:szCs w:val="18"/>
              </w:rPr>
            </w:pPr>
          </w:p>
        </w:tc>
        <w:tc>
          <w:tcPr>
            <w:tcW w:w="1451" w:type="dxa"/>
            <w:vAlign w:val="bottom"/>
          </w:tcPr>
          <w:p w14:paraId="62E1250C" w14:textId="28C85042" w:rsidR="00375AB2" w:rsidRPr="004C0A20" w:rsidRDefault="001A6B9B" w:rsidP="004C0A20">
            <w:pPr>
              <w:ind w:right="28"/>
              <w:jc w:val="right"/>
              <w:rPr>
                <w:sz w:val="18"/>
                <w:szCs w:val="18"/>
              </w:rPr>
            </w:pPr>
            <w:r w:rsidRPr="001A6B9B">
              <w:rPr>
                <w:sz w:val="18"/>
                <w:szCs w:val="18"/>
                <w:lang w:val="id-ID"/>
              </w:rPr>
              <w:t>6</w:t>
            </w:r>
            <w:r w:rsidR="002C6EE3">
              <w:rPr>
                <w:sz w:val="18"/>
                <w:szCs w:val="18"/>
                <w:lang w:val="id-ID"/>
              </w:rPr>
              <w:t>.</w:t>
            </w:r>
            <w:r w:rsidRPr="001A6B9B">
              <w:rPr>
                <w:sz w:val="18"/>
                <w:szCs w:val="18"/>
                <w:lang w:val="id-ID"/>
              </w:rPr>
              <w:t>985</w:t>
            </w:r>
            <w:r w:rsidR="002C6EE3">
              <w:rPr>
                <w:sz w:val="18"/>
                <w:szCs w:val="18"/>
                <w:lang w:val="id-ID"/>
              </w:rPr>
              <w:t>.</w:t>
            </w:r>
            <w:r w:rsidRPr="001A6B9B">
              <w:rPr>
                <w:sz w:val="18"/>
                <w:szCs w:val="18"/>
                <w:lang w:val="id-ID"/>
              </w:rPr>
              <w:t>745</w:t>
            </w:r>
            <w:r w:rsidR="002C6EE3">
              <w:rPr>
                <w:sz w:val="18"/>
                <w:szCs w:val="18"/>
                <w:lang w:val="id-ID"/>
              </w:rPr>
              <w:t>.</w:t>
            </w:r>
            <w:r w:rsidRPr="001A6B9B">
              <w:rPr>
                <w:sz w:val="18"/>
                <w:szCs w:val="18"/>
                <w:lang w:val="id-ID"/>
              </w:rPr>
              <w:t>26</w:t>
            </w:r>
            <w:r w:rsidR="004C0A20">
              <w:rPr>
                <w:sz w:val="18"/>
                <w:szCs w:val="18"/>
              </w:rPr>
              <w:t>2</w:t>
            </w:r>
          </w:p>
        </w:tc>
        <w:tc>
          <w:tcPr>
            <w:tcW w:w="145" w:type="dxa"/>
            <w:vAlign w:val="bottom"/>
          </w:tcPr>
          <w:p w14:paraId="72571626" w14:textId="77777777" w:rsidR="00375AB2" w:rsidRPr="00DE189C" w:rsidRDefault="00375AB2" w:rsidP="00101586">
            <w:pPr>
              <w:ind w:right="57"/>
              <w:jc w:val="center"/>
              <w:rPr>
                <w:sz w:val="18"/>
                <w:szCs w:val="18"/>
              </w:rPr>
            </w:pPr>
          </w:p>
        </w:tc>
        <w:tc>
          <w:tcPr>
            <w:tcW w:w="2504" w:type="dxa"/>
            <w:shd w:val="clear" w:color="auto" w:fill="auto"/>
            <w:vAlign w:val="bottom"/>
          </w:tcPr>
          <w:p w14:paraId="11F99303" w14:textId="77777777" w:rsidR="00375AB2" w:rsidRPr="00DE189C" w:rsidRDefault="00375AB2" w:rsidP="00101586">
            <w:pPr>
              <w:ind w:right="28"/>
              <w:jc w:val="right"/>
              <w:rPr>
                <w:i/>
                <w:sz w:val="18"/>
                <w:szCs w:val="18"/>
              </w:rPr>
            </w:pPr>
            <w:r w:rsidRPr="00DE189C">
              <w:rPr>
                <w:i/>
                <w:sz w:val="18"/>
                <w:szCs w:val="18"/>
              </w:rPr>
              <w:t>Total comprehensive loss</w:t>
            </w:r>
          </w:p>
        </w:tc>
      </w:tr>
      <w:tr w:rsidR="00375AB2" w:rsidRPr="00DE189C" w14:paraId="517E823D" w14:textId="77777777" w:rsidTr="00375AB2">
        <w:trPr>
          <w:cantSplit/>
          <w:trHeight w:val="70"/>
        </w:trPr>
        <w:tc>
          <w:tcPr>
            <w:tcW w:w="2473" w:type="dxa"/>
          </w:tcPr>
          <w:p w14:paraId="70DD24C1" w14:textId="77777777" w:rsidR="00375AB2" w:rsidRPr="00DE189C" w:rsidRDefault="00375AB2" w:rsidP="00101586">
            <w:pPr>
              <w:ind w:left="283" w:hanging="170"/>
              <w:rPr>
                <w:sz w:val="18"/>
                <w:szCs w:val="18"/>
              </w:rPr>
            </w:pPr>
          </w:p>
        </w:tc>
        <w:tc>
          <w:tcPr>
            <w:tcW w:w="146" w:type="dxa"/>
          </w:tcPr>
          <w:p w14:paraId="6ED7FD2B" w14:textId="77777777" w:rsidR="00375AB2" w:rsidRPr="00DE189C" w:rsidRDefault="00375AB2" w:rsidP="00101586">
            <w:pPr>
              <w:ind w:right="57"/>
              <w:jc w:val="right"/>
              <w:rPr>
                <w:sz w:val="18"/>
                <w:szCs w:val="18"/>
              </w:rPr>
            </w:pPr>
          </w:p>
        </w:tc>
        <w:tc>
          <w:tcPr>
            <w:tcW w:w="1597" w:type="dxa"/>
            <w:tcBorders>
              <w:top w:val="single" w:sz="4" w:space="0" w:color="auto"/>
            </w:tcBorders>
            <w:vAlign w:val="bottom"/>
          </w:tcPr>
          <w:p w14:paraId="6F183A9A" w14:textId="77777777" w:rsidR="00375AB2" w:rsidRPr="00DE189C" w:rsidRDefault="00375AB2" w:rsidP="00101586">
            <w:pPr>
              <w:ind w:right="28"/>
              <w:jc w:val="right"/>
              <w:rPr>
                <w:sz w:val="18"/>
                <w:szCs w:val="18"/>
              </w:rPr>
            </w:pPr>
          </w:p>
        </w:tc>
        <w:tc>
          <w:tcPr>
            <w:tcW w:w="145" w:type="dxa"/>
            <w:vAlign w:val="bottom"/>
          </w:tcPr>
          <w:p w14:paraId="0F8D1A03" w14:textId="77777777" w:rsidR="00375AB2" w:rsidRPr="00DE189C" w:rsidRDefault="00375AB2" w:rsidP="00101586">
            <w:pPr>
              <w:ind w:right="57"/>
              <w:jc w:val="right"/>
              <w:rPr>
                <w:sz w:val="18"/>
                <w:szCs w:val="18"/>
              </w:rPr>
            </w:pPr>
          </w:p>
        </w:tc>
        <w:tc>
          <w:tcPr>
            <w:tcW w:w="1596" w:type="dxa"/>
            <w:tcBorders>
              <w:top w:val="single" w:sz="4" w:space="0" w:color="auto"/>
            </w:tcBorders>
            <w:vAlign w:val="bottom"/>
          </w:tcPr>
          <w:p w14:paraId="332BA681" w14:textId="77777777" w:rsidR="00375AB2" w:rsidRPr="00DE189C" w:rsidRDefault="00375AB2" w:rsidP="00101586">
            <w:pPr>
              <w:ind w:right="28"/>
              <w:jc w:val="right"/>
              <w:rPr>
                <w:sz w:val="18"/>
                <w:szCs w:val="18"/>
              </w:rPr>
            </w:pPr>
          </w:p>
        </w:tc>
        <w:tc>
          <w:tcPr>
            <w:tcW w:w="145" w:type="dxa"/>
            <w:vAlign w:val="bottom"/>
          </w:tcPr>
          <w:p w14:paraId="2C9F6C4B" w14:textId="77777777" w:rsidR="00375AB2" w:rsidRPr="00DE189C" w:rsidRDefault="00375AB2" w:rsidP="00101586">
            <w:pPr>
              <w:ind w:right="57"/>
              <w:jc w:val="right"/>
              <w:rPr>
                <w:sz w:val="18"/>
                <w:szCs w:val="18"/>
              </w:rPr>
            </w:pPr>
          </w:p>
        </w:tc>
        <w:tc>
          <w:tcPr>
            <w:tcW w:w="1306" w:type="dxa"/>
            <w:tcBorders>
              <w:top w:val="single" w:sz="4" w:space="0" w:color="auto"/>
            </w:tcBorders>
            <w:vAlign w:val="bottom"/>
          </w:tcPr>
          <w:p w14:paraId="7B0A5362" w14:textId="77777777" w:rsidR="00375AB2" w:rsidRPr="00DE189C" w:rsidRDefault="00375AB2" w:rsidP="00101586">
            <w:pPr>
              <w:ind w:right="28"/>
              <w:jc w:val="right"/>
              <w:rPr>
                <w:sz w:val="18"/>
                <w:szCs w:val="18"/>
              </w:rPr>
            </w:pPr>
          </w:p>
        </w:tc>
        <w:tc>
          <w:tcPr>
            <w:tcW w:w="145" w:type="dxa"/>
            <w:vAlign w:val="bottom"/>
          </w:tcPr>
          <w:p w14:paraId="562DC425" w14:textId="77777777" w:rsidR="00375AB2" w:rsidRPr="00DE189C" w:rsidRDefault="00375AB2" w:rsidP="00101586">
            <w:pPr>
              <w:ind w:right="57"/>
              <w:jc w:val="right"/>
              <w:rPr>
                <w:sz w:val="18"/>
                <w:szCs w:val="18"/>
              </w:rPr>
            </w:pPr>
          </w:p>
        </w:tc>
        <w:tc>
          <w:tcPr>
            <w:tcW w:w="1450" w:type="dxa"/>
            <w:tcBorders>
              <w:top w:val="single" w:sz="4" w:space="0" w:color="auto"/>
            </w:tcBorders>
            <w:vAlign w:val="bottom"/>
          </w:tcPr>
          <w:p w14:paraId="34CAAEDC" w14:textId="77777777" w:rsidR="00375AB2" w:rsidRPr="00DE189C" w:rsidRDefault="00375AB2" w:rsidP="00101586">
            <w:pPr>
              <w:ind w:right="28"/>
              <w:jc w:val="right"/>
              <w:rPr>
                <w:sz w:val="18"/>
                <w:szCs w:val="18"/>
              </w:rPr>
            </w:pPr>
          </w:p>
        </w:tc>
        <w:tc>
          <w:tcPr>
            <w:tcW w:w="145" w:type="dxa"/>
            <w:vAlign w:val="bottom"/>
          </w:tcPr>
          <w:p w14:paraId="5EA30B95" w14:textId="77777777" w:rsidR="00375AB2" w:rsidRPr="00DE189C" w:rsidRDefault="00375AB2" w:rsidP="00101586">
            <w:pPr>
              <w:ind w:right="57"/>
              <w:jc w:val="right"/>
              <w:rPr>
                <w:sz w:val="18"/>
                <w:szCs w:val="18"/>
              </w:rPr>
            </w:pPr>
          </w:p>
        </w:tc>
        <w:tc>
          <w:tcPr>
            <w:tcW w:w="1306" w:type="dxa"/>
            <w:tcBorders>
              <w:top w:val="single" w:sz="4" w:space="0" w:color="auto"/>
            </w:tcBorders>
            <w:vAlign w:val="bottom"/>
          </w:tcPr>
          <w:p w14:paraId="30002EEB" w14:textId="77777777" w:rsidR="00375AB2" w:rsidRPr="00DE189C" w:rsidRDefault="00375AB2" w:rsidP="00101586">
            <w:pPr>
              <w:ind w:right="28"/>
              <w:jc w:val="right"/>
              <w:rPr>
                <w:sz w:val="18"/>
                <w:szCs w:val="18"/>
              </w:rPr>
            </w:pPr>
          </w:p>
        </w:tc>
        <w:tc>
          <w:tcPr>
            <w:tcW w:w="144" w:type="dxa"/>
            <w:vAlign w:val="bottom"/>
          </w:tcPr>
          <w:p w14:paraId="1214B468" w14:textId="77777777" w:rsidR="00375AB2" w:rsidRPr="00DE189C" w:rsidRDefault="00375AB2" w:rsidP="00101586">
            <w:pPr>
              <w:ind w:right="57"/>
              <w:jc w:val="right"/>
              <w:rPr>
                <w:sz w:val="18"/>
                <w:szCs w:val="18"/>
              </w:rPr>
            </w:pPr>
          </w:p>
        </w:tc>
        <w:tc>
          <w:tcPr>
            <w:tcW w:w="1451" w:type="dxa"/>
            <w:tcBorders>
              <w:top w:val="single" w:sz="4" w:space="0" w:color="auto"/>
            </w:tcBorders>
            <w:vAlign w:val="bottom"/>
          </w:tcPr>
          <w:p w14:paraId="3F59B4C0" w14:textId="77777777" w:rsidR="00375AB2" w:rsidRPr="00DE189C" w:rsidRDefault="00375AB2" w:rsidP="00101586">
            <w:pPr>
              <w:ind w:right="28"/>
              <w:jc w:val="right"/>
              <w:rPr>
                <w:sz w:val="18"/>
                <w:szCs w:val="18"/>
              </w:rPr>
            </w:pPr>
          </w:p>
        </w:tc>
        <w:tc>
          <w:tcPr>
            <w:tcW w:w="145" w:type="dxa"/>
            <w:vAlign w:val="bottom"/>
          </w:tcPr>
          <w:p w14:paraId="6F7801B7" w14:textId="77777777" w:rsidR="00375AB2" w:rsidRPr="00DE189C" w:rsidRDefault="00375AB2" w:rsidP="00101586">
            <w:pPr>
              <w:ind w:right="57"/>
              <w:jc w:val="right"/>
              <w:rPr>
                <w:sz w:val="18"/>
                <w:szCs w:val="18"/>
              </w:rPr>
            </w:pPr>
          </w:p>
        </w:tc>
        <w:tc>
          <w:tcPr>
            <w:tcW w:w="2504" w:type="dxa"/>
            <w:vAlign w:val="bottom"/>
          </w:tcPr>
          <w:p w14:paraId="69E6ACC2" w14:textId="77777777" w:rsidR="00375AB2" w:rsidRPr="00DE189C" w:rsidRDefault="00375AB2" w:rsidP="00101586">
            <w:pPr>
              <w:ind w:right="28"/>
              <w:jc w:val="right"/>
              <w:rPr>
                <w:i/>
                <w:sz w:val="18"/>
                <w:szCs w:val="18"/>
              </w:rPr>
            </w:pPr>
          </w:p>
        </w:tc>
      </w:tr>
      <w:tr w:rsidR="00375AB2" w:rsidRPr="00DE189C" w14:paraId="294E12AE" w14:textId="77777777" w:rsidTr="00375AB2">
        <w:trPr>
          <w:cantSplit/>
          <w:trHeight w:val="70"/>
        </w:trPr>
        <w:tc>
          <w:tcPr>
            <w:tcW w:w="2473" w:type="dxa"/>
            <w:vAlign w:val="bottom"/>
          </w:tcPr>
          <w:p w14:paraId="7D575059" w14:textId="1D6F9B39" w:rsidR="00375AB2" w:rsidRPr="00DE189C" w:rsidRDefault="00AC7321" w:rsidP="00101586">
            <w:pPr>
              <w:ind w:left="283" w:hanging="170"/>
              <w:rPr>
                <w:b/>
                <w:sz w:val="18"/>
                <w:szCs w:val="18"/>
              </w:rPr>
            </w:pPr>
            <w:r>
              <w:rPr>
                <w:b/>
                <w:sz w:val="18"/>
                <w:szCs w:val="18"/>
              </w:rPr>
              <w:t xml:space="preserve">Saldo per </w:t>
            </w:r>
            <w:r>
              <w:rPr>
                <w:b/>
                <w:sz w:val="18"/>
                <w:szCs w:val="18"/>
              </w:rPr>
              <w:br/>
              <w:t>31 Maret 2019</w:t>
            </w:r>
          </w:p>
        </w:tc>
        <w:tc>
          <w:tcPr>
            <w:tcW w:w="146" w:type="dxa"/>
          </w:tcPr>
          <w:p w14:paraId="19B25FA5" w14:textId="77777777" w:rsidR="00375AB2" w:rsidRPr="00DE189C" w:rsidRDefault="00375AB2" w:rsidP="00101586">
            <w:pPr>
              <w:ind w:right="57"/>
              <w:jc w:val="right"/>
              <w:rPr>
                <w:b/>
                <w:sz w:val="18"/>
                <w:szCs w:val="18"/>
              </w:rPr>
            </w:pPr>
          </w:p>
        </w:tc>
        <w:tc>
          <w:tcPr>
            <w:tcW w:w="1597" w:type="dxa"/>
            <w:tcBorders>
              <w:bottom w:val="single" w:sz="4" w:space="0" w:color="auto"/>
            </w:tcBorders>
            <w:shd w:val="clear" w:color="auto" w:fill="auto"/>
            <w:vAlign w:val="bottom"/>
          </w:tcPr>
          <w:p w14:paraId="6B0BF369" w14:textId="0C8CF66C" w:rsidR="00375AB2" w:rsidRPr="00DE189C" w:rsidRDefault="00DD337A" w:rsidP="004C0A20">
            <w:pPr>
              <w:ind w:right="28"/>
              <w:jc w:val="right"/>
              <w:rPr>
                <w:b/>
                <w:sz w:val="18"/>
                <w:szCs w:val="18"/>
              </w:rPr>
            </w:pPr>
            <w:r w:rsidRPr="00DD337A">
              <w:rPr>
                <w:b/>
                <w:sz w:val="18"/>
                <w:szCs w:val="18"/>
              </w:rPr>
              <w:t>1</w:t>
            </w:r>
            <w:r w:rsidR="005970E6">
              <w:rPr>
                <w:b/>
                <w:sz w:val="18"/>
                <w:szCs w:val="18"/>
              </w:rPr>
              <w:t>.</w:t>
            </w:r>
            <w:r w:rsidR="004C0A20">
              <w:rPr>
                <w:b/>
                <w:sz w:val="18"/>
                <w:szCs w:val="18"/>
              </w:rPr>
              <w:t>200.070.544.500</w:t>
            </w:r>
          </w:p>
        </w:tc>
        <w:tc>
          <w:tcPr>
            <w:tcW w:w="145" w:type="dxa"/>
            <w:shd w:val="clear" w:color="auto" w:fill="auto"/>
            <w:vAlign w:val="bottom"/>
          </w:tcPr>
          <w:p w14:paraId="4486055F" w14:textId="77777777" w:rsidR="00375AB2" w:rsidRPr="00DE189C" w:rsidRDefault="00375AB2" w:rsidP="00101586">
            <w:pPr>
              <w:ind w:right="57"/>
              <w:jc w:val="right"/>
              <w:rPr>
                <w:b/>
                <w:sz w:val="18"/>
                <w:szCs w:val="18"/>
              </w:rPr>
            </w:pPr>
          </w:p>
        </w:tc>
        <w:tc>
          <w:tcPr>
            <w:tcW w:w="1596" w:type="dxa"/>
            <w:tcBorders>
              <w:bottom w:val="single" w:sz="4" w:space="0" w:color="auto"/>
            </w:tcBorders>
            <w:shd w:val="clear" w:color="auto" w:fill="auto"/>
            <w:vAlign w:val="bottom"/>
          </w:tcPr>
          <w:p w14:paraId="6488DBA9" w14:textId="3FD5385D" w:rsidR="00375AB2" w:rsidRPr="00DE189C" w:rsidRDefault="004C0A20" w:rsidP="00101586">
            <w:pPr>
              <w:ind w:right="28"/>
              <w:jc w:val="right"/>
              <w:rPr>
                <w:b/>
                <w:sz w:val="18"/>
                <w:szCs w:val="18"/>
              </w:rPr>
            </w:pPr>
            <w:r w:rsidRPr="004C0A20">
              <w:rPr>
                <w:b/>
                <w:sz w:val="18"/>
                <w:szCs w:val="18"/>
              </w:rPr>
              <w:t>1.124.816.856.453</w:t>
            </w:r>
          </w:p>
        </w:tc>
        <w:tc>
          <w:tcPr>
            <w:tcW w:w="145" w:type="dxa"/>
            <w:shd w:val="clear" w:color="auto" w:fill="auto"/>
            <w:vAlign w:val="bottom"/>
          </w:tcPr>
          <w:p w14:paraId="715FCD8A" w14:textId="77777777" w:rsidR="00375AB2" w:rsidRPr="00DE189C" w:rsidRDefault="00375AB2" w:rsidP="00101586">
            <w:pPr>
              <w:ind w:right="57"/>
              <w:jc w:val="right"/>
              <w:rPr>
                <w:b/>
                <w:sz w:val="18"/>
                <w:szCs w:val="18"/>
              </w:rPr>
            </w:pPr>
          </w:p>
        </w:tc>
        <w:tc>
          <w:tcPr>
            <w:tcW w:w="1306" w:type="dxa"/>
            <w:tcBorders>
              <w:bottom w:val="single" w:sz="4" w:space="0" w:color="auto"/>
            </w:tcBorders>
            <w:shd w:val="clear" w:color="auto" w:fill="auto"/>
            <w:vAlign w:val="bottom"/>
          </w:tcPr>
          <w:p w14:paraId="035D1D99" w14:textId="29F37850" w:rsidR="00375AB2" w:rsidRPr="00DE189C" w:rsidRDefault="00DD337A" w:rsidP="00101586">
            <w:pPr>
              <w:ind w:right="28"/>
              <w:jc w:val="right"/>
              <w:rPr>
                <w:b/>
                <w:sz w:val="18"/>
                <w:szCs w:val="18"/>
              </w:rPr>
            </w:pPr>
            <w:r w:rsidRPr="00DD337A">
              <w:rPr>
                <w:b/>
                <w:sz w:val="18"/>
                <w:szCs w:val="18"/>
              </w:rPr>
              <w:t>10</w:t>
            </w:r>
            <w:r w:rsidR="005970E6">
              <w:rPr>
                <w:b/>
                <w:sz w:val="18"/>
                <w:szCs w:val="18"/>
              </w:rPr>
              <w:t>.</w:t>
            </w:r>
            <w:r w:rsidRPr="00DD337A">
              <w:rPr>
                <w:b/>
                <w:sz w:val="18"/>
                <w:szCs w:val="18"/>
              </w:rPr>
              <w:t>649</w:t>
            </w:r>
            <w:r w:rsidR="005970E6">
              <w:rPr>
                <w:b/>
                <w:sz w:val="18"/>
                <w:szCs w:val="18"/>
              </w:rPr>
              <w:t>.</w:t>
            </w:r>
            <w:r w:rsidRPr="00DD337A">
              <w:rPr>
                <w:b/>
                <w:sz w:val="18"/>
                <w:szCs w:val="18"/>
              </w:rPr>
              <w:t>144</w:t>
            </w:r>
            <w:r w:rsidR="005970E6">
              <w:rPr>
                <w:b/>
                <w:sz w:val="18"/>
                <w:szCs w:val="18"/>
              </w:rPr>
              <w:t>.</w:t>
            </w:r>
            <w:r w:rsidRPr="00DD337A">
              <w:rPr>
                <w:b/>
                <w:sz w:val="18"/>
                <w:szCs w:val="18"/>
              </w:rPr>
              <w:t>486</w:t>
            </w:r>
          </w:p>
        </w:tc>
        <w:tc>
          <w:tcPr>
            <w:tcW w:w="145" w:type="dxa"/>
            <w:shd w:val="clear" w:color="auto" w:fill="auto"/>
            <w:vAlign w:val="bottom"/>
          </w:tcPr>
          <w:p w14:paraId="264530CE" w14:textId="77777777" w:rsidR="00375AB2" w:rsidRPr="00DE189C" w:rsidRDefault="00375AB2" w:rsidP="00101586">
            <w:pPr>
              <w:ind w:right="57"/>
              <w:jc w:val="right"/>
              <w:rPr>
                <w:b/>
                <w:sz w:val="18"/>
                <w:szCs w:val="18"/>
              </w:rPr>
            </w:pPr>
          </w:p>
        </w:tc>
        <w:tc>
          <w:tcPr>
            <w:tcW w:w="1450" w:type="dxa"/>
            <w:tcBorders>
              <w:bottom w:val="single" w:sz="4" w:space="0" w:color="auto"/>
            </w:tcBorders>
            <w:shd w:val="clear" w:color="auto" w:fill="auto"/>
            <w:vAlign w:val="bottom"/>
          </w:tcPr>
          <w:p w14:paraId="476E077B" w14:textId="77777777" w:rsidR="00375AB2" w:rsidRPr="00DE189C" w:rsidRDefault="00375AB2" w:rsidP="00101586">
            <w:pPr>
              <w:ind w:right="28"/>
              <w:jc w:val="right"/>
              <w:rPr>
                <w:b/>
                <w:sz w:val="18"/>
                <w:szCs w:val="18"/>
              </w:rPr>
            </w:pPr>
            <w:r w:rsidRPr="00DE189C">
              <w:rPr>
                <w:b/>
                <w:sz w:val="18"/>
                <w:szCs w:val="18"/>
              </w:rPr>
              <w:t>2.000.000.000</w:t>
            </w:r>
          </w:p>
        </w:tc>
        <w:tc>
          <w:tcPr>
            <w:tcW w:w="145" w:type="dxa"/>
            <w:shd w:val="clear" w:color="auto" w:fill="auto"/>
            <w:vAlign w:val="bottom"/>
          </w:tcPr>
          <w:p w14:paraId="6321DFCF" w14:textId="77777777" w:rsidR="00375AB2" w:rsidRPr="00DE189C" w:rsidRDefault="00375AB2" w:rsidP="00101586">
            <w:pPr>
              <w:ind w:right="57"/>
              <w:jc w:val="right"/>
              <w:rPr>
                <w:b/>
                <w:sz w:val="18"/>
                <w:szCs w:val="18"/>
              </w:rPr>
            </w:pPr>
          </w:p>
        </w:tc>
        <w:tc>
          <w:tcPr>
            <w:tcW w:w="1306" w:type="dxa"/>
            <w:tcBorders>
              <w:bottom w:val="single" w:sz="4" w:space="0" w:color="auto"/>
            </w:tcBorders>
            <w:shd w:val="clear" w:color="auto" w:fill="auto"/>
            <w:vAlign w:val="bottom"/>
          </w:tcPr>
          <w:p w14:paraId="2593F825" w14:textId="30A8B909" w:rsidR="00375AB2" w:rsidRPr="00DE189C" w:rsidRDefault="004C0A20" w:rsidP="00101586">
            <w:pPr>
              <w:ind w:right="28"/>
              <w:jc w:val="right"/>
              <w:rPr>
                <w:b/>
                <w:sz w:val="18"/>
                <w:szCs w:val="18"/>
              </w:rPr>
            </w:pPr>
            <w:r>
              <w:rPr>
                <w:b/>
                <w:sz w:val="18"/>
                <w:szCs w:val="18"/>
              </w:rPr>
              <w:t>70.638.167.567</w:t>
            </w:r>
          </w:p>
        </w:tc>
        <w:tc>
          <w:tcPr>
            <w:tcW w:w="144" w:type="dxa"/>
            <w:shd w:val="clear" w:color="auto" w:fill="auto"/>
            <w:vAlign w:val="bottom"/>
          </w:tcPr>
          <w:p w14:paraId="38A36527" w14:textId="77777777" w:rsidR="00375AB2" w:rsidRPr="00DE189C" w:rsidRDefault="00375AB2" w:rsidP="00101586">
            <w:pPr>
              <w:ind w:right="57"/>
              <w:jc w:val="right"/>
              <w:rPr>
                <w:b/>
                <w:sz w:val="18"/>
                <w:szCs w:val="18"/>
              </w:rPr>
            </w:pPr>
          </w:p>
        </w:tc>
        <w:tc>
          <w:tcPr>
            <w:tcW w:w="1451" w:type="dxa"/>
            <w:tcBorders>
              <w:bottom w:val="single" w:sz="4" w:space="0" w:color="auto"/>
            </w:tcBorders>
            <w:shd w:val="clear" w:color="auto" w:fill="auto"/>
            <w:vAlign w:val="bottom"/>
          </w:tcPr>
          <w:p w14:paraId="6F6C6E78" w14:textId="6B1E593C" w:rsidR="00375AB2" w:rsidRPr="00DE189C" w:rsidRDefault="001A6B9B" w:rsidP="004C0A20">
            <w:pPr>
              <w:ind w:right="28"/>
              <w:jc w:val="right"/>
              <w:rPr>
                <w:b/>
                <w:sz w:val="18"/>
                <w:szCs w:val="18"/>
              </w:rPr>
            </w:pPr>
            <w:r w:rsidRPr="001A6B9B">
              <w:rPr>
                <w:b/>
                <w:sz w:val="18"/>
                <w:szCs w:val="18"/>
              </w:rPr>
              <w:t>2</w:t>
            </w:r>
            <w:r w:rsidR="002C6EE3">
              <w:rPr>
                <w:b/>
                <w:sz w:val="18"/>
                <w:szCs w:val="18"/>
              </w:rPr>
              <w:t>.</w:t>
            </w:r>
            <w:r w:rsidR="004C0A20">
              <w:rPr>
                <w:b/>
                <w:sz w:val="18"/>
                <w:szCs w:val="18"/>
              </w:rPr>
              <w:t>408.174.713.006</w:t>
            </w:r>
          </w:p>
        </w:tc>
        <w:tc>
          <w:tcPr>
            <w:tcW w:w="145" w:type="dxa"/>
            <w:shd w:val="clear" w:color="auto" w:fill="auto"/>
            <w:vAlign w:val="bottom"/>
          </w:tcPr>
          <w:p w14:paraId="2DD6E19D" w14:textId="77777777" w:rsidR="00375AB2" w:rsidRPr="00DE189C" w:rsidRDefault="00375AB2" w:rsidP="00101586">
            <w:pPr>
              <w:ind w:right="57"/>
              <w:jc w:val="right"/>
              <w:rPr>
                <w:b/>
                <w:sz w:val="18"/>
                <w:szCs w:val="18"/>
              </w:rPr>
            </w:pPr>
          </w:p>
        </w:tc>
        <w:tc>
          <w:tcPr>
            <w:tcW w:w="2504" w:type="dxa"/>
            <w:shd w:val="clear" w:color="auto" w:fill="auto"/>
            <w:vAlign w:val="bottom"/>
          </w:tcPr>
          <w:p w14:paraId="279A0CCB" w14:textId="77777777" w:rsidR="00375AB2" w:rsidRPr="00DE189C" w:rsidRDefault="00375AB2" w:rsidP="00101586">
            <w:pPr>
              <w:ind w:right="28"/>
              <w:jc w:val="right"/>
              <w:rPr>
                <w:b/>
                <w:i/>
                <w:sz w:val="18"/>
                <w:szCs w:val="18"/>
              </w:rPr>
            </w:pPr>
            <w:r w:rsidRPr="00DE189C">
              <w:rPr>
                <w:b/>
                <w:i/>
                <w:sz w:val="18"/>
                <w:szCs w:val="18"/>
              </w:rPr>
              <w:t xml:space="preserve">Balance as of </w:t>
            </w:r>
          </w:p>
          <w:p w14:paraId="5BE98988" w14:textId="16F0450A" w:rsidR="00375AB2" w:rsidRPr="00DE189C" w:rsidRDefault="000C003B" w:rsidP="00101586">
            <w:pPr>
              <w:ind w:right="219"/>
              <w:jc w:val="right"/>
              <w:rPr>
                <w:b/>
                <w:i/>
                <w:sz w:val="18"/>
                <w:szCs w:val="18"/>
              </w:rPr>
            </w:pPr>
            <w:proofErr w:type="gramStart"/>
            <w:r>
              <w:rPr>
                <w:b/>
                <w:i/>
                <w:sz w:val="18"/>
                <w:szCs w:val="18"/>
              </w:rPr>
              <w:t xml:space="preserve">March </w:t>
            </w:r>
            <w:r w:rsidR="00375AB2" w:rsidRPr="00DE189C">
              <w:rPr>
                <w:b/>
                <w:i/>
                <w:sz w:val="18"/>
                <w:szCs w:val="18"/>
              </w:rPr>
              <w:t xml:space="preserve"> 31</w:t>
            </w:r>
            <w:proofErr w:type="gramEnd"/>
            <w:r w:rsidR="00870FD0">
              <w:rPr>
                <w:b/>
                <w:i/>
                <w:sz w:val="18"/>
                <w:szCs w:val="18"/>
              </w:rPr>
              <w:t>.</w:t>
            </w:r>
            <w:r>
              <w:rPr>
                <w:b/>
                <w:i/>
                <w:sz w:val="18"/>
                <w:szCs w:val="18"/>
              </w:rPr>
              <w:t xml:space="preserve"> 2019</w:t>
            </w:r>
          </w:p>
        </w:tc>
      </w:tr>
      <w:tr w:rsidR="00375AB2" w:rsidRPr="00DE189C" w14:paraId="2D4AEF33" w14:textId="77777777" w:rsidTr="000C003B">
        <w:trPr>
          <w:cantSplit/>
          <w:trHeight w:val="20"/>
        </w:trPr>
        <w:tc>
          <w:tcPr>
            <w:tcW w:w="2473" w:type="dxa"/>
          </w:tcPr>
          <w:p w14:paraId="332F62BF" w14:textId="77777777" w:rsidR="00375AB2" w:rsidRPr="00DE189C" w:rsidRDefault="00375AB2" w:rsidP="00101586">
            <w:pPr>
              <w:ind w:left="258" w:right="1" w:hanging="116"/>
              <w:rPr>
                <w:sz w:val="18"/>
                <w:szCs w:val="18"/>
              </w:rPr>
            </w:pPr>
          </w:p>
        </w:tc>
        <w:tc>
          <w:tcPr>
            <w:tcW w:w="146" w:type="dxa"/>
          </w:tcPr>
          <w:p w14:paraId="3BEC0271" w14:textId="77777777" w:rsidR="00375AB2" w:rsidRPr="00DE189C" w:rsidRDefault="00375AB2" w:rsidP="00101586">
            <w:pPr>
              <w:ind w:right="57"/>
              <w:jc w:val="right"/>
              <w:rPr>
                <w:sz w:val="18"/>
                <w:szCs w:val="18"/>
              </w:rPr>
            </w:pPr>
          </w:p>
        </w:tc>
        <w:tc>
          <w:tcPr>
            <w:tcW w:w="1597" w:type="dxa"/>
            <w:tcBorders>
              <w:top w:val="single" w:sz="4" w:space="0" w:color="auto"/>
            </w:tcBorders>
            <w:vAlign w:val="bottom"/>
          </w:tcPr>
          <w:p w14:paraId="682686B6" w14:textId="77777777" w:rsidR="00375AB2" w:rsidRPr="00DE189C" w:rsidRDefault="00375AB2" w:rsidP="00101586">
            <w:pPr>
              <w:ind w:right="57"/>
              <w:jc w:val="right"/>
              <w:rPr>
                <w:sz w:val="18"/>
                <w:szCs w:val="18"/>
              </w:rPr>
            </w:pPr>
          </w:p>
        </w:tc>
        <w:tc>
          <w:tcPr>
            <w:tcW w:w="145" w:type="dxa"/>
            <w:vAlign w:val="bottom"/>
          </w:tcPr>
          <w:p w14:paraId="290ACFE8" w14:textId="77777777" w:rsidR="00375AB2" w:rsidRPr="00DE189C" w:rsidRDefault="00375AB2" w:rsidP="00101586">
            <w:pPr>
              <w:ind w:right="57"/>
              <w:jc w:val="right"/>
              <w:rPr>
                <w:sz w:val="18"/>
                <w:szCs w:val="18"/>
              </w:rPr>
            </w:pPr>
          </w:p>
        </w:tc>
        <w:tc>
          <w:tcPr>
            <w:tcW w:w="1596" w:type="dxa"/>
            <w:tcBorders>
              <w:top w:val="single" w:sz="4" w:space="0" w:color="auto"/>
            </w:tcBorders>
            <w:vAlign w:val="bottom"/>
          </w:tcPr>
          <w:p w14:paraId="1ED6BE51" w14:textId="77777777" w:rsidR="00375AB2" w:rsidRPr="00DE189C" w:rsidRDefault="00375AB2" w:rsidP="00101586">
            <w:pPr>
              <w:ind w:right="28"/>
              <w:jc w:val="right"/>
              <w:rPr>
                <w:sz w:val="18"/>
                <w:szCs w:val="18"/>
              </w:rPr>
            </w:pPr>
          </w:p>
        </w:tc>
        <w:tc>
          <w:tcPr>
            <w:tcW w:w="145" w:type="dxa"/>
            <w:vAlign w:val="bottom"/>
          </w:tcPr>
          <w:p w14:paraId="2F4FE465" w14:textId="77777777" w:rsidR="00375AB2" w:rsidRPr="00DE189C" w:rsidRDefault="00375AB2" w:rsidP="00101586">
            <w:pPr>
              <w:ind w:right="57"/>
              <w:jc w:val="right"/>
              <w:rPr>
                <w:sz w:val="18"/>
                <w:szCs w:val="18"/>
              </w:rPr>
            </w:pPr>
          </w:p>
        </w:tc>
        <w:tc>
          <w:tcPr>
            <w:tcW w:w="1306" w:type="dxa"/>
            <w:tcBorders>
              <w:top w:val="single" w:sz="4" w:space="0" w:color="auto"/>
            </w:tcBorders>
            <w:vAlign w:val="bottom"/>
          </w:tcPr>
          <w:p w14:paraId="26F9CEA9" w14:textId="77777777" w:rsidR="00375AB2" w:rsidRPr="00DE189C" w:rsidRDefault="00375AB2" w:rsidP="00101586">
            <w:pPr>
              <w:ind w:right="57"/>
              <w:jc w:val="right"/>
              <w:rPr>
                <w:sz w:val="18"/>
                <w:szCs w:val="18"/>
              </w:rPr>
            </w:pPr>
          </w:p>
        </w:tc>
        <w:tc>
          <w:tcPr>
            <w:tcW w:w="145" w:type="dxa"/>
            <w:vAlign w:val="bottom"/>
          </w:tcPr>
          <w:p w14:paraId="5879E64F" w14:textId="77777777" w:rsidR="00375AB2" w:rsidRPr="00DE189C" w:rsidRDefault="00375AB2" w:rsidP="00101586">
            <w:pPr>
              <w:ind w:right="57"/>
              <w:jc w:val="right"/>
              <w:rPr>
                <w:sz w:val="18"/>
                <w:szCs w:val="18"/>
              </w:rPr>
            </w:pPr>
          </w:p>
        </w:tc>
        <w:tc>
          <w:tcPr>
            <w:tcW w:w="1450" w:type="dxa"/>
            <w:tcBorders>
              <w:top w:val="single" w:sz="4" w:space="0" w:color="auto"/>
            </w:tcBorders>
            <w:vAlign w:val="bottom"/>
          </w:tcPr>
          <w:p w14:paraId="57855863" w14:textId="77777777" w:rsidR="00375AB2" w:rsidRPr="00DE189C" w:rsidRDefault="00375AB2" w:rsidP="00101586">
            <w:pPr>
              <w:ind w:right="57"/>
              <w:jc w:val="right"/>
              <w:rPr>
                <w:sz w:val="18"/>
                <w:szCs w:val="18"/>
              </w:rPr>
            </w:pPr>
          </w:p>
        </w:tc>
        <w:tc>
          <w:tcPr>
            <w:tcW w:w="145" w:type="dxa"/>
            <w:vAlign w:val="bottom"/>
          </w:tcPr>
          <w:p w14:paraId="319CB930" w14:textId="77777777" w:rsidR="00375AB2" w:rsidRPr="00DE189C" w:rsidRDefault="00375AB2" w:rsidP="00101586">
            <w:pPr>
              <w:ind w:right="57"/>
              <w:jc w:val="right"/>
              <w:rPr>
                <w:sz w:val="18"/>
                <w:szCs w:val="18"/>
              </w:rPr>
            </w:pPr>
          </w:p>
        </w:tc>
        <w:tc>
          <w:tcPr>
            <w:tcW w:w="1306" w:type="dxa"/>
            <w:tcBorders>
              <w:top w:val="single" w:sz="4" w:space="0" w:color="auto"/>
            </w:tcBorders>
            <w:vAlign w:val="bottom"/>
          </w:tcPr>
          <w:p w14:paraId="64793D81" w14:textId="77777777" w:rsidR="00375AB2" w:rsidRPr="00DE189C" w:rsidRDefault="00375AB2" w:rsidP="00101586">
            <w:pPr>
              <w:ind w:right="57"/>
              <w:jc w:val="right"/>
              <w:rPr>
                <w:sz w:val="18"/>
                <w:szCs w:val="18"/>
              </w:rPr>
            </w:pPr>
          </w:p>
        </w:tc>
        <w:tc>
          <w:tcPr>
            <w:tcW w:w="144" w:type="dxa"/>
            <w:vAlign w:val="bottom"/>
          </w:tcPr>
          <w:p w14:paraId="1A395A41" w14:textId="77777777" w:rsidR="00375AB2" w:rsidRPr="00DE189C" w:rsidRDefault="00375AB2" w:rsidP="00101586">
            <w:pPr>
              <w:ind w:right="57"/>
              <w:jc w:val="right"/>
              <w:rPr>
                <w:sz w:val="18"/>
                <w:szCs w:val="18"/>
              </w:rPr>
            </w:pPr>
          </w:p>
        </w:tc>
        <w:tc>
          <w:tcPr>
            <w:tcW w:w="1451" w:type="dxa"/>
            <w:tcBorders>
              <w:top w:val="single" w:sz="4" w:space="0" w:color="auto"/>
            </w:tcBorders>
            <w:vAlign w:val="bottom"/>
          </w:tcPr>
          <w:p w14:paraId="254821AB" w14:textId="77777777" w:rsidR="00375AB2" w:rsidRPr="00DE189C" w:rsidRDefault="00375AB2" w:rsidP="00101586">
            <w:pPr>
              <w:ind w:right="57"/>
              <w:jc w:val="right"/>
              <w:rPr>
                <w:sz w:val="18"/>
                <w:szCs w:val="18"/>
              </w:rPr>
            </w:pPr>
          </w:p>
        </w:tc>
        <w:tc>
          <w:tcPr>
            <w:tcW w:w="145" w:type="dxa"/>
            <w:vAlign w:val="bottom"/>
          </w:tcPr>
          <w:p w14:paraId="5B405D7C" w14:textId="77777777" w:rsidR="00375AB2" w:rsidRPr="00DE189C" w:rsidRDefault="00375AB2" w:rsidP="00101586">
            <w:pPr>
              <w:ind w:right="57"/>
              <w:jc w:val="right"/>
              <w:rPr>
                <w:sz w:val="18"/>
                <w:szCs w:val="18"/>
              </w:rPr>
            </w:pPr>
          </w:p>
        </w:tc>
        <w:tc>
          <w:tcPr>
            <w:tcW w:w="2504" w:type="dxa"/>
            <w:vAlign w:val="bottom"/>
          </w:tcPr>
          <w:p w14:paraId="4F4F3902" w14:textId="77777777" w:rsidR="00375AB2" w:rsidRPr="00DE189C" w:rsidRDefault="00375AB2" w:rsidP="00101586">
            <w:pPr>
              <w:ind w:left="-113" w:right="57"/>
              <w:jc w:val="right"/>
              <w:rPr>
                <w:sz w:val="18"/>
                <w:szCs w:val="18"/>
              </w:rPr>
            </w:pPr>
          </w:p>
        </w:tc>
      </w:tr>
      <w:tr w:rsidR="00C16C7F" w:rsidRPr="00DE189C" w14:paraId="52A1E6E5" w14:textId="77777777" w:rsidTr="00AC7321">
        <w:trPr>
          <w:cantSplit/>
          <w:trHeight w:val="20"/>
        </w:trPr>
        <w:tc>
          <w:tcPr>
            <w:tcW w:w="2473" w:type="dxa"/>
          </w:tcPr>
          <w:p w14:paraId="17F32401" w14:textId="18A2C0B3" w:rsidR="00C16C7F" w:rsidRPr="00DE189C" w:rsidRDefault="00C16C7F" w:rsidP="00C16C7F">
            <w:pPr>
              <w:ind w:left="258" w:right="1" w:hanging="116"/>
              <w:rPr>
                <w:sz w:val="18"/>
                <w:szCs w:val="18"/>
              </w:rPr>
            </w:pPr>
            <w:r w:rsidRPr="00DE189C">
              <w:rPr>
                <w:b/>
                <w:sz w:val="18"/>
                <w:szCs w:val="18"/>
              </w:rPr>
              <w:t xml:space="preserve">Saldo per </w:t>
            </w:r>
            <w:r w:rsidRPr="00DE189C">
              <w:rPr>
                <w:b/>
                <w:sz w:val="18"/>
                <w:szCs w:val="18"/>
              </w:rPr>
              <w:br/>
              <w:t>31 Desember 201</w:t>
            </w:r>
            <w:r>
              <w:rPr>
                <w:b/>
                <w:sz w:val="18"/>
                <w:szCs w:val="18"/>
              </w:rPr>
              <w:t>9</w:t>
            </w:r>
          </w:p>
        </w:tc>
        <w:tc>
          <w:tcPr>
            <w:tcW w:w="146" w:type="dxa"/>
          </w:tcPr>
          <w:p w14:paraId="65B907E9" w14:textId="77777777" w:rsidR="00C16C7F" w:rsidRPr="00DE189C" w:rsidRDefault="00C16C7F" w:rsidP="00C16C7F">
            <w:pPr>
              <w:ind w:right="57"/>
              <w:jc w:val="right"/>
              <w:rPr>
                <w:sz w:val="18"/>
                <w:szCs w:val="18"/>
              </w:rPr>
            </w:pPr>
          </w:p>
        </w:tc>
        <w:tc>
          <w:tcPr>
            <w:tcW w:w="1597" w:type="dxa"/>
            <w:vAlign w:val="bottom"/>
          </w:tcPr>
          <w:p w14:paraId="067175C7" w14:textId="529EA756" w:rsidR="00C16C7F" w:rsidRPr="00DD337A" w:rsidRDefault="00DD337A" w:rsidP="00C16C7F">
            <w:pPr>
              <w:ind w:right="57"/>
              <w:jc w:val="right"/>
              <w:rPr>
                <w:b/>
                <w:sz w:val="18"/>
                <w:szCs w:val="18"/>
              </w:rPr>
            </w:pPr>
            <w:r w:rsidRPr="00DD337A">
              <w:rPr>
                <w:b/>
                <w:sz w:val="18"/>
                <w:szCs w:val="18"/>
              </w:rPr>
              <w:t>1.200.070.544.500</w:t>
            </w:r>
          </w:p>
        </w:tc>
        <w:tc>
          <w:tcPr>
            <w:tcW w:w="145" w:type="dxa"/>
            <w:vAlign w:val="bottom"/>
          </w:tcPr>
          <w:p w14:paraId="49BFF7A2" w14:textId="77777777" w:rsidR="00C16C7F" w:rsidRPr="00DE189C" w:rsidRDefault="00C16C7F" w:rsidP="00C16C7F">
            <w:pPr>
              <w:ind w:right="57"/>
              <w:jc w:val="right"/>
              <w:rPr>
                <w:sz w:val="18"/>
                <w:szCs w:val="18"/>
              </w:rPr>
            </w:pPr>
          </w:p>
        </w:tc>
        <w:tc>
          <w:tcPr>
            <w:tcW w:w="1596" w:type="dxa"/>
            <w:vAlign w:val="bottom"/>
          </w:tcPr>
          <w:p w14:paraId="648BDF5C" w14:textId="07686CBF" w:rsidR="00C16C7F" w:rsidRPr="00DE189C" w:rsidRDefault="00DD337A" w:rsidP="00DD337A">
            <w:pPr>
              <w:ind w:left="205" w:right="28" w:hanging="205"/>
              <w:rPr>
                <w:sz w:val="18"/>
                <w:szCs w:val="18"/>
              </w:rPr>
            </w:pPr>
            <w:r>
              <w:rPr>
                <w:b/>
                <w:sz w:val="18"/>
                <w:szCs w:val="18"/>
              </w:rPr>
              <w:t xml:space="preserve">        1</w:t>
            </w:r>
            <w:r w:rsidRPr="00DD337A">
              <w:rPr>
                <w:b/>
                <w:sz w:val="18"/>
                <w:szCs w:val="18"/>
              </w:rPr>
              <w:t>.124.816.856.453</w:t>
            </w:r>
          </w:p>
        </w:tc>
        <w:tc>
          <w:tcPr>
            <w:tcW w:w="145" w:type="dxa"/>
            <w:vAlign w:val="bottom"/>
          </w:tcPr>
          <w:p w14:paraId="6504C0A2" w14:textId="77777777" w:rsidR="00C16C7F" w:rsidRPr="00DE189C" w:rsidRDefault="00C16C7F" w:rsidP="00C16C7F">
            <w:pPr>
              <w:ind w:right="57"/>
              <w:jc w:val="right"/>
              <w:rPr>
                <w:sz w:val="18"/>
                <w:szCs w:val="18"/>
              </w:rPr>
            </w:pPr>
          </w:p>
        </w:tc>
        <w:tc>
          <w:tcPr>
            <w:tcW w:w="1306" w:type="dxa"/>
            <w:vAlign w:val="bottom"/>
          </w:tcPr>
          <w:p w14:paraId="025EFC7E" w14:textId="4289A5DA" w:rsidR="00C16C7F" w:rsidRPr="00DD337A" w:rsidRDefault="00DD337A" w:rsidP="00C16C7F">
            <w:pPr>
              <w:ind w:right="57"/>
              <w:jc w:val="right"/>
              <w:rPr>
                <w:b/>
                <w:sz w:val="18"/>
                <w:szCs w:val="18"/>
              </w:rPr>
            </w:pPr>
            <w:r w:rsidRPr="00DD337A">
              <w:rPr>
                <w:b/>
                <w:sz w:val="18"/>
                <w:szCs w:val="18"/>
              </w:rPr>
              <w:t>12.931.494.561</w:t>
            </w:r>
          </w:p>
        </w:tc>
        <w:tc>
          <w:tcPr>
            <w:tcW w:w="145" w:type="dxa"/>
            <w:vAlign w:val="bottom"/>
          </w:tcPr>
          <w:p w14:paraId="110927FF" w14:textId="77777777" w:rsidR="00C16C7F" w:rsidRPr="00DE189C" w:rsidRDefault="00C16C7F" w:rsidP="00C16C7F">
            <w:pPr>
              <w:ind w:right="57"/>
              <w:jc w:val="right"/>
              <w:rPr>
                <w:sz w:val="18"/>
                <w:szCs w:val="18"/>
              </w:rPr>
            </w:pPr>
          </w:p>
        </w:tc>
        <w:tc>
          <w:tcPr>
            <w:tcW w:w="1450" w:type="dxa"/>
            <w:vAlign w:val="bottom"/>
          </w:tcPr>
          <w:p w14:paraId="27501A49" w14:textId="3A31FECB" w:rsidR="00C16C7F" w:rsidRPr="00DD337A" w:rsidRDefault="00DD337A" w:rsidP="00C16C7F">
            <w:pPr>
              <w:ind w:right="57"/>
              <w:jc w:val="right"/>
              <w:rPr>
                <w:b/>
                <w:sz w:val="18"/>
                <w:szCs w:val="18"/>
              </w:rPr>
            </w:pPr>
            <w:r w:rsidRPr="00DD337A">
              <w:rPr>
                <w:b/>
                <w:sz w:val="18"/>
                <w:szCs w:val="18"/>
              </w:rPr>
              <w:t>2.000.000.000</w:t>
            </w:r>
          </w:p>
        </w:tc>
        <w:tc>
          <w:tcPr>
            <w:tcW w:w="145" w:type="dxa"/>
            <w:vAlign w:val="bottom"/>
          </w:tcPr>
          <w:p w14:paraId="470D3949" w14:textId="77777777" w:rsidR="00C16C7F" w:rsidRPr="00DE189C" w:rsidRDefault="00C16C7F" w:rsidP="00C16C7F">
            <w:pPr>
              <w:ind w:right="57"/>
              <w:jc w:val="right"/>
              <w:rPr>
                <w:sz w:val="18"/>
                <w:szCs w:val="18"/>
              </w:rPr>
            </w:pPr>
          </w:p>
        </w:tc>
        <w:tc>
          <w:tcPr>
            <w:tcW w:w="1306" w:type="dxa"/>
            <w:vAlign w:val="bottom"/>
          </w:tcPr>
          <w:p w14:paraId="615B8C65" w14:textId="7B70B6E0" w:rsidR="00C16C7F" w:rsidRPr="00DD337A" w:rsidRDefault="00DD337A" w:rsidP="00C16C7F">
            <w:pPr>
              <w:ind w:right="57"/>
              <w:jc w:val="right"/>
              <w:rPr>
                <w:b/>
                <w:sz w:val="18"/>
                <w:szCs w:val="18"/>
              </w:rPr>
            </w:pPr>
            <w:r w:rsidRPr="00DD337A">
              <w:rPr>
                <w:b/>
                <w:sz w:val="18"/>
                <w:szCs w:val="18"/>
              </w:rPr>
              <w:t>48.491.285.516</w:t>
            </w:r>
          </w:p>
        </w:tc>
        <w:tc>
          <w:tcPr>
            <w:tcW w:w="144" w:type="dxa"/>
            <w:vAlign w:val="bottom"/>
          </w:tcPr>
          <w:p w14:paraId="1025E798" w14:textId="77777777" w:rsidR="00C16C7F" w:rsidRPr="00DE189C" w:rsidRDefault="00C16C7F" w:rsidP="00C16C7F">
            <w:pPr>
              <w:ind w:right="57"/>
              <w:jc w:val="right"/>
              <w:rPr>
                <w:sz w:val="18"/>
                <w:szCs w:val="18"/>
              </w:rPr>
            </w:pPr>
          </w:p>
        </w:tc>
        <w:tc>
          <w:tcPr>
            <w:tcW w:w="1451" w:type="dxa"/>
            <w:vAlign w:val="bottom"/>
          </w:tcPr>
          <w:p w14:paraId="19327116" w14:textId="6F2BBC3D" w:rsidR="00C16C7F" w:rsidRPr="00DD337A" w:rsidRDefault="00DD337A" w:rsidP="00C16C7F">
            <w:pPr>
              <w:ind w:right="57"/>
              <w:jc w:val="right"/>
              <w:rPr>
                <w:b/>
                <w:sz w:val="18"/>
                <w:szCs w:val="18"/>
              </w:rPr>
            </w:pPr>
            <w:r w:rsidRPr="00DD337A">
              <w:rPr>
                <w:b/>
                <w:sz w:val="18"/>
                <w:szCs w:val="18"/>
              </w:rPr>
              <w:t>2.388.310.181.030</w:t>
            </w:r>
          </w:p>
        </w:tc>
        <w:tc>
          <w:tcPr>
            <w:tcW w:w="145" w:type="dxa"/>
            <w:vAlign w:val="bottom"/>
          </w:tcPr>
          <w:p w14:paraId="3F291BAE" w14:textId="77777777" w:rsidR="00C16C7F" w:rsidRPr="00DE189C" w:rsidRDefault="00C16C7F" w:rsidP="00C16C7F">
            <w:pPr>
              <w:ind w:right="57"/>
              <w:jc w:val="right"/>
              <w:rPr>
                <w:sz w:val="18"/>
                <w:szCs w:val="18"/>
              </w:rPr>
            </w:pPr>
          </w:p>
        </w:tc>
        <w:tc>
          <w:tcPr>
            <w:tcW w:w="2504" w:type="dxa"/>
            <w:vAlign w:val="bottom"/>
          </w:tcPr>
          <w:p w14:paraId="09F87D99" w14:textId="77777777" w:rsidR="00C16C7F" w:rsidRPr="00DE189C" w:rsidRDefault="00C16C7F" w:rsidP="00C16C7F">
            <w:pPr>
              <w:ind w:right="28"/>
              <w:jc w:val="right"/>
              <w:rPr>
                <w:b/>
                <w:i/>
                <w:sz w:val="18"/>
                <w:szCs w:val="18"/>
              </w:rPr>
            </w:pPr>
            <w:r w:rsidRPr="00DE189C">
              <w:rPr>
                <w:b/>
                <w:i/>
                <w:sz w:val="18"/>
                <w:szCs w:val="18"/>
              </w:rPr>
              <w:t xml:space="preserve">Balance as of </w:t>
            </w:r>
          </w:p>
          <w:p w14:paraId="2717AF04" w14:textId="037C410E" w:rsidR="00C16C7F" w:rsidRPr="00DE189C" w:rsidRDefault="00C16C7F" w:rsidP="00EC20FD">
            <w:pPr>
              <w:ind w:left="-113" w:right="57"/>
              <w:jc w:val="right"/>
              <w:rPr>
                <w:sz w:val="18"/>
                <w:szCs w:val="18"/>
              </w:rPr>
            </w:pPr>
            <w:r w:rsidRPr="00DE189C">
              <w:rPr>
                <w:b/>
                <w:i/>
                <w:sz w:val="18"/>
                <w:szCs w:val="18"/>
              </w:rPr>
              <w:t>December 31</w:t>
            </w:r>
            <w:r>
              <w:rPr>
                <w:b/>
                <w:i/>
                <w:sz w:val="18"/>
                <w:szCs w:val="18"/>
              </w:rPr>
              <w:t>. 201</w:t>
            </w:r>
            <w:r w:rsidR="00EC20FD">
              <w:rPr>
                <w:b/>
                <w:i/>
                <w:sz w:val="18"/>
                <w:szCs w:val="18"/>
              </w:rPr>
              <w:t>9</w:t>
            </w:r>
          </w:p>
        </w:tc>
      </w:tr>
      <w:tr w:rsidR="00C16C7F" w:rsidRPr="00DE189C" w14:paraId="09DFF52E" w14:textId="77777777" w:rsidTr="00AC7321">
        <w:trPr>
          <w:cantSplit/>
          <w:trHeight w:val="20"/>
        </w:trPr>
        <w:tc>
          <w:tcPr>
            <w:tcW w:w="2473" w:type="dxa"/>
          </w:tcPr>
          <w:p w14:paraId="76590F07" w14:textId="77777777" w:rsidR="00C16C7F" w:rsidRPr="00DE189C" w:rsidRDefault="00C16C7F" w:rsidP="00C16C7F">
            <w:pPr>
              <w:ind w:left="258" w:right="1" w:hanging="116"/>
              <w:rPr>
                <w:b/>
                <w:sz w:val="18"/>
                <w:szCs w:val="18"/>
              </w:rPr>
            </w:pPr>
          </w:p>
        </w:tc>
        <w:tc>
          <w:tcPr>
            <w:tcW w:w="146" w:type="dxa"/>
          </w:tcPr>
          <w:p w14:paraId="51A26C43" w14:textId="77777777" w:rsidR="00C16C7F" w:rsidRPr="00DE189C" w:rsidRDefault="00C16C7F" w:rsidP="00C16C7F">
            <w:pPr>
              <w:ind w:right="57"/>
              <w:jc w:val="right"/>
              <w:rPr>
                <w:sz w:val="18"/>
                <w:szCs w:val="18"/>
              </w:rPr>
            </w:pPr>
          </w:p>
        </w:tc>
        <w:tc>
          <w:tcPr>
            <w:tcW w:w="1597" w:type="dxa"/>
            <w:vAlign w:val="bottom"/>
          </w:tcPr>
          <w:p w14:paraId="5F2035C2" w14:textId="77777777" w:rsidR="00C16C7F" w:rsidRPr="00DE189C" w:rsidRDefault="00C16C7F" w:rsidP="00C16C7F">
            <w:pPr>
              <w:ind w:right="57"/>
              <w:jc w:val="right"/>
              <w:rPr>
                <w:sz w:val="18"/>
                <w:szCs w:val="18"/>
              </w:rPr>
            </w:pPr>
          </w:p>
        </w:tc>
        <w:tc>
          <w:tcPr>
            <w:tcW w:w="145" w:type="dxa"/>
            <w:vAlign w:val="bottom"/>
          </w:tcPr>
          <w:p w14:paraId="71BB3122" w14:textId="77777777" w:rsidR="00C16C7F" w:rsidRPr="00DE189C" w:rsidRDefault="00C16C7F" w:rsidP="00C16C7F">
            <w:pPr>
              <w:ind w:right="57"/>
              <w:jc w:val="right"/>
              <w:rPr>
                <w:sz w:val="18"/>
                <w:szCs w:val="18"/>
              </w:rPr>
            </w:pPr>
          </w:p>
        </w:tc>
        <w:tc>
          <w:tcPr>
            <w:tcW w:w="1596" w:type="dxa"/>
            <w:vAlign w:val="bottom"/>
          </w:tcPr>
          <w:p w14:paraId="3558E781" w14:textId="77777777" w:rsidR="00C16C7F" w:rsidRPr="00DE189C" w:rsidRDefault="00C16C7F" w:rsidP="00C16C7F">
            <w:pPr>
              <w:ind w:right="28"/>
              <w:rPr>
                <w:sz w:val="18"/>
                <w:szCs w:val="18"/>
              </w:rPr>
            </w:pPr>
          </w:p>
        </w:tc>
        <w:tc>
          <w:tcPr>
            <w:tcW w:w="145" w:type="dxa"/>
            <w:vAlign w:val="bottom"/>
          </w:tcPr>
          <w:p w14:paraId="2EB606F9" w14:textId="77777777" w:rsidR="00C16C7F" w:rsidRPr="00DE189C" w:rsidRDefault="00C16C7F" w:rsidP="00C16C7F">
            <w:pPr>
              <w:ind w:right="57"/>
              <w:jc w:val="right"/>
              <w:rPr>
                <w:sz w:val="18"/>
                <w:szCs w:val="18"/>
              </w:rPr>
            </w:pPr>
          </w:p>
        </w:tc>
        <w:tc>
          <w:tcPr>
            <w:tcW w:w="1306" w:type="dxa"/>
            <w:vAlign w:val="bottom"/>
          </w:tcPr>
          <w:p w14:paraId="18364066" w14:textId="77777777" w:rsidR="00C16C7F" w:rsidRPr="00DE189C" w:rsidRDefault="00C16C7F" w:rsidP="00C16C7F">
            <w:pPr>
              <w:ind w:right="57"/>
              <w:jc w:val="right"/>
              <w:rPr>
                <w:sz w:val="18"/>
                <w:szCs w:val="18"/>
              </w:rPr>
            </w:pPr>
          </w:p>
        </w:tc>
        <w:tc>
          <w:tcPr>
            <w:tcW w:w="145" w:type="dxa"/>
            <w:vAlign w:val="bottom"/>
          </w:tcPr>
          <w:p w14:paraId="74513689" w14:textId="77777777" w:rsidR="00C16C7F" w:rsidRPr="00DE189C" w:rsidRDefault="00C16C7F" w:rsidP="00C16C7F">
            <w:pPr>
              <w:ind w:right="57"/>
              <w:jc w:val="right"/>
              <w:rPr>
                <w:sz w:val="18"/>
                <w:szCs w:val="18"/>
              </w:rPr>
            </w:pPr>
          </w:p>
        </w:tc>
        <w:tc>
          <w:tcPr>
            <w:tcW w:w="1450" w:type="dxa"/>
            <w:vAlign w:val="bottom"/>
          </w:tcPr>
          <w:p w14:paraId="6AA6096C" w14:textId="77777777" w:rsidR="00C16C7F" w:rsidRPr="00DE189C" w:rsidRDefault="00C16C7F" w:rsidP="00C16C7F">
            <w:pPr>
              <w:ind w:right="57"/>
              <w:jc w:val="right"/>
              <w:rPr>
                <w:sz w:val="18"/>
                <w:szCs w:val="18"/>
              </w:rPr>
            </w:pPr>
          </w:p>
        </w:tc>
        <w:tc>
          <w:tcPr>
            <w:tcW w:w="145" w:type="dxa"/>
            <w:vAlign w:val="bottom"/>
          </w:tcPr>
          <w:p w14:paraId="7EC4648C" w14:textId="77777777" w:rsidR="00C16C7F" w:rsidRPr="00DE189C" w:rsidRDefault="00C16C7F" w:rsidP="00C16C7F">
            <w:pPr>
              <w:ind w:right="57"/>
              <w:jc w:val="right"/>
              <w:rPr>
                <w:sz w:val="18"/>
                <w:szCs w:val="18"/>
              </w:rPr>
            </w:pPr>
          </w:p>
        </w:tc>
        <w:tc>
          <w:tcPr>
            <w:tcW w:w="1306" w:type="dxa"/>
            <w:vAlign w:val="bottom"/>
          </w:tcPr>
          <w:p w14:paraId="4F5259C7" w14:textId="77777777" w:rsidR="00C16C7F" w:rsidRPr="00DE189C" w:rsidRDefault="00C16C7F" w:rsidP="00C16C7F">
            <w:pPr>
              <w:ind w:right="57"/>
              <w:jc w:val="right"/>
              <w:rPr>
                <w:sz w:val="18"/>
                <w:szCs w:val="18"/>
              </w:rPr>
            </w:pPr>
          </w:p>
        </w:tc>
        <w:tc>
          <w:tcPr>
            <w:tcW w:w="144" w:type="dxa"/>
            <w:vAlign w:val="bottom"/>
          </w:tcPr>
          <w:p w14:paraId="254AF824" w14:textId="77777777" w:rsidR="00C16C7F" w:rsidRPr="00DE189C" w:rsidRDefault="00C16C7F" w:rsidP="00C16C7F">
            <w:pPr>
              <w:ind w:right="57"/>
              <w:jc w:val="right"/>
              <w:rPr>
                <w:sz w:val="18"/>
                <w:szCs w:val="18"/>
              </w:rPr>
            </w:pPr>
          </w:p>
        </w:tc>
        <w:tc>
          <w:tcPr>
            <w:tcW w:w="1451" w:type="dxa"/>
            <w:vAlign w:val="bottom"/>
          </w:tcPr>
          <w:p w14:paraId="481E568B" w14:textId="77777777" w:rsidR="00C16C7F" w:rsidRPr="00DE189C" w:rsidRDefault="00C16C7F" w:rsidP="00C16C7F">
            <w:pPr>
              <w:ind w:right="57"/>
              <w:jc w:val="right"/>
              <w:rPr>
                <w:sz w:val="18"/>
                <w:szCs w:val="18"/>
              </w:rPr>
            </w:pPr>
          </w:p>
        </w:tc>
        <w:tc>
          <w:tcPr>
            <w:tcW w:w="145" w:type="dxa"/>
            <w:vAlign w:val="bottom"/>
          </w:tcPr>
          <w:p w14:paraId="4EEAE7B0" w14:textId="77777777" w:rsidR="00C16C7F" w:rsidRPr="00DE189C" w:rsidRDefault="00C16C7F" w:rsidP="00C16C7F">
            <w:pPr>
              <w:ind w:right="57"/>
              <w:jc w:val="right"/>
              <w:rPr>
                <w:sz w:val="18"/>
                <w:szCs w:val="18"/>
              </w:rPr>
            </w:pPr>
          </w:p>
        </w:tc>
        <w:tc>
          <w:tcPr>
            <w:tcW w:w="2504" w:type="dxa"/>
            <w:vAlign w:val="bottom"/>
          </w:tcPr>
          <w:p w14:paraId="24C738EF" w14:textId="1405C0A5" w:rsidR="00C16C7F" w:rsidRPr="00DE189C" w:rsidRDefault="00C16C7F" w:rsidP="00C16C7F">
            <w:pPr>
              <w:ind w:left="-113" w:right="57"/>
              <w:jc w:val="right"/>
              <w:rPr>
                <w:sz w:val="18"/>
                <w:szCs w:val="18"/>
              </w:rPr>
            </w:pPr>
          </w:p>
        </w:tc>
      </w:tr>
      <w:tr w:rsidR="00C16C7F" w:rsidRPr="00DE189C" w14:paraId="7901BA5F" w14:textId="77777777" w:rsidTr="00375AB2">
        <w:trPr>
          <w:cantSplit/>
          <w:trHeight w:val="70"/>
        </w:trPr>
        <w:tc>
          <w:tcPr>
            <w:tcW w:w="2473" w:type="dxa"/>
          </w:tcPr>
          <w:p w14:paraId="2EC73977" w14:textId="77777777" w:rsidR="00C16C7F" w:rsidRPr="00DE189C" w:rsidRDefault="00C16C7F" w:rsidP="00C16C7F">
            <w:pPr>
              <w:ind w:left="283" w:hanging="170"/>
              <w:rPr>
                <w:sz w:val="18"/>
                <w:szCs w:val="18"/>
              </w:rPr>
            </w:pPr>
            <w:r w:rsidRPr="00DE189C">
              <w:rPr>
                <w:sz w:val="18"/>
                <w:szCs w:val="18"/>
              </w:rPr>
              <w:t>Total rugi komprehensif</w:t>
            </w:r>
          </w:p>
        </w:tc>
        <w:tc>
          <w:tcPr>
            <w:tcW w:w="146" w:type="dxa"/>
          </w:tcPr>
          <w:p w14:paraId="2BF45E14" w14:textId="77777777" w:rsidR="00C16C7F" w:rsidRPr="00DE189C" w:rsidRDefault="00C16C7F" w:rsidP="00C16C7F">
            <w:pPr>
              <w:ind w:right="57"/>
              <w:jc w:val="right"/>
              <w:rPr>
                <w:sz w:val="18"/>
                <w:szCs w:val="18"/>
              </w:rPr>
            </w:pPr>
          </w:p>
        </w:tc>
        <w:tc>
          <w:tcPr>
            <w:tcW w:w="1597" w:type="dxa"/>
            <w:tcBorders>
              <w:bottom w:val="single" w:sz="4" w:space="0" w:color="auto"/>
            </w:tcBorders>
            <w:vAlign w:val="bottom"/>
          </w:tcPr>
          <w:p w14:paraId="58C9E28E" w14:textId="6E2F3302" w:rsidR="00C16C7F" w:rsidRPr="00DE189C" w:rsidRDefault="001853DC" w:rsidP="00C16C7F">
            <w:pPr>
              <w:ind w:right="28"/>
              <w:jc w:val="right"/>
              <w:rPr>
                <w:sz w:val="18"/>
                <w:szCs w:val="18"/>
              </w:rPr>
            </w:pPr>
            <w:r>
              <w:rPr>
                <w:sz w:val="18"/>
                <w:szCs w:val="18"/>
              </w:rPr>
              <w:t>-</w:t>
            </w:r>
          </w:p>
        </w:tc>
        <w:tc>
          <w:tcPr>
            <w:tcW w:w="145" w:type="dxa"/>
            <w:vAlign w:val="bottom"/>
          </w:tcPr>
          <w:p w14:paraId="540551C1" w14:textId="77777777" w:rsidR="00C16C7F" w:rsidRPr="00DE189C" w:rsidRDefault="00C16C7F" w:rsidP="00C16C7F">
            <w:pPr>
              <w:ind w:right="57"/>
              <w:jc w:val="right"/>
              <w:rPr>
                <w:sz w:val="18"/>
                <w:szCs w:val="18"/>
              </w:rPr>
            </w:pPr>
          </w:p>
        </w:tc>
        <w:tc>
          <w:tcPr>
            <w:tcW w:w="1596" w:type="dxa"/>
            <w:tcBorders>
              <w:bottom w:val="single" w:sz="4" w:space="0" w:color="auto"/>
            </w:tcBorders>
            <w:vAlign w:val="bottom"/>
          </w:tcPr>
          <w:p w14:paraId="6B1E2FBA" w14:textId="5E2909DD" w:rsidR="00C16C7F" w:rsidRPr="00DE189C" w:rsidRDefault="001853DC" w:rsidP="00C16C7F">
            <w:pPr>
              <w:ind w:right="28"/>
              <w:jc w:val="right"/>
              <w:rPr>
                <w:sz w:val="18"/>
                <w:szCs w:val="18"/>
              </w:rPr>
            </w:pPr>
            <w:r>
              <w:rPr>
                <w:sz w:val="18"/>
                <w:szCs w:val="18"/>
              </w:rPr>
              <w:t>-</w:t>
            </w:r>
          </w:p>
        </w:tc>
        <w:tc>
          <w:tcPr>
            <w:tcW w:w="145" w:type="dxa"/>
            <w:vAlign w:val="bottom"/>
          </w:tcPr>
          <w:p w14:paraId="0019F1E1" w14:textId="77777777" w:rsidR="00C16C7F" w:rsidRPr="00DE189C" w:rsidRDefault="00C16C7F" w:rsidP="00C16C7F">
            <w:pPr>
              <w:ind w:right="57"/>
              <w:jc w:val="right"/>
              <w:rPr>
                <w:sz w:val="18"/>
                <w:szCs w:val="18"/>
              </w:rPr>
            </w:pPr>
          </w:p>
        </w:tc>
        <w:tc>
          <w:tcPr>
            <w:tcW w:w="1306" w:type="dxa"/>
            <w:tcBorders>
              <w:bottom w:val="single" w:sz="4" w:space="0" w:color="auto"/>
            </w:tcBorders>
            <w:vAlign w:val="bottom"/>
          </w:tcPr>
          <w:p w14:paraId="7E60E93A" w14:textId="076F2CCC" w:rsidR="00C16C7F" w:rsidRPr="00DA3B6D" w:rsidRDefault="00D14FB0" w:rsidP="004C0A20">
            <w:pPr>
              <w:ind w:right="28"/>
              <w:jc w:val="right"/>
              <w:rPr>
                <w:sz w:val="18"/>
                <w:szCs w:val="18"/>
              </w:rPr>
            </w:pPr>
            <w:r w:rsidRPr="00DA3B6D">
              <w:rPr>
                <w:sz w:val="18"/>
                <w:szCs w:val="18"/>
              </w:rPr>
              <w:t>235.037.</w:t>
            </w:r>
            <w:r w:rsidR="004C0A20">
              <w:rPr>
                <w:sz w:val="18"/>
                <w:szCs w:val="18"/>
              </w:rPr>
              <w:t>547</w:t>
            </w:r>
          </w:p>
        </w:tc>
        <w:tc>
          <w:tcPr>
            <w:tcW w:w="145" w:type="dxa"/>
            <w:vAlign w:val="bottom"/>
          </w:tcPr>
          <w:p w14:paraId="66E04184" w14:textId="77777777" w:rsidR="00C16C7F" w:rsidRPr="00DA3B6D" w:rsidRDefault="00C16C7F" w:rsidP="00C16C7F">
            <w:pPr>
              <w:ind w:right="57"/>
              <w:jc w:val="right"/>
              <w:rPr>
                <w:sz w:val="18"/>
                <w:szCs w:val="18"/>
              </w:rPr>
            </w:pPr>
          </w:p>
        </w:tc>
        <w:tc>
          <w:tcPr>
            <w:tcW w:w="1450" w:type="dxa"/>
            <w:tcBorders>
              <w:bottom w:val="single" w:sz="4" w:space="0" w:color="auto"/>
            </w:tcBorders>
            <w:vAlign w:val="bottom"/>
          </w:tcPr>
          <w:p w14:paraId="443E5EB6" w14:textId="020EEA8B" w:rsidR="00C16C7F" w:rsidRPr="00DA3B6D" w:rsidRDefault="001853DC" w:rsidP="00C16C7F">
            <w:pPr>
              <w:ind w:right="28"/>
              <w:jc w:val="right"/>
              <w:rPr>
                <w:sz w:val="18"/>
                <w:szCs w:val="18"/>
              </w:rPr>
            </w:pPr>
            <w:r w:rsidRPr="00DA3B6D">
              <w:rPr>
                <w:sz w:val="18"/>
                <w:szCs w:val="18"/>
              </w:rPr>
              <w:t>-</w:t>
            </w:r>
          </w:p>
        </w:tc>
        <w:tc>
          <w:tcPr>
            <w:tcW w:w="145" w:type="dxa"/>
            <w:vAlign w:val="bottom"/>
          </w:tcPr>
          <w:p w14:paraId="27C44C54" w14:textId="77777777" w:rsidR="00C16C7F" w:rsidRPr="00DA3B6D" w:rsidRDefault="00C16C7F" w:rsidP="00C16C7F">
            <w:pPr>
              <w:ind w:right="57"/>
              <w:jc w:val="right"/>
              <w:rPr>
                <w:sz w:val="18"/>
                <w:szCs w:val="18"/>
              </w:rPr>
            </w:pPr>
          </w:p>
        </w:tc>
        <w:tc>
          <w:tcPr>
            <w:tcW w:w="1306" w:type="dxa"/>
            <w:tcBorders>
              <w:bottom w:val="single" w:sz="4" w:space="0" w:color="auto"/>
            </w:tcBorders>
            <w:vAlign w:val="bottom"/>
          </w:tcPr>
          <w:p w14:paraId="5B523370" w14:textId="633F57C4" w:rsidR="001B120D" w:rsidRPr="004C0A20" w:rsidRDefault="00D14FB0" w:rsidP="00D14FB0">
            <w:pPr>
              <w:jc w:val="right"/>
              <w:rPr>
                <w:b/>
                <w:bCs w:val="0"/>
                <w:sz w:val="18"/>
                <w:szCs w:val="18"/>
              </w:rPr>
            </w:pPr>
            <w:r w:rsidRPr="004C0A20">
              <w:rPr>
                <w:b/>
                <w:bCs w:val="0"/>
                <w:sz w:val="18"/>
                <w:szCs w:val="18"/>
              </w:rPr>
              <w:t xml:space="preserve">          </w:t>
            </w:r>
          </w:p>
          <w:p w14:paraId="30B0EEAF" w14:textId="4E930C91" w:rsidR="00C16C7F" w:rsidRPr="004C0A20" w:rsidRDefault="00BC55B6" w:rsidP="00C16C7F">
            <w:pPr>
              <w:ind w:right="28"/>
              <w:jc w:val="right"/>
              <w:rPr>
                <w:bCs w:val="0"/>
                <w:sz w:val="18"/>
                <w:szCs w:val="18"/>
                <w:lang w:val="id-ID"/>
              </w:rPr>
            </w:pPr>
            <w:r w:rsidRPr="004C0A20">
              <w:rPr>
                <w:bCs w:val="0"/>
                <w:sz w:val="18"/>
                <w:szCs w:val="18"/>
                <w:lang w:val="id-ID"/>
              </w:rPr>
              <w:t>4</w:t>
            </w:r>
            <w:r w:rsidRPr="004C0A20">
              <w:rPr>
                <w:bCs w:val="0"/>
                <w:sz w:val="18"/>
                <w:szCs w:val="18"/>
              </w:rPr>
              <w:t>.</w:t>
            </w:r>
            <w:r w:rsidRPr="004C0A20">
              <w:rPr>
                <w:bCs w:val="0"/>
                <w:sz w:val="18"/>
                <w:szCs w:val="18"/>
                <w:lang w:val="id-ID"/>
              </w:rPr>
              <w:t>72</w:t>
            </w:r>
            <w:r w:rsidRPr="004C0A20">
              <w:rPr>
                <w:bCs w:val="0"/>
                <w:sz w:val="18"/>
                <w:szCs w:val="18"/>
              </w:rPr>
              <w:t>2.7</w:t>
            </w:r>
            <w:r w:rsidRPr="004C0A20">
              <w:rPr>
                <w:bCs w:val="0"/>
                <w:sz w:val="18"/>
                <w:szCs w:val="18"/>
                <w:lang w:val="id-ID"/>
              </w:rPr>
              <w:t>22</w:t>
            </w:r>
            <w:r w:rsidRPr="004C0A20">
              <w:rPr>
                <w:bCs w:val="0"/>
                <w:sz w:val="18"/>
                <w:szCs w:val="18"/>
              </w:rPr>
              <w:t>.</w:t>
            </w:r>
            <w:r w:rsidRPr="004C0A20">
              <w:rPr>
                <w:bCs w:val="0"/>
                <w:sz w:val="18"/>
                <w:szCs w:val="18"/>
                <w:lang w:val="id-ID"/>
              </w:rPr>
              <w:t>4</w:t>
            </w:r>
            <w:r w:rsidR="009734DA" w:rsidRPr="004C0A20">
              <w:rPr>
                <w:bCs w:val="0"/>
                <w:sz w:val="18"/>
                <w:szCs w:val="18"/>
              </w:rPr>
              <w:t>8</w:t>
            </w:r>
            <w:r w:rsidRPr="004C0A20">
              <w:rPr>
                <w:bCs w:val="0"/>
                <w:sz w:val="18"/>
                <w:szCs w:val="18"/>
                <w:lang w:val="id-ID"/>
              </w:rPr>
              <w:t>8</w:t>
            </w:r>
          </w:p>
        </w:tc>
        <w:tc>
          <w:tcPr>
            <w:tcW w:w="144" w:type="dxa"/>
            <w:vAlign w:val="bottom"/>
          </w:tcPr>
          <w:p w14:paraId="0EC183F2" w14:textId="77777777" w:rsidR="00C16C7F" w:rsidRPr="004C0A20" w:rsidRDefault="00C16C7F" w:rsidP="00C16C7F">
            <w:pPr>
              <w:ind w:right="57"/>
              <w:jc w:val="right"/>
              <w:rPr>
                <w:sz w:val="18"/>
                <w:szCs w:val="18"/>
              </w:rPr>
            </w:pPr>
          </w:p>
        </w:tc>
        <w:tc>
          <w:tcPr>
            <w:tcW w:w="1451" w:type="dxa"/>
            <w:tcBorders>
              <w:bottom w:val="single" w:sz="4" w:space="0" w:color="auto"/>
            </w:tcBorders>
            <w:vAlign w:val="bottom"/>
          </w:tcPr>
          <w:p w14:paraId="30EFA29F" w14:textId="6B37F13C" w:rsidR="00C16C7F" w:rsidRPr="004C0A20" w:rsidRDefault="009734DA" w:rsidP="00C16C7F">
            <w:pPr>
              <w:ind w:right="28"/>
              <w:jc w:val="right"/>
              <w:rPr>
                <w:sz w:val="18"/>
                <w:szCs w:val="18"/>
              </w:rPr>
            </w:pPr>
            <w:r w:rsidRPr="004C0A20">
              <w:rPr>
                <w:bCs w:val="0"/>
                <w:sz w:val="18"/>
                <w:szCs w:val="18"/>
              </w:rPr>
              <w:t>4.957.760.035</w:t>
            </w:r>
          </w:p>
        </w:tc>
        <w:tc>
          <w:tcPr>
            <w:tcW w:w="145" w:type="dxa"/>
            <w:vAlign w:val="bottom"/>
          </w:tcPr>
          <w:p w14:paraId="743E8114" w14:textId="77777777" w:rsidR="00C16C7F" w:rsidRPr="00DE189C" w:rsidRDefault="00C16C7F" w:rsidP="00C16C7F">
            <w:pPr>
              <w:ind w:right="57"/>
              <w:jc w:val="center"/>
              <w:rPr>
                <w:sz w:val="18"/>
                <w:szCs w:val="18"/>
              </w:rPr>
            </w:pPr>
          </w:p>
        </w:tc>
        <w:tc>
          <w:tcPr>
            <w:tcW w:w="2504" w:type="dxa"/>
            <w:vAlign w:val="bottom"/>
          </w:tcPr>
          <w:p w14:paraId="1CEADBDF" w14:textId="77777777" w:rsidR="00C16C7F" w:rsidRPr="00DE189C" w:rsidRDefault="00C16C7F" w:rsidP="00C16C7F">
            <w:pPr>
              <w:ind w:right="28"/>
              <w:jc w:val="right"/>
              <w:rPr>
                <w:i/>
                <w:sz w:val="18"/>
                <w:szCs w:val="18"/>
              </w:rPr>
            </w:pPr>
            <w:r w:rsidRPr="00DE189C">
              <w:rPr>
                <w:i/>
                <w:sz w:val="18"/>
                <w:szCs w:val="18"/>
              </w:rPr>
              <w:t>Total comprehensive loss</w:t>
            </w:r>
          </w:p>
        </w:tc>
      </w:tr>
      <w:tr w:rsidR="00C16C7F" w:rsidRPr="00DE189C" w14:paraId="2D106390" w14:textId="77777777" w:rsidTr="00375AB2">
        <w:trPr>
          <w:cantSplit/>
          <w:trHeight w:val="70"/>
        </w:trPr>
        <w:tc>
          <w:tcPr>
            <w:tcW w:w="2473" w:type="dxa"/>
          </w:tcPr>
          <w:p w14:paraId="5257CFD6" w14:textId="77777777" w:rsidR="00C16C7F" w:rsidRPr="00DE189C" w:rsidRDefault="00C16C7F" w:rsidP="00C16C7F">
            <w:pPr>
              <w:ind w:left="283" w:hanging="170"/>
              <w:rPr>
                <w:sz w:val="18"/>
                <w:szCs w:val="18"/>
              </w:rPr>
            </w:pPr>
          </w:p>
        </w:tc>
        <w:tc>
          <w:tcPr>
            <w:tcW w:w="146" w:type="dxa"/>
          </w:tcPr>
          <w:p w14:paraId="0DCD325E" w14:textId="77777777" w:rsidR="00C16C7F" w:rsidRPr="00DE189C" w:rsidRDefault="00C16C7F" w:rsidP="00C16C7F">
            <w:pPr>
              <w:ind w:right="57"/>
              <w:jc w:val="right"/>
              <w:rPr>
                <w:sz w:val="18"/>
                <w:szCs w:val="18"/>
              </w:rPr>
            </w:pPr>
          </w:p>
        </w:tc>
        <w:tc>
          <w:tcPr>
            <w:tcW w:w="1597" w:type="dxa"/>
            <w:tcBorders>
              <w:top w:val="single" w:sz="4" w:space="0" w:color="auto"/>
            </w:tcBorders>
            <w:vAlign w:val="bottom"/>
          </w:tcPr>
          <w:p w14:paraId="1411E9A9" w14:textId="77777777" w:rsidR="00C16C7F" w:rsidRPr="00DE189C" w:rsidRDefault="00C16C7F" w:rsidP="00C16C7F">
            <w:pPr>
              <w:ind w:right="28"/>
              <w:jc w:val="right"/>
              <w:rPr>
                <w:sz w:val="18"/>
                <w:szCs w:val="18"/>
              </w:rPr>
            </w:pPr>
          </w:p>
        </w:tc>
        <w:tc>
          <w:tcPr>
            <w:tcW w:w="145" w:type="dxa"/>
            <w:vAlign w:val="bottom"/>
          </w:tcPr>
          <w:p w14:paraId="0E3DC400" w14:textId="77777777" w:rsidR="00C16C7F" w:rsidRPr="00DE189C" w:rsidRDefault="00C16C7F" w:rsidP="00C16C7F">
            <w:pPr>
              <w:ind w:right="57"/>
              <w:jc w:val="right"/>
              <w:rPr>
                <w:sz w:val="18"/>
                <w:szCs w:val="18"/>
              </w:rPr>
            </w:pPr>
          </w:p>
        </w:tc>
        <w:tc>
          <w:tcPr>
            <w:tcW w:w="1596" w:type="dxa"/>
            <w:tcBorders>
              <w:top w:val="single" w:sz="4" w:space="0" w:color="auto"/>
            </w:tcBorders>
            <w:vAlign w:val="bottom"/>
          </w:tcPr>
          <w:p w14:paraId="7294F20A" w14:textId="77777777" w:rsidR="00C16C7F" w:rsidRPr="00DE189C" w:rsidRDefault="00C16C7F" w:rsidP="00C16C7F">
            <w:pPr>
              <w:ind w:right="28"/>
              <w:jc w:val="right"/>
              <w:rPr>
                <w:sz w:val="18"/>
                <w:szCs w:val="18"/>
              </w:rPr>
            </w:pPr>
          </w:p>
        </w:tc>
        <w:tc>
          <w:tcPr>
            <w:tcW w:w="145" w:type="dxa"/>
            <w:vAlign w:val="bottom"/>
          </w:tcPr>
          <w:p w14:paraId="571652C2" w14:textId="77777777" w:rsidR="00C16C7F" w:rsidRPr="00DE189C" w:rsidRDefault="00C16C7F" w:rsidP="00C16C7F">
            <w:pPr>
              <w:ind w:right="57"/>
              <w:jc w:val="right"/>
              <w:rPr>
                <w:sz w:val="18"/>
                <w:szCs w:val="18"/>
              </w:rPr>
            </w:pPr>
          </w:p>
        </w:tc>
        <w:tc>
          <w:tcPr>
            <w:tcW w:w="1306" w:type="dxa"/>
            <w:tcBorders>
              <w:top w:val="single" w:sz="4" w:space="0" w:color="auto"/>
            </w:tcBorders>
            <w:vAlign w:val="bottom"/>
          </w:tcPr>
          <w:p w14:paraId="0E71B053" w14:textId="77777777" w:rsidR="00C16C7F" w:rsidRPr="00DA3B6D" w:rsidRDefault="00C16C7F" w:rsidP="00C16C7F">
            <w:pPr>
              <w:ind w:right="28"/>
              <w:jc w:val="right"/>
              <w:rPr>
                <w:sz w:val="18"/>
                <w:szCs w:val="18"/>
              </w:rPr>
            </w:pPr>
          </w:p>
        </w:tc>
        <w:tc>
          <w:tcPr>
            <w:tcW w:w="145" w:type="dxa"/>
            <w:vAlign w:val="bottom"/>
          </w:tcPr>
          <w:p w14:paraId="3A861D72" w14:textId="77777777" w:rsidR="00C16C7F" w:rsidRPr="00DA3B6D" w:rsidRDefault="00C16C7F" w:rsidP="00C16C7F">
            <w:pPr>
              <w:ind w:right="57"/>
              <w:jc w:val="right"/>
              <w:rPr>
                <w:sz w:val="18"/>
                <w:szCs w:val="18"/>
              </w:rPr>
            </w:pPr>
          </w:p>
        </w:tc>
        <w:tc>
          <w:tcPr>
            <w:tcW w:w="1450" w:type="dxa"/>
            <w:tcBorders>
              <w:top w:val="single" w:sz="4" w:space="0" w:color="auto"/>
            </w:tcBorders>
            <w:vAlign w:val="bottom"/>
          </w:tcPr>
          <w:p w14:paraId="46246838" w14:textId="77777777" w:rsidR="00C16C7F" w:rsidRPr="00DA3B6D" w:rsidRDefault="00C16C7F" w:rsidP="00C16C7F">
            <w:pPr>
              <w:ind w:right="28"/>
              <w:jc w:val="right"/>
              <w:rPr>
                <w:sz w:val="18"/>
                <w:szCs w:val="18"/>
              </w:rPr>
            </w:pPr>
          </w:p>
        </w:tc>
        <w:tc>
          <w:tcPr>
            <w:tcW w:w="145" w:type="dxa"/>
            <w:vAlign w:val="bottom"/>
          </w:tcPr>
          <w:p w14:paraId="7DBF02F5" w14:textId="77777777" w:rsidR="00C16C7F" w:rsidRPr="00DA3B6D" w:rsidRDefault="00C16C7F" w:rsidP="00C16C7F">
            <w:pPr>
              <w:ind w:right="57"/>
              <w:jc w:val="right"/>
              <w:rPr>
                <w:sz w:val="18"/>
                <w:szCs w:val="18"/>
              </w:rPr>
            </w:pPr>
          </w:p>
        </w:tc>
        <w:tc>
          <w:tcPr>
            <w:tcW w:w="1306" w:type="dxa"/>
            <w:tcBorders>
              <w:top w:val="single" w:sz="4" w:space="0" w:color="auto"/>
            </w:tcBorders>
            <w:vAlign w:val="bottom"/>
          </w:tcPr>
          <w:p w14:paraId="23E1704F" w14:textId="77777777" w:rsidR="00C16C7F" w:rsidRPr="004C0A20" w:rsidRDefault="00C16C7F" w:rsidP="00C16C7F">
            <w:pPr>
              <w:ind w:right="28"/>
              <w:jc w:val="right"/>
              <w:rPr>
                <w:bCs w:val="0"/>
                <w:sz w:val="18"/>
                <w:szCs w:val="18"/>
              </w:rPr>
            </w:pPr>
          </w:p>
        </w:tc>
        <w:tc>
          <w:tcPr>
            <w:tcW w:w="144" w:type="dxa"/>
            <w:vAlign w:val="bottom"/>
          </w:tcPr>
          <w:p w14:paraId="1A9E518E" w14:textId="77777777" w:rsidR="00C16C7F" w:rsidRPr="004C0A20" w:rsidRDefault="00C16C7F" w:rsidP="00C16C7F">
            <w:pPr>
              <w:ind w:right="57"/>
              <w:jc w:val="right"/>
              <w:rPr>
                <w:sz w:val="18"/>
                <w:szCs w:val="18"/>
              </w:rPr>
            </w:pPr>
          </w:p>
        </w:tc>
        <w:tc>
          <w:tcPr>
            <w:tcW w:w="1451" w:type="dxa"/>
            <w:tcBorders>
              <w:top w:val="single" w:sz="4" w:space="0" w:color="auto"/>
            </w:tcBorders>
            <w:vAlign w:val="bottom"/>
          </w:tcPr>
          <w:p w14:paraId="46AB79AB" w14:textId="77777777" w:rsidR="00C16C7F" w:rsidRPr="004C0A20" w:rsidRDefault="00C16C7F" w:rsidP="00C16C7F">
            <w:pPr>
              <w:ind w:right="28"/>
              <w:jc w:val="right"/>
              <w:rPr>
                <w:sz w:val="18"/>
                <w:szCs w:val="18"/>
              </w:rPr>
            </w:pPr>
          </w:p>
        </w:tc>
        <w:tc>
          <w:tcPr>
            <w:tcW w:w="145" w:type="dxa"/>
            <w:vAlign w:val="bottom"/>
          </w:tcPr>
          <w:p w14:paraId="3B678118" w14:textId="77777777" w:rsidR="00C16C7F" w:rsidRPr="00DE189C" w:rsidRDefault="00C16C7F" w:rsidP="00C16C7F">
            <w:pPr>
              <w:ind w:right="57"/>
              <w:jc w:val="center"/>
              <w:rPr>
                <w:sz w:val="18"/>
                <w:szCs w:val="18"/>
              </w:rPr>
            </w:pPr>
          </w:p>
        </w:tc>
        <w:tc>
          <w:tcPr>
            <w:tcW w:w="2504" w:type="dxa"/>
            <w:vAlign w:val="bottom"/>
          </w:tcPr>
          <w:p w14:paraId="0CD045BF" w14:textId="77777777" w:rsidR="00C16C7F" w:rsidRPr="00DE189C" w:rsidRDefault="00C16C7F" w:rsidP="00C16C7F">
            <w:pPr>
              <w:ind w:right="28"/>
              <w:jc w:val="right"/>
              <w:rPr>
                <w:i/>
                <w:sz w:val="18"/>
                <w:szCs w:val="18"/>
              </w:rPr>
            </w:pPr>
          </w:p>
        </w:tc>
      </w:tr>
      <w:tr w:rsidR="00C16C7F" w:rsidRPr="00DE189C" w14:paraId="21D9A2A3" w14:textId="77777777" w:rsidTr="00375AB2">
        <w:trPr>
          <w:cantSplit/>
          <w:trHeight w:val="70"/>
        </w:trPr>
        <w:tc>
          <w:tcPr>
            <w:tcW w:w="2473" w:type="dxa"/>
            <w:vAlign w:val="bottom"/>
          </w:tcPr>
          <w:p w14:paraId="68C86779" w14:textId="3A813554" w:rsidR="00C16C7F" w:rsidRPr="00DE189C" w:rsidRDefault="00C16C7F" w:rsidP="00C16C7F">
            <w:pPr>
              <w:ind w:left="283" w:hanging="170"/>
              <w:rPr>
                <w:b/>
                <w:sz w:val="18"/>
                <w:szCs w:val="18"/>
              </w:rPr>
            </w:pPr>
            <w:r>
              <w:rPr>
                <w:b/>
                <w:sz w:val="18"/>
                <w:szCs w:val="18"/>
              </w:rPr>
              <w:t xml:space="preserve">Saldo per </w:t>
            </w:r>
            <w:r>
              <w:rPr>
                <w:b/>
                <w:sz w:val="18"/>
                <w:szCs w:val="18"/>
              </w:rPr>
              <w:br/>
              <w:t>31 Maret 2020</w:t>
            </w:r>
          </w:p>
        </w:tc>
        <w:tc>
          <w:tcPr>
            <w:tcW w:w="146" w:type="dxa"/>
          </w:tcPr>
          <w:p w14:paraId="6B3676D4" w14:textId="77777777" w:rsidR="00C16C7F" w:rsidRPr="00DE189C" w:rsidRDefault="00C16C7F" w:rsidP="00C16C7F">
            <w:pPr>
              <w:ind w:right="57"/>
              <w:jc w:val="right"/>
              <w:rPr>
                <w:b/>
                <w:sz w:val="18"/>
                <w:szCs w:val="18"/>
              </w:rPr>
            </w:pPr>
          </w:p>
        </w:tc>
        <w:tc>
          <w:tcPr>
            <w:tcW w:w="1597" w:type="dxa"/>
            <w:tcBorders>
              <w:bottom w:val="double" w:sz="4" w:space="0" w:color="auto"/>
            </w:tcBorders>
            <w:vAlign w:val="bottom"/>
          </w:tcPr>
          <w:p w14:paraId="2379961C" w14:textId="3F4874AF" w:rsidR="00C16C7F" w:rsidRPr="00DE189C" w:rsidRDefault="001A6B9B" w:rsidP="00C16C7F">
            <w:pPr>
              <w:ind w:right="28"/>
              <w:jc w:val="right"/>
              <w:rPr>
                <w:b/>
                <w:sz w:val="18"/>
                <w:szCs w:val="18"/>
              </w:rPr>
            </w:pPr>
            <w:r w:rsidRPr="00DD337A">
              <w:rPr>
                <w:b/>
                <w:sz w:val="18"/>
                <w:szCs w:val="18"/>
              </w:rPr>
              <w:t>1.200.070.544.500</w:t>
            </w:r>
          </w:p>
        </w:tc>
        <w:tc>
          <w:tcPr>
            <w:tcW w:w="145" w:type="dxa"/>
            <w:vAlign w:val="bottom"/>
          </w:tcPr>
          <w:p w14:paraId="0A8063A7" w14:textId="77777777" w:rsidR="00C16C7F" w:rsidRPr="00DE189C" w:rsidRDefault="00C16C7F" w:rsidP="00C16C7F">
            <w:pPr>
              <w:ind w:right="57"/>
              <w:jc w:val="right"/>
              <w:rPr>
                <w:b/>
                <w:sz w:val="18"/>
                <w:szCs w:val="18"/>
              </w:rPr>
            </w:pPr>
          </w:p>
        </w:tc>
        <w:tc>
          <w:tcPr>
            <w:tcW w:w="1596" w:type="dxa"/>
            <w:tcBorders>
              <w:bottom w:val="double" w:sz="4" w:space="0" w:color="auto"/>
            </w:tcBorders>
            <w:vAlign w:val="bottom"/>
          </w:tcPr>
          <w:p w14:paraId="7A7BA8F9" w14:textId="6C139B8A" w:rsidR="00C16C7F" w:rsidRPr="00DE189C" w:rsidRDefault="001A6B9B" w:rsidP="00C16C7F">
            <w:pPr>
              <w:ind w:right="28"/>
              <w:jc w:val="right"/>
              <w:rPr>
                <w:b/>
                <w:sz w:val="18"/>
                <w:szCs w:val="18"/>
              </w:rPr>
            </w:pPr>
            <w:r>
              <w:rPr>
                <w:b/>
                <w:sz w:val="18"/>
                <w:szCs w:val="18"/>
              </w:rPr>
              <w:t>1</w:t>
            </w:r>
            <w:r w:rsidRPr="00DD337A">
              <w:rPr>
                <w:b/>
                <w:sz w:val="18"/>
                <w:szCs w:val="18"/>
              </w:rPr>
              <w:t>.124.816.856.453</w:t>
            </w:r>
          </w:p>
        </w:tc>
        <w:tc>
          <w:tcPr>
            <w:tcW w:w="145" w:type="dxa"/>
            <w:vAlign w:val="bottom"/>
          </w:tcPr>
          <w:p w14:paraId="750E5835" w14:textId="77777777" w:rsidR="00C16C7F" w:rsidRPr="00DE189C" w:rsidRDefault="00C16C7F" w:rsidP="00C16C7F">
            <w:pPr>
              <w:ind w:right="57"/>
              <w:jc w:val="right"/>
              <w:rPr>
                <w:b/>
                <w:sz w:val="18"/>
                <w:szCs w:val="18"/>
              </w:rPr>
            </w:pPr>
          </w:p>
        </w:tc>
        <w:tc>
          <w:tcPr>
            <w:tcW w:w="1306" w:type="dxa"/>
            <w:tcBorders>
              <w:bottom w:val="double" w:sz="4" w:space="0" w:color="auto"/>
            </w:tcBorders>
            <w:vAlign w:val="bottom"/>
          </w:tcPr>
          <w:p w14:paraId="425ADDEB" w14:textId="7F4E2683" w:rsidR="00C16C7F" w:rsidRPr="004C0A20" w:rsidRDefault="004C0A20" w:rsidP="00C16C7F">
            <w:pPr>
              <w:ind w:right="28"/>
              <w:jc w:val="right"/>
              <w:rPr>
                <w:b/>
                <w:sz w:val="18"/>
                <w:szCs w:val="18"/>
              </w:rPr>
            </w:pPr>
            <w:r w:rsidRPr="004C0A20">
              <w:rPr>
                <w:b/>
                <w:sz w:val="18"/>
                <w:szCs w:val="18"/>
              </w:rPr>
              <w:t>13.166.532.108</w:t>
            </w:r>
          </w:p>
        </w:tc>
        <w:tc>
          <w:tcPr>
            <w:tcW w:w="145" w:type="dxa"/>
            <w:vAlign w:val="bottom"/>
          </w:tcPr>
          <w:p w14:paraId="3300532B" w14:textId="77777777" w:rsidR="00C16C7F" w:rsidRPr="00DA3B6D" w:rsidRDefault="00C16C7F" w:rsidP="00C16C7F">
            <w:pPr>
              <w:ind w:right="57"/>
              <w:jc w:val="right"/>
              <w:rPr>
                <w:b/>
                <w:sz w:val="18"/>
                <w:szCs w:val="18"/>
              </w:rPr>
            </w:pPr>
          </w:p>
        </w:tc>
        <w:tc>
          <w:tcPr>
            <w:tcW w:w="1450" w:type="dxa"/>
            <w:tcBorders>
              <w:bottom w:val="double" w:sz="4" w:space="0" w:color="auto"/>
            </w:tcBorders>
            <w:vAlign w:val="bottom"/>
          </w:tcPr>
          <w:p w14:paraId="2E836772" w14:textId="307C72FB" w:rsidR="00C16C7F" w:rsidRPr="00DA3B6D" w:rsidRDefault="001A6B9B" w:rsidP="00C16C7F">
            <w:pPr>
              <w:ind w:right="28"/>
              <w:jc w:val="right"/>
              <w:rPr>
                <w:b/>
                <w:sz w:val="18"/>
                <w:szCs w:val="18"/>
              </w:rPr>
            </w:pPr>
            <w:r w:rsidRPr="00DA3B6D">
              <w:rPr>
                <w:b/>
                <w:sz w:val="18"/>
                <w:szCs w:val="18"/>
              </w:rPr>
              <w:t>2.000.000.000</w:t>
            </w:r>
          </w:p>
        </w:tc>
        <w:tc>
          <w:tcPr>
            <w:tcW w:w="145" w:type="dxa"/>
            <w:vAlign w:val="bottom"/>
          </w:tcPr>
          <w:p w14:paraId="02245D8E" w14:textId="77777777" w:rsidR="00C16C7F" w:rsidRPr="00DA3B6D" w:rsidRDefault="00C16C7F" w:rsidP="00C16C7F">
            <w:pPr>
              <w:ind w:right="57"/>
              <w:jc w:val="right"/>
              <w:rPr>
                <w:b/>
                <w:sz w:val="18"/>
                <w:szCs w:val="18"/>
              </w:rPr>
            </w:pPr>
          </w:p>
        </w:tc>
        <w:tc>
          <w:tcPr>
            <w:tcW w:w="1306" w:type="dxa"/>
            <w:tcBorders>
              <w:bottom w:val="double" w:sz="4" w:space="0" w:color="auto"/>
            </w:tcBorders>
            <w:vAlign w:val="bottom"/>
          </w:tcPr>
          <w:p w14:paraId="4825BB98" w14:textId="2AB878D9" w:rsidR="00C16C7F" w:rsidRPr="004C0A20" w:rsidRDefault="00D14FB0" w:rsidP="009734DA">
            <w:pPr>
              <w:ind w:right="28"/>
              <w:jc w:val="right"/>
              <w:rPr>
                <w:b/>
                <w:sz w:val="18"/>
                <w:szCs w:val="18"/>
                <w:lang w:val="id-ID"/>
              </w:rPr>
            </w:pPr>
            <w:r w:rsidRPr="004C0A20">
              <w:rPr>
                <w:sz w:val="18"/>
                <w:szCs w:val="18"/>
              </w:rPr>
              <w:t>5</w:t>
            </w:r>
            <w:r w:rsidR="00BC55B6" w:rsidRPr="004C0A20">
              <w:rPr>
                <w:sz w:val="18"/>
                <w:szCs w:val="18"/>
              </w:rPr>
              <w:t>3.</w:t>
            </w:r>
            <w:r w:rsidR="00BC55B6" w:rsidRPr="004C0A20">
              <w:rPr>
                <w:sz w:val="18"/>
                <w:szCs w:val="18"/>
                <w:lang w:val="id-ID"/>
              </w:rPr>
              <w:t>21</w:t>
            </w:r>
            <w:r w:rsidR="00BC55B6" w:rsidRPr="004C0A20">
              <w:rPr>
                <w:sz w:val="18"/>
                <w:szCs w:val="18"/>
              </w:rPr>
              <w:t>4.0</w:t>
            </w:r>
            <w:r w:rsidR="00BC55B6" w:rsidRPr="004C0A20">
              <w:rPr>
                <w:sz w:val="18"/>
                <w:szCs w:val="18"/>
                <w:lang w:val="id-ID"/>
              </w:rPr>
              <w:t>08</w:t>
            </w:r>
            <w:r w:rsidR="00BC55B6" w:rsidRPr="004C0A20">
              <w:rPr>
                <w:sz w:val="18"/>
                <w:szCs w:val="18"/>
              </w:rPr>
              <w:t>.0</w:t>
            </w:r>
            <w:r w:rsidR="00BC55B6" w:rsidRPr="004C0A20">
              <w:rPr>
                <w:sz w:val="18"/>
                <w:szCs w:val="18"/>
                <w:lang w:val="id-ID"/>
              </w:rPr>
              <w:t>04</w:t>
            </w:r>
          </w:p>
        </w:tc>
        <w:tc>
          <w:tcPr>
            <w:tcW w:w="144" w:type="dxa"/>
            <w:vAlign w:val="bottom"/>
          </w:tcPr>
          <w:p w14:paraId="6A9A9A19" w14:textId="77777777" w:rsidR="00C16C7F" w:rsidRPr="004C0A20" w:rsidRDefault="00C16C7F" w:rsidP="00C16C7F">
            <w:pPr>
              <w:ind w:right="57"/>
              <w:jc w:val="right"/>
              <w:rPr>
                <w:b/>
                <w:sz w:val="18"/>
                <w:szCs w:val="18"/>
              </w:rPr>
            </w:pPr>
          </w:p>
        </w:tc>
        <w:tc>
          <w:tcPr>
            <w:tcW w:w="1451" w:type="dxa"/>
            <w:tcBorders>
              <w:bottom w:val="double" w:sz="4" w:space="0" w:color="auto"/>
            </w:tcBorders>
            <w:vAlign w:val="bottom"/>
          </w:tcPr>
          <w:p w14:paraId="4816A6CB" w14:textId="3EFB8FDA" w:rsidR="00C16C7F" w:rsidRPr="004C0A20" w:rsidRDefault="00D14FB0" w:rsidP="009734DA">
            <w:pPr>
              <w:ind w:right="28"/>
              <w:jc w:val="right"/>
              <w:rPr>
                <w:b/>
                <w:sz w:val="18"/>
                <w:szCs w:val="18"/>
              </w:rPr>
            </w:pPr>
            <w:r w:rsidRPr="004C0A20">
              <w:rPr>
                <w:sz w:val="18"/>
                <w:szCs w:val="18"/>
              </w:rPr>
              <w:t>2.39</w:t>
            </w:r>
            <w:r w:rsidR="009734DA" w:rsidRPr="004C0A20">
              <w:rPr>
                <w:sz w:val="18"/>
                <w:szCs w:val="18"/>
              </w:rPr>
              <w:t>3.267.941.065</w:t>
            </w:r>
          </w:p>
        </w:tc>
        <w:tc>
          <w:tcPr>
            <w:tcW w:w="145" w:type="dxa"/>
            <w:vAlign w:val="bottom"/>
          </w:tcPr>
          <w:p w14:paraId="2809A14C" w14:textId="77777777" w:rsidR="00C16C7F" w:rsidRPr="00DE189C" w:rsidRDefault="00C16C7F" w:rsidP="00C16C7F">
            <w:pPr>
              <w:ind w:right="57"/>
              <w:jc w:val="right"/>
              <w:rPr>
                <w:b/>
                <w:sz w:val="18"/>
                <w:szCs w:val="18"/>
              </w:rPr>
            </w:pPr>
          </w:p>
        </w:tc>
        <w:tc>
          <w:tcPr>
            <w:tcW w:w="2504" w:type="dxa"/>
            <w:vAlign w:val="bottom"/>
          </w:tcPr>
          <w:p w14:paraId="147DBB80" w14:textId="77777777" w:rsidR="00C16C7F" w:rsidRPr="00DE189C" w:rsidRDefault="00C16C7F" w:rsidP="00C16C7F">
            <w:pPr>
              <w:ind w:right="28"/>
              <w:jc w:val="right"/>
              <w:rPr>
                <w:b/>
                <w:i/>
                <w:sz w:val="18"/>
                <w:szCs w:val="18"/>
              </w:rPr>
            </w:pPr>
            <w:r w:rsidRPr="00DE189C">
              <w:rPr>
                <w:b/>
                <w:i/>
                <w:sz w:val="18"/>
                <w:szCs w:val="18"/>
              </w:rPr>
              <w:t xml:space="preserve">Balance as of </w:t>
            </w:r>
          </w:p>
          <w:p w14:paraId="368EDDA4" w14:textId="331BA888" w:rsidR="00C16C7F" w:rsidRPr="00DE189C" w:rsidRDefault="0080399C" w:rsidP="0080399C">
            <w:pPr>
              <w:ind w:right="219"/>
              <w:jc w:val="right"/>
              <w:rPr>
                <w:b/>
                <w:i/>
                <w:sz w:val="18"/>
                <w:szCs w:val="18"/>
              </w:rPr>
            </w:pPr>
            <w:r>
              <w:rPr>
                <w:b/>
                <w:i/>
                <w:sz w:val="18"/>
                <w:szCs w:val="18"/>
              </w:rPr>
              <w:t>March</w:t>
            </w:r>
            <w:r w:rsidR="00C16C7F" w:rsidRPr="00DE189C">
              <w:rPr>
                <w:b/>
                <w:i/>
                <w:sz w:val="18"/>
                <w:szCs w:val="18"/>
              </w:rPr>
              <w:t xml:space="preserve"> 31</w:t>
            </w:r>
            <w:r w:rsidR="00C16C7F">
              <w:rPr>
                <w:b/>
                <w:i/>
                <w:sz w:val="18"/>
                <w:szCs w:val="18"/>
              </w:rPr>
              <w:t>.</w:t>
            </w:r>
            <w:r w:rsidR="00C16C7F" w:rsidRPr="00DE189C">
              <w:rPr>
                <w:b/>
                <w:i/>
                <w:sz w:val="18"/>
                <w:szCs w:val="18"/>
              </w:rPr>
              <w:t xml:space="preserve"> 20</w:t>
            </w:r>
            <w:r>
              <w:rPr>
                <w:b/>
                <w:i/>
                <w:sz w:val="18"/>
                <w:szCs w:val="18"/>
              </w:rPr>
              <w:t>20</w:t>
            </w:r>
          </w:p>
        </w:tc>
      </w:tr>
    </w:tbl>
    <w:p w14:paraId="2300E004" w14:textId="42617E7E" w:rsidR="00032446" w:rsidRDefault="00032446" w:rsidP="00C02FB7">
      <w:pPr>
        <w:rPr>
          <w:sz w:val="18"/>
          <w:szCs w:val="18"/>
        </w:rPr>
      </w:pPr>
    </w:p>
    <w:p w14:paraId="1430E863" w14:textId="77777777" w:rsidR="00032446" w:rsidRPr="00032446" w:rsidRDefault="00032446" w:rsidP="00032446">
      <w:pPr>
        <w:rPr>
          <w:sz w:val="18"/>
          <w:szCs w:val="18"/>
        </w:rPr>
      </w:pPr>
    </w:p>
    <w:p w14:paraId="1BA38560" w14:textId="77777777" w:rsidR="00032446" w:rsidRPr="00032446" w:rsidRDefault="00032446" w:rsidP="00032446">
      <w:pPr>
        <w:rPr>
          <w:sz w:val="18"/>
          <w:szCs w:val="18"/>
        </w:rPr>
      </w:pPr>
    </w:p>
    <w:p w14:paraId="23815A13" w14:textId="77777777" w:rsidR="00032446" w:rsidRPr="00032446" w:rsidRDefault="00032446" w:rsidP="00032446">
      <w:pPr>
        <w:rPr>
          <w:sz w:val="18"/>
          <w:szCs w:val="18"/>
        </w:rPr>
      </w:pPr>
    </w:p>
    <w:p w14:paraId="447F616D" w14:textId="77777777" w:rsidR="00032446" w:rsidRPr="00032446" w:rsidRDefault="00032446" w:rsidP="00032446">
      <w:pPr>
        <w:rPr>
          <w:sz w:val="18"/>
          <w:szCs w:val="18"/>
        </w:rPr>
      </w:pPr>
    </w:p>
    <w:p w14:paraId="7DB8FAAE" w14:textId="77777777" w:rsidR="00032446" w:rsidRPr="00032446" w:rsidRDefault="00032446" w:rsidP="00032446">
      <w:pPr>
        <w:rPr>
          <w:sz w:val="18"/>
          <w:szCs w:val="18"/>
        </w:rPr>
      </w:pPr>
    </w:p>
    <w:p w14:paraId="313E7493" w14:textId="3C75E56A" w:rsidR="00032446" w:rsidRDefault="00032446" w:rsidP="00032446">
      <w:pPr>
        <w:rPr>
          <w:sz w:val="18"/>
          <w:szCs w:val="18"/>
        </w:rPr>
      </w:pPr>
    </w:p>
    <w:p w14:paraId="1C59F090" w14:textId="77777777" w:rsidR="00032446" w:rsidRPr="00032446" w:rsidRDefault="00032446" w:rsidP="00032446">
      <w:pPr>
        <w:rPr>
          <w:sz w:val="18"/>
          <w:szCs w:val="18"/>
        </w:rPr>
      </w:pPr>
    </w:p>
    <w:p w14:paraId="49A80782" w14:textId="1F05F26B" w:rsidR="00375AB2" w:rsidRPr="00032446" w:rsidRDefault="00032446" w:rsidP="00032446">
      <w:pPr>
        <w:tabs>
          <w:tab w:val="left" w:pos="3396"/>
        </w:tabs>
        <w:rPr>
          <w:sz w:val="18"/>
          <w:szCs w:val="18"/>
        </w:rPr>
        <w:sectPr w:rsidR="00375AB2" w:rsidRPr="00032446" w:rsidSect="00375AB2">
          <w:headerReference w:type="default" r:id="rId60"/>
          <w:pgSz w:w="16840" w:h="11907" w:orient="landscape" w:code="9"/>
          <w:pgMar w:top="1559" w:right="1701" w:bottom="992" w:left="1134" w:header="850" w:footer="397" w:gutter="0"/>
          <w:cols w:space="720"/>
          <w:docGrid w:linePitch="360"/>
        </w:sectPr>
      </w:pPr>
      <w:r>
        <w:rPr>
          <w:sz w:val="18"/>
          <w:szCs w:val="18"/>
        </w:rPr>
        <w:tab/>
      </w:r>
      <w:r>
        <w:rPr>
          <w:sz w:val="18"/>
          <w:szCs w:val="18"/>
        </w:rPr>
        <w:tab/>
      </w:r>
    </w:p>
    <w:tbl>
      <w:tblPr>
        <w:tblW w:w="9197" w:type="dxa"/>
        <w:tblInd w:w="140" w:type="dxa"/>
        <w:tblCellMar>
          <w:left w:w="0" w:type="dxa"/>
          <w:right w:w="0" w:type="dxa"/>
        </w:tblCellMar>
        <w:tblLook w:val="01E0" w:firstRow="1" w:lastRow="1" w:firstColumn="1" w:lastColumn="1" w:noHBand="0" w:noVBand="0"/>
      </w:tblPr>
      <w:tblGrid>
        <w:gridCol w:w="3045"/>
        <w:gridCol w:w="62"/>
        <w:gridCol w:w="1452"/>
        <w:gridCol w:w="63"/>
        <w:gridCol w:w="1467"/>
        <w:gridCol w:w="63"/>
        <w:gridCol w:w="3045"/>
      </w:tblGrid>
      <w:tr w:rsidR="00375AB2" w:rsidRPr="00DE189C" w14:paraId="39D55658" w14:textId="77777777" w:rsidTr="001853DC">
        <w:trPr>
          <w:trHeight w:val="20"/>
        </w:trPr>
        <w:tc>
          <w:tcPr>
            <w:tcW w:w="3045" w:type="dxa"/>
          </w:tcPr>
          <w:p w14:paraId="583DA858" w14:textId="77777777" w:rsidR="00375AB2" w:rsidRPr="00DE189C" w:rsidRDefault="00375AB2" w:rsidP="00101586">
            <w:pPr>
              <w:rPr>
                <w:sz w:val="18"/>
                <w:szCs w:val="18"/>
                <w:lang w:val="id-ID"/>
              </w:rPr>
            </w:pPr>
          </w:p>
        </w:tc>
        <w:tc>
          <w:tcPr>
            <w:tcW w:w="62" w:type="dxa"/>
            <w:tcMar>
              <w:left w:w="28" w:type="dxa"/>
              <w:right w:w="28" w:type="dxa"/>
            </w:tcMar>
          </w:tcPr>
          <w:p w14:paraId="507019E6" w14:textId="77777777" w:rsidR="00375AB2" w:rsidRPr="00DE189C" w:rsidRDefault="00375AB2" w:rsidP="00101586">
            <w:pPr>
              <w:jc w:val="center"/>
              <w:rPr>
                <w:b/>
                <w:caps/>
                <w:sz w:val="18"/>
                <w:szCs w:val="18"/>
                <w:lang w:val="sv-SE"/>
              </w:rPr>
            </w:pPr>
          </w:p>
        </w:tc>
        <w:tc>
          <w:tcPr>
            <w:tcW w:w="1452" w:type="dxa"/>
            <w:vAlign w:val="bottom"/>
          </w:tcPr>
          <w:p w14:paraId="4611970B" w14:textId="77777777" w:rsidR="007B2E37" w:rsidRDefault="007B2E37" w:rsidP="00101586">
            <w:pPr>
              <w:ind w:right="57"/>
              <w:jc w:val="center"/>
              <w:rPr>
                <w:b/>
                <w:caps/>
                <w:sz w:val="18"/>
                <w:szCs w:val="18"/>
              </w:rPr>
            </w:pPr>
            <w:r>
              <w:rPr>
                <w:b/>
                <w:caps/>
                <w:sz w:val="18"/>
                <w:szCs w:val="18"/>
              </w:rPr>
              <w:t>31 Maret/</w:t>
            </w:r>
          </w:p>
          <w:p w14:paraId="779E75E7" w14:textId="63325780" w:rsidR="00375AB2" w:rsidRPr="00DE189C" w:rsidRDefault="007B2E37" w:rsidP="00101586">
            <w:pPr>
              <w:ind w:right="57"/>
              <w:jc w:val="center"/>
              <w:rPr>
                <w:b/>
                <w:caps/>
                <w:sz w:val="18"/>
                <w:szCs w:val="18"/>
                <w:lang w:val="en-ID"/>
              </w:rPr>
            </w:pPr>
            <w:r>
              <w:rPr>
                <w:b/>
                <w:caps/>
                <w:sz w:val="18"/>
                <w:szCs w:val="18"/>
              </w:rPr>
              <w:t>march 31</w:t>
            </w:r>
            <w:r w:rsidR="00870FD0">
              <w:rPr>
                <w:b/>
                <w:caps/>
                <w:sz w:val="18"/>
                <w:szCs w:val="18"/>
              </w:rPr>
              <w:t>.</w:t>
            </w:r>
            <w:r>
              <w:rPr>
                <w:b/>
                <w:caps/>
                <w:sz w:val="18"/>
                <w:szCs w:val="18"/>
              </w:rPr>
              <w:t xml:space="preserve"> </w:t>
            </w:r>
            <w:r>
              <w:rPr>
                <w:b/>
                <w:caps/>
                <w:sz w:val="18"/>
                <w:szCs w:val="18"/>
                <w:lang w:val="id-ID"/>
              </w:rPr>
              <w:t>2020</w:t>
            </w:r>
          </w:p>
        </w:tc>
        <w:tc>
          <w:tcPr>
            <w:tcW w:w="63" w:type="dxa"/>
            <w:tcMar>
              <w:left w:w="28" w:type="dxa"/>
              <w:right w:w="28" w:type="dxa"/>
            </w:tcMar>
          </w:tcPr>
          <w:p w14:paraId="151E0799" w14:textId="77777777" w:rsidR="00375AB2" w:rsidRPr="00DE189C" w:rsidRDefault="00375AB2" w:rsidP="00101586">
            <w:pPr>
              <w:ind w:left="57" w:right="57"/>
              <w:jc w:val="center"/>
              <w:rPr>
                <w:b/>
                <w:caps/>
                <w:sz w:val="18"/>
                <w:szCs w:val="18"/>
                <w:lang w:val="sv-SE"/>
              </w:rPr>
            </w:pPr>
          </w:p>
        </w:tc>
        <w:tc>
          <w:tcPr>
            <w:tcW w:w="1467" w:type="dxa"/>
            <w:vAlign w:val="bottom"/>
          </w:tcPr>
          <w:p w14:paraId="3C2F1309" w14:textId="77777777" w:rsidR="007B2E37" w:rsidRDefault="007B2E37" w:rsidP="00101586">
            <w:pPr>
              <w:ind w:right="57"/>
              <w:jc w:val="center"/>
              <w:rPr>
                <w:b/>
                <w:sz w:val="18"/>
                <w:szCs w:val="18"/>
              </w:rPr>
            </w:pPr>
            <w:r>
              <w:rPr>
                <w:b/>
                <w:sz w:val="18"/>
                <w:szCs w:val="18"/>
              </w:rPr>
              <w:t>31 MARET/</w:t>
            </w:r>
          </w:p>
          <w:p w14:paraId="3C16229E" w14:textId="305FC7BB" w:rsidR="00375AB2" w:rsidRPr="00DE189C" w:rsidRDefault="007B2E37" w:rsidP="00101586">
            <w:pPr>
              <w:ind w:right="57"/>
              <w:jc w:val="center"/>
              <w:rPr>
                <w:b/>
                <w:caps/>
                <w:sz w:val="18"/>
                <w:szCs w:val="18"/>
                <w:lang w:val="en-ID"/>
              </w:rPr>
            </w:pPr>
            <w:r>
              <w:rPr>
                <w:b/>
                <w:sz w:val="18"/>
                <w:szCs w:val="18"/>
              </w:rPr>
              <w:t>MARCH 31</w:t>
            </w:r>
            <w:r w:rsidR="00870FD0">
              <w:rPr>
                <w:b/>
                <w:sz w:val="18"/>
                <w:szCs w:val="18"/>
              </w:rPr>
              <w:t>.</w:t>
            </w:r>
            <w:r>
              <w:rPr>
                <w:b/>
                <w:sz w:val="18"/>
                <w:szCs w:val="18"/>
              </w:rPr>
              <w:t xml:space="preserve"> 2019</w:t>
            </w:r>
          </w:p>
        </w:tc>
        <w:tc>
          <w:tcPr>
            <w:tcW w:w="63" w:type="dxa"/>
            <w:tcMar>
              <w:left w:w="28" w:type="dxa"/>
              <w:right w:w="28" w:type="dxa"/>
            </w:tcMar>
          </w:tcPr>
          <w:p w14:paraId="383ADD6B" w14:textId="77777777" w:rsidR="00375AB2" w:rsidRPr="00DE189C" w:rsidRDefault="00375AB2" w:rsidP="00101586">
            <w:pPr>
              <w:jc w:val="right"/>
              <w:rPr>
                <w:b/>
                <w:caps/>
                <w:sz w:val="18"/>
                <w:szCs w:val="18"/>
                <w:lang w:val="sv-SE"/>
              </w:rPr>
            </w:pPr>
          </w:p>
        </w:tc>
        <w:tc>
          <w:tcPr>
            <w:tcW w:w="3045" w:type="dxa"/>
          </w:tcPr>
          <w:p w14:paraId="454D196D" w14:textId="77777777" w:rsidR="00375AB2" w:rsidRPr="00DE189C" w:rsidRDefault="00375AB2" w:rsidP="00101586">
            <w:pPr>
              <w:ind w:right="34"/>
              <w:jc w:val="right"/>
              <w:rPr>
                <w:i/>
                <w:sz w:val="18"/>
                <w:szCs w:val="18"/>
              </w:rPr>
            </w:pPr>
          </w:p>
        </w:tc>
      </w:tr>
      <w:tr w:rsidR="00375AB2" w:rsidRPr="00DE189C" w14:paraId="5893D88B" w14:textId="77777777" w:rsidTr="001853DC">
        <w:trPr>
          <w:trHeight w:val="20"/>
        </w:trPr>
        <w:tc>
          <w:tcPr>
            <w:tcW w:w="3045" w:type="dxa"/>
          </w:tcPr>
          <w:p w14:paraId="485E4F73" w14:textId="74FA06D9" w:rsidR="00375AB2" w:rsidRPr="00DE189C" w:rsidRDefault="00375AB2" w:rsidP="00101586">
            <w:pPr>
              <w:ind w:left="113"/>
              <w:rPr>
                <w:sz w:val="18"/>
                <w:szCs w:val="18"/>
                <w:lang w:val="sv-SE"/>
              </w:rPr>
            </w:pPr>
          </w:p>
        </w:tc>
        <w:tc>
          <w:tcPr>
            <w:tcW w:w="62" w:type="dxa"/>
            <w:tcMar>
              <w:left w:w="28" w:type="dxa"/>
              <w:right w:w="28" w:type="dxa"/>
            </w:tcMar>
          </w:tcPr>
          <w:p w14:paraId="651AD4AE" w14:textId="77777777" w:rsidR="00375AB2" w:rsidRPr="00DE189C" w:rsidRDefault="00375AB2" w:rsidP="00101586">
            <w:pPr>
              <w:jc w:val="center"/>
              <w:rPr>
                <w:b/>
                <w:caps/>
                <w:sz w:val="18"/>
                <w:szCs w:val="18"/>
                <w:lang w:val="sv-SE"/>
              </w:rPr>
            </w:pPr>
          </w:p>
        </w:tc>
        <w:tc>
          <w:tcPr>
            <w:tcW w:w="1452" w:type="dxa"/>
            <w:vAlign w:val="bottom"/>
          </w:tcPr>
          <w:p w14:paraId="515DF240" w14:textId="77777777" w:rsidR="00375AB2" w:rsidRPr="00DE189C" w:rsidRDefault="00375AB2" w:rsidP="00101586">
            <w:pPr>
              <w:ind w:left="57" w:right="12"/>
              <w:jc w:val="right"/>
              <w:rPr>
                <w:b/>
                <w:sz w:val="18"/>
                <w:szCs w:val="18"/>
              </w:rPr>
            </w:pPr>
          </w:p>
        </w:tc>
        <w:tc>
          <w:tcPr>
            <w:tcW w:w="63" w:type="dxa"/>
            <w:tcMar>
              <w:left w:w="28" w:type="dxa"/>
              <w:right w:w="28" w:type="dxa"/>
            </w:tcMar>
            <w:vAlign w:val="bottom"/>
          </w:tcPr>
          <w:p w14:paraId="1C234F54" w14:textId="77777777" w:rsidR="00375AB2" w:rsidRPr="00DE189C" w:rsidRDefault="00375AB2" w:rsidP="00101586">
            <w:pPr>
              <w:ind w:left="57" w:right="12"/>
              <w:jc w:val="right"/>
              <w:rPr>
                <w:caps/>
                <w:sz w:val="18"/>
                <w:szCs w:val="18"/>
                <w:lang w:val="sv-SE"/>
              </w:rPr>
            </w:pPr>
          </w:p>
        </w:tc>
        <w:tc>
          <w:tcPr>
            <w:tcW w:w="1467" w:type="dxa"/>
            <w:vAlign w:val="bottom"/>
          </w:tcPr>
          <w:p w14:paraId="11A70756" w14:textId="77777777" w:rsidR="00375AB2" w:rsidRPr="00DE189C" w:rsidRDefault="00375AB2" w:rsidP="00101586">
            <w:pPr>
              <w:ind w:left="57" w:right="12"/>
              <w:jc w:val="right"/>
              <w:rPr>
                <w:b/>
                <w:sz w:val="18"/>
                <w:szCs w:val="18"/>
              </w:rPr>
            </w:pPr>
          </w:p>
        </w:tc>
        <w:tc>
          <w:tcPr>
            <w:tcW w:w="63" w:type="dxa"/>
            <w:tcMar>
              <w:left w:w="28" w:type="dxa"/>
              <w:right w:w="28" w:type="dxa"/>
            </w:tcMar>
          </w:tcPr>
          <w:p w14:paraId="4FD11C19" w14:textId="77777777" w:rsidR="00375AB2" w:rsidRPr="00DE189C" w:rsidRDefault="00375AB2" w:rsidP="00101586">
            <w:pPr>
              <w:jc w:val="right"/>
              <w:rPr>
                <w:b/>
                <w:caps/>
                <w:sz w:val="18"/>
                <w:szCs w:val="18"/>
                <w:lang w:val="sv-SE"/>
              </w:rPr>
            </w:pPr>
          </w:p>
        </w:tc>
        <w:tc>
          <w:tcPr>
            <w:tcW w:w="3045" w:type="dxa"/>
          </w:tcPr>
          <w:p w14:paraId="242FCB38" w14:textId="77777777" w:rsidR="00375AB2" w:rsidRPr="00DE189C" w:rsidRDefault="00375AB2" w:rsidP="00101586">
            <w:pPr>
              <w:ind w:right="34"/>
              <w:jc w:val="right"/>
              <w:rPr>
                <w:i/>
                <w:sz w:val="18"/>
                <w:szCs w:val="18"/>
              </w:rPr>
            </w:pPr>
          </w:p>
        </w:tc>
      </w:tr>
      <w:tr w:rsidR="00375AB2" w:rsidRPr="00DE189C" w14:paraId="3D1D937B" w14:textId="77777777" w:rsidTr="001853DC">
        <w:trPr>
          <w:trHeight w:val="20"/>
        </w:trPr>
        <w:tc>
          <w:tcPr>
            <w:tcW w:w="3045" w:type="dxa"/>
            <w:vAlign w:val="bottom"/>
          </w:tcPr>
          <w:p w14:paraId="3AE724FD" w14:textId="77777777" w:rsidR="00375AB2" w:rsidRPr="00DE189C" w:rsidRDefault="00375AB2" w:rsidP="00101586">
            <w:pPr>
              <w:ind w:left="283" w:hanging="170"/>
              <w:rPr>
                <w:b/>
                <w:caps/>
                <w:sz w:val="18"/>
                <w:szCs w:val="18"/>
                <w:lang w:val="sv-SE"/>
              </w:rPr>
            </w:pPr>
            <w:r w:rsidRPr="00DE189C">
              <w:rPr>
                <w:b/>
                <w:caps/>
                <w:sz w:val="18"/>
                <w:szCs w:val="18"/>
                <w:lang w:val="sv-SE"/>
              </w:rPr>
              <w:t>ARUS kas dari</w:t>
            </w:r>
            <w:r>
              <w:rPr>
                <w:b/>
                <w:caps/>
                <w:sz w:val="18"/>
                <w:szCs w:val="18"/>
                <w:lang w:val="sv-SE"/>
              </w:rPr>
              <w:t xml:space="preserve"> </w:t>
            </w:r>
          </w:p>
          <w:p w14:paraId="5082C53E" w14:textId="77777777" w:rsidR="00375AB2" w:rsidRPr="00DE189C" w:rsidRDefault="00375AB2" w:rsidP="00101586">
            <w:pPr>
              <w:ind w:left="283" w:firstLine="10"/>
              <w:rPr>
                <w:b/>
                <w:sz w:val="18"/>
                <w:szCs w:val="18"/>
                <w:lang w:val="sv-SE"/>
              </w:rPr>
            </w:pPr>
            <w:r w:rsidRPr="00DE189C">
              <w:rPr>
                <w:b/>
                <w:caps/>
                <w:sz w:val="18"/>
                <w:szCs w:val="18"/>
                <w:lang w:val="sv-SE"/>
              </w:rPr>
              <w:t>aktivitas operasi</w:t>
            </w:r>
          </w:p>
        </w:tc>
        <w:tc>
          <w:tcPr>
            <w:tcW w:w="62" w:type="dxa"/>
            <w:tcMar>
              <w:left w:w="28" w:type="dxa"/>
              <w:right w:w="28" w:type="dxa"/>
            </w:tcMar>
          </w:tcPr>
          <w:p w14:paraId="43D5B25E" w14:textId="77777777" w:rsidR="00375AB2" w:rsidRPr="00DE189C" w:rsidRDefault="00375AB2" w:rsidP="00101586">
            <w:pPr>
              <w:jc w:val="center"/>
              <w:rPr>
                <w:b/>
                <w:caps/>
                <w:sz w:val="18"/>
                <w:szCs w:val="18"/>
                <w:lang w:val="sv-SE"/>
              </w:rPr>
            </w:pPr>
          </w:p>
        </w:tc>
        <w:tc>
          <w:tcPr>
            <w:tcW w:w="1452" w:type="dxa"/>
            <w:vAlign w:val="bottom"/>
          </w:tcPr>
          <w:p w14:paraId="782887A0" w14:textId="77777777" w:rsidR="00375AB2" w:rsidRPr="00DE189C" w:rsidRDefault="00375AB2" w:rsidP="00101586">
            <w:pPr>
              <w:ind w:left="57" w:right="12"/>
              <w:jc w:val="right"/>
              <w:rPr>
                <w:b/>
                <w:caps/>
                <w:sz w:val="18"/>
                <w:szCs w:val="18"/>
                <w:lang w:val="sv-SE"/>
              </w:rPr>
            </w:pPr>
          </w:p>
        </w:tc>
        <w:tc>
          <w:tcPr>
            <w:tcW w:w="63" w:type="dxa"/>
            <w:tcMar>
              <w:left w:w="28" w:type="dxa"/>
              <w:right w:w="28" w:type="dxa"/>
            </w:tcMar>
            <w:vAlign w:val="bottom"/>
          </w:tcPr>
          <w:p w14:paraId="45E81044" w14:textId="77777777" w:rsidR="00375AB2" w:rsidRPr="00DE189C" w:rsidRDefault="00375AB2" w:rsidP="00101586">
            <w:pPr>
              <w:ind w:left="57" w:right="12"/>
              <w:jc w:val="right"/>
              <w:rPr>
                <w:b/>
                <w:caps/>
                <w:sz w:val="18"/>
                <w:szCs w:val="18"/>
                <w:lang w:val="sv-SE"/>
              </w:rPr>
            </w:pPr>
          </w:p>
        </w:tc>
        <w:tc>
          <w:tcPr>
            <w:tcW w:w="1467" w:type="dxa"/>
            <w:vAlign w:val="bottom"/>
          </w:tcPr>
          <w:p w14:paraId="72C4E661" w14:textId="77777777" w:rsidR="00375AB2" w:rsidRPr="00DE189C" w:rsidRDefault="00375AB2" w:rsidP="00101586">
            <w:pPr>
              <w:ind w:left="57" w:right="12"/>
              <w:jc w:val="right"/>
              <w:rPr>
                <w:b/>
                <w:caps/>
                <w:sz w:val="18"/>
                <w:szCs w:val="18"/>
                <w:lang w:val="sv-SE"/>
              </w:rPr>
            </w:pPr>
          </w:p>
        </w:tc>
        <w:tc>
          <w:tcPr>
            <w:tcW w:w="63" w:type="dxa"/>
            <w:tcMar>
              <w:left w:w="28" w:type="dxa"/>
              <w:right w:w="28" w:type="dxa"/>
            </w:tcMar>
          </w:tcPr>
          <w:p w14:paraId="06C703BD" w14:textId="77777777" w:rsidR="00375AB2" w:rsidRPr="00DE189C" w:rsidRDefault="00375AB2" w:rsidP="00101586">
            <w:pPr>
              <w:jc w:val="right"/>
              <w:rPr>
                <w:b/>
                <w:caps/>
                <w:sz w:val="18"/>
                <w:szCs w:val="18"/>
                <w:lang w:val="sv-SE"/>
              </w:rPr>
            </w:pPr>
          </w:p>
        </w:tc>
        <w:tc>
          <w:tcPr>
            <w:tcW w:w="3045" w:type="dxa"/>
            <w:vAlign w:val="bottom"/>
          </w:tcPr>
          <w:p w14:paraId="1BE71DBD" w14:textId="77777777" w:rsidR="00375AB2" w:rsidRPr="00DE189C" w:rsidRDefault="00375AB2" w:rsidP="00101586">
            <w:pPr>
              <w:ind w:right="75"/>
              <w:jc w:val="right"/>
              <w:rPr>
                <w:b/>
                <w:i/>
                <w:sz w:val="18"/>
                <w:szCs w:val="18"/>
              </w:rPr>
            </w:pPr>
            <w:r w:rsidRPr="00DE189C">
              <w:rPr>
                <w:b/>
                <w:i/>
                <w:sz w:val="18"/>
                <w:szCs w:val="18"/>
              </w:rPr>
              <w:t>CASH FLOWS FROM</w:t>
            </w:r>
          </w:p>
          <w:p w14:paraId="0C6C985B" w14:textId="77777777" w:rsidR="00375AB2" w:rsidRPr="00DE189C" w:rsidRDefault="00375AB2" w:rsidP="00101586">
            <w:pPr>
              <w:ind w:right="255"/>
              <w:jc w:val="right"/>
              <w:rPr>
                <w:b/>
                <w:i/>
                <w:sz w:val="18"/>
                <w:szCs w:val="18"/>
              </w:rPr>
            </w:pPr>
            <w:r w:rsidRPr="00DE189C">
              <w:rPr>
                <w:b/>
                <w:i/>
                <w:sz w:val="18"/>
                <w:szCs w:val="18"/>
              </w:rPr>
              <w:t xml:space="preserve"> OPERATING ACTIVITIES </w:t>
            </w:r>
          </w:p>
        </w:tc>
      </w:tr>
      <w:tr w:rsidR="00375AB2" w:rsidRPr="00DE189C" w14:paraId="3A7C1F1D" w14:textId="77777777" w:rsidTr="001853DC">
        <w:trPr>
          <w:trHeight w:val="20"/>
        </w:trPr>
        <w:tc>
          <w:tcPr>
            <w:tcW w:w="3045" w:type="dxa"/>
            <w:vAlign w:val="bottom"/>
          </w:tcPr>
          <w:p w14:paraId="32AFA6E8" w14:textId="77777777" w:rsidR="00375AB2" w:rsidRPr="00DE189C" w:rsidRDefault="00375AB2" w:rsidP="00101586">
            <w:pPr>
              <w:ind w:left="90"/>
              <w:rPr>
                <w:sz w:val="18"/>
                <w:szCs w:val="18"/>
                <w:lang w:val="sv-SE"/>
              </w:rPr>
            </w:pPr>
            <w:r w:rsidRPr="00DE189C">
              <w:rPr>
                <w:sz w:val="18"/>
                <w:szCs w:val="18"/>
                <w:lang w:val="sv-SE"/>
              </w:rPr>
              <w:t>Penerimaan dari pasien</w:t>
            </w:r>
          </w:p>
        </w:tc>
        <w:tc>
          <w:tcPr>
            <w:tcW w:w="62" w:type="dxa"/>
            <w:tcMar>
              <w:left w:w="28" w:type="dxa"/>
              <w:right w:w="28" w:type="dxa"/>
            </w:tcMar>
          </w:tcPr>
          <w:p w14:paraId="17A2E83A" w14:textId="77777777" w:rsidR="00375AB2" w:rsidRPr="00DE189C" w:rsidRDefault="00375AB2" w:rsidP="00101586">
            <w:pPr>
              <w:jc w:val="center"/>
              <w:rPr>
                <w:b/>
                <w:sz w:val="18"/>
                <w:szCs w:val="18"/>
                <w:lang w:val="it-IT"/>
              </w:rPr>
            </w:pPr>
          </w:p>
        </w:tc>
        <w:tc>
          <w:tcPr>
            <w:tcW w:w="1452" w:type="dxa"/>
            <w:shd w:val="clear" w:color="auto" w:fill="auto"/>
            <w:vAlign w:val="bottom"/>
          </w:tcPr>
          <w:p w14:paraId="5FB3B9A8" w14:textId="68F5D94F" w:rsidR="00375AB2" w:rsidRPr="00DE189C" w:rsidRDefault="007802F8" w:rsidP="00101586">
            <w:pPr>
              <w:ind w:left="57" w:right="28"/>
              <w:jc w:val="right"/>
              <w:rPr>
                <w:sz w:val="18"/>
                <w:szCs w:val="18"/>
                <w:lang w:val="en-ID"/>
              </w:rPr>
            </w:pPr>
            <w:r>
              <w:rPr>
                <w:sz w:val="18"/>
                <w:szCs w:val="18"/>
                <w:lang w:val="en-ID"/>
              </w:rPr>
              <w:t>151.770.215.127</w:t>
            </w:r>
          </w:p>
        </w:tc>
        <w:tc>
          <w:tcPr>
            <w:tcW w:w="63" w:type="dxa"/>
            <w:tcMar>
              <w:left w:w="28" w:type="dxa"/>
              <w:right w:w="28" w:type="dxa"/>
            </w:tcMar>
            <w:vAlign w:val="bottom"/>
          </w:tcPr>
          <w:p w14:paraId="0CE651E7" w14:textId="77777777" w:rsidR="00375AB2" w:rsidRPr="00DE189C" w:rsidRDefault="00375AB2" w:rsidP="00101586">
            <w:pPr>
              <w:ind w:left="57" w:right="12"/>
              <w:jc w:val="right"/>
              <w:rPr>
                <w:sz w:val="18"/>
                <w:szCs w:val="18"/>
                <w:lang w:val="it-IT"/>
              </w:rPr>
            </w:pPr>
          </w:p>
        </w:tc>
        <w:tc>
          <w:tcPr>
            <w:tcW w:w="1467" w:type="dxa"/>
            <w:vAlign w:val="bottom"/>
          </w:tcPr>
          <w:p w14:paraId="7AE0C5A9" w14:textId="3DD2B9B4" w:rsidR="00375AB2" w:rsidRPr="00DE189C" w:rsidRDefault="00A608F5" w:rsidP="00101586">
            <w:pPr>
              <w:ind w:left="57" w:right="28"/>
              <w:jc w:val="right"/>
              <w:rPr>
                <w:sz w:val="18"/>
                <w:szCs w:val="18"/>
                <w:lang w:val="en-ID"/>
              </w:rPr>
            </w:pPr>
            <w:r w:rsidRPr="00A608F5">
              <w:rPr>
                <w:sz w:val="18"/>
                <w:szCs w:val="18"/>
                <w:lang w:val="en-ID"/>
              </w:rPr>
              <w:t>132</w:t>
            </w:r>
            <w:r w:rsidR="00591CA7">
              <w:rPr>
                <w:sz w:val="18"/>
                <w:szCs w:val="18"/>
                <w:lang w:val="en-ID"/>
              </w:rPr>
              <w:t>.</w:t>
            </w:r>
            <w:r w:rsidRPr="00A608F5">
              <w:rPr>
                <w:sz w:val="18"/>
                <w:szCs w:val="18"/>
                <w:lang w:val="en-ID"/>
              </w:rPr>
              <w:t>368</w:t>
            </w:r>
            <w:r w:rsidR="00591CA7">
              <w:rPr>
                <w:sz w:val="18"/>
                <w:szCs w:val="18"/>
                <w:lang w:val="en-ID"/>
              </w:rPr>
              <w:t>.</w:t>
            </w:r>
            <w:r w:rsidRPr="00A608F5">
              <w:rPr>
                <w:sz w:val="18"/>
                <w:szCs w:val="18"/>
                <w:lang w:val="en-ID"/>
              </w:rPr>
              <w:t>910</w:t>
            </w:r>
            <w:r w:rsidR="00591CA7">
              <w:rPr>
                <w:sz w:val="18"/>
                <w:szCs w:val="18"/>
                <w:lang w:val="en-ID"/>
              </w:rPr>
              <w:t>.</w:t>
            </w:r>
            <w:r w:rsidRPr="00A608F5">
              <w:rPr>
                <w:sz w:val="18"/>
                <w:szCs w:val="18"/>
                <w:lang w:val="en-ID"/>
              </w:rPr>
              <w:t>763</w:t>
            </w:r>
          </w:p>
        </w:tc>
        <w:tc>
          <w:tcPr>
            <w:tcW w:w="63" w:type="dxa"/>
            <w:tcMar>
              <w:left w:w="28" w:type="dxa"/>
              <w:right w:w="28" w:type="dxa"/>
            </w:tcMar>
          </w:tcPr>
          <w:p w14:paraId="1C0BCDD2" w14:textId="77777777" w:rsidR="00375AB2" w:rsidRPr="00DE189C" w:rsidRDefault="00375AB2" w:rsidP="00101586">
            <w:pPr>
              <w:jc w:val="right"/>
              <w:rPr>
                <w:b/>
                <w:sz w:val="18"/>
                <w:szCs w:val="18"/>
                <w:lang w:val="it-IT"/>
              </w:rPr>
            </w:pPr>
          </w:p>
        </w:tc>
        <w:tc>
          <w:tcPr>
            <w:tcW w:w="3045" w:type="dxa"/>
            <w:vAlign w:val="bottom"/>
          </w:tcPr>
          <w:p w14:paraId="0BE3BAA6" w14:textId="77777777" w:rsidR="00375AB2" w:rsidRPr="00DE189C" w:rsidRDefault="00375AB2" w:rsidP="00101586">
            <w:pPr>
              <w:ind w:right="57"/>
              <w:jc w:val="right"/>
              <w:rPr>
                <w:i/>
                <w:sz w:val="18"/>
                <w:szCs w:val="18"/>
              </w:rPr>
            </w:pPr>
            <w:r w:rsidRPr="00DE189C">
              <w:rPr>
                <w:i/>
                <w:sz w:val="18"/>
                <w:szCs w:val="18"/>
              </w:rPr>
              <w:t>Received from patients</w:t>
            </w:r>
          </w:p>
        </w:tc>
      </w:tr>
      <w:tr w:rsidR="00375AB2" w:rsidRPr="00DE189C" w14:paraId="583B6346" w14:textId="77777777" w:rsidTr="001853DC">
        <w:trPr>
          <w:trHeight w:val="20"/>
        </w:trPr>
        <w:tc>
          <w:tcPr>
            <w:tcW w:w="3045" w:type="dxa"/>
            <w:vAlign w:val="bottom"/>
          </w:tcPr>
          <w:p w14:paraId="46C266D7" w14:textId="77777777" w:rsidR="00375AB2" w:rsidRPr="00DE189C" w:rsidRDefault="00375AB2" w:rsidP="00101586">
            <w:pPr>
              <w:ind w:left="90"/>
              <w:rPr>
                <w:sz w:val="18"/>
                <w:szCs w:val="18"/>
                <w:lang w:val="sv-SE"/>
              </w:rPr>
            </w:pPr>
            <w:r w:rsidRPr="00DE189C">
              <w:rPr>
                <w:sz w:val="18"/>
                <w:szCs w:val="18"/>
                <w:lang w:val="sv-SE"/>
              </w:rPr>
              <w:t>Pembayaran kepada pemasok</w:t>
            </w:r>
          </w:p>
        </w:tc>
        <w:tc>
          <w:tcPr>
            <w:tcW w:w="62" w:type="dxa"/>
            <w:tcMar>
              <w:left w:w="28" w:type="dxa"/>
              <w:right w:w="28" w:type="dxa"/>
            </w:tcMar>
          </w:tcPr>
          <w:p w14:paraId="2AF00EA3" w14:textId="77777777" w:rsidR="00375AB2" w:rsidRPr="00DE189C" w:rsidRDefault="00375AB2" w:rsidP="00101586">
            <w:pPr>
              <w:jc w:val="center"/>
              <w:rPr>
                <w:b/>
                <w:sz w:val="18"/>
                <w:szCs w:val="18"/>
                <w:lang w:val="it-IT"/>
              </w:rPr>
            </w:pPr>
          </w:p>
        </w:tc>
        <w:tc>
          <w:tcPr>
            <w:tcW w:w="1452" w:type="dxa"/>
            <w:shd w:val="clear" w:color="auto" w:fill="auto"/>
            <w:vAlign w:val="bottom"/>
          </w:tcPr>
          <w:p w14:paraId="566E5676" w14:textId="73E7F214" w:rsidR="00375AB2" w:rsidRPr="00DE189C" w:rsidRDefault="00C82620" w:rsidP="007802F8">
            <w:pPr>
              <w:ind w:left="57" w:right="28"/>
              <w:jc w:val="right"/>
              <w:rPr>
                <w:sz w:val="18"/>
                <w:szCs w:val="18"/>
                <w:lang w:val="en-ID"/>
              </w:rPr>
            </w:pPr>
            <w:r w:rsidRPr="00C82620">
              <w:rPr>
                <w:sz w:val="18"/>
                <w:szCs w:val="18"/>
                <w:lang w:val="en-ID"/>
              </w:rPr>
              <w:t>(</w:t>
            </w:r>
            <w:r w:rsidR="007802F8">
              <w:rPr>
                <w:sz w:val="18"/>
                <w:szCs w:val="18"/>
                <w:lang w:val="en-ID"/>
              </w:rPr>
              <w:t>24.625.637.464</w:t>
            </w:r>
            <w:r w:rsidRPr="00C82620">
              <w:rPr>
                <w:sz w:val="18"/>
                <w:szCs w:val="18"/>
                <w:lang w:val="en-ID"/>
              </w:rPr>
              <w:t>)</w:t>
            </w:r>
          </w:p>
        </w:tc>
        <w:tc>
          <w:tcPr>
            <w:tcW w:w="63" w:type="dxa"/>
            <w:tcMar>
              <w:left w:w="28" w:type="dxa"/>
              <w:right w:w="28" w:type="dxa"/>
            </w:tcMar>
            <w:vAlign w:val="bottom"/>
          </w:tcPr>
          <w:p w14:paraId="61F7BF23" w14:textId="77777777" w:rsidR="00375AB2" w:rsidRPr="00DE189C" w:rsidRDefault="00375AB2" w:rsidP="00101586">
            <w:pPr>
              <w:ind w:left="57" w:right="12"/>
              <w:jc w:val="right"/>
              <w:rPr>
                <w:sz w:val="18"/>
                <w:szCs w:val="18"/>
                <w:lang w:val="it-IT"/>
              </w:rPr>
            </w:pPr>
          </w:p>
        </w:tc>
        <w:tc>
          <w:tcPr>
            <w:tcW w:w="1467" w:type="dxa"/>
            <w:vAlign w:val="bottom"/>
          </w:tcPr>
          <w:p w14:paraId="786C8C7C" w14:textId="514DE9A2" w:rsidR="00375AB2" w:rsidRPr="00DE189C" w:rsidRDefault="00A608F5" w:rsidP="00101586">
            <w:pPr>
              <w:ind w:left="57" w:right="28"/>
              <w:jc w:val="right"/>
              <w:rPr>
                <w:sz w:val="18"/>
                <w:szCs w:val="18"/>
                <w:lang w:val="en-ID"/>
              </w:rPr>
            </w:pPr>
            <w:r w:rsidRPr="00A608F5">
              <w:rPr>
                <w:sz w:val="18"/>
                <w:szCs w:val="18"/>
                <w:lang w:val="en-ID"/>
              </w:rPr>
              <w:t>(19</w:t>
            </w:r>
            <w:r w:rsidR="00591CA7">
              <w:rPr>
                <w:sz w:val="18"/>
                <w:szCs w:val="18"/>
                <w:lang w:val="en-ID"/>
              </w:rPr>
              <w:t>.</w:t>
            </w:r>
            <w:r w:rsidRPr="00A608F5">
              <w:rPr>
                <w:sz w:val="18"/>
                <w:szCs w:val="18"/>
                <w:lang w:val="en-ID"/>
              </w:rPr>
              <w:t>190</w:t>
            </w:r>
            <w:r w:rsidR="00591CA7">
              <w:rPr>
                <w:sz w:val="18"/>
                <w:szCs w:val="18"/>
                <w:lang w:val="en-ID"/>
              </w:rPr>
              <w:t>.</w:t>
            </w:r>
            <w:r w:rsidRPr="00A608F5">
              <w:rPr>
                <w:sz w:val="18"/>
                <w:szCs w:val="18"/>
                <w:lang w:val="en-ID"/>
              </w:rPr>
              <w:t>102</w:t>
            </w:r>
            <w:r w:rsidR="00591CA7">
              <w:rPr>
                <w:sz w:val="18"/>
                <w:szCs w:val="18"/>
                <w:lang w:val="en-ID"/>
              </w:rPr>
              <w:t>.</w:t>
            </w:r>
            <w:r w:rsidRPr="00A608F5">
              <w:rPr>
                <w:sz w:val="18"/>
                <w:szCs w:val="18"/>
                <w:lang w:val="en-ID"/>
              </w:rPr>
              <w:t>113)</w:t>
            </w:r>
          </w:p>
        </w:tc>
        <w:tc>
          <w:tcPr>
            <w:tcW w:w="63" w:type="dxa"/>
            <w:tcMar>
              <w:left w:w="28" w:type="dxa"/>
              <w:right w:w="28" w:type="dxa"/>
            </w:tcMar>
          </w:tcPr>
          <w:p w14:paraId="77566B07" w14:textId="77777777" w:rsidR="00375AB2" w:rsidRPr="00DE189C" w:rsidRDefault="00375AB2" w:rsidP="00101586">
            <w:pPr>
              <w:jc w:val="right"/>
              <w:rPr>
                <w:b/>
                <w:sz w:val="18"/>
                <w:szCs w:val="18"/>
                <w:lang w:val="it-IT"/>
              </w:rPr>
            </w:pPr>
          </w:p>
        </w:tc>
        <w:tc>
          <w:tcPr>
            <w:tcW w:w="3045" w:type="dxa"/>
            <w:vAlign w:val="bottom"/>
          </w:tcPr>
          <w:p w14:paraId="4954E0A8" w14:textId="77777777" w:rsidR="00375AB2" w:rsidRPr="00DE189C" w:rsidRDefault="00375AB2" w:rsidP="00101586">
            <w:pPr>
              <w:ind w:right="57"/>
              <w:jc w:val="right"/>
              <w:rPr>
                <w:i/>
                <w:sz w:val="18"/>
                <w:szCs w:val="18"/>
              </w:rPr>
            </w:pPr>
            <w:r w:rsidRPr="00DE189C">
              <w:rPr>
                <w:i/>
                <w:sz w:val="18"/>
                <w:szCs w:val="18"/>
              </w:rPr>
              <w:t>Payments to suppliers</w:t>
            </w:r>
          </w:p>
        </w:tc>
      </w:tr>
      <w:tr w:rsidR="00375AB2" w:rsidRPr="00DE189C" w14:paraId="05B4CB49" w14:textId="77777777" w:rsidTr="001853DC">
        <w:trPr>
          <w:trHeight w:val="20"/>
        </w:trPr>
        <w:tc>
          <w:tcPr>
            <w:tcW w:w="3045" w:type="dxa"/>
            <w:vAlign w:val="bottom"/>
          </w:tcPr>
          <w:p w14:paraId="795C50E3" w14:textId="77777777" w:rsidR="00375AB2" w:rsidRPr="00DE189C" w:rsidRDefault="00375AB2" w:rsidP="00101586">
            <w:pPr>
              <w:ind w:left="90"/>
              <w:rPr>
                <w:sz w:val="18"/>
                <w:szCs w:val="18"/>
                <w:lang w:val="sv-SE"/>
              </w:rPr>
            </w:pPr>
            <w:r w:rsidRPr="00DE189C">
              <w:rPr>
                <w:sz w:val="18"/>
                <w:szCs w:val="18"/>
                <w:lang w:val="sv-SE"/>
              </w:rPr>
              <w:t>Pembayaran kepada direksi dan karyawan</w:t>
            </w:r>
          </w:p>
        </w:tc>
        <w:tc>
          <w:tcPr>
            <w:tcW w:w="62" w:type="dxa"/>
            <w:tcMar>
              <w:left w:w="28" w:type="dxa"/>
              <w:right w:w="28" w:type="dxa"/>
            </w:tcMar>
          </w:tcPr>
          <w:p w14:paraId="65981A36" w14:textId="77777777" w:rsidR="00375AB2" w:rsidRPr="00DE189C" w:rsidRDefault="00375AB2" w:rsidP="00101586">
            <w:pPr>
              <w:jc w:val="center"/>
              <w:rPr>
                <w:b/>
                <w:sz w:val="18"/>
                <w:szCs w:val="18"/>
                <w:lang w:val="it-IT"/>
              </w:rPr>
            </w:pPr>
          </w:p>
        </w:tc>
        <w:tc>
          <w:tcPr>
            <w:tcW w:w="1452" w:type="dxa"/>
            <w:shd w:val="clear" w:color="auto" w:fill="auto"/>
            <w:vAlign w:val="center"/>
          </w:tcPr>
          <w:p w14:paraId="4BBEE769" w14:textId="77777777" w:rsidR="00591CA7" w:rsidRDefault="00591CA7" w:rsidP="00101586">
            <w:pPr>
              <w:ind w:left="57" w:right="28"/>
              <w:jc w:val="right"/>
              <w:rPr>
                <w:sz w:val="18"/>
                <w:szCs w:val="18"/>
                <w:lang w:val="en-ID"/>
              </w:rPr>
            </w:pPr>
          </w:p>
          <w:p w14:paraId="17326C4D" w14:textId="64AAA5C3" w:rsidR="00375AB2" w:rsidRPr="00DE189C" w:rsidRDefault="00C82620" w:rsidP="00D87745">
            <w:pPr>
              <w:ind w:left="57" w:right="28"/>
              <w:jc w:val="right"/>
              <w:rPr>
                <w:sz w:val="18"/>
                <w:szCs w:val="18"/>
                <w:lang w:val="en-ID"/>
              </w:rPr>
            </w:pPr>
            <w:r w:rsidRPr="00C82620">
              <w:rPr>
                <w:sz w:val="18"/>
                <w:szCs w:val="18"/>
                <w:lang w:val="en-ID"/>
              </w:rPr>
              <w:t>(74</w:t>
            </w:r>
            <w:r w:rsidR="00591CA7">
              <w:rPr>
                <w:sz w:val="18"/>
                <w:szCs w:val="18"/>
                <w:lang w:val="en-ID"/>
              </w:rPr>
              <w:t>.</w:t>
            </w:r>
            <w:r w:rsidR="00D87745">
              <w:rPr>
                <w:sz w:val="18"/>
                <w:szCs w:val="18"/>
                <w:lang w:val="en-ID"/>
              </w:rPr>
              <w:t>187.888.848</w:t>
            </w:r>
            <w:r w:rsidRPr="00C82620">
              <w:rPr>
                <w:sz w:val="18"/>
                <w:szCs w:val="18"/>
                <w:lang w:val="en-ID"/>
              </w:rPr>
              <w:t>)</w:t>
            </w:r>
          </w:p>
        </w:tc>
        <w:tc>
          <w:tcPr>
            <w:tcW w:w="63" w:type="dxa"/>
            <w:tcMar>
              <w:left w:w="28" w:type="dxa"/>
              <w:right w:w="28" w:type="dxa"/>
            </w:tcMar>
            <w:vAlign w:val="bottom"/>
          </w:tcPr>
          <w:p w14:paraId="047181EB" w14:textId="77777777" w:rsidR="00375AB2" w:rsidRPr="00DE189C" w:rsidRDefault="00375AB2" w:rsidP="00101586">
            <w:pPr>
              <w:ind w:left="57" w:right="12"/>
              <w:jc w:val="right"/>
              <w:rPr>
                <w:sz w:val="18"/>
                <w:szCs w:val="18"/>
                <w:lang w:val="it-IT"/>
              </w:rPr>
            </w:pPr>
          </w:p>
        </w:tc>
        <w:tc>
          <w:tcPr>
            <w:tcW w:w="1467" w:type="dxa"/>
            <w:vAlign w:val="bottom"/>
          </w:tcPr>
          <w:p w14:paraId="1191D3D7" w14:textId="3946A024" w:rsidR="00375AB2" w:rsidRPr="00DE189C" w:rsidRDefault="00A608F5" w:rsidP="00101586">
            <w:pPr>
              <w:ind w:left="57" w:right="28"/>
              <w:jc w:val="right"/>
              <w:rPr>
                <w:sz w:val="18"/>
                <w:szCs w:val="18"/>
                <w:lang w:val="en-ID"/>
              </w:rPr>
            </w:pPr>
            <w:r w:rsidRPr="00A608F5">
              <w:rPr>
                <w:sz w:val="18"/>
                <w:szCs w:val="18"/>
                <w:lang w:val="en-ID"/>
              </w:rPr>
              <w:t>(70</w:t>
            </w:r>
            <w:r w:rsidR="00591CA7">
              <w:rPr>
                <w:sz w:val="18"/>
                <w:szCs w:val="18"/>
                <w:lang w:val="en-ID"/>
              </w:rPr>
              <w:t>.</w:t>
            </w:r>
            <w:r w:rsidRPr="00A608F5">
              <w:rPr>
                <w:sz w:val="18"/>
                <w:szCs w:val="18"/>
                <w:lang w:val="en-ID"/>
              </w:rPr>
              <w:t>520</w:t>
            </w:r>
            <w:r w:rsidR="00591CA7">
              <w:rPr>
                <w:sz w:val="18"/>
                <w:szCs w:val="18"/>
                <w:lang w:val="en-ID"/>
              </w:rPr>
              <w:t>.</w:t>
            </w:r>
            <w:r w:rsidRPr="00A608F5">
              <w:rPr>
                <w:sz w:val="18"/>
                <w:szCs w:val="18"/>
                <w:lang w:val="en-ID"/>
              </w:rPr>
              <w:t>029</w:t>
            </w:r>
            <w:r w:rsidR="00591CA7">
              <w:rPr>
                <w:sz w:val="18"/>
                <w:szCs w:val="18"/>
                <w:lang w:val="en-ID"/>
              </w:rPr>
              <w:t>.</w:t>
            </w:r>
            <w:r w:rsidRPr="00A608F5">
              <w:rPr>
                <w:sz w:val="18"/>
                <w:szCs w:val="18"/>
                <w:lang w:val="en-ID"/>
              </w:rPr>
              <w:t>500)</w:t>
            </w:r>
          </w:p>
        </w:tc>
        <w:tc>
          <w:tcPr>
            <w:tcW w:w="63" w:type="dxa"/>
            <w:tcMar>
              <w:left w:w="28" w:type="dxa"/>
              <w:right w:w="28" w:type="dxa"/>
            </w:tcMar>
          </w:tcPr>
          <w:p w14:paraId="22788CD0" w14:textId="77777777" w:rsidR="00375AB2" w:rsidRPr="00DE189C" w:rsidRDefault="00375AB2" w:rsidP="00101586">
            <w:pPr>
              <w:jc w:val="right"/>
              <w:rPr>
                <w:b/>
                <w:sz w:val="18"/>
                <w:szCs w:val="18"/>
                <w:lang w:val="it-IT"/>
              </w:rPr>
            </w:pPr>
          </w:p>
        </w:tc>
        <w:tc>
          <w:tcPr>
            <w:tcW w:w="3045" w:type="dxa"/>
            <w:vAlign w:val="bottom"/>
          </w:tcPr>
          <w:p w14:paraId="05BED9C3" w14:textId="77777777" w:rsidR="00375AB2" w:rsidRPr="00DE189C" w:rsidRDefault="00375AB2" w:rsidP="00101586">
            <w:pPr>
              <w:ind w:right="57"/>
              <w:jc w:val="right"/>
              <w:rPr>
                <w:i/>
                <w:sz w:val="18"/>
                <w:szCs w:val="18"/>
              </w:rPr>
            </w:pPr>
            <w:r w:rsidRPr="00DE189C">
              <w:rPr>
                <w:i/>
                <w:sz w:val="18"/>
                <w:szCs w:val="18"/>
              </w:rPr>
              <w:t xml:space="preserve">Payments to directors and employees </w:t>
            </w:r>
          </w:p>
        </w:tc>
      </w:tr>
      <w:tr w:rsidR="00375AB2" w:rsidRPr="00DE189C" w14:paraId="72B4EFC7" w14:textId="77777777" w:rsidTr="001853DC">
        <w:trPr>
          <w:trHeight w:val="20"/>
        </w:trPr>
        <w:tc>
          <w:tcPr>
            <w:tcW w:w="3045" w:type="dxa"/>
            <w:vAlign w:val="bottom"/>
          </w:tcPr>
          <w:p w14:paraId="03E760E7" w14:textId="77777777" w:rsidR="00375AB2" w:rsidRPr="00DE189C" w:rsidRDefault="00375AB2" w:rsidP="00101586">
            <w:pPr>
              <w:ind w:left="90"/>
              <w:rPr>
                <w:sz w:val="18"/>
                <w:szCs w:val="18"/>
                <w:lang w:val="sv-SE"/>
              </w:rPr>
            </w:pPr>
            <w:r w:rsidRPr="00DE189C">
              <w:rPr>
                <w:sz w:val="18"/>
                <w:szCs w:val="18"/>
                <w:lang w:val="sv-SE"/>
              </w:rPr>
              <w:t>Pembayaran untuk operasional lainnya</w:t>
            </w:r>
          </w:p>
        </w:tc>
        <w:tc>
          <w:tcPr>
            <w:tcW w:w="62" w:type="dxa"/>
            <w:tcMar>
              <w:left w:w="28" w:type="dxa"/>
              <w:right w:w="28" w:type="dxa"/>
            </w:tcMar>
          </w:tcPr>
          <w:p w14:paraId="5E7D25EE" w14:textId="77777777" w:rsidR="00375AB2" w:rsidRPr="00DE189C" w:rsidRDefault="00375AB2" w:rsidP="00101586">
            <w:pPr>
              <w:rPr>
                <w:b/>
                <w:sz w:val="18"/>
                <w:szCs w:val="18"/>
                <w:lang w:val="it-IT"/>
              </w:rPr>
            </w:pPr>
          </w:p>
        </w:tc>
        <w:tc>
          <w:tcPr>
            <w:tcW w:w="1452" w:type="dxa"/>
            <w:tcBorders>
              <w:bottom w:val="single" w:sz="4" w:space="0" w:color="auto"/>
            </w:tcBorders>
            <w:shd w:val="clear" w:color="auto" w:fill="auto"/>
            <w:vAlign w:val="center"/>
          </w:tcPr>
          <w:p w14:paraId="0224F527" w14:textId="597D7528" w:rsidR="00375AB2" w:rsidRPr="00DE189C" w:rsidRDefault="00C82620" w:rsidP="00D87745">
            <w:pPr>
              <w:ind w:left="57" w:right="28"/>
              <w:jc w:val="right"/>
              <w:rPr>
                <w:sz w:val="18"/>
                <w:szCs w:val="18"/>
                <w:lang w:val="en-ID"/>
              </w:rPr>
            </w:pPr>
            <w:r w:rsidRPr="00C82620">
              <w:rPr>
                <w:sz w:val="18"/>
                <w:szCs w:val="18"/>
                <w:lang w:val="en-ID"/>
              </w:rPr>
              <w:t>(</w:t>
            </w:r>
            <w:r w:rsidR="00D87745">
              <w:rPr>
                <w:sz w:val="18"/>
                <w:szCs w:val="18"/>
                <w:lang w:val="en-ID"/>
              </w:rPr>
              <w:t>34.194.622.641</w:t>
            </w:r>
            <w:r w:rsidRPr="00C82620">
              <w:rPr>
                <w:sz w:val="18"/>
                <w:szCs w:val="18"/>
                <w:lang w:val="en-ID"/>
              </w:rPr>
              <w:t>)</w:t>
            </w:r>
          </w:p>
        </w:tc>
        <w:tc>
          <w:tcPr>
            <w:tcW w:w="63" w:type="dxa"/>
            <w:tcMar>
              <w:left w:w="28" w:type="dxa"/>
              <w:right w:w="28" w:type="dxa"/>
            </w:tcMar>
            <w:vAlign w:val="bottom"/>
          </w:tcPr>
          <w:p w14:paraId="5EDD9CE7" w14:textId="77777777" w:rsidR="00375AB2" w:rsidRPr="00DE189C" w:rsidRDefault="00375AB2" w:rsidP="00101586">
            <w:pPr>
              <w:ind w:left="57" w:right="12"/>
              <w:jc w:val="right"/>
              <w:rPr>
                <w:sz w:val="18"/>
                <w:szCs w:val="18"/>
                <w:lang w:val="it-IT"/>
              </w:rPr>
            </w:pPr>
          </w:p>
        </w:tc>
        <w:tc>
          <w:tcPr>
            <w:tcW w:w="1467" w:type="dxa"/>
            <w:tcBorders>
              <w:bottom w:val="single" w:sz="4" w:space="0" w:color="auto"/>
            </w:tcBorders>
            <w:vAlign w:val="bottom"/>
          </w:tcPr>
          <w:p w14:paraId="76D92B8D" w14:textId="2BD4A488" w:rsidR="00375AB2" w:rsidRPr="00DE189C" w:rsidRDefault="00A608F5" w:rsidP="00101586">
            <w:pPr>
              <w:ind w:left="57" w:right="28"/>
              <w:jc w:val="right"/>
              <w:rPr>
                <w:sz w:val="18"/>
                <w:szCs w:val="18"/>
                <w:lang w:val="en-ID"/>
              </w:rPr>
            </w:pPr>
            <w:r w:rsidRPr="00A608F5">
              <w:rPr>
                <w:sz w:val="18"/>
                <w:szCs w:val="18"/>
                <w:lang w:val="en-ID"/>
              </w:rPr>
              <w:t>(27</w:t>
            </w:r>
            <w:r w:rsidR="00591CA7">
              <w:rPr>
                <w:sz w:val="18"/>
                <w:szCs w:val="18"/>
                <w:lang w:val="en-ID"/>
              </w:rPr>
              <w:t>.</w:t>
            </w:r>
            <w:r w:rsidRPr="00A608F5">
              <w:rPr>
                <w:sz w:val="18"/>
                <w:szCs w:val="18"/>
                <w:lang w:val="en-ID"/>
              </w:rPr>
              <w:t>184</w:t>
            </w:r>
            <w:r w:rsidR="00591CA7">
              <w:rPr>
                <w:sz w:val="18"/>
                <w:szCs w:val="18"/>
                <w:lang w:val="en-ID"/>
              </w:rPr>
              <w:t>.</w:t>
            </w:r>
            <w:r w:rsidRPr="00A608F5">
              <w:rPr>
                <w:sz w:val="18"/>
                <w:szCs w:val="18"/>
                <w:lang w:val="en-ID"/>
              </w:rPr>
              <w:t>728</w:t>
            </w:r>
            <w:r w:rsidR="00591CA7">
              <w:rPr>
                <w:sz w:val="18"/>
                <w:szCs w:val="18"/>
                <w:lang w:val="en-ID"/>
              </w:rPr>
              <w:t>.</w:t>
            </w:r>
            <w:r w:rsidRPr="00A608F5">
              <w:rPr>
                <w:sz w:val="18"/>
                <w:szCs w:val="18"/>
                <w:lang w:val="en-ID"/>
              </w:rPr>
              <w:t>772)</w:t>
            </w:r>
          </w:p>
        </w:tc>
        <w:tc>
          <w:tcPr>
            <w:tcW w:w="63" w:type="dxa"/>
            <w:tcMar>
              <w:left w:w="28" w:type="dxa"/>
              <w:right w:w="28" w:type="dxa"/>
            </w:tcMar>
          </w:tcPr>
          <w:p w14:paraId="0468A4B5" w14:textId="77777777" w:rsidR="00375AB2" w:rsidRPr="00DE189C" w:rsidRDefault="00375AB2" w:rsidP="00101586">
            <w:pPr>
              <w:jc w:val="right"/>
              <w:rPr>
                <w:b/>
                <w:sz w:val="18"/>
                <w:szCs w:val="18"/>
                <w:lang w:val="it-IT"/>
              </w:rPr>
            </w:pPr>
          </w:p>
        </w:tc>
        <w:tc>
          <w:tcPr>
            <w:tcW w:w="3045" w:type="dxa"/>
            <w:vAlign w:val="bottom"/>
          </w:tcPr>
          <w:p w14:paraId="3D835732" w14:textId="77777777" w:rsidR="00375AB2" w:rsidRPr="00DE189C" w:rsidRDefault="00375AB2" w:rsidP="00101586">
            <w:pPr>
              <w:ind w:right="57"/>
              <w:jc w:val="right"/>
              <w:rPr>
                <w:i/>
                <w:sz w:val="18"/>
                <w:szCs w:val="18"/>
              </w:rPr>
            </w:pPr>
            <w:r w:rsidRPr="00DE189C">
              <w:rPr>
                <w:i/>
                <w:sz w:val="18"/>
                <w:szCs w:val="18"/>
              </w:rPr>
              <w:t>Payments for other operating activity</w:t>
            </w:r>
          </w:p>
        </w:tc>
      </w:tr>
      <w:tr w:rsidR="00375AB2" w:rsidRPr="00DE189C" w14:paraId="3CB396E7" w14:textId="77777777" w:rsidTr="001853DC">
        <w:trPr>
          <w:trHeight w:val="20"/>
        </w:trPr>
        <w:tc>
          <w:tcPr>
            <w:tcW w:w="3045" w:type="dxa"/>
            <w:vAlign w:val="bottom"/>
          </w:tcPr>
          <w:p w14:paraId="225FA499" w14:textId="77777777" w:rsidR="00375AB2" w:rsidRPr="00DE189C" w:rsidRDefault="00375AB2" w:rsidP="00101586">
            <w:pPr>
              <w:ind w:left="90"/>
              <w:rPr>
                <w:sz w:val="18"/>
                <w:szCs w:val="18"/>
                <w:lang w:val="sv-SE"/>
              </w:rPr>
            </w:pPr>
            <w:r w:rsidRPr="00DE189C">
              <w:rPr>
                <w:sz w:val="18"/>
                <w:szCs w:val="18"/>
                <w:lang w:val="sv-SE"/>
              </w:rPr>
              <w:t xml:space="preserve">Kas yang dihasilkan dari operasi </w:t>
            </w:r>
          </w:p>
        </w:tc>
        <w:tc>
          <w:tcPr>
            <w:tcW w:w="62" w:type="dxa"/>
            <w:tcMar>
              <w:left w:w="28" w:type="dxa"/>
              <w:right w:w="28" w:type="dxa"/>
            </w:tcMar>
          </w:tcPr>
          <w:p w14:paraId="4A3A4C6F" w14:textId="77777777" w:rsidR="00375AB2" w:rsidRPr="00DE189C" w:rsidRDefault="00375AB2" w:rsidP="00101586">
            <w:pPr>
              <w:jc w:val="center"/>
              <w:rPr>
                <w:b/>
                <w:sz w:val="18"/>
                <w:szCs w:val="18"/>
                <w:lang w:val="it-IT"/>
              </w:rPr>
            </w:pPr>
          </w:p>
        </w:tc>
        <w:tc>
          <w:tcPr>
            <w:tcW w:w="1452" w:type="dxa"/>
            <w:shd w:val="clear" w:color="auto" w:fill="auto"/>
            <w:vAlign w:val="bottom"/>
          </w:tcPr>
          <w:p w14:paraId="399329C6" w14:textId="6D359401" w:rsidR="00375AB2" w:rsidRPr="00DE189C" w:rsidRDefault="00D87745" w:rsidP="00101586">
            <w:pPr>
              <w:ind w:left="57" w:right="28"/>
              <w:jc w:val="right"/>
              <w:rPr>
                <w:sz w:val="18"/>
                <w:szCs w:val="18"/>
                <w:lang w:val="en-ID"/>
              </w:rPr>
            </w:pPr>
            <w:r>
              <w:rPr>
                <w:sz w:val="18"/>
                <w:szCs w:val="18"/>
                <w:lang w:val="en-ID"/>
              </w:rPr>
              <w:t>18.762.066.174</w:t>
            </w:r>
          </w:p>
        </w:tc>
        <w:tc>
          <w:tcPr>
            <w:tcW w:w="63" w:type="dxa"/>
            <w:tcMar>
              <w:left w:w="28" w:type="dxa"/>
              <w:right w:w="28" w:type="dxa"/>
            </w:tcMar>
            <w:vAlign w:val="bottom"/>
          </w:tcPr>
          <w:p w14:paraId="5DB65689" w14:textId="77777777" w:rsidR="00375AB2" w:rsidRPr="00DE189C" w:rsidRDefault="00375AB2" w:rsidP="00101586">
            <w:pPr>
              <w:ind w:left="57" w:right="12"/>
              <w:jc w:val="right"/>
              <w:rPr>
                <w:sz w:val="18"/>
                <w:szCs w:val="18"/>
                <w:lang w:val="it-IT"/>
              </w:rPr>
            </w:pPr>
          </w:p>
        </w:tc>
        <w:tc>
          <w:tcPr>
            <w:tcW w:w="1467" w:type="dxa"/>
            <w:vAlign w:val="bottom"/>
          </w:tcPr>
          <w:p w14:paraId="3722BC28" w14:textId="724E7788" w:rsidR="00375AB2" w:rsidRPr="00DE189C" w:rsidRDefault="00A608F5" w:rsidP="00101586">
            <w:pPr>
              <w:ind w:left="57" w:right="28"/>
              <w:jc w:val="right"/>
              <w:rPr>
                <w:sz w:val="18"/>
                <w:szCs w:val="18"/>
                <w:lang w:val="en-ID"/>
              </w:rPr>
            </w:pPr>
            <w:r w:rsidRPr="00A608F5">
              <w:rPr>
                <w:sz w:val="18"/>
                <w:szCs w:val="18"/>
                <w:lang w:val="en-ID"/>
              </w:rPr>
              <w:t>15</w:t>
            </w:r>
            <w:r w:rsidR="00591CA7">
              <w:rPr>
                <w:sz w:val="18"/>
                <w:szCs w:val="18"/>
                <w:lang w:val="en-ID"/>
              </w:rPr>
              <w:t>.</w:t>
            </w:r>
            <w:r w:rsidRPr="00A608F5">
              <w:rPr>
                <w:sz w:val="18"/>
                <w:szCs w:val="18"/>
                <w:lang w:val="en-ID"/>
              </w:rPr>
              <w:t>474</w:t>
            </w:r>
            <w:r w:rsidR="00591CA7">
              <w:rPr>
                <w:sz w:val="18"/>
                <w:szCs w:val="18"/>
                <w:lang w:val="en-ID"/>
              </w:rPr>
              <w:t>.</w:t>
            </w:r>
            <w:r w:rsidRPr="00A608F5">
              <w:rPr>
                <w:sz w:val="18"/>
                <w:szCs w:val="18"/>
                <w:lang w:val="en-ID"/>
              </w:rPr>
              <w:t>050</w:t>
            </w:r>
            <w:r w:rsidR="00591CA7">
              <w:rPr>
                <w:sz w:val="18"/>
                <w:szCs w:val="18"/>
                <w:lang w:val="en-ID"/>
              </w:rPr>
              <w:t>.</w:t>
            </w:r>
            <w:r w:rsidRPr="00A608F5">
              <w:rPr>
                <w:sz w:val="18"/>
                <w:szCs w:val="18"/>
                <w:lang w:val="en-ID"/>
              </w:rPr>
              <w:t>379</w:t>
            </w:r>
          </w:p>
        </w:tc>
        <w:tc>
          <w:tcPr>
            <w:tcW w:w="63" w:type="dxa"/>
            <w:tcMar>
              <w:left w:w="28" w:type="dxa"/>
              <w:right w:w="28" w:type="dxa"/>
            </w:tcMar>
          </w:tcPr>
          <w:p w14:paraId="4A992412" w14:textId="77777777" w:rsidR="00375AB2" w:rsidRPr="00DE189C" w:rsidRDefault="00375AB2" w:rsidP="00101586">
            <w:pPr>
              <w:jc w:val="right"/>
              <w:rPr>
                <w:b/>
                <w:sz w:val="18"/>
                <w:szCs w:val="18"/>
                <w:lang w:val="it-IT"/>
              </w:rPr>
            </w:pPr>
          </w:p>
        </w:tc>
        <w:tc>
          <w:tcPr>
            <w:tcW w:w="3045" w:type="dxa"/>
            <w:vAlign w:val="bottom"/>
          </w:tcPr>
          <w:p w14:paraId="7009A2B3" w14:textId="77777777" w:rsidR="00375AB2" w:rsidRPr="00DE189C" w:rsidRDefault="00375AB2" w:rsidP="00101586">
            <w:pPr>
              <w:ind w:right="57"/>
              <w:jc w:val="right"/>
              <w:rPr>
                <w:i/>
                <w:sz w:val="18"/>
                <w:szCs w:val="18"/>
              </w:rPr>
            </w:pPr>
            <w:r w:rsidRPr="00DE189C">
              <w:rPr>
                <w:i/>
                <w:sz w:val="18"/>
                <w:szCs w:val="18"/>
              </w:rPr>
              <w:t>Cash generated from operastions</w:t>
            </w:r>
          </w:p>
        </w:tc>
      </w:tr>
      <w:tr w:rsidR="00375AB2" w:rsidRPr="00DE189C" w14:paraId="02A3ABB4" w14:textId="77777777" w:rsidTr="001853DC">
        <w:trPr>
          <w:trHeight w:val="20"/>
        </w:trPr>
        <w:tc>
          <w:tcPr>
            <w:tcW w:w="3045" w:type="dxa"/>
            <w:vAlign w:val="bottom"/>
          </w:tcPr>
          <w:p w14:paraId="50B0E8B8" w14:textId="77777777" w:rsidR="00375AB2" w:rsidRPr="00DE189C" w:rsidRDefault="00375AB2" w:rsidP="00101586">
            <w:pPr>
              <w:ind w:left="90"/>
              <w:rPr>
                <w:sz w:val="18"/>
                <w:szCs w:val="18"/>
                <w:lang w:val="sv-SE"/>
              </w:rPr>
            </w:pPr>
            <w:r w:rsidRPr="00DE189C">
              <w:rPr>
                <w:sz w:val="18"/>
                <w:szCs w:val="18"/>
                <w:lang w:val="sv-SE"/>
              </w:rPr>
              <w:t xml:space="preserve">Pembayaran untuk pajak </w:t>
            </w:r>
          </w:p>
        </w:tc>
        <w:tc>
          <w:tcPr>
            <w:tcW w:w="62" w:type="dxa"/>
            <w:tcMar>
              <w:left w:w="28" w:type="dxa"/>
              <w:right w:w="28" w:type="dxa"/>
            </w:tcMar>
          </w:tcPr>
          <w:p w14:paraId="2DDCBBA7" w14:textId="77777777" w:rsidR="00375AB2" w:rsidRPr="00DE189C" w:rsidRDefault="00375AB2" w:rsidP="00101586">
            <w:pPr>
              <w:jc w:val="center"/>
              <w:rPr>
                <w:b/>
                <w:sz w:val="18"/>
                <w:szCs w:val="18"/>
                <w:lang w:val="it-IT"/>
              </w:rPr>
            </w:pPr>
          </w:p>
        </w:tc>
        <w:tc>
          <w:tcPr>
            <w:tcW w:w="1452" w:type="dxa"/>
            <w:shd w:val="clear" w:color="auto" w:fill="auto"/>
            <w:vAlign w:val="center"/>
          </w:tcPr>
          <w:p w14:paraId="0817C339" w14:textId="3BB46430" w:rsidR="00375AB2" w:rsidRPr="00DE189C" w:rsidRDefault="00C82620" w:rsidP="00101586">
            <w:pPr>
              <w:ind w:left="57" w:right="28"/>
              <w:jc w:val="right"/>
              <w:rPr>
                <w:sz w:val="18"/>
                <w:szCs w:val="18"/>
                <w:lang w:val="en-ID"/>
              </w:rPr>
            </w:pPr>
            <w:r w:rsidRPr="00C82620">
              <w:rPr>
                <w:sz w:val="18"/>
                <w:szCs w:val="18"/>
                <w:lang w:val="en-ID"/>
              </w:rPr>
              <w:t>(7</w:t>
            </w:r>
            <w:r w:rsidR="00591CA7">
              <w:rPr>
                <w:sz w:val="18"/>
                <w:szCs w:val="18"/>
                <w:lang w:val="en-ID"/>
              </w:rPr>
              <w:t>.</w:t>
            </w:r>
            <w:r w:rsidRPr="00C82620">
              <w:rPr>
                <w:sz w:val="18"/>
                <w:szCs w:val="18"/>
                <w:lang w:val="en-ID"/>
              </w:rPr>
              <w:t>294</w:t>
            </w:r>
            <w:r w:rsidR="00591CA7">
              <w:rPr>
                <w:sz w:val="18"/>
                <w:szCs w:val="18"/>
                <w:lang w:val="en-ID"/>
              </w:rPr>
              <w:t>.</w:t>
            </w:r>
            <w:r w:rsidRPr="00C82620">
              <w:rPr>
                <w:sz w:val="18"/>
                <w:szCs w:val="18"/>
                <w:lang w:val="en-ID"/>
              </w:rPr>
              <w:t>384</w:t>
            </w:r>
            <w:r w:rsidR="00591CA7">
              <w:rPr>
                <w:sz w:val="18"/>
                <w:szCs w:val="18"/>
                <w:lang w:val="en-ID"/>
              </w:rPr>
              <w:t>.</w:t>
            </w:r>
            <w:r w:rsidRPr="00C82620">
              <w:rPr>
                <w:sz w:val="18"/>
                <w:szCs w:val="18"/>
                <w:lang w:val="en-ID"/>
              </w:rPr>
              <w:t>674)</w:t>
            </w:r>
          </w:p>
        </w:tc>
        <w:tc>
          <w:tcPr>
            <w:tcW w:w="63" w:type="dxa"/>
            <w:tcMar>
              <w:left w:w="28" w:type="dxa"/>
              <w:right w:w="28" w:type="dxa"/>
            </w:tcMar>
            <w:vAlign w:val="bottom"/>
          </w:tcPr>
          <w:p w14:paraId="12A9151C" w14:textId="77777777" w:rsidR="00375AB2" w:rsidRPr="00DE189C" w:rsidRDefault="00375AB2" w:rsidP="00101586">
            <w:pPr>
              <w:ind w:left="57" w:right="12"/>
              <w:jc w:val="right"/>
              <w:rPr>
                <w:sz w:val="18"/>
                <w:szCs w:val="18"/>
                <w:lang w:val="it-IT"/>
              </w:rPr>
            </w:pPr>
          </w:p>
        </w:tc>
        <w:tc>
          <w:tcPr>
            <w:tcW w:w="1467" w:type="dxa"/>
            <w:vAlign w:val="bottom"/>
          </w:tcPr>
          <w:p w14:paraId="7B9B9DDF" w14:textId="46AEDC18" w:rsidR="00375AB2" w:rsidRPr="008E4FFF" w:rsidRDefault="00A608F5" w:rsidP="00101586">
            <w:pPr>
              <w:ind w:left="57" w:right="28"/>
              <w:jc w:val="right"/>
              <w:rPr>
                <w:sz w:val="18"/>
                <w:szCs w:val="18"/>
              </w:rPr>
            </w:pPr>
            <w:r w:rsidRPr="00A608F5">
              <w:rPr>
                <w:sz w:val="18"/>
                <w:szCs w:val="18"/>
              </w:rPr>
              <w:t>(7</w:t>
            </w:r>
            <w:r w:rsidR="00591CA7">
              <w:rPr>
                <w:sz w:val="18"/>
                <w:szCs w:val="18"/>
              </w:rPr>
              <w:t>.</w:t>
            </w:r>
            <w:r w:rsidRPr="00A608F5">
              <w:rPr>
                <w:sz w:val="18"/>
                <w:szCs w:val="18"/>
              </w:rPr>
              <w:t>222</w:t>
            </w:r>
            <w:r w:rsidR="00591CA7">
              <w:rPr>
                <w:sz w:val="18"/>
                <w:szCs w:val="18"/>
              </w:rPr>
              <w:t>.</w:t>
            </w:r>
            <w:r w:rsidRPr="00A608F5">
              <w:rPr>
                <w:sz w:val="18"/>
                <w:szCs w:val="18"/>
              </w:rPr>
              <w:t>239</w:t>
            </w:r>
            <w:r w:rsidR="00591CA7">
              <w:rPr>
                <w:sz w:val="18"/>
                <w:szCs w:val="18"/>
              </w:rPr>
              <w:t>.</w:t>
            </w:r>
            <w:r w:rsidRPr="00A608F5">
              <w:rPr>
                <w:sz w:val="18"/>
                <w:szCs w:val="18"/>
              </w:rPr>
              <w:t>581)</w:t>
            </w:r>
          </w:p>
        </w:tc>
        <w:tc>
          <w:tcPr>
            <w:tcW w:w="63" w:type="dxa"/>
            <w:tcMar>
              <w:left w:w="28" w:type="dxa"/>
              <w:right w:w="28" w:type="dxa"/>
            </w:tcMar>
          </w:tcPr>
          <w:p w14:paraId="1C0477E3" w14:textId="77777777" w:rsidR="00375AB2" w:rsidRPr="00DE189C" w:rsidRDefault="00375AB2" w:rsidP="00101586">
            <w:pPr>
              <w:jc w:val="right"/>
              <w:rPr>
                <w:b/>
                <w:sz w:val="18"/>
                <w:szCs w:val="18"/>
                <w:lang w:val="it-IT"/>
              </w:rPr>
            </w:pPr>
          </w:p>
        </w:tc>
        <w:tc>
          <w:tcPr>
            <w:tcW w:w="3045" w:type="dxa"/>
            <w:vAlign w:val="bottom"/>
          </w:tcPr>
          <w:p w14:paraId="72780D50" w14:textId="77777777" w:rsidR="00375AB2" w:rsidRPr="00DE189C" w:rsidRDefault="00375AB2" w:rsidP="00101586">
            <w:pPr>
              <w:ind w:right="57"/>
              <w:jc w:val="right"/>
              <w:rPr>
                <w:i/>
                <w:sz w:val="18"/>
                <w:szCs w:val="18"/>
              </w:rPr>
            </w:pPr>
            <w:r w:rsidRPr="008E4FFF">
              <w:rPr>
                <w:i/>
                <w:sz w:val="18"/>
                <w:szCs w:val="18"/>
              </w:rPr>
              <w:t>Payment for tax</w:t>
            </w:r>
          </w:p>
        </w:tc>
      </w:tr>
      <w:tr w:rsidR="00375AB2" w:rsidRPr="00DE189C" w14:paraId="5004C9D2" w14:textId="77777777" w:rsidTr="001853DC">
        <w:trPr>
          <w:trHeight w:val="20"/>
        </w:trPr>
        <w:tc>
          <w:tcPr>
            <w:tcW w:w="3045" w:type="dxa"/>
            <w:vAlign w:val="bottom"/>
          </w:tcPr>
          <w:p w14:paraId="5BFED2C2" w14:textId="77777777" w:rsidR="00375AB2" w:rsidRPr="00DE189C" w:rsidRDefault="00375AB2" w:rsidP="00101586">
            <w:pPr>
              <w:ind w:left="90"/>
              <w:rPr>
                <w:sz w:val="18"/>
                <w:szCs w:val="18"/>
                <w:lang w:val="sv-SE"/>
              </w:rPr>
            </w:pPr>
            <w:r w:rsidRPr="00DE189C">
              <w:rPr>
                <w:sz w:val="18"/>
                <w:szCs w:val="18"/>
                <w:lang w:val="sv-SE"/>
              </w:rPr>
              <w:t>Penghasilan bunga yang diterima</w:t>
            </w:r>
          </w:p>
        </w:tc>
        <w:tc>
          <w:tcPr>
            <w:tcW w:w="62" w:type="dxa"/>
            <w:tcMar>
              <w:left w:w="28" w:type="dxa"/>
              <w:right w:w="28" w:type="dxa"/>
            </w:tcMar>
          </w:tcPr>
          <w:p w14:paraId="59E8496C" w14:textId="77777777" w:rsidR="00375AB2" w:rsidRPr="00DE189C" w:rsidRDefault="00375AB2" w:rsidP="00101586">
            <w:pPr>
              <w:jc w:val="center"/>
              <w:rPr>
                <w:b/>
                <w:sz w:val="18"/>
                <w:szCs w:val="18"/>
                <w:lang w:val="it-IT"/>
              </w:rPr>
            </w:pPr>
          </w:p>
        </w:tc>
        <w:tc>
          <w:tcPr>
            <w:tcW w:w="1452" w:type="dxa"/>
            <w:shd w:val="clear" w:color="auto" w:fill="auto"/>
            <w:vAlign w:val="center"/>
          </w:tcPr>
          <w:p w14:paraId="3F55A91F" w14:textId="523BBB23" w:rsidR="00375AB2" w:rsidRPr="00DE189C" w:rsidRDefault="00C82620" w:rsidP="00101586">
            <w:pPr>
              <w:ind w:left="57" w:right="28"/>
              <w:jc w:val="right"/>
              <w:rPr>
                <w:sz w:val="18"/>
                <w:szCs w:val="18"/>
                <w:lang w:val="en-ID"/>
              </w:rPr>
            </w:pPr>
            <w:r w:rsidRPr="00C82620">
              <w:rPr>
                <w:sz w:val="18"/>
                <w:szCs w:val="18"/>
                <w:lang w:val="en-ID"/>
              </w:rPr>
              <w:t>2</w:t>
            </w:r>
            <w:r w:rsidR="00591CA7">
              <w:rPr>
                <w:sz w:val="18"/>
                <w:szCs w:val="18"/>
                <w:lang w:val="en-ID"/>
              </w:rPr>
              <w:t>.</w:t>
            </w:r>
            <w:r w:rsidRPr="00C82620">
              <w:rPr>
                <w:sz w:val="18"/>
                <w:szCs w:val="18"/>
                <w:lang w:val="en-ID"/>
              </w:rPr>
              <w:t>141</w:t>
            </w:r>
            <w:r w:rsidR="00591CA7">
              <w:rPr>
                <w:sz w:val="18"/>
                <w:szCs w:val="18"/>
                <w:lang w:val="en-ID"/>
              </w:rPr>
              <w:t>.</w:t>
            </w:r>
            <w:r w:rsidRPr="00C82620">
              <w:rPr>
                <w:sz w:val="18"/>
                <w:szCs w:val="18"/>
                <w:lang w:val="en-ID"/>
              </w:rPr>
              <w:t>019</w:t>
            </w:r>
            <w:r w:rsidR="00591CA7">
              <w:rPr>
                <w:sz w:val="18"/>
                <w:szCs w:val="18"/>
                <w:lang w:val="en-ID"/>
              </w:rPr>
              <w:t>.</w:t>
            </w:r>
            <w:r w:rsidRPr="00C82620">
              <w:rPr>
                <w:sz w:val="18"/>
                <w:szCs w:val="18"/>
                <w:lang w:val="en-ID"/>
              </w:rPr>
              <w:t>069</w:t>
            </w:r>
          </w:p>
        </w:tc>
        <w:tc>
          <w:tcPr>
            <w:tcW w:w="63" w:type="dxa"/>
            <w:tcMar>
              <w:left w:w="28" w:type="dxa"/>
              <w:right w:w="28" w:type="dxa"/>
            </w:tcMar>
            <w:vAlign w:val="bottom"/>
          </w:tcPr>
          <w:p w14:paraId="5445F1E3" w14:textId="77777777" w:rsidR="00375AB2" w:rsidRPr="00DE189C" w:rsidRDefault="00375AB2" w:rsidP="00101586">
            <w:pPr>
              <w:ind w:left="57" w:right="12"/>
              <w:jc w:val="right"/>
              <w:rPr>
                <w:sz w:val="18"/>
                <w:szCs w:val="18"/>
                <w:lang w:val="it-IT"/>
              </w:rPr>
            </w:pPr>
          </w:p>
        </w:tc>
        <w:tc>
          <w:tcPr>
            <w:tcW w:w="1467" w:type="dxa"/>
            <w:vAlign w:val="bottom"/>
          </w:tcPr>
          <w:p w14:paraId="1A5D7353" w14:textId="5F1B8F3A" w:rsidR="00375AB2" w:rsidRPr="00DE189C" w:rsidRDefault="00A608F5" w:rsidP="00101586">
            <w:pPr>
              <w:ind w:left="57" w:right="28"/>
              <w:jc w:val="right"/>
              <w:rPr>
                <w:sz w:val="18"/>
                <w:szCs w:val="18"/>
                <w:lang w:val="en-ID"/>
              </w:rPr>
            </w:pPr>
            <w:r w:rsidRPr="00A608F5">
              <w:rPr>
                <w:sz w:val="18"/>
                <w:szCs w:val="18"/>
                <w:lang w:val="en-ID"/>
              </w:rPr>
              <w:t>2</w:t>
            </w:r>
            <w:r w:rsidR="00591CA7">
              <w:rPr>
                <w:sz w:val="18"/>
                <w:szCs w:val="18"/>
                <w:lang w:val="en-ID"/>
              </w:rPr>
              <w:t>.</w:t>
            </w:r>
            <w:r w:rsidRPr="00A608F5">
              <w:rPr>
                <w:sz w:val="18"/>
                <w:szCs w:val="18"/>
                <w:lang w:val="en-ID"/>
              </w:rPr>
              <w:t>342</w:t>
            </w:r>
            <w:r w:rsidR="00591CA7">
              <w:rPr>
                <w:sz w:val="18"/>
                <w:szCs w:val="18"/>
                <w:lang w:val="en-ID"/>
              </w:rPr>
              <w:t>.</w:t>
            </w:r>
            <w:r w:rsidRPr="00A608F5">
              <w:rPr>
                <w:sz w:val="18"/>
                <w:szCs w:val="18"/>
                <w:lang w:val="en-ID"/>
              </w:rPr>
              <w:t>488</w:t>
            </w:r>
            <w:r w:rsidR="00591CA7">
              <w:rPr>
                <w:sz w:val="18"/>
                <w:szCs w:val="18"/>
                <w:lang w:val="en-ID"/>
              </w:rPr>
              <w:t>.</w:t>
            </w:r>
            <w:r w:rsidRPr="00A608F5">
              <w:rPr>
                <w:sz w:val="18"/>
                <w:szCs w:val="18"/>
                <w:lang w:val="en-ID"/>
              </w:rPr>
              <w:t>899</w:t>
            </w:r>
          </w:p>
        </w:tc>
        <w:tc>
          <w:tcPr>
            <w:tcW w:w="63" w:type="dxa"/>
            <w:tcMar>
              <w:left w:w="28" w:type="dxa"/>
              <w:right w:w="28" w:type="dxa"/>
            </w:tcMar>
          </w:tcPr>
          <w:p w14:paraId="0E1DF32C" w14:textId="77777777" w:rsidR="00375AB2" w:rsidRPr="00DE189C" w:rsidRDefault="00375AB2" w:rsidP="00101586">
            <w:pPr>
              <w:jc w:val="right"/>
              <w:rPr>
                <w:b/>
                <w:sz w:val="18"/>
                <w:szCs w:val="18"/>
                <w:lang w:val="it-IT"/>
              </w:rPr>
            </w:pPr>
          </w:p>
        </w:tc>
        <w:tc>
          <w:tcPr>
            <w:tcW w:w="3045" w:type="dxa"/>
            <w:vAlign w:val="bottom"/>
          </w:tcPr>
          <w:p w14:paraId="2E06A56B" w14:textId="77777777" w:rsidR="00375AB2" w:rsidRPr="00DE189C" w:rsidRDefault="00375AB2" w:rsidP="00101586">
            <w:pPr>
              <w:ind w:right="57"/>
              <w:jc w:val="right"/>
              <w:rPr>
                <w:i/>
                <w:sz w:val="18"/>
                <w:szCs w:val="18"/>
              </w:rPr>
            </w:pPr>
            <w:r w:rsidRPr="00DE189C">
              <w:rPr>
                <w:i/>
                <w:sz w:val="18"/>
                <w:szCs w:val="18"/>
              </w:rPr>
              <w:t>Interest income received</w:t>
            </w:r>
          </w:p>
        </w:tc>
      </w:tr>
      <w:tr w:rsidR="00A608F5" w:rsidRPr="00DE189C" w14:paraId="0A5BAA0D" w14:textId="77777777" w:rsidTr="001853DC">
        <w:trPr>
          <w:trHeight w:val="20"/>
        </w:trPr>
        <w:tc>
          <w:tcPr>
            <w:tcW w:w="3045" w:type="dxa"/>
            <w:vAlign w:val="bottom"/>
          </w:tcPr>
          <w:p w14:paraId="38AF097E" w14:textId="0282402A" w:rsidR="00A608F5" w:rsidRPr="00DE189C" w:rsidRDefault="00A608F5" w:rsidP="00101586">
            <w:pPr>
              <w:ind w:left="90"/>
              <w:rPr>
                <w:sz w:val="18"/>
                <w:szCs w:val="18"/>
                <w:lang w:val="sv-SE"/>
              </w:rPr>
            </w:pPr>
            <w:r>
              <w:rPr>
                <w:sz w:val="18"/>
                <w:szCs w:val="18"/>
                <w:lang w:val="sv-SE"/>
              </w:rPr>
              <w:t>Pembayaran Bunga</w:t>
            </w:r>
          </w:p>
        </w:tc>
        <w:tc>
          <w:tcPr>
            <w:tcW w:w="62" w:type="dxa"/>
            <w:tcMar>
              <w:left w:w="28" w:type="dxa"/>
              <w:right w:w="28" w:type="dxa"/>
            </w:tcMar>
          </w:tcPr>
          <w:p w14:paraId="2E0C01D0" w14:textId="77777777" w:rsidR="00A608F5" w:rsidRPr="00DE189C" w:rsidRDefault="00A608F5" w:rsidP="00101586">
            <w:pPr>
              <w:jc w:val="center"/>
              <w:rPr>
                <w:b/>
                <w:sz w:val="18"/>
                <w:szCs w:val="18"/>
                <w:lang w:val="it-IT"/>
              </w:rPr>
            </w:pPr>
          </w:p>
        </w:tc>
        <w:tc>
          <w:tcPr>
            <w:tcW w:w="1452" w:type="dxa"/>
            <w:tcBorders>
              <w:bottom w:val="single" w:sz="4" w:space="0" w:color="auto"/>
            </w:tcBorders>
            <w:shd w:val="clear" w:color="auto" w:fill="auto"/>
            <w:vAlign w:val="center"/>
          </w:tcPr>
          <w:p w14:paraId="1DAE56A4" w14:textId="0D4C4FD8" w:rsidR="00A608F5" w:rsidRPr="00DE189C" w:rsidRDefault="00C82620" w:rsidP="00101586">
            <w:pPr>
              <w:ind w:left="57" w:right="28"/>
              <w:jc w:val="right"/>
              <w:rPr>
                <w:sz w:val="18"/>
                <w:szCs w:val="18"/>
                <w:lang w:val="en-ID"/>
              </w:rPr>
            </w:pPr>
            <w:r w:rsidRPr="00C82620">
              <w:rPr>
                <w:sz w:val="18"/>
                <w:szCs w:val="18"/>
                <w:lang w:val="en-ID"/>
              </w:rPr>
              <w:t>(2</w:t>
            </w:r>
            <w:r w:rsidR="00591CA7">
              <w:rPr>
                <w:sz w:val="18"/>
                <w:szCs w:val="18"/>
                <w:lang w:val="en-ID"/>
              </w:rPr>
              <w:t>.</w:t>
            </w:r>
            <w:r w:rsidRPr="00C82620">
              <w:rPr>
                <w:sz w:val="18"/>
                <w:szCs w:val="18"/>
                <w:lang w:val="en-ID"/>
              </w:rPr>
              <w:t>397</w:t>
            </w:r>
            <w:r w:rsidR="00591CA7">
              <w:rPr>
                <w:sz w:val="18"/>
                <w:szCs w:val="18"/>
                <w:lang w:val="en-ID"/>
              </w:rPr>
              <w:t>.</w:t>
            </w:r>
            <w:r w:rsidRPr="00C82620">
              <w:rPr>
                <w:sz w:val="18"/>
                <w:szCs w:val="18"/>
                <w:lang w:val="en-ID"/>
              </w:rPr>
              <w:t>301</w:t>
            </w:r>
            <w:r w:rsidR="00591CA7">
              <w:rPr>
                <w:sz w:val="18"/>
                <w:szCs w:val="18"/>
                <w:lang w:val="en-ID"/>
              </w:rPr>
              <w:t>.</w:t>
            </w:r>
            <w:r w:rsidRPr="00C82620">
              <w:rPr>
                <w:sz w:val="18"/>
                <w:szCs w:val="18"/>
                <w:lang w:val="en-ID"/>
              </w:rPr>
              <w:t>036)</w:t>
            </w:r>
          </w:p>
        </w:tc>
        <w:tc>
          <w:tcPr>
            <w:tcW w:w="63" w:type="dxa"/>
            <w:tcMar>
              <w:left w:w="28" w:type="dxa"/>
              <w:right w:w="28" w:type="dxa"/>
            </w:tcMar>
            <w:vAlign w:val="bottom"/>
          </w:tcPr>
          <w:p w14:paraId="443E8F65" w14:textId="77777777" w:rsidR="00A608F5" w:rsidRPr="00DE189C" w:rsidRDefault="00A608F5" w:rsidP="00101586">
            <w:pPr>
              <w:ind w:left="57" w:right="12"/>
              <w:jc w:val="right"/>
              <w:rPr>
                <w:sz w:val="18"/>
                <w:szCs w:val="18"/>
                <w:lang w:val="it-IT"/>
              </w:rPr>
            </w:pPr>
          </w:p>
        </w:tc>
        <w:tc>
          <w:tcPr>
            <w:tcW w:w="1467" w:type="dxa"/>
            <w:tcBorders>
              <w:bottom w:val="single" w:sz="4" w:space="0" w:color="auto"/>
            </w:tcBorders>
            <w:vAlign w:val="bottom"/>
          </w:tcPr>
          <w:p w14:paraId="2F0FE9EA" w14:textId="789CD270" w:rsidR="00A608F5" w:rsidRPr="00A608F5" w:rsidRDefault="00A608F5" w:rsidP="00101586">
            <w:pPr>
              <w:ind w:left="57" w:right="28"/>
              <w:jc w:val="right"/>
              <w:rPr>
                <w:sz w:val="18"/>
                <w:szCs w:val="18"/>
                <w:lang w:val="en-ID"/>
              </w:rPr>
            </w:pPr>
            <w:r w:rsidRPr="00A608F5">
              <w:rPr>
                <w:sz w:val="18"/>
                <w:szCs w:val="18"/>
                <w:lang w:val="en-ID"/>
              </w:rPr>
              <w:t>(2</w:t>
            </w:r>
            <w:r w:rsidR="00591CA7">
              <w:rPr>
                <w:sz w:val="18"/>
                <w:szCs w:val="18"/>
                <w:lang w:val="en-ID"/>
              </w:rPr>
              <w:t>.</w:t>
            </w:r>
            <w:r w:rsidRPr="00A608F5">
              <w:rPr>
                <w:sz w:val="18"/>
                <w:szCs w:val="18"/>
                <w:lang w:val="en-ID"/>
              </w:rPr>
              <w:t>619</w:t>
            </w:r>
            <w:r w:rsidR="00591CA7">
              <w:rPr>
                <w:sz w:val="18"/>
                <w:szCs w:val="18"/>
                <w:lang w:val="en-ID"/>
              </w:rPr>
              <w:t>.</w:t>
            </w:r>
            <w:r w:rsidRPr="00A608F5">
              <w:rPr>
                <w:sz w:val="18"/>
                <w:szCs w:val="18"/>
                <w:lang w:val="en-ID"/>
              </w:rPr>
              <w:t>444</w:t>
            </w:r>
            <w:r w:rsidR="00591CA7">
              <w:rPr>
                <w:sz w:val="18"/>
                <w:szCs w:val="18"/>
                <w:lang w:val="en-ID"/>
              </w:rPr>
              <w:t>.</w:t>
            </w:r>
            <w:r w:rsidRPr="00A608F5">
              <w:rPr>
                <w:sz w:val="18"/>
                <w:szCs w:val="18"/>
                <w:lang w:val="en-ID"/>
              </w:rPr>
              <w:t>451)</w:t>
            </w:r>
          </w:p>
        </w:tc>
        <w:tc>
          <w:tcPr>
            <w:tcW w:w="63" w:type="dxa"/>
            <w:tcMar>
              <w:left w:w="28" w:type="dxa"/>
              <w:right w:w="28" w:type="dxa"/>
            </w:tcMar>
          </w:tcPr>
          <w:p w14:paraId="108D6FC8" w14:textId="77777777" w:rsidR="00A608F5" w:rsidRPr="00DE189C" w:rsidRDefault="00A608F5" w:rsidP="00101586">
            <w:pPr>
              <w:jc w:val="right"/>
              <w:rPr>
                <w:b/>
                <w:sz w:val="18"/>
                <w:szCs w:val="18"/>
                <w:lang w:val="it-IT"/>
              </w:rPr>
            </w:pPr>
          </w:p>
        </w:tc>
        <w:tc>
          <w:tcPr>
            <w:tcW w:w="3045" w:type="dxa"/>
            <w:vAlign w:val="bottom"/>
          </w:tcPr>
          <w:p w14:paraId="1D0600DC" w14:textId="7256B992" w:rsidR="00A608F5" w:rsidRPr="00DE189C" w:rsidRDefault="001853DC" w:rsidP="00101586">
            <w:pPr>
              <w:ind w:right="57"/>
              <w:jc w:val="right"/>
              <w:rPr>
                <w:i/>
                <w:sz w:val="18"/>
                <w:szCs w:val="18"/>
              </w:rPr>
            </w:pPr>
            <w:r>
              <w:rPr>
                <w:i/>
                <w:sz w:val="18"/>
                <w:szCs w:val="18"/>
              </w:rPr>
              <w:t>Payment for interest</w:t>
            </w:r>
          </w:p>
        </w:tc>
      </w:tr>
      <w:tr w:rsidR="00375AB2" w:rsidRPr="00DE189C" w14:paraId="11D6AA79" w14:textId="77777777" w:rsidTr="001853DC">
        <w:trPr>
          <w:trHeight w:val="20"/>
        </w:trPr>
        <w:tc>
          <w:tcPr>
            <w:tcW w:w="3045" w:type="dxa"/>
            <w:vAlign w:val="bottom"/>
          </w:tcPr>
          <w:p w14:paraId="62BF4FDC" w14:textId="05B366AF" w:rsidR="00375AB2" w:rsidRPr="00DE189C" w:rsidRDefault="001853DC" w:rsidP="00101586">
            <w:pPr>
              <w:ind w:left="91"/>
              <w:rPr>
                <w:sz w:val="18"/>
                <w:szCs w:val="18"/>
                <w:lang w:val="sv-SE"/>
              </w:rPr>
            </w:pPr>
            <w:r>
              <w:rPr>
                <w:sz w:val="18"/>
                <w:szCs w:val="18"/>
                <w:lang w:val="sv-SE"/>
              </w:rPr>
              <w:t xml:space="preserve">Kas Bersih Diperoleh dari </w:t>
            </w:r>
          </w:p>
          <w:p w14:paraId="60678B34" w14:textId="6BCBCD5E" w:rsidR="00375AB2" w:rsidRPr="00DE189C" w:rsidRDefault="00375AB2" w:rsidP="00101586">
            <w:pPr>
              <w:ind w:left="284"/>
              <w:rPr>
                <w:sz w:val="18"/>
                <w:szCs w:val="18"/>
                <w:lang w:val="sv-SE"/>
              </w:rPr>
            </w:pPr>
            <w:r w:rsidRPr="00DE189C">
              <w:rPr>
                <w:sz w:val="18"/>
                <w:szCs w:val="18"/>
                <w:lang w:val="sv-SE"/>
              </w:rPr>
              <w:t>Aktivitas Operasi</w:t>
            </w:r>
          </w:p>
        </w:tc>
        <w:tc>
          <w:tcPr>
            <w:tcW w:w="62" w:type="dxa"/>
            <w:tcMar>
              <w:left w:w="28" w:type="dxa"/>
              <w:right w:w="28" w:type="dxa"/>
            </w:tcMar>
          </w:tcPr>
          <w:p w14:paraId="7F543363" w14:textId="77777777" w:rsidR="00375AB2" w:rsidRPr="00DE189C" w:rsidRDefault="00375AB2" w:rsidP="00101586">
            <w:pPr>
              <w:jc w:val="center"/>
              <w:rPr>
                <w:b/>
                <w:sz w:val="18"/>
                <w:szCs w:val="18"/>
                <w:lang w:val="it-IT"/>
              </w:rPr>
            </w:pPr>
          </w:p>
        </w:tc>
        <w:tc>
          <w:tcPr>
            <w:tcW w:w="1452" w:type="dxa"/>
            <w:tcBorders>
              <w:top w:val="single" w:sz="4" w:space="0" w:color="auto"/>
              <w:bottom w:val="single" w:sz="4" w:space="0" w:color="auto"/>
            </w:tcBorders>
            <w:shd w:val="clear" w:color="auto" w:fill="auto"/>
            <w:vAlign w:val="bottom"/>
          </w:tcPr>
          <w:p w14:paraId="5C445393" w14:textId="19E00580" w:rsidR="00375AB2" w:rsidRPr="00DE189C" w:rsidRDefault="00D87745" w:rsidP="00101586">
            <w:pPr>
              <w:ind w:left="57" w:right="28"/>
              <w:jc w:val="right"/>
              <w:rPr>
                <w:sz w:val="18"/>
                <w:szCs w:val="18"/>
                <w:lang w:val="en-ID"/>
              </w:rPr>
            </w:pPr>
            <w:r>
              <w:rPr>
                <w:sz w:val="18"/>
                <w:szCs w:val="18"/>
                <w:lang w:val="en-ID"/>
              </w:rPr>
              <w:t>10.780.843.974</w:t>
            </w:r>
          </w:p>
        </w:tc>
        <w:tc>
          <w:tcPr>
            <w:tcW w:w="63" w:type="dxa"/>
            <w:tcMar>
              <w:left w:w="28" w:type="dxa"/>
              <w:right w:w="28" w:type="dxa"/>
            </w:tcMar>
            <w:vAlign w:val="bottom"/>
          </w:tcPr>
          <w:p w14:paraId="44471CEC" w14:textId="77777777" w:rsidR="00375AB2" w:rsidRPr="00DE189C" w:rsidRDefault="00375AB2" w:rsidP="00101586">
            <w:pPr>
              <w:ind w:left="57" w:right="12"/>
              <w:jc w:val="right"/>
              <w:rPr>
                <w:sz w:val="18"/>
                <w:szCs w:val="18"/>
                <w:lang w:val="it-IT"/>
              </w:rPr>
            </w:pPr>
          </w:p>
        </w:tc>
        <w:tc>
          <w:tcPr>
            <w:tcW w:w="1467" w:type="dxa"/>
            <w:tcBorders>
              <w:top w:val="single" w:sz="4" w:space="0" w:color="auto"/>
              <w:bottom w:val="single" w:sz="4" w:space="0" w:color="auto"/>
            </w:tcBorders>
            <w:vAlign w:val="bottom"/>
          </w:tcPr>
          <w:p w14:paraId="772D6080" w14:textId="26517D4D" w:rsidR="00375AB2" w:rsidRPr="00DE189C" w:rsidRDefault="00A608F5" w:rsidP="00101586">
            <w:pPr>
              <w:ind w:left="57" w:right="28"/>
              <w:jc w:val="right"/>
              <w:rPr>
                <w:sz w:val="18"/>
                <w:szCs w:val="18"/>
                <w:lang w:val="en-ID"/>
              </w:rPr>
            </w:pPr>
            <w:r w:rsidRPr="00A608F5">
              <w:rPr>
                <w:sz w:val="18"/>
                <w:szCs w:val="18"/>
                <w:lang w:val="en-ID"/>
              </w:rPr>
              <w:t>7</w:t>
            </w:r>
            <w:r w:rsidR="00591CA7">
              <w:rPr>
                <w:sz w:val="18"/>
                <w:szCs w:val="18"/>
                <w:lang w:val="en-ID"/>
              </w:rPr>
              <w:t>.</w:t>
            </w:r>
            <w:r w:rsidRPr="00A608F5">
              <w:rPr>
                <w:sz w:val="18"/>
                <w:szCs w:val="18"/>
                <w:lang w:val="en-ID"/>
              </w:rPr>
              <w:t>974</w:t>
            </w:r>
            <w:r w:rsidR="00591CA7">
              <w:rPr>
                <w:sz w:val="18"/>
                <w:szCs w:val="18"/>
                <w:lang w:val="en-ID"/>
              </w:rPr>
              <w:t>.</w:t>
            </w:r>
            <w:r w:rsidRPr="00A608F5">
              <w:rPr>
                <w:sz w:val="18"/>
                <w:szCs w:val="18"/>
                <w:lang w:val="en-ID"/>
              </w:rPr>
              <w:t>855</w:t>
            </w:r>
            <w:r w:rsidR="00591CA7">
              <w:rPr>
                <w:sz w:val="18"/>
                <w:szCs w:val="18"/>
                <w:lang w:val="en-ID"/>
              </w:rPr>
              <w:t>.</w:t>
            </w:r>
            <w:r w:rsidRPr="00A608F5">
              <w:rPr>
                <w:sz w:val="18"/>
                <w:szCs w:val="18"/>
                <w:lang w:val="en-ID"/>
              </w:rPr>
              <w:t>246</w:t>
            </w:r>
          </w:p>
        </w:tc>
        <w:tc>
          <w:tcPr>
            <w:tcW w:w="63" w:type="dxa"/>
            <w:tcMar>
              <w:left w:w="28" w:type="dxa"/>
              <w:right w:w="28" w:type="dxa"/>
            </w:tcMar>
          </w:tcPr>
          <w:p w14:paraId="22DBF561" w14:textId="77777777" w:rsidR="00375AB2" w:rsidRPr="00DE189C" w:rsidRDefault="00375AB2" w:rsidP="00101586">
            <w:pPr>
              <w:jc w:val="right"/>
              <w:rPr>
                <w:b/>
                <w:sz w:val="18"/>
                <w:szCs w:val="18"/>
                <w:lang w:val="it-IT"/>
              </w:rPr>
            </w:pPr>
          </w:p>
        </w:tc>
        <w:tc>
          <w:tcPr>
            <w:tcW w:w="3045" w:type="dxa"/>
            <w:vAlign w:val="bottom"/>
          </w:tcPr>
          <w:p w14:paraId="6B614CD9" w14:textId="130BBC22" w:rsidR="00375AB2" w:rsidRPr="00DE189C" w:rsidRDefault="001853DC" w:rsidP="00101586">
            <w:pPr>
              <w:ind w:right="57"/>
              <w:jc w:val="right"/>
              <w:rPr>
                <w:i/>
                <w:sz w:val="18"/>
                <w:szCs w:val="18"/>
              </w:rPr>
            </w:pPr>
            <w:r>
              <w:rPr>
                <w:i/>
                <w:sz w:val="18"/>
                <w:szCs w:val="18"/>
              </w:rPr>
              <w:t>Net Cash Provided by</w:t>
            </w:r>
          </w:p>
          <w:p w14:paraId="0ECE0D08" w14:textId="77777777" w:rsidR="00375AB2" w:rsidRPr="00DE189C" w:rsidRDefault="00375AB2" w:rsidP="00101586">
            <w:pPr>
              <w:ind w:right="261"/>
              <w:jc w:val="right"/>
              <w:rPr>
                <w:i/>
                <w:sz w:val="18"/>
                <w:szCs w:val="18"/>
              </w:rPr>
            </w:pPr>
            <w:r w:rsidRPr="00DE189C">
              <w:rPr>
                <w:i/>
                <w:sz w:val="18"/>
                <w:szCs w:val="18"/>
              </w:rPr>
              <w:t>Operating Activites</w:t>
            </w:r>
          </w:p>
        </w:tc>
      </w:tr>
      <w:tr w:rsidR="00375AB2" w:rsidRPr="00DE189C" w14:paraId="61B28DC8" w14:textId="77777777" w:rsidTr="001853DC">
        <w:trPr>
          <w:trHeight w:val="20"/>
        </w:trPr>
        <w:tc>
          <w:tcPr>
            <w:tcW w:w="3045" w:type="dxa"/>
            <w:vAlign w:val="bottom"/>
          </w:tcPr>
          <w:p w14:paraId="7356B121" w14:textId="77777777" w:rsidR="00375AB2" w:rsidRPr="00DE189C" w:rsidRDefault="00375AB2" w:rsidP="00101586">
            <w:pPr>
              <w:ind w:left="283" w:hanging="170"/>
              <w:rPr>
                <w:b/>
                <w:sz w:val="18"/>
                <w:szCs w:val="18"/>
              </w:rPr>
            </w:pPr>
          </w:p>
        </w:tc>
        <w:tc>
          <w:tcPr>
            <w:tcW w:w="62" w:type="dxa"/>
            <w:tcMar>
              <w:left w:w="28" w:type="dxa"/>
              <w:right w:w="28" w:type="dxa"/>
            </w:tcMar>
          </w:tcPr>
          <w:p w14:paraId="5FD642A3" w14:textId="77777777" w:rsidR="00375AB2" w:rsidRPr="00DE189C" w:rsidRDefault="00375AB2" w:rsidP="00101586">
            <w:pPr>
              <w:jc w:val="center"/>
              <w:rPr>
                <w:b/>
                <w:sz w:val="18"/>
                <w:szCs w:val="18"/>
              </w:rPr>
            </w:pPr>
          </w:p>
        </w:tc>
        <w:tc>
          <w:tcPr>
            <w:tcW w:w="1452" w:type="dxa"/>
            <w:tcBorders>
              <w:top w:val="single" w:sz="4" w:space="0" w:color="auto"/>
            </w:tcBorders>
            <w:shd w:val="clear" w:color="auto" w:fill="auto"/>
            <w:vAlign w:val="bottom"/>
          </w:tcPr>
          <w:p w14:paraId="39C74699" w14:textId="77777777" w:rsidR="00375AB2" w:rsidRPr="00DE189C" w:rsidRDefault="00375AB2" w:rsidP="00101586">
            <w:pPr>
              <w:ind w:left="57" w:right="28"/>
              <w:jc w:val="right"/>
              <w:rPr>
                <w:sz w:val="18"/>
                <w:szCs w:val="18"/>
                <w:lang w:val="en-ID"/>
              </w:rPr>
            </w:pPr>
          </w:p>
        </w:tc>
        <w:tc>
          <w:tcPr>
            <w:tcW w:w="63" w:type="dxa"/>
            <w:tcMar>
              <w:left w:w="28" w:type="dxa"/>
              <w:right w:w="28" w:type="dxa"/>
            </w:tcMar>
            <w:vAlign w:val="bottom"/>
          </w:tcPr>
          <w:p w14:paraId="2CEC3E30" w14:textId="77777777" w:rsidR="00375AB2" w:rsidRPr="00DE189C" w:rsidRDefault="00375AB2" w:rsidP="00101586">
            <w:pPr>
              <w:ind w:left="57" w:right="12"/>
              <w:jc w:val="right"/>
              <w:rPr>
                <w:b/>
                <w:sz w:val="18"/>
                <w:szCs w:val="18"/>
              </w:rPr>
            </w:pPr>
          </w:p>
        </w:tc>
        <w:tc>
          <w:tcPr>
            <w:tcW w:w="1467" w:type="dxa"/>
            <w:tcBorders>
              <w:top w:val="single" w:sz="4" w:space="0" w:color="auto"/>
            </w:tcBorders>
            <w:vAlign w:val="bottom"/>
          </w:tcPr>
          <w:p w14:paraId="7E1A92C6" w14:textId="77777777" w:rsidR="00375AB2" w:rsidRPr="00DE189C" w:rsidRDefault="00375AB2" w:rsidP="00101586">
            <w:pPr>
              <w:ind w:left="57" w:right="28"/>
              <w:jc w:val="right"/>
              <w:rPr>
                <w:b/>
                <w:sz w:val="18"/>
                <w:szCs w:val="18"/>
              </w:rPr>
            </w:pPr>
          </w:p>
        </w:tc>
        <w:tc>
          <w:tcPr>
            <w:tcW w:w="63" w:type="dxa"/>
            <w:tcMar>
              <w:left w:w="28" w:type="dxa"/>
              <w:right w:w="28" w:type="dxa"/>
            </w:tcMar>
          </w:tcPr>
          <w:p w14:paraId="5C7D9FE0" w14:textId="77777777" w:rsidR="00375AB2" w:rsidRPr="00DE189C" w:rsidRDefault="00375AB2" w:rsidP="00101586">
            <w:pPr>
              <w:jc w:val="right"/>
              <w:rPr>
                <w:b/>
                <w:sz w:val="18"/>
                <w:szCs w:val="18"/>
              </w:rPr>
            </w:pPr>
          </w:p>
        </w:tc>
        <w:tc>
          <w:tcPr>
            <w:tcW w:w="3045" w:type="dxa"/>
            <w:vAlign w:val="bottom"/>
          </w:tcPr>
          <w:p w14:paraId="5A6B4E95" w14:textId="77777777" w:rsidR="00375AB2" w:rsidRPr="00DE189C" w:rsidRDefault="00375AB2" w:rsidP="00101586">
            <w:pPr>
              <w:ind w:right="75"/>
              <w:jc w:val="right"/>
              <w:rPr>
                <w:b/>
                <w:i/>
                <w:sz w:val="18"/>
                <w:szCs w:val="18"/>
              </w:rPr>
            </w:pPr>
          </w:p>
        </w:tc>
      </w:tr>
      <w:tr w:rsidR="00375AB2" w:rsidRPr="00DE189C" w14:paraId="17C886EC" w14:textId="77777777" w:rsidTr="001853DC">
        <w:trPr>
          <w:trHeight w:val="20"/>
        </w:trPr>
        <w:tc>
          <w:tcPr>
            <w:tcW w:w="3045" w:type="dxa"/>
            <w:vAlign w:val="bottom"/>
          </w:tcPr>
          <w:p w14:paraId="19F621D4" w14:textId="77777777" w:rsidR="00375AB2" w:rsidRPr="00DE189C" w:rsidRDefault="00375AB2" w:rsidP="00101586">
            <w:pPr>
              <w:ind w:left="283" w:hanging="193"/>
              <w:rPr>
                <w:b/>
                <w:sz w:val="18"/>
                <w:szCs w:val="18"/>
                <w:lang w:val="it-IT"/>
              </w:rPr>
            </w:pPr>
            <w:r w:rsidRPr="00DE189C">
              <w:rPr>
                <w:b/>
                <w:sz w:val="18"/>
                <w:szCs w:val="18"/>
                <w:lang w:val="it-IT"/>
              </w:rPr>
              <w:t xml:space="preserve">ARUS KAS DARI AKTIVITAS INVESTASI </w:t>
            </w:r>
          </w:p>
        </w:tc>
        <w:tc>
          <w:tcPr>
            <w:tcW w:w="62" w:type="dxa"/>
            <w:tcMar>
              <w:left w:w="28" w:type="dxa"/>
              <w:right w:w="28" w:type="dxa"/>
            </w:tcMar>
          </w:tcPr>
          <w:p w14:paraId="127C7246" w14:textId="77777777" w:rsidR="00375AB2" w:rsidRPr="00DE189C" w:rsidRDefault="00375AB2" w:rsidP="00101586">
            <w:pPr>
              <w:jc w:val="center"/>
              <w:rPr>
                <w:b/>
                <w:sz w:val="18"/>
                <w:szCs w:val="18"/>
                <w:lang w:val="it-IT"/>
              </w:rPr>
            </w:pPr>
          </w:p>
        </w:tc>
        <w:tc>
          <w:tcPr>
            <w:tcW w:w="1452" w:type="dxa"/>
            <w:shd w:val="clear" w:color="auto" w:fill="auto"/>
            <w:vAlign w:val="bottom"/>
          </w:tcPr>
          <w:p w14:paraId="4B389A02" w14:textId="77777777" w:rsidR="00375AB2" w:rsidRPr="00DE189C" w:rsidRDefault="00375AB2" w:rsidP="00101586">
            <w:pPr>
              <w:ind w:left="57" w:right="28"/>
              <w:jc w:val="right"/>
              <w:rPr>
                <w:sz w:val="18"/>
                <w:szCs w:val="18"/>
                <w:lang w:val="en-ID"/>
              </w:rPr>
            </w:pPr>
          </w:p>
        </w:tc>
        <w:tc>
          <w:tcPr>
            <w:tcW w:w="63" w:type="dxa"/>
            <w:tcMar>
              <w:left w:w="28" w:type="dxa"/>
              <w:right w:w="28" w:type="dxa"/>
            </w:tcMar>
            <w:vAlign w:val="bottom"/>
          </w:tcPr>
          <w:p w14:paraId="55790981" w14:textId="77777777" w:rsidR="00375AB2" w:rsidRPr="00DE189C" w:rsidRDefault="00375AB2" w:rsidP="00101586">
            <w:pPr>
              <w:ind w:left="57" w:right="12"/>
              <w:jc w:val="right"/>
              <w:rPr>
                <w:b/>
                <w:sz w:val="18"/>
                <w:szCs w:val="18"/>
                <w:lang w:val="it-IT"/>
              </w:rPr>
            </w:pPr>
          </w:p>
        </w:tc>
        <w:tc>
          <w:tcPr>
            <w:tcW w:w="1467" w:type="dxa"/>
            <w:vAlign w:val="bottom"/>
          </w:tcPr>
          <w:p w14:paraId="1F6E7E58" w14:textId="77777777" w:rsidR="00375AB2" w:rsidRPr="00DE189C" w:rsidRDefault="00375AB2" w:rsidP="00101586">
            <w:pPr>
              <w:ind w:left="57" w:right="28"/>
              <w:jc w:val="right"/>
              <w:rPr>
                <w:b/>
                <w:sz w:val="18"/>
                <w:szCs w:val="18"/>
                <w:lang w:val="id-ID"/>
              </w:rPr>
            </w:pPr>
          </w:p>
        </w:tc>
        <w:tc>
          <w:tcPr>
            <w:tcW w:w="63" w:type="dxa"/>
            <w:tcMar>
              <w:left w:w="28" w:type="dxa"/>
              <w:right w:w="28" w:type="dxa"/>
            </w:tcMar>
          </w:tcPr>
          <w:p w14:paraId="6CF1BFB2" w14:textId="77777777" w:rsidR="00375AB2" w:rsidRPr="00DE189C" w:rsidRDefault="00375AB2" w:rsidP="00101586">
            <w:pPr>
              <w:jc w:val="right"/>
              <w:rPr>
                <w:b/>
                <w:sz w:val="18"/>
                <w:szCs w:val="18"/>
                <w:lang w:val="it-IT"/>
              </w:rPr>
            </w:pPr>
          </w:p>
        </w:tc>
        <w:tc>
          <w:tcPr>
            <w:tcW w:w="3045" w:type="dxa"/>
            <w:vAlign w:val="bottom"/>
          </w:tcPr>
          <w:p w14:paraId="115405AE" w14:textId="77777777" w:rsidR="00375AB2" w:rsidRPr="00DE189C" w:rsidRDefault="00375AB2" w:rsidP="00101586">
            <w:pPr>
              <w:ind w:right="75"/>
              <w:jc w:val="right"/>
              <w:rPr>
                <w:b/>
                <w:i/>
                <w:sz w:val="18"/>
                <w:szCs w:val="18"/>
              </w:rPr>
            </w:pPr>
            <w:r w:rsidRPr="00DE189C">
              <w:rPr>
                <w:b/>
                <w:i/>
                <w:sz w:val="18"/>
                <w:szCs w:val="18"/>
              </w:rPr>
              <w:t>CASH FLOWS FROM</w:t>
            </w:r>
          </w:p>
          <w:p w14:paraId="5F6A9AFB" w14:textId="77777777" w:rsidR="00375AB2" w:rsidRPr="00DE189C" w:rsidRDefault="00375AB2" w:rsidP="00101586">
            <w:pPr>
              <w:ind w:right="255"/>
              <w:jc w:val="right"/>
              <w:rPr>
                <w:b/>
                <w:i/>
                <w:sz w:val="18"/>
                <w:szCs w:val="18"/>
              </w:rPr>
            </w:pPr>
            <w:r w:rsidRPr="00DE189C">
              <w:rPr>
                <w:b/>
                <w:i/>
                <w:sz w:val="18"/>
                <w:szCs w:val="18"/>
              </w:rPr>
              <w:t xml:space="preserve"> INVESTING ACTIVITIES </w:t>
            </w:r>
          </w:p>
        </w:tc>
      </w:tr>
      <w:tr w:rsidR="00375AB2" w:rsidRPr="00DE189C" w14:paraId="247450D1" w14:textId="77777777" w:rsidTr="001853DC">
        <w:trPr>
          <w:trHeight w:val="20"/>
        </w:trPr>
        <w:tc>
          <w:tcPr>
            <w:tcW w:w="3045" w:type="dxa"/>
            <w:vAlign w:val="bottom"/>
          </w:tcPr>
          <w:p w14:paraId="02ECC941" w14:textId="77777777" w:rsidR="00375AB2" w:rsidRPr="00DE189C" w:rsidRDefault="00375AB2" w:rsidP="00101586">
            <w:pPr>
              <w:ind w:left="90"/>
              <w:rPr>
                <w:sz w:val="18"/>
                <w:szCs w:val="18"/>
                <w:lang w:val="sv-SE"/>
              </w:rPr>
            </w:pPr>
            <w:r w:rsidRPr="00DE189C">
              <w:rPr>
                <w:sz w:val="18"/>
                <w:szCs w:val="18"/>
                <w:lang w:val="sv-SE"/>
              </w:rPr>
              <w:t>Hasil penjualan aset tetap</w:t>
            </w:r>
          </w:p>
        </w:tc>
        <w:tc>
          <w:tcPr>
            <w:tcW w:w="62" w:type="dxa"/>
            <w:tcMar>
              <w:left w:w="28" w:type="dxa"/>
              <w:right w:w="28" w:type="dxa"/>
            </w:tcMar>
          </w:tcPr>
          <w:p w14:paraId="50F17AF5" w14:textId="77777777" w:rsidR="00375AB2" w:rsidRPr="00DE189C" w:rsidRDefault="00375AB2" w:rsidP="00101586">
            <w:pPr>
              <w:jc w:val="center"/>
              <w:rPr>
                <w:b/>
                <w:sz w:val="18"/>
                <w:szCs w:val="18"/>
                <w:lang w:val="it-IT"/>
              </w:rPr>
            </w:pPr>
          </w:p>
        </w:tc>
        <w:tc>
          <w:tcPr>
            <w:tcW w:w="1452" w:type="dxa"/>
            <w:shd w:val="clear" w:color="auto" w:fill="auto"/>
            <w:vAlign w:val="center"/>
          </w:tcPr>
          <w:p w14:paraId="5B06F99F" w14:textId="0F63D0FE" w:rsidR="00375AB2" w:rsidRPr="00DE189C" w:rsidRDefault="00D87745" w:rsidP="00101586">
            <w:pPr>
              <w:ind w:left="57" w:right="28"/>
              <w:jc w:val="right"/>
              <w:rPr>
                <w:sz w:val="18"/>
                <w:szCs w:val="18"/>
                <w:lang w:val="en-ID"/>
              </w:rPr>
            </w:pPr>
            <w:r>
              <w:rPr>
                <w:sz w:val="18"/>
                <w:szCs w:val="18"/>
                <w:lang w:val="en-ID"/>
              </w:rPr>
              <w:t>(14.006.562.797)</w:t>
            </w:r>
          </w:p>
        </w:tc>
        <w:tc>
          <w:tcPr>
            <w:tcW w:w="63" w:type="dxa"/>
            <w:tcMar>
              <w:left w:w="28" w:type="dxa"/>
              <w:right w:w="28" w:type="dxa"/>
            </w:tcMar>
            <w:vAlign w:val="bottom"/>
          </w:tcPr>
          <w:p w14:paraId="35A339D4" w14:textId="77777777" w:rsidR="00375AB2" w:rsidRPr="00DE189C" w:rsidRDefault="00375AB2" w:rsidP="00101586">
            <w:pPr>
              <w:ind w:left="57" w:right="12"/>
              <w:jc w:val="right"/>
              <w:rPr>
                <w:sz w:val="18"/>
                <w:szCs w:val="18"/>
                <w:lang w:val="it-IT"/>
              </w:rPr>
            </w:pPr>
          </w:p>
        </w:tc>
        <w:tc>
          <w:tcPr>
            <w:tcW w:w="1467" w:type="dxa"/>
            <w:vAlign w:val="bottom"/>
          </w:tcPr>
          <w:p w14:paraId="51EE5786" w14:textId="2AD4DC1C" w:rsidR="00375AB2" w:rsidRPr="00DE189C" w:rsidRDefault="00A608F5" w:rsidP="00101586">
            <w:pPr>
              <w:ind w:left="57" w:right="28"/>
              <w:jc w:val="right"/>
              <w:rPr>
                <w:sz w:val="18"/>
                <w:szCs w:val="18"/>
                <w:lang w:val="it-IT"/>
              </w:rPr>
            </w:pPr>
            <w:r w:rsidRPr="00A608F5">
              <w:rPr>
                <w:sz w:val="18"/>
                <w:szCs w:val="18"/>
                <w:lang w:val="it-IT"/>
              </w:rPr>
              <w:t>(2</w:t>
            </w:r>
            <w:r w:rsidR="00591CA7">
              <w:rPr>
                <w:sz w:val="18"/>
                <w:szCs w:val="18"/>
                <w:lang w:val="it-IT"/>
              </w:rPr>
              <w:t>.</w:t>
            </w:r>
            <w:r w:rsidRPr="00A608F5">
              <w:rPr>
                <w:sz w:val="18"/>
                <w:szCs w:val="18"/>
                <w:lang w:val="it-IT"/>
              </w:rPr>
              <w:t>890</w:t>
            </w:r>
            <w:r w:rsidR="00591CA7">
              <w:rPr>
                <w:sz w:val="18"/>
                <w:szCs w:val="18"/>
                <w:lang w:val="it-IT"/>
              </w:rPr>
              <w:t>.</w:t>
            </w:r>
            <w:r w:rsidRPr="00A608F5">
              <w:rPr>
                <w:sz w:val="18"/>
                <w:szCs w:val="18"/>
                <w:lang w:val="it-IT"/>
              </w:rPr>
              <w:t>129</w:t>
            </w:r>
            <w:r w:rsidR="00591CA7">
              <w:rPr>
                <w:sz w:val="18"/>
                <w:szCs w:val="18"/>
                <w:lang w:val="it-IT"/>
              </w:rPr>
              <w:t>.</w:t>
            </w:r>
            <w:r w:rsidRPr="00A608F5">
              <w:rPr>
                <w:sz w:val="18"/>
                <w:szCs w:val="18"/>
                <w:lang w:val="it-IT"/>
              </w:rPr>
              <w:t>824)</w:t>
            </w:r>
          </w:p>
        </w:tc>
        <w:tc>
          <w:tcPr>
            <w:tcW w:w="63" w:type="dxa"/>
            <w:tcMar>
              <w:left w:w="28" w:type="dxa"/>
              <w:right w:w="28" w:type="dxa"/>
            </w:tcMar>
          </w:tcPr>
          <w:p w14:paraId="3FA0A3E5" w14:textId="77777777" w:rsidR="00375AB2" w:rsidRPr="00DE189C" w:rsidRDefault="00375AB2" w:rsidP="00101586">
            <w:pPr>
              <w:jc w:val="right"/>
              <w:rPr>
                <w:b/>
                <w:sz w:val="18"/>
                <w:szCs w:val="18"/>
                <w:lang w:val="it-IT"/>
              </w:rPr>
            </w:pPr>
          </w:p>
        </w:tc>
        <w:tc>
          <w:tcPr>
            <w:tcW w:w="3045" w:type="dxa"/>
            <w:vAlign w:val="bottom"/>
          </w:tcPr>
          <w:p w14:paraId="10BC5778" w14:textId="77777777" w:rsidR="00375AB2" w:rsidRPr="00DE189C" w:rsidRDefault="00375AB2" w:rsidP="00101586">
            <w:pPr>
              <w:ind w:right="75"/>
              <w:jc w:val="right"/>
              <w:rPr>
                <w:i/>
                <w:sz w:val="18"/>
                <w:szCs w:val="18"/>
              </w:rPr>
            </w:pPr>
            <w:r w:rsidRPr="00DE189C">
              <w:rPr>
                <w:i/>
                <w:sz w:val="18"/>
                <w:szCs w:val="18"/>
              </w:rPr>
              <w:t>Proceeds from sale of fixed assets</w:t>
            </w:r>
          </w:p>
        </w:tc>
      </w:tr>
      <w:tr w:rsidR="00375AB2" w:rsidRPr="00DE189C" w14:paraId="6A2A0DA4" w14:textId="77777777" w:rsidTr="001853DC">
        <w:trPr>
          <w:trHeight w:val="20"/>
        </w:trPr>
        <w:tc>
          <w:tcPr>
            <w:tcW w:w="3045" w:type="dxa"/>
            <w:vAlign w:val="bottom"/>
          </w:tcPr>
          <w:p w14:paraId="1D4D1A93" w14:textId="77777777" w:rsidR="00375AB2" w:rsidRPr="00DE189C" w:rsidRDefault="00375AB2" w:rsidP="00101586">
            <w:pPr>
              <w:ind w:left="90"/>
              <w:rPr>
                <w:sz w:val="18"/>
                <w:szCs w:val="18"/>
                <w:lang w:val="sv-SE"/>
              </w:rPr>
            </w:pPr>
            <w:r w:rsidRPr="00DE189C">
              <w:rPr>
                <w:sz w:val="18"/>
                <w:szCs w:val="18"/>
                <w:lang w:val="sv-SE"/>
              </w:rPr>
              <w:t>Perolehan perangkat lunak</w:t>
            </w:r>
          </w:p>
        </w:tc>
        <w:tc>
          <w:tcPr>
            <w:tcW w:w="62" w:type="dxa"/>
            <w:tcMar>
              <w:left w:w="28" w:type="dxa"/>
              <w:right w:w="28" w:type="dxa"/>
            </w:tcMar>
          </w:tcPr>
          <w:p w14:paraId="3201392B" w14:textId="77777777" w:rsidR="00375AB2" w:rsidRPr="00DE189C" w:rsidRDefault="00375AB2" w:rsidP="00101586">
            <w:pPr>
              <w:jc w:val="center"/>
              <w:rPr>
                <w:b/>
                <w:sz w:val="18"/>
                <w:szCs w:val="18"/>
              </w:rPr>
            </w:pPr>
          </w:p>
        </w:tc>
        <w:tc>
          <w:tcPr>
            <w:tcW w:w="1452" w:type="dxa"/>
            <w:shd w:val="clear" w:color="auto" w:fill="auto"/>
            <w:vAlign w:val="center"/>
          </w:tcPr>
          <w:p w14:paraId="73FAF033" w14:textId="03350F2F" w:rsidR="00375AB2" w:rsidRPr="00DE189C" w:rsidRDefault="00375AB2" w:rsidP="00101586">
            <w:pPr>
              <w:ind w:left="57" w:right="28"/>
              <w:jc w:val="right"/>
              <w:rPr>
                <w:sz w:val="18"/>
                <w:szCs w:val="18"/>
                <w:lang w:val="en-ID"/>
              </w:rPr>
            </w:pPr>
          </w:p>
        </w:tc>
        <w:tc>
          <w:tcPr>
            <w:tcW w:w="63" w:type="dxa"/>
            <w:tcMar>
              <w:left w:w="28" w:type="dxa"/>
              <w:right w:w="28" w:type="dxa"/>
            </w:tcMar>
            <w:vAlign w:val="bottom"/>
          </w:tcPr>
          <w:p w14:paraId="7CDDBC99" w14:textId="77777777" w:rsidR="00375AB2" w:rsidRPr="00DE189C" w:rsidRDefault="00375AB2" w:rsidP="00101586">
            <w:pPr>
              <w:ind w:left="57" w:right="12"/>
              <w:jc w:val="right"/>
              <w:rPr>
                <w:sz w:val="18"/>
                <w:szCs w:val="18"/>
              </w:rPr>
            </w:pPr>
          </w:p>
        </w:tc>
        <w:tc>
          <w:tcPr>
            <w:tcW w:w="1467" w:type="dxa"/>
            <w:vAlign w:val="bottom"/>
          </w:tcPr>
          <w:p w14:paraId="61994552" w14:textId="79A327A6" w:rsidR="00375AB2" w:rsidRPr="00DE189C" w:rsidRDefault="00375AB2" w:rsidP="00101586">
            <w:pPr>
              <w:ind w:left="57" w:right="28"/>
              <w:jc w:val="right"/>
              <w:rPr>
                <w:sz w:val="18"/>
                <w:szCs w:val="18"/>
                <w:lang w:val="id-ID"/>
              </w:rPr>
            </w:pPr>
          </w:p>
        </w:tc>
        <w:tc>
          <w:tcPr>
            <w:tcW w:w="63" w:type="dxa"/>
            <w:tcMar>
              <w:left w:w="28" w:type="dxa"/>
              <w:right w:w="28" w:type="dxa"/>
            </w:tcMar>
          </w:tcPr>
          <w:p w14:paraId="500551D9" w14:textId="77777777" w:rsidR="00375AB2" w:rsidRPr="00DE189C" w:rsidRDefault="00375AB2" w:rsidP="00101586">
            <w:pPr>
              <w:jc w:val="right"/>
              <w:rPr>
                <w:b/>
                <w:sz w:val="18"/>
                <w:szCs w:val="18"/>
                <w:lang w:val="id-ID"/>
              </w:rPr>
            </w:pPr>
          </w:p>
        </w:tc>
        <w:tc>
          <w:tcPr>
            <w:tcW w:w="3045" w:type="dxa"/>
            <w:vAlign w:val="bottom"/>
          </w:tcPr>
          <w:p w14:paraId="7721E3B8" w14:textId="77777777" w:rsidR="00375AB2" w:rsidRPr="00DE189C" w:rsidRDefault="00375AB2" w:rsidP="00101586">
            <w:pPr>
              <w:ind w:right="75"/>
              <w:jc w:val="right"/>
              <w:rPr>
                <w:i/>
                <w:sz w:val="18"/>
                <w:szCs w:val="18"/>
                <w:lang w:val="id-ID"/>
              </w:rPr>
            </w:pPr>
            <w:r w:rsidRPr="00DE189C">
              <w:rPr>
                <w:i/>
                <w:sz w:val="18"/>
                <w:szCs w:val="18"/>
                <w:lang w:val="id-ID"/>
              </w:rPr>
              <w:t>Acquisition of software</w:t>
            </w:r>
          </w:p>
        </w:tc>
      </w:tr>
      <w:tr w:rsidR="00375AB2" w:rsidRPr="00DE189C" w14:paraId="79A1B8EE" w14:textId="77777777" w:rsidTr="001853DC">
        <w:trPr>
          <w:trHeight w:val="20"/>
        </w:trPr>
        <w:tc>
          <w:tcPr>
            <w:tcW w:w="3045" w:type="dxa"/>
            <w:vAlign w:val="bottom"/>
          </w:tcPr>
          <w:p w14:paraId="6A5A39E5" w14:textId="77777777" w:rsidR="00375AB2" w:rsidRPr="00DE189C" w:rsidRDefault="00375AB2" w:rsidP="00101586">
            <w:pPr>
              <w:ind w:left="90"/>
              <w:rPr>
                <w:sz w:val="18"/>
                <w:szCs w:val="18"/>
                <w:lang w:val="sv-SE"/>
              </w:rPr>
            </w:pPr>
            <w:r w:rsidRPr="00DE189C">
              <w:rPr>
                <w:sz w:val="18"/>
                <w:szCs w:val="18"/>
                <w:lang w:val="sv-SE"/>
              </w:rPr>
              <w:t>Uang muka pembelian aset tetap</w:t>
            </w:r>
          </w:p>
        </w:tc>
        <w:tc>
          <w:tcPr>
            <w:tcW w:w="62" w:type="dxa"/>
            <w:tcMar>
              <w:left w:w="28" w:type="dxa"/>
              <w:right w:w="28" w:type="dxa"/>
            </w:tcMar>
          </w:tcPr>
          <w:p w14:paraId="226C06EC" w14:textId="77777777" w:rsidR="00375AB2" w:rsidRPr="00DE189C" w:rsidRDefault="00375AB2" w:rsidP="00101586">
            <w:pPr>
              <w:jc w:val="center"/>
              <w:rPr>
                <w:b/>
                <w:sz w:val="18"/>
                <w:szCs w:val="18"/>
              </w:rPr>
            </w:pPr>
          </w:p>
        </w:tc>
        <w:tc>
          <w:tcPr>
            <w:tcW w:w="1452" w:type="dxa"/>
            <w:shd w:val="clear" w:color="auto" w:fill="auto"/>
            <w:vAlign w:val="center"/>
          </w:tcPr>
          <w:p w14:paraId="25524176" w14:textId="7E074110" w:rsidR="00375AB2" w:rsidRPr="00DE189C" w:rsidRDefault="00C82620" w:rsidP="00D87745">
            <w:pPr>
              <w:ind w:left="57" w:right="28"/>
              <w:jc w:val="right"/>
              <w:rPr>
                <w:sz w:val="18"/>
                <w:szCs w:val="18"/>
                <w:lang w:val="en-ID"/>
              </w:rPr>
            </w:pPr>
            <w:r w:rsidRPr="00C82620">
              <w:rPr>
                <w:sz w:val="18"/>
                <w:szCs w:val="18"/>
                <w:lang w:val="en-ID"/>
              </w:rPr>
              <w:t>(</w:t>
            </w:r>
            <w:r w:rsidR="00D87745">
              <w:rPr>
                <w:sz w:val="18"/>
                <w:szCs w:val="18"/>
                <w:lang w:val="en-ID"/>
              </w:rPr>
              <w:t>6.023.080.090</w:t>
            </w:r>
            <w:r w:rsidRPr="00C82620">
              <w:rPr>
                <w:sz w:val="18"/>
                <w:szCs w:val="18"/>
                <w:lang w:val="en-ID"/>
              </w:rPr>
              <w:t>)</w:t>
            </w:r>
          </w:p>
        </w:tc>
        <w:tc>
          <w:tcPr>
            <w:tcW w:w="63" w:type="dxa"/>
            <w:tcMar>
              <w:left w:w="28" w:type="dxa"/>
              <w:right w:w="28" w:type="dxa"/>
            </w:tcMar>
            <w:vAlign w:val="bottom"/>
          </w:tcPr>
          <w:p w14:paraId="5FA60868" w14:textId="77777777" w:rsidR="00375AB2" w:rsidRPr="00DE189C" w:rsidRDefault="00375AB2" w:rsidP="00101586">
            <w:pPr>
              <w:ind w:left="57" w:right="12"/>
              <w:jc w:val="right"/>
              <w:rPr>
                <w:sz w:val="18"/>
                <w:szCs w:val="18"/>
              </w:rPr>
            </w:pPr>
          </w:p>
        </w:tc>
        <w:tc>
          <w:tcPr>
            <w:tcW w:w="1467" w:type="dxa"/>
            <w:vAlign w:val="bottom"/>
          </w:tcPr>
          <w:p w14:paraId="7F9D74FD" w14:textId="2F3FE109" w:rsidR="00375AB2" w:rsidRPr="00DE189C" w:rsidRDefault="00A608F5" w:rsidP="00101586">
            <w:pPr>
              <w:ind w:left="57" w:right="28"/>
              <w:jc w:val="right"/>
              <w:rPr>
                <w:sz w:val="18"/>
                <w:szCs w:val="18"/>
              </w:rPr>
            </w:pPr>
            <w:r w:rsidRPr="00A608F5">
              <w:rPr>
                <w:sz w:val="18"/>
                <w:szCs w:val="18"/>
              </w:rPr>
              <w:t>(19</w:t>
            </w:r>
            <w:r w:rsidR="00591CA7">
              <w:rPr>
                <w:sz w:val="18"/>
                <w:szCs w:val="18"/>
              </w:rPr>
              <w:t>.</w:t>
            </w:r>
            <w:r w:rsidRPr="00A608F5">
              <w:rPr>
                <w:sz w:val="18"/>
                <w:szCs w:val="18"/>
              </w:rPr>
              <w:t>647</w:t>
            </w:r>
            <w:r w:rsidR="00591CA7">
              <w:rPr>
                <w:sz w:val="18"/>
                <w:szCs w:val="18"/>
              </w:rPr>
              <w:t>.</w:t>
            </w:r>
            <w:r w:rsidRPr="00A608F5">
              <w:rPr>
                <w:sz w:val="18"/>
                <w:szCs w:val="18"/>
              </w:rPr>
              <w:t>783</w:t>
            </w:r>
            <w:r w:rsidR="00591CA7">
              <w:rPr>
                <w:sz w:val="18"/>
                <w:szCs w:val="18"/>
              </w:rPr>
              <w:t>.</w:t>
            </w:r>
            <w:r w:rsidRPr="00A608F5">
              <w:rPr>
                <w:sz w:val="18"/>
                <w:szCs w:val="18"/>
              </w:rPr>
              <w:t>417)</w:t>
            </w:r>
          </w:p>
        </w:tc>
        <w:tc>
          <w:tcPr>
            <w:tcW w:w="63" w:type="dxa"/>
            <w:tcMar>
              <w:left w:w="28" w:type="dxa"/>
              <w:right w:w="28" w:type="dxa"/>
            </w:tcMar>
          </w:tcPr>
          <w:p w14:paraId="569E0DBD" w14:textId="77777777" w:rsidR="00375AB2" w:rsidRPr="00DE189C" w:rsidRDefault="00375AB2" w:rsidP="00101586">
            <w:pPr>
              <w:jc w:val="right"/>
              <w:rPr>
                <w:b/>
                <w:sz w:val="18"/>
                <w:szCs w:val="18"/>
                <w:lang w:val="id-ID"/>
              </w:rPr>
            </w:pPr>
          </w:p>
        </w:tc>
        <w:tc>
          <w:tcPr>
            <w:tcW w:w="3045" w:type="dxa"/>
            <w:vAlign w:val="bottom"/>
          </w:tcPr>
          <w:p w14:paraId="0881E102" w14:textId="77777777" w:rsidR="00375AB2" w:rsidRPr="00DE189C" w:rsidRDefault="00375AB2" w:rsidP="00101586">
            <w:pPr>
              <w:ind w:right="75"/>
              <w:jc w:val="right"/>
              <w:rPr>
                <w:i/>
                <w:sz w:val="18"/>
                <w:szCs w:val="18"/>
              </w:rPr>
            </w:pPr>
            <w:r w:rsidRPr="00DE189C">
              <w:rPr>
                <w:i/>
                <w:sz w:val="18"/>
                <w:szCs w:val="18"/>
              </w:rPr>
              <w:t>Advances for purchase of fixed assets</w:t>
            </w:r>
          </w:p>
        </w:tc>
      </w:tr>
      <w:tr w:rsidR="00375AB2" w:rsidRPr="00DE189C" w14:paraId="678F7C46" w14:textId="77777777" w:rsidTr="001853DC">
        <w:trPr>
          <w:trHeight w:val="20"/>
        </w:trPr>
        <w:tc>
          <w:tcPr>
            <w:tcW w:w="3045" w:type="dxa"/>
            <w:vAlign w:val="bottom"/>
          </w:tcPr>
          <w:p w14:paraId="047A6CDA" w14:textId="77777777" w:rsidR="00375AB2" w:rsidRPr="00DE189C" w:rsidRDefault="00375AB2" w:rsidP="00101586">
            <w:pPr>
              <w:ind w:left="90"/>
              <w:rPr>
                <w:sz w:val="18"/>
                <w:szCs w:val="18"/>
                <w:lang w:val="sv-SE"/>
              </w:rPr>
            </w:pPr>
          </w:p>
        </w:tc>
        <w:tc>
          <w:tcPr>
            <w:tcW w:w="62" w:type="dxa"/>
            <w:tcMar>
              <w:left w:w="28" w:type="dxa"/>
              <w:right w:w="28" w:type="dxa"/>
            </w:tcMar>
          </w:tcPr>
          <w:p w14:paraId="67AE87DD" w14:textId="77777777" w:rsidR="00375AB2" w:rsidRPr="00DE189C" w:rsidRDefault="00375AB2" w:rsidP="00101586">
            <w:pPr>
              <w:jc w:val="center"/>
              <w:rPr>
                <w:b/>
                <w:sz w:val="18"/>
                <w:szCs w:val="18"/>
              </w:rPr>
            </w:pPr>
          </w:p>
        </w:tc>
        <w:tc>
          <w:tcPr>
            <w:tcW w:w="1452" w:type="dxa"/>
            <w:tcBorders>
              <w:top w:val="single" w:sz="4" w:space="0" w:color="auto"/>
            </w:tcBorders>
            <w:shd w:val="clear" w:color="auto" w:fill="auto"/>
            <w:vAlign w:val="bottom"/>
          </w:tcPr>
          <w:p w14:paraId="2D9F0A9E" w14:textId="77777777" w:rsidR="00375AB2" w:rsidRPr="00DE189C" w:rsidRDefault="00375AB2" w:rsidP="00101586">
            <w:pPr>
              <w:ind w:left="57" w:right="28"/>
              <w:jc w:val="right"/>
              <w:rPr>
                <w:sz w:val="18"/>
                <w:szCs w:val="18"/>
                <w:lang w:val="en-ID"/>
              </w:rPr>
            </w:pPr>
          </w:p>
        </w:tc>
        <w:tc>
          <w:tcPr>
            <w:tcW w:w="63" w:type="dxa"/>
            <w:tcMar>
              <w:left w:w="28" w:type="dxa"/>
              <w:right w:w="28" w:type="dxa"/>
            </w:tcMar>
            <w:vAlign w:val="bottom"/>
          </w:tcPr>
          <w:p w14:paraId="4967275D" w14:textId="77777777" w:rsidR="00375AB2" w:rsidRPr="00DE189C" w:rsidRDefault="00375AB2" w:rsidP="00101586">
            <w:pPr>
              <w:ind w:left="57" w:right="12"/>
              <w:jc w:val="right"/>
              <w:rPr>
                <w:sz w:val="18"/>
                <w:szCs w:val="18"/>
              </w:rPr>
            </w:pPr>
          </w:p>
        </w:tc>
        <w:tc>
          <w:tcPr>
            <w:tcW w:w="1467" w:type="dxa"/>
            <w:tcBorders>
              <w:top w:val="single" w:sz="4" w:space="0" w:color="auto"/>
            </w:tcBorders>
            <w:vAlign w:val="bottom"/>
          </w:tcPr>
          <w:p w14:paraId="155DFE11" w14:textId="77777777" w:rsidR="00375AB2" w:rsidRPr="00DE189C" w:rsidRDefault="00375AB2" w:rsidP="00101586">
            <w:pPr>
              <w:ind w:left="57" w:right="28"/>
              <w:jc w:val="right"/>
              <w:rPr>
                <w:sz w:val="18"/>
                <w:szCs w:val="18"/>
              </w:rPr>
            </w:pPr>
          </w:p>
        </w:tc>
        <w:tc>
          <w:tcPr>
            <w:tcW w:w="63" w:type="dxa"/>
            <w:tcMar>
              <w:left w:w="28" w:type="dxa"/>
              <w:right w:w="28" w:type="dxa"/>
            </w:tcMar>
          </w:tcPr>
          <w:p w14:paraId="51E89F80" w14:textId="77777777" w:rsidR="00375AB2" w:rsidRPr="00DE189C" w:rsidRDefault="00375AB2" w:rsidP="00101586">
            <w:pPr>
              <w:jc w:val="right"/>
              <w:rPr>
                <w:b/>
                <w:sz w:val="18"/>
                <w:szCs w:val="18"/>
              </w:rPr>
            </w:pPr>
          </w:p>
        </w:tc>
        <w:tc>
          <w:tcPr>
            <w:tcW w:w="3045" w:type="dxa"/>
            <w:vAlign w:val="bottom"/>
          </w:tcPr>
          <w:p w14:paraId="643BDCB8" w14:textId="77777777" w:rsidR="00375AB2" w:rsidRPr="00DE189C" w:rsidRDefault="00375AB2" w:rsidP="00101586">
            <w:pPr>
              <w:ind w:right="75"/>
              <w:jc w:val="right"/>
              <w:rPr>
                <w:i/>
                <w:sz w:val="18"/>
                <w:szCs w:val="18"/>
              </w:rPr>
            </w:pPr>
          </w:p>
        </w:tc>
      </w:tr>
      <w:tr w:rsidR="00375AB2" w:rsidRPr="00DE189C" w14:paraId="31AA4026" w14:textId="77777777" w:rsidTr="001853DC">
        <w:trPr>
          <w:trHeight w:val="20"/>
        </w:trPr>
        <w:tc>
          <w:tcPr>
            <w:tcW w:w="3045" w:type="dxa"/>
            <w:vAlign w:val="bottom"/>
          </w:tcPr>
          <w:p w14:paraId="069F65D2" w14:textId="77777777" w:rsidR="00375AB2" w:rsidRPr="00DE189C" w:rsidRDefault="00375AB2" w:rsidP="00101586">
            <w:pPr>
              <w:ind w:left="91"/>
              <w:rPr>
                <w:sz w:val="18"/>
                <w:szCs w:val="18"/>
                <w:lang w:val="sv-SE"/>
              </w:rPr>
            </w:pPr>
            <w:r w:rsidRPr="00DE189C">
              <w:rPr>
                <w:sz w:val="18"/>
                <w:szCs w:val="18"/>
                <w:lang w:val="sv-SE"/>
              </w:rPr>
              <w:t>Kas Bersih Digunakan untuk Aktivitas</w:t>
            </w:r>
          </w:p>
          <w:p w14:paraId="2C11DB58" w14:textId="77777777" w:rsidR="00375AB2" w:rsidRPr="00DE189C" w:rsidRDefault="00375AB2" w:rsidP="00101586">
            <w:pPr>
              <w:ind w:left="284"/>
              <w:rPr>
                <w:sz w:val="18"/>
                <w:szCs w:val="18"/>
                <w:lang w:val="sv-SE"/>
              </w:rPr>
            </w:pPr>
            <w:r w:rsidRPr="00DE189C">
              <w:rPr>
                <w:sz w:val="18"/>
                <w:szCs w:val="18"/>
                <w:lang w:val="sv-SE"/>
              </w:rPr>
              <w:t>Investasi</w:t>
            </w:r>
          </w:p>
        </w:tc>
        <w:tc>
          <w:tcPr>
            <w:tcW w:w="62" w:type="dxa"/>
            <w:tcMar>
              <w:left w:w="28" w:type="dxa"/>
              <w:right w:w="28" w:type="dxa"/>
            </w:tcMar>
          </w:tcPr>
          <w:p w14:paraId="44187F55" w14:textId="77777777" w:rsidR="00375AB2" w:rsidRPr="00DE189C" w:rsidRDefault="00375AB2" w:rsidP="00101586">
            <w:pPr>
              <w:jc w:val="center"/>
              <w:rPr>
                <w:b/>
                <w:sz w:val="18"/>
                <w:szCs w:val="18"/>
              </w:rPr>
            </w:pPr>
          </w:p>
        </w:tc>
        <w:tc>
          <w:tcPr>
            <w:tcW w:w="1452" w:type="dxa"/>
            <w:tcBorders>
              <w:bottom w:val="single" w:sz="4" w:space="0" w:color="auto"/>
            </w:tcBorders>
            <w:shd w:val="clear" w:color="auto" w:fill="auto"/>
            <w:vAlign w:val="bottom"/>
          </w:tcPr>
          <w:p w14:paraId="7AD9BAD7" w14:textId="04311376" w:rsidR="00375AB2" w:rsidRPr="00DE189C" w:rsidRDefault="00C82620" w:rsidP="00D87745">
            <w:pPr>
              <w:ind w:left="57" w:right="28"/>
              <w:jc w:val="right"/>
              <w:rPr>
                <w:sz w:val="18"/>
                <w:szCs w:val="18"/>
                <w:lang w:val="en-ID"/>
              </w:rPr>
            </w:pPr>
            <w:r w:rsidRPr="00C82620">
              <w:rPr>
                <w:sz w:val="18"/>
                <w:szCs w:val="18"/>
                <w:lang w:val="en-ID"/>
              </w:rPr>
              <w:t>(</w:t>
            </w:r>
            <w:r w:rsidR="00D87745">
              <w:rPr>
                <w:sz w:val="18"/>
                <w:szCs w:val="18"/>
                <w:lang w:val="en-ID"/>
              </w:rPr>
              <w:t>20.029.642.887</w:t>
            </w:r>
            <w:r w:rsidRPr="00C82620">
              <w:rPr>
                <w:sz w:val="18"/>
                <w:szCs w:val="18"/>
                <w:lang w:val="en-ID"/>
              </w:rPr>
              <w:t>)</w:t>
            </w:r>
          </w:p>
        </w:tc>
        <w:tc>
          <w:tcPr>
            <w:tcW w:w="63" w:type="dxa"/>
            <w:tcMar>
              <w:left w:w="28" w:type="dxa"/>
              <w:right w:w="28" w:type="dxa"/>
            </w:tcMar>
            <w:vAlign w:val="bottom"/>
          </w:tcPr>
          <w:p w14:paraId="0DE1B794" w14:textId="77777777" w:rsidR="00375AB2" w:rsidRPr="00DE189C" w:rsidRDefault="00375AB2" w:rsidP="00101586">
            <w:pPr>
              <w:ind w:left="57" w:right="12"/>
              <w:jc w:val="right"/>
              <w:rPr>
                <w:sz w:val="18"/>
                <w:szCs w:val="18"/>
              </w:rPr>
            </w:pPr>
          </w:p>
        </w:tc>
        <w:tc>
          <w:tcPr>
            <w:tcW w:w="1467" w:type="dxa"/>
            <w:tcBorders>
              <w:bottom w:val="single" w:sz="4" w:space="0" w:color="auto"/>
            </w:tcBorders>
            <w:vAlign w:val="bottom"/>
          </w:tcPr>
          <w:p w14:paraId="274C6AC7" w14:textId="6D562850" w:rsidR="00375AB2" w:rsidRPr="00DE189C" w:rsidRDefault="00A608F5" w:rsidP="00101586">
            <w:pPr>
              <w:ind w:left="57" w:right="28"/>
              <w:jc w:val="right"/>
              <w:rPr>
                <w:sz w:val="18"/>
                <w:szCs w:val="18"/>
              </w:rPr>
            </w:pPr>
            <w:r w:rsidRPr="00A608F5">
              <w:rPr>
                <w:sz w:val="18"/>
                <w:szCs w:val="18"/>
              </w:rPr>
              <w:t>(22</w:t>
            </w:r>
            <w:r w:rsidR="00591CA7">
              <w:rPr>
                <w:sz w:val="18"/>
                <w:szCs w:val="18"/>
              </w:rPr>
              <w:t>.</w:t>
            </w:r>
            <w:r w:rsidRPr="00A608F5">
              <w:rPr>
                <w:sz w:val="18"/>
                <w:szCs w:val="18"/>
              </w:rPr>
              <w:t>537</w:t>
            </w:r>
            <w:r w:rsidR="00591CA7">
              <w:rPr>
                <w:sz w:val="18"/>
                <w:szCs w:val="18"/>
              </w:rPr>
              <w:t>.</w:t>
            </w:r>
            <w:r w:rsidRPr="00A608F5">
              <w:rPr>
                <w:sz w:val="18"/>
                <w:szCs w:val="18"/>
              </w:rPr>
              <w:t>913</w:t>
            </w:r>
            <w:r w:rsidR="00591CA7">
              <w:rPr>
                <w:sz w:val="18"/>
                <w:szCs w:val="18"/>
              </w:rPr>
              <w:t>.</w:t>
            </w:r>
            <w:r w:rsidRPr="00A608F5">
              <w:rPr>
                <w:sz w:val="18"/>
                <w:szCs w:val="18"/>
              </w:rPr>
              <w:t>241)</w:t>
            </w:r>
          </w:p>
        </w:tc>
        <w:tc>
          <w:tcPr>
            <w:tcW w:w="63" w:type="dxa"/>
            <w:tcMar>
              <w:left w:w="28" w:type="dxa"/>
              <w:right w:w="28" w:type="dxa"/>
            </w:tcMar>
          </w:tcPr>
          <w:p w14:paraId="39A92F1B" w14:textId="77777777" w:rsidR="00375AB2" w:rsidRPr="00DE189C" w:rsidRDefault="00375AB2" w:rsidP="00101586">
            <w:pPr>
              <w:jc w:val="right"/>
              <w:rPr>
                <w:b/>
                <w:sz w:val="18"/>
                <w:szCs w:val="18"/>
              </w:rPr>
            </w:pPr>
          </w:p>
        </w:tc>
        <w:tc>
          <w:tcPr>
            <w:tcW w:w="3045" w:type="dxa"/>
            <w:vAlign w:val="bottom"/>
          </w:tcPr>
          <w:p w14:paraId="2A80FE58" w14:textId="77777777" w:rsidR="00375AB2" w:rsidRPr="00DE189C" w:rsidRDefault="00375AB2" w:rsidP="00101586">
            <w:pPr>
              <w:ind w:right="75"/>
              <w:jc w:val="right"/>
              <w:rPr>
                <w:i/>
                <w:sz w:val="18"/>
                <w:szCs w:val="18"/>
              </w:rPr>
            </w:pPr>
            <w:r w:rsidRPr="00DE189C">
              <w:rPr>
                <w:i/>
                <w:sz w:val="18"/>
                <w:szCs w:val="18"/>
              </w:rPr>
              <w:t>Net Cash Used in Investing Activities</w:t>
            </w:r>
          </w:p>
        </w:tc>
      </w:tr>
      <w:tr w:rsidR="00375AB2" w:rsidRPr="00DE189C" w14:paraId="499D01DD" w14:textId="77777777" w:rsidTr="001853DC">
        <w:trPr>
          <w:trHeight w:val="20"/>
        </w:trPr>
        <w:tc>
          <w:tcPr>
            <w:tcW w:w="3045" w:type="dxa"/>
            <w:vAlign w:val="bottom"/>
          </w:tcPr>
          <w:p w14:paraId="6B6BC4E6" w14:textId="77777777" w:rsidR="00375AB2" w:rsidRPr="00DE189C" w:rsidRDefault="00375AB2" w:rsidP="00101586">
            <w:pPr>
              <w:ind w:left="283" w:hanging="170"/>
              <w:rPr>
                <w:b/>
                <w:sz w:val="18"/>
                <w:szCs w:val="18"/>
              </w:rPr>
            </w:pPr>
          </w:p>
        </w:tc>
        <w:tc>
          <w:tcPr>
            <w:tcW w:w="62" w:type="dxa"/>
            <w:tcMar>
              <w:left w:w="28" w:type="dxa"/>
              <w:right w:w="28" w:type="dxa"/>
            </w:tcMar>
          </w:tcPr>
          <w:p w14:paraId="206D9641" w14:textId="77777777" w:rsidR="00375AB2" w:rsidRPr="00DE189C" w:rsidRDefault="00375AB2" w:rsidP="00101586">
            <w:pPr>
              <w:jc w:val="center"/>
              <w:rPr>
                <w:b/>
                <w:sz w:val="18"/>
                <w:szCs w:val="18"/>
              </w:rPr>
            </w:pPr>
          </w:p>
        </w:tc>
        <w:tc>
          <w:tcPr>
            <w:tcW w:w="1452" w:type="dxa"/>
            <w:tcBorders>
              <w:top w:val="single" w:sz="4" w:space="0" w:color="auto"/>
            </w:tcBorders>
            <w:shd w:val="clear" w:color="auto" w:fill="auto"/>
            <w:vAlign w:val="bottom"/>
          </w:tcPr>
          <w:p w14:paraId="272A0844" w14:textId="77777777" w:rsidR="00375AB2" w:rsidRPr="00DE189C" w:rsidRDefault="00375AB2" w:rsidP="00101586">
            <w:pPr>
              <w:ind w:left="57" w:right="28"/>
              <w:jc w:val="right"/>
              <w:rPr>
                <w:sz w:val="18"/>
                <w:szCs w:val="18"/>
                <w:lang w:val="en-ID"/>
              </w:rPr>
            </w:pPr>
          </w:p>
        </w:tc>
        <w:tc>
          <w:tcPr>
            <w:tcW w:w="63" w:type="dxa"/>
            <w:tcMar>
              <w:left w:w="28" w:type="dxa"/>
              <w:right w:w="28" w:type="dxa"/>
            </w:tcMar>
            <w:vAlign w:val="bottom"/>
          </w:tcPr>
          <w:p w14:paraId="128BEB94" w14:textId="77777777" w:rsidR="00375AB2" w:rsidRPr="00DE189C" w:rsidRDefault="00375AB2" w:rsidP="00101586">
            <w:pPr>
              <w:ind w:left="57" w:right="12"/>
              <w:jc w:val="right"/>
              <w:rPr>
                <w:b/>
                <w:sz w:val="18"/>
                <w:szCs w:val="18"/>
              </w:rPr>
            </w:pPr>
          </w:p>
        </w:tc>
        <w:tc>
          <w:tcPr>
            <w:tcW w:w="1467" w:type="dxa"/>
            <w:tcBorders>
              <w:top w:val="single" w:sz="4" w:space="0" w:color="auto"/>
            </w:tcBorders>
            <w:vAlign w:val="bottom"/>
          </w:tcPr>
          <w:p w14:paraId="1CD93C33" w14:textId="77777777" w:rsidR="00375AB2" w:rsidRPr="00DE189C" w:rsidRDefault="00375AB2" w:rsidP="00101586">
            <w:pPr>
              <w:ind w:left="57" w:right="28"/>
              <w:jc w:val="right"/>
              <w:rPr>
                <w:b/>
                <w:sz w:val="18"/>
                <w:szCs w:val="18"/>
              </w:rPr>
            </w:pPr>
          </w:p>
        </w:tc>
        <w:tc>
          <w:tcPr>
            <w:tcW w:w="63" w:type="dxa"/>
            <w:tcMar>
              <w:left w:w="28" w:type="dxa"/>
              <w:right w:w="28" w:type="dxa"/>
            </w:tcMar>
          </w:tcPr>
          <w:p w14:paraId="54E7232E" w14:textId="77777777" w:rsidR="00375AB2" w:rsidRPr="00DE189C" w:rsidRDefault="00375AB2" w:rsidP="00101586">
            <w:pPr>
              <w:jc w:val="right"/>
              <w:rPr>
                <w:b/>
                <w:sz w:val="18"/>
                <w:szCs w:val="18"/>
              </w:rPr>
            </w:pPr>
          </w:p>
        </w:tc>
        <w:tc>
          <w:tcPr>
            <w:tcW w:w="3045" w:type="dxa"/>
            <w:vAlign w:val="bottom"/>
          </w:tcPr>
          <w:p w14:paraId="423D6D75" w14:textId="77777777" w:rsidR="00375AB2" w:rsidRPr="00DE189C" w:rsidRDefault="00375AB2" w:rsidP="00101586">
            <w:pPr>
              <w:ind w:right="75"/>
              <w:jc w:val="right"/>
              <w:rPr>
                <w:b/>
                <w:i/>
                <w:sz w:val="18"/>
                <w:szCs w:val="18"/>
              </w:rPr>
            </w:pPr>
          </w:p>
        </w:tc>
      </w:tr>
      <w:tr w:rsidR="00375AB2" w:rsidRPr="00DE189C" w14:paraId="6EC81C35" w14:textId="77777777" w:rsidTr="001853DC">
        <w:trPr>
          <w:trHeight w:val="20"/>
        </w:trPr>
        <w:tc>
          <w:tcPr>
            <w:tcW w:w="3045" w:type="dxa"/>
            <w:vAlign w:val="bottom"/>
          </w:tcPr>
          <w:p w14:paraId="275D4564" w14:textId="77777777" w:rsidR="00375AB2" w:rsidRPr="00DE189C" w:rsidRDefault="00375AB2" w:rsidP="00101586">
            <w:pPr>
              <w:ind w:left="283" w:hanging="193"/>
              <w:rPr>
                <w:b/>
                <w:sz w:val="18"/>
                <w:szCs w:val="18"/>
                <w:lang w:val="it-IT"/>
              </w:rPr>
            </w:pPr>
            <w:r w:rsidRPr="00DE189C">
              <w:rPr>
                <w:b/>
                <w:sz w:val="18"/>
                <w:szCs w:val="18"/>
                <w:lang w:val="it-IT"/>
              </w:rPr>
              <w:t xml:space="preserve">ARUS KAS DARI AKTIVITAS </w:t>
            </w:r>
            <w:r w:rsidRPr="00DE189C">
              <w:rPr>
                <w:b/>
                <w:caps/>
                <w:sz w:val="18"/>
                <w:szCs w:val="18"/>
                <w:lang w:val="sv-SE"/>
              </w:rPr>
              <w:t>PENDANAAN</w:t>
            </w:r>
            <w:r w:rsidRPr="00DE189C">
              <w:rPr>
                <w:b/>
                <w:sz w:val="18"/>
                <w:szCs w:val="18"/>
                <w:lang w:val="it-IT"/>
              </w:rPr>
              <w:t xml:space="preserve"> </w:t>
            </w:r>
          </w:p>
        </w:tc>
        <w:tc>
          <w:tcPr>
            <w:tcW w:w="62" w:type="dxa"/>
            <w:tcMar>
              <w:left w:w="28" w:type="dxa"/>
              <w:right w:w="28" w:type="dxa"/>
            </w:tcMar>
          </w:tcPr>
          <w:p w14:paraId="403BD975" w14:textId="77777777" w:rsidR="00375AB2" w:rsidRPr="00DE189C" w:rsidRDefault="00375AB2" w:rsidP="00101586">
            <w:pPr>
              <w:jc w:val="center"/>
              <w:rPr>
                <w:b/>
                <w:sz w:val="18"/>
                <w:szCs w:val="18"/>
                <w:lang w:val="it-IT"/>
              </w:rPr>
            </w:pPr>
          </w:p>
        </w:tc>
        <w:tc>
          <w:tcPr>
            <w:tcW w:w="1452" w:type="dxa"/>
            <w:shd w:val="clear" w:color="auto" w:fill="auto"/>
            <w:vAlign w:val="bottom"/>
          </w:tcPr>
          <w:p w14:paraId="531225F5" w14:textId="77777777" w:rsidR="00375AB2" w:rsidRPr="00DE189C" w:rsidRDefault="00375AB2" w:rsidP="00101586">
            <w:pPr>
              <w:ind w:left="57" w:right="28"/>
              <w:jc w:val="right"/>
              <w:rPr>
                <w:sz w:val="18"/>
                <w:szCs w:val="18"/>
                <w:lang w:val="en-ID"/>
              </w:rPr>
            </w:pPr>
          </w:p>
        </w:tc>
        <w:tc>
          <w:tcPr>
            <w:tcW w:w="63" w:type="dxa"/>
            <w:tcMar>
              <w:left w:w="28" w:type="dxa"/>
              <w:right w:w="28" w:type="dxa"/>
            </w:tcMar>
            <w:vAlign w:val="bottom"/>
          </w:tcPr>
          <w:p w14:paraId="7A471AA4" w14:textId="77777777" w:rsidR="00375AB2" w:rsidRPr="00DE189C" w:rsidRDefault="00375AB2" w:rsidP="00101586">
            <w:pPr>
              <w:ind w:left="57" w:right="12"/>
              <w:jc w:val="right"/>
              <w:rPr>
                <w:b/>
                <w:sz w:val="18"/>
                <w:szCs w:val="18"/>
                <w:lang w:val="it-IT"/>
              </w:rPr>
            </w:pPr>
          </w:p>
        </w:tc>
        <w:tc>
          <w:tcPr>
            <w:tcW w:w="1467" w:type="dxa"/>
            <w:vAlign w:val="bottom"/>
          </w:tcPr>
          <w:p w14:paraId="14D60256" w14:textId="77777777" w:rsidR="00375AB2" w:rsidRPr="00DE189C" w:rsidRDefault="00375AB2" w:rsidP="00101586">
            <w:pPr>
              <w:ind w:left="57" w:right="28"/>
              <w:jc w:val="right"/>
              <w:rPr>
                <w:b/>
                <w:sz w:val="18"/>
                <w:szCs w:val="18"/>
                <w:lang w:val="it-IT"/>
              </w:rPr>
            </w:pPr>
          </w:p>
        </w:tc>
        <w:tc>
          <w:tcPr>
            <w:tcW w:w="63" w:type="dxa"/>
            <w:tcMar>
              <w:left w:w="28" w:type="dxa"/>
              <w:right w:w="28" w:type="dxa"/>
            </w:tcMar>
          </w:tcPr>
          <w:p w14:paraId="71246159" w14:textId="77777777" w:rsidR="00375AB2" w:rsidRPr="00DE189C" w:rsidRDefault="00375AB2" w:rsidP="00101586">
            <w:pPr>
              <w:jc w:val="right"/>
              <w:rPr>
                <w:b/>
                <w:sz w:val="18"/>
                <w:szCs w:val="18"/>
                <w:lang w:val="it-IT"/>
              </w:rPr>
            </w:pPr>
          </w:p>
        </w:tc>
        <w:tc>
          <w:tcPr>
            <w:tcW w:w="3045" w:type="dxa"/>
            <w:vAlign w:val="bottom"/>
          </w:tcPr>
          <w:p w14:paraId="1BB797CF" w14:textId="77777777" w:rsidR="00375AB2" w:rsidRPr="00DE189C" w:rsidRDefault="00375AB2" w:rsidP="00101586">
            <w:pPr>
              <w:ind w:right="75"/>
              <w:jc w:val="right"/>
              <w:rPr>
                <w:b/>
                <w:i/>
                <w:sz w:val="18"/>
                <w:szCs w:val="18"/>
              </w:rPr>
            </w:pPr>
            <w:r w:rsidRPr="00DE189C">
              <w:rPr>
                <w:b/>
                <w:i/>
                <w:sz w:val="18"/>
                <w:szCs w:val="18"/>
              </w:rPr>
              <w:t>CASH FLOWS FROM</w:t>
            </w:r>
          </w:p>
          <w:p w14:paraId="6D479911" w14:textId="77777777" w:rsidR="00375AB2" w:rsidRPr="00DE189C" w:rsidRDefault="00375AB2" w:rsidP="00101586">
            <w:pPr>
              <w:ind w:right="255"/>
              <w:jc w:val="right"/>
              <w:rPr>
                <w:b/>
                <w:i/>
                <w:sz w:val="18"/>
                <w:szCs w:val="18"/>
              </w:rPr>
            </w:pPr>
            <w:r w:rsidRPr="00DE189C">
              <w:rPr>
                <w:b/>
                <w:i/>
                <w:sz w:val="18"/>
                <w:szCs w:val="18"/>
              </w:rPr>
              <w:t>FINANCING ACTIVITIES</w:t>
            </w:r>
          </w:p>
        </w:tc>
      </w:tr>
      <w:tr w:rsidR="00375AB2" w:rsidRPr="00DE189C" w14:paraId="0F0E86DC" w14:textId="77777777" w:rsidTr="001853DC">
        <w:trPr>
          <w:trHeight w:val="20"/>
        </w:trPr>
        <w:tc>
          <w:tcPr>
            <w:tcW w:w="3045" w:type="dxa"/>
            <w:vAlign w:val="bottom"/>
          </w:tcPr>
          <w:p w14:paraId="28D49041" w14:textId="77777777" w:rsidR="00B17C6B" w:rsidRDefault="00375AB2" w:rsidP="00B17C6B">
            <w:pPr>
              <w:ind w:left="90"/>
              <w:rPr>
                <w:sz w:val="18"/>
                <w:szCs w:val="18"/>
                <w:lang w:val="sv-SE"/>
              </w:rPr>
            </w:pPr>
            <w:r w:rsidRPr="00DE189C">
              <w:rPr>
                <w:sz w:val="18"/>
                <w:szCs w:val="18"/>
                <w:lang w:val="sv-SE"/>
              </w:rPr>
              <w:t xml:space="preserve">Penerimaan (pembayaran) utang dari </w:t>
            </w:r>
          </w:p>
          <w:p w14:paraId="25059465" w14:textId="29C5EAFC" w:rsidR="00375AB2" w:rsidRPr="00DE189C" w:rsidRDefault="00375AB2" w:rsidP="00B17C6B">
            <w:pPr>
              <w:ind w:left="300"/>
              <w:rPr>
                <w:sz w:val="18"/>
                <w:szCs w:val="18"/>
                <w:lang w:val="sv-SE"/>
              </w:rPr>
            </w:pPr>
            <w:r w:rsidRPr="00DE189C">
              <w:rPr>
                <w:sz w:val="18"/>
                <w:szCs w:val="18"/>
                <w:lang w:val="sv-SE"/>
              </w:rPr>
              <w:t>pihak</w:t>
            </w:r>
            <w:r w:rsidR="00B17C6B">
              <w:rPr>
                <w:sz w:val="18"/>
                <w:szCs w:val="18"/>
                <w:lang w:val="sv-SE"/>
              </w:rPr>
              <w:t xml:space="preserve"> </w:t>
            </w:r>
            <w:r w:rsidRPr="00DE189C">
              <w:rPr>
                <w:sz w:val="18"/>
                <w:szCs w:val="18"/>
                <w:lang w:val="sv-SE"/>
              </w:rPr>
              <w:t>berelasi</w:t>
            </w:r>
          </w:p>
        </w:tc>
        <w:tc>
          <w:tcPr>
            <w:tcW w:w="62" w:type="dxa"/>
            <w:tcMar>
              <w:left w:w="28" w:type="dxa"/>
              <w:right w:w="28" w:type="dxa"/>
            </w:tcMar>
          </w:tcPr>
          <w:p w14:paraId="621AC027" w14:textId="77777777" w:rsidR="00375AB2" w:rsidRPr="00DE189C" w:rsidRDefault="00375AB2" w:rsidP="00101586">
            <w:pPr>
              <w:jc w:val="center"/>
              <w:rPr>
                <w:sz w:val="18"/>
                <w:szCs w:val="18"/>
                <w:lang w:val="it-IT"/>
              </w:rPr>
            </w:pPr>
          </w:p>
        </w:tc>
        <w:tc>
          <w:tcPr>
            <w:tcW w:w="1452" w:type="dxa"/>
            <w:shd w:val="clear" w:color="auto" w:fill="auto"/>
            <w:vAlign w:val="bottom"/>
          </w:tcPr>
          <w:p w14:paraId="43120E34" w14:textId="53CE8868" w:rsidR="00375AB2" w:rsidRPr="00DE189C" w:rsidRDefault="00C82620" w:rsidP="00101586">
            <w:pPr>
              <w:ind w:left="57" w:right="28"/>
              <w:jc w:val="right"/>
              <w:rPr>
                <w:sz w:val="18"/>
                <w:szCs w:val="18"/>
                <w:lang w:val="en-ID"/>
              </w:rPr>
            </w:pPr>
            <w:r w:rsidRPr="00C82620">
              <w:rPr>
                <w:sz w:val="18"/>
                <w:szCs w:val="18"/>
                <w:lang w:val="en-ID"/>
              </w:rPr>
              <w:t>9</w:t>
            </w:r>
            <w:r w:rsidR="00591CA7">
              <w:rPr>
                <w:sz w:val="18"/>
                <w:szCs w:val="18"/>
                <w:lang w:val="en-ID"/>
              </w:rPr>
              <w:t>.</w:t>
            </w:r>
            <w:r w:rsidRPr="00C82620">
              <w:rPr>
                <w:sz w:val="18"/>
                <w:szCs w:val="18"/>
                <w:lang w:val="en-ID"/>
              </w:rPr>
              <w:t>332</w:t>
            </w:r>
            <w:r w:rsidR="00591CA7">
              <w:rPr>
                <w:sz w:val="18"/>
                <w:szCs w:val="18"/>
                <w:lang w:val="en-ID"/>
              </w:rPr>
              <w:t>.</w:t>
            </w:r>
            <w:r w:rsidRPr="00C82620">
              <w:rPr>
                <w:sz w:val="18"/>
                <w:szCs w:val="18"/>
                <w:lang w:val="en-ID"/>
              </w:rPr>
              <w:t>998</w:t>
            </w:r>
            <w:r w:rsidR="00591CA7">
              <w:rPr>
                <w:sz w:val="18"/>
                <w:szCs w:val="18"/>
                <w:lang w:val="en-ID"/>
              </w:rPr>
              <w:t>.</w:t>
            </w:r>
            <w:r w:rsidRPr="00C82620">
              <w:rPr>
                <w:sz w:val="18"/>
                <w:szCs w:val="18"/>
                <w:lang w:val="en-ID"/>
              </w:rPr>
              <w:t>886</w:t>
            </w:r>
          </w:p>
        </w:tc>
        <w:tc>
          <w:tcPr>
            <w:tcW w:w="63" w:type="dxa"/>
            <w:tcMar>
              <w:left w:w="28" w:type="dxa"/>
              <w:right w:w="28" w:type="dxa"/>
            </w:tcMar>
            <w:vAlign w:val="bottom"/>
          </w:tcPr>
          <w:p w14:paraId="26B7AD3F" w14:textId="77777777" w:rsidR="00375AB2" w:rsidRPr="00DE189C" w:rsidRDefault="00375AB2" w:rsidP="00101586">
            <w:pPr>
              <w:ind w:left="57" w:right="12"/>
              <w:jc w:val="right"/>
              <w:rPr>
                <w:sz w:val="18"/>
                <w:szCs w:val="18"/>
                <w:lang w:val="it-IT"/>
              </w:rPr>
            </w:pPr>
          </w:p>
        </w:tc>
        <w:tc>
          <w:tcPr>
            <w:tcW w:w="1467" w:type="dxa"/>
            <w:vAlign w:val="bottom"/>
          </w:tcPr>
          <w:p w14:paraId="6F7E00E2" w14:textId="73589B76" w:rsidR="00375AB2" w:rsidRPr="00DE189C" w:rsidRDefault="00A608F5" w:rsidP="00101586">
            <w:pPr>
              <w:ind w:left="57" w:right="28"/>
              <w:jc w:val="right"/>
              <w:rPr>
                <w:sz w:val="18"/>
                <w:szCs w:val="18"/>
                <w:lang w:val="it-IT"/>
              </w:rPr>
            </w:pPr>
            <w:r w:rsidRPr="00A608F5">
              <w:rPr>
                <w:sz w:val="18"/>
                <w:szCs w:val="18"/>
                <w:lang w:val="it-IT"/>
              </w:rPr>
              <w:t>50</w:t>
            </w:r>
            <w:r w:rsidR="00591CA7">
              <w:rPr>
                <w:sz w:val="18"/>
                <w:szCs w:val="18"/>
                <w:lang w:val="it-IT"/>
              </w:rPr>
              <w:t>.</w:t>
            </w:r>
            <w:r w:rsidRPr="00A608F5">
              <w:rPr>
                <w:sz w:val="18"/>
                <w:szCs w:val="18"/>
                <w:lang w:val="it-IT"/>
              </w:rPr>
              <w:t>000</w:t>
            </w:r>
            <w:r w:rsidR="00591CA7">
              <w:rPr>
                <w:sz w:val="18"/>
                <w:szCs w:val="18"/>
                <w:lang w:val="it-IT"/>
              </w:rPr>
              <w:t>.</w:t>
            </w:r>
            <w:r w:rsidRPr="00A608F5">
              <w:rPr>
                <w:sz w:val="18"/>
                <w:szCs w:val="18"/>
                <w:lang w:val="it-IT"/>
              </w:rPr>
              <w:t>000</w:t>
            </w:r>
            <w:r w:rsidR="00591CA7">
              <w:rPr>
                <w:sz w:val="18"/>
                <w:szCs w:val="18"/>
                <w:lang w:val="it-IT"/>
              </w:rPr>
              <w:t>.</w:t>
            </w:r>
            <w:r w:rsidRPr="00A608F5">
              <w:rPr>
                <w:sz w:val="18"/>
                <w:szCs w:val="18"/>
                <w:lang w:val="it-IT"/>
              </w:rPr>
              <w:t>000</w:t>
            </w:r>
          </w:p>
        </w:tc>
        <w:tc>
          <w:tcPr>
            <w:tcW w:w="63" w:type="dxa"/>
            <w:tcMar>
              <w:left w:w="28" w:type="dxa"/>
              <w:right w:w="28" w:type="dxa"/>
            </w:tcMar>
          </w:tcPr>
          <w:p w14:paraId="4FF4C461" w14:textId="77777777" w:rsidR="00375AB2" w:rsidRPr="00DE189C" w:rsidRDefault="00375AB2" w:rsidP="00101586">
            <w:pPr>
              <w:jc w:val="right"/>
              <w:rPr>
                <w:sz w:val="18"/>
                <w:szCs w:val="18"/>
                <w:lang w:val="it-IT"/>
              </w:rPr>
            </w:pPr>
          </w:p>
        </w:tc>
        <w:tc>
          <w:tcPr>
            <w:tcW w:w="3045" w:type="dxa"/>
            <w:vAlign w:val="bottom"/>
          </w:tcPr>
          <w:p w14:paraId="7C1E94D3" w14:textId="77777777" w:rsidR="00375AB2" w:rsidRPr="00DE189C" w:rsidRDefault="00375AB2" w:rsidP="00101586">
            <w:pPr>
              <w:ind w:right="75"/>
              <w:jc w:val="right"/>
              <w:rPr>
                <w:i/>
                <w:sz w:val="18"/>
                <w:szCs w:val="18"/>
              </w:rPr>
            </w:pPr>
            <w:r w:rsidRPr="00DE189C">
              <w:rPr>
                <w:i/>
                <w:sz w:val="18"/>
                <w:szCs w:val="18"/>
              </w:rPr>
              <w:t xml:space="preserve">Received (payment) loan from </w:t>
            </w:r>
          </w:p>
          <w:p w14:paraId="3C406FD1" w14:textId="77777777" w:rsidR="00375AB2" w:rsidRPr="00DE189C" w:rsidRDefault="00375AB2" w:rsidP="00101586">
            <w:pPr>
              <w:ind w:right="261"/>
              <w:jc w:val="right"/>
              <w:rPr>
                <w:i/>
                <w:sz w:val="18"/>
                <w:szCs w:val="18"/>
              </w:rPr>
            </w:pPr>
            <w:r w:rsidRPr="00DE189C">
              <w:rPr>
                <w:i/>
                <w:sz w:val="18"/>
                <w:szCs w:val="18"/>
              </w:rPr>
              <w:t>related party</w:t>
            </w:r>
          </w:p>
        </w:tc>
      </w:tr>
      <w:tr w:rsidR="00375AB2" w:rsidRPr="00DE189C" w14:paraId="393F3218" w14:textId="77777777" w:rsidTr="001853DC">
        <w:trPr>
          <w:trHeight w:val="20"/>
        </w:trPr>
        <w:tc>
          <w:tcPr>
            <w:tcW w:w="3045" w:type="dxa"/>
            <w:vAlign w:val="bottom"/>
          </w:tcPr>
          <w:p w14:paraId="49BD74F5" w14:textId="690A22A3" w:rsidR="00375AB2" w:rsidRPr="00DE189C" w:rsidRDefault="00375AB2" w:rsidP="00A608F5">
            <w:pPr>
              <w:ind w:left="90"/>
              <w:rPr>
                <w:sz w:val="18"/>
                <w:szCs w:val="18"/>
                <w:lang w:val="sv-SE"/>
              </w:rPr>
            </w:pPr>
            <w:r w:rsidRPr="00DE189C">
              <w:rPr>
                <w:sz w:val="18"/>
                <w:szCs w:val="18"/>
                <w:lang w:val="sv-SE"/>
              </w:rPr>
              <w:t xml:space="preserve">Pembayaran </w:t>
            </w:r>
            <w:r w:rsidR="00A608F5">
              <w:rPr>
                <w:sz w:val="18"/>
                <w:szCs w:val="18"/>
                <w:lang w:val="sv-SE"/>
              </w:rPr>
              <w:t>pinjaman kepada entitas anak</w:t>
            </w:r>
          </w:p>
        </w:tc>
        <w:tc>
          <w:tcPr>
            <w:tcW w:w="62" w:type="dxa"/>
            <w:tcMar>
              <w:left w:w="28" w:type="dxa"/>
              <w:right w:w="28" w:type="dxa"/>
            </w:tcMar>
          </w:tcPr>
          <w:p w14:paraId="043CAB55" w14:textId="77777777" w:rsidR="00375AB2" w:rsidRPr="00DE189C" w:rsidRDefault="00375AB2" w:rsidP="00101586">
            <w:pPr>
              <w:jc w:val="center"/>
              <w:rPr>
                <w:sz w:val="18"/>
                <w:szCs w:val="18"/>
                <w:lang w:val="it-IT"/>
              </w:rPr>
            </w:pPr>
          </w:p>
        </w:tc>
        <w:tc>
          <w:tcPr>
            <w:tcW w:w="1452" w:type="dxa"/>
            <w:shd w:val="clear" w:color="auto" w:fill="auto"/>
            <w:vAlign w:val="bottom"/>
          </w:tcPr>
          <w:p w14:paraId="26858491" w14:textId="02C61C01" w:rsidR="00375AB2" w:rsidRPr="00DE189C" w:rsidRDefault="00591CA7" w:rsidP="00101586">
            <w:pPr>
              <w:ind w:left="57" w:right="28"/>
              <w:jc w:val="right"/>
              <w:rPr>
                <w:sz w:val="18"/>
                <w:szCs w:val="18"/>
                <w:lang w:val="en-ID"/>
              </w:rPr>
            </w:pPr>
            <w:r w:rsidRPr="00C82620">
              <w:rPr>
                <w:sz w:val="18"/>
                <w:szCs w:val="18"/>
                <w:lang w:val="en-ID"/>
              </w:rPr>
              <w:t>(3</w:t>
            </w:r>
            <w:r>
              <w:rPr>
                <w:sz w:val="18"/>
                <w:szCs w:val="18"/>
                <w:lang w:val="en-ID"/>
              </w:rPr>
              <w:t>.</w:t>
            </w:r>
            <w:r w:rsidRPr="00C82620">
              <w:rPr>
                <w:sz w:val="18"/>
                <w:szCs w:val="18"/>
                <w:lang w:val="en-ID"/>
              </w:rPr>
              <w:t>215</w:t>
            </w:r>
            <w:r>
              <w:rPr>
                <w:sz w:val="18"/>
                <w:szCs w:val="18"/>
                <w:lang w:val="en-ID"/>
              </w:rPr>
              <w:t>.</w:t>
            </w:r>
            <w:r w:rsidRPr="00C82620">
              <w:rPr>
                <w:sz w:val="18"/>
                <w:szCs w:val="18"/>
                <w:lang w:val="en-ID"/>
              </w:rPr>
              <w:t>639</w:t>
            </w:r>
            <w:r>
              <w:rPr>
                <w:sz w:val="18"/>
                <w:szCs w:val="18"/>
                <w:lang w:val="en-ID"/>
              </w:rPr>
              <w:t>.</w:t>
            </w:r>
            <w:r w:rsidRPr="00C82620">
              <w:rPr>
                <w:sz w:val="18"/>
                <w:szCs w:val="18"/>
                <w:lang w:val="en-ID"/>
              </w:rPr>
              <w:t>610)</w:t>
            </w:r>
          </w:p>
        </w:tc>
        <w:tc>
          <w:tcPr>
            <w:tcW w:w="63" w:type="dxa"/>
            <w:tcMar>
              <w:left w:w="28" w:type="dxa"/>
              <w:right w:w="28" w:type="dxa"/>
            </w:tcMar>
            <w:vAlign w:val="bottom"/>
          </w:tcPr>
          <w:p w14:paraId="6B3B7A5A" w14:textId="77777777" w:rsidR="00375AB2" w:rsidRPr="00DE189C" w:rsidRDefault="00375AB2" w:rsidP="00101586">
            <w:pPr>
              <w:ind w:left="57" w:right="12"/>
              <w:jc w:val="right"/>
              <w:rPr>
                <w:sz w:val="18"/>
                <w:szCs w:val="18"/>
                <w:lang w:val="it-IT"/>
              </w:rPr>
            </w:pPr>
          </w:p>
        </w:tc>
        <w:tc>
          <w:tcPr>
            <w:tcW w:w="1467" w:type="dxa"/>
            <w:vAlign w:val="bottom"/>
          </w:tcPr>
          <w:p w14:paraId="63D1BA11" w14:textId="343D25C2" w:rsidR="00375AB2" w:rsidRPr="00DE189C" w:rsidRDefault="00A608F5" w:rsidP="00101586">
            <w:pPr>
              <w:ind w:left="57" w:right="28"/>
              <w:jc w:val="right"/>
              <w:rPr>
                <w:sz w:val="18"/>
                <w:szCs w:val="18"/>
                <w:lang w:val="it-IT"/>
              </w:rPr>
            </w:pPr>
            <w:r w:rsidRPr="00A608F5">
              <w:rPr>
                <w:sz w:val="18"/>
                <w:szCs w:val="18"/>
                <w:lang w:val="it-IT"/>
              </w:rPr>
              <w:t>(50</w:t>
            </w:r>
            <w:r w:rsidR="00591CA7">
              <w:rPr>
                <w:sz w:val="18"/>
                <w:szCs w:val="18"/>
                <w:lang w:val="it-IT"/>
              </w:rPr>
              <w:t>.</w:t>
            </w:r>
            <w:r w:rsidRPr="00A608F5">
              <w:rPr>
                <w:sz w:val="18"/>
                <w:szCs w:val="18"/>
                <w:lang w:val="it-IT"/>
              </w:rPr>
              <w:t>230</w:t>
            </w:r>
            <w:r w:rsidR="00591CA7">
              <w:rPr>
                <w:sz w:val="18"/>
                <w:szCs w:val="18"/>
                <w:lang w:val="it-IT"/>
              </w:rPr>
              <w:t>.</w:t>
            </w:r>
            <w:r w:rsidRPr="00A608F5">
              <w:rPr>
                <w:sz w:val="18"/>
                <w:szCs w:val="18"/>
                <w:lang w:val="it-IT"/>
              </w:rPr>
              <w:t>795</w:t>
            </w:r>
            <w:r w:rsidR="00591CA7">
              <w:rPr>
                <w:sz w:val="18"/>
                <w:szCs w:val="18"/>
                <w:lang w:val="it-IT"/>
              </w:rPr>
              <w:t>.</w:t>
            </w:r>
            <w:r w:rsidRPr="00A608F5">
              <w:rPr>
                <w:sz w:val="18"/>
                <w:szCs w:val="18"/>
                <w:lang w:val="it-IT"/>
              </w:rPr>
              <w:t>112)</w:t>
            </w:r>
          </w:p>
        </w:tc>
        <w:tc>
          <w:tcPr>
            <w:tcW w:w="63" w:type="dxa"/>
            <w:tcMar>
              <w:left w:w="28" w:type="dxa"/>
              <w:right w:w="28" w:type="dxa"/>
            </w:tcMar>
          </w:tcPr>
          <w:p w14:paraId="7FDC0340" w14:textId="77777777" w:rsidR="00375AB2" w:rsidRPr="00DE189C" w:rsidRDefault="00375AB2" w:rsidP="00101586">
            <w:pPr>
              <w:jc w:val="right"/>
              <w:rPr>
                <w:sz w:val="18"/>
                <w:szCs w:val="18"/>
                <w:lang w:val="it-IT"/>
              </w:rPr>
            </w:pPr>
          </w:p>
        </w:tc>
        <w:tc>
          <w:tcPr>
            <w:tcW w:w="3045" w:type="dxa"/>
            <w:vAlign w:val="bottom"/>
          </w:tcPr>
          <w:p w14:paraId="5BE3479D" w14:textId="46305831" w:rsidR="00375AB2" w:rsidRPr="00DE189C" w:rsidRDefault="00A608F5" w:rsidP="00101586">
            <w:pPr>
              <w:ind w:right="261"/>
              <w:jc w:val="right"/>
              <w:rPr>
                <w:i/>
                <w:sz w:val="18"/>
                <w:szCs w:val="18"/>
              </w:rPr>
            </w:pPr>
            <w:r>
              <w:rPr>
                <w:i/>
                <w:sz w:val="18"/>
                <w:szCs w:val="18"/>
              </w:rPr>
              <w:t>Proceed to subsidiary loan</w:t>
            </w:r>
            <w:r w:rsidR="00375AB2">
              <w:rPr>
                <w:i/>
                <w:sz w:val="18"/>
                <w:szCs w:val="18"/>
              </w:rPr>
              <w:t xml:space="preserve"> </w:t>
            </w:r>
          </w:p>
        </w:tc>
      </w:tr>
      <w:tr w:rsidR="00375AB2" w:rsidRPr="00DE189C" w14:paraId="58F3B4CE" w14:textId="77777777" w:rsidTr="001853DC">
        <w:trPr>
          <w:trHeight w:val="20"/>
        </w:trPr>
        <w:tc>
          <w:tcPr>
            <w:tcW w:w="3045" w:type="dxa"/>
            <w:vAlign w:val="bottom"/>
          </w:tcPr>
          <w:p w14:paraId="4B1387CC" w14:textId="0947F3AC" w:rsidR="00375AB2" w:rsidRPr="00DE189C" w:rsidRDefault="00375AB2" w:rsidP="00101586">
            <w:pPr>
              <w:ind w:left="90"/>
              <w:rPr>
                <w:sz w:val="18"/>
                <w:szCs w:val="18"/>
                <w:lang w:val="sv-SE"/>
              </w:rPr>
            </w:pPr>
            <w:r w:rsidRPr="00DE189C">
              <w:rPr>
                <w:sz w:val="18"/>
                <w:szCs w:val="18"/>
                <w:lang w:val="sv-SE"/>
              </w:rPr>
              <w:t xml:space="preserve">Kas Bersih Diperoleh dari </w:t>
            </w:r>
            <w:r w:rsidR="001853DC">
              <w:rPr>
                <w:sz w:val="18"/>
                <w:szCs w:val="18"/>
                <w:lang w:val="sv-SE"/>
              </w:rPr>
              <w:t xml:space="preserve">(Digunakan </w:t>
            </w:r>
          </w:p>
          <w:p w14:paraId="474D6E42" w14:textId="69267450" w:rsidR="00375AB2" w:rsidRPr="00DE189C" w:rsidRDefault="001853DC" w:rsidP="00101586">
            <w:pPr>
              <w:ind w:left="284"/>
              <w:rPr>
                <w:sz w:val="18"/>
                <w:szCs w:val="18"/>
                <w:lang w:val="sv-SE"/>
              </w:rPr>
            </w:pPr>
            <w:r>
              <w:rPr>
                <w:sz w:val="18"/>
                <w:szCs w:val="18"/>
                <w:lang w:val="sv-SE"/>
              </w:rPr>
              <w:t xml:space="preserve">untuk) </w:t>
            </w:r>
            <w:r w:rsidRPr="00DE189C">
              <w:rPr>
                <w:sz w:val="18"/>
                <w:szCs w:val="18"/>
                <w:lang w:val="sv-SE"/>
              </w:rPr>
              <w:t xml:space="preserve">Aktivitas </w:t>
            </w:r>
            <w:r w:rsidR="00375AB2" w:rsidRPr="00DE189C">
              <w:rPr>
                <w:sz w:val="18"/>
                <w:szCs w:val="18"/>
                <w:lang w:val="sv-SE"/>
              </w:rPr>
              <w:t>Pendanaan</w:t>
            </w:r>
          </w:p>
        </w:tc>
        <w:tc>
          <w:tcPr>
            <w:tcW w:w="62" w:type="dxa"/>
            <w:tcMar>
              <w:left w:w="28" w:type="dxa"/>
              <w:right w:w="28" w:type="dxa"/>
            </w:tcMar>
          </w:tcPr>
          <w:p w14:paraId="008BA8F5" w14:textId="77777777" w:rsidR="00375AB2" w:rsidRPr="00DE189C" w:rsidRDefault="00375AB2" w:rsidP="00101586">
            <w:pPr>
              <w:jc w:val="center"/>
              <w:rPr>
                <w:sz w:val="18"/>
                <w:szCs w:val="18"/>
                <w:lang w:val="it-IT"/>
              </w:rPr>
            </w:pPr>
          </w:p>
        </w:tc>
        <w:tc>
          <w:tcPr>
            <w:tcW w:w="1452" w:type="dxa"/>
            <w:tcBorders>
              <w:top w:val="single" w:sz="4" w:space="0" w:color="auto"/>
            </w:tcBorders>
            <w:shd w:val="clear" w:color="auto" w:fill="auto"/>
            <w:vAlign w:val="bottom"/>
          </w:tcPr>
          <w:p w14:paraId="08DD5D5B" w14:textId="0C700D50" w:rsidR="00375AB2" w:rsidRPr="00DE189C" w:rsidRDefault="00C82620" w:rsidP="00101586">
            <w:pPr>
              <w:ind w:left="57" w:right="28"/>
              <w:jc w:val="right"/>
              <w:rPr>
                <w:sz w:val="18"/>
                <w:szCs w:val="18"/>
                <w:lang w:val="en-ID"/>
              </w:rPr>
            </w:pPr>
            <w:r w:rsidRPr="00C82620">
              <w:rPr>
                <w:sz w:val="18"/>
                <w:szCs w:val="18"/>
                <w:lang w:val="en-ID"/>
              </w:rPr>
              <w:t>6</w:t>
            </w:r>
            <w:r w:rsidR="00591CA7">
              <w:rPr>
                <w:sz w:val="18"/>
                <w:szCs w:val="18"/>
                <w:lang w:val="en-ID"/>
              </w:rPr>
              <w:t>.</w:t>
            </w:r>
            <w:r w:rsidRPr="00C82620">
              <w:rPr>
                <w:sz w:val="18"/>
                <w:szCs w:val="18"/>
                <w:lang w:val="en-ID"/>
              </w:rPr>
              <w:t>117</w:t>
            </w:r>
            <w:r w:rsidR="00591CA7">
              <w:rPr>
                <w:sz w:val="18"/>
                <w:szCs w:val="18"/>
                <w:lang w:val="en-ID"/>
              </w:rPr>
              <w:t>.</w:t>
            </w:r>
            <w:r w:rsidRPr="00C82620">
              <w:rPr>
                <w:sz w:val="18"/>
                <w:szCs w:val="18"/>
                <w:lang w:val="en-ID"/>
              </w:rPr>
              <w:t>359</w:t>
            </w:r>
            <w:r w:rsidR="00591CA7">
              <w:rPr>
                <w:sz w:val="18"/>
                <w:szCs w:val="18"/>
                <w:lang w:val="en-ID"/>
              </w:rPr>
              <w:t>.</w:t>
            </w:r>
            <w:r w:rsidRPr="00C82620">
              <w:rPr>
                <w:sz w:val="18"/>
                <w:szCs w:val="18"/>
                <w:lang w:val="en-ID"/>
              </w:rPr>
              <w:t>276</w:t>
            </w:r>
          </w:p>
        </w:tc>
        <w:tc>
          <w:tcPr>
            <w:tcW w:w="63" w:type="dxa"/>
            <w:tcMar>
              <w:left w:w="28" w:type="dxa"/>
              <w:right w:w="28" w:type="dxa"/>
            </w:tcMar>
            <w:vAlign w:val="bottom"/>
          </w:tcPr>
          <w:p w14:paraId="2F530ED4" w14:textId="77777777" w:rsidR="00375AB2" w:rsidRPr="00DE189C" w:rsidRDefault="00375AB2" w:rsidP="00101586">
            <w:pPr>
              <w:ind w:left="57" w:right="12"/>
              <w:jc w:val="right"/>
              <w:rPr>
                <w:sz w:val="18"/>
                <w:szCs w:val="18"/>
                <w:lang w:val="it-IT"/>
              </w:rPr>
            </w:pPr>
          </w:p>
        </w:tc>
        <w:tc>
          <w:tcPr>
            <w:tcW w:w="1467" w:type="dxa"/>
            <w:tcBorders>
              <w:top w:val="single" w:sz="4" w:space="0" w:color="auto"/>
            </w:tcBorders>
            <w:vAlign w:val="bottom"/>
          </w:tcPr>
          <w:p w14:paraId="206CA4C9" w14:textId="44B65808" w:rsidR="00375AB2" w:rsidRPr="00DE189C" w:rsidRDefault="00C82620" w:rsidP="00101586">
            <w:pPr>
              <w:ind w:left="57" w:right="28"/>
              <w:jc w:val="right"/>
              <w:rPr>
                <w:sz w:val="18"/>
                <w:szCs w:val="18"/>
                <w:lang w:val="it-IT"/>
              </w:rPr>
            </w:pPr>
            <w:r w:rsidRPr="00C82620">
              <w:rPr>
                <w:sz w:val="18"/>
                <w:szCs w:val="18"/>
                <w:lang w:val="it-IT"/>
              </w:rPr>
              <w:t>(230</w:t>
            </w:r>
            <w:r w:rsidR="00591CA7">
              <w:rPr>
                <w:sz w:val="18"/>
                <w:szCs w:val="18"/>
                <w:lang w:val="it-IT"/>
              </w:rPr>
              <w:t>.</w:t>
            </w:r>
            <w:r w:rsidRPr="00C82620">
              <w:rPr>
                <w:sz w:val="18"/>
                <w:szCs w:val="18"/>
                <w:lang w:val="it-IT"/>
              </w:rPr>
              <w:t>795</w:t>
            </w:r>
            <w:r w:rsidR="00591CA7">
              <w:rPr>
                <w:sz w:val="18"/>
                <w:szCs w:val="18"/>
                <w:lang w:val="it-IT"/>
              </w:rPr>
              <w:t>.</w:t>
            </w:r>
            <w:r w:rsidRPr="00C82620">
              <w:rPr>
                <w:sz w:val="18"/>
                <w:szCs w:val="18"/>
                <w:lang w:val="it-IT"/>
              </w:rPr>
              <w:t>112)</w:t>
            </w:r>
          </w:p>
        </w:tc>
        <w:tc>
          <w:tcPr>
            <w:tcW w:w="63" w:type="dxa"/>
            <w:tcMar>
              <w:left w:w="28" w:type="dxa"/>
              <w:right w:w="28" w:type="dxa"/>
            </w:tcMar>
          </w:tcPr>
          <w:p w14:paraId="02FA72FA" w14:textId="77777777" w:rsidR="00375AB2" w:rsidRPr="00DE189C" w:rsidRDefault="00375AB2" w:rsidP="00101586">
            <w:pPr>
              <w:jc w:val="right"/>
              <w:rPr>
                <w:sz w:val="18"/>
                <w:szCs w:val="18"/>
                <w:lang w:val="it-IT"/>
              </w:rPr>
            </w:pPr>
          </w:p>
        </w:tc>
        <w:tc>
          <w:tcPr>
            <w:tcW w:w="3045" w:type="dxa"/>
            <w:vAlign w:val="bottom"/>
          </w:tcPr>
          <w:p w14:paraId="5D198246" w14:textId="2D59A22D" w:rsidR="00375AB2" w:rsidRPr="00DE189C" w:rsidRDefault="00375AB2" w:rsidP="00101586">
            <w:pPr>
              <w:ind w:right="75"/>
              <w:jc w:val="right"/>
              <w:rPr>
                <w:i/>
                <w:sz w:val="18"/>
                <w:szCs w:val="18"/>
              </w:rPr>
            </w:pPr>
            <w:r w:rsidRPr="00DE189C">
              <w:rPr>
                <w:i/>
                <w:sz w:val="18"/>
                <w:szCs w:val="18"/>
              </w:rPr>
              <w:t>Net Cash Provided by</w:t>
            </w:r>
            <w:r w:rsidR="001853DC">
              <w:rPr>
                <w:i/>
                <w:sz w:val="18"/>
                <w:szCs w:val="18"/>
              </w:rPr>
              <w:t xml:space="preserve"> (Used for)</w:t>
            </w:r>
            <w:r w:rsidRPr="00DE189C">
              <w:rPr>
                <w:i/>
                <w:sz w:val="18"/>
                <w:szCs w:val="18"/>
              </w:rPr>
              <w:t xml:space="preserve"> </w:t>
            </w:r>
          </w:p>
          <w:p w14:paraId="36A7A863" w14:textId="77777777" w:rsidR="00375AB2" w:rsidRPr="00DE189C" w:rsidRDefault="00375AB2" w:rsidP="00101586">
            <w:pPr>
              <w:ind w:right="261"/>
              <w:jc w:val="right"/>
              <w:rPr>
                <w:i/>
                <w:sz w:val="18"/>
                <w:szCs w:val="18"/>
              </w:rPr>
            </w:pPr>
            <w:r w:rsidRPr="00DE189C">
              <w:rPr>
                <w:i/>
                <w:sz w:val="18"/>
                <w:szCs w:val="18"/>
              </w:rPr>
              <w:t>Financing Activities</w:t>
            </w:r>
          </w:p>
        </w:tc>
      </w:tr>
      <w:tr w:rsidR="00375AB2" w:rsidRPr="00DE189C" w14:paraId="690E18D8" w14:textId="77777777" w:rsidTr="001853DC">
        <w:trPr>
          <w:trHeight w:val="136"/>
        </w:trPr>
        <w:tc>
          <w:tcPr>
            <w:tcW w:w="3045" w:type="dxa"/>
            <w:vAlign w:val="bottom"/>
          </w:tcPr>
          <w:p w14:paraId="186C30AF" w14:textId="77777777" w:rsidR="00375AB2" w:rsidRPr="00DE189C" w:rsidRDefault="00375AB2" w:rsidP="00101586">
            <w:pPr>
              <w:ind w:left="283" w:hanging="170"/>
              <w:rPr>
                <w:sz w:val="18"/>
                <w:szCs w:val="18"/>
              </w:rPr>
            </w:pPr>
          </w:p>
        </w:tc>
        <w:tc>
          <w:tcPr>
            <w:tcW w:w="62" w:type="dxa"/>
            <w:tcMar>
              <w:left w:w="28" w:type="dxa"/>
              <w:right w:w="28" w:type="dxa"/>
            </w:tcMar>
          </w:tcPr>
          <w:p w14:paraId="099467FE" w14:textId="77777777" w:rsidR="00375AB2" w:rsidRPr="00DE189C" w:rsidRDefault="00375AB2" w:rsidP="00101586">
            <w:pPr>
              <w:jc w:val="center"/>
              <w:rPr>
                <w:b/>
                <w:sz w:val="18"/>
                <w:szCs w:val="18"/>
              </w:rPr>
            </w:pPr>
          </w:p>
        </w:tc>
        <w:tc>
          <w:tcPr>
            <w:tcW w:w="1452" w:type="dxa"/>
            <w:tcBorders>
              <w:top w:val="single" w:sz="4" w:space="0" w:color="auto"/>
            </w:tcBorders>
            <w:shd w:val="clear" w:color="auto" w:fill="auto"/>
            <w:vAlign w:val="bottom"/>
          </w:tcPr>
          <w:p w14:paraId="1D663A84" w14:textId="77777777" w:rsidR="00375AB2" w:rsidRPr="00DE189C" w:rsidRDefault="00375AB2" w:rsidP="00101586">
            <w:pPr>
              <w:ind w:left="57" w:right="28"/>
              <w:jc w:val="right"/>
              <w:rPr>
                <w:sz w:val="18"/>
                <w:szCs w:val="18"/>
                <w:lang w:val="en-ID"/>
              </w:rPr>
            </w:pPr>
          </w:p>
        </w:tc>
        <w:tc>
          <w:tcPr>
            <w:tcW w:w="63" w:type="dxa"/>
            <w:tcMar>
              <w:left w:w="28" w:type="dxa"/>
              <w:right w:w="28" w:type="dxa"/>
            </w:tcMar>
            <w:vAlign w:val="bottom"/>
          </w:tcPr>
          <w:p w14:paraId="75DF991D" w14:textId="77777777" w:rsidR="00375AB2" w:rsidRPr="00DE189C" w:rsidRDefault="00375AB2" w:rsidP="00101586">
            <w:pPr>
              <w:ind w:left="57" w:right="12"/>
              <w:jc w:val="right"/>
              <w:rPr>
                <w:sz w:val="18"/>
                <w:szCs w:val="18"/>
              </w:rPr>
            </w:pPr>
          </w:p>
        </w:tc>
        <w:tc>
          <w:tcPr>
            <w:tcW w:w="1467" w:type="dxa"/>
            <w:tcBorders>
              <w:top w:val="single" w:sz="4" w:space="0" w:color="auto"/>
            </w:tcBorders>
            <w:vAlign w:val="bottom"/>
          </w:tcPr>
          <w:p w14:paraId="1E01F276" w14:textId="77777777" w:rsidR="00375AB2" w:rsidRPr="00DE189C" w:rsidRDefault="00375AB2" w:rsidP="00101586">
            <w:pPr>
              <w:ind w:left="57" w:right="28"/>
              <w:jc w:val="right"/>
              <w:rPr>
                <w:sz w:val="18"/>
                <w:szCs w:val="18"/>
              </w:rPr>
            </w:pPr>
          </w:p>
        </w:tc>
        <w:tc>
          <w:tcPr>
            <w:tcW w:w="63" w:type="dxa"/>
            <w:tcMar>
              <w:left w:w="28" w:type="dxa"/>
              <w:right w:w="28" w:type="dxa"/>
            </w:tcMar>
          </w:tcPr>
          <w:p w14:paraId="4BBF5555" w14:textId="77777777" w:rsidR="00375AB2" w:rsidRPr="00DE189C" w:rsidRDefault="00375AB2" w:rsidP="00101586">
            <w:pPr>
              <w:jc w:val="right"/>
              <w:rPr>
                <w:b/>
                <w:sz w:val="18"/>
                <w:szCs w:val="18"/>
              </w:rPr>
            </w:pPr>
          </w:p>
        </w:tc>
        <w:tc>
          <w:tcPr>
            <w:tcW w:w="3045" w:type="dxa"/>
            <w:vAlign w:val="bottom"/>
          </w:tcPr>
          <w:p w14:paraId="06398E20" w14:textId="77777777" w:rsidR="00375AB2" w:rsidRPr="00DE189C" w:rsidRDefault="00375AB2" w:rsidP="00101586">
            <w:pPr>
              <w:ind w:right="75"/>
              <w:jc w:val="right"/>
              <w:rPr>
                <w:b/>
                <w:i/>
                <w:sz w:val="18"/>
                <w:szCs w:val="18"/>
              </w:rPr>
            </w:pPr>
          </w:p>
        </w:tc>
      </w:tr>
      <w:tr w:rsidR="00375AB2" w:rsidRPr="00DE189C" w14:paraId="18294D63" w14:textId="77777777" w:rsidTr="001853DC">
        <w:trPr>
          <w:trHeight w:val="20"/>
        </w:trPr>
        <w:tc>
          <w:tcPr>
            <w:tcW w:w="3045" w:type="dxa"/>
            <w:vAlign w:val="bottom"/>
          </w:tcPr>
          <w:p w14:paraId="5CDC11A6" w14:textId="3DD2ABB3" w:rsidR="00375AB2" w:rsidRPr="00DE189C" w:rsidRDefault="001853DC" w:rsidP="00946853">
            <w:pPr>
              <w:ind w:left="232" w:hanging="142"/>
              <w:rPr>
                <w:b/>
                <w:sz w:val="18"/>
                <w:szCs w:val="18"/>
                <w:lang w:val="en-ID"/>
              </w:rPr>
            </w:pPr>
            <w:r>
              <w:rPr>
                <w:b/>
                <w:sz w:val="18"/>
                <w:szCs w:val="18"/>
              </w:rPr>
              <w:t>PENURUNAN</w:t>
            </w:r>
            <w:r w:rsidR="00375AB2" w:rsidRPr="00DE189C">
              <w:rPr>
                <w:b/>
                <w:sz w:val="18"/>
                <w:szCs w:val="18"/>
                <w:lang w:val="id-ID"/>
              </w:rPr>
              <w:t xml:space="preserve"> </w:t>
            </w:r>
            <w:r w:rsidR="00375AB2" w:rsidRPr="00DE189C">
              <w:rPr>
                <w:b/>
                <w:sz w:val="18"/>
                <w:szCs w:val="18"/>
              </w:rPr>
              <w:t>BERSIH KAS</w:t>
            </w:r>
            <w:r w:rsidR="00305CA0">
              <w:rPr>
                <w:b/>
                <w:sz w:val="18"/>
                <w:szCs w:val="18"/>
              </w:rPr>
              <w:t>.</w:t>
            </w:r>
            <w:r w:rsidR="00375AB2" w:rsidRPr="00DE189C">
              <w:rPr>
                <w:b/>
                <w:sz w:val="18"/>
                <w:szCs w:val="18"/>
              </w:rPr>
              <w:t xml:space="preserve"> SETARA KAS DAN CERUKAN</w:t>
            </w:r>
          </w:p>
        </w:tc>
        <w:tc>
          <w:tcPr>
            <w:tcW w:w="62" w:type="dxa"/>
            <w:tcMar>
              <w:left w:w="28" w:type="dxa"/>
              <w:right w:w="28" w:type="dxa"/>
            </w:tcMar>
          </w:tcPr>
          <w:p w14:paraId="019DFED3" w14:textId="77777777" w:rsidR="00375AB2" w:rsidRPr="00DE189C" w:rsidRDefault="00375AB2" w:rsidP="00101586">
            <w:pPr>
              <w:jc w:val="center"/>
              <w:rPr>
                <w:b/>
                <w:sz w:val="18"/>
                <w:szCs w:val="18"/>
              </w:rPr>
            </w:pPr>
          </w:p>
        </w:tc>
        <w:tc>
          <w:tcPr>
            <w:tcW w:w="1452" w:type="dxa"/>
            <w:shd w:val="clear" w:color="auto" w:fill="auto"/>
            <w:vAlign w:val="bottom"/>
          </w:tcPr>
          <w:p w14:paraId="25459F40" w14:textId="292ACBC4" w:rsidR="00375AB2" w:rsidRPr="00DE189C" w:rsidRDefault="00C82620" w:rsidP="00101586">
            <w:pPr>
              <w:ind w:left="57" w:right="28"/>
              <w:jc w:val="right"/>
              <w:rPr>
                <w:b/>
                <w:bCs w:val="0"/>
                <w:sz w:val="18"/>
                <w:szCs w:val="18"/>
                <w:lang w:val="en-ID"/>
              </w:rPr>
            </w:pPr>
            <w:r w:rsidRPr="00C82620">
              <w:rPr>
                <w:b/>
                <w:bCs w:val="0"/>
                <w:sz w:val="18"/>
                <w:szCs w:val="18"/>
                <w:lang w:val="en-ID"/>
              </w:rPr>
              <w:t>(3</w:t>
            </w:r>
            <w:r w:rsidR="00591CA7">
              <w:rPr>
                <w:b/>
                <w:bCs w:val="0"/>
                <w:sz w:val="18"/>
                <w:szCs w:val="18"/>
                <w:lang w:val="en-ID"/>
              </w:rPr>
              <w:t>.</w:t>
            </w:r>
            <w:r w:rsidRPr="00C82620">
              <w:rPr>
                <w:b/>
                <w:bCs w:val="0"/>
                <w:sz w:val="18"/>
                <w:szCs w:val="18"/>
                <w:lang w:val="en-ID"/>
              </w:rPr>
              <w:t>131</w:t>
            </w:r>
            <w:r w:rsidR="00591CA7">
              <w:rPr>
                <w:b/>
                <w:bCs w:val="0"/>
                <w:sz w:val="18"/>
                <w:szCs w:val="18"/>
                <w:lang w:val="en-ID"/>
              </w:rPr>
              <w:t>.</w:t>
            </w:r>
            <w:r w:rsidRPr="00C82620">
              <w:rPr>
                <w:b/>
                <w:bCs w:val="0"/>
                <w:sz w:val="18"/>
                <w:szCs w:val="18"/>
                <w:lang w:val="en-ID"/>
              </w:rPr>
              <w:t>439</w:t>
            </w:r>
            <w:r w:rsidR="00591CA7">
              <w:rPr>
                <w:b/>
                <w:bCs w:val="0"/>
                <w:sz w:val="18"/>
                <w:szCs w:val="18"/>
                <w:lang w:val="en-ID"/>
              </w:rPr>
              <w:t>.</w:t>
            </w:r>
            <w:r w:rsidRPr="00C82620">
              <w:rPr>
                <w:b/>
                <w:bCs w:val="0"/>
                <w:sz w:val="18"/>
                <w:szCs w:val="18"/>
                <w:lang w:val="en-ID"/>
              </w:rPr>
              <w:t>637)</w:t>
            </w:r>
          </w:p>
        </w:tc>
        <w:tc>
          <w:tcPr>
            <w:tcW w:w="63" w:type="dxa"/>
            <w:tcMar>
              <w:left w:w="28" w:type="dxa"/>
              <w:right w:w="28" w:type="dxa"/>
            </w:tcMar>
            <w:vAlign w:val="bottom"/>
          </w:tcPr>
          <w:p w14:paraId="7AFB0F5F" w14:textId="77777777" w:rsidR="00375AB2" w:rsidRPr="00DE189C" w:rsidRDefault="00375AB2" w:rsidP="00101586">
            <w:pPr>
              <w:ind w:left="57" w:right="12"/>
              <w:jc w:val="right"/>
              <w:rPr>
                <w:b/>
                <w:color w:val="FF0000"/>
                <w:sz w:val="18"/>
                <w:szCs w:val="18"/>
              </w:rPr>
            </w:pPr>
          </w:p>
        </w:tc>
        <w:tc>
          <w:tcPr>
            <w:tcW w:w="1467" w:type="dxa"/>
            <w:vAlign w:val="bottom"/>
          </w:tcPr>
          <w:p w14:paraId="0C89B2E7" w14:textId="655B2B4E" w:rsidR="00375AB2" w:rsidRPr="00DE189C" w:rsidRDefault="00C82620" w:rsidP="00101586">
            <w:pPr>
              <w:ind w:left="57" w:right="28"/>
              <w:jc w:val="right"/>
              <w:rPr>
                <w:b/>
                <w:sz w:val="18"/>
                <w:szCs w:val="18"/>
                <w:lang w:val="id-ID"/>
              </w:rPr>
            </w:pPr>
            <w:r w:rsidRPr="00C82620">
              <w:rPr>
                <w:b/>
                <w:sz w:val="18"/>
                <w:szCs w:val="18"/>
                <w:lang w:val="id-ID"/>
              </w:rPr>
              <w:t>(14</w:t>
            </w:r>
            <w:r w:rsidR="00591CA7">
              <w:rPr>
                <w:b/>
                <w:sz w:val="18"/>
                <w:szCs w:val="18"/>
                <w:lang w:val="id-ID"/>
              </w:rPr>
              <w:t>.</w:t>
            </w:r>
            <w:r w:rsidRPr="00C82620">
              <w:rPr>
                <w:b/>
                <w:sz w:val="18"/>
                <w:szCs w:val="18"/>
                <w:lang w:val="id-ID"/>
              </w:rPr>
              <w:t>793</w:t>
            </w:r>
            <w:r w:rsidR="00591CA7">
              <w:rPr>
                <w:b/>
                <w:sz w:val="18"/>
                <w:szCs w:val="18"/>
                <w:lang w:val="id-ID"/>
              </w:rPr>
              <w:t>.</w:t>
            </w:r>
            <w:r w:rsidRPr="00C82620">
              <w:rPr>
                <w:b/>
                <w:sz w:val="18"/>
                <w:szCs w:val="18"/>
                <w:lang w:val="id-ID"/>
              </w:rPr>
              <w:t>853</w:t>
            </w:r>
            <w:r w:rsidR="00591CA7">
              <w:rPr>
                <w:b/>
                <w:sz w:val="18"/>
                <w:szCs w:val="18"/>
                <w:lang w:val="id-ID"/>
              </w:rPr>
              <w:t>.</w:t>
            </w:r>
            <w:r w:rsidRPr="00C82620">
              <w:rPr>
                <w:b/>
                <w:sz w:val="18"/>
                <w:szCs w:val="18"/>
                <w:lang w:val="id-ID"/>
              </w:rPr>
              <w:t>108)</w:t>
            </w:r>
          </w:p>
        </w:tc>
        <w:tc>
          <w:tcPr>
            <w:tcW w:w="63" w:type="dxa"/>
            <w:tcMar>
              <w:left w:w="28" w:type="dxa"/>
              <w:right w:w="28" w:type="dxa"/>
            </w:tcMar>
          </w:tcPr>
          <w:p w14:paraId="19A0FBB2" w14:textId="77777777" w:rsidR="00375AB2" w:rsidRPr="00DE189C" w:rsidRDefault="00375AB2" w:rsidP="00101586">
            <w:pPr>
              <w:jc w:val="right"/>
              <w:rPr>
                <w:b/>
                <w:sz w:val="18"/>
                <w:szCs w:val="18"/>
              </w:rPr>
            </w:pPr>
          </w:p>
        </w:tc>
        <w:tc>
          <w:tcPr>
            <w:tcW w:w="3045" w:type="dxa"/>
            <w:vAlign w:val="bottom"/>
          </w:tcPr>
          <w:p w14:paraId="4FE4A2D8" w14:textId="38C4359A" w:rsidR="00375AB2" w:rsidRPr="00DE189C" w:rsidRDefault="00375AB2" w:rsidP="00101586">
            <w:pPr>
              <w:ind w:right="75"/>
              <w:jc w:val="right"/>
              <w:rPr>
                <w:b/>
                <w:i/>
                <w:sz w:val="18"/>
                <w:szCs w:val="18"/>
              </w:rPr>
            </w:pPr>
            <w:r w:rsidRPr="00DE189C">
              <w:rPr>
                <w:b/>
                <w:i/>
                <w:sz w:val="18"/>
                <w:szCs w:val="18"/>
              </w:rPr>
              <w:t>NET DECREASE IN</w:t>
            </w:r>
          </w:p>
          <w:p w14:paraId="114827BE" w14:textId="04DDA8C8" w:rsidR="00375AB2" w:rsidRPr="00DE189C" w:rsidRDefault="00375AB2" w:rsidP="00946853">
            <w:pPr>
              <w:ind w:right="255"/>
              <w:jc w:val="right"/>
              <w:rPr>
                <w:b/>
                <w:i/>
                <w:sz w:val="18"/>
                <w:szCs w:val="18"/>
              </w:rPr>
            </w:pPr>
            <w:r w:rsidRPr="00DE189C">
              <w:rPr>
                <w:b/>
                <w:i/>
                <w:sz w:val="18"/>
                <w:szCs w:val="18"/>
              </w:rPr>
              <w:t>CASH</w:t>
            </w:r>
            <w:r w:rsidR="00305CA0">
              <w:rPr>
                <w:b/>
                <w:i/>
                <w:sz w:val="18"/>
                <w:szCs w:val="18"/>
              </w:rPr>
              <w:t>.</w:t>
            </w:r>
            <w:r w:rsidRPr="00DE189C">
              <w:rPr>
                <w:b/>
                <w:i/>
                <w:sz w:val="18"/>
                <w:szCs w:val="18"/>
              </w:rPr>
              <w:t xml:space="preserve"> CASH EQUIVALENTS AND BANK OVERDRAFT</w:t>
            </w:r>
          </w:p>
        </w:tc>
      </w:tr>
      <w:tr w:rsidR="00375AB2" w:rsidRPr="00DE189C" w14:paraId="1E4EC4CB" w14:textId="77777777" w:rsidTr="001853DC">
        <w:trPr>
          <w:trHeight w:val="20"/>
        </w:trPr>
        <w:tc>
          <w:tcPr>
            <w:tcW w:w="3045" w:type="dxa"/>
            <w:vAlign w:val="bottom"/>
          </w:tcPr>
          <w:p w14:paraId="038A8CA3" w14:textId="77777777" w:rsidR="00375AB2" w:rsidRPr="00DE189C" w:rsidRDefault="00375AB2" w:rsidP="00101586">
            <w:pPr>
              <w:ind w:left="283" w:hanging="170"/>
              <w:rPr>
                <w:b/>
                <w:sz w:val="18"/>
                <w:szCs w:val="18"/>
              </w:rPr>
            </w:pPr>
          </w:p>
        </w:tc>
        <w:tc>
          <w:tcPr>
            <w:tcW w:w="62" w:type="dxa"/>
            <w:tcMar>
              <w:left w:w="28" w:type="dxa"/>
              <w:right w:w="28" w:type="dxa"/>
            </w:tcMar>
          </w:tcPr>
          <w:p w14:paraId="7541E922" w14:textId="77777777" w:rsidR="00375AB2" w:rsidRPr="00DE189C" w:rsidRDefault="00375AB2" w:rsidP="00101586">
            <w:pPr>
              <w:jc w:val="center"/>
              <w:rPr>
                <w:b/>
                <w:sz w:val="18"/>
                <w:szCs w:val="18"/>
              </w:rPr>
            </w:pPr>
          </w:p>
        </w:tc>
        <w:tc>
          <w:tcPr>
            <w:tcW w:w="1452" w:type="dxa"/>
            <w:shd w:val="clear" w:color="auto" w:fill="auto"/>
            <w:vAlign w:val="bottom"/>
          </w:tcPr>
          <w:p w14:paraId="7C99A5B9" w14:textId="77777777" w:rsidR="00375AB2" w:rsidRPr="00DE189C" w:rsidRDefault="00375AB2" w:rsidP="00101586">
            <w:pPr>
              <w:ind w:left="57" w:right="28"/>
              <w:jc w:val="right"/>
              <w:rPr>
                <w:sz w:val="18"/>
                <w:szCs w:val="18"/>
                <w:lang w:val="en-ID"/>
              </w:rPr>
            </w:pPr>
          </w:p>
        </w:tc>
        <w:tc>
          <w:tcPr>
            <w:tcW w:w="63" w:type="dxa"/>
            <w:tcMar>
              <w:left w:w="28" w:type="dxa"/>
              <w:right w:w="28" w:type="dxa"/>
            </w:tcMar>
            <w:vAlign w:val="bottom"/>
          </w:tcPr>
          <w:p w14:paraId="2D77AB76" w14:textId="77777777" w:rsidR="00375AB2" w:rsidRPr="00DE189C" w:rsidRDefault="00375AB2" w:rsidP="00101586">
            <w:pPr>
              <w:ind w:left="57" w:right="12"/>
              <w:jc w:val="right"/>
              <w:rPr>
                <w:b/>
                <w:sz w:val="18"/>
                <w:szCs w:val="18"/>
              </w:rPr>
            </w:pPr>
          </w:p>
        </w:tc>
        <w:tc>
          <w:tcPr>
            <w:tcW w:w="1467" w:type="dxa"/>
            <w:vAlign w:val="bottom"/>
          </w:tcPr>
          <w:p w14:paraId="62F98E14" w14:textId="77777777" w:rsidR="00375AB2" w:rsidRPr="00DE189C" w:rsidRDefault="00375AB2" w:rsidP="00101586">
            <w:pPr>
              <w:ind w:left="57" w:right="28"/>
              <w:jc w:val="right"/>
              <w:rPr>
                <w:sz w:val="18"/>
                <w:szCs w:val="18"/>
                <w:lang w:val="id-ID"/>
              </w:rPr>
            </w:pPr>
          </w:p>
        </w:tc>
        <w:tc>
          <w:tcPr>
            <w:tcW w:w="63" w:type="dxa"/>
            <w:tcMar>
              <w:left w:w="28" w:type="dxa"/>
              <w:right w:w="28" w:type="dxa"/>
            </w:tcMar>
          </w:tcPr>
          <w:p w14:paraId="1ACC88A8" w14:textId="77777777" w:rsidR="00375AB2" w:rsidRPr="00DE189C" w:rsidRDefault="00375AB2" w:rsidP="00101586">
            <w:pPr>
              <w:jc w:val="right"/>
              <w:rPr>
                <w:b/>
                <w:sz w:val="18"/>
                <w:szCs w:val="18"/>
              </w:rPr>
            </w:pPr>
          </w:p>
        </w:tc>
        <w:tc>
          <w:tcPr>
            <w:tcW w:w="3045" w:type="dxa"/>
            <w:vAlign w:val="bottom"/>
          </w:tcPr>
          <w:p w14:paraId="33A36462" w14:textId="77777777" w:rsidR="00375AB2" w:rsidRPr="00DE189C" w:rsidRDefault="00375AB2" w:rsidP="00101586">
            <w:pPr>
              <w:ind w:right="75"/>
              <w:jc w:val="right"/>
              <w:rPr>
                <w:i/>
                <w:sz w:val="18"/>
                <w:szCs w:val="18"/>
              </w:rPr>
            </w:pPr>
          </w:p>
        </w:tc>
      </w:tr>
      <w:tr w:rsidR="00375AB2" w:rsidRPr="00DE189C" w14:paraId="7A3CC470" w14:textId="77777777" w:rsidTr="001853DC">
        <w:trPr>
          <w:trHeight w:val="20"/>
        </w:trPr>
        <w:tc>
          <w:tcPr>
            <w:tcW w:w="3045" w:type="dxa"/>
            <w:vAlign w:val="bottom"/>
          </w:tcPr>
          <w:p w14:paraId="4EE05445" w14:textId="7B301373" w:rsidR="00375AB2" w:rsidRPr="00DE189C" w:rsidRDefault="00375AB2" w:rsidP="00946853">
            <w:pPr>
              <w:ind w:left="232" w:hanging="142"/>
              <w:rPr>
                <w:b/>
                <w:sz w:val="18"/>
                <w:szCs w:val="18"/>
              </w:rPr>
            </w:pPr>
            <w:r w:rsidRPr="00DE189C">
              <w:rPr>
                <w:b/>
                <w:sz w:val="18"/>
                <w:szCs w:val="18"/>
              </w:rPr>
              <w:t>KAS</w:t>
            </w:r>
            <w:r w:rsidR="00305CA0">
              <w:rPr>
                <w:b/>
                <w:sz w:val="18"/>
                <w:szCs w:val="18"/>
              </w:rPr>
              <w:t>.</w:t>
            </w:r>
            <w:r w:rsidRPr="00DE189C">
              <w:rPr>
                <w:b/>
                <w:sz w:val="18"/>
                <w:szCs w:val="18"/>
              </w:rPr>
              <w:t xml:space="preserve"> </w:t>
            </w:r>
            <w:r w:rsidRPr="00DE189C">
              <w:rPr>
                <w:b/>
                <w:sz w:val="18"/>
                <w:szCs w:val="18"/>
                <w:lang w:val="en-ID"/>
              </w:rPr>
              <w:t>SETARA KAS</w:t>
            </w:r>
            <w:r w:rsidR="00305CA0">
              <w:rPr>
                <w:b/>
                <w:sz w:val="18"/>
                <w:szCs w:val="18"/>
                <w:lang w:val="en-ID"/>
              </w:rPr>
              <w:t>.</w:t>
            </w:r>
            <w:r w:rsidRPr="00DE189C">
              <w:rPr>
                <w:b/>
                <w:sz w:val="18"/>
                <w:szCs w:val="18"/>
                <w:lang w:val="en-ID"/>
              </w:rPr>
              <w:t xml:space="preserve"> CERUKAN PADA </w:t>
            </w:r>
            <w:r w:rsidRPr="00DE189C">
              <w:rPr>
                <w:b/>
                <w:sz w:val="18"/>
                <w:szCs w:val="18"/>
              </w:rPr>
              <w:t>AWAL</w:t>
            </w:r>
            <w:r w:rsidRPr="00DE189C">
              <w:rPr>
                <w:b/>
                <w:sz w:val="18"/>
                <w:szCs w:val="18"/>
                <w:lang w:val="id-ID"/>
              </w:rPr>
              <w:t xml:space="preserve"> TAHUN</w:t>
            </w:r>
            <w:r w:rsidRPr="00DE189C">
              <w:rPr>
                <w:b/>
                <w:sz w:val="18"/>
                <w:szCs w:val="18"/>
              </w:rPr>
              <w:t xml:space="preserve"> </w:t>
            </w:r>
          </w:p>
        </w:tc>
        <w:tc>
          <w:tcPr>
            <w:tcW w:w="62" w:type="dxa"/>
            <w:tcMar>
              <w:left w:w="28" w:type="dxa"/>
              <w:right w:w="28" w:type="dxa"/>
            </w:tcMar>
          </w:tcPr>
          <w:p w14:paraId="0F0DC192" w14:textId="77777777" w:rsidR="00375AB2" w:rsidRPr="00DE189C" w:rsidRDefault="00375AB2" w:rsidP="00101586">
            <w:pPr>
              <w:jc w:val="center"/>
              <w:rPr>
                <w:b/>
                <w:sz w:val="18"/>
                <w:szCs w:val="18"/>
              </w:rPr>
            </w:pPr>
          </w:p>
        </w:tc>
        <w:tc>
          <w:tcPr>
            <w:tcW w:w="1452" w:type="dxa"/>
            <w:tcBorders>
              <w:bottom w:val="single" w:sz="4" w:space="0" w:color="auto"/>
            </w:tcBorders>
            <w:shd w:val="clear" w:color="auto" w:fill="auto"/>
            <w:vAlign w:val="bottom"/>
          </w:tcPr>
          <w:p w14:paraId="1DC7C419" w14:textId="372AD3FB" w:rsidR="00375AB2" w:rsidRPr="00C82620" w:rsidRDefault="00C82620" w:rsidP="00101586">
            <w:pPr>
              <w:ind w:left="57" w:right="28"/>
              <w:jc w:val="right"/>
              <w:rPr>
                <w:b/>
                <w:sz w:val="18"/>
                <w:szCs w:val="18"/>
                <w:lang w:val="en-ID"/>
              </w:rPr>
            </w:pPr>
            <w:r w:rsidRPr="00C82620">
              <w:rPr>
                <w:b/>
                <w:sz w:val="18"/>
                <w:szCs w:val="18"/>
                <w:lang w:val="en-ID"/>
              </w:rPr>
              <w:t>188</w:t>
            </w:r>
            <w:r w:rsidR="00591CA7">
              <w:rPr>
                <w:b/>
                <w:sz w:val="18"/>
                <w:szCs w:val="18"/>
                <w:lang w:val="en-ID"/>
              </w:rPr>
              <w:t>.</w:t>
            </w:r>
            <w:r w:rsidRPr="00C82620">
              <w:rPr>
                <w:b/>
                <w:sz w:val="18"/>
                <w:szCs w:val="18"/>
                <w:lang w:val="en-ID"/>
              </w:rPr>
              <w:t>448</w:t>
            </w:r>
            <w:r w:rsidR="00591CA7">
              <w:rPr>
                <w:b/>
                <w:sz w:val="18"/>
                <w:szCs w:val="18"/>
                <w:lang w:val="en-ID"/>
              </w:rPr>
              <w:t>.</w:t>
            </w:r>
            <w:r w:rsidRPr="00C82620">
              <w:rPr>
                <w:b/>
                <w:sz w:val="18"/>
                <w:szCs w:val="18"/>
                <w:lang w:val="en-ID"/>
              </w:rPr>
              <w:t>316</w:t>
            </w:r>
            <w:r w:rsidR="00591CA7">
              <w:rPr>
                <w:b/>
                <w:sz w:val="18"/>
                <w:szCs w:val="18"/>
                <w:lang w:val="en-ID"/>
              </w:rPr>
              <w:t>.</w:t>
            </w:r>
            <w:r w:rsidRPr="00C82620">
              <w:rPr>
                <w:b/>
                <w:sz w:val="18"/>
                <w:szCs w:val="18"/>
                <w:lang w:val="en-ID"/>
              </w:rPr>
              <w:t>724</w:t>
            </w:r>
          </w:p>
        </w:tc>
        <w:tc>
          <w:tcPr>
            <w:tcW w:w="63" w:type="dxa"/>
            <w:tcMar>
              <w:left w:w="28" w:type="dxa"/>
              <w:right w:w="28" w:type="dxa"/>
            </w:tcMar>
            <w:vAlign w:val="bottom"/>
          </w:tcPr>
          <w:p w14:paraId="13BAC68E" w14:textId="77777777" w:rsidR="00375AB2" w:rsidRPr="00DE189C" w:rsidRDefault="00375AB2" w:rsidP="00101586">
            <w:pPr>
              <w:ind w:left="57" w:right="12"/>
              <w:jc w:val="right"/>
              <w:rPr>
                <w:b/>
                <w:sz w:val="18"/>
                <w:szCs w:val="18"/>
              </w:rPr>
            </w:pPr>
          </w:p>
        </w:tc>
        <w:tc>
          <w:tcPr>
            <w:tcW w:w="1467" w:type="dxa"/>
            <w:tcBorders>
              <w:bottom w:val="single" w:sz="4" w:space="0" w:color="auto"/>
            </w:tcBorders>
            <w:vAlign w:val="bottom"/>
          </w:tcPr>
          <w:p w14:paraId="7F5FF665" w14:textId="490CCED6" w:rsidR="00375AB2" w:rsidRPr="00DE189C" w:rsidRDefault="00C82620" w:rsidP="00101586">
            <w:pPr>
              <w:ind w:left="57" w:right="28"/>
              <w:jc w:val="right"/>
              <w:rPr>
                <w:b/>
                <w:sz w:val="18"/>
                <w:szCs w:val="18"/>
                <w:lang w:val="en-ID"/>
              </w:rPr>
            </w:pPr>
            <w:r w:rsidRPr="00C82620">
              <w:rPr>
                <w:b/>
                <w:sz w:val="18"/>
                <w:szCs w:val="18"/>
                <w:lang w:val="en-ID"/>
              </w:rPr>
              <w:t>199</w:t>
            </w:r>
            <w:r w:rsidR="00591CA7">
              <w:rPr>
                <w:b/>
                <w:sz w:val="18"/>
                <w:szCs w:val="18"/>
                <w:lang w:val="en-ID"/>
              </w:rPr>
              <w:t>.</w:t>
            </w:r>
            <w:r w:rsidRPr="00C82620">
              <w:rPr>
                <w:b/>
                <w:sz w:val="18"/>
                <w:szCs w:val="18"/>
                <w:lang w:val="en-ID"/>
              </w:rPr>
              <w:t>591</w:t>
            </w:r>
            <w:r w:rsidR="00591CA7">
              <w:rPr>
                <w:b/>
                <w:sz w:val="18"/>
                <w:szCs w:val="18"/>
                <w:lang w:val="en-ID"/>
              </w:rPr>
              <w:t>.</w:t>
            </w:r>
            <w:r w:rsidRPr="00C82620">
              <w:rPr>
                <w:b/>
                <w:sz w:val="18"/>
                <w:szCs w:val="18"/>
                <w:lang w:val="en-ID"/>
              </w:rPr>
              <w:t>349</w:t>
            </w:r>
            <w:r w:rsidR="00591CA7">
              <w:rPr>
                <w:b/>
                <w:sz w:val="18"/>
                <w:szCs w:val="18"/>
                <w:lang w:val="en-ID"/>
              </w:rPr>
              <w:t>.</w:t>
            </w:r>
            <w:r w:rsidRPr="00C82620">
              <w:rPr>
                <w:b/>
                <w:sz w:val="18"/>
                <w:szCs w:val="18"/>
                <w:lang w:val="en-ID"/>
              </w:rPr>
              <w:t>638</w:t>
            </w:r>
          </w:p>
        </w:tc>
        <w:tc>
          <w:tcPr>
            <w:tcW w:w="63" w:type="dxa"/>
            <w:tcMar>
              <w:left w:w="28" w:type="dxa"/>
              <w:right w:w="28" w:type="dxa"/>
            </w:tcMar>
          </w:tcPr>
          <w:p w14:paraId="1F7C8577" w14:textId="77777777" w:rsidR="00375AB2" w:rsidRPr="00DE189C" w:rsidRDefault="00375AB2" w:rsidP="00101586">
            <w:pPr>
              <w:jc w:val="right"/>
              <w:rPr>
                <w:b/>
                <w:sz w:val="18"/>
                <w:szCs w:val="18"/>
              </w:rPr>
            </w:pPr>
          </w:p>
        </w:tc>
        <w:tc>
          <w:tcPr>
            <w:tcW w:w="3045" w:type="dxa"/>
            <w:vAlign w:val="bottom"/>
          </w:tcPr>
          <w:p w14:paraId="0718FAFA" w14:textId="553FEE4F" w:rsidR="00375AB2" w:rsidRPr="00DE189C" w:rsidRDefault="00375AB2" w:rsidP="00101586">
            <w:pPr>
              <w:ind w:right="75"/>
              <w:jc w:val="right"/>
              <w:rPr>
                <w:b/>
                <w:i/>
                <w:sz w:val="18"/>
                <w:szCs w:val="18"/>
              </w:rPr>
            </w:pPr>
            <w:r>
              <w:rPr>
                <w:b/>
                <w:i/>
                <w:sz w:val="18"/>
                <w:szCs w:val="18"/>
              </w:rPr>
              <w:t xml:space="preserve"> </w:t>
            </w:r>
            <w:r w:rsidRPr="00DE189C">
              <w:rPr>
                <w:b/>
                <w:i/>
                <w:sz w:val="18"/>
                <w:szCs w:val="18"/>
              </w:rPr>
              <w:t>CASH</w:t>
            </w:r>
            <w:r w:rsidR="00305CA0">
              <w:rPr>
                <w:b/>
                <w:i/>
                <w:sz w:val="18"/>
                <w:szCs w:val="18"/>
              </w:rPr>
              <w:t>.</w:t>
            </w:r>
            <w:r w:rsidRPr="00DE189C">
              <w:rPr>
                <w:b/>
                <w:i/>
                <w:sz w:val="18"/>
                <w:szCs w:val="18"/>
              </w:rPr>
              <w:t xml:space="preserve"> CASH EQUIVALENTS</w:t>
            </w:r>
          </w:p>
          <w:p w14:paraId="64610D01" w14:textId="77777777" w:rsidR="00375AB2" w:rsidRPr="00DE189C" w:rsidRDefault="00375AB2" w:rsidP="00101586">
            <w:pPr>
              <w:ind w:right="255"/>
              <w:jc w:val="right"/>
              <w:rPr>
                <w:b/>
                <w:i/>
                <w:sz w:val="18"/>
                <w:szCs w:val="18"/>
              </w:rPr>
            </w:pPr>
            <w:r w:rsidRPr="00DE189C">
              <w:rPr>
                <w:b/>
                <w:i/>
                <w:sz w:val="18"/>
                <w:szCs w:val="18"/>
              </w:rPr>
              <w:t>AND BANK OVERDRAFT</w:t>
            </w:r>
            <w:r w:rsidRPr="00DE189C">
              <w:rPr>
                <w:b/>
                <w:i/>
                <w:sz w:val="18"/>
                <w:szCs w:val="18"/>
              </w:rPr>
              <w:br/>
              <w:t xml:space="preserve">AT BEGINNING OF YEAR </w:t>
            </w:r>
          </w:p>
        </w:tc>
      </w:tr>
      <w:tr w:rsidR="00375AB2" w:rsidRPr="00DE189C" w14:paraId="0D43728B" w14:textId="77777777" w:rsidTr="001853DC">
        <w:trPr>
          <w:trHeight w:val="20"/>
        </w:trPr>
        <w:tc>
          <w:tcPr>
            <w:tcW w:w="3045" w:type="dxa"/>
            <w:vAlign w:val="bottom"/>
          </w:tcPr>
          <w:p w14:paraId="0848FE2B" w14:textId="77777777" w:rsidR="00375AB2" w:rsidRPr="00DE189C" w:rsidRDefault="00375AB2" w:rsidP="00101586">
            <w:pPr>
              <w:ind w:left="283" w:hanging="170"/>
              <w:rPr>
                <w:b/>
                <w:sz w:val="18"/>
                <w:szCs w:val="18"/>
              </w:rPr>
            </w:pPr>
          </w:p>
        </w:tc>
        <w:tc>
          <w:tcPr>
            <w:tcW w:w="62" w:type="dxa"/>
            <w:tcMar>
              <w:left w:w="28" w:type="dxa"/>
              <w:right w:w="28" w:type="dxa"/>
            </w:tcMar>
          </w:tcPr>
          <w:p w14:paraId="734B664C" w14:textId="77777777" w:rsidR="00375AB2" w:rsidRPr="00DE189C" w:rsidRDefault="00375AB2" w:rsidP="00101586">
            <w:pPr>
              <w:jc w:val="center"/>
              <w:rPr>
                <w:b/>
                <w:sz w:val="18"/>
                <w:szCs w:val="18"/>
              </w:rPr>
            </w:pPr>
          </w:p>
        </w:tc>
        <w:tc>
          <w:tcPr>
            <w:tcW w:w="1452" w:type="dxa"/>
            <w:tcBorders>
              <w:top w:val="single" w:sz="4" w:space="0" w:color="auto"/>
            </w:tcBorders>
            <w:shd w:val="clear" w:color="auto" w:fill="auto"/>
            <w:vAlign w:val="bottom"/>
          </w:tcPr>
          <w:p w14:paraId="2EA07808" w14:textId="77777777" w:rsidR="00375AB2" w:rsidRPr="00DE189C" w:rsidRDefault="00375AB2" w:rsidP="00101586">
            <w:pPr>
              <w:ind w:left="57" w:right="28"/>
              <w:jc w:val="right"/>
              <w:rPr>
                <w:sz w:val="18"/>
                <w:szCs w:val="18"/>
                <w:lang w:val="en-ID"/>
              </w:rPr>
            </w:pPr>
          </w:p>
        </w:tc>
        <w:tc>
          <w:tcPr>
            <w:tcW w:w="63" w:type="dxa"/>
            <w:tcMar>
              <w:left w:w="28" w:type="dxa"/>
              <w:right w:w="28" w:type="dxa"/>
            </w:tcMar>
            <w:vAlign w:val="bottom"/>
          </w:tcPr>
          <w:p w14:paraId="5D299FA6" w14:textId="77777777" w:rsidR="00375AB2" w:rsidRPr="00DE189C" w:rsidRDefault="00375AB2" w:rsidP="00101586">
            <w:pPr>
              <w:ind w:left="57" w:right="12"/>
              <w:jc w:val="right"/>
              <w:rPr>
                <w:b/>
                <w:sz w:val="18"/>
                <w:szCs w:val="18"/>
              </w:rPr>
            </w:pPr>
          </w:p>
        </w:tc>
        <w:tc>
          <w:tcPr>
            <w:tcW w:w="1467" w:type="dxa"/>
            <w:tcBorders>
              <w:top w:val="single" w:sz="4" w:space="0" w:color="auto"/>
            </w:tcBorders>
            <w:vAlign w:val="bottom"/>
          </w:tcPr>
          <w:p w14:paraId="20DE8DDB" w14:textId="77777777" w:rsidR="00375AB2" w:rsidRPr="00DE189C" w:rsidRDefault="00375AB2" w:rsidP="00101586">
            <w:pPr>
              <w:ind w:left="57" w:right="28"/>
              <w:jc w:val="right"/>
              <w:rPr>
                <w:b/>
                <w:sz w:val="18"/>
                <w:szCs w:val="18"/>
              </w:rPr>
            </w:pPr>
          </w:p>
        </w:tc>
        <w:tc>
          <w:tcPr>
            <w:tcW w:w="63" w:type="dxa"/>
            <w:tcMar>
              <w:left w:w="28" w:type="dxa"/>
              <w:right w:w="28" w:type="dxa"/>
            </w:tcMar>
          </w:tcPr>
          <w:p w14:paraId="14F4C947" w14:textId="77777777" w:rsidR="00375AB2" w:rsidRPr="00DE189C" w:rsidRDefault="00375AB2" w:rsidP="00101586">
            <w:pPr>
              <w:jc w:val="right"/>
              <w:rPr>
                <w:b/>
                <w:sz w:val="18"/>
                <w:szCs w:val="18"/>
              </w:rPr>
            </w:pPr>
          </w:p>
        </w:tc>
        <w:tc>
          <w:tcPr>
            <w:tcW w:w="3045" w:type="dxa"/>
            <w:vAlign w:val="bottom"/>
          </w:tcPr>
          <w:p w14:paraId="0DDA5D8C" w14:textId="77777777" w:rsidR="00375AB2" w:rsidRPr="00DE189C" w:rsidRDefault="00375AB2" w:rsidP="00101586">
            <w:pPr>
              <w:ind w:right="75"/>
              <w:jc w:val="right"/>
              <w:rPr>
                <w:b/>
                <w:i/>
                <w:sz w:val="18"/>
                <w:szCs w:val="18"/>
              </w:rPr>
            </w:pPr>
          </w:p>
        </w:tc>
      </w:tr>
      <w:tr w:rsidR="00375AB2" w:rsidRPr="00DE189C" w14:paraId="5ECB1F53" w14:textId="77777777" w:rsidTr="001853DC">
        <w:trPr>
          <w:trHeight w:val="20"/>
        </w:trPr>
        <w:tc>
          <w:tcPr>
            <w:tcW w:w="3045" w:type="dxa"/>
            <w:vAlign w:val="bottom"/>
          </w:tcPr>
          <w:p w14:paraId="6F8DF830" w14:textId="1A4EF328" w:rsidR="00375AB2" w:rsidRPr="00DE189C" w:rsidRDefault="00375AB2" w:rsidP="00946853">
            <w:pPr>
              <w:ind w:left="283" w:hanging="170"/>
              <w:rPr>
                <w:b/>
                <w:sz w:val="18"/>
                <w:szCs w:val="18"/>
                <w:lang w:val="id-ID"/>
              </w:rPr>
            </w:pPr>
            <w:r w:rsidRPr="00DE189C">
              <w:rPr>
                <w:b/>
                <w:sz w:val="18"/>
                <w:szCs w:val="18"/>
              </w:rPr>
              <w:t>KAS</w:t>
            </w:r>
            <w:r w:rsidR="00305CA0">
              <w:rPr>
                <w:b/>
                <w:sz w:val="18"/>
                <w:szCs w:val="18"/>
              </w:rPr>
              <w:t>.</w:t>
            </w:r>
            <w:r w:rsidRPr="00DE189C">
              <w:rPr>
                <w:b/>
                <w:sz w:val="18"/>
                <w:szCs w:val="18"/>
              </w:rPr>
              <w:t xml:space="preserve"> </w:t>
            </w:r>
            <w:r w:rsidRPr="00DE189C">
              <w:rPr>
                <w:b/>
                <w:sz w:val="18"/>
                <w:szCs w:val="18"/>
                <w:lang w:val="en-ID"/>
              </w:rPr>
              <w:t>SETARA KAS</w:t>
            </w:r>
            <w:r w:rsidR="00305CA0">
              <w:rPr>
                <w:b/>
                <w:sz w:val="18"/>
                <w:szCs w:val="18"/>
                <w:lang w:val="en-ID"/>
              </w:rPr>
              <w:t>.</w:t>
            </w:r>
            <w:r w:rsidRPr="00DE189C">
              <w:rPr>
                <w:b/>
                <w:sz w:val="18"/>
                <w:szCs w:val="18"/>
                <w:lang w:val="en-ID"/>
              </w:rPr>
              <w:t xml:space="preserve"> CERUKAN</w:t>
            </w:r>
            <w:r w:rsidRPr="00DE189C">
              <w:rPr>
                <w:b/>
                <w:sz w:val="18"/>
                <w:szCs w:val="18"/>
              </w:rPr>
              <w:br/>
              <w:t xml:space="preserve">AKHIR </w:t>
            </w:r>
            <w:r w:rsidRPr="00DE189C">
              <w:rPr>
                <w:b/>
                <w:sz w:val="18"/>
                <w:szCs w:val="18"/>
                <w:lang w:val="id-ID"/>
              </w:rPr>
              <w:t>TAHUN</w:t>
            </w:r>
          </w:p>
        </w:tc>
        <w:tc>
          <w:tcPr>
            <w:tcW w:w="62" w:type="dxa"/>
            <w:tcMar>
              <w:left w:w="28" w:type="dxa"/>
              <w:right w:w="28" w:type="dxa"/>
            </w:tcMar>
          </w:tcPr>
          <w:p w14:paraId="34774465" w14:textId="77777777" w:rsidR="00375AB2" w:rsidRPr="00DE189C" w:rsidRDefault="00375AB2" w:rsidP="00101586">
            <w:pPr>
              <w:jc w:val="center"/>
              <w:rPr>
                <w:b/>
                <w:sz w:val="18"/>
                <w:szCs w:val="18"/>
              </w:rPr>
            </w:pPr>
          </w:p>
        </w:tc>
        <w:tc>
          <w:tcPr>
            <w:tcW w:w="1452" w:type="dxa"/>
            <w:tcBorders>
              <w:bottom w:val="double" w:sz="4" w:space="0" w:color="auto"/>
            </w:tcBorders>
            <w:shd w:val="clear" w:color="auto" w:fill="auto"/>
            <w:vAlign w:val="bottom"/>
          </w:tcPr>
          <w:p w14:paraId="5E87B360" w14:textId="4FFBBD70" w:rsidR="00375AB2" w:rsidRPr="00C82620" w:rsidRDefault="00C82620" w:rsidP="00101586">
            <w:pPr>
              <w:ind w:left="57" w:right="28"/>
              <w:jc w:val="right"/>
              <w:rPr>
                <w:b/>
                <w:sz w:val="18"/>
                <w:szCs w:val="18"/>
                <w:lang w:val="en-ID"/>
              </w:rPr>
            </w:pPr>
            <w:r w:rsidRPr="00C82620">
              <w:rPr>
                <w:b/>
                <w:sz w:val="18"/>
                <w:szCs w:val="18"/>
                <w:lang w:val="en-ID"/>
              </w:rPr>
              <w:t>185</w:t>
            </w:r>
            <w:r w:rsidR="00591CA7">
              <w:rPr>
                <w:b/>
                <w:sz w:val="18"/>
                <w:szCs w:val="18"/>
                <w:lang w:val="en-ID"/>
              </w:rPr>
              <w:t>.</w:t>
            </w:r>
            <w:r w:rsidRPr="00C82620">
              <w:rPr>
                <w:b/>
                <w:sz w:val="18"/>
                <w:szCs w:val="18"/>
                <w:lang w:val="en-ID"/>
              </w:rPr>
              <w:t>316</w:t>
            </w:r>
            <w:r w:rsidR="00591CA7">
              <w:rPr>
                <w:b/>
                <w:sz w:val="18"/>
                <w:szCs w:val="18"/>
                <w:lang w:val="en-ID"/>
              </w:rPr>
              <w:t>.</w:t>
            </w:r>
            <w:r w:rsidRPr="00C82620">
              <w:rPr>
                <w:b/>
                <w:sz w:val="18"/>
                <w:szCs w:val="18"/>
                <w:lang w:val="en-ID"/>
              </w:rPr>
              <w:t>877</w:t>
            </w:r>
            <w:r w:rsidR="00591CA7">
              <w:rPr>
                <w:b/>
                <w:sz w:val="18"/>
                <w:szCs w:val="18"/>
                <w:lang w:val="en-ID"/>
              </w:rPr>
              <w:t>.</w:t>
            </w:r>
            <w:r w:rsidRPr="00C82620">
              <w:rPr>
                <w:b/>
                <w:sz w:val="18"/>
                <w:szCs w:val="18"/>
                <w:lang w:val="en-ID"/>
              </w:rPr>
              <w:t>087</w:t>
            </w:r>
          </w:p>
        </w:tc>
        <w:tc>
          <w:tcPr>
            <w:tcW w:w="63" w:type="dxa"/>
            <w:tcMar>
              <w:left w:w="28" w:type="dxa"/>
              <w:right w:w="28" w:type="dxa"/>
            </w:tcMar>
            <w:vAlign w:val="bottom"/>
          </w:tcPr>
          <w:p w14:paraId="16F95E2B" w14:textId="77777777" w:rsidR="00375AB2" w:rsidRPr="00DE189C" w:rsidRDefault="00375AB2" w:rsidP="00101586">
            <w:pPr>
              <w:ind w:left="57" w:right="12"/>
              <w:jc w:val="right"/>
              <w:rPr>
                <w:b/>
                <w:color w:val="FF0000"/>
                <w:sz w:val="18"/>
                <w:szCs w:val="18"/>
              </w:rPr>
            </w:pPr>
          </w:p>
        </w:tc>
        <w:tc>
          <w:tcPr>
            <w:tcW w:w="1467" w:type="dxa"/>
            <w:tcBorders>
              <w:bottom w:val="double" w:sz="4" w:space="0" w:color="auto"/>
            </w:tcBorders>
            <w:vAlign w:val="bottom"/>
          </w:tcPr>
          <w:p w14:paraId="779E477F" w14:textId="72CD5EE8" w:rsidR="00375AB2" w:rsidRPr="00DE189C" w:rsidRDefault="00C82620" w:rsidP="00101586">
            <w:pPr>
              <w:ind w:left="57" w:right="28"/>
              <w:jc w:val="right"/>
              <w:rPr>
                <w:b/>
                <w:sz w:val="18"/>
                <w:szCs w:val="18"/>
              </w:rPr>
            </w:pPr>
            <w:r w:rsidRPr="00C82620">
              <w:rPr>
                <w:b/>
                <w:sz w:val="18"/>
                <w:szCs w:val="18"/>
              </w:rPr>
              <w:t>184</w:t>
            </w:r>
            <w:r w:rsidR="00591CA7">
              <w:rPr>
                <w:b/>
                <w:sz w:val="18"/>
                <w:szCs w:val="18"/>
              </w:rPr>
              <w:t>.</w:t>
            </w:r>
            <w:r w:rsidRPr="00C82620">
              <w:rPr>
                <w:b/>
                <w:sz w:val="18"/>
                <w:szCs w:val="18"/>
              </w:rPr>
              <w:t>797</w:t>
            </w:r>
            <w:r w:rsidR="00591CA7">
              <w:rPr>
                <w:b/>
                <w:sz w:val="18"/>
                <w:szCs w:val="18"/>
              </w:rPr>
              <w:t>.</w:t>
            </w:r>
            <w:r w:rsidRPr="00C82620">
              <w:rPr>
                <w:b/>
                <w:sz w:val="18"/>
                <w:szCs w:val="18"/>
              </w:rPr>
              <w:t>496</w:t>
            </w:r>
            <w:r w:rsidR="00591CA7">
              <w:rPr>
                <w:b/>
                <w:sz w:val="18"/>
                <w:szCs w:val="18"/>
              </w:rPr>
              <w:t>.</w:t>
            </w:r>
            <w:r w:rsidRPr="00C82620">
              <w:rPr>
                <w:b/>
                <w:sz w:val="18"/>
                <w:szCs w:val="18"/>
              </w:rPr>
              <w:t>530</w:t>
            </w:r>
          </w:p>
        </w:tc>
        <w:tc>
          <w:tcPr>
            <w:tcW w:w="63" w:type="dxa"/>
            <w:tcMar>
              <w:left w:w="28" w:type="dxa"/>
              <w:right w:w="28" w:type="dxa"/>
            </w:tcMar>
          </w:tcPr>
          <w:p w14:paraId="0E29D5F7" w14:textId="77777777" w:rsidR="00375AB2" w:rsidRPr="00DE189C" w:rsidRDefault="00375AB2" w:rsidP="00101586">
            <w:pPr>
              <w:jc w:val="right"/>
              <w:rPr>
                <w:b/>
                <w:sz w:val="18"/>
                <w:szCs w:val="18"/>
              </w:rPr>
            </w:pPr>
          </w:p>
        </w:tc>
        <w:tc>
          <w:tcPr>
            <w:tcW w:w="3045" w:type="dxa"/>
            <w:vAlign w:val="bottom"/>
          </w:tcPr>
          <w:p w14:paraId="76021DE6" w14:textId="75BE925C" w:rsidR="00375AB2" w:rsidRPr="00DE189C" w:rsidRDefault="00375AB2" w:rsidP="00101586">
            <w:pPr>
              <w:ind w:right="75"/>
              <w:jc w:val="right"/>
              <w:rPr>
                <w:b/>
                <w:i/>
                <w:sz w:val="18"/>
                <w:szCs w:val="18"/>
              </w:rPr>
            </w:pPr>
            <w:r>
              <w:rPr>
                <w:b/>
                <w:i/>
                <w:sz w:val="18"/>
                <w:szCs w:val="18"/>
              </w:rPr>
              <w:t xml:space="preserve"> </w:t>
            </w:r>
            <w:r w:rsidRPr="00DE189C">
              <w:rPr>
                <w:b/>
                <w:i/>
                <w:sz w:val="18"/>
                <w:szCs w:val="18"/>
              </w:rPr>
              <w:t>CASH</w:t>
            </w:r>
            <w:r w:rsidR="00305CA0">
              <w:rPr>
                <w:b/>
                <w:i/>
                <w:sz w:val="18"/>
                <w:szCs w:val="18"/>
              </w:rPr>
              <w:t>.</w:t>
            </w:r>
            <w:r w:rsidRPr="00DE189C">
              <w:rPr>
                <w:b/>
                <w:i/>
                <w:sz w:val="18"/>
                <w:szCs w:val="18"/>
              </w:rPr>
              <w:t xml:space="preserve"> CASH EQUIVALENTS</w:t>
            </w:r>
          </w:p>
          <w:p w14:paraId="4A41F119" w14:textId="77777777" w:rsidR="00375AB2" w:rsidRPr="00DE189C" w:rsidRDefault="00375AB2" w:rsidP="00101586">
            <w:pPr>
              <w:ind w:right="255"/>
              <w:jc w:val="right"/>
              <w:rPr>
                <w:b/>
                <w:i/>
                <w:sz w:val="18"/>
                <w:szCs w:val="18"/>
              </w:rPr>
            </w:pPr>
            <w:r w:rsidRPr="00DE189C">
              <w:rPr>
                <w:b/>
                <w:i/>
                <w:sz w:val="18"/>
                <w:szCs w:val="18"/>
              </w:rPr>
              <w:t>AND BANK OVERDRAFT</w:t>
            </w:r>
            <w:r w:rsidRPr="00DE189C">
              <w:rPr>
                <w:b/>
                <w:i/>
                <w:sz w:val="18"/>
                <w:szCs w:val="18"/>
              </w:rPr>
              <w:br/>
              <w:t>AT THE END OF YEAR</w:t>
            </w:r>
          </w:p>
        </w:tc>
      </w:tr>
    </w:tbl>
    <w:p w14:paraId="17CF4D56" w14:textId="42611F77" w:rsidR="00C02FB7" w:rsidRDefault="00C02FB7" w:rsidP="00C02FB7">
      <w:pPr>
        <w:rPr>
          <w:sz w:val="18"/>
          <w:szCs w:val="18"/>
        </w:rPr>
      </w:pPr>
    </w:p>
    <w:sectPr w:rsidR="00C02FB7" w:rsidSect="00375AB2">
      <w:headerReference w:type="default" r:id="rId61"/>
      <w:pgSz w:w="11907" w:h="16840" w:code="9"/>
      <w:pgMar w:top="1701" w:right="992" w:bottom="1134" w:left="1559" w:header="85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93C31" w14:textId="77777777" w:rsidR="00070D1F" w:rsidRDefault="00070D1F">
      <w:r>
        <w:separator/>
      </w:r>
    </w:p>
  </w:endnote>
  <w:endnote w:type="continuationSeparator" w:id="0">
    <w:p w14:paraId="4324AA63" w14:textId="77777777" w:rsidR="00070D1F" w:rsidRDefault="0007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ITC Officina Sans Std Book">
    <w:altName w:val="Calibri"/>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FEDC8" w14:textId="77777777" w:rsidR="009311F4" w:rsidRPr="004C2E67" w:rsidRDefault="009311F4" w:rsidP="003E581B">
    <w:pPr>
      <w:pStyle w:val="Footer"/>
      <w:jc w:val="center"/>
      <w:rPr>
        <w:rStyle w:val="PageNumber"/>
        <w:sz w:val="18"/>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D202" w14:textId="77777777" w:rsidR="009311F4" w:rsidRDefault="009311F4" w:rsidP="00925CFF">
    <w:pPr>
      <w:pStyle w:val="Footer"/>
      <w:tabs>
        <w:tab w:val="clear" w:pos="4320"/>
        <w:tab w:val="clear" w:pos="8640"/>
      </w:tabs>
      <w:ind w:left="-142"/>
      <w:jc w:val="center"/>
      <w:rPr>
        <w:rStyle w:val="PageNumber"/>
        <w:sz w:val="18"/>
        <w:szCs w:val="20"/>
      </w:rPr>
    </w:pPr>
  </w:p>
  <w:p w14:paraId="276B7A15" w14:textId="2C2BC375" w:rsidR="009311F4" w:rsidRPr="00856398" w:rsidRDefault="009311F4" w:rsidP="002D4B5D">
    <w:pPr>
      <w:pStyle w:val="Footer"/>
      <w:tabs>
        <w:tab w:val="clear" w:pos="4320"/>
        <w:tab w:val="clear" w:pos="8640"/>
      </w:tabs>
      <w:ind w:left="270" w:right="-104"/>
      <w:jc w:val="center"/>
      <w:rPr>
        <w:sz w:val="18"/>
        <w:szCs w:val="20"/>
      </w:rPr>
    </w:pPr>
    <w:r w:rsidRPr="00856398">
      <w:rPr>
        <w:rStyle w:val="PageNumber"/>
        <w:sz w:val="18"/>
        <w:szCs w:val="20"/>
      </w:rPr>
      <w:fldChar w:fldCharType="begin"/>
    </w:r>
    <w:r w:rsidRPr="00856398">
      <w:rPr>
        <w:rStyle w:val="PageNumber"/>
        <w:sz w:val="18"/>
        <w:szCs w:val="20"/>
      </w:rPr>
      <w:instrText xml:space="preserve"> PAGE </w:instrText>
    </w:r>
    <w:r w:rsidRPr="00856398">
      <w:rPr>
        <w:rStyle w:val="PageNumber"/>
        <w:sz w:val="18"/>
        <w:szCs w:val="20"/>
      </w:rPr>
      <w:fldChar w:fldCharType="separate"/>
    </w:r>
    <w:r w:rsidR="003D227D">
      <w:rPr>
        <w:rStyle w:val="PageNumber"/>
        <w:noProof/>
        <w:sz w:val="18"/>
        <w:szCs w:val="20"/>
      </w:rPr>
      <w:t>19</w:t>
    </w:r>
    <w:r w:rsidRPr="00856398">
      <w:rPr>
        <w:rStyle w:val="PageNumber"/>
        <w:sz w:val="18"/>
        <w:szCs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7F5F" w14:textId="77777777" w:rsidR="009311F4" w:rsidRPr="00856398" w:rsidRDefault="009311F4" w:rsidP="00925CFF">
    <w:pPr>
      <w:pStyle w:val="Footer"/>
      <w:tabs>
        <w:tab w:val="clear" w:pos="4320"/>
        <w:tab w:val="clear" w:pos="8640"/>
      </w:tabs>
      <w:ind w:left="-142"/>
      <w:jc w:val="center"/>
      <w:rPr>
        <w:rStyle w:val="PageNumber"/>
        <w:sz w:val="18"/>
        <w:szCs w:val="20"/>
      </w:rPr>
    </w:pPr>
  </w:p>
  <w:p w14:paraId="36F214F0" w14:textId="3E225634" w:rsidR="009311F4" w:rsidRPr="00856398" w:rsidRDefault="009311F4" w:rsidP="002D4B5D">
    <w:pPr>
      <w:pStyle w:val="Footer"/>
      <w:tabs>
        <w:tab w:val="clear" w:pos="4320"/>
        <w:tab w:val="clear" w:pos="8640"/>
      </w:tabs>
      <w:ind w:left="270" w:right="-104"/>
      <w:jc w:val="center"/>
      <w:rPr>
        <w:sz w:val="18"/>
        <w:szCs w:val="20"/>
      </w:rPr>
    </w:pPr>
    <w:r w:rsidRPr="00856398">
      <w:rPr>
        <w:rStyle w:val="PageNumber"/>
        <w:sz w:val="18"/>
        <w:szCs w:val="20"/>
      </w:rPr>
      <w:fldChar w:fldCharType="begin"/>
    </w:r>
    <w:r w:rsidRPr="00856398">
      <w:rPr>
        <w:rStyle w:val="PageNumber"/>
        <w:sz w:val="18"/>
        <w:szCs w:val="20"/>
      </w:rPr>
      <w:instrText xml:space="preserve"> PAGE </w:instrText>
    </w:r>
    <w:r w:rsidRPr="00856398">
      <w:rPr>
        <w:rStyle w:val="PageNumber"/>
        <w:sz w:val="18"/>
        <w:szCs w:val="20"/>
      </w:rPr>
      <w:fldChar w:fldCharType="separate"/>
    </w:r>
    <w:r w:rsidR="003D227D">
      <w:rPr>
        <w:rStyle w:val="PageNumber"/>
        <w:noProof/>
        <w:sz w:val="18"/>
        <w:szCs w:val="20"/>
      </w:rPr>
      <w:t>61</w:t>
    </w:r>
    <w:r w:rsidRPr="00856398">
      <w:rPr>
        <w:rStyle w:val="PageNumber"/>
        <w:sz w:val="18"/>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2B8C9" w14:textId="382F4ACD" w:rsidR="009311F4" w:rsidRPr="00C46C6E" w:rsidRDefault="009311F4" w:rsidP="00925CFF">
    <w:pPr>
      <w:pStyle w:val="Footer"/>
      <w:tabs>
        <w:tab w:val="clear" w:pos="4320"/>
        <w:tab w:val="clear" w:pos="8640"/>
      </w:tabs>
      <w:ind w:left="-142"/>
      <w:jc w:val="center"/>
      <w:rPr>
        <w:sz w:val="18"/>
        <w:szCs w:val="20"/>
      </w:rPr>
    </w:pPr>
    <w:r w:rsidRPr="00C46C6E">
      <w:rPr>
        <w:rStyle w:val="PageNumber"/>
        <w:sz w:val="18"/>
        <w:szCs w:val="20"/>
      </w:rPr>
      <w:fldChar w:fldCharType="begin"/>
    </w:r>
    <w:r w:rsidRPr="00C46C6E">
      <w:rPr>
        <w:rStyle w:val="PageNumber"/>
        <w:sz w:val="18"/>
        <w:szCs w:val="20"/>
      </w:rPr>
      <w:instrText xml:space="preserve"> PAGE </w:instrText>
    </w:r>
    <w:r w:rsidRPr="00C46C6E">
      <w:rPr>
        <w:rStyle w:val="PageNumber"/>
        <w:sz w:val="18"/>
        <w:szCs w:val="20"/>
      </w:rPr>
      <w:fldChar w:fldCharType="separate"/>
    </w:r>
    <w:r w:rsidR="003D227D">
      <w:rPr>
        <w:rStyle w:val="PageNumber"/>
        <w:noProof/>
        <w:sz w:val="18"/>
        <w:szCs w:val="20"/>
      </w:rPr>
      <w:t>94</w:t>
    </w:r>
    <w:r w:rsidRPr="00C46C6E">
      <w:rPr>
        <w:rStyle w:val="PageNumber"/>
        <w:sz w:val="18"/>
        <w:szCs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89256" w14:textId="51AE4A1D" w:rsidR="009311F4" w:rsidRPr="00C46C6E" w:rsidRDefault="009311F4" w:rsidP="00CD064A">
    <w:pPr>
      <w:pStyle w:val="Footer"/>
      <w:ind w:left="-28" w:right="-1021"/>
      <w:jc w:val="center"/>
      <w:rPr>
        <w:sz w:val="18"/>
        <w:szCs w:val="18"/>
      </w:rPr>
    </w:pPr>
    <w:r w:rsidRPr="00C46C6E">
      <w:rPr>
        <w:sz w:val="18"/>
        <w:szCs w:val="18"/>
      </w:rPr>
      <w:fldChar w:fldCharType="begin"/>
    </w:r>
    <w:r w:rsidRPr="00C46C6E">
      <w:rPr>
        <w:sz w:val="18"/>
        <w:szCs w:val="18"/>
      </w:rPr>
      <w:instrText xml:space="preserve"> PAGE   \* MERGEFORMAT </w:instrText>
    </w:r>
    <w:r w:rsidRPr="00C46C6E">
      <w:rPr>
        <w:sz w:val="18"/>
        <w:szCs w:val="18"/>
      </w:rPr>
      <w:fldChar w:fldCharType="separate"/>
    </w:r>
    <w:r w:rsidR="003D227D">
      <w:rPr>
        <w:noProof/>
        <w:sz w:val="18"/>
        <w:szCs w:val="18"/>
      </w:rPr>
      <w:t>78</w:t>
    </w:r>
    <w:r w:rsidRPr="00C46C6E">
      <w:rPr>
        <w:noProof/>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C8411" w14:textId="25DE6C73" w:rsidR="009311F4" w:rsidRPr="00856398" w:rsidRDefault="009311F4" w:rsidP="00404F65">
    <w:pPr>
      <w:pStyle w:val="Footer"/>
      <w:tabs>
        <w:tab w:val="clear" w:pos="4320"/>
        <w:tab w:val="clear" w:pos="8640"/>
      </w:tabs>
      <w:ind w:left="-142"/>
      <w:jc w:val="center"/>
      <w:rPr>
        <w:sz w:val="18"/>
        <w:szCs w:val="20"/>
        <w:lang w:val="id-ID"/>
      </w:rPr>
    </w:pPr>
    <w:r w:rsidRPr="00856398">
      <w:rPr>
        <w:rStyle w:val="PageNumber"/>
        <w:sz w:val="18"/>
        <w:szCs w:val="20"/>
      </w:rPr>
      <w:fldChar w:fldCharType="begin"/>
    </w:r>
    <w:r w:rsidRPr="00856398">
      <w:rPr>
        <w:rStyle w:val="PageNumber"/>
        <w:sz w:val="18"/>
        <w:szCs w:val="20"/>
      </w:rPr>
      <w:instrText xml:space="preserve"> PAGE </w:instrText>
    </w:r>
    <w:r w:rsidRPr="00856398">
      <w:rPr>
        <w:rStyle w:val="PageNumber"/>
        <w:sz w:val="18"/>
        <w:szCs w:val="20"/>
      </w:rPr>
      <w:fldChar w:fldCharType="separate"/>
    </w:r>
    <w:r w:rsidR="003D227D">
      <w:rPr>
        <w:rStyle w:val="PageNumber"/>
        <w:noProof/>
        <w:sz w:val="18"/>
        <w:szCs w:val="20"/>
      </w:rPr>
      <w:t>105</w:t>
    </w:r>
    <w:r w:rsidRPr="00856398">
      <w:rPr>
        <w:rStyle w:val="PageNumber"/>
        <w:sz w:val="18"/>
        <w:szCs w:val="2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19091" w14:textId="7BDC1A2C" w:rsidR="009311F4" w:rsidRPr="007A43EE" w:rsidRDefault="009311F4" w:rsidP="00084D22">
    <w:pPr>
      <w:pStyle w:val="Footer"/>
      <w:jc w:val="center"/>
      <w:rPr>
        <w:sz w:val="18"/>
        <w:szCs w:val="20"/>
        <w:lang w:val="id-ID"/>
      </w:rPr>
    </w:pPr>
    <w:r w:rsidRPr="007A43EE">
      <w:rPr>
        <w:sz w:val="18"/>
        <w:szCs w:val="20"/>
      </w:rPr>
      <w:fldChar w:fldCharType="begin"/>
    </w:r>
    <w:r w:rsidRPr="007A43EE">
      <w:rPr>
        <w:sz w:val="18"/>
        <w:szCs w:val="20"/>
      </w:rPr>
      <w:instrText xml:space="preserve"> PAGE   \* MERGEFORMAT </w:instrText>
    </w:r>
    <w:r w:rsidRPr="007A43EE">
      <w:rPr>
        <w:sz w:val="18"/>
        <w:szCs w:val="20"/>
      </w:rPr>
      <w:fldChar w:fldCharType="separate"/>
    </w:r>
    <w:r w:rsidR="003D227D">
      <w:rPr>
        <w:noProof/>
        <w:sz w:val="18"/>
        <w:szCs w:val="20"/>
      </w:rPr>
      <w:t>95</w:t>
    </w:r>
    <w:r w:rsidRPr="007A43EE">
      <w:rPr>
        <w:noProof/>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129B" w14:textId="7399FC43" w:rsidR="009311F4" w:rsidRPr="00113406" w:rsidRDefault="009311F4">
    <w:pPr>
      <w:pStyle w:val="Footer"/>
      <w:jc w:val="center"/>
      <w:rPr>
        <w:sz w:val="18"/>
        <w:szCs w:val="18"/>
      </w:rPr>
    </w:pPr>
    <w:r w:rsidRPr="00113406">
      <w:rPr>
        <w:sz w:val="18"/>
        <w:szCs w:val="18"/>
      </w:rPr>
      <w:fldChar w:fldCharType="begin"/>
    </w:r>
    <w:r w:rsidRPr="00113406">
      <w:rPr>
        <w:sz w:val="18"/>
        <w:szCs w:val="18"/>
      </w:rPr>
      <w:instrText xml:space="preserve"> PAGE   \* MERGEFORMAT </w:instrText>
    </w:r>
    <w:r w:rsidRPr="00113406">
      <w:rPr>
        <w:sz w:val="18"/>
        <w:szCs w:val="18"/>
      </w:rPr>
      <w:fldChar w:fldCharType="separate"/>
    </w:r>
    <w:r w:rsidR="003D227D">
      <w:rPr>
        <w:noProof/>
        <w:sz w:val="18"/>
        <w:szCs w:val="18"/>
      </w:rPr>
      <w:t>71</w:t>
    </w:r>
    <w:r w:rsidRPr="00113406">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6" w:type="pct"/>
      <w:tblInd w:w="108" w:type="dxa"/>
      <w:tblLook w:val="0000" w:firstRow="0" w:lastRow="0" w:firstColumn="0" w:lastColumn="0" w:noHBand="0" w:noVBand="0"/>
    </w:tblPr>
    <w:tblGrid>
      <w:gridCol w:w="4599"/>
      <w:gridCol w:w="4600"/>
    </w:tblGrid>
    <w:tr w:rsidR="009311F4" w:rsidRPr="007A43EE" w14:paraId="17FF8655" w14:textId="77777777" w:rsidTr="002017F3">
      <w:tc>
        <w:tcPr>
          <w:tcW w:w="2500" w:type="pct"/>
          <w:tcBorders>
            <w:top w:val="nil"/>
            <w:left w:val="nil"/>
            <w:bottom w:val="nil"/>
            <w:right w:val="nil"/>
          </w:tcBorders>
        </w:tcPr>
        <w:p w14:paraId="57E2A288" w14:textId="77777777" w:rsidR="009311F4" w:rsidRPr="007A43EE" w:rsidRDefault="009311F4" w:rsidP="002017F3">
          <w:pPr>
            <w:ind w:right="-57"/>
            <w:rPr>
              <w:sz w:val="16"/>
              <w:szCs w:val="16"/>
              <w:lang w:val="id-ID"/>
            </w:rPr>
          </w:pPr>
          <w:r w:rsidRPr="007A43EE">
            <w:rPr>
              <w:sz w:val="16"/>
              <w:szCs w:val="16"/>
            </w:rPr>
            <w:t>Catatan atas laporan keuangan konsolidasian terlampir merupakan bagian yang tidak terpisahkan dari laporan keuangan konsolidasian secara keseluruhan</w:t>
          </w:r>
        </w:p>
      </w:tc>
      <w:tc>
        <w:tcPr>
          <w:tcW w:w="2500" w:type="pct"/>
          <w:tcBorders>
            <w:top w:val="nil"/>
            <w:left w:val="nil"/>
            <w:bottom w:val="nil"/>
            <w:right w:val="nil"/>
          </w:tcBorders>
        </w:tcPr>
        <w:p w14:paraId="2C82262E" w14:textId="77777777" w:rsidR="009311F4" w:rsidRPr="007A43EE" w:rsidRDefault="009311F4" w:rsidP="00040706">
          <w:pPr>
            <w:jc w:val="right"/>
            <w:rPr>
              <w:i/>
              <w:iCs/>
              <w:color w:val="232121"/>
              <w:sz w:val="16"/>
              <w:szCs w:val="16"/>
              <w:lang w:val="id-ID"/>
            </w:rPr>
          </w:pPr>
          <w:r w:rsidRPr="007A43EE">
            <w:rPr>
              <w:i/>
              <w:iCs/>
              <w:sz w:val="16"/>
              <w:szCs w:val="16"/>
            </w:rPr>
            <w:t>The accompanying notes to the consolidated financial statements are an integral part of these consolidated financial statements taken as a whole</w:t>
          </w:r>
        </w:p>
      </w:tc>
    </w:tr>
  </w:tbl>
  <w:p w14:paraId="40D139A1" w14:textId="77777777" w:rsidR="009311F4" w:rsidRPr="007A43EE" w:rsidRDefault="009311F4">
    <w:pPr>
      <w:pStyle w:val="Footer"/>
      <w:jc w:val="center"/>
      <w:rPr>
        <w:sz w:val="18"/>
        <w:szCs w:val="18"/>
        <w:lang w:val="id-ID"/>
      </w:rPr>
    </w:pPr>
  </w:p>
  <w:p w14:paraId="359CABA8" w14:textId="0CDA26B5" w:rsidR="009311F4" w:rsidRPr="007A43EE" w:rsidRDefault="009311F4">
    <w:pPr>
      <w:pStyle w:val="Footer"/>
      <w:jc w:val="center"/>
      <w:rPr>
        <w:sz w:val="18"/>
        <w:szCs w:val="18"/>
      </w:rPr>
    </w:pPr>
    <w:r w:rsidRPr="007A43EE">
      <w:rPr>
        <w:sz w:val="18"/>
        <w:szCs w:val="18"/>
      </w:rPr>
      <w:fldChar w:fldCharType="begin"/>
    </w:r>
    <w:r w:rsidRPr="007A43EE">
      <w:rPr>
        <w:sz w:val="18"/>
        <w:szCs w:val="18"/>
      </w:rPr>
      <w:instrText xml:space="preserve"> PAGE   \* MERGEFORMAT </w:instrText>
    </w:r>
    <w:r w:rsidRPr="007A43EE">
      <w:rPr>
        <w:sz w:val="18"/>
        <w:szCs w:val="18"/>
      </w:rPr>
      <w:fldChar w:fldCharType="separate"/>
    </w:r>
    <w:r w:rsidR="003D227D">
      <w:rPr>
        <w:noProof/>
        <w:sz w:val="18"/>
        <w:szCs w:val="18"/>
      </w:rPr>
      <w:t>1</w:t>
    </w:r>
    <w:r w:rsidRPr="007A43EE">
      <w:rPr>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6" w:type="pct"/>
      <w:tblInd w:w="108" w:type="dxa"/>
      <w:tblLook w:val="0000" w:firstRow="0" w:lastRow="0" w:firstColumn="0" w:lastColumn="0" w:noHBand="0" w:noVBand="0"/>
    </w:tblPr>
    <w:tblGrid>
      <w:gridCol w:w="4599"/>
      <w:gridCol w:w="4600"/>
    </w:tblGrid>
    <w:tr w:rsidR="009311F4" w:rsidRPr="00856398" w14:paraId="10BF3CFA" w14:textId="77777777" w:rsidTr="002055D8">
      <w:tc>
        <w:tcPr>
          <w:tcW w:w="2500" w:type="pct"/>
          <w:tcBorders>
            <w:top w:val="nil"/>
            <w:left w:val="nil"/>
            <w:bottom w:val="nil"/>
            <w:right w:val="nil"/>
          </w:tcBorders>
        </w:tcPr>
        <w:p w14:paraId="2AA32441" w14:textId="77777777" w:rsidR="009311F4" w:rsidRPr="00856398" w:rsidRDefault="009311F4" w:rsidP="00B85C50">
          <w:pPr>
            <w:ind w:right="-57"/>
            <w:rPr>
              <w:sz w:val="16"/>
              <w:szCs w:val="16"/>
              <w:lang w:val="id-ID"/>
            </w:rPr>
          </w:pPr>
          <w:r w:rsidRPr="00856398">
            <w:rPr>
              <w:sz w:val="16"/>
              <w:szCs w:val="16"/>
            </w:rPr>
            <w:t>Catatan atas laporan keuangan konsolidasian terlampir merupakan bagian yang tidak terpisahkan dari laporan keuangan konsolidasian secara keseluruhan</w:t>
          </w:r>
        </w:p>
      </w:tc>
      <w:tc>
        <w:tcPr>
          <w:tcW w:w="2500" w:type="pct"/>
          <w:tcBorders>
            <w:top w:val="nil"/>
            <w:left w:val="nil"/>
            <w:bottom w:val="nil"/>
            <w:right w:val="nil"/>
          </w:tcBorders>
        </w:tcPr>
        <w:p w14:paraId="4FB29306" w14:textId="77777777" w:rsidR="009311F4" w:rsidRPr="00856398" w:rsidRDefault="009311F4" w:rsidP="00B85C50">
          <w:pPr>
            <w:jc w:val="right"/>
            <w:rPr>
              <w:i/>
              <w:iCs/>
              <w:color w:val="232121"/>
              <w:sz w:val="16"/>
              <w:szCs w:val="16"/>
              <w:lang w:val="id-ID"/>
            </w:rPr>
          </w:pPr>
          <w:r w:rsidRPr="00856398">
            <w:rPr>
              <w:i/>
              <w:iCs/>
              <w:sz w:val="16"/>
              <w:szCs w:val="16"/>
            </w:rPr>
            <w:t>The accompanying notes to the consolidated financial statements are an integral part of these consolidated financial statements taken as a whole</w:t>
          </w:r>
        </w:p>
      </w:tc>
    </w:tr>
  </w:tbl>
  <w:p w14:paraId="1392F699" w14:textId="77777777" w:rsidR="009311F4" w:rsidRPr="00856398" w:rsidRDefault="009311F4">
    <w:pPr>
      <w:pStyle w:val="Footer"/>
      <w:jc w:val="center"/>
      <w:rPr>
        <w:sz w:val="18"/>
      </w:rPr>
    </w:pPr>
  </w:p>
  <w:p w14:paraId="080B12C5" w14:textId="389AD791" w:rsidR="009311F4" w:rsidRPr="00856398" w:rsidRDefault="009311F4" w:rsidP="008F7AD1">
    <w:pPr>
      <w:pStyle w:val="Footer"/>
      <w:jc w:val="center"/>
      <w:rPr>
        <w:sz w:val="18"/>
        <w:lang w:val="id-ID"/>
      </w:rPr>
    </w:pPr>
    <w:r w:rsidRPr="00856398">
      <w:rPr>
        <w:sz w:val="18"/>
      </w:rPr>
      <w:fldChar w:fldCharType="begin"/>
    </w:r>
    <w:r w:rsidRPr="00856398">
      <w:rPr>
        <w:sz w:val="18"/>
      </w:rPr>
      <w:instrText xml:space="preserve"> PAGE   \* MERGEFORMAT </w:instrText>
    </w:r>
    <w:r w:rsidRPr="00856398">
      <w:rPr>
        <w:sz w:val="18"/>
      </w:rPr>
      <w:fldChar w:fldCharType="separate"/>
    </w:r>
    <w:r w:rsidR="003D227D">
      <w:rPr>
        <w:noProof/>
        <w:sz w:val="18"/>
      </w:rPr>
      <w:t>2</w:t>
    </w:r>
    <w:r w:rsidRPr="00856398">
      <w:rPr>
        <w:noProof/>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6" w:type="pct"/>
      <w:tblInd w:w="108" w:type="dxa"/>
      <w:tblLook w:val="0000" w:firstRow="0" w:lastRow="0" w:firstColumn="0" w:lastColumn="0" w:noHBand="0" w:noVBand="0"/>
    </w:tblPr>
    <w:tblGrid>
      <w:gridCol w:w="4599"/>
      <w:gridCol w:w="4600"/>
    </w:tblGrid>
    <w:tr w:rsidR="009311F4" w:rsidRPr="00856398" w14:paraId="29F29380" w14:textId="77777777" w:rsidTr="002055D8">
      <w:tc>
        <w:tcPr>
          <w:tcW w:w="2500" w:type="pct"/>
          <w:tcBorders>
            <w:top w:val="nil"/>
            <w:left w:val="nil"/>
            <w:bottom w:val="nil"/>
            <w:right w:val="nil"/>
          </w:tcBorders>
        </w:tcPr>
        <w:p w14:paraId="7B8D016D" w14:textId="77777777" w:rsidR="009311F4" w:rsidRPr="00856398" w:rsidRDefault="009311F4" w:rsidP="00B85C50">
          <w:pPr>
            <w:ind w:right="-57"/>
            <w:rPr>
              <w:sz w:val="16"/>
              <w:szCs w:val="16"/>
              <w:lang w:val="id-ID"/>
            </w:rPr>
          </w:pPr>
          <w:r w:rsidRPr="00856398">
            <w:rPr>
              <w:sz w:val="16"/>
              <w:szCs w:val="16"/>
            </w:rPr>
            <w:t>Catatan atas laporan keuangan konsolidasian terlampir merupakan bagian yang tidak terpisahkan dari laporan keuangan konsolidasian secara keseluruhan</w:t>
          </w:r>
        </w:p>
      </w:tc>
      <w:tc>
        <w:tcPr>
          <w:tcW w:w="2500" w:type="pct"/>
          <w:tcBorders>
            <w:top w:val="nil"/>
            <w:left w:val="nil"/>
            <w:bottom w:val="nil"/>
            <w:right w:val="nil"/>
          </w:tcBorders>
        </w:tcPr>
        <w:p w14:paraId="6B7CB32C" w14:textId="77777777" w:rsidR="009311F4" w:rsidRPr="00856398" w:rsidRDefault="009311F4" w:rsidP="00B85C50">
          <w:pPr>
            <w:jc w:val="right"/>
            <w:rPr>
              <w:i/>
              <w:iCs/>
              <w:color w:val="232121"/>
              <w:sz w:val="16"/>
              <w:szCs w:val="16"/>
              <w:lang w:val="id-ID"/>
            </w:rPr>
          </w:pPr>
          <w:r w:rsidRPr="00856398">
            <w:rPr>
              <w:i/>
              <w:iCs/>
              <w:sz w:val="16"/>
              <w:szCs w:val="16"/>
            </w:rPr>
            <w:t>The accompanying notes to the consolidated financial statements are an integral part of these consolidated financial statements taken as a whole</w:t>
          </w:r>
        </w:p>
      </w:tc>
    </w:tr>
  </w:tbl>
  <w:p w14:paraId="5A115A5C" w14:textId="77777777" w:rsidR="009311F4" w:rsidRPr="00856398" w:rsidRDefault="009311F4">
    <w:pPr>
      <w:pStyle w:val="Footer"/>
      <w:jc w:val="center"/>
      <w:rPr>
        <w:sz w:val="18"/>
      </w:rPr>
    </w:pPr>
  </w:p>
  <w:p w14:paraId="66C4527D" w14:textId="63FCD2A3" w:rsidR="009311F4" w:rsidRPr="00856398" w:rsidRDefault="009311F4" w:rsidP="008F7AD1">
    <w:pPr>
      <w:pStyle w:val="Footer"/>
      <w:jc w:val="center"/>
      <w:rPr>
        <w:sz w:val="18"/>
        <w:lang w:val="id-ID"/>
      </w:rPr>
    </w:pPr>
    <w:r w:rsidRPr="00856398">
      <w:rPr>
        <w:sz w:val="18"/>
      </w:rPr>
      <w:fldChar w:fldCharType="begin"/>
    </w:r>
    <w:r w:rsidRPr="00856398">
      <w:rPr>
        <w:sz w:val="18"/>
      </w:rPr>
      <w:instrText xml:space="preserve"> PAGE   \* MERGEFORMAT </w:instrText>
    </w:r>
    <w:r w:rsidRPr="00856398">
      <w:rPr>
        <w:sz w:val="18"/>
      </w:rPr>
      <w:fldChar w:fldCharType="separate"/>
    </w:r>
    <w:r w:rsidR="003D227D">
      <w:rPr>
        <w:noProof/>
        <w:sz w:val="18"/>
      </w:rPr>
      <w:t>3</w:t>
    </w:r>
    <w:r w:rsidRPr="00856398">
      <w:rPr>
        <w:noProof/>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6" w:type="pct"/>
      <w:tblInd w:w="108" w:type="dxa"/>
      <w:tblLook w:val="0000" w:firstRow="0" w:lastRow="0" w:firstColumn="0" w:lastColumn="0" w:noHBand="0" w:noVBand="0"/>
    </w:tblPr>
    <w:tblGrid>
      <w:gridCol w:w="4599"/>
      <w:gridCol w:w="4600"/>
    </w:tblGrid>
    <w:tr w:rsidR="009311F4" w:rsidRPr="00856398" w14:paraId="1D242E6C" w14:textId="77777777" w:rsidTr="00552E91">
      <w:tc>
        <w:tcPr>
          <w:tcW w:w="2500" w:type="pct"/>
          <w:tcBorders>
            <w:top w:val="nil"/>
            <w:left w:val="nil"/>
            <w:bottom w:val="nil"/>
            <w:right w:val="nil"/>
          </w:tcBorders>
        </w:tcPr>
        <w:p w14:paraId="02ACA3B8" w14:textId="77777777" w:rsidR="009311F4" w:rsidRPr="00856398" w:rsidRDefault="009311F4" w:rsidP="00552E91">
          <w:pPr>
            <w:ind w:right="-57"/>
            <w:rPr>
              <w:sz w:val="16"/>
              <w:szCs w:val="16"/>
              <w:lang w:val="id-ID"/>
            </w:rPr>
          </w:pPr>
          <w:r w:rsidRPr="00856398">
            <w:rPr>
              <w:sz w:val="16"/>
              <w:szCs w:val="16"/>
            </w:rPr>
            <w:t>Catatan atas laporan keuangan konsolidasian terlampir merupakan bagian yang tidak terpisahkan dari laporan keuangan konsolidasian secara keseluruhan</w:t>
          </w:r>
        </w:p>
      </w:tc>
      <w:tc>
        <w:tcPr>
          <w:tcW w:w="2500" w:type="pct"/>
          <w:tcBorders>
            <w:top w:val="nil"/>
            <w:left w:val="nil"/>
            <w:bottom w:val="nil"/>
            <w:right w:val="nil"/>
          </w:tcBorders>
        </w:tcPr>
        <w:p w14:paraId="3411778D" w14:textId="77777777" w:rsidR="009311F4" w:rsidRPr="00856398" w:rsidRDefault="009311F4" w:rsidP="00552E91">
          <w:pPr>
            <w:jc w:val="right"/>
            <w:rPr>
              <w:i/>
              <w:iCs/>
              <w:color w:val="232121"/>
              <w:sz w:val="16"/>
              <w:szCs w:val="16"/>
              <w:lang w:val="id-ID"/>
            </w:rPr>
          </w:pPr>
          <w:r w:rsidRPr="00856398">
            <w:rPr>
              <w:i/>
              <w:iCs/>
              <w:sz w:val="16"/>
              <w:szCs w:val="16"/>
            </w:rPr>
            <w:t>The accompanying notes to the consolidated financial statements are an integral part of these consolidated financial statements taken as a whole</w:t>
          </w:r>
        </w:p>
      </w:tc>
    </w:tr>
  </w:tbl>
  <w:p w14:paraId="1015B9AF" w14:textId="77777777" w:rsidR="009311F4" w:rsidRPr="00856398" w:rsidRDefault="009311F4">
    <w:pPr>
      <w:pStyle w:val="Footer"/>
      <w:jc w:val="center"/>
      <w:rPr>
        <w:sz w:val="18"/>
        <w:szCs w:val="18"/>
        <w:lang w:val="id-ID"/>
      </w:rPr>
    </w:pPr>
  </w:p>
  <w:p w14:paraId="2C8116E3" w14:textId="055D0E6D" w:rsidR="009311F4" w:rsidRPr="00856398" w:rsidRDefault="009311F4" w:rsidP="00DC667F">
    <w:pPr>
      <w:pStyle w:val="Footer"/>
      <w:jc w:val="center"/>
      <w:rPr>
        <w:sz w:val="18"/>
        <w:szCs w:val="18"/>
        <w:lang w:val="id-ID"/>
      </w:rPr>
    </w:pPr>
    <w:r>
      <w:rPr>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6" w:type="pct"/>
      <w:tblInd w:w="108" w:type="dxa"/>
      <w:tblLook w:val="0000" w:firstRow="0" w:lastRow="0" w:firstColumn="0" w:lastColumn="0" w:noHBand="0" w:noVBand="0"/>
    </w:tblPr>
    <w:tblGrid>
      <w:gridCol w:w="4599"/>
      <w:gridCol w:w="4600"/>
    </w:tblGrid>
    <w:tr w:rsidR="009311F4" w:rsidRPr="00856398" w14:paraId="7B0AD426" w14:textId="77777777" w:rsidTr="00552E91">
      <w:tc>
        <w:tcPr>
          <w:tcW w:w="2500" w:type="pct"/>
          <w:tcBorders>
            <w:top w:val="nil"/>
            <w:left w:val="nil"/>
            <w:bottom w:val="nil"/>
            <w:right w:val="nil"/>
          </w:tcBorders>
        </w:tcPr>
        <w:p w14:paraId="27A11CD1" w14:textId="77777777" w:rsidR="009311F4" w:rsidRPr="00856398" w:rsidRDefault="009311F4" w:rsidP="00552E91">
          <w:pPr>
            <w:ind w:right="-57"/>
            <w:rPr>
              <w:sz w:val="16"/>
              <w:szCs w:val="16"/>
              <w:lang w:val="id-ID"/>
            </w:rPr>
          </w:pPr>
          <w:r w:rsidRPr="00856398">
            <w:rPr>
              <w:sz w:val="16"/>
              <w:szCs w:val="16"/>
            </w:rPr>
            <w:t>Catatan atas laporan keuangan konsolidasian terlampir merupakan bagian yang tidak terpisahkan dari laporan keuangan konsolidasian secara keseluruhan</w:t>
          </w:r>
        </w:p>
      </w:tc>
      <w:tc>
        <w:tcPr>
          <w:tcW w:w="2500" w:type="pct"/>
          <w:tcBorders>
            <w:top w:val="nil"/>
            <w:left w:val="nil"/>
            <w:bottom w:val="nil"/>
            <w:right w:val="nil"/>
          </w:tcBorders>
        </w:tcPr>
        <w:p w14:paraId="6ADB52F8" w14:textId="77777777" w:rsidR="009311F4" w:rsidRPr="00856398" w:rsidRDefault="009311F4" w:rsidP="00552E91">
          <w:pPr>
            <w:jc w:val="right"/>
            <w:rPr>
              <w:i/>
              <w:iCs/>
              <w:color w:val="232121"/>
              <w:sz w:val="16"/>
              <w:szCs w:val="16"/>
              <w:lang w:val="id-ID"/>
            </w:rPr>
          </w:pPr>
          <w:r w:rsidRPr="00856398">
            <w:rPr>
              <w:i/>
              <w:iCs/>
              <w:sz w:val="16"/>
              <w:szCs w:val="16"/>
            </w:rPr>
            <w:t>The accompanying notes to the consolidated financial statements are an integral part of these consolidated financial statements taken as a whole</w:t>
          </w:r>
        </w:p>
      </w:tc>
    </w:tr>
  </w:tbl>
  <w:p w14:paraId="6979B0E9" w14:textId="77777777" w:rsidR="009311F4" w:rsidRPr="00856398" w:rsidRDefault="009311F4">
    <w:pPr>
      <w:pStyle w:val="Footer"/>
      <w:jc w:val="center"/>
      <w:rPr>
        <w:sz w:val="18"/>
        <w:szCs w:val="18"/>
        <w:lang w:val="id-ID"/>
      </w:rPr>
    </w:pPr>
  </w:p>
  <w:p w14:paraId="7C84C544" w14:textId="256675E5" w:rsidR="009311F4" w:rsidRPr="00856398" w:rsidRDefault="009311F4" w:rsidP="00DC667F">
    <w:pPr>
      <w:pStyle w:val="Footer"/>
      <w:jc w:val="center"/>
      <w:rPr>
        <w:sz w:val="18"/>
        <w:szCs w:val="18"/>
        <w:lang w:val="id-ID"/>
      </w:rPr>
    </w:pPr>
    <w:r>
      <w:rPr>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90" w:type="pct"/>
      <w:tblInd w:w="108" w:type="dxa"/>
      <w:tblLook w:val="0000" w:firstRow="0" w:lastRow="0" w:firstColumn="0" w:lastColumn="0" w:noHBand="0" w:noVBand="0"/>
    </w:tblPr>
    <w:tblGrid>
      <w:gridCol w:w="7268"/>
      <w:gridCol w:w="7269"/>
    </w:tblGrid>
    <w:tr w:rsidR="009311F4" w:rsidRPr="00856398" w14:paraId="5B595629" w14:textId="77777777" w:rsidTr="00B111A6">
      <w:tc>
        <w:tcPr>
          <w:tcW w:w="2500" w:type="pct"/>
          <w:tcBorders>
            <w:top w:val="nil"/>
            <w:left w:val="nil"/>
            <w:bottom w:val="nil"/>
            <w:right w:val="nil"/>
          </w:tcBorders>
        </w:tcPr>
        <w:p w14:paraId="6249F36D" w14:textId="77777777" w:rsidR="009311F4" w:rsidRPr="00856398" w:rsidRDefault="009311F4" w:rsidP="00B85C50">
          <w:pPr>
            <w:ind w:right="-57"/>
            <w:rPr>
              <w:sz w:val="16"/>
              <w:szCs w:val="16"/>
              <w:lang w:val="id-ID"/>
            </w:rPr>
          </w:pPr>
          <w:r w:rsidRPr="00856398">
            <w:rPr>
              <w:sz w:val="16"/>
              <w:szCs w:val="16"/>
            </w:rPr>
            <w:t>Catatan atas laporan keuangan konsolidasian terlampir merupakan bagian yang tidak terpisahkan dari laporan keuangan konsolidasian secara keseluruhan</w:t>
          </w:r>
        </w:p>
      </w:tc>
      <w:tc>
        <w:tcPr>
          <w:tcW w:w="2500" w:type="pct"/>
          <w:tcBorders>
            <w:top w:val="nil"/>
            <w:left w:val="nil"/>
            <w:bottom w:val="nil"/>
            <w:right w:val="nil"/>
          </w:tcBorders>
        </w:tcPr>
        <w:p w14:paraId="4A0C77B6" w14:textId="77777777" w:rsidR="009311F4" w:rsidRPr="00856398" w:rsidRDefault="009311F4" w:rsidP="00B85C50">
          <w:pPr>
            <w:jc w:val="right"/>
            <w:rPr>
              <w:i/>
              <w:iCs/>
              <w:color w:val="232121"/>
              <w:sz w:val="16"/>
              <w:szCs w:val="16"/>
              <w:lang w:val="id-ID"/>
            </w:rPr>
          </w:pPr>
          <w:r w:rsidRPr="00856398">
            <w:rPr>
              <w:i/>
              <w:iCs/>
              <w:sz w:val="16"/>
              <w:szCs w:val="16"/>
            </w:rPr>
            <w:t>The accompanying notes to the consolidated financial statements are an integral part of these consolidated financial statements taken as a whole</w:t>
          </w:r>
        </w:p>
      </w:tc>
    </w:tr>
  </w:tbl>
  <w:p w14:paraId="0D4B42F5" w14:textId="77777777" w:rsidR="009311F4" w:rsidRPr="00856398" w:rsidRDefault="009311F4">
    <w:pPr>
      <w:pStyle w:val="Footer"/>
      <w:jc w:val="center"/>
      <w:rPr>
        <w:sz w:val="18"/>
        <w:szCs w:val="18"/>
        <w:lang w:val="id-ID"/>
      </w:rPr>
    </w:pPr>
  </w:p>
  <w:p w14:paraId="1B545F3D" w14:textId="4422EFAE" w:rsidR="009311F4" w:rsidRPr="00856398" w:rsidRDefault="009311F4" w:rsidP="00DC667F">
    <w:pPr>
      <w:pStyle w:val="Footer"/>
      <w:ind w:right="-737"/>
      <w:jc w:val="center"/>
      <w:rPr>
        <w:sz w:val="18"/>
        <w:szCs w:val="18"/>
      </w:rPr>
    </w:pPr>
    <w:r w:rsidRPr="00856398">
      <w:rPr>
        <w:sz w:val="18"/>
        <w:szCs w:val="18"/>
      </w:rPr>
      <w:fldChar w:fldCharType="begin"/>
    </w:r>
    <w:r w:rsidRPr="00856398">
      <w:rPr>
        <w:sz w:val="18"/>
        <w:szCs w:val="18"/>
      </w:rPr>
      <w:instrText xml:space="preserve"> PAGE   \* MERGEFORMAT </w:instrText>
    </w:r>
    <w:r w:rsidRPr="00856398">
      <w:rPr>
        <w:sz w:val="18"/>
        <w:szCs w:val="18"/>
      </w:rPr>
      <w:fldChar w:fldCharType="separate"/>
    </w:r>
    <w:r w:rsidR="003D227D">
      <w:rPr>
        <w:noProof/>
        <w:sz w:val="18"/>
        <w:szCs w:val="18"/>
      </w:rPr>
      <w:t>6</w:t>
    </w:r>
    <w:r w:rsidRPr="00856398">
      <w:rPr>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0" w:type="pct"/>
      <w:tblInd w:w="-34" w:type="dxa"/>
      <w:tblLook w:val="0000" w:firstRow="0" w:lastRow="0" w:firstColumn="0" w:lastColumn="0" w:noHBand="0" w:noVBand="0"/>
    </w:tblPr>
    <w:tblGrid>
      <w:gridCol w:w="4598"/>
      <w:gridCol w:w="4598"/>
    </w:tblGrid>
    <w:tr w:rsidR="009311F4" w:rsidRPr="00856398" w14:paraId="507C8F4A" w14:textId="77777777" w:rsidTr="00B619D3">
      <w:tc>
        <w:tcPr>
          <w:tcW w:w="2500" w:type="pct"/>
          <w:tcBorders>
            <w:top w:val="nil"/>
            <w:left w:val="nil"/>
            <w:bottom w:val="nil"/>
            <w:right w:val="nil"/>
          </w:tcBorders>
        </w:tcPr>
        <w:p w14:paraId="081F23C9" w14:textId="77777777" w:rsidR="009311F4" w:rsidRPr="00856398" w:rsidRDefault="009311F4" w:rsidP="00B85C50">
          <w:pPr>
            <w:ind w:right="-57"/>
            <w:rPr>
              <w:sz w:val="16"/>
              <w:szCs w:val="16"/>
            </w:rPr>
          </w:pPr>
          <w:r w:rsidRPr="00856398">
            <w:rPr>
              <w:sz w:val="16"/>
              <w:szCs w:val="16"/>
            </w:rPr>
            <w:t>Catatan atas laporan keuangan konsolidasian terlampir merupakan bagian yang tidak terpisahkan dari laporan keuangan konsolidasian secara keseluruhan.</w:t>
          </w:r>
        </w:p>
      </w:tc>
      <w:tc>
        <w:tcPr>
          <w:tcW w:w="2500" w:type="pct"/>
          <w:tcBorders>
            <w:top w:val="nil"/>
            <w:left w:val="nil"/>
            <w:bottom w:val="nil"/>
            <w:right w:val="nil"/>
          </w:tcBorders>
        </w:tcPr>
        <w:p w14:paraId="2DAC927D" w14:textId="77777777" w:rsidR="009311F4" w:rsidRPr="00856398" w:rsidRDefault="009311F4" w:rsidP="00B85C50">
          <w:pPr>
            <w:jc w:val="right"/>
            <w:rPr>
              <w:i/>
              <w:color w:val="232121"/>
              <w:sz w:val="16"/>
              <w:szCs w:val="16"/>
              <w:lang w:val="id-ID"/>
            </w:rPr>
          </w:pPr>
          <w:r w:rsidRPr="00856398">
            <w:rPr>
              <w:sz w:val="16"/>
              <w:szCs w:val="16"/>
            </w:rPr>
            <w:t>The accompanying notes to the consolidated financial statements are an integral part of these consolidated financial statements taken as a whole</w:t>
          </w:r>
        </w:p>
      </w:tc>
    </w:tr>
  </w:tbl>
  <w:p w14:paraId="5591E778" w14:textId="77777777" w:rsidR="009311F4" w:rsidRPr="00856398" w:rsidRDefault="009311F4" w:rsidP="00925CFF">
    <w:pPr>
      <w:pStyle w:val="Footer"/>
      <w:tabs>
        <w:tab w:val="clear" w:pos="4320"/>
        <w:tab w:val="clear" w:pos="8640"/>
      </w:tabs>
      <w:ind w:left="-142"/>
      <w:jc w:val="center"/>
      <w:rPr>
        <w:rStyle w:val="PageNumber"/>
        <w:sz w:val="18"/>
        <w:szCs w:val="20"/>
      </w:rPr>
    </w:pPr>
  </w:p>
  <w:p w14:paraId="5969BB69" w14:textId="75A7BD12" w:rsidR="009311F4" w:rsidRPr="00856398" w:rsidRDefault="009311F4" w:rsidP="00925CFF">
    <w:pPr>
      <w:pStyle w:val="Footer"/>
      <w:tabs>
        <w:tab w:val="clear" w:pos="4320"/>
        <w:tab w:val="clear" w:pos="8640"/>
      </w:tabs>
      <w:ind w:left="-142"/>
      <w:jc w:val="center"/>
      <w:rPr>
        <w:sz w:val="18"/>
        <w:szCs w:val="20"/>
      </w:rPr>
    </w:pPr>
    <w:r w:rsidRPr="00856398">
      <w:rPr>
        <w:rStyle w:val="PageNumber"/>
        <w:sz w:val="18"/>
        <w:szCs w:val="20"/>
      </w:rPr>
      <w:fldChar w:fldCharType="begin"/>
    </w:r>
    <w:r w:rsidRPr="00856398">
      <w:rPr>
        <w:rStyle w:val="PageNumber"/>
        <w:sz w:val="18"/>
        <w:szCs w:val="20"/>
      </w:rPr>
      <w:instrText xml:space="preserve"> PAGE </w:instrText>
    </w:r>
    <w:r w:rsidRPr="00856398">
      <w:rPr>
        <w:rStyle w:val="PageNumber"/>
        <w:sz w:val="18"/>
        <w:szCs w:val="20"/>
      </w:rPr>
      <w:fldChar w:fldCharType="separate"/>
    </w:r>
    <w:r w:rsidR="003D227D">
      <w:rPr>
        <w:rStyle w:val="PageNumber"/>
        <w:noProof/>
        <w:sz w:val="18"/>
        <w:szCs w:val="20"/>
      </w:rPr>
      <w:t>8</w:t>
    </w:r>
    <w:r w:rsidRPr="00856398">
      <w:rPr>
        <w:rStyle w:val="PageNumber"/>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3053" w14:textId="77777777" w:rsidR="00070D1F" w:rsidRDefault="00070D1F">
      <w:r>
        <w:separator/>
      </w:r>
    </w:p>
  </w:footnote>
  <w:footnote w:type="continuationSeparator" w:id="0">
    <w:p w14:paraId="1F423C1C" w14:textId="77777777" w:rsidR="00070D1F" w:rsidRDefault="0007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CA08" w14:textId="77777777" w:rsidR="009311F4" w:rsidRPr="00AA21B4" w:rsidRDefault="009311F4" w:rsidP="008A4EA0">
    <w:pPr>
      <w:pStyle w:val="Header"/>
      <w:tabs>
        <w:tab w:val="clear" w:pos="4320"/>
        <w:tab w:val="clear" w:pos="8640"/>
      </w:tabs>
      <w:rPr>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34060" w14:textId="77777777" w:rsidR="009311F4" w:rsidRDefault="009311F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6" w:type="pct"/>
      <w:tblInd w:w="108" w:type="dxa"/>
      <w:tblLook w:val="00A0" w:firstRow="1" w:lastRow="0" w:firstColumn="1" w:lastColumn="0" w:noHBand="0" w:noVBand="0"/>
    </w:tblPr>
    <w:tblGrid>
      <w:gridCol w:w="4599"/>
      <w:gridCol w:w="4600"/>
    </w:tblGrid>
    <w:tr w:rsidR="009311F4" w:rsidRPr="00856398" w14:paraId="4D65A39C" w14:textId="77777777" w:rsidTr="005C68DF">
      <w:tc>
        <w:tcPr>
          <w:tcW w:w="4599" w:type="dxa"/>
          <w:tcBorders>
            <w:bottom w:val="single" w:sz="4" w:space="0" w:color="auto"/>
          </w:tcBorders>
        </w:tcPr>
        <w:p w14:paraId="4CA865E4" w14:textId="77777777" w:rsidR="009311F4" w:rsidRPr="00856398" w:rsidRDefault="009311F4" w:rsidP="00381272">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7359C626" w14:textId="77777777" w:rsidR="009311F4" w:rsidRPr="00856398" w:rsidRDefault="009311F4" w:rsidP="00664FD0">
          <w:pPr>
            <w:rPr>
              <w:b/>
              <w:sz w:val="18"/>
              <w:szCs w:val="18"/>
            </w:rPr>
          </w:pPr>
          <w:r w:rsidRPr="00856398">
            <w:rPr>
              <w:b/>
              <w:sz w:val="18"/>
              <w:szCs w:val="18"/>
            </w:rPr>
            <w:t>DAN ENTITAS ANAK</w:t>
          </w:r>
        </w:p>
        <w:p w14:paraId="09F45090" w14:textId="75E75B1A" w:rsidR="009311F4" w:rsidRPr="006063E7" w:rsidRDefault="009311F4" w:rsidP="006063E7">
          <w:pPr>
            <w:pStyle w:val="Header"/>
            <w:tabs>
              <w:tab w:val="clear" w:pos="4320"/>
              <w:tab w:val="clear" w:pos="8640"/>
            </w:tabs>
            <w:ind w:right="-57"/>
            <w:rPr>
              <w:b/>
              <w:sz w:val="18"/>
              <w:szCs w:val="18"/>
            </w:rPr>
          </w:pPr>
          <w:r w:rsidRPr="00856398">
            <w:rPr>
              <w:b/>
              <w:sz w:val="18"/>
              <w:szCs w:val="18"/>
              <w:lang w:val="id-ID"/>
            </w:rPr>
            <w:t xml:space="preserve">LAPORAN </w:t>
          </w:r>
          <w:r>
            <w:rPr>
              <w:b/>
              <w:sz w:val="18"/>
              <w:szCs w:val="18"/>
            </w:rPr>
            <w:t>LABA RUGI DAN PENGHASILAN</w:t>
          </w:r>
          <w:r w:rsidRPr="00856398">
            <w:rPr>
              <w:b/>
              <w:sz w:val="18"/>
              <w:szCs w:val="18"/>
              <w:lang w:val="id-ID"/>
            </w:rPr>
            <w:br/>
          </w:r>
          <w:r>
            <w:rPr>
              <w:b/>
              <w:sz w:val="18"/>
              <w:szCs w:val="18"/>
            </w:rPr>
            <w:t>KOMPREHENSIF LAIN KONSOLIDASI -</w:t>
          </w:r>
          <w:r>
            <w:rPr>
              <w:b/>
              <w:sz w:val="18"/>
              <w:szCs w:val="18"/>
            </w:rPr>
            <w:br/>
            <w:t>Lanjutan</w:t>
          </w:r>
        </w:p>
        <w:p w14:paraId="5A8DCA7E" w14:textId="77777777" w:rsidR="009311F4" w:rsidRPr="00907095" w:rsidRDefault="009311F4" w:rsidP="00E3299B">
          <w:pPr>
            <w:pStyle w:val="Header"/>
            <w:tabs>
              <w:tab w:val="clear" w:pos="4320"/>
            </w:tabs>
            <w:ind w:right="-57"/>
            <w:rPr>
              <w:sz w:val="18"/>
              <w:szCs w:val="18"/>
            </w:rPr>
          </w:pPr>
          <w:r>
            <w:rPr>
              <w:sz w:val="18"/>
              <w:szCs w:val="18"/>
            </w:rPr>
            <w:t>Untuk Periode Tiga Bulan Yang Berakhir Pada Tanggal 31 Maret 2020 dan 2019 (Tidak Diaudit)</w:t>
          </w:r>
        </w:p>
        <w:p w14:paraId="42670C4A" w14:textId="0C9E1C0B" w:rsidR="009311F4" w:rsidRPr="00856398" w:rsidRDefault="009311F4" w:rsidP="00E3299B">
          <w:pPr>
            <w:pStyle w:val="Header"/>
            <w:tabs>
              <w:tab w:val="clear" w:pos="4320"/>
              <w:tab w:val="clear" w:pos="8640"/>
              <w:tab w:val="right" w:pos="4462"/>
            </w:tabs>
            <w:ind w:right="-57"/>
            <w:rPr>
              <w:b/>
              <w:sz w:val="18"/>
              <w:szCs w:val="18"/>
              <w:lang w:val="sv-SE"/>
            </w:rPr>
          </w:pPr>
          <w:r w:rsidRPr="00856398">
            <w:rPr>
              <w:sz w:val="18"/>
              <w:szCs w:val="18"/>
              <w:lang w:val="sv-SE"/>
            </w:rPr>
            <w:t xml:space="preserve"> (Disajikan dalam Rupiah, kecuali dinyatakan lain</w:t>
          </w:r>
          <w:r w:rsidRPr="00856398">
            <w:rPr>
              <w:sz w:val="18"/>
              <w:szCs w:val="18"/>
              <w:lang w:val="id-ID"/>
            </w:rPr>
            <w:t>)</w:t>
          </w:r>
          <w:r w:rsidRPr="00856398">
            <w:rPr>
              <w:b/>
              <w:sz w:val="18"/>
              <w:szCs w:val="18"/>
              <w:lang w:val="sv-SE"/>
            </w:rPr>
            <w:tab/>
          </w:r>
        </w:p>
      </w:tc>
      <w:tc>
        <w:tcPr>
          <w:tcW w:w="4600" w:type="dxa"/>
          <w:tcBorders>
            <w:bottom w:val="single" w:sz="4" w:space="0" w:color="auto"/>
          </w:tcBorders>
        </w:tcPr>
        <w:p w14:paraId="064F5544" w14:textId="77777777" w:rsidR="009311F4" w:rsidRPr="00856398" w:rsidRDefault="009311F4" w:rsidP="006063E7">
          <w:pPr>
            <w:ind w:left="-280" w:right="-53"/>
            <w:jc w:val="right"/>
            <w:rPr>
              <w:b/>
              <w:i/>
              <w:sz w:val="18"/>
              <w:szCs w:val="18"/>
              <w:lang w:val="id-ID"/>
            </w:rPr>
          </w:pPr>
          <w:r w:rsidRPr="00856398">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2C86D823" w14:textId="77777777" w:rsidR="009311F4" w:rsidRPr="00856398" w:rsidRDefault="009311F4" w:rsidP="006063E7">
          <w:pPr>
            <w:ind w:left="-280" w:right="-53"/>
            <w:jc w:val="right"/>
            <w:rPr>
              <w:b/>
              <w:i/>
              <w:sz w:val="18"/>
              <w:szCs w:val="18"/>
            </w:rPr>
          </w:pPr>
          <w:r w:rsidRPr="00856398">
            <w:rPr>
              <w:b/>
              <w:i/>
              <w:sz w:val="18"/>
              <w:szCs w:val="18"/>
            </w:rPr>
            <w:t>AND SUBSIDIARIES</w:t>
          </w:r>
        </w:p>
        <w:p w14:paraId="15605F9B" w14:textId="428A12AA" w:rsidR="009311F4" w:rsidRPr="006063E7" w:rsidRDefault="009311F4" w:rsidP="006063E7">
          <w:pPr>
            <w:ind w:left="-280" w:right="-53"/>
            <w:jc w:val="right"/>
            <w:rPr>
              <w:b/>
              <w:i/>
              <w:sz w:val="18"/>
              <w:szCs w:val="18"/>
            </w:rPr>
          </w:pPr>
          <w:r w:rsidRPr="00856398">
            <w:rPr>
              <w:b/>
              <w:i/>
              <w:sz w:val="18"/>
              <w:szCs w:val="18"/>
            </w:rPr>
            <w:t xml:space="preserve">CONSOLIDATED </w:t>
          </w:r>
          <w:r w:rsidRPr="00856398">
            <w:rPr>
              <w:b/>
              <w:i/>
              <w:sz w:val="18"/>
              <w:szCs w:val="18"/>
              <w:lang w:val="id-ID"/>
            </w:rPr>
            <w:t>STATEMENT OF</w:t>
          </w:r>
          <w:r>
            <w:rPr>
              <w:b/>
              <w:i/>
              <w:sz w:val="18"/>
              <w:szCs w:val="18"/>
            </w:rPr>
            <w:t xml:space="preserve"> PROFIT OR</w:t>
          </w:r>
          <w:r w:rsidRPr="00856398">
            <w:rPr>
              <w:b/>
              <w:i/>
              <w:sz w:val="18"/>
              <w:szCs w:val="18"/>
              <w:lang w:val="id-ID"/>
            </w:rPr>
            <w:t xml:space="preserve"> </w:t>
          </w:r>
          <w:r w:rsidRPr="00856398">
            <w:rPr>
              <w:b/>
              <w:i/>
              <w:sz w:val="18"/>
              <w:szCs w:val="18"/>
              <w:lang w:val="id-ID"/>
            </w:rPr>
            <w:br/>
          </w:r>
          <w:r>
            <w:rPr>
              <w:b/>
              <w:i/>
              <w:sz w:val="18"/>
              <w:szCs w:val="18"/>
            </w:rPr>
            <w:t>LOSS AND OTHER COMPREHENSIVE INCOME - Continued</w:t>
          </w:r>
        </w:p>
        <w:p w14:paraId="4A20FA54" w14:textId="6C2908C3" w:rsidR="009311F4" w:rsidRPr="00856398" w:rsidRDefault="009311F4" w:rsidP="006063E7">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For The Three Months Period Ended March 31, 2020 and 2019 (Unaudited)</w:t>
          </w:r>
          <w:r w:rsidRPr="00856398">
            <w:rPr>
              <w:rFonts w:ascii="Times New Roman" w:hAnsi="Times New Roman" w:cs="Times New Roman"/>
              <w:bCs/>
              <w:i/>
              <w:color w:val="232121"/>
              <w:sz w:val="18"/>
              <w:szCs w:val="18"/>
            </w:rPr>
            <w:t xml:space="preserve"> </w:t>
          </w:r>
        </w:p>
        <w:p w14:paraId="6E3048CC" w14:textId="77777777" w:rsidR="009311F4" w:rsidRPr="00856398" w:rsidRDefault="009311F4" w:rsidP="00171892">
          <w:pPr>
            <w:pStyle w:val="Header"/>
            <w:tabs>
              <w:tab w:val="clear" w:pos="4320"/>
            </w:tabs>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4F4267EB" w14:textId="77777777" w:rsidR="009311F4" w:rsidRPr="00856398" w:rsidRDefault="009311F4" w:rsidP="008A4EA0">
    <w:pPr>
      <w:pStyle w:val="Header"/>
      <w:tabs>
        <w:tab w:val="clear" w:pos="4320"/>
        <w:tab w:val="clear" w:pos="8640"/>
      </w:tabs>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6FC56" w14:textId="77777777" w:rsidR="009311F4" w:rsidRDefault="009311F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40" w:type="dxa"/>
      <w:tblInd w:w="108" w:type="dxa"/>
      <w:tblLook w:val="00A0" w:firstRow="1" w:lastRow="0" w:firstColumn="1" w:lastColumn="0" w:noHBand="0" w:noVBand="0"/>
    </w:tblPr>
    <w:tblGrid>
      <w:gridCol w:w="7370"/>
      <w:gridCol w:w="7370"/>
    </w:tblGrid>
    <w:tr w:rsidR="009311F4" w:rsidRPr="00856398" w14:paraId="08001544" w14:textId="77777777" w:rsidTr="00B9624D">
      <w:tc>
        <w:tcPr>
          <w:tcW w:w="7370" w:type="dxa"/>
          <w:tcBorders>
            <w:bottom w:val="single" w:sz="4" w:space="0" w:color="auto"/>
          </w:tcBorders>
        </w:tcPr>
        <w:p w14:paraId="59C71480" w14:textId="3B49E5F8" w:rsidR="009311F4" w:rsidRPr="00856398" w:rsidRDefault="009311F4" w:rsidP="00381272">
          <w:pPr>
            <w:rPr>
              <w:b/>
              <w:sz w:val="18"/>
              <w:szCs w:val="18"/>
              <w:lang w:val="id-ID"/>
            </w:rPr>
          </w:pPr>
          <w:r w:rsidRPr="00856398">
            <w:rPr>
              <w:b/>
              <w:sz w:val="18"/>
              <w:szCs w:val="18"/>
              <w:lang w:val="sv-SE"/>
            </w:rPr>
            <w:br w:type="page"/>
          </w:r>
          <w:r w:rsidRPr="00856398">
            <w:rPr>
              <w:b/>
              <w:sz w:val="18"/>
              <w:szCs w:val="18"/>
              <w:lang w:val="sv-SE"/>
            </w:rPr>
            <w:br w:type="page"/>
          </w:r>
          <w:r w:rsidRPr="00856398">
            <w:rPr>
              <w:sz w:val="18"/>
              <w:szCs w:val="18"/>
              <w:lang w:val="sv-SE"/>
            </w:rPr>
            <w:br w:type="page"/>
          </w:r>
          <w:r w:rsidRPr="00856398">
            <w:rPr>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T</w:t>
          </w:r>
          <w:r w:rsidRPr="00856398">
            <w:rPr>
              <w:b/>
              <w:sz w:val="18"/>
              <w:szCs w:val="18"/>
              <w:lang w:val="id-ID"/>
            </w:rPr>
            <w:t>bk</w:t>
          </w:r>
        </w:p>
        <w:p w14:paraId="456A55EE" w14:textId="77777777" w:rsidR="009311F4" w:rsidRPr="00856398" w:rsidRDefault="009311F4" w:rsidP="002A04BC">
          <w:pPr>
            <w:rPr>
              <w:b/>
            </w:rPr>
          </w:pPr>
          <w:r w:rsidRPr="00856398">
            <w:rPr>
              <w:b/>
              <w:sz w:val="18"/>
              <w:szCs w:val="18"/>
            </w:rPr>
            <w:t>DAN ENTITAS ANAK</w:t>
          </w:r>
        </w:p>
        <w:p w14:paraId="1B6F66BA" w14:textId="77777777" w:rsidR="009311F4" w:rsidRPr="00856398" w:rsidRDefault="009311F4" w:rsidP="001B51AA">
          <w:pPr>
            <w:pStyle w:val="Header"/>
            <w:tabs>
              <w:tab w:val="clear" w:pos="4320"/>
            </w:tabs>
            <w:ind w:right="-57"/>
            <w:rPr>
              <w:b/>
              <w:sz w:val="18"/>
              <w:szCs w:val="18"/>
              <w:lang w:val="id-ID"/>
            </w:rPr>
          </w:pPr>
          <w:r w:rsidRPr="00856398">
            <w:rPr>
              <w:b/>
              <w:bCs w:val="0"/>
              <w:sz w:val="18"/>
              <w:szCs w:val="18"/>
            </w:rPr>
            <w:t>LAPORAN PERUBAHAN EKUITAS KONSOLIDASIAN</w:t>
          </w:r>
        </w:p>
        <w:p w14:paraId="1BC4AA31" w14:textId="0F351DCE" w:rsidR="009311F4" w:rsidRPr="00856398" w:rsidRDefault="009311F4" w:rsidP="002F0738">
          <w:pPr>
            <w:pStyle w:val="Header"/>
            <w:tabs>
              <w:tab w:val="clear" w:pos="4320"/>
            </w:tabs>
            <w:ind w:right="-57"/>
            <w:rPr>
              <w:sz w:val="18"/>
              <w:szCs w:val="18"/>
            </w:rPr>
          </w:pPr>
          <w:r w:rsidRPr="00856398">
            <w:rPr>
              <w:sz w:val="18"/>
              <w:szCs w:val="18"/>
            </w:rPr>
            <w:t xml:space="preserve">Untuk </w:t>
          </w:r>
          <w:r>
            <w:rPr>
              <w:sz w:val="18"/>
              <w:szCs w:val="18"/>
            </w:rPr>
            <w:t xml:space="preserve">Periode Tiga Bulan Yang Berakhir 31 Maret 2020 dan </w:t>
          </w:r>
          <w:r w:rsidRPr="00856398">
            <w:rPr>
              <w:sz w:val="18"/>
              <w:szCs w:val="18"/>
            </w:rPr>
            <w:t>201</w:t>
          </w:r>
          <w:r>
            <w:rPr>
              <w:sz w:val="18"/>
              <w:szCs w:val="18"/>
            </w:rPr>
            <w:t>9 (Tidak Diaudit)</w:t>
          </w:r>
          <w:r w:rsidRPr="00856398">
            <w:rPr>
              <w:sz w:val="18"/>
              <w:szCs w:val="18"/>
              <w:lang w:val="id-ID"/>
            </w:rPr>
            <w:br/>
          </w:r>
          <w:r w:rsidRPr="00856398">
            <w:rPr>
              <w:sz w:val="18"/>
              <w:szCs w:val="18"/>
              <w:lang w:val="sv-SE"/>
            </w:rPr>
            <w:t>(Disajikan dalam Rupiah, kecuali dinyatakan lain)</w:t>
          </w:r>
        </w:p>
      </w:tc>
      <w:tc>
        <w:tcPr>
          <w:tcW w:w="7370" w:type="dxa"/>
          <w:tcBorders>
            <w:bottom w:val="single" w:sz="4" w:space="0" w:color="auto"/>
          </w:tcBorders>
        </w:tcPr>
        <w:p w14:paraId="62C1CB40" w14:textId="303324C9" w:rsidR="009311F4" w:rsidRPr="00856398" w:rsidRDefault="009311F4" w:rsidP="00381272">
          <w:pPr>
            <w:ind w:left="540" w:right="-53"/>
            <w:jc w:val="right"/>
            <w:rPr>
              <w:b/>
              <w:i/>
              <w:sz w:val="18"/>
              <w:szCs w:val="18"/>
              <w:lang w:val="id-ID"/>
            </w:rPr>
          </w:pPr>
          <w:r w:rsidRPr="00907095">
            <w:rPr>
              <w:b/>
              <w:i/>
              <w:sz w:val="18"/>
              <w:szCs w:val="18"/>
              <w:lang w:val="id-ID"/>
            </w:rPr>
            <w:t xml:space="preserve">PT </w:t>
          </w:r>
          <w:r w:rsidRPr="00907095">
            <w:rPr>
              <w:b/>
              <w:i/>
              <w:sz w:val="18"/>
              <w:szCs w:val="18"/>
            </w:rPr>
            <w:t>SEJAHTERARAYA ANUGRAHJAYA</w:t>
          </w:r>
          <w:r w:rsidRPr="00856398">
            <w:rPr>
              <w:b/>
              <w:i/>
              <w:sz w:val="18"/>
              <w:szCs w:val="18"/>
            </w:rPr>
            <w:t xml:space="preserve"> T</w:t>
          </w:r>
          <w:r w:rsidRPr="00856398">
            <w:rPr>
              <w:b/>
              <w:i/>
              <w:sz w:val="18"/>
              <w:szCs w:val="18"/>
              <w:lang w:val="id-ID"/>
            </w:rPr>
            <w:t>bk</w:t>
          </w:r>
        </w:p>
        <w:p w14:paraId="3F9F51F5" w14:textId="77777777" w:rsidR="009311F4" w:rsidRPr="00856398" w:rsidRDefault="009311F4" w:rsidP="002A04BC">
          <w:pPr>
            <w:pStyle w:val="Header"/>
            <w:ind w:left="-57" w:right="-56"/>
            <w:jc w:val="right"/>
            <w:rPr>
              <w:b/>
              <w:i/>
              <w:sz w:val="18"/>
              <w:szCs w:val="18"/>
              <w:lang w:val="pt-BR"/>
            </w:rPr>
          </w:pPr>
          <w:r w:rsidRPr="00856398">
            <w:rPr>
              <w:b/>
              <w:i/>
              <w:sz w:val="18"/>
              <w:szCs w:val="18"/>
            </w:rPr>
            <w:t>AND SUBSIDIARIES</w:t>
          </w:r>
          <w:r w:rsidRPr="00856398">
            <w:rPr>
              <w:b/>
              <w:i/>
              <w:sz w:val="18"/>
              <w:szCs w:val="18"/>
              <w:lang w:val="pt-BR"/>
            </w:rPr>
            <w:t xml:space="preserve"> </w:t>
          </w:r>
        </w:p>
        <w:p w14:paraId="5E17F992" w14:textId="77777777" w:rsidR="009311F4" w:rsidRPr="00856398" w:rsidRDefault="009311F4" w:rsidP="00F44542">
          <w:pPr>
            <w:pStyle w:val="Header"/>
            <w:tabs>
              <w:tab w:val="left" w:pos="977"/>
              <w:tab w:val="right" w:pos="7210"/>
            </w:tabs>
            <w:ind w:left="-57" w:right="-56"/>
            <w:jc w:val="right"/>
            <w:rPr>
              <w:b/>
              <w:i/>
              <w:sz w:val="18"/>
              <w:szCs w:val="18"/>
              <w:lang w:val="id-ID"/>
            </w:rPr>
          </w:pPr>
          <w:r w:rsidRPr="00856398">
            <w:rPr>
              <w:b/>
              <w:i/>
              <w:sz w:val="18"/>
              <w:szCs w:val="18"/>
              <w:lang w:val="pt-BR"/>
            </w:rPr>
            <w:tab/>
          </w:r>
          <w:r w:rsidRPr="00856398">
            <w:rPr>
              <w:b/>
              <w:i/>
              <w:sz w:val="18"/>
              <w:szCs w:val="18"/>
              <w:lang w:val="pt-BR"/>
            </w:rPr>
            <w:tab/>
            <w:t>CONSOLIDAT</w:t>
          </w:r>
          <w:r w:rsidRPr="00856398">
            <w:rPr>
              <w:b/>
              <w:i/>
              <w:sz w:val="18"/>
              <w:szCs w:val="18"/>
              <w:lang w:val="id-ID"/>
            </w:rPr>
            <w:t>ED</w:t>
          </w:r>
          <w:r w:rsidRPr="00856398">
            <w:rPr>
              <w:b/>
              <w:i/>
              <w:sz w:val="18"/>
              <w:szCs w:val="18"/>
              <w:lang w:val="pt-BR"/>
            </w:rPr>
            <w:t xml:space="preserve"> STATEMENT OF CHANGES IN EQUITY</w:t>
          </w:r>
        </w:p>
        <w:p w14:paraId="58CE4083" w14:textId="10EA52C5" w:rsidR="009311F4" w:rsidRPr="004B7455" w:rsidRDefault="009311F4" w:rsidP="00A87DD2">
          <w:pPr>
            <w:pStyle w:val="Header"/>
            <w:ind w:left="-57" w:right="-57"/>
            <w:jc w:val="right"/>
            <w:rPr>
              <w:bCs w:val="0"/>
              <w:i/>
              <w:sz w:val="18"/>
              <w:szCs w:val="18"/>
            </w:rPr>
          </w:pPr>
          <w:r w:rsidRPr="00856398">
            <w:rPr>
              <w:bCs w:val="0"/>
              <w:i/>
              <w:sz w:val="18"/>
              <w:szCs w:val="18"/>
              <w:lang w:val="id-ID"/>
            </w:rPr>
            <w:t xml:space="preserve">For </w:t>
          </w:r>
          <w:r>
            <w:rPr>
              <w:bCs w:val="0"/>
              <w:i/>
              <w:sz w:val="18"/>
              <w:szCs w:val="18"/>
              <w:lang w:val="id-ID"/>
            </w:rPr>
            <w:t xml:space="preserve">the </w:t>
          </w:r>
          <w:r>
            <w:rPr>
              <w:bCs w:val="0"/>
              <w:i/>
              <w:sz w:val="18"/>
              <w:szCs w:val="18"/>
            </w:rPr>
            <w:t xml:space="preserve">Period Ended March 31, 2020 and </w:t>
          </w:r>
          <w:r>
            <w:rPr>
              <w:bCs w:val="0"/>
              <w:i/>
              <w:sz w:val="18"/>
              <w:szCs w:val="18"/>
              <w:lang w:val="id-ID"/>
            </w:rPr>
            <w:t>201</w:t>
          </w:r>
          <w:r>
            <w:rPr>
              <w:bCs w:val="0"/>
              <w:i/>
              <w:sz w:val="18"/>
              <w:szCs w:val="18"/>
            </w:rPr>
            <w:t>9 (Unaudited)</w:t>
          </w:r>
        </w:p>
        <w:p w14:paraId="7B8DBFB2" w14:textId="77777777" w:rsidR="009311F4" w:rsidRPr="00856398" w:rsidRDefault="009311F4" w:rsidP="00A87DD2">
          <w:pPr>
            <w:pStyle w:val="Header"/>
            <w:ind w:left="-57" w:right="-57"/>
            <w:jc w:val="right"/>
            <w:rPr>
              <w:b/>
              <w:i/>
              <w:sz w:val="18"/>
              <w:szCs w:val="18"/>
              <w:lang w:val="sv-SE"/>
            </w:rPr>
          </w:pPr>
          <w:r w:rsidRPr="00856398">
            <w:rPr>
              <w:i/>
              <w:sz w:val="18"/>
              <w:szCs w:val="18"/>
            </w:rPr>
            <w:t>(Expressed in Rupiah, unless otherwise stated</w:t>
          </w:r>
          <w:r w:rsidRPr="00856398">
            <w:rPr>
              <w:i/>
              <w:sz w:val="18"/>
              <w:szCs w:val="18"/>
              <w:lang w:val="id-ID"/>
            </w:rPr>
            <w:t>)</w:t>
          </w:r>
        </w:p>
      </w:tc>
    </w:tr>
  </w:tbl>
  <w:p w14:paraId="063C8016" w14:textId="77777777" w:rsidR="009311F4" w:rsidRPr="00856398" w:rsidRDefault="009311F4" w:rsidP="00DE12A3">
    <w:pPr>
      <w:pStyle w:val="Header"/>
      <w:tabs>
        <w:tab w:val="clear" w:pos="4320"/>
        <w:tab w:val="clear" w:pos="8640"/>
      </w:tabs>
      <w:jc w:val="right"/>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A4C1A" w14:textId="77777777" w:rsidR="009311F4" w:rsidRDefault="009311F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F049" w14:textId="77777777" w:rsidR="009311F4" w:rsidRDefault="009311F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72" w:type="dxa"/>
      <w:tblLook w:val="00A0" w:firstRow="1" w:lastRow="0" w:firstColumn="1" w:lastColumn="0" w:noHBand="0" w:noVBand="0"/>
    </w:tblPr>
    <w:tblGrid>
      <w:gridCol w:w="4598"/>
      <w:gridCol w:w="4599"/>
    </w:tblGrid>
    <w:tr w:rsidR="009311F4" w:rsidRPr="00856398" w14:paraId="32A7B539" w14:textId="77777777" w:rsidTr="00EA2E1E">
      <w:tc>
        <w:tcPr>
          <w:tcW w:w="4598" w:type="dxa"/>
          <w:tcBorders>
            <w:bottom w:val="single" w:sz="4" w:space="0" w:color="auto"/>
          </w:tcBorders>
        </w:tcPr>
        <w:p w14:paraId="78F21D50" w14:textId="58245ABF" w:rsidR="009311F4" w:rsidRPr="00856398" w:rsidRDefault="009311F4" w:rsidP="00381272">
          <w:pPr>
            <w:rPr>
              <w:b/>
              <w:sz w:val="18"/>
              <w:szCs w:val="18"/>
              <w:lang w:val="id-ID"/>
            </w:rPr>
          </w:pPr>
          <w:r w:rsidRPr="00856398">
            <w:rPr>
              <w:b/>
              <w:sz w:val="18"/>
              <w:szCs w:val="18"/>
              <w:lang w:val="sv-SE"/>
            </w:rPr>
            <w:br w:type="page"/>
          </w:r>
          <w:r w:rsidRPr="00856398">
            <w:rPr>
              <w:sz w:val="18"/>
              <w:szCs w:val="18"/>
              <w:lang w:val="sv-SE"/>
            </w:rPr>
            <w:br w:type="page"/>
          </w:r>
          <w:r w:rsidRPr="00856398">
            <w:rPr>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T</w:t>
          </w:r>
          <w:r w:rsidRPr="00856398">
            <w:rPr>
              <w:b/>
              <w:sz w:val="18"/>
              <w:szCs w:val="18"/>
              <w:lang w:val="id-ID"/>
            </w:rPr>
            <w:t>bk</w:t>
          </w:r>
        </w:p>
        <w:p w14:paraId="7B5B81C4" w14:textId="77777777" w:rsidR="009311F4" w:rsidRPr="00856398" w:rsidRDefault="009311F4" w:rsidP="002A04BC">
          <w:pPr>
            <w:rPr>
              <w:b/>
            </w:rPr>
          </w:pPr>
          <w:r w:rsidRPr="00856398">
            <w:rPr>
              <w:b/>
              <w:sz w:val="18"/>
              <w:szCs w:val="18"/>
            </w:rPr>
            <w:t>DAN ENTITAS ANAK</w:t>
          </w:r>
        </w:p>
        <w:p w14:paraId="6B0F3AC5" w14:textId="4761EC6C" w:rsidR="009311F4" w:rsidRPr="00856398" w:rsidRDefault="009311F4" w:rsidP="008C3C9E">
          <w:pPr>
            <w:pStyle w:val="Header"/>
            <w:ind w:right="-57"/>
            <w:rPr>
              <w:b/>
              <w:sz w:val="18"/>
              <w:szCs w:val="18"/>
            </w:rPr>
          </w:pPr>
          <w:r w:rsidRPr="00856398">
            <w:rPr>
              <w:b/>
              <w:sz w:val="18"/>
              <w:szCs w:val="18"/>
              <w:lang w:val="sv-SE"/>
            </w:rPr>
            <w:t>LAPORAN ARUS KAS KONSOLIDASIAN</w:t>
          </w:r>
          <w:r>
            <w:rPr>
              <w:b/>
              <w:sz w:val="18"/>
              <w:szCs w:val="18"/>
              <w:lang w:val="sv-SE"/>
            </w:rPr>
            <w:t xml:space="preserve"> </w:t>
          </w:r>
          <w:r>
            <w:rPr>
              <w:b/>
              <w:sz w:val="18"/>
              <w:szCs w:val="18"/>
              <w:lang w:val="sv-SE"/>
            </w:rPr>
            <w:br/>
          </w:r>
          <w:r w:rsidRPr="00856398">
            <w:rPr>
              <w:sz w:val="18"/>
              <w:szCs w:val="18"/>
            </w:rPr>
            <w:t xml:space="preserve">Untuk </w:t>
          </w:r>
          <w:r>
            <w:rPr>
              <w:sz w:val="18"/>
              <w:szCs w:val="18"/>
            </w:rPr>
            <w:t>Periode Tiga Bulan Yang Berakhir 31 Maret 2020 dan 2019 (Tidak Diaudit)</w:t>
          </w:r>
          <w:r w:rsidRPr="00856398">
            <w:rPr>
              <w:sz w:val="18"/>
              <w:szCs w:val="18"/>
              <w:lang w:val="id-ID"/>
            </w:rPr>
            <w:br/>
          </w:r>
          <w:r w:rsidRPr="00856398">
            <w:rPr>
              <w:sz w:val="18"/>
              <w:szCs w:val="18"/>
              <w:lang w:val="sv-SE"/>
            </w:rPr>
            <w:t>(Disajikan dalam Rupiah, kecuali dinyatakan lain)</w:t>
          </w:r>
        </w:p>
      </w:tc>
      <w:tc>
        <w:tcPr>
          <w:tcW w:w="4598" w:type="dxa"/>
          <w:tcBorders>
            <w:bottom w:val="single" w:sz="4" w:space="0" w:color="auto"/>
          </w:tcBorders>
        </w:tcPr>
        <w:p w14:paraId="424E7886" w14:textId="71D1F5A6" w:rsidR="009311F4" w:rsidRPr="00856398" w:rsidRDefault="009311F4" w:rsidP="00381272">
          <w:pPr>
            <w:ind w:left="540" w:right="-53"/>
            <w:jc w:val="right"/>
            <w:rPr>
              <w:b/>
              <w:i/>
              <w:sz w:val="18"/>
              <w:szCs w:val="18"/>
              <w:lang w:val="id-ID"/>
            </w:rPr>
          </w:pPr>
          <w:r w:rsidRPr="00907095">
            <w:rPr>
              <w:b/>
              <w:i/>
              <w:sz w:val="18"/>
              <w:szCs w:val="18"/>
              <w:lang w:val="id-ID"/>
            </w:rPr>
            <w:t xml:space="preserve">PT </w:t>
          </w:r>
          <w:r w:rsidRPr="00907095">
            <w:rPr>
              <w:b/>
              <w:i/>
              <w:sz w:val="18"/>
              <w:szCs w:val="18"/>
            </w:rPr>
            <w:t>SEJAHTERARAYA ANUGRAHJAYA</w:t>
          </w:r>
          <w:r w:rsidRPr="00856398">
            <w:rPr>
              <w:b/>
              <w:i/>
              <w:sz w:val="18"/>
              <w:szCs w:val="18"/>
            </w:rPr>
            <w:t xml:space="preserve"> T</w:t>
          </w:r>
          <w:r w:rsidRPr="00856398">
            <w:rPr>
              <w:b/>
              <w:i/>
              <w:sz w:val="18"/>
              <w:szCs w:val="18"/>
              <w:lang w:val="id-ID"/>
            </w:rPr>
            <w:t>bk</w:t>
          </w:r>
        </w:p>
        <w:p w14:paraId="577293B4" w14:textId="77777777" w:rsidR="009311F4" w:rsidRPr="00856398" w:rsidRDefault="009311F4" w:rsidP="002A04BC">
          <w:pPr>
            <w:pStyle w:val="Header"/>
            <w:ind w:left="-57" w:right="-57"/>
            <w:jc w:val="right"/>
            <w:rPr>
              <w:b/>
              <w:i/>
              <w:sz w:val="18"/>
              <w:szCs w:val="18"/>
              <w:lang w:val="pt-BR"/>
            </w:rPr>
          </w:pPr>
          <w:r w:rsidRPr="00856398">
            <w:rPr>
              <w:b/>
              <w:i/>
              <w:sz w:val="18"/>
              <w:szCs w:val="18"/>
            </w:rPr>
            <w:t>AND SUBSIDIARIES</w:t>
          </w:r>
          <w:r w:rsidRPr="00856398">
            <w:rPr>
              <w:b/>
              <w:i/>
              <w:sz w:val="18"/>
              <w:szCs w:val="18"/>
              <w:lang w:val="pt-BR"/>
            </w:rPr>
            <w:t xml:space="preserve"> </w:t>
          </w:r>
        </w:p>
        <w:p w14:paraId="6199573A" w14:textId="2B3A2687" w:rsidR="009311F4" w:rsidRPr="00856398" w:rsidRDefault="009311F4" w:rsidP="002A04BC">
          <w:pPr>
            <w:pStyle w:val="Header"/>
            <w:ind w:left="-57" w:right="-57"/>
            <w:jc w:val="right"/>
            <w:rPr>
              <w:b/>
              <w:i/>
              <w:sz w:val="18"/>
              <w:szCs w:val="18"/>
            </w:rPr>
          </w:pPr>
          <w:r w:rsidRPr="00856398">
            <w:rPr>
              <w:b/>
              <w:i/>
              <w:sz w:val="18"/>
              <w:szCs w:val="18"/>
            </w:rPr>
            <w:t>CONSOLIDAT</w:t>
          </w:r>
          <w:r w:rsidRPr="00856398">
            <w:rPr>
              <w:b/>
              <w:i/>
              <w:sz w:val="18"/>
              <w:szCs w:val="18"/>
              <w:lang w:val="id-ID"/>
            </w:rPr>
            <w:t>ED</w:t>
          </w:r>
          <w:r w:rsidRPr="00856398">
            <w:rPr>
              <w:b/>
              <w:i/>
              <w:sz w:val="18"/>
              <w:szCs w:val="18"/>
            </w:rPr>
            <w:t xml:space="preserve"> STATEMENT OF CASH FLOWS</w:t>
          </w:r>
          <w:r>
            <w:rPr>
              <w:b/>
              <w:i/>
              <w:sz w:val="18"/>
              <w:szCs w:val="18"/>
            </w:rPr>
            <w:t xml:space="preserve">  </w:t>
          </w:r>
        </w:p>
        <w:p w14:paraId="71FB8C97" w14:textId="77777777" w:rsidR="009311F4" w:rsidRDefault="009311F4" w:rsidP="00DC585B">
          <w:pPr>
            <w:pStyle w:val="Header"/>
            <w:ind w:left="-57" w:right="-57"/>
            <w:jc w:val="right"/>
            <w:rPr>
              <w:bCs w:val="0"/>
              <w:i/>
              <w:sz w:val="18"/>
              <w:szCs w:val="18"/>
            </w:rPr>
          </w:pPr>
          <w:r w:rsidRPr="00856398">
            <w:rPr>
              <w:bCs w:val="0"/>
              <w:i/>
              <w:sz w:val="18"/>
              <w:szCs w:val="18"/>
              <w:lang w:val="id-ID"/>
            </w:rPr>
            <w:t xml:space="preserve">For </w:t>
          </w:r>
          <w:r>
            <w:rPr>
              <w:bCs w:val="0"/>
              <w:i/>
              <w:sz w:val="18"/>
              <w:szCs w:val="18"/>
              <w:lang w:val="id-ID"/>
            </w:rPr>
            <w:t xml:space="preserve">the </w:t>
          </w:r>
          <w:r>
            <w:rPr>
              <w:bCs w:val="0"/>
              <w:i/>
              <w:sz w:val="18"/>
              <w:szCs w:val="18"/>
            </w:rPr>
            <w:t>Period</w:t>
          </w:r>
          <w:r>
            <w:rPr>
              <w:bCs w:val="0"/>
              <w:i/>
              <w:sz w:val="18"/>
              <w:szCs w:val="18"/>
              <w:lang w:val="id-ID"/>
            </w:rPr>
            <w:t xml:space="preserve"> Ended </w:t>
          </w:r>
          <w:r>
            <w:rPr>
              <w:bCs w:val="0"/>
              <w:i/>
              <w:sz w:val="18"/>
              <w:szCs w:val="18"/>
            </w:rPr>
            <w:t>March</w:t>
          </w:r>
          <w:r>
            <w:rPr>
              <w:bCs w:val="0"/>
              <w:i/>
              <w:sz w:val="18"/>
              <w:szCs w:val="18"/>
              <w:lang w:val="id-ID"/>
            </w:rPr>
            <w:t xml:space="preserve"> 31, 20</w:t>
          </w:r>
          <w:r>
            <w:rPr>
              <w:bCs w:val="0"/>
              <w:i/>
              <w:sz w:val="18"/>
              <w:szCs w:val="18"/>
            </w:rPr>
            <w:t xml:space="preserve">20 </w:t>
          </w:r>
        </w:p>
        <w:p w14:paraId="52B4290E" w14:textId="5A4D80BA" w:rsidR="009311F4" w:rsidRPr="008C3C9E" w:rsidRDefault="009311F4" w:rsidP="00DC585B">
          <w:pPr>
            <w:pStyle w:val="Header"/>
            <w:ind w:left="-57" w:right="-57"/>
            <w:jc w:val="right"/>
            <w:rPr>
              <w:bCs w:val="0"/>
              <w:i/>
              <w:sz w:val="18"/>
              <w:szCs w:val="18"/>
            </w:rPr>
          </w:pPr>
          <w:r>
            <w:rPr>
              <w:bCs w:val="0"/>
              <w:i/>
              <w:sz w:val="18"/>
              <w:szCs w:val="18"/>
            </w:rPr>
            <w:t>and 2019 (Unaudited)</w:t>
          </w:r>
        </w:p>
        <w:p w14:paraId="6497E7E2" w14:textId="77777777" w:rsidR="009311F4" w:rsidRPr="00856398" w:rsidRDefault="009311F4" w:rsidP="00DC585B">
          <w:pPr>
            <w:pStyle w:val="Header"/>
            <w:ind w:left="-57" w:right="-57"/>
            <w:jc w:val="right"/>
            <w:rPr>
              <w:i/>
              <w:sz w:val="18"/>
              <w:szCs w:val="18"/>
            </w:rPr>
          </w:pPr>
          <w:r w:rsidRPr="00856398">
            <w:rPr>
              <w:i/>
              <w:sz w:val="18"/>
              <w:szCs w:val="18"/>
            </w:rPr>
            <w:t>(Expressed in Rupiah, unless otherwise stated</w:t>
          </w:r>
          <w:r w:rsidRPr="00856398">
            <w:rPr>
              <w:i/>
              <w:sz w:val="18"/>
              <w:szCs w:val="18"/>
              <w:lang w:val="id-ID"/>
            </w:rPr>
            <w:t>)</w:t>
          </w:r>
        </w:p>
      </w:tc>
    </w:tr>
  </w:tbl>
  <w:p w14:paraId="66E029AA" w14:textId="77777777" w:rsidR="009311F4" w:rsidRPr="00856398" w:rsidRDefault="009311F4" w:rsidP="00DE12A3">
    <w:pPr>
      <w:pStyle w:val="Header"/>
      <w:tabs>
        <w:tab w:val="clear" w:pos="4320"/>
        <w:tab w:val="clear" w:pos="8640"/>
      </w:tabs>
      <w:jc w:val="right"/>
      <w:rPr>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E059" w14:textId="77777777" w:rsidR="009311F4" w:rsidRDefault="009311F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B4AC" w14:textId="77777777" w:rsidR="009311F4" w:rsidRDefault="009311F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378" w:type="dxa"/>
      <w:tblLook w:val="00A0" w:firstRow="1" w:lastRow="0" w:firstColumn="1" w:lastColumn="0" w:noHBand="0" w:noVBand="0"/>
    </w:tblPr>
    <w:tblGrid>
      <w:gridCol w:w="5238"/>
      <w:gridCol w:w="3959"/>
    </w:tblGrid>
    <w:tr w:rsidR="009311F4" w:rsidRPr="00856398" w14:paraId="200787DC" w14:textId="77777777" w:rsidTr="00A34585">
      <w:tc>
        <w:tcPr>
          <w:tcW w:w="4598" w:type="dxa"/>
          <w:tcBorders>
            <w:bottom w:val="single" w:sz="4" w:space="0" w:color="auto"/>
          </w:tcBorders>
        </w:tcPr>
        <w:p w14:paraId="0FC514EE" w14:textId="77777777" w:rsidR="009311F4" w:rsidRPr="00856398" w:rsidRDefault="009311F4" w:rsidP="00A34585">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16C0B50C" w14:textId="77777777" w:rsidR="009311F4" w:rsidRPr="00856398" w:rsidRDefault="009311F4" w:rsidP="00A34585">
          <w:pPr>
            <w:rPr>
              <w:b/>
              <w:sz w:val="18"/>
              <w:szCs w:val="18"/>
            </w:rPr>
          </w:pPr>
          <w:r w:rsidRPr="00856398">
            <w:rPr>
              <w:b/>
              <w:sz w:val="18"/>
              <w:szCs w:val="18"/>
            </w:rPr>
            <w:t>DAN ENTITAS ANAK</w:t>
          </w:r>
        </w:p>
        <w:p w14:paraId="79EE44E1" w14:textId="56D406EC" w:rsidR="009311F4" w:rsidRDefault="009311F4" w:rsidP="00A34585">
          <w:pPr>
            <w:pStyle w:val="Header"/>
            <w:tabs>
              <w:tab w:val="clear" w:pos="4320"/>
              <w:tab w:val="clear" w:pos="8640"/>
            </w:tabs>
            <w:ind w:right="-57"/>
            <w:rPr>
              <w:b/>
              <w:sz w:val="18"/>
              <w:szCs w:val="18"/>
            </w:rPr>
          </w:pPr>
          <w:r>
            <w:rPr>
              <w:b/>
              <w:sz w:val="18"/>
              <w:szCs w:val="18"/>
            </w:rPr>
            <w:t xml:space="preserve">CATATAN ATAS </w:t>
          </w:r>
          <w:r w:rsidRPr="00856398">
            <w:rPr>
              <w:b/>
              <w:sz w:val="18"/>
              <w:szCs w:val="18"/>
              <w:lang w:val="id-ID"/>
            </w:rPr>
            <w:t>LAPORAN POSISI KEUANGAN</w:t>
          </w:r>
          <w:r>
            <w:rPr>
              <w:b/>
              <w:sz w:val="18"/>
              <w:szCs w:val="18"/>
            </w:rPr>
            <w:t xml:space="preserve"> </w:t>
          </w:r>
        </w:p>
        <w:p w14:paraId="44D55C6E" w14:textId="77777777" w:rsidR="009311F4" w:rsidRPr="00856398" w:rsidRDefault="009311F4" w:rsidP="00A34585">
          <w:pPr>
            <w:pStyle w:val="Header"/>
            <w:tabs>
              <w:tab w:val="clear" w:pos="4320"/>
              <w:tab w:val="clear" w:pos="8640"/>
            </w:tabs>
            <w:ind w:right="-57"/>
            <w:rPr>
              <w:b/>
              <w:sz w:val="18"/>
              <w:szCs w:val="18"/>
              <w:lang w:val="id-ID"/>
            </w:rPr>
          </w:pPr>
          <w:r w:rsidRPr="00856398">
            <w:rPr>
              <w:b/>
              <w:sz w:val="18"/>
              <w:szCs w:val="18"/>
            </w:rPr>
            <w:t xml:space="preserve">KONSOLIDASIAN </w:t>
          </w:r>
        </w:p>
        <w:p w14:paraId="59355B69" w14:textId="77777777" w:rsidR="009311F4" w:rsidRDefault="009311F4" w:rsidP="00A34585">
          <w:pPr>
            <w:pStyle w:val="Header"/>
            <w:tabs>
              <w:tab w:val="clear" w:pos="4320"/>
            </w:tabs>
            <w:ind w:right="-57"/>
            <w:rPr>
              <w:sz w:val="18"/>
              <w:szCs w:val="18"/>
            </w:rPr>
          </w:pPr>
          <w:r>
            <w:rPr>
              <w:sz w:val="18"/>
              <w:szCs w:val="18"/>
            </w:rPr>
            <w:t xml:space="preserve">31 Maret 2020 (Tidak Diaudit) </w:t>
          </w:r>
        </w:p>
        <w:p w14:paraId="4847C8FE" w14:textId="6F00BF81" w:rsidR="009311F4" w:rsidRPr="00907095" w:rsidRDefault="009311F4" w:rsidP="00A34585">
          <w:pPr>
            <w:pStyle w:val="Header"/>
            <w:tabs>
              <w:tab w:val="clear" w:pos="4320"/>
            </w:tabs>
            <w:ind w:right="-57"/>
            <w:rPr>
              <w:sz w:val="18"/>
              <w:szCs w:val="18"/>
            </w:rPr>
          </w:pPr>
          <w:r>
            <w:rPr>
              <w:sz w:val="18"/>
              <w:szCs w:val="18"/>
            </w:rPr>
            <w:t>dan 31 Desember 2019 (Diaudit)</w:t>
          </w:r>
        </w:p>
        <w:p w14:paraId="55EDB1AB" w14:textId="04F69ABC" w:rsidR="009311F4" w:rsidRPr="00856398" w:rsidRDefault="009311F4" w:rsidP="00A34585">
          <w:pPr>
            <w:pStyle w:val="Header"/>
            <w:tabs>
              <w:tab w:val="clear" w:pos="4320"/>
            </w:tabs>
            <w:ind w:right="-57"/>
            <w:rPr>
              <w:b/>
              <w:sz w:val="18"/>
              <w:szCs w:val="18"/>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599" w:type="dxa"/>
          <w:tcBorders>
            <w:bottom w:val="single" w:sz="4" w:space="0" w:color="auto"/>
          </w:tcBorders>
        </w:tcPr>
        <w:p w14:paraId="63914011" w14:textId="0ABFBB71" w:rsidR="009311F4" w:rsidRPr="00856398" w:rsidRDefault="009311F4" w:rsidP="00A34585">
          <w:pPr>
            <w:ind w:right="-53"/>
            <w:rPr>
              <w:b/>
              <w:i/>
              <w:sz w:val="18"/>
              <w:szCs w:val="18"/>
              <w:lang w:val="id-ID"/>
            </w:rPr>
          </w:pPr>
          <w:r>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5653C57C" w14:textId="77777777" w:rsidR="009311F4" w:rsidRPr="00856398" w:rsidRDefault="009311F4" w:rsidP="00A34585">
          <w:pPr>
            <w:ind w:left="-135" w:right="-53"/>
            <w:jc w:val="right"/>
            <w:rPr>
              <w:b/>
              <w:i/>
              <w:sz w:val="18"/>
              <w:szCs w:val="18"/>
            </w:rPr>
          </w:pPr>
          <w:r w:rsidRPr="00856398">
            <w:rPr>
              <w:b/>
              <w:i/>
              <w:sz w:val="18"/>
              <w:szCs w:val="18"/>
            </w:rPr>
            <w:t>AND SUBSIDIARIES</w:t>
          </w:r>
        </w:p>
        <w:p w14:paraId="66CC02CE" w14:textId="59F5C9D4" w:rsidR="009311F4" w:rsidRPr="00856398" w:rsidRDefault="009311F4" w:rsidP="00A34585">
          <w:pPr>
            <w:ind w:left="-135" w:right="-53"/>
            <w:jc w:val="right"/>
            <w:rPr>
              <w:b/>
              <w:i/>
              <w:sz w:val="18"/>
              <w:szCs w:val="18"/>
            </w:rPr>
          </w:pPr>
          <w:r>
            <w:rPr>
              <w:b/>
              <w:i/>
              <w:sz w:val="18"/>
              <w:szCs w:val="18"/>
            </w:rPr>
            <w:t xml:space="preserve">NOTES TO </w:t>
          </w:r>
          <w:r w:rsidRPr="00856398">
            <w:rPr>
              <w:b/>
              <w:i/>
              <w:sz w:val="18"/>
              <w:szCs w:val="18"/>
            </w:rPr>
            <w:t xml:space="preserve">CONSOLIDATED </w:t>
          </w:r>
          <w:r w:rsidRPr="00856398">
            <w:rPr>
              <w:b/>
              <w:i/>
              <w:sz w:val="18"/>
              <w:szCs w:val="18"/>
              <w:lang w:val="id-ID"/>
            </w:rPr>
            <w:t xml:space="preserve">STATEMENT OF </w:t>
          </w:r>
          <w:r w:rsidRPr="00856398">
            <w:rPr>
              <w:b/>
              <w:i/>
              <w:sz w:val="18"/>
              <w:szCs w:val="18"/>
              <w:lang w:val="id-ID"/>
            </w:rPr>
            <w:br/>
            <w:t>FINANCIAL POSITION</w:t>
          </w:r>
        </w:p>
        <w:p w14:paraId="3B949418" w14:textId="77777777" w:rsidR="009311F4" w:rsidRPr="00856398" w:rsidRDefault="009311F4" w:rsidP="00A34585">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64DA2698" w14:textId="4E022ED7" w:rsidR="009311F4" w:rsidRPr="00856398" w:rsidRDefault="009311F4" w:rsidP="00A34585">
          <w:pPr>
            <w:pStyle w:val="Header"/>
            <w:ind w:left="-57" w:right="-57"/>
            <w:jc w:val="right"/>
            <w:rPr>
              <w:i/>
              <w:sz w:val="18"/>
              <w:szCs w:val="18"/>
            </w:rPr>
          </w:pPr>
          <w:r w:rsidRPr="00856398">
            <w:rPr>
              <w:i/>
              <w:sz w:val="18"/>
              <w:szCs w:val="18"/>
            </w:rPr>
            <w:t>(Expressed in Rupiah, unless otherwise stated</w:t>
          </w:r>
          <w:r w:rsidRPr="00856398">
            <w:rPr>
              <w:i/>
              <w:sz w:val="18"/>
              <w:szCs w:val="18"/>
              <w:lang w:val="id-ID"/>
            </w:rPr>
            <w:t>)</w:t>
          </w:r>
        </w:p>
      </w:tc>
    </w:tr>
  </w:tbl>
  <w:p w14:paraId="5BF3D950" w14:textId="77777777" w:rsidR="009311F4" w:rsidRPr="00856398" w:rsidRDefault="009311F4" w:rsidP="002D4B5D">
    <w:pPr>
      <w:pStyle w:val="Header"/>
      <w:tabs>
        <w:tab w:val="clear" w:pos="4320"/>
        <w:tab w:val="clear" w:pos="8640"/>
      </w:tabs>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32FD" w14:textId="77777777" w:rsidR="009311F4" w:rsidRDefault="009311F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883D7" w14:textId="77777777" w:rsidR="009311F4" w:rsidRDefault="009311F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63F0" w14:textId="77777777" w:rsidR="009311F4" w:rsidRDefault="009311F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378" w:type="dxa"/>
      <w:tblLook w:val="00A0" w:firstRow="1" w:lastRow="0" w:firstColumn="1" w:lastColumn="0" w:noHBand="0" w:noVBand="0"/>
    </w:tblPr>
    <w:tblGrid>
      <w:gridCol w:w="5238"/>
      <w:gridCol w:w="3959"/>
    </w:tblGrid>
    <w:tr w:rsidR="009311F4" w:rsidRPr="00856398" w14:paraId="5C5EDF6F" w14:textId="77777777" w:rsidTr="00EA20BF">
      <w:tc>
        <w:tcPr>
          <w:tcW w:w="4598" w:type="dxa"/>
          <w:tcBorders>
            <w:bottom w:val="single" w:sz="4" w:space="0" w:color="auto"/>
          </w:tcBorders>
        </w:tcPr>
        <w:p w14:paraId="699011A1" w14:textId="77777777" w:rsidR="009311F4" w:rsidRPr="00856398" w:rsidRDefault="009311F4" w:rsidP="00EA20BF">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57014B38" w14:textId="77777777" w:rsidR="009311F4" w:rsidRPr="00856398" w:rsidRDefault="009311F4" w:rsidP="00EA20BF">
          <w:pPr>
            <w:rPr>
              <w:b/>
              <w:sz w:val="18"/>
              <w:szCs w:val="18"/>
            </w:rPr>
          </w:pPr>
          <w:r w:rsidRPr="00856398">
            <w:rPr>
              <w:b/>
              <w:sz w:val="18"/>
              <w:szCs w:val="18"/>
            </w:rPr>
            <w:t>DAN ENTITAS ANAK</w:t>
          </w:r>
        </w:p>
        <w:p w14:paraId="67AF753D" w14:textId="77777777" w:rsidR="009311F4" w:rsidRDefault="009311F4" w:rsidP="00EA20BF">
          <w:pPr>
            <w:pStyle w:val="Header"/>
            <w:tabs>
              <w:tab w:val="clear" w:pos="4320"/>
              <w:tab w:val="clear" w:pos="8640"/>
            </w:tabs>
            <w:ind w:right="-57"/>
            <w:rPr>
              <w:b/>
              <w:sz w:val="18"/>
              <w:szCs w:val="18"/>
            </w:rPr>
          </w:pPr>
          <w:r>
            <w:rPr>
              <w:b/>
              <w:sz w:val="18"/>
              <w:szCs w:val="18"/>
            </w:rPr>
            <w:t xml:space="preserve">CATATAN ATAS </w:t>
          </w:r>
          <w:r w:rsidRPr="00856398">
            <w:rPr>
              <w:b/>
              <w:sz w:val="18"/>
              <w:szCs w:val="18"/>
              <w:lang w:val="id-ID"/>
            </w:rPr>
            <w:t>LAPORAN POSISI KEUANGAN</w:t>
          </w:r>
          <w:r>
            <w:rPr>
              <w:b/>
              <w:sz w:val="18"/>
              <w:szCs w:val="18"/>
            </w:rPr>
            <w:t xml:space="preserve"> </w:t>
          </w:r>
        </w:p>
        <w:p w14:paraId="51319374" w14:textId="77777777" w:rsidR="009311F4" w:rsidRPr="00856398" w:rsidRDefault="009311F4" w:rsidP="00EA20BF">
          <w:pPr>
            <w:pStyle w:val="Header"/>
            <w:tabs>
              <w:tab w:val="clear" w:pos="4320"/>
              <w:tab w:val="clear" w:pos="8640"/>
            </w:tabs>
            <w:ind w:right="-57"/>
            <w:rPr>
              <w:b/>
              <w:sz w:val="18"/>
              <w:szCs w:val="18"/>
              <w:lang w:val="id-ID"/>
            </w:rPr>
          </w:pPr>
          <w:r w:rsidRPr="00856398">
            <w:rPr>
              <w:b/>
              <w:sz w:val="18"/>
              <w:szCs w:val="18"/>
            </w:rPr>
            <w:t xml:space="preserve">KONSOLIDASIAN </w:t>
          </w:r>
        </w:p>
        <w:p w14:paraId="75F2B15D" w14:textId="77777777" w:rsidR="009311F4" w:rsidRDefault="009311F4" w:rsidP="00EA20BF">
          <w:pPr>
            <w:pStyle w:val="Header"/>
            <w:tabs>
              <w:tab w:val="clear" w:pos="4320"/>
            </w:tabs>
            <w:ind w:right="-57"/>
            <w:rPr>
              <w:sz w:val="18"/>
              <w:szCs w:val="18"/>
            </w:rPr>
          </w:pPr>
          <w:r>
            <w:rPr>
              <w:sz w:val="18"/>
              <w:szCs w:val="18"/>
            </w:rPr>
            <w:t xml:space="preserve">31 Maret 2020 (Tidak Diaudit) </w:t>
          </w:r>
        </w:p>
        <w:p w14:paraId="7A8B3006" w14:textId="77777777" w:rsidR="009311F4" w:rsidRPr="00907095" w:rsidRDefault="009311F4" w:rsidP="00EA20BF">
          <w:pPr>
            <w:pStyle w:val="Header"/>
            <w:tabs>
              <w:tab w:val="clear" w:pos="4320"/>
            </w:tabs>
            <w:ind w:right="-57"/>
            <w:rPr>
              <w:sz w:val="18"/>
              <w:szCs w:val="18"/>
            </w:rPr>
          </w:pPr>
          <w:r>
            <w:rPr>
              <w:sz w:val="18"/>
              <w:szCs w:val="18"/>
            </w:rPr>
            <w:t>dan 31 Desember 2019 (Diaudit)</w:t>
          </w:r>
        </w:p>
        <w:p w14:paraId="1027A025" w14:textId="48BE3E1B" w:rsidR="009311F4" w:rsidRPr="00856398" w:rsidRDefault="009311F4" w:rsidP="00EA20BF">
          <w:pPr>
            <w:pStyle w:val="Header"/>
            <w:tabs>
              <w:tab w:val="clear" w:pos="4320"/>
            </w:tabs>
            <w:ind w:right="-57"/>
            <w:rPr>
              <w:b/>
              <w:sz w:val="18"/>
              <w:szCs w:val="18"/>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599" w:type="dxa"/>
          <w:tcBorders>
            <w:bottom w:val="single" w:sz="4" w:space="0" w:color="auto"/>
          </w:tcBorders>
        </w:tcPr>
        <w:p w14:paraId="450F951D" w14:textId="77777777" w:rsidR="009311F4" w:rsidRPr="00856398" w:rsidRDefault="009311F4" w:rsidP="00EA20BF">
          <w:pPr>
            <w:ind w:right="-53"/>
            <w:rPr>
              <w:b/>
              <w:i/>
              <w:sz w:val="18"/>
              <w:szCs w:val="18"/>
              <w:lang w:val="id-ID"/>
            </w:rPr>
          </w:pPr>
          <w:r>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01D863B6" w14:textId="77777777" w:rsidR="009311F4" w:rsidRPr="00856398" w:rsidRDefault="009311F4" w:rsidP="00EA20BF">
          <w:pPr>
            <w:ind w:left="-135" w:right="-53"/>
            <w:jc w:val="right"/>
            <w:rPr>
              <w:b/>
              <w:i/>
              <w:sz w:val="18"/>
              <w:szCs w:val="18"/>
            </w:rPr>
          </w:pPr>
          <w:r w:rsidRPr="00856398">
            <w:rPr>
              <w:b/>
              <w:i/>
              <w:sz w:val="18"/>
              <w:szCs w:val="18"/>
            </w:rPr>
            <w:t>AND SUBSIDIARIES</w:t>
          </w:r>
        </w:p>
        <w:p w14:paraId="6575FF5A" w14:textId="77777777" w:rsidR="009311F4" w:rsidRPr="00856398" w:rsidRDefault="009311F4" w:rsidP="00EA20BF">
          <w:pPr>
            <w:ind w:left="-135" w:right="-53"/>
            <w:jc w:val="right"/>
            <w:rPr>
              <w:b/>
              <w:i/>
              <w:sz w:val="18"/>
              <w:szCs w:val="18"/>
            </w:rPr>
          </w:pPr>
          <w:r>
            <w:rPr>
              <w:b/>
              <w:i/>
              <w:sz w:val="18"/>
              <w:szCs w:val="18"/>
            </w:rPr>
            <w:t xml:space="preserve">NOTES TO </w:t>
          </w:r>
          <w:r w:rsidRPr="00856398">
            <w:rPr>
              <w:b/>
              <w:i/>
              <w:sz w:val="18"/>
              <w:szCs w:val="18"/>
            </w:rPr>
            <w:t xml:space="preserve">CONSOLIDATED </w:t>
          </w:r>
          <w:r w:rsidRPr="00856398">
            <w:rPr>
              <w:b/>
              <w:i/>
              <w:sz w:val="18"/>
              <w:szCs w:val="18"/>
              <w:lang w:val="id-ID"/>
            </w:rPr>
            <w:t xml:space="preserve">STATEMENT OF </w:t>
          </w:r>
          <w:r w:rsidRPr="00856398">
            <w:rPr>
              <w:b/>
              <w:i/>
              <w:sz w:val="18"/>
              <w:szCs w:val="18"/>
              <w:lang w:val="id-ID"/>
            </w:rPr>
            <w:br/>
            <w:t>FINANCIAL POSITION</w:t>
          </w:r>
        </w:p>
        <w:p w14:paraId="7AD20F6A" w14:textId="77777777" w:rsidR="009311F4" w:rsidRPr="00856398" w:rsidRDefault="009311F4" w:rsidP="00EA20BF">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23786246" w14:textId="67A63FAE" w:rsidR="009311F4" w:rsidRPr="00856398" w:rsidRDefault="009311F4" w:rsidP="00EA20BF">
          <w:pPr>
            <w:pStyle w:val="Header"/>
            <w:ind w:left="-57" w:right="-57"/>
            <w:jc w:val="right"/>
            <w:rPr>
              <w:i/>
              <w:sz w:val="18"/>
              <w:szCs w:val="18"/>
            </w:rPr>
          </w:pPr>
          <w:r w:rsidRPr="00856398">
            <w:rPr>
              <w:i/>
              <w:sz w:val="18"/>
              <w:szCs w:val="18"/>
            </w:rPr>
            <w:t>(Expressed in Rupiah, unless otherwise stated</w:t>
          </w:r>
          <w:r w:rsidRPr="00856398">
            <w:rPr>
              <w:i/>
              <w:sz w:val="18"/>
              <w:szCs w:val="18"/>
              <w:lang w:val="id-ID"/>
            </w:rPr>
            <w:t>)</w:t>
          </w:r>
        </w:p>
      </w:tc>
    </w:tr>
  </w:tbl>
  <w:p w14:paraId="3EAE9485" w14:textId="77777777" w:rsidR="009311F4" w:rsidRPr="000406F0" w:rsidRDefault="009311F4" w:rsidP="000406F0">
    <w:pPr>
      <w:pStyle w:val="Header"/>
      <w:tabs>
        <w:tab w:val="clear" w:pos="4320"/>
        <w:tab w:val="clear" w:pos="8640"/>
      </w:tabs>
      <w:rPr>
        <w:sz w:val="18"/>
        <w:szCs w:val="18"/>
        <w:lang w:val="id-ID"/>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249B0" w14:textId="77777777" w:rsidR="009311F4" w:rsidRDefault="009311F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CA26" w14:textId="77777777" w:rsidR="009311F4" w:rsidRDefault="009311F4">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3FFAE" w14:textId="77777777" w:rsidR="009311F4" w:rsidRDefault="009311F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8838" w14:textId="77777777" w:rsidR="009311F4" w:rsidRDefault="009311F4">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108" w:type="dxa"/>
      <w:tblBorders>
        <w:bottom w:val="single" w:sz="4" w:space="0" w:color="auto"/>
      </w:tblBorders>
      <w:tblLook w:val="00A0" w:firstRow="1" w:lastRow="0" w:firstColumn="1" w:lastColumn="0" w:noHBand="0" w:noVBand="0"/>
    </w:tblPr>
    <w:tblGrid>
      <w:gridCol w:w="4598"/>
      <w:gridCol w:w="4599"/>
    </w:tblGrid>
    <w:tr w:rsidR="009311F4" w:rsidRPr="00856398" w14:paraId="3D6C6815" w14:textId="77777777" w:rsidTr="0030048B">
      <w:trPr>
        <w:trHeight w:val="1418"/>
      </w:trPr>
      <w:tc>
        <w:tcPr>
          <w:tcW w:w="4598" w:type="dxa"/>
        </w:tcPr>
        <w:p w14:paraId="21594269" w14:textId="77777777" w:rsidR="009311F4" w:rsidRPr="00856398" w:rsidRDefault="009311F4" w:rsidP="0030048B">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78558C75" w14:textId="77777777" w:rsidR="009311F4" w:rsidRPr="00856398" w:rsidRDefault="009311F4" w:rsidP="0030048B">
          <w:pPr>
            <w:rPr>
              <w:b/>
              <w:sz w:val="18"/>
              <w:szCs w:val="18"/>
            </w:rPr>
          </w:pPr>
          <w:r w:rsidRPr="00856398">
            <w:rPr>
              <w:b/>
              <w:sz w:val="18"/>
              <w:szCs w:val="18"/>
            </w:rPr>
            <w:t>DAN ENTITAS ANAK</w:t>
          </w:r>
        </w:p>
        <w:p w14:paraId="04FA6E4D" w14:textId="77777777" w:rsidR="009311F4" w:rsidRDefault="009311F4" w:rsidP="0030048B">
          <w:pPr>
            <w:pStyle w:val="Header"/>
            <w:tabs>
              <w:tab w:val="clear" w:pos="4320"/>
              <w:tab w:val="clear" w:pos="8640"/>
            </w:tabs>
            <w:ind w:right="-57"/>
            <w:rPr>
              <w:b/>
              <w:sz w:val="18"/>
              <w:szCs w:val="18"/>
            </w:rPr>
          </w:pPr>
          <w:r>
            <w:rPr>
              <w:b/>
              <w:sz w:val="18"/>
              <w:szCs w:val="18"/>
            </w:rPr>
            <w:t xml:space="preserve">CATATAN ATAS </w:t>
          </w:r>
          <w:r w:rsidRPr="00856398">
            <w:rPr>
              <w:b/>
              <w:sz w:val="18"/>
              <w:szCs w:val="18"/>
              <w:lang w:val="id-ID"/>
            </w:rPr>
            <w:t>LAPORAN POSISI KEUANGAN</w:t>
          </w:r>
          <w:r>
            <w:rPr>
              <w:b/>
              <w:sz w:val="18"/>
              <w:szCs w:val="18"/>
            </w:rPr>
            <w:t xml:space="preserve"> </w:t>
          </w:r>
        </w:p>
        <w:p w14:paraId="166634F3" w14:textId="77777777" w:rsidR="009311F4" w:rsidRPr="00856398" w:rsidRDefault="009311F4" w:rsidP="0030048B">
          <w:pPr>
            <w:pStyle w:val="Header"/>
            <w:tabs>
              <w:tab w:val="clear" w:pos="4320"/>
              <w:tab w:val="clear" w:pos="8640"/>
            </w:tabs>
            <w:ind w:right="-57"/>
            <w:rPr>
              <w:b/>
              <w:sz w:val="18"/>
              <w:szCs w:val="18"/>
              <w:lang w:val="id-ID"/>
            </w:rPr>
          </w:pPr>
          <w:r w:rsidRPr="00856398">
            <w:rPr>
              <w:b/>
              <w:sz w:val="18"/>
              <w:szCs w:val="18"/>
            </w:rPr>
            <w:t xml:space="preserve">KONSOLIDASIAN </w:t>
          </w:r>
        </w:p>
        <w:p w14:paraId="6A0A11DC"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1F5C1EFB" w14:textId="77777777" w:rsidR="009311F4" w:rsidRPr="00907095" w:rsidRDefault="009311F4" w:rsidP="0030048B">
          <w:pPr>
            <w:pStyle w:val="Header"/>
            <w:tabs>
              <w:tab w:val="clear" w:pos="4320"/>
            </w:tabs>
            <w:ind w:right="-57"/>
            <w:rPr>
              <w:sz w:val="18"/>
              <w:szCs w:val="18"/>
            </w:rPr>
          </w:pPr>
          <w:r>
            <w:rPr>
              <w:sz w:val="18"/>
              <w:szCs w:val="18"/>
            </w:rPr>
            <w:t>dan 31 Desember 2019 (Diaudit)</w:t>
          </w:r>
        </w:p>
        <w:p w14:paraId="761A35C8" w14:textId="2C1D58E7" w:rsidR="009311F4" w:rsidRPr="00856398" w:rsidRDefault="009311F4" w:rsidP="0030048B">
          <w:pPr>
            <w:pStyle w:val="Header"/>
            <w:ind w:right="-57"/>
            <w:rPr>
              <w:b/>
              <w:sz w:val="18"/>
              <w:szCs w:val="18"/>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599" w:type="dxa"/>
        </w:tcPr>
        <w:p w14:paraId="7AE94498" w14:textId="1E0B0737" w:rsidR="009311F4" w:rsidRPr="00856398" w:rsidRDefault="009311F4" w:rsidP="0030048B">
          <w:pPr>
            <w:ind w:right="-53"/>
            <w:rPr>
              <w:b/>
              <w:i/>
              <w:sz w:val="18"/>
              <w:szCs w:val="18"/>
              <w:lang w:val="id-ID"/>
            </w:rPr>
          </w:pPr>
          <w:r>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61F981B7" w14:textId="77777777" w:rsidR="009311F4" w:rsidRPr="00856398" w:rsidRDefault="009311F4" w:rsidP="0030048B">
          <w:pPr>
            <w:ind w:left="-135" w:right="-53"/>
            <w:jc w:val="right"/>
            <w:rPr>
              <w:b/>
              <w:i/>
              <w:sz w:val="18"/>
              <w:szCs w:val="18"/>
            </w:rPr>
          </w:pPr>
          <w:r w:rsidRPr="00856398">
            <w:rPr>
              <w:b/>
              <w:i/>
              <w:sz w:val="18"/>
              <w:szCs w:val="18"/>
            </w:rPr>
            <w:t>AND SUBSIDIARIES</w:t>
          </w:r>
        </w:p>
        <w:p w14:paraId="3BF2251E" w14:textId="77777777" w:rsidR="009311F4" w:rsidRPr="00856398" w:rsidRDefault="009311F4" w:rsidP="0030048B">
          <w:pPr>
            <w:ind w:left="-135" w:right="-53"/>
            <w:jc w:val="right"/>
            <w:rPr>
              <w:b/>
              <w:i/>
              <w:sz w:val="18"/>
              <w:szCs w:val="18"/>
            </w:rPr>
          </w:pPr>
          <w:r>
            <w:rPr>
              <w:b/>
              <w:i/>
              <w:sz w:val="18"/>
              <w:szCs w:val="18"/>
            </w:rPr>
            <w:t xml:space="preserve">NOTES TO </w:t>
          </w:r>
          <w:r w:rsidRPr="00856398">
            <w:rPr>
              <w:b/>
              <w:i/>
              <w:sz w:val="18"/>
              <w:szCs w:val="18"/>
            </w:rPr>
            <w:t xml:space="preserve">CONSOLIDATED </w:t>
          </w:r>
          <w:r w:rsidRPr="00856398">
            <w:rPr>
              <w:b/>
              <w:i/>
              <w:sz w:val="18"/>
              <w:szCs w:val="18"/>
              <w:lang w:val="id-ID"/>
            </w:rPr>
            <w:t xml:space="preserve">STATEMENT OF </w:t>
          </w:r>
          <w:r w:rsidRPr="00856398">
            <w:rPr>
              <w:b/>
              <w:i/>
              <w:sz w:val="18"/>
              <w:szCs w:val="18"/>
              <w:lang w:val="id-ID"/>
            </w:rPr>
            <w:br/>
            <w:t>FINANCIAL POSITION</w:t>
          </w:r>
        </w:p>
        <w:p w14:paraId="5386CF5B" w14:textId="77777777" w:rsidR="009311F4" w:rsidRPr="00856398" w:rsidRDefault="009311F4" w:rsidP="0030048B">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7D65975B" w14:textId="75CDBFA1" w:rsidR="009311F4" w:rsidRPr="00856398" w:rsidRDefault="009311F4" w:rsidP="0030048B">
          <w:pPr>
            <w:pStyle w:val="Header"/>
            <w:tabs>
              <w:tab w:val="left" w:pos="1755"/>
            </w:tabs>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02E1C85F" w14:textId="77777777" w:rsidR="009311F4" w:rsidRPr="00856398" w:rsidRDefault="009311F4" w:rsidP="00A05B46">
    <w:pPr>
      <w:rPr>
        <w:sz w:val="16"/>
        <w:szCs w:val="16"/>
        <w:lang w:val="id-ID"/>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108" w:type="dxa"/>
      <w:tblLook w:val="00A0" w:firstRow="1" w:lastRow="0" w:firstColumn="1" w:lastColumn="0" w:noHBand="0" w:noVBand="0"/>
    </w:tblPr>
    <w:tblGrid>
      <w:gridCol w:w="4598"/>
      <w:gridCol w:w="4599"/>
    </w:tblGrid>
    <w:tr w:rsidR="009311F4" w:rsidRPr="00C85EDE" w14:paraId="4EBE4ECF" w14:textId="77777777" w:rsidTr="0030048B">
      <w:trPr>
        <w:trHeight w:val="1135"/>
      </w:trPr>
      <w:tc>
        <w:tcPr>
          <w:tcW w:w="4598" w:type="dxa"/>
          <w:tcBorders>
            <w:bottom w:val="single" w:sz="4" w:space="0" w:color="auto"/>
          </w:tcBorders>
        </w:tcPr>
        <w:p w14:paraId="641561B2" w14:textId="77777777" w:rsidR="009311F4" w:rsidRPr="00856398" w:rsidRDefault="009311F4" w:rsidP="0030048B">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2351E35A" w14:textId="77777777" w:rsidR="009311F4" w:rsidRPr="00856398" w:rsidRDefault="009311F4" w:rsidP="0030048B">
          <w:pPr>
            <w:rPr>
              <w:b/>
              <w:sz w:val="18"/>
              <w:szCs w:val="18"/>
            </w:rPr>
          </w:pPr>
          <w:r w:rsidRPr="00856398">
            <w:rPr>
              <w:b/>
              <w:sz w:val="18"/>
              <w:szCs w:val="18"/>
            </w:rPr>
            <w:t>DAN ENTITAS ANAK</w:t>
          </w:r>
        </w:p>
        <w:p w14:paraId="178BA693" w14:textId="77777777" w:rsidR="009311F4" w:rsidRDefault="009311F4" w:rsidP="0030048B">
          <w:pPr>
            <w:pStyle w:val="Header"/>
            <w:tabs>
              <w:tab w:val="clear" w:pos="4320"/>
              <w:tab w:val="clear" w:pos="8640"/>
            </w:tabs>
            <w:ind w:right="-57"/>
            <w:rPr>
              <w:b/>
              <w:sz w:val="18"/>
              <w:szCs w:val="18"/>
            </w:rPr>
          </w:pPr>
          <w:r>
            <w:rPr>
              <w:b/>
              <w:sz w:val="18"/>
              <w:szCs w:val="18"/>
            </w:rPr>
            <w:t xml:space="preserve">CATATAN ATAS </w:t>
          </w:r>
          <w:r w:rsidRPr="00856398">
            <w:rPr>
              <w:b/>
              <w:sz w:val="18"/>
              <w:szCs w:val="18"/>
              <w:lang w:val="id-ID"/>
            </w:rPr>
            <w:t>LAPORAN POSISI KEUANGAN</w:t>
          </w:r>
          <w:r>
            <w:rPr>
              <w:b/>
              <w:sz w:val="18"/>
              <w:szCs w:val="18"/>
            </w:rPr>
            <w:t xml:space="preserve"> </w:t>
          </w:r>
        </w:p>
        <w:p w14:paraId="638215B0" w14:textId="77777777" w:rsidR="009311F4" w:rsidRPr="00856398" w:rsidRDefault="009311F4" w:rsidP="0030048B">
          <w:pPr>
            <w:pStyle w:val="Header"/>
            <w:tabs>
              <w:tab w:val="clear" w:pos="4320"/>
              <w:tab w:val="clear" w:pos="8640"/>
            </w:tabs>
            <w:ind w:right="-57"/>
            <w:rPr>
              <w:b/>
              <w:sz w:val="18"/>
              <w:szCs w:val="18"/>
              <w:lang w:val="id-ID"/>
            </w:rPr>
          </w:pPr>
          <w:r w:rsidRPr="00856398">
            <w:rPr>
              <w:b/>
              <w:sz w:val="18"/>
              <w:szCs w:val="18"/>
            </w:rPr>
            <w:t xml:space="preserve">KONSOLIDASIAN </w:t>
          </w:r>
        </w:p>
        <w:p w14:paraId="1086FB4C"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25635DD7" w14:textId="77777777" w:rsidR="009311F4" w:rsidRPr="00907095" w:rsidRDefault="009311F4" w:rsidP="0030048B">
          <w:pPr>
            <w:pStyle w:val="Header"/>
            <w:tabs>
              <w:tab w:val="clear" w:pos="4320"/>
            </w:tabs>
            <w:ind w:right="-57"/>
            <w:rPr>
              <w:sz w:val="18"/>
              <w:szCs w:val="18"/>
            </w:rPr>
          </w:pPr>
          <w:r>
            <w:rPr>
              <w:sz w:val="18"/>
              <w:szCs w:val="18"/>
            </w:rPr>
            <w:t>dan 31 Desember 2019 (Diaudit)</w:t>
          </w:r>
        </w:p>
        <w:p w14:paraId="1CA41927" w14:textId="7013C2AA" w:rsidR="009311F4" w:rsidRPr="00C85EDE" w:rsidRDefault="009311F4" w:rsidP="0030048B">
          <w:pPr>
            <w:pStyle w:val="Header"/>
            <w:ind w:right="-57"/>
            <w:rPr>
              <w:b/>
              <w:sz w:val="18"/>
              <w:szCs w:val="18"/>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599" w:type="dxa"/>
          <w:tcBorders>
            <w:bottom w:val="single" w:sz="4" w:space="0" w:color="auto"/>
          </w:tcBorders>
        </w:tcPr>
        <w:p w14:paraId="01801A76" w14:textId="2BCE226A" w:rsidR="009311F4" w:rsidRPr="00856398" w:rsidRDefault="009311F4" w:rsidP="0030048B">
          <w:pPr>
            <w:ind w:right="-53"/>
            <w:rPr>
              <w:b/>
              <w:i/>
              <w:sz w:val="18"/>
              <w:szCs w:val="18"/>
              <w:lang w:val="id-ID"/>
            </w:rPr>
          </w:pPr>
          <w:r>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2A83D060" w14:textId="77777777" w:rsidR="009311F4" w:rsidRPr="00856398" w:rsidRDefault="009311F4" w:rsidP="0030048B">
          <w:pPr>
            <w:ind w:left="-135" w:right="-53"/>
            <w:jc w:val="right"/>
            <w:rPr>
              <w:b/>
              <w:i/>
              <w:sz w:val="18"/>
              <w:szCs w:val="18"/>
            </w:rPr>
          </w:pPr>
          <w:r w:rsidRPr="00856398">
            <w:rPr>
              <w:b/>
              <w:i/>
              <w:sz w:val="18"/>
              <w:szCs w:val="18"/>
            </w:rPr>
            <w:t>AND SUBSIDIARIES</w:t>
          </w:r>
        </w:p>
        <w:p w14:paraId="1DDDAC80" w14:textId="77777777" w:rsidR="009311F4" w:rsidRPr="00856398" w:rsidRDefault="009311F4" w:rsidP="0030048B">
          <w:pPr>
            <w:ind w:left="-135" w:right="-53"/>
            <w:jc w:val="right"/>
            <w:rPr>
              <w:b/>
              <w:i/>
              <w:sz w:val="18"/>
              <w:szCs w:val="18"/>
            </w:rPr>
          </w:pPr>
          <w:r>
            <w:rPr>
              <w:b/>
              <w:i/>
              <w:sz w:val="18"/>
              <w:szCs w:val="18"/>
            </w:rPr>
            <w:t xml:space="preserve">NOTES TO </w:t>
          </w:r>
          <w:r w:rsidRPr="00856398">
            <w:rPr>
              <w:b/>
              <w:i/>
              <w:sz w:val="18"/>
              <w:szCs w:val="18"/>
            </w:rPr>
            <w:t xml:space="preserve">CONSOLIDATED </w:t>
          </w:r>
          <w:r w:rsidRPr="00856398">
            <w:rPr>
              <w:b/>
              <w:i/>
              <w:sz w:val="18"/>
              <w:szCs w:val="18"/>
              <w:lang w:val="id-ID"/>
            </w:rPr>
            <w:t xml:space="preserve">STATEMENT OF </w:t>
          </w:r>
          <w:r w:rsidRPr="00856398">
            <w:rPr>
              <w:b/>
              <w:i/>
              <w:sz w:val="18"/>
              <w:szCs w:val="18"/>
              <w:lang w:val="id-ID"/>
            </w:rPr>
            <w:br/>
            <w:t>FINANCIAL POSITION</w:t>
          </w:r>
        </w:p>
        <w:p w14:paraId="5C2F5D43" w14:textId="77777777" w:rsidR="009311F4" w:rsidRPr="00856398" w:rsidRDefault="009311F4" w:rsidP="0030048B">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1D2926B2" w14:textId="2019C2B9" w:rsidR="009311F4" w:rsidRPr="00C85EDE" w:rsidRDefault="009311F4" w:rsidP="0030048B">
          <w:pPr>
            <w:pStyle w:val="Header"/>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75E2345C" w14:textId="77777777" w:rsidR="009311F4" w:rsidRPr="00C85EDE" w:rsidRDefault="009311F4" w:rsidP="00CF769D">
    <w:pPr>
      <w:pStyle w:val="Header"/>
      <w:rPr>
        <w:sz w:val="18"/>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4DAC9" w14:textId="77777777" w:rsidR="009311F4" w:rsidRDefault="00931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108" w:type="dxa"/>
      <w:tblLook w:val="00A0" w:firstRow="1" w:lastRow="0" w:firstColumn="1" w:lastColumn="0" w:noHBand="0" w:noVBand="0"/>
    </w:tblPr>
    <w:tblGrid>
      <w:gridCol w:w="4598"/>
      <w:gridCol w:w="4599"/>
    </w:tblGrid>
    <w:tr w:rsidR="009311F4" w:rsidRPr="00856398" w14:paraId="6F6EE1C8" w14:textId="77777777" w:rsidTr="0021012F">
      <w:tc>
        <w:tcPr>
          <w:tcW w:w="4599" w:type="dxa"/>
          <w:tcBorders>
            <w:bottom w:val="single" w:sz="4" w:space="0" w:color="auto"/>
          </w:tcBorders>
        </w:tcPr>
        <w:p w14:paraId="76F7511F" w14:textId="2AF96214" w:rsidR="009311F4" w:rsidRPr="00856398" w:rsidRDefault="009311F4" w:rsidP="00381272">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08F0122B" w14:textId="77777777" w:rsidR="009311F4" w:rsidRPr="00856398" w:rsidRDefault="009311F4" w:rsidP="00664FD0">
          <w:pPr>
            <w:rPr>
              <w:b/>
              <w:sz w:val="18"/>
              <w:szCs w:val="18"/>
            </w:rPr>
          </w:pPr>
          <w:r w:rsidRPr="00856398">
            <w:rPr>
              <w:b/>
              <w:sz w:val="18"/>
              <w:szCs w:val="18"/>
            </w:rPr>
            <w:t>DAN ENTITAS ANAK</w:t>
          </w:r>
        </w:p>
        <w:p w14:paraId="27FEA9C5" w14:textId="77777777" w:rsidR="009311F4" w:rsidRDefault="009311F4" w:rsidP="004B2B6E">
          <w:pPr>
            <w:pStyle w:val="Header"/>
            <w:tabs>
              <w:tab w:val="clear" w:pos="4320"/>
              <w:tab w:val="clear" w:pos="8640"/>
            </w:tabs>
            <w:ind w:right="-57"/>
            <w:rPr>
              <w:b/>
              <w:sz w:val="18"/>
              <w:szCs w:val="18"/>
            </w:rPr>
          </w:pPr>
          <w:r w:rsidRPr="00856398">
            <w:rPr>
              <w:b/>
              <w:sz w:val="18"/>
              <w:szCs w:val="18"/>
              <w:lang w:val="id-ID"/>
            </w:rPr>
            <w:t>LAPORAN POSISI KEUANGAN</w:t>
          </w:r>
          <w:r>
            <w:rPr>
              <w:b/>
              <w:sz w:val="18"/>
              <w:szCs w:val="18"/>
            </w:rPr>
            <w:t xml:space="preserve"> </w:t>
          </w:r>
        </w:p>
        <w:p w14:paraId="7CF5B17E" w14:textId="2A4EB190" w:rsidR="009311F4" w:rsidRPr="00856398" w:rsidRDefault="009311F4" w:rsidP="004B2B6E">
          <w:pPr>
            <w:pStyle w:val="Header"/>
            <w:tabs>
              <w:tab w:val="clear" w:pos="4320"/>
              <w:tab w:val="clear" w:pos="8640"/>
            </w:tabs>
            <w:ind w:right="-57"/>
            <w:rPr>
              <w:b/>
              <w:sz w:val="18"/>
              <w:szCs w:val="18"/>
              <w:lang w:val="id-ID"/>
            </w:rPr>
          </w:pPr>
          <w:r w:rsidRPr="00856398">
            <w:rPr>
              <w:b/>
              <w:sz w:val="18"/>
              <w:szCs w:val="18"/>
            </w:rPr>
            <w:t xml:space="preserve">KONSOLIDASIAN </w:t>
          </w:r>
        </w:p>
        <w:p w14:paraId="78A71F9D" w14:textId="6110EEAB" w:rsidR="009311F4" w:rsidRPr="00907095" w:rsidRDefault="009311F4" w:rsidP="008A4EA0">
          <w:pPr>
            <w:pStyle w:val="Header"/>
            <w:tabs>
              <w:tab w:val="clear" w:pos="4320"/>
            </w:tabs>
            <w:ind w:right="-57"/>
            <w:rPr>
              <w:sz w:val="18"/>
              <w:szCs w:val="18"/>
            </w:rPr>
          </w:pPr>
          <w:r>
            <w:rPr>
              <w:sz w:val="18"/>
              <w:szCs w:val="18"/>
            </w:rPr>
            <w:t>31 Maret 2020 (Tidak Diaudit) dan 31 Desember 2019 (Diaudit)</w:t>
          </w:r>
        </w:p>
        <w:p w14:paraId="3E74B927" w14:textId="77777777" w:rsidR="009311F4" w:rsidRPr="00856398" w:rsidRDefault="009311F4" w:rsidP="005370B1">
          <w:pPr>
            <w:pStyle w:val="Header"/>
            <w:tabs>
              <w:tab w:val="clear" w:pos="4320"/>
              <w:tab w:val="clear" w:pos="8640"/>
              <w:tab w:val="right" w:pos="4462"/>
            </w:tabs>
            <w:ind w:right="-57"/>
            <w:rPr>
              <w:b/>
              <w:sz w:val="18"/>
              <w:szCs w:val="18"/>
              <w:lang w:val="sv-SE"/>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600" w:type="dxa"/>
          <w:tcBorders>
            <w:bottom w:val="single" w:sz="4" w:space="0" w:color="auto"/>
          </w:tcBorders>
        </w:tcPr>
        <w:p w14:paraId="1EEFF565" w14:textId="0D28E6B0" w:rsidR="009311F4" w:rsidRPr="00856398" w:rsidRDefault="009311F4" w:rsidP="00381272">
          <w:pPr>
            <w:ind w:left="540" w:right="-53"/>
            <w:jc w:val="right"/>
            <w:rPr>
              <w:b/>
              <w:i/>
              <w:sz w:val="18"/>
              <w:szCs w:val="18"/>
              <w:lang w:val="id-ID"/>
            </w:rPr>
          </w:pPr>
          <w:r w:rsidRPr="00856398">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76A5F091" w14:textId="77777777" w:rsidR="009311F4" w:rsidRPr="00856398" w:rsidRDefault="009311F4" w:rsidP="00040706">
          <w:pPr>
            <w:ind w:left="-135" w:right="-53"/>
            <w:jc w:val="right"/>
            <w:rPr>
              <w:b/>
              <w:i/>
              <w:sz w:val="18"/>
              <w:szCs w:val="18"/>
            </w:rPr>
          </w:pPr>
          <w:r w:rsidRPr="00856398">
            <w:rPr>
              <w:b/>
              <w:i/>
              <w:sz w:val="18"/>
              <w:szCs w:val="18"/>
            </w:rPr>
            <w:t>AND SUBSIDIARIES</w:t>
          </w:r>
        </w:p>
        <w:p w14:paraId="570AD273" w14:textId="77777777" w:rsidR="009311F4" w:rsidRPr="00856398" w:rsidRDefault="009311F4" w:rsidP="00040706">
          <w:pPr>
            <w:ind w:left="-135" w:right="-53"/>
            <w:jc w:val="right"/>
            <w:rPr>
              <w:b/>
              <w:i/>
              <w:sz w:val="18"/>
              <w:szCs w:val="18"/>
            </w:rPr>
          </w:pPr>
          <w:r w:rsidRPr="00856398">
            <w:rPr>
              <w:b/>
              <w:i/>
              <w:sz w:val="18"/>
              <w:szCs w:val="18"/>
            </w:rPr>
            <w:t xml:space="preserve">CONSOLIDATED </w:t>
          </w:r>
          <w:r w:rsidRPr="00856398">
            <w:rPr>
              <w:b/>
              <w:i/>
              <w:sz w:val="18"/>
              <w:szCs w:val="18"/>
              <w:lang w:val="id-ID"/>
            </w:rPr>
            <w:t xml:space="preserve">STATEMENT OF </w:t>
          </w:r>
          <w:r w:rsidRPr="00856398">
            <w:rPr>
              <w:b/>
              <w:i/>
              <w:sz w:val="18"/>
              <w:szCs w:val="18"/>
              <w:lang w:val="id-ID"/>
            </w:rPr>
            <w:br/>
            <w:t>FINANCIAL POSITION</w:t>
          </w:r>
        </w:p>
        <w:p w14:paraId="553875A5" w14:textId="2B5E2457" w:rsidR="009311F4" w:rsidRPr="00856398" w:rsidRDefault="009311F4" w:rsidP="008A4EA0">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72061C0C" w14:textId="77777777" w:rsidR="009311F4" w:rsidRPr="00856398" w:rsidRDefault="009311F4" w:rsidP="00171892">
          <w:pPr>
            <w:pStyle w:val="Header"/>
            <w:tabs>
              <w:tab w:val="clear" w:pos="4320"/>
            </w:tabs>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0BD8A561" w14:textId="77777777" w:rsidR="009311F4" w:rsidRPr="00856398" w:rsidRDefault="009311F4" w:rsidP="008A4EA0">
    <w:pPr>
      <w:pStyle w:val="Header"/>
      <w:tabs>
        <w:tab w:val="clear" w:pos="4320"/>
        <w:tab w:val="clear" w:pos="8640"/>
      </w:tabs>
      <w:rPr>
        <w:sz w:val="18"/>
        <w:szCs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406" w:type="dxa"/>
      <w:tblLook w:val="00A0" w:firstRow="1" w:lastRow="0" w:firstColumn="1" w:lastColumn="0" w:noHBand="0" w:noVBand="0"/>
    </w:tblPr>
    <w:tblGrid>
      <w:gridCol w:w="4598"/>
      <w:gridCol w:w="4599"/>
    </w:tblGrid>
    <w:tr w:rsidR="009311F4" w:rsidRPr="00C46C6E" w14:paraId="78A56F28" w14:textId="77777777" w:rsidTr="002108FF">
      <w:trPr>
        <w:trHeight w:val="854"/>
      </w:trPr>
      <w:tc>
        <w:tcPr>
          <w:tcW w:w="4598" w:type="dxa"/>
          <w:tcBorders>
            <w:bottom w:val="single" w:sz="4" w:space="0" w:color="auto"/>
          </w:tcBorders>
        </w:tcPr>
        <w:p w14:paraId="4CB8EDBC" w14:textId="77777777" w:rsidR="009311F4" w:rsidRPr="00856398" w:rsidRDefault="009311F4" w:rsidP="0030048B">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6D851B9D" w14:textId="77777777" w:rsidR="009311F4" w:rsidRPr="00856398" w:rsidRDefault="009311F4" w:rsidP="0030048B">
          <w:pPr>
            <w:rPr>
              <w:b/>
              <w:sz w:val="18"/>
              <w:szCs w:val="18"/>
            </w:rPr>
          </w:pPr>
          <w:r w:rsidRPr="00856398">
            <w:rPr>
              <w:b/>
              <w:sz w:val="18"/>
              <w:szCs w:val="18"/>
            </w:rPr>
            <w:t>DAN ENTITAS ANAK</w:t>
          </w:r>
        </w:p>
        <w:p w14:paraId="26813978" w14:textId="77777777" w:rsidR="009311F4" w:rsidRDefault="009311F4" w:rsidP="0030048B">
          <w:pPr>
            <w:pStyle w:val="Header"/>
            <w:tabs>
              <w:tab w:val="clear" w:pos="4320"/>
              <w:tab w:val="clear" w:pos="8640"/>
            </w:tabs>
            <w:ind w:right="-57"/>
            <w:rPr>
              <w:b/>
              <w:sz w:val="18"/>
              <w:szCs w:val="18"/>
            </w:rPr>
          </w:pPr>
          <w:r>
            <w:rPr>
              <w:b/>
              <w:sz w:val="18"/>
              <w:szCs w:val="18"/>
            </w:rPr>
            <w:t xml:space="preserve">CATATAN ATAS </w:t>
          </w:r>
          <w:r w:rsidRPr="00856398">
            <w:rPr>
              <w:b/>
              <w:sz w:val="18"/>
              <w:szCs w:val="18"/>
              <w:lang w:val="id-ID"/>
            </w:rPr>
            <w:t>LAPORAN POSISI KEUANGAN</w:t>
          </w:r>
          <w:r>
            <w:rPr>
              <w:b/>
              <w:sz w:val="18"/>
              <w:szCs w:val="18"/>
            </w:rPr>
            <w:t xml:space="preserve"> </w:t>
          </w:r>
        </w:p>
        <w:p w14:paraId="46866591" w14:textId="77777777" w:rsidR="009311F4" w:rsidRPr="00856398" w:rsidRDefault="009311F4" w:rsidP="0030048B">
          <w:pPr>
            <w:pStyle w:val="Header"/>
            <w:tabs>
              <w:tab w:val="clear" w:pos="4320"/>
              <w:tab w:val="clear" w:pos="8640"/>
            </w:tabs>
            <w:ind w:right="-57"/>
            <w:rPr>
              <w:b/>
              <w:sz w:val="18"/>
              <w:szCs w:val="18"/>
              <w:lang w:val="id-ID"/>
            </w:rPr>
          </w:pPr>
          <w:r w:rsidRPr="00856398">
            <w:rPr>
              <w:b/>
              <w:sz w:val="18"/>
              <w:szCs w:val="18"/>
            </w:rPr>
            <w:t xml:space="preserve">KONSOLIDASIAN </w:t>
          </w:r>
        </w:p>
        <w:p w14:paraId="2CF355A0"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0E28AED3" w14:textId="77777777" w:rsidR="009311F4" w:rsidRPr="00907095" w:rsidRDefault="009311F4" w:rsidP="0030048B">
          <w:pPr>
            <w:pStyle w:val="Header"/>
            <w:tabs>
              <w:tab w:val="clear" w:pos="4320"/>
            </w:tabs>
            <w:ind w:right="-57"/>
            <w:rPr>
              <w:sz w:val="18"/>
              <w:szCs w:val="18"/>
            </w:rPr>
          </w:pPr>
          <w:r>
            <w:rPr>
              <w:sz w:val="18"/>
              <w:szCs w:val="18"/>
            </w:rPr>
            <w:t>dan 31 Desember 2019 (Diaudit)</w:t>
          </w:r>
        </w:p>
        <w:p w14:paraId="289BAE02" w14:textId="49C78402" w:rsidR="009311F4" w:rsidRPr="00C46C6E" w:rsidRDefault="009311F4" w:rsidP="0030048B">
          <w:pPr>
            <w:pStyle w:val="Header"/>
            <w:ind w:right="-57"/>
            <w:rPr>
              <w:sz w:val="18"/>
              <w:szCs w:val="18"/>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599" w:type="dxa"/>
          <w:tcBorders>
            <w:bottom w:val="single" w:sz="4" w:space="0" w:color="auto"/>
          </w:tcBorders>
        </w:tcPr>
        <w:p w14:paraId="177D0BCD" w14:textId="77777777" w:rsidR="009311F4" w:rsidRPr="00856398" w:rsidRDefault="009311F4" w:rsidP="0030048B">
          <w:pPr>
            <w:ind w:right="-53"/>
            <w:rPr>
              <w:b/>
              <w:i/>
              <w:sz w:val="18"/>
              <w:szCs w:val="18"/>
              <w:lang w:val="id-ID"/>
            </w:rPr>
          </w:pPr>
          <w:r>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333A7118" w14:textId="77777777" w:rsidR="009311F4" w:rsidRPr="00856398" w:rsidRDefault="009311F4" w:rsidP="0030048B">
          <w:pPr>
            <w:ind w:left="-135" w:right="-53"/>
            <w:jc w:val="right"/>
            <w:rPr>
              <w:b/>
              <w:i/>
              <w:sz w:val="18"/>
              <w:szCs w:val="18"/>
            </w:rPr>
          </w:pPr>
          <w:r w:rsidRPr="00856398">
            <w:rPr>
              <w:b/>
              <w:i/>
              <w:sz w:val="18"/>
              <w:szCs w:val="18"/>
            </w:rPr>
            <w:t>AND SUBSIDIARIES</w:t>
          </w:r>
        </w:p>
        <w:p w14:paraId="64117358" w14:textId="77777777" w:rsidR="009311F4" w:rsidRPr="00856398" w:rsidRDefault="009311F4" w:rsidP="0030048B">
          <w:pPr>
            <w:ind w:left="-135" w:right="-53"/>
            <w:jc w:val="right"/>
            <w:rPr>
              <w:b/>
              <w:i/>
              <w:sz w:val="18"/>
              <w:szCs w:val="18"/>
            </w:rPr>
          </w:pPr>
          <w:r>
            <w:rPr>
              <w:b/>
              <w:i/>
              <w:sz w:val="18"/>
              <w:szCs w:val="18"/>
            </w:rPr>
            <w:t xml:space="preserve">NOTES TO </w:t>
          </w:r>
          <w:r w:rsidRPr="00856398">
            <w:rPr>
              <w:b/>
              <w:i/>
              <w:sz w:val="18"/>
              <w:szCs w:val="18"/>
            </w:rPr>
            <w:t xml:space="preserve">CONSOLIDATED </w:t>
          </w:r>
          <w:r w:rsidRPr="00856398">
            <w:rPr>
              <w:b/>
              <w:i/>
              <w:sz w:val="18"/>
              <w:szCs w:val="18"/>
              <w:lang w:val="id-ID"/>
            </w:rPr>
            <w:t xml:space="preserve">STATEMENT OF </w:t>
          </w:r>
          <w:r w:rsidRPr="00856398">
            <w:rPr>
              <w:b/>
              <w:i/>
              <w:sz w:val="18"/>
              <w:szCs w:val="18"/>
              <w:lang w:val="id-ID"/>
            </w:rPr>
            <w:br/>
            <w:t>FINANCIAL POSITION</w:t>
          </w:r>
        </w:p>
        <w:p w14:paraId="0C82D7B4" w14:textId="77777777" w:rsidR="009311F4" w:rsidRPr="00856398" w:rsidRDefault="009311F4" w:rsidP="0030048B">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24840AF7" w14:textId="1299DAFA" w:rsidR="009311F4" w:rsidRPr="00C46C6E" w:rsidRDefault="009311F4" w:rsidP="0030048B">
          <w:pPr>
            <w:ind w:right="-57"/>
            <w:jc w:val="right"/>
            <w:rPr>
              <w:lang w:val="pt-BR"/>
            </w:rPr>
          </w:pPr>
          <w:r w:rsidRPr="00856398">
            <w:rPr>
              <w:i/>
              <w:sz w:val="18"/>
              <w:szCs w:val="18"/>
            </w:rPr>
            <w:t>(Expressed in Rupiah, unless otherwise stated</w:t>
          </w:r>
          <w:r w:rsidRPr="00856398">
            <w:rPr>
              <w:i/>
              <w:sz w:val="18"/>
              <w:szCs w:val="18"/>
              <w:lang w:val="id-ID"/>
            </w:rPr>
            <w:t>)</w:t>
          </w:r>
        </w:p>
      </w:tc>
    </w:tr>
  </w:tbl>
  <w:p w14:paraId="7CFB13C5" w14:textId="77777777" w:rsidR="009311F4" w:rsidRPr="00992A32" w:rsidRDefault="009311F4" w:rsidP="00A05B46">
    <w:pPr>
      <w:rPr>
        <w:sz w:val="18"/>
        <w:szCs w:val="18"/>
        <w:lang w:val="id-ID"/>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426" w:type="dxa"/>
      <w:tblLook w:val="00A0" w:firstRow="1" w:lastRow="0" w:firstColumn="1" w:lastColumn="0" w:noHBand="0" w:noVBand="0"/>
    </w:tblPr>
    <w:tblGrid>
      <w:gridCol w:w="4598"/>
      <w:gridCol w:w="4599"/>
    </w:tblGrid>
    <w:tr w:rsidR="009311F4" w:rsidRPr="00073249" w14:paraId="30DB5382" w14:textId="77777777" w:rsidTr="002108FF">
      <w:trPr>
        <w:trHeight w:val="854"/>
      </w:trPr>
      <w:tc>
        <w:tcPr>
          <w:tcW w:w="4598" w:type="dxa"/>
          <w:tcBorders>
            <w:bottom w:val="single" w:sz="4" w:space="0" w:color="auto"/>
          </w:tcBorders>
        </w:tcPr>
        <w:p w14:paraId="115C48E1" w14:textId="77777777" w:rsidR="009311F4" w:rsidRPr="00856398" w:rsidRDefault="009311F4" w:rsidP="0030048B">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1C648C06" w14:textId="77777777" w:rsidR="009311F4" w:rsidRPr="00856398" w:rsidRDefault="009311F4" w:rsidP="0030048B">
          <w:pPr>
            <w:rPr>
              <w:b/>
              <w:sz w:val="18"/>
              <w:szCs w:val="18"/>
            </w:rPr>
          </w:pPr>
          <w:r w:rsidRPr="00856398">
            <w:rPr>
              <w:b/>
              <w:sz w:val="18"/>
              <w:szCs w:val="18"/>
            </w:rPr>
            <w:t>DAN ENTITAS ANAK</w:t>
          </w:r>
        </w:p>
        <w:p w14:paraId="585C8311" w14:textId="77777777" w:rsidR="009311F4" w:rsidRDefault="009311F4" w:rsidP="0030048B">
          <w:pPr>
            <w:pStyle w:val="Header"/>
            <w:tabs>
              <w:tab w:val="clear" w:pos="4320"/>
              <w:tab w:val="clear" w:pos="8640"/>
            </w:tabs>
            <w:ind w:right="-57"/>
            <w:rPr>
              <w:b/>
              <w:sz w:val="18"/>
              <w:szCs w:val="18"/>
            </w:rPr>
          </w:pPr>
          <w:r>
            <w:rPr>
              <w:b/>
              <w:sz w:val="18"/>
              <w:szCs w:val="18"/>
            </w:rPr>
            <w:t xml:space="preserve">CATATAN ATAS </w:t>
          </w:r>
          <w:r w:rsidRPr="00856398">
            <w:rPr>
              <w:b/>
              <w:sz w:val="18"/>
              <w:szCs w:val="18"/>
              <w:lang w:val="id-ID"/>
            </w:rPr>
            <w:t>LAPORAN POSISI KEUANGAN</w:t>
          </w:r>
          <w:r>
            <w:rPr>
              <w:b/>
              <w:sz w:val="18"/>
              <w:szCs w:val="18"/>
            </w:rPr>
            <w:t xml:space="preserve"> </w:t>
          </w:r>
        </w:p>
        <w:p w14:paraId="701D088D" w14:textId="77777777" w:rsidR="009311F4" w:rsidRPr="00856398" w:rsidRDefault="009311F4" w:rsidP="0030048B">
          <w:pPr>
            <w:pStyle w:val="Header"/>
            <w:tabs>
              <w:tab w:val="clear" w:pos="4320"/>
              <w:tab w:val="clear" w:pos="8640"/>
            </w:tabs>
            <w:ind w:right="-57"/>
            <w:rPr>
              <w:b/>
              <w:sz w:val="18"/>
              <w:szCs w:val="18"/>
              <w:lang w:val="id-ID"/>
            </w:rPr>
          </w:pPr>
          <w:r w:rsidRPr="00856398">
            <w:rPr>
              <w:b/>
              <w:sz w:val="18"/>
              <w:szCs w:val="18"/>
            </w:rPr>
            <w:t xml:space="preserve">KONSOLIDASIAN </w:t>
          </w:r>
        </w:p>
        <w:p w14:paraId="24DE0036"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73BADC2C" w14:textId="77777777" w:rsidR="009311F4" w:rsidRPr="00907095" w:rsidRDefault="009311F4" w:rsidP="0030048B">
          <w:pPr>
            <w:pStyle w:val="Header"/>
            <w:tabs>
              <w:tab w:val="clear" w:pos="4320"/>
            </w:tabs>
            <w:ind w:right="-57"/>
            <w:rPr>
              <w:sz w:val="18"/>
              <w:szCs w:val="18"/>
            </w:rPr>
          </w:pPr>
          <w:r>
            <w:rPr>
              <w:sz w:val="18"/>
              <w:szCs w:val="18"/>
            </w:rPr>
            <w:t>dan 31 Desember 2019 (Diaudit)</w:t>
          </w:r>
        </w:p>
        <w:p w14:paraId="7E200269" w14:textId="629D8BE7" w:rsidR="009311F4" w:rsidRPr="000734E1" w:rsidRDefault="009311F4" w:rsidP="0030048B">
          <w:pPr>
            <w:rPr>
              <w:bCs w:val="0"/>
              <w:sz w:val="18"/>
              <w:szCs w:val="18"/>
              <w:lang w:val="sv-SE"/>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599" w:type="dxa"/>
          <w:tcBorders>
            <w:bottom w:val="single" w:sz="4" w:space="0" w:color="auto"/>
          </w:tcBorders>
        </w:tcPr>
        <w:p w14:paraId="7C43210A" w14:textId="77777777" w:rsidR="009311F4" w:rsidRPr="00856398" w:rsidRDefault="009311F4" w:rsidP="0030048B">
          <w:pPr>
            <w:ind w:right="-53"/>
            <w:rPr>
              <w:b/>
              <w:i/>
              <w:sz w:val="18"/>
              <w:szCs w:val="18"/>
              <w:lang w:val="id-ID"/>
            </w:rPr>
          </w:pPr>
          <w:r>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36576934" w14:textId="77777777" w:rsidR="009311F4" w:rsidRPr="00856398" w:rsidRDefault="009311F4" w:rsidP="0030048B">
          <w:pPr>
            <w:ind w:left="-135" w:right="-53"/>
            <w:jc w:val="right"/>
            <w:rPr>
              <w:b/>
              <w:i/>
              <w:sz w:val="18"/>
              <w:szCs w:val="18"/>
            </w:rPr>
          </w:pPr>
          <w:r w:rsidRPr="00856398">
            <w:rPr>
              <w:b/>
              <w:i/>
              <w:sz w:val="18"/>
              <w:szCs w:val="18"/>
            </w:rPr>
            <w:t>AND SUBSIDIARIES</w:t>
          </w:r>
        </w:p>
        <w:p w14:paraId="526BD15F" w14:textId="77777777" w:rsidR="009311F4" w:rsidRPr="00856398" w:rsidRDefault="009311F4" w:rsidP="0030048B">
          <w:pPr>
            <w:ind w:left="-135" w:right="-53"/>
            <w:jc w:val="right"/>
            <w:rPr>
              <w:b/>
              <w:i/>
              <w:sz w:val="18"/>
              <w:szCs w:val="18"/>
            </w:rPr>
          </w:pPr>
          <w:r>
            <w:rPr>
              <w:b/>
              <w:i/>
              <w:sz w:val="18"/>
              <w:szCs w:val="18"/>
            </w:rPr>
            <w:t xml:space="preserve">NOTES TO </w:t>
          </w:r>
          <w:r w:rsidRPr="00856398">
            <w:rPr>
              <w:b/>
              <w:i/>
              <w:sz w:val="18"/>
              <w:szCs w:val="18"/>
            </w:rPr>
            <w:t xml:space="preserve">CONSOLIDATED </w:t>
          </w:r>
          <w:r w:rsidRPr="00856398">
            <w:rPr>
              <w:b/>
              <w:i/>
              <w:sz w:val="18"/>
              <w:szCs w:val="18"/>
              <w:lang w:val="id-ID"/>
            </w:rPr>
            <w:t xml:space="preserve">STATEMENT OF </w:t>
          </w:r>
          <w:r w:rsidRPr="00856398">
            <w:rPr>
              <w:b/>
              <w:i/>
              <w:sz w:val="18"/>
              <w:szCs w:val="18"/>
              <w:lang w:val="id-ID"/>
            </w:rPr>
            <w:br/>
            <w:t>FINANCIAL POSITION</w:t>
          </w:r>
        </w:p>
        <w:p w14:paraId="0D4C0F6B" w14:textId="77777777" w:rsidR="009311F4" w:rsidRPr="00856398" w:rsidRDefault="009311F4" w:rsidP="0030048B">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7D5F9F82" w14:textId="39F8308C" w:rsidR="009311F4" w:rsidRPr="00073249" w:rsidRDefault="009311F4" w:rsidP="0030048B">
          <w:pPr>
            <w:jc w:val="right"/>
            <w:rPr>
              <w:b/>
              <w:sz w:val="18"/>
              <w:szCs w:val="18"/>
              <w:lang w:val="sv-SE"/>
            </w:rPr>
          </w:pPr>
          <w:r w:rsidRPr="00856398">
            <w:rPr>
              <w:i/>
              <w:sz w:val="18"/>
              <w:szCs w:val="18"/>
            </w:rPr>
            <w:t>(Expressed in Rupiah, unless otherwise stated</w:t>
          </w:r>
          <w:r w:rsidRPr="00856398">
            <w:rPr>
              <w:i/>
              <w:sz w:val="18"/>
              <w:szCs w:val="18"/>
              <w:lang w:val="id-ID"/>
            </w:rPr>
            <w:t>)</w:t>
          </w:r>
        </w:p>
      </w:tc>
    </w:tr>
  </w:tbl>
  <w:p w14:paraId="691F80C9" w14:textId="77777777" w:rsidR="009311F4" w:rsidRPr="00B93860" w:rsidRDefault="009311F4" w:rsidP="00CF769D">
    <w:pPr>
      <w:pStyle w:val="Header"/>
      <w:rPr>
        <w:rFonts w:ascii="ITC Officina Sans Std Book" w:hAnsi="ITC Officina Sans Std Book"/>
        <w:sz w:val="18"/>
        <w:szCs w:val="18"/>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2332" w14:textId="77777777" w:rsidR="009311F4" w:rsidRDefault="009311F4">
    <w:pPr>
      <w:pStyle w:val="Header"/>
    </w:pPr>
  </w:p>
  <w:p w14:paraId="619C27CD" w14:textId="77777777" w:rsidR="009311F4" w:rsidRDefault="009311F4"/>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142" w:type="dxa"/>
      <w:tblBorders>
        <w:bottom w:val="single" w:sz="4" w:space="0" w:color="auto"/>
      </w:tblBorders>
      <w:tblLook w:val="00A0" w:firstRow="1" w:lastRow="0" w:firstColumn="1" w:lastColumn="0" w:noHBand="0" w:noVBand="0"/>
    </w:tblPr>
    <w:tblGrid>
      <w:gridCol w:w="4598"/>
      <w:gridCol w:w="4599"/>
    </w:tblGrid>
    <w:tr w:rsidR="009311F4" w:rsidRPr="002433B2" w14:paraId="33D05AFE" w14:textId="77777777" w:rsidTr="009A292C">
      <w:trPr>
        <w:trHeight w:val="1418"/>
      </w:trPr>
      <w:tc>
        <w:tcPr>
          <w:tcW w:w="4598" w:type="dxa"/>
        </w:tcPr>
        <w:p w14:paraId="5FDE7750" w14:textId="77777777" w:rsidR="009311F4" w:rsidRPr="00856398" w:rsidRDefault="009311F4" w:rsidP="0030048B">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74942B99" w14:textId="77777777" w:rsidR="009311F4" w:rsidRPr="00856398" w:rsidRDefault="009311F4" w:rsidP="0030048B">
          <w:pPr>
            <w:rPr>
              <w:b/>
              <w:sz w:val="18"/>
              <w:szCs w:val="18"/>
            </w:rPr>
          </w:pPr>
          <w:r w:rsidRPr="00856398">
            <w:rPr>
              <w:b/>
              <w:sz w:val="18"/>
              <w:szCs w:val="18"/>
            </w:rPr>
            <w:t>DAN ENTITAS ANAK</w:t>
          </w:r>
        </w:p>
        <w:p w14:paraId="7359903A" w14:textId="77777777" w:rsidR="009311F4" w:rsidRDefault="009311F4" w:rsidP="0030048B">
          <w:pPr>
            <w:pStyle w:val="Header"/>
            <w:tabs>
              <w:tab w:val="clear" w:pos="4320"/>
              <w:tab w:val="clear" w:pos="8640"/>
            </w:tabs>
            <w:ind w:right="-57"/>
            <w:rPr>
              <w:b/>
              <w:sz w:val="18"/>
              <w:szCs w:val="18"/>
            </w:rPr>
          </w:pPr>
          <w:r>
            <w:rPr>
              <w:b/>
              <w:sz w:val="18"/>
              <w:szCs w:val="18"/>
            </w:rPr>
            <w:t xml:space="preserve">CATATAN ATAS </w:t>
          </w:r>
          <w:r w:rsidRPr="00856398">
            <w:rPr>
              <w:b/>
              <w:sz w:val="18"/>
              <w:szCs w:val="18"/>
              <w:lang w:val="id-ID"/>
            </w:rPr>
            <w:t>LAPORAN POSISI KEUANGAN</w:t>
          </w:r>
          <w:r>
            <w:rPr>
              <w:b/>
              <w:sz w:val="18"/>
              <w:szCs w:val="18"/>
            </w:rPr>
            <w:t xml:space="preserve"> </w:t>
          </w:r>
        </w:p>
        <w:p w14:paraId="4DFF06D1" w14:textId="77777777" w:rsidR="009311F4" w:rsidRPr="00856398" w:rsidRDefault="009311F4" w:rsidP="0030048B">
          <w:pPr>
            <w:pStyle w:val="Header"/>
            <w:tabs>
              <w:tab w:val="clear" w:pos="4320"/>
              <w:tab w:val="clear" w:pos="8640"/>
            </w:tabs>
            <w:ind w:right="-57"/>
            <w:rPr>
              <w:b/>
              <w:sz w:val="18"/>
              <w:szCs w:val="18"/>
              <w:lang w:val="id-ID"/>
            </w:rPr>
          </w:pPr>
          <w:r w:rsidRPr="00856398">
            <w:rPr>
              <w:b/>
              <w:sz w:val="18"/>
              <w:szCs w:val="18"/>
            </w:rPr>
            <w:t xml:space="preserve">KONSOLIDASIAN </w:t>
          </w:r>
        </w:p>
        <w:p w14:paraId="4BB5629B"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0894B69E" w14:textId="77777777" w:rsidR="009311F4" w:rsidRPr="00907095" w:rsidRDefault="009311F4" w:rsidP="0030048B">
          <w:pPr>
            <w:pStyle w:val="Header"/>
            <w:tabs>
              <w:tab w:val="clear" w:pos="4320"/>
            </w:tabs>
            <w:ind w:right="-57"/>
            <w:rPr>
              <w:sz w:val="18"/>
              <w:szCs w:val="18"/>
            </w:rPr>
          </w:pPr>
          <w:r>
            <w:rPr>
              <w:sz w:val="18"/>
              <w:szCs w:val="18"/>
            </w:rPr>
            <w:t>dan 31 Desember 2019 (Diaudit)</w:t>
          </w:r>
        </w:p>
        <w:p w14:paraId="3AADB22C" w14:textId="4C2E8ADD" w:rsidR="009311F4" w:rsidRPr="00856398" w:rsidRDefault="009311F4" w:rsidP="0030048B">
          <w:pPr>
            <w:pStyle w:val="Header"/>
            <w:ind w:right="-57"/>
            <w:rPr>
              <w:b/>
              <w:sz w:val="18"/>
              <w:szCs w:val="18"/>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599" w:type="dxa"/>
        </w:tcPr>
        <w:p w14:paraId="6F23B941" w14:textId="77777777" w:rsidR="009311F4" w:rsidRPr="00856398" w:rsidRDefault="009311F4" w:rsidP="0030048B">
          <w:pPr>
            <w:ind w:right="-53"/>
            <w:rPr>
              <w:b/>
              <w:i/>
              <w:sz w:val="18"/>
              <w:szCs w:val="18"/>
              <w:lang w:val="id-ID"/>
            </w:rPr>
          </w:pPr>
          <w:r>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4886D66B" w14:textId="77777777" w:rsidR="009311F4" w:rsidRPr="00856398" w:rsidRDefault="009311F4" w:rsidP="0030048B">
          <w:pPr>
            <w:ind w:left="-135" w:right="-53"/>
            <w:jc w:val="right"/>
            <w:rPr>
              <w:b/>
              <w:i/>
              <w:sz w:val="18"/>
              <w:szCs w:val="18"/>
            </w:rPr>
          </w:pPr>
          <w:r w:rsidRPr="00856398">
            <w:rPr>
              <w:b/>
              <w:i/>
              <w:sz w:val="18"/>
              <w:szCs w:val="18"/>
            </w:rPr>
            <w:t>AND SUBSIDIARIES</w:t>
          </w:r>
        </w:p>
        <w:p w14:paraId="77DC9E9C" w14:textId="77777777" w:rsidR="009311F4" w:rsidRPr="00856398" w:rsidRDefault="009311F4" w:rsidP="0030048B">
          <w:pPr>
            <w:ind w:left="-135" w:right="-53"/>
            <w:jc w:val="right"/>
            <w:rPr>
              <w:b/>
              <w:i/>
              <w:sz w:val="18"/>
              <w:szCs w:val="18"/>
            </w:rPr>
          </w:pPr>
          <w:r>
            <w:rPr>
              <w:b/>
              <w:i/>
              <w:sz w:val="18"/>
              <w:szCs w:val="18"/>
            </w:rPr>
            <w:t xml:space="preserve">NOTES TO </w:t>
          </w:r>
          <w:r w:rsidRPr="00856398">
            <w:rPr>
              <w:b/>
              <w:i/>
              <w:sz w:val="18"/>
              <w:szCs w:val="18"/>
            </w:rPr>
            <w:t xml:space="preserve">CONSOLIDATED </w:t>
          </w:r>
          <w:r w:rsidRPr="00856398">
            <w:rPr>
              <w:b/>
              <w:i/>
              <w:sz w:val="18"/>
              <w:szCs w:val="18"/>
              <w:lang w:val="id-ID"/>
            </w:rPr>
            <w:t xml:space="preserve">STATEMENT OF </w:t>
          </w:r>
          <w:r w:rsidRPr="00856398">
            <w:rPr>
              <w:b/>
              <w:i/>
              <w:sz w:val="18"/>
              <w:szCs w:val="18"/>
              <w:lang w:val="id-ID"/>
            </w:rPr>
            <w:br/>
            <w:t>FINANCIAL POSITION</w:t>
          </w:r>
        </w:p>
        <w:p w14:paraId="65BDBB68" w14:textId="77777777" w:rsidR="009311F4" w:rsidRPr="00856398" w:rsidRDefault="009311F4" w:rsidP="0030048B">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767CFBAF" w14:textId="3ACB84FC" w:rsidR="009311F4" w:rsidRPr="00856398" w:rsidRDefault="009311F4" w:rsidP="0030048B">
          <w:pPr>
            <w:pStyle w:val="Header"/>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5B3F83D6" w14:textId="77777777" w:rsidR="009311F4" w:rsidRPr="002433B2" w:rsidRDefault="009311F4">
    <w:pPr>
      <w:rPr>
        <w:rFonts w:ascii="ITC Officina Sans Std Book" w:hAnsi="ITC Officina Sans Std Book"/>
        <w:sz w:val="18"/>
        <w:szCs w:val="18"/>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5" w:type="dxa"/>
      <w:tblInd w:w="126" w:type="dxa"/>
      <w:tblLook w:val="00A0" w:firstRow="1" w:lastRow="0" w:firstColumn="1" w:lastColumn="0" w:noHBand="0" w:noVBand="0"/>
    </w:tblPr>
    <w:tblGrid>
      <w:gridCol w:w="4592"/>
      <w:gridCol w:w="4593"/>
    </w:tblGrid>
    <w:tr w:rsidR="009311F4" w:rsidRPr="00B93865" w14:paraId="0B536A74" w14:textId="77777777" w:rsidTr="009A292C">
      <w:trPr>
        <w:trHeight w:val="854"/>
      </w:trPr>
      <w:tc>
        <w:tcPr>
          <w:tcW w:w="4592" w:type="dxa"/>
          <w:tcBorders>
            <w:bottom w:val="single" w:sz="4" w:space="0" w:color="auto"/>
          </w:tcBorders>
        </w:tcPr>
        <w:p w14:paraId="1DFC5C96" w14:textId="77777777" w:rsidR="009311F4" w:rsidRPr="00856398" w:rsidRDefault="009311F4" w:rsidP="0030048B">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7578A847" w14:textId="77777777" w:rsidR="009311F4" w:rsidRPr="00856398" w:rsidRDefault="009311F4" w:rsidP="0030048B">
          <w:pPr>
            <w:rPr>
              <w:b/>
              <w:sz w:val="18"/>
              <w:szCs w:val="18"/>
            </w:rPr>
          </w:pPr>
          <w:r w:rsidRPr="00856398">
            <w:rPr>
              <w:b/>
              <w:sz w:val="18"/>
              <w:szCs w:val="18"/>
            </w:rPr>
            <w:t>DAN ENTITAS ANAK</w:t>
          </w:r>
        </w:p>
        <w:p w14:paraId="30DC9811" w14:textId="77777777" w:rsidR="009311F4" w:rsidRDefault="009311F4" w:rsidP="0030048B">
          <w:pPr>
            <w:pStyle w:val="Header"/>
            <w:tabs>
              <w:tab w:val="clear" w:pos="4320"/>
              <w:tab w:val="clear" w:pos="8640"/>
            </w:tabs>
            <w:ind w:right="-57"/>
            <w:rPr>
              <w:b/>
              <w:sz w:val="18"/>
              <w:szCs w:val="18"/>
            </w:rPr>
          </w:pPr>
          <w:r>
            <w:rPr>
              <w:b/>
              <w:sz w:val="18"/>
              <w:szCs w:val="18"/>
            </w:rPr>
            <w:t xml:space="preserve">CATATAN ATAS </w:t>
          </w:r>
          <w:r w:rsidRPr="00856398">
            <w:rPr>
              <w:b/>
              <w:sz w:val="18"/>
              <w:szCs w:val="18"/>
              <w:lang w:val="id-ID"/>
            </w:rPr>
            <w:t>LAPORAN POSISI KEUANGAN</w:t>
          </w:r>
          <w:r>
            <w:rPr>
              <w:b/>
              <w:sz w:val="18"/>
              <w:szCs w:val="18"/>
            </w:rPr>
            <w:t xml:space="preserve"> </w:t>
          </w:r>
        </w:p>
        <w:p w14:paraId="19C289C9" w14:textId="77777777" w:rsidR="009311F4" w:rsidRPr="00856398" w:rsidRDefault="009311F4" w:rsidP="0030048B">
          <w:pPr>
            <w:pStyle w:val="Header"/>
            <w:tabs>
              <w:tab w:val="clear" w:pos="4320"/>
              <w:tab w:val="clear" w:pos="8640"/>
            </w:tabs>
            <w:ind w:right="-57"/>
            <w:rPr>
              <w:b/>
              <w:sz w:val="18"/>
              <w:szCs w:val="18"/>
              <w:lang w:val="id-ID"/>
            </w:rPr>
          </w:pPr>
          <w:r w:rsidRPr="00856398">
            <w:rPr>
              <w:b/>
              <w:sz w:val="18"/>
              <w:szCs w:val="18"/>
            </w:rPr>
            <w:t xml:space="preserve">KONSOLIDASIAN </w:t>
          </w:r>
        </w:p>
        <w:p w14:paraId="572CB40B"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6903E389" w14:textId="77777777" w:rsidR="009311F4" w:rsidRPr="00907095" w:rsidRDefault="009311F4" w:rsidP="0030048B">
          <w:pPr>
            <w:pStyle w:val="Header"/>
            <w:tabs>
              <w:tab w:val="clear" w:pos="4320"/>
            </w:tabs>
            <w:ind w:right="-57"/>
            <w:rPr>
              <w:sz w:val="18"/>
              <w:szCs w:val="18"/>
            </w:rPr>
          </w:pPr>
          <w:r>
            <w:rPr>
              <w:sz w:val="18"/>
              <w:szCs w:val="18"/>
            </w:rPr>
            <w:t>dan 31 Desember 2019 (Diaudit)</w:t>
          </w:r>
        </w:p>
        <w:p w14:paraId="7046942A" w14:textId="553CDAEE" w:rsidR="009311F4" w:rsidRPr="00B93865" w:rsidRDefault="009311F4" w:rsidP="0030048B">
          <w:pPr>
            <w:pStyle w:val="Header"/>
            <w:ind w:right="-57"/>
            <w:rPr>
              <w:b/>
              <w:sz w:val="18"/>
              <w:szCs w:val="18"/>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593" w:type="dxa"/>
          <w:tcBorders>
            <w:bottom w:val="single" w:sz="4" w:space="0" w:color="auto"/>
          </w:tcBorders>
        </w:tcPr>
        <w:p w14:paraId="31709DF8" w14:textId="77777777" w:rsidR="009311F4" w:rsidRPr="00856398" w:rsidRDefault="009311F4" w:rsidP="0030048B">
          <w:pPr>
            <w:ind w:right="-53"/>
            <w:rPr>
              <w:b/>
              <w:i/>
              <w:sz w:val="18"/>
              <w:szCs w:val="18"/>
              <w:lang w:val="id-ID"/>
            </w:rPr>
          </w:pPr>
          <w:r>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48690CEF" w14:textId="77777777" w:rsidR="009311F4" w:rsidRPr="00856398" w:rsidRDefault="009311F4" w:rsidP="0030048B">
          <w:pPr>
            <w:ind w:left="-135" w:right="-53"/>
            <w:jc w:val="right"/>
            <w:rPr>
              <w:b/>
              <w:i/>
              <w:sz w:val="18"/>
              <w:szCs w:val="18"/>
            </w:rPr>
          </w:pPr>
          <w:r w:rsidRPr="00856398">
            <w:rPr>
              <w:b/>
              <w:i/>
              <w:sz w:val="18"/>
              <w:szCs w:val="18"/>
            </w:rPr>
            <w:t>AND SUBSIDIARIES</w:t>
          </w:r>
        </w:p>
        <w:p w14:paraId="0121FE80" w14:textId="77777777" w:rsidR="009311F4" w:rsidRPr="00856398" w:rsidRDefault="009311F4" w:rsidP="0030048B">
          <w:pPr>
            <w:ind w:left="-135" w:right="-53"/>
            <w:jc w:val="right"/>
            <w:rPr>
              <w:b/>
              <w:i/>
              <w:sz w:val="18"/>
              <w:szCs w:val="18"/>
            </w:rPr>
          </w:pPr>
          <w:r>
            <w:rPr>
              <w:b/>
              <w:i/>
              <w:sz w:val="18"/>
              <w:szCs w:val="18"/>
            </w:rPr>
            <w:t xml:space="preserve">NOTES TO </w:t>
          </w:r>
          <w:r w:rsidRPr="00856398">
            <w:rPr>
              <w:b/>
              <w:i/>
              <w:sz w:val="18"/>
              <w:szCs w:val="18"/>
            </w:rPr>
            <w:t xml:space="preserve">CONSOLIDATED </w:t>
          </w:r>
          <w:r w:rsidRPr="00856398">
            <w:rPr>
              <w:b/>
              <w:i/>
              <w:sz w:val="18"/>
              <w:szCs w:val="18"/>
              <w:lang w:val="id-ID"/>
            </w:rPr>
            <w:t xml:space="preserve">STATEMENT OF </w:t>
          </w:r>
          <w:r w:rsidRPr="00856398">
            <w:rPr>
              <w:b/>
              <w:i/>
              <w:sz w:val="18"/>
              <w:szCs w:val="18"/>
              <w:lang w:val="id-ID"/>
            </w:rPr>
            <w:br/>
            <w:t>FINANCIAL POSITION</w:t>
          </w:r>
        </w:p>
        <w:p w14:paraId="102D2788" w14:textId="77777777" w:rsidR="009311F4" w:rsidRPr="00856398" w:rsidRDefault="009311F4" w:rsidP="0030048B">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2A654D4E" w14:textId="2F523445" w:rsidR="009311F4" w:rsidRPr="00B93865" w:rsidRDefault="009311F4" w:rsidP="0030048B">
          <w:pPr>
            <w:pStyle w:val="Header"/>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1A2791B3" w14:textId="77777777" w:rsidR="009311F4" w:rsidRPr="00B93865" w:rsidRDefault="009311F4" w:rsidP="00CF769D">
    <w:pPr>
      <w:pStyle w:val="Header"/>
      <w:rPr>
        <w:sz w:val="18"/>
        <w:szCs w:val="18"/>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142" w:type="dxa"/>
      <w:tblBorders>
        <w:bottom w:val="single" w:sz="4" w:space="0" w:color="auto"/>
      </w:tblBorders>
      <w:tblLook w:val="00A0" w:firstRow="1" w:lastRow="0" w:firstColumn="1" w:lastColumn="0" w:noHBand="0" w:noVBand="0"/>
    </w:tblPr>
    <w:tblGrid>
      <w:gridCol w:w="4598"/>
      <w:gridCol w:w="4599"/>
    </w:tblGrid>
    <w:tr w:rsidR="009311F4" w:rsidRPr="002433B2" w14:paraId="1DB7A4B0" w14:textId="77777777" w:rsidTr="009A292C">
      <w:trPr>
        <w:trHeight w:val="1418"/>
      </w:trPr>
      <w:tc>
        <w:tcPr>
          <w:tcW w:w="4598" w:type="dxa"/>
        </w:tcPr>
        <w:p w14:paraId="5348793E" w14:textId="0B7517A5" w:rsidR="009311F4" w:rsidRDefault="009311F4" w:rsidP="00C02FB7">
          <w:pPr>
            <w:rPr>
              <w:b/>
              <w:bCs w:val="0"/>
              <w:sz w:val="18"/>
              <w:szCs w:val="18"/>
              <w:lang w:val="sv-SE"/>
            </w:rPr>
          </w:pPr>
          <w:r w:rsidRPr="00856398">
            <w:rPr>
              <w:b/>
              <w:sz w:val="18"/>
              <w:szCs w:val="18"/>
              <w:lang w:val="sv-SE"/>
            </w:rPr>
            <w:br w:type="page"/>
          </w:r>
          <w:r w:rsidRPr="00856398">
            <w:rPr>
              <w:b/>
              <w:sz w:val="18"/>
              <w:szCs w:val="18"/>
              <w:lang w:val="sv-SE"/>
            </w:rPr>
            <w:br w:type="page"/>
          </w:r>
          <w:r w:rsidRPr="00856398">
            <w:rPr>
              <w:sz w:val="18"/>
              <w:szCs w:val="18"/>
              <w:lang w:val="sv-SE"/>
            </w:rPr>
            <w:br w:type="page"/>
          </w:r>
          <w:r w:rsidRPr="00856398">
            <w:rPr>
              <w:sz w:val="18"/>
              <w:szCs w:val="18"/>
              <w:lang w:val="sv-SE"/>
            </w:rPr>
            <w:br w:type="page"/>
          </w:r>
          <w:r>
            <w:rPr>
              <w:b/>
              <w:bCs w:val="0"/>
              <w:sz w:val="18"/>
              <w:szCs w:val="18"/>
              <w:lang w:val="sv-SE"/>
            </w:rPr>
            <w:t>Lampiran I</w:t>
          </w:r>
        </w:p>
        <w:p w14:paraId="2618C93E" w14:textId="1FED211F" w:rsidR="009311F4" w:rsidRDefault="009311F4" w:rsidP="00C02FB7">
          <w:pPr>
            <w:rPr>
              <w:b/>
              <w:bCs w:val="0"/>
              <w:sz w:val="18"/>
              <w:szCs w:val="18"/>
            </w:rPr>
          </w:pPr>
        </w:p>
        <w:p w14:paraId="671C74AE" w14:textId="15E4C456" w:rsidR="009311F4" w:rsidRDefault="009311F4" w:rsidP="00C02FB7">
          <w:pPr>
            <w:rPr>
              <w:b/>
              <w:bCs w:val="0"/>
              <w:sz w:val="18"/>
              <w:szCs w:val="18"/>
            </w:rPr>
          </w:pPr>
          <w:r>
            <w:rPr>
              <w:b/>
              <w:bCs w:val="0"/>
              <w:sz w:val="18"/>
              <w:szCs w:val="18"/>
            </w:rPr>
            <w:t>PT SEJAHTERARAYA ANUGRAHJAYA Tbk</w:t>
          </w:r>
        </w:p>
        <w:p w14:paraId="044CE339" w14:textId="3AA84BC8" w:rsidR="009311F4" w:rsidRDefault="009311F4" w:rsidP="00C02FB7">
          <w:pPr>
            <w:rPr>
              <w:b/>
              <w:bCs w:val="0"/>
              <w:sz w:val="18"/>
              <w:szCs w:val="18"/>
            </w:rPr>
          </w:pPr>
          <w:r>
            <w:rPr>
              <w:b/>
              <w:bCs w:val="0"/>
              <w:sz w:val="18"/>
              <w:szCs w:val="18"/>
            </w:rPr>
            <w:t>(ENTITAS INDUK SAJA)</w:t>
          </w:r>
        </w:p>
        <w:p w14:paraId="65701A2F" w14:textId="46A9D65E" w:rsidR="009311F4" w:rsidRDefault="009311F4" w:rsidP="00C02FB7">
          <w:pPr>
            <w:rPr>
              <w:b/>
              <w:bCs w:val="0"/>
              <w:sz w:val="18"/>
              <w:szCs w:val="18"/>
            </w:rPr>
          </w:pPr>
          <w:r>
            <w:rPr>
              <w:b/>
              <w:bCs w:val="0"/>
              <w:sz w:val="18"/>
              <w:szCs w:val="18"/>
            </w:rPr>
            <w:t xml:space="preserve">LAPORAN POSISI KEUANGAN </w:t>
          </w:r>
        </w:p>
        <w:p w14:paraId="770AE6E7"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784921DB" w14:textId="77777777" w:rsidR="009311F4" w:rsidRPr="00907095" w:rsidRDefault="009311F4" w:rsidP="0030048B">
          <w:pPr>
            <w:pStyle w:val="Header"/>
            <w:tabs>
              <w:tab w:val="clear" w:pos="4320"/>
            </w:tabs>
            <w:ind w:right="-57"/>
            <w:rPr>
              <w:sz w:val="18"/>
              <w:szCs w:val="18"/>
            </w:rPr>
          </w:pPr>
          <w:r>
            <w:rPr>
              <w:sz w:val="18"/>
              <w:szCs w:val="18"/>
            </w:rPr>
            <w:t>dan 31 Desember 2019 (Diaudit)</w:t>
          </w:r>
        </w:p>
        <w:p w14:paraId="4142690E" w14:textId="28A4BBBB" w:rsidR="009311F4" w:rsidRPr="00C02FB7" w:rsidRDefault="009311F4" w:rsidP="0030048B">
          <w:pPr>
            <w:rPr>
              <w:b/>
              <w:bCs w:val="0"/>
              <w:sz w:val="18"/>
              <w:szCs w:val="18"/>
            </w:rPr>
          </w:pPr>
          <w:r w:rsidRPr="00856398">
            <w:rPr>
              <w:sz w:val="18"/>
              <w:szCs w:val="18"/>
              <w:lang w:val="sv-SE"/>
            </w:rPr>
            <w:t>(Disajikan dalam Rupiah, kecuali dinyatakan lain</w:t>
          </w:r>
          <w:r w:rsidRPr="00856398">
            <w:rPr>
              <w:sz w:val="18"/>
              <w:szCs w:val="18"/>
              <w:lang w:val="id-ID"/>
            </w:rPr>
            <w:t>)</w:t>
          </w:r>
        </w:p>
      </w:tc>
      <w:tc>
        <w:tcPr>
          <w:tcW w:w="4599" w:type="dxa"/>
        </w:tcPr>
        <w:p w14:paraId="0775F732" w14:textId="035BC3D6" w:rsidR="009311F4" w:rsidRDefault="009311F4" w:rsidP="00432745">
          <w:pPr>
            <w:pStyle w:val="Header"/>
            <w:ind w:left="-57" w:right="-57"/>
            <w:jc w:val="right"/>
            <w:rPr>
              <w:b/>
              <w:i/>
              <w:sz w:val="18"/>
              <w:szCs w:val="18"/>
            </w:rPr>
          </w:pPr>
          <w:r>
            <w:rPr>
              <w:b/>
              <w:i/>
              <w:sz w:val="18"/>
              <w:szCs w:val="18"/>
            </w:rPr>
            <w:t>Attachment I</w:t>
          </w:r>
        </w:p>
        <w:p w14:paraId="7274A881" w14:textId="00714CCF" w:rsidR="009311F4" w:rsidRDefault="009311F4" w:rsidP="00432745">
          <w:pPr>
            <w:pStyle w:val="Header"/>
            <w:ind w:left="-57" w:right="-57"/>
            <w:jc w:val="right"/>
            <w:rPr>
              <w:b/>
              <w:i/>
              <w:sz w:val="18"/>
              <w:szCs w:val="18"/>
            </w:rPr>
          </w:pPr>
        </w:p>
        <w:p w14:paraId="159C6310" w14:textId="7BEF15A7" w:rsidR="009311F4" w:rsidRDefault="009311F4" w:rsidP="00432745">
          <w:pPr>
            <w:pStyle w:val="Header"/>
            <w:ind w:left="-57" w:right="-57"/>
            <w:jc w:val="right"/>
            <w:rPr>
              <w:b/>
              <w:i/>
              <w:sz w:val="18"/>
              <w:szCs w:val="18"/>
            </w:rPr>
          </w:pPr>
          <w:r>
            <w:rPr>
              <w:b/>
              <w:i/>
              <w:sz w:val="18"/>
              <w:szCs w:val="18"/>
            </w:rPr>
            <w:t>PT SEJAHTERARAYA ANUGRAHJAYA Tbk</w:t>
          </w:r>
        </w:p>
        <w:p w14:paraId="1E1EB0DD" w14:textId="67EE2154" w:rsidR="009311F4" w:rsidRDefault="009311F4" w:rsidP="00432745">
          <w:pPr>
            <w:pStyle w:val="Header"/>
            <w:ind w:left="-57" w:right="-57"/>
            <w:jc w:val="right"/>
            <w:rPr>
              <w:b/>
              <w:i/>
              <w:sz w:val="18"/>
              <w:szCs w:val="18"/>
            </w:rPr>
          </w:pPr>
          <w:r>
            <w:rPr>
              <w:b/>
              <w:i/>
              <w:sz w:val="18"/>
              <w:szCs w:val="18"/>
            </w:rPr>
            <w:t>(PARENT ENTITY ONLY)</w:t>
          </w:r>
        </w:p>
        <w:p w14:paraId="35818735" w14:textId="3C5CEAB4" w:rsidR="009311F4" w:rsidRPr="00C02FB7" w:rsidRDefault="009311F4" w:rsidP="00432745">
          <w:pPr>
            <w:pStyle w:val="Header"/>
            <w:ind w:left="-57" w:right="-57"/>
            <w:jc w:val="right"/>
            <w:rPr>
              <w:b/>
              <w:i/>
              <w:sz w:val="18"/>
              <w:szCs w:val="18"/>
            </w:rPr>
          </w:pPr>
          <w:r>
            <w:rPr>
              <w:b/>
              <w:i/>
              <w:sz w:val="18"/>
              <w:szCs w:val="18"/>
            </w:rPr>
            <w:t>STATEMENT OF FINANCIAL POSITION</w:t>
          </w:r>
        </w:p>
        <w:p w14:paraId="170280E2" w14:textId="77777777" w:rsidR="009311F4" w:rsidRPr="00856398" w:rsidRDefault="009311F4" w:rsidP="0030048B">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18E4D477" w14:textId="56170A3C" w:rsidR="009311F4" w:rsidRPr="00856398" w:rsidRDefault="009311F4" w:rsidP="0030048B">
          <w:pPr>
            <w:pStyle w:val="Header"/>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2935A40B" w14:textId="77777777" w:rsidR="009311F4" w:rsidRPr="002433B2" w:rsidRDefault="009311F4">
    <w:pPr>
      <w:rPr>
        <w:rFonts w:ascii="ITC Officina Sans Std Book" w:hAnsi="ITC Officina Sans Std Book"/>
        <w:sz w:val="18"/>
        <w:szCs w:val="18"/>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142" w:type="dxa"/>
      <w:tblBorders>
        <w:bottom w:val="single" w:sz="4" w:space="0" w:color="auto"/>
      </w:tblBorders>
      <w:tblLook w:val="00A0" w:firstRow="1" w:lastRow="0" w:firstColumn="1" w:lastColumn="0" w:noHBand="0" w:noVBand="0"/>
    </w:tblPr>
    <w:tblGrid>
      <w:gridCol w:w="4598"/>
      <w:gridCol w:w="4599"/>
    </w:tblGrid>
    <w:tr w:rsidR="009311F4" w:rsidRPr="002433B2" w14:paraId="4A7C57E5" w14:textId="77777777" w:rsidTr="009A292C">
      <w:trPr>
        <w:trHeight w:val="1418"/>
      </w:trPr>
      <w:tc>
        <w:tcPr>
          <w:tcW w:w="4598" w:type="dxa"/>
        </w:tcPr>
        <w:p w14:paraId="51505DC5" w14:textId="463F505F" w:rsidR="009311F4" w:rsidRDefault="009311F4" w:rsidP="00C02FB7">
          <w:pPr>
            <w:rPr>
              <w:b/>
              <w:bCs w:val="0"/>
              <w:sz w:val="18"/>
              <w:szCs w:val="18"/>
              <w:lang w:val="sv-SE"/>
            </w:rPr>
          </w:pPr>
          <w:r w:rsidRPr="00856398">
            <w:rPr>
              <w:b/>
              <w:sz w:val="18"/>
              <w:szCs w:val="18"/>
              <w:lang w:val="sv-SE"/>
            </w:rPr>
            <w:br w:type="page"/>
          </w:r>
          <w:r w:rsidRPr="00856398">
            <w:rPr>
              <w:b/>
              <w:sz w:val="18"/>
              <w:szCs w:val="18"/>
              <w:lang w:val="sv-SE"/>
            </w:rPr>
            <w:br w:type="page"/>
          </w:r>
          <w:r w:rsidRPr="00856398">
            <w:rPr>
              <w:sz w:val="18"/>
              <w:szCs w:val="18"/>
              <w:lang w:val="sv-SE"/>
            </w:rPr>
            <w:br w:type="page"/>
          </w:r>
          <w:r w:rsidRPr="00856398">
            <w:rPr>
              <w:sz w:val="18"/>
              <w:szCs w:val="18"/>
              <w:lang w:val="sv-SE"/>
            </w:rPr>
            <w:br w:type="page"/>
          </w:r>
          <w:r>
            <w:rPr>
              <w:b/>
              <w:bCs w:val="0"/>
              <w:sz w:val="18"/>
              <w:szCs w:val="18"/>
              <w:lang w:val="sv-SE"/>
            </w:rPr>
            <w:t>Lampiran II</w:t>
          </w:r>
        </w:p>
        <w:p w14:paraId="132A3645" w14:textId="77777777" w:rsidR="009311F4" w:rsidRDefault="009311F4" w:rsidP="00C02FB7">
          <w:pPr>
            <w:rPr>
              <w:b/>
              <w:bCs w:val="0"/>
              <w:sz w:val="18"/>
              <w:szCs w:val="18"/>
            </w:rPr>
          </w:pPr>
        </w:p>
        <w:p w14:paraId="5570B787" w14:textId="77777777" w:rsidR="009311F4" w:rsidRDefault="009311F4" w:rsidP="00C02FB7">
          <w:pPr>
            <w:rPr>
              <w:b/>
              <w:bCs w:val="0"/>
              <w:sz w:val="18"/>
              <w:szCs w:val="18"/>
            </w:rPr>
          </w:pPr>
          <w:r>
            <w:rPr>
              <w:b/>
              <w:bCs w:val="0"/>
              <w:sz w:val="18"/>
              <w:szCs w:val="18"/>
            </w:rPr>
            <w:t>PT SEJAHTERARAYA ANUGRAHJAYA Tbk</w:t>
          </w:r>
        </w:p>
        <w:p w14:paraId="603D944D" w14:textId="77777777" w:rsidR="009311F4" w:rsidRDefault="009311F4" w:rsidP="00C02FB7">
          <w:pPr>
            <w:rPr>
              <w:b/>
              <w:bCs w:val="0"/>
              <w:sz w:val="18"/>
              <w:szCs w:val="18"/>
            </w:rPr>
          </w:pPr>
          <w:r>
            <w:rPr>
              <w:b/>
              <w:bCs w:val="0"/>
              <w:sz w:val="18"/>
              <w:szCs w:val="18"/>
            </w:rPr>
            <w:t>(ENTITAS INDUK SAJA)</w:t>
          </w:r>
        </w:p>
        <w:p w14:paraId="356F3B25" w14:textId="26F74E07" w:rsidR="009311F4" w:rsidRDefault="009311F4" w:rsidP="00C02FB7">
          <w:pPr>
            <w:rPr>
              <w:b/>
              <w:bCs w:val="0"/>
              <w:sz w:val="18"/>
              <w:szCs w:val="18"/>
            </w:rPr>
          </w:pPr>
          <w:r>
            <w:rPr>
              <w:b/>
              <w:bCs w:val="0"/>
              <w:sz w:val="18"/>
              <w:szCs w:val="18"/>
            </w:rPr>
            <w:t>LAPORAN POSISI KEUANGAN - Lanjutan</w:t>
          </w:r>
        </w:p>
        <w:p w14:paraId="5D679B32"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073CC6DF" w14:textId="2733AB12" w:rsidR="009311F4" w:rsidRPr="0030048B" w:rsidRDefault="009311F4" w:rsidP="0030048B">
          <w:pPr>
            <w:pStyle w:val="Header"/>
            <w:tabs>
              <w:tab w:val="clear" w:pos="4320"/>
            </w:tabs>
            <w:ind w:right="-57"/>
            <w:rPr>
              <w:sz w:val="18"/>
              <w:szCs w:val="18"/>
            </w:rPr>
          </w:pPr>
          <w:r>
            <w:rPr>
              <w:sz w:val="18"/>
              <w:szCs w:val="18"/>
            </w:rPr>
            <w:t>dan 31 Desember 2019 (Diaudit)</w:t>
          </w:r>
          <w:r w:rsidRPr="00856398">
            <w:rPr>
              <w:sz w:val="18"/>
              <w:szCs w:val="18"/>
              <w:lang w:val="id-ID"/>
            </w:rPr>
            <w:br/>
          </w:r>
          <w:r w:rsidRPr="00856398">
            <w:rPr>
              <w:sz w:val="18"/>
              <w:szCs w:val="18"/>
              <w:lang w:val="sv-SE"/>
            </w:rPr>
            <w:t>(Disajikan dalam Rupiah, kecuali dinyatakan lain)</w:t>
          </w:r>
        </w:p>
      </w:tc>
      <w:tc>
        <w:tcPr>
          <w:tcW w:w="4599" w:type="dxa"/>
        </w:tcPr>
        <w:p w14:paraId="41A616FA" w14:textId="05FB23BB" w:rsidR="009311F4" w:rsidRDefault="009311F4" w:rsidP="00432745">
          <w:pPr>
            <w:pStyle w:val="Header"/>
            <w:ind w:left="-57" w:right="-57"/>
            <w:jc w:val="right"/>
            <w:rPr>
              <w:b/>
              <w:i/>
              <w:sz w:val="18"/>
              <w:szCs w:val="18"/>
            </w:rPr>
          </w:pPr>
          <w:r>
            <w:rPr>
              <w:b/>
              <w:i/>
              <w:sz w:val="18"/>
              <w:szCs w:val="18"/>
            </w:rPr>
            <w:t>Attachment II</w:t>
          </w:r>
        </w:p>
        <w:p w14:paraId="1BCC56FB" w14:textId="77777777" w:rsidR="009311F4" w:rsidRDefault="009311F4" w:rsidP="00432745">
          <w:pPr>
            <w:pStyle w:val="Header"/>
            <w:ind w:left="-57" w:right="-57"/>
            <w:jc w:val="right"/>
            <w:rPr>
              <w:b/>
              <w:i/>
              <w:sz w:val="18"/>
              <w:szCs w:val="18"/>
            </w:rPr>
          </w:pPr>
        </w:p>
        <w:p w14:paraId="09318CB7" w14:textId="77777777" w:rsidR="009311F4" w:rsidRDefault="009311F4" w:rsidP="00432745">
          <w:pPr>
            <w:pStyle w:val="Header"/>
            <w:ind w:left="-57" w:right="-57"/>
            <w:jc w:val="right"/>
            <w:rPr>
              <w:b/>
              <w:i/>
              <w:sz w:val="18"/>
              <w:szCs w:val="18"/>
            </w:rPr>
          </w:pPr>
          <w:r>
            <w:rPr>
              <w:b/>
              <w:i/>
              <w:sz w:val="18"/>
              <w:szCs w:val="18"/>
            </w:rPr>
            <w:t>PT SEJAHTERARAYA ANUGRAHJAYA Tbk</w:t>
          </w:r>
        </w:p>
        <w:p w14:paraId="4CEFFE6E" w14:textId="77777777" w:rsidR="009311F4" w:rsidRDefault="009311F4" w:rsidP="00432745">
          <w:pPr>
            <w:pStyle w:val="Header"/>
            <w:ind w:left="-57" w:right="-57"/>
            <w:jc w:val="right"/>
            <w:rPr>
              <w:b/>
              <w:i/>
              <w:sz w:val="18"/>
              <w:szCs w:val="18"/>
            </w:rPr>
          </w:pPr>
          <w:r>
            <w:rPr>
              <w:b/>
              <w:i/>
              <w:sz w:val="18"/>
              <w:szCs w:val="18"/>
            </w:rPr>
            <w:t>(PARENT ENTITY ONLY)</w:t>
          </w:r>
        </w:p>
        <w:p w14:paraId="2E009369" w14:textId="32C15D28" w:rsidR="009311F4" w:rsidRPr="00C02FB7" w:rsidRDefault="009311F4" w:rsidP="00432745">
          <w:pPr>
            <w:pStyle w:val="Header"/>
            <w:ind w:left="-57" w:right="-57"/>
            <w:jc w:val="right"/>
            <w:rPr>
              <w:b/>
              <w:i/>
              <w:sz w:val="18"/>
              <w:szCs w:val="18"/>
            </w:rPr>
          </w:pPr>
          <w:r>
            <w:rPr>
              <w:b/>
              <w:i/>
              <w:sz w:val="18"/>
              <w:szCs w:val="18"/>
            </w:rPr>
            <w:t>STATEMENT OF FINANCIAL POSITION – Continued</w:t>
          </w:r>
        </w:p>
        <w:p w14:paraId="38000292" w14:textId="77777777" w:rsidR="009311F4" w:rsidRPr="00856398" w:rsidRDefault="009311F4" w:rsidP="0030048B">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6779E613" w14:textId="736F776C" w:rsidR="009311F4" w:rsidRPr="00856398" w:rsidRDefault="009311F4" w:rsidP="0030048B">
          <w:pPr>
            <w:pStyle w:val="Header"/>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1F44C2BC" w14:textId="77777777" w:rsidR="009311F4" w:rsidRPr="002433B2" w:rsidRDefault="009311F4">
    <w:pPr>
      <w:rPr>
        <w:rFonts w:ascii="ITC Officina Sans Std Book" w:hAnsi="ITC Officina Sans Std Book"/>
        <w:sz w:val="18"/>
        <w:szCs w:val="18"/>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142" w:type="dxa"/>
      <w:tblBorders>
        <w:bottom w:val="single" w:sz="4" w:space="0" w:color="auto"/>
      </w:tblBorders>
      <w:tblLook w:val="00A0" w:firstRow="1" w:lastRow="0" w:firstColumn="1" w:lastColumn="0" w:noHBand="0" w:noVBand="0"/>
    </w:tblPr>
    <w:tblGrid>
      <w:gridCol w:w="4598"/>
      <w:gridCol w:w="4599"/>
    </w:tblGrid>
    <w:tr w:rsidR="009311F4" w:rsidRPr="002433B2" w14:paraId="6BEB7C6E" w14:textId="77777777" w:rsidTr="009A292C">
      <w:trPr>
        <w:trHeight w:val="1418"/>
      </w:trPr>
      <w:tc>
        <w:tcPr>
          <w:tcW w:w="4598" w:type="dxa"/>
        </w:tcPr>
        <w:p w14:paraId="738C1BDA" w14:textId="6C124E13" w:rsidR="009311F4" w:rsidRDefault="009311F4" w:rsidP="00C02FB7">
          <w:pPr>
            <w:rPr>
              <w:b/>
              <w:bCs w:val="0"/>
              <w:sz w:val="18"/>
              <w:szCs w:val="18"/>
              <w:lang w:val="sv-SE"/>
            </w:rPr>
          </w:pPr>
          <w:r w:rsidRPr="00856398">
            <w:rPr>
              <w:b/>
              <w:sz w:val="18"/>
              <w:szCs w:val="18"/>
              <w:lang w:val="sv-SE"/>
            </w:rPr>
            <w:br w:type="page"/>
          </w:r>
          <w:r w:rsidRPr="00856398">
            <w:rPr>
              <w:b/>
              <w:sz w:val="18"/>
              <w:szCs w:val="18"/>
              <w:lang w:val="sv-SE"/>
            </w:rPr>
            <w:br w:type="page"/>
          </w:r>
          <w:r w:rsidRPr="00856398">
            <w:rPr>
              <w:sz w:val="18"/>
              <w:szCs w:val="18"/>
              <w:lang w:val="sv-SE"/>
            </w:rPr>
            <w:br w:type="page"/>
          </w:r>
          <w:r w:rsidRPr="00856398">
            <w:rPr>
              <w:sz w:val="18"/>
              <w:szCs w:val="18"/>
              <w:lang w:val="sv-SE"/>
            </w:rPr>
            <w:br w:type="page"/>
          </w:r>
          <w:r>
            <w:rPr>
              <w:b/>
              <w:bCs w:val="0"/>
              <w:sz w:val="18"/>
              <w:szCs w:val="18"/>
              <w:lang w:val="sv-SE"/>
            </w:rPr>
            <w:t>Lampiran III</w:t>
          </w:r>
        </w:p>
        <w:p w14:paraId="61157141" w14:textId="77777777" w:rsidR="009311F4" w:rsidRDefault="009311F4" w:rsidP="00C02FB7">
          <w:pPr>
            <w:rPr>
              <w:b/>
              <w:bCs w:val="0"/>
              <w:sz w:val="18"/>
              <w:szCs w:val="18"/>
            </w:rPr>
          </w:pPr>
        </w:p>
        <w:p w14:paraId="0EA6BC95" w14:textId="77777777" w:rsidR="009311F4" w:rsidRDefault="009311F4" w:rsidP="00C02FB7">
          <w:pPr>
            <w:rPr>
              <w:b/>
              <w:bCs w:val="0"/>
              <w:sz w:val="18"/>
              <w:szCs w:val="18"/>
            </w:rPr>
          </w:pPr>
          <w:r>
            <w:rPr>
              <w:b/>
              <w:bCs w:val="0"/>
              <w:sz w:val="18"/>
              <w:szCs w:val="18"/>
            </w:rPr>
            <w:t>PT SEJAHTERARAYA ANUGRAHJAYA Tbk</w:t>
          </w:r>
        </w:p>
        <w:p w14:paraId="2D9D5E2C" w14:textId="77777777" w:rsidR="009311F4" w:rsidRDefault="009311F4" w:rsidP="00C02FB7">
          <w:pPr>
            <w:rPr>
              <w:b/>
              <w:bCs w:val="0"/>
              <w:sz w:val="18"/>
              <w:szCs w:val="18"/>
            </w:rPr>
          </w:pPr>
          <w:r>
            <w:rPr>
              <w:b/>
              <w:bCs w:val="0"/>
              <w:sz w:val="18"/>
              <w:szCs w:val="18"/>
            </w:rPr>
            <w:t>(ENTITAS INDUK SAJA)</w:t>
          </w:r>
        </w:p>
        <w:p w14:paraId="3C44A3C0" w14:textId="77777777" w:rsidR="009311F4" w:rsidRPr="003B2E73" w:rsidRDefault="009311F4" w:rsidP="00C02FB7">
          <w:pPr>
            <w:pStyle w:val="Header"/>
            <w:ind w:right="-57"/>
            <w:rPr>
              <w:b/>
              <w:sz w:val="18"/>
              <w:szCs w:val="18"/>
            </w:rPr>
          </w:pPr>
          <w:r w:rsidRPr="003B2E73">
            <w:rPr>
              <w:b/>
              <w:sz w:val="18"/>
              <w:szCs w:val="18"/>
              <w:lang w:val="id-ID"/>
            </w:rPr>
            <w:t xml:space="preserve">LAPORAN </w:t>
          </w:r>
          <w:r w:rsidRPr="003B2E73">
            <w:rPr>
              <w:b/>
              <w:sz w:val="18"/>
              <w:szCs w:val="18"/>
            </w:rPr>
            <w:t>LABA RUGI DAN PENGHASILAN KOMPREHENSIF LAIN</w:t>
          </w:r>
        </w:p>
        <w:p w14:paraId="391E3FED"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7181F327" w14:textId="41AA9741" w:rsidR="009311F4" w:rsidRPr="0030048B" w:rsidRDefault="009311F4" w:rsidP="0030048B">
          <w:pPr>
            <w:pStyle w:val="Header"/>
            <w:tabs>
              <w:tab w:val="clear" w:pos="4320"/>
            </w:tabs>
            <w:ind w:right="-57"/>
            <w:rPr>
              <w:sz w:val="18"/>
              <w:szCs w:val="18"/>
            </w:rPr>
          </w:pPr>
          <w:r>
            <w:rPr>
              <w:sz w:val="18"/>
              <w:szCs w:val="18"/>
            </w:rPr>
            <w:t>dan 31 Desember 2019 (Diaudit)</w:t>
          </w:r>
          <w:r w:rsidRPr="00856398">
            <w:rPr>
              <w:sz w:val="18"/>
              <w:szCs w:val="18"/>
              <w:lang w:val="id-ID"/>
            </w:rPr>
            <w:br/>
          </w:r>
          <w:r w:rsidRPr="00856398">
            <w:rPr>
              <w:sz w:val="18"/>
              <w:szCs w:val="18"/>
              <w:lang w:val="sv-SE"/>
            </w:rPr>
            <w:t>(Disajikan dalam Rupiah, kecuali dinyatakan lain)</w:t>
          </w:r>
        </w:p>
      </w:tc>
      <w:tc>
        <w:tcPr>
          <w:tcW w:w="4599" w:type="dxa"/>
        </w:tcPr>
        <w:p w14:paraId="215A2238" w14:textId="154A1841" w:rsidR="009311F4" w:rsidRDefault="009311F4" w:rsidP="00432745">
          <w:pPr>
            <w:pStyle w:val="Header"/>
            <w:ind w:left="-57" w:right="-57"/>
            <w:jc w:val="right"/>
            <w:rPr>
              <w:b/>
              <w:i/>
              <w:sz w:val="18"/>
              <w:szCs w:val="18"/>
            </w:rPr>
          </w:pPr>
          <w:r>
            <w:rPr>
              <w:b/>
              <w:i/>
              <w:sz w:val="18"/>
              <w:szCs w:val="18"/>
            </w:rPr>
            <w:t>Attachment III</w:t>
          </w:r>
        </w:p>
        <w:p w14:paraId="19DF8C59" w14:textId="77777777" w:rsidR="009311F4" w:rsidRDefault="009311F4" w:rsidP="00432745">
          <w:pPr>
            <w:pStyle w:val="Header"/>
            <w:ind w:left="-57" w:right="-57"/>
            <w:jc w:val="right"/>
            <w:rPr>
              <w:b/>
              <w:i/>
              <w:sz w:val="18"/>
              <w:szCs w:val="18"/>
            </w:rPr>
          </w:pPr>
        </w:p>
        <w:p w14:paraId="3017E92E" w14:textId="77777777" w:rsidR="009311F4" w:rsidRDefault="009311F4" w:rsidP="00432745">
          <w:pPr>
            <w:pStyle w:val="Header"/>
            <w:ind w:left="-57" w:right="-57"/>
            <w:jc w:val="right"/>
            <w:rPr>
              <w:b/>
              <w:i/>
              <w:sz w:val="18"/>
              <w:szCs w:val="18"/>
            </w:rPr>
          </w:pPr>
          <w:r>
            <w:rPr>
              <w:b/>
              <w:i/>
              <w:sz w:val="18"/>
              <w:szCs w:val="18"/>
            </w:rPr>
            <w:t>PT SEJAHTERARAYA ANUGRAHJAYA Tbk</w:t>
          </w:r>
        </w:p>
        <w:p w14:paraId="2059620E" w14:textId="77777777" w:rsidR="009311F4" w:rsidRDefault="009311F4" w:rsidP="00432745">
          <w:pPr>
            <w:pStyle w:val="Header"/>
            <w:ind w:left="-57" w:right="-57"/>
            <w:jc w:val="right"/>
            <w:rPr>
              <w:b/>
              <w:i/>
              <w:sz w:val="18"/>
              <w:szCs w:val="18"/>
            </w:rPr>
          </w:pPr>
          <w:r>
            <w:rPr>
              <w:b/>
              <w:i/>
              <w:sz w:val="18"/>
              <w:szCs w:val="18"/>
            </w:rPr>
            <w:t>(PARENT ENTITY ONLY)</w:t>
          </w:r>
        </w:p>
        <w:p w14:paraId="4D8B100B" w14:textId="77777777" w:rsidR="009311F4" w:rsidRDefault="009311F4" w:rsidP="00432745">
          <w:pPr>
            <w:pStyle w:val="Header"/>
            <w:ind w:left="-57" w:right="-57"/>
            <w:jc w:val="right"/>
            <w:rPr>
              <w:b/>
              <w:i/>
              <w:sz w:val="18"/>
              <w:szCs w:val="18"/>
            </w:rPr>
          </w:pPr>
          <w:r w:rsidRPr="003B2E73">
            <w:rPr>
              <w:b/>
              <w:i/>
              <w:sz w:val="18"/>
              <w:szCs w:val="18"/>
              <w:lang w:val="id-ID"/>
            </w:rPr>
            <w:t>STATEMENT O</w:t>
          </w:r>
          <w:r>
            <w:rPr>
              <w:b/>
              <w:i/>
              <w:sz w:val="18"/>
              <w:szCs w:val="18"/>
            </w:rPr>
            <w:t xml:space="preserve">F PROFIT OR LOSS AND </w:t>
          </w:r>
          <w:r w:rsidRPr="003B2E73">
            <w:rPr>
              <w:b/>
              <w:i/>
              <w:sz w:val="18"/>
              <w:szCs w:val="18"/>
            </w:rPr>
            <w:t xml:space="preserve">OTHER COMPREHENSIVE INCOME </w:t>
          </w:r>
        </w:p>
        <w:p w14:paraId="243589C5" w14:textId="2BC52D18" w:rsidR="009311F4" w:rsidRPr="002D03AB" w:rsidRDefault="009311F4" w:rsidP="00432745">
          <w:pPr>
            <w:pStyle w:val="Header"/>
            <w:ind w:left="-57" w:right="-57"/>
            <w:jc w:val="right"/>
            <w:rPr>
              <w:bCs w:val="0"/>
              <w:i/>
              <w:sz w:val="18"/>
              <w:szCs w:val="18"/>
            </w:rPr>
          </w:pPr>
          <w:r>
            <w:rPr>
              <w:bCs w:val="0"/>
              <w:i/>
              <w:color w:val="232121"/>
              <w:sz w:val="18"/>
              <w:szCs w:val="18"/>
            </w:rPr>
            <w:t>March 31, 2020 (Unaudited) and December 31, 2019 (Audited)</w:t>
          </w:r>
        </w:p>
        <w:p w14:paraId="34F3114D" w14:textId="77777777" w:rsidR="009311F4" w:rsidRPr="00856398" w:rsidRDefault="009311F4" w:rsidP="00432745">
          <w:pPr>
            <w:pStyle w:val="Header"/>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44117069" w14:textId="77777777" w:rsidR="009311F4" w:rsidRPr="002433B2" w:rsidRDefault="009311F4">
    <w:pPr>
      <w:rPr>
        <w:rFonts w:ascii="ITC Officina Sans Std Book" w:hAnsi="ITC Officina Sans Std Book"/>
        <w:sz w:val="18"/>
        <w:szCs w:val="18"/>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654" w:type="dxa"/>
      <w:tblInd w:w="142" w:type="dxa"/>
      <w:tblBorders>
        <w:bottom w:val="single" w:sz="4" w:space="0" w:color="auto"/>
      </w:tblBorders>
      <w:tblLook w:val="00A0" w:firstRow="1" w:lastRow="0" w:firstColumn="1" w:lastColumn="0" w:noHBand="0" w:noVBand="0"/>
    </w:tblPr>
    <w:tblGrid>
      <w:gridCol w:w="7328"/>
      <w:gridCol w:w="7326"/>
    </w:tblGrid>
    <w:tr w:rsidR="009311F4" w:rsidRPr="002433B2" w14:paraId="5AA2B0A5" w14:textId="77777777" w:rsidTr="00375AB2">
      <w:trPr>
        <w:trHeight w:val="1418"/>
      </w:trPr>
      <w:tc>
        <w:tcPr>
          <w:tcW w:w="7371" w:type="dxa"/>
        </w:tcPr>
        <w:p w14:paraId="5894264E" w14:textId="7DA1492F" w:rsidR="009311F4" w:rsidRDefault="009311F4" w:rsidP="00C02FB7">
          <w:pPr>
            <w:rPr>
              <w:b/>
              <w:bCs w:val="0"/>
              <w:sz w:val="18"/>
              <w:szCs w:val="18"/>
              <w:lang w:val="sv-SE"/>
            </w:rPr>
          </w:pPr>
          <w:r w:rsidRPr="00856398">
            <w:rPr>
              <w:b/>
              <w:sz w:val="18"/>
              <w:szCs w:val="18"/>
              <w:lang w:val="sv-SE"/>
            </w:rPr>
            <w:br w:type="page"/>
          </w:r>
          <w:r w:rsidRPr="00856398">
            <w:rPr>
              <w:b/>
              <w:sz w:val="18"/>
              <w:szCs w:val="18"/>
              <w:lang w:val="sv-SE"/>
            </w:rPr>
            <w:br w:type="page"/>
          </w:r>
          <w:r w:rsidRPr="00856398">
            <w:rPr>
              <w:sz w:val="18"/>
              <w:szCs w:val="18"/>
              <w:lang w:val="sv-SE"/>
            </w:rPr>
            <w:br w:type="page"/>
          </w:r>
          <w:r w:rsidRPr="00856398">
            <w:rPr>
              <w:sz w:val="18"/>
              <w:szCs w:val="18"/>
              <w:lang w:val="sv-SE"/>
            </w:rPr>
            <w:br w:type="page"/>
          </w:r>
          <w:r>
            <w:rPr>
              <w:b/>
              <w:bCs w:val="0"/>
              <w:sz w:val="18"/>
              <w:szCs w:val="18"/>
              <w:lang w:val="sv-SE"/>
            </w:rPr>
            <w:t>Lampiran IV</w:t>
          </w:r>
        </w:p>
        <w:p w14:paraId="468E7612" w14:textId="77777777" w:rsidR="009311F4" w:rsidRDefault="009311F4" w:rsidP="00C02FB7">
          <w:pPr>
            <w:rPr>
              <w:b/>
              <w:bCs w:val="0"/>
              <w:sz w:val="18"/>
              <w:szCs w:val="18"/>
            </w:rPr>
          </w:pPr>
        </w:p>
        <w:p w14:paraId="6254746B" w14:textId="77777777" w:rsidR="009311F4" w:rsidRDefault="009311F4" w:rsidP="00C02FB7">
          <w:pPr>
            <w:rPr>
              <w:b/>
              <w:bCs w:val="0"/>
              <w:sz w:val="18"/>
              <w:szCs w:val="18"/>
            </w:rPr>
          </w:pPr>
          <w:r>
            <w:rPr>
              <w:b/>
              <w:bCs w:val="0"/>
              <w:sz w:val="18"/>
              <w:szCs w:val="18"/>
            </w:rPr>
            <w:t>PT SEJAHTERARAYA ANUGRAHJAYA Tbk</w:t>
          </w:r>
        </w:p>
        <w:p w14:paraId="5D030B94" w14:textId="77777777" w:rsidR="009311F4" w:rsidRDefault="009311F4" w:rsidP="00C02FB7">
          <w:pPr>
            <w:rPr>
              <w:b/>
              <w:bCs w:val="0"/>
              <w:sz w:val="18"/>
              <w:szCs w:val="18"/>
            </w:rPr>
          </w:pPr>
          <w:r>
            <w:rPr>
              <w:b/>
              <w:bCs w:val="0"/>
              <w:sz w:val="18"/>
              <w:szCs w:val="18"/>
            </w:rPr>
            <w:t>(ENTITAS INDUK SAJA)</w:t>
          </w:r>
        </w:p>
        <w:p w14:paraId="590D0884" w14:textId="77777777" w:rsidR="009311F4" w:rsidRPr="003B2E73" w:rsidRDefault="009311F4" w:rsidP="00375AB2">
          <w:pPr>
            <w:pStyle w:val="Header"/>
            <w:tabs>
              <w:tab w:val="clear" w:pos="4320"/>
            </w:tabs>
            <w:ind w:right="-57"/>
            <w:rPr>
              <w:b/>
              <w:bCs w:val="0"/>
              <w:color w:val="232121"/>
              <w:sz w:val="18"/>
              <w:szCs w:val="18"/>
              <w:lang w:val="id-ID"/>
            </w:rPr>
          </w:pPr>
          <w:r w:rsidRPr="003B2E73">
            <w:rPr>
              <w:b/>
              <w:bCs w:val="0"/>
              <w:color w:val="232121"/>
              <w:sz w:val="18"/>
              <w:szCs w:val="18"/>
            </w:rPr>
            <w:t>LAPORAN PERUBAHAN EKUITAS</w:t>
          </w:r>
        </w:p>
        <w:p w14:paraId="389AC51C"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28D412AB" w14:textId="24888FD3" w:rsidR="009311F4" w:rsidRPr="00C02FB7" w:rsidRDefault="009311F4" w:rsidP="0030048B">
          <w:pPr>
            <w:rPr>
              <w:b/>
              <w:bCs w:val="0"/>
              <w:sz w:val="18"/>
              <w:szCs w:val="18"/>
            </w:rPr>
          </w:pPr>
          <w:r>
            <w:rPr>
              <w:sz w:val="18"/>
              <w:szCs w:val="18"/>
            </w:rPr>
            <w:t>dan 31 Desember 2019 (Diaudit)</w:t>
          </w:r>
          <w:r w:rsidRPr="00856398">
            <w:rPr>
              <w:sz w:val="18"/>
              <w:szCs w:val="18"/>
              <w:lang w:val="id-ID"/>
            </w:rPr>
            <w:br/>
          </w:r>
          <w:r w:rsidRPr="00856398">
            <w:rPr>
              <w:sz w:val="18"/>
              <w:szCs w:val="18"/>
              <w:lang w:val="sv-SE"/>
            </w:rPr>
            <w:t>(Disajikan dalam Rupiah, kecuali dinyatakan lain)</w:t>
          </w:r>
        </w:p>
      </w:tc>
      <w:tc>
        <w:tcPr>
          <w:tcW w:w="7371" w:type="dxa"/>
        </w:tcPr>
        <w:p w14:paraId="6ADCEA55" w14:textId="4E635457" w:rsidR="009311F4" w:rsidRDefault="009311F4" w:rsidP="00432745">
          <w:pPr>
            <w:pStyle w:val="Header"/>
            <w:ind w:left="-57" w:right="-57"/>
            <w:jc w:val="right"/>
            <w:rPr>
              <w:b/>
              <w:i/>
              <w:sz w:val="18"/>
              <w:szCs w:val="18"/>
            </w:rPr>
          </w:pPr>
          <w:r>
            <w:rPr>
              <w:b/>
              <w:i/>
              <w:sz w:val="18"/>
              <w:szCs w:val="18"/>
            </w:rPr>
            <w:t>Attachment IV</w:t>
          </w:r>
        </w:p>
        <w:p w14:paraId="3816B245" w14:textId="0A44189D" w:rsidR="009311F4" w:rsidRDefault="009311F4" w:rsidP="00432745">
          <w:pPr>
            <w:pStyle w:val="Header"/>
            <w:ind w:left="-57" w:right="-57"/>
            <w:jc w:val="right"/>
            <w:rPr>
              <w:b/>
              <w:i/>
              <w:sz w:val="18"/>
              <w:szCs w:val="18"/>
            </w:rPr>
          </w:pPr>
        </w:p>
        <w:p w14:paraId="7170FB33" w14:textId="77777777" w:rsidR="009311F4" w:rsidRDefault="009311F4" w:rsidP="00432745">
          <w:pPr>
            <w:pStyle w:val="Header"/>
            <w:ind w:left="-57" w:right="-57"/>
            <w:jc w:val="right"/>
            <w:rPr>
              <w:b/>
              <w:i/>
              <w:sz w:val="18"/>
              <w:szCs w:val="18"/>
            </w:rPr>
          </w:pPr>
        </w:p>
        <w:p w14:paraId="59C1D06A" w14:textId="77777777" w:rsidR="009311F4" w:rsidRDefault="009311F4" w:rsidP="00432745">
          <w:pPr>
            <w:pStyle w:val="Header"/>
            <w:ind w:left="-57" w:right="-57"/>
            <w:jc w:val="right"/>
            <w:rPr>
              <w:b/>
              <w:i/>
              <w:sz w:val="18"/>
              <w:szCs w:val="18"/>
            </w:rPr>
          </w:pPr>
          <w:r>
            <w:rPr>
              <w:b/>
              <w:i/>
              <w:sz w:val="18"/>
              <w:szCs w:val="18"/>
            </w:rPr>
            <w:t>PT SEJAHTERARAYA ANUGRAHJAYA Tbk</w:t>
          </w:r>
        </w:p>
        <w:p w14:paraId="7B655A0E" w14:textId="77777777" w:rsidR="009311F4" w:rsidRDefault="009311F4" w:rsidP="00432745">
          <w:pPr>
            <w:pStyle w:val="Header"/>
            <w:ind w:left="-57" w:right="-57"/>
            <w:jc w:val="right"/>
            <w:rPr>
              <w:b/>
              <w:i/>
              <w:sz w:val="18"/>
              <w:szCs w:val="18"/>
            </w:rPr>
          </w:pPr>
          <w:r>
            <w:rPr>
              <w:b/>
              <w:i/>
              <w:sz w:val="18"/>
              <w:szCs w:val="18"/>
            </w:rPr>
            <w:t>(PARENT ENTITY ONLY)</w:t>
          </w:r>
        </w:p>
        <w:p w14:paraId="6E59C89E" w14:textId="77777777" w:rsidR="009311F4" w:rsidRPr="003B2E73" w:rsidRDefault="009311F4" w:rsidP="00375AB2">
          <w:pPr>
            <w:pStyle w:val="Header"/>
            <w:ind w:left="-57" w:right="-56"/>
            <w:jc w:val="right"/>
            <w:rPr>
              <w:b/>
              <w:i/>
              <w:sz w:val="18"/>
              <w:szCs w:val="18"/>
              <w:lang w:val="pt-BR"/>
            </w:rPr>
          </w:pPr>
          <w:r w:rsidRPr="003B2E73">
            <w:rPr>
              <w:b/>
              <w:i/>
              <w:sz w:val="18"/>
              <w:szCs w:val="18"/>
              <w:lang w:val="pt-BR"/>
            </w:rPr>
            <w:t xml:space="preserve">STATEMENT OF CHANGES IN EQUITY </w:t>
          </w:r>
        </w:p>
        <w:p w14:paraId="281F57A9" w14:textId="77777777" w:rsidR="009311F4" w:rsidRDefault="009311F4" w:rsidP="00432745">
          <w:pPr>
            <w:pStyle w:val="Header"/>
            <w:ind w:left="-57" w:right="-57"/>
            <w:jc w:val="right"/>
            <w:rPr>
              <w:i/>
              <w:sz w:val="18"/>
              <w:szCs w:val="18"/>
            </w:rPr>
          </w:pPr>
          <w:r>
            <w:rPr>
              <w:bCs w:val="0"/>
              <w:i/>
              <w:color w:val="232121"/>
              <w:sz w:val="18"/>
              <w:szCs w:val="18"/>
            </w:rPr>
            <w:t>March 31, 2020 (Unaudited) and December 31, 2019 (Audited</w:t>
          </w:r>
          <w:r>
            <w:rPr>
              <w:i/>
              <w:sz w:val="18"/>
              <w:szCs w:val="18"/>
            </w:rPr>
            <w:t>)</w:t>
          </w:r>
        </w:p>
        <w:p w14:paraId="57B87664" w14:textId="12CEF1CF" w:rsidR="009311F4" w:rsidRPr="00856398" w:rsidRDefault="009311F4" w:rsidP="00432745">
          <w:pPr>
            <w:pStyle w:val="Header"/>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2E5F8D5F" w14:textId="77777777" w:rsidR="009311F4" w:rsidRPr="002433B2" w:rsidRDefault="009311F4">
    <w:pPr>
      <w:rPr>
        <w:rFonts w:ascii="ITC Officina Sans Std Book" w:hAnsi="ITC Officina Sans Std Book"/>
        <w:sz w:val="18"/>
        <w:szCs w:val="18"/>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7" w:type="dxa"/>
      <w:tblInd w:w="142" w:type="dxa"/>
      <w:tblBorders>
        <w:bottom w:val="single" w:sz="4" w:space="0" w:color="auto"/>
      </w:tblBorders>
      <w:tblLook w:val="00A0" w:firstRow="1" w:lastRow="0" w:firstColumn="1" w:lastColumn="0" w:noHBand="0" w:noVBand="0"/>
    </w:tblPr>
    <w:tblGrid>
      <w:gridCol w:w="4598"/>
      <w:gridCol w:w="4599"/>
    </w:tblGrid>
    <w:tr w:rsidR="009311F4" w:rsidRPr="002433B2" w14:paraId="17BB672F" w14:textId="77777777" w:rsidTr="00375AB2">
      <w:trPr>
        <w:trHeight w:val="1418"/>
      </w:trPr>
      <w:tc>
        <w:tcPr>
          <w:tcW w:w="2500" w:type="pct"/>
        </w:tcPr>
        <w:p w14:paraId="5ADE9776" w14:textId="03669684" w:rsidR="009311F4" w:rsidRDefault="009311F4" w:rsidP="00C02FB7">
          <w:pPr>
            <w:rPr>
              <w:b/>
              <w:bCs w:val="0"/>
              <w:sz w:val="18"/>
              <w:szCs w:val="18"/>
              <w:lang w:val="sv-SE"/>
            </w:rPr>
          </w:pPr>
          <w:r w:rsidRPr="00856398">
            <w:rPr>
              <w:b/>
              <w:sz w:val="18"/>
              <w:szCs w:val="18"/>
              <w:lang w:val="sv-SE"/>
            </w:rPr>
            <w:br w:type="page"/>
          </w:r>
          <w:r w:rsidRPr="00856398">
            <w:rPr>
              <w:b/>
              <w:sz w:val="18"/>
              <w:szCs w:val="18"/>
              <w:lang w:val="sv-SE"/>
            </w:rPr>
            <w:br w:type="page"/>
          </w:r>
          <w:r w:rsidRPr="00856398">
            <w:rPr>
              <w:sz w:val="18"/>
              <w:szCs w:val="18"/>
              <w:lang w:val="sv-SE"/>
            </w:rPr>
            <w:br w:type="page"/>
          </w:r>
          <w:r w:rsidRPr="00856398">
            <w:rPr>
              <w:sz w:val="18"/>
              <w:szCs w:val="18"/>
              <w:lang w:val="sv-SE"/>
            </w:rPr>
            <w:br w:type="page"/>
          </w:r>
          <w:r>
            <w:rPr>
              <w:b/>
              <w:bCs w:val="0"/>
              <w:sz w:val="18"/>
              <w:szCs w:val="18"/>
              <w:lang w:val="sv-SE"/>
            </w:rPr>
            <w:t>Lampiran V</w:t>
          </w:r>
        </w:p>
        <w:p w14:paraId="28658101" w14:textId="77777777" w:rsidR="009311F4" w:rsidRDefault="009311F4" w:rsidP="00C02FB7">
          <w:pPr>
            <w:rPr>
              <w:b/>
              <w:bCs w:val="0"/>
              <w:sz w:val="18"/>
              <w:szCs w:val="18"/>
            </w:rPr>
          </w:pPr>
        </w:p>
        <w:p w14:paraId="5912D5DC" w14:textId="77777777" w:rsidR="009311F4" w:rsidRDefault="009311F4" w:rsidP="00C02FB7">
          <w:pPr>
            <w:rPr>
              <w:b/>
              <w:bCs w:val="0"/>
              <w:sz w:val="18"/>
              <w:szCs w:val="18"/>
            </w:rPr>
          </w:pPr>
          <w:r>
            <w:rPr>
              <w:b/>
              <w:bCs w:val="0"/>
              <w:sz w:val="18"/>
              <w:szCs w:val="18"/>
            </w:rPr>
            <w:t>PT SEJAHTERARAYA ANUGRAHJAYA Tbk</w:t>
          </w:r>
        </w:p>
        <w:p w14:paraId="42A3323D" w14:textId="77777777" w:rsidR="009311F4" w:rsidRDefault="009311F4" w:rsidP="00C02FB7">
          <w:pPr>
            <w:rPr>
              <w:b/>
              <w:bCs w:val="0"/>
              <w:sz w:val="18"/>
              <w:szCs w:val="18"/>
            </w:rPr>
          </w:pPr>
          <w:r>
            <w:rPr>
              <w:b/>
              <w:bCs w:val="0"/>
              <w:sz w:val="18"/>
              <w:szCs w:val="18"/>
            </w:rPr>
            <w:t>(ENTITAS INDUK SAJA)</w:t>
          </w:r>
        </w:p>
        <w:p w14:paraId="529C388C" w14:textId="77777777" w:rsidR="009311F4" w:rsidRPr="003B2E73" w:rsidRDefault="009311F4" w:rsidP="00375AB2">
          <w:pPr>
            <w:pStyle w:val="Header"/>
            <w:ind w:right="-57"/>
            <w:rPr>
              <w:b/>
              <w:sz w:val="18"/>
              <w:szCs w:val="18"/>
              <w:lang w:val="sv-SE"/>
            </w:rPr>
          </w:pPr>
          <w:r w:rsidRPr="003B2E73">
            <w:rPr>
              <w:b/>
              <w:sz w:val="18"/>
              <w:szCs w:val="18"/>
              <w:lang w:val="sv-SE"/>
            </w:rPr>
            <w:t>LAPORAN ARUS KAS</w:t>
          </w:r>
        </w:p>
        <w:p w14:paraId="06A5F726" w14:textId="77777777" w:rsidR="009311F4" w:rsidRDefault="009311F4" w:rsidP="0030048B">
          <w:pPr>
            <w:pStyle w:val="Header"/>
            <w:tabs>
              <w:tab w:val="clear" w:pos="4320"/>
            </w:tabs>
            <w:ind w:right="-57"/>
            <w:rPr>
              <w:sz w:val="18"/>
              <w:szCs w:val="18"/>
            </w:rPr>
          </w:pPr>
          <w:r>
            <w:rPr>
              <w:sz w:val="18"/>
              <w:szCs w:val="18"/>
            </w:rPr>
            <w:t xml:space="preserve">31 Maret 2020 (Tidak Diaudit) </w:t>
          </w:r>
        </w:p>
        <w:p w14:paraId="4F0179BE" w14:textId="28072C33" w:rsidR="009311F4" w:rsidRPr="00C02FB7" w:rsidRDefault="009311F4" w:rsidP="0030048B">
          <w:pPr>
            <w:rPr>
              <w:b/>
              <w:bCs w:val="0"/>
              <w:sz w:val="18"/>
              <w:szCs w:val="18"/>
            </w:rPr>
          </w:pPr>
          <w:r>
            <w:rPr>
              <w:sz w:val="18"/>
              <w:szCs w:val="18"/>
            </w:rPr>
            <w:t>dan 31 Desember 2019 (Diaudit)</w:t>
          </w:r>
          <w:r w:rsidRPr="00856398">
            <w:rPr>
              <w:sz w:val="18"/>
              <w:szCs w:val="18"/>
              <w:lang w:val="id-ID"/>
            </w:rPr>
            <w:br/>
          </w:r>
          <w:r w:rsidRPr="00856398">
            <w:rPr>
              <w:sz w:val="18"/>
              <w:szCs w:val="18"/>
              <w:lang w:val="sv-SE"/>
            </w:rPr>
            <w:t>(Disajikan dalam Rupiah, kecuali dinyatakan lain)</w:t>
          </w:r>
        </w:p>
      </w:tc>
      <w:tc>
        <w:tcPr>
          <w:tcW w:w="2500" w:type="pct"/>
        </w:tcPr>
        <w:p w14:paraId="06A85FFE" w14:textId="11A8EA26" w:rsidR="009311F4" w:rsidRDefault="009311F4" w:rsidP="00432745">
          <w:pPr>
            <w:pStyle w:val="Header"/>
            <w:ind w:left="-57" w:right="-57"/>
            <w:jc w:val="right"/>
            <w:rPr>
              <w:b/>
              <w:i/>
              <w:sz w:val="18"/>
              <w:szCs w:val="18"/>
            </w:rPr>
          </w:pPr>
          <w:r>
            <w:rPr>
              <w:b/>
              <w:i/>
              <w:sz w:val="18"/>
              <w:szCs w:val="18"/>
            </w:rPr>
            <w:t>Attachment V</w:t>
          </w:r>
        </w:p>
        <w:p w14:paraId="04775151" w14:textId="77777777" w:rsidR="009311F4" w:rsidRDefault="009311F4" w:rsidP="00432745">
          <w:pPr>
            <w:pStyle w:val="Header"/>
            <w:ind w:left="-57" w:right="-57"/>
            <w:jc w:val="right"/>
            <w:rPr>
              <w:b/>
              <w:i/>
              <w:sz w:val="18"/>
              <w:szCs w:val="18"/>
            </w:rPr>
          </w:pPr>
        </w:p>
        <w:p w14:paraId="7077532F" w14:textId="77777777" w:rsidR="009311F4" w:rsidRDefault="009311F4" w:rsidP="00432745">
          <w:pPr>
            <w:pStyle w:val="Header"/>
            <w:ind w:left="-57" w:right="-57"/>
            <w:jc w:val="right"/>
            <w:rPr>
              <w:b/>
              <w:i/>
              <w:sz w:val="18"/>
              <w:szCs w:val="18"/>
            </w:rPr>
          </w:pPr>
          <w:r>
            <w:rPr>
              <w:b/>
              <w:i/>
              <w:sz w:val="18"/>
              <w:szCs w:val="18"/>
            </w:rPr>
            <w:t>PT SEJAHTERARAYA ANUGRAHJAYA Tbk</w:t>
          </w:r>
        </w:p>
        <w:p w14:paraId="2CBF2C35" w14:textId="77777777" w:rsidR="009311F4" w:rsidRDefault="009311F4" w:rsidP="00432745">
          <w:pPr>
            <w:pStyle w:val="Header"/>
            <w:ind w:left="-57" w:right="-57"/>
            <w:jc w:val="right"/>
            <w:rPr>
              <w:b/>
              <w:i/>
              <w:sz w:val="18"/>
              <w:szCs w:val="18"/>
            </w:rPr>
          </w:pPr>
          <w:r>
            <w:rPr>
              <w:b/>
              <w:i/>
              <w:sz w:val="18"/>
              <w:szCs w:val="18"/>
            </w:rPr>
            <w:t>(PARENT ENTITY ONLY)</w:t>
          </w:r>
        </w:p>
        <w:p w14:paraId="5999A4A1" w14:textId="77777777" w:rsidR="009311F4" w:rsidRPr="003B2E73" w:rsidRDefault="009311F4" w:rsidP="00375AB2">
          <w:pPr>
            <w:pStyle w:val="Header"/>
            <w:ind w:left="-57" w:right="-57"/>
            <w:jc w:val="right"/>
            <w:rPr>
              <w:b/>
              <w:i/>
              <w:sz w:val="18"/>
              <w:szCs w:val="18"/>
            </w:rPr>
          </w:pPr>
          <w:r w:rsidRPr="003B2E73">
            <w:rPr>
              <w:b/>
              <w:i/>
              <w:sz w:val="18"/>
              <w:szCs w:val="18"/>
            </w:rPr>
            <w:t>STATEMENT OF CASH FLOWS</w:t>
          </w:r>
        </w:p>
        <w:p w14:paraId="1BAC8BF4" w14:textId="77777777" w:rsidR="009311F4" w:rsidRDefault="009311F4" w:rsidP="0030048B">
          <w:pPr>
            <w:pStyle w:val="Header"/>
            <w:ind w:left="-57" w:right="-57"/>
            <w:jc w:val="right"/>
            <w:rPr>
              <w:i/>
              <w:sz w:val="18"/>
              <w:szCs w:val="18"/>
            </w:rPr>
          </w:pPr>
          <w:r>
            <w:rPr>
              <w:bCs w:val="0"/>
              <w:i/>
              <w:color w:val="232121"/>
              <w:sz w:val="18"/>
              <w:szCs w:val="18"/>
            </w:rPr>
            <w:t>March 31, 2020 (Unaudited) and December 31, 2019 (Audited</w:t>
          </w:r>
          <w:r>
            <w:rPr>
              <w:i/>
              <w:sz w:val="18"/>
              <w:szCs w:val="18"/>
            </w:rPr>
            <w:t>)</w:t>
          </w:r>
        </w:p>
        <w:p w14:paraId="2B1D2259" w14:textId="4581D0C1" w:rsidR="009311F4" w:rsidRPr="00856398" w:rsidRDefault="009311F4" w:rsidP="0030048B">
          <w:pPr>
            <w:pStyle w:val="Header"/>
            <w:ind w:left="-57" w:right="-57"/>
            <w:jc w:val="right"/>
            <w:rPr>
              <w:b/>
              <w:i/>
              <w:sz w:val="18"/>
              <w:szCs w:val="18"/>
              <w:lang w:val="id-ID"/>
            </w:rPr>
          </w:pPr>
          <w:r w:rsidRPr="00856398">
            <w:rPr>
              <w:i/>
              <w:sz w:val="18"/>
              <w:szCs w:val="18"/>
            </w:rPr>
            <w:t xml:space="preserve"> (Expressed in Rupiah, unless otherwise stated</w:t>
          </w:r>
          <w:r w:rsidRPr="00856398">
            <w:rPr>
              <w:i/>
              <w:sz w:val="18"/>
              <w:szCs w:val="18"/>
              <w:lang w:val="id-ID"/>
            </w:rPr>
            <w:t>)</w:t>
          </w:r>
        </w:p>
      </w:tc>
    </w:tr>
  </w:tbl>
  <w:p w14:paraId="0B72280E" w14:textId="77777777" w:rsidR="009311F4" w:rsidRPr="002433B2" w:rsidRDefault="009311F4">
    <w:pPr>
      <w:rPr>
        <w:rFonts w:ascii="ITC Officina Sans Std Book" w:hAnsi="ITC Officina Sans Std Book"/>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F52F" w14:textId="77777777" w:rsidR="009311F4" w:rsidRDefault="009311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10546" w14:textId="77777777" w:rsidR="009311F4" w:rsidRDefault="009311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6" w:type="pct"/>
      <w:tblInd w:w="108" w:type="dxa"/>
      <w:tblLook w:val="00A0" w:firstRow="1" w:lastRow="0" w:firstColumn="1" w:lastColumn="0" w:noHBand="0" w:noVBand="0"/>
    </w:tblPr>
    <w:tblGrid>
      <w:gridCol w:w="4599"/>
      <w:gridCol w:w="4600"/>
    </w:tblGrid>
    <w:tr w:rsidR="009311F4" w:rsidRPr="00856398" w14:paraId="365162EE" w14:textId="77777777" w:rsidTr="005C68DF">
      <w:tc>
        <w:tcPr>
          <w:tcW w:w="4599" w:type="dxa"/>
          <w:tcBorders>
            <w:bottom w:val="single" w:sz="4" w:space="0" w:color="auto"/>
          </w:tcBorders>
        </w:tcPr>
        <w:p w14:paraId="14A1D709" w14:textId="77777777" w:rsidR="009311F4" w:rsidRPr="00856398" w:rsidRDefault="009311F4" w:rsidP="00381272">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1FC33649" w14:textId="77777777" w:rsidR="009311F4" w:rsidRPr="00856398" w:rsidRDefault="009311F4" w:rsidP="00664FD0">
          <w:pPr>
            <w:rPr>
              <w:b/>
              <w:sz w:val="18"/>
              <w:szCs w:val="18"/>
            </w:rPr>
          </w:pPr>
          <w:r w:rsidRPr="00856398">
            <w:rPr>
              <w:b/>
              <w:sz w:val="18"/>
              <w:szCs w:val="18"/>
            </w:rPr>
            <w:t>DAN ENTITAS ANAK</w:t>
          </w:r>
        </w:p>
        <w:p w14:paraId="1F0642F9" w14:textId="6C9B2376" w:rsidR="009311F4" w:rsidRPr="00856398" w:rsidRDefault="009311F4" w:rsidP="004B2B6E">
          <w:pPr>
            <w:pStyle w:val="Header"/>
            <w:tabs>
              <w:tab w:val="clear" w:pos="4320"/>
              <w:tab w:val="clear" w:pos="8640"/>
            </w:tabs>
            <w:ind w:right="-57"/>
            <w:rPr>
              <w:b/>
              <w:sz w:val="18"/>
              <w:szCs w:val="18"/>
              <w:lang w:val="id-ID"/>
            </w:rPr>
          </w:pPr>
          <w:r w:rsidRPr="00856398">
            <w:rPr>
              <w:b/>
              <w:sz w:val="18"/>
              <w:szCs w:val="18"/>
              <w:lang w:val="id-ID"/>
            </w:rPr>
            <w:t>LAPORAN POSISI KEUANGAN</w:t>
          </w:r>
          <w:r>
            <w:rPr>
              <w:b/>
              <w:sz w:val="18"/>
              <w:szCs w:val="18"/>
            </w:rPr>
            <w:t xml:space="preserve"> - Lanjutan</w:t>
          </w:r>
          <w:r w:rsidRPr="00856398">
            <w:rPr>
              <w:b/>
              <w:sz w:val="18"/>
              <w:szCs w:val="18"/>
              <w:lang w:val="id-ID"/>
            </w:rPr>
            <w:br/>
          </w:r>
          <w:r w:rsidRPr="00856398">
            <w:rPr>
              <w:b/>
              <w:sz w:val="18"/>
              <w:szCs w:val="18"/>
            </w:rPr>
            <w:t xml:space="preserve">KONSOLIDASIAN </w:t>
          </w:r>
        </w:p>
        <w:p w14:paraId="4E4403A0" w14:textId="1B2D6C3E" w:rsidR="009311F4" w:rsidRPr="00907095" w:rsidRDefault="009311F4" w:rsidP="008A4EA0">
          <w:pPr>
            <w:pStyle w:val="Header"/>
            <w:tabs>
              <w:tab w:val="clear" w:pos="4320"/>
            </w:tabs>
            <w:ind w:right="-57"/>
            <w:rPr>
              <w:sz w:val="18"/>
              <w:szCs w:val="18"/>
            </w:rPr>
          </w:pPr>
          <w:r>
            <w:rPr>
              <w:sz w:val="18"/>
              <w:szCs w:val="18"/>
            </w:rPr>
            <w:t>31 Maret 2020 (Tidak Diaudit) dan 31 Desember 2019 (Diaudit)</w:t>
          </w:r>
        </w:p>
        <w:p w14:paraId="224C01AB" w14:textId="77777777" w:rsidR="009311F4" w:rsidRPr="00856398" w:rsidRDefault="009311F4" w:rsidP="005370B1">
          <w:pPr>
            <w:pStyle w:val="Header"/>
            <w:tabs>
              <w:tab w:val="clear" w:pos="4320"/>
              <w:tab w:val="clear" w:pos="8640"/>
              <w:tab w:val="right" w:pos="4462"/>
            </w:tabs>
            <w:ind w:right="-57"/>
            <w:rPr>
              <w:b/>
              <w:sz w:val="18"/>
              <w:szCs w:val="18"/>
              <w:lang w:val="sv-SE"/>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600" w:type="dxa"/>
          <w:tcBorders>
            <w:bottom w:val="single" w:sz="4" w:space="0" w:color="auto"/>
          </w:tcBorders>
        </w:tcPr>
        <w:p w14:paraId="58E8D037" w14:textId="77777777" w:rsidR="009311F4" w:rsidRPr="00856398" w:rsidRDefault="009311F4" w:rsidP="00381272">
          <w:pPr>
            <w:ind w:left="540" w:right="-53"/>
            <w:jc w:val="right"/>
            <w:rPr>
              <w:b/>
              <w:i/>
              <w:sz w:val="18"/>
              <w:szCs w:val="18"/>
              <w:lang w:val="id-ID"/>
            </w:rPr>
          </w:pPr>
          <w:r w:rsidRPr="00856398">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7688B8AD" w14:textId="77777777" w:rsidR="009311F4" w:rsidRPr="00856398" w:rsidRDefault="009311F4" w:rsidP="00040706">
          <w:pPr>
            <w:ind w:left="-135" w:right="-53"/>
            <w:jc w:val="right"/>
            <w:rPr>
              <w:b/>
              <w:i/>
              <w:sz w:val="18"/>
              <w:szCs w:val="18"/>
            </w:rPr>
          </w:pPr>
          <w:r w:rsidRPr="00856398">
            <w:rPr>
              <w:b/>
              <w:i/>
              <w:sz w:val="18"/>
              <w:szCs w:val="18"/>
            </w:rPr>
            <w:t>AND SUBSIDIARIES</w:t>
          </w:r>
        </w:p>
        <w:p w14:paraId="7621B7DC" w14:textId="0BBFB49A" w:rsidR="009311F4" w:rsidRPr="006063E7" w:rsidRDefault="009311F4" w:rsidP="00040706">
          <w:pPr>
            <w:ind w:left="-135" w:right="-53"/>
            <w:jc w:val="right"/>
            <w:rPr>
              <w:b/>
              <w:i/>
              <w:sz w:val="18"/>
              <w:szCs w:val="18"/>
            </w:rPr>
          </w:pPr>
          <w:r w:rsidRPr="00856398">
            <w:rPr>
              <w:b/>
              <w:i/>
              <w:sz w:val="18"/>
              <w:szCs w:val="18"/>
            </w:rPr>
            <w:t xml:space="preserve">CONSOLIDATED </w:t>
          </w:r>
          <w:r w:rsidRPr="00856398">
            <w:rPr>
              <w:b/>
              <w:i/>
              <w:sz w:val="18"/>
              <w:szCs w:val="18"/>
              <w:lang w:val="id-ID"/>
            </w:rPr>
            <w:t xml:space="preserve">STATEMENT OF </w:t>
          </w:r>
          <w:r w:rsidRPr="00856398">
            <w:rPr>
              <w:b/>
              <w:i/>
              <w:sz w:val="18"/>
              <w:szCs w:val="18"/>
              <w:lang w:val="id-ID"/>
            </w:rPr>
            <w:br/>
            <w:t>FINANCIAL POSITION</w:t>
          </w:r>
          <w:r>
            <w:rPr>
              <w:b/>
              <w:i/>
              <w:sz w:val="18"/>
              <w:szCs w:val="18"/>
            </w:rPr>
            <w:t xml:space="preserve"> - Continued</w:t>
          </w:r>
        </w:p>
        <w:p w14:paraId="06976C3C" w14:textId="46708381" w:rsidR="009311F4" w:rsidRPr="00856398" w:rsidRDefault="009311F4" w:rsidP="008A4EA0">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March 31, 2020 (Unaudited) and December 31, 2019 (Audited)</w:t>
          </w:r>
          <w:r w:rsidRPr="00856398">
            <w:rPr>
              <w:rFonts w:ascii="Times New Roman" w:hAnsi="Times New Roman" w:cs="Times New Roman"/>
              <w:bCs/>
              <w:i/>
              <w:color w:val="232121"/>
              <w:sz w:val="18"/>
              <w:szCs w:val="18"/>
            </w:rPr>
            <w:t xml:space="preserve"> </w:t>
          </w:r>
        </w:p>
        <w:p w14:paraId="7A1FF044" w14:textId="77777777" w:rsidR="009311F4" w:rsidRPr="00856398" w:rsidRDefault="009311F4" w:rsidP="00171892">
          <w:pPr>
            <w:pStyle w:val="Header"/>
            <w:tabs>
              <w:tab w:val="clear" w:pos="4320"/>
            </w:tabs>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6B4D129C" w14:textId="77777777" w:rsidR="009311F4" w:rsidRPr="00856398" w:rsidRDefault="009311F4" w:rsidP="008A4EA0">
    <w:pPr>
      <w:pStyle w:val="Header"/>
      <w:tabs>
        <w:tab w:val="clear" w:pos="4320"/>
        <w:tab w:val="clear" w:pos="8640"/>
      </w:tabs>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ABE6" w14:textId="77777777" w:rsidR="009311F4" w:rsidRDefault="009311F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D4FD" w14:textId="77777777" w:rsidR="009311F4" w:rsidRDefault="009311F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6" w:type="pct"/>
      <w:tblInd w:w="108" w:type="dxa"/>
      <w:tblLook w:val="00A0" w:firstRow="1" w:lastRow="0" w:firstColumn="1" w:lastColumn="0" w:noHBand="0" w:noVBand="0"/>
    </w:tblPr>
    <w:tblGrid>
      <w:gridCol w:w="4599"/>
      <w:gridCol w:w="4600"/>
    </w:tblGrid>
    <w:tr w:rsidR="009311F4" w:rsidRPr="00856398" w14:paraId="2A6E22A8" w14:textId="77777777" w:rsidTr="005C68DF">
      <w:tc>
        <w:tcPr>
          <w:tcW w:w="4599" w:type="dxa"/>
          <w:tcBorders>
            <w:bottom w:val="single" w:sz="4" w:space="0" w:color="auto"/>
          </w:tcBorders>
        </w:tcPr>
        <w:p w14:paraId="04647FD9" w14:textId="77777777" w:rsidR="009311F4" w:rsidRPr="00856398" w:rsidRDefault="009311F4" w:rsidP="00381272">
          <w:pPr>
            <w:rPr>
              <w:b/>
              <w:sz w:val="18"/>
              <w:szCs w:val="18"/>
              <w:lang w:val="id-ID"/>
            </w:rPr>
          </w:pPr>
          <w:r w:rsidRPr="00856398">
            <w:rPr>
              <w:b/>
              <w:sz w:val="18"/>
              <w:szCs w:val="18"/>
              <w:lang w:val="sv-SE"/>
            </w:rPr>
            <w:br w:type="page"/>
          </w:r>
          <w:r w:rsidRPr="00856398">
            <w:rPr>
              <w:b/>
              <w:sz w:val="18"/>
              <w:szCs w:val="18"/>
              <w:lang w:val="id-ID"/>
            </w:rPr>
            <w:t xml:space="preserve">PT </w:t>
          </w:r>
          <w:r>
            <w:rPr>
              <w:b/>
              <w:sz w:val="18"/>
              <w:szCs w:val="18"/>
            </w:rPr>
            <w:t>SEJAHTERARAYA ANUGRAHJAYA</w:t>
          </w:r>
          <w:r w:rsidRPr="00856398">
            <w:rPr>
              <w:b/>
              <w:sz w:val="18"/>
              <w:szCs w:val="18"/>
            </w:rPr>
            <w:t xml:space="preserve"> </w:t>
          </w:r>
          <w:r w:rsidRPr="00856398">
            <w:rPr>
              <w:b/>
              <w:sz w:val="18"/>
              <w:szCs w:val="18"/>
              <w:lang w:val="id-ID"/>
            </w:rPr>
            <w:t>Tbk</w:t>
          </w:r>
        </w:p>
        <w:p w14:paraId="1E896068" w14:textId="77777777" w:rsidR="009311F4" w:rsidRPr="00856398" w:rsidRDefault="009311F4" w:rsidP="00664FD0">
          <w:pPr>
            <w:rPr>
              <w:b/>
              <w:sz w:val="18"/>
              <w:szCs w:val="18"/>
            </w:rPr>
          </w:pPr>
          <w:r w:rsidRPr="00856398">
            <w:rPr>
              <w:b/>
              <w:sz w:val="18"/>
              <w:szCs w:val="18"/>
            </w:rPr>
            <w:t>DAN ENTITAS ANAK</w:t>
          </w:r>
        </w:p>
        <w:p w14:paraId="17442E94" w14:textId="6CA39C33" w:rsidR="009311F4" w:rsidRPr="00856398" w:rsidRDefault="009311F4" w:rsidP="004B2B6E">
          <w:pPr>
            <w:pStyle w:val="Header"/>
            <w:tabs>
              <w:tab w:val="clear" w:pos="4320"/>
              <w:tab w:val="clear" w:pos="8640"/>
            </w:tabs>
            <w:ind w:right="-57"/>
            <w:rPr>
              <w:b/>
              <w:sz w:val="18"/>
              <w:szCs w:val="18"/>
              <w:lang w:val="id-ID"/>
            </w:rPr>
          </w:pPr>
          <w:r w:rsidRPr="00856398">
            <w:rPr>
              <w:b/>
              <w:sz w:val="18"/>
              <w:szCs w:val="18"/>
              <w:lang w:val="id-ID"/>
            </w:rPr>
            <w:t xml:space="preserve">LAPORAN </w:t>
          </w:r>
          <w:r>
            <w:rPr>
              <w:b/>
              <w:sz w:val="18"/>
              <w:szCs w:val="18"/>
            </w:rPr>
            <w:t>LABA RUGI DAN PENGHASILAN</w:t>
          </w:r>
          <w:r w:rsidRPr="00856398">
            <w:rPr>
              <w:b/>
              <w:sz w:val="18"/>
              <w:szCs w:val="18"/>
              <w:lang w:val="id-ID"/>
            </w:rPr>
            <w:br/>
          </w:r>
          <w:r>
            <w:rPr>
              <w:b/>
              <w:sz w:val="18"/>
              <w:szCs w:val="18"/>
            </w:rPr>
            <w:t>KOMPREHENSIF LAIN KONSOLIDASI</w:t>
          </w:r>
        </w:p>
        <w:p w14:paraId="2DBBB178" w14:textId="26FEE6F7" w:rsidR="009311F4" w:rsidRPr="00907095" w:rsidRDefault="009311F4" w:rsidP="008A4EA0">
          <w:pPr>
            <w:pStyle w:val="Header"/>
            <w:tabs>
              <w:tab w:val="clear" w:pos="4320"/>
            </w:tabs>
            <w:ind w:right="-57"/>
            <w:rPr>
              <w:sz w:val="18"/>
              <w:szCs w:val="18"/>
            </w:rPr>
          </w:pPr>
          <w:r>
            <w:rPr>
              <w:sz w:val="18"/>
              <w:szCs w:val="18"/>
            </w:rPr>
            <w:t>Untuk Periode Tiga Bulan Yang Berakhir Pada Tanggal 31 Maret 2020 dan 2019 (Tidak Diaudit)</w:t>
          </w:r>
        </w:p>
        <w:p w14:paraId="149409EF" w14:textId="77777777" w:rsidR="009311F4" w:rsidRPr="00856398" w:rsidRDefault="009311F4" w:rsidP="005370B1">
          <w:pPr>
            <w:pStyle w:val="Header"/>
            <w:tabs>
              <w:tab w:val="clear" w:pos="4320"/>
              <w:tab w:val="clear" w:pos="8640"/>
              <w:tab w:val="right" w:pos="4462"/>
            </w:tabs>
            <w:ind w:right="-57"/>
            <w:rPr>
              <w:b/>
              <w:sz w:val="18"/>
              <w:szCs w:val="18"/>
              <w:lang w:val="sv-SE"/>
            </w:rPr>
          </w:pPr>
          <w:r w:rsidRPr="00856398">
            <w:rPr>
              <w:sz w:val="18"/>
              <w:szCs w:val="18"/>
              <w:lang w:val="sv-SE"/>
            </w:rPr>
            <w:t>(Disajikan dalam Rupiah, kecuali dinyatakan lain</w:t>
          </w:r>
          <w:r w:rsidRPr="00856398">
            <w:rPr>
              <w:sz w:val="18"/>
              <w:szCs w:val="18"/>
              <w:lang w:val="id-ID"/>
            </w:rPr>
            <w:t>)</w:t>
          </w:r>
          <w:r w:rsidRPr="00856398">
            <w:rPr>
              <w:b/>
              <w:sz w:val="18"/>
              <w:szCs w:val="18"/>
              <w:lang w:val="sv-SE"/>
            </w:rPr>
            <w:tab/>
          </w:r>
        </w:p>
      </w:tc>
      <w:tc>
        <w:tcPr>
          <w:tcW w:w="4600" w:type="dxa"/>
          <w:tcBorders>
            <w:bottom w:val="single" w:sz="4" w:space="0" w:color="auto"/>
          </w:tcBorders>
        </w:tcPr>
        <w:p w14:paraId="0E4DD84A" w14:textId="77777777" w:rsidR="009311F4" w:rsidRPr="00856398" w:rsidRDefault="009311F4" w:rsidP="00381272">
          <w:pPr>
            <w:ind w:left="540" w:right="-53"/>
            <w:jc w:val="right"/>
            <w:rPr>
              <w:b/>
              <w:i/>
              <w:sz w:val="18"/>
              <w:szCs w:val="18"/>
              <w:lang w:val="id-ID"/>
            </w:rPr>
          </w:pPr>
          <w:r w:rsidRPr="00856398">
            <w:rPr>
              <w:b/>
              <w:i/>
              <w:sz w:val="18"/>
              <w:szCs w:val="18"/>
            </w:rPr>
            <w:t xml:space="preserve"> </w:t>
          </w:r>
          <w:r w:rsidRPr="00907095">
            <w:rPr>
              <w:b/>
              <w:i/>
              <w:sz w:val="18"/>
              <w:szCs w:val="18"/>
              <w:lang w:val="id-ID"/>
            </w:rPr>
            <w:t xml:space="preserve">PT </w:t>
          </w:r>
          <w:r w:rsidRPr="00907095">
            <w:rPr>
              <w:b/>
              <w:i/>
              <w:sz w:val="18"/>
              <w:szCs w:val="18"/>
            </w:rPr>
            <w:t>SEJAHTERARAYA ANUGRAHJAYA</w:t>
          </w:r>
          <w:r w:rsidRPr="00856398">
            <w:rPr>
              <w:b/>
              <w:i/>
              <w:sz w:val="18"/>
              <w:szCs w:val="18"/>
            </w:rPr>
            <w:t xml:space="preserve"> </w:t>
          </w:r>
          <w:r w:rsidRPr="00856398">
            <w:rPr>
              <w:b/>
              <w:i/>
              <w:sz w:val="18"/>
              <w:szCs w:val="18"/>
              <w:lang w:val="id-ID"/>
            </w:rPr>
            <w:t>Tbk</w:t>
          </w:r>
        </w:p>
        <w:p w14:paraId="5B6F46C7" w14:textId="77777777" w:rsidR="009311F4" w:rsidRPr="00856398" w:rsidRDefault="009311F4" w:rsidP="00040706">
          <w:pPr>
            <w:ind w:left="-135" w:right="-53"/>
            <w:jc w:val="right"/>
            <w:rPr>
              <w:b/>
              <w:i/>
              <w:sz w:val="18"/>
              <w:szCs w:val="18"/>
            </w:rPr>
          </w:pPr>
          <w:r w:rsidRPr="00856398">
            <w:rPr>
              <w:b/>
              <w:i/>
              <w:sz w:val="18"/>
              <w:szCs w:val="18"/>
            </w:rPr>
            <w:t>AND SUBSIDIARIES</w:t>
          </w:r>
        </w:p>
        <w:p w14:paraId="56FB2D76" w14:textId="43BE5323" w:rsidR="009311F4" w:rsidRPr="006063E7" w:rsidRDefault="009311F4" w:rsidP="00040706">
          <w:pPr>
            <w:ind w:left="-135" w:right="-53"/>
            <w:jc w:val="right"/>
            <w:rPr>
              <w:b/>
              <w:i/>
              <w:sz w:val="18"/>
              <w:szCs w:val="18"/>
            </w:rPr>
          </w:pPr>
          <w:r w:rsidRPr="00856398">
            <w:rPr>
              <w:b/>
              <w:i/>
              <w:sz w:val="18"/>
              <w:szCs w:val="18"/>
            </w:rPr>
            <w:t xml:space="preserve">CONSOLIDATED </w:t>
          </w:r>
          <w:r w:rsidRPr="00856398">
            <w:rPr>
              <w:b/>
              <w:i/>
              <w:sz w:val="18"/>
              <w:szCs w:val="18"/>
              <w:lang w:val="id-ID"/>
            </w:rPr>
            <w:t>STATEMENT OF</w:t>
          </w:r>
          <w:r>
            <w:rPr>
              <w:b/>
              <w:i/>
              <w:sz w:val="18"/>
              <w:szCs w:val="18"/>
            </w:rPr>
            <w:t xml:space="preserve"> PROFIT OR</w:t>
          </w:r>
          <w:r w:rsidRPr="00856398">
            <w:rPr>
              <w:b/>
              <w:i/>
              <w:sz w:val="18"/>
              <w:szCs w:val="18"/>
              <w:lang w:val="id-ID"/>
            </w:rPr>
            <w:t xml:space="preserve"> </w:t>
          </w:r>
          <w:r w:rsidRPr="00856398">
            <w:rPr>
              <w:b/>
              <w:i/>
              <w:sz w:val="18"/>
              <w:szCs w:val="18"/>
              <w:lang w:val="id-ID"/>
            </w:rPr>
            <w:br/>
          </w:r>
          <w:r>
            <w:rPr>
              <w:b/>
              <w:i/>
              <w:sz w:val="18"/>
              <w:szCs w:val="18"/>
            </w:rPr>
            <w:t>LOSS AND OTHER COMPREHENSIVE INCOME</w:t>
          </w:r>
        </w:p>
        <w:p w14:paraId="7D0BFAA7" w14:textId="328111AA" w:rsidR="009311F4" w:rsidRPr="00856398" w:rsidRDefault="009311F4" w:rsidP="008A4EA0">
          <w:pPr>
            <w:pStyle w:val="Default"/>
            <w:ind w:right="-56"/>
            <w:jc w:val="right"/>
            <w:rPr>
              <w:rFonts w:ascii="Times New Roman" w:hAnsi="Times New Roman" w:cs="Times New Roman"/>
              <w:bCs/>
              <w:i/>
              <w:color w:val="232121"/>
              <w:sz w:val="18"/>
              <w:szCs w:val="18"/>
            </w:rPr>
          </w:pPr>
          <w:r>
            <w:rPr>
              <w:rFonts w:ascii="Times New Roman" w:hAnsi="Times New Roman" w:cs="Times New Roman"/>
              <w:bCs/>
              <w:i/>
              <w:color w:val="232121"/>
              <w:sz w:val="18"/>
              <w:szCs w:val="18"/>
            </w:rPr>
            <w:t>For The Three Months Period Ended March 31, 2020 and 2019 (Unaudited)</w:t>
          </w:r>
          <w:r w:rsidRPr="00856398">
            <w:rPr>
              <w:rFonts w:ascii="Times New Roman" w:hAnsi="Times New Roman" w:cs="Times New Roman"/>
              <w:bCs/>
              <w:i/>
              <w:color w:val="232121"/>
              <w:sz w:val="18"/>
              <w:szCs w:val="18"/>
            </w:rPr>
            <w:t xml:space="preserve"> </w:t>
          </w:r>
        </w:p>
        <w:p w14:paraId="4F9BE35C" w14:textId="77777777" w:rsidR="009311F4" w:rsidRPr="00856398" w:rsidRDefault="009311F4" w:rsidP="00171892">
          <w:pPr>
            <w:pStyle w:val="Header"/>
            <w:tabs>
              <w:tab w:val="clear" w:pos="4320"/>
            </w:tabs>
            <w:ind w:left="-57" w:right="-57"/>
            <w:jc w:val="right"/>
            <w:rPr>
              <w:b/>
              <w:i/>
              <w:sz w:val="18"/>
              <w:szCs w:val="18"/>
              <w:lang w:val="id-ID"/>
            </w:rPr>
          </w:pPr>
          <w:r w:rsidRPr="00856398">
            <w:rPr>
              <w:i/>
              <w:sz w:val="18"/>
              <w:szCs w:val="18"/>
            </w:rPr>
            <w:t>(Expressed in Rupiah, unless otherwise stated</w:t>
          </w:r>
          <w:r w:rsidRPr="00856398">
            <w:rPr>
              <w:i/>
              <w:sz w:val="18"/>
              <w:szCs w:val="18"/>
              <w:lang w:val="id-ID"/>
            </w:rPr>
            <w:t>)</w:t>
          </w:r>
        </w:p>
      </w:tc>
    </w:tr>
  </w:tbl>
  <w:p w14:paraId="5E343F87" w14:textId="77777777" w:rsidR="009311F4" w:rsidRPr="00856398" w:rsidRDefault="009311F4" w:rsidP="008A4EA0">
    <w:pPr>
      <w:pStyle w:val="Header"/>
      <w:tabs>
        <w:tab w:val="clear" w:pos="4320"/>
        <w:tab w:val="clear" w:pos="8640"/>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F51"/>
    <w:multiLevelType w:val="hybridMultilevel"/>
    <w:tmpl w:val="83FA9D74"/>
    <w:lvl w:ilvl="0" w:tplc="EEB8B3F2">
      <w:start w:val="23"/>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E48F2"/>
    <w:multiLevelType w:val="hybridMultilevel"/>
    <w:tmpl w:val="6F64BCA6"/>
    <w:lvl w:ilvl="0" w:tplc="091482F2">
      <w:start w:val="4"/>
      <w:numFmt w:val="lowerLetter"/>
      <w:lvlText w:val="%1."/>
      <w:lvlJc w:val="left"/>
      <w:pPr>
        <w:ind w:left="12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840ED"/>
    <w:multiLevelType w:val="hybridMultilevel"/>
    <w:tmpl w:val="6DF26318"/>
    <w:lvl w:ilvl="0" w:tplc="56B6E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097646"/>
    <w:multiLevelType w:val="hybridMultilevel"/>
    <w:tmpl w:val="456CAC94"/>
    <w:lvl w:ilvl="0" w:tplc="67048C04">
      <w:start w:val="1"/>
      <w:numFmt w:val="lowerLetter"/>
      <w:lvlText w:val="%1."/>
      <w:lvlJc w:val="left"/>
      <w:pPr>
        <w:ind w:left="2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1700A6"/>
    <w:multiLevelType w:val="hybridMultilevel"/>
    <w:tmpl w:val="03C61CC8"/>
    <w:lvl w:ilvl="0" w:tplc="5D00246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2B7C37"/>
    <w:multiLevelType w:val="hybridMultilevel"/>
    <w:tmpl w:val="9E4C661C"/>
    <w:lvl w:ilvl="0" w:tplc="D51E94E0">
      <w:start w:val="17"/>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387789"/>
    <w:multiLevelType w:val="hybridMultilevel"/>
    <w:tmpl w:val="1A266522"/>
    <w:lvl w:ilvl="0" w:tplc="360A7F7A">
      <w:start w:val="3"/>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7D3D62"/>
    <w:multiLevelType w:val="hybridMultilevel"/>
    <w:tmpl w:val="BB9A77F2"/>
    <w:lvl w:ilvl="0" w:tplc="C414DC6E">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8">
    <w:nsid w:val="0240027C"/>
    <w:multiLevelType w:val="hybridMultilevel"/>
    <w:tmpl w:val="0C740158"/>
    <w:lvl w:ilvl="0" w:tplc="3A7C2404">
      <w:start w:val="14"/>
      <w:numFmt w:val="lowerLetter"/>
      <w:lvlText w:val="%1."/>
      <w:lvlJc w:val="left"/>
      <w:pPr>
        <w:ind w:left="78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535AE5"/>
    <w:multiLevelType w:val="hybridMultilevel"/>
    <w:tmpl w:val="91748F36"/>
    <w:lvl w:ilvl="0" w:tplc="8A9C0416">
      <w:start w:val="3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5C21AE"/>
    <w:multiLevelType w:val="hybridMultilevel"/>
    <w:tmpl w:val="277E57B6"/>
    <w:lvl w:ilvl="0" w:tplc="34C6EC26">
      <w:start w:val="4"/>
      <w:numFmt w:val="lowerLetter"/>
      <w:lvlText w:val="%1."/>
      <w:lvlJc w:val="left"/>
      <w:pPr>
        <w:ind w:left="1242" w:hanging="360"/>
      </w:pPr>
      <w:rPr>
        <w:rFonts w:hint="default"/>
        <w:b/>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
    <w:nsid w:val="02C55C00"/>
    <w:multiLevelType w:val="hybridMultilevel"/>
    <w:tmpl w:val="91B2D4D2"/>
    <w:lvl w:ilvl="0" w:tplc="479EE8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C9777E"/>
    <w:multiLevelType w:val="hybridMultilevel"/>
    <w:tmpl w:val="C72C6968"/>
    <w:lvl w:ilvl="0" w:tplc="104810C8">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6A312C"/>
    <w:multiLevelType w:val="hybridMultilevel"/>
    <w:tmpl w:val="B1B2716E"/>
    <w:lvl w:ilvl="0" w:tplc="AF40A3F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E81005"/>
    <w:multiLevelType w:val="hybridMultilevel"/>
    <w:tmpl w:val="88407EB4"/>
    <w:lvl w:ilvl="0" w:tplc="D22C582C">
      <w:start w:val="24"/>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682BEF"/>
    <w:multiLevelType w:val="hybridMultilevel"/>
    <w:tmpl w:val="5A6C4342"/>
    <w:lvl w:ilvl="0" w:tplc="5A76DA12">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2B4D52"/>
    <w:multiLevelType w:val="hybridMultilevel"/>
    <w:tmpl w:val="81924BAC"/>
    <w:lvl w:ilvl="0" w:tplc="6FC688D6">
      <w:start w:val="5"/>
      <w:numFmt w:val="lowerLetter"/>
      <w:lvlText w:val="%1."/>
      <w:lvlJc w:val="left"/>
      <w:pPr>
        <w:ind w:left="1146"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68F5146"/>
    <w:multiLevelType w:val="hybridMultilevel"/>
    <w:tmpl w:val="7494AD84"/>
    <w:lvl w:ilvl="0" w:tplc="D10C55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C73693"/>
    <w:multiLevelType w:val="hybridMultilevel"/>
    <w:tmpl w:val="BC3272A0"/>
    <w:lvl w:ilvl="0" w:tplc="F2E02000">
      <w:start w:val="29"/>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6D019A9"/>
    <w:multiLevelType w:val="multilevel"/>
    <w:tmpl w:val="A6407222"/>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nsid w:val="07B30E63"/>
    <w:multiLevelType w:val="hybridMultilevel"/>
    <w:tmpl w:val="2F02DE0E"/>
    <w:lvl w:ilvl="0" w:tplc="E3084420">
      <w:start w:val="25"/>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88B7A02"/>
    <w:multiLevelType w:val="hybridMultilevel"/>
    <w:tmpl w:val="09205B3E"/>
    <w:lvl w:ilvl="0" w:tplc="34FCFE6C">
      <w:start w:val="15"/>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8AA1820"/>
    <w:multiLevelType w:val="hybridMultilevel"/>
    <w:tmpl w:val="70723176"/>
    <w:lvl w:ilvl="0" w:tplc="C9D487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8E0275E"/>
    <w:multiLevelType w:val="hybridMultilevel"/>
    <w:tmpl w:val="E7508DDE"/>
    <w:lvl w:ilvl="0" w:tplc="1B6C560A">
      <w:start w:val="5"/>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95112B1"/>
    <w:multiLevelType w:val="hybridMultilevel"/>
    <w:tmpl w:val="0F2EBE0C"/>
    <w:lvl w:ilvl="0" w:tplc="C38A35B0">
      <w:start w:val="1"/>
      <w:numFmt w:val="lowerRoman"/>
      <w:lvlText w:val="%1."/>
      <w:lvlJc w:val="right"/>
      <w:pPr>
        <w:ind w:left="1800"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25">
    <w:nsid w:val="095E7F62"/>
    <w:multiLevelType w:val="hybridMultilevel"/>
    <w:tmpl w:val="5A68AD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9B92D90"/>
    <w:multiLevelType w:val="hybridMultilevel"/>
    <w:tmpl w:val="5FA2556C"/>
    <w:lvl w:ilvl="0" w:tplc="A12EF9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9BA54DC"/>
    <w:multiLevelType w:val="hybridMultilevel"/>
    <w:tmpl w:val="C184972A"/>
    <w:lvl w:ilvl="0" w:tplc="A838D6CA">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0AFA58DB"/>
    <w:multiLevelType w:val="hybridMultilevel"/>
    <w:tmpl w:val="4B184E74"/>
    <w:lvl w:ilvl="0" w:tplc="79621B98">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AFA5BD2"/>
    <w:multiLevelType w:val="hybridMultilevel"/>
    <w:tmpl w:val="B6E87B46"/>
    <w:lvl w:ilvl="0" w:tplc="1474E6A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B700493"/>
    <w:multiLevelType w:val="hybridMultilevel"/>
    <w:tmpl w:val="736C88C8"/>
    <w:lvl w:ilvl="0" w:tplc="AB8EF936">
      <w:start w:val="3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BCF341E"/>
    <w:multiLevelType w:val="hybridMultilevel"/>
    <w:tmpl w:val="685053CA"/>
    <w:lvl w:ilvl="0" w:tplc="E910B0DC">
      <w:start w:val="8"/>
      <w:numFmt w:val="decimal"/>
      <w:lvlText w:val="%1."/>
      <w:lvlJc w:val="left"/>
      <w:pPr>
        <w:ind w:left="252"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BDC1F6F"/>
    <w:multiLevelType w:val="hybridMultilevel"/>
    <w:tmpl w:val="277E57B6"/>
    <w:lvl w:ilvl="0" w:tplc="34C6EC26">
      <w:start w:val="4"/>
      <w:numFmt w:val="lowerLetter"/>
      <w:lvlText w:val="%1."/>
      <w:lvlJc w:val="left"/>
      <w:pPr>
        <w:ind w:left="1242" w:hanging="360"/>
      </w:pPr>
      <w:rPr>
        <w:rFonts w:hint="default"/>
        <w:b/>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3">
    <w:nsid w:val="0BE177AD"/>
    <w:multiLevelType w:val="hybridMultilevel"/>
    <w:tmpl w:val="E79CF298"/>
    <w:lvl w:ilvl="0" w:tplc="1A1AC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C8C0813"/>
    <w:multiLevelType w:val="hybridMultilevel"/>
    <w:tmpl w:val="C226CB2E"/>
    <w:lvl w:ilvl="0" w:tplc="C5ACF3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0CA375D9"/>
    <w:multiLevelType w:val="hybridMultilevel"/>
    <w:tmpl w:val="9A7AA33A"/>
    <w:lvl w:ilvl="0" w:tplc="5CDCBEAA">
      <w:start w:val="11"/>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CAA1AAF"/>
    <w:multiLevelType w:val="hybridMultilevel"/>
    <w:tmpl w:val="CA4C7422"/>
    <w:lvl w:ilvl="0" w:tplc="D95ADD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CC93949"/>
    <w:multiLevelType w:val="hybridMultilevel"/>
    <w:tmpl w:val="FF2033E4"/>
    <w:lvl w:ilvl="0" w:tplc="CCA0CDE2">
      <w:start w:val="14"/>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D5C3459"/>
    <w:multiLevelType w:val="hybridMultilevel"/>
    <w:tmpl w:val="0CA2E136"/>
    <w:lvl w:ilvl="0" w:tplc="B26A1A3E">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DA11909"/>
    <w:multiLevelType w:val="hybridMultilevel"/>
    <w:tmpl w:val="712040FE"/>
    <w:lvl w:ilvl="0" w:tplc="9DA66B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E062421"/>
    <w:multiLevelType w:val="hybridMultilevel"/>
    <w:tmpl w:val="5B4CF05A"/>
    <w:lvl w:ilvl="0" w:tplc="E65A9A04">
      <w:start w:val="6"/>
      <w:numFmt w:val="lowerLetter"/>
      <w:lvlText w:val="%1."/>
      <w:lvlJc w:val="left"/>
      <w:pPr>
        <w:ind w:left="25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E30008A"/>
    <w:multiLevelType w:val="hybridMultilevel"/>
    <w:tmpl w:val="A85AED86"/>
    <w:lvl w:ilvl="0" w:tplc="DFEE2858">
      <w:start w:val="1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E3E1A7D"/>
    <w:multiLevelType w:val="hybridMultilevel"/>
    <w:tmpl w:val="B03A4AC0"/>
    <w:lvl w:ilvl="0" w:tplc="3A4E10F6">
      <w:start w:val="3"/>
      <w:numFmt w:val="decimal"/>
      <w:lvlText w:val="%1."/>
      <w:lvlJc w:val="left"/>
      <w:pPr>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E7D0466"/>
    <w:multiLevelType w:val="multilevel"/>
    <w:tmpl w:val="85E2C32C"/>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4">
    <w:nsid w:val="0E9A4B73"/>
    <w:multiLevelType w:val="hybridMultilevel"/>
    <w:tmpl w:val="81D659B6"/>
    <w:lvl w:ilvl="0" w:tplc="C284FA54">
      <w:start w:val="19"/>
      <w:numFmt w:val="decimal"/>
      <w:lvlText w:val="%1."/>
      <w:lvlJc w:val="left"/>
      <w:pPr>
        <w:ind w:left="252" w:hanging="360"/>
      </w:pPr>
      <w:rPr>
        <w:rFonts w:ascii="Times New Roman" w:hAnsi="Times New Roman" w:cs="Times New Roman" w:hint="default"/>
        <w:b/>
        <w:i/>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EB26D79"/>
    <w:multiLevelType w:val="hybridMultilevel"/>
    <w:tmpl w:val="7ED06AF8"/>
    <w:lvl w:ilvl="0" w:tplc="C712A018">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0ED833F7"/>
    <w:multiLevelType w:val="hybridMultilevel"/>
    <w:tmpl w:val="0F2EBE0C"/>
    <w:lvl w:ilvl="0" w:tplc="C38A35B0">
      <w:start w:val="1"/>
      <w:numFmt w:val="lowerRoman"/>
      <w:lvlText w:val="%1."/>
      <w:lvlJc w:val="right"/>
      <w:pPr>
        <w:ind w:left="1800"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47">
    <w:nsid w:val="0F7E028B"/>
    <w:multiLevelType w:val="hybridMultilevel"/>
    <w:tmpl w:val="6F0A6028"/>
    <w:lvl w:ilvl="0" w:tplc="DCA68A18">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F805AD5"/>
    <w:multiLevelType w:val="multilevel"/>
    <w:tmpl w:val="3BF6D74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9">
    <w:nsid w:val="0F875CBE"/>
    <w:multiLevelType w:val="hybridMultilevel"/>
    <w:tmpl w:val="5B2E716E"/>
    <w:lvl w:ilvl="0" w:tplc="3C1E970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10387262"/>
    <w:multiLevelType w:val="hybridMultilevel"/>
    <w:tmpl w:val="012AF274"/>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BF2EC676">
      <w:start w:val="19"/>
      <w:numFmt w:val="upperLetter"/>
      <w:lvlText w:val="%3."/>
      <w:lvlJc w:val="left"/>
      <w:pPr>
        <w:ind w:left="2907" w:hanging="360"/>
      </w:pPr>
      <w:rPr>
        <w:rFonts w:hint="default"/>
        <w:sz w:val="16"/>
      </w:rPr>
    </w:lvl>
    <w:lvl w:ilvl="3" w:tplc="0F1C1C16">
      <w:start w:val="1"/>
      <w:numFmt w:val="lowerLetter"/>
      <w:lvlText w:val="%4."/>
      <w:lvlJc w:val="left"/>
      <w:pPr>
        <w:ind w:left="3447" w:hanging="360"/>
      </w:pPr>
      <w:rPr>
        <w:rFonts w:ascii="Times New Roman" w:hAnsi="Times New Roman" w:cs="Times New Roman"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10456693"/>
    <w:multiLevelType w:val="hybridMultilevel"/>
    <w:tmpl w:val="A670A990"/>
    <w:lvl w:ilvl="0" w:tplc="CC289E16">
      <w:start w:val="13"/>
      <w:numFmt w:val="lowerLetter"/>
      <w:lvlText w:val="%1."/>
      <w:lvlJc w:val="left"/>
      <w:pPr>
        <w:ind w:left="786"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105F4A6D"/>
    <w:multiLevelType w:val="hybridMultilevel"/>
    <w:tmpl w:val="F54E68A6"/>
    <w:lvl w:ilvl="0" w:tplc="1702EF50">
      <w:start w:val="3"/>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12324FE"/>
    <w:multiLevelType w:val="hybridMultilevel"/>
    <w:tmpl w:val="D8BE70B8"/>
    <w:lvl w:ilvl="0" w:tplc="42008ECE">
      <w:start w:val="34"/>
      <w:numFmt w:val="decimal"/>
      <w:lvlText w:val="%1."/>
      <w:lvlJc w:val="left"/>
      <w:pPr>
        <w:ind w:left="360" w:hanging="360"/>
      </w:pPr>
      <w:rPr>
        <w:rFonts w:hint="default"/>
        <w:b/>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4">
    <w:nsid w:val="11633371"/>
    <w:multiLevelType w:val="hybridMultilevel"/>
    <w:tmpl w:val="A39E50EA"/>
    <w:lvl w:ilvl="0" w:tplc="99165FB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118D143B"/>
    <w:multiLevelType w:val="hybridMultilevel"/>
    <w:tmpl w:val="0F2EBE0C"/>
    <w:lvl w:ilvl="0" w:tplc="C38A35B0">
      <w:start w:val="1"/>
      <w:numFmt w:val="lowerRoman"/>
      <w:lvlText w:val="%1."/>
      <w:lvlJc w:val="right"/>
      <w:pPr>
        <w:ind w:left="1800"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56">
    <w:nsid w:val="126277CB"/>
    <w:multiLevelType w:val="hybridMultilevel"/>
    <w:tmpl w:val="EE8CF5D2"/>
    <w:lvl w:ilvl="0" w:tplc="FF0865B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27C499B"/>
    <w:multiLevelType w:val="hybridMultilevel"/>
    <w:tmpl w:val="1F4E3414"/>
    <w:lvl w:ilvl="0" w:tplc="9112C5B4">
      <w:start w:val="1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28D4D65"/>
    <w:multiLevelType w:val="hybridMultilevel"/>
    <w:tmpl w:val="6F580320"/>
    <w:lvl w:ilvl="0" w:tplc="BBA66784">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59">
    <w:nsid w:val="12B60AF3"/>
    <w:multiLevelType w:val="hybridMultilevel"/>
    <w:tmpl w:val="3F46F448"/>
    <w:lvl w:ilvl="0" w:tplc="0B5C43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123E97"/>
    <w:multiLevelType w:val="hybridMultilevel"/>
    <w:tmpl w:val="FD343F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36945FF"/>
    <w:multiLevelType w:val="hybridMultilevel"/>
    <w:tmpl w:val="C72C6968"/>
    <w:lvl w:ilvl="0" w:tplc="104810C8">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39E393C"/>
    <w:multiLevelType w:val="hybridMultilevel"/>
    <w:tmpl w:val="0AB66120"/>
    <w:lvl w:ilvl="0" w:tplc="DEAE5472">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3A71FC7"/>
    <w:multiLevelType w:val="hybridMultilevel"/>
    <w:tmpl w:val="712040FE"/>
    <w:lvl w:ilvl="0" w:tplc="9DA66B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41B07E3"/>
    <w:multiLevelType w:val="hybridMultilevel"/>
    <w:tmpl w:val="4B324464"/>
    <w:lvl w:ilvl="0" w:tplc="0060CB3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5">
    <w:nsid w:val="14A05F73"/>
    <w:multiLevelType w:val="multilevel"/>
    <w:tmpl w:val="01347AC4"/>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6">
    <w:nsid w:val="14E11E6F"/>
    <w:multiLevelType w:val="hybridMultilevel"/>
    <w:tmpl w:val="8400775C"/>
    <w:lvl w:ilvl="0" w:tplc="70F60200">
      <w:start w:val="37"/>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151B642E"/>
    <w:multiLevelType w:val="hybridMultilevel"/>
    <w:tmpl w:val="9DC401D2"/>
    <w:lvl w:ilvl="0" w:tplc="5558918C">
      <w:start w:val="14"/>
      <w:numFmt w:val="decimal"/>
      <w:lvlText w:val="%1."/>
      <w:lvlJc w:val="left"/>
      <w:pPr>
        <w:ind w:left="252" w:hanging="360"/>
      </w:pPr>
      <w:rPr>
        <w:rFonts w:hint="default"/>
        <w:b/>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5214B36"/>
    <w:multiLevelType w:val="hybridMultilevel"/>
    <w:tmpl w:val="19EE278E"/>
    <w:lvl w:ilvl="0" w:tplc="C054F90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1552216C"/>
    <w:multiLevelType w:val="hybridMultilevel"/>
    <w:tmpl w:val="AD7AA72C"/>
    <w:lvl w:ilvl="0" w:tplc="BC62ACF8">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15620710"/>
    <w:multiLevelType w:val="hybridMultilevel"/>
    <w:tmpl w:val="AA90C1D4"/>
    <w:lvl w:ilvl="0" w:tplc="2FEE41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1">
    <w:nsid w:val="157A23C4"/>
    <w:multiLevelType w:val="hybridMultilevel"/>
    <w:tmpl w:val="A8CE6FF2"/>
    <w:lvl w:ilvl="0" w:tplc="2CD692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57C5A86"/>
    <w:multiLevelType w:val="hybridMultilevel"/>
    <w:tmpl w:val="59E8708A"/>
    <w:lvl w:ilvl="0" w:tplc="0C4E92B2">
      <w:start w:val="7"/>
      <w:numFmt w:val="decimal"/>
      <w:lvlText w:val="%1."/>
      <w:lvlJc w:val="left"/>
      <w:pPr>
        <w:ind w:left="2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59947F9"/>
    <w:multiLevelType w:val="hybridMultilevel"/>
    <w:tmpl w:val="E1EA4B44"/>
    <w:lvl w:ilvl="0" w:tplc="3EE41F4C">
      <w:start w:val="3"/>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16087678"/>
    <w:multiLevelType w:val="hybridMultilevel"/>
    <w:tmpl w:val="88B03018"/>
    <w:lvl w:ilvl="0" w:tplc="B98832BC">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6696297"/>
    <w:multiLevelType w:val="hybridMultilevel"/>
    <w:tmpl w:val="2F3A314E"/>
    <w:lvl w:ilvl="0" w:tplc="D55CD1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6E04D5B"/>
    <w:multiLevelType w:val="hybridMultilevel"/>
    <w:tmpl w:val="D460F090"/>
    <w:lvl w:ilvl="0" w:tplc="FCC47BDC">
      <w:start w:val="17"/>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74D1F22"/>
    <w:multiLevelType w:val="hybridMultilevel"/>
    <w:tmpl w:val="7682E9B6"/>
    <w:lvl w:ilvl="0" w:tplc="6888C1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17571EFE"/>
    <w:multiLevelType w:val="hybridMultilevel"/>
    <w:tmpl w:val="5FF21D94"/>
    <w:lvl w:ilvl="0" w:tplc="843A346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17C80F3B"/>
    <w:multiLevelType w:val="hybridMultilevel"/>
    <w:tmpl w:val="22403B74"/>
    <w:lvl w:ilvl="0" w:tplc="4AF4DFC4">
      <w:start w:val="2"/>
      <w:numFmt w:val="lowerLetter"/>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17E972E6"/>
    <w:multiLevelType w:val="hybridMultilevel"/>
    <w:tmpl w:val="49887618"/>
    <w:lvl w:ilvl="0" w:tplc="BD8AF0F2">
      <w:start w:val="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80E7D0D"/>
    <w:multiLevelType w:val="hybridMultilevel"/>
    <w:tmpl w:val="712040FE"/>
    <w:lvl w:ilvl="0" w:tplc="9DA66B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82048E4"/>
    <w:multiLevelType w:val="hybridMultilevel"/>
    <w:tmpl w:val="17D22A66"/>
    <w:lvl w:ilvl="0" w:tplc="A2AAD594">
      <w:start w:val="42"/>
      <w:numFmt w:val="decimal"/>
      <w:lvlText w:val="%1."/>
      <w:lvlJc w:val="left"/>
      <w:pPr>
        <w:ind w:left="36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82B5F23"/>
    <w:multiLevelType w:val="hybridMultilevel"/>
    <w:tmpl w:val="8D36E692"/>
    <w:lvl w:ilvl="0" w:tplc="A78E682A">
      <w:start w:val="5"/>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188B3C72"/>
    <w:multiLevelType w:val="hybridMultilevel"/>
    <w:tmpl w:val="0824A492"/>
    <w:lvl w:ilvl="0" w:tplc="89D066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nsid w:val="18B762BD"/>
    <w:multiLevelType w:val="hybridMultilevel"/>
    <w:tmpl w:val="712040FE"/>
    <w:lvl w:ilvl="0" w:tplc="9DA66B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8D3151D"/>
    <w:multiLevelType w:val="hybridMultilevel"/>
    <w:tmpl w:val="6014384E"/>
    <w:lvl w:ilvl="0" w:tplc="BC58FFDC">
      <w:start w:val="1"/>
      <w:numFmt w:val="lowerLetter"/>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87">
    <w:nsid w:val="18E70332"/>
    <w:multiLevelType w:val="hybridMultilevel"/>
    <w:tmpl w:val="912496A6"/>
    <w:lvl w:ilvl="0" w:tplc="BE8A4AE8">
      <w:start w:val="5"/>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194A6BC1"/>
    <w:multiLevelType w:val="hybridMultilevel"/>
    <w:tmpl w:val="0E74E930"/>
    <w:lvl w:ilvl="0" w:tplc="EB829380">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9A61DB3"/>
    <w:multiLevelType w:val="hybridMultilevel"/>
    <w:tmpl w:val="3B5A7832"/>
    <w:lvl w:ilvl="0" w:tplc="99F251CA">
      <w:start w:val="28"/>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A225097"/>
    <w:multiLevelType w:val="hybridMultilevel"/>
    <w:tmpl w:val="EA1CE968"/>
    <w:lvl w:ilvl="0" w:tplc="18CC91BA">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A376638"/>
    <w:multiLevelType w:val="hybridMultilevel"/>
    <w:tmpl w:val="8E5A88EA"/>
    <w:lvl w:ilvl="0" w:tplc="97C870DC">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A710DA7"/>
    <w:multiLevelType w:val="hybridMultilevel"/>
    <w:tmpl w:val="EC6C71EE"/>
    <w:lvl w:ilvl="0" w:tplc="860E348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nsid w:val="1B1820D3"/>
    <w:multiLevelType w:val="hybridMultilevel"/>
    <w:tmpl w:val="022CB0F8"/>
    <w:lvl w:ilvl="0" w:tplc="92FE9E60">
      <w:start w:val="27"/>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1B857048"/>
    <w:multiLevelType w:val="hybridMultilevel"/>
    <w:tmpl w:val="997CBBE4"/>
    <w:lvl w:ilvl="0" w:tplc="CA4A22C4">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1B915094"/>
    <w:multiLevelType w:val="multilevel"/>
    <w:tmpl w:val="B922F3D0"/>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6">
    <w:nsid w:val="1BA83041"/>
    <w:multiLevelType w:val="hybridMultilevel"/>
    <w:tmpl w:val="44665F96"/>
    <w:lvl w:ilvl="0" w:tplc="567403C2">
      <w:start w:val="1"/>
      <w:numFmt w:val="lowerLetter"/>
      <w:lvlText w:val="%1."/>
      <w:lvlJc w:val="left"/>
      <w:pPr>
        <w:ind w:left="1344" w:hanging="360"/>
      </w:pPr>
      <w:rPr>
        <w:b w:val="0"/>
        <w:bCs/>
      </w:rPr>
    </w:lvl>
    <w:lvl w:ilvl="1" w:tplc="04210019" w:tentative="1">
      <w:start w:val="1"/>
      <w:numFmt w:val="lowerLetter"/>
      <w:lvlText w:val="%2."/>
      <w:lvlJc w:val="left"/>
      <w:pPr>
        <w:ind w:left="2064" w:hanging="360"/>
      </w:pPr>
    </w:lvl>
    <w:lvl w:ilvl="2" w:tplc="0421001B" w:tentative="1">
      <w:start w:val="1"/>
      <w:numFmt w:val="lowerRoman"/>
      <w:lvlText w:val="%3."/>
      <w:lvlJc w:val="right"/>
      <w:pPr>
        <w:ind w:left="2784" w:hanging="180"/>
      </w:pPr>
    </w:lvl>
    <w:lvl w:ilvl="3" w:tplc="0421000F" w:tentative="1">
      <w:start w:val="1"/>
      <w:numFmt w:val="decimal"/>
      <w:lvlText w:val="%4."/>
      <w:lvlJc w:val="left"/>
      <w:pPr>
        <w:ind w:left="3504" w:hanging="360"/>
      </w:pPr>
    </w:lvl>
    <w:lvl w:ilvl="4" w:tplc="04210019" w:tentative="1">
      <w:start w:val="1"/>
      <w:numFmt w:val="lowerLetter"/>
      <w:lvlText w:val="%5."/>
      <w:lvlJc w:val="left"/>
      <w:pPr>
        <w:ind w:left="4224" w:hanging="360"/>
      </w:pPr>
    </w:lvl>
    <w:lvl w:ilvl="5" w:tplc="0421001B" w:tentative="1">
      <w:start w:val="1"/>
      <w:numFmt w:val="lowerRoman"/>
      <w:lvlText w:val="%6."/>
      <w:lvlJc w:val="right"/>
      <w:pPr>
        <w:ind w:left="4944" w:hanging="180"/>
      </w:pPr>
    </w:lvl>
    <w:lvl w:ilvl="6" w:tplc="0421000F" w:tentative="1">
      <w:start w:val="1"/>
      <w:numFmt w:val="decimal"/>
      <w:lvlText w:val="%7."/>
      <w:lvlJc w:val="left"/>
      <w:pPr>
        <w:ind w:left="5664" w:hanging="360"/>
      </w:pPr>
    </w:lvl>
    <w:lvl w:ilvl="7" w:tplc="04210019" w:tentative="1">
      <w:start w:val="1"/>
      <w:numFmt w:val="lowerLetter"/>
      <w:lvlText w:val="%8."/>
      <w:lvlJc w:val="left"/>
      <w:pPr>
        <w:ind w:left="6384" w:hanging="360"/>
      </w:pPr>
    </w:lvl>
    <w:lvl w:ilvl="8" w:tplc="0421001B" w:tentative="1">
      <w:start w:val="1"/>
      <w:numFmt w:val="lowerRoman"/>
      <w:lvlText w:val="%9."/>
      <w:lvlJc w:val="right"/>
      <w:pPr>
        <w:ind w:left="7104" w:hanging="180"/>
      </w:pPr>
    </w:lvl>
  </w:abstractNum>
  <w:abstractNum w:abstractNumId="97">
    <w:nsid w:val="1CE35C0F"/>
    <w:multiLevelType w:val="hybridMultilevel"/>
    <w:tmpl w:val="87C62334"/>
    <w:lvl w:ilvl="0" w:tplc="9AFAFB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1D0917C4"/>
    <w:multiLevelType w:val="hybridMultilevel"/>
    <w:tmpl w:val="5E0EC2FE"/>
    <w:lvl w:ilvl="0" w:tplc="DC74F64A">
      <w:start w:val="6"/>
      <w:numFmt w:val="lowerLetter"/>
      <w:lvlText w:val="%1."/>
      <w:lvlJc w:val="left"/>
      <w:pPr>
        <w:ind w:left="25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D1B4495"/>
    <w:multiLevelType w:val="hybridMultilevel"/>
    <w:tmpl w:val="1722F594"/>
    <w:lvl w:ilvl="0" w:tplc="53F0789A">
      <w:start w:val="1"/>
      <w:numFmt w:val="lowerRoman"/>
      <w:lvlText w:val="(%1)"/>
      <w:lvlJc w:val="left"/>
      <w:pPr>
        <w:ind w:left="1361" w:hanging="720"/>
      </w:pPr>
      <w:rPr>
        <w:rFonts w:hint="default"/>
      </w:rPr>
    </w:lvl>
    <w:lvl w:ilvl="1" w:tplc="04210019" w:tentative="1">
      <w:start w:val="1"/>
      <w:numFmt w:val="lowerLetter"/>
      <w:lvlText w:val="%2."/>
      <w:lvlJc w:val="left"/>
      <w:pPr>
        <w:ind w:left="1721" w:hanging="360"/>
      </w:pPr>
    </w:lvl>
    <w:lvl w:ilvl="2" w:tplc="0421001B" w:tentative="1">
      <w:start w:val="1"/>
      <w:numFmt w:val="lowerRoman"/>
      <w:lvlText w:val="%3."/>
      <w:lvlJc w:val="right"/>
      <w:pPr>
        <w:ind w:left="2441" w:hanging="180"/>
      </w:pPr>
    </w:lvl>
    <w:lvl w:ilvl="3" w:tplc="0421000F" w:tentative="1">
      <w:start w:val="1"/>
      <w:numFmt w:val="decimal"/>
      <w:lvlText w:val="%4."/>
      <w:lvlJc w:val="left"/>
      <w:pPr>
        <w:ind w:left="3161" w:hanging="360"/>
      </w:pPr>
    </w:lvl>
    <w:lvl w:ilvl="4" w:tplc="04210019" w:tentative="1">
      <w:start w:val="1"/>
      <w:numFmt w:val="lowerLetter"/>
      <w:lvlText w:val="%5."/>
      <w:lvlJc w:val="left"/>
      <w:pPr>
        <w:ind w:left="3881" w:hanging="360"/>
      </w:pPr>
    </w:lvl>
    <w:lvl w:ilvl="5" w:tplc="0421001B" w:tentative="1">
      <w:start w:val="1"/>
      <w:numFmt w:val="lowerRoman"/>
      <w:lvlText w:val="%6."/>
      <w:lvlJc w:val="right"/>
      <w:pPr>
        <w:ind w:left="4601" w:hanging="180"/>
      </w:pPr>
    </w:lvl>
    <w:lvl w:ilvl="6" w:tplc="0421000F" w:tentative="1">
      <w:start w:val="1"/>
      <w:numFmt w:val="decimal"/>
      <w:lvlText w:val="%7."/>
      <w:lvlJc w:val="left"/>
      <w:pPr>
        <w:ind w:left="5321" w:hanging="360"/>
      </w:pPr>
    </w:lvl>
    <w:lvl w:ilvl="7" w:tplc="04210019" w:tentative="1">
      <w:start w:val="1"/>
      <w:numFmt w:val="lowerLetter"/>
      <w:lvlText w:val="%8."/>
      <w:lvlJc w:val="left"/>
      <w:pPr>
        <w:ind w:left="6041" w:hanging="360"/>
      </w:pPr>
    </w:lvl>
    <w:lvl w:ilvl="8" w:tplc="0421001B" w:tentative="1">
      <w:start w:val="1"/>
      <w:numFmt w:val="lowerRoman"/>
      <w:lvlText w:val="%9."/>
      <w:lvlJc w:val="right"/>
      <w:pPr>
        <w:ind w:left="6761" w:hanging="180"/>
      </w:pPr>
    </w:lvl>
  </w:abstractNum>
  <w:abstractNum w:abstractNumId="100">
    <w:nsid w:val="1D27284A"/>
    <w:multiLevelType w:val="hybridMultilevel"/>
    <w:tmpl w:val="D1ECC92A"/>
    <w:lvl w:ilvl="0" w:tplc="33084804">
      <w:start w:val="3"/>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1D2A7CDC"/>
    <w:multiLevelType w:val="hybridMultilevel"/>
    <w:tmpl w:val="712040FE"/>
    <w:lvl w:ilvl="0" w:tplc="9DA66B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1D5C79EF"/>
    <w:multiLevelType w:val="hybridMultilevel"/>
    <w:tmpl w:val="3BF21DDE"/>
    <w:lvl w:ilvl="0" w:tplc="21DE9172">
      <w:start w:val="1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1D70103C"/>
    <w:multiLevelType w:val="hybridMultilevel"/>
    <w:tmpl w:val="AE906CE6"/>
    <w:lvl w:ilvl="0" w:tplc="4F7A6364">
      <w:start w:val="16"/>
      <w:numFmt w:val="bullet"/>
      <w:lvlText w:val="-"/>
      <w:lvlJc w:val="left"/>
      <w:pPr>
        <w:ind w:left="1242" w:hanging="360"/>
      </w:pPr>
      <w:rPr>
        <w:rFonts w:ascii="Garamond" w:eastAsia="Times New Roman" w:hAnsi="Garamond" w:cs="Arial" w:hint="default"/>
        <w:i w:val="0"/>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4">
    <w:nsid w:val="1D796020"/>
    <w:multiLevelType w:val="hybridMultilevel"/>
    <w:tmpl w:val="6EDED05C"/>
    <w:lvl w:ilvl="0" w:tplc="22A6A8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5">
    <w:nsid w:val="1D7C48EE"/>
    <w:multiLevelType w:val="hybridMultilevel"/>
    <w:tmpl w:val="6A2A62D2"/>
    <w:lvl w:ilvl="0" w:tplc="741A71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1D92120D"/>
    <w:multiLevelType w:val="hybridMultilevel"/>
    <w:tmpl w:val="78A820C8"/>
    <w:lvl w:ilvl="0" w:tplc="74427A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1DD8114F"/>
    <w:multiLevelType w:val="hybridMultilevel"/>
    <w:tmpl w:val="712040FE"/>
    <w:lvl w:ilvl="0" w:tplc="9DA66B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E3A46D3"/>
    <w:multiLevelType w:val="hybridMultilevel"/>
    <w:tmpl w:val="81AC495A"/>
    <w:lvl w:ilvl="0" w:tplc="4E4C1030">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1E625A91"/>
    <w:multiLevelType w:val="hybridMultilevel"/>
    <w:tmpl w:val="987C4848"/>
    <w:lvl w:ilvl="0" w:tplc="4D9E2830">
      <w:start w:val="1"/>
      <w:numFmt w:val="lowerRoman"/>
      <w:lvlText w:val="%1."/>
      <w:lvlJc w:val="left"/>
      <w:pPr>
        <w:ind w:left="1350" w:hanging="360"/>
      </w:pPr>
      <w:rPr>
        <w:rFonts w:hint="default"/>
      </w:rPr>
    </w:lvl>
    <w:lvl w:ilvl="1" w:tplc="550AC51A">
      <w:start w:val="1"/>
      <w:numFmt w:val="lowerLetter"/>
      <w:lvlText w:val="%2."/>
      <w:lvlJc w:val="left"/>
      <w:pPr>
        <w:ind w:left="2070" w:hanging="360"/>
      </w:pPr>
      <w:rPr>
        <w:rFonts w:hint="default"/>
      </w:rPr>
    </w:lvl>
    <w:lvl w:ilvl="2" w:tplc="A24832AA">
      <w:start w:val="1"/>
      <w:numFmt w:val="lowerRoman"/>
      <w:lvlText w:val="(%3)"/>
      <w:lvlJc w:val="left"/>
      <w:pPr>
        <w:ind w:left="3330" w:hanging="720"/>
      </w:pPr>
      <w:rPr>
        <w:rFonts w:hint="default"/>
      </w:rPr>
    </w:lvl>
    <w:lvl w:ilvl="3" w:tplc="5DC6CDA8">
      <w:start w:val="1"/>
      <w:numFmt w:val="decimal"/>
      <w:lvlText w:val="%4."/>
      <w:lvlJc w:val="left"/>
      <w:pPr>
        <w:ind w:left="3510" w:hanging="360"/>
      </w:pPr>
      <w:rPr>
        <w:rFonts w:hint="default"/>
      </w:r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10">
    <w:nsid w:val="1EED1DEF"/>
    <w:multiLevelType w:val="hybridMultilevel"/>
    <w:tmpl w:val="82D0F37A"/>
    <w:lvl w:ilvl="0" w:tplc="74C674EA">
      <w:start w:val="22"/>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1EFD12ED"/>
    <w:multiLevelType w:val="hybridMultilevel"/>
    <w:tmpl w:val="77C2D8E2"/>
    <w:lvl w:ilvl="0" w:tplc="29B6B048">
      <w:start w:val="13"/>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1F221ACE"/>
    <w:multiLevelType w:val="hybridMultilevel"/>
    <w:tmpl w:val="9E4C661C"/>
    <w:lvl w:ilvl="0" w:tplc="D51E94E0">
      <w:start w:val="17"/>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1F3A2630"/>
    <w:multiLevelType w:val="hybridMultilevel"/>
    <w:tmpl w:val="83A60114"/>
    <w:lvl w:ilvl="0" w:tplc="8B86FC6C">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F664A75"/>
    <w:multiLevelType w:val="hybridMultilevel"/>
    <w:tmpl w:val="7ED06AF8"/>
    <w:lvl w:ilvl="0" w:tplc="C712A018">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1FF06B9E"/>
    <w:multiLevelType w:val="hybridMultilevel"/>
    <w:tmpl w:val="9580DF8A"/>
    <w:lvl w:ilvl="0" w:tplc="D032972E">
      <w:start w:val="3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0E70484"/>
    <w:multiLevelType w:val="multilevel"/>
    <w:tmpl w:val="0F847C54"/>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7">
    <w:nsid w:val="21446D2C"/>
    <w:multiLevelType w:val="hybridMultilevel"/>
    <w:tmpl w:val="009831A8"/>
    <w:lvl w:ilvl="0" w:tplc="F4306FAA">
      <w:start w:val="5"/>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2183622F"/>
    <w:multiLevelType w:val="hybridMultilevel"/>
    <w:tmpl w:val="D4DA3A02"/>
    <w:lvl w:ilvl="0" w:tplc="79F04EBE">
      <w:start w:val="2"/>
      <w:numFmt w:val="low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226650B2"/>
    <w:multiLevelType w:val="hybridMultilevel"/>
    <w:tmpl w:val="0152E72A"/>
    <w:lvl w:ilvl="0" w:tplc="A430519C">
      <w:start w:val="3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0">
    <w:nsid w:val="22856F91"/>
    <w:multiLevelType w:val="hybridMultilevel"/>
    <w:tmpl w:val="0F2EBE0C"/>
    <w:lvl w:ilvl="0" w:tplc="C38A35B0">
      <w:start w:val="1"/>
      <w:numFmt w:val="lowerRoman"/>
      <w:lvlText w:val="%1."/>
      <w:lvlJc w:val="right"/>
      <w:pPr>
        <w:ind w:left="1800"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21">
    <w:nsid w:val="22F12FD1"/>
    <w:multiLevelType w:val="hybridMultilevel"/>
    <w:tmpl w:val="518CE9DE"/>
    <w:lvl w:ilvl="0" w:tplc="B5B80050">
      <w:start w:val="41"/>
      <w:numFmt w:val="decimal"/>
      <w:lvlText w:val="%1."/>
      <w:lvlJc w:val="left"/>
      <w:pPr>
        <w:ind w:left="36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23D426E5"/>
    <w:multiLevelType w:val="hybridMultilevel"/>
    <w:tmpl w:val="D3EEC756"/>
    <w:lvl w:ilvl="0" w:tplc="D10C55C4">
      <w:start w:val="1"/>
      <w:numFmt w:val="lowerRoman"/>
      <w:lvlText w:val="(%1)"/>
      <w:lvlJc w:val="lef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3">
    <w:nsid w:val="23E53841"/>
    <w:multiLevelType w:val="hybridMultilevel"/>
    <w:tmpl w:val="CF64B2C2"/>
    <w:lvl w:ilvl="0" w:tplc="AD9EFC8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23F1196E"/>
    <w:multiLevelType w:val="hybridMultilevel"/>
    <w:tmpl w:val="76F284D8"/>
    <w:lvl w:ilvl="0" w:tplc="A6AA77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244765E7"/>
    <w:multiLevelType w:val="hybridMultilevel"/>
    <w:tmpl w:val="7682E9B6"/>
    <w:lvl w:ilvl="0" w:tplc="6888C1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245D439C"/>
    <w:multiLevelType w:val="hybridMultilevel"/>
    <w:tmpl w:val="F27640EC"/>
    <w:lvl w:ilvl="0" w:tplc="F586ACD8">
      <w:start w:val="11"/>
      <w:numFmt w:val="lowerLetter"/>
      <w:lvlText w:val="%1."/>
      <w:lvlJc w:val="left"/>
      <w:pPr>
        <w:ind w:left="720" w:hanging="360"/>
      </w:pPr>
      <w:rPr>
        <w:rFonts w:hint="default"/>
        <w:i/>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nsid w:val="24807F8B"/>
    <w:multiLevelType w:val="hybridMultilevel"/>
    <w:tmpl w:val="7AEE5E56"/>
    <w:lvl w:ilvl="0" w:tplc="F580E956">
      <w:start w:val="1"/>
      <w:numFmt w:val="lowerRoman"/>
      <w:lvlText w:val="%1."/>
      <w:lvlJc w:val="left"/>
      <w:pPr>
        <w:ind w:left="15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24E22853"/>
    <w:multiLevelType w:val="hybridMultilevel"/>
    <w:tmpl w:val="6F580320"/>
    <w:lvl w:ilvl="0" w:tplc="BBA66784">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29">
    <w:nsid w:val="2559034A"/>
    <w:multiLevelType w:val="hybridMultilevel"/>
    <w:tmpl w:val="530C4E0E"/>
    <w:lvl w:ilvl="0" w:tplc="9670C826">
      <w:start w:val="1"/>
      <w:numFmt w:val="lowerLetter"/>
      <w:lvlText w:val="%1."/>
      <w:lvlJc w:val="left"/>
      <w:pPr>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2568348B"/>
    <w:multiLevelType w:val="hybridMultilevel"/>
    <w:tmpl w:val="88B03018"/>
    <w:lvl w:ilvl="0" w:tplc="B98832BC">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5881C88"/>
    <w:multiLevelType w:val="hybridMultilevel"/>
    <w:tmpl w:val="893AEF68"/>
    <w:lvl w:ilvl="0" w:tplc="D076FCF8">
      <w:start w:val="3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26E6070B"/>
    <w:multiLevelType w:val="hybridMultilevel"/>
    <w:tmpl w:val="DDC0AE7A"/>
    <w:lvl w:ilvl="0" w:tplc="53F08120">
      <w:start w:val="3"/>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nsid w:val="271173E9"/>
    <w:multiLevelType w:val="hybridMultilevel"/>
    <w:tmpl w:val="0F2EBE0C"/>
    <w:lvl w:ilvl="0" w:tplc="C38A35B0">
      <w:start w:val="1"/>
      <w:numFmt w:val="lowerRoman"/>
      <w:lvlText w:val="%1."/>
      <w:lvlJc w:val="right"/>
      <w:pPr>
        <w:ind w:left="1800"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34">
    <w:nsid w:val="272F6AB2"/>
    <w:multiLevelType w:val="hybridMultilevel"/>
    <w:tmpl w:val="7682E9B6"/>
    <w:lvl w:ilvl="0" w:tplc="6888C1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277C774A"/>
    <w:multiLevelType w:val="hybridMultilevel"/>
    <w:tmpl w:val="7682E9B6"/>
    <w:lvl w:ilvl="0" w:tplc="6888C1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279F2CE7"/>
    <w:multiLevelType w:val="hybridMultilevel"/>
    <w:tmpl w:val="59E8708A"/>
    <w:lvl w:ilvl="0" w:tplc="0C4E92B2">
      <w:start w:val="7"/>
      <w:numFmt w:val="decimal"/>
      <w:lvlText w:val="%1."/>
      <w:lvlJc w:val="left"/>
      <w:pPr>
        <w:ind w:left="2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28450EB3"/>
    <w:multiLevelType w:val="hybridMultilevel"/>
    <w:tmpl w:val="1C820482"/>
    <w:lvl w:ilvl="0" w:tplc="70D8A82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28520058"/>
    <w:multiLevelType w:val="hybridMultilevel"/>
    <w:tmpl w:val="2A6CF488"/>
    <w:lvl w:ilvl="0" w:tplc="0B5C43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28987DF4"/>
    <w:multiLevelType w:val="hybridMultilevel"/>
    <w:tmpl w:val="97563F10"/>
    <w:lvl w:ilvl="0" w:tplc="C100CB28">
      <w:start w:val="23"/>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28A80285"/>
    <w:multiLevelType w:val="hybridMultilevel"/>
    <w:tmpl w:val="5E0EC2FE"/>
    <w:lvl w:ilvl="0" w:tplc="DC74F64A">
      <w:start w:val="6"/>
      <w:numFmt w:val="lowerLetter"/>
      <w:lvlText w:val="%1."/>
      <w:lvlJc w:val="left"/>
      <w:pPr>
        <w:ind w:left="5038"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28A90569"/>
    <w:multiLevelType w:val="hybridMultilevel"/>
    <w:tmpl w:val="816C9678"/>
    <w:lvl w:ilvl="0" w:tplc="45229388">
      <w:start w:val="3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292B0C9F"/>
    <w:multiLevelType w:val="hybridMultilevel"/>
    <w:tmpl w:val="E69CB67A"/>
    <w:lvl w:ilvl="0" w:tplc="BF50DDEC">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29846AFF"/>
    <w:multiLevelType w:val="multilevel"/>
    <w:tmpl w:val="85E2C32C"/>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4">
    <w:nsid w:val="29A90140"/>
    <w:multiLevelType w:val="multilevel"/>
    <w:tmpl w:val="85E2C32C"/>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5">
    <w:nsid w:val="29BA0B4F"/>
    <w:multiLevelType w:val="hybridMultilevel"/>
    <w:tmpl w:val="279E21FA"/>
    <w:lvl w:ilvl="0" w:tplc="0422E002">
      <w:start w:val="15"/>
      <w:numFmt w:val="lowerLetter"/>
      <w:lvlText w:val="%1."/>
      <w:lvlJc w:val="left"/>
      <w:pPr>
        <w:ind w:left="78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29E74582"/>
    <w:multiLevelType w:val="hybridMultilevel"/>
    <w:tmpl w:val="7C0C39CC"/>
    <w:lvl w:ilvl="0" w:tplc="7436DF04">
      <w:start w:val="33"/>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2A0E154E"/>
    <w:multiLevelType w:val="multilevel"/>
    <w:tmpl w:val="3BF6D74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8">
    <w:nsid w:val="2A4A1D90"/>
    <w:multiLevelType w:val="hybridMultilevel"/>
    <w:tmpl w:val="A4CA701C"/>
    <w:lvl w:ilvl="0" w:tplc="8A0C602E">
      <w:start w:val="4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2AE07D3D"/>
    <w:multiLevelType w:val="multilevel"/>
    <w:tmpl w:val="0CEC1A60"/>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0">
    <w:nsid w:val="2BA64B3B"/>
    <w:multiLevelType w:val="hybridMultilevel"/>
    <w:tmpl w:val="CEE0E85A"/>
    <w:lvl w:ilvl="0" w:tplc="BCE63FB8">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1">
    <w:nsid w:val="2C1B37E2"/>
    <w:multiLevelType w:val="hybridMultilevel"/>
    <w:tmpl w:val="EF5EB056"/>
    <w:lvl w:ilvl="0" w:tplc="C11CD2B4">
      <w:start w:val="4"/>
      <w:numFmt w:val="decimal"/>
      <w:lvlText w:val="%1."/>
      <w:lvlJc w:val="left"/>
      <w:pPr>
        <w:ind w:left="786"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2C9D2F10"/>
    <w:multiLevelType w:val="hybridMultilevel"/>
    <w:tmpl w:val="6A560022"/>
    <w:lvl w:ilvl="0" w:tplc="EDB8541E">
      <w:start w:val="6"/>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2D166F46"/>
    <w:multiLevelType w:val="hybridMultilevel"/>
    <w:tmpl w:val="EEF4B288"/>
    <w:lvl w:ilvl="0" w:tplc="89C6E2F8">
      <w:start w:val="1"/>
      <w:numFmt w:val="lowerLetter"/>
      <w:lvlText w:val="%1."/>
      <w:lvlJc w:val="left"/>
      <w:pPr>
        <w:ind w:left="1146" w:hanging="360"/>
      </w:pPr>
      <w:rPr>
        <w:b w:val="0"/>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4">
    <w:nsid w:val="2D317DF1"/>
    <w:multiLevelType w:val="hybridMultilevel"/>
    <w:tmpl w:val="C512E362"/>
    <w:lvl w:ilvl="0" w:tplc="EDBA88E0">
      <w:start w:val="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2D333B9F"/>
    <w:multiLevelType w:val="hybridMultilevel"/>
    <w:tmpl w:val="5B2E716E"/>
    <w:lvl w:ilvl="0" w:tplc="3C1E970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nsid w:val="2DAF4A1A"/>
    <w:multiLevelType w:val="multilevel"/>
    <w:tmpl w:val="85E2C32C"/>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7">
    <w:nsid w:val="2DF24757"/>
    <w:multiLevelType w:val="hybridMultilevel"/>
    <w:tmpl w:val="566E5312"/>
    <w:lvl w:ilvl="0" w:tplc="BD841582">
      <w:start w:val="4"/>
      <w:numFmt w:val="lowerLetter"/>
      <w:lvlText w:val="%1."/>
      <w:lvlJc w:val="left"/>
      <w:pPr>
        <w:ind w:left="12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2EBA638C"/>
    <w:multiLevelType w:val="hybridMultilevel"/>
    <w:tmpl w:val="90F8F3D2"/>
    <w:lvl w:ilvl="0" w:tplc="7C9CE78A">
      <w:start w:val="16"/>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2FFD4573"/>
    <w:multiLevelType w:val="hybridMultilevel"/>
    <w:tmpl w:val="E52681F6"/>
    <w:lvl w:ilvl="0" w:tplc="BC58FFDC">
      <w:start w:val="1"/>
      <w:numFmt w:val="lowerLetter"/>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60">
    <w:nsid w:val="30196C52"/>
    <w:multiLevelType w:val="hybridMultilevel"/>
    <w:tmpl w:val="B6D001E6"/>
    <w:lvl w:ilvl="0" w:tplc="890407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1">
    <w:nsid w:val="30364DAC"/>
    <w:multiLevelType w:val="hybridMultilevel"/>
    <w:tmpl w:val="F61049F4"/>
    <w:lvl w:ilvl="0" w:tplc="54386CE8">
      <w:start w:val="4"/>
      <w:numFmt w:val="lowerLetter"/>
      <w:lvlText w:val="%1."/>
      <w:lvlJc w:val="left"/>
      <w:pPr>
        <w:ind w:left="12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30C82C49"/>
    <w:multiLevelType w:val="hybridMultilevel"/>
    <w:tmpl w:val="66346672"/>
    <w:lvl w:ilvl="0" w:tplc="F1E22C3C">
      <w:start w:val="3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30D22752"/>
    <w:multiLevelType w:val="hybridMultilevel"/>
    <w:tmpl w:val="524470A2"/>
    <w:lvl w:ilvl="0" w:tplc="4BEADBB6">
      <w:start w:val="31"/>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30DE7879"/>
    <w:multiLevelType w:val="hybridMultilevel"/>
    <w:tmpl w:val="AECEBE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65">
    <w:nsid w:val="310B42C0"/>
    <w:multiLevelType w:val="hybridMultilevel"/>
    <w:tmpl w:val="1E88C084"/>
    <w:lvl w:ilvl="0" w:tplc="2E58646E">
      <w:start w:val="13"/>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312939C9"/>
    <w:multiLevelType w:val="multilevel"/>
    <w:tmpl w:val="85E2C32C"/>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7">
    <w:nsid w:val="312D5B46"/>
    <w:multiLevelType w:val="hybridMultilevel"/>
    <w:tmpl w:val="E82EEECC"/>
    <w:lvl w:ilvl="0" w:tplc="69A8E0B4">
      <w:start w:val="1"/>
      <w:numFmt w:val="lowerRoman"/>
      <w:lvlText w:val="%1."/>
      <w:lvlJc w:val="left"/>
      <w:pPr>
        <w:ind w:left="1588" w:hanging="360"/>
      </w:pPr>
      <w:rPr>
        <w:rFonts w:hint="default"/>
      </w:rPr>
    </w:lvl>
    <w:lvl w:ilvl="1" w:tplc="8BA00E2A">
      <w:start w:val="1"/>
      <w:numFmt w:val="lowerLetter"/>
      <w:lvlText w:val="%2)"/>
      <w:lvlJc w:val="left"/>
      <w:pPr>
        <w:ind w:left="2308" w:hanging="360"/>
      </w:pPr>
      <w:rPr>
        <w:rFonts w:hint="default"/>
      </w:r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168">
    <w:nsid w:val="31302902"/>
    <w:multiLevelType w:val="hybridMultilevel"/>
    <w:tmpl w:val="21AADA34"/>
    <w:lvl w:ilvl="0" w:tplc="8D92A844">
      <w:start w:val="2"/>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31B24827"/>
    <w:multiLevelType w:val="hybridMultilevel"/>
    <w:tmpl w:val="DDC0AE7A"/>
    <w:lvl w:ilvl="0" w:tplc="53F08120">
      <w:start w:val="3"/>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nsid w:val="31EF6485"/>
    <w:multiLevelType w:val="hybridMultilevel"/>
    <w:tmpl w:val="100024B8"/>
    <w:lvl w:ilvl="0" w:tplc="CC686E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nsid w:val="32034D64"/>
    <w:multiLevelType w:val="hybridMultilevel"/>
    <w:tmpl w:val="70E0A656"/>
    <w:lvl w:ilvl="0" w:tplc="C69C0482">
      <w:start w:val="11"/>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325761F2"/>
    <w:multiLevelType w:val="hybridMultilevel"/>
    <w:tmpl w:val="77F80AFE"/>
    <w:lvl w:ilvl="0" w:tplc="589E0746">
      <w:start w:val="1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326A551D"/>
    <w:multiLevelType w:val="hybridMultilevel"/>
    <w:tmpl w:val="0F56A012"/>
    <w:lvl w:ilvl="0" w:tplc="C21EAEE8">
      <w:start w:val="2"/>
      <w:numFmt w:val="decimal"/>
      <w:lvlText w:val="%1."/>
      <w:lvlJc w:val="left"/>
      <w:pPr>
        <w:ind w:left="786"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4">
    <w:nsid w:val="328A1C3D"/>
    <w:multiLevelType w:val="hybridMultilevel"/>
    <w:tmpl w:val="5B2E716E"/>
    <w:lvl w:ilvl="0" w:tplc="3C1E970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5">
    <w:nsid w:val="32970449"/>
    <w:multiLevelType w:val="hybridMultilevel"/>
    <w:tmpl w:val="3C783BF0"/>
    <w:lvl w:ilvl="0" w:tplc="56B6E100">
      <w:start w:val="1"/>
      <w:numFmt w:val="decimal"/>
      <w:lvlText w:val="(%1)"/>
      <w:lvlJc w:val="lef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6">
    <w:nsid w:val="32C20505"/>
    <w:multiLevelType w:val="hybridMultilevel"/>
    <w:tmpl w:val="789A4650"/>
    <w:lvl w:ilvl="0" w:tplc="9134125A">
      <w:start w:val="17"/>
      <w:numFmt w:val="decimal"/>
      <w:lvlText w:val="%1."/>
      <w:lvlJc w:val="left"/>
      <w:pPr>
        <w:ind w:left="252" w:hanging="360"/>
      </w:pPr>
      <w:rPr>
        <w:rFonts w:ascii="Times New Roman" w:hAnsi="Times New Roman" w:cs="Times New Roman" w:hint="default"/>
        <w:b/>
        <w:i/>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32D83724"/>
    <w:multiLevelType w:val="hybridMultilevel"/>
    <w:tmpl w:val="F072FFBA"/>
    <w:lvl w:ilvl="0" w:tplc="076C2F76">
      <w:start w:val="1"/>
      <w:numFmt w:val="lowerRoman"/>
      <w:lvlText w:val="%1."/>
      <w:lvlJc w:val="left"/>
      <w:pPr>
        <w:ind w:left="1588"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32E706CC"/>
    <w:multiLevelType w:val="hybridMultilevel"/>
    <w:tmpl w:val="C184972A"/>
    <w:lvl w:ilvl="0" w:tplc="A838D6CA">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nsid w:val="335618A3"/>
    <w:multiLevelType w:val="hybridMultilevel"/>
    <w:tmpl w:val="C72A3762"/>
    <w:lvl w:ilvl="0" w:tplc="171CFC3E">
      <w:start w:val="3"/>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0">
    <w:nsid w:val="33712DD2"/>
    <w:multiLevelType w:val="hybridMultilevel"/>
    <w:tmpl w:val="1F1A68FC"/>
    <w:lvl w:ilvl="0" w:tplc="DCD0AD92">
      <w:start w:val="11"/>
      <w:numFmt w:val="lowerLetter"/>
      <w:lvlText w:val="%1."/>
      <w:lvlJc w:val="left"/>
      <w:pPr>
        <w:ind w:left="1080"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1">
    <w:nsid w:val="3397786D"/>
    <w:multiLevelType w:val="multilevel"/>
    <w:tmpl w:val="B922F3D0"/>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2">
    <w:nsid w:val="33A919A3"/>
    <w:multiLevelType w:val="hybridMultilevel"/>
    <w:tmpl w:val="8AB4AE86"/>
    <w:lvl w:ilvl="0" w:tplc="6A6666AC">
      <w:start w:val="26"/>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33C4289F"/>
    <w:multiLevelType w:val="hybridMultilevel"/>
    <w:tmpl w:val="4AEA5D8A"/>
    <w:lvl w:ilvl="0" w:tplc="4F20EBB6">
      <w:start w:val="34"/>
      <w:numFmt w:val="decimal"/>
      <w:lvlText w:val="%1."/>
      <w:lvlJc w:val="left"/>
      <w:pPr>
        <w:ind w:left="360" w:hanging="360"/>
      </w:pPr>
      <w:rPr>
        <w:rFonts w:hint="default"/>
        <w:b/>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84">
    <w:nsid w:val="33D819EF"/>
    <w:multiLevelType w:val="hybridMultilevel"/>
    <w:tmpl w:val="E1B459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5">
    <w:nsid w:val="346B2B2E"/>
    <w:multiLevelType w:val="hybridMultilevel"/>
    <w:tmpl w:val="87A446BC"/>
    <w:lvl w:ilvl="0" w:tplc="F8C06EF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34F429D1"/>
    <w:multiLevelType w:val="hybridMultilevel"/>
    <w:tmpl w:val="B08A519A"/>
    <w:lvl w:ilvl="0" w:tplc="2A3EEC9A">
      <w:start w:val="16"/>
      <w:numFmt w:val="bullet"/>
      <w:lvlText w:val="-"/>
      <w:lvlJc w:val="left"/>
      <w:pPr>
        <w:ind w:left="1602" w:hanging="360"/>
      </w:pPr>
      <w:rPr>
        <w:rFonts w:ascii="Garamond" w:eastAsia="Times New Roman" w:hAnsi="Garamond" w:cs="Aria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87">
    <w:nsid w:val="350E2783"/>
    <w:multiLevelType w:val="hybridMultilevel"/>
    <w:tmpl w:val="F61C470E"/>
    <w:lvl w:ilvl="0" w:tplc="E0F2472A">
      <w:start w:val="1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355B13E5"/>
    <w:multiLevelType w:val="hybridMultilevel"/>
    <w:tmpl w:val="E61AF8FE"/>
    <w:lvl w:ilvl="0" w:tplc="D64231A2">
      <w:start w:val="1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36547D81"/>
    <w:multiLevelType w:val="hybridMultilevel"/>
    <w:tmpl w:val="08ECC49C"/>
    <w:lvl w:ilvl="0" w:tplc="58B0AC16">
      <w:start w:val="4"/>
      <w:numFmt w:val="decimal"/>
      <w:lvlText w:val="%1."/>
      <w:lvlJc w:val="left"/>
      <w:pPr>
        <w:ind w:left="786"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0">
    <w:nsid w:val="36675454"/>
    <w:multiLevelType w:val="hybridMultilevel"/>
    <w:tmpl w:val="D1A42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1">
    <w:nsid w:val="36A2144D"/>
    <w:multiLevelType w:val="hybridMultilevel"/>
    <w:tmpl w:val="D4DA3A02"/>
    <w:lvl w:ilvl="0" w:tplc="79F04EBE">
      <w:start w:val="2"/>
      <w:numFmt w:val="low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37015542"/>
    <w:multiLevelType w:val="hybridMultilevel"/>
    <w:tmpl w:val="7682E9B6"/>
    <w:lvl w:ilvl="0" w:tplc="6888C1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376D019E"/>
    <w:multiLevelType w:val="hybridMultilevel"/>
    <w:tmpl w:val="90162CE8"/>
    <w:lvl w:ilvl="0" w:tplc="455A1A32">
      <w:start w:val="18"/>
      <w:numFmt w:val="lowerLetter"/>
      <w:lvlText w:val="%1."/>
      <w:lvlJc w:val="left"/>
      <w:pPr>
        <w:ind w:left="108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37783F1D"/>
    <w:multiLevelType w:val="hybridMultilevel"/>
    <w:tmpl w:val="E13A3294"/>
    <w:lvl w:ilvl="0" w:tplc="76447FBA">
      <w:start w:val="3"/>
      <w:numFmt w:val="decimal"/>
      <w:lvlText w:val="%1."/>
      <w:lvlJc w:val="left"/>
      <w:pPr>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37894F5B"/>
    <w:multiLevelType w:val="hybridMultilevel"/>
    <w:tmpl w:val="5CF48EC4"/>
    <w:lvl w:ilvl="0" w:tplc="705028AA">
      <w:start w:val="4"/>
      <w:numFmt w:val="low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378F1DDD"/>
    <w:multiLevelType w:val="hybridMultilevel"/>
    <w:tmpl w:val="A56CB152"/>
    <w:lvl w:ilvl="0" w:tplc="80443A2E">
      <w:start w:val="6"/>
      <w:numFmt w:val="low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37B55C6E"/>
    <w:multiLevelType w:val="hybridMultilevel"/>
    <w:tmpl w:val="5A6C4342"/>
    <w:lvl w:ilvl="0" w:tplc="5A76DA12">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37C70374"/>
    <w:multiLevelType w:val="hybridMultilevel"/>
    <w:tmpl w:val="530C4E0E"/>
    <w:lvl w:ilvl="0" w:tplc="9670C826">
      <w:start w:val="1"/>
      <w:numFmt w:val="lowerLetter"/>
      <w:lvlText w:val="%1."/>
      <w:lvlJc w:val="left"/>
      <w:pPr>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37DB0DD1"/>
    <w:multiLevelType w:val="hybridMultilevel"/>
    <w:tmpl w:val="8B84B480"/>
    <w:lvl w:ilvl="0" w:tplc="C4FEFA86">
      <w:start w:val="2"/>
      <w:numFmt w:val="decimal"/>
      <w:lvlText w:val="%1."/>
      <w:lvlJc w:val="left"/>
      <w:pPr>
        <w:ind w:left="786"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0">
    <w:nsid w:val="382176FB"/>
    <w:multiLevelType w:val="hybridMultilevel"/>
    <w:tmpl w:val="B9905AE2"/>
    <w:lvl w:ilvl="0" w:tplc="95BA904E">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383F7C74"/>
    <w:multiLevelType w:val="hybridMultilevel"/>
    <w:tmpl w:val="5DB8BDC8"/>
    <w:lvl w:ilvl="0" w:tplc="80F26A7C">
      <w:start w:val="22"/>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392468BB"/>
    <w:multiLevelType w:val="hybridMultilevel"/>
    <w:tmpl w:val="2E78FB8C"/>
    <w:lvl w:ilvl="0" w:tplc="8758D38E">
      <w:start w:val="1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39604BBF"/>
    <w:multiLevelType w:val="hybridMultilevel"/>
    <w:tmpl w:val="284093B6"/>
    <w:lvl w:ilvl="0" w:tplc="8534B4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396D58EB"/>
    <w:multiLevelType w:val="hybridMultilevel"/>
    <w:tmpl w:val="CF6281A2"/>
    <w:lvl w:ilvl="0" w:tplc="32E6155A">
      <w:start w:val="5"/>
      <w:numFmt w:val="lowerLetter"/>
      <w:lvlText w:val="%1."/>
      <w:lvlJc w:val="left"/>
      <w:pPr>
        <w:ind w:left="1146"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3A940386"/>
    <w:multiLevelType w:val="hybridMultilevel"/>
    <w:tmpl w:val="6F580320"/>
    <w:lvl w:ilvl="0" w:tplc="BBA66784">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06">
    <w:nsid w:val="3ABC0AAD"/>
    <w:multiLevelType w:val="hybridMultilevel"/>
    <w:tmpl w:val="76806624"/>
    <w:lvl w:ilvl="0" w:tplc="0FAEFF44">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3B032085"/>
    <w:multiLevelType w:val="hybridMultilevel"/>
    <w:tmpl w:val="7734698E"/>
    <w:lvl w:ilvl="0" w:tplc="958A6BB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8">
    <w:nsid w:val="3B3F277C"/>
    <w:multiLevelType w:val="hybridMultilevel"/>
    <w:tmpl w:val="740434CA"/>
    <w:lvl w:ilvl="0" w:tplc="8C2009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9">
    <w:nsid w:val="3B783A97"/>
    <w:multiLevelType w:val="hybridMultilevel"/>
    <w:tmpl w:val="D792AF08"/>
    <w:lvl w:ilvl="0" w:tplc="DD2EEECA">
      <w:start w:val="5"/>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0">
    <w:nsid w:val="3C2F2069"/>
    <w:multiLevelType w:val="hybridMultilevel"/>
    <w:tmpl w:val="AECEBE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11">
    <w:nsid w:val="3C53054E"/>
    <w:multiLevelType w:val="hybridMultilevel"/>
    <w:tmpl w:val="517A3704"/>
    <w:lvl w:ilvl="0" w:tplc="809662E6">
      <w:start w:val="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3CD047F2"/>
    <w:multiLevelType w:val="hybridMultilevel"/>
    <w:tmpl w:val="6A2A62D2"/>
    <w:lvl w:ilvl="0" w:tplc="741A71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3">
    <w:nsid w:val="3CE909B6"/>
    <w:multiLevelType w:val="hybridMultilevel"/>
    <w:tmpl w:val="6BB8D894"/>
    <w:lvl w:ilvl="0" w:tplc="E662F4CA">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3D1F7D0E"/>
    <w:multiLevelType w:val="hybridMultilevel"/>
    <w:tmpl w:val="3A2C2372"/>
    <w:lvl w:ilvl="0" w:tplc="B25E51D6">
      <w:start w:val="20"/>
      <w:numFmt w:val="bullet"/>
      <w:lvlText w:val="-"/>
      <w:lvlJc w:val="left"/>
      <w:pPr>
        <w:ind w:left="1242" w:hanging="360"/>
      </w:pPr>
      <w:rPr>
        <w:rFonts w:ascii="Book Antiqua" w:eastAsia="Calibri" w:hAnsi="Book Antiqua" w:cs="Book Antiqua"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15">
    <w:nsid w:val="3D25747F"/>
    <w:multiLevelType w:val="hybridMultilevel"/>
    <w:tmpl w:val="E326ECFC"/>
    <w:lvl w:ilvl="0" w:tplc="8AAEBD74">
      <w:start w:val="3"/>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6">
    <w:nsid w:val="3E3D7E13"/>
    <w:multiLevelType w:val="hybridMultilevel"/>
    <w:tmpl w:val="DDC0AE7A"/>
    <w:lvl w:ilvl="0" w:tplc="53F08120">
      <w:start w:val="3"/>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7">
    <w:nsid w:val="3E75469E"/>
    <w:multiLevelType w:val="hybridMultilevel"/>
    <w:tmpl w:val="9B76651A"/>
    <w:lvl w:ilvl="0" w:tplc="1D2A5ED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8">
    <w:nsid w:val="3EC53ABF"/>
    <w:multiLevelType w:val="hybridMultilevel"/>
    <w:tmpl w:val="268C2718"/>
    <w:lvl w:ilvl="0" w:tplc="1870F8D8">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9">
    <w:nsid w:val="3F5A1440"/>
    <w:multiLevelType w:val="hybridMultilevel"/>
    <w:tmpl w:val="15C80C36"/>
    <w:lvl w:ilvl="0" w:tplc="54908B96">
      <w:start w:val="6"/>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0">
    <w:nsid w:val="3FB658E5"/>
    <w:multiLevelType w:val="hybridMultilevel"/>
    <w:tmpl w:val="28BC1F72"/>
    <w:lvl w:ilvl="0" w:tplc="A58A4D64">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41337B46"/>
    <w:multiLevelType w:val="hybridMultilevel"/>
    <w:tmpl w:val="6DF26318"/>
    <w:lvl w:ilvl="0" w:tplc="56B6E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414D666F"/>
    <w:multiLevelType w:val="hybridMultilevel"/>
    <w:tmpl w:val="D9A2CD24"/>
    <w:lvl w:ilvl="0" w:tplc="8AC8B8C8">
      <w:start w:val="32"/>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41790A4C"/>
    <w:multiLevelType w:val="hybridMultilevel"/>
    <w:tmpl w:val="C616B9CA"/>
    <w:lvl w:ilvl="0" w:tplc="FB465F46">
      <w:start w:val="3"/>
      <w:numFmt w:val="decimal"/>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4">
    <w:nsid w:val="41BC068B"/>
    <w:multiLevelType w:val="hybridMultilevel"/>
    <w:tmpl w:val="F54E68A6"/>
    <w:lvl w:ilvl="0" w:tplc="1702EF50">
      <w:start w:val="3"/>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421136CD"/>
    <w:multiLevelType w:val="hybridMultilevel"/>
    <w:tmpl w:val="3D6837D8"/>
    <w:lvl w:ilvl="0" w:tplc="109803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429E791A"/>
    <w:multiLevelType w:val="hybridMultilevel"/>
    <w:tmpl w:val="C108E1BC"/>
    <w:lvl w:ilvl="0" w:tplc="06EC0136">
      <w:start w:val="2"/>
      <w:numFmt w:val="low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42DA7245"/>
    <w:multiLevelType w:val="hybridMultilevel"/>
    <w:tmpl w:val="6F580320"/>
    <w:lvl w:ilvl="0" w:tplc="BBA66784">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28">
    <w:nsid w:val="42DF2A5F"/>
    <w:multiLevelType w:val="hybridMultilevel"/>
    <w:tmpl w:val="6A2A62D2"/>
    <w:lvl w:ilvl="0" w:tplc="741A71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9">
    <w:nsid w:val="43FA0109"/>
    <w:multiLevelType w:val="hybridMultilevel"/>
    <w:tmpl w:val="EDD0E986"/>
    <w:lvl w:ilvl="0" w:tplc="BBA66784">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30">
    <w:nsid w:val="44EC538F"/>
    <w:multiLevelType w:val="hybridMultilevel"/>
    <w:tmpl w:val="7ED06AF8"/>
    <w:lvl w:ilvl="0" w:tplc="C712A018">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1">
    <w:nsid w:val="456F7915"/>
    <w:multiLevelType w:val="hybridMultilevel"/>
    <w:tmpl w:val="C184972A"/>
    <w:lvl w:ilvl="0" w:tplc="A838D6CA">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2">
    <w:nsid w:val="462D640F"/>
    <w:multiLevelType w:val="multilevel"/>
    <w:tmpl w:val="016252A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3">
    <w:nsid w:val="4673730C"/>
    <w:multiLevelType w:val="hybridMultilevel"/>
    <w:tmpl w:val="A3068798"/>
    <w:lvl w:ilvl="0" w:tplc="E0DA9506">
      <w:start w:val="3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468933D0"/>
    <w:multiLevelType w:val="hybridMultilevel"/>
    <w:tmpl w:val="5B84716C"/>
    <w:lvl w:ilvl="0" w:tplc="56B6E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46987220"/>
    <w:multiLevelType w:val="hybridMultilevel"/>
    <w:tmpl w:val="7682E9B6"/>
    <w:lvl w:ilvl="0" w:tplc="6888C1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46A0386E"/>
    <w:multiLevelType w:val="hybridMultilevel"/>
    <w:tmpl w:val="DA0814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7">
    <w:nsid w:val="47152A75"/>
    <w:multiLevelType w:val="hybridMultilevel"/>
    <w:tmpl w:val="2828E51A"/>
    <w:lvl w:ilvl="0" w:tplc="DE4248B4">
      <w:start w:val="3"/>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480949CA"/>
    <w:multiLevelType w:val="hybridMultilevel"/>
    <w:tmpl w:val="35F2077A"/>
    <w:lvl w:ilvl="0" w:tplc="457E4B0A">
      <w:start w:val="1"/>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9">
    <w:nsid w:val="483F5C44"/>
    <w:multiLevelType w:val="hybridMultilevel"/>
    <w:tmpl w:val="EDD0E986"/>
    <w:lvl w:ilvl="0" w:tplc="BBA66784">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40">
    <w:nsid w:val="484B37F9"/>
    <w:multiLevelType w:val="hybridMultilevel"/>
    <w:tmpl w:val="064276CE"/>
    <w:lvl w:ilvl="0" w:tplc="3B1639B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1">
    <w:nsid w:val="494F1A6D"/>
    <w:multiLevelType w:val="hybridMultilevel"/>
    <w:tmpl w:val="EF902556"/>
    <w:lvl w:ilvl="0" w:tplc="582AA140">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49766D68"/>
    <w:multiLevelType w:val="hybridMultilevel"/>
    <w:tmpl w:val="3C783BF0"/>
    <w:lvl w:ilvl="0" w:tplc="56B6E100">
      <w:start w:val="1"/>
      <w:numFmt w:val="decimal"/>
      <w:lvlText w:val="(%1)"/>
      <w:lvlJc w:val="lef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3">
    <w:nsid w:val="498D6647"/>
    <w:multiLevelType w:val="hybridMultilevel"/>
    <w:tmpl w:val="09822F62"/>
    <w:lvl w:ilvl="0" w:tplc="6D68CF06">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49EC3501"/>
    <w:multiLevelType w:val="hybridMultilevel"/>
    <w:tmpl w:val="2672449C"/>
    <w:lvl w:ilvl="0" w:tplc="AB464D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5">
    <w:nsid w:val="4A974631"/>
    <w:multiLevelType w:val="hybridMultilevel"/>
    <w:tmpl w:val="712040FE"/>
    <w:lvl w:ilvl="0" w:tplc="9DA66B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4AC119E6"/>
    <w:multiLevelType w:val="hybridMultilevel"/>
    <w:tmpl w:val="61A2148A"/>
    <w:lvl w:ilvl="0" w:tplc="A7784F88">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7">
    <w:nsid w:val="4AC77A3A"/>
    <w:multiLevelType w:val="hybridMultilevel"/>
    <w:tmpl w:val="C8F88298"/>
    <w:lvl w:ilvl="0" w:tplc="A0C88CFE">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4ADB0076"/>
    <w:multiLevelType w:val="hybridMultilevel"/>
    <w:tmpl w:val="B4247102"/>
    <w:lvl w:ilvl="0" w:tplc="5E08C532">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4B263409"/>
    <w:multiLevelType w:val="hybridMultilevel"/>
    <w:tmpl w:val="FDA64F64"/>
    <w:lvl w:ilvl="0" w:tplc="A04AC254">
      <w:start w:val="12"/>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4B4C6058"/>
    <w:multiLevelType w:val="hybridMultilevel"/>
    <w:tmpl w:val="DA72F17E"/>
    <w:lvl w:ilvl="0" w:tplc="69BCCA6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4B820B94"/>
    <w:multiLevelType w:val="hybridMultilevel"/>
    <w:tmpl w:val="CF6281A2"/>
    <w:lvl w:ilvl="0" w:tplc="32E6155A">
      <w:start w:val="5"/>
      <w:numFmt w:val="lowerLetter"/>
      <w:lvlText w:val="%1."/>
      <w:lvlJc w:val="left"/>
      <w:pPr>
        <w:ind w:left="1146"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4BD56348"/>
    <w:multiLevelType w:val="hybridMultilevel"/>
    <w:tmpl w:val="268C2718"/>
    <w:lvl w:ilvl="0" w:tplc="1870F8D8">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3">
    <w:nsid w:val="4C5811CC"/>
    <w:multiLevelType w:val="hybridMultilevel"/>
    <w:tmpl w:val="E3B096E6"/>
    <w:lvl w:ilvl="0" w:tplc="E6D667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4C615A2B"/>
    <w:multiLevelType w:val="hybridMultilevel"/>
    <w:tmpl w:val="D986AB6A"/>
    <w:lvl w:ilvl="0" w:tplc="6D84D900">
      <w:start w:val="17"/>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4D61368E"/>
    <w:multiLevelType w:val="multilevel"/>
    <w:tmpl w:val="B922F3D0"/>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6">
    <w:nsid w:val="4E4F62AE"/>
    <w:multiLevelType w:val="hybridMultilevel"/>
    <w:tmpl w:val="107A72B0"/>
    <w:lvl w:ilvl="0" w:tplc="AF3E8C7A">
      <w:start w:val="3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nsid w:val="4F007347"/>
    <w:multiLevelType w:val="hybridMultilevel"/>
    <w:tmpl w:val="CD4EB1CA"/>
    <w:lvl w:ilvl="0" w:tplc="7ADEF8F0">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8">
    <w:nsid w:val="4F1E0AE6"/>
    <w:multiLevelType w:val="hybridMultilevel"/>
    <w:tmpl w:val="29725B3A"/>
    <w:lvl w:ilvl="0" w:tplc="F99C76D8">
      <w:start w:val="24"/>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4F4D7961"/>
    <w:multiLevelType w:val="hybridMultilevel"/>
    <w:tmpl w:val="984E8232"/>
    <w:lvl w:ilvl="0" w:tplc="3732C352">
      <w:start w:val="4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4F8B4415"/>
    <w:multiLevelType w:val="hybridMultilevel"/>
    <w:tmpl w:val="12BC26E0"/>
    <w:lvl w:ilvl="0" w:tplc="52388666">
      <w:start w:val="3"/>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1">
    <w:nsid w:val="50657B94"/>
    <w:multiLevelType w:val="hybridMultilevel"/>
    <w:tmpl w:val="43F0A200"/>
    <w:lvl w:ilvl="0" w:tplc="A20AE082">
      <w:start w:val="3"/>
      <w:numFmt w:val="decimal"/>
      <w:lvlText w:val="%1."/>
      <w:lvlJc w:val="left"/>
      <w:pPr>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51282716"/>
    <w:multiLevelType w:val="hybridMultilevel"/>
    <w:tmpl w:val="5B485B24"/>
    <w:lvl w:ilvl="0" w:tplc="8E5272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3">
    <w:nsid w:val="51D637C7"/>
    <w:multiLevelType w:val="hybridMultilevel"/>
    <w:tmpl w:val="2C0070E6"/>
    <w:lvl w:ilvl="0" w:tplc="0D76E3CC">
      <w:start w:val="3"/>
      <w:numFmt w:val="decimal"/>
      <w:lvlText w:val="%1."/>
      <w:lvlJc w:val="left"/>
      <w:pPr>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52276411"/>
    <w:multiLevelType w:val="hybridMultilevel"/>
    <w:tmpl w:val="7682E9B6"/>
    <w:lvl w:ilvl="0" w:tplc="6888C1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527B715E"/>
    <w:multiLevelType w:val="hybridMultilevel"/>
    <w:tmpl w:val="CA4C7422"/>
    <w:lvl w:ilvl="0" w:tplc="D95ADD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527C3868"/>
    <w:multiLevelType w:val="hybridMultilevel"/>
    <w:tmpl w:val="712040FE"/>
    <w:lvl w:ilvl="0" w:tplc="9DA66B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52815DA7"/>
    <w:multiLevelType w:val="hybridMultilevel"/>
    <w:tmpl w:val="29143B1A"/>
    <w:lvl w:ilvl="0" w:tplc="D10C55C4">
      <w:start w:val="1"/>
      <w:numFmt w:val="lowerRoman"/>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68">
    <w:nsid w:val="52B24336"/>
    <w:multiLevelType w:val="hybridMultilevel"/>
    <w:tmpl w:val="7D6E68E4"/>
    <w:lvl w:ilvl="0" w:tplc="E68408B6">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52CA5D27"/>
    <w:multiLevelType w:val="hybridMultilevel"/>
    <w:tmpl w:val="FBBAB4C4"/>
    <w:lvl w:ilvl="0" w:tplc="B57A9E26">
      <w:start w:val="7"/>
      <w:numFmt w:val="decimal"/>
      <w:lvlText w:val="%1."/>
      <w:lvlJc w:val="left"/>
      <w:pPr>
        <w:ind w:left="252"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531B747D"/>
    <w:multiLevelType w:val="hybridMultilevel"/>
    <w:tmpl w:val="0F2EBE0C"/>
    <w:lvl w:ilvl="0" w:tplc="C38A35B0">
      <w:start w:val="1"/>
      <w:numFmt w:val="lowerRoman"/>
      <w:lvlText w:val="%1."/>
      <w:lvlJc w:val="right"/>
      <w:pPr>
        <w:ind w:left="1800"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271">
    <w:nsid w:val="533A2330"/>
    <w:multiLevelType w:val="hybridMultilevel"/>
    <w:tmpl w:val="3178314C"/>
    <w:lvl w:ilvl="0" w:tplc="F2BA4B9A">
      <w:start w:val="4"/>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2">
    <w:nsid w:val="53E54358"/>
    <w:multiLevelType w:val="hybridMultilevel"/>
    <w:tmpl w:val="B1E4F984"/>
    <w:lvl w:ilvl="0" w:tplc="9B244146">
      <w:start w:val="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54255D31"/>
    <w:multiLevelType w:val="hybridMultilevel"/>
    <w:tmpl w:val="CFE64532"/>
    <w:lvl w:ilvl="0" w:tplc="E448260A">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54336B4F"/>
    <w:multiLevelType w:val="hybridMultilevel"/>
    <w:tmpl w:val="770EBA1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5">
    <w:nsid w:val="54F44BFD"/>
    <w:multiLevelType w:val="hybridMultilevel"/>
    <w:tmpl w:val="CC6CE7E2"/>
    <w:lvl w:ilvl="0" w:tplc="01268B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5574067A"/>
    <w:multiLevelType w:val="hybridMultilevel"/>
    <w:tmpl w:val="50B0F3DE"/>
    <w:lvl w:ilvl="0" w:tplc="6CB25AEC">
      <w:start w:val="14"/>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55781E41"/>
    <w:multiLevelType w:val="hybridMultilevel"/>
    <w:tmpl w:val="A7FCF478"/>
    <w:lvl w:ilvl="0" w:tplc="1AF0C8A2">
      <w:start w:val="4"/>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8">
    <w:nsid w:val="55EA3AC0"/>
    <w:multiLevelType w:val="hybridMultilevel"/>
    <w:tmpl w:val="744055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79">
    <w:nsid w:val="5607131F"/>
    <w:multiLevelType w:val="hybridMultilevel"/>
    <w:tmpl w:val="5E766D40"/>
    <w:lvl w:ilvl="0" w:tplc="8E12C36C">
      <w:start w:val="11"/>
      <w:numFmt w:val="lowerLetter"/>
      <w:lvlText w:val="%1."/>
      <w:lvlJc w:val="left"/>
      <w:pPr>
        <w:ind w:left="720" w:hanging="360"/>
      </w:pPr>
      <w:rPr>
        <w:rFonts w:hint="default"/>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0">
    <w:nsid w:val="561D4E09"/>
    <w:multiLevelType w:val="hybridMultilevel"/>
    <w:tmpl w:val="E1F044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81">
    <w:nsid w:val="57302692"/>
    <w:multiLevelType w:val="hybridMultilevel"/>
    <w:tmpl w:val="0A525394"/>
    <w:lvl w:ilvl="0" w:tplc="56B6E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57720627"/>
    <w:multiLevelType w:val="hybridMultilevel"/>
    <w:tmpl w:val="60D0A760"/>
    <w:lvl w:ilvl="0" w:tplc="71727F72">
      <w:start w:val="5"/>
      <w:numFmt w:val="low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57B91B7E"/>
    <w:multiLevelType w:val="hybridMultilevel"/>
    <w:tmpl w:val="E878D97C"/>
    <w:lvl w:ilvl="0" w:tplc="2C66C972">
      <w:start w:val="17"/>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58B613B7"/>
    <w:multiLevelType w:val="hybridMultilevel"/>
    <w:tmpl w:val="0F126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85">
    <w:nsid w:val="58C95B19"/>
    <w:multiLevelType w:val="hybridMultilevel"/>
    <w:tmpl w:val="0E0C3FE8"/>
    <w:lvl w:ilvl="0" w:tplc="F64EA4A4">
      <w:start w:val="17"/>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59013BAD"/>
    <w:multiLevelType w:val="hybridMultilevel"/>
    <w:tmpl w:val="2AC8BB4A"/>
    <w:lvl w:ilvl="0" w:tplc="1CC8646A">
      <w:start w:val="3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59711FD8"/>
    <w:multiLevelType w:val="hybridMultilevel"/>
    <w:tmpl w:val="A5BC89F0"/>
    <w:lvl w:ilvl="0" w:tplc="EFD2FCB8">
      <w:start w:val="3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59A72314"/>
    <w:multiLevelType w:val="hybridMultilevel"/>
    <w:tmpl w:val="2250BE4A"/>
    <w:lvl w:ilvl="0" w:tplc="D10C55C4">
      <w:start w:val="1"/>
      <w:numFmt w:val="lowerRoman"/>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89">
    <w:nsid w:val="5AAB1818"/>
    <w:multiLevelType w:val="hybridMultilevel"/>
    <w:tmpl w:val="CD4A0E98"/>
    <w:lvl w:ilvl="0" w:tplc="BD2607B2">
      <w:start w:val="41"/>
      <w:numFmt w:val="decimal"/>
      <w:lvlText w:val="%1."/>
      <w:lvlJc w:val="left"/>
      <w:pPr>
        <w:ind w:left="36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5AEE3849"/>
    <w:multiLevelType w:val="multilevel"/>
    <w:tmpl w:val="F25678D2"/>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1">
    <w:nsid w:val="5B8B3B33"/>
    <w:multiLevelType w:val="hybridMultilevel"/>
    <w:tmpl w:val="2E8ACF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2">
    <w:nsid w:val="5BB916C3"/>
    <w:multiLevelType w:val="hybridMultilevel"/>
    <w:tmpl w:val="FC46BC1A"/>
    <w:lvl w:ilvl="0" w:tplc="35DA62E8">
      <w:start w:val="3"/>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5C5C0345"/>
    <w:multiLevelType w:val="hybridMultilevel"/>
    <w:tmpl w:val="0784CE54"/>
    <w:lvl w:ilvl="0" w:tplc="86A4BD2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4">
    <w:nsid w:val="5C631C74"/>
    <w:multiLevelType w:val="hybridMultilevel"/>
    <w:tmpl w:val="7B644DE0"/>
    <w:lvl w:ilvl="0" w:tplc="04090019">
      <w:start w:val="1"/>
      <w:numFmt w:val="lowerLetter"/>
      <w:lvlText w:val="%1."/>
      <w:lvlJc w:val="left"/>
      <w:pPr>
        <w:ind w:left="1604" w:hanging="360"/>
      </w:pPr>
    </w:lvl>
    <w:lvl w:ilvl="1" w:tplc="04090019" w:tentative="1">
      <w:start w:val="1"/>
      <w:numFmt w:val="lowerLetter"/>
      <w:lvlText w:val="%2."/>
      <w:lvlJc w:val="left"/>
      <w:pPr>
        <w:ind w:left="2324" w:hanging="360"/>
      </w:pPr>
    </w:lvl>
    <w:lvl w:ilvl="2" w:tplc="0409001B" w:tentative="1">
      <w:start w:val="1"/>
      <w:numFmt w:val="lowerRoman"/>
      <w:lvlText w:val="%3."/>
      <w:lvlJc w:val="right"/>
      <w:pPr>
        <w:ind w:left="3044" w:hanging="180"/>
      </w:pPr>
    </w:lvl>
    <w:lvl w:ilvl="3" w:tplc="0409000F" w:tentative="1">
      <w:start w:val="1"/>
      <w:numFmt w:val="decimal"/>
      <w:lvlText w:val="%4."/>
      <w:lvlJc w:val="left"/>
      <w:pPr>
        <w:ind w:left="3764" w:hanging="360"/>
      </w:pPr>
    </w:lvl>
    <w:lvl w:ilvl="4" w:tplc="04090019" w:tentative="1">
      <w:start w:val="1"/>
      <w:numFmt w:val="lowerLetter"/>
      <w:lvlText w:val="%5."/>
      <w:lvlJc w:val="left"/>
      <w:pPr>
        <w:ind w:left="4484" w:hanging="360"/>
      </w:pPr>
    </w:lvl>
    <w:lvl w:ilvl="5" w:tplc="0409001B" w:tentative="1">
      <w:start w:val="1"/>
      <w:numFmt w:val="lowerRoman"/>
      <w:lvlText w:val="%6."/>
      <w:lvlJc w:val="right"/>
      <w:pPr>
        <w:ind w:left="5204" w:hanging="180"/>
      </w:pPr>
    </w:lvl>
    <w:lvl w:ilvl="6" w:tplc="0409000F" w:tentative="1">
      <w:start w:val="1"/>
      <w:numFmt w:val="decimal"/>
      <w:lvlText w:val="%7."/>
      <w:lvlJc w:val="left"/>
      <w:pPr>
        <w:ind w:left="5924" w:hanging="360"/>
      </w:pPr>
    </w:lvl>
    <w:lvl w:ilvl="7" w:tplc="04090019" w:tentative="1">
      <w:start w:val="1"/>
      <w:numFmt w:val="lowerLetter"/>
      <w:lvlText w:val="%8."/>
      <w:lvlJc w:val="left"/>
      <w:pPr>
        <w:ind w:left="6644" w:hanging="360"/>
      </w:pPr>
    </w:lvl>
    <w:lvl w:ilvl="8" w:tplc="0409001B" w:tentative="1">
      <w:start w:val="1"/>
      <w:numFmt w:val="lowerRoman"/>
      <w:lvlText w:val="%9."/>
      <w:lvlJc w:val="right"/>
      <w:pPr>
        <w:ind w:left="7364" w:hanging="180"/>
      </w:pPr>
    </w:lvl>
  </w:abstractNum>
  <w:abstractNum w:abstractNumId="295">
    <w:nsid w:val="5CCB0FD2"/>
    <w:multiLevelType w:val="hybridMultilevel"/>
    <w:tmpl w:val="AFCCD2A2"/>
    <w:lvl w:ilvl="0" w:tplc="20E8C2A4">
      <w:start w:val="2"/>
      <w:numFmt w:val="lowerLetter"/>
      <w:lvlText w:val="%1."/>
      <w:lvlJc w:val="left"/>
      <w:pPr>
        <w:ind w:left="644"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5D1835FB"/>
    <w:multiLevelType w:val="hybridMultilevel"/>
    <w:tmpl w:val="1438F58C"/>
    <w:lvl w:ilvl="0" w:tplc="F41C6AE8">
      <w:start w:val="32"/>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5D3C0CD8"/>
    <w:multiLevelType w:val="hybridMultilevel"/>
    <w:tmpl w:val="F02E9FCA"/>
    <w:lvl w:ilvl="0" w:tplc="FB1C1E3A">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98">
    <w:nsid w:val="5D3E6F8A"/>
    <w:multiLevelType w:val="hybridMultilevel"/>
    <w:tmpl w:val="8C448B7A"/>
    <w:lvl w:ilvl="0" w:tplc="2D464306">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5D543018"/>
    <w:multiLevelType w:val="hybridMultilevel"/>
    <w:tmpl w:val="7F4E447E"/>
    <w:lvl w:ilvl="0" w:tplc="E996DD70">
      <w:start w:val="18"/>
      <w:numFmt w:val="lowerLetter"/>
      <w:lvlText w:val="%1."/>
      <w:lvlJc w:val="left"/>
      <w:pPr>
        <w:ind w:left="786" w:hanging="360"/>
      </w:pPr>
      <w:rPr>
        <w:rFonts w:hint="default"/>
        <w:b/>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5D8046D3"/>
    <w:multiLevelType w:val="multilevel"/>
    <w:tmpl w:val="55AE73F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1">
    <w:nsid w:val="5DCA6B2C"/>
    <w:multiLevelType w:val="hybridMultilevel"/>
    <w:tmpl w:val="708AF308"/>
    <w:lvl w:ilvl="0" w:tplc="11BA68BC">
      <w:start w:val="1"/>
      <w:numFmt w:val="lowerLetter"/>
      <w:lvlText w:val="%1)"/>
      <w:lvlJc w:val="left"/>
      <w:pPr>
        <w:ind w:left="958" w:hanging="360"/>
      </w:pPr>
      <w:rPr>
        <w:rFonts w:hint="default"/>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302">
    <w:nsid w:val="5DCD3BAF"/>
    <w:multiLevelType w:val="hybridMultilevel"/>
    <w:tmpl w:val="6F580320"/>
    <w:lvl w:ilvl="0" w:tplc="BBA66784">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303">
    <w:nsid w:val="5DCE7AD3"/>
    <w:multiLevelType w:val="hybridMultilevel"/>
    <w:tmpl w:val="84D8F3D0"/>
    <w:lvl w:ilvl="0" w:tplc="C25CF3BA">
      <w:start w:val="39"/>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5DE15A00"/>
    <w:multiLevelType w:val="hybridMultilevel"/>
    <w:tmpl w:val="0A525394"/>
    <w:lvl w:ilvl="0" w:tplc="56B6E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5E762487"/>
    <w:multiLevelType w:val="hybridMultilevel"/>
    <w:tmpl w:val="31004202"/>
    <w:lvl w:ilvl="0" w:tplc="C32E7068">
      <w:start w:val="30"/>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5ED2737B"/>
    <w:multiLevelType w:val="multilevel"/>
    <w:tmpl w:val="D082B2EC"/>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7">
    <w:nsid w:val="5F1B58E3"/>
    <w:multiLevelType w:val="hybridMultilevel"/>
    <w:tmpl w:val="74C295BE"/>
    <w:lvl w:ilvl="0" w:tplc="E042DC02">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5F615B64"/>
    <w:multiLevelType w:val="hybridMultilevel"/>
    <w:tmpl w:val="F02E9FCA"/>
    <w:lvl w:ilvl="0" w:tplc="FB1C1E3A">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09">
    <w:nsid w:val="5F631588"/>
    <w:multiLevelType w:val="hybridMultilevel"/>
    <w:tmpl w:val="60A64ABA"/>
    <w:lvl w:ilvl="0" w:tplc="B8064942">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5FC1401B"/>
    <w:multiLevelType w:val="hybridMultilevel"/>
    <w:tmpl w:val="FBBAB4C4"/>
    <w:lvl w:ilvl="0" w:tplc="B57A9E26">
      <w:start w:val="7"/>
      <w:numFmt w:val="decimal"/>
      <w:lvlText w:val="%1."/>
      <w:lvlJc w:val="left"/>
      <w:pPr>
        <w:ind w:left="252"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5FD25479"/>
    <w:multiLevelType w:val="hybridMultilevel"/>
    <w:tmpl w:val="F7726974"/>
    <w:lvl w:ilvl="0" w:tplc="F1F4E2FE">
      <w:start w:val="3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601A0F33"/>
    <w:multiLevelType w:val="hybridMultilevel"/>
    <w:tmpl w:val="91C228BC"/>
    <w:lvl w:ilvl="0" w:tplc="2356FC22">
      <w:start w:val="19"/>
      <w:numFmt w:val="decimal"/>
      <w:lvlText w:val="%1."/>
      <w:lvlJc w:val="left"/>
      <w:pPr>
        <w:ind w:left="252" w:hanging="360"/>
      </w:pPr>
      <w:rPr>
        <w:rFonts w:ascii="Times New Roman" w:hAnsi="Times New Roman" w:cs="Times New Roman" w:hint="default"/>
        <w:b/>
        <w:i w:val="0"/>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60FA2B43"/>
    <w:multiLevelType w:val="hybridMultilevel"/>
    <w:tmpl w:val="B5E0D71E"/>
    <w:lvl w:ilvl="0" w:tplc="0152E556">
      <w:start w:val="1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61221562"/>
    <w:multiLevelType w:val="hybridMultilevel"/>
    <w:tmpl w:val="8FEAAF4A"/>
    <w:lvl w:ilvl="0" w:tplc="2A3EEC9A">
      <w:start w:val="16"/>
      <w:numFmt w:val="bullet"/>
      <w:lvlText w:val="-"/>
      <w:lvlJc w:val="left"/>
      <w:pPr>
        <w:ind w:left="1128" w:hanging="360"/>
      </w:pPr>
      <w:rPr>
        <w:rFonts w:ascii="Garamond" w:eastAsia="Times New Roman" w:hAnsi="Garamond" w:cs="Aria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15">
    <w:nsid w:val="614724DA"/>
    <w:multiLevelType w:val="hybridMultilevel"/>
    <w:tmpl w:val="EE828776"/>
    <w:lvl w:ilvl="0" w:tplc="D67264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nsid w:val="61472A06"/>
    <w:multiLevelType w:val="hybridMultilevel"/>
    <w:tmpl w:val="789A4650"/>
    <w:lvl w:ilvl="0" w:tplc="9134125A">
      <w:start w:val="17"/>
      <w:numFmt w:val="decimal"/>
      <w:lvlText w:val="%1."/>
      <w:lvlJc w:val="left"/>
      <w:pPr>
        <w:ind w:left="252" w:hanging="360"/>
      </w:pPr>
      <w:rPr>
        <w:rFonts w:ascii="Times New Roman" w:hAnsi="Times New Roman" w:cs="Times New Roman" w:hint="default"/>
        <w:b/>
        <w:i/>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61A83F2E"/>
    <w:multiLevelType w:val="hybridMultilevel"/>
    <w:tmpl w:val="0464DDAE"/>
    <w:lvl w:ilvl="0" w:tplc="6CE0242A">
      <w:start w:val="5"/>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8">
    <w:nsid w:val="61B64565"/>
    <w:multiLevelType w:val="hybridMultilevel"/>
    <w:tmpl w:val="FCFCDD72"/>
    <w:lvl w:ilvl="0" w:tplc="2D687786">
      <w:start w:val="1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61FF3160"/>
    <w:multiLevelType w:val="hybridMultilevel"/>
    <w:tmpl w:val="DD5C985E"/>
    <w:lvl w:ilvl="0" w:tplc="2020AEF0">
      <w:start w:val="19"/>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62651002"/>
    <w:multiLevelType w:val="hybridMultilevel"/>
    <w:tmpl w:val="712040FE"/>
    <w:lvl w:ilvl="0" w:tplc="9DA66B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62F51D9A"/>
    <w:multiLevelType w:val="hybridMultilevel"/>
    <w:tmpl w:val="BD30650E"/>
    <w:lvl w:ilvl="0" w:tplc="54DCDA7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635216F9"/>
    <w:multiLevelType w:val="hybridMultilevel"/>
    <w:tmpl w:val="E7508DDE"/>
    <w:lvl w:ilvl="0" w:tplc="1B6C560A">
      <w:start w:val="5"/>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3">
    <w:nsid w:val="63CC5BCC"/>
    <w:multiLevelType w:val="hybridMultilevel"/>
    <w:tmpl w:val="0A525394"/>
    <w:lvl w:ilvl="0" w:tplc="56B6E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642249CB"/>
    <w:multiLevelType w:val="multilevel"/>
    <w:tmpl w:val="55AE73F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5">
    <w:nsid w:val="64A841B1"/>
    <w:multiLevelType w:val="hybridMultilevel"/>
    <w:tmpl w:val="BA0E5BEA"/>
    <w:lvl w:ilvl="0" w:tplc="8724F514">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6">
    <w:nsid w:val="64A85A2C"/>
    <w:multiLevelType w:val="hybridMultilevel"/>
    <w:tmpl w:val="8856BBE8"/>
    <w:lvl w:ilvl="0" w:tplc="5352E28C">
      <w:start w:val="1"/>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651B79C7"/>
    <w:multiLevelType w:val="hybridMultilevel"/>
    <w:tmpl w:val="57805A36"/>
    <w:lvl w:ilvl="0" w:tplc="67545940">
      <w:start w:val="1"/>
      <w:numFmt w:val="decimal"/>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8">
    <w:nsid w:val="65287AE0"/>
    <w:multiLevelType w:val="hybridMultilevel"/>
    <w:tmpl w:val="65F0FFEE"/>
    <w:lvl w:ilvl="0" w:tplc="9DD20178">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656B03A8"/>
    <w:multiLevelType w:val="hybridMultilevel"/>
    <w:tmpl w:val="EAA44C82"/>
    <w:lvl w:ilvl="0" w:tplc="351496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6578713E"/>
    <w:multiLevelType w:val="hybridMultilevel"/>
    <w:tmpl w:val="61A201F0"/>
    <w:lvl w:ilvl="0" w:tplc="9CA4E88C">
      <w:start w:val="6"/>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1">
    <w:nsid w:val="65DA1F5B"/>
    <w:multiLevelType w:val="hybridMultilevel"/>
    <w:tmpl w:val="1E16BBCA"/>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332">
    <w:nsid w:val="66B3391A"/>
    <w:multiLevelType w:val="hybridMultilevel"/>
    <w:tmpl w:val="9E4C661C"/>
    <w:lvl w:ilvl="0" w:tplc="D51E94E0">
      <w:start w:val="17"/>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66BE4FC5"/>
    <w:multiLevelType w:val="hybridMultilevel"/>
    <w:tmpl w:val="0136D2A6"/>
    <w:lvl w:ilvl="0" w:tplc="717865EE">
      <w:start w:val="18"/>
      <w:numFmt w:val="lowerLetter"/>
      <w:lvlText w:val="%1."/>
      <w:lvlJc w:val="left"/>
      <w:pPr>
        <w:ind w:left="78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66FF0977"/>
    <w:multiLevelType w:val="hybridMultilevel"/>
    <w:tmpl w:val="34E6E386"/>
    <w:lvl w:ilvl="0" w:tplc="D87A61F8">
      <w:start w:val="5"/>
      <w:numFmt w:val="decimal"/>
      <w:lvlText w:val="%1."/>
      <w:lvlJc w:val="left"/>
      <w:pPr>
        <w:ind w:left="786"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670A37FB"/>
    <w:multiLevelType w:val="hybridMultilevel"/>
    <w:tmpl w:val="1A266522"/>
    <w:lvl w:ilvl="0" w:tplc="360A7F7A">
      <w:start w:val="3"/>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671E27B9"/>
    <w:multiLevelType w:val="hybridMultilevel"/>
    <w:tmpl w:val="5B4CF05A"/>
    <w:lvl w:ilvl="0" w:tplc="E65A9A04">
      <w:start w:val="6"/>
      <w:numFmt w:val="lowerLetter"/>
      <w:lvlText w:val="%1."/>
      <w:lvlJc w:val="left"/>
      <w:pPr>
        <w:ind w:left="25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674A605A"/>
    <w:multiLevelType w:val="hybridMultilevel"/>
    <w:tmpl w:val="705C074E"/>
    <w:lvl w:ilvl="0" w:tplc="E8F21C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8">
    <w:nsid w:val="67626B76"/>
    <w:multiLevelType w:val="hybridMultilevel"/>
    <w:tmpl w:val="C108E1BC"/>
    <w:lvl w:ilvl="0" w:tplc="06EC0136">
      <w:start w:val="2"/>
      <w:numFmt w:val="low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67C53A3E"/>
    <w:multiLevelType w:val="hybridMultilevel"/>
    <w:tmpl w:val="49EAEFD8"/>
    <w:lvl w:ilvl="0" w:tplc="3D36D416">
      <w:start w:val="1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67E9269D"/>
    <w:multiLevelType w:val="hybridMultilevel"/>
    <w:tmpl w:val="31608292"/>
    <w:lvl w:ilvl="0" w:tplc="B358EBEE">
      <w:start w:val="18"/>
      <w:numFmt w:val="decimal"/>
      <w:lvlText w:val="%1."/>
      <w:lvlJc w:val="left"/>
      <w:pPr>
        <w:ind w:left="13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685B3A76"/>
    <w:multiLevelType w:val="hybridMultilevel"/>
    <w:tmpl w:val="E9D635A2"/>
    <w:lvl w:ilvl="0" w:tplc="96B87700">
      <w:start w:val="4"/>
      <w:numFmt w:val="lowerLetter"/>
      <w:lvlText w:val="%1."/>
      <w:lvlJc w:val="left"/>
      <w:pPr>
        <w:ind w:left="12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68D332BD"/>
    <w:multiLevelType w:val="hybridMultilevel"/>
    <w:tmpl w:val="87C62334"/>
    <w:lvl w:ilvl="0" w:tplc="9AFAFB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69175AAB"/>
    <w:multiLevelType w:val="hybridMultilevel"/>
    <w:tmpl w:val="9E4C661C"/>
    <w:lvl w:ilvl="0" w:tplc="D51E94E0">
      <w:start w:val="17"/>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695A6C25"/>
    <w:multiLevelType w:val="hybridMultilevel"/>
    <w:tmpl w:val="EAE86ED8"/>
    <w:lvl w:ilvl="0" w:tplc="2CD692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698D0994"/>
    <w:multiLevelType w:val="hybridMultilevel"/>
    <w:tmpl w:val="4F54C324"/>
    <w:lvl w:ilvl="0" w:tplc="41D0502A">
      <w:start w:val="11"/>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69A10BD7"/>
    <w:multiLevelType w:val="hybridMultilevel"/>
    <w:tmpl w:val="EF5EB056"/>
    <w:lvl w:ilvl="0" w:tplc="C11CD2B4">
      <w:start w:val="4"/>
      <w:numFmt w:val="decimal"/>
      <w:lvlText w:val="%1."/>
      <w:lvlJc w:val="left"/>
      <w:pPr>
        <w:ind w:left="786"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69A11578"/>
    <w:multiLevelType w:val="hybridMultilevel"/>
    <w:tmpl w:val="906E3274"/>
    <w:lvl w:ilvl="0" w:tplc="AFD63F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8">
    <w:nsid w:val="69AF343C"/>
    <w:multiLevelType w:val="hybridMultilevel"/>
    <w:tmpl w:val="1ED07CEA"/>
    <w:lvl w:ilvl="0" w:tplc="4622E02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69B91959"/>
    <w:multiLevelType w:val="hybridMultilevel"/>
    <w:tmpl w:val="21AADA34"/>
    <w:lvl w:ilvl="0" w:tplc="8D92A844">
      <w:start w:val="2"/>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69CD3541"/>
    <w:multiLevelType w:val="hybridMultilevel"/>
    <w:tmpl w:val="595ECDF6"/>
    <w:lvl w:ilvl="0" w:tplc="A854146C">
      <w:start w:val="3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69F06727"/>
    <w:multiLevelType w:val="hybridMultilevel"/>
    <w:tmpl w:val="074C7110"/>
    <w:lvl w:ilvl="0" w:tplc="EA0E97B8">
      <w:start w:val="1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6A6D25A4"/>
    <w:multiLevelType w:val="hybridMultilevel"/>
    <w:tmpl w:val="D1485820"/>
    <w:lvl w:ilvl="0" w:tplc="37E0121A">
      <w:start w:val="14"/>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nsid w:val="6ACA2306"/>
    <w:multiLevelType w:val="hybridMultilevel"/>
    <w:tmpl w:val="A0A66F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4">
    <w:nsid w:val="6AFE5E05"/>
    <w:multiLevelType w:val="hybridMultilevel"/>
    <w:tmpl w:val="7682E9B6"/>
    <w:lvl w:ilvl="0" w:tplc="6888C1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6B3C2263"/>
    <w:multiLevelType w:val="hybridMultilevel"/>
    <w:tmpl w:val="04FA63D4"/>
    <w:lvl w:ilvl="0" w:tplc="191806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6B503471"/>
    <w:multiLevelType w:val="hybridMultilevel"/>
    <w:tmpl w:val="C512E362"/>
    <w:lvl w:ilvl="0" w:tplc="EDBA88E0">
      <w:start w:val="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6BB306F9"/>
    <w:multiLevelType w:val="hybridMultilevel"/>
    <w:tmpl w:val="EDD0E986"/>
    <w:lvl w:ilvl="0" w:tplc="BBA66784">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358">
    <w:nsid w:val="6BCB222A"/>
    <w:multiLevelType w:val="hybridMultilevel"/>
    <w:tmpl w:val="9572CB80"/>
    <w:lvl w:ilvl="0" w:tplc="8FD42FF2">
      <w:start w:val="1"/>
      <w:numFmt w:val="lowerRoman"/>
      <w:lvlText w:val="%1."/>
      <w:lvlJc w:val="left"/>
      <w:pPr>
        <w:ind w:left="15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nsid w:val="6BCC4C5F"/>
    <w:multiLevelType w:val="hybridMultilevel"/>
    <w:tmpl w:val="3580D284"/>
    <w:lvl w:ilvl="0" w:tplc="0CBABE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6D2D35E5"/>
    <w:multiLevelType w:val="hybridMultilevel"/>
    <w:tmpl w:val="BD201320"/>
    <w:lvl w:ilvl="0" w:tplc="C14295DC">
      <w:start w:val="1"/>
      <w:numFmt w:val="lowerLetter"/>
      <w:lvlText w:val="%1."/>
      <w:lvlJc w:val="left"/>
      <w:pPr>
        <w:ind w:left="644" w:hanging="360"/>
      </w:pPr>
      <w:rPr>
        <w:rFonts w:hint="default"/>
        <w:sz w:val="1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1">
    <w:nsid w:val="6D5403AE"/>
    <w:multiLevelType w:val="hybridMultilevel"/>
    <w:tmpl w:val="9DAC4B00"/>
    <w:lvl w:ilvl="0" w:tplc="0F1C1C16">
      <w:start w:val="1"/>
      <w:numFmt w:val="lowerLetter"/>
      <w:lvlText w:val="%1."/>
      <w:lvlJc w:val="left"/>
      <w:pPr>
        <w:ind w:left="3447"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6D7A1E67"/>
    <w:multiLevelType w:val="hybridMultilevel"/>
    <w:tmpl w:val="65F0FFEE"/>
    <w:lvl w:ilvl="0" w:tplc="9DD20178">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6DD24E5B"/>
    <w:multiLevelType w:val="hybridMultilevel"/>
    <w:tmpl w:val="F54E68A6"/>
    <w:lvl w:ilvl="0" w:tplc="1702EF50">
      <w:start w:val="3"/>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6DE83713"/>
    <w:multiLevelType w:val="hybridMultilevel"/>
    <w:tmpl w:val="C616B9CA"/>
    <w:lvl w:ilvl="0" w:tplc="FB465F46">
      <w:start w:val="3"/>
      <w:numFmt w:val="decimal"/>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5">
    <w:nsid w:val="70567056"/>
    <w:multiLevelType w:val="hybridMultilevel"/>
    <w:tmpl w:val="D5E2B6E6"/>
    <w:lvl w:ilvl="0" w:tplc="B97C40EA">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707223E6"/>
    <w:multiLevelType w:val="hybridMultilevel"/>
    <w:tmpl w:val="A8D81AB0"/>
    <w:lvl w:ilvl="0" w:tplc="3EF22E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70BA5128"/>
    <w:multiLevelType w:val="hybridMultilevel"/>
    <w:tmpl w:val="7BC46EF4"/>
    <w:lvl w:ilvl="0" w:tplc="2818A5C4">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70EE3570"/>
    <w:multiLevelType w:val="hybridMultilevel"/>
    <w:tmpl w:val="88B03018"/>
    <w:lvl w:ilvl="0" w:tplc="B98832BC">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71E40057"/>
    <w:multiLevelType w:val="hybridMultilevel"/>
    <w:tmpl w:val="584E0FB8"/>
    <w:lvl w:ilvl="0" w:tplc="49E41688">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723812DF"/>
    <w:multiLevelType w:val="hybridMultilevel"/>
    <w:tmpl w:val="DAB86E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1">
    <w:nsid w:val="72531F93"/>
    <w:multiLevelType w:val="hybridMultilevel"/>
    <w:tmpl w:val="9392AD08"/>
    <w:lvl w:ilvl="0" w:tplc="3A18033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2">
    <w:nsid w:val="72A45A96"/>
    <w:multiLevelType w:val="hybridMultilevel"/>
    <w:tmpl w:val="EDE8809C"/>
    <w:lvl w:ilvl="0" w:tplc="46524EF0">
      <w:start w:val="1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72B84A23"/>
    <w:multiLevelType w:val="hybridMultilevel"/>
    <w:tmpl w:val="B02894CE"/>
    <w:lvl w:ilvl="0" w:tplc="1EE21F2A">
      <w:start w:val="12"/>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73177DFC"/>
    <w:multiLevelType w:val="hybridMultilevel"/>
    <w:tmpl w:val="1682D1D4"/>
    <w:lvl w:ilvl="0" w:tplc="B63831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nsid w:val="732B0842"/>
    <w:multiLevelType w:val="hybridMultilevel"/>
    <w:tmpl w:val="EDD0E986"/>
    <w:lvl w:ilvl="0" w:tplc="BBA66784">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376">
    <w:nsid w:val="735E30FC"/>
    <w:multiLevelType w:val="hybridMultilevel"/>
    <w:tmpl w:val="FF2033E4"/>
    <w:lvl w:ilvl="0" w:tplc="CCA0CDE2">
      <w:start w:val="14"/>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nsid w:val="73821E66"/>
    <w:multiLevelType w:val="hybridMultilevel"/>
    <w:tmpl w:val="B82A9B76"/>
    <w:lvl w:ilvl="0" w:tplc="F370BFA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73BE1836"/>
    <w:multiLevelType w:val="hybridMultilevel"/>
    <w:tmpl w:val="46488EE0"/>
    <w:lvl w:ilvl="0" w:tplc="9BCC5376">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9">
    <w:nsid w:val="74780156"/>
    <w:multiLevelType w:val="hybridMultilevel"/>
    <w:tmpl w:val="C5FCF84E"/>
    <w:lvl w:ilvl="0" w:tplc="CC80D6DA">
      <w:start w:val="22"/>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74E67089"/>
    <w:multiLevelType w:val="hybridMultilevel"/>
    <w:tmpl w:val="3650142C"/>
    <w:lvl w:ilvl="0" w:tplc="77AA1460">
      <w:start w:val="18"/>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755D3200"/>
    <w:multiLevelType w:val="hybridMultilevel"/>
    <w:tmpl w:val="C98469AA"/>
    <w:lvl w:ilvl="0" w:tplc="76E0CEB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75E6510B"/>
    <w:multiLevelType w:val="hybridMultilevel"/>
    <w:tmpl w:val="ADE23F34"/>
    <w:lvl w:ilvl="0" w:tplc="1258305E">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763B145F"/>
    <w:multiLevelType w:val="hybridMultilevel"/>
    <w:tmpl w:val="530C4E0E"/>
    <w:lvl w:ilvl="0" w:tplc="9670C826">
      <w:start w:val="1"/>
      <w:numFmt w:val="lowerLetter"/>
      <w:lvlText w:val="%1."/>
      <w:lvlJc w:val="left"/>
      <w:pPr>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764F167C"/>
    <w:multiLevelType w:val="hybridMultilevel"/>
    <w:tmpl w:val="7B644DE0"/>
    <w:lvl w:ilvl="0" w:tplc="04090019">
      <w:start w:val="1"/>
      <w:numFmt w:val="lowerLetter"/>
      <w:lvlText w:val="%1."/>
      <w:lvlJc w:val="left"/>
      <w:pPr>
        <w:ind w:left="1604" w:hanging="360"/>
      </w:pPr>
    </w:lvl>
    <w:lvl w:ilvl="1" w:tplc="04090019" w:tentative="1">
      <w:start w:val="1"/>
      <w:numFmt w:val="lowerLetter"/>
      <w:lvlText w:val="%2."/>
      <w:lvlJc w:val="left"/>
      <w:pPr>
        <w:ind w:left="2324" w:hanging="360"/>
      </w:pPr>
    </w:lvl>
    <w:lvl w:ilvl="2" w:tplc="0409001B" w:tentative="1">
      <w:start w:val="1"/>
      <w:numFmt w:val="lowerRoman"/>
      <w:lvlText w:val="%3."/>
      <w:lvlJc w:val="right"/>
      <w:pPr>
        <w:ind w:left="3044" w:hanging="180"/>
      </w:pPr>
    </w:lvl>
    <w:lvl w:ilvl="3" w:tplc="0409000F" w:tentative="1">
      <w:start w:val="1"/>
      <w:numFmt w:val="decimal"/>
      <w:lvlText w:val="%4."/>
      <w:lvlJc w:val="left"/>
      <w:pPr>
        <w:ind w:left="3764" w:hanging="360"/>
      </w:pPr>
    </w:lvl>
    <w:lvl w:ilvl="4" w:tplc="04090019" w:tentative="1">
      <w:start w:val="1"/>
      <w:numFmt w:val="lowerLetter"/>
      <w:lvlText w:val="%5."/>
      <w:lvlJc w:val="left"/>
      <w:pPr>
        <w:ind w:left="4484" w:hanging="360"/>
      </w:pPr>
    </w:lvl>
    <w:lvl w:ilvl="5" w:tplc="0409001B" w:tentative="1">
      <w:start w:val="1"/>
      <w:numFmt w:val="lowerRoman"/>
      <w:lvlText w:val="%6."/>
      <w:lvlJc w:val="right"/>
      <w:pPr>
        <w:ind w:left="5204" w:hanging="180"/>
      </w:pPr>
    </w:lvl>
    <w:lvl w:ilvl="6" w:tplc="0409000F" w:tentative="1">
      <w:start w:val="1"/>
      <w:numFmt w:val="decimal"/>
      <w:lvlText w:val="%7."/>
      <w:lvlJc w:val="left"/>
      <w:pPr>
        <w:ind w:left="5924" w:hanging="360"/>
      </w:pPr>
    </w:lvl>
    <w:lvl w:ilvl="7" w:tplc="04090019" w:tentative="1">
      <w:start w:val="1"/>
      <w:numFmt w:val="lowerLetter"/>
      <w:lvlText w:val="%8."/>
      <w:lvlJc w:val="left"/>
      <w:pPr>
        <w:ind w:left="6644" w:hanging="360"/>
      </w:pPr>
    </w:lvl>
    <w:lvl w:ilvl="8" w:tplc="0409001B" w:tentative="1">
      <w:start w:val="1"/>
      <w:numFmt w:val="lowerRoman"/>
      <w:lvlText w:val="%9."/>
      <w:lvlJc w:val="right"/>
      <w:pPr>
        <w:ind w:left="7364" w:hanging="180"/>
      </w:pPr>
    </w:lvl>
  </w:abstractNum>
  <w:abstractNum w:abstractNumId="385">
    <w:nsid w:val="778A4388"/>
    <w:multiLevelType w:val="hybridMultilevel"/>
    <w:tmpl w:val="0DFCDC54"/>
    <w:lvl w:ilvl="0" w:tplc="E07804BC">
      <w:start w:val="23"/>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77AA168E"/>
    <w:multiLevelType w:val="hybridMultilevel"/>
    <w:tmpl w:val="0C740158"/>
    <w:lvl w:ilvl="0" w:tplc="3A7C2404">
      <w:start w:val="14"/>
      <w:numFmt w:val="lowerLetter"/>
      <w:lvlText w:val="%1."/>
      <w:lvlJc w:val="left"/>
      <w:pPr>
        <w:ind w:left="78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77DA3C3B"/>
    <w:multiLevelType w:val="hybridMultilevel"/>
    <w:tmpl w:val="E3D29070"/>
    <w:lvl w:ilvl="0" w:tplc="32E04816">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77DB6633"/>
    <w:multiLevelType w:val="hybridMultilevel"/>
    <w:tmpl w:val="530C4E0E"/>
    <w:lvl w:ilvl="0" w:tplc="9670C826">
      <w:start w:val="1"/>
      <w:numFmt w:val="lowerLetter"/>
      <w:lvlText w:val="%1."/>
      <w:lvlJc w:val="left"/>
      <w:pPr>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7829106E"/>
    <w:multiLevelType w:val="hybridMultilevel"/>
    <w:tmpl w:val="1EF27788"/>
    <w:lvl w:ilvl="0" w:tplc="6C5A531C">
      <w:start w:val="5"/>
      <w:numFmt w:val="low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788B32C9"/>
    <w:multiLevelType w:val="hybridMultilevel"/>
    <w:tmpl w:val="25CA2CD8"/>
    <w:lvl w:ilvl="0" w:tplc="199025C2">
      <w:start w:val="3"/>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1">
    <w:nsid w:val="788E2604"/>
    <w:multiLevelType w:val="multilevel"/>
    <w:tmpl w:val="85E2C32C"/>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2">
    <w:nsid w:val="789B3425"/>
    <w:multiLevelType w:val="hybridMultilevel"/>
    <w:tmpl w:val="EDD0E986"/>
    <w:lvl w:ilvl="0" w:tplc="BBA66784">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393">
    <w:nsid w:val="790629B9"/>
    <w:multiLevelType w:val="hybridMultilevel"/>
    <w:tmpl w:val="0330BDA8"/>
    <w:lvl w:ilvl="0" w:tplc="1C4002EA">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4">
    <w:nsid w:val="790A43DC"/>
    <w:multiLevelType w:val="hybridMultilevel"/>
    <w:tmpl w:val="1EF27788"/>
    <w:lvl w:ilvl="0" w:tplc="6C5A531C">
      <w:start w:val="5"/>
      <w:numFmt w:val="low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796E4955"/>
    <w:multiLevelType w:val="hybridMultilevel"/>
    <w:tmpl w:val="88328798"/>
    <w:lvl w:ilvl="0" w:tplc="0736165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6">
    <w:nsid w:val="797E3173"/>
    <w:multiLevelType w:val="hybridMultilevel"/>
    <w:tmpl w:val="7B26D5A2"/>
    <w:lvl w:ilvl="0" w:tplc="798EB1D0">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7">
    <w:nsid w:val="79C67B33"/>
    <w:multiLevelType w:val="hybridMultilevel"/>
    <w:tmpl w:val="0A165ABC"/>
    <w:lvl w:ilvl="0" w:tplc="1A1AC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7A9612FB"/>
    <w:multiLevelType w:val="hybridMultilevel"/>
    <w:tmpl w:val="C07CD3A6"/>
    <w:lvl w:ilvl="0" w:tplc="944836A6">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7ABD7B7C"/>
    <w:multiLevelType w:val="hybridMultilevel"/>
    <w:tmpl w:val="712040FE"/>
    <w:lvl w:ilvl="0" w:tplc="9DA66B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nsid w:val="7AF84D53"/>
    <w:multiLevelType w:val="multilevel"/>
    <w:tmpl w:val="E81C22A8"/>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01">
    <w:nsid w:val="7B437985"/>
    <w:multiLevelType w:val="hybridMultilevel"/>
    <w:tmpl w:val="5B84716C"/>
    <w:lvl w:ilvl="0" w:tplc="56B6E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nsid w:val="7B664A20"/>
    <w:multiLevelType w:val="hybridMultilevel"/>
    <w:tmpl w:val="C922A22E"/>
    <w:lvl w:ilvl="0" w:tplc="573E3CA6">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3">
    <w:nsid w:val="7C360897"/>
    <w:multiLevelType w:val="hybridMultilevel"/>
    <w:tmpl w:val="67D27234"/>
    <w:lvl w:ilvl="0" w:tplc="5DC0188C">
      <w:start w:val="17"/>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7C4D57D2"/>
    <w:multiLevelType w:val="hybridMultilevel"/>
    <w:tmpl w:val="D942736C"/>
    <w:lvl w:ilvl="0" w:tplc="4AF4DFC4">
      <w:start w:val="2"/>
      <w:numFmt w:val="lowerLetter"/>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7C4F3AD8"/>
    <w:multiLevelType w:val="hybridMultilevel"/>
    <w:tmpl w:val="03FAD13E"/>
    <w:lvl w:ilvl="0" w:tplc="DE944CFC">
      <w:start w:val="19"/>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nsid w:val="7C9E1777"/>
    <w:multiLevelType w:val="hybridMultilevel"/>
    <w:tmpl w:val="7682E9B6"/>
    <w:lvl w:ilvl="0" w:tplc="6888C1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7CD125E6"/>
    <w:multiLevelType w:val="hybridMultilevel"/>
    <w:tmpl w:val="3462F204"/>
    <w:lvl w:ilvl="0" w:tplc="AAF29D5A">
      <w:start w:val="11"/>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nsid w:val="7D24195E"/>
    <w:multiLevelType w:val="hybridMultilevel"/>
    <w:tmpl w:val="0E0C3FE8"/>
    <w:lvl w:ilvl="0" w:tplc="F64EA4A4">
      <w:start w:val="17"/>
      <w:numFmt w:val="decimal"/>
      <w:lvlText w:val="%1."/>
      <w:lvlJc w:val="left"/>
      <w:pPr>
        <w:ind w:left="2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nsid w:val="7D5505FB"/>
    <w:multiLevelType w:val="hybridMultilevel"/>
    <w:tmpl w:val="6DF26318"/>
    <w:lvl w:ilvl="0" w:tplc="56B6E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nsid w:val="7DC01462"/>
    <w:multiLevelType w:val="hybridMultilevel"/>
    <w:tmpl w:val="6FBE4B6A"/>
    <w:lvl w:ilvl="0" w:tplc="DC6A8C2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7DF44709"/>
    <w:multiLevelType w:val="hybridMultilevel"/>
    <w:tmpl w:val="0F6015E0"/>
    <w:lvl w:ilvl="0" w:tplc="2C1207E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7E281013"/>
    <w:multiLevelType w:val="hybridMultilevel"/>
    <w:tmpl w:val="BEE4D9AA"/>
    <w:lvl w:ilvl="0" w:tplc="DA0CA720">
      <w:start w:val="11"/>
      <w:numFmt w:val="lowerLetter"/>
      <w:lvlText w:val="%1."/>
      <w:lvlJc w:val="left"/>
      <w:pPr>
        <w:ind w:left="360" w:hanging="360"/>
      </w:pPr>
      <w:rPr>
        <w:rFonts w:hint="default"/>
      </w:rPr>
    </w:lvl>
    <w:lvl w:ilvl="1" w:tplc="04090019" w:tentative="1">
      <w:start w:val="1"/>
      <w:numFmt w:val="lowerLetter"/>
      <w:lvlText w:val="%2."/>
      <w:lvlJc w:val="left"/>
      <w:pPr>
        <w:ind w:left="-207" w:hanging="360"/>
      </w:pPr>
    </w:lvl>
    <w:lvl w:ilvl="2" w:tplc="0409001B" w:tentative="1">
      <w:start w:val="1"/>
      <w:numFmt w:val="lowerRoman"/>
      <w:lvlText w:val="%3."/>
      <w:lvlJc w:val="right"/>
      <w:pPr>
        <w:ind w:left="513" w:hanging="180"/>
      </w:pPr>
    </w:lvl>
    <w:lvl w:ilvl="3" w:tplc="0409000F" w:tentative="1">
      <w:start w:val="1"/>
      <w:numFmt w:val="decimal"/>
      <w:lvlText w:val="%4."/>
      <w:lvlJc w:val="left"/>
      <w:pPr>
        <w:ind w:left="1233" w:hanging="360"/>
      </w:pPr>
    </w:lvl>
    <w:lvl w:ilvl="4" w:tplc="04090019" w:tentative="1">
      <w:start w:val="1"/>
      <w:numFmt w:val="lowerLetter"/>
      <w:lvlText w:val="%5."/>
      <w:lvlJc w:val="left"/>
      <w:pPr>
        <w:ind w:left="1953" w:hanging="360"/>
      </w:pPr>
    </w:lvl>
    <w:lvl w:ilvl="5" w:tplc="0409001B" w:tentative="1">
      <w:start w:val="1"/>
      <w:numFmt w:val="lowerRoman"/>
      <w:lvlText w:val="%6."/>
      <w:lvlJc w:val="right"/>
      <w:pPr>
        <w:ind w:left="2673" w:hanging="180"/>
      </w:pPr>
    </w:lvl>
    <w:lvl w:ilvl="6" w:tplc="0409000F" w:tentative="1">
      <w:start w:val="1"/>
      <w:numFmt w:val="decimal"/>
      <w:lvlText w:val="%7."/>
      <w:lvlJc w:val="left"/>
      <w:pPr>
        <w:ind w:left="3393" w:hanging="360"/>
      </w:pPr>
    </w:lvl>
    <w:lvl w:ilvl="7" w:tplc="04090019" w:tentative="1">
      <w:start w:val="1"/>
      <w:numFmt w:val="lowerLetter"/>
      <w:lvlText w:val="%8."/>
      <w:lvlJc w:val="left"/>
      <w:pPr>
        <w:ind w:left="4113" w:hanging="360"/>
      </w:pPr>
    </w:lvl>
    <w:lvl w:ilvl="8" w:tplc="0409001B" w:tentative="1">
      <w:start w:val="1"/>
      <w:numFmt w:val="lowerRoman"/>
      <w:lvlText w:val="%9."/>
      <w:lvlJc w:val="right"/>
      <w:pPr>
        <w:ind w:left="4833" w:hanging="180"/>
      </w:pPr>
    </w:lvl>
  </w:abstractNum>
  <w:abstractNum w:abstractNumId="413">
    <w:nsid w:val="7E4D29FF"/>
    <w:multiLevelType w:val="hybridMultilevel"/>
    <w:tmpl w:val="C1BE1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7F48354A"/>
    <w:multiLevelType w:val="hybridMultilevel"/>
    <w:tmpl w:val="7682E9B6"/>
    <w:lvl w:ilvl="0" w:tplc="6888C1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7F7F07D5"/>
    <w:multiLevelType w:val="hybridMultilevel"/>
    <w:tmpl w:val="81924BAC"/>
    <w:lvl w:ilvl="0" w:tplc="6FC688D6">
      <w:start w:val="5"/>
      <w:numFmt w:val="lowerLetter"/>
      <w:lvlText w:val="%1."/>
      <w:lvlJc w:val="left"/>
      <w:pPr>
        <w:ind w:left="1146"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7F7F738A"/>
    <w:multiLevelType w:val="hybridMultilevel"/>
    <w:tmpl w:val="636E0B2E"/>
    <w:lvl w:ilvl="0" w:tplc="54A491E6">
      <w:start w:val="19"/>
      <w:numFmt w:val="lowerLetter"/>
      <w:lvlText w:val="%1."/>
      <w:lvlJc w:val="left"/>
      <w:pPr>
        <w:ind w:left="2007"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1"/>
  </w:num>
  <w:num w:numId="2">
    <w:abstractNumId w:val="104"/>
  </w:num>
  <w:num w:numId="3">
    <w:abstractNumId w:val="25"/>
  </w:num>
  <w:num w:numId="4">
    <w:abstractNumId w:val="207"/>
  </w:num>
  <w:num w:numId="5">
    <w:abstractNumId w:val="190"/>
  </w:num>
  <w:num w:numId="6">
    <w:abstractNumId w:val="337"/>
  </w:num>
  <w:num w:numId="7">
    <w:abstractNumId w:val="353"/>
  </w:num>
  <w:num w:numId="8">
    <w:abstractNumId w:val="70"/>
  </w:num>
  <w:num w:numId="9">
    <w:abstractNumId w:val="370"/>
  </w:num>
  <w:num w:numId="10">
    <w:abstractNumId w:val="99"/>
  </w:num>
  <w:num w:numId="11">
    <w:abstractNumId w:val="236"/>
  </w:num>
  <w:num w:numId="12">
    <w:abstractNumId w:val="378"/>
  </w:num>
  <w:num w:numId="13">
    <w:abstractNumId w:val="109"/>
  </w:num>
  <w:num w:numId="14">
    <w:abstractNumId w:val="184"/>
  </w:num>
  <w:num w:numId="15">
    <w:abstractNumId w:val="56"/>
  </w:num>
  <w:num w:numId="16">
    <w:abstractNumId w:val="237"/>
  </w:num>
  <w:num w:numId="17">
    <w:abstractNumId w:val="167"/>
  </w:num>
  <w:num w:numId="18">
    <w:abstractNumId w:val="358"/>
  </w:num>
  <w:num w:numId="19">
    <w:abstractNumId w:val="301"/>
  </w:num>
  <w:num w:numId="20">
    <w:abstractNumId w:val="127"/>
  </w:num>
  <w:num w:numId="21">
    <w:abstractNumId w:val="177"/>
  </w:num>
  <w:num w:numId="22">
    <w:abstractNumId w:val="7"/>
  </w:num>
  <w:num w:numId="23">
    <w:abstractNumId w:val="331"/>
  </w:num>
  <w:num w:numId="24">
    <w:abstractNumId w:val="103"/>
  </w:num>
  <w:num w:numId="25">
    <w:abstractNumId w:val="239"/>
  </w:num>
  <w:num w:numId="26">
    <w:abstractNumId w:val="364"/>
  </w:num>
  <w:num w:numId="27">
    <w:abstractNumId w:val="227"/>
  </w:num>
  <w:num w:numId="28">
    <w:abstractNumId w:val="223"/>
  </w:num>
  <w:num w:numId="29">
    <w:abstractNumId w:val="49"/>
  </w:num>
  <w:num w:numId="30">
    <w:abstractNumId w:val="132"/>
  </w:num>
  <w:num w:numId="31">
    <w:abstractNumId w:val="174"/>
  </w:num>
  <w:num w:numId="32">
    <w:abstractNumId w:val="169"/>
  </w:num>
  <w:num w:numId="33">
    <w:abstractNumId w:val="155"/>
  </w:num>
  <w:num w:numId="34">
    <w:abstractNumId w:val="216"/>
  </w:num>
  <w:num w:numId="35">
    <w:abstractNumId w:val="214"/>
  </w:num>
  <w:num w:numId="36">
    <w:abstractNumId w:val="388"/>
  </w:num>
  <w:num w:numId="37">
    <w:abstractNumId w:val="24"/>
  </w:num>
  <w:num w:numId="38">
    <w:abstractNumId w:val="383"/>
  </w:num>
  <w:num w:numId="39">
    <w:abstractNumId w:val="133"/>
  </w:num>
  <w:num w:numId="40">
    <w:abstractNumId w:val="277"/>
  </w:num>
  <w:num w:numId="41">
    <w:abstractNumId w:val="210"/>
  </w:num>
  <w:num w:numId="42">
    <w:abstractNumId w:val="348"/>
  </w:num>
  <w:num w:numId="43">
    <w:abstractNumId w:val="367"/>
  </w:num>
  <w:num w:numId="44">
    <w:abstractNumId w:val="29"/>
  </w:num>
  <w:num w:numId="45">
    <w:abstractNumId w:val="137"/>
  </w:num>
  <w:num w:numId="46">
    <w:abstractNumId w:val="194"/>
  </w:num>
  <w:num w:numId="47">
    <w:abstractNumId w:val="42"/>
  </w:num>
  <w:num w:numId="48">
    <w:abstractNumId w:val="321"/>
  </w:num>
  <w:num w:numId="49">
    <w:abstractNumId w:val="113"/>
  </w:num>
  <w:num w:numId="50">
    <w:abstractNumId w:val="108"/>
  </w:num>
  <w:num w:numId="51">
    <w:abstractNumId w:val="220"/>
  </w:num>
  <w:num w:numId="52">
    <w:abstractNumId w:val="329"/>
  </w:num>
  <w:num w:numId="53">
    <w:abstractNumId w:val="374"/>
  </w:num>
  <w:num w:numId="54">
    <w:abstractNumId w:val="263"/>
  </w:num>
  <w:num w:numId="55">
    <w:abstractNumId w:val="261"/>
  </w:num>
  <w:num w:numId="56">
    <w:abstractNumId w:val="225"/>
  </w:num>
  <w:num w:numId="57">
    <w:abstractNumId w:val="398"/>
  </w:num>
  <w:num w:numId="58">
    <w:abstractNumId w:val="47"/>
  </w:num>
  <w:num w:numId="59">
    <w:abstractNumId w:val="248"/>
  </w:num>
  <w:num w:numId="60">
    <w:abstractNumId w:val="52"/>
  </w:num>
  <w:num w:numId="61">
    <w:abstractNumId w:val="368"/>
  </w:num>
  <w:num w:numId="62">
    <w:abstractNumId w:val="365"/>
  </w:num>
  <w:num w:numId="63">
    <w:abstractNumId w:val="381"/>
  </w:num>
  <w:num w:numId="64">
    <w:abstractNumId w:val="211"/>
  </w:num>
  <w:num w:numId="65">
    <w:abstractNumId w:val="215"/>
  </w:num>
  <w:num w:numId="66">
    <w:abstractNumId w:val="100"/>
  </w:num>
  <w:num w:numId="67">
    <w:abstractNumId w:val="280"/>
  </w:num>
  <w:num w:numId="68">
    <w:abstractNumId w:val="357"/>
  </w:num>
  <w:num w:numId="69">
    <w:abstractNumId w:val="205"/>
  </w:num>
  <w:num w:numId="70">
    <w:abstractNumId w:val="229"/>
  </w:num>
  <w:num w:numId="71">
    <w:abstractNumId w:val="128"/>
  </w:num>
  <w:num w:numId="72">
    <w:abstractNumId w:val="375"/>
  </w:num>
  <w:num w:numId="73">
    <w:abstractNumId w:val="302"/>
  </w:num>
  <w:num w:numId="74">
    <w:abstractNumId w:val="392"/>
  </w:num>
  <w:num w:numId="75">
    <w:abstractNumId w:val="58"/>
  </w:num>
  <w:num w:numId="76">
    <w:abstractNumId w:val="252"/>
  </w:num>
  <w:num w:numId="77">
    <w:abstractNumId w:val="218"/>
  </w:num>
  <w:num w:numId="78">
    <w:abstractNumId w:val="55"/>
  </w:num>
  <w:num w:numId="79">
    <w:abstractNumId w:val="129"/>
  </w:num>
  <w:num w:numId="80">
    <w:abstractNumId w:val="46"/>
  </w:num>
  <w:num w:numId="81">
    <w:abstractNumId w:val="198"/>
  </w:num>
  <w:num w:numId="82">
    <w:abstractNumId w:val="270"/>
  </w:num>
  <w:num w:numId="83">
    <w:abstractNumId w:val="120"/>
  </w:num>
  <w:num w:numId="84">
    <w:abstractNumId w:val="189"/>
  </w:num>
  <w:num w:numId="85">
    <w:abstractNumId w:val="271"/>
  </w:num>
  <w:num w:numId="86">
    <w:abstractNumId w:val="153"/>
  </w:num>
  <w:num w:numId="87">
    <w:abstractNumId w:val="96"/>
  </w:num>
  <w:num w:numId="88">
    <w:abstractNumId w:val="145"/>
  </w:num>
  <w:num w:numId="89">
    <w:abstractNumId w:val="21"/>
  </w:num>
  <w:num w:numId="90">
    <w:abstractNumId w:val="346"/>
  </w:num>
  <w:num w:numId="91">
    <w:abstractNumId w:val="154"/>
  </w:num>
  <w:num w:numId="92">
    <w:abstractNumId w:val="80"/>
  </w:num>
  <w:num w:numId="93">
    <w:abstractNumId w:val="272"/>
  </w:num>
  <w:num w:numId="94">
    <w:abstractNumId w:val="10"/>
  </w:num>
  <w:num w:numId="95">
    <w:abstractNumId w:val="32"/>
  </w:num>
  <w:num w:numId="96">
    <w:abstractNumId w:val="209"/>
  </w:num>
  <w:num w:numId="97">
    <w:abstractNumId w:val="87"/>
  </w:num>
  <w:num w:numId="98">
    <w:abstractNumId w:val="219"/>
  </w:num>
  <w:num w:numId="99">
    <w:abstractNumId w:val="330"/>
  </w:num>
  <w:num w:numId="100">
    <w:abstractNumId w:val="279"/>
  </w:num>
  <w:num w:numId="101">
    <w:abstractNumId w:val="126"/>
  </w:num>
  <w:num w:numId="102">
    <w:abstractNumId w:val="51"/>
  </w:num>
  <w:num w:numId="103">
    <w:abstractNumId w:val="111"/>
  </w:num>
  <w:num w:numId="104">
    <w:abstractNumId w:val="50"/>
  </w:num>
  <w:num w:numId="105">
    <w:abstractNumId w:val="386"/>
  </w:num>
  <w:num w:numId="106">
    <w:abstractNumId w:val="376"/>
  </w:num>
  <w:num w:numId="107">
    <w:abstractNumId w:val="224"/>
  </w:num>
  <w:num w:numId="108">
    <w:abstractNumId w:val="130"/>
  </w:num>
  <w:num w:numId="109">
    <w:abstractNumId w:val="8"/>
  </w:num>
  <w:num w:numId="110">
    <w:abstractNumId w:val="37"/>
  </w:num>
  <w:num w:numId="111">
    <w:abstractNumId w:val="363"/>
  </w:num>
  <w:num w:numId="112">
    <w:abstractNumId w:val="74"/>
  </w:num>
  <w:num w:numId="113">
    <w:abstractNumId w:val="164"/>
  </w:num>
  <w:num w:numId="114">
    <w:abstractNumId w:val="278"/>
  </w:num>
  <w:num w:numId="115">
    <w:abstractNumId w:val="326"/>
  </w:num>
  <w:num w:numId="116">
    <w:abstractNumId w:val="399"/>
  </w:num>
  <w:num w:numId="117">
    <w:abstractNumId w:val="125"/>
  </w:num>
  <w:num w:numId="118">
    <w:abstractNumId w:val="159"/>
  </w:num>
  <w:num w:numId="119">
    <w:abstractNumId w:val="86"/>
  </w:num>
  <w:num w:numId="120">
    <w:abstractNumId w:val="281"/>
  </w:num>
  <w:num w:numId="121">
    <w:abstractNumId w:val="409"/>
  </w:num>
  <w:num w:numId="122">
    <w:abstractNumId w:val="274"/>
  </w:num>
  <w:num w:numId="123">
    <w:abstractNumId w:val="60"/>
  </w:num>
  <w:num w:numId="124">
    <w:abstractNumId w:val="39"/>
  </w:num>
  <w:num w:numId="125">
    <w:abstractNumId w:val="354"/>
  </w:num>
  <w:num w:numId="126">
    <w:abstractNumId w:val="323"/>
  </w:num>
  <w:num w:numId="127">
    <w:abstractNumId w:val="221"/>
  </w:num>
  <w:num w:numId="128">
    <w:abstractNumId w:val="266"/>
  </w:num>
  <w:num w:numId="129">
    <w:abstractNumId w:val="264"/>
  </w:num>
  <w:num w:numId="130">
    <w:abstractNumId w:val="101"/>
  </w:num>
  <w:num w:numId="131">
    <w:abstractNumId w:val="235"/>
  </w:num>
  <w:num w:numId="132">
    <w:abstractNumId w:val="124"/>
  </w:num>
  <w:num w:numId="133">
    <w:abstractNumId w:val="26"/>
  </w:num>
  <w:num w:numId="134">
    <w:abstractNumId w:val="245"/>
  </w:num>
  <w:num w:numId="135">
    <w:abstractNumId w:val="192"/>
  </w:num>
  <w:num w:numId="136">
    <w:abstractNumId w:val="22"/>
  </w:num>
  <w:num w:numId="137">
    <w:abstractNumId w:val="366"/>
  </w:num>
  <w:num w:numId="138">
    <w:abstractNumId w:val="63"/>
  </w:num>
  <w:num w:numId="139">
    <w:abstractNumId w:val="135"/>
  </w:num>
  <w:num w:numId="140">
    <w:abstractNumId w:val="11"/>
  </w:num>
  <w:num w:numId="141">
    <w:abstractNumId w:val="275"/>
  </w:num>
  <w:num w:numId="142">
    <w:abstractNumId w:val="242"/>
  </w:num>
  <w:num w:numId="143">
    <w:abstractNumId w:val="234"/>
  </w:num>
  <w:num w:numId="144">
    <w:abstractNumId w:val="107"/>
  </w:num>
  <w:num w:numId="145">
    <w:abstractNumId w:val="414"/>
  </w:num>
  <w:num w:numId="146">
    <w:abstractNumId w:val="75"/>
  </w:num>
  <w:num w:numId="147">
    <w:abstractNumId w:val="410"/>
  </w:num>
  <w:num w:numId="148">
    <w:abstractNumId w:val="175"/>
  </w:num>
  <w:num w:numId="149">
    <w:abstractNumId w:val="401"/>
  </w:num>
  <w:num w:numId="150">
    <w:abstractNumId w:val="267"/>
  </w:num>
  <w:num w:numId="151">
    <w:abstractNumId w:val="288"/>
  </w:num>
  <w:num w:numId="152">
    <w:abstractNumId w:val="81"/>
  </w:num>
  <w:num w:numId="153">
    <w:abstractNumId w:val="134"/>
  </w:num>
  <w:num w:numId="154">
    <w:abstractNumId w:val="342"/>
  </w:num>
  <w:num w:numId="155">
    <w:abstractNumId w:val="36"/>
  </w:num>
  <w:num w:numId="156">
    <w:abstractNumId w:val="122"/>
  </w:num>
  <w:num w:numId="157">
    <w:abstractNumId w:val="17"/>
  </w:num>
  <w:num w:numId="158">
    <w:abstractNumId w:val="85"/>
  </w:num>
  <w:num w:numId="159">
    <w:abstractNumId w:val="77"/>
  </w:num>
  <w:num w:numId="160">
    <w:abstractNumId w:val="265"/>
  </w:num>
  <w:num w:numId="161">
    <w:abstractNumId w:val="97"/>
  </w:num>
  <w:num w:numId="162">
    <w:abstractNumId w:val="247"/>
  </w:num>
  <w:num w:numId="163">
    <w:abstractNumId w:val="298"/>
  </w:num>
  <w:num w:numId="164">
    <w:abstractNumId w:val="320"/>
  </w:num>
  <w:num w:numId="165">
    <w:abstractNumId w:val="406"/>
  </w:num>
  <w:num w:numId="166">
    <w:abstractNumId w:val="193"/>
  </w:num>
  <w:num w:numId="167">
    <w:abstractNumId w:val="372"/>
  </w:num>
  <w:num w:numId="168">
    <w:abstractNumId w:val="202"/>
  </w:num>
  <w:num w:numId="169">
    <w:abstractNumId w:val="91"/>
  </w:num>
  <w:num w:numId="170">
    <w:abstractNumId w:val="318"/>
  </w:num>
  <w:num w:numId="171">
    <w:abstractNumId w:val="28"/>
  </w:num>
  <w:num w:numId="172">
    <w:abstractNumId w:val="102"/>
  </w:num>
  <w:num w:numId="173">
    <w:abstractNumId w:val="241"/>
  </w:num>
  <w:num w:numId="174">
    <w:abstractNumId w:val="188"/>
  </w:num>
  <w:num w:numId="175">
    <w:abstractNumId w:val="142"/>
  </w:num>
  <w:num w:numId="176">
    <w:abstractNumId w:val="339"/>
  </w:num>
  <w:num w:numId="177">
    <w:abstractNumId w:val="62"/>
  </w:num>
  <w:num w:numId="178">
    <w:abstractNumId w:val="41"/>
  </w:num>
  <w:num w:numId="179">
    <w:abstractNumId w:val="268"/>
  </w:num>
  <w:num w:numId="180">
    <w:abstractNumId w:val="172"/>
  </w:num>
  <w:num w:numId="181">
    <w:abstractNumId w:val="88"/>
  </w:num>
  <w:num w:numId="182">
    <w:abstractNumId w:val="351"/>
  </w:num>
  <w:num w:numId="183">
    <w:abstractNumId w:val="213"/>
  </w:num>
  <w:num w:numId="184">
    <w:abstractNumId w:val="57"/>
  </w:num>
  <w:num w:numId="185">
    <w:abstractNumId w:val="200"/>
  </w:num>
  <w:num w:numId="186">
    <w:abstractNumId w:val="308"/>
  </w:num>
  <w:num w:numId="187">
    <w:abstractNumId w:val="297"/>
  </w:num>
  <w:num w:numId="188">
    <w:abstractNumId w:val="371"/>
  </w:num>
  <w:num w:numId="189">
    <w:abstractNumId w:val="257"/>
  </w:num>
  <w:num w:numId="190">
    <w:abstractNumId w:val="186"/>
  </w:num>
  <w:num w:numId="191">
    <w:abstractNumId w:val="341"/>
  </w:num>
  <w:num w:numId="192">
    <w:abstractNumId w:val="161"/>
  </w:num>
  <w:num w:numId="193">
    <w:abstractNumId w:val="157"/>
  </w:num>
  <w:num w:numId="194">
    <w:abstractNumId w:val="1"/>
  </w:num>
  <w:num w:numId="195">
    <w:abstractNumId w:val="179"/>
  </w:num>
  <w:num w:numId="196">
    <w:abstractNumId w:val="68"/>
  </w:num>
  <w:num w:numId="197">
    <w:abstractNumId w:val="390"/>
  </w:num>
  <w:num w:numId="198">
    <w:abstractNumId w:val="416"/>
  </w:num>
  <w:num w:numId="199">
    <w:abstractNumId w:val="405"/>
  </w:num>
  <w:num w:numId="200">
    <w:abstractNumId w:val="344"/>
  </w:num>
  <w:num w:numId="201">
    <w:abstractNumId w:val="71"/>
  </w:num>
  <w:num w:numId="202">
    <w:abstractNumId w:val="411"/>
  </w:num>
  <w:num w:numId="203">
    <w:abstractNumId w:val="250"/>
  </w:num>
  <w:num w:numId="204">
    <w:abstractNumId w:val="355"/>
  </w:num>
  <w:num w:numId="205">
    <w:abstractNumId w:val="284"/>
  </w:num>
  <w:num w:numId="206">
    <w:abstractNumId w:val="78"/>
  </w:num>
  <w:num w:numId="207">
    <w:abstractNumId w:val="400"/>
  </w:num>
  <w:num w:numId="208">
    <w:abstractNumId w:val="185"/>
  </w:num>
  <w:num w:numId="209">
    <w:abstractNumId w:val="273"/>
  </w:num>
  <w:num w:numId="210">
    <w:abstractNumId w:val="387"/>
  </w:num>
  <w:num w:numId="211">
    <w:abstractNumId w:val="59"/>
  </w:num>
  <w:num w:numId="212">
    <w:abstractNumId w:val="138"/>
  </w:num>
  <w:num w:numId="213">
    <w:abstractNumId w:val="13"/>
  </w:num>
  <w:num w:numId="214">
    <w:abstractNumId w:val="4"/>
  </w:num>
  <w:num w:numId="215">
    <w:abstractNumId w:val="90"/>
  </w:num>
  <w:num w:numId="216">
    <w:abstractNumId w:val="33"/>
  </w:num>
  <w:num w:numId="217">
    <w:abstractNumId w:val="397"/>
  </w:num>
  <w:num w:numId="218">
    <w:abstractNumId w:val="253"/>
  </w:num>
  <w:num w:numId="219">
    <w:abstractNumId w:val="203"/>
  </w:num>
  <w:num w:numId="220">
    <w:abstractNumId w:val="116"/>
  </w:num>
  <w:num w:numId="221">
    <w:abstractNumId w:val="290"/>
  </w:num>
  <w:num w:numId="222">
    <w:abstractNumId w:val="306"/>
  </w:num>
  <w:num w:numId="223">
    <w:abstractNumId w:val="147"/>
  </w:num>
  <w:num w:numId="224">
    <w:abstractNumId w:val="300"/>
  </w:num>
  <w:num w:numId="225">
    <w:abstractNumId w:val="48"/>
  </w:num>
  <w:num w:numId="226">
    <w:abstractNumId w:val="324"/>
  </w:num>
  <w:num w:numId="227">
    <w:abstractNumId w:val="382"/>
  </w:num>
  <w:num w:numId="228">
    <w:abstractNumId w:val="307"/>
  </w:num>
  <w:num w:numId="229">
    <w:abstractNumId w:val="95"/>
  </w:num>
  <w:num w:numId="230">
    <w:abstractNumId w:val="181"/>
  </w:num>
  <w:num w:numId="231">
    <w:abstractNumId w:val="255"/>
  </w:num>
  <w:num w:numId="232">
    <w:abstractNumId w:val="232"/>
  </w:num>
  <w:num w:numId="233">
    <w:abstractNumId w:val="149"/>
  </w:num>
  <w:num w:numId="234">
    <w:abstractNumId w:val="19"/>
  </w:num>
  <w:num w:numId="235">
    <w:abstractNumId w:val="65"/>
  </w:num>
  <w:num w:numId="236">
    <w:abstractNumId w:val="391"/>
  </w:num>
  <w:num w:numId="237">
    <w:abstractNumId w:val="156"/>
  </w:num>
  <w:num w:numId="238">
    <w:abstractNumId w:val="309"/>
  </w:num>
  <w:num w:numId="239">
    <w:abstractNumId w:val="166"/>
  </w:num>
  <w:num w:numId="240">
    <w:abstractNumId w:val="43"/>
  </w:num>
  <w:num w:numId="241">
    <w:abstractNumId w:val="313"/>
  </w:num>
  <w:num w:numId="242">
    <w:abstractNumId w:val="206"/>
  </w:num>
  <w:num w:numId="243">
    <w:abstractNumId w:val="144"/>
  </w:num>
  <w:num w:numId="244">
    <w:abstractNumId w:val="143"/>
  </w:num>
  <w:num w:numId="245">
    <w:abstractNumId w:val="187"/>
  </w:num>
  <w:num w:numId="246">
    <w:abstractNumId w:val="38"/>
  </w:num>
  <w:num w:numId="247">
    <w:abstractNumId w:val="123"/>
  </w:num>
  <w:num w:numId="248">
    <w:abstractNumId w:val="294"/>
  </w:num>
  <w:num w:numId="249">
    <w:abstractNumId w:val="384"/>
  </w:num>
  <w:num w:numId="250">
    <w:abstractNumId w:val="377"/>
  </w:num>
  <w:num w:numId="251">
    <w:abstractNumId w:val="64"/>
  </w:num>
  <w:num w:numId="252">
    <w:abstractNumId w:val="217"/>
  </w:num>
  <w:num w:numId="253">
    <w:abstractNumId w:val="208"/>
  </w:num>
  <w:num w:numId="254">
    <w:abstractNumId w:val="160"/>
  </w:num>
  <w:num w:numId="255">
    <w:abstractNumId w:val="240"/>
  </w:num>
  <w:num w:numId="256">
    <w:abstractNumId w:val="92"/>
  </w:num>
  <w:num w:numId="257">
    <w:abstractNumId w:val="84"/>
  </w:num>
  <w:num w:numId="258">
    <w:abstractNumId w:val="413"/>
  </w:num>
  <w:num w:numId="259">
    <w:abstractNumId w:val="293"/>
  </w:num>
  <w:num w:numId="260">
    <w:abstractNumId w:val="34"/>
  </w:num>
  <w:num w:numId="261">
    <w:abstractNumId w:val="360"/>
  </w:num>
  <w:num w:numId="262">
    <w:abstractNumId w:val="197"/>
  </w:num>
  <w:num w:numId="263">
    <w:abstractNumId w:val="328"/>
  </w:num>
  <w:num w:numId="264">
    <w:abstractNumId w:val="349"/>
  </w:num>
  <w:num w:numId="265">
    <w:abstractNumId w:val="404"/>
  </w:num>
  <w:num w:numId="266">
    <w:abstractNumId w:val="314"/>
  </w:num>
  <w:num w:numId="267">
    <w:abstractNumId w:val="15"/>
  </w:num>
  <w:num w:numId="268">
    <w:abstractNumId w:val="168"/>
  </w:num>
  <w:num w:numId="269">
    <w:abstractNumId w:val="362"/>
  </w:num>
  <w:num w:numId="270">
    <w:abstractNumId w:val="79"/>
  </w:num>
  <w:num w:numId="271">
    <w:abstractNumId w:val="6"/>
  </w:num>
  <w:num w:numId="272">
    <w:abstractNumId w:val="292"/>
  </w:num>
  <w:num w:numId="273">
    <w:abstractNumId w:val="335"/>
  </w:num>
  <w:num w:numId="274">
    <w:abstractNumId w:val="54"/>
  </w:num>
  <w:num w:numId="275">
    <w:abstractNumId w:val="238"/>
  </w:num>
  <w:num w:numId="276">
    <w:abstractNumId w:val="260"/>
  </w:num>
  <w:num w:numId="277">
    <w:abstractNumId w:val="73"/>
  </w:num>
  <w:num w:numId="278">
    <w:abstractNumId w:val="347"/>
  </w:num>
  <w:num w:numId="279">
    <w:abstractNumId w:val="69"/>
  </w:num>
  <w:num w:numId="280">
    <w:abstractNumId w:val="106"/>
  </w:num>
  <w:num w:numId="281">
    <w:abstractNumId w:val="327"/>
  </w:num>
  <w:num w:numId="282">
    <w:abstractNumId w:val="170"/>
  </w:num>
  <w:num w:numId="283">
    <w:abstractNumId w:val="246"/>
  </w:num>
  <w:num w:numId="284">
    <w:abstractNumId w:val="244"/>
  </w:num>
  <w:num w:numId="285">
    <w:abstractNumId w:val="396"/>
  </w:num>
  <w:num w:numId="286">
    <w:abstractNumId w:val="325"/>
  </w:num>
  <w:num w:numId="287">
    <w:abstractNumId w:val="317"/>
  </w:num>
  <w:num w:numId="288">
    <w:abstractNumId w:val="262"/>
  </w:num>
  <w:num w:numId="289">
    <w:abstractNumId w:val="94"/>
  </w:num>
  <w:num w:numId="290">
    <w:abstractNumId w:val="402"/>
  </w:num>
  <w:num w:numId="291">
    <w:abstractNumId w:val="117"/>
  </w:num>
  <w:num w:numId="292">
    <w:abstractNumId w:val="228"/>
  </w:num>
  <w:num w:numId="293">
    <w:abstractNumId w:val="114"/>
  </w:num>
  <w:num w:numId="294">
    <w:abstractNumId w:val="231"/>
  </w:num>
  <w:num w:numId="295">
    <w:abstractNumId w:val="23"/>
  </w:num>
  <w:num w:numId="296">
    <w:abstractNumId w:val="173"/>
  </w:num>
  <w:num w:numId="297">
    <w:abstractNumId w:val="199"/>
  </w:num>
  <w:num w:numId="298">
    <w:abstractNumId w:val="269"/>
  </w:num>
  <w:num w:numId="299">
    <w:abstractNumId w:val="136"/>
  </w:num>
  <w:num w:numId="300">
    <w:abstractNumId w:val="407"/>
  </w:num>
  <w:num w:numId="301">
    <w:abstractNumId w:val="345"/>
  </w:num>
  <w:num w:numId="302">
    <w:abstractNumId w:val="171"/>
  </w:num>
  <w:num w:numId="303">
    <w:abstractNumId w:val="35"/>
  </w:num>
  <w:num w:numId="304">
    <w:abstractNumId w:val="165"/>
  </w:num>
  <w:num w:numId="305">
    <w:abstractNumId w:val="283"/>
  </w:num>
  <w:num w:numId="306">
    <w:abstractNumId w:val="403"/>
  </w:num>
  <w:num w:numId="307">
    <w:abstractNumId w:val="285"/>
  </w:num>
  <w:num w:numId="308">
    <w:abstractNumId w:val="176"/>
  </w:num>
  <w:num w:numId="309">
    <w:abstractNumId w:val="380"/>
  </w:num>
  <w:num w:numId="310">
    <w:abstractNumId w:val="44"/>
  </w:num>
  <w:num w:numId="311">
    <w:abstractNumId w:val="340"/>
  </w:num>
  <w:num w:numId="312">
    <w:abstractNumId w:val="195"/>
  </w:num>
  <w:num w:numId="313">
    <w:abstractNumId w:val="3"/>
  </w:num>
  <w:num w:numId="314">
    <w:abstractNumId w:val="361"/>
  </w:num>
  <w:num w:numId="315">
    <w:abstractNumId w:val="31"/>
  </w:num>
  <w:num w:numId="316">
    <w:abstractNumId w:val="249"/>
  </w:num>
  <w:num w:numId="317">
    <w:abstractNumId w:val="373"/>
  </w:num>
  <w:num w:numId="318">
    <w:abstractNumId w:val="352"/>
  </w:num>
  <w:num w:numId="319">
    <w:abstractNumId w:val="67"/>
  </w:num>
  <w:num w:numId="320">
    <w:abstractNumId w:val="276"/>
  </w:num>
  <w:num w:numId="321">
    <w:abstractNumId w:val="158"/>
  </w:num>
  <w:num w:numId="322">
    <w:abstractNumId w:val="254"/>
  </w:num>
  <w:num w:numId="323">
    <w:abstractNumId w:val="332"/>
  </w:num>
  <w:num w:numId="324">
    <w:abstractNumId w:val="343"/>
  </w:num>
  <w:num w:numId="325">
    <w:abstractNumId w:val="5"/>
  </w:num>
  <w:num w:numId="326">
    <w:abstractNumId w:val="112"/>
  </w:num>
  <w:num w:numId="327">
    <w:abstractNumId w:val="251"/>
  </w:num>
  <w:num w:numId="328">
    <w:abstractNumId w:val="415"/>
  </w:num>
  <w:num w:numId="329">
    <w:abstractNumId w:val="40"/>
  </w:num>
  <w:num w:numId="330">
    <w:abstractNumId w:val="98"/>
  </w:num>
  <w:num w:numId="331">
    <w:abstractNumId w:val="408"/>
  </w:num>
  <w:num w:numId="332">
    <w:abstractNumId w:val="316"/>
  </w:num>
  <w:num w:numId="333">
    <w:abstractNumId w:val="336"/>
  </w:num>
  <w:num w:numId="334">
    <w:abstractNumId w:val="140"/>
  </w:num>
  <w:num w:numId="335">
    <w:abstractNumId w:val="319"/>
  </w:num>
  <w:num w:numId="336">
    <w:abstractNumId w:val="312"/>
  </w:num>
  <w:num w:numId="337">
    <w:abstractNumId w:val="110"/>
  </w:num>
  <w:num w:numId="338">
    <w:abstractNumId w:val="333"/>
  </w:num>
  <w:num w:numId="339">
    <w:abstractNumId w:val="299"/>
  </w:num>
  <w:num w:numId="340">
    <w:abstractNumId w:val="304"/>
  </w:num>
  <w:num w:numId="341">
    <w:abstractNumId w:val="2"/>
  </w:num>
  <w:num w:numId="342">
    <w:abstractNumId w:val="12"/>
  </w:num>
  <w:num w:numId="343">
    <w:abstractNumId w:val="61"/>
  </w:num>
  <w:num w:numId="344">
    <w:abstractNumId w:val="334"/>
  </w:num>
  <w:num w:numId="345">
    <w:abstractNumId w:val="151"/>
  </w:num>
  <w:num w:numId="346">
    <w:abstractNumId w:val="356"/>
  </w:num>
  <w:num w:numId="347">
    <w:abstractNumId w:val="152"/>
  </w:num>
  <w:num w:numId="348">
    <w:abstractNumId w:val="310"/>
  </w:num>
  <w:num w:numId="349">
    <w:abstractNumId w:val="72"/>
  </w:num>
  <w:num w:numId="350">
    <w:abstractNumId w:val="150"/>
  </w:num>
  <w:num w:numId="351">
    <w:abstractNumId w:val="393"/>
  </w:num>
  <w:num w:numId="352">
    <w:abstractNumId w:val="76"/>
  </w:num>
  <w:num w:numId="353">
    <w:abstractNumId w:val="204"/>
  </w:num>
  <w:num w:numId="354">
    <w:abstractNumId w:val="16"/>
  </w:num>
  <w:num w:numId="355">
    <w:abstractNumId w:val="385"/>
  </w:num>
  <w:num w:numId="356">
    <w:abstractNumId w:val="14"/>
  </w:num>
  <w:num w:numId="357">
    <w:abstractNumId w:val="338"/>
  </w:num>
  <w:num w:numId="358">
    <w:abstractNumId w:val="118"/>
  </w:num>
  <w:num w:numId="359">
    <w:abstractNumId w:val="226"/>
  </w:num>
  <w:num w:numId="360">
    <w:abstractNumId w:val="191"/>
  </w:num>
  <w:num w:numId="361">
    <w:abstractNumId w:val="105"/>
  </w:num>
  <w:num w:numId="362">
    <w:abstractNumId w:val="45"/>
  </w:num>
  <w:num w:numId="363">
    <w:abstractNumId w:val="178"/>
  </w:num>
  <w:num w:numId="364">
    <w:abstractNumId w:val="322"/>
  </w:num>
  <w:num w:numId="365">
    <w:abstractNumId w:val="212"/>
  </w:num>
  <w:num w:numId="366">
    <w:abstractNumId w:val="230"/>
  </w:num>
  <w:num w:numId="367">
    <w:abstractNumId w:val="27"/>
  </w:num>
  <w:num w:numId="368">
    <w:abstractNumId w:val="196"/>
  </w:num>
  <w:num w:numId="369">
    <w:abstractNumId w:val="282"/>
  </w:num>
  <w:num w:numId="370">
    <w:abstractNumId w:val="394"/>
  </w:num>
  <w:num w:numId="371">
    <w:abstractNumId w:val="389"/>
  </w:num>
  <w:num w:numId="372">
    <w:abstractNumId w:val="83"/>
  </w:num>
  <w:num w:numId="373">
    <w:abstractNumId w:val="295"/>
  </w:num>
  <w:num w:numId="374">
    <w:abstractNumId w:val="379"/>
  </w:num>
  <w:num w:numId="375">
    <w:abstractNumId w:val="201"/>
  </w:num>
  <w:num w:numId="376">
    <w:abstractNumId w:val="20"/>
  </w:num>
  <w:num w:numId="377">
    <w:abstractNumId w:val="182"/>
  </w:num>
  <w:num w:numId="378">
    <w:abstractNumId w:val="93"/>
  </w:num>
  <w:num w:numId="379">
    <w:abstractNumId w:val="89"/>
  </w:num>
  <w:num w:numId="380">
    <w:abstractNumId w:val="18"/>
  </w:num>
  <w:num w:numId="381">
    <w:abstractNumId w:val="305"/>
  </w:num>
  <w:num w:numId="382">
    <w:abstractNumId w:val="163"/>
  </w:num>
  <w:num w:numId="383">
    <w:abstractNumId w:val="359"/>
  </w:num>
  <w:num w:numId="384">
    <w:abstractNumId w:val="315"/>
  </w:num>
  <w:num w:numId="385">
    <w:abstractNumId w:val="395"/>
  </w:num>
  <w:num w:numId="386">
    <w:abstractNumId w:val="180"/>
  </w:num>
  <w:num w:numId="387">
    <w:abstractNumId w:val="412"/>
  </w:num>
  <w:num w:numId="388">
    <w:abstractNumId w:val="0"/>
  </w:num>
  <w:num w:numId="389">
    <w:abstractNumId w:val="139"/>
  </w:num>
  <w:num w:numId="390">
    <w:abstractNumId w:val="258"/>
  </w:num>
  <w:num w:numId="391">
    <w:abstractNumId w:val="222"/>
  </w:num>
  <w:num w:numId="392">
    <w:abstractNumId w:val="296"/>
  </w:num>
  <w:num w:numId="393">
    <w:abstractNumId w:val="146"/>
  </w:num>
  <w:num w:numId="394">
    <w:abstractNumId w:val="53"/>
  </w:num>
  <w:num w:numId="395">
    <w:abstractNumId w:val="350"/>
  </w:num>
  <w:num w:numId="396">
    <w:abstractNumId w:val="183"/>
  </w:num>
  <w:num w:numId="397">
    <w:abstractNumId w:val="286"/>
  </w:num>
  <w:num w:numId="398">
    <w:abstractNumId w:val="115"/>
  </w:num>
  <w:num w:numId="399">
    <w:abstractNumId w:val="9"/>
  </w:num>
  <w:num w:numId="400">
    <w:abstractNumId w:val="30"/>
  </w:num>
  <w:num w:numId="401">
    <w:abstractNumId w:val="131"/>
  </w:num>
  <w:num w:numId="402">
    <w:abstractNumId w:val="287"/>
  </w:num>
  <w:num w:numId="403">
    <w:abstractNumId w:val="119"/>
  </w:num>
  <w:num w:numId="404">
    <w:abstractNumId w:val="162"/>
  </w:num>
  <w:num w:numId="405">
    <w:abstractNumId w:val="141"/>
  </w:num>
  <w:num w:numId="406">
    <w:abstractNumId w:val="311"/>
  </w:num>
  <w:num w:numId="407">
    <w:abstractNumId w:val="256"/>
  </w:num>
  <w:num w:numId="408">
    <w:abstractNumId w:val="233"/>
  </w:num>
  <w:num w:numId="409">
    <w:abstractNumId w:val="66"/>
  </w:num>
  <w:num w:numId="410">
    <w:abstractNumId w:val="369"/>
  </w:num>
  <w:num w:numId="411">
    <w:abstractNumId w:val="303"/>
  </w:num>
  <w:num w:numId="412">
    <w:abstractNumId w:val="243"/>
  </w:num>
  <w:num w:numId="413">
    <w:abstractNumId w:val="148"/>
  </w:num>
  <w:num w:numId="414">
    <w:abstractNumId w:val="121"/>
  </w:num>
  <w:num w:numId="415">
    <w:abstractNumId w:val="259"/>
  </w:num>
  <w:num w:numId="416">
    <w:abstractNumId w:val="289"/>
  </w:num>
  <w:num w:numId="417">
    <w:abstractNumId w:val="82"/>
  </w:num>
  <w:numIdMacAtCleanup w:val="4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11"/>
    <w:rsid w:val="00000227"/>
    <w:rsid w:val="0000037D"/>
    <w:rsid w:val="00000474"/>
    <w:rsid w:val="0000050A"/>
    <w:rsid w:val="00000694"/>
    <w:rsid w:val="000007BF"/>
    <w:rsid w:val="0000080B"/>
    <w:rsid w:val="00001214"/>
    <w:rsid w:val="00001277"/>
    <w:rsid w:val="00001C90"/>
    <w:rsid w:val="00001DD0"/>
    <w:rsid w:val="00001EB5"/>
    <w:rsid w:val="000022A5"/>
    <w:rsid w:val="000022D2"/>
    <w:rsid w:val="00002409"/>
    <w:rsid w:val="0000248B"/>
    <w:rsid w:val="00002CCA"/>
    <w:rsid w:val="00002FB9"/>
    <w:rsid w:val="0000309E"/>
    <w:rsid w:val="000031FF"/>
    <w:rsid w:val="000038B0"/>
    <w:rsid w:val="000040BC"/>
    <w:rsid w:val="000041A7"/>
    <w:rsid w:val="000042B7"/>
    <w:rsid w:val="00004447"/>
    <w:rsid w:val="000045D5"/>
    <w:rsid w:val="00004672"/>
    <w:rsid w:val="00004978"/>
    <w:rsid w:val="00004C13"/>
    <w:rsid w:val="00004C4D"/>
    <w:rsid w:val="00004F76"/>
    <w:rsid w:val="00004F83"/>
    <w:rsid w:val="0000509C"/>
    <w:rsid w:val="00005298"/>
    <w:rsid w:val="000054FB"/>
    <w:rsid w:val="000056C7"/>
    <w:rsid w:val="0000574B"/>
    <w:rsid w:val="000059CF"/>
    <w:rsid w:val="00005EB9"/>
    <w:rsid w:val="000061B9"/>
    <w:rsid w:val="00006397"/>
    <w:rsid w:val="0000660F"/>
    <w:rsid w:val="00006A68"/>
    <w:rsid w:val="00006DC9"/>
    <w:rsid w:val="00006E3C"/>
    <w:rsid w:val="000071AD"/>
    <w:rsid w:val="000073C9"/>
    <w:rsid w:val="0000748A"/>
    <w:rsid w:val="000074F4"/>
    <w:rsid w:val="00007674"/>
    <w:rsid w:val="00007769"/>
    <w:rsid w:val="0000789E"/>
    <w:rsid w:val="000078CC"/>
    <w:rsid w:val="00007969"/>
    <w:rsid w:val="00007AE4"/>
    <w:rsid w:val="00007C5F"/>
    <w:rsid w:val="00007CE1"/>
    <w:rsid w:val="000100E3"/>
    <w:rsid w:val="0001033E"/>
    <w:rsid w:val="000104C5"/>
    <w:rsid w:val="00010524"/>
    <w:rsid w:val="00010582"/>
    <w:rsid w:val="00010771"/>
    <w:rsid w:val="00010A31"/>
    <w:rsid w:val="00010D8C"/>
    <w:rsid w:val="00010EBF"/>
    <w:rsid w:val="00010F48"/>
    <w:rsid w:val="000111CB"/>
    <w:rsid w:val="00011271"/>
    <w:rsid w:val="00011769"/>
    <w:rsid w:val="00011D33"/>
    <w:rsid w:val="00011E53"/>
    <w:rsid w:val="00012D74"/>
    <w:rsid w:val="00012D89"/>
    <w:rsid w:val="00012E52"/>
    <w:rsid w:val="00013256"/>
    <w:rsid w:val="000132E9"/>
    <w:rsid w:val="00013536"/>
    <w:rsid w:val="000135AB"/>
    <w:rsid w:val="000135DD"/>
    <w:rsid w:val="00013AB8"/>
    <w:rsid w:val="0001409C"/>
    <w:rsid w:val="000140AA"/>
    <w:rsid w:val="000140D1"/>
    <w:rsid w:val="0001427B"/>
    <w:rsid w:val="00014329"/>
    <w:rsid w:val="0001458A"/>
    <w:rsid w:val="00014769"/>
    <w:rsid w:val="00014822"/>
    <w:rsid w:val="0001485A"/>
    <w:rsid w:val="0001539D"/>
    <w:rsid w:val="00015B96"/>
    <w:rsid w:val="00015C51"/>
    <w:rsid w:val="00015D9C"/>
    <w:rsid w:val="00015DF4"/>
    <w:rsid w:val="00016127"/>
    <w:rsid w:val="00016542"/>
    <w:rsid w:val="0001673F"/>
    <w:rsid w:val="00016E1C"/>
    <w:rsid w:val="00016E79"/>
    <w:rsid w:val="00016FDA"/>
    <w:rsid w:val="000170E5"/>
    <w:rsid w:val="000172FD"/>
    <w:rsid w:val="0001731C"/>
    <w:rsid w:val="0001760B"/>
    <w:rsid w:val="000177DA"/>
    <w:rsid w:val="00017F19"/>
    <w:rsid w:val="000200CD"/>
    <w:rsid w:val="000209A4"/>
    <w:rsid w:val="00020B30"/>
    <w:rsid w:val="00020B36"/>
    <w:rsid w:val="00020D4B"/>
    <w:rsid w:val="00020D7A"/>
    <w:rsid w:val="00020EF2"/>
    <w:rsid w:val="00021046"/>
    <w:rsid w:val="00021487"/>
    <w:rsid w:val="00021746"/>
    <w:rsid w:val="00021919"/>
    <w:rsid w:val="00021AB5"/>
    <w:rsid w:val="00021AEF"/>
    <w:rsid w:val="00021B39"/>
    <w:rsid w:val="00021C78"/>
    <w:rsid w:val="00021D48"/>
    <w:rsid w:val="00022601"/>
    <w:rsid w:val="00022698"/>
    <w:rsid w:val="00022CA6"/>
    <w:rsid w:val="00022FA8"/>
    <w:rsid w:val="00023716"/>
    <w:rsid w:val="0002372B"/>
    <w:rsid w:val="00023B32"/>
    <w:rsid w:val="00023C96"/>
    <w:rsid w:val="00023D43"/>
    <w:rsid w:val="000241C9"/>
    <w:rsid w:val="00024352"/>
    <w:rsid w:val="000244AA"/>
    <w:rsid w:val="00024556"/>
    <w:rsid w:val="00024913"/>
    <w:rsid w:val="00025115"/>
    <w:rsid w:val="000255BB"/>
    <w:rsid w:val="000258D6"/>
    <w:rsid w:val="0002594F"/>
    <w:rsid w:val="00025ACE"/>
    <w:rsid w:val="00025ECD"/>
    <w:rsid w:val="00025F27"/>
    <w:rsid w:val="00026088"/>
    <w:rsid w:val="0002625B"/>
    <w:rsid w:val="00026719"/>
    <w:rsid w:val="00026751"/>
    <w:rsid w:val="0002699B"/>
    <w:rsid w:val="00026D2C"/>
    <w:rsid w:val="00027009"/>
    <w:rsid w:val="0002701E"/>
    <w:rsid w:val="000270A9"/>
    <w:rsid w:val="000277A1"/>
    <w:rsid w:val="000277A3"/>
    <w:rsid w:val="00030075"/>
    <w:rsid w:val="000302D0"/>
    <w:rsid w:val="0003064F"/>
    <w:rsid w:val="000306A0"/>
    <w:rsid w:val="000307AA"/>
    <w:rsid w:val="000308E3"/>
    <w:rsid w:val="00030910"/>
    <w:rsid w:val="00030A6D"/>
    <w:rsid w:val="00030AF3"/>
    <w:rsid w:val="000319CA"/>
    <w:rsid w:val="00031A53"/>
    <w:rsid w:val="00031C85"/>
    <w:rsid w:val="00031CA1"/>
    <w:rsid w:val="00032174"/>
    <w:rsid w:val="00032426"/>
    <w:rsid w:val="00032446"/>
    <w:rsid w:val="00032837"/>
    <w:rsid w:val="00032905"/>
    <w:rsid w:val="0003334A"/>
    <w:rsid w:val="00033597"/>
    <w:rsid w:val="00033B20"/>
    <w:rsid w:val="00033F7B"/>
    <w:rsid w:val="00034244"/>
    <w:rsid w:val="00034683"/>
    <w:rsid w:val="00034ED5"/>
    <w:rsid w:val="00035069"/>
    <w:rsid w:val="00035640"/>
    <w:rsid w:val="0003576F"/>
    <w:rsid w:val="00035E48"/>
    <w:rsid w:val="00036180"/>
    <w:rsid w:val="00036253"/>
    <w:rsid w:val="00036398"/>
    <w:rsid w:val="00036C7D"/>
    <w:rsid w:val="0003709C"/>
    <w:rsid w:val="00037369"/>
    <w:rsid w:val="00037375"/>
    <w:rsid w:val="00037486"/>
    <w:rsid w:val="00037B51"/>
    <w:rsid w:val="0004041D"/>
    <w:rsid w:val="000406F0"/>
    <w:rsid w:val="00040706"/>
    <w:rsid w:val="00040A37"/>
    <w:rsid w:val="00040B5F"/>
    <w:rsid w:val="00040CB2"/>
    <w:rsid w:val="00041752"/>
    <w:rsid w:val="000417AA"/>
    <w:rsid w:val="00041C7C"/>
    <w:rsid w:val="00042590"/>
    <w:rsid w:val="0004284D"/>
    <w:rsid w:val="000428F4"/>
    <w:rsid w:val="00042AC3"/>
    <w:rsid w:val="00042F89"/>
    <w:rsid w:val="000433AF"/>
    <w:rsid w:val="0004346F"/>
    <w:rsid w:val="00043519"/>
    <w:rsid w:val="00043DFD"/>
    <w:rsid w:val="00043F34"/>
    <w:rsid w:val="000440F0"/>
    <w:rsid w:val="00044252"/>
    <w:rsid w:val="00044404"/>
    <w:rsid w:val="000444B5"/>
    <w:rsid w:val="000447E7"/>
    <w:rsid w:val="00044B00"/>
    <w:rsid w:val="00044E4B"/>
    <w:rsid w:val="00044EBE"/>
    <w:rsid w:val="00044FD8"/>
    <w:rsid w:val="00045586"/>
    <w:rsid w:val="000457F2"/>
    <w:rsid w:val="00045A64"/>
    <w:rsid w:val="00045ED9"/>
    <w:rsid w:val="000465D0"/>
    <w:rsid w:val="000466B6"/>
    <w:rsid w:val="00046775"/>
    <w:rsid w:val="00046A30"/>
    <w:rsid w:val="00046A45"/>
    <w:rsid w:val="00046F12"/>
    <w:rsid w:val="00046F7B"/>
    <w:rsid w:val="000479B9"/>
    <w:rsid w:val="000502F6"/>
    <w:rsid w:val="00050613"/>
    <w:rsid w:val="0005150E"/>
    <w:rsid w:val="000516B8"/>
    <w:rsid w:val="00051D3C"/>
    <w:rsid w:val="00051FA8"/>
    <w:rsid w:val="00052274"/>
    <w:rsid w:val="00052319"/>
    <w:rsid w:val="00052852"/>
    <w:rsid w:val="00052DDE"/>
    <w:rsid w:val="00053463"/>
    <w:rsid w:val="00053633"/>
    <w:rsid w:val="0005381B"/>
    <w:rsid w:val="00053884"/>
    <w:rsid w:val="000539D8"/>
    <w:rsid w:val="00053A50"/>
    <w:rsid w:val="00053C12"/>
    <w:rsid w:val="00053D6A"/>
    <w:rsid w:val="00053D75"/>
    <w:rsid w:val="0005447E"/>
    <w:rsid w:val="00054578"/>
    <w:rsid w:val="00054633"/>
    <w:rsid w:val="0005467A"/>
    <w:rsid w:val="000546F0"/>
    <w:rsid w:val="000548FC"/>
    <w:rsid w:val="00054A88"/>
    <w:rsid w:val="00054B9C"/>
    <w:rsid w:val="000552D3"/>
    <w:rsid w:val="00055467"/>
    <w:rsid w:val="00055747"/>
    <w:rsid w:val="000558E2"/>
    <w:rsid w:val="00055992"/>
    <w:rsid w:val="0005641C"/>
    <w:rsid w:val="00056528"/>
    <w:rsid w:val="00056A97"/>
    <w:rsid w:val="00056AD2"/>
    <w:rsid w:val="00056B77"/>
    <w:rsid w:val="00056BB5"/>
    <w:rsid w:val="00056C91"/>
    <w:rsid w:val="00056E2A"/>
    <w:rsid w:val="00056E6C"/>
    <w:rsid w:val="000570B6"/>
    <w:rsid w:val="00057118"/>
    <w:rsid w:val="0005721E"/>
    <w:rsid w:val="0005735F"/>
    <w:rsid w:val="0005756E"/>
    <w:rsid w:val="0005760E"/>
    <w:rsid w:val="000578E6"/>
    <w:rsid w:val="00057BA7"/>
    <w:rsid w:val="00057BF8"/>
    <w:rsid w:val="00060619"/>
    <w:rsid w:val="000608FF"/>
    <w:rsid w:val="00060A83"/>
    <w:rsid w:val="00061611"/>
    <w:rsid w:val="00061613"/>
    <w:rsid w:val="00061775"/>
    <w:rsid w:val="00061F9A"/>
    <w:rsid w:val="000620F2"/>
    <w:rsid w:val="000625A0"/>
    <w:rsid w:val="0006271E"/>
    <w:rsid w:val="0006289A"/>
    <w:rsid w:val="000629D6"/>
    <w:rsid w:val="00062D2A"/>
    <w:rsid w:val="00063385"/>
    <w:rsid w:val="00063564"/>
    <w:rsid w:val="0006367A"/>
    <w:rsid w:val="0006373C"/>
    <w:rsid w:val="00063B34"/>
    <w:rsid w:val="00063D65"/>
    <w:rsid w:val="00063F29"/>
    <w:rsid w:val="00063F7D"/>
    <w:rsid w:val="00063FEE"/>
    <w:rsid w:val="00064488"/>
    <w:rsid w:val="000644E2"/>
    <w:rsid w:val="00064520"/>
    <w:rsid w:val="0006460D"/>
    <w:rsid w:val="0006469B"/>
    <w:rsid w:val="000646BD"/>
    <w:rsid w:val="00064DA4"/>
    <w:rsid w:val="00065547"/>
    <w:rsid w:val="00065556"/>
    <w:rsid w:val="000655A8"/>
    <w:rsid w:val="00065A02"/>
    <w:rsid w:val="00065C32"/>
    <w:rsid w:val="00065C3F"/>
    <w:rsid w:val="00065C68"/>
    <w:rsid w:val="00065DB1"/>
    <w:rsid w:val="00065DCF"/>
    <w:rsid w:val="00065DFB"/>
    <w:rsid w:val="00065EBE"/>
    <w:rsid w:val="000661F4"/>
    <w:rsid w:val="000662B1"/>
    <w:rsid w:val="00066334"/>
    <w:rsid w:val="0006643D"/>
    <w:rsid w:val="00066561"/>
    <w:rsid w:val="000665B0"/>
    <w:rsid w:val="00066848"/>
    <w:rsid w:val="000677C3"/>
    <w:rsid w:val="00067A1A"/>
    <w:rsid w:val="00067C2A"/>
    <w:rsid w:val="00067C67"/>
    <w:rsid w:val="00067CD2"/>
    <w:rsid w:val="000702D4"/>
    <w:rsid w:val="00070BA0"/>
    <w:rsid w:val="00070D1F"/>
    <w:rsid w:val="00070E03"/>
    <w:rsid w:val="00070E2F"/>
    <w:rsid w:val="000714A1"/>
    <w:rsid w:val="00071621"/>
    <w:rsid w:val="0007162C"/>
    <w:rsid w:val="00071824"/>
    <w:rsid w:val="0007185F"/>
    <w:rsid w:val="0007189E"/>
    <w:rsid w:val="00071942"/>
    <w:rsid w:val="00071C5D"/>
    <w:rsid w:val="00071CD4"/>
    <w:rsid w:val="000723FA"/>
    <w:rsid w:val="0007258A"/>
    <w:rsid w:val="00072B14"/>
    <w:rsid w:val="00072F5E"/>
    <w:rsid w:val="0007301F"/>
    <w:rsid w:val="000731C8"/>
    <w:rsid w:val="00073249"/>
    <w:rsid w:val="000734E1"/>
    <w:rsid w:val="00073889"/>
    <w:rsid w:val="00073931"/>
    <w:rsid w:val="00073AE8"/>
    <w:rsid w:val="00073D55"/>
    <w:rsid w:val="00073EBD"/>
    <w:rsid w:val="00073F7A"/>
    <w:rsid w:val="0007424C"/>
    <w:rsid w:val="0007465D"/>
    <w:rsid w:val="000747CE"/>
    <w:rsid w:val="00074D57"/>
    <w:rsid w:val="00074E34"/>
    <w:rsid w:val="0007521C"/>
    <w:rsid w:val="0007539D"/>
    <w:rsid w:val="0007571E"/>
    <w:rsid w:val="000759C6"/>
    <w:rsid w:val="00075CBF"/>
    <w:rsid w:val="00075CCF"/>
    <w:rsid w:val="00075E6F"/>
    <w:rsid w:val="00076204"/>
    <w:rsid w:val="00077511"/>
    <w:rsid w:val="00077604"/>
    <w:rsid w:val="0007764A"/>
    <w:rsid w:val="000776AB"/>
    <w:rsid w:val="00077BF5"/>
    <w:rsid w:val="00077F66"/>
    <w:rsid w:val="00080365"/>
    <w:rsid w:val="000807F7"/>
    <w:rsid w:val="0008086C"/>
    <w:rsid w:val="00081223"/>
    <w:rsid w:val="00081300"/>
    <w:rsid w:val="000814F6"/>
    <w:rsid w:val="00081632"/>
    <w:rsid w:val="00081AE3"/>
    <w:rsid w:val="00081B0F"/>
    <w:rsid w:val="00081C13"/>
    <w:rsid w:val="00081F94"/>
    <w:rsid w:val="00082697"/>
    <w:rsid w:val="0008277F"/>
    <w:rsid w:val="00082B6D"/>
    <w:rsid w:val="00082F05"/>
    <w:rsid w:val="00083227"/>
    <w:rsid w:val="00083332"/>
    <w:rsid w:val="000837D3"/>
    <w:rsid w:val="000837DE"/>
    <w:rsid w:val="00083896"/>
    <w:rsid w:val="00083F44"/>
    <w:rsid w:val="000842CC"/>
    <w:rsid w:val="00084A1A"/>
    <w:rsid w:val="00084CBF"/>
    <w:rsid w:val="00084D22"/>
    <w:rsid w:val="00085329"/>
    <w:rsid w:val="00085939"/>
    <w:rsid w:val="00085A07"/>
    <w:rsid w:val="00085E82"/>
    <w:rsid w:val="000862F1"/>
    <w:rsid w:val="0008638E"/>
    <w:rsid w:val="00086608"/>
    <w:rsid w:val="000867D5"/>
    <w:rsid w:val="000869FE"/>
    <w:rsid w:val="00086E0E"/>
    <w:rsid w:val="00087080"/>
    <w:rsid w:val="0008740B"/>
    <w:rsid w:val="00087E7C"/>
    <w:rsid w:val="00087EA7"/>
    <w:rsid w:val="0009018B"/>
    <w:rsid w:val="000902E8"/>
    <w:rsid w:val="00090A0D"/>
    <w:rsid w:val="00090AF7"/>
    <w:rsid w:val="00090B67"/>
    <w:rsid w:val="00090DD6"/>
    <w:rsid w:val="00091296"/>
    <w:rsid w:val="00091298"/>
    <w:rsid w:val="00091444"/>
    <w:rsid w:val="00091B08"/>
    <w:rsid w:val="00091C7F"/>
    <w:rsid w:val="00091DE4"/>
    <w:rsid w:val="00091E31"/>
    <w:rsid w:val="00091F3C"/>
    <w:rsid w:val="00092327"/>
    <w:rsid w:val="000924DE"/>
    <w:rsid w:val="000924E5"/>
    <w:rsid w:val="00092517"/>
    <w:rsid w:val="000928B7"/>
    <w:rsid w:val="00092E3D"/>
    <w:rsid w:val="000931E5"/>
    <w:rsid w:val="0009322B"/>
    <w:rsid w:val="00093448"/>
    <w:rsid w:val="000934F7"/>
    <w:rsid w:val="00093875"/>
    <w:rsid w:val="00093D50"/>
    <w:rsid w:val="00093F52"/>
    <w:rsid w:val="000941E8"/>
    <w:rsid w:val="00094290"/>
    <w:rsid w:val="00094CAA"/>
    <w:rsid w:val="00094F0C"/>
    <w:rsid w:val="000950ED"/>
    <w:rsid w:val="0009543D"/>
    <w:rsid w:val="00095534"/>
    <w:rsid w:val="00095CA6"/>
    <w:rsid w:val="00095D41"/>
    <w:rsid w:val="00095DA0"/>
    <w:rsid w:val="00096148"/>
    <w:rsid w:val="000961B0"/>
    <w:rsid w:val="0009655B"/>
    <w:rsid w:val="00096686"/>
    <w:rsid w:val="00096770"/>
    <w:rsid w:val="000967C7"/>
    <w:rsid w:val="00096B22"/>
    <w:rsid w:val="00096CEB"/>
    <w:rsid w:val="00096DD5"/>
    <w:rsid w:val="00097077"/>
    <w:rsid w:val="00097907"/>
    <w:rsid w:val="000A0080"/>
    <w:rsid w:val="000A0100"/>
    <w:rsid w:val="000A0364"/>
    <w:rsid w:val="000A074E"/>
    <w:rsid w:val="000A08C8"/>
    <w:rsid w:val="000A1389"/>
    <w:rsid w:val="000A1397"/>
    <w:rsid w:val="000A13C4"/>
    <w:rsid w:val="000A1517"/>
    <w:rsid w:val="000A164A"/>
    <w:rsid w:val="000A169A"/>
    <w:rsid w:val="000A18A6"/>
    <w:rsid w:val="000A1CA4"/>
    <w:rsid w:val="000A2672"/>
    <w:rsid w:val="000A2D1C"/>
    <w:rsid w:val="000A2FCC"/>
    <w:rsid w:val="000A3089"/>
    <w:rsid w:val="000A335E"/>
    <w:rsid w:val="000A368C"/>
    <w:rsid w:val="000A36EA"/>
    <w:rsid w:val="000A389A"/>
    <w:rsid w:val="000A3E10"/>
    <w:rsid w:val="000A435F"/>
    <w:rsid w:val="000A4552"/>
    <w:rsid w:val="000A4582"/>
    <w:rsid w:val="000A48C5"/>
    <w:rsid w:val="000A4993"/>
    <w:rsid w:val="000A4A46"/>
    <w:rsid w:val="000A4C3A"/>
    <w:rsid w:val="000A4EED"/>
    <w:rsid w:val="000A5360"/>
    <w:rsid w:val="000A5428"/>
    <w:rsid w:val="000A55C4"/>
    <w:rsid w:val="000A56F2"/>
    <w:rsid w:val="000A591E"/>
    <w:rsid w:val="000A5CCB"/>
    <w:rsid w:val="000A5FCF"/>
    <w:rsid w:val="000A6327"/>
    <w:rsid w:val="000A6468"/>
    <w:rsid w:val="000A65B8"/>
    <w:rsid w:val="000A6610"/>
    <w:rsid w:val="000A66BF"/>
    <w:rsid w:val="000A694C"/>
    <w:rsid w:val="000A70DD"/>
    <w:rsid w:val="000A7461"/>
    <w:rsid w:val="000A755A"/>
    <w:rsid w:val="000A7641"/>
    <w:rsid w:val="000A76FE"/>
    <w:rsid w:val="000A782B"/>
    <w:rsid w:val="000B0049"/>
    <w:rsid w:val="000B00DD"/>
    <w:rsid w:val="000B0216"/>
    <w:rsid w:val="000B0226"/>
    <w:rsid w:val="000B02A0"/>
    <w:rsid w:val="000B0362"/>
    <w:rsid w:val="000B06D5"/>
    <w:rsid w:val="000B0734"/>
    <w:rsid w:val="000B082F"/>
    <w:rsid w:val="000B0AE3"/>
    <w:rsid w:val="000B0C64"/>
    <w:rsid w:val="000B1099"/>
    <w:rsid w:val="000B10A1"/>
    <w:rsid w:val="000B1722"/>
    <w:rsid w:val="000B1B6A"/>
    <w:rsid w:val="000B201C"/>
    <w:rsid w:val="000B2161"/>
    <w:rsid w:val="000B2314"/>
    <w:rsid w:val="000B2635"/>
    <w:rsid w:val="000B2885"/>
    <w:rsid w:val="000B2C7B"/>
    <w:rsid w:val="000B34C1"/>
    <w:rsid w:val="000B38AA"/>
    <w:rsid w:val="000B3A56"/>
    <w:rsid w:val="000B3E3D"/>
    <w:rsid w:val="000B4549"/>
    <w:rsid w:val="000B45CD"/>
    <w:rsid w:val="000B4819"/>
    <w:rsid w:val="000B4AA6"/>
    <w:rsid w:val="000B4CE1"/>
    <w:rsid w:val="000B5000"/>
    <w:rsid w:val="000B5146"/>
    <w:rsid w:val="000B5452"/>
    <w:rsid w:val="000B54B5"/>
    <w:rsid w:val="000B5676"/>
    <w:rsid w:val="000B57A8"/>
    <w:rsid w:val="000B5C8B"/>
    <w:rsid w:val="000B6089"/>
    <w:rsid w:val="000B614D"/>
    <w:rsid w:val="000B631D"/>
    <w:rsid w:val="000B66F1"/>
    <w:rsid w:val="000B6972"/>
    <w:rsid w:val="000B6BA0"/>
    <w:rsid w:val="000B6CEE"/>
    <w:rsid w:val="000B6DDF"/>
    <w:rsid w:val="000B6EDD"/>
    <w:rsid w:val="000B6F97"/>
    <w:rsid w:val="000B72DF"/>
    <w:rsid w:val="000B7669"/>
    <w:rsid w:val="000B78F1"/>
    <w:rsid w:val="000B7D1F"/>
    <w:rsid w:val="000B7E2F"/>
    <w:rsid w:val="000B7E61"/>
    <w:rsid w:val="000C003B"/>
    <w:rsid w:val="000C0534"/>
    <w:rsid w:val="000C079C"/>
    <w:rsid w:val="000C07E5"/>
    <w:rsid w:val="000C087B"/>
    <w:rsid w:val="000C0884"/>
    <w:rsid w:val="000C0944"/>
    <w:rsid w:val="000C0957"/>
    <w:rsid w:val="000C0A51"/>
    <w:rsid w:val="000C0B95"/>
    <w:rsid w:val="000C0D5D"/>
    <w:rsid w:val="000C0EAE"/>
    <w:rsid w:val="000C10C3"/>
    <w:rsid w:val="000C17AB"/>
    <w:rsid w:val="000C1AC1"/>
    <w:rsid w:val="000C1D0E"/>
    <w:rsid w:val="000C2120"/>
    <w:rsid w:val="000C2524"/>
    <w:rsid w:val="000C2603"/>
    <w:rsid w:val="000C2620"/>
    <w:rsid w:val="000C2C12"/>
    <w:rsid w:val="000C2D96"/>
    <w:rsid w:val="000C3166"/>
    <w:rsid w:val="000C32BE"/>
    <w:rsid w:val="000C33C7"/>
    <w:rsid w:val="000C34F2"/>
    <w:rsid w:val="000C34FC"/>
    <w:rsid w:val="000C3C69"/>
    <w:rsid w:val="000C3CEE"/>
    <w:rsid w:val="000C43A8"/>
    <w:rsid w:val="000C441E"/>
    <w:rsid w:val="000C4640"/>
    <w:rsid w:val="000C4790"/>
    <w:rsid w:val="000C480F"/>
    <w:rsid w:val="000C4C3D"/>
    <w:rsid w:val="000C4E7A"/>
    <w:rsid w:val="000C4EAC"/>
    <w:rsid w:val="000C507C"/>
    <w:rsid w:val="000C5099"/>
    <w:rsid w:val="000C53ED"/>
    <w:rsid w:val="000C556A"/>
    <w:rsid w:val="000C58B0"/>
    <w:rsid w:val="000C5A14"/>
    <w:rsid w:val="000C5AF3"/>
    <w:rsid w:val="000C5EC9"/>
    <w:rsid w:val="000C64F9"/>
    <w:rsid w:val="000C6711"/>
    <w:rsid w:val="000C672B"/>
    <w:rsid w:val="000C6B93"/>
    <w:rsid w:val="000C6DC7"/>
    <w:rsid w:val="000C6FDF"/>
    <w:rsid w:val="000C7183"/>
    <w:rsid w:val="000C723C"/>
    <w:rsid w:val="000C7356"/>
    <w:rsid w:val="000C7B70"/>
    <w:rsid w:val="000C7C31"/>
    <w:rsid w:val="000C7D4A"/>
    <w:rsid w:val="000C7FAF"/>
    <w:rsid w:val="000D0A78"/>
    <w:rsid w:val="000D0CF5"/>
    <w:rsid w:val="000D0EB1"/>
    <w:rsid w:val="000D0F2B"/>
    <w:rsid w:val="000D0F78"/>
    <w:rsid w:val="000D1067"/>
    <w:rsid w:val="000D1263"/>
    <w:rsid w:val="000D1293"/>
    <w:rsid w:val="000D1295"/>
    <w:rsid w:val="000D161F"/>
    <w:rsid w:val="000D1630"/>
    <w:rsid w:val="000D1634"/>
    <w:rsid w:val="000D164F"/>
    <w:rsid w:val="000D17CD"/>
    <w:rsid w:val="000D19DC"/>
    <w:rsid w:val="000D1CE5"/>
    <w:rsid w:val="000D1FF3"/>
    <w:rsid w:val="000D207C"/>
    <w:rsid w:val="000D22A9"/>
    <w:rsid w:val="000D2866"/>
    <w:rsid w:val="000D2C59"/>
    <w:rsid w:val="000D336E"/>
    <w:rsid w:val="000D3385"/>
    <w:rsid w:val="000D3417"/>
    <w:rsid w:val="000D3D73"/>
    <w:rsid w:val="000D407B"/>
    <w:rsid w:val="000D41C9"/>
    <w:rsid w:val="000D431E"/>
    <w:rsid w:val="000D486A"/>
    <w:rsid w:val="000D490D"/>
    <w:rsid w:val="000D4AD1"/>
    <w:rsid w:val="000D4B7F"/>
    <w:rsid w:val="000D4CB6"/>
    <w:rsid w:val="000D4E0A"/>
    <w:rsid w:val="000D501B"/>
    <w:rsid w:val="000D5051"/>
    <w:rsid w:val="000D5072"/>
    <w:rsid w:val="000D5238"/>
    <w:rsid w:val="000D5479"/>
    <w:rsid w:val="000D5911"/>
    <w:rsid w:val="000D59DB"/>
    <w:rsid w:val="000D5DAF"/>
    <w:rsid w:val="000D5EFC"/>
    <w:rsid w:val="000D64E4"/>
    <w:rsid w:val="000D66E0"/>
    <w:rsid w:val="000D682B"/>
    <w:rsid w:val="000D6DCC"/>
    <w:rsid w:val="000D6F0B"/>
    <w:rsid w:val="000D7091"/>
    <w:rsid w:val="000D70D0"/>
    <w:rsid w:val="000D743E"/>
    <w:rsid w:val="000D75F5"/>
    <w:rsid w:val="000D7749"/>
    <w:rsid w:val="000D7961"/>
    <w:rsid w:val="000D7DE7"/>
    <w:rsid w:val="000D7E26"/>
    <w:rsid w:val="000E0000"/>
    <w:rsid w:val="000E00B0"/>
    <w:rsid w:val="000E04BB"/>
    <w:rsid w:val="000E04C9"/>
    <w:rsid w:val="000E09C1"/>
    <w:rsid w:val="000E0D7E"/>
    <w:rsid w:val="000E1292"/>
    <w:rsid w:val="000E1557"/>
    <w:rsid w:val="000E15F3"/>
    <w:rsid w:val="000E17AB"/>
    <w:rsid w:val="000E1B56"/>
    <w:rsid w:val="000E244F"/>
    <w:rsid w:val="000E2720"/>
    <w:rsid w:val="000E27E3"/>
    <w:rsid w:val="000E2AB9"/>
    <w:rsid w:val="000E2B4E"/>
    <w:rsid w:val="000E2F12"/>
    <w:rsid w:val="000E3423"/>
    <w:rsid w:val="000E3B9B"/>
    <w:rsid w:val="000E3C9A"/>
    <w:rsid w:val="000E3D73"/>
    <w:rsid w:val="000E3DB0"/>
    <w:rsid w:val="000E3F4B"/>
    <w:rsid w:val="000E3FC5"/>
    <w:rsid w:val="000E420F"/>
    <w:rsid w:val="000E42B7"/>
    <w:rsid w:val="000E4452"/>
    <w:rsid w:val="000E453C"/>
    <w:rsid w:val="000E4BE1"/>
    <w:rsid w:val="000E4C7F"/>
    <w:rsid w:val="000E4E7E"/>
    <w:rsid w:val="000E517A"/>
    <w:rsid w:val="000E54CD"/>
    <w:rsid w:val="000E55D8"/>
    <w:rsid w:val="000E5656"/>
    <w:rsid w:val="000E5993"/>
    <w:rsid w:val="000E5B11"/>
    <w:rsid w:val="000E5BB4"/>
    <w:rsid w:val="000E5BDC"/>
    <w:rsid w:val="000E5EB7"/>
    <w:rsid w:val="000E604E"/>
    <w:rsid w:val="000E65A4"/>
    <w:rsid w:val="000E6DD9"/>
    <w:rsid w:val="000E6ED4"/>
    <w:rsid w:val="000E6FF7"/>
    <w:rsid w:val="000E70DB"/>
    <w:rsid w:val="000E7F46"/>
    <w:rsid w:val="000F0015"/>
    <w:rsid w:val="000F032C"/>
    <w:rsid w:val="000F07D4"/>
    <w:rsid w:val="000F08C1"/>
    <w:rsid w:val="000F0B62"/>
    <w:rsid w:val="000F1138"/>
    <w:rsid w:val="000F12C5"/>
    <w:rsid w:val="000F13D8"/>
    <w:rsid w:val="000F14BD"/>
    <w:rsid w:val="000F178F"/>
    <w:rsid w:val="000F1958"/>
    <w:rsid w:val="000F1AA6"/>
    <w:rsid w:val="000F1B40"/>
    <w:rsid w:val="000F1C5F"/>
    <w:rsid w:val="000F1EB4"/>
    <w:rsid w:val="000F2089"/>
    <w:rsid w:val="000F254D"/>
    <w:rsid w:val="000F2787"/>
    <w:rsid w:val="000F286D"/>
    <w:rsid w:val="000F2BDB"/>
    <w:rsid w:val="000F2D54"/>
    <w:rsid w:val="000F2E1F"/>
    <w:rsid w:val="000F2F6E"/>
    <w:rsid w:val="000F2FF8"/>
    <w:rsid w:val="000F3007"/>
    <w:rsid w:val="000F3396"/>
    <w:rsid w:val="000F3423"/>
    <w:rsid w:val="000F3528"/>
    <w:rsid w:val="000F3A58"/>
    <w:rsid w:val="000F3D6D"/>
    <w:rsid w:val="000F3E40"/>
    <w:rsid w:val="000F3E9C"/>
    <w:rsid w:val="000F433D"/>
    <w:rsid w:val="000F45E5"/>
    <w:rsid w:val="000F467B"/>
    <w:rsid w:val="000F4717"/>
    <w:rsid w:val="000F4A30"/>
    <w:rsid w:val="000F4CF7"/>
    <w:rsid w:val="000F4DA5"/>
    <w:rsid w:val="000F4EC2"/>
    <w:rsid w:val="000F51FA"/>
    <w:rsid w:val="000F5A5D"/>
    <w:rsid w:val="000F5BAA"/>
    <w:rsid w:val="000F5FF6"/>
    <w:rsid w:val="000F6017"/>
    <w:rsid w:val="000F6528"/>
    <w:rsid w:val="000F6578"/>
    <w:rsid w:val="000F69FB"/>
    <w:rsid w:val="000F6BE0"/>
    <w:rsid w:val="000F6C7A"/>
    <w:rsid w:val="000F6F78"/>
    <w:rsid w:val="000F776E"/>
    <w:rsid w:val="000F7AFC"/>
    <w:rsid w:val="000F7D62"/>
    <w:rsid w:val="000F7EE2"/>
    <w:rsid w:val="001000E8"/>
    <w:rsid w:val="001000F7"/>
    <w:rsid w:val="00100226"/>
    <w:rsid w:val="00100452"/>
    <w:rsid w:val="00100564"/>
    <w:rsid w:val="00100699"/>
    <w:rsid w:val="00100A90"/>
    <w:rsid w:val="00100AAC"/>
    <w:rsid w:val="0010111E"/>
    <w:rsid w:val="0010145A"/>
    <w:rsid w:val="00101586"/>
    <w:rsid w:val="001017E5"/>
    <w:rsid w:val="00101ED7"/>
    <w:rsid w:val="0010207E"/>
    <w:rsid w:val="0010211A"/>
    <w:rsid w:val="00102355"/>
    <w:rsid w:val="00102578"/>
    <w:rsid w:val="001032DA"/>
    <w:rsid w:val="00103568"/>
    <w:rsid w:val="001039C2"/>
    <w:rsid w:val="00103A79"/>
    <w:rsid w:val="00104084"/>
    <w:rsid w:val="001041DC"/>
    <w:rsid w:val="0010473B"/>
    <w:rsid w:val="0010477F"/>
    <w:rsid w:val="001047E8"/>
    <w:rsid w:val="00104C6C"/>
    <w:rsid w:val="00104C83"/>
    <w:rsid w:val="00104E72"/>
    <w:rsid w:val="00104FE6"/>
    <w:rsid w:val="00105247"/>
    <w:rsid w:val="00105561"/>
    <w:rsid w:val="001055FF"/>
    <w:rsid w:val="0010568D"/>
    <w:rsid w:val="0010584F"/>
    <w:rsid w:val="00105C16"/>
    <w:rsid w:val="00105FC6"/>
    <w:rsid w:val="00105FCD"/>
    <w:rsid w:val="00106288"/>
    <w:rsid w:val="0010638E"/>
    <w:rsid w:val="0010685B"/>
    <w:rsid w:val="00106BDD"/>
    <w:rsid w:val="00106F3C"/>
    <w:rsid w:val="00106F76"/>
    <w:rsid w:val="0010711B"/>
    <w:rsid w:val="00107251"/>
    <w:rsid w:val="0010755E"/>
    <w:rsid w:val="00107B0B"/>
    <w:rsid w:val="00107B80"/>
    <w:rsid w:val="00107DC6"/>
    <w:rsid w:val="001101F5"/>
    <w:rsid w:val="001101FC"/>
    <w:rsid w:val="001102F9"/>
    <w:rsid w:val="001103BE"/>
    <w:rsid w:val="0011043C"/>
    <w:rsid w:val="001104B3"/>
    <w:rsid w:val="001105A9"/>
    <w:rsid w:val="00110689"/>
    <w:rsid w:val="00110794"/>
    <w:rsid w:val="00110916"/>
    <w:rsid w:val="00110F05"/>
    <w:rsid w:val="0011107C"/>
    <w:rsid w:val="0011119A"/>
    <w:rsid w:val="00111494"/>
    <w:rsid w:val="00111585"/>
    <w:rsid w:val="00111CC5"/>
    <w:rsid w:val="00112195"/>
    <w:rsid w:val="00112349"/>
    <w:rsid w:val="00112405"/>
    <w:rsid w:val="001126A8"/>
    <w:rsid w:val="001130B3"/>
    <w:rsid w:val="0011326B"/>
    <w:rsid w:val="00113326"/>
    <w:rsid w:val="00113406"/>
    <w:rsid w:val="001135E4"/>
    <w:rsid w:val="00113950"/>
    <w:rsid w:val="00113B22"/>
    <w:rsid w:val="00113B35"/>
    <w:rsid w:val="00113C31"/>
    <w:rsid w:val="00113D0C"/>
    <w:rsid w:val="0011434F"/>
    <w:rsid w:val="001145F0"/>
    <w:rsid w:val="00114806"/>
    <w:rsid w:val="00114A00"/>
    <w:rsid w:val="00114A12"/>
    <w:rsid w:val="00114F89"/>
    <w:rsid w:val="0011520A"/>
    <w:rsid w:val="0011558A"/>
    <w:rsid w:val="00115795"/>
    <w:rsid w:val="00115B30"/>
    <w:rsid w:val="00115B5D"/>
    <w:rsid w:val="00115DCA"/>
    <w:rsid w:val="00115EEE"/>
    <w:rsid w:val="00116108"/>
    <w:rsid w:val="001164F6"/>
    <w:rsid w:val="001167BF"/>
    <w:rsid w:val="001168DF"/>
    <w:rsid w:val="0011737C"/>
    <w:rsid w:val="00117566"/>
    <w:rsid w:val="0011757A"/>
    <w:rsid w:val="001179EE"/>
    <w:rsid w:val="00117A7F"/>
    <w:rsid w:val="00117D08"/>
    <w:rsid w:val="0012020B"/>
    <w:rsid w:val="001203A7"/>
    <w:rsid w:val="001206EB"/>
    <w:rsid w:val="001209A4"/>
    <w:rsid w:val="00120CD8"/>
    <w:rsid w:val="00120E19"/>
    <w:rsid w:val="0012106F"/>
    <w:rsid w:val="00121467"/>
    <w:rsid w:val="001214BB"/>
    <w:rsid w:val="0012169F"/>
    <w:rsid w:val="001216DC"/>
    <w:rsid w:val="00121A1B"/>
    <w:rsid w:val="001228DC"/>
    <w:rsid w:val="00122A40"/>
    <w:rsid w:val="00122AA3"/>
    <w:rsid w:val="00122B4E"/>
    <w:rsid w:val="00122CB3"/>
    <w:rsid w:val="001232C3"/>
    <w:rsid w:val="00123605"/>
    <w:rsid w:val="0012361C"/>
    <w:rsid w:val="0012376B"/>
    <w:rsid w:val="00123BB1"/>
    <w:rsid w:val="0012495A"/>
    <w:rsid w:val="001249A8"/>
    <w:rsid w:val="00124A04"/>
    <w:rsid w:val="0012536D"/>
    <w:rsid w:val="00125867"/>
    <w:rsid w:val="0012588E"/>
    <w:rsid w:val="00125C0A"/>
    <w:rsid w:val="00125DBD"/>
    <w:rsid w:val="00125E3E"/>
    <w:rsid w:val="00125F66"/>
    <w:rsid w:val="00126659"/>
    <w:rsid w:val="00126A0E"/>
    <w:rsid w:val="00127605"/>
    <w:rsid w:val="00127891"/>
    <w:rsid w:val="00127C16"/>
    <w:rsid w:val="00127CD0"/>
    <w:rsid w:val="00127EAB"/>
    <w:rsid w:val="00127F86"/>
    <w:rsid w:val="0013044C"/>
    <w:rsid w:val="00130893"/>
    <w:rsid w:val="001308CC"/>
    <w:rsid w:val="00130C21"/>
    <w:rsid w:val="00130F5F"/>
    <w:rsid w:val="0013114B"/>
    <w:rsid w:val="001318A0"/>
    <w:rsid w:val="00131AB9"/>
    <w:rsid w:val="00131B3B"/>
    <w:rsid w:val="00131ED6"/>
    <w:rsid w:val="0013247E"/>
    <w:rsid w:val="0013287F"/>
    <w:rsid w:val="0013296A"/>
    <w:rsid w:val="00132BA7"/>
    <w:rsid w:val="00132EBD"/>
    <w:rsid w:val="00132FD5"/>
    <w:rsid w:val="00133039"/>
    <w:rsid w:val="001334DC"/>
    <w:rsid w:val="00133676"/>
    <w:rsid w:val="001339BB"/>
    <w:rsid w:val="00133B3B"/>
    <w:rsid w:val="00133BD7"/>
    <w:rsid w:val="00133BE6"/>
    <w:rsid w:val="00133C43"/>
    <w:rsid w:val="00133FAE"/>
    <w:rsid w:val="00134466"/>
    <w:rsid w:val="001347F0"/>
    <w:rsid w:val="00134B6F"/>
    <w:rsid w:val="00134B9D"/>
    <w:rsid w:val="00134C31"/>
    <w:rsid w:val="00134E10"/>
    <w:rsid w:val="00134F90"/>
    <w:rsid w:val="00135068"/>
    <w:rsid w:val="0013526B"/>
    <w:rsid w:val="001356D0"/>
    <w:rsid w:val="00135F64"/>
    <w:rsid w:val="00135F7F"/>
    <w:rsid w:val="00135FC6"/>
    <w:rsid w:val="0013608E"/>
    <w:rsid w:val="001361B8"/>
    <w:rsid w:val="0013686D"/>
    <w:rsid w:val="00136CAB"/>
    <w:rsid w:val="0013700C"/>
    <w:rsid w:val="001370CD"/>
    <w:rsid w:val="0013748C"/>
    <w:rsid w:val="00137AC6"/>
    <w:rsid w:val="00137BF3"/>
    <w:rsid w:val="00137C91"/>
    <w:rsid w:val="00137E92"/>
    <w:rsid w:val="00137F40"/>
    <w:rsid w:val="0014032D"/>
    <w:rsid w:val="001403E9"/>
    <w:rsid w:val="00140454"/>
    <w:rsid w:val="00140580"/>
    <w:rsid w:val="0014063A"/>
    <w:rsid w:val="00140663"/>
    <w:rsid w:val="00140D77"/>
    <w:rsid w:val="00140E39"/>
    <w:rsid w:val="00140F20"/>
    <w:rsid w:val="00141124"/>
    <w:rsid w:val="00141304"/>
    <w:rsid w:val="0014131B"/>
    <w:rsid w:val="00141410"/>
    <w:rsid w:val="0014144D"/>
    <w:rsid w:val="0014185A"/>
    <w:rsid w:val="00141AFD"/>
    <w:rsid w:val="00141C39"/>
    <w:rsid w:val="00141FC9"/>
    <w:rsid w:val="001420D9"/>
    <w:rsid w:val="00142686"/>
    <w:rsid w:val="001426E0"/>
    <w:rsid w:val="00142839"/>
    <w:rsid w:val="00142E46"/>
    <w:rsid w:val="0014310F"/>
    <w:rsid w:val="0014329E"/>
    <w:rsid w:val="00143328"/>
    <w:rsid w:val="001434A7"/>
    <w:rsid w:val="001438A2"/>
    <w:rsid w:val="00143987"/>
    <w:rsid w:val="00143EB0"/>
    <w:rsid w:val="00143F98"/>
    <w:rsid w:val="00144485"/>
    <w:rsid w:val="001445AB"/>
    <w:rsid w:val="001446CF"/>
    <w:rsid w:val="001447C5"/>
    <w:rsid w:val="00144D88"/>
    <w:rsid w:val="00144F7B"/>
    <w:rsid w:val="00145020"/>
    <w:rsid w:val="0014507B"/>
    <w:rsid w:val="0014555E"/>
    <w:rsid w:val="00145781"/>
    <w:rsid w:val="00145E41"/>
    <w:rsid w:val="00146047"/>
    <w:rsid w:val="00146298"/>
    <w:rsid w:val="001466F9"/>
    <w:rsid w:val="00146866"/>
    <w:rsid w:val="001469C7"/>
    <w:rsid w:val="00146CD1"/>
    <w:rsid w:val="00146D95"/>
    <w:rsid w:val="00146F6F"/>
    <w:rsid w:val="001473C4"/>
    <w:rsid w:val="00147A84"/>
    <w:rsid w:val="00147B92"/>
    <w:rsid w:val="00147D69"/>
    <w:rsid w:val="00147D86"/>
    <w:rsid w:val="00147D9A"/>
    <w:rsid w:val="00147FC9"/>
    <w:rsid w:val="00147FCE"/>
    <w:rsid w:val="001502FA"/>
    <w:rsid w:val="0015060A"/>
    <w:rsid w:val="00150D32"/>
    <w:rsid w:val="00150F8D"/>
    <w:rsid w:val="001511E4"/>
    <w:rsid w:val="00151E56"/>
    <w:rsid w:val="001521B0"/>
    <w:rsid w:val="00152418"/>
    <w:rsid w:val="001524F6"/>
    <w:rsid w:val="0015255D"/>
    <w:rsid w:val="0015258F"/>
    <w:rsid w:val="00152924"/>
    <w:rsid w:val="00152F5A"/>
    <w:rsid w:val="001532DA"/>
    <w:rsid w:val="0015378A"/>
    <w:rsid w:val="00153936"/>
    <w:rsid w:val="00153BDB"/>
    <w:rsid w:val="00153BF7"/>
    <w:rsid w:val="00153CA7"/>
    <w:rsid w:val="00154048"/>
    <w:rsid w:val="001547D8"/>
    <w:rsid w:val="00154988"/>
    <w:rsid w:val="00154CDA"/>
    <w:rsid w:val="00154DC8"/>
    <w:rsid w:val="001553A5"/>
    <w:rsid w:val="0015578E"/>
    <w:rsid w:val="001559EB"/>
    <w:rsid w:val="00155D4F"/>
    <w:rsid w:val="00155D68"/>
    <w:rsid w:val="00155F6F"/>
    <w:rsid w:val="001565B2"/>
    <w:rsid w:val="0015663E"/>
    <w:rsid w:val="0015687E"/>
    <w:rsid w:val="00156A28"/>
    <w:rsid w:val="00156ADB"/>
    <w:rsid w:val="00156E68"/>
    <w:rsid w:val="0015721B"/>
    <w:rsid w:val="00157490"/>
    <w:rsid w:val="001574F9"/>
    <w:rsid w:val="00157565"/>
    <w:rsid w:val="00157731"/>
    <w:rsid w:val="00157BB8"/>
    <w:rsid w:val="00157C5F"/>
    <w:rsid w:val="00160263"/>
    <w:rsid w:val="00160718"/>
    <w:rsid w:val="00160933"/>
    <w:rsid w:val="00160B71"/>
    <w:rsid w:val="00160BFF"/>
    <w:rsid w:val="00161029"/>
    <w:rsid w:val="001616DB"/>
    <w:rsid w:val="00161754"/>
    <w:rsid w:val="00161D8B"/>
    <w:rsid w:val="00161F40"/>
    <w:rsid w:val="00162272"/>
    <w:rsid w:val="001629FF"/>
    <w:rsid w:val="00162C2B"/>
    <w:rsid w:val="0016318B"/>
    <w:rsid w:val="00163279"/>
    <w:rsid w:val="00163295"/>
    <w:rsid w:val="00163DAE"/>
    <w:rsid w:val="00163FFD"/>
    <w:rsid w:val="00164154"/>
    <w:rsid w:val="001641D8"/>
    <w:rsid w:val="00164205"/>
    <w:rsid w:val="00164256"/>
    <w:rsid w:val="001644C7"/>
    <w:rsid w:val="00164510"/>
    <w:rsid w:val="0016478A"/>
    <w:rsid w:val="00164B55"/>
    <w:rsid w:val="00164F15"/>
    <w:rsid w:val="00164F3A"/>
    <w:rsid w:val="00165132"/>
    <w:rsid w:val="00165500"/>
    <w:rsid w:val="00165572"/>
    <w:rsid w:val="0016568E"/>
    <w:rsid w:val="00165986"/>
    <w:rsid w:val="00165E2E"/>
    <w:rsid w:val="00165F06"/>
    <w:rsid w:val="00165FB1"/>
    <w:rsid w:val="0016615E"/>
    <w:rsid w:val="00166526"/>
    <w:rsid w:val="001666C6"/>
    <w:rsid w:val="00166786"/>
    <w:rsid w:val="001668D4"/>
    <w:rsid w:val="001668F8"/>
    <w:rsid w:val="00166A0E"/>
    <w:rsid w:val="00166BE7"/>
    <w:rsid w:val="00166F06"/>
    <w:rsid w:val="00167084"/>
    <w:rsid w:val="00167399"/>
    <w:rsid w:val="001674F3"/>
    <w:rsid w:val="00167F18"/>
    <w:rsid w:val="0017039F"/>
    <w:rsid w:val="00170EA2"/>
    <w:rsid w:val="00170F4E"/>
    <w:rsid w:val="00171183"/>
    <w:rsid w:val="00171352"/>
    <w:rsid w:val="00171825"/>
    <w:rsid w:val="00171892"/>
    <w:rsid w:val="001718F4"/>
    <w:rsid w:val="00171B9F"/>
    <w:rsid w:val="00171CE8"/>
    <w:rsid w:val="001720C8"/>
    <w:rsid w:val="001721C2"/>
    <w:rsid w:val="001722EA"/>
    <w:rsid w:val="001723A2"/>
    <w:rsid w:val="00172A20"/>
    <w:rsid w:val="00172AC8"/>
    <w:rsid w:val="00172FFD"/>
    <w:rsid w:val="001734A3"/>
    <w:rsid w:val="001735EB"/>
    <w:rsid w:val="00173D92"/>
    <w:rsid w:val="0017428F"/>
    <w:rsid w:val="00174309"/>
    <w:rsid w:val="001749DD"/>
    <w:rsid w:val="00174DA6"/>
    <w:rsid w:val="00174FFA"/>
    <w:rsid w:val="0017526E"/>
    <w:rsid w:val="00175447"/>
    <w:rsid w:val="00175A33"/>
    <w:rsid w:val="00175AC9"/>
    <w:rsid w:val="00175C40"/>
    <w:rsid w:val="00175DFF"/>
    <w:rsid w:val="0017621C"/>
    <w:rsid w:val="001762DA"/>
    <w:rsid w:val="001762FA"/>
    <w:rsid w:val="00176355"/>
    <w:rsid w:val="001764EE"/>
    <w:rsid w:val="00176970"/>
    <w:rsid w:val="001769B3"/>
    <w:rsid w:val="00176D6D"/>
    <w:rsid w:val="00176F4F"/>
    <w:rsid w:val="001772DE"/>
    <w:rsid w:val="001775FB"/>
    <w:rsid w:val="00177BA8"/>
    <w:rsid w:val="0018030E"/>
    <w:rsid w:val="001808A8"/>
    <w:rsid w:val="001808CD"/>
    <w:rsid w:val="00180BB4"/>
    <w:rsid w:val="00180BF3"/>
    <w:rsid w:val="00180CDD"/>
    <w:rsid w:val="00180D24"/>
    <w:rsid w:val="00180D75"/>
    <w:rsid w:val="00180EB7"/>
    <w:rsid w:val="00181194"/>
    <w:rsid w:val="001812B1"/>
    <w:rsid w:val="001817C4"/>
    <w:rsid w:val="0018190F"/>
    <w:rsid w:val="00181988"/>
    <w:rsid w:val="00181D42"/>
    <w:rsid w:val="00181E59"/>
    <w:rsid w:val="00181E85"/>
    <w:rsid w:val="0018213F"/>
    <w:rsid w:val="001822D6"/>
    <w:rsid w:val="001823EA"/>
    <w:rsid w:val="0018279F"/>
    <w:rsid w:val="001829C3"/>
    <w:rsid w:val="00182E76"/>
    <w:rsid w:val="00182FBB"/>
    <w:rsid w:val="00183125"/>
    <w:rsid w:val="00183364"/>
    <w:rsid w:val="00183369"/>
    <w:rsid w:val="00183393"/>
    <w:rsid w:val="001833C1"/>
    <w:rsid w:val="001840F7"/>
    <w:rsid w:val="001847A9"/>
    <w:rsid w:val="00184EDC"/>
    <w:rsid w:val="00184EF1"/>
    <w:rsid w:val="001853DC"/>
    <w:rsid w:val="001857FA"/>
    <w:rsid w:val="001858A3"/>
    <w:rsid w:val="0018593C"/>
    <w:rsid w:val="00185DC2"/>
    <w:rsid w:val="00185F68"/>
    <w:rsid w:val="00186038"/>
    <w:rsid w:val="001860DD"/>
    <w:rsid w:val="0018647A"/>
    <w:rsid w:val="001864A2"/>
    <w:rsid w:val="0018655D"/>
    <w:rsid w:val="00186660"/>
    <w:rsid w:val="00186752"/>
    <w:rsid w:val="001867DE"/>
    <w:rsid w:val="00186C3D"/>
    <w:rsid w:val="00186FBD"/>
    <w:rsid w:val="00186FE6"/>
    <w:rsid w:val="0018718D"/>
    <w:rsid w:val="001872C3"/>
    <w:rsid w:val="001877C0"/>
    <w:rsid w:val="00187810"/>
    <w:rsid w:val="00187C13"/>
    <w:rsid w:val="00187C64"/>
    <w:rsid w:val="001902AE"/>
    <w:rsid w:val="00190A3B"/>
    <w:rsid w:val="00190B3F"/>
    <w:rsid w:val="00190D52"/>
    <w:rsid w:val="00190F95"/>
    <w:rsid w:val="00190F9D"/>
    <w:rsid w:val="001915DD"/>
    <w:rsid w:val="00191A03"/>
    <w:rsid w:val="00191C31"/>
    <w:rsid w:val="00191DC6"/>
    <w:rsid w:val="0019256A"/>
    <w:rsid w:val="001927BC"/>
    <w:rsid w:val="0019280B"/>
    <w:rsid w:val="00192B72"/>
    <w:rsid w:val="00192DEF"/>
    <w:rsid w:val="00192EC5"/>
    <w:rsid w:val="00192F5D"/>
    <w:rsid w:val="001931A9"/>
    <w:rsid w:val="001931AA"/>
    <w:rsid w:val="0019328E"/>
    <w:rsid w:val="0019330C"/>
    <w:rsid w:val="001933CD"/>
    <w:rsid w:val="00193402"/>
    <w:rsid w:val="00193588"/>
    <w:rsid w:val="0019368A"/>
    <w:rsid w:val="00193CC8"/>
    <w:rsid w:val="00193D80"/>
    <w:rsid w:val="00193DB3"/>
    <w:rsid w:val="00193F10"/>
    <w:rsid w:val="00193F35"/>
    <w:rsid w:val="001944B2"/>
    <w:rsid w:val="00194839"/>
    <w:rsid w:val="00194A00"/>
    <w:rsid w:val="00194CCB"/>
    <w:rsid w:val="00194F90"/>
    <w:rsid w:val="0019526E"/>
    <w:rsid w:val="00195306"/>
    <w:rsid w:val="00195685"/>
    <w:rsid w:val="001959B1"/>
    <w:rsid w:val="001959F1"/>
    <w:rsid w:val="00195B70"/>
    <w:rsid w:val="00195C94"/>
    <w:rsid w:val="00195E2A"/>
    <w:rsid w:val="00196073"/>
    <w:rsid w:val="00196293"/>
    <w:rsid w:val="00196496"/>
    <w:rsid w:val="00196A05"/>
    <w:rsid w:val="00196A36"/>
    <w:rsid w:val="00196A61"/>
    <w:rsid w:val="00196AE1"/>
    <w:rsid w:val="00196BC5"/>
    <w:rsid w:val="00196C1B"/>
    <w:rsid w:val="001971DC"/>
    <w:rsid w:val="001974C4"/>
    <w:rsid w:val="001979FC"/>
    <w:rsid w:val="00197EDE"/>
    <w:rsid w:val="001A0288"/>
    <w:rsid w:val="001A052C"/>
    <w:rsid w:val="001A06CC"/>
    <w:rsid w:val="001A0AB3"/>
    <w:rsid w:val="001A0C28"/>
    <w:rsid w:val="001A0F63"/>
    <w:rsid w:val="001A122B"/>
    <w:rsid w:val="001A16E4"/>
    <w:rsid w:val="001A1701"/>
    <w:rsid w:val="001A1E58"/>
    <w:rsid w:val="001A1FB4"/>
    <w:rsid w:val="001A21A5"/>
    <w:rsid w:val="001A21CC"/>
    <w:rsid w:val="001A2214"/>
    <w:rsid w:val="001A222C"/>
    <w:rsid w:val="001A2407"/>
    <w:rsid w:val="001A257A"/>
    <w:rsid w:val="001A25DC"/>
    <w:rsid w:val="001A27D6"/>
    <w:rsid w:val="001A2B3A"/>
    <w:rsid w:val="001A2BAF"/>
    <w:rsid w:val="001A2F74"/>
    <w:rsid w:val="001A32DF"/>
    <w:rsid w:val="001A3431"/>
    <w:rsid w:val="001A3AB0"/>
    <w:rsid w:val="001A3AB1"/>
    <w:rsid w:val="001A3D88"/>
    <w:rsid w:val="001A3DB6"/>
    <w:rsid w:val="001A42D0"/>
    <w:rsid w:val="001A4428"/>
    <w:rsid w:val="001A4999"/>
    <w:rsid w:val="001A4C69"/>
    <w:rsid w:val="001A4F59"/>
    <w:rsid w:val="001A504F"/>
    <w:rsid w:val="001A5161"/>
    <w:rsid w:val="001A541A"/>
    <w:rsid w:val="001A54D9"/>
    <w:rsid w:val="001A5894"/>
    <w:rsid w:val="001A5957"/>
    <w:rsid w:val="001A59B9"/>
    <w:rsid w:val="001A5BAF"/>
    <w:rsid w:val="001A5DAA"/>
    <w:rsid w:val="001A60B3"/>
    <w:rsid w:val="001A61A3"/>
    <w:rsid w:val="001A6B9B"/>
    <w:rsid w:val="001A6CF8"/>
    <w:rsid w:val="001A6E38"/>
    <w:rsid w:val="001A6FCA"/>
    <w:rsid w:val="001A70CE"/>
    <w:rsid w:val="001A7738"/>
    <w:rsid w:val="001A7887"/>
    <w:rsid w:val="001A78B6"/>
    <w:rsid w:val="001A7BA8"/>
    <w:rsid w:val="001A7C0A"/>
    <w:rsid w:val="001A7E4F"/>
    <w:rsid w:val="001A7EB1"/>
    <w:rsid w:val="001B07CB"/>
    <w:rsid w:val="001B0C0E"/>
    <w:rsid w:val="001B0CC8"/>
    <w:rsid w:val="001B0ED5"/>
    <w:rsid w:val="001B11AF"/>
    <w:rsid w:val="001B120D"/>
    <w:rsid w:val="001B180C"/>
    <w:rsid w:val="001B18FB"/>
    <w:rsid w:val="001B1F24"/>
    <w:rsid w:val="001B20A2"/>
    <w:rsid w:val="001B2239"/>
    <w:rsid w:val="001B28FD"/>
    <w:rsid w:val="001B2A66"/>
    <w:rsid w:val="001B2B98"/>
    <w:rsid w:val="001B2BCD"/>
    <w:rsid w:val="001B2BF9"/>
    <w:rsid w:val="001B2C2C"/>
    <w:rsid w:val="001B2F0D"/>
    <w:rsid w:val="001B3352"/>
    <w:rsid w:val="001B348F"/>
    <w:rsid w:val="001B36A0"/>
    <w:rsid w:val="001B3767"/>
    <w:rsid w:val="001B3829"/>
    <w:rsid w:val="001B39C7"/>
    <w:rsid w:val="001B3BE4"/>
    <w:rsid w:val="001B3EAD"/>
    <w:rsid w:val="001B43E3"/>
    <w:rsid w:val="001B4572"/>
    <w:rsid w:val="001B51AA"/>
    <w:rsid w:val="001B5507"/>
    <w:rsid w:val="001B59AB"/>
    <w:rsid w:val="001B6000"/>
    <w:rsid w:val="001B610E"/>
    <w:rsid w:val="001B703B"/>
    <w:rsid w:val="001B74BD"/>
    <w:rsid w:val="001B77EA"/>
    <w:rsid w:val="001B7831"/>
    <w:rsid w:val="001B7982"/>
    <w:rsid w:val="001B7CC1"/>
    <w:rsid w:val="001C0634"/>
    <w:rsid w:val="001C0B15"/>
    <w:rsid w:val="001C0B87"/>
    <w:rsid w:val="001C0DEA"/>
    <w:rsid w:val="001C0E52"/>
    <w:rsid w:val="001C12BB"/>
    <w:rsid w:val="001C12BF"/>
    <w:rsid w:val="001C1358"/>
    <w:rsid w:val="001C1A17"/>
    <w:rsid w:val="001C1C2F"/>
    <w:rsid w:val="001C1C37"/>
    <w:rsid w:val="001C2115"/>
    <w:rsid w:val="001C2157"/>
    <w:rsid w:val="001C22C6"/>
    <w:rsid w:val="001C28FB"/>
    <w:rsid w:val="001C2988"/>
    <w:rsid w:val="001C2E51"/>
    <w:rsid w:val="001C313E"/>
    <w:rsid w:val="001C319D"/>
    <w:rsid w:val="001C3609"/>
    <w:rsid w:val="001C36BA"/>
    <w:rsid w:val="001C385E"/>
    <w:rsid w:val="001C3891"/>
    <w:rsid w:val="001C3C63"/>
    <w:rsid w:val="001C3FD8"/>
    <w:rsid w:val="001C479E"/>
    <w:rsid w:val="001C508C"/>
    <w:rsid w:val="001C545A"/>
    <w:rsid w:val="001C5688"/>
    <w:rsid w:val="001C5D3B"/>
    <w:rsid w:val="001C5D60"/>
    <w:rsid w:val="001C5DDB"/>
    <w:rsid w:val="001C6325"/>
    <w:rsid w:val="001C6CE3"/>
    <w:rsid w:val="001C705E"/>
    <w:rsid w:val="001C7424"/>
    <w:rsid w:val="001C7E1E"/>
    <w:rsid w:val="001D0146"/>
    <w:rsid w:val="001D0205"/>
    <w:rsid w:val="001D05B2"/>
    <w:rsid w:val="001D0688"/>
    <w:rsid w:val="001D0818"/>
    <w:rsid w:val="001D0F85"/>
    <w:rsid w:val="001D1053"/>
    <w:rsid w:val="001D1064"/>
    <w:rsid w:val="001D109D"/>
    <w:rsid w:val="001D1728"/>
    <w:rsid w:val="001D197C"/>
    <w:rsid w:val="001D1C83"/>
    <w:rsid w:val="001D1F72"/>
    <w:rsid w:val="001D1F9D"/>
    <w:rsid w:val="001D2152"/>
    <w:rsid w:val="001D2432"/>
    <w:rsid w:val="001D2568"/>
    <w:rsid w:val="001D263D"/>
    <w:rsid w:val="001D2660"/>
    <w:rsid w:val="001D2A14"/>
    <w:rsid w:val="001D2E65"/>
    <w:rsid w:val="001D2F14"/>
    <w:rsid w:val="001D3085"/>
    <w:rsid w:val="001D337F"/>
    <w:rsid w:val="001D38E8"/>
    <w:rsid w:val="001D3A4C"/>
    <w:rsid w:val="001D3C2C"/>
    <w:rsid w:val="001D3E26"/>
    <w:rsid w:val="001D4577"/>
    <w:rsid w:val="001D4807"/>
    <w:rsid w:val="001D4838"/>
    <w:rsid w:val="001D49D0"/>
    <w:rsid w:val="001D49DF"/>
    <w:rsid w:val="001D4CD0"/>
    <w:rsid w:val="001D4D59"/>
    <w:rsid w:val="001D4F4A"/>
    <w:rsid w:val="001D52BF"/>
    <w:rsid w:val="001D5363"/>
    <w:rsid w:val="001D5463"/>
    <w:rsid w:val="001D5651"/>
    <w:rsid w:val="001D5781"/>
    <w:rsid w:val="001D5A9E"/>
    <w:rsid w:val="001D5AB5"/>
    <w:rsid w:val="001D5EAD"/>
    <w:rsid w:val="001D627E"/>
    <w:rsid w:val="001D640E"/>
    <w:rsid w:val="001D6523"/>
    <w:rsid w:val="001D6714"/>
    <w:rsid w:val="001D6AE7"/>
    <w:rsid w:val="001D6F49"/>
    <w:rsid w:val="001D71F7"/>
    <w:rsid w:val="001D730A"/>
    <w:rsid w:val="001D73DC"/>
    <w:rsid w:val="001D746C"/>
    <w:rsid w:val="001D77F0"/>
    <w:rsid w:val="001D7C35"/>
    <w:rsid w:val="001D7C99"/>
    <w:rsid w:val="001D7C9F"/>
    <w:rsid w:val="001D7DD5"/>
    <w:rsid w:val="001E01E8"/>
    <w:rsid w:val="001E0295"/>
    <w:rsid w:val="001E0530"/>
    <w:rsid w:val="001E05A3"/>
    <w:rsid w:val="001E0716"/>
    <w:rsid w:val="001E0D05"/>
    <w:rsid w:val="001E0DF8"/>
    <w:rsid w:val="001E1524"/>
    <w:rsid w:val="001E18F7"/>
    <w:rsid w:val="001E194E"/>
    <w:rsid w:val="001E1D2F"/>
    <w:rsid w:val="001E1E08"/>
    <w:rsid w:val="001E20AF"/>
    <w:rsid w:val="001E2125"/>
    <w:rsid w:val="001E21AC"/>
    <w:rsid w:val="001E309C"/>
    <w:rsid w:val="001E31D0"/>
    <w:rsid w:val="001E31D8"/>
    <w:rsid w:val="001E345F"/>
    <w:rsid w:val="001E353C"/>
    <w:rsid w:val="001E39AB"/>
    <w:rsid w:val="001E3C09"/>
    <w:rsid w:val="001E3C9C"/>
    <w:rsid w:val="001E470A"/>
    <w:rsid w:val="001E4AE7"/>
    <w:rsid w:val="001E4C6C"/>
    <w:rsid w:val="001E4E0A"/>
    <w:rsid w:val="001E4F20"/>
    <w:rsid w:val="001E5463"/>
    <w:rsid w:val="001E5609"/>
    <w:rsid w:val="001E5CDD"/>
    <w:rsid w:val="001E5EEA"/>
    <w:rsid w:val="001E5EEF"/>
    <w:rsid w:val="001E61C2"/>
    <w:rsid w:val="001E6297"/>
    <w:rsid w:val="001E641F"/>
    <w:rsid w:val="001E6661"/>
    <w:rsid w:val="001E6A50"/>
    <w:rsid w:val="001E6B71"/>
    <w:rsid w:val="001E6DD4"/>
    <w:rsid w:val="001E6F0C"/>
    <w:rsid w:val="001E728B"/>
    <w:rsid w:val="001E7454"/>
    <w:rsid w:val="001E7456"/>
    <w:rsid w:val="001E7488"/>
    <w:rsid w:val="001E776C"/>
    <w:rsid w:val="001E7A66"/>
    <w:rsid w:val="001F0150"/>
    <w:rsid w:val="001F02AF"/>
    <w:rsid w:val="001F0645"/>
    <w:rsid w:val="001F0862"/>
    <w:rsid w:val="001F0A08"/>
    <w:rsid w:val="001F0AB7"/>
    <w:rsid w:val="001F189D"/>
    <w:rsid w:val="001F1D94"/>
    <w:rsid w:val="001F216A"/>
    <w:rsid w:val="001F2262"/>
    <w:rsid w:val="001F24A9"/>
    <w:rsid w:val="001F2863"/>
    <w:rsid w:val="001F28B7"/>
    <w:rsid w:val="001F2989"/>
    <w:rsid w:val="001F2A57"/>
    <w:rsid w:val="001F311F"/>
    <w:rsid w:val="001F3528"/>
    <w:rsid w:val="001F354D"/>
    <w:rsid w:val="001F3875"/>
    <w:rsid w:val="001F3D2E"/>
    <w:rsid w:val="001F3DC1"/>
    <w:rsid w:val="001F4161"/>
    <w:rsid w:val="001F44FB"/>
    <w:rsid w:val="001F4584"/>
    <w:rsid w:val="001F6A0C"/>
    <w:rsid w:val="001F6DFF"/>
    <w:rsid w:val="001F715E"/>
    <w:rsid w:val="001F74D0"/>
    <w:rsid w:val="001F7592"/>
    <w:rsid w:val="001F7628"/>
    <w:rsid w:val="001F7B26"/>
    <w:rsid w:val="001F7EB7"/>
    <w:rsid w:val="001F7F94"/>
    <w:rsid w:val="002001B2"/>
    <w:rsid w:val="00200201"/>
    <w:rsid w:val="0020063F"/>
    <w:rsid w:val="00200783"/>
    <w:rsid w:val="002007C0"/>
    <w:rsid w:val="002009CE"/>
    <w:rsid w:val="00200B74"/>
    <w:rsid w:val="00200EC2"/>
    <w:rsid w:val="0020129E"/>
    <w:rsid w:val="0020132B"/>
    <w:rsid w:val="00201756"/>
    <w:rsid w:val="002017F3"/>
    <w:rsid w:val="00201917"/>
    <w:rsid w:val="002019B0"/>
    <w:rsid w:val="00201D11"/>
    <w:rsid w:val="00201DF1"/>
    <w:rsid w:val="00202120"/>
    <w:rsid w:val="002028F8"/>
    <w:rsid w:val="00202A50"/>
    <w:rsid w:val="00202D72"/>
    <w:rsid w:val="00202DFE"/>
    <w:rsid w:val="00202F05"/>
    <w:rsid w:val="002030CA"/>
    <w:rsid w:val="002031EC"/>
    <w:rsid w:val="0020349F"/>
    <w:rsid w:val="00203836"/>
    <w:rsid w:val="00203AA1"/>
    <w:rsid w:val="00203BEA"/>
    <w:rsid w:val="00203ED4"/>
    <w:rsid w:val="00204001"/>
    <w:rsid w:val="00204F24"/>
    <w:rsid w:val="00205208"/>
    <w:rsid w:val="00205325"/>
    <w:rsid w:val="002054AA"/>
    <w:rsid w:val="002055D8"/>
    <w:rsid w:val="002056BE"/>
    <w:rsid w:val="00205871"/>
    <w:rsid w:val="00205AF7"/>
    <w:rsid w:val="00205B50"/>
    <w:rsid w:val="00206305"/>
    <w:rsid w:val="00206314"/>
    <w:rsid w:val="002063BD"/>
    <w:rsid w:val="00206507"/>
    <w:rsid w:val="0020688F"/>
    <w:rsid w:val="00206D28"/>
    <w:rsid w:val="00206DED"/>
    <w:rsid w:val="00207252"/>
    <w:rsid w:val="00207E07"/>
    <w:rsid w:val="00207FAC"/>
    <w:rsid w:val="00210124"/>
    <w:rsid w:val="0021012F"/>
    <w:rsid w:val="00210175"/>
    <w:rsid w:val="00210192"/>
    <w:rsid w:val="002101B9"/>
    <w:rsid w:val="0021057E"/>
    <w:rsid w:val="00210623"/>
    <w:rsid w:val="002106EB"/>
    <w:rsid w:val="002108FF"/>
    <w:rsid w:val="00210E57"/>
    <w:rsid w:val="00210EAA"/>
    <w:rsid w:val="002114DD"/>
    <w:rsid w:val="00211A28"/>
    <w:rsid w:val="00211BDC"/>
    <w:rsid w:val="00211FEC"/>
    <w:rsid w:val="0021232E"/>
    <w:rsid w:val="00212682"/>
    <w:rsid w:val="00212693"/>
    <w:rsid w:val="002128AB"/>
    <w:rsid w:val="002128AF"/>
    <w:rsid w:val="00212A6F"/>
    <w:rsid w:val="00212B41"/>
    <w:rsid w:val="00212B6C"/>
    <w:rsid w:val="00212CD6"/>
    <w:rsid w:val="00212FCE"/>
    <w:rsid w:val="00213531"/>
    <w:rsid w:val="00213619"/>
    <w:rsid w:val="0021368E"/>
    <w:rsid w:val="002136F8"/>
    <w:rsid w:val="00213883"/>
    <w:rsid w:val="00213ACA"/>
    <w:rsid w:val="00213ACB"/>
    <w:rsid w:val="00213AF3"/>
    <w:rsid w:val="00213B3F"/>
    <w:rsid w:val="00213EF5"/>
    <w:rsid w:val="0021421F"/>
    <w:rsid w:val="00214455"/>
    <w:rsid w:val="002145C7"/>
    <w:rsid w:val="002148A1"/>
    <w:rsid w:val="002148CC"/>
    <w:rsid w:val="0021492B"/>
    <w:rsid w:val="00214E44"/>
    <w:rsid w:val="00214EDF"/>
    <w:rsid w:val="00214EF6"/>
    <w:rsid w:val="002150BC"/>
    <w:rsid w:val="00215121"/>
    <w:rsid w:val="002151AE"/>
    <w:rsid w:val="0021520F"/>
    <w:rsid w:val="00215221"/>
    <w:rsid w:val="002153FB"/>
    <w:rsid w:val="0021541C"/>
    <w:rsid w:val="00215945"/>
    <w:rsid w:val="00215F13"/>
    <w:rsid w:val="0021655C"/>
    <w:rsid w:val="00216778"/>
    <w:rsid w:val="00216B31"/>
    <w:rsid w:val="00216C56"/>
    <w:rsid w:val="00216D48"/>
    <w:rsid w:val="00216ECC"/>
    <w:rsid w:val="002171BD"/>
    <w:rsid w:val="002177DF"/>
    <w:rsid w:val="00217A43"/>
    <w:rsid w:val="00217AE8"/>
    <w:rsid w:val="00217C05"/>
    <w:rsid w:val="00217DD6"/>
    <w:rsid w:val="00217F8F"/>
    <w:rsid w:val="00217FAE"/>
    <w:rsid w:val="00220344"/>
    <w:rsid w:val="00220A64"/>
    <w:rsid w:val="00220DA1"/>
    <w:rsid w:val="00220F8F"/>
    <w:rsid w:val="00221021"/>
    <w:rsid w:val="002210E9"/>
    <w:rsid w:val="00221335"/>
    <w:rsid w:val="00221906"/>
    <w:rsid w:val="00221BC3"/>
    <w:rsid w:val="00222034"/>
    <w:rsid w:val="00222433"/>
    <w:rsid w:val="00222637"/>
    <w:rsid w:val="00222857"/>
    <w:rsid w:val="00222B08"/>
    <w:rsid w:val="00222B18"/>
    <w:rsid w:val="00222ECE"/>
    <w:rsid w:val="0022324F"/>
    <w:rsid w:val="00223280"/>
    <w:rsid w:val="002232D0"/>
    <w:rsid w:val="0022331D"/>
    <w:rsid w:val="002233B0"/>
    <w:rsid w:val="00223CA1"/>
    <w:rsid w:val="002240D4"/>
    <w:rsid w:val="002249F3"/>
    <w:rsid w:val="00224A31"/>
    <w:rsid w:val="00224D5A"/>
    <w:rsid w:val="00224E17"/>
    <w:rsid w:val="00225035"/>
    <w:rsid w:val="00225137"/>
    <w:rsid w:val="0022597E"/>
    <w:rsid w:val="00225C02"/>
    <w:rsid w:val="00225DCA"/>
    <w:rsid w:val="00225E87"/>
    <w:rsid w:val="00225F3A"/>
    <w:rsid w:val="0022609D"/>
    <w:rsid w:val="00226324"/>
    <w:rsid w:val="002263AC"/>
    <w:rsid w:val="0022656A"/>
    <w:rsid w:val="002265C4"/>
    <w:rsid w:val="00226B71"/>
    <w:rsid w:val="002272B2"/>
    <w:rsid w:val="002274F6"/>
    <w:rsid w:val="0022769E"/>
    <w:rsid w:val="00227CB6"/>
    <w:rsid w:val="00230244"/>
    <w:rsid w:val="002304D3"/>
    <w:rsid w:val="002305FE"/>
    <w:rsid w:val="00230674"/>
    <w:rsid w:val="002307B4"/>
    <w:rsid w:val="00230826"/>
    <w:rsid w:val="00230A8F"/>
    <w:rsid w:val="00230D65"/>
    <w:rsid w:val="0023101B"/>
    <w:rsid w:val="00231070"/>
    <w:rsid w:val="002318EA"/>
    <w:rsid w:val="002319CC"/>
    <w:rsid w:val="00231A69"/>
    <w:rsid w:val="00231AB5"/>
    <w:rsid w:val="00231AD2"/>
    <w:rsid w:val="00231B0F"/>
    <w:rsid w:val="00231F3F"/>
    <w:rsid w:val="0023230B"/>
    <w:rsid w:val="002325B7"/>
    <w:rsid w:val="00232629"/>
    <w:rsid w:val="002328B6"/>
    <w:rsid w:val="00232B2E"/>
    <w:rsid w:val="00232C94"/>
    <w:rsid w:val="00232D8B"/>
    <w:rsid w:val="00232F04"/>
    <w:rsid w:val="00232F8A"/>
    <w:rsid w:val="00233147"/>
    <w:rsid w:val="00233155"/>
    <w:rsid w:val="0023384A"/>
    <w:rsid w:val="002338B1"/>
    <w:rsid w:val="002338CB"/>
    <w:rsid w:val="002339BD"/>
    <w:rsid w:val="00233B4E"/>
    <w:rsid w:val="00234291"/>
    <w:rsid w:val="002344B5"/>
    <w:rsid w:val="002346EB"/>
    <w:rsid w:val="00234A36"/>
    <w:rsid w:val="00234F07"/>
    <w:rsid w:val="00235156"/>
    <w:rsid w:val="00235394"/>
    <w:rsid w:val="0023546B"/>
    <w:rsid w:val="0023549B"/>
    <w:rsid w:val="00235872"/>
    <w:rsid w:val="00235BB5"/>
    <w:rsid w:val="00235DC5"/>
    <w:rsid w:val="00235F3C"/>
    <w:rsid w:val="002362E1"/>
    <w:rsid w:val="002364A0"/>
    <w:rsid w:val="0023687B"/>
    <w:rsid w:val="002368C4"/>
    <w:rsid w:val="00236A54"/>
    <w:rsid w:val="00236B36"/>
    <w:rsid w:val="00236F16"/>
    <w:rsid w:val="0023757E"/>
    <w:rsid w:val="00237A44"/>
    <w:rsid w:val="00237BB3"/>
    <w:rsid w:val="00240059"/>
    <w:rsid w:val="0024011A"/>
    <w:rsid w:val="0024015D"/>
    <w:rsid w:val="002403FE"/>
    <w:rsid w:val="00240955"/>
    <w:rsid w:val="00240D23"/>
    <w:rsid w:val="00241401"/>
    <w:rsid w:val="0024148B"/>
    <w:rsid w:val="0024193A"/>
    <w:rsid w:val="00241A55"/>
    <w:rsid w:val="00241A77"/>
    <w:rsid w:val="0024215E"/>
    <w:rsid w:val="00242230"/>
    <w:rsid w:val="0024228C"/>
    <w:rsid w:val="00242D8F"/>
    <w:rsid w:val="00242E24"/>
    <w:rsid w:val="002433B2"/>
    <w:rsid w:val="00243739"/>
    <w:rsid w:val="0024460A"/>
    <w:rsid w:val="002446F3"/>
    <w:rsid w:val="002446F9"/>
    <w:rsid w:val="00244DE2"/>
    <w:rsid w:val="00244F22"/>
    <w:rsid w:val="00244F3D"/>
    <w:rsid w:val="00244F82"/>
    <w:rsid w:val="00244FCF"/>
    <w:rsid w:val="002453C4"/>
    <w:rsid w:val="00245BBE"/>
    <w:rsid w:val="00245D9D"/>
    <w:rsid w:val="00245E5D"/>
    <w:rsid w:val="002461C6"/>
    <w:rsid w:val="0024673C"/>
    <w:rsid w:val="00246950"/>
    <w:rsid w:val="00246D5F"/>
    <w:rsid w:val="0025026E"/>
    <w:rsid w:val="00250578"/>
    <w:rsid w:val="00250731"/>
    <w:rsid w:val="00250BEF"/>
    <w:rsid w:val="00250C27"/>
    <w:rsid w:val="00250F04"/>
    <w:rsid w:val="00250F49"/>
    <w:rsid w:val="00250FDA"/>
    <w:rsid w:val="00251165"/>
    <w:rsid w:val="0025140C"/>
    <w:rsid w:val="00251420"/>
    <w:rsid w:val="0025172D"/>
    <w:rsid w:val="0025189D"/>
    <w:rsid w:val="002519AA"/>
    <w:rsid w:val="002519C3"/>
    <w:rsid w:val="00251BD6"/>
    <w:rsid w:val="00251E97"/>
    <w:rsid w:val="00251F6E"/>
    <w:rsid w:val="002523B0"/>
    <w:rsid w:val="002525F9"/>
    <w:rsid w:val="00252FD3"/>
    <w:rsid w:val="0025317E"/>
    <w:rsid w:val="002534FE"/>
    <w:rsid w:val="00253548"/>
    <w:rsid w:val="002538E1"/>
    <w:rsid w:val="00253A53"/>
    <w:rsid w:val="00253B89"/>
    <w:rsid w:val="00253C8F"/>
    <w:rsid w:val="00253E2E"/>
    <w:rsid w:val="00254015"/>
    <w:rsid w:val="0025401D"/>
    <w:rsid w:val="00254053"/>
    <w:rsid w:val="00254E1B"/>
    <w:rsid w:val="00255229"/>
    <w:rsid w:val="00255AEB"/>
    <w:rsid w:val="00255FB2"/>
    <w:rsid w:val="00255FB4"/>
    <w:rsid w:val="002563F6"/>
    <w:rsid w:val="0025642F"/>
    <w:rsid w:val="00256450"/>
    <w:rsid w:val="00256F6D"/>
    <w:rsid w:val="002570DF"/>
    <w:rsid w:val="00257114"/>
    <w:rsid w:val="002574B3"/>
    <w:rsid w:val="00257B0A"/>
    <w:rsid w:val="002602EA"/>
    <w:rsid w:val="00260618"/>
    <w:rsid w:val="002606EB"/>
    <w:rsid w:val="00260BE9"/>
    <w:rsid w:val="00260E7E"/>
    <w:rsid w:val="00261392"/>
    <w:rsid w:val="00261917"/>
    <w:rsid w:val="00261A7F"/>
    <w:rsid w:val="00261D10"/>
    <w:rsid w:val="00261DF6"/>
    <w:rsid w:val="00261E2F"/>
    <w:rsid w:val="00261E89"/>
    <w:rsid w:val="002623AF"/>
    <w:rsid w:val="002624C1"/>
    <w:rsid w:val="00262768"/>
    <w:rsid w:val="00262931"/>
    <w:rsid w:val="00262BDB"/>
    <w:rsid w:val="00263669"/>
    <w:rsid w:val="002637AD"/>
    <w:rsid w:val="00263BB1"/>
    <w:rsid w:val="002643C8"/>
    <w:rsid w:val="00264936"/>
    <w:rsid w:val="00264E1D"/>
    <w:rsid w:val="002651D7"/>
    <w:rsid w:val="0026541F"/>
    <w:rsid w:val="0026548F"/>
    <w:rsid w:val="00265558"/>
    <w:rsid w:val="00265750"/>
    <w:rsid w:val="002657F3"/>
    <w:rsid w:val="00265830"/>
    <w:rsid w:val="00265AE9"/>
    <w:rsid w:val="00265BE2"/>
    <w:rsid w:val="00265ECD"/>
    <w:rsid w:val="0026620B"/>
    <w:rsid w:val="002664E5"/>
    <w:rsid w:val="0026668C"/>
    <w:rsid w:val="0026714A"/>
    <w:rsid w:val="002678F5"/>
    <w:rsid w:val="002702BE"/>
    <w:rsid w:val="002703B5"/>
    <w:rsid w:val="002704F1"/>
    <w:rsid w:val="00270ACB"/>
    <w:rsid w:val="00270C8D"/>
    <w:rsid w:val="00270CE7"/>
    <w:rsid w:val="002712E7"/>
    <w:rsid w:val="0027143C"/>
    <w:rsid w:val="002719C0"/>
    <w:rsid w:val="002722DA"/>
    <w:rsid w:val="00272333"/>
    <w:rsid w:val="00272439"/>
    <w:rsid w:val="002725ED"/>
    <w:rsid w:val="0027274F"/>
    <w:rsid w:val="00272786"/>
    <w:rsid w:val="002727DE"/>
    <w:rsid w:val="00272919"/>
    <w:rsid w:val="00273018"/>
    <w:rsid w:val="002732C5"/>
    <w:rsid w:val="002733D4"/>
    <w:rsid w:val="0027370C"/>
    <w:rsid w:val="00273CAD"/>
    <w:rsid w:val="00273CB8"/>
    <w:rsid w:val="00274194"/>
    <w:rsid w:val="0027434A"/>
    <w:rsid w:val="002748D4"/>
    <w:rsid w:val="002749CB"/>
    <w:rsid w:val="00274B16"/>
    <w:rsid w:val="00274CA0"/>
    <w:rsid w:val="00274CB4"/>
    <w:rsid w:val="002750D3"/>
    <w:rsid w:val="00275C86"/>
    <w:rsid w:val="00276025"/>
    <w:rsid w:val="00276124"/>
    <w:rsid w:val="00276191"/>
    <w:rsid w:val="00276295"/>
    <w:rsid w:val="002763BF"/>
    <w:rsid w:val="002764F3"/>
    <w:rsid w:val="00276BC5"/>
    <w:rsid w:val="00276C5E"/>
    <w:rsid w:val="00276C75"/>
    <w:rsid w:val="0027721A"/>
    <w:rsid w:val="002772DF"/>
    <w:rsid w:val="00277623"/>
    <w:rsid w:val="00277732"/>
    <w:rsid w:val="002778CA"/>
    <w:rsid w:val="0027798A"/>
    <w:rsid w:val="00277DCC"/>
    <w:rsid w:val="00277E68"/>
    <w:rsid w:val="00277F1B"/>
    <w:rsid w:val="00277F8B"/>
    <w:rsid w:val="0028025B"/>
    <w:rsid w:val="00280532"/>
    <w:rsid w:val="00281072"/>
    <w:rsid w:val="00281133"/>
    <w:rsid w:val="00281367"/>
    <w:rsid w:val="00281A25"/>
    <w:rsid w:val="00281ADC"/>
    <w:rsid w:val="00281BF7"/>
    <w:rsid w:val="00281C61"/>
    <w:rsid w:val="00282020"/>
    <w:rsid w:val="0028221C"/>
    <w:rsid w:val="00282330"/>
    <w:rsid w:val="002826FF"/>
    <w:rsid w:val="00282AFC"/>
    <w:rsid w:val="00282B12"/>
    <w:rsid w:val="00282F2E"/>
    <w:rsid w:val="00283145"/>
    <w:rsid w:val="0028320D"/>
    <w:rsid w:val="0028330B"/>
    <w:rsid w:val="00283427"/>
    <w:rsid w:val="002836F7"/>
    <w:rsid w:val="00283743"/>
    <w:rsid w:val="00283C02"/>
    <w:rsid w:val="00284959"/>
    <w:rsid w:val="00284C7C"/>
    <w:rsid w:val="00284CA5"/>
    <w:rsid w:val="00284D92"/>
    <w:rsid w:val="00285B24"/>
    <w:rsid w:val="00285C0D"/>
    <w:rsid w:val="00286135"/>
    <w:rsid w:val="002868EF"/>
    <w:rsid w:val="00286DE4"/>
    <w:rsid w:val="00286E50"/>
    <w:rsid w:val="00286F39"/>
    <w:rsid w:val="00286FB6"/>
    <w:rsid w:val="0028704F"/>
    <w:rsid w:val="002871B1"/>
    <w:rsid w:val="002871FE"/>
    <w:rsid w:val="0028735B"/>
    <w:rsid w:val="00287747"/>
    <w:rsid w:val="002877BF"/>
    <w:rsid w:val="00287D6C"/>
    <w:rsid w:val="00287DB0"/>
    <w:rsid w:val="00287DB5"/>
    <w:rsid w:val="00287EE7"/>
    <w:rsid w:val="00287F61"/>
    <w:rsid w:val="0029003C"/>
    <w:rsid w:val="00290277"/>
    <w:rsid w:val="0029052E"/>
    <w:rsid w:val="0029105A"/>
    <w:rsid w:val="00291221"/>
    <w:rsid w:val="002918F5"/>
    <w:rsid w:val="00291B69"/>
    <w:rsid w:val="00291BB6"/>
    <w:rsid w:val="00291CCF"/>
    <w:rsid w:val="00291D82"/>
    <w:rsid w:val="00291DEA"/>
    <w:rsid w:val="0029240C"/>
    <w:rsid w:val="0029244B"/>
    <w:rsid w:val="00292605"/>
    <w:rsid w:val="0029284B"/>
    <w:rsid w:val="0029285A"/>
    <w:rsid w:val="002929BF"/>
    <w:rsid w:val="002929FC"/>
    <w:rsid w:val="00292B2F"/>
    <w:rsid w:val="00292B5A"/>
    <w:rsid w:val="0029313D"/>
    <w:rsid w:val="0029316F"/>
    <w:rsid w:val="0029317F"/>
    <w:rsid w:val="00293534"/>
    <w:rsid w:val="0029359B"/>
    <w:rsid w:val="00293C20"/>
    <w:rsid w:val="002940CA"/>
    <w:rsid w:val="002941C4"/>
    <w:rsid w:val="00294209"/>
    <w:rsid w:val="00294307"/>
    <w:rsid w:val="00294321"/>
    <w:rsid w:val="00294497"/>
    <w:rsid w:val="002947F7"/>
    <w:rsid w:val="00294DC0"/>
    <w:rsid w:val="00295261"/>
    <w:rsid w:val="00295295"/>
    <w:rsid w:val="00295668"/>
    <w:rsid w:val="002957ED"/>
    <w:rsid w:val="00295870"/>
    <w:rsid w:val="00295C02"/>
    <w:rsid w:val="00295C42"/>
    <w:rsid w:val="00295CCA"/>
    <w:rsid w:val="00295D2F"/>
    <w:rsid w:val="00295D4E"/>
    <w:rsid w:val="00296509"/>
    <w:rsid w:val="0029687E"/>
    <w:rsid w:val="00296E4D"/>
    <w:rsid w:val="00297002"/>
    <w:rsid w:val="00297046"/>
    <w:rsid w:val="00297850"/>
    <w:rsid w:val="00297ABC"/>
    <w:rsid w:val="00297B37"/>
    <w:rsid w:val="00297B8F"/>
    <w:rsid w:val="00297D26"/>
    <w:rsid w:val="002A03DE"/>
    <w:rsid w:val="002A04B6"/>
    <w:rsid w:val="002A04BC"/>
    <w:rsid w:val="002A0665"/>
    <w:rsid w:val="002A07EA"/>
    <w:rsid w:val="002A0921"/>
    <w:rsid w:val="002A0E87"/>
    <w:rsid w:val="002A0FB3"/>
    <w:rsid w:val="002A1227"/>
    <w:rsid w:val="002A1420"/>
    <w:rsid w:val="002A145F"/>
    <w:rsid w:val="002A15C5"/>
    <w:rsid w:val="002A16E0"/>
    <w:rsid w:val="002A1807"/>
    <w:rsid w:val="002A1B36"/>
    <w:rsid w:val="002A1B51"/>
    <w:rsid w:val="002A1BA7"/>
    <w:rsid w:val="002A1BEE"/>
    <w:rsid w:val="002A1BFA"/>
    <w:rsid w:val="002A1D2B"/>
    <w:rsid w:val="002A1E2C"/>
    <w:rsid w:val="002A1E33"/>
    <w:rsid w:val="002A1F48"/>
    <w:rsid w:val="002A2338"/>
    <w:rsid w:val="002A2E99"/>
    <w:rsid w:val="002A35DF"/>
    <w:rsid w:val="002A39F3"/>
    <w:rsid w:val="002A3A0E"/>
    <w:rsid w:val="002A3A4E"/>
    <w:rsid w:val="002A3B61"/>
    <w:rsid w:val="002A3B63"/>
    <w:rsid w:val="002A3D4A"/>
    <w:rsid w:val="002A3FC0"/>
    <w:rsid w:val="002A4193"/>
    <w:rsid w:val="002A4433"/>
    <w:rsid w:val="002A445B"/>
    <w:rsid w:val="002A4621"/>
    <w:rsid w:val="002A4686"/>
    <w:rsid w:val="002A46EA"/>
    <w:rsid w:val="002A48F5"/>
    <w:rsid w:val="002A4A62"/>
    <w:rsid w:val="002A4CFB"/>
    <w:rsid w:val="002A4E00"/>
    <w:rsid w:val="002A4EAA"/>
    <w:rsid w:val="002A4FF4"/>
    <w:rsid w:val="002A563A"/>
    <w:rsid w:val="002A58C2"/>
    <w:rsid w:val="002A5B73"/>
    <w:rsid w:val="002A5C30"/>
    <w:rsid w:val="002A614B"/>
    <w:rsid w:val="002A64B9"/>
    <w:rsid w:val="002A64C9"/>
    <w:rsid w:val="002A66BF"/>
    <w:rsid w:val="002A66D1"/>
    <w:rsid w:val="002A6786"/>
    <w:rsid w:val="002A6937"/>
    <w:rsid w:val="002A6C81"/>
    <w:rsid w:val="002A70B0"/>
    <w:rsid w:val="002A7381"/>
    <w:rsid w:val="002A7467"/>
    <w:rsid w:val="002A77DA"/>
    <w:rsid w:val="002A7CEB"/>
    <w:rsid w:val="002B0810"/>
    <w:rsid w:val="002B09AF"/>
    <w:rsid w:val="002B09FF"/>
    <w:rsid w:val="002B0A74"/>
    <w:rsid w:val="002B11C4"/>
    <w:rsid w:val="002B16C5"/>
    <w:rsid w:val="002B1A4C"/>
    <w:rsid w:val="002B1B5A"/>
    <w:rsid w:val="002B216A"/>
    <w:rsid w:val="002B265F"/>
    <w:rsid w:val="002B28DA"/>
    <w:rsid w:val="002B2A1B"/>
    <w:rsid w:val="002B2BEB"/>
    <w:rsid w:val="002B2DDD"/>
    <w:rsid w:val="002B30D7"/>
    <w:rsid w:val="002B3542"/>
    <w:rsid w:val="002B3546"/>
    <w:rsid w:val="002B35E3"/>
    <w:rsid w:val="002B3857"/>
    <w:rsid w:val="002B3BBB"/>
    <w:rsid w:val="002B3BF7"/>
    <w:rsid w:val="002B3D3A"/>
    <w:rsid w:val="002B3F41"/>
    <w:rsid w:val="002B4062"/>
    <w:rsid w:val="002B4067"/>
    <w:rsid w:val="002B4254"/>
    <w:rsid w:val="002B47BE"/>
    <w:rsid w:val="002B4C47"/>
    <w:rsid w:val="002B4E27"/>
    <w:rsid w:val="002B4F89"/>
    <w:rsid w:val="002B521C"/>
    <w:rsid w:val="002B59E6"/>
    <w:rsid w:val="002B5E40"/>
    <w:rsid w:val="002B637F"/>
    <w:rsid w:val="002B6535"/>
    <w:rsid w:val="002B6559"/>
    <w:rsid w:val="002B6678"/>
    <w:rsid w:val="002B6EAE"/>
    <w:rsid w:val="002B72F2"/>
    <w:rsid w:val="002B7611"/>
    <w:rsid w:val="002B7A19"/>
    <w:rsid w:val="002B7AA9"/>
    <w:rsid w:val="002B7EAC"/>
    <w:rsid w:val="002C0024"/>
    <w:rsid w:val="002C0184"/>
    <w:rsid w:val="002C0247"/>
    <w:rsid w:val="002C0333"/>
    <w:rsid w:val="002C065E"/>
    <w:rsid w:val="002C0A08"/>
    <w:rsid w:val="002C0A95"/>
    <w:rsid w:val="002C0D7A"/>
    <w:rsid w:val="002C0F6C"/>
    <w:rsid w:val="002C0F88"/>
    <w:rsid w:val="002C12BC"/>
    <w:rsid w:val="002C1A9F"/>
    <w:rsid w:val="002C1E24"/>
    <w:rsid w:val="002C1EE9"/>
    <w:rsid w:val="002C205F"/>
    <w:rsid w:val="002C228D"/>
    <w:rsid w:val="002C23B6"/>
    <w:rsid w:val="002C2661"/>
    <w:rsid w:val="002C296F"/>
    <w:rsid w:val="002C2994"/>
    <w:rsid w:val="002C2AAD"/>
    <w:rsid w:val="002C2AC9"/>
    <w:rsid w:val="002C2B36"/>
    <w:rsid w:val="002C2CF0"/>
    <w:rsid w:val="002C2D90"/>
    <w:rsid w:val="002C2F22"/>
    <w:rsid w:val="002C31C4"/>
    <w:rsid w:val="002C33EE"/>
    <w:rsid w:val="002C3615"/>
    <w:rsid w:val="002C3718"/>
    <w:rsid w:val="002C379F"/>
    <w:rsid w:val="002C395D"/>
    <w:rsid w:val="002C3BFE"/>
    <w:rsid w:val="002C3E1A"/>
    <w:rsid w:val="002C3EE2"/>
    <w:rsid w:val="002C3F8E"/>
    <w:rsid w:val="002C416C"/>
    <w:rsid w:val="002C496C"/>
    <w:rsid w:val="002C49D8"/>
    <w:rsid w:val="002C4C30"/>
    <w:rsid w:val="002C4E21"/>
    <w:rsid w:val="002C4F41"/>
    <w:rsid w:val="002C4FE5"/>
    <w:rsid w:val="002C5582"/>
    <w:rsid w:val="002C580D"/>
    <w:rsid w:val="002C58A8"/>
    <w:rsid w:val="002C5CE9"/>
    <w:rsid w:val="002C6010"/>
    <w:rsid w:val="002C6055"/>
    <w:rsid w:val="002C61CB"/>
    <w:rsid w:val="002C6284"/>
    <w:rsid w:val="002C662F"/>
    <w:rsid w:val="002C6A14"/>
    <w:rsid w:val="002C6EE3"/>
    <w:rsid w:val="002C6F3F"/>
    <w:rsid w:val="002C7326"/>
    <w:rsid w:val="002C7572"/>
    <w:rsid w:val="002C7E72"/>
    <w:rsid w:val="002D0069"/>
    <w:rsid w:val="002D01B9"/>
    <w:rsid w:val="002D03AB"/>
    <w:rsid w:val="002D04FD"/>
    <w:rsid w:val="002D05B9"/>
    <w:rsid w:val="002D0665"/>
    <w:rsid w:val="002D0AA6"/>
    <w:rsid w:val="002D0AFF"/>
    <w:rsid w:val="002D139D"/>
    <w:rsid w:val="002D14A4"/>
    <w:rsid w:val="002D17DD"/>
    <w:rsid w:val="002D1B60"/>
    <w:rsid w:val="002D1C67"/>
    <w:rsid w:val="002D1E5C"/>
    <w:rsid w:val="002D1E64"/>
    <w:rsid w:val="002D2282"/>
    <w:rsid w:val="002D2876"/>
    <w:rsid w:val="002D2A77"/>
    <w:rsid w:val="002D2A81"/>
    <w:rsid w:val="002D2E0C"/>
    <w:rsid w:val="002D2E6A"/>
    <w:rsid w:val="002D315F"/>
    <w:rsid w:val="002D3543"/>
    <w:rsid w:val="002D35CA"/>
    <w:rsid w:val="002D3E09"/>
    <w:rsid w:val="002D431C"/>
    <w:rsid w:val="002D4366"/>
    <w:rsid w:val="002D43D2"/>
    <w:rsid w:val="002D4478"/>
    <w:rsid w:val="002D4525"/>
    <w:rsid w:val="002D46D4"/>
    <w:rsid w:val="002D4775"/>
    <w:rsid w:val="002D477F"/>
    <w:rsid w:val="002D4867"/>
    <w:rsid w:val="002D4929"/>
    <w:rsid w:val="002D4B15"/>
    <w:rsid w:val="002D4B25"/>
    <w:rsid w:val="002D4B34"/>
    <w:rsid w:val="002D4B5D"/>
    <w:rsid w:val="002D4E80"/>
    <w:rsid w:val="002D5A52"/>
    <w:rsid w:val="002D5BC9"/>
    <w:rsid w:val="002D6343"/>
    <w:rsid w:val="002D655A"/>
    <w:rsid w:val="002D6A60"/>
    <w:rsid w:val="002D6AE5"/>
    <w:rsid w:val="002D6B3A"/>
    <w:rsid w:val="002D6CC4"/>
    <w:rsid w:val="002D70FA"/>
    <w:rsid w:val="002D7114"/>
    <w:rsid w:val="002D759D"/>
    <w:rsid w:val="002D77F0"/>
    <w:rsid w:val="002E0850"/>
    <w:rsid w:val="002E0958"/>
    <w:rsid w:val="002E0ADE"/>
    <w:rsid w:val="002E0C36"/>
    <w:rsid w:val="002E0E9A"/>
    <w:rsid w:val="002E106B"/>
    <w:rsid w:val="002E1118"/>
    <w:rsid w:val="002E1778"/>
    <w:rsid w:val="002E1BD5"/>
    <w:rsid w:val="002E1CC4"/>
    <w:rsid w:val="002E1E21"/>
    <w:rsid w:val="002E1E84"/>
    <w:rsid w:val="002E2157"/>
    <w:rsid w:val="002E233F"/>
    <w:rsid w:val="002E24E1"/>
    <w:rsid w:val="002E2A48"/>
    <w:rsid w:val="002E2A74"/>
    <w:rsid w:val="002E2B31"/>
    <w:rsid w:val="002E2DF6"/>
    <w:rsid w:val="002E2F73"/>
    <w:rsid w:val="002E368A"/>
    <w:rsid w:val="002E3A97"/>
    <w:rsid w:val="002E4517"/>
    <w:rsid w:val="002E4684"/>
    <w:rsid w:val="002E49A5"/>
    <w:rsid w:val="002E4C22"/>
    <w:rsid w:val="002E4DDC"/>
    <w:rsid w:val="002E5188"/>
    <w:rsid w:val="002E53F3"/>
    <w:rsid w:val="002E56B9"/>
    <w:rsid w:val="002E58A8"/>
    <w:rsid w:val="002E59B9"/>
    <w:rsid w:val="002E5B11"/>
    <w:rsid w:val="002E5B14"/>
    <w:rsid w:val="002E5B1A"/>
    <w:rsid w:val="002E5DAC"/>
    <w:rsid w:val="002E6073"/>
    <w:rsid w:val="002E6092"/>
    <w:rsid w:val="002E65EC"/>
    <w:rsid w:val="002E698C"/>
    <w:rsid w:val="002E69AC"/>
    <w:rsid w:val="002E6B58"/>
    <w:rsid w:val="002E704C"/>
    <w:rsid w:val="002E7375"/>
    <w:rsid w:val="002E7455"/>
    <w:rsid w:val="002E76D8"/>
    <w:rsid w:val="002E7B20"/>
    <w:rsid w:val="002E7B4F"/>
    <w:rsid w:val="002E7C08"/>
    <w:rsid w:val="002E7CC3"/>
    <w:rsid w:val="002F012D"/>
    <w:rsid w:val="002F03EF"/>
    <w:rsid w:val="002F03F0"/>
    <w:rsid w:val="002F04E5"/>
    <w:rsid w:val="002F0738"/>
    <w:rsid w:val="002F075F"/>
    <w:rsid w:val="002F0C2D"/>
    <w:rsid w:val="002F0C5E"/>
    <w:rsid w:val="002F0CA0"/>
    <w:rsid w:val="002F1086"/>
    <w:rsid w:val="002F154C"/>
    <w:rsid w:val="002F16B7"/>
    <w:rsid w:val="002F18CC"/>
    <w:rsid w:val="002F1A15"/>
    <w:rsid w:val="002F1A96"/>
    <w:rsid w:val="002F27C5"/>
    <w:rsid w:val="002F297D"/>
    <w:rsid w:val="002F2BF2"/>
    <w:rsid w:val="002F2C5B"/>
    <w:rsid w:val="002F2DAE"/>
    <w:rsid w:val="002F2E26"/>
    <w:rsid w:val="002F30FF"/>
    <w:rsid w:val="002F39DE"/>
    <w:rsid w:val="002F3B6B"/>
    <w:rsid w:val="002F3E4C"/>
    <w:rsid w:val="002F3F97"/>
    <w:rsid w:val="002F43EB"/>
    <w:rsid w:val="002F445D"/>
    <w:rsid w:val="002F4483"/>
    <w:rsid w:val="002F44E2"/>
    <w:rsid w:val="002F44FC"/>
    <w:rsid w:val="002F44FE"/>
    <w:rsid w:val="002F464B"/>
    <w:rsid w:val="002F480D"/>
    <w:rsid w:val="002F4A11"/>
    <w:rsid w:val="002F4AA5"/>
    <w:rsid w:val="002F5015"/>
    <w:rsid w:val="002F50DF"/>
    <w:rsid w:val="002F511B"/>
    <w:rsid w:val="002F5AC6"/>
    <w:rsid w:val="002F5BD9"/>
    <w:rsid w:val="002F5C9E"/>
    <w:rsid w:val="002F5EF0"/>
    <w:rsid w:val="002F6153"/>
    <w:rsid w:val="002F62DB"/>
    <w:rsid w:val="002F6405"/>
    <w:rsid w:val="002F671B"/>
    <w:rsid w:val="002F6835"/>
    <w:rsid w:val="002F689A"/>
    <w:rsid w:val="002F7A56"/>
    <w:rsid w:val="002F7D66"/>
    <w:rsid w:val="002F7E1C"/>
    <w:rsid w:val="00300238"/>
    <w:rsid w:val="0030048B"/>
    <w:rsid w:val="00300512"/>
    <w:rsid w:val="00300F3A"/>
    <w:rsid w:val="003014FC"/>
    <w:rsid w:val="00301591"/>
    <w:rsid w:val="003016AC"/>
    <w:rsid w:val="0030183F"/>
    <w:rsid w:val="00301CC9"/>
    <w:rsid w:val="00301CCF"/>
    <w:rsid w:val="00302158"/>
    <w:rsid w:val="003021C5"/>
    <w:rsid w:val="0030222F"/>
    <w:rsid w:val="00302451"/>
    <w:rsid w:val="003025E0"/>
    <w:rsid w:val="0030264E"/>
    <w:rsid w:val="0030282B"/>
    <w:rsid w:val="0030287C"/>
    <w:rsid w:val="00302ADA"/>
    <w:rsid w:val="00302C17"/>
    <w:rsid w:val="00302EAC"/>
    <w:rsid w:val="00302F40"/>
    <w:rsid w:val="00303077"/>
    <w:rsid w:val="0030327E"/>
    <w:rsid w:val="003034AC"/>
    <w:rsid w:val="003034B2"/>
    <w:rsid w:val="00303A66"/>
    <w:rsid w:val="00303B50"/>
    <w:rsid w:val="00303B62"/>
    <w:rsid w:val="00303BD2"/>
    <w:rsid w:val="00303C34"/>
    <w:rsid w:val="00304034"/>
    <w:rsid w:val="0030411F"/>
    <w:rsid w:val="00304202"/>
    <w:rsid w:val="00304504"/>
    <w:rsid w:val="003045AC"/>
    <w:rsid w:val="003049E8"/>
    <w:rsid w:val="00304B51"/>
    <w:rsid w:val="00304DDE"/>
    <w:rsid w:val="00304E4D"/>
    <w:rsid w:val="003051B6"/>
    <w:rsid w:val="003054EF"/>
    <w:rsid w:val="003055E5"/>
    <w:rsid w:val="00305707"/>
    <w:rsid w:val="003059EB"/>
    <w:rsid w:val="00305AE7"/>
    <w:rsid w:val="00305B7B"/>
    <w:rsid w:val="00305CA0"/>
    <w:rsid w:val="00305CC0"/>
    <w:rsid w:val="00305DFE"/>
    <w:rsid w:val="00305F11"/>
    <w:rsid w:val="003060BD"/>
    <w:rsid w:val="00306BE2"/>
    <w:rsid w:val="00307123"/>
    <w:rsid w:val="003071ED"/>
    <w:rsid w:val="00307312"/>
    <w:rsid w:val="00307877"/>
    <w:rsid w:val="003079AA"/>
    <w:rsid w:val="00307AFF"/>
    <w:rsid w:val="00307F1F"/>
    <w:rsid w:val="00307F20"/>
    <w:rsid w:val="0031003B"/>
    <w:rsid w:val="0031009D"/>
    <w:rsid w:val="0031035A"/>
    <w:rsid w:val="00310410"/>
    <w:rsid w:val="00310A2D"/>
    <w:rsid w:val="00310C5A"/>
    <w:rsid w:val="00310CDF"/>
    <w:rsid w:val="00310D04"/>
    <w:rsid w:val="00310F9B"/>
    <w:rsid w:val="0031107F"/>
    <w:rsid w:val="003116E8"/>
    <w:rsid w:val="00311A99"/>
    <w:rsid w:val="00311BCE"/>
    <w:rsid w:val="00311C38"/>
    <w:rsid w:val="00311CBB"/>
    <w:rsid w:val="00311CF7"/>
    <w:rsid w:val="00311E6E"/>
    <w:rsid w:val="00311FFE"/>
    <w:rsid w:val="003120C3"/>
    <w:rsid w:val="0031231B"/>
    <w:rsid w:val="003123CF"/>
    <w:rsid w:val="0031266C"/>
    <w:rsid w:val="00313056"/>
    <w:rsid w:val="00313186"/>
    <w:rsid w:val="003131EF"/>
    <w:rsid w:val="003134BB"/>
    <w:rsid w:val="0031357E"/>
    <w:rsid w:val="00313B47"/>
    <w:rsid w:val="00313DB7"/>
    <w:rsid w:val="00313E85"/>
    <w:rsid w:val="003140AC"/>
    <w:rsid w:val="0031416A"/>
    <w:rsid w:val="0031417F"/>
    <w:rsid w:val="00314297"/>
    <w:rsid w:val="00314480"/>
    <w:rsid w:val="0031460D"/>
    <w:rsid w:val="003149C1"/>
    <w:rsid w:val="00314CC5"/>
    <w:rsid w:val="00314FA9"/>
    <w:rsid w:val="00315125"/>
    <w:rsid w:val="003151BF"/>
    <w:rsid w:val="003151D2"/>
    <w:rsid w:val="00315245"/>
    <w:rsid w:val="003152CE"/>
    <w:rsid w:val="0031546C"/>
    <w:rsid w:val="003155AC"/>
    <w:rsid w:val="0031574A"/>
    <w:rsid w:val="0031581D"/>
    <w:rsid w:val="00315ACB"/>
    <w:rsid w:val="00315BF7"/>
    <w:rsid w:val="00315CDB"/>
    <w:rsid w:val="00315D9F"/>
    <w:rsid w:val="00315FB8"/>
    <w:rsid w:val="0031659A"/>
    <w:rsid w:val="00316AC1"/>
    <w:rsid w:val="00317235"/>
    <w:rsid w:val="003172D4"/>
    <w:rsid w:val="0031755E"/>
    <w:rsid w:val="00317B03"/>
    <w:rsid w:val="00317C28"/>
    <w:rsid w:val="003206AF"/>
    <w:rsid w:val="0032096C"/>
    <w:rsid w:val="00320C24"/>
    <w:rsid w:val="00320D4A"/>
    <w:rsid w:val="00321202"/>
    <w:rsid w:val="00321A31"/>
    <w:rsid w:val="00321BEE"/>
    <w:rsid w:val="00321D47"/>
    <w:rsid w:val="00322759"/>
    <w:rsid w:val="00322838"/>
    <w:rsid w:val="00322C80"/>
    <w:rsid w:val="00322EBD"/>
    <w:rsid w:val="00322F2F"/>
    <w:rsid w:val="00323043"/>
    <w:rsid w:val="003230E2"/>
    <w:rsid w:val="00323260"/>
    <w:rsid w:val="0032355F"/>
    <w:rsid w:val="0032367A"/>
    <w:rsid w:val="003238D9"/>
    <w:rsid w:val="003239EB"/>
    <w:rsid w:val="00323ABA"/>
    <w:rsid w:val="00324196"/>
    <w:rsid w:val="00324425"/>
    <w:rsid w:val="00324742"/>
    <w:rsid w:val="0032477C"/>
    <w:rsid w:val="003247A5"/>
    <w:rsid w:val="00324BF0"/>
    <w:rsid w:val="003258DA"/>
    <w:rsid w:val="0032593C"/>
    <w:rsid w:val="00325BF0"/>
    <w:rsid w:val="00325D4F"/>
    <w:rsid w:val="00325F76"/>
    <w:rsid w:val="00325FD1"/>
    <w:rsid w:val="0032613E"/>
    <w:rsid w:val="00326154"/>
    <w:rsid w:val="0032627D"/>
    <w:rsid w:val="0032639E"/>
    <w:rsid w:val="00326447"/>
    <w:rsid w:val="003265D8"/>
    <w:rsid w:val="003268BB"/>
    <w:rsid w:val="00326909"/>
    <w:rsid w:val="00326CB9"/>
    <w:rsid w:val="00326F37"/>
    <w:rsid w:val="00327025"/>
    <w:rsid w:val="003272F8"/>
    <w:rsid w:val="003274C0"/>
    <w:rsid w:val="003276D0"/>
    <w:rsid w:val="00330031"/>
    <w:rsid w:val="00330572"/>
    <w:rsid w:val="00330600"/>
    <w:rsid w:val="0033068F"/>
    <w:rsid w:val="003306F3"/>
    <w:rsid w:val="00330B49"/>
    <w:rsid w:val="00330CD5"/>
    <w:rsid w:val="00330CD6"/>
    <w:rsid w:val="0033123A"/>
    <w:rsid w:val="003312EC"/>
    <w:rsid w:val="00331424"/>
    <w:rsid w:val="00331930"/>
    <w:rsid w:val="00331FA3"/>
    <w:rsid w:val="00332026"/>
    <w:rsid w:val="003321A2"/>
    <w:rsid w:val="00332556"/>
    <w:rsid w:val="003327DF"/>
    <w:rsid w:val="00332A53"/>
    <w:rsid w:val="00332AEE"/>
    <w:rsid w:val="00332B1B"/>
    <w:rsid w:val="00332B57"/>
    <w:rsid w:val="00333709"/>
    <w:rsid w:val="003339F2"/>
    <w:rsid w:val="00333D89"/>
    <w:rsid w:val="00334049"/>
    <w:rsid w:val="003342DE"/>
    <w:rsid w:val="00334307"/>
    <w:rsid w:val="00334420"/>
    <w:rsid w:val="003344F2"/>
    <w:rsid w:val="00334B19"/>
    <w:rsid w:val="00334C89"/>
    <w:rsid w:val="00335606"/>
    <w:rsid w:val="00335B74"/>
    <w:rsid w:val="00335D80"/>
    <w:rsid w:val="00335E05"/>
    <w:rsid w:val="00335F26"/>
    <w:rsid w:val="00336043"/>
    <w:rsid w:val="003368FE"/>
    <w:rsid w:val="00336ABA"/>
    <w:rsid w:val="00336AC5"/>
    <w:rsid w:val="00336B9E"/>
    <w:rsid w:val="00336D25"/>
    <w:rsid w:val="00336EA7"/>
    <w:rsid w:val="00336EE5"/>
    <w:rsid w:val="00337596"/>
    <w:rsid w:val="0034030F"/>
    <w:rsid w:val="003403BD"/>
    <w:rsid w:val="00340568"/>
    <w:rsid w:val="00341198"/>
    <w:rsid w:val="00341257"/>
    <w:rsid w:val="003414BA"/>
    <w:rsid w:val="003416FB"/>
    <w:rsid w:val="0034173F"/>
    <w:rsid w:val="0034176D"/>
    <w:rsid w:val="00341896"/>
    <w:rsid w:val="00341A16"/>
    <w:rsid w:val="00341B23"/>
    <w:rsid w:val="003421AA"/>
    <w:rsid w:val="003421D1"/>
    <w:rsid w:val="0034237E"/>
    <w:rsid w:val="00342551"/>
    <w:rsid w:val="00342935"/>
    <w:rsid w:val="00342AD3"/>
    <w:rsid w:val="00342BCE"/>
    <w:rsid w:val="003433AA"/>
    <w:rsid w:val="00343496"/>
    <w:rsid w:val="003434A3"/>
    <w:rsid w:val="003436D2"/>
    <w:rsid w:val="00343893"/>
    <w:rsid w:val="00343FB9"/>
    <w:rsid w:val="00344315"/>
    <w:rsid w:val="0034438D"/>
    <w:rsid w:val="00344424"/>
    <w:rsid w:val="00344590"/>
    <w:rsid w:val="00344816"/>
    <w:rsid w:val="00344A26"/>
    <w:rsid w:val="00344E2E"/>
    <w:rsid w:val="00345027"/>
    <w:rsid w:val="003450D5"/>
    <w:rsid w:val="00345581"/>
    <w:rsid w:val="00345796"/>
    <w:rsid w:val="003458AB"/>
    <w:rsid w:val="003458DF"/>
    <w:rsid w:val="00345BBA"/>
    <w:rsid w:val="00345CCD"/>
    <w:rsid w:val="00345E7F"/>
    <w:rsid w:val="0034662A"/>
    <w:rsid w:val="003468EE"/>
    <w:rsid w:val="0034697B"/>
    <w:rsid w:val="003470C1"/>
    <w:rsid w:val="003471EA"/>
    <w:rsid w:val="00347A2B"/>
    <w:rsid w:val="00347C3A"/>
    <w:rsid w:val="00347D27"/>
    <w:rsid w:val="003502EA"/>
    <w:rsid w:val="00350AF9"/>
    <w:rsid w:val="00350AFF"/>
    <w:rsid w:val="00350BFE"/>
    <w:rsid w:val="003513A4"/>
    <w:rsid w:val="00351486"/>
    <w:rsid w:val="00351632"/>
    <w:rsid w:val="00351733"/>
    <w:rsid w:val="0035176F"/>
    <w:rsid w:val="00351A8D"/>
    <w:rsid w:val="00351D0D"/>
    <w:rsid w:val="003521E4"/>
    <w:rsid w:val="0035330A"/>
    <w:rsid w:val="00353368"/>
    <w:rsid w:val="003534CF"/>
    <w:rsid w:val="003536B5"/>
    <w:rsid w:val="003536D3"/>
    <w:rsid w:val="00353744"/>
    <w:rsid w:val="00353CB3"/>
    <w:rsid w:val="00353F76"/>
    <w:rsid w:val="003540DD"/>
    <w:rsid w:val="00354793"/>
    <w:rsid w:val="00354A69"/>
    <w:rsid w:val="00354FA2"/>
    <w:rsid w:val="00355574"/>
    <w:rsid w:val="00355C9E"/>
    <w:rsid w:val="0035617D"/>
    <w:rsid w:val="00356477"/>
    <w:rsid w:val="00356546"/>
    <w:rsid w:val="003567AD"/>
    <w:rsid w:val="00356B7E"/>
    <w:rsid w:val="00356BBA"/>
    <w:rsid w:val="00356EDA"/>
    <w:rsid w:val="00357370"/>
    <w:rsid w:val="00357389"/>
    <w:rsid w:val="003574E1"/>
    <w:rsid w:val="003577C5"/>
    <w:rsid w:val="0035786E"/>
    <w:rsid w:val="00357B3C"/>
    <w:rsid w:val="00357BA2"/>
    <w:rsid w:val="00360129"/>
    <w:rsid w:val="0036023A"/>
    <w:rsid w:val="00360B0B"/>
    <w:rsid w:val="00360DAE"/>
    <w:rsid w:val="00360DEB"/>
    <w:rsid w:val="00360E4C"/>
    <w:rsid w:val="00361097"/>
    <w:rsid w:val="00361236"/>
    <w:rsid w:val="00361287"/>
    <w:rsid w:val="003617FF"/>
    <w:rsid w:val="00361C10"/>
    <w:rsid w:val="00361E77"/>
    <w:rsid w:val="00361FBB"/>
    <w:rsid w:val="00361FC3"/>
    <w:rsid w:val="0036208D"/>
    <w:rsid w:val="00362978"/>
    <w:rsid w:val="003629C7"/>
    <w:rsid w:val="00362B9D"/>
    <w:rsid w:val="00362E51"/>
    <w:rsid w:val="00362E6B"/>
    <w:rsid w:val="00362ECD"/>
    <w:rsid w:val="00363469"/>
    <w:rsid w:val="003636FB"/>
    <w:rsid w:val="003637D0"/>
    <w:rsid w:val="00363B7E"/>
    <w:rsid w:val="00363EE0"/>
    <w:rsid w:val="00364030"/>
    <w:rsid w:val="0036407B"/>
    <w:rsid w:val="0036419E"/>
    <w:rsid w:val="00364407"/>
    <w:rsid w:val="003644A0"/>
    <w:rsid w:val="003645F8"/>
    <w:rsid w:val="00364BF8"/>
    <w:rsid w:val="003650A1"/>
    <w:rsid w:val="003651D7"/>
    <w:rsid w:val="00365A2E"/>
    <w:rsid w:val="00366078"/>
    <w:rsid w:val="00366ACA"/>
    <w:rsid w:val="00366C95"/>
    <w:rsid w:val="00366CD0"/>
    <w:rsid w:val="00366D8F"/>
    <w:rsid w:val="00366DD5"/>
    <w:rsid w:val="00366E26"/>
    <w:rsid w:val="00367037"/>
    <w:rsid w:val="00367280"/>
    <w:rsid w:val="00367348"/>
    <w:rsid w:val="003675C7"/>
    <w:rsid w:val="00367BD3"/>
    <w:rsid w:val="003702B3"/>
    <w:rsid w:val="003705A0"/>
    <w:rsid w:val="00370CA8"/>
    <w:rsid w:val="00370D9B"/>
    <w:rsid w:val="00371114"/>
    <w:rsid w:val="003711DB"/>
    <w:rsid w:val="00371646"/>
    <w:rsid w:val="00371A56"/>
    <w:rsid w:val="00371FFA"/>
    <w:rsid w:val="0037220A"/>
    <w:rsid w:val="00372621"/>
    <w:rsid w:val="00372E02"/>
    <w:rsid w:val="00372EF6"/>
    <w:rsid w:val="003734F4"/>
    <w:rsid w:val="00373566"/>
    <w:rsid w:val="0037358B"/>
    <w:rsid w:val="00373A9C"/>
    <w:rsid w:val="00373B4C"/>
    <w:rsid w:val="00373C54"/>
    <w:rsid w:val="00373D6A"/>
    <w:rsid w:val="00373FA4"/>
    <w:rsid w:val="003741A8"/>
    <w:rsid w:val="003745B5"/>
    <w:rsid w:val="003746DD"/>
    <w:rsid w:val="0037487A"/>
    <w:rsid w:val="00374B34"/>
    <w:rsid w:val="00374F22"/>
    <w:rsid w:val="00374FEB"/>
    <w:rsid w:val="0037500F"/>
    <w:rsid w:val="003752D6"/>
    <w:rsid w:val="00375557"/>
    <w:rsid w:val="003755EA"/>
    <w:rsid w:val="00375684"/>
    <w:rsid w:val="00375966"/>
    <w:rsid w:val="00375AB2"/>
    <w:rsid w:val="00375D39"/>
    <w:rsid w:val="00375F28"/>
    <w:rsid w:val="0037615B"/>
    <w:rsid w:val="00376393"/>
    <w:rsid w:val="0037673C"/>
    <w:rsid w:val="0037682B"/>
    <w:rsid w:val="00376AFA"/>
    <w:rsid w:val="00376AFF"/>
    <w:rsid w:val="00376BF2"/>
    <w:rsid w:val="00376EE1"/>
    <w:rsid w:val="00376F0E"/>
    <w:rsid w:val="00376F78"/>
    <w:rsid w:val="00377553"/>
    <w:rsid w:val="003779B1"/>
    <w:rsid w:val="00377A14"/>
    <w:rsid w:val="00377A34"/>
    <w:rsid w:val="00377E5B"/>
    <w:rsid w:val="00377EC8"/>
    <w:rsid w:val="003804D4"/>
    <w:rsid w:val="003805D1"/>
    <w:rsid w:val="00380673"/>
    <w:rsid w:val="003807A4"/>
    <w:rsid w:val="003807AF"/>
    <w:rsid w:val="00380829"/>
    <w:rsid w:val="00380A2B"/>
    <w:rsid w:val="00380AB0"/>
    <w:rsid w:val="00380B72"/>
    <w:rsid w:val="00380CDC"/>
    <w:rsid w:val="00380D6F"/>
    <w:rsid w:val="00380E2D"/>
    <w:rsid w:val="00381272"/>
    <w:rsid w:val="00381930"/>
    <w:rsid w:val="00381BCA"/>
    <w:rsid w:val="00381D0F"/>
    <w:rsid w:val="00381F97"/>
    <w:rsid w:val="00382023"/>
    <w:rsid w:val="00382530"/>
    <w:rsid w:val="003829B0"/>
    <w:rsid w:val="00382A43"/>
    <w:rsid w:val="00382B80"/>
    <w:rsid w:val="00382C7E"/>
    <w:rsid w:val="003832B5"/>
    <w:rsid w:val="0038338B"/>
    <w:rsid w:val="00383488"/>
    <w:rsid w:val="0038363F"/>
    <w:rsid w:val="0038375A"/>
    <w:rsid w:val="003839B1"/>
    <w:rsid w:val="00383EF6"/>
    <w:rsid w:val="00383FED"/>
    <w:rsid w:val="003846B2"/>
    <w:rsid w:val="00384BA3"/>
    <w:rsid w:val="00384ED7"/>
    <w:rsid w:val="00384F67"/>
    <w:rsid w:val="00384FB8"/>
    <w:rsid w:val="00384FD8"/>
    <w:rsid w:val="00385477"/>
    <w:rsid w:val="003856C0"/>
    <w:rsid w:val="003856D9"/>
    <w:rsid w:val="003856DE"/>
    <w:rsid w:val="00385C89"/>
    <w:rsid w:val="00385FED"/>
    <w:rsid w:val="003869AD"/>
    <w:rsid w:val="00386A58"/>
    <w:rsid w:val="00386B09"/>
    <w:rsid w:val="00386DB8"/>
    <w:rsid w:val="00386F45"/>
    <w:rsid w:val="003871CF"/>
    <w:rsid w:val="003871E0"/>
    <w:rsid w:val="00387266"/>
    <w:rsid w:val="0038731B"/>
    <w:rsid w:val="00387946"/>
    <w:rsid w:val="00387963"/>
    <w:rsid w:val="00387BE8"/>
    <w:rsid w:val="00387C8E"/>
    <w:rsid w:val="003903E3"/>
    <w:rsid w:val="003905C9"/>
    <w:rsid w:val="00390722"/>
    <w:rsid w:val="00390D92"/>
    <w:rsid w:val="003913C8"/>
    <w:rsid w:val="0039140B"/>
    <w:rsid w:val="003921A9"/>
    <w:rsid w:val="00392752"/>
    <w:rsid w:val="00392AD7"/>
    <w:rsid w:val="00392FC4"/>
    <w:rsid w:val="003933F2"/>
    <w:rsid w:val="00393943"/>
    <w:rsid w:val="00393C3F"/>
    <w:rsid w:val="00393C64"/>
    <w:rsid w:val="003945B0"/>
    <w:rsid w:val="0039487D"/>
    <w:rsid w:val="003948CD"/>
    <w:rsid w:val="00394906"/>
    <w:rsid w:val="003949F0"/>
    <w:rsid w:val="00394A9F"/>
    <w:rsid w:val="00394B56"/>
    <w:rsid w:val="00394B7B"/>
    <w:rsid w:val="00394BB4"/>
    <w:rsid w:val="00394EDC"/>
    <w:rsid w:val="00395291"/>
    <w:rsid w:val="003952B8"/>
    <w:rsid w:val="003955DA"/>
    <w:rsid w:val="003959DA"/>
    <w:rsid w:val="00395A01"/>
    <w:rsid w:val="00395B46"/>
    <w:rsid w:val="00395EA4"/>
    <w:rsid w:val="00395FFE"/>
    <w:rsid w:val="003961CE"/>
    <w:rsid w:val="00396509"/>
    <w:rsid w:val="00396524"/>
    <w:rsid w:val="00397071"/>
    <w:rsid w:val="00397354"/>
    <w:rsid w:val="00397702"/>
    <w:rsid w:val="00397918"/>
    <w:rsid w:val="003979C3"/>
    <w:rsid w:val="00397B40"/>
    <w:rsid w:val="00397D2C"/>
    <w:rsid w:val="003A04E6"/>
    <w:rsid w:val="003A0679"/>
    <w:rsid w:val="003A06D2"/>
    <w:rsid w:val="003A09B8"/>
    <w:rsid w:val="003A09F2"/>
    <w:rsid w:val="003A0A94"/>
    <w:rsid w:val="003A0C54"/>
    <w:rsid w:val="003A0CB7"/>
    <w:rsid w:val="003A14F0"/>
    <w:rsid w:val="003A1649"/>
    <w:rsid w:val="003A1C4E"/>
    <w:rsid w:val="003A1FBB"/>
    <w:rsid w:val="003A209D"/>
    <w:rsid w:val="003A20E6"/>
    <w:rsid w:val="003A21D1"/>
    <w:rsid w:val="003A23E6"/>
    <w:rsid w:val="003A2690"/>
    <w:rsid w:val="003A26FB"/>
    <w:rsid w:val="003A2776"/>
    <w:rsid w:val="003A288F"/>
    <w:rsid w:val="003A28CB"/>
    <w:rsid w:val="003A2B1C"/>
    <w:rsid w:val="003A2D9E"/>
    <w:rsid w:val="003A2EB3"/>
    <w:rsid w:val="003A2F75"/>
    <w:rsid w:val="003A3799"/>
    <w:rsid w:val="003A3848"/>
    <w:rsid w:val="003A3933"/>
    <w:rsid w:val="003A3A56"/>
    <w:rsid w:val="003A3A9E"/>
    <w:rsid w:val="003A3CCB"/>
    <w:rsid w:val="003A3EB8"/>
    <w:rsid w:val="003A4107"/>
    <w:rsid w:val="003A41F4"/>
    <w:rsid w:val="003A44CA"/>
    <w:rsid w:val="003A4716"/>
    <w:rsid w:val="003A4AAD"/>
    <w:rsid w:val="003A51E5"/>
    <w:rsid w:val="003A5439"/>
    <w:rsid w:val="003A54B9"/>
    <w:rsid w:val="003A5B49"/>
    <w:rsid w:val="003A617F"/>
    <w:rsid w:val="003A6253"/>
    <w:rsid w:val="003A6853"/>
    <w:rsid w:val="003A693A"/>
    <w:rsid w:val="003A6F3E"/>
    <w:rsid w:val="003A6FCE"/>
    <w:rsid w:val="003A7425"/>
    <w:rsid w:val="003A79AF"/>
    <w:rsid w:val="003B00C1"/>
    <w:rsid w:val="003B00E1"/>
    <w:rsid w:val="003B0345"/>
    <w:rsid w:val="003B06E1"/>
    <w:rsid w:val="003B0709"/>
    <w:rsid w:val="003B0801"/>
    <w:rsid w:val="003B080F"/>
    <w:rsid w:val="003B0E4D"/>
    <w:rsid w:val="003B0FFD"/>
    <w:rsid w:val="003B122C"/>
    <w:rsid w:val="003B15CD"/>
    <w:rsid w:val="003B15F0"/>
    <w:rsid w:val="003B197B"/>
    <w:rsid w:val="003B1CB1"/>
    <w:rsid w:val="003B22D3"/>
    <w:rsid w:val="003B23D0"/>
    <w:rsid w:val="003B2A6B"/>
    <w:rsid w:val="003B2B74"/>
    <w:rsid w:val="003B2B95"/>
    <w:rsid w:val="003B2F2F"/>
    <w:rsid w:val="003B319A"/>
    <w:rsid w:val="003B31FF"/>
    <w:rsid w:val="003B32C8"/>
    <w:rsid w:val="003B3749"/>
    <w:rsid w:val="003B39FA"/>
    <w:rsid w:val="003B3A56"/>
    <w:rsid w:val="003B3CEA"/>
    <w:rsid w:val="003B4022"/>
    <w:rsid w:val="003B41DB"/>
    <w:rsid w:val="003B4532"/>
    <w:rsid w:val="003B45AD"/>
    <w:rsid w:val="003B483B"/>
    <w:rsid w:val="003B487B"/>
    <w:rsid w:val="003B4B28"/>
    <w:rsid w:val="003B4D38"/>
    <w:rsid w:val="003B4F6A"/>
    <w:rsid w:val="003B5047"/>
    <w:rsid w:val="003B59D5"/>
    <w:rsid w:val="003B5DFE"/>
    <w:rsid w:val="003B618D"/>
    <w:rsid w:val="003B6550"/>
    <w:rsid w:val="003B65E3"/>
    <w:rsid w:val="003B6913"/>
    <w:rsid w:val="003B6A4F"/>
    <w:rsid w:val="003B7232"/>
    <w:rsid w:val="003B75BD"/>
    <w:rsid w:val="003B783E"/>
    <w:rsid w:val="003B789E"/>
    <w:rsid w:val="003B7918"/>
    <w:rsid w:val="003B7A9B"/>
    <w:rsid w:val="003B7C4F"/>
    <w:rsid w:val="003C0480"/>
    <w:rsid w:val="003C0559"/>
    <w:rsid w:val="003C0840"/>
    <w:rsid w:val="003C0B13"/>
    <w:rsid w:val="003C0BAE"/>
    <w:rsid w:val="003C15E7"/>
    <w:rsid w:val="003C177C"/>
    <w:rsid w:val="003C189E"/>
    <w:rsid w:val="003C1A26"/>
    <w:rsid w:val="003C202E"/>
    <w:rsid w:val="003C2319"/>
    <w:rsid w:val="003C26F6"/>
    <w:rsid w:val="003C2708"/>
    <w:rsid w:val="003C2B0D"/>
    <w:rsid w:val="003C3336"/>
    <w:rsid w:val="003C34B9"/>
    <w:rsid w:val="003C3A05"/>
    <w:rsid w:val="003C3EB2"/>
    <w:rsid w:val="003C40EF"/>
    <w:rsid w:val="003C4239"/>
    <w:rsid w:val="003C45AA"/>
    <w:rsid w:val="003C48B0"/>
    <w:rsid w:val="003C4BF5"/>
    <w:rsid w:val="003C4D4F"/>
    <w:rsid w:val="003C5063"/>
    <w:rsid w:val="003C51B7"/>
    <w:rsid w:val="003C5312"/>
    <w:rsid w:val="003C537C"/>
    <w:rsid w:val="003C5483"/>
    <w:rsid w:val="003C58C5"/>
    <w:rsid w:val="003C5D5C"/>
    <w:rsid w:val="003C5EC1"/>
    <w:rsid w:val="003C5FC0"/>
    <w:rsid w:val="003C6493"/>
    <w:rsid w:val="003C6833"/>
    <w:rsid w:val="003C6942"/>
    <w:rsid w:val="003C6980"/>
    <w:rsid w:val="003C6E0B"/>
    <w:rsid w:val="003C6F29"/>
    <w:rsid w:val="003C7199"/>
    <w:rsid w:val="003C745B"/>
    <w:rsid w:val="003C77F2"/>
    <w:rsid w:val="003C78DB"/>
    <w:rsid w:val="003C7DA4"/>
    <w:rsid w:val="003C7E4D"/>
    <w:rsid w:val="003D0147"/>
    <w:rsid w:val="003D0194"/>
    <w:rsid w:val="003D01DD"/>
    <w:rsid w:val="003D05B9"/>
    <w:rsid w:val="003D06E0"/>
    <w:rsid w:val="003D0AC3"/>
    <w:rsid w:val="003D10CC"/>
    <w:rsid w:val="003D16E1"/>
    <w:rsid w:val="003D17C5"/>
    <w:rsid w:val="003D1CA5"/>
    <w:rsid w:val="003D1CA8"/>
    <w:rsid w:val="003D20AB"/>
    <w:rsid w:val="003D227D"/>
    <w:rsid w:val="003D2673"/>
    <w:rsid w:val="003D276C"/>
    <w:rsid w:val="003D2F00"/>
    <w:rsid w:val="003D3058"/>
    <w:rsid w:val="003D35D7"/>
    <w:rsid w:val="003D3674"/>
    <w:rsid w:val="003D3AF9"/>
    <w:rsid w:val="003D3B07"/>
    <w:rsid w:val="003D4203"/>
    <w:rsid w:val="003D42BD"/>
    <w:rsid w:val="003D44CA"/>
    <w:rsid w:val="003D4A7C"/>
    <w:rsid w:val="003D4D7B"/>
    <w:rsid w:val="003D4EDB"/>
    <w:rsid w:val="003D542D"/>
    <w:rsid w:val="003D5688"/>
    <w:rsid w:val="003D5C3B"/>
    <w:rsid w:val="003D5EA5"/>
    <w:rsid w:val="003D6895"/>
    <w:rsid w:val="003D6906"/>
    <w:rsid w:val="003D6C06"/>
    <w:rsid w:val="003D6DC3"/>
    <w:rsid w:val="003D6E00"/>
    <w:rsid w:val="003D7176"/>
    <w:rsid w:val="003D73FE"/>
    <w:rsid w:val="003D76C1"/>
    <w:rsid w:val="003D7799"/>
    <w:rsid w:val="003D7ACF"/>
    <w:rsid w:val="003D7CDC"/>
    <w:rsid w:val="003D7D26"/>
    <w:rsid w:val="003E00EE"/>
    <w:rsid w:val="003E011B"/>
    <w:rsid w:val="003E019D"/>
    <w:rsid w:val="003E0698"/>
    <w:rsid w:val="003E079A"/>
    <w:rsid w:val="003E0977"/>
    <w:rsid w:val="003E0D89"/>
    <w:rsid w:val="003E10A8"/>
    <w:rsid w:val="003E1110"/>
    <w:rsid w:val="003E12D2"/>
    <w:rsid w:val="003E174A"/>
    <w:rsid w:val="003E17A9"/>
    <w:rsid w:val="003E1809"/>
    <w:rsid w:val="003E1954"/>
    <w:rsid w:val="003E1BD9"/>
    <w:rsid w:val="003E1DE4"/>
    <w:rsid w:val="003E200D"/>
    <w:rsid w:val="003E2070"/>
    <w:rsid w:val="003E21AD"/>
    <w:rsid w:val="003E2229"/>
    <w:rsid w:val="003E26DD"/>
    <w:rsid w:val="003E2817"/>
    <w:rsid w:val="003E288B"/>
    <w:rsid w:val="003E2BCB"/>
    <w:rsid w:val="003E2D99"/>
    <w:rsid w:val="003E3055"/>
    <w:rsid w:val="003E3136"/>
    <w:rsid w:val="003E327C"/>
    <w:rsid w:val="003E377F"/>
    <w:rsid w:val="003E3988"/>
    <w:rsid w:val="003E3BF6"/>
    <w:rsid w:val="003E4173"/>
    <w:rsid w:val="003E424B"/>
    <w:rsid w:val="003E42C4"/>
    <w:rsid w:val="003E42EA"/>
    <w:rsid w:val="003E435E"/>
    <w:rsid w:val="003E43E9"/>
    <w:rsid w:val="003E4541"/>
    <w:rsid w:val="003E4A70"/>
    <w:rsid w:val="003E5175"/>
    <w:rsid w:val="003E545E"/>
    <w:rsid w:val="003E581B"/>
    <w:rsid w:val="003E582F"/>
    <w:rsid w:val="003E5A63"/>
    <w:rsid w:val="003E5BBA"/>
    <w:rsid w:val="003E5EBB"/>
    <w:rsid w:val="003E6139"/>
    <w:rsid w:val="003E62AD"/>
    <w:rsid w:val="003E64EA"/>
    <w:rsid w:val="003E65BD"/>
    <w:rsid w:val="003E66F6"/>
    <w:rsid w:val="003E686D"/>
    <w:rsid w:val="003E6917"/>
    <w:rsid w:val="003E6C62"/>
    <w:rsid w:val="003E6D42"/>
    <w:rsid w:val="003E6E2D"/>
    <w:rsid w:val="003E7200"/>
    <w:rsid w:val="003E7477"/>
    <w:rsid w:val="003E7602"/>
    <w:rsid w:val="003E77DF"/>
    <w:rsid w:val="003E7879"/>
    <w:rsid w:val="003E79F7"/>
    <w:rsid w:val="003E7AE4"/>
    <w:rsid w:val="003E7DA0"/>
    <w:rsid w:val="003E7F88"/>
    <w:rsid w:val="003F0AE0"/>
    <w:rsid w:val="003F0E6F"/>
    <w:rsid w:val="003F105E"/>
    <w:rsid w:val="003F13E0"/>
    <w:rsid w:val="003F1689"/>
    <w:rsid w:val="003F19F0"/>
    <w:rsid w:val="003F1BEC"/>
    <w:rsid w:val="003F24C1"/>
    <w:rsid w:val="003F250F"/>
    <w:rsid w:val="003F2598"/>
    <w:rsid w:val="003F2BE7"/>
    <w:rsid w:val="003F2CF6"/>
    <w:rsid w:val="003F2EC8"/>
    <w:rsid w:val="003F2EFC"/>
    <w:rsid w:val="003F35AF"/>
    <w:rsid w:val="003F35F9"/>
    <w:rsid w:val="003F3635"/>
    <w:rsid w:val="003F3D27"/>
    <w:rsid w:val="003F409D"/>
    <w:rsid w:val="003F4562"/>
    <w:rsid w:val="003F4C2E"/>
    <w:rsid w:val="003F4D87"/>
    <w:rsid w:val="003F5370"/>
    <w:rsid w:val="003F5569"/>
    <w:rsid w:val="003F572B"/>
    <w:rsid w:val="003F578B"/>
    <w:rsid w:val="003F58E1"/>
    <w:rsid w:val="003F5D7D"/>
    <w:rsid w:val="003F5DDF"/>
    <w:rsid w:val="003F5E45"/>
    <w:rsid w:val="003F6149"/>
    <w:rsid w:val="003F6E5D"/>
    <w:rsid w:val="003F6F4F"/>
    <w:rsid w:val="003F7473"/>
    <w:rsid w:val="003F7656"/>
    <w:rsid w:val="003F792E"/>
    <w:rsid w:val="003F79B5"/>
    <w:rsid w:val="003F7C68"/>
    <w:rsid w:val="003F7D1B"/>
    <w:rsid w:val="00400495"/>
    <w:rsid w:val="00400C19"/>
    <w:rsid w:val="00400FA1"/>
    <w:rsid w:val="00400FA6"/>
    <w:rsid w:val="00401375"/>
    <w:rsid w:val="0040145E"/>
    <w:rsid w:val="0040168F"/>
    <w:rsid w:val="004018AA"/>
    <w:rsid w:val="00401AF2"/>
    <w:rsid w:val="00401CE2"/>
    <w:rsid w:val="00401D1A"/>
    <w:rsid w:val="00401DE0"/>
    <w:rsid w:val="004020E4"/>
    <w:rsid w:val="00402191"/>
    <w:rsid w:val="0040251A"/>
    <w:rsid w:val="0040281D"/>
    <w:rsid w:val="00402936"/>
    <w:rsid w:val="00402B50"/>
    <w:rsid w:val="00402D62"/>
    <w:rsid w:val="0040388F"/>
    <w:rsid w:val="00403A98"/>
    <w:rsid w:val="00403AA6"/>
    <w:rsid w:val="004040DF"/>
    <w:rsid w:val="00404538"/>
    <w:rsid w:val="00404981"/>
    <w:rsid w:val="00404EF5"/>
    <w:rsid w:val="00404F65"/>
    <w:rsid w:val="004054F1"/>
    <w:rsid w:val="004055C1"/>
    <w:rsid w:val="00405671"/>
    <w:rsid w:val="004056C6"/>
    <w:rsid w:val="00405758"/>
    <w:rsid w:val="00405B6F"/>
    <w:rsid w:val="00405BCB"/>
    <w:rsid w:val="00405EC5"/>
    <w:rsid w:val="004064C6"/>
    <w:rsid w:val="0040681F"/>
    <w:rsid w:val="00406B46"/>
    <w:rsid w:val="00406ED1"/>
    <w:rsid w:val="00406FCD"/>
    <w:rsid w:val="0040709D"/>
    <w:rsid w:val="0040732A"/>
    <w:rsid w:val="004074F1"/>
    <w:rsid w:val="004075E0"/>
    <w:rsid w:val="004077D2"/>
    <w:rsid w:val="004078F9"/>
    <w:rsid w:val="00407A74"/>
    <w:rsid w:val="00407F8A"/>
    <w:rsid w:val="00407FB3"/>
    <w:rsid w:val="004103FB"/>
    <w:rsid w:val="00410880"/>
    <w:rsid w:val="0041099D"/>
    <w:rsid w:val="00410EBD"/>
    <w:rsid w:val="00411013"/>
    <w:rsid w:val="004112E3"/>
    <w:rsid w:val="00411393"/>
    <w:rsid w:val="0041149B"/>
    <w:rsid w:val="0041152C"/>
    <w:rsid w:val="004119E0"/>
    <w:rsid w:val="00411C15"/>
    <w:rsid w:val="00411E89"/>
    <w:rsid w:val="00412509"/>
    <w:rsid w:val="0041254E"/>
    <w:rsid w:val="004125F1"/>
    <w:rsid w:val="00412B02"/>
    <w:rsid w:val="00412B26"/>
    <w:rsid w:val="00412CAA"/>
    <w:rsid w:val="004137DB"/>
    <w:rsid w:val="004137E4"/>
    <w:rsid w:val="00413897"/>
    <w:rsid w:val="00413923"/>
    <w:rsid w:val="00413A2A"/>
    <w:rsid w:val="00413A45"/>
    <w:rsid w:val="00413B0E"/>
    <w:rsid w:val="00413D4D"/>
    <w:rsid w:val="00413EF3"/>
    <w:rsid w:val="00413F74"/>
    <w:rsid w:val="0041444A"/>
    <w:rsid w:val="004145ED"/>
    <w:rsid w:val="00414634"/>
    <w:rsid w:val="00414F18"/>
    <w:rsid w:val="00415314"/>
    <w:rsid w:val="0041537A"/>
    <w:rsid w:val="004154D7"/>
    <w:rsid w:val="0041552F"/>
    <w:rsid w:val="004155A6"/>
    <w:rsid w:val="00415862"/>
    <w:rsid w:val="00415B04"/>
    <w:rsid w:val="00415BA6"/>
    <w:rsid w:val="00415DAD"/>
    <w:rsid w:val="00415E1B"/>
    <w:rsid w:val="00415FCB"/>
    <w:rsid w:val="00416166"/>
    <w:rsid w:val="004161B9"/>
    <w:rsid w:val="00416494"/>
    <w:rsid w:val="00416BE0"/>
    <w:rsid w:val="00416E11"/>
    <w:rsid w:val="004172CE"/>
    <w:rsid w:val="004176E8"/>
    <w:rsid w:val="00417B7B"/>
    <w:rsid w:val="00417BFF"/>
    <w:rsid w:val="00417F71"/>
    <w:rsid w:val="00417FDB"/>
    <w:rsid w:val="00420070"/>
    <w:rsid w:val="004203BD"/>
    <w:rsid w:val="00420476"/>
    <w:rsid w:val="00420D7A"/>
    <w:rsid w:val="00420E45"/>
    <w:rsid w:val="00421548"/>
    <w:rsid w:val="00421932"/>
    <w:rsid w:val="0042198F"/>
    <w:rsid w:val="00421C83"/>
    <w:rsid w:val="00421FD6"/>
    <w:rsid w:val="00422230"/>
    <w:rsid w:val="00422334"/>
    <w:rsid w:val="00422483"/>
    <w:rsid w:val="004224EE"/>
    <w:rsid w:val="0042258D"/>
    <w:rsid w:val="004228AF"/>
    <w:rsid w:val="004229E3"/>
    <w:rsid w:val="00422BB8"/>
    <w:rsid w:val="00422CED"/>
    <w:rsid w:val="00422F0E"/>
    <w:rsid w:val="004231B3"/>
    <w:rsid w:val="0042342B"/>
    <w:rsid w:val="00423783"/>
    <w:rsid w:val="0042391B"/>
    <w:rsid w:val="00423A81"/>
    <w:rsid w:val="00423BC8"/>
    <w:rsid w:val="00423F8D"/>
    <w:rsid w:val="00424210"/>
    <w:rsid w:val="00424C02"/>
    <w:rsid w:val="0042513B"/>
    <w:rsid w:val="004252E1"/>
    <w:rsid w:val="00425443"/>
    <w:rsid w:val="004254B6"/>
    <w:rsid w:val="004257A9"/>
    <w:rsid w:val="00426464"/>
    <w:rsid w:val="00426874"/>
    <w:rsid w:val="00426901"/>
    <w:rsid w:val="004269F8"/>
    <w:rsid w:val="00426A30"/>
    <w:rsid w:val="00426B20"/>
    <w:rsid w:val="004274BF"/>
    <w:rsid w:val="004274F6"/>
    <w:rsid w:val="0042793F"/>
    <w:rsid w:val="0042797B"/>
    <w:rsid w:val="0042799F"/>
    <w:rsid w:val="00427DD3"/>
    <w:rsid w:val="00427EB2"/>
    <w:rsid w:val="00430045"/>
    <w:rsid w:val="0043068B"/>
    <w:rsid w:val="00430803"/>
    <w:rsid w:val="00430B1C"/>
    <w:rsid w:val="00430E76"/>
    <w:rsid w:val="00430F74"/>
    <w:rsid w:val="004316FA"/>
    <w:rsid w:val="004319DE"/>
    <w:rsid w:val="00431A8E"/>
    <w:rsid w:val="00431BFB"/>
    <w:rsid w:val="00432190"/>
    <w:rsid w:val="0043219D"/>
    <w:rsid w:val="004321D2"/>
    <w:rsid w:val="00432219"/>
    <w:rsid w:val="004322F9"/>
    <w:rsid w:val="00432345"/>
    <w:rsid w:val="00432627"/>
    <w:rsid w:val="00432745"/>
    <w:rsid w:val="00432F78"/>
    <w:rsid w:val="00433039"/>
    <w:rsid w:val="00433234"/>
    <w:rsid w:val="0043352E"/>
    <w:rsid w:val="004336F1"/>
    <w:rsid w:val="00433745"/>
    <w:rsid w:val="0043396D"/>
    <w:rsid w:val="00433E90"/>
    <w:rsid w:val="00433F4A"/>
    <w:rsid w:val="00433FA0"/>
    <w:rsid w:val="004343BF"/>
    <w:rsid w:val="0043479A"/>
    <w:rsid w:val="0043489C"/>
    <w:rsid w:val="00434CFA"/>
    <w:rsid w:val="0043506D"/>
    <w:rsid w:val="00435499"/>
    <w:rsid w:val="004355BD"/>
    <w:rsid w:val="00435A6B"/>
    <w:rsid w:val="00435F3F"/>
    <w:rsid w:val="00436576"/>
    <w:rsid w:val="0043667B"/>
    <w:rsid w:val="00436AF8"/>
    <w:rsid w:val="004373EC"/>
    <w:rsid w:val="00437474"/>
    <w:rsid w:val="00437A0B"/>
    <w:rsid w:val="00437A2D"/>
    <w:rsid w:val="00437B9F"/>
    <w:rsid w:val="00437C33"/>
    <w:rsid w:val="00437C7E"/>
    <w:rsid w:val="00437DC3"/>
    <w:rsid w:val="00440375"/>
    <w:rsid w:val="004409FC"/>
    <w:rsid w:val="00440EAE"/>
    <w:rsid w:val="0044105A"/>
    <w:rsid w:val="004415FC"/>
    <w:rsid w:val="00441674"/>
    <w:rsid w:val="0044190C"/>
    <w:rsid w:val="00441BB5"/>
    <w:rsid w:val="00441EC8"/>
    <w:rsid w:val="00441EEE"/>
    <w:rsid w:val="00441FB3"/>
    <w:rsid w:val="00442211"/>
    <w:rsid w:val="00442350"/>
    <w:rsid w:val="004427FF"/>
    <w:rsid w:val="00442935"/>
    <w:rsid w:val="00442989"/>
    <w:rsid w:val="00442BF3"/>
    <w:rsid w:val="00442E17"/>
    <w:rsid w:val="00442E72"/>
    <w:rsid w:val="00443079"/>
    <w:rsid w:val="004430BC"/>
    <w:rsid w:val="00443314"/>
    <w:rsid w:val="00443B6C"/>
    <w:rsid w:val="00443E40"/>
    <w:rsid w:val="00443E48"/>
    <w:rsid w:val="00443EE5"/>
    <w:rsid w:val="00443F0F"/>
    <w:rsid w:val="004444FA"/>
    <w:rsid w:val="004445FA"/>
    <w:rsid w:val="00444620"/>
    <w:rsid w:val="00444C9A"/>
    <w:rsid w:val="00444D53"/>
    <w:rsid w:val="00445105"/>
    <w:rsid w:val="00445299"/>
    <w:rsid w:val="00445354"/>
    <w:rsid w:val="00445859"/>
    <w:rsid w:val="00445942"/>
    <w:rsid w:val="00445A63"/>
    <w:rsid w:val="00445C90"/>
    <w:rsid w:val="00445D1C"/>
    <w:rsid w:val="00445D4A"/>
    <w:rsid w:val="00445E36"/>
    <w:rsid w:val="004463AC"/>
    <w:rsid w:val="00446820"/>
    <w:rsid w:val="00446822"/>
    <w:rsid w:val="00446D5E"/>
    <w:rsid w:val="00446DC6"/>
    <w:rsid w:val="00447600"/>
    <w:rsid w:val="00447955"/>
    <w:rsid w:val="00447E29"/>
    <w:rsid w:val="004500BD"/>
    <w:rsid w:val="00450171"/>
    <w:rsid w:val="00450350"/>
    <w:rsid w:val="004506B9"/>
    <w:rsid w:val="00450CA3"/>
    <w:rsid w:val="00450D07"/>
    <w:rsid w:val="00451517"/>
    <w:rsid w:val="004516A4"/>
    <w:rsid w:val="0045183E"/>
    <w:rsid w:val="00451B30"/>
    <w:rsid w:val="00451EE9"/>
    <w:rsid w:val="00451FBF"/>
    <w:rsid w:val="00452019"/>
    <w:rsid w:val="004520C1"/>
    <w:rsid w:val="00452219"/>
    <w:rsid w:val="004525D6"/>
    <w:rsid w:val="0045293B"/>
    <w:rsid w:val="004529C3"/>
    <w:rsid w:val="00452DC8"/>
    <w:rsid w:val="00452DFF"/>
    <w:rsid w:val="00453621"/>
    <w:rsid w:val="0045372E"/>
    <w:rsid w:val="00453B21"/>
    <w:rsid w:val="00453F87"/>
    <w:rsid w:val="0045469C"/>
    <w:rsid w:val="00454860"/>
    <w:rsid w:val="00454C18"/>
    <w:rsid w:val="00454FAF"/>
    <w:rsid w:val="0045514B"/>
    <w:rsid w:val="00455943"/>
    <w:rsid w:val="00455C14"/>
    <w:rsid w:val="00455FA8"/>
    <w:rsid w:val="00455FB4"/>
    <w:rsid w:val="00455FC5"/>
    <w:rsid w:val="004561B5"/>
    <w:rsid w:val="0045621B"/>
    <w:rsid w:val="0045646D"/>
    <w:rsid w:val="00456CAC"/>
    <w:rsid w:val="00457165"/>
    <w:rsid w:val="00457636"/>
    <w:rsid w:val="004576A4"/>
    <w:rsid w:val="00457843"/>
    <w:rsid w:val="00457C2A"/>
    <w:rsid w:val="00457D69"/>
    <w:rsid w:val="00457EB9"/>
    <w:rsid w:val="00460645"/>
    <w:rsid w:val="00460668"/>
    <w:rsid w:val="0046080F"/>
    <w:rsid w:val="00460A54"/>
    <w:rsid w:val="00460ED2"/>
    <w:rsid w:val="00460FB4"/>
    <w:rsid w:val="00460FEE"/>
    <w:rsid w:val="00461026"/>
    <w:rsid w:val="00461265"/>
    <w:rsid w:val="0046130E"/>
    <w:rsid w:val="004613F3"/>
    <w:rsid w:val="0046151A"/>
    <w:rsid w:val="00461537"/>
    <w:rsid w:val="0046159F"/>
    <w:rsid w:val="00461611"/>
    <w:rsid w:val="004616D1"/>
    <w:rsid w:val="00461845"/>
    <w:rsid w:val="004619BC"/>
    <w:rsid w:val="00461BDA"/>
    <w:rsid w:val="00461D73"/>
    <w:rsid w:val="0046219D"/>
    <w:rsid w:val="004623F0"/>
    <w:rsid w:val="004624FD"/>
    <w:rsid w:val="004629BA"/>
    <w:rsid w:val="00462DBE"/>
    <w:rsid w:val="00462E07"/>
    <w:rsid w:val="00462E4F"/>
    <w:rsid w:val="00463286"/>
    <w:rsid w:val="00463291"/>
    <w:rsid w:val="00463408"/>
    <w:rsid w:val="00463519"/>
    <w:rsid w:val="004638AC"/>
    <w:rsid w:val="004639FA"/>
    <w:rsid w:val="00463A78"/>
    <w:rsid w:val="00463CFE"/>
    <w:rsid w:val="004643DD"/>
    <w:rsid w:val="004645AA"/>
    <w:rsid w:val="00464700"/>
    <w:rsid w:val="004649C1"/>
    <w:rsid w:val="00464A10"/>
    <w:rsid w:val="00464FBE"/>
    <w:rsid w:val="00464FC7"/>
    <w:rsid w:val="004650AC"/>
    <w:rsid w:val="00465670"/>
    <w:rsid w:val="00465ADB"/>
    <w:rsid w:val="00465DD4"/>
    <w:rsid w:val="00466021"/>
    <w:rsid w:val="0046610B"/>
    <w:rsid w:val="004661C9"/>
    <w:rsid w:val="004662C9"/>
    <w:rsid w:val="004663CE"/>
    <w:rsid w:val="004663F0"/>
    <w:rsid w:val="00466414"/>
    <w:rsid w:val="004664E3"/>
    <w:rsid w:val="0046654F"/>
    <w:rsid w:val="0046663C"/>
    <w:rsid w:val="004668FD"/>
    <w:rsid w:val="00466A69"/>
    <w:rsid w:val="00466CFC"/>
    <w:rsid w:val="00466DCA"/>
    <w:rsid w:val="004670DB"/>
    <w:rsid w:val="00467189"/>
    <w:rsid w:val="004671CA"/>
    <w:rsid w:val="00467469"/>
    <w:rsid w:val="00467A49"/>
    <w:rsid w:val="00467B78"/>
    <w:rsid w:val="00470A73"/>
    <w:rsid w:val="00470B09"/>
    <w:rsid w:val="00470B8E"/>
    <w:rsid w:val="00470C53"/>
    <w:rsid w:val="00470CB7"/>
    <w:rsid w:val="00470D97"/>
    <w:rsid w:val="00470DF4"/>
    <w:rsid w:val="00470EC9"/>
    <w:rsid w:val="004710EA"/>
    <w:rsid w:val="00471151"/>
    <w:rsid w:val="0047144F"/>
    <w:rsid w:val="00471602"/>
    <w:rsid w:val="004719C0"/>
    <w:rsid w:val="00471B9C"/>
    <w:rsid w:val="00471C67"/>
    <w:rsid w:val="00471C9B"/>
    <w:rsid w:val="00471EE6"/>
    <w:rsid w:val="00472059"/>
    <w:rsid w:val="00472128"/>
    <w:rsid w:val="004723CD"/>
    <w:rsid w:val="00472416"/>
    <w:rsid w:val="004728DF"/>
    <w:rsid w:val="00472A7A"/>
    <w:rsid w:val="00472A9E"/>
    <w:rsid w:val="00472CA7"/>
    <w:rsid w:val="004732DC"/>
    <w:rsid w:val="00473530"/>
    <w:rsid w:val="0047353D"/>
    <w:rsid w:val="004735E8"/>
    <w:rsid w:val="0047374A"/>
    <w:rsid w:val="00473AAB"/>
    <w:rsid w:val="00473BC9"/>
    <w:rsid w:val="00473FA9"/>
    <w:rsid w:val="00474118"/>
    <w:rsid w:val="004741F8"/>
    <w:rsid w:val="004744E4"/>
    <w:rsid w:val="004748ED"/>
    <w:rsid w:val="00474B4D"/>
    <w:rsid w:val="004751B2"/>
    <w:rsid w:val="004755D7"/>
    <w:rsid w:val="004757CC"/>
    <w:rsid w:val="00475AE0"/>
    <w:rsid w:val="00475DE3"/>
    <w:rsid w:val="00475DF7"/>
    <w:rsid w:val="00475F0F"/>
    <w:rsid w:val="00476E83"/>
    <w:rsid w:val="00476F4C"/>
    <w:rsid w:val="0047710A"/>
    <w:rsid w:val="004773A2"/>
    <w:rsid w:val="0047740E"/>
    <w:rsid w:val="00477A8D"/>
    <w:rsid w:val="00477AED"/>
    <w:rsid w:val="00477B91"/>
    <w:rsid w:val="00477E5C"/>
    <w:rsid w:val="00480058"/>
    <w:rsid w:val="0048076F"/>
    <w:rsid w:val="004809FF"/>
    <w:rsid w:val="00480AB1"/>
    <w:rsid w:val="00480AF2"/>
    <w:rsid w:val="00480F01"/>
    <w:rsid w:val="00480F6A"/>
    <w:rsid w:val="0048172D"/>
    <w:rsid w:val="00481987"/>
    <w:rsid w:val="00481DAB"/>
    <w:rsid w:val="00481EEA"/>
    <w:rsid w:val="00481F99"/>
    <w:rsid w:val="00482052"/>
    <w:rsid w:val="00482066"/>
    <w:rsid w:val="004821F6"/>
    <w:rsid w:val="0048229C"/>
    <w:rsid w:val="00482554"/>
    <w:rsid w:val="0048269A"/>
    <w:rsid w:val="004826A7"/>
    <w:rsid w:val="004829D1"/>
    <w:rsid w:val="00482B82"/>
    <w:rsid w:val="00482C85"/>
    <w:rsid w:val="00482FF7"/>
    <w:rsid w:val="004831DC"/>
    <w:rsid w:val="0048372B"/>
    <w:rsid w:val="0048381B"/>
    <w:rsid w:val="00483925"/>
    <w:rsid w:val="00484200"/>
    <w:rsid w:val="0048471D"/>
    <w:rsid w:val="00484908"/>
    <w:rsid w:val="0048495B"/>
    <w:rsid w:val="00484A3D"/>
    <w:rsid w:val="00484B74"/>
    <w:rsid w:val="00484BA4"/>
    <w:rsid w:val="00484E86"/>
    <w:rsid w:val="00484FE5"/>
    <w:rsid w:val="00485782"/>
    <w:rsid w:val="0048580E"/>
    <w:rsid w:val="00485FAB"/>
    <w:rsid w:val="00486081"/>
    <w:rsid w:val="0048614B"/>
    <w:rsid w:val="00486A88"/>
    <w:rsid w:val="00486BD7"/>
    <w:rsid w:val="00486C04"/>
    <w:rsid w:val="00486E8B"/>
    <w:rsid w:val="00487030"/>
    <w:rsid w:val="00487246"/>
    <w:rsid w:val="00487789"/>
    <w:rsid w:val="00487992"/>
    <w:rsid w:val="00487ACD"/>
    <w:rsid w:val="004903C6"/>
    <w:rsid w:val="00490481"/>
    <w:rsid w:val="004904C8"/>
    <w:rsid w:val="004907E9"/>
    <w:rsid w:val="00490816"/>
    <w:rsid w:val="00490891"/>
    <w:rsid w:val="00490E42"/>
    <w:rsid w:val="00490FC8"/>
    <w:rsid w:val="004917DC"/>
    <w:rsid w:val="004918CC"/>
    <w:rsid w:val="00491A26"/>
    <w:rsid w:val="00491A60"/>
    <w:rsid w:val="00491B97"/>
    <w:rsid w:val="00491DDB"/>
    <w:rsid w:val="00491E86"/>
    <w:rsid w:val="00491F4E"/>
    <w:rsid w:val="00492714"/>
    <w:rsid w:val="004928AD"/>
    <w:rsid w:val="00492BF0"/>
    <w:rsid w:val="0049319A"/>
    <w:rsid w:val="004935F8"/>
    <w:rsid w:val="004936E7"/>
    <w:rsid w:val="0049377F"/>
    <w:rsid w:val="004941B5"/>
    <w:rsid w:val="004943C7"/>
    <w:rsid w:val="00494611"/>
    <w:rsid w:val="004948E7"/>
    <w:rsid w:val="00494924"/>
    <w:rsid w:val="004949AF"/>
    <w:rsid w:val="00494B23"/>
    <w:rsid w:val="00494EB8"/>
    <w:rsid w:val="00495314"/>
    <w:rsid w:val="00495416"/>
    <w:rsid w:val="00495940"/>
    <w:rsid w:val="00495AF0"/>
    <w:rsid w:val="00495E6E"/>
    <w:rsid w:val="004960F2"/>
    <w:rsid w:val="0049616E"/>
    <w:rsid w:val="00496218"/>
    <w:rsid w:val="00496A11"/>
    <w:rsid w:val="00496B15"/>
    <w:rsid w:val="00496E85"/>
    <w:rsid w:val="00497048"/>
    <w:rsid w:val="00497176"/>
    <w:rsid w:val="004972BA"/>
    <w:rsid w:val="00497A61"/>
    <w:rsid w:val="00497B24"/>
    <w:rsid w:val="00497C83"/>
    <w:rsid w:val="00497DF6"/>
    <w:rsid w:val="004A05B1"/>
    <w:rsid w:val="004A07FA"/>
    <w:rsid w:val="004A0821"/>
    <w:rsid w:val="004A0D81"/>
    <w:rsid w:val="004A15FA"/>
    <w:rsid w:val="004A172F"/>
    <w:rsid w:val="004A1988"/>
    <w:rsid w:val="004A19D6"/>
    <w:rsid w:val="004A19DA"/>
    <w:rsid w:val="004A19F4"/>
    <w:rsid w:val="004A1A5C"/>
    <w:rsid w:val="004A216E"/>
    <w:rsid w:val="004A21C7"/>
    <w:rsid w:val="004A22DF"/>
    <w:rsid w:val="004A2301"/>
    <w:rsid w:val="004A26A4"/>
    <w:rsid w:val="004A2D38"/>
    <w:rsid w:val="004A2F20"/>
    <w:rsid w:val="004A34AA"/>
    <w:rsid w:val="004A34CC"/>
    <w:rsid w:val="004A3865"/>
    <w:rsid w:val="004A3AAD"/>
    <w:rsid w:val="004A3B04"/>
    <w:rsid w:val="004A3C39"/>
    <w:rsid w:val="004A3D3D"/>
    <w:rsid w:val="004A3FC7"/>
    <w:rsid w:val="004A400B"/>
    <w:rsid w:val="004A4035"/>
    <w:rsid w:val="004A4593"/>
    <w:rsid w:val="004A47D8"/>
    <w:rsid w:val="004A4AF4"/>
    <w:rsid w:val="004A4B36"/>
    <w:rsid w:val="004A4D2B"/>
    <w:rsid w:val="004A4E28"/>
    <w:rsid w:val="004A4EEA"/>
    <w:rsid w:val="004A50F4"/>
    <w:rsid w:val="004A5B99"/>
    <w:rsid w:val="004A5D29"/>
    <w:rsid w:val="004A5D41"/>
    <w:rsid w:val="004A5DA9"/>
    <w:rsid w:val="004A5E75"/>
    <w:rsid w:val="004A63DC"/>
    <w:rsid w:val="004A6611"/>
    <w:rsid w:val="004A6A1A"/>
    <w:rsid w:val="004A6B52"/>
    <w:rsid w:val="004A6D10"/>
    <w:rsid w:val="004A6EED"/>
    <w:rsid w:val="004A7507"/>
    <w:rsid w:val="004A7509"/>
    <w:rsid w:val="004A79EE"/>
    <w:rsid w:val="004A7B20"/>
    <w:rsid w:val="004A7BA7"/>
    <w:rsid w:val="004A7DA5"/>
    <w:rsid w:val="004A7F18"/>
    <w:rsid w:val="004B0946"/>
    <w:rsid w:val="004B0B26"/>
    <w:rsid w:val="004B0B4E"/>
    <w:rsid w:val="004B0D17"/>
    <w:rsid w:val="004B0DF4"/>
    <w:rsid w:val="004B107D"/>
    <w:rsid w:val="004B10EA"/>
    <w:rsid w:val="004B12A5"/>
    <w:rsid w:val="004B12DD"/>
    <w:rsid w:val="004B21A4"/>
    <w:rsid w:val="004B22B7"/>
    <w:rsid w:val="004B2990"/>
    <w:rsid w:val="004B2B6E"/>
    <w:rsid w:val="004B3256"/>
    <w:rsid w:val="004B355A"/>
    <w:rsid w:val="004B3E13"/>
    <w:rsid w:val="004B417C"/>
    <w:rsid w:val="004B4210"/>
    <w:rsid w:val="004B4254"/>
    <w:rsid w:val="004B4315"/>
    <w:rsid w:val="004B4330"/>
    <w:rsid w:val="004B4437"/>
    <w:rsid w:val="004B479F"/>
    <w:rsid w:val="004B4829"/>
    <w:rsid w:val="004B48F6"/>
    <w:rsid w:val="004B4BB1"/>
    <w:rsid w:val="004B4E2B"/>
    <w:rsid w:val="004B4E3E"/>
    <w:rsid w:val="004B4F44"/>
    <w:rsid w:val="004B5174"/>
    <w:rsid w:val="004B53CC"/>
    <w:rsid w:val="004B598C"/>
    <w:rsid w:val="004B5B50"/>
    <w:rsid w:val="004B5BDB"/>
    <w:rsid w:val="004B67BD"/>
    <w:rsid w:val="004B6AFA"/>
    <w:rsid w:val="004B6C43"/>
    <w:rsid w:val="004B6E4C"/>
    <w:rsid w:val="004B6E97"/>
    <w:rsid w:val="004B7455"/>
    <w:rsid w:val="004B776D"/>
    <w:rsid w:val="004B7A34"/>
    <w:rsid w:val="004B7AD0"/>
    <w:rsid w:val="004B7ED3"/>
    <w:rsid w:val="004C000C"/>
    <w:rsid w:val="004C00ED"/>
    <w:rsid w:val="004C029F"/>
    <w:rsid w:val="004C08D1"/>
    <w:rsid w:val="004C0A20"/>
    <w:rsid w:val="004C13EF"/>
    <w:rsid w:val="004C1520"/>
    <w:rsid w:val="004C15F9"/>
    <w:rsid w:val="004C1898"/>
    <w:rsid w:val="004C1A1E"/>
    <w:rsid w:val="004C1ADC"/>
    <w:rsid w:val="004C1AF4"/>
    <w:rsid w:val="004C1B42"/>
    <w:rsid w:val="004C1F3E"/>
    <w:rsid w:val="004C1FDA"/>
    <w:rsid w:val="004C2103"/>
    <w:rsid w:val="004C2222"/>
    <w:rsid w:val="004C2272"/>
    <w:rsid w:val="004C273B"/>
    <w:rsid w:val="004C2864"/>
    <w:rsid w:val="004C2E67"/>
    <w:rsid w:val="004C2F49"/>
    <w:rsid w:val="004C3090"/>
    <w:rsid w:val="004C3550"/>
    <w:rsid w:val="004C375A"/>
    <w:rsid w:val="004C3804"/>
    <w:rsid w:val="004C3865"/>
    <w:rsid w:val="004C3BE2"/>
    <w:rsid w:val="004C3BF1"/>
    <w:rsid w:val="004C3CE7"/>
    <w:rsid w:val="004C442D"/>
    <w:rsid w:val="004C4469"/>
    <w:rsid w:val="004C4676"/>
    <w:rsid w:val="004C47BB"/>
    <w:rsid w:val="004C484F"/>
    <w:rsid w:val="004C4936"/>
    <w:rsid w:val="004C4B80"/>
    <w:rsid w:val="004C4BE6"/>
    <w:rsid w:val="004C4CFC"/>
    <w:rsid w:val="004C4E2D"/>
    <w:rsid w:val="004C50A7"/>
    <w:rsid w:val="004C5362"/>
    <w:rsid w:val="004C56C0"/>
    <w:rsid w:val="004C60E2"/>
    <w:rsid w:val="004C677F"/>
    <w:rsid w:val="004C6811"/>
    <w:rsid w:val="004C6854"/>
    <w:rsid w:val="004C6A03"/>
    <w:rsid w:val="004C6F10"/>
    <w:rsid w:val="004C6FED"/>
    <w:rsid w:val="004C717A"/>
    <w:rsid w:val="004C73FB"/>
    <w:rsid w:val="004C74C6"/>
    <w:rsid w:val="004C793E"/>
    <w:rsid w:val="004C7AC2"/>
    <w:rsid w:val="004C7DD4"/>
    <w:rsid w:val="004C7FD2"/>
    <w:rsid w:val="004D0383"/>
    <w:rsid w:val="004D046A"/>
    <w:rsid w:val="004D0B16"/>
    <w:rsid w:val="004D0C0F"/>
    <w:rsid w:val="004D0D02"/>
    <w:rsid w:val="004D154F"/>
    <w:rsid w:val="004D1643"/>
    <w:rsid w:val="004D1660"/>
    <w:rsid w:val="004D1875"/>
    <w:rsid w:val="004D1AAE"/>
    <w:rsid w:val="004D1ABA"/>
    <w:rsid w:val="004D1F06"/>
    <w:rsid w:val="004D1F9C"/>
    <w:rsid w:val="004D22B5"/>
    <w:rsid w:val="004D2565"/>
    <w:rsid w:val="004D2653"/>
    <w:rsid w:val="004D2EDA"/>
    <w:rsid w:val="004D304C"/>
    <w:rsid w:val="004D324E"/>
    <w:rsid w:val="004D3296"/>
    <w:rsid w:val="004D33E7"/>
    <w:rsid w:val="004D3417"/>
    <w:rsid w:val="004D35F8"/>
    <w:rsid w:val="004D3738"/>
    <w:rsid w:val="004D411D"/>
    <w:rsid w:val="004D419A"/>
    <w:rsid w:val="004D4435"/>
    <w:rsid w:val="004D4592"/>
    <w:rsid w:val="004D45CB"/>
    <w:rsid w:val="004D4990"/>
    <w:rsid w:val="004D4A04"/>
    <w:rsid w:val="004D4AAB"/>
    <w:rsid w:val="004D5037"/>
    <w:rsid w:val="004D51AF"/>
    <w:rsid w:val="004D52D4"/>
    <w:rsid w:val="004D52DF"/>
    <w:rsid w:val="004D558A"/>
    <w:rsid w:val="004D608B"/>
    <w:rsid w:val="004D6645"/>
    <w:rsid w:val="004D694A"/>
    <w:rsid w:val="004D69B5"/>
    <w:rsid w:val="004D6BC1"/>
    <w:rsid w:val="004D6F06"/>
    <w:rsid w:val="004D715D"/>
    <w:rsid w:val="004D7375"/>
    <w:rsid w:val="004D764A"/>
    <w:rsid w:val="004D7FF0"/>
    <w:rsid w:val="004E0694"/>
    <w:rsid w:val="004E0D95"/>
    <w:rsid w:val="004E1107"/>
    <w:rsid w:val="004E1462"/>
    <w:rsid w:val="004E1B61"/>
    <w:rsid w:val="004E1FCF"/>
    <w:rsid w:val="004E21C1"/>
    <w:rsid w:val="004E2390"/>
    <w:rsid w:val="004E23CC"/>
    <w:rsid w:val="004E2574"/>
    <w:rsid w:val="004E2808"/>
    <w:rsid w:val="004E2A2E"/>
    <w:rsid w:val="004E2D6C"/>
    <w:rsid w:val="004E3291"/>
    <w:rsid w:val="004E333C"/>
    <w:rsid w:val="004E3802"/>
    <w:rsid w:val="004E38A1"/>
    <w:rsid w:val="004E40D8"/>
    <w:rsid w:val="004E4129"/>
    <w:rsid w:val="004E41FD"/>
    <w:rsid w:val="004E4561"/>
    <w:rsid w:val="004E4DC5"/>
    <w:rsid w:val="004E50BD"/>
    <w:rsid w:val="004E5159"/>
    <w:rsid w:val="004E517B"/>
    <w:rsid w:val="004E52DE"/>
    <w:rsid w:val="004E5599"/>
    <w:rsid w:val="004E578A"/>
    <w:rsid w:val="004E5867"/>
    <w:rsid w:val="004E5935"/>
    <w:rsid w:val="004E5C61"/>
    <w:rsid w:val="004E62B1"/>
    <w:rsid w:val="004E6301"/>
    <w:rsid w:val="004E6416"/>
    <w:rsid w:val="004E6A4A"/>
    <w:rsid w:val="004E6AE5"/>
    <w:rsid w:val="004E6C18"/>
    <w:rsid w:val="004E6E2E"/>
    <w:rsid w:val="004E6EF3"/>
    <w:rsid w:val="004E6FE2"/>
    <w:rsid w:val="004E744D"/>
    <w:rsid w:val="004E7460"/>
    <w:rsid w:val="004E7771"/>
    <w:rsid w:val="004E7833"/>
    <w:rsid w:val="004E7BDD"/>
    <w:rsid w:val="004E7C3C"/>
    <w:rsid w:val="004E7CCD"/>
    <w:rsid w:val="004F0150"/>
    <w:rsid w:val="004F0502"/>
    <w:rsid w:val="004F094E"/>
    <w:rsid w:val="004F0D23"/>
    <w:rsid w:val="004F0DE2"/>
    <w:rsid w:val="004F0DF2"/>
    <w:rsid w:val="004F0F0D"/>
    <w:rsid w:val="004F1155"/>
    <w:rsid w:val="004F1227"/>
    <w:rsid w:val="004F122C"/>
    <w:rsid w:val="004F159B"/>
    <w:rsid w:val="004F15C5"/>
    <w:rsid w:val="004F1A66"/>
    <w:rsid w:val="004F1DAF"/>
    <w:rsid w:val="004F2289"/>
    <w:rsid w:val="004F26DB"/>
    <w:rsid w:val="004F271C"/>
    <w:rsid w:val="004F2F6B"/>
    <w:rsid w:val="004F335A"/>
    <w:rsid w:val="004F335D"/>
    <w:rsid w:val="004F3643"/>
    <w:rsid w:val="004F376A"/>
    <w:rsid w:val="004F37C1"/>
    <w:rsid w:val="004F3861"/>
    <w:rsid w:val="004F3A46"/>
    <w:rsid w:val="004F3CE1"/>
    <w:rsid w:val="004F4193"/>
    <w:rsid w:val="004F4275"/>
    <w:rsid w:val="004F433D"/>
    <w:rsid w:val="004F44C2"/>
    <w:rsid w:val="004F4505"/>
    <w:rsid w:val="004F4870"/>
    <w:rsid w:val="004F4B4B"/>
    <w:rsid w:val="004F4BE8"/>
    <w:rsid w:val="004F4D76"/>
    <w:rsid w:val="004F4F9D"/>
    <w:rsid w:val="004F51E2"/>
    <w:rsid w:val="004F532D"/>
    <w:rsid w:val="004F56E1"/>
    <w:rsid w:val="004F596C"/>
    <w:rsid w:val="004F5C24"/>
    <w:rsid w:val="004F5F53"/>
    <w:rsid w:val="004F607A"/>
    <w:rsid w:val="004F6088"/>
    <w:rsid w:val="004F61BF"/>
    <w:rsid w:val="004F632E"/>
    <w:rsid w:val="004F6533"/>
    <w:rsid w:val="004F6552"/>
    <w:rsid w:val="004F65F0"/>
    <w:rsid w:val="004F67F6"/>
    <w:rsid w:val="004F6871"/>
    <w:rsid w:val="004F6897"/>
    <w:rsid w:val="004F6932"/>
    <w:rsid w:val="004F699C"/>
    <w:rsid w:val="004F6B4A"/>
    <w:rsid w:val="004F6BB1"/>
    <w:rsid w:val="004F6CF8"/>
    <w:rsid w:val="004F7512"/>
    <w:rsid w:val="004F7AFB"/>
    <w:rsid w:val="004F7DE9"/>
    <w:rsid w:val="004F7FBD"/>
    <w:rsid w:val="00500154"/>
    <w:rsid w:val="00500191"/>
    <w:rsid w:val="0050022F"/>
    <w:rsid w:val="00500BF0"/>
    <w:rsid w:val="00500EBC"/>
    <w:rsid w:val="00500FFE"/>
    <w:rsid w:val="0050119A"/>
    <w:rsid w:val="00501759"/>
    <w:rsid w:val="005017E6"/>
    <w:rsid w:val="00501842"/>
    <w:rsid w:val="00501A08"/>
    <w:rsid w:val="00501A5B"/>
    <w:rsid w:val="00501B5E"/>
    <w:rsid w:val="00501C1B"/>
    <w:rsid w:val="00501C8A"/>
    <w:rsid w:val="00501CD1"/>
    <w:rsid w:val="00501D7E"/>
    <w:rsid w:val="00502066"/>
    <w:rsid w:val="005024F1"/>
    <w:rsid w:val="005026B8"/>
    <w:rsid w:val="005027F1"/>
    <w:rsid w:val="00502C9F"/>
    <w:rsid w:val="005030DE"/>
    <w:rsid w:val="005034A2"/>
    <w:rsid w:val="005038D0"/>
    <w:rsid w:val="005039E4"/>
    <w:rsid w:val="00503F66"/>
    <w:rsid w:val="0050406C"/>
    <w:rsid w:val="005043D0"/>
    <w:rsid w:val="0050468C"/>
    <w:rsid w:val="00504D6D"/>
    <w:rsid w:val="00504FD7"/>
    <w:rsid w:val="005051A2"/>
    <w:rsid w:val="0050531D"/>
    <w:rsid w:val="00505499"/>
    <w:rsid w:val="00505522"/>
    <w:rsid w:val="00505BE8"/>
    <w:rsid w:val="0050648D"/>
    <w:rsid w:val="0050651D"/>
    <w:rsid w:val="00506689"/>
    <w:rsid w:val="00506AAF"/>
    <w:rsid w:val="00506D71"/>
    <w:rsid w:val="00506EF7"/>
    <w:rsid w:val="0050700A"/>
    <w:rsid w:val="0050709A"/>
    <w:rsid w:val="00507340"/>
    <w:rsid w:val="00507A58"/>
    <w:rsid w:val="00507BAD"/>
    <w:rsid w:val="00510210"/>
    <w:rsid w:val="0051028C"/>
    <w:rsid w:val="005102A4"/>
    <w:rsid w:val="005102B2"/>
    <w:rsid w:val="005104A7"/>
    <w:rsid w:val="005106B8"/>
    <w:rsid w:val="00510E28"/>
    <w:rsid w:val="0051119F"/>
    <w:rsid w:val="005111BE"/>
    <w:rsid w:val="005115F5"/>
    <w:rsid w:val="00511711"/>
    <w:rsid w:val="005117DA"/>
    <w:rsid w:val="0051197D"/>
    <w:rsid w:val="005119EA"/>
    <w:rsid w:val="00511A9E"/>
    <w:rsid w:val="00511B1C"/>
    <w:rsid w:val="00512039"/>
    <w:rsid w:val="005120C9"/>
    <w:rsid w:val="005121A2"/>
    <w:rsid w:val="0051261C"/>
    <w:rsid w:val="005126DF"/>
    <w:rsid w:val="00512952"/>
    <w:rsid w:val="005129A3"/>
    <w:rsid w:val="00512A1D"/>
    <w:rsid w:val="00512D54"/>
    <w:rsid w:val="00512F54"/>
    <w:rsid w:val="00512F5F"/>
    <w:rsid w:val="00513A48"/>
    <w:rsid w:val="00513ADB"/>
    <w:rsid w:val="0051434B"/>
    <w:rsid w:val="0051452F"/>
    <w:rsid w:val="00514792"/>
    <w:rsid w:val="005149D5"/>
    <w:rsid w:val="00514AFC"/>
    <w:rsid w:val="00514E20"/>
    <w:rsid w:val="00514EB5"/>
    <w:rsid w:val="0051508C"/>
    <w:rsid w:val="00515190"/>
    <w:rsid w:val="00515362"/>
    <w:rsid w:val="005154DB"/>
    <w:rsid w:val="00515653"/>
    <w:rsid w:val="0051589B"/>
    <w:rsid w:val="00515BFE"/>
    <w:rsid w:val="00516115"/>
    <w:rsid w:val="00516451"/>
    <w:rsid w:val="005168D2"/>
    <w:rsid w:val="00516D1E"/>
    <w:rsid w:val="00516DEA"/>
    <w:rsid w:val="00517632"/>
    <w:rsid w:val="00517AA5"/>
    <w:rsid w:val="00517BEA"/>
    <w:rsid w:val="00517FC1"/>
    <w:rsid w:val="00520730"/>
    <w:rsid w:val="00520A33"/>
    <w:rsid w:val="00520D19"/>
    <w:rsid w:val="00520E82"/>
    <w:rsid w:val="00521468"/>
    <w:rsid w:val="00521724"/>
    <w:rsid w:val="00521858"/>
    <w:rsid w:val="00521A39"/>
    <w:rsid w:val="00521BCC"/>
    <w:rsid w:val="0052204E"/>
    <w:rsid w:val="0052207D"/>
    <w:rsid w:val="005222F0"/>
    <w:rsid w:val="005228B5"/>
    <w:rsid w:val="00522EFC"/>
    <w:rsid w:val="00522F66"/>
    <w:rsid w:val="0052312A"/>
    <w:rsid w:val="005232BF"/>
    <w:rsid w:val="00523378"/>
    <w:rsid w:val="0052367A"/>
    <w:rsid w:val="00523C4E"/>
    <w:rsid w:val="00524002"/>
    <w:rsid w:val="0052448C"/>
    <w:rsid w:val="0052495C"/>
    <w:rsid w:val="00525342"/>
    <w:rsid w:val="0052566D"/>
    <w:rsid w:val="00525A6C"/>
    <w:rsid w:val="00525CA4"/>
    <w:rsid w:val="00525CEF"/>
    <w:rsid w:val="005264B8"/>
    <w:rsid w:val="0052653D"/>
    <w:rsid w:val="0052654E"/>
    <w:rsid w:val="00526B02"/>
    <w:rsid w:val="00526B04"/>
    <w:rsid w:val="00526B80"/>
    <w:rsid w:val="00526C15"/>
    <w:rsid w:val="00527263"/>
    <w:rsid w:val="00527486"/>
    <w:rsid w:val="005275A8"/>
    <w:rsid w:val="00527BDC"/>
    <w:rsid w:val="00527CF3"/>
    <w:rsid w:val="00527DD1"/>
    <w:rsid w:val="00530054"/>
    <w:rsid w:val="00530222"/>
    <w:rsid w:val="00530480"/>
    <w:rsid w:val="005305D9"/>
    <w:rsid w:val="00530921"/>
    <w:rsid w:val="00530BA7"/>
    <w:rsid w:val="00530BAC"/>
    <w:rsid w:val="00530C26"/>
    <w:rsid w:val="00530C95"/>
    <w:rsid w:val="00530FDE"/>
    <w:rsid w:val="005312CF"/>
    <w:rsid w:val="00531482"/>
    <w:rsid w:val="005314A8"/>
    <w:rsid w:val="00531610"/>
    <w:rsid w:val="005316E5"/>
    <w:rsid w:val="005319A5"/>
    <w:rsid w:val="00531D17"/>
    <w:rsid w:val="00531F50"/>
    <w:rsid w:val="0053241D"/>
    <w:rsid w:val="00532621"/>
    <w:rsid w:val="005326F0"/>
    <w:rsid w:val="00532A65"/>
    <w:rsid w:val="00533057"/>
    <w:rsid w:val="00533566"/>
    <w:rsid w:val="00533734"/>
    <w:rsid w:val="00533AE2"/>
    <w:rsid w:val="00533B22"/>
    <w:rsid w:val="00533B8E"/>
    <w:rsid w:val="00533E68"/>
    <w:rsid w:val="00533F9B"/>
    <w:rsid w:val="00533FDF"/>
    <w:rsid w:val="005340BA"/>
    <w:rsid w:val="00534694"/>
    <w:rsid w:val="00534A78"/>
    <w:rsid w:val="005352D2"/>
    <w:rsid w:val="005353FC"/>
    <w:rsid w:val="00535750"/>
    <w:rsid w:val="005357E7"/>
    <w:rsid w:val="00535AB8"/>
    <w:rsid w:val="00535F3A"/>
    <w:rsid w:val="0053621E"/>
    <w:rsid w:val="00536318"/>
    <w:rsid w:val="00536625"/>
    <w:rsid w:val="005367A3"/>
    <w:rsid w:val="0053697A"/>
    <w:rsid w:val="00536A4F"/>
    <w:rsid w:val="00536B17"/>
    <w:rsid w:val="00536BBE"/>
    <w:rsid w:val="00536DAD"/>
    <w:rsid w:val="005370B1"/>
    <w:rsid w:val="0053716A"/>
    <w:rsid w:val="00537202"/>
    <w:rsid w:val="00537329"/>
    <w:rsid w:val="0053757B"/>
    <w:rsid w:val="0053765E"/>
    <w:rsid w:val="00537703"/>
    <w:rsid w:val="00537BF1"/>
    <w:rsid w:val="00537C82"/>
    <w:rsid w:val="00540168"/>
    <w:rsid w:val="005402A7"/>
    <w:rsid w:val="0054064A"/>
    <w:rsid w:val="005408E9"/>
    <w:rsid w:val="00540A6A"/>
    <w:rsid w:val="00540AA6"/>
    <w:rsid w:val="00540BC8"/>
    <w:rsid w:val="00540DF5"/>
    <w:rsid w:val="005412BF"/>
    <w:rsid w:val="00541751"/>
    <w:rsid w:val="00541B31"/>
    <w:rsid w:val="00541C25"/>
    <w:rsid w:val="005420D1"/>
    <w:rsid w:val="005422DA"/>
    <w:rsid w:val="00542501"/>
    <w:rsid w:val="00542588"/>
    <w:rsid w:val="00542B3A"/>
    <w:rsid w:val="00542CA1"/>
    <w:rsid w:val="00542D0B"/>
    <w:rsid w:val="00542EE9"/>
    <w:rsid w:val="005437CF"/>
    <w:rsid w:val="005438DE"/>
    <w:rsid w:val="00543A69"/>
    <w:rsid w:val="00543C76"/>
    <w:rsid w:val="00543EFB"/>
    <w:rsid w:val="00543F07"/>
    <w:rsid w:val="005440A2"/>
    <w:rsid w:val="00544595"/>
    <w:rsid w:val="00544982"/>
    <w:rsid w:val="00544D8B"/>
    <w:rsid w:val="00544D91"/>
    <w:rsid w:val="005450AA"/>
    <w:rsid w:val="00545589"/>
    <w:rsid w:val="00545771"/>
    <w:rsid w:val="005457BE"/>
    <w:rsid w:val="0054590B"/>
    <w:rsid w:val="00545B21"/>
    <w:rsid w:val="00546596"/>
    <w:rsid w:val="0054686A"/>
    <w:rsid w:val="005468E3"/>
    <w:rsid w:val="00546AE3"/>
    <w:rsid w:val="005470D8"/>
    <w:rsid w:val="005471E9"/>
    <w:rsid w:val="00547223"/>
    <w:rsid w:val="005474B4"/>
    <w:rsid w:val="0054780C"/>
    <w:rsid w:val="005478FA"/>
    <w:rsid w:val="00547983"/>
    <w:rsid w:val="00547FFE"/>
    <w:rsid w:val="00550149"/>
    <w:rsid w:val="0055021E"/>
    <w:rsid w:val="0055031A"/>
    <w:rsid w:val="0055092B"/>
    <w:rsid w:val="00550930"/>
    <w:rsid w:val="00550A56"/>
    <w:rsid w:val="00550B25"/>
    <w:rsid w:val="00550BA3"/>
    <w:rsid w:val="00550C84"/>
    <w:rsid w:val="00550D0F"/>
    <w:rsid w:val="0055109A"/>
    <w:rsid w:val="005510BD"/>
    <w:rsid w:val="005513D0"/>
    <w:rsid w:val="005519DE"/>
    <w:rsid w:val="00552127"/>
    <w:rsid w:val="00552138"/>
    <w:rsid w:val="005522A0"/>
    <w:rsid w:val="005529EE"/>
    <w:rsid w:val="00552A04"/>
    <w:rsid w:val="00552A9F"/>
    <w:rsid w:val="00552E91"/>
    <w:rsid w:val="00552F3F"/>
    <w:rsid w:val="00553391"/>
    <w:rsid w:val="00553923"/>
    <w:rsid w:val="00553BD4"/>
    <w:rsid w:val="00553ED6"/>
    <w:rsid w:val="00553EDC"/>
    <w:rsid w:val="00554019"/>
    <w:rsid w:val="0055407D"/>
    <w:rsid w:val="00554236"/>
    <w:rsid w:val="00554652"/>
    <w:rsid w:val="0055466E"/>
    <w:rsid w:val="00554B7E"/>
    <w:rsid w:val="00554E9D"/>
    <w:rsid w:val="00555083"/>
    <w:rsid w:val="0055509A"/>
    <w:rsid w:val="0055539E"/>
    <w:rsid w:val="0055590D"/>
    <w:rsid w:val="00555B54"/>
    <w:rsid w:val="00555E93"/>
    <w:rsid w:val="00555F45"/>
    <w:rsid w:val="00555F48"/>
    <w:rsid w:val="005560EE"/>
    <w:rsid w:val="0055617A"/>
    <w:rsid w:val="005561BA"/>
    <w:rsid w:val="00556389"/>
    <w:rsid w:val="005563A4"/>
    <w:rsid w:val="00556429"/>
    <w:rsid w:val="005564CC"/>
    <w:rsid w:val="00556609"/>
    <w:rsid w:val="005568FC"/>
    <w:rsid w:val="00556EB6"/>
    <w:rsid w:val="0055718D"/>
    <w:rsid w:val="005572E4"/>
    <w:rsid w:val="005574F3"/>
    <w:rsid w:val="0055763E"/>
    <w:rsid w:val="005576F6"/>
    <w:rsid w:val="00557733"/>
    <w:rsid w:val="00557B7C"/>
    <w:rsid w:val="00557CD2"/>
    <w:rsid w:val="00557E04"/>
    <w:rsid w:val="00557FA4"/>
    <w:rsid w:val="0056050C"/>
    <w:rsid w:val="00560627"/>
    <w:rsid w:val="005606A3"/>
    <w:rsid w:val="005608D8"/>
    <w:rsid w:val="00560AEE"/>
    <w:rsid w:val="00560F61"/>
    <w:rsid w:val="00561103"/>
    <w:rsid w:val="005611F0"/>
    <w:rsid w:val="005616E2"/>
    <w:rsid w:val="00561A18"/>
    <w:rsid w:val="00561C75"/>
    <w:rsid w:val="00561D22"/>
    <w:rsid w:val="00561DEC"/>
    <w:rsid w:val="00562177"/>
    <w:rsid w:val="005621E7"/>
    <w:rsid w:val="005625EB"/>
    <w:rsid w:val="00562742"/>
    <w:rsid w:val="00562959"/>
    <w:rsid w:val="00562DE7"/>
    <w:rsid w:val="00562F7E"/>
    <w:rsid w:val="0056313F"/>
    <w:rsid w:val="00563989"/>
    <w:rsid w:val="00563AE6"/>
    <w:rsid w:val="00563B1E"/>
    <w:rsid w:val="00563C48"/>
    <w:rsid w:val="00563C52"/>
    <w:rsid w:val="00563D7C"/>
    <w:rsid w:val="00563DFB"/>
    <w:rsid w:val="005640CE"/>
    <w:rsid w:val="005641F1"/>
    <w:rsid w:val="005647A0"/>
    <w:rsid w:val="00564A3F"/>
    <w:rsid w:val="00564D8B"/>
    <w:rsid w:val="00565166"/>
    <w:rsid w:val="0056595C"/>
    <w:rsid w:val="005659FE"/>
    <w:rsid w:val="00565E98"/>
    <w:rsid w:val="005660A6"/>
    <w:rsid w:val="005664CB"/>
    <w:rsid w:val="00566558"/>
    <w:rsid w:val="00566A52"/>
    <w:rsid w:val="00566BB3"/>
    <w:rsid w:val="00566D32"/>
    <w:rsid w:val="00566DA5"/>
    <w:rsid w:val="00567385"/>
    <w:rsid w:val="00567580"/>
    <w:rsid w:val="0056785B"/>
    <w:rsid w:val="00567F6C"/>
    <w:rsid w:val="005704C5"/>
    <w:rsid w:val="0057054F"/>
    <w:rsid w:val="0057092C"/>
    <w:rsid w:val="005710D0"/>
    <w:rsid w:val="005710E3"/>
    <w:rsid w:val="005712FB"/>
    <w:rsid w:val="005713BD"/>
    <w:rsid w:val="005714EA"/>
    <w:rsid w:val="005715C3"/>
    <w:rsid w:val="005715F2"/>
    <w:rsid w:val="00571ADE"/>
    <w:rsid w:val="00571CBB"/>
    <w:rsid w:val="00571EC0"/>
    <w:rsid w:val="005721D5"/>
    <w:rsid w:val="005721E7"/>
    <w:rsid w:val="0057227F"/>
    <w:rsid w:val="005728FE"/>
    <w:rsid w:val="00572C0A"/>
    <w:rsid w:val="00572F3C"/>
    <w:rsid w:val="005733DC"/>
    <w:rsid w:val="005736D5"/>
    <w:rsid w:val="00573E4D"/>
    <w:rsid w:val="005741F0"/>
    <w:rsid w:val="00574249"/>
    <w:rsid w:val="005743B9"/>
    <w:rsid w:val="00574B3C"/>
    <w:rsid w:val="00575019"/>
    <w:rsid w:val="005750B9"/>
    <w:rsid w:val="00575174"/>
    <w:rsid w:val="005751DB"/>
    <w:rsid w:val="0057528F"/>
    <w:rsid w:val="005754F1"/>
    <w:rsid w:val="00575532"/>
    <w:rsid w:val="005755E4"/>
    <w:rsid w:val="0057561A"/>
    <w:rsid w:val="00575ECC"/>
    <w:rsid w:val="00576152"/>
    <w:rsid w:val="00576896"/>
    <w:rsid w:val="00576E13"/>
    <w:rsid w:val="00576F78"/>
    <w:rsid w:val="005771F0"/>
    <w:rsid w:val="00577285"/>
    <w:rsid w:val="0057791D"/>
    <w:rsid w:val="00577977"/>
    <w:rsid w:val="00577A45"/>
    <w:rsid w:val="00577BDC"/>
    <w:rsid w:val="00577E52"/>
    <w:rsid w:val="00577EAB"/>
    <w:rsid w:val="00577ED9"/>
    <w:rsid w:val="005801CD"/>
    <w:rsid w:val="0058068A"/>
    <w:rsid w:val="00580A35"/>
    <w:rsid w:val="00580BD6"/>
    <w:rsid w:val="00580CC7"/>
    <w:rsid w:val="005815D9"/>
    <w:rsid w:val="005815EA"/>
    <w:rsid w:val="00581607"/>
    <w:rsid w:val="005816E2"/>
    <w:rsid w:val="00581A91"/>
    <w:rsid w:val="00581F6E"/>
    <w:rsid w:val="00582218"/>
    <w:rsid w:val="005825A3"/>
    <w:rsid w:val="005825C8"/>
    <w:rsid w:val="005826A0"/>
    <w:rsid w:val="00582BBF"/>
    <w:rsid w:val="00582D75"/>
    <w:rsid w:val="005831CF"/>
    <w:rsid w:val="005836FB"/>
    <w:rsid w:val="0058398F"/>
    <w:rsid w:val="00583BC9"/>
    <w:rsid w:val="00583CCF"/>
    <w:rsid w:val="00583DC1"/>
    <w:rsid w:val="00583E45"/>
    <w:rsid w:val="00584565"/>
    <w:rsid w:val="00584DB4"/>
    <w:rsid w:val="00584F6F"/>
    <w:rsid w:val="0058523E"/>
    <w:rsid w:val="005853DA"/>
    <w:rsid w:val="005855B3"/>
    <w:rsid w:val="00585702"/>
    <w:rsid w:val="00585B4E"/>
    <w:rsid w:val="00585D05"/>
    <w:rsid w:val="00586600"/>
    <w:rsid w:val="00586729"/>
    <w:rsid w:val="00586B56"/>
    <w:rsid w:val="00586D84"/>
    <w:rsid w:val="00587113"/>
    <w:rsid w:val="005871CB"/>
    <w:rsid w:val="00587896"/>
    <w:rsid w:val="00587D3C"/>
    <w:rsid w:val="00587D4C"/>
    <w:rsid w:val="0059013E"/>
    <w:rsid w:val="00590277"/>
    <w:rsid w:val="005902DE"/>
    <w:rsid w:val="005906B0"/>
    <w:rsid w:val="00590711"/>
    <w:rsid w:val="00590A76"/>
    <w:rsid w:val="00590AA7"/>
    <w:rsid w:val="00590C76"/>
    <w:rsid w:val="005910CC"/>
    <w:rsid w:val="005910FF"/>
    <w:rsid w:val="005914F7"/>
    <w:rsid w:val="00591AB5"/>
    <w:rsid w:val="00591CA7"/>
    <w:rsid w:val="00591E9E"/>
    <w:rsid w:val="00591F07"/>
    <w:rsid w:val="0059280C"/>
    <w:rsid w:val="00592B1C"/>
    <w:rsid w:val="00592C08"/>
    <w:rsid w:val="00592D52"/>
    <w:rsid w:val="00592DB8"/>
    <w:rsid w:val="005931CD"/>
    <w:rsid w:val="00593332"/>
    <w:rsid w:val="00593460"/>
    <w:rsid w:val="00593B77"/>
    <w:rsid w:val="0059434F"/>
    <w:rsid w:val="00594791"/>
    <w:rsid w:val="00594819"/>
    <w:rsid w:val="0059488F"/>
    <w:rsid w:val="0059499D"/>
    <w:rsid w:val="00594AF1"/>
    <w:rsid w:val="00594BC1"/>
    <w:rsid w:val="00594DFB"/>
    <w:rsid w:val="00594E51"/>
    <w:rsid w:val="00594E57"/>
    <w:rsid w:val="0059521C"/>
    <w:rsid w:val="00595237"/>
    <w:rsid w:val="00595777"/>
    <w:rsid w:val="00595C0A"/>
    <w:rsid w:val="0059654F"/>
    <w:rsid w:val="0059657D"/>
    <w:rsid w:val="005968F3"/>
    <w:rsid w:val="00596A59"/>
    <w:rsid w:val="00596E33"/>
    <w:rsid w:val="005970C0"/>
    <w:rsid w:val="005970E6"/>
    <w:rsid w:val="00597321"/>
    <w:rsid w:val="0059798E"/>
    <w:rsid w:val="00597C0A"/>
    <w:rsid w:val="005A04B6"/>
    <w:rsid w:val="005A0521"/>
    <w:rsid w:val="005A053E"/>
    <w:rsid w:val="005A0591"/>
    <w:rsid w:val="005A0817"/>
    <w:rsid w:val="005A1082"/>
    <w:rsid w:val="005A1B1E"/>
    <w:rsid w:val="005A1C8C"/>
    <w:rsid w:val="005A21F5"/>
    <w:rsid w:val="005A24AF"/>
    <w:rsid w:val="005A2524"/>
    <w:rsid w:val="005A256A"/>
    <w:rsid w:val="005A26F2"/>
    <w:rsid w:val="005A26FF"/>
    <w:rsid w:val="005A27CF"/>
    <w:rsid w:val="005A28CF"/>
    <w:rsid w:val="005A2A85"/>
    <w:rsid w:val="005A2F1C"/>
    <w:rsid w:val="005A2F4F"/>
    <w:rsid w:val="005A3347"/>
    <w:rsid w:val="005A346F"/>
    <w:rsid w:val="005A365E"/>
    <w:rsid w:val="005A39D2"/>
    <w:rsid w:val="005A3AA3"/>
    <w:rsid w:val="005A3C80"/>
    <w:rsid w:val="005A4116"/>
    <w:rsid w:val="005A429F"/>
    <w:rsid w:val="005A4608"/>
    <w:rsid w:val="005A464E"/>
    <w:rsid w:val="005A489C"/>
    <w:rsid w:val="005A4A55"/>
    <w:rsid w:val="005A4AAE"/>
    <w:rsid w:val="005A5080"/>
    <w:rsid w:val="005A5088"/>
    <w:rsid w:val="005A5327"/>
    <w:rsid w:val="005A53AA"/>
    <w:rsid w:val="005A564E"/>
    <w:rsid w:val="005A570D"/>
    <w:rsid w:val="005A5EE8"/>
    <w:rsid w:val="005A60C7"/>
    <w:rsid w:val="005A621F"/>
    <w:rsid w:val="005A63D1"/>
    <w:rsid w:val="005A7074"/>
    <w:rsid w:val="005A73E1"/>
    <w:rsid w:val="005A752A"/>
    <w:rsid w:val="005A76D1"/>
    <w:rsid w:val="005A77C7"/>
    <w:rsid w:val="005A7A87"/>
    <w:rsid w:val="005A7CDF"/>
    <w:rsid w:val="005A7E03"/>
    <w:rsid w:val="005B0427"/>
    <w:rsid w:val="005B046F"/>
    <w:rsid w:val="005B0A47"/>
    <w:rsid w:val="005B0F02"/>
    <w:rsid w:val="005B121E"/>
    <w:rsid w:val="005B153E"/>
    <w:rsid w:val="005B1AE7"/>
    <w:rsid w:val="005B1FB9"/>
    <w:rsid w:val="005B2031"/>
    <w:rsid w:val="005B24B1"/>
    <w:rsid w:val="005B2768"/>
    <w:rsid w:val="005B2C39"/>
    <w:rsid w:val="005B2CDC"/>
    <w:rsid w:val="005B306A"/>
    <w:rsid w:val="005B322A"/>
    <w:rsid w:val="005B322E"/>
    <w:rsid w:val="005B33DF"/>
    <w:rsid w:val="005B3956"/>
    <w:rsid w:val="005B39DC"/>
    <w:rsid w:val="005B3F8A"/>
    <w:rsid w:val="005B4203"/>
    <w:rsid w:val="005B427F"/>
    <w:rsid w:val="005B429F"/>
    <w:rsid w:val="005B47F7"/>
    <w:rsid w:val="005B4921"/>
    <w:rsid w:val="005B4ED3"/>
    <w:rsid w:val="005B5385"/>
    <w:rsid w:val="005B552A"/>
    <w:rsid w:val="005B5BCC"/>
    <w:rsid w:val="005B5DB2"/>
    <w:rsid w:val="005B64BA"/>
    <w:rsid w:val="005B669E"/>
    <w:rsid w:val="005B692D"/>
    <w:rsid w:val="005B6E33"/>
    <w:rsid w:val="005B6F37"/>
    <w:rsid w:val="005B720B"/>
    <w:rsid w:val="005B7959"/>
    <w:rsid w:val="005B7B0E"/>
    <w:rsid w:val="005B7E50"/>
    <w:rsid w:val="005C026D"/>
    <w:rsid w:val="005C071A"/>
    <w:rsid w:val="005C139E"/>
    <w:rsid w:val="005C16C7"/>
    <w:rsid w:val="005C1949"/>
    <w:rsid w:val="005C1AEB"/>
    <w:rsid w:val="005C1B20"/>
    <w:rsid w:val="005C232A"/>
    <w:rsid w:val="005C24E7"/>
    <w:rsid w:val="005C282F"/>
    <w:rsid w:val="005C29C1"/>
    <w:rsid w:val="005C2C8E"/>
    <w:rsid w:val="005C3478"/>
    <w:rsid w:val="005C3833"/>
    <w:rsid w:val="005C3896"/>
    <w:rsid w:val="005C39AC"/>
    <w:rsid w:val="005C3A1B"/>
    <w:rsid w:val="005C3AD1"/>
    <w:rsid w:val="005C3CF0"/>
    <w:rsid w:val="005C3FBA"/>
    <w:rsid w:val="005C4369"/>
    <w:rsid w:val="005C445E"/>
    <w:rsid w:val="005C4478"/>
    <w:rsid w:val="005C48DA"/>
    <w:rsid w:val="005C48FE"/>
    <w:rsid w:val="005C49EA"/>
    <w:rsid w:val="005C4D05"/>
    <w:rsid w:val="005C518B"/>
    <w:rsid w:val="005C55F7"/>
    <w:rsid w:val="005C57B6"/>
    <w:rsid w:val="005C58A1"/>
    <w:rsid w:val="005C5931"/>
    <w:rsid w:val="005C597A"/>
    <w:rsid w:val="005C616F"/>
    <w:rsid w:val="005C6292"/>
    <w:rsid w:val="005C68DF"/>
    <w:rsid w:val="005C6981"/>
    <w:rsid w:val="005C6A91"/>
    <w:rsid w:val="005C6BEB"/>
    <w:rsid w:val="005C6EE5"/>
    <w:rsid w:val="005C6F5D"/>
    <w:rsid w:val="005C7314"/>
    <w:rsid w:val="005C7443"/>
    <w:rsid w:val="005C75C2"/>
    <w:rsid w:val="005D03A8"/>
    <w:rsid w:val="005D073A"/>
    <w:rsid w:val="005D08B3"/>
    <w:rsid w:val="005D0B42"/>
    <w:rsid w:val="005D0B9C"/>
    <w:rsid w:val="005D0BEC"/>
    <w:rsid w:val="005D0C93"/>
    <w:rsid w:val="005D15C9"/>
    <w:rsid w:val="005D186E"/>
    <w:rsid w:val="005D1988"/>
    <w:rsid w:val="005D1B63"/>
    <w:rsid w:val="005D1CE2"/>
    <w:rsid w:val="005D1E81"/>
    <w:rsid w:val="005D2592"/>
    <w:rsid w:val="005D3447"/>
    <w:rsid w:val="005D3474"/>
    <w:rsid w:val="005D3873"/>
    <w:rsid w:val="005D3946"/>
    <w:rsid w:val="005D3BA7"/>
    <w:rsid w:val="005D3C78"/>
    <w:rsid w:val="005D3D20"/>
    <w:rsid w:val="005D4198"/>
    <w:rsid w:val="005D4335"/>
    <w:rsid w:val="005D4486"/>
    <w:rsid w:val="005D482A"/>
    <w:rsid w:val="005D4918"/>
    <w:rsid w:val="005D4B6E"/>
    <w:rsid w:val="005D4B8E"/>
    <w:rsid w:val="005D4BB7"/>
    <w:rsid w:val="005D4C65"/>
    <w:rsid w:val="005D4FF3"/>
    <w:rsid w:val="005D52AD"/>
    <w:rsid w:val="005D5679"/>
    <w:rsid w:val="005D57EA"/>
    <w:rsid w:val="005D5A42"/>
    <w:rsid w:val="005D5B17"/>
    <w:rsid w:val="005D5DD2"/>
    <w:rsid w:val="005D64F0"/>
    <w:rsid w:val="005D651E"/>
    <w:rsid w:val="005D6654"/>
    <w:rsid w:val="005D677B"/>
    <w:rsid w:val="005D67A9"/>
    <w:rsid w:val="005D6A19"/>
    <w:rsid w:val="005D6E85"/>
    <w:rsid w:val="005D743E"/>
    <w:rsid w:val="005D782A"/>
    <w:rsid w:val="005D7D35"/>
    <w:rsid w:val="005E09EC"/>
    <w:rsid w:val="005E0B78"/>
    <w:rsid w:val="005E0D03"/>
    <w:rsid w:val="005E0E56"/>
    <w:rsid w:val="005E0E6C"/>
    <w:rsid w:val="005E1418"/>
    <w:rsid w:val="005E1958"/>
    <w:rsid w:val="005E196D"/>
    <w:rsid w:val="005E1ADB"/>
    <w:rsid w:val="005E1CBE"/>
    <w:rsid w:val="005E1FCA"/>
    <w:rsid w:val="005E207E"/>
    <w:rsid w:val="005E284F"/>
    <w:rsid w:val="005E290D"/>
    <w:rsid w:val="005E2B88"/>
    <w:rsid w:val="005E2C26"/>
    <w:rsid w:val="005E2E14"/>
    <w:rsid w:val="005E2E75"/>
    <w:rsid w:val="005E3058"/>
    <w:rsid w:val="005E3253"/>
    <w:rsid w:val="005E3358"/>
    <w:rsid w:val="005E3A27"/>
    <w:rsid w:val="005E3FC2"/>
    <w:rsid w:val="005E42C1"/>
    <w:rsid w:val="005E42CD"/>
    <w:rsid w:val="005E4466"/>
    <w:rsid w:val="005E45CD"/>
    <w:rsid w:val="005E4762"/>
    <w:rsid w:val="005E4B58"/>
    <w:rsid w:val="005E4C69"/>
    <w:rsid w:val="005E4C90"/>
    <w:rsid w:val="005E4E39"/>
    <w:rsid w:val="005E502B"/>
    <w:rsid w:val="005E5A2B"/>
    <w:rsid w:val="005E5C81"/>
    <w:rsid w:val="005E6010"/>
    <w:rsid w:val="005E6061"/>
    <w:rsid w:val="005E6256"/>
    <w:rsid w:val="005E639F"/>
    <w:rsid w:val="005E661F"/>
    <w:rsid w:val="005E677B"/>
    <w:rsid w:val="005E68D6"/>
    <w:rsid w:val="005E6C47"/>
    <w:rsid w:val="005E6E71"/>
    <w:rsid w:val="005E6FB5"/>
    <w:rsid w:val="005E736C"/>
    <w:rsid w:val="005E747F"/>
    <w:rsid w:val="005E7A5C"/>
    <w:rsid w:val="005E7AF5"/>
    <w:rsid w:val="005E7BCE"/>
    <w:rsid w:val="005E7D36"/>
    <w:rsid w:val="005E7D74"/>
    <w:rsid w:val="005E7DC2"/>
    <w:rsid w:val="005E7EB2"/>
    <w:rsid w:val="005F01D3"/>
    <w:rsid w:val="005F0242"/>
    <w:rsid w:val="005F029D"/>
    <w:rsid w:val="005F06EC"/>
    <w:rsid w:val="005F09EA"/>
    <w:rsid w:val="005F1238"/>
    <w:rsid w:val="005F127F"/>
    <w:rsid w:val="005F13C7"/>
    <w:rsid w:val="005F141F"/>
    <w:rsid w:val="005F192B"/>
    <w:rsid w:val="005F1C0D"/>
    <w:rsid w:val="005F208A"/>
    <w:rsid w:val="005F2604"/>
    <w:rsid w:val="005F2674"/>
    <w:rsid w:val="005F27AE"/>
    <w:rsid w:val="005F2A60"/>
    <w:rsid w:val="005F2A91"/>
    <w:rsid w:val="005F2F51"/>
    <w:rsid w:val="005F33D4"/>
    <w:rsid w:val="005F33F1"/>
    <w:rsid w:val="005F361E"/>
    <w:rsid w:val="005F3905"/>
    <w:rsid w:val="005F3917"/>
    <w:rsid w:val="005F40BF"/>
    <w:rsid w:val="005F40CF"/>
    <w:rsid w:val="005F4364"/>
    <w:rsid w:val="005F44E1"/>
    <w:rsid w:val="005F4635"/>
    <w:rsid w:val="005F4BE3"/>
    <w:rsid w:val="005F50C1"/>
    <w:rsid w:val="005F56E8"/>
    <w:rsid w:val="005F58C5"/>
    <w:rsid w:val="005F598A"/>
    <w:rsid w:val="005F5B75"/>
    <w:rsid w:val="005F5D1A"/>
    <w:rsid w:val="005F5D5E"/>
    <w:rsid w:val="005F60D4"/>
    <w:rsid w:val="005F612B"/>
    <w:rsid w:val="005F618C"/>
    <w:rsid w:val="005F652F"/>
    <w:rsid w:val="005F67A0"/>
    <w:rsid w:val="005F692D"/>
    <w:rsid w:val="005F6F14"/>
    <w:rsid w:val="005F7470"/>
    <w:rsid w:val="005F7E29"/>
    <w:rsid w:val="0060020B"/>
    <w:rsid w:val="006008F2"/>
    <w:rsid w:val="00600BA9"/>
    <w:rsid w:val="00600CAE"/>
    <w:rsid w:val="00600EB9"/>
    <w:rsid w:val="00601389"/>
    <w:rsid w:val="00601893"/>
    <w:rsid w:val="006019B1"/>
    <w:rsid w:val="00601A4D"/>
    <w:rsid w:val="00601AAC"/>
    <w:rsid w:val="00601B5C"/>
    <w:rsid w:val="00601D90"/>
    <w:rsid w:val="0060218F"/>
    <w:rsid w:val="006021AB"/>
    <w:rsid w:val="006022CA"/>
    <w:rsid w:val="00602939"/>
    <w:rsid w:val="00602AB5"/>
    <w:rsid w:val="00602BBA"/>
    <w:rsid w:val="00603031"/>
    <w:rsid w:val="0060307C"/>
    <w:rsid w:val="00603294"/>
    <w:rsid w:val="0060359C"/>
    <w:rsid w:val="006036D8"/>
    <w:rsid w:val="00603932"/>
    <w:rsid w:val="00603BEF"/>
    <w:rsid w:val="00604101"/>
    <w:rsid w:val="006045DD"/>
    <w:rsid w:val="006046C9"/>
    <w:rsid w:val="006046F8"/>
    <w:rsid w:val="00604A51"/>
    <w:rsid w:val="00604F8A"/>
    <w:rsid w:val="0060573C"/>
    <w:rsid w:val="00605C2D"/>
    <w:rsid w:val="00605E4C"/>
    <w:rsid w:val="00605E86"/>
    <w:rsid w:val="00605FE9"/>
    <w:rsid w:val="00606187"/>
    <w:rsid w:val="006063E7"/>
    <w:rsid w:val="00606408"/>
    <w:rsid w:val="006065E1"/>
    <w:rsid w:val="00606625"/>
    <w:rsid w:val="00606A5C"/>
    <w:rsid w:val="00607211"/>
    <w:rsid w:val="0060750E"/>
    <w:rsid w:val="00607785"/>
    <w:rsid w:val="006078A5"/>
    <w:rsid w:val="00607A93"/>
    <w:rsid w:val="00607B3F"/>
    <w:rsid w:val="00607CC8"/>
    <w:rsid w:val="00607EA6"/>
    <w:rsid w:val="00610278"/>
    <w:rsid w:val="006103E8"/>
    <w:rsid w:val="0061071E"/>
    <w:rsid w:val="00610909"/>
    <w:rsid w:val="00611017"/>
    <w:rsid w:val="0061113D"/>
    <w:rsid w:val="0061130C"/>
    <w:rsid w:val="0061132B"/>
    <w:rsid w:val="006118C3"/>
    <w:rsid w:val="00611950"/>
    <w:rsid w:val="00611AB4"/>
    <w:rsid w:val="00611DB4"/>
    <w:rsid w:val="00611DD7"/>
    <w:rsid w:val="00611E4C"/>
    <w:rsid w:val="00611FDC"/>
    <w:rsid w:val="006121AD"/>
    <w:rsid w:val="0061245D"/>
    <w:rsid w:val="00612531"/>
    <w:rsid w:val="00612538"/>
    <w:rsid w:val="006126FF"/>
    <w:rsid w:val="0061299E"/>
    <w:rsid w:val="00612B6A"/>
    <w:rsid w:val="00612BE6"/>
    <w:rsid w:val="0061367C"/>
    <w:rsid w:val="00613705"/>
    <w:rsid w:val="00613AE1"/>
    <w:rsid w:val="00613FEB"/>
    <w:rsid w:val="00614135"/>
    <w:rsid w:val="0061441F"/>
    <w:rsid w:val="006144FD"/>
    <w:rsid w:val="0061480A"/>
    <w:rsid w:val="00614A8A"/>
    <w:rsid w:val="00614AE8"/>
    <w:rsid w:val="00614D7D"/>
    <w:rsid w:val="00615167"/>
    <w:rsid w:val="00615244"/>
    <w:rsid w:val="00615362"/>
    <w:rsid w:val="006154BF"/>
    <w:rsid w:val="00615F7B"/>
    <w:rsid w:val="0061617F"/>
    <w:rsid w:val="0061640D"/>
    <w:rsid w:val="006165FC"/>
    <w:rsid w:val="0061690A"/>
    <w:rsid w:val="00616AF3"/>
    <w:rsid w:val="00616CD9"/>
    <w:rsid w:val="00616D2F"/>
    <w:rsid w:val="00617305"/>
    <w:rsid w:val="00617332"/>
    <w:rsid w:val="006200A3"/>
    <w:rsid w:val="0062064D"/>
    <w:rsid w:val="0062083E"/>
    <w:rsid w:val="00621086"/>
    <w:rsid w:val="006213A1"/>
    <w:rsid w:val="0062155F"/>
    <w:rsid w:val="00621C05"/>
    <w:rsid w:val="00621D3F"/>
    <w:rsid w:val="00622371"/>
    <w:rsid w:val="00622879"/>
    <w:rsid w:val="0062292B"/>
    <w:rsid w:val="00622A52"/>
    <w:rsid w:val="00622DAE"/>
    <w:rsid w:val="00622DB6"/>
    <w:rsid w:val="00622DE9"/>
    <w:rsid w:val="00622F43"/>
    <w:rsid w:val="0062408A"/>
    <w:rsid w:val="0062412D"/>
    <w:rsid w:val="00624138"/>
    <w:rsid w:val="006243CE"/>
    <w:rsid w:val="006244EA"/>
    <w:rsid w:val="00624541"/>
    <w:rsid w:val="006249DC"/>
    <w:rsid w:val="00624BC8"/>
    <w:rsid w:val="00624BCB"/>
    <w:rsid w:val="00624C2A"/>
    <w:rsid w:val="00624C37"/>
    <w:rsid w:val="00624F7D"/>
    <w:rsid w:val="00625107"/>
    <w:rsid w:val="0062525B"/>
    <w:rsid w:val="006254FE"/>
    <w:rsid w:val="0062590B"/>
    <w:rsid w:val="00625D3D"/>
    <w:rsid w:val="00625E7A"/>
    <w:rsid w:val="00626020"/>
    <w:rsid w:val="00626585"/>
    <w:rsid w:val="00626684"/>
    <w:rsid w:val="00626821"/>
    <w:rsid w:val="006269DE"/>
    <w:rsid w:val="00626B5F"/>
    <w:rsid w:val="006270A6"/>
    <w:rsid w:val="006275D0"/>
    <w:rsid w:val="006275D4"/>
    <w:rsid w:val="00627615"/>
    <w:rsid w:val="00627959"/>
    <w:rsid w:val="00627E27"/>
    <w:rsid w:val="00627E41"/>
    <w:rsid w:val="00627E9C"/>
    <w:rsid w:val="0063022E"/>
    <w:rsid w:val="00630E57"/>
    <w:rsid w:val="00630EE4"/>
    <w:rsid w:val="00630F08"/>
    <w:rsid w:val="00631186"/>
    <w:rsid w:val="00631298"/>
    <w:rsid w:val="00631525"/>
    <w:rsid w:val="00631935"/>
    <w:rsid w:val="00631C53"/>
    <w:rsid w:val="00632179"/>
    <w:rsid w:val="006328BF"/>
    <w:rsid w:val="006330EF"/>
    <w:rsid w:val="006332AE"/>
    <w:rsid w:val="00634141"/>
    <w:rsid w:val="006343DC"/>
    <w:rsid w:val="00634A8E"/>
    <w:rsid w:val="00634C09"/>
    <w:rsid w:val="00634CA1"/>
    <w:rsid w:val="00634E77"/>
    <w:rsid w:val="00634E93"/>
    <w:rsid w:val="00634F97"/>
    <w:rsid w:val="00635132"/>
    <w:rsid w:val="00635242"/>
    <w:rsid w:val="00635631"/>
    <w:rsid w:val="00635D42"/>
    <w:rsid w:val="00635E4A"/>
    <w:rsid w:val="00636082"/>
    <w:rsid w:val="00636716"/>
    <w:rsid w:val="00636821"/>
    <w:rsid w:val="00636C05"/>
    <w:rsid w:val="00637198"/>
    <w:rsid w:val="006377E7"/>
    <w:rsid w:val="00637B88"/>
    <w:rsid w:val="00640098"/>
    <w:rsid w:val="006402C7"/>
    <w:rsid w:val="006407C2"/>
    <w:rsid w:val="00640923"/>
    <w:rsid w:val="00640971"/>
    <w:rsid w:val="00640AFC"/>
    <w:rsid w:val="00640B34"/>
    <w:rsid w:val="00640E28"/>
    <w:rsid w:val="0064116F"/>
    <w:rsid w:val="00641209"/>
    <w:rsid w:val="006417C7"/>
    <w:rsid w:val="00641913"/>
    <w:rsid w:val="00641AED"/>
    <w:rsid w:val="00641BB6"/>
    <w:rsid w:val="00641C70"/>
    <w:rsid w:val="00641D80"/>
    <w:rsid w:val="00641DAB"/>
    <w:rsid w:val="00642061"/>
    <w:rsid w:val="00642B76"/>
    <w:rsid w:val="00643266"/>
    <w:rsid w:val="006432B9"/>
    <w:rsid w:val="00643489"/>
    <w:rsid w:val="0064384D"/>
    <w:rsid w:val="006439BF"/>
    <w:rsid w:val="00643EF3"/>
    <w:rsid w:val="00643F07"/>
    <w:rsid w:val="006443AB"/>
    <w:rsid w:val="006447B1"/>
    <w:rsid w:val="0064491E"/>
    <w:rsid w:val="00644B61"/>
    <w:rsid w:val="00644C6C"/>
    <w:rsid w:val="00644CEE"/>
    <w:rsid w:val="00644E73"/>
    <w:rsid w:val="006454CA"/>
    <w:rsid w:val="00645549"/>
    <w:rsid w:val="00645E05"/>
    <w:rsid w:val="006460C3"/>
    <w:rsid w:val="0064680C"/>
    <w:rsid w:val="006468D2"/>
    <w:rsid w:val="00646BE2"/>
    <w:rsid w:val="00646C63"/>
    <w:rsid w:val="006472AB"/>
    <w:rsid w:val="00647621"/>
    <w:rsid w:val="00647A2B"/>
    <w:rsid w:val="0065064D"/>
    <w:rsid w:val="00650C29"/>
    <w:rsid w:val="00650ED9"/>
    <w:rsid w:val="00650FF3"/>
    <w:rsid w:val="00651038"/>
    <w:rsid w:val="006510E0"/>
    <w:rsid w:val="0065130C"/>
    <w:rsid w:val="00651B02"/>
    <w:rsid w:val="00651D3D"/>
    <w:rsid w:val="00652213"/>
    <w:rsid w:val="0065244F"/>
    <w:rsid w:val="00652549"/>
    <w:rsid w:val="006526BC"/>
    <w:rsid w:val="00652723"/>
    <w:rsid w:val="00652A47"/>
    <w:rsid w:val="00652B15"/>
    <w:rsid w:val="00652B22"/>
    <w:rsid w:val="00652EEF"/>
    <w:rsid w:val="006530C2"/>
    <w:rsid w:val="0065356D"/>
    <w:rsid w:val="00653A95"/>
    <w:rsid w:val="00653CF6"/>
    <w:rsid w:val="0065406D"/>
    <w:rsid w:val="0065486E"/>
    <w:rsid w:val="00654BF1"/>
    <w:rsid w:val="00655525"/>
    <w:rsid w:val="00655A4C"/>
    <w:rsid w:val="00655BB9"/>
    <w:rsid w:val="00655D00"/>
    <w:rsid w:val="00656528"/>
    <w:rsid w:val="006566E7"/>
    <w:rsid w:val="00656757"/>
    <w:rsid w:val="006569AD"/>
    <w:rsid w:val="00656C74"/>
    <w:rsid w:val="00656D0F"/>
    <w:rsid w:val="00657215"/>
    <w:rsid w:val="0065767B"/>
    <w:rsid w:val="00657898"/>
    <w:rsid w:val="00657A26"/>
    <w:rsid w:val="00657C92"/>
    <w:rsid w:val="00657D6E"/>
    <w:rsid w:val="0066033F"/>
    <w:rsid w:val="006607EC"/>
    <w:rsid w:val="006609AD"/>
    <w:rsid w:val="00660A21"/>
    <w:rsid w:val="00661004"/>
    <w:rsid w:val="00661107"/>
    <w:rsid w:val="006614B4"/>
    <w:rsid w:val="006617D0"/>
    <w:rsid w:val="00661E41"/>
    <w:rsid w:val="00661E49"/>
    <w:rsid w:val="006622CC"/>
    <w:rsid w:val="00662424"/>
    <w:rsid w:val="00662430"/>
    <w:rsid w:val="0066273E"/>
    <w:rsid w:val="00662860"/>
    <w:rsid w:val="00662998"/>
    <w:rsid w:val="00662B76"/>
    <w:rsid w:val="00662DBD"/>
    <w:rsid w:val="006630D0"/>
    <w:rsid w:val="00663111"/>
    <w:rsid w:val="006631E7"/>
    <w:rsid w:val="0066323E"/>
    <w:rsid w:val="0066338C"/>
    <w:rsid w:val="006633E1"/>
    <w:rsid w:val="006636A2"/>
    <w:rsid w:val="0066381C"/>
    <w:rsid w:val="00663A7A"/>
    <w:rsid w:val="00663EEB"/>
    <w:rsid w:val="00664371"/>
    <w:rsid w:val="00664561"/>
    <w:rsid w:val="00664779"/>
    <w:rsid w:val="00664DBD"/>
    <w:rsid w:val="00664FD0"/>
    <w:rsid w:val="006651C8"/>
    <w:rsid w:val="006652A0"/>
    <w:rsid w:val="006653A1"/>
    <w:rsid w:val="006653F4"/>
    <w:rsid w:val="006657E6"/>
    <w:rsid w:val="006658AA"/>
    <w:rsid w:val="006659CB"/>
    <w:rsid w:val="00665EF1"/>
    <w:rsid w:val="00666005"/>
    <w:rsid w:val="006660F7"/>
    <w:rsid w:val="006663CA"/>
    <w:rsid w:val="0066641A"/>
    <w:rsid w:val="00666422"/>
    <w:rsid w:val="00666587"/>
    <w:rsid w:val="00666827"/>
    <w:rsid w:val="00666874"/>
    <w:rsid w:val="006669DD"/>
    <w:rsid w:val="00666A2F"/>
    <w:rsid w:val="00666BCC"/>
    <w:rsid w:val="006675D5"/>
    <w:rsid w:val="00667608"/>
    <w:rsid w:val="0066760C"/>
    <w:rsid w:val="006678BC"/>
    <w:rsid w:val="00667E19"/>
    <w:rsid w:val="00667EA1"/>
    <w:rsid w:val="00667F3E"/>
    <w:rsid w:val="00670477"/>
    <w:rsid w:val="00670633"/>
    <w:rsid w:val="006707F6"/>
    <w:rsid w:val="006709D1"/>
    <w:rsid w:val="00670B49"/>
    <w:rsid w:val="00670CA4"/>
    <w:rsid w:val="00670DAC"/>
    <w:rsid w:val="0067123D"/>
    <w:rsid w:val="006712A3"/>
    <w:rsid w:val="0067135C"/>
    <w:rsid w:val="006713C5"/>
    <w:rsid w:val="00671796"/>
    <w:rsid w:val="00671872"/>
    <w:rsid w:val="00671AF6"/>
    <w:rsid w:val="00671C07"/>
    <w:rsid w:val="006721A6"/>
    <w:rsid w:val="00672241"/>
    <w:rsid w:val="0067231E"/>
    <w:rsid w:val="006723FE"/>
    <w:rsid w:val="00672533"/>
    <w:rsid w:val="0067271E"/>
    <w:rsid w:val="006728A5"/>
    <w:rsid w:val="00672A8A"/>
    <w:rsid w:val="00672BF4"/>
    <w:rsid w:val="00672DB5"/>
    <w:rsid w:val="00672E7C"/>
    <w:rsid w:val="00672EA1"/>
    <w:rsid w:val="00672F51"/>
    <w:rsid w:val="00673394"/>
    <w:rsid w:val="00673B90"/>
    <w:rsid w:val="00673C44"/>
    <w:rsid w:val="00673D62"/>
    <w:rsid w:val="006745C7"/>
    <w:rsid w:val="006746A7"/>
    <w:rsid w:val="00674A92"/>
    <w:rsid w:val="00675092"/>
    <w:rsid w:val="00675483"/>
    <w:rsid w:val="006756A9"/>
    <w:rsid w:val="006756FF"/>
    <w:rsid w:val="00675E22"/>
    <w:rsid w:val="00676681"/>
    <w:rsid w:val="00676B40"/>
    <w:rsid w:val="00676BE8"/>
    <w:rsid w:val="00676CC1"/>
    <w:rsid w:val="00676EBF"/>
    <w:rsid w:val="00677265"/>
    <w:rsid w:val="00677835"/>
    <w:rsid w:val="00677CA3"/>
    <w:rsid w:val="00677CDE"/>
    <w:rsid w:val="00677EEC"/>
    <w:rsid w:val="00677FF4"/>
    <w:rsid w:val="0068046B"/>
    <w:rsid w:val="006804EE"/>
    <w:rsid w:val="006806A2"/>
    <w:rsid w:val="0068091D"/>
    <w:rsid w:val="00680A37"/>
    <w:rsid w:val="00680C1E"/>
    <w:rsid w:val="00680DE3"/>
    <w:rsid w:val="00681076"/>
    <w:rsid w:val="00681094"/>
    <w:rsid w:val="0068130A"/>
    <w:rsid w:val="00681610"/>
    <w:rsid w:val="0068176D"/>
    <w:rsid w:val="0068179A"/>
    <w:rsid w:val="00681EC7"/>
    <w:rsid w:val="00682094"/>
    <w:rsid w:val="00682116"/>
    <w:rsid w:val="00682924"/>
    <w:rsid w:val="006829A1"/>
    <w:rsid w:val="006829C5"/>
    <w:rsid w:val="00682DFD"/>
    <w:rsid w:val="006831B1"/>
    <w:rsid w:val="006834E1"/>
    <w:rsid w:val="00683946"/>
    <w:rsid w:val="006839AE"/>
    <w:rsid w:val="00683AEC"/>
    <w:rsid w:val="00683B9B"/>
    <w:rsid w:val="00683DCD"/>
    <w:rsid w:val="00683E04"/>
    <w:rsid w:val="006844E4"/>
    <w:rsid w:val="00684699"/>
    <w:rsid w:val="00684957"/>
    <w:rsid w:val="00684B7E"/>
    <w:rsid w:val="006859A9"/>
    <w:rsid w:val="00685A27"/>
    <w:rsid w:val="00685A6C"/>
    <w:rsid w:val="006860C9"/>
    <w:rsid w:val="00686A4A"/>
    <w:rsid w:val="00686BBE"/>
    <w:rsid w:val="00686C2E"/>
    <w:rsid w:val="00686EEB"/>
    <w:rsid w:val="00687275"/>
    <w:rsid w:val="00687668"/>
    <w:rsid w:val="006878BB"/>
    <w:rsid w:val="00687A0B"/>
    <w:rsid w:val="00687DFF"/>
    <w:rsid w:val="006900EA"/>
    <w:rsid w:val="00690105"/>
    <w:rsid w:val="00690175"/>
    <w:rsid w:val="006902E4"/>
    <w:rsid w:val="0069066C"/>
    <w:rsid w:val="0069071E"/>
    <w:rsid w:val="00690830"/>
    <w:rsid w:val="00690C37"/>
    <w:rsid w:val="00690E36"/>
    <w:rsid w:val="0069100B"/>
    <w:rsid w:val="0069102B"/>
    <w:rsid w:val="0069165D"/>
    <w:rsid w:val="00691BF8"/>
    <w:rsid w:val="00691C7E"/>
    <w:rsid w:val="00691C93"/>
    <w:rsid w:val="00692660"/>
    <w:rsid w:val="00692D28"/>
    <w:rsid w:val="00692D74"/>
    <w:rsid w:val="00692E8B"/>
    <w:rsid w:val="0069314E"/>
    <w:rsid w:val="0069315D"/>
    <w:rsid w:val="00693176"/>
    <w:rsid w:val="00693351"/>
    <w:rsid w:val="0069458A"/>
    <w:rsid w:val="00694AB0"/>
    <w:rsid w:val="00694AE5"/>
    <w:rsid w:val="00694D5A"/>
    <w:rsid w:val="00694E9C"/>
    <w:rsid w:val="00695011"/>
    <w:rsid w:val="00695382"/>
    <w:rsid w:val="0069590D"/>
    <w:rsid w:val="00696056"/>
    <w:rsid w:val="006960CF"/>
    <w:rsid w:val="00696F56"/>
    <w:rsid w:val="006975A1"/>
    <w:rsid w:val="00697698"/>
    <w:rsid w:val="006977B6"/>
    <w:rsid w:val="00697F1C"/>
    <w:rsid w:val="006A0173"/>
    <w:rsid w:val="006A01EF"/>
    <w:rsid w:val="006A0226"/>
    <w:rsid w:val="006A0EF8"/>
    <w:rsid w:val="006A0FAE"/>
    <w:rsid w:val="006A1526"/>
    <w:rsid w:val="006A1896"/>
    <w:rsid w:val="006A1C72"/>
    <w:rsid w:val="006A1D70"/>
    <w:rsid w:val="006A1DE3"/>
    <w:rsid w:val="006A1F17"/>
    <w:rsid w:val="006A22A8"/>
    <w:rsid w:val="006A24E3"/>
    <w:rsid w:val="006A2512"/>
    <w:rsid w:val="006A27F3"/>
    <w:rsid w:val="006A27FD"/>
    <w:rsid w:val="006A2844"/>
    <w:rsid w:val="006A28C3"/>
    <w:rsid w:val="006A2BAA"/>
    <w:rsid w:val="006A3907"/>
    <w:rsid w:val="006A3C8F"/>
    <w:rsid w:val="006A3DD8"/>
    <w:rsid w:val="006A4062"/>
    <w:rsid w:val="006A41BB"/>
    <w:rsid w:val="006A4413"/>
    <w:rsid w:val="006A474E"/>
    <w:rsid w:val="006A4A1A"/>
    <w:rsid w:val="006A4A66"/>
    <w:rsid w:val="006A4C5C"/>
    <w:rsid w:val="006A4EB1"/>
    <w:rsid w:val="006A51E3"/>
    <w:rsid w:val="006A527F"/>
    <w:rsid w:val="006A548F"/>
    <w:rsid w:val="006A55F7"/>
    <w:rsid w:val="006A5FC2"/>
    <w:rsid w:val="006A6132"/>
    <w:rsid w:val="006A6685"/>
    <w:rsid w:val="006A6801"/>
    <w:rsid w:val="006A69BB"/>
    <w:rsid w:val="006A6B33"/>
    <w:rsid w:val="006A6C29"/>
    <w:rsid w:val="006A720D"/>
    <w:rsid w:val="006A75A5"/>
    <w:rsid w:val="006A7808"/>
    <w:rsid w:val="006A79D0"/>
    <w:rsid w:val="006B015C"/>
    <w:rsid w:val="006B07B6"/>
    <w:rsid w:val="006B0A62"/>
    <w:rsid w:val="006B0E37"/>
    <w:rsid w:val="006B0F62"/>
    <w:rsid w:val="006B1198"/>
    <w:rsid w:val="006B1313"/>
    <w:rsid w:val="006B15A5"/>
    <w:rsid w:val="006B1BE4"/>
    <w:rsid w:val="006B1D26"/>
    <w:rsid w:val="006B2128"/>
    <w:rsid w:val="006B23C1"/>
    <w:rsid w:val="006B2562"/>
    <w:rsid w:val="006B28B1"/>
    <w:rsid w:val="006B2C4C"/>
    <w:rsid w:val="006B2DFD"/>
    <w:rsid w:val="006B3177"/>
    <w:rsid w:val="006B3487"/>
    <w:rsid w:val="006B3523"/>
    <w:rsid w:val="006B3618"/>
    <w:rsid w:val="006B3640"/>
    <w:rsid w:val="006B3808"/>
    <w:rsid w:val="006B3AB6"/>
    <w:rsid w:val="006B3C0A"/>
    <w:rsid w:val="006B3C48"/>
    <w:rsid w:val="006B4159"/>
    <w:rsid w:val="006B42D3"/>
    <w:rsid w:val="006B4493"/>
    <w:rsid w:val="006B46C0"/>
    <w:rsid w:val="006B49C8"/>
    <w:rsid w:val="006B49E7"/>
    <w:rsid w:val="006B4A1B"/>
    <w:rsid w:val="006B4C22"/>
    <w:rsid w:val="006B50E2"/>
    <w:rsid w:val="006B518B"/>
    <w:rsid w:val="006B53CC"/>
    <w:rsid w:val="006B53F3"/>
    <w:rsid w:val="006B565E"/>
    <w:rsid w:val="006B5C56"/>
    <w:rsid w:val="006B5EE8"/>
    <w:rsid w:val="006B61C6"/>
    <w:rsid w:val="006B642E"/>
    <w:rsid w:val="006B68A3"/>
    <w:rsid w:val="006B6AFC"/>
    <w:rsid w:val="006B6C7D"/>
    <w:rsid w:val="006B6DF5"/>
    <w:rsid w:val="006B72F5"/>
    <w:rsid w:val="006B72F7"/>
    <w:rsid w:val="006B7687"/>
    <w:rsid w:val="006B7793"/>
    <w:rsid w:val="006B77E6"/>
    <w:rsid w:val="006B7F93"/>
    <w:rsid w:val="006C02CB"/>
    <w:rsid w:val="006C02EE"/>
    <w:rsid w:val="006C0647"/>
    <w:rsid w:val="006C070F"/>
    <w:rsid w:val="006C10D4"/>
    <w:rsid w:val="006C1229"/>
    <w:rsid w:val="006C12A5"/>
    <w:rsid w:val="006C1356"/>
    <w:rsid w:val="006C1372"/>
    <w:rsid w:val="006C1601"/>
    <w:rsid w:val="006C1FE8"/>
    <w:rsid w:val="006C269A"/>
    <w:rsid w:val="006C2E6A"/>
    <w:rsid w:val="006C2F48"/>
    <w:rsid w:val="006C2F6D"/>
    <w:rsid w:val="006C3120"/>
    <w:rsid w:val="006C343F"/>
    <w:rsid w:val="006C345C"/>
    <w:rsid w:val="006C3551"/>
    <w:rsid w:val="006C3B78"/>
    <w:rsid w:val="006C3DB4"/>
    <w:rsid w:val="006C45F3"/>
    <w:rsid w:val="006C46DA"/>
    <w:rsid w:val="006C46EC"/>
    <w:rsid w:val="006C4C7F"/>
    <w:rsid w:val="006C4F3D"/>
    <w:rsid w:val="006C50C8"/>
    <w:rsid w:val="006C50ED"/>
    <w:rsid w:val="006C5393"/>
    <w:rsid w:val="006C54DB"/>
    <w:rsid w:val="006C562B"/>
    <w:rsid w:val="006C56BF"/>
    <w:rsid w:val="006C59E0"/>
    <w:rsid w:val="006C5BE9"/>
    <w:rsid w:val="006C616D"/>
    <w:rsid w:val="006C6221"/>
    <w:rsid w:val="006C66FA"/>
    <w:rsid w:val="006C69A7"/>
    <w:rsid w:val="006C6D1B"/>
    <w:rsid w:val="006C7416"/>
    <w:rsid w:val="006C7DC2"/>
    <w:rsid w:val="006C7F0F"/>
    <w:rsid w:val="006D000D"/>
    <w:rsid w:val="006D0096"/>
    <w:rsid w:val="006D0193"/>
    <w:rsid w:val="006D0389"/>
    <w:rsid w:val="006D03F6"/>
    <w:rsid w:val="006D04A3"/>
    <w:rsid w:val="006D0647"/>
    <w:rsid w:val="006D0795"/>
    <w:rsid w:val="006D0D40"/>
    <w:rsid w:val="006D0D57"/>
    <w:rsid w:val="006D0F4A"/>
    <w:rsid w:val="006D0F80"/>
    <w:rsid w:val="006D101A"/>
    <w:rsid w:val="006D101D"/>
    <w:rsid w:val="006D136A"/>
    <w:rsid w:val="006D1385"/>
    <w:rsid w:val="006D1630"/>
    <w:rsid w:val="006D16FD"/>
    <w:rsid w:val="006D1702"/>
    <w:rsid w:val="006D1733"/>
    <w:rsid w:val="006D1A18"/>
    <w:rsid w:val="006D1E68"/>
    <w:rsid w:val="006D2470"/>
    <w:rsid w:val="006D24FF"/>
    <w:rsid w:val="006D27E5"/>
    <w:rsid w:val="006D2B33"/>
    <w:rsid w:val="006D2E95"/>
    <w:rsid w:val="006D32D3"/>
    <w:rsid w:val="006D3351"/>
    <w:rsid w:val="006D3358"/>
    <w:rsid w:val="006D3364"/>
    <w:rsid w:val="006D3507"/>
    <w:rsid w:val="006D3672"/>
    <w:rsid w:val="006D36D2"/>
    <w:rsid w:val="006D386F"/>
    <w:rsid w:val="006D3954"/>
    <w:rsid w:val="006D3A14"/>
    <w:rsid w:val="006D3C71"/>
    <w:rsid w:val="006D43E0"/>
    <w:rsid w:val="006D4529"/>
    <w:rsid w:val="006D45C0"/>
    <w:rsid w:val="006D4B3A"/>
    <w:rsid w:val="006D4C21"/>
    <w:rsid w:val="006D4D3F"/>
    <w:rsid w:val="006D4D6C"/>
    <w:rsid w:val="006D4E49"/>
    <w:rsid w:val="006D4F00"/>
    <w:rsid w:val="006D503E"/>
    <w:rsid w:val="006D5277"/>
    <w:rsid w:val="006D5278"/>
    <w:rsid w:val="006D5307"/>
    <w:rsid w:val="006D5340"/>
    <w:rsid w:val="006D5809"/>
    <w:rsid w:val="006D5931"/>
    <w:rsid w:val="006D5AA4"/>
    <w:rsid w:val="006D61C2"/>
    <w:rsid w:val="006D680D"/>
    <w:rsid w:val="006D686A"/>
    <w:rsid w:val="006D6AED"/>
    <w:rsid w:val="006D6BB5"/>
    <w:rsid w:val="006D6CA5"/>
    <w:rsid w:val="006D6D65"/>
    <w:rsid w:val="006D6E3B"/>
    <w:rsid w:val="006D6E80"/>
    <w:rsid w:val="006D704C"/>
    <w:rsid w:val="006D7624"/>
    <w:rsid w:val="006D767B"/>
    <w:rsid w:val="006D77A5"/>
    <w:rsid w:val="006D7973"/>
    <w:rsid w:val="006D7A55"/>
    <w:rsid w:val="006D7A66"/>
    <w:rsid w:val="006D7B13"/>
    <w:rsid w:val="006D7D58"/>
    <w:rsid w:val="006E044C"/>
    <w:rsid w:val="006E0A92"/>
    <w:rsid w:val="006E0CE2"/>
    <w:rsid w:val="006E0E8F"/>
    <w:rsid w:val="006E1105"/>
    <w:rsid w:val="006E132C"/>
    <w:rsid w:val="006E15B5"/>
    <w:rsid w:val="006E1891"/>
    <w:rsid w:val="006E1A46"/>
    <w:rsid w:val="006E1D77"/>
    <w:rsid w:val="006E2916"/>
    <w:rsid w:val="006E2A5C"/>
    <w:rsid w:val="006E2ABF"/>
    <w:rsid w:val="006E2C37"/>
    <w:rsid w:val="006E2FC3"/>
    <w:rsid w:val="006E3067"/>
    <w:rsid w:val="006E32EE"/>
    <w:rsid w:val="006E38E0"/>
    <w:rsid w:val="006E3BED"/>
    <w:rsid w:val="006E3E23"/>
    <w:rsid w:val="006E42E9"/>
    <w:rsid w:val="006E430B"/>
    <w:rsid w:val="006E4B9C"/>
    <w:rsid w:val="006E4BE7"/>
    <w:rsid w:val="006E5156"/>
    <w:rsid w:val="006E5570"/>
    <w:rsid w:val="006E59F0"/>
    <w:rsid w:val="006E5D77"/>
    <w:rsid w:val="006E623E"/>
    <w:rsid w:val="006E68C7"/>
    <w:rsid w:val="006E699E"/>
    <w:rsid w:val="006E6E10"/>
    <w:rsid w:val="006E700C"/>
    <w:rsid w:val="006E7022"/>
    <w:rsid w:val="006E7037"/>
    <w:rsid w:val="006E7B85"/>
    <w:rsid w:val="006E7BA7"/>
    <w:rsid w:val="006F0278"/>
    <w:rsid w:val="006F0435"/>
    <w:rsid w:val="006F0800"/>
    <w:rsid w:val="006F0BFE"/>
    <w:rsid w:val="006F0D26"/>
    <w:rsid w:val="006F0DEE"/>
    <w:rsid w:val="006F1138"/>
    <w:rsid w:val="006F12B7"/>
    <w:rsid w:val="006F1400"/>
    <w:rsid w:val="006F154B"/>
    <w:rsid w:val="006F16A3"/>
    <w:rsid w:val="006F1B91"/>
    <w:rsid w:val="006F1D98"/>
    <w:rsid w:val="006F1E3D"/>
    <w:rsid w:val="006F252E"/>
    <w:rsid w:val="006F270D"/>
    <w:rsid w:val="006F2A5B"/>
    <w:rsid w:val="006F2A61"/>
    <w:rsid w:val="006F2A72"/>
    <w:rsid w:val="006F2C08"/>
    <w:rsid w:val="006F2F1E"/>
    <w:rsid w:val="006F35D2"/>
    <w:rsid w:val="006F3D5A"/>
    <w:rsid w:val="006F3D9E"/>
    <w:rsid w:val="006F4010"/>
    <w:rsid w:val="006F40E1"/>
    <w:rsid w:val="006F414A"/>
    <w:rsid w:val="006F4274"/>
    <w:rsid w:val="006F42F1"/>
    <w:rsid w:val="006F452B"/>
    <w:rsid w:val="006F4CDB"/>
    <w:rsid w:val="006F4DF2"/>
    <w:rsid w:val="006F4F52"/>
    <w:rsid w:val="006F503A"/>
    <w:rsid w:val="006F509E"/>
    <w:rsid w:val="006F51D1"/>
    <w:rsid w:val="006F56CB"/>
    <w:rsid w:val="006F5A76"/>
    <w:rsid w:val="006F5F12"/>
    <w:rsid w:val="006F61FF"/>
    <w:rsid w:val="006F63E7"/>
    <w:rsid w:val="006F67CE"/>
    <w:rsid w:val="006F67FF"/>
    <w:rsid w:val="006F6A54"/>
    <w:rsid w:val="006F6D3D"/>
    <w:rsid w:val="006F7119"/>
    <w:rsid w:val="006F7159"/>
    <w:rsid w:val="006F72E3"/>
    <w:rsid w:val="006F731C"/>
    <w:rsid w:val="006F75DC"/>
    <w:rsid w:val="006F7607"/>
    <w:rsid w:val="006F7C21"/>
    <w:rsid w:val="006F7EF4"/>
    <w:rsid w:val="006F7F19"/>
    <w:rsid w:val="006F7F87"/>
    <w:rsid w:val="0070010E"/>
    <w:rsid w:val="007005AA"/>
    <w:rsid w:val="00700648"/>
    <w:rsid w:val="007007EE"/>
    <w:rsid w:val="00700BBE"/>
    <w:rsid w:val="007012C9"/>
    <w:rsid w:val="00701680"/>
    <w:rsid w:val="0070187E"/>
    <w:rsid w:val="0070193C"/>
    <w:rsid w:val="00701B7B"/>
    <w:rsid w:val="00701FCC"/>
    <w:rsid w:val="00702442"/>
    <w:rsid w:val="0070261D"/>
    <w:rsid w:val="00702853"/>
    <w:rsid w:val="007028D5"/>
    <w:rsid w:val="00703134"/>
    <w:rsid w:val="007034FA"/>
    <w:rsid w:val="007038D4"/>
    <w:rsid w:val="00703A00"/>
    <w:rsid w:val="00703B81"/>
    <w:rsid w:val="00703DAC"/>
    <w:rsid w:val="00703F96"/>
    <w:rsid w:val="00704159"/>
    <w:rsid w:val="0070447A"/>
    <w:rsid w:val="007045D2"/>
    <w:rsid w:val="00704906"/>
    <w:rsid w:val="00704AAC"/>
    <w:rsid w:val="00704CF9"/>
    <w:rsid w:val="00704D24"/>
    <w:rsid w:val="00704FA4"/>
    <w:rsid w:val="0070512A"/>
    <w:rsid w:val="007051C1"/>
    <w:rsid w:val="00705A66"/>
    <w:rsid w:val="00705A68"/>
    <w:rsid w:val="00705AAE"/>
    <w:rsid w:val="00706216"/>
    <w:rsid w:val="0070621B"/>
    <w:rsid w:val="007062AB"/>
    <w:rsid w:val="00706654"/>
    <w:rsid w:val="00706777"/>
    <w:rsid w:val="00706B78"/>
    <w:rsid w:val="007073E3"/>
    <w:rsid w:val="00707748"/>
    <w:rsid w:val="007077E2"/>
    <w:rsid w:val="00707AA8"/>
    <w:rsid w:val="00707AB6"/>
    <w:rsid w:val="00707F43"/>
    <w:rsid w:val="00707F4C"/>
    <w:rsid w:val="00710073"/>
    <w:rsid w:val="0071009E"/>
    <w:rsid w:val="00710114"/>
    <w:rsid w:val="007102B2"/>
    <w:rsid w:val="007104C5"/>
    <w:rsid w:val="007107ED"/>
    <w:rsid w:val="007109B1"/>
    <w:rsid w:val="00710A08"/>
    <w:rsid w:val="00710AEB"/>
    <w:rsid w:val="007111D9"/>
    <w:rsid w:val="00711252"/>
    <w:rsid w:val="007114D8"/>
    <w:rsid w:val="00711500"/>
    <w:rsid w:val="00711744"/>
    <w:rsid w:val="007121CF"/>
    <w:rsid w:val="0071234A"/>
    <w:rsid w:val="007123FE"/>
    <w:rsid w:val="0071253B"/>
    <w:rsid w:val="00712812"/>
    <w:rsid w:val="00712C24"/>
    <w:rsid w:val="00713454"/>
    <w:rsid w:val="00713608"/>
    <w:rsid w:val="0071398E"/>
    <w:rsid w:val="00713A35"/>
    <w:rsid w:val="00713A81"/>
    <w:rsid w:val="00713D4B"/>
    <w:rsid w:val="00713EE5"/>
    <w:rsid w:val="00713FAE"/>
    <w:rsid w:val="00714677"/>
    <w:rsid w:val="00714691"/>
    <w:rsid w:val="00714A6B"/>
    <w:rsid w:val="00714AEC"/>
    <w:rsid w:val="00714C05"/>
    <w:rsid w:val="00714D90"/>
    <w:rsid w:val="007153C6"/>
    <w:rsid w:val="0071591F"/>
    <w:rsid w:val="00715A25"/>
    <w:rsid w:val="00715C58"/>
    <w:rsid w:val="00715D3B"/>
    <w:rsid w:val="00715FF9"/>
    <w:rsid w:val="00716473"/>
    <w:rsid w:val="007166ED"/>
    <w:rsid w:val="00716854"/>
    <w:rsid w:val="00716A32"/>
    <w:rsid w:val="00717140"/>
    <w:rsid w:val="00717255"/>
    <w:rsid w:val="0071728C"/>
    <w:rsid w:val="007175F2"/>
    <w:rsid w:val="007178E1"/>
    <w:rsid w:val="0071799E"/>
    <w:rsid w:val="00717AF1"/>
    <w:rsid w:val="0072011E"/>
    <w:rsid w:val="007201BE"/>
    <w:rsid w:val="007201CA"/>
    <w:rsid w:val="007202C3"/>
    <w:rsid w:val="00720309"/>
    <w:rsid w:val="0072064C"/>
    <w:rsid w:val="00720651"/>
    <w:rsid w:val="00720C85"/>
    <w:rsid w:val="00720E13"/>
    <w:rsid w:val="00720F5C"/>
    <w:rsid w:val="007212B2"/>
    <w:rsid w:val="00721557"/>
    <w:rsid w:val="007216DA"/>
    <w:rsid w:val="007218A5"/>
    <w:rsid w:val="00721BDC"/>
    <w:rsid w:val="00721EE5"/>
    <w:rsid w:val="007224CA"/>
    <w:rsid w:val="007226F0"/>
    <w:rsid w:val="00722ADC"/>
    <w:rsid w:val="00722D08"/>
    <w:rsid w:val="00722DFE"/>
    <w:rsid w:val="00723153"/>
    <w:rsid w:val="007237F1"/>
    <w:rsid w:val="007238E0"/>
    <w:rsid w:val="00723962"/>
    <w:rsid w:val="00723983"/>
    <w:rsid w:val="00723A0D"/>
    <w:rsid w:val="00723BB3"/>
    <w:rsid w:val="007245F8"/>
    <w:rsid w:val="00724A71"/>
    <w:rsid w:val="00724A76"/>
    <w:rsid w:val="00724D42"/>
    <w:rsid w:val="0072535E"/>
    <w:rsid w:val="00725467"/>
    <w:rsid w:val="007258DF"/>
    <w:rsid w:val="00725C69"/>
    <w:rsid w:val="00725D2B"/>
    <w:rsid w:val="00726705"/>
    <w:rsid w:val="007267B7"/>
    <w:rsid w:val="00726C3E"/>
    <w:rsid w:val="00726D41"/>
    <w:rsid w:val="00726DB1"/>
    <w:rsid w:val="0072725F"/>
    <w:rsid w:val="007272AA"/>
    <w:rsid w:val="0072731C"/>
    <w:rsid w:val="007274E4"/>
    <w:rsid w:val="0072784D"/>
    <w:rsid w:val="00727DFB"/>
    <w:rsid w:val="00727E5F"/>
    <w:rsid w:val="0073010A"/>
    <w:rsid w:val="00730680"/>
    <w:rsid w:val="007306E7"/>
    <w:rsid w:val="007308AE"/>
    <w:rsid w:val="00730ABA"/>
    <w:rsid w:val="00730B74"/>
    <w:rsid w:val="00730C2B"/>
    <w:rsid w:val="00730E94"/>
    <w:rsid w:val="00731472"/>
    <w:rsid w:val="007314C9"/>
    <w:rsid w:val="00731624"/>
    <w:rsid w:val="007317ED"/>
    <w:rsid w:val="00732301"/>
    <w:rsid w:val="007323DA"/>
    <w:rsid w:val="00732664"/>
    <w:rsid w:val="00732733"/>
    <w:rsid w:val="00732A12"/>
    <w:rsid w:val="00732E45"/>
    <w:rsid w:val="00732FA1"/>
    <w:rsid w:val="00733CCB"/>
    <w:rsid w:val="00733D0E"/>
    <w:rsid w:val="0073417C"/>
    <w:rsid w:val="00734E02"/>
    <w:rsid w:val="00734F22"/>
    <w:rsid w:val="007351E6"/>
    <w:rsid w:val="00735BAA"/>
    <w:rsid w:val="00735D51"/>
    <w:rsid w:val="00735DCA"/>
    <w:rsid w:val="00735E03"/>
    <w:rsid w:val="00735E22"/>
    <w:rsid w:val="00736067"/>
    <w:rsid w:val="007365EB"/>
    <w:rsid w:val="00736642"/>
    <w:rsid w:val="00736B05"/>
    <w:rsid w:val="00736B91"/>
    <w:rsid w:val="00736E1B"/>
    <w:rsid w:val="00737229"/>
    <w:rsid w:val="0073741D"/>
    <w:rsid w:val="007377F5"/>
    <w:rsid w:val="00737A9D"/>
    <w:rsid w:val="00737B01"/>
    <w:rsid w:val="00737B15"/>
    <w:rsid w:val="00737C3B"/>
    <w:rsid w:val="00737DDF"/>
    <w:rsid w:val="00737F97"/>
    <w:rsid w:val="0074011C"/>
    <w:rsid w:val="007405EC"/>
    <w:rsid w:val="00740A88"/>
    <w:rsid w:val="00740BD4"/>
    <w:rsid w:val="00740CD7"/>
    <w:rsid w:val="00740DF4"/>
    <w:rsid w:val="00741238"/>
    <w:rsid w:val="007413EB"/>
    <w:rsid w:val="00741C09"/>
    <w:rsid w:val="0074256E"/>
    <w:rsid w:val="0074271F"/>
    <w:rsid w:val="0074288D"/>
    <w:rsid w:val="00742A4E"/>
    <w:rsid w:val="00743031"/>
    <w:rsid w:val="007430CD"/>
    <w:rsid w:val="007430D3"/>
    <w:rsid w:val="00743533"/>
    <w:rsid w:val="00743915"/>
    <w:rsid w:val="00743A83"/>
    <w:rsid w:val="00743FE7"/>
    <w:rsid w:val="0074416F"/>
    <w:rsid w:val="0074441E"/>
    <w:rsid w:val="007445E6"/>
    <w:rsid w:val="007445F6"/>
    <w:rsid w:val="00744813"/>
    <w:rsid w:val="00744981"/>
    <w:rsid w:val="00744A09"/>
    <w:rsid w:val="00744C09"/>
    <w:rsid w:val="00745380"/>
    <w:rsid w:val="00745718"/>
    <w:rsid w:val="00745DB5"/>
    <w:rsid w:val="00745ED4"/>
    <w:rsid w:val="00745F96"/>
    <w:rsid w:val="007463DA"/>
    <w:rsid w:val="00747360"/>
    <w:rsid w:val="007473D3"/>
    <w:rsid w:val="00747682"/>
    <w:rsid w:val="007476B4"/>
    <w:rsid w:val="00747811"/>
    <w:rsid w:val="007479EA"/>
    <w:rsid w:val="00747AB4"/>
    <w:rsid w:val="00747BBD"/>
    <w:rsid w:val="007501F8"/>
    <w:rsid w:val="007504EB"/>
    <w:rsid w:val="00750CDC"/>
    <w:rsid w:val="00750FC8"/>
    <w:rsid w:val="0075152E"/>
    <w:rsid w:val="00752196"/>
    <w:rsid w:val="007521CD"/>
    <w:rsid w:val="00752203"/>
    <w:rsid w:val="00752B42"/>
    <w:rsid w:val="00752CDA"/>
    <w:rsid w:val="00752D09"/>
    <w:rsid w:val="00753117"/>
    <w:rsid w:val="007531A0"/>
    <w:rsid w:val="0075331E"/>
    <w:rsid w:val="0075381B"/>
    <w:rsid w:val="00753AA2"/>
    <w:rsid w:val="00753B32"/>
    <w:rsid w:val="00753C66"/>
    <w:rsid w:val="00754092"/>
    <w:rsid w:val="00754112"/>
    <w:rsid w:val="0075414E"/>
    <w:rsid w:val="007542C5"/>
    <w:rsid w:val="0075445D"/>
    <w:rsid w:val="007547C1"/>
    <w:rsid w:val="00754C6B"/>
    <w:rsid w:val="0075509C"/>
    <w:rsid w:val="007551AB"/>
    <w:rsid w:val="0075549E"/>
    <w:rsid w:val="00755807"/>
    <w:rsid w:val="00755A5E"/>
    <w:rsid w:val="00755A63"/>
    <w:rsid w:val="00755ACE"/>
    <w:rsid w:val="00755D8A"/>
    <w:rsid w:val="00755E1E"/>
    <w:rsid w:val="00755EC7"/>
    <w:rsid w:val="00756474"/>
    <w:rsid w:val="00756684"/>
    <w:rsid w:val="00756A03"/>
    <w:rsid w:val="00756BA2"/>
    <w:rsid w:val="00756DE4"/>
    <w:rsid w:val="00756ECA"/>
    <w:rsid w:val="00756FCF"/>
    <w:rsid w:val="0075743E"/>
    <w:rsid w:val="00757755"/>
    <w:rsid w:val="007577DA"/>
    <w:rsid w:val="007578F1"/>
    <w:rsid w:val="007579A1"/>
    <w:rsid w:val="00757C14"/>
    <w:rsid w:val="00757E0F"/>
    <w:rsid w:val="00757FC3"/>
    <w:rsid w:val="00760787"/>
    <w:rsid w:val="0076079A"/>
    <w:rsid w:val="00760980"/>
    <w:rsid w:val="007609DC"/>
    <w:rsid w:val="00760E54"/>
    <w:rsid w:val="0076105D"/>
    <w:rsid w:val="00761124"/>
    <w:rsid w:val="00761322"/>
    <w:rsid w:val="007613C5"/>
    <w:rsid w:val="00761D8E"/>
    <w:rsid w:val="00761FF7"/>
    <w:rsid w:val="0076218B"/>
    <w:rsid w:val="007621C5"/>
    <w:rsid w:val="00762375"/>
    <w:rsid w:val="007624A6"/>
    <w:rsid w:val="00762791"/>
    <w:rsid w:val="00762874"/>
    <w:rsid w:val="00762963"/>
    <w:rsid w:val="00762F35"/>
    <w:rsid w:val="0076363A"/>
    <w:rsid w:val="00763EC8"/>
    <w:rsid w:val="00763F46"/>
    <w:rsid w:val="0076401F"/>
    <w:rsid w:val="0076429A"/>
    <w:rsid w:val="007642C0"/>
    <w:rsid w:val="00764470"/>
    <w:rsid w:val="0076485D"/>
    <w:rsid w:val="00764CB3"/>
    <w:rsid w:val="00764DD9"/>
    <w:rsid w:val="00765350"/>
    <w:rsid w:val="00765562"/>
    <w:rsid w:val="00765763"/>
    <w:rsid w:val="007657CB"/>
    <w:rsid w:val="00765981"/>
    <w:rsid w:val="00765AD6"/>
    <w:rsid w:val="00765D79"/>
    <w:rsid w:val="00765ED7"/>
    <w:rsid w:val="0076606E"/>
    <w:rsid w:val="007665AB"/>
    <w:rsid w:val="00766BBA"/>
    <w:rsid w:val="00766C61"/>
    <w:rsid w:val="00766EED"/>
    <w:rsid w:val="007673D1"/>
    <w:rsid w:val="007676FB"/>
    <w:rsid w:val="007678C1"/>
    <w:rsid w:val="00767A3B"/>
    <w:rsid w:val="00767A7C"/>
    <w:rsid w:val="00767E78"/>
    <w:rsid w:val="00770301"/>
    <w:rsid w:val="0077048A"/>
    <w:rsid w:val="0077054A"/>
    <w:rsid w:val="007706E0"/>
    <w:rsid w:val="00770A78"/>
    <w:rsid w:val="00770C9B"/>
    <w:rsid w:val="00770DDD"/>
    <w:rsid w:val="00771059"/>
    <w:rsid w:val="00771425"/>
    <w:rsid w:val="0077148A"/>
    <w:rsid w:val="007714E9"/>
    <w:rsid w:val="0077156B"/>
    <w:rsid w:val="007715B6"/>
    <w:rsid w:val="00771655"/>
    <w:rsid w:val="00771F71"/>
    <w:rsid w:val="007727C2"/>
    <w:rsid w:val="0077296B"/>
    <w:rsid w:val="00772C9B"/>
    <w:rsid w:val="00772F27"/>
    <w:rsid w:val="00773072"/>
    <w:rsid w:val="00773426"/>
    <w:rsid w:val="0077345C"/>
    <w:rsid w:val="00773727"/>
    <w:rsid w:val="00773ADD"/>
    <w:rsid w:val="00773FB4"/>
    <w:rsid w:val="00773FC9"/>
    <w:rsid w:val="007747DB"/>
    <w:rsid w:val="007749D1"/>
    <w:rsid w:val="00774D24"/>
    <w:rsid w:val="007752E5"/>
    <w:rsid w:val="0077578F"/>
    <w:rsid w:val="00775C17"/>
    <w:rsid w:val="00775C3A"/>
    <w:rsid w:val="00775D2C"/>
    <w:rsid w:val="00776351"/>
    <w:rsid w:val="00776409"/>
    <w:rsid w:val="0077652E"/>
    <w:rsid w:val="0077687A"/>
    <w:rsid w:val="00776911"/>
    <w:rsid w:val="00776BCC"/>
    <w:rsid w:val="00776DC9"/>
    <w:rsid w:val="00776EB5"/>
    <w:rsid w:val="007776CF"/>
    <w:rsid w:val="007776E8"/>
    <w:rsid w:val="00777E00"/>
    <w:rsid w:val="00780053"/>
    <w:rsid w:val="007801D9"/>
    <w:rsid w:val="00780212"/>
    <w:rsid w:val="00780238"/>
    <w:rsid w:val="0078024C"/>
    <w:rsid w:val="007802F8"/>
    <w:rsid w:val="007803E9"/>
    <w:rsid w:val="00780678"/>
    <w:rsid w:val="00780DF5"/>
    <w:rsid w:val="0078108A"/>
    <w:rsid w:val="0078116A"/>
    <w:rsid w:val="00781295"/>
    <w:rsid w:val="007815BF"/>
    <w:rsid w:val="00781D0D"/>
    <w:rsid w:val="00781E8A"/>
    <w:rsid w:val="007821C4"/>
    <w:rsid w:val="007821FD"/>
    <w:rsid w:val="00782240"/>
    <w:rsid w:val="007822AE"/>
    <w:rsid w:val="0078264E"/>
    <w:rsid w:val="00782BB4"/>
    <w:rsid w:val="00782BFA"/>
    <w:rsid w:val="007830A8"/>
    <w:rsid w:val="0078325B"/>
    <w:rsid w:val="0078362D"/>
    <w:rsid w:val="00783C17"/>
    <w:rsid w:val="00783E31"/>
    <w:rsid w:val="0078428C"/>
    <w:rsid w:val="0078442A"/>
    <w:rsid w:val="007847F2"/>
    <w:rsid w:val="00784953"/>
    <w:rsid w:val="00784966"/>
    <w:rsid w:val="00784A71"/>
    <w:rsid w:val="00784ECA"/>
    <w:rsid w:val="0078562D"/>
    <w:rsid w:val="00785713"/>
    <w:rsid w:val="00785779"/>
    <w:rsid w:val="00785CAB"/>
    <w:rsid w:val="007860ED"/>
    <w:rsid w:val="007863C5"/>
    <w:rsid w:val="0078668D"/>
    <w:rsid w:val="007866DA"/>
    <w:rsid w:val="007867E7"/>
    <w:rsid w:val="00786DE5"/>
    <w:rsid w:val="00786EF1"/>
    <w:rsid w:val="00786F91"/>
    <w:rsid w:val="00787181"/>
    <w:rsid w:val="007874BB"/>
    <w:rsid w:val="00787550"/>
    <w:rsid w:val="00787B09"/>
    <w:rsid w:val="00787CF9"/>
    <w:rsid w:val="00790A44"/>
    <w:rsid w:val="00790BB0"/>
    <w:rsid w:val="00790BBA"/>
    <w:rsid w:val="00791120"/>
    <w:rsid w:val="00791191"/>
    <w:rsid w:val="00791540"/>
    <w:rsid w:val="0079196A"/>
    <w:rsid w:val="007919B4"/>
    <w:rsid w:val="007920FD"/>
    <w:rsid w:val="007924F5"/>
    <w:rsid w:val="00792611"/>
    <w:rsid w:val="007927B6"/>
    <w:rsid w:val="00792963"/>
    <w:rsid w:val="007929F5"/>
    <w:rsid w:val="00792DF5"/>
    <w:rsid w:val="0079350C"/>
    <w:rsid w:val="00793818"/>
    <w:rsid w:val="0079412E"/>
    <w:rsid w:val="00794194"/>
    <w:rsid w:val="00794747"/>
    <w:rsid w:val="00794870"/>
    <w:rsid w:val="00794F66"/>
    <w:rsid w:val="00795454"/>
    <w:rsid w:val="0079585F"/>
    <w:rsid w:val="00795C1B"/>
    <w:rsid w:val="00795D1D"/>
    <w:rsid w:val="00795DFB"/>
    <w:rsid w:val="00795FBC"/>
    <w:rsid w:val="007961D3"/>
    <w:rsid w:val="007962A6"/>
    <w:rsid w:val="007967B9"/>
    <w:rsid w:val="00796A42"/>
    <w:rsid w:val="00796B68"/>
    <w:rsid w:val="00796C16"/>
    <w:rsid w:val="00797064"/>
    <w:rsid w:val="007974C8"/>
    <w:rsid w:val="0079752B"/>
    <w:rsid w:val="007975DE"/>
    <w:rsid w:val="0079776E"/>
    <w:rsid w:val="0079783A"/>
    <w:rsid w:val="00797BDB"/>
    <w:rsid w:val="00797D1B"/>
    <w:rsid w:val="007A0195"/>
    <w:rsid w:val="007A0453"/>
    <w:rsid w:val="007A05AD"/>
    <w:rsid w:val="007A07A0"/>
    <w:rsid w:val="007A090A"/>
    <w:rsid w:val="007A0B28"/>
    <w:rsid w:val="007A0CA6"/>
    <w:rsid w:val="007A0F76"/>
    <w:rsid w:val="007A1036"/>
    <w:rsid w:val="007A1128"/>
    <w:rsid w:val="007A11B4"/>
    <w:rsid w:val="007A1237"/>
    <w:rsid w:val="007A1513"/>
    <w:rsid w:val="007A18DB"/>
    <w:rsid w:val="007A1E69"/>
    <w:rsid w:val="007A2479"/>
    <w:rsid w:val="007A276F"/>
    <w:rsid w:val="007A277A"/>
    <w:rsid w:val="007A2BC1"/>
    <w:rsid w:val="007A355D"/>
    <w:rsid w:val="007A3598"/>
    <w:rsid w:val="007A35C3"/>
    <w:rsid w:val="007A3AAA"/>
    <w:rsid w:val="007A40E5"/>
    <w:rsid w:val="007A43EE"/>
    <w:rsid w:val="007A44A5"/>
    <w:rsid w:val="007A44C2"/>
    <w:rsid w:val="007A4529"/>
    <w:rsid w:val="007A4664"/>
    <w:rsid w:val="007A4685"/>
    <w:rsid w:val="007A490D"/>
    <w:rsid w:val="007A4FF5"/>
    <w:rsid w:val="007A537F"/>
    <w:rsid w:val="007A5898"/>
    <w:rsid w:val="007A5CEA"/>
    <w:rsid w:val="007A6483"/>
    <w:rsid w:val="007A649D"/>
    <w:rsid w:val="007A64FB"/>
    <w:rsid w:val="007A6548"/>
    <w:rsid w:val="007A6A5A"/>
    <w:rsid w:val="007A6AFC"/>
    <w:rsid w:val="007A6DD8"/>
    <w:rsid w:val="007A712A"/>
    <w:rsid w:val="007A7273"/>
    <w:rsid w:val="007A7476"/>
    <w:rsid w:val="007A7851"/>
    <w:rsid w:val="007A78F1"/>
    <w:rsid w:val="007A795A"/>
    <w:rsid w:val="007A7CC0"/>
    <w:rsid w:val="007A7DB8"/>
    <w:rsid w:val="007A7E74"/>
    <w:rsid w:val="007A7ECA"/>
    <w:rsid w:val="007B0586"/>
    <w:rsid w:val="007B06E3"/>
    <w:rsid w:val="007B074A"/>
    <w:rsid w:val="007B0804"/>
    <w:rsid w:val="007B0BE9"/>
    <w:rsid w:val="007B0C94"/>
    <w:rsid w:val="007B0E4D"/>
    <w:rsid w:val="007B0E83"/>
    <w:rsid w:val="007B0FB5"/>
    <w:rsid w:val="007B112B"/>
    <w:rsid w:val="007B17ED"/>
    <w:rsid w:val="007B1949"/>
    <w:rsid w:val="007B1B22"/>
    <w:rsid w:val="007B1DC5"/>
    <w:rsid w:val="007B23DE"/>
    <w:rsid w:val="007B25C3"/>
    <w:rsid w:val="007B2914"/>
    <w:rsid w:val="007B2967"/>
    <w:rsid w:val="007B29CF"/>
    <w:rsid w:val="007B2DCD"/>
    <w:rsid w:val="007B2E37"/>
    <w:rsid w:val="007B314E"/>
    <w:rsid w:val="007B3190"/>
    <w:rsid w:val="007B31E1"/>
    <w:rsid w:val="007B3219"/>
    <w:rsid w:val="007B37F3"/>
    <w:rsid w:val="007B3F4F"/>
    <w:rsid w:val="007B3F88"/>
    <w:rsid w:val="007B4200"/>
    <w:rsid w:val="007B43F4"/>
    <w:rsid w:val="007B4621"/>
    <w:rsid w:val="007B474A"/>
    <w:rsid w:val="007B4B2B"/>
    <w:rsid w:val="007B4BA8"/>
    <w:rsid w:val="007B4D1F"/>
    <w:rsid w:val="007B4DB5"/>
    <w:rsid w:val="007B4DC4"/>
    <w:rsid w:val="007B4F24"/>
    <w:rsid w:val="007B558D"/>
    <w:rsid w:val="007B5647"/>
    <w:rsid w:val="007B5834"/>
    <w:rsid w:val="007B59E6"/>
    <w:rsid w:val="007B5B63"/>
    <w:rsid w:val="007B6110"/>
    <w:rsid w:val="007B65C3"/>
    <w:rsid w:val="007B6881"/>
    <w:rsid w:val="007B6CAF"/>
    <w:rsid w:val="007B7108"/>
    <w:rsid w:val="007B7176"/>
    <w:rsid w:val="007B7270"/>
    <w:rsid w:val="007B729F"/>
    <w:rsid w:val="007B72A1"/>
    <w:rsid w:val="007B73D5"/>
    <w:rsid w:val="007B7431"/>
    <w:rsid w:val="007B7439"/>
    <w:rsid w:val="007B7572"/>
    <w:rsid w:val="007B79B5"/>
    <w:rsid w:val="007B7A51"/>
    <w:rsid w:val="007B7B8F"/>
    <w:rsid w:val="007B7F2B"/>
    <w:rsid w:val="007C016F"/>
    <w:rsid w:val="007C0268"/>
    <w:rsid w:val="007C08FB"/>
    <w:rsid w:val="007C10D1"/>
    <w:rsid w:val="007C1589"/>
    <w:rsid w:val="007C159F"/>
    <w:rsid w:val="007C17A7"/>
    <w:rsid w:val="007C1860"/>
    <w:rsid w:val="007C1B5B"/>
    <w:rsid w:val="007C1C60"/>
    <w:rsid w:val="007C1CE0"/>
    <w:rsid w:val="007C1FF8"/>
    <w:rsid w:val="007C207F"/>
    <w:rsid w:val="007C21A8"/>
    <w:rsid w:val="007C2208"/>
    <w:rsid w:val="007C2E1A"/>
    <w:rsid w:val="007C2ED9"/>
    <w:rsid w:val="007C36C4"/>
    <w:rsid w:val="007C3C0F"/>
    <w:rsid w:val="007C44D6"/>
    <w:rsid w:val="007C4667"/>
    <w:rsid w:val="007C47ED"/>
    <w:rsid w:val="007C48FE"/>
    <w:rsid w:val="007C4CA2"/>
    <w:rsid w:val="007C4EB4"/>
    <w:rsid w:val="007C501B"/>
    <w:rsid w:val="007C549B"/>
    <w:rsid w:val="007C5638"/>
    <w:rsid w:val="007C5A00"/>
    <w:rsid w:val="007C5C99"/>
    <w:rsid w:val="007C5CD6"/>
    <w:rsid w:val="007C5ED0"/>
    <w:rsid w:val="007C60CD"/>
    <w:rsid w:val="007C6296"/>
    <w:rsid w:val="007C62A3"/>
    <w:rsid w:val="007C6396"/>
    <w:rsid w:val="007C65D6"/>
    <w:rsid w:val="007C6B30"/>
    <w:rsid w:val="007C6BC8"/>
    <w:rsid w:val="007C6C75"/>
    <w:rsid w:val="007C70CD"/>
    <w:rsid w:val="007C76F6"/>
    <w:rsid w:val="007C7B7C"/>
    <w:rsid w:val="007C7C9A"/>
    <w:rsid w:val="007C7E42"/>
    <w:rsid w:val="007C7F04"/>
    <w:rsid w:val="007C7F65"/>
    <w:rsid w:val="007D05E1"/>
    <w:rsid w:val="007D0848"/>
    <w:rsid w:val="007D0A5C"/>
    <w:rsid w:val="007D0AB5"/>
    <w:rsid w:val="007D0BF9"/>
    <w:rsid w:val="007D12A3"/>
    <w:rsid w:val="007D144E"/>
    <w:rsid w:val="007D1A0C"/>
    <w:rsid w:val="007D1A44"/>
    <w:rsid w:val="007D1A4E"/>
    <w:rsid w:val="007D1B9B"/>
    <w:rsid w:val="007D2267"/>
    <w:rsid w:val="007D23CB"/>
    <w:rsid w:val="007D2814"/>
    <w:rsid w:val="007D2871"/>
    <w:rsid w:val="007D2A23"/>
    <w:rsid w:val="007D2AEF"/>
    <w:rsid w:val="007D2CFC"/>
    <w:rsid w:val="007D2EC5"/>
    <w:rsid w:val="007D3181"/>
    <w:rsid w:val="007D3674"/>
    <w:rsid w:val="007D3723"/>
    <w:rsid w:val="007D381E"/>
    <w:rsid w:val="007D39CA"/>
    <w:rsid w:val="007D3FD2"/>
    <w:rsid w:val="007D4350"/>
    <w:rsid w:val="007D472C"/>
    <w:rsid w:val="007D4B1B"/>
    <w:rsid w:val="007D4DDD"/>
    <w:rsid w:val="007D5042"/>
    <w:rsid w:val="007D5265"/>
    <w:rsid w:val="007D528B"/>
    <w:rsid w:val="007D583B"/>
    <w:rsid w:val="007D588D"/>
    <w:rsid w:val="007D58E9"/>
    <w:rsid w:val="007D5963"/>
    <w:rsid w:val="007D5D85"/>
    <w:rsid w:val="007D610F"/>
    <w:rsid w:val="007D62AC"/>
    <w:rsid w:val="007D6378"/>
    <w:rsid w:val="007D6688"/>
    <w:rsid w:val="007D6C2D"/>
    <w:rsid w:val="007D6F89"/>
    <w:rsid w:val="007D7083"/>
    <w:rsid w:val="007D720C"/>
    <w:rsid w:val="007D7300"/>
    <w:rsid w:val="007D7434"/>
    <w:rsid w:val="007D7908"/>
    <w:rsid w:val="007D797E"/>
    <w:rsid w:val="007D7C4F"/>
    <w:rsid w:val="007D7CE9"/>
    <w:rsid w:val="007E0639"/>
    <w:rsid w:val="007E077B"/>
    <w:rsid w:val="007E0C20"/>
    <w:rsid w:val="007E0C90"/>
    <w:rsid w:val="007E0E7B"/>
    <w:rsid w:val="007E0EA2"/>
    <w:rsid w:val="007E138A"/>
    <w:rsid w:val="007E15CA"/>
    <w:rsid w:val="007E1CD8"/>
    <w:rsid w:val="007E1FCA"/>
    <w:rsid w:val="007E2246"/>
    <w:rsid w:val="007E239F"/>
    <w:rsid w:val="007E2455"/>
    <w:rsid w:val="007E29B2"/>
    <w:rsid w:val="007E2A6F"/>
    <w:rsid w:val="007E2AF2"/>
    <w:rsid w:val="007E2DD9"/>
    <w:rsid w:val="007E2ED5"/>
    <w:rsid w:val="007E2F79"/>
    <w:rsid w:val="007E3365"/>
    <w:rsid w:val="007E3467"/>
    <w:rsid w:val="007E3791"/>
    <w:rsid w:val="007E3ECF"/>
    <w:rsid w:val="007E448A"/>
    <w:rsid w:val="007E48B5"/>
    <w:rsid w:val="007E4F79"/>
    <w:rsid w:val="007E5267"/>
    <w:rsid w:val="007E5684"/>
    <w:rsid w:val="007E5740"/>
    <w:rsid w:val="007E5BAC"/>
    <w:rsid w:val="007E664A"/>
    <w:rsid w:val="007E667A"/>
    <w:rsid w:val="007E6690"/>
    <w:rsid w:val="007E68CB"/>
    <w:rsid w:val="007E6902"/>
    <w:rsid w:val="007E6BC0"/>
    <w:rsid w:val="007E6C65"/>
    <w:rsid w:val="007E7096"/>
    <w:rsid w:val="007E712F"/>
    <w:rsid w:val="007E71D9"/>
    <w:rsid w:val="007E73D1"/>
    <w:rsid w:val="007E73E7"/>
    <w:rsid w:val="007E7465"/>
    <w:rsid w:val="007E756F"/>
    <w:rsid w:val="007E7695"/>
    <w:rsid w:val="007E78FB"/>
    <w:rsid w:val="007E798B"/>
    <w:rsid w:val="007E7A0F"/>
    <w:rsid w:val="007E7E05"/>
    <w:rsid w:val="007E7E4D"/>
    <w:rsid w:val="007E7EA7"/>
    <w:rsid w:val="007E7EC7"/>
    <w:rsid w:val="007F0046"/>
    <w:rsid w:val="007F015B"/>
    <w:rsid w:val="007F02E3"/>
    <w:rsid w:val="007F03C9"/>
    <w:rsid w:val="007F04BD"/>
    <w:rsid w:val="007F05E3"/>
    <w:rsid w:val="007F08B6"/>
    <w:rsid w:val="007F09CE"/>
    <w:rsid w:val="007F0BB2"/>
    <w:rsid w:val="007F166E"/>
    <w:rsid w:val="007F1DA5"/>
    <w:rsid w:val="007F218C"/>
    <w:rsid w:val="007F21A9"/>
    <w:rsid w:val="007F2556"/>
    <w:rsid w:val="007F2569"/>
    <w:rsid w:val="007F258E"/>
    <w:rsid w:val="007F25C7"/>
    <w:rsid w:val="007F272F"/>
    <w:rsid w:val="007F29EE"/>
    <w:rsid w:val="007F2A92"/>
    <w:rsid w:val="007F2B45"/>
    <w:rsid w:val="007F2C5A"/>
    <w:rsid w:val="007F3053"/>
    <w:rsid w:val="007F3130"/>
    <w:rsid w:val="007F34E6"/>
    <w:rsid w:val="007F36FF"/>
    <w:rsid w:val="007F3794"/>
    <w:rsid w:val="007F3D33"/>
    <w:rsid w:val="007F3EF5"/>
    <w:rsid w:val="007F402B"/>
    <w:rsid w:val="007F40A3"/>
    <w:rsid w:val="007F417E"/>
    <w:rsid w:val="007F42B4"/>
    <w:rsid w:val="007F4840"/>
    <w:rsid w:val="007F4883"/>
    <w:rsid w:val="007F4BC6"/>
    <w:rsid w:val="007F5093"/>
    <w:rsid w:val="007F50CA"/>
    <w:rsid w:val="007F544D"/>
    <w:rsid w:val="007F571D"/>
    <w:rsid w:val="007F642D"/>
    <w:rsid w:val="007F6544"/>
    <w:rsid w:val="007F6686"/>
    <w:rsid w:val="007F67A8"/>
    <w:rsid w:val="007F6A94"/>
    <w:rsid w:val="007F6CF2"/>
    <w:rsid w:val="007F6D18"/>
    <w:rsid w:val="007F6DD8"/>
    <w:rsid w:val="007F6F08"/>
    <w:rsid w:val="007F71EA"/>
    <w:rsid w:val="007F7212"/>
    <w:rsid w:val="007F7384"/>
    <w:rsid w:val="007F7547"/>
    <w:rsid w:val="007F756B"/>
    <w:rsid w:val="007F773B"/>
    <w:rsid w:val="007F7881"/>
    <w:rsid w:val="007F7E2A"/>
    <w:rsid w:val="007F7E4E"/>
    <w:rsid w:val="00800263"/>
    <w:rsid w:val="00800395"/>
    <w:rsid w:val="008005F8"/>
    <w:rsid w:val="008006DD"/>
    <w:rsid w:val="00800796"/>
    <w:rsid w:val="00800DAB"/>
    <w:rsid w:val="00800F57"/>
    <w:rsid w:val="008011F9"/>
    <w:rsid w:val="008017F1"/>
    <w:rsid w:val="008018C6"/>
    <w:rsid w:val="008019A5"/>
    <w:rsid w:val="00801B2B"/>
    <w:rsid w:val="00801B8E"/>
    <w:rsid w:val="00802CA2"/>
    <w:rsid w:val="00802D3E"/>
    <w:rsid w:val="00802ECD"/>
    <w:rsid w:val="00802F0E"/>
    <w:rsid w:val="00802F86"/>
    <w:rsid w:val="0080303D"/>
    <w:rsid w:val="00803059"/>
    <w:rsid w:val="008038EC"/>
    <w:rsid w:val="0080399C"/>
    <w:rsid w:val="00803ABC"/>
    <w:rsid w:val="00803AC2"/>
    <w:rsid w:val="00803D57"/>
    <w:rsid w:val="00803E08"/>
    <w:rsid w:val="0080409C"/>
    <w:rsid w:val="00804709"/>
    <w:rsid w:val="008048F2"/>
    <w:rsid w:val="00804A0C"/>
    <w:rsid w:val="00804BF7"/>
    <w:rsid w:val="00804EA9"/>
    <w:rsid w:val="00805714"/>
    <w:rsid w:val="0080582E"/>
    <w:rsid w:val="00805891"/>
    <w:rsid w:val="00805A42"/>
    <w:rsid w:val="00805B63"/>
    <w:rsid w:val="00805EF9"/>
    <w:rsid w:val="008061A1"/>
    <w:rsid w:val="008061C5"/>
    <w:rsid w:val="00806292"/>
    <w:rsid w:val="008062BA"/>
    <w:rsid w:val="0080632A"/>
    <w:rsid w:val="00806483"/>
    <w:rsid w:val="008066C4"/>
    <w:rsid w:val="00806778"/>
    <w:rsid w:val="008067CD"/>
    <w:rsid w:val="00806A35"/>
    <w:rsid w:val="00806B98"/>
    <w:rsid w:val="00806C0F"/>
    <w:rsid w:val="0080732D"/>
    <w:rsid w:val="008073B6"/>
    <w:rsid w:val="00807438"/>
    <w:rsid w:val="008074AC"/>
    <w:rsid w:val="008076AA"/>
    <w:rsid w:val="008076D7"/>
    <w:rsid w:val="00807738"/>
    <w:rsid w:val="00807BDA"/>
    <w:rsid w:val="008100AC"/>
    <w:rsid w:val="00810500"/>
    <w:rsid w:val="008107E3"/>
    <w:rsid w:val="008109A9"/>
    <w:rsid w:val="008109D0"/>
    <w:rsid w:val="00810CCE"/>
    <w:rsid w:val="00810D38"/>
    <w:rsid w:val="00810E40"/>
    <w:rsid w:val="00810F09"/>
    <w:rsid w:val="00811273"/>
    <w:rsid w:val="00811305"/>
    <w:rsid w:val="0081149D"/>
    <w:rsid w:val="0081154A"/>
    <w:rsid w:val="008115C6"/>
    <w:rsid w:val="008119FA"/>
    <w:rsid w:val="00811CC5"/>
    <w:rsid w:val="00811CD5"/>
    <w:rsid w:val="00811CFB"/>
    <w:rsid w:val="00811F41"/>
    <w:rsid w:val="008123C2"/>
    <w:rsid w:val="008129AF"/>
    <w:rsid w:val="00812DCD"/>
    <w:rsid w:val="00813282"/>
    <w:rsid w:val="008138B4"/>
    <w:rsid w:val="00813934"/>
    <w:rsid w:val="00813AC2"/>
    <w:rsid w:val="0081401F"/>
    <w:rsid w:val="00814418"/>
    <w:rsid w:val="00814476"/>
    <w:rsid w:val="0081476F"/>
    <w:rsid w:val="00814844"/>
    <w:rsid w:val="0081494E"/>
    <w:rsid w:val="00814DF9"/>
    <w:rsid w:val="00815042"/>
    <w:rsid w:val="00815262"/>
    <w:rsid w:val="008154EE"/>
    <w:rsid w:val="008155C3"/>
    <w:rsid w:val="008156BA"/>
    <w:rsid w:val="00815895"/>
    <w:rsid w:val="00815B76"/>
    <w:rsid w:val="00815F6F"/>
    <w:rsid w:val="00816304"/>
    <w:rsid w:val="00816BCD"/>
    <w:rsid w:val="00816C0E"/>
    <w:rsid w:val="00816C38"/>
    <w:rsid w:val="00816CA3"/>
    <w:rsid w:val="00816ED4"/>
    <w:rsid w:val="00816EE5"/>
    <w:rsid w:val="00816FDF"/>
    <w:rsid w:val="00817426"/>
    <w:rsid w:val="0081753B"/>
    <w:rsid w:val="0081794B"/>
    <w:rsid w:val="00817AE2"/>
    <w:rsid w:val="0082009C"/>
    <w:rsid w:val="0082041F"/>
    <w:rsid w:val="00820555"/>
    <w:rsid w:val="008205A8"/>
    <w:rsid w:val="00820799"/>
    <w:rsid w:val="008209B1"/>
    <w:rsid w:val="00820E23"/>
    <w:rsid w:val="00821459"/>
    <w:rsid w:val="00821802"/>
    <w:rsid w:val="00821BF7"/>
    <w:rsid w:val="00821C2F"/>
    <w:rsid w:val="00821D36"/>
    <w:rsid w:val="00821D4F"/>
    <w:rsid w:val="00821E48"/>
    <w:rsid w:val="008220A7"/>
    <w:rsid w:val="008223FD"/>
    <w:rsid w:val="00822443"/>
    <w:rsid w:val="00822489"/>
    <w:rsid w:val="008229D0"/>
    <w:rsid w:val="00822B96"/>
    <w:rsid w:val="0082335C"/>
    <w:rsid w:val="008236D0"/>
    <w:rsid w:val="00823819"/>
    <w:rsid w:val="00823ACA"/>
    <w:rsid w:val="00823F1C"/>
    <w:rsid w:val="00823F40"/>
    <w:rsid w:val="008242EF"/>
    <w:rsid w:val="008246D1"/>
    <w:rsid w:val="008249BD"/>
    <w:rsid w:val="00824E38"/>
    <w:rsid w:val="00824E98"/>
    <w:rsid w:val="00824F6F"/>
    <w:rsid w:val="00825121"/>
    <w:rsid w:val="008252E1"/>
    <w:rsid w:val="00825428"/>
    <w:rsid w:val="0082572E"/>
    <w:rsid w:val="008257ED"/>
    <w:rsid w:val="00825BBB"/>
    <w:rsid w:val="00825C6B"/>
    <w:rsid w:val="00825FB8"/>
    <w:rsid w:val="008262E5"/>
    <w:rsid w:val="008264DE"/>
    <w:rsid w:val="00826695"/>
    <w:rsid w:val="0082672F"/>
    <w:rsid w:val="00826E16"/>
    <w:rsid w:val="00826F47"/>
    <w:rsid w:val="008272F9"/>
    <w:rsid w:val="0082756C"/>
    <w:rsid w:val="00827B9E"/>
    <w:rsid w:val="00827C24"/>
    <w:rsid w:val="00827E8E"/>
    <w:rsid w:val="008300A6"/>
    <w:rsid w:val="008305DB"/>
    <w:rsid w:val="00830715"/>
    <w:rsid w:val="00830A5F"/>
    <w:rsid w:val="00830B9C"/>
    <w:rsid w:val="00830DE2"/>
    <w:rsid w:val="0083111F"/>
    <w:rsid w:val="0083121D"/>
    <w:rsid w:val="0083129B"/>
    <w:rsid w:val="00831C71"/>
    <w:rsid w:val="00831D67"/>
    <w:rsid w:val="0083241A"/>
    <w:rsid w:val="008327EB"/>
    <w:rsid w:val="008328DE"/>
    <w:rsid w:val="0083290C"/>
    <w:rsid w:val="00832914"/>
    <w:rsid w:val="00832A62"/>
    <w:rsid w:val="00832E52"/>
    <w:rsid w:val="00832E54"/>
    <w:rsid w:val="0083385A"/>
    <w:rsid w:val="00833BE6"/>
    <w:rsid w:val="008343DE"/>
    <w:rsid w:val="00834689"/>
    <w:rsid w:val="008346C5"/>
    <w:rsid w:val="008348E0"/>
    <w:rsid w:val="008349D2"/>
    <w:rsid w:val="00834B48"/>
    <w:rsid w:val="00834C9C"/>
    <w:rsid w:val="008352AC"/>
    <w:rsid w:val="008352D9"/>
    <w:rsid w:val="008357E3"/>
    <w:rsid w:val="0083587B"/>
    <w:rsid w:val="00835A8B"/>
    <w:rsid w:val="00835C8A"/>
    <w:rsid w:val="00835ED1"/>
    <w:rsid w:val="00835EDB"/>
    <w:rsid w:val="00836221"/>
    <w:rsid w:val="008364DA"/>
    <w:rsid w:val="008364EC"/>
    <w:rsid w:val="00836718"/>
    <w:rsid w:val="0083678A"/>
    <w:rsid w:val="00836D42"/>
    <w:rsid w:val="00837719"/>
    <w:rsid w:val="00837941"/>
    <w:rsid w:val="00837956"/>
    <w:rsid w:val="00837A86"/>
    <w:rsid w:val="00837D7F"/>
    <w:rsid w:val="008400BA"/>
    <w:rsid w:val="008401FA"/>
    <w:rsid w:val="00840480"/>
    <w:rsid w:val="00840556"/>
    <w:rsid w:val="008406D2"/>
    <w:rsid w:val="00840763"/>
    <w:rsid w:val="00840885"/>
    <w:rsid w:val="00840890"/>
    <w:rsid w:val="00840B1E"/>
    <w:rsid w:val="00840B69"/>
    <w:rsid w:val="00840BAA"/>
    <w:rsid w:val="0084102B"/>
    <w:rsid w:val="0084126F"/>
    <w:rsid w:val="0084132C"/>
    <w:rsid w:val="008413FF"/>
    <w:rsid w:val="00841467"/>
    <w:rsid w:val="008417BA"/>
    <w:rsid w:val="0084183D"/>
    <w:rsid w:val="00841962"/>
    <w:rsid w:val="0084196E"/>
    <w:rsid w:val="00841C4D"/>
    <w:rsid w:val="0084205A"/>
    <w:rsid w:val="008420D7"/>
    <w:rsid w:val="00842192"/>
    <w:rsid w:val="0084249C"/>
    <w:rsid w:val="008425CB"/>
    <w:rsid w:val="008428F2"/>
    <w:rsid w:val="00842BD7"/>
    <w:rsid w:val="00842CD8"/>
    <w:rsid w:val="00842EF9"/>
    <w:rsid w:val="00843162"/>
    <w:rsid w:val="0084325A"/>
    <w:rsid w:val="00843F8A"/>
    <w:rsid w:val="008444D0"/>
    <w:rsid w:val="008448C1"/>
    <w:rsid w:val="00844980"/>
    <w:rsid w:val="00844AA7"/>
    <w:rsid w:val="00844B72"/>
    <w:rsid w:val="00844CCF"/>
    <w:rsid w:val="00844DFC"/>
    <w:rsid w:val="00845170"/>
    <w:rsid w:val="0084519D"/>
    <w:rsid w:val="00845677"/>
    <w:rsid w:val="00845B6C"/>
    <w:rsid w:val="00845BFA"/>
    <w:rsid w:val="00845C65"/>
    <w:rsid w:val="0084610D"/>
    <w:rsid w:val="00846819"/>
    <w:rsid w:val="00846861"/>
    <w:rsid w:val="008469AE"/>
    <w:rsid w:val="00847026"/>
    <w:rsid w:val="00847293"/>
    <w:rsid w:val="008476C5"/>
    <w:rsid w:val="008478D4"/>
    <w:rsid w:val="00847C24"/>
    <w:rsid w:val="008500B4"/>
    <w:rsid w:val="0085062D"/>
    <w:rsid w:val="0085063D"/>
    <w:rsid w:val="00850682"/>
    <w:rsid w:val="008506F5"/>
    <w:rsid w:val="00850EA5"/>
    <w:rsid w:val="00850EBE"/>
    <w:rsid w:val="008510FF"/>
    <w:rsid w:val="0085121A"/>
    <w:rsid w:val="00851306"/>
    <w:rsid w:val="008513C2"/>
    <w:rsid w:val="00851674"/>
    <w:rsid w:val="00851E11"/>
    <w:rsid w:val="00852390"/>
    <w:rsid w:val="00852419"/>
    <w:rsid w:val="0085245A"/>
    <w:rsid w:val="0085298C"/>
    <w:rsid w:val="00852A28"/>
    <w:rsid w:val="00852E37"/>
    <w:rsid w:val="00852ECF"/>
    <w:rsid w:val="00852FC8"/>
    <w:rsid w:val="00853200"/>
    <w:rsid w:val="00853419"/>
    <w:rsid w:val="008536CE"/>
    <w:rsid w:val="00853B1D"/>
    <w:rsid w:val="00853D97"/>
    <w:rsid w:val="00854490"/>
    <w:rsid w:val="008547C2"/>
    <w:rsid w:val="00854ABF"/>
    <w:rsid w:val="00854B19"/>
    <w:rsid w:val="00854E31"/>
    <w:rsid w:val="00854EA3"/>
    <w:rsid w:val="00855166"/>
    <w:rsid w:val="00855679"/>
    <w:rsid w:val="008557C3"/>
    <w:rsid w:val="00855E5E"/>
    <w:rsid w:val="00856398"/>
    <w:rsid w:val="0085646B"/>
    <w:rsid w:val="00856540"/>
    <w:rsid w:val="008565ED"/>
    <w:rsid w:val="00856B8F"/>
    <w:rsid w:val="00856C59"/>
    <w:rsid w:val="00856CB7"/>
    <w:rsid w:val="00856DE2"/>
    <w:rsid w:val="00856E46"/>
    <w:rsid w:val="00856E8A"/>
    <w:rsid w:val="00856E9E"/>
    <w:rsid w:val="00856FA9"/>
    <w:rsid w:val="00857098"/>
    <w:rsid w:val="0085751D"/>
    <w:rsid w:val="00857E58"/>
    <w:rsid w:val="00860046"/>
    <w:rsid w:val="00860395"/>
    <w:rsid w:val="00860438"/>
    <w:rsid w:val="00860454"/>
    <w:rsid w:val="00860884"/>
    <w:rsid w:val="0086103D"/>
    <w:rsid w:val="008612D5"/>
    <w:rsid w:val="00861FCF"/>
    <w:rsid w:val="00862312"/>
    <w:rsid w:val="00862634"/>
    <w:rsid w:val="008628D9"/>
    <w:rsid w:val="00862C23"/>
    <w:rsid w:val="00862F9B"/>
    <w:rsid w:val="00862FA7"/>
    <w:rsid w:val="008639B8"/>
    <w:rsid w:val="008639D2"/>
    <w:rsid w:val="00864709"/>
    <w:rsid w:val="008647C3"/>
    <w:rsid w:val="008647D4"/>
    <w:rsid w:val="00864AB7"/>
    <w:rsid w:val="00864C56"/>
    <w:rsid w:val="00864D80"/>
    <w:rsid w:val="00865116"/>
    <w:rsid w:val="00865419"/>
    <w:rsid w:val="00866048"/>
    <w:rsid w:val="00866548"/>
    <w:rsid w:val="008665D5"/>
    <w:rsid w:val="00866778"/>
    <w:rsid w:val="00866869"/>
    <w:rsid w:val="00866AC3"/>
    <w:rsid w:val="00866B0E"/>
    <w:rsid w:val="00866B3B"/>
    <w:rsid w:val="00867136"/>
    <w:rsid w:val="00867476"/>
    <w:rsid w:val="0086758E"/>
    <w:rsid w:val="00870290"/>
    <w:rsid w:val="0087051F"/>
    <w:rsid w:val="008706B6"/>
    <w:rsid w:val="008707D8"/>
    <w:rsid w:val="0087081F"/>
    <w:rsid w:val="00870861"/>
    <w:rsid w:val="008708F6"/>
    <w:rsid w:val="00870EB3"/>
    <w:rsid w:val="00870F2C"/>
    <w:rsid w:val="00870FD0"/>
    <w:rsid w:val="0087133A"/>
    <w:rsid w:val="00871381"/>
    <w:rsid w:val="00871465"/>
    <w:rsid w:val="00871F4D"/>
    <w:rsid w:val="008723B4"/>
    <w:rsid w:val="00872451"/>
    <w:rsid w:val="0087304C"/>
    <w:rsid w:val="00873631"/>
    <w:rsid w:val="0087363C"/>
    <w:rsid w:val="00873CB4"/>
    <w:rsid w:val="00873EB7"/>
    <w:rsid w:val="00874537"/>
    <w:rsid w:val="0087455A"/>
    <w:rsid w:val="008746F7"/>
    <w:rsid w:val="00874730"/>
    <w:rsid w:val="00874752"/>
    <w:rsid w:val="008747FC"/>
    <w:rsid w:val="00874B2C"/>
    <w:rsid w:val="008758AC"/>
    <w:rsid w:val="008759F8"/>
    <w:rsid w:val="00875CFC"/>
    <w:rsid w:val="0087635E"/>
    <w:rsid w:val="0087676B"/>
    <w:rsid w:val="00876858"/>
    <w:rsid w:val="008768F4"/>
    <w:rsid w:val="00876D49"/>
    <w:rsid w:val="00877140"/>
    <w:rsid w:val="0087733B"/>
    <w:rsid w:val="008773DA"/>
    <w:rsid w:val="008773F7"/>
    <w:rsid w:val="0087757F"/>
    <w:rsid w:val="0087771B"/>
    <w:rsid w:val="00877A93"/>
    <w:rsid w:val="00877CD8"/>
    <w:rsid w:val="00877DBC"/>
    <w:rsid w:val="00877E34"/>
    <w:rsid w:val="00877FA3"/>
    <w:rsid w:val="0088012E"/>
    <w:rsid w:val="008802AA"/>
    <w:rsid w:val="008802B9"/>
    <w:rsid w:val="00880655"/>
    <w:rsid w:val="008807E4"/>
    <w:rsid w:val="0088081C"/>
    <w:rsid w:val="008808B8"/>
    <w:rsid w:val="00880EF3"/>
    <w:rsid w:val="008810CD"/>
    <w:rsid w:val="008812E2"/>
    <w:rsid w:val="008817FB"/>
    <w:rsid w:val="00881B7A"/>
    <w:rsid w:val="00881BBD"/>
    <w:rsid w:val="00881D92"/>
    <w:rsid w:val="00881E75"/>
    <w:rsid w:val="00882320"/>
    <w:rsid w:val="00882511"/>
    <w:rsid w:val="00882706"/>
    <w:rsid w:val="00882795"/>
    <w:rsid w:val="00882EEE"/>
    <w:rsid w:val="00882F76"/>
    <w:rsid w:val="00882FF8"/>
    <w:rsid w:val="008831A6"/>
    <w:rsid w:val="0088342C"/>
    <w:rsid w:val="00883446"/>
    <w:rsid w:val="008834CA"/>
    <w:rsid w:val="008837EB"/>
    <w:rsid w:val="00883914"/>
    <w:rsid w:val="008839BA"/>
    <w:rsid w:val="008840D3"/>
    <w:rsid w:val="008843EB"/>
    <w:rsid w:val="00884482"/>
    <w:rsid w:val="0088463E"/>
    <w:rsid w:val="0088482C"/>
    <w:rsid w:val="00884880"/>
    <w:rsid w:val="00884B83"/>
    <w:rsid w:val="008851B8"/>
    <w:rsid w:val="0088528A"/>
    <w:rsid w:val="008853F0"/>
    <w:rsid w:val="0088549A"/>
    <w:rsid w:val="00885777"/>
    <w:rsid w:val="00885B03"/>
    <w:rsid w:val="00885C56"/>
    <w:rsid w:val="00886184"/>
    <w:rsid w:val="008863B1"/>
    <w:rsid w:val="0088667B"/>
    <w:rsid w:val="00886A40"/>
    <w:rsid w:val="0088705D"/>
    <w:rsid w:val="008876B3"/>
    <w:rsid w:val="00887736"/>
    <w:rsid w:val="0088773F"/>
    <w:rsid w:val="008877A0"/>
    <w:rsid w:val="00890004"/>
    <w:rsid w:val="00890249"/>
    <w:rsid w:val="00890313"/>
    <w:rsid w:val="008906E6"/>
    <w:rsid w:val="00890BC9"/>
    <w:rsid w:val="00890C61"/>
    <w:rsid w:val="0089102A"/>
    <w:rsid w:val="00891181"/>
    <w:rsid w:val="00891279"/>
    <w:rsid w:val="0089140D"/>
    <w:rsid w:val="0089141A"/>
    <w:rsid w:val="00891BDB"/>
    <w:rsid w:val="00891CBE"/>
    <w:rsid w:val="00891CD8"/>
    <w:rsid w:val="00891DAD"/>
    <w:rsid w:val="00891DE5"/>
    <w:rsid w:val="008920E1"/>
    <w:rsid w:val="008926A1"/>
    <w:rsid w:val="008927B5"/>
    <w:rsid w:val="00892C44"/>
    <w:rsid w:val="00892CCD"/>
    <w:rsid w:val="00892DA6"/>
    <w:rsid w:val="00892F7B"/>
    <w:rsid w:val="00893068"/>
    <w:rsid w:val="00893086"/>
    <w:rsid w:val="0089336B"/>
    <w:rsid w:val="00893AA5"/>
    <w:rsid w:val="00893C40"/>
    <w:rsid w:val="00893E6A"/>
    <w:rsid w:val="0089406B"/>
    <w:rsid w:val="00894135"/>
    <w:rsid w:val="008944E2"/>
    <w:rsid w:val="008948A9"/>
    <w:rsid w:val="00894A93"/>
    <w:rsid w:val="00894D97"/>
    <w:rsid w:val="0089517C"/>
    <w:rsid w:val="00895282"/>
    <w:rsid w:val="0089528A"/>
    <w:rsid w:val="008956D6"/>
    <w:rsid w:val="00895892"/>
    <w:rsid w:val="00895C31"/>
    <w:rsid w:val="00895FD1"/>
    <w:rsid w:val="00896652"/>
    <w:rsid w:val="00896BA1"/>
    <w:rsid w:val="00896C8C"/>
    <w:rsid w:val="00896DA6"/>
    <w:rsid w:val="00897798"/>
    <w:rsid w:val="008978CC"/>
    <w:rsid w:val="00897F80"/>
    <w:rsid w:val="008A0145"/>
    <w:rsid w:val="008A057F"/>
    <w:rsid w:val="008A0806"/>
    <w:rsid w:val="008A0862"/>
    <w:rsid w:val="008A12B0"/>
    <w:rsid w:val="008A15EA"/>
    <w:rsid w:val="008A17CF"/>
    <w:rsid w:val="008A1E77"/>
    <w:rsid w:val="008A24E3"/>
    <w:rsid w:val="008A2731"/>
    <w:rsid w:val="008A2DFE"/>
    <w:rsid w:val="008A3D8C"/>
    <w:rsid w:val="008A3DA4"/>
    <w:rsid w:val="008A3E8A"/>
    <w:rsid w:val="008A3EC4"/>
    <w:rsid w:val="008A4024"/>
    <w:rsid w:val="008A4277"/>
    <w:rsid w:val="008A4381"/>
    <w:rsid w:val="008A43D7"/>
    <w:rsid w:val="008A48B3"/>
    <w:rsid w:val="008A4931"/>
    <w:rsid w:val="008A4EA0"/>
    <w:rsid w:val="008A57E9"/>
    <w:rsid w:val="008A59A1"/>
    <w:rsid w:val="008A5BA7"/>
    <w:rsid w:val="008A5DED"/>
    <w:rsid w:val="008A6341"/>
    <w:rsid w:val="008A63F0"/>
    <w:rsid w:val="008A649B"/>
    <w:rsid w:val="008A65E4"/>
    <w:rsid w:val="008A687B"/>
    <w:rsid w:val="008A69B6"/>
    <w:rsid w:val="008A6BFD"/>
    <w:rsid w:val="008A6E6D"/>
    <w:rsid w:val="008A733A"/>
    <w:rsid w:val="008A74B6"/>
    <w:rsid w:val="008A7A26"/>
    <w:rsid w:val="008A7C18"/>
    <w:rsid w:val="008A7E08"/>
    <w:rsid w:val="008A7E30"/>
    <w:rsid w:val="008B069E"/>
    <w:rsid w:val="008B07F4"/>
    <w:rsid w:val="008B0E56"/>
    <w:rsid w:val="008B0F98"/>
    <w:rsid w:val="008B1166"/>
    <w:rsid w:val="008B1570"/>
    <w:rsid w:val="008B15AA"/>
    <w:rsid w:val="008B1AE8"/>
    <w:rsid w:val="008B1C07"/>
    <w:rsid w:val="008B1E46"/>
    <w:rsid w:val="008B1FF7"/>
    <w:rsid w:val="008B2174"/>
    <w:rsid w:val="008B2468"/>
    <w:rsid w:val="008B248B"/>
    <w:rsid w:val="008B261F"/>
    <w:rsid w:val="008B2956"/>
    <w:rsid w:val="008B2957"/>
    <w:rsid w:val="008B29B6"/>
    <w:rsid w:val="008B3008"/>
    <w:rsid w:val="008B30E1"/>
    <w:rsid w:val="008B36AF"/>
    <w:rsid w:val="008B374C"/>
    <w:rsid w:val="008B3962"/>
    <w:rsid w:val="008B3D60"/>
    <w:rsid w:val="008B3E85"/>
    <w:rsid w:val="008B4103"/>
    <w:rsid w:val="008B44E9"/>
    <w:rsid w:val="008B4703"/>
    <w:rsid w:val="008B47B4"/>
    <w:rsid w:val="008B47DB"/>
    <w:rsid w:val="008B4EC4"/>
    <w:rsid w:val="008B549A"/>
    <w:rsid w:val="008B57C2"/>
    <w:rsid w:val="008B6262"/>
    <w:rsid w:val="008B6305"/>
    <w:rsid w:val="008B6550"/>
    <w:rsid w:val="008B69A3"/>
    <w:rsid w:val="008B69E0"/>
    <w:rsid w:val="008B6D62"/>
    <w:rsid w:val="008B701D"/>
    <w:rsid w:val="008B70E3"/>
    <w:rsid w:val="008B7590"/>
    <w:rsid w:val="008B75F1"/>
    <w:rsid w:val="008B76AD"/>
    <w:rsid w:val="008B7770"/>
    <w:rsid w:val="008B7A11"/>
    <w:rsid w:val="008B7B12"/>
    <w:rsid w:val="008B7F1C"/>
    <w:rsid w:val="008B7F99"/>
    <w:rsid w:val="008C0046"/>
    <w:rsid w:val="008C004B"/>
    <w:rsid w:val="008C0104"/>
    <w:rsid w:val="008C04CC"/>
    <w:rsid w:val="008C0CEB"/>
    <w:rsid w:val="008C0F7D"/>
    <w:rsid w:val="008C14F8"/>
    <w:rsid w:val="008C1600"/>
    <w:rsid w:val="008C160E"/>
    <w:rsid w:val="008C187E"/>
    <w:rsid w:val="008C20A9"/>
    <w:rsid w:val="008C2344"/>
    <w:rsid w:val="008C23D2"/>
    <w:rsid w:val="008C25E5"/>
    <w:rsid w:val="008C2890"/>
    <w:rsid w:val="008C2BF4"/>
    <w:rsid w:val="008C2C3F"/>
    <w:rsid w:val="008C3028"/>
    <w:rsid w:val="008C31F8"/>
    <w:rsid w:val="008C3390"/>
    <w:rsid w:val="008C3ACA"/>
    <w:rsid w:val="008C3C9E"/>
    <w:rsid w:val="008C3CB7"/>
    <w:rsid w:val="008C3E8A"/>
    <w:rsid w:val="008C4065"/>
    <w:rsid w:val="008C4226"/>
    <w:rsid w:val="008C42F3"/>
    <w:rsid w:val="008C46CB"/>
    <w:rsid w:val="008C4863"/>
    <w:rsid w:val="008C4908"/>
    <w:rsid w:val="008C5534"/>
    <w:rsid w:val="008C5DCC"/>
    <w:rsid w:val="008C5ECA"/>
    <w:rsid w:val="008C5F81"/>
    <w:rsid w:val="008C624F"/>
    <w:rsid w:val="008C64EF"/>
    <w:rsid w:val="008C672F"/>
    <w:rsid w:val="008C6822"/>
    <w:rsid w:val="008C6841"/>
    <w:rsid w:val="008C6955"/>
    <w:rsid w:val="008C6AAE"/>
    <w:rsid w:val="008C6B17"/>
    <w:rsid w:val="008C6C5E"/>
    <w:rsid w:val="008C6E5C"/>
    <w:rsid w:val="008C72A0"/>
    <w:rsid w:val="008C7710"/>
    <w:rsid w:val="008C77BA"/>
    <w:rsid w:val="008C7AF8"/>
    <w:rsid w:val="008C7CC2"/>
    <w:rsid w:val="008C7E1A"/>
    <w:rsid w:val="008D00D8"/>
    <w:rsid w:val="008D0643"/>
    <w:rsid w:val="008D0679"/>
    <w:rsid w:val="008D0B57"/>
    <w:rsid w:val="008D0D42"/>
    <w:rsid w:val="008D0F1F"/>
    <w:rsid w:val="008D105B"/>
    <w:rsid w:val="008D12AE"/>
    <w:rsid w:val="008D13EB"/>
    <w:rsid w:val="008D14D5"/>
    <w:rsid w:val="008D15C5"/>
    <w:rsid w:val="008D1883"/>
    <w:rsid w:val="008D1B9E"/>
    <w:rsid w:val="008D224A"/>
    <w:rsid w:val="008D2599"/>
    <w:rsid w:val="008D26F0"/>
    <w:rsid w:val="008D27E8"/>
    <w:rsid w:val="008D2A7A"/>
    <w:rsid w:val="008D2ADE"/>
    <w:rsid w:val="008D2B10"/>
    <w:rsid w:val="008D2CD6"/>
    <w:rsid w:val="008D30A3"/>
    <w:rsid w:val="008D32BC"/>
    <w:rsid w:val="008D33D8"/>
    <w:rsid w:val="008D3E05"/>
    <w:rsid w:val="008D4652"/>
    <w:rsid w:val="008D4699"/>
    <w:rsid w:val="008D4EEE"/>
    <w:rsid w:val="008D4FF1"/>
    <w:rsid w:val="008D5052"/>
    <w:rsid w:val="008D52A3"/>
    <w:rsid w:val="008D5306"/>
    <w:rsid w:val="008D59E8"/>
    <w:rsid w:val="008D5B4C"/>
    <w:rsid w:val="008D5BD3"/>
    <w:rsid w:val="008D5E27"/>
    <w:rsid w:val="008D5E37"/>
    <w:rsid w:val="008D692D"/>
    <w:rsid w:val="008D6C0D"/>
    <w:rsid w:val="008D6CB4"/>
    <w:rsid w:val="008D6F86"/>
    <w:rsid w:val="008D72D7"/>
    <w:rsid w:val="008D72E9"/>
    <w:rsid w:val="008D79B3"/>
    <w:rsid w:val="008D7BEA"/>
    <w:rsid w:val="008E0034"/>
    <w:rsid w:val="008E0346"/>
    <w:rsid w:val="008E05EA"/>
    <w:rsid w:val="008E09D1"/>
    <w:rsid w:val="008E0B7C"/>
    <w:rsid w:val="008E0D0C"/>
    <w:rsid w:val="008E1250"/>
    <w:rsid w:val="008E1324"/>
    <w:rsid w:val="008E1663"/>
    <w:rsid w:val="008E16D5"/>
    <w:rsid w:val="008E1984"/>
    <w:rsid w:val="008E1BC3"/>
    <w:rsid w:val="008E1DC5"/>
    <w:rsid w:val="008E1E35"/>
    <w:rsid w:val="008E1F81"/>
    <w:rsid w:val="008E2385"/>
    <w:rsid w:val="008E2BBC"/>
    <w:rsid w:val="008E35EA"/>
    <w:rsid w:val="008E3821"/>
    <w:rsid w:val="008E3E11"/>
    <w:rsid w:val="008E3E13"/>
    <w:rsid w:val="008E3EC9"/>
    <w:rsid w:val="008E41DA"/>
    <w:rsid w:val="008E43CF"/>
    <w:rsid w:val="008E4642"/>
    <w:rsid w:val="008E4711"/>
    <w:rsid w:val="008E4751"/>
    <w:rsid w:val="008E47D3"/>
    <w:rsid w:val="008E4CAB"/>
    <w:rsid w:val="008E507A"/>
    <w:rsid w:val="008E50B0"/>
    <w:rsid w:val="008E5179"/>
    <w:rsid w:val="008E5320"/>
    <w:rsid w:val="008E5486"/>
    <w:rsid w:val="008E57EC"/>
    <w:rsid w:val="008E5B8B"/>
    <w:rsid w:val="008E5DEA"/>
    <w:rsid w:val="008E5F59"/>
    <w:rsid w:val="008E6096"/>
    <w:rsid w:val="008E62E3"/>
    <w:rsid w:val="008E6822"/>
    <w:rsid w:val="008E6933"/>
    <w:rsid w:val="008E69F7"/>
    <w:rsid w:val="008E6A52"/>
    <w:rsid w:val="008E7038"/>
    <w:rsid w:val="008E71AC"/>
    <w:rsid w:val="008E71DB"/>
    <w:rsid w:val="008E795E"/>
    <w:rsid w:val="008E7A51"/>
    <w:rsid w:val="008E7CAB"/>
    <w:rsid w:val="008F021D"/>
    <w:rsid w:val="008F06D3"/>
    <w:rsid w:val="008F0950"/>
    <w:rsid w:val="008F0BF9"/>
    <w:rsid w:val="008F0E8A"/>
    <w:rsid w:val="008F0ECF"/>
    <w:rsid w:val="008F0F38"/>
    <w:rsid w:val="008F1197"/>
    <w:rsid w:val="008F13A0"/>
    <w:rsid w:val="008F19A7"/>
    <w:rsid w:val="008F1C61"/>
    <w:rsid w:val="008F1CFA"/>
    <w:rsid w:val="008F20A2"/>
    <w:rsid w:val="008F2136"/>
    <w:rsid w:val="008F2168"/>
    <w:rsid w:val="008F224D"/>
    <w:rsid w:val="008F2260"/>
    <w:rsid w:val="008F25EA"/>
    <w:rsid w:val="008F2780"/>
    <w:rsid w:val="008F28DC"/>
    <w:rsid w:val="008F2948"/>
    <w:rsid w:val="008F2A2B"/>
    <w:rsid w:val="008F32E7"/>
    <w:rsid w:val="008F3370"/>
    <w:rsid w:val="008F34F3"/>
    <w:rsid w:val="008F3663"/>
    <w:rsid w:val="008F3B6E"/>
    <w:rsid w:val="008F3C59"/>
    <w:rsid w:val="008F3E5E"/>
    <w:rsid w:val="008F3F17"/>
    <w:rsid w:val="008F42A8"/>
    <w:rsid w:val="008F42F9"/>
    <w:rsid w:val="008F4B70"/>
    <w:rsid w:val="008F4BF4"/>
    <w:rsid w:val="008F501C"/>
    <w:rsid w:val="008F539F"/>
    <w:rsid w:val="008F548C"/>
    <w:rsid w:val="008F557C"/>
    <w:rsid w:val="008F5916"/>
    <w:rsid w:val="008F5A7A"/>
    <w:rsid w:val="008F5D44"/>
    <w:rsid w:val="008F5E5C"/>
    <w:rsid w:val="008F633F"/>
    <w:rsid w:val="008F635B"/>
    <w:rsid w:val="008F639D"/>
    <w:rsid w:val="008F65B1"/>
    <w:rsid w:val="008F6766"/>
    <w:rsid w:val="008F6960"/>
    <w:rsid w:val="008F6A49"/>
    <w:rsid w:val="008F73EB"/>
    <w:rsid w:val="008F760E"/>
    <w:rsid w:val="008F77B1"/>
    <w:rsid w:val="008F78F8"/>
    <w:rsid w:val="008F7AD1"/>
    <w:rsid w:val="008F7BD4"/>
    <w:rsid w:val="008F7E35"/>
    <w:rsid w:val="008F7F26"/>
    <w:rsid w:val="00900344"/>
    <w:rsid w:val="009005A5"/>
    <w:rsid w:val="00901363"/>
    <w:rsid w:val="009016BA"/>
    <w:rsid w:val="0090176E"/>
    <w:rsid w:val="00901E8D"/>
    <w:rsid w:val="009021C4"/>
    <w:rsid w:val="00902463"/>
    <w:rsid w:val="0090252D"/>
    <w:rsid w:val="00903360"/>
    <w:rsid w:val="009033CC"/>
    <w:rsid w:val="0090340A"/>
    <w:rsid w:val="009038B7"/>
    <w:rsid w:val="00903D74"/>
    <w:rsid w:val="00903ED5"/>
    <w:rsid w:val="00903FCF"/>
    <w:rsid w:val="00904102"/>
    <w:rsid w:val="00904282"/>
    <w:rsid w:val="00904393"/>
    <w:rsid w:val="009043BA"/>
    <w:rsid w:val="00904A91"/>
    <w:rsid w:val="00904B52"/>
    <w:rsid w:val="009054BB"/>
    <w:rsid w:val="0090565F"/>
    <w:rsid w:val="00905AC1"/>
    <w:rsid w:val="00906111"/>
    <w:rsid w:val="009063B8"/>
    <w:rsid w:val="0090646A"/>
    <w:rsid w:val="009065BE"/>
    <w:rsid w:val="009068C1"/>
    <w:rsid w:val="0090692D"/>
    <w:rsid w:val="00907095"/>
    <w:rsid w:val="00907198"/>
    <w:rsid w:val="00907A17"/>
    <w:rsid w:val="00907C4D"/>
    <w:rsid w:val="00907CD2"/>
    <w:rsid w:val="00907CD9"/>
    <w:rsid w:val="00907FBF"/>
    <w:rsid w:val="009101D1"/>
    <w:rsid w:val="009106A6"/>
    <w:rsid w:val="00910755"/>
    <w:rsid w:val="009108F5"/>
    <w:rsid w:val="00910987"/>
    <w:rsid w:val="00910D05"/>
    <w:rsid w:val="0091112E"/>
    <w:rsid w:val="009112D7"/>
    <w:rsid w:val="00911618"/>
    <w:rsid w:val="00911A55"/>
    <w:rsid w:val="00911A8A"/>
    <w:rsid w:val="00911BBF"/>
    <w:rsid w:val="009120D8"/>
    <w:rsid w:val="009120E5"/>
    <w:rsid w:val="009121CD"/>
    <w:rsid w:val="009124DB"/>
    <w:rsid w:val="00912623"/>
    <w:rsid w:val="0091295A"/>
    <w:rsid w:val="00912B96"/>
    <w:rsid w:val="00913084"/>
    <w:rsid w:val="0091343D"/>
    <w:rsid w:val="0091377D"/>
    <w:rsid w:val="0091384A"/>
    <w:rsid w:val="00913861"/>
    <w:rsid w:val="009138EB"/>
    <w:rsid w:val="0091467C"/>
    <w:rsid w:val="009146A5"/>
    <w:rsid w:val="009146D0"/>
    <w:rsid w:val="00914847"/>
    <w:rsid w:val="009149EF"/>
    <w:rsid w:val="0091539C"/>
    <w:rsid w:val="009158AC"/>
    <w:rsid w:val="00915D46"/>
    <w:rsid w:val="00915E1D"/>
    <w:rsid w:val="009162F0"/>
    <w:rsid w:val="0091658D"/>
    <w:rsid w:val="00916664"/>
    <w:rsid w:val="009166F0"/>
    <w:rsid w:val="0091675B"/>
    <w:rsid w:val="00916C8A"/>
    <w:rsid w:val="00916E2F"/>
    <w:rsid w:val="0091719C"/>
    <w:rsid w:val="009174B9"/>
    <w:rsid w:val="00917685"/>
    <w:rsid w:val="00917D3E"/>
    <w:rsid w:val="0092013A"/>
    <w:rsid w:val="00920526"/>
    <w:rsid w:val="009205D6"/>
    <w:rsid w:val="00920A29"/>
    <w:rsid w:val="00920CAC"/>
    <w:rsid w:val="00920D2C"/>
    <w:rsid w:val="00920D87"/>
    <w:rsid w:val="00920E6D"/>
    <w:rsid w:val="009211BA"/>
    <w:rsid w:val="009211BF"/>
    <w:rsid w:val="0092124F"/>
    <w:rsid w:val="0092151C"/>
    <w:rsid w:val="009215C0"/>
    <w:rsid w:val="009215E6"/>
    <w:rsid w:val="009218A4"/>
    <w:rsid w:val="00921DC2"/>
    <w:rsid w:val="00921E02"/>
    <w:rsid w:val="00921FD8"/>
    <w:rsid w:val="009220B2"/>
    <w:rsid w:val="00922152"/>
    <w:rsid w:val="0092220E"/>
    <w:rsid w:val="00922C50"/>
    <w:rsid w:val="00922CED"/>
    <w:rsid w:val="0092334B"/>
    <w:rsid w:val="0092339F"/>
    <w:rsid w:val="009235B2"/>
    <w:rsid w:val="00923667"/>
    <w:rsid w:val="009238C0"/>
    <w:rsid w:val="00923E0C"/>
    <w:rsid w:val="0092415F"/>
    <w:rsid w:val="0092444F"/>
    <w:rsid w:val="009245CC"/>
    <w:rsid w:val="009245DC"/>
    <w:rsid w:val="0092476F"/>
    <w:rsid w:val="00924896"/>
    <w:rsid w:val="00924E03"/>
    <w:rsid w:val="00924E8C"/>
    <w:rsid w:val="00924FC9"/>
    <w:rsid w:val="009250EF"/>
    <w:rsid w:val="009251D6"/>
    <w:rsid w:val="00925CFF"/>
    <w:rsid w:val="00925E8C"/>
    <w:rsid w:val="00926208"/>
    <w:rsid w:val="009263DC"/>
    <w:rsid w:val="009263E5"/>
    <w:rsid w:val="0092649B"/>
    <w:rsid w:val="00926613"/>
    <w:rsid w:val="0092696D"/>
    <w:rsid w:val="009270E3"/>
    <w:rsid w:val="009271C9"/>
    <w:rsid w:val="009273BB"/>
    <w:rsid w:val="009273C5"/>
    <w:rsid w:val="0092748E"/>
    <w:rsid w:val="00927B10"/>
    <w:rsid w:val="00930053"/>
    <w:rsid w:val="00930671"/>
    <w:rsid w:val="00930842"/>
    <w:rsid w:val="00930844"/>
    <w:rsid w:val="00930987"/>
    <w:rsid w:val="00930BB1"/>
    <w:rsid w:val="00930BE2"/>
    <w:rsid w:val="009311F4"/>
    <w:rsid w:val="0093122A"/>
    <w:rsid w:val="0093128F"/>
    <w:rsid w:val="0093130F"/>
    <w:rsid w:val="00931574"/>
    <w:rsid w:val="009316AA"/>
    <w:rsid w:val="0093178E"/>
    <w:rsid w:val="00931936"/>
    <w:rsid w:val="00931E7B"/>
    <w:rsid w:val="00932223"/>
    <w:rsid w:val="00932395"/>
    <w:rsid w:val="0093295A"/>
    <w:rsid w:val="00932D25"/>
    <w:rsid w:val="00932F12"/>
    <w:rsid w:val="00933352"/>
    <w:rsid w:val="009333AB"/>
    <w:rsid w:val="0093346A"/>
    <w:rsid w:val="00933883"/>
    <w:rsid w:val="00933937"/>
    <w:rsid w:val="00933D51"/>
    <w:rsid w:val="009344B2"/>
    <w:rsid w:val="00934563"/>
    <w:rsid w:val="00934896"/>
    <w:rsid w:val="0093490D"/>
    <w:rsid w:val="00934928"/>
    <w:rsid w:val="00934D06"/>
    <w:rsid w:val="00934E4A"/>
    <w:rsid w:val="00934F88"/>
    <w:rsid w:val="009354C8"/>
    <w:rsid w:val="0093555E"/>
    <w:rsid w:val="009358F0"/>
    <w:rsid w:val="00935B0B"/>
    <w:rsid w:val="00935B80"/>
    <w:rsid w:val="00935DB1"/>
    <w:rsid w:val="00935E8D"/>
    <w:rsid w:val="00935EAC"/>
    <w:rsid w:val="00935F37"/>
    <w:rsid w:val="00935FC1"/>
    <w:rsid w:val="009360BB"/>
    <w:rsid w:val="0093660D"/>
    <w:rsid w:val="00936730"/>
    <w:rsid w:val="00936A82"/>
    <w:rsid w:val="00936BA3"/>
    <w:rsid w:val="00936C24"/>
    <w:rsid w:val="00936DE9"/>
    <w:rsid w:val="0093747E"/>
    <w:rsid w:val="009376BA"/>
    <w:rsid w:val="00937992"/>
    <w:rsid w:val="00937CC6"/>
    <w:rsid w:val="009402A0"/>
    <w:rsid w:val="0094080B"/>
    <w:rsid w:val="00940CF3"/>
    <w:rsid w:val="00940E54"/>
    <w:rsid w:val="009410D8"/>
    <w:rsid w:val="00941409"/>
    <w:rsid w:val="00941A51"/>
    <w:rsid w:val="00941C59"/>
    <w:rsid w:val="00941C77"/>
    <w:rsid w:val="00941DC6"/>
    <w:rsid w:val="00941E8B"/>
    <w:rsid w:val="00941EDE"/>
    <w:rsid w:val="0094212C"/>
    <w:rsid w:val="00942515"/>
    <w:rsid w:val="009425E1"/>
    <w:rsid w:val="009427C7"/>
    <w:rsid w:val="009427D7"/>
    <w:rsid w:val="009432B3"/>
    <w:rsid w:val="0094378F"/>
    <w:rsid w:val="00943A87"/>
    <w:rsid w:val="009442B5"/>
    <w:rsid w:val="0094438B"/>
    <w:rsid w:val="009446A2"/>
    <w:rsid w:val="009446CC"/>
    <w:rsid w:val="0094472D"/>
    <w:rsid w:val="00944A96"/>
    <w:rsid w:val="00944BA8"/>
    <w:rsid w:val="00944E68"/>
    <w:rsid w:val="00944EE3"/>
    <w:rsid w:val="00944F34"/>
    <w:rsid w:val="00944F3F"/>
    <w:rsid w:val="009450B3"/>
    <w:rsid w:val="00945180"/>
    <w:rsid w:val="009451AE"/>
    <w:rsid w:val="00945331"/>
    <w:rsid w:val="00945543"/>
    <w:rsid w:val="009456EB"/>
    <w:rsid w:val="00945A4A"/>
    <w:rsid w:val="00945C45"/>
    <w:rsid w:val="009460CC"/>
    <w:rsid w:val="009460E7"/>
    <w:rsid w:val="00946565"/>
    <w:rsid w:val="00946853"/>
    <w:rsid w:val="00946C9A"/>
    <w:rsid w:val="00946D9A"/>
    <w:rsid w:val="00946F63"/>
    <w:rsid w:val="00946FDA"/>
    <w:rsid w:val="009473A5"/>
    <w:rsid w:val="00947503"/>
    <w:rsid w:val="0094772E"/>
    <w:rsid w:val="00947995"/>
    <w:rsid w:val="009479DE"/>
    <w:rsid w:val="0095069B"/>
    <w:rsid w:val="00950A24"/>
    <w:rsid w:val="00950DBE"/>
    <w:rsid w:val="00950DE5"/>
    <w:rsid w:val="00950EB9"/>
    <w:rsid w:val="009510D0"/>
    <w:rsid w:val="0095111A"/>
    <w:rsid w:val="009513A5"/>
    <w:rsid w:val="00951447"/>
    <w:rsid w:val="00951579"/>
    <w:rsid w:val="009519C0"/>
    <w:rsid w:val="00951CF6"/>
    <w:rsid w:val="00951EEE"/>
    <w:rsid w:val="00952090"/>
    <w:rsid w:val="0095239F"/>
    <w:rsid w:val="009525CB"/>
    <w:rsid w:val="009528EB"/>
    <w:rsid w:val="00952B41"/>
    <w:rsid w:val="00952D38"/>
    <w:rsid w:val="00952D94"/>
    <w:rsid w:val="009532A7"/>
    <w:rsid w:val="009533E5"/>
    <w:rsid w:val="00953CCF"/>
    <w:rsid w:val="0095400C"/>
    <w:rsid w:val="009540CE"/>
    <w:rsid w:val="009541CD"/>
    <w:rsid w:val="009544AA"/>
    <w:rsid w:val="00954522"/>
    <w:rsid w:val="00954616"/>
    <w:rsid w:val="00954836"/>
    <w:rsid w:val="00954B3B"/>
    <w:rsid w:val="00954BED"/>
    <w:rsid w:val="00954C19"/>
    <w:rsid w:val="00954D5D"/>
    <w:rsid w:val="00955129"/>
    <w:rsid w:val="009553F1"/>
    <w:rsid w:val="00955596"/>
    <w:rsid w:val="009555CB"/>
    <w:rsid w:val="00955AFD"/>
    <w:rsid w:val="00955C81"/>
    <w:rsid w:val="00956793"/>
    <w:rsid w:val="0095695D"/>
    <w:rsid w:val="00956C3E"/>
    <w:rsid w:val="00956E00"/>
    <w:rsid w:val="009570C2"/>
    <w:rsid w:val="0095720B"/>
    <w:rsid w:val="0095743F"/>
    <w:rsid w:val="00957461"/>
    <w:rsid w:val="0095747A"/>
    <w:rsid w:val="009574D0"/>
    <w:rsid w:val="0095798D"/>
    <w:rsid w:val="009602F9"/>
    <w:rsid w:val="00960707"/>
    <w:rsid w:val="00960765"/>
    <w:rsid w:val="0096101C"/>
    <w:rsid w:val="0096101F"/>
    <w:rsid w:val="00961105"/>
    <w:rsid w:val="0096129D"/>
    <w:rsid w:val="00961384"/>
    <w:rsid w:val="009619AD"/>
    <w:rsid w:val="00961BC2"/>
    <w:rsid w:val="00961BF6"/>
    <w:rsid w:val="00961C36"/>
    <w:rsid w:val="00961D35"/>
    <w:rsid w:val="00961E1D"/>
    <w:rsid w:val="00961E9C"/>
    <w:rsid w:val="00962A7A"/>
    <w:rsid w:val="00962D55"/>
    <w:rsid w:val="00962DA9"/>
    <w:rsid w:val="00962E2C"/>
    <w:rsid w:val="009635D4"/>
    <w:rsid w:val="00963625"/>
    <w:rsid w:val="00963A26"/>
    <w:rsid w:val="009646FF"/>
    <w:rsid w:val="00964AD1"/>
    <w:rsid w:val="00965058"/>
    <w:rsid w:val="009652CA"/>
    <w:rsid w:val="00965301"/>
    <w:rsid w:val="0096552A"/>
    <w:rsid w:val="009656ED"/>
    <w:rsid w:val="00965801"/>
    <w:rsid w:val="00965A77"/>
    <w:rsid w:val="00965D42"/>
    <w:rsid w:val="00965EF5"/>
    <w:rsid w:val="0096620B"/>
    <w:rsid w:val="00966318"/>
    <w:rsid w:val="00966413"/>
    <w:rsid w:val="00966804"/>
    <w:rsid w:val="00966C5B"/>
    <w:rsid w:val="00966CE0"/>
    <w:rsid w:val="00966E5C"/>
    <w:rsid w:val="00967336"/>
    <w:rsid w:val="00967444"/>
    <w:rsid w:val="009674DA"/>
    <w:rsid w:val="00967520"/>
    <w:rsid w:val="00967555"/>
    <w:rsid w:val="00967601"/>
    <w:rsid w:val="009679AF"/>
    <w:rsid w:val="00967B0D"/>
    <w:rsid w:val="00967BBC"/>
    <w:rsid w:val="00967C60"/>
    <w:rsid w:val="00967F9B"/>
    <w:rsid w:val="009707FF"/>
    <w:rsid w:val="00970884"/>
    <w:rsid w:val="00970893"/>
    <w:rsid w:val="00970907"/>
    <w:rsid w:val="00970A54"/>
    <w:rsid w:val="00971005"/>
    <w:rsid w:val="00971282"/>
    <w:rsid w:val="009714F0"/>
    <w:rsid w:val="00971575"/>
    <w:rsid w:val="009717A1"/>
    <w:rsid w:val="00971A49"/>
    <w:rsid w:val="00971B72"/>
    <w:rsid w:val="00971CDC"/>
    <w:rsid w:val="00971D8F"/>
    <w:rsid w:val="00972030"/>
    <w:rsid w:val="009720BF"/>
    <w:rsid w:val="009724DF"/>
    <w:rsid w:val="00972863"/>
    <w:rsid w:val="00972CD2"/>
    <w:rsid w:val="00972F4F"/>
    <w:rsid w:val="00973070"/>
    <w:rsid w:val="009732FA"/>
    <w:rsid w:val="009734DA"/>
    <w:rsid w:val="00973634"/>
    <w:rsid w:val="00973953"/>
    <w:rsid w:val="0097396E"/>
    <w:rsid w:val="00973C38"/>
    <w:rsid w:val="00973CD5"/>
    <w:rsid w:val="00973D1F"/>
    <w:rsid w:val="00973DE7"/>
    <w:rsid w:val="0097416C"/>
    <w:rsid w:val="00974233"/>
    <w:rsid w:val="009742CA"/>
    <w:rsid w:val="00974538"/>
    <w:rsid w:val="009745B5"/>
    <w:rsid w:val="00974B6C"/>
    <w:rsid w:val="00974D37"/>
    <w:rsid w:val="009751B9"/>
    <w:rsid w:val="00975277"/>
    <w:rsid w:val="00975494"/>
    <w:rsid w:val="00975A97"/>
    <w:rsid w:val="00975B59"/>
    <w:rsid w:val="00975D36"/>
    <w:rsid w:val="00975DAF"/>
    <w:rsid w:val="00975E8B"/>
    <w:rsid w:val="0097612B"/>
    <w:rsid w:val="009764F2"/>
    <w:rsid w:val="00976840"/>
    <w:rsid w:val="00976A27"/>
    <w:rsid w:val="00976E5D"/>
    <w:rsid w:val="00977183"/>
    <w:rsid w:val="00977326"/>
    <w:rsid w:val="00977B85"/>
    <w:rsid w:val="00977C72"/>
    <w:rsid w:val="00980059"/>
    <w:rsid w:val="009802D3"/>
    <w:rsid w:val="00980312"/>
    <w:rsid w:val="00980699"/>
    <w:rsid w:val="00980DEC"/>
    <w:rsid w:val="00980FDC"/>
    <w:rsid w:val="009810E3"/>
    <w:rsid w:val="0098133E"/>
    <w:rsid w:val="0098143B"/>
    <w:rsid w:val="009816EC"/>
    <w:rsid w:val="0098193F"/>
    <w:rsid w:val="00981944"/>
    <w:rsid w:val="00981A30"/>
    <w:rsid w:val="00981A3B"/>
    <w:rsid w:val="00981BA1"/>
    <w:rsid w:val="00981E90"/>
    <w:rsid w:val="0098278B"/>
    <w:rsid w:val="009827B9"/>
    <w:rsid w:val="00982A96"/>
    <w:rsid w:val="00982BDB"/>
    <w:rsid w:val="00982DD0"/>
    <w:rsid w:val="00983099"/>
    <w:rsid w:val="009832AD"/>
    <w:rsid w:val="009836FC"/>
    <w:rsid w:val="0098397D"/>
    <w:rsid w:val="00983A7D"/>
    <w:rsid w:val="00983C2F"/>
    <w:rsid w:val="009840A0"/>
    <w:rsid w:val="00984299"/>
    <w:rsid w:val="00984333"/>
    <w:rsid w:val="00984989"/>
    <w:rsid w:val="009849D4"/>
    <w:rsid w:val="00984A2A"/>
    <w:rsid w:val="00984EB5"/>
    <w:rsid w:val="00984FA1"/>
    <w:rsid w:val="00985321"/>
    <w:rsid w:val="00985934"/>
    <w:rsid w:val="00985BE0"/>
    <w:rsid w:val="00985C25"/>
    <w:rsid w:val="00985C6B"/>
    <w:rsid w:val="00985CA1"/>
    <w:rsid w:val="00985E0F"/>
    <w:rsid w:val="00985E6F"/>
    <w:rsid w:val="00986359"/>
    <w:rsid w:val="009864EF"/>
    <w:rsid w:val="0098656B"/>
    <w:rsid w:val="00986889"/>
    <w:rsid w:val="009868F9"/>
    <w:rsid w:val="00986AD9"/>
    <w:rsid w:val="00987067"/>
    <w:rsid w:val="009870AC"/>
    <w:rsid w:val="0098712B"/>
    <w:rsid w:val="009871B7"/>
    <w:rsid w:val="009874BD"/>
    <w:rsid w:val="009874CF"/>
    <w:rsid w:val="00987AD0"/>
    <w:rsid w:val="00990149"/>
    <w:rsid w:val="0099020A"/>
    <w:rsid w:val="00990278"/>
    <w:rsid w:val="00990582"/>
    <w:rsid w:val="0099070C"/>
    <w:rsid w:val="0099076C"/>
    <w:rsid w:val="00990BF1"/>
    <w:rsid w:val="00991043"/>
    <w:rsid w:val="0099107C"/>
    <w:rsid w:val="0099121D"/>
    <w:rsid w:val="009912F3"/>
    <w:rsid w:val="00991404"/>
    <w:rsid w:val="00991572"/>
    <w:rsid w:val="009915E1"/>
    <w:rsid w:val="00991779"/>
    <w:rsid w:val="00991A2F"/>
    <w:rsid w:val="00991AD9"/>
    <w:rsid w:val="00991B51"/>
    <w:rsid w:val="00991C29"/>
    <w:rsid w:val="009920F4"/>
    <w:rsid w:val="00992179"/>
    <w:rsid w:val="00992387"/>
    <w:rsid w:val="009925BD"/>
    <w:rsid w:val="00992A14"/>
    <w:rsid w:val="00992A32"/>
    <w:rsid w:val="00992BE5"/>
    <w:rsid w:val="00992E29"/>
    <w:rsid w:val="00992F33"/>
    <w:rsid w:val="0099322E"/>
    <w:rsid w:val="009935D5"/>
    <w:rsid w:val="00993A0D"/>
    <w:rsid w:val="00993FD6"/>
    <w:rsid w:val="009944E3"/>
    <w:rsid w:val="00994690"/>
    <w:rsid w:val="00994D20"/>
    <w:rsid w:val="0099507E"/>
    <w:rsid w:val="009950AE"/>
    <w:rsid w:val="0099557A"/>
    <w:rsid w:val="009955C2"/>
    <w:rsid w:val="0099583B"/>
    <w:rsid w:val="0099584C"/>
    <w:rsid w:val="00995F54"/>
    <w:rsid w:val="00995F64"/>
    <w:rsid w:val="00996036"/>
    <w:rsid w:val="009960FF"/>
    <w:rsid w:val="00996382"/>
    <w:rsid w:val="00996388"/>
    <w:rsid w:val="009964B9"/>
    <w:rsid w:val="009964F6"/>
    <w:rsid w:val="009966B1"/>
    <w:rsid w:val="0099681F"/>
    <w:rsid w:val="0099699E"/>
    <w:rsid w:val="00996E7A"/>
    <w:rsid w:val="0099726D"/>
    <w:rsid w:val="00997F19"/>
    <w:rsid w:val="00997F31"/>
    <w:rsid w:val="00997FD3"/>
    <w:rsid w:val="009A0307"/>
    <w:rsid w:val="009A047D"/>
    <w:rsid w:val="009A0500"/>
    <w:rsid w:val="009A0640"/>
    <w:rsid w:val="009A0C6A"/>
    <w:rsid w:val="009A1179"/>
    <w:rsid w:val="009A11BC"/>
    <w:rsid w:val="009A1256"/>
    <w:rsid w:val="009A1653"/>
    <w:rsid w:val="009A170E"/>
    <w:rsid w:val="009A196E"/>
    <w:rsid w:val="009A19EB"/>
    <w:rsid w:val="009A2648"/>
    <w:rsid w:val="009A267A"/>
    <w:rsid w:val="009A26A9"/>
    <w:rsid w:val="009A292C"/>
    <w:rsid w:val="009A2DE6"/>
    <w:rsid w:val="009A321A"/>
    <w:rsid w:val="009A3259"/>
    <w:rsid w:val="009A331C"/>
    <w:rsid w:val="009A353F"/>
    <w:rsid w:val="009A38CE"/>
    <w:rsid w:val="009A3AEE"/>
    <w:rsid w:val="009A3BD6"/>
    <w:rsid w:val="009A3D5E"/>
    <w:rsid w:val="009A3EEA"/>
    <w:rsid w:val="009A3F2B"/>
    <w:rsid w:val="009A4255"/>
    <w:rsid w:val="009A4789"/>
    <w:rsid w:val="009A4AA5"/>
    <w:rsid w:val="009A4B75"/>
    <w:rsid w:val="009A4EBD"/>
    <w:rsid w:val="009A51F2"/>
    <w:rsid w:val="009A58A8"/>
    <w:rsid w:val="009A5927"/>
    <w:rsid w:val="009A5DEB"/>
    <w:rsid w:val="009A633D"/>
    <w:rsid w:val="009A644C"/>
    <w:rsid w:val="009A652A"/>
    <w:rsid w:val="009A66D5"/>
    <w:rsid w:val="009A6871"/>
    <w:rsid w:val="009A6DE6"/>
    <w:rsid w:val="009A6EDF"/>
    <w:rsid w:val="009A71AB"/>
    <w:rsid w:val="009A71DD"/>
    <w:rsid w:val="009A735D"/>
    <w:rsid w:val="009A73D5"/>
    <w:rsid w:val="009A7598"/>
    <w:rsid w:val="009A7B38"/>
    <w:rsid w:val="009A7D62"/>
    <w:rsid w:val="009A7E72"/>
    <w:rsid w:val="009B0A73"/>
    <w:rsid w:val="009B0CC5"/>
    <w:rsid w:val="009B111F"/>
    <w:rsid w:val="009B1216"/>
    <w:rsid w:val="009B15BA"/>
    <w:rsid w:val="009B15C4"/>
    <w:rsid w:val="009B16B0"/>
    <w:rsid w:val="009B1818"/>
    <w:rsid w:val="009B1B35"/>
    <w:rsid w:val="009B1BDA"/>
    <w:rsid w:val="009B1DD4"/>
    <w:rsid w:val="009B1F19"/>
    <w:rsid w:val="009B2080"/>
    <w:rsid w:val="009B2605"/>
    <w:rsid w:val="009B28F0"/>
    <w:rsid w:val="009B2940"/>
    <w:rsid w:val="009B2A17"/>
    <w:rsid w:val="009B2BBD"/>
    <w:rsid w:val="009B2D72"/>
    <w:rsid w:val="009B2DA1"/>
    <w:rsid w:val="009B2E09"/>
    <w:rsid w:val="009B2FB0"/>
    <w:rsid w:val="009B349F"/>
    <w:rsid w:val="009B371A"/>
    <w:rsid w:val="009B3956"/>
    <w:rsid w:val="009B3FAF"/>
    <w:rsid w:val="009B4079"/>
    <w:rsid w:val="009B4109"/>
    <w:rsid w:val="009B43BE"/>
    <w:rsid w:val="009B4562"/>
    <w:rsid w:val="009B49CC"/>
    <w:rsid w:val="009B4B3D"/>
    <w:rsid w:val="009B4C3D"/>
    <w:rsid w:val="009B5172"/>
    <w:rsid w:val="009B51ED"/>
    <w:rsid w:val="009B51FF"/>
    <w:rsid w:val="009B5225"/>
    <w:rsid w:val="009B52D4"/>
    <w:rsid w:val="009B54FB"/>
    <w:rsid w:val="009B5B25"/>
    <w:rsid w:val="009B5CA3"/>
    <w:rsid w:val="009B5F54"/>
    <w:rsid w:val="009B605C"/>
    <w:rsid w:val="009B6115"/>
    <w:rsid w:val="009B6119"/>
    <w:rsid w:val="009B61B7"/>
    <w:rsid w:val="009B6642"/>
    <w:rsid w:val="009B67C2"/>
    <w:rsid w:val="009B67E2"/>
    <w:rsid w:val="009B6BAA"/>
    <w:rsid w:val="009B6C7B"/>
    <w:rsid w:val="009B718E"/>
    <w:rsid w:val="009B74C4"/>
    <w:rsid w:val="009B7661"/>
    <w:rsid w:val="009B76BF"/>
    <w:rsid w:val="009B78F7"/>
    <w:rsid w:val="009B7984"/>
    <w:rsid w:val="009B7BB0"/>
    <w:rsid w:val="009B7CD2"/>
    <w:rsid w:val="009C0021"/>
    <w:rsid w:val="009C019B"/>
    <w:rsid w:val="009C038A"/>
    <w:rsid w:val="009C0796"/>
    <w:rsid w:val="009C093F"/>
    <w:rsid w:val="009C0B71"/>
    <w:rsid w:val="009C0BAC"/>
    <w:rsid w:val="009C0C77"/>
    <w:rsid w:val="009C0D20"/>
    <w:rsid w:val="009C0DAC"/>
    <w:rsid w:val="009C132C"/>
    <w:rsid w:val="009C1A1D"/>
    <w:rsid w:val="009C1C45"/>
    <w:rsid w:val="009C237C"/>
    <w:rsid w:val="009C2AE3"/>
    <w:rsid w:val="009C2E91"/>
    <w:rsid w:val="009C306E"/>
    <w:rsid w:val="009C3072"/>
    <w:rsid w:val="009C3138"/>
    <w:rsid w:val="009C31AF"/>
    <w:rsid w:val="009C3707"/>
    <w:rsid w:val="009C38D7"/>
    <w:rsid w:val="009C3945"/>
    <w:rsid w:val="009C3962"/>
    <w:rsid w:val="009C3AAE"/>
    <w:rsid w:val="009C41E8"/>
    <w:rsid w:val="009C424B"/>
    <w:rsid w:val="009C48BF"/>
    <w:rsid w:val="009C49BE"/>
    <w:rsid w:val="009C4AC3"/>
    <w:rsid w:val="009C4CDB"/>
    <w:rsid w:val="009C4DCD"/>
    <w:rsid w:val="009C4EB3"/>
    <w:rsid w:val="009C4F22"/>
    <w:rsid w:val="009C5109"/>
    <w:rsid w:val="009C5262"/>
    <w:rsid w:val="009C548E"/>
    <w:rsid w:val="009C5492"/>
    <w:rsid w:val="009C54F7"/>
    <w:rsid w:val="009C56F7"/>
    <w:rsid w:val="009C5BAC"/>
    <w:rsid w:val="009C5F79"/>
    <w:rsid w:val="009C602F"/>
    <w:rsid w:val="009C603D"/>
    <w:rsid w:val="009C6091"/>
    <w:rsid w:val="009C6373"/>
    <w:rsid w:val="009C663B"/>
    <w:rsid w:val="009C7470"/>
    <w:rsid w:val="009C7565"/>
    <w:rsid w:val="009C7C2E"/>
    <w:rsid w:val="009C7D74"/>
    <w:rsid w:val="009C7EE0"/>
    <w:rsid w:val="009D0444"/>
    <w:rsid w:val="009D0448"/>
    <w:rsid w:val="009D065A"/>
    <w:rsid w:val="009D0A88"/>
    <w:rsid w:val="009D0B95"/>
    <w:rsid w:val="009D0C84"/>
    <w:rsid w:val="009D0FAA"/>
    <w:rsid w:val="009D101F"/>
    <w:rsid w:val="009D110D"/>
    <w:rsid w:val="009D113F"/>
    <w:rsid w:val="009D1286"/>
    <w:rsid w:val="009D1599"/>
    <w:rsid w:val="009D1957"/>
    <w:rsid w:val="009D1C03"/>
    <w:rsid w:val="009D1D5D"/>
    <w:rsid w:val="009D1E42"/>
    <w:rsid w:val="009D22DE"/>
    <w:rsid w:val="009D23BF"/>
    <w:rsid w:val="009D23E7"/>
    <w:rsid w:val="009D25F2"/>
    <w:rsid w:val="009D27C7"/>
    <w:rsid w:val="009D2876"/>
    <w:rsid w:val="009D2A7C"/>
    <w:rsid w:val="009D2DFD"/>
    <w:rsid w:val="009D2EED"/>
    <w:rsid w:val="009D2FBA"/>
    <w:rsid w:val="009D3002"/>
    <w:rsid w:val="009D306A"/>
    <w:rsid w:val="009D30A5"/>
    <w:rsid w:val="009D34AD"/>
    <w:rsid w:val="009D3F7B"/>
    <w:rsid w:val="009D3F94"/>
    <w:rsid w:val="009D48F7"/>
    <w:rsid w:val="009D49A9"/>
    <w:rsid w:val="009D4C03"/>
    <w:rsid w:val="009D4E6C"/>
    <w:rsid w:val="009D5285"/>
    <w:rsid w:val="009D5380"/>
    <w:rsid w:val="009D5510"/>
    <w:rsid w:val="009D5523"/>
    <w:rsid w:val="009D5644"/>
    <w:rsid w:val="009D564F"/>
    <w:rsid w:val="009D5868"/>
    <w:rsid w:val="009D5C1A"/>
    <w:rsid w:val="009D629C"/>
    <w:rsid w:val="009D6987"/>
    <w:rsid w:val="009D6C44"/>
    <w:rsid w:val="009D6DD0"/>
    <w:rsid w:val="009D6FB4"/>
    <w:rsid w:val="009D70FF"/>
    <w:rsid w:val="009D78BF"/>
    <w:rsid w:val="009D797E"/>
    <w:rsid w:val="009D7C8E"/>
    <w:rsid w:val="009D7E30"/>
    <w:rsid w:val="009E03FE"/>
    <w:rsid w:val="009E0550"/>
    <w:rsid w:val="009E0A80"/>
    <w:rsid w:val="009E100C"/>
    <w:rsid w:val="009E156E"/>
    <w:rsid w:val="009E16CF"/>
    <w:rsid w:val="009E18F9"/>
    <w:rsid w:val="009E1937"/>
    <w:rsid w:val="009E1A35"/>
    <w:rsid w:val="009E1C00"/>
    <w:rsid w:val="009E25A3"/>
    <w:rsid w:val="009E32E6"/>
    <w:rsid w:val="009E3422"/>
    <w:rsid w:val="009E37A3"/>
    <w:rsid w:val="009E39C1"/>
    <w:rsid w:val="009E3ADD"/>
    <w:rsid w:val="009E3B45"/>
    <w:rsid w:val="009E3CDF"/>
    <w:rsid w:val="009E3D2F"/>
    <w:rsid w:val="009E3EDA"/>
    <w:rsid w:val="009E3F25"/>
    <w:rsid w:val="009E4197"/>
    <w:rsid w:val="009E4256"/>
    <w:rsid w:val="009E430C"/>
    <w:rsid w:val="009E44ED"/>
    <w:rsid w:val="009E4F25"/>
    <w:rsid w:val="009E4F85"/>
    <w:rsid w:val="009E4FB0"/>
    <w:rsid w:val="009E51DB"/>
    <w:rsid w:val="009E539C"/>
    <w:rsid w:val="009E55C6"/>
    <w:rsid w:val="009E5C8F"/>
    <w:rsid w:val="009E5DA2"/>
    <w:rsid w:val="009E5EFC"/>
    <w:rsid w:val="009E5F09"/>
    <w:rsid w:val="009E62B4"/>
    <w:rsid w:val="009E6B1E"/>
    <w:rsid w:val="009E6C11"/>
    <w:rsid w:val="009E6E72"/>
    <w:rsid w:val="009E6FA6"/>
    <w:rsid w:val="009E7668"/>
    <w:rsid w:val="009E7812"/>
    <w:rsid w:val="009E78FB"/>
    <w:rsid w:val="009E7A2A"/>
    <w:rsid w:val="009E7A7F"/>
    <w:rsid w:val="009E7F64"/>
    <w:rsid w:val="009F002E"/>
    <w:rsid w:val="009F01A9"/>
    <w:rsid w:val="009F02EE"/>
    <w:rsid w:val="009F06FF"/>
    <w:rsid w:val="009F0C04"/>
    <w:rsid w:val="009F1157"/>
    <w:rsid w:val="009F1991"/>
    <w:rsid w:val="009F1B29"/>
    <w:rsid w:val="009F2420"/>
    <w:rsid w:val="009F26BD"/>
    <w:rsid w:val="009F2C44"/>
    <w:rsid w:val="009F33F5"/>
    <w:rsid w:val="009F347A"/>
    <w:rsid w:val="009F3936"/>
    <w:rsid w:val="009F394A"/>
    <w:rsid w:val="009F421B"/>
    <w:rsid w:val="009F44A3"/>
    <w:rsid w:val="009F4528"/>
    <w:rsid w:val="009F4798"/>
    <w:rsid w:val="009F486E"/>
    <w:rsid w:val="009F49BE"/>
    <w:rsid w:val="009F4A87"/>
    <w:rsid w:val="009F4B2D"/>
    <w:rsid w:val="009F4B5A"/>
    <w:rsid w:val="009F4EA7"/>
    <w:rsid w:val="009F4F97"/>
    <w:rsid w:val="009F504B"/>
    <w:rsid w:val="009F54F3"/>
    <w:rsid w:val="009F54FA"/>
    <w:rsid w:val="009F5674"/>
    <w:rsid w:val="009F5FD4"/>
    <w:rsid w:val="009F630A"/>
    <w:rsid w:val="009F63AF"/>
    <w:rsid w:val="009F63C2"/>
    <w:rsid w:val="009F64FD"/>
    <w:rsid w:val="009F66A7"/>
    <w:rsid w:val="009F6A7B"/>
    <w:rsid w:val="009F6D69"/>
    <w:rsid w:val="009F6FBC"/>
    <w:rsid w:val="009F71D6"/>
    <w:rsid w:val="009F74F1"/>
    <w:rsid w:val="009F7DE1"/>
    <w:rsid w:val="009F7FBF"/>
    <w:rsid w:val="00A0042D"/>
    <w:rsid w:val="00A00529"/>
    <w:rsid w:val="00A007C9"/>
    <w:rsid w:val="00A00833"/>
    <w:rsid w:val="00A00A33"/>
    <w:rsid w:val="00A00D86"/>
    <w:rsid w:val="00A00F24"/>
    <w:rsid w:val="00A01253"/>
    <w:rsid w:val="00A01273"/>
    <w:rsid w:val="00A01753"/>
    <w:rsid w:val="00A0210E"/>
    <w:rsid w:val="00A02122"/>
    <w:rsid w:val="00A02344"/>
    <w:rsid w:val="00A027C9"/>
    <w:rsid w:val="00A028B6"/>
    <w:rsid w:val="00A02925"/>
    <w:rsid w:val="00A02D9D"/>
    <w:rsid w:val="00A02E60"/>
    <w:rsid w:val="00A03098"/>
    <w:rsid w:val="00A0315B"/>
    <w:rsid w:val="00A0328D"/>
    <w:rsid w:val="00A0334D"/>
    <w:rsid w:val="00A036F7"/>
    <w:rsid w:val="00A0374D"/>
    <w:rsid w:val="00A03CF8"/>
    <w:rsid w:val="00A03F0C"/>
    <w:rsid w:val="00A03F7C"/>
    <w:rsid w:val="00A04198"/>
    <w:rsid w:val="00A0422E"/>
    <w:rsid w:val="00A04465"/>
    <w:rsid w:val="00A0460B"/>
    <w:rsid w:val="00A04685"/>
    <w:rsid w:val="00A04B3E"/>
    <w:rsid w:val="00A05030"/>
    <w:rsid w:val="00A051F7"/>
    <w:rsid w:val="00A05243"/>
    <w:rsid w:val="00A052DA"/>
    <w:rsid w:val="00A052E2"/>
    <w:rsid w:val="00A05315"/>
    <w:rsid w:val="00A05509"/>
    <w:rsid w:val="00A05A3B"/>
    <w:rsid w:val="00A05B46"/>
    <w:rsid w:val="00A05C6A"/>
    <w:rsid w:val="00A05C6D"/>
    <w:rsid w:val="00A06004"/>
    <w:rsid w:val="00A062B9"/>
    <w:rsid w:val="00A0650F"/>
    <w:rsid w:val="00A06B32"/>
    <w:rsid w:val="00A06C7D"/>
    <w:rsid w:val="00A06DB4"/>
    <w:rsid w:val="00A06F75"/>
    <w:rsid w:val="00A07086"/>
    <w:rsid w:val="00A07162"/>
    <w:rsid w:val="00A07583"/>
    <w:rsid w:val="00A0775A"/>
    <w:rsid w:val="00A07A05"/>
    <w:rsid w:val="00A07E1E"/>
    <w:rsid w:val="00A07ECE"/>
    <w:rsid w:val="00A102B5"/>
    <w:rsid w:val="00A10658"/>
    <w:rsid w:val="00A10D5D"/>
    <w:rsid w:val="00A11141"/>
    <w:rsid w:val="00A1193F"/>
    <w:rsid w:val="00A11D85"/>
    <w:rsid w:val="00A11E2B"/>
    <w:rsid w:val="00A122B1"/>
    <w:rsid w:val="00A124CB"/>
    <w:rsid w:val="00A126A5"/>
    <w:rsid w:val="00A12A2E"/>
    <w:rsid w:val="00A12B85"/>
    <w:rsid w:val="00A12C88"/>
    <w:rsid w:val="00A12CE0"/>
    <w:rsid w:val="00A12D19"/>
    <w:rsid w:val="00A12E0D"/>
    <w:rsid w:val="00A13339"/>
    <w:rsid w:val="00A13426"/>
    <w:rsid w:val="00A139B9"/>
    <w:rsid w:val="00A13FB8"/>
    <w:rsid w:val="00A140C6"/>
    <w:rsid w:val="00A144A3"/>
    <w:rsid w:val="00A1477B"/>
    <w:rsid w:val="00A14964"/>
    <w:rsid w:val="00A1501D"/>
    <w:rsid w:val="00A155D1"/>
    <w:rsid w:val="00A15943"/>
    <w:rsid w:val="00A16021"/>
    <w:rsid w:val="00A16520"/>
    <w:rsid w:val="00A16AFF"/>
    <w:rsid w:val="00A16E7C"/>
    <w:rsid w:val="00A1740C"/>
    <w:rsid w:val="00A1773D"/>
    <w:rsid w:val="00A17A81"/>
    <w:rsid w:val="00A20818"/>
    <w:rsid w:val="00A208EE"/>
    <w:rsid w:val="00A20993"/>
    <w:rsid w:val="00A20BDD"/>
    <w:rsid w:val="00A20C89"/>
    <w:rsid w:val="00A21227"/>
    <w:rsid w:val="00A21420"/>
    <w:rsid w:val="00A216B8"/>
    <w:rsid w:val="00A216D7"/>
    <w:rsid w:val="00A219D9"/>
    <w:rsid w:val="00A219F0"/>
    <w:rsid w:val="00A21CAD"/>
    <w:rsid w:val="00A21CAE"/>
    <w:rsid w:val="00A21E1F"/>
    <w:rsid w:val="00A22073"/>
    <w:rsid w:val="00A22323"/>
    <w:rsid w:val="00A2254A"/>
    <w:rsid w:val="00A2271C"/>
    <w:rsid w:val="00A2288A"/>
    <w:rsid w:val="00A22AEB"/>
    <w:rsid w:val="00A22B50"/>
    <w:rsid w:val="00A22C8E"/>
    <w:rsid w:val="00A2344F"/>
    <w:rsid w:val="00A23511"/>
    <w:rsid w:val="00A23C42"/>
    <w:rsid w:val="00A23D03"/>
    <w:rsid w:val="00A23F33"/>
    <w:rsid w:val="00A23F9B"/>
    <w:rsid w:val="00A24A50"/>
    <w:rsid w:val="00A24E22"/>
    <w:rsid w:val="00A24EFC"/>
    <w:rsid w:val="00A250C2"/>
    <w:rsid w:val="00A25492"/>
    <w:rsid w:val="00A25C58"/>
    <w:rsid w:val="00A25EFD"/>
    <w:rsid w:val="00A25F1D"/>
    <w:rsid w:val="00A2627C"/>
    <w:rsid w:val="00A26BD7"/>
    <w:rsid w:val="00A26F45"/>
    <w:rsid w:val="00A26F63"/>
    <w:rsid w:val="00A2749C"/>
    <w:rsid w:val="00A27899"/>
    <w:rsid w:val="00A278DA"/>
    <w:rsid w:val="00A300A5"/>
    <w:rsid w:val="00A30910"/>
    <w:rsid w:val="00A30D8C"/>
    <w:rsid w:val="00A31392"/>
    <w:rsid w:val="00A31571"/>
    <w:rsid w:val="00A316A3"/>
    <w:rsid w:val="00A319CA"/>
    <w:rsid w:val="00A31A3F"/>
    <w:rsid w:val="00A31BB0"/>
    <w:rsid w:val="00A31C24"/>
    <w:rsid w:val="00A31F1E"/>
    <w:rsid w:val="00A32162"/>
    <w:rsid w:val="00A322C7"/>
    <w:rsid w:val="00A32E2F"/>
    <w:rsid w:val="00A32FAF"/>
    <w:rsid w:val="00A33657"/>
    <w:rsid w:val="00A338E6"/>
    <w:rsid w:val="00A33D30"/>
    <w:rsid w:val="00A33E3F"/>
    <w:rsid w:val="00A33EED"/>
    <w:rsid w:val="00A341DE"/>
    <w:rsid w:val="00A34493"/>
    <w:rsid w:val="00A34524"/>
    <w:rsid w:val="00A34548"/>
    <w:rsid w:val="00A34585"/>
    <w:rsid w:val="00A348E4"/>
    <w:rsid w:val="00A34A92"/>
    <w:rsid w:val="00A35115"/>
    <w:rsid w:val="00A3553F"/>
    <w:rsid w:val="00A356E1"/>
    <w:rsid w:val="00A3577D"/>
    <w:rsid w:val="00A357D2"/>
    <w:rsid w:val="00A35950"/>
    <w:rsid w:val="00A35BA4"/>
    <w:rsid w:val="00A36175"/>
    <w:rsid w:val="00A361F4"/>
    <w:rsid w:val="00A363BF"/>
    <w:rsid w:val="00A3646A"/>
    <w:rsid w:val="00A36638"/>
    <w:rsid w:val="00A367A9"/>
    <w:rsid w:val="00A36BB2"/>
    <w:rsid w:val="00A36BE9"/>
    <w:rsid w:val="00A36E27"/>
    <w:rsid w:val="00A372CB"/>
    <w:rsid w:val="00A3747D"/>
    <w:rsid w:val="00A37560"/>
    <w:rsid w:val="00A37851"/>
    <w:rsid w:val="00A378F9"/>
    <w:rsid w:val="00A4036B"/>
    <w:rsid w:val="00A40435"/>
    <w:rsid w:val="00A405D8"/>
    <w:rsid w:val="00A409FB"/>
    <w:rsid w:val="00A40FC4"/>
    <w:rsid w:val="00A41013"/>
    <w:rsid w:val="00A418CB"/>
    <w:rsid w:val="00A4193A"/>
    <w:rsid w:val="00A41946"/>
    <w:rsid w:val="00A41A69"/>
    <w:rsid w:val="00A41BB3"/>
    <w:rsid w:val="00A41FDF"/>
    <w:rsid w:val="00A4205B"/>
    <w:rsid w:val="00A420FB"/>
    <w:rsid w:val="00A42205"/>
    <w:rsid w:val="00A423BA"/>
    <w:rsid w:val="00A4276F"/>
    <w:rsid w:val="00A42D93"/>
    <w:rsid w:val="00A434A5"/>
    <w:rsid w:val="00A43820"/>
    <w:rsid w:val="00A43AD1"/>
    <w:rsid w:val="00A43B96"/>
    <w:rsid w:val="00A44696"/>
    <w:rsid w:val="00A447DF"/>
    <w:rsid w:val="00A44C13"/>
    <w:rsid w:val="00A44C40"/>
    <w:rsid w:val="00A44D33"/>
    <w:rsid w:val="00A44D95"/>
    <w:rsid w:val="00A44E7E"/>
    <w:rsid w:val="00A45542"/>
    <w:rsid w:val="00A45774"/>
    <w:rsid w:val="00A45B83"/>
    <w:rsid w:val="00A4605C"/>
    <w:rsid w:val="00A46180"/>
    <w:rsid w:val="00A463A1"/>
    <w:rsid w:val="00A46689"/>
    <w:rsid w:val="00A466BC"/>
    <w:rsid w:val="00A4677F"/>
    <w:rsid w:val="00A468ED"/>
    <w:rsid w:val="00A46C58"/>
    <w:rsid w:val="00A46EB7"/>
    <w:rsid w:val="00A471BE"/>
    <w:rsid w:val="00A472CA"/>
    <w:rsid w:val="00A476D0"/>
    <w:rsid w:val="00A47DEB"/>
    <w:rsid w:val="00A47DFA"/>
    <w:rsid w:val="00A47F88"/>
    <w:rsid w:val="00A508D3"/>
    <w:rsid w:val="00A5095A"/>
    <w:rsid w:val="00A50B4B"/>
    <w:rsid w:val="00A50BFE"/>
    <w:rsid w:val="00A50D4A"/>
    <w:rsid w:val="00A50E89"/>
    <w:rsid w:val="00A50FFB"/>
    <w:rsid w:val="00A511C7"/>
    <w:rsid w:val="00A5149B"/>
    <w:rsid w:val="00A5153E"/>
    <w:rsid w:val="00A51636"/>
    <w:rsid w:val="00A516D6"/>
    <w:rsid w:val="00A51845"/>
    <w:rsid w:val="00A519F1"/>
    <w:rsid w:val="00A51B37"/>
    <w:rsid w:val="00A51DB9"/>
    <w:rsid w:val="00A51F27"/>
    <w:rsid w:val="00A5248A"/>
    <w:rsid w:val="00A52499"/>
    <w:rsid w:val="00A528B6"/>
    <w:rsid w:val="00A52943"/>
    <w:rsid w:val="00A529C2"/>
    <w:rsid w:val="00A529D0"/>
    <w:rsid w:val="00A52A71"/>
    <w:rsid w:val="00A52B9E"/>
    <w:rsid w:val="00A52D54"/>
    <w:rsid w:val="00A5308F"/>
    <w:rsid w:val="00A53B6F"/>
    <w:rsid w:val="00A53C78"/>
    <w:rsid w:val="00A53E6F"/>
    <w:rsid w:val="00A54366"/>
    <w:rsid w:val="00A5455D"/>
    <w:rsid w:val="00A54951"/>
    <w:rsid w:val="00A54D67"/>
    <w:rsid w:val="00A559E3"/>
    <w:rsid w:val="00A55C49"/>
    <w:rsid w:val="00A56214"/>
    <w:rsid w:val="00A5622E"/>
    <w:rsid w:val="00A563D7"/>
    <w:rsid w:val="00A56539"/>
    <w:rsid w:val="00A56B75"/>
    <w:rsid w:val="00A56B84"/>
    <w:rsid w:val="00A56CD3"/>
    <w:rsid w:val="00A570E7"/>
    <w:rsid w:val="00A5715F"/>
    <w:rsid w:val="00A572FF"/>
    <w:rsid w:val="00A573CD"/>
    <w:rsid w:val="00A573FB"/>
    <w:rsid w:val="00A574EE"/>
    <w:rsid w:val="00A57888"/>
    <w:rsid w:val="00A57A39"/>
    <w:rsid w:val="00A57BC4"/>
    <w:rsid w:val="00A603E4"/>
    <w:rsid w:val="00A607CE"/>
    <w:rsid w:val="00A608F5"/>
    <w:rsid w:val="00A6095E"/>
    <w:rsid w:val="00A60A8B"/>
    <w:rsid w:val="00A60AD6"/>
    <w:rsid w:val="00A60E90"/>
    <w:rsid w:val="00A60FFE"/>
    <w:rsid w:val="00A618AC"/>
    <w:rsid w:val="00A6193A"/>
    <w:rsid w:val="00A61C2B"/>
    <w:rsid w:val="00A61CE2"/>
    <w:rsid w:val="00A61F50"/>
    <w:rsid w:val="00A620F1"/>
    <w:rsid w:val="00A629DD"/>
    <w:rsid w:val="00A62A4C"/>
    <w:rsid w:val="00A62B1B"/>
    <w:rsid w:val="00A62CDD"/>
    <w:rsid w:val="00A62F59"/>
    <w:rsid w:val="00A63021"/>
    <w:rsid w:val="00A633DA"/>
    <w:rsid w:val="00A63429"/>
    <w:rsid w:val="00A636C4"/>
    <w:rsid w:val="00A63BBF"/>
    <w:rsid w:val="00A63BE2"/>
    <w:rsid w:val="00A63C2E"/>
    <w:rsid w:val="00A64020"/>
    <w:rsid w:val="00A6421F"/>
    <w:rsid w:val="00A64331"/>
    <w:rsid w:val="00A64651"/>
    <w:rsid w:val="00A64728"/>
    <w:rsid w:val="00A647F9"/>
    <w:rsid w:val="00A64AB2"/>
    <w:rsid w:val="00A64BD9"/>
    <w:rsid w:val="00A64D45"/>
    <w:rsid w:val="00A64DDC"/>
    <w:rsid w:val="00A650EE"/>
    <w:rsid w:val="00A65A0E"/>
    <w:rsid w:val="00A65A95"/>
    <w:rsid w:val="00A65ACB"/>
    <w:rsid w:val="00A65B80"/>
    <w:rsid w:val="00A65C6E"/>
    <w:rsid w:val="00A66303"/>
    <w:rsid w:val="00A66565"/>
    <w:rsid w:val="00A665C6"/>
    <w:rsid w:val="00A67091"/>
    <w:rsid w:val="00A672CD"/>
    <w:rsid w:val="00A67362"/>
    <w:rsid w:val="00A6737D"/>
    <w:rsid w:val="00A67406"/>
    <w:rsid w:val="00A6788B"/>
    <w:rsid w:val="00A67BC3"/>
    <w:rsid w:val="00A70009"/>
    <w:rsid w:val="00A70079"/>
    <w:rsid w:val="00A7012F"/>
    <w:rsid w:val="00A709AD"/>
    <w:rsid w:val="00A70CD4"/>
    <w:rsid w:val="00A70F34"/>
    <w:rsid w:val="00A7101A"/>
    <w:rsid w:val="00A7127D"/>
    <w:rsid w:val="00A714D5"/>
    <w:rsid w:val="00A715C7"/>
    <w:rsid w:val="00A7168E"/>
    <w:rsid w:val="00A71803"/>
    <w:rsid w:val="00A719F8"/>
    <w:rsid w:val="00A71D2D"/>
    <w:rsid w:val="00A71E6C"/>
    <w:rsid w:val="00A71EF0"/>
    <w:rsid w:val="00A71F4A"/>
    <w:rsid w:val="00A7201E"/>
    <w:rsid w:val="00A7213F"/>
    <w:rsid w:val="00A7234C"/>
    <w:rsid w:val="00A7243E"/>
    <w:rsid w:val="00A724B6"/>
    <w:rsid w:val="00A7273C"/>
    <w:rsid w:val="00A72786"/>
    <w:rsid w:val="00A728A5"/>
    <w:rsid w:val="00A72DB4"/>
    <w:rsid w:val="00A72E06"/>
    <w:rsid w:val="00A7320F"/>
    <w:rsid w:val="00A73420"/>
    <w:rsid w:val="00A73536"/>
    <w:rsid w:val="00A73A07"/>
    <w:rsid w:val="00A73A7F"/>
    <w:rsid w:val="00A741FF"/>
    <w:rsid w:val="00A742F0"/>
    <w:rsid w:val="00A7473E"/>
    <w:rsid w:val="00A74855"/>
    <w:rsid w:val="00A74CCD"/>
    <w:rsid w:val="00A74D14"/>
    <w:rsid w:val="00A75280"/>
    <w:rsid w:val="00A7578F"/>
    <w:rsid w:val="00A757CD"/>
    <w:rsid w:val="00A75825"/>
    <w:rsid w:val="00A75997"/>
    <w:rsid w:val="00A75A13"/>
    <w:rsid w:val="00A75B67"/>
    <w:rsid w:val="00A75C28"/>
    <w:rsid w:val="00A75F2D"/>
    <w:rsid w:val="00A76DBC"/>
    <w:rsid w:val="00A770E7"/>
    <w:rsid w:val="00A774BA"/>
    <w:rsid w:val="00A77C19"/>
    <w:rsid w:val="00A77FCB"/>
    <w:rsid w:val="00A8007F"/>
    <w:rsid w:val="00A80891"/>
    <w:rsid w:val="00A80ACE"/>
    <w:rsid w:val="00A80B97"/>
    <w:rsid w:val="00A80BB8"/>
    <w:rsid w:val="00A80E6F"/>
    <w:rsid w:val="00A811B5"/>
    <w:rsid w:val="00A812DE"/>
    <w:rsid w:val="00A81625"/>
    <w:rsid w:val="00A81AB8"/>
    <w:rsid w:val="00A81E7D"/>
    <w:rsid w:val="00A820B9"/>
    <w:rsid w:val="00A825CF"/>
    <w:rsid w:val="00A82B9B"/>
    <w:rsid w:val="00A82BEC"/>
    <w:rsid w:val="00A82CA2"/>
    <w:rsid w:val="00A82DCC"/>
    <w:rsid w:val="00A830ED"/>
    <w:rsid w:val="00A83288"/>
    <w:rsid w:val="00A83AF8"/>
    <w:rsid w:val="00A83B23"/>
    <w:rsid w:val="00A83BCA"/>
    <w:rsid w:val="00A83D94"/>
    <w:rsid w:val="00A83FB9"/>
    <w:rsid w:val="00A84171"/>
    <w:rsid w:val="00A84175"/>
    <w:rsid w:val="00A8423B"/>
    <w:rsid w:val="00A845E7"/>
    <w:rsid w:val="00A84908"/>
    <w:rsid w:val="00A84D6D"/>
    <w:rsid w:val="00A85455"/>
    <w:rsid w:val="00A8560C"/>
    <w:rsid w:val="00A85A09"/>
    <w:rsid w:val="00A85C3B"/>
    <w:rsid w:val="00A86683"/>
    <w:rsid w:val="00A86861"/>
    <w:rsid w:val="00A86A4D"/>
    <w:rsid w:val="00A86DC5"/>
    <w:rsid w:val="00A86F2C"/>
    <w:rsid w:val="00A8718E"/>
    <w:rsid w:val="00A8771D"/>
    <w:rsid w:val="00A878D5"/>
    <w:rsid w:val="00A87DD2"/>
    <w:rsid w:val="00A901B5"/>
    <w:rsid w:val="00A901EC"/>
    <w:rsid w:val="00A90425"/>
    <w:rsid w:val="00A906BB"/>
    <w:rsid w:val="00A90CEE"/>
    <w:rsid w:val="00A9102A"/>
    <w:rsid w:val="00A91169"/>
    <w:rsid w:val="00A911EA"/>
    <w:rsid w:val="00A91268"/>
    <w:rsid w:val="00A915B4"/>
    <w:rsid w:val="00A91750"/>
    <w:rsid w:val="00A917CB"/>
    <w:rsid w:val="00A91C5F"/>
    <w:rsid w:val="00A91D4C"/>
    <w:rsid w:val="00A92347"/>
    <w:rsid w:val="00A9279C"/>
    <w:rsid w:val="00A928CB"/>
    <w:rsid w:val="00A92A57"/>
    <w:rsid w:val="00A92E48"/>
    <w:rsid w:val="00A92E49"/>
    <w:rsid w:val="00A92E92"/>
    <w:rsid w:val="00A92FB9"/>
    <w:rsid w:val="00A933C0"/>
    <w:rsid w:val="00A936DB"/>
    <w:rsid w:val="00A937E7"/>
    <w:rsid w:val="00A937ED"/>
    <w:rsid w:val="00A93805"/>
    <w:rsid w:val="00A93C4B"/>
    <w:rsid w:val="00A93E5E"/>
    <w:rsid w:val="00A93ED5"/>
    <w:rsid w:val="00A93F04"/>
    <w:rsid w:val="00A94145"/>
    <w:rsid w:val="00A942E4"/>
    <w:rsid w:val="00A9434C"/>
    <w:rsid w:val="00A9485E"/>
    <w:rsid w:val="00A94968"/>
    <w:rsid w:val="00A94A5F"/>
    <w:rsid w:val="00A95193"/>
    <w:rsid w:val="00A9534C"/>
    <w:rsid w:val="00A956A4"/>
    <w:rsid w:val="00A95924"/>
    <w:rsid w:val="00A95957"/>
    <w:rsid w:val="00A95A7B"/>
    <w:rsid w:val="00A95B1A"/>
    <w:rsid w:val="00A96055"/>
    <w:rsid w:val="00A9607F"/>
    <w:rsid w:val="00A96286"/>
    <w:rsid w:val="00A9656C"/>
    <w:rsid w:val="00A96C2C"/>
    <w:rsid w:val="00A97008"/>
    <w:rsid w:val="00A977B8"/>
    <w:rsid w:val="00A97B33"/>
    <w:rsid w:val="00A97B60"/>
    <w:rsid w:val="00A97C11"/>
    <w:rsid w:val="00A97DBB"/>
    <w:rsid w:val="00AA0630"/>
    <w:rsid w:val="00AA0693"/>
    <w:rsid w:val="00AA06F0"/>
    <w:rsid w:val="00AA0731"/>
    <w:rsid w:val="00AA0937"/>
    <w:rsid w:val="00AA09F2"/>
    <w:rsid w:val="00AA0AAD"/>
    <w:rsid w:val="00AA0D5C"/>
    <w:rsid w:val="00AA0FDA"/>
    <w:rsid w:val="00AA1248"/>
    <w:rsid w:val="00AA12D7"/>
    <w:rsid w:val="00AA13AB"/>
    <w:rsid w:val="00AA1B46"/>
    <w:rsid w:val="00AA1F5E"/>
    <w:rsid w:val="00AA21B4"/>
    <w:rsid w:val="00AA24E4"/>
    <w:rsid w:val="00AA2F1B"/>
    <w:rsid w:val="00AA30E7"/>
    <w:rsid w:val="00AA31B3"/>
    <w:rsid w:val="00AA321E"/>
    <w:rsid w:val="00AA3243"/>
    <w:rsid w:val="00AA3289"/>
    <w:rsid w:val="00AA3E1E"/>
    <w:rsid w:val="00AA3F34"/>
    <w:rsid w:val="00AA3F73"/>
    <w:rsid w:val="00AA405B"/>
    <w:rsid w:val="00AA4145"/>
    <w:rsid w:val="00AA4170"/>
    <w:rsid w:val="00AA446E"/>
    <w:rsid w:val="00AA4603"/>
    <w:rsid w:val="00AA46F6"/>
    <w:rsid w:val="00AA4734"/>
    <w:rsid w:val="00AA4877"/>
    <w:rsid w:val="00AA4DCB"/>
    <w:rsid w:val="00AA50B8"/>
    <w:rsid w:val="00AA50D2"/>
    <w:rsid w:val="00AA540E"/>
    <w:rsid w:val="00AA5485"/>
    <w:rsid w:val="00AA59C7"/>
    <w:rsid w:val="00AA5C7F"/>
    <w:rsid w:val="00AA5C99"/>
    <w:rsid w:val="00AA5DC6"/>
    <w:rsid w:val="00AA5DE1"/>
    <w:rsid w:val="00AA5E29"/>
    <w:rsid w:val="00AA5E6D"/>
    <w:rsid w:val="00AA6051"/>
    <w:rsid w:val="00AA6066"/>
    <w:rsid w:val="00AA6118"/>
    <w:rsid w:val="00AA6176"/>
    <w:rsid w:val="00AA6249"/>
    <w:rsid w:val="00AA6574"/>
    <w:rsid w:val="00AA66EC"/>
    <w:rsid w:val="00AA6935"/>
    <w:rsid w:val="00AA6E7F"/>
    <w:rsid w:val="00AA6EBB"/>
    <w:rsid w:val="00AA7312"/>
    <w:rsid w:val="00AA7728"/>
    <w:rsid w:val="00AA7733"/>
    <w:rsid w:val="00AA7744"/>
    <w:rsid w:val="00AA7A95"/>
    <w:rsid w:val="00AA7B66"/>
    <w:rsid w:val="00AA7DE1"/>
    <w:rsid w:val="00AB03C5"/>
    <w:rsid w:val="00AB0892"/>
    <w:rsid w:val="00AB0A56"/>
    <w:rsid w:val="00AB0EC7"/>
    <w:rsid w:val="00AB0FA9"/>
    <w:rsid w:val="00AB1080"/>
    <w:rsid w:val="00AB11DB"/>
    <w:rsid w:val="00AB130E"/>
    <w:rsid w:val="00AB138E"/>
    <w:rsid w:val="00AB1430"/>
    <w:rsid w:val="00AB14D0"/>
    <w:rsid w:val="00AB1587"/>
    <w:rsid w:val="00AB15F3"/>
    <w:rsid w:val="00AB1706"/>
    <w:rsid w:val="00AB1842"/>
    <w:rsid w:val="00AB1CAB"/>
    <w:rsid w:val="00AB1D6C"/>
    <w:rsid w:val="00AB251F"/>
    <w:rsid w:val="00AB2850"/>
    <w:rsid w:val="00AB2B4F"/>
    <w:rsid w:val="00AB2B6E"/>
    <w:rsid w:val="00AB3104"/>
    <w:rsid w:val="00AB3224"/>
    <w:rsid w:val="00AB3263"/>
    <w:rsid w:val="00AB33B4"/>
    <w:rsid w:val="00AB344E"/>
    <w:rsid w:val="00AB367A"/>
    <w:rsid w:val="00AB36BC"/>
    <w:rsid w:val="00AB38D3"/>
    <w:rsid w:val="00AB3D24"/>
    <w:rsid w:val="00AB3FAD"/>
    <w:rsid w:val="00AB44F1"/>
    <w:rsid w:val="00AB489A"/>
    <w:rsid w:val="00AB48B2"/>
    <w:rsid w:val="00AB494A"/>
    <w:rsid w:val="00AB4B00"/>
    <w:rsid w:val="00AB5016"/>
    <w:rsid w:val="00AB5187"/>
    <w:rsid w:val="00AB53DA"/>
    <w:rsid w:val="00AB53F4"/>
    <w:rsid w:val="00AB575F"/>
    <w:rsid w:val="00AB5B0D"/>
    <w:rsid w:val="00AB5C43"/>
    <w:rsid w:val="00AB600E"/>
    <w:rsid w:val="00AB6035"/>
    <w:rsid w:val="00AB6158"/>
    <w:rsid w:val="00AB6379"/>
    <w:rsid w:val="00AB6392"/>
    <w:rsid w:val="00AB643B"/>
    <w:rsid w:val="00AB65EA"/>
    <w:rsid w:val="00AB66F6"/>
    <w:rsid w:val="00AB6853"/>
    <w:rsid w:val="00AB6E10"/>
    <w:rsid w:val="00AB6F18"/>
    <w:rsid w:val="00AB7013"/>
    <w:rsid w:val="00AB75D1"/>
    <w:rsid w:val="00AB7705"/>
    <w:rsid w:val="00AB7A6A"/>
    <w:rsid w:val="00AB7AD8"/>
    <w:rsid w:val="00AB7B24"/>
    <w:rsid w:val="00AB7D12"/>
    <w:rsid w:val="00AB7DA7"/>
    <w:rsid w:val="00AB7DDF"/>
    <w:rsid w:val="00AB7F1C"/>
    <w:rsid w:val="00AC01A9"/>
    <w:rsid w:val="00AC0214"/>
    <w:rsid w:val="00AC0698"/>
    <w:rsid w:val="00AC077A"/>
    <w:rsid w:val="00AC08D0"/>
    <w:rsid w:val="00AC0A26"/>
    <w:rsid w:val="00AC1A2B"/>
    <w:rsid w:val="00AC1A38"/>
    <w:rsid w:val="00AC1ED7"/>
    <w:rsid w:val="00AC2182"/>
    <w:rsid w:val="00AC2268"/>
    <w:rsid w:val="00AC23A7"/>
    <w:rsid w:val="00AC2427"/>
    <w:rsid w:val="00AC2673"/>
    <w:rsid w:val="00AC2704"/>
    <w:rsid w:val="00AC2AC7"/>
    <w:rsid w:val="00AC2B04"/>
    <w:rsid w:val="00AC2B79"/>
    <w:rsid w:val="00AC2C9F"/>
    <w:rsid w:val="00AC317E"/>
    <w:rsid w:val="00AC3689"/>
    <w:rsid w:val="00AC36DB"/>
    <w:rsid w:val="00AC3974"/>
    <w:rsid w:val="00AC3BFF"/>
    <w:rsid w:val="00AC3C39"/>
    <w:rsid w:val="00AC3D9B"/>
    <w:rsid w:val="00AC4050"/>
    <w:rsid w:val="00AC4886"/>
    <w:rsid w:val="00AC4ED2"/>
    <w:rsid w:val="00AC4EDF"/>
    <w:rsid w:val="00AC582A"/>
    <w:rsid w:val="00AC5CFF"/>
    <w:rsid w:val="00AC5E5B"/>
    <w:rsid w:val="00AC63EF"/>
    <w:rsid w:val="00AC64FB"/>
    <w:rsid w:val="00AC6619"/>
    <w:rsid w:val="00AC6C36"/>
    <w:rsid w:val="00AC6CFA"/>
    <w:rsid w:val="00AC7123"/>
    <w:rsid w:val="00AC7321"/>
    <w:rsid w:val="00AC7383"/>
    <w:rsid w:val="00AC74B4"/>
    <w:rsid w:val="00AC76D7"/>
    <w:rsid w:val="00AC7778"/>
    <w:rsid w:val="00AC797A"/>
    <w:rsid w:val="00AC7A3C"/>
    <w:rsid w:val="00AC7AB5"/>
    <w:rsid w:val="00AC7B48"/>
    <w:rsid w:val="00AC7F33"/>
    <w:rsid w:val="00AD03EF"/>
    <w:rsid w:val="00AD078F"/>
    <w:rsid w:val="00AD0892"/>
    <w:rsid w:val="00AD0C42"/>
    <w:rsid w:val="00AD0DC6"/>
    <w:rsid w:val="00AD1005"/>
    <w:rsid w:val="00AD14FF"/>
    <w:rsid w:val="00AD18B3"/>
    <w:rsid w:val="00AD19D3"/>
    <w:rsid w:val="00AD1AEB"/>
    <w:rsid w:val="00AD1C7C"/>
    <w:rsid w:val="00AD1F93"/>
    <w:rsid w:val="00AD21F4"/>
    <w:rsid w:val="00AD2375"/>
    <w:rsid w:val="00AD26DE"/>
    <w:rsid w:val="00AD2AF3"/>
    <w:rsid w:val="00AD2E09"/>
    <w:rsid w:val="00AD30CC"/>
    <w:rsid w:val="00AD3394"/>
    <w:rsid w:val="00AD3469"/>
    <w:rsid w:val="00AD35C7"/>
    <w:rsid w:val="00AD3888"/>
    <w:rsid w:val="00AD3B00"/>
    <w:rsid w:val="00AD3D8F"/>
    <w:rsid w:val="00AD3F20"/>
    <w:rsid w:val="00AD42F2"/>
    <w:rsid w:val="00AD4469"/>
    <w:rsid w:val="00AD45FD"/>
    <w:rsid w:val="00AD46E1"/>
    <w:rsid w:val="00AD4A9F"/>
    <w:rsid w:val="00AD5587"/>
    <w:rsid w:val="00AD594E"/>
    <w:rsid w:val="00AD5A3A"/>
    <w:rsid w:val="00AD605D"/>
    <w:rsid w:val="00AD67BC"/>
    <w:rsid w:val="00AD683B"/>
    <w:rsid w:val="00AD695C"/>
    <w:rsid w:val="00AD69C3"/>
    <w:rsid w:val="00AD6B7C"/>
    <w:rsid w:val="00AD6CCA"/>
    <w:rsid w:val="00AD6F0D"/>
    <w:rsid w:val="00AD6FE4"/>
    <w:rsid w:val="00AD751C"/>
    <w:rsid w:val="00AD757B"/>
    <w:rsid w:val="00AD781F"/>
    <w:rsid w:val="00AD7834"/>
    <w:rsid w:val="00AD79B5"/>
    <w:rsid w:val="00AD7C0D"/>
    <w:rsid w:val="00AD7D34"/>
    <w:rsid w:val="00AD7FE8"/>
    <w:rsid w:val="00AE0649"/>
    <w:rsid w:val="00AE07CC"/>
    <w:rsid w:val="00AE0E09"/>
    <w:rsid w:val="00AE10C7"/>
    <w:rsid w:val="00AE114C"/>
    <w:rsid w:val="00AE1974"/>
    <w:rsid w:val="00AE1CB4"/>
    <w:rsid w:val="00AE1D11"/>
    <w:rsid w:val="00AE1E0F"/>
    <w:rsid w:val="00AE1E7C"/>
    <w:rsid w:val="00AE20B3"/>
    <w:rsid w:val="00AE2119"/>
    <w:rsid w:val="00AE2390"/>
    <w:rsid w:val="00AE274E"/>
    <w:rsid w:val="00AE2E84"/>
    <w:rsid w:val="00AE300E"/>
    <w:rsid w:val="00AE30D1"/>
    <w:rsid w:val="00AE30E5"/>
    <w:rsid w:val="00AE3171"/>
    <w:rsid w:val="00AE323B"/>
    <w:rsid w:val="00AE34BC"/>
    <w:rsid w:val="00AE3A3C"/>
    <w:rsid w:val="00AE3B43"/>
    <w:rsid w:val="00AE3C65"/>
    <w:rsid w:val="00AE3E2C"/>
    <w:rsid w:val="00AE4021"/>
    <w:rsid w:val="00AE475E"/>
    <w:rsid w:val="00AE490E"/>
    <w:rsid w:val="00AE4AFD"/>
    <w:rsid w:val="00AE4BA7"/>
    <w:rsid w:val="00AE4BB6"/>
    <w:rsid w:val="00AE4C30"/>
    <w:rsid w:val="00AE526F"/>
    <w:rsid w:val="00AE5289"/>
    <w:rsid w:val="00AE5754"/>
    <w:rsid w:val="00AE5A05"/>
    <w:rsid w:val="00AE629D"/>
    <w:rsid w:val="00AE6371"/>
    <w:rsid w:val="00AE68A4"/>
    <w:rsid w:val="00AE6A43"/>
    <w:rsid w:val="00AE6C84"/>
    <w:rsid w:val="00AE76F6"/>
    <w:rsid w:val="00AE77CD"/>
    <w:rsid w:val="00AE790D"/>
    <w:rsid w:val="00AE7E83"/>
    <w:rsid w:val="00AE7F1B"/>
    <w:rsid w:val="00AF01B4"/>
    <w:rsid w:val="00AF0438"/>
    <w:rsid w:val="00AF0630"/>
    <w:rsid w:val="00AF07BB"/>
    <w:rsid w:val="00AF0991"/>
    <w:rsid w:val="00AF0A06"/>
    <w:rsid w:val="00AF0DB0"/>
    <w:rsid w:val="00AF0DB6"/>
    <w:rsid w:val="00AF0FA3"/>
    <w:rsid w:val="00AF10EB"/>
    <w:rsid w:val="00AF1126"/>
    <w:rsid w:val="00AF1702"/>
    <w:rsid w:val="00AF17C1"/>
    <w:rsid w:val="00AF1905"/>
    <w:rsid w:val="00AF1940"/>
    <w:rsid w:val="00AF1BDE"/>
    <w:rsid w:val="00AF1F3E"/>
    <w:rsid w:val="00AF286F"/>
    <w:rsid w:val="00AF2889"/>
    <w:rsid w:val="00AF2930"/>
    <w:rsid w:val="00AF2B00"/>
    <w:rsid w:val="00AF2C1C"/>
    <w:rsid w:val="00AF2CB6"/>
    <w:rsid w:val="00AF3084"/>
    <w:rsid w:val="00AF3306"/>
    <w:rsid w:val="00AF330C"/>
    <w:rsid w:val="00AF335D"/>
    <w:rsid w:val="00AF37BE"/>
    <w:rsid w:val="00AF43FC"/>
    <w:rsid w:val="00AF443D"/>
    <w:rsid w:val="00AF4BBD"/>
    <w:rsid w:val="00AF4CD0"/>
    <w:rsid w:val="00AF4E92"/>
    <w:rsid w:val="00AF528F"/>
    <w:rsid w:val="00AF5338"/>
    <w:rsid w:val="00AF538C"/>
    <w:rsid w:val="00AF5982"/>
    <w:rsid w:val="00AF5F81"/>
    <w:rsid w:val="00AF5FC1"/>
    <w:rsid w:val="00AF601A"/>
    <w:rsid w:val="00AF6199"/>
    <w:rsid w:val="00AF63E4"/>
    <w:rsid w:val="00AF64B1"/>
    <w:rsid w:val="00AF6805"/>
    <w:rsid w:val="00AF682D"/>
    <w:rsid w:val="00AF69FE"/>
    <w:rsid w:val="00AF6C41"/>
    <w:rsid w:val="00AF6FAC"/>
    <w:rsid w:val="00AF7234"/>
    <w:rsid w:val="00AF74E1"/>
    <w:rsid w:val="00AF7507"/>
    <w:rsid w:val="00AF767C"/>
    <w:rsid w:val="00AF79A9"/>
    <w:rsid w:val="00AF7B81"/>
    <w:rsid w:val="00AF7BB0"/>
    <w:rsid w:val="00AF7D4E"/>
    <w:rsid w:val="00B00217"/>
    <w:rsid w:val="00B003EB"/>
    <w:rsid w:val="00B0054F"/>
    <w:rsid w:val="00B00974"/>
    <w:rsid w:val="00B01228"/>
    <w:rsid w:val="00B0137A"/>
    <w:rsid w:val="00B015E4"/>
    <w:rsid w:val="00B01B70"/>
    <w:rsid w:val="00B01E16"/>
    <w:rsid w:val="00B02065"/>
    <w:rsid w:val="00B0219C"/>
    <w:rsid w:val="00B0223D"/>
    <w:rsid w:val="00B0282B"/>
    <w:rsid w:val="00B02905"/>
    <w:rsid w:val="00B02B21"/>
    <w:rsid w:val="00B02D4B"/>
    <w:rsid w:val="00B02F31"/>
    <w:rsid w:val="00B02FF1"/>
    <w:rsid w:val="00B03285"/>
    <w:rsid w:val="00B03465"/>
    <w:rsid w:val="00B03506"/>
    <w:rsid w:val="00B03580"/>
    <w:rsid w:val="00B03839"/>
    <w:rsid w:val="00B03C6E"/>
    <w:rsid w:val="00B03E42"/>
    <w:rsid w:val="00B03EEA"/>
    <w:rsid w:val="00B03FBE"/>
    <w:rsid w:val="00B04240"/>
    <w:rsid w:val="00B04288"/>
    <w:rsid w:val="00B043E9"/>
    <w:rsid w:val="00B04557"/>
    <w:rsid w:val="00B04A37"/>
    <w:rsid w:val="00B04A43"/>
    <w:rsid w:val="00B04AD6"/>
    <w:rsid w:val="00B04D78"/>
    <w:rsid w:val="00B04FC7"/>
    <w:rsid w:val="00B05167"/>
    <w:rsid w:val="00B054DC"/>
    <w:rsid w:val="00B0563F"/>
    <w:rsid w:val="00B056C0"/>
    <w:rsid w:val="00B05725"/>
    <w:rsid w:val="00B05A10"/>
    <w:rsid w:val="00B05CAB"/>
    <w:rsid w:val="00B05E07"/>
    <w:rsid w:val="00B05E41"/>
    <w:rsid w:val="00B05F09"/>
    <w:rsid w:val="00B06855"/>
    <w:rsid w:val="00B0694F"/>
    <w:rsid w:val="00B06A6E"/>
    <w:rsid w:val="00B06D55"/>
    <w:rsid w:val="00B07061"/>
    <w:rsid w:val="00B07113"/>
    <w:rsid w:val="00B0714E"/>
    <w:rsid w:val="00B07346"/>
    <w:rsid w:val="00B074B6"/>
    <w:rsid w:val="00B076C8"/>
    <w:rsid w:val="00B07840"/>
    <w:rsid w:val="00B078AC"/>
    <w:rsid w:val="00B079DF"/>
    <w:rsid w:val="00B07E32"/>
    <w:rsid w:val="00B07EDA"/>
    <w:rsid w:val="00B104A8"/>
    <w:rsid w:val="00B10A95"/>
    <w:rsid w:val="00B10B9B"/>
    <w:rsid w:val="00B10C05"/>
    <w:rsid w:val="00B10C30"/>
    <w:rsid w:val="00B10D64"/>
    <w:rsid w:val="00B111A6"/>
    <w:rsid w:val="00B11322"/>
    <w:rsid w:val="00B118E3"/>
    <w:rsid w:val="00B11A68"/>
    <w:rsid w:val="00B11C62"/>
    <w:rsid w:val="00B12181"/>
    <w:rsid w:val="00B12185"/>
    <w:rsid w:val="00B122B8"/>
    <w:rsid w:val="00B124D9"/>
    <w:rsid w:val="00B13098"/>
    <w:rsid w:val="00B13124"/>
    <w:rsid w:val="00B13149"/>
    <w:rsid w:val="00B132BE"/>
    <w:rsid w:val="00B1362E"/>
    <w:rsid w:val="00B137D5"/>
    <w:rsid w:val="00B13C9E"/>
    <w:rsid w:val="00B13CBF"/>
    <w:rsid w:val="00B143C9"/>
    <w:rsid w:val="00B143EC"/>
    <w:rsid w:val="00B14AA8"/>
    <w:rsid w:val="00B150F4"/>
    <w:rsid w:val="00B15192"/>
    <w:rsid w:val="00B156FF"/>
    <w:rsid w:val="00B1588E"/>
    <w:rsid w:val="00B15A0A"/>
    <w:rsid w:val="00B15A0D"/>
    <w:rsid w:val="00B15D1D"/>
    <w:rsid w:val="00B15D8C"/>
    <w:rsid w:val="00B16556"/>
    <w:rsid w:val="00B16573"/>
    <w:rsid w:val="00B16928"/>
    <w:rsid w:val="00B16A59"/>
    <w:rsid w:val="00B16CD5"/>
    <w:rsid w:val="00B16E22"/>
    <w:rsid w:val="00B16EDC"/>
    <w:rsid w:val="00B16F1A"/>
    <w:rsid w:val="00B17046"/>
    <w:rsid w:val="00B17062"/>
    <w:rsid w:val="00B1719B"/>
    <w:rsid w:val="00B172D3"/>
    <w:rsid w:val="00B172E2"/>
    <w:rsid w:val="00B173B5"/>
    <w:rsid w:val="00B17419"/>
    <w:rsid w:val="00B1741F"/>
    <w:rsid w:val="00B1782D"/>
    <w:rsid w:val="00B17861"/>
    <w:rsid w:val="00B17934"/>
    <w:rsid w:val="00B17C6B"/>
    <w:rsid w:val="00B17EEF"/>
    <w:rsid w:val="00B202FB"/>
    <w:rsid w:val="00B204CB"/>
    <w:rsid w:val="00B205A9"/>
    <w:rsid w:val="00B20716"/>
    <w:rsid w:val="00B20D9F"/>
    <w:rsid w:val="00B20F43"/>
    <w:rsid w:val="00B20FA1"/>
    <w:rsid w:val="00B211C2"/>
    <w:rsid w:val="00B21385"/>
    <w:rsid w:val="00B21388"/>
    <w:rsid w:val="00B21E19"/>
    <w:rsid w:val="00B21F24"/>
    <w:rsid w:val="00B225D4"/>
    <w:rsid w:val="00B226AD"/>
    <w:rsid w:val="00B228C1"/>
    <w:rsid w:val="00B22D05"/>
    <w:rsid w:val="00B2316E"/>
    <w:rsid w:val="00B234EB"/>
    <w:rsid w:val="00B238CE"/>
    <w:rsid w:val="00B244E3"/>
    <w:rsid w:val="00B24554"/>
    <w:rsid w:val="00B2460D"/>
    <w:rsid w:val="00B24A79"/>
    <w:rsid w:val="00B24A96"/>
    <w:rsid w:val="00B24AB4"/>
    <w:rsid w:val="00B24B22"/>
    <w:rsid w:val="00B24C58"/>
    <w:rsid w:val="00B24CCA"/>
    <w:rsid w:val="00B24F5D"/>
    <w:rsid w:val="00B25132"/>
    <w:rsid w:val="00B25194"/>
    <w:rsid w:val="00B2537F"/>
    <w:rsid w:val="00B255EB"/>
    <w:rsid w:val="00B25633"/>
    <w:rsid w:val="00B256EB"/>
    <w:rsid w:val="00B25971"/>
    <w:rsid w:val="00B25C41"/>
    <w:rsid w:val="00B25E53"/>
    <w:rsid w:val="00B260B6"/>
    <w:rsid w:val="00B261E9"/>
    <w:rsid w:val="00B263CB"/>
    <w:rsid w:val="00B269D7"/>
    <w:rsid w:val="00B269E8"/>
    <w:rsid w:val="00B26C3D"/>
    <w:rsid w:val="00B26C52"/>
    <w:rsid w:val="00B26D41"/>
    <w:rsid w:val="00B27657"/>
    <w:rsid w:val="00B27F2C"/>
    <w:rsid w:val="00B300B7"/>
    <w:rsid w:val="00B3043B"/>
    <w:rsid w:val="00B306A3"/>
    <w:rsid w:val="00B30747"/>
    <w:rsid w:val="00B31316"/>
    <w:rsid w:val="00B31539"/>
    <w:rsid w:val="00B3176C"/>
    <w:rsid w:val="00B31D1B"/>
    <w:rsid w:val="00B31F8E"/>
    <w:rsid w:val="00B32ACC"/>
    <w:rsid w:val="00B32CAE"/>
    <w:rsid w:val="00B32E72"/>
    <w:rsid w:val="00B331DB"/>
    <w:rsid w:val="00B331EF"/>
    <w:rsid w:val="00B332F1"/>
    <w:rsid w:val="00B3353C"/>
    <w:rsid w:val="00B335FD"/>
    <w:rsid w:val="00B3367C"/>
    <w:rsid w:val="00B33935"/>
    <w:rsid w:val="00B33A21"/>
    <w:rsid w:val="00B33B4D"/>
    <w:rsid w:val="00B34070"/>
    <w:rsid w:val="00B34695"/>
    <w:rsid w:val="00B346C8"/>
    <w:rsid w:val="00B3480A"/>
    <w:rsid w:val="00B34969"/>
    <w:rsid w:val="00B34B74"/>
    <w:rsid w:val="00B34D65"/>
    <w:rsid w:val="00B34D93"/>
    <w:rsid w:val="00B34DD2"/>
    <w:rsid w:val="00B35003"/>
    <w:rsid w:val="00B35180"/>
    <w:rsid w:val="00B35588"/>
    <w:rsid w:val="00B35618"/>
    <w:rsid w:val="00B3574C"/>
    <w:rsid w:val="00B35789"/>
    <w:rsid w:val="00B35B1E"/>
    <w:rsid w:val="00B35C1E"/>
    <w:rsid w:val="00B35E12"/>
    <w:rsid w:val="00B365AC"/>
    <w:rsid w:val="00B3681D"/>
    <w:rsid w:val="00B36856"/>
    <w:rsid w:val="00B368AE"/>
    <w:rsid w:val="00B369C6"/>
    <w:rsid w:val="00B36A9D"/>
    <w:rsid w:val="00B36AE7"/>
    <w:rsid w:val="00B36CC1"/>
    <w:rsid w:val="00B36DB2"/>
    <w:rsid w:val="00B37203"/>
    <w:rsid w:val="00B37878"/>
    <w:rsid w:val="00B37ACA"/>
    <w:rsid w:val="00B37AE9"/>
    <w:rsid w:val="00B37E6E"/>
    <w:rsid w:val="00B4029E"/>
    <w:rsid w:val="00B40324"/>
    <w:rsid w:val="00B4035A"/>
    <w:rsid w:val="00B4038C"/>
    <w:rsid w:val="00B40514"/>
    <w:rsid w:val="00B406AF"/>
    <w:rsid w:val="00B40A4B"/>
    <w:rsid w:val="00B40AF4"/>
    <w:rsid w:val="00B40BD5"/>
    <w:rsid w:val="00B40D4E"/>
    <w:rsid w:val="00B41158"/>
    <w:rsid w:val="00B41210"/>
    <w:rsid w:val="00B41483"/>
    <w:rsid w:val="00B417C6"/>
    <w:rsid w:val="00B41AC1"/>
    <w:rsid w:val="00B41F2C"/>
    <w:rsid w:val="00B41F3F"/>
    <w:rsid w:val="00B42123"/>
    <w:rsid w:val="00B422AA"/>
    <w:rsid w:val="00B42741"/>
    <w:rsid w:val="00B42A44"/>
    <w:rsid w:val="00B42B66"/>
    <w:rsid w:val="00B42F13"/>
    <w:rsid w:val="00B43267"/>
    <w:rsid w:val="00B43831"/>
    <w:rsid w:val="00B4392D"/>
    <w:rsid w:val="00B439C3"/>
    <w:rsid w:val="00B43B03"/>
    <w:rsid w:val="00B444F3"/>
    <w:rsid w:val="00B4480F"/>
    <w:rsid w:val="00B448E9"/>
    <w:rsid w:val="00B44934"/>
    <w:rsid w:val="00B44AEE"/>
    <w:rsid w:val="00B45084"/>
    <w:rsid w:val="00B451FD"/>
    <w:rsid w:val="00B452EE"/>
    <w:rsid w:val="00B454BD"/>
    <w:rsid w:val="00B455BA"/>
    <w:rsid w:val="00B4568E"/>
    <w:rsid w:val="00B45727"/>
    <w:rsid w:val="00B4594D"/>
    <w:rsid w:val="00B45B26"/>
    <w:rsid w:val="00B4665C"/>
    <w:rsid w:val="00B468DA"/>
    <w:rsid w:val="00B46D93"/>
    <w:rsid w:val="00B46E17"/>
    <w:rsid w:val="00B47076"/>
    <w:rsid w:val="00B47296"/>
    <w:rsid w:val="00B474BB"/>
    <w:rsid w:val="00B476A1"/>
    <w:rsid w:val="00B479F6"/>
    <w:rsid w:val="00B47BBA"/>
    <w:rsid w:val="00B47BF3"/>
    <w:rsid w:val="00B47C1F"/>
    <w:rsid w:val="00B47CF8"/>
    <w:rsid w:val="00B47E3C"/>
    <w:rsid w:val="00B500E7"/>
    <w:rsid w:val="00B5027B"/>
    <w:rsid w:val="00B5040F"/>
    <w:rsid w:val="00B5079C"/>
    <w:rsid w:val="00B50A1E"/>
    <w:rsid w:val="00B50D18"/>
    <w:rsid w:val="00B50E46"/>
    <w:rsid w:val="00B50FC6"/>
    <w:rsid w:val="00B5103D"/>
    <w:rsid w:val="00B51300"/>
    <w:rsid w:val="00B51326"/>
    <w:rsid w:val="00B5140F"/>
    <w:rsid w:val="00B514B1"/>
    <w:rsid w:val="00B51A7A"/>
    <w:rsid w:val="00B51B36"/>
    <w:rsid w:val="00B52026"/>
    <w:rsid w:val="00B52109"/>
    <w:rsid w:val="00B52119"/>
    <w:rsid w:val="00B5227F"/>
    <w:rsid w:val="00B525A4"/>
    <w:rsid w:val="00B5281B"/>
    <w:rsid w:val="00B528F3"/>
    <w:rsid w:val="00B52AEC"/>
    <w:rsid w:val="00B52EED"/>
    <w:rsid w:val="00B52F6C"/>
    <w:rsid w:val="00B530BD"/>
    <w:rsid w:val="00B533D4"/>
    <w:rsid w:val="00B53703"/>
    <w:rsid w:val="00B538A3"/>
    <w:rsid w:val="00B53ADD"/>
    <w:rsid w:val="00B53F9F"/>
    <w:rsid w:val="00B53FF0"/>
    <w:rsid w:val="00B54AAB"/>
    <w:rsid w:val="00B54BD4"/>
    <w:rsid w:val="00B54EB1"/>
    <w:rsid w:val="00B55656"/>
    <w:rsid w:val="00B55818"/>
    <w:rsid w:val="00B55A07"/>
    <w:rsid w:val="00B55DED"/>
    <w:rsid w:val="00B561AC"/>
    <w:rsid w:val="00B563C5"/>
    <w:rsid w:val="00B56761"/>
    <w:rsid w:val="00B56892"/>
    <w:rsid w:val="00B56A2D"/>
    <w:rsid w:val="00B572FC"/>
    <w:rsid w:val="00B57349"/>
    <w:rsid w:val="00B57652"/>
    <w:rsid w:val="00B577B3"/>
    <w:rsid w:val="00B57817"/>
    <w:rsid w:val="00B57E6A"/>
    <w:rsid w:val="00B601ED"/>
    <w:rsid w:val="00B60824"/>
    <w:rsid w:val="00B609CD"/>
    <w:rsid w:val="00B60A54"/>
    <w:rsid w:val="00B60CAB"/>
    <w:rsid w:val="00B60CE6"/>
    <w:rsid w:val="00B60D30"/>
    <w:rsid w:val="00B60EF4"/>
    <w:rsid w:val="00B6136A"/>
    <w:rsid w:val="00B619D3"/>
    <w:rsid w:val="00B619FB"/>
    <w:rsid w:val="00B61E27"/>
    <w:rsid w:val="00B61EDA"/>
    <w:rsid w:val="00B62542"/>
    <w:rsid w:val="00B628FB"/>
    <w:rsid w:val="00B62AE2"/>
    <w:rsid w:val="00B62B7C"/>
    <w:rsid w:val="00B62D0D"/>
    <w:rsid w:val="00B62E42"/>
    <w:rsid w:val="00B6322D"/>
    <w:rsid w:val="00B6393F"/>
    <w:rsid w:val="00B63C6F"/>
    <w:rsid w:val="00B640F9"/>
    <w:rsid w:val="00B64125"/>
    <w:rsid w:val="00B649E2"/>
    <w:rsid w:val="00B64D71"/>
    <w:rsid w:val="00B64E8A"/>
    <w:rsid w:val="00B65154"/>
    <w:rsid w:val="00B6518A"/>
    <w:rsid w:val="00B653D3"/>
    <w:rsid w:val="00B6541B"/>
    <w:rsid w:val="00B654F7"/>
    <w:rsid w:val="00B65514"/>
    <w:rsid w:val="00B657E4"/>
    <w:rsid w:val="00B658EF"/>
    <w:rsid w:val="00B65D4D"/>
    <w:rsid w:val="00B665E4"/>
    <w:rsid w:val="00B66690"/>
    <w:rsid w:val="00B666A1"/>
    <w:rsid w:val="00B66C96"/>
    <w:rsid w:val="00B66DF5"/>
    <w:rsid w:val="00B66FCD"/>
    <w:rsid w:val="00B6702C"/>
    <w:rsid w:val="00B67061"/>
    <w:rsid w:val="00B673DF"/>
    <w:rsid w:val="00B67AA0"/>
    <w:rsid w:val="00B67AB6"/>
    <w:rsid w:val="00B67D5C"/>
    <w:rsid w:val="00B67ECD"/>
    <w:rsid w:val="00B7015C"/>
    <w:rsid w:val="00B70310"/>
    <w:rsid w:val="00B70BC9"/>
    <w:rsid w:val="00B70E20"/>
    <w:rsid w:val="00B70FF3"/>
    <w:rsid w:val="00B710E3"/>
    <w:rsid w:val="00B7148B"/>
    <w:rsid w:val="00B71A51"/>
    <w:rsid w:val="00B71ED3"/>
    <w:rsid w:val="00B71F00"/>
    <w:rsid w:val="00B71F98"/>
    <w:rsid w:val="00B7202C"/>
    <w:rsid w:val="00B72265"/>
    <w:rsid w:val="00B72444"/>
    <w:rsid w:val="00B72583"/>
    <w:rsid w:val="00B7295A"/>
    <w:rsid w:val="00B72B39"/>
    <w:rsid w:val="00B72CF4"/>
    <w:rsid w:val="00B730FC"/>
    <w:rsid w:val="00B73539"/>
    <w:rsid w:val="00B73711"/>
    <w:rsid w:val="00B73866"/>
    <w:rsid w:val="00B73C81"/>
    <w:rsid w:val="00B73CD5"/>
    <w:rsid w:val="00B74074"/>
    <w:rsid w:val="00B7430D"/>
    <w:rsid w:val="00B74EE8"/>
    <w:rsid w:val="00B750B6"/>
    <w:rsid w:val="00B75451"/>
    <w:rsid w:val="00B7582E"/>
    <w:rsid w:val="00B75CA0"/>
    <w:rsid w:val="00B761D5"/>
    <w:rsid w:val="00B764D2"/>
    <w:rsid w:val="00B7665A"/>
    <w:rsid w:val="00B76ACD"/>
    <w:rsid w:val="00B76CDE"/>
    <w:rsid w:val="00B76FAA"/>
    <w:rsid w:val="00B7705C"/>
    <w:rsid w:val="00B77863"/>
    <w:rsid w:val="00B77961"/>
    <w:rsid w:val="00B77B6C"/>
    <w:rsid w:val="00B77CC9"/>
    <w:rsid w:val="00B77D45"/>
    <w:rsid w:val="00B77DCC"/>
    <w:rsid w:val="00B8003A"/>
    <w:rsid w:val="00B8007A"/>
    <w:rsid w:val="00B80354"/>
    <w:rsid w:val="00B805E7"/>
    <w:rsid w:val="00B80A3D"/>
    <w:rsid w:val="00B80D0E"/>
    <w:rsid w:val="00B80F5A"/>
    <w:rsid w:val="00B81126"/>
    <w:rsid w:val="00B8143E"/>
    <w:rsid w:val="00B8148E"/>
    <w:rsid w:val="00B814D1"/>
    <w:rsid w:val="00B81530"/>
    <w:rsid w:val="00B81A17"/>
    <w:rsid w:val="00B81E8F"/>
    <w:rsid w:val="00B81FC6"/>
    <w:rsid w:val="00B82164"/>
    <w:rsid w:val="00B8233A"/>
    <w:rsid w:val="00B82372"/>
    <w:rsid w:val="00B8244E"/>
    <w:rsid w:val="00B829A2"/>
    <w:rsid w:val="00B8302A"/>
    <w:rsid w:val="00B8347D"/>
    <w:rsid w:val="00B836DE"/>
    <w:rsid w:val="00B83745"/>
    <w:rsid w:val="00B83762"/>
    <w:rsid w:val="00B837BB"/>
    <w:rsid w:val="00B83D6E"/>
    <w:rsid w:val="00B8406F"/>
    <w:rsid w:val="00B84656"/>
    <w:rsid w:val="00B84AAE"/>
    <w:rsid w:val="00B84C22"/>
    <w:rsid w:val="00B84CCB"/>
    <w:rsid w:val="00B8568C"/>
    <w:rsid w:val="00B8576F"/>
    <w:rsid w:val="00B858D3"/>
    <w:rsid w:val="00B85B0C"/>
    <w:rsid w:val="00B85C50"/>
    <w:rsid w:val="00B85F53"/>
    <w:rsid w:val="00B86234"/>
    <w:rsid w:val="00B868CF"/>
    <w:rsid w:val="00B869AE"/>
    <w:rsid w:val="00B86D97"/>
    <w:rsid w:val="00B86FD8"/>
    <w:rsid w:val="00B8733C"/>
    <w:rsid w:val="00B87380"/>
    <w:rsid w:val="00B873E4"/>
    <w:rsid w:val="00B874D6"/>
    <w:rsid w:val="00B87ED2"/>
    <w:rsid w:val="00B902F8"/>
    <w:rsid w:val="00B9036E"/>
    <w:rsid w:val="00B903C5"/>
    <w:rsid w:val="00B90551"/>
    <w:rsid w:val="00B909E8"/>
    <w:rsid w:val="00B910F7"/>
    <w:rsid w:val="00B91432"/>
    <w:rsid w:val="00B91593"/>
    <w:rsid w:val="00B918A8"/>
    <w:rsid w:val="00B91A2E"/>
    <w:rsid w:val="00B91C35"/>
    <w:rsid w:val="00B91C58"/>
    <w:rsid w:val="00B91CA1"/>
    <w:rsid w:val="00B91DD2"/>
    <w:rsid w:val="00B91EC9"/>
    <w:rsid w:val="00B9200F"/>
    <w:rsid w:val="00B92241"/>
    <w:rsid w:val="00B92514"/>
    <w:rsid w:val="00B92659"/>
    <w:rsid w:val="00B92A1A"/>
    <w:rsid w:val="00B92BBD"/>
    <w:rsid w:val="00B92D07"/>
    <w:rsid w:val="00B92DBB"/>
    <w:rsid w:val="00B93143"/>
    <w:rsid w:val="00B932D5"/>
    <w:rsid w:val="00B93860"/>
    <w:rsid w:val="00B93865"/>
    <w:rsid w:val="00B94791"/>
    <w:rsid w:val="00B94AAA"/>
    <w:rsid w:val="00B94C4A"/>
    <w:rsid w:val="00B94CB0"/>
    <w:rsid w:val="00B94FB9"/>
    <w:rsid w:val="00B951A6"/>
    <w:rsid w:val="00B951AB"/>
    <w:rsid w:val="00B95649"/>
    <w:rsid w:val="00B957A0"/>
    <w:rsid w:val="00B95C0E"/>
    <w:rsid w:val="00B96065"/>
    <w:rsid w:val="00B9624D"/>
    <w:rsid w:val="00B96750"/>
    <w:rsid w:val="00B967CA"/>
    <w:rsid w:val="00B9688E"/>
    <w:rsid w:val="00B96A17"/>
    <w:rsid w:val="00B96C7A"/>
    <w:rsid w:val="00B97298"/>
    <w:rsid w:val="00B9743B"/>
    <w:rsid w:val="00BA0061"/>
    <w:rsid w:val="00BA0380"/>
    <w:rsid w:val="00BA050A"/>
    <w:rsid w:val="00BA06A0"/>
    <w:rsid w:val="00BA091F"/>
    <w:rsid w:val="00BA0C05"/>
    <w:rsid w:val="00BA0F5E"/>
    <w:rsid w:val="00BA11B2"/>
    <w:rsid w:val="00BA17C1"/>
    <w:rsid w:val="00BA1A85"/>
    <w:rsid w:val="00BA1E5A"/>
    <w:rsid w:val="00BA1F10"/>
    <w:rsid w:val="00BA2131"/>
    <w:rsid w:val="00BA2159"/>
    <w:rsid w:val="00BA2255"/>
    <w:rsid w:val="00BA2387"/>
    <w:rsid w:val="00BA2AF4"/>
    <w:rsid w:val="00BA30B2"/>
    <w:rsid w:val="00BA37DB"/>
    <w:rsid w:val="00BA384C"/>
    <w:rsid w:val="00BA3D32"/>
    <w:rsid w:val="00BA4047"/>
    <w:rsid w:val="00BA412C"/>
    <w:rsid w:val="00BA4E9E"/>
    <w:rsid w:val="00BA4FB8"/>
    <w:rsid w:val="00BA50BE"/>
    <w:rsid w:val="00BA50DA"/>
    <w:rsid w:val="00BA514C"/>
    <w:rsid w:val="00BA56D7"/>
    <w:rsid w:val="00BA5F6A"/>
    <w:rsid w:val="00BA5FB3"/>
    <w:rsid w:val="00BA6220"/>
    <w:rsid w:val="00BA6942"/>
    <w:rsid w:val="00BA69BD"/>
    <w:rsid w:val="00BA6A34"/>
    <w:rsid w:val="00BA6B55"/>
    <w:rsid w:val="00BA7163"/>
    <w:rsid w:val="00BA7553"/>
    <w:rsid w:val="00BA7846"/>
    <w:rsid w:val="00BA789B"/>
    <w:rsid w:val="00BA7F3B"/>
    <w:rsid w:val="00BB0776"/>
    <w:rsid w:val="00BB1C6E"/>
    <w:rsid w:val="00BB28E2"/>
    <w:rsid w:val="00BB2C31"/>
    <w:rsid w:val="00BB31BF"/>
    <w:rsid w:val="00BB356C"/>
    <w:rsid w:val="00BB3693"/>
    <w:rsid w:val="00BB37F5"/>
    <w:rsid w:val="00BB3A9A"/>
    <w:rsid w:val="00BB3B0E"/>
    <w:rsid w:val="00BB3C7E"/>
    <w:rsid w:val="00BB3FEC"/>
    <w:rsid w:val="00BB4128"/>
    <w:rsid w:val="00BB426C"/>
    <w:rsid w:val="00BB471E"/>
    <w:rsid w:val="00BB4731"/>
    <w:rsid w:val="00BB473B"/>
    <w:rsid w:val="00BB47FF"/>
    <w:rsid w:val="00BB4923"/>
    <w:rsid w:val="00BB4A2A"/>
    <w:rsid w:val="00BB4C73"/>
    <w:rsid w:val="00BB4CAA"/>
    <w:rsid w:val="00BB5011"/>
    <w:rsid w:val="00BB515A"/>
    <w:rsid w:val="00BB5435"/>
    <w:rsid w:val="00BB5528"/>
    <w:rsid w:val="00BB6147"/>
    <w:rsid w:val="00BB6757"/>
    <w:rsid w:val="00BB6841"/>
    <w:rsid w:val="00BB72BD"/>
    <w:rsid w:val="00BB744C"/>
    <w:rsid w:val="00BB7456"/>
    <w:rsid w:val="00BB7644"/>
    <w:rsid w:val="00BB7A83"/>
    <w:rsid w:val="00BB7DC7"/>
    <w:rsid w:val="00BB7F7B"/>
    <w:rsid w:val="00BC0B03"/>
    <w:rsid w:val="00BC1152"/>
    <w:rsid w:val="00BC16ED"/>
    <w:rsid w:val="00BC195A"/>
    <w:rsid w:val="00BC19F2"/>
    <w:rsid w:val="00BC1B6E"/>
    <w:rsid w:val="00BC1E03"/>
    <w:rsid w:val="00BC1EDA"/>
    <w:rsid w:val="00BC2011"/>
    <w:rsid w:val="00BC20C0"/>
    <w:rsid w:val="00BC2198"/>
    <w:rsid w:val="00BC2391"/>
    <w:rsid w:val="00BC24EE"/>
    <w:rsid w:val="00BC253C"/>
    <w:rsid w:val="00BC274B"/>
    <w:rsid w:val="00BC2770"/>
    <w:rsid w:val="00BC27EE"/>
    <w:rsid w:val="00BC2D38"/>
    <w:rsid w:val="00BC2FA3"/>
    <w:rsid w:val="00BC320E"/>
    <w:rsid w:val="00BC322C"/>
    <w:rsid w:val="00BC327D"/>
    <w:rsid w:val="00BC345C"/>
    <w:rsid w:val="00BC34BD"/>
    <w:rsid w:val="00BC356C"/>
    <w:rsid w:val="00BC35F1"/>
    <w:rsid w:val="00BC35F9"/>
    <w:rsid w:val="00BC36F6"/>
    <w:rsid w:val="00BC39F6"/>
    <w:rsid w:val="00BC3DE4"/>
    <w:rsid w:val="00BC3FB7"/>
    <w:rsid w:val="00BC40DC"/>
    <w:rsid w:val="00BC4132"/>
    <w:rsid w:val="00BC426F"/>
    <w:rsid w:val="00BC499E"/>
    <w:rsid w:val="00BC5078"/>
    <w:rsid w:val="00BC55B6"/>
    <w:rsid w:val="00BC55DD"/>
    <w:rsid w:val="00BC5605"/>
    <w:rsid w:val="00BC5691"/>
    <w:rsid w:val="00BC56EB"/>
    <w:rsid w:val="00BC5792"/>
    <w:rsid w:val="00BC57BA"/>
    <w:rsid w:val="00BC5D4A"/>
    <w:rsid w:val="00BC611C"/>
    <w:rsid w:val="00BC64CF"/>
    <w:rsid w:val="00BC6756"/>
    <w:rsid w:val="00BC687A"/>
    <w:rsid w:val="00BC6B3F"/>
    <w:rsid w:val="00BC7390"/>
    <w:rsid w:val="00BC74F7"/>
    <w:rsid w:val="00BC76FB"/>
    <w:rsid w:val="00BC7C11"/>
    <w:rsid w:val="00BC7DA0"/>
    <w:rsid w:val="00BC7E52"/>
    <w:rsid w:val="00BD03F2"/>
    <w:rsid w:val="00BD03FC"/>
    <w:rsid w:val="00BD073F"/>
    <w:rsid w:val="00BD0984"/>
    <w:rsid w:val="00BD0BF5"/>
    <w:rsid w:val="00BD1342"/>
    <w:rsid w:val="00BD18B8"/>
    <w:rsid w:val="00BD1A76"/>
    <w:rsid w:val="00BD1AAF"/>
    <w:rsid w:val="00BD1AF0"/>
    <w:rsid w:val="00BD247A"/>
    <w:rsid w:val="00BD2496"/>
    <w:rsid w:val="00BD252A"/>
    <w:rsid w:val="00BD2892"/>
    <w:rsid w:val="00BD28F9"/>
    <w:rsid w:val="00BD2B21"/>
    <w:rsid w:val="00BD32CB"/>
    <w:rsid w:val="00BD36B3"/>
    <w:rsid w:val="00BD3780"/>
    <w:rsid w:val="00BD3A0E"/>
    <w:rsid w:val="00BD3B7B"/>
    <w:rsid w:val="00BD3F79"/>
    <w:rsid w:val="00BD47D1"/>
    <w:rsid w:val="00BD4C82"/>
    <w:rsid w:val="00BD5227"/>
    <w:rsid w:val="00BD5305"/>
    <w:rsid w:val="00BD5407"/>
    <w:rsid w:val="00BD5490"/>
    <w:rsid w:val="00BD55C7"/>
    <w:rsid w:val="00BD5CFB"/>
    <w:rsid w:val="00BD5EE9"/>
    <w:rsid w:val="00BD6B24"/>
    <w:rsid w:val="00BD6CF2"/>
    <w:rsid w:val="00BD6E8D"/>
    <w:rsid w:val="00BD6F81"/>
    <w:rsid w:val="00BD746A"/>
    <w:rsid w:val="00BD74AA"/>
    <w:rsid w:val="00BD7525"/>
    <w:rsid w:val="00BD7566"/>
    <w:rsid w:val="00BD7649"/>
    <w:rsid w:val="00BD7727"/>
    <w:rsid w:val="00BD7AA0"/>
    <w:rsid w:val="00BD7B0E"/>
    <w:rsid w:val="00BD7D6D"/>
    <w:rsid w:val="00BE02A6"/>
    <w:rsid w:val="00BE04A0"/>
    <w:rsid w:val="00BE0637"/>
    <w:rsid w:val="00BE06A8"/>
    <w:rsid w:val="00BE0835"/>
    <w:rsid w:val="00BE0AE2"/>
    <w:rsid w:val="00BE0C5E"/>
    <w:rsid w:val="00BE1353"/>
    <w:rsid w:val="00BE137D"/>
    <w:rsid w:val="00BE1479"/>
    <w:rsid w:val="00BE147F"/>
    <w:rsid w:val="00BE1995"/>
    <w:rsid w:val="00BE1B28"/>
    <w:rsid w:val="00BE1C28"/>
    <w:rsid w:val="00BE1DA8"/>
    <w:rsid w:val="00BE1E32"/>
    <w:rsid w:val="00BE20C8"/>
    <w:rsid w:val="00BE2214"/>
    <w:rsid w:val="00BE230F"/>
    <w:rsid w:val="00BE2637"/>
    <w:rsid w:val="00BE2963"/>
    <w:rsid w:val="00BE299B"/>
    <w:rsid w:val="00BE2DDB"/>
    <w:rsid w:val="00BE2E38"/>
    <w:rsid w:val="00BE3164"/>
    <w:rsid w:val="00BE34A1"/>
    <w:rsid w:val="00BE3710"/>
    <w:rsid w:val="00BE3A1C"/>
    <w:rsid w:val="00BE3CEE"/>
    <w:rsid w:val="00BE3FCC"/>
    <w:rsid w:val="00BE46AF"/>
    <w:rsid w:val="00BE46F5"/>
    <w:rsid w:val="00BE51B2"/>
    <w:rsid w:val="00BE531B"/>
    <w:rsid w:val="00BE5329"/>
    <w:rsid w:val="00BE538B"/>
    <w:rsid w:val="00BE563C"/>
    <w:rsid w:val="00BE579C"/>
    <w:rsid w:val="00BE57C1"/>
    <w:rsid w:val="00BE5951"/>
    <w:rsid w:val="00BE59CC"/>
    <w:rsid w:val="00BE5AFA"/>
    <w:rsid w:val="00BE5B53"/>
    <w:rsid w:val="00BE5BC7"/>
    <w:rsid w:val="00BE60C4"/>
    <w:rsid w:val="00BE6167"/>
    <w:rsid w:val="00BE6564"/>
    <w:rsid w:val="00BE6898"/>
    <w:rsid w:val="00BE69B1"/>
    <w:rsid w:val="00BE69F4"/>
    <w:rsid w:val="00BE6CCF"/>
    <w:rsid w:val="00BE6E3D"/>
    <w:rsid w:val="00BE70C1"/>
    <w:rsid w:val="00BE7D2A"/>
    <w:rsid w:val="00BE7F0F"/>
    <w:rsid w:val="00BF00A1"/>
    <w:rsid w:val="00BF02C6"/>
    <w:rsid w:val="00BF0481"/>
    <w:rsid w:val="00BF0C0F"/>
    <w:rsid w:val="00BF0E7A"/>
    <w:rsid w:val="00BF0ED3"/>
    <w:rsid w:val="00BF12DF"/>
    <w:rsid w:val="00BF1677"/>
    <w:rsid w:val="00BF19D5"/>
    <w:rsid w:val="00BF1E56"/>
    <w:rsid w:val="00BF22F1"/>
    <w:rsid w:val="00BF2394"/>
    <w:rsid w:val="00BF23E3"/>
    <w:rsid w:val="00BF24BB"/>
    <w:rsid w:val="00BF25A7"/>
    <w:rsid w:val="00BF2636"/>
    <w:rsid w:val="00BF2862"/>
    <w:rsid w:val="00BF2B54"/>
    <w:rsid w:val="00BF2C62"/>
    <w:rsid w:val="00BF2EDE"/>
    <w:rsid w:val="00BF2FE2"/>
    <w:rsid w:val="00BF2FE9"/>
    <w:rsid w:val="00BF361B"/>
    <w:rsid w:val="00BF3FB1"/>
    <w:rsid w:val="00BF43A5"/>
    <w:rsid w:val="00BF449E"/>
    <w:rsid w:val="00BF44B1"/>
    <w:rsid w:val="00BF4542"/>
    <w:rsid w:val="00BF49C8"/>
    <w:rsid w:val="00BF4B6A"/>
    <w:rsid w:val="00BF4C9C"/>
    <w:rsid w:val="00BF5212"/>
    <w:rsid w:val="00BF54F7"/>
    <w:rsid w:val="00BF5A15"/>
    <w:rsid w:val="00BF5A76"/>
    <w:rsid w:val="00BF5D37"/>
    <w:rsid w:val="00BF6564"/>
    <w:rsid w:val="00BF6831"/>
    <w:rsid w:val="00BF6ABC"/>
    <w:rsid w:val="00BF6EB6"/>
    <w:rsid w:val="00BF719B"/>
    <w:rsid w:val="00BF77FE"/>
    <w:rsid w:val="00BF7E6C"/>
    <w:rsid w:val="00C001DE"/>
    <w:rsid w:val="00C00228"/>
    <w:rsid w:val="00C00260"/>
    <w:rsid w:val="00C013CE"/>
    <w:rsid w:val="00C01416"/>
    <w:rsid w:val="00C015CB"/>
    <w:rsid w:val="00C01848"/>
    <w:rsid w:val="00C01B91"/>
    <w:rsid w:val="00C01EC6"/>
    <w:rsid w:val="00C0202D"/>
    <w:rsid w:val="00C02151"/>
    <w:rsid w:val="00C02643"/>
    <w:rsid w:val="00C02661"/>
    <w:rsid w:val="00C02D07"/>
    <w:rsid w:val="00C02D72"/>
    <w:rsid w:val="00C02FB7"/>
    <w:rsid w:val="00C02FF6"/>
    <w:rsid w:val="00C030F9"/>
    <w:rsid w:val="00C0312B"/>
    <w:rsid w:val="00C03147"/>
    <w:rsid w:val="00C03CD9"/>
    <w:rsid w:val="00C03DB5"/>
    <w:rsid w:val="00C03DB6"/>
    <w:rsid w:val="00C03EFB"/>
    <w:rsid w:val="00C0406D"/>
    <w:rsid w:val="00C04497"/>
    <w:rsid w:val="00C04574"/>
    <w:rsid w:val="00C0472C"/>
    <w:rsid w:val="00C049BF"/>
    <w:rsid w:val="00C04C06"/>
    <w:rsid w:val="00C04EF6"/>
    <w:rsid w:val="00C04F24"/>
    <w:rsid w:val="00C04F42"/>
    <w:rsid w:val="00C04FC9"/>
    <w:rsid w:val="00C051B2"/>
    <w:rsid w:val="00C0529E"/>
    <w:rsid w:val="00C0540A"/>
    <w:rsid w:val="00C05BBC"/>
    <w:rsid w:val="00C06068"/>
    <w:rsid w:val="00C06234"/>
    <w:rsid w:val="00C06369"/>
    <w:rsid w:val="00C06871"/>
    <w:rsid w:val="00C06883"/>
    <w:rsid w:val="00C068F6"/>
    <w:rsid w:val="00C06F9C"/>
    <w:rsid w:val="00C0701B"/>
    <w:rsid w:val="00C07160"/>
    <w:rsid w:val="00C07622"/>
    <w:rsid w:val="00C07797"/>
    <w:rsid w:val="00C0795E"/>
    <w:rsid w:val="00C07A1A"/>
    <w:rsid w:val="00C07A4F"/>
    <w:rsid w:val="00C07A9B"/>
    <w:rsid w:val="00C07E06"/>
    <w:rsid w:val="00C07FCE"/>
    <w:rsid w:val="00C10039"/>
    <w:rsid w:val="00C106F0"/>
    <w:rsid w:val="00C10A3D"/>
    <w:rsid w:val="00C115EA"/>
    <w:rsid w:val="00C11EF2"/>
    <w:rsid w:val="00C1225B"/>
    <w:rsid w:val="00C12560"/>
    <w:rsid w:val="00C12886"/>
    <w:rsid w:val="00C128E7"/>
    <w:rsid w:val="00C1376D"/>
    <w:rsid w:val="00C13CCF"/>
    <w:rsid w:val="00C13DA2"/>
    <w:rsid w:val="00C1419F"/>
    <w:rsid w:val="00C14321"/>
    <w:rsid w:val="00C14720"/>
    <w:rsid w:val="00C1479E"/>
    <w:rsid w:val="00C14930"/>
    <w:rsid w:val="00C14AEA"/>
    <w:rsid w:val="00C14D2E"/>
    <w:rsid w:val="00C1514B"/>
    <w:rsid w:val="00C1544D"/>
    <w:rsid w:val="00C15571"/>
    <w:rsid w:val="00C1567A"/>
    <w:rsid w:val="00C1591B"/>
    <w:rsid w:val="00C1597D"/>
    <w:rsid w:val="00C15CFF"/>
    <w:rsid w:val="00C15D0E"/>
    <w:rsid w:val="00C15DCC"/>
    <w:rsid w:val="00C15E35"/>
    <w:rsid w:val="00C15F7C"/>
    <w:rsid w:val="00C15FC7"/>
    <w:rsid w:val="00C16909"/>
    <w:rsid w:val="00C16950"/>
    <w:rsid w:val="00C16A4B"/>
    <w:rsid w:val="00C16C7F"/>
    <w:rsid w:val="00C16D02"/>
    <w:rsid w:val="00C16F2F"/>
    <w:rsid w:val="00C16F53"/>
    <w:rsid w:val="00C17050"/>
    <w:rsid w:val="00C1710E"/>
    <w:rsid w:val="00C17189"/>
    <w:rsid w:val="00C1734A"/>
    <w:rsid w:val="00C1758A"/>
    <w:rsid w:val="00C175BC"/>
    <w:rsid w:val="00C176EA"/>
    <w:rsid w:val="00C17711"/>
    <w:rsid w:val="00C17E4B"/>
    <w:rsid w:val="00C17EB7"/>
    <w:rsid w:val="00C17EDA"/>
    <w:rsid w:val="00C20083"/>
    <w:rsid w:val="00C20373"/>
    <w:rsid w:val="00C207B3"/>
    <w:rsid w:val="00C20AAD"/>
    <w:rsid w:val="00C20AFE"/>
    <w:rsid w:val="00C20FC5"/>
    <w:rsid w:val="00C211AE"/>
    <w:rsid w:val="00C21350"/>
    <w:rsid w:val="00C216E3"/>
    <w:rsid w:val="00C219DC"/>
    <w:rsid w:val="00C21AAA"/>
    <w:rsid w:val="00C21D57"/>
    <w:rsid w:val="00C21EE4"/>
    <w:rsid w:val="00C2202F"/>
    <w:rsid w:val="00C2255B"/>
    <w:rsid w:val="00C22576"/>
    <w:rsid w:val="00C229B0"/>
    <w:rsid w:val="00C22E22"/>
    <w:rsid w:val="00C22FAA"/>
    <w:rsid w:val="00C2326F"/>
    <w:rsid w:val="00C2351A"/>
    <w:rsid w:val="00C23900"/>
    <w:rsid w:val="00C23976"/>
    <w:rsid w:val="00C23A9D"/>
    <w:rsid w:val="00C23C0D"/>
    <w:rsid w:val="00C23CC0"/>
    <w:rsid w:val="00C23DE9"/>
    <w:rsid w:val="00C23F04"/>
    <w:rsid w:val="00C23F49"/>
    <w:rsid w:val="00C2401B"/>
    <w:rsid w:val="00C244CA"/>
    <w:rsid w:val="00C24575"/>
    <w:rsid w:val="00C24589"/>
    <w:rsid w:val="00C248E5"/>
    <w:rsid w:val="00C25285"/>
    <w:rsid w:val="00C25313"/>
    <w:rsid w:val="00C2532F"/>
    <w:rsid w:val="00C25586"/>
    <w:rsid w:val="00C258A6"/>
    <w:rsid w:val="00C258B3"/>
    <w:rsid w:val="00C258BF"/>
    <w:rsid w:val="00C25C9A"/>
    <w:rsid w:val="00C25D62"/>
    <w:rsid w:val="00C25ED7"/>
    <w:rsid w:val="00C25F8E"/>
    <w:rsid w:val="00C26596"/>
    <w:rsid w:val="00C267A9"/>
    <w:rsid w:val="00C26A4B"/>
    <w:rsid w:val="00C26D85"/>
    <w:rsid w:val="00C26EE1"/>
    <w:rsid w:val="00C27188"/>
    <w:rsid w:val="00C274F2"/>
    <w:rsid w:val="00C2752C"/>
    <w:rsid w:val="00C27775"/>
    <w:rsid w:val="00C27825"/>
    <w:rsid w:val="00C27ACD"/>
    <w:rsid w:val="00C27D5E"/>
    <w:rsid w:val="00C300F4"/>
    <w:rsid w:val="00C30263"/>
    <w:rsid w:val="00C3035B"/>
    <w:rsid w:val="00C30609"/>
    <w:rsid w:val="00C30705"/>
    <w:rsid w:val="00C30912"/>
    <w:rsid w:val="00C30A22"/>
    <w:rsid w:val="00C30BDC"/>
    <w:rsid w:val="00C30D9A"/>
    <w:rsid w:val="00C30F19"/>
    <w:rsid w:val="00C30F8D"/>
    <w:rsid w:val="00C3122A"/>
    <w:rsid w:val="00C31270"/>
    <w:rsid w:val="00C312C3"/>
    <w:rsid w:val="00C312EB"/>
    <w:rsid w:val="00C31495"/>
    <w:rsid w:val="00C31ADF"/>
    <w:rsid w:val="00C31FD2"/>
    <w:rsid w:val="00C321C5"/>
    <w:rsid w:val="00C32274"/>
    <w:rsid w:val="00C32874"/>
    <w:rsid w:val="00C32DA1"/>
    <w:rsid w:val="00C32F79"/>
    <w:rsid w:val="00C331BA"/>
    <w:rsid w:val="00C335D7"/>
    <w:rsid w:val="00C3378B"/>
    <w:rsid w:val="00C33C4F"/>
    <w:rsid w:val="00C33D4E"/>
    <w:rsid w:val="00C3418F"/>
    <w:rsid w:val="00C34568"/>
    <w:rsid w:val="00C347F3"/>
    <w:rsid w:val="00C3489B"/>
    <w:rsid w:val="00C34986"/>
    <w:rsid w:val="00C34B00"/>
    <w:rsid w:val="00C34CDC"/>
    <w:rsid w:val="00C34D64"/>
    <w:rsid w:val="00C34DD7"/>
    <w:rsid w:val="00C34E9B"/>
    <w:rsid w:val="00C34FB1"/>
    <w:rsid w:val="00C35294"/>
    <w:rsid w:val="00C35459"/>
    <w:rsid w:val="00C35478"/>
    <w:rsid w:val="00C355DD"/>
    <w:rsid w:val="00C3586D"/>
    <w:rsid w:val="00C35AED"/>
    <w:rsid w:val="00C35B28"/>
    <w:rsid w:val="00C35CC6"/>
    <w:rsid w:val="00C36272"/>
    <w:rsid w:val="00C364C0"/>
    <w:rsid w:val="00C365F6"/>
    <w:rsid w:val="00C368E1"/>
    <w:rsid w:val="00C36D6C"/>
    <w:rsid w:val="00C371E2"/>
    <w:rsid w:val="00C37827"/>
    <w:rsid w:val="00C37A77"/>
    <w:rsid w:val="00C37CFE"/>
    <w:rsid w:val="00C401D2"/>
    <w:rsid w:val="00C40715"/>
    <w:rsid w:val="00C407AC"/>
    <w:rsid w:val="00C407FE"/>
    <w:rsid w:val="00C40938"/>
    <w:rsid w:val="00C40A51"/>
    <w:rsid w:val="00C40A54"/>
    <w:rsid w:val="00C41394"/>
    <w:rsid w:val="00C4152E"/>
    <w:rsid w:val="00C41757"/>
    <w:rsid w:val="00C41896"/>
    <w:rsid w:val="00C41B00"/>
    <w:rsid w:val="00C41B69"/>
    <w:rsid w:val="00C41DB3"/>
    <w:rsid w:val="00C41EB4"/>
    <w:rsid w:val="00C41F08"/>
    <w:rsid w:val="00C41FC1"/>
    <w:rsid w:val="00C428E9"/>
    <w:rsid w:val="00C42967"/>
    <w:rsid w:val="00C42A3E"/>
    <w:rsid w:val="00C42C3E"/>
    <w:rsid w:val="00C42ED9"/>
    <w:rsid w:val="00C4310C"/>
    <w:rsid w:val="00C43154"/>
    <w:rsid w:val="00C4347C"/>
    <w:rsid w:val="00C43488"/>
    <w:rsid w:val="00C434AF"/>
    <w:rsid w:val="00C43823"/>
    <w:rsid w:val="00C43FEA"/>
    <w:rsid w:val="00C44017"/>
    <w:rsid w:val="00C4405E"/>
    <w:rsid w:val="00C44191"/>
    <w:rsid w:val="00C44322"/>
    <w:rsid w:val="00C446B4"/>
    <w:rsid w:val="00C44AB6"/>
    <w:rsid w:val="00C44ABE"/>
    <w:rsid w:val="00C44B21"/>
    <w:rsid w:val="00C44BE5"/>
    <w:rsid w:val="00C44CD4"/>
    <w:rsid w:val="00C44E01"/>
    <w:rsid w:val="00C450A1"/>
    <w:rsid w:val="00C450D5"/>
    <w:rsid w:val="00C45289"/>
    <w:rsid w:val="00C45366"/>
    <w:rsid w:val="00C4552B"/>
    <w:rsid w:val="00C45978"/>
    <w:rsid w:val="00C45A33"/>
    <w:rsid w:val="00C45AE6"/>
    <w:rsid w:val="00C45B61"/>
    <w:rsid w:val="00C45D07"/>
    <w:rsid w:val="00C46339"/>
    <w:rsid w:val="00C4658C"/>
    <w:rsid w:val="00C46C6E"/>
    <w:rsid w:val="00C46D91"/>
    <w:rsid w:val="00C46F66"/>
    <w:rsid w:val="00C47239"/>
    <w:rsid w:val="00C474FD"/>
    <w:rsid w:val="00C476EB"/>
    <w:rsid w:val="00C4774E"/>
    <w:rsid w:val="00C47D72"/>
    <w:rsid w:val="00C50076"/>
    <w:rsid w:val="00C50833"/>
    <w:rsid w:val="00C50AF4"/>
    <w:rsid w:val="00C50CED"/>
    <w:rsid w:val="00C510AE"/>
    <w:rsid w:val="00C51368"/>
    <w:rsid w:val="00C5137D"/>
    <w:rsid w:val="00C51711"/>
    <w:rsid w:val="00C51A29"/>
    <w:rsid w:val="00C51C28"/>
    <w:rsid w:val="00C51F2C"/>
    <w:rsid w:val="00C51F53"/>
    <w:rsid w:val="00C51F5F"/>
    <w:rsid w:val="00C524C5"/>
    <w:rsid w:val="00C526AE"/>
    <w:rsid w:val="00C529C1"/>
    <w:rsid w:val="00C52B66"/>
    <w:rsid w:val="00C52D5C"/>
    <w:rsid w:val="00C52FD1"/>
    <w:rsid w:val="00C5311A"/>
    <w:rsid w:val="00C5343D"/>
    <w:rsid w:val="00C5357E"/>
    <w:rsid w:val="00C5391E"/>
    <w:rsid w:val="00C53931"/>
    <w:rsid w:val="00C53FA0"/>
    <w:rsid w:val="00C53FC5"/>
    <w:rsid w:val="00C549B5"/>
    <w:rsid w:val="00C54CB5"/>
    <w:rsid w:val="00C54DEA"/>
    <w:rsid w:val="00C54EA4"/>
    <w:rsid w:val="00C54F22"/>
    <w:rsid w:val="00C55008"/>
    <w:rsid w:val="00C55296"/>
    <w:rsid w:val="00C557B4"/>
    <w:rsid w:val="00C5595D"/>
    <w:rsid w:val="00C55A34"/>
    <w:rsid w:val="00C55C4C"/>
    <w:rsid w:val="00C55D24"/>
    <w:rsid w:val="00C55E0C"/>
    <w:rsid w:val="00C563DF"/>
    <w:rsid w:val="00C563EF"/>
    <w:rsid w:val="00C5671A"/>
    <w:rsid w:val="00C568E0"/>
    <w:rsid w:val="00C569D5"/>
    <w:rsid w:val="00C56B0F"/>
    <w:rsid w:val="00C56D1F"/>
    <w:rsid w:val="00C56E80"/>
    <w:rsid w:val="00C56EDF"/>
    <w:rsid w:val="00C571F3"/>
    <w:rsid w:val="00C57218"/>
    <w:rsid w:val="00C57BB2"/>
    <w:rsid w:val="00C57D05"/>
    <w:rsid w:val="00C57EE1"/>
    <w:rsid w:val="00C602A0"/>
    <w:rsid w:val="00C602E4"/>
    <w:rsid w:val="00C60547"/>
    <w:rsid w:val="00C606CD"/>
    <w:rsid w:val="00C607C8"/>
    <w:rsid w:val="00C6139E"/>
    <w:rsid w:val="00C61528"/>
    <w:rsid w:val="00C61D2A"/>
    <w:rsid w:val="00C61E92"/>
    <w:rsid w:val="00C61F5D"/>
    <w:rsid w:val="00C62005"/>
    <w:rsid w:val="00C621AF"/>
    <w:rsid w:val="00C621B0"/>
    <w:rsid w:val="00C622CB"/>
    <w:rsid w:val="00C62320"/>
    <w:rsid w:val="00C6251D"/>
    <w:rsid w:val="00C627FB"/>
    <w:rsid w:val="00C627FD"/>
    <w:rsid w:val="00C629DA"/>
    <w:rsid w:val="00C62B44"/>
    <w:rsid w:val="00C62B94"/>
    <w:rsid w:val="00C62C6A"/>
    <w:rsid w:val="00C62D00"/>
    <w:rsid w:val="00C63111"/>
    <w:rsid w:val="00C63221"/>
    <w:rsid w:val="00C63263"/>
    <w:rsid w:val="00C632D0"/>
    <w:rsid w:val="00C633A2"/>
    <w:rsid w:val="00C63480"/>
    <w:rsid w:val="00C63510"/>
    <w:rsid w:val="00C635D2"/>
    <w:rsid w:val="00C63A11"/>
    <w:rsid w:val="00C63BC5"/>
    <w:rsid w:val="00C64D23"/>
    <w:rsid w:val="00C653A3"/>
    <w:rsid w:val="00C65401"/>
    <w:rsid w:val="00C65691"/>
    <w:rsid w:val="00C65696"/>
    <w:rsid w:val="00C65776"/>
    <w:rsid w:val="00C658FA"/>
    <w:rsid w:val="00C65BC5"/>
    <w:rsid w:val="00C65E11"/>
    <w:rsid w:val="00C66226"/>
    <w:rsid w:val="00C662A8"/>
    <w:rsid w:val="00C6635B"/>
    <w:rsid w:val="00C666F3"/>
    <w:rsid w:val="00C6682A"/>
    <w:rsid w:val="00C66E38"/>
    <w:rsid w:val="00C66ED5"/>
    <w:rsid w:val="00C66EFA"/>
    <w:rsid w:val="00C66F46"/>
    <w:rsid w:val="00C6747D"/>
    <w:rsid w:val="00C679BE"/>
    <w:rsid w:val="00C67CAB"/>
    <w:rsid w:val="00C67D68"/>
    <w:rsid w:val="00C67D78"/>
    <w:rsid w:val="00C67ED4"/>
    <w:rsid w:val="00C70238"/>
    <w:rsid w:val="00C7054F"/>
    <w:rsid w:val="00C7057B"/>
    <w:rsid w:val="00C708D6"/>
    <w:rsid w:val="00C709FA"/>
    <w:rsid w:val="00C71070"/>
    <w:rsid w:val="00C71707"/>
    <w:rsid w:val="00C7190D"/>
    <w:rsid w:val="00C71B1C"/>
    <w:rsid w:val="00C71D96"/>
    <w:rsid w:val="00C71F4B"/>
    <w:rsid w:val="00C720C7"/>
    <w:rsid w:val="00C7218E"/>
    <w:rsid w:val="00C72673"/>
    <w:rsid w:val="00C726BA"/>
    <w:rsid w:val="00C7283F"/>
    <w:rsid w:val="00C729C2"/>
    <w:rsid w:val="00C72BE7"/>
    <w:rsid w:val="00C7318F"/>
    <w:rsid w:val="00C73331"/>
    <w:rsid w:val="00C735B9"/>
    <w:rsid w:val="00C739F0"/>
    <w:rsid w:val="00C7432F"/>
    <w:rsid w:val="00C743E8"/>
    <w:rsid w:val="00C74969"/>
    <w:rsid w:val="00C74AE2"/>
    <w:rsid w:val="00C74B0C"/>
    <w:rsid w:val="00C74DCF"/>
    <w:rsid w:val="00C74E87"/>
    <w:rsid w:val="00C74F3D"/>
    <w:rsid w:val="00C74FCF"/>
    <w:rsid w:val="00C74FF9"/>
    <w:rsid w:val="00C75211"/>
    <w:rsid w:val="00C7537D"/>
    <w:rsid w:val="00C75717"/>
    <w:rsid w:val="00C75E61"/>
    <w:rsid w:val="00C76178"/>
    <w:rsid w:val="00C7659B"/>
    <w:rsid w:val="00C76604"/>
    <w:rsid w:val="00C76647"/>
    <w:rsid w:val="00C767E1"/>
    <w:rsid w:val="00C76BFA"/>
    <w:rsid w:val="00C76C4D"/>
    <w:rsid w:val="00C773E1"/>
    <w:rsid w:val="00C776D4"/>
    <w:rsid w:val="00C803B7"/>
    <w:rsid w:val="00C80588"/>
    <w:rsid w:val="00C808D0"/>
    <w:rsid w:val="00C812C1"/>
    <w:rsid w:val="00C8132C"/>
    <w:rsid w:val="00C8144C"/>
    <w:rsid w:val="00C814DD"/>
    <w:rsid w:val="00C8159A"/>
    <w:rsid w:val="00C818E7"/>
    <w:rsid w:val="00C81E16"/>
    <w:rsid w:val="00C82343"/>
    <w:rsid w:val="00C82620"/>
    <w:rsid w:val="00C829CE"/>
    <w:rsid w:val="00C82B59"/>
    <w:rsid w:val="00C82BEE"/>
    <w:rsid w:val="00C82F6E"/>
    <w:rsid w:val="00C830F3"/>
    <w:rsid w:val="00C83AB1"/>
    <w:rsid w:val="00C83FF3"/>
    <w:rsid w:val="00C84663"/>
    <w:rsid w:val="00C8472B"/>
    <w:rsid w:val="00C847CE"/>
    <w:rsid w:val="00C84CF1"/>
    <w:rsid w:val="00C84E3D"/>
    <w:rsid w:val="00C851FD"/>
    <w:rsid w:val="00C8539B"/>
    <w:rsid w:val="00C854D5"/>
    <w:rsid w:val="00C854F8"/>
    <w:rsid w:val="00C8570A"/>
    <w:rsid w:val="00C85A30"/>
    <w:rsid w:val="00C85EDE"/>
    <w:rsid w:val="00C85F75"/>
    <w:rsid w:val="00C85FA4"/>
    <w:rsid w:val="00C85FA9"/>
    <w:rsid w:val="00C86FEA"/>
    <w:rsid w:val="00C87222"/>
    <w:rsid w:val="00C87676"/>
    <w:rsid w:val="00C879CA"/>
    <w:rsid w:val="00C87CD7"/>
    <w:rsid w:val="00C87F6D"/>
    <w:rsid w:val="00C90382"/>
    <w:rsid w:val="00C90669"/>
    <w:rsid w:val="00C90945"/>
    <w:rsid w:val="00C90C5C"/>
    <w:rsid w:val="00C91047"/>
    <w:rsid w:val="00C91440"/>
    <w:rsid w:val="00C91730"/>
    <w:rsid w:val="00C91B87"/>
    <w:rsid w:val="00C91ED3"/>
    <w:rsid w:val="00C92190"/>
    <w:rsid w:val="00C92259"/>
    <w:rsid w:val="00C923CB"/>
    <w:rsid w:val="00C92415"/>
    <w:rsid w:val="00C92587"/>
    <w:rsid w:val="00C9270C"/>
    <w:rsid w:val="00C9271C"/>
    <w:rsid w:val="00C92E77"/>
    <w:rsid w:val="00C93032"/>
    <w:rsid w:val="00C93168"/>
    <w:rsid w:val="00C93299"/>
    <w:rsid w:val="00C934F0"/>
    <w:rsid w:val="00C936E9"/>
    <w:rsid w:val="00C939E6"/>
    <w:rsid w:val="00C93A0E"/>
    <w:rsid w:val="00C93BEE"/>
    <w:rsid w:val="00C93E29"/>
    <w:rsid w:val="00C941AC"/>
    <w:rsid w:val="00C94F12"/>
    <w:rsid w:val="00C957FE"/>
    <w:rsid w:val="00C95C1F"/>
    <w:rsid w:val="00C95D12"/>
    <w:rsid w:val="00C95DF9"/>
    <w:rsid w:val="00C9604A"/>
    <w:rsid w:val="00C96511"/>
    <w:rsid w:val="00C96684"/>
    <w:rsid w:val="00C96B56"/>
    <w:rsid w:val="00C96B80"/>
    <w:rsid w:val="00C96C6F"/>
    <w:rsid w:val="00C96FD7"/>
    <w:rsid w:val="00C97219"/>
    <w:rsid w:val="00C97302"/>
    <w:rsid w:val="00C97546"/>
    <w:rsid w:val="00C97753"/>
    <w:rsid w:val="00C9778F"/>
    <w:rsid w:val="00C97E3C"/>
    <w:rsid w:val="00CA02E9"/>
    <w:rsid w:val="00CA0757"/>
    <w:rsid w:val="00CA0808"/>
    <w:rsid w:val="00CA0EC9"/>
    <w:rsid w:val="00CA1008"/>
    <w:rsid w:val="00CA103D"/>
    <w:rsid w:val="00CA166A"/>
    <w:rsid w:val="00CA16EF"/>
    <w:rsid w:val="00CA1BE3"/>
    <w:rsid w:val="00CA1C05"/>
    <w:rsid w:val="00CA2139"/>
    <w:rsid w:val="00CA26B5"/>
    <w:rsid w:val="00CA2CC3"/>
    <w:rsid w:val="00CA2DD8"/>
    <w:rsid w:val="00CA36D0"/>
    <w:rsid w:val="00CA391E"/>
    <w:rsid w:val="00CA3A82"/>
    <w:rsid w:val="00CA3CD5"/>
    <w:rsid w:val="00CA3DB0"/>
    <w:rsid w:val="00CA4037"/>
    <w:rsid w:val="00CA43DF"/>
    <w:rsid w:val="00CA484C"/>
    <w:rsid w:val="00CA48F0"/>
    <w:rsid w:val="00CA4E44"/>
    <w:rsid w:val="00CA56C2"/>
    <w:rsid w:val="00CA58D7"/>
    <w:rsid w:val="00CA6647"/>
    <w:rsid w:val="00CA6883"/>
    <w:rsid w:val="00CA6C26"/>
    <w:rsid w:val="00CA6CD4"/>
    <w:rsid w:val="00CA6EEB"/>
    <w:rsid w:val="00CA70A7"/>
    <w:rsid w:val="00CA71BD"/>
    <w:rsid w:val="00CA7263"/>
    <w:rsid w:val="00CA7379"/>
    <w:rsid w:val="00CA74A6"/>
    <w:rsid w:val="00CA786B"/>
    <w:rsid w:val="00CA7A8C"/>
    <w:rsid w:val="00CA7B81"/>
    <w:rsid w:val="00CA7E98"/>
    <w:rsid w:val="00CA7F9C"/>
    <w:rsid w:val="00CB02B7"/>
    <w:rsid w:val="00CB0325"/>
    <w:rsid w:val="00CB087F"/>
    <w:rsid w:val="00CB0E8A"/>
    <w:rsid w:val="00CB0F6D"/>
    <w:rsid w:val="00CB109E"/>
    <w:rsid w:val="00CB1135"/>
    <w:rsid w:val="00CB1764"/>
    <w:rsid w:val="00CB1C53"/>
    <w:rsid w:val="00CB1C5B"/>
    <w:rsid w:val="00CB1DCD"/>
    <w:rsid w:val="00CB1FA4"/>
    <w:rsid w:val="00CB20C0"/>
    <w:rsid w:val="00CB20ED"/>
    <w:rsid w:val="00CB2661"/>
    <w:rsid w:val="00CB2675"/>
    <w:rsid w:val="00CB2743"/>
    <w:rsid w:val="00CB27D4"/>
    <w:rsid w:val="00CB292F"/>
    <w:rsid w:val="00CB2A80"/>
    <w:rsid w:val="00CB2AD4"/>
    <w:rsid w:val="00CB2C31"/>
    <w:rsid w:val="00CB2EBE"/>
    <w:rsid w:val="00CB30B0"/>
    <w:rsid w:val="00CB33D8"/>
    <w:rsid w:val="00CB353B"/>
    <w:rsid w:val="00CB3A80"/>
    <w:rsid w:val="00CB3BBE"/>
    <w:rsid w:val="00CB3E6C"/>
    <w:rsid w:val="00CB4175"/>
    <w:rsid w:val="00CB4363"/>
    <w:rsid w:val="00CB4564"/>
    <w:rsid w:val="00CB4627"/>
    <w:rsid w:val="00CB477C"/>
    <w:rsid w:val="00CB47CF"/>
    <w:rsid w:val="00CB50A9"/>
    <w:rsid w:val="00CB5277"/>
    <w:rsid w:val="00CB5282"/>
    <w:rsid w:val="00CB5D09"/>
    <w:rsid w:val="00CB5E3F"/>
    <w:rsid w:val="00CB5E7E"/>
    <w:rsid w:val="00CB6119"/>
    <w:rsid w:val="00CB6905"/>
    <w:rsid w:val="00CB6920"/>
    <w:rsid w:val="00CB6D4D"/>
    <w:rsid w:val="00CB6E10"/>
    <w:rsid w:val="00CB73C0"/>
    <w:rsid w:val="00CB73C5"/>
    <w:rsid w:val="00CB77F9"/>
    <w:rsid w:val="00CB79AE"/>
    <w:rsid w:val="00CB7C04"/>
    <w:rsid w:val="00CB7E4A"/>
    <w:rsid w:val="00CC00C9"/>
    <w:rsid w:val="00CC0146"/>
    <w:rsid w:val="00CC0170"/>
    <w:rsid w:val="00CC0286"/>
    <w:rsid w:val="00CC02C3"/>
    <w:rsid w:val="00CC0506"/>
    <w:rsid w:val="00CC0805"/>
    <w:rsid w:val="00CC086B"/>
    <w:rsid w:val="00CC0A1B"/>
    <w:rsid w:val="00CC1851"/>
    <w:rsid w:val="00CC19C1"/>
    <w:rsid w:val="00CC1FCA"/>
    <w:rsid w:val="00CC245A"/>
    <w:rsid w:val="00CC2952"/>
    <w:rsid w:val="00CC29E4"/>
    <w:rsid w:val="00CC2BFE"/>
    <w:rsid w:val="00CC2E72"/>
    <w:rsid w:val="00CC3535"/>
    <w:rsid w:val="00CC369D"/>
    <w:rsid w:val="00CC376E"/>
    <w:rsid w:val="00CC3CFA"/>
    <w:rsid w:val="00CC3E35"/>
    <w:rsid w:val="00CC4295"/>
    <w:rsid w:val="00CC4AA5"/>
    <w:rsid w:val="00CC532C"/>
    <w:rsid w:val="00CC5681"/>
    <w:rsid w:val="00CC57E2"/>
    <w:rsid w:val="00CC589C"/>
    <w:rsid w:val="00CC5BB9"/>
    <w:rsid w:val="00CC5BBD"/>
    <w:rsid w:val="00CC5C24"/>
    <w:rsid w:val="00CC61BD"/>
    <w:rsid w:val="00CC64EC"/>
    <w:rsid w:val="00CC6521"/>
    <w:rsid w:val="00CC6AAC"/>
    <w:rsid w:val="00CC6C44"/>
    <w:rsid w:val="00CC754B"/>
    <w:rsid w:val="00CC793F"/>
    <w:rsid w:val="00CC79CD"/>
    <w:rsid w:val="00CD043A"/>
    <w:rsid w:val="00CD044F"/>
    <w:rsid w:val="00CD064A"/>
    <w:rsid w:val="00CD0969"/>
    <w:rsid w:val="00CD0976"/>
    <w:rsid w:val="00CD0D77"/>
    <w:rsid w:val="00CD1228"/>
    <w:rsid w:val="00CD1844"/>
    <w:rsid w:val="00CD18FB"/>
    <w:rsid w:val="00CD1E01"/>
    <w:rsid w:val="00CD1EA0"/>
    <w:rsid w:val="00CD2116"/>
    <w:rsid w:val="00CD22BC"/>
    <w:rsid w:val="00CD2691"/>
    <w:rsid w:val="00CD26C3"/>
    <w:rsid w:val="00CD27DC"/>
    <w:rsid w:val="00CD2817"/>
    <w:rsid w:val="00CD29A3"/>
    <w:rsid w:val="00CD29F1"/>
    <w:rsid w:val="00CD2A9A"/>
    <w:rsid w:val="00CD2DF7"/>
    <w:rsid w:val="00CD31C7"/>
    <w:rsid w:val="00CD3258"/>
    <w:rsid w:val="00CD3715"/>
    <w:rsid w:val="00CD3839"/>
    <w:rsid w:val="00CD3973"/>
    <w:rsid w:val="00CD3EC4"/>
    <w:rsid w:val="00CD46F7"/>
    <w:rsid w:val="00CD4A07"/>
    <w:rsid w:val="00CD523C"/>
    <w:rsid w:val="00CD5867"/>
    <w:rsid w:val="00CD5953"/>
    <w:rsid w:val="00CD59A0"/>
    <w:rsid w:val="00CD5CAE"/>
    <w:rsid w:val="00CD5D47"/>
    <w:rsid w:val="00CD66A6"/>
    <w:rsid w:val="00CD66FD"/>
    <w:rsid w:val="00CD6AB1"/>
    <w:rsid w:val="00CD6BD7"/>
    <w:rsid w:val="00CD6CC8"/>
    <w:rsid w:val="00CD6D81"/>
    <w:rsid w:val="00CD6D8E"/>
    <w:rsid w:val="00CD6DD8"/>
    <w:rsid w:val="00CD75EC"/>
    <w:rsid w:val="00CD7638"/>
    <w:rsid w:val="00CD7796"/>
    <w:rsid w:val="00CD7B98"/>
    <w:rsid w:val="00CD7BD0"/>
    <w:rsid w:val="00CD7EE9"/>
    <w:rsid w:val="00CE002E"/>
    <w:rsid w:val="00CE005D"/>
    <w:rsid w:val="00CE0184"/>
    <w:rsid w:val="00CE01E8"/>
    <w:rsid w:val="00CE037B"/>
    <w:rsid w:val="00CE04ED"/>
    <w:rsid w:val="00CE06A5"/>
    <w:rsid w:val="00CE1009"/>
    <w:rsid w:val="00CE1153"/>
    <w:rsid w:val="00CE1202"/>
    <w:rsid w:val="00CE13A0"/>
    <w:rsid w:val="00CE143E"/>
    <w:rsid w:val="00CE15AB"/>
    <w:rsid w:val="00CE1655"/>
    <w:rsid w:val="00CE1713"/>
    <w:rsid w:val="00CE17CC"/>
    <w:rsid w:val="00CE186C"/>
    <w:rsid w:val="00CE19EC"/>
    <w:rsid w:val="00CE1C02"/>
    <w:rsid w:val="00CE1D45"/>
    <w:rsid w:val="00CE1F0A"/>
    <w:rsid w:val="00CE2218"/>
    <w:rsid w:val="00CE2224"/>
    <w:rsid w:val="00CE2259"/>
    <w:rsid w:val="00CE2324"/>
    <w:rsid w:val="00CE2683"/>
    <w:rsid w:val="00CE289A"/>
    <w:rsid w:val="00CE2AA1"/>
    <w:rsid w:val="00CE2AA2"/>
    <w:rsid w:val="00CE2D8C"/>
    <w:rsid w:val="00CE3216"/>
    <w:rsid w:val="00CE3258"/>
    <w:rsid w:val="00CE34E7"/>
    <w:rsid w:val="00CE353A"/>
    <w:rsid w:val="00CE372D"/>
    <w:rsid w:val="00CE3941"/>
    <w:rsid w:val="00CE3A39"/>
    <w:rsid w:val="00CE3AFE"/>
    <w:rsid w:val="00CE3B53"/>
    <w:rsid w:val="00CE40B0"/>
    <w:rsid w:val="00CE42BD"/>
    <w:rsid w:val="00CE43BF"/>
    <w:rsid w:val="00CE4577"/>
    <w:rsid w:val="00CE4768"/>
    <w:rsid w:val="00CE498E"/>
    <w:rsid w:val="00CE4A69"/>
    <w:rsid w:val="00CE4C54"/>
    <w:rsid w:val="00CE53BD"/>
    <w:rsid w:val="00CE53C6"/>
    <w:rsid w:val="00CE53D6"/>
    <w:rsid w:val="00CE55DB"/>
    <w:rsid w:val="00CE595D"/>
    <w:rsid w:val="00CE5CC0"/>
    <w:rsid w:val="00CE5F3E"/>
    <w:rsid w:val="00CE6207"/>
    <w:rsid w:val="00CE6675"/>
    <w:rsid w:val="00CE6698"/>
    <w:rsid w:val="00CE69A4"/>
    <w:rsid w:val="00CE6CB7"/>
    <w:rsid w:val="00CE709B"/>
    <w:rsid w:val="00CE7712"/>
    <w:rsid w:val="00CF00D4"/>
    <w:rsid w:val="00CF0824"/>
    <w:rsid w:val="00CF08EC"/>
    <w:rsid w:val="00CF0ABC"/>
    <w:rsid w:val="00CF0EEF"/>
    <w:rsid w:val="00CF0FC0"/>
    <w:rsid w:val="00CF1569"/>
    <w:rsid w:val="00CF1613"/>
    <w:rsid w:val="00CF173E"/>
    <w:rsid w:val="00CF176C"/>
    <w:rsid w:val="00CF17A5"/>
    <w:rsid w:val="00CF1856"/>
    <w:rsid w:val="00CF193F"/>
    <w:rsid w:val="00CF1C6B"/>
    <w:rsid w:val="00CF1D53"/>
    <w:rsid w:val="00CF2161"/>
    <w:rsid w:val="00CF363D"/>
    <w:rsid w:val="00CF42BE"/>
    <w:rsid w:val="00CF4509"/>
    <w:rsid w:val="00CF453B"/>
    <w:rsid w:val="00CF46D2"/>
    <w:rsid w:val="00CF4CBE"/>
    <w:rsid w:val="00CF511B"/>
    <w:rsid w:val="00CF5200"/>
    <w:rsid w:val="00CF5391"/>
    <w:rsid w:val="00CF53DD"/>
    <w:rsid w:val="00CF57A2"/>
    <w:rsid w:val="00CF5AC3"/>
    <w:rsid w:val="00CF60B5"/>
    <w:rsid w:val="00CF62BC"/>
    <w:rsid w:val="00CF68C5"/>
    <w:rsid w:val="00CF6A02"/>
    <w:rsid w:val="00CF6FA6"/>
    <w:rsid w:val="00CF71E2"/>
    <w:rsid w:val="00CF72B5"/>
    <w:rsid w:val="00CF769D"/>
    <w:rsid w:val="00CF77CD"/>
    <w:rsid w:val="00CF7F18"/>
    <w:rsid w:val="00D00502"/>
    <w:rsid w:val="00D00C17"/>
    <w:rsid w:val="00D00CF0"/>
    <w:rsid w:val="00D00DBC"/>
    <w:rsid w:val="00D00F87"/>
    <w:rsid w:val="00D015BA"/>
    <w:rsid w:val="00D01AB8"/>
    <w:rsid w:val="00D01C04"/>
    <w:rsid w:val="00D022A0"/>
    <w:rsid w:val="00D027BD"/>
    <w:rsid w:val="00D028F8"/>
    <w:rsid w:val="00D0298C"/>
    <w:rsid w:val="00D02E6D"/>
    <w:rsid w:val="00D02FAA"/>
    <w:rsid w:val="00D02FF9"/>
    <w:rsid w:val="00D033BC"/>
    <w:rsid w:val="00D03A95"/>
    <w:rsid w:val="00D03BBF"/>
    <w:rsid w:val="00D03D0C"/>
    <w:rsid w:val="00D04171"/>
    <w:rsid w:val="00D04193"/>
    <w:rsid w:val="00D04260"/>
    <w:rsid w:val="00D04295"/>
    <w:rsid w:val="00D043CB"/>
    <w:rsid w:val="00D0443B"/>
    <w:rsid w:val="00D04BD5"/>
    <w:rsid w:val="00D04EB2"/>
    <w:rsid w:val="00D0517D"/>
    <w:rsid w:val="00D051E6"/>
    <w:rsid w:val="00D05847"/>
    <w:rsid w:val="00D058B7"/>
    <w:rsid w:val="00D05D0A"/>
    <w:rsid w:val="00D06694"/>
    <w:rsid w:val="00D06C28"/>
    <w:rsid w:val="00D06D8F"/>
    <w:rsid w:val="00D06F85"/>
    <w:rsid w:val="00D06FBA"/>
    <w:rsid w:val="00D07AA2"/>
    <w:rsid w:val="00D07B0F"/>
    <w:rsid w:val="00D07BEF"/>
    <w:rsid w:val="00D102A6"/>
    <w:rsid w:val="00D107D0"/>
    <w:rsid w:val="00D10CAE"/>
    <w:rsid w:val="00D10DE2"/>
    <w:rsid w:val="00D11148"/>
    <w:rsid w:val="00D112D8"/>
    <w:rsid w:val="00D1165B"/>
    <w:rsid w:val="00D1174F"/>
    <w:rsid w:val="00D11BE5"/>
    <w:rsid w:val="00D11E11"/>
    <w:rsid w:val="00D11EC8"/>
    <w:rsid w:val="00D122F4"/>
    <w:rsid w:val="00D12CC9"/>
    <w:rsid w:val="00D12E3A"/>
    <w:rsid w:val="00D12F59"/>
    <w:rsid w:val="00D131F9"/>
    <w:rsid w:val="00D13340"/>
    <w:rsid w:val="00D135EB"/>
    <w:rsid w:val="00D13791"/>
    <w:rsid w:val="00D1389A"/>
    <w:rsid w:val="00D13933"/>
    <w:rsid w:val="00D144B1"/>
    <w:rsid w:val="00D14645"/>
    <w:rsid w:val="00D14773"/>
    <w:rsid w:val="00D147B1"/>
    <w:rsid w:val="00D147D1"/>
    <w:rsid w:val="00D14C99"/>
    <w:rsid w:val="00D14FB0"/>
    <w:rsid w:val="00D1525E"/>
    <w:rsid w:val="00D15314"/>
    <w:rsid w:val="00D155EA"/>
    <w:rsid w:val="00D15787"/>
    <w:rsid w:val="00D15AC2"/>
    <w:rsid w:val="00D15EC3"/>
    <w:rsid w:val="00D15F5C"/>
    <w:rsid w:val="00D161D5"/>
    <w:rsid w:val="00D16313"/>
    <w:rsid w:val="00D16489"/>
    <w:rsid w:val="00D16861"/>
    <w:rsid w:val="00D1691D"/>
    <w:rsid w:val="00D16B04"/>
    <w:rsid w:val="00D16BDF"/>
    <w:rsid w:val="00D16C44"/>
    <w:rsid w:val="00D16DAA"/>
    <w:rsid w:val="00D16E06"/>
    <w:rsid w:val="00D16E3F"/>
    <w:rsid w:val="00D16E99"/>
    <w:rsid w:val="00D170F3"/>
    <w:rsid w:val="00D17267"/>
    <w:rsid w:val="00D1726A"/>
    <w:rsid w:val="00D172F6"/>
    <w:rsid w:val="00D1738A"/>
    <w:rsid w:val="00D1761F"/>
    <w:rsid w:val="00D17909"/>
    <w:rsid w:val="00D17C14"/>
    <w:rsid w:val="00D20041"/>
    <w:rsid w:val="00D204CA"/>
    <w:rsid w:val="00D2086B"/>
    <w:rsid w:val="00D208FC"/>
    <w:rsid w:val="00D20F28"/>
    <w:rsid w:val="00D21486"/>
    <w:rsid w:val="00D215E4"/>
    <w:rsid w:val="00D21C0B"/>
    <w:rsid w:val="00D21DAA"/>
    <w:rsid w:val="00D21DCC"/>
    <w:rsid w:val="00D224CF"/>
    <w:rsid w:val="00D22915"/>
    <w:rsid w:val="00D22983"/>
    <w:rsid w:val="00D229EB"/>
    <w:rsid w:val="00D22A04"/>
    <w:rsid w:val="00D2328E"/>
    <w:rsid w:val="00D2370E"/>
    <w:rsid w:val="00D239B3"/>
    <w:rsid w:val="00D23B46"/>
    <w:rsid w:val="00D23B50"/>
    <w:rsid w:val="00D23D2D"/>
    <w:rsid w:val="00D23F1F"/>
    <w:rsid w:val="00D2410B"/>
    <w:rsid w:val="00D24185"/>
    <w:rsid w:val="00D2418B"/>
    <w:rsid w:val="00D242ED"/>
    <w:rsid w:val="00D243B2"/>
    <w:rsid w:val="00D24692"/>
    <w:rsid w:val="00D24E4C"/>
    <w:rsid w:val="00D24F30"/>
    <w:rsid w:val="00D2501E"/>
    <w:rsid w:val="00D2543D"/>
    <w:rsid w:val="00D25645"/>
    <w:rsid w:val="00D25876"/>
    <w:rsid w:val="00D2607D"/>
    <w:rsid w:val="00D26489"/>
    <w:rsid w:val="00D26E47"/>
    <w:rsid w:val="00D26EE0"/>
    <w:rsid w:val="00D26F99"/>
    <w:rsid w:val="00D27100"/>
    <w:rsid w:val="00D27197"/>
    <w:rsid w:val="00D27386"/>
    <w:rsid w:val="00D27594"/>
    <w:rsid w:val="00D27790"/>
    <w:rsid w:val="00D279EC"/>
    <w:rsid w:val="00D30038"/>
    <w:rsid w:val="00D30206"/>
    <w:rsid w:val="00D306CA"/>
    <w:rsid w:val="00D306E0"/>
    <w:rsid w:val="00D3097C"/>
    <w:rsid w:val="00D30BB2"/>
    <w:rsid w:val="00D30F4C"/>
    <w:rsid w:val="00D30FB4"/>
    <w:rsid w:val="00D312ED"/>
    <w:rsid w:val="00D316D9"/>
    <w:rsid w:val="00D319E7"/>
    <w:rsid w:val="00D31B34"/>
    <w:rsid w:val="00D31FA5"/>
    <w:rsid w:val="00D325EE"/>
    <w:rsid w:val="00D32A0C"/>
    <w:rsid w:val="00D32E09"/>
    <w:rsid w:val="00D33593"/>
    <w:rsid w:val="00D33B7C"/>
    <w:rsid w:val="00D33D7C"/>
    <w:rsid w:val="00D34170"/>
    <w:rsid w:val="00D348F1"/>
    <w:rsid w:val="00D34CB4"/>
    <w:rsid w:val="00D34E67"/>
    <w:rsid w:val="00D3518D"/>
    <w:rsid w:val="00D35322"/>
    <w:rsid w:val="00D3585F"/>
    <w:rsid w:val="00D35894"/>
    <w:rsid w:val="00D35AEB"/>
    <w:rsid w:val="00D35FE6"/>
    <w:rsid w:val="00D36151"/>
    <w:rsid w:val="00D362CD"/>
    <w:rsid w:val="00D36423"/>
    <w:rsid w:val="00D3652A"/>
    <w:rsid w:val="00D36AD2"/>
    <w:rsid w:val="00D37080"/>
    <w:rsid w:val="00D37092"/>
    <w:rsid w:val="00D37393"/>
    <w:rsid w:val="00D373B5"/>
    <w:rsid w:val="00D37622"/>
    <w:rsid w:val="00D3774B"/>
    <w:rsid w:val="00D378F0"/>
    <w:rsid w:val="00D37993"/>
    <w:rsid w:val="00D37B86"/>
    <w:rsid w:val="00D4027A"/>
    <w:rsid w:val="00D40370"/>
    <w:rsid w:val="00D40BB8"/>
    <w:rsid w:val="00D40CD7"/>
    <w:rsid w:val="00D4141B"/>
    <w:rsid w:val="00D418EB"/>
    <w:rsid w:val="00D41972"/>
    <w:rsid w:val="00D41B18"/>
    <w:rsid w:val="00D41C15"/>
    <w:rsid w:val="00D42041"/>
    <w:rsid w:val="00D4226E"/>
    <w:rsid w:val="00D423DA"/>
    <w:rsid w:val="00D4245F"/>
    <w:rsid w:val="00D4269D"/>
    <w:rsid w:val="00D42922"/>
    <w:rsid w:val="00D42A2A"/>
    <w:rsid w:val="00D42D79"/>
    <w:rsid w:val="00D430FD"/>
    <w:rsid w:val="00D43446"/>
    <w:rsid w:val="00D4397B"/>
    <w:rsid w:val="00D43B58"/>
    <w:rsid w:val="00D43DD0"/>
    <w:rsid w:val="00D43ECD"/>
    <w:rsid w:val="00D4410D"/>
    <w:rsid w:val="00D44B3F"/>
    <w:rsid w:val="00D44D95"/>
    <w:rsid w:val="00D45478"/>
    <w:rsid w:val="00D461F9"/>
    <w:rsid w:val="00D4633D"/>
    <w:rsid w:val="00D4685C"/>
    <w:rsid w:val="00D46AD5"/>
    <w:rsid w:val="00D46C1C"/>
    <w:rsid w:val="00D46C9D"/>
    <w:rsid w:val="00D47075"/>
    <w:rsid w:val="00D476BB"/>
    <w:rsid w:val="00D476DD"/>
    <w:rsid w:val="00D47B30"/>
    <w:rsid w:val="00D47B7B"/>
    <w:rsid w:val="00D507C4"/>
    <w:rsid w:val="00D5098C"/>
    <w:rsid w:val="00D50F1B"/>
    <w:rsid w:val="00D5113F"/>
    <w:rsid w:val="00D511BA"/>
    <w:rsid w:val="00D513A9"/>
    <w:rsid w:val="00D51448"/>
    <w:rsid w:val="00D5153E"/>
    <w:rsid w:val="00D51D20"/>
    <w:rsid w:val="00D52963"/>
    <w:rsid w:val="00D531C0"/>
    <w:rsid w:val="00D531E8"/>
    <w:rsid w:val="00D53423"/>
    <w:rsid w:val="00D5346E"/>
    <w:rsid w:val="00D53BB8"/>
    <w:rsid w:val="00D53BF5"/>
    <w:rsid w:val="00D53DFF"/>
    <w:rsid w:val="00D53F5C"/>
    <w:rsid w:val="00D53F67"/>
    <w:rsid w:val="00D5458F"/>
    <w:rsid w:val="00D54856"/>
    <w:rsid w:val="00D54A46"/>
    <w:rsid w:val="00D54A9D"/>
    <w:rsid w:val="00D54B52"/>
    <w:rsid w:val="00D54D3D"/>
    <w:rsid w:val="00D55067"/>
    <w:rsid w:val="00D550FB"/>
    <w:rsid w:val="00D55119"/>
    <w:rsid w:val="00D55357"/>
    <w:rsid w:val="00D55BF8"/>
    <w:rsid w:val="00D56070"/>
    <w:rsid w:val="00D560D5"/>
    <w:rsid w:val="00D560E4"/>
    <w:rsid w:val="00D562C2"/>
    <w:rsid w:val="00D568CB"/>
    <w:rsid w:val="00D56DC3"/>
    <w:rsid w:val="00D56F08"/>
    <w:rsid w:val="00D5749B"/>
    <w:rsid w:val="00D574F0"/>
    <w:rsid w:val="00D576D8"/>
    <w:rsid w:val="00D57700"/>
    <w:rsid w:val="00D577E7"/>
    <w:rsid w:val="00D57D71"/>
    <w:rsid w:val="00D60079"/>
    <w:rsid w:val="00D60158"/>
    <w:rsid w:val="00D603DB"/>
    <w:rsid w:val="00D60441"/>
    <w:rsid w:val="00D606C4"/>
    <w:rsid w:val="00D60A40"/>
    <w:rsid w:val="00D60A6A"/>
    <w:rsid w:val="00D60CBC"/>
    <w:rsid w:val="00D60ED3"/>
    <w:rsid w:val="00D6113F"/>
    <w:rsid w:val="00D61185"/>
    <w:rsid w:val="00D61545"/>
    <w:rsid w:val="00D6169A"/>
    <w:rsid w:val="00D616C4"/>
    <w:rsid w:val="00D61A9F"/>
    <w:rsid w:val="00D61C2F"/>
    <w:rsid w:val="00D620F6"/>
    <w:rsid w:val="00D6257F"/>
    <w:rsid w:val="00D62B04"/>
    <w:rsid w:val="00D62B23"/>
    <w:rsid w:val="00D630E7"/>
    <w:rsid w:val="00D631B9"/>
    <w:rsid w:val="00D632BF"/>
    <w:rsid w:val="00D6335E"/>
    <w:rsid w:val="00D635DA"/>
    <w:rsid w:val="00D6379F"/>
    <w:rsid w:val="00D63957"/>
    <w:rsid w:val="00D63BE1"/>
    <w:rsid w:val="00D63C11"/>
    <w:rsid w:val="00D63F47"/>
    <w:rsid w:val="00D64047"/>
    <w:rsid w:val="00D641EB"/>
    <w:rsid w:val="00D645FC"/>
    <w:rsid w:val="00D64B78"/>
    <w:rsid w:val="00D64D0E"/>
    <w:rsid w:val="00D64E29"/>
    <w:rsid w:val="00D64E8D"/>
    <w:rsid w:val="00D650D2"/>
    <w:rsid w:val="00D6543A"/>
    <w:rsid w:val="00D65463"/>
    <w:rsid w:val="00D654EC"/>
    <w:rsid w:val="00D655C0"/>
    <w:rsid w:val="00D65630"/>
    <w:rsid w:val="00D6568E"/>
    <w:rsid w:val="00D65713"/>
    <w:rsid w:val="00D65AE7"/>
    <w:rsid w:val="00D65B1A"/>
    <w:rsid w:val="00D65C55"/>
    <w:rsid w:val="00D65D68"/>
    <w:rsid w:val="00D65FB2"/>
    <w:rsid w:val="00D66258"/>
    <w:rsid w:val="00D662AF"/>
    <w:rsid w:val="00D664AF"/>
    <w:rsid w:val="00D667DC"/>
    <w:rsid w:val="00D66B45"/>
    <w:rsid w:val="00D67CC1"/>
    <w:rsid w:val="00D67F89"/>
    <w:rsid w:val="00D701A6"/>
    <w:rsid w:val="00D7044F"/>
    <w:rsid w:val="00D70627"/>
    <w:rsid w:val="00D70683"/>
    <w:rsid w:val="00D7098A"/>
    <w:rsid w:val="00D709B0"/>
    <w:rsid w:val="00D70D97"/>
    <w:rsid w:val="00D70FA9"/>
    <w:rsid w:val="00D71351"/>
    <w:rsid w:val="00D71483"/>
    <w:rsid w:val="00D714CD"/>
    <w:rsid w:val="00D718AE"/>
    <w:rsid w:val="00D71B91"/>
    <w:rsid w:val="00D71EA4"/>
    <w:rsid w:val="00D7203F"/>
    <w:rsid w:val="00D7208F"/>
    <w:rsid w:val="00D7281C"/>
    <w:rsid w:val="00D72A22"/>
    <w:rsid w:val="00D72D08"/>
    <w:rsid w:val="00D72D6E"/>
    <w:rsid w:val="00D72D8E"/>
    <w:rsid w:val="00D731F5"/>
    <w:rsid w:val="00D7334F"/>
    <w:rsid w:val="00D7339B"/>
    <w:rsid w:val="00D73541"/>
    <w:rsid w:val="00D736AB"/>
    <w:rsid w:val="00D73851"/>
    <w:rsid w:val="00D739DC"/>
    <w:rsid w:val="00D73B69"/>
    <w:rsid w:val="00D73E13"/>
    <w:rsid w:val="00D7465D"/>
    <w:rsid w:val="00D7479C"/>
    <w:rsid w:val="00D7493E"/>
    <w:rsid w:val="00D74F1B"/>
    <w:rsid w:val="00D75506"/>
    <w:rsid w:val="00D757E1"/>
    <w:rsid w:val="00D75C95"/>
    <w:rsid w:val="00D75D5C"/>
    <w:rsid w:val="00D760D3"/>
    <w:rsid w:val="00D76295"/>
    <w:rsid w:val="00D76340"/>
    <w:rsid w:val="00D76805"/>
    <w:rsid w:val="00D76864"/>
    <w:rsid w:val="00D7698E"/>
    <w:rsid w:val="00D76A5B"/>
    <w:rsid w:val="00D76D68"/>
    <w:rsid w:val="00D76ED0"/>
    <w:rsid w:val="00D7706B"/>
    <w:rsid w:val="00D77070"/>
    <w:rsid w:val="00D771CB"/>
    <w:rsid w:val="00D775B6"/>
    <w:rsid w:val="00D77859"/>
    <w:rsid w:val="00D77A57"/>
    <w:rsid w:val="00D77EB6"/>
    <w:rsid w:val="00D805AA"/>
    <w:rsid w:val="00D80AB0"/>
    <w:rsid w:val="00D80C80"/>
    <w:rsid w:val="00D80CD4"/>
    <w:rsid w:val="00D812CB"/>
    <w:rsid w:val="00D81766"/>
    <w:rsid w:val="00D81BAE"/>
    <w:rsid w:val="00D81BFF"/>
    <w:rsid w:val="00D81D92"/>
    <w:rsid w:val="00D82109"/>
    <w:rsid w:val="00D82146"/>
    <w:rsid w:val="00D824DC"/>
    <w:rsid w:val="00D82D32"/>
    <w:rsid w:val="00D82D95"/>
    <w:rsid w:val="00D82E5D"/>
    <w:rsid w:val="00D82E6C"/>
    <w:rsid w:val="00D82F11"/>
    <w:rsid w:val="00D83407"/>
    <w:rsid w:val="00D838C6"/>
    <w:rsid w:val="00D83D2D"/>
    <w:rsid w:val="00D83EBD"/>
    <w:rsid w:val="00D84491"/>
    <w:rsid w:val="00D8478C"/>
    <w:rsid w:val="00D847FD"/>
    <w:rsid w:val="00D84955"/>
    <w:rsid w:val="00D85682"/>
    <w:rsid w:val="00D858E1"/>
    <w:rsid w:val="00D858FE"/>
    <w:rsid w:val="00D85BEA"/>
    <w:rsid w:val="00D85DCB"/>
    <w:rsid w:val="00D85E70"/>
    <w:rsid w:val="00D862F0"/>
    <w:rsid w:val="00D86B55"/>
    <w:rsid w:val="00D86B9B"/>
    <w:rsid w:val="00D86DE0"/>
    <w:rsid w:val="00D86E1D"/>
    <w:rsid w:val="00D871B1"/>
    <w:rsid w:val="00D871B7"/>
    <w:rsid w:val="00D871FF"/>
    <w:rsid w:val="00D8727D"/>
    <w:rsid w:val="00D87537"/>
    <w:rsid w:val="00D87632"/>
    <w:rsid w:val="00D87745"/>
    <w:rsid w:val="00D8790A"/>
    <w:rsid w:val="00D87954"/>
    <w:rsid w:val="00D87F20"/>
    <w:rsid w:val="00D903F7"/>
    <w:rsid w:val="00D906A7"/>
    <w:rsid w:val="00D907C2"/>
    <w:rsid w:val="00D90814"/>
    <w:rsid w:val="00D90945"/>
    <w:rsid w:val="00D90C43"/>
    <w:rsid w:val="00D90D32"/>
    <w:rsid w:val="00D913CA"/>
    <w:rsid w:val="00D919FF"/>
    <w:rsid w:val="00D9205B"/>
    <w:rsid w:val="00D92212"/>
    <w:rsid w:val="00D922EB"/>
    <w:rsid w:val="00D928B0"/>
    <w:rsid w:val="00D92FE7"/>
    <w:rsid w:val="00D937F8"/>
    <w:rsid w:val="00D93AB4"/>
    <w:rsid w:val="00D93DE9"/>
    <w:rsid w:val="00D93EC2"/>
    <w:rsid w:val="00D94541"/>
    <w:rsid w:val="00D94585"/>
    <w:rsid w:val="00D946FF"/>
    <w:rsid w:val="00D94A61"/>
    <w:rsid w:val="00D94C61"/>
    <w:rsid w:val="00D94CDC"/>
    <w:rsid w:val="00D94F0E"/>
    <w:rsid w:val="00D9527E"/>
    <w:rsid w:val="00D95436"/>
    <w:rsid w:val="00D95B09"/>
    <w:rsid w:val="00D95CB8"/>
    <w:rsid w:val="00D96B9F"/>
    <w:rsid w:val="00D9728F"/>
    <w:rsid w:val="00D9734C"/>
    <w:rsid w:val="00D97914"/>
    <w:rsid w:val="00D97AC3"/>
    <w:rsid w:val="00D97F19"/>
    <w:rsid w:val="00DA0055"/>
    <w:rsid w:val="00DA013C"/>
    <w:rsid w:val="00DA016B"/>
    <w:rsid w:val="00DA069B"/>
    <w:rsid w:val="00DA09D7"/>
    <w:rsid w:val="00DA0DC3"/>
    <w:rsid w:val="00DA0F14"/>
    <w:rsid w:val="00DA1086"/>
    <w:rsid w:val="00DA11F5"/>
    <w:rsid w:val="00DA1272"/>
    <w:rsid w:val="00DA1660"/>
    <w:rsid w:val="00DA1709"/>
    <w:rsid w:val="00DA1B6A"/>
    <w:rsid w:val="00DA1C01"/>
    <w:rsid w:val="00DA1D26"/>
    <w:rsid w:val="00DA1EE1"/>
    <w:rsid w:val="00DA221E"/>
    <w:rsid w:val="00DA22B2"/>
    <w:rsid w:val="00DA2566"/>
    <w:rsid w:val="00DA26AC"/>
    <w:rsid w:val="00DA2A79"/>
    <w:rsid w:val="00DA3224"/>
    <w:rsid w:val="00DA34D2"/>
    <w:rsid w:val="00DA387A"/>
    <w:rsid w:val="00DA3A62"/>
    <w:rsid w:val="00DA3A75"/>
    <w:rsid w:val="00DA3B6D"/>
    <w:rsid w:val="00DA3D85"/>
    <w:rsid w:val="00DA4416"/>
    <w:rsid w:val="00DA44CC"/>
    <w:rsid w:val="00DA4514"/>
    <w:rsid w:val="00DA452D"/>
    <w:rsid w:val="00DA45AF"/>
    <w:rsid w:val="00DA470A"/>
    <w:rsid w:val="00DA4AD2"/>
    <w:rsid w:val="00DA4B56"/>
    <w:rsid w:val="00DA4BBC"/>
    <w:rsid w:val="00DA4CCD"/>
    <w:rsid w:val="00DA4F99"/>
    <w:rsid w:val="00DA5584"/>
    <w:rsid w:val="00DA5628"/>
    <w:rsid w:val="00DA5CBF"/>
    <w:rsid w:val="00DA6279"/>
    <w:rsid w:val="00DA635B"/>
    <w:rsid w:val="00DA6395"/>
    <w:rsid w:val="00DA6481"/>
    <w:rsid w:val="00DA65FE"/>
    <w:rsid w:val="00DA6629"/>
    <w:rsid w:val="00DA66EB"/>
    <w:rsid w:val="00DA6E34"/>
    <w:rsid w:val="00DA6F13"/>
    <w:rsid w:val="00DA6F39"/>
    <w:rsid w:val="00DA6F3F"/>
    <w:rsid w:val="00DA6FF2"/>
    <w:rsid w:val="00DA70B0"/>
    <w:rsid w:val="00DA70F3"/>
    <w:rsid w:val="00DA73C4"/>
    <w:rsid w:val="00DA744D"/>
    <w:rsid w:val="00DA7521"/>
    <w:rsid w:val="00DA7828"/>
    <w:rsid w:val="00DA78F1"/>
    <w:rsid w:val="00DA7946"/>
    <w:rsid w:val="00DA7BB7"/>
    <w:rsid w:val="00DA7CA5"/>
    <w:rsid w:val="00DA7D03"/>
    <w:rsid w:val="00DB009A"/>
    <w:rsid w:val="00DB00F0"/>
    <w:rsid w:val="00DB03E3"/>
    <w:rsid w:val="00DB0449"/>
    <w:rsid w:val="00DB07E9"/>
    <w:rsid w:val="00DB0B3F"/>
    <w:rsid w:val="00DB0B6D"/>
    <w:rsid w:val="00DB0D03"/>
    <w:rsid w:val="00DB0E36"/>
    <w:rsid w:val="00DB1103"/>
    <w:rsid w:val="00DB1275"/>
    <w:rsid w:val="00DB1683"/>
    <w:rsid w:val="00DB1AE9"/>
    <w:rsid w:val="00DB1E6D"/>
    <w:rsid w:val="00DB20ED"/>
    <w:rsid w:val="00DB248D"/>
    <w:rsid w:val="00DB2547"/>
    <w:rsid w:val="00DB2A6D"/>
    <w:rsid w:val="00DB2CF4"/>
    <w:rsid w:val="00DB2E5E"/>
    <w:rsid w:val="00DB2F7D"/>
    <w:rsid w:val="00DB3045"/>
    <w:rsid w:val="00DB349E"/>
    <w:rsid w:val="00DB366F"/>
    <w:rsid w:val="00DB3B4C"/>
    <w:rsid w:val="00DB3C66"/>
    <w:rsid w:val="00DB3DA8"/>
    <w:rsid w:val="00DB40C1"/>
    <w:rsid w:val="00DB41C1"/>
    <w:rsid w:val="00DB4636"/>
    <w:rsid w:val="00DB46DD"/>
    <w:rsid w:val="00DB474F"/>
    <w:rsid w:val="00DB4850"/>
    <w:rsid w:val="00DB4910"/>
    <w:rsid w:val="00DB4CB9"/>
    <w:rsid w:val="00DB4E00"/>
    <w:rsid w:val="00DB54B4"/>
    <w:rsid w:val="00DB5785"/>
    <w:rsid w:val="00DB58DA"/>
    <w:rsid w:val="00DB5CD8"/>
    <w:rsid w:val="00DB5F7E"/>
    <w:rsid w:val="00DB6053"/>
    <w:rsid w:val="00DB6422"/>
    <w:rsid w:val="00DB6846"/>
    <w:rsid w:val="00DB6F0C"/>
    <w:rsid w:val="00DB712E"/>
    <w:rsid w:val="00DB7360"/>
    <w:rsid w:val="00DB7362"/>
    <w:rsid w:val="00DB73E9"/>
    <w:rsid w:val="00DB75BD"/>
    <w:rsid w:val="00DB75EA"/>
    <w:rsid w:val="00DB7B27"/>
    <w:rsid w:val="00DB7D86"/>
    <w:rsid w:val="00DC01E2"/>
    <w:rsid w:val="00DC05AB"/>
    <w:rsid w:val="00DC0885"/>
    <w:rsid w:val="00DC095A"/>
    <w:rsid w:val="00DC099A"/>
    <w:rsid w:val="00DC0A1B"/>
    <w:rsid w:val="00DC0A72"/>
    <w:rsid w:val="00DC0C4E"/>
    <w:rsid w:val="00DC0FDF"/>
    <w:rsid w:val="00DC1081"/>
    <w:rsid w:val="00DC12ED"/>
    <w:rsid w:val="00DC1339"/>
    <w:rsid w:val="00DC1595"/>
    <w:rsid w:val="00DC2274"/>
    <w:rsid w:val="00DC236E"/>
    <w:rsid w:val="00DC26DC"/>
    <w:rsid w:val="00DC2779"/>
    <w:rsid w:val="00DC3957"/>
    <w:rsid w:val="00DC3EE8"/>
    <w:rsid w:val="00DC3FA0"/>
    <w:rsid w:val="00DC4151"/>
    <w:rsid w:val="00DC43BD"/>
    <w:rsid w:val="00DC44D0"/>
    <w:rsid w:val="00DC44E4"/>
    <w:rsid w:val="00DC44FE"/>
    <w:rsid w:val="00DC4538"/>
    <w:rsid w:val="00DC5021"/>
    <w:rsid w:val="00DC5784"/>
    <w:rsid w:val="00DC585B"/>
    <w:rsid w:val="00DC587E"/>
    <w:rsid w:val="00DC5EB3"/>
    <w:rsid w:val="00DC603F"/>
    <w:rsid w:val="00DC6267"/>
    <w:rsid w:val="00DC63AD"/>
    <w:rsid w:val="00DC667F"/>
    <w:rsid w:val="00DC69B2"/>
    <w:rsid w:val="00DC6CA6"/>
    <w:rsid w:val="00DC701F"/>
    <w:rsid w:val="00DC70C4"/>
    <w:rsid w:val="00DC7475"/>
    <w:rsid w:val="00DC75F8"/>
    <w:rsid w:val="00DC7790"/>
    <w:rsid w:val="00DC7BBB"/>
    <w:rsid w:val="00DD0210"/>
    <w:rsid w:val="00DD0339"/>
    <w:rsid w:val="00DD097B"/>
    <w:rsid w:val="00DD0C43"/>
    <w:rsid w:val="00DD0E4B"/>
    <w:rsid w:val="00DD0E6A"/>
    <w:rsid w:val="00DD0F2B"/>
    <w:rsid w:val="00DD1320"/>
    <w:rsid w:val="00DD1B91"/>
    <w:rsid w:val="00DD1DE8"/>
    <w:rsid w:val="00DD1F83"/>
    <w:rsid w:val="00DD210C"/>
    <w:rsid w:val="00DD227A"/>
    <w:rsid w:val="00DD2349"/>
    <w:rsid w:val="00DD23A7"/>
    <w:rsid w:val="00DD2475"/>
    <w:rsid w:val="00DD26D3"/>
    <w:rsid w:val="00DD2720"/>
    <w:rsid w:val="00DD272B"/>
    <w:rsid w:val="00DD2ECA"/>
    <w:rsid w:val="00DD301F"/>
    <w:rsid w:val="00DD328B"/>
    <w:rsid w:val="00DD337A"/>
    <w:rsid w:val="00DD3408"/>
    <w:rsid w:val="00DD35EF"/>
    <w:rsid w:val="00DD3974"/>
    <w:rsid w:val="00DD39B0"/>
    <w:rsid w:val="00DD3C49"/>
    <w:rsid w:val="00DD3D0E"/>
    <w:rsid w:val="00DD40B1"/>
    <w:rsid w:val="00DD435E"/>
    <w:rsid w:val="00DD4388"/>
    <w:rsid w:val="00DD43E8"/>
    <w:rsid w:val="00DD45D0"/>
    <w:rsid w:val="00DD45DC"/>
    <w:rsid w:val="00DD46FC"/>
    <w:rsid w:val="00DD48C2"/>
    <w:rsid w:val="00DD49B5"/>
    <w:rsid w:val="00DD5001"/>
    <w:rsid w:val="00DD54FF"/>
    <w:rsid w:val="00DD55F8"/>
    <w:rsid w:val="00DD5642"/>
    <w:rsid w:val="00DD5995"/>
    <w:rsid w:val="00DD5B08"/>
    <w:rsid w:val="00DD5D15"/>
    <w:rsid w:val="00DD6642"/>
    <w:rsid w:val="00DD690A"/>
    <w:rsid w:val="00DD69BE"/>
    <w:rsid w:val="00DD6A06"/>
    <w:rsid w:val="00DD6B1D"/>
    <w:rsid w:val="00DD6EB6"/>
    <w:rsid w:val="00DD70E0"/>
    <w:rsid w:val="00DD718E"/>
    <w:rsid w:val="00DD7343"/>
    <w:rsid w:val="00DD76FC"/>
    <w:rsid w:val="00DD78F6"/>
    <w:rsid w:val="00DD7939"/>
    <w:rsid w:val="00DD7C55"/>
    <w:rsid w:val="00DE00E2"/>
    <w:rsid w:val="00DE02B3"/>
    <w:rsid w:val="00DE075A"/>
    <w:rsid w:val="00DE0869"/>
    <w:rsid w:val="00DE08E0"/>
    <w:rsid w:val="00DE109E"/>
    <w:rsid w:val="00DE12A3"/>
    <w:rsid w:val="00DE12B5"/>
    <w:rsid w:val="00DE1808"/>
    <w:rsid w:val="00DE1A4E"/>
    <w:rsid w:val="00DE2A81"/>
    <w:rsid w:val="00DE2F21"/>
    <w:rsid w:val="00DE3098"/>
    <w:rsid w:val="00DE34E6"/>
    <w:rsid w:val="00DE3782"/>
    <w:rsid w:val="00DE38F0"/>
    <w:rsid w:val="00DE3ABA"/>
    <w:rsid w:val="00DE3E85"/>
    <w:rsid w:val="00DE4369"/>
    <w:rsid w:val="00DE4682"/>
    <w:rsid w:val="00DE4706"/>
    <w:rsid w:val="00DE472B"/>
    <w:rsid w:val="00DE47D2"/>
    <w:rsid w:val="00DE4C1B"/>
    <w:rsid w:val="00DE4F40"/>
    <w:rsid w:val="00DE4F59"/>
    <w:rsid w:val="00DE52FA"/>
    <w:rsid w:val="00DE5F11"/>
    <w:rsid w:val="00DE629B"/>
    <w:rsid w:val="00DE63EA"/>
    <w:rsid w:val="00DE6572"/>
    <w:rsid w:val="00DE658B"/>
    <w:rsid w:val="00DE67B4"/>
    <w:rsid w:val="00DE6981"/>
    <w:rsid w:val="00DE6F50"/>
    <w:rsid w:val="00DE737C"/>
    <w:rsid w:val="00DE73CD"/>
    <w:rsid w:val="00DE77AE"/>
    <w:rsid w:val="00DF0115"/>
    <w:rsid w:val="00DF0C1B"/>
    <w:rsid w:val="00DF0ED5"/>
    <w:rsid w:val="00DF1016"/>
    <w:rsid w:val="00DF18A1"/>
    <w:rsid w:val="00DF19CB"/>
    <w:rsid w:val="00DF1F6B"/>
    <w:rsid w:val="00DF2ABB"/>
    <w:rsid w:val="00DF2D15"/>
    <w:rsid w:val="00DF3107"/>
    <w:rsid w:val="00DF3187"/>
    <w:rsid w:val="00DF34AD"/>
    <w:rsid w:val="00DF3747"/>
    <w:rsid w:val="00DF3F56"/>
    <w:rsid w:val="00DF406B"/>
    <w:rsid w:val="00DF40F1"/>
    <w:rsid w:val="00DF414D"/>
    <w:rsid w:val="00DF447C"/>
    <w:rsid w:val="00DF4505"/>
    <w:rsid w:val="00DF48D6"/>
    <w:rsid w:val="00DF5030"/>
    <w:rsid w:val="00DF51AF"/>
    <w:rsid w:val="00DF53FA"/>
    <w:rsid w:val="00DF574B"/>
    <w:rsid w:val="00DF5C11"/>
    <w:rsid w:val="00DF6033"/>
    <w:rsid w:val="00DF6066"/>
    <w:rsid w:val="00DF60D6"/>
    <w:rsid w:val="00DF614D"/>
    <w:rsid w:val="00DF6301"/>
    <w:rsid w:val="00DF656A"/>
    <w:rsid w:val="00DF6814"/>
    <w:rsid w:val="00DF6B60"/>
    <w:rsid w:val="00DF6CD8"/>
    <w:rsid w:val="00DF6E8D"/>
    <w:rsid w:val="00DF6E97"/>
    <w:rsid w:val="00DF70A1"/>
    <w:rsid w:val="00DF7237"/>
    <w:rsid w:val="00DF736D"/>
    <w:rsid w:val="00DF75CE"/>
    <w:rsid w:val="00DF772B"/>
    <w:rsid w:val="00DF7968"/>
    <w:rsid w:val="00DF79EC"/>
    <w:rsid w:val="00DF7EDA"/>
    <w:rsid w:val="00E003AC"/>
    <w:rsid w:val="00E00D92"/>
    <w:rsid w:val="00E012C0"/>
    <w:rsid w:val="00E01321"/>
    <w:rsid w:val="00E019F9"/>
    <w:rsid w:val="00E01B64"/>
    <w:rsid w:val="00E01B71"/>
    <w:rsid w:val="00E01DC0"/>
    <w:rsid w:val="00E020F7"/>
    <w:rsid w:val="00E02160"/>
    <w:rsid w:val="00E022E0"/>
    <w:rsid w:val="00E0258A"/>
    <w:rsid w:val="00E0305C"/>
    <w:rsid w:val="00E030CA"/>
    <w:rsid w:val="00E0334F"/>
    <w:rsid w:val="00E0344D"/>
    <w:rsid w:val="00E03485"/>
    <w:rsid w:val="00E036A8"/>
    <w:rsid w:val="00E03865"/>
    <w:rsid w:val="00E03921"/>
    <w:rsid w:val="00E03D59"/>
    <w:rsid w:val="00E03FF5"/>
    <w:rsid w:val="00E041B7"/>
    <w:rsid w:val="00E041E4"/>
    <w:rsid w:val="00E043F5"/>
    <w:rsid w:val="00E04C4D"/>
    <w:rsid w:val="00E04E31"/>
    <w:rsid w:val="00E04E54"/>
    <w:rsid w:val="00E05570"/>
    <w:rsid w:val="00E056AF"/>
    <w:rsid w:val="00E0587E"/>
    <w:rsid w:val="00E05A03"/>
    <w:rsid w:val="00E05B7E"/>
    <w:rsid w:val="00E05D5D"/>
    <w:rsid w:val="00E062B6"/>
    <w:rsid w:val="00E0651B"/>
    <w:rsid w:val="00E06520"/>
    <w:rsid w:val="00E0672A"/>
    <w:rsid w:val="00E0679A"/>
    <w:rsid w:val="00E067FE"/>
    <w:rsid w:val="00E06A16"/>
    <w:rsid w:val="00E06C69"/>
    <w:rsid w:val="00E06D77"/>
    <w:rsid w:val="00E06E3F"/>
    <w:rsid w:val="00E06EB6"/>
    <w:rsid w:val="00E072D3"/>
    <w:rsid w:val="00E07329"/>
    <w:rsid w:val="00E075CF"/>
    <w:rsid w:val="00E07B8C"/>
    <w:rsid w:val="00E100B3"/>
    <w:rsid w:val="00E1011B"/>
    <w:rsid w:val="00E101A2"/>
    <w:rsid w:val="00E101F9"/>
    <w:rsid w:val="00E10600"/>
    <w:rsid w:val="00E10A47"/>
    <w:rsid w:val="00E10D1D"/>
    <w:rsid w:val="00E10E8A"/>
    <w:rsid w:val="00E11084"/>
    <w:rsid w:val="00E11228"/>
    <w:rsid w:val="00E115EF"/>
    <w:rsid w:val="00E1194C"/>
    <w:rsid w:val="00E11B0A"/>
    <w:rsid w:val="00E11CEE"/>
    <w:rsid w:val="00E11DDE"/>
    <w:rsid w:val="00E126A1"/>
    <w:rsid w:val="00E12738"/>
    <w:rsid w:val="00E12936"/>
    <w:rsid w:val="00E12A50"/>
    <w:rsid w:val="00E12DBC"/>
    <w:rsid w:val="00E12E59"/>
    <w:rsid w:val="00E12E8E"/>
    <w:rsid w:val="00E12EE2"/>
    <w:rsid w:val="00E13439"/>
    <w:rsid w:val="00E13806"/>
    <w:rsid w:val="00E13AAF"/>
    <w:rsid w:val="00E13AB2"/>
    <w:rsid w:val="00E140BC"/>
    <w:rsid w:val="00E1435E"/>
    <w:rsid w:val="00E14865"/>
    <w:rsid w:val="00E1491A"/>
    <w:rsid w:val="00E14B43"/>
    <w:rsid w:val="00E14C06"/>
    <w:rsid w:val="00E14DBC"/>
    <w:rsid w:val="00E14F88"/>
    <w:rsid w:val="00E15081"/>
    <w:rsid w:val="00E151FF"/>
    <w:rsid w:val="00E15833"/>
    <w:rsid w:val="00E15EB7"/>
    <w:rsid w:val="00E160B4"/>
    <w:rsid w:val="00E16323"/>
    <w:rsid w:val="00E168D0"/>
    <w:rsid w:val="00E16A7F"/>
    <w:rsid w:val="00E16ACE"/>
    <w:rsid w:val="00E17442"/>
    <w:rsid w:val="00E174DA"/>
    <w:rsid w:val="00E17614"/>
    <w:rsid w:val="00E17663"/>
    <w:rsid w:val="00E17CD4"/>
    <w:rsid w:val="00E17ED5"/>
    <w:rsid w:val="00E17FB5"/>
    <w:rsid w:val="00E2006D"/>
    <w:rsid w:val="00E204B1"/>
    <w:rsid w:val="00E208D3"/>
    <w:rsid w:val="00E20960"/>
    <w:rsid w:val="00E20B1C"/>
    <w:rsid w:val="00E20C0C"/>
    <w:rsid w:val="00E20D5D"/>
    <w:rsid w:val="00E20D6A"/>
    <w:rsid w:val="00E2154F"/>
    <w:rsid w:val="00E21599"/>
    <w:rsid w:val="00E2179A"/>
    <w:rsid w:val="00E21EF1"/>
    <w:rsid w:val="00E221E1"/>
    <w:rsid w:val="00E222DB"/>
    <w:rsid w:val="00E22479"/>
    <w:rsid w:val="00E224A5"/>
    <w:rsid w:val="00E2265B"/>
    <w:rsid w:val="00E22A2F"/>
    <w:rsid w:val="00E22C76"/>
    <w:rsid w:val="00E22EFF"/>
    <w:rsid w:val="00E234FC"/>
    <w:rsid w:val="00E2383D"/>
    <w:rsid w:val="00E24032"/>
    <w:rsid w:val="00E2411F"/>
    <w:rsid w:val="00E24141"/>
    <w:rsid w:val="00E2444F"/>
    <w:rsid w:val="00E2451D"/>
    <w:rsid w:val="00E24865"/>
    <w:rsid w:val="00E249C2"/>
    <w:rsid w:val="00E24BF7"/>
    <w:rsid w:val="00E24D92"/>
    <w:rsid w:val="00E24E2C"/>
    <w:rsid w:val="00E24FCE"/>
    <w:rsid w:val="00E251D4"/>
    <w:rsid w:val="00E252E4"/>
    <w:rsid w:val="00E2534F"/>
    <w:rsid w:val="00E25872"/>
    <w:rsid w:val="00E258B9"/>
    <w:rsid w:val="00E259B2"/>
    <w:rsid w:val="00E26494"/>
    <w:rsid w:val="00E266D0"/>
    <w:rsid w:val="00E26754"/>
    <w:rsid w:val="00E26E1D"/>
    <w:rsid w:val="00E27365"/>
    <w:rsid w:val="00E278BD"/>
    <w:rsid w:val="00E27F64"/>
    <w:rsid w:val="00E30013"/>
    <w:rsid w:val="00E30118"/>
    <w:rsid w:val="00E3099E"/>
    <w:rsid w:val="00E30FC3"/>
    <w:rsid w:val="00E3153F"/>
    <w:rsid w:val="00E31767"/>
    <w:rsid w:val="00E3194F"/>
    <w:rsid w:val="00E31BFA"/>
    <w:rsid w:val="00E31C7B"/>
    <w:rsid w:val="00E31C9A"/>
    <w:rsid w:val="00E31F69"/>
    <w:rsid w:val="00E3206C"/>
    <w:rsid w:val="00E32090"/>
    <w:rsid w:val="00E32236"/>
    <w:rsid w:val="00E325EC"/>
    <w:rsid w:val="00E3267D"/>
    <w:rsid w:val="00E32684"/>
    <w:rsid w:val="00E3299B"/>
    <w:rsid w:val="00E32CC8"/>
    <w:rsid w:val="00E32D35"/>
    <w:rsid w:val="00E32F3B"/>
    <w:rsid w:val="00E32F40"/>
    <w:rsid w:val="00E333DB"/>
    <w:rsid w:val="00E33CD1"/>
    <w:rsid w:val="00E33E9F"/>
    <w:rsid w:val="00E343CE"/>
    <w:rsid w:val="00E3478D"/>
    <w:rsid w:val="00E347DC"/>
    <w:rsid w:val="00E34935"/>
    <w:rsid w:val="00E34955"/>
    <w:rsid w:val="00E34A86"/>
    <w:rsid w:val="00E35303"/>
    <w:rsid w:val="00E35404"/>
    <w:rsid w:val="00E35507"/>
    <w:rsid w:val="00E35783"/>
    <w:rsid w:val="00E35A68"/>
    <w:rsid w:val="00E35E74"/>
    <w:rsid w:val="00E363D6"/>
    <w:rsid w:val="00E36935"/>
    <w:rsid w:val="00E36A73"/>
    <w:rsid w:val="00E36B93"/>
    <w:rsid w:val="00E36E3E"/>
    <w:rsid w:val="00E373FE"/>
    <w:rsid w:val="00E37888"/>
    <w:rsid w:val="00E378D0"/>
    <w:rsid w:val="00E37992"/>
    <w:rsid w:val="00E379B3"/>
    <w:rsid w:val="00E37B78"/>
    <w:rsid w:val="00E37C91"/>
    <w:rsid w:val="00E37F1F"/>
    <w:rsid w:val="00E40099"/>
    <w:rsid w:val="00E400E3"/>
    <w:rsid w:val="00E4024C"/>
    <w:rsid w:val="00E4033D"/>
    <w:rsid w:val="00E40ABB"/>
    <w:rsid w:val="00E40BB4"/>
    <w:rsid w:val="00E40F07"/>
    <w:rsid w:val="00E41114"/>
    <w:rsid w:val="00E41200"/>
    <w:rsid w:val="00E414BB"/>
    <w:rsid w:val="00E41BB5"/>
    <w:rsid w:val="00E41CA9"/>
    <w:rsid w:val="00E4254A"/>
    <w:rsid w:val="00E42806"/>
    <w:rsid w:val="00E42B31"/>
    <w:rsid w:val="00E42B73"/>
    <w:rsid w:val="00E42D9B"/>
    <w:rsid w:val="00E42F2E"/>
    <w:rsid w:val="00E43458"/>
    <w:rsid w:val="00E4354F"/>
    <w:rsid w:val="00E43B28"/>
    <w:rsid w:val="00E43E08"/>
    <w:rsid w:val="00E4419D"/>
    <w:rsid w:val="00E443F0"/>
    <w:rsid w:val="00E44A88"/>
    <w:rsid w:val="00E44CA2"/>
    <w:rsid w:val="00E44E79"/>
    <w:rsid w:val="00E45067"/>
    <w:rsid w:val="00E4518A"/>
    <w:rsid w:val="00E45583"/>
    <w:rsid w:val="00E455D9"/>
    <w:rsid w:val="00E458A0"/>
    <w:rsid w:val="00E45A02"/>
    <w:rsid w:val="00E45AE6"/>
    <w:rsid w:val="00E46280"/>
    <w:rsid w:val="00E463F9"/>
    <w:rsid w:val="00E464CF"/>
    <w:rsid w:val="00E46EB5"/>
    <w:rsid w:val="00E4703A"/>
    <w:rsid w:val="00E472DC"/>
    <w:rsid w:val="00E475E4"/>
    <w:rsid w:val="00E476D8"/>
    <w:rsid w:val="00E4770D"/>
    <w:rsid w:val="00E477DF"/>
    <w:rsid w:val="00E47912"/>
    <w:rsid w:val="00E47C76"/>
    <w:rsid w:val="00E47D7B"/>
    <w:rsid w:val="00E5025D"/>
    <w:rsid w:val="00E50367"/>
    <w:rsid w:val="00E504E8"/>
    <w:rsid w:val="00E50B0F"/>
    <w:rsid w:val="00E50B15"/>
    <w:rsid w:val="00E5121F"/>
    <w:rsid w:val="00E512EC"/>
    <w:rsid w:val="00E51540"/>
    <w:rsid w:val="00E51B9C"/>
    <w:rsid w:val="00E51F20"/>
    <w:rsid w:val="00E52922"/>
    <w:rsid w:val="00E529E9"/>
    <w:rsid w:val="00E52AE2"/>
    <w:rsid w:val="00E52B59"/>
    <w:rsid w:val="00E52C08"/>
    <w:rsid w:val="00E530D8"/>
    <w:rsid w:val="00E53E23"/>
    <w:rsid w:val="00E53E97"/>
    <w:rsid w:val="00E53F48"/>
    <w:rsid w:val="00E53FB7"/>
    <w:rsid w:val="00E53FD0"/>
    <w:rsid w:val="00E5453A"/>
    <w:rsid w:val="00E54624"/>
    <w:rsid w:val="00E55268"/>
    <w:rsid w:val="00E5574B"/>
    <w:rsid w:val="00E557AC"/>
    <w:rsid w:val="00E55C3F"/>
    <w:rsid w:val="00E55CD3"/>
    <w:rsid w:val="00E56100"/>
    <w:rsid w:val="00E5625D"/>
    <w:rsid w:val="00E56A00"/>
    <w:rsid w:val="00E56AEC"/>
    <w:rsid w:val="00E56CF9"/>
    <w:rsid w:val="00E57194"/>
    <w:rsid w:val="00E572B1"/>
    <w:rsid w:val="00E574D7"/>
    <w:rsid w:val="00E5773E"/>
    <w:rsid w:val="00E57A18"/>
    <w:rsid w:val="00E57B11"/>
    <w:rsid w:val="00E60201"/>
    <w:rsid w:val="00E60298"/>
    <w:rsid w:val="00E6065F"/>
    <w:rsid w:val="00E6069F"/>
    <w:rsid w:val="00E6073C"/>
    <w:rsid w:val="00E608F4"/>
    <w:rsid w:val="00E60A0F"/>
    <w:rsid w:val="00E60CF2"/>
    <w:rsid w:val="00E60CF7"/>
    <w:rsid w:val="00E60EB7"/>
    <w:rsid w:val="00E61122"/>
    <w:rsid w:val="00E616A2"/>
    <w:rsid w:val="00E61747"/>
    <w:rsid w:val="00E618F2"/>
    <w:rsid w:val="00E61F2E"/>
    <w:rsid w:val="00E6210E"/>
    <w:rsid w:val="00E622F0"/>
    <w:rsid w:val="00E62472"/>
    <w:rsid w:val="00E62765"/>
    <w:rsid w:val="00E628F9"/>
    <w:rsid w:val="00E62C8B"/>
    <w:rsid w:val="00E6315F"/>
    <w:rsid w:val="00E6323B"/>
    <w:rsid w:val="00E632D9"/>
    <w:rsid w:val="00E633B5"/>
    <w:rsid w:val="00E633E1"/>
    <w:rsid w:val="00E634C7"/>
    <w:rsid w:val="00E637EB"/>
    <w:rsid w:val="00E63949"/>
    <w:rsid w:val="00E639FE"/>
    <w:rsid w:val="00E63FE7"/>
    <w:rsid w:val="00E646BA"/>
    <w:rsid w:val="00E64F98"/>
    <w:rsid w:val="00E652B3"/>
    <w:rsid w:val="00E652BA"/>
    <w:rsid w:val="00E6531F"/>
    <w:rsid w:val="00E656F3"/>
    <w:rsid w:val="00E65D80"/>
    <w:rsid w:val="00E65DB1"/>
    <w:rsid w:val="00E660E9"/>
    <w:rsid w:val="00E66409"/>
    <w:rsid w:val="00E6647D"/>
    <w:rsid w:val="00E664D9"/>
    <w:rsid w:val="00E6659F"/>
    <w:rsid w:val="00E66765"/>
    <w:rsid w:val="00E66C03"/>
    <w:rsid w:val="00E671FA"/>
    <w:rsid w:val="00E67334"/>
    <w:rsid w:val="00E6766D"/>
    <w:rsid w:val="00E67719"/>
    <w:rsid w:val="00E677D2"/>
    <w:rsid w:val="00E67943"/>
    <w:rsid w:val="00E6799A"/>
    <w:rsid w:val="00E67D9B"/>
    <w:rsid w:val="00E67F00"/>
    <w:rsid w:val="00E67F3B"/>
    <w:rsid w:val="00E703FD"/>
    <w:rsid w:val="00E70784"/>
    <w:rsid w:val="00E70A21"/>
    <w:rsid w:val="00E70E09"/>
    <w:rsid w:val="00E70E0F"/>
    <w:rsid w:val="00E70E21"/>
    <w:rsid w:val="00E71012"/>
    <w:rsid w:val="00E71189"/>
    <w:rsid w:val="00E717BC"/>
    <w:rsid w:val="00E71B86"/>
    <w:rsid w:val="00E71F56"/>
    <w:rsid w:val="00E720E8"/>
    <w:rsid w:val="00E72B15"/>
    <w:rsid w:val="00E72B59"/>
    <w:rsid w:val="00E72D8B"/>
    <w:rsid w:val="00E72F0E"/>
    <w:rsid w:val="00E72F25"/>
    <w:rsid w:val="00E72FCC"/>
    <w:rsid w:val="00E73703"/>
    <w:rsid w:val="00E73808"/>
    <w:rsid w:val="00E73CC0"/>
    <w:rsid w:val="00E74371"/>
    <w:rsid w:val="00E74528"/>
    <w:rsid w:val="00E74596"/>
    <w:rsid w:val="00E745F7"/>
    <w:rsid w:val="00E747B3"/>
    <w:rsid w:val="00E7484D"/>
    <w:rsid w:val="00E74F32"/>
    <w:rsid w:val="00E75086"/>
    <w:rsid w:val="00E753F3"/>
    <w:rsid w:val="00E754FA"/>
    <w:rsid w:val="00E75993"/>
    <w:rsid w:val="00E75AB3"/>
    <w:rsid w:val="00E76016"/>
    <w:rsid w:val="00E76056"/>
    <w:rsid w:val="00E760B1"/>
    <w:rsid w:val="00E76365"/>
    <w:rsid w:val="00E76570"/>
    <w:rsid w:val="00E7669B"/>
    <w:rsid w:val="00E76868"/>
    <w:rsid w:val="00E7695F"/>
    <w:rsid w:val="00E76CB7"/>
    <w:rsid w:val="00E76D6B"/>
    <w:rsid w:val="00E7713A"/>
    <w:rsid w:val="00E7723E"/>
    <w:rsid w:val="00E773D5"/>
    <w:rsid w:val="00E77518"/>
    <w:rsid w:val="00E77ACA"/>
    <w:rsid w:val="00E77FFB"/>
    <w:rsid w:val="00E77FFE"/>
    <w:rsid w:val="00E800F2"/>
    <w:rsid w:val="00E80162"/>
    <w:rsid w:val="00E802B7"/>
    <w:rsid w:val="00E80455"/>
    <w:rsid w:val="00E8061D"/>
    <w:rsid w:val="00E80AB8"/>
    <w:rsid w:val="00E81151"/>
    <w:rsid w:val="00E815BD"/>
    <w:rsid w:val="00E815FE"/>
    <w:rsid w:val="00E81DA9"/>
    <w:rsid w:val="00E81DCB"/>
    <w:rsid w:val="00E8260B"/>
    <w:rsid w:val="00E8290B"/>
    <w:rsid w:val="00E82AD6"/>
    <w:rsid w:val="00E82AEB"/>
    <w:rsid w:val="00E82B9E"/>
    <w:rsid w:val="00E82CCB"/>
    <w:rsid w:val="00E8313C"/>
    <w:rsid w:val="00E835C5"/>
    <w:rsid w:val="00E83614"/>
    <w:rsid w:val="00E83774"/>
    <w:rsid w:val="00E83BA9"/>
    <w:rsid w:val="00E83D0A"/>
    <w:rsid w:val="00E840FA"/>
    <w:rsid w:val="00E84189"/>
    <w:rsid w:val="00E84218"/>
    <w:rsid w:val="00E8472B"/>
    <w:rsid w:val="00E84919"/>
    <w:rsid w:val="00E84AEE"/>
    <w:rsid w:val="00E84E12"/>
    <w:rsid w:val="00E84F16"/>
    <w:rsid w:val="00E85102"/>
    <w:rsid w:val="00E852DC"/>
    <w:rsid w:val="00E85358"/>
    <w:rsid w:val="00E856FD"/>
    <w:rsid w:val="00E85885"/>
    <w:rsid w:val="00E8592E"/>
    <w:rsid w:val="00E85965"/>
    <w:rsid w:val="00E85988"/>
    <w:rsid w:val="00E85B36"/>
    <w:rsid w:val="00E85DC8"/>
    <w:rsid w:val="00E85E2B"/>
    <w:rsid w:val="00E85F73"/>
    <w:rsid w:val="00E86133"/>
    <w:rsid w:val="00E86402"/>
    <w:rsid w:val="00E865D7"/>
    <w:rsid w:val="00E8675C"/>
    <w:rsid w:val="00E868C8"/>
    <w:rsid w:val="00E86A5C"/>
    <w:rsid w:val="00E86E4B"/>
    <w:rsid w:val="00E86F4A"/>
    <w:rsid w:val="00E86FEF"/>
    <w:rsid w:val="00E870E1"/>
    <w:rsid w:val="00E87158"/>
    <w:rsid w:val="00E87234"/>
    <w:rsid w:val="00E87301"/>
    <w:rsid w:val="00E8734E"/>
    <w:rsid w:val="00E876DC"/>
    <w:rsid w:val="00E87D45"/>
    <w:rsid w:val="00E87EA5"/>
    <w:rsid w:val="00E90002"/>
    <w:rsid w:val="00E90037"/>
    <w:rsid w:val="00E90424"/>
    <w:rsid w:val="00E90599"/>
    <w:rsid w:val="00E908FD"/>
    <w:rsid w:val="00E909C6"/>
    <w:rsid w:val="00E909F8"/>
    <w:rsid w:val="00E90A25"/>
    <w:rsid w:val="00E90C38"/>
    <w:rsid w:val="00E90C77"/>
    <w:rsid w:val="00E90CA6"/>
    <w:rsid w:val="00E91192"/>
    <w:rsid w:val="00E9141C"/>
    <w:rsid w:val="00E9166C"/>
    <w:rsid w:val="00E91980"/>
    <w:rsid w:val="00E91C3B"/>
    <w:rsid w:val="00E91E4A"/>
    <w:rsid w:val="00E91EE5"/>
    <w:rsid w:val="00E9209E"/>
    <w:rsid w:val="00E920C8"/>
    <w:rsid w:val="00E92209"/>
    <w:rsid w:val="00E92316"/>
    <w:rsid w:val="00E92487"/>
    <w:rsid w:val="00E926F2"/>
    <w:rsid w:val="00E92970"/>
    <w:rsid w:val="00E92A05"/>
    <w:rsid w:val="00E92C0C"/>
    <w:rsid w:val="00E932F8"/>
    <w:rsid w:val="00E9382C"/>
    <w:rsid w:val="00E93C49"/>
    <w:rsid w:val="00E9475E"/>
    <w:rsid w:val="00E94967"/>
    <w:rsid w:val="00E94BF2"/>
    <w:rsid w:val="00E94D47"/>
    <w:rsid w:val="00E94D62"/>
    <w:rsid w:val="00E94E39"/>
    <w:rsid w:val="00E955F7"/>
    <w:rsid w:val="00E95ACD"/>
    <w:rsid w:val="00E95B97"/>
    <w:rsid w:val="00E95BF8"/>
    <w:rsid w:val="00E96213"/>
    <w:rsid w:val="00E965CB"/>
    <w:rsid w:val="00E9690F"/>
    <w:rsid w:val="00E970D3"/>
    <w:rsid w:val="00E9720D"/>
    <w:rsid w:val="00E972A8"/>
    <w:rsid w:val="00E97A58"/>
    <w:rsid w:val="00E97B41"/>
    <w:rsid w:val="00E97FE3"/>
    <w:rsid w:val="00EA01AE"/>
    <w:rsid w:val="00EA062E"/>
    <w:rsid w:val="00EA0957"/>
    <w:rsid w:val="00EA0A4B"/>
    <w:rsid w:val="00EA137E"/>
    <w:rsid w:val="00EA14FD"/>
    <w:rsid w:val="00EA152A"/>
    <w:rsid w:val="00EA18DD"/>
    <w:rsid w:val="00EA1B00"/>
    <w:rsid w:val="00EA1B6D"/>
    <w:rsid w:val="00EA1E89"/>
    <w:rsid w:val="00EA20BF"/>
    <w:rsid w:val="00EA24CB"/>
    <w:rsid w:val="00EA257E"/>
    <w:rsid w:val="00EA2821"/>
    <w:rsid w:val="00EA282B"/>
    <w:rsid w:val="00EA28BF"/>
    <w:rsid w:val="00EA28EE"/>
    <w:rsid w:val="00EA2965"/>
    <w:rsid w:val="00EA2E1E"/>
    <w:rsid w:val="00EA306A"/>
    <w:rsid w:val="00EA3121"/>
    <w:rsid w:val="00EA3A4C"/>
    <w:rsid w:val="00EA3A54"/>
    <w:rsid w:val="00EA3DDA"/>
    <w:rsid w:val="00EA3EB1"/>
    <w:rsid w:val="00EA4361"/>
    <w:rsid w:val="00EA4457"/>
    <w:rsid w:val="00EA445B"/>
    <w:rsid w:val="00EA45C5"/>
    <w:rsid w:val="00EA4945"/>
    <w:rsid w:val="00EA498A"/>
    <w:rsid w:val="00EA4B53"/>
    <w:rsid w:val="00EA4E3F"/>
    <w:rsid w:val="00EA4EA1"/>
    <w:rsid w:val="00EA4F77"/>
    <w:rsid w:val="00EA522B"/>
    <w:rsid w:val="00EA52C2"/>
    <w:rsid w:val="00EA559B"/>
    <w:rsid w:val="00EA5E98"/>
    <w:rsid w:val="00EA65C4"/>
    <w:rsid w:val="00EA669B"/>
    <w:rsid w:val="00EA6843"/>
    <w:rsid w:val="00EA6D7E"/>
    <w:rsid w:val="00EA6F17"/>
    <w:rsid w:val="00EA6F1B"/>
    <w:rsid w:val="00EA74E6"/>
    <w:rsid w:val="00EA7677"/>
    <w:rsid w:val="00EA773D"/>
    <w:rsid w:val="00EA77AC"/>
    <w:rsid w:val="00EA7DB3"/>
    <w:rsid w:val="00EA7E0C"/>
    <w:rsid w:val="00EA7FB8"/>
    <w:rsid w:val="00EB00C3"/>
    <w:rsid w:val="00EB0446"/>
    <w:rsid w:val="00EB0557"/>
    <w:rsid w:val="00EB0708"/>
    <w:rsid w:val="00EB0769"/>
    <w:rsid w:val="00EB0AD2"/>
    <w:rsid w:val="00EB0FB7"/>
    <w:rsid w:val="00EB15CD"/>
    <w:rsid w:val="00EB15DA"/>
    <w:rsid w:val="00EB1612"/>
    <w:rsid w:val="00EB1A08"/>
    <w:rsid w:val="00EB20A0"/>
    <w:rsid w:val="00EB22F5"/>
    <w:rsid w:val="00EB23E9"/>
    <w:rsid w:val="00EB24B9"/>
    <w:rsid w:val="00EB2607"/>
    <w:rsid w:val="00EB272F"/>
    <w:rsid w:val="00EB2A7D"/>
    <w:rsid w:val="00EB2DA7"/>
    <w:rsid w:val="00EB3163"/>
    <w:rsid w:val="00EB33BF"/>
    <w:rsid w:val="00EB3427"/>
    <w:rsid w:val="00EB3D31"/>
    <w:rsid w:val="00EB3F86"/>
    <w:rsid w:val="00EB42FA"/>
    <w:rsid w:val="00EB4317"/>
    <w:rsid w:val="00EB474D"/>
    <w:rsid w:val="00EB48F7"/>
    <w:rsid w:val="00EB4A3D"/>
    <w:rsid w:val="00EB5C97"/>
    <w:rsid w:val="00EB60A5"/>
    <w:rsid w:val="00EB67F8"/>
    <w:rsid w:val="00EB6A23"/>
    <w:rsid w:val="00EB6ABD"/>
    <w:rsid w:val="00EB6BC4"/>
    <w:rsid w:val="00EB6E10"/>
    <w:rsid w:val="00EB7023"/>
    <w:rsid w:val="00EB7550"/>
    <w:rsid w:val="00EB7684"/>
    <w:rsid w:val="00EB7717"/>
    <w:rsid w:val="00EB77AD"/>
    <w:rsid w:val="00EC0164"/>
    <w:rsid w:val="00EC01E8"/>
    <w:rsid w:val="00EC0385"/>
    <w:rsid w:val="00EC046E"/>
    <w:rsid w:val="00EC0507"/>
    <w:rsid w:val="00EC0521"/>
    <w:rsid w:val="00EC0654"/>
    <w:rsid w:val="00EC081F"/>
    <w:rsid w:val="00EC0E2F"/>
    <w:rsid w:val="00EC122D"/>
    <w:rsid w:val="00EC16E6"/>
    <w:rsid w:val="00EC1BA9"/>
    <w:rsid w:val="00EC1BEE"/>
    <w:rsid w:val="00EC20FD"/>
    <w:rsid w:val="00EC226B"/>
    <w:rsid w:val="00EC2297"/>
    <w:rsid w:val="00EC2A89"/>
    <w:rsid w:val="00EC2FC6"/>
    <w:rsid w:val="00EC3483"/>
    <w:rsid w:val="00EC372E"/>
    <w:rsid w:val="00EC3B0D"/>
    <w:rsid w:val="00EC4069"/>
    <w:rsid w:val="00EC4087"/>
    <w:rsid w:val="00EC4404"/>
    <w:rsid w:val="00EC483B"/>
    <w:rsid w:val="00EC49A4"/>
    <w:rsid w:val="00EC4C86"/>
    <w:rsid w:val="00EC4E5F"/>
    <w:rsid w:val="00EC5085"/>
    <w:rsid w:val="00EC5551"/>
    <w:rsid w:val="00EC5703"/>
    <w:rsid w:val="00EC5756"/>
    <w:rsid w:val="00EC5AD8"/>
    <w:rsid w:val="00EC60D1"/>
    <w:rsid w:val="00EC610F"/>
    <w:rsid w:val="00EC625C"/>
    <w:rsid w:val="00EC64D5"/>
    <w:rsid w:val="00EC6677"/>
    <w:rsid w:val="00EC6869"/>
    <w:rsid w:val="00EC69F2"/>
    <w:rsid w:val="00EC6A66"/>
    <w:rsid w:val="00EC6C23"/>
    <w:rsid w:val="00EC6D81"/>
    <w:rsid w:val="00EC6F68"/>
    <w:rsid w:val="00EC70B3"/>
    <w:rsid w:val="00EC7398"/>
    <w:rsid w:val="00EC7829"/>
    <w:rsid w:val="00EC793E"/>
    <w:rsid w:val="00EC7EEB"/>
    <w:rsid w:val="00ED04FB"/>
    <w:rsid w:val="00ED0EDB"/>
    <w:rsid w:val="00ED168F"/>
    <w:rsid w:val="00ED1792"/>
    <w:rsid w:val="00ED1844"/>
    <w:rsid w:val="00ED1C7B"/>
    <w:rsid w:val="00ED213A"/>
    <w:rsid w:val="00ED21AB"/>
    <w:rsid w:val="00ED24BB"/>
    <w:rsid w:val="00ED26A0"/>
    <w:rsid w:val="00ED276B"/>
    <w:rsid w:val="00ED2CC4"/>
    <w:rsid w:val="00ED2CE1"/>
    <w:rsid w:val="00ED2F6B"/>
    <w:rsid w:val="00ED3285"/>
    <w:rsid w:val="00ED3466"/>
    <w:rsid w:val="00ED358C"/>
    <w:rsid w:val="00ED3711"/>
    <w:rsid w:val="00ED3CE0"/>
    <w:rsid w:val="00ED3DED"/>
    <w:rsid w:val="00ED3FBE"/>
    <w:rsid w:val="00ED44F8"/>
    <w:rsid w:val="00ED4A40"/>
    <w:rsid w:val="00ED4B18"/>
    <w:rsid w:val="00ED4E8E"/>
    <w:rsid w:val="00ED4F17"/>
    <w:rsid w:val="00ED533F"/>
    <w:rsid w:val="00ED54A6"/>
    <w:rsid w:val="00ED56F7"/>
    <w:rsid w:val="00ED5875"/>
    <w:rsid w:val="00ED5BEC"/>
    <w:rsid w:val="00ED5CF8"/>
    <w:rsid w:val="00ED5DF1"/>
    <w:rsid w:val="00ED5E60"/>
    <w:rsid w:val="00ED68BB"/>
    <w:rsid w:val="00ED68D3"/>
    <w:rsid w:val="00ED6B65"/>
    <w:rsid w:val="00ED6B67"/>
    <w:rsid w:val="00ED6CCE"/>
    <w:rsid w:val="00ED70F7"/>
    <w:rsid w:val="00ED7238"/>
    <w:rsid w:val="00ED747F"/>
    <w:rsid w:val="00ED7718"/>
    <w:rsid w:val="00ED7952"/>
    <w:rsid w:val="00ED7A06"/>
    <w:rsid w:val="00ED7C27"/>
    <w:rsid w:val="00ED7E35"/>
    <w:rsid w:val="00ED7E48"/>
    <w:rsid w:val="00ED7EC3"/>
    <w:rsid w:val="00ED7F45"/>
    <w:rsid w:val="00EE0081"/>
    <w:rsid w:val="00EE06DF"/>
    <w:rsid w:val="00EE06FC"/>
    <w:rsid w:val="00EE0729"/>
    <w:rsid w:val="00EE072F"/>
    <w:rsid w:val="00EE0CFA"/>
    <w:rsid w:val="00EE0D03"/>
    <w:rsid w:val="00EE0E72"/>
    <w:rsid w:val="00EE103D"/>
    <w:rsid w:val="00EE103F"/>
    <w:rsid w:val="00EE11C5"/>
    <w:rsid w:val="00EE1850"/>
    <w:rsid w:val="00EE1866"/>
    <w:rsid w:val="00EE18A1"/>
    <w:rsid w:val="00EE18BF"/>
    <w:rsid w:val="00EE1AE7"/>
    <w:rsid w:val="00EE1C00"/>
    <w:rsid w:val="00EE1DA8"/>
    <w:rsid w:val="00EE1E32"/>
    <w:rsid w:val="00EE1EF0"/>
    <w:rsid w:val="00EE23C0"/>
    <w:rsid w:val="00EE2694"/>
    <w:rsid w:val="00EE2C77"/>
    <w:rsid w:val="00EE2CE2"/>
    <w:rsid w:val="00EE2F62"/>
    <w:rsid w:val="00EE33BE"/>
    <w:rsid w:val="00EE340B"/>
    <w:rsid w:val="00EE3510"/>
    <w:rsid w:val="00EE357F"/>
    <w:rsid w:val="00EE3913"/>
    <w:rsid w:val="00EE3F4B"/>
    <w:rsid w:val="00EE4093"/>
    <w:rsid w:val="00EE40A3"/>
    <w:rsid w:val="00EE4443"/>
    <w:rsid w:val="00EE44E0"/>
    <w:rsid w:val="00EE4A16"/>
    <w:rsid w:val="00EE4F75"/>
    <w:rsid w:val="00EE5079"/>
    <w:rsid w:val="00EE5104"/>
    <w:rsid w:val="00EE5116"/>
    <w:rsid w:val="00EE54D0"/>
    <w:rsid w:val="00EE5673"/>
    <w:rsid w:val="00EE56B6"/>
    <w:rsid w:val="00EE5784"/>
    <w:rsid w:val="00EE5B58"/>
    <w:rsid w:val="00EE5ECC"/>
    <w:rsid w:val="00EE628E"/>
    <w:rsid w:val="00EE64D8"/>
    <w:rsid w:val="00EE66DF"/>
    <w:rsid w:val="00EE6870"/>
    <w:rsid w:val="00EE6A11"/>
    <w:rsid w:val="00EE6A6E"/>
    <w:rsid w:val="00EE6FCA"/>
    <w:rsid w:val="00EE71CE"/>
    <w:rsid w:val="00EE76D0"/>
    <w:rsid w:val="00EE78B5"/>
    <w:rsid w:val="00EE7D7F"/>
    <w:rsid w:val="00EE7F16"/>
    <w:rsid w:val="00EF02A7"/>
    <w:rsid w:val="00EF0300"/>
    <w:rsid w:val="00EF0399"/>
    <w:rsid w:val="00EF04CB"/>
    <w:rsid w:val="00EF06D6"/>
    <w:rsid w:val="00EF0974"/>
    <w:rsid w:val="00EF1068"/>
    <w:rsid w:val="00EF114F"/>
    <w:rsid w:val="00EF120A"/>
    <w:rsid w:val="00EF12E9"/>
    <w:rsid w:val="00EF1322"/>
    <w:rsid w:val="00EF184A"/>
    <w:rsid w:val="00EF2181"/>
    <w:rsid w:val="00EF2464"/>
    <w:rsid w:val="00EF251C"/>
    <w:rsid w:val="00EF2898"/>
    <w:rsid w:val="00EF29DD"/>
    <w:rsid w:val="00EF2EF8"/>
    <w:rsid w:val="00EF2EFD"/>
    <w:rsid w:val="00EF3134"/>
    <w:rsid w:val="00EF3792"/>
    <w:rsid w:val="00EF3AA7"/>
    <w:rsid w:val="00EF3B7E"/>
    <w:rsid w:val="00EF40C5"/>
    <w:rsid w:val="00EF40C7"/>
    <w:rsid w:val="00EF439A"/>
    <w:rsid w:val="00EF444A"/>
    <w:rsid w:val="00EF4584"/>
    <w:rsid w:val="00EF47CC"/>
    <w:rsid w:val="00EF4887"/>
    <w:rsid w:val="00EF4BC5"/>
    <w:rsid w:val="00EF4DEE"/>
    <w:rsid w:val="00EF4ED1"/>
    <w:rsid w:val="00EF4F78"/>
    <w:rsid w:val="00EF4FE3"/>
    <w:rsid w:val="00EF534D"/>
    <w:rsid w:val="00EF58BF"/>
    <w:rsid w:val="00EF59D3"/>
    <w:rsid w:val="00EF6068"/>
    <w:rsid w:val="00EF60ED"/>
    <w:rsid w:val="00EF6477"/>
    <w:rsid w:val="00EF6512"/>
    <w:rsid w:val="00EF69AD"/>
    <w:rsid w:val="00EF6EB0"/>
    <w:rsid w:val="00EF7082"/>
    <w:rsid w:val="00EF718E"/>
    <w:rsid w:val="00EF739C"/>
    <w:rsid w:val="00EF7431"/>
    <w:rsid w:val="00F00609"/>
    <w:rsid w:val="00F00C22"/>
    <w:rsid w:val="00F00C9A"/>
    <w:rsid w:val="00F00FF4"/>
    <w:rsid w:val="00F0130B"/>
    <w:rsid w:val="00F0131A"/>
    <w:rsid w:val="00F01813"/>
    <w:rsid w:val="00F01842"/>
    <w:rsid w:val="00F01E02"/>
    <w:rsid w:val="00F02350"/>
    <w:rsid w:val="00F02405"/>
    <w:rsid w:val="00F024FE"/>
    <w:rsid w:val="00F029C3"/>
    <w:rsid w:val="00F02A07"/>
    <w:rsid w:val="00F02D19"/>
    <w:rsid w:val="00F02D25"/>
    <w:rsid w:val="00F02EDD"/>
    <w:rsid w:val="00F03139"/>
    <w:rsid w:val="00F0339E"/>
    <w:rsid w:val="00F03627"/>
    <w:rsid w:val="00F036FE"/>
    <w:rsid w:val="00F03758"/>
    <w:rsid w:val="00F03979"/>
    <w:rsid w:val="00F039A3"/>
    <w:rsid w:val="00F03AB1"/>
    <w:rsid w:val="00F04782"/>
    <w:rsid w:val="00F048C7"/>
    <w:rsid w:val="00F04AE2"/>
    <w:rsid w:val="00F04B6F"/>
    <w:rsid w:val="00F04DA9"/>
    <w:rsid w:val="00F05094"/>
    <w:rsid w:val="00F050AA"/>
    <w:rsid w:val="00F05213"/>
    <w:rsid w:val="00F0549B"/>
    <w:rsid w:val="00F054DC"/>
    <w:rsid w:val="00F0572B"/>
    <w:rsid w:val="00F059D0"/>
    <w:rsid w:val="00F05E48"/>
    <w:rsid w:val="00F05ED7"/>
    <w:rsid w:val="00F05F2B"/>
    <w:rsid w:val="00F060F4"/>
    <w:rsid w:val="00F064AE"/>
    <w:rsid w:val="00F06D6B"/>
    <w:rsid w:val="00F07094"/>
    <w:rsid w:val="00F071E7"/>
    <w:rsid w:val="00F07629"/>
    <w:rsid w:val="00F07653"/>
    <w:rsid w:val="00F07686"/>
    <w:rsid w:val="00F07897"/>
    <w:rsid w:val="00F07A0E"/>
    <w:rsid w:val="00F07A22"/>
    <w:rsid w:val="00F07A6B"/>
    <w:rsid w:val="00F07A84"/>
    <w:rsid w:val="00F07BA1"/>
    <w:rsid w:val="00F07FD5"/>
    <w:rsid w:val="00F07FDC"/>
    <w:rsid w:val="00F10297"/>
    <w:rsid w:val="00F10413"/>
    <w:rsid w:val="00F1047C"/>
    <w:rsid w:val="00F108A8"/>
    <w:rsid w:val="00F10AA0"/>
    <w:rsid w:val="00F10FE5"/>
    <w:rsid w:val="00F11395"/>
    <w:rsid w:val="00F113D5"/>
    <w:rsid w:val="00F11701"/>
    <w:rsid w:val="00F11814"/>
    <w:rsid w:val="00F11815"/>
    <w:rsid w:val="00F11893"/>
    <w:rsid w:val="00F11B03"/>
    <w:rsid w:val="00F11CD3"/>
    <w:rsid w:val="00F11E3A"/>
    <w:rsid w:val="00F11E6F"/>
    <w:rsid w:val="00F12060"/>
    <w:rsid w:val="00F1208A"/>
    <w:rsid w:val="00F1213B"/>
    <w:rsid w:val="00F121C8"/>
    <w:rsid w:val="00F12254"/>
    <w:rsid w:val="00F126B3"/>
    <w:rsid w:val="00F12B69"/>
    <w:rsid w:val="00F12EAA"/>
    <w:rsid w:val="00F12F18"/>
    <w:rsid w:val="00F12F33"/>
    <w:rsid w:val="00F12F5E"/>
    <w:rsid w:val="00F13046"/>
    <w:rsid w:val="00F13468"/>
    <w:rsid w:val="00F13EE9"/>
    <w:rsid w:val="00F1447D"/>
    <w:rsid w:val="00F1490C"/>
    <w:rsid w:val="00F14B85"/>
    <w:rsid w:val="00F14B9C"/>
    <w:rsid w:val="00F14CD9"/>
    <w:rsid w:val="00F14DF7"/>
    <w:rsid w:val="00F14EF9"/>
    <w:rsid w:val="00F152F3"/>
    <w:rsid w:val="00F15497"/>
    <w:rsid w:val="00F155E6"/>
    <w:rsid w:val="00F159D5"/>
    <w:rsid w:val="00F15A2A"/>
    <w:rsid w:val="00F15F5D"/>
    <w:rsid w:val="00F1627C"/>
    <w:rsid w:val="00F1655A"/>
    <w:rsid w:val="00F166E5"/>
    <w:rsid w:val="00F166E9"/>
    <w:rsid w:val="00F16817"/>
    <w:rsid w:val="00F16A86"/>
    <w:rsid w:val="00F16E98"/>
    <w:rsid w:val="00F1738F"/>
    <w:rsid w:val="00F174A0"/>
    <w:rsid w:val="00F17E3E"/>
    <w:rsid w:val="00F17E7B"/>
    <w:rsid w:val="00F20044"/>
    <w:rsid w:val="00F20BCB"/>
    <w:rsid w:val="00F21352"/>
    <w:rsid w:val="00F21472"/>
    <w:rsid w:val="00F21534"/>
    <w:rsid w:val="00F21698"/>
    <w:rsid w:val="00F216EB"/>
    <w:rsid w:val="00F21AEC"/>
    <w:rsid w:val="00F21C17"/>
    <w:rsid w:val="00F21D17"/>
    <w:rsid w:val="00F22005"/>
    <w:rsid w:val="00F2240C"/>
    <w:rsid w:val="00F2290A"/>
    <w:rsid w:val="00F22BA7"/>
    <w:rsid w:val="00F22FD6"/>
    <w:rsid w:val="00F23113"/>
    <w:rsid w:val="00F23395"/>
    <w:rsid w:val="00F23739"/>
    <w:rsid w:val="00F238F2"/>
    <w:rsid w:val="00F23DAA"/>
    <w:rsid w:val="00F23DCB"/>
    <w:rsid w:val="00F23EB5"/>
    <w:rsid w:val="00F23FFA"/>
    <w:rsid w:val="00F24343"/>
    <w:rsid w:val="00F24425"/>
    <w:rsid w:val="00F244E2"/>
    <w:rsid w:val="00F248C6"/>
    <w:rsid w:val="00F24E33"/>
    <w:rsid w:val="00F25186"/>
    <w:rsid w:val="00F25342"/>
    <w:rsid w:val="00F2537C"/>
    <w:rsid w:val="00F253BB"/>
    <w:rsid w:val="00F25FE0"/>
    <w:rsid w:val="00F261C8"/>
    <w:rsid w:val="00F265B1"/>
    <w:rsid w:val="00F26663"/>
    <w:rsid w:val="00F2676F"/>
    <w:rsid w:val="00F267B6"/>
    <w:rsid w:val="00F26A5A"/>
    <w:rsid w:val="00F26AC8"/>
    <w:rsid w:val="00F26BBA"/>
    <w:rsid w:val="00F26DF5"/>
    <w:rsid w:val="00F26E6B"/>
    <w:rsid w:val="00F27351"/>
    <w:rsid w:val="00F2779A"/>
    <w:rsid w:val="00F2783E"/>
    <w:rsid w:val="00F27DFF"/>
    <w:rsid w:val="00F27FC7"/>
    <w:rsid w:val="00F30112"/>
    <w:rsid w:val="00F3031F"/>
    <w:rsid w:val="00F30B77"/>
    <w:rsid w:val="00F30FB5"/>
    <w:rsid w:val="00F3131F"/>
    <w:rsid w:val="00F31489"/>
    <w:rsid w:val="00F31730"/>
    <w:rsid w:val="00F31916"/>
    <w:rsid w:val="00F31F48"/>
    <w:rsid w:val="00F32317"/>
    <w:rsid w:val="00F3236F"/>
    <w:rsid w:val="00F328A7"/>
    <w:rsid w:val="00F32C41"/>
    <w:rsid w:val="00F32CAB"/>
    <w:rsid w:val="00F32CF6"/>
    <w:rsid w:val="00F32DFB"/>
    <w:rsid w:val="00F32F04"/>
    <w:rsid w:val="00F334B2"/>
    <w:rsid w:val="00F33718"/>
    <w:rsid w:val="00F3387E"/>
    <w:rsid w:val="00F33B1D"/>
    <w:rsid w:val="00F34447"/>
    <w:rsid w:val="00F344A6"/>
    <w:rsid w:val="00F3457F"/>
    <w:rsid w:val="00F345DA"/>
    <w:rsid w:val="00F347A3"/>
    <w:rsid w:val="00F3498B"/>
    <w:rsid w:val="00F34ED4"/>
    <w:rsid w:val="00F35098"/>
    <w:rsid w:val="00F35122"/>
    <w:rsid w:val="00F3521F"/>
    <w:rsid w:val="00F3528E"/>
    <w:rsid w:val="00F353B0"/>
    <w:rsid w:val="00F3543B"/>
    <w:rsid w:val="00F3550D"/>
    <w:rsid w:val="00F35712"/>
    <w:rsid w:val="00F35A11"/>
    <w:rsid w:val="00F35B4E"/>
    <w:rsid w:val="00F35EE1"/>
    <w:rsid w:val="00F35FE6"/>
    <w:rsid w:val="00F3603F"/>
    <w:rsid w:val="00F3614C"/>
    <w:rsid w:val="00F364AB"/>
    <w:rsid w:val="00F36762"/>
    <w:rsid w:val="00F36866"/>
    <w:rsid w:val="00F36912"/>
    <w:rsid w:val="00F36D9C"/>
    <w:rsid w:val="00F36DE0"/>
    <w:rsid w:val="00F36FC5"/>
    <w:rsid w:val="00F3731F"/>
    <w:rsid w:val="00F378A6"/>
    <w:rsid w:val="00F37EB2"/>
    <w:rsid w:val="00F4061A"/>
    <w:rsid w:val="00F407F8"/>
    <w:rsid w:val="00F40899"/>
    <w:rsid w:val="00F40A02"/>
    <w:rsid w:val="00F40A68"/>
    <w:rsid w:val="00F40CAA"/>
    <w:rsid w:val="00F40DAF"/>
    <w:rsid w:val="00F41708"/>
    <w:rsid w:val="00F41829"/>
    <w:rsid w:val="00F41FF3"/>
    <w:rsid w:val="00F422BD"/>
    <w:rsid w:val="00F422F3"/>
    <w:rsid w:val="00F4230D"/>
    <w:rsid w:val="00F424D9"/>
    <w:rsid w:val="00F424DA"/>
    <w:rsid w:val="00F42693"/>
    <w:rsid w:val="00F427BE"/>
    <w:rsid w:val="00F42883"/>
    <w:rsid w:val="00F42A33"/>
    <w:rsid w:val="00F42B61"/>
    <w:rsid w:val="00F42CA9"/>
    <w:rsid w:val="00F42D8E"/>
    <w:rsid w:val="00F4306E"/>
    <w:rsid w:val="00F43772"/>
    <w:rsid w:val="00F4392A"/>
    <w:rsid w:val="00F43AB8"/>
    <w:rsid w:val="00F43CC1"/>
    <w:rsid w:val="00F43E45"/>
    <w:rsid w:val="00F44058"/>
    <w:rsid w:val="00F443AE"/>
    <w:rsid w:val="00F44542"/>
    <w:rsid w:val="00F44878"/>
    <w:rsid w:val="00F449D6"/>
    <w:rsid w:val="00F44A62"/>
    <w:rsid w:val="00F44ECF"/>
    <w:rsid w:val="00F45374"/>
    <w:rsid w:val="00F45473"/>
    <w:rsid w:val="00F456E5"/>
    <w:rsid w:val="00F45E0F"/>
    <w:rsid w:val="00F45F8B"/>
    <w:rsid w:val="00F4684E"/>
    <w:rsid w:val="00F46B1E"/>
    <w:rsid w:val="00F46CCA"/>
    <w:rsid w:val="00F470B8"/>
    <w:rsid w:val="00F47134"/>
    <w:rsid w:val="00F471D0"/>
    <w:rsid w:val="00F477E4"/>
    <w:rsid w:val="00F4782E"/>
    <w:rsid w:val="00F479BA"/>
    <w:rsid w:val="00F5026A"/>
    <w:rsid w:val="00F50534"/>
    <w:rsid w:val="00F50669"/>
    <w:rsid w:val="00F50A80"/>
    <w:rsid w:val="00F50CA1"/>
    <w:rsid w:val="00F5111F"/>
    <w:rsid w:val="00F51567"/>
    <w:rsid w:val="00F51771"/>
    <w:rsid w:val="00F51A43"/>
    <w:rsid w:val="00F51E84"/>
    <w:rsid w:val="00F51F23"/>
    <w:rsid w:val="00F51F9A"/>
    <w:rsid w:val="00F52191"/>
    <w:rsid w:val="00F52688"/>
    <w:rsid w:val="00F5271B"/>
    <w:rsid w:val="00F52764"/>
    <w:rsid w:val="00F5292F"/>
    <w:rsid w:val="00F52A42"/>
    <w:rsid w:val="00F52D7E"/>
    <w:rsid w:val="00F52E87"/>
    <w:rsid w:val="00F53540"/>
    <w:rsid w:val="00F5356F"/>
    <w:rsid w:val="00F53A68"/>
    <w:rsid w:val="00F53C53"/>
    <w:rsid w:val="00F53D95"/>
    <w:rsid w:val="00F53E94"/>
    <w:rsid w:val="00F541CC"/>
    <w:rsid w:val="00F544BD"/>
    <w:rsid w:val="00F544F4"/>
    <w:rsid w:val="00F5493A"/>
    <w:rsid w:val="00F549BB"/>
    <w:rsid w:val="00F549C4"/>
    <w:rsid w:val="00F54C72"/>
    <w:rsid w:val="00F54E80"/>
    <w:rsid w:val="00F5506B"/>
    <w:rsid w:val="00F556C0"/>
    <w:rsid w:val="00F55B70"/>
    <w:rsid w:val="00F55BA8"/>
    <w:rsid w:val="00F55C16"/>
    <w:rsid w:val="00F5631A"/>
    <w:rsid w:val="00F56361"/>
    <w:rsid w:val="00F56469"/>
    <w:rsid w:val="00F56BCF"/>
    <w:rsid w:val="00F57246"/>
    <w:rsid w:val="00F572F1"/>
    <w:rsid w:val="00F574F8"/>
    <w:rsid w:val="00F57672"/>
    <w:rsid w:val="00F57955"/>
    <w:rsid w:val="00F57AF0"/>
    <w:rsid w:val="00F57E24"/>
    <w:rsid w:val="00F57FAB"/>
    <w:rsid w:val="00F60BAD"/>
    <w:rsid w:val="00F60E55"/>
    <w:rsid w:val="00F60FC5"/>
    <w:rsid w:val="00F61369"/>
    <w:rsid w:val="00F614E5"/>
    <w:rsid w:val="00F61728"/>
    <w:rsid w:val="00F61729"/>
    <w:rsid w:val="00F619AF"/>
    <w:rsid w:val="00F61AE8"/>
    <w:rsid w:val="00F61C56"/>
    <w:rsid w:val="00F61E65"/>
    <w:rsid w:val="00F61FB3"/>
    <w:rsid w:val="00F627D2"/>
    <w:rsid w:val="00F62F86"/>
    <w:rsid w:val="00F63428"/>
    <w:rsid w:val="00F634D1"/>
    <w:rsid w:val="00F6364F"/>
    <w:rsid w:val="00F6372F"/>
    <w:rsid w:val="00F6382A"/>
    <w:rsid w:val="00F6394C"/>
    <w:rsid w:val="00F63AA3"/>
    <w:rsid w:val="00F63DF1"/>
    <w:rsid w:val="00F63EA8"/>
    <w:rsid w:val="00F640E9"/>
    <w:rsid w:val="00F64136"/>
    <w:rsid w:val="00F642BC"/>
    <w:rsid w:val="00F64627"/>
    <w:rsid w:val="00F64739"/>
    <w:rsid w:val="00F64A5D"/>
    <w:rsid w:val="00F64D46"/>
    <w:rsid w:val="00F654B3"/>
    <w:rsid w:val="00F65893"/>
    <w:rsid w:val="00F658A8"/>
    <w:rsid w:val="00F65ED7"/>
    <w:rsid w:val="00F65FCA"/>
    <w:rsid w:val="00F65FCD"/>
    <w:rsid w:val="00F66113"/>
    <w:rsid w:val="00F6628C"/>
    <w:rsid w:val="00F66470"/>
    <w:rsid w:val="00F666A3"/>
    <w:rsid w:val="00F666D4"/>
    <w:rsid w:val="00F667B6"/>
    <w:rsid w:val="00F669F4"/>
    <w:rsid w:val="00F66C0F"/>
    <w:rsid w:val="00F66E27"/>
    <w:rsid w:val="00F671B3"/>
    <w:rsid w:val="00F67828"/>
    <w:rsid w:val="00F678F5"/>
    <w:rsid w:val="00F67F67"/>
    <w:rsid w:val="00F67FAE"/>
    <w:rsid w:val="00F70445"/>
    <w:rsid w:val="00F70A1F"/>
    <w:rsid w:val="00F70B00"/>
    <w:rsid w:val="00F70BEC"/>
    <w:rsid w:val="00F70BFE"/>
    <w:rsid w:val="00F70D54"/>
    <w:rsid w:val="00F70EEE"/>
    <w:rsid w:val="00F7108D"/>
    <w:rsid w:val="00F71EB1"/>
    <w:rsid w:val="00F725AC"/>
    <w:rsid w:val="00F726CA"/>
    <w:rsid w:val="00F72763"/>
    <w:rsid w:val="00F727D0"/>
    <w:rsid w:val="00F72993"/>
    <w:rsid w:val="00F72A90"/>
    <w:rsid w:val="00F72C63"/>
    <w:rsid w:val="00F72D93"/>
    <w:rsid w:val="00F72ED8"/>
    <w:rsid w:val="00F730EA"/>
    <w:rsid w:val="00F73213"/>
    <w:rsid w:val="00F73279"/>
    <w:rsid w:val="00F7333D"/>
    <w:rsid w:val="00F7339B"/>
    <w:rsid w:val="00F733B1"/>
    <w:rsid w:val="00F7371D"/>
    <w:rsid w:val="00F73A38"/>
    <w:rsid w:val="00F73AED"/>
    <w:rsid w:val="00F73D60"/>
    <w:rsid w:val="00F73F1B"/>
    <w:rsid w:val="00F74197"/>
    <w:rsid w:val="00F745A6"/>
    <w:rsid w:val="00F74F14"/>
    <w:rsid w:val="00F75085"/>
    <w:rsid w:val="00F75353"/>
    <w:rsid w:val="00F75545"/>
    <w:rsid w:val="00F75649"/>
    <w:rsid w:val="00F75694"/>
    <w:rsid w:val="00F75812"/>
    <w:rsid w:val="00F758D3"/>
    <w:rsid w:val="00F75BC3"/>
    <w:rsid w:val="00F75DAB"/>
    <w:rsid w:val="00F75DF9"/>
    <w:rsid w:val="00F75E95"/>
    <w:rsid w:val="00F75FE9"/>
    <w:rsid w:val="00F76094"/>
    <w:rsid w:val="00F76451"/>
    <w:rsid w:val="00F7694A"/>
    <w:rsid w:val="00F76ACF"/>
    <w:rsid w:val="00F76AD5"/>
    <w:rsid w:val="00F76BEA"/>
    <w:rsid w:val="00F77351"/>
    <w:rsid w:val="00F774B9"/>
    <w:rsid w:val="00F775F2"/>
    <w:rsid w:val="00F77777"/>
    <w:rsid w:val="00F778A3"/>
    <w:rsid w:val="00F77942"/>
    <w:rsid w:val="00F77E1D"/>
    <w:rsid w:val="00F77EB1"/>
    <w:rsid w:val="00F80041"/>
    <w:rsid w:val="00F8064B"/>
    <w:rsid w:val="00F80822"/>
    <w:rsid w:val="00F80ADA"/>
    <w:rsid w:val="00F80AE6"/>
    <w:rsid w:val="00F80C5A"/>
    <w:rsid w:val="00F80E22"/>
    <w:rsid w:val="00F80F34"/>
    <w:rsid w:val="00F80F3E"/>
    <w:rsid w:val="00F810B6"/>
    <w:rsid w:val="00F811EB"/>
    <w:rsid w:val="00F81335"/>
    <w:rsid w:val="00F813AD"/>
    <w:rsid w:val="00F81965"/>
    <w:rsid w:val="00F8287F"/>
    <w:rsid w:val="00F83206"/>
    <w:rsid w:val="00F8389B"/>
    <w:rsid w:val="00F838DD"/>
    <w:rsid w:val="00F83BBD"/>
    <w:rsid w:val="00F83E45"/>
    <w:rsid w:val="00F8445D"/>
    <w:rsid w:val="00F84585"/>
    <w:rsid w:val="00F84831"/>
    <w:rsid w:val="00F848B6"/>
    <w:rsid w:val="00F84BAA"/>
    <w:rsid w:val="00F84D75"/>
    <w:rsid w:val="00F84E7F"/>
    <w:rsid w:val="00F850BC"/>
    <w:rsid w:val="00F851C0"/>
    <w:rsid w:val="00F855FF"/>
    <w:rsid w:val="00F85681"/>
    <w:rsid w:val="00F8590D"/>
    <w:rsid w:val="00F85B65"/>
    <w:rsid w:val="00F85E07"/>
    <w:rsid w:val="00F85FC5"/>
    <w:rsid w:val="00F86038"/>
    <w:rsid w:val="00F86210"/>
    <w:rsid w:val="00F8623F"/>
    <w:rsid w:val="00F86377"/>
    <w:rsid w:val="00F8673E"/>
    <w:rsid w:val="00F86826"/>
    <w:rsid w:val="00F86E7F"/>
    <w:rsid w:val="00F86ECA"/>
    <w:rsid w:val="00F872FC"/>
    <w:rsid w:val="00F878EC"/>
    <w:rsid w:val="00F87B8D"/>
    <w:rsid w:val="00F87BCE"/>
    <w:rsid w:val="00F87E20"/>
    <w:rsid w:val="00F903A6"/>
    <w:rsid w:val="00F90469"/>
    <w:rsid w:val="00F905B9"/>
    <w:rsid w:val="00F9060C"/>
    <w:rsid w:val="00F90AD4"/>
    <w:rsid w:val="00F90B2F"/>
    <w:rsid w:val="00F91093"/>
    <w:rsid w:val="00F91404"/>
    <w:rsid w:val="00F91AD6"/>
    <w:rsid w:val="00F91C03"/>
    <w:rsid w:val="00F91D41"/>
    <w:rsid w:val="00F92474"/>
    <w:rsid w:val="00F9259D"/>
    <w:rsid w:val="00F925F0"/>
    <w:rsid w:val="00F92A05"/>
    <w:rsid w:val="00F92B36"/>
    <w:rsid w:val="00F92C1D"/>
    <w:rsid w:val="00F92D12"/>
    <w:rsid w:val="00F930F2"/>
    <w:rsid w:val="00F93329"/>
    <w:rsid w:val="00F93438"/>
    <w:rsid w:val="00F93550"/>
    <w:rsid w:val="00F9374B"/>
    <w:rsid w:val="00F93847"/>
    <w:rsid w:val="00F93A82"/>
    <w:rsid w:val="00F93B19"/>
    <w:rsid w:val="00F93BC8"/>
    <w:rsid w:val="00F93DD9"/>
    <w:rsid w:val="00F944B7"/>
    <w:rsid w:val="00F94DA9"/>
    <w:rsid w:val="00F94EB5"/>
    <w:rsid w:val="00F955D9"/>
    <w:rsid w:val="00F95661"/>
    <w:rsid w:val="00F95A30"/>
    <w:rsid w:val="00F95E7F"/>
    <w:rsid w:val="00F9641C"/>
    <w:rsid w:val="00F96883"/>
    <w:rsid w:val="00F96893"/>
    <w:rsid w:val="00F96A7B"/>
    <w:rsid w:val="00F9739C"/>
    <w:rsid w:val="00F97986"/>
    <w:rsid w:val="00F97A3B"/>
    <w:rsid w:val="00FA0366"/>
    <w:rsid w:val="00FA0746"/>
    <w:rsid w:val="00FA0B03"/>
    <w:rsid w:val="00FA0E63"/>
    <w:rsid w:val="00FA1719"/>
    <w:rsid w:val="00FA1920"/>
    <w:rsid w:val="00FA1943"/>
    <w:rsid w:val="00FA1BBC"/>
    <w:rsid w:val="00FA1DF1"/>
    <w:rsid w:val="00FA2037"/>
    <w:rsid w:val="00FA214D"/>
    <w:rsid w:val="00FA21B7"/>
    <w:rsid w:val="00FA23FE"/>
    <w:rsid w:val="00FA24F7"/>
    <w:rsid w:val="00FA264F"/>
    <w:rsid w:val="00FA288B"/>
    <w:rsid w:val="00FA2D37"/>
    <w:rsid w:val="00FA2DEA"/>
    <w:rsid w:val="00FA36AC"/>
    <w:rsid w:val="00FA3771"/>
    <w:rsid w:val="00FA3838"/>
    <w:rsid w:val="00FA3BEA"/>
    <w:rsid w:val="00FA3C08"/>
    <w:rsid w:val="00FA3D2E"/>
    <w:rsid w:val="00FA42C5"/>
    <w:rsid w:val="00FA4349"/>
    <w:rsid w:val="00FA4394"/>
    <w:rsid w:val="00FA47C2"/>
    <w:rsid w:val="00FA4A52"/>
    <w:rsid w:val="00FA4BA7"/>
    <w:rsid w:val="00FA5045"/>
    <w:rsid w:val="00FA521E"/>
    <w:rsid w:val="00FA538A"/>
    <w:rsid w:val="00FA55E3"/>
    <w:rsid w:val="00FA5FBF"/>
    <w:rsid w:val="00FA6E48"/>
    <w:rsid w:val="00FA6E4C"/>
    <w:rsid w:val="00FA6F03"/>
    <w:rsid w:val="00FA6F19"/>
    <w:rsid w:val="00FA6F65"/>
    <w:rsid w:val="00FA70B3"/>
    <w:rsid w:val="00FA7102"/>
    <w:rsid w:val="00FA722E"/>
    <w:rsid w:val="00FA7333"/>
    <w:rsid w:val="00FA755E"/>
    <w:rsid w:val="00FA7BE9"/>
    <w:rsid w:val="00FB01EC"/>
    <w:rsid w:val="00FB0682"/>
    <w:rsid w:val="00FB0BC1"/>
    <w:rsid w:val="00FB103E"/>
    <w:rsid w:val="00FB1055"/>
    <w:rsid w:val="00FB11EC"/>
    <w:rsid w:val="00FB1603"/>
    <w:rsid w:val="00FB1712"/>
    <w:rsid w:val="00FB253A"/>
    <w:rsid w:val="00FB268E"/>
    <w:rsid w:val="00FB26E8"/>
    <w:rsid w:val="00FB2EA6"/>
    <w:rsid w:val="00FB3D17"/>
    <w:rsid w:val="00FB3EDD"/>
    <w:rsid w:val="00FB3EF2"/>
    <w:rsid w:val="00FB3FCE"/>
    <w:rsid w:val="00FB4008"/>
    <w:rsid w:val="00FB42BA"/>
    <w:rsid w:val="00FB440D"/>
    <w:rsid w:val="00FB46C4"/>
    <w:rsid w:val="00FB472E"/>
    <w:rsid w:val="00FB47CB"/>
    <w:rsid w:val="00FB4909"/>
    <w:rsid w:val="00FB4D1C"/>
    <w:rsid w:val="00FB4D3A"/>
    <w:rsid w:val="00FB4FAB"/>
    <w:rsid w:val="00FB5005"/>
    <w:rsid w:val="00FB501D"/>
    <w:rsid w:val="00FB50F9"/>
    <w:rsid w:val="00FB5219"/>
    <w:rsid w:val="00FB54A3"/>
    <w:rsid w:val="00FB5591"/>
    <w:rsid w:val="00FB5631"/>
    <w:rsid w:val="00FB56DB"/>
    <w:rsid w:val="00FB5725"/>
    <w:rsid w:val="00FB59D0"/>
    <w:rsid w:val="00FB602F"/>
    <w:rsid w:val="00FB60B9"/>
    <w:rsid w:val="00FB6260"/>
    <w:rsid w:val="00FB6B0D"/>
    <w:rsid w:val="00FB6FF0"/>
    <w:rsid w:val="00FB7C6D"/>
    <w:rsid w:val="00FC019D"/>
    <w:rsid w:val="00FC050F"/>
    <w:rsid w:val="00FC0CD3"/>
    <w:rsid w:val="00FC1135"/>
    <w:rsid w:val="00FC14D1"/>
    <w:rsid w:val="00FC1746"/>
    <w:rsid w:val="00FC17E3"/>
    <w:rsid w:val="00FC1981"/>
    <w:rsid w:val="00FC1CD5"/>
    <w:rsid w:val="00FC234F"/>
    <w:rsid w:val="00FC2851"/>
    <w:rsid w:val="00FC28A1"/>
    <w:rsid w:val="00FC291C"/>
    <w:rsid w:val="00FC2BE2"/>
    <w:rsid w:val="00FC2C53"/>
    <w:rsid w:val="00FC2E4A"/>
    <w:rsid w:val="00FC2E5E"/>
    <w:rsid w:val="00FC2E6F"/>
    <w:rsid w:val="00FC2FAA"/>
    <w:rsid w:val="00FC33D5"/>
    <w:rsid w:val="00FC342C"/>
    <w:rsid w:val="00FC348F"/>
    <w:rsid w:val="00FC3688"/>
    <w:rsid w:val="00FC36FB"/>
    <w:rsid w:val="00FC3753"/>
    <w:rsid w:val="00FC3A0D"/>
    <w:rsid w:val="00FC3BF8"/>
    <w:rsid w:val="00FC3E00"/>
    <w:rsid w:val="00FC3E0B"/>
    <w:rsid w:val="00FC44F6"/>
    <w:rsid w:val="00FC4698"/>
    <w:rsid w:val="00FC4E50"/>
    <w:rsid w:val="00FC4E6B"/>
    <w:rsid w:val="00FC528C"/>
    <w:rsid w:val="00FC5550"/>
    <w:rsid w:val="00FC5780"/>
    <w:rsid w:val="00FC5B5F"/>
    <w:rsid w:val="00FC5C42"/>
    <w:rsid w:val="00FC5C82"/>
    <w:rsid w:val="00FC615E"/>
    <w:rsid w:val="00FC654E"/>
    <w:rsid w:val="00FC6605"/>
    <w:rsid w:val="00FC6750"/>
    <w:rsid w:val="00FC6A80"/>
    <w:rsid w:val="00FC6E22"/>
    <w:rsid w:val="00FC7072"/>
    <w:rsid w:val="00FC7628"/>
    <w:rsid w:val="00FC77EF"/>
    <w:rsid w:val="00FC7967"/>
    <w:rsid w:val="00FD05C8"/>
    <w:rsid w:val="00FD0A20"/>
    <w:rsid w:val="00FD0B28"/>
    <w:rsid w:val="00FD1BD8"/>
    <w:rsid w:val="00FD1D09"/>
    <w:rsid w:val="00FD1FD4"/>
    <w:rsid w:val="00FD2163"/>
    <w:rsid w:val="00FD2590"/>
    <w:rsid w:val="00FD29AE"/>
    <w:rsid w:val="00FD3024"/>
    <w:rsid w:val="00FD335E"/>
    <w:rsid w:val="00FD3E56"/>
    <w:rsid w:val="00FD4269"/>
    <w:rsid w:val="00FD42FD"/>
    <w:rsid w:val="00FD473B"/>
    <w:rsid w:val="00FD474F"/>
    <w:rsid w:val="00FD492A"/>
    <w:rsid w:val="00FD498D"/>
    <w:rsid w:val="00FD513E"/>
    <w:rsid w:val="00FD540E"/>
    <w:rsid w:val="00FD5481"/>
    <w:rsid w:val="00FD5540"/>
    <w:rsid w:val="00FD5640"/>
    <w:rsid w:val="00FD565E"/>
    <w:rsid w:val="00FD5693"/>
    <w:rsid w:val="00FD580E"/>
    <w:rsid w:val="00FD59C4"/>
    <w:rsid w:val="00FD5AAA"/>
    <w:rsid w:val="00FD5D90"/>
    <w:rsid w:val="00FD5E21"/>
    <w:rsid w:val="00FD5EBF"/>
    <w:rsid w:val="00FD67F7"/>
    <w:rsid w:val="00FD6819"/>
    <w:rsid w:val="00FD6C7B"/>
    <w:rsid w:val="00FD6F02"/>
    <w:rsid w:val="00FD6F8A"/>
    <w:rsid w:val="00FD750A"/>
    <w:rsid w:val="00FD77FE"/>
    <w:rsid w:val="00FD798E"/>
    <w:rsid w:val="00FD7DF3"/>
    <w:rsid w:val="00FE0294"/>
    <w:rsid w:val="00FE032B"/>
    <w:rsid w:val="00FE04B4"/>
    <w:rsid w:val="00FE0622"/>
    <w:rsid w:val="00FE09A0"/>
    <w:rsid w:val="00FE0B46"/>
    <w:rsid w:val="00FE0E67"/>
    <w:rsid w:val="00FE119F"/>
    <w:rsid w:val="00FE11EA"/>
    <w:rsid w:val="00FE13C9"/>
    <w:rsid w:val="00FE15D0"/>
    <w:rsid w:val="00FE2158"/>
    <w:rsid w:val="00FE2291"/>
    <w:rsid w:val="00FE22B1"/>
    <w:rsid w:val="00FE2405"/>
    <w:rsid w:val="00FE279F"/>
    <w:rsid w:val="00FE2926"/>
    <w:rsid w:val="00FE311D"/>
    <w:rsid w:val="00FE31F5"/>
    <w:rsid w:val="00FE33AC"/>
    <w:rsid w:val="00FE3775"/>
    <w:rsid w:val="00FE37B8"/>
    <w:rsid w:val="00FE3822"/>
    <w:rsid w:val="00FE3A8D"/>
    <w:rsid w:val="00FE3A9B"/>
    <w:rsid w:val="00FE3B4F"/>
    <w:rsid w:val="00FE3D5D"/>
    <w:rsid w:val="00FE44EC"/>
    <w:rsid w:val="00FE4D83"/>
    <w:rsid w:val="00FE4F6C"/>
    <w:rsid w:val="00FE5286"/>
    <w:rsid w:val="00FE53A3"/>
    <w:rsid w:val="00FE5422"/>
    <w:rsid w:val="00FE57F2"/>
    <w:rsid w:val="00FE5A97"/>
    <w:rsid w:val="00FE5D31"/>
    <w:rsid w:val="00FE6377"/>
    <w:rsid w:val="00FE64EC"/>
    <w:rsid w:val="00FE6523"/>
    <w:rsid w:val="00FE6A1A"/>
    <w:rsid w:val="00FE6B41"/>
    <w:rsid w:val="00FE6D82"/>
    <w:rsid w:val="00FE6E11"/>
    <w:rsid w:val="00FE7E38"/>
    <w:rsid w:val="00FF0008"/>
    <w:rsid w:val="00FF035B"/>
    <w:rsid w:val="00FF05E7"/>
    <w:rsid w:val="00FF0675"/>
    <w:rsid w:val="00FF0724"/>
    <w:rsid w:val="00FF0D57"/>
    <w:rsid w:val="00FF0EDE"/>
    <w:rsid w:val="00FF106A"/>
    <w:rsid w:val="00FF10AD"/>
    <w:rsid w:val="00FF173A"/>
    <w:rsid w:val="00FF19D0"/>
    <w:rsid w:val="00FF1A32"/>
    <w:rsid w:val="00FF1E8F"/>
    <w:rsid w:val="00FF221C"/>
    <w:rsid w:val="00FF2302"/>
    <w:rsid w:val="00FF252C"/>
    <w:rsid w:val="00FF26BD"/>
    <w:rsid w:val="00FF2C4C"/>
    <w:rsid w:val="00FF33D0"/>
    <w:rsid w:val="00FF33F6"/>
    <w:rsid w:val="00FF35ED"/>
    <w:rsid w:val="00FF3645"/>
    <w:rsid w:val="00FF3657"/>
    <w:rsid w:val="00FF3820"/>
    <w:rsid w:val="00FF3B22"/>
    <w:rsid w:val="00FF3CEE"/>
    <w:rsid w:val="00FF3D27"/>
    <w:rsid w:val="00FF3ED7"/>
    <w:rsid w:val="00FF40BD"/>
    <w:rsid w:val="00FF43E2"/>
    <w:rsid w:val="00FF45C7"/>
    <w:rsid w:val="00FF47C6"/>
    <w:rsid w:val="00FF486F"/>
    <w:rsid w:val="00FF4988"/>
    <w:rsid w:val="00FF4A6F"/>
    <w:rsid w:val="00FF4F19"/>
    <w:rsid w:val="00FF5CCC"/>
    <w:rsid w:val="00FF5DFE"/>
    <w:rsid w:val="00FF67AC"/>
    <w:rsid w:val="00FF76AB"/>
    <w:rsid w:val="00FF770A"/>
    <w:rsid w:val="00FF7E16"/>
    <w:rsid w:val="00FF7E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32E60"/>
  <w15:docId w15:val="{E9F2E77B-6F25-424A-AF77-1AA01FC6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A97"/>
    <w:rPr>
      <w:bCs/>
      <w:sz w:val="24"/>
      <w:szCs w:val="24"/>
    </w:rPr>
  </w:style>
  <w:style w:type="paragraph" w:styleId="Heading1">
    <w:name w:val="heading 1"/>
    <w:basedOn w:val="Normal"/>
    <w:next w:val="Normal"/>
    <w:qFormat/>
    <w:rsid w:val="00942515"/>
    <w:pPr>
      <w:keepNext/>
      <w:ind w:left="72"/>
      <w:outlineLvl w:val="0"/>
    </w:pPr>
    <w:rPr>
      <w:b/>
      <w:bCs w:val="0"/>
      <w:lang w:eastAsia="en-GB"/>
    </w:rPr>
  </w:style>
  <w:style w:type="paragraph" w:styleId="Heading2">
    <w:name w:val="heading 2"/>
    <w:basedOn w:val="Normal"/>
    <w:next w:val="Normal"/>
    <w:qFormat/>
    <w:rsid w:val="00942515"/>
    <w:pPr>
      <w:keepNext/>
      <w:jc w:val="both"/>
      <w:outlineLvl w:val="1"/>
    </w:pPr>
    <w:rPr>
      <w:b/>
      <w:bCs w:val="0"/>
    </w:rPr>
  </w:style>
  <w:style w:type="paragraph" w:styleId="Heading3">
    <w:name w:val="heading 3"/>
    <w:basedOn w:val="Normal"/>
    <w:next w:val="Normal"/>
    <w:qFormat/>
    <w:rsid w:val="00942515"/>
    <w:pPr>
      <w:keepNext/>
      <w:outlineLvl w:val="2"/>
    </w:pPr>
    <w:rPr>
      <w:b/>
    </w:rPr>
  </w:style>
  <w:style w:type="paragraph" w:styleId="Heading4">
    <w:name w:val="heading 4"/>
    <w:basedOn w:val="Normal"/>
    <w:next w:val="Normal"/>
    <w:qFormat/>
    <w:rsid w:val="00942515"/>
    <w:pPr>
      <w:keepNext/>
      <w:jc w:val="center"/>
      <w:outlineLvl w:val="3"/>
    </w:pPr>
    <w:rPr>
      <w:b/>
    </w:rPr>
  </w:style>
  <w:style w:type="paragraph" w:styleId="Heading5">
    <w:name w:val="heading 5"/>
    <w:basedOn w:val="Normal"/>
    <w:next w:val="Normal"/>
    <w:qFormat/>
    <w:rsid w:val="00DE12A3"/>
    <w:pPr>
      <w:keepNext/>
      <w:overflowPunct w:val="0"/>
      <w:autoSpaceDE w:val="0"/>
      <w:autoSpaceDN w:val="0"/>
      <w:adjustRightInd w:val="0"/>
      <w:jc w:val="center"/>
      <w:textAlignment w:val="baseline"/>
      <w:outlineLvl w:val="4"/>
    </w:pPr>
    <w:rPr>
      <w:bCs w:val="0"/>
      <w:szCs w:val="20"/>
      <w:lang w:val="en-GB"/>
    </w:rPr>
  </w:style>
  <w:style w:type="paragraph" w:styleId="Heading6">
    <w:name w:val="heading 6"/>
    <w:basedOn w:val="Normal"/>
    <w:next w:val="Normal"/>
    <w:link w:val="Heading6Char"/>
    <w:qFormat/>
    <w:rsid w:val="006B07B6"/>
    <w:pPr>
      <w:spacing w:before="240" w:after="60"/>
      <w:outlineLvl w:val="5"/>
    </w:pPr>
    <w:rPr>
      <w:rFonts w:ascii="Calibri" w:hAnsi="Calibri"/>
      <w:b/>
      <w:bCs w:val="0"/>
      <w:sz w:val="22"/>
      <w:szCs w:val="22"/>
    </w:rPr>
  </w:style>
  <w:style w:type="paragraph" w:styleId="Heading7">
    <w:name w:val="heading 7"/>
    <w:basedOn w:val="Normal"/>
    <w:next w:val="Normal"/>
    <w:qFormat/>
    <w:rsid w:val="00DE12A3"/>
    <w:pPr>
      <w:keepNext/>
      <w:numPr>
        <w:ilvl w:val="12"/>
      </w:numPr>
      <w:overflowPunct w:val="0"/>
      <w:autoSpaceDE w:val="0"/>
      <w:autoSpaceDN w:val="0"/>
      <w:adjustRightInd w:val="0"/>
      <w:textAlignment w:val="baseline"/>
      <w:outlineLvl w:val="6"/>
    </w:pPr>
    <w:rPr>
      <w:szCs w:val="20"/>
      <w:lang w:val="en-GB"/>
    </w:rPr>
  </w:style>
  <w:style w:type="paragraph" w:styleId="Heading8">
    <w:name w:val="heading 8"/>
    <w:basedOn w:val="Normal"/>
    <w:next w:val="Normal"/>
    <w:qFormat/>
    <w:rsid w:val="00DE12A3"/>
    <w:pPr>
      <w:spacing w:before="240" w:after="60"/>
      <w:outlineLvl w:val="7"/>
    </w:pPr>
    <w:rPr>
      <w:i/>
      <w:iCs/>
    </w:rPr>
  </w:style>
  <w:style w:type="paragraph" w:styleId="Heading9">
    <w:name w:val="heading 9"/>
    <w:basedOn w:val="Normal"/>
    <w:next w:val="Normal"/>
    <w:qFormat/>
    <w:rsid w:val="00DE12A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6B07B6"/>
    <w:rPr>
      <w:rFonts w:ascii="Calibri" w:eastAsia="Times New Roman" w:hAnsi="Calibri" w:cs="Times New Roman"/>
      <w:b/>
      <w:sz w:val="22"/>
      <w:szCs w:val="22"/>
    </w:rPr>
  </w:style>
  <w:style w:type="paragraph" w:styleId="Header">
    <w:name w:val="header"/>
    <w:aliases w:val="Persen"/>
    <w:basedOn w:val="Normal"/>
    <w:link w:val="HeaderChar"/>
    <w:rsid w:val="00942515"/>
    <w:pPr>
      <w:tabs>
        <w:tab w:val="center" w:pos="4320"/>
        <w:tab w:val="right" w:pos="8640"/>
      </w:tabs>
    </w:pPr>
  </w:style>
  <w:style w:type="paragraph" w:styleId="Footer">
    <w:name w:val="footer"/>
    <w:basedOn w:val="Normal"/>
    <w:link w:val="FooterChar"/>
    <w:uiPriority w:val="99"/>
    <w:rsid w:val="00942515"/>
    <w:pPr>
      <w:tabs>
        <w:tab w:val="center" w:pos="4320"/>
        <w:tab w:val="right" w:pos="8640"/>
      </w:tabs>
    </w:pPr>
  </w:style>
  <w:style w:type="character" w:customStyle="1" w:styleId="FooterChar">
    <w:name w:val="Footer Char"/>
    <w:link w:val="Footer"/>
    <w:uiPriority w:val="99"/>
    <w:rsid w:val="009C7565"/>
    <w:rPr>
      <w:bCs/>
      <w:sz w:val="24"/>
      <w:szCs w:val="24"/>
    </w:rPr>
  </w:style>
  <w:style w:type="character" w:styleId="PageNumber">
    <w:name w:val="page number"/>
    <w:basedOn w:val="DefaultParagraphFont"/>
    <w:rsid w:val="00942515"/>
  </w:style>
  <w:style w:type="paragraph" w:styleId="BodyTextIndent">
    <w:name w:val="Body Text Indent"/>
    <w:basedOn w:val="Normal"/>
    <w:rsid w:val="00942515"/>
    <w:pPr>
      <w:ind w:left="360"/>
      <w:jc w:val="both"/>
    </w:pPr>
    <w:rPr>
      <w:bCs w:val="0"/>
    </w:rPr>
  </w:style>
  <w:style w:type="table" w:styleId="TableGrid">
    <w:name w:val="Table Grid"/>
    <w:basedOn w:val="TableNormal"/>
    <w:uiPriority w:val="39"/>
    <w:rsid w:val="00C25E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6B07B6"/>
    <w:pPr>
      <w:spacing w:after="120"/>
    </w:pPr>
    <w:rPr>
      <w:rFonts w:eastAsia="MS Mincho"/>
      <w:bCs w:val="0"/>
      <w:lang w:eastAsia="ja-JP"/>
    </w:rPr>
  </w:style>
  <w:style w:type="character" w:customStyle="1" w:styleId="BodyTextChar">
    <w:name w:val="Body Text Char"/>
    <w:link w:val="BodyText"/>
    <w:rsid w:val="006B07B6"/>
    <w:rPr>
      <w:rFonts w:eastAsia="MS Mincho"/>
      <w:sz w:val="24"/>
      <w:szCs w:val="24"/>
      <w:lang w:eastAsia="ja-JP"/>
    </w:rPr>
  </w:style>
  <w:style w:type="paragraph" w:styleId="Title">
    <w:name w:val="Title"/>
    <w:basedOn w:val="Normal"/>
    <w:link w:val="TitleChar"/>
    <w:qFormat/>
    <w:rsid w:val="006B07B6"/>
    <w:pPr>
      <w:jc w:val="center"/>
    </w:pPr>
    <w:rPr>
      <w:b/>
      <w:u w:val="single"/>
    </w:rPr>
  </w:style>
  <w:style w:type="character" w:customStyle="1" w:styleId="TitleChar">
    <w:name w:val="Title Char"/>
    <w:link w:val="Title"/>
    <w:rsid w:val="006B07B6"/>
    <w:rPr>
      <w:b/>
      <w:bCs/>
      <w:sz w:val="24"/>
      <w:szCs w:val="24"/>
      <w:u w:val="single"/>
    </w:rPr>
  </w:style>
  <w:style w:type="character" w:styleId="CommentReference">
    <w:name w:val="annotation reference"/>
    <w:rsid w:val="006B07B6"/>
    <w:rPr>
      <w:sz w:val="16"/>
      <w:szCs w:val="16"/>
    </w:rPr>
  </w:style>
  <w:style w:type="paragraph" w:styleId="CommentText">
    <w:name w:val="annotation text"/>
    <w:basedOn w:val="Normal"/>
    <w:link w:val="CommentTextChar"/>
    <w:rsid w:val="006B07B6"/>
    <w:rPr>
      <w:bCs w:val="0"/>
      <w:sz w:val="20"/>
      <w:szCs w:val="20"/>
      <w:lang w:val="en-GB"/>
    </w:rPr>
  </w:style>
  <w:style w:type="character" w:customStyle="1" w:styleId="CommentTextChar">
    <w:name w:val="Comment Text Char"/>
    <w:link w:val="CommentText"/>
    <w:rsid w:val="006B07B6"/>
    <w:rPr>
      <w:lang w:val="en-GB"/>
    </w:rPr>
  </w:style>
  <w:style w:type="paragraph" w:styleId="BalloonText">
    <w:name w:val="Balloon Text"/>
    <w:basedOn w:val="Normal"/>
    <w:link w:val="BalloonTextChar"/>
    <w:rsid w:val="006B07B6"/>
    <w:rPr>
      <w:rFonts w:ascii="Tahoma" w:hAnsi="Tahoma"/>
      <w:sz w:val="16"/>
      <w:szCs w:val="16"/>
    </w:rPr>
  </w:style>
  <w:style w:type="character" w:customStyle="1" w:styleId="BalloonTextChar">
    <w:name w:val="Balloon Text Char"/>
    <w:link w:val="BalloonText"/>
    <w:rsid w:val="006B07B6"/>
    <w:rPr>
      <w:rFonts w:ascii="Tahoma" w:hAnsi="Tahoma" w:cs="Tahoma"/>
      <w:bCs/>
      <w:sz w:val="16"/>
      <w:szCs w:val="16"/>
    </w:rPr>
  </w:style>
  <w:style w:type="paragraph" w:styleId="BlockText">
    <w:name w:val="Block Text"/>
    <w:basedOn w:val="Normal"/>
    <w:rsid w:val="00BC7E52"/>
    <w:pPr>
      <w:ind w:left="720" w:right="342"/>
      <w:jc w:val="both"/>
    </w:pPr>
    <w:rPr>
      <w:bCs w:val="0"/>
      <w:szCs w:val="20"/>
      <w:lang w:val="en-GB"/>
    </w:rPr>
  </w:style>
  <w:style w:type="paragraph" w:styleId="CommentSubject">
    <w:name w:val="annotation subject"/>
    <w:basedOn w:val="CommentText"/>
    <w:next w:val="CommentText"/>
    <w:semiHidden/>
    <w:rsid w:val="001502FA"/>
    <w:rPr>
      <w:b/>
      <w:bCs/>
      <w:lang w:val="en-US"/>
    </w:rPr>
  </w:style>
  <w:style w:type="paragraph" w:styleId="BodyText2">
    <w:name w:val="Body Text 2"/>
    <w:basedOn w:val="Normal"/>
    <w:link w:val="BodyText2Char"/>
    <w:rsid w:val="00DE12A3"/>
    <w:pPr>
      <w:spacing w:after="120" w:line="480" w:lineRule="auto"/>
    </w:pPr>
  </w:style>
  <w:style w:type="paragraph" w:styleId="BodyTextIndent2">
    <w:name w:val="Body Text Indent 2"/>
    <w:basedOn w:val="Normal"/>
    <w:rsid w:val="00DE12A3"/>
    <w:pPr>
      <w:spacing w:after="120" w:line="480" w:lineRule="auto"/>
      <w:ind w:left="283"/>
    </w:pPr>
  </w:style>
  <w:style w:type="paragraph" w:customStyle="1" w:styleId="BodyText21">
    <w:name w:val="Body Text 21"/>
    <w:basedOn w:val="Normal"/>
    <w:rsid w:val="00DE12A3"/>
    <w:pPr>
      <w:overflowPunct w:val="0"/>
      <w:autoSpaceDE w:val="0"/>
      <w:autoSpaceDN w:val="0"/>
      <w:adjustRightInd w:val="0"/>
      <w:ind w:left="426"/>
      <w:jc w:val="both"/>
      <w:textAlignment w:val="baseline"/>
    </w:pPr>
    <w:rPr>
      <w:bCs w:val="0"/>
      <w:szCs w:val="20"/>
      <w:lang w:val="en-GB"/>
    </w:rPr>
  </w:style>
  <w:style w:type="paragraph" w:styleId="BodyTextIndent3">
    <w:name w:val="Body Text Indent 3"/>
    <w:basedOn w:val="Normal"/>
    <w:link w:val="BodyTextIndent3Char"/>
    <w:rsid w:val="00DE12A3"/>
    <w:pPr>
      <w:overflowPunct w:val="0"/>
      <w:autoSpaceDE w:val="0"/>
      <w:autoSpaceDN w:val="0"/>
      <w:adjustRightInd w:val="0"/>
      <w:ind w:left="426" w:hanging="11"/>
      <w:jc w:val="both"/>
      <w:textAlignment w:val="baseline"/>
    </w:pPr>
    <w:rPr>
      <w:bCs w:val="0"/>
      <w:szCs w:val="20"/>
      <w:lang w:val="en-GB"/>
    </w:rPr>
  </w:style>
  <w:style w:type="paragraph" w:styleId="Caption">
    <w:name w:val="caption"/>
    <w:basedOn w:val="Normal"/>
    <w:next w:val="Normal"/>
    <w:qFormat/>
    <w:rsid w:val="00DE12A3"/>
    <w:pPr>
      <w:numPr>
        <w:ilvl w:val="12"/>
      </w:numPr>
      <w:overflowPunct w:val="0"/>
      <w:autoSpaceDE w:val="0"/>
      <w:autoSpaceDN w:val="0"/>
      <w:adjustRightInd w:val="0"/>
      <w:jc w:val="both"/>
      <w:textAlignment w:val="baseline"/>
    </w:pPr>
    <w:rPr>
      <w:szCs w:val="20"/>
      <w:lang w:val="en-GB"/>
    </w:rPr>
  </w:style>
  <w:style w:type="paragraph" w:styleId="BodyText3">
    <w:name w:val="Body Text 3"/>
    <w:basedOn w:val="Normal"/>
    <w:rsid w:val="00DE12A3"/>
    <w:pPr>
      <w:overflowPunct w:val="0"/>
      <w:autoSpaceDE w:val="0"/>
      <w:autoSpaceDN w:val="0"/>
      <w:adjustRightInd w:val="0"/>
      <w:textAlignment w:val="baseline"/>
    </w:pPr>
    <w:rPr>
      <w:bCs w:val="0"/>
      <w:sz w:val="22"/>
      <w:szCs w:val="20"/>
      <w:lang w:val="en-GB"/>
    </w:rPr>
  </w:style>
  <w:style w:type="paragraph" w:customStyle="1" w:styleId="Format-2th">
    <w:name w:val="Format-2th"/>
    <w:basedOn w:val="Normal"/>
    <w:link w:val="Format-2thChar"/>
    <w:rsid w:val="00B9036E"/>
    <w:pPr>
      <w:tabs>
        <w:tab w:val="left" w:pos="360"/>
        <w:tab w:val="left" w:pos="720"/>
        <w:tab w:val="left" w:pos="1080"/>
        <w:tab w:val="left" w:pos="1440"/>
        <w:tab w:val="left" w:pos="1800"/>
        <w:tab w:val="left" w:pos="3600"/>
        <w:tab w:val="left" w:pos="4594"/>
        <w:tab w:val="left" w:pos="4795"/>
        <w:tab w:val="left" w:pos="4867"/>
        <w:tab w:val="right" w:pos="6898"/>
        <w:tab w:val="left" w:pos="6926"/>
        <w:tab w:val="left" w:pos="7128"/>
        <w:tab w:val="left" w:pos="7200"/>
        <w:tab w:val="right" w:pos="9259"/>
        <w:tab w:val="left" w:pos="9288"/>
      </w:tabs>
      <w:ind w:left="360" w:hanging="360"/>
      <w:jc w:val="both"/>
    </w:pPr>
    <w:rPr>
      <w:bCs w:val="0"/>
      <w:szCs w:val="20"/>
    </w:rPr>
  </w:style>
  <w:style w:type="paragraph" w:styleId="Subtitle">
    <w:name w:val="Subtitle"/>
    <w:basedOn w:val="Normal"/>
    <w:qFormat/>
    <w:rsid w:val="006A41BB"/>
    <w:pPr>
      <w:jc w:val="both"/>
    </w:pPr>
    <w:rPr>
      <w:b/>
    </w:rPr>
  </w:style>
  <w:style w:type="paragraph" w:styleId="PlainText">
    <w:name w:val="Plain Text"/>
    <w:basedOn w:val="Normal"/>
    <w:link w:val="PlainTextChar"/>
    <w:rsid w:val="00BE60C4"/>
    <w:pPr>
      <w:widowControl w:val="0"/>
      <w:autoSpaceDE w:val="0"/>
      <w:autoSpaceDN w:val="0"/>
    </w:pPr>
    <w:rPr>
      <w:rFonts w:ascii="Courier New" w:hAnsi="Courier New"/>
      <w:bCs w:val="0"/>
      <w:sz w:val="20"/>
      <w:szCs w:val="20"/>
    </w:rPr>
  </w:style>
  <w:style w:type="paragraph" w:customStyle="1" w:styleId="heading">
    <w:name w:val="heading"/>
    <w:basedOn w:val="Normal"/>
    <w:rsid w:val="00835A8B"/>
    <w:pPr>
      <w:widowControl w:val="0"/>
      <w:autoSpaceDE w:val="0"/>
      <w:autoSpaceDN w:val="0"/>
      <w:jc w:val="both"/>
    </w:pPr>
    <w:rPr>
      <w:rFonts w:ascii="Times" w:hAnsi="Times"/>
      <w:bCs w:val="0"/>
      <w:sz w:val="20"/>
      <w:szCs w:val="20"/>
      <w:lang w:val="en-GB"/>
    </w:rPr>
  </w:style>
  <w:style w:type="paragraph" w:customStyle="1" w:styleId="Normal11pt">
    <w:name w:val="Normal+11pt"/>
    <w:basedOn w:val="Normal"/>
    <w:rsid w:val="00835A8B"/>
    <w:rPr>
      <w:bCs w:val="0"/>
    </w:rPr>
  </w:style>
  <w:style w:type="character" w:customStyle="1" w:styleId="Normal11ptChar">
    <w:name w:val="Normal+11pt Char"/>
    <w:rsid w:val="00835A8B"/>
    <w:rPr>
      <w:noProof w:val="0"/>
      <w:sz w:val="24"/>
      <w:szCs w:val="24"/>
      <w:lang w:val="en-US" w:eastAsia="en-US" w:bidi="ar-SA"/>
    </w:rPr>
  </w:style>
  <w:style w:type="character" w:styleId="FollowedHyperlink">
    <w:name w:val="FollowedHyperlink"/>
    <w:rsid w:val="00835A8B"/>
    <w:rPr>
      <w:color w:val="800080"/>
      <w:u w:val="single"/>
    </w:rPr>
  </w:style>
  <w:style w:type="paragraph" w:styleId="BodyTextFirstIndent">
    <w:name w:val="Body Text First Indent"/>
    <w:basedOn w:val="BodyText"/>
    <w:rsid w:val="00835A8B"/>
    <w:pPr>
      <w:ind w:firstLine="210"/>
    </w:pPr>
    <w:rPr>
      <w:rFonts w:eastAsia="Times New Roman"/>
      <w:lang w:eastAsia="en-US"/>
    </w:rPr>
  </w:style>
  <w:style w:type="paragraph" w:styleId="BodyTextFirstIndent2">
    <w:name w:val="Body Text First Indent 2"/>
    <w:basedOn w:val="BodyTextIndent"/>
    <w:rsid w:val="00835A8B"/>
    <w:pPr>
      <w:spacing w:after="120"/>
      <w:ind w:left="283" w:firstLine="210"/>
      <w:jc w:val="left"/>
    </w:pPr>
  </w:style>
  <w:style w:type="paragraph" w:styleId="Closing">
    <w:name w:val="Closing"/>
    <w:basedOn w:val="Normal"/>
    <w:rsid w:val="00835A8B"/>
    <w:pPr>
      <w:ind w:left="4252"/>
    </w:pPr>
    <w:rPr>
      <w:bCs w:val="0"/>
    </w:rPr>
  </w:style>
  <w:style w:type="paragraph" w:styleId="Date">
    <w:name w:val="Date"/>
    <w:basedOn w:val="Normal"/>
    <w:next w:val="Normal"/>
    <w:rsid w:val="00835A8B"/>
    <w:rPr>
      <w:bCs w:val="0"/>
    </w:rPr>
  </w:style>
  <w:style w:type="paragraph" w:styleId="E-mailSignature">
    <w:name w:val="E-mail Signature"/>
    <w:basedOn w:val="Normal"/>
    <w:rsid w:val="00835A8B"/>
    <w:rPr>
      <w:bCs w:val="0"/>
    </w:rPr>
  </w:style>
  <w:style w:type="paragraph" w:styleId="EnvelopeAddress">
    <w:name w:val="envelope address"/>
    <w:basedOn w:val="Normal"/>
    <w:rsid w:val="00835A8B"/>
    <w:pPr>
      <w:framePr w:w="7920" w:h="1980" w:hRule="exact" w:hSpace="180" w:wrap="auto" w:hAnchor="page" w:xAlign="center" w:yAlign="bottom"/>
      <w:ind w:left="2880"/>
    </w:pPr>
    <w:rPr>
      <w:rFonts w:ascii="Arial" w:hAnsi="Arial" w:cs="Arial"/>
      <w:bCs w:val="0"/>
    </w:rPr>
  </w:style>
  <w:style w:type="paragraph" w:styleId="EnvelopeReturn">
    <w:name w:val="envelope return"/>
    <w:basedOn w:val="Normal"/>
    <w:rsid w:val="00835A8B"/>
    <w:rPr>
      <w:rFonts w:ascii="Arial" w:hAnsi="Arial" w:cs="Arial"/>
      <w:bCs w:val="0"/>
      <w:sz w:val="20"/>
      <w:szCs w:val="20"/>
    </w:rPr>
  </w:style>
  <w:style w:type="paragraph" w:styleId="HTMLAddress">
    <w:name w:val="HTML Address"/>
    <w:basedOn w:val="Normal"/>
    <w:rsid w:val="00835A8B"/>
    <w:rPr>
      <w:bCs w:val="0"/>
      <w:i/>
      <w:iCs/>
    </w:rPr>
  </w:style>
  <w:style w:type="paragraph" w:styleId="HTMLPreformatted">
    <w:name w:val="HTML Preformatted"/>
    <w:basedOn w:val="Normal"/>
    <w:rsid w:val="00835A8B"/>
    <w:rPr>
      <w:rFonts w:ascii="Courier New" w:hAnsi="Courier New" w:cs="Courier New"/>
      <w:bCs w:val="0"/>
      <w:sz w:val="20"/>
      <w:szCs w:val="20"/>
    </w:rPr>
  </w:style>
  <w:style w:type="paragraph" w:styleId="List">
    <w:name w:val="List"/>
    <w:basedOn w:val="Normal"/>
    <w:rsid w:val="00835A8B"/>
    <w:pPr>
      <w:ind w:left="283" w:hanging="283"/>
    </w:pPr>
    <w:rPr>
      <w:bCs w:val="0"/>
    </w:rPr>
  </w:style>
  <w:style w:type="paragraph" w:styleId="List2">
    <w:name w:val="List 2"/>
    <w:basedOn w:val="Normal"/>
    <w:rsid w:val="00835A8B"/>
    <w:pPr>
      <w:ind w:left="566" w:hanging="283"/>
    </w:pPr>
    <w:rPr>
      <w:bCs w:val="0"/>
    </w:rPr>
  </w:style>
  <w:style w:type="paragraph" w:styleId="List3">
    <w:name w:val="List 3"/>
    <w:basedOn w:val="Normal"/>
    <w:rsid w:val="00835A8B"/>
    <w:pPr>
      <w:ind w:left="849" w:hanging="283"/>
    </w:pPr>
    <w:rPr>
      <w:bCs w:val="0"/>
    </w:rPr>
  </w:style>
  <w:style w:type="paragraph" w:styleId="List4">
    <w:name w:val="List 4"/>
    <w:basedOn w:val="Normal"/>
    <w:rsid w:val="00835A8B"/>
    <w:pPr>
      <w:ind w:left="1132" w:hanging="283"/>
    </w:pPr>
    <w:rPr>
      <w:bCs w:val="0"/>
    </w:rPr>
  </w:style>
  <w:style w:type="paragraph" w:styleId="List5">
    <w:name w:val="List 5"/>
    <w:basedOn w:val="Normal"/>
    <w:rsid w:val="00835A8B"/>
    <w:pPr>
      <w:ind w:left="1415" w:hanging="283"/>
    </w:pPr>
    <w:rPr>
      <w:bCs w:val="0"/>
    </w:rPr>
  </w:style>
  <w:style w:type="paragraph" w:styleId="ListBullet">
    <w:name w:val="List Bullet"/>
    <w:basedOn w:val="Normal"/>
    <w:autoRedefine/>
    <w:rsid w:val="00835A8B"/>
    <w:pPr>
      <w:tabs>
        <w:tab w:val="num" w:pos="360"/>
      </w:tabs>
      <w:ind w:left="360" w:hanging="360"/>
    </w:pPr>
    <w:rPr>
      <w:bCs w:val="0"/>
    </w:rPr>
  </w:style>
  <w:style w:type="paragraph" w:styleId="ListBullet2">
    <w:name w:val="List Bullet 2"/>
    <w:basedOn w:val="Normal"/>
    <w:autoRedefine/>
    <w:rsid w:val="00835A8B"/>
    <w:pPr>
      <w:tabs>
        <w:tab w:val="num" w:pos="643"/>
      </w:tabs>
      <w:ind w:left="643" w:hanging="360"/>
    </w:pPr>
    <w:rPr>
      <w:bCs w:val="0"/>
    </w:rPr>
  </w:style>
  <w:style w:type="paragraph" w:styleId="ListBullet3">
    <w:name w:val="List Bullet 3"/>
    <w:basedOn w:val="Normal"/>
    <w:autoRedefine/>
    <w:rsid w:val="00835A8B"/>
    <w:pPr>
      <w:tabs>
        <w:tab w:val="num" w:pos="926"/>
      </w:tabs>
      <w:ind w:left="926" w:hanging="360"/>
    </w:pPr>
    <w:rPr>
      <w:bCs w:val="0"/>
    </w:rPr>
  </w:style>
  <w:style w:type="paragraph" w:styleId="ListBullet4">
    <w:name w:val="List Bullet 4"/>
    <w:basedOn w:val="Normal"/>
    <w:autoRedefine/>
    <w:rsid w:val="00835A8B"/>
    <w:pPr>
      <w:tabs>
        <w:tab w:val="num" w:pos="1209"/>
      </w:tabs>
      <w:ind w:left="1209" w:hanging="360"/>
    </w:pPr>
    <w:rPr>
      <w:bCs w:val="0"/>
    </w:rPr>
  </w:style>
  <w:style w:type="paragraph" w:styleId="ListBullet5">
    <w:name w:val="List Bullet 5"/>
    <w:basedOn w:val="Normal"/>
    <w:autoRedefine/>
    <w:rsid w:val="00835A8B"/>
    <w:pPr>
      <w:tabs>
        <w:tab w:val="num" w:pos="1492"/>
      </w:tabs>
      <w:ind w:left="1492" w:hanging="360"/>
    </w:pPr>
    <w:rPr>
      <w:bCs w:val="0"/>
    </w:rPr>
  </w:style>
  <w:style w:type="paragraph" w:styleId="ListContinue">
    <w:name w:val="List Continue"/>
    <w:basedOn w:val="Normal"/>
    <w:rsid w:val="00835A8B"/>
    <w:pPr>
      <w:spacing w:after="120"/>
      <w:ind w:left="283"/>
    </w:pPr>
    <w:rPr>
      <w:bCs w:val="0"/>
    </w:rPr>
  </w:style>
  <w:style w:type="paragraph" w:styleId="ListContinue2">
    <w:name w:val="List Continue 2"/>
    <w:basedOn w:val="Normal"/>
    <w:rsid w:val="00835A8B"/>
    <w:pPr>
      <w:spacing w:after="120"/>
      <w:ind w:left="566"/>
    </w:pPr>
    <w:rPr>
      <w:bCs w:val="0"/>
    </w:rPr>
  </w:style>
  <w:style w:type="paragraph" w:styleId="ListContinue3">
    <w:name w:val="List Continue 3"/>
    <w:basedOn w:val="Normal"/>
    <w:rsid w:val="00835A8B"/>
    <w:pPr>
      <w:spacing w:after="120"/>
      <w:ind w:left="849"/>
    </w:pPr>
    <w:rPr>
      <w:bCs w:val="0"/>
    </w:rPr>
  </w:style>
  <w:style w:type="paragraph" w:styleId="ListContinue4">
    <w:name w:val="List Continue 4"/>
    <w:basedOn w:val="Normal"/>
    <w:rsid w:val="00835A8B"/>
    <w:pPr>
      <w:spacing w:after="120"/>
      <w:ind w:left="1132"/>
    </w:pPr>
    <w:rPr>
      <w:bCs w:val="0"/>
    </w:rPr>
  </w:style>
  <w:style w:type="paragraph" w:styleId="ListContinue5">
    <w:name w:val="List Continue 5"/>
    <w:basedOn w:val="Normal"/>
    <w:rsid w:val="00835A8B"/>
    <w:pPr>
      <w:spacing w:after="120"/>
      <w:ind w:left="1415"/>
    </w:pPr>
    <w:rPr>
      <w:bCs w:val="0"/>
    </w:rPr>
  </w:style>
  <w:style w:type="paragraph" w:styleId="ListNumber">
    <w:name w:val="List Number"/>
    <w:basedOn w:val="Normal"/>
    <w:rsid w:val="00835A8B"/>
    <w:pPr>
      <w:tabs>
        <w:tab w:val="num" w:pos="360"/>
      </w:tabs>
      <w:ind w:left="360" w:hanging="360"/>
    </w:pPr>
    <w:rPr>
      <w:bCs w:val="0"/>
    </w:rPr>
  </w:style>
  <w:style w:type="paragraph" w:styleId="ListNumber2">
    <w:name w:val="List Number 2"/>
    <w:basedOn w:val="Normal"/>
    <w:rsid w:val="00835A8B"/>
    <w:pPr>
      <w:tabs>
        <w:tab w:val="num" w:pos="643"/>
      </w:tabs>
      <w:ind w:left="643" w:hanging="360"/>
    </w:pPr>
    <w:rPr>
      <w:bCs w:val="0"/>
    </w:rPr>
  </w:style>
  <w:style w:type="paragraph" w:styleId="ListNumber3">
    <w:name w:val="List Number 3"/>
    <w:basedOn w:val="Normal"/>
    <w:rsid w:val="00835A8B"/>
    <w:pPr>
      <w:tabs>
        <w:tab w:val="num" w:pos="926"/>
      </w:tabs>
      <w:ind w:left="926" w:hanging="360"/>
    </w:pPr>
    <w:rPr>
      <w:bCs w:val="0"/>
    </w:rPr>
  </w:style>
  <w:style w:type="paragraph" w:styleId="ListNumber4">
    <w:name w:val="List Number 4"/>
    <w:basedOn w:val="Normal"/>
    <w:rsid w:val="00835A8B"/>
    <w:pPr>
      <w:tabs>
        <w:tab w:val="num" w:pos="1209"/>
      </w:tabs>
      <w:ind w:left="1209" w:hanging="360"/>
    </w:pPr>
    <w:rPr>
      <w:bCs w:val="0"/>
    </w:rPr>
  </w:style>
  <w:style w:type="paragraph" w:styleId="ListNumber5">
    <w:name w:val="List Number 5"/>
    <w:basedOn w:val="Normal"/>
    <w:rsid w:val="00835A8B"/>
    <w:pPr>
      <w:tabs>
        <w:tab w:val="num" w:pos="1492"/>
      </w:tabs>
      <w:ind w:left="1492" w:hanging="360"/>
    </w:pPr>
    <w:rPr>
      <w:bCs w:val="0"/>
    </w:rPr>
  </w:style>
  <w:style w:type="paragraph" w:styleId="MessageHeader">
    <w:name w:val="Message Header"/>
    <w:basedOn w:val="Normal"/>
    <w:rsid w:val="00835A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bCs w:val="0"/>
    </w:rPr>
  </w:style>
  <w:style w:type="paragraph" w:styleId="NormalWeb">
    <w:name w:val="Normal (Web)"/>
    <w:basedOn w:val="Normal"/>
    <w:rsid w:val="00835A8B"/>
    <w:rPr>
      <w:bCs w:val="0"/>
    </w:rPr>
  </w:style>
  <w:style w:type="paragraph" w:styleId="NormalIndent">
    <w:name w:val="Normal Indent"/>
    <w:basedOn w:val="Normal"/>
    <w:rsid w:val="00835A8B"/>
    <w:pPr>
      <w:ind w:left="720"/>
    </w:pPr>
    <w:rPr>
      <w:bCs w:val="0"/>
    </w:rPr>
  </w:style>
  <w:style w:type="paragraph" w:styleId="NoteHeading">
    <w:name w:val="Note Heading"/>
    <w:basedOn w:val="Normal"/>
    <w:next w:val="Normal"/>
    <w:rsid w:val="00835A8B"/>
    <w:rPr>
      <w:bCs w:val="0"/>
    </w:rPr>
  </w:style>
  <w:style w:type="paragraph" w:styleId="Salutation">
    <w:name w:val="Salutation"/>
    <w:basedOn w:val="Normal"/>
    <w:next w:val="Normal"/>
    <w:rsid w:val="00835A8B"/>
    <w:rPr>
      <w:bCs w:val="0"/>
    </w:rPr>
  </w:style>
  <w:style w:type="paragraph" w:styleId="Signature">
    <w:name w:val="Signature"/>
    <w:basedOn w:val="Normal"/>
    <w:rsid w:val="00835A8B"/>
    <w:pPr>
      <w:ind w:left="4252"/>
    </w:pPr>
    <w:rPr>
      <w:bCs w:val="0"/>
    </w:rPr>
  </w:style>
  <w:style w:type="paragraph" w:styleId="TableofAuthorities">
    <w:name w:val="table of authorities"/>
    <w:basedOn w:val="Normal"/>
    <w:next w:val="Normal"/>
    <w:semiHidden/>
    <w:rsid w:val="00835A8B"/>
    <w:pPr>
      <w:ind w:left="240" w:hanging="240"/>
    </w:pPr>
    <w:rPr>
      <w:bCs w:val="0"/>
    </w:rPr>
  </w:style>
  <w:style w:type="paragraph" w:styleId="ListParagraph">
    <w:name w:val="List Paragraph"/>
    <w:basedOn w:val="Normal"/>
    <w:uiPriority w:val="34"/>
    <w:qFormat/>
    <w:rsid w:val="00383FED"/>
    <w:pPr>
      <w:ind w:left="720"/>
    </w:pPr>
  </w:style>
  <w:style w:type="paragraph" w:customStyle="1" w:styleId="2TH">
    <w:name w:val="2TH"/>
    <w:basedOn w:val="Normal"/>
    <w:rsid w:val="00580BD6"/>
    <w:pPr>
      <w:tabs>
        <w:tab w:val="left" w:pos="360"/>
        <w:tab w:val="left" w:pos="720"/>
        <w:tab w:val="left" w:pos="1080"/>
        <w:tab w:val="left" w:pos="1440"/>
        <w:tab w:val="left" w:pos="3600"/>
        <w:tab w:val="left" w:pos="4507"/>
        <w:tab w:val="left" w:pos="4766"/>
        <w:tab w:val="left" w:pos="4867"/>
        <w:tab w:val="right" w:pos="6840"/>
        <w:tab w:val="left" w:pos="6869"/>
        <w:tab w:val="left" w:pos="7114"/>
        <w:tab w:val="left" w:pos="7200"/>
        <w:tab w:val="right" w:pos="9259"/>
        <w:tab w:val="left" w:pos="9288"/>
      </w:tabs>
      <w:ind w:left="360" w:hanging="360"/>
      <w:jc w:val="both"/>
    </w:pPr>
    <w:rPr>
      <w:bCs w:val="0"/>
      <w:sz w:val="22"/>
      <w:szCs w:val="22"/>
    </w:rPr>
  </w:style>
  <w:style w:type="character" w:customStyle="1" w:styleId="longtext">
    <w:name w:val="long_text"/>
    <w:basedOn w:val="DefaultParagraphFont"/>
    <w:rsid w:val="00F20044"/>
  </w:style>
  <w:style w:type="paragraph" w:styleId="Revision">
    <w:name w:val="Revision"/>
    <w:hidden/>
    <w:uiPriority w:val="99"/>
    <w:semiHidden/>
    <w:rsid w:val="0066641A"/>
    <w:rPr>
      <w:bCs/>
      <w:sz w:val="24"/>
      <w:szCs w:val="24"/>
    </w:rPr>
  </w:style>
  <w:style w:type="character" w:customStyle="1" w:styleId="hps">
    <w:name w:val="hps"/>
    <w:basedOn w:val="DefaultParagraphFont"/>
    <w:rsid w:val="00FC5550"/>
  </w:style>
  <w:style w:type="character" w:customStyle="1" w:styleId="Format-2thChar">
    <w:name w:val="Format-2th Char"/>
    <w:link w:val="Format-2th"/>
    <w:rsid w:val="00FC5550"/>
    <w:rPr>
      <w:sz w:val="24"/>
    </w:rPr>
  </w:style>
  <w:style w:type="paragraph" w:customStyle="1" w:styleId="Format2thEY">
    <w:name w:val="Format2th_E&amp;Y"/>
    <w:rsid w:val="00553BD4"/>
    <w:pPr>
      <w:tabs>
        <w:tab w:val="left" w:pos="360"/>
        <w:tab w:val="left" w:pos="720"/>
        <w:tab w:val="left" w:pos="1080"/>
        <w:tab w:val="left" w:pos="4590"/>
        <w:tab w:val="right" w:pos="5310"/>
        <w:tab w:val="left" w:pos="5580"/>
        <w:tab w:val="right" w:pos="7380"/>
        <w:tab w:val="right" w:pos="7430"/>
        <w:tab w:val="left" w:pos="7650"/>
        <w:tab w:val="right" w:pos="9450"/>
        <w:tab w:val="right" w:pos="9504"/>
      </w:tabs>
      <w:jc w:val="both"/>
    </w:pPr>
    <w:rPr>
      <w:rFonts w:ascii="Arial" w:hAnsi="Arial"/>
      <w:noProof/>
    </w:rPr>
  </w:style>
  <w:style w:type="character" w:styleId="Strong">
    <w:name w:val="Strong"/>
    <w:qFormat/>
    <w:rsid w:val="00FF33F6"/>
    <w:rPr>
      <w:b/>
      <w:bCs/>
    </w:rPr>
  </w:style>
  <w:style w:type="character" w:styleId="Emphasis">
    <w:name w:val="Emphasis"/>
    <w:qFormat/>
    <w:rsid w:val="006B49E7"/>
    <w:rPr>
      <w:i/>
      <w:iCs/>
    </w:rPr>
  </w:style>
  <w:style w:type="character" w:customStyle="1" w:styleId="PlainTextChar">
    <w:name w:val="Plain Text Char"/>
    <w:link w:val="PlainText"/>
    <w:rsid w:val="00093F52"/>
    <w:rPr>
      <w:rFonts w:ascii="Courier New" w:hAnsi="Courier New" w:cs="Courier New"/>
    </w:rPr>
  </w:style>
  <w:style w:type="character" w:customStyle="1" w:styleId="HeaderChar">
    <w:name w:val="Header Char"/>
    <w:aliases w:val="Persen Char"/>
    <w:link w:val="Header"/>
    <w:locked/>
    <w:rsid w:val="00537703"/>
    <w:rPr>
      <w:bCs/>
      <w:sz w:val="24"/>
      <w:szCs w:val="24"/>
    </w:rPr>
  </w:style>
  <w:style w:type="table" w:styleId="Table3Deffects3">
    <w:name w:val="Table 3D effects 3"/>
    <w:basedOn w:val="TableNormal"/>
    <w:rsid w:val="00D116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2Char">
    <w:name w:val="Body Text 2 Char"/>
    <w:link w:val="BodyText2"/>
    <w:rsid w:val="00776351"/>
    <w:rPr>
      <w:bCs/>
      <w:sz w:val="24"/>
      <w:szCs w:val="24"/>
    </w:rPr>
  </w:style>
  <w:style w:type="paragraph" w:customStyle="1" w:styleId="Default">
    <w:name w:val="Default"/>
    <w:rsid w:val="001B51AA"/>
    <w:pPr>
      <w:autoSpaceDE w:val="0"/>
      <w:autoSpaceDN w:val="0"/>
      <w:adjustRightInd w:val="0"/>
    </w:pPr>
    <w:rPr>
      <w:rFonts w:ascii="Book Antiqua" w:eastAsia="Calibri" w:hAnsi="Book Antiqua" w:cs="Book Antiqua"/>
      <w:color w:val="000000"/>
      <w:sz w:val="24"/>
      <w:szCs w:val="24"/>
    </w:rPr>
  </w:style>
  <w:style w:type="character" w:styleId="LineNumber">
    <w:name w:val="line number"/>
    <w:basedOn w:val="DefaultParagraphFont"/>
    <w:rsid w:val="00E8675C"/>
  </w:style>
  <w:style w:type="character" w:customStyle="1" w:styleId="BodyTextIndent3Char">
    <w:name w:val="Body Text Indent 3 Char"/>
    <w:link w:val="BodyTextIndent3"/>
    <w:rsid w:val="000F1C5F"/>
    <w:rPr>
      <w:sz w:val="24"/>
      <w:lang w:val="en-GB"/>
    </w:rPr>
  </w:style>
  <w:style w:type="paragraph" w:customStyle="1" w:styleId="Style2">
    <w:name w:val="Style 2"/>
    <w:basedOn w:val="Normal"/>
    <w:uiPriority w:val="99"/>
    <w:rsid w:val="00BC327D"/>
    <w:pPr>
      <w:widowControl w:val="0"/>
      <w:autoSpaceDE w:val="0"/>
      <w:autoSpaceDN w:val="0"/>
      <w:adjustRightInd w:val="0"/>
    </w:pPr>
    <w:rPr>
      <w:bCs w:val="0"/>
      <w:sz w:val="20"/>
      <w:szCs w:val="20"/>
      <w:lang w:eastAsia="id-ID"/>
    </w:rPr>
  </w:style>
  <w:style w:type="character" w:customStyle="1" w:styleId="CharacterStyle2">
    <w:name w:val="Character Style 2"/>
    <w:uiPriority w:val="99"/>
    <w:rsid w:val="00BC327D"/>
    <w:rPr>
      <w:sz w:val="20"/>
      <w:szCs w:val="20"/>
    </w:rPr>
  </w:style>
  <w:style w:type="paragraph" w:styleId="EndnoteText">
    <w:name w:val="endnote text"/>
    <w:basedOn w:val="Normal"/>
    <w:link w:val="EndnoteTextChar"/>
    <w:rsid w:val="00D53423"/>
    <w:rPr>
      <w:sz w:val="20"/>
      <w:szCs w:val="20"/>
    </w:rPr>
  </w:style>
  <w:style w:type="character" w:customStyle="1" w:styleId="EndnoteTextChar">
    <w:name w:val="Endnote Text Char"/>
    <w:link w:val="EndnoteText"/>
    <w:rsid w:val="00D53423"/>
    <w:rPr>
      <w:bCs/>
      <w:lang w:val="en-US" w:eastAsia="en-US"/>
    </w:rPr>
  </w:style>
  <w:style w:type="character" w:styleId="EndnoteReference">
    <w:name w:val="endnote reference"/>
    <w:rsid w:val="00D53423"/>
    <w:rPr>
      <w:vertAlign w:val="superscript"/>
    </w:rPr>
  </w:style>
  <w:style w:type="paragraph" w:customStyle="1" w:styleId="TableParagraph">
    <w:name w:val="Table Paragraph"/>
    <w:basedOn w:val="Normal"/>
    <w:uiPriority w:val="1"/>
    <w:qFormat/>
    <w:rsid w:val="00B05E07"/>
    <w:pPr>
      <w:widowControl w:val="0"/>
      <w:autoSpaceDE w:val="0"/>
      <w:autoSpaceDN w:val="0"/>
    </w:pPr>
    <w:rPr>
      <w:rFonts w:ascii="Arial" w:eastAsia="Arial" w:hAnsi="Arial"/>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2">
      <w:bodyDiv w:val="1"/>
      <w:marLeft w:val="0"/>
      <w:marRight w:val="0"/>
      <w:marTop w:val="0"/>
      <w:marBottom w:val="0"/>
      <w:divBdr>
        <w:top w:val="none" w:sz="0" w:space="0" w:color="auto"/>
        <w:left w:val="none" w:sz="0" w:space="0" w:color="auto"/>
        <w:bottom w:val="none" w:sz="0" w:space="0" w:color="auto"/>
        <w:right w:val="none" w:sz="0" w:space="0" w:color="auto"/>
      </w:divBdr>
    </w:div>
    <w:div w:id="160259">
      <w:bodyDiv w:val="1"/>
      <w:marLeft w:val="0"/>
      <w:marRight w:val="0"/>
      <w:marTop w:val="0"/>
      <w:marBottom w:val="0"/>
      <w:divBdr>
        <w:top w:val="none" w:sz="0" w:space="0" w:color="auto"/>
        <w:left w:val="none" w:sz="0" w:space="0" w:color="auto"/>
        <w:bottom w:val="none" w:sz="0" w:space="0" w:color="auto"/>
        <w:right w:val="none" w:sz="0" w:space="0" w:color="auto"/>
      </w:divBdr>
    </w:div>
    <w:div w:id="789342">
      <w:bodyDiv w:val="1"/>
      <w:marLeft w:val="0"/>
      <w:marRight w:val="0"/>
      <w:marTop w:val="0"/>
      <w:marBottom w:val="0"/>
      <w:divBdr>
        <w:top w:val="none" w:sz="0" w:space="0" w:color="auto"/>
        <w:left w:val="none" w:sz="0" w:space="0" w:color="auto"/>
        <w:bottom w:val="none" w:sz="0" w:space="0" w:color="auto"/>
        <w:right w:val="none" w:sz="0" w:space="0" w:color="auto"/>
      </w:divBdr>
    </w:div>
    <w:div w:id="1517259">
      <w:bodyDiv w:val="1"/>
      <w:marLeft w:val="0"/>
      <w:marRight w:val="0"/>
      <w:marTop w:val="0"/>
      <w:marBottom w:val="0"/>
      <w:divBdr>
        <w:top w:val="none" w:sz="0" w:space="0" w:color="auto"/>
        <w:left w:val="none" w:sz="0" w:space="0" w:color="auto"/>
        <w:bottom w:val="none" w:sz="0" w:space="0" w:color="auto"/>
        <w:right w:val="none" w:sz="0" w:space="0" w:color="auto"/>
      </w:divBdr>
    </w:div>
    <w:div w:id="1518827">
      <w:bodyDiv w:val="1"/>
      <w:marLeft w:val="0"/>
      <w:marRight w:val="0"/>
      <w:marTop w:val="0"/>
      <w:marBottom w:val="0"/>
      <w:divBdr>
        <w:top w:val="none" w:sz="0" w:space="0" w:color="auto"/>
        <w:left w:val="none" w:sz="0" w:space="0" w:color="auto"/>
        <w:bottom w:val="none" w:sz="0" w:space="0" w:color="auto"/>
        <w:right w:val="none" w:sz="0" w:space="0" w:color="auto"/>
      </w:divBdr>
    </w:div>
    <w:div w:id="3016830">
      <w:bodyDiv w:val="1"/>
      <w:marLeft w:val="0"/>
      <w:marRight w:val="0"/>
      <w:marTop w:val="0"/>
      <w:marBottom w:val="0"/>
      <w:divBdr>
        <w:top w:val="none" w:sz="0" w:space="0" w:color="auto"/>
        <w:left w:val="none" w:sz="0" w:space="0" w:color="auto"/>
        <w:bottom w:val="none" w:sz="0" w:space="0" w:color="auto"/>
        <w:right w:val="none" w:sz="0" w:space="0" w:color="auto"/>
      </w:divBdr>
    </w:div>
    <w:div w:id="4023355">
      <w:bodyDiv w:val="1"/>
      <w:marLeft w:val="0"/>
      <w:marRight w:val="0"/>
      <w:marTop w:val="0"/>
      <w:marBottom w:val="0"/>
      <w:divBdr>
        <w:top w:val="none" w:sz="0" w:space="0" w:color="auto"/>
        <w:left w:val="none" w:sz="0" w:space="0" w:color="auto"/>
        <w:bottom w:val="none" w:sz="0" w:space="0" w:color="auto"/>
        <w:right w:val="none" w:sz="0" w:space="0" w:color="auto"/>
      </w:divBdr>
    </w:div>
    <w:div w:id="6369854">
      <w:bodyDiv w:val="1"/>
      <w:marLeft w:val="0"/>
      <w:marRight w:val="0"/>
      <w:marTop w:val="0"/>
      <w:marBottom w:val="0"/>
      <w:divBdr>
        <w:top w:val="none" w:sz="0" w:space="0" w:color="auto"/>
        <w:left w:val="none" w:sz="0" w:space="0" w:color="auto"/>
        <w:bottom w:val="none" w:sz="0" w:space="0" w:color="auto"/>
        <w:right w:val="none" w:sz="0" w:space="0" w:color="auto"/>
      </w:divBdr>
    </w:div>
    <w:div w:id="6374265">
      <w:bodyDiv w:val="1"/>
      <w:marLeft w:val="0"/>
      <w:marRight w:val="0"/>
      <w:marTop w:val="0"/>
      <w:marBottom w:val="0"/>
      <w:divBdr>
        <w:top w:val="none" w:sz="0" w:space="0" w:color="auto"/>
        <w:left w:val="none" w:sz="0" w:space="0" w:color="auto"/>
        <w:bottom w:val="none" w:sz="0" w:space="0" w:color="auto"/>
        <w:right w:val="none" w:sz="0" w:space="0" w:color="auto"/>
      </w:divBdr>
    </w:div>
    <w:div w:id="8485599">
      <w:bodyDiv w:val="1"/>
      <w:marLeft w:val="0"/>
      <w:marRight w:val="0"/>
      <w:marTop w:val="0"/>
      <w:marBottom w:val="0"/>
      <w:divBdr>
        <w:top w:val="none" w:sz="0" w:space="0" w:color="auto"/>
        <w:left w:val="none" w:sz="0" w:space="0" w:color="auto"/>
        <w:bottom w:val="none" w:sz="0" w:space="0" w:color="auto"/>
        <w:right w:val="none" w:sz="0" w:space="0" w:color="auto"/>
      </w:divBdr>
    </w:div>
    <w:div w:id="10880330">
      <w:bodyDiv w:val="1"/>
      <w:marLeft w:val="0"/>
      <w:marRight w:val="0"/>
      <w:marTop w:val="0"/>
      <w:marBottom w:val="0"/>
      <w:divBdr>
        <w:top w:val="none" w:sz="0" w:space="0" w:color="auto"/>
        <w:left w:val="none" w:sz="0" w:space="0" w:color="auto"/>
        <w:bottom w:val="none" w:sz="0" w:space="0" w:color="auto"/>
        <w:right w:val="none" w:sz="0" w:space="0" w:color="auto"/>
      </w:divBdr>
    </w:div>
    <w:div w:id="10885933">
      <w:bodyDiv w:val="1"/>
      <w:marLeft w:val="0"/>
      <w:marRight w:val="0"/>
      <w:marTop w:val="0"/>
      <w:marBottom w:val="0"/>
      <w:divBdr>
        <w:top w:val="none" w:sz="0" w:space="0" w:color="auto"/>
        <w:left w:val="none" w:sz="0" w:space="0" w:color="auto"/>
        <w:bottom w:val="none" w:sz="0" w:space="0" w:color="auto"/>
        <w:right w:val="none" w:sz="0" w:space="0" w:color="auto"/>
      </w:divBdr>
    </w:div>
    <w:div w:id="11535111">
      <w:bodyDiv w:val="1"/>
      <w:marLeft w:val="0"/>
      <w:marRight w:val="0"/>
      <w:marTop w:val="0"/>
      <w:marBottom w:val="0"/>
      <w:divBdr>
        <w:top w:val="none" w:sz="0" w:space="0" w:color="auto"/>
        <w:left w:val="none" w:sz="0" w:space="0" w:color="auto"/>
        <w:bottom w:val="none" w:sz="0" w:space="0" w:color="auto"/>
        <w:right w:val="none" w:sz="0" w:space="0" w:color="auto"/>
      </w:divBdr>
    </w:div>
    <w:div w:id="11684006">
      <w:bodyDiv w:val="1"/>
      <w:marLeft w:val="0"/>
      <w:marRight w:val="0"/>
      <w:marTop w:val="0"/>
      <w:marBottom w:val="0"/>
      <w:divBdr>
        <w:top w:val="none" w:sz="0" w:space="0" w:color="auto"/>
        <w:left w:val="none" w:sz="0" w:space="0" w:color="auto"/>
        <w:bottom w:val="none" w:sz="0" w:space="0" w:color="auto"/>
        <w:right w:val="none" w:sz="0" w:space="0" w:color="auto"/>
      </w:divBdr>
    </w:div>
    <w:div w:id="11999916">
      <w:bodyDiv w:val="1"/>
      <w:marLeft w:val="0"/>
      <w:marRight w:val="0"/>
      <w:marTop w:val="0"/>
      <w:marBottom w:val="0"/>
      <w:divBdr>
        <w:top w:val="none" w:sz="0" w:space="0" w:color="auto"/>
        <w:left w:val="none" w:sz="0" w:space="0" w:color="auto"/>
        <w:bottom w:val="none" w:sz="0" w:space="0" w:color="auto"/>
        <w:right w:val="none" w:sz="0" w:space="0" w:color="auto"/>
      </w:divBdr>
    </w:div>
    <w:div w:id="13001674">
      <w:bodyDiv w:val="1"/>
      <w:marLeft w:val="0"/>
      <w:marRight w:val="0"/>
      <w:marTop w:val="0"/>
      <w:marBottom w:val="0"/>
      <w:divBdr>
        <w:top w:val="none" w:sz="0" w:space="0" w:color="auto"/>
        <w:left w:val="none" w:sz="0" w:space="0" w:color="auto"/>
        <w:bottom w:val="none" w:sz="0" w:space="0" w:color="auto"/>
        <w:right w:val="none" w:sz="0" w:space="0" w:color="auto"/>
      </w:divBdr>
    </w:div>
    <w:div w:id="13195449">
      <w:bodyDiv w:val="1"/>
      <w:marLeft w:val="0"/>
      <w:marRight w:val="0"/>
      <w:marTop w:val="0"/>
      <w:marBottom w:val="0"/>
      <w:divBdr>
        <w:top w:val="none" w:sz="0" w:space="0" w:color="auto"/>
        <w:left w:val="none" w:sz="0" w:space="0" w:color="auto"/>
        <w:bottom w:val="none" w:sz="0" w:space="0" w:color="auto"/>
        <w:right w:val="none" w:sz="0" w:space="0" w:color="auto"/>
      </w:divBdr>
    </w:div>
    <w:div w:id="22631485">
      <w:bodyDiv w:val="1"/>
      <w:marLeft w:val="0"/>
      <w:marRight w:val="0"/>
      <w:marTop w:val="0"/>
      <w:marBottom w:val="0"/>
      <w:divBdr>
        <w:top w:val="none" w:sz="0" w:space="0" w:color="auto"/>
        <w:left w:val="none" w:sz="0" w:space="0" w:color="auto"/>
        <w:bottom w:val="none" w:sz="0" w:space="0" w:color="auto"/>
        <w:right w:val="none" w:sz="0" w:space="0" w:color="auto"/>
      </w:divBdr>
    </w:div>
    <w:div w:id="23948485">
      <w:bodyDiv w:val="1"/>
      <w:marLeft w:val="0"/>
      <w:marRight w:val="0"/>
      <w:marTop w:val="0"/>
      <w:marBottom w:val="0"/>
      <w:divBdr>
        <w:top w:val="none" w:sz="0" w:space="0" w:color="auto"/>
        <w:left w:val="none" w:sz="0" w:space="0" w:color="auto"/>
        <w:bottom w:val="none" w:sz="0" w:space="0" w:color="auto"/>
        <w:right w:val="none" w:sz="0" w:space="0" w:color="auto"/>
      </w:divBdr>
    </w:div>
    <w:div w:id="24334375">
      <w:bodyDiv w:val="1"/>
      <w:marLeft w:val="0"/>
      <w:marRight w:val="0"/>
      <w:marTop w:val="0"/>
      <w:marBottom w:val="0"/>
      <w:divBdr>
        <w:top w:val="none" w:sz="0" w:space="0" w:color="auto"/>
        <w:left w:val="none" w:sz="0" w:space="0" w:color="auto"/>
        <w:bottom w:val="none" w:sz="0" w:space="0" w:color="auto"/>
        <w:right w:val="none" w:sz="0" w:space="0" w:color="auto"/>
      </w:divBdr>
    </w:div>
    <w:div w:id="24529840">
      <w:bodyDiv w:val="1"/>
      <w:marLeft w:val="0"/>
      <w:marRight w:val="0"/>
      <w:marTop w:val="0"/>
      <w:marBottom w:val="0"/>
      <w:divBdr>
        <w:top w:val="none" w:sz="0" w:space="0" w:color="auto"/>
        <w:left w:val="none" w:sz="0" w:space="0" w:color="auto"/>
        <w:bottom w:val="none" w:sz="0" w:space="0" w:color="auto"/>
        <w:right w:val="none" w:sz="0" w:space="0" w:color="auto"/>
      </w:divBdr>
    </w:div>
    <w:div w:id="25496530">
      <w:bodyDiv w:val="1"/>
      <w:marLeft w:val="0"/>
      <w:marRight w:val="0"/>
      <w:marTop w:val="0"/>
      <w:marBottom w:val="0"/>
      <w:divBdr>
        <w:top w:val="none" w:sz="0" w:space="0" w:color="auto"/>
        <w:left w:val="none" w:sz="0" w:space="0" w:color="auto"/>
        <w:bottom w:val="none" w:sz="0" w:space="0" w:color="auto"/>
        <w:right w:val="none" w:sz="0" w:space="0" w:color="auto"/>
      </w:divBdr>
    </w:div>
    <w:div w:id="26298507">
      <w:bodyDiv w:val="1"/>
      <w:marLeft w:val="0"/>
      <w:marRight w:val="0"/>
      <w:marTop w:val="0"/>
      <w:marBottom w:val="0"/>
      <w:divBdr>
        <w:top w:val="none" w:sz="0" w:space="0" w:color="auto"/>
        <w:left w:val="none" w:sz="0" w:space="0" w:color="auto"/>
        <w:bottom w:val="none" w:sz="0" w:space="0" w:color="auto"/>
        <w:right w:val="none" w:sz="0" w:space="0" w:color="auto"/>
      </w:divBdr>
    </w:div>
    <w:div w:id="26490950">
      <w:bodyDiv w:val="1"/>
      <w:marLeft w:val="0"/>
      <w:marRight w:val="0"/>
      <w:marTop w:val="0"/>
      <w:marBottom w:val="0"/>
      <w:divBdr>
        <w:top w:val="none" w:sz="0" w:space="0" w:color="auto"/>
        <w:left w:val="none" w:sz="0" w:space="0" w:color="auto"/>
        <w:bottom w:val="none" w:sz="0" w:space="0" w:color="auto"/>
        <w:right w:val="none" w:sz="0" w:space="0" w:color="auto"/>
      </w:divBdr>
    </w:div>
    <w:div w:id="27683817">
      <w:bodyDiv w:val="1"/>
      <w:marLeft w:val="0"/>
      <w:marRight w:val="0"/>
      <w:marTop w:val="0"/>
      <w:marBottom w:val="0"/>
      <w:divBdr>
        <w:top w:val="none" w:sz="0" w:space="0" w:color="auto"/>
        <w:left w:val="none" w:sz="0" w:space="0" w:color="auto"/>
        <w:bottom w:val="none" w:sz="0" w:space="0" w:color="auto"/>
        <w:right w:val="none" w:sz="0" w:space="0" w:color="auto"/>
      </w:divBdr>
    </w:div>
    <w:div w:id="28339368">
      <w:bodyDiv w:val="1"/>
      <w:marLeft w:val="0"/>
      <w:marRight w:val="0"/>
      <w:marTop w:val="0"/>
      <w:marBottom w:val="0"/>
      <w:divBdr>
        <w:top w:val="none" w:sz="0" w:space="0" w:color="auto"/>
        <w:left w:val="none" w:sz="0" w:space="0" w:color="auto"/>
        <w:bottom w:val="none" w:sz="0" w:space="0" w:color="auto"/>
        <w:right w:val="none" w:sz="0" w:space="0" w:color="auto"/>
      </w:divBdr>
    </w:div>
    <w:div w:id="28537032">
      <w:bodyDiv w:val="1"/>
      <w:marLeft w:val="0"/>
      <w:marRight w:val="0"/>
      <w:marTop w:val="0"/>
      <w:marBottom w:val="0"/>
      <w:divBdr>
        <w:top w:val="none" w:sz="0" w:space="0" w:color="auto"/>
        <w:left w:val="none" w:sz="0" w:space="0" w:color="auto"/>
        <w:bottom w:val="none" w:sz="0" w:space="0" w:color="auto"/>
        <w:right w:val="none" w:sz="0" w:space="0" w:color="auto"/>
      </w:divBdr>
    </w:div>
    <w:div w:id="29184119">
      <w:bodyDiv w:val="1"/>
      <w:marLeft w:val="0"/>
      <w:marRight w:val="0"/>
      <w:marTop w:val="0"/>
      <w:marBottom w:val="0"/>
      <w:divBdr>
        <w:top w:val="none" w:sz="0" w:space="0" w:color="auto"/>
        <w:left w:val="none" w:sz="0" w:space="0" w:color="auto"/>
        <w:bottom w:val="none" w:sz="0" w:space="0" w:color="auto"/>
        <w:right w:val="none" w:sz="0" w:space="0" w:color="auto"/>
      </w:divBdr>
    </w:div>
    <w:div w:id="29378980">
      <w:bodyDiv w:val="1"/>
      <w:marLeft w:val="0"/>
      <w:marRight w:val="0"/>
      <w:marTop w:val="0"/>
      <w:marBottom w:val="0"/>
      <w:divBdr>
        <w:top w:val="none" w:sz="0" w:space="0" w:color="auto"/>
        <w:left w:val="none" w:sz="0" w:space="0" w:color="auto"/>
        <w:bottom w:val="none" w:sz="0" w:space="0" w:color="auto"/>
        <w:right w:val="none" w:sz="0" w:space="0" w:color="auto"/>
      </w:divBdr>
    </w:div>
    <w:div w:id="30687103">
      <w:bodyDiv w:val="1"/>
      <w:marLeft w:val="0"/>
      <w:marRight w:val="0"/>
      <w:marTop w:val="0"/>
      <w:marBottom w:val="0"/>
      <w:divBdr>
        <w:top w:val="none" w:sz="0" w:space="0" w:color="auto"/>
        <w:left w:val="none" w:sz="0" w:space="0" w:color="auto"/>
        <w:bottom w:val="none" w:sz="0" w:space="0" w:color="auto"/>
        <w:right w:val="none" w:sz="0" w:space="0" w:color="auto"/>
      </w:divBdr>
    </w:div>
    <w:div w:id="31542808">
      <w:bodyDiv w:val="1"/>
      <w:marLeft w:val="0"/>
      <w:marRight w:val="0"/>
      <w:marTop w:val="0"/>
      <w:marBottom w:val="0"/>
      <w:divBdr>
        <w:top w:val="none" w:sz="0" w:space="0" w:color="auto"/>
        <w:left w:val="none" w:sz="0" w:space="0" w:color="auto"/>
        <w:bottom w:val="none" w:sz="0" w:space="0" w:color="auto"/>
        <w:right w:val="none" w:sz="0" w:space="0" w:color="auto"/>
      </w:divBdr>
    </w:div>
    <w:div w:id="32266444">
      <w:bodyDiv w:val="1"/>
      <w:marLeft w:val="0"/>
      <w:marRight w:val="0"/>
      <w:marTop w:val="0"/>
      <w:marBottom w:val="0"/>
      <w:divBdr>
        <w:top w:val="none" w:sz="0" w:space="0" w:color="auto"/>
        <w:left w:val="none" w:sz="0" w:space="0" w:color="auto"/>
        <w:bottom w:val="none" w:sz="0" w:space="0" w:color="auto"/>
        <w:right w:val="none" w:sz="0" w:space="0" w:color="auto"/>
      </w:divBdr>
    </w:div>
    <w:div w:id="32535560">
      <w:bodyDiv w:val="1"/>
      <w:marLeft w:val="0"/>
      <w:marRight w:val="0"/>
      <w:marTop w:val="0"/>
      <w:marBottom w:val="0"/>
      <w:divBdr>
        <w:top w:val="none" w:sz="0" w:space="0" w:color="auto"/>
        <w:left w:val="none" w:sz="0" w:space="0" w:color="auto"/>
        <w:bottom w:val="none" w:sz="0" w:space="0" w:color="auto"/>
        <w:right w:val="none" w:sz="0" w:space="0" w:color="auto"/>
      </w:divBdr>
    </w:div>
    <w:div w:id="33697632">
      <w:bodyDiv w:val="1"/>
      <w:marLeft w:val="0"/>
      <w:marRight w:val="0"/>
      <w:marTop w:val="0"/>
      <w:marBottom w:val="0"/>
      <w:divBdr>
        <w:top w:val="none" w:sz="0" w:space="0" w:color="auto"/>
        <w:left w:val="none" w:sz="0" w:space="0" w:color="auto"/>
        <w:bottom w:val="none" w:sz="0" w:space="0" w:color="auto"/>
        <w:right w:val="none" w:sz="0" w:space="0" w:color="auto"/>
      </w:divBdr>
    </w:div>
    <w:div w:id="34432790">
      <w:bodyDiv w:val="1"/>
      <w:marLeft w:val="0"/>
      <w:marRight w:val="0"/>
      <w:marTop w:val="0"/>
      <w:marBottom w:val="0"/>
      <w:divBdr>
        <w:top w:val="none" w:sz="0" w:space="0" w:color="auto"/>
        <w:left w:val="none" w:sz="0" w:space="0" w:color="auto"/>
        <w:bottom w:val="none" w:sz="0" w:space="0" w:color="auto"/>
        <w:right w:val="none" w:sz="0" w:space="0" w:color="auto"/>
      </w:divBdr>
    </w:div>
    <w:div w:id="36783220">
      <w:bodyDiv w:val="1"/>
      <w:marLeft w:val="0"/>
      <w:marRight w:val="0"/>
      <w:marTop w:val="0"/>
      <w:marBottom w:val="0"/>
      <w:divBdr>
        <w:top w:val="none" w:sz="0" w:space="0" w:color="auto"/>
        <w:left w:val="none" w:sz="0" w:space="0" w:color="auto"/>
        <w:bottom w:val="none" w:sz="0" w:space="0" w:color="auto"/>
        <w:right w:val="none" w:sz="0" w:space="0" w:color="auto"/>
      </w:divBdr>
    </w:div>
    <w:div w:id="41296809">
      <w:bodyDiv w:val="1"/>
      <w:marLeft w:val="0"/>
      <w:marRight w:val="0"/>
      <w:marTop w:val="0"/>
      <w:marBottom w:val="0"/>
      <w:divBdr>
        <w:top w:val="none" w:sz="0" w:space="0" w:color="auto"/>
        <w:left w:val="none" w:sz="0" w:space="0" w:color="auto"/>
        <w:bottom w:val="none" w:sz="0" w:space="0" w:color="auto"/>
        <w:right w:val="none" w:sz="0" w:space="0" w:color="auto"/>
      </w:divBdr>
    </w:div>
    <w:div w:id="41371257">
      <w:bodyDiv w:val="1"/>
      <w:marLeft w:val="0"/>
      <w:marRight w:val="0"/>
      <w:marTop w:val="0"/>
      <w:marBottom w:val="0"/>
      <w:divBdr>
        <w:top w:val="none" w:sz="0" w:space="0" w:color="auto"/>
        <w:left w:val="none" w:sz="0" w:space="0" w:color="auto"/>
        <w:bottom w:val="none" w:sz="0" w:space="0" w:color="auto"/>
        <w:right w:val="none" w:sz="0" w:space="0" w:color="auto"/>
      </w:divBdr>
    </w:div>
    <w:div w:id="42220365">
      <w:bodyDiv w:val="1"/>
      <w:marLeft w:val="0"/>
      <w:marRight w:val="0"/>
      <w:marTop w:val="0"/>
      <w:marBottom w:val="0"/>
      <w:divBdr>
        <w:top w:val="none" w:sz="0" w:space="0" w:color="auto"/>
        <w:left w:val="none" w:sz="0" w:space="0" w:color="auto"/>
        <w:bottom w:val="none" w:sz="0" w:space="0" w:color="auto"/>
        <w:right w:val="none" w:sz="0" w:space="0" w:color="auto"/>
      </w:divBdr>
    </w:div>
    <w:div w:id="42481575">
      <w:bodyDiv w:val="1"/>
      <w:marLeft w:val="0"/>
      <w:marRight w:val="0"/>
      <w:marTop w:val="0"/>
      <w:marBottom w:val="0"/>
      <w:divBdr>
        <w:top w:val="none" w:sz="0" w:space="0" w:color="auto"/>
        <w:left w:val="none" w:sz="0" w:space="0" w:color="auto"/>
        <w:bottom w:val="none" w:sz="0" w:space="0" w:color="auto"/>
        <w:right w:val="none" w:sz="0" w:space="0" w:color="auto"/>
      </w:divBdr>
    </w:div>
    <w:div w:id="46613306">
      <w:bodyDiv w:val="1"/>
      <w:marLeft w:val="0"/>
      <w:marRight w:val="0"/>
      <w:marTop w:val="0"/>
      <w:marBottom w:val="0"/>
      <w:divBdr>
        <w:top w:val="none" w:sz="0" w:space="0" w:color="auto"/>
        <w:left w:val="none" w:sz="0" w:space="0" w:color="auto"/>
        <w:bottom w:val="none" w:sz="0" w:space="0" w:color="auto"/>
        <w:right w:val="none" w:sz="0" w:space="0" w:color="auto"/>
      </w:divBdr>
    </w:div>
    <w:div w:id="46955051">
      <w:bodyDiv w:val="1"/>
      <w:marLeft w:val="0"/>
      <w:marRight w:val="0"/>
      <w:marTop w:val="0"/>
      <w:marBottom w:val="0"/>
      <w:divBdr>
        <w:top w:val="none" w:sz="0" w:space="0" w:color="auto"/>
        <w:left w:val="none" w:sz="0" w:space="0" w:color="auto"/>
        <w:bottom w:val="none" w:sz="0" w:space="0" w:color="auto"/>
        <w:right w:val="none" w:sz="0" w:space="0" w:color="auto"/>
      </w:divBdr>
    </w:div>
    <w:div w:id="47263775">
      <w:bodyDiv w:val="1"/>
      <w:marLeft w:val="0"/>
      <w:marRight w:val="0"/>
      <w:marTop w:val="0"/>
      <w:marBottom w:val="0"/>
      <w:divBdr>
        <w:top w:val="none" w:sz="0" w:space="0" w:color="auto"/>
        <w:left w:val="none" w:sz="0" w:space="0" w:color="auto"/>
        <w:bottom w:val="none" w:sz="0" w:space="0" w:color="auto"/>
        <w:right w:val="none" w:sz="0" w:space="0" w:color="auto"/>
      </w:divBdr>
    </w:div>
    <w:div w:id="48194782">
      <w:bodyDiv w:val="1"/>
      <w:marLeft w:val="0"/>
      <w:marRight w:val="0"/>
      <w:marTop w:val="0"/>
      <w:marBottom w:val="0"/>
      <w:divBdr>
        <w:top w:val="none" w:sz="0" w:space="0" w:color="auto"/>
        <w:left w:val="none" w:sz="0" w:space="0" w:color="auto"/>
        <w:bottom w:val="none" w:sz="0" w:space="0" w:color="auto"/>
        <w:right w:val="none" w:sz="0" w:space="0" w:color="auto"/>
      </w:divBdr>
    </w:div>
    <w:div w:id="51004298">
      <w:bodyDiv w:val="1"/>
      <w:marLeft w:val="0"/>
      <w:marRight w:val="0"/>
      <w:marTop w:val="0"/>
      <w:marBottom w:val="0"/>
      <w:divBdr>
        <w:top w:val="none" w:sz="0" w:space="0" w:color="auto"/>
        <w:left w:val="none" w:sz="0" w:space="0" w:color="auto"/>
        <w:bottom w:val="none" w:sz="0" w:space="0" w:color="auto"/>
        <w:right w:val="none" w:sz="0" w:space="0" w:color="auto"/>
      </w:divBdr>
    </w:div>
    <w:div w:id="52775803">
      <w:bodyDiv w:val="1"/>
      <w:marLeft w:val="0"/>
      <w:marRight w:val="0"/>
      <w:marTop w:val="0"/>
      <w:marBottom w:val="0"/>
      <w:divBdr>
        <w:top w:val="none" w:sz="0" w:space="0" w:color="auto"/>
        <w:left w:val="none" w:sz="0" w:space="0" w:color="auto"/>
        <w:bottom w:val="none" w:sz="0" w:space="0" w:color="auto"/>
        <w:right w:val="none" w:sz="0" w:space="0" w:color="auto"/>
      </w:divBdr>
    </w:div>
    <w:div w:id="56898816">
      <w:bodyDiv w:val="1"/>
      <w:marLeft w:val="0"/>
      <w:marRight w:val="0"/>
      <w:marTop w:val="0"/>
      <w:marBottom w:val="0"/>
      <w:divBdr>
        <w:top w:val="none" w:sz="0" w:space="0" w:color="auto"/>
        <w:left w:val="none" w:sz="0" w:space="0" w:color="auto"/>
        <w:bottom w:val="none" w:sz="0" w:space="0" w:color="auto"/>
        <w:right w:val="none" w:sz="0" w:space="0" w:color="auto"/>
      </w:divBdr>
    </w:div>
    <w:div w:id="57441477">
      <w:bodyDiv w:val="1"/>
      <w:marLeft w:val="0"/>
      <w:marRight w:val="0"/>
      <w:marTop w:val="0"/>
      <w:marBottom w:val="0"/>
      <w:divBdr>
        <w:top w:val="none" w:sz="0" w:space="0" w:color="auto"/>
        <w:left w:val="none" w:sz="0" w:space="0" w:color="auto"/>
        <w:bottom w:val="none" w:sz="0" w:space="0" w:color="auto"/>
        <w:right w:val="none" w:sz="0" w:space="0" w:color="auto"/>
      </w:divBdr>
    </w:div>
    <w:div w:id="57558503">
      <w:bodyDiv w:val="1"/>
      <w:marLeft w:val="0"/>
      <w:marRight w:val="0"/>
      <w:marTop w:val="0"/>
      <w:marBottom w:val="0"/>
      <w:divBdr>
        <w:top w:val="none" w:sz="0" w:space="0" w:color="auto"/>
        <w:left w:val="none" w:sz="0" w:space="0" w:color="auto"/>
        <w:bottom w:val="none" w:sz="0" w:space="0" w:color="auto"/>
        <w:right w:val="none" w:sz="0" w:space="0" w:color="auto"/>
      </w:divBdr>
    </w:div>
    <w:div w:id="57636624">
      <w:bodyDiv w:val="1"/>
      <w:marLeft w:val="0"/>
      <w:marRight w:val="0"/>
      <w:marTop w:val="0"/>
      <w:marBottom w:val="0"/>
      <w:divBdr>
        <w:top w:val="none" w:sz="0" w:space="0" w:color="auto"/>
        <w:left w:val="none" w:sz="0" w:space="0" w:color="auto"/>
        <w:bottom w:val="none" w:sz="0" w:space="0" w:color="auto"/>
        <w:right w:val="none" w:sz="0" w:space="0" w:color="auto"/>
      </w:divBdr>
    </w:div>
    <w:div w:id="57946142">
      <w:bodyDiv w:val="1"/>
      <w:marLeft w:val="0"/>
      <w:marRight w:val="0"/>
      <w:marTop w:val="0"/>
      <w:marBottom w:val="0"/>
      <w:divBdr>
        <w:top w:val="none" w:sz="0" w:space="0" w:color="auto"/>
        <w:left w:val="none" w:sz="0" w:space="0" w:color="auto"/>
        <w:bottom w:val="none" w:sz="0" w:space="0" w:color="auto"/>
        <w:right w:val="none" w:sz="0" w:space="0" w:color="auto"/>
      </w:divBdr>
    </w:div>
    <w:div w:id="59407821">
      <w:bodyDiv w:val="1"/>
      <w:marLeft w:val="0"/>
      <w:marRight w:val="0"/>
      <w:marTop w:val="0"/>
      <w:marBottom w:val="0"/>
      <w:divBdr>
        <w:top w:val="none" w:sz="0" w:space="0" w:color="auto"/>
        <w:left w:val="none" w:sz="0" w:space="0" w:color="auto"/>
        <w:bottom w:val="none" w:sz="0" w:space="0" w:color="auto"/>
        <w:right w:val="none" w:sz="0" w:space="0" w:color="auto"/>
      </w:divBdr>
    </w:div>
    <w:div w:id="59839435">
      <w:bodyDiv w:val="1"/>
      <w:marLeft w:val="0"/>
      <w:marRight w:val="0"/>
      <w:marTop w:val="0"/>
      <w:marBottom w:val="0"/>
      <w:divBdr>
        <w:top w:val="none" w:sz="0" w:space="0" w:color="auto"/>
        <w:left w:val="none" w:sz="0" w:space="0" w:color="auto"/>
        <w:bottom w:val="none" w:sz="0" w:space="0" w:color="auto"/>
        <w:right w:val="none" w:sz="0" w:space="0" w:color="auto"/>
      </w:divBdr>
    </w:div>
    <w:div w:id="59905271">
      <w:bodyDiv w:val="1"/>
      <w:marLeft w:val="0"/>
      <w:marRight w:val="0"/>
      <w:marTop w:val="0"/>
      <w:marBottom w:val="0"/>
      <w:divBdr>
        <w:top w:val="none" w:sz="0" w:space="0" w:color="auto"/>
        <w:left w:val="none" w:sz="0" w:space="0" w:color="auto"/>
        <w:bottom w:val="none" w:sz="0" w:space="0" w:color="auto"/>
        <w:right w:val="none" w:sz="0" w:space="0" w:color="auto"/>
      </w:divBdr>
    </w:div>
    <w:div w:id="64423696">
      <w:bodyDiv w:val="1"/>
      <w:marLeft w:val="0"/>
      <w:marRight w:val="0"/>
      <w:marTop w:val="0"/>
      <w:marBottom w:val="0"/>
      <w:divBdr>
        <w:top w:val="none" w:sz="0" w:space="0" w:color="auto"/>
        <w:left w:val="none" w:sz="0" w:space="0" w:color="auto"/>
        <w:bottom w:val="none" w:sz="0" w:space="0" w:color="auto"/>
        <w:right w:val="none" w:sz="0" w:space="0" w:color="auto"/>
      </w:divBdr>
    </w:div>
    <w:div w:id="64841342">
      <w:bodyDiv w:val="1"/>
      <w:marLeft w:val="0"/>
      <w:marRight w:val="0"/>
      <w:marTop w:val="0"/>
      <w:marBottom w:val="0"/>
      <w:divBdr>
        <w:top w:val="none" w:sz="0" w:space="0" w:color="auto"/>
        <w:left w:val="none" w:sz="0" w:space="0" w:color="auto"/>
        <w:bottom w:val="none" w:sz="0" w:space="0" w:color="auto"/>
        <w:right w:val="none" w:sz="0" w:space="0" w:color="auto"/>
      </w:divBdr>
    </w:div>
    <w:div w:id="65539348">
      <w:bodyDiv w:val="1"/>
      <w:marLeft w:val="0"/>
      <w:marRight w:val="0"/>
      <w:marTop w:val="0"/>
      <w:marBottom w:val="0"/>
      <w:divBdr>
        <w:top w:val="none" w:sz="0" w:space="0" w:color="auto"/>
        <w:left w:val="none" w:sz="0" w:space="0" w:color="auto"/>
        <w:bottom w:val="none" w:sz="0" w:space="0" w:color="auto"/>
        <w:right w:val="none" w:sz="0" w:space="0" w:color="auto"/>
      </w:divBdr>
    </w:div>
    <w:div w:id="66349586">
      <w:bodyDiv w:val="1"/>
      <w:marLeft w:val="0"/>
      <w:marRight w:val="0"/>
      <w:marTop w:val="0"/>
      <w:marBottom w:val="0"/>
      <w:divBdr>
        <w:top w:val="none" w:sz="0" w:space="0" w:color="auto"/>
        <w:left w:val="none" w:sz="0" w:space="0" w:color="auto"/>
        <w:bottom w:val="none" w:sz="0" w:space="0" w:color="auto"/>
        <w:right w:val="none" w:sz="0" w:space="0" w:color="auto"/>
      </w:divBdr>
    </w:div>
    <w:div w:id="66920846">
      <w:bodyDiv w:val="1"/>
      <w:marLeft w:val="0"/>
      <w:marRight w:val="0"/>
      <w:marTop w:val="0"/>
      <w:marBottom w:val="0"/>
      <w:divBdr>
        <w:top w:val="none" w:sz="0" w:space="0" w:color="auto"/>
        <w:left w:val="none" w:sz="0" w:space="0" w:color="auto"/>
        <w:bottom w:val="none" w:sz="0" w:space="0" w:color="auto"/>
        <w:right w:val="none" w:sz="0" w:space="0" w:color="auto"/>
      </w:divBdr>
    </w:div>
    <w:div w:id="70275532">
      <w:bodyDiv w:val="1"/>
      <w:marLeft w:val="0"/>
      <w:marRight w:val="0"/>
      <w:marTop w:val="0"/>
      <w:marBottom w:val="0"/>
      <w:divBdr>
        <w:top w:val="none" w:sz="0" w:space="0" w:color="auto"/>
        <w:left w:val="none" w:sz="0" w:space="0" w:color="auto"/>
        <w:bottom w:val="none" w:sz="0" w:space="0" w:color="auto"/>
        <w:right w:val="none" w:sz="0" w:space="0" w:color="auto"/>
      </w:divBdr>
    </w:div>
    <w:div w:id="71203508">
      <w:bodyDiv w:val="1"/>
      <w:marLeft w:val="0"/>
      <w:marRight w:val="0"/>
      <w:marTop w:val="0"/>
      <w:marBottom w:val="0"/>
      <w:divBdr>
        <w:top w:val="none" w:sz="0" w:space="0" w:color="auto"/>
        <w:left w:val="none" w:sz="0" w:space="0" w:color="auto"/>
        <w:bottom w:val="none" w:sz="0" w:space="0" w:color="auto"/>
        <w:right w:val="none" w:sz="0" w:space="0" w:color="auto"/>
      </w:divBdr>
    </w:div>
    <w:div w:id="74327360">
      <w:bodyDiv w:val="1"/>
      <w:marLeft w:val="0"/>
      <w:marRight w:val="0"/>
      <w:marTop w:val="0"/>
      <w:marBottom w:val="0"/>
      <w:divBdr>
        <w:top w:val="none" w:sz="0" w:space="0" w:color="auto"/>
        <w:left w:val="none" w:sz="0" w:space="0" w:color="auto"/>
        <w:bottom w:val="none" w:sz="0" w:space="0" w:color="auto"/>
        <w:right w:val="none" w:sz="0" w:space="0" w:color="auto"/>
      </w:divBdr>
    </w:div>
    <w:div w:id="74397139">
      <w:bodyDiv w:val="1"/>
      <w:marLeft w:val="0"/>
      <w:marRight w:val="0"/>
      <w:marTop w:val="0"/>
      <w:marBottom w:val="0"/>
      <w:divBdr>
        <w:top w:val="none" w:sz="0" w:space="0" w:color="auto"/>
        <w:left w:val="none" w:sz="0" w:space="0" w:color="auto"/>
        <w:bottom w:val="none" w:sz="0" w:space="0" w:color="auto"/>
        <w:right w:val="none" w:sz="0" w:space="0" w:color="auto"/>
      </w:divBdr>
    </w:div>
    <w:div w:id="74515970">
      <w:bodyDiv w:val="1"/>
      <w:marLeft w:val="0"/>
      <w:marRight w:val="0"/>
      <w:marTop w:val="0"/>
      <w:marBottom w:val="0"/>
      <w:divBdr>
        <w:top w:val="none" w:sz="0" w:space="0" w:color="auto"/>
        <w:left w:val="none" w:sz="0" w:space="0" w:color="auto"/>
        <w:bottom w:val="none" w:sz="0" w:space="0" w:color="auto"/>
        <w:right w:val="none" w:sz="0" w:space="0" w:color="auto"/>
      </w:divBdr>
    </w:div>
    <w:div w:id="75176191">
      <w:bodyDiv w:val="1"/>
      <w:marLeft w:val="0"/>
      <w:marRight w:val="0"/>
      <w:marTop w:val="0"/>
      <w:marBottom w:val="0"/>
      <w:divBdr>
        <w:top w:val="none" w:sz="0" w:space="0" w:color="auto"/>
        <w:left w:val="none" w:sz="0" w:space="0" w:color="auto"/>
        <w:bottom w:val="none" w:sz="0" w:space="0" w:color="auto"/>
        <w:right w:val="none" w:sz="0" w:space="0" w:color="auto"/>
      </w:divBdr>
    </w:div>
    <w:div w:id="75248840">
      <w:bodyDiv w:val="1"/>
      <w:marLeft w:val="0"/>
      <w:marRight w:val="0"/>
      <w:marTop w:val="0"/>
      <w:marBottom w:val="0"/>
      <w:divBdr>
        <w:top w:val="none" w:sz="0" w:space="0" w:color="auto"/>
        <w:left w:val="none" w:sz="0" w:space="0" w:color="auto"/>
        <w:bottom w:val="none" w:sz="0" w:space="0" w:color="auto"/>
        <w:right w:val="none" w:sz="0" w:space="0" w:color="auto"/>
      </w:divBdr>
    </w:div>
    <w:div w:id="75635670">
      <w:bodyDiv w:val="1"/>
      <w:marLeft w:val="0"/>
      <w:marRight w:val="0"/>
      <w:marTop w:val="0"/>
      <w:marBottom w:val="0"/>
      <w:divBdr>
        <w:top w:val="none" w:sz="0" w:space="0" w:color="auto"/>
        <w:left w:val="none" w:sz="0" w:space="0" w:color="auto"/>
        <w:bottom w:val="none" w:sz="0" w:space="0" w:color="auto"/>
        <w:right w:val="none" w:sz="0" w:space="0" w:color="auto"/>
      </w:divBdr>
    </w:div>
    <w:div w:id="76102044">
      <w:bodyDiv w:val="1"/>
      <w:marLeft w:val="0"/>
      <w:marRight w:val="0"/>
      <w:marTop w:val="0"/>
      <w:marBottom w:val="0"/>
      <w:divBdr>
        <w:top w:val="none" w:sz="0" w:space="0" w:color="auto"/>
        <w:left w:val="none" w:sz="0" w:space="0" w:color="auto"/>
        <w:bottom w:val="none" w:sz="0" w:space="0" w:color="auto"/>
        <w:right w:val="none" w:sz="0" w:space="0" w:color="auto"/>
      </w:divBdr>
    </w:div>
    <w:div w:id="76487975">
      <w:bodyDiv w:val="1"/>
      <w:marLeft w:val="0"/>
      <w:marRight w:val="0"/>
      <w:marTop w:val="0"/>
      <w:marBottom w:val="0"/>
      <w:divBdr>
        <w:top w:val="none" w:sz="0" w:space="0" w:color="auto"/>
        <w:left w:val="none" w:sz="0" w:space="0" w:color="auto"/>
        <w:bottom w:val="none" w:sz="0" w:space="0" w:color="auto"/>
        <w:right w:val="none" w:sz="0" w:space="0" w:color="auto"/>
      </w:divBdr>
    </w:div>
    <w:div w:id="77559806">
      <w:bodyDiv w:val="1"/>
      <w:marLeft w:val="0"/>
      <w:marRight w:val="0"/>
      <w:marTop w:val="0"/>
      <w:marBottom w:val="0"/>
      <w:divBdr>
        <w:top w:val="none" w:sz="0" w:space="0" w:color="auto"/>
        <w:left w:val="none" w:sz="0" w:space="0" w:color="auto"/>
        <w:bottom w:val="none" w:sz="0" w:space="0" w:color="auto"/>
        <w:right w:val="none" w:sz="0" w:space="0" w:color="auto"/>
      </w:divBdr>
    </w:div>
    <w:div w:id="78253082">
      <w:bodyDiv w:val="1"/>
      <w:marLeft w:val="0"/>
      <w:marRight w:val="0"/>
      <w:marTop w:val="0"/>
      <w:marBottom w:val="0"/>
      <w:divBdr>
        <w:top w:val="none" w:sz="0" w:space="0" w:color="auto"/>
        <w:left w:val="none" w:sz="0" w:space="0" w:color="auto"/>
        <w:bottom w:val="none" w:sz="0" w:space="0" w:color="auto"/>
        <w:right w:val="none" w:sz="0" w:space="0" w:color="auto"/>
      </w:divBdr>
    </w:div>
    <w:div w:id="79452687">
      <w:bodyDiv w:val="1"/>
      <w:marLeft w:val="0"/>
      <w:marRight w:val="0"/>
      <w:marTop w:val="0"/>
      <w:marBottom w:val="0"/>
      <w:divBdr>
        <w:top w:val="none" w:sz="0" w:space="0" w:color="auto"/>
        <w:left w:val="none" w:sz="0" w:space="0" w:color="auto"/>
        <w:bottom w:val="none" w:sz="0" w:space="0" w:color="auto"/>
        <w:right w:val="none" w:sz="0" w:space="0" w:color="auto"/>
      </w:divBdr>
    </w:div>
    <w:div w:id="79765034">
      <w:bodyDiv w:val="1"/>
      <w:marLeft w:val="0"/>
      <w:marRight w:val="0"/>
      <w:marTop w:val="0"/>
      <w:marBottom w:val="0"/>
      <w:divBdr>
        <w:top w:val="none" w:sz="0" w:space="0" w:color="auto"/>
        <w:left w:val="none" w:sz="0" w:space="0" w:color="auto"/>
        <w:bottom w:val="none" w:sz="0" w:space="0" w:color="auto"/>
        <w:right w:val="none" w:sz="0" w:space="0" w:color="auto"/>
      </w:divBdr>
    </w:div>
    <w:div w:id="84154578">
      <w:bodyDiv w:val="1"/>
      <w:marLeft w:val="0"/>
      <w:marRight w:val="0"/>
      <w:marTop w:val="0"/>
      <w:marBottom w:val="0"/>
      <w:divBdr>
        <w:top w:val="none" w:sz="0" w:space="0" w:color="auto"/>
        <w:left w:val="none" w:sz="0" w:space="0" w:color="auto"/>
        <w:bottom w:val="none" w:sz="0" w:space="0" w:color="auto"/>
        <w:right w:val="none" w:sz="0" w:space="0" w:color="auto"/>
      </w:divBdr>
    </w:div>
    <w:div w:id="88238398">
      <w:bodyDiv w:val="1"/>
      <w:marLeft w:val="0"/>
      <w:marRight w:val="0"/>
      <w:marTop w:val="0"/>
      <w:marBottom w:val="0"/>
      <w:divBdr>
        <w:top w:val="none" w:sz="0" w:space="0" w:color="auto"/>
        <w:left w:val="none" w:sz="0" w:space="0" w:color="auto"/>
        <w:bottom w:val="none" w:sz="0" w:space="0" w:color="auto"/>
        <w:right w:val="none" w:sz="0" w:space="0" w:color="auto"/>
      </w:divBdr>
    </w:div>
    <w:div w:id="88433867">
      <w:bodyDiv w:val="1"/>
      <w:marLeft w:val="0"/>
      <w:marRight w:val="0"/>
      <w:marTop w:val="0"/>
      <w:marBottom w:val="0"/>
      <w:divBdr>
        <w:top w:val="none" w:sz="0" w:space="0" w:color="auto"/>
        <w:left w:val="none" w:sz="0" w:space="0" w:color="auto"/>
        <w:bottom w:val="none" w:sz="0" w:space="0" w:color="auto"/>
        <w:right w:val="none" w:sz="0" w:space="0" w:color="auto"/>
      </w:divBdr>
    </w:div>
    <w:div w:id="89158606">
      <w:bodyDiv w:val="1"/>
      <w:marLeft w:val="0"/>
      <w:marRight w:val="0"/>
      <w:marTop w:val="0"/>
      <w:marBottom w:val="0"/>
      <w:divBdr>
        <w:top w:val="none" w:sz="0" w:space="0" w:color="auto"/>
        <w:left w:val="none" w:sz="0" w:space="0" w:color="auto"/>
        <w:bottom w:val="none" w:sz="0" w:space="0" w:color="auto"/>
        <w:right w:val="none" w:sz="0" w:space="0" w:color="auto"/>
      </w:divBdr>
    </w:div>
    <w:div w:id="90007848">
      <w:bodyDiv w:val="1"/>
      <w:marLeft w:val="0"/>
      <w:marRight w:val="0"/>
      <w:marTop w:val="0"/>
      <w:marBottom w:val="0"/>
      <w:divBdr>
        <w:top w:val="none" w:sz="0" w:space="0" w:color="auto"/>
        <w:left w:val="none" w:sz="0" w:space="0" w:color="auto"/>
        <w:bottom w:val="none" w:sz="0" w:space="0" w:color="auto"/>
        <w:right w:val="none" w:sz="0" w:space="0" w:color="auto"/>
      </w:divBdr>
    </w:div>
    <w:div w:id="90396898">
      <w:bodyDiv w:val="1"/>
      <w:marLeft w:val="0"/>
      <w:marRight w:val="0"/>
      <w:marTop w:val="0"/>
      <w:marBottom w:val="0"/>
      <w:divBdr>
        <w:top w:val="none" w:sz="0" w:space="0" w:color="auto"/>
        <w:left w:val="none" w:sz="0" w:space="0" w:color="auto"/>
        <w:bottom w:val="none" w:sz="0" w:space="0" w:color="auto"/>
        <w:right w:val="none" w:sz="0" w:space="0" w:color="auto"/>
      </w:divBdr>
    </w:div>
    <w:div w:id="91514634">
      <w:bodyDiv w:val="1"/>
      <w:marLeft w:val="0"/>
      <w:marRight w:val="0"/>
      <w:marTop w:val="0"/>
      <w:marBottom w:val="0"/>
      <w:divBdr>
        <w:top w:val="none" w:sz="0" w:space="0" w:color="auto"/>
        <w:left w:val="none" w:sz="0" w:space="0" w:color="auto"/>
        <w:bottom w:val="none" w:sz="0" w:space="0" w:color="auto"/>
        <w:right w:val="none" w:sz="0" w:space="0" w:color="auto"/>
      </w:divBdr>
    </w:div>
    <w:div w:id="91821413">
      <w:bodyDiv w:val="1"/>
      <w:marLeft w:val="0"/>
      <w:marRight w:val="0"/>
      <w:marTop w:val="0"/>
      <w:marBottom w:val="0"/>
      <w:divBdr>
        <w:top w:val="none" w:sz="0" w:space="0" w:color="auto"/>
        <w:left w:val="none" w:sz="0" w:space="0" w:color="auto"/>
        <w:bottom w:val="none" w:sz="0" w:space="0" w:color="auto"/>
        <w:right w:val="none" w:sz="0" w:space="0" w:color="auto"/>
      </w:divBdr>
    </w:div>
    <w:div w:id="92091198">
      <w:bodyDiv w:val="1"/>
      <w:marLeft w:val="0"/>
      <w:marRight w:val="0"/>
      <w:marTop w:val="0"/>
      <w:marBottom w:val="0"/>
      <w:divBdr>
        <w:top w:val="none" w:sz="0" w:space="0" w:color="auto"/>
        <w:left w:val="none" w:sz="0" w:space="0" w:color="auto"/>
        <w:bottom w:val="none" w:sz="0" w:space="0" w:color="auto"/>
        <w:right w:val="none" w:sz="0" w:space="0" w:color="auto"/>
      </w:divBdr>
    </w:div>
    <w:div w:id="92895537">
      <w:bodyDiv w:val="1"/>
      <w:marLeft w:val="0"/>
      <w:marRight w:val="0"/>
      <w:marTop w:val="0"/>
      <w:marBottom w:val="0"/>
      <w:divBdr>
        <w:top w:val="none" w:sz="0" w:space="0" w:color="auto"/>
        <w:left w:val="none" w:sz="0" w:space="0" w:color="auto"/>
        <w:bottom w:val="none" w:sz="0" w:space="0" w:color="auto"/>
        <w:right w:val="none" w:sz="0" w:space="0" w:color="auto"/>
      </w:divBdr>
    </w:div>
    <w:div w:id="93012587">
      <w:bodyDiv w:val="1"/>
      <w:marLeft w:val="0"/>
      <w:marRight w:val="0"/>
      <w:marTop w:val="0"/>
      <w:marBottom w:val="0"/>
      <w:divBdr>
        <w:top w:val="none" w:sz="0" w:space="0" w:color="auto"/>
        <w:left w:val="none" w:sz="0" w:space="0" w:color="auto"/>
        <w:bottom w:val="none" w:sz="0" w:space="0" w:color="auto"/>
        <w:right w:val="none" w:sz="0" w:space="0" w:color="auto"/>
      </w:divBdr>
    </w:div>
    <w:div w:id="94710149">
      <w:bodyDiv w:val="1"/>
      <w:marLeft w:val="0"/>
      <w:marRight w:val="0"/>
      <w:marTop w:val="0"/>
      <w:marBottom w:val="0"/>
      <w:divBdr>
        <w:top w:val="none" w:sz="0" w:space="0" w:color="auto"/>
        <w:left w:val="none" w:sz="0" w:space="0" w:color="auto"/>
        <w:bottom w:val="none" w:sz="0" w:space="0" w:color="auto"/>
        <w:right w:val="none" w:sz="0" w:space="0" w:color="auto"/>
      </w:divBdr>
    </w:div>
    <w:div w:id="95907692">
      <w:bodyDiv w:val="1"/>
      <w:marLeft w:val="0"/>
      <w:marRight w:val="0"/>
      <w:marTop w:val="0"/>
      <w:marBottom w:val="0"/>
      <w:divBdr>
        <w:top w:val="none" w:sz="0" w:space="0" w:color="auto"/>
        <w:left w:val="none" w:sz="0" w:space="0" w:color="auto"/>
        <w:bottom w:val="none" w:sz="0" w:space="0" w:color="auto"/>
        <w:right w:val="none" w:sz="0" w:space="0" w:color="auto"/>
      </w:divBdr>
    </w:div>
    <w:div w:id="99883383">
      <w:bodyDiv w:val="1"/>
      <w:marLeft w:val="0"/>
      <w:marRight w:val="0"/>
      <w:marTop w:val="0"/>
      <w:marBottom w:val="0"/>
      <w:divBdr>
        <w:top w:val="none" w:sz="0" w:space="0" w:color="auto"/>
        <w:left w:val="none" w:sz="0" w:space="0" w:color="auto"/>
        <w:bottom w:val="none" w:sz="0" w:space="0" w:color="auto"/>
        <w:right w:val="none" w:sz="0" w:space="0" w:color="auto"/>
      </w:divBdr>
    </w:div>
    <w:div w:id="100686986">
      <w:bodyDiv w:val="1"/>
      <w:marLeft w:val="0"/>
      <w:marRight w:val="0"/>
      <w:marTop w:val="0"/>
      <w:marBottom w:val="0"/>
      <w:divBdr>
        <w:top w:val="none" w:sz="0" w:space="0" w:color="auto"/>
        <w:left w:val="none" w:sz="0" w:space="0" w:color="auto"/>
        <w:bottom w:val="none" w:sz="0" w:space="0" w:color="auto"/>
        <w:right w:val="none" w:sz="0" w:space="0" w:color="auto"/>
      </w:divBdr>
    </w:div>
    <w:div w:id="100877394">
      <w:bodyDiv w:val="1"/>
      <w:marLeft w:val="0"/>
      <w:marRight w:val="0"/>
      <w:marTop w:val="0"/>
      <w:marBottom w:val="0"/>
      <w:divBdr>
        <w:top w:val="none" w:sz="0" w:space="0" w:color="auto"/>
        <w:left w:val="none" w:sz="0" w:space="0" w:color="auto"/>
        <w:bottom w:val="none" w:sz="0" w:space="0" w:color="auto"/>
        <w:right w:val="none" w:sz="0" w:space="0" w:color="auto"/>
      </w:divBdr>
    </w:div>
    <w:div w:id="101190353">
      <w:bodyDiv w:val="1"/>
      <w:marLeft w:val="0"/>
      <w:marRight w:val="0"/>
      <w:marTop w:val="0"/>
      <w:marBottom w:val="0"/>
      <w:divBdr>
        <w:top w:val="none" w:sz="0" w:space="0" w:color="auto"/>
        <w:left w:val="none" w:sz="0" w:space="0" w:color="auto"/>
        <w:bottom w:val="none" w:sz="0" w:space="0" w:color="auto"/>
        <w:right w:val="none" w:sz="0" w:space="0" w:color="auto"/>
      </w:divBdr>
    </w:div>
    <w:div w:id="101345064">
      <w:bodyDiv w:val="1"/>
      <w:marLeft w:val="0"/>
      <w:marRight w:val="0"/>
      <w:marTop w:val="0"/>
      <w:marBottom w:val="0"/>
      <w:divBdr>
        <w:top w:val="none" w:sz="0" w:space="0" w:color="auto"/>
        <w:left w:val="none" w:sz="0" w:space="0" w:color="auto"/>
        <w:bottom w:val="none" w:sz="0" w:space="0" w:color="auto"/>
        <w:right w:val="none" w:sz="0" w:space="0" w:color="auto"/>
      </w:divBdr>
    </w:div>
    <w:div w:id="103111045">
      <w:bodyDiv w:val="1"/>
      <w:marLeft w:val="0"/>
      <w:marRight w:val="0"/>
      <w:marTop w:val="0"/>
      <w:marBottom w:val="0"/>
      <w:divBdr>
        <w:top w:val="none" w:sz="0" w:space="0" w:color="auto"/>
        <w:left w:val="none" w:sz="0" w:space="0" w:color="auto"/>
        <w:bottom w:val="none" w:sz="0" w:space="0" w:color="auto"/>
        <w:right w:val="none" w:sz="0" w:space="0" w:color="auto"/>
      </w:divBdr>
    </w:div>
    <w:div w:id="104691777">
      <w:bodyDiv w:val="1"/>
      <w:marLeft w:val="0"/>
      <w:marRight w:val="0"/>
      <w:marTop w:val="0"/>
      <w:marBottom w:val="0"/>
      <w:divBdr>
        <w:top w:val="none" w:sz="0" w:space="0" w:color="auto"/>
        <w:left w:val="none" w:sz="0" w:space="0" w:color="auto"/>
        <w:bottom w:val="none" w:sz="0" w:space="0" w:color="auto"/>
        <w:right w:val="none" w:sz="0" w:space="0" w:color="auto"/>
      </w:divBdr>
    </w:div>
    <w:div w:id="112869272">
      <w:bodyDiv w:val="1"/>
      <w:marLeft w:val="0"/>
      <w:marRight w:val="0"/>
      <w:marTop w:val="0"/>
      <w:marBottom w:val="0"/>
      <w:divBdr>
        <w:top w:val="none" w:sz="0" w:space="0" w:color="auto"/>
        <w:left w:val="none" w:sz="0" w:space="0" w:color="auto"/>
        <w:bottom w:val="none" w:sz="0" w:space="0" w:color="auto"/>
        <w:right w:val="none" w:sz="0" w:space="0" w:color="auto"/>
      </w:divBdr>
    </w:div>
    <w:div w:id="115224808">
      <w:bodyDiv w:val="1"/>
      <w:marLeft w:val="0"/>
      <w:marRight w:val="0"/>
      <w:marTop w:val="0"/>
      <w:marBottom w:val="0"/>
      <w:divBdr>
        <w:top w:val="none" w:sz="0" w:space="0" w:color="auto"/>
        <w:left w:val="none" w:sz="0" w:space="0" w:color="auto"/>
        <w:bottom w:val="none" w:sz="0" w:space="0" w:color="auto"/>
        <w:right w:val="none" w:sz="0" w:space="0" w:color="auto"/>
      </w:divBdr>
    </w:div>
    <w:div w:id="115756695">
      <w:bodyDiv w:val="1"/>
      <w:marLeft w:val="0"/>
      <w:marRight w:val="0"/>
      <w:marTop w:val="0"/>
      <w:marBottom w:val="0"/>
      <w:divBdr>
        <w:top w:val="none" w:sz="0" w:space="0" w:color="auto"/>
        <w:left w:val="none" w:sz="0" w:space="0" w:color="auto"/>
        <w:bottom w:val="none" w:sz="0" w:space="0" w:color="auto"/>
        <w:right w:val="none" w:sz="0" w:space="0" w:color="auto"/>
      </w:divBdr>
    </w:div>
    <w:div w:id="115875760">
      <w:bodyDiv w:val="1"/>
      <w:marLeft w:val="0"/>
      <w:marRight w:val="0"/>
      <w:marTop w:val="0"/>
      <w:marBottom w:val="0"/>
      <w:divBdr>
        <w:top w:val="none" w:sz="0" w:space="0" w:color="auto"/>
        <w:left w:val="none" w:sz="0" w:space="0" w:color="auto"/>
        <w:bottom w:val="none" w:sz="0" w:space="0" w:color="auto"/>
        <w:right w:val="none" w:sz="0" w:space="0" w:color="auto"/>
      </w:divBdr>
    </w:div>
    <w:div w:id="118451862">
      <w:bodyDiv w:val="1"/>
      <w:marLeft w:val="0"/>
      <w:marRight w:val="0"/>
      <w:marTop w:val="0"/>
      <w:marBottom w:val="0"/>
      <w:divBdr>
        <w:top w:val="none" w:sz="0" w:space="0" w:color="auto"/>
        <w:left w:val="none" w:sz="0" w:space="0" w:color="auto"/>
        <w:bottom w:val="none" w:sz="0" w:space="0" w:color="auto"/>
        <w:right w:val="none" w:sz="0" w:space="0" w:color="auto"/>
      </w:divBdr>
    </w:div>
    <w:div w:id="122618119">
      <w:bodyDiv w:val="1"/>
      <w:marLeft w:val="0"/>
      <w:marRight w:val="0"/>
      <w:marTop w:val="0"/>
      <w:marBottom w:val="0"/>
      <w:divBdr>
        <w:top w:val="none" w:sz="0" w:space="0" w:color="auto"/>
        <w:left w:val="none" w:sz="0" w:space="0" w:color="auto"/>
        <w:bottom w:val="none" w:sz="0" w:space="0" w:color="auto"/>
        <w:right w:val="none" w:sz="0" w:space="0" w:color="auto"/>
      </w:divBdr>
    </w:div>
    <w:div w:id="124087769">
      <w:bodyDiv w:val="1"/>
      <w:marLeft w:val="0"/>
      <w:marRight w:val="0"/>
      <w:marTop w:val="0"/>
      <w:marBottom w:val="0"/>
      <w:divBdr>
        <w:top w:val="none" w:sz="0" w:space="0" w:color="auto"/>
        <w:left w:val="none" w:sz="0" w:space="0" w:color="auto"/>
        <w:bottom w:val="none" w:sz="0" w:space="0" w:color="auto"/>
        <w:right w:val="none" w:sz="0" w:space="0" w:color="auto"/>
      </w:divBdr>
    </w:div>
    <w:div w:id="125896837">
      <w:bodyDiv w:val="1"/>
      <w:marLeft w:val="0"/>
      <w:marRight w:val="0"/>
      <w:marTop w:val="0"/>
      <w:marBottom w:val="0"/>
      <w:divBdr>
        <w:top w:val="none" w:sz="0" w:space="0" w:color="auto"/>
        <w:left w:val="none" w:sz="0" w:space="0" w:color="auto"/>
        <w:bottom w:val="none" w:sz="0" w:space="0" w:color="auto"/>
        <w:right w:val="none" w:sz="0" w:space="0" w:color="auto"/>
      </w:divBdr>
    </w:div>
    <w:div w:id="129712467">
      <w:bodyDiv w:val="1"/>
      <w:marLeft w:val="0"/>
      <w:marRight w:val="0"/>
      <w:marTop w:val="0"/>
      <w:marBottom w:val="0"/>
      <w:divBdr>
        <w:top w:val="none" w:sz="0" w:space="0" w:color="auto"/>
        <w:left w:val="none" w:sz="0" w:space="0" w:color="auto"/>
        <w:bottom w:val="none" w:sz="0" w:space="0" w:color="auto"/>
        <w:right w:val="none" w:sz="0" w:space="0" w:color="auto"/>
      </w:divBdr>
    </w:div>
    <w:div w:id="130557854">
      <w:bodyDiv w:val="1"/>
      <w:marLeft w:val="0"/>
      <w:marRight w:val="0"/>
      <w:marTop w:val="0"/>
      <w:marBottom w:val="0"/>
      <w:divBdr>
        <w:top w:val="none" w:sz="0" w:space="0" w:color="auto"/>
        <w:left w:val="none" w:sz="0" w:space="0" w:color="auto"/>
        <w:bottom w:val="none" w:sz="0" w:space="0" w:color="auto"/>
        <w:right w:val="none" w:sz="0" w:space="0" w:color="auto"/>
      </w:divBdr>
    </w:div>
    <w:div w:id="130900763">
      <w:bodyDiv w:val="1"/>
      <w:marLeft w:val="0"/>
      <w:marRight w:val="0"/>
      <w:marTop w:val="0"/>
      <w:marBottom w:val="0"/>
      <w:divBdr>
        <w:top w:val="none" w:sz="0" w:space="0" w:color="auto"/>
        <w:left w:val="none" w:sz="0" w:space="0" w:color="auto"/>
        <w:bottom w:val="none" w:sz="0" w:space="0" w:color="auto"/>
        <w:right w:val="none" w:sz="0" w:space="0" w:color="auto"/>
      </w:divBdr>
    </w:div>
    <w:div w:id="130948696">
      <w:bodyDiv w:val="1"/>
      <w:marLeft w:val="0"/>
      <w:marRight w:val="0"/>
      <w:marTop w:val="0"/>
      <w:marBottom w:val="0"/>
      <w:divBdr>
        <w:top w:val="none" w:sz="0" w:space="0" w:color="auto"/>
        <w:left w:val="none" w:sz="0" w:space="0" w:color="auto"/>
        <w:bottom w:val="none" w:sz="0" w:space="0" w:color="auto"/>
        <w:right w:val="none" w:sz="0" w:space="0" w:color="auto"/>
      </w:divBdr>
    </w:div>
    <w:div w:id="131095263">
      <w:bodyDiv w:val="1"/>
      <w:marLeft w:val="0"/>
      <w:marRight w:val="0"/>
      <w:marTop w:val="0"/>
      <w:marBottom w:val="0"/>
      <w:divBdr>
        <w:top w:val="none" w:sz="0" w:space="0" w:color="auto"/>
        <w:left w:val="none" w:sz="0" w:space="0" w:color="auto"/>
        <w:bottom w:val="none" w:sz="0" w:space="0" w:color="auto"/>
        <w:right w:val="none" w:sz="0" w:space="0" w:color="auto"/>
      </w:divBdr>
    </w:div>
    <w:div w:id="131097560">
      <w:bodyDiv w:val="1"/>
      <w:marLeft w:val="0"/>
      <w:marRight w:val="0"/>
      <w:marTop w:val="0"/>
      <w:marBottom w:val="0"/>
      <w:divBdr>
        <w:top w:val="none" w:sz="0" w:space="0" w:color="auto"/>
        <w:left w:val="none" w:sz="0" w:space="0" w:color="auto"/>
        <w:bottom w:val="none" w:sz="0" w:space="0" w:color="auto"/>
        <w:right w:val="none" w:sz="0" w:space="0" w:color="auto"/>
      </w:divBdr>
    </w:div>
    <w:div w:id="131560000">
      <w:bodyDiv w:val="1"/>
      <w:marLeft w:val="0"/>
      <w:marRight w:val="0"/>
      <w:marTop w:val="0"/>
      <w:marBottom w:val="0"/>
      <w:divBdr>
        <w:top w:val="none" w:sz="0" w:space="0" w:color="auto"/>
        <w:left w:val="none" w:sz="0" w:space="0" w:color="auto"/>
        <w:bottom w:val="none" w:sz="0" w:space="0" w:color="auto"/>
        <w:right w:val="none" w:sz="0" w:space="0" w:color="auto"/>
      </w:divBdr>
    </w:div>
    <w:div w:id="131797429">
      <w:bodyDiv w:val="1"/>
      <w:marLeft w:val="0"/>
      <w:marRight w:val="0"/>
      <w:marTop w:val="0"/>
      <w:marBottom w:val="0"/>
      <w:divBdr>
        <w:top w:val="none" w:sz="0" w:space="0" w:color="auto"/>
        <w:left w:val="none" w:sz="0" w:space="0" w:color="auto"/>
        <w:bottom w:val="none" w:sz="0" w:space="0" w:color="auto"/>
        <w:right w:val="none" w:sz="0" w:space="0" w:color="auto"/>
      </w:divBdr>
    </w:div>
    <w:div w:id="134686606">
      <w:bodyDiv w:val="1"/>
      <w:marLeft w:val="0"/>
      <w:marRight w:val="0"/>
      <w:marTop w:val="0"/>
      <w:marBottom w:val="0"/>
      <w:divBdr>
        <w:top w:val="none" w:sz="0" w:space="0" w:color="auto"/>
        <w:left w:val="none" w:sz="0" w:space="0" w:color="auto"/>
        <w:bottom w:val="none" w:sz="0" w:space="0" w:color="auto"/>
        <w:right w:val="none" w:sz="0" w:space="0" w:color="auto"/>
      </w:divBdr>
    </w:div>
    <w:div w:id="134764117">
      <w:bodyDiv w:val="1"/>
      <w:marLeft w:val="0"/>
      <w:marRight w:val="0"/>
      <w:marTop w:val="0"/>
      <w:marBottom w:val="0"/>
      <w:divBdr>
        <w:top w:val="none" w:sz="0" w:space="0" w:color="auto"/>
        <w:left w:val="none" w:sz="0" w:space="0" w:color="auto"/>
        <w:bottom w:val="none" w:sz="0" w:space="0" w:color="auto"/>
        <w:right w:val="none" w:sz="0" w:space="0" w:color="auto"/>
      </w:divBdr>
    </w:div>
    <w:div w:id="135421127">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
    <w:div w:id="137696377">
      <w:bodyDiv w:val="1"/>
      <w:marLeft w:val="0"/>
      <w:marRight w:val="0"/>
      <w:marTop w:val="0"/>
      <w:marBottom w:val="0"/>
      <w:divBdr>
        <w:top w:val="none" w:sz="0" w:space="0" w:color="auto"/>
        <w:left w:val="none" w:sz="0" w:space="0" w:color="auto"/>
        <w:bottom w:val="none" w:sz="0" w:space="0" w:color="auto"/>
        <w:right w:val="none" w:sz="0" w:space="0" w:color="auto"/>
      </w:divBdr>
    </w:div>
    <w:div w:id="138039395">
      <w:bodyDiv w:val="1"/>
      <w:marLeft w:val="0"/>
      <w:marRight w:val="0"/>
      <w:marTop w:val="0"/>
      <w:marBottom w:val="0"/>
      <w:divBdr>
        <w:top w:val="none" w:sz="0" w:space="0" w:color="auto"/>
        <w:left w:val="none" w:sz="0" w:space="0" w:color="auto"/>
        <w:bottom w:val="none" w:sz="0" w:space="0" w:color="auto"/>
        <w:right w:val="none" w:sz="0" w:space="0" w:color="auto"/>
      </w:divBdr>
    </w:div>
    <w:div w:id="139544717">
      <w:bodyDiv w:val="1"/>
      <w:marLeft w:val="0"/>
      <w:marRight w:val="0"/>
      <w:marTop w:val="0"/>
      <w:marBottom w:val="0"/>
      <w:divBdr>
        <w:top w:val="none" w:sz="0" w:space="0" w:color="auto"/>
        <w:left w:val="none" w:sz="0" w:space="0" w:color="auto"/>
        <w:bottom w:val="none" w:sz="0" w:space="0" w:color="auto"/>
        <w:right w:val="none" w:sz="0" w:space="0" w:color="auto"/>
      </w:divBdr>
    </w:div>
    <w:div w:id="141889175">
      <w:bodyDiv w:val="1"/>
      <w:marLeft w:val="0"/>
      <w:marRight w:val="0"/>
      <w:marTop w:val="0"/>
      <w:marBottom w:val="0"/>
      <w:divBdr>
        <w:top w:val="none" w:sz="0" w:space="0" w:color="auto"/>
        <w:left w:val="none" w:sz="0" w:space="0" w:color="auto"/>
        <w:bottom w:val="none" w:sz="0" w:space="0" w:color="auto"/>
        <w:right w:val="none" w:sz="0" w:space="0" w:color="auto"/>
      </w:divBdr>
    </w:div>
    <w:div w:id="142545665">
      <w:bodyDiv w:val="1"/>
      <w:marLeft w:val="0"/>
      <w:marRight w:val="0"/>
      <w:marTop w:val="0"/>
      <w:marBottom w:val="0"/>
      <w:divBdr>
        <w:top w:val="none" w:sz="0" w:space="0" w:color="auto"/>
        <w:left w:val="none" w:sz="0" w:space="0" w:color="auto"/>
        <w:bottom w:val="none" w:sz="0" w:space="0" w:color="auto"/>
        <w:right w:val="none" w:sz="0" w:space="0" w:color="auto"/>
      </w:divBdr>
    </w:div>
    <w:div w:id="144781274">
      <w:bodyDiv w:val="1"/>
      <w:marLeft w:val="0"/>
      <w:marRight w:val="0"/>
      <w:marTop w:val="0"/>
      <w:marBottom w:val="0"/>
      <w:divBdr>
        <w:top w:val="none" w:sz="0" w:space="0" w:color="auto"/>
        <w:left w:val="none" w:sz="0" w:space="0" w:color="auto"/>
        <w:bottom w:val="none" w:sz="0" w:space="0" w:color="auto"/>
        <w:right w:val="none" w:sz="0" w:space="0" w:color="auto"/>
      </w:divBdr>
    </w:div>
    <w:div w:id="145635856">
      <w:bodyDiv w:val="1"/>
      <w:marLeft w:val="0"/>
      <w:marRight w:val="0"/>
      <w:marTop w:val="0"/>
      <w:marBottom w:val="0"/>
      <w:divBdr>
        <w:top w:val="none" w:sz="0" w:space="0" w:color="auto"/>
        <w:left w:val="none" w:sz="0" w:space="0" w:color="auto"/>
        <w:bottom w:val="none" w:sz="0" w:space="0" w:color="auto"/>
        <w:right w:val="none" w:sz="0" w:space="0" w:color="auto"/>
      </w:divBdr>
    </w:div>
    <w:div w:id="146628713">
      <w:bodyDiv w:val="1"/>
      <w:marLeft w:val="0"/>
      <w:marRight w:val="0"/>
      <w:marTop w:val="0"/>
      <w:marBottom w:val="0"/>
      <w:divBdr>
        <w:top w:val="none" w:sz="0" w:space="0" w:color="auto"/>
        <w:left w:val="none" w:sz="0" w:space="0" w:color="auto"/>
        <w:bottom w:val="none" w:sz="0" w:space="0" w:color="auto"/>
        <w:right w:val="none" w:sz="0" w:space="0" w:color="auto"/>
      </w:divBdr>
    </w:div>
    <w:div w:id="146674266">
      <w:bodyDiv w:val="1"/>
      <w:marLeft w:val="0"/>
      <w:marRight w:val="0"/>
      <w:marTop w:val="0"/>
      <w:marBottom w:val="0"/>
      <w:divBdr>
        <w:top w:val="none" w:sz="0" w:space="0" w:color="auto"/>
        <w:left w:val="none" w:sz="0" w:space="0" w:color="auto"/>
        <w:bottom w:val="none" w:sz="0" w:space="0" w:color="auto"/>
        <w:right w:val="none" w:sz="0" w:space="0" w:color="auto"/>
      </w:divBdr>
    </w:div>
    <w:div w:id="147091512">
      <w:bodyDiv w:val="1"/>
      <w:marLeft w:val="0"/>
      <w:marRight w:val="0"/>
      <w:marTop w:val="0"/>
      <w:marBottom w:val="0"/>
      <w:divBdr>
        <w:top w:val="none" w:sz="0" w:space="0" w:color="auto"/>
        <w:left w:val="none" w:sz="0" w:space="0" w:color="auto"/>
        <w:bottom w:val="none" w:sz="0" w:space="0" w:color="auto"/>
        <w:right w:val="none" w:sz="0" w:space="0" w:color="auto"/>
      </w:divBdr>
    </w:div>
    <w:div w:id="147215764">
      <w:bodyDiv w:val="1"/>
      <w:marLeft w:val="0"/>
      <w:marRight w:val="0"/>
      <w:marTop w:val="0"/>
      <w:marBottom w:val="0"/>
      <w:divBdr>
        <w:top w:val="none" w:sz="0" w:space="0" w:color="auto"/>
        <w:left w:val="none" w:sz="0" w:space="0" w:color="auto"/>
        <w:bottom w:val="none" w:sz="0" w:space="0" w:color="auto"/>
        <w:right w:val="none" w:sz="0" w:space="0" w:color="auto"/>
      </w:divBdr>
    </w:div>
    <w:div w:id="147981424">
      <w:bodyDiv w:val="1"/>
      <w:marLeft w:val="0"/>
      <w:marRight w:val="0"/>
      <w:marTop w:val="0"/>
      <w:marBottom w:val="0"/>
      <w:divBdr>
        <w:top w:val="none" w:sz="0" w:space="0" w:color="auto"/>
        <w:left w:val="none" w:sz="0" w:space="0" w:color="auto"/>
        <w:bottom w:val="none" w:sz="0" w:space="0" w:color="auto"/>
        <w:right w:val="none" w:sz="0" w:space="0" w:color="auto"/>
      </w:divBdr>
    </w:div>
    <w:div w:id="148130554">
      <w:bodyDiv w:val="1"/>
      <w:marLeft w:val="0"/>
      <w:marRight w:val="0"/>
      <w:marTop w:val="0"/>
      <w:marBottom w:val="0"/>
      <w:divBdr>
        <w:top w:val="none" w:sz="0" w:space="0" w:color="auto"/>
        <w:left w:val="none" w:sz="0" w:space="0" w:color="auto"/>
        <w:bottom w:val="none" w:sz="0" w:space="0" w:color="auto"/>
        <w:right w:val="none" w:sz="0" w:space="0" w:color="auto"/>
      </w:divBdr>
    </w:div>
    <w:div w:id="149248920">
      <w:bodyDiv w:val="1"/>
      <w:marLeft w:val="0"/>
      <w:marRight w:val="0"/>
      <w:marTop w:val="0"/>
      <w:marBottom w:val="0"/>
      <w:divBdr>
        <w:top w:val="none" w:sz="0" w:space="0" w:color="auto"/>
        <w:left w:val="none" w:sz="0" w:space="0" w:color="auto"/>
        <w:bottom w:val="none" w:sz="0" w:space="0" w:color="auto"/>
        <w:right w:val="none" w:sz="0" w:space="0" w:color="auto"/>
      </w:divBdr>
    </w:div>
    <w:div w:id="149834675">
      <w:bodyDiv w:val="1"/>
      <w:marLeft w:val="0"/>
      <w:marRight w:val="0"/>
      <w:marTop w:val="0"/>
      <w:marBottom w:val="0"/>
      <w:divBdr>
        <w:top w:val="none" w:sz="0" w:space="0" w:color="auto"/>
        <w:left w:val="none" w:sz="0" w:space="0" w:color="auto"/>
        <w:bottom w:val="none" w:sz="0" w:space="0" w:color="auto"/>
        <w:right w:val="none" w:sz="0" w:space="0" w:color="auto"/>
      </w:divBdr>
    </w:div>
    <w:div w:id="150291074">
      <w:bodyDiv w:val="1"/>
      <w:marLeft w:val="0"/>
      <w:marRight w:val="0"/>
      <w:marTop w:val="0"/>
      <w:marBottom w:val="0"/>
      <w:divBdr>
        <w:top w:val="none" w:sz="0" w:space="0" w:color="auto"/>
        <w:left w:val="none" w:sz="0" w:space="0" w:color="auto"/>
        <w:bottom w:val="none" w:sz="0" w:space="0" w:color="auto"/>
        <w:right w:val="none" w:sz="0" w:space="0" w:color="auto"/>
      </w:divBdr>
    </w:div>
    <w:div w:id="151993800">
      <w:bodyDiv w:val="1"/>
      <w:marLeft w:val="0"/>
      <w:marRight w:val="0"/>
      <w:marTop w:val="0"/>
      <w:marBottom w:val="0"/>
      <w:divBdr>
        <w:top w:val="none" w:sz="0" w:space="0" w:color="auto"/>
        <w:left w:val="none" w:sz="0" w:space="0" w:color="auto"/>
        <w:bottom w:val="none" w:sz="0" w:space="0" w:color="auto"/>
        <w:right w:val="none" w:sz="0" w:space="0" w:color="auto"/>
      </w:divBdr>
    </w:div>
    <w:div w:id="153420154">
      <w:bodyDiv w:val="1"/>
      <w:marLeft w:val="0"/>
      <w:marRight w:val="0"/>
      <w:marTop w:val="0"/>
      <w:marBottom w:val="0"/>
      <w:divBdr>
        <w:top w:val="none" w:sz="0" w:space="0" w:color="auto"/>
        <w:left w:val="none" w:sz="0" w:space="0" w:color="auto"/>
        <w:bottom w:val="none" w:sz="0" w:space="0" w:color="auto"/>
        <w:right w:val="none" w:sz="0" w:space="0" w:color="auto"/>
      </w:divBdr>
    </w:div>
    <w:div w:id="153422763">
      <w:bodyDiv w:val="1"/>
      <w:marLeft w:val="0"/>
      <w:marRight w:val="0"/>
      <w:marTop w:val="0"/>
      <w:marBottom w:val="0"/>
      <w:divBdr>
        <w:top w:val="none" w:sz="0" w:space="0" w:color="auto"/>
        <w:left w:val="none" w:sz="0" w:space="0" w:color="auto"/>
        <w:bottom w:val="none" w:sz="0" w:space="0" w:color="auto"/>
        <w:right w:val="none" w:sz="0" w:space="0" w:color="auto"/>
      </w:divBdr>
    </w:div>
    <w:div w:id="153768332">
      <w:bodyDiv w:val="1"/>
      <w:marLeft w:val="0"/>
      <w:marRight w:val="0"/>
      <w:marTop w:val="0"/>
      <w:marBottom w:val="0"/>
      <w:divBdr>
        <w:top w:val="none" w:sz="0" w:space="0" w:color="auto"/>
        <w:left w:val="none" w:sz="0" w:space="0" w:color="auto"/>
        <w:bottom w:val="none" w:sz="0" w:space="0" w:color="auto"/>
        <w:right w:val="none" w:sz="0" w:space="0" w:color="auto"/>
      </w:divBdr>
    </w:div>
    <w:div w:id="153842037">
      <w:bodyDiv w:val="1"/>
      <w:marLeft w:val="0"/>
      <w:marRight w:val="0"/>
      <w:marTop w:val="0"/>
      <w:marBottom w:val="0"/>
      <w:divBdr>
        <w:top w:val="none" w:sz="0" w:space="0" w:color="auto"/>
        <w:left w:val="none" w:sz="0" w:space="0" w:color="auto"/>
        <w:bottom w:val="none" w:sz="0" w:space="0" w:color="auto"/>
        <w:right w:val="none" w:sz="0" w:space="0" w:color="auto"/>
      </w:divBdr>
    </w:div>
    <w:div w:id="153881775">
      <w:bodyDiv w:val="1"/>
      <w:marLeft w:val="0"/>
      <w:marRight w:val="0"/>
      <w:marTop w:val="0"/>
      <w:marBottom w:val="0"/>
      <w:divBdr>
        <w:top w:val="none" w:sz="0" w:space="0" w:color="auto"/>
        <w:left w:val="none" w:sz="0" w:space="0" w:color="auto"/>
        <w:bottom w:val="none" w:sz="0" w:space="0" w:color="auto"/>
        <w:right w:val="none" w:sz="0" w:space="0" w:color="auto"/>
      </w:divBdr>
    </w:div>
    <w:div w:id="154032611">
      <w:bodyDiv w:val="1"/>
      <w:marLeft w:val="0"/>
      <w:marRight w:val="0"/>
      <w:marTop w:val="0"/>
      <w:marBottom w:val="0"/>
      <w:divBdr>
        <w:top w:val="none" w:sz="0" w:space="0" w:color="auto"/>
        <w:left w:val="none" w:sz="0" w:space="0" w:color="auto"/>
        <w:bottom w:val="none" w:sz="0" w:space="0" w:color="auto"/>
        <w:right w:val="none" w:sz="0" w:space="0" w:color="auto"/>
      </w:divBdr>
    </w:div>
    <w:div w:id="155147625">
      <w:bodyDiv w:val="1"/>
      <w:marLeft w:val="0"/>
      <w:marRight w:val="0"/>
      <w:marTop w:val="0"/>
      <w:marBottom w:val="0"/>
      <w:divBdr>
        <w:top w:val="none" w:sz="0" w:space="0" w:color="auto"/>
        <w:left w:val="none" w:sz="0" w:space="0" w:color="auto"/>
        <w:bottom w:val="none" w:sz="0" w:space="0" w:color="auto"/>
        <w:right w:val="none" w:sz="0" w:space="0" w:color="auto"/>
      </w:divBdr>
    </w:div>
    <w:div w:id="155268301">
      <w:bodyDiv w:val="1"/>
      <w:marLeft w:val="0"/>
      <w:marRight w:val="0"/>
      <w:marTop w:val="0"/>
      <w:marBottom w:val="0"/>
      <w:divBdr>
        <w:top w:val="none" w:sz="0" w:space="0" w:color="auto"/>
        <w:left w:val="none" w:sz="0" w:space="0" w:color="auto"/>
        <w:bottom w:val="none" w:sz="0" w:space="0" w:color="auto"/>
        <w:right w:val="none" w:sz="0" w:space="0" w:color="auto"/>
      </w:divBdr>
    </w:div>
    <w:div w:id="155343104">
      <w:bodyDiv w:val="1"/>
      <w:marLeft w:val="0"/>
      <w:marRight w:val="0"/>
      <w:marTop w:val="0"/>
      <w:marBottom w:val="0"/>
      <w:divBdr>
        <w:top w:val="none" w:sz="0" w:space="0" w:color="auto"/>
        <w:left w:val="none" w:sz="0" w:space="0" w:color="auto"/>
        <w:bottom w:val="none" w:sz="0" w:space="0" w:color="auto"/>
        <w:right w:val="none" w:sz="0" w:space="0" w:color="auto"/>
      </w:divBdr>
    </w:div>
    <w:div w:id="155466028">
      <w:bodyDiv w:val="1"/>
      <w:marLeft w:val="0"/>
      <w:marRight w:val="0"/>
      <w:marTop w:val="0"/>
      <w:marBottom w:val="0"/>
      <w:divBdr>
        <w:top w:val="none" w:sz="0" w:space="0" w:color="auto"/>
        <w:left w:val="none" w:sz="0" w:space="0" w:color="auto"/>
        <w:bottom w:val="none" w:sz="0" w:space="0" w:color="auto"/>
        <w:right w:val="none" w:sz="0" w:space="0" w:color="auto"/>
      </w:divBdr>
    </w:div>
    <w:div w:id="155540726">
      <w:bodyDiv w:val="1"/>
      <w:marLeft w:val="0"/>
      <w:marRight w:val="0"/>
      <w:marTop w:val="0"/>
      <w:marBottom w:val="0"/>
      <w:divBdr>
        <w:top w:val="none" w:sz="0" w:space="0" w:color="auto"/>
        <w:left w:val="none" w:sz="0" w:space="0" w:color="auto"/>
        <w:bottom w:val="none" w:sz="0" w:space="0" w:color="auto"/>
        <w:right w:val="none" w:sz="0" w:space="0" w:color="auto"/>
      </w:divBdr>
    </w:div>
    <w:div w:id="156384417">
      <w:bodyDiv w:val="1"/>
      <w:marLeft w:val="0"/>
      <w:marRight w:val="0"/>
      <w:marTop w:val="0"/>
      <w:marBottom w:val="0"/>
      <w:divBdr>
        <w:top w:val="none" w:sz="0" w:space="0" w:color="auto"/>
        <w:left w:val="none" w:sz="0" w:space="0" w:color="auto"/>
        <w:bottom w:val="none" w:sz="0" w:space="0" w:color="auto"/>
        <w:right w:val="none" w:sz="0" w:space="0" w:color="auto"/>
      </w:divBdr>
    </w:div>
    <w:div w:id="157768193">
      <w:bodyDiv w:val="1"/>
      <w:marLeft w:val="0"/>
      <w:marRight w:val="0"/>
      <w:marTop w:val="0"/>
      <w:marBottom w:val="0"/>
      <w:divBdr>
        <w:top w:val="none" w:sz="0" w:space="0" w:color="auto"/>
        <w:left w:val="none" w:sz="0" w:space="0" w:color="auto"/>
        <w:bottom w:val="none" w:sz="0" w:space="0" w:color="auto"/>
        <w:right w:val="none" w:sz="0" w:space="0" w:color="auto"/>
      </w:divBdr>
    </w:div>
    <w:div w:id="158354808">
      <w:bodyDiv w:val="1"/>
      <w:marLeft w:val="0"/>
      <w:marRight w:val="0"/>
      <w:marTop w:val="0"/>
      <w:marBottom w:val="0"/>
      <w:divBdr>
        <w:top w:val="none" w:sz="0" w:space="0" w:color="auto"/>
        <w:left w:val="none" w:sz="0" w:space="0" w:color="auto"/>
        <w:bottom w:val="none" w:sz="0" w:space="0" w:color="auto"/>
        <w:right w:val="none" w:sz="0" w:space="0" w:color="auto"/>
      </w:divBdr>
    </w:div>
    <w:div w:id="159085145">
      <w:bodyDiv w:val="1"/>
      <w:marLeft w:val="0"/>
      <w:marRight w:val="0"/>
      <w:marTop w:val="0"/>
      <w:marBottom w:val="0"/>
      <w:divBdr>
        <w:top w:val="none" w:sz="0" w:space="0" w:color="auto"/>
        <w:left w:val="none" w:sz="0" w:space="0" w:color="auto"/>
        <w:bottom w:val="none" w:sz="0" w:space="0" w:color="auto"/>
        <w:right w:val="none" w:sz="0" w:space="0" w:color="auto"/>
      </w:divBdr>
    </w:div>
    <w:div w:id="159085155">
      <w:bodyDiv w:val="1"/>
      <w:marLeft w:val="0"/>
      <w:marRight w:val="0"/>
      <w:marTop w:val="0"/>
      <w:marBottom w:val="0"/>
      <w:divBdr>
        <w:top w:val="none" w:sz="0" w:space="0" w:color="auto"/>
        <w:left w:val="none" w:sz="0" w:space="0" w:color="auto"/>
        <w:bottom w:val="none" w:sz="0" w:space="0" w:color="auto"/>
        <w:right w:val="none" w:sz="0" w:space="0" w:color="auto"/>
      </w:divBdr>
    </w:div>
    <w:div w:id="159196471">
      <w:bodyDiv w:val="1"/>
      <w:marLeft w:val="0"/>
      <w:marRight w:val="0"/>
      <w:marTop w:val="0"/>
      <w:marBottom w:val="0"/>
      <w:divBdr>
        <w:top w:val="none" w:sz="0" w:space="0" w:color="auto"/>
        <w:left w:val="none" w:sz="0" w:space="0" w:color="auto"/>
        <w:bottom w:val="none" w:sz="0" w:space="0" w:color="auto"/>
        <w:right w:val="none" w:sz="0" w:space="0" w:color="auto"/>
      </w:divBdr>
    </w:div>
    <w:div w:id="160314689">
      <w:bodyDiv w:val="1"/>
      <w:marLeft w:val="0"/>
      <w:marRight w:val="0"/>
      <w:marTop w:val="0"/>
      <w:marBottom w:val="0"/>
      <w:divBdr>
        <w:top w:val="none" w:sz="0" w:space="0" w:color="auto"/>
        <w:left w:val="none" w:sz="0" w:space="0" w:color="auto"/>
        <w:bottom w:val="none" w:sz="0" w:space="0" w:color="auto"/>
        <w:right w:val="none" w:sz="0" w:space="0" w:color="auto"/>
      </w:divBdr>
    </w:div>
    <w:div w:id="160437546">
      <w:bodyDiv w:val="1"/>
      <w:marLeft w:val="0"/>
      <w:marRight w:val="0"/>
      <w:marTop w:val="0"/>
      <w:marBottom w:val="0"/>
      <w:divBdr>
        <w:top w:val="none" w:sz="0" w:space="0" w:color="auto"/>
        <w:left w:val="none" w:sz="0" w:space="0" w:color="auto"/>
        <w:bottom w:val="none" w:sz="0" w:space="0" w:color="auto"/>
        <w:right w:val="none" w:sz="0" w:space="0" w:color="auto"/>
      </w:divBdr>
    </w:div>
    <w:div w:id="160585304">
      <w:bodyDiv w:val="1"/>
      <w:marLeft w:val="0"/>
      <w:marRight w:val="0"/>
      <w:marTop w:val="0"/>
      <w:marBottom w:val="0"/>
      <w:divBdr>
        <w:top w:val="none" w:sz="0" w:space="0" w:color="auto"/>
        <w:left w:val="none" w:sz="0" w:space="0" w:color="auto"/>
        <w:bottom w:val="none" w:sz="0" w:space="0" w:color="auto"/>
        <w:right w:val="none" w:sz="0" w:space="0" w:color="auto"/>
      </w:divBdr>
    </w:div>
    <w:div w:id="162474444">
      <w:bodyDiv w:val="1"/>
      <w:marLeft w:val="0"/>
      <w:marRight w:val="0"/>
      <w:marTop w:val="0"/>
      <w:marBottom w:val="0"/>
      <w:divBdr>
        <w:top w:val="none" w:sz="0" w:space="0" w:color="auto"/>
        <w:left w:val="none" w:sz="0" w:space="0" w:color="auto"/>
        <w:bottom w:val="none" w:sz="0" w:space="0" w:color="auto"/>
        <w:right w:val="none" w:sz="0" w:space="0" w:color="auto"/>
      </w:divBdr>
    </w:div>
    <w:div w:id="162666408">
      <w:bodyDiv w:val="1"/>
      <w:marLeft w:val="0"/>
      <w:marRight w:val="0"/>
      <w:marTop w:val="0"/>
      <w:marBottom w:val="0"/>
      <w:divBdr>
        <w:top w:val="none" w:sz="0" w:space="0" w:color="auto"/>
        <w:left w:val="none" w:sz="0" w:space="0" w:color="auto"/>
        <w:bottom w:val="none" w:sz="0" w:space="0" w:color="auto"/>
        <w:right w:val="none" w:sz="0" w:space="0" w:color="auto"/>
      </w:divBdr>
    </w:div>
    <w:div w:id="162668929">
      <w:bodyDiv w:val="1"/>
      <w:marLeft w:val="0"/>
      <w:marRight w:val="0"/>
      <w:marTop w:val="0"/>
      <w:marBottom w:val="0"/>
      <w:divBdr>
        <w:top w:val="none" w:sz="0" w:space="0" w:color="auto"/>
        <w:left w:val="none" w:sz="0" w:space="0" w:color="auto"/>
        <w:bottom w:val="none" w:sz="0" w:space="0" w:color="auto"/>
        <w:right w:val="none" w:sz="0" w:space="0" w:color="auto"/>
      </w:divBdr>
    </w:div>
    <w:div w:id="163595841">
      <w:bodyDiv w:val="1"/>
      <w:marLeft w:val="0"/>
      <w:marRight w:val="0"/>
      <w:marTop w:val="0"/>
      <w:marBottom w:val="0"/>
      <w:divBdr>
        <w:top w:val="none" w:sz="0" w:space="0" w:color="auto"/>
        <w:left w:val="none" w:sz="0" w:space="0" w:color="auto"/>
        <w:bottom w:val="none" w:sz="0" w:space="0" w:color="auto"/>
        <w:right w:val="none" w:sz="0" w:space="0" w:color="auto"/>
      </w:divBdr>
    </w:div>
    <w:div w:id="163666726">
      <w:bodyDiv w:val="1"/>
      <w:marLeft w:val="0"/>
      <w:marRight w:val="0"/>
      <w:marTop w:val="0"/>
      <w:marBottom w:val="0"/>
      <w:divBdr>
        <w:top w:val="none" w:sz="0" w:space="0" w:color="auto"/>
        <w:left w:val="none" w:sz="0" w:space="0" w:color="auto"/>
        <w:bottom w:val="none" w:sz="0" w:space="0" w:color="auto"/>
        <w:right w:val="none" w:sz="0" w:space="0" w:color="auto"/>
      </w:divBdr>
    </w:div>
    <w:div w:id="166097705">
      <w:bodyDiv w:val="1"/>
      <w:marLeft w:val="0"/>
      <w:marRight w:val="0"/>
      <w:marTop w:val="0"/>
      <w:marBottom w:val="0"/>
      <w:divBdr>
        <w:top w:val="none" w:sz="0" w:space="0" w:color="auto"/>
        <w:left w:val="none" w:sz="0" w:space="0" w:color="auto"/>
        <w:bottom w:val="none" w:sz="0" w:space="0" w:color="auto"/>
        <w:right w:val="none" w:sz="0" w:space="0" w:color="auto"/>
      </w:divBdr>
    </w:div>
    <w:div w:id="166139133">
      <w:bodyDiv w:val="1"/>
      <w:marLeft w:val="0"/>
      <w:marRight w:val="0"/>
      <w:marTop w:val="0"/>
      <w:marBottom w:val="0"/>
      <w:divBdr>
        <w:top w:val="none" w:sz="0" w:space="0" w:color="auto"/>
        <w:left w:val="none" w:sz="0" w:space="0" w:color="auto"/>
        <w:bottom w:val="none" w:sz="0" w:space="0" w:color="auto"/>
        <w:right w:val="none" w:sz="0" w:space="0" w:color="auto"/>
      </w:divBdr>
    </w:div>
    <w:div w:id="166361026">
      <w:bodyDiv w:val="1"/>
      <w:marLeft w:val="0"/>
      <w:marRight w:val="0"/>
      <w:marTop w:val="0"/>
      <w:marBottom w:val="0"/>
      <w:divBdr>
        <w:top w:val="none" w:sz="0" w:space="0" w:color="auto"/>
        <w:left w:val="none" w:sz="0" w:space="0" w:color="auto"/>
        <w:bottom w:val="none" w:sz="0" w:space="0" w:color="auto"/>
        <w:right w:val="none" w:sz="0" w:space="0" w:color="auto"/>
      </w:divBdr>
    </w:div>
    <w:div w:id="167330965">
      <w:bodyDiv w:val="1"/>
      <w:marLeft w:val="0"/>
      <w:marRight w:val="0"/>
      <w:marTop w:val="0"/>
      <w:marBottom w:val="0"/>
      <w:divBdr>
        <w:top w:val="none" w:sz="0" w:space="0" w:color="auto"/>
        <w:left w:val="none" w:sz="0" w:space="0" w:color="auto"/>
        <w:bottom w:val="none" w:sz="0" w:space="0" w:color="auto"/>
        <w:right w:val="none" w:sz="0" w:space="0" w:color="auto"/>
      </w:divBdr>
    </w:div>
    <w:div w:id="168372321">
      <w:bodyDiv w:val="1"/>
      <w:marLeft w:val="0"/>
      <w:marRight w:val="0"/>
      <w:marTop w:val="0"/>
      <w:marBottom w:val="0"/>
      <w:divBdr>
        <w:top w:val="none" w:sz="0" w:space="0" w:color="auto"/>
        <w:left w:val="none" w:sz="0" w:space="0" w:color="auto"/>
        <w:bottom w:val="none" w:sz="0" w:space="0" w:color="auto"/>
        <w:right w:val="none" w:sz="0" w:space="0" w:color="auto"/>
      </w:divBdr>
    </w:div>
    <w:div w:id="169177480">
      <w:bodyDiv w:val="1"/>
      <w:marLeft w:val="0"/>
      <w:marRight w:val="0"/>
      <w:marTop w:val="0"/>
      <w:marBottom w:val="0"/>
      <w:divBdr>
        <w:top w:val="none" w:sz="0" w:space="0" w:color="auto"/>
        <w:left w:val="none" w:sz="0" w:space="0" w:color="auto"/>
        <w:bottom w:val="none" w:sz="0" w:space="0" w:color="auto"/>
        <w:right w:val="none" w:sz="0" w:space="0" w:color="auto"/>
      </w:divBdr>
    </w:div>
    <w:div w:id="171846386">
      <w:bodyDiv w:val="1"/>
      <w:marLeft w:val="0"/>
      <w:marRight w:val="0"/>
      <w:marTop w:val="0"/>
      <w:marBottom w:val="0"/>
      <w:divBdr>
        <w:top w:val="none" w:sz="0" w:space="0" w:color="auto"/>
        <w:left w:val="none" w:sz="0" w:space="0" w:color="auto"/>
        <w:bottom w:val="none" w:sz="0" w:space="0" w:color="auto"/>
        <w:right w:val="none" w:sz="0" w:space="0" w:color="auto"/>
      </w:divBdr>
    </w:div>
    <w:div w:id="172302315">
      <w:bodyDiv w:val="1"/>
      <w:marLeft w:val="0"/>
      <w:marRight w:val="0"/>
      <w:marTop w:val="0"/>
      <w:marBottom w:val="0"/>
      <w:divBdr>
        <w:top w:val="none" w:sz="0" w:space="0" w:color="auto"/>
        <w:left w:val="none" w:sz="0" w:space="0" w:color="auto"/>
        <w:bottom w:val="none" w:sz="0" w:space="0" w:color="auto"/>
        <w:right w:val="none" w:sz="0" w:space="0" w:color="auto"/>
      </w:divBdr>
    </w:div>
    <w:div w:id="172570645">
      <w:bodyDiv w:val="1"/>
      <w:marLeft w:val="0"/>
      <w:marRight w:val="0"/>
      <w:marTop w:val="0"/>
      <w:marBottom w:val="0"/>
      <w:divBdr>
        <w:top w:val="none" w:sz="0" w:space="0" w:color="auto"/>
        <w:left w:val="none" w:sz="0" w:space="0" w:color="auto"/>
        <w:bottom w:val="none" w:sz="0" w:space="0" w:color="auto"/>
        <w:right w:val="none" w:sz="0" w:space="0" w:color="auto"/>
      </w:divBdr>
    </w:div>
    <w:div w:id="172885652">
      <w:bodyDiv w:val="1"/>
      <w:marLeft w:val="0"/>
      <w:marRight w:val="0"/>
      <w:marTop w:val="0"/>
      <w:marBottom w:val="0"/>
      <w:divBdr>
        <w:top w:val="none" w:sz="0" w:space="0" w:color="auto"/>
        <w:left w:val="none" w:sz="0" w:space="0" w:color="auto"/>
        <w:bottom w:val="none" w:sz="0" w:space="0" w:color="auto"/>
        <w:right w:val="none" w:sz="0" w:space="0" w:color="auto"/>
      </w:divBdr>
    </w:div>
    <w:div w:id="174003713">
      <w:bodyDiv w:val="1"/>
      <w:marLeft w:val="0"/>
      <w:marRight w:val="0"/>
      <w:marTop w:val="0"/>
      <w:marBottom w:val="0"/>
      <w:divBdr>
        <w:top w:val="none" w:sz="0" w:space="0" w:color="auto"/>
        <w:left w:val="none" w:sz="0" w:space="0" w:color="auto"/>
        <w:bottom w:val="none" w:sz="0" w:space="0" w:color="auto"/>
        <w:right w:val="none" w:sz="0" w:space="0" w:color="auto"/>
      </w:divBdr>
    </w:div>
    <w:div w:id="174808196">
      <w:bodyDiv w:val="1"/>
      <w:marLeft w:val="0"/>
      <w:marRight w:val="0"/>
      <w:marTop w:val="0"/>
      <w:marBottom w:val="0"/>
      <w:divBdr>
        <w:top w:val="none" w:sz="0" w:space="0" w:color="auto"/>
        <w:left w:val="none" w:sz="0" w:space="0" w:color="auto"/>
        <w:bottom w:val="none" w:sz="0" w:space="0" w:color="auto"/>
        <w:right w:val="none" w:sz="0" w:space="0" w:color="auto"/>
      </w:divBdr>
    </w:div>
    <w:div w:id="175392335">
      <w:bodyDiv w:val="1"/>
      <w:marLeft w:val="0"/>
      <w:marRight w:val="0"/>
      <w:marTop w:val="0"/>
      <w:marBottom w:val="0"/>
      <w:divBdr>
        <w:top w:val="none" w:sz="0" w:space="0" w:color="auto"/>
        <w:left w:val="none" w:sz="0" w:space="0" w:color="auto"/>
        <w:bottom w:val="none" w:sz="0" w:space="0" w:color="auto"/>
        <w:right w:val="none" w:sz="0" w:space="0" w:color="auto"/>
      </w:divBdr>
    </w:div>
    <w:div w:id="177081724">
      <w:bodyDiv w:val="1"/>
      <w:marLeft w:val="0"/>
      <w:marRight w:val="0"/>
      <w:marTop w:val="0"/>
      <w:marBottom w:val="0"/>
      <w:divBdr>
        <w:top w:val="none" w:sz="0" w:space="0" w:color="auto"/>
        <w:left w:val="none" w:sz="0" w:space="0" w:color="auto"/>
        <w:bottom w:val="none" w:sz="0" w:space="0" w:color="auto"/>
        <w:right w:val="none" w:sz="0" w:space="0" w:color="auto"/>
      </w:divBdr>
    </w:div>
    <w:div w:id="177358203">
      <w:bodyDiv w:val="1"/>
      <w:marLeft w:val="0"/>
      <w:marRight w:val="0"/>
      <w:marTop w:val="0"/>
      <w:marBottom w:val="0"/>
      <w:divBdr>
        <w:top w:val="none" w:sz="0" w:space="0" w:color="auto"/>
        <w:left w:val="none" w:sz="0" w:space="0" w:color="auto"/>
        <w:bottom w:val="none" w:sz="0" w:space="0" w:color="auto"/>
        <w:right w:val="none" w:sz="0" w:space="0" w:color="auto"/>
      </w:divBdr>
    </w:div>
    <w:div w:id="183517772">
      <w:bodyDiv w:val="1"/>
      <w:marLeft w:val="0"/>
      <w:marRight w:val="0"/>
      <w:marTop w:val="0"/>
      <w:marBottom w:val="0"/>
      <w:divBdr>
        <w:top w:val="none" w:sz="0" w:space="0" w:color="auto"/>
        <w:left w:val="none" w:sz="0" w:space="0" w:color="auto"/>
        <w:bottom w:val="none" w:sz="0" w:space="0" w:color="auto"/>
        <w:right w:val="none" w:sz="0" w:space="0" w:color="auto"/>
      </w:divBdr>
    </w:div>
    <w:div w:id="183638979">
      <w:bodyDiv w:val="1"/>
      <w:marLeft w:val="0"/>
      <w:marRight w:val="0"/>
      <w:marTop w:val="0"/>
      <w:marBottom w:val="0"/>
      <w:divBdr>
        <w:top w:val="none" w:sz="0" w:space="0" w:color="auto"/>
        <w:left w:val="none" w:sz="0" w:space="0" w:color="auto"/>
        <w:bottom w:val="none" w:sz="0" w:space="0" w:color="auto"/>
        <w:right w:val="none" w:sz="0" w:space="0" w:color="auto"/>
      </w:divBdr>
    </w:div>
    <w:div w:id="184172323">
      <w:bodyDiv w:val="1"/>
      <w:marLeft w:val="0"/>
      <w:marRight w:val="0"/>
      <w:marTop w:val="0"/>
      <w:marBottom w:val="0"/>
      <w:divBdr>
        <w:top w:val="none" w:sz="0" w:space="0" w:color="auto"/>
        <w:left w:val="none" w:sz="0" w:space="0" w:color="auto"/>
        <w:bottom w:val="none" w:sz="0" w:space="0" w:color="auto"/>
        <w:right w:val="none" w:sz="0" w:space="0" w:color="auto"/>
      </w:divBdr>
    </w:div>
    <w:div w:id="185141555">
      <w:bodyDiv w:val="1"/>
      <w:marLeft w:val="0"/>
      <w:marRight w:val="0"/>
      <w:marTop w:val="0"/>
      <w:marBottom w:val="0"/>
      <w:divBdr>
        <w:top w:val="none" w:sz="0" w:space="0" w:color="auto"/>
        <w:left w:val="none" w:sz="0" w:space="0" w:color="auto"/>
        <w:bottom w:val="none" w:sz="0" w:space="0" w:color="auto"/>
        <w:right w:val="none" w:sz="0" w:space="0" w:color="auto"/>
      </w:divBdr>
    </w:div>
    <w:div w:id="185291526">
      <w:bodyDiv w:val="1"/>
      <w:marLeft w:val="0"/>
      <w:marRight w:val="0"/>
      <w:marTop w:val="0"/>
      <w:marBottom w:val="0"/>
      <w:divBdr>
        <w:top w:val="none" w:sz="0" w:space="0" w:color="auto"/>
        <w:left w:val="none" w:sz="0" w:space="0" w:color="auto"/>
        <w:bottom w:val="none" w:sz="0" w:space="0" w:color="auto"/>
        <w:right w:val="none" w:sz="0" w:space="0" w:color="auto"/>
      </w:divBdr>
    </w:div>
    <w:div w:id="185411857">
      <w:bodyDiv w:val="1"/>
      <w:marLeft w:val="0"/>
      <w:marRight w:val="0"/>
      <w:marTop w:val="0"/>
      <w:marBottom w:val="0"/>
      <w:divBdr>
        <w:top w:val="none" w:sz="0" w:space="0" w:color="auto"/>
        <w:left w:val="none" w:sz="0" w:space="0" w:color="auto"/>
        <w:bottom w:val="none" w:sz="0" w:space="0" w:color="auto"/>
        <w:right w:val="none" w:sz="0" w:space="0" w:color="auto"/>
      </w:divBdr>
    </w:div>
    <w:div w:id="186675744">
      <w:bodyDiv w:val="1"/>
      <w:marLeft w:val="0"/>
      <w:marRight w:val="0"/>
      <w:marTop w:val="0"/>
      <w:marBottom w:val="0"/>
      <w:divBdr>
        <w:top w:val="none" w:sz="0" w:space="0" w:color="auto"/>
        <w:left w:val="none" w:sz="0" w:space="0" w:color="auto"/>
        <w:bottom w:val="none" w:sz="0" w:space="0" w:color="auto"/>
        <w:right w:val="none" w:sz="0" w:space="0" w:color="auto"/>
      </w:divBdr>
    </w:div>
    <w:div w:id="187986420">
      <w:bodyDiv w:val="1"/>
      <w:marLeft w:val="0"/>
      <w:marRight w:val="0"/>
      <w:marTop w:val="0"/>
      <w:marBottom w:val="0"/>
      <w:divBdr>
        <w:top w:val="none" w:sz="0" w:space="0" w:color="auto"/>
        <w:left w:val="none" w:sz="0" w:space="0" w:color="auto"/>
        <w:bottom w:val="none" w:sz="0" w:space="0" w:color="auto"/>
        <w:right w:val="none" w:sz="0" w:space="0" w:color="auto"/>
      </w:divBdr>
    </w:div>
    <w:div w:id="188373195">
      <w:bodyDiv w:val="1"/>
      <w:marLeft w:val="0"/>
      <w:marRight w:val="0"/>
      <w:marTop w:val="0"/>
      <w:marBottom w:val="0"/>
      <w:divBdr>
        <w:top w:val="none" w:sz="0" w:space="0" w:color="auto"/>
        <w:left w:val="none" w:sz="0" w:space="0" w:color="auto"/>
        <w:bottom w:val="none" w:sz="0" w:space="0" w:color="auto"/>
        <w:right w:val="none" w:sz="0" w:space="0" w:color="auto"/>
      </w:divBdr>
    </w:div>
    <w:div w:id="188567138">
      <w:bodyDiv w:val="1"/>
      <w:marLeft w:val="0"/>
      <w:marRight w:val="0"/>
      <w:marTop w:val="0"/>
      <w:marBottom w:val="0"/>
      <w:divBdr>
        <w:top w:val="none" w:sz="0" w:space="0" w:color="auto"/>
        <w:left w:val="none" w:sz="0" w:space="0" w:color="auto"/>
        <w:bottom w:val="none" w:sz="0" w:space="0" w:color="auto"/>
        <w:right w:val="none" w:sz="0" w:space="0" w:color="auto"/>
      </w:divBdr>
    </w:div>
    <w:div w:id="188687952">
      <w:bodyDiv w:val="1"/>
      <w:marLeft w:val="0"/>
      <w:marRight w:val="0"/>
      <w:marTop w:val="0"/>
      <w:marBottom w:val="0"/>
      <w:divBdr>
        <w:top w:val="none" w:sz="0" w:space="0" w:color="auto"/>
        <w:left w:val="none" w:sz="0" w:space="0" w:color="auto"/>
        <w:bottom w:val="none" w:sz="0" w:space="0" w:color="auto"/>
        <w:right w:val="none" w:sz="0" w:space="0" w:color="auto"/>
      </w:divBdr>
    </w:div>
    <w:div w:id="189955546">
      <w:bodyDiv w:val="1"/>
      <w:marLeft w:val="0"/>
      <w:marRight w:val="0"/>
      <w:marTop w:val="0"/>
      <w:marBottom w:val="0"/>
      <w:divBdr>
        <w:top w:val="none" w:sz="0" w:space="0" w:color="auto"/>
        <w:left w:val="none" w:sz="0" w:space="0" w:color="auto"/>
        <w:bottom w:val="none" w:sz="0" w:space="0" w:color="auto"/>
        <w:right w:val="none" w:sz="0" w:space="0" w:color="auto"/>
      </w:divBdr>
    </w:div>
    <w:div w:id="190579692">
      <w:bodyDiv w:val="1"/>
      <w:marLeft w:val="0"/>
      <w:marRight w:val="0"/>
      <w:marTop w:val="0"/>
      <w:marBottom w:val="0"/>
      <w:divBdr>
        <w:top w:val="none" w:sz="0" w:space="0" w:color="auto"/>
        <w:left w:val="none" w:sz="0" w:space="0" w:color="auto"/>
        <w:bottom w:val="none" w:sz="0" w:space="0" w:color="auto"/>
        <w:right w:val="none" w:sz="0" w:space="0" w:color="auto"/>
      </w:divBdr>
    </w:div>
    <w:div w:id="192571741">
      <w:bodyDiv w:val="1"/>
      <w:marLeft w:val="0"/>
      <w:marRight w:val="0"/>
      <w:marTop w:val="0"/>
      <w:marBottom w:val="0"/>
      <w:divBdr>
        <w:top w:val="none" w:sz="0" w:space="0" w:color="auto"/>
        <w:left w:val="none" w:sz="0" w:space="0" w:color="auto"/>
        <w:bottom w:val="none" w:sz="0" w:space="0" w:color="auto"/>
        <w:right w:val="none" w:sz="0" w:space="0" w:color="auto"/>
      </w:divBdr>
    </w:div>
    <w:div w:id="194123888">
      <w:bodyDiv w:val="1"/>
      <w:marLeft w:val="0"/>
      <w:marRight w:val="0"/>
      <w:marTop w:val="0"/>
      <w:marBottom w:val="0"/>
      <w:divBdr>
        <w:top w:val="none" w:sz="0" w:space="0" w:color="auto"/>
        <w:left w:val="none" w:sz="0" w:space="0" w:color="auto"/>
        <w:bottom w:val="none" w:sz="0" w:space="0" w:color="auto"/>
        <w:right w:val="none" w:sz="0" w:space="0" w:color="auto"/>
      </w:divBdr>
    </w:div>
    <w:div w:id="196509361">
      <w:bodyDiv w:val="1"/>
      <w:marLeft w:val="0"/>
      <w:marRight w:val="0"/>
      <w:marTop w:val="0"/>
      <w:marBottom w:val="0"/>
      <w:divBdr>
        <w:top w:val="none" w:sz="0" w:space="0" w:color="auto"/>
        <w:left w:val="none" w:sz="0" w:space="0" w:color="auto"/>
        <w:bottom w:val="none" w:sz="0" w:space="0" w:color="auto"/>
        <w:right w:val="none" w:sz="0" w:space="0" w:color="auto"/>
      </w:divBdr>
    </w:div>
    <w:div w:id="197207598">
      <w:bodyDiv w:val="1"/>
      <w:marLeft w:val="0"/>
      <w:marRight w:val="0"/>
      <w:marTop w:val="0"/>
      <w:marBottom w:val="0"/>
      <w:divBdr>
        <w:top w:val="none" w:sz="0" w:space="0" w:color="auto"/>
        <w:left w:val="none" w:sz="0" w:space="0" w:color="auto"/>
        <w:bottom w:val="none" w:sz="0" w:space="0" w:color="auto"/>
        <w:right w:val="none" w:sz="0" w:space="0" w:color="auto"/>
      </w:divBdr>
    </w:div>
    <w:div w:id="198932609">
      <w:bodyDiv w:val="1"/>
      <w:marLeft w:val="0"/>
      <w:marRight w:val="0"/>
      <w:marTop w:val="0"/>
      <w:marBottom w:val="0"/>
      <w:divBdr>
        <w:top w:val="none" w:sz="0" w:space="0" w:color="auto"/>
        <w:left w:val="none" w:sz="0" w:space="0" w:color="auto"/>
        <w:bottom w:val="none" w:sz="0" w:space="0" w:color="auto"/>
        <w:right w:val="none" w:sz="0" w:space="0" w:color="auto"/>
      </w:divBdr>
    </w:div>
    <w:div w:id="198975415">
      <w:bodyDiv w:val="1"/>
      <w:marLeft w:val="0"/>
      <w:marRight w:val="0"/>
      <w:marTop w:val="0"/>
      <w:marBottom w:val="0"/>
      <w:divBdr>
        <w:top w:val="none" w:sz="0" w:space="0" w:color="auto"/>
        <w:left w:val="none" w:sz="0" w:space="0" w:color="auto"/>
        <w:bottom w:val="none" w:sz="0" w:space="0" w:color="auto"/>
        <w:right w:val="none" w:sz="0" w:space="0" w:color="auto"/>
      </w:divBdr>
    </w:div>
    <w:div w:id="199050308">
      <w:bodyDiv w:val="1"/>
      <w:marLeft w:val="0"/>
      <w:marRight w:val="0"/>
      <w:marTop w:val="0"/>
      <w:marBottom w:val="0"/>
      <w:divBdr>
        <w:top w:val="none" w:sz="0" w:space="0" w:color="auto"/>
        <w:left w:val="none" w:sz="0" w:space="0" w:color="auto"/>
        <w:bottom w:val="none" w:sz="0" w:space="0" w:color="auto"/>
        <w:right w:val="none" w:sz="0" w:space="0" w:color="auto"/>
      </w:divBdr>
    </w:div>
    <w:div w:id="200287415">
      <w:bodyDiv w:val="1"/>
      <w:marLeft w:val="0"/>
      <w:marRight w:val="0"/>
      <w:marTop w:val="0"/>
      <w:marBottom w:val="0"/>
      <w:divBdr>
        <w:top w:val="none" w:sz="0" w:space="0" w:color="auto"/>
        <w:left w:val="none" w:sz="0" w:space="0" w:color="auto"/>
        <w:bottom w:val="none" w:sz="0" w:space="0" w:color="auto"/>
        <w:right w:val="none" w:sz="0" w:space="0" w:color="auto"/>
      </w:divBdr>
    </w:div>
    <w:div w:id="203567366">
      <w:bodyDiv w:val="1"/>
      <w:marLeft w:val="0"/>
      <w:marRight w:val="0"/>
      <w:marTop w:val="0"/>
      <w:marBottom w:val="0"/>
      <w:divBdr>
        <w:top w:val="none" w:sz="0" w:space="0" w:color="auto"/>
        <w:left w:val="none" w:sz="0" w:space="0" w:color="auto"/>
        <w:bottom w:val="none" w:sz="0" w:space="0" w:color="auto"/>
        <w:right w:val="none" w:sz="0" w:space="0" w:color="auto"/>
      </w:divBdr>
    </w:div>
    <w:div w:id="207378542">
      <w:bodyDiv w:val="1"/>
      <w:marLeft w:val="0"/>
      <w:marRight w:val="0"/>
      <w:marTop w:val="0"/>
      <w:marBottom w:val="0"/>
      <w:divBdr>
        <w:top w:val="none" w:sz="0" w:space="0" w:color="auto"/>
        <w:left w:val="none" w:sz="0" w:space="0" w:color="auto"/>
        <w:bottom w:val="none" w:sz="0" w:space="0" w:color="auto"/>
        <w:right w:val="none" w:sz="0" w:space="0" w:color="auto"/>
      </w:divBdr>
    </w:div>
    <w:div w:id="207422029">
      <w:bodyDiv w:val="1"/>
      <w:marLeft w:val="0"/>
      <w:marRight w:val="0"/>
      <w:marTop w:val="0"/>
      <w:marBottom w:val="0"/>
      <w:divBdr>
        <w:top w:val="none" w:sz="0" w:space="0" w:color="auto"/>
        <w:left w:val="none" w:sz="0" w:space="0" w:color="auto"/>
        <w:bottom w:val="none" w:sz="0" w:space="0" w:color="auto"/>
        <w:right w:val="none" w:sz="0" w:space="0" w:color="auto"/>
      </w:divBdr>
    </w:div>
    <w:div w:id="207451116">
      <w:bodyDiv w:val="1"/>
      <w:marLeft w:val="0"/>
      <w:marRight w:val="0"/>
      <w:marTop w:val="0"/>
      <w:marBottom w:val="0"/>
      <w:divBdr>
        <w:top w:val="none" w:sz="0" w:space="0" w:color="auto"/>
        <w:left w:val="none" w:sz="0" w:space="0" w:color="auto"/>
        <w:bottom w:val="none" w:sz="0" w:space="0" w:color="auto"/>
        <w:right w:val="none" w:sz="0" w:space="0" w:color="auto"/>
      </w:divBdr>
    </w:div>
    <w:div w:id="207451981">
      <w:bodyDiv w:val="1"/>
      <w:marLeft w:val="0"/>
      <w:marRight w:val="0"/>
      <w:marTop w:val="0"/>
      <w:marBottom w:val="0"/>
      <w:divBdr>
        <w:top w:val="none" w:sz="0" w:space="0" w:color="auto"/>
        <w:left w:val="none" w:sz="0" w:space="0" w:color="auto"/>
        <w:bottom w:val="none" w:sz="0" w:space="0" w:color="auto"/>
        <w:right w:val="none" w:sz="0" w:space="0" w:color="auto"/>
      </w:divBdr>
    </w:div>
    <w:div w:id="208341899">
      <w:bodyDiv w:val="1"/>
      <w:marLeft w:val="0"/>
      <w:marRight w:val="0"/>
      <w:marTop w:val="0"/>
      <w:marBottom w:val="0"/>
      <w:divBdr>
        <w:top w:val="none" w:sz="0" w:space="0" w:color="auto"/>
        <w:left w:val="none" w:sz="0" w:space="0" w:color="auto"/>
        <w:bottom w:val="none" w:sz="0" w:space="0" w:color="auto"/>
        <w:right w:val="none" w:sz="0" w:space="0" w:color="auto"/>
      </w:divBdr>
    </w:div>
    <w:div w:id="208732326">
      <w:bodyDiv w:val="1"/>
      <w:marLeft w:val="0"/>
      <w:marRight w:val="0"/>
      <w:marTop w:val="0"/>
      <w:marBottom w:val="0"/>
      <w:divBdr>
        <w:top w:val="none" w:sz="0" w:space="0" w:color="auto"/>
        <w:left w:val="none" w:sz="0" w:space="0" w:color="auto"/>
        <w:bottom w:val="none" w:sz="0" w:space="0" w:color="auto"/>
        <w:right w:val="none" w:sz="0" w:space="0" w:color="auto"/>
      </w:divBdr>
    </w:div>
    <w:div w:id="209465835">
      <w:bodyDiv w:val="1"/>
      <w:marLeft w:val="0"/>
      <w:marRight w:val="0"/>
      <w:marTop w:val="0"/>
      <w:marBottom w:val="0"/>
      <w:divBdr>
        <w:top w:val="none" w:sz="0" w:space="0" w:color="auto"/>
        <w:left w:val="none" w:sz="0" w:space="0" w:color="auto"/>
        <w:bottom w:val="none" w:sz="0" w:space="0" w:color="auto"/>
        <w:right w:val="none" w:sz="0" w:space="0" w:color="auto"/>
      </w:divBdr>
    </w:div>
    <w:div w:id="210384598">
      <w:bodyDiv w:val="1"/>
      <w:marLeft w:val="0"/>
      <w:marRight w:val="0"/>
      <w:marTop w:val="0"/>
      <w:marBottom w:val="0"/>
      <w:divBdr>
        <w:top w:val="none" w:sz="0" w:space="0" w:color="auto"/>
        <w:left w:val="none" w:sz="0" w:space="0" w:color="auto"/>
        <w:bottom w:val="none" w:sz="0" w:space="0" w:color="auto"/>
        <w:right w:val="none" w:sz="0" w:space="0" w:color="auto"/>
      </w:divBdr>
    </w:div>
    <w:div w:id="212885902">
      <w:bodyDiv w:val="1"/>
      <w:marLeft w:val="0"/>
      <w:marRight w:val="0"/>
      <w:marTop w:val="0"/>
      <w:marBottom w:val="0"/>
      <w:divBdr>
        <w:top w:val="none" w:sz="0" w:space="0" w:color="auto"/>
        <w:left w:val="none" w:sz="0" w:space="0" w:color="auto"/>
        <w:bottom w:val="none" w:sz="0" w:space="0" w:color="auto"/>
        <w:right w:val="none" w:sz="0" w:space="0" w:color="auto"/>
      </w:divBdr>
    </w:div>
    <w:div w:id="215624660">
      <w:bodyDiv w:val="1"/>
      <w:marLeft w:val="0"/>
      <w:marRight w:val="0"/>
      <w:marTop w:val="0"/>
      <w:marBottom w:val="0"/>
      <w:divBdr>
        <w:top w:val="none" w:sz="0" w:space="0" w:color="auto"/>
        <w:left w:val="none" w:sz="0" w:space="0" w:color="auto"/>
        <w:bottom w:val="none" w:sz="0" w:space="0" w:color="auto"/>
        <w:right w:val="none" w:sz="0" w:space="0" w:color="auto"/>
      </w:divBdr>
    </w:div>
    <w:div w:id="217787865">
      <w:bodyDiv w:val="1"/>
      <w:marLeft w:val="0"/>
      <w:marRight w:val="0"/>
      <w:marTop w:val="0"/>
      <w:marBottom w:val="0"/>
      <w:divBdr>
        <w:top w:val="none" w:sz="0" w:space="0" w:color="auto"/>
        <w:left w:val="none" w:sz="0" w:space="0" w:color="auto"/>
        <w:bottom w:val="none" w:sz="0" w:space="0" w:color="auto"/>
        <w:right w:val="none" w:sz="0" w:space="0" w:color="auto"/>
      </w:divBdr>
    </w:div>
    <w:div w:id="220945072">
      <w:bodyDiv w:val="1"/>
      <w:marLeft w:val="0"/>
      <w:marRight w:val="0"/>
      <w:marTop w:val="0"/>
      <w:marBottom w:val="0"/>
      <w:divBdr>
        <w:top w:val="none" w:sz="0" w:space="0" w:color="auto"/>
        <w:left w:val="none" w:sz="0" w:space="0" w:color="auto"/>
        <w:bottom w:val="none" w:sz="0" w:space="0" w:color="auto"/>
        <w:right w:val="none" w:sz="0" w:space="0" w:color="auto"/>
      </w:divBdr>
    </w:div>
    <w:div w:id="221065921">
      <w:bodyDiv w:val="1"/>
      <w:marLeft w:val="0"/>
      <w:marRight w:val="0"/>
      <w:marTop w:val="0"/>
      <w:marBottom w:val="0"/>
      <w:divBdr>
        <w:top w:val="none" w:sz="0" w:space="0" w:color="auto"/>
        <w:left w:val="none" w:sz="0" w:space="0" w:color="auto"/>
        <w:bottom w:val="none" w:sz="0" w:space="0" w:color="auto"/>
        <w:right w:val="none" w:sz="0" w:space="0" w:color="auto"/>
      </w:divBdr>
    </w:div>
    <w:div w:id="221259913">
      <w:bodyDiv w:val="1"/>
      <w:marLeft w:val="0"/>
      <w:marRight w:val="0"/>
      <w:marTop w:val="0"/>
      <w:marBottom w:val="0"/>
      <w:divBdr>
        <w:top w:val="none" w:sz="0" w:space="0" w:color="auto"/>
        <w:left w:val="none" w:sz="0" w:space="0" w:color="auto"/>
        <w:bottom w:val="none" w:sz="0" w:space="0" w:color="auto"/>
        <w:right w:val="none" w:sz="0" w:space="0" w:color="auto"/>
      </w:divBdr>
    </w:div>
    <w:div w:id="221865444">
      <w:bodyDiv w:val="1"/>
      <w:marLeft w:val="0"/>
      <w:marRight w:val="0"/>
      <w:marTop w:val="0"/>
      <w:marBottom w:val="0"/>
      <w:divBdr>
        <w:top w:val="none" w:sz="0" w:space="0" w:color="auto"/>
        <w:left w:val="none" w:sz="0" w:space="0" w:color="auto"/>
        <w:bottom w:val="none" w:sz="0" w:space="0" w:color="auto"/>
        <w:right w:val="none" w:sz="0" w:space="0" w:color="auto"/>
      </w:divBdr>
    </w:div>
    <w:div w:id="223760206">
      <w:bodyDiv w:val="1"/>
      <w:marLeft w:val="0"/>
      <w:marRight w:val="0"/>
      <w:marTop w:val="0"/>
      <w:marBottom w:val="0"/>
      <w:divBdr>
        <w:top w:val="none" w:sz="0" w:space="0" w:color="auto"/>
        <w:left w:val="none" w:sz="0" w:space="0" w:color="auto"/>
        <w:bottom w:val="none" w:sz="0" w:space="0" w:color="auto"/>
        <w:right w:val="none" w:sz="0" w:space="0" w:color="auto"/>
      </w:divBdr>
    </w:div>
    <w:div w:id="228271230">
      <w:bodyDiv w:val="1"/>
      <w:marLeft w:val="0"/>
      <w:marRight w:val="0"/>
      <w:marTop w:val="0"/>
      <w:marBottom w:val="0"/>
      <w:divBdr>
        <w:top w:val="none" w:sz="0" w:space="0" w:color="auto"/>
        <w:left w:val="none" w:sz="0" w:space="0" w:color="auto"/>
        <w:bottom w:val="none" w:sz="0" w:space="0" w:color="auto"/>
        <w:right w:val="none" w:sz="0" w:space="0" w:color="auto"/>
      </w:divBdr>
    </w:div>
    <w:div w:id="229074009">
      <w:bodyDiv w:val="1"/>
      <w:marLeft w:val="0"/>
      <w:marRight w:val="0"/>
      <w:marTop w:val="0"/>
      <w:marBottom w:val="0"/>
      <w:divBdr>
        <w:top w:val="none" w:sz="0" w:space="0" w:color="auto"/>
        <w:left w:val="none" w:sz="0" w:space="0" w:color="auto"/>
        <w:bottom w:val="none" w:sz="0" w:space="0" w:color="auto"/>
        <w:right w:val="none" w:sz="0" w:space="0" w:color="auto"/>
      </w:divBdr>
    </w:div>
    <w:div w:id="230044426">
      <w:bodyDiv w:val="1"/>
      <w:marLeft w:val="0"/>
      <w:marRight w:val="0"/>
      <w:marTop w:val="0"/>
      <w:marBottom w:val="0"/>
      <w:divBdr>
        <w:top w:val="none" w:sz="0" w:space="0" w:color="auto"/>
        <w:left w:val="none" w:sz="0" w:space="0" w:color="auto"/>
        <w:bottom w:val="none" w:sz="0" w:space="0" w:color="auto"/>
        <w:right w:val="none" w:sz="0" w:space="0" w:color="auto"/>
      </w:divBdr>
    </w:div>
    <w:div w:id="231081403">
      <w:bodyDiv w:val="1"/>
      <w:marLeft w:val="0"/>
      <w:marRight w:val="0"/>
      <w:marTop w:val="0"/>
      <w:marBottom w:val="0"/>
      <w:divBdr>
        <w:top w:val="none" w:sz="0" w:space="0" w:color="auto"/>
        <w:left w:val="none" w:sz="0" w:space="0" w:color="auto"/>
        <w:bottom w:val="none" w:sz="0" w:space="0" w:color="auto"/>
        <w:right w:val="none" w:sz="0" w:space="0" w:color="auto"/>
      </w:divBdr>
    </w:div>
    <w:div w:id="233047652">
      <w:bodyDiv w:val="1"/>
      <w:marLeft w:val="0"/>
      <w:marRight w:val="0"/>
      <w:marTop w:val="0"/>
      <w:marBottom w:val="0"/>
      <w:divBdr>
        <w:top w:val="none" w:sz="0" w:space="0" w:color="auto"/>
        <w:left w:val="none" w:sz="0" w:space="0" w:color="auto"/>
        <w:bottom w:val="none" w:sz="0" w:space="0" w:color="auto"/>
        <w:right w:val="none" w:sz="0" w:space="0" w:color="auto"/>
      </w:divBdr>
    </w:div>
    <w:div w:id="234315565">
      <w:bodyDiv w:val="1"/>
      <w:marLeft w:val="0"/>
      <w:marRight w:val="0"/>
      <w:marTop w:val="0"/>
      <w:marBottom w:val="0"/>
      <w:divBdr>
        <w:top w:val="none" w:sz="0" w:space="0" w:color="auto"/>
        <w:left w:val="none" w:sz="0" w:space="0" w:color="auto"/>
        <w:bottom w:val="none" w:sz="0" w:space="0" w:color="auto"/>
        <w:right w:val="none" w:sz="0" w:space="0" w:color="auto"/>
      </w:divBdr>
    </w:div>
    <w:div w:id="235673403">
      <w:bodyDiv w:val="1"/>
      <w:marLeft w:val="0"/>
      <w:marRight w:val="0"/>
      <w:marTop w:val="0"/>
      <w:marBottom w:val="0"/>
      <w:divBdr>
        <w:top w:val="none" w:sz="0" w:space="0" w:color="auto"/>
        <w:left w:val="none" w:sz="0" w:space="0" w:color="auto"/>
        <w:bottom w:val="none" w:sz="0" w:space="0" w:color="auto"/>
        <w:right w:val="none" w:sz="0" w:space="0" w:color="auto"/>
      </w:divBdr>
    </w:div>
    <w:div w:id="235941347">
      <w:bodyDiv w:val="1"/>
      <w:marLeft w:val="0"/>
      <w:marRight w:val="0"/>
      <w:marTop w:val="0"/>
      <w:marBottom w:val="0"/>
      <w:divBdr>
        <w:top w:val="none" w:sz="0" w:space="0" w:color="auto"/>
        <w:left w:val="none" w:sz="0" w:space="0" w:color="auto"/>
        <w:bottom w:val="none" w:sz="0" w:space="0" w:color="auto"/>
        <w:right w:val="none" w:sz="0" w:space="0" w:color="auto"/>
      </w:divBdr>
    </w:div>
    <w:div w:id="236671196">
      <w:bodyDiv w:val="1"/>
      <w:marLeft w:val="0"/>
      <w:marRight w:val="0"/>
      <w:marTop w:val="0"/>
      <w:marBottom w:val="0"/>
      <w:divBdr>
        <w:top w:val="none" w:sz="0" w:space="0" w:color="auto"/>
        <w:left w:val="none" w:sz="0" w:space="0" w:color="auto"/>
        <w:bottom w:val="none" w:sz="0" w:space="0" w:color="auto"/>
        <w:right w:val="none" w:sz="0" w:space="0" w:color="auto"/>
      </w:divBdr>
    </w:div>
    <w:div w:id="236716488">
      <w:bodyDiv w:val="1"/>
      <w:marLeft w:val="0"/>
      <w:marRight w:val="0"/>
      <w:marTop w:val="0"/>
      <w:marBottom w:val="0"/>
      <w:divBdr>
        <w:top w:val="none" w:sz="0" w:space="0" w:color="auto"/>
        <w:left w:val="none" w:sz="0" w:space="0" w:color="auto"/>
        <w:bottom w:val="none" w:sz="0" w:space="0" w:color="auto"/>
        <w:right w:val="none" w:sz="0" w:space="0" w:color="auto"/>
      </w:divBdr>
    </w:div>
    <w:div w:id="237979691">
      <w:bodyDiv w:val="1"/>
      <w:marLeft w:val="0"/>
      <w:marRight w:val="0"/>
      <w:marTop w:val="0"/>
      <w:marBottom w:val="0"/>
      <w:divBdr>
        <w:top w:val="none" w:sz="0" w:space="0" w:color="auto"/>
        <w:left w:val="none" w:sz="0" w:space="0" w:color="auto"/>
        <w:bottom w:val="none" w:sz="0" w:space="0" w:color="auto"/>
        <w:right w:val="none" w:sz="0" w:space="0" w:color="auto"/>
      </w:divBdr>
    </w:div>
    <w:div w:id="241257585">
      <w:bodyDiv w:val="1"/>
      <w:marLeft w:val="0"/>
      <w:marRight w:val="0"/>
      <w:marTop w:val="0"/>
      <w:marBottom w:val="0"/>
      <w:divBdr>
        <w:top w:val="none" w:sz="0" w:space="0" w:color="auto"/>
        <w:left w:val="none" w:sz="0" w:space="0" w:color="auto"/>
        <w:bottom w:val="none" w:sz="0" w:space="0" w:color="auto"/>
        <w:right w:val="none" w:sz="0" w:space="0" w:color="auto"/>
      </w:divBdr>
    </w:div>
    <w:div w:id="242574383">
      <w:bodyDiv w:val="1"/>
      <w:marLeft w:val="0"/>
      <w:marRight w:val="0"/>
      <w:marTop w:val="0"/>
      <w:marBottom w:val="0"/>
      <w:divBdr>
        <w:top w:val="none" w:sz="0" w:space="0" w:color="auto"/>
        <w:left w:val="none" w:sz="0" w:space="0" w:color="auto"/>
        <w:bottom w:val="none" w:sz="0" w:space="0" w:color="auto"/>
        <w:right w:val="none" w:sz="0" w:space="0" w:color="auto"/>
      </w:divBdr>
    </w:div>
    <w:div w:id="244190738">
      <w:bodyDiv w:val="1"/>
      <w:marLeft w:val="0"/>
      <w:marRight w:val="0"/>
      <w:marTop w:val="0"/>
      <w:marBottom w:val="0"/>
      <w:divBdr>
        <w:top w:val="none" w:sz="0" w:space="0" w:color="auto"/>
        <w:left w:val="none" w:sz="0" w:space="0" w:color="auto"/>
        <w:bottom w:val="none" w:sz="0" w:space="0" w:color="auto"/>
        <w:right w:val="none" w:sz="0" w:space="0" w:color="auto"/>
      </w:divBdr>
    </w:div>
    <w:div w:id="245766463">
      <w:bodyDiv w:val="1"/>
      <w:marLeft w:val="0"/>
      <w:marRight w:val="0"/>
      <w:marTop w:val="0"/>
      <w:marBottom w:val="0"/>
      <w:divBdr>
        <w:top w:val="none" w:sz="0" w:space="0" w:color="auto"/>
        <w:left w:val="none" w:sz="0" w:space="0" w:color="auto"/>
        <w:bottom w:val="none" w:sz="0" w:space="0" w:color="auto"/>
        <w:right w:val="none" w:sz="0" w:space="0" w:color="auto"/>
      </w:divBdr>
    </w:div>
    <w:div w:id="246622692">
      <w:bodyDiv w:val="1"/>
      <w:marLeft w:val="0"/>
      <w:marRight w:val="0"/>
      <w:marTop w:val="0"/>
      <w:marBottom w:val="0"/>
      <w:divBdr>
        <w:top w:val="none" w:sz="0" w:space="0" w:color="auto"/>
        <w:left w:val="none" w:sz="0" w:space="0" w:color="auto"/>
        <w:bottom w:val="none" w:sz="0" w:space="0" w:color="auto"/>
        <w:right w:val="none" w:sz="0" w:space="0" w:color="auto"/>
      </w:divBdr>
    </w:div>
    <w:div w:id="247547635">
      <w:bodyDiv w:val="1"/>
      <w:marLeft w:val="0"/>
      <w:marRight w:val="0"/>
      <w:marTop w:val="0"/>
      <w:marBottom w:val="0"/>
      <w:divBdr>
        <w:top w:val="none" w:sz="0" w:space="0" w:color="auto"/>
        <w:left w:val="none" w:sz="0" w:space="0" w:color="auto"/>
        <w:bottom w:val="none" w:sz="0" w:space="0" w:color="auto"/>
        <w:right w:val="none" w:sz="0" w:space="0" w:color="auto"/>
      </w:divBdr>
    </w:div>
    <w:div w:id="248543861">
      <w:bodyDiv w:val="1"/>
      <w:marLeft w:val="0"/>
      <w:marRight w:val="0"/>
      <w:marTop w:val="0"/>
      <w:marBottom w:val="0"/>
      <w:divBdr>
        <w:top w:val="none" w:sz="0" w:space="0" w:color="auto"/>
        <w:left w:val="none" w:sz="0" w:space="0" w:color="auto"/>
        <w:bottom w:val="none" w:sz="0" w:space="0" w:color="auto"/>
        <w:right w:val="none" w:sz="0" w:space="0" w:color="auto"/>
      </w:divBdr>
    </w:div>
    <w:div w:id="250747386">
      <w:bodyDiv w:val="1"/>
      <w:marLeft w:val="0"/>
      <w:marRight w:val="0"/>
      <w:marTop w:val="0"/>
      <w:marBottom w:val="0"/>
      <w:divBdr>
        <w:top w:val="none" w:sz="0" w:space="0" w:color="auto"/>
        <w:left w:val="none" w:sz="0" w:space="0" w:color="auto"/>
        <w:bottom w:val="none" w:sz="0" w:space="0" w:color="auto"/>
        <w:right w:val="none" w:sz="0" w:space="0" w:color="auto"/>
      </w:divBdr>
    </w:div>
    <w:div w:id="251821813">
      <w:bodyDiv w:val="1"/>
      <w:marLeft w:val="0"/>
      <w:marRight w:val="0"/>
      <w:marTop w:val="0"/>
      <w:marBottom w:val="0"/>
      <w:divBdr>
        <w:top w:val="none" w:sz="0" w:space="0" w:color="auto"/>
        <w:left w:val="none" w:sz="0" w:space="0" w:color="auto"/>
        <w:bottom w:val="none" w:sz="0" w:space="0" w:color="auto"/>
        <w:right w:val="none" w:sz="0" w:space="0" w:color="auto"/>
      </w:divBdr>
    </w:div>
    <w:div w:id="252666088">
      <w:bodyDiv w:val="1"/>
      <w:marLeft w:val="0"/>
      <w:marRight w:val="0"/>
      <w:marTop w:val="0"/>
      <w:marBottom w:val="0"/>
      <w:divBdr>
        <w:top w:val="none" w:sz="0" w:space="0" w:color="auto"/>
        <w:left w:val="none" w:sz="0" w:space="0" w:color="auto"/>
        <w:bottom w:val="none" w:sz="0" w:space="0" w:color="auto"/>
        <w:right w:val="none" w:sz="0" w:space="0" w:color="auto"/>
      </w:divBdr>
    </w:div>
    <w:div w:id="252667697">
      <w:bodyDiv w:val="1"/>
      <w:marLeft w:val="0"/>
      <w:marRight w:val="0"/>
      <w:marTop w:val="0"/>
      <w:marBottom w:val="0"/>
      <w:divBdr>
        <w:top w:val="none" w:sz="0" w:space="0" w:color="auto"/>
        <w:left w:val="none" w:sz="0" w:space="0" w:color="auto"/>
        <w:bottom w:val="none" w:sz="0" w:space="0" w:color="auto"/>
        <w:right w:val="none" w:sz="0" w:space="0" w:color="auto"/>
      </w:divBdr>
    </w:div>
    <w:div w:id="252861877">
      <w:bodyDiv w:val="1"/>
      <w:marLeft w:val="0"/>
      <w:marRight w:val="0"/>
      <w:marTop w:val="0"/>
      <w:marBottom w:val="0"/>
      <w:divBdr>
        <w:top w:val="none" w:sz="0" w:space="0" w:color="auto"/>
        <w:left w:val="none" w:sz="0" w:space="0" w:color="auto"/>
        <w:bottom w:val="none" w:sz="0" w:space="0" w:color="auto"/>
        <w:right w:val="none" w:sz="0" w:space="0" w:color="auto"/>
      </w:divBdr>
    </w:div>
    <w:div w:id="254244232">
      <w:bodyDiv w:val="1"/>
      <w:marLeft w:val="0"/>
      <w:marRight w:val="0"/>
      <w:marTop w:val="0"/>
      <w:marBottom w:val="0"/>
      <w:divBdr>
        <w:top w:val="none" w:sz="0" w:space="0" w:color="auto"/>
        <w:left w:val="none" w:sz="0" w:space="0" w:color="auto"/>
        <w:bottom w:val="none" w:sz="0" w:space="0" w:color="auto"/>
        <w:right w:val="none" w:sz="0" w:space="0" w:color="auto"/>
      </w:divBdr>
    </w:div>
    <w:div w:id="255208798">
      <w:bodyDiv w:val="1"/>
      <w:marLeft w:val="0"/>
      <w:marRight w:val="0"/>
      <w:marTop w:val="0"/>
      <w:marBottom w:val="0"/>
      <w:divBdr>
        <w:top w:val="none" w:sz="0" w:space="0" w:color="auto"/>
        <w:left w:val="none" w:sz="0" w:space="0" w:color="auto"/>
        <w:bottom w:val="none" w:sz="0" w:space="0" w:color="auto"/>
        <w:right w:val="none" w:sz="0" w:space="0" w:color="auto"/>
      </w:divBdr>
    </w:div>
    <w:div w:id="255869408">
      <w:bodyDiv w:val="1"/>
      <w:marLeft w:val="0"/>
      <w:marRight w:val="0"/>
      <w:marTop w:val="0"/>
      <w:marBottom w:val="0"/>
      <w:divBdr>
        <w:top w:val="none" w:sz="0" w:space="0" w:color="auto"/>
        <w:left w:val="none" w:sz="0" w:space="0" w:color="auto"/>
        <w:bottom w:val="none" w:sz="0" w:space="0" w:color="auto"/>
        <w:right w:val="none" w:sz="0" w:space="0" w:color="auto"/>
      </w:divBdr>
    </w:div>
    <w:div w:id="256402357">
      <w:bodyDiv w:val="1"/>
      <w:marLeft w:val="0"/>
      <w:marRight w:val="0"/>
      <w:marTop w:val="0"/>
      <w:marBottom w:val="0"/>
      <w:divBdr>
        <w:top w:val="none" w:sz="0" w:space="0" w:color="auto"/>
        <w:left w:val="none" w:sz="0" w:space="0" w:color="auto"/>
        <w:bottom w:val="none" w:sz="0" w:space="0" w:color="auto"/>
        <w:right w:val="none" w:sz="0" w:space="0" w:color="auto"/>
      </w:divBdr>
    </w:div>
    <w:div w:id="256791661">
      <w:bodyDiv w:val="1"/>
      <w:marLeft w:val="0"/>
      <w:marRight w:val="0"/>
      <w:marTop w:val="0"/>
      <w:marBottom w:val="0"/>
      <w:divBdr>
        <w:top w:val="none" w:sz="0" w:space="0" w:color="auto"/>
        <w:left w:val="none" w:sz="0" w:space="0" w:color="auto"/>
        <w:bottom w:val="none" w:sz="0" w:space="0" w:color="auto"/>
        <w:right w:val="none" w:sz="0" w:space="0" w:color="auto"/>
      </w:divBdr>
    </w:div>
    <w:div w:id="258149264">
      <w:bodyDiv w:val="1"/>
      <w:marLeft w:val="0"/>
      <w:marRight w:val="0"/>
      <w:marTop w:val="0"/>
      <w:marBottom w:val="0"/>
      <w:divBdr>
        <w:top w:val="none" w:sz="0" w:space="0" w:color="auto"/>
        <w:left w:val="none" w:sz="0" w:space="0" w:color="auto"/>
        <w:bottom w:val="none" w:sz="0" w:space="0" w:color="auto"/>
        <w:right w:val="none" w:sz="0" w:space="0" w:color="auto"/>
      </w:divBdr>
    </w:div>
    <w:div w:id="258371047">
      <w:bodyDiv w:val="1"/>
      <w:marLeft w:val="0"/>
      <w:marRight w:val="0"/>
      <w:marTop w:val="0"/>
      <w:marBottom w:val="0"/>
      <w:divBdr>
        <w:top w:val="none" w:sz="0" w:space="0" w:color="auto"/>
        <w:left w:val="none" w:sz="0" w:space="0" w:color="auto"/>
        <w:bottom w:val="none" w:sz="0" w:space="0" w:color="auto"/>
        <w:right w:val="none" w:sz="0" w:space="0" w:color="auto"/>
      </w:divBdr>
    </w:div>
    <w:div w:id="258610159">
      <w:bodyDiv w:val="1"/>
      <w:marLeft w:val="0"/>
      <w:marRight w:val="0"/>
      <w:marTop w:val="0"/>
      <w:marBottom w:val="0"/>
      <w:divBdr>
        <w:top w:val="none" w:sz="0" w:space="0" w:color="auto"/>
        <w:left w:val="none" w:sz="0" w:space="0" w:color="auto"/>
        <w:bottom w:val="none" w:sz="0" w:space="0" w:color="auto"/>
        <w:right w:val="none" w:sz="0" w:space="0" w:color="auto"/>
      </w:divBdr>
    </w:div>
    <w:div w:id="258755981">
      <w:bodyDiv w:val="1"/>
      <w:marLeft w:val="0"/>
      <w:marRight w:val="0"/>
      <w:marTop w:val="0"/>
      <w:marBottom w:val="0"/>
      <w:divBdr>
        <w:top w:val="none" w:sz="0" w:space="0" w:color="auto"/>
        <w:left w:val="none" w:sz="0" w:space="0" w:color="auto"/>
        <w:bottom w:val="none" w:sz="0" w:space="0" w:color="auto"/>
        <w:right w:val="none" w:sz="0" w:space="0" w:color="auto"/>
      </w:divBdr>
    </w:div>
    <w:div w:id="260066224">
      <w:bodyDiv w:val="1"/>
      <w:marLeft w:val="0"/>
      <w:marRight w:val="0"/>
      <w:marTop w:val="0"/>
      <w:marBottom w:val="0"/>
      <w:divBdr>
        <w:top w:val="none" w:sz="0" w:space="0" w:color="auto"/>
        <w:left w:val="none" w:sz="0" w:space="0" w:color="auto"/>
        <w:bottom w:val="none" w:sz="0" w:space="0" w:color="auto"/>
        <w:right w:val="none" w:sz="0" w:space="0" w:color="auto"/>
      </w:divBdr>
    </w:div>
    <w:div w:id="261110447">
      <w:bodyDiv w:val="1"/>
      <w:marLeft w:val="0"/>
      <w:marRight w:val="0"/>
      <w:marTop w:val="0"/>
      <w:marBottom w:val="0"/>
      <w:divBdr>
        <w:top w:val="none" w:sz="0" w:space="0" w:color="auto"/>
        <w:left w:val="none" w:sz="0" w:space="0" w:color="auto"/>
        <w:bottom w:val="none" w:sz="0" w:space="0" w:color="auto"/>
        <w:right w:val="none" w:sz="0" w:space="0" w:color="auto"/>
      </w:divBdr>
    </w:div>
    <w:div w:id="261302758">
      <w:bodyDiv w:val="1"/>
      <w:marLeft w:val="0"/>
      <w:marRight w:val="0"/>
      <w:marTop w:val="0"/>
      <w:marBottom w:val="0"/>
      <w:divBdr>
        <w:top w:val="none" w:sz="0" w:space="0" w:color="auto"/>
        <w:left w:val="none" w:sz="0" w:space="0" w:color="auto"/>
        <w:bottom w:val="none" w:sz="0" w:space="0" w:color="auto"/>
        <w:right w:val="none" w:sz="0" w:space="0" w:color="auto"/>
      </w:divBdr>
    </w:div>
    <w:div w:id="262105354">
      <w:bodyDiv w:val="1"/>
      <w:marLeft w:val="0"/>
      <w:marRight w:val="0"/>
      <w:marTop w:val="0"/>
      <w:marBottom w:val="0"/>
      <w:divBdr>
        <w:top w:val="none" w:sz="0" w:space="0" w:color="auto"/>
        <w:left w:val="none" w:sz="0" w:space="0" w:color="auto"/>
        <w:bottom w:val="none" w:sz="0" w:space="0" w:color="auto"/>
        <w:right w:val="none" w:sz="0" w:space="0" w:color="auto"/>
      </w:divBdr>
    </w:div>
    <w:div w:id="262298347">
      <w:bodyDiv w:val="1"/>
      <w:marLeft w:val="0"/>
      <w:marRight w:val="0"/>
      <w:marTop w:val="0"/>
      <w:marBottom w:val="0"/>
      <w:divBdr>
        <w:top w:val="none" w:sz="0" w:space="0" w:color="auto"/>
        <w:left w:val="none" w:sz="0" w:space="0" w:color="auto"/>
        <w:bottom w:val="none" w:sz="0" w:space="0" w:color="auto"/>
        <w:right w:val="none" w:sz="0" w:space="0" w:color="auto"/>
      </w:divBdr>
    </w:div>
    <w:div w:id="262422014">
      <w:bodyDiv w:val="1"/>
      <w:marLeft w:val="0"/>
      <w:marRight w:val="0"/>
      <w:marTop w:val="0"/>
      <w:marBottom w:val="0"/>
      <w:divBdr>
        <w:top w:val="none" w:sz="0" w:space="0" w:color="auto"/>
        <w:left w:val="none" w:sz="0" w:space="0" w:color="auto"/>
        <w:bottom w:val="none" w:sz="0" w:space="0" w:color="auto"/>
        <w:right w:val="none" w:sz="0" w:space="0" w:color="auto"/>
      </w:divBdr>
    </w:div>
    <w:div w:id="262543598">
      <w:bodyDiv w:val="1"/>
      <w:marLeft w:val="0"/>
      <w:marRight w:val="0"/>
      <w:marTop w:val="0"/>
      <w:marBottom w:val="0"/>
      <w:divBdr>
        <w:top w:val="none" w:sz="0" w:space="0" w:color="auto"/>
        <w:left w:val="none" w:sz="0" w:space="0" w:color="auto"/>
        <w:bottom w:val="none" w:sz="0" w:space="0" w:color="auto"/>
        <w:right w:val="none" w:sz="0" w:space="0" w:color="auto"/>
      </w:divBdr>
    </w:div>
    <w:div w:id="263193178">
      <w:bodyDiv w:val="1"/>
      <w:marLeft w:val="0"/>
      <w:marRight w:val="0"/>
      <w:marTop w:val="0"/>
      <w:marBottom w:val="0"/>
      <w:divBdr>
        <w:top w:val="none" w:sz="0" w:space="0" w:color="auto"/>
        <w:left w:val="none" w:sz="0" w:space="0" w:color="auto"/>
        <w:bottom w:val="none" w:sz="0" w:space="0" w:color="auto"/>
        <w:right w:val="none" w:sz="0" w:space="0" w:color="auto"/>
      </w:divBdr>
    </w:div>
    <w:div w:id="263346556">
      <w:bodyDiv w:val="1"/>
      <w:marLeft w:val="0"/>
      <w:marRight w:val="0"/>
      <w:marTop w:val="0"/>
      <w:marBottom w:val="0"/>
      <w:divBdr>
        <w:top w:val="none" w:sz="0" w:space="0" w:color="auto"/>
        <w:left w:val="none" w:sz="0" w:space="0" w:color="auto"/>
        <w:bottom w:val="none" w:sz="0" w:space="0" w:color="auto"/>
        <w:right w:val="none" w:sz="0" w:space="0" w:color="auto"/>
      </w:divBdr>
    </w:div>
    <w:div w:id="265818165">
      <w:bodyDiv w:val="1"/>
      <w:marLeft w:val="0"/>
      <w:marRight w:val="0"/>
      <w:marTop w:val="0"/>
      <w:marBottom w:val="0"/>
      <w:divBdr>
        <w:top w:val="none" w:sz="0" w:space="0" w:color="auto"/>
        <w:left w:val="none" w:sz="0" w:space="0" w:color="auto"/>
        <w:bottom w:val="none" w:sz="0" w:space="0" w:color="auto"/>
        <w:right w:val="none" w:sz="0" w:space="0" w:color="auto"/>
      </w:divBdr>
    </w:div>
    <w:div w:id="270816894">
      <w:bodyDiv w:val="1"/>
      <w:marLeft w:val="0"/>
      <w:marRight w:val="0"/>
      <w:marTop w:val="0"/>
      <w:marBottom w:val="0"/>
      <w:divBdr>
        <w:top w:val="none" w:sz="0" w:space="0" w:color="auto"/>
        <w:left w:val="none" w:sz="0" w:space="0" w:color="auto"/>
        <w:bottom w:val="none" w:sz="0" w:space="0" w:color="auto"/>
        <w:right w:val="none" w:sz="0" w:space="0" w:color="auto"/>
      </w:divBdr>
    </w:div>
    <w:div w:id="272055880">
      <w:bodyDiv w:val="1"/>
      <w:marLeft w:val="0"/>
      <w:marRight w:val="0"/>
      <w:marTop w:val="0"/>
      <w:marBottom w:val="0"/>
      <w:divBdr>
        <w:top w:val="none" w:sz="0" w:space="0" w:color="auto"/>
        <w:left w:val="none" w:sz="0" w:space="0" w:color="auto"/>
        <w:bottom w:val="none" w:sz="0" w:space="0" w:color="auto"/>
        <w:right w:val="none" w:sz="0" w:space="0" w:color="auto"/>
      </w:divBdr>
    </w:div>
    <w:div w:id="272171319">
      <w:bodyDiv w:val="1"/>
      <w:marLeft w:val="0"/>
      <w:marRight w:val="0"/>
      <w:marTop w:val="0"/>
      <w:marBottom w:val="0"/>
      <w:divBdr>
        <w:top w:val="none" w:sz="0" w:space="0" w:color="auto"/>
        <w:left w:val="none" w:sz="0" w:space="0" w:color="auto"/>
        <w:bottom w:val="none" w:sz="0" w:space="0" w:color="auto"/>
        <w:right w:val="none" w:sz="0" w:space="0" w:color="auto"/>
      </w:divBdr>
    </w:div>
    <w:div w:id="272442810">
      <w:bodyDiv w:val="1"/>
      <w:marLeft w:val="0"/>
      <w:marRight w:val="0"/>
      <w:marTop w:val="0"/>
      <w:marBottom w:val="0"/>
      <w:divBdr>
        <w:top w:val="none" w:sz="0" w:space="0" w:color="auto"/>
        <w:left w:val="none" w:sz="0" w:space="0" w:color="auto"/>
        <w:bottom w:val="none" w:sz="0" w:space="0" w:color="auto"/>
        <w:right w:val="none" w:sz="0" w:space="0" w:color="auto"/>
      </w:divBdr>
    </w:div>
    <w:div w:id="275867559">
      <w:bodyDiv w:val="1"/>
      <w:marLeft w:val="0"/>
      <w:marRight w:val="0"/>
      <w:marTop w:val="0"/>
      <w:marBottom w:val="0"/>
      <w:divBdr>
        <w:top w:val="none" w:sz="0" w:space="0" w:color="auto"/>
        <w:left w:val="none" w:sz="0" w:space="0" w:color="auto"/>
        <w:bottom w:val="none" w:sz="0" w:space="0" w:color="auto"/>
        <w:right w:val="none" w:sz="0" w:space="0" w:color="auto"/>
      </w:divBdr>
    </w:div>
    <w:div w:id="276832976">
      <w:bodyDiv w:val="1"/>
      <w:marLeft w:val="0"/>
      <w:marRight w:val="0"/>
      <w:marTop w:val="0"/>
      <w:marBottom w:val="0"/>
      <w:divBdr>
        <w:top w:val="none" w:sz="0" w:space="0" w:color="auto"/>
        <w:left w:val="none" w:sz="0" w:space="0" w:color="auto"/>
        <w:bottom w:val="none" w:sz="0" w:space="0" w:color="auto"/>
        <w:right w:val="none" w:sz="0" w:space="0" w:color="auto"/>
      </w:divBdr>
    </w:div>
    <w:div w:id="277686242">
      <w:bodyDiv w:val="1"/>
      <w:marLeft w:val="0"/>
      <w:marRight w:val="0"/>
      <w:marTop w:val="0"/>
      <w:marBottom w:val="0"/>
      <w:divBdr>
        <w:top w:val="none" w:sz="0" w:space="0" w:color="auto"/>
        <w:left w:val="none" w:sz="0" w:space="0" w:color="auto"/>
        <w:bottom w:val="none" w:sz="0" w:space="0" w:color="auto"/>
        <w:right w:val="none" w:sz="0" w:space="0" w:color="auto"/>
      </w:divBdr>
    </w:div>
    <w:div w:id="278340364">
      <w:bodyDiv w:val="1"/>
      <w:marLeft w:val="0"/>
      <w:marRight w:val="0"/>
      <w:marTop w:val="0"/>
      <w:marBottom w:val="0"/>
      <w:divBdr>
        <w:top w:val="none" w:sz="0" w:space="0" w:color="auto"/>
        <w:left w:val="none" w:sz="0" w:space="0" w:color="auto"/>
        <w:bottom w:val="none" w:sz="0" w:space="0" w:color="auto"/>
        <w:right w:val="none" w:sz="0" w:space="0" w:color="auto"/>
      </w:divBdr>
    </w:div>
    <w:div w:id="279146301">
      <w:bodyDiv w:val="1"/>
      <w:marLeft w:val="0"/>
      <w:marRight w:val="0"/>
      <w:marTop w:val="0"/>
      <w:marBottom w:val="0"/>
      <w:divBdr>
        <w:top w:val="none" w:sz="0" w:space="0" w:color="auto"/>
        <w:left w:val="none" w:sz="0" w:space="0" w:color="auto"/>
        <w:bottom w:val="none" w:sz="0" w:space="0" w:color="auto"/>
        <w:right w:val="none" w:sz="0" w:space="0" w:color="auto"/>
      </w:divBdr>
    </w:div>
    <w:div w:id="281083970">
      <w:bodyDiv w:val="1"/>
      <w:marLeft w:val="0"/>
      <w:marRight w:val="0"/>
      <w:marTop w:val="0"/>
      <w:marBottom w:val="0"/>
      <w:divBdr>
        <w:top w:val="none" w:sz="0" w:space="0" w:color="auto"/>
        <w:left w:val="none" w:sz="0" w:space="0" w:color="auto"/>
        <w:bottom w:val="none" w:sz="0" w:space="0" w:color="auto"/>
        <w:right w:val="none" w:sz="0" w:space="0" w:color="auto"/>
      </w:divBdr>
    </w:div>
    <w:div w:id="281152828">
      <w:bodyDiv w:val="1"/>
      <w:marLeft w:val="0"/>
      <w:marRight w:val="0"/>
      <w:marTop w:val="0"/>
      <w:marBottom w:val="0"/>
      <w:divBdr>
        <w:top w:val="none" w:sz="0" w:space="0" w:color="auto"/>
        <w:left w:val="none" w:sz="0" w:space="0" w:color="auto"/>
        <w:bottom w:val="none" w:sz="0" w:space="0" w:color="auto"/>
        <w:right w:val="none" w:sz="0" w:space="0" w:color="auto"/>
      </w:divBdr>
    </w:div>
    <w:div w:id="281231117">
      <w:bodyDiv w:val="1"/>
      <w:marLeft w:val="0"/>
      <w:marRight w:val="0"/>
      <w:marTop w:val="0"/>
      <w:marBottom w:val="0"/>
      <w:divBdr>
        <w:top w:val="none" w:sz="0" w:space="0" w:color="auto"/>
        <w:left w:val="none" w:sz="0" w:space="0" w:color="auto"/>
        <w:bottom w:val="none" w:sz="0" w:space="0" w:color="auto"/>
        <w:right w:val="none" w:sz="0" w:space="0" w:color="auto"/>
      </w:divBdr>
    </w:div>
    <w:div w:id="283004516">
      <w:bodyDiv w:val="1"/>
      <w:marLeft w:val="0"/>
      <w:marRight w:val="0"/>
      <w:marTop w:val="0"/>
      <w:marBottom w:val="0"/>
      <w:divBdr>
        <w:top w:val="none" w:sz="0" w:space="0" w:color="auto"/>
        <w:left w:val="none" w:sz="0" w:space="0" w:color="auto"/>
        <w:bottom w:val="none" w:sz="0" w:space="0" w:color="auto"/>
        <w:right w:val="none" w:sz="0" w:space="0" w:color="auto"/>
      </w:divBdr>
    </w:div>
    <w:div w:id="283461228">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84629557">
      <w:bodyDiv w:val="1"/>
      <w:marLeft w:val="0"/>
      <w:marRight w:val="0"/>
      <w:marTop w:val="0"/>
      <w:marBottom w:val="0"/>
      <w:divBdr>
        <w:top w:val="none" w:sz="0" w:space="0" w:color="auto"/>
        <w:left w:val="none" w:sz="0" w:space="0" w:color="auto"/>
        <w:bottom w:val="none" w:sz="0" w:space="0" w:color="auto"/>
        <w:right w:val="none" w:sz="0" w:space="0" w:color="auto"/>
      </w:divBdr>
    </w:div>
    <w:div w:id="285278861">
      <w:bodyDiv w:val="1"/>
      <w:marLeft w:val="0"/>
      <w:marRight w:val="0"/>
      <w:marTop w:val="0"/>
      <w:marBottom w:val="0"/>
      <w:divBdr>
        <w:top w:val="none" w:sz="0" w:space="0" w:color="auto"/>
        <w:left w:val="none" w:sz="0" w:space="0" w:color="auto"/>
        <w:bottom w:val="none" w:sz="0" w:space="0" w:color="auto"/>
        <w:right w:val="none" w:sz="0" w:space="0" w:color="auto"/>
      </w:divBdr>
    </w:div>
    <w:div w:id="287126738">
      <w:bodyDiv w:val="1"/>
      <w:marLeft w:val="0"/>
      <w:marRight w:val="0"/>
      <w:marTop w:val="0"/>
      <w:marBottom w:val="0"/>
      <w:divBdr>
        <w:top w:val="none" w:sz="0" w:space="0" w:color="auto"/>
        <w:left w:val="none" w:sz="0" w:space="0" w:color="auto"/>
        <w:bottom w:val="none" w:sz="0" w:space="0" w:color="auto"/>
        <w:right w:val="none" w:sz="0" w:space="0" w:color="auto"/>
      </w:divBdr>
    </w:div>
    <w:div w:id="288513176">
      <w:bodyDiv w:val="1"/>
      <w:marLeft w:val="0"/>
      <w:marRight w:val="0"/>
      <w:marTop w:val="0"/>
      <w:marBottom w:val="0"/>
      <w:divBdr>
        <w:top w:val="none" w:sz="0" w:space="0" w:color="auto"/>
        <w:left w:val="none" w:sz="0" w:space="0" w:color="auto"/>
        <w:bottom w:val="none" w:sz="0" w:space="0" w:color="auto"/>
        <w:right w:val="none" w:sz="0" w:space="0" w:color="auto"/>
      </w:divBdr>
    </w:div>
    <w:div w:id="288972268">
      <w:bodyDiv w:val="1"/>
      <w:marLeft w:val="0"/>
      <w:marRight w:val="0"/>
      <w:marTop w:val="0"/>
      <w:marBottom w:val="0"/>
      <w:divBdr>
        <w:top w:val="none" w:sz="0" w:space="0" w:color="auto"/>
        <w:left w:val="none" w:sz="0" w:space="0" w:color="auto"/>
        <w:bottom w:val="none" w:sz="0" w:space="0" w:color="auto"/>
        <w:right w:val="none" w:sz="0" w:space="0" w:color="auto"/>
      </w:divBdr>
    </w:div>
    <w:div w:id="289939980">
      <w:bodyDiv w:val="1"/>
      <w:marLeft w:val="0"/>
      <w:marRight w:val="0"/>
      <w:marTop w:val="0"/>
      <w:marBottom w:val="0"/>
      <w:divBdr>
        <w:top w:val="none" w:sz="0" w:space="0" w:color="auto"/>
        <w:left w:val="none" w:sz="0" w:space="0" w:color="auto"/>
        <w:bottom w:val="none" w:sz="0" w:space="0" w:color="auto"/>
        <w:right w:val="none" w:sz="0" w:space="0" w:color="auto"/>
      </w:divBdr>
    </w:div>
    <w:div w:id="291373102">
      <w:bodyDiv w:val="1"/>
      <w:marLeft w:val="0"/>
      <w:marRight w:val="0"/>
      <w:marTop w:val="0"/>
      <w:marBottom w:val="0"/>
      <w:divBdr>
        <w:top w:val="none" w:sz="0" w:space="0" w:color="auto"/>
        <w:left w:val="none" w:sz="0" w:space="0" w:color="auto"/>
        <w:bottom w:val="none" w:sz="0" w:space="0" w:color="auto"/>
        <w:right w:val="none" w:sz="0" w:space="0" w:color="auto"/>
      </w:divBdr>
    </w:div>
    <w:div w:id="293953394">
      <w:bodyDiv w:val="1"/>
      <w:marLeft w:val="0"/>
      <w:marRight w:val="0"/>
      <w:marTop w:val="0"/>
      <w:marBottom w:val="0"/>
      <w:divBdr>
        <w:top w:val="none" w:sz="0" w:space="0" w:color="auto"/>
        <w:left w:val="none" w:sz="0" w:space="0" w:color="auto"/>
        <w:bottom w:val="none" w:sz="0" w:space="0" w:color="auto"/>
        <w:right w:val="none" w:sz="0" w:space="0" w:color="auto"/>
      </w:divBdr>
    </w:div>
    <w:div w:id="297077525">
      <w:bodyDiv w:val="1"/>
      <w:marLeft w:val="0"/>
      <w:marRight w:val="0"/>
      <w:marTop w:val="0"/>
      <w:marBottom w:val="0"/>
      <w:divBdr>
        <w:top w:val="none" w:sz="0" w:space="0" w:color="auto"/>
        <w:left w:val="none" w:sz="0" w:space="0" w:color="auto"/>
        <w:bottom w:val="none" w:sz="0" w:space="0" w:color="auto"/>
        <w:right w:val="none" w:sz="0" w:space="0" w:color="auto"/>
      </w:divBdr>
    </w:div>
    <w:div w:id="298607258">
      <w:bodyDiv w:val="1"/>
      <w:marLeft w:val="0"/>
      <w:marRight w:val="0"/>
      <w:marTop w:val="0"/>
      <w:marBottom w:val="0"/>
      <w:divBdr>
        <w:top w:val="none" w:sz="0" w:space="0" w:color="auto"/>
        <w:left w:val="none" w:sz="0" w:space="0" w:color="auto"/>
        <w:bottom w:val="none" w:sz="0" w:space="0" w:color="auto"/>
        <w:right w:val="none" w:sz="0" w:space="0" w:color="auto"/>
      </w:divBdr>
    </w:div>
    <w:div w:id="298611256">
      <w:bodyDiv w:val="1"/>
      <w:marLeft w:val="0"/>
      <w:marRight w:val="0"/>
      <w:marTop w:val="0"/>
      <w:marBottom w:val="0"/>
      <w:divBdr>
        <w:top w:val="none" w:sz="0" w:space="0" w:color="auto"/>
        <w:left w:val="none" w:sz="0" w:space="0" w:color="auto"/>
        <w:bottom w:val="none" w:sz="0" w:space="0" w:color="auto"/>
        <w:right w:val="none" w:sz="0" w:space="0" w:color="auto"/>
      </w:divBdr>
    </w:div>
    <w:div w:id="301274621">
      <w:bodyDiv w:val="1"/>
      <w:marLeft w:val="0"/>
      <w:marRight w:val="0"/>
      <w:marTop w:val="0"/>
      <w:marBottom w:val="0"/>
      <w:divBdr>
        <w:top w:val="none" w:sz="0" w:space="0" w:color="auto"/>
        <w:left w:val="none" w:sz="0" w:space="0" w:color="auto"/>
        <w:bottom w:val="none" w:sz="0" w:space="0" w:color="auto"/>
        <w:right w:val="none" w:sz="0" w:space="0" w:color="auto"/>
      </w:divBdr>
    </w:div>
    <w:div w:id="304703140">
      <w:bodyDiv w:val="1"/>
      <w:marLeft w:val="0"/>
      <w:marRight w:val="0"/>
      <w:marTop w:val="0"/>
      <w:marBottom w:val="0"/>
      <w:divBdr>
        <w:top w:val="none" w:sz="0" w:space="0" w:color="auto"/>
        <w:left w:val="none" w:sz="0" w:space="0" w:color="auto"/>
        <w:bottom w:val="none" w:sz="0" w:space="0" w:color="auto"/>
        <w:right w:val="none" w:sz="0" w:space="0" w:color="auto"/>
      </w:divBdr>
    </w:div>
    <w:div w:id="306784366">
      <w:bodyDiv w:val="1"/>
      <w:marLeft w:val="0"/>
      <w:marRight w:val="0"/>
      <w:marTop w:val="0"/>
      <w:marBottom w:val="0"/>
      <w:divBdr>
        <w:top w:val="none" w:sz="0" w:space="0" w:color="auto"/>
        <w:left w:val="none" w:sz="0" w:space="0" w:color="auto"/>
        <w:bottom w:val="none" w:sz="0" w:space="0" w:color="auto"/>
        <w:right w:val="none" w:sz="0" w:space="0" w:color="auto"/>
      </w:divBdr>
    </w:div>
    <w:div w:id="308093100">
      <w:bodyDiv w:val="1"/>
      <w:marLeft w:val="0"/>
      <w:marRight w:val="0"/>
      <w:marTop w:val="0"/>
      <w:marBottom w:val="0"/>
      <w:divBdr>
        <w:top w:val="none" w:sz="0" w:space="0" w:color="auto"/>
        <w:left w:val="none" w:sz="0" w:space="0" w:color="auto"/>
        <w:bottom w:val="none" w:sz="0" w:space="0" w:color="auto"/>
        <w:right w:val="none" w:sz="0" w:space="0" w:color="auto"/>
      </w:divBdr>
    </w:div>
    <w:div w:id="309135707">
      <w:bodyDiv w:val="1"/>
      <w:marLeft w:val="0"/>
      <w:marRight w:val="0"/>
      <w:marTop w:val="0"/>
      <w:marBottom w:val="0"/>
      <w:divBdr>
        <w:top w:val="none" w:sz="0" w:space="0" w:color="auto"/>
        <w:left w:val="none" w:sz="0" w:space="0" w:color="auto"/>
        <w:bottom w:val="none" w:sz="0" w:space="0" w:color="auto"/>
        <w:right w:val="none" w:sz="0" w:space="0" w:color="auto"/>
      </w:divBdr>
    </w:div>
    <w:div w:id="310983293">
      <w:bodyDiv w:val="1"/>
      <w:marLeft w:val="0"/>
      <w:marRight w:val="0"/>
      <w:marTop w:val="0"/>
      <w:marBottom w:val="0"/>
      <w:divBdr>
        <w:top w:val="none" w:sz="0" w:space="0" w:color="auto"/>
        <w:left w:val="none" w:sz="0" w:space="0" w:color="auto"/>
        <w:bottom w:val="none" w:sz="0" w:space="0" w:color="auto"/>
        <w:right w:val="none" w:sz="0" w:space="0" w:color="auto"/>
      </w:divBdr>
    </w:div>
    <w:div w:id="311300185">
      <w:bodyDiv w:val="1"/>
      <w:marLeft w:val="0"/>
      <w:marRight w:val="0"/>
      <w:marTop w:val="0"/>
      <w:marBottom w:val="0"/>
      <w:divBdr>
        <w:top w:val="none" w:sz="0" w:space="0" w:color="auto"/>
        <w:left w:val="none" w:sz="0" w:space="0" w:color="auto"/>
        <w:bottom w:val="none" w:sz="0" w:space="0" w:color="auto"/>
        <w:right w:val="none" w:sz="0" w:space="0" w:color="auto"/>
      </w:divBdr>
    </w:div>
    <w:div w:id="312487693">
      <w:bodyDiv w:val="1"/>
      <w:marLeft w:val="0"/>
      <w:marRight w:val="0"/>
      <w:marTop w:val="0"/>
      <w:marBottom w:val="0"/>
      <w:divBdr>
        <w:top w:val="none" w:sz="0" w:space="0" w:color="auto"/>
        <w:left w:val="none" w:sz="0" w:space="0" w:color="auto"/>
        <w:bottom w:val="none" w:sz="0" w:space="0" w:color="auto"/>
        <w:right w:val="none" w:sz="0" w:space="0" w:color="auto"/>
      </w:divBdr>
    </w:div>
    <w:div w:id="312950746">
      <w:bodyDiv w:val="1"/>
      <w:marLeft w:val="0"/>
      <w:marRight w:val="0"/>
      <w:marTop w:val="0"/>
      <w:marBottom w:val="0"/>
      <w:divBdr>
        <w:top w:val="none" w:sz="0" w:space="0" w:color="auto"/>
        <w:left w:val="none" w:sz="0" w:space="0" w:color="auto"/>
        <w:bottom w:val="none" w:sz="0" w:space="0" w:color="auto"/>
        <w:right w:val="none" w:sz="0" w:space="0" w:color="auto"/>
      </w:divBdr>
    </w:div>
    <w:div w:id="313418643">
      <w:bodyDiv w:val="1"/>
      <w:marLeft w:val="0"/>
      <w:marRight w:val="0"/>
      <w:marTop w:val="0"/>
      <w:marBottom w:val="0"/>
      <w:divBdr>
        <w:top w:val="none" w:sz="0" w:space="0" w:color="auto"/>
        <w:left w:val="none" w:sz="0" w:space="0" w:color="auto"/>
        <w:bottom w:val="none" w:sz="0" w:space="0" w:color="auto"/>
        <w:right w:val="none" w:sz="0" w:space="0" w:color="auto"/>
      </w:divBdr>
    </w:div>
    <w:div w:id="314919486">
      <w:bodyDiv w:val="1"/>
      <w:marLeft w:val="0"/>
      <w:marRight w:val="0"/>
      <w:marTop w:val="0"/>
      <w:marBottom w:val="0"/>
      <w:divBdr>
        <w:top w:val="none" w:sz="0" w:space="0" w:color="auto"/>
        <w:left w:val="none" w:sz="0" w:space="0" w:color="auto"/>
        <w:bottom w:val="none" w:sz="0" w:space="0" w:color="auto"/>
        <w:right w:val="none" w:sz="0" w:space="0" w:color="auto"/>
      </w:divBdr>
    </w:div>
    <w:div w:id="316958818">
      <w:bodyDiv w:val="1"/>
      <w:marLeft w:val="0"/>
      <w:marRight w:val="0"/>
      <w:marTop w:val="0"/>
      <w:marBottom w:val="0"/>
      <w:divBdr>
        <w:top w:val="none" w:sz="0" w:space="0" w:color="auto"/>
        <w:left w:val="none" w:sz="0" w:space="0" w:color="auto"/>
        <w:bottom w:val="none" w:sz="0" w:space="0" w:color="auto"/>
        <w:right w:val="none" w:sz="0" w:space="0" w:color="auto"/>
      </w:divBdr>
    </w:div>
    <w:div w:id="319509148">
      <w:bodyDiv w:val="1"/>
      <w:marLeft w:val="0"/>
      <w:marRight w:val="0"/>
      <w:marTop w:val="0"/>
      <w:marBottom w:val="0"/>
      <w:divBdr>
        <w:top w:val="none" w:sz="0" w:space="0" w:color="auto"/>
        <w:left w:val="none" w:sz="0" w:space="0" w:color="auto"/>
        <w:bottom w:val="none" w:sz="0" w:space="0" w:color="auto"/>
        <w:right w:val="none" w:sz="0" w:space="0" w:color="auto"/>
      </w:divBdr>
    </w:div>
    <w:div w:id="319773860">
      <w:bodyDiv w:val="1"/>
      <w:marLeft w:val="0"/>
      <w:marRight w:val="0"/>
      <w:marTop w:val="0"/>
      <w:marBottom w:val="0"/>
      <w:divBdr>
        <w:top w:val="none" w:sz="0" w:space="0" w:color="auto"/>
        <w:left w:val="none" w:sz="0" w:space="0" w:color="auto"/>
        <w:bottom w:val="none" w:sz="0" w:space="0" w:color="auto"/>
        <w:right w:val="none" w:sz="0" w:space="0" w:color="auto"/>
      </w:divBdr>
    </w:div>
    <w:div w:id="321010609">
      <w:bodyDiv w:val="1"/>
      <w:marLeft w:val="0"/>
      <w:marRight w:val="0"/>
      <w:marTop w:val="0"/>
      <w:marBottom w:val="0"/>
      <w:divBdr>
        <w:top w:val="none" w:sz="0" w:space="0" w:color="auto"/>
        <w:left w:val="none" w:sz="0" w:space="0" w:color="auto"/>
        <w:bottom w:val="none" w:sz="0" w:space="0" w:color="auto"/>
        <w:right w:val="none" w:sz="0" w:space="0" w:color="auto"/>
      </w:divBdr>
    </w:div>
    <w:div w:id="321738135">
      <w:bodyDiv w:val="1"/>
      <w:marLeft w:val="0"/>
      <w:marRight w:val="0"/>
      <w:marTop w:val="0"/>
      <w:marBottom w:val="0"/>
      <w:divBdr>
        <w:top w:val="none" w:sz="0" w:space="0" w:color="auto"/>
        <w:left w:val="none" w:sz="0" w:space="0" w:color="auto"/>
        <w:bottom w:val="none" w:sz="0" w:space="0" w:color="auto"/>
        <w:right w:val="none" w:sz="0" w:space="0" w:color="auto"/>
      </w:divBdr>
    </w:div>
    <w:div w:id="321743410">
      <w:bodyDiv w:val="1"/>
      <w:marLeft w:val="0"/>
      <w:marRight w:val="0"/>
      <w:marTop w:val="0"/>
      <w:marBottom w:val="0"/>
      <w:divBdr>
        <w:top w:val="none" w:sz="0" w:space="0" w:color="auto"/>
        <w:left w:val="none" w:sz="0" w:space="0" w:color="auto"/>
        <w:bottom w:val="none" w:sz="0" w:space="0" w:color="auto"/>
        <w:right w:val="none" w:sz="0" w:space="0" w:color="auto"/>
      </w:divBdr>
    </w:div>
    <w:div w:id="322898468">
      <w:bodyDiv w:val="1"/>
      <w:marLeft w:val="0"/>
      <w:marRight w:val="0"/>
      <w:marTop w:val="0"/>
      <w:marBottom w:val="0"/>
      <w:divBdr>
        <w:top w:val="none" w:sz="0" w:space="0" w:color="auto"/>
        <w:left w:val="none" w:sz="0" w:space="0" w:color="auto"/>
        <w:bottom w:val="none" w:sz="0" w:space="0" w:color="auto"/>
        <w:right w:val="none" w:sz="0" w:space="0" w:color="auto"/>
      </w:divBdr>
    </w:div>
    <w:div w:id="326905585">
      <w:bodyDiv w:val="1"/>
      <w:marLeft w:val="0"/>
      <w:marRight w:val="0"/>
      <w:marTop w:val="0"/>
      <w:marBottom w:val="0"/>
      <w:divBdr>
        <w:top w:val="none" w:sz="0" w:space="0" w:color="auto"/>
        <w:left w:val="none" w:sz="0" w:space="0" w:color="auto"/>
        <w:bottom w:val="none" w:sz="0" w:space="0" w:color="auto"/>
        <w:right w:val="none" w:sz="0" w:space="0" w:color="auto"/>
      </w:divBdr>
    </w:div>
    <w:div w:id="327178000">
      <w:bodyDiv w:val="1"/>
      <w:marLeft w:val="0"/>
      <w:marRight w:val="0"/>
      <w:marTop w:val="0"/>
      <w:marBottom w:val="0"/>
      <w:divBdr>
        <w:top w:val="none" w:sz="0" w:space="0" w:color="auto"/>
        <w:left w:val="none" w:sz="0" w:space="0" w:color="auto"/>
        <w:bottom w:val="none" w:sz="0" w:space="0" w:color="auto"/>
        <w:right w:val="none" w:sz="0" w:space="0" w:color="auto"/>
      </w:divBdr>
    </w:div>
    <w:div w:id="327443846">
      <w:bodyDiv w:val="1"/>
      <w:marLeft w:val="0"/>
      <w:marRight w:val="0"/>
      <w:marTop w:val="0"/>
      <w:marBottom w:val="0"/>
      <w:divBdr>
        <w:top w:val="none" w:sz="0" w:space="0" w:color="auto"/>
        <w:left w:val="none" w:sz="0" w:space="0" w:color="auto"/>
        <w:bottom w:val="none" w:sz="0" w:space="0" w:color="auto"/>
        <w:right w:val="none" w:sz="0" w:space="0" w:color="auto"/>
      </w:divBdr>
    </w:div>
    <w:div w:id="327560309">
      <w:bodyDiv w:val="1"/>
      <w:marLeft w:val="0"/>
      <w:marRight w:val="0"/>
      <w:marTop w:val="0"/>
      <w:marBottom w:val="0"/>
      <w:divBdr>
        <w:top w:val="none" w:sz="0" w:space="0" w:color="auto"/>
        <w:left w:val="none" w:sz="0" w:space="0" w:color="auto"/>
        <w:bottom w:val="none" w:sz="0" w:space="0" w:color="auto"/>
        <w:right w:val="none" w:sz="0" w:space="0" w:color="auto"/>
      </w:divBdr>
    </w:div>
    <w:div w:id="331101907">
      <w:bodyDiv w:val="1"/>
      <w:marLeft w:val="0"/>
      <w:marRight w:val="0"/>
      <w:marTop w:val="0"/>
      <w:marBottom w:val="0"/>
      <w:divBdr>
        <w:top w:val="none" w:sz="0" w:space="0" w:color="auto"/>
        <w:left w:val="none" w:sz="0" w:space="0" w:color="auto"/>
        <w:bottom w:val="none" w:sz="0" w:space="0" w:color="auto"/>
        <w:right w:val="none" w:sz="0" w:space="0" w:color="auto"/>
      </w:divBdr>
    </w:div>
    <w:div w:id="333185516">
      <w:bodyDiv w:val="1"/>
      <w:marLeft w:val="0"/>
      <w:marRight w:val="0"/>
      <w:marTop w:val="0"/>
      <w:marBottom w:val="0"/>
      <w:divBdr>
        <w:top w:val="none" w:sz="0" w:space="0" w:color="auto"/>
        <w:left w:val="none" w:sz="0" w:space="0" w:color="auto"/>
        <w:bottom w:val="none" w:sz="0" w:space="0" w:color="auto"/>
        <w:right w:val="none" w:sz="0" w:space="0" w:color="auto"/>
      </w:divBdr>
    </w:div>
    <w:div w:id="336660322">
      <w:bodyDiv w:val="1"/>
      <w:marLeft w:val="0"/>
      <w:marRight w:val="0"/>
      <w:marTop w:val="0"/>
      <w:marBottom w:val="0"/>
      <w:divBdr>
        <w:top w:val="none" w:sz="0" w:space="0" w:color="auto"/>
        <w:left w:val="none" w:sz="0" w:space="0" w:color="auto"/>
        <w:bottom w:val="none" w:sz="0" w:space="0" w:color="auto"/>
        <w:right w:val="none" w:sz="0" w:space="0" w:color="auto"/>
      </w:divBdr>
    </w:div>
    <w:div w:id="337971523">
      <w:bodyDiv w:val="1"/>
      <w:marLeft w:val="0"/>
      <w:marRight w:val="0"/>
      <w:marTop w:val="0"/>
      <w:marBottom w:val="0"/>
      <w:divBdr>
        <w:top w:val="none" w:sz="0" w:space="0" w:color="auto"/>
        <w:left w:val="none" w:sz="0" w:space="0" w:color="auto"/>
        <w:bottom w:val="none" w:sz="0" w:space="0" w:color="auto"/>
        <w:right w:val="none" w:sz="0" w:space="0" w:color="auto"/>
      </w:divBdr>
    </w:div>
    <w:div w:id="339160629">
      <w:bodyDiv w:val="1"/>
      <w:marLeft w:val="0"/>
      <w:marRight w:val="0"/>
      <w:marTop w:val="0"/>
      <w:marBottom w:val="0"/>
      <w:divBdr>
        <w:top w:val="none" w:sz="0" w:space="0" w:color="auto"/>
        <w:left w:val="none" w:sz="0" w:space="0" w:color="auto"/>
        <w:bottom w:val="none" w:sz="0" w:space="0" w:color="auto"/>
        <w:right w:val="none" w:sz="0" w:space="0" w:color="auto"/>
      </w:divBdr>
    </w:div>
    <w:div w:id="341052210">
      <w:bodyDiv w:val="1"/>
      <w:marLeft w:val="0"/>
      <w:marRight w:val="0"/>
      <w:marTop w:val="0"/>
      <w:marBottom w:val="0"/>
      <w:divBdr>
        <w:top w:val="none" w:sz="0" w:space="0" w:color="auto"/>
        <w:left w:val="none" w:sz="0" w:space="0" w:color="auto"/>
        <w:bottom w:val="none" w:sz="0" w:space="0" w:color="auto"/>
        <w:right w:val="none" w:sz="0" w:space="0" w:color="auto"/>
      </w:divBdr>
    </w:div>
    <w:div w:id="341248623">
      <w:bodyDiv w:val="1"/>
      <w:marLeft w:val="0"/>
      <w:marRight w:val="0"/>
      <w:marTop w:val="0"/>
      <w:marBottom w:val="0"/>
      <w:divBdr>
        <w:top w:val="none" w:sz="0" w:space="0" w:color="auto"/>
        <w:left w:val="none" w:sz="0" w:space="0" w:color="auto"/>
        <w:bottom w:val="none" w:sz="0" w:space="0" w:color="auto"/>
        <w:right w:val="none" w:sz="0" w:space="0" w:color="auto"/>
      </w:divBdr>
    </w:div>
    <w:div w:id="341975098">
      <w:bodyDiv w:val="1"/>
      <w:marLeft w:val="0"/>
      <w:marRight w:val="0"/>
      <w:marTop w:val="0"/>
      <w:marBottom w:val="0"/>
      <w:divBdr>
        <w:top w:val="none" w:sz="0" w:space="0" w:color="auto"/>
        <w:left w:val="none" w:sz="0" w:space="0" w:color="auto"/>
        <w:bottom w:val="none" w:sz="0" w:space="0" w:color="auto"/>
        <w:right w:val="none" w:sz="0" w:space="0" w:color="auto"/>
      </w:divBdr>
    </w:div>
    <w:div w:id="342175246">
      <w:bodyDiv w:val="1"/>
      <w:marLeft w:val="0"/>
      <w:marRight w:val="0"/>
      <w:marTop w:val="0"/>
      <w:marBottom w:val="0"/>
      <w:divBdr>
        <w:top w:val="none" w:sz="0" w:space="0" w:color="auto"/>
        <w:left w:val="none" w:sz="0" w:space="0" w:color="auto"/>
        <w:bottom w:val="none" w:sz="0" w:space="0" w:color="auto"/>
        <w:right w:val="none" w:sz="0" w:space="0" w:color="auto"/>
      </w:divBdr>
    </w:div>
    <w:div w:id="343672491">
      <w:bodyDiv w:val="1"/>
      <w:marLeft w:val="0"/>
      <w:marRight w:val="0"/>
      <w:marTop w:val="0"/>
      <w:marBottom w:val="0"/>
      <w:divBdr>
        <w:top w:val="none" w:sz="0" w:space="0" w:color="auto"/>
        <w:left w:val="none" w:sz="0" w:space="0" w:color="auto"/>
        <w:bottom w:val="none" w:sz="0" w:space="0" w:color="auto"/>
        <w:right w:val="none" w:sz="0" w:space="0" w:color="auto"/>
      </w:divBdr>
    </w:div>
    <w:div w:id="344289219">
      <w:bodyDiv w:val="1"/>
      <w:marLeft w:val="0"/>
      <w:marRight w:val="0"/>
      <w:marTop w:val="0"/>
      <w:marBottom w:val="0"/>
      <w:divBdr>
        <w:top w:val="none" w:sz="0" w:space="0" w:color="auto"/>
        <w:left w:val="none" w:sz="0" w:space="0" w:color="auto"/>
        <w:bottom w:val="none" w:sz="0" w:space="0" w:color="auto"/>
        <w:right w:val="none" w:sz="0" w:space="0" w:color="auto"/>
      </w:divBdr>
    </w:div>
    <w:div w:id="344407321">
      <w:bodyDiv w:val="1"/>
      <w:marLeft w:val="0"/>
      <w:marRight w:val="0"/>
      <w:marTop w:val="0"/>
      <w:marBottom w:val="0"/>
      <w:divBdr>
        <w:top w:val="none" w:sz="0" w:space="0" w:color="auto"/>
        <w:left w:val="none" w:sz="0" w:space="0" w:color="auto"/>
        <w:bottom w:val="none" w:sz="0" w:space="0" w:color="auto"/>
        <w:right w:val="none" w:sz="0" w:space="0" w:color="auto"/>
      </w:divBdr>
    </w:div>
    <w:div w:id="345602042">
      <w:bodyDiv w:val="1"/>
      <w:marLeft w:val="0"/>
      <w:marRight w:val="0"/>
      <w:marTop w:val="0"/>
      <w:marBottom w:val="0"/>
      <w:divBdr>
        <w:top w:val="none" w:sz="0" w:space="0" w:color="auto"/>
        <w:left w:val="none" w:sz="0" w:space="0" w:color="auto"/>
        <w:bottom w:val="none" w:sz="0" w:space="0" w:color="auto"/>
        <w:right w:val="none" w:sz="0" w:space="0" w:color="auto"/>
      </w:divBdr>
    </w:div>
    <w:div w:id="346520008">
      <w:bodyDiv w:val="1"/>
      <w:marLeft w:val="0"/>
      <w:marRight w:val="0"/>
      <w:marTop w:val="0"/>
      <w:marBottom w:val="0"/>
      <w:divBdr>
        <w:top w:val="none" w:sz="0" w:space="0" w:color="auto"/>
        <w:left w:val="none" w:sz="0" w:space="0" w:color="auto"/>
        <w:bottom w:val="none" w:sz="0" w:space="0" w:color="auto"/>
        <w:right w:val="none" w:sz="0" w:space="0" w:color="auto"/>
      </w:divBdr>
    </w:div>
    <w:div w:id="346950633">
      <w:bodyDiv w:val="1"/>
      <w:marLeft w:val="0"/>
      <w:marRight w:val="0"/>
      <w:marTop w:val="0"/>
      <w:marBottom w:val="0"/>
      <w:divBdr>
        <w:top w:val="none" w:sz="0" w:space="0" w:color="auto"/>
        <w:left w:val="none" w:sz="0" w:space="0" w:color="auto"/>
        <w:bottom w:val="none" w:sz="0" w:space="0" w:color="auto"/>
        <w:right w:val="none" w:sz="0" w:space="0" w:color="auto"/>
      </w:divBdr>
    </w:div>
    <w:div w:id="348333088">
      <w:bodyDiv w:val="1"/>
      <w:marLeft w:val="0"/>
      <w:marRight w:val="0"/>
      <w:marTop w:val="0"/>
      <w:marBottom w:val="0"/>
      <w:divBdr>
        <w:top w:val="none" w:sz="0" w:space="0" w:color="auto"/>
        <w:left w:val="none" w:sz="0" w:space="0" w:color="auto"/>
        <w:bottom w:val="none" w:sz="0" w:space="0" w:color="auto"/>
        <w:right w:val="none" w:sz="0" w:space="0" w:color="auto"/>
      </w:divBdr>
    </w:div>
    <w:div w:id="348339756">
      <w:bodyDiv w:val="1"/>
      <w:marLeft w:val="0"/>
      <w:marRight w:val="0"/>
      <w:marTop w:val="0"/>
      <w:marBottom w:val="0"/>
      <w:divBdr>
        <w:top w:val="none" w:sz="0" w:space="0" w:color="auto"/>
        <w:left w:val="none" w:sz="0" w:space="0" w:color="auto"/>
        <w:bottom w:val="none" w:sz="0" w:space="0" w:color="auto"/>
        <w:right w:val="none" w:sz="0" w:space="0" w:color="auto"/>
      </w:divBdr>
    </w:div>
    <w:div w:id="348720891">
      <w:bodyDiv w:val="1"/>
      <w:marLeft w:val="0"/>
      <w:marRight w:val="0"/>
      <w:marTop w:val="0"/>
      <w:marBottom w:val="0"/>
      <w:divBdr>
        <w:top w:val="none" w:sz="0" w:space="0" w:color="auto"/>
        <w:left w:val="none" w:sz="0" w:space="0" w:color="auto"/>
        <w:bottom w:val="none" w:sz="0" w:space="0" w:color="auto"/>
        <w:right w:val="none" w:sz="0" w:space="0" w:color="auto"/>
      </w:divBdr>
    </w:div>
    <w:div w:id="349183501">
      <w:bodyDiv w:val="1"/>
      <w:marLeft w:val="0"/>
      <w:marRight w:val="0"/>
      <w:marTop w:val="0"/>
      <w:marBottom w:val="0"/>
      <w:divBdr>
        <w:top w:val="none" w:sz="0" w:space="0" w:color="auto"/>
        <w:left w:val="none" w:sz="0" w:space="0" w:color="auto"/>
        <w:bottom w:val="none" w:sz="0" w:space="0" w:color="auto"/>
        <w:right w:val="none" w:sz="0" w:space="0" w:color="auto"/>
      </w:divBdr>
    </w:div>
    <w:div w:id="350029983">
      <w:bodyDiv w:val="1"/>
      <w:marLeft w:val="0"/>
      <w:marRight w:val="0"/>
      <w:marTop w:val="0"/>
      <w:marBottom w:val="0"/>
      <w:divBdr>
        <w:top w:val="none" w:sz="0" w:space="0" w:color="auto"/>
        <w:left w:val="none" w:sz="0" w:space="0" w:color="auto"/>
        <w:bottom w:val="none" w:sz="0" w:space="0" w:color="auto"/>
        <w:right w:val="none" w:sz="0" w:space="0" w:color="auto"/>
      </w:divBdr>
    </w:div>
    <w:div w:id="353307364">
      <w:bodyDiv w:val="1"/>
      <w:marLeft w:val="0"/>
      <w:marRight w:val="0"/>
      <w:marTop w:val="0"/>
      <w:marBottom w:val="0"/>
      <w:divBdr>
        <w:top w:val="none" w:sz="0" w:space="0" w:color="auto"/>
        <w:left w:val="none" w:sz="0" w:space="0" w:color="auto"/>
        <w:bottom w:val="none" w:sz="0" w:space="0" w:color="auto"/>
        <w:right w:val="none" w:sz="0" w:space="0" w:color="auto"/>
      </w:divBdr>
    </w:div>
    <w:div w:id="355008639">
      <w:bodyDiv w:val="1"/>
      <w:marLeft w:val="0"/>
      <w:marRight w:val="0"/>
      <w:marTop w:val="0"/>
      <w:marBottom w:val="0"/>
      <w:divBdr>
        <w:top w:val="none" w:sz="0" w:space="0" w:color="auto"/>
        <w:left w:val="none" w:sz="0" w:space="0" w:color="auto"/>
        <w:bottom w:val="none" w:sz="0" w:space="0" w:color="auto"/>
        <w:right w:val="none" w:sz="0" w:space="0" w:color="auto"/>
      </w:divBdr>
    </w:div>
    <w:div w:id="355930495">
      <w:bodyDiv w:val="1"/>
      <w:marLeft w:val="0"/>
      <w:marRight w:val="0"/>
      <w:marTop w:val="0"/>
      <w:marBottom w:val="0"/>
      <w:divBdr>
        <w:top w:val="none" w:sz="0" w:space="0" w:color="auto"/>
        <w:left w:val="none" w:sz="0" w:space="0" w:color="auto"/>
        <w:bottom w:val="none" w:sz="0" w:space="0" w:color="auto"/>
        <w:right w:val="none" w:sz="0" w:space="0" w:color="auto"/>
      </w:divBdr>
    </w:div>
    <w:div w:id="356976688">
      <w:bodyDiv w:val="1"/>
      <w:marLeft w:val="0"/>
      <w:marRight w:val="0"/>
      <w:marTop w:val="0"/>
      <w:marBottom w:val="0"/>
      <w:divBdr>
        <w:top w:val="none" w:sz="0" w:space="0" w:color="auto"/>
        <w:left w:val="none" w:sz="0" w:space="0" w:color="auto"/>
        <w:bottom w:val="none" w:sz="0" w:space="0" w:color="auto"/>
        <w:right w:val="none" w:sz="0" w:space="0" w:color="auto"/>
      </w:divBdr>
    </w:div>
    <w:div w:id="357776247">
      <w:bodyDiv w:val="1"/>
      <w:marLeft w:val="0"/>
      <w:marRight w:val="0"/>
      <w:marTop w:val="0"/>
      <w:marBottom w:val="0"/>
      <w:divBdr>
        <w:top w:val="none" w:sz="0" w:space="0" w:color="auto"/>
        <w:left w:val="none" w:sz="0" w:space="0" w:color="auto"/>
        <w:bottom w:val="none" w:sz="0" w:space="0" w:color="auto"/>
        <w:right w:val="none" w:sz="0" w:space="0" w:color="auto"/>
      </w:divBdr>
    </w:div>
    <w:div w:id="358094477">
      <w:bodyDiv w:val="1"/>
      <w:marLeft w:val="0"/>
      <w:marRight w:val="0"/>
      <w:marTop w:val="0"/>
      <w:marBottom w:val="0"/>
      <w:divBdr>
        <w:top w:val="none" w:sz="0" w:space="0" w:color="auto"/>
        <w:left w:val="none" w:sz="0" w:space="0" w:color="auto"/>
        <w:bottom w:val="none" w:sz="0" w:space="0" w:color="auto"/>
        <w:right w:val="none" w:sz="0" w:space="0" w:color="auto"/>
      </w:divBdr>
    </w:div>
    <w:div w:id="360132971">
      <w:bodyDiv w:val="1"/>
      <w:marLeft w:val="0"/>
      <w:marRight w:val="0"/>
      <w:marTop w:val="0"/>
      <w:marBottom w:val="0"/>
      <w:divBdr>
        <w:top w:val="none" w:sz="0" w:space="0" w:color="auto"/>
        <w:left w:val="none" w:sz="0" w:space="0" w:color="auto"/>
        <w:bottom w:val="none" w:sz="0" w:space="0" w:color="auto"/>
        <w:right w:val="none" w:sz="0" w:space="0" w:color="auto"/>
      </w:divBdr>
    </w:div>
    <w:div w:id="361519546">
      <w:bodyDiv w:val="1"/>
      <w:marLeft w:val="0"/>
      <w:marRight w:val="0"/>
      <w:marTop w:val="0"/>
      <w:marBottom w:val="0"/>
      <w:divBdr>
        <w:top w:val="none" w:sz="0" w:space="0" w:color="auto"/>
        <w:left w:val="none" w:sz="0" w:space="0" w:color="auto"/>
        <w:bottom w:val="none" w:sz="0" w:space="0" w:color="auto"/>
        <w:right w:val="none" w:sz="0" w:space="0" w:color="auto"/>
      </w:divBdr>
    </w:div>
    <w:div w:id="361592048">
      <w:bodyDiv w:val="1"/>
      <w:marLeft w:val="0"/>
      <w:marRight w:val="0"/>
      <w:marTop w:val="0"/>
      <w:marBottom w:val="0"/>
      <w:divBdr>
        <w:top w:val="none" w:sz="0" w:space="0" w:color="auto"/>
        <w:left w:val="none" w:sz="0" w:space="0" w:color="auto"/>
        <w:bottom w:val="none" w:sz="0" w:space="0" w:color="auto"/>
        <w:right w:val="none" w:sz="0" w:space="0" w:color="auto"/>
      </w:divBdr>
    </w:div>
    <w:div w:id="364869752">
      <w:bodyDiv w:val="1"/>
      <w:marLeft w:val="0"/>
      <w:marRight w:val="0"/>
      <w:marTop w:val="0"/>
      <w:marBottom w:val="0"/>
      <w:divBdr>
        <w:top w:val="none" w:sz="0" w:space="0" w:color="auto"/>
        <w:left w:val="none" w:sz="0" w:space="0" w:color="auto"/>
        <w:bottom w:val="none" w:sz="0" w:space="0" w:color="auto"/>
        <w:right w:val="none" w:sz="0" w:space="0" w:color="auto"/>
      </w:divBdr>
    </w:div>
    <w:div w:id="368140745">
      <w:bodyDiv w:val="1"/>
      <w:marLeft w:val="0"/>
      <w:marRight w:val="0"/>
      <w:marTop w:val="0"/>
      <w:marBottom w:val="0"/>
      <w:divBdr>
        <w:top w:val="none" w:sz="0" w:space="0" w:color="auto"/>
        <w:left w:val="none" w:sz="0" w:space="0" w:color="auto"/>
        <w:bottom w:val="none" w:sz="0" w:space="0" w:color="auto"/>
        <w:right w:val="none" w:sz="0" w:space="0" w:color="auto"/>
      </w:divBdr>
    </w:div>
    <w:div w:id="368839402">
      <w:bodyDiv w:val="1"/>
      <w:marLeft w:val="0"/>
      <w:marRight w:val="0"/>
      <w:marTop w:val="0"/>
      <w:marBottom w:val="0"/>
      <w:divBdr>
        <w:top w:val="none" w:sz="0" w:space="0" w:color="auto"/>
        <w:left w:val="none" w:sz="0" w:space="0" w:color="auto"/>
        <w:bottom w:val="none" w:sz="0" w:space="0" w:color="auto"/>
        <w:right w:val="none" w:sz="0" w:space="0" w:color="auto"/>
      </w:divBdr>
    </w:div>
    <w:div w:id="369767690">
      <w:bodyDiv w:val="1"/>
      <w:marLeft w:val="0"/>
      <w:marRight w:val="0"/>
      <w:marTop w:val="0"/>
      <w:marBottom w:val="0"/>
      <w:divBdr>
        <w:top w:val="none" w:sz="0" w:space="0" w:color="auto"/>
        <w:left w:val="none" w:sz="0" w:space="0" w:color="auto"/>
        <w:bottom w:val="none" w:sz="0" w:space="0" w:color="auto"/>
        <w:right w:val="none" w:sz="0" w:space="0" w:color="auto"/>
      </w:divBdr>
    </w:div>
    <w:div w:id="370376580">
      <w:bodyDiv w:val="1"/>
      <w:marLeft w:val="0"/>
      <w:marRight w:val="0"/>
      <w:marTop w:val="0"/>
      <w:marBottom w:val="0"/>
      <w:divBdr>
        <w:top w:val="none" w:sz="0" w:space="0" w:color="auto"/>
        <w:left w:val="none" w:sz="0" w:space="0" w:color="auto"/>
        <w:bottom w:val="none" w:sz="0" w:space="0" w:color="auto"/>
        <w:right w:val="none" w:sz="0" w:space="0" w:color="auto"/>
      </w:divBdr>
    </w:div>
    <w:div w:id="372536936">
      <w:bodyDiv w:val="1"/>
      <w:marLeft w:val="0"/>
      <w:marRight w:val="0"/>
      <w:marTop w:val="0"/>
      <w:marBottom w:val="0"/>
      <w:divBdr>
        <w:top w:val="none" w:sz="0" w:space="0" w:color="auto"/>
        <w:left w:val="none" w:sz="0" w:space="0" w:color="auto"/>
        <w:bottom w:val="none" w:sz="0" w:space="0" w:color="auto"/>
        <w:right w:val="none" w:sz="0" w:space="0" w:color="auto"/>
      </w:divBdr>
    </w:div>
    <w:div w:id="372579699">
      <w:bodyDiv w:val="1"/>
      <w:marLeft w:val="0"/>
      <w:marRight w:val="0"/>
      <w:marTop w:val="0"/>
      <w:marBottom w:val="0"/>
      <w:divBdr>
        <w:top w:val="none" w:sz="0" w:space="0" w:color="auto"/>
        <w:left w:val="none" w:sz="0" w:space="0" w:color="auto"/>
        <w:bottom w:val="none" w:sz="0" w:space="0" w:color="auto"/>
        <w:right w:val="none" w:sz="0" w:space="0" w:color="auto"/>
      </w:divBdr>
    </w:div>
    <w:div w:id="374233076">
      <w:bodyDiv w:val="1"/>
      <w:marLeft w:val="0"/>
      <w:marRight w:val="0"/>
      <w:marTop w:val="0"/>
      <w:marBottom w:val="0"/>
      <w:divBdr>
        <w:top w:val="none" w:sz="0" w:space="0" w:color="auto"/>
        <w:left w:val="none" w:sz="0" w:space="0" w:color="auto"/>
        <w:bottom w:val="none" w:sz="0" w:space="0" w:color="auto"/>
        <w:right w:val="none" w:sz="0" w:space="0" w:color="auto"/>
      </w:divBdr>
    </w:div>
    <w:div w:id="375472705">
      <w:bodyDiv w:val="1"/>
      <w:marLeft w:val="0"/>
      <w:marRight w:val="0"/>
      <w:marTop w:val="0"/>
      <w:marBottom w:val="0"/>
      <w:divBdr>
        <w:top w:val="none" w:sz="0" w:space="0" w:color="auto"/>
        <w:left w:val="none" w:sz="0" w:space="0" w:color="auto"/>
        <w:bottom w:val="none" w:sz="0" w:space="0" w:color="auto"/>
        <w:right w:val="none" w:sz="0" w:space="0" w:color="auto"/>
      </w:divBdr>
    </w:div>
    <w:div w:id="375741994">
      <w:bodyDiv w:val="1"/>
      <w:marLeft w:val="0"/>
      <w:marRight w:val="0"/>
      <w:marTop w:val="0"/>
      <w:marBottom w:val="0"/>
      <w:divBdr>
        <w:top w:val="none" w:sz="0" w:space="0" w:color="auto"/>
        <w:left w:val="none" w:sz="0" w:space="0" w:color="auto"/>
        <w:bottom w:val="none" w:sz="0" w:space="0" w:color="auto"/>
        <w:right w:val="none" w:sz="0" w:space="0" w:color="auto"/>
      </w:divBdr>
    </w:div>
    <w:div w:id="375862548">
      <w:bodyDiv w:val="1"/>
      <w:marLeft w:val="0"/>
      <w:marRight w:val="0"/>
      <w:marTop w:val="0"/>
      <w:marBottom w:val="0"/>
      <w:divBdr>
        <w:top w:val="none" w:sz="0" w:space="0" w:color="auto"/>
        <w:left w:val="none" w:sz="0" w:space="0" w:color="auto"/>
        <w:bottom w:val="none" w:sz="0" w:space="0" w:color="auto"/>
        <w:right w:val="none" w:sz="0" w:space="0" w:color="auto"/>
      </w:divBdr>
    </w:div>
    <w:div w:id="376586851">
      <w:bodyDiv w:val="1"/>
      <w:marLeft w:val="0"/>
      <w:marRight w:val="0"/>
      <w:marTop w:val="0"/>
      <w:marBottom w:val="0"/>
      <w:divBdr>
        <w:top w:val="none" w:sz="0" w:space="0" w:color="auto"/>
        <w:left w:val="none" w:sz="0" w:space="0" w:color="auto"/>
        <w:bottom w:val="none" w:sz="0" w:space="0" w:color="auto"/>
        <w:right w:val="none" w:sz="0" w:space="0" w:color="auto"/>
      </w:divBdr>
    </w:div>
    <w:div w:id="376971561">
      <w:bodyDiv w:val="1"/>
      <w:marLeft w:val="0"/>
      <w:marRight w:val="0"/>
      <w:marTop w:val="0"/>
      <w:marBottom w:val="0"/>
      <w:divBdr>
        <w:top w:val="none" w:sz="0" w:space="0" w:color="auto"/>
        <w:left w:val="none" w:sz="0" w:space="0" w:color="auto"/>
        <w:bottom w:val="none" w:sz="0" w:space="0" w:color="auto"/>
        <w:right w:val="none" w:sz="0" w:space="0" w:color="auto"/>
      </w:divBdr>
    </w:div>
    <w:div w:id="378937988">
      <w:bodyDiv w:val="1"/>
      <w:marLeft w:val="0"/>
      <w:marRight w:val="0"/>
      <w:marTop w:val="0"/>
      <w:marBottom w:val="0"/>
      <w:divBdr>
        <w:top w:val="none" w:sz="0" w:space="0" w:color="auto"/>
        <w:left w:val="none" w:sz="0" w:space="0" w:color="auto"/>
        <w:bottom w:val="none" w:sz="0" w:space="0" w:color="auto"/>
        <w:right w:val="none" w:sz="0" w:space="0" w:color="auto"/>
      </w:divBdr>
    </w:div>
    <w:div w:id="381371814">
      <w:bodyDiv w:val="1"/>
      <w:marLeft w:val="0"/>
      <w:marRight w:val="0"/>
      <w:marTop w:val="0"/>
      <w:marBottom w:val="0"/>
      <w:divBdr>
        <w:top w:val="none" w:sz="0" w:space="0" w:color="auto"/>
        <w:left w:val="none" w:sz="0" w:space="0" w:color="auto"/>
        <w:bottom w:val="none" w:sz="0" w:space="0" w:color="auto"/>
        <w:right w:val="none" w:sz="0" w:space="0" w:color="auto"/>
      </w:divBdr>
    </w:div>
    <w:div w:id="384640434">
      <w:bodyDiv w:val="1"/>
      <w:marLeft w:val="0"/>
      <w:marRight w:val="0"/>
      <w:marTop w:val="0"/>
      <w:marBottom w:val="0"/>
      <w:divBdr>
        <w:top w:val="none" w:sz="0" w:space="0" w:color="auto"/>
        <w:left w:val="none" w:sz="0" w:space="0" w:color="auto"/>
        <w:bottom w:val="none" w:sz="0" w:space="0" w:color="auto"/>
        <w:right w:val="none" w:sz="0" w:space="0" w:color="auto"/>
      </w:divBdr>
    </w:div>
    <w:div w:id="385565261">
      <w:bodyDiv w:val="1"/>
      <w:marLeft w:val="0"/>
      <w:marRight w:val="0"/>
      <w:marTop w:val="0"/>
      <w:marBottom w:val="0"/>
      <w:divBdr>
        <w:top w:val="none" w:sz="0" w:space="0" w:color="auto"/>
        <w:left w:val="none" w:sz="0" w:space="0" w:color="auto"/>
        <w:bottom w:val="none" w:sz="0" w:space="0" w:color="auto"/>
        <w:right w:val="none" w:sz="0" w:space="0" w:color="auto"/>
      </w:divBdr>
    </w:div>
    <w:div w:id="385958355">
      <w:bodyDiv w:val="1"/>
      <w:marLeft w:val="0"/>
      <w:marRight w:val="0"/>
      <w:marTop w:val="0"/>
      <w:marBottom w:val="0"/>
      <w:divBdr>
        <w:top w:val="none" w:sz="0" w:space="0" w:color="auto"/>
        <w:left w:val="none" w:sz="0" w:space="0" w:color="auto"/>
        <w:bottom w:val="none" w:sz="0" w:space="0" w:color="auto"/>
        <w:right w:val="none" w:sz="0" w:space="0" w:color="auto"/>
      </w:divBdr>
    </w:div>
    <w:div w:id="385959147">
      <w:bodyDiv w:val="1"/>
      <w:marLeft w:val="0"/>
      <w:marRight w:val="0"/>
      <w:marTop w:val="0"/>
      <w:marBottom w:val="0"/>
      <w:divBdr>
        <w:top w:val="none" w:sz="0" w:space="0" w:color="auto"/>
        <w:left w:val="none" w:sz="0" w:space="0" w:color="auto"/>
        <w:bottom w:val="none" w:sz="0" w:space="0" w:color="auto"/>
        <w:right w:val="none" w:sz="0" w:space="0" w:color="auto"/>
      </w:divBdr>
    </w:div>
    <w:div w:id="386032685">
      <w:bodyDiv w:val="1"/>
      <w:marLeft w:val="0"/>
      <w:marRight w:val="0"/>
      <w:marTop w:val="0"/>
      <w:marBottom w:val="0"/>
      <w:divBdr>
        <w:top w:val="none" w:sz="0" w:space="0" w:color="auto"/>
        <w:left w:val="none" w:sz="0" w:space="0" w:color="auto"/>
        <w:bottom w:val="none" w:sz="0" w:space="0" w:color="auto"/>
        <w:right w:val="none" w:sz="0" w:space="0" w:color="auto"/>
      </w:divBdr>
    </w:div>
    <w:div w:id="386344300">
      <w:bodyDiv w:val="1"/>
      <w:marLeft w:val="0"/>
      <w:marRight w:val="0"/>
      <w:marTop w:val="0"/>
      <w:marBottom w:val="0"/>
      <w:divBdr>
        <w:top w:val="none" w:sz="0" w:space="0" w:color="auto"/>
        <w:left w:val="none" w:sz="0" w:space="0" w:color="auto"/>
        <w:bottom w:val="none" w:sz="0" w:space="0" w:color="auto"/>
        <w:right w:val="none" w:sz="0" w:space="0" w:color="auto"/>
      </w:divBdr>
    </w:div>
    <w:div w:id="386420305">
      <w:bodyDiv w:val="1"/>
      <w:marLeft w:val="0"/>
      <w:marRight w:val="0"/>
      <w:marTop w:val="0"/>
      <w:marBottom w:val="0"/>
      <w:divBdr>
        <w:top w:val="none" w:sz="0" w:space="0" w:color="auto"/>
        <w:left w:val="none" w:sz="0" w:space="0" w:color="auto"/>
        <w:bottom w:val="none" w:sz="0" w:space="0" w:color="auto"/>
        <w:right w:val="none" w:sz="0" w:space="0" w:color="auto"/>
      </w:divBdr>
    </w:div>
    <w:div w:id="387146856">
      <w:bodyDiv w:val="1"/>
      <w:marLeft w:val="0"/>
      <w:marRight w:val="0"/>
      <w:marTop w:val="0"/>
      <w:marBottom w:val="0"/>
      <w:divBdr>
        <w:top w:val="none" w:sz="0" w:space="0" w:color="auto"/>
        <w:left w:val="none" w:sz="0" w:space="0" w:color="auto"/>
        <w:bottom w:val="none" w:sz="0" w:space="0" w:color="auto"/>
        <w:right w:val="none" w:sz="0" w:space="0" w:color="auto"/>
      </w:divBdr>
    </w:div>
    <w:div w:id="387849810">
      <w:bodyDiv w:val="1"/>
      <w:marLeft w:val="0"/>
      <w:marRight w:val="0"/>
      <w:marTop w:val="0"/>
      <w:marBottom w:val="0"/>
      <w:divBdr>
        <w:top w:val="none" w:sz="0" w:space="0" w:color="auto"/>
        <w:left w:val="none" w:sz="0" w:space="0" w:color="auto"/>
        <w:bottom w:val="none" w:sz="0" w:space="0" w:color="auto"/>
        <w:right w:val="none" w:sz="0" w:space="0" w:color="auto"/>
      </w:divBdr>
    </w:div>
    <w:div w:id="391122306">
      <w:bodyDiv w:val="1"/>
      <w:marLeft w:val="0"/>
      <w:marRight w:val="0"/>
      <w:marTop w:val="0"/>
      <w:marBottom w:val="0"/>
      <w:divBdr>
        <w:top w:val="none" w:sz="0" w:space="0" w:color="auto"/>
        <w:left w:val="none" w:sz="0" w:space="0" w:color="auto"/>
        <w:bottom w:val="none" w:sz="0" w:space="0" w:color="auto"/>
        <w:right w:val="none" w:sz="0" w:space="0" w:color="auto"/>
      </w:divBdr>
    </w:div>
    <w:div w:id="391581084">
      <w:bodyDiv w:val="1"/>
      <w:marLeft w:val="0"/>
      <w:marRight w:val="0"/>
      <w:marTop w:val="0"/>
      <w:marBottom w:val="0"/>
      <w:divBdr>
        <w:top w:val="none" w:sz="0" w:space="0" w:color="auto"/>
        <w:left w:val="none" w:sz="0" w:space="0" w:color="auto"/>
        <w:bottom w:val="none" w:sz="0" w:space="0" w:color="auto"/>
        <w:right w:val="none" w:sz="0" w:space="0" w:color="auto"/>
      </w:divBdr>
    </w:div>
    <w:div w:id="391856485">
      <w:bodyDiv w:val="1"/>
      <w:marLeft w:val="0"/>
      <w:marRight w:val="0"/>
      <w:marTop w:val="0"/>
      <w:marBottom w:val="0"/>
      <w:divBdr>
        <w:top w:val="none" w:sz="0" w:space="0" w:color="auto"/>
        <w:left w:val="none" w:sz="0" w:space="0" w:color="auto"/>
        <w:bottom w:val="none" w:sz="0" w:space="0" w:color="auto"/>
        <w:right w:val="none" w:sz="0" w:space="0" w:color="auto"/>
      </w:divBdr>
    </w:div>
    <w:div w:id="391928529">
      <w:bodyDiv w:val="1"/>
      <w:marLeft w:val="0"/>
      <w:marRight w:val="0"/>
      <w:marTop w:val="0"/>
      <w:marBottom w:val="0"/>
      <w:divBdr>
        <w:top w:val="none" w:sz="0" w:space="0" w:color="auto"/>
        <w:left w:val="none" w:sz="0" w:space="0" w:color="auto"/>
        <w:bottom w:val="none" w:sz="0" w:space="0" w:color="auto"/>
        <w:right w:val="none" w:sz="0" w:space="0" w:color="auto"/>
      </w:divBdr>
    </w:div>
    <w:div w:id="391929598">
      <w:bodyDiv w:val="1"/>
      <w:marLeft w:val="0"/>
      <w:marRight w:val="0"/>
      <w:marTop w:val="0"/>
      <w:marBottom w:val="0"/>
      <w:divBdr>
        <w:top w:val="none" w:sz="0" w:space="0" w:color="auto"/>
        <w:left w:val="none" w:sz="0" w:space="0" w:color="auto"/>
        <w:bottom w:val="none" w:sz="0" w:space="0" w:color="auto"/>
        <w:right w:val="none" w:sz="0" w:space="0" w:color="auto"/>
      </w:divBdr>
    </w:div>
    <w:div w:id="392049104">
      <w:bodyDiv w:val="1"/>
      <w:marLeft w:val="0"/>
      <w:marRight w:val="0"/>
      <w:marTop w:val="0"/>
      <w:marBottom w:val="0"/>
      <w:divBdr>
        <w:top w:val="none" w:sz="0" w:space="0" w:color="auto"/>
        <w:left w:val="none" w:sz="0" w:space="0" w:color="auto"/>
        <w:bottom w:val="none" w:sz="0" w:space="0" w:color="auto"/>
        <w:right w:val="none" w:sz="0" w:space="0" w:color="auto"/>
      </w:divBdr>
    </w:div>
    <w:div w:id="392510873">
      <w:bodyDiv w:val="1"/>
      <w:marLeft w:val="0"/>
      <w:marRight w:val="0"/>
      <w:marTop w:val="0"/>
      <w:marBottom w:val="0"/>
      <w:divBdr>
        <w:top w:val="none" w:sz="0" w:space="0" w:color="auto"/>
        <w:left w:val="none" w:sz="0" w:space="0" w:color="auto"/>
        <w:bottom w:val="none" w:sz="0" w:space="0" w:color="auto"/>
        <w:right w:val="none" w:sz="0" w:space="0" w:color="auto"/>
      </w:divBdr>
    </w:div>
    <w:div w:id="393163442">
      <w:bodyDiv w:val="1"/>
      <w:marLeft w:val="0"/>
      <w:marRight w:val="0"/>
      <w:marTop w:val="0"/>
      <w:marBottom w:val="0"/>
      <w:divBdr>
        <w:top w:val="none" w:sz="0" w:space="0" w:color="auto"/>
        <w:left w:val="none" w:sz="0" w:space="0" w:color="auto"/>
        <w:bottom w:val="none" w:sz="0" w:space="0" w:color="auto"/>
        <w:right w:val="none" w:sz="0" w:space="0" w:color="auto"/>
      </w:divBdr>
    </w:div>
    <w:div w:id="393427990">
      <w:bodyDiv w:val="1"/>
      <w:marLeft w:val="0"/>
      <w:marRight w:val="0"/>
      <w:marTop w:val="0"/>
      <w:marBottom w:val="0"/>
      <w:divBdr>
        <w:top w:val="none" w:sz="0" w:space="0" w:color="auto"/>
        <w:left w:val="none" w:sz="0" w:space="0" w:color="auto"/>
        <w:bottom w:val="none" w:sz="0" w:space="0" w:color="auto"/>
        <w:right w:val="none" w:sz="0" w:space="0" w:color="auto"/>
      </w:divBdr>
    </w:div>
    <w:div w:id="393966035">
      <w:bodyDiv w:val="1"/>
      <w:marLeft w:val="0"/>
      <w:marRight w:val="0"/>
      <w:marTop w:val="0"/>
      <w:marBottom w:val="0"/>
      <w:divBdr>
        <w:top w:val="none" w:sz="0" w:space="0" w:color="auto"/>
        <w:left w:val="none" w:sz="0" w:space="0" w:color="auto"/>
        <w:bottom w:val="none" w:sz="0" w:space="0" w:color="auto"/>
        <w:right w:val="none" w:sz="0" w:space="0" w:color="auto"/>
      </w:divBdr>
    </w:div>
    <w:div w:id="394940693">
      <w:bodyDiv w:val="1"/>
      <w:marLeft w:val="0"/>
      <w:marRight w:val="0"/>
      <w:marTop w:val="0"/>
      <w:marBottom w:val="0"/>
      <w:divBdr>
        <w:top w:val="none" w:sz="0" w:space="0" w:color="auto"/>
        <w:left w:val="none" w:sz="0" w:space="0" w:color="auto"/>
        <w:bottom w:val="none" w:sz="0" w:space="0" w:color="auto"/>
        <w:right w:val="none" w:sz="0" w:space="0" w:color="auto"/>
      </w:divBdr>
    </w:div>
    <w:div w:id="397439447">
      <w:bodyDiv w:val="1"/>
      <w:marLeft w:val="0"/>
      <w:marRight w:val="0"/>
      <w:marTop w:val="0"/>
      <w:marBottom w:val="0"/>
      <w:divBdr>
        <w:top w:val="none" w:sz="0" w:space="0" w:color="auto"/>
        <w:left w:val="none" w:sz="0" w:space="0" w:color="auto"/>
        <w:bottom w:val="none" w:sz="0" w:space="0" w:color="auto"/>
        <w:right w:val="none" w:sz="0" w:space="0" w:color="auto"/>
      </w:divBdr>
    </w:div>
    <w:div w:id="397872509">
      <w:bodyDiv w:val="1"/>
      <w:marLeft w:val="0"/>
      <w:marRight w:val="0"/>
      <w:marTop w:val="0"/>
      <w:marBottom w:val="0"/>
      <w:divBdr>
        <w:top w:val="none" w:sz="0" w:space="0" w:color="auto"/>
        <w:left w:val="none" w:sz="0" w:space="0" w:color="auto"/>
        <w:bottom w:val="none" w:sz="0" w:space="0" w:color="auto"/>
        <w:right w:val="none" w:sz="0" w:space="0" w:color="auto"/>
      </w:divBdr>
    </w:div>
    <w:div w:id="398096033">
      <w:bodyDiv w:val="1"/>
      <w:marLeft w:val="0"/>
      <w:marRight w:val="0"/>
      <w:marTop w:val="0"/>
      <w:marBottom w:val="0"/>
      <w:divBdr>
        <w:top w:val="none" w:sz="0" w:space="0" w:color="auto"/>
        <w:left w:val="none" w:sz="0" w:space="0" w:color="auto"/>
        <w:bottom w:val="none" w:sz="0" w:space="0" w:color="auto"/>
        <w:right w:val="none" w:sz="0" w:space="0" w:color="auto"/>
      </w:divBdr>
    </w:div>
    <w:div w:id="402682712">
      <w:bodyDiv w:val="1"/>
      <w:marLeft w:val="0"/>
      <w:marRight w:val="0"/>
      <w:marTop w:val="0"/>
      <w:marBottom w:val="0"/>
      <w:divBdr>
        <w:top w:val="none" w:sz="0" w:space="0" w:color="auto"/>
        <w:left w:val="none" w:sz="0" w:space="0" w:color="auto"/>
        <w:bottom w:val="none" w:sz="0" w:space="0" w:color="auto"/>
        <w:right w:val="none" w:sz="0" w:space="0" w:color="auto"/>
      </w:divBdr>
    </w:div>
    <w:div w:id="403183019">
      <w:bodyDiv w:val="1"/>
      <w:marLeft w:val="0"/>
      <w:marRight w:val="0"/>
      <w:marTop w:val="0"/>
      <w:marBottom w:val="0"/>
      <w:divBdr>
        <w:top w:val="none" w:sz="0" w:space="0" w:color="auto"/>
        <w:left w:val="none" w:sz="0" w:space="0" w:color="auto"/>
        <w:bottom w:val="none" w:sz="0" w:space="0" w:color="auto"/>
        <w:right w:val="none" w:sz="0" w:space="0" w:color="auto"/>
      </w:divBdr>
    </w:div>
    <w:div w:id="403381311">
      <w:bodyDiv w:val="1"/>
      <w:marLeft w:val="0"/>
      <w:marRight w:val="0"/>
      <w:marTop w:val="0"/>
      <w:marBottom w:val="0"/>
      <w:divBdr>
        <w:top w:val="none" w:sz="0" w:space="0" w:color="auto"/>
        <w:left w:val="none" w:sz="0" w:space="0" w:color="auto"/>
        <w:bottom w:val="none" w:sz="0" w:space="0" w:color="auto"/>
        <w:right w:val="none" w:sz="0" w:space="0" w:color="auto"/>
      </w:divBdr>
    </w:div>
    <w:div w:id="404647517">
      <w:bodyDiv w:val="1"/>
      <w:marLeft w:val="0"/>
      <w:marRight w:val="0"/>
      <w:marTop w:val="0"/>
      <w:marBottom w:val="0"/>
      <w:divBdr>
        <w:top w:val="none" w:sz="0" w:space="0" w:color="auto"/>
        <w:left w:val="none" w:sz="0" w:space="0" w:color="auto"/>
        <w:bottom w:val="none" w:sz="0" w:space="0" w:color="auto"/>
        <w:right w:val="none" w:sz="0" w:space="0" w:color="auto"/>
      </w:divBdr>
    </w:div>
    <w:div w:id="405806877">
      <w:bodyDiv w:val="1"/>
      <w:marLeft w:val="0"/>
      <w:marRight w:val="0"/>
      <w:marTop w:val="0"/>
      <w:marBottom w:val="0"/>
      <w:divBdr>
        <w:top w:val="none" w:sz="0" w:space="0" w:color="auto"/>
        <w:left w:val="none" w:sz="0" w:space="0" w:color="auto"/>
        <w:bottom w:val="none" w:sz="0" w:space="0" w:color="auto"/>
        <w:right w:val="none" w:sz="0" w:space="0" w:color="auto"/>
      </w:divBdr>
    </w:div>
    <w:div w:id="406615368">
      <w:bodyDiv w:val="1"/>
      <w:marLeft w:val="0"/>
      <w:marRight w:val="0"/>
      <w:marTop w:val="0"/>
      <w:marBottom w:val="0"/>
      <w:divBdr>
        <w:top w:val="none" w:sz="0" w:space="0" w:color="auto"/>
        <w:left w:val="none" w:sz="0" w:space="0" w:color="auto"/>
        <w:bottom w:val="none" w:sz="0" w:space="0" w:color="auto"/>
        <w:right w:val="none" w:sz="0" w:space="0" w:color="auto"/>
      </w:divBdr>
    </w:div>
    <w:div w:id="407769570">
      <w:bodyDiv w:val="1"/>
      <w:marLeft w:val="0"/>
      <w:marRight w:val="0"/>
      <w:marTop w:val="0"/>
      <w:marBottom w:val="0"/>
      <w:divBdr>
        <w:top w:val="none" w:sz="0" w:space="0" w:color="auto"/>
        <w:left w:val="none" w:sz="0" w:space="0" w:color="auto"/>
        <w:bottom w:val="none" w:sz="0" w:space="0" w:color="auto"/>
        <w:right w:val="none" w:sz="0" w:space="0" w:color="auto"/>
      </w:divBdr>
    </w:div>
    <w:div w:id="410005981">
      <w:bodyDiv w:val="1"/>
      <w:marLeft w:val="0"/>
      <w:marRight w:val="0"/>
      <w:marTop w:val="0"/>
      <w:marBottom w:val="0"/>
      <w:divBdr>
        <w:top w:val="none" w:sz="0" w:space="0" w:color="auto"/>
        <w:left w:val="none" w:sz="0" w:space="0" w:color="auto"/>
        <w:bottom w:val="none" w:sz="0" w:space="0" w:color="auto"/>
        <w:right w:val="none" w:sz="0" w:space="0" w:color="auto"/>
      </w:divBdr>
    </w:div>
    <w:div w:id="410156315">
      <w:bodyDiv w:val="1"/>
      <w:marLeft w:val="0"/>
      <w:marRight w:val="0"/>
      <w:marTop w:val="0"/>
      <w:marBottom w:val="0"/>
      <w:divBdr>
        <w:top w:val="none" w:sz="0" w:space="0" w:color="auto"/>
        <w:left w:val="none" w:sz="0" w:space="0" w:color="auto"/>
        <w:bottom w:val="none" w:sz="0" w:space="0" w:color="auto"/>
        <w:right w:val="none" w:sz="0" w:space="0" w:color="auto"/>
      </w:divBdr>
    </w:div>
    <w:div w:id="411002050">
      <w:bodyDiv w:val="1"/>
      <w:marLeft w:val="0"/>
      <w:marRight w:val="0"/>
      <w:marTop w:val="0"/>
      <w:marBottom w:val="0"/>
      <w:divBdr>
        <w:top w:val="none" w:sz="0" w:space="0" w:color="auto"/>
        <w:left w:val="none" w:sz="0" w:space="0" w:color="auto"/>
        <w:bottom w:val="none" w:sz="0" w:space="0" w:color="auto"/>
        <w:right w:val="none" w:sz="0" w:space="0" w:color="auto"/>
      </w:divBdr>
    </w:div>
    <w:div w:id="412825825">
      <w:bodyDiv w:val="1"/>
      <w:marLeft w:val="0"/>
      <w:marRight w:val="0"/>
      <w:marTop w:val="0"/>
      <w:marBottom w:val="0"/>
      <w:divBdr>
        <w:top w:val="none" w:sz="0" w:space="0" w:color="auto"/>
        <w:left w:val="none" w:sz="0" w:space="0" w:color="auto"/>
        <w:bottom w:val="none" w:sz="0" w:space="0" w:color="auto"/>
        <w:right w:val="none" w:sz="0" w:space="0" w:color="auto"/>
      </w:divBdr>
    </w:div>
    <w:div w:id="412970604">
      <w:bodyDiv w:val="1"/>
      <w:marLeft w:val="0"/>
      <w:marRight w:val="0"/>
      <w:marTop w:val="0"/>
      <w:marBottom w:val="0"/>
      <w:divBdr>
        <w:top w:val="none" w:sz="0" w:space="0" w:color="auto"/>
        <w:left w:val="none" w:sz="0" w:space="0" w:color="auto"/>
        <w:bottom w:val="none" w:sz="0" w:space="0" w:color="auto"/>
        <w:right w:val="none" w:sz="0" w:space="0" w:color="auto"/>
      </w:divBdr>
    </w:div>
    <w:div w:id="415327034">
      <w:bodyDiv w:val="1"/>
      <w:marLeft w:val="0"/>
      <w:marRight w:val="0"/>
      <w:marTop w:val="0"/>
      <w:marBottom w:val="0"/>
      <w:divBdr>
        <w:top w:val="none" w:sz="0" w:space="0" w:color="auto"/>
        <w:left w:val="none" w:sz="0" w:space="0" w:color="auto"/>
        <w:bottom w:val="none" w:sz="0" w:space="0" w:color="auto"/>
        <w:right w:val="none" w:sz="0" w:space="0" w:color="auto"/>
      </w:divBdr>
    </w:div>
    <w:div w:id="420837636">
      <w:bodyDiv w:val="1"/>
      <w:marLeft w:val="0"/>
      <w:marRight w:val="0"/>
      <w:marTop w:val="0"/>
      <w:marBottom w:val="0"/>
      <w:divBdr>
        <w:top w:val="none" w:sz="0" w:space="0" w:color="auto"/>
        <w:left w:val="none" w:sz="0" w:space="0" w:color="auto"/>
        <w:bottom w:val="none" w:sz="0" w:space="0" w:color="auto"/>
        <w:right w:val="none" w:sz="0" w:space="0" w:color="auto"/>
      </w:divBdr>
    </w:div>
    <w:div w:id="421226467">
      <w:bodyDiv w:val="1"/>
      <w:marLeft w:val="0"/>
      <w:marRight w:val="0"/>
      <w:marTop w:val="0"/>
      <w:marBottom w:val="0"/>
      <w:divBdr>
        <w:top w:val="none" w:sz="0" w:space="0" w:color="auto"/>
        <w:left w:val="none" w:sz="0" w:space="0" w:color="auto"/>
        <w:bottom w:val="none" w:sz="0" w:space="0" w:color="auto"/>
        <w:right w:val="none" w:sz="0" w:space="0" w:color="auto"/>
      </w:divBdr>
    </w:div>
    <w:div w:id="421612665">
      <w:bodyDiv w:val="1"/>
      <w:marLeft w:val="0"/>
      <w:marRight w:val="0"/>
      <w:marTop w:val="0"/>
      <w:marBottom w:val="0"/>
      <w:divBdr>
        <w:top w:val="none" w:sz="0" w:space="0" w:color="auto"/>
        <w:left w:val="none" w:sz="0" w:space="0" w:color="auto"/>
        <w:bottom w:val="none" w:sz="0" w:space="0" w:color="auto"/>
        <w:right w:val="none" w:sz="0" w:space="0" w:color="auto"/>
      </w:divBdr>
    </w:div>
    <w:div w:id="421951210">
      <w:bodyDiv w:val="1"/>
      <w:marLeft w:val="0"/>
      <w:marRight w:val="0"/>
      <w:marTop w:val="0"/>
      <w:marBottom w:val="0"/>
      <w:divBdr>
        <w:top w:val="none" w:sz="0" w:space="0" w:color="auto"/>
        <w:left w:val="none" w:sz="0" w:space="0" w:color="auto"/>
        <w:bottom w:val="none" w:sz="0" w:space="0" w:color="auto"/>
        <w:right w:val="none" w:sz="0" w:space="0" w:color="auto"/>
      </w:divBdr>
    </w:div>
    <w:div w:id="422605359">
      <w:bodyDiv w:val="1"/>
      <w:marLeft w:val="0"/>
      <w:marRight w:val="0"/>
      <w:marTop w:val="0"/>
      <w:marBottom w:val="0"/>
      <w:divBdr>
        <w:top w:val="none" w:sz="0" w:space="0" w:color="auto"/>
        <w:left w:val="none" w:sz="0" w:space="0" w:color="auto"/>
        <w:bottom w:val="none" w:sz="0" w:space="0" w:color="auto"/>
        <w:right w:val="none" w:sz="0" w:space="0" w:color="auto"/>
      </w:divBdr>
    </w:div>
    <w:div w:id="424544518">
      <w:bodyDiv w:val="1"/>
      <w:marLeft w:val="0"/>
      <w:marRight w:val="0"/>
      <w:marTop w:val="0"/>
      <w:marBottom w:val="0"/>
      <w:divBdr>
        <w:top w:val="none" w:sz="0" w:space="0" w:color="auto"/>
        <w:left w:val="none" w:sz="0" w:space="0" w:color="auto"/>
        <w:bottom w:val="none" w:sz="0" w:space="0" w:color="auto"/>
        <w:right w:val="none" w:sz="0" w:space="0" w:color="auto"/>
      </w:divBdr>
    </w:div>
    <w:div w:id="426275750">
      <w:bodyDiv w:val="1"/>
      <w:marLeft w:val="0"/>
      <w:marRight w:val="0"/>
      <w:marTop w:val="0"/>
      <w:marBottom w:val="0"/>
      <w:divBdr>
        <w:top w:val="none" w:sz="0" w:space="0" w:color="auto"/>
        <w:left w:val="none" w:sz="0" w:space="0" w:color="auto"/>
        <w:bottom w:val="none" w:sz="0" w:space="0" w:color="auto"/>
        <w:right w:val="none" w:sz="0" w:space="0" w:color="auto"/>
      </w:divBdr>
    </w:div>
    <w:div w:id="426540422">
      <w:bodyDiv w:val="1"/>
      <w:marLeft w:val="0"/>
      <w:marRight w:val="0"/>
      <w:marTop w:val="0"/>
      <w:marBottom w:val="0"/>
      <w:divBdr>
        <w:top w:val="none" w:sz="0" w:space="0" w:color="auto"/>
        <w:left w:val="none" w:sz="0" w:space="0" w:color="auto"/>
        <w:bottom w:val="none" w:sz="0" w:space="0" w:color="auto"/>
        <w:right w:val="none" w:sz="0" w:space="0" w:color="auto"/>
      </w:divBdr>
    </w:div>
    <w:div w:id="427819095">
      <w:bodyDiv w:val="1"/>
      <w:marLeft w:val="0"/>
      <w:marRight w:val="0"/>
      <w:marTop w:val="0"/>
      <w:marBottom w:val="0"/>
      <w:divBdr>
        <w:top w:val="none" w:sz="0" w:space="0" w:color="auto"/>
        <w:left w:val="none" w:sz="0" w:space="0" w:color="auto"/>
        <w:bottom w:val="none" w:sz="0" w:space="0" w:color="auto"/>
        <w:right w:val="none" w:sz="0" w:space="0" w:color="auto"/>
      </w:divBdr>
    </w:div>
    <w:div w:id="430584674">
      <w:bodyDiv w:val="1"/>
      <w:marLeft w:val="0"/>
      <w:marRight w:val="0"/>
      <w:marTop w:val="0"/>
      <w:marBottom w:val="0"/>
      <w:divBdr>
        <w:top w:val="none" w:sz="0" w:space="0" w:color="auto"/>
        <w:left w:val="none" w:sz="0" w:space="0" w:color="auto"/>
        <w:bottom w:val="none" w:sz="0" w:space="0" w:color="auto"/>
        <w:right w:val="none" w:sz="0" w:space="0" w:color="auto"/>
      </w:divBdr>
    </w:div>
    <w:div w:id="431629305">
      <w:bodyDiv w:val="1"/>
      <w:marLeft w:val="0"/>
      <w:marRight w:val="0"/>
      <w:marTop w:val="0"/>
      <w:marBottom w:val="0"/>
      <w:divBdr>
        <w:top w:val="none" w:sz="0" w:space="0" w:color="auto"/>
        <w:left w:val="none" w:sz="0" w:space="0" w:color="auto"/>
        <w:bottom w:val="none" w:sz="0" w:space="0" w:color="auto"/>
        <w:right w:val="none" w:sz="0" w:space="0" w:color="auto"/>
      </w:divBdr>
    </w:div>
    <w:div w:id="435180045">
      <w:bodyDiv w:val="1"/>
      <w:marLeft w:val="0"/>
      <w:marRight w:val="0"/>
      <w:marTop w:val="0"/>
      <w:marBottom w:val="0"/>
      <w:divBdr>
        <w:top w:val="none" w:sz="0" w:space="0" w:color="auto"/>
        <w:left w:val="none" w:sz="0" w:space="0" w:color="auto"/>
        <w:bottom w:val="none" w:sz="0" w:space="0" w:color="auto"/>
        <w:right w:val="none" w:sz="0" w:space="0" w:color="auto"/>
      </w:divBdr>
    </w:div>
    <w:div w:id="436602203">
      <w:bodyDiv w:val="1"/>
      <w:marLeft w:val="0"/>
      <w:marRight w:val="0"/>
      <w:marTop w:val="0"/>
      <w:marBottom w:val="0"/>
      <w:divBdr>
        <w:top w:val="none" w:sz="0" w:space="0" w:color="auto"/>
        <w:left w:val="none" w:sz="0" w:space="0" w:color="auto"/>
        <w:bottom w:val="none" w:sz="0" w:space="0" w:color="auto"/>
        <w:right w:val="none" w:sz="0" w:space="0" w:color="auto"/>
      </w:divBdr>
    </w:div>
    <w:div w:id="437917674">
      <w:bodyDiv w:val="1"/>
      <w:marLeft w:val="0"/>
      <w:marRight w:val="0"/>
      <w:marTop w:val="0"/>
      <w:marBottom w:val="0"/>
      <w:divBdr>
        <w:top w:val="none" w:sz="0" w:space="0" w:color="auto"/>
        <w:left w:val="none" w:sz="0" w:space="0" w:color="auto"/>
        <w:bottom w:val="none" w:sz="0" w:space="0" w:color="auto"/>
        <w:right w:val="none" w:sz="0" w:space="0" w:color="auto"/>
      </w:divBdr>
    </w:div>
    <w:div w:id="438840608">
      <w:bodyDiv w:val="1"/>
      <w:marLeft w:val="0"/>
      <w:marRight w:val="0"/>
      <w:marTop w:val="0"/>
      <w:marBottom w:val="0"/>
      <w:divBdr>
        <w:top w:val="none" w:sz="0" w:space="0" w:color="auto"/>
        <w:left w:val="none" w:sz="0" w:space="0" w:color="auto"/>
        <w:bottom w:val="none" w:sz="0" w:space="0" w:color="auto"/>
        <w:right w:val="none" w:sz="0" w:space="0" w:color="auto"/>
      </w:divBdr>
    </w:div>
    <w:div w:id="440075336">
      <w:bodyDiv w:val="1"/>
      <w:marLeft w:val="0"/>
      <w:marRight w:val="0"/>
      <w:marTop w:val="0"/>
      <w:marBottom w:val="0"/>
      <w:divBdr>
        <w:top w:val="none" w:sz="0" w:space="0" w:color="auto"/>
        <w:left w:val="none" w:sz="0" w:space="0" w:color="auto"/>
        <w:bottom w:val="none" w:sz="0" w:space="0" w:color="auto"/>
        <w:right w:val="none" w:sz="0" w:space="0" w:color="auto"/>
      </w:divBdr>
    </w:div>
    <w:div w:id="441069513">
      <w:bodyDiv w:val="1"/>
      <w:marLeft w:val="0"/>
      <w:marRight w:val="0"/>
      <w:marTop w:val="0"/>
      <w:marBottom w:val="0"/>
      <w:divBdr>
        <w:top w:val="none" w:sz="0" w:space="0" w:color="auto"/>
        <w:left w:val="none" w:sz="0" w:space="0" w:color="auto"/>
        <w:bottom w:val="none" w:sz="0" w:space="0" w:color="auto"/>
        <w:right w:val="none" w:sz="0" w:space="0" w:color="auto"/>
      </w:divBdr>
    </w:div>
    <w:div w:id="442310645">
      <w:bodyDiv w:val="1"/>
      <w:marLeft w:val="0"/>
      <w:marRight w:val="0"/>
      <w:marTop w:val="0"/>
      <w:marBottom w:val="0"/>
      <w:divBdr>
        <w:top w:val="none" w:sz="0" w:space="0" w:color="auto"/>
        <w:left w:val="none" w:sz="0" w:space="0" w:color="auto"/>
        <w:bottom w:val="none" w:sz="0" w:space="0" w:color="auto"/>
        <w:right w:val="none" w:sz="0" w:space="0" w:color="auto"/>
      </w:divBdr>
    </w:div>
    <w:div w:id="445200854">
      <w:bodyDiv w:val="1"/>
      <w:marLeft w:val="0"/>
      <w:marRight w:val="0"/>
      <w:marTop w:val="0"/>
      <w:marBottom w:val="0"/>
      <w:divBdr>
        <w:top w:val="none" w:sz="0" w:space="0" w:color="auto"/>
        <w:left w:val="none" w:sz="0" w:space="0" w:color="auto"/>
        <w:bottom w:val="none" w:sz="0" w:space="0" w:color="auto"/>
        <w:right w:val="none" w:sz="0" w:space="0" w:color="auto"/>
      </w:divBdr>
    </w:div>
    <w:div w:id="449209828">
      <w:bodyDiv w:val="1"/>
      <w:marLeft w:val="0"/>
      <w:marRight w:val="0"/>
      <w:marTop w:val="0"/>
      <w:marBottom w:val="0"/>
      <w:divBdr>
        <w:top w:val="none" w:sz="0" w:space="0" w:color="auto"/>
        <w:left w:val="none" w:sz="0" w:space="0" w:color="auto"/>
        <w:bottom w:val="none" w:sz="0" w:space="0" w:color="auto"/>
        <w:right w:val="none" w:sz="0" w:space="0" w:color="auto"/>
      </w:divBdr>
    </w:div>
    <w:div w:id="450367572">
      <w:bodyDiv w:val="1"/>
      <w:marLeft w:val="0"/>
      <w:marRight w:val="0"/>
      <w:marTop w:val="0"/>
      <w:marBottom w:val="0"/>
      <w:divBdr>
        <w:top w:val="none" w:sz="0" w:space="0" w:color="auto"/>
        <w:left w:val="none" w:sz="0" w:space="0" w:color="auto"/>
        <w:bottom w:val="none" w:sz="0" w:space="0" w:color="auto"/>
        <w:right w:val="none" w:sz="0" w:space="0" w:color="auto"/>
      </w:divBdr>
    </w:div>
    <w:div w:id="450898368">
      <w:bodyDiv w:val="1"/>
      <w:marLeft w:val="0"/>
      <w:marRight w:val="0"/>
      <w:marTop w:val="0"/>
      <w:marBottom w:val="0"/>
      <w:divBdr>
        <w:top w:val="none" w:sz="0" w:space="0" w:color="auto"/>
        <w:left w:val="none" w:sz="0" w:space="0" w:color="auto"/>
        <w:bottom w:val="none" w:sz="0" w:space="0" w:color="auto"/>
        <w:right w:val="none" w:sz="0" w:space="0" w:color="auto"/>
      </w:divBdr>
    </w:div>
    <w:div w:id="450973732">
      <w:bodyDiv w:val="1"/>
      <w:marLeft w:val="0"/>
      <w:marRight w:val="0"/>
      <w:marTop w:val="0"/>
      <w:marBottom w:val="0"/>
      <w:divBdr>
        <w:top w:val="none" w:sz="0" w:space="0" w:color="auto"/>
        <w:left w:val="none" w:sz="0" w:space="0" w:color="auto"/>
        <w:bottom w:val="none" w:sz="0" w:space="0" w:color="auto"/>
        <w:right w:val="none" w:sz="0" w:space="0" w:color="auto"/>
      </w:divBdr>
    </w:div>
    <w:div w:id="451097201">
      <w:bodyDiv w:val="1"/>
      <w:marLeft w:val="0"/>
      <w:marRight w:val="0"/>
      <w:marTop w:val="0"/>
      <w:marBottom w:val="0"/>
      <w:divBdr>
        <w:top w:val="none" w:sz="0" w:space="0" w:color="auto"/>
        <w:left w:val="none" w:sz="0" w:space="0" w:color="auto"/>
        <w:bottom w:val="none" w:sz="0" w:space="0" w:color="auto"/>
        <w:right w:val="none" w:sz="0" w:space="0" w:color="auto"/>
      </w:divBdr>
    </w:div>
    <w:div w:id="452596001">
      <w:bodyDiv w:val="1"/>
      <w:marLeft w:val="0"/>
      <w:marRight w:val="0"/>
      <w:marTop w:val="0"/>
      <w:marBottom w:val="0"/>
      <w:divBdr>
        <w:top w:val="none" w:sz="0" w:space="0" w:color="auto"/>
        <w:left w:val="none" w:sz="0" w:space="0" w:color="auto"/>
        <w:bottom w:val="none" w:sz="0" w:space="0" w:color="auto"/>
        <w:right w:val="none" w:sz="0" w:space="0" w:color="auto"/>
      </w:divBdr>
    </w:div>
    <w:div w:id="452754210">
      <w:bodyDiv w:val="1"/>
      <w:marLeft w:val="0"/>
      <w:marRight w:val="0"/>
      <w:marTop w:val="0"/>
      <w:marBottom w:val="0"/>
      <w:divBdr>
        <w:top w:val="none" w:sz="0" w:space="0" w:color="auto"/>
        <w:left w:val="none" w:sz="0" w:space="0" w:color="auto"/>
        <w:bottom w:val="none" w:sz="0" w:space="0" w:color="auto"/>
        <w:right w:val="none" w:sz="0" w:space="0" w:color="auto"/>
      </w:divBdr>
    </w:div>
    <w:div w:id="452870127">
      <w:bodyDiv w:val="1"/>
      <w:marLeft w:val="0"/>
      <w:marRight w:val="0"/>
      <w:marTop w:val="0"/>
      <w:marBottom w:val="0"/>
      <w:divBdr>
        <w:top w:val="none" w:sz="0" w:space="0" w:color="auto"/>
        <w:left w:val="none" w:sz="0" w:space="0" w:color="auto"/>
        <w:bottom w:val="none" w:sz="0" w:space="0" w:color="auto"/>
        <w:right w:val="none" w:sz="0" w:space="0" w:color="auto"/>
      </w:divBdr>
    </w:div>
    <w:div w:id="454180119">
      <w:bodyDiv w:val="1"/>
      <w:marLeft w:val="0"/>
      <w:marRight w:val="0"/>
      <w:marTop w:val="0"/>
      <w:marBottom w:val="0"/>
      <w:divBdr>
        <w:top w:val="none" w:sz="0" w:space="0" w:color="auto"/>
        <w:left w:val="none" w:sz="0" w:space="0" w:color="auto"/>
        <w:bottom w:val="none" w:sz="0" w:space="0" w:color="auto"/>
        <w:right w:val="none" w:sz="0" w:space="0" w:color="auto"/>
      </w:divBdr>
    </w:div>
    <w:div w:id="454451757">
      <w:bodyDiv w:val="1"/>
      <w:marLeft w:val="0"/>
      <w:marRight w:val="0"/>
      <w:marTop w:val="0"/>
      <w:marBottom w:val="0"/>
      <w:divBdr>
        <w:top w:val="none" w:sz="0" w:space="0" w:color="auto"/>
        <w:left w:val="none" w:sz="0" w:space="0" w:color="auto"/>
        <w:bottom w:val="none" w:sz="0" w:space="0" w:color="auto"/>
        <w:right w:val="none" w:sz="0" w:space="0" w:color="auto"/>
      </w:divBdr>
    </w:div>
    <w:div w:id="456026740">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6527433">
      <w:bodyDiv w:val="1"/>
      <w:marLeft w:val="0"/>
      <w:marRight w:val="0"/>
      <w:marTop w:val="0"/>
      <w:marBottom w:val="0"/>
      <w:divBdr>
        <w:top w:val="none" w:sz="0" w:space="0" w:color="auto"/>
        <w:left w:val="none" w:sz="0" w:space="0" w:color="auto"/>
        <w:bottom w:val="none" w:sz="0" w:space="0" w:color="auto"/>
        <w:right w:val="none" w:sz="0" w:space="0" w:color="auto"/>
      </w:divBdr>
    </w:div>
    <w:div w:id="456683841">
      <w:bodyDiv w:val="1"/>
      <w:marLeft w:val="0"/>
      <w:marRight w:val="0"/>
      <w:marTop w:val="0"/>
      <w:marBottom w:val="0"/>
      <w:divBdr>
        <w:top w:val="none" w:sz="0" w:space="0" w:color="auto"/>
        <w:left w:val="none" w:sz="0" w:space="0" w:color="auto"/>
        <w:bottom w:val="none" w:sz="0" w:space="0" w:color="auto"/>
        <w:right w:val="none" w:sz="0" w:space="0" w:color="auto"/>
      </w:divBdr>
    </w:div>
    <w:div w:id="457530527">
      <w:bodyDiv w:val="1"/>
      <w:marLeft w:val="0"/>
      <w:marRight w:val="0"/>
      <w:marTop w:val="0"/>
      <w:marBottom w:val="0"/>
      <w:divBdr>
        <w:top w:val="none" w:sz="0" w:space="0" w:color="auto"/>
        <w:left w:val="none" w:sz="0" w:space="0" w:color="auto"/>
        <w:bottom w:val="none" w:sz="0" w:space="0" w:color="auto"/>
        <w:right w:val="none" w:sz="0" w:space="0" w:color="auto"/>
      </w:divBdr>
    </w:div>
    <w:div w:id="458382787">
      <w:bodyDiv w:val="1"/>
      <w:marLeft w:val="0"/>
      <w:marRight w:val="0"/>
      <w:marTop w:val="0"/>
      <w:marBottom w:val="0"/>
      <w:divBdr>
        <w:top w:val="none" w:sz="0" w:space="0" w:color="auto"/>
        <w:left w:val="none" w:sz="0" w:space="0" w:color="auto"/>
        <w:bottom w:val="none" w:sz="0" w:space="0" w:color="auto"/>
        <w:right w:val="none" w:sz="0" w:space="0" w:color="auto"/>
      </w:divBdr>
    </w:div>
    <w:div w:id="461535310">
      <w:bodyDiv w:val="1"/>
      <w:marLeft w:val="0"/>
      <w:marRight w:val="0"/>
      <w:marTop w:val="0"/>
      <w:marBottom w:val="0"/>
      <w:divBdr>
        <w:top w:val="none" w:sz="0" w:space="0" w:color="auto"/>
        <w:left w:val="none" w:sz="0" w:space="0" w:color="auto"/>
        <w:bottom w:val="none" w:sz="0" w:space="0" w:color="auto"/>
        <w:right w:val="none" w:sz="0" w:space="0" w:color="auto"/>
      </w:divBdr>
    </w:div>
    <w:div w:id="461769851">
      <w:bodyDiv w:val="1"/>
      <w:marLeft w:val="0"/>
      <w:marRight w:val="0"/>
      <w:marTop w:val="0"/>
      <w:marBottom w:val="0"/>
      <w:divBdr>
        <w:top w:val="none" w:sz="0" w:space="0" w:color="auto"/>
        <w:left w:val="none" w:sz="0" w:space="0" w:color="auto"/>
        <w:bottom w:val="none" w:sz="0" w:space="0" w:color="auto"/>
        <w:right w:val="none" w:sz="0" w:space="0" w:color="auto"/>
      </w:divBdr>
    </w:div>
    <w:div w:id="461852113">
      <w:bodyDiv w:val="1"/>
      <w:marLeft w:val="0"/>
      <w:marRight w:val="0"/>
      <w:marTop w:val="0"/>
      <w:marBottom w:val="0"/>
      <w:divBdr>
        <w:top w:val="none" w:sz="0" w:space="0" w:color="auto"/>
        <w:left w:val="none" w:sz="0" w:space="0" w:color="auto"/>
        <w:bottom w:val="none" w:sz="0" w:space="0" w:color="auto"/>
        <w:right w:val="none" w:sz="0" w:space="0" w:color="auto"/>
      </w:divBdr>
    </w:div>
    <w:div w:id="462236328">
      <w:bodyDiv w:val="1"/>
      <w:marLeft w:val="0"/>
      <w:marRight w:val="0"/>
      <w:marTop w:val="0"/>
      <w:marBottom w:val="0"/>
      <w:divBdr>
        <w:top w:val="none" w:sz="0" w:space="0" w:color="auto"/>
        <w:left w:val="none" w:sz="0" w:space="0" w:color="auto"/>
        <w:bottom w:val="none" w:sz="0" w:space="0" w:color="auto"/>
        <w:right w:val="none" w:sz="0" w:space="0" w:color="auto"/>
      </w:divBdr>
    </w:div>
    <w:div w:id="463348574">
      <w:bodyDiv w:val="1"/>
      <w:marLeft w:val="0"/>
      <w:marRight w:val="0"/>
      <w:marTop w:val="0"/>
      <w:marBottom w:val="0"/>
      <w:divBdr>
        <w:top w:val="none" w:sz="0" w:space="0" w:color="auto"/>
        <w:left w:val="none" w:sz="0" w:space="0" w:color="auto"/>
        <w:bottom w:val="none" w:sz="0" w:space="0" w:color="auto"/>
        <w:right w:val="none" w:sz="0" w:space="0" w:color="auto"/>
      </w:divBdr>
    </w:div>
    <w:div w:id="465973768">
      <w:bodyDiv w:val="1"/>
      <w:marLeft w:val="0"/>
      <w:marRight w:val="0"/>
      <w:marTop w:val="0"/>
      <w:marBottom w:val="0"/>
      <w:divBdr>
        <w:top w:val="none" w:sz="0" w:space="0" w:color="auto"/>
        <w:left w:val="none" w:sz="0" w:space="0" w:color="auto"/>
        <w:bottom w:val="none" w:sz="0" w:space="0" w:color="auto"/>
        <w:right w:val="none" w:sz="0" w:space="0" w:color="auto"/>
      </w:divBdr>
    </w:div>
    <w:div w:id="468129732">
      <w:bodyDiv w:val="1"/>
      <w:marLeft w:val="0"/>
      <w:marRight w:val="0"/>
      <w:marTop w:val="0"/>
      <w:marBottom w:val="0"/>
      <w:divBdr>
        <w:top w:val="none" w:sz="0" w:space="0" w:color="auto"/>
        <w:left w:val="none" w:sz="0" w:space="0" w:color="auto"/>
        <w:bottom w:val="none" w:sz="0" w:space="0" w:color="auto"/>
        <w:right w:val="none" w:sz="0" w:space="0" w:color="auto"/>
      </w:divBdr>
    </w:div>
    <w:div w:id="471218899">
      <w:bodyDiv w:val="1"/>
      <w:marLeft w:val="0"/>
      <w:marRight w:val="0"/>
      <w:marTop w:val="0"/>
      <w:marBottom w:val="0"/>
      <w:divBdr>
        <w:top w:val="none" w:sz="0" w:space="0" w:color="auto"/>
        <w:left w:val="none" w:sz="0" w:space="0" w:color="auto"/>
        <w:bottom w:val="none" w:sz="0" w:space="0" w:color="auto"/>
        <w:right w:val="none" w:sz="0" w:space="0" w:color="auto"/>
      </w:divBdr>
    </w:div>
    <w:div w:id="471563310">
      <w:bodyDiv w:val="1"/>
      <w:marLeft w:val="0"/>
      <w:marRight w:val="0"/>
      <w:marTop w:val="0"/>
      <w:marBottom w:val="0"/>
      <w:divBdr>
        <w:top w:val="none" w:sz="0" w:space="0" w:color="auto"/>
        <w:left w:val="none" w:sz="0" w:space="0" w:color="auto"/>
        <w:bottom w:val="none" w:sz="0" w:space="0" w:color="auto"/>
        <w:right w:val="none" w:sz="0" w:space="0" w:color="auto"/>
      </w:divBdr>
    </w:div>
    <w:div w:id="472411967">
      <w:bodyDiv w:val="1"/>
      <w:marLeft w:val="0"/>
      <w:marRight w:val="0"/>
      <w:marTop w:val="0"/>
      <w:marBottom w:val="0"/>
      <w:divBdr>
        <w:top w:val="none" w:sz="0" w:space="0" w:color="auto"/>
        <w:left w:val="none" w:sz="0" w:space="0" w:color="auto"/>
        <w:bottom w:val="none" w:sz="0" w:space="0" w:color="auto"/>
        <w:right w:val="none" w:sz="0" w:space="0" w:color="auto"/>
      </w:divBdr>
    </w:div>
    <w:div w:id="472606244">
      <w:bodyDiv w:val="1"/>
      <w:marLeft w:val="0"/>
      <w:marRight w:val="0"/>
      <w:marTop w:val="0"/>
      <w:marBottom w:val="0"/>
      <w:divBdr>
        <w:top w:val="none" w:sz="0" w:space="0" w:color="auto"/>
        <w:left w:val="none" w:sz="0" w:space="0" w:color="auto"/>
        <w:bottom w:val="none" w:sz="0" w:space="0" w:color="auto"/>
        <w:right w:val="none" w:sz="0" w:space="0" w:color="auto"/>
      </w:divBdr>
    </w:div>
    <w:div w:id="472722301">
      <w:bodyDiv w:val="1"/>
      <w:marLeft w:val="0"/>
      <w:marRight w:val="0"/>
      <w:marTop w:val="0"/>
      <w:marBottom w:val="0"/>
      <w:divBdr>
        <w:top w:val="none" w:sz="0" w:space="0" w:color="auto"/>
        <w:left w:val="none" w:sz="0" w:space="0" w:color="auto"/>
        <w:bottom w:val="none" w:sz="0" w:space="0" w:color="auto"/>
        <w:right w:val="none" w:sz="0" w:space="0" w:color="auto"/>
      </w:divBdr>
    </w:div>
    <w:div w:id="472909827">
      <w:bodyDiv w:val="1"/>
      <w:marLeft w:val="0"/>
      <w:marRight w:val="0"/>
      <w:marTop w:val="0"/>
      <w:marBottom w:val="0"/>
      <w:divBdr>
        <w:top w:val="none" w:sz="0" w:space="0" w:color="auto"/>
        <w:left w:val="none" w:sz="0" w:space="0" w:color="auto"/>
        <w:bottom w:val="none" w:sz="0" w:space="0" w:color="auto"/>
        <w:right w:val="none" w:sz="0" w:space="0" w:color="auto"/>
      </w:divBdr>
    </w:div>
    <w:div w:id="473641031">
      <w:bodyDiv w:val="1"/>
      <w:marLeft w:val="0"/>
      <w:marRight w:val="0"/>
      <w:marTop w:val="0"/>
      <w:marBottom w:val="0"/>
      <w:divBdr>
        <w:top w:val="none" w:sz="0" w:space="0" w:color="auto"/>
        <w:left w:val="none" w:sz="0" w:space="0" w:color="auto"/>
        <w:bottom w:val="none" w:sz="0" w:space="0" w:color="auto"/>
        <w:right w:val="none" w:sz="0" w:space="0" w:color="auto"/>
      </w:divBdr>
    </w:div>
    <w:div w:id="475340340">
      <w:bodyDiv w:val="1"/>
      <w:marLeft w:val="0"/>
      <w:marRight w:val="0"/>
      <w:marTop w:val="0"/>
      <w:marBottom w:val="0"/>
      <w:divBdr>
        <w:top w:val="none" w:sz="0" w:space="0" w:color="auto"/>
        <w:left w:val="none" w:sz="0" w:space="0" w:color="auto"/>
        <w:bottom w:val="none" w:sz="0" w:space="0" w:color="auto"/>
        <w:right w:val="none" w:sz="0" w:space="0" w:color="auto"/>
      </w:divBdr>
    </w:div>
    <w:div w:id="475341878">
      <w:bodyDiv w:val="1"/>
      <w:marLeft w:val="0"/>
      <w:marRight w:val="0"/>
      <w:marTop w:val="0"/>
      <w:marBottom w:val="0"/>
      <w:divBdr>
        <w:top w:val="none" w:sz="0" w:space="0" w:color="auto"/>
        <w:left w:val="none" w:sz="0" w:space="0" w:color="auto"/>
        <w:bottom w:val="none" w:sz="0" w:space="0" w:color="auto"/>
        <w:right w:val="none" w:sz="0" w:space="0" w:color="auto"/>
      </w:divBdr>
    </w:div>
    <w:div w:id="478041097">
      <w:bodyDiv w:val="1"/>
      <w:marLeft w:val="0"/>
      <w:marRight w:val="0"/>
      <w:marTop w:val="0"/>
      <w:marBottom w:val="0"/>
      <w:divBdr>
        <w:top w:val="none" w:sz="0" w:space="0" w:color="auto"/>
        <w:left w:val="none" w:sz="0" w:space="0" w:color="auto"/>
        <w:bottom w:val="none" w:sz="0" w:space="0" w:color="auto"/>
        <w:right w:val="none" w:sz="0" w:space="0" w:color="auto"/>
      </w:divBdr>
    </w:div>
    <w:div w:id="478157083">
      <w:bodyDiv w:val="1"/>
      <w:marLeft w:val="0"/>
      <w:marRight w:val="0"/>
      <w:marTop w:val="0"/>
      <w:marBottom w:val="0"/>
      <w:divBdr>
        <w:top w:val="none" w:sz="0" w:space="0" w:color="auto"/>
        <w:left w:val="none" w:sz="0" w:space="0" w:color="auto"/>
        <w:bottom w:val="none" w:sz="0" w:space="0" w:color="auto"/>
        <w:right w:val="none" w:sz="0" w:space="0" w:color="auto"/>
      </w:divBdr>
    </w:div>
    <w:div w:id="479152230">
      <w:bodyDiv w:val="1"/>
      <w:marLeft w:val="0"/>
      <w:marRight w:val="0"/>
      <w:marTop w:val="0"/>
      <w:marBottom w:val="0"/>
      <w:divBdr>
        <w:top w:val="none" w:sz="0" w:space="0" w:color="auto"/>
        <w:left w:val="none" w:sz="0" w:space="0" w:color="auto"/>
        <w:bottom w:val="none" w:sz="0" w:space="0" w:color="auto"/>
        <w:right w:val="none" w:sz="0" w:space="0" w:color="auto"/>
      </w:divBdr>
    </w:div>
    <w:div w:id="479271090">
      <w:bodyDiv w:val="1"/>
      <w:marLeft w:val="0"/>
      <w:marRight w:val="0"/>
      <w:marTop w:val="0"/>
      <w:marBottom w:val="0"/>
      <w:divBdr>
        <w:top w:val="none" w:sz="0" w:space="0" w:color="auto"/>
        <w:left w:val="none" w:sz="0" w:space="0" w:color="auto"/>
        <w:bottom w:val="none" w:sz="0" w:space="0" w:color="auto"/>
        <w:right w:val="none" w:sz="0" w:space="0" w:color="auto"/>
      </w:divBdr>
    </w:div>
    <w:div w:id="480198371">
      <w:bodyDiv w:val="1"/>
      <w:marLeft w:val="0"/>
      <w:marRight w:val="0"/>
      <w:marTop w:val="0"/>
      <w:marBottom w:val="0"/>
      <w:divBdr>
        <w:top w:val="none" w:sz="0" w:space="0" w:color="auto"/>
        <w:left w:val="none" w:sz="0" w:space="0" w:color="auto"/>
        <w:bottom w:val="none" w:sz="0" w:space="0" w:color="auto"/>
        <w:right w:val="none" w:sz="0" w:space="0" w:color="auto"/>
      </w:divBdr>
    </w:div>
    <w:div w:id="480343668">
      <w:bodyDiv w:val="1"/>
      <w:marLeft w:val="0"/>
      <w:marRight w:val="0"/>
      <w:marTop w:val="0"/>
      <w:marBottom w:val="0"/>
      <w:divBdr>
        <w:top w:val="none" w:sz="0" w:space="0" w:color="auto"/>
        <w:left w:val="none" w:sz="0" w:space="0" w:color="auto"/>
        <w:bottom w:val="none" w:sz="0" w:space="0" w:color="auto"/>
        <w:right w:val="none" w:sz="0" w:space="0" w:color="auto"/>
      </w:divBdr>
    </w:div>
    <w:div w:id="480386576">
      <w:bodyDiv w:val="1"/>
      <w:marLeft w:val="0"/>
      <w:marRight w:val="0"/>
      <w:marTop w:val="0"/>
      <w:marBottom w:val="0"/>
      <w:divBdr>
        <w:top w:val="none" w:sz="0" w:space="0" w:color="auto"/>
        <w:left w:val="none" w:sz="0" w:space="0" w:color="auto"/>
        <w:bottom w:val="none" w:sz="0" w:space="0" w:color="auto"/>
        <w:right w:val="none" w:sz="0" w:space="0" w:color="auto"/>
      </w:divBdr>
    </w:div>
    <w:div w:id="480538407">
      <w:bodyDiv w:val="1"/>
      <w:marLeft w:val="0"/>
      <w:marRight w:val="0"/>
      <w:marTop w:val="0"/>
      <w:marBottom w:val="0"/>
      <w:divBdr>
        <w:top w:val="none" w:sz="0" w:space="0" w:color="auto"/>
        <w:left w:val="none" w:sz="0" w:space="0" w:color="auto"/>
        <w:bottom w:val="none" w:sz="0" w:space="0" w:color="auto"/>
        <w:right w:val="none" w:sz="0" w:space="0" w:color="auto"/>
      </w:divBdr>
    </w:div>
    <w:div w:id="480542284">
      <w:bodyDiv w:val="1"/>
      <w:marLeft w:val="0"/>
      <w:marRight w:val="0"/>
      <w:marTop w:val="0"/>
      <w:marBottom w:val="0"/>
      <w:divBdr>
        <w:top w:val="none" w:sz="0" w:space="0" w:color="auto"/>
        <w:left w:val="none" w:sz="0" w:space="0" w:color="auto"/>
        <w:bottom w:val="none" w:sz="0" w:space="0" w:color="auto"/>
        <w:right w:val="none" w:sz="0" w:space="0" w:color="auto"/>
      </w:divBdr>
    </w:div>
    <w:div w:id="481047869">
      <w:bodyDiv w:val="1"/>
      <w:marLeft w:val="0"/>
      <w:marRight w:val="0"/>
      <w:marTop w:val="0"/>
      <w:marBottom w:val="0"/>
      <w:divBdr>
        <w:top w:val="none" w:sz="0" w:space="0" w:color="auto"/>
        <w:left w:val="none" w:sz="0" w:space="0" w:color="auto"/>
        <w:bottom w:val="none" w:sz="0" w:space="0" w:color="auto"/>
        <w:right w:val="none" w:sz="0" w:space="0" w:color="auto"/>
      </w:divBdr>
    </w:div>
    <w:div w:id="481194865">
      <w:bodyDiv w:val="1"/>
      <w:marLeft w:val="0"/>
      <w:marRight w:val="0"/>
      <w:marTop w:val="0"/>
      <w:marBottom w:val="0"/>
      <w:divBdr>
        <w:top w:val="none" w:sz="0" w:space="0" w:color="auto"/>
        <w:left w:val="none" w:sz="0" w:space="0" w:color="auto"/>
        <w:bottom w:val="none" w:sz="0" w:space="0" w:color="auto"/>
        <w:right w:val="none" w:sz="0" w:space="0" w:color="auto"/>
      </w:divBdr>
    </w:div>
    <w:div w:id="481233799">
      <w:bodyDiv w:val="1"/>
      <w:marLeft w:val="0"/>
      <w:marRight w:val="0"/>
      <w:marTop w:val="0"/>
      <w:marBottom w:val="0"/>
      <w:divBdr>
        <w:top w:val="none" w:sz="0" w:space="0" w:color="auto"/>
        <w:left w:val="none" w:sz="0" w:space="0" w:color="auto"/>
        <w:bottom w:val="none" w:sz="0" w:space="0" w:color="auto"/>
        <w:right w:val="none" w:sz="0" w:space="0" w:color="auto"/>
      </w:divBdr>
    </w:div>
    <w:div w:id="482699285">
      <w:bodyDiv w:val="1"/>
      <w:marLeft w:val="0"/>
      <w:marRight w:val="0"/>
      <w:marTop w:val="0"/>
      <w:marBottom w:val="0"/>
      <w:divBdr>
        <w:top w:val="none" w:sz="0" w:space="0" w:color="auto"/>
        <w:left w:val="none" w:sz="0" w:space="0" w:color="auto"/>
        <w:bottom w:val="none" w:sz="0" w:space="0" w:color="auto"/>
        <w:right w:val="none" w:sz="0" w:space="0" w:color="auto"/>
      </w:divBdr>
    </w:div>
    <w:div w:id="483201901">
      <w:bodyDiv w:val="1"/>
      <w:marLeft w:val="0"/>
      <w:marRight w:val="0"/>
      <w:marTop w:val="0"/>
      <w:marBottom w:val="0"/>
      <w:divBdr>
        <w:top w:val="none" w:sz="0" w:space="0" w:color="auto"/>
        <w:left w:val="none" w:sz="0" w:space="0" w:color="auto"/>
        <w:bottom w:val="none" w:sz="0" w:space="0" w:color="auto"/>
        <w:right w:val="none" w:sz="0" w:space="0" w:color="auto"/>
      </w:divBdr>
    </w:div>
    <w:div w:id="488252663">
      <w:bodyDiv w:val="1"/>
      <w:marLeft w:val="0"/>
      <w:marRight w:val="0"/>
      <w:marTop w:val="0"/>
      <w:marBottom w:val="0"/>
      <w:divBdr>
        <w:top w:val="none" w:sz="0" w:space="0" w:color="auto"/>
        <w:left w:val="none" w:sz="0" w:space="0" w:color="auto"/>
        <w:bottom w:val="none" w:sz="0" w:space="0" w:color="auto"/>
        <w:right w:val="none" w:sz="0" w:space="0" w:color="auto"/>
      </w:divBdr>
    </w:div>
    <w:div w:id="488326925">
      <w:bodyDiv w:val="1"/>
      <w:marLeft w:val="0"/>
      <w:marRight w:val="0"/>
      <w:marTop w:val="0"/>
      <w:marBottom w:val="0"/>
      <w:divBdr>
        <w:top w:val="none" w:sz="0" w:space="0" w:color="auto"/>
        <w:left w:val="none" w:sz="0" w:space="0" w:color="auto"/>
        <w:bottom w:val="none" w:sz="0" w:space="0" w:color="auto"/>
        <w:right w:val="none" w:sz="0" w:space="0" w:color="auto"/>
      </w:divBdr>
    </w:div>
    <w:div w:id="490408561">
      <w:bodyDiv w:val="1"/>
      <w:marLeft w:val="0"/>
      <w:marRight w:val="0"/>
      <w:marTop w:val="0"/>
      <w:marBottom w:val="0"/>
      <w:divBdr>
        <w:top w:val="none" w:sz="0" w:space="0" w:color="auto"/>
        <w:left w:val="none" w:sz="0" w:space="0" w:color="auto"/>
        <w:bottom w:val="none" w:sz="0" w:space="0" w:color="auto"/>
        <w:right w:val="none" w:sz="0" w:space="0" w:color="auto"/>
      </w:divBdr>
    </w:div>
    <w:div w:id="491264504">
      <w:bodyDiv w:val="1"/>
      <w:marLeft w:val="0"/>
      <w:marRight w:val="0"/>
      <w:marTop w:val="0"/>
      <w:marBottom w:val="0"/>
      <w:divBdr>
        <w:top w:val="none" w:sz="0" w:space="0" w:color="auto"/>
        <w:left w:val="none" w:sz="0" w:space="0" w:color="auto"/>
        <w:bottom w:val="none" w:sz="0" w:space="0" w:color="auto"/>
        <w:right w:val="none" w:sz="0" w:space="0" w:color="auto"/>
      </w:divBdr>
    </w:div>
    <w:div w:id="493910896">
      <w:bodyDiv w:val="1"/>
      <w:marLeft w:val="0"/>
      <w:marRight w:val="0"/>
      <w:marTop w:val="0"/>
      <w:marBottom w:val="0"/>
      <w:divBdr>
        <w:top w:val="none" w:sz="0" w:space="0" w:color="auto"/>
        <w:left w:val="none" w:sz="0" w:space="0" w:color="auto"/>
        <w:bottom w:val="none" w:sz="0" w:space="0" w:color="auto"/>
        <w:right w:val="none" w:sz="0" w:space="0" w:color="auto"/>
      </w:divBdr>
    </w:div>
    <w:div w:id="494151276">
      <w:bodyDiv w:val="1"/>
      <w:marLeft w:val="0"/>
      <w:marRight w:val="0"/>
      <w:marTop w:val="0"/>
      <w:marBottom w:val="0"/>
      <w:divBdr>
        <w:top w:val="none" w:sz="0" w:space="0" w:color="auto"/>
        <w:left w:val="none" w:sz="0" w:space="0" w:color="auto"/>
        <w:bottom w:val="none" w:sz="0" w:space="0" w:color="auto"/>
        <w:right w:val="none" w:sz="0" w:space="0" w:color="auto"/>
      </w:divBdr>
    </w:div>
    <w:div w:id="494226076">
      <w:bodyDiv w:val="1"/>
      <w:marLeft w:val="0"/>
      <w:marRight w:val="0"/>
      <w:marTop w:val="0"/>
      <w:marBottom w:val="0"/>
      <w:divBdr>
        <w:top w:val="none" w:sz="0" w:space="0" w:color="auto"/>
        <w:left w:val="none" w:sz="0" w:space="0" w:color="auto"/>
        <w:bottom w:val="none" w:sz="0" w:space="0" w:color="auto"/>
        <w:right w:val="none" w:sz="0" w:space="0" w:color="auto"/>
      </w:divBdr>
    </w:div>
    <w:div w:id="494691219">
      <w:bodyDiv w:val="1"/>
      <w:marLeft w:val="0"/>
      <w:marRight w:val="0"/>
      <w:marTop w:val="0"/>
      <w:marBottom w:val="0"/>
      <w:divBdr>
        <w:top w:val="none" w:sz="0" w:space="0" w:color="auto"/>
        <w:left w:val="none" w:sz="0" w:space="0" w:color="auto"/>
        <w:bottom w:val="none" w:sz="0" w:space="0" w:color="auto"/>
        <w:right w:val="none" w:sz="0" w:space="0" w:color="auto"/>
      </w:divBdr>
    </w:div>
    <w:div w:id="495418798">
      <w:bodyDiv w:val="1"/>
      <w:marLeft w:val="0"/>
      <w:marRight w:val="0"/>
      <w:marTop w:val="0"/>
      <w:marBottom w:val="0"/>
      <w:divBdr>
        <w:top w:val="none" w:sz="0" w:space="0" w:color="auto"/>
        <w:left w:val="none" w:sz="0" w:space="0" w:color="auto"/>
        <w:bottom w:val="none" w:sz="0" w:space="0" w:color="auto"/>
        <w:right w:val="none" w:sz="0" w:space="0" w:color="auto"/>
      </w:divBdr>
    </w:div>
    <w:div w:id="498082550">
      <w:bodyDiv w:val="1"/>
      <w:marLeft w:val="0"/>
      <w:marRight w:val="0"/>
      <w:marTop w:val="0"/>
      <w:marBottom w:val="0"/>
      <w:divBdr>
        <w:top w:val="none" w:sz="0" w:space="0" w:color="auto"/>
        <w:left w:val="none" w:sz="0" w:space="0" w:color="auto"/>
        <w:bottom w:val="none" w:sz="0" w:space="0" w:color="auto"/>
        <w:right w:val="none" w:sz="0" w:space="0" w:color="auto"/>
      </w:divBdr>
    </w:div>
    <w:div w:id="498470279">
      <w:bodyDiv w:val="1"/>
      <w:marLeft w:val="0"/>
      <w:marRight w:val="0"/>
      <w:marTop w:val="0"/>
      <w:marBottom w:val="0"/>
      <w:divBdr>
        <w:top w:val="none" w:sz="0" w:space="0" w:color="auto"/>
        <w:left w:val="none" w:sz="0" w:space="0" w:color="auto"/>
        <w:bottom w:val="none" w:sz="0" w:space="0" w:color="auto"/>
        <w:right w:val="none" w:sz="0" w:space="0" w:color="auto"/>
      </w:divBdr>
    </w:div>
    <w:div w:id="499009555">
      <w:bodyDiv w:val="1"/>
      <w:marLeft w:val="0"/>
      <w:marRight w:val="0"/>
      <w:marTop w:val="0"/>
      <w:marBottom w:val="0"/>
      <w:divBdr>
        <w:top w:val="none" w:sz="0" w:space="0" w:color="auto"/>
        <w:left w:val="none" w:sz="0" w:space="0" w:color="auto"/>
        <w:bottom w:val="none" w:sz="0" w:space="0" w:color="auto"/>
        <w:right w:val="none" w:sz="0" w:space="0" w:color="auto"/>
      </w:divBdr>
    </w:div>
    <w:div w:id="499928479">
      <w:bodyDiv w:val="1"/>
      <w:marLeft w:val="0"/>
      <w:marRight w:val="0"/>
      <w:marTop w:val="0"/>
      <w:marBottom w:val="0"/>
      <w:divBdr>
        <w:top w:val="none" w:sz="0" w:space="0" w:color="auto"/>
        <w:left w:val="none" w:sz="0" w:space="0" w:color="auto"/>
        <w:bottom w:val="none" w:sz="0" w:space="0" w:color="auto"/>
        <w:right w:val="none" w:sz="0" w:space="0" w:color="auto"/>
      </w:divBdr>
    </w:div>
    <w:div w:id="502092482">
      <w:bodyDiv w:val="1"/>
      <w:marLeft w:val="0"/>
      <w:marRight w:val="0"/>
      <w:marTop w:val="0"/>
      <w:marBottom w:val="0"/>
      <w:divBdr>
        <w:top w:val="none" w:sz="0" w:space="0" w:color="auto"/>
        <w:left w:val="none" w:sz="0" w:space="0" w:color="auto"/>
        <w:bottom w:val="none" w:sz="0" w:space="0" w:color="auto"/>
        <w:right w:val="none" w:sz="0" w:space="0" w:color="auto"/>
      </w:divBdr>
    </w:div>
    <w:div w:id="502354427">
      <w:bodyDiv w:val="1"/>
      <w:marLeft w:val="0"/>
      <w:marRight w:val="0"/>
      <w:marTop w:val="0"/>
      <w:marBottom w:val="0"/>
      <w:divBdr>
        <w:top w:val="none" w:sz="0" w:space="0" w:color="auto"/>
        <w:left w:val="none" w:sz="0" w:space="0" w:color="auto"/>
        <w:bottom w:val="none" w:sz="0" w:space="0" w:color="auto"/>
        <w:right w:val="none" w:sz="0" w:space="0" w:color="auto"/>
      </w:divBdr>
    </w:div>
    <w:div w:id="505169251">
      <w:bodyDiv w:val="1"/>
      <w:marLeft w:val="0"/>
      <w:marRight w:val="0"/>
      <w:marTop w:val="0"/>
      <w:marBottom w:val="0"/>
      <w:divBdr>
        <w:top w:val="none" w:sz="0" w:space="0" w:color="auto"/>
        <w:left w:val="none" w:sz="0" w:space="0" w:color="auto"/>
        <w:bottom w:val="none" w:sz="0" w:space="0" w:color="auto"/>
        <w:right w:val="none" w:sz="0" w:space="0" w:color="auto"/>
      </w:divBdr>
    </w:div>
    <w:div w:id="506167246">
      <w:bodyDiv w:val="1"/>
      <w:marLeft w:val="0"/>
      <w:marRight w:val="0"/>
      <w:marTop w:val="0"/>
      <w:marBottom w:val="0"/>
      <w:divBdr>
        <w:top w:val="none" w:sz="0" w:space="0" w:color="auto"/>
        <w:left w:val="none" w:sz="0" w:space="0" w:color="auto"/>
        <w:bottom w:val="none" w:sz="0" w:space="0" w:color="auto"/>
        <w:right w:val="none" w:sz="0" w:space="0" w:color="auto"/>
      </w:divBdr>
    </w:div>
    <w:div w:id="506598483">
      <w:bodyDiv w:val="1"/>
      <w:marLeft w:val="0"/>
      <w:marRight w:val="0"/>
      <w:marTop w:val="0"/>
      <w:marBottom w:val="0"/>
      <w:divBdr>
        <w:top w:val="none" w:sz="0" w:space="0" w:color="auto"/>
        <w:left w:val="none" w:sz="0" w:space="0" w:color="auto"/>
        <w:bottom w:val="none" w:sz="0" w:space="0" w:color="auto"/>
        <w:right w:val="none" w:sz="0" w:space="0" w:color="auto"/>
      </w:divBdr>
    </w:div>
    <w:div w:id="506987324">
      <w:bodyDiv w:val="1"/>
      <w:marLeft w:val="0"/>
      <w:marRight w:val="0"/>
      <w:marTop w:val="0"/>
      <w:marBottom w:val="0"/>
      <w:divBdr>
        <w:top w:val="none" w:sz="0" w:space="0" w:color="auto"/>
        <w:left w:val="none" w:sz="0" w:space="0" w:color="auto"/>
        <w:bottom w:val="none" w:sz="0" w:space="0" w:color="auto"/>
        <w:right w:val="none" w:sz="0" w:space="0" w:color="auto"/>
      </w:divBdr>
    </w:div>
    <w:div w:id="509686410">
      <w:bodyDiv w:val="1"/>
      <w:marLeft w:val="0"/>
      <w:marRight w:val="0"/>
      <w:marTop w:val="0"/>
      <w:marBottom w:val="0"/>
      <w:divBdr>
        <w:top w:val="none" w:sz="0" w:space="0" w:color="auto"/>
        <w:left w:val="none" w:sz="0" w:space="0" w:color="auto"/>
        <w:bottom w:val="none" w:sz="0" w:space="0" w:color="auto"/>
        <w:right w:val="none" w:sz="0" w:space="0" w:color="auto"/>
      </w:divBdr>
    </w:div>
    <w:div w:id="510492534">
      <w:bodyDiv w:val="1"/>
      <w:marLeft w:val="0"/>
      <w:marRight w:val="0"/>
      <w:marTop w:val="0"/>
      <w:marBottom w:val="0"/>
      <w:divBdr>
        <w:top w:val="none" w:sz="0" w:space="0" w:color="auto"/>
        <w:left w:val="none" w:sz="0" w:space="0" w:color="auto"/>
        <w:bottom w:val="none" w:sz="0" w:space="0" w:color="auto"/>
        <w:right w:val="none" w:sz="0" w:space="0" w:color="auto"/>
      </w:divBdr>
    </w:div>
    <w:div w:id="512034571">
      <w:bodyDiv w:val="1"/>
      <w:marLeft w:val="0"/>
      <w:marRight w:val="0"/>
      <w:marTop w:val="0"/>
      <w:marBottom w:val="0"/>
      <w:divBdr>
        <w:top w:val="none" w:sz="0" w:space="0" w:color="auto"/>
        <w:left w:val="none" w:sz="0" w:space="0" w:color="auto"/>
        <w:bottom w:val="none" w:sz="0" w:space="0" w:color="auto"/>
        <w:right w:val="none" w:sz="0" w:space="0" w:color="auto"/>
      </w:divBdr>
    </w:div>
    <w:div w:id="513541522">
      <w:bodyDiv w:val="1"/>
      <w:marLeft w:val="0"/>
      <w:marRight w:val="0"/>
      <w:marTop w:val="0"/>
      <w:marBottom w:val="0"/>
      <w:divBdr>
        <w:top w:val="none" w:sz="0" w:space="0" w:color="auto"/>
        <w:left w:val="none" w:sz="0" w:space="0" w:color="auto"/>
        <w:bottom w:val="none" w:sz="0" w:space="0" w:color="auto"/>
        <w:right w:val="none" w:sz="0" w:space="0" w:color="auto"/>
      </w:divBdr>
    </w:div>
    <w:div w:id="514155949">
      <w:bodyDiv w:val="1"/>
      <w:marLeft w:val="0"/>
      <w:marRight w:val="0"/>
      <w:marTop w:val="0"/>
      <w:marBottom w:val="0"/>
      <w:divBdr>
        <w:top w:val="none" w:sz="0" w:space="0" w:color="auto"/>
        <w:left w:val="none" w:sz="0" w:space="0" w:color="auto"/>
        <w:bottom w:val="none" w:sz="0" w:space="0" w:color="auto"/>
        <w:right w:val="none" w:sz="0" w:space="0" w:color="auto"/>
      </w:divBdr>
    </w:div>
    <w:div w:id="514156860">
      <w:bodyDiv w:val="1"/>
      <w:marLeft w:val="0"/>
      <w:marRight w:val="0"/>
      <w:marTop w:val="0"/>
      <w:marBottom w:val="0"/>
      <w:divBdr>
        <w:top w:val="none" w:sz="0" w:space="0" w:color="auto"/>
        <w:left w:val="none" w:sz="0" w:space="0" w:color="auto"/>
        <w:bottom w:val="none" w:sz="0" w:space="0" w:color="auto"/>
        <w:right w:val="none" w:sz="0" w:space="0" w:color="auto"/>
      </w:divBdr>
    </w:div>
    <w:div w:id="514270227">
      <w:bodyDiv w:val="1"/>
      <w:marLeft w:val="0"/>
      <w:marRight w:val="0"/>
      <w:marTop w:val="0"/>
      <w:marBottom w:val="0"/>
      <w:divBdr>
        <w:top w:val="none" w:sz="0" w:space="0" w:color="auto"/>
        <w:left w:val="none" w:sz="0" w:space="0" w:color="auto"/>
        <w:bottom w:val="none" w:sz="0" w:space="0" w:color="auto"/>
        <w:right w:val="none" w:sz="0" w:space="0" w:color="auto"/>
      </w:divBdr>
    </w:div>
    <w:div w:id="514537749">
      <w:bodyDiv w:val="1"/>
      <w:marLeft w:val="0"/>
      <w:marRight w:val="0"/>
      <w:marTop w:val="0"/>
      <w:marBottom w:val="0"/>
      <w:divBdr>
        <w:top w:val="none" w:sz="0" w:space="0" w:color="auto"/>
        <w:left w:val="none" w:sz="0" w:space="0" w:color="auto"/>
        <w:bottom w:val="none" w:sz="0" w:space="0" w:color="auto"/>
        <w:right w:val="none" w:sz="0" w:space="0" w:color="auto"/>
      </w:divBdr>
    </w:div>
    <w:div w:id="515849016">
      <w:bodyDiv w:val="1"/>
      <w:marLeft w:val="0"/>
      <w:marRight w:val="0"/>
      <w:marTop w:val="0"/>
      <w:marBottom w:val="0"/>
      <w:divBdr>
        <w:top w:val="none" w:sz="0" w:space="0" w:color="auto"/>
        <w:left w:val="none" w:sz="0" w:space="0" w:color="auto"/>
        <w:bottom w:val="none" w:sz="0" w:space="0" w:color="auto"/>
        <w:right w:val="none" w:sz="0" w:space="0" w:color="auto"/>
      </w:divBdr>
    </w:div>
    <w:div w:id="516313640">
      <w:bodyDiv w:val="1"/>
      <w:marLeft w:val="0"/>
      <w:marRight w:val="0"/>
      <w:marTop w:val="0"/>
      <w:marBottom w:val="0"/>
      <w:divBdr>
        <w:top w:val="none" w:sz="0" w:space="0" w:color="auto"/>
        <w:left w:val="none" w:sz="0" w:space="0" w:color="auto"/>
        <w:bottom w:val="none" w:sz="0" w:space="0" w:color="auto"/>
        <w:right w:val="none" w:sz="0" w:space="0" w:color="auto"/>
      </w:divBdr>
    </w:div>
    <w:div w:id="516501042">
      <w:bodyDiv w:val="1"/>
      <w:marLeft w:val="0"/>
      <w:marRight w:val="0"/>
      <w:marTop w:val="0"/>
      <w:marBottom w:val="0"/>
      <w:divBdr>
        <w:top w:val="none" w:sz="0" w:space="0" w:color="auto"/>
        <w:left w:val="none" w:sz="0" w:space="0" w:color="auto"/>
        <w:bottom w:val="none" w:sz="0" w:space="0" w:color="auto"/>
        <w:right w:val="none" w:sz="0" w:space="0" w:color="auto"/>
      </w:divBdr>
    </w:div>
    <w:div w:id="520827734">
      <w:bodyDiv w:val="1"/>
      <w:marLeft w:val="0"/>
      <w:marRight w:val="0"/>
      <w:marTop w:val="0"/>
      <w:marBottom w:val="0"/>
      <w:divBdr>
        <w:top w:val="none" w:sz="0" w:space="0" w:color="auto"/>
        <w:left w:val="none" w:sz="0" w:space="0" w:color="auto"/>
        <w:bottom w:val="none" w:sz="0" w:space="0" w:color="auto"/>
        <w:right w:val="none" w:sz="0" w:space="0" w:color="auto"/>
      </w:divBdr>
    </w:div>
    <w:div w:id="521095991">
      <w:bodyDiv w:val="1"/>
      <w:marLeft w:val="0"/>
      <w:marRight w:val="0"/>
      <w:marTop w:val="0"/>
      <w:marBottom w:val="0"/>
      <w:divBdr>
        <w:top w:val="none" w:sz="0" w:space="0" w:color="auto"/>
        <w:left w:val="none" w:sz="0" w:space="0" w:color="auto"/>
        <w:bottom w:val="none" w:sz="0" w:space="0" w:color="auto"/>
        <w:right w:val="none" w:sz="0" w:space="0" w:color="auto"/>
      </w:divBdr>
    </w:div>
    <w:div w:id="521212083">
      <w:bodyDiv w:val="1"/>
      <w:marLeft w:val="0"/>
      <w:marRight w:val="0"/>
      <w:marTop w:val="0"/>
      <w:marBottom w:val="0"/>
      <w:divBdr>
        <w:top w:val="none" w:sz="0" w:space="0" w:color="auto"/>
        <w:left w:val="none" w:sz="0" w:space="0" w:color="auto"/>
        <w:bottom w:val="none" w:sz="0" w:space="0" w:color="auto"/>
        <w:right w:val="none" w:sz="0" w:space="0" w:color="auto"/>
      </w:divBdr>
    </w:div>
    <w:div w:id="521633519">
      <w:bodyDiv w:val="1"/>
      <w:marLeft w:val="0"/>
      <w:marRight w:val="0"/>
      <w:marTop w:val="0"/>
      <w:marBottom w:val="0"/>
      <w:divBdr>
        <w:top w:val="none" w:sz="0" w:space="0" w:color="auto"/>
        <w:left w:val="none" w:sz="0" w:space="0" w:color="auto"/>
        <w:bottom w:val="none" w:sz="0" w:space="0" w:color="auto"/>
        <w:right w:val="none" w:sz="0" w:space="0" w:color="auto"/>
      </w:divBdr>
    </w:div>
    <w:div w:id="521826108">
      <w:bodyDiv w:val="1"/>
      <w:marLeft w:val="0"/>
      <w:marRight w:val="0"/>
      <w:marTop w:val="0"/>
      <w:marBottom w:val="0"/>
      <w:divBdr>
        <w:top w:val="none" w:sz="0" w:space="0" w:color="auto"/>
        <w:left w:val="none" w:sz="0" w:space="0" w:color="auto"/>
        <w:bottom w:val="none" w:sz="0" w:space="0" w:color="auto"/>
        <w:right w:val="none" w:sz="0" w:space="0" w:color="auto"/>
      </w:divBdr>
    </w:div>
    <w:div w:id="522666821">
      <w:bodyDiv w:val="1"/>
      <w:marLeft w:val="0"/>
      <w:marRight w:val="0"/>
      <w:marTop w:val="0"/>
      <w:marBottom w:val="0"/>
      <w:divBdr>
        <w:top w:val="none" w:sz="0" w:space="0" w:color="auto"/>
        <w:left w:val="none" w:sz="0" w:space="0" w:color="auto"/>
        <w:bottom w:val="none" w:sz="0" w:space="0" w:color="auto"/>
        <w:right w:val="none" w:sz="0" w:space="0" w:color="auto"/>
      </w:divBdr>
    </w:div>
    <w:div w:id="524632911">
      <w:bodyDiv w:val="1"/>
      <w:marLeft w:val="0"/>
      <w:marRight w:val="0"/>
      <w:marTop w:val="0"/>
      <w:marBottom w:val="0"/>
      <w:divBdr>
        <w:top w:val="none" w:sz="0" w:space="0" w:color="auto"/>
        <w:left w:val="none" w:sz="0" w:space="0" w:color="auto"/>
        <w:bottom w:val="none" w:sz="0" w:space="0" w:color="auto"/>
        <w:right w:val="none" w:sz="0" w:space="0" w:color="auto"/>
      </w:divBdr>
    </w:div>
    <w:div w:id="525561073">
      <w:bodyDiv w:val="1"/>
      <w:marLeft w:val="0"/>
      <w:marRight w:val="0"/>
      <w:marTop w:val="0"/>
      <w:marBottom w:val="0"/>
      <w:divBdr>
        <w:top w:val="none" w:sz="0" w:space="0" w:color="auto"/>
        <w:left w:val="none" w:sz="0" w:space="0" w:color="auto"/>
        <w:bottom w:val="none" w:sz="0" w:space="0" w:color="auto"/>
        <w:right w:val="none" w:sz="0" w:space="0" w:color="auto"/>
      </w:divBdr>
    </w:div>
    <w:div w:id="527184004">
      <w:bodyDiv w:val="1"/>
      <w:marLeft w:val="0"/>
      <w:marRight w:val="0"/>
      <w:marTop w:val="0"/>
      <w:marBottom w:val="0"/>
      <w:divBdr>
        <w:top w:val="none" w:sz="0" w:space="0" w:color="auto"/>
        <w:left w:val="none" w:sz="0" w:space="0" w:color="auto"/>
        <w:bottom w:val="none" w:sz="0" w:space="0" w:color="auto"/>
        <w:right w:val="none" w:sz="0" w:space="0" w:color="auto"/>
      </w:divBdr>
    </w:div>
    <w:div w:id="528681515">
      <w:bodyDiv w:val="1"/>
      <w:marLeft w:val="0"/>
      <w:marRight w:val="0"/>
      <w:marTop w:val="0"/>
      <w:marBottom w:val="0"/>
      <w:divBdr>
        <w:top w:val="none" w:sz="0" w:space="0" w:color="auto"/>
        <w:left w:val="none" w:sz="0" w:space="0" w:color="auto"/>
        <w:bottom w:val="none" w:sz="0" w:space="0" w:color="auto"/>
        <w:right w:val="none" w:sz="0" w:space="0" w:color="auto"/>
      </w:divBdr>
    </w:div>
    <w:div w:id="529077100">
      <w:bodyDiv w:val="1"/>
      <w:marLeft w:val="0"/>
      <w:marRight w:val="0"/>
      <w:marTop w:val="0"/>
      <w:marBottom w:val="0"/>
      <w:divBdr>
        <w:top w:val="none" w:sz="0" w:space="0" w:color="auto"/>
        <w:left w:val="none" w:sz="0" w:space="0" w:color="auto"/>
        <w:bottom w:val="none" w:sz="0" w:space="0" w:color="auto"/>
        <w:right w:val="none" w:sz="0" w:space="0" w:color="auto"/>
      </w:divBdr>
    </w:div>
    <w:div w:id="530187182">
      <w:bodyDiv w:val="1"/>
      <w:marLeft w:val="0"/>
      <w:marRight w:val="0"/>
      <w:marTop w:val="0"/>
      <w:marBottom w:val="0"/>
      <w:divBdr>
        <w:top w:val="none" w:sz="0" w:space="0" w:color="auto"/>
        <w:left w:val="none" w:sz="0" w:space="0" w:color="auto"/>
        <w:bottom w:val="none" w:sz="0" w:space="0" w:color="auto"/>
        <w:right w:val="none" w:sz="0" w:space="0" w:color="auto"/>
      </w:divBdr>
    </w:div>
    <w:div w:id="536160590">
      <w:bodyDiv w:val="1"/>
      <w:marLeft w:val="0"/>
      <w:marRight w:val="0"/>
      <w:marTop w:val="0"/>
      <w:marBottom w:val="0"/>
      <w:divBdr>
        <w:top w:val="none" w:sz="0" w:space="0" w:color="auto"/>
        <w:left w:val="none" w:sz="0" w:space="0" w:color="auto"/>
        <w:bottom w:val="none" w:sz="0" w:space="0" w:color="auto"/>
        <w:right w:val="none" w:sz="0" w:space="0" w:color="auto"/>
      </w:divBdr>
    </w:div>
    <w:div w:id="536936450">
      <w:bodyDiv w:val="1"/>
      <w:marLeft w:val="0"/>
      <w:marRight w:val="0"/>
      <w:marTop w:val="0"/>
      <w:marBottom w:val="0"/>
      <w:divBdr>
        <w:top w:val="none" w:sz="0" w:space="0" w:color="auto"/>
        <w:left w:val="none" w:sz="0" w:space="0" w:color="auto"/>
        <w:bottom w:val="none" w:sz="0" w:space="0" w:color="auto"/>
        <w:right w:val="none" w:sz="0" w:space="0" w:color="auto"/>
      </w:divBdr>
    </w:div>
    <w:div w:id="538319913">
      <w:bodyDiv w:val="1"/>
      <w:marLeft w:val="0"/>
      <w:marRight w:val="0"/>
      <w:marTop w:val="0"/>
      <w:marBottom w:val="0"/>
      <w:divBdr>
        <w:top w:val="none" w:sz="0" w:space="0" w:color="auto"/>
        <w:left w:val="none" w:sz="0" w:space="0" w:color="auto"/>
        <w:bottom w:val="none" w:sz="0" w:space="0" w:color="auto"/>
        <w:right w:val="none" w:sz="0" w:space="0" w:color="auto"/>
      </w:divBdr>
    </w:div>
    <w:div w:id="538973457">
      <w:bodyDiv w:val="1"/>
      <w:marLeft w:val="0"/>
      <w:marRight w:val="0"/>
      <w:marTop w:val="0"/>
      <w:marBottom w:val="0"/>
      <w:divBdr>
        <w:top w:val="none" w:sz="0" w:space="0" w:color="auto"/>
        <w:left w:val="none" w:sz="0" w:space="0" w:color="auto"/>
        <w:bottom w:val="none" w:sz="0" w:space="0" w:color="auto"/>
        <w:right w:val="none" w:sz="0" w:space="0" w:color="auto"/>
      </w:divBdr>
    </w:div>
    <w:div w:id="539784435">
      <w:bodyDiv w:val="1"/>
      <w:marLeft w:val="0"/>
      <w:marRight w:val="0"/>
      <w:marTop w:val="0"/>
      <w:marBottom w:val="0"/>
      <w:divBdr>
        <w:top w:val="none" w:sz="0" w:space="0" w:color="auto"/>
        <w:left w:val="none" w:sz="0" w:space="0" w:color="auto"/>
        <w:bottom w:val="none" w:sz="0" w:space="0" w:color="auto"/>
        <w:right w:val="none" w:sz="0" w:space="0" w:color="auto"/>
      </w:divBdr>
    </w:div>
    <w:div w:id="542717305">
      <w:bodyDiv w:val="1"/>
      <w:marLeft w:val="0"/>
      <w:marRight w:val="0"/>
      <w:marTop w:val="0"/>
      <w:marBottom w:val="0"/>
      <w:divBdr>
        <w:top w:val="none" w:sz="0" w:space="0" w:color="auto"/>
        <w:left w:val="none" w:sz="0" w:space="0" w:color="auto"/>
        <w:bottom w:val="none" w:sz="0" w:space="0" w:color="auto"/>
        <w:right w:val="none" w:sz="0" w:space="0" w:color="auto"/>
      </w:divBdr>
    </w:div>
    <w:div w:id="543031445">
      <w:bodyDiv w:val="1"/>
      <w:marLeft w:val="0"/>
      <w:marRight w:val="0"/>
      <w:marTop w:val="0"/>
      <w:marBottom w:val="0"/>
      <w:divBdr>
        <w:top w:val="none" w:sz="0" w:space="0" w:color="auto"/>
        <w:left w:val="none" w:sz="0" w:space="0" w:color="auto"/>
        <w:bottom w:val="none" w:sz="0" w:space="0" w:color="auto"/>
        <w:right w:val="none" w:sz="0" w:space="0" w:color="auto"/>
      </w:divBdr>
    </w:div>
    <w:div w:id="543911497">
      <w:bodyDiv w:val="1"/>
      <w:marLeft w:val="0"/>
      <w:marRight w:val="0"/>
      <w:marTop w:val="0"/>
      <w:marBottom w:val="0"/>
      <w:divBdr>
        <w:top w:val="none" w:sz="0" w:space="0" w:color="auto"/>
        <w:left w:val="none" w:sz="0" w:space="0" w:color="auto"/>
        <w:bottom w:val="none" w:sz="0" w:space="0" w:color="auto"/>
        <w:right w:val="none" w:sz="0" w:space="0" w:color="auto"/>
      </w:divBdr>
    </w:div>
    <w:div w:id="544802975">
      <w:bodyDiv w:val="1"/>
      <w:marLeft w:val="0"/>
      <w:marRight w:val="0"/>
      <w:marTop w:val="0"/>
      <w:marBottom w:val="0"/>
      <w:divBdr>
        <w:top w:val="none" w:sz="0" w:space="0" w:color="auto"/>
        <w:left w:val="none" w:sz="0" w:space="0" w:color="auto"/>
        <w:bottom w:val="none" w:sz="0" w:space="0" w:color="auto"/>
        <w:right w:val="none" w:sz="0" w:space="0" w:color="auto"/>
      </w:divBdr>
    </w:div>
    <w:div w:id="547107218">
      <w:bodyDiv w:val="1"/>
      <w:marLeft w:val="0"/>
      <w:marRight w:val="0"/>
      <w:marTop w:val="0"/>
      <w:marBottom w:val="0"/>
      <w:divBdr>
        <w:top w:val="none" w:sz="0" w:space="0" w:color="auto"/>
        <w:left w:val="none" w:sz="0" w:space="0" w:color="auto"/>
        <w:bottom w:val="none" w:sz="0" w:space="0" w:color="auto"/>
        <w:right w:val="none" w:sz="0" w:space="0" w:color="auto"/>
      </w:divBdr>
    </w:div>
    <w:div w:id="547572493">
      <w:bodyDiv w:val="1"/>
      <w:marLeft w:val="0"/>
      <w:marRight w:val="0"/>
      <w:marTop w:val="0"/>
      <w:marBottom w:val="0"/>
      <w:divBdr>
        <w:top w:val="none" w:sz="0" w:space="0" w:color="auto"/>
        <w:left w:val="none" w:sz="0" w:space="0" w:color="auto"/>
        <w:bottom w:val="none" w:sz="0" w:space="0" w:color="auto"/>
        <w:right w:val="none" w:sz="0" w:space="0" w:color="auto"/>
      </w:divBdr>
    </w:div>
    <w:div w:id="547841436">
      <w:bodyDiv w:val="1"/>
      <w:marLeft w:val="0"/>
      <w:marRight w:val="0"/>
      <w:marTop w:val="0"/>
      <w:marBottom w:val="0"/>
      <w:divBdr>
        <w:top w:val="none" w:sz="0" w:space="0" w:color="auto"/>
        <w:left w:val="none" w:sz="0" w:space="0" w:color="auto"/>
        <w:bottom w:val="none" w:sz="0" w:space="0" w:color="auto"/>
        <w:right w:val="none" w:sz="0" w:space="0" w:color="auto"/>
      </w:divBdr>
    </w:div>
    <w:div w:id="551043419">
      <w:bodyDiv w:val="1"/>
      <w:marLeft w:val="0"/>
      <w:marRight w:val="0"/>
      <w:marTop w:val="0"/>
      <w:marBottom w:val="0"/>
      <w:divBdr>
        <w:top w:val="none" w:sz="0" w:space="0" w:color="auto"/>
        <w:left w:val="none" w:sz="0" w:space="0" w:color="auto"/>
        <w:bottom w:val="none" w:sz="0" w:space="0" w:color="auto"/>
        <w:right w:val="none" w:sz="0" w:space="0" w:color="auto"/>
      </w:divBdr>
    </w:div>
    <w:div w:id="551356145">
      <w:bodyDiv w:val="1"/>
      <w:marLeft w:val="0"/>
      <w:marRight w:val="0"/>
      <w:marTop w:val="0"/>
      <w:marBottom w:val="0"/>
      <w:divBdr>
        <w:top w:val="none" w:sz="0" w:space="0" w:color="auto"/>
        <w:left w:val="none" w:sz="0" w:space="0" w:color="auto"/>
        <w:bottom w:val="none" w:sz="0" w:space="0" w:color="auto"/>
        <w:right w:val="none" w:sz="0" w:space="0" w:color="auto"/>
      </w:divBdr>
    </w:div>
    <w:div w:id="552697075">
      <w:bodyDiv w:val="1"/>
      <w:marLeft w:val="0"/>
      <w:marRight w:val="0"/>
      <w:marTop w:val="0"/>
      <w:marBottom w:val="0"/>
      <w:divBdr>
        <w:top w:val="none" w:sz="0" w:space="0" w:color="auto"/>
        <w:left w:val="none" w:sz="0" w:space="0" w:color="auto"/>
        <w:bottom w:val="none" w:sz="0" w:space="0" w:color="auto"/>
        <w:right w:val="none" w:sz="0" w:space="0" w:color="auto"/>
      </w:divBdr>
    </w:div>
    <w:div w:id="555314448">
      <w:bodyDiv w:val="1"/>
      <w:marLeft w:val="0"/>
      <w:marRight w:val="0"/>
      <w:marTop w:val="0"/>
      <w:marBottom w:val="0"/>
      <w:divBdr>
        <w:top w:val="none" w:sz="0" w:space="0" w:color="auto"/>
        <w:left w:val="none" w:sz="0" w:space="0" w:color="auto"/>
        <w:bottom w:val="none" w:sz="0" w:space="0" w:color="auto"/>
        <w:right w:val="none" w:sz="0" w:space="0" w:color="auto"/>
      </w:divBdr>
    </w:div>
    <w:div w:id="556206317">
      <w:bodyDiv w:val="1"/>
      <w:marLeft w:val="0"/>
      <w:marRight w:val="0"/>
      <w:marTop w:val="0"/>
      <w:marBottom w:val="0"/>
      <w:divBdr>
        <w:top w:val="none" w:sz="0" w:space="0" w:color="auto"/>
        <w:left w:val="none" w:sz="0" w:space="0" w:color="auto"/>
        <w:bottom w:val="none" w:sz="0" w:space="0" w:color="auto"/>
        <w:right w:val="none" w:sz="0" w:space="0" w:color="auto"/>
      </w:divBdr>
    </w:div>
    <w:div w:id="558442046">
      <w:bodyDiv w:val="1"/>
      <w:marLeft w:val="0"/>
      <w:marRight w:val="0"/>
      <w:marTop w:val="0"/>
      <w:marBottom w:val="0"/>
      <w:divBdr>
        <w:top w:val="none" w:sz="0" w:space="0" w:color="auto"/>
        <w:left w:val="none" w:sz="0" w:space="0" w:color="auto"/>
        <w:bottom w:val="none" w:sz="0" w:space="0" w:color="auto"/>
        <w:right w:val="none" w:sz="0" w:space="0" w:color="auto"/>
      </w:divBdr>
    </w:div>
    <w:div w:id="559171767">
      <w:bodyDiv w:val="1"/>
      <w:marLeft w:val="0"/>
      <w:marRight w:val="0"/>
      <w:marTop w:val="0"/>
      <w:marBottom w:val="0"/>
      <w:divBdr>
        <w:top w:val="none" w:sz="0" w:space="0" w:color="auto"/>
        <w:left w:val="none" w:sz="0" w:space="0" w:color="auto"/>
        <w:bottom w:val="none" w:sz="0" w:space="0" w:color="auto"/>
        <w:right w:val="none" w:sz="0" w:space="0" w:color="auto"/>
      </w:divBdr>
    </w:div>
    <w:div w:id="559250681">
      <w:bodyDiv w:val="1"/>
      <w:marLeft w:val="0"/>
      <w:marRight w:val="0"/>
      <w:marTop w:val="0"/>
      <w:marBottom w:val="0"/>
      <w:divBdr>
        <w:top w:val="none" w:sz="0" w:space="0" w:color="auto"/>
        <w:left w:val="none" w:sz="0" w:space="0" w:color="auto"/>
        <w:bottom w:val="none" w:sz="0" w:space="0" w:color="auto"/>
        <w:right w:val="none" w:sz="0" w:space="0" w:color="auto"/>
      </w:divBdr>
    </w:div>
    <w:div w:id="560360873">
      <w:bodyDiv w:val="1"/>
      <w:marLeft w:val="0"/>
      <w:marRight w:val="0"/>
      <w:marTop w:val="0"/>
      <w:marBottom w:val="0"/>
      <w:divBdr>
        <w:top w:val="none" w:sz="0" w:space="0" w:color="auto"/>
        <w:left w:val="none" w:sz="0" w:space="0" w:color="auto"/>
        <w:bottom w:val="none" w:sz="0" w:space="0" w:color="auto"/>
        <w:right w:val="none" w:sz="0" w:space="0" w:color="auto"/>
      </w:divBdr>
    </w:div>
    <w:div w:id="560485890">
      <w:bodyDiv w:val="1"/>
      <w:marLeft w:val="0"/>
      <w:marRight w:val="0"/>
      <w:marTop w:val="0"/>
      <w:marBottom w:val="0"/>
      <w:divBdr>
        <w:top w:val="none" w:sz="0" w:space="0" w:color="auto"/>
        <w:left w:val="none" w:sz="0" w:space="0" w:color="auto"/>
        <w:bottom w:val="none" w:sz="0" w:space="0" w:color="auto"/>
        <w:right w:val="none" w:sz="0" w:space="0" w:color="auto"/>
      </w:divBdr>
    </w:div>
    <w:div w:id="564801934">
      <w:bodyDiv w:val="1"/>
      <w:marLeft w:val="0"/>
      <w:marRight w:val="0"/>
      <w:marTop w:val="0"/>
      <w:marBottom w:val="0"/>
      <w:divBdr>
        <w:top w:val="none" w:sz="0" w:space="0" w:color="auto"/>
        <w:left w:val="none" w:sz="0" w:space="0" w:color="auto"/>
        <w:bottom w:val="none" w:sz="0" w:space="0" w:color="auto"/>
        <w:right w:val="none" w:sz="0" w:space="0" w:color="auto"/>
      </w:divBdr>
    </w:div>
    <w:div w:id="565990057">
      <w:bodyDiv w:val="1"/>
      <w:marLeft w:val="0"/>
      <w:marRight w:val="0"/>
      <w:marTop w:val="0"/>
      <w:marBottom w:val="0"/>
      <w:divBdr>
        <w:top w:val="none" w:sz="0" w:space="0" w:color="auto"/>
        <w:left w:val="none" w:sz="0" w:space="0" w:color="auto"/>
        <w:bottom w:val="none" w:sz="0" w:space="0" w:color="auto"/>
        <w:right w:val="none" w:sz="0" w:space="0" w:color="auto"/>
      </w:divBdr>
    </w:div>
    <w:div w:id="568273902">
      <w:bodyDiv w:val="1"/>
      <w:marLeft w:val="0"/>
      <w:marRight w:val="0"/>
      <w:marTop w:val="0"/>
      <w:marBottom w:val="0"/>
      <w:divBdr>
        <w:top w:val="none" w:sz="0" w:space="0" w:color="auto"/>
        <w:left w:val="none" w:sz="0" w:space="0" w:color="auto"/>
        <w:bottom w:val="none" w:sz="0" w:space="0" w:color="auto"/>
        <w:right w:val="none" w:sz="0" w:space="0" w:color="auto"/>
      </w:divBdr>
    </w:div>
    <w:div w:id="569077664">
      <w:bodyDiv w:val="1"/>
      <w:marLeft w:val="0"/>
      <w:marRight w:val="0"/>
      <w:marTop w:val="0"/>
      <w:marBottom w:val="0"/>
      <w:divBdr>
        <w:top w:val="none" w:sz="0" w:space="0" w:color="auto"/>
        <w:left w:val="none" w:sz="0" w:space="0" w:color="auto"/>
        <w:bottom w:val="none" w:sz="0" w:space="0" w:color="auto"/>
        <w:right w:val="none" w:sz="0" w:space="0" w:color="auto"/>
      </w:divBdr>
    </w:div>
    <w:div w:id="572668641">
      <w:bodyDiv w:val="1"/>
      <w:marLeft w:val="0"/>
      <w:marRight w:val="0"/>
      <w:marTop w:val="0"/>
      <w:marBottom w:val="0"/>
      <w:divBdr>
        <w:top w:val="none" w:sz="0" w:space="0" w:color="auto"/>
        <w:left w:val="none" w:sz="0" w:space="0" w:color="auto"/>
        <w:bottom w:val="none" w:sz="0" w:space="0" w:color="auto"/>
        <w:right w:val="none" w:sz="0" w:space="0" w:color="auto"/>
      </w:divBdr>
    </w:div>
    <w:div w:id="574432633">
      <w:bodyDiv w:val="1"/>
      <w:marLeft w:val="0"/>
      <w:marRight w:val="0"/>
      <w:marTop w:val="0"/>
      <w:marBottom w:val="0"/>
      <w:divBdr>
        <w:top w:val="none" w:sz="0" w:space="0" w:color="auto"/>
        <w:left w:val="none" w:sz="0" w:space="0" w:color="auto"/>
        <w:bottom w:val="none" w:sz="0" w:space="0" w:color="auto"/>
        <w:right w:val="none" w:sz="0" w:space="0" w:color="auto"/>
      </w:divBdr>
    </w:div>
    <w:div w:id="574979145">
      <w:bodyDiv w:val="1"/>
      <w:marLeft w:val="0"/>
      <w:marRight w:val="0"/>
      <w:marTop w:val="0"/>
      <w:marBottom w:val="0"/>
      <w:divBdr>
        <w:top w:val="none" w:sz="0" w:space="0" w:color="auto"/>
        <w:left w:val="none" w:sz="0" w:space="0" w:color="auto"/>
        <w:bottom w:val="none" w:sz="0" w:space="0" w:color="auto"/>
        <w:right w:val="none" w:sz="0" w:space="0" w:color="auto"/>
      </w:divBdr>
    </w:div>
    <w:div w:id="575475331">
      <w:bodyDiv w:val="1"/>
      <w:marLeft w:val="0"/>
      <w:marRight w:val="0"/>
      <w:marTop w:val="0"/>
      <w:marBottom w:val="0"/>
      <w:divBdr>
        <w:top w:val="none" w:sz="0" w:space="0" w:color="auto"/>
        <w:left w:val="none" w:sz="0" w:space="0" w:color="auto"/>
        <w:bottom w:val="none" w:sz="0" w:space="0" w:color="auto"/>
        <w:right w:val="none" w:sz="0" w:space="0" w:color="auto"/>
      </w:divBdr>
    </w:div>
    <w:div w:id="575668554">
      <w:bodyDiv w:val="1"/>
      <w:marLeft w:val="0"/>
      <w:marRight w:val="0"/>
      <w:marTop w:val="0"/>
      <w:marBottom w:val="0"/>
      <w:divBdr>
        <w:top w:val="none" w:sz="0" w:space="0" w:color="auto"/>
        <w:left w:val="none" w:sz="0" w:space="0" w:color="auto"/>
        <w:bottom w:val="none" w:sz="0" w:space="0" w:color="auto"/>
        <w:right w:val="none" w:sz="0" w:space="0" w:color="auto"/>
      </w:divBdr>
    </w:div>
    <w:div w:id="577522218">
      <w:bodyDiv w:val="1"/>
      <w:marLeft w:val="0"/>
      <w:marRight w:val="0"/>
      <w:marTop w:val="0"/>
      <w:marBottom w:val="0"/>
      <w:divBdr>
        <w:top w:val="none" w:sz="0" w:space="0" w:color="auto"/>
        <w:left w:val="none" w:sz="0" w:space="0" w:color="auto"/>
        <w:bottom w:val="none" w:sz="0" w:space="0" w:color="auto"/>
        <w:right w:val="none" w:sz="0" w:space="0" w:color="auto"/>
      </w:divBdr>
    </w:div>
    <w:div w:id="578902566">
      <w:bodyDiv w:val="1"/>
      <w:marLeft w:val="0"/>
      <w:marRight w:val="0"/>
      <w:marTop w:val="0"/>
      <w:marBottom w:val="0"/>
      <w:divBdr>
        <w:top w:val="none" w:sz="0" w:space="0" w:color="auto"/>
        <w:left w:val="none" w:sz="0" w:space="0" w:color="auto"/>
        <w:bottom w:val="none" w:sz="0" w:space="0" w:color="auto"/>
        <w:right w:val="none" w:sz="0" w:space="0" w:color="auto"/>
      </w:divBdr>
    </w:div>
    <w:div w:id="579215151">
      <w:bodyDiv w:val="1"/>
      <w:marLeft w:val="0"/>
      <w:marRight w:val="0"/>
      <w:marTop w:val="0"/>
      <w:marBottom w:val="0"/>
      <w:divBdr>
        <w:top w:val="none" w:sz="0" w:space="0" w:color="auto"/>
        <w:left w:val="none" w:sz="0" w:space="0" w:color="auto"/>
        <w:bottom w:val="none" w:sz="0" w:space="0" w:color="auto"/>
        <w:right w:val="none" w:sz="0" w:space="0" w:color="auto"/>
      </w:divBdr>
    </w:div>
    <w:div w:id="582180870">
      <w:bodyDiv w:val="1"/>
      <w:marLeft w:val="0"/>
      <w:marRight w:val="0"/>
      <w:marTop w:val="0"/>
      <w:marBottom w:val="0"/>
      <w:divBdr>
        <w:top w:val="none" w:sz="0" w:space="0" w:color="auto"/>
        <w:left w:val="none" w:sz="0" w:space="0" w:color="auto"/>
        <w:bottom w:val="none" w:sz="0" w:space="0" w:color="auto"/>
        <w:right w:val="none" w:sz="0" w:space="0" w:color="auto"/>
      </w:divBdr>
    </w:div>
    <w:div w:id="582374150">
      <w:bodyDiv w:val="1"/>
      <w:marLeft w:val="0"/>
      <w:marRight w:val="0"/>
      <w:marTop w:val="0"/>
      <w:marBottom w:val="0"/>
      <w:divBdr>
        <w:top w:val="none" w:sz="0" w:space="0" w:color="auto"/>
        <w:left w:val="none" w:sz="0" w:space="0" w:color="auto"/>
        <w:bottom w:val="none" w:sz="0" w:space="0" w:color="auto"/>
        <w:right w:val="none" w:sz="0" w:space="0" w:color="auto"/>
      </w:divBdr>
    </w:div>
    <w:div w:id="582877908">
      <w:bodyDiv w:val="1"/>
      <w:marLeft w:val="0"/>
      <w:marRight w:val="0"/>
      <w:marTop w:val="0"/>
      <w:marBottom w:val="0"/>
      <w:divBdr>
        <w:top w:val="none" w:sz="0" w:space="0" w:color="auto"/>
        <w:left w:val="none" w:sz="0" w:space="0" w:color="auto"/>
        <w:bottom w:val="none" w:sz="0" w:space="0" w:color="auto"/>
        <w:right w:val="none" w:sz="0" w:space="0" w:color="auto"/>
      </w:divBdr>
    </w:div>
    <w:div w:id="583532719">
      <w:bodyDiv w:val="1"/>
      <w:marLeft w:val="0"/>
      <w:marRight w:val="0"/>
      <w:marTop w:val="0"/>
      <w:marBottom w:val="0"/>
      <w:divBdr>
        <w:top w:val="none" w:sz="0" w:space="0" w:color="auto"/>
        <w:left w:val="none" w:sz="0" w:space="0" w:color="auto"/>
        <w:bottom w:val="none" w:sz="0" w:space="0" w:color="auto"/>
        <w:right w:val="none" w:sz="0" w:space="0" w:color="auto"/>
      </w:divBdr>
    </w:div>
    <w:div w:id="583535592">
      <w:bodyDiv w:val="1"/>
      <w:marLeft w:val="0"/>
      <w:marRight w:val="0"/>
      <w:marTop w:val="0"/>
      <w:marBottom w:val="0"/>
      <w:divBdr>
        <w:top w:val="none" w:sz="0" w:space="0" w:color="auto"/>
        <w:left w:val="none" w:sz="0" w:space="0" w:color="auto"/>
        <w:bottom w:val="none" w:sz="0" w:space="0" w:color="auto"/>
        <w:right w:val="none" w:sz="0" w:space="0" w:color="auto"/>
      </w:divBdr>
    </w:div>
    <w:div w:id="584191383">
      <w:bodyDiv w:val="1"/>
      <w:marLeft w:val="0"/>
      <w:marRight w:val="0"/>
      <w:marTop w:val="0"/>
      <w:marBottom w:val="0"/>
      <w:divBdr>
        <w:top w:val="none" w:sz="0" w:space="0" w:color="auto"/>
        <w:left w:val="none" w:sz="0" w:space="0" w:color="auto"/>
        <w:bottom w:val="none" w:sz="0" w:space="0" w:color="auto"/>
        <w:right w:val="none" w:sz="0" w:space="0" w:color="auto"/>
      </w:divBdr>
    </w:div>
    <w:div w:id="584220402">
      <w:bodyDiv w:val="1"/>
      <w:marLeft w:val="0"/>
      <w:marRight w:val="0"/>
      <w:marTop w:val="0"/>
      <w:marBottom w:val="0"/>
      <w:divBdr>
        <w:top w:val="none" w:sz="0" w:space="0" w:color="auto"/>
        <w:left w:val="none" w:sz="0" w:space="0" w:color="auto"/>
        <w:bottom w:val="none" w:sz="0" w:space="0" w:color="auto"/>
        <w:right w:val="none" w:sz="0" w:space="0" w:color="auto"/>
      </w:divBdr>
    </w:div>
    <w:div w:id="584461951">
      <w:bodyDiv w:val="1"/>
      <w:marLeft w:val="0"/>
      <w:marRight w:val="0"/>
      <w:marTop w:val="0"/>
      <w:marBottom w:val="0"/>
      <w:divBdr>
        <w:top w:val="none" w:sz="0" w:space="0" w:color="auto"/>
        <w:left w:val="none" w:sz="0" w:space="0" w:color="auto"/>
        <w:bottom w:val="none" w:sz="0" w:space="0" w:color="auto"/>
        <w:right w:val="none" w:sz="0" w:space="0" w:color="auto"/>
      </w:divBdr>
    </w:div>
    <w:div w:id="585268408">
      <w:bodyDiv w:val="1"/>
      <w:marLeft w:val="0"/>
      <w:marRight w:val="0"/>
      <w:marTop w:val="0"/>
      <w:marBottom w:val="0"/>
      <w:divBdr>
        <w:top w:val="none" w:sz="0" w:space="0" w:color="auto"/>
        <w:left w:val="none" w:sz="0" w:space="0" w:color="auto"/>
        <w:bottom w:val="none" w:sz="0" w:space="0" w:color="auto"/>
        <w:right w:val="none" w:sz="0" w:space="0" w:color="auto"/>
      </w:divBdr>
    </w:div>
    <w:div w:id="587273829">
      <w:bodyDiv w:val="1"/>
      <w:marLeft w:val="0"/>
      <w:marRight w:val="0"/>
      <w:marTop w:val="0"/>
      <w:marBottom w:val="0"/>
      <w:divBdr>
        <w:top w:val="none" w:sz="0" w:space="0" w:color="auto"/>
        <w:left w:val="none" w:sz="0" w:space="0" w:color="auto"/>
        <w:bottom w:val="none" w:sz="0" w:space="0" w:color="auto"/>
        <w:right w:val="none" w:sz="0" w:space="0" w:color="auto"/>
      </w:divBdr>
    </w:div>
    <w:div w:id="587926781">
      <w:bodyDiv w:val="1"/>
      <w:marLeft w:val="0"/>
      <w:marRight w:val="0"/>
      <w:marTop w:val="0"/>
      <w:marBottom w:val="0"/>
      <w:divBdr>
        <w:top w:val="none" w:sz="0" w:space="0" w:color="auto"/>
        <w:left w:val="none" w:sz="0" w:space="0" w:color="auto"/>
        <w:bottom w:val="none" w:sz="0" w:space="0" w:color="auto"/>
        <w:right w:val="none" w:sz="0" w:space="0" w:color="auto"/>
      </w:divBdr>
    </w:div>
    <w:div w:id="589393550">
      <w:bodyDiv w:val="1"/>
      <w:marLeft w:val="0"/>
      <w:marRight w:val="0"/>
      <w:marTop w:val="0"/>
      <w:marBottom w:val="0"/>
      <w:divBdr>
        <w:top w:val="none" w:sz="0" w:space="0" w:color="auto"/>
        <w:left w:val="none" w:sz="0" w:space="0" w:color="auto"/>
        <w:bottom w:val="none" w:sz="0" w:space="0" w:color="auto"/>
        <w:right w:val="none" w:sz="0" w:space="0" w:color="auto"/>
      </w:divBdr>
    </w:div>
    <w:div w:id="589699677">
      <w:bodyDiv w:val="1"/>
      <w:marLeft w:val="0"/>
      <w:marRight w:val="0"/>
      <w:marTop w:val="0"/>
      <w:marBottom w:val="0"/>
      <w:divBdr>
        <w:top w:val="none" w:sz="0" w:space="0" w:color="auto"/>
        <w:left w:val="none" w:sz="0" w:space="0" w:color="auto"/>
        <w:bottom w:val="none" w:sz="0" w:space="0" w:color="auto"/>
        <w:right w:val="none" w:sz="0" w:space="0" w:color="auto"/>
      </w:divBdr>
    </w:div>
    <w:div w:id="590354657">
      <w:bodyDiv w:val="1"/>
      <w:marLeft w:val="0"/>
      <w:marRight w:val="0"/>
      <w:marTop w:val="0"/>
      <w:marBottom w:val="0"/>
      <w:divBdr>
        <w:top w:val="none" w:sz="0" w:space="0" w:color="auto"/>
        <w:left w:val="none" w:sz="0" w:space="0" w:color="auto"/>
        <w:bottom w:val="none" w:sz="0" w:space="0" w:color="auto"/>
        <w:right w:val="none" w:sz="0" w:space="0" w:color="auto"/>
      </w:divBdr>
    </w:div>
    <w:div w:id="590938431">
      <w:bodyDiv w:val="1"/>
      <w:marLeft w:val="0"/>
      <w:marRight w:val="0"/>
      <w:marTop w:val="0"/>
      <w:marBottom w:val="0"/>
      <w:divBdr>
        <w:top w:val="none" w:sz="0" w:space="0" w:color="auto"/>
        <w:left w:val="none" w:sz="0" w:space="0" w:color="auto"/>
        <w:bottom w:val="none" w:sz="0" w:space="0" w:color="auto"/>
        <w:right w:val="none" w:sz="0" w:space="0" w:color="auto"/>
      </w:divBdr>
    </w:div>
    <w:div w:id="592278841">
      <w:bodyDiv w:val="1"/>
      <w:marLeft w:val="0"/>
      <w:marRight w:val="0"/>
      <w:marTop w:val="0"/>
      <w:marBottom w:val="0"/>
      <w:divBdr>
        <w:top w:val="none" w:sz="0" w:space="0" w:color="auto"/>
        <w:left w:val="none" w:sz="0" w:space="0" w:color="auto"/>
        <w:bottom w:val="none" w:sz="0" w:space="0" w:color="auto"/>
        <w:right w:val="none" w:sz="0" w:space="0" w:color="auto"/>
      </w:divBdr>
    </w:div>
    <w:div w:id="592596130">
      <w:bodyDiv w:val="1"/>
      <w:marLeft w:val="0"/>
      <w:marRight w:val="0"/>
      <w:marTop w:val="0"/>
      <w:marBottom w:val="0"/>
      <w:divBdr>
        <w:top w:val="none" w:sz="0" w:space="0" w:color="auto"/>
        <w:left w:val="none" w:sz="0" w:space="0" w:color="auto"/>
        <w:bottom w:val="none" w:sz="0" w:space="0" w:color="auto"/>
        <w:right w:val="none" w:sz="0" w:space="0" w:color="auto"/>
      </w:divBdr>
    </w:div>
    <w:div w:id="594820928">
      <w:bodyDiv w:val="1"/>
      <w:marLeft w:val="0"/>
      <w:marRight w:val="0"/>
      <w:marTop w:val="0"/>
      <w:marBottom w:val="0"/>
      <w:divBdr>
        <w:top w:val="none" w:sz="0" w:space="0" w:color="auto"/>
        <w:left w:val="none" w:sz="0" w:space="0" w:color="auto"/>
        <w:bottom w:val="none" w:sz="0" w:space="0" w:color="auto"/>
        <w:right w:val="none" w:sz="0" w:space="0" w:color="auto"/>
      </w:divBdr>
    </w:div>
    <w:div w:id="595402034">
      <w:bodyDiv w:val="1"/>
      <w:marLeft w:val="0"/>
      <w:marRight w:val="0"/>
      <w:marTop w:val="0"/>
      <w:marBottom w:val="0"/>
      <w:divBdr>
        <w:top w:val="none" w:sz="0" w:space="0" w:color="auto"/>
        <w:left w:val="none" w:sz="0" w:space="0" w:color="auto"/>
        <w:bottom w:val="none" w:sz="0" w:space="0" w:color="auto"/>
        <w:right w:val="none" w:sz="0" w:space="0" w:color="auto"/>
      </w:divBdr>
    </w:div>
    <w:div w:id="595671168">
      <w:bodyDiv w:val="1"/>
      <w:marLeft w:val="0"/>
      <w:marRight w:val="0"/>
      <w:marTop w:val="0"/>
      <w:marBottom w:val="0"/>
      <w:divBdr>
        <w:top w:val="none" w:sz="0" w:space="0" w:color="auto"/>
        <w:left w:val="none" w:sz="0" w:space="0" w:color="auto"/>
        <w:bottom w:val="none" w:sz="0" w:space="0" w:color="auto"/>
        <w:right w:val="none" w:sz="0" w:space="0" w:color="auto"/>
      </w:divBdr>
    </w:div>
    <w:div w:id="595678093">
      <w:bodyDiv w:val="1"/>
      <w:marLeft w:val="0"/>
      <w:marRight w:val="0"/>
      <w:marTop w:val="0"/>
      <w:marBottom w:val="0"/>
      <w:divBdr>
        <w:top w:val="none" w:sz="0" w:space="0" w:color="auto"/>
        <w:left w:val="none" w:sz="0" w:space="0" w:color="auto"/>
        <w:bottom w:val="none" w:sz="0" w:space="0" w:color="auto"/>
        <w:right w:val="none" w:sz="0" w:space="0" w:color="auto"/>
      </w:divBdr>
    </w:div>
    <w:div w:id="596445072">
      <w:bodyDiv w:val="1"/>
      <w:marLeft w:val="0"/>
      <w:marRight w:val="0"/>
      <w:marTop w:val="0"/>
      <w:marBottom w:val="0"/>
      <w:divBdr>
        <w:top w:val="none" w:sz="0" w:space="0" w:color="auto"/>
        <w:left w:val="none" w:sz="0" w:space="0" w:color="auto"/>
        <w:bottom w:val="none" w:sz="0" w:space="0" w:color="auto"/>
        <w:right w:val="none" w:sz="0" w:space="0" w:color="auto"/>
      </w:divBdr>
    </w:div>
    <w:div w:id="597182424">
      <w:bodyDiv w:val="1"/>
      <w:marLeft w:val="0"/>
      <w:marRight w:val="0"/>
      <w:marTop w:val="0"/>
      <w:marBottom w:val="0"/>
      <w:divBdr>
        <w:top w:val="none" w:sz="0" w:space="0" w:color="auto"/>
        <w:left w:val="none" w:sz="0" w:space="0" w:color="auto"/>
        <w:bottom w:val="none" w:sz="0" w:space="0" w:color="auto"/>
        <w:right w:val="none" w:sz="0" w:space="0" w:color="auto"/>
      </w:divBdr>
    </w:div>
    <w:div w:id="597442212">
      <w:bodyDiv w:val="1"/>
      <w:marLeft w:val="0"/>
      <w:marRight w:val="0"/>
      <w:marTop w:val="0"/>
      <w:marBottom w:val="0"/>
      <w:divBdr>
        <w:top w:val="none" w:sz="0" w:space="0" w:color="auto"/>
        <w:left w:val="none" w:sz="0" w:space="0" w:color="auto"/>
        <w:bottom w:val="none" w:sz="0" w:space="0" w:color="auto"/>
        <w:right w:val="none" w:sz="0" w:space="0" w:color="auto"/>
      </w:divBdr>
    </w:div>
    <w:div w:id="599068049">
      <w:bodyDiv w:val="1"/>
      <w:marLeft w:val="0"/>
      <w:marRight w:val="0"/>
      <w:marTop w:val="0"/>
      <w:marBottom w:val="0"/>
      <w:divBdr>
        <w:top w:val="none" w:sz="0" w:space="0" w:color="auto"/>
        <w:left w:val="none" w:sz="0" w:space="0" w:color="auto"/>
        <w:bottom w:val="none" w:sz="0" w:space="0" w:color="auto"/>
        <w:right w:val="none" w:sz="0" w:space="0" w:color="auto"/>
      </w:divBdr>
    </w:div>
    <w:div w:id="599869722">
      <w:bodyDiv w:val="1"/>
      <w:marLeft w:val="0"/>
      <w:marRight w:val="0"/>
      <w:marTop w:val="0"/>
      <w:marBottom w:val="0"/>
      <w:divBdr>
        <w:top w:val="none" w:sz="0" w:space="0" w:color="auto"/>
        <w:left w:val="none" w:sz="0" w:space="0" w:color="auto"/>
        <w:bottom w:val="none" w:sz="0" w:space="0" w:color="auto"/>
        <w:right w:val="none" w:sz="0" w:space="0" w:color="auto"/>
      </w:divBdr>
    </w:div>
    <w:div w:id="600458100">
      <w:bodyDiv w:val="1"/>
      <w:marLeft w:val="0"/>
      <w:marRight w:val="0"/>
      <w:marTop w:val="0"/>
      <w:marBottom w:val="0"/>
      <w:divBdr>
        <w:top w:val="none" w:sz="0" w:space="0" w:color="auto"/>
        <w:left w:val="none" w:sz="0" w:space="0" w:color="auto"/>
        <w:bottom w:val="none" w:sz="0" w:space="0" w:color="auto"/>
        <w:right w:val="none" w:sz="0" w:space="0" w:color="auto"/>
      </w:divBdr>
    </w:div>
    <w:div w:id="601500556">
      <w:bodyDiv w:val="1"/>
      <w:marLeft w:val="0"/>
      <w:marRight w:val="0"/>
      <w:marTop w:val="0"/>
      <w:marBottom w:val="0"/>
      <w:divBdr>
        <w:top w:val="none" w:sz="0" w:space="0" w:color="auto"/>
        <w:left w:val="none" w:sz="0" w:space="0" w:color="auto"/>
        <w:bottom w:val="none" w:sz="0" w:space="0" w:color="auto"/>
        <w:right w:val="none" w:sz="0" w:space="0" w:color="auto"/>
      </w:divBdr>
    </w:div>
    <w:div w:id="602305498">
      <w:bodyDiv w:val="1"/>
      <w:marLeft w:val="0"/>
      <w:marRight w:val="0"/>
      <w:marTop w:val="0"/>
      <w:marBottom w:val="0"/>
      <w:divBdr>
        <w:top w:val="none" w:sz="0" w:space="0" w:color="auto"/>
        <w:left w:val="none" w:sz="0" w:space="0" w:color="auto"/>
        <w:bottom w:val="none" w:sz="0" w:space="0" w:color="auto"/>
        <w:right w:val="none" w:sz="0" w:space="0" w:color="auto"/>
      </w:divBdr>
    </w:div>
    <w:div w:id="607351293">
      <w:bodyDiv w:val="1"/>
      <w:marLeft w:val="0"/>
      <w:marRight w:val="0"/>
      <w:marTop w:val="0"/>
      <w:marBottom w:val="0"/>
      <w:divBdr>
        <w:top w:val="none" w:sz="0" w:space="0" w:color="auto"/>
        <w:left w:val="none" w:sz="0" w:space="0" w:color="auto"/>
        <w:bottom w:val="none" w:sz="0" w:space="0" w:color="auto"/>
        <w:right w:val="none" w:sz="0" w:space="0" w:color="auto"/>
      </w:divBdr>
    </w:div>
    <w:div w:id="611740973">
      <w:bodyDiv w:val="1"/>
      <w:marLeft w:val="0"/>
      <w:marRight w:val="0"/>
      <w:marTop w:val="0"/>
      <w:marBottom w:val="0"/>
      <w:divBdr>
        <w:top w:val="none" w:sz="0" w:space="0" w:color="auto"/>
        <w:left w:val="none" w:sz="0" w:space="0" w:color="auto"/>
        <w:bottom w:val="none" w:sz="0" w:space="0" w:color="auto"/>
        <w:right w:val="none" w:sz="0" w:space="0" w:color="auto"/>
      </w:divBdr>
    </w:div>
    <w:div w:id="612514451">
      <w:bodyDiv w:val="1"/>
      <w:marLeft w:val="0"/>
      <w:marRight w:val="0"/>
      <w:marTop w:val="0"/>
      <w:marBottom w:val="0"/>
      <w:divBdr>
        <w:top w:val="none" w:sz="0" w:space="0" w:color="auto"/>
        <w:left w:val="none" w:sz="0" w:space="0" w:color="auto"/>
        <w:bottom w:val="none" w:sz="0" w:space="0" w:color="auto"/>
        <w:right w:val="none" w:sz="0" w:space="0" w:color="auto"/>
      </w:divBdr>
    </w:div>
    <w:div w:id="612858965">
      <w:bodyDiv w:val="1"/>
      <w:marLeft w:val="0"/>
      <w:marRight w:val="0"/>
      <w:marTop w:val="0"/>
      <w:marBottom w:val="0"/>
      <w:divBdr>
        <w:top w:val="none" w:sz="0" w:space="0" w:color="auto"/>
        <w:left w:val="none" w:sz="0" w:space="0" w:color="auto"/>
        <w:bottom w:val="none" w:sz="0" w:space="0" w:color="auto"/>
        <w:right w:val="none" w:sz="0" w:space="0" w:color="auto"/>
      </w:divBdr>
    </w:div>
    <w:div w:id="613709897">
      <w:bodyDiv w:val="1"/>
      <w:marLeft w:val="0"/>
      <w:marRight w:val="0"/>
      <w:marTop w:val="0"/>
      <w:marBottom w:val="0"/>
      <w:divBdr>
        <w:top w:val="none" w:sz="0" w:space="0" w:color="auto"/>
        <w:left w:val="none" w:sz="0" w:space="0" w:color="auto"/>
        <w:bottom w:val="none" w:sz="0" w:space="0" w:color="auto"/>
        <w:right w:val="none" w:sz="0" w:space="0" w:color="auto"/>
      </w:divBdr>
    </w:div>
    <w:div w:id="613830667">
      <w:bodyDiv w:val="1"/>
      <w:marLeft w:val="0"/>
      <w:marRight w:val="0"/>
      <w:marTop w:val="0"/>
      <w:marBottom w:val="0"/>
      <w:divBdr>
        <w:top w:val="none" w:sz="0" w:space="0" w:color="auto"/>
        <w:left w:val="none" w:sz="0" w:space="0" w:color="auto"/>
        <w:bottom w:val="none" w:sz="0" w:space="0" w:color="auto"/>
        <w:right w:val="none" w:sz="0" w:space="0" w:color="auto"/>
      </w:divBdr>
    </w:div>
    <w:div w:id="614095996">
      <w:bodyDiv w:val="1"/>
      <w:marLeft w:val="0"/>
      <w:marRight w:val="0"/>
      <w:marTop w:val="0"/>
      <w:marBottom w:val="0"/>
      <w:divBdr>
        <w:top w:val="none" w:sz="0" w:space="0" w:color="auto"/>
        <w:left w:val="none" w:sz="0" w:space="0" w:color="auto"/>
        <w:bottom w:val="none" w:sz="0" w:space="0" w:color="auto"/>
        <w:right w:val="none" w:sz="0" w:space="0" w:color="auto"/>
      </w:divBdr>
    </w:div>
    <w:div w:id="614481977">
      <w:bodyDiv w:val="1"/>
      <w:marLeft w:val="0"/>
      <w:marRight w:val="0"/>
      <w:marTop w:val="0"/>
      <w:marBottom w:val="0"/>
      <w:divBdr>
        <w:top w:val="none" w:sz="0" w:space="0" w:color="auto"/>
        <w:left w:val="none" w:sz="0" w:space="0" w:color="auto"/>
        <w:bottom w:val="none" w:sz="0" w:space="0" w:color="auto"/>
        <w:right w:val="none" w:sz="0" w:space="0" w:color="auto"/>
      </w:divBdr>
    </w:div>
    <w:div w:id="615645576">
      <w:bodyDiv w:val="1"/>
      <w:marLeft w:val="0"/>
      <w:marRight w:val="0"/>
      <w:marTop w:val="0"/>
      <w:marBottom w:val="0"/>
      <w:divBdr>
        <w:top w:val="none" w:sz="0" w:space="0" w:color="auto"/>
        <w:left w:val="none" w:sz="0" w:space="0" w:color="auto"/>
        <w:bottom w:val="none" w:sz="0" w:space="0" w:color="auto"/>
        <w:right w:val="none" w:sz="0" w:space="0" w:color="auto"/>
      </w:divBdr>
    </w:div>
    <w:div w:id="616135948">
      <w:bodyDiv w:val="1"/>
      <w:marLeft w:val="0"/>
      <w:marRight w:val="0"/>
      <w:marTop w:val="0"/>
      <w:marBottom w:val="0"/>
      <w:divBdr>
        <w:top w:val="none" w:sz="0" w:space="0" w:color="auto"/>
        <w:left w:val="none" w:sz="0" w:space="0" w:color="auto"/>
        <w:bottom w:val="none" w:sz="0" w:space="0" w:color="auto"/>
        <w:right w:val="none" w:sz="0" w:space="0" w:color="auto"/>
      </w:divBdr>
    </w:div>
    <w:div w:id="616913845">
      <w:bodyDiv w:val="1"/>
      <w:marLeft w:val="0"/>
      <w:marRight w:val="0"/>
      <w:marTop w:val="0"/>
      <w:marBottom w:val="0"/>
      <w:divBdr>
        <w:top w:val="none" w:sz="0" w:space="0" w:color="auto"/>
        <w:left w:val="none" w:sz="0" w:space="0" w:color="auto"/>
        <w:bottom w:val="none" w:sz="0" w:space="0" w:color="auto"/>
        <w:right w:val="none" w:sz="0" w:space="0" w:color="auto"/>
      </w:divBdr>
    </w:div>
    <w:div w:id="617948672">
      <w:bodyDiv w:val="1"/>
      <w:marLeft w:val="0"/>
      <w:marRight w:val="0"/>
      <w:marTop w:val="0"/>
      <w:marBottom w:val="0"/>
      <w:divBdr>
        <w:top w:val="none" w:sz="0" w:space="0" w:color="auto"/>
        <w:left w:val="none" w:sz="0" w:space="0" w:color="auto"/>
        <w:bottom w:val="none" w:sz="0" w:space="0" w:color="auto"/>
        <w:right w:val="none" w:sz="0" w:space="0" w:color="auto"/>
      </w:divBdr>
    </w:div>
    <w:div w:id="619604212">
      <w:bodyDiv w:val="1"/>
      <w:marLeft w:val="0"/>
      <w:marRight w:val="0"/>
      <w:marTop w:val="0"/>
      <w:marBottom w:val="0"/>
      <w:divBdr>
        <w:top w:val="none" w:sz="0" w:space="0" w:color="auto"/>
        <w:left w:val="none" w:sz="0" w:space="0" w:color="auto"/>
        <w:bottom w:val="none" w:sz="0" w:space="0" w:color="auto"/>
        <w:right w:val="none" w:sz="0" w:space="0" w:color="auto"/>
      </w:divBdr>
    </w:div>
    <w:div w:id="621376924">
      <w:bodyDiv w:val="1"/>
      <w:marLeft w:val="0"/>
      <w:marRight w:val="0"/>
      <w:marTop w:val="0"/>
      <w:marBottom w:val="0"/>
      <w:divBdr>
        <w:top w:val="none" w:sz="0" w:space="0" w:color="auto"/>
        <w:left w:val="none" w:sz="0" w:space="0" w:color="auto"/>
        <w:bottom w:val="none" w:sz="0" w:space="0" w:color="auto"/>
        <w:right w:val="none" w:sz="0" w:space="0" w:color="auto"/>
      </w:divBdr>
    </w:div>
    <w:div w:id="621807879">
      <w:bodyDiv w:val="1"/>
      <w:marLeft w:val="0"/>
      <w:marRight w:val="0"/>
      <w:marTop w:val="0"/>
      <w:marBottom w:val="0"/>
      <w:divBdr>
        <w:top w:val="none" w:sz="0" w:space="0" w:color="auto"/>
        <w:left w:val="none" w:sz="0" w:space="0" w:color="auto"/>
        <w:bottom w:val="none" w:sz="0" w:space="0" w:color="auto"/>
        <w:right w:val="none" w:sz="0" w:space="0" w:color="auto"/>
      </w:divBdr>
    </w:div>
    <w:div w:id="623534839">
      <w:bodyDiv w:val="1"/>
      <w:marLeft w:val="0"/>
      <w:marRight w:val="0"/>
      <w:marTop w:val="0"/>
      <w:marBottom w:val="0"/>
      <w:divBdr>
        <w:top w:val="none" w:sz="0" w:space="0" w:color="auto"/>
        <w:left w:val="none" w:sz="0" w:space="0" w:color="auto"/>
        <w:bottom w:val="none" w:sz="0" w:space="0" w:color="auto"/>
        <w:right w:val="none" w:sz="0" w:space="0" w:color="auto"/>
      </w:divBdr>
    </w:div>
    <w:div w:id="623851975">
      <w:bodyDiv w:val="1"/>
      <w:marLeft w:val="0"/>
      <w:marRight w:val="0"/>
      <w:marTop w:val="0"/>
      <w:marBottom w:val="0"/>
      <w:divBdr>
        <w:top w:val="none" w:sz="0" w:space="0" w:color="auto"/>
        <w:left w:val="none" w:sz="0" w:space="0" w:color="auto"/>
        <w:bottom w:val="none" w:sz="0" w:space="0" w:color="auto"/>
        <w:right w:val="none" w:sz="0" w:space="0" w:color="auto"/>
      </w:divBdr>
    </w:div>
    <w:div w:id="624194836">
      <w:bodyDiv w:val="1"/>
      <w:marLeft w:val="0"/>
      <w:marRight w:val="0"/>
      <w:marTop w:val="0"/>
      <w:marBottom w:val="0"/>
      <w:divBdr>
        <w:top w:val="none" w:sz="0" w:space="0" w:color="auto"/>
        <w:left w:val="none" w:sz="0" w:space="0" w:color="auto"/>
        <w:bottom w:val="none" w:sz="0" w:space="0" w:color="auto"/>
        <w:right w:val="none" w:sz="0" w:space="0" w:color="auto"/>
      </w:divBdr>
    </w:div>
    <w:div w:id="624964976">
      <w:bodyDiv w:val="1"/>
      <w:marLeft w:val="0"/>
      <w:marRight w:val="0"/>
      <w:marTop w:val="0"/>
      <w:marBottom w:val="0"/>
      <w:divBdr>
        <w:top w:val="none" w:sz="0" w:space="0" w:color="auto"/>
        <w:left w:val="none" w:sz="0" w:space="0" w:color="auto"/>
        <w:bottom w:val="none" w:sz="0" w:space="0" w:color="auto"/>
        <w:right w:val="none" w:sz="0" w:space="0" w:color="auto"/>
      </w:divBdr>
    </w:div>
    <w:div w:id="625281963">
      <w:bodyDiv w:val="1"/>
      <w:marLeft w:val="0"/>
      <w:marRight w:val="0"/>
      <w:marTop w:val="0"/>
      <w:marBottom w:val="0"/>
      <w:divBdr>
        <w:top w:val="none" w:sz="0" w:space="0" w:color="auto"/>
        <w:left w:val="none" w:sz="0" w:space="0" w:color="auto"/>
        <w:bottom w:val="none" w:sz="0" w:space="0" w:color="auto"/>
        <w:right w:val="none" w:sz="0" w:space="0" w:color="auto"/>
      </w:divBdr>
    </w:div>
    <w:div w:id="625889435">
      <w:bodyDiv w:val="1"/>
      <w:marLeft w:val="0"/>
      <w:marRight w:val="0"/>
      <w:marTop w:val="0"/>
      <w:marBottom w:val="0"/>
      <w:divBdr>
        <w:top w:val="none" w:sz="0" w:space="0" w:color="auto"/>
        <w:left w:val="none" w:sz="0" w:space="0" w:color="auto"/>
        <w:bottom w:val="none" w:sz="0" w:space="0" w:color="auto"/>
        <w:right w:val="none" w:sz="0" w:space="0" w:color="auto"/>
      </w:divBdr>
    </w:div>
    <w:div w:id="628515017">
      <w:bodyDiv w:val="1"/>
      <w:marLeft w:val="0"/>
      <w:marRight w:val="0"/>
      <w:marTop w:val="0"/>
      <w:marBottom w:val="0"/>
      <w:divBdr>
        <w:top w:val="none" w:sz="0" w:space="0" w:color="auto"/>
        <w:left w:val="none" w:sz="0" w:space="0" w:color="auto"/>
        <w:bottom w:val="none" w:sz="0" w:space="0" w:color="auto"/>
        <w:right w:val="none" w:sz="0" w:space="0" w:color="auto"/>
      </w:divBdr>
    </w:div>
    <w:div w:id="629167797">
      <w:bodyDiv w:val="1"/>
      <w:marLeft w:val="0"/>
      <w:marRight w:val="0"/>
      <w:marTop w:val="0"/>
      <w:marBottom w:val="0"/>
      <w:divBdr>
        <w:top w:val="none" w:sz="0" w:space="0" w:color="auto"/>
        <w:left w:val="none" w:sz="0" w:space="0" w:color="auto"/>
        <w:bottom w:val="none" w:sz="0" w:space="0" w:color="auto"/>
        <w:right w:val="none" w:sz="0" w:space="0" w:color="auto"/>
      </w:divBdr>
    </w:div>
    <w:div w:id="629940890">
      <w:bodyDiv w:val="1"/>
      <w:marLeft w:val="0"/>
      <w:marRight w:val="0"/>
      <w:marTop w:val="0"/>
      <w:marBottom w:val="0"/>
      <w:divBdr>
        <w:top w:val="none" w:sz="0" w:space="0" w:color="auto"/>
        <w:left w:val="none" w:sz="0" w:space="0" w:color="auto"/>
        <w:bottom w:val="none" w:sz="0" w:space="0" w:color="auto"/>
        <w:right w:val="none" w:sz="0" w:space="0" w:color="auto"/>
      </w:divBdr>
    </w:div>
    <w:div w:id="631638379">
      <w:bodyDiv w:val="1"/>
      <w:marLeft w:val="0"/>
      <w:marRight w:val="0"/>
      <w:marTop w:val="0"/>
      <w:marBottom w:val="0"/>
      <w:divBdr>
        <w:top w:val="none" w:sz="0" w:space="0" w:color="auto"/>
        <w:left w:val="none" w:sz="0" w:space="0" w:color="auto"/>
        <w:bottom w:val="none" w:sz="0" w:space="0" w:color="auto"/>
        <w:right w:val="none" w:sz="0" w:space="0" w:color="auto"/>
      </w:divBdr>
    </w:div>
    <w:div w:id="631666733">
      <w:bodyDiv w:val="1"/>
      <w:marLeft w:val="0"/>
      <w:marRight w:val="0"/>
      <w:marTop w:val="0"/>
      <w:marBottom w:val="0"/>
      <w:divBdr>
        <w:top w:val="none" w:sz="0" w:space="0" w:color="auto"/>
        <w:left w:val="none" w:sz="0" w:space="0" w:color="auto"/>
        <w:bottom w:val="none" w:sz="0" w:space="0" w:color="auto"/>
        <w:right w:val="none" w:sz="0" w:space="0" w:color="auto"/>
      </w:divBdr>
    </w:div>
    <w:div w:id="631908793">
      <w:bodyDiv w:val="1"/>
      <w:marLeft w:val="0"/>
      <w:marRight w:val="0"/>
      <w:marTop w:val="0"/>
      <w:marBottom w:val="0"/>
      <w:divBdr>
        <w:top w:val="none" w:sz="0" w:space="0" w:color="auto"/>
        <w:left w:val="none" w:sz="0" w:space="0" w:color="auto"/>
        <w:bottom w:val="none" w:sz="0" w:space="0" w:color="auto"/>
        <w:right w:val="none" w:sz="0" w:space="0" w:color="auto"/>
      </w:divBdr>
    </w:div>
    <w:div w:id="633407882">
      <w:bodyDiv w:val="1"/>
      <w:marLeft w:val="0"/>
      <w:marRight w:val="0"/>
      <w:marTop w:val="0"/>
      <w:marBottom w:val="0"/>
      <w:divBdr>
        <w:top w:val="none" w:sz="0" w:space="0" w:color="auto"/>
        <w:left w:val="none" w:sz="0" w:space="0" w:color="auto"/>
        <w:bottom w:val="none" w:sz="0" w:space="0" w:color="auto"/>
        <w:right w:val="none" w:sz="0" w:space="0" w:color="auto"/>
      </w:divBdr>
    </w:div>
    <w:div w:id="633634373">
      <w:bodyDiv w:val="1"/>
      <w:marLeft w:val="0"/>
      <w:marRight w:val="0"/>
      <w:marTop w:val="0"/>
      <w:marBottom w:val="0"/>
      <w:divBdr>
        <w:top w:val="none" w:sz="0" w:space="0" w:color="auto"/>
        <w:left w:val="none" w:sz="0" w:space="0" w:color="auto"/>
        <w:bottom w:val="none" w:sz="0" w:space="0" w:color="auto"/>
        <w:right w:val="none" w:sz="0" w:space="0" w:color="auto"/>
      </w:divBdr>
    </w:div>
    <w:div w:id="634219931">
      <w:bodyDiv w:val="1"/>
      <w:marLeft w:val="0"/>
      <w:marRight w:val="0"/>
      <w:marTop w:val="0"/>
      <w:marBottom w:val="0"/>
      <w:divBdr>
        <w:top w:val="none" w:sz="0" w:space="0" w:color="auto"/>
        <w:left w:val="none" w:sz="0" w:space="0" w:color="auto"/>
        <w:bottom w:val="none" w:sz="0" w:space="0" w:color="auto"/>
        <w:right w:val="none" w:sz="0" w:space="0" w:color="auto"/>
      </w:divBdr>
    </w:div>
    <w:div w:id="634411096">
      <w:bodyDiv w:val="1"/>
      <w:marLeft w:val="0"/>
      <w:marRight w:val="0"/>
      <w:marTop w:val="0"/>
      <w:marBottom w:val="0"/>
      <w:divBdr>
        <w:top w:val="none" w:sz="0" w:space="0" w:color="auto"/>
        <w:left w:val="none" w:sz="0" w:space="0" w:color="auto"/>
        <w:bottom w:val="none" w:sz="0" w:space="0" w:color="auto"/>
        <w:right w:val="none" w:sz="0" w:space="0" w:color="auto"/>
      </w:divBdr>
    </w:div>
    <w:div w:id="634677212">
      <w:bodyDiv w:val="1"/>
      <w:marLeft w:val="0"/>
      <w:marRight w:val="0"/>
      <w:marTop w:val="0"/>
      <w:marBottom w:val="0"/>
      <w:divBdr>
        <w:top w:val="none" w:sz="0" w:space="0" w:color="auto"/>
        <w:left w:val="none" w:sz="0" w:space="0" w:color="auto"/>
        <w:bottom w:val="none" w:sz="0" w:space="0" w:color="auto"/>
        <w:right w:val="none" w:sz="0" w:space="0" w:color="auto"/>
      </w:divBdr>
    </w:div>
    <w:div w:id="634717108">
      <w:bodyDiv w:val="1"/>
      <w:marLeft w:val="0"/>
      <w:marRight w:val="0"/>
      <w:marTop w:val="0"/>
      <w:marBottom w:val="0"/>
      <w:divBdr>
        <w:top w:val="none" w:sz="0" w:space="0" w:color="auto"/>
        <w:left w:val="none" w:sz="0" w:space="0" w:color="auto"/>
        <w:bottom w:val="none" w:sz="0" w:space="0" w:color="auto"/>
        <w:right w:val="none" w:sz="0" w:space="0" w:color="auto"/>
      </w:divBdr>
    </w:div>
    <w:div w:id="635649583">
      <w:bodyDiv w:val="1"/>
      <w:marLeft w:val="0"/>
      <w:marRight w:val="0"/>
      <w:marTop w:val="0"/>
      <w:marBottom w:val="0"/>
      <w:divBdr>
        <w:top w:val="none" w:sz="0" w:space="0" w:color="auto"/>
        <w:left w:val="none" w:sz="0" w:space="0" w:color="auto"/>
        <w:bottom w:val="none" w:sz="0" w:space="0" w:color="auto"/>
        <w:right w:val="none" w:sz="0" w:space="0" w:color="auto"/>
      </w:divBdr>
    </w:div>
    <w:div w:id="638194127">
      <w:bodyDiv w:val="1"/>
      <w:marLeft w:val="0"/>
      <w:marRight w:val="0"/>
      <w:marTop w:val="0"/>
      <w:marBottom w:val="0"/>
      <w:divBdr>
        <w:top w:val="none" w:sz="0" w:space="0" w:color="auto"/>
        <w:left w:val="none" w:sz="0" w:space="0" w:color="auto"/>
        <w:bottom w:val="none" w:sz="0" w:space="0" w:color="auto"/>
        <w:right w:val="none" w:sz="0" w:space="0" w:color="auto"/>
      </w:divBdr>
    </w:div>
    <w:div w:id="639576159">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768935">
      <w:bodyDiv w:val="1"/>
      <w:marLeft w:val="0"/>
      <w:marRight w:val="0"/>
      <w:marTop w:val="0"/>
      <w:marBottom w:val="0"/>
      <w:divBdr>
        <w:top w:val="none" w:sz="0" w:space="0" w:color="auto"/>
        <w:left w:val="none" w:sz="0" w:space="0" w:color="auto"/>
        <w:bottom w:val="none" w:sz="0" w:space="0" w:color="auto"/>
        <w:right w:val="none" w:sz="0" w:space="0" w:color="auto"/>
      </w:divBdr>
    </w:div>
    <w:div w:id="641154034">
      <w:bodyDiv w:val="1"/>
      <w:marLeft w:val="0"/>
      <w:marRight w:val="0"/>
      <w:marTop w:val="0"/>
      <w:marBottom w:val="0"/>
      <w:divBdr>
        <w:top w:val="none" w:sz="0" w:space="0" w:color="auto"/>
        <w:left w:val="none" w:sz="0" w:space="0" w:color="auto"/>
        <w:bottom w:val="none" w:sz="0" w:space="0" w:color="auto"/>
        <w:right w:val="none" w:sz="0" w:space="0" w:color="auto"/>
      </w:divBdr>
    </w:div>
    <w:div w:id="642778858">
      <w:bodyDiv w:val="1"/>
      <w:marLeft w:val="0"/>
      <w:marRight w:val="0"/>
      <w:marTop w:val="0"/>
      <w:marBottom w:val="0"/>
      <w:divBdr>
        <w:top w:val="none" w:sz="0" w:space="0" w:color="auto"/>
        <w:left w:val="none" w:sz="0" w:space="0" w:color="auto"/>
        <w:bottom w:val="none" w:sz="0" w:space="0" w:color="auto"/>
        <w:right w:val="none" w:sz="0" w:space="0" w:color="auto"/>
      </w:divBdr>
    </w:div>
    <w:div w:id="644310282">
      <w:bodyDiv w:val="1"/>
      <w:marLeft w:val="0"/>
      <w:marRight w:val="0"/>
      <w:marTop w:val="0"/>
      <w:marBottom w:val="0"/>
      <w:divBdr>
        <w:top w:val="none" w:sz="0" w:space="0" w:color="auto"/>
        <w:left w:val="none" w:sz="0" w:space="0" w:color="auto"/>
        <w:bottom w:val="none" w:sz="0" w:space="0" w:color="auto"/>
        <w:right w:val="none" w:sz="0" w:space="0" w:color="auto"/>
      </w:divBdr>
    </w:div>
    <w:div w:id="648630994">
      <w:bodyDiv w:val="1"/>
      <w:marLeft w:val="0"/>
      <w:marRight w:val="0"/>
      <w:marTop w:val="0"/>
      <w:marBottom w:val="0"/>
      <w:divBdr>
        <w:top w:val="none" w:sz="0" w:space="0" w:color="auto"/>
        <w:left w:val="none" w:sz="0" w:space="0" w:color="auto"/>
        <w:bottom w:val="none" w:sz="0" w:space="0" w:color="auto"/>
        <w:right w:val="none" w:sz="0" w:space="0" w:color="auto"/>
      </w:divBdr>
    </w:div>
    <w:div w:id="648707911">
      <w:bodyDiv w:val="1"/>
      <w:marLeft w:val="0"/>
      <w:marRight w:val="0"/>
      <w:marTop w:val="0"/>
      <w:marBottom w:val="0"/>
      <w:divBdr>
        <w:top w:val="none" w:sz="0" w:space="0" w:color="auto"/>
        <w:left w:val="none" w:sz="0" w:space="0" w:color="auto"/>
        <w:bottom w:val="none" w:sz="0" w:space="0" w:color="auto"/>
        <w:right w:val="none" w:sz="0" w:space="0" w:color="auto"/>
      </w:divBdr>
    </w:div>
    <w:div w:id="650521506">
      <w:bodyDiv w:val="1"/>
      <w:marLeft w:val="0"/>
      <w:marRight w:val="0"/>
      <w:marTop w:val="0"/>
      <w:marBottom w:val="0"/>
      <w:divBdr>
        <w:top w:val="none" w:sz="0" w:space="0" w:color="auto"/>
        <w:left w:val="none" w:sz="0" w:space="0" w:color="auto"/>
        <w:bottom w:val="none" w:sz="0" w:space="0" w:color="auto"/>
        <w:right w:val="none" w:sz="0" w:space="0" w:color="auto"/>
      </w:divBdr>
    </w:div>
    <w:div w:id="650524929">
      <w:bodyDiv w:val="1"/>
      <w:marLeft w:val="0"/>
      <w:marRight w:val="0"/>
      <w:marTop w:val="0"/>
      <w:marBottom w:val="0"/>
      <w:divBdr>
        <w:top w:val="none" w:sz="0" w:space="0" w:color="auto"/>
        <w:left w:val="none" w:sz="0" w:space="0" w:color="auto"/>
        <w:bottom w:val="none" w:sz="0" w:space="0" w:color="auto"/>
        <w:right w:val="none" w:sz="0" w:space="0" w:color="auto"/>
      </w:divBdr>
    </w:div>
    <w:div w:id="650712881">
      <w:bodyDiv w:val="1"/>
      <w:marLeft w:val="0"/>
      <w:marRight w:val="0"/>
      <w:marTop w:val="0"/>
      <w:marBottom w:val="0"/>
      <w:divBdr>
        <w:top w:val="none" w:sz="0" w:space="0" w:color="auto"/>
        <w:left w:val="none" w:sz="0" w:space="0" w:color="auto"/>
        <w:bottom w:val="none" w:sz="0" w:space="0" w:color="auto"/>
        <w:right w:val="none" w:sz="0" w:space="0" w:color="auto"/>
      </w:divBdr>
    </w:div>
    <w:div w:id="650915037">
      <w:bodyDiv w:val="1"/>
      <w:marLeft w:val="0"/>
      <w:marRight w:val="0"/>
      <w:marTop w:val="0"/>
      <w:marBottom w:val="0"/>
      <w:divBdr>
        <w:top w:val="none" w:sz="0" w:space="0" w:color="auto"/>
        <w:left w:val="none" w:sz="0" w:space="0" w:color="auto"/>
        <w:bottom w:val="none" w:sz="0" w:space="0" w:color="auto"/>
        <w:right w:val="none" w:sz="0" w:space="0" w:color="auto"/>
      </w:divBdr>
    </w:div>
    <w:div w:id="653947795">
      <w:bodyDiv w:val="1"/>
      <w:marLeft w:val="0"/>
      <w:marRight w:val="0"/>
      <w:marTop w:val="0"/>
      <w:marBottom w:val="0"/>
      <w:divBdr>
        <w:top w:val="none" w:sz="0" w:space="0" w:color="auto"/>
        <w:left w:val="none" w:sz="0" w:space="0" w:color="auto"/>
        <w:bottom w:val="none" w:sz="0" w:space="0" w:color="auto"/>
        <w:right w:val="none" w:sz="0" w:space="0" w:color="auto"/>
      </w:divBdr>
    </w:div>
    <w:div w:id="654799050">
      <w:bodyDiv w:val="1"/>
      <w:marLeft w:val="0"/>
      <w:marRight w:val="0"/>
      <w:marTop w:val="0"/>
      <w:marBottom w:val="0"/>
      <w:divBdr>
        <w:top w:val="none" w:sz="0" w:space="0" w:color="auto"/>
        <w:left w:val="none" w:sz="0" w:space="0" w:color="auto"/>
        <w:bottom w:val="none" w:sz="0" w:space="0" w:color="auto"/>
        <w:right w:val="none" w:sz="0" w:space="0" w:color="auto"/>
      </w:divBdr>
    </w:div>
    <w:div w:id="654841855">
      <w:bodyDiv w:val="1"/>
      <w:marLeft w:val="0"/>
      <w:marRight w:val="0"/>
      <w:marTop w:val="0"/>
      <w:marBottom w:val="0"/>
      <w:divBdr>
        <w:top w:val="none" w:sz="0" w:space="0" w:color="auto"/>
        <w:left w:val="none" w:sz="0" w:space="0" w:color="auto"/>
        <w:bottom w:val="none" w:sz="0" w:space="0" w:color="auto"/>
        <w:right w:val="none" w:sz="0" w:space="0" w:color="auto"/>
      </w:divBdr>
    </w:div>
    <w:div w:id="655110907">
      <w:bodyDiv w:val="1"/>
      <w:marLeft w:val="0"/>
      <w:marRight w:val="0"/>
      <w:marTop w:val="0"/>
      <w:marBottom w:val="0"/>
      <w:divBdr>
        <w:top w:val="none" w:sz="0" w:space="0" w:color="auto"/>
        <w:left w:val="none" w:sz="0" w:space="0" w:color="auto"/>
        <w:bottom w:val="none" w:sz="0" w:space="0" w:color="auto"/>
        <w:right w:val="none" w:sz="0" w:space="0" w:color="auto"/>
      </w:divBdr>
    </w:div>
    <w:div w:id="661591210">
      <w:bodyDiv w:val="1"/>
      <w:marLeft w:val="0"/>
      <w:marRight w:val="0"/>
      <w:marTop w:val="0"/>
      <w:marBottom w:val="0"/>
      <w:divBdr>
        <w:top w:val="none" w:sz="0" w:space="0" w:color="auto"/>
        <w:left w:val="none" w:sz="0" w:space="0" w:color="auto"/>
        <w:bottom w:val="none" w:sz="0" w:space="0" w:color="auto"/>
        <w:right w:val="none" w:sz="0" w:space="0" w:color="auto"/>
      </w:divBdr>
    </w:div>
    <w:div w:id="661666388">
      <w:bodyDiv w:val="1"/>
      <w:marLeft w:val="0"/>
      <w:marRight w:val="0"/>
      <w:marTop w:val="0"/>
      <w:marBottom w:val="0"/>
      <w:divBdr>
        <w:top w:val="none" w:sz="0" w:space="0" w:color="auto"/>
        <w:left w:val="none" w:sz="0" w:space="0" w:color="auto"/>
        <w:bottom w:val="none" w:sz="0" w:space="0" w:color="auto"/>
        <w:right w:val="none" w:sz="0" w:space="0" w:color="auto"/>
      </w:divBdr>
    </w:div>
    <w:div w:id="662322988">
      <w:bodyDiv w:val="1"/>
      <w:marLeft w:val="0"/>
      <w:marRight w:val="0"/>
      <w:marTop w:val="0"/>
      <w:marBottom w:val="0"/>
      <w:divBdr>
        <w:top w:val="none" w:sz="0" w:space="0" w:color="auto"/>
        <w:left w:val="none" w:sz="0" w:space="0" w:color="auto"/>
        <w:bottom w:val="none" w:sz="0" w:space="0" w:color="auto"/>
        <w:right w:val="none" w:sz="0" w:space="0" w:color="auto"/>
      </w:divBdr>
    </w:div>
    <w:div w:id="662858538">
      <w:bodyDiv w:val="1"/>
      <w:marLeft w:val="0"/>
      <w:marRight w:val="0"/>
      <w:marTop w:val="0"/>
      <w:marBottom w:val="0"/>
      <w:divBdr>
        <w:top w:val="none" w:sz="0" w:space="0" w:color="auto"/>
        <w:left w:val="none" w:sz="0" w:space="0" w:color="auto"/>
        <w:bottom w:val="none" w:sz="0" w:space="0" w:color="auto"/>
        <w:right w:val="none" w:sz="0" w:space="0" w:color="auto"/>
      </w:divBdr>
    </w:div>
    <w:div w:id="663166957">
      <w:bodyDiv w:val="1"/>
      <w:marLeft w:val="0"/>
      <w:marRight w:val="0"/>
      <w:marTop w:val="0"/>
      <w:marBottom w:val="0"/>
      <w:divBdr>
        <w:top w:val="none" w:sz="0" w:space="0" w:color="auto"/>
        <w:left w:val="none" w:sz="0" w:space="0" w:color="auto"/>
        <w:bottom w:val="none" w:sz="0" w:space="0" w:color="auto"/>
        <w:right w:val="none" w:sz="0" w:space="0" w:color="auto"/>
      </w:divBdr>
    </w:div>
    <w:div w:id="663750515">
      <w:bodyDiv w:val="1"/>
      <w:marLeft w:val="0"/>
      <w:marRight w:val="0"/>
      <w:marTop w:val="0"/>
      <w:marBottom w:val="0"/>
      <w:divBdr>
        <w:top w:val="none" w:sz="0" w:space="0" w:color="auto"/>
        <w:left w:val="none" w:sz="0" w:space="0" w:color="auto"/>
        <w:bottom w:val="none" w:sz="0" w:space="0" w:color="auto"/>
        <w:right w:val="none" w:sz="0" w:space="0" w:color="auto"/>
      </w:divBdr>
    </w:div>
    <w:div w:id="665550328">
      <w:bodyDiv w:val="1"/>
      <w:marLeft w:val="0"/>
      <w:marRight w:val="0"/>
      <w:marTop w:val="0"/>
      <w:marBottom w:val="0"/>
      <w:divBdr>
        <w:top w:val="none" w:sz="0" w:space="0" w:color="auto"/>
        <w:left w:val="none" w:sz="0" w:space="0" w:color="auto"/>
        <w:bottom w:val="none" w:sz="0" w:space="0" w:color="auto"/>
        <w:right w:val="none" w:sz="0" w:space="0" w:color="auto"/>
      </w:divBdr>
    </w:div>
    <w:div w:id="666708790">
      <w:bodyDiv w:val="1"/>
      <w:marLeft w:val="0"/>
      <w:marRight w:val="0"/>
      <w:marTop w:val="0"/>
      <w:marBottom w:val="0"/>
      <w:divBdr>
        <w:top w:val="none" w:sz="0" w:space="0" w:color="auto"/>
        <w:left w:val="none" w:sz="0" w:space="0" w:color="auto"/>
        <w:bottom w:val="none" w:sz="0" w:space="0" w:color="auto"/>
        <w:right w:val="none" w:sz="0" w:space="0" w:color="auto"/>
      </w:divBdr>
    </w:div>
    <w:div w:id="668337832">
      <w:bodyDiv w:val="1"/>
      <w:marLeft w:val="0"/>
      <w:marRight w:val="0"/>
      <w:marTop w:val="0"/>
      <w:marBottom w:val="0"/>
      <w:divBdr>
        <w:top w:val="none" w:sz="0" w:space="0" w:color="auto"/>
        <w:left w:val="none" w:sz="0" w:space="0" w:color="auto"/>
        <w:bottom w:val="none" w:sz="0" w:space="0" w:color="auto"/>
        <w:right w:val="none" w:sz="0" w:space="0" w:color="auto"/>
      </w:divBdr>
    </w:div>
    <w:div w:id="668488367">
      <w:bodyDiv w:val="1"/>
      <w:marLeft w:val="0"/>
      <w:marRight w:val="0"/>
      <w:marTop w:val="0"/>
      <w:marBottom w:val="0"/>
      <w:divBdr>
        <w:top w:val="none" w:sz="0" w:space="0" w:color="auto"/>
        <w:left w:val="none" w:sz="0" w:space="0" w:color="auto"/>
        <w:bottom w:val="none" w:sz="0" w:space="0" w:color="auto"/>
        <w:right w:val="none" w:sz="0" w:space="0" w:color="auto"/>
      </w:divBdr>
    </w:div>
    <w:div w:id="671954855">
      <w:bodyDiv w:val="1"/>
      <w:marLeft w:val="0"/>
      <w:marRight w:val="0"/>
      <w:marTop w:val="0"/>
      <w:marBottom w:val="0"/>
      <w:divBdr>
        <w:top w:val="none" w:sz="0" w:space="0" w:color="auto"/>
        <w:left w:val="none" w:sz="0" w:space="0" w:color="auto"/>
        <w:bottom w:val="none" w:sz="0" w:space="0" w:color="auto"/>
        <w:right w:val="none" w:sz="0" w:space="0" w:color="auto"/>
      </w:divBdr>
    </w:div>
    <w:div w:id="676004601">
      <w:bodyDiv w:val="1"/>
      <w:marLeft w:val="0"/>
      <w:marRight w:val="0"/>
      <w:marTop w:val="0"/>
      <w:marBottom w:val="0"/>
      <w:divBdr>
        <w:top w:val="none" w:sz="0" w:space="0" w:color="auto"/>
        <w:left w:val="none" w:sz="0" w:space="0" w:color="auto"/>
        <w:bottom w:val="none" w:sz="0" w:space="0" w:color="auto"/>
        <w:right w:val="none" w:sz="0" w:space="0" w:color="auto"/>
      </w:divBdr>
    </w:div>
    <w:div w:id="676075544">
      <w:bodyDiv w:val="1"/>
      <w:marLeft w:val="0"/>
      <w:marRight w:val="0"/>
      <w:marTop w:val="0"/>
      <w:marBottom w:val="0"/>
      <w:divBdr>
        <w:top w:val="none" w:sz="0" w:space="0" w:color="auto"/>
        <w:left w:val="none" w:sz="0" w:space="0" w:color="auto"/>
        <w:bottom w:val="none" w:sz="0" w:space="0" w:color="auto"/>
        <w:right w:val="none" w:sz="0" w:space="0" w:color="auto"/>
      </w:divBdr>
    </w:div>
    <w:div w:id="676271033">
      <w:bodyDiv w:val="1"/>
      <w:marLeft w:val="0"/>
      <w:marRight w:val="0"/>
      <w:marTop w:val="0"/>
      <w:marBottom w:val="0"/>
      <w:divBdr>
        <w:top w:val="none" w:sz="0" w:space="0" w:color="auto"/>
        <w:left w:val="none" w:sz="0" w:space="0" w:color="auto"/>
        <w:bottom w:val="none" w:sz="0" w:space="0" w:color="auto"/>
        <w:right w:val="none" w:sz="0" w:space="0" w:color="auto"/>
      </w:divBdr>
    </w:div>
    <w:div w:id="678239042">
      <w:bodyDiv w:val="1"/>
      <w:marLeft w:val="0"/>
      <w:marRight w:val="0"/>
      <w:marTop w:val="0"/>
      <w:marBottom w:val="0"/>
      <w:divBdr>
        <w:top w:val="none" w:sz="0" w:space="0" w:color="auto"/>
        <w:left w:val="none" w:sz="0" w:space="0" w:color="auto"/>
        <w:bottom w:val="none" w:sz="0" w:space="0" w:color="auto"/>
        <w:right w:val="none" w:sz="0" w:space="0" w:color="auto"/>
      </w:divBdr>
    </w:div>
    <w:div w:id="678433202">
      <w:bodyDiv w:val="1"/>
      <w:marLeft w:val="0"/>
      <w:marRight w:val="0"/>
      <w:marTop w:val="0"/>
      <w:marBottom w:val="0"/>
      <w:divBdr>
        <w:top w:val="none" w:sz="0" w:space="0" w:color="auto"/>
        <w:left w:val="none" w:sz="0" w:space="0" w:color="auto"/>
        <w:bottom w:val="none" w:sz="0" w:space="0" w:color="auto"/>
        <w:right w:val="none" w:sz="0" w:space="0" w:color="auto"/>
      </w:divBdr>
    </w:div>
    <w:div w:id="679241161">
      <w:bodyDiv w:val="1"/>
      <w:marLeft w:val="0"/>
      <w:marRight w:val="0"/>
      <w:marTop w:val="0"/>
      <w:marBottom w:val="0"/>
      <w:divBdr>
        <w:top w:val="none" w:sz="0" w:space="0" w:color="auto"/>
        <w:left w:val="none" w:sz="0" w:space="0" w:color="auto"/>
        <w:bottom w:val="none" w:sz="0" w:space="0" w:color="auto"/>
        <w:right w:val="none" w:sz="0" w:space="0" w:color="auto"/>
      </w:divBdr>
    </w:div>
    <w:div w:id="679745486">
      <w:bodyDiv w:val="1"/>
      <w:marLeft w:val="0"/>
      <w:marRight w:val="0"/>
      <w:marTop w:val="0"/>
      <w:marBottom w:val="0"/>
      <w:divBdr>
        <w:top w:val="none" w:sz="0" w:space="0" w:color="auto"/>
        <w:left w:val="none" w:sz="0" w:space="0" w:color="auto"/>
        <w:bottom w:val="none" w:sz="0" w:space="0" w:color="auto"/>
        <w:right w:val="none" w:sz="0" w:space="0" w:color="auto"/>
      </w:divBdr>
    </w:div>
    <w:div w:id="680202170">
      <w:bodyDiv w:val="1"/>
      <w:marLeft w:val="0"/>
      <w:marRight w:val="0"/>
      <w:marTop w:val="0"/>
      <w:marBottom w:val="0"/>
      <w:divBdr>
        <w:top w:val="none" w:sz="0" w:space="0" w:color="auto"/>
        <w:left w:val="none" w:sz="0" w:space="0" w:color="auto"/>
        <w:bottom w:val="none" w:sz="0" w:space="0" w:color="auto"/>
        <w:right w:val="none" w:sz="0" w:space="0" w:color="auto"/>
      </w:divBdr>
    </w:div>
    <w:div w:id="680394994">
      <w:bodyDiv w:val="1"/>
      <w:marLeft w:val="0"/>
      <w:marRight w:val="0"/>
      <w:marTop w:val="0"/>
      <w:marBottom w:val="0"/>
      <w:divBdr>
        <w:top w:val="none" w:sz="0" w:space="0" w:color="auto"/>
        <w:left w:val="none" w:sz="0" w:space="0" w:color="auto"/>
        <w:bottom w:val="none" w:sz="0" w:space="0" w:color="auto"/>
        <w:right w:val="none" w:sz="0" w:space="0" w:color="auto"/>
      </w:divBdr>
    </w:div>
    <w:div w:id="681396642">
      <w:bodyDiv w:val="1"/>
      <w:marLeft w:val="0"/>
      <w:marRight w:val="0"/>
      <w:marTop w:val="0"/>
      <w:marBottom w:val="0"/>
      <w:divBdr>
        <w:top w:val="none" w:sz="0" w:space="0" w:color="auto"/>
        <w:left w:val="none" w:sz="0" w:space="0" w:color="auto"/>
        <w:bottom w:val="none" w:sz="0" w:space="0" w:color="auto"/>
        <w:right w:val="none" w:sz="0" w:space="0" w:color="auto"/>
      </w:divBdr>
    </w:div>
    <w:div w:id="682392596">
      <w:bodyDiv w:val="1"/>
      <w:marLeft w:val="0"/>
      <w:marRight w:val="0"/>
      <w:marTop w:val="0"/>
      <w:marBottom w:val="0"/>
      <w:divBdr>
        <w:top w:val="none" w:sz="0" w:space="0" w:color="auto"/>
        <w:left w:val="none" w:sz="0" w:space="0" w:color="auto"/>
        <w:bottom w:val="none" w:sz="0" w:space="0" w:color="auto"/>
        <w:right w:val="none" w:sz="0" w:space="0" w:color="auto"/>
      </w:divBdr>
    </w:div>
    <w:div w:id="684090821">
      <w:bodyDiv w:val="1"/>
      <w:marLeft w:val="0"/>
      <w:marRight w:val="0"/>
      <w:marTop w:val="0"/>
      <w:marBottom w:val="0"/>
      <w:divBdr>
        <w:top w:val="none" w:sz="0" w:space="0" w:color="auto"/>
        <w:left w:val="none" w:sz="0" w:space="0" w:color="auto"/>
        <w:bottom w:val="none" w:sz="0" w:space="0" w:color="auto"/>
        <w:right w:val="none" w:sz="0" w:space="0" w:color="auto"/>
      </w:divBdr>
    </w:div>
    <w:div w:id="684291124">
      <w:bodyDiv w:val="1"/>
      <w:marLeft w:val="0"/>
      <w:marRight w:val="0"/>
      <w:marTop w:val="0"/>
      <w:marBottom w:val="0"/>
      <w:divBdr>
        <w:top w:val="none" w:sz="0" w:space="0" w:color="auto"/>
        <w:left w:val="none" w:sz="0" w:space="0" w:color="auto"/>
        <w:bottom w:val="none" w:sz="0" w:space="0" w:color="auto"/>
        <w:right w:val="none" w:sz="0" w:space="0" w:color="auto"/>
      </w:divBdr>
    </w:div>
    <w:div w:id="686559861">
      <w:bodyDiv w:val="1"/>
      <w:marLeft w:val="0"/>
      <w:marRight w:val="0"/>
      <w:marTop w:val="0"/>
      <w:marBottom w:val="0"/>
      <w:divBdr>
        <w:top w:val="none" w:sz="0" w:space="0" w:color="auto"/>
        <w:left w:val="none" w:sz="0" w:space="0" w:color="auto"/>
        <w:bottom w:val="none" w:sz="0" w:space="0" w:color="auto"/>
        <w:right w:val="none" w:sz="0" w:space="0" w:color="auto"/>
      </w:divBdr>
    </w:div>
    <w:div w:id="686637448">
      <w:bodyDiv w:val="1"/>
      <w:marLeft w:val="0"/>
      <w:marRight w:val="0"/>
      <w:marTop w:val="0"/>
      <w:marBottom w:val="0"/>
      <w:divBdr>
        <w:top w:val="none" w:sz="0" w:space="0" w:color="auto"/>
        <w:left w:val="none" w:sz="0" w:space="0" w:color="auto"/>
        <w:bottom w:val="none" w:sz="0" w:space="0" w:color="auto"/>
        <w:right w:val="none" w:sz="0" w:space="0" w:color="auto"/>
      </w:divBdr>
    </w:div>
    <w:div w:id="686833287">
      <w:bodyDiv w:val="1"/>
      <w:marLeft w:val="0"/>
      <w:marRight w:val="0"/>
      <w:marTop w:val="0"/>
      <w:marBottom w:val="0"/>
      <w:divBdr>
        <w:top w:val="none" w:sz="0" w:space="0" w:color="auto"/>
        <w:left w:val="none" w:sz="0" w:space="0" w:color="auto"/>
        <w:bottom w:val="none" w:sz="0" w:space="0" w:color="auto"/>
        <w:right w:val="none" w:sz="0" w:space="0" w:color="auto"/>
      </w:divBdr>
    </w:div>
    <w:div w:id="688139093">
      <w:bodyDiv w:val="1"/>
      <w:marLeft w:val="0"/>
      <w:marRight w:val="0"/>
      <w:marTop w:val="0"/>
      <w:marBottom w:val="0"/>
      <w:divBdr>
        <w:top w:val="none" w:sz="0" w:space="0" w:color="auto"/>
        <w:left w:val="none" w:sz="0" w:space="0" w:color="auto"/>
        <w:bottom w:val="none" w:sz="0" w:space="0" w:color="auto"/>
        <w:right w:val="none" w:sz="0" w:space="0" w:color="auto"/>
      </w:divBdr>
    </w:div>
    <w:div w:id="688799577">
      <w:bodyDiv w:val="1"/>
      <w:marLeft w:val="0"/>
      <w:marRight w:val="0"/>
      <w:marTop w:val="0"/>
      <w:marBottom w:val="0"/>
      <w:divBdr>
        <w:top w:val="none" w:sz="0" w:space="0" w:color="auto"/>
        <w:left w:val="none" w:sz="0" w:space="0" w:color="auto"/>
        <w:bottom w:val="none" w:sz="0" w:space="0" w:color="auto"/>
        <w:right w:val="none" w:sz="0" w:space="0" w:color="auto"/>
      </w:divBdr>
    </w:div>
    <w:div w:id="692078405">
      <w:bodyDiv w:val="1"/>
      <w:marLeft w:val="0"/>
      <w:marRight w:val="0"/>
      <w:marTop w:val="0"/>
      <w:marBottom w:val="0"/>
      <w:divBdr>
        <w:top w:val="none" w:sz="0" w:space="0" w:color="auto"/>
        <w:left w:val="none" w:sz="0" w:space="0" w:color="auto"/>
        <w:bottom w:val="none" w:sz="0" w:space="0" w:color="auto"/>
        <w:right w:val="none" w:sz="0" w:space="0" w:color="auto"/>
      </w:divBdr>
    </w:div>
    <w:div w:id="693196026">
      <w:bodyDiv w:val="1"/>
      <w:marLeft w:val="0"/>
      <w:marRight w:val="0"/>
      <w:marTop w:val="0"/>
      <w:marBottom w:val="0"/>
      <w:divBdr>
        <w:top w:val="none" w:sz="0" w:space="0" w:color="auto"/>
        <w:left w:val="none" w:sz="0" w:space="0" w:color="auto"/>
        <w:bottom w:val="none" w:sz="0" w:space="0" w:color="auto"/>
        <w:right w:val="none" w:sz="0" w:space="0" w:color="auto"/>
      </w:divBdr>
    </w:div>
    <w:div w:id="696472467">
      <w:bodyDiv w:val="1"/>
      <w:marLeft w:val="0"/>
      <w:marRight w:val="0"/>
      <w:marTop w:val="0"/>
      <w:marBottom w:val="0"/>
      <w:divBdr>
        <w:top w:val="none" w:sz="0" w:space="0" w:color="auto"/>
        <w:left w:val="none" w:sz="0" w:space="0" w:color="auto"/>
        <w:bottom w:val="none" w:sz="0" w:space="0" w:color="auto"/>
        <w:right w:val="none" w:sz="0" w:space="0" w:color="auto"/>
      </w:divBdr>
    </w:div>
    <w:div w:id="697508818">
      <w:bodyDiv w:val="1"/>
      <w:marLeft w:val="0"/>
      <w:marRight w:val="0"/>
      <w:marTop w:val="0"/>
      <w:marBottom w:val="0"/>
      <w:divBdr>
        <w:top w:val="none" w:sz="0" w:space="0" w:color="auto"/>
        <w:left w:val="none" w:sz="0" w:space="0" w:color="auto"/>
        <w:bottom w:val="none" w:sz="0" w:space="0" w:color="auto"/>
        <w:right w:val="none" w:sz="0" w:space="0" w:color="auto"/>
      </w:divBdr>
    </w:div>
    <w:div w:id="704255355">
      <w:bodyDiv w:val="1"/>
      <w:marLeft w:val="0"/>
      <w:marRight w:val="0"/>
      <w:marTop w:val="0"/>
      <w:marBottom w:val="0"/>
      <w:divBdr>
        <w:top w:val="none" w:sz="0" w:space="0" w:color="auto"/>
        <w:left w:val="none" w:sz="0" w:space="0" w:color="auto"/>
        <w:bottom w:val="none" w:sz="0" w:space="0" w:color="auto"/>
        <w:right w:val="none" w:sz="0" w:space="0" w:color="auto"/>
      </w:divBdr>
    </w:div>
    <w:div w:id="710569111">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658017">
      <w:bodyDiv w:val="1"/>
      <w:marLeft w:val="0"/>
      <w:marRight w:val="0"/>
      <w:marTop w:val="0"/>
      <w:marBottom w:val="0"/>
      <w:divBdr>
        <w:top w:val="none" w:sz="0" w:space="0" w:color="auto"/>
        <w:left w:val="none" w:sz="0" w:space="0" w:color="auto"/>
        <w:bottom w:val="none" w:sz="0" w:space="0" w:color="auto"/>
        <w:right w:val="none" w:sz="0" w:space="0" w:color="auto"/>
      </w:divBdr>
    </w:div>
    <w:div w:id="711810486">
      <w:bodyDiv w:val="1"/>
      <w:marLeft w:val="0"/>
      <w:marRight w:val="0"/>
      <w:marTop w:val="0"/>
      <w:marBottom w:val="0"/>
      <w:divBdr>
        <w:top w:val="none" w:sz="0" w:space="0" w:color="auto"/>
        <w:left w:val="none" w:sz="0" w:space="0" w:color="auto"/>
        <w:bottom w:val="none" w:sz="0" w:space="0" w:color="auto"/>
        <w:right w:val="none" w:sz="0" w:space="0" w:color="auto"/>
      </w:divBdr>
    </w:div>
    <w:div w:id="714550632">
      <w:bodyDiv w:val="1"/>
      <w:marLeft w:val="0"/>
      <w:marRight w:val="0"/>
      <w:marTop w:val="0"/>
      <w:marBottom w:val="0"/>
      <w:divBdr>
        <w:top w:val="none" w:sz="0" w:space="0" w:color="auto"/>
        <w:left w:val="none" w:sz="0" w:space="0" w:color="auto"/>
        <w:bottom w:val="none" w:sz="0" w:space="0" w:color="auto"/>
        <w:right w:val="none" w:sz="0" w:space="0" w:color="auto"/>
      </w:divBdr>
    </w:div>
    <w:div w:id="714964898">
      <w:bodyDiv w:val="1"/>
      <w:marLeft w:val="0"/>
      <w:marRight w:val="0"/>
      <w:marTop w:val="0"/>
      <w:marBottom w:val="0"/>
      <w:divBdr>
        <w:top w:val="none" w:sz="0" w:space="0" w:color="auto"/>
        <w:left w:val="none" w:sz="0" w:space="0" w:color="auto"/>
        <w:bottom w:val="none" w:sz="0" w:space="0" w:color="auto"/>
        <w:right w:val="none" w:sz="0" w:space="0" w:color="auto"/>
      </w:divBdr>
    </w:div>
    <w:div w:id="715008685">
      <w:bodyDiv w:val="1"/>
      <w:marLeft w:val="0"/>
      <w:marRight w:val="0"/>
      <w:marTop w:val="0"/>
      <w:marBottom w:val="0"/>
      <w:divBdr>
        <w:top w:val="none" w:sz="0" w:space="0" w:color="auto"/>
        <w:left w:val="none" w:sz="0" w:space="0" w:color="auto"/>
        <w:bottom w:val="none" w:sz="0" w:space="0" w:color="auto"/>
        <w:right w:val="none" w:sz="0" w:space="0" w:color="auto"/>
      </w:divBdr>
    </w:div>
    <w:div w:id="719792384">
      <w:bodyDiv w:val="1"/>
      <w:marLeft w:val="0"/>
      <w:marRight w:val="0"/>
      <w:marTop w:val="0"/>
      <w:marBottom w:val="0"/>
      <w:divBdr>
        <w:top w:val="none" w:sz="0" w:space="0" w:color="auto"/>
        <w:left w:val="none" w:sz="0" w:space="0" w:color="auto"/>
        <w:bottom w:val="none" w:sz="0" w:space="0" w:color="auto"/>
        <w:right w:val="none" w:sz="0" w:space="0" w:color="auto"/>
      </w:divBdr>
    </w:div>
    <w:div w:id="720249835">
      <w:bodyDiv w:val="1"/>
      <w:marLeft w:val="0"/>
      <w:marRight w:val="0"/>
      <w:marTop w:val="0"/>
      <w:marBottom w:val="0"/>
      <w:divBdr>
        <w:top w:val="none" w:sz="0" w:space="0" w:color="auto"/>
        <w:left w:val="none" w:sz="0" w:space="0" w:color="auto"/>
        <w:bottom w:val="none" w:sz="0" w:space="0" w:color="auto"/>
        <w:right w:val="none" w:sz="0" w:space="0" w:color="auto"/>
      </w:divBdr>
    </w:div>
    <w:div w:id="720596934">
      <w:bodyDiv w:val="1"/>
      <w:marLeft w:val="0"/>
      <w:marRight w:val="0"/>
      <w:marTop w:val="0"/>
      <w:marBottom w:val="0"/>
      <w:divBdr>
        <w:top w:val="none" w:sz="0" w:space="0" w:color="auto"/>
        <w:left w:val="none" w:sz="0" w:space="0" w:color="auto"/>
        <w:bottom w:val="none" w:sz="0" w:space="0" w:color="auto"/>
        <w:right w:val="none" w:sz="0" w:space="0" w:color="auto"/>
      </w:divBdr>
    </w:div>
    <w:div w:id="722410757">
      <w:bodyDiv w:val="1"/>
      <w:marLeft w:val="0"/>
      <w:marRight w:val="0"/>
      <w:marTop w:val="0"/>
      <w:marBottom w:val="0"/>
      <w:divBdr>
        <w:top w:val="none" w:sz="0" w:space="0" w:color="auto"/>
        <w:left w:val="none" w:sz="0" w:space="0" w:color="auto"/>
        <w:bottom w:val="none" w:sz="0" w:space="0" w:color="auto"/>
        <w:right w:val="none" w:sz="0" w:space="0" w:color="auto"/>
      </w:divBdr>
    </w:div>
    <w:div w:id="722749495">
      <w:bodyDiv w:val="1"/>
      <w:marLeft w:val="0"/>
      <w:marRight w:val="0"/>
      <w:marTop w:val="0"/>
      <w:marBottom w:val="0"/>
      <w:divBdr>
        <w:top w:val="none" w:sz="0" w:space="0" w:color="auto"/>
        <w:left w:val="none" w:sz="0" w:space="0" w:color="auto"/>
        <w:bottom w:val="none" w:sz="0" w:space="0" w:color="auto"/>
        <w:right w:val="none" w:sz="0" w:space="0" w:color="auto"/>
      </w:divBdr>
    </w:div>
    <w:div w:id="723717880">
      <w:bodyDiv w:val="1"/>
      <w:marLeft w:val="0"/>
      <w:marRight w:val="0"/>
      <w:marTop w:val="0"/>
      <w:marBottom w:val="0"/>
      <w:divBdr>
        <w:top w:val="none" w:sz="0" w:space="0" w:color="auto"/>
        <w:left w:val="none" w:sz="0" w:space="0" w:color="auto"/>
        <w:bottom w:val="none" w:sz="0" w:space="0" w:color="auto"/>
        <w:right w:val="none" w:sz="0" w:space="0" w:color="auto"/>
      </w:divBdr>
    </w:div>
    <w:div w:id="725421248">
      <w:bodyDiv w:val="1"/>
      <w:marLeft w:val="0"/>
      <w:marRight w:val="0"/>
      <w:marTop w:val="0"/>
      <w:marBottom w:val="0"/>
      <w:divBdr>
        <w:top w:val="none" w:sz="0" w:space="0" w:color="auto"/>
        <w:left w:val="none" w:sz="0" w:space="0" w:color="auto"/>
        <w:bottom w:val="none" w:sz="0" w:space="0" w:color="auto"/>
        <w:right w:val="none" w:sz="0" w:space="0" w:color="auto"/>
      </w:divBdr>
    </w:div>
    <w:div w:id="727268735">
      <w:bodyDiv w:val="1"/>
      <w:marLeft w:val="0"/>
      <w:marRight w:val="0"/>
      <w:marTop w:val="0"/>
      <w:marBottom w:val="0"/>
      <w:divBdr>
        <w:top w:val="none" w:sz="0" w:space="0" w:color="auto"/>
        <w:left w:val="none" w:sz="0" w:space="0" w:color="auto"/>
        <w:bottom w:val="none" w:sz="0" w:space="0" w:color="auto"/>
        <w:right w:val="none" w:sz="0" w:space="0" w:color="auto"/>
      </w:divBdr>
    </w:div>
    <w:div w:id="727536031">
      <w:bodyDiv w:val="1"/>
      <w:marLeft w:val="0"/>
      <w:marRight w:val="0"/>
      <w:marTop w:val="0"/>
      <w:marBottom w:val="0"/>
      <w:divBdr>
        <w:top w:val="none" w:sz="0" w:space="0" w:color="auto"/>
        <w:left w:val="none" w:sz="0" w:space="0" w:color="auto"/>
        <w:bottom w:val="none" w:sz="0" w:space="0" w:color="auto"/>
        <w:right w:val="none" w:sz="0" w:space="0" w:color="auto"/>
      </w:divBdr>
    </w:div>
    <w:div w:id="727724158">
      <w:bodyDiv w:val="1"/>
      <w:marLeft w:val="0"/>
      <w:marRight w:val="0"/>
      <w:marTop w:val="0"/>
      <w:marBottom w:val="0"/>
      <w:divBdr>
        <w:top w:val="none" w:sz="0" w:space="0" w:color="auto"/>
        <w:left w:val="none" w:sz="0" w:space="0" w:color="auto"/>
        <w:bottom w:val="none" w:sz="0" w:space="0" w:color="auto"/>
        <w:right w:val="none" w:sz="0" w:space="0" w:color="auto"/>
      </w:divBdr>
    </w:div>
    <w:div w:id="729572957">
      <w:bodyDiv w:val="1"/>
      <w:marLeft w:val="0"/>
      <w:marRight w:val="0"/>
      <w:marTop w:val="0"/>
      <w:marBottom w:val="0"/>
      <w:divBdr>
        <w:top w:val="none" w:sz="0" w:space="0" w:color="auto"/>
        <w:left w:val="none" w:sz="0" w:space="0" w:color="auto"/>
        <w:bottom w:val="none" w:sz="0" w:space="0" w:color="auto"/>
        <w:right w:val="none" w:sz="0" w:space="0" w:color="auto"/>
      </w:divBdr>
    </w:div>
    <w:div w:id="730151797">
      <w:bodyDiv w:val="1"/>
      <w:marLeft w:val="0"/>
      <w:marRight w:val="0"/>
      <w:marTop w:val="0"/>
      <w:marBottom w:val="0"/>
      <w:divBdr>
        <w:top w:val="none" w:sz="0" w:space="0" w:color="auto"/>
        <w:left w:val="none" w:sz="0" w:space="0" w:color="auto"/>
        <w:bottom w:val="none" w:sz="0" w:space="0" w:color="auto"/>
        <w:right w:val="none" w:sz="0" w:space="0" w:color="auto"/>
      </w:divBdr>
    </w:div>
    <w:div w:id="732697227">
      <w:bodyDiv w:val="1"/>
      <w:marLeft w:val="0"/>
      <w:marRight w:val="0"/>
      <w:marTop w:val="0"/>
      <w:marBottom w:val="0"/>
      <w:divBdr>
        <w:top w:val="none" w:sz="0" w:space="0" w:color="auto"/>
        <w:left w:val="none" w:sz="0" w:space="0" w:color="auto"/>
        <w:bottom w:val="none" w:sz="0" w:space="0" w:color="auto"/>
        <w:right w:val="none" w:sz="0" w:space="0" w:color="auto"/>
      </w:divBdr>
    </w:div>
    <w:div w:id="732852213">
      <w:bodyDiv w:val="1"/>
      <w:marLeft w:val="0"/>
      <w:marRight w:val="0"/>
      <w:marTop w:val="0"/>
      <w:marBottom w:val="0"/>
      <w:divBdr>
        <w:top w:val="none" w:sz="0" w:space="0" w:color="auto"/>
        <w:left w:val="none" w:sz="0" w:space="0" w:color="auto"/>
        <w:bottom w:val="none" w:sz="0" w:space="0" w:color="auto"/>
        <w:right w:val="none" w:sz="0" w:space="0" w:color="auto"/>
      </w:divBdr>
    </w:div>
    <w:div w:id="733701780">
      <w:bodyDiv w:val="1"/>
      <w:marLeft w:val="0"/>
      <w:marRight w:val="0"/>
      <w:marTop w:val="0"/>
      <w:marBottom w:val="0"/>
      <w:divBdr>
        <w:top w:val="none" w:sz="0" w:space="0" w:color="auto"/>
        <w:left w:val="none" w:sz="0" w:space="0" w:color="auto"/>
        <w:bottom w:val="none" w:sz="0" w:space="0" w:color="auto"/>
        <w:right w:val="none" w:sz="0" w:space="0" w:color="auto"/>
      </w:divBdr>
    </w:div>
    <w:div w:id="733818992">
      <w:bodyDiv w:val="1"/>
      <w:marLeft w:val="0"/>
      <w:marRight w:val="0"/>
      <w:marTop w:val="0"/>
      <w:marBottom w:val="0"/>
      <w:divBdr>
        <w:top w:val="none" w:sz="0" w:space="0" w:color="auto"/>
        <w:left w:val="none" w:sz="0" w:space="0" w:color="auto"/>
        <w:bottom w:val="none" w:sz="0" w:space="0" w:color="auto"/>
        <w:right w:val="none" w:sz="0" w:space="0" w:color="auto"/>
      </w:divBdr>
    </w:div>
    <w:div w:id="738674974">
      <w:bodyDiv w:val="1"/>
      <w:marLeft w:val="0"/>
      <w:marRight w:val="0"/>
      <w:marTop w:val="0"/>
      <w:marBottom w:val="0"/>
      <w:divBdr>
        <w:top w:val="none" w:sz="0" w:space="0" w:color="auto"/>
        <w:left w:val="none" w:sz="0" w:space="0" w:color="auto"/>
        <w:bottom w:val="none" w:sz="0" w:space="0" w:color="auto"/>
        <w:right w:val="none" w:sz="0" w:space="0" w:color="auto"/>
      </w:divBdr>
    </w:div>
    <w:div w:id="741216499">
      <w:bodyDiv w:val="1"/>
      <w:marLeft w:val="0"/>
      <w:marRight w:val="0"/>
      <w:marTop w:val="0"/>
      <w:marBottom w:val="0"/>
      <w:divBdr>
        <w:top w:val="none" w:sz="0" w:space="0" w:color="auto"/>
        <w:left w:val="none" w:sz="0" w:space="0" w:color="auto"/>
        <w:bottom w:val="none" w:sz="0" w:space="0" w:color="auto"/>
        <w:right w:val="none" w:sz="0" w:space="0" w:color="auto"/>
      </w:divBdr>
    </w:div>
    <w:div w:id="742921426">
      <w:bodyDiv w:val="1"/>
      <w:marLeft w:val="0"/>
      <w:marRight w:val="0"/>
      <w:marTop w:val="0"/>
      <w:marBottom w:val="0"/>
      <w:divBdr>
        <w:top w:val="none" w:sz="0" w:space="0" w:color="auto"/>
        <w:left w:val="none" w:sz="0" w:space="0" w:color="auto"/>
        <w:bottom w:val="none" w:sz="0" w:space="0" w:color="auto"/>
        <w:right w:val="none" w:sz="0" w:space="0" w:color="auto"/>
      </w:divBdr>
    </w:div>
    <w:div w:id="743140816">
      <w:bodyDiv w:val="1"/>
      <w:marLeft w:val="0"/>
      <w:marRight w:val="0"/>
      <w:marTop w:val="0"/>
      <w:marBottom w:val="0"/>
      <w:divBdr>
        <w:top w:val="none" w:sz="0" w:space="0" w:color="auto"/>
        <w:left w:val="none" w:sz="0" w:space="0" w:color="auto"/>
        <w:bottom w:val="none" w:sz="0" w:space="0" w:color="auto"/>
        <w:right w:val="none" w:sz="0" w:space="0" w:color="auto"/>
      </w:divBdr>
    </w:div>
    <w:div w:id="744491762">
      <w:bodyDiv w:val="1"/>
      <w:marLeft w:val="0"/>
      <w:marRight w:val="0"/>
      <w:marTop w:val="0"/>
      <w:marBottom w:val="0"/>
      <w:divBdr>
        <w:top w:val="none" w:sz="0" w:space="0" w:color="auto"/>
        <w:left w:val="none" w:sz="0" w:space="0" w:color="auto"/>
        <w:bottom w:val="none" w:sz="0" w:space="0" w:color="auto"/>
        <w:right w:val="none" w:sz="0" w:space="0" w:color="auto"/>
      </w:divBdr>
    </w:div>
    <w:div w:id="745421060">
      <w:bodyDiv w:val="1"/>
      <w:marLeft w:val="0"/>
      <w:marRight w:val="0"/>
      <w:marTop w:val="0"/>
      <w:marBottom w:val="0"/>
      <w:divBdr>
        <w:top w:val="none" w:sz="0" w:space="0" w:color="auto"/>
        <w:left w:val="none" w:sz="0" w:space="0" w:color="auto"/>
        <w:bottom w:val="none" w:sz="0" w:space="0" w:color="auto"/>
        <w:right w:val="none" w:sz="0" w:space="0" w:color="auto"/>
      </w:divBdr>
    </w:div>
    <w:div w:id="745885741">
      <w:bodyDiv w:val="1"/>
      <w:marLeft w:val="0"/>
      <w:marRight w:val="0"/>
      <w:marTop w:val="0"/>
      <w:marBottom w:val="0"/>
      <w:divBdr>
        <w:top w:val="none" w:sz="0" w:space="0" w:color="auto"/>
        <w:left w:val="none" w:sz="0" w:space="0" w:color="auto"/>
        <w:bottom w:val="none" w:sz="0" w:space="0" w:color="auto"/>
        <w:right w:val="none" w:sz="0" w:space="0" w:color="auto"/>
      </w:divBdr>
    </w:div>
    <w:div w:id="746267400">
      <w:bodyDiv w:val="1"/>
      <w:marLeft w:val="0"/>
      <w:marRight w:val="0"/>
      <w:marTop w:val="0"/>
      <w:marBottom w:val="0"/>
      <w:divBdr>
        <w:top w:val="none" w:sz="0" w:space="0" w:color="auto"/>
        <w:left w:val="none" w:sz="0" w:space="0" w:color="auto"/>
        <w:bottom w:val="none" w:sz="0" w:space="0" w:color="auto"/>
        <w:right w:val="none" w:sz="0" w:space="0" w:color="auto"/>
      </w:divBdr>
    </w:div>
    <w:div w:id="746804185">
      <w:bodyDiv w:val="1"/>
      <w:marLeft w:val="0"/>
      <w:marRight w:val="0"/>
      <w:marTop w:val="0"/>
      <w:marBottom w:val="0"/>
      <w:divBdr>
        <w:top w:val="none" w:sz="0" w:space="0" w:color="auto"/>
        <w:left w:val="none" w:sz="0" w:space="0" w:color="auto"/>
        <w:bottom w:val="none" w:sz="0" w:space="0" w:color="auto"/>
        <w:right w:val="none" w:sz="0" w:space="0" w:color="auto"/>
      </w:divBdr>
    </w:div>
    <w:div w:id="749078995">
      <w:bodyDiv w:val="1"/>
      <w:marLeft w:val="0"/>
      <w:marRight w:val="0"/>
      <w:marTop w:val="0"/>
      <w:marBottom w:val="0"/>
      <w:divBdr>
        <w:top w:val="none" w:sz="0" w:space="0" w:color="auto"/>
        <w:left w:val="none" w:sz="0" w:space="0" w:color="auto"/>
        <w:bottom w:val="none" w:sz="0" w:space="0" w:color="auto"/>
        <w:right w:val="none" w:sz="0" w:space="0" w:color="auto"/>
      </w:divBdr>
    </w:div>
    <w:div w:id="751393067">
      <w:bodyDiv w:val="1"/>
      <w:marLeft w:val="0"/>
      <w:marRight w:val="0"/>
      <w:marTop w:val="0"/>
      <w:marBottom w:val="0"/>
      <w:divBdr>
        <w:top w:val="none" w:sz="0" w:space="0" w:color="auto"/>
        <w:left w:val="none" w:sz="0" w:space="0" w:color="auto"/>
        <w:bottom w:val="none" w:sz="0" w:space="0" w:color="auto"/>
        <w:right w:val="none" w:sz="0" w:space="0" w:color="auto"/>
      </w:divBdr>
    </w:div>
    <w:div w:id="753236391">
      <w:bodyDiv w:val="1"/>
      <w:marLeft w:val="0"/>
      <w:marRight w:val="0"/>
      <w:marTop w:val="0"/>
      <w:marBottom w:val="0"/>
      <w:divBdr>
        <w:top w:val="none" w:sz="0" w:space="0" w:color="auto"/>
        <w:left w:val="none" w:sz="0" w:space="0" w:color="auto"/>
        <w:bottom w:val="none" w:sz="0" w:space="0" w:color="auto"/>
        <w:right w:val="none" w:sz="0" w:space="0" w:color="auto"/>
      </w:divBdr>
    </w:div>
    <w:div w:id="753824929">
      <w:bodyDiv w:val="1"/>
      <w:marLeft w:val="0"/>
      <w:marRight w:val="0"/>
      <w:marTop w:val="0"/>
      <w:marBottom w:val="0"/>
      <w:divBdr>
        <w:top w:val="none" w:sz="0" w:space="0" w:color="auto"/>
        <w:left w:val="none" w:sz="0" w:space="0" w:color="auto"/>
        <w:bottom w:val="none" w:sz="0" w:space="0" w:color="auto"/>
        <w:right w:val="none" w:sz="0" w:space="0" w:color="auto"/>
      </w:divBdr>
    </w:div>
    <w:div w:id="754472732">
      <w:bodyDiv w:val="1"/>
      <w:marLeft w:val="0"/>
      <w:marRight w:val="0"/>
      <w:marTop w:val="0"/>
      <w:marBottom w:val="0"/>
      <w:divBdr>
        <w:top w:val="none" w:sz="0" w:space="0" w:color="auto"/>
        <w:left w:val="none" w:sz="0" w:space="0" w:color="auto"/>
        <w:bottom w:val="none" w:sz="0" w:space="0" w:color="auto"/>
        <w:right w:val="none" w:sz="0" w:space="0" w:color="auto"/>
      </w:divBdr>
    </w:div>
    <w:div w:id="754666962">
      <w:bodyDiv w:val="1"/>
      <w:marLeft w:val="0"/>
      <w:marRight w:val="0"/>
      <w:marTop w:val="0"/>
      <w:marBottom w:val="0"/>
      <w:divBdr>
        <w:top w:val="none" w:sz="0" w:space="0" w:color="auto"/>
        <w:left w:val="none" w:sz="0" w:space="0" w:color="auto"/>
        <w:bottom w:val="none" w:sz="0" w:space="0" w:color="auto"/>
        <w:right w:val="none" w:sz="0" w:space="0" w:color="auto"/>
      </w:divBdr>
    </w:div>
    <w:div w:id="756366955">
      <w:bodyDiv w:val="1"/>
      <w:marLeft w:val="0"/>
      <w:marRight w:val="0"/>
      <w:marTop w:val="0"/>
      <w:marBottom w:val="0"/>
      <w:divBdr>
        <w:top w:val="none" w:sz="0" w:space="0" w:color="auto"/>
        <w:left w:val="none" w:sz="0" w:space="0" w:color="auto"/>
        <w:bottom w:val="none" w:sz="0" w:space="0" w:color="auto"/>
        <w:right w:val="none" w:sz="0" w:space="0" w:color="auto"/>
      </w:divBdr>
    </w:div>
    <w:div w:id="757018448">
      <w:bodyDiv w:val="1"/>
      <w:marLeft w:val="0"/>
      <w:marRight w:val="0"/>
      <w:marTop w:val="0"/>
      <w:marBottom w:val="0"/>
      <w:divBdr>
        <w:top w:val="none" w:sz="0" w:space="0" w:color="auto"/>
        <w:left w:val="none" w:sz="0" w:space="0" w:color="auto"/>
        <w:bottom w:val="none" w:sz="0" w:space="0" w:color="auto"/>
        <w:right w:val="none" w:sz="0" w:space="0" w:color="auto"/>
      </w:divBdr>
    </w:div>
    <w:div w:id="757209856">
      <w:bodyDiv w:val="1"/>
      <w:marLeft w:val="0"/>
      <w:marRight w:val="0"/>
      <w:marTop w:val="0"/>
      <w:marBottom w:val="0"/>
      <w:divBdr>
        <w:top w:val="none" w:sz="0" w:space="0" w:color="auto"/>
        <w:left w:val="none" w:sz="0" w:space="0" w:color="auto"/>
        <w:bottom w:val="none" w:sz="0" w:space="0" w:color="auto"/>
        <w:right w:val="none" w:sz="0" w:space="0" w:color="auto"/>
      </w:divBdr>
    </w:div>
    <w:div w:id="763499213">
      <w:bodyDiv w:val="1"/>
      <w:marLeft w:val="0"/>
      <w:marRight w:val="0"/>
      <w:marTop w:val="0"/>
      <w:marBottom w:val="0"/>
      <w:divBdr>
        <w:top w:val="none" w:sz="0" w:space="0" w:color="auto"/>
        <w:left w:val="none" w:sz="0" w:space="0" w:color="auto"/>
        <w:bottom w:val="none" w:sz="0" w:space="0" w:color="auto"/>
        <w:right w:val="none" w:sz="0" w:space="0" w:color="auto"/>
      </w:divBdr>
    </w:div>
    <w:div w:id="763964081">
      <w:bodyDiv w:val="1"/>
      <w:marLeft w:val="0"/>
      <w:marRight w:val="0"/>
      <w:marTop w:val="0"/>
      <w:marBottom w:val="0"/>
      <w:divBdr>
        <w:top w:val="none" w:sz="0" w:space="0" w:color="auto"/>
        <w:left w:val="none" w:sz="0" w:space="0" w:color="auto"/>
        <w:bottom w:val="none" w:sz="0" w:space="0" w:color="auto"/>
        <w:right w:val="none" w:sz="0" w:space="0" w:color="auto"/>
      </w:divBdr>
    </w:div>
    <w:div w:id="764111716">
      <w:bodyDiv w:val="1"/>
      <w:marLeft w:val="0"/>
      <w:marRight w:val="0"/>
      <w:marTop w:val="0"/>
      <w:marBottom w:val="0"/>
      <w:divBdr>
        <w:top w:val="none" w:sz="0" w:space="0" w:color="auto"/>
        <w:left w:val="none" w:sz="0" w:space="0" w:color="auto"/>
        <w:bottom w:val="none" w:sz="0" w:space="0" w:color="auto"/>
        <w:right w:val="none" w:sz="0" w:space="0" w:color="auto"/>
      </w:divBdr>
    </w:div>
    <w:div w:id="765199878">
      <w:bodyDiv w:val="1"/>
      <w:marLeft w:val="0"/>
      <w:marRight w:val="0"/>
      <w:marTop w:val="0"/>
      <w:marBottom w:val="0"/>
      <w:divBdr>
        <w:top w:val="none" w:sz="0" w:space="0" w:color="auto"/>
        <w:left w:val="none" w:sz="0" w:space="0" w:color="auto"/>
        <w:bottom w:val="none" w:sz="0" w:space="0" w:color="auto"/>
        <w:right w:val="none" w:sz="0" w:space="0" w:color="auto"/>
      </w:divBdr>
    </w:div>
    <w:div w:id="765274867">
      <w:bodyDiv w:val="1"/>
      <w:marLeft w:val="0"/>
      <w:marRight w:val="0"/>
      <w:marTop w:val="0"/>
      <w:marBottom w:val="0"/>
      <w:divBdr>
        <w:top w:val="none" w:sz="0" w:space="0" w:color="auto"/>
        <w:left w:val="none" w:sz="0" w:space="0" w:color="auto"/>
        <w:bottom w:val="none" w:sz="0" w:space="0" w:color="auto"/>
        <w:right w:val="none" w:sz="0" w:space="0" w:color="auto"/>
      </w:divBdr>
    </w:div>
    <w:div w:id="768083222">
      <w:bodyDiv w:val="1"/>
      <w:marLeft w:val="0"/>
      <w:marRight w:val="0"/>
      <w:marTop w:val="0"/>
      <w:marBottom w:val="0"/>
      <w:divBdr>
        <w:top w:val="none" w:sz="0" w:space="0" w:color="auto"/>
        <w:left w:val="none" w:sz="0" w:space="0" w:color="auto"/>
        <w:bottom w:val="none" w:sz="0" w:space="0" w:color="auto"/>
        <w:right w:val="none" w:sz="0" w:space="0" w:color="auto"/>
      </w:divBdr>
    </w:div>
    <w:div w:id="769546678">
      <w:bodyDiv w:val="1"/>
      <w:marLeft w:val="0"/>
      <w:marRight w:val="0"/>
      <w:marTop w:val="0"/>
      <w:marBottom w:val="0"/>
      <w:divBdr>
        <w:top w:val="none" w:sz="0" w:space="0" w:color="auto"/>
        <w:left w:val="none" w:sz="0" w:space="0" w:color="auto"/>
        <w:bottom w:val="none" w:sz="0" w:space="0" w:color="auto"/>
        <w:right w:val="none" w:sz="0" w:space="0" w:color="auto"/>
      </w:divBdr>
    </w:div>
    <w:div w:id="770399919">
      <w:bodyDiv w:val="1"/>
      <w:marLeft w:val="0"/>
      <w:marRight w:val="0"/>
      <w:marTop w:val="0"/>
      <w:marBottom w:val="0"/>
      <w:divBdr>
        <w:top w:val="none" w:sz="0" w:space="0" w:color="auto"/>
        <w:left w:val="none" w:sz="0" w:space="0" w:color="auto"/>
        <w:bottom w:val="none" w:sz="0" w:space="0" w:color="auto"/>
        <w:right w:val="none" w:sz="0" w:space="0" w:color="auto"/>
      </w:divBdr>
    </w:div>
    <w:div w:id="771391113">
      <w:bodyDiv w:val="1"/>
      <w:marLeft w:val="0"/>
      <w:marRight w:val="0"/>
      <w:marTop w:val="0"/>
      <w:marBottom w:val="0"/>
      <w:divBdr>
        <w:top w:val="none" w:sz="0" w:space="0" w:color="auto"/>
        <w:left w:val="none" w:sz="0" w:space="0" w:color="auto"/>
        <w:bottom w:val="none" w:sz="0" w:space="0" w:color="auto"/>
        <w:right w:val="none" w:sz="0" w:space="0" w:color="auto"/>
      </w:divBdr>
    </w:div>
    <w:div w:id="773983353">
      <w:bodyDiv w:val="1"/>
      <w:marLeft w:val="0"/>
      <w:marRight w:val="0"/>
      <w:marTop w:val="0"/>
      <w:marBottom w:val="0"/>
      <w:divBdr>
        <w:top w:val="none" w:sz="0" w:space="0" w:color="auto"/>
        <w:left w:val="none" w:sz="0" w:space="0" w:color="auto"/>
        <w:bottom w:val="none" w:sz="0" w:space="0" w:color="auto"/>
        <w:right w:val="none" w:sz="0" w:space="0" w:color="auto"/>
      </w:divBdr>
    </w:div>
    <w:div w:id="773983396">
      <w:bodyDiv w:val="1"/>
      <w:marLeft w:val="0"/>
      <w:marRight w:val="0"/>
      <w:marTop w:val="0"/>
      <w:marBottom w:val="0"/>
      <w:divBdr>
        <w:top w:val="none" w:sz="0" w:space="0" w:color="auto"/>
        <w:left w:val="none" w:sz="0" w:space="0" w:color="auto"/>
        <w:bottom w:val="none" w:sz="0" w:space="0" w:color="auto"/>
        <w:right w:val="none" w:sz="0" w:space="0" w:color="auto"/>
      </w:divBdr>
    </w:div>
    <w:div w:id="775173393">
      <w:bodyDiv w:val="1"/>
      <w:marLeft w:val="0"/>
      <w:marRight w:val="0"/>
      <w:marTop w:val="0"/>
      <w:marBottom w:val="0"/>
      <w:divBdr>
        <w:top w:val="none" w:sz="0" w:space="0" w:color="auto"/>
        <w:left w:val="none" w:sz="0" w:space="0" w:color="auto"/>
        <w:bottom w:val="none" w:sz="0" w:space="0" w:color="auto"/>
        <w:right w:val="none" w:sz="0" w:space="0" w:color="auto"/>
      </w:divBdr>
    </w:div>
    <w:div w:id="775758157">
      <w:bodyDiv w:val="1"/>
      <w:marLeft w:val="0"/>
      <w:marRight w:val="0"/>
      <w:marTop w:val="0"/>
      <w:marBottom w:val="0"/>
      <w:divBdr>
        <w:top w:val="none" w:sz="0" w:space="0" w:color="auto"/>
        <w:left w:val="none" w:sz="0" w:space="0" w:color="auto"/>
        <w:bottom w:val="none" w:sz="0" w:space="0" w:color="auto"/>
        <w:right w:val="none" w:sz="0" w:space="0" w:color="auto"/>
      </w:divBdr>
    </w:div>
    <w:div w:id="776946221">
      <w:bodyDiv w:val="1"/>
      <w:marLeft w:val="0"/>
      <w:marRight w:val="0"/>
      <w:marTop w:val="0"/>
      <w:marBottom w:val="0"/>
      <w:divBdr>
        <w:top w:val="none" w:sz="0" w:space="0" w:color="auto"/>
        <w:left w:val="none" w:sz="0" w:space="0" w:color="auto"/>
        <w:bottom w:val="none" w:sz="0" w:space="0" w:color="auto"/>
        <w:right w:val="none" w:sz="0" w:space="0" w:color="auto"/>
      </w:divBdr>
    </w:div>
    <w:div w:id="777678286">
      <w:bodyDiv w:val="1"/>
      <w:marLeft w:val="0"/>
      <w:marRight w:val="0"/>
      <w:marTop w:val="0"/>
      <w:marBottom w:val="0"/>
      <w:divBdr>
        <w:top w:val="none" w:sz="0" w:space="0" w:color="auto"/>
        <w:left w:val="none" w:sz="0" w:space="0" w:color="auto"/>
        <w:bottom w:val="none" w:sz="0" w:space="0" w:color="auto"/>
        <w:right w:val="none" w:sz="0" w:space="0" w:color="auto"/>
      </w:divBdr>
    </w:div>
    <w:div w:id="777876410">
      <w:bodyDiv w:val="1"/>
      <w:marLeft w:val="0"/>
      <w:marRight w:val="0"/>
      <w:marTop w:val="0"/>
      <w:marBottom w:val="0"/>
      <w:divBdr>
        <w:top w:val="none" w:sz="0" w:space="0" w:color="auto"/>
        <w:left w:val="none" w:sz="0" w:space="0" w:color="auto"/>
        <w:bottom w:val="none" w:sz="0" w:space="0" w:color="auto"/>
        <w:right w:val="none" w:sz="0" w:space="0" w:color="auto"/>
      </w:divBdr>
    </w:div>
    <w:div w:id="778450837">
      <w:bodyDiv w:val="1"/>
      <w:marLeft w:val="0"/>
      <w:marRight w:val="0"/>
      <w:marTop w:val="0"/>
      <w:marBottom w:val="0"/>
      <w:divBdr>
        <w:top w:val="none" w:sz="0" w:space="0" w:color="auto"/>
        <w:left w:val="none" w:sz="0" w:space="0" w:color="auto"/>
        <w:bottom w:val="none" w:sz="0" w:space="0" w:color="auto"/>
        <w:right w:val="none" w:sz="0" w:space="0" w:color="auto"/>
      </w:divBdr>
    </w:div>
    <w:div w:id="781267365">
      <w:bodyDiv w:val="1"/>
      <w:marLeft w:val="0"/>
      <w:marRight w:val="0"/>
      <w:marTop w:val="0"/>
      <w:marBottom w:val="0"/>
      <w:divBdr>
        <w:top w:val="none" w:sz="0" w:space="0" w:color="auto"/>
        <w:left w:val="none" w:sz="0" w:space="0" w:color="auto"/>
        <w:bottom w:val="none" w:sz="0" w:space="0" w:color="auto"/>
        <w:right w:val="none" w:sz="0" w:space="0" w:color="auto"/>
      </w:divBdr>
    </w:div>
    <w:div w:id="783889676">
      <w:bodyDiv w:val="1"/>
      <w:marLeft w:val="0"/>
      <w:marRight w:val="0"/>
      <w:marTop w:val="0"/>
      <w:marBottom w:val="0"/>
      <w:divBdr>
        <w:top w:val="none" w:sz="0" w:space="0" w:color="auto"/>
        <w:left w:val="none" w:sz="0" w:space="0" w:color="auto"/>
        <w:bottom w:val="none" w:sz="0" w:space="0" w:color="auto"/>
        <w:right w:val="none" w:sz="0" w:space="0" w:color="auto"/>
      </w:divBdr>
    </w:div>
    <w:div w:id="784350807">
      <w:bodyDiv w:val="1"/>
      <w:marLeft w:val="0"/>
      <w:marRight w:val="0"/>
      <w:marTop w:val="0"/>
      <w:marBottom w:val="0"/>
      <w:divBdr>
        <w:top w:val="none" w:sz="0" w:space="0" w:color="auto"/>
        <w:left w:val="none" w:sz="0" w:space="0" w:color="auto"/>
        <w:bottom w:val="none" w:sz="0" w:space="0" w:color="auto"/>
        <w:right w:val="none" w:sz="0" w:space="0" w:color="auto"/>
      </w:divBdr>
    </w:div>
    <w:div w:id="784620406">
      <w:bodyDiv w:val="1"/>
      <w:marLeft w:val="0"/>
      <w:marRight w:val="0"/>
      <w:marTop w:val="0"/>
      <w:marBottom w:val="0"/>
      <w:divBdr>
        <w:top w:val="none" w:sz="0" w:space="0" w:color="auto"/>
        <w:left w:val="none" w:sz="0" w:space="0" w:color="auto"/>
        <w:bottom w:val="none" w:sz="0" w:space="0" w:color="auto"/>
        <w:right w:val="none" w:sz="0" w:space="0" w:color="auto"/>
      </w:divBdr>
    </w:div>
    <w:div w:id="784933943">
      <w:bodyDiv w:val="1"/>
      <w:marLeft w:val="0"/>
      <w:marRight w:val="0"/>
      <w:marTop w:val="0"/>
      <w:marBottom w:val="0"/>
      <w:divBdr>
        <w:top w:val="none" w:sz="0" w:space="0" w:color="auto"/>
        <w:left w:val="none" w:sz="0" w:space="0" w:color="auto"/>
        <w:bottom w:val="none" w:sz="0" w:space="0" w:color="auto"/>
        <w:right w:val="none" w:sz="0" w:space="0" w:color="auto"/>
      </w:divBdr>
    </w:div>
    <w:div w:id="786004047">
      <w:bodyDiv w:val="1"/>
      <w:marLeft w:val="0"/>
      <w:marRight w:val="0"/>
      <w:marTop w:val="0"/>
      <w:marBottom w:val="0"/>
      <w:divBdr>
        <w:top w:val="none" w:sz="0" w:space="0" w:color="auto"/>
        <w:left w:val="none" w:sz="0" w:space="0" w:color="auto"/>
        <w:bottom w:val="none" w:sz="0" w:space="0" w:color="auto"/>
        <w:right w:val="none" w:sz="0" w:space="0" w:color="auto"/>
      </w:divBdr>
    </w:div>
    <w:div w:id="786237132">
      <w:bodyDiv w:val="1"/>
      <w:marLeft w:val="0"/>
      <w:marRight w:val="0"/>
      <w:marTop w:val="0"/>
      <w:marBottom w:val="0"/>
      <w:divBdr>
        <w:top w:val="none" w:sz="0" w:space="0" w:color="auto"/>
        <w:left w:val="none" w:sz="0" w:space="0" w:color="auto"/>
        <w:bottom w:val="none" w:sz="0" w:space="0" w:color="auto"/>
        <w:right w:val="none" w:sz="0" w:space="0" w:color="auto"/>
      </w:divBdr>
    </w:div>
    <w:div w:id="786510426">
      <w:bodyDiv w:val="1"/>
      <w:marLeft w:val="0"/>
      <w:marRight w:val="0"/>
      <w:marTop w:val="0"/>
      <w:marBottom w:val="0"/>
      <w:divBdr>
        <w:top w:val="none" w:sz="0" w:space="0" w:color="auto"/>
        <w:left w:val="none" w:sz="0" w:space="0" w:color="auto"/>
        <w:bottom w:val="none" w:sz="0" w:space="0" w:color="auto"/>
        <w:right w:val="none" w:sz="0" w:space="0" w:color="auto"/>
      </w:divBdr>
    </w:div>
    <w:div w:id="786965358">
      <w:bodyDiv w:val="1"/>
      <w:marLeft w:val="0"/>
      <w:marRight w:val="0"/>
      <w:marTop w:val="0"/>
      <w:marBottom w:val="0"/>
      <w:divBdr>
        <w:top w:val="none" w:sz="0" w:space="0" w:color="auto"/>
        <w:left w:val="none" w:sz="0" w:space="0" w:color="auto"/>
        <w:bottom w:val="none" w:sz="0" w:space="0" w:color="auto"/>
        <w:right w:val="none" w:sz="0" w:space="0" w:color="auto"/>
      </w:divBdr>
    </w:div>
    <w:div w:id="787546180">
      <w:bodyDiv w:val="1"/>
      <w:marLeft w:val="0"/>
      <w:marRight w:val="0"/>
      <w:marTop w:val="0"/>
      <w:marBottom w:val="0"/>
      <w:divBdr>
        <w:top w:val="none" w:sz="0" w:space="0" w:color="auto"/>
        <w:left w:val="none" w:sz="0" w:space="0" w:color="auto"/>
        <w:bottom w:val="none" w:sz="0" w:space="0" w:color="auto"/>
        <w:right w:val="none" w:sz="0" w:space="0" w:color="auto"/>
      </w:divBdr>
    </w:div>
    <w:div w:id="789327360">
      <w:bodyDiv w:val="1"/>
      <w:marLeft w:val="0"/>
      <w:marRight w:val="0"/>
      <w:marTop w:val="0"/>
      <w:marBottom w:val="0"/>
      <w:divBdr>
        <w:top w:val="none" w:sz="0" w:space="0" w:color="auto"/>
        <w:left w:val="none" w:sz="0" w:space="0" w:color="auto"/>
        <w:bottom w:val="none" w:sz="0" w:space="0" w:color="auto"/>
        <w:right w:val="none" w:sz="0" w:space="0" w:color="auto"/>
      </w:divBdr>
    </w:div>
    <w:div w:id="789667016">
      <w:bodyDiv w:val="1"/>
      <w:marLeft w:val="0"/>
      <w:marRight w:val="0"/>
      <w:marTop w:val="0"/>
      <w:marBottom w:val="0"/>
      <w:divBdr>
        <w:top w:val="none" w:sz="0" w:space="0" w:color="auto"/>
        <w:left w:val="none" w:sz="0" w:space="0" w:color="auto"/>
        <w:bottom w:val="none" w:sz="0" w:space="0" w:color="auto"/>
        <w:right w:val="none" w:sz="0" w:space="0" w:color="auto"/>
      </w:divBdr>
    </w:div>
    <w:div w:id="790248268">
      <w:bodyDiv w:val="1"/>
      <w:marLeft w:val="0"/>
      <w:marRight w:val="0"/>
      <w:marTop w:val="0"/>
      <w:marBottom w:val="0"/>
      <w:divBdr>
        <w:top w:val="none" w:sz="0" w:space="0" w:color="auto"/>
        <w:left w:val="none" w:sz="0" w:space="0" w:color="auto"/>
        <w:bottom w:val="none" w:sz="0" w:space="0" w:color="auto"/>
        <w:right w:val="none" w:sz="0" w:space="0" w:color="auto"/>
      </w:divBdr>
    </w:div>
    <w:div w:id="790512827">
      <w:bodyDiv w:val="1"/>
      <w:marLeft w:val="0"/>
      <w:marRight w:val="0"/>
      <w:marTop w:val="0"/>
      <w:marBottom w:val="0"/>
      <w:divBdr>
        <w:top w:val="none" w:sz="0" w:space="0" w:color="auto"/>
        <w:left w:val="none" w:sz="0" w:space="0" w:color="auto"/>
        <w:bottom w:val="none" w:sz="0" w:space="0" w:color="auto"/>
        <w:right w:val="none" w:sz="0" w:space="0" w:color="auto"/>
      </w:divBdr>
    </w:div>
    <w:div w:id="793252789">
      <w:bodyDiv w:val="1"/>
      <w:marLeft w:val="0"/>
      <w:marRight w:val="0"/>
      <w:marTop w:val="0"/>
      <w:marBottom w:val="0"/>
      <w:divBdr>
        <w:top w:val="none" w:sz="0" w:space="0" w:color="auto"/>
        <w:left w:val="none" w:sz="0" w:space="0" w:color="auto"/>
        <w:bottom w:val="none" w:sz="0" w:space="0" w:color="auto"/>
        <w:right w:val="none" w:sz="0" w:space="0" w:color="auto"/>
      </w:divBdr>
    </w:div>
    <w:div w:id="793983199">
      <w:bodyDiv w:val="1"/>
      <w:marLeft w:val="0"/>
      <w:marRight w:val="0"/>
      <w:marTop w:val="0"/>
      <w:marBottom w:val="0"/>
      <w:divBdr>
        <w:top w:val="none" w:sz="0" w:space="0" w:color="auto"/>
        <w:left w:val="none" w:sz="0" w:space="0" w:color="auto"/>
        <w:bottom w:val="none" w:sz="0" w:space="0" w:color="auto"/>
        <w:right w:val="none" w:sz="0" w:space="0" w:color="auto"/>
      </w:divBdr>
    </w:div>
    <w:div w:id="795752608">
      <w:bodyDiv w:val="1"/>
      <w:marLeft w:val="0"/>
      <w:marRight w:val="0"/>
      <w:marTop w:val="0"/>
      <w:marBottom w:val="0"/>
      <w:divBdr>
        <w:top w:val="none" w:sz="0" w:space="0" w:color="auto"/>
        <w:left w:val="none" w:sz="0" w:space="0" w:color="auto"/>
        <w:bottom w:val="none" w:sz="0" w:space="0" w:color="auto"/>
        <w:right w:val="none" w:sz="0" w:space="0" w:color="auto"/>
      </w:divBdr>
    </w:div>
    <w:div w:id="798642738">
      <w:bodyDiv w:val="1"/>
      <w:marLeft w:val="0"/>
      <w:marRight w:val="0"/>
      <w:marTop w:val="0"/>
      <w:marBottom w:val="0"/>
      <w:divBdr>
        <w:top w:val="none" w:sz="0" w:space="0" w:color="auto"/>
        <w:left w:val="none" w:sz="0" w:space="0" w:color="auto"/>
        <w:bottom w:val="none" w:sz="0" w:space="0" w:color="auto"/>
        <w:right w:val="none" w:sz="0" w:space="0" w:color="auto"/>
      </w:divBdr>
    </w:div>
    <w:div w:id="799222414">
      <w:bodyDiv w:val="1"/>
      <w:marLeft w:val="0"/>
      <w:marRight w:val="0"/>
      <w:marTop w:val="0"/>
      <w:marBottom w:val="0"/>
      <w:divBdr>
        <w:top w:val="none" w:sz="0" w:space="0" w:color="auto"/>
        <w:left w:val="none" w:sz="0" w:space="0" w:color="auto"/>
        <w:bottom w:val="none" w:sz="0" w:space="0" w:color="auto"/>
        <w:right w:val="none" w:sz="0" w:space="0" w:color="auto"/>
      </w:divBdr>
    </w:div>
    <w:div w:id="802499832">
      <w:bodyDiv w:val="1"/>
      <w:marLeft w:val="0"/>
      <w:marRight w:val="0"/>
      <w:marTop w:val="0"/>
      <w:marBottom w:val="0"/>
      <w:divBdr>
        <w:top w:val="none" w:sz="0" w:space="0" w:color="auto"/>
        <w:left w:val="none" w:sz="0" w:space="0" w:color="auto"/>
        <w:bottom w:val="none" w:sz="0" w:space="0" w:color="auto"/>
        <w:right w:val="none" w:sz="0" w:space="0" w:color="auto"/>
      </w:divBdr>
    </w:div>
    <w:div w:id="802505770">
      <w:bodyDiv w:val="1"/>
      <w:marLeft w:val="0"/>
      <w:marRight w:val="0"/>
      <w:marTop w:val="0"/>
      <w:marBottom w:val="0"/>
      <w:divBdr>
        <w:top w:val="none" w:sz="0" w:space="0" w:color="auto"/>
        <w:left w:val="none" w:sz="0" w:space="0" w:color="auto"/>
        <w:bottom w:val="none" w:sz="0" w:space="0" w:color="auto"/>
        <w:right w:val="none" w:sz="0" w:space="0" w:color="auto"/>
      </w:divBdr>
    </w:div>
    <w:div w:id="803229231">
      <w:bodyDiv w:val="1"/>
      <w:marLeft w:val="0"/>
      <w:marRight w:val="0"/>
      <w:marTop w:val="0"/>
      <w:marBottom w:val="0"/>
      <w:divBdr>
        <w:top w:val="none" w:sz="0" w:space="0" w:color="auto"/>
        <w:left w:val="none" w:sz="0" w:space="0" w:color="auto"/>
        <w:bottom w:val="none" w:sz="0" w:space="0" w:color="auto"/>
        <w:right w:val="none" w:sz="0" w:space="0" w:color="auto"/>
      </w:divBdr>
    </w:div>
    <w:div w:id="805245806">
      <w:bodyDiv w:val="1"/>
      <w:marLeft w:val="0"/>
      <w:marRight w:val="0"/>
      <w:marTop w:val="0"/>
      <w:marBottom w:val="0"/>
      <w:divBdr>
        <w:top w:val="none" w:sz="0" w:space="0" w:color="auto"/>
        <w:left w:val="none" w:sz="0" w:space="0" w:color="auto"/>
        <w:bottom w:val="none" w:sz="0" w:space="0" w:color="auto"/>
        <w:right w:val="none" w:sz="0" w:space="0" w:color="auto"/>
      </w:divBdr>
    </w:div>
    <w:div w:id="806970799">
      <w:bodyDiv w:val="1"/>
      <w:marLeft w:val="0"/>
      <w:marRight w:val="0"/>
      <w:marTop w:val="0"/>
      <w:marBottom w:val="0"/>
      <w:divBdr>
        <w:top w:val="none" w:sz="0" w:space="0" w:color="auto"/>
        <w:left w:val="none" w:sz="0" w:space="0" w:color="auto"/>
        <w:bottom w:val="none" w:sz="0" w:space="0" w:color="auto"/>
        <w:right w:val="none" w:sz="0" w:space="0" w:color="auto"/>
      </w:divBdr>
    </w:div>
    <w:div w:id="807162636">
      <w:bodyDiv w:val="1"/>
      <w:marLeft w:val="0"/>
      <w:marRight w:val="0"/>
      <w:marTop w:val="0"/>
      <w:marBottom w:val="0"/>
      <w:divBdr>
        <w:top w:val="none" w:sz="0" w:space="0" w:color="auto"/>
        <w:left w:val="none" w:sz="0" w:space="0" w:color="auto"/>
        <w:bottom w:val="none" w:sz="0" w:space="0" w:color="auto"/>
        <w:right w:val="none" w:sz="0" w:space="0" w:color="auto"/>
      </w:divBdr>
    </w:div>
    <w:div w:id="810748689">
      <w:bodyDiv w:val="1"/>
      <w:marLeft w:val="0"/>
      <w:marRight w:val="0"/>
      <w:marTop w:val="0"/>
      <w:marBottom w:val="0"/>
      <w:divBdr>
        <w:top w:val="none" w:sz="0" w:space="0" w:color="auto"/>
        <w:left w:val="none" w:sz="0" w:space="0" w:color="auto"/>
        <w:bottom w:val="none" w:sz="0" w:space="0" w:color="auto"/>
        <w:right w:val="none" w:sz="0" w:space="0" w:color="auto"/>
      </w:divBdr>
    </w:div>
    <w:div w:id="810944287">
      <w:bodyDiv w:val="1"/>
      <w:marLeft w:val="0"/>
      <w:marRight w:val="0"/>
      <w:marTop w:val="0"/>
      <w:marBottom w:val="0"/>
      <w:divBdr>
        <w:top w:val="none" w:sz="0" w:space="0" w:color="auto"/>
        <w:left w:val="none" w:sz="0" w:space="0" w:color="auto"/>
        <w:bottom w:val="none" w:sz="0" w:space="0" w:color="auto"/>
        <w:right w:val="none" w:sz="0" w:space="0" w:color="auto"/>
      </w:divBdr>
    </w:div>
    <w:div w:id="812529838">
      <w:bodyDiv w:val="1"/>
      <w:marLeft w:val="0"/>
      <w:marRight w:val="0"/>
      <w:marTop w:val="0"/>
      <w:marBottom w:val="0"/>
      <w:divBdr>
        <w:top w:val="none" w:sz="0" w:space="0" w:color="auto"/>
        <w:left w:val="none" w:sz="0" w:space="0" w:color="auto"/>
        <w:bottom w:val="none" w:sz="0" w:space="0" w:color="auto"/>
        <w:right w:val="none" w:sz="0" w:space="0" w:color="auto"/>
      </w:divBdr>
    </w:div>
    <w:div w:id="813911039">
      <w:bodyDiv w:val="1"/>
      <w:marLeft w:val="0"/>
      <w:marRight w:val="0"/>
      <w:marTop w:val="0"/>
      <w:marBottom w:val="0"/>
      <w:divBdr>
        <w:top w:val="none" w:sz="0" w:space="0" w:color="auto"/>
        <w:left w:val="none" w:sz="0" w:space="0" w:color="auto"/>
        <w:bottom w:val="none" w:sz="0" w:space="0" w:color="auto"/>
        <w:right w:val="none" w:sz="0" w:space="0" w:color="auto"/>
      </w:divBdr>
    </w:div>
    <w:div w:id="813984453">
      <w:bodyDiv w:val="1"/>
      <w:marLeft w:val="0"/>
      <w:marRight w:val="0"/>
      <w:marTop w:val="0"/>
      <w:marBottom w:val="0"/>
      <w:divBdr>
        <w:top w:val="none" w:sz="0" w:space="0" w:color="auto"/>
        <w:left w:val="none" w:sz="0" w:space="0" w:color="auto"/>
        <w:bottom w:val="none" w:sz="0" w:space="0" w:color="auto"/>
        <w:right w:val="none" w:sz="0" w:space="0" w:color="auto"/>
      </w:divBdr>
    </w:div>
    <w:div w:id="815757795">
      <w:bodyDiv w:val="1"/>
      <w:marLeft w:val="0"/>
      <w:marRight w:val="0"/>
      <w:marTop w:val="0"/>
      <w:marBottom w:val="0"/>
      <w:divBdr>
        <w:top w:val="none" w:sz="0" w:space="0" w:color="auto"/>
        <w:left w:val="none" w:sz="0" w:space="0" w:color="auto"/>
        <w:bottom w:val="none" w:sz="0" w:space="0" w:color="auto"/>
        <w:right w:val="none" w:sz="0" w:space="0" w:color="auto"/>
      </w:divBdr>
    </w:div>
    <w:div w:id="815953653">
      <w:bodyDiv w:val="1"/>
      <w:marLeft w:val="0"/>
      <w:marRight w:val="0"/>
      <w:marTop w:val="0"/>
      <w:marBottom w:val="0"/>
      <w:divBdr>
        <w:top w:val="none" w:sz="0" w:space="0" w:color="auto"/>
        <w:left w:val="none" w:sz="0" w:space="0" w:color="auto"/>
        <w:bottom w:val="none" w:sz="0" w:space="0" w:color="auto"/>
        <w:right w:val="none" w:sz="0" w:space="0" w:color="auto"/>
      </w:divBdr>
    </w:div>
    <w:div w:id="815998979">
      <w:bodyDiv w:val="1"/>
      <w:marLeft w:val="0"/>
      <w:marRight w:val="0"/>
      <w:marTop w:val="0"/>
      <w:marBottom w:val="0"/>
      <w:divBdr>
        <w:top w:val="none" w:sz="0" w:space="0" w:color="auto"/>
        <w:left w:val="none" w:sz="0" w:space="0" w:color="auto"/>
        <w:bottom w:val="none" w:sz="0" w:space="0" w:color="auto"/>
        <w:right w:val="none" w:sz="0" w:space="0" w:color="auto"/>
      </w:divBdr>
    </w:div>
    <w:div w:id="816191186">
      <w:bodyDiv w:val="1"/>
      <w:marLeft w:val="0"/>
      <w:marRight w:val="0"/>
      <w:marTop w:val="0"/>
      <w:marBottom w:val="0"/>
      <w:divBdr>
        <w:top w:val="none" w:sz="0" w:space="0" w:color="auto"/>
        <w:left w:val="none" w:sz="0" w:space="0" w:color="auto"/>
        <w:bottom w:val="none" w:sz="0" w:space="0" w:color="auto"/>
        <w:right w:val="none" w:sz="0" w:space="0" w:color="auto"/>
      </w:divBdr>
    </w:div>
    <w:div w:id="817576471">
      <w:bodyDiv w:val="1"/>
      <w:marLeft w:val="0"/>
      <w:marRight w:val="0"/>
      <w:marTop w:val="0"/>
      <w:marBottom w:val="0"/>
      <w:divBdr>
        <w:top w:val="none" w:sz="0" w:space="0" w:color="auto"/>
        <w:left w:val="none" w:sz="0" w:space="0" w:color="auto"/>
        <w:bottom w:val="none" w:sz="0" w:space="0" w:color="auto"/>
        <w:right w:val="none" w:sz="0" w:space="0" w:color="auto"/>
      </w:divBdr>
    </w:div>
    <w:div w:id="821503911">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3861640">
      <w:bodyDiv w:val="1"/>
      <w:marLeft w:val="0"/>
      <w:marRight w:val="0"/>
      <w:marTop w:val="0"/>
      <w:marBottom w:val="0"/>
      <w:divBdr>
        <w:top w:val="none" w:sz="0" w:space="0" w:color="auto"/>
        <w:left w:val="none" w:sz="0" w:space="0" w:color="auto"/>
        <w:bottom w:val="none" w:sz="0" w:space="0" w:color="auto"/>
        <w:right w:val="none" w:sz="0" w:space="0" w:color="auto"/>
      </w:divBdr>
    </w:div>
    <w:div w:id="826213324">
      <w:bodyDiv w:val="1"/>
      <w:marLeft w:val="0"/>
      <w:marRight w:val="0"/>
      <w:marTop w:val="0"/>
      <w:marBottom w:val="0"/>
      <w:divBdr>
        <w:top w:val="none" w:sz="0" w:space="0" w:color="auto"/>
        <w:left w:val="none" w:sz="0" w:space="0" w:color="auto"/>
        <w:bottom w:val="none" w:sz="0" w:space="0" w:color="auto"/>
        <w:right w:val="none" w:sz="0" w:space="0" w:color="auto"/>
      </w:divBdr>
    </w:div>
    <w:div w:id="826701176">
      <w:bodyDiv w:val="1"/>
      <w:marLeft w:val="0"/>
      <w:marRight w:val="0"/>
      <w:marTop w:val="0"/>
      <w:marBottom w:val="0"/>
      <w:divBdr>
        <w:top w:val="none" w:sz="0" w:space="0" w:color="auto"/>
        <w:left w:val="none" w:sz="0" w:space="0" w:color="auto"/>
        <w:bottom w:val="none" w:sz="0" w:space="0" w:color="auto"/>
        <w:right w:val="none" w:sz="0" w:space="0" w:color="auto"/>
      </w:divBdr>
    </w:div>
    <w:div w:id="828866290">
      <w:bodyDiv w:val="1"/>
      <w:marLeft w:val="0"/>
      <w:marRight w:val="0"/>
      <w:marTop w:val="0"/>
      <w:marBottom w:val="0"/>
      <w:divBdr>
        <w:top w:val="none" w:sz="0" w:space="0" w:color="auto"/>
        <w:left w:val="none" w:sz="0" w:space="0" w:color="auto"/>
        <w:bottom w:val="none" w:sz="0" w:space="0" w:color="auto"/>
        <w:right w:val="none" w:sz="0" w:space="0" w:color="auto"/>
      </w:divBdr>
    </w:div>
    <w:div w:id="828985559">
      <w:bodyDiv w:val="1"/>
      <w:marLeft w:val="0"/>
      <w:marRight w:val="0"/>
      <w:marTop w:val="0"/>
      <w:marBottom w:val="0"/>
      <w:divBdr>
        <w:top w:val="none" w:sz="0" w:space="0" w:color="auto"/>
        <w:left w:val="none" w:sz="0" w:space="0" w:color="auto"/>
        <w:bottom w:val="none" w:sz="0" w:space="0" w:color="auto"/>
        <w:right w:val="none" w:sz="0" w:space="0" w:color="auto"/>
      </w:divBdr>
    </w:div>
    <w:div w:id="831414748">
      <w:bodyDiv w:val="1"/>
      <w:marLeft w:val="0"/>
      <w:marRight w:val="0"/>
      <w:marTop w:val="0"/>
      <w:marBottom w:val="0"/>
      <w:divBdr>
        <w:top w:val="none" w:sz="0" w:space="0" w:color="auto"/>
        <w:left w:val="none" w:sz="0" w:space="0" w:color="auto"/>
        <w:bottom w:val="none" w:sz="0" w:space="0" w:color="auto"/>
        <w:right w:val="none" w:sz="0" w:space="0" w:color="auto"/>
      </w:divBdr>
    </w:div>
    <w:div w:id="832718969">
      <w:bodyDiv w:val="1"/>
      <w:marLeft w:val="0"/>
      <w:marRight w:val="0"/>
      <w:marTop w:val="0"/>
      <w:marBottom w:val="0"/>
      <w:divBdr>
        <w:top w:val="none" w:sz="0" w:space="0" w:color="auto"/>
        <w:left w:val="none" w:sz="0" w:space="0" w:color="auto"/>
        <w:bottom w:val="none" w:sz="0" w:space="0" w:color="auto"/>
        <w:right w:val="none" w:sz="0" w:space="0" w:color="auto"/>
      </w:divBdr>
    </w:div>
    <w:div w:id="833648195">
      <w:bodyDiv w:val="1"/>
      <w:marLeft w:val="0"/>
      <w:marRight w:val="0"/>
      <w:marTop w:val="0"/>
      <w:marBottom w:val="0"/>
      <w:divBdr>
        <w:top w:val="none" w:sz="0" w:space="0" w:color="auto"/>
        <w:left w:val="none" w:sz="0" w:space="0" w:color="auto"/>
        <w:bottom w:val="none" w:sz="0" w:space="0" w:color="auto"/>
        <w:right w:val="none" w:sz="0" w:space="0" w:color="auto"/>
      </w:divBdr>
    </w:div>
    <w:div w:id="834417965">
      <w:bodyDiv w:val="1"/>
      <w:marLeft w:val="0"/>
      <w:marRight w:val="0"/>
      <w:marTop w:val="0"/>
      <w:marBottom w:val="0"/>
      <w:divBdr>
        <w:top w:val="none" w:sz="0" w:space="0" w:color="auto"/>
        <w:left w:val="none" w:sz="0" w:space="0" w:color="auto"/>
        <w:bottom w:val="none" w:sz="0" w:space="0" w:color="auto"/>
        <w:right w:val="none" w:sz="0" w:space="0" w:color="auto"/>
      </w:divBdr>
    </w:div>
    <w:div w:id="834878184">
      <w:bodyDiv w:val="1"/>
      <w:marLeft w:val="0"/>
      <w:marRight w:val="0"/>
      <w:marTop w:val="0"/>
      <w:marBottom w:val="0"/>
      <w:divBdr>
        <w:top w:val="none" w:sz="0" w:space="0" w:color="auto"/>
        <w:left w:val="none" w:sz="0" w:space="0" w:color="auto"/>
        <w:bottom w:val="none" w:sz="0" w:space="0" w:color="auto"/>
        <w:right w:val="none" w:sz="0" w:space="0" w:color="auto"/>
      </w:divBdr>
    </w:div>
    <w:div w:id="836188668">
      <w:bodyDiv w:val="1"/>
      <w:marLeft w:val="0"/>
      <w:marRight w:val="0"/>
      <w:marTop w:val="0"/>
      <w:marBottom w:val="0"/>
      <w:divBdr>
        <w:top w:val="none" w:sz="0" w:space="0" w:color="auto"/>
        <w:left w:val="none" w:sz="0" w:space="0" w:color="auto"/>
        <w:bottom w:val="none" w:sz="0" w:space="0" w:color="auto"/>
        <w:right w:val="none" w:sz="0" w:space="0" w:color="auto"/>
      </w:divBdr>
    </w:div>
    <w:div w:id="836193155">
      <w:bodyDiv w:val="1"/>
      <w:marLeft w:val="0"/>
      <w:marRight w:val="0"/>
      <w:marTop w:val="0"/>
      <w:marBottom w:val="0"/>
      <w:divBdr>
        <w:top w:val="none" w:sz="0" w:space="0" w:color="auto"/>
        <w:left w:val="none" w:sz="0" w:space="0" w:color="auto"/>
        <w:bottom w:val="none" w:sz="0" w:space="0" w:color="auto"/>
        <w:right w:val="none" w:sz="0" w:space="0" w:color="auto"/>
      </w:divBdr>
    </w:div>
    <w:div w:id="837504356">
      <w:bodyDiv w:val="1"/>
      <w:marLeft w:val="0"/>
      <w:marRight w:val="0"/>
      <w:marTop w:val="0"/>
      <w:marBottom w:val="0"/>
      <w:divBdr>
        <w:top w:val="none" w:sz="0" w:space="0" w:color="auto"/>
        <w:left w:val="none" w:sz="0" w:space="0" w:color="auto"/>
        <w:bottom w:val="none" w:sz="0" w:space="0" w:color="auto"/>
        <w:right w:val="none" w:sz="0" w:space="0" w:color="auto"/>
      </w:divBdr>
    </w:div>
    <w:div w:id="837886521">
      <w:bodyDiv w:val="1"/>
      <w:marLeft w:val="0"/>
      <w:marRight w:val="0"/>
      <w:marTop w:val="0"/>
      <w:marBottom w:val="0"/>
      <w:divBdr>
        <w:top w:val="none" w:sz="0" w:space="0" w:color="auto"/>
        <w:left w:val="none" w:sz="0" w:space="0" w:color="auto"/>
        <w:bottom w:val="none" w:sz="0" w:space="0" w:color="auto"/>
        <w:right w:val="none" w:sz="0" w:space="0" w:color="auto"/>
      </w:divBdr>
    </w:div>
    <w:div w:id="840390041">
      <w:bodyDiv w:val="1"/>
      <w:marLeft w:val="0"/>
      <w:marRight w:val="0"/>
      <w:marTop w:val="0"/>
      <w:marBottom w:val="0"/>
      <w:divBdr>
        <w:top w:val="none" w:sz="0" w:space="0" w:color="auto"/>
        <w:left w:val="none" w:sz="0" w:space="0" w:color="auto"/>
        <w:bottom w:val="none" w:sz="0" w:space="0" w:color="auto"/>
        <w:right w:val="none" w:sz="0" w:space="0" w:color="auto"/>
      </w:divBdr>
    </w:div>
    <w:div w:id="841816259">
      <w:bodyDiv w:val="1"/>
      <w:marLeft w:val="0"/>
      <w:marRight w:val="0"/>
      <w:marTop w:val="0"/>
      <w:marBottom w:val="0"/>
      <w:divBdr>
        <w:top w:val="none" w:sz="0" w:space="0" w:color="auto"/>
        <w:left w:val="none" w:sz="0" w:space="0" w:color="auto"/>
        <w:bottom w:val="none" w:sz="0" w:space="0" w:color="auto"/>
        <w:right w:val="none" w:sz="0" w:space="0" w:color="auto"/>
      </w:divBdr>
    </w:div>
    <w:div w:id="843282029">
      <w:bodyDiv w:val="1"/>
      <w:marLeft w:val="0"/>
      <w:marRight w:val="0"/>
      <w:marTop w:val="0"/>
      <w:marBottom w:val="0"/>
      <w:divBdr>
        <w:top w:val="none" w:sz="0" w:space="0" w:color="auto"/>
        <w:left w:val="none" w:sz="0" w:space="0" w:color="auto"/>
        <w:bottom w:val="none" w:sz="0" w:space="0" w:color="auto"/>
        <w:right w:val="none" w:sz="0" w:space="0" w:color="auto"/>
      </w:divBdr>
    </w:div>
    <w:div w:id="843400638">
      <w:bodyDiv w:val="1"/>
      <w:marLeft w:val="0"/>
      <w:marRight w:val="0"/>
      <w:marTop w:val="0"/>
      <w:marBottom w:val="0"/>
      <w:divBdr>
        <w:top w:val="none" w:sz="0" w:space="0" w:color="auto"/>
        <w:left w:val="none" w:sz="0" w:space="0" w:color="auto"/>
        <w:bottom w:val="none" w:sz="0" w:space="0" w:color="auto"/>
        <w:right w:val="none" w:sz="0" w:space="0" w:color="auto"/>
      </w:divBdr>
    </w:div>
    <w:div w:id="843860289">
      <w:bodyDiv w:val="1"/>
      <w:marLeft w:val="0"/>
      <w:marRight w:val="0"/>
      <w:marTop w:val="0"/>
      <w:marBottom w:val="0"/>
      <w:divBdr>
        <w:top w:val="none" w:sz="0" w:space="0" w:color="auto"/>
        <w:left w:val="none" w:sz="0" w:space="0" w:color="auto"/>
        <w:bottom w:val="none" w:sz="0" w:space="0" w:color="auto"/>
        <w:right w:val="none" w:sz="0" w:space="0" w:color="auto"/>
      </w:divBdr>
    </w:div>
    <w:div w:id="845363139">
      <w:bodyDiv w:val="1"/>
      <w:marLeft w:val="0"/>
      <w:marRight w:val="0"/>
      <w:marTop w:val="0"/>
      <w:marBottom w:val="0"/>
      <w:divBdr>
        <w:top w:val="none" w:sz="0" w:space="0" w:color="auto"/>
        <w:left w:val="none" w:sz="0" w:space="0" w:color="auto"/>
        <w:bottom w:val="none" w:sz="0" w:space="0" w:color="auto"/>
        <w:right w:val="none" w:sz="0" w:space="0" w:color="auto"/>
      </w:divBdr>
    </w:div>
    <w:div w:id="847060492">
      <w:bodyDiv w:val="1"/>
      <w:marLeft w:val="0"/>
      <w:marRight w:val="0"/>
      <w:marTop w:val="0"/>
      <w:marBottom w:val="0"/>
      <w:divBdr>
        <w:top w:val="none" w:sz="0" w:space="0" w:color="auto"/>
        <w:left w:val="none" w:sz="0" w:space="0" w:color="auto"/>
        <w:bottom w:val="none" w:sz="0" w:space="0" w:color="auto"/>
        <w:right w:val="none" w:sz="0" w:space="0" w:color="auto"/>
      </w:divBdr>
    </w:div>
    <w:div w:id="847864415">
      <w:bodyDiv w:val="1"/>
      <w:marLeft w:val="0"/>
      <w:marRight w:val="0"/>
      <w:marTop w:val="0"/>
      <w:marBottom w:val="0"/>
      <w:divBdr>
        <w:top w:val="none" w:sz="0" w:space="0" w:color="auto"/>
        <w:left w:val="none" w:sz="0" w:space="0" w:color="auto"/>
        <w:bottom w:val="none" w:sz="0" w:space="0" w:color="auto"/>
        <w:right w:val="none" w:sz="0" w:space="0" w:color="auto"/>
      </w:divBdr>
    </w:div>
    <w:div w:id="849638822">
      <w:bodyDiv w:val="1"/>
      <w:marLeft w:val="0"/>
      <w:marRight w:val="0"/>
      <w:marTop w:val="0"/>
      <w:marBottom w:val="0"/>
      <w:divBdr>
        <w:top w:val="none" w:sz="0" w:space="0" w:color="auto"/>
        <w:left w:val="none" w:sz="0" w:space="0" w:color="auto"/>
        <w:bottom w:val="none" w:sz="0" w:space="0" w:color="auto"/>
        <w:right w:val="none" w:sz="0" w:space="0" w:color="auto"/>
      </w:divBdr>
    </w:div>
    <w:div w:id="849753336">
      <w:bodyDiv w:val="1"/>
      <w:marLeft w:val="0"/>
      <w:marRight w:val="0"/>
      <w:marTop w:val="0"/>
      <w:marBottom w:val="0"/>
      <w:divBdr>
        <w:top w:val="none" w:sz="0" w:space="0" w:color="auto"/>
        <w:left w:val="none" w:sz="0" w:space="0" w:color="auto"/>
        <w:bottom w:val="none" w:sz="0" w:space="0" w:color="auto"/>
        <w:right w:val="none" w:sz="0" w:space="0" w:color="auto"/>
      </w:divBdr>
    </w:div>
    <w:div w:id="849947107">
      <w:bodyDiv w:val="1"/>
      <w:marLeft w:val="0"/>
      <w:marRight w:val="0"/>
      <w:marTop w:val="0"/>
      <w:marBottom w:val="0"/>
      <w:divBdr>
        <w:top w:val="none" w:sz="0" w:space="0" w:color="auto"/>
        <w:left w:val="none" w:sz="0" w:space="0" w:color="auto"/>
        <w:bottom w:val="none" w:sz="0" w:space="0" w:color="auto"/>
        <w:right w:val="none" w:sz="0" w:space="0" w:color="auto"/>
      </w:divBdr>
    </w:div>
    <w:div w:id="851333693">
      <w:bodyDiv w:val="1"/>
      <w:marLeft w:val="0"/>
      <w:marRight w:val="0"/>
      <w:marTop w:val="0"/>
      <w:marBottom w:val="0"/>
      <w:divBdr>
        <w:top w:val="none" w:sz="0" w:space="0" w:color="auto"/>
        <w:left w:val="none" w:sz="0" w:space="0" w:color="auto"/>
        <w:bottom w:val="none" w:sz="0" w:space="0" w:color="auto"/>
        <w:right w:val="none" w:sz="0" w:space="0" w:color="auto"/>
      </w:divBdr>
    </w:div>
    <w:div w:id="853301868">
      <w:bodyDiv w:val="1"/>
      <w:marLeft w:val="0"/>
      <w:marRight w:val="0"/>
      <w:marTop w:val="0"/>
      <w:marBottom w:val="0"/>
      <w:divBdr>
        <w:top w:val="none" w:sz="0" w:space="0" w:color="auto"/>
        <w:left w:val="none" w:sz="0" w:space="0" w:color="auto"/>
        <w:bottom w:val="none" w:sz="0" w:space="0" w:color="auto"/>
        <w:right w:val="none" w:sz="0" w:space="0" w:color="auto"/>
      </w:divBdr>
    </w:div>
    <w:div w:id="855312676">
      <w:bodyDiv w:val="1"/>
      <w:marLeft w:val="0"/>
      <w:marRight w:val="0"/>
      <w:marTop w:val="0"/>
      <w:marBottom w:val="0"/>
      <w:divBdr>
        <w:top w:val="none" w:sz="0" w:space="0" w:color="auto"/>
        <w:left w:val="none" w:sz="0" w:space="0" w:color="auto"/>
        <w:bottom w:val="none" w:sz="0" w:space="0" w:color="auto"/>
        <w:right w:val="none" w:sz="0" w:space="0" w:color="auto"/>
      </w:divBdr>
    </w:div>
    <w:div w:id="855726241">
      <w:bodyDiv w:val="1"/>
      <w:marLeft w:val="0"/>
      <w:marRight w:val="0"/>
      <w:marTop w:val="0"/>
      <w:marBottom w:val="0"/>
      <w:divBdr>
        <w:top w:val="none" w:sz="0" w:space="0" w:color="auto"/>
        <w:left w:val="none" w:sz="0" w:space="0" w:color="auto"/>
        <w:bottom w:val="none" w:sz="0" w:space="0" w:color="auto"/>
        <w:right w:val="none" w:sz="0" w:space="0" w:color="auto"/>
      </w:divBdr>
    </w:div>
    <w:div w:id="859128219">
      <w:bodyDiv w:val="1"/>
      <w:marLeft w:val="0"/>
      <w:marRight w:val="0"/>
      <w:marTop w:val="0"/>
      <w:marBottom w:val="0"/>
      <w:divBdr>
        <w:top w:val="none" w:sz="0" w:space="0" w:color="auto"/>
        <w:left w:val="none" w:sz="0" w:space="0" w:color="auto"/>
        <w:bottom w:val="none" w:sz="0" w:space="0" w:color="auto"/>
        <w:right w:val="none" w:sz="0" w:space="0" w:color="auto"/>
      </w:divBdr>
    </w:div>
    <w:div w:id="860508968">
      <w:bodyDiv w:val="1"/>
      <w:marLeft w:val="0"/>
      <w:marRight w:val="0"/>
      <w:marTop w:val="0"/>
      <w:marBottom w:val="0"/>
      <w:divBdr>
        <w:top w:val="none" w:sz="0" w:space="0" w:color="auto"/>
        <w:left w:val="none" w:sz="0" w:space="0" w:color="auto"/>
        <w:bottom w:val="none" w:sz="0" w:space="0" w:color="auto"/>
        <w:right w:val="none" w:sz="0" w:space="0" w:color="auto"/>
      </w:divBdr>
    </w:div>
    <w:div w:id="861238145">
      <w:bodyDiv w:val="1"/>
      <w:marLeft w:val="0"/>
      <w:marRight w:val="0"/>
      <w:marTop w:val="0"/>
      <w:marBottom w:val="0"/>
      <w:divBdr>
        <w:top w:val="none" w:sz="0" w:space="0" w:color="auto"/>
        <w:left w:val="none" w:sz="0" w:space="0" w:color="auto"/>
        <w:bottom w:val="none" w:sz="0" w:space="0" w:color="auto"/>
        <w:right w:val="none" w:sz="0" w:space="0" w:color="auto"/>
      </w:divBdr>
    </w:div>
    <w:div w:id="861354974">
      <w:bodyDiv w:val="1"/>
      <w:marLeft w:val="0"/>
      <w:marRight w:val="0"/>
      <w:marTop w:val="0"/>
      <w:marBottom w:val="0"/>
      <w:divBdr>
        <w:top w:val="none" w:sz="0" w:space="0" w:color="auto"/>
        <w:left w:val="none" w:sz="0" w:space="0" w:color="auto"/>
        <w:bottom w:val="none" w:sz="0" w:space="0" w:color="auto"/>
        <w:right w:val="none" w:sz="0" w:space="0" w:color="auto"/>
      </w:divBdr>
    </w:div>
    <w:div w:id="861473265">
      <w:bodyDiv w:val="1"/>
      <w:marLeft w:val="0"/>
      <w:marRight w:val="0"/>
      <w:marTop w:val="0"/>
      <w:marBottom w:val="0"/>
      <w:divBdr>
        <w:top w:val="none" w:sz="0" w:space="0" w:color="auto"/>
        <w:left w:val="none" w:sz="0" w:space="0" w:color="auto"/>
        <w:bottom w:val="none" w:sz="0" w:space="0" w:color="auto"/>
        <w:right w:val="none" w:sz="0" w:space="0" w:color="auto"/>
      </w:divBdr>
    </w:div>
    <w:div w:id="861895162">
      <w:bodyDiv w:val="1"/>
      <w:marLeft w:val="0"/>
      <w:marRight w:val="0"/>
      <w:marTop w:val="0"/>
      <w:marBottom w:val="0"/>
      <w:divBdr>
        <w:top w:val="none" w:sz="0" w:space="0" w:color="auto"/>
        <w:left w:val="none" w:sz="0" w:space="0" w:color="auto"/>
        <w:bottom w:val="none" w:sz="0" w:space="0" w:color="auto"/>
        <w:right w:val="none" w:sz="0" w:space="0" w:color="auto"/>
      </w:divBdr>
    </w:div>
    <w:div w:id="862785175">
      <w:bodyDiv w:val="1"/>
      <w:marLeft w:val="0"/>
      <w:marRight w:val="0"/>
      <w:marTop w:val="0"/>
      <w:marBottom w:val="0"/>
      <w:divBdr>
        <w:top w:val="none" w:sz="0" w:space="0" w:color="auto"/>
        <w:left w:val="none" w:sz="0" w:space="0" w:color="auto"/>
        <w:bottom w:val="none" w:sz="0" w:space="0" w:color="auto"/>
        <w:right w:val="none" w:sz="0" w:space="0" w:color="auto"/>
      </w:divBdr>
    </w:div>
    <w:div w:id="863598775">
      <w:bodyDiv w:val="1"/>
      <w:marLeft w:val="0"/>
      <w:marRight w:val="0"/>
      <w:marTop w:val="0"/>
      <w:marBottom w:val="0"/>
      <w:divBdr>
        <w:top w:val="none" w:sz="0" w:space="0" w:color="auto"/>
        <w:left w:val="none" w:sz="0" w:space="0" w:color="auto"/>
        <w:bottom w:val="none" w:sz="0" w:space="0" w:color="auto"/>
        <w:right w:val="none" w:sz="0" w:space="0" w:color="auto"/>
      </w:divBdr>
    </w:div>
    <w:div w:id="863983298">
      <w:bodyDiv w:val="1"/>
      <w:marLeft w:val="0"/>
      <w:marRight w:val="0"/>
      <w:marTop w:val="0"/>
      <w:marBottom w:val="0"/>
      <w:divBdr>
        <w:top w:val="none" w:sz="0" w:space="0" w:color="auto"/>
        <w:left w:val="none" w:sz="0" w:space="0" w:color="auto"/>
        <w:bottom w:val="none" w:sz="0" w:space="0" w:color="auto"/>
        <w:right w:val="none" w:sz="0" w:space="0" w:color="auto"/>
      </w:divBdr>
    </w:div>
    <w:div w:id="865142797">
      <w:bodyDiv w:val="1"/>
      <w:marLeft w:val="0"/>
      <w:marRight w:val="0"/>
      <w:marTop w:val="0"/>
      <w:marBottom w:val="0"/>
      <w:divBdr>
        <w:top w:val="none" w:sz="0" w:space="0" w:color="auto"/>
        <w:left w:val="none" w:sz="0" w:space="0" w:color="auto"/>
        <w:bottom w:val="none" w:sz="0" w:space="0" w:color="auto"/>
        <w:right w:val="none" w:sz="0" w:space="0" w:color="auto"/>
      </w:divBdr>
    </w:div>
    <w:div w:id="867060442">
      <w:bodyDiv w:val="1"/>
      <w:marLeft w:val="0"/>
      <w:marRight w:val="0"/>
      <w:marTop w:val="0"/>
      <w:marBottom w:val="0"/>
      <w:divBdr>
        <w:top w:val="none" w:sz="0" w:space="0" w:color="auto"/>
        <w:left w:val="none" w:sz="0" w:space="0" w:color="auto"/>
        <w:bottom w:val="none" w:sz="0" w:space="0" w:color="auto"/>
        <w:right w:val="none" w:sz="0" w:space="0" w:color="auto"/>
      </w:divBdr>
    </w:div>
    <w:div w:id="867137022">
      <w:bodyDiv w:val="1"/>
      <w:marLeft w:val="0"/>
      <w:marRight w:val="0"/>
      <w:marTop w:val="0"/>
      <w:marBottom w:val="0"/>
      <w:divBdr>
        <w:top w:val="none" w:sz="0" w:space="0" w:color="auto"/>
        <w:left w:val="none" w:sz="0" w:space="0" w:color="auto"/>
        <w:bottom w:val="none" w:sz="0" w:space="0" w:color="auto"/>
        <w:right w:val="none" w:sz="0" w:space="0" w:color="auto"/>
      </w:divBdr>
    </w:div>
    <w:div w:id="867765193">
      <w:bodyDiv w:val="1"/>
      <w:marLeft w:val="0"/>
      <w:marRight w:val="0"/>
      <w:marTop w:val="0"/>
      <w:marBottom w:val="0"/>
      <w:divBdr>
        <w:top w:val="none" w:sz="0" w:space="0" w:color="auto"/>
        <w:left w:val="none" w:sz="0" w:space="0" w:color="auto"/>
        <w:bottom w:val="none" w:sz="0" w:space="0" w:color="auto"/>
        <w:right w:val="none" w:sz="0" w:space="0" w:color="auto"/>
      </w:divBdr>
    </w:div>
    <w:div w:id="869025923">
      <w:bodyDiv w:val="1"/>
      <w:marLeft w:val="0"/>
      <w:marRight w:val="0"/>
      <w:marTop w:val="0"/>
      <w:marBottom w:val="0"/>
      <w:divBdr>
        <w:top w:val="none" w:sz="0" w:space="0" w:color="auto"/>
        <w:left w:val="none" w:sz="0" w:space="0" w:color="auto"/>
        <w:bottom w:val="none" w:sz="0" w:space="0" w:color="auto"/>
        <w:right w:val="none" w:sz="0" w:space="0" w:color="auto"/>
      </w:divBdr>
    </w:div>
    <w:div w:id="870847146">
      <w:bodyDiv w:val="1"/>
      <w:marLeft w:val="0"/>
      <w:marRight w:val="0"/>
      <w:marTop w:val="0"/>
      <w:marBottom w:val="0"/>
      <w:divBdr>
        <w:top w:val="none" w:sz="0" w:space="0" w:color="auto"/>
        <w:left w:val="none" w:sz="0" w:space="0" w:color="auto"/>
        <w:bottom w:val="none" w:sz="0" w:space="0" w:color="auto"/>
        <w:right w:val="none" w:sz="0" w:space="0" w:color="auto"/>
      </w:divBdr>
    </w:div>
    <w:div w:id="871065947">
      <w:bodyDiv w:val="1"/>
      <w:marLeft w:val="0"/>
      <w:marRight w:val="0"/>
      <w:marTop w:val="0"/>
      <w:marBottom w:val="0"/>
      <w:divBdr>
        <w:top w:val="none" w:sz="0" w:space="0" w:color="auto"/>
        <w:left w:val="none" w:sz="0" w:space="0" w:color="auto"/>
        <w:bottom w:val="none" w:sz="0" w:space="0" w:color="auto"/>
        <w:right w:val="none" w:sz="0" w:space="0" w:color="auto"/>
      </w:divBdr>
    </w:div>
    <w:div w:id="872426300">
      <w:bodyDiv w:val="1"/>
      <w:marLeft w:val="0"/>
      <w:marRight w:val="0"/>
      <w:marTop w:val="0"/>
      <w:marBottom w:val="0"/>
      <w:divBdr>
        <w:top w:val="none" w:sz="0" w:space="0" w:color="auto"/>
        <w:left w:val="none" w:sz="0" w:space="0" w:color="auto"/>
        <w:bottom w:val="none" w:sz="0" w:space="0" w:color="auto"/>
        <w:right w:val="none" w:sz="0" w:space="0" w:color="auto"/>
      </w:divBdr>
    </w:div>
    <w:div w:id="872815101">
      <w:bodyDiv w:val="1"/>
      <w:marLeft w:val="0"/>
      <w:marRight w:val="0"/>
      <w:marTop w:val="0"/>
      <w:marBottom w:val="0"/>
      <w:divBdr>
        <w:top w:val="none" w:sz="0" w:space="0" w:color="auto"/>
        <w:left w:val="none" w:sz="0" w:space="0" w:color="auto"/>
        <w:bottom w:val="none" w:sz="0" w:space="0" w:color="auto"/>
        <w:right w:val="none" w:sz="0" w:space="0" w:color="auto"/>
      </w:divBdr>
    </w:div>
    <w:div w:id="874077295">
      <w:bodyDiv w:val="1"/>
      <w:marLeft w:val="0"/>
      <w:marRight w:val="0"/>
      <w:marTop w:val="0"/>
      <w:marBottom w:val="0"/>
      <w:divBdr>
        <w:top w:val="none" w:sz="0" w:space="0" w:color="auto"/>
        <w:left w:val="none" w:sz="0" w:space="0" w:color="auto"/>
        <w:bottom w:val="none" w:sz="0" w:space="0" w:color="auto"/>
        <w:right w:val="none" w:sz="0" w:space="0" w:color="auto"/>
      </w:divBdr>
    </w:div>
    <w:div w:id="877281554">
      <w:bodyDiv w:val="1"/>
      <w:marLeft w:val="0"/>
      <w:marRight w:val="0"/>
      <w:marTop w:val="0"/>
      <w:marBottom w:val="0"/>
      <w:divBdr>
        <w:top w:val="none" w:sz="0" w:space="0" w:color="auto"/>
        <w:left w:val="none" w:sz="0" w:space="0" w:color="auto"/>
        <w:bottom w:val="none" w:sz="0" w:space="0" w:color="auto"/>
        <w:right w:val="none" w:sz="0" w:space="0" w:color="auto"/>
      </w:divBdr>
    </w:div>
    <w:div w:id="877399997">
      <w:bodyDiv w:val="1"/>
      <w:marLeft w:val="0"/>
      <w:marRight w:val="0"/>
      <w:marTop w:val="0"/>
      <w:marBottom w:val="0"/>
      <w:divBdr>
        <w:top w:val="none" w:sz="0" w:space="0" w:color="auto"/>
        <w:left w:val="none" w:sz="0" w:space="0" w:color="auto"/>
        <w:bottom w:val="none" w:sz="0" w:space="0" w:color="auto"/>
        <w:right w:val="none" w:sz="0" w:space="0" w:color="auto"/>
      </w:divBdr>
    </w:div>
    <w:div w:id="881409237">
      <w:bodyDiv w:val="1"/>
      <w:marLeft w:val="0"/>
      <w:marRight w:val="0"/>
      <w:marTop w:val="0"/>
      <w:marBottom w:val="0"/>
      <w:divBdr>
        <w:top w:val="none" w:sz="0" w:space="0" w:color="auto"/>
        <w:left w:val="none" w:sz="0" w:space="0" w:color="auto"/>
        <w:bottom w:val="none" w:sz="0" w:space="0" w:color="auto"/>
        <w:right w:val="none" w:sz="0" w:space="0" w:color="auto"/>
      </w:divBdr>
    </w:div>
    <w:div w:id="882909105">
      <w:bodyDiv w:val="1"/>
      <w:marLeft w:val="0"/>
      <w:marRight w:val="0"/>
      <w:marTop w:val="0"/>
      <w:marBottom w:val="0"/>
      <w:divBdr>
        <w:top w:val="none" w:sz="0" w:space="0" w:color="auto"/>
        <w:left w:val="none" w:sz="0" w:space="0" w:color="auto"/>
        <w:bottom w:val="none" w:sz="0" w:space="0" w:color="auto"/>
        <w:right w:val="none" w:sz="0" w:space="0" w:color="auto"/>
      </w:divBdr>
    </w:div>
    <w:div w:id="884412873">
      <w:bodyDiv w:val="1"/>
      <w:marLeft w:val="0"/>
      <w:marRight w:val="0"/>
      <w:marTop w:val="0"/>
      <w:marBottom w:val="0"/>
      <w:divBdr>
        <w:top w:val="none" w:sz="0" w:space="0" w:color="auto"/>
        <w:left w:val="none" w:sz="0" w:space="0" w:color="auto"/>
        <w:bottom w:val="none" w:sz="0" w:space="0" w:color="auto"/>
        <w:right w:val="none" w:sz="0" w:space="0" w:color="auto"/>
      </w:divBdr>
    </w:div>
    <w:div w:id="884609297">
      <w:bodyDiv w:val="1"/>
      <w:marLeft w:val="0"/>
      <w:marRight w:val="0"/>
      <w:marTop w:val="0"/>
      <w:marBottom w:val="0"/>
      <w:divBdr>
        <w:top w:val="none" w:sz="0" w:space="0" w:color="auto"/>
        <w:left w:val="none" w:sz="0" w:space="0" w:color="auto"/>
        <w:bottom w:val="none" w:sz="0" w:space="0" w:color="auto"/>
        <w:right w:val="none" w:sz="0" w:space="0" w:color="auto"/>
      </w:divBdr>
    </w:div>
    <w:div w:id="886141266">
      <w:bodyDiv w:val="1"/>
      <w:marLeft w:val="0"/>
      <w:marRight w:val="0"/>
      <w:marTop w:val="0"/>
      <w:marBottom w:val="0"/>
      <w:divBdr>
        <w:top w:val="none" w:sz="0" w:space="0" w:color="auto"/>
        <w:left w:val="none" w:sz="0" w:space="0" w:color="auto"/>
        <w:bottom w:val="none" w:sz="0" w:space="0" w:color="auto"/>
        <w:right w:val="none" w:sz="0" w:space="0" w:color="auto"/>
      </w:divBdr>
    </w:div>
    <w:div w:id="886261658">
      <w:bodyDiv w:val="1"/>
      <w:marLeft w:val="0"/>
      <w:marRight w:val="0"/>
      <w:marTop w:val="0"/>
      <w:marBottom w:val="0"/>
      <w:divBdr>
        <w:top w:val="none" w:sz="0" w:space="0" w:color="auto"/>
        <w:left w:val="none" w:sz="0" w:space="0" w:color="auto"/>
        <w:bottom w:val="none" w:sz="0" w:space="0" w:color="auto"/>
        <w:right w:val="none" w:sz="0" w:space="0" w:color="auto"/>
      </w:divBdr>
    </w:div>
    <w:div w:id="886334342">
      <w:bodyDiv w:val="1"/>
      <w:marLeft w:val="0"/>
      <w:marRight w:val="0"/>
      <w:marTop w:val="0"/>
      <w:marBottom w:val="0"/>
      <w:divBdr>
        <w:top w:val="none" w:sz="0" w:space="0" w:color="auto"/>
        <w:left w:val="none" w:sz="0" w:space="0" w:color="auto"/>
        <w:bottom w:val="none" w:sz="0" w:space="0" w:color="auto"/>
        <w:right w:val="none" w:sz="0" w:space="0" w:color="auto"/>
      </w:divBdr>
    </w:div>
    <w:div w:id="886599297">
      <w:bodyDiv w:val="1"/>
      <w:marLeft w:val="0"/>
      <w:marRight w:val="0"/>
      <w:marTop w:val="0"/>
      <w:marBottom w:val="0"/>
      <w:divBdr>
        <w:top w:val="none" w:sz="0" w:space="0" w:color="auto"/>
        <w:left w:val="none" w:sz="0" w:space="0" w:color="auto"/>
        <w:bottom w:val="none" w:sz="0" w:space="0" w:color="auto"/>
        <w:right w:val="none" w:sz="0" w:space="0" w:color="auto"/>
      </w:divBdr>
    </w:div>
    <w:div w:id="888540284">
      <w:bodyDiv w:val="1"/>
      <w:marLeft w:val="0"/>
      <w:marRight w:val="0"/>
      <w:marTop w:val="0"/>
      <w:marBottom w:val="0"/>
      <w:divBdr>
        <w:top w:val="none" w:sz="0" w:space="0" w:color="auto"/>
        <w:left w:val="none" w:sz="0" w:space="0" w:color="auto"/>
        <w:bottom w:val="none" w:sz="0" w:space="0" w:color="auto"/>
        <w:right w:val="none" w:sz="0" w:space="0" w:color="auto"/>
      </w:divBdr>
    </w:div>
    <w:div w:id="888997293">
      <w:bodyDiv w:val="1"/>
      <w:marLeft w:val="0"/>
      <w:marRight w:val="0"/>
      <w:marTop w:val="0"/>
      <w:marBottom w:val="0"/>
      <w:divBdr>
        <w:top w:val="none" w:sz="0" w:space="0" w:color="auto"/>
        <w:left w:val="none" w:sz="0" w:space="0" w:color="auto"/>
        <w:bottom w:val="none" w:sz="0" w:space="0" w:color="auto"/>
        <w:right w:val="none" w:sz="0" w:space="0" w:color="auto"/>
      </w:divBdr>
    </w:div>
    <w:div w:id="889346846">
      <w:bodyDiv w:val="1"/>
      <w:marLeft w:val="0"/>
      <w:marRight w:val="0"/>
      <w:marTop w:val="0"/>
      <w:marBottom w:val="0"/>
      <w:divBdr>
        <w:top w:val="none" w:sz="0" w:space="0" w:color="auto"/>
        <w:left w:val="none" w:sz="0" w:space="0" w:color="auto"/>
        <w:bottom w:val="none" w:sz="0" w:space="0" w:color="auto"/>
        <w:right w:val="none" w:sz="0" w:space="0" w:color="auto"/>
      </w:divBdr>
    </w:div>
    <w:div w:id="891160430">
      <w:bodyDiv w:val="1"/>
      <w:marLeft w:val="0"/>
      <w:marRight w:val="0"/>
      <w:marTop w:val="0"/>
      <w:marBottom w:val="0"/>
      <w:divBdr>
        <w:top w:val="none" w:sz="0" w:space="0" w:color="auto"/>
        <w:left w:val="none" w:sz="0" w:space="0" w:color="auto"/>
        <w:bottom w:val="none" w:sz="0" w:space="0" w:color="auto"/>
        <w:right w:val="none" w:sz="0" w:space="0" w:color="auto"/>
      </w:divBdr>
    </w:div>
    <w:div w:id="891311724">
      <w:bodyDiv w:val="1"/>
      <w:marLeft w:val="0"/>
      <w:marRight w:val="0"/>
      <w:marTop w:val="0"/>
      <w:marBottom w:val="0"/>
      <w:divBdr>
        <w:top w:val="none" w:sz="0" w:space="0" w:color="auto"/>
        <w:left w:val="none" w:sz="0" w:space="0" w:color="auto"/>
        <w:bottom w:val="none" w:sz="0" w:space="0" w:color="auto"/>
        <w:right w:val="none" w:sz="0" w:space="0" w:color="auto"/>
      </w:divBdr>
    </w:div>
    <w:div w:id="891385358">
      <w:bodyDiv w:val="1"/>
      <w:marLeft w:val="0"/>
      <w:marRight w:val="0"/>
      <w:marTop w:val="0"/>
      <w:marBottom w:val="0"/>
      <w:divBdr>
        <w:top w:val="none" w:sz="0" w:space="0" w:color="auto"/>
        <w:left w:val="none" w:sz="0" w:space="0" w:color="auto"/>
        <w:bottom w:val="none" w:sz="0" w:space="0" w:color="auto"/>
        <w:right w:val="none" w:sz="0" w:space="0" w:color="auto"/>
      </w:divBdr>
    </w:div>
    <w:div w:id="891499775">
      <w:bodyDiv w:val="1"/>
      <w:marLeft w:val="0"/>
      <w:marRight w:val="0"/>
      <w:marTop w:val="0"/>
      <w:marBottom w:val="0"/>
      <w:divBdr>
        <w:top w:val="none" w:sz="0" w:space="0" w:color="auto"/>
        <w:left w:val="none" w:sz="0" w:space="0" w:color="auto"/>
        <w:bottom w:val="none" w:sz="0" w:space="0" w:color="auto"/>
        <w:right w:val="none" w:sz="0" w:space="0" w:color="auto"/>
      </w:divBdr>
    </w:div>
    <w:div w:id="893662480">
      <w:bodyDiv w:val="1"/>
      <w:marLeft w:val="0"/>
      <w:marRight w:val="0"/>
      <w:marTop w:val="0"/>
      <w:marBottom w:val="0"/>
      <w:divBdr>
        <w:top w:val="none" w:sz="0" w:space="0" w:color="auto"/>
        <w:left w:val="none" w:sz="0" w:space="0" w:color="auto"/>
        <w:bottom w:val="none" w:sz="0" w:space="0" w:color="auto"/>
        <w:right w:val="none" w:sz="0" w:space="0" w:color="auto"/>
      </w:divBdr>
    </w:div>
    <w:div w:id="895355998">
      <w:bodyDiv w:val="1"/>
      <w:marLeft w:val="0"/>
      <w:marRight w:val="0"/>
      <w:marTop w:val="0"/>
      <w:marBottom w:val="0"/>
      <w:divBdr>
        <w:top w:val="none" w:sz="0" w:space="0" w:color="auto"/>
        <w:left w:val="none" w:sz="0" w:space="0" w:color="auto"/>
        <w:bottom w:val="none" w:sz="0" w:space="0" w:color="auto"/>
        <w:right w:val="none" w:sz="0" w:space="0" w:color="auto"/>
      </w:divBdr>
    </w:div>
    <w:div w:id="896008814">
      <w:bodyDiv w:val="1"/>
      <w:marLeft w:val="0"/>
      <w:marRight w:val="0"/>
      <w:marTop w:val="0"/>
      <w:marBottom w:val="0"/>
      <w:divBdr>
        <w:top w:val="none" w:sz="0" w:space="0" w:color="auto"/>
        <w:left w:val="none" w:sz="0" w:space="0" w:color="auto"/>
        <w:bottom w:val="none" w:sz="0" w:space="0" w:color="auto"/>
        <w:right w:val="none" w:sz="0" w:space="0" w:color="auto"/>
      </w:divBdr>
    </w:div>
    <w:div w:id="896428955">
      <w:bodyDiv w:val="1"/>
      <w:marLeft w:val="0"/>
      <w:marRight w:val="0"/>
      <w:marTop w:val="0"/>
      <w:marBottom w:val="0"/>
      <w:divBdr>
        <w:top w:val="none" w:sz="0" w:space="0" w:color="auto"/>
        <w:left w:val="none" w:sz="0" w:space="0" w:color="auto"/>
        <w:bottom w:val="none" w:sz="0" w:space="0" w:color="auto"/>
        <w:right w:val="none" w:sz="0" w:space="0" w:color="auto"/>
      </w:divBdr>
    </w:div>
    <w:div w:id="896548517">
      <w:bodyDiv w:val="1"/>
      <w:marLeft w:val="0"/>
      <w:marRight w:val="0"/>
      <w:marTop w:val="0"/>
      <w:marBottom w:val="0"/>
      <w:divBdr>
        <w:top w:val="none" w:sz="0" w:space="0" w:color="auto"/>
        <w:left w:val="none" w:sz="0" w:space="0" w:color="auto"/>
        <w:bottom w:val="none" w:sz="0" w:space="0" w:color="auto"/>
        <w:right w:val="none" w:sz="0" w:space="0" w:color="auto"/>
      </w:divBdr>
    </w:div>
    <w:div w:id="897279008">
      <w:bodyDiv w:val="1"/>
      <w:marLeft w:val="0"/>
      <w:marRight w:val="0"/>
      <w:marTop w:val="0"/>
      <w:marBottom w:val="0"/>
      <w:divBdr>
        <w:top w:val="none" w:sz="0" w:space="0" w:color="auto"/>
        <w:left w:val="none" w:sz="0" w:space="0" w:color="auto"/>
        <w:bottom w:val="none" w:sz="0" w:space="0" w:color="auto"/>
        <w:right w:val="none" w:sz="0" w:space="0" w:color="auto"/>
      </w:divBdr>
    </w:div>
    <w:div w:id="897940494">
      <w:bodyDiv w:val="1"/>
      <w:marLeft w:val="0"/>
      <w:marRight w:val="0"/>
      <w:marTop w:val="0"/>
      <w:marBottom w:val="0"/>
      <w:divBdr>
        <w:top w:val="none" w:sz="0" w:space="0" w:color="auto"/>
        <w:left w:val="none" w:sz="0" w:space="0" w:color="auto"/>
        <w:bottom w:val="none" w:sz="0" w:space="0" w:color="auto"/>
        <w:right w:val="none" w:sz="0" w:space="0" w:color="auto"/>
      </w:divBdr>
    </w:div>
    <w:div w:id="898125459">
      <w:bodyDiv w:val="1"/>
      <w:marLeft w:val="0"/>
      <w:marRight w:val="0"/>
      <w:marTop w:val="0"/>
      <w:marBottom w:val="0"/>
      <w:divBdr>
        <w:top w:val="none" w:sz="0" w:space="0" w:color="auto"/>
        <w:left w:val="none" w:sz="0" w:space="0" w:color="auto"/>
        <w:bottom w:val="none" w:sz="0" w:space="0" w:color="auto"/>
        <w:right w:val="none" w:sz="0" w:space="0" w:color="auto"/>
      </w:divBdr>
    </w:div>
    <w:div w:id="899174623">
      <w:bodyDiv w:val="1"/>
      <w:marLeft w:val="0"/>
      <w:marRight w:val="0"/>
      <w:marTop w:val="0"/>
      <w:marBottom w:val="0"/>
      <w:divBdr>
        <w:top w:val="none" w:sz="0" w:space="0" w:color="auto"/>
        <w:left w:val="none" w:sz="0" w:space="0" w:color="auto"/>
        <w:bottom w:val="none" w:sz="0" w:space="0" w:color="auto"/>
        <w:right w:val="none" w:sz="0" w:space="0" w:color="auto"/>
      </w:divBdr>
    </w:div>
    <w:div w:id="899285518">
      <w:bodyDiv w:val="1"/>
      <w:marLeft w:val="0"/>
      <w:marRight w:val="0"/>
      <w:marTop w:val="0"/>
      <w:marBottom w:val="0"/>
      <w:divBdr>
        <w:top w:val="none" w:sz="0" w:space="0" w:color="auto"/>
        <w:left w:val="none" w:sz="0" w:space="0" w:color="auto"/>
        <w:bottom w:val="none" w:sz="0" w:space="0" w:color="auto"/>
        <w:right w:val="none" w:sz="0" w:space="0" w:color="auto"/>
      </w:divBdr>
    </w:div>
    <w:div w:id="908923706">
      <w:bodyDiv w:val="1"/>
      <w:marLeft w:val="0"/>
      <w:marRight w:val="0"/>
      <w:marTop w:val="0"/>
      <w:marBottom w:val="0"/>
      <w:divBdr>
        <w:top w:val="none" w:sz="0" w:space="0" w:color="auto"/>
        <w:left w:val="none" w:sz="0" w:space="0" w:color="auto"/>
        <w:bottom w:val="none" w:sz="0" w:space="0" w:color="auto"/>
        <w:right w:val="none" w:sz="0" w:space="0" w:color="auto"/>
      </w:divBdr>
    </w:div>
    <w:div w:id="910890960">
      <w:bodyDiv w:val="1"/>
      <w:marLeft w:val="0"/>
      <w:marRight w:val="0"/>
      <w:marTop w:val="0"/>
      <w:marBottom w:val="0"/>
      <w:divBdr>
        <w:top w:val="none" w:sz="0" w:space="0" w:color="auto"/>
        <w:left w:val="none" w:sz="0" w:space="0" w:color="auto"/>
        <w:bottom w:val="none" w:sz="0" w:space="0" w:color="auto"/>
        <w:right w:val="none" w:sz="0" w:space="0" w:color="auto"/>
      </w:divBdr>
    </w:div>
    <w:div w:id="912162356">
      <w:bodyDiv w:val="1"/>
      <w:marLeft w:val="0"/>
      <w:marRight w:val="0"/>
      <w:marTop w:val="0"/>
      <w:marBottom w:val="0"/>
      <w:divBdr>
        <w:top w:val="none" w:sz="0" w:space="0" w:color="auto"/>
        <w:left w:val="none" w:sz="0" w:space="0" w:color="auto"/>
        <w:bottom w:val="none" w:sz="0" w:space="0" w:color="auto"/>
        <w:right w:val="none" w:sz="0" w:space="0" w:color="auto"/>
      </w:divBdr>
    </w:div>
    <w:div w:id="912280984">
      <w:bodyDiv w:val="1"/>
      <w:marLeft w:val="0"/>
      <w:marRight w:val="0"/>
      <w:marTop w:val="0"/>
      <w:marBottom w:val="0"/>
      <w:divBdr>
        <w:top w:val="none" w:sz="0" w:space="0" w:color="auto"/>
        <w:left w:val="none" w:sz="0" w:space="0" w:color="auto"/>
        <w:bottom w:val="none" w:sz="0" w:space="0" w:color="auto"/>
        <w:right w:val="none" w:sz="0" w:space="0" w:color="auto"/>
      </w:divBdr>
    </w:div>
    <w:div w:id="912928270">
      <w:bodyDiv w:val="1"/>
      <w:marLeft w:val="0"/>
      <w:marRight w:val="0"/>
      <w:marTop w:val="0"/>
      <w:marBottom w:val="0"/>
      <w:divBdr>
        <w:top w:val="none" w:sz="0" w:space="0" w:color="auto"/>
        <w:left w:val="none" w:sz="0" w:space="0" w:color="auto"/>
        <w:bottom w:val="none" w:sz="0" w:space="0" w:color="auto"/>
        <w:right w:val="none" w:sz="0" w:space="0" w:color="auto"/>
      </w:divBdr>
    </w:div>
    <w:div w:id="914239817">
      <w:bodyDiv w:val="1"/>
      <w:marLeft w:val="0"/>
      <w:marRight w:val="0"/>
      <w:marTop w:val="0"/>
      <w:marBottom w:val="0"/>
      <w:divBdr>
        <w:top w:val="none" w:sz="0" w:space="0" w:color="auto"/>
        <w:left w:val="none" w:sz="0" w:space="0" w:color="auto"/>
        <w:bottom w:val="none" w:sz="0" w:space="0" w:color="auto"/>
        <w:right w:val="none" w:sz="0" w:space="0" w:color="auto"/>
      </w:divBdr>
    </w:div>
    <w:div w:id="914363556">
      <w:bodyDiv w:val="1"/>
      <w:marLeft w:val="0"/>
      <w:marRight w:val="0"/>
      <w:marTop w:val="0"/>
      <w:marBottom w:val="0"/>
      <w:divBdr>
        <w:top w:val="none" w:sz="0" w:space="0" w:color="auto"/>
        <w:left w:val="none" w:sz="0" w:space="0" w:color="auto"/>
        <w:bottom w:val="none" w:sz="0" w:space="0" w:color="auto"/>
        <w:right w:val="none" w:sz="0" w:space="0" w:color="auto"/>
      </w:divBdr>
    </w:div>
    <w:div w:id="914631290">
      <w:bodyDiv w:val="1"/>
      <w:marLeft w:val="0"/>
      <w:marRight w:val="0"/>
      <w:marTop w:val="0"/>
      <w:marBottom w:val="0"/>
      <w:divBdr>
        <w:top w:val="none" w:sz="0" w:space="0" w:color="auto"/>
        <w:left w:val="none" w:sz="0" w:space="0" w:color="auto"/>
        <w:bottom w:val="none" w:sz="0" w:space="0" w:color="auto"/>
        <w:right w:val="none" w:sz="0" w:space="0" w:color="auto"/>
      </w:divBdr>
    </w:div>
    <w:div w:id="914973252">
      <w:bodyDiv w:val="1"/>
      <w:marLeft w:val="0"/>
      <w:marRight w:val="0"/>
      <w:marTop w:val="0"/>
      <w:marBottom w:val="0"/>
      <w:divBdr>
        <w:top w:val="none" w:sz="0" w:space="0" w:color="auto"/>
        <w:left w:val="none" w:sz="0" w:space="0" w:color="auto"/>
        <w:bottom w:val="none" w:sz="0" w:space="0" w:color="auto"/>
        <w:right w:val="none" w:sz="0" w:space="0" w:color="auto"/>
      </w:divBdr>
    </w:div>
    <w:div w:id="915431367">
      <w:bodyDiv w:val="1"/>
      <w:marLeft w:val="0"/>
      <w:marRight w:val="0"/>
      <w:marTop w:val="0"/>
      <w:marBottom w:val="0"/>
      <w:divBdr>
        <w:top w:val="none" w:sz="0" w:space="0" w:color="auto"/>
        <w:left w:val="none" w:sz="0" w:space="0" w:color="auto"/>
        <w:bottom w:val="none" w:sz="0" w:space="0" w:color="auto"/>
        <w:right w:val="none" w:sz="0" w:space="0" w:color="auto"/>
      </w:divBdr>
    </w:div>
    <w:div w:id="916481904">
      <w:bodyDiv w:val="1"/>
      <w:marLeft w:val="0"/>
      <w:marRight w:val="0"/>
      <w:marTop w:val="0"/>
      <w:marBottom w:val="0"/>
      <w:divBdr>
        <w:top w:val="none" w:sz="0" w:space="0" w:color="auto"/>
        <w:left w:val="none" w:sz="0" w:space="0" w:color="auto"/>
        <w:bottom w:val="none" w:sz="0" w:space="0" w:color="auto"/>
        <w:right w:val="none" w:sz="0" w:space="0" w:color="auto"/>
      </w:divBdr>
    </w:div>
    <w:div w:id="919606158">
      <w:bodyDiv w:val="1"/>
      <w:marLeft w:val="0"/>
      <w:marRight w:val="0"/>
      <w:marTop w:val="0"/>
      <w:marBottom w:val="0"/>
      <w:divBdr>
        <w:top w:val="none" w:sz="0" w:space="0" w:color="auto"/>
        <w:left w:val="none" w:sz="0" w:space="0" w:color="auto"/>
        <w:bottom w:val="none" w:sz="0" w:space="0" w:color="auto"/>
        <w:right w:val="none" w:sz="0" w:space="0" w:color="auto"/>
      </w:divBdr>
    </w:div>
    <w:div w:id="920720395">
      <w:bodyDiv w:val="1"/>
      <w:marLeft w:val="0"/>
      <w:marRight w:val="0"/>
      <w:marTop w:val="0"/>
      <w:marBottom w:val="0"/>
      <w:divBdr>
        <w:top w:val="none" w:sz="0" w:space="0" w:color="auto"/>
        <w:left w:val="none" w:sz="0" w:space="0" w:color="auto"/>
        <w:bottom w:val="none" w:sz="0" w:space="0" w:color="auto"/>
        <w:right w:val="none" w:sz="0" w:space="0" w:color="auto"/>
      </w:divBdr>
    </w:div>
    <w:div w:id="921599690">
      <w:bodyDiv w:val="1"/>
      <w:marLeft w:val="0"/>
      <w:marRight w:val="0"/>
      <w:marTop w:val="0"/>
      <w:marBottom w:val="0"/>
      <w:divBdr>
        <w:top w:val="none" w:sz="0" w:space="0" w:color="auto"/>
        <w:left w:val="none" w:sz="0" w:space="0" w:color="auto"/>
        <w:bottom w:val="none" w:sz="0" w:space="0" w:color="auto"/>
        <w:right w:val="none" w:sz="0" w:space="0" w:color="auto"/>
      </w:divBdr>
    </w:div>
    <w:div w:id="921912150">
      <w:bodyDiv w:val="1"/>
      <w:marLeft w:val="0"/>
      <w:marRight w:val="0"/>
      <w:marTop w:val="0"/>
      <w:marBottom w:val="0"/>
      <w:divBdr>
        <w:top w:val="none" w:sz="0" w:space="0" w:color="auto"/>
        <w:left w:val="none" w:sz="0" w:space="0" w:color="auto"/>
        <w:bottom w:val="none" w:sz="0" w:space="0" w:color="auto"/>
        <w:right w:val="none" w:sz="0" w:space="0" w:color="auto"/>
      </w:divBdr>
    </w:div>
    <w:div w:id="922686133">
      <w:bodyDiv w:val="1"/>
      <w:marLeft w:val="0"/>
      <w:marRight w:val="0"/>
      <w:marTop w:val="0"/>
      <w:marBottom w:val="0"/>
      <w:divBdr>
        <w:top w:val="none" w:sz="0" w:space="0" w:color="auto"/>
        <w:left w:val="none" w:sz="0" w:space="0" w:color="auto"/>
        <w:bottom w:val="none" w:sz="0" w:space="0" w:color="auto"/>
        <w:right w:val="none" w:sz="0" w:space="0" w:color="auto"/>
      </w:divBdr>
    </w:div>
    <w:div w:id="923760516">
      <w:bodyDiv w:val="1"/>
      <w:marLeft w:val="0"/>
      <w:marRight w:val="0"/>
      <w:marTop w:val="0"/>
      <w:marBottom w:val="0"/>
      <w:divBdr>
        <w:top w:val="none" w:sz="0" w:space="0" w:color="auto"/>
        <w:left w:val="none" w:sz="0" w:space="0" w:color="auto"/>
        <w:bottom w:val="none" w:sz="0" w:space="0" w:color="auto"/>
        <w:right w:val="none" w:sz="0" w:space="0" w:color="auto"/>
      </w:divBdr>
    </w:div>
    <w:div w:id="926185535">
      <w:bodyDiv w:val="1"/>
      <w:marLeft w:val="0"/>
      <w:marRight w:val="0"/>
      <w:marTop w:val="0"/>
      <w:marBottom w:val="0"/>
      <w:divBdr>
        <w:top w:val="none" w:sz="0" w:space="0" w:color="auto"/>
        <w:left w:val="none" w:sz="0" w:space="0" w:color="auto"/>
        <w:bottom w:val="none" w:sz="0" w:space="0" w:color="auto"/>
        <w:right w:val="none" w:sz="0" w:space="0" w:color="auto"/>
      </w:divBdr>
    </w:div>
    <w:div w:id="931477204">
      <w:bodyDiv w:val="1"/>
      <w:marLeft w:val="0"/>
      <w:marRight w:val="0"/>
      <w:marTop w:val="0"/>
      <w:marBottom w:val="0"/>
      <w:divBdr>
        <w:top w:val="none" w:sz="0" w:space="0" w:color="auto"/>
        <w:left w:val="none" w:sz="0" w:space="0" w:color="auto"/>
        <w:bottom w:val="none" w:sz="0" w:space="0" w:color="auto"/>
        <w:right w:val="none" w:sz="0" w:space="0" w:color="auto"/>
      </w:divBdr>
    </w:div>
    <w:div w:id="931553676">
      <w:bodyDiv w:val="1"/>
      <w:marLeft w:val="0"/>
      <w:marRight w:val="0"/>
      <w:marTop w:val="0"/>
      <w:marBottom w:val="0"/>
      <w:divBdr>
        <w:top w:val="none" w:sz="0" w:space="0" w:color="auto"/>
        <w:left w:val="none" w:sz="0" w:space="0" w:color="auto"/>
        <w:bottom w:val="none" w:sz="0" w:space="0" w:color="auto"/>
        <w:right w:val="none" w:sz="0" w:space="0" w:color="auto"/>
      </w:divBdr>
    </w:div>
    <w:div w:id="931662501">
      <w:bodyDiv w:val="1"/>
      <w:marLeft w:val="0"/>
      <w:marRight w:val="0"/>
      <w:marTop w:val="0"/>
      <w:marBottom w:val="0"/>
      <w:divBdr>
        <w:top w:val="none" w:sz="0" w:space="0" w:color="auto"/>
        <w:left w:val="none" w:sz="0" w:space="0" w:color="auto"/>
        <w:bottom w:val="none" w:sz="0" w:space="0" w:color="auto"/>
        <w:right w:val="none" w:sz="0" w:space="0" w:color="auto"/>
      </w:divBdr>
    </w:div>
    <w:div w:id="936139802">
      <w:bodyDiv w:val="1"/>
      <w:marLeft w:val="0"/>
      <w:marRight w:val="0"/>
      <w:marTop w:val="0"/>
      <w:marBottom w:val="0"/>
      <w:divBdr>
        <w:top w:val="none" w:sz="0" w:space="0" w:color="auto"/>
        <w:left w:val="none" w:sz="0" w:space="0" w:color="auto"/>
        <w:bottom w:val="none" w:sz="0" w:space="0" w:color="auto"/>
        <w:right w:val="none" w:sz="0" w:space="0" w:color="auto"/>
      </w:divBdr>
    </w:div>
    <w:div w:id="936328539">
      <w:bodyDiv w:val="1"/>
      <w:marLeft w:val="0"/>
      <w:marRight w:val="0"/>
      <w:marTop w:val="0"/>
      <w:marBottom w:val="0"/>
      <w:divBdr>
        <w:top w:val="none" w:sz="0" w:space="0" w:color="auto"/>
        <w:left w:val="none" w:sz="0" w:space="0" w:color="auto"/>
        <w:bottom w:val="none" w:sz="0" w:space="0" w:color="auto"/>
        <w:right w:val="none" w:sz="0" w:space="0" w:color="auto"/>
      </w:divBdr>
    </w:div>
    <w:div w:id="937055414">
      <w:bodyDiv w:val="1"/>
      <w:marLeft w:val="0"/>
      <w:marRight w:val="0"/>
      <w:marTop w:val="0"/>
      <w:marBottom w:val="0"/>
      <w:divBdr>
        <w:top w:val="none" w:sz="0" w:space="0" w:color="auto"/>
        <w:left w:val="none" w:sz="0" w:space="0" w:color="auto"/>
        <w:bottom w:val="none" w:sz="0" w:space="0" w:color="auto"/>
        <w:right w:val="none" w:sz="0" w:space="0" w:color="auto"/>
      </w:divBdr>
    </w:div>
    <w:div w:id="937174460">
      <w:bodyDiv w:val="1"/>
      <w:marLeft w:val="0"/>
      <w:marRight w:val="0"/>
      <w:marTop w:val="0"/>
      <w:marBottom w:val="0"/>
      <w:divBdr>
        <w:top w:val="none" w:sz="0" w:space="0" w:color="auto"/>
        <w:left w:val="none" w:sz="0" w:space="0" w:color="auto"/>
        <w:bottom w:val="none" w:sz="0" w:space="0" w:color="auto"/>
        <w:right w:val="none" w:sz="0" w:space="0" w:color="auto"/>
      </w:divBdr>
    </w:div>
    <w:div w:id="937369405">
      <w:bodyDiv w:val="1"/>
      <w:marLeft w:val="0"/>
      <w:marRight w:val="0"/>
      <w:marTop w:val="0"/>
      <w:marBottom w:val="0"/>
      <w:divBdr>
        <w:top w:val="none" w:sz="0" w:space="0" w:color="auto"/>
        <w:left w:val="none" w:sz="0" w:space="0" w:color="auto"/>
        <w:bottom w:val="none" w:sz="0" w:space="0" w:color="auto"/>
        <w:right w:val="none" w:sz="0" w:space="0" w:color="auto"/>
      </w:divBdr>
    </w:div>
    <w:div w:id="939023663">
      <w:bodyDiv w:val="1"/>
      <w:marLeft w:val="0"/>
      <w:marRight w:val="0"/>
      <w:marTop w:val="0"/>
      <w:marBottom w:val="0"/>
      <w:divBdr>
        <w:top w:val="none" w:sz="0" w:space="0" w:color="auto"/>
        <w:left w:val="none" w:sz="0" w:space="0" w:color="auto"/>
        <w:bottom w:val="none" w:sz="0" w:space="0" w:color="auto"/>
        <w:right w:val="none" w:sz="0" w:space="0" w:color="auto"/>
      </w:divBdr>
    </w:div>
    <w:div w:id="939722179">
      <w:bodyDiv w:val="1"/>
      <w:marLeft w:val="0"/>
      <w:marRight w:val="0"/>
      <w:marTop w:val="0"/>
      <w:marBottom w:val="0"/>
      <w:divBdr>
        <w:top w:val="none" w:sz="0" w:space="0" w:color="auto"/>
        <w:left w:val="none" w:sz="0" w:space="0" w:color="auto"/>
        <w:bottom w:val="none" w:sz="0" w:space="0" w:color="auto"/>
        <w:right w:val="none" w:sz="0" w:space="0" w:color="auto"/>
      </w:divBdr>
    </w:div>
    <w:div w:id="940140599">
      <w:bodyDiv w:val="1"/>
      <w:marLeft w:val="0"/>
      <w:marRight w:val="0"/>
      <w:marTop w:val="0"/>
      <w:marBottom w:val="0"/>
      <w:divBdr>
        <w:top w:val="none" w:sz="0" w:space="0" w:color="auto"/>
        <w:left w:val="none" w:sz="0" w:space="0" w:color="auto"/>
        <w:bottom w:val="none" w:sz="0" w:space="0" w:color="auto"/>
        <w:right w:val="none" w:sz="0" w:space="0" w:color="auto"/>
      </w:divBdr>
    </w:div>
    <w:div w:id="942958239">
      <w:bodyDiv w:val="1"/>
      <w:marLeft w:val="0"/>
      <w:marRight w:val="0"/>
      <w:marTop w:val="0"/>
      <w:marBottom w:val="0"/>
      <w:divBdr>
        <w:top w:val="none" w:sz="0" w:space="0" w:color="auto"/>
        <w:left w:val="none" w:sz="0" w:space="0" w:color="auto"/>
        <w:bottom w:val="none" w:sz="0" w:space="0" w:color="auto"/>
        <w:right w:val="none" w:sz="0" w:space="0" w:color="auto"/>
      </w:divBdr>
    </w:div>
    <w:div w:id="947783794">
      <w:bodyDiv w:val="1"/>
      <w:marLeft w:val="0"/>
      <w:marRight w:val="0"/>
      <w:marTop w:val="0"/>
      <w:marBottom w:val="0"/>
      <w:divBdr>
        <w:top w:val="none" w:sz="0" w:space="0" w:color="auto"/>
        <w:left w:val="none" w:sz="0" w:space="0" w:color="auto"/>
        <w:bottom w:val="none" w:sz="0" w:space="0" w:color="auto"/>
        <w:right w:val="none" w:sz="0" w:space="0" w:color="auto"/>
      </w:divBdr>
    </w:div>
    <w:div w:id="950092591">
      <w:bodyDiv w:val="1"/>
      <w:marLeft w:val="0"/>
      <w:marRight w:val="0"/>
      <w:marTop w:val="0"/>
      <w:marBottom w:val="0"/>
      <w:divBdr>
        <w:top w:val="none" w:sz="0" w:space="0" w:color="auto"/>
        <w:left w:val="none" w:sz="0" w:space="0" w:color="auto"/>
        <w:bottom w:val="none" w:sz="0" w:space="0" w:color="auto"/>
        <w:right w:val="none" w:sz="0" w:space="0" w:color="auto"/>
      </w:divBdr>
    </w:div>
    <w:div w:id="956329795">
      <w:bodyDiv w:val="1"/>
      <w:marLeft w:val="0"/>
      <w:marRight w:val="0"/>
      <w:marTop w:val="0"/>
      <w:marBottom w:val="0"/>
      <w:divBdr>
        <w:top w:val="none" w:sz="0" w:space="0" w:color="auto"/>
        <w:left w:val="none" w:sz="0" w:space="0" w:color="auto"/>
        <w:bottom w:val="none" w:sz="0" w:space="0" w:color="auto"/>
        <w:right w:val="none" w:sz="0" w:space="0" w:color="auto"/>
      </w:divBdr>
    </w:div>
    <w:div w:id="956838799">
      <w:bodyDiv w:val="1"/>
      <w:marLeft w:val="0"/>
      <w:marRight w:val="0"/>
      <w:marTop w:val="0"/>
      <w:marBottom w:val="0"/>
      <w:divBdr>
        <w:top w:val="none" w:sz="0" w:space="0" w:color="auto"/>
        <w:left w:val="none" w:sz="0" w:space="0" w:color="auto"/>
        <w:bottom w:val="none" w:sz="0" w:space="0" w:color="auto"/>
        <w:right w:val="none" w:sz="0" w:space="0" w:color="auto"/>
      </w:divBdr>
    </w:div>
    <w:div w:id="958099939">
      <w:bodyDiv w:val="1"/>
      <w:marLeft w:val="0"/>
      <w:marRight w:val="0"/>
      <w:marTop w:val="0"/>
      <w:marBottom w:val="0"/>
      <w:divBdr>
        <w:top w:val="none" w:sz="0" w:space="0" w:color="auto"/>
        <w:left w:val="none" w:sz="0" w:space="0" w:color="auto"/>
        <w:bottom w:val="none" w:sz="0" w:space="0" w:color="auto"/>
        <w:right w:val="none" w:sz="0" w:space="0" w:color="auto"/>
      </w:divBdr>
    </w:div>
    <w:div w:id="961377086">
      <w:bodyDiv w:val="1"/>
      <w:marLeft w:val="0"/>
      <w:marRight w:val="0"/>
      <w:marTop w:val="0"/>
      <w:marBottom w:val="0"/>
      <w:divBdr>
        <w:top w:val="none" w:sz="0" w:space="0" w:color="auto"/>
        <w:left w:val="none" w:sz="0" w:space="0" w:color="auto"/>
        <w:bottom w:val="none" w:sz="0" w:space="0" w:color="auto"/>
        <w:right w:val="none" w:sz="0" w:space="0" w:color="auto"/>
      </w:divBdr>
    </w:div>
    <w:div w:id="961426440">
      <w:bodyDiv w:val="1"/>
      <w:marLeft w:val="0"/>
      <w:marRight w:val="0"/>
      <w:marTop w:val="0"/>
      <w:marBottom w:val="0"/>
      <w:divBdr>
        <w:top w:val="none" w:sz="0" w:space="0" w:color="auto"/>
        <w:left w:val="none" w:sz="0" w:space="0" w:color="auto"/>
        <w:bottom w:val="none" w:sz="0" w:space="0" w:color="auto"/>
        <w:right w:val="none" w:sz="0" w:space="0" w:color="auto"/>
      </w:divBdr>
    </w:div>
    <w:div w:id="962229192">
      <w:bodyDiv w:val="1"/>
      <w:marLeft w:val="0"/>
      <w:marRight w:val="0"/>
      <w:marTop w:val="0"/>
      <w:marBottom w:val="0"/>
      <w:divBdr>
        <w:top w:val="none" w:sz="0" w:space="0" w:color="auto"/>
        <w:left w:val="none" w:sz="0" w:space="0" w:color="auto"/>
        <w:bottom w:val="none" w:sz="0" w:space="0" w:color="auto"/>
        <w:right w:val="none" w:sz="0" w:space="0" w:color="auto"/>
      </w:divBdr>
    </w:div>
    <w:div w:id="963273312">
      <w:bodyDiv w:val="1"/>
      <w:marLeft w:val="0"/>
      <w:marRight w:val="0"/>
      <w:marTop w:val="0"/>
      <w:marBottom w:val="0"/>
      <w:divBdr>
        <w:top w:val="none" w:sz="0" w:space="0" w:color="auto"/>
        <w:left w:val="none" w:sz="0" w:space="0" w:color="auto"/>
        <w:bottom w:val="none" w:sz="0" w:space="0" w:color="auto"/>
        <w:right w:val="none" w:sz="0" w:space="0" w:color="auto"/>
      </w:divBdr>
    </w:div>
    <w:div w:id="963460636">
      <w:bodyDiv w:val="1"/>
      <w:marLeft w:val="0"/>
      <w:marRight w:val="0"/>
      <w:marTop w:val="0"/>
      <w:marBottom w:val="0"/>
      <w:divBdr>
        <w:top w:val="none" w:sz="0" w:space="0" w:color="auto"/>
        <w:left w:val="none" w:sz="0" w:space="0" w:color="auto"/>
        <w:bottom w:val="none" w:sz="0" w:space="0" w:color="auto"/>
        <w:right w:val="none" w:sz="0" w:space="0" w:color="auto"/>
      </w:divBdr>
    </w:div>
    <w:div w:id="963576974">
      <w:bodyDiv w:val="1"/>
      <w:marLeft w:val="0"/>
      <w:marRight w:val="0"/>
      <w:marTop w:val="0"/>
      <w:marBottom w:val="0"/>
      <w:divBdr>
        <w:top w:val="none" w:sz="0" w:space="0" w:color="auto"/>
        <w:left w:val="none" w:sz="0" w:space="0" w:color="auto"/>
        <w:bottom w:val="none" w:sz="0" w:space="0" w:color="auto"/>
        <w:right w:val="none" w:sz="0" w:space="0" w:color="auto"/>
      </w:divBdr>
    </w:div>
    <w:div w:id="964891080">
      <w:bodyDiv w:val="1"/>
      <w:marLeft w:val="0"/>
      <w:marRight w:val="0"/>
      <w:marTop w:val="0"/>
      <w:marBottom w:val="0"/>
      <w:divBdr>
        <w:top w:val="none" w:sz="0" w:space="0" w:color="auto"/>
        <w:left w:val="none" w:sz="0" w:space="0" w:color="auto"/>
        <w:bottom w:val="none" w:sz="0" w:space="0" w:color="auto"/>
        <w:right w:val="none" w:sz="0" w:space="0" w:color="auto"/>
      </w:divBdr>
    </w:div>
    <w:div w:id="965163267">
      <w:bodyDiv w:val="1"/>
      <w:marLeft w:val="0"/>
      <w:marRight w:val="0"/>
      <w:marTop w:val="0"/>
      <w:marBottom w:val="0"/>
      <w:divBdr>
        <w:top w:val="none" w:sz="0" w:space="0" w:color="auto"/>
        <w:left w:val="none" w:sz="0" w:space="0" w:color="auto"/>
        <w:bottom w:val="none" w:sz="0" w:space="0" w:color="auto"/>
        <w:right w:val="none" w:sz="0" w:space="0" w:color="auto"/>
      </w:divBdr>
    </w:div>
    <w:div w:id="966735553">
      <w:bodyDiv w:val="1"/>
      <w:marLeft w:val="0"/>
      <w:marRight w:val="0"/>
      <w:marTop w:val="0"/>
      <w:marBottom w:val="0"/>
      <w:divBdr>
        <w:top w:val="none" w:sz="0" w:space="0" w:color="auto"/>
        <w:left w:val="none" w:sz="0" w:space="0" w:color="auto"/>
        <w:bottom w:val="none" w:sz="0" w:space="0" w:color="auto"/>
        <w:right w:val="none" w:sz="0" w:space="0" w:color="auto"/>
      </w:divBdr>
    </w:div>
    <w:div w:id="968242379">
      <w:bodyDiv w:val="1"/>
      <w:marLeft w:val="0"/>
      <w:marRight w:val="0"/>
      <w:marTop w:val="0"/>
      <w:marBottom w:val="0"/>
      <w:divBdr>
        <w:top w:val="none" w:sz="0" w:space="0" w:color="auto"/>
        <w:left w:val="none" w:sz="0" w:space="0" w:color="auto"/>
        <w:bottom w:val="none" w:sz="0" w:space="0" w:color="auto"/>
        <w:right w:val="none" w:sz="0" w:space="0" w:color="auto"/>
      </w:divBdr>
    </w:div>
    <w:div w:id="968628162">
      <w:bodyDiv w:val="1"/>
      <w:marLeft w:val="0"/>
      <w:marRight w:val="0"/>
      <w:marTop w:val="0"/>
      <w:marBottom w:val="0"/>
      <w:divBdr>
        <w:top w:val="none" w:sz="0" w:space="0" w:color="auto"/>
        <w:left w:val="none" w:sz="0" w:space="0" w:color="auto"/>
        <w:bottom w:val="none" w:sz="0" w:space="0" w:color="auto"/>
        <w:right w:val="none" w:sz="0" w:space="0" w:color="auto"/>
      </w:divBdr>
    </w:div>
    <w:div w:id="968978728">
      <w:bodyDiv w:val="1"/>
      <w:marLeft w:val="0"/>
      <w:marRight w:val="0"/>
      <w:marTop w:val="0"/>
      <w:marBottom w:val="0"/>
      <w:divBdr>
        <w:top w:val="none" w:sz="0" w:space="0" w:color="auto"/>
        <w:left w:val="none" w:sz="0" w:space="0" w:color="auto"/>
        <w:bottom w:val="none" w:sz="0" w:space="0" w:color="auto"/>
        <w:right w:val="none" w:sz="0" w:space="0" w:color="auto"/>
      </w:divBdr>
    </w:div>
    <w:div w:id="970134124">
      <w:bodyDiv w:val="1"/>
      <w:marLeft w:val="0"/>
      <w:marRight w:val="0"/>
      <w:marTop w:val="0"/>
      <w:marBottom w:val="0"/>
      <w:divBdr>
        <w:top w:val="none" w:sz="0" w:space="0" w:color="auto"/>
        <w:left w:val="none" w:sz="0" w:space="0" w:color="auto"/>
        <w:bottom w:val="none" w:sz="0" w:space="0" w:color="auto"/>
        <w:right w:val="none" w:sz="0" w:space="0" w:color="auto"/>
      </w:divBdr>
    </w:div>
    <w:div w:id="970942808">
      <w:bodyDiv w:val="1"/>
      <w:marLeft w:val="0"/>
      <w:marRight w:val="0"/>
      <w:marTop w:val="0"/>
      <w:marBottom w:val="0"/>
      <w:divBdr>
        <w:top w:val="none" w:sz="0" w:space="0" w:color="auto"/>
        <w:left w:val="none" w:sz="0" w:space="0" w:color="auto"/>
        <w:bottom w:val="none" w:sz="0" w:space="0" w:color="auto"/>
        <w:right w:val="none" w:sz="0" w:space="0" w:color="auto"/>
      </w:divBdr>
    </w:div>
    <w:div w:id="971328477">
      <w:bodyDiv w:val="1"/>
      <w:marLeft w:val="0"/>
      <w:marRight w:val="0"/>
      <w:marTop w:val="0"/>
      <w:marBottom w:val="0"/>
      <w:divBdr>
        <w:top w:val="none" w:sz="0" w:space="0" w:color="auto"/>
        <w:left w:val="none" w:sz="0" w:space="0" w:color="auto"/>
        <w:bottom w:val="none" w:sz="0" w:space="0" w:color="auto"/>
        <w:right w:val="none" w:sz="0" w:space="0" w:color="auto"/>
      </w:divBdr>
    </w:div>
    <w:div w:id="971596592">
      <w:bodyDiv w:val="1"/>
      <w:marLeft w:val="0"/>
      <w:marRight w:val="0"/>
      <w:marTop w:val="0"/>
      <w:marBottom w:val="0"/>
      <w:divBdr>
        <w:top w:val="none" w:sz="0" w:space="0" w:color="auto"/>
        <w:left w:val="none" w:sz="0" w:space="0" w:color="auto"/>
        <w:bottom w:val="none" w:sz="0" w:space="0" w:color="auto"/>
        <w:right w:val="none" w:sz="0" w:space="0" w:color="auto"/>
      </w:divBdr>
    </w:div>
    <w:div w:id="972254335">
      <w:bodyDiv w:val="1"/>
      <w:marLeft w:val="0"/>
      <w:marRight w:val="0"/>
      <w:marTop w:val="0"/>
      <w:marBottom w:val="0"/>
      <w:divBdr>
        <w:top w:val="none" w:sz="0" w:space="0" w:color="auto"/>
        <w:left w:val="none" w:sz="0" w:space="0" w:color="auto"/>
        <w:bottom w:val="none" w:sz="0" w:space="0" w:color="auto"/>
        <w:right w:val="none" w:sz="0" w:space="0" w:color="auto"/>
      </w:divBdr>
    </w:div>
    <w:div w:id="972752357">
      <w:bodyDiv w:val="1"/>
      <w:marLeft w:val="0"/>
      <w:marRight w:val="0"/>
      <w:marTop w:val="0"/>
      <w:marBottom w:val="0"/>
      <w:divBdr>
        <w:top w:val="none" w:sz="0" w:space="0" w:color="auto"/>
        <w:left w:val="none" w:sz="0" w:space="0" w:color="auto"/>
        <w:bottom w:val="none" w:sz="0" w:space="0" w:color="auto"/>
        <w:right w:val="none" w:sz="0" w:space="0" w:color="auto"/>
      </w:divBdr>
    </w:div>
    <w:div w:id="974679959">
      <w:bodyDiv w:val="1"/>
      <w:marLeft w:val="0"/>
      <w:marRight w:val="0"/>
      <w:marTop w:val="0"/>
      <w:marBottom w:val="0"/>
      <w:divBdr>
        <w:top w:val="none" w:sz="0" w:space="0" w:color="auto"/>
        <w:left w:val="none" w:sz="0" w:space="0" w:color="auto"/>
        <w:bottom w:val="none" w:sz="0" w:space="0" w:color="auto"/>
        <w:right w:val="none" w:sz="0" w:space="0" w:color="auto"/>
      </w:divBdr>
    </w:div>
    <w:div w:id="975722323">
      <w:bodyDiv w:val="1"/>
      <w:marLeft w:val="0"/>
      <w:marRight w:val="0"/>
      <w:marTop w:val="0"/>
      <w:marBottom w:val="0"/>
      <w:divBdr>
        <w:top w:val="none" w:sz="0" w:space="0" w:color="auto"/>
        <w:left w:val="none" w:sz="0" w:space="0" w:color="auto"/>
        <w:bottom w:val="none" w:sz="0" w:space="0" w:color="auto"/>
        <w:right w:val="none" w:sz="0" w:space="0" w:color="auto"/>
      </w:divBdr>
    </w:div>
    <w:div w:id="977103713">
      <w:bodyDiv w:val="1"/>
      <w:marLeft w:val="0"/>
      <w:marRight w:val="0"/>
      <w:marTop w:val="0"/>
      <w:marBottom w:val="0"/>
      <w:divBdr>
        <w:top w:val="none" w:sz="0" w:space="0" w:color="auto"/>
        <w:left w:val="none" w:sz="0" w:space="0" w:color="auto"/>
        <w:bottom w:val="none" w:sz="0" w:space="0" w:color="auto"/>
        <w:right w:val="none" w:sz="0" w:space="0" w:color="auto"/>
      </w:divBdr>
    </w:div>
    <w:div w:id="977148183">
      <w:bodyDiv w:val="1"/>
      <w:marLeft w:val="0"/>
      <w:marRight w:val="0"/>
      <w:marTop w:val="0"/>
      <w:marBottom w:val="0"/>
      <w:divBdr>
        <w:top w:val="none" w:sz="0" w:space="0" w:color="auto"/>
        <w:left w:val="none" w:sz="0" w:space="0" w:color="auto"/>
        <w:bottom w:val="none" w:sz="0" w:space="0" w:color="auto"/>
        <w:right w:val="none" w:sz="0" w:space="0" w:color="auto"/>
      </w:divBdr>
    </w:div>
    <w:div w:id="979310308">
      <w:bodyDiv w:val="1"/>
      <w:marLeft w:val="0"/>
      <w:marRight w:val="0"/>
      <w:marTop w:val="0"/>
      <w:marBottom w:val="0"/>
      <w:divBdr>
        <w:top w:val="none" w:sz="0" w:space="0" w:color="auto"/>
        <w:left w:val="none" w:sz="0" w:space="0" w:color="auto"/>
        <w:bottom w:val="none" w:sz="0" w:space="0" w:color="auto"/>
        <w:right w:val="none" w:sz="0" w:space="0" w:color="auto"/>
      </w:divBdr>
    </w:div>
    <w:div w:id="980230464">
      <w:bodyDiv w:val="1"/>
      <w:marLeft w:val="0"/>
      <w:marRight w:val="0"/>
      <w:marTop w:val="0"/>
      <w:marBottom w:val="0"/>
      <w:divBdr>
        <w:top w:val="none" w:sz="0" w:space="0" w:color="auto"/>
        <w:left w:val="none" w:sz="0" w:space="0" w:color="auto"/>
        <w:bottom w:val="none" w:sz="0" w:space="0" w:color="auto"/>
        <w:right w:val="none" w:sz="0" w:space="0" w:color="auto"/>
      </w:divBdr>
    </w:div>
    <w:div w:id="980616259">
      <w:bodyDiv w:val="1"/>
      <w:marLeft w:val="0"/>
      <w:marRight w:val="0"/>
      <w:marTop w:val="0"/>
      <w:marBottom w:val="0"/>
      <w:divBdr>
        <w:top w:val="none" w:sz="0" w:space="0" w:color="auto"/>
        <w:left w:val="none" w:sz="0" w:space="0" w:color="auto"/>
        <w:bottom w:val="none" w:sz="0" w:space="0" w:color="auto"/>
        <w:right w:val="none" w:sz="0" w:space="0" w:color="auto"/>
      </w:divBdr>
    </w:div>
    <w:div w:id="981227362">
      <w:bodyDiv w:val="1"/>
      <w:marLeft w:val="0"/>
      <w:marRight w:val="0"/>
      <w:marTop w:val="0"/>
      <w:marBottom w:val="0"/>
      <w:divBdr>
        <w:top w:val="none" w:sz="0" w:space="0" w:color="auto"/>
        <w:left w:val="none" w:sz="0" w:space="0" w:color="auto"/>
        <w:bottom w:val="none" w:sz="0" w:space="0" w:color="auto"/>
        <w:right w:val="none" w:sz="0" w:space="0" w:color="auto"/>
      </w:divBdr>
    </w:div>
    <w:div w:id="982780603">
      <w:bodyDiv w:val="1"/>
      <w:marLeft w:val="0"/>
      <w:marRight w:val="0"/>
      <w:marTop w:val="0"/>
      <w:marBottom w:val="0"/>
      <w:divBdr>
        <w:top w:val="none" w:sz="0" w:space="0" w:color="auto"/>
        <w:left w:val="none" w:sz="0" w:space="0" w:color="auto"/>
        <w:bottom w:val="none" w:sz="0" w:space="0" w:color="auto"/>
        <w:right w:val="none" w:sz="0" w:space="0" w:color="auto"/>
      </w:divBdr>
    </w:div>
    <w:div w:id="983464278">
      <w:bodyDiv w:val="1"/>
      <w:marLeft w:val="0"/>
      <w:marRight w:val="0"/>
      <w:marTop w:val="0"/>
      <w:marBottom w:val="0"/>
      <w:divBdr>
        <w:top w:val="none" w:sz="0" w:space="0" w:color="auto"/>
        <w:left w:val="none" w:sz="0" w:space="0" w:color="auto"/>
        <w:bottom w:val="none" w:sz="0" w:space="0" w:color="auto"/>
        <w:right w:val="none" w:sz="0" w:space="0" w:color="auto"/>
      </w:divBdr>
    </w:div>
    <w:div w:id="985281374">
      <w:bodyDiv w:val="1"/>
      <w:marLeft w:val="0"/>
      <w:marRight w:val="0"/>
      <w:marTop w:val="0"/>
      <w:marBottom w:val="0"/>
      <w:divBdr>
        <w:top w:val="none" w:sz="0" w:space="0" w:color="auto"/>
        <w:left w:val="none" w:sz="0" w:space="0" w:color="auto"/>
        <w:bottom w:val="none" w:sz="0" w:space="0" w:color="auto"/>
        <w:right w:val="none" w:sz="0" w:space="0" w:color="auto"/>
      </w:divBdr>
    </w:div>
    <w:div w:id="986205409">
      <w:bodyDiv w:val="1"/>
      <w:marLeft w:val="0"/>
      <w:marRight w:val="0"/>
      <w:marTop w:val="0"/>
      <w:marBottom w:val="0"/>
      <w:divBdr>
        <w:top w:val="none" w:sz="0" w:space="0" w:color="auto"/>
        <w:left w:val="none" w:sz="0" w:space="0" w:color="auto"/>
        <w:bottom w:val="none" w:sz="0" w:space="0" w:color="auto"/>
        <w:right w:val="none" w:sz="0" w:space="0" w:color="auto"/>
      </w:divBdr>
    </w:div>
    <w:div w:id="986711895">
      <w:bodyDiv w:val="1"/>
      <w:marLeft w:val="0"/>
      <w:marRight w:val="0"/>
      <w:marTop w:val="0"/>
      <w:marBottom w:val="0"/>
      <w:divBdr>
        <w:top w:val="none" w:sz="0" w:space="0" w:color="auto"/>
        <w:left w:val="none" w:sz="0" w:space="0" w:color="auto"/>
        <w:bottom w:val="none" w:sz="0" w:space="0" w:color="auto"/>
        <w:right w:val="none" w:sz="0" w:space="0" w:color="auto"/>
      </w:divBdr>
    </w:div>
    <w:div w:id="987199733">
      <w:bodyDiv w:val="1"/>
      <w:marLeft w:val="0"/>
      <w:marRight w:val="0"/>
      <w:marTop w:val="0"/>
      <w:marBottom w:val="0"/>
      <w:divBdr>
        <w:top w:val="none" w:sz="0" w:space="0" w:color="auto"/>
        <w:left w:val="none" w:sz="0" w:space="0" w:color="auto"/>
        <w:bottom w:val="none" w:sz="0" w:space="0" w:color="auto"/>
        <w:right w:val="none" w:sz="0" w:space="0" w:color="auto"/>
      </w:divBdr>
    </w:div>
    <w:div w:id="988939128">
      <w:bodyDiv w:val="1"/>
      <w:marLeft w:val="0"/>
      <w:marRight w:val="0"/>
      <w:marTop w:val="0"/>
      <w:marBottom w:val="0"/>
      <w:divBdr>
        <w:top w:val="none" w:sz="0" w:space="0" w:color="auto"/>
        <w:left w:val="none" w:sz="0" w:space="0" w:color="auto"/>
        <w:bottom w:val="none" w:sz="0" w:space="0" w:color="auto"/>
        <w:right w:val="none" w:sz="0" w:space="0" w:color="auto"/>
      </w:divBdr>
    </w:div>
    <w:div w:id="989207848">
      <w:bodyDiv w:val="1"/>
      <w:marLeft w:val="0"/>
      <w:marRight w:val="0"/>
      <w:marTop w:val="0"/>
      <w:marBottom w:val="0"/>
      <w:divBdr>
        <w:top w:val="none" w:sz="0" w:space="0" w:color="auto"/>
        <w:left w:val="none" w:sz="0" w:space="0" w:color="auto"/>
        <w:bottom w:val="none" w:sz="0" w:space="0" w:color="auto"/>
        <w:right w:val="none" w:sz="0" w:space="0" w:color="auto"/>
      </w:divBdr>
    </w:div>
    <w:div w:id="989864719">
      <w:bodyDiv w:val="1"/>
      <w:marLeft w:val="0"/>
      <w:marRight w:val="0"/>
      <w:marTop w:val="0"/>
      <w:marBottom w:val="0"/>
      <w:divBdr>
        <w:top w:val="none" w:sz="0" w:space="0" w:color="auto"/>
        <w:left w:val="none" w:sz="0" w:space="0" w:color="auto"/>
        <w:bottom w:val="none" w:sz="0" w:space="0" w:color="auto"/>
        <w:right w:val="none" w:sz="0" w:space="0" w:color="auto"/>
      </w:divBdr>
    </w:div>
    <w:div w:id="990065491">
      <w:bodyDiv w:val="1"/>
      <w:marLeft w:val="0"/>
      <w:marRight w:val="0"/>
      <w:marTop w:val="0"/>
      <w:marBottom w:val="0"/>
      <w:divBdr>
        <w:top w:val="none" w:sz="0" w:space="0" w:color="auto"/>
        <w:left w:val="none" w:sz="0" w:space="0" w:color="auto"/>
        <w:bottom w:val="none" w:sz="0" w:space="0" w:color="auto"/>
        <w:right w:val="none" w:sz="0" w:space="0" w:color="auto"/>
      </w:divBdr>
    </w:div>
    <w:div w:id="991326552">
      <w:bodyDiv w:val="1"/>
      <w:marLeft w:val="0"/>
      <w:marRight w:val="0"/>
      <w:marTop w:val="0"/>
      <w:marBottom w:val="0"/>
      <w:divBdr>
        <w:top w:val="none" w:sz="0" w:space="0" w:color="auto"/>
        <w:left w:val="none" w:sz="0" w:space="0" w:color="auto"/>
        <w:bottom w:val="none" w:sz="0" w:space="0" w:color="auto"/>
        <w:right w:val="none" w:sz="0" w:space="0" w:color="auto"/>
      </w:divBdr>
    </w:div>
    <w:div w:id="991829313">
      <w:bodyDiv w:val="1"/>
      <w:marLeft w:val="0"/>
      <w:marRight w:val="0"/>
      <w:marTop w:val="0"/>
      <w:marBottom w:val="0"/>
      <w:divBdr>
        <w:top w:val="none" w:sz="0" w:space="0" w:color="auto"/>
        <w:left w:val="none" w:sz="0" w:space="0" w:color="auto"/>
        <w:bottom w:val="none" w:sz="0" w:space="0" w:color="auto"/>
        <w:right w:val="none" w:sz="0" w:space="0" w:color="auto"/>
      </w:divBdr>
    </w:div>
    <w:div w:id="993414761">
      <w:bodyDiv w:val="1"/>
      <w:marLeft w:val="0"/>
      <w:marRight w:val="0"/>
      <w:marTop w:val="0"/>
      <w:marBottom w:val="0"/>
      <w:divBdr>
        <w:top w:val="none" w:sz="0" w:space="0" w:color="auto"/>
        <w:left w:val="none" w:sz="0" w:space="0" w:color="auto"/>
        <w:bottom w:val="none" w:sz="0" w:space="0" w:color="auto"/>
        <w:right w:val="none" w:sz="0" w:space="0" w:color="auto"/>
      </w:divBdr>
    </w:div>
    <w:div w:id="995113139">
      <w:bodyDiv w:val="1"/>
      <w:marLeft w:val="0"/>
      <w:marRight w:val="0"/>
      <w:marTop w:val="0"/>
      <w:marBottom w:val="0"/>
      <w:divBdr>
        <w:top w:val="none" w:sz="0" w:space="0" w:color="auto"/>
        <w:left w:val="none" w:sz="0" w:space="0" w:color="auto"/>
        <w:bottom w:val="none" w:sz="0" w:space="0" w:color="auto"/>
        <w:right w:val="none" w:sz="0" w:space="0" w:color="auto"/>
      </w:divBdr>
    </w:div>
    <w:div w:id="996228475">
      <w:bodyDiv w:val="1"/>
      <w:marLeft w:val="0"/>
      <w:marRight w:val="0"/>
      <w:marTop w:val="0"/>
      <w:marBottom w:val="0"/>
      <w:divBdr>
        <w:top w:val="none" w:sz="0" w:space="0" w:color="auto"/>
        <w:left w:val="none" w:sz="0" w:space="0" w:color="auto"/>
        <w:bottom w:val="none" w:sz="0" w:space="0" w:color="auto"/>
        <w:right w:val="none" w:sz="0" w:space="0" w:color="auto"/>
      </w:divBdr>
    </w:div>
    <w:div w:id="998574767">
      <w:bodyDiv w:val="1"/>
      <w:marLeft w:val="0"/>
      <w:marRight w:val="0"/>
      <w:marTop w:val="0"/>
      <w:marBottom w:val="0"/>
      <w:divBdr>
        <w:top w:val="none" w:sz="0" w:space="0" w:color="auto"/>
        <w:left w:val="none" w:sz="0" w:space="0" w:color="auto"/>
        <w:bottom w:val="none" w:sz="0" w:space="0" w:color="auto"/>
        <w:right w:val="none" w:sz="0" w:space="0" w:color="auto"/>
      </w:divBdr>
    </w:div>
    <w:div w:id="998579168">
      <w:bodyDiv w:val="1"/>
      <w:marLeft w:val="0"/>
      <w:marRight w:val="0"/>
      <w:marTop w:val="0"/>
      <w:marBottom w:val="0"/>
      <w:divBdr>
        <w:top w:val="none" w:sz="0" w:space="0" w:color="auto"/>
        <w:left w:val="none" w:sz="0" w:space="0" w:color="auto"/>
        <w:bottom w:val="none" w:sz="0" w:space="0" w:color="auto"/>
        <w:right w:val="none" w:sz="0" w:space="0" w:color="auto"/>
      </w:divBdr>
    </w:div>
    <w:div w:id="998769073">
      <w:bodyDiv w:val="1"/>
      <w:marLeft w:val="0"/>
      <w:marRight w:val="0"/>
      <w:marTop w:val="0"/>
      <w:marBottom w:val="0"/>
      <w:divBdr>
        <w:top w:val="none" w:sz="0" w:space="0" w:color="auto"/>
        <w:left w:val="none" w:sz="0" w:space="0" w:color="auto"/>
        <w:bottom w:val="none" w:sz="0" w:space="0" w:color="auto"/>
        <w:right w:val="none" w:sz="0" w:space="0" w:color="auto"/>
      </w:divBdr>
    </w:div>
    <w:div w:id="999577093">
      <w:bodyDiv w:val="1"/>
      <w:marLeft w:val="0"/>
      <w:marRight w:val="0"/>
      <w:marTop w:val="0"/>
      <w:marBottom w:val="0"/>
      <w:divBdr>
        <w:top w:val="none" w:sz="0" w:space="0" w:color="auto"/>
        <w:left w:val="none" w:sz="0" w:space="0" w:color="auto"/>
        <w:bottom w:val="none" w:sz="0" w:space="0" w:color="auto"/>
        <w:right w:val="none" w:sz="0" w:space="0" w:color="auto"/>
      </w:divBdr>
    </w:div>
    <w:div w:id="1000932557">
      <w:bodyDiv w:val="1"/>
      <w:marLeft w:val="0"/>
      <w:marRight w:val="0"/>
      <w:marTop w:val="0"/>
      <w:marBottom w:val="0"/>
      <w:divBdr>
        <w:top w:val="none" w:sz="0" w:space="0" w:color="auto"/>
        <w:left w:val="none" w:sz="0" w:space="0" w:color="auto"/>
        <w:bottom w:val="none" w:sz="0" w:space="0" w:color="auto"/>
        <w:right w:val="none" w:sz="0" w:space="0" w:color="auto"/>
      </w:divBdr>
    </w:div>
    <w:div w:id="1002973096">
      <w:bodyDiv w:val="1"/>
      <w:marLeft w:val="0"/>
      <w:marRight w:val="0"/>
      <w:marTop w:val="0"/>
      <w:marBottom w:val="0"/>
      <w:divBdr>
        <w:top w:val="none" w:sz="0" w:space="0" w:color="auto"/>
        <w:left w:val="none" w:sz="0" w:space="0" w:color="auto"/>
        <w:bottom w:val="none" w:sz="0" w:space="0" w:color="auto"/>
        <w:right w:val="none" w:sz="0" w:space="0" w:color="auto"/>
      </w:divBdr>
    </w:div>
    <w:div w:id="1006521776">
      <w:bodyDiv w:val="1"/>
      <w:marLeft w:val="0"/>
      <w:marRight w:val="0"/>
      <w:marTop w:val="0"/>
      <w:marBottom w:val="0"/>
      <w:divBdr>
        <w:top w:val="none" w:sz="0" w:space="0" w:color="auto"/>
        <w:left w:val="none" w:sz="0" w:space="0" w:color="auto"/>
        <w:bottom w:val="none" w:sz="0" w:space="0" w:color="auto"/>
        <w:right w:val="none" w:sz="0" w:space="0" w:color="auto"/>
      </w:divBdr>
    </w:div>
    <w:div w:id="1006902961">
      <w:bodyDiv w:val="1"/>
      <w:marLeft w:val="0"/>
      <w:marRight w:val="0"/>
      <w:marTop w:val="0"/>
      <w:marBottom w:val="0"/>
      <w:divBdr>
        <w:top w:val="none" w:sz="0" w:space="0" w:color="auto"/>
        <w:left w:val="none" w:sz="0" w:space="0" w:color="auto"/>
        <w:bottom w:val="none" w:sz="0" w:space="0" w:color="auto"/>
        <w:right w:val="none" w:sz="0" w:space="0" w:color="auto"/>
      </w:divBdr>
    </w:div>
    <w:div w:id="1006982017">
      <w:bodyDiv w:val="1"/>
      <w:marLeft w:val="0"/>
      <w:marRight w:val="0"/>
      <w:marTop w:val="0"/>
      <w:marBottom w:val="0"/>
      <w:divBdr>
        <w:top w:val="none" w:sz="0" w:space="0" w:color="auto"/>
        <w:left w:val="none" w:sz="0" w:space="0" w:color="auto"/>
        <w:bottom w:val="none" w:sz="0" w:space="0" w:color="auto"/>
        <w:right w:val="none" w:sz="0" w:space="0" w:color="auto"/>
      </w:divBdr>
    </w:div>
    <w:div w:id="1008141055">
      <w:bodyDiv w:val="1"/>
      <w:marLeft w:val="0"/>
      <w:marRight w:val="0"/>
      <w:marTop w:val="0"/>
      <w:marBottom w:val="0"/>
      <w:divBdr>
        <w:top w:val="none" w:sz="0" w:space="0" w:color="auto"/>
        <w:left w:val="none" w:sz="0" w:space="0" w:color="auto"/>
        <w:bottom w:val="none" w:sz="0" w:space="0" w:color="auto"/>
        <w:right w:val="none" w:sz="0" w:space="0" w:color="auto"/>
      </w:divBdr>
    </w:div>
    <w:div w:id="1010986815">
      <w:bodyDiv w:val="1"/>
      <w:marLeft w:val="0"/>
      <w:marRight w:val="0"/>
      <w:marTop w:val="0"/>
      <w:marBottom w:val="0"/>
      <w:divBdr>
        <w:top w:val="none" w:sz="0" w:space="0" w:color="auto"/>
        <w:left w:val="none" w:sz="0" w:space="0" w:color="auto"/>
        <w:bottom w:val="none" w:sz="0" w:space="0" w:color="auto"/>
        <w:right w:val="none" w:sz="0" w:space="0" w:color="auto"/>
      </w:divBdr>
    </w:div>
    <w:div w:id="1010987886">
      <w:bodyDiv w:val="1"/>
      <w:marLeft w:val="0"/>
      <w:marRight w:val="0"/>
      <w:marTop w:val="0"/>
      <w:marBottom w:val="0"/>
      <w:divBdr>
        <w:top w:val="none" w:sz="0" w:space="0" w:color="auto"/>
        <w:left w:val="none" w:sz="0" w:space="0" w:color="auto"/>
        <w:bottom w:val="none" w:sz="0" w:space="0" w:color="auto"/>
        <w:right w:val="none" w:sz="0" w:space="0" w:color="auto"/>
      </w:divBdr>
    </w:div>
    <w:div w:id="1013798390">
      <w:bodyDiv w:val="1"/>
      <w:marLeft w:val="0"/>
      <w:marRight w:val="0"/>
      <w:marTop w:val="0"/>
      <w:marBottom w:val="0"/>
      <w:divBdr>
        <w:top w:val="none" w:sz="0" w:space="0" w:color="auto"/>
        <w:left w:val="none" w:sz="0" w:space="0" w:color="auto"/>
        <w:bottom w:val="none" w:sz="0" w:space="0" w:color="auto"/>
        <w:right w:val="none" w:sz="0" w:space="0" w:color="auto"/>
      </w:divBdr>
    </w:div>
    <w:div w:id="1013991835">
      <w:bodyDiv w:val="1"/>
      <w:marLeft w:val="0"/>
      <w:marRight w:val="0"/>
      <w:marTop w:val="0"/>
      <w:marBottom w:val="0"/>
      <w:divBdr>
        <w:top w:val="none" w:sz="0" w:space="0" w:color="auto"/>
        <w:left w:val="none" w:sz="0" w:space="0" w:color="auto"/>
        <w:bottom w:val="none" w:sz="0" w:space="0" w:color="auto"/>
        <w:right w:val="none" w:sz="0" w:space="0" w:color="auto"/>
      </w:divBdr>
    </w:div>
    <w:div w:id="1014112242">
      <w:bodyDiv w:val="1"/>
      <w:marLeft w:val="0"/>
      <w:marRight w:val="0"/>
      <w:marTop w:val="0"/>
      <w:marBottom w:val="0"/>
      <w:divBdr>
        <w:top w:val="none" w:sz="0" w:space="0" w:color="auto"/>
        <w:left w:val="none" w:sz="0" w:space="0" w:color="auto"/>
        <w:bottom w:val="none" w:sz="0" w:space="0" w:color="auto"/>
        <w:right w:val="none" w:sz="0" w:space="0" w:color="auto"/>
      </w:divBdr>
    </w:div>
    <w:div w:id="1016423811">
      <w:bodyDiv w:val="1"/>
      <w:marLeft w:val="0"/>
      <w:marRight w:val="0"/>
      <w:marTop w:val="0"/>
      <w:marBottom w:val="0"/>
      <w:divBdr>
        <w:top w:val="none" w:sz="0" w:space="0" w:color="auto"/>
        <w:left w:val="none" w:sz="0" w:space="0" w:color="auto"/>
        <w:bottom w:val="none" w:sz="0" w:space="0" w:color="auto"/>
        <w:right w:val="none" w:sz="0" w:space="0" w:color="auto"/>
      </w:divBdr>
    </w:div>
    <w:div w:id="1017660767">
      <w:bodyDiv w:val="1"/>
      <w:marLeft w:val="0"/>
      <w:marRight w:val="0"/>
      <w:marTop w:val="0"/>
      <w:marBottom w:val="0"/>
      <w:divBdr>
        <w:top w:val="none" w:sz="0" w:space="0" w:color="auto"/>
        <w:left w:val="none" w:sz="0" w:space="0" w:color="auto"/>
        <w:bottom w:val="none" w:sz="0" w:space="0" w:color="auto"/>
        <w:right w:val="none" w:sz="0" w:space="0" w:color="auto"/>
      </w:divBdr>
    </w:div>
    <w:div w:id="1018584942">
      <w:bodyDiv w:val="1"/>
      <w:marLeft w:val="0"/>
      <w:marRight w:val="0"/>
      <w:marTop w:val="0"/>
      <w:marBottom w:val="0"/>
      <w:divBdr>
        <w:top w:val="none" w:sz="0" w:space="0" w:color="auto"/>
        <w:left w:val="none" w:sz="0" w:space="0" w:color="auto"/>
        <w:bottom w:val="none" w:sz="0" w:space="0" w:color="auto"/>
        <w:right w:val="none" w:sz="0" w:space="0" w:color="auto"/>
      </w:divBdr>
    </w:div>
    <w:div w:id="1019430551">
      <w:bodyDiv w:val="1"/>
      <w:marLeft w:val="0"/>
      <w:marRight w:val="0"/>
      <w:marTop w:val="0"/>
      <w:marBottom w:val="0"/>
      <w:divBdr>
        <w:top w:val="none" w:sz="0" w:space="0" w:color="auto"/>
        <w:left w:val="none" w:sz="0" w:space="0" w:color="auto"/>
        <w:bottom w:val="none" w:sz="0" w:space="0" w:color="auto"/>
        <w:right w:val="none" w:sz="0" w:space="0" w:color="auto"/>
      </w:divBdr>
    </w:div>
    <w:div w:id="1019544311">
      <w:bodyDiv w:val="1"/>
      <w:marLeft w:val="0"/>
      <w:marRight w:val="0"/>
      <w:marTop w:val="0"/>
      <w:marBottom w:val="0"/>
      <w:divBdr>
        <w:top w:val="none" w:sz="0" w:space="0" w:color="auto"/>
        <w:left w:val="none" w:sz="0" w:space="0" w:color="auto"/>
        <w:bottom w:val="none" w:sz="0" w:space="0" w:color="auto"/>
        <w:right w:val="none" w:sz="0" w:space="0" w:color="auto"/>
      </w:divBdr>
    </w:div>
    <w:div w:id="1019618621">
      <w:bodyDiv w:val="1"/>
      <w:marLeft w:val="0"/>
      <w:marRight w:val="0"/>
      <w:marTop w:val="0"/>
      <w:marBottom w:val="0"/>
      <w:divBdr>
        <w:top w:val="none" w:sz="0" w:space="0" w:color="auto"/>
        <w:left w:val="none" w:sz="0" w:space="0" w:color="auto"/>
        <w:bottom w:val="none" w:sz="0" w:space="0" w:color="auto"/>
        <w:right w:val="none" w:sz="0" w:space="0" w:color="auto"/>
      </w:divBdr>
    </w:div>
    <w:div w:id="1021783345">
      <w:bodyDiv w:val="1"/>
      <w:marLeft w:val="0"/>
      <w:marRight w:val="0"/>
      <w:marTop w:val="0"/>
      <w:marBottom w:val="0"/>
      <w:divBdr>
        <w:top w:val="none" w:sz="0" w:space="0" w:color="auto"/>
        <w:left w:val="none" w:sz="0" w:space="0" w:color="auto"/>
        <w:bottom w:val="none" w:sz="0" w:space="0" w:color="auto"/>
        <w:right w:val="none" w:sz="0" w:space="0" w:color="auto"/>
      </w:divBdr>
    </w:div>
    <w:div w:id="1026758916">
      <w:bodyDiv w:val="1"/>
      <w:marLeft w:val="0"/>
      <w:marRight w:val="0"/>
      <w:marTop w:val="0"/>
      <w:marBottom w:val="0"/>
      <w:divBdr>
        <w:top w:val="none" w:sz="0" w:space="0" w:color="auto"/>
        <w:left w:val="none" w:sz="0" w:space="0" w:color="auto"/>
        <w:bottom w:val="none" w:sz="0" w:space="0" w:color="auto"/>
        <w:right w:val="none" w:sz="0" w:space="0" w:color="auto"/>
      </w:divBdr>
    </w:div>
    <w:div w:id="1026834367">
      <w:bodyDiv w:val="1"/>
      <w:marLeft w:val="0"/>
      <w:marRight w:val="0"/>
      <w:marTop w:val="0"/>
      <w:marBottom w:val="0"/>
      <w:divBdr>
        <w:top w:val="none" w:sz="0" w:space="0" w:color="auto"/>
        <w:left w:val="none" w:sz="0" w:space="0" w:color="auto"/>
        <w:bottom w:val="none" w:sz="0" w:space="0" w:color="auto"/>
        <w:right w:val="none" w:sz="0" w:space="0" w:color="auto"/>
      </w:divBdr>
    </w:div>
    <w:div w:id="1026906252">
      <w:bodyDiv w:val="1"/>
      <w:marLeft w:val="0"/>
      <w:marRight w:val="0"/>
      <w:marTop w:val="0"/>
      <w:marBottom w:val="0"/>
      <w:divBdr>
        <w:top w:val="none" w:sz="0" w:space="0" w:color="auto"/>
        <w:left w:val="none" w:sz="0" w:space="0" w:color="auto"/>
        <w:bottom w:val="none" w:sz="0" w:space="0" w:color="auto"/>
        <w:right w:val="none" w:sz="0" w:space="0" w:color="auto"/>
      </w:divBdr>
    </w:div>
    <w:div w:id="1027146125">
      <w:bodyDiv w:val="1"/>
      <w:marLeft w:val="0"/>
      <w:marRight w:val="0"/>
      <w:marTop w:val="0"/>
      <w:marBottom w:val="0"/>
      <w:divBdr>
        <w:top w:val="none" w:sz="0" w:space="0" w:color="auto"/>
        <w:left w:val="none" w:sz="0" w:space="0" w:color="auto"/>
        <w:bottom w:val="none" w:sz="0" w:space="0" w:color="auto"/>
        <w:right w:val="none" w:sz="0" w:space="0" w:color="auto"/>
      </w:divBdr>
    </w:div>
    <w:div w:id="1028726366">
      <w:bodyDiv w:val="1"/>
      <w:marLeft w:val="0"/>
      <w:marRight w:val="0"/>
      <w:marTop w:val="0"/>
      <w:marBottom w:val="0"/>
      <w:divBdr>
        <w:top w:val="none" w:sz="0" w:space="0" w:color="auto"/>
        <w:left w:val="none" w:sz="0" w:space="0" w:color="auto"/>
        <w:bottom w:val="none" w:sz="0" w:space="0" w:color="auto"/>
        <w:right w:val="none" w:sz="0" w:space="0" w:color="auto"/>
      </w:divBdr>
    </w:div>
    <w:div w:id="1028916908">
      <w:bodyDiv w:val="1"/>
      <w:marLeft w:val="0"/>
      <w:marRight w:val="0"/>
      <w:marTop w:val="0"/>
      <w:marBottom w:val="0"/>
      <w:divBdr>
        <w:top w:val="none" w:sz="0" w:space="0" w:color="auto"/>
        <w:left w:val="none" w:sz="0" w:space="0" w:color="auto"/>
        <w:bottom w:val="none" w:sz="0" w:space="0" w:color="auto"/>
        <w:right w:val="none" w:sz="0" w:space="0" w:color="auto"/>
      </w:divBdr>
    </w:div>
    <w:div w:id="1028989580">
      <w:bodyDiv w:val="1"/>
      <w:marLeft w:val="0"/>
      <w:marRight w:val="0"/>
      <w:marTop w:val="0"/>
      <w:marBottom w:val="0"/>
      <w:divBdr>
        <w:top w:val="none" w:sz="0" w:space="0" w:color="auto"/>
        <w:left w:val="none" w:sz="0" w:space="0" w:color="auto"/>
        <w:bottom w:val="none" w:sz="0" w:space="0" w:color="auto"/>
        <w:right w:val="none" w:sz="0" w:space="0" w:color="auto"/>
      </w:divBdr>
    </w:div>
    <w:div w:id="1029601921">
      <w:bodyDiv w:val="1"/>
      <w:marLeft w:val="0"/>
      <w:marRight w:val="0"/>
      <w:marTop w:val="0"/>
      <w:marBottom w:val="0"/>
      <w:divBdr>
        <w:top w:val="none" w:sz="0" w:space="0" w:color="auto"/>
        <w:left w:val="none" w:sz="0" w:space="0" w:color="auto"/>
        <w:bottom w:val="none" w:sz="0" w:space="0" w:color="auto"/>
        <w:right w:val="none" w:sz="0" w:space="0" w:color="auto"/>
      </w:divBdr>
    </w:div>
    <w:div w:id="1029646472">
      <w:bodyDiv w:val="1"/>
      <w:marLeft w:val="0"/>
      <w:marRight w:val="0"/>
      <w:marTop w:val="0"/>
      <w:marBottom w:val="0"/>
      <w:divBdr>
        <w:top w:val="none" w:sz="0" w:space="0" w:color="auto"/>
        <w:left w:val="none" w:sz="0" w:space="0" w:color="auto"/>
        <w:bottom w:val="none" w:sz="0" w:space="0" w:color="auto"/>
        <w:right w:val="none" w:sz="0" w:space="0" w:color="auto"/>
      </w:divBdr>
    </w:div>
    <w:div w:id="1030030857">
      <w:bodyDiv w:val="1"/>
      <w:marLeft w:val="0"/>
      <w:marRight w:val="0"/>
      <w:marTop w:val="0"/>
      <w:marBottom w:val="0"/>
      <w:divBdr>
        <w:top w:val="none" w:sz="0" w:space="0" w:color="auto"/>
        <w:left w:val="none" w:sz="0" w:space="0" w:color="auto"/>
        <w:bottom w:val="none" w:sz="0" w:space="0" w:color="auto"/>
        <w:right w:val="none" w:sz="0" w:space="0" w:color="auto"/>
      </w:divBdr>
    </w:div>
    <w:div w:id="1030186522">
      <w:bodyDiv w:val="1"/>
      <w:marLeft w:val="0"/>
      <w:marRight w:val="0"/>
      <w:marTop w:val="0"/>
      <w:marBottom w:val="0"/>
      <w:divBdr>
        <w:top w:val="none" w:sz="0" w:space="0" w:color="auto"/>
        <w:left w:val="none" w:sz="0" w:space="0" w:color="auto"/>
        <w:bottom w:val="none" w:sz="0" w:space="0" w:color="auto"/>
        <w:right w:val="none" w:sz="0" w:space="0" w:color="auto"/>
      </w:divBdr>
    </w:div>
    <w:div w:id="1031346606">
      <w:bodyDiv w:val="1"/>
      <w:marLeft w:val="0"/>
      <w:marRight w:val="0"/>
      <w:marTop w:val="0"/>
      <w:marBottom w:val="0"/>
      <w:divBdr>
        <w:top w:val="none" w:sz="0" w:space="0" w:color="auto"/>
        <w:left w:val="none" w:sz="0" w:space="0" w:color="auto"/>
        <w:bottom w:val="none" w:sz="0" w:space="0" w:color="auto"/>
        <w:right w:val="none" w:sz="0" w:space="0" w:color="auto"/>
      </w:divBdr>
    </w:div>
    <w:div w:id="1031568217">
      <w:bodyDiv w:val="1"/>
      <w:marLeft w:val="0"/>
      <w:marRight w:val="0"/>
      <w:marTop w:val="0"/>
      <w:marBottom w:val="0"/>
      <w:divBdr>
        <w:top w:val="none" w:sz="0" w:space="0" w:color="auto"/>
        <w:left w:val="none" w:sz="0" w:space="0" w:color="auto"/>
        <w:bottom w:val="none" w:sz="0" w:space="0" w:color="auto"/>
        <w:right w:val="none" w:sz="0" w:space="0" w:color="auto"/>
      </w:divBdr>
    </w:div>
    <w:div w:id="1034117806">
      <w:bodyDiv w:val="1"/>
      <w:marLeft w:val="0"/>
      <w:marRight w:val="0"/>
      <w:marTop w:val="0"/>
      <w:marBottom w:val="0"/>
      <w:divBdr>
        <w:top w:val="none" w:sz="0" w:space="0" w:color="auto"/>
        <w:left w:val="none" w:sz="0" w:space="0" w:color="auto"/>
        <w:bottom w:val="none" w:sz="0" w:space="0" w:color="auto"/>
        <w:right w:val="none" w:sz="0" w:space="0" w:color="auto"/>
      </w:divBdr>
    </w:div>
    <w:div w:id="1036084149">
      <w:bodyDiv w:val="1"/>
      <w:marLeft w:val="0"/>
      <w:marRight w:val="0"/>
      <w:marTop w:val="0"/>
      <w:marBottom w:val="0"/>
      <w:divBdr>
        <w:top w:val="none" w:sz="0" w:space="0" w:color="auto"/>
        <w:left w:val="none" w:sz="0" w:space="0" w:color="auto"/>
        <w:bottom w:val="none" w:sz="0" w:space="0" w:color="auto"/>
        <w:right w:val="none" w:sz="0" w:space="0" w:color="auto"/>
      </w:divBdr>
    </w:div>
    <w:div w:id="1036782973">
      <w:bodyDiv w:val="1"/>
      <w:marLeft w:val="0"/>
      <w:marRight w:val="0"/>
      <w:marTop w:val="0"/>
      <w:marBottom w:val="0"/>
      <w:divBdr>
        <w:top w:val="none" w:sz="0" w:space="0" w:color="auto"/>
        <w:left w:val="none" w:sz="0" w:space="0" w:color="auto"/>
        <w:bottom w:val="none" w:sz="0" w:space="0" w:color="auto"/>
        <w:right w:val="none" w:sz="0" w:space="0" w:color="auto"/>
      </w:divBdr>
    </w:div>
    <w:div w:id="1037506271">
      <w:bodyDiv w:val="1"/>
      <w:marLeft w:val="0"/>
      <w:marRight w:val="0"/>
      <w:marTop w:val="0"/>
      <w:marBottom w:val="0"/>
      <w:divBdr>
        <w:top w:val="none" w:sz="0" w:space="0" w:color="auto"/>
        <w:left w:val="none" w:sz="0" w:space="0" w:color="auto"/>
        <w:bottom w:val="none" w:sz="0" w:space="0" w:color="auto"/>
        <w:right w:val="none" w:sz="0" w:space="0" w:color="auto"/>
      </w:divBdr>
    </w:div>
    <w:div w:id="1037973015">
      <w:bodyDiv w:val="1"/>
      <w:marLeft w:val="0"/>
      <w:marRight w:val="0"/>
      <w:marTop w:val="0"/>
      <w:marBottom w:val="0"/>
      <w:divBdr>
        <w:top w:val="none" w:sz="0" w:space="0" w:color="auto"/>
        <w:left w:val="none" w:sz="0" w:space="0" w:color="auto"/>
        <w:bottom w:val="none" w:sz="0" w:space="0" w:color="auto"/>
        <w:right w:val="none" w:sz="0" w:space="0" w:color="auto"/>
      </w:divBdr>
    </w:div>
    <w:div w:id="1039163015">
      <w:bodyDiv w:val="1"/>
      <w:marLeft w:val="0"/>
      <w:marRight w:val="0"/>
      <w:marTop w:val="0"/>
      <w:marBottom w:val="0"/>
      <w:divBdr>
        <w:top w:val="none" w:sz="0" w:space="0" w:color="auto"/>
        <w:left w:val="none" w:sz="0" w:space="0" w:color="auto"/>
        <w:bottom w:val="none" w:sz="0" w:space="0" w:color="auto"/>
        <w:right w:val="none" w:sz="0" w:space="0" w:color="auto"/>
      </w:divBdr>
    </w:div>
    <w:div w:id="1040934864">
      <w:bodyDiv w:val="1"/>
      <w:marLeft w:val="0"/>
      <w:marRight w:val="0"/>
      <w:marTop w:val="0"/>
      <w:marBottom w:val="0"/>
      <w:divBdr>
        <w:top w:val="none" w:sz="0" w:space="0" w:color="auto"/>
        <w:left w:val="none" w:sz="0" w:space="0" w:color="auto"/>
        <w:bottom w:val="none" w:sz="0" w:space="0" w:color="auto"/>
        <w:right w:val="none" w:sz="0" w:space="0" w:color="auto"/>
      </w:divBdr>
    </w:div>
    <w:div w:id="1041633784">
      <w:bodyDiv w:val="1"/>
      <w:marLeft w:val="0"/>
      <w:marRight w:val="0"/>
      <w:marTop w:val="0"/>
      <w:marBottom w:val="0"/>
      <w:divBdr>
        <w:top w:val="none" w:sz="0" w:space="0" w:color="auto"/>
        <w:left w:val="none" w:sz="0" w:space="0" w:color="auto"/>
        <w:bottom w:val="none" w:sz="0" w:space="0" w:color="auto"/>
        <w:right w:val="none" w:sz="0" w:space="0" w:color="auto"/>
      </w:divBdr>
    </w:div>
    <w:div w:id="1042024686">
      <w:bodyDiv w:val="1"/>
      <w:marLeft w:val="0"/>
      <w:marRight w:val="0"/>
      <w:marTop w:val="0"/>
      <w:marBottom w:val="0"/>
      <w:divBdr>
        <w:top w:val="none" w:sz="0" w:space="0" w:color="auto"/>
        <w:left w:val="none" w:sz="0" w:space="0" w:color="auto"/>
        <w:bottom w:val="none" w:sz="0" w:space="0" w:color="auto"/>
        <w:right w:val="none" w:sz="0" w:space="0" w:color="auto"/>
      </w:divBdr>
    </w:div>
    <w:div w:id="1042051402">
      <w:bodyDiv w:val="1"/>
      <w:marLeft w:val="0"/>
      <w:marRight w:val="0"/>
      <w:marTop w:val="0"/>
      <w:marBottom w:val="0"/>
      <w:divBdr>
        <w:top w:val="none" w:sz="0" w:space="0" w:color="auto"/>
        <w:left w:val="none" w:sz="0" w:space="0" w:color="auto"/>
        <w:bottom w:val="none" w:sz="0" w:space="0" w:color="auto"/>
        <w:right w:val="none" w:sz="0" w:space="0" w:color="auto"/>
      </w:divBdr>
    </w:div>
    <w:div w:id="1042174776">
      <w:bodyDiv w:val="1"/>
      <w:marLeft w:val="0"/>
      <w:marRight w:val="0"/>
      <w:marTop w:val="0"/>
      <w:marBottom w:val="0"/>
      <w:divBdr>
        <w:top w:val="none" w:sz="0" w:space="0" w:color="auto"/>
        <w:left w:val="none" w:sz="0" w:space="0" w:color="auto"/>
        <w:bottom w:val="none" w:sz="0" w:space="0" w:color="auto"/>
        <w:right w:val="none" w:sz="0" w:space="0" w:color="auto"/>
      </w:divBdr>
    </w:div>
    <w:div w:id="1043291212">
      <w:bodyDiv w:val="1"/>
      <w:marLeft w:val="0"/>
      <w:marRight w:val="0"/>
      <w:marTop w:val="0"/>
      <w:marBottom w:val="0"/>
      <w:divBdr>
        <w:top w:val="none" w:sz="0" w:space="0" w:color="auto"/>
        <w:left w:val="none" w:sz="0" w:space="0" w:color="auto"/>
        <w:bottom w:val="none" w:sz="0" w:space="0" w:color="auto"/>
        <w:right w:val="none" w:sz="0" w:space="0" w:color="auto"/>
      </w:divBdr>
    </w:div>
    <w:div w:id="1043674849">
      <w:bodyDiv w:val="1"/>
      <w:marLeft w:val="0"/>
      <w:marRight w:val="0"/>
      <w:marTop w:val="0"/>
      <w:marBottom w:val="0"/>
      <w:divBdr>
        <w:top w:val="none" w:sz="0" w:space="0" w:color="auto"/>
        <w:left w:val="none" w:sz="0" w:space="0" w:color="auto"/>
        <w:bottom w:val="none" w:sz="0" w:space="0" w:color="auto"/>
        <w:right w:val="none" w:sz="0" w:space="0" w:color="auto"/>
      </w:divBdr>
    </w:div>
    <w:div w:id="1043798021">
      <w:bodyDiv w:val="1"/>
      <w:marLeft w:val="0"/>
      <w:marRight w:val="0"/>
      <w:marTop w:val="0"/>
      <w:marBottom w:val="0"/>
      <w:divBdr>
        <w:top w:val="none" w:sz="0" w:space="0" w:color="auto"/>
        <w:left w:val="none" w:sz="0" w:space="0" w:color="auto"/>
        <w:bottom w:val="none" w:sz="0" w:space="0" w:color="auto"/>
        <w:right w:val="none" w:sz="0" w:space="0" w:color="auto"/>
      </w:divBdr>
    </w:div>
    <w:div w:id="1044253454">
      <w:bodyDiv w:val="1"/>
      <w:marLeft w:val="0"/>
      <w:marRight w:val="0"/>
      <w:marTop w:val="0"/>
      <w:marBottom w:val="0"/>
      <w:divBdr>
        <w:top w:val="none" w:sz="0" w:space="0" w:color="auto"/>
        <w:left w:val="none" w:sz="0" w:space="0" w:color="auto"/>
        <w:bottom w:val="none" w:sz="0" w:space="0" w:color="auto"/>
        <w:right w:val="none" w:sz="0" w:space="0" w:color="auto"/>
      </w:divBdr>
    </w:div>
    <w:div w:id="1044526025">
      <w:bodyDiv w:val="1"/>
      <w:marLeft w:val="0"/>
      <w:marRight w:val="0"/>
      <w:marTop w:val="0"/>
      <w:marBottom w:val="0"/>
      <w:divBdr>
        <w:top w:val="none" w:sz="0" w:space="0" w:color="auto"/>
        <w:left w:val="none" w:sz="0" w:space="0" w:color="auto"/>
        <w:bottom w:val="none" w:sz="0" w:space="0" w:color="auto"/>
        <w:right w:val="none" w:sz="0" w:space="0" w:color="auto"/>
      </w:divBdr>
    </w:div>
    <w:div w:id="1045257263">
      <w:bodyDiv w:val="1"/>
      <w:marLeft w:val="0"/>
      <w:marRight w:val="0"/>
      <w:marTop w:val="0"/>
      <w:marBottom w:val="0"/>
      <w:divBdr>
        <w:top w:val="none" w:sz="0" w:space="0" w:color="auto"/>
        <w:left w:val="none" w:sz="0" w:space="0" w:color="auto"/>
        <w:bottom w:val="none" w:sz="0" w:space="0" w:color="auto"/>
        <w:right w:val="none" w:sz="0" w:space="0" w:color="auto"/>
      </w:divBdr>
    </w:div>
    <w:div w:id="1045758640">
      <w:bodyDiv w:val="1"/>
      <w:marLeft w:val="0"/>
      <w:marRight w:val="0"/>
      <w:marTop w:val="0"/>
      <w:marBottom w:val="0"/>
      <w:divBdr>
        <w:top w:val="none" w:sz="0" w:space="0" w:color="auto"/>
        <w:left w:val="none" w:sz="0" w:space="0" w:color="auto"/>
        <w:bottom w:val="none" w:sz="0" w:space="0" w:color="auto"/>
        <w:right w:val="none" w:sz="0" w:space="0" w:color="auto"/>
      </w:divBdr>
    </w:div>
    <w:div w:id="1046757722">
      <w:bodyDiv w:val="1"/>
      <w:marLeft w:val="0"/>
      <w:marRight w:val="0"/>
      <w:marTop w:val="0"/>
      <w:marBottom w:val="0"/>
      <w:divBdr>
        <w:top w:val="none" w:sz="0" w:space="0" w:color="auto"/>
        <w:left w:val="none" w:sz="0" w:space="0" w:color="auto"/>
        <w:bottom w:val="none" w:sz="0" w:space="0" w:color="auto"/>
        <w:right w:val="none" w:sz="0" w:space="0" w:color="auto"/>
      </w:divBdr>
    </w:div>
    <w:div w:id="1047100174">
      <w:bodyDiv w:val="1"/>
      <w:marLeft w:val="0"/>
      <w:marRight w:val="0"/>
      <w:marTop w:val="0"/>
      <w:marBottom w:val="0"/>
      <w:divBdr>
        <w:top w:val="none" w:sz="0" w:space="0" w:color="auto"/>
        <w:left w:val="none" w:sz="0" w:space="0" w:color="auto"/>
        <w:bottom w:val="none" w:sz="0" w:space="0" w:color="auto"/>
        <w:right w:val="none" w:sz="0" w:space="0" w:color="auto"/>
      </w:divBdr>
    </w:div>
    <w:div w:id="1048838184">
      <w:bodyDiv w:val="1"/>
      <w:marLeft w:val="0"/>
      <w:marRight w:val="0"/>
      <w:marTop w:val="0"/>
      <w:marBottom w:val="0"/>
      <w:divBdr>
        <w:top w:val="none" w:sz="0" w:space="0" w:color="auto"/>
        <w:left w:val="none" w:sz="0" w:space="0" w:color="auto"/>
        <w:bottom w:val="none" w:sz="0" w:space="0" w:color="auto"/>
        <w:right w:val="none" w:sz="0" w:space="0" w:color="auto"/>
      </w:divBdr>
    </w:div>
    <w:div w:id="1049186938">
      <w:bodyDiv w:val="1"/>
      <w:marLeft w:val="0"/>
      <w:marRight w:val="0"/>
      <w:marTop w:val="0"/>
      <w:marBottom w:val="0"/>
      <w:divBdr>
        <w:top w:val="none" w:sz="0" w:space="0" w:color="auto"/>
        <w:left w:val="none" w:sz="0" w:space="0" w:color="auto"/>
        <w:bottom w:val="none" w:sz="0" w:space="0" w:color="auto"/>
        <w:right w:val="none" w:sz="0" w:space="0" w:color="auto"/>
      </w:divBdr>
    </w:div>
    <w:div w:id="1049190525">
      <w:bodyDiv w:val="1"/>
      <w:marLeft w:val="0"/>
      <w:marRight w:val="0"/>
      <w:marTop w:val="0"/>
      <w:marBottom w:val="0"/>
      <w:divBdr>
        <w:top w:val="none" w:sz="0" w:space="0" w:color="auto"/>
        <w:left w:val="none" w:sz="0" w:space="0" w:color="auto"/>
        <w:bottom w:val="none" w:sz="0" w:space="0" w:color="auto"/>
        <w:right w:val="none" w:sz="0" w:space="0" w:color="auto"/>
      </w:divBdr>
    </w:div>
    <w:div w:id="1051416916">
      <w:bodyDiv w:val="1"/>
      <w:marLeft w:val="0"/>
      <w:marRight w:val="0"/>
      <w:marTop w:val="0"/>
      <w:marBottom w:val="0"/>
      <w:divBdr>
        <w:top w:val="none" w:sz="0" w:space="0" w:color="auto"/>
        <w:left w:val="none" w:sz="0" w:space="0" w:color="auto"/>
        <w:bottom w:val="none" w:sz="0" w:space="0" w:color="auto"/>
        <w:right w:val="none" w:sz="0" w:space="0" w:color="auto"/>
      </w:divBdr>
    </w:div>
    <w:div w:id="1051802490">
      <w:bodyDiv w:val="1"/>
      <w:marLeft w:val="0"/>
      <w:marRight w:val="0"/>
      <w:marTop w:val="0"/>
      <w:marBottom w:val="0"/>
      <w:divBdr>
        <w:top w:val="none" w:sz="0" w:space="0" w:color="auto"/>
        <w:left w:val="none" w:sz="0" w:space="0" w:color="auto"/>
        <w:bottom w:val="none" w:sz="0" w:space="0" w:color="auto"/>
        <w:right w:val="none" w:sz="0" w:space="0" w:color="auto"/>
      </w:divBdr>
    </w:div>
    <w:div w:id="1051924335">
      <w:bodyDiv w:val="1"/>
      <w:marLeft w:val="0"/>
      <w:marRight w:val="0"/>
      <w:marTop w:val="0"/>
      <w:marBottom w:val="0"/>
      <w:divBdr>
        <w:top w:val="none" w:sz="0" w:space="0" w:color="auto"/>
        <w:left w:val="none" w:sz="0" w:space="0" w:color="auto"/>
        <w:bottom w:val="none" w:sz="0" w:space="0" w:color="auto"/>
        <w:right w:val="none" w:sz="0" w:space="0" w:color="auto"/>
      </w:divBdr>
    </w:div>
    <w:div w:id="1055082960">
      <w:bodyDiv w:val="1"/>
      <w:marLeft w:val="0"/>
      <w:marRight w:val="0"/>
      <w:marTop w:val="0"/>
      <w:marBottom w:val="0"/>
      <w:divBdr>
        <w:top w:val="none" w:sz="0" w:space="0" w:color="auto"/>
        <w:left w:val="none" w:sz="0" w:space="0" w:color="auto"/>
        <w:bottom w:val="none" w:sz="0" w:space="0" w:color="auto"/>
        <w:right w:val="none" w:sz="0" w:space="0" w:color="auto"/>
      </w:divBdr>
    </w:div>
    <w:div w:id="1055198055">
      <w:bodyDiv w:val="1"/>
      <w:marLeft w:val="0"/>
      <w:marRight w:val="0"/>
      <w:marTop w:val="0"/>
      <w:marBottom w:val="0"/>
      <w:divBdr>
        <w:top w:val="none" w:sz="0" w:space="0" w:color="auto"/>
        <w:left w:val="none" w:sz="0" w:space="0" w:color="auto"/>
        <w:bottom w:val="none" w:sz="0" w:space="0" w:color="auto"/>
        <w:right w:val="none" w:sz="0" w:space="0" w:color="auto"/>
      </w:divBdr>
    </w:div>
    <w:div w:id="1059092303">
      <w:bodyDiv w:val="1"/>
      <w:marLeft w:val="0"/>
      <w:marRight w:val="0"/>
      <w:marTop w:val="0"/>
      <w:marBottom w:val="0"/>
      <w:divBdr>
        <w:top w:val="none" w:sz="0" w:space="0" w:color="auto"/>
        <w:left w:val="none" w:sz="0" w:space="0" w:color="auto"/>
        <w:bottom w:val="none" w:sz="0" w:space="0" w:color="auto"/>
        <w:right w:val="none" w:sz="0" w:space="0" w:color="auto"/>
      </w:divBdr>
    </w:div>
    <w:div w:id="1060252922">
      <w:bodyDiv w:val="1"/>
      <w:marLeft w:val="0"/>
      <w:marRight w:val="0"/>
      <w:marTop w:val="0"/>
      <w:marBottom w:val="0"/>
      <w:divBdr>
        <w:top w:val="none" w:sz="0" w:space="0" w:color="auto"/>
        <w:left w:val="none" w:sz="0" w:space="0" w:color="auto"/>
        <w:bottom w:val="none" w:sz="0" w:space="0" w:color="auto"/>
        <w:right w:val="none" w:sz="0" w:space="0" w:color="auto"/>
      </w:divBdr>
    </w:div>
    <w:div w:id="1062363183">
      <w:bodyDiv w:val="1"/>
      <w:marLeft w:val="0"/>
      <w:marRight w:val="0"/>
      <w:marTop w:val="0"/>
      <w:marBottom w:val="0"/>
      <w:divBdr>
        <w:top w:val="none" w:sz="0" w:space="0" w:color="auto"/>
        <w:left w:val="none" w:sz="0" w:space="0" w:color="auto"/>
        <w:bottom w:val="none" w:sz="0" w:space="0" w:color="auto"/>
        <w:right w:val="none" w:sz="0" w:space="0" w:color="auto"/>
      </w:divBdr>
    </w:div>
    <w:div w:id="1063599318">
      <w:bodyDiv w:val="1"/>
      <w:marLeft w:val="0"/>
      <w:marRight w:val="0"/>
      <w:marTop w:val="0"/>
      <w:marBottom w:val="0"/>
      <w:divBdr>
        <w:top w:val="none" w:sz="0" w:space="0" w:color="auto"/>
        <w:left w:val="none" w:sz="0" w:space="0" w:color="auto"/>
        <w:bottom w:val="none" w:sz="0" w:space="0" w:color="auto"/>
        <w:right w:val="none" w:sz="0" w:space="0" w:color="auto"/>
      </w:divBdr>
    </w:div>
    <w:div w:id="1065451128">
      <w:bodyDiv w:val="1"/>
      <w:marLeft w:val="0"/>
      <w:marRight w:val="0"/>
      <w:marTop w:val="0"/>
      <w:marBottom w:val="0"/>
      <w:divBdr>
        <w:top w:val="none" w:sz="0" w:space="0" w:color="auto"/>
        <w:left w:val="none" w:sz="0" w:space="0" w:color="auto"/>
        <w:bottom w:val="none" w:sz="0" w:space="0" w:color="auto"/>
        <w:right w:val="none" w:sz="0" w:space="0" w:color="auto"/>
      </w:divBdr>
    </w:div>
    <w:div w:id="1066295405">
      <w:bodyDiv w:val="1"/>
      <w:marLeft w:val="0"/>
      <w:marRight w:val="0"/>
      <w:marTop w:val="0"/>
      <w:marBottom w:val="0"/>
      <w:divBdr>
        <w:top w:val="none" w:sz="0" w:space="0" w:color="auto"/>
        <w:left w:val="none" w:sz="0" w:space="0" w:color="auto"/>
        <w:bottom w:val="none" w:sz="0" w:space="0" w:color="auto"/>
        <w:right w:val="none" w:sz="0" w:space="0" w:color="auto"/>
      </w:divBdr>
    </w:div>
    <w:div w:id="1066686796">
      <w:bodyDiv w:val="1"/>
      <w:marLeft w:val="0"/>
      <w:marRight w:val="0"/>
      <w:marTop w:val="0"/>
      <w:marBottom w:val="0"/>
      <w:divBdr>
        <w:top w:val="none" w:sz="0" w:space="0" w:color="auto"/>
        <w:left w:val="none" w:sz="0" w:space="0" w:color="auto"/>
        <w:bottom w:val="none" w:sz="0" w:space="0" w:color="auto"/>
        <w:right w:val="none" w:sz="0" w:space="0" w:color="auto"/>
      </w:divBdr>
    </w:div>
    <w:div w:id="1068651047">
      <w:bodyDiv w:val="1"/>
      <w:marLeft w:val="0"/>
      <w:marRight w:val="0"/>
      <w:marTop w:val="0"/>
      <w:marBottom w:val="0"/>
      <w:divBdr>
        <w:top w:val="none" w:sz="0" w:space="0" w:color="auto"/>
        <w:left w:val="none" w:sz="0" w:space="0" w:color="auto"/>
        <w:bottom w:val="none" w:sz="0" w:space="0" w:color="auto"/>
        <w:right w:val="none" w:sz="0" w:space="0" w:color="auto"/>
      </w:divBdr>
    </w:div>
    <w:div w:id="1069887824">
      <w:bodyDiv w:val="1"/>
      <w:marLeft w:val="0"/>
      <w:marRight w:val="0"/>
      <w:marTop w:val="0"/>
      <w:marBottom w:val="0"/>
      <w:divBdr>
        <w:top w:val="none" w:sz="0" w:space="0" w:color="auto"/>
        <w:left w:val="none" w:sz="0" w:space="0" w:color="auto"/>
        <w:bottom w:val="none" w:sz="0" w:space="0" w:color="auto"/>
        <w:right w:val="none" w:sz="0" w:space="0" w:color="auto"/>
      </w:divBdr>
    </w:div>
    <w:div w:id="1073428306">
      <w:bodyDiv w:val="1"/>
      <w:marLeft w:val="0"/>
      <w:marRight w:val="0"/>
      <w:marTop w:val="0"/>
      <w:marBottom w:val="0"/>
      <w:divBdr>
        <w:top w:val="none" w:sz="0" w:space="0" w:color="auto"/>
        <w:left w:val="none" w:sz="0" w:space="0" w:color="auto"/>
        <w:bottom w:val="none" w:sz="0" w:space="0" w:color="auto"/>
        <w:right w:val="none" w:sz="0" w:space="0" w:color="auto"/>
      </w:divBdr>
    </w:div>
    <w:div w:id="1076130516">
      <w:bodyDiv w:val="1"/>
      <w:marLeft w:val="0"/>
      <w:marRight w:val="0"/>
      <w:marTop w:val="0"/>
      <w:marBottom w:val="0"/>
      <w:divBdr>
        <w:top w:val="none" w:sz="0" w:space="0" w:color="auto"/>
        <w:left w:val="none" w:sz="0" w:space="0" w:color="auto"/>
        <w:bottom w:val="none" w:sz="0" w:space="0" w:color="auto"/>
        <w:right w:val="none" w:sz="0" w:space="0" w:color="auto"/>
      </w:divBdr>
    </w:div>
    <w:div w:id="1077821403">
      <w:bodyDiv w:val="1"/>
      <w:marLeft w:val="0"/>
      <w:marRight w:val="0"/>
      <w:marTop w:val="0"/>
      <w:marBottom w:val="0"/>
      <w:divBdr>
        <w:top w:val="none" w:sz="0" w:space="0" w:color="auto"/>
        <w:left w:val="none" w:sz="0" w:space="0" w:color="auto"/>
        <w:bottom w:val="none" w:sz="0" w:space="0" w:color="auto"/>
        <w:right w:val="none" w:sz="0" w:space="0" w:color="auto"/>
      </w:divBdr>
    </w:div>
    <w:div w:id="1081290253">
      <w:bodyDiv w:val="1"/>
      <w:marLeft w:val="0"/>
      <w:marRight w:val="0"/>
      <w:marTop w:val="0"/>
      <w:marBottom w:val="0"/>
      <w:divBdr>
        <w:top w:val="none" w:sz="0" w:space="0" w:color="auto"/>
        <w:left w:val="none" w:sz="0" w:space="0" w:color="auto"/>
        <w:bottom w:val="none" w:sz="0" w:space="0" w:color="auto"/>
        <w:right w:val="none" w:sz="0" w:space="0" w:color="auto"/>
      </w:divBdr>
    </w:div>
    <w:div w:id="1082409941">
      <w:bodyDiv w:val="1"/>
      <w:marLeft w:val="0"/>
      <w:marRight w:val="0"/>
      <w:marTop w:val="0"/>
      <w:marBottom w:val="0"/>
      <w:divBdr>
        <w:top w:val="none" w:sz="0" w:space="0" w:color="auto"/>
        <w:left w:val="none" w:sz="0" w:space="0" w:color="auto"/>
        <w:bottom w:val="none" w:sz="0" w:space="0" w:color="auto"/>
        <w:right w:val="none" w:sz="0" w:space="0" w:color="auto"/>
      </w:divBdr>
    </w:div>
    <w:div w:id="1084106799">
      <w:bodyDiv w:val="1"/>
      <w:marLeft w:val="0"/>
      <w:marRight w:val="0"/>
      <w:marTop w:val="0"/>
      <w:marBottom w:val="0"/>
      <w:divBdr>
        <w:top w:val="none" w:sz="0" w:space="0" w:color="auto"/>
        <w:left w:val="none" w:sz="0" w:space="0" w:color="auto"/>
        <w:bottom w:val="none" w:sz="0" w:space="0" w:color="auto"/>
        <w:right w:val="none" w:sz="0" w:space="0" w:color="auto"/>
      </w:divBdr>
    </w:div>
    <w:div w:id="1084645628">
      <w:bodyDiv w:val="1"/>
      <w:marLeft w:val="0"/>
      <w:marRight w:val="0"/>
      <w:marTop w:val="0"/>
      <w:marBottom w:val="0"/>
      <w:divBdr>
        <w:top w:val="none" w:sz="0" w:space="0" w:color="auto"/>
        <w:left w:val="none" w:sz="0" w:space="0" w:color="auto"/>
        <w:bottom w:val="none" w:sz="0" w:space="0" w:color="auto"/>
        <w:right w:val="none" w:sz="0" w:space="0" w:color="auto"/>
      </w:divBdr>
    </w:div>
    <w:div w:id="1085684532">
      <w:bodyDiv w:val="1"/>
      <w:marLeft w:val="0"/>
      <w:marRight w:val="0"/>
      <w:marTop w:val="0"/>
      <w:marBottom w:val="0"/>
      <w:divBdr>
        <w:top w:val="none" w:sz="0" w:space="0" w:color="auto"/>
        <w:left w:val="none" w:sz="0" w:space="0" w:color="auto"/>
        <w:bottom w:val="none" w:sz="0" w:space="0" w:color="auto"/>
        <w:right w:val="none" w:sz="0" w:space="0" w:color="auto"/>
      </w:divBdr>
    </w:div>
    <w:div w:id="1085882416">
      <w:bodyDiv w:val="1"/>
      <w:marLeft w:val="0"/>
      <w:marRight w:val="0"/>
      <w:marTop w:val="0"/>
      <w:marBottom w:val="0"/>
      <w:divBdr>
        <w:top w:val="none" w:sz="0" w:space="0" w:color="auto"/>
        <w:left w:val="none" w:sz="0" w:space="0" w:color="auto"/>
        <w:bottom w:val="none" w:sz="0" w:space="0" w:color="auto"/>
        <w:right w:val="none" w:sz="0" w:space="0" w:color="auto"/>
      </w:divBdr>
    </w:div>
    <w:div w:id="1085997914">
      <w:bodyDiv w:val="1"/>
      <w:marLeft w:val="0"/>
      <w:marRight w:val="0"/>
      <w:marTop w:val="0"/>
      <w:marBottom w:val="0"/>
      <w:divBdr>
        <w:top w:val="none" w:sz="0" w:space="0" w:color="auto"/>
        <w:left w:val="none" w:sz="0" w:space="0" w:color="auto"/>
        <w:bottom w:val="none" w:sz="0" w:space="0" w:color="auto"/>
        <w:right w:val="none" w:sz="0" w:space="0" w:color="auto"/>
      </w:divBdr>
    </w:div>
    <w:div w:id="1088231812">
      <w:bodyDiv w:val="1"/>
      <w:marLeft w:val="0"/>
      <w:marRight w:val="0"/>
      <w:marTop w:val="0"/>
      <w:marBottom w:val="0"/>
      <w:divBdr>
        <w:top w:val="none" w:sz="0" w:space="0" w:color="auto"/>
        <w:left w:val="none" w:sz="0" w:space="0" w:color="auto"/>
        <w:bottom w:val="none" w:sz="0" w:space="0" w:color="auto"/>
        <w:right w:val="none" w:sz="0" w:space="0" w:color="auto"/>
      </w:divBdr>
    </w:div>
    <w:div w:id="1089304171">
      <w:bodyDiv w:val="1"/>
      <w:marLeft w:val="0"/>
      <w:marRight w:val="0"/>
      <w:marTop w:val="0"/>
      <w:marBottom w:val="0"/>
      <w:divBdr>
        <w:top w:val="none" w:sz="0" w:space="0" w:color="auto"/>
        <w:left w:val="none" w:sz="0" w:space="0" w:color="auto"/>
        <w:bottom w:val="none" w:sz="0" w:space="0" w:color="auto"/>
        <w:right w:val="none" w:sz="0" w:space="0" w:color="auto"/>
      </w:divBdr>
    </w:div>
    <w:div w:id="1091320077">
      <w:bodyDiv w:val="1"/>
      <w:marLeft w:val="0"/>
      <w:marRight w:val="0"/>
      <w:marTop w:val="0"/>
      <w:marBottom w:val="0"/>
      <w:divBdr>
        <w:top w:val="none" w:sz="0" w:space="0" w:color="auto"/>
        <w:left w:val="none" w:sz="0" w:space="0" w:color="auto"/>
        <w:bottom w:val="none" w:sz="0" w:space="0" w:color="auto"/>
        <w:right w:val="none" w:sz="0" w:space="0" w:color="auto"/>
      </w:divBdr>
    </w:div>
    <w:div w:id="1092706883">
      <w:bodyDiv w:val="1"/>
      <w:marLeft w:val="0"/>
      <w:marRight w:val="0"/>
      <w:marTop w:val="0"/>
      <w:marBottom w:val="0"/>
      <w:divBdr>
        <w:top w:val="none" w:sz="0" w:space="0" w:color="auto"/>
        <w:left w:val="none" w:sz="0" w:space="0" w:color="auto"/>
        <w:bottom w:val="none" w:sz="0" w:space="0" w:color="auto"/>
        <w:right w:val="none" w:sz="0" w:space="0" w:color="auto"/>
      </w:divBdr>
    </w:div>
    <w:div w:id="1093089098">
      <w:bodyDiv w:val="1"/>
      <w:marLeft w:val="0"/>
      <w:marRight w:val="0"/>
      <w:marTop w:val="0"/>
      <w:marBottom w:val="0"/>
      <w:divBdr>
        <w:top w:val="none" w:sz="0" w:space="0" w:color="auto"/>
        <w:left w:val="none" w:sz="0" w:space="0" w:color="auto"/>
        <w:bottom w:val="none" w:sz="0" w:space="0" w:color="auto"/>
        <w:right w:val="none" w:sz="0" w:space="0" w:color="auto"/>
      </w:divBdr>
    </w:div>
    <w:div w:id="1093941788">
      <w:bodyDiv w:val="1"/>
      <w:marLeft w:val="0"/>
      <w:marRight w:val="0"/>
      <w:marTop w:val="0"/>
      <w:marBottom w:val="0"/>
      <w:divBdr>
        <w:top w:val="none" w:sz="0" w:space="0" w:color="auto"/>
        <w:left w:val="none" w:sz="0" w:space="0" w:color="auto"/>
        <w:bottom w:val="none" w:sz="0" w:space="0" w:color="auto"/>
        <w:right w:val="none" w:sz="0" w:space="0" w:color="auto"/>
      </w:divBdr>
    </w:div>
    <w:div w:id="1094518084">
      <w:bodyDiv w:val="1"/>
      <w:marLeft w:val="0"/>
      <w:marRight w:val="0"/>
      <w:marTop w:val="0"/>
      <w:marBottom w:val="0"/>
      <w:divBdr>
        <w:top w:val="none" w:sz="0" w:space="0" w:color="auto"/>
        <w:left w:val="none" w:sz="0" w:space="0" w:color="auto"/>
        <w:bottom w:val="none" w:sz="0" w:space="0" w:color="auto"/>
        <w:right w:val="none" w:sz="0" w:space="0" w:color="auto"/>
      </w:divBdr>
    </w:div>
    <w:div w:id="1097023530">
      <w:bodyDiv w:val="1"/>
      <w:marLeft w:val="0"/>
      <w:marRight w:val="0"/>
      <w:marTop w:val="0"/>
      <w:marBottom w:val="0"/>
      <w:divBdr>
        <w:top w:val="none" w:sz="0" w:space="0" w:color="auto"/>
        <w:left w:val="none" w:sz="0" w:space="0" w:color="auto"/>
        <w:bottom w:val="none" w:sz="0" w:space="0" w:color="auto"/>
        <w:right w:val="none" w:sz="0" w:space="0" w:color="auto"/>
      </w:divBdr>
    </w:div>
    <w:div w:id="1097940603">
      <w:bodyDiv w:val="1"/>
      <w:marLeft w:val="0"/>
      <w:marRight w:val="0"/>
      <w:marTop w:val="0"/>
      <w:marBottom w:val="0"/>
      <w:divBdr>
        <w:top w:val="none" w:sz="0" w:space="0" w:color="auto"/>
        <w:left w:val="none" w:sz="0" w:space="0" w:color="auto"/>
        <w:bottom w:val="none" w:sz="0" w:space="0" w:color="auto"/>
        <w:right w:val="none" w:sz="0" w:space="0" w:color="auto"/>
      </w:divBdr>
    </w:div>
    <w:div w:id="1098335053">
      <w:bodyDiv w:val="1"/>
      <w:marLeft w:val="0"/>
      <w:marRight w:val="0"/>
      <w:marTop w:val="0"/>
      <w:marBottom w:val="0"/>
      <w:divBdr>
        <w:top w:val="none" w:sz="0" w:space="0" w:color="auto"/>
        <w:left w:val="none" w:sz="0" w:space="0" w:color="auto"/>
        <w:bottom w:val="none" w:sz="0" w:space="0" w:color="auto"/>
        <w:right w:val="none" w:sz="0" w:space="0" w:color="auto"/>
      </w:divBdr>
    </w:div>
    <w:div w:id="1098601128">
      <w:bodyDiv w:val="1"/>
      <w:marLeft w:val="0"/>
      <w:marRight w:val="0"/>
      <w:marTop w:val="0"/>
      <w:marBottom w:val="0"/>
      <w:divBdr>
        <w:top w:val="none" w:sz="0" w:space="0" w:color="auto"/>
        <w:left w:val="none" w:sz="0" w:space="0" w:color="auto"/>
        <w:bottom w:val="none" w:sz="0" w:space="0" w:color="auto"/>
        <w:right w:val="none" w:sz="0" w:space="0" w:color="auto"/>
      </w:divBdr>
    </w:div>
    <w:div w:id="1098674157">
      <w:bodyDiv w:val="1"/>
      <w:marLeft w:val="0"/>
      <w:marRight w:val="0"/>
      <w:marTop w:val="0"/>
      <w:marBottom w:val="0"/>
      <w:divBdr>
        <w:top w:val="none" w:sz="0" w:space="0" w:color="auto"/>
        <w:left w:val="none" w:sz="0" w:space="0" w:color="auto"/>
        <w:bottom w:val="none" w:sz="0" w:space="0" w:color="auto"/>
        <w:right w:val="none" w:sz="0" w:space="0" w:color="auto"/>
      </w:divBdr>
    </w:div>
    <w:div w:id="1099257331">
      <w:bodyDiv w:val="1"/>
      <w:marLeft w:val="0"/>
      <w:marRight w:val="0"/>
      <w:marTop w:val="0"/>
      <w:marBottom w:val="0"/>
      <w:divBdr>
        <w:top w:val="none" w:sz="0" w:space="0" w:color="auto"/>
        <w:left w:val="none" w:sz="0" w:space="0" w:color="auto"/>
        <w:bottom w:val="none" w:sz="0" w:space="0" w:color="auto"/>
        <w:right w:val="none" w:sz="0" w:space="0" w:color="auto"/>
      </w:divBdr>
    </w:div>
    <w:div w:id="1106661190">
      <w:bodyDiv w:val="1"/>
      <w:marLeft w:val="0"/>
      <w:marRight w:val="0"/>
      <w:marTop w:val="0"/>
      <w:marBottom w:val="0"/>
      <w:divBdr>
        <w:top w:val="none" w:sz="0" w:space="0" w:color="auto"/>
        <w:left w:val="none" w:sz="0" w:space="0" w:color="auto"/>
        <w:bottom w:val="none" w:sz="0" w:space="0" w:color="auto"/>
        <w:right w:val="none" w:sz="0" w:space="0" w:color="auto"/>
      </w:divBdr>
    </w:div>
    <w:div w:id="1107314649">
      <w:bodyDiv w:val="1"/>
      <w:marLeft w:val="0"/>
      <w:marRight w:val="0"/>
      <w:marTop w:val="0"/>
      <w:marBottom w:val="0"/>
      <w:divBdr>
        <w:top w:val="none" w:sz="0" w:space="0" w:color="auto"/>
        <w:left w:val="none" w:sz="0" w:space="0" w:color="auto"/>
        <w:bottom w:val="none" w:sz="0" w:space="0" w:color="auto"/>
        <w:right w:val="none" w:sz="0" w:space="0" w:color="auto"/>
      </w:divBdr>
    </w:div>
    <w:div w:id="1108810847">
      <w:bodyDiv w:val="1"/>
      <w:marLeft w:val="0"/>
      <w:marRight w:val="0"/>
      <w:marTop w:val="0"/>
      <w:marBottom w:val="0"/>
      <w:divBdr>
        <w:top w:val="none" w:sz="0" w:space="0" w:color="auto"/>
        <w:left w:val="none" w:sz="0" w:space="0" w:color="auto"/>
        <w:bottom w:val="none" w:sz="0" w:space="0" w:color="auto"/>
        <w:right w:val="none" w:sz="0" w:space="0" w:color="auto"/>
      </w:divBdr>
    </w:div>
    <w:div w:id="1109205543">
      <w:bodyDiv w:val="1"/>
      <w:marLeft w:val="0"/>
      <w:marRight w:val="0"/>
      <w:marTop w:val="0"/>
      <w:marBottom w:val="0"/>
      <w:divBdr>
        <w:top w:val="none" w:sz="0" w:space="0" w:color="auto"/>
        <w:left w:val="none" w:sz="0" w:space="0" w:color="auto"/>
        <w:bottom w:val="none" w:sz="0" w:space="0" w:color="auto"/>
        <w:right w:val="none" w:sz="0" w:space="0" w:color="auto"/>
      </w:divBdr>
    </w:div>
    <w:div w:id="1109812950">
      <w:bodyDiv w:val="1"/>
      <w:marLeft w:val="0"/>
      <w:marRight w:val="0"/>
      <w:marTop w:val="0"/>
      <w:marBottom w:val="0"/>
      <w:divBdr>
        <w:top w:val="none" w:sz="0" w:space="0" w:color="auto"/>
        <w:left w:val="none" w:sz="0" w:space="0" w:color="auto"/>
        <w:bottom w:val="none" w:sz="0" w:space="0" w:color="auto"/>
        <w:right w:val="none" w:sz="0" w:space="0" w:color="auto"/>
      </w:divBdr>
    </w:div>
    <w:div w:id="1110515712">
      <w:bodyDiv w:val="1"/>
      <w:marLeft w:val="0"/>
      <w:marRight w:val="0"/>
      <w:marTop w:val="0"/>
      <w:marBottom w:val="0"/>
      <w:divBdr>
        <w:top w:val="none" w:sz="0" w:space="0" w:color="auto"/>
        <w:left w:val="none" w:sz="0" w:space="0" w:color="auto"/>
        <w:bottom w:val="none" w:sz="0" w:space="0" w:color="auto"/>
        <w:right w:val="none" w:sz="0" w:space="0" w:color="auto"/>
      </w:divBdr>
    </w:div>
    <w:div w:id="1110664096">
      <w:bodyDiv w:val="1"/>
      <w:marLeft w:val="0"/>
      <w:marRight w:val="0"/>
      <w:marTop w:val="0"/>
      <w:marBottom w:val="0"/>
      <w:divBdr>
        <w:top w:val="none" w:sz="0" w:space="0" w:color="auto"/>
        <w:left w:val="none" w:sz="0" w:space="0" w:color="auto"/>
        <w:bottom w:val="none" w:sz="0" w:space="0" w:color="auto"/>
        <w:right w:val="none" w:sz="0" w:space="0" w:color="auto"/>
      </w:divBdr>
    </w:div>
    <w:div w:id="1111168763">
      <w:bodyDiv w:val="1"/>
      <w:marLeft w:val="0"/>
      <w:marRight w:val="0"/>
      <w:marTop w:val="0"/>
      <w:marBottom w:val="0"/>
      <w:divBdr>
        <w:top w:val="none" w:sz="0" w:space="0" w:color="auto"/>
        <w:left w:val="none" w:sz="0" w:space="0" w:color="auto"/>
        <w:bottom w:val="none" w:sz="0" w:space="0" w:color="auto"/>
        <w:right w:val="none" w:sz="0" w:space="0" w:color="auto"/>
      </w:divBdr>
    </w:div>
    <w:div w:id="1111631387">
      <w:bodyDiv w:val="1"/>
      <w:marLeft w:val="0"/>
      <w:marRight w:val="0"/>
      <w:marTop w:val="0"/>
      <w:marBottom w:val="0"/>
      <w:divBdr>
        <w:top w:val="none" w:sz="0" w:space="0" w:color="auto"/>
        <w:left w:val="none" w:sz="0" w:space="0" w:color="auto"/>
        <w:bottom w:val="none" w:sz="0" w:space="0" w:color="auto"/>
        <w:right w:val="none" w:sz="0" w:space="0" w:color="auto"/>
      </w:divBdr>
    </w:div>
    <w:div w:id="1113866910">
      <w:bodyDiv w:val="1"/>
      <w:marLeft w:val="0"/>
      <w:marRight w:val="0"/>
      <w:marTop w:val="0"/>
      <w:marBottom w:val="0"/>
      <w:divBdr>
        <w:top w:val="none" w:sz="0" w:space="0" w:color="auto"/>
        <w:left w:val="none" w:sz="0" w:space="0" w:color="auto"/>
        <w:bottom w:val="none" w:sz="0" w:space="0" w:color="auto"/>
        <w:right w:val="none" w:sz="0" w:space="0" w:color="auto"/>
      </w:divBdr>
    </w:div>
    <w:div w:id="1114790419">
      <w:bodyDiv w:val="1"/>
      <w:marLeft w:val="0"/>
      <w:marRight w:val="0"/>
      <w:marTop w:val="0"/>
      <w:marBottom w:val="0"/>
      <w:divBdr>
        <w:top w:val="none" w:sz="0" w:space="0" w:color="auto"/>
        <w:left w:val="none" w:sz="0" w:space="0" w:color="auto"/>
        <w:bottom w:val="none" w:sz="0" w:space="0" w:color="auto"/>
        <w:right w:val="none" w:sz="0" w:space="0" w:color="auto"/>
      </w:divBdr>
    </w:div>
    <w:div w:id="1114979621">
      <w:bodyDiv w:val="1"/>
      <w:marLeft w:val="0"/>
      <w:marRight w:val="0"/>
      <w:marTop w:val="0"/>
      <w:marBottom w:val="0"/>
      <w:divBdr>
        <w:top w:val="none" w:sz="0" w:space="0" w:color="auto"/>
        <w:left w:val="none" w:sz="0" w:space="0" w:color="auto"/>
        <w:bottom w:val="none" w:sz="0" w:space="0" w:color="auto"/>
        <w:right w:val="none" w:sz="0" w:space="0" w:color="auto"/>
      </w:divBdr>
    </w:div>
    <w:div w:id="1115833632">
      <w:bodyDiv w:val="1"/>
      <w:marLeft w:val="0"/>
      <w:marRight w:val="0"/>
      <w:marTop w:val="0"/>
      <w:marBottom w:val="0"/>
      <w:divBdr>
        <w:top w:val="none" w:sz="0" w:space="0" w:color="auto"/>
        <w:left w:val="none" w:sz="0" w:space="0" w:color="auto"/>
        <w:bottom w:val="none" w:sz="0" w:space="0" w:color="auto"/>
        <w:right w:val="none" w:sz="0" w:space="0" w:color="auto"/>
      </w:divBdr>
    </w:div>
    <w:div w:id="1116289453">
      <w:bodyDiv w:val="1"/>
      <w:marLeft w:val="0"/>
      <w:marRight w:val="0"/>
      <w:marTop w:val="0"/>
      <w:marBottom w:val="0"/>
      <w:divBdr>
        <w:top w:val="none" w:sz="0" w:space="0" w:color="auto"/>
        <w:left w:val="none" w:sz="0" w:space="0" w:color="auto"/>
        <w:bottom w:val="none" w:sz="0" w:space="0" w:color="auto"/>
        <w:right w:val="none" w:sz="0" w:space="0" w:color="auto"/>
      </w:divBdr>
    </w:div>
    <w:div w:id="1116407750">
      <w:bodyDiv w:val="1"/>
      <w:marLeft w:val="0"/>
      <w:marRight w:val="0"/>
      <w:marTop w:val="0"/>
      <w:marBottom w:val="0"/>
      <w:divBdr>
        <w:top w:val="none" w:sz="0" w:space="0" w:color="auto"/>
        <w:left w:val="none" w:sz="0" w:space="0" w:color="auto"/>
        <w:bottom w:val="none" w:sz="0" w:space="0" w:color="auto"/>
        <w:right w:val="none" w:sz="0" w:space="0" w:color="auto"/>
      </w:divBdr>
    </w:div>
    <w:div w:id="1117214877">
      <w:bodyDiv w:val="1"/>
      <w:marLeft w:val="0"/>
      <w:marRight w:val="0"/>
      <w:marTop w:val="0"/>
      <w:marBottom w:val="0"/>
      <w:divBdr>
        <w:top w:val="none" w:sz="0" w:space="0" w:color="auto"/>
        <w:left w:val="none" w:sz="0" w:space="0" w:color="auto"/>
        <w:bottom w:val="none" w:sz="0" w:space="0" w:color="auto"/>
        <w:right w:val="none" w:sz="0" w:space="0" w:color="auto"/>
      </w:divBdr>
    </w:div>
    <w:div w:id="1117527162">
      <w:bodyDiv w:val="1"/>
      <w:marLeft w:val="0"/>
      <w:marRight w:val="0"/>
      <w:marTop w:val="0"/>
      <w:marBottom w:val="0"/>
      <w:divBdr>
        <w:top w:val="none" w:sz="0" w:space="0" w:color="auto"/>
        <w:left w:val="none" w:sz="0" w:space="0" w:color="auto"/>
        <w:bottom w:val="none" w:sz="0" w:space="0" w:color="auto"/>
        <w:right w:val="none" w:sz="0" w:space="0" w:color="auto"/>
      </w:divBdr>
    </w:div>
    <w:div w:id="1118719945">
      <w:bodyDiv w:val="1"/>
      <w:marLeft w:val="0"/>
      <w:marRight w:val="0"/>
      <w:marTop w:val="0"/>
      <w:marBottom w:val="0"/>
      <w:divBdr>
        <w:top w:val="none" w:sz="0" w:space="0" w:color="auto"/>
        <w:left w:val="none" w:sz="0" w:space="0" w:color="auto"/>
        <w:bottom w:val="none" w:sz="0" w:space="0" w:color="auto"/>
        <w:right w:val="none" w:sz="0" w:space="0" w:color="auto"/>
      </w:divBdr>
    </w:div>
    <w:div w:id="1118986084">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62612">
      <w:bodyDiv w:val="1"/>
      <w:marLeft w:val="0"/>
      <w:marRight w:val="0"/>
      <w:marTop w:val="0"/>
      <w:marBottom w:val="0"/>
      <w:divBdr>
        <w:top w:val="none" w:sz="0" w:space="0" w:color="auto"/>
        <w:left w:val="none" w:sz="0" w:space="0" w:color="auto"/>
        <w:bottom w:val="none" w:sz="0" w:space="0" w:color="auto"/>
        <w:right w:val="none" w:sz="0" w:space="0" w:color="auto"/>
      </w:divBdr>
    </w:div>
    <w:div w:id="1120807394">
      <w:bodyDiv w:val="1"/>
      <w:marLeft w:val="0"/>
      <w:marRight w:val="0"/>
      <w:marTop w:val="0"/>
      <w:marBottom w:val="0"/>
      <w:divBdr>
        <w:top w:val="none" w:sz="0" w:space="0" w:color="auto"/>
        <w:left w:val="none" w:sz="0" w:space="0" w:color="auto"/>
        <w:bottom w:val="none" w:sz="0" w:space="0" w:color="auto"/>
        <w:right w:val="none" w:sz="0" w:space="0" w:color="auto"/>
      </w:divBdr>
    </w:div>
    <w:div w:id="1122263528">
      <w:bodyDiv w:val="1"/>
      <w:marLeft w:val="0"/>
      <w:marRight w:val="0"/>
      <w:marTop w:val="0"/>
      <w:marBottom w:val="0"/>
      <w:divBdr>
        <w:top w:val="none" w:sz="0" w:space="0" w:color="auto"/>
        <w:left w:val="none" w:sz="0" w:space="0" w:color="auto"/>
        <w:bottom w:val="none" w:sz="0" w:space="0" w:color="auto"/>
        <w:right w:val="none" w:sz="0" w:space="0" w:color="auto"/>
      </w:divBdr>
    </w:div>
    <w:div w:id="1123114570">
      <w:bodyDiv w:val="1"/>
      <w:marLeft w:val="0"/>
      <w:marRight w:val="0"/>
      <w:marTop w:val="0"/>
      <w:marBottom w:val="0"/>
      <w:divBdr>
        <w:top w:val="none" w:sz="0" w:space="0" w:color="auto"/>
        <w:left w:val="none" w:sz="0" w:space="0" w:color="auto"/>
        <w:bottom w:val="none" w:sz="0" w:space="0" w:color="auto"/>
        <w:right w:val="none" w:sz="0" w:space="0" w:color="auto"/>
      </w:divBdr>
    </w:div>
    <w:div w:id="1123885549">
      <w:bodyDiv w:val="1"/>
      <w:marLeft w:val="0"/>
      <w:marRight w:val="0"/>
      <w:marTop w:val="0"/>
      <w:marBottom w:val="0"/>
      <w:divBdr>
        <w:top w:val="none" w:sz="0" w:space="0" w:color="auto"/>
        <w:left w:val="none" w:sz="0" w:space="0" w:color="auto"/>
        <w:bottom w:val="none" w:sz="0" w:space="0" w:color="auto"/>
        <w:right w:val="none" w:sz="0" w:space="0" w:color="auto"/>
      </w:divBdr>
    </w:div>
    <w:div w:id="1124426375">
      <w:bodyDiv w:val="1"/>
      <w:marLeft w:val="0"/>
      <w:marRight w:val="0"/>
      <w:marTop w:val="0"/>
      <w:marBottom w:val="0"/>
      <w:divBdr>
        <w:top w:val="none" w:sz="0" w:space="0" w:color="auto"/>
        <w:left w:val="none" w:sz="0" w:space="0" w:color="auto"/>
        <w:bottom w:val="none" w:sz="0" w:space="0" w:color="auto"/>
        <w:right w:val="none" w:sz="0" w:space="0" w:color="auto"/>
      </w:divBdr>
    </w:div>
    <w:div w:id="1125854879">
      <w:bodyDiv w:val="1"/>
      <w:marLeft w:val="0"/>
      <w:marRight w:val="0"/>
      <w:marTop w:val="0"/>
      <w:marBottom w:val="0"/>
      <w:divBdr>
        <w:top w:val="none" w:sz="0" w:space="0" w:color="auto"/>
        <w:left w:val="none" w:sz="0" w:space="0" w:color="auto"/>
        <w:bottom w:val="none" w:sz="0" w:space="0" w:color="auto"/>
        <w:right w:val="none" w:sz="0" w:space="0" w:color="auto"/>
      </w:divBdr>
    </w:div>
    <w:div w:id="1127971014">
      <w:bodyDiv w:val="1"/>
      <w:marLeft w:val="0"/>
      <w:marRight w:val="0"/>
      <w:marTop w:val="0"/>
      <w:marBottom w:val="0"/>
      <w:divBdr>
        <w:top w:val="none" w:sz="0" w:space="0" w:color="auto"/>
        <w:left w:val="none" w:sz="0" w:space="0" w:color="auto"/>
        <w:bottom w:val="none" w:sz="0" w:space="0" w:color="auto"/>
        <w:right w:val="none" w:sz="0" w:space="0" w:color="auto"/>
      </w:divBdr>
    </w:div>
    <w:div w:id="1128469239">
      <w:bodyDiv w:val="1"/>
      <w:marLeft w:val="0"/>
      <w:marRight w:val="0"/>
      <w:marTop w:val="0"/>
      <w:marBottom w:val="0"/>
      <w:divBdr>
        <w:top w:val="none" w:sz="0" w:space="0" w:color="auto"/>
        <w:left w:val="none" w:sz="0" w:space="0" w:color="auto"/>
        <w:bottom w:val="none" w:sz="0" w:space="0" w:color="auto"/>
        <w:right w:val="none" w:sz="0" w:space="0" w:color="auto"/>
      </w:divBdr>
    </w:div>
    <w:div w:id="1129085979">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0439576">
      <w:bodyDiv w:val="1"/>
      <w:marLeft w:val="0"/>
      <w:marRight w:val="0"/>
      <w:marTop w:val="0"/>
      <w:marBottom w:val="0"/>
      <w:divBdr>
        <w:top w:val="none" w:sz="0" w:space="0" w:color="auto"/>
        <w:left w:val="none" w:sz="0" w:space="0" w:color="auto"/>
        <w:bottom w:val="none" w:sz="0" w:space="0" w:color="auto"/>
        <w:right w:val="none" w:sz="0" w:space="0" w:color="auto"/>
      </w:divBdr>
    </w:div>
    <w:div w:id="1131172668">
      <w:bodyDiv w:val="1"/>
      <w:marLeft w:val="0"/>
      <w:marRight w:val="0"/>
      <w:marTop w:val="0"/>
      <w:marBottom w:val="0"/>
      <w:divBdr>
        <w:top w:val="none" w:sz="0" w:space="0" w:color="auto"/>
        <w:left w:val="none" w:sz="0" w:space="0" w:color="auto"/>
        <w:bottom w:val="none" w:sz="0" w:space="0" w:color="auto"/>
        <w:right w:val="none" w:sz="0" w:space="0" w:color="auto"/>
      </w:divBdr>
    </w:div>
    <w:div w:id="1132021376">
      <w:bodyDiv w:val="1"/>
      <w:marLeft w:val="0"/>
      <w:marRight w:val="0"/>
      <w:marTop w:val="0"/>
      <w:marBottom w:val="0"/>
      <w:divBdr>
        <w:top w:val="none" w:sz="0" w:space="0" w:color="auto"/>
        <w:left w:val="none" w:sz="0" w:space="0" w:color="auto"/>
        <w:bottom w:val="none" w:sz="0" w:space="0" w:color="auto"/>
        <w:right w:val="none" w:sz="0" w:space="0" w:color="auto"/>
      </w:divBdr>
    </w:div>
    <w:div w:id="1133525984">
      <w:bodyDiv w:val="1"/>
      <w:marLeft w:val="0"/>
      <w:marRight w:val="0"/>
      <w:marTop w:val="0"/>
      <w:marBottom w:val="0"/>
      <w:divBdr>
        <w:top w:val="none" w:sz="0" w:space="0" w:color="auto"/>
        <w:left w:val="none" w:sz="0" w:space="0" w:color="auto"/>
        <w:bottom w:val="none" w:sz="0" w:space="0" w:color="auto"/>
        <w:right w:val="none" w:sz="0" w:space="0" w:color="auto"/>
      </w:divBdr>
    </w:div>
    <w:div w:id="1135829153">
      <w:bodyDiv w:val="1"/>
      <w:marLeft w:val="0"/>
      <w:marRight w:val="0"/>
      <w:marTop w:val="0"/>
      <w:marBottom w:val="0"/>
      <w:divBdr>
        <w:top w:val="none" w:sz="0" w:space="0" w:color="auto"/>
        <w:left w:val="none" w:sz="0" w:space="0" w:color="auto"/>
        <w:bottom w:val="none" w:sz="0" w:space="0" w:color="auto"/>
        <w:right w:val="none" w:sz="0" w:space="0" w:color="auto"/>
      </w:divBdr>
    </w:div>
    <w:div w:id="1136948990">
      <w:bodyDiv w:val="1"/>
      <w:marLeft w:val="0"/>
      <w:marRight w:val="0"/>
      <w:marTop w:val="0"/>
      <w:marBottom w:val="0"/>
      <w:divBdr>
        <w:top w:val="none" w:sz="0" w:space="0" w:color="auto"/>
        <w:left w:val="none" w:sz="0" w:space="0" w:color="auto"/>
        <w:bottom w:val="none" w:sz="0" w:space="0" w:color="auto"/>
        <w:right w:val="none" w:sz="0" w:space="0" w:color="auto"/>
      </w:divBdr>
    </w:div>
    <w:div w:id="1138641867">
      <w:bodyDiv w:val="1"/>
      <w:marLeft w:val="0"/>
      <w:marRight w:val="0"/>
      <w:marTop w:val="0"/>
      <w:marBottom w:val="0"/>
      <w:divBdr>
        <w:top w:val="none" w:sz="0" w:space="0" w:color="auto"/>
        <w:left w:val="none" w:sz="0" w:space="0" w:color="auto"/>
        <w:bottom w:val="none" w:sz="0" w:space="0" w:color="auto"/>
        <w:right w:val="none" w:sz="0" w:space="0" w:color="auto"/>
      </w:divBdr>
    </w:div>
    <w:div w:id="1138761357">
      <w:bodyDiv w:val="1"/>
      <w:marLeft w:val="0"/>
      <w:marRight w:val="0"/>
      <w:marTop w:val="0"/>
      <w:marBottom w:val="0"/>
      <w:divBdr>
        <w:top w:val="none" w:sz="0" w:space="0" w:color="auto"/>
        <w:left w:val="none" w:sz="0" w:space="0" w:color="auto"/>
        <w:bottom w:val="none" w:sz="0" w:space="0" w:color="auto"/>
        <w:right w:val="none" w:sz="0" w:space="0" w:color="auto"/>
      </w:divBdr>
    </w:div>
    <w:div w:id="1139298465">
      <w:bodyDiv w:val="1"/>
      <w:marLeft w:val="0"/>
      <w:marRight w:val="0"/>
      <w:marTop w:val="0"/>
      <w:marBottom w:val="0"/>
      <w:divBdr>
        <w:top w:val="none" w:sz="0" w:space="0" w:color="auto"/>
        <w:left w:val="none" w:sz="0" w:space="0" w:color="auto"/>
        <w:bottom w:val="none" w:sz="0" w:space="0" w:color="auto"/>
        <w:right w:val="none" w:sz="0" w:space="0" w:color="auto"/>
      </w:divBdr>
    </w:div>
    <w:div w:id="1139881810">
      <w:bodyDiv w:val="1"/>
      <w:marLeft w:val="0"/>
      <w:marRight w:val="0"/>
      <w:marTop w:val="0"/>
      <w:marBottom w:val="0"/>
      <w:divBdr>
        <w:top w:val="none" w:sz="0" w:space="0" w:color="auto"/>
        <w:left w:val="none" w:sz="0" w:space="0" w:color="auto"/>
        <w:bottom w:val="none" w:sz="0" w:space="0" w:color="auto"/>
        <w:right w:val="none" w:sz="0" w:space="0" w:color="auto"/>
      </w:divBdr>
    </w:div>
    <w:div w:id="1140004605">
      <w:bodyDiv w:val="1"/>
      <w:marLeft w:val="0"/>
      <w:marRight w:val="0"/>
      <w:marTop w:val="0"/>
      <w:marBottom w:val="0"/>
      <w:divBdr>
        <w:top w:val="none" w:sz="0" w:space="0" w:color="auto"/>
        <w:left w:val="none" w:sz="0" w:space="0" w:color="auto"/>
        <w:bottom w:val="none" w:sz="0" w:space="0" w:color="auto"/>
        <w:right w:val="none" w:sz="0" w:space="0" w:color="auto"/>
      </w:divBdr>
    </w:div>
    <w:div w:id="1143159422">
      <w:bodyDiv w:val="1"/>
      <w:marLeft w:val="0"/>
      <w:marRight w:val="0"/>
      <w:marTop w:val="0"/>
      <w:marBottom w:val="0"/>
      <w:divBdr>
        <w:top w:val="none" w:sz="0" w:space="0" w:color="auto"/>
        <w:left w:val="none" w:sz="0" w:space="0" w:color="auto"/>
        <w:bottom w:val="none" w:sz="0" w:space="0" w:color="auto"/>
        <w:right w:val="none" w:sz="0" w:space="0" w:color="auto"/>
      </w:divBdr>
    </w:div>
    <w:div w:id="1143427433">
      <w:bodyDiv w:val="1"/>
      <w:marLeft w:val="0"/>
      <w:marRight w:val="0"/>
      <w:marTop w:val="0"/>
      <w:marBottom w:val="0"/>
      <w:divBdr>
        <w:top w:val="none" w:sz="0" w:space="0" w:color="auto"/>
        <w:left w:val="none" w:sz="0" w:space="0" w:color="auto"/>
        <w:bottom w:val="none" w:sz="0" w:space="0" w:color="auto"/>
        <w:right w:val="none" w:sz="0" w:space="0" w:color="auto"/>
      </w:divBdr>
    </w:div>
    <w:div w:id="1143474216">
      <w:bodyDiv w:val="1"/>
      <w:marLeft w:val="0"/>
      <w:marRight w:val="0"/>
      <w:marTop w:val="0"/>
      <w:marBottom w:val="0"/>
      <w:divBdr>
        <w:top w:val="none" w:sz="0" w:space="0" w:color="auto"/>
        <w:left w:val="none" w:sz="0" w:space="0" w:color="auto"/>
        <w:bottom w:val="none" w:sz="0" w:space="0" w:color="auto"/>
        <w:right w:val="none" w:sz="0" w:space="0" w:color="auto"/>
      </w:divBdr>
    </w:div>
    <w:div w:id="1143623144">
      <w:bodyDiv w:val="1"/>
      <w:marLeft w:val="0"/>
      <w:marRight w:val="0"/>
      <w:marTop w:val="0"/>
      <w:marBottom w:val="0"/>
      <w:divBdr>
        <w:top w:val="none" w:sz="0" w:space="0" w:color="auto"/>
        <w:left w:val="none" w:sz="0" w:space="0" w:color="auto"/>
        <w:bottom w:val="none" w:sz="0" w:space="0" w:color="auto"/>
        <w:right w:val="none" w:sz="0" w:space="0" w:color="auto"/>
      </w:divBdr>
    </w:div>
    <w:div w:id="1143961032">
      <w:bodyDiv w:val="1"/>
      <w:marLeft w:val="0"/>
      <w:marRight w:val="0"/>
      <w:marTop w:val="0"/>
      <w:marBottom w:val="0"/>
      <w:divBdr>
        <w:top w:val="none" w:sz="0" w:space="0" w:color="auto"/>
        <w:left w:val="none" w:sz="0" w:space="0" w:color="auto"/>
        <w:bottom w:val="none" w:sz="0" w:space="0" w:color="auto"/>
        <w:right w:val="none" w:sz="0" w:space="0" w:color="auto"/>
      </w:divBdr>
    </w:div>
    <w:div w:id="1144657959">
      <w:bodyDiv w:val="1"/>
      <w:marLeft w:val="0"/>
      <w:marRight w:val="0"/>
      <w:marTop w:val="0"/>
      <w:marBottom w:val="0"/>
      <w:divBdr>
        <w:top w:val="none" w:sz="0" w:space="0" w:color="auto"/>
        <w:left w:val="none" w:sz="0" w:space="0" w:color="auto"/>
        <w:bottom w:val="none" w:sz="0" w:space="0" w:color="auto"/>
        <w:right w:val="none" w:sz="0" w:space="0" w:color="auto"/>
      </w:divBdr>
    </w:div>
    <w:div w:id="1145586007">
      <w:bodyDiv w:val="1"/>
      <w:marLeft w:val="0"/>
      <w:marRight w:val="0"/>
      <w:marTop w:val="0"/>
      <w:marBottom w:val="0"/>
      <w:divBdr>
        <w:top w:val="none" w:sz="0" w:space="0" w:color="auto"/>
        <w:left w:val="none" w:sz="0" w:space="0" w:color="auto"/>
        <w:bottom w:val="none" w:sz="0" w:space="0" w:color="auto"/>
        <w:right w:val="none" w:sz="0" w:space="0" w:color="auto"/>
      </w:divBdr>
    </w:div>
    <w:div w:id="1145665247">
      <w:bodyDiv w:val="1"/>
      <w:marLeft w:val="0"/>
      <w:marRight w:val="0"/>
      <w:marTop w:val="0"/>
      <w:marBottom w:val="0"/>
      <w:divBdr>
        <w:top w:val="none" w:sz="0" w:space="0" w:color="auto"/>
        <w:left w:val="none" w:sz="0" w:space="0" w:color="auto"/>
        <w:bottom w:val="none" w:sz="0" w:space="0" w:color="auto"/>
        <w:right w:val="none" w:sz="0" w:space="0" w:color="auto"/>
      </w:divBdr>
    </w:div>
    <w:div w:id="1146825901">
      <w:bodyDiv w:val="1"/>
      <w:marLeft w:val="0"/>
      <w:marRight w:val="0"/>
      <w:marTop w:val="0"/>
      <w:marBottom w:val="0"/>
      <w:divBdr>
        <w:top w:val="none" w:sz="0" w:space="0" w:color="auto"/>
        <w:left w:val="none" w:sz="0" w:space="0" w:color="auto"/>
        <w:bottom w:val="none" w:sz="0" w:space="0" w:color="auto"/>
        <w:right w:val="none" w:sz="0" w:space="0" w:color="auto"/>
      </w:divBdr>
    </w:div>
    <w:div w:id="1147747544">
      <w:bodyDiv w:val="1"/>
      <w:marLeft w:val="0"/>
      <w:marRight w:val="0"/>
      <w:marTop w:val="0"/>
      <w:marBottom w:val="0"/>
      <w:divBdr>
        <w:top w:val="none" w:sz="0" w:space="0" w:color="auto"/>
        <w:left w:val="none" w:sz="0" w:space="0" w:color="auto"/>
        <w:bottom w:val="none" w:sz="0" w:space="0" w:color="auto"/>
        <w:right w:val="none" w:sz="0" w:space="0" w:color="auto"/>
      </w:divBdr>
    </w:div>
    <w:div w:id="1149126393">
      <w:bodyDiv w:val="1"/>
      <w:marLeft w:val="0"/>
      <w:marRight w:val="0"/>
      <w:marTop w:val="0"/>
      <w:marBottom w:val="0"/>
      <w:divBdr>
        <w:top w:val="none" w:sz="0" w:space="0" w:color="auto"/>
        <w:left w:val="none" w:sz="0" w:space="0" w:color="auto"/>
        <w:bottom w:val="none" w:sz="0" w:space="0" w:color="auto"/>
        <w:right w:val="none" w:sz="0" w:space="0" w:color="auto"/>
      </w:divBdr>
    </w:div>
    <w:div w:id="1149128282">
      <w:bodyDiv w:val="1"/>
      <w:marLeft w:val="0"/>
      <w:marRight w:val="0"/>
      <w:marTop w:val="0"/>
      <w:marBottom w:val="0"/>
      <w:divBdr>
        <w:top w:val="none" w:sz="0" w:space="0" w:color="auto"/>
        <w:left w:val="none" w:sz="0" w:space="0" w:color="auto"/>
        <w:bottom w:val="none" w:sz="0" w:space="0" w:color="auto"/>
        <w:right w:val="none" w:sz="0" w:space="0" w:color="auto"/>
      </w:divBdr>
    </w:div>
    <w:div w:id="1149394713">
      <w:bodyDiv w:val="1"/>
      <w:marLeft w:val="0"/>
      <w:marRight w:val="0"/>
      <w:marTop w:val="0"/>
      <w:marBottom w:val="0"/>
      <w:divBdr>
        <w:top w:val="none" w:sz="0" w:space="0" w:color="auto"/>
        <w:left w:val="none" w:sz="0" w:space="0" w:color="auto"/>
        <w:bottom w:val="none" w:sz="0" w:space="0" w:color="auto"/>
        <w:right w:val="none" w:sz="0" w:space="0" w:color="auto"/>
      </w:divBdr>
    </w:div>
    <w:div w:id="1149439814">
      <w:bodyDiv w:val="1"/>
      <w:marLeft w:val="0"/>
      <w:marRight w:val="0"/>
      <w:marTop w:val="0"/>
      <w:marBottom w:val="0"/>
      <w:divBdr>
        <w:top w:val="none" w:sz="0" w:space="0" w:color="auto"/>
        <w:left w:val="none" w:sz="0" w:space="0" w:color="auto"/>
        <w:bottom w:val="none" w:sz="0" w:space="0" w:color="auto"/>
        <w:right w:val="none" w:sz="0" w:space="0" w:color="auto"/>
      </w:divBdr>
    </w:div>
    <w:div w:id="1149707034">
      <w:bodyDiv w:val="1"/>
      <w:marLeft w:val="0"/>
      <w:marRight w:val="0"/>
      <w:marTop w:val="0"/>
      <w:marBottom w:val="0"/>
      <w:divBdr>
        <w:top w:val="none" w:sz="0" w:space="0" w:color="auto"/>
        <w:left w:val="none" w:sz="0" w:space="0" w:color="auto"/>
        <w:bottom w:val="none" w:sz="0" w:space="0" w:color="auto"/>
        <w:right w:val="none" w:sz="0" w:space="0" w:color="auto"/>
      </w:divBdr>
    </w:div>
    <w:div w:id="1149785145">
      <w:bodyDiv w:val="1"/>
      <w:marLeft w:val="0"/>
      <w:marRight w:val="0"/>
      <w:marTop w:val="0"/>
      <w:marBottom w:val="0"/>
      <w:divBdr>
        <w:top w:val="none" w:sz="0" w:space="0" w:color="auto"/>
        <w:left w:val="none" w:sz="0" w:space="0" w:color="auto"/>
        <w:bottom w:val="none" w:sz="0" w:space="0" w:color="auto"/>
        <w:right w:val="none" w:sz="0" w:space="0" w:color="auto"/>
      </w:divBdr>
    </w:div>
    <w:div w:id="1149976269">
      <w:bodyDiv w:val="1"/>
      <w:marLeft w:val="0"/>
      <w:marRight w:val="0"/>
      <w:marTop w:val="0"/>
      <w:marBottom w:val="0"/>
      <w:divBdr>
        <w:top w:val="none" w:sz="0" w:space="0" w:color="auto"/>
        <w:left w:val="none" w:sz="0" w:space="0" w:color="auto"/>
        <w:bottom w:val="none" w:sz="0" w:space="0" w:color="auto"/>
        <w:right w:val="none" w:sz="0" w:space="0" w:color="auto"/>
      </w:divBdr>
    </w:div>
    <w:div w:id="1151093577">
      <w:bodyDiv w:val="1"/>
      <w:marLeft w:val="0"/>
      <w:marRight w:val="0"/>
      <w:marTop w:val="0"/>
      <w:marBottom w:val="0"/>
      <w:divBdr>
        <w:top w:val="none" w:sz="0" w:space="0" w:color="auto"/>
        <w:left w:val="none" w:sz="0" w:space="0" w:color="auto"/>
        <w:bottom w:val="none" w:sz="0" w:space="0" w:color="auto"/>
        <w:right w:val="none" w:sz="0" w:space="0" w:color="auto"/>
      </w:divBdr>
    </w:div>
    <w:div w:id="1151141302">
      <w:bodyDiv w:val="1"/>
      <w:marLeft w:val="0"/>
      <w:marRight w:val="0"/>
      <w:marTop w:val="0"/>
      <w:marBottom w:val="0"/>
      <w:divBdr>
        <w:top w:val="none" w:sz="0" w:space="0" w:color="auto"/>
        <w:left w:val="none" w:sz="0" w:space="0" w:color="auto"/>
        <w:bottom w:val="none" w:sz="0" w:space="0" w:color="auto"/>
        <w:right w:val="none" w:sz="0" w:space="0" w:color="auto"/>
      </w:divBdr>
    </w:div>
    <w:div w:id="1151598846">
      <w:bodyDiv w:val="1"/>
      <w:marLeft w:val="0"/>
      <w:marRight w:val="0"/>
      <w:marTop w:val="0"/>
      <w:marBottom w:val="0"/>
      <w:divBdr>
        <w:top w:val="none" w:sz="0" w:space="0" w:color="auto"/>
        <w:left w:val="none" w:sz="0" w:space="0" w:color="auto"/>
        <w:bottom w:val="none" w:sz="0" w:space="0" w:color="auto"/>
        <w:right w:val="none" w:sz="0" w:space="0" w:color="auto"/>
      </w:divBdr>
    </w:div>
    <w:div w:id="1152522656">
      <w:bodyDiv w:val="1"/>
      <w:marLeft w:val="0"/>
      <w:marRight w:val="0"/>
      <w:marTop w:val="0"/>
      <w:marBottom w:val="0"/>
      <w:divBdr>
        <w:top w:val="none" w:sz="0" w:space="0" w:color="auto"/>
        <w:left w:val="none" w:sz="0" w:space="0" w:color="auto"/>
        <w:bottom w:val="none" w:sz="0" w:space="0" w:color="auto"/>
        <w:right w:val="none" w:sz="0" w:space="0" w:color="auto"/>
      </w:divBdr>
    </w:div>
    <w:div w:id="1152984803">
      <w:bodyDiv w:val="1"/>
      <w:marLeft w:val="0"/>
      <w:marRight w:val="0"/>
      <w:marTop w:val="0"/>
      <w:marBottom w:val="0"/>
      <w:divBdr>
        <w:top w:val="none" w:sz="0" w:space="0" w:color="auto"/>
        <w:left w:val="none" w:sz="0" w:space="0" w:color="auto"/>
        <w:bottom w:val="none" w:sz="0" w:space="0" w:color="auto"/>
        <w:right w:val="none" w:sz="0" w:space="0" w:color="auto"/>
      </w:divBdr>
    </w:div>
    <w:div w:id="1156150168">
      <w:bodyDiv w:val="1"/>
      <w:marLeft w:val="0"/>
      <w:marRight w:val="0"/>
      <w:marTop w:val="0"/>
      <w:marBottom w:val="0"/>
      <w:divBdr>
        <w:top w:val="none" w:sz="0" w:space="0" w:color="auto"/>
        <w:left w:val="none" w:sz="0" w:space="0" w:color="auto"/>
        <w:bottom w:val="none" w:sz="0" w:space="0" w:color="auto"/>
        <w:right w:val="none" w:sz="0" w:space="0" w:color="auto"/>
      </w:divBdr>
    </w:div>
    <w:div w:id="1156530235">
      <w:bodyDiv w:val="1"/>
      <w:marLeft w:val="0"/>
      <w:marRight w:val="0"/>
      <w:marTop w:val="0"/>
      <w:marBottom w:val="0"/>
      <w:divBdr>
        <w:top w:val="none" w:sz="0" w:space="0" w:color="auto"/>
        <w:left w:val="none" w:sz="0" w:space="0" w:color="auto"/>
        <w:bottom w:val="none" w:sz="0" w:space="0" w:color="auto"/>
        <w:right w:val="none" w:sz="0" w:space="0" w:color="auto"/>
      </w:divBdr>
    </w:div>
    <w:div w:id="1156848303">
      <w:bodyDiv w:val="1"/>
      <w:marLeft w:val="0"/>
      <w:marRight w:val="0"/>
      <w:marTop w:val="0"/>
      <w:marBottom w:val="0"/>
      <w:divBdr>
        <w:top w:val="none" w:sz="0" w:space="0" w:color="auto"/>
        <w:left w:val="none" w:sz="0" w:space="0" w:color="auto"/>
        <w:bottom w:val="none" w:sz="0" w:space="0" w:color="auto"/>
        <w:right w:val="none" w:sz="0" w:space="0" w:color="auto"/>
      </w:divBdr>
    </w:div>
    <w:div w:id="1157721538">
      <w:bodyDiv w:val="1"/>
      <w:marLeft w:val="0"/>
      <w:marRight w:val="0"/>
      <w:marTop w:val="0"/>
      <w:marBottom w:val="0"/>
      <w:divBdr>
        <w:top w:val="none" w:sz="0" w:space="0" w:color="auto"/>
        <w:left w:val="none" w:sz="0" w:space="0" w:color="auto"/>
        <w:bottom w:val="none" w:sz="0" w:space="0" w:color="auto"/>
        <w:right w:val="none" w:sz="0" w:space="0" w:color="auto"/>
      </w:divBdr>
    </w:div>
    <w:div w:id="1157842976">
      <w:bodyDiv w:val="1"/>
      <w:marLeft w:val="0"/>
      <w:marRight w:val="0"/>
      <w:marTop w:val="0"/>
      <w:marBottom w:val="0"/>
      <w:divBdr>
        <w:top w:val="none" w:sz="0" w:space="0" w:color="auto"/>
        <w:left w:val="none" w:sz="0" w:space="0" w:color="auto"/>
        <w:bottom w:val="none" w:sz="0" w:space="0" w:color="auto"/>
        <w:right w:val="none" w:sz="0" w:space="0" w:color="auto"/>
      </w:divBdr>
    </w:div>
    <w:div w:id="1158620438">
      <w:bodyDiv w:val="1"/>
      <w:marLeft w:val="0"/>
      <w:marRight w:val="0"/>
      <w:marTop w:val="0"/>
      <w:marBottom w:val="0"/>
      <w:divBdr>
        <w:top w:val="none" w:sz="0" w:space="0" w:color="auto"/>
        <w:left w:val="none" w:sz="0" w:space="0" w:color="auto"/>
        <w:bottom w:val="none" w:sz="0" w:space="0" w:color="auto"/>
        <w:right w:val="none" w:sz="0" w:space="0" w:color="auto"/>
      </w:divBdr>
    </w:div>
    <w:div w:id="1158769016">
      <w:bodyDiv w:val="1"/>
      <w:marLeft w:val="0"/>
      <w:marRight w:val="0"/>
      <w:marTop w:val="0"/>
      <w:marBottom w:val="0"/>
      <w:divBdr>
        <w:top w:val="none" w:sz="0" w:space="0" w:color="auto"/>
        <w:left w:val="none" w:sz="0" w:space="0" w:color="auto"/>
        <w:bottom w:val="none" w:sz="0" w:space="0" w:color="auto"/>
        <w:right w:val="none" w:sz="0" w:space="0" w:color="auto"/>
      </w:divBdr>
    </w:div>
    <w:div w:id="1159690065">
      <w:bodyDiv w:val="1"/>
      <w:marLeft w:val="0"/>
      <w:marRight w:val="0"/>
      <w:marTop w:val="0"/>
      <w:marBottom w:val="0"/>
      <w:divBdr>
        <w:top w:val="none" w:sz="0" w:space="0" w:color="auto"/>
        <w:left w:val="none" w:sz="0" w:space="0" w:color="auto"/>
        <w:bottom w:val="none" w:sz="0" w:space="0" w:color="auto"/>
        <w:right w:val="none" w:sz="0" w:space="0" w:color="auto"/>
      </w:divBdr>
    </w:div>
    <w:div w:id="1159928270">
      <w:bodyDiv w:val="1"/>
      <w:marLeft w:val="0"/>
      <w:marRight w:val="0"/>
      <w:marTop w:val="0"/>
      <w:marBottom w:val="0"/>
      <w:divBdr>
        <w:top w:val="none" w:sz="0" w:space="0" w:color="auto"/>
        <w:left w:val="none" w:sz="0" w:space="0" w:color="auto"/>
        <w:bottom w:val="none" w:sz="0" w:space="0" w:color="auto"/>
        <w:right w:val="none" w:sz="0" w:space="0" w:color="auto"/>
      </w:divBdr>
    </w:div>
    <w:div w:id="1161121449">
      <w:bodyDiv w:val="1"/>
      <w:marLeft w:val="0"/>
      <w:marRight w:val="0"/>
      <w:marTop w:val="0"/>
      <w:marBottom w:val="0"/>
      <w:divBdr>
        <w:top w:val="none" w:sz="0" w:space="0" w:color="auto"/>
        <w:left w:val="none" w:sz="0" w:space="0" w:color="auto"/>
        <w:bottom w:val="none" w:sz="0" w:space="0" w:color="auto"/>
        <w:right w:val="none" w:sz="0" w:space="0" w:color="auto"/>
      </w:divBdr>
    </w:div>
    <w:div w:id="1163667418">
      <w:bodyDiv w:val="1"/>
      <w:marLeft w:val="0"/>
      <w:marRight w:val="0"/>
      <w:marTop w:val="0"/>
      <w:marBottom w:val="0"/>
      <w:divBdr>
        <w:top w:val="none" w:sz="0" w:space="0" w:color="auto"/>
        <w:left w:val="none" w:sz="0" w:space="0" w:color="auto"/>
        <w:bottom w:val="none" w:sz="0" w:space="0" w:color="auto"/>
        <w:right w:val="none" w:sz="0" w:space="0" w:color="auto"/>
      </w:divBdr>
    </w:div>
    <w:div w:id="1164973595">
      <w:bodyDiv w:val="1"/>
      <w:marLeft w:val="0"/>
      <w:marRight w:val="0"/>
      <w:marTop w:val="0"/>
      <w:marBottom w:val="0"/>
      <w:divBdr>
        <w:top w:val="none" w:sz="0" w:space="0" w:color="auto"/>
        <w:left w:val="none" w:sz="0" w:space="0" w:color="auto"/>
        <w:bottom w:val="none" w:sz="0" w:space="0" w:color="auto"/>
        <w:right w:val="none" w:sz="0" w:space="0" w:color="auto"/>
      </w:divBdr>
    </w:div>
    <w:div w:id="1165896275">
      <w:bodyDiv w:val="1"/>
      <w:marLeft w:val="0"/>
      <w:marRight w:val="0"/>
      <w:marTop w:val="0"/>
      <w:marBottom w:val="0"/>
      <w:divBdr>
        <w:top w:val="none" w:sz="0" w:space="0" w:color="auto"/>
        <w:left w:val="none" w:sz="0" w:space="0" w:color="auto"/>
        <w:bottom w:val="none" w:sz="0" w:space="0" w:color="auto"/>
        <w:right w:val="none" w:sz="0" w:space="0" w:color="auto"/>
      </w:divBdr>
    </w:div>
    <w:div w:id="1166285689">
      <w:bodyDiv w:val="1"/>
      <w:marLeft w:val="0"/>
      <w:marRight w:val="0"/>
      <w:marTop w:val="0"/>
      <w:marBottom w:val="0"/>
      <w:divBdr>
        <w:top w:val="none" w:sz="0" w:space="0" w:color="auto"/>
        <w:left w:val="none" w:sz="0" w:space="0" w:color="auto"/>
        <w:bottom w:val="none" w:sz="0" w:space="0" w:color="auto"/>
        <w:right w:val="none" w:sz="0" w:space="0" w:color="auto"/>
      </w:divBdr>
    </w:div>
    <w:div w:id="1167329460">
      <w:bodyDiv w:val="1"/>
      <w:marLeft w:val="0"/>
      <w:marRight w:val="0"/>
      <w:marTop w:val="0"/>
      <w:marBottom w:val="0"/>
      <w:divBdr>
        <w:top w:val="none" w:sz="0" w:space="0" w:color="auto"/>
        <w:left w:val="none" w:sz="0" w:space="0" w:color="auto"/>
        <w:bottom w:val="none" w:sz="0" w:space="0" w:color="auto"/>
        <w:right w:val="none" w:sz="0" w:space="0" w:color="auto"/>
      </w:divBdr>
    </w:div>
    <w:div w:id="1168061434">
      <w:bodyDiv w:val="1"/>
      <w:marLeft w:val="0"/>
      <w:marRight w:val="0"/>
      <w:marTop w:val="0"/>
      <w:marBottom w:val="0"/>
      <w:divBdr>
        <w:top w:val="none" w:sz="0" w:space="0" w:color="auto"/>
        <w:left w:val="none" w:sz="0" w:space="0" w:color="auto"/>
        <w:bottom w:val="none" w:sz="0" w:space="0" w:color="auto"/>
        <w:right w:val="none" w:sz="0" w:space="0" w:color="auto"/>
      </w:divBdr>
    </w:div>
    <w:div w:id="1169515808">
      <w:bodyDiv w:val="1"/>
      <w:marLeft w:val="0"/>
      <w:marRight w:val="0"/>
      <w:marTop w:val="0"/>
      <w:marBottom w:val="0"/>
      <w:divBdr>
        <w:top w:val="none" w:sz="0" w:space="0" w:color="auto"/>
        <w:left w:val="none" w:sz="0" w:space="0" w:color="auto"/>
        <w:bottom w:val="none" w:sz="0" w:space="0" w:color="auto"/>
        <w:right w:val="none" w:sz="0" w:space="0" w:color="auto"/>
      </w:divBdr>
    </w:div>
    <w:div w:id="1170876819">
      <w:bodyDiv w:val="1"/>
      <w:marLeft w:val="0"/>
      <w:marRight w:val="0"/>
      <w:marTop w:val="0"/>
      <w:marBottom w:val="0"/>
      <w:divBdr>
        <w:top w:val="none" w:sz="0" w:space="0" w:color="auto"/>
        <w:left w:val="none" w:sz="0" w:space="0" w:color="auto"/>
        <w:bottom w:val="none" w:sz="0" w:space="0" w:color="auto"/>
        <w:right w:val="none" w:sz="0" w:space="0" w:color="auto"/>
      </w:divBdr>
    </w:div>
    <w:div w:id="1175149959">
      <w:bodyDiv w:val="1"/>
      <w:marLeft w:val="0"/>
      <w:marRight w:val="0"/>
      <w:marTop w:val="0"/>
      <w:marBottom w:val="0"/>
      <w:divBdr>
        <w:top w:val="none" w:sz="0" w:space="0" w:color="auto"/>
        <w:left w:val="none" w:sz="0" w:space="0" w:color="auto"/>
        <w:bottom w:val="none" w:sz="0" w:space="0" w:color="auto"/>
        <w:right w:val="none" w:sz="0" w:space="0" w:color="auto"/>
      </w:divBdr>
    </w:div>
    <w:div w:id="1176068430">
      <w:bodyDiv w:val="1"/>
      <w:marLeft w:val="0"/>
      <w:marRight w:val="0"/>
      <w:marTop w:val="0"/>
      <w:marBottom w:val="0"/>
      <w:divBdr>
        <w:top w:val="none" w:sz="0" w:space="0" w:color="auto"/>
        <w:left w:val="none" w:sz="0" w:space="0" w:color="auto"/>
        <w:bottom w:val="none" w:sz="0" w:space="0" w:color="auto"/>
        <w:right w:val="none" w:sz="0" w:space="0" w:color="auto"/>
      </w:divBdr>
    </w:div>
    <w:div w:id="1176381624">
      <w:bodyDiv w:val="1"/>
      <w:marLeft w:val="0"/>
      <w:marRight w:val="0"/>
      <w:marTop w:val="0"/>
      <w:marBottom w:val="0"/>
      <w:divBdr>
        <w:top w:val="none" w:sz="0" w:space="0" w:color="auto"/>
        <w:left w:val="none" w:sz="0" w:space="0" w:color="auto"/>
        <w:bottom w:val="none" w:sz="0" w:space="0" w:color="auto"/>
        <w:right w:val="none" w:sz="0" w:space="0" w:color="auto"/>
      </w:divBdr>
    </w:div>
    <w:div w:id="1180972832">
      <w:bodyDiv w:val="1"/>
      <w:marLeft w:val="0"/>
      <w:marRight w:val="0"/>
      <w:marTop w:val="0"/>
      <w:marBottom w:val="0"/>
      <w:divBdr>
        <w:top w:val="none" w:sz="0" w:space="0" w:color="auto"/>
        <w:left w:val="none" w:sz="0" w:space="0" w:color="auto"/>
        <w:bottom w:val="none" w:sz="0" w:space="0" w:color="auto"/>
        <w:right w:val="none" w:sz="0" w:space="0" w:color="auto"/>
      </w:divBdr>
    </w:div>
    <w:div w:id="1181168390">
      <w:bodyDiv w:val="1"/>
      <w:marLeft w:val="0"/>
      <w:marRight w:val="0"/>
      <w:marTop w:val="0"/>
      <w:marBottom w:val="0"/>
      <w:divBdr>
        <w:top w:val="none" w:sz="0" w:space="0" w:color="auto"/>
        <w:left w:val="none" w:sz="0" w:space="0" w:color="auto"/>
        <w:bottom w:val="none" w:sz="0" w:space="0" w:color="auto"/>
        <w:right w:val="none" w:sz="0" w:space="0" w:color="auto"/>
      </w:divBdr>
    </w:div>
    <w:div w:id="1181432007">
      <w:bodyDiv w:val="1"/>
      <w:marLeft w:val="0"/>
      <w:marRight w:val="0"/>
      <w:marTop w:val="0"/>
      <w:marBottom w:val="0"/>
      <w:divBdr>
        <w:top w:val="none" w:sz="0" w:space="0" w:color="auto"/>
        <w:left w:val="none" w:sz="0" w:space="0" w:color="auto"/>
        <w:bottom w:val="none" w:sz="0" w:space="0" w:color="auto"/>
        <w:right w:val="none" w:sz="0" w:space="0" w:color="auto"/>
      </w:divBdr>
    </w:div>
    <w:div w:id="1181578869">
      <w:bodyDiv w:val="1"/>
      <w:marLeft w:val="0"/>
      <w:marRight w:val="0"/>
      <w:marTop w:val="0"/>
      <w:marBottom w:val="0"/>
      <w:divBdr>
        <w:top w:val="none" w:sz="0" w:space="0" w:color="auto"/>
        <w:left w:val="none" w:sz="0" w:space="0" w:color="auto"/>
        <w:bottom w:val="none" w:sz="0" w:space="0" w:color="auto"/>
        <w:right w:val="none" w:sz="0" w:space="0" w:color="auto"/>
      </w:divBdr>
    </w:div>
    <w:div w:id="1182088869">
      <w:bodyDiv w:val="1"/>
      <w:marLeft w:val="0"/>
      <w:marRight w:val="0"/>
      <w:marTop w:val="0"/>
      <w:marBottom w:val="0"/>
      <w:divBdr>
        <w:top w:val="none" w:sz="0" w:space="0" w:color="auto"/>
        <w:left w:val="none" w:sz="0" w:space="0" w:color="auto"/>
        <w:bottom w:val="none" w:sz="0" w:space="0" w:color="auto"/>
        <w:right w:val="none" w:sz="0" w:space="0" w:color="auto"/>
      </w:divBdr>
    </w:div>
    <w:div w:id="1182935164">
      <w:bodyDiv w:val="1"/>
      <w:marLeft w:val="0"/>
      <w:marRight w:val="0"/>
      <w:marTop w:val="0"/>
      <w:marBottom w:val="0"/>
      <w:divBdr>
        <w:top w:val="none" w:sz="0" w:space="0" w:color="auto"/>
        <w:left w:val="none" w:sz="0" w:space="0" w:color="auto"/>
        <w:bottom w:val="none" w:sz="0" w:space="0" w:color="auto"/>
        <w:right w:val="none" w:sz="0" w:space="0" w:color="auto"/>
      </w:divBdr>
    </w:div>
    <w:div w:id="1183593463">
      <w:bodyDiv w:val="1"/>
      <w:marLeft w:val="0"/>
      <w:marRight w:val="0"/>
      <w:marTop w:val="0"/>
      <w:marBottom w:val="0"/>
      <w:divBdr>
        <w:top w:val="none" w:sz="0" w:space="0" w:color="auto"/>
        <w:left w:val="none" w:sz="0" w:space="0" w:color="auto"/>
        <w:bottom w:val="none" w:sz="0" w:space="0" w:color="auto"/>
        <w:right w:val="none" w:sz="0" w:space="0" w:color="auto"/>
      </w:divBdr>
    </w:div>
    <w:div w:id="1187984131">
      <w:bodyDiv w:val="1"/>
      <w:marLeft w:val="0"/>
      <w:marRight w:val="0"/>
      <w:marTop w:val="0"/>
      <w:marBottom w:val="0"/>
      <w:divBdr>
        <w:top w:val="none" w:sz="0" w:space="0" w:color="auto"/>
        <w:left w:val="none" w:sz="0" w:space="0" w:color="auto"/>
        <w:bottom w:val="none" w:sz="0" w:space="0" w:color="auto"/>
        <w:right w:val="none" w:sz="0" w:space="0" w:color="auto"/>
      </w:divBdr>
    </w:div>
    <w:div w:id="1188181010">
      <w:bodyDiv w:val="1"/>
      <w:marLeft w:val="0"/>
      <w:marRight w:val="0"/>
      <w:marTop w:val="0"/>
      <w:marBottom w:val="0"/>
      <w:divBdr>
        <w:top w:val="none" w:sz="0" w:space="0" w:color="auto"/>
        <w:left w:val="none" w:sz="0" w:space="0" w:color="auto"/>
        <w:bottom w:val="none" w:sz="0" w:space="0" w:color="auto"/>
        <w:right w:val="none" w:sz="0" w:space="0" w:color="auto"/>
      </w:divBdr>
    </w:div>
    <w:div w:id="1188637039">
      <w:bodyDiv w:val="1"/>
      <w:marLeft w:val="0"/>
      <w:marRight w:val="0"/>
      <w:marTop w:val="0"/>
      <w:marBottom w:val="0"/>
      <w:divBdr>
        <w:top w:val="none" w:sz="0" w:space="0" w:color="auto"/>
        <w:left w:val="none" w:sz="0" w:space="0" w:color="auto"/>
        <w:bottom w:val="none" w:sz="0" w:space="0" w:color="auto"/>
        <w:right w:val="none" w:sz="0" w:space="0" w:color="auto"/>
      </w:divBdr>
    </w:div>
    <w:div w:id="1189290947">
      <w:bodyDiv w:val="1"/>
      <w:marLeft w:val="0"/>
      <w:marRight w:val="0"/>
      <w:marTop w:val="0"/>
      <w:marBottom w:val="0"/>
      <w:divBdr>
        <w:top w:val="none" w:sz="0" w:space="0" w:color="auto"/>
        <w:left w:val="none" w:sz="0" w:space="0" w:color="auto"/>
        <w:bottom w:val="none" w:sz="0" w:space="0" w:color="auto"/>
        <w:right w:val="none" w:sz="0" w:space="0" w:color="auto"/>
      </w:divBdr>
    </w:div>
    <w:div w:id="1190145366">
      <w:bodyDiv w:val="1"/>
      <w:marLeft w:val="0"/>
      <w:marRight w:val="0"/>
      <w:marTop w:val="0"/>
      <w:marBottom w:val="0"/>
      <w:divBdr>
        <w:top w:val="none" w:sz="0" w:space="0" w:color="auto"/>
        <w:left w:val="none" w:sz="0" w:space="0" w:color="auto"/>
        <w:bottom w:val="none" w:sz="0" w:space="0" w:color="auto"/>
        <w:right w:val="none" w:sz="0" w:space="0" w:color="auto"/>
      </w:divBdr>
    </w:div>
    <w:div w:id="1190294892">
      <w:bodyDiv w:val="1"/>
      <w:marLeft w:val="0"/>
      <w:marRight w:val="0"/>
      <w:marTop w:val="0"/>
      <w:marBottom w:val="0"/>
      <w:divBdr>
        <w:top w:val="none" w:sz="0" w:space="0" w:color="auto"/>
        <w:left w:val="none" w:sz="0" w:space="0" w:color="auto"/>
        <w:bottom w:val="none" w:sz="0" w:space="0" w:color="auto"/>
        <w:right w:val="none" w:sz="0" w:space="0" w:color="auto"/>
      </w:divBdr>
    </w:div>
    <w:div w:id="1191071534">
      <w:bodyDiv w:val="1"/>
      <w:marLeft w:val="0"/>
      <w:marRight w:val="0"/>
      <w:marTop w:val="0"/>
      <w:marBottom w:val="0"/>
      <w:divBdr>
        <w:top w:val="none" w:sz="0" w:space="0" w:color="auto"/>
        <w:left w:val="none" w:sz="0" w:space="0" w:color="auto"/>
        <w:bottom w:val="none" w:sz="0" w:space="0" w:color="auto"/>
        <w:right w:val="none" w:sz="0" w:space="0" w:color="auto"/>
      </w:divBdr>
    </w:div>
    <w:div w:id="1191919113">
      <w:bodyDiv w:val="1"/>
      <w:marLeft w:val="0"/>
      <w:marRight w:val="0"/>
      <w:marTop w:val="0"/>
      <w:marBottom w:val="0"/>
      <w:divBdr>
        <w:top w:val="none" w:sz="0" w:space="0" w:color="auto"/>
        <w:left w:val="none" w:sz="0" w:space="0" w:color="auto"/>
        <w:bottom w:val="none" w:sz="0" w:space="0" w:color="auto"/>
        <w:right w:val="none" w:sz="0" w:space="0" w:color="auto"/>
      </w:divBdr>
    </w:div>
    <w:div w:id="1192180695">
      <w:bodyDiv w:val="1"/>
      <w:marLeft w:val="0"/>
      <w:marRight w:val="0"/>
      <w:marTop w:val="0"/>
      <w:marBottom w:val="0"/>
      <w:divBdr>
        <w:top w:val="none" w:sz="0" w:space="0" w:color="auto"/>
        <w:left w:val="none" w:sz="0" w:space="0" w:color="auto"/>
        <w:bottom w:val="none" w:sz="0" w:space="0" w:color="auto"/>
        <w:right w:val="none" w:sz="0" w:space="0" w:color="auto"/>
      </w:divBdr>
    </w:div>
    <w:div w:id="1194347083">
      <w:bodyDiv w:val="1"/>
      <w:marLeft w:val="0"/>
      <w:marRight w:val="0"/>
      <w:marTop w:val="0"/>
      <w:marBottom w:val="0"/>
      <w:divBdr>
        <w:top w:val="none" w:sz="0" w:space="0" w:color="auto"/>
        <w:left w:val="none" w:sz="0" w:space="0" w:color="auto"/>
        <w:bottom w:val="none" w:sz="0" w:space="0" w:color="auto"/>
        <w:right w:val="none" w:sz="0" w:space="0" w:color="auto"/>
      </w:divBdr>
    </w:div>
    <w:div w:id="1194348910">
      <w:bodyDiv w:val="1"/>
      <w:marLeft w:val="0"/>
      <w:marRight w:val="0"/>
      <w:marTop w:val="0"/>
      <w:marBottom w:val="0"/>
      <w:divBdr>
        <w:top w:val="none" w:sz="0" w:space="0" w:color="auto"/>
        <w:left w:val="none" w:sz="0" w:space="0" w:color="auto"/>
        <w:bottom w:val="none" w:sz="0" w:space="0" w:color="auto"/>
        <w:right w:val="none" w:sz="0" w:space="0" w:color="auto"/>
      </w:divBdr>
    </w:div>
    <w:div w:id="1194490828">
      <w:bodyDiv w:val="1"/>
      <w:marLeft w:val="0"/>
      <w:marRight w:val="0"/>
      <w:marTop w:val="0"/>
      <w:marBottom w:val="0"/>
      <w:divBdr>
        <w:top w:val="none" w:sz="0" w:space="0" w:color="auto"/>
        <w:left w:val="none" w:sz="0" w:space="0" w:color="auto"/>
        <w:bottom w:val="none" w:sz="0" w:space="0" w:color="auto"/>
        <w:right w:val="none" w:sz="0" w:space="0" w:color="auto"/>
      </w:divBdr>
    </w:div>
    <w:div w:id="1194804011">
      <w:bodyDiv w:val="1"/>
      <w:marLeft w:val="0"/>
      <w:marRight w:val="0"/>
      <w:marTop w:val="0"/>
      <w:marBottom w:val="0"/>
      <w:divBdr>
        <w:top w:val="none" w:sz="0" w:space="0" w:color="auto"/>
        <w:left w:val="none" w:sz="0" w:space="0" w:color="auto"/>
        <w:bottom w:val="none" w:sz="0" w:space="0" w:color="auto"/>
        <w:right w:val="none" w:sz="0" w:space="0" w:color="auto"/>
      </w:divBdr>
    </w:div>
    <w:div w:id="1195382943">
      <w:bodyDiv w:val="1"/>
      <w:marLeft w:val="0"/>
      <w:marRight w:val="0"/>
      <w:marTop w:val="0"/>
      <w:marBottom w:val="0"/>
      <w:divBdr>
        <w:top w:val="none" w:sz="0" w:space="0" w:color="auto"/>
        <w:left w:val="none" w:sz="0" w:space="0" w:color="auto"/>
        <w:bottom w:val="none" w:sz="0" w:space="0" w:color="auto"/>
        <w:right w:val="none" w:sz="0" w:space="0" w:color="auto"/>
      </w:divBdr>
    </w:div>
    <w:div w:id="1195850582">
      <w:bodyDiv w:val="1"/>
      <w:marLeft w:val="0"/>
      <w:marRight w:val="0"/>
      <w:marTop w:val="0"/>
      <w:marBottom w:val="0"/>
      <w:divBdr>
        <w:top w:val="none" w:sz="0" w:space="0" w:color="auto"/>
        <w:left w:val="none" w:sz="0" w:space="0" w:color="auto"/>
        <w:bottom w:val="none" w:sz="0" w:space="0" w:color="auto"/>
        <w:right w:val="none" w:sz="0" w:space="0" w:color="auto"/>
      </w:divBdr>
    </w:div>
    <w:div w:id="1197154021">
      <w:bodyDiv w:val="1"/>
      <w:marLeft w:val="0"/>
      <w:marRight w:val="0"/>
      <w:marTop w:val="0"/>
      <w:marBottom w:val="0"/>
      <w:divBdr>
        <w:top w:val="none" w:sz="0" w:space="0" w:color="auto"/>
        <w:left w:val="none" w:sz="0" w:space="0" w:color="auto"/>
        <w:bottom w:val="none" w:sz="0" w:space="0" w:color="auto"/>
        <w:right w:val="none" w:sz="0" w:space="0" w:color="auto"/>
      </w:divBdr>
    </w:div>
    <w:div w:id="1198473834">
      <w:bodyDiv w:val="1"/>
      <w:marLeft w:val="0"/>
      <w:marRight w:val="0"/>
      <w:marTop w:val="0"/>
      <w:marBottom w:val="0"/>
      <w:divBdr>
        <w:top w:val="none" w:sz="0" w:space="0" w:color="auto"/>
        <w:left w:val="none" w:sz="0" w:space="0" w:color="auto"/>
        <w:bottom w:val="none" w:sz="0" w:space="0" w:color="auto"/>
        <w:right w:val="none" w:sz="0" w:space="0" w:color="auto"/>
      </w:divBdr>
    </w:div>
    <w:div w:id="1199927058">
      <w:bodyDiv w:val="1"/>
      <w:marLeft w:val="0"/>
      <w:marRight w:val="0"/>
      <w:marTop w:val="0"/>
      <w:marBottom w:val="0"/>
      <w:divBdr>
        <w:top w:val="none" w:sz="0" w:space="0" w:color="auto"/>
        <w:left w:val="none" w:sz="0" w:space="0" w:color="auto"/>
        <w:bottom w:val="none" w:sz="0" w:space="0" w:color="auto"/>
        <w:right w:val="none" w:sz="0" w:space="0" w:color="auto"/>
      </w:divBdr>
    </w:div>
    <w:div w:id="1200506318">
      <w:bodyDiv w:val="1"/>
      <w:marLeft w:val="0"/>
      <w:marRight w:val="0"/>
      <w:marTop w:val="0"/>
      <w:marBottom w:val="0"/>
      <w:divBdr>
        <w:top w:val="none" w:sz="0" w:space="0" w:color="auto"/>
        <w:left w:val="none" w:sz="0" w:space="0" w:color="auto"/>
        <w:bottom w:val="none" w:sz="0" w:space="0" w:color="auto"/>
        <w:right w:val="none" w:sz="0" w:space="0" w:color="auto"/>
      </w:divBdr>
    </w:div>
    <w:div w:id="1201088910">
      <w:bodyDiv w:val="1"/>
      <w:marLeft w:val="0"/>
      <w:marRight w:val="0"/>
      <w:marTop w:val="0"/>
      <w:marBottom w:val="0"/>
      <w:divBdr>
        <w:top w:val="none" w:sz="0" w:space="0" w:color="auto"/>
        <w:left w:val="none" w:sz="0" w:space="0" w:color="auto"/>
        <w:bottom w:val="none" w:sz="0" w:space="0" w:color="auto"/>
        <w:right w:val="none" w:sz="0" w:space="0" w:color="auto"/>
      </w:divBdr>
    </w:div>
    <w:div w:id="1201282300">
      <w:bodyDiv w:val="1"/>
      <w:marLeft w:val="0"/>
      <w:marRight w:val="0"/>
      <w:marTop w:val="0"/>
      <w:marBottom w:val="0"/>
      <w:divBdr>
        <w:top w:val="none" w:sz="0" w:space="0" w:color="auto"/>
        <w:left w:val="none" w:sz="0" w:space="0" w:color="auto"/>
        <w:bottom w:val="none" w:sz="0" w:space="0" w:color="auto"/>
        <w:right w:val="none" w:sz="0" w:space="0" w:color="auto"/>
      </w:divBdr>
    </w:div>
    <w:div w:id="1202010300">
      <w:bodyDiv w:val="1"/>
      <w:marLeft w:val="0"/>
      <w:marRight w:val="0"/>
      <w:marTop w:val="0"/>
      <w:marBottom w:val="0"/>
      <w:divBdr>
        <w:top w:val="none" w:sz="0" w:space="0" w:color="auto"/>
        <w:left w:val="none" w:sz="0" w:space="0" w:color="auto"/>
        <w:bottom w:val="none" w:sz="0" w:space="0" w:color="auto"/>
        <w:right w:val="none" w:sz="0" w:space="0" w:color="auto"/>
      </w:divBdr>
    </w:div>
    <w:div w:id="1203442887">
      <w:bodyDiv w:val="1"/>
      <w:marLeft w:val="0"/>
      <w:marRight w:val="0"/>
      <w:marTop w:val="0"/>
      <w:marBottom w:val="0"/>
      <w:divBdr>
        <w:top w:val="none" w:sz="0" w:space="0" w:color="auto"/>
        <w:left w:val="none" w:sz="0" w:space="0" w:color="auto"/>
        <w:bottom w:val="none" w:sz="0" w:space="0" w:color="auto"/>
        <w:right w:val="none" w:sz="0" w:space="0" w:color="auto"/>
      </w:divBdr>
    </w:div>
    <w:div w:id="1205873693">
      <w:bodyDiv w:val="1"/>
      <w:marLeft w:val="0"/>
      <w:marRight w:val="0"/>
      <w:marTop w:val="0"/>
      <w:marBottom w:val="0"/>
      <w:divBdr>
        <w:top w:val="none" w:sz="0" w:space="0" w:color="auto"/>
        <w:left w:val="none" w:sz="0" w:space="0" w:color="auto"/>
        <w:bottom w:val="none" w:sz="0" w:space="0" w:color="auto"/>
        <w:right w:val="none" w:sz="0" w:space="0" w:color="auto"/>
      </w:divBdr>
    </w:div>
    <w:div w:id="1206065751">
      <w:bodyDiv w:val="1"/>
      <w:marLeft w:val="0"/>
      <w:marRight w:val="0"/>
      <w:marTop w:val="0"/>
      <w:marBottom w:val="0"/>
      <w:divBdr>
        <w:top w:val="none" w:sz="0" w:space="0" w:color="auto"/>
        <w:left w:val="none" w:sz="0" w:space="0" w:color="auto"/>
        <w:bottom w:val="none" w:sz="0" w:space="0" w:color="auto"/>
        <w:right w:val="none" w:sz="0" w:space="0" w:color="auto"/>
      </w:divBdr>
    </w:div>
    <w:div w:id="1206795945">
      <w:bodyDiv w:val="1"/>
      <w:marLeft w:val="0"/>
      <w:marRight w:val="0"/>
      <w:marTop w:val="0"/>
      <w:marBottom w:val="0"/>
      <w:divBdr>
        <w:top w:val="none" w:sz="0" w:space="0" w:color="auto"/>
        <w:left w:val="none" w:sz="0" w:space="0" w:color="auto"/>
        <w:bottom w:val="none" w:sz="0" w:space="0" w:color="auto"/>
        <w:right w:val="none" w:sz="0" w:space="0" w:color="auto"/>
      </w:divBdr>
    </w:div>
    <w:div w:id="1207723091">
      <w:bodyDiv w:val="1"/>
      <w:marLeft w:val="0"/>
      <w:marRight w:val="0"/>
      <w:marTop w:val="0"/>
      <w:marBottom w:val="0"/>
      <w:divBdr>
        <w:top w:val="none" w:sz="0" w:space="0" w:color="auto"/>
        <w:left w:val="none" w:sz="0" w:space="0" w:color="auto"/>
        <w:bottom w:val="none" w:sz="0" w:space="0" w:color="auto"/>
        <w:right w:val="none" w:sz="0" w:space="0" w:color="auto"/>
      </w:divBdr>
    </w:div>
    <w:div w:id="1208370843">
      <w:bodyDiv w:val="1"/>
      <w:marLeft w:val="0"/>
      <w:marRight w:val="0"/>
      <w:marTop w:val="0"/>
      <w:marBottom w:val="0"/>
      <w:divBdr>
        <w:top w:val="none" w:sz="0" w:space="0" w:color="auto"/>
        <w:left w:val="none" w:sz="0" w:space="0" w:color="auto"/>
        <w:bottom w:val="none" w:sz="0" w:space="0" w:color="auto"/>
        <w:right w:val="none" w:sz="0" w:space="0" w:color="auto"/>
      </w:divBdr>
    </w:div>
    <w:div w:id="1208881122">
      <w:bodyDiv w:val="1"/>
      <w:marLeft w:val="0"/>
      <w:marRight w:val="0"/>
      <w:marTop w:val="0"/>
      <w:marBottom w:val="0"/>
      <w:divBdr>
        <w:top w:val="none" w:sz="0" w:space="0" w:color="auto"/>
        <w:left w:val="none" w:sz="0" w:space="0" w:color="auto"/>
        <w:bottom w:val="none" w:sz="0" w:space="0" w:color="auto"/>
        <w:right w:val="none" w:sz="0" w:space="0" w:color="auto"/>
      </w:divBdr>
    </w:div>
    <w:div w:id="1210066201">
      <w:bodyDiv w:val="1"/>
      <w:marLeft w:val="0"/>
      <w:marRight w:val="0"/>
      <w:marTop w:val="0"/>
      <w:marBottom w:val="0"/>
      <w:divBdr>
        <w:top w:val="none" w:sz="0" w:space="0" w:color="auto"/>
        <w:left w:val="none" w:sz="0" w:space="0" w:color="auto"/>
        <w:bottom w:val="none" w:sz="0" w:space="0" w:color="auto"/>
        <w:right w:val="none" w:sz="0" w:space="0" w:color="auto"/>
      </w:divBdr>
    </w:div>
    <w:div w:id="1211769501">
      <w:bodyDiv w:val="1"/>
      <w:marLeft w:val="0"/>
      <w:marRight w:val="0"/>
      <w:marTop w:val="0"/>
      <w:marBottom w:val="0"/>
      <w:divBdr>
        <w:top w:val="none" w:sz="0" w:space="0" w:color="auto"/>
        <w:left w:val="none" w:sz="0" w:space="0" w:color="auto"/>
        <w:bottom w:val="none" w:sz="0" w:space="0" w:color="auto"/>
        <w:right w:val="none" w:sz="0" w:space="0" w:color="auto"/>
      </w:divBdr>
    </w:div>
    <w:div w:id="1212035767">
      <w:bodyDiv w:val="1"/>
      <w:marLeft w:val="0"/>
      <w:marRight w:val="0"/>
      <w:marTop w:val="0"/>
      <w:marBottom w:val="0"/>
      <w:divBdr>
        <w:top w:val="none" w:sz="0" w:space="0" w:color="auto"/>
        <w:left w:val="none" w:sz="0" w:space="0" w:color="auto"/>
        <w:bottom w:val="none" w:sz="0" w:space="0" w:color="auto"/>
        <w:right w:val="none" w:sz="0" w:space="0" w:color="auto"/>
      </w:divBdr>
    </w:div>
    <w:div w:id="1212617331">
      <w:bodyDiv w:val="1"/>
      <w:marLeft w:val="0"/>
      <w:marRight w:val="0"/>
      <w:marTop w:val="0"/>
      <w:marBottom w:val="0"/>
      <w:divBdr>
        <w:top w:val="none" w:sz="0" w:space="0" w:color="auto"/>
        <w:left w:val="none" w:sz="0" w:space="0" w:color="auto"/>
        <w:bottom w:val="none" w:sz="0" w:space="0" w:color="auto"/>
        <w:right w:val="none" w:sz="0" w:space="0" w:color="auto"/>
      </w:divBdr>
    </w:div>
    <w:div w:id="1213494505">
      <w:bodyDiv w:val="1"/>
      <w:marLeft w:val="0"/>
      <w:marRight w:val="0"/>
      <w:marTop w:val="0"/>
      <w:marBottom w:val="0"/>
      <w:divBdr>
        <w:top w:val="none" w:sz="0" w:space="0" w:color="auto"/>
        <w:left w:val="none" w:sz="0" w:space="0" w:color="auto"/>
        <w:bottom w:val="none" w:sz="0" w:space="0" w:color="auto"/>
        <w:right w:val="none" w:sz="0" w:space="0" w:color="auto"/>
      </w:divBdr>
    </w:div>
    <w:div w:id="1213929667">
      <w:bodyDiv w:val="1"/>
      <w:marLeft w:val="0"/>
      <w:marRight w:val="0"/>
      <w:marTop w:val="0"/>
      <w:marBottom w:val="0"/>
      <w:divBdr>
        <w:top w:val="none" w:sz="0" w:space="0" w:color="auto"/>
        <w:left w:val="none" w:sz="0" w:space="0" w:color="auto"/>
        <w:bottom w:val="none" w:sz="0" w:space="0" w:color="auto"/>
        <w:right w:val="none" w:sz="0" w:space="0" w:color="auto"/>
      </w:divBdr>
    </w:div>
    <w:div w:id="1214807895">
      <w:bodyDiv w:val="1"/>
      <w:marLeft w:val="0"/>
      <w:marRight w:val="0"/>
      <w:marTop w:val="0"/>
      <w:marBottom w:val="0"/>
      <w:divBdr>
        <w:top w:val="none" w:sz="0" w:space="0" w:color="auto"/>
        <w:left w:val="none" w:sz="0" w:space="0" w:color="auto"/>
        <w:bottom w:val="none" w:sz="0" w:space="0" w:color="auto"/>
        <w:right w:val="none" w:sz="0" w:space="0" w:color="auto"/>
      </w:divBdr>
    </w:div>
    <w:div w:id="1215657260">
      <w:bodyDiv w:val="1"/>
      <w:marLeft w:val="0"/>
      <w:marRight w:val="0"/>
      <w:marTop w:val="0"/>
      <w:marBottom w:val="0"/>
      <w:divBdr>
        <w:top w:val="none" w:sz="0" w:space="0" w:color="auto"/>
        <w:left w:val="none" w:sz="0" w:space="0" w:color="auto"/>
        <w:bottom w:val="none" w:sz="0" w:space="0" w:color="auto"/>
        <w:right w:val="none" w:sz="0" w:space="0" w:color="auto"/>
      </w:divBdr>
    </w:div>
    <w:div w:id="1218125004">
      <w:bodyDiv w:val="1"/>
      <w:marLeft w:val="0"/>
      <w:marRight w:val="0"/>
      <w:marTop w:val="0"/>
      <w:marBottom w:val="0"/>
      <w:divBdr>
        <w:top w:val="none" w:sz="0" w:space="0" w:color="auto"/>
        <w:left w:val="none" w:sz="0" w:space="0" w:color="auto"/>
        <w:bottom w:val="none" w:sz="0" w:space="0" w:color="auto"/>
        <w:right w:val="none" w:sz="0" w:space="0" w:color="auto"/>
      </w:divBdr>
    </w:div>
    <w:div w:id="1218979008">
      <w:bodyDiv w:val="1"/>
      <w:marLeft w:val="0"/>
      <w:marRight w:val="0"/>
      <w:marTop w:val="0"/>
      <w:marBottom w:val="0"/>
      <w:divBdr>
        <w:top w:val="none" w:sz="0" w:space="0" w:color="auto"/>
        <w:left w:val="none" w:sz="0" w:space="0" w:color="auto"/>
        <w:bottom w:val="none" w:sz="0" w:space="0" w:color="auto"/>
        <w:right w:val="none" w:sz="0" w:space="0" w:color="auto"/>
      </w:divBdr>
    </w:div>
    <w:div w:id="1220282964">
      <w:bodyDiv w:val="1"/>
      <w:marLeft w:val="0"/>
      <w:marRight w:val="0"/>
      <w:marTop w:val="0"/>
      <w:marBottom w:val="0"/>
      <w:divBdr>
        <w:top w:val="none" w:sz="0" w:space="0" w:color="auto"/>
        <w:left w:val="none" w:sz="0" w:space="0" w:color="auto"/>
        <w:bottom w:val="none" w:sz="0" w:space="0" w:color="auto"/>
        <w:right w:val="none" w:sz="0" w:space="0" w:color="auto"/>
      </w:divBdr>
    </w:div>
    <w:div w:id="1221669024">
      <w:bodyDiv w:val="1"/>
      <w:marLeft w:val="0"/>
      <w:marRight w:val="0"/>
      <w:marTop w:val="0"/>
      <w:marBottom w:val="0"/>
      <w:divBdr>
        <w:top w:val="none" w:sz="0" w:space="0" w:color="auto"/>
        <w:left w:val="none" w:sz="0" w:space="0" w:color="auto"/>
        <w:bottom w:val="none" w:sz="0" w:space="0" w:color="auto"/>
        <w:right w:val="none" w:sz="0" w:space="0" w:color="auto"/>
      </w:divBdr>
    </w:div>
    <w:div w:id="1221673522">
      <w:bodyDiv w:val="1"/>
      <w:marLeft w:val="0"/>
      <w:marRight w:val="0"/>
      <w:marTop w:val="0"/>
      <w:marBottom w:val="0"/>
      <w:divBdr>
        <w:top w:val="none" w:sz="0" w:space="0" w:color="auto"/>
        <w:left w:val="none" w:sz="0" w:space="0" w:color="auto"/>
        <w:bottom w:val="none" w:sz="0" w:space="0" w:color="auto"/>
        <w:right w:val="none" w:sz="0" w:space="0" w:color="auto"/>
      </w:divBdr>
    </w:div>
    <w:div w:id="1222209346">
      <w:bodyDiv w:val="1"/>
      <w:marLeft w:val="0"/>
      <w:marRight w:val="0"/>
      <w:marTop w:val="0"/>
      <w:marBottom w:val="0"/>
      <w:divBdr>
        <w:top w:val="none" w:sz="0" w:space="0" w:color="auto"/>
        <w:left w:val="none" w:sz="0" w:space="0" w:color="auto"/>
        <w:bottom w:val="none" w:sz="0" w:space="0" w:color="auto"/>
        <w:right w:val="none" w:sz="0" w:space="0" w:color="auto"/>
      </w:divBdr>
    </w:div>
    <w:div w:id="1225533002">
      <w:bodyDiv w:val="1"/>
      <w:marLeft w:val="0"/>
      <w:marRight w:val="0"/>
      <w:marTop w:val="0"/>
      <w:marBottom w:val="0"/>
      <w:divBdr>
        <w:top w:val="none" w:sz="0" w:space="0" w:color="auto"/>
        <w:left w:val="none" w:sz="0" w:space="0" w:color="auto"/>
        <w:bottom w:val="none" w:sz="0" w:space="0" w:color="auto"/>
        <w:right w:val="none" w:sz="0" w:space="0" w:color="auto"/>
      </w:divBdr>
    </w:div>
    <w:div w:id="1225601718">
      <w:bodyDiv w:val="1"/>
      <w:marLeft w:val="0"/>
      <w:marRight w:val="0"/>
      <w:marTop w:val="0"/>
      <w:marBottom w:val="0"/>
      <w:divBdr>
        <w:top w:val="none" w:sz="0" w:space="0" w:color="auto"/>
        <w:left w:val="none" w:sz="0" w:space="0" w:color="auto"/>
        <w:bottom w:val="none" w:sz="0" w:space="0" w:color="auto"/>
        <w:right w:val="none" w:sz="0" w:space="0" w:color="auto"/>
      </w:divBdr>
    </w:div>
    <w:div w:id="1226138182">
      <w:bodyDiv w:val="1"/>
      <w:marLeft w:val="0"/>
      <w:marRight w:val="0"/>
      <w:marTop w:val="0"/>
      <w:marBottom w:val="0"/>
      <w:divBdr>
        <w:top w:val="none" w:sz="0" w:space="0" w:color="auto"/>
        <w:left w:val="none" w:sz="0" w:space="0" w:color="auto"/>
        <w:bottom w:val="none" w:sz="0" w:space="0" w:color="auto"/>
        <w:right w:val="none" w:sz="0" w:space="0" w:color="auto"/>
      </w:divBdr>
    </w:div>
    <w:div w:id="1227645164">
      <w:bodyDiv w:val="1"/>
      <w:marLeft w:val="0"/>
      <w:marRight w:val="0"/>
      <w:marTop w:val="0"/>
      <w:marBottom w:val="0"/>
      <w:divBdr>
        <w:top w:val="none" w:sz="0" w:space="0" w:color="auto"/>
        <w:left w:val="none" w:sz="0" w:space="0" w:color="auto"/>
        <w:bottom w:val="none" w:sz="0" w:space="0" w:color="auto"/>
        <w:right w:val="none" w:sz="0" w:space="0" w:color="auto"/>
      </w:divBdr>
    </w:div>
    <w:div w:id="1228032792">
      <w:bodyDiv w:val="1"/>
      <w:marLeft w:val="0"/>
      <w:marRight w:val="0"/>
      <w:marTop w:val="0"/>
      <w:marBottom w:val="0"/>
      <w:divBdr>
        <w:top w:val="none" w:sz="0" w:space="0" w:color="auto"/>
        <w:left w:val="none" w:sz="0" w:space="0" w:color="auto"/>
        <w:bottom w:val="none" w:sz="0" w:space="0" w:color="auto"/>
        <w:right w:val="none" w:sz="0" w:space="0" w:color="auto"/>
      </w:divBdr>
    </w:div>
    <w:div w:id="1228104714">
      <w:bodyDiv w:val="1"/>
      <w:marLeft w:val="0"/>
      <w:marRight w:val="0"/>
      <w:marTop w:val="0"/>
      <w:marBottom w:val="0"/>
      <w:divBdr>
        <w:top w:val="none" w:sz="0" w:space="0" w:color="auto"/>
        <w:left w:val="none" w:sz="0" w:space="0" w:color="auto"/>
        <w:bottom w:val="none" w:sz="0" w:space="0" w:color="auto"/>
        <w:right w:val="none" w:sz="0" w:space="0" w:color="auto"/>
      </w:divBdr>
    </w:div>
    <w:div w:id="1230070250">
      <w:bodyDiv w:val="1"/>
      <w:marLeft w:val="0"/>
      <w:marRight w:val="0"/>
      <w:marTop w:val="0"/>
      <w:marBottom w:val="0"/>
      <w:divBdr>
        <w:top w:val="none" w:sz="0" w:space="0" w:color="auto"/>
        <w:left w:val="none" w:sz="0" w:space="0" w:color="auto"/>
        <w:bottom w:val="none" w:sz="0" w:space="0" w:color="auto"/>
        <w:right w:val="none" w:sz="0" w:space="0" w:color="auto"/>
      </w:divBdr>
    </w:div>
    <w:div w:id="1232278299">
      <w:bodyDiv w:val="1"/>
      <w:marLeft w:val="0"/>
      <w:marRight w:val="0"/>
      <w:marTop w:val="0"/>
      <w:marBottom w:val="0"/>
      <w:divBdr>
        <w:top w:val="none" w:sz="0" w:space="0" w:color="auto"/>
        <w:left w:val="none" w:sz="0" w:space="0" w:color="auto"/>
        <w:bottom w:val="none" w:sz="0" w:space="0" w:color="auto"/>
        <w:right w:val="none" w:sz="0" w:space="0" w:color="auto"/>
      </w:divBdr>
    </w:div>
    <w:div w:id="1232888753">
      <w:bodyDiv w:val="1"/>
      <w:marLeft w:val="0"/>
      <w:marRight w:val="0"/>
      <w:marTop w:val="0"/>
      <w:marBottom w:val="0"/>
      <w:divBdr>
        <w:top w:val="none" w:sz="0" w:space="0" w:color="auto"/>
        <w:left w:val="none" w:sz="0" w:space="0" w:color="auto"/>
        <w:bottom w:val="none" w:sz="0" w:space="0" w:color="auto"/>
        <w:right w:val="none" w:sz="0" w:space="0" w:color="auto"/>
      </w:divBdr>
    </w:div>
    <w:div w:id="1233857921">
      <w:bodyDiv w:val="1"/>
      <w:marLeft w:val="0"/>
      <w:marRight w:val="0"/>
      <w:marTop w:val="0"/>
      <w:marBottom w:val="0"/>
      <w:divBdr>
        <w:top w:val="none" w:sz="0" w:space="0" w:color="auto"/>
        <w:left w:val="none" w:sz="0" w:space="0" w:color="auto"/>
        <w:bottom w:val="none" w:sz="0" w:space="0" w:color="auto"/>
        <w:right w:val="none" w:sz="0" w:space="0" w:color="auto"/>
      </w:divBdr>
    </w:div>
    <w:div w:id="1235552054">
      <w:bodyDiv w:val="1"/>
      <w:marLeft w:val="0"/>
      <w:marRight w:val="0"/>
      <w:marTop w:val="0"/>
      <w:marBottom w:val="0"/>
      <w:divBdr>
        <w:top w:val="none" w:sz="0" w:space="0" w:color="auto"/>
        <w:left w:val="none" w:sz="0" w:space="0" w:color="auto"/>
        <w:bottom w:val="none" w:sz="0" w:space="0" w:color="auto"/>
        <w:right w:val="none" w:sz="0" w:space="0" w:color="auto"/>
      </w:divBdr>
    </w:div>
    <w:div w:id="1236671250">
      <w:bodyDiv w:val="1"/>
      <w:marLeft w:val="0"/>
      <w:marRight w:val="0"/>
      <w:marTop w:val="0"/>
      <w:marBottom w:val="0"/>
      <w:divBdr>
        <w:top w:val="none" w:sz="0" w:space="0" w:color="auto"/>
        <w:left w:val="none" w:sz="0" w:space="0" w:color="auto"/>
        <w:bottom w:val="none" w:sz="0" w:space="0" w:color="auto"/>
        <w:right w:val="none" w:sz="0" w:space="0" w:color="auto"/>
      </w:divBdr>
    </w:div>
    <w:div w:id="1239483596">
      <w:bodyDiv w:val="1"/>
      <w:marLeft w:val="0"/>
      <w:marRight w:val="0"/>
      <w:marTop w:val="0"/>
      <w:marBottom w:val="0"/>
      <w:divBdr>
        <w:top w:val="none" w:sz="0" w:space="0" w:color="auto"/>
        <w:left w:val="none" w:sz="0" w:space="0" w:color="auto"/>
        <w:bottom w:val="none" w:sz="0" w:space="0" w:color="auto"/>
        <w:right w:val="none" w:sz="0" w:space="0" w:color="auto"/>
      </w:divBdr>
    </w:div>
    <w:div w:id="1241210613">
      <w:bodyDiv w:val="1"/>
      <w:marLeft w:val="0"/>
      <w:marRight w:val="0"/>
      <w:marTop w:val="0"/>
      <w:marBottom w:val="0"/>
      <w:divBdr>
        <w:top w:val="none" w:sz="0" w:space="0" w:color="auto"/>
        <w:left w:val="none" w:sz="0" w:space="0" w:color="auto"/>
        <w:bottom w:val="none" w:sz="0" w:space="0" w:color="auto"/>
        <w:right w:val="none" w:sz="0" w:space="0" w:color="auto"/>
      </w:divBdr>
    </w:div>
    <w:div w:id="1242444692">
      <w:bodyDiv w:val="1"/>
      <w:marLeft w:val="0"/>
      <w:marRight w:val="0"/>
      <w:marTop w:val="0"/>
      <w:marBottom w:val="0"/>
      <w:divBdr>
        <w:top w:val="none" w:sz="0" w:space="0" w:color="auto"/>
        <w:left w:val="none" w:sz="0" w:space="0" w:color="auto"/>
        <w:bottom w:val="none" w:sz="0" w:space="0" w:color="auto"/>
        <w:right w:val="none" w:sz="0" w:space="0" w:color="auto"/>
      </w:divBdr>
    </w:div>
    <w:div w:id="1242522149">
      <w:bodyDiv w:val="1"/>
      <w:marLeft w:val="0"/>
      <w:marRight w:val="0"/>
      <w:marTop w:val="0"/>
      <w:marBottom w:val="0"/>
      <w:divBdr>
        <w:top w:val="none" w:sz="0" w:space="0" w:color="auto"/>
        <w:left w:val="none" w:sz="0" w:space="0" w:color="auto"/>
        <w:bottom w:val="none" w:sz="0" w:space="0" w:color="auto"/>
        <w:right w:val="none" w:sz="0" w:space="0" w:color="auto"/>
      </w:divBdr>
    </w:div>
    <w:div w:id="1243444452">
      <w:bodyDiv w:val="1"/>
      <w:marLeft w:val="0"/>
      <w:marRight w:val="0"/>
      <w:marTop w:val="0"/>
      <w:marBottom w:val="0"/>
      <w:divBdr>
        <w:top w:val="none" w:sz="0" w:space="0" w:color="auto"/>
        <w:left w:val="none" w:sz="0" w:space="0" w:color="auto"/>
        <w:bottom w:val="none" w:sz="0" w:space="0" w:color="auto"/>
        <w:right w:val="none" w:sz="0" w:space="0" w:color="auto"/>
      </w:divBdr>
    </w:div>
    <w:div w:id="1243638898">
      <w:bodyDiv w:val="1"/>
      <w:marLeft w:val="0"/>
      <w:marRight w:val="0"/>
      <w:marTop w:val="0"/>
      <w:marBottom w:val="0"/>
      <w:divBdr>
        <w:top w:val="none" w:sz="0" w:space="0" w:color="auto"/>
        <w:left w:val="none" w:sz="0" w:space="0" w:color="auto"/>
        <w:bottom w:val="none" w:sz="0" w:space="0" w:color="auto"/>
        <w:right w:val="none" w:sz="0" w:space="0" w:color="auto"/>
      </w:divBdr>
    </w:div>
    <w:div w:id="1246064288">
      <w:bodyDiv w:val="1"/>
      <w:marLeft w:val="0"/>
      <w:marRight w:val="0"/>
      <w:marTop w:val="0"/>
      <w:marBottom w:val="0"/>
      <w:divBdr>
        <w:top w:val="none" w:sz="0" w:space="0" w:color="auto"/>
        <w:left w:val="none" w:sz="0" w:space="0" w:color="auto"/>
        <w:bottom w:val="none" w:sz="0" w:space="0" w:color="auto"/>
        <w:right w:val="none" w:sz="0" w:space="0" w:color="auto"/>
      </w:divBdr>
    </w:div>
    <w:div w:id="1246305114">
      <w:bodyDiv w:val="1"/>
      <w:marLeft w:val="0"/>
      <w:marRight w:val="0"/>
      <w:marTop w:val="0"/>
      <w:marBottom w:val="0"/>
      <w:divBdr>
        <w:top w:val="none" w:sz="0" w:space="0" w:color="auto"/>
        <w:left w:val="none" w:sz="0" w:space="0" w:color="auto"/>
        <w:bottom w:val="none" w:sz="0" w:space="0" w:color="auto"/>
        <w:right w:val="none" w:sz="0" w:space="0" w:color="auto"/>
      </w:divBdr>
    </w:div>
    <w:div w:id="1250389597">
      <w:bodyDiv w:val="1"/>
      <w:marLeft w:val="0"/>
      <w:marRight w:val="0"/>
      <w:marTop w:val="0"/>
      <w:marBottom w:val="0"/>
      <w:divBdr>
        <w:top w:val="none" w:sz="0" w:space="0" w:color="auto"/>
        <w:left w:val="none" w:sz="0" w:space="0" w:color="auto"/>
        <w:bottom w:val="none" w:sz="0" w:space="0" w:color="auto"/>
        <w:right w:val="none" w:sz="0" w:space="0" w:color="auto"/>
      </w:divBdr>
    </w:div>
    <w:div w:id="1250654854">
      <w:bodyDiv w:val="1"/>
      <w:marLeft w:val="0"/>
      <w:marRight w:val="0"/>
      <w:marTop w:val="0"/>
      <w:marBottom w:val="0"/>
      <w:divBdr>
        <w:top w:val="none" w:sz="0" w:space="0" w:color="auto"/>
        <w:left w:val="none" w:sz="0" w:space="0" w:color="auto"/>
        <w:bottom w:val="none" w:sz="0" w:space="0" w:color="auto"/>
        <w:right w:val="none" w:sz="0" w:space="0" w:color="auto"/>
      </w:divBdr>
    </w:div>
    <w:div w:id="1250970518">
      <w:bodyDiv w:val="1"/>
      <w:marLeft w:val="0"/>
      <w:marRight w:val="0"/>
      <w:marTop w:val="0"/>
      <w:marBottom w:val="0"/>
      <w:divBdr>
        <w:top w:val="none" w:sz="0" w:space="0" w:color="auto"/>
        <w:left w:val="none" w:sz="0" w:space="0" w:color="auto"/>
        <w:bottom w:val="none" w:sz="0" w:space="0" w:color="auto"/>
        <w:right w:val="none" w:sz="0" w:space="0" w:color="auto"/>
      </w:divBdr>
    </w:div>
    <w:div w:id="1252012533">
      <w:bodyDiv w:val="1"/>
      <w:marLeft w:val="0"/>
      <w:marRight w:val="0"/>
      <w:marTop w:val="0"/>
      <w:marBottom w:val="0"/>
      <w:divBdr>
        <w:top w:val="none" w:sz="0" w:space="0" w:color="auto"/>
        <w:left w:val="none" w:sz="0" w:space="0" w:color="auto"/>
        <w:bottom w:val="none" w:sz="0" w:space="0" w:color="auto"/>
        <w:right w:val="none" w:sz="0" w:space="0" w:color="auto"/>
      </w:divBdr>
    </w:div>
    <w:div w:id="1254360254">
      <w:bodyDiv w:val="1"/>
      <w:marLeft w:val="0"/>
      <w:marRight w:val="0"/>
      <w:marTop w:val="0"/>
      <w:marBottom w:val="0"/>
      <w:divBdr>
        <w:top w:val="none" w:sz="0" w:space="0" w:color="auto"/>
        <w:left w:val="none" w:sz="0" w:space="0" w:color="auto"/>
        <w:bottom w:val="none" w:sz="0" w:space="0" w:color="auto"/>
        <w:right w:val="none" w:sz="0" w:space="0" w:color="auto"/>
      </w:divBdr>
    </w:div>
    <w:div w:id="1254510469">
      <w:bodyDiv w:val="1"/>
      <w:marLeft w:val="0"/>
      <w:marRight w:val="0"/>
      <w:marTop w:val="0"/>
      <w:marBottom w:val="0"/>
      <w:divBdr>
        <w:top w:val="none" w:sz="0" w:space="0" w:color="auto"/>
        <w:left w:val="none" w:sz="0" w:space="0" w:color="auto"/>
        <w:bottom w:val="none" w:sz="0" w:space="0" w:color="auto"/>
        <w:right w:val="none" w:sz="0" w:space="0" w:color="auto"/>
      </w:divBdr>
    </w:div>
    <w:div w:id="1254632650">
      <w:bodyDiv w:val="1"/>
      <w:marLeft w:val="0"/>
      <w:marRight w:val="0"/>
      <w:marTop w:val="0"/>
      <w:marBottom w:val="0"/>
      <w:divBdr>
        <w:top w:val="none" w:sz="0" w:space="0" w:color="auto"/>
        <w:left w:val="none" w:sz="0" w:space="0" w:color="auto"/>
        <w:bottom w:val="none" w:sz="0" w:space="0" w:color="auto"/>
        <w:right w:val="none" w:sz="0" w:space="0" w:color="auto"/>
      </w:divBdr>
    </w:div>
    <w:div w:id="1254893405">
      <w:bodyDiv w:val="1"/>
      <w:marLeft w:val="0"/>
      <w:marRight w:val="0"/>
      <w:marTop w:val="0"/>
      <w:marBottom w:val="0"/>
      <w:divBdr>
        <w:top w:val="none" w:sz="0" w:space="0" w:color="auto"/>
        <w:left w:val="none" w:sz="0" w:space="0" w:color="auto"/>
        <w:bottom w:val="none" w:sz="0" w:space="0" w:color="auto"/>
        <w:right w:val="none" w:sz="0" w:space="0" w:color="auto"/>
      </w:divBdr>
    </w:div>
    <w:div w:id="1255281443">
      <w:bodyDiv w:val="1"/>
      <w:marLeft w:val="0"/>
      <w:marRight w:val="0"/>
      <w:marTop w:val="0"/>
      <w:marBottom w:val="0"/>
      <w:divBdr>
        <w:top w:val="none" w:sz="0" w:space="0" w:color="auto"/>
        <w:left w:val="none" w:sz="0" w:space="0" w:color="auto"/>
        <w:bottom w:val="none" w:sz="0" w:space="0" w:color="auto"/>
        <w:right w:val="none" w:sz="0" w:space="0" w:color="auto"/>
      </w:divBdr>
    </w:div>
    <w:div w:id="1255869158">
      <w:bodyDiv w:val="1"/>
      <w:marLeft w:val="0"/>
      <w:marRight w:val="0"/>
      <w:marTop w:val="0"/>
      <w:marBottom w:val="0"/>
      <w:divBdr>
        <w:top w:val="none" w:sz="0" w:space="0" w:color="auto"/>
        <w:left w:val="none" w:sz="0" w:space="0" w:color="auto"/>
        <w:bottom w:val="none" w:sz="0" w:space="0" w:color="auto"/>
        <w:right w:val="none" w:sz="0" w:space="0" w:color="auto"/>
      </w:divBdr>
    </w:div>
    <w:div w:id="1257859471">
      <w:bodyDiv w:val="1"/>
      <w:marLeft w:val="0"/>
      <w:marRight w:val="0"/>
      <w:marTop w:val="0"/>
      <w:marBottom w:val="0"/>
      <w:divBdr>
        <w:top w:val="none" w:sz="0" w:space="0" w:color="auto"/>
        <w:left w:val="none" w:sz="0" w:space="0" w:color="auto"/>
        <w:bottom w:val="none" w:sz="0" w:space="0" w:color="auto"/>
        <w:right w:val="none" w:sz="0" w:space="0" w:color="auto"/>
      </w:divBdr>
    </w:div>
    <w:div w:id="1258052147">
      <w:bodyDiv w:val="1"/>
      <w:marLeft w:val="0"/>
      <w:marRight w:val="0"/>
      <w:marTop w:val="0"/>
      <w:marBottom w:val="0"/>
      <w:divBdr>
        <w:top w:val="none" w:sz="0" w:space="0" w:color="auto"/>
        <w:left w:val="none" w:sz="0" w:space="0" w:color="auto"/>
        <w:bottom w:val="none" w:sz="0" w:space="0" w:color="auto"/>
        <w:right w:val="none" w:sz="0" w:space="0" w:color="auto"/>
      </w:divBdr>
    </w:div>
    <w:div w:id="1258442841">
      <w:bodyDiv w:val="1"/>
      <w:marLeft w:val="0"/>
      <w:marRight w:val="0"/>
      <w:marTop w:val="0"/>
      <w:marBottom w:val="0"/>
      <w:divBdr>
        <w:top w:val="none" w:sz="0" w:space="0" w:color="auto"/>
        <w:left w:val="none" w:sz="0" w:space="0" w:color="auto"/>
        <w:bottom w:val="none" w:sz="0" w:space="0" w:color="auto"/>
        <w:right w:val="none" w:sz="0" w:space="0" w:color="auto"/>
      </w:divBdr>
    </w:div>
    <w:div w:id="1259409484">
      <w:bodyDiv w:val="1"/>
      <w:marLeft w:val="0"/>
      <w:marRight w:val="0"/>
      <w:marTop w:val="0"/>
      <w:marBottom w:val="0"/>
      <w:divBdr>
        <w:top w:val="none" w:sz="0" w:space="0" w:color="auto"/>
        <w:left w:val="none" w:sz="0" w:space="0" w:color="auto"/>
        <w:bottom w:val="none" w:sz="0" w:space="0" w:color="auto"/>
        <w:right w:val="none" w:sz="0" w:space="0" w:color="auto"/>
      </w:divBdr>
    </w:div>
    <w:div w:id="1261334445">
      <w:bodyDiv w:val="1"/>
      <w:marLeft w:val="0"/>
      <w:marRight w:val="0"/>
      <w:marTop w:val="0"/>
      <w:marBottom w:val="0"/>
      <w:divBdr>
        <w:top w:val="none" w:sz="0" w:space="0" w:color="auto"/>
        <w:left w:val="none" w:sz="0" w:space="0" w:color="auto"/>
        <w:bottom w:val="none" w:sz="0" w:space="0" w:color="auto"/>
        <w:right w:val="none" w:sz="0" w:space="0" w:color="auto"/>
      </w:divBdr>
    </w:div>
    <w:div w:id="1261640826">
      <w:bodyDiv w:val="1"/>
      <w:marLeft w:val="0"/>
      <w:marRight w:val="0"/>
      <w:marTop w:val="0"/>
      <w:marBottom w:val="0"/>
      <w:divBdr>
        <w:top w:val="none" w:sz="0" w:space="0" w:color="auto"/>
        <w:left w:val="none" w:sz="0" w:space="0" w:color="auto"/>
        <w:bottom w:val="none" w:sz="0" w:space="0" w:color="auto"/>
        <w:right w:val="none" w:sz="0" w:space="0" w:color="auto"/>
      </w:divBdr>
    </w:div>
    <w:div w:id="1261648213">
      <w:bodyDiv w:val="1"/>
      <w:marLeft w:val="0"/>
      <w:marRight w:val="0"/>
      <w:marTop w:val="0"/>
      <w:marBottom w:val="0"/>
      <w:divBdr>
        <w:top w:val="none" w:sz="0" w:space="0" w:color="auto"/>
        <w:left w:val="none" w:sz="0" w:space="0" w:color="auto"/>
        <w:bottom w:val="none" w:sz="0" w:space="0" w:color="auto"/>
        <w:right w:val="none" w:sz="0" w:space="0" w:color="auto"/>
      </w:divBdr>
    </w:div>
    <w:div w:id="1262446818">
      <w:bodyDiv w:val="1"/>
      <w:marLeft w:val="0"/>
      <w:marRight w:val="0"/>
      <w:marTop w:val="0"/>
      <w:marBottom w:val="0"/>
      <w:divBdr>
        <w:top w:val="none" w:sz="0" w:space="0" w:color="auto"/>
        <w:left w:val="none" w:sz="0" w:space="0" w:color="auto"/>
        <w:bottom w:val="none" w:sz="0" w:space="0" w:color="auto"/>
        <w:right w:val="none" w:sz="0" w:space="0" w:color="auto"/>
      </w:divBdr>
    </w:div>
    <w:div w:id="1263225286">
      <w:bodyDiv w:val="1"/>
      <w:marLeft w:val="0"/>
      <w:marRight w:val="0"/>
      <w:marTop w:val="0"/>
      <w:marBottom w:val="0"/>
      <w:divBdr>
        <w:top w:val="none" w:sz="0" w:space="0" w:color="auto"/>
        <w:left w:val="none" w:sz="0" w:space="0" w:color="auto"/>
        <w:bottom w:val="none" w:sz="0" w:space="0" w:color="auto"/>
        <w:right w:val="none" w:sz="0" w:space="0" w:color="auto"/>
      </w:divBdr>
    </w:div>
    <w:div w:id="1264144249">
      <w:bodyDiv w:val="1"/>
      <w:marLeft w:val="0"/>
      <w:marRight w:val="0"/>
      <w:marTop w:val="0"/>
      <w:marBottom w:val="0"/>
      <w:divBdr>
        <w:top w:val="none" w:sz="0" w:space="0" w:color="auto"/>
        <w:left w:val="none" w:sz="0" w:space="0" w:color="auto"/>
        <w:bottom w:val="none" w:sz="0" w:space="0" w:color="auto"/>
        <w:right w:val="none" w:sz="0" w:space="0" w:color="auto"/>
      </w:divBdr>
    </w:div>
    <w:div w:id="1264189445">
      <w:bodyDiv w:val="1"/>
      <w:marLeft w:val="0"/>
      <w:marRight w:val="0"/>
      <w:marTop w:val="0"/>
      <w:marBottom w:val="0"/>
      <w:divBdr>
        <w:top w:val="none" w:sz="0" w:space="0" w:color="auto"/>
        <w:left w:val="none" w:sz="0" w:space="0" w:color="auto"/>
        <w:bottom w:val="none" w:sz="0" w:space="0" w:color="auto"/>
        <w:right w:val="none" w:sz="0" w:space="0" w:color="auto"/>
      </w:divBdr>
    </w:div>
    <w:div w:id="1267931903">
      <w:bodyDiv w:val="1"/>
      <w:marLeft w:val="0"/>
      <w:marRight w:val="0"/>
      <w:marTop w:val="0"/>
      <w:marBottom w:val="0"/>
      <w:divBdr>
        <w:top w:val="none" w:sz="0" w:space="0" w:color="auto"/>
        <w:left w:val="none" w:sz="0" w:space="0" w:color="auto"/>
        <w:bottom w:val="none" w:sz="0" w:space="0" w:color="auto"/>
        <w:right w:val="none" w:sz="0" w:space="0" w:color="auto"/>
      </w:divBdr>
    </w:div>
    <w:div w:id="1268195586">
      <w:bodyDiv w:val="1"/>
      <w:marLeft w:val="0"/>
      <w:marRight w:val="0"/>
      <w:marTop w:val="0"/>
      <w:marBottom w:val="0"/>
      <w:divBdr>
        <w:top w:val="none" w:sz="0" w:space="0" w:color="auto"/>
        <w:left w:val="none" w:sz="0" w:space="0" w:color="auto"/>
        <w:bottom w:val="none" w:sz="0" w:space="0" w:color="auto"/>
        <w:right w:val="none" w:sz="0" w:space="0" w:color="auto"/>
      </w:divBdr>
    </w:div>
    <w:div w:id="1268267277">
      <w:bodyDiv w:val="1"/>
      <w:marLeft w:val="0"/>
      <w:marRight w:val="0"/>
      <w:marTop w:val="0"/>
      <w:marBottom w:val="0"/>
      <w:divBdr>
        <w:top w:val="none" w:sz="0" w:space="0" w:color="auto"/>
        <w:left w:val="none" w:sz="0" w:space="0" w:color="auto"/>
        <w:bottom w:val="none" w:sz="0" w:space="0" w:color="auto"/>
        <w:right w:val="none" w:sz="0" w:space="0" w:color="auto"/>
      </w:divBdr>
    </w:div>
    <w:div w:id="1269388972">
      <w:bodyDiv w:val="1"/>
      <w:marLeft w:val="0"/>
      <w:marRight w:val="0"/>
      <w:marTop w:val="0"/>
      <w:marBottom w:val="0"/>
      <w:divBdr>
        <w:top w:val="none" w:sz="0" w:space="0" w:color="auto"/>
        <w:left w:val="none" w:sz="0" w:space="0" w:color="auto"/>
        <w:bottom w:val="none" w:sz="0" w:space="0" w:color="auto"/>
        <w:right w:val="none" w:sz="0" w:space="0" w:color="auto"/>
      </w:divBdr>
    </w:div>
    <w:div w:id="1269434997">
      <w:bodyDiv w:val="1"/>
      <w:marLeft w:val="0"/>
      <w:marRight w:val="0"/>
      <w:marTop w:val="0"/>
      <w:marBottom w:val="0"/>
      <w:divBdr>
        <w:top w:val="none" w:sz="0" w:space="0" w:color="auto"/>
        <w:left w:val="none" w:sz="0" w:space="0" w:color="auto"/>
        <w:bottom w:val="none" w:sz="0" w:space="0" w:color="auto"/>
        <w:right w:val="none" w:sz="0" w:space="0" w:color="auto"/>
      </w:divBdr>
    </w:div>
    <w:div w:id="1271085299">
      <w:bodyDiv w:val="1"/>
      <w:marLeft w:val="0"/>
      <w:marRight w:val="0"/>
      <w:marTop w:val="0"/>
      <w:marBottom w:val="0"/>
      <w:divBdr>
        <w:top w:val="none" w:sz="0" w:space="0" w:color="auto"/>
        <w:left w:val="none" w:sz="0" w:space="0" w:color="auto"/>
        <w:bottom w:val="none" w:sz="0" w:space="0" w:color="auto"/>
        <w:right w:val="none" w:sz="0" w:space="0" w:color="auto"/>
      </w:divBdr>
    </w:div>
    <w:div w:id="1272395684">
      <w:bodyDiv w:val="1"/>
      <w:marLeft w:val="0"/>
      <w:marRight w:val="0"/>
      <w:marTop w:val="0"/>
      <w:marBottom w:val="0"/>
      <w:divBdr>
        <w:top w:val="none" w:sz="0" w:space="0" w:color="auto"/>
        <w:left w:val="none" w:sz="0" w:space="0" w:color="auto"/>
        <w:bottom w:val="none" w:sz="0" w:space="0" w:color="auto"/>
        <w:right w:val="none" w:sz="0" w:space="0" w:color="auto"/>
      </w:divBdr>
    </w:div>
    <w:div w:id="1273124614">
      <w:bodyDiv w:val="1"/>
      <w:marLeft w:val="0"/>
      <w:marRight w:val="0"/>
      <w:marTop w:val="0"/>
      <w:marBottom w:val="0"/>
      <w:divBdr>
        <w:top w:val="none" w:sz="0" w:space="0" w:color="auto"/>
        <w:left w:val="none" w:sz="0" w:space="0" w:color="auto"/>
        <w:bottom w:val="none" w:sz="0" w:space="0" w:color="auto"/>
        <w:right w:val="none" w:sz="0" w:space="0" w:color="auto"/>
      </w:divBdr>
    </w:div>
    <w:div w:id="1274824416">
      <w:bodyDiv w:val="1"/>
      <w:marLeft w:val="0"/>
      <w:marRight w:val="0"/>
      <w:marTop w:val="0"/>
      <w:marBottom w:val="0"/>
      <w:divBdr>
        <w:top w:val="none" w:sz="0" w:space="0" w:color="auto"/>
        <w:left w:val="none" w:sz="0" w:space="0" w:color="auto"/>
        <w:bottom w:val="none" w:sz="0" w:space="0" w:color="auto"/>
        <w:right w:val="none" w:sz="0" w:space="0" w:color="auto"/>
      </w:divBdr>
    </w:div>
    <w:div w:id="1275134199">
      <w:bodyDiv w:val="1"/>
      <w:marLeft w:val="0"/>
      <w:marRight w:val="0"/>
      <w:marTop w:val="0"/>
      <w:marBottom w:val="0"/>
      <w:divBdr>
        <w:top w:val="none" w:sz="0" w:space="0" w:color="auto"/>
        <w:left w:val="none" w:sz="0" w:space="0" w:color="auto"/>
        <w:bottom w:val="none" w:sz="0" w:space="0" w:color="auto"/>
        <w:right w:val="none" w:sz="0" w:space="0" w:color="auto"/>
      </w:divBdr>
    </w:div>
    <w:div w:id="1276326487">
      <w:bodyDiv w:val="1"/>
      <w:marLeft w:val="0"/>
      <w:marRight w:val="0"/>
      <w:marTop w:val="0"/>
      <w:marBottom w:val="0"/>
      <w:divBdr>
        <w:top w:val="none" w:sz="0" w:space="0" w:color="auto"/>
        <w:left w:val="none" w:sz="0" w:space="0" w:color="auto"/>
        <w:bottom w:val="none" w:sz="0" w:space="0" w:color="auto"/>
        <w:right w:val="none" w:sz="0" w:space="0" w:color="auto"/>
      </w:divBdr>
    </w:div>
    <w:div w:id="1277636994">
      <w:bodyDiv w:val="1"/>
      <w:marLeft w:val="0"/>
      <w:marRight w:val="0"/>
      <w:marTop w:val="0"/>
      <w:marBottom w:val="0"/>
      <w:divBdr>
        <w:top w:val="none" w:sz="0" w:space="0" w:color="auto"/>
        <w:left w:val="none" w:sz="0" w:space="0" w:color="auto"/>
        <w:bottom w:val="none" w:sz="0" w:space="0" w:color="auto"/>
        <w:right w:val="none" w:sz="0" w:space="0" w:color="auto"/>
      </w:divBdr>
    </w:div>
    <w:div w:id="1280145252">
      <w:bodyDiv w:val="1"/>
      <w:marLeft w:val="0"/>
      <w:marRight w:val="0"/>
      <w:marTop w:val="0"/>
      <w:marBottom w:val="0"/>
      <w:divBdr>
        <w:top w:val="none" w:sz="0" w:space="0" w:color="auto"/>
        <w:left w:val="none" w:sz="0" w:space="0" w:color="auto"/>
        <w:bottom w:val="none" w:sz="0" w:space="0" w:color="auto"/>
        <w:right w:val="none" w:sz="0" w:space="0" w:color="auto"/>
      </w:divBdr>
    </w:div>
    <w:div w:id="1280793190">
      <w:bodyDiv w:val="1"/>
      <w:marLeft w:val="0"/>
      <w:marRight w:val="0"/>
      <w:marTop w:val="0"/>
      <w:marBottom w:val="0"/>
      <w:divBdr>
        <w:top w:val="none" w:sz="0" w:space="0" w:color="auto"/>
        <w:left w:val="none" w:sz="0" w:space="0" w:color="auto"/>
        <w:bottom w:val="none" w:sz="0" w:space="0" w:color="auto"/>
        <w:right w:val="none" w:sz="0" w:space="0" w:color="auto"/>
      </w:divBdr>
    </w:div>
    <w:div w:id="1282955586">
      <w:bodyDiv w:val="1"/>
      <w:marLeft w:val="0"/>
      <w:marRight w:val="0"/>
      <w:marTop w:val="0"/>
      <w:marBottom w:val="0"/>
      <w:divBdr>
        <w:top w:val="none" w:sz="0" w:space="0" w:color="auto"/>
        <w:left w:val="none" w:sz="0" w:space="0" w:color="auto"/>
        <w:bottom w:val="none" w:sz="0" w:space="0" w:color="auto"/>
        <w:right w:val="none" w:sz="0" w:space="0" w:color="auto"/>
      </w:divBdr>
    </w:div>
    <w:div w:id="1282957672">
      <w:bodyDiv w:val="1"/>
      <w:marLeft w:val="0"/>
      <w:marRight w:val="0"/>
      <w:marTop w:val="0"/>
      <w:marBottom w:val="0"/>
      <w:divBdr>
        <w:top w:val="none" w:sz="0" w:space="0" w:color="auto"/>
        <w:left w:val="none" w:sz="0" w:space="0" w:color="auto"/>
        <w:bottom w:val="none" w:sz="0" w:space="0" w:color="auto"/>
        <w:right w:val="none" w:sz="0" w:space="0" w:color="auto"/>
      </w:divBdr>
    </w:div>
    <w:div w:id="1283342449">
      <w:bodyDiv w:val="1"/>
      <w:marLeft w:val="0"/>
      <w:marRight w:val="0"/>
      <w:marTop w:val="0"/>
      <w:marBottom w:val="0"/>
      <w:divBdr>
        <w:top w:val="none" w:sz="0" w:space="0" w:color="auto"/>
        <w:left w:val="none" w:sz="0" w:space="0" w:color="auto"/>
        <w:bottom w:val="none" w:sz="0" w:space="0" w:color="auto"/>
        <w:right w:val="none" w:sz="0" w:space="0" w:color="auto"/>
      </w:divBdr>
    </w:div>
    <w:div w:id="1284457653">
      <w:bodyDiv w:val="1"/>
      <w:marLeft w:val="0"/>
      <w:marRight w:val="0"/>
      <w:marTop w:val="0"/>
      <w:marBottom w:val="0"/>
      <w:divBdr>
        <w:top w:val="none" w:sz="0" w:space="0" w:color="auto"/>
        <w:left w:val="none" w:sz="0" w:space="0" w:color="auto"/>
        <w:bottom w:val="none" w:sz="0" w:space="0" w:color="auto"/>
        <w:right w:val="none" w:sz="0" w:space="0" w:color="auto"/>
      </w:divBdr>
    </w:div>
    <w:div w:id="1284918545">
      <w:bodyDiv w:val="1"/>
      <w:marLeft w:val="0"/>
      <w:marRight w:val="0"/>
      <w:marTop w:val="0"/>
      <w:marBottom w:val="0"/>
      <w:divBdr>
        <w:top w:val="none" w:sz="0" w:space="0" w:color="auto"/>
        <w:left w:val="none" w:sz="0" w:space="0" w:color="auto"/>
        <w:bottom w:val="none" w:sz="0" w:space="0" w:color="auto"/>
        <w:right w:val="none" w:sz="0" w:space="0" w:color="auto"/>
      </w:divBdr>
    </w:div>
    <w:div w:id="1286154599">
      <w:bodyDiv w:val="1"/>
      <w:marLeft w:val="0"/>
      <w:marRight w:val="0"/>
      <w:marTop w:val="0"/>
      <w:marBottom w:val="0"/>
      <w:divBdr>
        <w:top w:val="none" w:sz="0" w:space="0" w:color="auto"/>
        <w:left w:val="none" w:sz="0" w:space="0" w:color="auto"/>
        <w:bottom w:val="none" w:sz="0" w:space="0" w:color="auto"/>
        <w:right w:val="none" w:sz="0" w:space="0" w:color="auto"/>
      </w:divBdr>
    </w:div>
    <w:div w:id="1288655790">
      <w:bodyDiv w:val="1"/>
      <w:marLeft w:val="0"/>
      <w:marRight w:val="0"/>
      <w:marTop w:val="0"/>
      <w:marBottom w:val="0"/>
      <w:divBdr>
        <w:top w:val="none" w:sz="0" w:space="0" w:color="auto"/>
        <w:left w:val="none" w:sz="0" w:space="0" w:color="auto"/>
        <w:bottom w:val="none" w:sz="0" w:space="0" w:color="auto"/>
        <w:right w:val="none" w:sz="0" w:space="0" w:color="auto"/>
      </w:divBdr>
    </w:div>
    <w:div w:id="1290354383">
      <w:bodyDiv w:val="1"/>
      <w:marLeft w:val="0"/>
      <w:marRight w:val="0"/>
      <w:marTop w:val="0"/>
      <w:marBottom w:val="0"/>
      <w:divBdr>
        <w:top w:val="none" w:sz="0" w:space="0" w:color="auto"/>
        <w:left w:val="none" w:sz="0" w:space="0" w:color="auto"/>
        <w:bottom w:val="none" w:sz="0" w:space="0" w:color="auto"/>
        <w:right w:val="none" w:sz="0" w:space="0" w:color="auto"/>
      </w:divBdr>
    </w:div>
    <w:div w:id="1291132424">
      <w:bodyDiv w:val="1"/>
      <w:marLeft w:val="0"/>
      <w:marRight w:val="0"/>
      <w:marTop w:val="0"/>
      <w:marBottom w:val="0"/>
      <w:divBdr>
        <w:top w:val="none" w:sz="0" w:space="0" w:color="auto"/>
        <w:left w:val="none" w:sz="0" w:space="0" w:color="auto"/>
        <w:bottom w:val="none" w:sz="0" w:space="0" w:color="auto"/>
        <w:right w:val="none" w:sz="0" w:space="0" w:color="auto"/>
      </w:divBdr>
    </w:div>
    <w:div w:id="1293898103">
      <w:bodyDiv w:val="1"/>
      <w:marLeft w:val="0"/>
      <w:marRight w:val="0"/>
      <w:marTop w:val="0"/>
      <w:marBottom w:val="0"/>
      <w:divBdr>
        <w:top w:val="none" w:sz="0" w:space="0" w:color="auto"/>
        <w:left w:val="none" w:sz="0" w:space="0" w:color="auto"/>
        <w:bottom w:val="none" w:sz="0" w:space="0" w:color="auto"/>
        <w:right w:val="none" w:sz="0" w:space="0" w:color="auto"/>
      </w:divBdr>
    </w:div>
    <w:div w:id="1294680804">
      <w:bodyDiv w:val="1"/>
      <w:marLeft w:val="0"/>
      <w:marRight w:val="0"/>
      <w:marTop w:val="0"/>
      <w:marBottom w:val="0"/>
      <w:divBdr>
        <w:top w:val="none" w:sz="0" w:space="0" w:color="auto"/>
        <w:left w:val="none" w:sz="0" w:space="0" w:color="auto"/>
        <w:bottom w:val="none" w:sz="0" w:space="0" w:color="auto"/>
        <w:right w:val="none" w:sz="0" w:space="0" w:color="auto"/>
      </w:divBdr>
    </w:div>
    <w:div w:id="1295285052">
      <w:bodyDiv w:val="1"/>
      <w:marLeft w:val="0"/>
      <w:marRight w:val="0"/>
      <w:marTop w:val="0"/>
      <w:marBottom w:val="0"/>
      <w:divBdr>
        <w:top w:val="none" w:sz="0" w:space="0" w:color="auto"/>
        <w:left w:val="none" w:sz="0" w:space="0" w:color="auto"/>
        <w:bottom w:val="none" w:sz="0" w:space="0" w:color="auto"/>
        <w:right w:val="none" w:sz="0" w:space="0" w:color="auto"/>
      </w:divBdr>
    </w:div>
    <w:div w:id="1296058206">
      <w:bodyDiv w:val="1"/>
      <w:marLeft w:val="0"/>
      <w:marRight w:val="0"/>
      <w:marTop w:val="0"/>
      <w:marBottom w:val="0"/>
      <w:divBdr>
        <w:top w:val="none" w:sz="0" w:space="0" w:color="auto"/>
        <w:left w:val="none" w:sz="0" w:space="0" w:color="auto"/>
        <w:bottom w:val="none" w:sz="0" w:space="0" w:color="auto"/>
        <w:right w:val="none" w:sz="0" w:space="0" w:color="auto"/>
      </w:divBdr>
    </w:div>
    <w:div w:id="1296793193">
      <w:bodyDiv w:val="1"/>
      <w:marLeft w:val="0"/>
      <w:marRight w:val="0"/>
      <w:marTop w:val="0"/>
      <w:marBottom w:val="0"/>
      <w:divBdr>
        <w:top w:val="none" w:sz="0" w:space="0" w:color="auto"/>
        <w:left w:val="none" w:sz="0" w:space="0" w:color="auto"/>
        <w:bottom w:val="none" w:sz="0" w:space="0" w:color="auto"/>
        <w:right w:val="none" w:sz="0" w:space="0" w:color="auto"/>
      </w:divBdr>
    </w:div>
    <w:div w:id="1299414428">
      <w:bodyDiv w:val="1"/>
      <w:marLeft w:val="0"/>
      <w:marRight w:val="0"/>
      <w:marTop w:val="0"/>
      <w:marBottom w:val="0"/>
      <w:divBdr>
        <w:top w:val="none" w:sz="0" w:space="0" w:color="auto"/>
        <w:left w:val="none" w:sz="0" w:space="0" w:color="auto"/>
        <w:bottom w:val="none" w:sz="0" w:space="0" w:color="auto"/>
        <w:right w:val="none" w:sz="0" w:space="0" w:color="auto"/>
      </w:divBdr>
    </w:div>
    <w:div w:id="1303078632">
      <w:bodyDiv w:val="1"/>
      <w:marLeft w:val="0"/>
      <w:marRight w:val="0"/>
      <w:marTop w:val="0"/>
      <w:marBottom w:val="0"/>
      <w:divBdr>
        <w:top w:val="none" w:sz="0" w:space="0" w:color="auto"/>
        <w:left w:val="none" w:sz="0" w:space="0" w:color="auto"/>
        <w:bottom w:val="none" w:sz="0" w:space="0" w:color="auto"/>
        <w:right w:val="none" w:sz="0" w:space="0" w:color="auto"/>
      </w:divBdr>
    </w:div>
    <w:div w:id="1303079399">
      <w:bodyDiv w:val="1"/>
      <w:marLeft w:val="0"/>
      <w:marRight w:val="0"/>
      <w:marTop w:val="0"/>
      <w:marBottom w:val="0"/>
      <w:divBdr>
        <w:top w:val="none" w:sz="0" w:space="0" w:color="auto"/>
        <w:left w:val="none" w:sz="0" w:space="0" w:color="auto"/>
        <w:bottom w:val="none" w:sz="0" w:space="0" w:color="auto"/>
        <w:right w:val="none" w:sz="0" w:space="0" w:color="auto"/>
      </w:divBdr>
    </w:div>
    <w:div w:id="1303727677">
      <w:bodyDiv w:val="1"/>
      <w:marLeft w:val="0"/>
      <w:marRight w:val="0"/>
      <w:marTop w:val="0"/>
      <w:marBottom w:val="0"/>
      <w:divBdr>
        <w:top w:val="none" w:sz="0" w:space="0" w:color="auto"/>
        <w:left w:val="none" w:sz="0" w:space="0" w:color="auto"/>
        <w:bottom w:val="none" w:sz="0" w:space="0" w:color="auto"/>
        <w:right w:val="none" w:sz="0" w:space="0" w:color="auto"/>
      </w:divBdr>
    </w:div>
    <w:div w:id="1304507764">
      <w:bodyDiv w:val="1"/>
      <w:marLeft w:val="0"/>
      <w:marRight w:val="0"/>
      <w:marTop w:val="0"/>
      <w:marBottom w:val="0"/>
      <w:divBdr>
        <w:top w:val="none" w:sz="0" w:space="0" w:color="auto"/>
        <w:left w:val="none" w:sz="0" w:space="0" w:color="auto"/>
        <w:bottom w:val="none" w:sz="0" w:space="0" w:color="auto"/>
        <w:right w:val="none" w:sz="0" w:space="0" w:color="auto"/>
      </w:divBdr>
    </w:div>
    <w:div w:id="1304773843">
      <w:bodyDiv w:val="1"/>
      <w:marLeft w:val="0"/>
      <w:marRight w:val="0"/>
      <w:marTop w:val="0"/>
      <w:marBottom w:val="0"/>
      <w:divBdr>
        <w:top w:val="none" w:sz="0" w:space="0" w:color="auto"/>
        <w:left w:val="none" w:sz="0" w:space="0" w:color="auto"/>
        <w:bottom w:val="none" w:sz="0" w:space="0" w:color="auto"/>
        <w:right w:val="none" w:sz="0" w:space="0" w:color="auto"/>
      </w:divBdr>
    </w:div>
    <w:div w:id="1305508186">
      <w:bodyDiv w:val="1"/>
      <w:marLeft w:val="0"/>
      <w:marRight w:val="0"/>
      <w:marTop w:val="0"/>
      <w:marBottom w:val="0"/>
      <w:divBdr>
        <w:top w:val="none" w:sz="0" w:space="0" w:color="auto"/>
        <w:left w:val="none" w:sz="0" w:space="0" w:color="auto"/>
        <w:bottom w:val="none" w:sz="0" w:space="0" w:color="auto"/>
        <w:right w:val="none" w:sz="0" w:space="0" w:color="auto"/>
      </w:divBdr>
    </w:div>
    <w:div w:id="1305624771">
      <w:bodyDiv w:val="1"/>
      <w:marLeft w:val="0"/>
      <w:marRight w:val="0"/>
      <w:marTop w:val="0"/>
      <w:marBottom w:val="0"/>
      <w:divBdr>
        <w:top w:val="none" w:sz="0" w:space="0" w:color="auto"/>
        <w:left w:val="none" w:sz="0" w:space="0" w:color="auto"/>
        <w:bottom w:val="none" w:sz="0" w:space="0" w:color="auto"/>
        <w:right w:val="none" w:sz="0" w:space="0" w:color="auto"/>
      </w:divBdr>
    </w:div>
    <w:div w:id="1305769068">
      <w:bodyDiv w:val="1"/>
      <w:marLeft w:val="0"/>
      <w:marRight w:val="0"/>
      <w:marTop w:val="0"/>
      <w:marBottom w:val="0"/>
      <w:divBdr>
        <w:top w:val="none" w:sz="0" w:space="0" w:color="auto"/>
        <w:left w:val="none" w:sz="0" w:space="0" w:color="auto"/>
        <w:bottom w:val="none" w:sz="0" w:space="0" w:color="auto"/>
        <w:right w:val="none" w:sz="0" w:space="0" w:color="auto"/>
      </w:divBdr>
    </w:div>
    <w:div w:id="1307052248">
      <w:bodyDiv w:val="1"/>
      <w:marLeft w:val="0"/>
      <w:marRight w:val="0"/>
      <w:marTop w:val="0"/>
      <w:marBottom w:val="0"/>
      <w:divBdr>
        <w:top w:val="none" w:sz="0" w:space="0" w:color="auto"/>
        <w:left w:val="none" w:sz="0" w:space="0" w:color="auto"/>
        <w:bottom w:val="none" w:sz="0" w:space="0" w:color="auto"/>
        <w:right w:val="none" w:sz="0" w:space="0" w:color="auto"/>
      </w:divBdr>
    </w:div>
    <w:div w:id="1310524846">
      <w:bodyDiv w:val="1"/>
      <w:marLeft w:val="0"/>
      <w:marRight w:val="0"/>
      <w:marTop w:val="0"/>
      <w:marBottom w:val="0"/>
      <w:divBdr>
        <w:top w:val="none" w:sz="0" w:space="0" w:color="auto"/>
        <w:left w:val="none" w:sz="0" w:space="0" w:color="auto"/>
        <w:bottom w:val="none" w:sz="0" w:space="0" w:color="auto"/>
        <w:right w:val="none" w:sz="0" w:space="0" w:color="auto"/>
      </w:divBdr>
    </w:div>
    <w:div w:id="1311054127">
      <w:bodyDiv w:val="1"/>
      <w:marLeft w:val="0"/>
      <w:marRight w:val="0"/>
      <w:marTop w:val="0"/>
      <w:marBottom w:val="0"/>
      <w:divBdr>
        <w:top w:val="none" w:sz="0" w:space="0" w:color="auto"/>
        <w:left w:val="none" w:sz="0" w:space="0" w:color="auto"/>
        <w:bottom w:val="none" w:sz="0" w:space="0" w:color="auto"/>
        <w:right w:val="none" w:sz="0" w:space="0" w:color="auto"/>
      </w:divBdr>
    </w:div>
    <w:div w:id="1312833537">
      <w:bodyDiv w:val="1"/>
      <w:marLeft w:val="0"/>
      <w:marRight w:val="0"/>
      <w:marTop w:val="0"/>
      <w:marBottom w:val="0"/>
      <w:divBdr>
        <w:top w:val="none" w:sz="0" w:space="0" w:color="auto"/>
        <w:left w:val="none" w:sz="0" w:space="0" w:color="auto"/>
        <w:bottom w:val="none" w:sz="0" w:space="0" w:color="auto"/>
        <w:right w:val="none" w:sz="0" w:space="0" w:color="auto"/>
      </w:divBdr>
    </w:div>
    <w:div w:id="1313633214">
      <w:bodyDiv w:val="1"/>
      <w:marLeft w:val="0"/>
      <w:marRight w:val="0"/>
      <w:marTop w:val="0"/>
      <w:marBottom w:val="0"/>
      <w:divBdr>
        <w:top w:val="none" w:sz="0" w:space="0" w:color="auto"/>
        <w:left w:val="none" w:sz="0" w:space="0" w:color="auto"/>
        <w:bottom w:val="none" w:sz="0" w:space="0" w:color="auto"/>
        <w:right w:val="none" w:sz="0" w:space="0" w:color="auto"/>
      </w:divBdr>
    </w:div>
    <w:div w:id="1313756501">
      <w:bodyDiv w:val="1"/>
      <w:marLeft w:val="0"/>
      <w:marRight w:val="0"/>
      <w:marTop w:val="0"/>
      <w:marBottom w:val="0"/>
      <w:divBdr>
        <w:top w:val="none" w:sz="0" w:space="0" w:color="auto"/>
        <w:left w:val="none" w:sz="0" w:space="0" w:color="auto"/>
        <w:bottom w:val="none" w:sz="0" w:space="0" w:color="auto"/>
        <w:right w:val="none" w:sz="0" w:space="0" w:color="auto"/>
      </w:divBdr>
    </w:div>
    <w:div w:id="1313827131">
      <w:bodyDiv w:val="1"/>
      <w:marLeft w:val="0"/>
      <w:marRight w:val="0"/>
      <w:marTop w:val="0"/>
      <w:marBottom w:val="0"/>
      <w:divBdr>
        <w:top w:val="none" w:sz="0" w:space="0" w:color="auto"/>
        <w:left w:val="none" w:sz="0" w:space="0" w:color="auto"/>
        <w:bottom w:val="none" w:sz="0" w:space="0" w:color="auto"/>
        <w:right w:val="none" w:sz="0" w:space="0" w:color="auto"/>
      </w:divBdr>
    </w:div>
    <w:div w:id="1316951545">
      <w:bodyDiv w:val="1"/>
      <w:marLeft w:val="0"/>
      <w:marRight w:val="0"/>
      <w:marTop w:val="0"/>
      <w:marBottom w:val="0"/>
      <w:divBdr>
        <w:top w:val="none" w:sz="0" w:space="0" w:color="auto"/>
        <w:left w:val="none" w:sz="0" w:space="0" w:color="auto"/>
        <w:bottom w:val="none" w:sz="0" w:space="0" w:color="auto"/>
        <w:right w:val="none" w:sz="0" w:space="0" w:color="auto"/>
      </w:divBdr>
    </w:div>
    <w:div w:id="1317802538">
      <w:bodyDiv w:val="1"/>
      <w:marLeft w:val="0"/>
      <w:marRight w:val="0"/>
      <w:marTop w:val="0"/>
      <w:marBottom w:val="0"/>
      <w:divBdr>
        <w:top w:val="none" w:sz="0" w:space="0" w:color="auto"/>
        <w:left w:val="none" w:sz="0" w:space="0" w:color="auto"/>
        <w:bottom w:val="none" w:sz="0" w:space="0" w:color="auto"/>
        <w:right w:val="none" w:sz="0" w:space="0" w:color="auto"/>
      </w:divBdr>
    </w:div>
    <w:div w:id="1318917773">
      <w:bodyDiv w:val="1"/>
      <w:marLeft w:val="0"/>
      <w:marRight w:val="0"/>
      <w:marTop w:val="0"/>
      <w:marBottom w:val="0"/>
      <w:divBdr>
        <w:top w:val="none" w:sz="0" w:space="0" w:color="auto"/>
        <w:left w:val="none" w:sz="0" w:space="0" w:color="auto"/>
        <w:bottom w:val="none" w:sz="0" w:space="0" w:color="auto"/>
        <w:right w:val="none" w:sz="0" w:space="0" w:color="auto"/>
      </w:divBdr>
    </w:div>
    <w:div w:id="1319462541">
      <w:bodyDiv w:val="1"/>
      <w:marLeft w:val="0"/>
      <w:marRight w:val="0"/>
      <w:marTop w:val="0"/>
      <w:marBottom w:val="0"/>
      <w:divBdr>
        <w:top w:val="none" w:sz="0" w:space="0" w:color="auto"/>
        <w:left w:val="none" w:sz="0" w:space="0" w:color="auto"/>
        <w:bottom w:val="none" w:sz="0" w:space="0" w:color="auto"/>
        <w:right w:val="none" w:sz="0" w:space="0" w:color="auto"/>
      </w:divBdr>
    </w:div>
    <w:div w:id="1319729479">
      <w:bodyDiv w:val="1"/>
      <w:marLeft w:val="0"/>
      <w:marRight w:val="0"/>
      <w:marTop w:val="0"/>
      <w:marBottom w:val="0"/>
      <w:divBdr>
        <w:top w:val="none" w:sz="0" w:space="0" w:color="auto"/>
        <w:left w:val="none" w:sz="0" w:space="0" w:color="auto"/>
        <w:bottom w:val="none" w:sz="0" w:space="0" w:color="auto"/>
        <w:right w:val="none" w:sz="0" w:space="0" w:color="auto"/>
      </w:divBdr>
    </w:div>
    <w:div w:id="1319963125">
      <w:bodyDiv w:val="1"/>
      <w:marLeft w:val="0"/>
      <w:marRight w:val="0"/>
      <w:marTop w:val="0"/>
      <w:marBottom w:val="0"/>
      <w:divBdr>
        <w:top w:val="none" w:sz="0" w:space="0" w:color="auto"/>
        <w:left w:val="none" w:sz="0" w:space="0" w:color="auto"/>
        <w:bottom w:val="none" w:sz="0" w:space="0" w:color="auto"/>
        <w:right w:val="none" w:sz="0" w:space="0" w:color="auto"/>
      </w:divBdr>
    </w:div>
    <w:div w:id="1320960298">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462282">
      <w:bodyDiv w:val="1"/>
      <w:marLeft w:val="0"/>
      <w:marRight w:val="0"/>
      <w:marTop w:val="0"/>
      <w:marBottom w:val="0"/>
      <w:divBdr>
        <w:top w:val="none" w:sz="0" w:space="0" w:color="auto"/>
        <w:left w:val="none" w:sz="0" w:space="0" w:color="auto"/>
        <w:bottom w:val="none" w:sz="0" w:space="0" w:color="auto"/>
        <w:right w:val="none" w:sz="0" w:space="0" w:color="auto"/>
      </w:divBdr>
    </w:div>
    <w:div w:id="1324353406">
      <w:bodyDiv w:val="1"/>
      <w:marLeft w:val="0"/>
      <w:marRight w:val="0"/>
      <w:marTop w:val="0"/>
      <w:marBottom w:val="0"/>
      <w:divBdr>
        <w:top w:val="none" w:sz="0" w:space="0" w:color="auto"/>
        <w:left w:val="none" w:sz="0" w:space="0" w:color="auto"/>
        <w:bottom w:val="none" w:sz="0" w:space="0" w:color="auto"/>
        <w:right w:val="none" w:sz="0" w:space="0" w:color="auto"/>
      </w:divBdr>
    </w:div>
    <w:div w:id="1324620188">
      <w:bodyDiv w:val="1"/>
      <w:marLeft w:val="0"/>
      <w:marRight w:val="0"/>
      <w:marTop w:val="0"/>
      <w:marBottom w:val="0"/>
      <w:divBdr>
        <w:top w:val="none" w:sz="0" w:space="0" w:color="auto"/>
        <w:left w:val="none" w:sz="0" w:space="0" w:color="auto"/>
        <w:bottom w:val="none" w:sz="0" w:space="0" w:color="auto"/>
        <w:right w:val="none" w:sz="0" w:space="0" w:color="auto"/>
      </w:divBdr>
    </w:div>
    <w:div w:id="1325283644">
      <w:bodyDiv w:val="1"/>
      <w:marLeft w:val="0"/>
      <w:marRight w:val="0"/>
      <w:marTop w:val="0"/>
      <w:marBottom w:val="0"/>
      <w:divBdr>
        <w:top w:val="none" w:sz="0" w:space="0" w:color="auto"/>
        <w:left w:val="none" w:sz="0" w:space="0" w:color="auto"/>
        <w:bottom w:val="none" w:sz="0" w:space="0" w:color="auto"/>
        <w:right w:val="none" w:sz="0" w:space="0" w:color="auto"/>
      </w:divBdr>
    </w:div>
    <w:div w:id="1327246295">
      <w:bodyDiv w:val="1"/>
      <w:marLeft w:val="0"/>
      <w:marRight w:val="0"/>
      <w:marTop w:val="0"/>
      <w:marBottom w:val="0"/>
      <w:divBdr>
        <w:top w:val="none" w:sz="0" w:space="0" w:color="auto"/>
        <w:left w:val="none" w:sz="0" w:space="0" w:color="auto"/>
        <w:bottom w:val="none" w:sz="0" w:space="0" w:color="auto"/>
        <w:right w:val="none" w:sz="0" w:space="0" w:color="auto"/>
      </w:divBdr>
    </w:div>
    <w:div w:id="1327781720">
      <w:bodyDiv w:val="1"/>
      <w:marLeft w:val="0"/>
      <w:marRight w:val="0"/>
      <w:marTop w:val="0"/>
      <w:marBottom w:val="0"/>
      <w:divBdr>
        <w:top w:val="none" w:sz="0" w:space="0" w:color="auto"/>
        <w:left w:val="none" w:sz="0" w:space="0" w:color="auto"/>
        <w:bottom w:val="none" w:sz="0" w:space="0" w:color="auto"/>
        <w:right w:val="none" w:sz="0" w:space="0" w:color="auto"/>
      </w:divBdr>
    </w:div>
    <w:div w:id="1327854977">
      <w:bodyDiv w:val="1"/>
      <w:marLeft w:val="0"/>
      <w:marRight w:val="0"/>
      <w:marTop w:val="0"/>
      <w:marBottom w:val="0"/>
      <w:divBdr>
        <w:top w:val="none" w:sz="0" w:space="0" w:color="auto"/>
        <w:left w:val="none" w:sz="0" w:space="0" w:color="auto"/>
        <w:bottom w:val="none" w:sz="0" w:space="0" w:color="auto"/>
        <w:right w:val="none" w:sz="0" w:space="0" w:color="auto"/>
      </w:divBdr>
    </w:div>
    <w:div w:id="1327855533">
      <w:bodyDiv w:val="1"/>
      <w:marLeft w:val="0"/>
      <w:marRight w:val="0"/>
      <w:marTop w:val="0"/>
      <w:marBottom w:val="0"/>
      <w:divBdr>
        <w:top w:val="none" w:sz="0" w:space="0" w:color="auto"/>
        <w:left w:val="none" w:sz="0" w:space="0" w:color="auto"/>
        <w:bottom w:val="none" w:sz="0" w:space="0" w:color="auto"/>
        <w:right w:val="none" w:sz="0" w:space="0" w:color="auto"/>
      </w:divBdr>
    </w:div>
    <w:div w:id="1329282623">
      <w:bodyDiv w:val="1"/>
      <w:marLeft w:val="0"/>
      <w:marRight w:val="0"/>
      <w:marTop w:val="0"/>
      <w:marBottom w:val="0"/>
      <w:divBdr>
        <w:top w:val="none" w:sz="0" w:space="0" w:color="auto"/>
        <w:left w:val="none" w:sz="0" w:space="0" w:color="auto"/>
        <w:bottom w:val="none" w:sz="0" w:space="0" w:color="auto"/>
        <w:right w:val="none" w:sz="0" w:space="0" w:color="auto"/>
      </w:divBdr>
    </w:div>
    <w:div w:id="1330252859">
      <w:bodyDiv w:val="1"/>
      <w:marLeft w:val="0"/>
      <w:marRight w:val="0"/>
      <w:marTop w:val="0"/>
      <w:marBottom w:val="0"/>
      <w:divBdr>
        <w:top w:val="none" w:sz="0" w:space="0" w:color="auto"/>
        <w:left w:val="none" w:sz="0" w:space="0" w:color="auto"/>
        <w:bottom w:val="none" w:sz="0" w:space="0" w:color="auto"/>
        <w:right w:val="none" w:sz="0" w:space="0" w:color="auto"/>
      </w:divBdr>
    </w:div>
    <w:div w:id="1330450193">
      <w:bodyDiv w:val="1"/>
      <w:marLeft w:val="0"/>
      <w:marRight w:val="0"/>
      <w:marTop w:val="0"/>
      <w:marBottom w:val="0"/>
      <w:divBdr>
        <w:top w:val="none" w:sz="0" w:space="0" w:color="auto"/>
        <w:left w:val="none" w:sz="0" w:space="0" w:color="auto"/>
        <w:bottom w:val="none" w:sz="0" w:space="0" w:color="auto"/>
        <w:right w:val="none" w:sz="0" w:space="0" w:color="auto"/>
      </w:divBdr>
    </w:div>
    <w:div w:id="1331371461">
      <w:bodyDiv w:val="1"/>
      <w:marLeft w:val="0"/>
      <w:marRight w:val="0"/>
      <w:marTop w:val="0"/>
      <w:marBottom w:val="0"/>
      <w:divBdr>
        <w:top w:val="none" w:sz="0" w:space="0" w:color="auto"/>
        <w:left w:val="none" w:sz="0" w:space="0" w:color="auto"/>
        <w:bottom w:val="none" w:sz="0" w:space="0" w:color="auto"/>
        <w:right w:val="none" w:sz="0" w:space="0" w:color="auto"/>
      </w:divBdr>
    </w:div>
    <w:div w:id="1331913188">
      <w:bodyDiv w:val="1"/>
      <w:marLeft w:val="0"/>
      <w:marRight w:val="0"/>
      <w:marTop w:val="0"/>
      <w:marBottom w:val="0"/>
      <w:divBdr>
        <w:top w:val="none" w:sz="0" w:space="0" w:color="auto"/>
        <w:left w:val="none" w:sz="0" w:space="0" w:color="auto"/>
        <w:bottom w:val="none" w:sz="0" w:space="0" w:color="auto"/>
        <w:right w:val="none" w:sz="0" w:space="0" w:color="auto"/>
      </w:divBdr>
    </w:div>
    <w:div w:id="1333414289">
      <w:bodyDiv w:val="1"/>
      <w:marLeft w:val="0"/>
      <w:marRight w:val="0"/>
      <w:marTop w:val="0"/>
      <w:marBottom w:val="0"/>
      <w:divBdr>
        <w:top w:val="none" w:sz="0" w:space="0" w:color="auto"/>
        <w:left w:val="none" w:sz="0" w:space="0" w:color="auto"/>
        <w:bottom w:val="none" w:sz="0" w:space="0" w:color="auto"/>
        <w:right w:val="none" w:sz="0" w:space="0" w:color="auto"/>
      </w:divBdr>
    </w:div>
    <w:div w:id="1333949969">
      <w:bodyDiv w:val="1"/>
      <w:marLeft w:val="0"/>
      <w:marRight w:val="0"/>
      <w:marTop w:val="0"/>
      <w:marBottom w:val="0"/>
      <w:divBdr>
        <w:top w:val="none" w:sz="0" w:space="0" w:color="auto"/>
        <w:left w:val="none" w:sz="0" w:space="0" w:color="auto"/>
        <w:bottom w:val="none" w:sz="0" w:space="0" w:color="auto"/>
        <w:right w:val="none" w:sz="0" w:space="0" w:color="auto"/>
      </w:divBdr>
    </w:div>
    <w:div w:id="1334066893">
      <w:bodyDiv w:val="1"/>
      <w:marLeft w:val="0"/>
      <w:marRight w:val="0"/>
      <w:marTop w:val="0"/>
      <w:marBottom w:val="0"/>
      <w:divBdr>
        <w:top w:val="none" w:sz="0" w:space="0" w:color="auto"/>
        <w:left w:val="none" w:sz="0" w:space="0" w:color="auto"/>
        <w:bottom w:val="none" w:sz="0" w:space="0" w:color="auto"/>
        <w:right w:val="none" w:sz="0" w:space="0" w:color="auto"/>
      </w:divBdr>
    </w:div>
    <w:div w:id="1334646700">
      <w:bodyDiv w:val="1"/>
      <w:marLeft w:val="0"/>
      <w:marRight w:val="0"/>
      <w:marTop w:val="0"/>
      <w:marBottom w:val="0"/>
      <w:divBdr>
        <w:top w:val="none" w:sz="0" w:space="0" w:color="auto"/>
        <w:left w:val="none" w:sz="0" w:space="0" w:color="auto"/>
        <w:bottom w:val="none" w:sz="0" w:space="0" w:color="auto"/>
        <w:right w:val="none" w:sz="0" w:space="0" w:color="auto"/>
      </w:divBdr>
    </w:div>
    <w:div w:id="1334723698">
      <w:bodyDiv w:val="1"/>
      <w:marLeft w:val="0"/>
      <w:marRight w:val="0"/>
      <w:marTop w:val="0"/>
      <w:marBottom w:val="0"/>
      <w:divBdr>
        <w:top w:val="none" w:sz="0" w:space="0" w:color="auto"/>
        <w:left w:val="none" w:sz="0" w:space="0" w:color="auto"/>
        <w:bottom w:val="none" w:sz="0" w:space="0" w:color="auto"/>
        <w:right w:val="none" w:sz="0" w:space="0" w:color="auto"/>
      </w:divBdr>
    </w:div>
    <w:div w:id="1338267546">
      <w:bodyDiv w:val="1"/>
      <w:marLeft w:val="0"/>
      <w:marRight w:val="0"/>
      <w:marTop w:val="0"/>
      <w:marBottom w:val="0"/>
      <w:divBdr>
        <w:top w:val="none" w:sz="0" w:space="0" w:color="auto"/>
        <w:left w:val="none" w:sz="0" w:space="0" w:color="auto"/>
        <w:bottom w:val="none" w:sz="0" w:space="0" w:color="auto"/>
        <w:right w:val="none" w:sz="0" w:space="0" w:color="auto"/>
      </w:divBdr>
    </w:div>
    <w:div w:id="1338997180">
      <w:bodyDiv w:val="1"/>
      <w:marLeft w:val="0"/>
      <w:marRight w:val="0"/>
      <w:marTop w:val="0"/>
      <w:marBottom w:val="0"/>
      <w:divBdr>
        <w:top w:val="none" w:sz="0" w:space="0" w:color="auto"/>
        <w:left w:val="none" w:sz="0" w:space="0" w:color="auto"/>
        <w:bottom w:val="none" w:sz="0" w:space="0" w:color="auto"/>
        <w:right w:val="none" w:sz="0" w:space="0" w:color="auto"/>
      </w:divBdr>
    </w:div>
    <w:div w:id="1341618012">
      <w:bodyDiv w:val="1"/>
      <w:marLeft w:val="0"/>
      <w:marRight w:val="0"/>
      <w:marTop w:val="0"/>
      <w:marBottom w:val="0"/>
      <w:divBdr>
        <w:top w:val="none" w:sz="0" w:space="0" w:color="auto"/>
        <w:left w:val="none" w:sz="0" w:space="0" w:color="auto"/>
        <w:bottom w:val="none" w:sz="0" w:space="0" w:color="auto"/>
        <w:right w:val="none" w:sz="0" w:space="0" w:color="auto"/>
      </w:divBdr>
    </w:div>
    <w:div w:id="1343320879">
      <w:bodyDiv w:val="1"/>
      <w:marLeft w:val="0"/>
      <w:marRight w:val="0"/>
      <w:marTop w:val="0"/>
      <w:marBottom w:val="0"/>
      <w:divBdr>
        <w:top w:val="none" w:sz="0" w:space="0" w:color="auto"/>
        <w:left w:val="none" w:sz="0" w:space="0" w:color="auto"/>
        <w:bottom w:val="none" w:sz="0" w:space="0" w:color="auto"/>
        <w:right w:val="none" w:sz="0" w:space="0" w:color="auto"/>
      </w:divBdr>
    </w:div>
    <w:div w:id="1343969690">
      <w:bodyDiv w:val="1"/>
      <w:marLeft w:val="0"/>
      <w:marRight w:val="0"/>
      <w:marTop w:val="0"/>
      <w:marBottom w:val="0"/>
      <w:divBdr>
        <w:top w:val="none" w:sz="0" w:space="0" w:color="auto"/>
        <w:left w:val="none" w:sz="0" w:space="0" w:color="auto"/>
        <w:bottom w:val="none" w:sz="0" w:space="0" w:color="auto"/>
        <w:right w:val="none" w:sz="0" w:space="0" w:color="auto"/>
      </w:divBdr>
    </w:div>
    <w:div w:id="1344210167">
      <w:bodyDiv w:val="1"/>
      <w:marLeft w:val="0"/>
      <w:marRight w:val="0"/>
      <w:marTop w:val="0"/>
      <w:marBottom w:val="0"/>
      <w:divBdr>
        <w:top w:val="none" w:sz="0" w:space="0" w:color="auto"/>
        <w:left w:val="none" w:sz="0" w:space="0" w:color="auto"/>
        <w:bottom w:val="none" w:sz="0" w:space="0" w:color="auto"/>
        <w:right w:val="none" w:sz="0" w:space="0" w:color="auto"/>
      </w:divBdr>
    </w:div>
    <w:div w:id="1345324626">
      <w:bodyDiv w:val="1"/>
      <w:marLeft w:val="0"/>
      <w:marRight w:val="0"/>
      <w:marTop w:val="0"/>
      <w:marBottom w:val="0"/>
      <w:divBdr>
        <w:top w:val="none" w:sz="0" w:space="0" w:color="auto"/>
        <w:left w:val="none" w:sz="0" w:space="0" w:color="auto"/>
        <w:bottom w:val="none" w:sz="0" w:space="0" w:color="auto"/>
        <w:right w:val="none" w:sz="0" w:space="0" w:color="auto"/>
      </w:divBdr>
    </w:div>
    <w:div w:id="1345665998">
      <w:bodyDiv w:val="1"/>
      <w:marLeft w:val="0"/>
      <w:marRight w:val="0"/>
      <w:marTop w:val="0"/>
      <w:marBottom w:val="0"/>
      <w:divBdr>
        <w:top w:val="none" w:sz="0" w:space="0" w:color="auto"/>
        <w:left w:val="none" w:sz="0" w:space="0" w:color="auto"/>
        <w:bottom w:val="none" w:sz="0" w:space="0" w:color="auto"/>
        <w:right w:val="none" w:sz="0" w:space="0" w:color="auto"/>
      </w:divBdr>
    </w:div>
    <w:div w:id="1346398580">
      <w:bodyDiv w:val="1"/>
      <w:marLeft w:val="0"/>
      <w:marRight w:val="0"/>
      <w:marTop w:val="0"/>
      <w:marBottom w:val="0"/>
      <w:divBdr>
        <w:top w:val="none" w:sz="0" w:space="0" w:color="auto"/>
        <w:left w:val="none" w:sz="0" w:space="0" w:color="auto"/>
        <w:bottom w:val="none" w:sz="0" w:space="0" w:color="auto"/>
        <w:right w:val="none" w:sz="0" w:space="0" w:color="auto"/>
      </w:divBdr>
    </w:div>
    <w:div w:id="1347949785">
      <w:bodyDiv w:val="1"/>
      <w:marLeft w:val="0"/>
      <w:marRight w:val="0"/>
      <w:marTop w:val="0"/>
      <w:marBottom w:val="0"/>
      <w:divBdr>
        <w:top w:val="none" w:sz="0" w:space="0" w:color="auto"/>
        <w:left w:val="none" w:sz="0" w:space="0" w:color="auto"/>
        <w:bottom w:val="none" w:sz="0" w:space="0" w:color="auto"/>
        <w:right w:val="none" w:sz="0" w:space="0" w:color="auto"/>
      </w:divBdr>
    </w:div>
    <w:div w:id="1349140838">
      <w:bodyDiv w:val="1"/>
      <w:marLeft w:val="0"/>
      <w:marRight w:val="0"/>
      <w:marTop w:val="0"/>
      <w:marBottom w:val="0"/>
      <w:divBdr>
        <w:top w:val="none" w:sz="0" w:space="0" w:color="auto"/>
        <w:left w:val="none" w:sz="0" w:space="0" w:color="auto"/>
        <w:bottom w:val="none" w:sz="0" w:space="0" w:color="auto"/>
        <w:right w:val="none" w:sz="0" w:space="0" w:color="auto"/>
      </w:divBdr>
    </w:div>
    <w:div w:id="1351224282">
      <w:bodyDiv w:val="1"/>
      <w:marLeft w:val="0"/>
      <w:marRight w:val="0"/>
      <w:marTop w:val="0"/>
      <w:marBottom w:val="0"/>
      <w:divBdr>
        <w:top w:val="none" w:sz="0" w:space="0" w:color="auto"/>
        <w:left w:val="none" w:sz="0" w:space="0" w:color="auto"/>
        <w:bottom w:val="none" w:sz="0" w:space="0" w:color="auto"/>
        <w:right w:val="none" w:sz="0" w:space="0" w:color="auto"/>
      </w:divBdr>
    </w:div>
    <w:div w:id="1351295749">
      <w:bodyDiv w:val="1"/>
      <w:marLeft w:val="0"/>
      <w:marRight w:val="0"/>
      <w:marTop w:val="0"/>
      <w:marBottom w:val="0"/>
      <w:divBdr>
        <w:top w:val="none" w:sz="0" w:space="0" w:color="auto"/>
        <w:left w:val="none" w:sz="0" w:space="0" w:color="auto"/>
        <w:bottom w:val="none" w:sz="0" w:space="0" w:color="auto"/>
        <w:right w:val="none" w:sz="0" w:space="0" w:color="auto"/>
      </w:divBdr>
    </w:div>
    <w:div w:id="1351302468">
      <w:bodyDiv w:val="1"/>
      <w:marLeft w:val="0"/>
      <w:marRight w:val="0"/>
      <w:marTop w:val="0"/>
      <w:marBottom w:val="0"/>
      <w:divBdr>
        <w:top w:val="none" w:sz="0" w:space="0" w:color="auto"/>
        <w:left w:val="none" w:sz="0" w:space="0" w:color="auto"/>
        <w:bottom w:val="none" w:sz="0" w:space="0" w:color="auto"/>
        <w:right w:val="none" w:sz="0" w:space="0" w:color="auto"/>
      </w:divBdr>
    </w:div>
    <w:div w:id="1351638453">
      <w:bodyDiv w:val="1"/>
      <w:marLeft w:val="0"/>
      <w:marRight w:val="0"/>
      <w:marTop w:val="0"/>
      <w:marBottom w:val="0"/>
      <w:divBdr>
        <w:top w:val="none" w:sz="0" w:space="0" w:color="auto"/>
        <w:left w:val="none" w:sz="0" w:space="0" w:color="auto"/>
        <w:bottom w:val="none" w:sz="0" w:space="0" w:color="auto"/>
        <w:right w:val="none" w:sz="0" w:space="0" w:color="auto"/>
      </w:divBdr>
    </w:div>
    <w:div w:id="1352146952">
      <w:bodyDiv w:val="1"/>
      <w:marLeft w:val="0"/>
      <w:marRight w:val="0"/>
      <w:marTop w:val="0"/>
      <w:marBottom w:val="0"/>
      <w:divBdr>
        <w:top w:val="none" w:sz="0" w:space="0" w:color="auto"/>
        <w:left w:val="none" w:sz="0" w:space="0" w:color="auto"/>
        <w:bottom w:val="none" w:sz="0" w:space="0" w:color="auto"/>
        <w:right w:val="none" w:sz="0" w:space="0" w:color="auto"/>
      </w:divBdr>
    </w:div>
    <w:div w:id="1353415659">
      <w:bodyDiv w:val="1"/>
      <w:marLeft w:val="0"/>
      <w:marRight w:val="0"/>
      <w:marTop w:val="0"/>
      <w:marBottom w:val="0"/>
      <w:divBdr>
        <w:top w:val="none" w:sz="0" w:space="0" w:color="auto"/>
        <w:left w:val="none" w:sz="0" w:space="0" w:color="auto"/>
        <w:bottom w:val="none" w:sz="0" w:space="0" w:color="auto"/>
        <w:right w:val="none" w:sz="0" w:space="0" w:color="auto"/>
      </w:divBdr>
    </w:div>
    <w:div w:id="1354039682">
      <w:bodyDiv w:val="1"/>
      <w:marLeft w:val="0"/>
      <w:marRight w:val="0"/>
      <w:marTop w:val="0"/>
      <w:marBottom w:val="0"/>
      <w:divBdr>
        <w:top w:val="none" w:sz="0" w:space="0" w:color="auto"/>
        <w:left w:val="none" w:sz="0" w:space="0" w:color="auto"/>
        <w:bottom w:val="none" w:sz="0" w:space="0" w:color="auto"/>
        <w:right w:val="none" w:sz="0" w:space="0" w:color="auto"/>
      </w:divBdr>
    </w:div>
    <w:div w:id="1354772188">
      <w:bodyDiv w:val="1"/>
      <w:marLeft w:val="0"/>
      <w:marRight w:val="0"/>
      <w:marTop w:val="0"/>
      <w:marBottom w:val="0"/>
      <w:divBdr>
        <w:top w:val="none" w:sz="0" w:space="0" w:color="auto"/>
        <w:left w:val="none" w:sz="0" w:space="0" w:color="auto"/>
        <w:bottom w:val="none" w:sz="0" w:space="0" w:color="auto"/>
        <w:right w:val="none" w:sz="0" w:space="0" w:color="auto"/>
      </w:divBdr>
    </w:div>
    <w:div w:id="1355770823">
      <w:bodyDiv w:val="1"/>
      <w:marLeft w:val="0"/>
      <w:marRight w:val="0"/>
      <w:marTop w:val="0"/>
      <w:marBottom w:val="0"/>
      <w:divBdr>
        <w:top w:val="none" w:sz="0" w:space="0" w:color="auto"/>
        <w:left w:val="none" w:sz="0" w:space="0" w:color="auto"/>
        <w:bottom w:val="none" w:sz="0" w:space="0" w:color="auto"/>
        <w:right w:val="none" w:sz="0" w:space="0" w:color="auto"/>
      </w:divBdr>
    </w:div>
    <w:div w:id="1356927109">
      <w:bodyDiv w:val="1"/>
      <w:marLeft w:val="0"/>
      <w:marRight w:val="0"/>
      <w:marTop w:val="0"/>
      <w:marBottom w:val="0"/>
      <w:divBdr>
        <w:top w:val="none" w:sz="0" w:space="0" w:color="auto"/>
        <w:left w:val="none" w:sz="0" w:space="0" w:color="auto"/>
        <w:bottom w:val="none" w:sz="0" w:space="0" w:color="auto"/>
        <w:right w:val="none" w:sz="0" w:space="0" w:color="auto"/>
      </w:divBdr>
    </w:div>
    <w:div w:id="1357734927">
      <w:bodyDiv w:val="1"/>
      <w:marLeft w:val="0"/>
      <w:marRight w:val="0"/>
      <w:marTop w:val="0"/>
      <w:marBottom w:val="0"/>
      <w:divBdr>
        <w:top w:val="none" w:sz="0" w:space="0" w:color="auto"/>
        <w:left w:val="none" w:sz="0" w:space="0" w:color="auto"/>
        <w:bottom w:val="none" w:sz="0" w:space="0" w:color="auto"/>
        <w:right w:val="none" w:sz="0" w:space="0" w:color="auto"/>
      </w:divBdr>
    </w:div>
    <w:div w:id="1358968054">
      <w:bodyDiv w:val="1"/>
      <w:marLeft w:val="0"/>
      <w:marRight w:val="0"/>
      <w:marTop w:val="0"/>
      <w:marBottom w:val="0"/>
      <w:divBdr>
        <w:top w:val="none" w:sz="0" w:space="0" w:color="auto"/>
        <w:left w:val="none" w:sz="0" w:space="0" w:color="auto"/>
        <w:bottom w:val="none" w:sz="0" w:space="0" w:color="auto"/>
        <w:right w:val="none" w:sz="0" w:space="0" w:color="auto"/>
      </w:divBdr>
    </w:div>
    <w:div w:id="1359043562">
      <w:bodyDiv w:val="1"/>
      <w:marLeft w:val="0"/>
      <w:marRight w:val="0"/>
      <w:marTop w:val="0"/>
      <w:marBottom w:val="0"/>
      <w:divBdr>
        <w:top w:val="none" w:sz="0" w:space="0" w:color="auto"/>
        <w:left w:val="none" w:sz="0" w:space="0" w:color="auto"/>
        <w:bottom w:val="none" w:sz="0" w:space="0" w:color="auto"/>
        <w:right w:val="none" w:sz="0" w:space="0" w:color="auto"/>
      </w:divBdr>
    </w:div>
    <w:div w:id="1360931033">
      <w:bodyDiv w:val="1"/>
      <w:marLeft w:val="0"/>
      <w:marRight w:val="0"/>
      <w:marTop w:val="0"/>
      <w:marBottom w:val="0"/>
      <w:divBdr>
        <w:top w:val="none" w:sz="0" w:space="0" w:color="auto"/>
        <w:left w:val="none" w:sz="0" w:space="0" w:color="auto"/>
        <w:bottom w:val="none" w:sz="0" w:space="0" w:color="auto"/>
        <w:right w:val="none" w:sz="0" w:space="0" w:color="auto"/>
      </w:divBdr>
    </w:div>
    <w:div w:id="1361857130">
      <w:bodyDiv w:val="1"/>
      <w:marLeft w:val="0"/>
      <w:marRight w:val="0"/>
      <w:marTop w:val="0"/>
      <w:marBottom w:val="0"/>
      <w:divBdr>
        <w:top w:val="none" w:sz="0" w:space="0" w:color="auto"/>
        <w:left w:val="none" w:sz="0" w:space="0" w:color="auto"/>
        <w:bottom w:val="none" w:sz="0" w:space="0" w:color="auto"/>
        <w:right w:val="none" w:sz="0" w:space="0" w:color="auto"/>
      </w:divBdr>
    </w:div>
    <w:div w:id="1361857929">
      <w:bodyDiv w:val="1"/>
      <w:marLeft w:val="0"/>
      <w:marRight w:val="0"/>
      <w:marTop w:val="0"/>
      <w:marBottom w:val="0"/>
      <w:divBdr>
        <w:top w:val="none" w:sz="0" w:space="0" w:color="auto"/>
        <w:left w:val="none" w:sz="0" w:space="0" w:color="auto"/>
        <w:bottom w:val="none" w:sz="0" w:space="0" w:color="auto"/>
        <w:right w:val="none" w:sz="0" w:space="0" w:color="auto"/>
      </w:divBdr>
    </w:div>
    <w:div w:id="1363170961">
      <w:bodyDiv w:val="1"/>
      <w:marLeft w:val="0"/>
      <w:marRight w:val="0"/>
      <w:marTop w:val="0"/>
      <w:marBottom w:val="0"/>
      <w:divBdr>
        <w:top w:val="none" w:sz="0" w:space="0" w:color="auto"/>
        <w:left w:val="none" w:sz="0" w:space="0" w:color="auto"/>
        <w:bottom w:val="none" w:sz="0" w:space="0" w:color="auto"/>
        <w:right w:val="none" w:sz="0" w:space="0" w:color="auto"/>
      </w:divBdr>
    </w:div>
    <w:div w:id="1363483604">
      <w:bodyDiv w:val="1"/>
      <w:marLeft w:val="0"/>
      <w:marRight w:val="0"/>
      <w:marTop w:val="0"/>
      <w:marBottom w:val="0"/>
      <w:divBdr>
        <w:top w:val="none" w:sz="0" w:space="0" w:color="auto"/>
        <w:left w:val="none" w:sz="0" w:space="0" w:color="auto"/>
        <w:bottom w:val="none" w:sz="0" w:space="0" w:color="auto"/>
        <w:right w:val="none" w:sz="0" w:space="0" w:color="auto"/>
      </w:divBdr>
    </w:div>
    <w:div w:id="1363558220">
      <w:bodyDiv w:val="1"/>
      <w:marLeft w:val="0"/>
      <w:marRight w:val="0"/>
      <w:marTop w:val="0"/>
      <w:marBottom w:val="0"/>
      <w:divBdr>
        <w:top w:val="none" w:sz="0" w:space="0" w:color="auto"/>
        <w:left w:val="none" w:sz="0" w:space="0" w:color="auto"/>
        <w:bottom w:val="none" w:sz="0" w:space="0" w:color="auto"/>
        <w:right w:val="none" w:sz="0" w:space="0" w:color="auto"/>
      </w:divBdr>
    </w:div>
    <w:div w:id="1363626557">
      <w:bodyDiv w:val="1"/>
      <w:marLeft w:val="0"/>
      <w:marRight w:val="0"/>
      <w:marTop w:val="0"/>
      <w:marBottom w:val="0"/>
      <w:divBdr>
        <w:top w:val="none" w:sz="0" w:space="0" w:color="auto"/>
        <w:left w:val="none" w:sz="0" w:space="0" w:color="auto"/>
        <w:bottom w:val="none" w:sz="0" w:space="0" w:color="auto"/>
        <w:right w:val="none" w:sz="0" w:space="0" w:color="auto"/>
      </w:divBdr>
    </w:div>
    <w:div w:id="1364360210">
      <w:bodyDiv w:val="1"/>
      <w:marLeft w:val="0"/>
      <w:marRight w:val="0"/>
      <w:marTop w:val="0"/>
      <w:marBottom w:val="0"/>
      <w:divBdr>
        <w:top w:val="none" w:sz="0" w:space="0" w:color="auto"/>
        <w:left w:val="none" w:sz="0" w:space="0" w:color="auto"/>
        <w:bottom w:val="none" w:sz="0" w:space="0" w:color="auto"/>
        <w:right w:val="none" w:sz="0" w:space="0" w:color="auto"/>
      </w:divBdr>
    </w:div>
    <w:div w:id="1369454049">
      <w:bodyDiv w:val="1"/>
      <w:marLeft w:val="0"/>
      <w:marRight w:val="0"/>
      <w:marTop w:val="0"/>
      <w:marBottom w:val="0"/>
      <w:divBdr>
        <w:top w:val="none" w:sz="0" w:space="0" w:color="auto"/>
        <w:left w:val="none" w:sz="0" w:space="0" w:color="auto"/>
        <w:bottom w:val="none" w:sz="0" w:space="0" w:color="auto"/>
        <w:right w:val="none" w:sz="0" w:space="0" w:color="auto"/>
      </w:divBdr>
    </w:div>
    <w:div w:id="1369526222">
      <w:bodyDiv w:val="1"/>
      <w:marLeft w:val="0"/>
      <w:marRight w:val="0"/>
      <w:marTop w:val="0"/>
      <w:marBottom w:val="0"/>
      <w:divBdr>
        <w:top w:val="none" w:sz="0" w:space="0" w:color="auto"/>
        <w:left w:val="none" w:sz="0" w:space="0" w:color="auto"/>
        <w:bottom w:val="none" w:sz="0" w:space="0" w:color="auto"/>
        <w:right w:val="none" w:sz="0" w:space="0" w:color="auto"/>
      </w:divBdr>
    </w:div>
    <w:div w:id="1370450366">
      <w:bodyDiv w:val="1"/>
      <w:marLeft w:val="0"/>
      <w:marRight w:val="0"/>
      <w:marTop w:val="0"/>
      <w:marBottom w:val="0"/>
      <w:divBdr>
        <w:top w:val="none" w:sz="0" w:space="0" w:color="auto"/>
        <w:left w:val="none" w:sz="0" w:space="0" w:color="auto"/>
        <w:bottom w:val="none" w:sz="0" w:space="0" w:color="auto"/>
        <w:right w:val="none" w:sz="0" w:space="0" w:color="auto"/>
      </w:divBdr>
    </w:div>
    <w:div w:id="1371036090">
      <w:bodyDiv w:val="1"/>
      <w:marLeft w:val="0"/>
      <w:marRight w:val="0"/>
      <w:marTop w:val="0"/>
      <w:marBottom w:val="0"/>
      <w:divBdr>
        <w:top w:val="none" w:sz="0" w:space="0" w:color="auto"/>
        <w:left w:val="none" w:sz="0" w:space="0" w:color="auto"/>
        <w:bottom w:val="none" w:sz="0" w:space="0" w:color="auto"/>
        <w:right w:val="none" w:sz="0" w:space="0" w:color="auto"/>
      </w:divBdr>
    </w:div>
    <w:div w:id="1372262025">
      <w:bodyDiv w:val="1"/>
      <w:marLeft w:val="0"/>
      <w:marRight w:val="0"/>
      <w:marTop w:val="0"/>
      <w:marBottom w:val="0"/>
      <w:divBdr>
        <w:top w:val="none" w:sz="0" w:space="0" w:color="auto"/>
        <w:left w:val="none" w:sz="0" w:space="0" w:color="auto"/>
        <w:bottom w:val="none" w:sz="0" w:space="0" w:color="auto"/>
        <w:right w:val="none" w:sz="0" w:space="0" w:color="auto"/>
      </w:divBdr>
    </w:div>
    <w:div w:id="1372344285">
      <w:bodyDiv w:val="1"/>
      <w:marLeft w:val="0"/>
      <w:marRight w:val="0"/>
      <w:marTop w:val="0"/>
      <w:marBottom w:val="0"/>
      <w:divBdr>
        <w:top w:val="none" w:sz="0" w:space="0" w:color="auto"/>
        <w:left w:val="none" w:sz="0" w:space="0" w:color="auto"/>
        <w:bottom w:val="none" w:sz="0" w:space="0" w:color="auto"/>
        <w:right w:val="none" w:sz="0" w:space="0" w:color="auto"/>
      </w:divBdr>
    </w:div>
    <w:div w:id="1372730444">
      <w:bodyDiv w:val="1"/>
      <w:marLeft w:val="0"/>
      <w:marRight w:val="0"/>
      <w:marTop w:val="0"/>
      <w:marBottom w:val="0"/>
      <w:divBdr>
        <w:top w:val="none" w:sz="0" w:space="0" w:color="auto"/>
        <w:left w:val="none" w:sz="0" w:space="0" w:color="auto"/>
        <w:bottom w:val="none" w:sz="0" w:space="0" w:color="auto"/>
        <w:right w:val="none" w:sz="0" w:space="0" w:color="auto"/>
      </w:divBdr>
    </w:div>
    <w:div w:id="1374649080">
      <w:bodyDiv w:val="1"/>
      <w:marLeft w:val="0"/>
      <w:marRight w:val="0"/>
      <w:marTop w:val="0"/>
      <w:marBottom w:val="0"/>
      <w:divBdr>
        <w:top w:val="none" w:sz="0" w:space="0" w:color="auto"/>
        <w:left w:val="none" w:sz="0" w:space="0" w:color="auto"/>
        <w:bottom w:val="none" w:sz="0" w:space="0" w:color="auto"/>
        <w:right w:val="none" w:sz="0" w:space="0" w:color="auto"/>
      </w:divBdr>
    </w:div>
    <w:div w:id="1375547131">
      <w:bodyDiv w:val="1"/>
      <w:marLeft w:val="0"/>
      <w:marRight w:val="0"/>
      <w:marTop w:val="0"/>
      <w:marBottom w:val="0"/>
      <w:divBdr>
        <w:top w:val="none" w:sz="0" w:space="0" w:color="auto"/>
        <w:left w:val="none" w:sz="0" w:space="0" w:color="auto"/>
        <w:bottom w:val="none" w:sz="0" w:space="0" w:color="auto"/>
        <w:right w:val="none" w:sz="0" w:space="0" w:color="auto"/>
      </w:divBdr>
    </w:div>
    <w:div w:id="1376858101">
      <w:bodyDiv w:val="1"/>
      <w:marLeft w:val="0"/>
      <w:marRight w:val="0"/>
      <w:marTop w:val="0"/>
      <w:marBottom w:val="0"/>
      <w:divBdr>
        <w:top w:val="none" w:sz="0" w:space="0" w:color="auto"/>
        <w:left w:val="none" w:sz="0" w:space="0" w:color="auto"/>
        <w:bottom w:val="none" w:sz="0" w:space="0" w:color="auto"/>
        <w:right w:val="none" w:sz="0" w:space="0" w:color="auto"/>
      </w:divBdr>
    </w:div>
    <w:div w:id="1378041484">
      <w:bodyDiv w:val="1"/>
      <w:marLeft w:val="0"/>
      <w:marRight w:val="0"/>
      <w:marTop w:val="0"/>
      <w:marBottom w:val="0"/>
      <w:divBdr>
        <w:top w:val="none" w:sz="0" w:space="0" w:color="auto"/>
        <w:left w:val="none" w:sz="0" w:space="0" w:color="auto"/>
        <w:bottom w:val="none" w:sz="0" w:space="0" w:color="auto"/>
        <w:right w:val="none" w:sz="0" w:space="0" w:color="auto"/>
      </w:divBdr>
    </w:div>
    <w:div w:id="1379165953">
      <w:bodyDiv w:val="1"/>
      <w:marLeft w:val="0"/>
      <w:marRight w:val="0"/>
      <w:marTop w:val="0"/>
      <w:marBottom w:val="0"/>
      <w:divBdr>
        <w:top w:val="none" w:sz="0" w:space="0" w:color="auto"/>
        <w:left w:val="none" w:sz="0" w:space="0" w:color="auto"/>
        <w:bottom w:val="none" w:sz="0" w:space="0" w:color="auto"/>
        <w:right w:val="none" w:sz="0" w:space="0" w:color="auto"/>
      </w:divBdr>
    </w:div>
    <w:div w:id="1379207208">
      <w:bodyDiv w:val="1"/>
      <w:marLeft w:val="0"/>
      <w:marRight w:val="0"/>
      <w:marTop w:val="0"/>
      <w:marBottom w:val="0"/>
      <w:divBdr>
        <w:top w:val="none" w:sz="0" w:space="0" w:color="auto"/>
        <w:left w:val="none" w:sz="0" w:space="0" w:color="auto"/>
        <w:bottom w:val="none" w:sz="0" w:space="0" w:color="auto"/>
        <w:right w:val="none" w:sz="0" w:space="0" w:color="auto"/>
      </w:divBdr>
    </w:div>
    <w:div w:id="1380204309">
      <w:bodyDiv w:val="1"/>
      <w:marLeft w:val="0"/>
      <w:marRight w:val="0"/>
      <w:marTop w:val="0"/>
      <w:marBottom w:val="0"/>
      <w:divBdr>
        <w:top w:val="none" w:sz="0" w:space="0" w:color="auto"/>
        <w:left w:val="none" w:sz="0" w:space="0" w:color="auto"/>
        <w:bottom w:val="none" w:sz="0" w:space="0" w:color="auto"/>
        <w:right w:val="none" w:sz="0" w:space="0" w:color="auto"/>
      </w:divBdr>
    </w:div>
    <w:div w:id="1380590286">
      <w:bodyDiv w:val="1"/>
      <w:marLeft w:val="0"/>
      <w:marRight w:val="0"/>
      <w:marTop w:val="0"/>
      <w:marBottom w:val="0"/>
      <w:divBdr>
        <w:top w:val="none" w:sz="0" w:space="0" w:color="auto"/>
        <w:left w:val="none" w:sz="0" w:space="0" w:color="auto"/>
        <w:bottom w:val="none" w:sz="0" w:space="0" w:color="auto"/>
        <w:right w:val="none" w:sz="0" w:space="0" w:color="auto"/>
      </w:divBdr>
    </w:div>
    <w:div w:id="1381053750">
      <w:bodyDiv w:val="1"/>
      <w:marLeft w:val="0"/>
      <w:marRight w:val="0"/>
      <w:marTop w:val="0"/>
      <w:marBottom w:val="0"/>
      <w:divBdr>
        <w:top w:val="none" w:sz="0" w:space="0" w:color="auto"/>
        <w:left w:val="none" w:sz="0" w:space="0" w:color="auto"/>
        <w:bottom w:val="none" w:sz="0" w:space="0" w:color="auto"/>
        <w:right w:val="none" w:sz="0" w:space="0" w:color="auto"/>
      </w:divBdr>
    </w:div>
    <w:div w:id="1381055915">
      <w:bodyDiv w:val="1"/>
      <w:marLeft w:val="0"/>
      <w:marRight w:val="0"/>
      <w:marTop w:val="0"/>
      <w:marBottom w:val="0"/>
      <w:divBdr>
        <w:top w:val="none" w:sz="0" w:space="0" w:color="auto"/>
        <w:left w:val="none" w:sz="0" w:space="0" w:color="auto"/>
        <w:bottom w:val="none" w:sz="0" w:space="0" w:color="auto"/>
        <w:right w:val="none" w:sz="0" w:space="0" w:color="auto"/>
      </w:divBdr>
    </w:div>
    <w:div w:id="1381713276">
      <w:bodyDiv w:val="1"/>
      <w:marLeft w:val="0"/>
      <w:marRight w:val="0"/>
      <w:marTop w:val="0"/>
      <w:marBottom w:val="0"/>
      <w:divBdr>
        <w:top w:val="none" w:sz="0" w:space="0" w:color="auto"/>
        <w:left w:val="none" w:sz="0" w:space="0" w:color="auto"/>
        <w:bottom w:val="none" w:sz="0" w:space="0" w:color="auto"/>
        <w:right w:val="none" w:sz="0" w:space="0" w:color="auto"/>
      </w:divBdr>
    </w:div>
    <w:div w:id="1383016407">
      <w:bodyDiv w:val="1"/>
      <w:marLeft w:val="0"/>
      <w:marRight w:val="0"/>
      <w:marTop w:val="0"/>
      <w:marBottom w:val="0"/>
      <w:divBdr>
        <w:top w:val="none" w:sz="0" w:space="0" w:color="auto"/>
        <w:left w:val="none" w:sz="0" w:space="0" w:color="auto"/>
        <w:bottom w:val="none" w:sz="0" w:space="0" w:color="auto"/>
        <w:right w:val="none" w:sz="0" w:space="0" w:color="auto"/>
      </w:divBdr>
    </w:div>
    <w:div w:id="1384137938">
      <w:bodyDiv w:val="1"/>
      <w:marLeft w:val="0"/>
      <w:marRight w:val="0"/>
      <w:marTop w:val="0"/>
      <w:marBottom w:val="0"/>
      <w:divBdr>
        <w:top w:val="none" w:sz="0" w:space="0" w:color="auto"/>
        <w:left w:val="none" w:sz="0" w:space="0" w:color="auto"/>
        <w:bottom w:val="none" w:sz="0" w:space="0" w:color="auto"/>
        <w:right w:val="none" w:sz="0" w:space="0" w:color="auto"/>
      </w:divBdr>
    </w:div>
    <w:div w:id="1384479774">
      <w:bodyDiv w:val="1"/>
      <w:marLeft w:val="0"/>
      <w:marRight w:val="0"/>
      <w:marTop w:val="0"/>
      <w:marBottom w:val="0"/>
      <w:divBdr>
        <w:top w:val="none" w:sz="0" w:space="0" w:color="auto"/>
        <w:left w:val="none" w:sz="0" w:space="0" w:color="auto"/>
        <w:bottom w:val="none" w:sz="0" w:space="0" w:color="auto"/>
        <w:right w:val="none" w:sz="0" w:space="0" w:color="auto"/>
      </w:divBdr>
    </w:div>
    <w:div w:id="1385134705">
      <w:bodyDiv w:val="1"/>
      <w:marLeft w:val="0"/>
      <w:marRight w:val="0"/>
      <w:marTop w:val="0"/>
      <w:marBottom w:val="0"/>
      <w:divBdr>
        <w:top w:val="none" w:sz="0" w:space="0" w:color="auto"/>
        <w:left w:val="none" w:sz="0" w:space="0" w:color="auto"/>
        <w:bottom w:val="none" w:sz="0" w:space="0" w:color="auto"/>
        <w:right w:val="none" w:sz="0" w:space="0" w:color="auto"/>
      </w:divBdr>
    </w:div>
    <w:div w:id="1388411186">
      <w:bodyDiv w:val="1"/>
      <w:marLeft w:val="0"/>
      <w:marRight w:val="0"/>
      <w:marTop w:val="0"/>
      <w:marBottom w:val="0"/>
      <w:divBdr>
        <w:top w:val="none" w:sz="0" w:space="0" w:color="auto"/>
        <w:left w:val="none" w:sz="0" w:space="0" w:color="auto"/>
        <w:bottom w:val="none" w:sz="0" w:space="0" w:color="auto"/>
        <w:right w:val="none" w:sz="0" w:space="0" w:color="auto"/>
      </w:divBdr>
    </w:div>
    <w:div w:id="1391226369">
      <w:bodyDiv w:val="1"/>
      <w:marLeft w:val="0"/>
      <w:marRight w:val="0"/>
      <w:marTop w:val="0"/>
      <w:marBottom w:val="0"/>
      <w:divBdr>
        <w:top w:val="none" w:sz="0" w:space="0" w:color="auto"/>
        <w:left w:val="none" w:sz="0" w:space="0" w:color="auto"/>
        <w:bottom w:val="none" w:sz="0" w:space="0" w:color="auto"/>
        <w:right w:val="none" w:sz="0" w:space="0" w:color="auto"/>
      </w:divBdr>
    </w:div>
    <w:div w:id="1391997442">
      <w:bodyDiv w:val="1"/>
      <w:marLeft w:val="0"/>
      <w:marRight w:val="0"/>
      <w:marTop w:val="0"/>
      <w:marBottom w:val="0"/>
      <w:divBdr>
        <w:top w:val="none" w:sz="0" w:space="0" w:color="auto"/>
        <w:left w:val="none" w:sz="0" w:space="0" w:color="auto"/>
        <w:bottom w:val="none" w:sz="0" w:space="0" w:color="auto"/>
        <w:right w:val="none" w:sz="0" w:space="0" w:color="auto"/>
      </w:divBdr>
    </w:div>
    <w:div w:id="1395161173">
      <w:bodyDiv w:val="1"/>
      <w:marLeft w:val="0"/>
      <w:marRight w:val="0"/>
      <w:marTop w:val="0"/>
      <w:marBottom w:val="0"/>
      <w:divBdr>
        <w:top w:val="none" w:sz="0" w:space="0" w:color="auto"/>
        <w:left w:val="none" w:sz="0" w:space="0" w:color="auto"/>
        <w:bottom w:val="none" w:sz="0" w:space="0" w:color="auto"/>
        <w:right w:val="none" w:sz="0" w:space="0" w:color="auto"/>
      </w:divBdr>
    </w:div>
    <w:div w:id="1395740022">
      <w:bodyDiv w:val="1"/>
      <w:marLeft w:val="0"/>
      <w:marRight w:val="0"/>
      <w:marTop w:val="0"/>
      <w:marBottom w:val="0"/>
      <w:divBdr>
        <w:top w:val="none" w:sz="0" w:space="0" w:color="auto"/>
        <w:left w:val="none" w:sz="0" w:space="0" w:color="auto"/>
        <w:bottom w:val="none" w:sz="0" w:space="0" w:color="auto"/>
        <w:right w:val="none" w:sz="0" w:space="0" w:color="auto"/>
      </w:divBdr>
    </w:div>
    <w:div w:id="1395858409">
      <w:bodyDiv w:val="1"/>
      <w:marLeft w:val="0"/>
      <w:marRight w:val="0"/>
      <w:marTop w:val="0"/>
      <w:marBottom w:val="0"/>
      <w:divBdr>
        <w:top w:val="none" w:sz="0" w:space="0" w:color="auto"/>
        <w:left w:val="none" w:sz="0" w:space="0" w:color="auto"/>
        <w:bottom w:val="none" w:sz="0" w:space="0" w:color="auto"/>
        <w:right w:val="none" w:sz="0" w:space="0" w:color="auto"/>
      </w:divBdr>
    </w:div>
    <w:div w:id="1403261711">
      <w:bodyDiv w:val="1"/>
      <w:marLeft w:val="0"/>
      <w:marRight w:val="0"/>
      <w:marTop w:val="0"/>
      <w:marBottom w:val="0"/>
      <w:divBdr>
        <w:top w:val="none" w:sz="0" w:space="0" w:color="auto"/>
        <w:left w:val="none" w:sz="0" w:space="0" w:color="auto"/>
        <w:bottom w:val="none" w:sz="0" w:space="0" w:color="auto"/>
        <w:right w:val="none" w:sz="0" w:space="0" w:color="auto"/>
      </w:divBdr>
    </w:div>
    <w:div w:id="1404139089">
      <w:bodyDiv w:val="1"/>
      <w:marLeft w:val="0"/>
      <w:marRight w:val="0"/>
      <w:marTop w:val="0"/>
      <w:marBottom w:val="0"/>
      <w:divBdr>
        <w:top w:val="none" w:sz="0" w:space="0" w:color="auto"/>
        <w:left w:val="none" w:sz="0" w:space="0" w:color="auto"/>
        <w:bottom w:val="none" w:sz="0" w:space="0" w:color="auto"/>
        <w:right w:val="none" w:sz="0" w:space="0" w:color="auto"/>
      </w:divBdr>
    </w:div>
    <w:div w:id="1406107218">
      <w:bodyDiv w:val="1"/>
      <w:marLeft w:val="0"/>
      <w:marRight w:val="0"/>
      <w:marTop w:val="0"/>
      <w:marBottom w:val="0"/>
      <w:divBdr>
        <w:top w:val="none" w:sz="0" w:space="0" w:color="auto"/>
        <w:left w:val="none" w:sz="0" w:space="0" w:color="auto"/>
        <w:bottom w:val="none" w:sz="0" w:space="0" w:color="auto"/>
        <w:right w:val="none" w:sz="0" w:space="0" w:color="auto"/>
      </w:divBdr>
    </w:div>
    <w:div w:id="1406369266">
      <w:bodyDiv w:val="1"/>
      <w:marLeft w:val="0"/>
      <w:marRight w:val="0"/>
      <w:marTop w:val="0"/>
      <w:marBottom w:val="0"/>
      <w:divBdr>
        <w:top w:val="none" w:sz="0" w:space="0" w:color="auto"/>
        <w:left w:val="none" w:sz="0" w:space="0" w:color="auto"/>
        <w:bottom w:val="none" w:sz="0" w:space="0" w:color="auto"/>
        <w:right w:val="none" w:sz="0" w:space="0" w:color="auto"/>
      </w:divBdr>
    </w:div>
    <w:div w:id="1406608912">
      <w:bodyDiv w:val="1"/>
      <w:marLeft w:val="0"/>
      <w:marRight w:val="0"/>
      <w:marTop w:val="0"/>
      <w:marBottom w:val="0"/>
      <w:divBdr>
        <w:top w:val="none" w:sz="0" w:space="0" w:color="auto"/>
        <w:left w:val="none" w:sz="0" w:space="0" w:color="auto"/>
        <w:bottom w:val="none" w:sz="0" w:space="0" w:color="auto"/>
        <w:right w:val="none" w:sz="0" w:space="0" w:color="auto"/>
      </w:divBdr>
    </w:div>
    <w:div w:id="1407533997">
      <w:bodyDiv w:val="1"/>
      <w:marLeft w:val="0"/>
      <w:marRight w:val="0"/>
      <w:marTop w:val="0"/>
      <w:marBottom w:val="0"/>
      <w:divBdr>
        <w:top w:val="none" w:sz="0" w:space="0" w:color="auto"/>
        <w:left w:val="none" w:sz="0" w:space="0" w:color="auto"/>
        <w:bottom w:val="none" w:sz="0" w:space="0" w:color="auto"/>
        <w:right w:val="none" w:sz="0" w:space="0" w:color="auto"/>
      </w:divBdr>
    </w:div>
    <w:div w:id="1407534710">
      <w:bodyDiv w:val="1"/>
      <w:marLeft w:val="0"/>
      <w:marRight w:val="0"/>
      <w:marTop w:val="0"/>
      <w:marBottom w:val="0"/>
      <w:divBdr>
        <w:top w:val="none" w:sz="0" w:space="0" w:color="auto"/>
        <w:left w:val="none" w:sz="0" w:space="0" w:color="auto"/>
        <w:bottom w:val="none" w:sz="0" w:space="0" w:color="auto"/>
        <w:right w:val="none" w:sz="0" w:space="0" w:color="auto"/>
      </w:divBdr>
    </w:div>
    <w:div w:id="1408964193">
      <w:bodyDiv w:val="1"/>
      <w:marLeft w:val="0"/>
      <w:marRight w:val="0"/>
      <w:marTop w:val="0"/>
      <w:marBottom w:val="0"/>
      <w:divBdr>
        <w:top w:val="none" w:sz="0" w:space="0" w:color="auto"/>
        <w:left w:val="none" w:sz="0" w:space="0" w:color="auto"/>
        <w:bottom w:val="none" w:sz="0" w:space="0" w:color="auto"/>
        <w:right w:val="none" w:sz="0" w:space="0" w:color="auto"/>
      </w:divBdr>
    </w:div>
    <w:div w:id="1409110710">
      <w:bodyDiv w:val="1"/>
      <w:marLeft w:val="0"/>
      <w:marRight w:val="0"/>
      <w:marTop w:val="0"/>
      <w:marBottom w:val="0"/>
      <w:divBdr>
        <w:top w:val="none" w:sz="0" w:space="0" w:color="auto"/>
        <w:left w:val="none" w:sz="0" w:space="0" w:color="auto"/>
        <w:bottom w:val="none" w:sz="0" w:space="0" w:color="auto"/>
        <w:right w:val="none" w:sz="0" w:space="0" w:color="auto"/>
      </w:divBdr>
    </w:div>
    <w:div w:id="1409690105">
      <w:bodyDiv w:val="1"/>
      <w:marLeft w:val="0"/>
      <w:marRight w:val="0"/>
      <w:marTop w:val="0"/>
      <w:marBottom w:val="0"/>
      <w:divBdr>
        <w:top w:val="none" w:sz="0" w:space="0" w:color="auto"/>
        <w:left w:val="none" w:sz="0" w:space="0" w:color="auto"/>
        <w:bottom w:val="none" w:sz="0" w:space="0" w:color="auto"/>
        <w:right w:val="none" w:sz="0" w:space="0" w:color="auto"/>
      </w:divBdr>
    </w:div>
    <w:div w:id="1413119259">
      <w:bodyDiv w:val="1"/>
      <w:marLeft w:val="0"/>
      <w:marRight w:val="0"/>
      <w:marTop w:val="0"/>
      <w:marBottom w:val="0"/>
      <w:divBdr>
        <w:top w:val="none" w:sz="0" w:space="0" w:color="auto"/>
        <w:left w:val="none" w:sz="0" w:space="0" w:color="auto"/>
        <w:bottom w:val="none" w:sz="0" w:space="0" w:color="auto"/>
        <w:right w:val="none" w:sz="0" w:space="0" w:color="auto"/>
      </w:divBdr>
    </w:div>
    <w:div w:id="1413504986">
      <w:bodyDiv w:val="1"/>
      <w:marLeft w:val="0"/>
      <w:marRight w:val="0"/>
      <w:marTop w:val="0"/>
      <w:marBottom w:val="0"/>
      <w:divBdr>
        <w:top w:val="none" w:sz="0" w:space="0" w:color="auto"/>
        <w:left w:val="none" w:sz="0" w:space="0" w:color="auto"/>
        <w:bottom w:val="none" w:sz="0" w:space="0" w:color="auto"/>
        <w:right w:val="none" w:sz="0" w:space="0" w:color="auto"/>
      </w:divBdr>
    </w:div>
    <w:div w:id="1413546309">
      <w:bodyDiv w:val="1"/>
      <w:marLeft w:val="0"/>
      <w:marRight w:val="0"/>
      <w:marTop w:val="0"/>
      <w:marBottom w:val="0"/>
      <w:divBdr>
        <w:top w:val="none" w:sz="0" w:space="0" w:color="auto"/>
        <w:left w:val="none" w:sz="0" w:space="0" w:color="auto"/>
        <w:bottom w:val="none" w:sz="0" w:space="0" w:color="auto"/>
        <w:right w:val="none" w:sz="0" w:space="0" w:color="auto"/>
      </w:divBdr>
    </w:div>
    <w:div w:id="1414357362">
      <w:bodyDiv w:val="1"/>
      <w:marLeft w:val="0"/>
      <w:marRight w:val="0"/>
      <w:marTop w:val="0"/>
      <w:marBottom w:val="0"/>
      <w:divBdr>
        <w:top w:val="none" w:sz="0" w:space="0" w:color="auto"/>
        <w:left w:val="none" w:sz="0" w:space="0" w:color="auto"/>
        <w:bottom w:val="none" w:sz="0" w:space="0" w:color="auto"/>
        <w:right w:val="none" w:sz="0" w:space="0" w:color="auto"/>
      </w:divBdr>
    </w:div>
    <w:div w:id="1415012627">
      <w:bodyDiv w:val="1"/>
      <w:marLeft w:val="0"/>
      <w:marRight w:val="0"/>
      <w:marTop w:val="0"/>
      <w:marBottom w:val="0"/>
      <w:divBdr>
        <w:top w:val="none" w:sz="0" w:space="0" w:color="auto"/>
        <w:left w:val="none" w:sz="0" w:space="0" w:color="auto"/>
        <w:bottom w:val="none" w:sz="0" w:space="0" w:color="auto"/>
        <w:right w:val="none" w:sz="0" w:space="0" w:color="auto"/>
      </w:divBdr>
    </w:div>
    <w:div w:id="1416633014">
      <w:bodyDiv w:val="1"/>
      <w:marLeft w:val="0"/>
      <w:marRight w:val="0"/>
      <w:marTop w:val="0"/>
      <w:marBottom w:val="0"/>
      <w:divBdr>
        <w:top w:val="none" w:sz="0" w:space="0" w:color="auto"/>
        <w:left w:val="none" w:sz="0" w:space="0" w:color="auto"/>
        <w:bottom w:val="none" w:sz="0" w:space="0" w:color="auto"/>
        <w:right w:val="none" w:sz="0" w:space="0" w:color="auto"/>
      </w:divBdr>
    </w:div>
    <w:div w:id="1417550762">
      <w:bodyDiv w:val="1"/>
      <w:marLeft w:val="0"/>
      <w:marRight w:val="0"/>
      <w:marTop w:val="0"/>
      <w:marBottom w:val="0"/>
      <w:divBdr>
        <w:top w:val="none" w:sz="0" w:space="0" w:color="auto"/>
        <w:left w:val="none" w:sz="0" w:space="0" w:color="auto"/>
        <w:bottom w:val="none" w:sz="0" w:space="0" w:color="auto"/>
        <w:right w:val="none" w:sz="0" w:space="0" w:color="auto"/>
      </w:divBdr>
    </w:div>
    <w:div w:id="1419598209">
      <w:bodyDiv w:val="1"/>
      <w:marLeft w:val="0"/>
      <w:marRight w:val="0"/>
      <w:marTop w:val="0"/>
      <w:marBottom w:val="0"/>
      <w:divBdr>
        <w:top w:val="none" w:sz="0" w:space="0" w:color="auto"/>
        <w:left w:val="none" w:sz="0" w:space="0" w:color="auto"/>
        <w:bottom w:val="none" w:sz="0" w:space="0" w:color="auto"/>
        <w:right w:val="none" w:sz="0" w:space="0" w:color="auto"/>
      </w:divBdr>
    </w:div>
    <w:div w:id="1420296472">
      <w:bodyDiv w:val="1"/>
      <w:marLeft w:val="0"/>
      <w:marRight w:val="0"/>
      <w:marTop w:val="0"/>
      <w:marBottom w:val="0"/>
      <w:divBdr>
        <w:top w:val="none" w:sz="0" w:space="0" w:color="auto"/>
        <w:left w:val="none" w:sz="0" w:space="0" w:color="auto"/>
        <w:bottom w:val="none" w:sz="0" w:space="0" w:color="auto"/>
        <w:right w:val="none" w:sz="0" w:space="0" w:color="auto"/>
      </w:divBdr>
    </w:div>
    <w:div w:id="1422722612">
      <w:bodyDiv w:val="1"/>
      <w:marLeft w:val="0"/>
      <w:marRight w:val="0"/>
      <w:marTop w:val="0"/>
      <w:marBottom w:val="0"/>
      <w:divBdr>
        <w:top w:val="none" w:sz="0" w:space="0" w:color="auto"/>
        <w:left w:val="none" w:sz="0" w:space="0" w:color="auto"/>
        <w:bottom w:val="none" w:sz="0" w:space="0" w:color="auto"/>
        <w:right w:val="none" w:sz="0" w:space="0" w:color="auto"/>
      </w:divBdr>
    </w:div>
    <w:div w:id="1422871182">
      <w:bodyDiv w:val="1"/>
      <w:marLeft w:val="0"/>
      <w:marRight w:val="0"/>
      <w:marTop w:val="0"/>
      <w:marBottom w:val="0"/>
      <w:divBdr>
        <w:top w:val="none" w:sz="0" w:space="0" w:color="auto"/>
        <w:left w:val="none" w:sz="0" w:space="0" w:color="auto"/>
        <w:bottom w:val="none" w:sz="0" w:space="0" w:color="auto"/>
        <w:right w:val="none" w:sz="0" w:space="0" w:color="auto"/>
      </w:divBdr>
    </w:div>
    <w:div w:id="1422918689">
      <w:bodyDiv w:val="1"/>
      <w:marLeft w:val="0"/>
      <w:marRight w:val="0"/>
      <w:marTop w:val="0"/>
      <w:marBottom w:val="0"/>
      <w:divBdr>
        <w:top w:val="none" w:sz="0" w:space="0" w:color="auto"/>
        <w:left w:val="none" w:sz="0" w:space="0" w:color="auto"/>
        <w:bottom w:val="none" w:sz="0" w:space="0" w:color="auto"/>
        <w:right w:val="none" w:sz="0" w:space="0" w:color="auto"/>
      </w:divBdr>
    </w:div>
    <w:div w:id="1423648992">
      <w:bodyDiv w:val="1"/>
      <w:marLeft w:val="0"/>
      <w:marRight w:val="0"/>
      <w:marTop w:val="0"/>
      <w:marBottom w:val="0"/>
      <w:divBdr>
        <w:top w:val="none" w:sz="0" w:space="0" w:color="auto"/>
        <w:left w:val="none" w:sz="0" w:space="0" w:color="auto"/>
        <w:bottom w:val="none" w:sz="0" w:space="0" w:color="auto"/>
        <w:right w:val="none" w:sz="0" w:space="0" w:color="auto"/>
      </w:divBdr>
    </w:div>
    <w:div w:id="1423917357">
      <w:bodyDiv w:val="1"/>
      <w:marLeft w:val="0"/>
      <w:marRight w:val="0"/>
      <w:marTop w:val="0"/>
      <w:marBottom w:val="0"/>
      <w:divBdr>
        <w:top w:val="none" w:sz="0" w:space="0" w:color="auto"/>
        <w:left w:val="none" w:sz="0" w:space="0" w:color="auto"/>
        <w:bottom w:val="none" w:sz="0" w:space="0" w:color="auto"/>
        <w:right w:val="none" w:sz="0" w:space="0" w:color="auto"/>
      </w:divBdr>
    </w:div>
    <w:div w:id="1424448681">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952337">
      <w:bodyDiv w:val="1"/>
      <w:marLeft w:val="0"/>
      <w:marRight w:val="0"/>
      <w:marTop w:val="0"/>
      <w:marBottom w:val="0"/>
      <w:divBdr>
        <w:top w:val="none" w:sz="0" w:space="0" w:color="auto"/>
        <w:left w:val="none" w:sz="0" w:space="0" w:color="auto"/>
        <w:bottom w:val="none" w:sz="0" w:space="0" w:color="auto"/>
        <w:right w:val="none" w:sz="0" w:space="0" w:color="auto"/>
      </w:divBdr>
    </w:div>
    <w:div w:id="1426147641">
      <w:bodyDiv w:val="1"/>
      <w:marLeft w:val="0"/>
      <w:marRight w:val="0"/>
      <w:marTop w:val="0"/>
      <w:marBottom w:val="0"/>
      <w:divBdr>
        <w:top w:val="none" w:sz="0" w:space="0" w:color="auto"/>
        <w:left w:val="none" w:sz="0" w:space="0" w:color="auto"/>
        <w:bottom w:val="none" w:sz="0" w:space="0" w:color="auto"/>
        <w:right w:val="none" w:sz="0" w:space="0" w:color="auto"/>
      </w:divBdr>
    </w:div>
    <w:div w:id="1426268495">
      <w:bodyDiv w:val="1"/>
      <w:marLeft w:val="0"/>
      <w:marRight w:val="0"/>
      <w:marTop w:val="0"/>
      <w:marBottom w:val="0"/>
      <w:divBdr>
        <w:top w:val="none" w:sz="0" w:space="0" w:color="auto"/>
        <w:left w:val="none" w:sz="0" w:space="0" w:color="auto"/>
        <w:bottom w:val="none" w:sz="0" w:space="0" w:color="auto"/>
        <w:right w:val="none" w:sz="0" w:space="0" w:color="auto"/>
      </w:divBdr>
    </w:div>
    <w:div w:id="1428192855">
      <w:bodyDiv w:val="1"/>
      <w:marLeft w:val="0"/>
      <w:marRight w:val="0"/>
      <w:marTop w:val="0"/>
      <w:marBottom w:val="0"/>
      <w:divBdr>
        <w:top w:val="none" w:sz="0" w:space="0" w:color="auto"/>
        <w:left w:val="none" w:sz="0" w:space="0" w:color="auto"/>
        <w:bottom w:val="none" w:sz="0" w:space="0" w:color="auto"/>
        <w:right w:val="none" w:sz="0" w:space="0" w:color="auto"/>
      </w:divBdr>
    </w:div>
    <w:div w:id="1430077675">
      <w:bodyDiv w:val="1"/>
      <w:marLeft w:val="0"/>
      <w:marRight w:val="0"/>
      <w:marTop w:val="0"/>
      <w:marBottom w:val="0"/>
      <w:divBdr>
        <w:top w:val="none" w:sz="0" w:space="0" w:color="auto"/>
        <w:left w:val="none" w:sz="0" w:space="0" w:color="auto"/>
        <w:bottom w:val="none" w:sz="0" w:space="0" w:color="auto"/>
        <w:right w:val="none" w:sz="0" w:space="0" w:color="auto"/>
      </w:divBdr>
    </w:div>
    <w:div w:id="1430079402">
      <w:bodyDiv w:val="1"/>
      <w:marLeft w:val="0"/>
      <w:marRight w:val="0"/>
      <w:marTop w:val="0"/>
      <w:marBottom w:val="0"/>
      <w:divBdr>
        <w:top w:val="none" w:sz="0" w:space="0" w:color="auto"/>
        <w:left w:val="none" w:sz="0" w:space="0" w:color="auto"/>
        <w:bottom w:val="none" w:sz="0" w:space="0" w:color="auto"/>
        <w:right w:val="none" w:sz="0" w:space="0" w:color="auto"/>
      </w:divBdr>
    </w:div>
    <w:div w:id="1432164514">
      <w:bodyDiv w:val="1"/>
      <w:marLeft w:val="0"/>
      <w:marRight w:val="0"/>
      <w:marTop w:val="0"/>
      <w:marBottom w:val="0"/>
      <w:divBdr>
        <w:top w:val="none" w:sz="0" w:space="0" w:color="auto"/>
        <w:left w:val="none" w:sz="0" w:space="0" w:color="auto"/>
        <w:bottom w:val="none" w:sz="0" w:space="0" w:color="auto"/>
        <w:right w:val="none" w:sz="0" w:space="0" w:color="auto"/>
      </w:divBdr>
    </w:div>
    <w:div w:id="1434007675">
      <w:bodyDiv w:val="1"/>
      <w:marLeft w:val="0"/>
      <w:marRight w:val="0"/>
      <w:marTop w:val="0"/>
      <w:marBottom w:val="0"/>
      <w:divBdr>
        <w:top w:val="none" w:sz="0" w:space="0" w:color="auto"/>
        <w:left w:val="none" w:sz="0" w:space="0" w:color="auto"/>
        <w:bottom w:val="none" w:sz="0" w:space="0" w:color="auto"/>
        <w:right w:val="none" w:sz="0" w:space="0" w:color="auto"/>
      </w:divBdr>
    </w:div>
    <w:div w:id="1434203857">
      <w:bodyDiv w:val="1"/>
      <w:marLeft w:val="0"/>
      <w:marRight w:val="0"/>
      <w:marTop w:val="0"/>
      <w:marBottom w:val="0"/>
      <w:divBdr>
        <w:top w:val="none" w:sz="0" w:space="0" w:color="auto"/>
        <w:left w:val="none" w:sz="0" w:space="0" w:color="auto"/>
        <w:bottom w:val="none" w:sz="0" w:space="0" w:color="auto"/>
        <w:right w:val="none" w:sz="0" w:space="0" w:color="auto"/>
      </w:divBdr>
    </w:div>
    <w:div w:id="1434864232">
      <w:bodyDiv w:val="1"/>
      <w:marLeft w:val="0"/>
      <w:marRight w:val="0"/>
      <w:marTop w:val="0"/>
      <w:marBottom w:val="0"/>
      <w:divBdr>
        <w:top w:val="none" w:sz="0" w:space="0" w:color="auto"/>
        <w:left w:val="none" w:sz="0" w:space="0" w:color="auto"/>
        <w:bottom w:val="none" w:sz="0" w:space="0" w:color="auto"/>
        <w:right w:val="none" w:sz="0" w:space="0" w:color="auto"/>
      </w:divBdr>
    </w:div>
    <w:div w:id="1435636080">
      <w:bodyDiv w:val="1"/>
      <w:marLeft w:val="0"/>
      <w:marRight w:val="0"/>
      <w:marTop w:val="0"/>
      <w:marBottom w:val="0"/>
      <w:divBdr>
        <w:top w:val="none" w:sz="0" w:space="0" w:color="auto"/>
        <w:left w:val="none" w:sz="0" w:space="0" w:color="auto"/>
        <w:bottom w:val="none" w:sz="0" w:space="0" w:color="auto"/>
        <w:right w:val="none" w:sz="0" w:space="0" w:color="auto"/>
      </w:divBdr>
    </w:div>
    <w:div w:id="1437285530">
      <w:bodyDiv w:val="1"/>
      <w:marLeft w:val="0"/>
      <w:marRight w:val="0"/>
      <w:marTop w:val="0"/>
      <w:marBottom w:val="0"/>
      <w:divBdr>
        <w:top w:val="none" w:sz="0" w:space="0" w:color="auto"/>
        <w:left w:val="none" w:sz="0" w:space="0" w:color="auto"/>
        <w:bottom w:val="none" w:sz="0" w:space="0" w:color="auto"/>
        <w:right w:val="none" w:sz="0" w:space="0" w:color="auto"/>
      </w:divBdr>
    </w:div>
    <w:div w:id="1438408482">
      <w:bodyDiv w:val="1"/>
      <w:marLeft w:val="0"/>
      <w:marRight w:val="0"/>
      <w:marTop w:val="0"/>
      <w:marBottom w:val="0"/>
      <w:divBdr>
        <w:top w:val="none" w:sz="0" w:space="0" w:color="auto"/>
        <w:left w:val="none" w:sz="0" w:space="0" w:color="auto"/>
        <w:bottom w:val="none" w:sz="0" w:space="0" w:color="auto"/>
        <w:right w:val="none" w:sz="0" w:space="0" w:color="auto"/>
      </w:divBdr>
    </w:div>
    <w:div w:id="1439830517">
      <w:bodyDiv w:val="1"/>
      <w:marLeft w:val="0"/>
      <w:marRight w:val="0"/>
      <w:marTop w:val="0"/>
      <w:marBottom w:val="0"/>
      <w:divBdr>
        <w:top w:val="none" w:sz="0" w:space="0" w:color="auto"/>
        <w:left w:val="none" w:sz="0" w:space="0" w:color="auto"/>
        <w:bottom w:val="none" w:sz="0" w:space="0" w:color="auto"/>
        <w:right w:val="none" w:sz="0" w:space="0" w:color="auto"/>
      </w:divBdr>
    </w:div>
    <w:div w:id="1440373848">
      <w:bodyDiv w:val="1"/>
      <w:marLeft w:val="0"/>
      <w:marRight w:val="0"/>
      <w:marTop w:val="0"/>
      <w:marBottom w:val="0"/>
      <w:divBdr>
        <w:top w:val="none" w:sz="0" w:space="0" w:color="auto"/>
        <w:left w:val="none" w:sz="0" w:space="0" w:color="auto"/>
        <w:bottom w:val="none" w:sz="0" w:space="0" w:color="auto"/>
        <w:right w:val="none" w:sz="0" w:space="0" w:color="auto"/>
      </w:divBdr>
    </w:div>
    <w:div w:id="1440761163">
      <w:bodyDiv w:val="1"/>
      <w:marLeft w:val="0"/>
      <w:marRight w:val="0"/>
      <w:marTop w:val="0"/>
      <w:marBottom w:val="0"/>
      <w:divBdr>
        <w:top w:val="none" w:sz="0" w:space="0" w:color="auto"/>
        <w:left w:val="none" w:sz="0" w:space="0" w:color="auto"/>
        <w:bottom w:val="none" w:sz="0" w:space="0" w:color="auto"/>
        <w:right w:val="none" w:sz="0" w:space="0" w:color="auto"/>
      </w:divBdr>
    </w:div>
    <w:div w:id="1441952532">
      <w:bodyDiv w:val="1"/>
      <w:marLeft w:val="0"/>
      <w:marRight w:val="0"/>
      <w:marTop w:val="0"/>
      <w:marBottom w:val="0"/>
      <w:divBdr>
        <w:top w:val="none" w:sz="0" w:space="0" w:color="auto"/>
        <w:left w:val="none" w:sz="0" w:space="0" w:color="auto"/>
        <w:bottom w:val="none" w:sz="0" w:space="0" w:color="auto"/>
        <w:right w:val="none" w:sz="0" w:space="0" w:color="auto"/>
      </w:divBdr>
    </w:div>
    <w:div w:id="1442919438">
      <w:bodyDiv w:val="1"/>
      <w:marLeft w:val="0"/>
      <w:marRight w:val="0"/>
      <w:marTop w:val="0"/>
      <w:marBottom w:val="0"/>
      <w:divBdr>
        <w:top w:val="none" w:sz="0" w:space="0" w:color="auto"/>
        <w:left w:val="none" w:sz="0" w:space="0" w:color="auto"/>
        <w:bottom w:val="none" w:sz="0" w:space="0" w:color="auto"/>
        <w:right w:val="none" w:sz="0" w:space="0" w:color="auto"/>
      </w:divBdr>
    </w:div>
    <w:div w:id="1443836774">
      <w:bodyDiv w:val="1"/>
      <w:marLeft w:val="0"/>
      <w:marRight w:val="0"/>
      <w:marTop w:val="0"/>
      <w:marBottom w:val="0"/>
      <w:divBdr>
        <w:top w:val="none" w:sz="0" w:space="0" w:color="auto"/>
        <w:left w:val="none" w:sz="0" w:space="0" w:color="auto"/>
        <w:bottom w:val="none" w:sz="0" w:space="0" w:color="auto"/>
        <w:right w:val="none" w:sz="0" w:space="0" w:color="auto"/>
      </w:divBdr>
    </w:div>
    <w:div w:id="1444152036">
      <w:bodyDiv w:val="1"/>
      <w:marLeft w:val="0"/>
      <w:marRight w:val="0"/>
      <w:marTop w:val="0"/>
      <w:marBottom w:val="0"/>
      <w:divBdr>
        <w:top w:val="none" w:sz="0" w:space="0" w:color="auto"/>
        <w:left w:val="none" w:sz="0" w:space="0" w:color="auto"/>
        <w:bottom w:val="none" w:sz="0" w:space="0" w:color="auto"/>
        <w:right w:val="none" w:sz="0" w:space="0" w:color="auto"/>
      </w:divBdr>
    </w:div>
    <w:div w:id="1444229744">
      <w:bodyDiv w:val="1"/>
      <w:marLeft w:val="0"/>
      <w:marRight w:val="0"/>
      <w:marTop w:val="0"/>
      <w:marBottom w:val="0"/>
      <w:divBdr>
        <w:top w:val="none" w:sz="0" w:space="0" w:color="auto"/>
        <w:left w:val="none" w:sz="0" w:space="0" w:color="auto"/>
        <w:bottom w:val="none" w:sz="0" w:space="0" w:color="auto"/>
        <w:right w:val="none" w:sz="0" w:space="0" w:color="auto"/>
      </w:divBdr>
    </w:div>
    <w:div w:id="1447313255">
      <w:bodyDiv w:val="1"/>
      <w:marLeft w:val="0"/>
      <w:marRight w:val="0"/>
      <w:marTop w:val="0"/>
      <w:marBottom w:val="0"/>
      <w:divBdr>
        <w:top w:val="none" w:sz="0" w:space="0" w:color="auto"/>
        <w:left w:val="none" w:sz="0" w:space="0" w:color="auto"/>
        <w:bottom w:val="none" w:sz="0" w:space="0" w:color="auto"/>
        <w:right w:val="none" w:sz="0" w:space="0" w:color="auto"/>
      </w:divBdr>
    </w:div>
    <w:div w:id="1447698341">
      <w:bodyDiv w:val="1"/>
      <w:marLeft w:val="0"/>
      <w:marRight w:val="0"/>
      <w:marTop w:val="0"/>
      <w:marBottom w:val="0"/>
      <w:divBdr>
        <w:top w:val="none" w:sz="0" w:space="0" w:color="auto"/>
        <w:left w:val="none" w:sz="0" w:space="0" w:color="auto"/>
        <w:bottom w:val="none" w:sz="0" w:space="0" w:color="auto"/>
        <w:right w:val="none" w:sz="0" w:space="0" w:color="auto"/>
      </w:divBdr>
    </w:div>
    <w:div w:id="1453015290">
      <w:bodyDiv w:val="1"/>
      <w:marLeft w:val="0"/>
      <w:marRight w:val="0"/>
      <w:marTop w:val="0"/>
      <w:marBottom w:val="0"/>
      <w:divBdr>
        <w:top w:val="none" w:sz="0" w:space="0" w:color="auto"/>
        <w:left w:val="none" w:sz="0" w:space="0" w:color="auto"/>
        <w:bottom w:val="none" w:sz="0" w:space="0" w:color="auto"/>
        <w:right w:val="none" w:sz="0" w:space="0" w:color="auto"/>
      </w:divBdr>
    </w:div>
    <w:div w:id="1453209068">
      <w:bodyDiv w:val="1"/>
      <w:marLeft w:val="0"/>
      <w:marRight w:val="0"/>
      <w:marTop w:val="0"/>
      <w:marBottom w:val="0"/>
      <w:divBdr>
        <w:top w:val="none" w:sz="0" w:space="0" w:color="auto"/>
        <w:left w:val="none" w:sz="0" w:space="0" w:color="auto"/>
        <w:bottom w:val="none" w:sz="0" w:space="0" w:color="auto"/>
        <w:right w:val="none" w:sz="0" w:space="0" w:color="auto"/>
      </w:divBdr>
    </w:div>
    <w:div w:id="1455053803">
      <w:bodyDiv w:val="1"/>
      <w:marLeft w:val="0"/>
      <w:marRight w:val="0"/>
      <w:marTop w:val="0"/>
      <w:marBottom w:val="0"/>
      <w:divBdr>
        <w:top w:val="none" w:sz="0" w:space="0" w:color="auto"/>
        <w:left w:val="none" w:sz="0" w:space="0" w:color="auto"/>
        <w:bottom w:val="none" w:sz="0" w:space="0" w:color="auto"/>
        <w:right w:val="none" w:sz="0" w:space="0" w:color="auto"/>
      </w:divBdr>
    </w:div>
    <w:div w:id="1455559673">
      <w:bodyDiv w:val="1"/>
      <w:marLeft w:val="0"/>
      <w:marRight w:val="0"/>
      <w:marTop w:val="0"/>
      <w:marBottom w:val="0"/>
      <w:divBdr>
        <w:top w:val="none" w:sz="0" w:space="0" w:color="auto"/>
        <w:left w:val="none" w:sz="0" w:space="0" w:color="auto"/>
        <w:bottom w:val="none" w:sz="0" w:space="0" w:color="auto"/>
        <w:right w:val="none" w:sz="0" w:space="0" w:color="auto"/>
      </w:divBdr>
    </w:div>
    <w:div w:id="1456488604">
      <w:bodyDiv w:val="1"/>
      <w:marLeft w:val="0"/>
      <w:marRight w:val="0"/>
      <w:marTop w:val="0"/>
      <w:marBottom w:val="0"/>
      <w:divBdr>
        <w:top w:val="none" w:sz="0" w:space="0" w:color="auto"/>
        <w:left w:val="none" w:sz="0" w:space="0" w:color="auto"/>
        <w:bottom w:val="none" w:sz="0" w:space="0" w:color="auto"/>
        <w:right w:val="none" w:sz="0" w:space="0" w:color="auto"/>
      </w:divBdr>
    </w:div>
    <w:div w:id="1457796886">
      <w:bodyDiv w:val="1"/>
      <w:marLeft w:val="0"/>
      <w:marRight w:val="0"/>
      <w:marTop w:val="0"/>
      <w:marBottom w:val="0"/>
      <w:divBdr>
        <w:top w:val="none" w:sz="0" w:space="0" w:color="auto"/>
        <w:left w:val="none" w:sz="0" w:space="0" w:color="auto"/>
        <w:bottom w:val="none" w:sz="0" w:space="0" w:color="auto"/>
        <w:right w:val="none" w:sz="0" w:space="0" w:color="auto"/>
      </w:divBdr>
    </w:div>
    <w:div w:id="1458833627">
      <w:bodyDiv w:val="1"/>
      <w:marLeft w:val="0"/>
      <w:marRight w:val="0"/>
      <w:marTop w:val="0"/>
      <w:marBottom w:val="0"/>
      <w:divBdr>
        <w:top w:val="none" w:sz="0" w:space="0" w:color="auto"/>
        <w:left w:val="none" w:sz="0" w:space="0" w:color="auto"/>
        <w:bottom w:val="none" w:sz="0" w:space="0" w:color="auto"/>
        <w:right w:val="none" w:sz="0" w:space="0" w:color="auto"/>
      </w:divBdr>
    </w:div>
    <w:div w:id="1458913444">
      <w:bodyDiv w:val="1"/>
      <w:marLeft w:val="0"/>
      <w:marRight w:val="0"/>
      <w:marTop w:val="0"/>
      <w:marBottom w:val="0"/>
      <w:divBdr>
        <w:top w:val="none" w:sz="0" w:space="0" w:color="auto"/>
        <w:left w:val="none" w:sz="0" w:space="0" w:color="auto"/>
        <w:bottom w:val="none" w:sz="0" w:space="0" w:color="auto"/>
        <w:right w:val="none" w:sz="0" w:space="0" w:color="auto"/>
      </w:divBdr>
    </w:div>
    <w:div w:id="1458992090">
      <w:bodyDiv w:val="1"/>
      <w:marLeft w:val="0"/>
      <w:marRight w:val="0"/>
      <w:marTop w:val="0"/>
      <w:marBottom w:val="0"/>
      <w:divBdr>
        <w:top w:val="none" w:sz="0" w:space="0" w:color="auto"/>
        <w:left w:val="none" w:sz="0" w:space="0" w:color="auto"/>
        <w:bottom w:val="none" w:sz="0" w:space="0" w:color="auto"/>
        <w:right w:val="none" w:sz="0" w:space="0" w:color="auto"/>
      </w:divBdr>
    </w:div>
    <w:div w:id="1459953749">
      <w:bodyDiv w:val="1"/>
      <w:marLeft w:val="0"/>
      <w:marRight w:val="0"/>
      <w:marTop w:val="0"/>
      <w:marBottom w:val="0"/>
      <w:divBdr>
        <w:top w:val="none" w:sz="0" w:space="0" w:color="auto"/>
        <w:left w:val="none" w:sz="0" w:space="0" w:color="auto"/>
        <w:bottom w:val="none" w:sz="0" w:space="0" w:color="auto"/>
        <w:right w:val="none" w:sz="0" w:space="0" w:color="auto"/>
      </w:divBdr>
    </w:div>
    <w:div w:id="1460222620">
      <w:bodyDiv w:val="1"/>
      <w:marLeft w:val="0"/>
      <w:marRight w:val="0"/>
      <w:marTop w:val="0"/>
      <w:marBottom w:val="0"/>
      <w:divBdr>
        <w:top w:val="none" w:sz="0" w:space="0" w:color="auto"/>
        <w:left w:val="none" w:sz="0" w:space="0" w:color="auto"/>
        <w:bottom w:val="none" w:sz="0" w:space="0" w:color="auto"/>
        <w:right w:val="none" w:sz="0" w:space="0" w:color="auto"/>
      </w:divBdr>
    </w:div>
    <w:div w:id="1460613214">
      <w:bodyDiv w:val="1"/>
      <w:marLeft w:val="0"/>
      <w:marRight w:val="0"/>
      <w:marTop w:val="0"/>
      <w:marBottom w:val="0"/>
      <w:divBdr>
        <w:top w:val="none" w:sz="0" w:space="0" w:color="auto"/>
        <w:left w:val="none" w:sz="0" w:space="0" w:color="auto"/>
        <w:bottom w:val="none" w:sz="0" w:space="0" w:color="auto"/>
        <w:right w:val="none" w:sz="0" w:space="0" w:color="auto"/>
      </w:divBdr>
    </w:div>
    <w:div w:id="1460956742">
      <w:bodyDiv w:val="1"/>
      <w:marLeft w:val="0"/>
      <w:marRight w:val="0"/>
      <w:marTop w:val="0"/>
      <w:marBottom w:val="0"/>
      <w:divBdr>
        <w:top w:val="none" w:sz="0" w:space="0" w:color="auto"/>
        <w:left w:val="none" w:sz="0" w:space="0" w:color="auto"/>
        <w:bottom w:val="none" w:sz="0" w:space="0" w:color="auto"/>
        <w:right w:val="none" w:sz="0" w:space="0" w:color="auto"/>
      </w:divBdr>
    </w:div>
    <w:div w:id="1461654775">
      <w:bodyDiv w:val="1"/>
      <w:marLeft w:val="0"/>
      <w:marRight w:val="0"/>
      <w:marTop w:val="0"/>
      <w:marBottom w:val="0"/>
      <w:divBdr>
        <w:top w:val="none" w:sz="0" w:space="0" w:color="auto"/>
        <w:left w:val="none" w:sz="0" w:space="0" w:color="auto"/>
        <w:bottom w:val="none" w:sz="0" w:space="0" w:color="auto"/>
        <w:right w:val="none" w:sz="0" w:space="0" w:color="auto"/>
      </w:divBdr>
    </w:div>
    <w:div w:id="1462923914">
      <w:bodyDiv w:val="1"/>
      <w:marLeft w:val="0"/>
      <w:marRight w:val="0"/>
      <w:marTop w:val="0"/>
      <w:marBottom w:val="0"/>
      <w:divBdr>
        <w:top w:val="none" w:sz="0" w:space="0" w:color="auto"/>
        <w:left w:val="none" w:sz="0" w:space="0" w:color="auto"/>
        <w:bottom w:val="none" w:sz="0" w:space="0" w:color="auto"/>
        <w:right w:val="none" w:sz="0" w:space="0" w:color="auto"/>
      </w:divBdr>
    </w:div>
    <w:div w:id="1464691608">
      <w:bodyDiv w:val="1"/>
      <w:marLeft w:val="0"/>
      <w:marRight w:val="0"/>
      <w:marTop w:val="0"/>
      <w:marBottom w:val="0"/>
      <w:divBdr>
        <w:top w:val="none" w:sz="0" w:space="0" w:color="auto"/>
        <w:left w:val="none" w:sz="0" w:space="0" w:color="auto"/>
        <w:bottom w:val="none" w:sz="0" w:space="0" w:color="auto"/>
        <w:right w:val="none" w:sz="0" w:space="0" w:color="auto"/>
      </w:divBdr>
    </w:div>
    <w:div w:id="1464694295">
      <w:bodyDiv w:val="1"/>
      <w:marLeft w:val="0"/>
      <w:marRight w:val="0"/>
      <w:marTop w:val="0"/>
      <w:marBottom w:val="0"/>
      <w:divBdr>
        <w:top w:val="none" w:sz="0" w:space="0" w:color="auto"/>
        <w:left w:val="none" w:sz="0" w:space="0" w:color="auto"/>
        <w:bottom w:val="none" w:sz="0" w:space="0" w:color="auto"/>
        <w:right w:val="none" w:sz="0" w:space="0" w:color="auto"/>
      </w:divBdr>
    </w:div>
    <w:div w:id="1466125430">
      <w:bodyDiv w:val="1"/>
      <w:marLeft w:val="0"/>
      <w:marRight w:val="0"/>
      <w:marTop w:val="0"/>
      <w:marBottom w:val="0"/>
      <w:divBdr>
        <w:top w:val="none" w:sz="0" w:space="0" w:color="auto"/>
        <w:left w:val="none" w:sz="0" w:space="0" w:color="auto"/>
        <w:bottom w:val="none" w:sz="0" w:space="0" w:color="auto"/>
        <w:right w:val="none" w:sz="0" w:space="0" w:color="auto"/>
      </w:divBdr>
    </w:div>
    <w:div w:id="1466658516">
      <w:bodyDiv w:val="1"/>
      <w:marLeft w:val="0"/>
      <w:marRight w:val="0"/>
      <w:marTop w:val="0"/>
      <w:marBottom w:val="0"/>
      <w:divBdr>
        <w:top w:val="none" w:sz="0" w:space="0" w:color="auto"/>
        <w:left w:val="none" w:sz="0" w:space="0" w:color="auto"/>
        <w:bottom w:val="none" w:sz="0" w:space="0" w:color="auto"/>
        <w:right w:val="none" w:sz="0" w:space="0" w:color="auto"/>
      </w:divBdr>
    </w:div>
    <w:div w:id="1467359107">
      <w:bodyDiv w:val="1"/>
      <w:marLeft w:val="0"/>
      <w:marRight w:val="0"/>
      <w:marTop w:val="0"/>
      <w:marBottom w:val="0"/>
      <w:divBdr>
        <w:top w:val="none" w:sz="0" w:space="0" w:color="auto"/>
        <w:left w:val="none" w:sz="0" w:space="0" w:color="auto"/>
        <w:bottom w:val="none" w:sz="0" w:space="0" w:color="auto"/>
        <w:right w:val="none" w:sz="0" w:space="0" w:color="auto"/>
      </w:divBdr>
    </w:div>
    <w:div w:id="1468817666">
      <w:bodyDiv w:val="1"/>
      <w:marLeft w:val="0"/>
      <w:marRight w:val="0"/>
      <w:marTop w:val="0"/>
      <w:marBottom w:val="0"/>
      <w:divBdr>
        <w:top w:val="none" w:sz="0" w:space="0" w:color="auto"/>
        <w:left w:val="none" w:sz="0" w:space="0" w:color="auto"/>
        <w:bottom w:val="none" w:sz="0" w:space="0" w:color="auto"/>
        <w:right w:val="none" w:sz="0" w:space="0" w:color="auto"/>
      </w:divBdr>
    </w:div>
    <w:div w:id="1469199587">
      <w:bodyDiv w:val="1"/>
      <w:marLeft w:val="0"/>
      <w:marRight w:val="0"/>
      <w:marTop w:val="0"/>
      <w:marBottom w:val="0"/>
      <w:divBdr>
        <w:top w:val="none" w:sz="0" w:space="0" w:color="auto"/>
        <w:left w:val="none" w:sz="0" w:space="0" w:color="auto"/>
        <w:bottom w:val="none" w:sz="0" w:space="0" w:color="auto"/>
        <w:right w:val="none" w:sz="0" w:space="0" w:color="auto"/>
      </w:divBdr>
    </w:div>
    <w:div w:id="1471753346">
      <w:bodyDiv w:val="1"/>
      <w:marLeft w:val="0"/>
      <w:marRight w:val="0"/>
      <w:marTop w:val="0"/>
      <w:marBottom w:val="0"/>
      <w:divBdr>
        <w:top w:val="none" w:sz="0" w:space="0" w:color="auto"/>
        <w:left w:val="none" w:sz="0" w:space="0" w:color="auto"/>
        <w:bottom w:val="none" w:sz="0" w:space="0" w:color="auto"/>
        <w:right w:val="none" w:sz="0" w:space="0" w:color="auto"/>
      </w:divBdr>
    </w:div>
    <w:div w:id="1471827597">
      <w:bodyDiv w:val="1"/>
      <w:marLeft w:val="0"/>
      <w:marRight w:val="0"/>
      <w:marTop w:val="0"/>
      <w:marBottom w:val="0"/>
      <w:divBdr>
        <w:top w:val="none" w:sz="0" w:space="0" w:color="auto"/>
        <w:left w:val="none" w:sz="0" w:space="0" w:color="auto"/>
        <w:bottom w:val="none" w:sz="0" w:space="0" w:color="auto"/>
        <w:right w:val="none" w:sz="0" w:space="0" w:color="auto"/>
      </w:divBdr>
    </w:div>
    <w:div w:id="1474255198">
      <w:bodyDiv w:val="1"/>
      <w:marLeft w:val="0"/>
      <w:marRight w:val="0"/>
      <w:marTop w:val="0"/>
      <w:marBottom w:val="0"/>
      <w:divBdr>
        <w:top w:val="none" w:sz="0" w:space="0" w:color="auto"/>
        <w:left w:val="none" w:sz="0" w:space="0" w:color="auto"/>
        <w:bottom w:val="none" w:sz="0" w:space="0" w:color="auto"/>
        <w:right w:val="none" w:sz="0" w:space="0" w:color="auto"/>
      </w:divBdr>
    </w:div>
    <w:div w:id="1475030005">
      <w:bodyDiv w:val="1"/>
      <w:marLeft w:val="0"/>
      <w:marRight w:val="0"/>
      <w:marTop w:val="0"/>
      <w:marBottom w:val="0"/>
      <w:divBdr>
        <w:top w:val="none" w:sz="0" w:space="0" w:color="auto"/>
        <w:left w:val="none" w:sz="0" w:space="0" w:color="auto"/>
        <w:bottom w:val="none" w:sz="0" w:space="0" w:color="auto"/>
        <w:right w:val="none" w:sz="0" w:space="0" w:color="auto"/>
      </w:divBdr>
    </w:div>
    <w:div w:id="1476411622">
      <w:bodyDiv w:val="1"/>
      <w:marLeft w:val="0"/>
      <w:marRight w:val="0"/>
      <w:marTop w:val="0"/>
      <w:marBottom w:val="0"/>
      <w:divBdr>
        <w:top w:val="none" w:sz="0" w:space="0" w:color="auto"/>
        <w:left w:val="none" w:sz="0" w:space="0" w:color="auto"/>
        <w:bottom w:val="none" w:sz="0" w:space="0" w:color="auto"/>
        <w:right w:val="none" w:sz="0" w:space="0" w:color="auto"/>
      </w:divBdr>
    </w:div>
    <w:div w:id="1476413572">
      <w:bodyDiv w:val="1"/>
      <w:marLeft w:val="0"/>
      <w:marRight w:val="0"/>
      <w:marTop w:val="0"/>
      <w:marBottom w:val="0"/>
      <w:divBdr>
        <w:top w:val="none" w:sz="0" w:space="0" w:color="auto"/>
        <w:left w:val="none" w:sz="0" w:space="0" w:color="auto"/>
        <w:bottom w:val="none" w:sz="0" w:space="0" w:color="auto"/>
        <w:right w:val="none" w:sz="0" w:space="0" w:color="auto"/>
      </w:divBdr>
    </w:div>
    <w:div w:id="1479149973">
      <w:bodyDiv w:val="1"/>
      <w:marLeft w:val="0"/>
      <w:marRight w:val="0"/>
      <w:marTop w:val="0"/>
      <w:marBottom w:val="0"/>
      <w:divBdr>
        <w:top w:val="none" w:sz="0" w:space="0" w:color="auto"/>
        <w:left w:val="none" w:sz="0" w:space="0" w:color="auto"/>
        <w:bottom w:val="none" w:sz="0" w:space="0" w:color="auto"/>
        <w:right w:val="none" w:sz="0" w:space="0" w:color="auto"/>
      </w:divBdr>
    </w:div>
    <w:div w:id="1479961016">
      <w:bodyDiv w:val="1"/>
      <w:marLeft w:val="0"/>
      <w:marRight w:val="0"/>
      <w:marTop w:val="0"/>
      <w:marBottom w:val="0"/>
      <w:divBdr>
        <w:top w:val="none" w:sz="0" w:space="0" w:color="auto"/>
        <w:left w:val="none" w:sz="0" w:space="0" w:color="auto"/>
        <w:bottom w:val="none" w:sz="0" w:space="0" w:color="auto"/>
        <w:right w:val="none" w:sz="0" w:space="0" w:color="auto"/>
      </w:divBdr>
    </w:div>
    <w:div w:id="1481341915">
      <w:bodyDiv w:val="1"/>
      <w:marLeft w:val="0"/>
      <w:marRight w:val="0"/>
      <w:marTop w:val="0"/>
      <w:marBottom w:val="0"/>
      <w:divBdr>
        <w:top w:val="none" w:sz="0" w:space="0" w:color="auto"/>
        <w:left w:val="none" w:sz="0" w:space="0" w:color="auto"/>
        <w:bottom w:val="none" w:sz="0" w:space="0" w:color="auto"/>
        <w:right w:val="none" w:sz="0" w:space="0" w:color="auto"/>
      </w:divBdr>
    </w:div>
    <w:div w:id="1481654529">
      <w:bodyDiv w:val="1"/>
      <w:marLeft w:val="0"/>
      <w:marRight w:val="0"/>
      <w:marTop w:val="0"/>
      <w:marBottom w:val="0"/>
      <w:divBdr>
        <w:top w:val="none" w:sz="0" w:space="0" w:color="auto"/>
        <w:left w:val="none" w:sz="0" w:space="0" w:color="auto"/>
        <w:bottom w:val="none" w:sz="0" w:space="0" w:color="auto"/>
        <w:right w:val="none" w:sz="0" w:space="0" w:color="auto"/>
      </w:divBdr>
    </w:div>
    <w:div w:id="1482695496">
      <w:bodyDiv w:val="1"/>
      <w:marLeft w:val="0"/>
      <w:marRight w:val="0"/>
      <w:marTop w:val="0"/>
      <w:marBottom w:val="0"/>
      <w:divBdr>
        <w:top w:val="none" w:sz="0" w:space="0" w:color="auto"/>
        <w:left w:val="none" w:sz="0" w:space="0" w:color="auto"/>
        <w:bottom w:val="none" w:sz="0" w:space="0" w:color="auto"/>
        <w:right w:val="none" w:sz="0" w:space="0" w:color="auto"/>
      </w:divBdr>
    </w:div>
    <w:div w:id="1484539589">
      <w:bodyDiv w:val="1"/>
      <w:marLeft w:val="0"/>
      <w:marRight w:val="0"/>
      <w:marTop w:val="0"/>
      <w:marBottom w:val="0"/>
      <w:divBdr>
        <w:top w:val="none" w:sz="0" w:space="0" w:color="auto"/>
        <w:left w:val="none" w:sz="0" w:space="0" w:color="auto"/>
        <w:bottom w:val="none" w:sz="0" w:space="0" w:color="auto"/>
        <w:right w:val="none" w:sz="0" w:space="0" w:color="auto"/>
      </w:divBdr>
    </w:div>
    <w:div w:id="1484850849">
      <w:bodyDiv w:val="1"/>
      <w:marLeft w:val="0"/>
      <w:marRight w:val="0"/>
      <w:marTop w:val="0"/>
      <w:marBottom w:val="0"/>
      <w:divBdr>
        <w:top w:val="none" w:sz="0" w:space="0" w:color="auto"/>
        <w:left w:val="none" w:sz="0" w:space="0" w:color="auto"/>
        <w:bottom w:val="none" w:sz="0" w:space="0" w:color="auto"/>
        <w:right w:val="none" w:sz="0" w:space="0" w:color="auto"/>
      </w:divBdr>
    </w:div>
    <w:div w:id="1486974859">
      <w:bodyDiv w:val="1"/>
      <w:marLeft w:val="0"/>
      <w:marRight w:val="0"/>
      <w:marTop w:val="0"/>
      <w:marBottom w:val="0"/>
      <w:divBdr>
        <w:top w:val="none" w:sz="0" w:space="0" w:color="auto"/>
        <w:left w:val="none" w:sz="0" w:space="0" w:color="auto"/>
        <w:bottom w:val="none" w:sz="0" w:space="0" w:color="auto"/>
        <w:right w:val="none" w:sz="0" w:space="0" w:color="auto"/>
      </w:divBdr>
    </w:div>
    <w:div w:id="1487240736">
      <w:bodyDiv w:val="1"/>
      <w:marLeft w:val="0"/>
      <w:marRight w:val="0"/>
      <w:marTop w:val="0"/>
      <w:marBottom w:val="0"/>
      <w:divBdr>
        <w:top w:val="none" w:sz="0" w:space="0" w:color="auto"/>
        <w:left w:val="none" w:sz="0" w:space="0" w:color="auto"/>
        <w:bottom w:val="none" w:sz="0" w:space="0" w:color="auto"/>
        <w:right w:val="none" w:sz="0" w:space="0" w:color="auto"/>
      </w:divBdr>
    </w:div>
    <w:div w:id="1487815841">
      <w:bodyDiv w:val="1"/>
      <w:marLeft w:val="0"/>
      <w:marRight w:val="0"/>
      <w:marTop w:val="0"/>
      <w:marBottom w:val="0"/>
      <w:divBdr>
        <w:top w:val="none" w:sz="0" w:space="0" w:color="auto"/>
        <w:left w:val="none" w:sz="0" w:space="0" w:color="auto"/>
        <w:bottom w:val="none" w:sz="0" w:space="0" w:color="auto"/>
        <w:right w:val="none" w:sz="0" w:space="0" w:color="auto"/>
      </w:divBdr>
    </w:div>
    <w:div w:id="1489518138">
      <w:bodyDiv w:val="1"/>
      <w:marLeft w:val="0"/>
      <w:marRight w:val="0"/>
      <w:marTop w:val="0"/>
      <w:marBottom w:val="0"/>
      <w:divBdr>
        <w:top w:val="none" w:sz="0" w:space="0" w:color="auto"/>
        <w:left w:val="none" w:sz="0" w:space="0" w:color="auto"/>
        <w:bottom w:val="none" w:sz="0" w:space="0" w:color="auto"/>
        <w:right w:val="none" w:sz="0" w:space="0" w:color="auto"/>
      </w:divBdr>
    </w:div>
    <w:div w:id="1490707244">
      <w:bodyDiv w:val="1"/>
      <w:marLeft w:val="0"/>
      <w:marRight w:val="0"/>
      <w:marTop w:val="0"/>
      <w:marBottom w:val="0"/>
      <w:divBdr>
        <w:top w:val="none" w:sz="0" w:space="0" w:color="auto"/>
        <w:left w:val="none" w:sz="0" w:space="0" w:color="auto"/>
        <w:bottom w:val="none" w:sz="0" w:space="0" w:color="auto"/>
        <w:right w:val="none" w:sz="0" w:space="0" w:color="auto"/>
      </w:divBdr>
    </w:div>
    <w:div w:id="1492255642">
      <w:bodyDiv w:val="1"/>
      <w:marLeft w:val="0"/>
      <w:marRight w:val="0"/>
      <w:marTop w:val="0"/>
      <w:marBottom w:val="0"/>
      <w:divBdr>
        <w:top w:val="none" w:sz="0" w:space="0" w:color="auto"/>
        <w:left w:val="none" w:sz="0" w:space="0" w:color="auto"/>
        <w:bottom w:val="none" w:sz="0" w:space="0" w:color="auto"/>
        <w:right w:val="none" w:sz="0" w:space="0" w:color="auto"/>
      </w:divBdr>
    </w:div>
    <w:div w:id="1492480108">
      <w:bodyDiv w:val="1"/>
      <w:marLeft w:val="0"/>
      <w:marRight w:val="0"/>
      <w:marTop w:val="0"/>
      <w:marBottom w:val="0"/>
      <w:divBdr>
        <w:top w:val="none" w:sz="0" w:space="0" w:color="auto"/>
        <w:left w:val="none" w:sz="0" w:space="0" w:color="auto"/>
        <w:bottom w:val="none" w:sz="0" w:space="0" w:color="auto"/>
        <w:right w:val="none" w:sz="0" w:space="0" w:color="auto"/>
      </w:divBdr>
    </w:div>
    <w:div w:id="1493175916">
      <w:bodyDiv w:val="1"/>
      <w:marLeft w:val="0"/>
      <w:marRight w:val="0"/>
      <w:marTop w:val="0"/>
      <w:marBottom w:val="0"/>
      <w:divBdr>
        <w:top w:val="none" w:sz="0" w:space="0" w:color="auto"/>
        <w:left w:val="none" w:sz="0" w:space="0" w:color="auto"/>
        <w:bottom w:val="none" w:sz="0" w:space="0" w:color="auto"/>
        <w:right w:val="none" w:sz="0" w:space="0" w:color="auto"/>
      </w:divBdr>
    </w:div>
    <w:div w:id="1494680452">
      <w:bodyDiv w:val="1"/>
      <w:marLeft w:val="0"/>
      <w:marRight w:val="0"/>
      <w:marTop w:val="0"/>
      <w:marBottom w:val="0"/>
      <w:divBdr>
        <w:top w:val="none" w:sz="0" w:space="0" w:color="auto"/>
        <w:left w:val="none" w:sz="0" w:space="0" w:color="auto"/>
        <w:bottom w:val="none" w:sz="0" w:space="0" w:color="auto"/>
        <w:right w:val="none" w:sz="0" w:space="0" w:color="auto"/>
      </w:divBdr>
    </w:div>
    <w:div w:id="1495099730">
      <w:bodyDiv w:val="1"/>
      <w:marLeft w:val="0"/>
      <w:marRight w:val="0"/>
      <w:marTop w:val="0"/>
      <w:marBottom w:val="0"/>
      <w:divBdr>
        <w:top w:val="none" w:sz="0" w:space="0" w:color="auto"/>
        <w:left w:val="none" w:sz="0" w:space="0" w:color="auto"/>
        <w:bottom w:val="none" w:sz="0" w:space="0" w:color="auto"/>
        <w:right w:val="none" w:sz="0" w:space="0" w:color="auto"/>
      </w:divBdr>
    </w:div>
    <w:div w:id="1495220906">
      <w:bodyDiv w:val="1"/>
      <w:marLeft w:val="0"/>
      <w:marRight w:val="0"/>
      <w:marTop w:val="0"/>
      <w:marBottom w:val="0"/>
      <w:divBdr>
        <w:top w:val="none" w:sz="0" w:space="0" w:color="auto"/>
        <w:left w:val="none" w:sz="0" w:space="0" w:color="auto"/>
        <w:bottom w:val="none" w:sz="0" w:space="0" w:color="auto"/>
        <w:right w:val="none" w:sz="0" w:space="0" w:color="auto"/>
      </w:divBdr>
    </w:div>
    <w:div w:id="1495802706">
      <w:bodyDiv w:val="1"/>
      <w:marLeft w:val="0"/>
      <w:marRight w:val="0"/>
      <w:marTop w:val="0"/>
      <w:marBottom w:val="0"/>
      <w:divBdr>
        <w:top w:val="none" w:sz="0" w:space="0" w:color="auto"/>
        <w:left w:val="none" w:sz="0" w:space="0" w:color="auto"/>
        <w:bottom w:val="none" w:sz="0" w:space="0" w:color="auto"/>
        <w:right w:val="none" w:sz="0" w:space="0" w:color="auto"/>
      </w:divBdr>
    </w:div>
    <w:div w:id="1496262194">
      <w:bodyDiv w:val="1"/>
      <w:marLeft w:val="0"/>
      <w:marRight w:val="0"/>
      <w:marTop w:val="0"/>
      <w:marBottom w:val="0"/>
      <w:divBdr>
        <w:top w:val="none" w:sz="0" w:space="0" w:color="auto"/>
        <w:left w:val="none" w:sz="0" w:space="0" w:color="auto"/>
        <w:bottom w:val="none" w:sz="0" w:space="0" w:color="auto"/>
        <w:right w:val="none" w:sz="0" w:space="0" w:color="auto"/>
      </w:divBdr>
    </w:div>
    <w:div w:id="1496411621">
      <w:bodyDiv w:val="1"/>
      <w:marLeft w:val="0"/>
      <w:marRight w:val="0"/>
      <w:marTop w:val="0"/>
      <w:marBottom w:val="0"/>
      <w:divBdr>
        <w:top w:val="none" w:sz="0" w:space="0" w:color="auto"/>
        <w:left w:val="none" w:sz="0" w:space="0" w:color="auto"/>
        <w:bottom w:val="none" w:sz="0" w:space="0" w:color="auto"/>
        <w:right w:val="none" w:sz="0" w:space="0" w:color="auto"/>
      </w:divBdr>
    </w:div>
    <w:div w:id="1497725455">
      <w:bodyDiv w:val="1"/>
      <w:marLeft w:val="0"/>
      <w:marRight w:val="0"/>
      <w:marTop w:val="0"/>
      <w:marBottom w:val="0"/>
      <w:divBdr>
        <w:top w:val="none" w:sz="0" w:space="0" w:color="auto"/>
        <w:left w:val="none" w:sz="0" w:space="0" w:color="auto"/>
        <w:bottom w:val="none" w:sz="0" w:space="0" w:color="auto"/>
        <w:right w:val="none" w:sz="0" w:space="0" w:color="auto"/>
      </w:divBdr>
    </w:div>
    <w:div w:id="1497962201">
      <w:bodyDiv w:val="1"/>
      <w:marLeft w:val="0"/>
      <w:marRight w:val="0"/>
      <w:marTop w:val="0"/>
      <w:marBottom w:val="0"/>
      <w:divBdr>
        <w:top w:val="none" w:sz="0" w:space="0" w:color="auto"/>
        <w:left w:val="none" w:sz="0" w:space="0" w:color="auto"/>
        <w:bottom w:val="none" w:sz="0" w:space="0" w:color="auto"/>
        <w:right w:val="none" w:sz="0" w:space="0" w:color="auto"/>
      </w:divBdr>
    </w:div>
    <w:div w:id="1499150923">
      <w:bodyDiv w:val="1"/>
      <w:marLeft w:val="0"/>
      <w:marRight w:val="0"/>
      <w:marTop w:val="0"/>
      <w:marBottom w:val="0"/>
      <w:divBdr>
        <w:top w:val="none" w:sz="0" w:space="0" w:color="auto"/>
        <w:left w:val="none" w:sz="0" w:space="0" w:color="auto"/>
        <w:bottom w:val="none" w:sz="0" w:space="0" w:color="auto"/>
        <w:right w:val="none" w:sz="0" w:space="0" w:color="auto"/>
      </w:divBdr>
    </w:div>
    <w:div w:id="1501698768">
      <w:bodyDiv w:val="1"/>
      <w:marLeft w:val="0"/>
      <w:marRight w:val="0"/>
      <w:marTop w:val="0"/>
      <w:marBottom w:val="0"/>
      <w:divBdr>
        <w:top w:val="none" w:sz="0" w:space="0" w:color="auto"/>
        <w:left w:val="none" w:sz="0" w:space="0" w:color="auto"/>
        <w:bottom w:val="none" w:sz="0" w:space="0" w:color="auto"/>
        <w:right w:val="none" w:sz="0" w:space="0" w:color="auto"/>
      </w:divBdr>
    </w:div>
    <w:div w:id="1502701491">
      <w:bodyDiv w:val="1"/>
      <w:marLeft w:val="0"/>
      <w:marRight w:val="0"/>
      <w:marTop w:val="0"/>
      <w:marBottom w:val="0"/>
      <w:divBdr>
        <w:top w:val="none" w:sz="0" w:space="0" w:color="auto"/>
        <w:left w:val="none" w:sz="0" w:space="0" w:color="auto"/>
        <w:bottom w:val="none" w:sz="0" w:space="0" w:color="auto"/>
        <w:right w:val="none" w:sz="0" w:space="0" w:color="auto"/>
      </w:divBdr>
    </w:div>
    <w:div w:id="1503161702">
      <w:bodyDiv w:val="1"/>
      <w:marLeft w:val="0"/>
      <w:marRight w:val="0"/>
      <w:marTop w:val="0"/>
      <w:marBottom w:val="0"/>
      <w:divBdr>
        <w:top w:val="none" w:sz="0" w:space="0" w:color="auto"/>
        <w:left w:val="none" w:sz="0" w:space="0" w:color="auto"/>
        <w:bottom w:val="none" w:sz="0" w:space="0" w:color="auto"/>
        <w:right w:val="none" w:sz="0" w:space="0" w:color="auto"/>
      </w:divBdr>
    </w:div>
    <w:div w:id="1503470404">
      <w:bodyDiv w:val="1"/>
      <w:marLeft w:val="0"/>
      <w:marRight w:val="0"/>
      <w:marTop w:val="0"/>
      <w:marBottom w:val="0"/>
      <w:divBdr>
        <w:top w:val="none" w:sz="0" w:space="0" w:color="auto"/>
        <w:left w:val="none" w:sz="0" w:space="0" w:color="auto"/>
        <w:bottom w:val="none" w:sz="0" w:space="0" w:color="auto"/>
        <w:right w:val="none" w:sz="0" w:space="0" w:color="auto"/>
      </w:divBdr>
    </w:div>
    <w:div w:id="1504394895">
      <w:bodyDiv w:val="1"/>
      <w:marLeft w:val="0"/>
      <w:marRight w:val="0"/>
      <w:marTop w:val="0"/>
      <w:marBottom w:val="0"/>
      <w:divBdr>
        <w:top w:val="none" w:sz="0" w:space="0" w:color="auto"/>
        <w:left w:val="none" w:sz="0" w:space="0" w:color="auto"/>
        <w:bottom w:val="none" w:sz="0" w:space="0" w:color="auto"/>
        <w:right w:val="none" w:sz="0" w:space="0" w:color="auto"/>
      </w:divBdr>
    </w:div>
    <w:div w:id="1505781187">
      <w:bodyDiv w:val="1"/>
      <w:marLeft w:val="0"/>
      <w:marRight w:val="0"/>
      <w:marTop w:val="0"/>
      <w:marBottom w:val="0"/>
      <w:divBdr>
        <w:top w:val="none" w:sz="0" w:space="0" w:color="auto"/>
        <w:left w:val="none" w:sz="0" w:space="0" w:color="auto"/>
        <w:bottom w:val="none" w:sz="0" w:space="0" w:color="auto"/>
        <w:right w:val="none" w:sz="0" w:space="0" w:color="auto"/>
      </w:divBdr>
    </w:div>
    <w:div w:id="1506558438">
      <w:bodyDiv w:val="1"/>
      <w:marLeft w:val="0"/>
      <w:marRight w:val="0"/>
      <w:marTop w:val="0"/>
      <w:marBottom w:val="0"/>
      <w:divBdr>
        <w:top w:val="none" w:sz="0" w:space="0" w:color="auto"/>
        <w:left w:val="none" w:sz="0" w:space="0" w:color="auto"/>
        <w:bottom w:val="none" w:sz="0" w:space="0" w:color="auto"/>
        <w:right w:val="none" w:sz="0" w:space="0" w:color="auto"/>
      </w:divBdr>
    </w:div>
    <w:div w:id="1507672560">
      <w:bodyDiv w:val="1"/>
      <w:marLeft w:val="0"/>
      <w:marRight w:val="0"/>
      <w:marTop w:val="0"/>
      <w:marBottom w:val="0"/>
      <w:divBdr>
        <w:top w:val="none" w:sz="0" w:space="0" w:color="auto"/>
        <w:left w:val="none" w:sz="0" w:space="0" w:color="auto"/>
        <w:bottom w:val="none" w:sz="0" w:space="0" w:color="auto"/>
        <w:right w:val="none" w:sz="0" w:space="0" w:color="auto"/>
      </w:divBdr>
    </w:div>
    <w:div w:id="1511332368">
      <w:bodyDiv w:val="1"/>
      <w:marLeft w:val="0"/>
      <w:marRight w:val="0"/>
      <w:marTop w:val="0"/>
      <w:marBottom w:val="0"/>
      <w:divBdr>
        <w:top w:val="none" w:sz="0" w:space="0" w:color="auto"/>
        <w:left w:val="none" w:sz="0" w:space="0" w:color="auto"/>
        <w:bottom w:val="none" w:sz="0" w:space="0" w:color="auto"/>
        <w:right w:val="none" w:sz="0" w:space="0" w:color="auto"/>
      </w:divBdr>
    </w:div>
    <w:div w:id="1512524203">
      <w:bodyDiv w:val="1"/>
      <w:marLeft w:val="0"/>
      <w:marRight w:val="0"/>
      <w:marTop w:val="0"/>
      <w:marBottom w:val="0"/>
      <w:divBdr>
        <w:top w:val="none" w:sz="0" w:space="0" w:color="auto"/>
        <w:left w:val="none" w:sz="0" w:space="0" w:color="auto"/>
        <w:bottom w:val="none" w:sz="0" w:space="0" w:color="auto"/>
        <w:right w:val="none" w:sz="0" w:space="0" w:color="auto"/>
      </w:divBdr>
    </w:div>
    <w:div w:id="1512798325">
      <w:bodyDiv w:val="1"/>
      <w:marLeft w:val="0"/>
      <w:marRight w:val="0"/>
      <w:marTop w:val="0"/>
      <w:marBottom w:val="0"/>
      <w:divBdr>
        <w:top w:val="none" w:sz="0" w:space="0" w:color="auto"/>
        <w:left w:val="none" w:sz="0" w:space="0" w:color="auto"/>
        <w:bottom w:val="none" w:sz="0" w:space="0" w:color="auto"/>
        <w:right w:val="none" w:sz="0" w:space="0" w:color="auto"/>
      </w:divBdr>
    </w:div>
    <w:div w:id="1513492660">
      <w:bodyDiv w:val="1"/>
      <w:marLeft w:val="0"/>
      <w:marRight w:val="0"/>
      <w:marTop w:val="0"/>
      <w:marBottom w:val="0"/>
      <w:divBdr>
        <w:top w:val="none" w:sz="0" w:space="0" w:color="auto"/>
        <w:left w:val="none" w:sz="0" w:space="0" w:color="auto"/>
        <w:bottom w:val="none" w:sz="0" w:space="0" w:color="auto"/>
        <w:right w:val="none" w:sz="0" w:space="0" w:color="auto"/>
      </w:divBdr>
    </w:div>
    <w:div w:id="1514488074">
      <w:bodyDiv w:val="1"/>
      <w:marLeft w:val="0"/>
      <w:marRight w:val="0"/>
      <w:marTop w:val="0"/>
      <w:marBottom w:val="0"/>
      <w:divBdr>
        <w:top w:val="none" w:sz="0" w:space="0" w:color="auto"/>
        <w:left w:val="none" w:sz="0" w:space="0" w:color="auto"/>
        <w:bottom w:val="none" w:sz="0" w:space="0" w:color="auto"/>
        <w:right w:val="none" w:sz="0" w:space="0" w:color="auto"/>
      </w:divBdr>
    </w:div>
    <w:div w:id="1514608217">
      <w:bodyDiv w:val="1"/>
      <w:marLeft w:val="0"/>
      <w:marRight w:val="0"/>
      <w:marTop w:val="0"/>
      <w:marBottom w:val="0"/>
      <w:divBdr>
        <w:top w:val="none" w:sz="0" w:space="0" w:color="auto"/>
        <w:left w:val="none" w:sz="0" w:space="0" w:color="auto"/>
        <w:bottom w:val="none" w:sz="0" w:space="0" w:color="auto"/>
        <w:right w:val="none" w:sz="0" w:space="0" w:color="auto"/>
      </w:divBdr>
    </w:div>
    <w:div w:id="1515069516">
      <w:bodyDiv w:val="1"/>
      <w:marLeft w:val="0"/>
      <w:marRight w:val="0"/>
      <w:marTop w:val="0"/>
      <w:marBottom w:val="0"/>
      <w:divBdr>
        <w:top w:val="none" w:sz="0" w:space="0" w:color="auto"/>
        <w:left w:val="none" w:sz="0" w:space="0" w:color="auto"/>
        <w:bottom w:val="none" w:sz="0" w:space="0" w:color="auto"/>
        <w:right w:val="none" w:sz="0" w:space="0" w:color="auto"/>
      </w:divBdr>
    </w:div>
    <w:div w:id="1515069975">
      <w:bodyDiv w:val="1"/>
      <w:marLeft w:val="0"/>
      <w:marRight w:val="0"/>
      <w:marTop w:val="0"/>
      <w:marBottom w:val="0"/>
      <w:divBdr>
        <w:top w:val="none" w:sz="0" w:space="0" w:color="auto"/>
        <w:left w:val="none" w:sz="0" w:space="0" w:color="auto"/>
        <w:bottom w:val="none" w:sz="0" w:space="0" w:color="auto"/>
        <w:right w:val="none" w:sz="0" w:space="0" w:color="auto"/>
      </w:divBdr>
    </w:div>
    <w:div w:id="1516990792">
      <w:bodyDiv w:val="1"/>
      <w:marLeft w:val="0"/>
      <w:marRight w:val="0"/>
      <w:marTop w:val="0"/>
      <w:marBottom w:val="0"/>
      <w:divBdr>
        <w:top w:val="none" w:sz="0" w:space="0" w:color="auto"/>
        <w:left w:val="none" w:sz="0" w:space="0" w:color="auto"/>
        <w:bottom w:val="none" w:sz="0" w:space="0" w:color="auto"/>
        <w:right w:val="none" w:sz="0" w:space="0" w:color="auto"/>
      </w:divBdr>
    </w:div>
    <w:div w:id="1517232673">
      <w:bodyDiv w:val="1"/>
      <w:marLeft w:val="0"/>
      <w:marRight w:val="0"/>
      <w:marTop w:val="0"/>
      <w:marBottom w:val="0"/>
      <w:divBdr>
        <w:top w:val="none" w:sz="0" w:space="0" w:color="auto"/>
        <w:left w:val="none" w:sz="0" w:space="0" w:color="auto"/>
        <w:bottom w:val="none" w:sz="0" w:space="0" w:color="auto"/>
        <w:right w:val="none" w:sz="0" w:space="0" w:color="auto"/>
      </w:divBdr>
    </w:div>
    <w:div w:id="1518807423">
      <w:bodyDiv w:val="1"/>
      <w:marLeft w:val="0"/>
      <w:marRight w:val="0"/>
      <w:marTop w:val="0"/>
      <w:marBottom w:val="0"/>
      <w:divBdr>
        <w:top w:val="none" w:sz="0" w:space="0" w:color="auto"/>
        <w:left w:val="none" w:sz="0" w:space="0" w:color="auto"/>
        <w:bottom w:val="none" w:sz="0" w:space="0" w:color="auto"/>
        <w:right w:val="none" w:sz="0" w:space="0" w:color="auto"/>
      </w:divBdr>
    </w:div>
    <w:div w:id="1520583006">
      <w:bodyDiv w:val="1"/>
      <w:marLeft w:val="0"/>
      <w:marRight w:val="0"/>
      <w:marTop w:val="0"/>
      <w:marBottom w:val="0"/>
      <w:divBdr>
        <w:top w:val="none" w:sz="0" w:space="0" w:color="auto"/>
        <w:left w:val="none" w:sz="0" w:space="0" w:color="auto"/>
        <w:bottom w:val="none" w:sz="0" w:space="0" w:color="auto"/>
        <w:right w:val="none" w:sz="0" w:space="0" w:color="auto"/>
      </w:divBdr>
    </w:div>
    <w:div w:id="1520779337">
      <w:bodyDiv w:val="1"/>
      <w:marLeft w:val="0"/>
      <w:marRight w:val="0"/>
      <w:marTop w:val="0"/>
      <w:marBottom w:val="0"/>
      <w:divBdr>
        <w:top w:val="none" w:sz="0" w:space="0" w:color="auto"/>
        <w:left w:val="none" w:sz="0" w:space="0" w:color="auto"/>
        <w:bottom w:val="none" w:sz="0" w:space="0" w:color="auto"/>
        <w:right w:val="none" w:sz="0" w:space="0" w:color="auto"/>
      </w:divBdr>
    </w:div>
    <w:div w:id="1522234822">
      <w:bodyDiv w:val="1"/>
      <w:marLeft w:val="0"/>
      <w:marRight w:val="0"/>
      <w:marTop w:val="0"/>
      <w:marBottom w:val="0"/>
      <w:divBdr>
        <w:top w:val="none" w:sz="0" w:space="0" w:color="auto"/>
        <w:left w:val="none" w:sz="0" w:space="0" w:color="auto"/>
        <w:bottom w:val="none" w:sz="0" w:space="0" w:color="auto"/>
        <w:right w:val="none" w:sz="0" w:space="0" w:color="auto"/>
      </w:divBdr>
    </w:div>
    <w:div w:id="1522401822">
      <w:bodyDiv w:val="1"/>
      <w:marLeft w:val="0"/>
      <w:marRight w:val="0"/>
      <w:marTop w:val="0"/>
      <w:marBottom w:val="0"/>
      <w:divBdr>
        <w:top w:val="none" w:sz="0" w:space="0" w:color="auto"/>
        <w:left w:val="none" w:sz="0" w:space="0" w:color="auto"/>
        <w:bottom w:val="none" w:sz="0" w:space="0" w:color="auto"/>
        <w:right w:val="none" w:sz="0" w:space="0" w:color="auto"/>
      </w:divBdr>
    </w:div>
    <w:div w:id="1522889555">
      <w:bodyDiv w:val="1"/>
      <w:marLeft w:val="0"/>
      <w:marRight w:val="0"/>
      <w:marTop w:val="0"/>
      <w:marBottom w:val="0"/>
      <w:divBdr>
        <w:top w:val="none" w:sz="0" w:space="0" w:color="auto"/>
        <w:left w:val="none" w:sz="0" w:space="0" w:color="auto"/>
        <w:bottom w:val="none" w:sz="0" w:space="0" w:color="auto"/>
        <w:right w:val="none" w:sz="0" w:space="0" w:color="auto"/>
      </w:divBdr>
    </w:div>
    <w:div w:id="1524053683">
      <w:bodyDiv w:val="1"/>
      <w:marLeft w:val="0"/>
      <w:marRight w:val="0"/>
      <w:marTop w:val="0"/>
      <w:marBottom w:val="0"/>
      <w:divBdr>
        <w:top w:val="none" w:sz="0" w:space="0" w:color="auto"/>
        <w:left w:val="none" w:sz="0" w:space="0" w:color="auto"/>
        <w:bottom w:val="none" w:sz="0" w:space="0" w:color="auto"/>
        <w:right w:val="none" w:sz="0" w:space="0" w:color="auto"/>
      </w:divBdr>
    </w:div>
    <w:div w:id="1524630047">
      <w:bodyDiv w:val="1"/>
      <w:marLeft w:val="0"/>
      <w:marRight w:val="0"/>
      <w:marTop w:val="0"/>
      <w:marBottom w:val="0"/>
      <w:divBdr>
        <w:top w:val="none" w:sz="0" w:space="0" w:color="auto"/>
        <w:left w:val="none" w:sz="0" w:space="0" w:color="auto"/>
        <w:bottom w:val="none" w:sz="0" w:space="0" w:color="auto"/>
        <w:right w:val="none" w:sz="0" w:space="0" w:color="auto"/>
      </w:divBdr>
    </w:div>
    <w:div w:id="1525171832">
      <w:bodyDiv w:val="1"/>
      <w:marLeft w:val="0"/>
      <w:marRight w:val="0"/>
      <w:marTop w:val="0"/>
      <w:marBottom w:val="0"/>
      <w:divBdr>
        <w:top w:val="none" w:sz="0" w:space="0" w:color="auto"/>
        <w:left w:val="none" w:sz="0" w:space="0" w:color="auto"/>
        <w:bottom w:val="none" w:sz="0" w:space="0" w:color="auto"/>
        <w:right w:val="none" w:sz="0" w:space="0" w:color="auto"/>
      </w:divBdr>
    </w:div>
    <w:div w:id="1525635635">
      <w:bodyDiv w:val="1"/>
      <w:marLeft w:val="0"/>
      <w:marRight w:val="0"/>
      <w:marTop w:val="0"/>
      <w:marBottom w:val="0"/>
      <w:divBdr>
        <w:top w:val="none" w:sz="0" w:space="0" w:color="auto"/>
        <w:left w:val="none" w:sz="0" w:space="0" w:color="auto"/>
        <w:bottom w:val="none" w:sz="0" w:space="0" w:color="auto"/>
        <w:right w:val="none" w:sz="0" w:space="0" w:color="auto"/>
      </w:divBdr>
    </w:div>
    <w:div w:id="1526292224">
      <w:bodyDiv w:val="1"/>
      <w:marLeft w:val="0"/>
      <w:marRight w:val="0"/>
      <w:marTop w:val="0"/>
      <w:marBottom w:val="0"/>
      <w:divBdr>
        <w:top w:val="none" w:sz="0" w:space="0" w:color="auto"/>
        <w:left w:val="none" w:sz="0" w:space="0" w:color="auto"/>
        <w:bottom w:val="none" w:sz="0" w:space="0" w:color="auto"/>
        <w:right w:val="none" w:sz="0" w:space="0" w:color="auto"/>
      </w:divBdr>
    </w:div>
    <w:div w:id="1528517837">
      <w:bodyDiv w:val="1"/>
      <w:marLeft w:val="0"/>
      <w:marRight w:val="0"/>
      <w:marTop w:val="0"/>
      <w:marBottom w:val="0"/>
      <w:divBdr>
        <w:top w:val="none" w:sz="0" w:space="0" w:color="auto"/>
        <w:left w:val="none" w:sz="0" w:space="0" w:color="auto"/>
        <w:bottom w:val="none" w:sz="0" w:space="0" w:color="auto"/>
        <w:right w:val="none" w:sz="0" w:space="0" w:color="auto"/>
      </w:divBdr>
    </w:div>
    <w:div w:id="1528788642">
      <w:bodyDiv w:val="1"/>
      <w:marLeft w:val="0"/>
      <w:marRight w:val="0"/>
      <w:marTop w:val="0"/>
      <w:marBottom w:val="0"/>
      <w:divBdr>
        <w:top w:val="none" w:sz="0" w:space="0" w:color="auto"/>
        <w:left w:val="none" w:sz="0" w:space="0" w:color="auto"/>
        <w:bottom w:val="none" w:sz="0" w:space="0" w:color="auto"/>
        <w:right w:val="none" w:sz="0" w:space="0" w:color="auto"/>
      </w:divBdr>
    </w:div>
    <w:div w:id="1529685858">
      <w:bodyDiv w:val="1"/>
      <w:marLeft w:val="0"/>
      <w:marRight w:val="0"/>
      <w:marTop w:val="0"/>
      <w:marBottom w:val="0"/>
      <w:divBdr>
        <w:top w:val="none" w:sz="0" w:space="0" w:color="auto"/>
        <w:left w:val="none" w:sz="0" w:space="0" w:color="auto"/>
        <w:bottom w:val="none" w:sz="0" w:space="0" w:color="auto"/>
        <w:right w:val="none" w:sz="0" w:space="0" w:color="auto"/>
      </w:divBdr>
    </w:div>
    <w:div w:id="1531064457">
      <w:bodyDiv w:val="1"/>
      <w:marLeft w:val="0"/>
      <w:marRight w:val="0"/>
      <w:marTop w:val="0"/>
      <w:marBottom w:val="0"/>
      <w:divBdr>
        <w:top w:val="none" w:sz="0" w:space="0" w:color="auto"/>
        <w:left w:val="none" w:sz="0" w:space="0" w:color="auto"/>
        <w:bottom w:val="none" w:sz="0" w:space="0" w:color="auto"/>
        <w:right w:val="none" w:sz="0" w:space="0" w:color="auto"/>
      </w:divBdr>
    </w:div>
    <w:div w:id="1531070435">
      <w:bodyDiv w:val="1"/>
      <w:marLeft w:val="0"/>
      <w:marRight w:val="0"/>
      <w:marTop w:val="0"/>
      <w:marBottom w:val="0"/>
      <w:divBdr>
        <w:top w:val="none" w:sz="0" w:space="0" w:color="auto"/>
        <w:left w:val="none" w:sz="0" w:space="0" w:color="auto"/>
        <w:bottom w:val="none" w:sz="0" w:space="0" w:color="auto"/>
        <w:right w:val="none" w:sz="0" w:space="0" w:color="auto"/>
      </w:divBdr>
    </w:div>
    <w:div w:id="1531185452">
      <w:bodyDiv w:val="1"/>
      <w:marLeft w:val="0"/>
      <w:marRight w:val="0"/>
      <w:marTop w:val="0"/>
      <w:marBottom w:val="0"/>
      <w:divBdr>
        <w:top w:val="none" w:sz="0" w:space="0" w:color="auto"/>
        <w:left w:val="none" w:sz="0" w:space="0" w:color="auto"/>
        <w:bottom w:val="none" w:sz="0" w:space="0" w:color="auto"/>
        <w:right w:val="none" w:sz="0" w:space="0" w:color="auto"/>
      </w:divBdr>
    </w:div>
    <w:div w:id="1534997646">
      <w:bodyDiv w:val="1"/>
      <w:marLeft w:val="0"/>
      <w:marRight w:val="0"/>
      <w:marTop w:val="0"/>
      <w:marBottom w:val="0"/>
      <w:divBdr>
        <w:top w:val="none" w:sz="0" w:space="0" w:color="auto"/>
        <w:left w:val="none" w:sz="0" w:space="0" w:color="auto"/>
        <w:bottom w:val="none" w:sz="0" w:space="0" w:color="auto"/>
        <w:right w:val="none" w:sz="0" w:space="0" w:color="auto"/>
      </w:divBdr>
    </w:div>
    <w:div w:id="1537741474">
      <w:bodyDiv w:val="1"/>
      <w:marLeft w:val="0"/>
      <w:marRight w:val="0"/>
      <w:marTop w:val="0"/>
      <w:marBottom w:val="0"/>
      <w:divBdr>
        <w:top w:val="none" w:sz="0" w:space="0" w:color="auto"/>
        <w:left w:val="none" w:sz="0" w:space="0" w:color="auto"/>
        <w:bottom w:val="none" w:sz="0" w:space="0" w:color="auto"/>
        <w:right w:val="none" w:sz="0" w:space="0" w:color="auto"/>
      </w:divBdr>
    </w:div>
    <w:div w:id="1539396901">
      <w:bodyDiv w:val="1"/>
      <w:marLeft w:val="0"/>
      <w:marRight w:val="0"/>
      <w:marTop w:val="0"/>
      <w:marBottom w:val="0"/>
      <w:divBdr>
        <w:top w:val="none" w:sz="0" w:space="0" w:color="auto"/>
        <w:left w:val="none" w:sz="0" w:space="0" w:color="auto"/>
        <w:bottom w:val="none" w:sz="0" w:space="0" w:color="auto"/>
        <w:right w:val="none" w:sz="0" w:space="0" w:color="auto"/>
      </w:divBdr>
    </w:div>
    <w:div w:id="1541480420">
      <w:bodyDiv w:val="1"/>
      <w:marLeft w:val="0"/>
      <w:marRight w:val="0"/>
      <w:marTop w:val="0"/>
      <w:marBottom w:val="0"/>
      <w:divBdr>
        <w:top w:val="none" w:sz="0" w:space="0" w:color="auto"/>
        <w:left w:val="none" w:sz="0" w:space="0" w:color="auto"/>
        <w:bottom w:val="none" w:sz="0" w:space="0" w:color="auto"/>
        <w:right w:val="none" w:sz="0" w:space="0" w:color="auto"/>
      </w:divBdr>
    </w:div>
    <w:div w:id="1542130338">
      <w:bodyDiv w:val="1"/>
      <w:marLeft w:val="0"/>
      <w:marRight w:val="0"/>
      <w:marTop w:val="0"/>
      <w:marBottom w:val="0"/>
      <w:divBdr>
        <w:top w:val="none" w:sz="0" w:space="0" w:color="auto"/>
        <w:left w:val="none" w:sz="0" w:space="0" w:color="auto"/>
        <w:bottom w:val="none" w:sz="0" w:space="0" w:color="auto"/>
        <w:right w:val="none" w:sz="0" w:space="0" w:color="auto"/>
      </w:divBdr>
    </w:div>
    <w:div w:id="1542934248">
      <w:bodyDiv w:val="1"/>
      <w:marLeft w:val="0"/>
      <w:marRight w:val="0"/>
      <w:marTop w:val="0"/>
      <w:marBottom w:val="0"/>
      <w:divBdr>
        <w:top w:val="none" w:sz="0" w:space="0" w:color="auto"/>
        <w:left w:val="none" w:sz="0" w:space="0" w:color="auto"/>
        <w:bottom w:val="none" w:sz="0" w:space="0" w:color="auto"/>
        <w:right w:val="none" w:sz="0" w:space="0" w:color="auto"/>
      </w:divBdr>
    </w:div>
    <w:div w:id="1546018350">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057589">
      <w:bodyDiv w:val="1"/>
      <w:marLeft w:val="0"/>
      <w:marRight w:val="0"/>
      <w:marTop w:val="0"/>
      <w:marBottom w:val="0"/>
      <w:divBdr>
        <w:top w:val="none" w:sz="0" w:space="0" w:color="auto"/>
        <w:left w:val="none" w:sz="0" w:space="0" w:color="auto"/>
        <w:bottom w:val="none" w:sz="0" w:space="0" w:color="auto"/>
        <w:right w:val="none" w:sz="0" w:space="0" w:color="auto"/>
      </w:divBdr>
    </w:div>
    <w:div w:id="1548107553">
      <w:bodyDiv w:val="1"/>
      <w:marLeft w:val="0"/>
      <w:marRight w:val="0"/>
      <w:marTop w:val="0"/>
      <w:marBottom w:val="0"/>
      <w:divBdr>
        <w:top w:val="none" w:sz="0" w:space="0" w:color="auto"/>
        <w:left w:val="none" w:sz="0" w:space="0" w:color="auto"/>
        <w:bottom w:val="none" w:sz="0" w:space="0" w:color="auto"/>
        <w:right w:val="none" w:sz="0" w:space="0" w:color="auto"/>
      </w:divBdr>
    </w:div>
    <w:div w:id="1549760428">
      <w:bodyDiv w:val="1"/>
      <w:marLeft w:val="0"/>
      <w:marRight w:val="0"/>
      <w:marTop w:val="0"/>
      <w:marBottom w:val="0"/>
      <w:divBdr>
        <w:top w:val="none" w:sz="0" w:space="0" w:color="auto"/>
        <w:left w:val="none" w:sz="0" w:space="0" w:color="auto"/>
        <w:bottom w:val="none" w:sz="0" w:space="0" w:color="auto"/>
        <w:right w:val="none" w:sz="0" w:space="0" w:color="auto"/>
      </w:divBdr>
    </w:div>
    <w:div w:id="1552229099">
      <w:bodyDiv w:val="1"/>
      <w:marLeft w:val="0"/>
      <w:marRight w:val="0"/>
      <w:marTop w:val="0"/>
      <w:marBottom w:val="0"/>
      <w:divBdr>
        <w:top w:val="none" w:sz="0" w:space="0" w:color="auto"/>
        <w:left w:val="none" w:sz="0" w:space="0" w:color="auto"/>
        <w:bottom w:val="none" w:sz="0" w:space="0" w:color="auto"/>
        <w:right w:val="none" w:sz="0" w:space="0" w:color="auto"/>
      </w:divBdr>
    </w:div>
    <w:div w:id="1554541233">
      <w:bodyDiv w:val="1"/>
      <w:marLeft w:val="0"/>
      <w:marRight w:val="0"/>
      <w:marTop w:val="0"/>
      <w:marBottom w:val="0"/>
      <w:divBdr>
        <w:top w:val="none" w:sz="0" w:space="0" w:color="auto"/>
        <w:left w:val="none" w:sz="0" w:space="0" w:color="auto"/>
        <w:bottom w:val="none" w:sz="0" w:space="0" w:color="auto"/>
        <w:right w:val="none" w:sz="0" w:space="0" w:color="auto"/>
      </w:divBdr>
    </w:div>
    <w:div w:id="1554582924">
      <w:bodyDiv w:val="1"/>
      <w:marLeft w:val="0"/>
      <w:marRight w:val="0"/>
      <w:marTop w:val="0"/>
      <w:marBottom w:val="0"/>
      <w:divBdr>
        <w:top w:val="none" w:sz="0" w:space="0" w:color="auto"/>
        <w:left w:val="none" w:sz="0" w:space="0" w:color="auto"/>
        <w:bottom w:val="none" w:sz="0" w:space="0" w:color="auto"/>
        <w:right w:val="none" w:sz="0" w:space="0" w:color="auto"/>
      </w:divBdr>
    </w:div>
    <w:div w:id="1556428204">
      <w:bodyDiv w:val="1"/>
      <w:marLeft w:val="0"/>
      <w:marRight w:val="0"/>
      <w:marTop w:val="0"/>
      <w:marBottom w:val="0"/>
      <w:divBdr>
        <w:top w:val="none" w:sz="0" w:space="0" w:color="auto"/>
        <w:left w:val="none" w:sz="0" w:space="0" w:color="auto"/>
        <w:bottom w:val="none" w:sz="0" w:space="0" w:color="auto"/>
        <w:right w:val="none" w:sz="0" w:space="0" w:color="auto"/>
      </w:divBdr>
    </w:div>
    <w:div w:id="1557813133">
      <w:bodyDiv w:val="1"/>
      <w:marLeft w:val="0"/>
      <w:marRight w:val="0"/>
      <w:marTop w:val="0"/>
      <w:marBottom w:val="0"/>
      <w:divBdr>
        <w:top w:val="none" w:sz="0" w:space="0" w:color="auto"/>
        <w:left w:val="none" w:sz="0" w:space="0" w:color="auto"/>
        <w:bottom w:val="none" w:sz="0" w:space="0" w:color="auto"/>
        <w:right w:val="none" w:sz="0" w:space="0" w:color="auto"/>
      </w:divBdr>
    </w:div>
    <w:div w:id="1558542376">
      <w:bodyDiv w:val="1"/>
      <w:marLeft w:val="0"/>
      <w:marRight w:val="0"/>
      <w:marTop w:val="0"/>
      <w:marBottom w:val="0"/>
      <w:divBdr>
        <w:top w:val="none" w:sz="0" w:space="0" w:color="auto"/>
        <w:left w:val="none" w:sz="0" w:space="0" w:color="auto"/>
        <w:bottom w:val="none" w:sz="0" w:space="0" w:color="auto"/>
        <w:right w:val="none" w:sz="0" w:space="0" w:color="auto"/>
      </w:divBdr>
    </w:div>
    <w:div w:id="1559898084">
      <w:bodyDiv w:val="1"/>
      <w:marLeft w:val="0"/>
      <w:marRight w:val="0"/>
      <w:marTop w:val="0"/>
      <w:marBottom w:val="0"/>
      <w:divBdr>
        <w:top w:val="none" w:sz="0" w:space="0" w:color="auto"/>
        <w:left w:val="none" w:sz="0" w:space="0" w:color="auto"/>
        <w:bottom w:val="none" w:sz="0" w:space="0" w:color="auto"/>
        <w:right w:val="none" w:sz="0" w:space="0" w:color="auto"/>
      </w:divBdr>
    </w:div>
    <w:div w:id="1559974690">
      <w:bodyDiv w:val="1"/>
      <w:marLeft w:val="0"/>
      <w:marRight w:val="0"/>
      <w:marTop w:val="0"/>
      <w:marBottom w:val="0"/>
      <w:divBdr>
        <w:top w:val="none" w:sz="0" w:space="0" w:color="auto"/>
        <w:left w:val="none" w:sz="0" w:space="0" w:color="auto"/>
        <w:bottom w:val="none" w:sz="0" w:space="0" w:color="auto"/>
        <w:right w:val="none" w:sz="0" w:space="0" w:color="auto"/>
      </w:divBdr>
    </w:div>
    <w:div w:id="1560827654">
      <w:bodyDiv w:val="1"/>
      <w:marLeft w:val="0"/>
      <w:marRight w:val="0"/>
      <w:marTop w:val="0"/>
      <w:marBottom w:val="0"/>
      <w:divBdr>
        <w:top w:val="none" w:sz="0" w:space="0" w:color="auto"/>
        <w:left w:val="none" w:sz="0" w:space="0" w:color="auto"/>
        <w:bottom w:val="none" w:sz="0" w:space="0" w:color="auto"/>
        <w:right w:val="none" w:sz="0" w:space="0" w:color="auto"/>
      </w:divBdr>
    </w:div>
    <w:div w:id="1561091649">
      <w:bodyDiv w:val="1"/>
      <w:marLeft w:val="0"/>
      <w:marRight w:val="0"/>
      <w:marTop w:val="0"/>
      <w:marBottom w:val="0"/>
      <w:divBdr>
        <w:top w:val="none" w:sz="0" w:space="0" w:color="auto"/>
        <w:left w:val="none" w:sz="0" w:space="0" w:color="auto"/>
        <w:bottom w:val="none" w:sz="0" w:space="0" w:color="auto"/>
        <w:right w:val="none" w:sz="0" w:space="0" w:color="auto"/>
      </w:divBdr>
    </w:div>
    <w:div w:id="1561164792">
      <w:bodyDiv w:val="1"/>
      <w:marLeft w:val="0"/>
      <w:marRight w:val="0"/>
      <w:marTop w:val="0"/>
      <w:marBottom w:val="0"/>
      <w:divBdr>
        <w:top w:val="none" w:sz="0" w:space="0" w:color="auto"/>
        <w:left w:val="none" w:sz="0" w:space="0" w:color="auto"/>
        <w:bottom w:val="none" w:sz="0" w:space="0" w:color="auto"/>
        <w:right w:val="none" w:sz="0" w:space="0" w:color="auto"/>
      </w:divBdr>
    </w:div>
    <w:div w:id="1561358048">
      <w:bodyDiv w:val="1"/>
      <w:marLeft w:val="0"/>
      <w:marRight w:val="0"/>
      <w:marTop w:val="0"/>
      <w:marBottom w:val="0"/>
      <w:divBdr>
        <w:top w:val="none" w:sz="0" w:space="0" w:color="auto"/>
        <w:left w:val="none" w:sz="0" w:space="0" w:color="auto"/>
        <w:bottom w:val="none" w:sz="0" w:space="0" w:color="auto"/>
        <w:right w:val="none" w:sz="0" w:space="0" w:color="auto"/>
      </w:divBdr>
    </w:div>
    <w:div w:id="1562247710">
      <w:bodyDiv w:val="1"/>
      <w:marLeft w:val="0"/>
      <w:marRight w:val="0"/>
      <w:marTop w:val="0"/>
      <w:marBottom w:val="0"/>
      <w:divBdr>
        <w:top w:val="none" w:sz="0" w:space="0" w:color="auto"/>
        <w:left w:val="none" w:sz="0" w:space="0" w:color="auto"/>
        <w:bottom w:val="none" w:sz="0" w:space="0" w:color="auto"/>
        <w:right w:val="none" w:sz="0" w:space="0" w:color="auto"/>
      </w:divBdr>
    </w:div>
    <w:div w:id="1563328036">
      <w:bodyDiv w:val="1"/>
      <w:marLeft w:val="0"/>
      <w:marRight w:val="0"/>
      <w:marTop w:val="0"/>
      <w:marBottom w:val="0"/>
      <w:divBdr>
        <w:top w:val="none" w:sz="0" w:space="0" w:color="auto"/>
        <w:left w:val="none" w:sz="0" w:space="0" w:color="auto"/>
        <w:bottom w:val="none" w:sz="0" w:space="0" w:color="auto"/>
        <w:right w:val="none" w:sz="0" w:space="0" w:color="auto"/>
      </w:divBdr>
    </w:div>
    <w:div w:id="1565215520">
      <w:bodyDiv w:val="1"/>
      <w:marLeft w:val="0"/>
      <w:marRight w:val="0"/>
      <w:marTop w:val="0"/>
      <w:marBottom w:val="0"/>
      <w:divBdr>
        <w:top w:val="none" w:sz="0" w:space="0" w:color="auto"/>
        <w:left w:val="none" w:sz="0" w:space="0" w:color="auto"/>
        <w:bottom w:val="none" w:sz="0" w:space="0" w:color="auto"/>
        <w:right w:val="none" w:sz="0" w:space="0" w:color="auto"/>
      </w:divBdr>
    </w:div>
    <w:div w:id="1566448307">
      <w:bodyDiv w:val="1"/>
      <w:marLeft w:val="0"/>
      <w:marRight w:val="0"/>
      <w:marTop w:val="0"/>
      <w:marBottom w:val="0"/>
      <w:divBdr>
        <w:top w:val="none" w:sz="0" w:space="0" w:color="auto"/>
        <w:left w:val="none" w:sz="0" w:space="0" w:color="auto"/>
        <w:bottom w:val="none" w:sz="0" w:space="0" w:color="auto"/>
        <w:right w:val="none" w:sz="0" w:space="0" w:color="auto"/>
      </w:divBdr>
    </w:div>
    <w:div w:id="1567884084">
      <w:bodyDiv w:val="1"/>
      <w:marLeft w:val="0"/>
      <w:marRight w:val="0"/>
      <w:marTop w:val="0"/>
      <w:marBottom w:val="0"/>
      <w:divBdr>
        <w:top w:val="none" w:sz="0" w:space="0" w:color="auto"/>
        <w:left w:val="none" w:sz="0" w:space="0" w:color="auto"/>
        <w:bottom w:val="none" w:sz="0" w:space="0" w:color="auto"/>
        <w:right w:val="none" w:sz="0" w:space="0" w:color="auto"/>
      </w:divBdr>
    </w:div>
    <w:div w:id="1568145915">
      <w:bodyDiv w:val="1"/>
      <w:marLeft w:val="0"/>
      <w:marRight w:val="0"/>
      <w:marTop w:val="0"/>
      <w:marBottom w:val="0"/>
      <w:divBdr>
        <w:top w:val="none" w:sz="0" w:space="0" w:color="auto"/>
        <w:left w:val="none" w:sz="0" w:space="0" w:color="auto"/>
        <w:bottom w:val="none" w:sz="0" w:space="0" w:color="auto"/>
        <w:right w:val="none" w:sz="0" w:space="0" w:color="auto"/>
      </w:divBdr>
    </w:div>
    <w:div w:id="1568343259">
      <w:bodyDiv w:val="1"/>
      <w:marLeft w:val="0"/>
      <w:marRight w:val="0"/>
      <w:marTop w:val="0"/>
      <w:marBottom w:val="0"/>
      <w:divBdr>
        <w:top w:val="none" w:sz="0" w:space="0" w:color="auto"/>
        <w:left w:val="none" w:sz="0" w:space="0" w:color="auto"/>
        <w:bottom w:val="none" w:sz="0" w:space="0" w:color="auto"/>
        <w:right w:val="none" w:sz="0" w:space="0" w:color="auto"/>
      </w:divBdr>
    </w:div>
    <w:div w:id="1569879411">
      <w:bodyDiv w:val="1"/>
      <w:marLeft w:val="0"/>
      <w:marRight w:val="0"/>
      <w:marTop w:val="0"/>
      <w:marBottom w:val="0"/>
      <w:divBdr>
        <w:top w:val="none" w:sz="0" w:space="0" w:color="auto"/>
        <w:left w:val="none" w:sz="0" w:space="0" w:color="auto"/>
        <w:bottom w:val="none" w:sz="0" w:space="0" w:color="auto"/>
        <w:right w:val="none" w:sz="0" w:space="0" w:color="auto"/>
      </w:divBdr>
    </w:div>
    <w:div w:id="1571966110">
      <w:bodyDiv w:val="1"/>
      <w:marLeft w:val="0"/>
      <w:marRight w:val="0"/>
      <w:marTop w:val="0"/>
      <w:marBottom w:val="0"/>
      <w:divBdr>
        <w:top w:val="none" w:sz="0" w:space="0" w:color="auto"/>
        <w:left w:val="none" w:sz="0" w:space="0" w:color="auto"/>
        <w:bottom w:val="none" w:sz="0" w:space="0" w:color="auto"/>
        <w:right w:val="none" w:sz="0" w:space="0" w:color="auto"/>
      </w:divBdr>
    </w:div>
    <w:div w:id="1573344962">
      <w:bodyDiv w:val="1"/>
      <w:marLeft w:val="0"/>
      <w:marRight w:val="0"/>
      <w:marTop w:val="0"/>
      <w:marBottom w:val="0"/>
      <w:divBdr>
        <w:top w:val="none" w:sz="0" w:space="0" w:color="auto"/>
        <w:left w:val="none" w:sz="0" w:space="0" w:color="auto"/>
        <w:bottom w:val="none" w:sz="0" w:space="0" w:color="auto"/>
        <w:right w:val="none" w:sz="0" w:space="0" w:color="auto"/>
      </w:divBdr>
    </w:div>
    <w:div w:id="1573394641">
      <w:bodyDiv w:val="1"/>
      <w:marLeft w:val="0"/>
      <w:marRight w:val="0"/>
      <w:marTop w:val="0"/>
      <w:marBottom w:val="0"/>
      <w:divBdr>
        <w:top w:val="none" w:sz="0" w:space="0" w:color="auto"/>
        <w:left w:val="none" w:sz="0" w:space="0" w:color="auto"/>
        <w:bottom w:val="none" w:sz="0" w:space="0" w:color="auto"/>
        <w:right w:val="none" w:sz="0" w:space="0" w:color="auto"/>
      </w:divBdr>
    </w:div>
    <w:div w:id="1574848994">
      <w:bodyDiv w:val="1"/>
      <w:marLeft w:val="0"/>
      <w:marRight w:val="0"/>
      <w:marTop w:val="0"/>
      <w:marBottom w:val="0"/>
      <w:divBdr>
        <w:top w:val="none" w:sz="0" w:space="0" w:color="auto"/>
        <w:left w:val="none" w:sz="0" w:space="0" w:color="auto"/>
        <w:bottom w:val="none" w:sz="0" w:space="0" w:color="auto"/>
        <w:right w:val="none" w:sz="0" w:space="0" w:color="auto"/>
      </w:divBdr>
    </w:div>
    <w:div w:id="1576892471">
      <w:bodyDiv w:val="1"/>
      <w:marLeft w:val="0"/>
      <w:marRight w:val="0"/>
      <w:marTop w:val="0"/>
      <w:marBottom w:val="0"/>
      <w:divBdr>
        <w:top w:val="none" w:sz="0" w:space="0" w:color="auto"/>
        <w:left w:val="none" w:sz="0" w:space="0" w:color="auto"/>
        <w:bottom w:val="none" w:sz="0" w:space="0" w:color="auto"/>
        <w:right w:val="none" w:sz="0" w:space="0" w:color="auto"/>
      </w:divBdr>
    </w:div>
    <w:div w:id="1577280442">
      <w:bodyDiv w:val="1"/>
      <w:marLeft w:val="0"/>
      <w:marRight w:val="0"/>
      <w:marTop w:val="0"/>
      <w:marBottom w:val="0"/>
      <w:divBdr>
        <w:top w:val="none" w:sz="0" w:space="0" w:color="auto"/>
        <w:left w:val="none" w:sz="0" w:space="0" w:color="auto"/>
        <w:bottom w:val="none" w:sz="0" w:space="0" w:color="auto"/>
        <w:right w:val="none" w:sz="0" w:space="0" w:color="auto"/>
      </w:divBdr>
    </w:div>
    <w:div w:id="1577397243">
      <w:bodyDiv w:val="1"/>
      <w:marLeft w:val="0"/>
      <w:marRight w:val="0"/>
      <w:marTop w:val="0"/>
      <w:marBottom w:val="0"/>
      <w:divBdr>
        <w:top w:val="none" w:sz="0" w:space="0" w:color="auto"/>
        <w:left w:val="none" w:sz="0" w:space="0" w:color="auto"/>
        <w:bottom w:val="none" w:sz="0" w:space="0" w:color="auto"/>
        <w:right w:val="none" w:sz="0" w:space="0" w:color="auto"/>
      </w:divBdr>
    </w:div>
    <w:div w:id="1577548057">
      <w:bodyDiv w:val="1"/>
      <w:marLeft w:val="0"/>
      <w:marRight w:val="0"/>
      <w:marTop w:val="0"/>
      <w:marBottom w:val="0"/>
      <w:divBdr>
        <w:top w:val="none" w:sz="0" w:space="0" w:color="auto"/>
        <w:left w:val="none" w:sz="0" w:space="0" w:color="auto"/>
        <w:bottom w:val="none" w:sz="0" w:space="0" w:color="auto"/>
        <w:right w:val="none" w:sz="0" w:space="0" w:color="auto"/>
      </w:divBdr>
    </w:div>
    <w:div w:id="1577976622">
      <w:bodyDiv w:val="1"/>
      <w:marLeft w:val="0"/>
      <w:marRight w:val="0"/>
      <w:marTop w:val="0"/>
      <w:marBottom w:val="0"/>
      <w:divBdr>
        <w:top w:val="none" w:sz="0" w:space="0" w:color="auto"/>
        <w:left w:val="none" w:sz="0" w:space="0" w:color="auto"/>
        <w:bottom w:val="none" w:sz="0" w:space="0" w:color="auto"/>
        <w:right w:val="none" w:sz="0" w:space="0" w:color="auto"/>
      </w:divBdr>
    </w:div>
    <w:div w:id="1580403214">
      <w:bodyDiv w:val="1"/>
      <w:marLeft w:val="0"/>
      <w:marRight w:val="0"/>
      <w:marTop w:val="0"/>
      <w:marBottom w:val="0"/>
      <w:divBdr>
        <w:top w:val="none" w:sz="0" w:space="0" w:color="auto"/>
        <w:left w:val="none" w:sz="0" w:space="0" w:color="auto"/>
        <w:bottom w:val="none" w:sz="0" w:space="0" w:color="auto"/>
        <w:right w:val="none" w:sz="0" w:space="0" w:color="auto"/>
      </w:divBdr>
    </w:div>
    <w:div w:id="1581908146">
      <w:bodyDiv w:val="1"/>
      <w:marLeft w:val="0"/>
      <w:marRight w:val="0"/>
      <w:marTop w:val="0"/>
      <w:marBottom w:val="0"/>
      <w:divBdr>
        <w:top w:val="none" w:sz="0" w:space="0" w:color="auto"/>
        <w:left w:val="none" w:sz="0" w:space="0" w:color="auto"/>
        <w:bottom w:val="none" w:sz="0" w:space="0" w:color="auto"/>
        <w:right w:val="none" w:sz="0" w:space="0" w:color="auto"/>
      </w:divBdr>
    </w:div>
    <w:div w:id="1583375074">
      <w:bodyDiv w:val="1"/>
      <w:marLeft w:val="0"/>
      <w:marRight w:val="0"/>
      <w:marTop w:val="0"/>
      <w:marBottom w:val="0"/>
      <w:divBdr>
        <w:top w:val="none" w:sz="0" w:space="0" w:color="auto"/>
        <w:left w:val="none" w:sz="0" w:space="0" w:color="auto"/>
        <w:bottom w:val="none" w:sz="0" w:space="0" w:color="auto"/>
        <w:right w:val="none" w:sz="0" w:space="0" w:color="auto"/>
      </w:divBdr>
    </w:div>
    <w:div w:id="1583492039">
      <w:bodyDiv w:val="1"/>
      <w:marLeft w:val="0"/>
      <w:marRight w:val="0"/>
      <w:marTop w:val="0"/>
      <w:marBottom w:val="0"/>
      <w:divBdr>
        <w:top w:val="none" w:sz="0" w:space="0" w:color="auto"/>
        <w:left w:val="none" w:sz="0" w:space="0" w:color="auto"/>
        <w:bottom w:val="none" w:sz="0" w:space="0" w:color="auto"/>
        <w:right w:val="none" w:sz="0" w:space="0" w:color="auto"/>
      </w:divBdr>
    </w:div>
    <w:div w:id="1584804249">
      <w:bodyDiv w:val="1"/>
      <w:marLeft w:val="0"/>
      <w:marRight w:val="0"/>
      <w:marTop w:val="0"/>
      <w:marBottom w:val="0"/>
      <w:divBdr>
        <w:top w:val="none" w:sz="0" w:space="0" w:color="auto"/>
        <w:left w:val="none" w:sz="0" w:space="0" w:color="auto"/>
        <w:bottom w:val="none" w:sz="0" w:space="0" w:color="auto"/>
        <w:right w:val="none" w:sz="0" w:space="0" w:color="auto"/>
      </w:divBdr>
    </w:div>
    <w:div w:id="1585842883">
      <w:bodyDiv w:val="1"/>
      <w:marLeft w:val="0"/>
      <w:marRight w:val="0"/>
      <w:marTop w:val="0"/>
      <w:marBottom w:val="0"/>
      <w:divBdr>
        <w:top w:val="none" w:sz="0" w:space="0" w:color="auto"/>
        <w:left w:val="none" w:sz="0" w:space="0" w:color="auto"/>
        <w:bottom w:val="none" w:sz="0" w:space="0" w:color="auto"/>
        <w:right w:val="none" w:sz="0" w:space="0" w:color="auto"/>
      </w:divBdr>
    </w:div>
    <w:div w:id="1587225854">
      <w:bodyDiv w:val="1"/>
      <w:marLeft w:val="0"/>
      <w:marRight w:val="0"/>
      <w:marTop w:val="0"/>
      <w:marBottom w:val="0"/>
      <w:divBdr>
        <w:top w:val="none" w:sz="0" w:space="0" w:color="auto"/>
        <w:left w:val="none" w:sz="0" w:space="0" w:color="auto"/>
        <w:bottom w:val="none" w:sz="0" w:space="0" w:color="auto"/>
        <w:right w:val="none" w:sz="0" w:space="0" w:color="auto"/>
      </w:divBdr>
    </w:div>
    <w:div w:id="1587420100">
      <w:bodyDiv w:val="1"/>
      <w:marLeft w:val="0"/>
      <w:marRight w:val="0"/>
      <w:marTop w:val="0"/>
      <w:marBottom w:val="0"/>
      <w:divBdr>
        <w:top w:val="none" w:sz="0" w:space="0" w:color="auto"/>
        <w:left w:val="none" w:sz="0" w:space="0" w:color="auto"/>
        <w:bottom w:val="none" w:sz="0" w:space="0" w:color="auto"/>
        <w:right w:val="none" w:sz="0" w:space="0" w:color="auto"/>
      </w:divBdr>
    </w:div>
    <w:div w:id="1587574416">
      <w:bodyDiv w:val="1"/>
      <w:marLeft w:val="0"/>
      <w:marRight w:val="0"/>
      <w:marTop w:val="0"/>
      <w:marBottom w:val="0"/>
      <w:divBdr>
        <w:top w:val="none" w:sz="0" w:space="0" w:color="auto"/>
        <w:left w:val="none" w:sz="0" w:space="0" w:color="auto"/>
        <w:bottom w:val="none" w:sz="0" w:space="0" w:color="auto"/>
        <w:right w:val="none" w:sz="0" w:space="0" w:color="auto"/>
      </w:divBdr>
    </w:div>
    <w:div w:id="1587686796">
      <w:bodyDiv w:val="1"/>
      <w:marLeft w:val="0"/>
      <w:marRight w:val="0"/>
      <w:marTop w:val="0"/>
      <w:marBottom w:val="0"/>
      <w:divBdr>
        <w:top w:val="none" w:sz="0" w:space="0" w:color="auto"/>
        <w:left w:val="none" w:sz="0" w:space="0" w:color="auto"/>
        <w:bottom w:val="none" w:sz="0" w:space="0" w:color="auto"/>
        <w:right w:val="none" w:sz="0" w:space="0" w:color="auto"/>
      </w:divBdr>
    </w:div>
    <w:div w:id="1587812122">
      <w:bodyDiv w:val="1"/>
      <w:marLeft w:val="0"/>
      <w:marRight w:val="0"/>
      <w:marTop w:val="0"/>
      <w:marBottom w:val="0"/>
      <w:divBdr>
        <w:top w:val="none" w:sz="0" w:space="0" w:color="auto"/>
        <w:left w:val="none" w:sz="0" w:space="0" w:color="auto"/>
        <w:bottom w:val="none" w:sz="0" w:space="0" w:color="auto"/>
        <w:right w:val="none" w:sz="0" w:space="0" w:color="auto"/>
      </w:divBdr>
    </w:div>
    <w:div w:id="1589195825">
      <w:bodyDiv w:val="1"/>
      <w:marLeft w:val="0"/>
      <w:marRight w:val="0"/>
      <w:marTop w:val="0"/>
      <w:marBottom w:val="0"/>
      <w:divBdr>
        <w:top w:val="none" w:sz="0" w:space="0" w:color="auto"/>
        <w:left w:val="none" w:sz="0" w:space="0" w:color="auto"/>
        <w:bottom w:val="none" w:sz="0" w:space="0" w:color="auto"/>
        <w:right w:val="none" w:sz="0" w:space="0" w:color="auto"/>
      </w:divBdr>
    </w:div>
    <w:div w:id="1589341242">
      <w:bodyDiv w:val="1"/>
      <w:marLeft w:val="0"/>
      <w:marRight w:val="0"/>
      <w:marTop w:val="0"/>
      <w:marBottom w:val="0"/>
      <w:divBdr>
        <w:top w:val="none" w:sz="0" w:space="0" w:color="auto"/>
        <w:left w:val="none" w:sz="0" w:space="0" w:color="auto"/>
        <w:bottom w:val="none" w:sz="0" w:space="0" w:color="auto"/>
        <w:right w:val="none" w:sz="0" w:space="0" w:color="auto"/>
      </w:divBdr>
    </w:div>
    <w:div w:id="1591818241">
      <w:bodyDiv w:val="1"/>
      <w:marLeft w:val="0"/>
      <w:marRight w:val="0"/>
      <w:marTop w:val="0"/>
      <w:marBottom w:val="0"/>
      <w:divBdr>
        <w:top w:val="none" w:sz="0" w:space="0" w:color="auto"/>
        <w:left w:val="none" w:sz="0" w:space="0" w:color="auto"/>
        <w:bottom w:val="none" w:sz="0" w:space="0" w:color="auto"/>
        <w:right w:val="none" w:sz="0" w:space="0" w:color="auto"/>
      </w:divBdr>
    </w:div>
    <w:div w:id="1592351865">
      <w:bodyDiv w:val="1"/>
      <w:marLeft w:val="0"/>
      <w:marRight w:val="0"/>
      <w:marTop w:val="0"/>
      <w:marBottom w:val="0"/>
      <w:divBdr>
        <w:top w:val="none" w:sz="0" w:space="0" w:color="auto"/>
        <w:left w:val="none" w:sz="0" w:space="0" w:color="auto"/>
        <w:bottom w:val="none" w:sz="0" w:space="0" w:color="auto"/>
        <w:right w:val="none" w:sz="0" w:space="0" w:color="auto"/>
      </w:divBdr>
    </w:div>
    <w:div w:id="1595699114">
      <w:bodyDiv w:val="1"/>
      <w:marLeft w:val="0"/>
      <w:marRight w:val="0"/>
      <w:marTop w:val="0"/>
      <w:marBottom w:val="0"/>
      <w:divBdr>
        <w:top w:val="none" w:sz="0" w:space="0" w:color="auto"/>
        <w:left w:val="none" w:sz="0" w:space="0" w:color="auto"/>
        <w:bottom w:val="none" w:sz="0" w:space="0" w:color="auto"/>
        <w:right w:val="none" w:sz="0" w:space="0" w:color="auto"/>
      </w:divBdr>
    </w:div>
    <w:div w:id="1596013689">
      <w:bodyDiv w:val="1"/>
      <w:marLeft w:val="0"/>
      <w:marRight w:val="0"/>
      <w:marTop w:val="0"/>
      <w:marBottom w:val="0"/>
      <w:divBdr>
        <w:top w:val="none" w:sz="0" w:space="0" w:color="auto"/>
        <w:left w:val="none" w:sz="0" w:space="0" w:color="auto"/>
        <w:bottom w:val="none" w:sz="0" w:space="0" w:color="auto"/>
        <w:right w:val="none" w:sz="0" w:space="0" w:color="auto"/>
      </w:divBdr>
    </w:div>
    <w:div w:id="1596403120">
      <w:bodyDiv w:val="1"/>
      <w:marLeft w:val="0"/>
      <w:marRight w:val="0"/>
      <w:marTop w:val="0"/>
      <w:marBottom w:val="0"/>
      <w:divBdr>
        <w:top w:val="none" w:sz="0" w:space="0" w:color="auto"/>
        <w:left w:val="none" w:sz="0" w:space="0" w:color="auto"/>
        <w:bottom w:val="none" w:sz="0" w:space="0" w:color="auto"/>
        <w:right w:val="none" w:sz="0" w:space="0" w:color="auto"/>
      </w:divBdr>
    </w:div>
    <w:div w:id="1596863048">
      <w:bodyDiv w:val="1"/>
      <w:marLeft w:val="0"/>
      <w:marRight w:val="0"/>
      <w:marTop w:val="0"/>
      <w:marBottom w:val="0"/>
      <w:divBdr>
        <w:top w:val="none" w:sz="0" w:space="0" w:color="auto"/>
        <w:left w:val="none" w:sz="0" w:space="0" w:color="auto"/>
        <w:bottom w:val="none" w:sz="0" w:space="0" w:color="auto"/>
        <w:right w:val="none" w:sz="0" w:space="0" w:color="auto"/>
      </w:divBdr>
    </w:div>
    <w:div w:id="1597710340">
      <w:bodyDiv w:val="1"/>
      <w:marLeft w:val="0"/>
      <w:marRight w:val="0"/>
      <w:marTop w:val="0"/>
      <w:marBottom w:val="0"/>
      <w:divBdr>
        <w:top w:val="none" w:sz="0" w:space="0" w:color="auto"/>
        <w:left w:val="none" w:sz="0" w:space="0" w:color="auto"/>
        <w:bottom w:val="none" w:sz="0" w:space="0" w:color="auto"/>
        <w:right w:val="none" w:sz="0" w:space="0" w:color="auto"/>
      </w:divBdr>
    </w:div>
    <w:div w:id="1598248359">
      <w:bodyDiv w:val="1"/>
      <w:marLeft w:val="0"/>
      <w:marRight w:val="0"/>
      <w:marTop w:val="0"/>
      <w:marBottom w:val="0"/>
      <w:divBdr>
        <w:top w:val="none" w:sz="0" w:space="0" w:color="auto"/>
        <w:left w:val="none" w:sz="0" w:space="0" w:color="auto"/>
        <w:bottom w:val="none" w:sz="0" w:space="0" w:color="auto"/>
        <w:right w:val="none" w:sz="0" w:space="0" w:color="auto"/>
      </w:divBdr>
    </w:div>
    <w:div w:id="1598323661">
      <w:bodyDiv w:val="1"/>
      <w:marLeft w:val="0"/>
      <w:marRight w:val="0"/>
      <w:marTop w:val="0"/>
      <w:marBottom w:val="0"/>
      <w:divBdr>
        <w:top w:val="none" w:sz="0" w:space="0" w:color="auto"/>
        <w:left w:val="none" w:sz="0" w:space="0" w:color="auto"/>
        <w:bottom w:val="none" w:sz="0" w:space="0" w:color="auto"/>
        <w:right w:val="none" w:sz="0" w:space="0" w:color="auto"/>
      </w:divBdr>
    </w:div>
    <w:div w:id="1598715792">
      <w:bodyDiv w:val="1"/>
      <w:marLeft w:val="0"/>
      <w:marRight w:val="0"/>
      <w:marTop w:val="0"/>
      <w:marBottom w:val="0"/>
      <w:divBdr>
        <w:top w:val="none" w:sz="0" w:space="0" w:color="auto"/>
        <w:left w:val="none" w:sz="0" w:space="0" w:color="auto"/>
        <w:bottom w:val="none" w:sz="0" w:space="0" w:color="auto"/>
        <w:right w:val="none" w:sz="0" w:space="0" w:color="auto"/>
      </w:divBdr>
    </w:div>
    <w:div w:id="1601982734">
      <w:bodyDiv w:val="1"/>
      <w:marLeft w:val="0"/>
      <w:marRight w:val="0"/>
      <w:marTop w:val="0"/>
      <w:marBottom w:val="0"/>
      <w:divBdr>
        <w:top w:val="none" w:sz="0" w:space="0" w:color="auto"/>
        <w:left w:val="none" w:sz="0" w:space="0" w:color="auto"/>
        <w:bottom w:val="none" w:sz="0" w:space="0" w:color="auto"/>
        <w:right w:val="none" w:sz="0" w:space="0" w:color="auto"/>
      </w:divBdr>
    </w:div>
    <w:div w:id="1602451098">
      <w:bodyDiv w:val="1"/>
      <w:marLeft w:val="0"/>
      <w:marRight w:val="0"/>
      <w:marTop w:val="0"/>
      <w:marBottom w:val="0"/>
      <w:divBdr>
        <w:top w:val="none" w:sz="0" w:space="0" w:color="auto"/>
        <w:left w:val="none" w:sz="0" w:space="0" w:color="auto"/>
        <w:bottom w:val="none" w:sz="0" w:space="0" w:color="auto"/>
        <w:right w:val="none" w:sz="0" w:space="0" w:color="auto"/>
      </w:divBdr>
    </w:div>
    <w:div w:id="1602713305">
      <w:bodyDiv w:val="1"/>
      <w:marLeft w:val="0"/>
      <w:marRight w:val="0"/>
      <w:marTop w:val="0"/>
      <w:marBottom w:val="0"/>
      <w:divBdr>
        <w:top w:val="none" w:sz="0" w:space="0" w:color="auto"/>
        <w:left w:val="none" w:sz="0" w:space="0" w:color="auto"/>
        <w:bottom w:val="none" w:sz="0" w:space="0" w:color="auto"/>
        <w:right w:val="none" w:sz="0" w:space="0" w:color="auto"/>
      </w:divBdr>
    </w:div>
    <w:div w:id="1603731857">
      <w:bodyDiv w:val="1"/>
      <w:marLeft w:val="0"/>
      <w:marRight w:val="0"/>
      <w:marTop w:val="0"/>
      <w:marBottom w:val="0"/>
      <w:divBdr>
        <w:top w:val="none" w:sz="0" w:space="0" w:color="auto"/>
        <w:left w:val="none" w:sz="0" w:space="0" w:color="auto"/>
        <w:bottom w:val="none" w:sz="0" w:space="0" w:color="auto"/>
        <w:right w:val="none" w:sz="0" w:space="0" w:color="auto"/>
      </w:divBdr>
    </w:div>
    <w:div w:id="1603801973">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4729023">
      <w:bodyDiv w:val="1"/>
      <w:marLeft w:val="0"/>
      <w:marRight w:val="0"/>
      <w:marTop w:val="0"/>
      <w:marBottom w:val="0"/>
      <w:divBdr>
        <w:top w:val="none" w:sz="0" w:space="0" w:color="auto"/>
        <w:left w:val="none" w:sz="0" w:space="0" w:color="auto"/>
        <w:bottom w:val="none" w:sz="0" w:space="0" w:color="auto"/>
        <w:right w:val="none" w:sz="0" w:space="0" w:color="auto"/>
      </w:divBdr>
    </w:div>
    <w:div w:id="1605305900">
      <w:bodyDiv w:val="1"/>
      <w:marLeft w:val="0"/>
      <w:marRight w:val="0"/>
      <w:marTop w:val="0"/>
      <w:marBottom w:val="0"/>
      <w:divBdr>
        <w:top w:val="none" w:sz="0" w:space="0" w:color="auto"/>
        <w:left w:val="none" w:sz="0" w:space="0" w:color="auto"/>
        <w:bottom w:val="none" w:sz="0" w:space="0" w:color="auto"/>
        <w:right w:val="none" w:sz="0" w:space="0" w:color="auto"/>
      </w:divBdr>
    </w:div>
    <w:div w:id="1605529605">
      <w:bodyDiv w:val="1"/>
      <w:marLeft w:val="0"/>
      <w:marRight w:val="0"/>
      <w:marTop w:val="0"/>
      <w:marBottom w:val="0"/>
      <w:divBdr>
        <w:top w:val="none" w:sz="0" w:space="0" w:color="auto"/>
        <w:left w:val="none" w:sz="0" w:space="0" w:color="auto"/>
        <w:bottom w:val="none" w:sz="0" w:space="0" w:color="auto"/>
        <w:right w:val="none" w:sz="0" w:space="0" w:color="auto"/>
      </w:divBdr>
    </w:div>
    <w:div w:id="1606032589">
      <w:bodyDiv w:val="1"/>
      <w:marLeft w:val="0"/>
      <w:marRight w:val="0"/>
      <w:marTop w:val="0"/>
      <w:marBottom w:val="0"/>
      <w:divBdr>
        <w:top w:val="none" w:sz="0" w:space="0" w:color="auto"/>
        <w:left w:val="none" w:sz="0" w:space="0" w:color="auto"/>
        <w:bottom w:val="none" w:sz="0" w:space="0" w:color="auto"/>
        <w:right w:val="none" w:sz="0" w:space="0" w:color="auto"/>
      </w:divBdr>
    </w:div>
    <w:div w:id="1606887770">
      <w:bodyDiv w:val="1"/>
      <w:marLeft w:val="0"/>
      <w:marRight w:val="0"/>
      <w:marTop w:val="0"/>
      <w:marBottom w:val="0"/>
      <w:divBdr>
        <w:top w:val="none" w:sz="0" w:space="0" w:color="auto"/>
        <w:left w:val="none" w:sz="0" w:space="0" w:color="auto"/>
        <w:bottom w:val="none" w:sz="0" w:space="0" w:color="auto"/>
        <w:right w:val="none" w:sz="0" w:space="0" w:color="auto"/>
      </w:divBdr>
    </w:div>
    <w:div w:id="1607690629">
      <w:bodyDiv w:val="1"/>
      <w:marLeft w:val="0"/>
      <w:marRight w:val="0"/>
      <w:marTop w:val="0"/>
      <w:marBottom w:val="0"/>
      <w:divBdr>
        <w:top w:val="none" w:sz="0" w:space="0" w:color="auto"/>
        <w:left w:val="none" w:sz="0" w:space="0" w:color="auto"/>
        <w:bottom w:val="none" w:sz="0" w:space="0" w:color="auto"/>
        <w:right w:val="none" w:sz="0" w:space="0" w:color="auto"/>
      </w:divBdr>
    </w:div>
    <w:div w:id="1608001795">
      <w:bodyDiv w:val="1"/>
      <w:marLeft w:val="0"/>
      <w:marRight w:val="0"/>
      <w:marTop w:val="0"/>
      <w:marBottom w:val="0"/>
      <w:divBdr>
        <w:top w:val="none" w:sz="0" w:space="0" w:color="auto"/>
        <w:left w:val="none" w:sz="0" w:space="0" w:color="auto"/>
        <w:bottom w:val="none" w:sz="0" w:space="0" w:color="auto"/>
        <w:right w:val="none" w:sz="0" w:space="0" w:color="auto"/>
      </w:divBdr>
    </w:div>
    <w:div w:id="1608194213">
      <w:bodyDiv w:val="1"/>
      <w:marLeft w:val="0"/>
      <w:marRight w:val="0"/>
      <w:marTop w:val="0"/>
      <w:marBottom w:val="0"/>
      <w:divBdr>
        <w:top w:val="none" w:sz="0" w:space="0" w:color="auto"/>
        <w:left w:val="none" w:sz="0" w:space="0" w:color="auto"/>
        <w:bottom w:val="none" w:sz="0" w:space="0" w:color="auto"/>
        <w:right w:val="none" w:sz="0" w:space="0" w:color="auto"/>
      </w:divBdr>
    </w:div>
    <w:div w:id="1608536484">
      <w:bodyDiv w:val="1"/>
      <w:marLeft w:val="0"/>
      <w:marRight w:val="0"/>
      <w:marTop w:val="0"/>
      <w:marBottom w:val="0"/>
      <w:divBdr>
        <w:top w:val="none" w:sz="0" w:space="0" w:color="auto"/>
        <w:left w:val="none" w:sz="0" w:space="0" w:color="auto"/>
        <w:bottom w:val="none" w:sz="0" w:space="0" w:color="auto"/>
        <w:right w:val="none" w:sz="0" w:space="0" w:color="auto"/>
      </w:divBdr>
    </w:div>
    <w:div w:id="1608805135">
      <w:bodyDiv w:val="1"/>
      <w:marLeft w:val="0"/>
      <w:marRight w:val="0"/>
      <w:marTop w:val="0"/>
      <w:marBottom w:val="0"/>
      <w:divBdr>
        <w:top w:val="none" w:sz="0" w:space="0" w:color="auto"/>
        <w:left w:val="none" w:sz="0" w:space="0" w:color="auto"/>
        <w:bottom w:val="none" w:sz="0" w:space="0" w:color="auto"/>
        <w:right w:val="none" w:sz="0" w:space="0" w:color="auto"/>
      </w:divBdr>
    </w:div>
    <w:div w:id="1608926204">
      <w:bodyDiv w:val="1"/>
      <w:marLeft w:val="0"/>
      <w:marRight w:val="0"/>
      <w:marTop w:val="0"/>
      <w:marBottom w:val="0"/>
      <w:divBdr>
        <w:top w:val="none" w:sz="0" w:space="0" w:color="auto"/>
        <w:left w:val="none" w:sz="0" w:space="0" w:color="auto"/>
        <w:bottom w:val="none" w:sz="0" w:space="0" w:color="auto"/>
        <w:right w:val="none" w:sz="0" w:space="0" w:color="auto"/>
      </w:divBdr>
    </w:div>
    <w:div w:id="1609005024">
      <w:bodyDiv w:val="1"/>
      <w:marLeft w:val="0"/>
      <w:marRight w:val="0"/>
      <w:marTop w:val="0"/>
      <w:marBottom w:val="0"/>
      <w:divBdr>
        <w:top w:val="none" w:sz="0" w:space="0" w:color="auto"/>
        <w:left w:val="none" w:sz="0" w:space="0" w:color="auto"/>
        <w:bottom w:val="none" w:sz="0" w:space="0" w:color="auto"/>
        <w:right w:val="none" w:sz="0" w:space="0" w:color="auto"/>
      </w:divBdr>
    </w:div>
    <w:div w:id="1611161627">
      <w:bodyDiv w:val="1"/>
      <w:marLeft w:val="0"/>
      <w:marRight w:val="0"/>
      <w:marTop w:val="0"/>
      <w:marBottom w:val="0"/>
      <w:divBdr>
        <w:top w:val="none" w:sz="0" w:space="0" w:color="auto"/>
        <w:left w:val="none" w:sz="0" w:space="0" w:color="auto"/>
        <w:bottom w:val="none" w:sz="0" w:space="0" w:color="auto"/>
        <w:right w:val="none" w:sz="0" w:space="0" w:color="auto"/>
      </w:divBdr>
    </w:div>
    <w:div w:id="1611889615">
      <w:bodyDiv w:val="1"/>
      <w:marLeft w:val="0"/>
      <w:marRight w:val="0"/>
      <w:marTop w:val="0"/>
      <w:marBottom w:val="0"/>
      <w:divBdr>
        <w:top w:val="none" w:sz="0" w:space="0" w:color="auto"/>
        <w:left w:val="none" w:sz="0" w:space="0" w:color="auto"/>
        <w:bottom w:val="none" w:sz="0" w:space="0" w:color="auto"/>
        <w:right w:val="none" w:sz="0" w:space="0" w:color="auto"/>
      </w:divBdr>
    </w:div>
    <w:div w:id="1612122918">
      <w:bodyDiv w:val="1"/>
      <w:marLeft w:val="0"/>
      <w:marRight w:val="0"/>
      <w:marTop w:val="0"/>
      <w:marBottom w:val="0"/>
      <w:divBdr>
        <w:top w:val="none" w:sz="0" w:space="0" w:color="auto"/>
        <w:left w:val="none" w:sz="0" w:space="0" w:color="auto"/>
        <w:bottom w:val="none" w:sz="0" w:space="0" w:color="auto"/>
        <w:right w:val="none" w:sz="0" w:space="0" w:color="auto"/>
      </w:divBdr>
    </w:div>
    <w:div w:id="1613786232">
      <w:bodyDiv w:val="1"/>
      <w:marLeft w:val="0"/>
      <w:marRight w:val="0"/>
      <w:marTop w:val="0"/>
      <w:marBottom w:val="0"/>
      <w:divBdr>
        <w:top w:val="none" w:sz="0" w:space="0" w:color="auto"/>
        <w:left w:val="none" w:sz="0" w:space="0" w:color="auto"/>
        <w:bottom w:val="none" w:sz="0" w:space="0" w:color="auto"/>
        <w:right w:val="none" w:sz="0" w:space="0" w:color="auto"/>
      </w:divBdr>
    </w:div>
    <w:div w:id="1614364969">
      <w:bodyDiv w:val="1"/>
      <w:marLeft w:val="0"/>
      <w:marRight w:val="0"/>
      <w:marTop w:val="0"/>
      <w:marBottom w:val="0"/>
      <w:divBdr>
        <w:top w:val="none" w:sz="0" w:space="0" w:color="auto"/>
        <w:left w:val="none" w:sz="0" w:space="0" w:color="auto"/>
        <w:bottom w:val="none" w:sz="0" w:space="0" w:color="auto"/>
        <w:right w:val="none" w:sz="0" w:space="0" w:color="auto"/>
      </w:divBdr>
    </w:div>
    <w:div w:id="1618180119">
      <w:bodyDiv w:val="1"/>
      <w:marLeft w:val="0"/>
      <w:marRight w:val="0"/>
      <w:marTop w:val="0"/>
      <w:marBottom w:val="0"/>
      <w:divBdr>
        <w:top w:val="none" w:sz="0" w:space="0" w:color="auto"/>
        <w:left w:val="none" w:sz="0" w:space="0" w:color="auto"/>
        <w:bottom w:val="none" w:sz="0" w:space="0" w:color="auto"/>
        <w:right w:val="none" w:sz="0" w:space="0" w:color="auto"/>
      </w:divBdr>
    </w:div>
    <w:div w:id="1618411797">
      <w:bodyDiv w:val="1"/>
      <w:marLeft w:val="0"/>
      <w:marRight w:val="0"/>
      <w:marTop w:val="0"/>
      <w:marBottom w:val="0"/>
      <w:divBdr>
        <w:top w:val="none" w:sz="0" w:space="0" w:color="auto"/>
        <w:left w:val="none" w:sz="0" w:space="0" w:color="auto"/>
        <w:bottom w:val="none" w:sz="0" w:space="0" w:color="auto"/>
        <w:right w:val="none" w:sz="0" w:space="0" w:color="auto"/>
      </w:divBdr>
    </w:div>
    <w:div w:id="1621061157">
      <w:bodyDiv w:val="1"/>
      <w:marLeft w:val="0"/>
      <w:marRight w:val="0"/>
      <w:marTop w:val="0"/>
      <w:marBottom w:val="0"/>
      <w:divBdr>
        <w:top w:val="none" w:sz="0" w:space="0" w:color="auto"/>
        <w:left w:val="none" w:sz="0" w:space="0" w:color="auto"/>
        <w:bottom w:val="none" w:sz="0" w:space="0" w:color="auto"/>
        <w:right w:val="none" w:sz="0" w:space="0" w:color="auto"/>
      </w:divBdr>
    </w:div>
    <w:div w:id="1622570686">
      <w:bodyDiv w:val="1"/>
      <w:marLeft w:val="0"/>
      <w:marRight w:val="0"/>
      <w:marTop w:val="0"/>
      <w:marBottom w:val="0"/>
      <w:divBdr>
        <w:top w:val="none" w:sz="0" w:space="0" w:color="auto"/>
        <w:left w:val="none" w:sz="0" w:space="0" w:color="auto"/>
        <w:bottom w:val="none" w:sz="0" w:space="0" w:color="auto"/>
        <w:right w:val="none" w:sz="0" w:space="0" w:color="auto"/>
      </w:divBdr>
    </w:div>
    <w:div w:id="1622878781">
      <w:bodyDiv w:val="1"/>
      <w:marLeft w:val="0"/>
      <w:marRight w:val="0"/>
      <w:marTop w:val="0"/>
      <w:marBottom w:val="0"/>
      <w:divBdr>
        <w:top w:val="none" w:sz="0" w:space="0" w:color="auto"/>
        <w:left w:val="none" w:sz="0" w:space="0" w:color="auto"/>
        <w:bottom w:val="none" w:sz="0" w:space="0" w:color="auto"/>
        <w:right w:val="none" w:sz="0" w:space="0" w:color="auto"/>
      </w:divBdr>
    </w:div>
    <w:div w:id="1623071097">
      <w:bodyDiv w:val="1"/>
      <w:marLeft w:val="0"/>
      <w:marRight w:val="0"/>
      <w:marTop w:val="0"/>
      <w:marBottom w:val="0"/>
      <w:divBdr>
        <w:top w:val="none" w:sz="0" w:space="0" w:color="auto"/>
        <w:left w:val="none" w:sz="0" w:space="0" w:color="auto"/>
        <w:bottom w:val="none" w:sz="0" w:space="0" w:color="auto"/>
        <w:right w:val="none" w:sz="0" w:space="0" w:color="auto"/>
      </w:divBdr>
    </w:div>
    <w:div w:id="1624850857">
      <w:bodyDiv w:val="1"/>
      <w:marLeft w:val="0"/>
      <w:marRight w:val="0"/>
      <w:marTop w:val="0"/>
      <w:marBottom w:val="0"/>
      <w:divBdr>
        <w:top w:val="none" w:sz="0" w:space="0" w:color="auto"/>
        <w:left w:val="none" w:sz="0" w:space="0" w:color="auto"/>
        <w:bottom w:val="none" w:sz="0" w:space="0" w:color="auto"/>
        <w:right w:val="none" w:sz="0" w:space="0" w:color="auto"/>
      </w:divBdr>
    </w:div>
    <w:div w:id="1625187673">
      <w:bodyDiv w:val="1"/>
      <w:marLeft w:val="0"/>
      <w:marRight w:val="0"/>
      <w:marTop w:val="0"/>
      <w:marBottom w:val="0"/>
      <w:divBdr>
        <w:top w:val="none" w:sz="0" w:space="0" w:color="auto"/>
        <w:left w:val="none" w:sz="0" w:space="0" w:color="auto"/>
        <w:bottom w:val="none" w:sz="0" w:space="0" w:color="auto"/>
        <w:right w:val="none" w:sz="0" w:space="0" w:color="auto"/>
      </w:divBdr>
    </w:div>
    <w:div w:id="1626303692">
      <w:bodyDiv w:val="1"/>
      <w:marLeft w:val="0"/>
      <w:marRight w:val="0"/>
      <w:marTop w:val="0"/>
      <w:marBottom w:val="0"/>
      <w:divBdr>
        <w:top w:val="none" w:sz="0" w:space="0" w:color="auto"/>
        <w:left w:val="none" w:sz="0" w:space="0" w:color="auto"/>
        <w:bottom w:val="none" w:sz="0" w:space="0" w:color="auto"/>
        <w:right w:val="none" w:sz="0" w:space="0" w:color="auto"/>
      </w:divBdr>
    </w:div>
    <w:div w:id="1626811164">
      <w:bodyDiv w:val="1"/>
      <w:marLeft w:val="0"/>
      <w:marRight w:val="0"/>
      <w:marTop w:val="0"/>
      <w:marBottom w:val="0"/>
      <w:divBdr>
        <w:top w:val="none" w:sz="0" w:space="0" w:color="auto"/>
        <w:left w:val="none" w:sz="0" w:space="0" w:color="auto"/>
        <w:bottom w:val="none" w:sz="0" w:space="0" w:color="auto"/>
        <w:right w:val="none" w:sz="0" w:space="0" w:color="auto"/>
      </w:divBdr>
    </w:div>
    <w:div w:id="1627200941">
      <w:bodyDiv w:val="1"/>
      <w:marLeft w:val="0"/>
      <w:marRight w:val="0"/>
      <w:marTop w:val="0"/>
      <w:marBottom w:val="0"/>
      <w:divBdr>
        <w:top w:val="none" w:sz="0" w:space="0" w:color="auto"/>
        <w:left w:val="none" w:sz="0" w:space="0" w:color="auto"/>
        <w:bottom w:val="none" w:sz="0" w:space="0" w:color="auto"/>
        <w:right w:val="none" w:sz="0" w:space="0" w:color="auto"/>
      </w:divBdr>
    </w:div>
    <w:div w:id="1627421266">
      <w:bodyDiv w:val="1"/>
      <w:marLeft w:val="0"/>
      <w:marRight w:val="0"/>
      <w:marTop w:val="0"/>
      <w:marBottom w:val="0"/>
      <w:divBdr>
        <w:top w:val="none" w:sz="0" w:space="0" w:color="auto"/>
        <w:left w:val="none" w:sz="0" w:space="0" w:color="auto"/>
        <w:bottom w:val="none" w:sz="0" w:space="0" w:color="auto"/>
        <w:right w:val="none" w:sz="0" w:space="0" w:color="auto"/>
      </w:divBdr>
    </w:div>
    <w:div w:id="1628510414">
      <w:bodyDiv w:val="1"/>
      <w:marLeft w:val="0"/>
      <w:marRight w:val="0"/>
      <w:marTop w:val="0"/>
      <w:marBottom w:val="0"/>
      <w:divBdr>
        <w:top w:val="none" w:sz="0" w:space="0" w:color="auto"/>
        <w:left w:val="none" w:sz="0" w:space="0" w:color="auto"/>
        <w:bottom w:val="none" w:sz="0" w:space="0" w:color="auto"/>
        <w:right w:val="none" w:sz="0" w:space="0" w:color="auto"/>
      </w:divBdr>
    </w:div>
    <w:div w:id="1628927860">
      <w:bodyDiv w:val="1"/>
      <w:marLeft w:val="0"/>
      <w:marRight w:val="0"/>
      <w:marTop w:val="0"/>
      <w:marBottom w:val="0"/>
      <w:divBdr>
        <w:top w:val="none" w:sz="0" w:space="0" w:color="auto"/>
        <w:left w:val="none" w:sz="0" w:space="0" w:color="auto"/>
        <w:bottom w:val="none" w:sz="0" w:space="0" w:color="auto"/>
        <w:right w:val="none" w:sz="0" w:space="0" w:color="auto"/>
      </w:divBdr>
    </w:div>
    <w:div w:id="1629585060">
      <w:bodyDiv w:val="1"/>
      <w:marLeft w:val="0"/>
      <w:marRight w:val="0"/>
      <w:marTop w:val="0"/>
      <w:marBottom w:val="0"/>
      <w:divBdr>
        <w:top w:val="none" w:sz="0" w:space="0" w:color="auto"/>
        <w:left w:val="none" w:sz="0" w:space="0" w:color="auto"/>
        <w:bottom w:val="none" w:sz="0" w:space="0" w:color="auto"/>
        <w:right w:val="none" w:sz="0" w:space="0" w:color="auto"/>
      </w:divBdr>
    </w:div>
    <w:div w:id="1630361202">
      <w:bodyDiv w:val="1"/>
      <w:marLeft w:val="0"/>
      <w:marRight w:val="0"/>
      <w:marTop w:val="0"/>
      <w:marBottom w:val="0"/>
      <w:divBdr>
        <w:top w:val="none" w:sz="0" w:space="0" w:color="auto"/>
        <w:left w:val="none" w:sz="0" w:space="0" w:color="auto"/>
        <w:bottom w:val="none" w:sz="0" w:space="0" w:color="auto"/>
        <w:right w:val="none" w:sz="0" w:space="0" w:color="auto"/>
      </w:divBdr>
    </w:div>
    <w:div w:id="1631983316">
      <w:bodyDiv w:val="1"/>
      <w:marLeft w:val="0"/>
      <w:marRight w:val="0"/>
      <w:marTop w:val="0"/>
      <w:marBottom w:val="0"/>
      <w:divBdr>
        <w:top w:val="none" w:sz="0" w:space="0" w:color="auto"/>
        <w:left w:val="none" w:sz="0" w:space="0" w:color="auto"/>
        <w:bottom w:val="none" w:sz="0" w:space="0" w:color="auto"/>
        <w:right w:val="none" w:sz="0" w:space="0" w:color="auto"/>
      </w:divBdr>
    </w:div>
    <w:div w:id="1633824763">
      <w:bodyDiv w:val="1"/>
      <w:marLeft w:val="0"/>
      <w:marRight w:val="0"/>
      <w:marTop w:val="0"/>
      <w:marBottom w:val="0"/>
      <w:divBdr>
        <w:top w:val="none" w:sz="0" w:space="0" w:color="auto"/>
        <w:left w:val="none" w:sz="0" w:space="0" w:color="auto"/>
        <w:bottom w:val="none" w:sz="0" w:space="0" w:color="auto"/>
        <w:right w:val="none" w:sz="0" w:space="0" w:color="auto"/>
      </w:divBdr>
    </w:div>
    <w:div w:id="1634604162">
      <w:bodyDiv w:val="1"/>
      <w:marLeft w:val="0"/>
      <w:marRight w:val="0"/>
      <w:marTop w:val="0"/>
      <w:marBottom w:val="0"/>
      <w:divBdr>
        <w:top w:val="none" w:sz="0" w:space="0" w:color="auto"/>
        <w:left w:val="none" w:sz="0" w:space="0" w:color="auto"/>
        <w:bottom w:val="none" w:sz="0" w:space="0" w:color="auto"/>
        <w:right w:val="none" w:sz="0" w:space="0" w:color="auto"/>
      </w:divBdr>
    </w:div>
    <w:div w:id="1634679755">
      <w:bodyDiv w:val="1"/>
      <w:marLeft w:val="0"/>
      <w:marRight w:val="0"/>
      <w:marTop w:val="0"/>
      <w:marBottom w:val="0"/>
      <w:divBdr>
        <w:top w:val="none" w:sz="0" w:space="0" w:color="auto"/>
        <w:left w:val="none" w:sz="0" w:space="0" w:color="auto"/>
        <w:bottom w:val="none" w:sz="0" w:space="0" w:color="auto"/>
        <w:right w:val="none" w:sz="0" w:space="0" w:color="auto"/>
      </w:divBdr>
    </w:div>
    <w:div w:id="1635715031">
      <w:bodyDiv w:val="1"/>
      <w:marLeft w:val="0"/>
      <w:marRight w:val="0"/>
      <w:marTop w:val="0"/>
      <w:marBottom w:val="0"/>
      <w:divBdr>
        <w:top w:val="none" w:sz="0" w:space="0" w:color="auto"/>
        <w:left w:val="none" w:sz="0" w:space="0" w:color="auto"/>
        <w:bottom w:val="none" w:sz="0" w:space="0" w:color="auto"/>
        <w:right w:val="none" w:sz="0" w:space="0" w:color="auto"/>
      </w:divBdr>
    </w:div>
    <w:div w:id="1636326033">
      <w:bodyDiv w:val="1"/>
      <w:marLeft w:val="0"/>
      <w:marRight w:val="0"/>
      <w:marTop w:val="0"/>
      <w:marBottom w:val="0"/>
      <w:divBdr>
        <w:top w:val="none" w:sz="0" w:space="0" w:color="auto"/>
        <w:left w:val="none" w:sz="0" w:space="0" w:color="auto"/>
        <w:bottom w:val="none" w:sz="0" w:space="0" w:color="auto"/>
        <w:right w:val="none" w:sz="0" w:space="0" w:color="auto"/>
      </w:divBdr>
    </w:div>
    <w:div w:id="1637173821">
      <w:bodyDiv w:val="1"/>
      <w:marLeft w:val="0"/>
      <w:marRight w:val="0"/>
      <w:marTop w:val="0"/>
      <w:marBottom w:val="0"/>
      <w:divBdr>
        <w:top w:val="none" w:sz="0" w:space="0" w:color="auto"/>
        <w:left w:val="none" w:sz="0" w:space="0" w:color="auto"/>
        <w:bottom w:val="none" w:sz="0" w:space="0" w:color="auto"/>
        <w:right w:val="none" w:sz="0" w:space="0" w:color="auto"/>
      </w:divBdr>
    </w:div>
    <w:div w:id="1638682096">
      <w:bodyDiv w:val="1"/>
      <w:marLeft w:val="0"/>
      <w:marRight w:val="0"/>
      <w:marTop w:val="0"/>
      <w:marBottom w:val="0"/>
      <w:divBdr>
        <w:top w:val="none" w:sz="0" w:space="0" w:color="auto"/>
        <w:left w:val="none" w:sz="0" w:space="0" w:color="auto"/>
        <w:bottom w:val="none" w:sz="0" w:space="0" w:color="auto"/>
        <w:right w:val="none" w:sz="0" w:space="0" w:color="auto"/>
      </w:divBdr>
    </w:div>
    <w:div w:id="1638683967">
      <w:bodyDiv w:val="1"/>
      <w:marLeft w:val="0"/>
      <w:marRight w:val="0"/>
      <w:marTop w:val="0"/>
      <w:marBottom w:val="0"/>
      <w:divBdr>
        <w:top w:val="none" w:sz="0" w:space="0" w:color="auto"/>
        <w:left w:val="none" w:sz="0" w:space="0" w:color="auto"/>
        <w:bottom w:val="none" w:sz="0" w:space="0" w:color="auto"/>
        <w:right w:val="none" w:sz="0" w:space="0" w:color="auto"/>
      </w:divBdr>
    </w:div>
    <w:div w:id="1639604885">
      <w:bodyDiv w:val="1"/>
      <w:marLeft w:val="0"/>
      <w:marRight w:val="0"/>
      <w:marTop w:val="0"/>
      <w:marBottom w:val="0"/>
      <w:divBdr>
        <w:top w:val="none" w:sz="0" w:space="0" w:color="auto"/>
        <w:left w:val="none" w:sz="0" w:space="0" w:color="auto"/>
        <w:bottom w:val="none" w:sz="0" w:space="0" w:color="auto"/>
        <w:right w:val="none" w:sz="0" w:space="0" w:color="auto"/>
      </w:divBdr>
    </w:div>
    <w:div w:id="1643189054">
      <w:bodyDiv w:val="1"/>
      <w:marLeft w:val="0"/>
      <w:marRight w:val="0"/>
      <w:marTop w:val="0"/>
      <w:marBottom w:val="0"/>
      <w:divBdr>
        <w:top w:val="none" w:sz="0" w:space="0" w:color="auto"/>
        <w:left w:val="none" w:sz="0" w:space="0" w:color="auto"/>
        <w:bottom w:val="none" w:sz="0" w:space="0" w:color="auto"/>
        <w:right w:val="none" w:sz="0" w:space="0" w:color="auto"/>
      </w:divBdr>
    </w:div>
    <w:div w:id="1643342012">
      <w:bodyDiv w:val="1"/>
      <w:marLeft w:val="0"/>
      <w:marRight w:val="0"/>
      <w:marTop w:val="0"/>
      <w:marBottom w:val="0"/>
      <w:divBdr>
        <w:top w:val="none" w:sz="0" w:space="0" w:color="auto"/>
        <w:left w:val="none" w:sz="0" w:space="0" w:color="auto"/>
        <w:bottom w:val="none" w:sz="0" w:space="0" w:color="auto"/>
        <w:right w:val="none" w:sz="0" w:space="0" w:color="auto"/>
      </w:divBdr>
    </w:div>
    <w:div w:id="1643390313">
      <w:bodyDiv w:val="1"/>
      <w:marLeft w:val="0"/>
      <w:marRight w:val="0"/>
      <w:marTop w:val="0"/>
      <w:marBottom w:val="0"/>
      <w:divBdr>
        <w:top w:val="none" w:sz="0" w:space="0" w:color="auto"/>
        <w:left w:val="none" w:sz="0" w:space="0" w:color="auto"/>
        <w:bottom w:val="none" w:sz="0" w:space="0" w:color="auto"/>
        <w:right w:val="none" w:sz="0" w:space="0" w:color="auto"/>
      </w:divBdr>
    </w:div>
    <w:div w:id="1644116480">
      <w:bodyDiv w:val="1"/>
      <w:marLeft w:val="0"/>
      <w:marRight w:val="0"/>
      <w:marTop w:val="0"/>
      <w:marBottom w:val="0"/>
      <w:divBdr>
        <w:top w:val="none" w:sz="0" w:space="0" w:color="auto"/>
        <w:left w:val="none" w:sz="0" w:space="0" w:color="auto"/>
        <w:bottom w:val="none" w:sz="0" w:space="0" w:color="auto"/>
        <w:right w:val="none" w:sz="0" w:space="0" w:color="auto"/>
      </w:divBdr>
    </w:div>
    <w:div w:id="1645044175">
      <w:bodyDiv w:val="1"/>
      <w:marLeft w:val="0"/>
      <w:marRight w:val="0"/>
      <w:marTop w:val="0"/>
      <w:marBottom w:val="0"/>
      <w:divBdr>
        <w:top w:val="none" w:sz="0" w:space="0" w:color="auto"/>
        <w:left w:val="none" w:sz="0" w:space="0" w:color="auto"/>
        <w:bottom w:val="none" w:sz="0" w:space="0" w:color="auto"/>
        <w:right w:val="none" w:sz="0" w:space="0" w:color="auto"/>
      </w:divBdr>
    </w:div>
    <w:div w:id="1645086357">
      <w:bodyDiv w:val="1"/>
      <w:marLeft w:val="0"/>
      <w:marRight w:val="0"/>
      <w:marTop w:val="0"/>
      <w:marBottom w:val="0"/>
      <w:divBdr>
        <w:top w:val="none" w:sz="0" w:space="0" w:color="auto"/>
        <w:left w:val="none" w:sz="0" w:space="0" w:color="auto"/>
        <w:bottom w:val="none" w:sz="0" w:space="0" w:color="auto"/>
        <w:right w:val="none" w:sz="0" w:space="0" w:color="auto"/>
      </w:divBdr>
    </w:div>
    <w:div w:id="1646468182">
      <w:bodyDiv w:val="1"/>
      <w:marLeft w:val="0"/>
      <w:marRight w:val="0"/>
      <w:marTop w:val="0"/>
      <w:marBottom w:val="0"/>
      <w:divBdr>
        <w:top w:val="none" w:sz="0" w:space="0" w:color="auto"/>
        <w:left w:val="none" w:sz="0" w:space="0" w:color="auto"/>
        <w:bottom w:val="none" w:sz="0" w:space="0" w:color="auto"/>
        <w:right w:val="none" w:sz="0" w:space="0" w:color="auto"/>
      </w:divBdr>
    </w:div>
    <w:div w:id="1647005458">
      <w:bodyDiv w:val="1"/>
      <w:marLeft w:val="0"/>
      <w:marRight w:val="0"/>
      <w:marTop w:val="0"/>
      <w:marBottom w:val="0"/>
      <w:divBdr>
        <w:top w:val="none" w:sz="0" w:space="0" w:color="auto"/>
        <w:left w:val="none" w:sz="0" w:space="0" w:color="auto"/>
        <w:bottom w:val="none" w:sz="0" w:space="0" w:color="auto"/>
        <w:right w:val="none" w:sz="0" w:space="0" w:color="auto"/>
      </w:divBdr>
    </w:div>
    <w:div w:id="1648363973">
      <w:bodyDiv w:val="1"/>
      <w:marLeft w:val="0"/>
      <w:marRight w:val="0"/>
      <w:marTop w:val="0"/>
      <w:marBottom w:val="0"/>
      <w:divBdr>
        <w:top w:val="none" w:sz="0" w:space="0" w:color="auto"/>
        <w:left w:val="none" w:sz="0" w:space="0" w:color="auto"/>
        <w:bottom w:val="none" w:sz="0" w:space="0" w:color="auto"/>
        <w:right w:val="none" w:sz="0" w:space="0" w:color="auto"/>
      </w:divBdr>
    </w:div>
    <w:div w:id="1648516215">
      <w:bodyDiv w:val="1"/>
      <w:marLeft w:val="0"/>
      <w:marRight w:val="0"/>
      <w:marTop w:val="0"/>
      <w:marBottom w:val="0"/>
      <w:divBdr>
        <w:top w:val="none" w:sz="0" w:space="0" w:color="auto"/>
        <w:left w:val="none" w:sz="0" w:space="0" w:color="auto"/>
        <w:bottom w:val="none" w:sz="0" w:space="0" w:color="auto"/>
        <w:right w:val="none" w:sz="0" w:space="0" w:color="auto"/>
      </w:divBdr>
    </w:div>
    <w:div w:id="1650281539">
      <w:bodyDiv w:val="1"/>
      <w:marLeft w:val="0"/>
      <w:marRight w:val="0"/>
      <w:marTop w:val="0"/>
      <w:marBottom w:val="0"/>
      <w:divBdr>
        <w:top w:val="none" w:sz="0" w:space="0" w:color="auto"/>
        <w:left w:val="none" w:sz="0" w:space="0" w:color="auto"/>
        <w:bottom w:val="none" w:sz="0" w:space="0" w:color="auto"/>
        <w:right w:val="none" w:sz="0" w:space="0" w:color="auto"/>
      </w:divBdr>
    </w:div>
    <w:div w:id="1655840086">
      <w:bodyDiv w:val="1"/>
      <w:marLeft w:val="0"/>
      <w:marRight w:val="0"/>
      <w:marTop w:val="0"/>
      <w:marBottom w:val="0"/>
      <w:divBdr>
        <w:top w:val="none" w:sz="0" w:space="0" w:color="auto"/>
        <w:left w:val="none" w:sz="0" w:space="0" w:color="auto"/>
        <w:bottom w:val="none" w:sz="0" w:space="0" w:color="auto"/>
        <w:right w:val="none" w:sz="0" w:space="0" w:color="auto"/>
      </w:divBdr>
    </w:div>
    <w:div w:id="1655916610">
      <w:bodyDiv w:val="1"/>
      <w:marLeft w:val="0"/>
      <w:marRight w:val="0"/>
      <w:marTop w:val="0"/>
      <w:marBottom w:val="0"/>
      <w:divBdr>
        <w:top w:val="none" w:sz="0" w:space="0" w:color="auto"/>
        <w:left w:val="none" w:sz="0" w:space="0" w:color="auto"/>
        <w:bottom w:val="none" w:sz="0" w:space="0" w:color="auto"/>
        <w:right w:val="none" w:sz="0" w:space="0" w:color="auto"/>
      </w:divBdr>
    </w:div>
    <w:div w:id="1656257933">
      <w:bodyDiv w:val="1"/>
      <w:marLeft w:val="0"/>
      <w:marRight w:val="0"/>
      <w:marTop w:val="0"/>
      <w:marBottom w:val="0"/>
      <w:divBdr>
        <w:top w:val="none" w:sz="0" w:space="0" w:color="auto"/>
        <w:left w:val="none" w:sz="0" w:space="0" w:color="auto"/>
        <w:bottom w:val="none" w:sz="0" w:space="0" w:color="auto"/>
        <w:right w:val="none" w:sz="0" w:space="0" w:color="auto"/>
      </w:divBdr>
    </w:div>
    <w:div w:id="1657032487">
      <w:bodyDiv w:val="1"/>
      <w:marLeft w:val="0"/>
      <w:marRight w:val="0"/>
      <w:marTop w:val="0"/>
      <w:marBottom w:val="0"/>
      <w:divBdr>
        <w:top w:val="none" w:sz="0" w:space="0" w:color="auto"/>
        <w:left w:val="none" w:sz="0" w:space="0" w:color="auto"/>
        <w:bottom w:val="none" w:sz="0" w:space="0" w:color="auto"/>
        <w:right w:val="none" w:sz="0" w:space="0" w:color="auto"/>
      </w:divBdr>
    </w:div>
    <w:div w:id="1657537475">
      <w:bodyDiv w:val="1"/>
      <w:marLeft w:val="0"/>
      <w:marRight w:val="0"/>
      <w:marTop w:val="0"/>
      <w:marBottom w:val="0"/>
      <w:divBdr>
        <w:top w:val="none" w:sz="0" w:space="0" w:color="auto"/>
        <w:left w:val="none" w:sz="0" w:space="0" w:color="auto"/>
        <w:bottom w:val="none" w:sz="0" w:space="0" w:color="auto"/>
        <w:right w:val="none" w:sz="0" w:space="0" w:color="auto"/>
      </w:divBdr>
    </w:div>
    <w:div w:id="1657565195">
      <w:bodyDiv w:val="1"/>
      <w:marLeft w:val="0"/>
      <w:marRight w:val="0"/>
      <w:marTop w:val="0"/>
      <w:marBottom w:val="0"/>
      <w:divBdr>
        <w:top w:val="none" w:sz="0" w:space="0" w:color="auto"/>
        <w:left w:val="none" w:sz="0" w:space="0" w:color="auto"/>
        <w:bottom w:val="none" w:sz="0" w:space="0" w:color="auto"/>
        <w:right w:val="none" w:sz="0" w:space="0" w:color="auto"/>
      </w:divBdr>
    </w:div>
    <w:div w:id="1658192183">
      <w:bodyDiv w:val="1"/>
      <w:marLeft w:val="0"/>
      <w:marRight w:val="0"/>
      <w:marTop w:val="0"/>
      <w:marBottom w:val="0"/>
      <w:divBdr>
        <w:top w:val="none" w:sz="0" w:space="0" w:color="auto"/>
        <w:left w:val="none" w:sz="0" w:space="0" w:color="auto"/>
        <w:bottom w:val="none" w:sz="0" w:space="0" w:color="auto"/>
        <w:right w:val="none" w:sz="0" w:space="0" w:color="auto"/>
      </w:divBdr>
    </w:div>
    <w:div w:id="1658609901">
      <w:bodyDiv w:val="1"/>
      <w:marLeft w:val="0"/>
      <w:marRight w:val="0"/>
      <w:marTop w:val="0"/>
      <w:marBottom w:val="0"/>
      <w:divBdr>
        <w:top w:val="none" w:sz="0" w:space="0" w:color="auto"/>
        <w:left w:val="none" w:sz="0" w:space="0" w:color="auto"/>
        <w:bottom w:val="none" w:sz="0" w:space="0" w:color="auto"/>
        <w:right w:val="none" w:sz="0" w:space="0" w:color="auto"/>
      </w:divBdr>
    </w:div>
    <w:div w:id="1658992753">
      <w:bodyDiv w:val="1"/>
      <w:marLeft w:val="0"/>
      <w:marRight w:val="0"/>
      <w:marTop w:val="0"/>
      <w:marBottom w:val="0"/>
      <w:divBdr>
        <w:top w:val="none" w:sz="0" w:space="0" w:color="auto"/>
        <w:left w:val="none" w:sz="0" w:space="0" w:color="auto"/>
        <w:bottom w:val="none" w:sz="0" w:space="0" w:color="auto"/>
        <w:right w:val="none" w:sz="0" w:space="0" w:color="auto"/>
      </w:divBdr>
    </w:div>
    <w:div w:id="1660376701">
      <w:bodyDiv w:val="1"/>
      <w:marLeft w:val="0"/>
      <w:marRight w:val="0"/>
      <w:marTop w:val="0"/>
      <w:marBottom w:val="0"/>
      <w:divBdr>
        <w:top w:val="none" w:sz="0" w:space="0" w:color="auto"/>
        <w:left w:val="none" w:sz="0" w:space="0" w:color="auto"/>
        <w:bottom w:val="none" w:sz="0" w:space="0" w:color="auto"/>
        <w:right w:val="none" w:sz="0" w:space="0" w:color="auto"/>
      </w:divBdr>
    </w:div>
    <w:div w:id="1660504092">
      <w:bodyDiv w:val="1"/>
      <w:marLeft w:val="0"/>
      <w:marRight w:val="0"/>
      <w:marTop w:val="0"/>
      <w:marBottom w:val="0"/>
      <w:divBdr>
        <w:top w:val="none" w:sz="0" w:space="0" w:color="auto"/>
        <w:left w:val="none" w:sz="0" w:space="0" w:color="auto"/>
        <w:bottom w:val="none" w:sz="0" w:space="0" w:color="auto"/>
        <w:right w:val="none" w:sz="0" w:space="0" w:color="auto"/>
      </w:divBdr>
    </w:div>
    <w:div w:id="1661150992">
      <w:bodyDiv w:val="1"/>
      <w:marLeft w:val="0"/>
      <w:marRight w:val="0"/>
      <w:marTop w:val="0"/>
      <w:marBottom w:val="0"/>
      <w:divBdr>
        <w:top w:val="none" w:sz="0" w:space="0" w:color="auto"/>
        <w:left w:val="none" w:sz="0" w:space="0" w:color="auto"/>
        <w:bottom w:val="none" w:sz="0" w:space="0" w:color="auto"/>
        <w:right w:val="none" w:sz="0" w:space="0" w:color="auto"/>
      </w:divBdr>
    </w:div>
    <w:div w:id="1661425248">
      <w:bodyDiv w:val="1"/>
      <w:marLeft w:val="0"/>
      <w:marRight w:val="0"/>
      <w:marTop w:val="0"/>
      <w:marBottom w:val="0"/>
      <w:divBdr>
        <w:top w:val="none" w:sz="0" w:space="0" w:color="auto"/>
        <w:left w:val="none" w:sz="0" w:space="0" w:color="auto"/>
        <w:bottom w:val="none" w:sz="0" w:space="0" w:color="auto"/>
        <w:right w:val="none" w:sz="0" w:space="0" w:color="auto"/>
      </w:divBdr>
    </w:div>
    <w:div w:id="1662463240">
      <w:bodyDiv w:val="1"/>
      <w:marLeft w:val="0"/>
      <w:marRight w:val="0"/>
      <w:marTop w:val="0"/>
      <w:marBottom w:val="0"/>
      <w:divBdr>
        <w:top w:val="none" w:sz="0" w:space="0" w:color="auto"/>
        <w:left w:val="none" w:sz="0" w:space="0" w:color="auto"/>
        <w:bottom w:val="none" w:sz="0" w:space="0" w:color="auto"/>
        <w:right w:val="none" w:sz="0" w:space="0" w:color="auto"/>
      </w:divBdr>
    </w:div>
    <w:div w:id="1662662864">
      <w:bodyDiv w:val="1"/>
      <w:marLeft w:val="0"/>
      <w:marRight w:val="0"/>
      <w:marTop w:val="0"/>
      <w:marBottom w:val="0"/>
      <w:divBdr>
        <w:top w:val="none" w:sz="0" w:space="0" w:color="auto"/>
        <w:left w:val="none" w:sz="0" w:space="0" w:color="auto"/>
        <w:bottom w:val="none" w:sz="0" w:space="0" w:color="auto"/>
        <w:right w:val="none" w:sz="0" w:space="0" w:color="auto"/>
      </w:divBdr>
    </w:div>
    <w:div w:id="1663659921">
      <w:bodyDiv w:val="1"/>
      <w:marLeft w:val="0"/>
      <w:marRight w:val="0"/>
      <w:marTop w:val="0"/>
      <w:marBottom w:val="0"/>
      <w:divBdr>
        <w:top w:val="none" w:sz="0" w:space="0" w:color="auto"/>
        <w:left w:val="none" w:sz="0" w:space="0" w:color="auto"/>
        <w:bottom w:val="none" w:sz="0" w:space="0" w:color="auto"/>
        <w:right w:val="none" w:sz="0" w:space="0" w:color="auto"/>
      </w:divBdr>
    </w:div>
    <w:div w:id="1664771255">
      <w:bodyDiv w:val="1"/>
      <w:marLeft w:val="0"/>
      <w:marRight w:val="0"/>
      <w:marTop w:val="0"/>
      <w:marBottom w:val="0"/>
      <w:divBdr>
        <w:top w:val="none" w:sz="0" w:space="0" w:color="auto"/>
        <w:left w:val="none" w:sz="0" w:space="0" w:color="auto"/>
        <w:bottom w:val="none" w:sz="0" w:space="0" w:color="auto"/>
        <w:right w:val="none" w:sz="0" w:space="0" w:color="auto"/>
      </w:divBdr>
    </w:div>
    <w:div w:id="1665936709">
      <w:bodyDiv w:val="1"/>
      <w:marLeft w:val="0"/>
      <w:marRight w:val="0"/>
      <w:marTop w:val="0"/>
      <w:marBottom w:val="0"/>
      <w:divBdr>
        <w:top w:val="none" w:sz="0" w:space="0" w:color="auto"/>
        <w:left w:val="none" w:sz="0" w:space="0" w:color="auto"/>
        <w:bottom w:val="none" w:sz="0" w:space="0" w:color="auto"/>
        <w:right w:val="none" w:sz="0" w:space="0" w:color="auto"/>
      </w:divBdr>
    </w:div>
    <w:div w:id="1666780538">
      <w:bodyDiv w:val="1"/>
      <w:marLeft w:val="0"/>
      <w:marRight w:val="0"/>
      <w:marTop w:val="0"/>
      <w:marBottom w:val="0"/>
      <w:divBdr>
        <w:top w:val="none" w:sz="0" w:space="0" w:color="auto"/>
        <w:left w:val="none" w:sz="0" w:space="0" w:color="auto"/>
        <w:bottom w:val="none" w:sz="0" w:space="0" w:color="auto"/>
        <w:right w:val="none" w:sz="0" w:space="0" w:color="auto"/>
      </w:divBdr>
    </w:div>
    <w:div w:id="1667900677">
      <w:bodyDiv w:val="1"/>
      <w:marLeft w:val="0"/>
      <w:marRight w:val="0"/>
      <w:marTop w:val="0"/>
      <w:marBottom w:val="0"/>
      <w:divBdr>
        <w:top w:val="none" w:sz="0" w:space="0" w:color="auto"/>
        <w:left w:val="none" w:sz="0" w:space="0" w:color="auto"/>
        <w:bottom w:val="none" w:sz="0" w:space="0" w:color="auto"/>
        <w:right w:val="none" w:sz="0" w:space="0" w:color="auto"/>
      </w:divBdr>
    </w:div>
    <w:div w:id="1670907667">
      <w:bodyDiv w:val="1"/>
      <w:marLeft w:val="0"/>
      <w:marRight w:val="0"/>
      <w:marTop w:val="0"/>
      <w:marBottom w:val="0"/>
      <w:divBdr>
        <w:top w:val="none" w:sz="0" w:space="0" w:color="auto"/>
        <w:left w:val="none" w:sz="0" w:space="0" w:color="auto"/>
        <w:bottom w:val="none" w:sz="0" w:space="0" w:color="auto"/>
        <w:right w:val="none" w:sz="0" w:space="0" w:color="auto"/>
      </w:divBdr>
    </w:div>
    <w:div w:id="1671179505">
      <w:bodyDiv w:val="1"/>
      <w:marLeft w:val="0"/>
      <w:marRight w:val="0"/>
      <w:marTop w:val="0"/>
      <w:marBottom w:val="0"/>
      <w:divBdr>
        <w:top w:val="none" w:sz="0" w:space="0" w:color="auto"/>
        <w:left w:val="none" w:sz="0" w:space="0" w:color="auto"/>
        <w:bottom w:val="none" w:sz="0" w:space="0" w:color="auto"/>
        <w:right w:val="none" w:sz="0" w:space="0" w:color="auto"/>
      </w:divBdr>
    </w:div>
    <w:div w:id="1672373334">
      <w:bodyDiv w:val="1"/>
      <w:marLeft w:val="0"/>
      <w:marRight w:val="0"/>
      <w:marTop w:val="0"/>
      <w:marBottom w:val="0"/>
      <w:divBdr>
        <w:top w:val="none" w:sz="0" w:space="0" w:color="auto"/>
        <w:left w:val="none" w:sz="0" w:space="0" w:color="auto"/>
        <w:bottom w:val="none" w:sz="0" w:space="0" w:color="auto"/>
        <w:right w:val="none" w:sz="0" w:space="0" w:color="auto"/>
      </w:divBdr>
    </w:div>
    <w:div w:id="1673877045">
      <w:bodyDiv w:val="1"/>
      <w:marLeft w:val="0"/>
      <w:marRight w:val="0"/>
      <w:marTop w:val="0"/>
      <w:marBottom w:val="0"/>
      <w:divBdr>
        <w:top w:val="none" w:sz="0" w:space="0" w:color="auto"/>
        <w:left w:val="none" w:sz="0" w:space="0" w:color="auto"/>
        <w:bottom w:val="none" w:sz="0" w:space="0" w:color="auto"/>
        <w:right w:val="none" w:sz="0" w:space="0" w:color="auto"/>
      </w:divBdr>
    </w:div>
    <w:div w:id="1674261178">
      <w:bodyDiv w:val="1"/>
      <w:marLeft w:val="0"/>
      <w:marRight w:val="0"/>
      <w:marTop w:val="0"/>
      <w:marBottom w:val="0"/>
      <w:divBdr>
        <w:top w:val="none" w:sz="0" w:space="0" w:color="auto"/>
        <w:left w:val="none" w:sz="0" w:space="0" w:color="auto"/>
        <w:bottom w:val="none" w:sz="0" w:space="0" w:color="auto"/>
        <w:right w:val="none" w:sz="0" w:space="0" w:color="auto"/>
      </w:divBdr>
    </w:div>
    <w:div w:id="1674261273">
      <w:bodyDiv w:val="1"/>
      <w:marLeft w:val="0"/>
      <w:marRight w:val="0"/>
      <w:marTop w:val="0"/>
      <w:marBottom w:val="0"/>
      <w:divBdr>
        <w:top w:val="none" w:sz="0" w:space="0" w:color="auto"/>
        <w:left w:val="none" w:sz="0" w:space="0" w:color="auto"/>
        <w:bottom w:val="none" w:sz="0" w:space="0" w:color="auto"/>
        <w:right w:val="none" w:sz="0" w:space="0" w:color="auto"/>
      </w:divBdr>
    </w:div>
    <w:div w:id="1675495734">
      <w:bodyDiv w:val="1"/>
      <w:marLeft w:val="0"/>
      <w:marRight w:val="0"/>
      <w:marTop w:val="0"/>
      <w:marBottom w:val="0"/>
      <w:divBdr>
        <w:top w:val="none" w:sz="0" w:space="0" w:color="auto"/>
        <w:left w:val="none" w:sz="0" w:space="0" w:color="auto"/>
        <w:bottom w:val="none" w:sz="0" w:space="0" w:color="auto"/>
        <w:right w:val="none" w:sz="0" w:space="0" w:color="auto"/>
      </w:divBdr>
    </w:div>
    <w:div w:id="1676758518">
      <w:bodyDiv w:val="1"/>
      <w:marLeft w:val="0"/>
      <w:marRight w:val="0"/>
      <w:marTop w:val="0"/>
      <w:marBottom w:val="0"/>
      <w:divBdr>
        <w:top w:val="none" w:sz="0" w:space="0" w:color="auto"/>
        <w:left w:val="none" w:sz="0" w:space="0" w:color="auto"/>
        <w:bottom w:val="none" w:sz="0" w:space="0" w:color="auto"/>
        <w:right w:val="none" w:sz="0" w:space="0" w:color="auto"/>
      </w:divBdr>
    </w:div>
    <w:div w:id="1678078210">
      <w:bodyDiv w:val="1"/>
      <w:marLeft w:val="0"/>
      <w:marRight w:val="0"/>
      <w:marTop w:val="0"/>
      <w:marBottom w:val="0"/>
      <w:divBdr>
        <w:top w:val="none" w:sz="0" w:space="0" w:color="auto"/>
        <w:left w:val="none" w:sz="0" w:space="0" w:color="auto"/>
        <w:bottom w:val="none" w:sz="0" w:space="0" w:color="auto"/>
        <w:right w:val="none" w:sz="0" w:space="0" w:color="auto"/>
      </w:divBdr>
    </w:div>
    <w:div w:id="1679698090">
      <w:bodyDiv w:val="1"/>
      <w:marLeft w:val="0"/>
      <w:marRight w:val="0"/>
      <w:marTop w:val="0"/>
      <w:marBottom w:val="0"/>
      <w:divBdr>
        <w:top w:val="none" w:sz="0" w:space="0" w:color="auto"/>
        <w:left w:val="none" w:sz="0" w:space="0" w:color="auto"/>
        <w:bottom w:val="none" w:sz="0" w:space="0" w:color="auto"/>
        <w:right w:val="none" w:sz="0" w:space="0" w:color="auto"/>
      </w:divBdr>
    </w:div>
    <w:div w:id="1681468147">
      <w:bodyDiv w:val="1"/>
      <w:marLeft w:val="0"/>
      <w:marRight w:val="0"/>
      <w:marTop w:val="0"/>
      <w:marBottom w:val="0"/>
      <w:divBdr>
        <w:top w:val="none" w:sz="0" w:space="0" w:color="auto"/>
        <w:left w:val="none" w:sz="0" w:space="0" w:color="auto"/>
        <w:bottom w:val="none" w:sz="0" w:space="0" w:color="auto"/>
        <w:right w:val="none" w:sz="0" w:space="0" w:color="auto"/>
      </w:divBdr>
    </w:div>
    <w:div w:id="1682855479">
      <w:bodyDiv w:val="1"/>
      <w:marLeft w:val="0"/>
      <w:marRight w:val="0"/>
      <w:marTop w:val="0"/>
      <w:marBottom w:val="0"/>
      <w:divBdr>
        <w:top w:val="none" w:sz="0" w:space="0" w:color="auto"/>
        <w:left w:val="none" w:sz="0" w:space="0" w:color="auto"/>
        <w:bottom w:val="none" w:sz="0" w:space="0" w:color="auto"/>
        <w:right w:val="none" w:sz="0" w:space="0" w:color="auto"/>
      </w:divBdr>
    </w:div>
    <w:div w:id="1683121794">
      <w:bodyDiv w:val="1"/>
      <w:marLeft w:val="0"/>
      <w:marRight w:val="0"/>
      <w:marTop w:val="0"/>
      <w:marBottom w:val="0"/>
      <w:divBdr>
        <w:top w:val="none" w:sz="0" w:space="0" w:color="auto"/>
        <w:left w:val="none" w:sz="0" w:space="0" w:color="auto"/>
        <w:bottom w:val="none" w:sz="0" w:space="0" w:color="auto"/>
        <w:right w:val="none" w:sz="0" w:space="0" w:color="auto"/>
      </w:divBdr>
    </w:div>
    <w:div w:id="1683702899">
      <w:bodyDiv w:val="1"/>
      <w:marLeft w:val="0"/>
      <w:marRight w:val="0"/>
      <w:marTop w:val="0"/>
      <w:marBottom w:val="0"/>
      <w:divBdr>
        <w:top w:val="none" w:sz="0" w:space="0" w:color="auto"/>
        <w:left w:val="none" w:sz="0" w:space="0" w:color="auto"/>
        <w:bottom w:val="none" w:sz="0" w:space="0" w:color="auto"/>
        <w:right w:val="none" w:sz="0" w:space="0" w:color="auto"/>
      </w:divBdr>
    </w:div>
    <w:div w:id="1685013738">
      <w:bodyDiv w:val="1"/>
      <w:marLeft w:val="0"/>
      <w:marRight w:val="0"/>
      <w:marTop w:val="0"/>
      <w:marBottom w:val="0"/>
      <w:divBdr>
        <w:top w:val="none" w:sz="0" w:space="0" w:color="auto"/>
        <w:left w:val="none" w:sz="0" w:space="0" w:color="auto"/>
        <w:bottom w:val="none" w:sz="0" w:space="0" w:color="auto"/>
        <w:right w:val="none" w:sz="0" w:space="0" w:color="auto"/>
      </w:divBdr>
    </w:div>
    <w:div w:id="1686596501">
      <w:bodyDiv w:val="1"/>
      <w:marLeft w:val="0"/>
      <w:marRight w:val="0"/>
      <w:marTop w:val="0"/>
      <w:marBottom w:val="0"/>
      <w:divBdr>
        <w:top w:val="none" w:sz="0" w:space="0" w:color="auto"/>
        <w:left w:val="none" w:sz="0" w:space="0" w:color="auto"/>
        <w:bottom w:val="none" w:sz="0" w:space="0" w:color="auto"/>
        <w:right w:val="none" w:sz="0" w:space="0" w:color="auto"/>
      </w:divBdr>
    </w:div>
    <w:div w:id="1687638447">
      <w:bodyDiv w:val="1"/>
      <w:marLeft w:val="0"/>
      <w:marRight w:val="0"/>
      <w:marTop w:val="0"/>
      <w:marBottom w:val="0"/>
      <w:divBdr>
        <w:top w:val="none" w:sz="0" w:space="0" w:color="auto"/>
        <w:left w:val="none" w:sz="0" w:space="0" w:color="auto"/>
        <w:bottom w:val="none" w:sz="0" w:space="0" w:color="auto"/>
        <w:right w:val="none" w:sz="0" w:space="0" w:color="auto"/>
      </w:divBdr>
    </w:div>
    <w:div w:id="1687900370">
      <w:bodyDiv w:val="1"/>
      <w:marLeft w:val="0"/>
      <w:marRight w:val="0"/>
      <w:marTop w:val="0"/>
      <w:marBottom w:val="0"/>
      <w:divBdr>
        <w:top w:val="none" w:sz="0" w:space="0" w:color="auto"/>
        <w:left w:val="none" w:sz="0" w:space="0" w:color="auto"/>
        <w:bottom w:val="none" w:sz="0" w:space="0" w:color="auto"/>
        <w:right w:val="none" w:sz="0" w:space="0" w:color="auto"/>
      </w:divBdr>
    </w:div>
    <w:div w:id="1688367205">
      <w:bodyDiv w:val="1"/>
      <w:marLeft w:val="0"/>
      <w:marRight w:val="0"/>
      <w:marTop w:val="0"/>
      <w:marBottom w:val="0"/>
      <w:divBdr>
        <w:top w:val="none" w:sz="0" w:space="0" w:color="auto"/>
        <w:left w:val="none" w:sz="0" w:space="0" w:color="auto"/>
        <w:bottom w:val="none" w:sz="0" w:space="0" w:color="auto"/>
        <w:right w:val="none" w:sz="0" w:space="0" w:color="auto"/>
      </w:divBdr>
    </w:div>
    <w:div w:id="1688949373">
      <w:bodyDiv w:val="1"/>
      <w:marLeft w:val="0"/>
      <w:marRight w:val="0"/>
      <w:marTop w:val="0"/>
      <w:marBottom w:val="0"/>
      <w:divBdr>
        <w:top w:val="none" w:sz="0" w:space="0" w:color="auto"/>
        <w:left w:val="none" w:sz="0" w:space="0" w:color="auto"/>
        <w:bottom w:val="none" w:sz="0" w:space="0" w:color="auto"/>
        <w:right w:val="none" w:sz="0" w:space="0" w:color="auto"/>
      </w:divBdr>
    </w:div>
    <w:div w:id="1689134622">
      <w:bodyDiv w:val="1"/>
      <w:marLeft w:val="0"/>
      <w:marRight w:val="0"/>
      <w:marTop w:val="0"/>
      <w:marBottom w:val="0"/>
      <w:divBdr>
        <w:top w:val="none" w:sz="0" w:space="0" w:color="auto"/>
        <w:left w:val="none" w:sz="0" w:space="0" w:color="auto"/>
        <w:bottom w:val="none" w:sz="0" w:space="0" w:color="auto"/>
        <w:right w:val="none" w:sz="0" w:space="0" w:color="auto"/>
      </w:divBdr>
    </w:div>
    <w:div w:id="1691028436">
      <w:bodyDiv w:val="1"/>
      <w:marLeft w:val="0"/>
      <w:marRight w:val="0"/>
      <w:marTop w:val="0"/>
      <w:marBottom w:val="0"/>
      <w:divBdr>
        <w:top w:val="none" w:sz="0" w:space="0" w:color="auto"/>
        <w:left w:val="none" w:sz="0" w:space="0" w:color="auto"/>
        <w:bottom w:val="none" w:sz="0" w:space="0" w:color="auto"/>
        <w:right w:val="none" w:sz="0" w:space="0" w:color="auto"/>
      </w:divBdr>
    </w:div>
    <w:div w:id="1691299581">
      <w:bodyDiv w:val="1"/>
      <w:marLeft w:val="0"/>
      <w:marRight w:val="0"/>
      <w:marTop w:val="0"/>
      <w:marBottom w:val="0"/>
      <w:divBdr>
        <w:top w:val="none" w:sz="0" w:space="0" w:color="auto"/>
        <w:left w:val="none" w:sz="0" w:space="0" w:color="auto"/>
        <w:bottom w:val="none" w:sz="0" w:space="0" w:color="auto"/>
        <w:right w:val="none" w:sz="0" w:space="0" w:color="auto"/>
      </w:divBdr>
    </w:div>
    <w:div w:id="1693722759">
      <w:bodyDiv w:val="1"/>
      <w:marLeft w:val="0"/>
      <w:marRight w:val="0"/>
      <w:marTop w:val="0"/>
      <w:marBottom w:val="0"/>
      <w:divBdr>
        <w:top w:val="none" w:sz="0" w:space="0" w:color="auto"/>
        <w:left w:val="none" w:sz="0" w:space="0" w:color="auto"/>
        <w:bottom w:val="none" w:sz="0" w:space="0" w:color="auto"/>
        <w:right w:val="none" w:sz="0" w:space="0" w:color="auto"/>
      </w:divBdr>
    </w:div>
    <w:div w:id="1694913416">
      <w:bodyDiv w:val="1"/>
      <w:marLeft w:val="0"/>
      <w:marRight w:val="0"/>
      <w:marTop w:val="0"/>
      <w:marBottom w:val="0"/>
      <w:divBdr>
        <w:top w:val="none" w:sz="0" w:space="0" w:color="auto"/>
        <w:left w:val="none" w:sz="0" w:space="0" w:color="auto"/>
        <w:bottom w:val="none" w:sz="0" w:space="0" w:color="auto"/>
        <w:right w:val="none" w:sz="0" w:space="0" w:color="auto"/>
      </w:divBdr>
    </w:div>
    <w:div w:id="1695957566">
      <w:bodyDiv w:val="1"/>
      <w:marLeft w:val="0"/>
      <w:marRight w:val="0"/>
      <w:marTop w:val="0"/>
      <w:marBottom w:val="0"/>
      <w:divBdr>
        <w:top w:val="none" w:sz="0" w:space="0" w:color="auto"/>
        <w:left w:val="none" w:sz="0" w:space="0" w:color="auto"/>
        <w:bottom w:val="none" w:sz="0" w:space="0" w:color="auto"/>
        <w:right w:val="none" w:sz="0" w:space="0" w:color="auto"/>
      </w:divBdr>
    </w:div>
    <w:div w:id="1696614926">
      <w:bodyDiv w:val="1"/>
      <w:marLeft w:val="0"/>
      <w:marRight w:val="0"/>
      <w:marTop w:val="0"/>
      <w:marBottom w:val="0"/>
      <w:divBdr>
        <w:top w:val="none" w:sz="0" w:space="0" w:color="auto"/>
        <w:left w:val="none" w:sz="0" w:space="0" w:color="auto"/>
        <w:bottom w:val="none" w:sz="0" w:space="0" w:color="auto"/>
        <w:right w:val="none" w:sz="0" w:space="0" w:color="auto"/>
      </w:divBdr>
    </w:div>
    <w:div w:id="1697998506">
      <w:bodyDiv w:val="1"/>
      <w:marLeft w:val="0"/>
      <w:marRight w:val="0"/>
      <w:marTop w:val="0"/>
      <w:marBottom w:val="0"/>
      <w:divBdr>
        <w:top w:val="none" w:sz="0" w:space="0" w:color="auto"/>
        <w:left w:val="none" w:sz="0" w:space="0" w:color="auto"/>
        <w:bottom w:val="none" w:sz="0" w:space="0" w:color="auto"/>
        <w:right w:val="none" w:sz="0" w:space="0" w:color="auto"/>
      </w:divBdr>
    </w:div>
    <w:div w:id="1698577955">
      <w:bodyDiv w:val="1"/>
      <w:marLeft w:val="0"/>
      <w:marRight w:val="0"/>
      <w:marTop w:val="0"/>
      <w:marBottom w:val="0"/>
      <w:divBdr>
        <w:top w:val="none" w:sz="0" w:space="0" w:color="auto"/>
        <w:left w:val="none" w:sz="0" w:space="0" w:color="auto"/>
        <w:bottom w:val="none" w:sz="0" w:space="0" w:color="auto"/>
        <w:right w:val="none" w:sz="0" w:space="0" w:color="auto"/>
      </w:divBdr>
    </w:div>
    <w:div w:id="1699769045">
      <w:bodyDiv w:val="1"/>
      <w:marLeft w:val="0"/>
      <w:marRight w:val="0"/>
      <w:marTop w:val="0"/>
      <w:marBottom w:val="0"/>
      <w:divBdr>
        <w:top w:val="none" w:sz="0" w:space="0" w:color="auto"/>
        <w:left w:val="none" w:sz="0" w:space="0" w:color="auto"/>
        <w:bottom w:val="none" w:sz="0" w:space="0" w:color="auto"/>
        <w:right w:val="none" w:sz="0" w:space="0" w:color="auto"/>
      </w:divBdr>
    </w:div>
    <w:div w:id="1700007593">
      <w:bodyDiv w:val="1"/>
      <w:marLeft w:val="0"/>
      <w:marRight w:val="0"/>
      <w:marTop w:val="0"/>
      <w:marBottom w:val="0"/>
      <w:divBdr>
        <w:top w:val="none" w:sz="0" w:space="0" w:color="auto"/>
        <w:left w:val="none" w:sz="0" w:space="0" w:color="auto"/>
        <w:bottom w:val="none" w:sz="0" w:space="0" w:color="auto"/>
        <w:right w:val="none" w:sz="0" w:space="0" w:color="auto"/>
      </w:divBdr>
    </w:div>
    <w:div w:id="1700426927">
      <w:bodyDiv w:val="1"/>
      <w:marLeft w:val="0"/>
      <w:marRight w:val="0"/>
      <w:marTop w:val="0"/>
      <w:marBottom w:val="0"/>
      <w:divBdr>
        <w:top w:val="none" w:sz="0" w:space="0" w:color="auto"/>
        <w:left w:val="none" w:sz="0" w:space="0" w:color="auto"/>
        <w:bottom w:val="none" w:sz="0" w:space="0" w:color="auto"/>
        <w:right w:val="none" w:sz="0" w:space="0" w:color="auto"/>
      </w:divBdr>
    </w:div>
    <w:div w:id="1703019269">
      <w:bodyDiv w:val="1"/>
      <w:marLeft w:val="0"/>
      <w:marRight w:val="0"/>
      <w:marTop w:val="0"/>
      <w:marBottom w:val="0"/>
      <w:divBdr>
        <w:top w:val="none" w:sz="0" w:space="0" w:color="auto"/>
        <w:left w:val="none" w:sz="0" w:space="0" w:color="auto"/>
        <w:bottom w:val="none" w:sz="0" w:space="0" w:color="auto"/>
        <w:right w:val="none" w:sz="0" w:space="0" w:color="auto"/>
      </w:divBdr>
    </w:div>
    <w:div w:id="1705055364">
      <w:bodyDiv w:val="1"/>
      <w:marLeft w:val="0"/>
      <w:marRight w:val="0"/>
      <w:marTop w:val="0"/>
      <w:marBottom w:val="0"/>
      <w:divBdr>
        <w:top w:val="none" w:sz="0" w:space="0" w:color="auto"/>
        <w:left w:val="none" w:sz="0" w:space="0" w:color="auto"/>
        <w:bottom w:val="none" w:sz="0" w:space="0" w:color="auto"/>
        <w:right w:val="none" w:sz="0" w:space="0" w:color="auto"/>
      </w:divBdr>
    </w:div>
    <w:div w:id="1706443998">
      <w:bodyDiv w:val="1"/>
      <w:marLeft w:val="0"/>
      <w:marRight w:val="0"/>
      <w:marTop w:val="0"/>
      <w:marBottom w:val="0"/>
      <w:divBdr>
        <w:top w:val="none" w:sz="0" w:space="0" w:color="auto"/>
        <w:left w:val="none" w:sz="0" w:space="0" w:color="auto"/>
        <w:bottom w:val="none" w:sz="0" w:space="0" w:color="auto"/>
        <w:right w:val="none" w:sz="0" w:space="0" w:color="auto"/>
      </w:divBdr>
    </w:div>
    <w:div w:id="1708220451">
      <w:bodyDiv w:val="1"/>
      <w:marLeft w:val="0"/>
      <w:marRight w:val="0"/>
      <w:marTop w:val="0"/>
      <w:marBottom w:val="0"/>
      <w:divBdr>
        <w:top w:val="none" w:sz="0" w:space="0" w:color="auto"/>
        <w:left w:val="none" w:sz="0" w:space="0" w:color="auto"/>
        <w:bottom w:val="none" w:sz="0" w:space="0" w:color="auto"/>
        <w:right w:val="none" w:sz="0" w:space="0" w:color="auto"/>
      </w:divBdr>
    </w:div>
    <w:div w:id="1712799749">
      <w:bodyDiv w:val="1"/>
      <w:marLeft w:val="0"/>
      <w:marRight w:val="0"/>
      <w:marTop w:val="0"/>
      <w:marBottom w:val="0"/>
      <w:divBdr>
        <w:top w:val="none" w:sz="0" w:space="0" w:color="auto"/>
        <w:left w:val="none" w:sz="0" w:space="0" w:color="auto"/>
        <w:bottom w:val="none" w:sz="0" w:space="0" w:color="auto"/>
        <w:right w:val="none" w:sz="0" w:space="0" w:color="auto"/>
      </w:divBdr>
    </w:div>
    <w:div w:id="1713312265">
      <w:bodyDiv w:val="1"/>
      <w:marLeft w:val="0"/>
      <w:marRight w:val="0"/>
      <w:marTop w:val="0"/>
      <w:marBottom w:val="0"/>
      <w:divBdr>
        <w:top w:val="none" w:sz="0" w:space="0" w:color="auto"/>
        <w:left w:val="none" w:sz="0" w:space="0" w:color="auto"/>
        <w:bottom w:val="none" w:sz="0" w:space="0" w:color="auto"/>
        <w:right w:val="none" w:sz="0" w:space="0" w:color="auto"/>
      </w:divBdr>
    </w:div>
    <w:div w:id="1716344186">
      <w:bodyDiv w:val="1"/>
      <w:marLeft w:val="0"/>
      <w:marRight w:val="0"/>
      <w:marTop w:val="0"/>
      <w:marBottom w:val="0"/>
      <w:divBdr>
        <w:top w:val="none" w:sz="0" w:space="0" w:color="auto"/>
        <w:left w:val="none" w:sz="0" w:space="0" w:color="auto"/>
        <w:bottom w:val="none" w:sz="0" w:space="0" w:color="auto"/>
        <w:right w:val="none" w:sz="0" w:space="0" w:color="auto"/>
      </w:divBdr>
    </w:div>
    <w:div w:id="1717312050">
      <w:bodyDiv w:val="1"/>
      <w:marLeft w:val="0"/>
      <w:marRight w:val="0"/>
      <w:marTop w:val="0"/>
      <w:marBottom w:val="0"/>
      <w:divBdr>
        <w:top w:val="none" w:sz="0" w:space="0" w:color="auto"/>
        <w:left w:val="none" w:sz="0" w:space="0" w:color="auto"/>
        <w:bottom w:val="none" w:sz="0" w:space="0" w:color="auto"/>
        <w:right w:val="none" w:sz="0" w:space="0" w:color="auto"/>
      </w:divBdr>
    </w:div>
    <w:div w:id="1717461201">
      <w:bodyDiv w:val="1"/>
      <w:marLeft w:val="0"/>
      <w:marRight w:val="0"/>
      <w:marTop w:val="0"/>
      <w:marBottom w:val="0"/>
      <w:divBdr>
        <w:top w:val="none" w:sz="0" w:space="0" w:color="auto"/>
        <w:left w:val="none" w:sz="0" w:space="0" w:color="auto"/>
        <w:bottom w:val="none" w:sz="0" w:space="0" w:color="auto"/>
        <w:right w:val="none" w:sz="0" w:space="0" w:color="auto"/>
      </w:divBdr>
    </w:div>
    <w:div w:id="1720320628">
      <w:bodyDiv w:val="1"/>
      <w:marLeft w:val="0"/>
      <w:marRight w:val="0"/>
      <w:marTop w:val="0"/>
      <w:marBottom w:val="0"/>
      <w:divBdr>
        <w:top w:val="none" w:sz="0" w:space="0" w:color="auto"/>
        <w:left w:val="none" w:sz="0" w:space="0" w:color="auto"/>
        <w:bottom w:val="none" w:sz="0" w:space="0" w:color="auto"/>
        <w:right w:val="none" w:sz="0" w:space="0" w:color="auto"/>
      </w:divBdr>
    </w:div>
    <w:div w:id="1720736802">
      <w:bodyDiv w:val="1"/>
      <w:marLeft w:val="0"/>
      <w:marRight w:val="0"/>
      <w:marTop w:val="0"/>
      <w:marBottom w:val="0"/>
      <w:divBdr>
        <w:top w:val="none" w:sz="0" w:space="0" w:color="auto"/>
        <w:left w:val="none" w:sz="0" w:space="0" w:color="auto"/>
        <w:bottom w:val="none" w:sz="0" w:space="0" w:color="auto"/>
        <w:right w:val="none" w:sz="0" w:space="0" w:color="auto"/>
      </w:divBdr>
    </w:div>
    <w:div w:id="1723167820">
      <w:bodyDiv w:val="1"/>
      <w:marLeft w:val="0"/>
      <w:marRight w:val="0"/>
      <w:marTop w:val="0"/>
      <w:marBottom w:val="0"/>
      <w:divBdr>
        <w:top w:val="none" w:sz="0" w:space="0" w:color="auto"/>
        <w:left w:val="none" w:sz="0" w:space="0" w:color="auto"/>
        <w:bottom w:val="none" w:sz="0" w:space="0" w:color="auto"/>
        <w:right w:val="none" w:sz="0" w:space="0" w:color="auto"/>
      </w:divBdr>
    </w:div>
    <w:div w:id="1724790391">
      <w:bodyDiv w:val="1"/>
      <w:marLeft w:val="0"/>
      <w:marRight w:val="0"/>
      <w:marTop w:val="0"/>
      <w:marBottom w:val="0"/>
      <w:divBdr>
        <w:top w:val="none" w:sz="0" w:space="0" w:color="auto"/>
        <w:left w:val="none" w:sz="0" w:space="0" w:color="auto"/>
        <w:bottom w:val="none" w:sz="0" w:space="0" w:color="auto"/>
        <w:right w:val="none" w:sz="0" w:space="0" w:color="auto"/>
      </w:divBdr>
    </w:div>
    <w:div w:id="1726835513">
      <w:bodyDiv w:val="1"/>
      <w:marLeft w:val="0"/>
      <w:marRight w:val="0"/>
      <w:marTop w:val="0"/>
      <w:marBottom w:val="0"/>
      <w:divBdr>
        <w:top w:val="none" w:sz="0" w:space="0" w:color="auto"/>
        <w:left w:val="none" w:sz="0" w:space="0" w:color="auto"/>
        <w:bottom w:val="none" w:sz="0" w:space="0" w:color="auto"/>
        <w:right w:val="none" w:sz="0" w:space="0" w:color="auto"/>
      </w:divBdr>
    </w:div>
    <w:div w:id="1726877493">
      <w:bodyDiv w:val="1"/>
      <w:marLeft w:val="0"/>
      <w:marRight w:val="0"/>
      <w:marTop w:val="0"/>
      <w:marBottom w:val="0"/>
      <w:divBdr>
        <w:top w:val="none" w:sz="0" w:space="0" w:color="auto"/>
        <w:left w:val="none" w:sz="0" w:space="0" w:color="auto"/>
        <w:bottom w:val="none" w:sz="0" w:space="0" w:color="auto"/>
        <w:right w:val="none" w:sz="0" w:space="0" w:color="auto"/>
      </w:divBdr>
    </w:div>
    <w:div w:id="1729955796">
      <w:bodyDiv w:val="1"/>
      <w:marLeft w:val="0"/>
      <w:marRight w:val="0"/>
      <w:marTop w:val="0"/>
      <w:marBottom w:val="0"/>
      <w:divBdr>
        <w:top w:val="none" w:sz="0" w:space="0" w:color="auto"/>
        <w:left w:val="none" w:sz="0" w:space="0" w:color="auto"/>
        <w:bottom w:val="none" w:sz="0" w:space="0" w:color="auto"/>
        <w:right w:val="none" w:sz="0" w:space="0" w:color="auto"/>
      </w:divBdr>
    </w:div>
    <w:div w:id="1730878393">
      <w:bodyDiv w:val="1"/>
      <w:marLeft w:val="0"/>
      <w:marRight w:val="0"/>
      <w:marTop w:val="0"/>
      <w:marBottom w:val="0"/>
      <w:divBdr>
        <w:top w:val="none" w:sz="0" w:space="0" w:color="auto"/>
        <w:left w:val="none" w:sz="0" w:space="0" w:color="auto"/>
        <w:bottom w:val="none" w:sz="0" w:space="0" w:color="auto"/>
        <w:right w:val="none" w:sz="0" w:space="0" w:color="auto"/>
      </w:divBdr>
    </w:div>
    <w:div w:id="1731951851">
      <w:bodyDiv w:val="1"/>
      <w:marLeft w:val="0"/>
      <w:marRight w:val="0"/>
      <w:marTop w:val="0"/>
      <w:marBottom w:val="0"/>
      <w:divBdr>
        <w:top w:val="none" w:sz="0" w:space="0" w:color="auto"/>
        <w:left w:val="none" w:sz="0" w:space="0" w:color="auto"/>
        <w:bottom w:val="none" w:sz="0" w:space="0" w:color="auto"/>
        <w:right w:val="none" w:sz="0" w:space="0" w:color="auto"/>
      </w:divBdr>
    </w:div>
    <w:div w:id="1733111822">
      <w:bodyDiv w:val="1"/>
      <w:marLeft w:val="0"/>
      <w:marRight w:val="0"/>
      <w:marTop w:val="0"/>
      <w:marBottom w:val="0"/>
      <w:divBdr>
        <w:top w:val="none" w:sz="0" w:space="0" w:color="auto"/>
        <w:left w:val="none" w:sz="0" w:space="0" w:color="auto"/>
        <w:bottom w:val="none" w:sz="0" w:space="0" w:color="auto"/>
        <w:right w:val="none" w:sz="0" w:space="0" w:color="auto"/>
      </w:divBdr>
    </w:div>
    <w:div w:id="1735548589">
      <w:bodyDiv w:val="1"/>
      <w:marLeft w:val="0"/>
      <w:marRight w:val="0"/>
      <w:marTop w:val="0"/>
      <w:marBottom w:val="0"/>
      <w:divBdr>
        <w:top w:val="none" w:sz="0" w:space="0" w:color="auto"/>
        <w:left w:val="none" w:sz="0" w:space="0" w:color="auto"/>
        <w:bottom w:val="none" w:sz="0" w:space="0" w:color="auto"/>
        <w:right w:val="none" w:sz="0" w:space="0" w:color="auto"/>
      </w:divBdr>
    </w:div>
    <w:div w:id="1736510822">
      <w:bodyDiv w:val="1"/>
      <w:marLeft w:val="0"/>
      <w:marRight w:val="0"/>
      <w:marTop w:val="0"/>
      <w:marBottom w:val="0"/>
      <w:divBdr>
        <w:top w:val="none" w:sz="0" w:space="0" w:color="auto"/>
        <w:left w:val="none" w:sz="0" w:space="0" w:color="auto"/>
        <w:bottom w:val="none" w:sz="0" w:space="0" w:color="auto"/>
        <w:right w:val="none" w:sz="0" w:space="0" w:color="auto"/>
      </w:divBdr>
    </w:div>
    <w:div w:id="1736665887">
      <w:bodyDiv w:val="1"/>
      <w:marLeft w:val="0"/>
      <w:marRight w:val="0"/>
      <w:marTop w:val="0"/>
      <w:marBottom w:val="0"/>
      <w:divBdr>
        <w:top w:val="none" w:sz="0" w:space="0" w:color="auto"/>
        <w:left w:val="none" w:sz="0" w:space="0" w:color="auto"/>
        <w:bottom w:val="none" w:sz="0" w:space="0" w:color="auto"/>
        <w:right w:val="none" w:sz="0" w:space="0" w:color="auto"/>
      </w:divBdr>
    </w:div>
    <w:div w:id="1736734665">
      <w:bodyDiv w:val="1"/>
      <w:marLeft w:val="0"/>
      <w:marRight w:val="0"/>
      <w:marTop w:val="0"/>
      <w:marBottom w:val="0"/>
      <w:divBdr>
        <w:top w:val="none" w:sz="0" w:space="0" w:color="auto"/>
        <w:left w:val="none" w:sz="0" w:space="0" w:color="auto"/>
        <w:bottom w:val="none" w:sz="0" w:space="0" w:color="auto"/>
        <w:right w:val="none" w:sz="0" w:space="0" w:color="auto"/>
      </w:divBdr>
    </w:div>
    <w:div w:id="1737241160">
      <w:bodyDiv w:val="1"/>
      <w:marLeft w:val="0"/>
      <w:marRight w:val="0"/>
      <w:marTop w:val="0"/>
      <w:marBottom w:val="0"/>
      <w:divBdr>
        <w:top w:val="none" w:sz="0" w:space="0" w:color="auto"/>
        <w:left w:val="none" w:sz="0" w:space="0" w:color="auto"/>
        <w:bottom w:val="none" w:sz="0" w:space="0" w:color="auto"/>
        <w:right w:val="none" w:sz="0" w:space="0" w:color="auto"/>
      </w:divBdr>
    </w:div>
    <w:div w:id="1738094166">
      <w:bodyDiv w:val="1"/>
      <w:marLeft w:val="0"/>
      <w:marRight w:val="0"/>
      <w:marTop w:val="0"/>
      <w:marBottom w:val="0"/>
      <w:divBdr>
        <w:top w:val="none" w:sz="0" w:space="0" w:color="auto"/>
        <w:left w:val="none" w:sz="0" w:space="0" w:color="auto"/>
        <w:bottom w:val="none" w:sz="0" w:space="0" w:color="auto"/>
        <w:right w:val="none" w:sz="0" w:space="0" w:color="auto"/>
      </w:divBdr>
    </w:div>
    <w:div w:id="1739017762">
      <w:bodyDiv w:val="1"/>
      <w:marLeft w:val="0"/>
      <w:marRight w:val="0"/>
      <w:marTop w:val="0"/>
      <w:marBottom w:val="0"/>
      <w:divBdr>
        <w:top w:val="none" w:sz="0" w:space="0" w:color="auto"/>
        <w:left w:val="none" w:sz="0" w:space="0" w:color="auto"/>
        <w:bottom w:val="none" w:sz="0" w:space="0" w:color="auto"/>
        <w:right w:val="none" w:sz="0" w:space="0" w:color="auto"/>
      </w:divBdr>
    </w:div>
    <w:div w:id="1741246323">
      <w:bodyDiv w:val="1"/>
      <w:marLeft w:val="0"/>
      <w:marRight w:val="0"/>
      <w:marTop w:val="0"/>
      <w:marBottom w:val="0"/>
      <w:divBdr>
        <w:top w:val="none" w:sz="0" w:space="0" w:color="auto"/>
        <w:left w:val="none" w:sz="0" w:space="0" w:color="auto"/>
        <w:bottom w:val="none" w:sz="0" w:space="0" w:color="auto"/>
        <w:right w:val="none" w:sz="0" w:space="0" w:color="auto"/>
      </w:divBdr>
    </w:div>
    <w:div w:id="1741319622">
      <w:bodyDiv w:val="1"/>
      <w:marLeft w:val="0"/>
      <w:marRight w:val="0"/>
      <w:marTop w:val="0"/>
      <w:marBottom w:val="0"/>
      <w:divBdr>
        <w:top w:val="none" w:sz="0" w:space="0" w:color="auto"/>
        <w:left w:val="none" w:sz="0" w:space="0" w:color="auto"/>
        <w:bottom w:val="none" w:sz="0" w:space="0" w:color="auto"/>
        <w:right w:val="none" w:sz="0" w:space="0" w:color="auto"/>
      </w:divBdr>
    </w:div>
    <w:div w:id="1741823794">
      <w:bodyDiv w:val="1"/>
      <w:marLeft w:val="0"/>
      <w:marRight w:val="0"/>
      <w:marTop w:val="0"/>
      <w:marBottom w:val="0"/>
      <w:divBdr>
        <w:top w:val="none" w:sz="0" w:space="0" w:color="auto"/>
        <w:left w:val="none" w:sz="0" w:space="0" w:color="auto"/>
        <w:bottom w:val="none" w:sz="0" w:space="0" w:color="auto"/>
        <w:right w:val="none" w:sz="0" w:space="0" w:color="auto"/>
      </w:divBdr>
    </w:div>
    <w:div w:id="1745293602">
      <w:bodyDiv w:val="1"/>
      <w:marLeft w:val="0"/>
      <w:marRight w:val="0"/>
      <w:marTop w:val="0"/>
      <w:marBottom w:val="0"/>
      <w:divBdr>
        <w:top w:val="none" w:sz="0" w:space="0" w:color="auto"/>
        <w:left w:val="none" w:sz="0" w:space="0" w:color="auto"/>
        <w:bottom w:val="none" w:sz="0" w:space="0" w:color="auto"/>
        <w:right w:val="none" w:sz="0" w:space="0" w:color="auto"/>
      </w:divBdr>
    </w:div>
    <w:div w:id="1748377276">
      <w:bodyDiv w:val="1"/>
      <w:marLeft w:val="0"/>
      <w:marRight w:val="0"/>
      <w:marTop w:val="0"/>
      <w:marBottom w:val="0"/>
      <w:divBdr>
        <w:top w:val="none" w:sz="0" w:space="0" w:color="auto"/>
        <w:left w:val="none" w:sz="0" w:space="0" w:color="auto"/>
        <w:bottom w:val="none" w:sz="0" w:space="0" w:color="auto"/>
        <w:right w:val="none" w:sz="0" w:space="0" w:color="auto"/>
      </w:divBdr>
    </w:div>
    <w:div w:id="1749384959">
      <w:bodyDiv w:val="1"/>
      <w:marLeft w:val="0"/>
      <w:marRight w:val="0"/>
      <w:marTop w:val="0"/>
      <w:marBottom w:val="0"/>
      <w:divBdr>
        <w:top w:val="none" w:sz="0" w:space="0" w:color="auto"/>
        <w:left w:val="none" w:sz="0" w:space="0" w:color="auto"/>
        <w:bottom w:val="none" w:sz="0" w:space="0" w:color="auto"/>
        <w:right w:val="none" w:sz="0" w:space="0" w:color="auto"/>
      </w:divBdr>
    </w:div>
    <w:div w:id="1750347103">
      <w:bodyDiv w:val="1"/>
      <w:marLeft w:val="0"/>
      <w:marRight w:val="0"/>
      <w:marTop w:val="0"/>
      <w:marBottom w:val="0"/>
      <w:divBdr>
        <w:top w:val="none" w:sz="0" w:space="0" w:color="auto"/>
        <w:left w:val="none" w:sz="0" w:space="0" w:color="auto"/>
        <w:bottom w:val="none" w:sz="0" w:space="0" w:color="auto"/>
        <w:right w:val="none" w:sz="0" w:space="0" w:color="auto"/>
      </w:divBdr>
    </w:div>
    <w:div w:id="1750494970">
      <w:bodyDiv w:val="1"/>
      <w:marLeft w:val="0"/>
      <w:marRight w:val="0"/>
      <w:marTop w:val="0"/>
      <w:marBottom w:val="0"/>
      <w:divBdr>
        <w:top w:val="none" w:sz="0" w:space="0" w:color="auto"/>
        <w:left w:val="none" w:sz="0" w:space="0" w:color="auto"/>
        <w:bottom w:val="none" w:sz="0" w:space="0" w:color="auto"/>
        <w:right w:val="none" w:sz="0" w:space="0" w:color="auto"/>
      </w:divBdr>
    </w:div>
    <w:div w:id="1751082232">
      <w:bodyDiv w:val="1"/>
      <w:marLeft w:val="0"/>
      <w:marRight w:val="0"/>
      <w:marTop w:val="0"/>
      <w:marBottom w:val="0"/>
      <w:divBdr>
        <w:top w:val="none" w:sz="0" w:space="0" w:color="auto"/>
        <w:left w:val="none" w:sz="0" w:space="0" w:color="auto"/>
        <w:bottom w:val="none" w:sz="0" w:space="0" w:color="auto"/>
        <w:right w:val="none" w:sz="0" w:space="0" w:color="auto"/>
      </w:divBdr>
    </w:div>
    <w:div w:id="1753699598">
      <w:bodyDiv w:val="1"/>
      <w:marLeft w:val="0"/>
      <w:marRight w:val="0"/>
      <w:marTop w:val="0"/>
      <w:marBottom w:val="0"/>
      <w:divBdr>
        <w:top w:val="none" w:sz="0" w:space="0" w:color="auto"/>
        <w:left w:val="none" w:sz="0" w:space="0" w:color="auto"/>
        <w:bottom w:val="none" w:sz="0" w:space="0" w:color="auto"/>
        <w:right w:val="none" w:sz="0" w:space="0" w:color="auto"/>
      </w:divBdr>
    </w:div>
    <w:div w:id="1756591641">
      <w:bodyDiv w:val="1"/>
      <w:marLeft w:val="0"/>
      <w:marRight w:val="0"/>
      <w:marTop w:val="0"/>
      <w:marBottom w:val="0"/>
      <w:divBdr>
        <w:top w:val="none" w:sz="0" w:space="0" w:color="auto"/>
        <w:left w:val="none" w:sz="0" w:space="0" w:color="auto"/>
        <w:bottom w:val="none" w:sz="0" w:space="0" w:color="auto"/>
        <w:right w:val="none" w:sz="0" w:space="0" w:color="auto"/>
      </w:divBdr>
    </w:div>
    <w:div w:id="1756708176">
      <w:bodyDiv w:val="1"/>
      <w:marLeft w:val="0"/>
      <w:marRight w:val="0"/>
      <w:marTop w:val="0"/>
      <w:marBottom w:val="0"/>
      <w:divBdr>
        <w:top w:val="none" w:sz="0" w:space="0" w:color="auto"/>
        <w:left w:val="none" w:sz="0" w:space="0" w:color="auto"/>
        <w:bottom w:val="none" w:sz="0" w:space="0" w:color="auto"/>
        <w:right w:val="none" w:sz="0" w:space="0" w:color="auto"/>
      </w:divBdr>
    </w:div>
    <w:div w:id="1757046459">
      <w:bodyDiv w:val="1"/>
      <w:marLeft w:val="0"/>
      <w:marRight w:val="0"/>
      <w:marTop w:val="0"/>
      <w:marBottom w:val="0"/>
      <w:divBdr>
        <w:top w:val="none" w:sz="0" w:space="0" w:color="auto"/>
        <w:left w:val="none" w:sz="0" w:space="0" w:color="auto"/>
        <w:bottom w:val="none" w:sz="0" w:space="0" w:color="auto"/>
        <w:right w:val="none" w:sz="0" w:space="0" w:color="auto"/>
      </w:divBdr>
    </w:div>
    <w:div w:id="1758288779">
      <w:bodyDiv w:val="1"/>
      <w:marLeft w:val="0"/>
      <w:marRight w:val="0"/>
      <w:marTop w:val="0"/>
      <w:marBottom w:val="0"/>
      <w:divBdr>
        <w:top w:val="none" w:sz="0" w:space="0" w:color="auto"/>
        <w:left w:val="none" w:sz="0" w:space="0" w:color="auto"/>
        <w:bottom w:val="none" w:sz="0" w:space="0" w:color="auto"/>
        <w:right w:val="none" w:sz="0" w:space="0" w:color="auto"/>
      </w:divBdr>
    </w:div>
    <w:div w:id="1759517516">
      <w:bodyDiv w:val="1"/>
      <w:marLeft w:val="0"/>
      <w:marRight w:val="0"/>
      <w:marTop w:val="0"/>
      <w:marBottom w:val="0"/>
      <w:divBdr>
        <w:top w:val="none" w:sz="0" w:space="0" w:color="auto"/>
        <w:left w:val="none" w:sz="0" w:space="0" w:color="auto"/>
        <w:bottom w:val="none" w:sz="0" w:space="0" w:color="auto"/>
        <w:right w:val="none" w:sz="0" w:space="0" w:color="auto"/>
      </w:divBdr>
    </w:div>
    <w:div w:id="1762600941">
      <w:bodyDiv w:val="1"/>
      <w:marLeft w:val="0"/>
      <w:marRight w:val="0"/>
      <w:marTop w:val="0"/>
      <w:marBottom w:val="0"/>
      <w:divBdr>
        <w:top w:val="none" w:sz="0" w:space="0" w:color="auto"/>
        <w:left w:val="none" w:sz="0" w:space="0" w:color="auto"/>
        <w:bottom w:val="none" w:sz="0" w:space="0" w:color="auto"/>
        <w:right w:val="none" w:sz="0" w:space="0" w:color="auto"/>
      </w:divBdr>
    </w:div>
    <w:div w:id="1763069354">
      <w:bodyDiv w:val="1"/>
      <w:marLeft w:val="0"/>
      <w:marRight w:val="0"/>
      <w:marTop w:val="0"/>
      <w:marBottom w:val="0"/>
      <w:divBdr>
        <w:top w:val="none" w:sz="0" w:space="0" w:color="auto"/>
        <w:left w:val="none" w:sz="0" w:space="0" w:color="auto"/>
        <w:bottom w:val="none" w:sz="0" w:space="0" w:color="auto"/>
        <w:right w:val="none" w:sz="0" w:space="0" w:color="auto"/>
      </w:divBdr>
    </w:div>
    <w:div w:id="1764371613">
      <w:bodyDiv w:val="1"/>
      <w:marLeft w:val="0"/>
      <w:marRight w:val="0"/>
      <w:marTop w:val="0"/>
      <w:marBottom w:val="0"/>
      <w:divBdr>
        <w:top w:val="none" w:sz="0" w:space="0" w:color="auto"/>
        <w:left w:val="none" w:sz="0" w:space="0" w:color="auto"/>
        <w:bottom w:val="none" w:sz="0" w:space="0" w:color="auto"/>
        <w:right w:val="none" w:sz="0" w:space="0" w:color="auto"/>
      </w:divBdr>
    </w:div>
    <w:div w:id="1764448549">
      <w:bodyDiv w:val="1"/>
      <w:marLeft w:val="0"/>
      <w:marRight w:val="0"/>
      <w:marTop w:val="0"/>
      <w:marBottom w:val="0"/>
      <w:divBdr>
        <w:top w:val="none" w:sz="0" w:space="0" w:color="auto"/>
        <w:left w:val="none" w:sz="0" w:space="0" w:color="auto"/>
        <w:bottom w:val="none" w:sz="0" w:space="0" w:color="auto"/>
        <w:right w:val="none" w:sz="0" w:space="0" w:color="auto"/>
      </w:divBdr>
    </w:div>
    <w:div w:id="1765804630">
      <w:bodyDiv w:val="1"/>
      <w:marLeft w:val="0"/>
      <w:marRight w:val="0"/>
      <w:marTop w:val="0"/>
      <w:marBottom w:val="0"/>
      <w:divBdr>
        <w:top w:val="none" w:sz="0" w:space="0" w:color="auto"/>
        <w:left w:val="none" w:sz="0" w:space="0" w:color="auto"/>
        <w:bottom w:val="none" w:sz="0" w:space="0" w:color="auto"/>
        <w:right w:val="none" w:sz="0" w:space="0" w:color="auto"/>
      </w:divBdr>
    </w:div>
    <w:div w:id="1766808026">
      <w:bodyDiv w:val="1"/>
      <w:marLeft w:val="0"/>
      <w:marRight w:val="0"/>
      <w:marTop w:val="0"/>
      <w:marBottom w:val="0"/>
      <w:divBdr>
        <w:top w:val="none" w:sz="0" w:space="0" w:color="auto"/>
        <w:left w:val="none" w:sz="0" w:space="0" w:color="auto"/>
        <w:bottom w:val="none" w:sz="0" w:space="0" w:color="auto"/>
        <w:right w:val="none" w:sz="0" w:space="0" w:color="auto"/>
      </w:divBdr>
    </w:div>
    <w:div w:id="1768572339">
      <w:bodyDiv w:val="1"/>
      <w:marLeft w:val="0"/>
      <w:marRight w:val="0"/>
      <w:marTop w:val="0"/>
      <w:marBottom w:val="0"/>
      <w:divBdr>
        <w:top w:val="none" w:sz="0" w:space="0" w:color="auto"/>
        <w:left w:val="none" w:sz="0" w:space="0" w:color="auto"/>
        <w:bottom w:val="none" w:sz="0" w:space="0" w:color="auto"/>
        <w:right w:val="none" w:sz="0" w:space="0" w:color="auto"/>
      </w:divBdr>
    </w:div>
    <w:div w:id="1769156528">
      <w:bodyDiv w:val="1"/>
      <w:marLeft w:val="0"/>
      <w:marRight w:val="0"/>
      <w:marTop w:val="0"/>
      <w:marBottom w:val="0"/>
      <w:divBdr>
        <w:top w:val="none" w:sz="0" w:space="0" w:color="auto"/>
        <w:left w:val="none" w:sz="0" w:space="0" w:color="auto"/>
        <w:bottom w:val="none" w:sz="0" w:space="0" w:color="auto"/>
        <w:right w:val="none" w:sz="0" w:space="0" w:color="auto"/>
      </w:divBdr>
    </w:div>
    <w:div w:id="1770812313">
      <w:bodyDiv w:val="1"/>
      <w:marLeft w:val="0"/>
      <w:marRight w:val="0"/>
      <w:marTop w:val="0"/>
      <w:marBottom w:val="0"/>
      <w:divBdr>
        <w:top w:val="none" w:sz="0" w:space="0" w:color="auto"/>
        <w:left w:val="none" w:sz="0" w:space="0" w:color="auto"/>
        <w:bottom w:val="none" w:sz="0" w:space="0" w:color="auto"/>
        <w:right w:val="none" w:sz="0" w:space="0" w:color="auto"/>
      </w:divBdr>
    </w:div>
    <w:div w:id="1771048836">
      <w:bodyDiv w:val="1"/>
      <w:marLeft w:val="0"/>
      <w:marRight w:val="0"/>
      <w:marTop w:val="0"/>
      <w:marBottom w:val="0"/>
      <w:divBdr>
        <w:top w:val="none" w:sz="0" w:space="0" w:color="auto"/>
        <w:left w:val="none" w:sz="0" w:space="0" w:color="auto"/>
        <w:bottom w:val="none" w:sz="0" w:space="0" w:color="auto"/>
        <w:right w:val="none" w:sz="0" w:space="0" w:color="auto"/>
      </w:divBdr>
    </w:div>
    <w:div w:id="1771969614">
      <w:bodyDiv w:val="1"/>
      <w:marLeft w:val="0"/>
      <w:marRight w:val="0"/>
      <w:marTop w:val="0"/>
      <w:marBottom w:val="0"/>
      <w:divBdr>
        <w:top w:val="none" w:sz="0" w:space="0" w:color="auto"/>
        <w:left w:val="none" w:sz="0" w:space="0" w:color="auto"/>
        <w:bottom w:val="none" w:sz="0" w:space="0" w:color="auto"/>
        <w:right w:val="none" w:sz="0" w:space="0" w:color="auto"/>
      </w:divBdr>
    </w:div>
    <w:div w:id="1772313888">
      <w:bodyDiv w:val="1"/>
      <w:marLeft w:val="0"/>
      <w:marRight w:val="0"/>
      <w:marTop w:val="0"/>
      <w:marBottom w:val="0"/>
      <w:divBdr>
        <w:top w:val="none" w:sz="0" w:space="0" w:color="auto"/>
        <w:left w:val="none" w:sz="0" w:space="0" w:color="auto"/>
        <w:bottom w:val="none" w:sz="0" w:space="0" w:color="auto"/>
        <w:right w:val="none" w:sz="0" w:space="0" w:color="auto"/>
      </w:divBdr>
    </w:div>
    <w:div w:id="1772891195">
      <w:bodyDiv w:val="1"/>
      <w:marLeft w:val="0"/>
      <w:marRight w:val="0"/>
      <w:marTop w:val="0"/>
      <w:marBottom w:val="0"/>
      <w:divBdr>
        <w:top w:val="none" w:sz="0" w:space="0" w:color="auto"/>
        <w:left w:val="none" w:sz="0" w:space="0" w:color="auto"/>
        <w:bottom w:val="none" w:sz="0" w:space="0" w:color="auto"/>
        <w:right w:val="none" w:sz="0" w:space="0" w:color="auto"/>
      </w:divBdr>
    </w:div>
    <w:div w:id="1774587760">
      <w:bodyDiv w:val="1"/>
      <w:marLeft w:val="0"/>
      <w:marRight w:val="0"/>
      <w:marTop w:val="0"/>
      <w:marBottom w:val="0"/>
      <w:divBdr>
        <w:top w:val="none" w:sz="0" w:space="0" w:color="auto"/>
        <w:left w:val="none" w:sz="0" w:space="0" w:color="auto"/>
        <w:bottom w:val="none" w:sz="0" w:space="0" w:color="auto"/>
        <w:right w:val="none" w:sz="0" w:space="0" w:color="auto"/>
      </w:divBdr>
    </w:div>
    <w:div w:id="1775176074">
      <w:bodyDiv w:val="1"/>
      <w:marLeft w:val="0"/>
      <w:marRight w:val="0"/>
      <w:marTop w:val="0"/>
      <w:marBottom w:val="0"/>
      <w:divBdr>
        <w:top w:val="none" w:sz="0" w:space="0" w:color="auto"/>
        <w:left w:val="none" w:sz="0" w:space="0" w:color="auto"/>
        <w:bottom w:val="none" w:sz="0" w:space="0" w:color="auto"/>
        <w:right w:val="none" w:sz="0" w:space="0" w:color="auto"/>
      </w:divBdr>
    </w:div>
    <w:div w:id="1779175212">
      <w:bodyDiv w:val="1"/>
      <w:marLeft w:val="0"/>
      <w:marRight w:val="0"/>
      <w:marTop w:val="0"/>
      <w:marBottom w:val="0"/>
      <w:divBdr>
        <w:top w:val="none" w:sz="0" w:space="0" w:color="auto"/>
        <w:left w:val="none" w:sz="0" w:space="0" w:color="auto"/>
        <w:bottom w:val="none" w:sz="0" w:space="0" w:color="auto"/>
        <w:right w:val="none" w:sz="0" w:space="0" w:color="auto"/>
      </w:divBdr>
    </w:div>
    <w:div w:id="1780292621">
      <w:bodyDiv w:val="1"/>
      <w:marLeft w:val="0"/>
      <w:marRight w:val="0"/>
      <w:marTop w:val="0"/>
      <w:marBottom w:val="0"/>
      <w:divBdr>
        <w:top w:val="none" w:sz="0" w:space="0" w:color="auto"/>
        <w:left w:val="none" w:sz="0" w:space="0" w:color="auto"/>
        <w:bottom w:val="none" w:sz="0" w:space="0" w:color="auto"/>
        <w:right w:val="none" w:sz="0" w:space="0" w:color="auto"/>
      </w:divBdr>
    </w:div>
    <w:div w:id="1780375692">
      <w:bodyDiv w:val="1"/>
      <w:marLeft w:val="0"/>
      <w:marRight w:val="0"/>
      <w:marTop w:val="0"/>
      <w:marBottom w:val="0"/>
      <w:divBdr>
        <w:top w:val="none" w:sz="0" w:space="0" w:color="auto"/>
        <w:left w:val="none" w:sz="0" w:space="0" w:color="auto"/>
        <w:bottom w:val="none" w:sz="0" w:space="0" w:color="auto"/>
        <w:right w:val="none" w:sz="0" w:space="0" w:color="auto"/>
      </w:divBdr>
    </w:div>
    <w:div w:id="1780683384">
      <w:bodyDiv w:val="1"/>
      <w:marLeft w:val="0"/>
      <w:marRight w:val="0"/>
      <w:marTop w:val="0"/>
      <w:marBottom w:val="0"/>
      <w:divBdr>
        <w:top w:val="none" w:sz="0" w:space="0" w:color="auto"/>
        <w:left w:val="none" w:sz="0" w:space="0" w:color="auto"/>
        <w:bottom w:val="none" w:sz="0" w:space="0" w:color="auto"/>
        <w:right w:val="none" w:sz="0" w:space="0" w:color="auto"/>
      </w:divBdr>
    </w:div>
    <w:div w:id="1784570422">
      <w:bodyDiv w:val="1"/>
      <w:marLeft w:val="0"/>
      <w:marRight w:val="0"/>
      <w:marTop w:val="0"/>
      <w:marBottom w:val="0"/>
      <w:divBdr>
        <w:top w:val="none" w:sz="0" w:space="0" w:color="auto"/>
        <w:left w:val="none" w:sz="0" w:space="0" w:color="auto"/>
        <w:bottom w:val="none" w:sz="0" w:space="0" w:color="auto"/>
        <w:right w:val="none" w:sz="0" w:space="0" w:color="auto"/>
      </w:divBdr>
    </w:div>
    <w:div w:id="1785927712">
      <w:bodyDiv w:val="1"/>
      <w:marLeft w:val="0"/>
      <w:marRight w:val="0"/>
      <w:marTop w:val="0"/>
      <w:marBottom w:val="0"/>
      <w:divBdr>
        <w:top w:val="none" w:sz="0" w:space="0" w:color="auto"/>
        <w:left w:val="none" w:sz="0" w:space="0" w:color="auto"/>
        <w:bottom w:val="none" w:sz="0" w:space="0" w:color="auto"/>
        <w:right w:val="none" w:sz="0" w:space="0" w:color="auto"/>
      </w:divBdr>
    </w:div>
    <w:div w:id="1786121168">
      <w:bodyDiv w:val="1"/>
      <w:marLeft w:val="0"/>
      <w:marRight w:val="0"/>
      <w:marTop w:val="0"/>
      <w:marBottom w:val="0"/>
      <w:divBdr>
        <w:top w:val="none" w:sz="0" w:space="0" w:color="auto"/>
        <w:left w:val="none" w:sz="0" w:space="0" w:color="auto"/>
        <w:bottom w:val="none" w:sz="0" w:space="0" w:color="auto"/>
        <w:right w:val="none" w:sz="0" w:space="0" w:color="auto"/>
      </w:divBdr>
    </w:div>
    <w:div w:id="1788810965">
      <w:bodyDiv w:val="1"/>
      <w:marLeft w:val="0"/>
      <w:marRight w:val="0"/>
      <w:marTop w:val="0"/>
      <w:marBottom w:val="0"/>
      <w:divBdr>
        <w:top w:val="none" w:sz="0" w:space="0" w:color="auto"/>
        <w:left w:val="none" w:sz="0" w:space="0" w:color="auto"/>
        <w:bottom w:val="none" w:sz="0" w:space="0" w:color="auto"/>
        <w:right w:val="none" w:sz="0" w:space="0" w:color="auto"/>
      </w:divBdr>
    </w:div>
    <w:div w:id="1789854513">
      <w:bodyDiv w:val="1"/>
      <w:marLeft w:val="0"/>
      <w:marRight w:val="0"/>
      <w:marTop w:val="0"/>
      <w:marBottom w:val="0"/>
      <w:divBdr>
        <w:top w:val="none" w:sz="0" w:space="0" w:color="auto"/>
        <w:left w:val="none" w:sz="0" w:space="0" w:color="auto"/>
        <w:bottom w:val="none" w:sz="0" w:space="0" w:color="auto"/>
        <w:right w:val="none" w:sz="0" w:space="0" w:color="auto"/>
      </w:divBdr>
    </w:div>
    <w:div w:id="1790584156">
      <w:bodyDiv w:val="1"/>
      <w:marLeft w:val="0"/>
      <w:marRight w:val="0"/>
      <w:marTop w:val="0"/>
      <w:marBottom w:val="0"/>
      <w:divBdr>
        <w:top w:val="none" w:sz="0" w:space="0" w:color="auto"/>
        <w:left w:val="none" w:sz="0" w:space="0" w:color="auto"/>
        <w:bottom w:val="none" w:sz="0" w:space="0" w:color="auto"/>
        <w:right w:val="none" w:sz="0" w:space="0" w:color="auto"/>
      </w:divBdr>
    </w:div>
    <w:div w:id="1790781412">
      <w:bodyDiv w:val="1"/>
      <w:marLeft w:val="0"/>
      <w:marRight w:val="0"/>
      <w:marTop w:val="0"/>
      <w:marBottom w:val="0"/>
      <w:divBdr>
        <w:top w:val="none" w:sz="0" w:space="0" w:color="auto"/>
        <w:left w:val="none" w:sz="0" w:space="0" w:color="auto"/>
        <w:bottom w:val="none" w:sz="0" w:space="0" w:color="auto"/>
        <w:right w:val="none" w:sz="0" w:space="0" w:color="auto"/>
      </w:divBdr>
    </w:div>
    <w:div w:id="1791317263">
      <w:bodyDiv w:val="1"/>
      <w:marLeft w:val="0"/>
      <w:marRight w:val="0"/>
      <w:marTop w:val="0"/>
      <w:marBottom w:val="0"/>
      <w:divBdr>
        <w:top w:val="none" w:sz="0" w:space="0" w:color="auto"/>
        <w:left w:val="none" w:sz="0" w:space="0" w:color="auto"/>
        <w:bottom w:val="none" w:sz="0" w:space="0" w:color="auto"/>
        <w:right w:val="none" w:sz="0" w:space="0" w:color="auto"/>
      </w:divBdr>
    </w:div>
    <w:div w:id="1791584623">
      <w:bodyDiv w:val="1"/>
      <w:marLeft w:val="0"/>
      <w:marRight w:val="0"/>
      <w:marTop w:val="0"/>
      <w:marBottom w:val="0"/>
      <w:divBdr>
        <w:top w:val="none" w:sz="0" w:space="0" w:color="auto"/>
        <w:left w:val="none" w:sz="0" w:space="0" w:color="auto"/>
        <w:bottom w:val="none" w:sz="0" w:space="0" w:color="auto"/>
        <w:right w:val="none" w:sz="0" w:space="0" w:color="auto"/>
      </w:divBdr>
    </w:div>
    <w:div w:id="1791625377">
      <w:bodyDiv w:val="1"/>
      <w:marLeft w:val="0"/>
      <w:marRight w:val="0"/>
      <w:marTop w:val="0"/>
      <w:marBottom w:val="0"/>
      <w:divBdr>
        <w:top w:val="none" w:sz="0" w:space="0" w:color="auto"/>
        <w:left w:val="none" w:sz="0" w:space="0" w:color="auto"/>
        <w:bottom w:val="none" w:sz="0" w:space="0" w:color="auto"/>
        <w:right w:val="none" w:sz="0" w:space="0" w:color="auto"/>
      </w:divBdr>
    </w:div>
    <w:div w:id="1792507851">
      <w:bodyDiv w:val="1"/>
      <w:marLeft w:val="0"/>
      <w:marRight w:val="0"/>
      <w:marTop w:val="0"/>
      <w:marBottom w:val="0"/>
      <w:divBdr>
        <w:top w:val="none" w:sz="0" w:space="0" w:color="auto"/>
        <w:left w:val="none" w:sz="0" w:space="0" w:color="auto"/>
        <w:bottom w:val="none" w:sz="0" w:space="0" w:color="auto"/>
        <w:right w:val="none" w:sz="0" w:space="0" w:color="auto"/>
      </w:divBdr>
    </w:div>
    <w:div w:id="1794709501">
      <w:bodyDiv w:val="1"/>
      <w:marLeft w:val="0"/>
      <w:marRight w:val="0"/>
      <w:marTop w:val="0"/>
      <w:marBottom w:val="0"/>
      <w:divBdr>
        <w:top w:val="none" w:sz="0" w:space="0" w:color="auto"/>
        <w:left w:val="none" w:sz="0" w:space="0" w:color="auto"/>
        <w:bottom w:val="none" w:sz="0" w:space="0" w:color="auto"/>
        <w:right w:val="none" w:sz="0" w:space="0" w:color="auto"/>
      </w:divBdr>
    </w:div>
    <w:div w:id="1795437498">
      <w:bodyDiv w:val="1"/>
      <w:marLeft w:val="0"/>
      <w:marRight w:val="0"/>
      <w:marTop w:val="0"/>
      <w:marBottom w:val="0"/>
      <w:divBdr>
        <w:top w:val="none" w:sz="0" w:space="0" w:color="auto"/>
        <w:left w:val="none" w:sz="0" w:space="0" w:color="auto"/>
        <w:bottom w:val="none" w:sz="0" w:space="0" w:color="auto"/>
        <w:right w:val="none" w:sz="0" w:space="0" w:color="auto"/>
      </w:divBdr>
    </w:div>
    <w:div w:id="1798597359">
      <w:bodyDiv w:val="1"/>
      <w:marLeft w:val="0"/>
      <w:marRight w:val="0"/>
      <w:marTop w:val="0"/>
      <w:marBottom w:val="0"/>
      <w:divBdr>
        <w:top w:val="none" w:sz="0" w:space="0" w:color="auto"/>
        <w:left w:val="none" w:sz="0" w:space="0" w:color="auto"/>
        <w:bottom w:val="none" w:sz="0" w:space="0" w:color="auto"/>
        <w:right w:val="none" w:sz="0" w:space="0" w:color="auto"/>
      </w:divBdr>
    </w:div>
    <w:div w:id="1799182805">
      <w:bodyDiv w:val="1"/>
      <w:marLeft w:val="0"/>
      <w:marRight w:val="0"/>
      <w:marTop w:val="0"/>
      <w:marBottom w:val="0"/>
      <w:divBdr>
        <w:top w:val="none" w:sz="0" w:space="0" w:color="auto"/>
        <w:left w:val="none" w:sz="0" w:space="0" w:color="auto"/>
        <w:bottom w:val="none" w:sz="0" w:space="0" w:color="auto"/>
        <w:right w:val="none" w:sz="0" w:space="0" w:color="auto"/>
      </w:divBdr>
    </w:div>
    <w:div w:id="1799835562">
      <w:bodyDiv w:val="1"/>
      <w:marLeft w:val="0"/>
      <w:marRight w:val="0"/>
      <w:marTop w:val="0"/>
      <w:marBottom w:val="0"/>
      <w:divBdr>
        <w:top w:val="none" w:sz="0" w:space="0" w:color="auto"/>
        <w:left w:val="none" w:sz="0" w:space="0" w:color="auto"/>
        <w:bottom w:val="none" w:sz="0" w:space="0" w:color="auto"/>
        <w:right w:val="none" w:sz="0" w:space="0" w:color="auto"/>
      </w:divBdr>
    </w:div>
    <w:div w:id="1799882138">
      <w:bodyDiv w:val="1"/>
      <w:marLeft w:val="0"/>
      <w:marRight w:val="0"/>
      <w:marTop w:val="0"/>
      <w:marBottom w:val="0"/>
      <w:divBdr>
        <w:top w:val="none" w:sz="0" w:space="0" w:color="auto"/>
        <w:left w:val="none" w:sz="0" w:space="0" w:color="auto"/>
        <w:bottom w:val="none" w:sz="0" w:space="0" w:color="auto"/>
        <w:right w:val="none" w:sz="0" w:space="0" w:color="auto"/>
      </w:divBdr>
    </w:div>
    <w:div w:id="1800226194">
      <w:bodyDiv w:val="1"/>
      <w:marLeft w:val="0"/>
      <w:marRight w:val="0"/>
      <w:marTop w:val="0"/>
      <w:marBottom w:val="0"/>
      <w:divBdr>
        <w:top w:val="none" w:sz="0" w:space="0" w:color="auto"/>
        <w:left w:val="none" w:sz="0" w:space="0" w:color="auto"/>
        <w:bottom w:val="none" w:sz="0" w:space="0" w:color="auto"/>
        <w:right w:val="none" w:sz="0" w:space="0" w:color="auto"/>
      </w:divBdr>
    </w:div>
    <w:div w:id="1800956541">
      <w:bodyDiv w:val="1"/>
      <w:marLeft w:val="0"/>
      <w:marRight w:val="0"/>
      <w:marTop w:val="0"/>
      <w:marBottom w:val="0"/>
      <w:divBdr>
        <w:top w:val="none" w:sz="0" w:space="0" w:color="auto"/>
        <w:left w:val="none" w:sz="0" w:space="0" w:color="auto"/>
        <w:bottom w:val="none" w:sz="0" w:space="0" w:color="auto"/>
        <w:right w:val="none" w:sz="0" w:space="0" w:color="auto"/>
      </w:divBdr>
    </w:div>
    <w:div w:id="1801879476">
      <w:bodyDiv w:val="1"/>
      <w:marLeft w:val="0"/>
      <w:marRight w:val="0"/>
      <w:marTop w:val="0"/>
      <w:marBottom w:val="0"/>
      <w:divBdr>
        <w:top w:val="none" w:sz="0" w:space="0" w:color="auto"/>
        <w:left w:val="none" w:sz="0" w:space="0" w:color="auto"/>
        <w:bottom w:val="none" w:sz="0" w:space="0" w:color="auto"/>
        <w:right w:val="none" w:sz="0" w:space="0" w:color="auto"/>
      </w:divBdr>
    </w:div>
    <w:div w:id="1802117593">
      <w:bodyDiv w:val="1"/>
      <w:marLeft w:val="0"/>
      <w:marRight w:val="0"/>
      <w:marTop w:val="0"/>
      <w:marBottom w:val="0"/>
      <w:divBdr>
        <w:top w:val="none" w:sz="0" w:space="0" w:color="auto"/>
        <w:left w:val="none" w:sz="0" w:space="0" w:color="auto"/>
        <w:bottom w:val="none" w:sz="0" w:space="0" w:color="auto"/>
        <w:right w:val="none" w:sz="0" w:space="0" w:color="auto"/>
      </w:divBdr>
    </w:div>
    <w:div w:id="1802307991">
      <w:bodyDiv w:val="1"/>
      <w:marLeft w:val="0"/>
      <w:marRight w:val="0"/>
      <w:marTop w:val="0"/>
      <w:marBottom w:val="0"/>
      <w:divBdr>
        <w:top w:val="none" w:sz="0" w:space="0" w:color="auto"/>
        <w:left w:val="none" w:sz="0" w:space="0" w:color="auto"/>
        <w:bottom w:val="none" w:sz="0" w:space="0" w:color="auto"/>
        <w:right w:val="none" w:sz="0" w:space="0" w:color="auto"/>
      </w:divBdr>
    </w:div>
    <w:div w:id="1803036829">
      <w:bodyDiv w:val="1"/>
      <w:marLeft w:val="0"/>
      <w:marRight w:val="0"/>
      <w:marTop w:val="0"/>
      <w:marBottom w:val="0"/>
      <w:divBdr>
        <w:top w:val="none" w:sz="0" w:space="0" w:color="auto"/>
        <w:left w:val="none" w:sz="0" w:space="0" w:color="auto"/>
        <w:bottom w:val="none" w:sz="0" w:space="0" w:color="auto"/>
        <w:right w:val="none" w:sz="0" w:space="0" w:color="auto"/>
      </w:divBdr>
    </w:div>
    <w:div w:id="1803765702">
      <w:bodyDiv w:val="1"/>
      <w:marLeft w:val="0"/>
      <w:marRight w:val="0"/>
      <w:marTop w:val="0"/>
      <w:marBottom w:val="0"/>
      <w:divBdr>
        <w:top w:val="none" w:sz="0" w:space="0" w:color="auto"/>
        <w:left w:val="none" w:sz="0" w:space="0" w:color="auto"/>
        <w:bottom w:val="none" w:sz="0" w:space="0" w:color="auto"/>
        <w:right w:val="none" w:sz="0" w:space="0" w:color="auto"/>
      </w:divBdr>
    </w:div>
    <w:div w:id="1804301612">
      <w:bodyDiv w:val="1"/>
      <w:marLeft w:val="0"/>
      <w:marRight w:val="0"/>
      <w:marTop w:val="0"/>
      <w:marBottom w:val="0"/>
      <w:divBdr>
        <w:top w:val="none" w:sz="0" w:space="0" w:color="auto"/>
        <w:left w:val="none" w:sz="0" w:space="0" w:color="auto"/>
        <w:bottom w:val="none" w:sz="0" w:space="0" w:color="auto"/>
        <w:right w:val="none" w:sz="0" w:space="0" w:color="auto"/>
      </w:divBdr>
    </w:div>
    <w:div w:id="1805125407">
      <w:bodyDiv w:val="1"/>
      <w:marLeft w:val="0"/>
      <w:marRight w:val="0"/>
      <w:marTop w:val="0"/>
      <w:marBottom w:val="0"/>
      <w:divBdr>
        <w:top w:val="none" w:sz="0" w:space="0" w:color="auto"/>
        <w:left w:val="none" w:sz="0" w:space="0" w:color="auto"/>
        <w:bottom w:val="none" w:sz="0" w:space="0" w:color="auto"/>
        <w:right w:val="none" w:sz="0" w:space="0" w:color="auto"/>
      </w:divBdr>
    </w:div>
    <w:div w:id="1805922220">
      <w:bodyDiv w:val="1"/>
      <w:marLeft w:val="0"/>
      <w:marRight w:val="0"/>
      <w:marTop w:val="0"/>
      <w:marBottom w:val="0"/>
      <w:divBdr>
        <w:top w:val="none" w:sz="0" w:space="0" w:color="auto"/>
        <w:left w:val="none" w:sz="0" w:space="0" w:color="auto"/>
        <w:bottom w:val="none" w:sz="0" w:space="0" w:color="auto"/>
        <w:right w:val="none" w:sz="0" w:space="0" w:color="auto"/>
      </w:divBdr>
    </w:div>
    <w:div w:id="1808937213">
      <w:bodyDiv w:val="1"/>
      <w:marLeft w:val="0"/>
      <w:marRight w:val="0"/>
      <w:marTop w:val="0"/>
      <w:marBottom w:val="0"/>
      <w:divBdr>
        <w:top w:val="none" w:sz="0" w:space="0" w:color="auto"/>
        <w:left w:val="none" w:sz="0" w:space="0" w:color="auto"/>
        <w:bottom w:val="none" w:sz="0" w:space="0" w:color="auto"/>
        <w:right w:val="none" w:sz="0" w:space="0" w:color="auto"/>
      </w:divBdr>
    </w:div>
    <w:div w:id="1811438924">
      <w:bodyDiv w:val="1"/>
      <w:marLeft w:val="0"/>
      <w:marRight w:val="0"/>
      <w:marTop w:val="0"/>
      <w:marBottom w:val="0"/>
      <w:divBdr>
        <w:top w:val="none" w:sz="0" w:space="0" w:color="auto"/>
        <w:left w:val="none" w:sz="0" w:space="0" w:color="auto"/>
        <w:bottom w:val="none" w:sz="0" w:space="0" w:color="auto"/>
        <w:right w:val="none" w:sz="0" w:space="0" w:color="auto"/>
      </w:divBdr>
    </w:div>
    <w:div w:id="1812864307">
      <w:bodyDiv w:val="1"/>
      <w:marLeft w:val="0"/>
      <w:marRight w:val="0"/>
      <w:marTop w:val="0"/>
      <w:marBottom w:val="0"/>
      <w:divBdr>
        <w:top w:val="none" w:sz="0" w:space="0" w:color="auto"/>
        <w:left w:val="none" w:sz="0" w:space="0" w:color="auto"/>
        <w:bottom w:val="none" w:sz="0" w:space="0" w:color="auto"/>
        <w:right w:val="none" w:sz="0" w:space="0" w:color="auto"/>
      </w:divBdr>
    </w:div>
    <w:div w:id="1814566207">
      <w:bodyDiv w:val="1"/>
      <w:marLeft w:val="0"/>
      <w:marRight w:val="0"/>
      <w:marTop w:val="0"/>
      <w:marBottom w:val="0"/>
      <w:divBdr>
        <w:top w:val="none" w:sz="0" w:space="0" w:color="auto"/>
        <w:left w:val="none" w:sz="0" w:space="0" w:color="auto"/>
        <w:bottom w:val="none" w:sz="0" w:space="0" w:color="auto"/>
        <w:right w:val="none" w:sz="0" w:space="0" w:color="auto"/>
      </w:divBdr>
    </w:div>
    <w:div w:id="1815567048">
      <w:bodyDiv w:val="1"/>
      <w:marLeft w:val="0"/>
      <w:marRight w:val="0"/>
      <w:marTop w:val="0"/>
      <w:marBottom w:val="0"/>
      <w:divBdr>
        <w:top w:val="none" w:sz="0" w:space="0" w:color="auto"/>
        <w:left w:val="none" w:sz="0" w:space="0" w:color="auto"/>
        <w:bottom w:val="none" w:sz="0" w:space="0" w:color="auto"/>
        <w:right w:val="none" w:sz="0" w:space="0" w:color="auto"/>
      </w:divBdr>
    </w:div>
    <w:div w:id="1815636992">
      <w:bodyDiv w:val="1"/>
      <w:marLeft w:val="0"/>
      <w:marRight w:val="0"/>
      <w:marTop w:val="0"/>
      <w:marBottom w:val="0"/>
      <w:divBdr>
        <w:top w:val="none" w:sz="0" w:space="0" w:color="auto"/>
        <w:left w:val="none" w:sz="0" w:space="0" w:color="auto"/>
        <w:bottom w:val="none" w:sz="0" w:space="0" w:color="auto"/>
        <w:right w:val="none" w:sz="0" w:space="0" w:color="auto"/>
      </w:divBdr>
    </w:div>
    <w:div w:id="1816946071">
      <w:bodyDiv w:val="1"/>
      <w:marLeft w:val="0"/>
      <w:marRight w:val="0"/>
      <w:marTop w:val="0"/>
      <w:marBottom w:val="0"/>
      <w:divBdr>
        <w:top w:val="none" w:sz="0" w:space="0" w:color="auto"/>
        <w:left w:val="none" w:sz="0" w:space="0" w:color="auto"/>
        <w:bottom w:val="none" w:sz="0" w:space="0" w:color="auto"/>
        <w:right w:val="none" w:sz="0" w:space="0" w:color="auto"/>
      </w:divBdr>
    </w:div>
    <w:div w:id="1817146143">
      <w:bodyDiv w:val="1"/>
      <w:marLeft w:val="0"/>
      <w:marRight w:val="0"/>
      <w:marTop w:val="0"/>
      <w:marBottom w:val="0"/>
      <w:divBdr>
        <w:top w:val="none" w:sz="0" w:space="0" w:color="auto"/>
        <w:left w:val="none" w:sz="0" w:space="0" w:color="auto"/>
        <w:bottom w:val="none" w:sz="0" w:space="0" w:color="auto"/>
        <w:right w:val="none" w:sz="0" w:space="0" w:color="auto"/>
      </w:divBdr>
    </w:div>
    <w:div w:id="1820151299">
      <w:bodyDiv w:val="1"/>
      <w:marLeft w:val="0"/>
      <w:marRight w:val="0"/>
      <w:marTop w:val="0"/>
      <w:marBottom w:val="0"/>
      <w:divBdr>
        <w:top w:val="none" w:sz="0" w:space="0" w:color="auto"/>
        <w:left w:val="none" w:sz="0" w:space="0" w:color="auto"/>
        <w:bottom w:val="none" w:sz="0" w:space="0" w:color="auto"/>
        <w:right w:val="none" w:sz="0" w:space="0" w:color="auto"/>
      </w:divBdr>
    </w:div>
    <w:div w:id="1821539582">
      <w:bodyDiv w:val="1"/>
      <w:marLeft w:val="0"/>
      <w:marRight w:val="0"/>
      <w:marTop w:val="0"/>
      <w:marBottom w:val="0"/>
      <w:divBdr>
        <w:top w:val="none" w:sz="0" w:space="0" w:color="auto"/>
        <w:left w:val="none" w:sz="0" w:space="0" w:color="auto"/>
        <w:bottom w:val="none" w:sz="0" w:space="0" w:color="auto"/>
        <w:right w:val="none" w:sz="0" w:space="0" w:color="auto"/>
      </w:divBdr>
    </w:div>
    <w:div w:id="1823889155">
      <w:bodyDiv w:val="1"/>
      <w:marLeft w:val="0"/>
      <w:marRight w:val="0"/>
      <w:marTop w:val="0"/>
      <w:marBottom w:val="0"/>
      <w:divBdr>
        <w:top w:val="none" w:sz="0" w:space="0" w:color="auto"/>
        <w:left w:val="none" w:sz="0" w:space="0" w:color="auto"/>
        <w:bottom w:val="none" w:sz="0" w:space="0" w:color="auto"/>
        <w:right w:val="none" w:sz="0" w:space="0" w:color="auto"/>
      </w:divBdr>
    </w:div>
    <w:div w:id="1824353212">
      <w:bodyDiv w:val="1"/>
      <w:marLeft w:val="0"/>
      <w:marRight w:val="0"/>
      <w:marTop w:val="0"/>
      <w:marBottom w:val="0"/>
      <w:divBdr>
        <w:top w:val="none" w:sz="0" w:space="0" w:color="auto"/>
        <w:left w:val="none" w:sz="0" w:space="0" w:color="auto"/>
        <w:bottom w:val="none" w:sz="0" w:space="0" w:color="auto"/>
        <w:right w:val="none" w:sz="0" w:space="0" w:color="auto"/>
      </w:divBdr>
    </w:div>
    <w:div w:id="1824734937">
      <w:bodyDiv w:val="1"/>
      <w:marLeft w:val="0"/>
      <w:marRight w:val="0"/>
      <w:marTop w:val="0"/>
      <w:marBottom w:val="0"/>
      <w:divBdr>
        <w:top w:val="none" w:sz="0" w:space="0" w:color="auto"/>
        <w:left w:val="none" w:sz="0" w:space="0" w:color="auto"/>
        <w:bottom w:val="none" w:sz="0" w:space="0" w:color="auto"/>
        <w:right w:val="none" w:sz="0" w:space="0" w:color="auto"/>
      </w:divBdr>
    </w:div>
    <w:div w:id="1826238628">
      <w:bodyDiv w:val="1"/>
      <w:marLeft w:val="0"/>
      <w:marRight w:val="0"/>
      <w:marTop w:val="0"/>
      <w:marBottom w:val="0"/>
      <w:divBdr>
        <w:top w:val="none" w:sz="0" w:space="0" w:color="auto"/>
        <w:left w:val="none" w:sz="0" w:space="0" w:color="auto"/>
        <w:bottom w:val="none" w:sz="0" w:space="0" w:color="auto"/>
        <w:right w:val="none" w:sz="0" w:space="0" w:color="auto"/>
      </w:divBdr>
    </w:div>
    <w:div w:id="1826314366">
      <w:bodyDiv w:val="1"/>
      <w:marLeft w:val="0"/>
      <w:marRight w:val="0"/>
      <w:marTop w:val="0"/>
      <w:marBottom w:val="0"/>
      <w:divBdr>
        <w:top w:val="none" w:sz="0" w:space="0" w:color="auto"/>
        <w:left w:val="none" w:sz="0" w:space="0" w:color="auto"/>
        <w:bottom w:val="none" w:sz="0" w:space="0" w:color="auto"/>
        <w:right w:val="none" w:sz="0" w:space="0" w:color="auto"/>
      </w:divBdr>
    </w:div>
    <w:div w:id="1827473252">
      <w:bodyDiv w:val="1"/>
      <w:marLeft w:val="0"/>
      <w:marRight w:val="0"/>
      <w:marTop w:val="0"/>
      <w:marBottom w:val="0"/>
      <w:divBdr>
        <w:top w:val="none" w:sz="0" w:space="0" w:color="auto"/>
        <w:left w:val="none" w:sz="0" w:space="0" w:color="auto"/>
        <w:bottom w:val="none" w:sz="0" w:space="0" w:color="auto"/>
        <w:right w:val="none" w:sz="0" w:space="0" w:color="auto"/>
      </w:divBdr>
    </w:div>
    <w:div w:id="1829051772">
      <w:bodyDiv w:val="1"/>
      <w:marLeft w:val="0"/>
      <w:marRight w:val="0"/>
      <w:marTop w:val="0"/>
      <w:marBottom w:val="0"/>
      <w:divBdr>
        <w:top w:val="none" w:sz="0" w:space="0" w:color="auto"/>
        <w:left w:val="none" w:sz="0" w:space="0" w:color="auto"/>
        <w:bottom w:val="none" w:sz="0" w:space="0" w:color="auto"/>
        <w:right w:val="none" w:sz="0" w:space="0" w:color="auto"/>
      </w:divBdr>
    </w:div>
    <w:div w:id="1832213009">
      <w:bodyDiv w:val="1"/>
      <w:marLeft w:val="0"/>
      <w:marRight w:val="0"/>
      <w:marTop w:val="0"/>
      <w:marBottom w:val="0"/>
      <w:divBdr>
        <w:top w:val="none" w:sz="0" w:space="0" w:color="auto"/>
        <w:left w:val="none" w:sz="0" w:space="0" w:color="auto"/>
        <w:bottom w:val="none" w:sz="0" w:space="0" w:color="auto"/>
        <w:right w:val="none" w:sz="0" w:space="0" w:color="auto"/>
      </w:divBdr>
    </w:div>
    <w:div w:id="1832214625">
      <w:bodyDiv w:val="1"/>
      <w:marLeft w:val="0"/>
      <w:marRight w:val="0"/>
      <w:marTop w:val="0"/>
      <w:marBottom w:val="0"/>
      <w:divBdr>
        <w:top w:val="none" w:sz="0" w:space="0" w:color="auto"/>
        <w:left w:val="none" w:sz="0" w:space="0" w:color="auto"/>
        <w:bottom w:val="none" w:sz="0" w:space="0" w:color="auto"/>
        <w:right w:val="none" w:sz="0" w:space="0" w:color="auto"/>
      </w:divBdr>
    </w:div>
    <w:div w:id="1833715175">
      <w:bodyDiv w:val="1"/>
      <w:marLeft w:val="0"/>
      <w:marRight w:val="0"/>
      <w:marTop w:val="0"/>
      <w:marBottom w:val="0"/>
      <w:divBdr>
        <w:top w:val="none" w:sz="0" w:space="0" w:color="auto"/>
        <w:left w:val="none" w:sz="0" w:space="0" w:color="auto"/>
        <w:bottom w:val="none" w:sz="0" w:space="0" w:color="auto"/>
        <w:right w:val="none" w:sz="0" w:space="0" w:color="auto"/>
      </w:divBdr>
    </w:div>
    <w:div w:id="1835367225">
      <w:bodyDiv w:val="1"/>
      <w:marLeft w:val="0"/>
      <w:marRight w:val="0"/>
      <w:marTop w:val="0"/>
      <w:marBottom w:val="0"/>
      <w:divBdr>
        <w:top w:val="none" w:sz="0" w:space="0" w:color="auto"/>
        <w:left w:val="none" w:sz="0" w:space="0" w:color="auto"/>
        <w:bottom w:val="none" w:sz="0" w:space="0" w:color="auto"/>
        <w:right w:val="none" w:sz="0" w:space="0" w:color="auto"/>
      </w:divBdr>
    </w:div>
    <w:div w:id="1836527678">
      <w:bodyDiv w:val="1"/>
      <w:marLeft w:val="0"/>
      <w:marRight w:val="0"/>
      <w:marTop w:val="0"/>
      <w:marBottom w:val="0"/>
      <w:divBdr>
        <w:top w:val="none" w:sz="0" w:space="0" w:color="auto"/>
        <w:left w:val="none" w:sz="0" w:space="0" w:color="auto"/>
        <w:bottom w:val="none" w:sz="0" w:space="0" w:color="auto"/>
        <w:right w:val="none" w:sz="0" w:space="0" w:color="auto"/>
      </w:divBdr>
    </w:div>
    <w:div w:id="1837453011">
      <w:bodyDiv w:val="1"/>
      <w:marLeft w:val="0"/>
      <w:marRight w:val="0"/>
      <w:marTop w:val="0"/>
      <w:marBottom w:val="0"/>
      <w:divBdr>
        <w:top w:val="none" w:sz="0" w:space="0" w:color="auto"/>
        <w:left w:val="none" w:sz="0" w:space="0" w:color="auto"/>
        <w:bottom w:val="none" w:sz="0" w:space="0" w:color="auto"/>
        <w:right w:val="none" w:sz="0" w:space="0" w:color="auto"/>
      </w:divBdr>
    </w:div>
    <w:div w:id="1838030170">
      <w:bodyDiv w:val="1"/>
      <w:marLeft w:val="0"/>
      <w:marRight w:val="0"/>
      <w:marTop w:val="0"/>
      <w:marBottom w:val="0"/>
      <w:divBdr>
        <w:top w:val="none" w:sz="0" w:space="0" w:color="auto"/>
        <w:left w:val="none" w:sz="0" w:space="0" w:color="auto"/>
        <w:bottom w:val="none" w:sz="0" w:space="0" w:color="auto"/>
        <w:right w:val="none" w:sz="0" w:space="0" w:color="auto"/>
      </w:divBdr>
    </w:div>
    <w:div w:id="1838811232">
      <w:bodyDiv w:val="1"/>
      <w:marLeft w:val="0"/>
      <w:marRight w:val="0"/>
      <w:marTop w:val="0"/>
      <w:marBottom w:val="0"/>
      <w:divBdr>
        <w:top w:val="none" w:sz="0" w:space="0" w:color="auto"/>
        <w:left w:val="none" w:sz="0" w:space="0" w:color="auto"/>
        <w:bottom w:val="none" w:sz="0" w:space="0" w:color="auto"/>
        <w:right w:val="none" w:sz="0" w:space="0" w:color="auto"/>
      </w:divBdr>
    </w:div>
    <w:div w:id="1838885439">
      <w:bodyDiv w:val="1"/>
      <w:marLeft w:val="0"/>
      <w:marRight w:val="0"/>
      <w:marTop w:val="0"/>
      <w:marBottom w:val="0"/>
      <w:divBdr>
        <w:top w:val="none" w:sz="0" w:space="0" w:color="auto"/>
        <w:left w:val="none" w:sz="0" w:space="0" w:color="auto"/>
        <w:bottom w:val="none" w:sz="0" w:space="0" w:color="auto"/>
        <w:right w:val="none" w:sz="0" w:space="0" w:color="auto"/>
      </w:divBdr>
    </w:div>
    <w:div w:id="1840004301">
      <w:bodyDiv w:val="1"/>
      <w:marLeft w:val="0"/>
      <w:marRight w:val="0"/>
      <w:marTop w:val="0"/>
      <w:marBottom w:val="0"/>
      <w:divBdr>
        <w:top w:val="none" w:sz="0" w:space="0" w:color="auto"/>
        <w:left w:val="none" w:sz="0" w:space="0" w:color="auto"/>
        <w:bottom w:val="none" w:sz="0" w:space="0" w:color="auto"/>
        <w:right w:val="none" w:sz="0" w:space="0" w:color="auto"/>
      </w:divBdr>
    </w:div>
    <w:div w:id="1840457856">
      <w:bodyDiv w:val="1"/>
      <w:marLeft w:val="0"/>
      <w:marRight w:val="0"/>
      <w:marTop w:val="0"/>
      <w:marBottom w:val="0"/>
      <w:divBdr>
        <w:top w:val="none" w:sz="0" w:space="0" w:color="auto"/>
        <w:left w:val="none" w:sz="0" w:space="0" w:color="auto"/>
        <w:bottom w:val="none" w:sz="0" w:space="0" w:color="auto"/>
        <w:right w:val="none" w:sz="0" w:space="0" w:color="auto"/>
      </w:divBdr>
    </w:div>
    <w:div w:id="1841266254">
      <w:bodyDiv w:val="1"/>
      <w:marLeft w:val="0"/>
      <w:marRight w:val="0"/>
      <w:marTop w:val="0"/>
      <w:marBottom w:val="0"/>
      <w:divBdr>
        <w:top w:val="none" w:sz="0" w:space="0" w:color="auto"/>
        <w:left w:val="none" w:sz="0" w:space="0" w:color="auto"/>
        <w:bottom w:val="none" w:sz="0" w:space="0" w:color="auto"/>
        <w:right w:val="none" w:sz="0" w:space="0" w:color="auto"/>
      </w:divBdr>
    </w:div>
    <w:div w:id="1842232854">
      <w:bodyDiv w:val="1"/>
      <w:marLeft w:val="0"/>
      <w:marRight w:val="0"/>
      <w:marTop w:val="0"/>
      <w:marBottom w:val="0"/>
      <w:divBdr>
        <w:top w:val="none" w:sz="0" w:space="0" w:color="auto"/>
        <w:left w:val="none" w:sz="0" w:space="0" w:color="auto"/>
        <w:bottom w:val="none" w:sz="0" w:space="0" w:color="auto"/>
        <w:right w:val="none" w:sz="0" w:space="0" w:color="auto"/>
      </w:divBdr>
    </w:div>
    <w:div w:id="1842350497">
      <w:bodyDiv w:val="1"/>
      <w:marLeft w:val="0"/>
      <w:marRight w:val="0"/>
      <w:marTop w:val="0"/>
      <w:marBottom w:val="0"/>
      <w:divBdr>
        <w:top w:val="none" w:sz="0" w:space="0" w:color="auto"/>
        <w:left w:val="none" w:sz="0" w:space="0" w:color="auto"/>
        <w:bottom w:val="none" w:sz="0" w:space="0" w:color="auto"/>
        <w:right w:val="none" w:sz="0" w:space="0" w:color="auto"/>
      </w:divBdr>
    </w:div>
    <w:div w:id="1842621685">
      <w:bodyDiv w:val="1"/>
      <w:marLeft w:val="0"/>
      <w:marRight w:val="0"/>
      <w:marTop w:val="0"/>
      <w:marBottom w:val="0"/>
      <w:divBdr>
        <w:top w:val="none" w:sz="0" w:space="0" w:color="auto"/>
        <w:left w:val="none" w:sz="0" w:space="0" w:color="auto"/>
        <w:bottom w:val="none" w:sz="0" w:space="0" w:color="auto"/>
        <w:right w:val="none" w:sz="0" w:space="0" w:color="auto"/>
      </w:divBdr>
    </w:div>
    <w:div w:id="1843660966">
      <w:bodyDiv w:val="1"/>
      <w:marLeft w:val="0"/>
      <w:marRight w:val="0"/>
      <w:marTop w:val="0"/>
      <w:marBottom w:val="0"/>
      <w:divBdr>
        <w:top w:val="none" w:sz="0" w:space="0" w:color="auto"/>
        <w:left w:val="none" w:sz="0" w:space="0" w:color="auto"/>
        <w:bottom w:val="none" w:sz="0" w:space="0" w:color="auto"/>
        <w:right w:val="none" w:sz="0" w:space="0" w:color="auto"/>
      </w:divBdr>
    </w:div>
    <w:div w:id="1843668480">
      <w:bodyDiv w:val="1"/>
      <w:marLeft w:val="0"/>
      <w:marRight w:val="0"/>
      <w:marTop w:val="0"/>
      <w:marBottom w:val="0"/>
      <w:divBdr>
        <w:top w:val="none" w:sz="0" w:space="0" w:color="auto"/>
        <w:left w:val="none" w:sz="0" w:space="0" w:color="auto"/>
        <w:bottom w:val="none" w:sz="0" w:space="0" w:color="auto"/>
        <w:right w:val="none" w:sz="0" w:space="0" w:color="auto"/>
      </w:divBdr>
    </w:div>
    <w:div w:id="1844124002">
      <w:bodyDiv w:val="1"/>
      <w:marLeft w:val="0"/>
      <w:marRight w:val="0"/>
      <w:marTop w:val="0"/>
      <w:marBottom w:val="0"/>
      <w:divBdr>
        <w:top w:val="none" w:sz="0" w:space="0" w:color="auto"/>
        <w:left w:val="none" w:sz="0" w:space="0" w:color="auto"/>
        <w:bottom w:val="none" w:sz="0" w:space="0" w:color="auto"/>
        <w:right w:val="none" w:sz="0" w:space="0" w:color="auto"/>
      </w:divBdr>
    </w:div>
    <w:div w:id="1844516179">
      <w:bodyDiv w:val="1"/>
      <w:marLeft w:val="0"/>
      <w:marRight w:val="0"/>
      <w:marTop w:val="0"/>
      <w:marBottom w:val="0"/>
      <w:divBdr>
        <w:top w:val="none" w:sz="0" w:space="0" w:color="auto"/>
        <w:left w:val="none" w:sz="0" w:space="0" w:color="auto"/>
        <w:bottom w:val="none" w:sz="0" w:space="0" w:color="auto"/>
        <w:right w:val="none" w:sz="0" w:space="0" w:color="auto"/>
      </w:divBdr>
    </w:div>
    <w:div w:id="1845507661">
      <w:bodyDiv w:val="1"/>
      <w:marLeft w:val="0"/>
      <w:marRight w:val="0"/>
      <w:marTop w:val="0"/>
      <w:marBottom w:val="0"/>
      <w:divBdr>
        <w:top w:val="none" w:sz="0" w:space="0" w:color="auto"/>
        <w:left w:val="none" w:sz="0" w:space="0" w:color="auto"/>
        <w:bottom w:val="none" w:sz="0" w:space="0" w:color="auto"/>
        <w:right w:val="none" w:sz="0" w:space="0" w:color="auto"/>
      </w:divBdr>
    </w:div>
    <w:div w:id="1845895441">
      <w:bodyDiv w:val="1"/>
      <w:marLeft w:val="0"/>
      <w:marRight w:val="0"/>
      <w:marTop w:val="0"/>
      <w:marBottom w:val="0"/>
      <w:divBdr>
        <w:top w:val="none" w:sz="0" w:space="0" w:color="auto"/>
        <w:left w:val="none" w:sz="0" w:space="0" w:color="auto"/>
        <w:bottom w:val="none" w:sz="0" w:space="0" w:color="auto"/>
        <w:right w:val="none" w:sz="0" w:space="0" w:color="auto"/>
      </w:divBdr>
    </w:div>
    <w:div w:id="1847204130">
      <w:bodyDiv w:val="1"/>
      <w:marLeft w:val="0"/>
      <w:marRight w:val="0"/>
      <w:marTop w:val="0"/>
      <w:marBottom w:val="0"/>
      <w:divBdr>
        <w:top w:val="none" w:sz="0" w:space="0" w:color="auto"/>
        <w:left w:val="none" w:sz="0" w:space="0" w:color="auto"/>
        <w:bottom w:val="none" w:sz="0" w:space="0" w:color="auto"/>
        <w:right w:val="none" w:sz="0" w:space="0" w:color="auto"/>
      </w:divBdr>
    </w:div>
    <w:div w:id="1848247039">
      <w:bodyDiv w:val="1"/>
      <w:marLeft w:val="0"/>
      <w:marRight w:val="0"/>
      <w:marTop w:val="0"/>
      <w:marBottom w:val="0"/>
      <w:divBdr>
        <w:top w:val="none" w:sz="0" w:space="0" w:color="auto"/>
        <w:left w:val="none" w:sz="0" w:space="0" w:color="auto"/>
        <w:bottom w:val="none" w:sz="0" w:space="0" w:color="auto"/>
        <w:right w:val="none" w:sz="0" w:space="0" w:color="auto"/>
      </w:divBdr>
    </w:div>
    <w:div w:id="1852337319">
      <w:bodyDiv w:val="1"/>
      <w:marLeft w:val="0"/>
      <w:marRight w:val="0"/>
      <w:marTop w:val="0"/>
      <w:marBottom w:val="0"/>
      <w:divBdr>
        <w:top w:val="none" w:sz="0" w:space="0" w:color="auto"/>
        <w:left w:val="none" w:sz="0" w:space="0" w:color="auto"/>
        <w:bottom w:val="none" w:sz="0" w:space="0" w:color="auto"/>
        <w:right w:val="none" w:sz="0" w:space="0" w:color="auto"/>
      </w:divBdr>
    </w:div>
    <w:div w:id="1852528639">
      <w:bodyDiv w:val="1"/>
      <w:marLeft w:val="0"/>
      <w:marRight w:val="0"/>
      <w:marTop w:val="0"/>
      <w:marBottom w:val="0"/>
      <w:divBdr>
        <w:top w:val="none" w:sz="0" w:space="0" w:color="auto"/>
        <w:left w:val="none" w:sz="0" w:space="0" w:color="auto"/>
        <w:bottom w:val="none" w:sz="0" w:space="0" w:color="auto"/>
        <w:right w:val="none" w:sz="0" w:space="0" w:color="auto"/>
      </w:divBdr>
    </w:div>
    <w:div w:id="1852796236">
      <w:bodyDiv w:val="1"/>
      <w:marLeft w:val="0"/>
      <w:marRight w:val="0"/>
      <w:marTop w:val="0"/>
      <w:marBottom w:val="0"/>
      <w:divBdr>
        <w:top w:val="none" w:sz="0" w:space="0" w:color="auto"/>
        <w:left w:val="none" w:sz="0" w:space="0" w:color="auto"/>
        <w:bottom w:val="none" w:sz="0" w:space="0" w:color="auto"/>
        <w:right w:val="none" w:sz="0" w:space="0" w:color="auto"/>
      </w:divBdr>
    </w:div>
    <w:div w:id="1853257084">
      <w:bodyDiv w:val="1"/>
      <w:marLeft w:val="0"/>
      <w:marRight w:val="0"/>
      <w:marTop w:val="0"/>
      <w:marBottom w:val="0"/>
      <w:divBdr>
        <w:top w:val="none" w:sz="0" w:space="0" w:color="auto"/>
        <w:left w:val="none" w:sz="0" w:space="0" w:color="auto"/>
        <w:bottom w:val="none" w:sz="0" w:space="0" w:color="auto"/>
        <w:right w:val="none" w:sz="0" w:space="0" w:color="auto"/>
      </w:divBdr>
    </w:div>
    <w:div w:id="1855225142">
      <w:bodyDiv w:val="1"/>
      <w:marLeft w:val="0"/>
      <w:marRight w:val="0"/>
      <w:marTop w:val="0"/>
      <w:marBottom w:val="0"/>
      <w:divBdr>
        <w:top w:val="none" w:sz="0" w:space="0" w:color="auto"/>
        <w:left w:val="none" w:sz="0" w:space="0" w:color="auto"/>
        <w:bottom w:val="none" w:sz="0" w:space="0" w:color="auto"/>
        <w:right w:val="none" w:sz="0" w:space="0" w:color="auto"/>
      </w:divBdr>
    </w:div>
    <w:div w:id="1856535863">
      <w:bodyDiv w:val="1"/>
      <w:marLeft w:val="0"/>
      <w:marRight w:val="0"/>
      <w:marTop w:val="0"/>
      <w:marBottom w:val="0"/>
      <w:divBdr>
        <w:top w:val="none" w:sz="0" w:space="0" w:color="auto"/>
        <w:left w:val="none" w:sz="0" w:space="0" w:color="auto"/>
        <w:bottom w:val="none" w:sz="0" w:space="0" w:color="auto"/>
        <w:right w:val="none" w:sz="0" w:space="0" w:color="auto"/>
      </w:divBdr>
    </w:div>
    <w:div w:id="1857112292">
      <w:bodyDiv w:val="1"/>
      <w:marLeft w:val="0"/>
      <w:marRight w:val="0"/>
      <w:marTop w:val="0"/>
      <w:marBottom w:val="0"/>
      <w:divBdr>
        <w:top w:val="none" w:sz="0" w:space="0" w:color="auto"/>
        <w:left w:val="none" w:sz="0" w:space="0" w:color="auto"/>
        <w:bottom w:val="none" w:sz="0" w:space="0" w:color="auto"/>
        <w:right w:val="none" w:sz="0" w:space="0" w:color="auto"/>
      </w:divBdr>
    </w:div>
    <w:div w:id="1857963519">
      <w:bodyDiv w:val="1"/>
      <w:marLeft w:val="0"/>
      <w:marRight w:val="0"/>
      <w:marTop w:val="0"/>
      <w:marBottom w:val="0"/>
      <w:divBdr>
        <w:top w:val="none" w:sz="0" w:space="0" w:color="auto"/>
        <w:left w:val="none" w:sz="0" w:space="0" w:color="auto"/>
        <w:bottom w:val="none" w:sz="0" w:space="0" w:color="auto"/>
        <w:right w:val="none" w:sz="0" w:space="0" w:color="auto"/>
      </w:divBdr>
    </w:div>
    <w:div w:id="1861314488">
      <w:bodyDiv w:val="1"/>
      <w:marLeft w:val="0"/>
      <w:marRight w:val="0"/>
      <w:marTop w:val="0"/>
      <w:marBottom w:val="0"/>
      <w:divBdr>
        <w:top w:val="none" w:sz="0" w:space="0" w:color="auto"/>
        <w:left w:val="none" w:sz="0" w:space="0" w:color="auto"/>
        <w:bottom w:val="none" w:sz="0" w:space="0" w:color="auto"/>
        <w:right w:val="none" w:sz="0" w:space="0" w:color="auto"/>
      </w:divBdr>
    </w:div>
    <w:div w:id="1861359624">
      <w:bodyDiv w:val="1"/>
      <w:marLeft w:val="0"/>
      <w:marRight w:val="0"/>
      <w:marTop w:val="0"/>
      <w:marBottom w:val="0"/>
      <w:divBdr>
        <w:top w:val="none" w:sz="0" w:space="0" w:color="auto"/>
        <w:left w:val="none" w:sz="0" w:space="0" w:color="auto"/>
        <w:bottom w:val="none" w:sz="0" w:space="0" w:color="auto"/>
        <w:right w:val="none" w:sz="0" w:space="0" w:color="auto"/>
      </w:divBdr>
    </w:div>
    <w:div w:id="1862669866">
      <w:bodyDiv w:val="1"/>
      <w:marLeft w:val="0"/>
      <w:marRight w:val="0"/>
      <w:marTop w:val="0"/>
      <w:marBottom w:val="0"/>
      <w:divBdr>
        <w:top w:val="none" w:sz="0" w:space="0" w:color="auto"/>
        <w:left w:val="none" w:sz="0" w:space="0" w:color="auto"/>
        <w:bottom w:val="none" w:sz="0" w:space="0" w:color="auto"/>
        <w:right w:val="none" w:sz="0" w:space="0" w:color="auto"/>
      </w:divBdr>
    </w:div>
    <w:div w:id="1863131251">
      <w:bodyDiv w:val="1"/>
      <w:marLeft w:val="0"/>
      <w:marRight w:val="0"/>
      <w:marTop w:val="0"/>
      <w:marBottom w:val="0"/>
      <w:divBdr>
        <w:top w:val="none" w:sz="0" w:space="0" w:color="auto"/>
        <w:left w:val="none" w:sz="0" w:space="0" w:color="auto"/>
        <w:bottom w:val="none" w:sz="0" w:space="0" w:color="auto"/>
        <w:right w:val="none" w:sz="0" w:space="0" w:color="auto"/>
      </w:divBdr>
    </w:div>
    <w:div w:id="1865243791">
      <w:bodyDiv w:val="1"/>
      <w:marLeft w:val="0"/>
      <w:marRight w:val="0"/>
      <w:marTop w:val="0"/>
      <w:marBottom w:val="0"/>
      <w:divBdr>
        <w:top w:val="none" w:sz="0" w:space="0" w:color="auto"/>
        <w:left w:val="none" w:sz="0" w:space="0" w:color="auto"/>
        <w:bottom w:val="none" w:sz="0" w:space="0" w:color="auto"/>
        <w:right w:val="none" w:sz="0" w:space="0" w:color="auto"/>
      </w:divBdr>
    </w:div>
    <w:div w:id="1865745085">
      <w:bodyDiv w:val="1"/>
      <w:marLeft w:val="0"/>
      <w:marRight w:val="0"/>
      <w:marTop w:val="0"/>
      <w:marBottom w:val="0"/>
      <w:divBdr>
        <w:top w:val="none" w:sz="0" w:space="0" w:color="auto"/>
        <w:left w:val="none" w:sz="0" w:space="0" w:color="auto"/>
        <w:bottom w:val="none" w:sz="0" w:space="0" w:color="auto"/>
        <w:right w:val="none" w:sz="0" w:space="0" w:color="auto"/>
      </w:divBdr>
    </w:div>
    <w:div w:id="1867064705">
      <w:bodyDiv w:val="1"/>
      <w:marLeft w:val="0"/>
      <w:marRight w:val="0"/>
      <w:marTop w:val="0"/>
      <w:marBottom w:val="0"/>
      <w:divBdr>
        <w:top w:val="none" w:sz="0" w:space="0" w:color="auto"/>
        <w:left w:val="none" w:sz="0" w:space="0" w:color="auto"/>
        <w:bottom w:val="none" w:sz="0" w:space="0" w:color="auto"/>
        <w:right w:val="none" w:sz="0" w:space="0" w:color="auto"/>
      </w:divBdr>
    </w:div>
    <w:div w:id="1868986823">
      <w:bodyDiv w:val="1"/>
      <w:marLeft w:val="0"/>
      <w:marRight w:val="0"/>
      <w:marTop w:val="0"/>
      <w:marBottom w:val="0"/>
      <w:divBdr>
        <w:top w:val="none" w:sz="0" w:space="0" w:color="auto"/>
        <w:left w:val="none" w:sz="0" w:space="0" w:color="auto"/>
        <w:bottom w:val="none" w:sz="0" w:space="0" w:color="auto"/>
        <w:right w:val="none" w:sz="0" w:space="0" w:color="auto"/>
      </w:divBdr>
    </w:div>
    <w:div w:id="1869178552">
      <w:bodyDiv w:val="1"/>
      <w:marLeft w:val="0"/>
      <w:marRight w:val="0"/>
      <w:marTop w:val="0"/>
      <w:marBottom w:val="0"/>
      <w:divBdr>
        <w:top w:val="none" w:sz="0" w:space="0" w:color="auto"/>
        <w:left w:val="none" w:sz="0" w:space="0" w:color="auto"/>
        <w:bottom w:val="none" w:sz="0" w:space="0" w:color="auto"/>
        <w:right w:val="none" w:sz="0" w:space="0" w:color="auto"/>
      </w:divBdr>
    </w:div>
    <w:div w:id="1870871305">
      <w:bodyDiv w:val="1"/>
      <w:marLeft w:val="0"/>
      <w:marRight w:val="0"/>
      <w:marTop w:val="0"/>
      <w:marBottom w:val="0"/>
      <w:divBdr>
        <w:top w:val="none" w:sz="0" w:space="0" w:color="auto"/>
        <w:left w:val="none" w:sz="0" w:space="0" w:color="auto"/>
        <w:bottom w:val="none" w:sz="0" w:space="0" w:color="auto"/>
        <w:right w:val="none" w:sz="0" w:space="0" w:color="auto"/>
      </w:divBdr>
    </w:div>
    <w:div w:id="1871605551">
      <w:bodyDiv w:val="1"/>
      <w:marLeft w:val="0"/>
      <w:marRight w:val="0"/>
      <w:marTop w:val="0"/>
      <w:marBottom w:val="0"/>
      <w:divBdr>
        <w:top w:val="none" w:sz="0" w:space="0" w:color="auto"/>
        <w:left w:val="none" w:sz="0" w:space="0" w:color="auto"/>
        <w:bottom w:val="none" w:sz="0" w:space="0" w:color="auto"/>
        <w:right w:val="none" w:sz="0" w:space="0" w:color="auto"/>
      </w:divBdr>
    </w:div>
    <w:div w:id="1873037027">
      <w:bodyDiv w:val="1"/>
      <w:marLeft w:val="0"/>
      <w:marRight w:val="0"/>
      <w:marTop w:val="0"/>
      <w:marBottom w:val="0"/>
      <w:divBdr>
        <w:top w:val="none" w:sz="0" w:space="0" w:color="auto"/>
        <w:left w:val="none" w:sz="0" w:space="0" w:color="auto"/>
        <w:bottom w:val="none" w:sz="0" w:space="0" w:color="auto"/>
        <w:right w:val="none" w:sz="0" w:space="0" w:color="auto"/>
      </w:divBdr>
    </w:div>
    <w:div w:id="1873609898">
      <w:bodyDiv w:val="1"/>
      <w:marLeft w:val="0"/>
      <w:marRight w:val="0"/>
      <w:marTop w:val="0"/>
      <w:marBottom w:val="0"/>
      <w:divBdr>
        <w:top w:val="none" w:sz="0" w:space="0" w:color="auto"/>
        <w:left w:val="none" w:sz="0" w:space="0" w:color="auto"/>
        <w:bottom w:val="none" w:sz="0" w:space="0" w:color="auto"/>
        <w:right w:val="none" w:sz="0" w:space="0" w:color="auto"/>
      </w:divBdr>
    </w:div>
    <w:div w:id="1873687918">
      <w:bodyDiv w:val="1"/>
      <w:marLeft w:val="0"/>
      <w:marRight w:val="0"/>
      <w:marTop w:val="0"/>
      <w:marBottom w:val="0"/>
      <w:divBdr>
        <w:top w:val="none" w:sz="0" w:space="0" w:color="auto"/>
        <w:left w:val="none" w:sz="0" w:space="0" w:color="auto"/>
        <w:bottom w:val="none" w:sz="0" w:space="0" w:color="auto"/>
        <w:right w:val="none" w:sz="0" w:space="0" w:color="auto"/>
      </w:divBdr>
    </w:div>
    <w:div w:id="1874684209">
      <w:bodyDiv w:val="1"/>
      <w:marLeft w:val="0"/>
      <w:marRight w:val="0"/>
      <w:marTop w:val="0"/>
      <w:marBottom w:val="0"/>
      <w:divBdr>
        <w:top w:val="none" w:sz="0" w:space="0" w:color="auto"/>
        <w:left w:val="none" w:sz="0" w:space="0" w:color="auto"/>
        <w:bottom w:val="none" w:sz="0" w:space="0" w:color="auto"/>
        <w:right w:val="none" w:sz="0" w:space="0" w:color="auto"/>
      </w:divBdr>
    </w:div>
    <w:div w:id="1875772342">
      <w:bodyDiv w:val="1"/>
      <w:marLeft w:val="0"/>
      <w:marRight w:val="0"/>
      <w:marTop w:val="0"/>
      <w:marBottom w:val="0"/>
      <w:divBdr>
        <w:top w:val="none" w:sz="0" w:space="0" w:color="auto"/>
        <w:left w:val="none" w:sz="0" w:space="0" w:color="auto"/>
        <w:bottom w:val="none" w:sz="0" w:space="0" w:color="auto"/>
        <w:right w:val="none" w:sz="0" w:space="0" w:color="auto"/>
      </w:divBdr>
    </w:div>
    <w:div w:id="1877619819">
      <w:bodyDiv w:val="1"/>
      <w:marLeft w:val="0"/>
      <w:marRight w:val="0"/>
      <w:marTop w:val="0"/>
      <w:marBottom w:val="0"/>
      <w:divBdr>
        <w:top w:val="none" w:sz="0" w:space="0" w:color="auto"/>
        <w:left w:val="none" w:sz="0" w:space="0" w:color="auto"/>
        <w:bottom w:val="none" w:sz="0" w:space="0" w:color="auto"/>
        <w:right w:val="none" w:sz="0" w:space="0" w:color="auto"/>
      </w:divBdr>
    </w:div>
    <w:div w:id="1877620876">
      <w:bodyDiv w:val="1"/>
      <w:marLeft w:val="0"/>
      <w:marRight w:val="0"/>
      <w:marTop w:val="0"/>
      <w:marBottom w:val="0"/>
      <w:divBdr>
        <w:top w:val="none" w:sz="0" w:space="0" w:color="auto"/>
        <w:left w:val="none" w:sz="0" w:space="0" w:color="auto"/>
        <w:bottom w:val="none" w:sz="0" w:space="0" w:color="auto"/>
        <w:right w:val="none" w:sz="0" w:space="0" w:color="auto"/>
      </w:divBdr>
    </w:div>
    <w:div w:id="1877699180">
      <w:bodyDiv w:val="1"/>
      <w:marLeft w:val="0"/>
      <w:marRight w:val="0"/>
      <w:marTop w:val="0"/>
      <w:marBottom w:val="0"/>
      <w:divBdr>
        <w:top w:val="none" w:sz="0" w:space="0" w:color="auto"/>
        <w:left w:val="none" w:sz="0" w:space="0" w:color="auto"/>
        <w:bottom w:val="none" w:sz="0" w:space="0" w:color="auto"/>
        <w:right w:val="none" w:sz="0" w:space="0" w:color="auto"/>
      </w:divBdr>
    </w:div>
    <w:div w:id="1877813803">
      <w:bodyDiv w:val="1"/>
      <w:marLeft w:val="0"/>
      <w:marRight w:val="0"/>
      <w:marTop w:val="0"/>
      <w:marBottom w:val="0"/>
      <w:divBdr>
        <w:top w:val="none" w:sz="0" w:space="0" w:color="auto"/>
        <w:left w:val="none" w:sz="0" w:space="0" w:color="auto"/>
        <w:bottom w:val="none" w:sz="0" w:space="0" w:color="auto"/>
        <w:right w:val="none" w:sz="0" w:space="0" w:color="auto"/>
      </w:divBdr>
    </w:div>
    <w:div w:id="1878084457">
      <w:bodyDiv w:val="1"/>
      <w:marLeft w:val="0"/>
      <w:marRight w:val="0"/>
      <w:marTop w:val="0"/>
      <w:marBottom w:val="0"/>
      <w:divBdr>
        <w:top w:val="none" w:sz="0" w:space="0" w:color="auto"/>
        <w:left w:val="none" w:sz="0" w:space="0" w:color="auto"/>
        <w:bottom w:val="none" w:sz="0" w:space="0" w:color="auto"/>
        <w:right w:val="none" w:sz="0" w:space="0" w:color="auto"/>
      </w:divBdr>
    </w:div>
    <w:div w:id="1880315878">
      <w:bodyDiv w:val="1"/>
      <w:marLeft w:val="0"/>
      <w:marRight w:val="0"/>
      <w:marTop w:val="0"/>
      <w:marBottom w:val="0"/>
      <w:divBdr>
        <w:top w:val="none" w:sz="0" w:space="0" w:color="auto"/>
        <w:left w:val="none" w:sz="0" w:space="0" w:color="auto"/>
        <w:bottom w:val="none" w:sz="0" w:space="0" w:color="auto"/>
        <w:right w:val="none" w:sz="0" w:space="0" w:color="auto"/>
      </w:divBdr>
    </w:div>
    <w:div w:id="1882399468">
      <w:bodyDiv w:val="1"/>
      <w:marLeft w:val="0"/>
      <w:marRight w:val="0"/>
      <w:marTop w:val="0"/>
      <w:marBottom w:val="0"/>
      <w:divBdr>
        <w:top w:val="none" w:sz="0" w:space="0" w:color="auto"/>
        <w:left w:val="none" w:sz="0" w:space="0" w:color="auto"/>
        <w:bottom w:val="none" w:sz="0" w:space="0" w:color="auto"/>
        <w:right w:val="none" w:sz="0" w:space="0" w:color="auto"/>
      </w:divBdr>
    </w:div>
    <w:div w:id="1882936510">
      <w:bodyDiv w:val="1"/>
      <w:marLeft w:val="0"/>
      <w:marRight w:val="0"/>
      <w:marTop w:val="0"/>
      <w:marBottom w:val="0"/>
      <w:divBdr>
        <w:top w:val="none" w:sz="0" w:space="0" w:color="auto"/>
        <w:left w:val="none" w:sz="0" w:space="0" w:color="auto"/>
        <w:bottom w:val="none" w:sz="0" w:space="0" w:color="auto"/>
        <w:right w:val="none" w:sz="0" w:space="0" w:color="auto"/>
      </w:divBdr>
    </w:div>
    <w:div w:id="1884706251">
      <w:bodyDiv w:val="1"/>
      <w:marLeft w:val="0"/>
      <w:marRight w:val="0"/>
      <w:marTop w:val="0"/>
      <w:marBottom w:val="0"/>
      <w:divBdr>
        <w:top w:val="none" w:sz="0" w:space="0" w:color="auto"/>
        <w:left w:val="none" w:sz="0" w:space="0" w:color="auto"/>
        <w:bottom w:val="none" w:sz="0" w:space="0" w:color="auto"/>
        <w:right w:val="none" w:sz="0" w:space="0" w:color="auto"/>
      </w:divBdr>
    </w:div>
    <w:div w:id="1884900787">
      <w:bodyDiv w:val="1"/>
      <w:marLeft w:val="0"/>
      <w:marRight w:val="0"/>
      <w:marTop w:val="0"/>
      <w:marBottom w:val="0"/>
      <w:divBdr>
        <w:top w:val="none" w:sz="0" w:space="0" w:color="auto"/>
        <w:left w:val="none" w:sz="0" w:space="0" w:color="auto"/>
        <w:bottom w:val="none" w:sz="0" w:space="0" w:color="auto"/>
        <w:right w:val="none" w:sz="0" w:space="0" w:color="auto"/>
      </w:divBdr>
    </w:div>
    <w:div w:id="1885093532">
      <w:bodyDiv w:val="1"/>
      <w:marLeft w:val="0"/>
      <w:marRight w:val="0"/>
      <w:marTop w:val="0"/>
      <w:marBottom w:val="0"/>
      <w:divBdr>
        <w:top w:val="none" w:sz="0" w:space="0" w:color="auto"/>
        <w:left w:val="none" w:sz="0" w:space="0" w:color="auto"/>
        <w:bottom w:val="none" w:sz="0" w:space="0" w:color="auto"/>
        <w:right w:val="none" w:sz="0" w:space="0" w:color="auto"/>
      </w:divBdr>
    </w:div>
    <w:div w:id="1885168225">
      <w:bodyDiv w:val="1"/>
      <w:marLeft w:val="0"/>
      <w:marRight w:val="0"/>
      <w:marTop w:val="0"/>
      <w:marBottom w:val="0"/>
      <w:divBdr>
        <w:top w:val="none" w:sz="0" w:space="0" w:color="auto"/>
        <w:left w:val="none" w:sz="0" w:space="0" w:color="auto"/>
        <w:bottom w:val="none" w:sz="0" w:space="0" w:color="auto"/>
        <w:right w:val="none" w:sz="0" w:space="0" w:color="auto"/>
      </w:divBdr>
    </w:div>
    <w:div w:id="1885479560">
      <w:bodyDiv w:val="1"/>
      <w:marLeft w:val="0"/>
      <w:marRight w:val="0"/>
      <w:marTop w:val="0"/>
      <w:marBottom w:val="0"/>
      <w:divBdr>
        <w:top w:val="none" w:sz="0" w:space="0" w:color="auto"/>
        <w:left w:val="none" w:sz="0" w:space="0" w:color="auto"/>
        <w:bottom w:val="none" w:sz="0" w:space="0" w:color="auto"/>
        <w:right w:val="none" w:sz="0" w:space="0" w:color="auto"/>
      </w:divBdr>
    </w:div>
    <w:div w:id="1886410278">
      <w:bodyDiv w:val="1"/>
      <w:marLeft w:val="0"/>
      <w:marRight w:val="0"/>
      <w:marTop w:val="0"/>
      <w:marBottom w:val="0"/>
      <w:divBdr>
        <w:top w:val="none" w:sz="0" w:space="0" w:color="auto"/>
        <w:left w:val="none" w:sz="0" w:space="0" w:color="auto"/>
        <w:bottom w:val="none" w:sz="0" w:space="0" w:color="auto"/>
        <w:right w:val="none" w:sz="0" w:space="0" w:color="auto"/>
      </w:divBdr>
    </w:div>
    <w:div w:id="1888905522">
      <w:bodyDiv w:val="1"/>
      <w:marLeft w:val="0"/>
      <w:marRight w:val="0"/>
      <w:marTop w:val="0"/>
      <w:marBottom w:val="0"/>
      <w:divBdr>
        <w:top w:val="none" w:sz="0" w:space="0" w:color="auto"/>
        <w:left w:val="none" w:sz="0" w:space="0" w:color="auto"/>
        <w:bottom w:val="none" w:sz="0" w:space="0" w:color="auto"/>
        <w:right w:val="none" w:sz="0" w:space="0" w:color="auto"/>
      </w:divBdr>
    </w:div>
    <w:div w:id="1889026914">
      <w:bodyDiv w:val="1"/>
      <w:marLeft w:val="0"/>
      <w:marRight w:val="0"/>
      <w:marTop w:val="0"/>
      <w:marBottom w:val="0"/>
      <w:divBdr>
        <w:top w:val="none" w:sz="0" w:space="0" w:color="auto"/>
        <w:left w:val="none" w:sz="0" w:space="0" w:color="auto"/>
        <w:bottom w:val="none" w:sz="0" w:space="0" w:color="auto"/>
        <w:right w:val="none" w:sz="0" w:space="0" w:color="auto"/>
      </w:divBdr>
    </w:div>
    <w:div w:id="1893154319">
      <w:bodyDiv w:val="1"/>
      <w:marLeft w:val="0"/>
      <w:marRight w:val="0"/>
      <w:marTop w:val="0"/>
      <w:marBottom w:val="0"/>
      <w:divBdr>
        <w:top w:val="none" w:sz="0" w:space="0" w:color="auto"/>
        <w:left w:val="none" w:sz="0" w:space="0" w:color="auto"/>
        <w:bottom w:val="none" w:sz="0" w:space="0" w:color="auto"/>
        <w:right w:val="none" w:sz="0" w:space="0" w:color="auto"/>
      </w:divBdr>
    </w:div>
    <w:div w:id="1893883098">
      <w:bodyDiv w:val="1"/>
      <w:marLeft w:val="0"/>
      <w:marRight w:val="0"/>
      <w:marTop w:val="0"/>
      <w:marBottom w:val="0"/>
      <w:divBdr>
        <w:top w:val="none" w:sz="0" w:space="0" w:color="auto"/>
        <w:left w:val="none" w:sz="0" w:space="0" w:color="auto"/>
        <w:bottom w:val="none" w:sz="0" w:space="0" w:color="auto"/>
        <w:right w:val="none" w:sz="0" w:space="0" w:color="auto"/>
      </w:divBdr>
    </w:div>
    <w:div w:id="1896114967">
      <w:bodyDiv w:val="1"/>
      <w:marLeft w:val="0"/>
      <w:marRight w:val="0"/>
      <w:marTop w:val="0"/>
      <w:marBottom w:val="0"/>
      <w:divBdr>
        <w:top w:val="none" w:sz="0" w:space="0" w:color="auto"/>
        <w:left w:val="none" w:sz="0" w:space="0" w:color="auto"/>
        <w:bottom w:val="none" w:sz="0" w:space="0" w:color="auto"/>
        <w:right w:val="none" w:sz="0" w:space="0" w:color="auto"/>
      </w:divBdr>
    </w:div>
    <w:div w:id="1897466279">
      <w:bodyDiv w:val="1"/>
      <w:marLeft w:val="0"/>
      <w:marRight w:val="0"/>
      <w:marTop w:val="0"/>
      <w:marBottom w:val="0"/>
      <w:divBdr>
        <w:top w:val="none" w:sz="0" w:space="0" w:color="auto"/>
        <w:left w:val="none" w:sz="0" w:space="0" w:color="auto"/>
        <w:bottom w:val="none" w:sz="0" w:space="0" w:color="auto"/>
        <w:right w:val="none" w:sz="0" w:space="0" w:color="auto"/>
      </w:divBdr>
    </w:div>
    <w:div w:id="1897930329">
      <w:bodyDiv w:val="1"/>
      <w:marLeft w:val="0"/>
      <w:marRight w:val="0"/>
      <w:marTop w:val="0"/>
      <w:marBottom w:val="0"/>
      <w:divBdr>
        <w:top w:val="none" w:sz="0" w:space="0" w:color="auto"/>
        <w:left w:val="none" w:sz="0" w:space="0" w:color="auto"/>
        <w:bottom w:val="none" w:sz="0" w:space="0" w:color="auto"/>
        <w:right w:val="none" w:sz="0" w:space="0" w:color="auto"/>
      </w:divBdr>
    </w:div>
    <w:div w:id="1899054882">
      <w:bodyDiv w:val="1"/>
      <w:marLeft w:val="0"/>
      <w:marRight w:val="0"/>
      <w:marTop w:val="0"/>
      <w:marBottom w:val="0"/>
      <w:divBdr>
        <w:top w:val="none" w:sz="0" w:space="0" w:color="auto"/>
        <w:left w:val="none" w:sz="0" w:space="0" w:color="auto"/>
        <w:bottom w:val="none" w:sz="0" w:space="0" w:color="auto"/>
        <w:right w:val="none" w:sz="0" w:space="0" w:color="auto"/>
      </w:divBdr>
    </w:div>
    <w:div w:id="1899396025">
      <w:bodyDiv w:val="1"/>
      <w:marLeft w:val="0"/>
      <w:marRight w:val="0"/>
      <w:marTop w:val="0"/>
      <w:marBottom w:val="0"/>
      <w:divBdr>
        <w:top w:val="none" w:sz="0" w:space="0" w:color="auto"/>
        <w:left w:val="none" w:sz="0" w:space="0" w:color="auto"/>
        <w:bottom w:val="none" w:sz="0" w:space="0" w:color="auto"/>
        <w:right w:val="none" w:sz="0" w:space="0" w:color="auto"/>
      </w:divBdr>
    </w:div>
    <w:div w:id="1899895572">
      <w:bodyDiv w:val="1"/>
      <w:marLeft w:val="0"/>
      <w:marRight w:val="0"/>
      <w:marTop w:val="0"/>
      <w:marBottom w:val="0"/>
      <w:divBdr>
        <w:top w:val="none" w:sz="0" w:space="0" w:color="auto"/>
        <w:left w:val="none" w:sz="0" w:space="0" w:color="auto"/>
        <w:bottom w:val="none" w:sz="0" w:space="0" w:color="auto"/>
        <w:right w:val="none" w:sz="0" w:space="0" w:color="auto"/>
      </w:divBdr>
    </w:div>
    <w:div w:id="1900047691">
      <w:bodyDiv w:val="1"/>
      <w:marLeft w:val="0"/>
      <w:marRight w:val="0"/>
      <w:marTop w:val="0"/>
      <w:marBottom w:val="0"/>
      <w:divBdr>
        <w:top w:val="none" w:sz="0" w:space="0" w:color="auto"/>
        <w:left w:val="none" w:sz="0" w:space="0" w:color="auto"/>
        <w:bottom w:val="none" w:sz="0" w:space="0" w:color="auto"/>
        <w:right w:val="none" w:sz="0" w:space="0" w:color="auto"/>
      </w:divBdr>
    </w:div>
    <w:div w:id="1901593758">
      <w:bodyDiv w:val="1"/>
      <w:marLeft w:val="0"/>
      <w:marRight w:val="0"/>
      <w:marTop w:val="0"/>
      <w:marBottom w:val="0"/>
      <w:divBdr>
        <w:top w:val="none" w:sz="0" w:space="0" w:color="auto"/>
        <w:left w:val="none" w:sz="0" w:space="0" w:color="auto"/>
        <w:bottom w:val="none" w:sz="0" w:space="0" w:color="auto"/>
        <w:right w:val="none" w:sz="0" w:space="0" w:color="auto"/>
      </w:divBdr>
    </w:div>
    <w:div w:id="1902476770">
      <w:bodyDiv w:val="1"/>
      <w:marLeft w:val="0"/>
      <w:marRight w:val="0"/>
      <w:marTop w:val="0"/>
      <w:marBottom w:val="0"/>
      <w:divBdr>
        <w:top w:val="none" w:sz="0" w:space="0" w:color="auto"/>
        <w:left w:val="none" w:sz="0" w:space="0" w:color="auto"/>
        <w:bottom w:val="none" w:sz="0" w:space="0" w:color="auto"/>
        <w:right w:val="none" w:sz="0" w:space="0" w:color="auto"/>
      </w:divBdr>
    </w:div>
    <w:div w:id="1902788379">
      <w:bodyDiv w:val="1"/>
      <w:marLeft w:val="0"/>
      <w:marRight w:val="0"/>
      <w:marTop w:val="0"/>
      <w:marBottom w:val="0"/>
      <w:divBdr>
        <w:top w:val="none" w:sz="0" w:space="0" w:color="auto"/>
        <w:left w:val="none" w:sz="0" w:space="0" w:color="auto"/>
        <w:bottom w:val="none" w:sz="0" w:space="0" w:color="auto"/>
        <w:right w:val="none" w:sz="0" w:space="0" w:color="auto"/>
      </w:divBdr>
    </w:div>
    <w:div w:id="1903170410">
      <w:bodyDiv w:val="1"/>
      <w:marLeft w:val="0"/>
      <w:marRight w:val="0"/>
      <w:marTop w:val="0"/>
      <w:marBottom w:val="0"/>
      <w:divBdr>
        <w:top w:val="none" w:sz="0" w:space="0" w:color="auto"/>
        <w:left w:val="none" w:sz="0" w:space="0" w:color="auto"/>
        <w:bottom w:val="none" w:sz="0" w:space="0" w:color="auto"/>
        <w:right w:val="none" w:sz="0" w:space="0" w:color="auto"/>
      </w:divBdr>
    </w:div>
    <w:div w:id="1903902317">
      <w:bodyDiv w:val="1"/>
      <w:marLeft w:val="0"/>
      <w:marRight w:val="0"/>
      <w:marTop w:val="0"/>
      <w:marBottom w:val="0"/>
      <w:divBdr>
        <w:top w:val="none" w:sz="0" w:space="0" w:color="auto"/>
        <w:left w:val="none" w:sz="0" w:space="0" w:color="auto"/>
        <w:bottom w:val="none" w:sz="0" w:space="0" w:color="auto"/>
        <w:right w:val="none" w:sz="0" w:space="0" w:color="auto"/>
      </w:divBdr>
    </w:div>
    <w:div w:id="1904021830">
      <w:bodyDiv w:val="1"/>
      <w:marLeft w:val="0"/>
      <w:marRight w:val="0"/>
      <w:marTop w:val="0"/>
      <w:marBottom w:val="0"/>
      <w:divBdr>
        <w:top w:val="none" w:sz="0" w:space="0" w:color="auto"/>
        <w:left w:val="none" w:sz="0" w:space="0" w:color="auto"/>
        <w:bottom w:val="none" w:sz="0" w:space="0" w:color="auto"/>
        <w:right w:val="none" w:sz="0" w:space="0" w:color="auto"/>
      </w:divBdr>
    </w:div>
    <w:div w:id="1906917074">
      <w:bodyDiv w:val="1"/>
      <w:marLeft w:val="0"/>
      <w:marRight w:val="0"/>
      <w:marTop w:val="0"/>
      <w:marBottom w:val="0"/>
      <w:divBdr>
        <w:top w:val="none" w:sz="0" w:space="0" w:color="auto"/>
        <w:left w:val="none" w:sz="0" w:space="0" w:color="auto"/>
        <w:bottom w:val="none" w:sz="0" w:space="0" w:color="auto"/>
        <w:right w:val="none" w:sz="0" w:space="0" w:color="auto"/>
      </w:divBdr>
    </w:div>
    <w:div w:id="1907102432">
      <w:bodyDiv w:val="1"/>
      <w:marLeft w:val="0"/>
      <w:marRight w:val="0"/>
      <w:marTop w:val="0"/>
      <w:marBottom w:val="0"/>
      <w:divBdr>
        <w:top w:val="none" w:sz="0" w:space="0" w:color="auto"/>
        <w:left w:val="none" w:sz="0" w:space="0" w:color="auto"/>
        <w:bottom w:val="none" w:sz="0" w:space="0" w:color="auto"/>
        <w:right w:val="none" w:sz="0" w:space="0" w:color="auto"/>
      </w:divBdr>
    </w:div>
    <w:div w:id="1907298238">
      <w:bodyDiv w:val="1"/>
      <w:marLeft w:val="0"/>
      <w:marRight w:val="0"/>
      <w:marTop w:val="0"/>
      <w:marBottom w:val="0"/>
      <w:divBdr>
        <w:top w:val="none" w:sz="0" w:space="0" w:color="auto"/>
        <w:left w:val="none" w:sz="0" w:space="0" w:color="auto"/>
        <w:bottom w:val="none" w:sz="0" w:space="0" w:color="auto"/>
        <w:right w:val="none" w:sz="0" w:space="0" w:color="auto"/>
      </w:divBdr>
    </w:div>
    <w:div w:id="1907913828">
      <w:bodyDiv w:val="1"/>
      <w:marLeft w:val="0"/>
      <w:marRight w:val="0"/>
      <w:marTop w:val="0"/>
      <w:marBottom w:val="0"/>
      <w:divBdr>
        <w:top w:val="none" w:sz="0" w:space="0" w:color="auto"/>
        <w:left w:val="none" w:sz="0" w:space="0" w:color="auto"/>
        <w:bottom w:val="none" w:sz="0" w:space="0" w:color="auto"/>
        <w:right w:val="none" w:sz="0" w:space="0" w:color="auto"/>
      </w:divBdr>
    </w:div>
    <w:div w:id="1909535435">
      <w:bodyDiv w:val="1"/>
      <w:marLeft w:val="0"/>
      <w:marRight w:val="0"/>
      <w:marTop w:val="0"/>
      <w:marBottom w:val="0"/>
      <w:divBdr>
        <w:top w:val="none" w:sz="0" w:space="0" w:color="auto"/>
        <w:left w:val="none" w:sz="0" w:space="0" w:color="auto"/>
        <w:bottom w:val="none" w:sz="0" w:space="0" w:color="auto"/>
        <w:right w:val="none" w:sz="0" w:space="0" w:color="auto"/>
      </w:divBdr>
    </w:div>
    <w:div w:id="1911230503">
      <w:bodyDiv w:val="1"/>
      <w:marLeft w:val="0"/>
      <w:marRight w:val="0"/>
      <w:marTop w:val="0"/>
      <w:marBottom w:val="0"/>
      <w:divBdr>
        <w:top w:val="none" w:sz="0" w:space="0" w:color="auto"/>
        <w:left w:val="none" w:sz="0" w:space="0" w:color="auto"/>
        <w:bottom w:val="none" w:sz="0" w:space="0" w:color="auto"/>
        <w:right w:val="none" w:sz="0" w:space="0" w:color="auto"/>
      </w:divBdr>
    </w:div>
    <w:div w:id="1912233721">
      <w:bodyDiv w:val="1"/>
      <w:marLeft w:val="0"/>
      <w:marRight w:val="0"/>
      <w:marTop w:val="0"/>
      <w:marBottom w:val="0"/>
      <w:divBdr>
        <w:top w:val="none" w:sz="0" w:space="0" w:color="auto"/>
        <w:left w:val="none" w:sz="0" w:space="0" w:color="auto"/>
        <w:bottom w:val="none" w:sz="0" w:space="0" w:color="auto"/>
        <w:right w:val="none" w:sz="0" w:space="0" w:color="auto"/>
      </w:divBdr>
    </w:div>
    <w:div w:id="1912275188">
      <w:bodyDiv w:val="1"/>
      <w:marLeft w:val="0"/>
      <w:marRight w:val="0"/>
      <w:marTop w:val="0"/>
      <w:marBottom w:val="0"/>
      <w:divBdr>
        <w:top w:val="none" w:sz="0" w:space="0" w:color="auto"/>
        <w:left w:val="none" w:sz="0" w:space="0" w:color="auto"/>
        <w:bottom w:val="none" w:sz="0" w:space="0" w:color="auto"/>
        <w:right w:val="none" w:sz="0" w:space="0" w:color="auto"/>
      </w:divBdr>
    </w:div>
    <w:div w:id="1912347148">
      <w:bodyDiv w:val="1"/>
      <w:marLeft w:val="0"/>
      <w:marRight w:val="0"/>
      <w:marTop w:val="0"/>
      <w:marBottom w:val="0"/>
      <w:divBdr>
        <w:top w:val="none" w:sz="0" w:space="0" w:color="auto"/>
        <w:left w:val="none" w:sz="0" w:space="0" w:color="auto"/>
        <w:bottom w:val="none" w:sz="0" w:space="0" w:color="auto"/>
        <w:right w:val="none" w:sz="0" w:space="0" w:color="auto"/>
      </w:divBdr>
    </w:div>
    <w:div w:id="1913659502">
      <w:bodyDiv w:val="1"/>
      <w:marLeft w:val="0"/>
      <w:marRight w:val="0"/>
      <w:marTop w:val="0"/>
      <w:marBottom w:val="0"/>
      <w:divBdr>
        <w:top w:val="none" w:sz="0" w:space="0" w:color="auto"/>
        <w:left w:val="none" w:sz="0" w:space="0" w:color="auto"/>
        <w:bottom w:val="none" w:sz="0" w:space="0" w:color="auto"/>
        <w:right w:val="none" w:sz="0" w:space="0" w:color="auto"/>
      </w:divBdr>
    </w:div>
    <w:div w:id="1915384650">
      <w:bodyDiv w:val="1"/>
      <w:marLeft w:val="0"/>
      <w:marRight w:val="0"/>
      <w:marTop w:val="0"/>
      <w:marBottom w:val="0"/>
      <w:divBdr>
        <w:top w:val="none" w:sz="0" w:space="0" w:color="auto"/>
        <w:left w:val="none" w:sz="0" w:space="0" w:color="auto"/>
        <w:bottom w:val="none" w:sz="0" w:space="0" w:color="auto"/>
        <w:right w:val="none" w:sz="0" w:space="0" w:color="auto"/>
      </w:divBdr>
    </w:div>
    <w:div w:id="1915583414">
      <w:bodyDiv w:val="1"/>
      <w:marLeft w:val="0"/>
      <w:marRight w:val="0"/>
      <w:marTop w:val="0"/>
      <w:marBottom w:val="0"/>
      <w:divBdr>
        <w:top w:val="none" w:sz="0" w:space="0" w:color="auto"/>
        <w:left w:val="none" w:sz="0" w:space="0" w:color="auto"/>
        <w:bottom w:val="none" w:sz="0" w:space="0" w:color="auto"/>
        <w:right w:val="none" w:sz="0" w:space="0" w:color="auto"/>
      </w:divBdr>
    </w:div>
    <w:div w:id="1917014967">
      <w:bodyDiv w:val="1"/>
      <w:marLeft w:val="0"/>
      <w:marRight w:val="0"/>
      <w:marTop w:val="0"/>
      <w:marBottom w:val="0"/>
      <w:divBdr>
        <w:top w:val="none" w:sz="0" w:space="0" w:color="auto"/>
        <w:left w:val="none" w:sz="0" w:space="0" w:color="auto"/>
        <w:bottom w:val="none" w:sz="0" w:space="0" w:color="auto"/>
        <w:right w:val="none" w:sz="0" w:space="0" w:color="auto"/>
      </w:divBdr>
    </w:div>
    <w:div w:id="1918056404">
      <w:bodyDiv w:val="1"/>
      <w:marLeft w:val="0"/>
      <w:marRight w:val="0"/>
      <w:marTop w:val="0"/>
      <w:marBottom w:val="0"/>
      <w:divBdr>
        <w:top w:val="none" w:sz="0" w:space="0" w:color="auto"/>
        <w:left w:val="none" w:sz="0" w:space="0" w:color="auto"/>
        <w:bottom w:val="none" w:sz="0" w:space="0" w:color="auto"/>
        <w:right w:val="none" w:sz="0" w:space="0" w:color="auto"/>
      </w:divBdr>
    </w:div>
    <w:div w:id="1918443034">
      <w:bodyDiv w:val="1"/>
      <w:marLeft w:val="0"/>
      <w:marRight w:val="0"/>
      <w:marTop w:val="0"/>
      <w:marBottom w:val="0"/>
      <w:divBdr>
        <w:top w:val="none" w:sz="0" w:space="0" w:color="auto"/>
        <w:left w:val="none" w:sz="0" w:space="0" w:color="auto"/>
        <w:bottom w:val="none" w:sz="0" w:space="0" w:color="auto"/>
        <w:right w:val="none" w:sz="0" w:space="0" w:color="auto"/>
      </w:divBdr>
    </w:div>
    <w:div w:id="1918830435">
      <w:bodyDiv w:val="1"/>
      <w:marLeft w:val="0"/>
      <w:marRight w:val="0"/>
      <w:marTop w:val="0"/>
      <w:marBottom w:val="0"/>
      <w:divBdr>
        <w:top w:val="none" w:sz="0" w:space="0" w:color="auto"/>
        <w:left w:val="none" w:sz="0" w:space="0" w:color="auto"/>
        <w:bottom w:val="none" w:sz="0" w:space="0" w:color="auto"/>
        <w:right w:val="none" w:sz="0" w:space="0" w:color="auto"/>
      </w:divBdr>
    </w:div>
    <w:div w:id="1920212371">
      <w:bodyDiv w:val="1"/>
      <w:marLeft w:val="0"/>
      <w:marRight w:val="0"/>
      <w:marTop w:val="0"/>
      <w:marBottom w:val="0"/>
      <w:divBdr>
        <w:top w:val="none" w:sz="0" w:space="0" w:color="auto"/>
        <w:left w:val="none" w:sz="0" w:space="0" w:color="auto"/>
        <w:bottom w:val="none" w:sz="0" w:space="0" w:color="auto"/>
        <w:right w:val="none" w:sz="0" w:space="0" w:color="auto"/>
      </w:divBdr>
    </w:div>
    <w:div w:id="1920554311">
      <w:bodyDiv w:val="1"/>
      <w:marLeft w:val="0"/>
      <w:marRight w:val="0"/>
      <w:marTop w:val="0"/>
      <w:marBottom w:val="0"/>
      <w:divBdr>
        <w:top w:val="none" w:sz="0" w:space="0" w:color="auto"/>
        <w:left w:val="none" w:sz="0" w:space="0" w:color="auto"/>
        <w:bottom w:val="none" w:sz="0" w:space="0" w:color="auto"/>
        <w:right w:val="none" w:sz="0" w:space="0" w:color="auto"/>
      </w:divBdr>
    </w:div>
    <w:div w:id="1921215307">
      <w:bodyDiv w:val="1"/>
      <w:marLeft w:val="0"/>
      <w:marRight w:val="0"/>
      <w:marTop w:val="0"/>
      <w:marBottom w:val="0"/>
      <w:divBdr>
        <w:top w:val="none" w:sz="0" w:space="0" w:color="auto"/>
        <w:left w:val="none" w:sz="0" w:space="0" w:color="auto"/>
        <w:bottom w:val="none" w:sz="0" w:space="0" w:color="auto"/>
        <w:right w:val="none" w:sz="0" w:space="0" w:color="auto"/>
      </w:divBdr>
    </w:div>
    <w:div w:id="1923635979">
      <w:bodyDiv w:val="1"/>
      <w:marLeft w:val="0"/>
      <w:marRight w:val="0"/>
      <w:marTop w:val="0"/>
      <w:marBottom w:val="0"/>
      <w:divBdr>
        <w:top w:val="none" w:sz="0" w:space="0" w:color="auto"/>
        <w:left w:val="none" w:sz="0" w:space="0" w:color="auto"/>
        <w:bottom w:val="none" w:sz="0" w:space="0" w:color="auto"/>
        <w:right w:val="none" w:sz="0" w:space="0" w:color="auto"/>
      </w:divBdr>
    </w:div>
    <w:div w:id="1927376742">
      <w:bodyDiv w:val="1"/>
      <w:marLeft w:val="0"/>
      <w:marRight w:val="0"/>
      <w:marTop w:val="0"/>
      <w:marBottom w:val="0"/>
      <w:divBdr>
        <w:top w:val="none" w:sz="0" w:space="0" w:color="auto"/>
        <w:left w:val="none" w:sz="0" w:space="0" w:color="auto"/>
        <w:bottom w:val="none" w:sz="0" w:space="0" w:color="auto"/>
        <w:right w:val="none" w:sz="0" w:space="0" w:color="auto"/>
      </w:divBdr>
    </w:div>
    <w:div w:id="1927759388">
      <w:bodyDiv w:val="1"/>
      <w:marLeft w:val="0"/>
      <w:marRight w:val="0"/>
      <w:marTop w:val="0"/>
      <w:marBottom w:val="0"/>
      <w:divBdr>
        <w:top w:val="none" w:sz="0" w:space="0" w:color="auto"/>
        <w:left w:val="none" w:sz="0" w:space="0" w:color="auto"/>
        <w:bottom w:val="none" w:sz="0" w:space="0" w:color="auto"/>
        <w:right w:val="none" w:sz="0" w:space="0" w:color="auto"/>
      </w:divBdr>
    </w:div>
    <w:div w:id="1927835261">
      <w:bodyDiv w:val="1"/>
      <w:marLeft w:val="0"/>
      <w:marRight w:val="0"/>
      <w:marTop w:val="0"/>
      <w:marBottom w:val="0"/>
      <w:divBdr>
        <w:top w:val="none" w:sz="0" w:space="0" w:color="auto"/>
        <w:left w:val="none" w:sz="0" w:space="0" w:color="auto"/>
        <w:bottom w:val="none" w:sz="0" w:space="0" w:color="auto"/>
        <w:right w:val="none" w:sz="0" w:space="0" w:color="auto"/>
      </w:divBdr>
    </w:div>
    <w:div w:id="1929145576">
      <w:bodyDiv w:val="1"/>
      <w:marLeft w:val="0"/>
      <w:marRight w:val="0"/>
      <w:marTop w:val="0"/>
      <w:marBottom w:val="0"/>
      <w:divBdr>
        <w:top w:val="none" w:sz="0" w:space="0" w:color="auto"/>
        <w:left w:val="none" w:sz="0" w:space="0" w:color="auto"/>
        <w:bottom w:val="none" w:sz="0" w:space="0" w:color="auto"/>
        <w:right w:val="none" w:sz="0" w:space="0" w:color="auto"/>
      </w:divBdr>
    </w:div>
    <w:div w:id="1929389930">
      <w:bodyDiv w:val="1"/>
      <w:marLeft w:val="0"/>
      <w:marRight w:val="0"/>
      <w:marTop w:val="0"/>
      <w:marBottom w:val="0"/>
      <w:divBdr>
        <w:top w:val="none" w:sz="0" w:space="0" w:color="auto"/>
        <w:left w:val="none" w:sz="0" w:space="0" w:color="auto"/>
        <w:bottom w:val="none" w:sz="0" w:space="0" w:color="auto"/>
        <w:right w:val="none" w:sz="0" w:space="0" w:color="auto"/>
      </w:divBdr>
    </w:div>
    <w:div w:id="1929656668">
      <w:bodyDiv w:val="1"/>
      <w:marLeft w:val="0"/>
      <w:marRight w:val="0"/>
      <w:marTop w:val="0"/>
      <w:marBottom w:val="0"/>
      <w:divBdr>
        <w:top w:val="none" w:sz="0" w:space="0" w:color="auto"/>
        <w:left w:val="none" w:sz="0" w:space="0" w:color="auto"/>
        <w:bottom w:val="none" w:sz="0" w:space="0" w:color="auto"/>
        <w:right w:val="none" w:sz="0" w:space="0" w:color="auto"/>
      </w:divBdr>
    </w:div>
    <w:div w:id="1931962584">
      <w:bodyDiv w:val="1"/>
      <w:marLeft w:val="0"/>
      <w:marRight w:val="0"/>
      <w:marTop w:val="0"/>
      <w:marBottom w:val="0"/>
      <w:divBdr>
        <w:top w:val="none" w:sz="0" w:space="0" w:color="auto"/>
        <w:left w:val="none" w:sz="0" w:space="0" w:color="auto"/>
        <w:bottom w:val="none" w:sz="0" w:space="0" w:color="auto"/>
        <w:right w:val="none" w:sz="0" w:space="0" w:color="auto"/>
      </w:divBdr>
    </w:div>
    <w:div w:id="1932158705">
      <w:bodyDiv w:val="1"/>
      <w:marLeft w:val="0"/>
      <w:marRight w:val="0"/>
      <w:marTop w:val="0"/>
      <w:marBottom w:val="0"/>
      <w:divBdr>
        <w:top w:val="none" w:sz="0" w:space="0" w:color="auto"/>
        <w:left w:val="none" w:sz="0" w:space="0" w:color="auto"/>
        <w:bottom w:val="none" w:sz="0" w:space="0" w:color="auto"/>
        <w:right w:val="none" w:sz="0" w:space="0" w:color="auto"/>
      </w:divBdr>
    </w:div>
    <w:div w:id="1933049929">
      <w:bodyDiv w:val="1"/>
      <w:marLeft w:val="0"/>
      <w:marRight w:val="0"/>
      <w:marTop w:val="0"/>
      <w:marBottom w:val="0"/>
      <w:divBdr>
        <w:top w:val="none" w:sz="0" w:space="0" w:color="auto"/>
        <w:left w:val="none" w:sz="0" w:space="0" w:color="auto"/>
        <w:bottom w:val="none" w:sz="0" w:space="0" w:color="auto"/>
        <w:right w:val="none" w:sz="0" w:space="0" w:color="auto"/>
      </w:divBdr>
    </w:div>
    <w:div w:id="1935548888">
      <w:bodyDiv w:val="1"/>
      <w:marLeft w:val="0"/>
      <w:marRight w:val="0"/>
      <w:marTop w:val="0"/>
      <w:marBottom w:val="0"/>
      <w:divBdr>
        <w:top w:val="none" w:sz="0" w:space="0" w:color="auto"/>
        <w:left w:val="none" w:sz="0" w:space="0" w:color="auto"/>
        <w:bottom w:val="none" w:sz="0" w:space="0" w:color="auto"/>
        <w:right w:val="none" w:sz="0" w:space="0" w:color="auto"/>
      </w:divBdr>
    </w:div>
    <w:div w:id="1935743602">
      <w:bodyDiv w:val="1"/>
      <w:marLeft w:val="0"/>
      <w:marRight w:val="0"/>
      <w:marTop w:val="0"/>
      <w:marBottom w:val="0"/>
      <w:divBdr>
        <w:top w:val="none" w:sz="0" w:space="0" w:color="auto"/>
        <w:left w:val="none" w:sz="0" w:space="0" w:color="auto"/>
        <w:bottom w:val="none" w:sz="0" w:space="0" w:color="auto"/>
        <w:right w:val="none" w:sz="0" w:space="0" w:color="auto"/>
      </w:divBdr>
    </w:div>
    <w:div w:id="1937711117">
      <w:bodyDiv w:val="1"/>
      <w:marLeft w:val="0"/>
      <w:marRight w:val="0"/>
      <w:marTop w:val="0"/>
      <w:marBottom w:val="0"/>
      <w:divBdr>
        <w:top w:val="none" w:sz="0" w:space="0" w:color="auto"/>
        <w:left w:val="none" w:sz="0" w:space="0" w:color="auto"/>
        <w:bottom w:val="none" w:sz="0" w:space="0" w:color="auto"/>
        <w:right w:val="none" w:sz="0" w:space="0" w:color="auto"/>
      </w:divBdr>
    </w:div>
    <w:div w:id="1938051220">
      <w:bodyDiv w:val="1"/>
      <w:marLeft w:val="0"/>
      <w:marRight w:val="0"/>
      <w:marTop w:val="0"/>
      <w:marBottom w:val="0"/>
      <w:divBdr>
        <w:top w:val="none" w:sz="0" w:space="0" w:color="auto"/>
        <w:left w:val="none" w:sz="0" w:space="0" w:color="auto"/>
        <w:bottom w:val="none" w:sz="0" w:space="0" w:color="auto"/>
        <w:right w:val="none" w:sz="0" w:space="0" w:color="auto"/>
      </w:divBdr>
    </w:div>
    <w:div w:id="1941328218">
      <w:bodyDiv w:val="1"/>
      <w:marLeft w:val="0"/>
      <w:marRight w:val="0"/>
      <w:marTop w:val="0"/>
      <w:marBottom w:val="0"/>
      <w:divBdr>
        <w:top w:val="none" w:sz="0" w:space="0" w:color="auto"/>
        <w:left w:val="none" w:sz="0" w:space="0" w:color="auto"/>
        <w:bottom w:val="none" w:sz="0" w:space="0" w:color="auto"/>
        <w:right w:val="none" w:sz="0" w:space="0" w:color="auto"/>
      </w:divBdr>
    </w:div>
    <w:div w:id="1943028101">
      <w:bodyDiv w:val="1"/>
      <w:marLeft w:val="0"/>
      <w:marRight w:val="0"/>
      <w:marTop w:val="0"/>
      <w:marBottom w:val="0"/>
      <w:divBdr>
        <w:top w:val="none" w:sz="0" w:space="0" w:color="auto"/>
        <w:left w:val="none" w:sz="0" w:space="0" w:color="auto"/>
        <w:bottom w:val="none" w:sz="0" w:space="0" w:color="auto"/>
        <w:right w:val="none" w:sz="0" w:space="0" w:color="auto"/>
      </w:divBdr>
    </w:div>
    <w:div w:id="1943806161">
      <w:bodyDiv w:val="1"/>
      <w:marLeft w:val="0"/>
      <w:marRight w:val="0"/>
      <w:marTop w:val="0"/>
      <w:marBottom w:val="0"/>
      <w:divBdr>
        <w:top w:val="none" w:sz="0" w:space="0" w:color="auto"/>
        <w:left w:val="none" w:sz="0" w:space="0" w:color="auto"/>
        <w:bottom w:val="none" w:sz="0" w:space="0" w:color="auto"/>
        <w:right w:val="none" w:sz="0" w:space="0" w:color="auto"/>
      </w:divBdr>
    </w:div>
    <w:div w:id="1946376765">
      <w:bodyDiv w:val="1"/>
      <w:marLeft w:val="0"/>
      <w:marRight w:val="0"/>
      <w:marTop w:val="0"/>
      <w:marBottom w:val="0"/>
      <w:divBdr>
        <w:top w:val="none" w:sz="0" w:space="0" w:color="auto"/>
        <w:left w:val="none" w:sz="0" w:space="0" w:color="auto"/>
        <w:bottom w:val="none" w:sz="0" w:space="0" w:color="auto"/>
        <w:right w:val="none" w:sz="0" w:space="0" w:color="auto"/>
      </w:divBdr>
    </w:div>
    <w:div w:id="1946421640">
      <w:bodyDiv w:val="1"/>
      <w:marLeft w:val="0"/>
      <w:marRight w:val="0"/>
      <w:marTop w:val="0"/>
      <w:marBottom w:val="0"/>
      <w:divBdr>
        <w:top w:val="none" w:sz="0" w:space="0" w:color="auto"/>
        <w:left w:val="none" w:sz="0" w:space="0" w:color="auto"/>
        <w:bottom w:val="none" w:sz="0" w:space="0" w:color="auto"/>
        <w:right w:val="none" w:sz="0" w:space="0" w:color="auto"/>
      </w:divBdr>
    </w:div>
    <w:div w:id="1946495270">
      <w:bodyDiv w:val="1"/>
      <w:marLeft w:val="0"/>
      <w:marRight w:val="0"/>
      <w:marTop w:val="0"/>
      <w:marBottom w:val="0"/>
      <w:divBdr>
        <w:top w:val="none" w:sz="0" w:space="0" w:color="auto"/>
        <w:left w:val="none" w:sz="0" w:space="0" w:color="auto"/>
        <w:bottom w:val="none" w:sz="0" w:space="0" w:color="auto"/>
        <w:right w:val="none" w:sz="0" w:space="0" w:color="auto"/>
      </w:divBdr>
    </w:div>
    <w:div w:id="1951819640">
      <w:bodyDiv w:val="1"/>
      <w:marLeft w:val="0"/>
      <w:marRight w:val="0"/>
      <w:marTop w:val="0"/>
      <w:marBottom w:val="0"/>
      <w:divBdr>
        <w:top w:val="none" w:sz="0" w:space="0" w:color="auto"/>
        <w:left w:val="none" w:sz="0" w:space="0" w:color="auto"/>
        <w:bottom w:val="none" w:sz="0" w:space="0" w:color="auto"/>
        <w:right w:val="none" w:sz="0" w:space="0" w:color="auto"/>
      </w:divBdr>
    </w:div>
    <w:div w:id="1954089710">
      <w:bodyDiv w:val="1"/>
      <w:marLeft w:val="0"/>
      <w:marRight w:val="0"/>
      <w:marTop w:val="0"/>
      <w:marBottom w:val="0"/>
      <w:divBdr>
        <w:top w:val="none" w:sz="0" w:space="0" w:color="auto"/>
        <w:left w:val="none" w:sz="0" w:space="0" w:color="auto"/>
        <w:bottom w:val="none" w:sz="0" w:space="0" w:color="auto"/>
        <w:right w:val="none" w:sz="0" w:space="0" w:color="auto"/>
      </w:divBdr>
    </w:div>
    <w:div w:id="1954633639">
      <w:bodyDiv w:val="1"/>
      <w:marLeft w:val="0"/>
      <w:marRight w:val="0"/>
      <w:marTop w:val="0"/>
      <w:marBottom w:val="0"/>
      <w:divBdr>
        <w:top w:val="none" w:sz="0" w:space="0" w:color="auto"/>
        <w:left w:val="none" w:sz="0" w:space="0" w:color="auto"/>
        <w:bottom w:val="none" w:sz="0" w:space="0" w:color="auto"/>
        <w:right w:val="none" w:sz="0" w:space="0" w:color="auto"/>
      </w:divBdr>
    </w:div>
    <w:div w:id="1955673131">
      <w:bodyDiv w:val="1"/>
      <w:marLeft w:val="0"/>
      <w:marRight w:val="0"/>
      <w:marTop w:val="0"/>
      <w:marBottom w:val="0"/>
      <w:divBdr>
        <w:top w:val="none" w:sz="0" w:space="0" w:color="auto"/>
        <w:left w:val="none" w:sz="0" w:space="0" w:color="auto"/>
        <w:bottom w:val="none" w:sz="0" w:space="0" w:color="auto"/>
        <w:right w:val="none" w:sz="0" w:space="0" w:color="auto"/>
      </w:divBdr>
    </w:div>
    <w:div w:id="1956403388">
      <w:bodyDiv w:val="1"/>
      <w:marLeft w:val="0"/>
      <w:marRight w:val="0"/>
      <w:marTop w:val="0"/>
      <w:marBottom w:val="0"/>
      <w:divBdr>
        <w:top w:val="none" w:sz="0" w:space="0" w:color="auto"/>
        <w:left w:val="none" w:sz="0" w:space="0" w:color="auto"/>
        <w:bottom w:val="none" w:sz="0" w:space="0" w:color="auto"/>
        <w:right w:val="none" w:sz="0" w:space="0" w:color="auto"/>
      </w:divBdr>
    </w:div>
    <w:div w:id="1957053217">
      <w:bodyDiv w:val="1"/>
      <w:marLeft w:val="0"/>
      <w:marRight w:val="0"/>
      <w:marTop w:val="0"/>
      <w:marBottom w:val="0"/>
      <w:divBdr>
        <w:top w:val="none" w:sz="0" w:space="0" w:color="auto"/>
        <w:left w:val="none" w:sz="0" w:space="0" w:color="auto"/>
        <w:bottom w:val="none" w:sz="0" w:space="0" w:color="auto"/>
        <w:right w:val="none" w:sz="0" w:space="0" w:color="auto"/>
      </w:divBdr>
    </w:div>
    <w:div w:id="1957104034">
      <w:bodyDiv w:val="1"/>
      <w:marLeft w:val="0"/>
      <w:marRight w:val="0"/>
      <w:marTop w:val="0"/>
      <w:marBottom w:val="0"/>
      <w:divBdr>
        <w:top w:val="none" w:sz="0" w:space="0" w:color="auto"/>
        <w:left w:val="none" w:sz="0" w:space="0" w:color="auto"/>
        <w:bottom w:val="none" w:sz="0" w:space="0" w:color="auto"/>
        <w:right w:val="none" w:sz="0" w:space="0" w:color="auto"/>
      </w:divBdr>
    </w:div>
    <w:div w:id="1958944523">
      <w:bodyDiv w:val="1"/>
      <w:marLeft w:val="0"/>
      <w:marRight w:val="0"/>
      <w:marTop w:val="0"/>
      <w:marBottom w:val="0"/>
      <w:divBdr>
        <w:top w:val="none" w:sz="0" w:space="0" w:color="auto"/>
        <w:left w:val="none" w:sz="0" w:space="0" w:color="auto"/>
        <w:bottom w:val="none" w:sz="0" w:space="0" w:color="auto"/>
        <w:right w:val="none" w:sz="0" w:space="0" w:color="auto"/>
      </w:divBdr>
    </w:div>
    <w:div w:id="1959603919">
      <w:bodyDiv w:val="1"/>
      <w:marLeft w:val="0"/>
      <w:marRight w:val="0"/>
      <w:marTop w:val="0"/>
      <w:marBottom w:val="0"/>
      <w:divBdr>
        <w:top w:val="none" w:sz="0" w:space="0" w:color="auto"/>
        <w:left w:val="none" w:sz="0" w:space="0" w:color="auto"/>
        <w:bottom w:val="none" w:sz="0" w:space="0" w:color="auto"/>
        <w:right w:val="none" w:sz="0" w:space="0" w:color="auto"/>
      </w:divBdr>
    </w:div>
    <w:div w:id="1960717462">
      <w:bodyDiv w:val="1"/>
      <w:marLeft w:val="0"/>
      <w:marRight w:val="0"/>
      <w:marTop w:val="0"/>
      <w:marBottom w:val="0"/>
      <w:divBdr>
        <w:top w:val="none" w:sz="0" w:space="0" w:color="auto"/>
        <w:left w:val="none" w:sz="0" w:space="0" w:color="auto"/>
        <w:bottom w:val="none" w:sz="0" w:space="0" w:color="auto"/>
        <w:right w:val="none" w:sz="0" w:space="0" w:color="auto"/>
      </w:divBdr>
    </w:div>
    <w:div w:id="1962835376">
      <w:bodyDiv w:val="1"/>
      <w:marLeft w:val="0"/>
      <w:marRight w:val="0"/>
      <w:marTop w:val="0"/>
      <w:marBottom w:val="0"/>
      <w:divBdr>
        <w:top w:val="none" w:sz="0" w:space="0" w:color="auto"/>
        <w:left w:val="none" w:sz="0" w:space="0" w:color="auto"/>
        <w:bottom w:val="none" w:sz="0" w:space="0" w:color="auto"/>
        <w:right w:val="none" w:sz="0" w:space="0" w:color="auto"/>
      </w:divBdr>
    </w:div>
    <w:div w:id="1964575703">
      <w:bodyDiv w:val="1"/>
      <w:marLeft w:val="0"/>
      <w:marRight w:val="0"/>
      <w:marTop w:val="0"/>
      <w:marBottom w:val="0"/>
      <w:divBdr>
        <w:top w:val="none" w:sz="0" w:space="0" w:color="auto"/>
        <w:left w:val="none" w:sz="0" w:space="0" w:color="auto"/>
        <w:bottom w:val="none" w:sz="0" w:space="0" w:color="auto"/>
        <w:right w:val="none" w:sz="0" w:space="0" w:color="auto"/>
      </w:divBdr>
    </w:div>
    <w:div w:id="1966038582">
      <w:bodyDiv w:val="1"/>
      <w:marLeft w:val="0"/>
      <w:marRight w:val="0"/>
      <w:marTop w:val="0"/>
      <w:marBottom w:val="0"/>
      <w:divBdr>
        <w:top w:val="none" w:sz="0" w:space="0" w:color="auto"/>
        <w:left w:val="none" w:sz="0" w:space="0" w:color="auto"/>
        <w:bottom w:val="none" w:sz="0" w:space="0" w:color="auto"/>
        <w:right w:val="none" w:sz="0" w:space="0" w:color="auto"/>
      </w:divBdr>
    </w:div>
    <w:div w:id="1966541628">
      <w:bodyDiv w:val="1"/>
      <w:marLeft w:val="0"/>
      <w:marRight w:val="0"/>
      <w:marTop w:val="0"/>
      <w:marBottom w:val="0"/>
      <w:divBdr>
        <w:top w:val="none" w:sz="0" w:space="0" w:color="auto"/>
        <w:left w:val="none" w:sz="0" w:space="0" w:color="auto"/>
        <w:bottom w:val="none" w:sz="0" w:space="0" w:color="auto"/>
        <w:right w:val="none" w:sz="0" w:space="0" w:color="auto"/>
      </w:divBdr>
    </w:div>
    <w:div w:id="1966697969">
      <w:bodyDiv w:val="1"/>
      <w:marLeft w:val="0"/>
      <w:marRight w:val="0"/>
      <w:marTop w:val="0"/>
      <w:marBottom w:val="0"/>
      <w:divBdr>
        <w:top w:val="none" w:sz="0" w:space="0" w:color="auto"/>
        <w:left w:val="none" w:sz="0" w:space="0" w:color="auto"/>
        <w:bottom w:val="none" w:sz="0" w:space="0" w:color="auto"/>
        <w:right w:val="none" w:sz="0" w:space="0" w:color="auto"/>
      </w:divBdr>
    </w:div>
    <w:div w:id="1967664519">
      <w:bodyDiv w:val="1"/>
      <w:marLeft w:val="0"/>
      <w:marRight w:val="0"/>
      <w:marTop w:val="0"/>
      <w:marBottom w:val="0"/>
      <w:divBdr>
        <w:top w:val="none" w:sz="0" w:space="0" w:color="auto"/>
        <w:left w:val="none" w:sz="0" w:space="0" w:color="auto"/>
        <w:bottom w:val="none" w:sz="0" w:space="0" w:color="auto"/>
        <w:right w:val="none" w:sz="0" w:space="0" w:color="auto"/>
      </w:divBdr>
    </w:div>
    <w:div w:id="1968469979">
      <w:bodyDiv w:val="1"/>
      <w:marLeft w:val="0"/>
      <w:marRight w:val="0"/>
      <w:marTop w:val="0"/>
      <w:marBottom w:val="0"/>
      <w:divBdr>
        <w:top w:val="none" w:sz="0" w:space="0" w:color="auto"/>
        <w:left w:val="none" w:sz="0" w:space="0" w:color="auto"/>
        <w:bottom w:val="none" w:sz="0" w:space="0" w:color="auto"/>
        <w:right w:val="none" w:sz="0" w:space="0" w:color="auto"/>
      </w:divBdr>
    </w:div>
    <w:div w:id="1968970870">
      <w:bodyDiv w:val="1"/>
      <w:marLeft w:val="0"/>
      <w:marRight w:val="0"/>
      <w:marTop w:val="0"/>
      <w:marBottom w:val="0"/>
      <w:divBdr>
        <w:top w:val="none" w:sz="0" w:space="0" w:color="auto"/>
        <w:left w:val="none" w:sz="0" w:space="0" w:color="auto"/>
        <w:bottom w:val="none" w:sz="0" w:space="0" w:color="auto"/>
        <w:right w:val="none" w:sz="0" w:space="0" w:color="auto"/>
      </w:divBdr>
    </w:div>
    <w:div w:id="1969435043">
      <w:bodyDiv w:val="1"/>
      <w:marLeft w:val="0"/>
      <w:marRight w:val="0"/>
      <w:marTop w:val="0"/>
      <w:marBottom w:val="0"/>
      <w:divBdr>
        <w:top w:val="none" w:sz="0" w:space="0" w:color="auto"/>
        <w:left w:val="none" w:sz="0" w:space="0" w:color="auto"/>
        <w:bottom w:val="none" w:sz="0" w:space="0" w:color="auto"/>
        <w:right w:val="none" w:sz="0" w:space="0" w:color="auto"/>
      </w:divBdr>
    </w:div>
    <w:div w:id="1969554956">
      <w:bodyDiv w:val="1"/>
      <w:marLeft w:val="0"/>
      <w:marRight w:val="0"/>
      <w:marTop w:val="0"/>
      <w:marBottom w:val="0"/>
      <w:divBdr>
        <w:top w:val="none" w:sz="0" w:space="0" w:color="auto"/>
        <w:left w:val="none" w:sz="0" w:space="0" w:color="auto"/>
        <w:bottom w:val="none" w:sz="0" w:space="0" w:color="auto"/>
        <w:right w:val="none" w:sz="0" w:space="0" w:color="auto"/>
      </w:divBdr>
    </w:div>
    <w:div w:id="1970085309">
      <w:bodyDiv w:val="1"/>
      <w:marLeft w:val="0"/>
      <w:marRight w:val="0"/>
      <w:marTop w:val="0"/>
      <w:marBottom w:val="0"/>
      <w:divBdr>
        <w:top w:val="none" w:sz="0" w:space="0" w:color="auto"/>
        <w:left w:val="none" w:sz="0" w:space="0" w:color="auto"/>
        <w:bottom w:val="none" w:sz="0" w:space="0" w:color="auto"/>
        <w:right w:val="none" w:sz="0" w:space="0" w:color="auto"/>
      </w:divBdr>
    </w:div>
    <w:div w:id="1970552498">
      <w:bodyDiv w:val="1"/>
      <w:marLeft w:val="0"/>
      <w:marRight w:val="0"/>
      <w:marTop w:val="0"/>
      <w:marBottom w:val="0"/>
      <w:divBdr>
        <w:top w:val="none" w:sz="0" w:space="0" w:color="auto"/>
        <w:left w:val="none" w:sz="0" w:space="0" w:color="auto"/>
        <w:bottom w:val="none" w:sz="0" w:space="0" w:color="auto"/>
        <w:right w:val="none" w:sz="0" w:space="0" w:color="auto"/>
      </w:divBdr>
    </w:div>
    <w:div w:id="1971591814">
      <w:bodyDiv w:val="1"/>
      <w:marLeft w:val="0"/>
      <w:marRight w:val="0"/>
      <w:marTop w:val="0"/>
      <w:marBottom w:val="0"/>
      <w:divBdr>
        <w:top w:val="none" w:sz="0" w:space="0" w:color="auto"/>
        <w:left w:val="none" w:sz="0" w:space="0" w:color="auto"/>
        <w:bottom w:val="none" w:sz="0" w:space="0" w:color="auto"/>
        <w:right w:val="none" w:sz="0" w:space="0" w:color="auto"/>
      </w:divBdr>
    </w:div>
    <w:div w:id="1972510952">
      <w:bodyDiv w:val="1"/>
      <w:marLeft w:val="0"/>
      <w:marRight w:val="0"/>
      <w:marTop w:val="0"/>
      <w:marBottom w:val="0"/>
      <w:divBdr>
        <w:top w:val="none" w:sz="0" w:space="0" w:color="auto"/>
        <w:left w:val="none" w:sz="0" w:space="0" w:color="auto"/>
        <w:bottom w:val="none" w:sz="0" w:space="0" w:color="auto"/>
        <w:right w:val="none" w:sz="0" w:space="0" w:color="auto"/>
      </w:divBdr>
    </w:div>
    <w:div w:id="1973093803">
      <w:bodyDiv w:val="1"/>
      <w:marLeft w:val="0"/>
      <w:marRight w:val="0"/>
      <w:marTop w:val="0"/>
      <w:marBottom w:val="0"/>
      <w:divBdr>
        <w:top w:val="none" w:sz="0" w:space="0" w:color="auto"/>
        <w:left w:val="none" w:sz="0" w:space="0" w:color="auto"/>
        <w:bottom w:val="none" w:sz="0" w:space="0" w:color="auto"/>
        <w:right w:val="none" w:sz="0" w:space="0" w:color="auto"/>
      </w:divBdr>
    </w:div>
    <w:div w:id="1973637661">
      <w:bodyDiv w:val="1"/>
      <w:marLeft w:val="0"/>
      <w:marRight w:val="0"/>
      <w:marTop w:val="0"/>
      <w:marBottom w:val="0"/>
      <w:divBdr>
        <w:top w:val="none" w:sz="0" w:space="0" w:color="auto"/>
        <w:left w:val="none" w:sz="0" w:space="0" w:color="auto"/>
        <w:bottom w:val="none" w:sz="0" w:space="0" w:color="auto"/>
        <w:right w:val="none" w:sz="0" w:space="0" w:color="auto"/>
      </w:divBdr>
    </w:div>
    <w:div w:id="1974406758">
      <w:bodyDiv w:val="1"/>
      <w:marLeft w:val="0"/>
      <w:marRight w:val="0"/>
      <w:marTop w:val="0"/>
      <w:marBottom w:val="0"/>
      <w:divBdr>
        <w:top w:val="none" w:sz="0" w:space="0" w:color="auto"/>
        <w:left w:val="none" w:sz="0" w:space="0" w:color="auto"/>
        <w:bottom w:val="none" w:sz="0" w:space="0" w:color="auto"/>
        <w:right w:val="none" w:sz="0" w:space="0" w:color="auto"/>
      </w:divBdr>
    </w:div>
    <w:div w:id="1974747772">
      <w:bodyDiv w:val="1"/>
      <w:marLeft w:val="0"/>
      <w:marRight w:val="0"/>
      <w:marTop w:val="0"/>
      <w:marBottom w:val="0"/>
      <w:divBdr>
        <w:top w:val="none" w:sz="0" w:space="0" w:color="auto"/>
        <w:left w:val="none" w:sz="0" w:space="0" w:color="auto"/>
        <w:bottom w:val="none" w:sz="0" w:space="0" w:color="auto"/>
        <w:right w:val="none" w:sz="0" w:space="0" w:color="auto"/>
      </w:divBdr>
    </w:div>
    <w:div w:id="1976832587">
      <w:bodyDiv w:val="1"/>
      <w:marLeft w:val="0"/>
      <w:marRight w:val="0"/>
      <w:marTop w:val="0"/>
      <w:marBottom w:val="0"/>
      <w:divBdr>
        <w:top w:val="none" w:sz="0" w:space="0" w:color="auto"/>
        <w:left w:val="none" w:sz="0" w:space="0" w:color="auto"/>
        <w:bottom w:val="none" w:sz="0" w:space="0" w:color="auto"/>
        <w:right w:val="none" w:sz="0" w:space="0" w:color="auto"/>
      </w:divBdr>
    </w:div>
    <w:div w:id="1977249907">
      <w:bodyDiv w:val="1"/>
      <w:marLeft w:val="0"/>
      <w:marRight w:val="0"/>
      <w:marTop w:val="0"/>
      <w:marBottom w:val="0"/>
      <w:divBdr>
        <w:top w:val="none" w:sz="0" w:space="0" w:color="auto"/>
        <w:left w:val="none" w:sz="0" w:space="0" w:color="auto"/>
        <w:bottom w:val="none" w:sz="0" w:space="0" w:color="auto"/>
        <w:right w:val="none" w:sz="0" w:space="0" w:color="auto"/>
      </w:divBdr>
    </w:div>
    <w:div w:id="1978991661">
      <w:bodyDiv w:val="1"/>
      <w:marLeft w:val="0"/>
      <w:marRight w:val="0"/>
      <w:marTop w:val="0"/>
      <w:marBottom w:val="0"/>
      <w:divBdr>
        <w:top w:val="none" w:sz="0" w:space="0" w:color="auto"/>
        <w:left w:val="none" w:sz="0" w:space="0" w:color="auto"/>
        <w:bottom w:val="none" w:sz="0" w:space="0" w:color="auto"/>
        <w:right w:val="none" w:sz="0" w:space="0" w:color="auto"/>
      </w:divBdr>
    </w:div>
    <w:div w:id="1979799631">
      <w:bodyDiv w:val="1"/>
      <w:marLeft w:val="0"/>
      <w:marRight w:val="0"/>
      <w:marTop w:val="0"/>
      <w:marBottom w:val="0"/>
      <w:divBdr>
        <w:top w:val="none" w:sz="0" w:space="0" w:color="auto"/>
        <w:left w:val="none" w:sz="0" w:space="0" w:color="auto"/>
        <w:bottom w:val="none" w:sz="0" w:space="0" w:color="auto"/>
        <w:right w:val="none" w:sz="0" w:space="0" w:color="auto"/>
      </w:divBdr>
    </w:div>
    <w:div w:id="1981184015">
      <w:bodyDiv w:val="1"/>
      <w:marLeft w:val="0"/>
      <w:marRight w:val="0"/>
      <w:marTop w:val="0"/>
      <w:marBottom w:val="0"/>
      <w:divBdr>
        <w:top w:val="none" w:sz="0" w:space="0" w:color="auto"/>
        <w:left w:val="none" w:sz="0" w:space="0" w:color="auto"/>
        <w:bottom w:val="none" w:sz="0" w:space="0" w:color="auto"/>
        <w:right w:val="none" w:sz="0" w:space="0" w:color="auto"/>
      </w:divBdr>
    </w:div>
    <w:div w:id="1981298982">
      <w:bodyDiv w:val="1"/>
      <w:marLeft w:val="0"/>
      <w:marRight w:val="0"/>
      <w:marTop w:val="0"/>
      <w:marBottom w:val="0"/>
      <w:divBdr>
        <w:top w:val="none" w:sz="0" w:space="0" w:color="auto"/>
        <w:left w:val="none" w:sz="0" w:space="0" w:color="auto"/>
        <w:bottom w:val="none" w:sz="0" w:space="0" w:color="auto"/>
        <w:right w:val="none" w:sz="0" w:space="0" w:color="auto"/>
      </w:divBdr>
    </w:div>
    <w:div w:id="1982539345">
      <w:bodyDiv w:val="1"/>
      <w:marLeft w:val="0"/>
      <w:marRight w:val="0"/>
      <w:marTop w:val="0"/>
      <w:marBottom w:val="0"/>
      <w:divBdr>
        <w:top w:val="none" w:sz="0" w:space="0" w:color="auto"/>
        <w:left w:val="none" w:sz="0" w:space="0" w:color="auto"/>
        <w:bottom w:val="none" w:sz="0" w:space="0" w:color="auto"/>
        <w:right w:val="none" w:sz="0" w:space="0" w:color="auto"/>
      </w:divBdr>
    </w:div>
    <w:div w:id="1983078401">
      <w:bodyDiv w:val="1"/>
      <w:marLeft w:val="0"/>
      <w:marRight w:val="0"/>
      <w:marTop w:val="0"/>
      <w:marBottom w:val="0"/>
      <w:divBdr>
        <w:top w:val="none" w:sz="0" w:space="0" w:color="auto"/>
        <w:left w:val="none" w:sz="0" w:space="0" w:color="auto"/>
        <w:bottom w:val="none" w:sz="0" w:space="0" w:color="auto"/>
        <w:right w:val="none" w:sz="0" w:space="0" w:color="auto"/>
      </w:divBdr>
    </w:div>
    <w:div w:id="1984387669">
      <w:bodyDiv w:val="1"/>
      <w:marLeft w:val="0"/>
      <w:marRight w:val="0"/>
      <w:marTop w:val="0"/>
      <w:marBottom w:val="0"/>
      <w:divBdr>
        <w:top w:val="none" w:sz="0" w:space="0" w:color="auto"/>
        <w:left w:val="none" w:sz="0" w:space="0" w:color="auto"/>
        <w:bottom w:val="none" w:sz="0" w:space="0" w:color="auto"/>
        <w:right w:val="none" w:sz="0" w:space="0" w:color="auto"/>
      </w:divBdr>
    </w:div>
    <w:div w:id="1985163711">
      <w:bodyDiv w:val="1"/>
      <w:marLeft w:val="0"/>
      <w:marRight w:val="0"/>
      <w:marTop w:val="0"/>
      <w:marBottom w:val="0"/>
      <w:divBdr>
        <w:top w:val="none" w:sz="0" w:space="0" w:color="auto"/>
        <w:left w:val="none" w:sz="0" w:space="0" w:color="auto"/>
        <w:bottom w:val="none" w:sz="0" w:space="0" w:color="auto"/>
        <w:right w:val="none" w:sz="0" w:space="0" w:color="auto"/>
      </w:divBdr>
    </w:div>
    <w:div w:id="1985426141">
      <w:bodyDiv w:val="1"/>
      <w:marLeft w:val="0"/>
      <w:marRight w:val="0"/>
      <w:marTop w:val="0"/>
      <w:marBottom w:val="0"/>
      <w:divBdr>
        <w:top w:val="none" w:sz="0" w:space="0" w:color="auto"/>
        <w:left w:val="none" w:sz="0" w:space="0" w:color="auto"/>
        <w:bottom w:val="none" w:sz="0" w:space="0" w:color="auto"/>
        <w:right w:val="none" w:sz="0" w:space="0" w:color="auto"/>
      </w:divBdr>
    </w:div>
    <w:div w:id="1985545812">
      <w:bodyDiv w:val="1"/>
      <w:marLeft w:val="0"/>
      <w:marRight w:val="0"/>
      <w:marTop w:val="0"/>
      <w:marBottom w:val="0"/>
      <w:divBdr>
        <w:top w:val="none" w:sz="0" w:space="0" w:color="auto"/>
        <w:left w:val="none" w:sz="0" w:space="0" w:color="auto"/>
        <w:bottom w:val="none" w:sz="0" w:space="0" w:color="auto"/>
        <w:right w:val="none" w:sz="0" w:space="0" w:color="auto"/>
      </w:divBdr>
    </w:div>
    <w:div w:id="1985768974">
      <w:bodyDiv w:val="1"/>
      <w:marLeft w:val="0"/>
      <w:marRight w:val="0"/>
      <w:marTop w:val="0"/>
      <w:marBottom w:val="0"/>
      <w:divBdr>
        <w:top w:val="none" w:sz="0" w:space="0" w:color="auto"/>
        <w:left w:val="none" w:sz="0" w:space="0" w:color="auto"/>
        <w:bottom w:val="none" w:sz="0" w:space="0" w:color="auto"/>
        <w:right w:val="none" w:sz="0" w:space="0" w:color="auto"/>
      </w:divBdr>
    </w:div>
    <w:div w:id="1986271800">
      <w:bodyDiv w:val="1"/>
      <w:marLeft w:val="0"/>
      <w:marRight w:val="0"/>
      <w:marTop w:val="0"/>
      <w:marBottom w:val="0"/>
      <w:divBdr>
        <w:top w:val="none" w:sz="0" w:space="0" w:color="auto"/>
        <w:left w:val="none" w:sz="0" w:space="0" w:color="auto"/>
        <w:bottom w:val="none" w:sz="0" w:space="0" w:color="auto"/>
        <w:right w:val="none" w:sz="0" w:space="0" w:color="auto"/>
      </w:divBdr>
    </w:div>
    <w:div w:id="1988590262">
      <w:bodyDiv w:val="1"/>
      <w:marLeft w:val="0"/>
      <w:marRight w:val="0"/>
      <w:marTop w:val="0"/>
      <w:marBottom w:val="0"/>
      <w:divBdr>
        <w:top w:val="none" w:sz="0" w:space="0" w:color="auto"/>
        <w:left w:val="none" w:sz="0" w:space="0" w:color="auto"/>
        <w:bottom w:val="none" w:sz="0" w:space="0" w:color="auto"/>
        <w:right w:val="none" w:sz="0" w:space="0" w:color="auto"/>
      </w:divBdr>
    </w:div>
    <w:div w:id="1993019604">
      <w:bodyDiv w:val="1"/>
      <w:marLeft w:val="0"/>
      <w:marRight w:val="0"/>
      <w:marTop w:val="0"/>
      <w:marBottom w:val="0"/>
      <w:divBdr>
        <w:top w:val="none" w:sz="0" w:space="0" w:color="auto"/>
        <w:left w:val="none" w:sz="0" w:space="0" w:color="auto"/>
        <w:bottom w:val="none" w:sz="0" w:space="0" w:color="auto"/>
        <w:right w:val="none" w:sz="0" w:space="0" w:color="auto"/>
      </w:divBdr>
    </w:div>
    <w:div w:id="1993632450">
      <w:bodyDiv w:val="1"/>
      <w:marLeft w:val="0"/>
      <w:marRight w:val="0"/>
      <w:marTop w:val="0"/>
      <w:marBottom w:val="0"/>
      <w:divBdr>
        <w:top w:val="none" w:sz="0" w:space="0" w:color="auto"/>
        <w:left w:val="none" w:sz="0" w:space="0" w:color="auto"/>
        <w:bottom w:val="none" w:sz="0" w:space="0" w:color="auto"/>
        <w:right w:val="none" w:sz="0" w:space="0" w:color="auto"/>
      </w:divBdr>
    </w:div>
    <w:div w:id="1994064122">
      <w:bodyDiv w:val="1"/>
      <w:marLeft w:val="0"/>
      <w:marRight w:val="0"/>
      <w:marTop w:val="0"/>
      <w:marBottom w:val="0"/>
      <w:divBdr>
        <w:top w:val="none" w:sz="0" w:space="0" w:color="auto"/>
        <w:left w:val="none" w:sz="0" w:space="0" w:color="auto"/>
        <w:bottom w:val="none" w:sz="0" w:space="0" w:color="auto"/>
        <w:right w:val="none" w:sz="0" w:space="0" w:color="auto"/>
      </w:divBdr>
    </w:div>
    <w:div w:id="1996104015">
      <w:bodyDiv w:val="1"/>
      <w:marLeft w:val="0"/>
      <w:marRight w:val="0"/>
      <w:marTop w:val="0"/>
      <w:marBottom w:val="0"/>
      <w:divBdr>
        <w:top w:val="none" w:sz="0" w:space="0" w:color="auto"/>
        <w:left w:val="none" w:sz="0" w:space="0" w:color="auto"/>
        <w:bottom w:val="none" w:sz="0" w:space="0" w:color="auto"/>
        <w:right w:val="none" w:sz="0" w:space="0" w:color="auto"/>
      </w:divBdr>
    </w:div>
    <w:div w:id="1999192802">
      <w:bodyDiv w:val="1"/>
      <w:marLeft w:val="0"/>
      <w:marRight w:val="0"/>
      <w:marTop w:val="0"/>
      <w:marBottom w:val="0"/>
      <w:divBdr>
        <w:top w:val="none" w:sz="0" w:space="0" w:color="auto"/>
        <w:left w:val="none" w:sz="0" w:space="0" w:color="auto"/>
        <w:bottom w:val="none" w:sz="0" w:space="0" w:color="auto"/>
        <w:right w:val="none" w:sz="0" w:space="0" w:color="auto"/>
      </w:divBdr>
    </w:div>
    <w:div w:id="1999992969">
      <w:bodyDiv w:val="1"/>
      <w:marLeft w:val="0"/>
      <w:marRight w:val="0"/>
      <w:marTop w:val="0"/>
      <w:marBottom w:val="0"/>
      <w:divBdr>
        <w:top w:val="none" w:sz="0" w:space="0" w:color="auto"/>
        <w:left w:val="none" w:sz="0" w:space="0" w:color="auto"/>
        <w:bottom w:val="none" w:sz="0" w:space="0" w:color="auto"/>
        <w:right w:val="none" w:sz="0" w:space="0" w:color="auto"/>
      </w:divBdr>
    </w:div>
    <w:div w:id="2001154862">
      <w:bodyDiv w:val="1"/>
      <w:marLeft w:val="0"/>
      <w:marRight w:val="0"/>
      <w:marTop w:val="0"/>
      <w:marBottom w:val="0"/>
      <w:divBdr>
        <w:top w:val="none" w:sz="0" w:space="0" w:color="auto"/>
        <w:left w:val="none" w:sz="0" w:space="0" w:color="auto"/>
        <w:bottom w:val="none" w:sz="0" w:space="0" w:color="auto"/>
        <w:right w:val="none" w:sz="0" w:space="0" w:color="auto"/>
      </w:divBdr>
    </w:div>
    <w:div w:id="2003241663">
      <w:bodyDiv w:val="1"/>
      <w:marLeft w:val="0"/>
      <w:marRight w:val="0"/>
      <w:marTop w:val="0"/>
      <w:marBottom w:val="0"/>
      <w:divBdr>
        <w:top w:val="none" w:sz="0" w:space="0" w:color="auto"/>
        <w:left w:val="none" w:sz="0" w:space="0" w:color="auto"/>
        <w:bottom w:val="none" w:sz="0" w:space="0" w:color="auto"/>
        <w:right w:val="none" w:sz="0" w:space="0" w:color="auto"/>
      </w:divBdr>
    </w:div>
    <w:div w:id="2004619966">
      <w:bodyDiv w:val="1"/>
      <w:marLeft w:val="0"/>
      <w:marRight w:val="0"/>
      <w:marTop w:val="0"/>
      <w:marBottom w:val="0"/>
      <w:divBdr>
        <w:top w:val="none" w:sz="0" w:space="0" w:color="auto"/>
        <w:left w:val="none" w:sz="0" w:space="0" w:color="auto"/>
        <w:bottom w:val="none" w:sz="0" w:space="0" w:color="auto"/>
        <w:right w:val="none" w:sz="0" w:space="0" w:color="auto"/>
      </w:divBdr>
    </w:div>
    <w:div w:id="2007321129">
      <w:bodyDiv w:val="1"/>
      <w:marLeft w:val="0"/>
      <w:marRight w:val="0"/>
      <w:marTop w:val="0"/>
      <w:marBottom w:val="0"/>
      <w:divBdr>
        <w:top w:val="none" w:sz="0" w:space="0" w:color="auto"/>
        <w:left w:val="none" w:sz="0" w:space="0" w:color="auto"/>
        <w:bottom w:val="none" w:sz="0" w:space="0" w:color="auto"/>
        <w:right w:val="none" w:sz="0" w:space="0" w:color="auto"/>
      </w:divBdr>
    </w:div>
    <w:div w:id="2007704851">
      <w:bodyDiv w:val="1"/>
      <w:marLeft w:val="0"/>
      <w:marRight w:val="0"/>
      <w:marTop w:val="0"/>
      <w:marBottom w:val="0"/>
      <w:divBdr>
        <w:top w:val="none" w:sz="0" w:space="0" w:color="auto"/>
        <w:left w:val="none" w:sz="0" w:space="0" w:color="auto"/>
        <w:bottom w:val="none" w:sz="0" w:space="0" w:color="auto"/>
        <w:right w:val="none" w:sz="0" w:space="0" w:color="auto"/>
      </w:divBdr>
    </w:div>
    <w:div w:id="2007978360">
      <w:bodyDiv w:val="1"/>
      <w:marLeft w:val="0"/>
      <w:marRight w:val="0"/>
      <w:marTop w:val="0"/>
      <w:marBottom w:val="0"/>
      <w:divBdr>
        <w:top w:val="none" w:sz="0" w:space="0" w:color="auto"/>
        <w:left w:val="none" w:sz="0" w:space="0" w:color="auto"/>
        <w:bottom w:val="none" w:sz="0" w:space="0" w:color="auto"/>
        <w:right w:val="none" w:sz="0" w:space="0" w:color="auto"/>
      </w:divBdr>
    </w:div>
    <w:div w:id="2008441240">
      <w:bodyDiv w:val="1"/>
      <w:marLeft w:val="0"/>
      <w:marRight w:val="0"/>
      <w:marTop w:val="0"/>
      <w:marBottom w:val="0"/>
      <w:divBdr>
        <w:top w:val="none" w:sz="0" w:space="0" w:color="auto"/>
        <w:left w:val="none" w:sz="0" w:space="0" w:color="auto"/>
        <w:bottom w:val="none" w:sz="0" w:space="0" w:color="auto"/>
        <w:right w:val="none" w:sz="0" w:space="0" w:color="auto"/>
      </w:divBdr>
    </w:div>
    <w:div w:id="2009793369">
      <w:bodyDiv w:val="1"/>
      <w:marLeft w:val="0"/>
      <w:marRight w:val="0"/>
      <w:marTop w:val="0"/>
      <w:marBottom w:val="0"/>
      <w:divBdr>
        <w:top w:val="none" w:sz="0" w:space="0" w:color="auto"/>
        <w:left w:val="none" w:sz="0" w:space="0" w:color="auto"/>
        <w:bottom w:val="none" w:sz="0" w:space="0" w:color="auto"/>
        <w:right w:val="none" w:sz="0" w:space="0" w:color="auto"/>
      </w:divBdr>
    </w:div>
    <w:div w:id="2009794441">
      <w:bodyDiv w:val="1"/>
      <w:marLeft w:val="0"/>
      <w:marRight w:val="0"/>
      <w:marTop w:val="0"/>
      <w:marBottom w:val="0"/>
      <w:divBdr>
        <w:top w:val="none" w:sz="0" w:space="0" w:color="auto"/>
        <w:left w:val="none" w:sz="0" w:space="0" w:color="auto"/>
        <w:bottom w:val="none" w:sz="0" w:space="0" w:color="auto"/>
        <w:right w:val="none" w:sz="0" w:space="0" w:color="auto"/>
      </w:divBdr>
    </w:div>
    <w:div w:id="2011713658">
      <w:bodyDiv w:val="1"/>
      <w:marLeft w:val="0"/>
      <w:marRight w:val="0"/>
      <w:marTop w:val="0"/>
      <w:marBottom w:val="0"/>
      <w:divBdr>
        <w:top w:val="none" w:sz="0" w:space="0" w:color="auto"/>
        <w:left w:val="none" w:sz="0" w:space="0" w:color="auto"/>
        <w:bottom w:val="none" w:sz="0" w:space="0" w:color="auto"/>
        <w:right w:val="none" w:sz="0" w:space="0" w:color="auto"/>
      </w:divBdr>
    </w:div>
    <w:div w:id="2012564182">
      <w:bodyDiv w:val="1"/>
      <w:marLeft w:val="0"/>
      <w:marRight w:val="0"/>
      <w:marTop w:val="0"/>
      <w:marBottom w:val="0"/>
      <w:divBdr>
        <w:top w:val="none" w:sz="0" w:space="0" w:color="auto"/>
        <w:left w:val="none" w:sz="0" w:space="0" w:color="auto"/>
        <w:bottom w:val="none" w:sz="0" w:space="0" w:color="auto"/>
        <w:right w:val="none" w:sz="0" w:space="0" w:color="auto"/>
      </w:divBdr>
    </w:div>
    <w:div w:id="2013607838">
      <w:bodyDiv w:val="1"/>
      <w:marLeft w:val="0"/>
      <w:marRight w:val="0"/>
      <w:marTop w:val="0"/>
      <w:marBottom w:val="0"/>
      <w:divBdr>
        <w:top w:val="none" w:sz="0" w:space="0" w:color="auto"/>
        <w:left w:val="none" w:sz="0" w:space="0" w:color="auto"/>
        <w:bottom w:val="none" w:sz="0" w:space="0" w:color="auto"/>
        <w:right w:val="none" w:sz="0" w:space="0" w:color="auto"/>
      </w:divBdr>
    </w:div>
    <w:div w:id="2014869881">
      <w:bodyDiv w:val="1"/>
      <w:marLeft w:val="0"/>
      <w:marRight w:val="0"/>
      <w:marTop w:val="0"/>
      <w:marBottom w:val="0"/>
      <w:divBdr>
        <w:top w:val="none" w:sz="0" w:space="0" w:color="auto"/>
        <w:left w:val="none" w:sz="0" w:space="0" w:color="auto"/>
        <w:bottom w:val="none" w:sz="0" w:space="0" w:color="auto"/>
        <w:right w:val="none" w:sz="0" w:space="0" w:color="auto"/>
      </w:divBdr>
    </w:div>
    <w:div w:id="2016879732">
      <w:bodyDiv w:val="1"/>
      <w:marLeft w:val="0"/>
      <w:marRight w:val="0"/>
      <w:marTop w:val="0"/>
      <w:marBottom w:val="0"/>
      <w:divBdr>
        <w:top w:val="none" w:sz="0" w:space="0" w:color="auto"/>
        <w:left w:val="none" w:sz="0" w:space="0" w:color="auto"/>
        <w:bottom w:val="none" w:sz="0" w:space="0" w:color="auto"/>
        <w:right w:val="none" w:sz="0" w:space="0" w:color="auto"/>
      </w:divBdr>
    </w:div>
    <w:div w:id="2017801129">
      <w:bodyDiv w:val="1"/>
      <w:marLeft w:val="0"/>
      <w:marRight w:val="0"/>
      <w:marTop w:val="0"/>
      <w:marBottom w:val="0"/>
      <w:divBdr>
        <w:top w:val="none" w:sz="0" w:space="0" w:color="auto"/>
        <w:left w:val="none" w:sz="0" w:space="0" w:color="auto"/>
        <w:bottom w:val="none" w:sz="0" w:space="0" w:color="auto"/>
        <w:right w:val="none" w:sz="0" w:space="0" w:color="auto"/>
      </w:divBdr>
    </w:div>
    <w:div w:id="2019766484">
      <w:bodyDiv w:val="1"/>
      <w:marLeft w:val="0"/>
      <w:marRight w:val="0"/>
      <w:marTop w:val="0"/>
      <w:marBottom w:val="0"/>
      <w:divBdr>
        <w:top w:val="none" w:sz="0" w:space="0" w:color="auto"/>
        <w:left w:val="none" w:sz="0" w:space="0" w:color="auto"/>
        <w:bottom w:val="none" w:sz="0" w:space="0" w:color="auto"/>
        <w:right w:val="none" w:sz="0" w:space="0" w:color="auto"/>
      </w:divBdr>
    </w:div>
    <w:div w:id="2019962921">
      <w:bodyDiv w:val="1"/>
      <w:marLeft w:val="0"/>
      <w:marRight w:val="0"/>
      <w:marTop w:val="0"/>
      <w:marBottom w:val="0"/>
      <w:divBdr>
        <w:top w:val="none" w:sz="0" w:space="0" w:color="auto"/>
        <w:left w:val="none" w:sz="0" w:space="0" w:color="auto"/>
        <w:bottom w:val="none" w:sz="0" w:space="0" w:color="auto"/>
        <w:right w:val="none" w:sz="0" w:space="0" w:color="auto"/>
      </w:divBdr>
    </w:div>
    <w:div w:id="2021269415">
      <w:bodyDiv w:val="1"/>
      <w:marLeft w:val="0"/>
      <w:marRight w:val="0"/>
      <w:marTop w:val="0"/>
      <w:marBottom w:val="0"/>
      <w:divBdr>
        <w:top w:val="none" w:sz="0" w:space="0" w:color="auto"/>
        <w:left w:val="none" w:sz="0" w:space="0" w:color="auto"/>
        <w:bottom w:val="none" w:sz="0" w:space="0" w:color="auto"/>
        <w:right w:val="none" w:sz="0" w:space="0" w:color="auto"/>
      </w:divBdr>
    </w:div>
    <w:div w:id="2022124630">
      <w:bodyDiv w:val="1"/>
      <w:marLeft w:val="0"/>
      <w:marRight w:val="0"/>
      <w:marTop w:val="0"/>
      <w:marBottom w:val="0"/>
      <w:divBdr>
        <w:top w:val="none" w:sz="0" w:space="0" w:color="auto"/>
        <w:left w:val="none" w:sz="0" w:space="0" w:color="auto"/>
        <w:bottom w:val="none" w:sz="0" w:space="0" w:color="auto"/>
        <w:right w:val="none" w:sz="0" w:space="0" w:color="auto"/>
      </w:divBdr>
    </w:div>
    <w:div w:id="2027245410">
      <w:bodyDiv w:val="1"/>
      <w:marLeft w:val="0"/>
      <w:marRight w:val="0"/>
      <w:marTop w:val="0"/>
      <w:marBottom w:val="0"/>
      <w:divBdr>
        <w:top w:val="none" w:sz="0" w:space="0" w:color="auto"/>
        <w:left w:val="none" w:sz="0" w:space="0" w:color="auto"/>
        <w:bottom w:val="none" w:sz="0" w:space="0" w:color="auto"/>
        <w:right w:val="none" w:sz="0" w:space="0" w:color="auto"/>
      </w:divBdr>
    </w:div>
    <w:div w:id="2027364253">
      <w:bodyDiv w:val="1"/>
      <w:marLeft w:val="0"/>
      <w:marRight w:val="0"/>
      <w:marTop w:val="0"/>
      <w:marBottom w:val="0"/>
      <w:divBdr>
        <w:top w:val="none" w:sz="0" w:space="0" w:color="auto"/>
        <w:left w:val="none" w:sz="0" w:space="0" w:color="auto"/>
        <w:bottom w:val="none" w:sz="0" w:space="0" w:color="auto"/>
        <w:right w:val="none" w:sz="0" w:space="0" w:color="auto"/>
      </w:divBdr>
    </w:div>
    <w:div w:id="2030253101">
      <w:bodyDiv w:val="1"/>
      <w:marLeft w:val="0"/>
      <w:marRight w:val="0"/>
      <w:marTop w:val="0"/>
      <w:marBottom w:val="0"/>
      <w:divBdr>
        <w:top w:val="none" w:sz="0" w:space="0" w:color="auto"/>
        <w:left w:val="none" w:sz="0" w:space="0" w:color="auto"/>
        <w:bottom w:val="none" w:sz="0" w:space="0" w:color="auto"/>
        <w:right w:val="none" w:sz="0" w:space="0" w:color="auto"/>
      </w:divBdr>
    </w:div>
    <w:div w:id="2030715358">
      <w:bodyDiv w:val="1"/>
      <w:marLeft w:val="0"/>
      <w:marRight w:val="0"/>
      <w:marTop w:val="0"/>
      <w:marBottom w:val="0"/>
      <w:divBdr>
        <w:top w:val="none" w:sz="0" w:space="0" w:color="auto"/>
        <w:left w:val="none" w:sz="0" w:space="0" w:color="auto"/>
        <w:bottom w:val="none" w:sz="0" w:space="0" w:color="auto"/>
        <w:right w:val="none" w:sz="0" w:space="0" w:color="auto"/>
      </w:divBdr>
    </w:div>
    <w:div w:id="2031451763">
      <w:bodyDiv w:val="1"/>
      <w:marLeft w:val="0"/>
      <w:marRight w:val="0"/>
      <w:marTop w:val="0"/>
      <w:marBottom w:val="0"/>
      <w:divBdr>
        <w:top w:val="none" w:sz="0" w:space="0" w:color="auto"/>
        <w:left w:val="none" w:sz="0" w:space="0" w:color="auto"/>
        <w:bottom w:val="none" w:sz="0" w:space="0" w:color="auto"/>
        <w:right w:val="none" w:sz="0" w:space="0" w:color="auto"/>
      </w:divBdr>
    </w:div>
    <w:div w:id="2033073858">
      <w:bodyDiv w:val="1"/>
      <w:marLeft w:val="0"/>
      <w:marRight w:val="0"/>
      <w:marTop w:val="0"/>
      <w:marBottom w:val="0"/>
      <w:divBdr>
        <w:top w:val="none" w:sz="0" w:space="0" w:color="auto"/>
        <w:left w:val="none" w:sz="0" w:space="0" w:color="auto"/>
        <w:bottom w:val="none" w:sz="0" w:space="0" w:color="auto"/>
        <w:right w:val="none" w:sz="0" w:space="0" w:color="auto"/>
      </w:divBdr>
    </w:div>
    <w:div w:id="2035107794">
      <w:bodyDiv w:val="1"/>
      <w:marLeft w:val="0"/>
      <w:marRight w:val="0"/>
      <w:marTop w:val="0"/>
      <w:marBottom w:val="0"/>
      <w:divBdr>
        <w:top w:val="none" w:sz="0" w:space="0" w:color="auto"/>
        <w:left w:val="none" w:sz="0" w:space="0" w:color="auto"/>
        <w:bottom w:val="none" w:sz="0" w:space="0" w:color="auto"/>
        <w:right w:val="none" w:sz="0" w:space="0" w:color="auto"/>
      </w:divBdr>
    </w:div>
    <w:div w:id="2035224754">
      <w:bodyDiv w:val="1"/>
      <w:marLeft w:val="0"/>
      <w:marRight w:val="0"/>
      <w:marTop w:val="0"/>
      <w:marBottom w:val="0"/>
      <w:divBdr>
        <w:top w:val="none" w:sz="0" w:space="0" w:color="auto"/>
        <w:left w:val="none" w:sz="0" w:space="0" w:color="auto"/>
        <w:bottom w:val="none" w:sz="0" w:space="0" w:color="auto"/>
        <w:right w:val="none" w:sz="0" w:space="0" w:color="auto"/>
      </w:divBdr>
    </w:div>
    <w:div w:id="2035424100">
      <w:bodyDiv w:val="1"/>
      <w:marLeft w:val="0"/>
      <w:marRight w:val="0"/>
      <w:marTop w:val="0"/>
      <w:marBottom w:val="0"/>
      <w:divBdr>
        <w:top w:val="none" w:sz="0" w:space="0" w:color="auto"/>
        <w:left w:val="none" w:sz="0" w:space="0" w:color="auto"/>
        <w:bottom w:val="none" w:sz="0" w:space="0" w:color="auto"/>
        <w:right w:val="none" w:sz="0" w:space="0" w:color="auto"/>
      </w:divBdr>
    </w:div>
    <w:div w:id="2035426290">
      <w:bodyDiv w:val="1"/>
      <w:marLeft w:val="0"/>
      <w:marRight w:val="0"/>
      <w:marTop w:val="0"/>
      <w:marBottom w:val="0"/>
      <w:divBdr>
        <w:top w:val="none" w:sz="0" w:space="0" w:color="auto"/>
        <w:left w:val="none" w:sz="0" w:space="0" w:color="auto"/>
        <w:bottom w:val="none" w:sz="0" w:space="0" w:color="auto"/>
        <w:right w:val="none" w:sz="0" w:space="0" w:color="auto"/>
      </w:divBdr>
    </w:div>
    <w:div w:id="2035955524">
      <w:bodyDiv w:val="1"/>
      <w:marLeft w:val="0"/>
      <w:marRight w:val="0"/>
      <w:marTop w:val="0"/>
      <w:marBottom w:val="0"/>
      <w:divBdr>
        <w:top w:val="none" w:sz="0" w:space="0" w:color="auto"/>
        <w:left w:val="none" w:sz="0" w:space="0" w:color="auto"/>
        <w:bottom w:val="none" w:sz="0" w:space="0" w:color="auto"/>
        <w:right w:val="none" w:sz="0" w:space="0" w:color="auto"/>
      </w:divBdr>
    </w:div>
    <w:div w:id="2036492255">
      <w:bodyDiv w:val="1"/>
      <w:marLeft w:val="0"/>
      <w:marRight w:val="0"/>
      <w:marTop w:val="0"/>
      <w:marBottom w:val="0"/>
      <w:divBdr>
        <w:top w:val="none" w:sz="0" w:space="0" w:color="auto"/>
        <w:left w:val="none" w:sz="0" w:space="0" w:color="auto"/>
        <w:bottom w:val="none" w:sz="0" w:space="0" w:color="auto"/>
        <w:right w:val="none" w:sz="0" w:space="0" w:color="auto"/>
      </w:divBdr>
    </w:div>
    <w:div w:id="2038775025">
      <w:bodyDiv w:val="1"/>
      <w:marLeft w:val="0"/>
      <w:marRight w:val="0"/>
      <w:marTop w:val="0"/>
      <w:marBottom w:val="0"/>
      <w:divBdr>
        <w:top w:val="none" w:sz="0" w:space="0" w:color="auto"/>
        <w:left w:val="none" w:sz="0" w:space="0" w:color="auto"/>
        <w:bottom w:val="none" w:sz="0" w:space="0" w:color="auto"/>
        <w:right w:val="none" w:sz="0" w:space="0" w:color="auto"/>
      </w:divBdr>
    </w:div>
    <w:div w:id="2040352880">
      <w:bodyDiv w:val="1"/>
      <w:marLeft w:val="0"/>
      <w:marRight w:val="0"/>
      <w:marTop w:val="0"/>
      <w:marBottom w:val="0"/>
      <w:divBdr>
        <w:top w:val="none" w:sz="0" w:space="0" w:color="auto"/>
        <w:left w:val="none" w:sz="0" w:space="0" w:color="auto"/>
        <w:bottom w:val="none" w:sz="0" w:space="0" w:color="auto"/>
        <w:right w:val="none" w:sz="0" w:space="0" w:color="auto"/>
      </w:divBdr>
    </w:div>
    <w:div w:id="2040817905">
      <w:bodyDiv w:val="1"/>
      <w:marLeft w:val="0"/>
      <w:marRight w:val="0"/>
      <w:marTop w:val="0"/>
      <w:marBottom w:val="0"/>
      <w:divBdr>
        <w:top w:val="none" w:sz="0" w:space="0" w:color="auto"/>
        <w:left w:val="none" w:sz="0" w:space="0" w:color="auto"/>
        <w:bottom w:val="none" w:sz="0" w:space="0" w:color="auto"/>
        <w:right w:val="none" w:sz="0" w:space="0" w:color="auto"/>
      </w:divBdr>
    </w:div>
    <w:div w:id="2040885164">
      <w:bodyDiv w:val="1"/>
      <w:marLeft w:val="0"/>
      <w:marRight w:val="0"/>
      <w:marTop w:val="0"/>
      <w:marBottom w:val="0"/>
      <w:divBdr>
        <w:top w:val="none" w:sz="0" w:space="0" w:color="auto"/>
        <w:left w:val="none" w:sz="0" w:space="0" w:color="auto"/>
        <w:bottom w:val="none" w:sz="0" w:space="0" w:color="auto"/>
        <w:right w:val="none" w:sz="0" w:space="0" w:color="auto"/>
      </w:divBdr>
    </w:div>
    <w:div w:id="2045595760">
      <w:bodyDiv w:val="1"/>
      <w:marLeft w:val="0"/>
      <w:marRight w:val="0"/>
      <w:marTop w:val="0"/>
      <w:marBottom w:val="0"/>
      <w:divBdr>
        <w:top w:val="none" w:sz="0" w:space="0" w:color="auto"/>
        <w:left w:val="none" w:sz="0" w:space="0" w:color="auto"/>
        <w:bottom w:val="none" w:sz="0" w:space="0" w:color="auto"/>
        <w:right w:val="none" w:sz="0" w:space="0" w:color="auto"/>
      </w:divBdr>
    </w:div>
    <w:div w:id="2046834386">
      <w:bodyDiv w:val="1"/>
      <w:marLeft w:val="0"/>
      <w:marRight w:val="0"/>
      <w:marTop w:val="0"/>
      <w:marBottom w:val="0"/>
      <w:divBdr>
        <w:top w:val="none" w:sz="0" w:space="0" w:color="auto"/>
        <w:left w:val="none" w:sz="0" w:space="0" w:color="auto"/>
        <w:bottom w:val="none" w:sz="0" w:space="0" w:color="auto"/>
        <w:right w:val="none" w:sz="0" w:space="0" w:color="auto"/>
      </w:divBdr>
    </w:div>
    <w:div w:id="2047755275">
      <w:bodyDiv w:val="1"/>
      <w:marLeft w:val="0"/>
      <w:marRight w:val="0"/>
      <w:marTop w:val="0"/>
      <w:marBottom w:val="0"/>
      <w:divBdr>
        <w:top w:val="none" w:sz="0" w:space="0" w:color="auto"/>
        <w:left w:val="none" w:sz="0" w:space="0" w:color="auto"/>
        <w:bottom w:val="none" w:sz="0" w:space="0" w:color="auto"/>
        <w:right w:val="none" w:sz="0" w:space="0" w:color="auto"/>
      </w:divBdr>
    </w:div>
    <w:div w:id="2048330689">
      <w:bodyDiv w:val="1"/>
      <w:marLeft w:val="0"/>
      <w:marRight w:val="0"/>
      <w:marTop w:val="0"/>
      <w:marBottom w:val="0"/>
      <w:divBdr>
        <w:top w:val="none" w:sz="0" w:space="0" w:color="auto"/>
        <w:left w:val="none" w:sz="0" w:space="0" w:color="auto"/>
        <w:bottom w:val="none" w:sz="0" w:space="0" w:color="auto"/>
        <w:right w:val="none" w:sz="0" w:space="0" w:color="auto"/>
      </w:divBdr>
    </w:div>
    <w:div w:id="2053309500">
      <w:bodyDiv w:val="1"/>
      <w:marLeft w:val="0"/>
      <w:marRight w:val="0"/>
      <w:marTop w:val="0"/>
      <w:marBottom w:val="0"/>
      <w:divBdr>
        <w:top w:val="none" w:sz="0" w:space="0" w:color="auto"/>
        <w:left w:val="none" w:sz="0" w:space="0" w:color="auto"/>
        <w:bottom w:val="none" w:sz="0" w:space="0" w:color="auto"/>
        <w:right w:val="none" w:sz="0" w:space="0" w:color="auto"/>
      </w:divBdr>
    </w:div>
    <w:div w:id="2053572159">
      <w:bodyDiv w:val="1"/>
      <w:marLeft w:val="0"/>
      <w:marRight w:val="0"/>
      <w:marTop w:val="0"/>
      <w:marBottom w:val="0"/>
      <w:divBdr>
        <w:top w:val="none" w:sz="0" w:space="0" w:color="auto"/>
        <w:left w:val="none" w:sz="0" w:space="0" w:color="auto"/>
        <w:bottom w:val="none" w:sz="0" w:space="0" w:color="auto"/>
        <w:right w:val="none" w:sz="0" w:space="0" w:color="auto"/>
      </w:divBdr>
    </w:div>
    <w:div w:id="2053573522">
      <w:bodyDiv w:val="1"/>
      <w:marLeft w:val="0"/>
      <w:marRight w:val="0"/>
      <w:marTop w:val="0"/>
      <w:marBottom w:val="0"/>
      <w:divBdr>
        <w:top w:val="none" w:sz="0" w:space="0" w:color="auto"/>
        <w:left w:val="none" w:sz="0" w:space="0" w:color="auto"/>
        <w:bottom w:val="none" w:sz="0" w:space="0" w:color="auto"/>
        <w:right w:val="none" w:sz="0" w:space="0" w:color="auto"/>
      </w:divBdr>
    </w:div>
    <w:div w:id="2054887094">
      <w:bodyDiv w:val="1"/>
      <w:marLeft w:val="0"/>
      <w:marRight w:val="0"/>
      <w:marTop w:val="0"/>
      <w:marBottom w:val="0"/>
      <w:divBdr>
        <w:top w:val="none" w:sz="0" w:space="0" w:color="auto"/>
        <w:left w:val="none" w:sz="0" w:space="0" w:color="auto"/>
        <w:bottom w:val="none" w:sz="0" w:space="0" w:color="auto"/>
        <w:right w:val="none" w:sz="0" w:space="0" w:color="auto"/>
      </w:divBdr>
    </w:div>
    <w:div w:id="2055887369">
      <w:bodyDiv w:val="1"/>
      <w:marLeft w:val="0"/>
      <w:marRight w:val="0"/>
      <w:marTop w:val="0"/>
      <w:marBottom w:val="0"/>
      <w:divBdr>
        <w:top w:val="none" w:sz="0" w:space="0" w:color="auto"/>
        <w:left w:val="none" w:sz="0" w:space="0" w:color="auto"/>
        <w:bottom w:val="none" w:sz="0" w:space="0" w:color="auto"/>
        <w:right w:val="none" w:sz="0" w:space="0" w:color="auto"/>
      </w:divBdr>
    </w:div>
    <w:div w:id="2056075542">
      <w:bodyDiv w:val="1"/>
      <w:marLeft w:val="0"/>
      <w:marRight w:val="0"/>
      <w:marTop w:val="0"/>
      <w:marBottom w:val="0"/>
      <w:divBdr>
        <w:top w:val="none" w:sz="0" w:space="0" w:color="auto"/>
        <w:left w:val="none" w:sz="0" w:space="0" w:color="auto"/>
        <w:bottom w:val="none" w:sz="0" w:space="0" w:color="auto"/>
        <w:right w:val="none" w:sz="0" w:space="0" w:color="auto"/>
      </w:divBdr>
    </w:div>
    <w:div w:id="2058233628">
      <w:bodyDiv w:val="1"/>
      <w:marLeft w:val="0"/>
      <w:marRight w:val="0"/>
      <w:marTop w:val="0"/>
      <w:marBottom w:val="0"/>
      <w:divBdr>
        <w:top w:val="none" w:sz="0" w:space="0" w:color="auto"/>
        <w:left w:val="none" w:sz="0" w:space="0" w:color="auto"/>
        <w:bottom w:val="none" w:sz="0" w:space="0" w:color="auto"/>
        <w:right w:val="none" w:sz="0" w:space="0" w:color="auto"/>
      </w:divBdr>
    </w:div>
    <w:div w:id="2058311209">
      <w:bodyDiv w:val="1"/>
      <w:marLeft w:val="0"/>
      <w:marRight w:val="0"/>
      <w:marTop w:val="0"/>
      <w:marBottom w:val="0"/>
      <w:divBdr>
        <w:top w:val="none" w:sz="0" w:space="0" w:color="auto"/>
        <w:left w:val="none" w:sz="0" w:space="0" w:color="auto"/>
        <w:bottom w:val="none" w:sz="0" w:space="0" w:color="auto"/>
        <w:right w:val="none" w:sz="0" w:space="0" w:color="auto"/>
      </w:divBdr>
    </w:div>
    <w:div w:id="2059930822">
      <w:bodyDiv w:val="1"/>
      <w:marLeft w:val="0"/>
      <w:marRight w:val="0"/>
      <w:marTop w:val="0"/>
      <w:marBottom w:val="0"/>
      <w:divBdr>
        <w:top w:val="none" w:sz="0" w:space="0" w:color="auto"/>
        <w:left w:val="none" w:sz="0" w:space="0" w:color="auto"/>
        <w:bottom w:val="none" w:sz="0" w:space="0" w:color="auto"/>
        <w:right w:val="none" w:sz="0" w:space="0" w:color="auto"/>
      </w:divBdr>
    </w:div>
    <w:div w:id="2061902459">
      <w:bodyDiv w:val="1"/>
      <w:marLeft w:val="0"/>
      <w:marRight w:val="0"/>
      <w:marTop w:val="0"/>
      <w:marBottom w:val="0"/>
      <w:divBdr>
        <w:top w:val="none" w:sz="0" w:space="0" w:color="auto"/>
        <w:left w:val="none" w:sz="0" w:space="0" w:color="auto"/>
        <w:bottom w:val="none" w:sz="0" w:space="0" w:color="auto"/>
        <w:right w:val="none" w:sz="0" w:space="0" w:color="auto"/>
      </w:divBdr>
    </w:div>
    <w:div w:id="2062433732">
      <w:bodyDiv w:val="1"/>
      <w:marLeft w:val="0"/>
      <w:marRight w:val="0"/>
      <w:marTop w:val="0"/>
      <w:marBottom w:val="0"/>
      <w:divBdr>
        <w:top w:val="none" w:sz="0" w:space="0" w:color="auto"/>
        <w:left w:val="none" w:sz="0" w:space="0" w:color="auto"/>
        <w:bottom w:val="none" w:sz="0" w:space="0" w:color="auto"/>
        <w:right w:val="none" w:sz="0" w:space="0" w:color="auto"/>
      </w:divBdr>
    </w:div>
    <w:div w:id="2065134677">
      <w:bodyDiv w:val="1"/>
      <w:marLeft w:val="0"/>
      <w:marRight w:val="0"/>
      <w:marTop w:val="0"/>
      <w:marBottom w:val="0"/>
      <w:divBdr>
        <w:top w:val="none" w:sz="0" w:space="0" w:color="auto"/>
        <w:left w:val="none" w:sz="0" w:space="0" w:color="auto"/>
        <w:bottom w:val="none" w:sz="0" w:space="0" w:color="auto"/>
        <w:right w:val="none" w:sz="0" w:space="0" w:color="auto"/>
      </w:divBdr>
    </w:div>
    <w:div w:id="2069304473">
      <w:bodyDiv w:val="1"/>
      <w:marLeft w:val="0"/>
      <w:marRight w:val="0"/>
      <w:marTop w:val="0"/>
      <w:marBottom w:val="0"/>
      <w:divBdr>
        <w:top w:val="none" w:sz="0" w:space="0" w:color="auto"/>
        <w:left w:val="none" w:sz="0" w:space="0" w:color="auto"/>
        <w:bottom w:val="none" w:sz="0" w:space="0" w:color="auto"/>
        <w:right w:val="none" w:sz="0" w:space="0" w:color="auto"/>
      </w:divBdr>
    </w:div>
    <w:div w:id="2069373630">
      <w:bodyDiv w:val="1"/>
      <w:marLeft w:val="0"/>
      <w:marRight w:val="0"/>
      <w:marTop w:val="0"/>
      <w:marBottom w:val="0"/>
      <w:divBdr>
        <w:top w:val="none" w:sz="0" w:space="0" w:color="auto"/>
        <w:left w:val="none" w:sz="0" w:space="0" w:color="auto"/>
        <w:bottom w:val="none" w:sz="0" w:space="0" w:color="auto"/>
        <w:right w:val="none" w:sz="0" w:space="0" w:color="auto"/>
      </w:divBdr>
    </w:div>
    <w:div w:id="2070226718">
      <w:bodyDiv w:val="1"/>
      <w:marLeft w:val="0"/>
      <w:marRight w:val="0"/>
      <w:marTop w:val="0"/>
      <w:marBottom w:val="0"/>
      <w:divBdr>
        <w:top w:val="none" w:sz="0" w:space="0" w:color="auto"/>
        <w:left w:val="none" w:sz="0" w:space="0" w:color="auto"/>
        <w:bottom w:val="none" w:sz="0" w:space="0" w:color="auto"/>
        <w:right w:val="none" w:sz="0" w:space="0" w:color="auto"/>
      </w:divBdr>
    </w:div>
    <w:div w:id="2070616431">
      <w:bodyDiv w:val="1"/>
      <w:marLeft w:val="0"/>
      <w:marRight w:val="0"/>
      <w:marTop w:val="0"/>
      <w:marBottom w:val="0"/>
      <w:divBdr>
        <w:top w:val="none" w:sz="0" w:space="0" w:color="auto"/>
        <w:left w:val="none" w:sz="0" w:space="0" w:color="auto"/>
        <w:bottom w:val="none" w:sz="0" w:space="0" w:color="auto"/>
        <w:right w:val="none" w:sz="0" w:space="0" w:color="auto"/>
      </w:divBdr>
    </w:div>
    <w:div w:id="2071804870">
      <w:bodyDiv w:val="1"/>
      <w:marLeft w:val="0"/>
      <w:marRight w:val="0"/>
      <w:marTop w:val="0"/>
      <w:marBottom w:val="0"/>
      <w:divBdr>
        <w:top w:val="none" w:sz="0" w:space="0" w:color="auto"/>
        <w:left w:val="none" w:sz="0" w:space="0" w:color="auto"/>
        <w:bottom w:val="none" w:sz="0" w:space="0" w:color="auto"/>
        <w:right w:val="none" w:sz="0" w:space="0" w:color="auto"/>
      </w:divBdr>
    </w:div>
    <w:div w:id="2072578805">
      <w:bodyDiv w:val="1"/>
      <w:marLeft w:val="0"/>
      <w:marRight w:val="0"/>
      <w:marTop w:val="0"/>
      <w:marBottom w:val="0"/>
      <w:divBdr>
        <w:top w:val="none" w:sz="0" w:space="0" w:color="auto"/>
        <w:left w:val="none" w:sz="0" w:space="0" w:color="auto"/>
        <w:bottom w:val="none" w:sz="0" w:space="0" w:color="auto"/>
        <w:right w:val="none" w:sz="0" w:space="0" w:color="auto"/>
      </w:divBdr>
    </w:div>
    <w:div w:id="2072848187">
      <w:bodyDiv w:val="1"/>
      <w:marLeft w:val="0"/>
      <w:marRight w:val="0"/>
      <w:marTop w:val="0"/>
      <w:marBottom w:val="0"/>
      <w:divBdr>
        <w:top w:val="none" w:sz="0" w:space="0" w:color="auto"/>
        <w:left w:val="none" w:sz="0" w:space="0" w:color="auto"/>
        <w:bottom w:val="none" w:sz="0" w:space="0" w:color="auto"/>
        <w:right w:val="none" w:sz="0" w:space="0" w:color="auto"/>
      </w:divBdr>
    </w:div>
    <w:div w:id="2073773076">
      <w:bodyDiv w:val="1"/>
      <w:marLeft w:val="0"/>
      <w:marRight w:val="0"/>
      <w:marTop w:val="0"/>
      <w:marBottom w:val="0"/>
      <w:divBdr>
        <w:top w:val="none" w:sz="0" w:space="0" w:color="auto"/>
        <w:left w:val="none" w:sz="0" w:space="0" w:color="auto"/>
        <w:bottom w:val="none" w:sz="0" w:space="0" w:color="auto"/>
        <w:right w:val="none" w:sz="0" w:space="0" w:color="auto"/>
      </w:divBdr>
    </w:div>
    <w:div w:id="2075812782">
      <w:bodyDiv w:val="1"/>
      <w:marLeft w:val="0"/>
      <w:marRight w:val="0"/>
      <w:marTop w:val="0"/>
      <w:marBottom w:val="0"/>
      <w:divBdr>
        <w:top w:val="none" w:sz="0" w:space="0" w:color="auto"/>
        <w:left w:val="none" w:sz="0" w:space="0" w:color="auto"/>
        <w:bottom w:val="none" w:sz="0" w:space="0" w:color="auto"/>
        <w:right w:val="none" w:sz="0" w:space="0" w:color="auto"/>
      </w:divBdr>
    </w:div>
    <w:div w:id="2076275477">
      <w:bodyDiv w:val="1"/>
      <w:marLeft w:val="0"/>
      <w:marRight w:val="0"/>
      <w:marTop w:val="0"/>
      <w:marBottom w:val="0"/>
      <w:divBdr>
        <w:top w:val="none" w:sz="0" w:space="0" w:color="auto"/>
        <w:left w:val="none" w:sz="0" w:space="0" w:color="auto"/>
        <w:bottom w:val="none" w:sz="0" w:space="0" w:color="auto"/>
        <w:right w:val="none" w:sz="0" w:space="0" w:color="auto"/>
      </w:divBdr>
    </w:div>
    <w:div w:id="2080246147">
      <w:bodyDiv w:val="1"/>
      <w:marLeft w:val="0"/>
      <w:marRight w:val="0"/>
      <w:marTop w:val="0"/>
      <w:marBottom w:val="0"/>
      <w:divBdr>
        <w:top w:val="none" w:sz="0" w:space="0" w:color="auto"/>
        <w:left w:val="none" w:sz="0" w:space="0" w:color="auto"/>
        <w:bottom w:val="none" w:sz="0" w:space="0" w:color="auto"/>
        <w:right w:val="none" w:sz="0" w:space="0" w:color="auto"/>
      </w:divBdr>
    </w:div>
    <w:div w:id="2082825691">
      <w:bodyDiv w:val="1"/>
      <w:marLeft w:val="0"/>
      <w:marRight w:val="0"/>
      <w:marTop w:val="0"/>
      <w:marBottom w:val="0"/>
      <w:divBdr>
        <w:top w:val="none" w:sz="0" w:space="0" w:color="auto"/>
        <w:left w:val="none" w:sz="0" w:space="0" w:color="auto"/>
        <w:bottom w:val="none" w:sz="0" w:space="0" w:color="auto"/>
        <w:right w:val="none" w:sz="0" w:space="0" w:color="auto"/>
      </w:divBdr>
    </w:div>
    <w:div w:id="2083024731">
      <w:bodyDiv w:val="1"/>
      <w:marLeft w:val="0"/>
      <w:marRight w:val="0"/>
      <w:marTop w:val="0"/>
      <w:marBottom w:val="0"/>
      <w:divBdr>
        <w:top w:val="none" w:sz="0" w:space="0" w:color="auto"/>
        <w:left w:val="none" w:sz="0" w:space="0" w:color="auto"/>
        <w:bottom w:val="none" w:sz="0" w:space="0" w:color="auto"/>
        <w:right w:val="none" w:sz="0" w:space="0" w:color="auto"/>
      </w:divBdr>
    </w:div>
    <w:div w:id="2083213462">
      <w:bodyDiv w:val="1"/>
      <w:marLeft w:val="0"/>
      <w:marRight w:val="0"/>
      <w:marTop w:val="0"/>
      <w:marBottom w:val="0"/>
      <w:divBdr>
        <w:top w:val="none" w:sz="0" w:space="0" w:color="auto"/>
        <w:left w:val="none" w:sz="0" w:space="0" w:color="auto"/>
        <w:bottom w:val="none" w:sz="0" w:space="0" w:color="auto"/>
        <w:right w:val="none" w:sz="0" w:space="0" w:color="auto"/>
      </w:divBdr>
    </w:div>
    <w:div w:id="2083521497">
      <w:bodyDiv w:val="1"/>
      <w:marLeft w:val="0"/>
      <w:marRight w:val="0"/>
      <w:marTop w:val="0"/>
      <w:marBottom w:val="0"/>
      <w:divBdr>
        <w:top w:val="none" w:sz="0" w:space="0" w:color="auto"/>
        <w:left w:val="none" w:sz="0" w:space="0" w:color="auto"/>
        <w:bottom w:val="none" w:sz="0" w:space="0" w:color="auto"/>
        <w:right w:val="none" w:sz="0" w:space="0" w:color="auto"/>
      </w:divBdr>
    </w:div>
    <w:div w:id="2084984495">
      <w:bodyDiv w:val="1"/>
      <w:marLeft w:val="0"/>
      <w:marRight w:val="0"/>
      <w:marTop w:val="0"/>
      <w:marBottom w:val="0"/>
      <w:divBdr>
        <w:top w:val="none" w:sz="0" w:space="0" w:color="auto"/>
        <w:left w:val="none" w:sz="0" w:space="0" w:color="auto"/>
        <w:bottom w:val="none" w:sz="0" w:space="0" w:color="auto"/>
        <w:right w:val="none" w:sz="0" w:space="0" w:color="auto"/>
      </w:divBdr>
    </w:div>
    <w:div w:id="2084990439">
      <w:bodyDiv w:val="1"/>
      <w:marLeft w:val="0"/>
      <w:marRight w:val="0"/>
      <w:marTop w:val="0"/>
      <w:marBottom w:val="0"/>
      <w:divBdr>
        <w:top w:val="none" w:sz="0" w:space="0" w:color="auto"/>
        <w:left w:val="none" w:sz="0" w:space="0" w:color="auto"/>
        <w:bottom w:val="none" w:sz="0" w:space="0" w:color="auto"/>
        <w:right w:val="none" w:sz="0" w:space="0" w:color="auto"/>
      </w:divBdr>
    </w:div>
    <w:div w:id="2085639338">
      <w:bodyDiv w:val="1"/>
      <w:marLeft w:val="0"/>
      <w:marRight w:val="0"/>
      <w:marTop w:val="0"/>
      <w:marBottom w:val="0"/>
      <w:divBdr>
        <w:top w:val="none" w:sz="0" w:space="0" w:color="auto"/>
        <w:left w:val="none" w:sz="0" w:space="0" w:color="auto"/>
        <w:bottom w:val="none" w:sz="0" w:space="0" w:color="auto"/>
        <w:right w:val="none" w:sz="0" w:space="0" w:color="auto"/>
      </w:divBdr>
    </w:div>
    <w:div w:id="2086757479">
      <w:bodyDiv w:val="1"/>
      <w:marLeft w:val="0"/>
      <w:marRight w:val="0"/>
      <w:marTop w:val="0"/>
      <w:marBottom w:val="0"/>
      <w:divBdr>
        <w:top w:val="none" w:sz="0" w:space="0" w:color="auto"/>
        <w:left w:val="none" w:sz="0" w:space="0" w:color="auto"/>
        <w:bottom w:val="none" w:sz="0" w:space="0" w:color="auto"/>
        <w:right w:val="none" w:sz="0" w:space="0" w:color="auto"/>
      </w:divBdr>
    </w:div>
    <w:div w:id="2088457922">
      <w:bodyDiv w:val="1"/>
      <w:marLeft w:val="0"/>
      <w:marRight w:val="0"/>
      <w:marTop w:val="0"/>
      <w:marBottom w:val="0"/>
      <w:divBdr>
        <w:top w:val="none" w:sz="0" w:space="0" w:color="auto"/>
        <w:left w:val="none" w:sz="0" w:space="0" w:color="auto"/>
        <w:bottom w:val="none" w:sz="0" w:space="0" w:color="auto"/>
        <w:right w:val="none" w:sz="0" w:space="0" w:color="auto"/>
      </w:divBdr>
    </w:div>
    <w:div w:id="2089036811">
      <w:bodyDiv w:val="1"/>
      <w:marLeft w:val="0"/>
      <w:marRight w:val="0"/>
      <w:marTop w:val="0"/>
      <w:marBottom w:val="0"/>
      <w:divBdr>
        <w:top w:val="none" w:sz="0" w:space="0" w:color="auto"/>
        <w:left w:val="none" w:sz="0" w:space="0" w:color="auto"/>
        <w:bottom w:val="none" w:sz="0" w:space="0" w:color="auto"/>
        <w:right w:val="none" w:sz="0" w:space="0" w:color="auto"/>
      </w:divBdr>
    </w:div>
    <w:div w:id="2089577726">
      <w:bodyDiv w:val="1"/>
      <w:marLeft w:val="0"/>
      <w:marRight w:val="0"/>
      <w:marTop w:val="0"/>
      <w:marBottom w:val="0"/>
      <w:divBdr>
        <w:top w:val="none" w:sz="0" w:space="0" w:color="auto"/>
        <w:left w:val="none" w:sz="0" w:space="0" w:color="auto"/>
        <w:bottom w:val="none" w:sz="0" w:space="0" w:color="auto"/>
        <w:right w:val="none" w:sz="0" w:space="0" w:color="auto"/>
      </w:divBdr>
    </w:div>
    <w:div w:id="2090223979">
      <w:bodyDiv w:val="1"/>
      <w:marLeft w:val="0"/>
      <w:marRight w:val="0"/>
      <w:marTop w:val="0"/>
      <w:marBottom w:val="0"/>
      <w:divBdr>
        <w:top w:val="none" w:sz="0" w:space="0" w:color="auto"/>
        <w:left w:val="none" w:sz="0" w:space="0" w:color="auto"/>
        <w:bottom w:val="none" w:sz="0" w:space="0" w:color="auto"/>
        <w:right w:val="none" w:sz="0" w:space="0" w:color="auto"/>
      </w:divBdr>
    </w:div>
    <w:div w:id="2090342837">
      <w:bodyDiv w:val="1"/>
      <w:marLeft w:val="0"/>
      <w:marRight w:val="0"/>
      <w:marTop w:val="0"/>
      <w:marBottom w:val="0"/>
      <w:divBdr>
        <w:top w:val="none" w:sz="0" w:space="0" w:color="auto"/>
        <w:left w:val="none" w:sz="0" w:space="0" w:color="auto"/>
        <w:bottom w:val="none" w:sz="0" w:space="0" w:color="auto"/>
        <w:right w:val="none" w:sz="0" w:space="0" w:color="auto"/>
      </w:divBdr>
    </w:div>
    <w:div w:id="2090955501">
      <w:bodyDiv w:val="1"/>
      <w:marLeft w:val="0"/>
      <w:marRight w:val="0"/>
      <w:marTop w:val="0"/>
      <w:marBottom w:val="0"/>
      <w:divBdr>
        <w:top w:val="none" w:sz="0" w:space="0" w:color="auto"/>
        <w:left w:val="none" w:sz="0" w:space="0" w:color="auto"/>
        <w:bottom w:val="none" w:sz="0" w:space="0" w:color="auto"/>
        <w:right w:val="none" w:sz="0" w:space="0" w:color="auto"/>
      </w:divBdr>
    </w:div>
    <w:div w:id="2092850276">
      <w:bodyDiv w:val="1"/>
      <w:marLeft w:val="0"/>
      <w:marRight w:val="0"/>
      <w:marTop w:val="0"/>
      <w:marBottom w:val="0"/>
      <w:divBdr>
        <w:top w:val="none" w:sz="0" w:space="0" w:color="auto"/>
        <w:left w:val="none" w:sz="0" w:space="0" w:color="auto"/>
        <w:bottom w:val="none" w:sz="0" w:space="0" w:color="auto"/>
        <w:right w:val="none" w:sz="0" w:space="0" w:color="auto"/>
      </w:divBdr>
    </w:div>
    <w:div w:id="2093120117">
      <w:bodyDiv w:val="1"/>
      <w:marLeft w:val="0"/>
      <w:marRight w:val="0"/>
      <w:marTop w:val="0"/>
      <w:marBottom w:val="0"/>
      <w:divBdr>
        <w:top w:val="none" w:sz="0" w:space="0" w:color="auto"/>
        <w:left w:val="none" w:sz="0" w:space="0" w:color="auto"/>
        <w:bottom w:val="none" w:sz="0" w:space="0" w:color="auto"/>
        <w:right w:val="none" w:sz="0" w:space="0" w:color="auto"/>
      </w:divBdr>
    </w:div>
    <w:div w:id="2095936764">
      <w:bodyDiv w:val="1"/>
      <w:marLeft w:val="0"/>
      <w:marRight w:val="0"/>
      <w:marTop w:val="0"/>
      <w:marBottom w:val="0"/>
      <w:divBdr>
        <w:top w:val="none" w:sz="0" w:space="0" w:color="auto"/>
        <w:left w:val="none" w:sz="0" w:space="0" w:color="auto"/>
        <w:bottom w:val="none" w:sz="0" w:space="0" w:color="auto"/>
        <w:right w:val="none" w:sz="0" w:space="0" w:color="auto"/>
      </w:divBdr>
    </w:div>
    <w:div w:id="2097241870">
      <w:bodyDiv w:val="1"/>
      <w:marLeft w:val="0"/>
      <w:marRight w:val="0"/>
      <w:marTop w:val="0"/>
      <w:marBottom w:val="0"/>
      <w:divBdr>
        <w:top w:val="none" w:sz="0" w:space="0" w:color="auto"/>
        <w:left w:val="none" w:sz="0" w:space="0" w:color="auto"/>
        <w:bottom w:val="none" w:sz="0" w:space="0" w:color="auto"/>
        <w:right w:val="none" w:sz="0" w:space="0" w:color="auto"/>
      </w:divBdr>
    </w:div>
    <w:div w:id="2100251038">
      <w:bodyDiv w:val="1"/>
      <w:marLeft w:val="0"/>
      <w:marRight w:val="0"/>
      <w:marTop w:val="0"/>
      <w:marBottom w:val="0"/>
      <w:divBdr>
        <w:top w:val="none" w:sz="0" w:space="0" w:color="auto"/>
        <w:left w:val="none" w:sz="0" w:space="0" w:color="auto"/>
        <w:bottom w:val="none" w:sz="0" w:space="0" w:color="auto"/>
        <w:right w:val="none" w:sz="0" w:space="0" w:color="auto"/>
      </w:divBdr>
    </w:div>
    <w:div w:id="2101753016">
      <w:bodyDiv w:val="1"/>
      <w:marLeft w:val="0"/>
      <w:marRight w:val="0"/>
      <w:marTop w:val="0"/>
      <w:marBottom w:val="0"/>
      <w:divBdr>
        <w:top w:val="none" w:sz="0" w:space="0" w:color="auto"/>
        <w:left w:val="none" w:sz="0" w:space="0" w:color="auto"/>
        <w:bottom w:val="none" w:sz="0" w:space="0" w:color="auto"/>
        <w:right w:val="none" w:sz="0" w:space="0" w:color="auto"/>
      </w:divBdr>
    </w:div>
    <w:div w:id="2104572841">
      <w:bodyDiv w:val="1"/>
      <w:marLeft w:val="0"/>
      <w:marRight w:val="0"/>
      <w:marTop w:val="0"/>
      <w:marBottom w:val="0"/>
      <w:divBdr>
        <w:top w:val="none" w:sz="0" w:space="0" w:color="auto"/>
        <w:left w:val="none" w:sz="0" w:space="0" w:color="auto"/>
        <w:bottom w:val="none" w:sz="0" w:space="0" w:color="auto"/>
        <w:right w:val="none" w:sz="0" w:space="0" w:color="auto"/>
      </w:divBdr>
    </w:div>
    <w:div w:id="2105032190">
      <w:bodyDiv w:val="1"/>
      <w:marLeft w:val="0"/>
      <w:marRight w:val="0"/>
      <w:marTop w:val="0"/>
      <w:marBottom w:val="0"/>
      <w:divBdr>
        <w:top w:val="none" w:sz="0" w:space="0" w:color="auto"/>
        <w:left w:val="none" w:sz="0" w:space="0" w:color="auto"/>
        <w:bottom w:val="none" w:sz="0" w:space="0" w:color="auto"/>
        <w:right w:val="none" w:sz="0" w:space="0" w:color="auto"/>
      </w:divBdr>
    </w:div>
    <w:div w:id="2105877724">
      <w:bodyDiv w:val="1"/>
      <w:marLeft w:val="0"/>
      <w:marRight w:val="0"/>
      <w:marTop w:val="0"/>
      <w:marBottom w:val="0"/>
      <w:divBdr>
        <w:top w:val="none" w:sz="0" w:space="0" w:color="auto"/>
        <w:left w:val="none" w:sz="0" w:space="0" w:color="auto"/>
        <w:bottom w:val="none" w:sz="0" w:space="0" w:color="auto"/>
        <w:right w:val="none" w:sz="0" w:space="0" w:color="auto"/>
      </w:divBdr>
    </w:div>
    <w:div w:id="2107340911">
      <w:bodyDiv w:val="1"/>
      <w:marLeft w:val="0"/>
      <w:marRight w:val="0"/>
      <w:marTop w:val="0"/>
      <w:marBottom w:val="0"/>
      <w:divBdr>
        <w:top w:val="none" w:sz="0" w:space="0" w:color="auto"/>
        <w:left w:val="none" w:sz="0" w:space="0" w:color="auto"/>
        <w:bottom w:val="none" w:sz="0" w:space="0" w:color="auto"/>
        <w:right w:val="none" w:sz="0" w:space="0" w:color="auto"/>
      </w:divBdr>
    </w:div>
    <w:div w:id="2110079544">
      <w:bodyDiv w:val="1"/>
      <w:marLeft w:val="0"/>
      <w:marRight w:val="0"/>
      <w:marTop w:val="0"/>
      <w:marBottom w:val="0"/>
      <w:divBdr>
        <w:top w:val="none" w:sz="0" w:space="0" w:color="auto"/>
        <w:left w:val="none" w:sz="0" w:space="0" w:color="auto"/>
        <w:bottom w:val="none" w:sz="0" w:space="0" w:color="auto"/>
        <w:right w:val="none" w:sz="0" w:space="0" w:color="auto"/>
      </w:divBdr>
    </w:div>
    <w:div w:id="2110657929">
      <w:bodyDiv w:val="1"/>
      <w:marLeft w:val="0"/>
      <w:marRight w:val="0"/>
      <w:marTop w:val="0"/>
      <w:marBottom w:val="0"/>
      <w:divBdr>
        <w:top w:val="none" w:sz="0" w:space="0" w:color="auto"/>
        <w:left w:val="none" w:sz="0" w:space="0" w:color="auto"/>
        <w:bottom w:val="none" w:sz="0" w:space="0" w:color="auto"/>
        <w:right w:val="none" w:sz="0" w:space="0" w:color="auto"/>
      </w:divBdr>
    </w:div>
    <w:div w:id="2112242050">
      <w:bodyDiv w:val="1"/>
      <w:marLeft w:val="0"/>
      <w:marRight w:val="0"/>
      <w:marTop w:val="0"/>
      <w:marBottom w:val="0"/>
      <w:divBdr>
        <w:top w:val="none" w:sz="0" w:space="0" w:color="auto"/>
        <w:left w:val="none" w:sz="0" w:space="0" w:color="auto"/>
        <w:bottom w:val="none" w:sz="0" w:space="0" w:color="auto"/>
        <w:right w:val="none" w:sz="0" w:space="0" w:color="auto"/>
      </w:divBdr>
    </w:div>
    <w:div w:id="2112628242">
      <w:bodyDiv w:val="1"/>
      <w:marLeft w:val="0"/>
      <w:marRight w:val="0"/>
      <w:marTop w:val="0"/>
      <w:marBottom w:val="0"/>
      <w:divBdr>
        <w:top w:val="none" w:sz="0" w:space="0" w:color="auto"/>
        <w:left w:val="none" w:sz="0" w:space="0" w:color="auto"/>
        <w:bottom w:val="none" w:sz="0" w:space="0" w:color="auto"/>
        <w:right w:val="none" w:sz="0" w:space="0" w:color="auto"/>
      </w:divBdr>
    </w:div>
    <w:div w:id="2113235266">
      <w:bodyDiv w:val="1"/>
      <w:marLeft w:val="0"/>
      <w:marRight w:val="0"/>
      <w:marTop w:val="0"/>
      <w:marBottom w:val="0"/>
      <w:divBdr>
        <w:top w:val="none" w:sz="0" w:space="0" w:color="auto"/>
        <w:left w:val="none" w:sz="0" w:space="0" w:color="auto"/>
        <w:bottom w:val="none" w:sz="0" w:space="0" w:color="auto"/>
        <w:right w:val="none" w:sz="0" w:space="0" w:color="auto"/>
      </w:divBdr>
    </w:div>
    <w:div w:id="2119638612">
      <w:bodyDiv w:val="1"/>
      <w:marLeft w:val="0"/>
      <w:marRight w:val="0"/>
      <w:marTop w:val="0"/>
      <w:marBottom w:val="0"/>
      <w:divBdr>
        <w:top w:val="none" w:sz="0" w:space="0" w:color="auto"/>
        <w:left w:val="none" w:sz="0" w:space="0" w:color="auto"/>
        <w:bottom w:val="none" w:sz="0" w:space="0" w:color="auto"/>
        <w:right w:val="none" w:sz="0" w:space="0" w:color="auto"/>
      </w:divBdr>
    </w:div>
    <w:div w:id="2120836073">
      <w:bodyDiv w:val="1"/>
      <w:marLeft w:val="0"/>
      <w:marRight w:val="0"/>
      <w:marTop w:val="0"/>
      <w:marBottom w:val="0"/>
      <w:divBdr>
        <w:top w:val="none" w:sz="0" w:space="0" w:color="auto"/>
        <w:left w:val="none" w:sz="0" w:space="0" w:color="auto"/>
        <w:bottom w:val="none" w:sz="0" w:space="0" w:color="auto"/>
        <w:right w:val="none" w:sz="0" w:space="0" w:color="auto"/>
      </w:divBdr>
    </w:div>
    <w:div w:id="2121532855">
      <w:bodyDiv w:val="1"/>
      <w:marLeft w:val="0"/>
      <w:marRight w:val="0"/>
      <w:marTop w:val="0"/>
      <w:marBottom w:val="0"/>
      <w:divBdr>
        <w:top w:val="none" w:sz="0" w:space="0" w:color="auto"/>
        <w:left w:val="none" w:sz="0" w:space="0" w:color="auto"/>
        <w:bottom w:val="none" w:sz="0" w:space="0" w:color="auto"/>
        <w:right w:val="none" w:sz="0" w:space="0" w:color="auto"/>
      </w:divBdr>
    </w:div>
    <w:div w:id="2122334407">
      <w:bodyDiv w:val="1"/>
      <w:marLeft w:val="0"/>
      <w:marRight w:val="0"/>
      <w:marTop w:val="0"/>
      <w:marBottom w:val="0"/>
      <w:divBdr>
        <w:top w:val="none" w:sz="0" w:space="0" w:color="auto"/>
        <w:left w:val="none" w:sz="0" w:space="0" w:color="auto"/>
        <w:bottom w:val="none" w:sz="0" w:space="0" w:color="auto"/>
        <w:right w:val="none" w:sz="0" w:space="0" w:color="auto"/>
      </w:divBdr>
    </w:div>
    <w:div w:id="2122601101">
      <w:bodyDiv w:val="1"/>
      <w:marLeft w:val="0"/>
      <w:marRight w:val="0"/>
      <w:marTop w:val="0"/>
      <w:marBottom w:val="0"/>
      <w:divBdr>
        <w:top w:val="none" w:sz="0" w:space="0" w:color="auto"/>
        <w:left w:val="none" w:sz="0" w:space="0" w:color="auto"/>
        <w:bottom w:val="none" w:sz="0" w:space="0" w:color="auto"/>
        <w:right w:val="none" w:sz="0" w:space="0" w:color="auto"/>
      </w:divBdr>
    </w:div>
    <w:div w:id="2122843749">
      <w:bodyDiv w:val="1"/>
      <w:marLeft w:val="0"/>
      <w:marRight w:val="0"/>
      <w:marTop w:val="0"/>
      <w:marBottom w:val="0"/>
      <w:divBdr>
        <w:top w:val="none" w:sz="0" w:space="0" w:color="auto"/>
        <w:left w:val="none" w:sz="0" w:space="0" w:color="auto"/>
        <w:bottom w:val="none" w:sz="0" w:space="0" w:color="auto"/>
        <w:right w:val="none" w:sz="0" w:space="0" w:color="auto"/>
      </w:divBdr>
    </w:div>
    <w:div w:id="2123258718">
      <w:bodyDiv w:val="1"/>
      <w:marLeft w:val="0"/>
      <w:marRight w:val="0"/>
      <w:marTop w:val="0"/>
      <w:marBottom w:val="0"/>
      <w:divBdr>
        <w:top w:val="none" w:sz="0" w:space="0" w:color="auto"/>
        <w:left w:val="none" w:sz="0" w:space="0" w:color="auto"/>
        <w:bottom w:val="none" w:sz="0" w:space="0" w:color="auto"/>
        <w:right w:val="none" w:sz="0" w:space="0" w:color="auto"/>
      </w:divBdr>
    </w:div>
    <w:div w:id="2123768522">
      <w:bodyDiv w:val="1"/>
      <w:marLeft w:val="0"/>
      <w:marRight w:val="0"/>
      <w:marTop w:val="0"/>
      <w:marBottom w:val="0"/>
      <w:divBdr>
        <w:top w:val="none" w:sz="0" w:space="0" w:color="auto"/>
        <w:left w:val="none" w:sz="0" w:space="0" w:color="auto"/>
        <w:bottom w:val="none" w:sz="0" w:space="0" w:color="auto"/>
        <w:right w:val="none" w:sz="0" w:space="0" w:color="auto"/>
      </w:divBdr>
    </w:div>
    <w:div w:id="2126925321">
      <w:bodyDiv w:val="1"/>
      <w:marLeft w:val="0"/>
      <w:marRight w:val="0"/>
      <w:marTop w:val="0"/>
      <w:marBottom w:val="0"/>
      <w:divBdr>
        <w:top w:val="none" w:sz="0" w:space="0" w:color="auto"/>
        <w:left w:val="none" w:sz="0" w:space="0" w:color="auto"/>
        <w:bottom w:val="none" w:sz="0" w:space="0" w:color="auto"/>
        <w:right w:val="none" w:sz="0" w:space="0" w:color="auto"/>
      </w:divBdr>
    </w:div>
    <w:div w:id="2127234716">
      <w:bodyDiv w:val="1"/>
      <w:marLeft w:val="0"/>
      <w:marRight w:val="0"/>
      <w:marTop w:val="0"/>
      <w:marBottom w:val="0"/>
      <w:divBdr>
        <w:top w:val="none" w:sz="0" w:space="0" w:color="auto"/>
        <w:left w:val="none" w:sz="0" w:space="0" w:color="auto"/>
        <w:bottom w:val="none" w:sz="0" w:space="0" w:color="auto"/>
        <w:right w:val="none" w:sz="0" w:space="0" w:color="auto"/>
      </w:divBdr>
    </w:div>
    <w:div w:id="2127920685">
      <w:bodyDiv w:val="1"/>
      <w:marLeft w:val="0"/>
      <w:marRight w:val="0"/>
      <w:marTop w:val="0"/>
      <w:marBottom w:val="0"/>
      <w:divBdr>
        <w:top w:val="none" w:sz="0" w:space="0" w:color="auto"/>
        <w:left w:val="none" w:sz="0" w:space="0" w:color="auto"/>
        <w:bottom w:val="none" w:sz="0" w:space="0" w:color="auto"/>
        <w:right w:val="none" w:sz="0" w:space="0" w:color="auto"/>
      </w:divBdr>
    </w:div>
    <w:div w:id="2128506124">
      <w:bodyDiv w:val="1"/>
      <w:marLeft w:val="0"/>
      <w:marRight w:val="0"/>
      <w:marTop w:val="0"/>
      <w:marBottom w:val="0"/>
      <w:divBdr>
        <w:top w:val="none" w:sz="0" w:space="0" w:color="auto"/>
        <w:left w:val="none" w:sz="0" w:space="0" w:color="auto"/>
        <w:bottom w:val="none" w:sz="0" w:space="0" w:color="auto"/>
        <w:right w:val="none" w:sz="0" w:space="0" w:color="auto"/>
      </w:divBdr>
    </w:div>
    <w:div w:id="2129810044">
      <w:bodyDiv w:val="1"/>
      <w:marLeft w:val="0"/>
      <w:marRight w:val="0"/>
      <w:marTop w:val="0"/>
      <w:marBottom w:val="0"/>
      <w:divBdr>
        <w:top w:val="none" w:sz="0" w:space="0" w:color="auto"/>
        <w:left w:val="none" w:sz="0" w:space="0" w:color="auto"/>
        <w:bottom w:val="none" w:sz="0" w:space="0" w:color="auto"/>
        <w:right w:val="none" w:sz="0" w:space="0" w:color="auto"/>
      </w:divBdr>
    </w:div>
    <w:div w:id="2130776249">
      <w:bodyDiv w:val="1"/>
      <w:marLeft w:val="0"/>
      <w:marRight w:val="0"/>
      <w:marTop w:val="0"/>
      <w:marBottom w:val="0"/>
      <w:divBdr>
        <w:top w:val="none" w:sz="0" w:space="0" w:color="auto"/>
        <w:left w:val="none" w:sz="0" w:space="0" w:color="auto"/>
        <w:bottom w:val="none" w:sz="0" w:space="0" w:color="auto"/>
        <w:right w:val="none" w:sz="0" w:space="0" w:color="auto"/>
      </w:divBdr>
    </w:div>
    <w:div w:id="2131587951">
      <w:bodyDiv w:val="1"/>
      <w:marLeft w:val="0"/>
      <w:marRight w:val="0"/>
      <w:marTop w:val="0"/>
      <w:marBottom w:val="0"/>
      <w:divBdr>
        <w:top w:val="none" w:sz="0" w:space="0" w:color="auto"/>
        <w:left w:val="none" w:sz="0" w:space="0" w:color="auto"/>
        <w:bottom w:val="none" w:sz="0" w:space="0" w:color="auto"/>
        <w:right w:val="none" w:sz="0" w:space="0" w:color="auto"/>
      </w:divBdr>
    </w:div>
    <w:div w:id="2131631678">
      <w:bodyDiv w:val="1"/>
      <w:marLeft w:val="0"/>
      <w:marRight w:val="0"/>
      <w:marTop w:val="0"/>
      <w:marBottom w:val="0"/>
      <w:divBdr>
        <w:top w:val="none" w:sz="0" w:space="0" w:color="auto"/>
        <w:left w:val="none" w:sz="0" w:space="0" w:color="auto"/>
        <w:bottom w:val="none" w:sz="0" w:space="0" w:color="auto"/>
        <w:right w:val="none" w:sz="0" w:space="0" w:color="auto"/>
      </w:divBdr>
    </w:div>
    <w:div w:id="2135058428">
      <w:bodyDiv w:val="1"/>
      <w:marLeft w:val="0"/>
      <w:marRight w:val="0"/>
      <w:marTop w:val="0"/>
      <w:marBottom w:val="0"/>
      <w:divBdr>
        <w:top w:val="none" w:sz="0" w:space="0" w:color="auto"/>
        <w:left w:val="none" w:sz="0" w:space="0" w:color="auto"/>
        <w:bottom w:val="none" w:sz="0" w:space="0" w:color="auto"/>
        <w:right w:val="none" w:sz="0" w:space="0" w:color="auto"/>
      </w:divBdr>
    </w:div>
    <w:div w:id="2137747294">
      <w:bodyDiv w:val="1"/>
      <w:marLeft w:val="0"/>
      <w:marRight w:val="0"/>
      <w:marTop w:val="0"/>
      <w:marBottom w:val="0"/>
      <w:divBdr>
        <w:top w:val="none" w:sz="0" w:space="0" w:color="auto"/>
        <w:left w:val="none" w:sz="0" w:space="0" w:color="auto"/>
        <w:bottom w:val="none" w:sz="0" w:space="0" w:color="auto"/>
        <w:right w:val="none" w:sz="0" w:space="0" w:color="auto"/>
      </w:divBdr>
    </w:div>
    <w:div w:id="2139452775">
      <w:bodyDiv w:val="1"/>
      <w:marLeft w:val="0"/>
      <w:marRight w:val="0"/>
      <w:marTop w:val="0"/>
      <w:marBottom w:val="0"/>
      <w:divBdr>
        <w:top w:val="none" w:sz="0" w:space="0" w:color="auto"/>
        <w:left w:val="none" w:sz="0" w:space="0" w:color="auto"/>
        <w:bottom w:val="none" w:sz="0" w:space="0" w:color="auto"/>
        <w:right w:val="none" w:sz="0" w:space="0" w:color="auto"/>
      </w:divBdr>
    </w:div>
    <w:div w:id="2141532698">
      <w:bodyDiv w:val="1"/>
      <w:marLeft w:val="0"/>
      <w:marRight w:val="0"/>
      <w:marTop w:val="0"/>
      <w:marBottom w:val="0"/>
      <w:divBdr>
        <w:top w:val="none" w:sz="0" w:space="0" w:color="auto"/>
        <w:left w:val="none" w:sz="0" w:space="0" w:color="auto"/>
        <w:bottom w:val="none" w:sz="0" w:space="0" w:color="auto"/>
        <w:right w:val="none" w:sz="0" w:space="0" w:color="auto"/>
      </w:divBdr>
    </w:div>
    <w:div w:id="2141609428">
      <w:bodyDiv w:val="1"/>
      <w:marLeft w:val="0"/>
      <w:marRight w:val="0"/>
      <w:marTop w:val="0"/>
      <w:marBottom w:val="0"/>
      <w:divBdr>
        <w:top w:val="none" w:sz="0" w:space="0" w:color="auto"/>
        <w:left w:val="none" w:sz="0" w:space="0" w:color="auto"/>
        <w:bottom w:val="none" w:sz="0" w:space="0" w:color="auto"/>
        <w:right w:val="none" w:sz="0" w:space="0" w:color="auto"/>
      </w:divBdr>
    </w:div>
    <w:div w:id="2141799249">
      <w:bodyDiv w:val="1"/>
      <w:marLeft w:val="0"/>
      <w:marRight w:val="0"/>
      <w:marTop w:val="0"/>
      <w:marBottom w:val="0"/>
      <w:divBdr>
        <w:top w:val="none" w:sz="0" w:space="0" w:color="auto"/>
        <w:left w:val="none" w:sz="0" w:space="0" w:color="auto"/>
        <w:bottom w:val="none" w:sz="0" w:space="0" w:color="auto"/>
        <w:right w:val="none" w:sz="0" w:space="0" w:color="auto"/>
      </w:divBdr>
    </w:div>
    <w:div w:id="2143114526">
      <w:bodyDiv w:val="1"/>
      <w:marLeft w:val="0"/>
      <w:marRight w:val="0"/>
      <w:marTop w:val="0"/>
      <w:marBottom w:val="0"/>
      <w:divBdr>
        <w:top w:val="none" w:sz="0" w:space="0" w:color="auto"/>
        <w:left w:val="none" w:sz="0" w:space="0" w:color="auto"/>
        <w:bottom w:val="none" w:sz="0" w:space="0" w:color="auto"/>
        <w:right w:val="none" w:sz="0" w:space="0" w:color="auto"/>
      </w:divBdr>
    </w:div>
    <w:div w:id="2143227488">
      <w:bodyDiv w:val="1"/>
      <w:marLeft w:val="0"/>
      <w:marRight w:val="0"/>
      <w:marTop w:val="0"/>
      <w:marBottom w:val="0"/>
      <w:divBdr>
        <w:top w:val="none" w:sz="0" w:space="0" w:color="auto"/>
        <w:left w:val="none" w:sz="0" w:space="0" w:color="auto"/>
        <w:bottom w:val="none" w:sz="0" w:space="0" w:color="auto"/>
        <w:right w:val="none" w:sz="0" w:space="0" w:color="auto"/>
      </w:divBdr>
    </w:div>
    <w:div w:id="2143382425">
      <w:bodyDiv w:val="1"/>
      <w:marLeft w:val="0"/>
      <w:marRight w:val="0"/>
      <w:marTop w:val="0"/>
      <w:marBottom w:val="0"/>
      <w:divBdr>
        <w:top w:val="none" w:sz="0" w:space="0" w:color="auto"/>
        <w:left w:val="none" w:sz="0" w:space="0" w:color="auto"/>
        <w:bottom w:val="none" w:sz="0" w:space="0" w:color="auto"/>
        <w:right w:val="none" w:sz="0" w:space="0" w:color="auto"/>
      </w:divBdr>
    </w:div>
    <w:div w:id="2143961462">
      <w:bodyDiv w:val="1"/>
      <w:marLeft w:val="0"/>
      <w:marRight w:val="0"/>
      <w:marTop w:val="0"/>
      <w:marBottom w:val="0"/>
      <w:divBdr>
        <w:top w:val="none" w:sz="0" w:space="0" w:color="auto"/>
        <w:left w:val="none" w:sz="0" w:space="0" w:color="auto"/>
        <w:bottom w:val="none" w:sz="0" w:space="0" w:color="auto"/>
        <w:right w:val="none" w:sz="0" w:space="0" w:color="auto"/>
      </w:divBdr>
    </w:div>
    <w:div w:id="2145349381">
      <w:bodyDiv w:val="1"/>
      <w:marLeft w:val="0"/>
      <w:marRight w:val="0"/>
      <w:marTop w:val="0"/>
      <w:marBottom w:val="0"/>
      <w:divBdr>
        <w:top w:val="none" w:sz="0" w:space="0" w:color="auto"/>
        <w:left w:val="none" w:sz="0" w:space="0" w:color="auto"/>
        <w:bottom w:val="none" w:sz="0" w:space="0" w:color="auto"/>
        <w:right w:val="none" w:sz="0" w:space="0" w:color="auto"/>
      </w:divBdr>
    </w:div>
    <w:div w:id="2145386655">
      <w:bodyDiv w:val="1"/>
      <w:marLeft w:val="0"/>
      <w:marRight w:val="0"/>
      <w:marTop w:val="0"/>
      <w:marBottom w:val="0"/>
      <w:divBdr>
        <w:top w:val="none" w:sz="0" w:space="0" w:color="auto"/>
        <w:left w:val="none" w:sz="0" w:space="0" w:color="auto"/>
        <w:bottom w:val="none" w:sz="0" w:space="0" w:color="auto"/>
        <w:right w:val="none" w:sz="0" w:space="0" w:color="auto"/>
      </w:divBdr>
    </w:div>
    <w:div w:id="2145737406">
      <w:bodyDiv w:val="1"/>
      <w:marLeft w:val="0"/>
      <w:marRight w:val="0"/>
      <w:marTop w:val="0"/>
      <w:marBottom w:val="0"/>
      <w:divBdr>
        <w:top w:val="none" w:sz="0" w:space="0" w:color="auto"/>
        <w:left w:val="none" w:sz="0" w:space="0" w:color="auto"/>
        <w:bottom w:val="none" w:sz="0" w:space="0" w:color="auto"/>
        <w:right w:val="none" w:sz="0" w:space="0" w:color="auto"/>
      </w:divBdr>
    </w:div>
    <w:div w:id="2145846172">
      <w:bodyDiv w:val="1"/>
      <w:marLeft w:val="0"/>
      <w:marRight w:val="0"/>
      <w:marTop w:val="0"/>
      <w:marBottom w:val="0"/>
      <w:divBdr>
        <w:top w:val="none" w:sz="0" w:space="0" w:color="auto"/>
        <w:left w:val="none" w:sz="0" w:space="0" w:color="auto"/>
        <w:bottom w:val="none" w:sz="0" w:space="0" w:color="auto"/>
        <w:right w:val="none" w:sz="0" w:space="0" w:color="auto"/>
      </w:divBdr>
    </w:div>
    <w:div w:id="2145925634">
      <w:bodyDiv w:val="1"/>
      <w:marLeft w:val="0"/>
      <w:marRight w:val="0"/>
      <w:marTop w:val="0"/>
      <w:marBottom w:val="0"/>
      <w:divBdr>
        <w:top w:val="none" w:sz="0" w:space="0" w:color="auto"/>
        <w:left w:val="none" w:sz="0" w:space="0" w:color="auto"/>
        <w:bottom w:val="none" w:sz="0" w:space="0" w:color="auto"/>
        <w:right w:val="none" w:sz="0" w:space="0" w:color="auto"/>
      </w:divBdr>
    </w:div>
    <w:div w:id="21467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footer" Target="footer11.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header" Target="header3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footer" Target="footer9.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7.xml"/><Relationship Id="rId53" Type="http://schemas.openxmlformats.org/officeDocument/2006/relationships/header" Target="header33.xml"/><Relationship Id="rId58"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header" Target="header39.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9.xml"/><Relationship Id="rId56"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footer" Target="footer12.xml"/><Relationship Id="rId59" Type="http://schemas.openxmlformats.org/officeDocument/2006/relationships/header" Target="header37.xml"/><Relationship Id="rId20" Type="http://schemas.openxmlformats.org/officeDocument/2006/relationships/header" Target="header8.xml"/><Relationship Id="rId41" Type="http://schemas.openxmlformats.org/officeDocument/2006/relationships/header" Target="header24.xml"/><Relationship Id="rId54" Type="http://schemas.openxmlformats.org/officeDocument/2006/relationships/footer" Target="footer1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header" Target="header30.xml"/><Relationship Id="rId57" Type="http://schemas.openxmlformats.org/officeDocument/2006/relationships/header" Target="header35.xml"/><Relationship Id="rId10" Type="http://schemas.openxmlformats.org/officeDocument/2006/relationships/footer" Target="footer2.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2.xml"/><Relationship Id="rId60"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80780-EC4A-4A77-A8F0-FBABD034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107</Pages>
  <Words>54145</Words>
  <Characters>308628</Characters>
  <Application>Microsoft Office Word</Application>
  <DocSecurity>0</DocSecurity>
  <Lines>2571</Lines>
  <Paragraphs>724</Paragraphs>
  <ScaleCrop>false</ScaleCrop>
  <HeadingPairs>
    <vt:vector size="2" baseType="variant">
      <vt:variant>
        <vt:lpstr>Title</vt:lpstr>
      </vt:variant>
      <vt:variant>
        <vt:i4>1</vt:i4>
      </vt:variant>
    </vt:vector>
  </HeadingPairs>
  <TitlesOfParts>
    <vt:vector size="1" baseType="lpstr">
      <vt:lpstr>PT EKADHARMA INTERNATIONAL Tbk</vt:lpstr>
    </vt:vector>
  </TitlesOfParts>
  <Company>-</Company>
  <LinksUpToDate>false</LinksUpToDate>
  <CharactersWithSpaces>362049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 EKADHARMA INTERNATIONAL Tbk</dc:title>
  <dc:creator>za98a</dc:creator>
  <cp:keywords>Kreston International</cp:keywords>
  <cp:lastModifiedBy>Amelia Jeslyn</cp:lastModifiedBy>
  <cp:revision>12</cp:revision>
  <cp:lastPrinted>2020-06-29T11:39:00Z</cp:lastPrinted>
  <dcterms:created xsi:type="dcterms:W3CDTF">2020-06-28T09:33:00Z</dcterms:created>
  <dcterms:modified xsi:type="dcterms:W3CDTF">2020-06-29T11:54:00Z</dcterms:modified>
</cp:coreProperties>
</file>